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oter10.xml" ContentType="application/vnd.openxmlformats-officedocument.wordprocessingml.footer+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1.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2.xml" ContentType="application/vnd.openxmlformats-officedocument.themeOverride+xml"/>
  <Override PartName="/word/footer11.xml" ContentType="application/vnd.openxmlformats-officedocument.wordprocessingml.footer+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footer12.xml" ContentType="application/vnd.openxmlformats-officedocument.wordprocessingml.footer+xml"/>
  <Override PartName="/word/footer13.xml" ContentType="application/vnd.openxmlformats-officedocument.wordprocessingml.footer+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footer14.xml" ContentType="application/vnd.openxmlformats-officedocument.wordprocessingml.footer+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footer15.xml" ContentType="application/vnd.openxmlformats-officedocument.wordprocessingml.footer+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charts/chart19.xml" ContentType="application/vnd.openxmlformats-officedocument.drawingml.chart+xml"/>
  <Override PartName="/word/charts/style19.xml" ContentType="application/vnd.ms-office.chartstyle+xml"/>
  <Override PartName="/word/charts/colors19.xml" ContentType="application/vnd.ms-office.chartcolorstyle+xml"/>
  <Override PartName="/word/charts/chart20.xml" ContentType="application/vnd.openxmlformats-officedocument.drawingml.chart+xml"/>
  <Override PartName="/word/charts/style20.xml" ContentType="application/vnd.ms-office.chartstyle+xml"/>
  <Override PartName="/word/charts/colors20.xml" ContentType="application/vnd.ms-office.chartcolorstyle+xml"/>
  <Override PartName="/word/charts/chart21.xml" ContentType="application/vnd.openxmlformats-officedocument.drawingml.chart+xml"/>
  <Override PartName="/word/charts/style21.xml" ContentType="application/vnd.ms-office.chartstyle+xml"/>
  <Override PartName="/word/charts/colors21.xml" ContentType="application/vnd.ms-office.chartcolorstyle+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footer32.xml" ContentType="application/vnd.openxmlformats-officedocument.wordprocessingml.footer+xml"/>
  <Override PartName="/word/footer33.xml" ContentType="application/vnd.openxmlformats-officedocument.wordprocessingml.footer+xml"/>
  <Override PartName="/word/footer34.xml" ContentType="application/vnd.openxmlformats-officedocument.wordprocessingml.footer+xml"/>
  <Override PartName="/word/footer35.xml" ContentType="application/vnd.openxmlformats-officedocument.wordprocessingml.footer+xml"/>
  <Override PartName="/word/footer36.xml" ContentType="application/vnd.openxmlformats-officedocument.wordprocessingml.footer+xml"/>
  <Override PartName="/word/footer37.xml" ContentType="application/vnd.openxmlformats-officedocument.wordprocessingml.footer+xml"/>
  <Override PartName="/word/footer38.xml" ContentType="application/vnd.openxmlformats-officedocument.wordprocessingml.footer+xml"/>
  <Override PartName="/word/footer3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C07AD07" w14:textId="77777777" w:rsidR="00EA7458" w:rsidRPr="00EA7458" w:rsidRDefault="00EA7458" w:rsidP="00EA7458">
      <w:pPr>
        <w:widowControl w:val="0"/>
        <w:spacing w:before="11" w:after="0" w:line="240" w:lineRule="auto"/>
        <w:rPr>
          <w:rFonts w:ascii="Times New Roman" w:hAnsi="Times New Roman"/>
          <w:sz w:val="13"/>
          <w:szCs w:val="13"/>
        </w:rPr>
      </w:pPr>
      <w:bookmarkStart w:id="0" w:name="_GoBack"/>
      <w:bookmarkEnd w:id="0"/>
    </w:p>
    <w:p w14:paraId="2D85C142" w14:textId="77777777" w:rsidR="00EA7458" w:rsidRPr="00EA7458" w:rsidRDefault="00EA7458" w:rsidP="00EA7458">
      <w:pPr>
        <w:widowControl w:val="0"/>
        <w:spacing w:after="0" w:line="2849" w:lineRule="exact"/>
        <w:ind w:left="108"/>
        <w:jc w:val="center"/>
        <w:rPr>
          <w:rFonts w:ascii="Calibri" w:hAnsi="Calibri"/>
          <w:sz w:val="40"/>
          <w:szCs w:val="40"/>
        </w:rPr>
      </w:pPr>
      <w:r w:rsidRPr="00EA7458">
        <w:rPr>
          <w:rFonts w:ascii="Calibri" w:hAnsi="Calibri"/>
          <w:sz w:val="40"/>
          <w:szCs w:val="40"/>
        </w:rPr>
        <w:t>STATE OF FLORIDA</w:t>
      </w:r>
    </w:p>
    <w:p w14:paraId="7F53C109" w14:textId="77777777" w:rsidR="00EA7458" w:rsidRPr="00EA7458" w:rsidRDefault="00EA7458" w:rsidP="00D63204">
      <w:pPr>
        <w:widowControl w:val="0"/>
        <w:spacing w:after="0" w:line="240" w:lineRule="auto"/>
        <w:jc w:val="center"/>
        <w:rPr>
          <w:rFonts w:ascii="Times New Roman" w:hAnsi="Times New Roman"/>
          <w:sz w:val="20"/>
          <w:szCs w:val="20"/>
        </w:rPr>
      </w:pPr>
    </w:p>
    <w:p w14:paraId="4B218216" w14:textId="77777777" w:rsidR="00EA7458" w:rsidRPr="00EA7458" w:rsidRDefault="00EA7458" w:rsidP="00D63204">
      <w:pPr>
        <w:widowControl w:val="0"/>
        <w:spacing w:before="7" w:after="0" w:line="240" w:lineRule="auto"/>
        <w:jc w:val="center"/>
        <w:rPr>
          <w:rFonts w:ascii="Times New Roman" w:hAnsi="Times New Roman"/>
          <w:sz w:val="21"/>
          <w:szCs w:val="21"/>
        </w:rPr>
      </w:pPr>
    </w:p>
    <w:p w14:paraId="5F885DBB" w14:textId="77777777" w:rsidR="00EA7458" w:rsidRPr="00EA7458" w:rsidRDefault="00EA7458" w:rsidP="00EA7458">
      <w:pPr>
        <w:widowControl w:val="0"/>
        <w:spacing w:before="28" w:after="0" w:line="240" w:lineRule="auto"/>
        <w:ind w:left="468" w:right="468"/>
        <w:jc w:val="center"/>
        <w:rPr>
          <w:rFonts w:ascii="Calibri" w:hAnsi="Calibri" w:cs="Calibri"/>
          <w:sz w:val="40"/>
          <w:szCs w:val="40"/>
        </w:rPr>
      </w:pPr>
      <w:r w:rsidRPr="00EA7458">
        <w:rPr>
          <w:rFonts w:ascii="Calibri" w:hAnsi="Calibri"/>
          <w:color w:val="404040"/>
          <w:w w:val="110"/>
          <w:sz w:val="40"/>
        </w:rPr>
        <w:t xml:space="preserve">WORKFORCE </w:t>
      </w:r>
      <w:r w:rsidRPr="00EA7458">
        <w:rPr>
          <w:rFonts w:ascii="Calibri" w:hAnsi="Calibri"/>
          <w:color w:val="404040"/>
          <w:spacing w:val="-3"/>
          <w:w w:val="110"/>
          <w:sz w:val="40"/>
        </w:rPr>
        <w:t xml:space="preserve">INNOVATION </w:t>
      </w:r>
      <w:r w:rsidRPr="00EA7458">
        <w:rPr>
          <w:rFonts w:ascii="Calibri" w:hAnsi="Calibri"/>
          <w:color w:val="404040"/>
          <w:spacing w:val="3"/>
          <w:w w:val="110"/>
          <w:sz w:val="40"/>
        </w:rPr>
        <w:t xml:space="preserve">AND OPPORTUNITY </w:t>
      </w:r>
      <w:r w:rsidRPr="00EA7458">
        <w:rPr>
          <w:rFonts w:ascii="Calibri" w:hAnsi="Calibri"/>
          <w:color w:val="404040"/>
          <w:w w:val="110"/>
          <w:sz w:val="40"/>
        </w:rPr>
        <w:t>ACT</w:t>
      </w:r>
    </w:p>
    <w:p w14:paraId="0D80C3AD" w14:textId="77777777" w:rsidR="00EA7458" w:rsidRPr="00EA7458" w:rsidRDefault="00EA7458" w:rsidP="00EA7458">
      <w:pPr>
        <w:widowControl w:val="0"/>
        <w:spacing w:before="81" w:after="0" w:line="240" w:lineRule="auto"/>
        <w:ind w:left="468" w:right="468"/>
        <w:jc w:val="center"/>
        <w:rPr>
          <w:rFonts w:ascii="Calibri" w:hAnsi="Calibri" w:cs="Calibri"/>
          <w:sz w:val="40"/>
          <w:szCs w:val="40"/>
        </w:rPr>
      </w:pPr>
      <w:r w:rsidRPr="00EA7458">
        <w:rPr>
          <w:rFonts w:ascii="Calibri" w:hAnsi="Calibri"/>
          <w:b/>
          <w:color w:val="404040"/>
          <w:spacing w:val="8"/>
          <w:w w:val="115"/>
          <w:sz w:val="40"/>
        </w:rPr>
        <w:t>UNIFIED</w:t>
      </w:r>
      <w:r w:rsidRPr="00EA7458">
        <w:rPr>
          <w:rFonts w:ascii="Calibri" w:hAnsi="Calibri"/>
          <w:b/>
          <w:color w:val="404040"/>
          <w:spacing w:val="-25"/>
          <w:w w:val="115"/>
          <w:sz w:val="40"/>
        </w:rPr>
        <w:t xml:space="preserve"> </w:t>
      </w:r>
      <w:r w:rsidRPr="00EA7458">
        <w:rPr>
          <w:rFonts w:ascii="Calibri" w:hAnsi="Calibri"/>
          <w:b/>
          <w:color w:val="404040"/>
          <w:spacing w:val="7"/>
          <w:w w:val="115"/>
          <w:sz w:val="40"/>
        </w:rPr>
        <w:t>PLAN</w:t>
      </w:r>
      <w:r w:rsidR="008670CF">
        <w:rPr>
          <w:rFonts w:ascii="Calibri" w:hAnsi="Calibri"/>
          <w:b/>
          <w:color w:val="404040"/>
          <w:spacing w:val="7"/>
          <w:w w:val="115"/>
          <w:sz w:val="40"/>
        </w:rPr>
        <w:br/>
      </w:r>
      <w:r w:rsidR="008670CF">
        <w:rPr>
          <w:rFonts w:ascii="Calibri" w:hAnsi="Calibri"/>
          <w:b/>
          <w:color w:val="404040"/>
          <w:spacing w:val="7"/>
          <w:w w:val="115"/>
          <w:sz w:val="40"/>
        </w:rPr>
        <w:br/>
        <w:t>TWO-YEAR MODIFICATION</w:t>
      </w:r>
    </w:p>
    <w:p w14:paraId="1FDF772D" w14:textId="77777777" w:rsidR="00EA7458" w:rsidRPr="00EA7458" w:rsidRDefault="00EA7458" w:rsidP="00EA7458">
      <w:pPr>
        <w:widowControl w:val="0"/>
        <w:spacing w:after="0" w:line="240" w:lineRule="auto"/>
        <w:jc w:val="center"/>
        <w:rPr>
          <w:rFonts w:ascii="Calibri" w:hAnsi="Calibri" w:cs="Calibri"/>
          <w:b/>
          <w:bCs/>
          <w:sz w:val="20"/>
          <w:szCs w:val="20"/>
        </w:rPr>
      </w:pPr>
    </w:p>
    <w:p w14:paraId="5AEBBD15" w14:textId="77777777" w:rsidR="00EA7458" w:rsidRPr="00EA7458" w:rsidRDefault="00EA7458" w:rsidP="00EA7458">
      <w:pPr>
        <w:widowControl w:val="0"/>
        <w:spacing w:before="4" w:after="0" w:line="240" w:lineRule="auto"/>
        <w:jc w:val="center"/>
        <w:rPr>
          <w:rFonts w:ascii="Calibri" w:hAnsi="Calibri" w:cs="Calibri"/>
          <w:b/>
          <w:bCs/>
          <w:sz w:val="12"/>
          <w:szCs w:val="12"/>
        </w:rPr>
      </w:pPr>
    </w:p>
    <w:p w14:paraId="20C1B043" w14:textId="7A4D1C44" w:rsidR="00EA7458" w:rsidRPr="00EA7458" w:rsidRDefault="00016A1A" w:rsidP="00EA7458">
      <w:pPr>
        <w:widowControl w:val="0"/>
        <w:spacing w:before="4" w:after="0" w:line="240" w:lineRule="auto"/>
        <w:jc w:val="center"/>
        <w:rPr>
          <w:rFonts w:ascii="Calibri" w:hAnsi="Calibri" w:cs="Calibri"/>
          <w:bCs/>
          <w:sz w:val="36"/>
          <w:szCs w:val="36"/>
        </w:rPr>
      </w:pPr>
      <w:r>
        <w:rPr>
          <w:rFonts w:ascii="Calibri" w:hAnsi="Calibri" w:cs="Calibri"/>
          <w:bCs/>
          <w:sz w:val="36"/>
          <w:szCs w:val="36"/>
        </w:rPr>
        <w:t>July 1, 201</w:t>
      </w:r>
      <w:r w:rsidR="00C061E8">
        <w:rPr>
          <w:rFonts w:ascii="Calibri" w:hAnsi="Calibri" w:cs="Calibri"/>
          <w:bCs/>
          <w:sz w:val="36"/>
          <w:szCs w:val="36"/>
        </w:rPr>
        <w:t>8</w:t>
      </w:r>
      <w:r>
        <w:rPr>
          <w:rFonts w:ascii="Calibri" w:hAnsi="Calibri" w:cs="Calibri"/>
          <w:bCs/>
          <w:sz w:val="36"/>
          <w:szCs w:val="36"/>
        </w:rPr>
        <w:t xml:space="preserve"> – June 30, 2020</w:t>
      </w:r>
    </w:p>
    <w:p w14:paraId="4193C7D1" w14:textId="77777777" w:rsidR="00EA7458" w:rsidRPr="00EA7458" w:rsidRDefault="00EA7458" w:rsidP="00EA7458">
      <w:pPr>
        <w:widowControl w:val="0"/>
        <w:spacing w:after="0" w:line="5411" w:lineRule="exact"/>
        <w:ind w:left="108"/>
        <w:rPr>
          <w:rFonts w:ascii="Calibri" w:hAnsi="Calibri" w:cs="Calibri"/>
          <w:sz w:val="20"/>
          <w:szCs w:val="20"/>
        </w:rPr>
      </w:pPr>
    </w:p>
    <w:p w14:paraId="5D656FB8" w14:textId="77777777" w:rsidR="00EA7458" w:rsidRPr="00EA7458" w:rsidRDefault="00EA7458" w:rsidP="00EA7458">
      <w:pPr>
        <w:widowControl w:val="0"/>
        <w:spacing w:after="0" w:line="240" w:lineRule="auto"/>
        <w:rPr>
          <w:rFonts w:ascii="Calibri" w:hAnsi="Calibri" w:cs="Calibri"/>
          <w:b/>
          <w:bCs/>
          <w:sz w:val="20"/>
          <w:szCs w:val="20"/>
        </w:rPr>
      </w:pPr>
    </w:p>
    <w:p w14:paraId="177BDB09" w14:textId="77777777" w:rsidR="00EA7458" w:rsidRPr="00EA7458" w:rsidRDefault="00EA7458" w:rsidP="00EA7458">
      <w:pPr>
        <w:widowControl w:val="0"/>
        <w:spacing w:after="0" w:line="240" w:lineRule="auto"/>
        <w:rPr>
          <w:rFonts w:ascii="Calibri" w:hAnsi="Calibri" w:cs="Calibri"/>
          <w:b/>
          <w:bCs/>
          <w:sz w:val="20"/>
          <w:szCs w:val="20"/>
        </w:rPr>
      </w:pPr>
    </w:p>
    <w:p w14:paraId="058E9F0C" w14:textId="77777777" w:rsidR="00EA7458" w:rsidRPr="00EA7458" w:rsidRDefault="00EA7458" w:rsidP="00EA7458">
      <w:pPr>
        <w:widowControl w:val="0"/>
        <w:spacing w:after="0" w:line="240" w:lineRule="auto"/>
        <w:rPr>
          <w:rFonts w:ascii="Calibri" w:hAnsi="Calibri" w:cs="Calibri"/>
          <w:b/>
          <w:bCs/>
          <w:sz w:val="20"/>
          <w:szCs w:val="20"/>
        </w:rPr>
      </w:pPr>
    </w:p>
    <w:p w14:paraId="4B783A5E" w14:textId="77777777" w:rsidR="00EA7458" w:rsidRPr="00EA7458" w:rsidRDefault="00EA7458" w:rsidP="00EA7458">
      <w:pPr>
        <w:widowControl w:val="0"/>
        <w:spacing w:after="0" w:line="240" w:lineRule="auto"/>
        <w:rPr>
          <w:rFonts w:ascii="Calibri" w:hAnsi="Calibri" w:cs="Calibri"/>
          <w:b/>
          <w:bCs/>
          <w:sz w:val="20"/>
          <w:szCs w:val="20"/>
        </w:rPr>
      </w:pPr>
    </w:p>
    <w:p w14:paraId="5E640C07" w14:textId="77777777" w:rsidR="00EA7458" w:rsidRPr="00EA7458" w:rsidRDefault="00EA7458" w:rsidP="00EA7458">
      <w:pPr>
        <w:widowControl w:val="0"/>
        <w:spacing w:before="7" w:after="0" w:line="240" w:lineRule="auto"/>
        <w:rPr>
          <w:rFonts w:ascii="Calibri" w:hAnsi="Calibri" w:cs="Calibri"/>
          <w:b/>
          <w:bCs/>
          <w:sz w:val="15"/>
          <w:szCs w:val="15"/>
        </w:rPr>
      </w:pPr>
    </w:p>
    <w:p w14:paraId="3F2E4741" w14:textId="093BA7CD" w:rsidR="00EA7458" w:rsidRPr="00EA7458" w:rsidRDefault="007C4EF4" w:rsidP="00EA7458">
      <w:pPr>
        <w:widowControl w:val="0"/>
        <w:tabs>
          <w:tab w:val="left" w:pos="4076"/>
          <w:tab w:val="left" w:pos="8040"/>
        </w:tabs>
        <w:spacing w:after="0" w:line="1008" w:lineRule="exact"/>
        <w:ind w:left="550"/>
        <w:rPr>
          <w:rFonts w:ascii="Calibri" w:hAnsi="Calibri" w:cs="Calibri"/>
          <w:sz w:val="20"/>
          <w:szCs w:val="20"/>
        </w:rPr>
      </w:pPr>
      <w:r w:rsidRPr="007C4EF4">
        <w:rPr>
          <w:rFonts w:ascii="Calibri" w:hAnsi="Calibri"/>
          <w:noProof/>
          <w:position w:val="-17"/>
          <w:sz w:val="20"/>
        </w:rPr>
        <w:drawing>
          <wp:inline distT="0" distB="0" distL="0" distR="0" wp14:anchorId="19C81DC9" wp14:editId="5065CB13">
            <wp:extent cx="1737356" cy="637634"/>
            <wp:effectExtent l="0" t="0" r="0" b="0"/>
            <wp:docPr id="1"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8.png" descr="CareerSource Florida logo" title="CareerSource Florida logo"/>
                    <pic:cNvPicPr>
                      <a:picLocks noChangeAspect="1" noChangeArrowheads="1"/>
                    </pic:cNvPicPr>
                  </pic:nvPicPr>
                  <pic:blipFill>
                    <a:blip r:embed="rId11"/>
                    <a:stretch>
                      <a:fillRect/>
                    </a:stretch>
                  </pic:blipFill>
                  <pic:spPr bwMode="auto">
                    <a:xfrm>
                      <a:off x="0" y="0"/>
                      <a:ext cx="1737356" cy="637634"/>
                    </a:xfrm>
                    <a:prstGeom prst="rect">
                      <a:avLst/>
                    </a:prstGeom>
                    <a:noFill/>
                    <a:ln>
                      <a:noFill/>
                    </a:ln>
                  </pic:spPr>
                </pic:pic>
              </a:graphicData>
            </a:graphic>
          </wp:inline>
        </w:drawing>
      </w:r>
      <w:r w:rsidR="00EA7458" w:rsidRPr="00EA7458">
        <w:rPr>
          <w:rFonts w:ascii="Calibri" w:hAnsi="Calibri"/>
          <w:position w:val="-17"/>
          <w:sz w:val="20"/>
        </w:rPr>
        <w:tab/>
      </w:r>
      <w:r w:rsidRPr="007C4EF4">
        <w:rPr>
          <w:rFonts w:ascii="Calibri" w:hAnsi="Calibri"/>
          <w:noProof/>
          <w:position w:val="-7"/>
          <w:sz w:val="20"/>
        </w:rPr>
        <w:drawing>
          <wp:inline distT="0" distB="0" distL="0" distR="0" wp14:anchorId="73452A19" wp14:editId="3F6D03AF">
            <wp:extent cx="1917066" cy="546100"/>
            <wp:effectExtent l="0" t="0" r="0" b="0"/>
            <wp:docPr id="2" name="image9.png" descr="Florida Department of Education logo" title="Florida Department of Education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9.png" descr="Florida Department of Education logo" title="Florida Department of Education logo"/>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917065" cy="546100"/>
                    </a:xfrm>
                    <a:prstGeom prst="rect">
                      <a:avLst/>
                    </a:prstGeom>
                    <a:noFill/>
                    <a:ln>
                      <a:noFill/>
                    </a:ln>
                  </pic:spPr>
                </pic:pic>
              </a:graphicData>
            </a:graphic>
          </wp:inline>
        </w:drawing>
      </w:r>
      <w:r w:rsidR="00EA7458" w:rsidRPr="00EA7458">
        <w:rPr>
          <w:rFonts w:ascii="Calibri" w:hAnsi="Calibri"/>
          <w:position w:val="-7"/>
          <w:sz w:val="20"/>
        </w:rPr>
        <w:tab/>
      </w:r>
      <w:r w:rsidR="00924AC3">
        <w:rPr>
          <w:noProof/>
        </w:rPr>
        <mc:AlternateContent>
          <mc:Choice Requires="wpg">
            <w:drawing>
              <wp:inline distT="0" distB="0" distL="0" distR="0" wp14:anchorId="54331B21" wp14:editId="453E7C84">
                <wp:extent cx="1077595" cy="640715"/>
                <wp:effectExtent l="0" t="0" r="8255" b="6985"/>
                <wp:docPr id="230" name="Group 153" descr="Department of Economic Opportunity logo"/>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77595" cy="640715"/>
                          <a:chOff x="0" y="0"/>
                          <a:chExt cx="1697" cy="1009"/>
                        </a:xfrm>
                      </wpg:grpSpPr>
                      <pic:pic xmlns:pic="http://schemas.openxmlformats.org/drawingml/2006/picture">
                        <pic:nvPicPr>
                          <pic:cNvPr id="231" name="Picture 9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4" y="763"/>
                            <a:ext cx="1690" cy="1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232" name="Group 94"/>
                        <wpg:cNvGrpSpPr>
                          <a:grpSpLocks/>
                        </wpg:cNvGrpSpPr>
                        <wpg:grpSpPr bwMode="auto">
                          <a:xfrm>
                            <a:off x="2" y="708"/>
                            <a:ext cx="1141" cy="2"/>
                            <a:chOff x="2" y="708"/>
                            <a:chExt cx="1141" cy="2"/>
                          </a:xfrm>
                        </wpg:grpSpPr>
                        <wps:wsp>
                          <wps:cNvPr id="233" name="Freeform 95"/>
                          <wps:cNvSpPr>
                            <a:spLocks/>
                          </wps:cNvSpPr>
                          <wps:spPr bwMode="auto">
                            <a:xfrm>
                              <a:off x="2" y="708"/>
                              <a:ext cx="1141" cy="2"/>
                            </a:xfrm>
                            <a:custGeom>
                              <a:avLst/>
                              <a:gdLst>
                                <a:gd name="T0" fmla="*/ 0 w 1141"/>
                                <a:gd name="T1" fmla="*/ 0 h 2"/>
                                <a:gd name="T2" fmla="*/ 1141 w 1141"/>
                                <a:gd name="T3" fmla="*/ 0 h 2"/>
                                <a:gd name="T4" fmla="*/ 0 60000 65536"/>
                                <a:gd name="T5" fmla="*/ 0 60000 65536"/>
                              </a:gdLst>
                              <a:ahLst/>
                              <a:cxnLst>
                                <a:cxn ang="T4">
                                  <a:pos x="T0" y="T1"/>
                                </a:cxn>
                                <a:cxn ang="T5">
                                  <a:pos x="T2" y="T3"/>
                                </a:cxn>
                              </a:cxnLst>
                              <a:rect l="0" t="0" r="r" b="b"/>
                              <a:pathLst>
                                <a:path w="1141" h="2">
                                  <a:moveTo>
                                    <a:pt x="0" y="0"/>
                                  </a:moveTo>
                                  <a:lnTo>
                                    <a:pt x="1141" y="0"/>
                                  </a:lnTo>
                                </a:path>
                              </a:pathLst>
                            </a:custGeom>
                            <a:noFill/>
                            <a:ln w="2794">
                              <a:solidFill>
                                <a:srgbClr val="9ACA3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34" name="Group 96"/>
                        <wpg:cNvGrpSpPr>
                          <a:grpSpLocks/>
                        </wpg:cNvGrpSpPr>
                        <wpg:grpSpPr bwMode="auto">
                          <a:xfrm>
                            <a:off x="1551" y="708"/>
                            <a:ext cx="144" cy="2"/>
                            <a:chOff x="1551" y="708"/>
                            <a:chExt cx="144" cy="2"/>
                          </a:xfrm>
                        </wpg:grpSpPr>
                        <wps:wsp>
                          <wps:cNvPr id="235" name="Freeform 97"/>
                          <wps:cNvSpPr>
                            <a:spLocks/>
                          </wps:cNvSpPr>
                          <wps:spPr bwMode="auto">
                            <a:xfrm>
                              <a:off x="1551" y="708"/>
                              <a:ext cx="144" cy="2"/>
                            </a:xfrm>
                            <a:custGeom>
                              <a:avLst/>
                              <a:gdLst>
                                <a:gd name="T0" fmla="*/ 0 w 144"/>
                                <a:gd name="T1" fmla="*/ 0 h 2"/>
                                <a:gd name="T2" fmla="*/ 143 w 144"/>
                                <a:gd name="T3" fmla="*/ 0 h 2"/>
                                <a:gd name="T4" fmla="*/ 0 60000 65536"/>
                                <a:gd name="T5" fmla="*/ 0 60000 65536"/>
                              </a:gdLst>
                              <a:ahLst/>
                              <a:cxnLst>
                                <a:cxn ang="T4">
                                  <a:pos x="T0" y="T1"/>
                                </a:cxn>
                                <a:cxn ang="T5">
                                  <a:pos x="T2" y="T3"/>
                                </a:cxn>
                              </a:cxnLst>
                              <a:rect l="0" t="0" r="r" b="b"/>
                              <a:pathLst>
                                <a:path w="144" h="2">
                                  <a:moveTo>
                                    <a:pt x="0" y="0"/>
                                  </a:moveTo>
                                  <a:lnTo>
                                    <a:pt x="143" y="0"/>
                                  </a:lnTo>
                                </a:path>
                              </a:pathLst>
                            </a:custGeom>
                            <a:noFill/>
                            <a:ln w="2794">
                              <a:solidFill>
                                <a:srgbClr val="9ACA3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36" name="Group 98"/>
                        <wpg:cNvGrpSpPr>
                          <a:grpSpLocks/>
                        </wpg:cNvGrpSpPr>
                        <wpg:grpSpPr bwMode="auto">
                          <a:xfrm>
                            <a:off x="4" y="1006"/>
                            <a:ext cx="1690" cy="2"/>
                            <a:chOff x="4" y="1006"/>
                            <a:chExt cx="1690" cy="2"/>
                          </a:xfrm>
                        </wpg:grpSpPr>
                        <wps:wsp>
                          <wps:cNvPr id="237" name="Freeform 99"/>
                          <wps:cNvSpPr>
                            <a:spLocks/>
                          </wps:cNvSpPr>
                          <wps:spPr bwMode="auto">
                            <a:xfrm>
                              <a:off x="4" y="1006"/>
                              <a:ext cx="1690" cy="2"/>
                            </a:xfrm>
                            <a:custGeom>
                              <a:avLst/>
                              <a:gdLst>
                                <a:gd name="T0" fmla="*/ 0 w 1690"/>
                                <a:gd name="T1" fmla="*/ 0 h 2"/>
                                <a:gd name="T2" fmla="*/ 1690 w 1690"/>
                                <a:gd name="T3" fmla="*/ 0 h 2"/>
                                <a:gd name="T4" fmla="*/ 0 60000 65536"/>
                                <a:gd name="T5" fmla="*/ 0 60000 65536"/>
                              </a:gdLst>
                              <a:ahLst/>
                              <a:cxnLst>
                                <a:cxn ang="T4">
                                  <a:pos x="T0" y="T1"/>
                                </a:cxn>
                                <a:cxn ang="T5">
                                  <a:pos x="T2" y="T3"/>
                                </a:cxn>
                              </a:cxnLst>
                              <a:rect l="0" t="0" r="r" b="b"/>
                              <a:pathLst>
                                <a:path w="1690" h="2">
                                  <a:moveTo>
                                    <a:pt x="0" y="0"/>
                                  </a:moveTo>
                                  <a:lnTo>
                                    <a:pt x="1690" y="0"/>
                                  </a:lnTo>
                                </a:path>
                              </a:pathLst>
                            </a:custGeom>
                            <a:noFill/>
                            <a:ln w="2807">
                              <a:solidFill>
                                <a:srgbClr val="9ACA3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38" name="Group 100"/>
                        <wpg:cNvGrpSpPr>
                          <a:grpSpLocks/>
                        </wpg:cNvGrpSpPr>
                        <wpg:grpSpPr bwMode="auto">
                          <a:xfrm>
                            <a:off x="570" y="71"/>
                            <a:ext cx="480" cy="548"/>
                            <a:chOff x="570" y="71"/>
                            <a:chExt cx="480" cy="548"/>
                          </a:xfrm>
                        </wpg:grpSpPr>
                        <wps:wsp>
                          <wps:cNvPr id="239" name="Freeform 101"/>
                          <wps:cNvSpPr>
                            <a:spLocks/>
                          </wps:cNvSpPr>
                          <wps:spPr bwMode="auto">
                            <a:xfrm>
                              <a:off x="570" y="71"/>
                              <a:ext cx="480" cy="548"/>
                            </a:xfrm>
                            <a:custGeom>
                              <a:avLst/>
                              <a:gdLst>
                                <a:gd name="T0" fmla="*/ 479 w 480"/>
                                <a:gd name="T1" fmla="*/ 71 h 548"/>
                                <a:gd name="T2" fmla="*/ 0 w 480"/>
                                <a:gd name="T3" fmla="*/ 71 h 548"/>
                                <a:gd name="T4" fmla="*/ 0 w 480"/>
                                <a:gd name="T5" fmla="*/ 619 h 548"/>
                                <a:gd name="T6" fmla="*/ 477 w 480"/>
                                <a:gd name="T7" fmla="*/ 619 h 548"/>
                                <a:gd name="T8" fmla="*/ 447 w 480"/>
                                <a:gd name="T9" fmla="*/ 583 h 548"/>
                                <a:gd name="T10" fmla="*/ 436 w 480"/>
                                <a:gd name="T11" fmla="*/ 567 h 548"/>
                                <a:gd name="T12" fmla="*/ 425 w 480"/>
                                <a:gd name="T13" fmla="*/ 550 h 548"/>
                                <a:gd name="T14" fmla="*/ 415 w 480"/>
                                <a:gd name="T15" fmla="*/ 533 h 548"/>
                                <a:gd name="T16" fmla="*/ 406 w 480"/>
                                <a:gd name="T17" fmla="*/ 515 h 548"/>
                                <a:gd name="T18" fmla="*/ 401 w 480"/>
                                <a:gd name="T19" fmla="*/ 505 h 548"/>
                                <a:gd name="T20" fmla="*/ 120 w 480"/>
                                <a:gd name="T21" fmla="*/ 505 h 548"/>
                                <a:gd name="T22" fmla="*/ 120 w 480"/>
                                <a:gd name="T23" fmla="*/ 403 h 548"/>
                                <a:gd name="T24" fmla="*/ 374 w 480"/>
                                <a:gd name="T25" fmla="*/ 403 h 548"/>
                                <a:gd name="T26" fmla="*/ 371 w 480"/>
                                <a:gd name="T27" fmla="*/ 371 h 548"/>
                                <a:gd name="T28" fmla="*/ 371 w 480"/>
                                <a:gd name="T29" fmla="*/ 358 h 548"/>
                                <a:gd name="T30" fmla="*/ 371 w 480"/>
                                <a:gd name="T31" fmla="*/ 333 h 548"/>
                                <a:gd name="T32" fmla="*/ 371 w 480"/>
                                <a:gd name="T33" fmla="*/ 320 h 548"/>
                                <a:gd name="T34" fmla="*/ 374 w 480"/>
                                <a:gd name="T35" fmla="*/ 289 h 548"/>
                                <a:gd name="T36" fmla="*/ 120 w 480"/>
                                <a:gd name="T37" fmla="*/ 289 h 548"/>
                                <a:gd name="T38" fmla="*/ 120 w 480"/>
                                <a:gd name="T39" fmla="*/ 185 h 548"/>
                                <a:gd name="T40" fmla="*/ 402 w 480"/>
                                <a:gd name="T41" fmla="*/ 185 h 548"/>
                                <a:gd name="T42" fmla="*/ 411 w 480"/>
                                <a:gd name="T43" fmla="*/ 166 h 548"/>
                                <a:gd name="T44" fmla="*/ 421 w 480"/>
                                <a:gd name="T45" fmla="*/ 148 h 548"/>
                                <a:gd name="T46" fmla="*/ 432 w 480"/>
                                <a:gd name="T47" fmla="*/ 131 h 548"/>
                                <a:gd name="T48" fmla="*/ 443 w 480"/>
                                <a:gd name="T49" fmla="*/ 115 h 548"/>
                                <a:gd name="T50" fmla="*/ 456 w 480"/>
                                <a:gd name="T51" fmla="*/ 99 h 548"/>
                                <a:gd name="T52" fmla="*/ 479 w 480"/>
                                <a:gd name="T53" fmla="*/ 71 h 548"/>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Lst>
                              <a:ahLst/>
                              <a:cxnLst>
                                <a:cxn ang="T54">
                                  <a:pos x="T0" y="T1"/>
                                </a:cxn>
                                <a:cxn ang="T55">
                                  <a:pos x="T2" y="T3"/>
                                </a:cxn>
                                <a:cxn ang="T56">
                                  <a:pos x="T4" y="T5"/>
                                </a:cxn>
                                <a:cxn ang="T57">
                                  <a:pos x="T6" y="T7"/>
                                </a:cxn>
                                <a:cxn ang="T58">
                                  <a:pos x="T8" y="T9"/>
                                </a:cxn>
                                <a:cxn ang="T59">
                                  <a:pos x="T10" y="T11"/>
                                </a:cxn>
                                <a:cxn ang="T60">
                                  <a:pos x="T12" y="T13"/>
                                </a:cxn>
                                <a:cxn ang="T61">
                                  <a:pos x="T14" y="T15"/>
                                </a:cxn>
                                <a:cxn ang="T62">
                                  <a:pos x="T16" y="T17"/>
                                </a:cxn>
                                <a:cxn ang="T63">
                                  <a:pos x="T18" y="T19"/>
                                </a:cxn>
                                <a:cxn ang="T64">
                                  <a:pos x="T20" y="T21"/>
                                </a:cxn>
                                <a:cxn ang="T65">
                                  <a:pos x="T22" y="T23"/>
                                </a:cxn>
                                <a:cxn ang="T66">
                                  <a:pos x="T24" y="T25"/>
                                </a:cxn>
                                <a:cxn ang="T67">
                                  <a:pos x="T26" y="T27"/>
                                </a:cxn>
                                <a:cxn ang="T68">
                                  <a:pos x="T28" y="T29"/>
                                </a:cxn>
                                <a:cxn ang="T69">
                                  <a:pos x="T30" y="T31"/>
                                </a:cxn>
                                <a:cxn ang="T70">
                                  <a:pos x="T32" y="T33"/>
                                </a:cxn>
                                <a:cxn ang="T71">
                                  <a:pos x="T34" y="T35"/>
                                </a:cxn>
                                <a:cxn ang="T72">
                                  <a:pos x="T36" y="T37"/>
                                </a:cxn>
                                <a:cxn ang="T73">
                                  <a:pos x="T38" y="T39"/>
                                </a:cxn>
                                <a:cxn ang="T74">
                                  <a:pos x="T40" y="T41"/>
                                </a:cxn>
                                <a:cxn ang="T75">
                                  <a:pos x="T42" y="T43"/>
                                </a:cxn>
                                <a:cxn ang="T76">
                                  <a:pos x="T44" y="T45"/>
                                </a:cxn>
                                <a:cxn ang="T77">
                                  <a:pos x="T46" y="T47"/>
                                </a:cxn>
                                <a:cxn ang="T78">
                                  <a:pos x="T48" y="T49"/>
                                </a:cxn>
                                <a:cxn ang="T79">
                                  <a:pos x="T50" y="T51"/>
                                </a:cxn>
                                <a:cxn ang="T80">
                                  <a:pos x="T52" y="T53"/>
                                </a:cxn>
                              </a:cxnLst>
                              <a:rect l="0" t="0" r="r" b="b"/>
                              <a:pathLst>
                                <a:path w="480" h="548">
                                  <a:moveTo>
                                    <a:pt x="479" y="0"/>
                                  </a:moveTo>
                                  <a:lnTo>
                                    <a:pt x="0" y="0"/>
                                  </a:lnTo>
                                  <a:lnTo>
                                    <a:pt x="0" y="548"/>
                                  </a:lnTo>
                                  <a:lnTo>
                                    <a:pt x="477" y="548"/>
                                  </a:lnTo>
                                  <a:lnTo>
                                    <a:pt x="447" y="512"/>
                                  </a:lnTo>
                                  <a:lnTo>
                                    <a:pt x="436" y="496"/>
                                  </a:lnTo>
                                  <a:lnTo>
                                    <a:pt x="425" y="479"/>
                                  </a:lnTo>
                                  <a:lnTo>
                                    <a:pt x="415" y="462"/>
                                  </a:lnTo>
                                  <a:lnTo>
                                    <a:pt x="406" y="444"/>
                                  </a:lnTo>
                                  <a:lnTo>
                                    <a:pt x="401" y="434"/>
                                  </a:lnTo>
                                  <a:lnTo>
                                    <a:pt x="120" y="434"/>
                                  </a:lnTo>
                                  <a:lnTo>
                                    <a:pt x="120" y="332"/>
                                  </a:lnTo>
                                  <a:lnTo>
                                    <a:pt x="374" y="332"/>
                                  </a:lnTo>
                                  <a:lnTo>
                                    <a:pt x="371" y="300"/>
                                  </a:lnTo>
                                  <a:lnTo>
                                    <a:pt x="371" y="287"/>
                                  </a:lnTo>
                                  <a:lnTo>
                                    <a:pt x="371" y="262"/>
                                  </a:lnTo>
                                  <a:lnTo>
                                    <a:pt x="371" y="249"/>
                                  </a:lnTo>
                                  <a:lnTo>
                                    <a:pt x="374" y="218"/>
                                  </a:lnTo>
                                  <a:lnTo>
                                    <a:pt x="120" y="218"/>
                                  </a:lnTo>
                                  <a:lnTo>
                                    <a:pt x="120" y="114"/>
                                  </a:lnTo>
                                  <a:lnTo>
                                    <a:pt x="402" y="114"/>
                                  </a:lnTo>
                                  <a:lnTo>
                                    <a:pt x="411" y="95"/>
                                  </a:lnTo>
                                  <a:lnTo>
                                    <a:pt x="421" y="77"/>
                                  </a:lnTo>
                                  <a:lnTo>
                                    <a:pt x="432" y="60"/>
                                  </a:lnTo>
                                  <a:lnTo>
                                    <a:pt x="443" y="44"/>
                                  </a:lnTo>
                                  <a:lnTo>
                                    <a:pt x="456" y="28"/>
                                  </a:lnTo>
                                  <a:lnTo>
                                    <a:pt x="479" y="0"/>
                                  </a:lnTo>
                                  <a:close/>
                                </a:path>
                              </a:pathLst>
                            </a:custGeom>
                            <a:solidFill>
                              <a:srgbClr val="003F5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40" name="Group 102"/>
                        <wpg:cNvGrpSpPr>
                          <a:grpSpLocks/>
                        </wpg:cNvGrpSpPr>
                        <wpg:grpSpPr bwMode="auto">
                          <a:xfrm>
                            <a:off x="5" y="71"/>
                            <a:ext cx="537" cy="548"/>
                            <a:chOff x="5" y="71"/>
                            <a:chExt cx="537" cy="548"/>
                          </a:xfrm>
                        </wpg:grpSpPr>
                        <wps:wsp>
                          <wps:cNvPr id="241" name="Freeform 103"/>
                          <wps:cNvSpPr>
                            <a:spLocks/>
                          </wps:cNvSpPr>
                          <wps:spPr bwMode="auto">
                            <a:xfrm>
                              <a:off x="5" y="71"/>
                              <a:ext cx="537" cy="548"/>
                            </a:xfrm>
                            <a:custGeom>
                              <a:avLst/>
                              <a:gdLst>
                                <a:gd name="T0" fmla="*/ 0 w 537"/>
                                <a:gd name="T1" fmla="*/ 71 h 548"/>
                                <a:gd name="T2" fmla="*/ 0 w 537"/>
                                <a:gd name="T3" fmla="*/ 619 h 548"/>
                                <a:gd name="T4" fmla="*/ 245 w 537"/>
                                <a:gd name="T5" fmla="*/ 619 h 548"/>
                                <a:gd name="T6" fmla="*/ 312 w 537"/>
                                <a:gd name="T7" fmla="*/ 613 h 548"/>
                                <a:gd name="T8" fmla="*/ 371 w 537"/>
                                <a:gd name="T9" fmla="*/ 597 h 548"/>
                                <a:gd name="T10" fmla="*/ 439 w 537"/>
                                <a:gd name="T11" fmla="*/ 560 h 548"/>
                                <a:gd name="T12" fmla="*/ 482 w 537"/>
                                <a:gd name="T13" fmla="*/ 517 h 548"/>
                                <a:gd name="T14" fmla="*/ 491 w 537"/>
                                <a:gd name="T15" fmla="*/ 505 h 548"/>
                                <a:gd name="T16" fmla="*/ 121 w 537"/>
                                <a:gd name="T17" fmla="*/ 505 h 548"/>
                                <a:gd name="T18" fmla="*/ 121 w 537"/>
                                <a:gd name="T19" fmla="*/ 185 h 548"/>
                                <a:gd name="T20" fmla="*/ 489 w 537"/>
                                <a:gd name="T21" fmla="*/ 185 h 548"/>
                                <a:gd name="T22" fmla="*/ 478 w 537"/>
                                <a:gd name="T23" fmla="*/ 170 h 548"/>
                                <a:gd name="T24" fmla="*/ 426 w 537"/>
                                <a:gd name="T25" fmla="*/ 122 h 548"/>
                                <a:gd name="T26" fmla="*/ 356 w 537"/>
                                <a:gd name="T27" fmla="*/ 87 h 548"/>
                                <a:gd name="T28" fmla="*/ 295 w 537"/>
                                <a:gd name="T29" fmla="*/ 74 h 548"/>
                                <a:gd name="T30" fmla="*/ 250 w 537"/>
                                <a:gd name="T31" fmla="*/ 71 h 548"/>
                                <a:gd name="T32" fmla="*/ 0 w 537"/>
                                <a:gd name="T33" fmla="*/ 71 h 548"/>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537" h="548">
                                  <a:moveTo>
                                    <a:pt x="0" y="0"/>
                                  </a:moveTo>
                                  <a:lnTo>
                                    <a:pt x="0" y="548"/>
                                  </a:lnTo>
                                  <a:lnTo>
                                    <a:pt x="245" y="548"/>
                                  </a:lnTo>
                                  <a:lnTo>
                                    <a:pt x="312" y="542"/>
                                  </a:lnTo>
                                  <a:lnTo>
                                    <a:pt x="371" y="526"/>
                                  </a:lnTo>
                                  <a:lnTo>
                                    <a:pt x="439" y="489"/>
                                  </a:lnTo>
                                  <a:lnTo>
                                    <a:pt x="482" y="446"/>
                                  </a:lnTo>
                                  <a:lnTo>
                                    <a:pt x="491" y="434"/>
                                  </a:lnTo>
                                  <a:lnTo>
                                    <a:pt x="121" y="434"/>
                                  </a:lnTo>
                                  <a:lnTo>
                                    <a:pt x="121" y="114"/>
                                  </a:lnTo>
                                  <a:lnTo>
                                    <a:pt x="489" y="114"/>
                                  </a:lnTo>
                                  <a:lnTo>
                                    <a:pt x="478" y="99"/>
                                  </a:lnTo>
                                  <a:lnTo>
                                    <a:pt x="426" y="51"/>
                                  </a:lnTo>
                                  <a:lnTo>
                                    <a:pt x="356" y="16"/>
                                  </a:lnTo>
                                  <a:lnTo>
                                    <a:pt x="295" y="3"/>
                                  </a:lnTo>
                                  <a:lnTo>
                                    <a:pt x="250" y="0"/>
                                  </a:lnTo>
                                  <a:lnTo>
                                    <a:pt x="0" y="0"/>
                                  </a:lnTo>
                                  <a:close/>
                                </a:path>
                              </a:pathLst>
                            </a:custGeom>
                            <a:solidFill>
                              <a:srgbClr val="003F5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2" name="Freeform 104"/>
                          <wps:cNvSpPr>
                            <a:spLocks/>
                          </wps:cNvSpPr>
                          <wps:spPr bwMode="auto">
                            <a:xfrm>
                              <a:off x="5" y="71"/>
                              <a:ext cx="537" cy="548"/>
                            </a:xfrm>
                            <a:custGeom>
                              <a:avLst/>
                              <a:gdLst>
                                <a:gd name="T0" fmla="*/ 489 w 537"/>
                                <a:gd name="T1" fmla="*/ 185 h 548"/>
                                <a:gd name="T2" fmla="*/ 245 w 537"/>
                                <a:gd name="T3" fmla="*/ 185 h 548"/>
                                <a:gd name="T4" fmla="*/ 268 w 537"/>
                                <a:gd name="T5" fmla="*/ 186 h 548"/>
                                <a:gd name="T6" fmla="*/ 290 w 537"/>
                                <a:gd name="T7" fmla="*/ 189 h 548"/>
                                <a:gd name="T8" fmla="*/ 361 w 537"/>
                                <a:gd name="T9" fmla="*/ 221 h 548"/>
                                <a:gd name="T10" fmla="*/ 399 w 537"/>
                                <a:gd name="T11" fmla="*/ 271 h 548"/>
                                <a:gd name="T12" fmla="*/ 415 w 537"/>
                                <a:gd name="T13" fmla="*/ 329 h 548"/>
                                <a:gd name="T14" fmla="*/ 414 w 537"/>
                                <a:gd name="T15" fmla="*/ 355 h 548"/>
                                <a:gd name="T16" fmla="*/ 401 w 537"/>
                                <a:gd name="T17" fmla="*/ 418 h 548"/>
                                <a:gd name="T18" fmla="*/ 356 w 537"/>
                                <a:gd name="T19" fmla="*/ 474 h 548"/>
                                <a:gd name="T20" fmla="*/ 283 w 537"/>
                                <a:gd name="T21" fmla="*/ 502 h 548"/>
                                <a:gd name="T22" fmla="*/ 121 w 537"/>
                                <a:gd name="T23" fmla="*/ 505 h 548"/>
                                <a:gd name="T24" fmla="*/ 491 w 537"/>
                                <a:gd name="T25" fmla="*/ 505 h 548"/>
                                <a:gd name="T26" fmla="*/ 521 w 537"/>
                                <a:gd name="T27" fmla="*/ 447 h 548"/>
                                <a:gd name="T28" fmla="*/ 535 w 537"/>
                                <a:gd name="T29" fmla="*/ 388 h 548"/>
                                <a:gd name="T30" fmla="*/ 537 w 537"/>
                                <a:gd name="T31" fmla="*/ 366 h 548"/>
                                <a:gd name="T32" fmla="*/ 537 w 537"/>
                                <a:gd name="T33" fmla="*/ 341 h 548"/>
                                <a:gd name="T34" fmla="*/ 528 w 537"/>
                                <a:gd name="T35" fmla="*/ 274 h 548"/>
                                <a:gd name="T36" fmla="*/ 500 w 537"/>
                                <a:gd name="T37" fmla="*/ 201 h 548"/>
                                <a:gd name="T38" fmla="*/ 489 w 537"/>
                                <a:gd name="T39" fmla="*/ 185 h 548"/>
                                <a:gd name="T40" fmla="*/ 489 w 537"/>
                                <a:gd name="T41" fmla="*/ 185 h 548"/>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Lst>
                              <a:ahLst/>
                              <a:cxnLst>
                                <a:cxn ang="T42">
                                  <a:pos x="T0" y="T1"/>
                                </a:cxn>
                                <a:cxn ang="T43">
                                  <a:pos x="T2" y="T3"/>
                                </a:cxn>
                                <a:cxn ang="T44">
                                  <a:pos x="T4" y="T5"/>
                                </a:cxn>
                                <a:cxn ang="T45">
                                  <a:pos x="T6" y="T7"/>
                                </a:cxn>
                                <a:cxn ang="T46">
                                  <a:pos x="T8" y="T9"/>
                                </a:cxn>
                                <a:cxn ang="T47">
                                  <a:pos x="T10" y="T11"/>
                                </a:cxn>
                                <a:cxn ang="T48">
                                  <a:pos x="T12" y="T13"/>
                                </a:cxn>
                                <a:cxn ang="T49">
                                  <a:pos x="T14" y="T15"/>
                                </a:cxn>
                                <a:cxn ang="T50">
                                  <a:pos x="T16" y="T17"/>
                                </a:cxn>
                                <a:cxn ang="T51">
                                  <a:pos x="T18" y="T19"/>
                                </a:cxn>
                                <a:cxn ang="T52">
                                  <a:pos x="T20" y="T21"/>
                                </a:cxn>
                                <a:cxn ang="T53">
                                  <a:pos x="T22" y="T23"/>
                                </a:cxn>
                                <a:cxn ang="T54">
                                  <a:pos x="T24" y="T25"/>
                                </a:cxn>
                                <a:cxn ang="T55">
                                  <a:pos x="T26" y="T27"/>
                                </a:cxn>
                                <a:cxn ang="T56">
                                  <a:pos x="T28" y="T29"/>
                                </a:cxn>
                                <a:cxn ang="T57">
                                  <a:pos x="T30" y="T31"/>
                                </a:cxn>
                                <a:cxn ang="T58">
                                  <a:pos x="T32" y="T33"/>
                                </a:cxn>
                                <a:cxn ang="T59">
                                  <a:pos x="T34" y="T35"/>
                                </a:cxn>
                                <a:cxn ang="T60">
                                  <a:pos x="T36" y="T37"/>
                                </a:cxn>
                                <a:cxn ang="T61">
                                  <a:pos x="T38" y="T39"/>
                                </a:cxn>
                                <a:cxn ang="T62">
                                  <a:pos x="T40" y="T41"/>
                                </a:cxn>
                              </a:cxnLst>
                              <a:rect l="0" t="0" r="r" b="b"/>
                              <a:pathLst>
                                <a:path w="537" h="548">
                                  <a:moveTo>
                                    <a:pt x="489" y="114"/>
                                  </a:moveTo>
                                  <a:lnTo>
                                    <a:pt x="245" y="114"/>
                                  </a:lnTo>
                                  <a:lnTo>
                                    <a:pt x="268" y="115"/>
                                  </a:lnTo>
                                  <a:lnTo>
                                    <a:pt x="290" y="118"/>
                                  </a:lnTo>
                                  <a:lnTo>
                                    <a:pt x="361" y="150"/>
                                  </a:lnTo>
                                  <a:lnTo>
                                    <a:pt x="399" y="200"/>
                                  </a:lnTo>
                                  <a:lnTo>
                                    <a:pt x="415" y="258"/>
                                  </a:lnTo>
                                  <a:lnTo>
                                    <a:pt x="414" y="284"/>
                                  </a:lnTo>
                                  <a:lnTo>
                                    <a:pt x="401" y="347"/>
                                  </a:lnTo>
                                  <a:lnTo>
                                    <a:pt x="356" y="403"/>
                                  </a:lnTo>
                                  <a:lnTo>
                                    <a:pt x="283" y="431"/>
                                  </a:lnTo>
                                  <a:lnTo>
                                    <a:pt x="121" y="434"/>
                                  </a:lnTo>
                                  <a:lnTo>
                                    <a:pt x="491" y="434"/>
                                  </a:lnTo>
                                  <a:lnTo>
                                    <a:pt x="521" y="376"/>
                                  </a:lnTo>
                                  <a:lnTo>
                                    <a:pt x="535" y="317"/>
                                  </a:lnTo>
                                  <a:lnTo>
                                    <a:pt x="537" y="295"/>
                                  </a:lnTo>
                                  <a:lnTo>
                                    <a:pt x="537" y="270"/>
                                  </a:lnTo>
                                  <a:lnTo>
                                    <a:pt x="528" y="203"/>
                                  </a:lnTo>
                                  <a:lnTo>
                                    <a:pt x="500" y="130"/>
                                  </a:lnTo>
                                  <a:lnTo>
                                    <a:pt x="489" y="114"/>
                                  </a:lnTo>
                                  <a:close/>
                                </a:path>
                              </a:pathLst>
                            </a:custGeom>
                            <a:solidFill>
                              <a:srgbClr val="003F5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2" name="Picture 10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578" y="80"/>
                              <a:ext cx="450" cy="5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3" name="Picture 10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15" y="80"/>
                              <a:ext cx="519" cy="5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4" name="Picture 10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1008" y="0"/>
                              <a:ext cx="549" cy="5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grpSp>
                        <wpg:cNvPr id="307" name="Group 108"/>
                        <wpg:cNvGrpSpPr>
                          <a:grpSpLocks/>
                        </wpg:cNvGrpSpPr>
                        <wpg:grpSpPr bwMode="auto">
                          <a:xfrm>
                            <a:off x="1013" y="200"/>
                            <a:ext cx="348" cy="304"/>
                            <a:chOff x="1013" y="200"/>
                            <a:chExt cx="348" cy="304"/>
                          </a:xfrm>
                        </wpg:grpSpPr>
                        <wps:wsp>
                          <wps:cNvPr id="308" name="Freeform 109"/>
                          <wps:cNvSpPr>
                            <a:spLocks/>
                          </wps:cNvSpPr>
                          <wps:spPr bwMode="auto">
                            <a:xfrm>
                              <a:off x="1013" y="200"/>
                              <a:ext cx="348" cy="304"/>
                            </a:xfrm>
                            <a:custGeom>
                              <a:avLst/>
                              <a:gdLst>
                                <a:gd name="T0" fmla="*/ 18 w 348"/>
                                <a:gd name="T1" fmla="*/ 467 h 304"/>
                                <a:gd name="T2" fmla="*/ 78 w 348"/>
                                <a:gd name="T3" fmla="*/ 504 h 304"/>
                                <a:gd name="T4" fmla="*/ 86 w 348"/>
                                <a:gd name="T5" fmla="*/ 502 h 304"/>
                                <a:gd name="T6" fmla="*/ 84 w 348"/>
                                <a:gd name="T7" fmla="*/ 499 h 304"/>
                                <a:gd name="T8" fmla="*/ 78 w 348"/>
                                <a:gd name="T9" fmla="*/ 499 h 304"/>
                                <a:gd name="T10" fmla="*/ 54 w 348"/>
                                <a:gd name="T11" fmla="*/ 491 h 304"/>
                                <a:gd name="T12" fmla="*/ 35 w 348"/>
                                <a:gd name="T13" fmla="*/ 481 h 304"/>
                                <a:gd name="T14" fmla="*/ 22 w 348"/>
                                <a:gd name="T15" fmla="*/ 469 h 304"/>
                                <a:gd name="T16" fmla="*/ 18 w 348"/>
                                <a:gd name="T17" fmla="*/ 467 h 304"/>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348" h="304">
                                  <a:moveTo>
                                    <a:pt x="18" y="267"/>
                                  </a:moveTo>
                                  <a:lnTo>
                                    <a:pt x="78" y="304"/>
                                  </a:lnTo>
                                  <a:lnTo>
                                    <a:pt x="86" y="302"/>
                                  </a:lnTo>
                                  <a:lnTo>
                                    <a:pt x="84" y="299"/>
                                  </a:lnTo>
                                  <a:lnTo>
                                    <a:pt x="78" y="299"/>
                                  </a:lnTo>
                                  <a:lnTo>
                                    <a:pt x="54" y="291"/>
                                  </a:lnTo>
                                  <a:lnTo>
                                    <a:pt x="35" y="281"/>
                                  </a:lnTo>
                                  <a:lnTo>
                                    <a:pt x="22" y="269"/>
                                  </a:lnTo>
                                  <a:lnTo>
                                    <a:pt x="18" y="26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1" name="Freeform 110"/>
                          <wps:cNvSpPr>
                            <a:spLocks/>
                          </wps:cNvSpPr>
                          <wps:spPr bwMode="auto">
                            <a:xfrm>
                              <a:off x="1013" y="200"/>
                              <a:ext cx="348" cy="304"/>
                            </a:xfrm>
                            <a:custGeom>
                              <a:avLst/>
                              <a:gdLst>
                                <a:gd name="T0" fmla="*/ 1 w 348"/>
                                <a:gd name="T1" fmla="*/ 280 h 304"/>
                                <a:gd name="T2" fmla="*/ 1 w 348"/>
                                <a:gd name="T3" fmla="*/ 283 h 304"/>
                                <a:gd name="T4" fmla="*/ 0 w 348"/>
                                <a:gd name="T5" fmla="*/ 287 h 304"/>
                                <a:gd name="T6" fmla="*/ 10 w 348"/>
                                <a:gd name="T7" fmla="*/ 301 h 304"/>
                                <a:gd name="T8" fmla="*/ 26 w 348"/>
                                <a:gd name="T9" fmla="*/ 314 h 304"/>
                                <a:gd name="T10" fmla="*/ 37 w 348"/>
                                <a:gd name="T11" fmla="*/ 329 h 304"/>
                                <a:gd name="T12" fmla="*/ 36 w 348"/>
                                <a:gd name="T13" fmla="*/ 331 h 304"/>
                                <a:gd name="T14" fmla="*/ 36 w 348"/>
                                <a:gd name="T15" fmla="*/ 349 h 304"/>
                                <a:gd name="T16" fmla="*/ 37 w 348"/>
                                <a:gd name="T17" fmla="*/ 367 h 304"/>
                                <a:gd name="T18" fmla="*/ 48 w 348"/>
                                <a:gd name="T19" fmla="*/ 429 h 304"/>
                                <a:gd name="T20" fmla="*/ 78 w 348"/>
                                <a:gd name="T21" fmla="*/ 499 h 304"/>
                                <a:gd name="T22" fmla="*/ 84 w 348"/>
                                <a:gd name="T23" fmla="*/ 499 h 304"/>
                                <a:gd name="T24" fmla="*/ 77 w 348"/>
                                <a:gd name="T25" fmla="*/ 486 h 304"/>
                                <a:gd name="T26" fmla="*/ 69 w 348"/>
                                <a:gd name="T27" fmla="*/ 469 h 304"/>
                                <a:gd name="T28" fmla="*/ 45 w 348"/>
                                <a:gd name="T29" fmla="*/ 392 h 304"/>
                                <a:gd name="T30" fmla="*/ 41 w 348"/>
                                <a:gd name="T31" fmla="*/ 351 h 304"/>
                                <a:gd name="T32" fmla="*/ 41 w 348"/>
                                <a:gd name="T33" fmla="*/ 331 h 304"/>
                                <a:gd name="T34" fmla="*/ 42 w 348"/>
                                <a:gd name="T35" fmla="*/ 324 h 304"/>
                                <a:gd name="T36" fmla="*/ 53 w 348"/>
                                <a:gd name="T37" fmla="*/ 324 h 304"/>
                                <a:gd name="T38" fmla="*/ 45 w 348"/>
                                <a:gd name="T39" fmla="*/ 320 h 304"/>
                                <a:gd name="T40" fmla="*/ 46 w 348"/>
                                <a:gd name="T41" fmla="*/ 299 h 304"/>
                                <a:gd name="T42" fmla="*/ 47 w 348"/>
                                <a:gd name="T43" fmla="*/ 297 h 304"/>
                                <a:gd name="T44" fmla="*/ 18 w 348"/>
                                <a:gd name="T45" fmla="*/ 297 h 304"/>
                                <a:gd name="T46" fmla="*/ 5 w 348"/>
                                <a:gd name="T47" fmla="*/ 286 h 304"/>
                                <a:gd name="T48" fmla="*/ 1 w 348"/>
                                <a:gd name="T49" fmla="*/ 280 h 304"/>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Lst>
                              <a:ahLst/>
                              <a:cxnLst>
                                <a:cxn ang="T50">
                                  <a:pos x="T0" y="T1"/>
                                </a:cxn>
                                <a:cxn ang="T51">
                                  <a:pos x="T2" y="T3"/>
                                </a:cxn>
                                <a:cxn ang="T52">
                                  <a:pos x="T4" y="T5"/>
                                </a:cxn>
                                <a:cxn ang="T53">
                                  <a:pos x="T6" y="T7"/>
                                </a:cxn>
                                <a:cxn ang="T54">
                                  <a:pos x="T8" y="T9"/>
                                </a:cxn>
                                <a:cxn ang="T55">
                                  <a:pos x="T10" y="T11"/>
                                </a:cxn>
                                <a:cxn ang="T56">
                                  <a:pos x="T12" y="T13"/>
                                </a:cxn>
                                <a:cxn ang="T57">
                                  <a:pos x="T14" y="T15"/>
                                </a:cxn>
                                <a:cxn ang="T58">
                                  <a:pos x="T16" y="T17"/>
                                </a:cxn>
                                <a:cxn ang="T59">
                                  <a:pos x="T18" y="T19"/>
                                </a:cxn>
                                <a:cxn ang="T60">
                                  <a:pos x="T20" y="T21"/>
                                </a:cxn>
                                <a:cxn ang="T61">
                                  <a:pos x="T22" y="T23"/>
                                </a:cxn>
                                <a:cxn ang="T62">
                                  <a:pos x="T24" y="T25"/>
                                </a:cxn>
                                <a:cxn ang="T63">
                                  <a:pos x="T26" y="T27"/>
                                </a:cxn>
                                <a:cxn ang="T64">
                                  <a:pos x="T28" y="T29"/>
                                </a:cxn>
                                <a:cxn ang="T65">
                                  <a:pos x="T30" y="T31"/>
                                </a:cxn>
                                <a:cxn ang="T66">
                                  <a:pos x="T32" y="T33"/>
                                </a:cxn>
                                <a:cxn ang="T67">
                                  <a:pos x="T34" y="T35"/>
                                </a:cxn>
                                <a:cxn ang="T68">
                                  <a:pos x="T36" y="T37"/>
                                </a:cxn>
                                <a:cxn ang="T69">
                                  <a:pos x="T38" y="T39"/>
                                </a:cxn>
                                <a:cxn ang="T70">
                                  <a:pos x="T40" y="T41"/>
                                </a:cxn>
                                <a:cxn ang="T71">
                                  <a:pos x="T42" y="T43"/>
                                </a:cxn>
                                <a:cxn ang="T72">
                                  <a:pos x="T44" y="T45"/>
                                </a:cxn>
                                <a:cxn ang="T73">
                                  <a:pos x="T46" y="T47"/>
                                </a:cxn>
                                <a:cxn ang="T74">
                                  <a:pos x="T48" y="T49"/>
                                </a:cxn>
                              </a:cxnLst>
                              <a:rect l="0" t="0" r="r" b="b"/>
                              <a:pathLst>
                                <a:path w="348" h="304">
                                  <a:moveTo>
                                    <a:pt x="1" y="80"/>
                                  </a:moveTo>
                                  <a:lnTo>
                                    <a:pt x="1" y="83"/>
                                  </a:lnTo>
                                  <a:lnTo>
                                    <a:pt x="0" y="87"/>
                                  </a:lnTo>
                                  <a:lnTo>
                                    <a:pt x="10" y="101"/>
                                  </a:lnTo>
                                  <a:lnTo>
                                    <a:pt x="26" y="114"/>
                                  </a:lnTo>
                                  <a:lnTo>
                                    <a:pt x="37" y="129"/>
                                  </a:lnTo>
                                  <a:lnTo>
                                    <a:pt x="36" y="131"/>
                                  </a:lnTo>
                                  <a:lnTo>
                                    <a:pt x="36" y="149"/>
                                  </a:lnTo>
                                  <a:lnTo>
                                    <a:pt x="37" y="167"/>
                                  </a:lnTo>
                                  <a:lnTo>
                                    <a:pt x="48" y="229"/>
                                  </a:lnTo>
                                  <a:lnTo>
                                    <a:pt x="78" y="299"/>
                                  </a:lnTo>
                                  <a:lnTo>
                                    <a:pt x="84" y="299"/>
                                  </a:lnTo>
                                  <a:lnTo>
                                    <a:pt x="77" y="286"/>
                                  </a:lnTo>
                                  <a:lnTo>
                                    <a:pt x="69" y="269"/>
                                  </a:lnTo>
                                  <a:lnTo>
                                    <a:pt x="45" y="192"/>
                                  </a:lnTo>
                                  <a:lnTo>
                                    <a:pt x="41" y="151"/>
                                  </a:lnTo>
                                  <a:lnTo>
                                    <a:pt x="41" y="131"/>
                                  </a:lnTo>
                                  <a:lnTo>
                                    <a:pt x="42" y="124"/>
                                  </a:lnTo>
                                  <a:lnTo>
                                    <a:pt x="53" y="124"/>
                                  </a:lnTo>
                                  <a:lnTo>
                                    <a:pt x="45" y="120"/>
                                  </a:lnTo>
                                  <a:lnTo>
                                    <a:pt x="46" y="99"/>
                                  </a:lnTo>
                                  <a:lnTo>
                                    <a:pt x="47" y="97"/>
                                  </a:lnTo>
                                  <a:lnTo>
                                    <a:pt x="18" y="97"/>
                                  </a:lnTo>
                                  <a:lnTo>
                                    <a:pt x="5" y="86"/>
                                  </a:lnTo>
                                  <a:lnTo>
                                    <a:pt x="1" y="8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2" name="Freeform 111"/>
                          <wps:cNvSpPr>
                            <a:spLocks/>
                          </wps:cNvSpPr>
                          <wps:spPr bwMode="auto">
                            <a:xfrm>
                              <a:off x="1013" y="200"/>
                              <a:ext cx="348" cy="304"/>
                            </a:xfrm>
                            <a:custGeom>
                              <a:avLst/>
                              <a:gdLst>
                                <a:gd name="T0" fmla="*/ 53 w 348"/>
                                <a:gd name="T1" fmla="*/ 324 h 304"/>
                                <a:gd name="T2" fmla="*/ 42 w 348"/>
                                <a:gd name="T3" fmla="*/ 324 h 304"/>
                                <a:gd name="T4" fmla="*/ 56 w 348"/>
                                <a:gd name="T5" fmla="*/ 331 h 304"/>
                                <a:gd name="T6" fmla="*/ 127 w 348"/>
                                <a:gd name="T7" fmla="*/ 354 h 304"/>
                                <a:gd name="T8" fmla="*/ 195 w 348"/>
                                <a:gd name="T9" fmla="*/ 367 h 304"/>
                                <a:gd name="T10" fmla="*/ 199 w 348"/>
                                <a:gd name="T11" fmla="*/ 386 h 304"/>
                                <a:gd name="T12" fmla="*/ 203 w 348"/>
                                <a:gd name="T13" fmla="*/ 405 h 304"/>
                                <a:gd name="T14" fmla="*/ 211 w 348"/>
                                <a:gd name="T15" fmla="*/ 445 h 304"/>
                                <a:gd name="T16" fmla="*/ 215 w 348"/>
                                <a:gd name="T17" fmla="*/ 459 h 304"/>
                                <a:gd name="T18" fmla="*/ 218 w 348"/>
                                <a:gd name="T19" fmla="*/ 458 h 304"/>
                                <a:gd name="T20" fmla="*/ 214 w 348"/>
                                <a:gd name="T21" fmla="*/ 437 h 304"/>
                                <a:gd name="T22" fmla="*/ 211 w 348"/>
                                <a:gd name="T23" fmla="*/ 417 h 304"/>
                                <a:gd name="T24" fmla="*/ 208 w 348"/>
                                <a:gd name="T25" fmla="*/ 397 h 304"/>
                                <a:gd name="T26" fmla="*/ 207 w 348"/>
                                <a:gd name="T27" fmla="*/ 378 h 304"/>
                                <a:gd name="T28" fmla="*/ 225 w 348"/>
                                <a:gd name="T29" fmla="*/ 376 h 304"/>
                                <a:gd name="T30" fmla="*/ 244 w 348"/>
                                <a:gd name="T31" fmla="*/ 376 h 304"/>
                                <a:gd name="T32" fmla="*/ 343 w 348"/>
                                <a:gd name="T33" fmla="*/ 375 h 304"/>
                                <a:gd name="T34" fmla="*/ 347 w 348"/>
                                <a:gd name="T35" fmla="*/ 372 h 304"/>
                                <a:gd name="T36" fmla="*/ 339 w 348"/>
                                <a:gd name="T37" fmla="*/ 372 h 304"/>
                                <a:gd name="T38" fmla="*/ 318 w 348"/>
                                <a:gd name="T39" fmla="*/ 371 h 304"/>
                                <a:gd name="T40" fmla="*/ 257 w 348"/>
                                <a:gd name="T41" fmla="*/ 368 h 304"/>
                                <a:gd name="T42" fmla="*/ 215 w 348"/>
                                <a:gd name="T43" fmla="*/ 363 h 304"/>
                                <a:gd name="T44" fmla="*/ 201 w 348"/>
                                <a:gd name="T45" fmla="*/ 363 h 304"/>
                                <a:gd name="T46" fmla="*/ 132 w 348"/>
                                <a:gd name="T47" fmla="*/ 350 h 304"/>
                                <a:gd name="T48" fmla="*/ 59 w 348"/>
                                <a:gd name="T49" fmla="*/ 327 h 304"/>
                                <a:gd name="T50" fmla="*/ 53 w 348"/>
                                <a:gd name="T51" fmla="*/ 324 h 304"/>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Lst>
                              <a:ahLst/>
                              <a:cxnLst>
                                <a:cxn ang="T52">
                                  <a:pos x="T0" y="T1"/>
                                </a:cxn>
                                <a:cxn ang="T53">
                                  <a:pos x="T2" y="T3"/>
                                </a:cxn>
                                <a:cxn ang="T54">
                                  <a:pos x="T4" y="T5"/>
                                </a:cxn>
                                <a:cxn ang="T55">
                                  <a:pos x="T6" y="T7"/>
                                </a:cxn>
                                <a:cxn ang="T56">
                                  <a:pos x="T8" y="T9"/>
                                </a:cxn>
                                <a:cxn ang="T57">
                                  <a:pos x="T10" y="T11"/>
                                </a:cxn>
                                <a:cxn ang="T58">
                                  <a:pos x="T12" y="T13"/>
                                </a:cxn>
                                <a:cxn ang="T59">
                                  <a:pos x="T14" y="T15"/>
                                </a:cxn>
                                <a:cxn ang="T60">
                                  <a:pos x="T16" y="T17"/>
                                </a:cxn>
                                <a:cxn ang="T61">
                                  <a:pos x="T18" y="T19"/>
                                </a:cxn>
                                <a:cxn ang="T62">
                                  <a:pos x="T20" y="T21"/>
                                </a:cxn>
                                <a:cxn ang="T63">
                                  <a:pos x="T22" y="T23"/>
                                </a:cxn>
                                <a:cxn ang="T64">
                                  <a:pos x="T24" y="T25"/>
                                </a:cxn>
                                <a:cxn ang="T65">
                                  <a:pos x="T26" y="T27"/>
                                </a:cxn>
                                <a:cxn ang="T66">
                                  <a:pos x="T28" y="T29"/>
                                </a:cxn>
                                <a:cxn ang="T67">
                                  <a:pos x="T30" y="T31"/>
                                </a:cxn>
                                <a:cxn ang="T68">
                                  <a:pos x="T32" y="T33"/>
                                </a:cxn>
                                <a:cxn ang="T69">
                                  <a:pos x="T34" y="T35"/>
                                </a:cxn>
                                <a:cxn ang="T70">
                                  <a:pos x="T36" y="T37"/>
                                </a:cxn>
                                <a:cxn ang="T71">
                                  <a:pos x="T38" y="T39"/>
                                </a:cxn>
                                <a:cxn ang="T72">
                                  <a:pos x="T40" y="T41"/>
                                </a:cxn>
                                <a:cxn ang="T73">
                                  <a:pos x="T42" y="T43"/>
                                </a:cxn>
                                <a:cxn ang="T74">
                                  <a:pos x="T44" y="T45"/>
                                </a:cxn>
                                <a:cxn ang="T75">
                                  <a:pos x="T46" y="T47"/>
                                </a:cxn>
                                <a:cxn ang="T76">
                                  <a:pos x="T48" y="T49"/>
                                </a:cxn>
                                <a:cxn ang="T77">
                                  <a:pos x="T50" y="T51"/>
                                </a:cxn>
                              </a:cxnLst>
                              <a:rect l="0" t="0" r="r" b="b"/>
                              <a:pathLst>
                                <a:path w="348" h="304">
                                  <a:moveTo>
                                    <a:pt x="53" y="124"/>
                                  </a:moveTo>
                                  <a:lnTo>
                                    <a:pt x="42" y="124"/>
                                  </a:lnTo>
                                  <a:lnTo>
                                    <a:pt x="56" y="131"/>
                                  </a:lnTo>
                                  <a:lnTo>
                                    <a:pt x="127" y="154"/>
                                  </a:lnTo>
                                  <a:lnTo>
                                    <a:pt x="195" y="167"/>
                                  </a:lnTo>
                                  <a:lnTo>
                                    <a:pt x="199" y="186"/>
                                  </a:lnTo>
                                  <a:lnTo>
                                    <a:pt x="203" y="205"/>
                                  </a:lnTo>
                                  <a:lnTo>
                                    <a:pt x="211" y="245"/>
                                  </a:lnTo>
                                  <a:lnTo>
                                    <a:pt x="215" y="259"/>
                                  </a:lnTo>
                                  <a:lnTo>
                                    <a:pt x="218" y="258"/>
                                  </a:lnTo>
                                  <a:lnTo>
                                    <a:pt x="214" y="237"/>
                                  </a:lnTo>
                                  <a:lnTo>
                                    <a:pt x="211" y="217"/>
                                  </a:lnTo>
                                  <a:lnTo>
                                    <a:pt x="208" y="197"/>
                                  </a:lnTo>
                                  <a:lnTo>
                                    <a:pt x="207" y="178"/>
                                  </a:lnTo>
                                  <a:lnTo>
                                    <a:pt x="225" y="176"/>
                                  </a:lnTo>
                                  <a:lnTo>
                                    <a:pt x="244" y="176"/>
                                  </a:lnTo>
                                  <a:lnTo>
                                    <a:pt x="343" y="175"/>
                                  </a:lnTo>
                                  <a:lnTo>
                                    <a:pt x="347" y="172"/>
                                  </a:lnTo>
                                  <a:lnTo>
                                    <a:pt x="339" y="172"/>
                                  </a:lnTo>
                                  <a:lnTo>
                                    <a:pt x="318" y="171"/>
                                  </a:lnTo>
                                  <a:lnTo>
                                    <a:pt x="257" y="168"/>
                                  </a:lnTo>
                                  <a:lnTo>
                                    <a:pt x="215" y="163"/>
                                  </a:lnTo>
                                  <a:lnTo>
                                    <a:pt x="201" y="163"/>
                                  </a:lnTo>
                                  <a:lnTo>
                                    <a:pt x="132" y="150"/>
                                  </a:lnTo>
                                  <a:lnTo>
                                    <a:pt x="59" y="127"/>
                                  </a:lnTo>
                                  <a:lnTo>
                                    <a:pt x="53" y="12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3" name="Freeform 112"/>
                          <wps:cNvSpPr>
                            <a:spLocks/>
                          </wps:cNvSpPr>
                          <wps:spPr bwMode="auto">
                            <a:xfrm>
                              <a:off x="1013" y="200"/>
                              <a:ext cx="348" cy="304"/>
                            </a:xfrm>
                            <a:custGeom>
                              <a:avLst/>
                              <a:gdLst>
                                <a:gd name="T0" fmla="*/ 343 w 348"/>
                                <a:gd name="T1" fmla="*/ 375 h 304"/>
                                <a:gd name="T2" fmla="*/ 264 w 348"/>
                                <a:gd name="T3" fmla="*/ 375 h 304"/>
                                <a:gd name="T4" fmla="*/ 326 w 348"/>
                                <a:gd name="T5" fmla="*/ 376 h 304"/>
                                <a:gd name="T6" fmla="*/ 342 w 348"/>
                                <a:gd name="T7" fmla="*/ 376 h 304"/>
                                <a:gd name="T8" fmla="*/ 343 w 348"/>
                                <a:gd name="T9" fmla="*/ 375 h 304"/>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348" h="304">
                                  <a:moveTo>
                                    <a:pt x="343" y="175"/>
                                  </a:moveTo>
                                  <a:lnTo>
                                    <a:pt x="264" y="175"/>
                                  </a:lnTo>
                                  <a:lnTo>
                                    <a:pt x="326" y="176"/>
                                  </a:lnTo>
                                  <a:lnTo>
                                    <a:pt x="342" y="176"/>
                                  </a:lnTo>
                                  <a:lnTo>
                                    <a:pt x="343" y="17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3" name="Freeform 113"/>
                          <wps:cNvSpPr>
                            <a:spLocks/>
                          </wps:cNvSpPr>
                          <wps:spPr bwMode="auto">
                            <a:xfrm>
                              <a:off x="1013" y="200"/>
                              <a:ext cx="348" cy="304"/>
                            </a:xfrm>
                            <a:custGeom>
                              <a:avLst/>
                              <a:gdLst>
                                <a:gd name="T0" fmla="*/ 348 w 348"/>
                                <a:gd name="T1" fmla="*/ 371 h 304"/>
                                <a:gd name="T2" fmla="*/ 339 w 348"/>
                                <a:gd name="T3" fmla="*/ 372 h 304"/>
                                <a:gd name="T4" fmla="*/ 347 w 348"/>
                                <a:gd name="T5" fmla="*/ 372 h 304"/>
                                <a:gd name="T6" fmla="*/ 0 60000 65536"/>
                                <a:gd name="T7" fmla="*/ 0 60000 65536"/>
                                <a:gd name="T8" fmla="*/ 0 60000 65536"/>
                              </a:gdLst>
                              <a:ahLst/>
                              <a:cxnLst>
                                <a:cxn ang="T6">
                                  <a:pos x="T0" y="T1"/>
                                </a:cxn>
                                <a:cxn ang="T7">
                                  <a:pos x="T2" y="T3"/>
                                </a:cxn>
                                <a:cxn ang="T8">
                                  <a:pos x="T4" y="T5"/>
                                </a:cxn>
                              </a:cxnLst>
                              <a:rect l="0" t="0" r="r" b="b"/>
                              <a:pathLst>
                                <a:path w="348" h="304">
                                  <a:moveTo>
                                    <a:pt x="348" y="171"/>
                                  </a:moveTo>
                                  <a:lnTo>
                                    <a:pt x="339" y="172"/>
                                  </a:lnTo>
                                  <a:lnTo>
                                    <a:pt x="347" y="172"/>
                                  </a:lnTo>
                                  <a:lnTo>
                                    <a:pt x="348" y="171"/>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4" name="Freeform 114"/>
                          <wps:cNvSpPr>
                            <a:spLocks/>
                          </wps:cNvSpPr>
                          <wps:spPr bwMode="auto">
                            <a:xfrm>
                              <a:off x="1013" y="200"/>
                              <a:ext cx="348" cy="304"/>
                            </a:xfrm>
                            <a:custGeom>
                              <a:avLst/>
                              <a:gdLst>
                                <a:gd name="T0" fmla="*/ 207 w 348"/>
                                <a:gd name="T1" fmla="*/ 267 h 304"/>
                                <a:gd name="T2" fmla="*/ 201 w 348"/>
                                <a:gd name="T3" fmla="*/ 328 h 304"/>
                                <a:gd name="T4" fmla="*/ 201 w 348"/>
                                <a:gd name="T5" fmla="*/ 354 h 304"/>
                                <a:gd name="T6" fmla="*/ 201 w 348"/>
                                <a:gd name="T7" fmla="*/ 359 h 304"/>
                                <a:gd name="T8" fmla="*/ 201 w 348"/>
                                <a:gd name="T9" fmla="*/ 363 h 304"/>
                                <a:gd name="T10" fmla="*/ 215 w 348"/>
                                <a:gd name="T11" fmla="*/ 363 h 304"/>
                                <a:gd name="T12" fmla="*/ 206 w 348"/>
                                <a:gd name="T13" fmla="*/ 357 h 304"/>
                                <a:gd name="T14" fmla="*/ 206 w 348"/>
                                <a:gd name="T15" fmla="*/ 329 h 304"/>
                                <a:gd name="T16" fmla="*/ 206 w 348"/>
                                <a:gd name="T17" fmla="*/ 326 h 304"/>
                                <a:gd name="T18" fmla="*/ 207 w 348"/>
                                <a:gd name="T19" fmla="*/ 306 h 304"/>
                                <a:gd name="T20" fmla="*/ 209 w 348"/>
                                <a:gd name="T21" fmla="*/ 287 h 304"/>
                                <a:gd name="T22" fmla="*/ 209 w 348"/>
                                <a:gd name="T23" fmla="*/ 283 h 304"/>
                                <a:gd name="T24" fmla="*/ 210 w 348"/>
                                <a:gd name="T25" fmla="*/ 270 h 304"/>
                                <a:gd name="T26" fmla="*/ 208 w 348"/>
                                <a:gd name="T27" fmla="*/ 269 h 304"/>
                                <a:gd name="T28" fmla="*/ 207 w 348"/>
                                <a:gd name="T29" fmla="*/ 267 h 304"/>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Lst>
                              <a:ahLst/>
                              <a:cxnLst>
                                <a:cxn ang="T30">
                                  <a:pos x="T0" y="T1"/>
                                </a:cxn>
                                <a:cxn ang="T31">
                                  <a:pos x="T2" y="T3"/>
                                </a:cxn>
                                <a:cxn ang="T32">
                                  <a:pos x="T4" y="T5"/>
                                </a:cxn>
                                <a:cxn ang="T33">
                                  <a:pos x="T6" y="T7"/>
                                </a:cxn>
                                <a:cxn ang="T34">
                                  <a:pos x="T8" y="T9"/>
                                </a:cxn>
                                <a:cxn ang="T35">
                                  <a:pos x="T10" y="T11"/>
                                </a:cxn>
                                <a:cxn ang="T36">
                                  <a:pos x="T12" y="T13"/>
                                </a:cxn>
                                <a:cxn ang="T37">
                                  <a:pos x="T14" y="T15"/>
                                </a:cxn>
                                <a:cxn ang="T38">
                                  <a:pos x="T16" y="T17"/>
                                </a:cxn>
                                <a:cxn ang="T39">
                                  <a:pos x="T18" y="T19"/>
                                </a:cxn>
                                <a:cxn ang="T40">
                                  <a:pos x="T20" y="T21"/>
                                </a:cxn>
                                <a:cxn ang="T41">
                                  <a:pos x="T22" y="T23"/>
                                </a:cxn>
                                <a:cxn ang="T42">
                                  <a:pos x="T24" y="T25"/>
                                </a:cxn>
                                <a:cxn ang="T43">
                                  <a:pos x="T26" y="T27"/>
                                </a:cxn>
                                <a:cxn ang="T44">
                                  <a:pos x="T28" y="T29"/>
                                </a:cxn>
                              </a:cxnLst>
                              <a:rect l="0" t="0" r="r" b="b"/>
                              <a:pathLst>
                                <a:path w="348" h="304">
                                  <a:moveTo>
                                    <a:pt x="207" y="67"/>
                                  </a:moveTo>
                                  <a:lnTo>
                                    <a:pt x="201" y="128"/>
                                  </a:lnTo>
                                  <a:lnTo>
                                    <a:pt x="201" y="154"/>
                                  </a:lnTo>
                                  <a:lnTo>
                                    <a:pt x="201" y="159"/>
                                  </a:lnTo>
                                  <a:lnTo>
                                    <a:pt x="201" y="163"/>
                                  </a:lnTo>
                                  <a:lnTo>
                                    <a:pt x="215" y="163"/>
                                  </a:lnTo>
                                  <a:lnTo>
                                    <a:pt x="206" y="157"/>
                                  </a:lnTo>
                                  <a:lnTo>
                                    <a:pt x="206" y="129"/>
                                  </a:lnTo>
                                  <a:lnTo>
                                    <a:pt x="206" y="126"/>
                                  </a:lnTo>
                                  <a:lnTo>
                                    <a:pt x="207" y="106"/>
                                  </a:lnTo>
                                  <a:lnTo>
                                    <a:pt x="209" y="87"/>
                                  </a:lnTo>
                                  <a:lnTo>
                                    <a:pt x="209" y="83"/>
                                  </a:lnTo>
                                  <a:lnTo>
                                    <a:pt x="210" y="70"/>
                                  </a:lnTo>
                                  <a:lnTo>
                                    <a:pt x="208" y="69"/>
                                  </a:lnTo>
                                  <a:lnTo>
                                    <a:pt x="207" y="6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5" name="Freeform 115"/>
                          <wps:cNvSpPr>
                            <a:spLocks/>
                          </wps:cNvSpPr>
                          <wps:spPr bwMode="auto">
                            <a:xfrm>
                              <a:off x="1013" y="200"/>
                              <a:ext cx="348" cy="304"/>
                            </a:xfrm>
                            <a:custGeom>
                              <a:avLst/>
                              <a:gdLst>
                                <a:gd name="T0" fmla="*/ 70 w 348"/>
                                <a:gd name="T1" fmla="*/ 200 h 304"/>
                                <a:gd name="T2" fmla="*/ 48 w 348"/>
                                <a:gd name="T3" fmla="*/ 257 h 304"/>
                                <a:gd name="T4" fmla="*/ 40 w 348"/>
                                <a:gd name="T5" fmla="*/ 296 h 304"/>
                                <a:gd name="T6" fmla="*/ 18 w 348"/>
                                <a:gd name="T7" fmla="*/ 297 h 304"/>
                                <a:gd name="T8" fmla="*/ 47 w 348"/>
                                <a:gd name="T9" fmla="*/ 297 h 304"/>
                                <a:gd name="T10" fmla="*/ 49 w 348"/>
                                <a:gd name="T11" fmla="*/ 279 h 304"/>
                                <a:gd name="T12" fmla="*/ 53 w 348"/>
                                <a:gd name="T13" fmla="*/ 259 h 304"/>
                                <a:gd name="T14" fmla="*/ 59 w 348"/>
                                <a:gd name="T15" fmla="*/ 240 h 304"/>
                                <a:gd name="T16" fmla="*/ 66 w 348"/>
                                <a:gd name="T17" fmla="*/ 222 h 304"/>
                                <a:gd name="T18" fmla="*/ 74 w 348"/>
                                <a:gd name="T19" fmla="*/ 204 h 304"/>
                                <a:gd name="T20" fmla="*/ 73 w 348"/>
                                <a:gd name="T21" fmla="*/ 203 h 304"/>
                                <a:gd name="T22" fmla="*/ 72 w 348"/>
                                <a:gd name="T23" fmla="*/ 202 h 304"/>
                                <a:gd name="T24" fmla="*/ 71 w 348"/>
                                <a:gd name="T25" fmla="*/ 201 h 304"/>
                                <a:gd name="T26" fmla="*/ 70 w 348"/>
                                <a:gd name="T27" fmla="*/ 200 h 304"/>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Lst>
                              <a:ahLst/>
                              <a:cxnLst>
                                <a:cxn ang="T28">
                                  <a:pos x="T0" y="T1"/>
                                </a:cxn>
                                <a:cxn ang="T29">
                                  <a:pos x="T2" y="T3"/>
                                </a:cxn>
                                <a:cxn ang="T30">
                                  <a:pos x="T4" y="T5"/>
                                </a:cxn>
                                <a:cxn ang="T31">
                                  <a:pos x="T6" y="T7"/>
                                </a:cxn>
                                <a:cxn ang="T32">
                                  <a:pos x="T8" y="T9"/>
                                </a:cxn>
                                <a:cxn ang="T33">
                                  <a:pos x="T10" y="T11"/>
                                </a:cxn>
                                <a:cxn ang="T34">
                                  <a:pos x="T12" y="T13"/>
                                </a:cxn>
                                <a:cxn ang="T35">
                                  <a:pos x="T14" y="T15"/>
                                </a:cxn>
                                <a:cxn ang="T36">
                                  <a:pos x="T16" y="T17"/>
                                </a:cxn>
                                <a:cxn ang="T37">
                                  <a:pos x="T18" y="T19"/>
                                </a:cxn>
                                <a:cxn ang="T38">
                                  <a:pos x="T20" y="T21"/>
                                </a:cxn>
                                <a:cxn ang="T39">
                                  <a:pos x="T22" y="T23"/>
                                </a:cxn>
                                <a:cxn ang="T40">
                                  <a:pos x="T24" y="T25"/>
                                </a:cxn>
                                <a:cxn ang="T41">
                                  <a:pos x="T26" y="T27"/>
                                </a:cxn>
                              </a:cxnLst>
                              <a:rect l="0" t="0" r="r" b="b"/>
                              <a:pathLst>
                                <a:path w="348" h="304">
                                  <a:moveTo>
                                    <a:pt x="70" y="0"/>
                                  </a:moveTo>
                                  <a:lnTo>
                                    <a:pt x="48" y="57"/>
                                  </a:lnTo>
                                  <a:lnTo>
                                    <a:pt x="40" y="96"/>
                                  </a:lnTo>
                                  <a:lnTo>
                                    <a:pt x="18" y="97"/>
                                  </a:lnTo>
                                  <a:lnTo>
                                    <a:pt x="47" y="97"/>
                                  </a:lnTo>
                                  <a:lnTo>
                                    <a:pt x="49" y="79"/>
                                  </a:lnTo>
                                  <a:lnTo>
                                    <a:pt x="53" y="59"/>
                                  </a:lnTo>
                                  <a:lnTo>
                                    <a:pt x="59" y="40"/>
                                  </a:lnTo>
                                  <a:lnTo>
                                    <a:pt x="66" y="22"/>
                                  </a:lnTo>
                                  <a:lnTo>
                                    <a:pt x="74" y="4"/>
                                  </a:lnTo>
                                  <a:lnTo>
                                    <a:pt x="73" y="3"/>
                                  </a:lnTo>
                                  <a:lnTo>
                                    <a:pt x="72" y="2"/>
                                  </a:lnTo>
                                  <a:lnTo>
                                    <a:pt x="71" y="1"/>
                                  </a:lnTo>
                                  <a:lnTo>
                                    <a:pt x="7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56" name="Group 116"/>
                        <wpg:cNvGrpSpPr>
                          <a:grpSpLocks/>
                        </wpg:cNvGrpSpPr>
                        <wpg:grpSpPr bwMode="auto">
                          <a:xfrm>
                            <a:off x="1106" y="0"/>
                            <a:ext cx="442" cy="165"/>
                            <a:chOff x="1106" y="0"/>
                            <a:chExt cx="442" cy="165"/>
                          </a:xfrm>
                        </wpg:grpSpPr>
                        <wps:wsp>
                          <wps:cNvPr id="157" name="Freeform 117"/>
                          <wps:cNvSpPr>
                            <a:spLocks/>
                          </wps:cNvSpPr>
                          <wps:spPr bwMode="auto">
                            <a:xfrm>
                              <a:off x="1106" y="0"/>
                              <a:ext cx="442" cy="165"/>
                            </a:xfrm>
                            <a:custGeom>
                              <a:avLst/>
                              <a:gdLst>
                                <a:gd name="T0" fmla="*/ 355 w 442"/>
                                <a:gd name="T1" fmla="*/ 164 h 165"/>
                                <a:gd name="T2" fmla="*/ 352 w 442"/>
                                <a:gd name="T3" fmla="*/ 164 h 165"/>
                                <a:gd name="T4" fmla="*/ 354 w 442"/>
                                <a:gd name="T5" fmla="*/ 165 h 165"/>
                                <a:gd name="T6" fmla="*/ 355 w 442"/>
                                <a:gd name="T7" fmla="*/ 165 h 165"/>
                                <a:gd name="T8" fmla="*/ 355 w 442"/>
                                <a:gd name="T9" fmla="*/ 164 h 165"/>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442" h="165">
                                  <a:moveTo>
                                    <a:pt x="355" y="164"/>
                                  </a:moveTo>
                                  <a:lnTo>
                                    <a:pt x="352" y="164"/>
                                  </a:lnTo>
                                  <a:lnTo>
                                    <a:pt x="354" y="165"/>
                                  </a:lnTo>
                                  <a:lnTo>
                                    <a:pt x="355" y="165"/>
                                  </a:lnTo>
                                  <a:lnTo>
                                    <a:pt x="355" y="16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8" name="Freeform 118"/>
                          <wps:cNvSpPr>
                            <a:spLocks/>
                          </wps:cNvSpPr>
                          <wps:spPr bwMode="auto">
                            <a:xfrm>
                              <a:off x="1106" y="0"/>
                              <a:ext cx="442" cy="165"/>
                            </a:xfrm>
                            <a:custGeom>
                              <a:avLst/>
                              <a:gdLst>
                                <a:gd name="T0" fmla="*/ 353 w 442"/>
                                <a:gd name="T1" fmla="*/ 158 h 165"/>
                                <a:gd name="T2" fmla="*/ 345 w 442"/>
                                <a:gd name="T3" fmla="*/ 158 h 165"/>
                                <a:gd name="T4" fmla="*/ 349 w 442"/>
                                <a:gd name="T5" fmla="*/ 160 h 165"/>
                                <a:gd name="T6" fmla="*/ 350 w 442"/>
                                <a:gd name="T7" fmla="*/ 164 h 165"/>
                                <a:gd name="T8" fmla="*/ 352 w 442"/>
                                <a:gd name="T9" fmla="*/ 164 h 165"/>
                                <a:gd name="T10" fmla="*/ 355 w 442"/>
                                <a:gd name="T11" fmla="*/ 164 h 165"/>
                                <a:gd name="T12" fmla="*/ 353 w 442"/>
                                <a:gd name="T13" fmla="*/ 158 h 165"/>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442" h="165">
                                  <a:moveTo>
                                    <a:pt x="353" y="158"/>
                                  </a:moveTo>
                                  <a:lnTo>
                                    <a:pt x="345" y="158"/>
                                  </a:lnTo>
                                  <a:lnTo>
                                    <a:pt x="349" y="160"/>
                                  </a:lnTo>
                                  <a:lnTo>
                                    <a:pt x="350" y="164"/>
                                  </a:lnTo>
                                  <a:lnTo>
                                    <a:pt x="352" y="164"/>
                                  </a:lnTo>
                                  <a:lnTo>
                                    <a:pt x="355" y="164"/>
                                  </a:lnTo>
                                  <a:lnTo>
                                    <a:pt x="353" y="15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9" name="Freeform 119"/>
                          <wps:cNvSpPr>
                            <a:spLocks/>
                          </wps:cNvSpPr>
                          <wps:spPr bwMode="auto">
                            <a:xfrm>
                              <a:off x="1106" y="0"/>
                              <a:ext cx="442" cy="165"/>
                            </a:xfrm>
                            <a:custGeom>
                              <a:avLst/>
                              <a:gdLst>
                                <a:gd name="T0" fmla="*/ 205 w 442"/>
                                <a:gd name="T1" fmla="*/ 158 h 165"/>
                                <a:gd name="T2" fmla="*/ 145 w 442"/>
                                <a:gd name="T3" fmla="*/ 158 h 165"/>
                                <a:gd name="T4" fmla="*/ 163 w 442"/>
                                <a:gd name="T5" fmla="*/ 160 h 165"/>
                                <a:gd name="T6" fmla="*/ 182 w 442"/>
                                <a:gd name="T7" fmla="*/ 161 h 165"/>
                                <a:gd name="T8" fmla="*/ 202 w 442"/>
                                <a:gd name="T9" fmla="*/ 163 h 165"/>
                                <a:gd name="T10" fmla="*/ 223 w 442"/>
                                <a:gd name="T11" fmla="*/ 163 h 165"/>
                                <a:gd name="T12" fmla="*/ 244 w 442"/>
                                <a:gd name="T13" fmla="*/ 164 h 165"/>
                                <a:gd name="T14" fmla="*/ 266 w 442"/>
                                <a:gd name="T15" fmla="*/ 163 h 165"/>
                                <a:gd name="T16" fmla="*/ 287 w 442"/>
                                <a:gd name="T17" fmla="*/ 163 h 165"/>
                                <a:gd name="T18" fmla="*/ 307 w 442"/>
                                <a:gd name="T19" fmla="*/ 162 h 165"/>
                                <a:gd name="T20" fmla="*/ 326 w 442"/>
                                <a:gd name="T21" fmla="*/ 160 h 165"/>
                                <a:gd name="T22" fmla="*/ 339 w 442"/>
                                <a:gd name="T23" fmla="*/ 159 h 165"/>
                                <a:gd name="T24" fmla="*/ 247 w 442"/>
                                <a:gd name="T25" fmla="*/ 159 h 165"/>
                                <a:gd name="T26" fmla="*/ 226 w 442"/>
                                <a:gd name="T27" fmla="*/ 159 h 165"/>
                                <a:gd name="T28" fmla="*/ 205 w 442"/>
                                <a:gd name="T29" fmla="*/ 158 h 165"/>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Lst>
                              <a:ahLst/>
                              <a:cxnLst>
                                <a:cxn ang="T30">
                                  <a:pos x="T0" y="T1"/>
                                </a:cxn>
                                <a:cxn ang="T31">
                                  <a:pos x="T2" y="T3"/>
                                </a:cxn>
                                <a:cxn ang="T32">
                                  <a:pos x="T4" y="T5"/>
                                </a:cxn>
                                <a:cxn ang="T33">
                                  <a:pos x="T6" y="T7"/>
                                </a:cxn>
                                <a:cxn ang="T34">
                                  <a:pos x="T8" y="T9"/>
                                </a:cxn>
                                <a:cxn ang="T35">
                                  <a:pos x="T10" y="T11"/>
                                </a:cxn>
                                <a:cxn ang="T36">
                                  <a:pos x="T12" y="T13"/>
                                </a:cxn>
                                <a:cxn ang="T37">
                                  <a:pos x="T14" y="T15"/>
                                </a:cxn>
                                <a:cxn ang="T38">
                                  <a:pos x="T16" y="T17"/>
                                </a:cxn>
                                <a:cxn ang="T39">
                                  <a:pos x="T18" y="T19"/>
                                </a:cxn>
                                <a:cxn ang="T40">
                                  <a:pos x="T20" y="T21"/>
                                </a:cxn>
                                <a:cxn ang="T41">
                                  <a:pos x="T22" y="T23"/>
                                </a:cxn>
                                <a:cxn ang="T42">
                                  <a:pos x="T24" y="T25"/>
                                </a:cxn>
                                <a:cxn ang="T43">
                                  <a:pos x="T26" y="T27"/>
                                </a:cxn>
                                <a:cxn ang="T44">
                                  <a:pos x="T28" y="T29"/>
                                </a:cxn>
                              </a:cxnLst>
                              <a:rect l="0" t="0" r="r" b="b"/>
                              <a:pathLst>
                                <a:path w="442" h="165">
                                  <a:moveTo>
                                    <a:pt x="205" y="158"/>
                                  </a:moveTo>
                                  <a:lnTo>
                                    <a:pt x="145" y="158"/>
                                  </a:lnTo>
                                  <a:lnTo>
                                    <a:pt x="163" y="160"/>
                                  </a:lnTo>
                                  <a:lnTo>
                                    <a:pt x="182" y="161"/>
                                  </a:lnTo>
                                  <a:lnTo>
                                    <a:pt x="202" y="163"/>
                                  </a:lnTo>
                                  <a:lnTo>
                                    <a:pt x="223" y="163"/>
                                  </a:lnTo>
                                  <a:lnTo>
                                    <a:pt x="244" y="164"/>
                                  </a:lnTo>
                                  <a:lnTo>
                                    <a:pt x="266" y="163"/>
                                  </a:lnTo>
                                  <a:lnTo>
                                    <a:pt x="287" y="163"/>
                                  </a:lnTo>
                                  <a:lnTo>
                                    <a:pt x="307" y="162"/>
                                  </a:lnTo>
                                  <a:lnTo>
                                    <a:pt x="326" y="160"/>
                                  </a:lnTo>
                                  <a:lnTo>
                                    <a:pt x="339" y="159"/>
                                  </a:lnTo>
                                  <a:lnTo>
                                    <a:pt x="247" y="159"/>
                                  </a:lnTo>
                                  <a:lnTo>
                                    <a:pt x="226" y="159"/>
                                  </a:lnTo>
                                  <a:lnTo>
                                    <a:pt x="205" y="15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2" name="Freeform 120"/>
                          <wps:cNvSpPr>
                            <a:spLocks/>
                          </wps:cNvSpPr>
                          <wps:spPr bwMode="auto">
                            <a:xfrm>
                              <a:off x="1106" y="0"/>
                              <a:ext cx="442" cy="165"/>
                            </a:xfrm>
                            <a:custGeom>
                              <a:avLst/>
                              <a:gdLst>
                                <a:gd name="T0" fmla="*/ 9 w 442"/>
                                <a:gd name="T1" fmla="*/ 97 h 165"/>
                                <a:gd name="T2" fmla="*/ 7 w 442"/>
                                <a:gd name="T3" fmla="*/ 97 h 165"/>
                                <a:gd name="T4" fmla="*/ 4 w 442"/>
                                <a:gd name="T5" fmla="*/ 100 h 165"/>
                                <a:gd name="T6" fmla="*/ 5 w 442"/>
                                <a:gd name="T7" fmla="*/ 109 h 165"/>
                                <a:gd name="T8" fmla="*/ 13 w 442"/>
                                <a:gd name="T9" fmla="*/ 117 h 165"/>
                                <a:gd name="T10" fmla="*/ 25 w 442"/>
                                <a:gd name="T11" fmla="*/ 125 h 165"/>
                                <a:gd name="T12" fmla="*/ 13 w 442"/>
                                <a:gd name="T13" fmla="*/ 141 h 165"/>
                                <a:gd name="T14" fmla="*/ 1 w 442"/>
                                <a:gd name="T15" fmla="*/ 157 h 165"/>
                                <a:gd name="T16" fmla="*/ 0 w 442"/>
                                <a:gd name="T17" fmla="*/ 162 h 165"/>
                                <a:gd name="T18" fmla="*/ 4 w 442"/>
                                <a:gd name="T19" fmla="*/ 162 h 165"/>
                                <a:gd name="T20" fmla="*/ 15 w 442"/>
                                <a:gd name="T21" fmla="*/ 145 h 165"/>
                                <a:gd name="T22" fmla="*/ 27 w 442"/>
                                <a:gd name="T23" fmla="*/ 129 h 165"/>
                                <a:gd name="T24" fmla="*/ 46 w 442"/>
                                <a:gd name="T25" fmla="*/ 129 h 165"/>
                                <a:gd name="T26" fmla="*/ 41 w 442"/>
                                <a:gd name="T27" fmla="*/ 128 h 165"/>
                                <a:gd name="T28" fmla="*/ 47 w 442"/>
                                <a:gd name="T29" fmla="*/ 119 h 165"/>
                                <a:gd name="T30" fmla="*/ 30 w 442"/>
                                <a:gd name="T31" fmla="*/ 119 h 165"/>
                                <a:gd name="T32" fmla="*/ 16 w 442"/>
                                <a:gd name="T33" fmla="*/ 113 h 165"/>
                                <a:gd name="T34" fmla="*/ 9 w 442"/>
                                <a:gd name="T35" fmla="*/ 105 h 165"/>
                                <a:gd name="T36" fmla="*/ 9 w 442"/>
                                <a:gd name="T37" fmla="*/ 97 h 165"/>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Lst>
                              <a:ahLst/>
                              <a:cxnLst>
                                <a:cxn ang="T38">
                                  <a:pos x="T0" y="T1"/>
                                </a:cxn>
                                <a:cxn ang="T39">
                                  <a:pos x="T2" y="T3"/>
                                </a:cxn>
                                <a:cxn ang="T40">
                                  <a:pos x="T4" y="T5"/>
                                </a:cxn>
                                <a:cxn ang="T41">
                                  <a:pos x="T6" y="T7"/>
                                </a:cxn>
                                <a:cxn ang="T42">
                                  <a:pos x="T8" y="T9"/>
                                </a:cxn>
                                <a:cxn ang="T43">
                                  <a:pos x="T10" y="T11"/>
                                </a:cxn>
                                <a:cxn ang="T44">
                                  <a:pos x="T12" y="T13"/>
                                </a:cxn>
                                <a:cxn ang="T45">
                                  <a:pos x="T14" y="T15"/>
                                </a:cxn>
                                <a:cxn ang="T46">
                                  <a:pos x="T16" y="T17"/>
                                </a:cxn>
                                <a:cxn ang="T47">
                                  <a:pos x="T18" y="T19"/>
                                </a:cxn>
                                <a:cxn ang="T48">
                                  <a:pos x="T20" y="T21"/>
                                </a:cxn>
                                <a:cxn ang="T49">
                                  <a:pos x="T22" y="T23"/>
                                </a:cxn>
                                <a:cxn ang="T50">
                                  <a:pos x="T24" y="T25"/>
                                </a:cxn>
                                <a:cxn ang="T51">
                                  <a:pos x="T26" y="T27"/>
                                </a:cxn>
                                <a:cxn ang="T52">
                                  <a:pos x="T28" y="T29"/>
                                </a:cxn>
                                <a:cxn ang="T53">
                                  <a:pos x="T30" y="T31"/>
                                </a:cxn>
                                <a:cxn ang="T54">
                                  <a:pos x="T32" y="T33"/>
                                </a:cxn>
                                <a:cxn ang="T55">
                                  <a:pos x="T34" y="T35"/>
                                </a:cxn>
                                <a:cxn ang="T56">
                                  <a:pos x="T36" y="T37"/>
                                </a:cxn>
                              </a:cxnLst>
                              <a:rect l="0" t="0" r="r" b="b"/>
                              <a:pathLst>
                                <a:path w="442" h="165">
                                  <a:moveTo>
                                    <a:pt x="9" y="97"/>
                                  </a:moveTo>
                                  <a:lnTo>
                                    <a:pt x="7" y="97"/>
                                  </a:lnTo>
                                  <a:lnTo>
                                    <a:pt x="4" y="100"/>
                                  </a:lnTo>
                                  <a:lnTo>
                                    <a:pt x="5" y="109"/>
                                  </a:lnTo>
                                  <a:lnTo>
                                    <a:pt x="13" y="117"/>
                                  </a:lnTo>
                                  <a:lnTo>
                                    <a:pt x="25" y="125"/>
                                  </a:lnTo>
                                  <a:lnTo>
                                    <a:pt x="13" y="141"/>
                                  </a:lnTo>
                                  <a:lnTo>
                                    <a:pt x="1" y="157"/>
                                  </a:lnTo>
                                  <a:lnTo>
                                    <a:pt x="0" y="162"/>
                                  </a:lnTo>
                                  <a:lnTo>
                                    <a:pt x="4" y="162"/>
                                  </a:lnTo>
                                  <a:lnTo>
                                    <a:pt x="15" y="145"/>
                                  </a:lnTo>
                                  <a:lnTo>
                                    <a:pt x="27" y="129"/>
                                  </a:lnTo>
                                  <a:lnTo>
                                    <a:pt x="46" y="129"/>
                                  </a:lnTo>
                                  <a:lnTo>
                                    <a:pt x="41" y="128"/>
                                  </a:lnTo>
                                  <a:lnTo>
                                    <a:pt x="47" y="119"/>
                                  </a:lnTo>
                                  <a:lnTo>
                                    <a:pt x="30" y="119"/>
                                  </a:lnTo>
                                  <a:lnTo>
                                    <a:pt x="16" y="113"/>
                                  </a:lnTo>
                                  <a:lnTo>
                                    <a:pt x="9" y="105"/>
                                  </a:lnTo>
                                  <a:lnTo>
                                    <a:pt x="9" y="9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3" name="Freeform 121"/>
                          <wps:cNvSpPr>
                            <a:spLocks/>
                          </wps:cNvSpPr>
                          <wps:spPr bwMode="auto">
                            <a:xfrm>
                              <a:off x="1106" y="0"/>
                              <a:ext cx="442" cy="165"/>
                            </a:xfrm>
                            <a:custGeom>
                              <a:avLst/>
                              <a:gdLst>
                                <a:gd name="T0" fmla="*/ 307 w 442"/>
                                <a:gd name="T1" fmla="*/ 34 h 165"/>
                                <a:gd name="T2" fmla="*/ 279 w 442"/>
                                <a:gd name="T3" fmla="*/ 34 h 165"/>
                                <a:gd name="T4" fmla="*/ 293 w 442"/>
                                <a:gd name="T5" fmla="*/ 46 h 165"/>
                                <a:gd name="T6" fmla="*/ 305 w 442"/>
                                <a:gd name="T7" fmla="*/ 61 h 165"/>
                                <a:gd name="T8" fmla="*/ 334 w 442"/>
                                <a:gd name="T9" fmla="*/ 117 h 165"/>
                                <a:gd name="T10" fmla="*/ 347 w 442"/>
                                <a:gd name="T11" fmla="*/ 153 h 165"/>
                                <a:gd name="T12" fmla="*/ 328 w 442"/>
                                <a:gd name="T13" fmla="*/ 155 h 165"/>
                                <a:gd name="T14" fmla="*/ 308 w 442"/>
                                <a:gd name="T15" fmla="*/ 157 h 165"/>
                                <a:gd name="T16" fmla="*/ 288 w 442"/>
                                <a:gd name="T17" fmla="*/ 158 h 165"/>
                                <a:gd name="T18" fmla="*/ 268 w 442"/>
                                <a:gd name="T19" fmla="*/ 159 h 165"/>
                                <a:gd name="T20" fmla="*/ 247 w 442"/>
                                <a:gd name="T21" fmla="*/ 159 h 165"/>
                                <a:gd name="T22" fmla="*/ 339 w 442"/>
                                <a:gd name="T23" fmla="*/ 159 h 165"/>
                                <a:gd name="T24" fmla="*/ 345 w 442"/>
                                <a:gd name="T25" fmla="*/ 158 h 165"/>
                                <a:gd name="T26" fmla="*/ 353 w 442"/>
                                <a:gd name="T27" fmla="*/ 158 h 165"/>
                                <a:gd name="T28" fmla="*/ 353 w 442"/>
                                <a:gd name="T29" fmla="*/ 157 h 165"/>
                                <a:gd name="T30" fmla="*/ 374 w 442"/>
                                <a:gd name="T31" fmla="*/ 154 h 165"/>
                                <a:gd name="T32" fmla="*/ 394 w 442"/>
                                <a:gd name="T33" fmla="*/ 150 h 165"/>
                                <a:gd name="T34" fmla="*/ 395 w 442"/>
                                <a:gd name="T35" fmla="*/ 150 h 165"/>
                                <a:gd name="T36" fmla="*/ 366 w 442"/>
                                <a:gd name="T37" fmla="*/ 150 h 165"/>
                                <a:gd name="T38" fmla="*/ 353 w 442"/>
                                <a:gd name="T39" fmla="*/ 130 h 165"/>
                                <a:gd name="T40" fmla="*/ 342 w 442"/>
                                <a:gd name="T41" fmla="*/ 111 h 165"/>
                                <a:gd name="T42" fmla="*/ 331 w 442"/>
                                <a:gd name="T43" fmla="*/ 92 h 165"/>
                                <a:gd name="T44" fmla="*/ 321 w 442"/>
                                <a:gd name="T45" fmla="*/ 75 h 165"/>
                                <a:gd name="T46" fmla="*/ 312 w 442"/>
                                <a:gd name="T47" fmla="*/ 59 h 165"/>
                                <a:gd name="T48" fmla="*/ 303 w 442"/>
                                <a:gd name="T49" fmla="*/ 44 h 165"/>
                                <a:gd name="T50" fmla="*/ 307 w 442"/>
                                <a:gd name="T51" fmla="*/ 34 h 165"/>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Lst>
                              <a:ahLst/>
                              <a:cxnLst>
                                <a:cxn ang="T52">
                                  <a:pos x="T0" y="T1"/>
                                </a:cxn>
                                <a:cxn ang="T53">
                                  <a:pos x="T2" y="T3"/>
                                </a:cxn>
                                <a:cxn ang="T54">
                                  <a:pos x="T4" y="T5"/>
                                </a:cxn>
                                <a:cxn ang="T55">
                                  <a:pos x="T6" y="T7"/>
                                </a:cxn>
                                <a:cxn ang="T56">
                                  <a:pos x="T8" y="T9"/>
                                </a:cxn>
                                <a:cxn ang="T57">
                                  <a:pos x="T10" y="T11"/>
                                </a:cxn>
                                <a:cxn ang="T58">
                                  <a:pos x="T12" y="T13"/>
                                </a:cxn>
                                <a:cxn ang="T59">
                                  <a:pos x="T14" y="T15"/>
                                </a:cxn>
                                <a:cxn ang="T60">
                                  <a:pos x="T16" y="T17"/>
                                </a:cxn>
                                <a:cxn ang="T61">
                                  <a:pos x="T18" y="T19"/>
                                </a:cxn>
                                <a:cxn ang="T62">
                                  <a:pos x="T20" y="T21"/>
                                </a:cxn>
                                <a:cxn ang="T63">
                                  <a:pos x="T22" y="T23"/>
                                </a:cxn>
                                <a:cxn ang="T64">
                                  <a:pos x="T24" y="T25"/>
                                </a:cxn>
                                <a:cxn ang="T65">
                                  <a:pos x="T26" y="T27"/>
                                </a:cxn>
                                <a:cxn ang="T66">
                                  <a:pos x="T28" y="T29"/>
                                </a:cxn>
                                <a:cxn ang="T67">
                                  <a:pos x="T30" y="T31"/>
                                </a:cxn>
                                <a:cxn ang="T68">
                                  <a:pos x="T32" y="T33"/>
                                </a:cxn>
                                <a:cxn ang="T69">
                                  <a:pos x="T34" y="T35"/>
                                </a:cxn>
                                <a:cxn ang="T70">
                                  <a:pos x="T36" y="T37"/>
                                </a:cxn>
                                <a:cxn ang="T71">
                                  <a:pos x="T38" y="T39"/>
                                </a:cxn>
                                <a:cxn ang="T72">
                                  <a:pos x="T40" y="T41"/>
                                </a:cxn>
                                <a:cxn ang="T73">
                                  <a:pos x="T42" y="T43"/>
                                </a:cxn>
                                <a:cxn ang="T74">
                                  <a:pos x="T44" y="T45"/>
                                </a:cxn>
                                <a:cxn ang="T75">
                                  <a:pos x="T46" y="T47"/>
                                </a:cxn>
                                <a:cxn ang="T76">
                                  <a:pos x="T48" y="T49"/>
                                </a:cxn>
                                <a:cxn ang="T77">
                                  <a:pos x="T50" y="T51"/>
                                </a:cxn>
                              </a:cxnLst>
                              <a:rect l="0" t="0" r="r" b="b"/>
                              <a:pathLst>
                                <a:path w="442" h="165">
                                  <a:moveTo>
                                    <a:pt x="307" y="34"/>
                                  </a:moveTo>
                                  <a:lnTo>
                                    <a:pt x="279" y="34"/>
                                  </a:lnTo>
                                  <a:lnTo>
                                    <a:pt x="293" y="46"/>
                                  </a:lnTo>
                                  <a:lnTo>
                                    <a:pt x="305" y="61"/>
                                  </a:lnTo>
                                  <a:lnTo>
                                    <a:pt x="334" y="117"/>
                                  </a:lnTo>
                                  <a:lnTo>
                                    <a:pt x="347" y="153"/>
                                  </a:lnTo>
                                  <a:lnTo>
                                    <a:pt x="328" y="155"/>
                                  </a:lnTo>
                                  <a:lnTo>
                                    <a:pt x="308" y="157"/>
                                  </a:lnTo>
                                  <a:lnTo>
                                    <a:pt x="288" y="158"/>
                                  </a:lnTo>
                                  <a:lnTo>
                                    <a:pt x="268" y="159"/>
                                  </a:lnTo>
                                  <a:lnTo>
                                    <a:pt x="247" y="159"/>
                                  </a:lnTo>
                                  <a:lnTo>
                                    <a:pt x="339" y="159"/>
                                  </a:lnTo>
                                  <a:lnTo>
                                    <a:pt x="345" y="158"/>
                                  </a:lnTo>
                                  <a:lnTo>
                                    <a:pt x="353" y="158"/>
                                  </a:lnTo>
                                  <a:lnTo>
                                    <a:pt x="353" y="157"/>
                                  </a:lnTo>
                                  <a:lnTo>
                                    <a:pt x="374" y="154"/>
                                  </a:lnTo>
                                  <a:lnTo>
                                    <a:pt x="394" y="150"/>
                                  </a:lnTo>
                                  <a:lnTo>
                                    <a:pt x="395" y="150"/>
                                  </a:lnTo>
                                  <a:lnTo>
                                    <a:pt x="366" y="150"/>
                                  </a:lnTo>
                                  <a:lnTo>
                                    <a:pt x="353" y="130"/>
                                  </a:lnTo>
                                  <a:lnTo>
                                    <a:pt x="342" y="111"/>
                                  </a:lnTo>
                                  <a:lnTo>
                                    <a:pt x="331" y="92"/>
                                  </a:lnTo>
                                  <a:lnTo>
                                    <a:pt x="321" y="75"/>
                                  </a:lnTo>
                                  <a:lnTo>
                                    <a:pt x="312" y="59"/>
                                  </a:lnTo>
                                  <a:lnTo>
                                    <a:pt x="303" y="44"/>
                                  </a:lnTo>
                                  <a:lnTo>
                                    <a:pt x="307" y="3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4" name="Freeform 122"/>
                          <wps:cNvSpPr>
                            <a:spLocks/>
                          </wps:cNvSpPr>
                          <wps:spPr bwMode="auto">
                            <a:xfrm>
                              <a:off x="1106" y="0"/>
                              <a:ext cx="442" cy="165"/>
                            </a:xfrm>
                            <a:custGeom>
                              <a:avLst/>
                              <a:gdLst>
                                <a:gd name="T0" fmla="*/ 46 w 442"/>
                                <a:gd name="T1" fmla="*/ 129 h 165"/>
                                <a:gd name="T2" fmla="*/ 27 w 442"/>
                                <a:gd name="T3" fmla="*/ 129 h 165"/>
                                <a:gd name="T4" fmla="*/ 42 w 442"/>
                                <a:gd name="T5" fmla="*/ 135 h 165"/>
                                <a:gd name="T6" fmla="*/ 122 w 442"/>
                                <a:gd name="T7" fmla="*/ 154 h 165"/>
                                <a:gd name="T8" fmla="*/ 139 w 442"/>
                                <a:gd name="T9" fmla="*/ 156 h 165"/>
                                <a:gd name="T10" fmla="*/ 142 w 442"/>
                                <a:gd name="T11" fmla="*/ 157 h 165"/>
                                <a:gd name="T12" fmla="*/ 144 w 442"/>
                                <a:gd name="T13" fmla="*/ 158 h 165"/>
                                <a:gd name="T14" fmla="*/ 145 w 442"/>
                                <a:gd name="T15" fmla="*/ 158 h 165"/>
                                <a:gd name="T16" fmla="*/ 205 w 442"/>
                                <a:gd name="T17" fmla="*/ 158 h 165"/>
                                <a:gd name="T18" fmla="*/ 185 w 442"/>
                                <a:gd name="T19" fmla="*/ 157 h 165"/>
                                <a:gd name="T20" fmla="*/ 166 w 442"/>
                                <a:gd name="T21" fmla="*/ 155 h 165"/>
                                <a:gd name="T22" fmla="*/ 147 w 442"/>
                                <a:gd name="T23" fmla="*/ 153 h 165"/>
                                <a:gd name="T24" fmla="*/ 147 w 442"/>
                                <a:gd name="T25" fmla="*/ 152 h 165"/>
                                <a:gd name="T26" fmla="*/ 142 w 442"/>
                                <a:gd name="T27" fmla="*/ 152 h 165"/>
                                <a:gd name="T28" fmla="*/ 117 w 442"/>
                                <a:gd name="T29" fmla="*/ 149 h 165"/>
                                <a:gd name="T30" fmla="*/ 95 w 442"/>
                                <a:gd name="T31" fmla="*/ 144 h 165"/>
                                <a:gd name="T32" fmla="*/ 74 w 442"/>
                                <a:gd name="T33" fmla="*/ 139 h 165"/>
                                <a:gd name="T34" fmla="*/ 56 w 442"/>
                                <a:gd name="T35" fmla="*/ 134 h 165"/>
                                <a:gd name="T36" fmla="*/ 46 w 442"/>
                                <a:gd name="T37" fmla="*/ 129 h 165"/>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Lst>
                              <a:ahLst/>
                              <a:cxnLst>
                                <a:cxn ang="T38">
                                  <a:pos x="T0" y="T1"/>
                                </a:cxn>
                                <a:cxn ang="T39">
                                  <a:pos x="T2" y="T3"/>
                                </a:cxn>
                                <a:cxn ang="T40">
                                  <a:pos x="T4" y="T5"/>
                                </a:cxn>
                                <a:cxn ang="T41">
                                  <a:pos x="T6" y="T7"/>
                                </a:cxn>
                                <a:cxn ang="T42">
                                  <a:pos x="T8" y="T9"/>
                                </a:cxn>
                                <a:cxn ang="T43">
                                  <a:pos x="T10" y="T11"/>
                                </a:cxn>
                                <a:cxn ang="T44">
                                  <a:pos x="T12" y="T13"/>
                                </a:cxn>
                                <a:cxn ang="T45">
                                  <a:pos x="T14" y="T15"/>
                                </a:cxn>
                                <a:cxn ang="T46">
                                  <a:pos x="T16" y="T17"/>
                                </a:cxn>
                                <a:cxn ang="T47">
                                  <a:pos x="T18" y="T19"/>
                                </a:cxn>
                                <a:cxn ang="T48">
                                  <a:pos x="T20" y="T21"/>
                                </a:cxn>
                                <a:cxn ang="T49">
                                  <a:pos x="T22" y="T23"/>
                                </a:cxn>
                                <a:cxn ang="T50">
                                  <a:pos x="T24" y="T25"/>
                                </a:cxn>
                                <a:cxn ang="T51">
                                  <a:pos x="T26" y="T27"/>
                                </a:cxn>
                                <a:cxn ang="T52">
                                  <a:pos x="T28" y="T29"/>
                                </a:cxn>
                                <a:cxn ang="T53">
                                  <a:pos x="T30" y="T31"/>
                                </a:cxn>
                                <a:cxn ang="T54">
                                  <a:pos x="T32" y="T33"/>
                                </a:cxn>
                                <a:cxn ang="T55">
                                  <a:pos x="T34" y="T35"/>
                                </a:cxn>
                                <a:cxn ang="T56">
                                  <a:pos x="T36" y="T37"/>
                                </a:cxn>
                              </a:cxnLst>
                              <a:rect l="0" t="0" r="r" b="b"/>
                              <a:pathLst>
                                <a:path w="442" h="165">
                                  <a:moveTo>
                                    <a:pt x="46" y="129"/>
                                  </a:moveTo>
                                  <a:lnTo>
                                    <a:pt x="27" y="129"/>
                                  </a:lnTo>
                                  <a:lnTo>
                                    <a:pt x="42" y="135"/>
                                  </a:lnTo>
                                  <a:lnTo>
                                    <a:pt x="122" y="154"/>
                                  </a:lnTo>
                                  <a:lnTo>
                                    <a:pt x="139" y="156"/>
                                  </a:lnTo>
                                  <a:lnTo>
                                    <a:pt x="142" y="157"/>
                                  </a:lnTo>
                                  <a:lnTo>
                                    <a:pt x="144" y="158"/>
                                  </a:lnTo>
                                  <a:lnTo>
                                    <a:pt x="145" y="158"/>
                                  </a:lnTo>
                                  <a:lnTo>
                                    <a:pt x="205" y="158"/>
                                  </a:lnTo>
                                  <a:lnTo>
                                    <a:pt x="185" y="157"/>
                                  </a:lnTo>
                                  <a:lnTo>
                                    <a:pt x="166" y="155"/>
                                  </a:lnTo>
                                  <a:lnTo>
                                    <a:pt x="147" y="153"/>
                                  </a:lnTo>
                                  <a:lnTo>
                                    <a:pt x="147" y="152"/>
                                  </a:lnTo>
                                  <a:lnTo>
                                    <a:pt x="142" y="152"/>
                                  </a:lnTo>
                                  <a:lnTo>
                                    <a:pt x="117" y="149"/>
                                  </a:lnTo>
                                  <a:lnTo>
                                    <a:pt x="95" y="144"/>
                                  </a:lnTo>
                                  <a:lnTo>
                                    <a:pt x="74" y="139"/>
                                  </a:lnTo>
                                  <a:lnTo>
                                    <a:pt x="56" y="134"/>
                                  </a:lnTo>
                                  <a:lnTo>
                                    <a:pt x="46" y="129"/>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5" name="Freeform 123"/>
                          <wps:cNvSpPr>
                            <a:spLocks/>
                          </wps:cNvSpPr>
                          <wps:spPr bwMode="auto">
                            <a:xfrm>
                              <a:off x="1106" y="0"/>
                              <a:ext cx="442" cy="165"/>
                            </a:xfrm>
                            <a:custGeom>
                              <a:avLst/>
                              <a:gdLst>
                                <a:gd name="T0" fmla="*/ 215 w 442"/>
                                <a:gd name="T1" fmla="*/ 29 h 165"/>
                                <a:gd name="T2" fmla="*/ 169 w 442"/>
                                <a:gd name="T3" fmla="*/ 29 h 165"/>
                                <a:gd name="T4" fmla="*/ 187 w 442"/>
                                <a:gd name="T5" fmla="*/ 30 h 165"/>
                                <a:gd name="T6" fmla="*/ 182 w 442"/>
                                <a:gd name="T7" fmla="*/ 45 h 165"/>
                                <a:gd name="T8" fmla="*/ 175 w 442"/>
                                <a:gd name="T9" fmla="*/ 62 h 165"/>
                                <a:gd name="T10" fmla="*/ 161 w 442"/>
                                <a:gd name="T11" fmla="*/ 99 h 165"/>
                                <a:gd name="T12" fmla="*/ 153 w 442"/>
                                <a:gd name="T13" fmla="*/ 120 h 165"/>
                                <a:gd name="T14" fmla="*/ 145 w 442"/>
                                <a:gd name="T15" fmla="*/ 142 h 165"/>
                                <a:gd name="T16" fmla="*/ 142 w 442"/>
                                <a:gd name="T17" fmla="*/ 152 h 165"/>
                                <a:gd name="T18" fmla="*/ 147 w 442"/>
                                <a:gd name="T19" fmla="*/ 152 h 165"/>
                                <a:gd name="T20" fmla="*/ 150 w 442"/>
                                <a:gd name="T21" fmla="*/ 142 h 165"/>
                                <a:gd name="T22" fmla="*/ 154 w 442"/>
                                <a:gd name="T23" fmla="*/ 131 h 165"/>
                                <a:gd name="T24" fmla="*/ 186 w 442"/>
                                <a:gd name="T25" fmla="*/ 61 h 165"/>
                                <a:gd name="T26" fmla="*/ 260 w 442"/>
                                <a:gd name="T27" fmla="*/ 35 h 165"/>
                                <a:gd name="T28" fmla="*/ 279 w 442"/>
                                <a:gd name="T29" fmla="*/ 34 h 165"/>
                                <a:gd name="T30" fmla="*/ 307 w 442"/>
                                <a:gd name="T31" fmla="*/ 34 h 165"/>
                                <a:gd name="T32" fmla="*/ 309 w 442"/>
                                <a:gd name="T33" fmla="*/ 30 h 165"/>
                                <a:gd name="T34" fmla="*/ 232 w 442"/>
                                <a:gd name="T35" fmla="*/ 30 h 165"/>
                                <a:gd name="T36" fmla="*/ 219 w 442"/>
                                <a:gd name="T37" fmla="*/ 30 h 165"/>
                                <a:gd name="T38" fmla="*/ 215 w 442"/>
                                <a:gd name="T39" fmla="*/ 29 h 165"/>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Lst>
                              <a:ahLst/>
                              <a:cxnLst>
                                <a:cxn ang="T40">
                                  <a:pos x="T0" y="T1"/>
                                </a:cxn>
                                <a:cxn ang="T41">
                                  <a:pos x="T2" y="T3"/>
                                </a:cxn>
                                <a:cxn ang="T42">
                                  <a:pos x="T4" y="T5"/>
                                </a:cxn>
                                <a:cxn ang="T43">
                                  <a:pos x="T6" y="T7"/>
                                </a:cxn>
                                <a:cxn ang="T44">
                                  <a:pos x="T8" y="T9"/>
                                </a:cxn>
                                <a:cxn ang="T45">
                                  <a:pos x="T10" y="T11"/>
                                </a:cxn>
                                <a:cxn ang="T46">
                                  <a:pos x="T12" y="T13"/>
                                </a:cxn>
                                <a:cxn ang="T47">
                                  <a:pos x="T14" y="T15"/>
                                </a:cxn>
                                <a:cxn ang="T48">
                                  <a:pos x="T16" y="T17"/>
                                </a:cxn>
                                <a:cxn ang="T49">
                                  <a:pos x="T18" y="T19"/>
                                </a:cxn>
                                <a:cxn ang="T50">
                                  <a:pos x="T20" y="T21"/>
                                </a:cxn>
                                <a:cxn ang="T51">
                                  <a:pos x="T22" y="T23"/>
                                </a:cxn>
                                <a:cxn ang="T52">
                                  <a:pos x="T24" y="T25"/>
                                </a:cxn>
                                <a:cxn ang="T53">
                                  <a:pos x="T26" y="T27"/>
                                </a:cxn>
                                <a:cxn ang="T54">
                                  <a:pos x="T28" y="T29"/>
                                </a:cxn>
                                <a:cxn ang="T55">
                                  <a:pos x="T30" y="T31"/>
                                </a:cxn>
                                <a:cxn ang="T56">
                                  <a:pos x="T32" y="T33"/>
                                </a:cxn>
                                <a:cxn ang="T57">
                                  <a:pos x="T34" y="T35"/>
                                </a:cxn>
                                <a:cxn ang="T58">
                                  <a:pos x="T36" y="T37"/>
                                </a:cxn>
                                <a:cxn ang="T59">
                                  <a:pos x="T38" y="T39"/>
                                </a:cxn>
                              </a:cxnLst>
                              <a:rect l="0" t="0" r="r" b="b"/>
                              <a:pathLst>
                                <a:path w="442" h="165">
                                  <a:moveTo>
                                    <a:pt x="215" y="29"/>
                                  </a:moveTo>
                                  <a:lnTo>
                                    <a:pt x="169" y="29"/>
                                  </a:lnTo>
                                  <a:lnTo>
                                    <a:pt x="187" y="30"/>
                                  </a:lnTo>
                                  <a:lnTo>
                                    <a:pt x="182" y="45"/>
                                  </a:lnTo>
                                  <a:lnTo>
                                    <a:pt x="175" y="62"/>
                                  </a:lnTo>
                                  <a:lnTo>
                                    <a:pt x="161" y="99"/>
                                  </a:lnTo>
                                  <a:lnTo>
                                    <a:pt x="153" y="120"/>
                                  </a:lnTo>
                                  <a:lnTo>
                                    <a:pt x="145" y="142"/>
                                  </a:lnTo>
                                  <a:lnTo>
                                    <a:pt x="142" y="152"/>
                                  </a:lnTo>
                                  <a:lnTo>
                                    <a:pt x="147" y="152"/>
                                  </a:lnTo>
                                  <a:lnTo>
                                    <a:pt x="150" y="142"/>
                                  </a:lnTo>
                                  <a:lnTo>
                                    <a:pt x="154" y="131"/>
                                  </a:lnTo>
                                  <a:lnTo>
                                    <a:pt x="186" y="61"/>
                                  </a:lnTo>
                                  <a:lnTo>
                                    <a:pt x="260" y="35"/>
                                  </a:lnTo>
                                  <a:lnTo>
                                    <a:pt x="279" y="34"/>
                                  </a:lnTo>
                                  <a:lnTo>
                                    <a:pt x="307" y="34"/>
                                  </a:lnTo>
                                  <a:lnTo>
                                    <a:pt x="309" y="30"/>
                                  </a:lnTo>
                                  <a:lnTo>
                                    <a:pt x="232" y="30"/>
                                  </a:lnTo>
                                  <a:lnTo>
                                    <a:pt x="219" y="30"/>
                                  </a:lnTo>
                                  <a:lnTo>
                                    <a:pt x="215" y="29"/>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6" name="Freeform 124"/>
                          <wps:cNvSpPr>
                            <a:spLocks/>
                          </wps:cNvSpPr>
                          <wps:spPr bwMode="auto">
                            <a:xfrm>
                              <a:off x="1106" y="0"/>
                              <a:ext cx="442" cy="165"/>
                            </a:xfrm>
                            <a:custGeom>
                              <a:avLst/>
                              <a:gdLst>
                                <a:gd name="T0" fmla="*/ 423 w 442"/>
                                <a:gd name="T1" fmla="*/ 138 h 165"/>
                                <a:gd name="T2" fmla="*/ 406 w 442"/>
                                <a:gd name="T3" fmla="*/ 142 h 165"/>
                                <a:gd name="T4" fmla="*/ 387 w 442"/>
                                <a:gd name="T5" fmla="*/ 146 h 165"/>
                                <a:gd name="T6" fmla="*/ 366 w 442"/>
                                <a:gd name="T7" fmla="*/ 150 h 165"/>
                                <a:gd name="T8" fmla="*/ 395 w 442"/>
                                <a:gd name="T9" fmla="*/ 150 h 165"/>
                                <a:gd name="T10" fmla="*/ 413 w 442"/>
                                <a:gd name="T11" fmla="*/ 146 h 165"/>
                                <a:gd name="T12" fmla="*/ 421 w 442"/>
                                <a:gd name="T13" fmla="*/ 142 h 165"/>
                                <a:gd name="T14" fmla="*/ 423 w 442"/>
                                <a:gd name="T15" fmla="*/ 138 h 165"/>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442" h="165">
                                  <a:moveTo>
                                    <a:pt x="423" y="138"/>
                                  </a:moveTo>
                                  <a:lnTo>
                                    <a:pt x="406" y="142"/>
                                  </a:lnTo>
                                  <a:lnTo>
                                    <a:pt x="387" y="146"/>
                                  </a:lnTo>
                                  <a:lnTo>
                                    <a:pt x="366" y="150"/>
                                  </a:lnTo>
                                  <a:lnTo>
                                    <a:pt x="395" y="150"/>
                                  </a:lnTo>
                                  <a:lnTo>
                                    <a:pt x="413" y="146"/>
                                  </a:lnTo>
                                  <a:lnTo>
                                    <a:pt x="421" y="142"/>
                                  </a:lnTo>
                                  <a:lnTo>
                                    <a:pt x="423" y="13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7" name="Freeform 125"/>
                          <wps:cNvSpPr>
                            <a:spLocks/>
                          </wps:cNvSpPr>
                          <wps:spPr bwMode="auto">
                            <a:xfrm>
                              <a:off x="1106" y="0"/>
                              <a:ext cx="442" cy="165"/>
                            </a:xfrm>
                            <a:custGeom>
                              <a:avLst/>
                              <a:gdLst>
                                <a:gd name="T0" fmla="*/ 155 w 442"/>
                                <a:gd name="T1" fmla="*/ 12 h 165"/>
                                <a:gd name="T2" fmla="*/ 150 w 442"/>
                                <a:gd name="T3" fmla="*/ 14 h 165"/>
                                <a:gd name="T4" fmla="*/ 151 w 442"/>
                                <a:gd name="T5" fmla="*/ 16 h 165"/>
                                <a:gd name="T6" fmla="*/ 153 w 442"/>
                                <a:gd name="T7" fmla="*/ 18 h 165"/>
                                <a:gd name="T8" fmla="*/ 156 w 442"/>
                                <a:gd name="T9" fmla="*/ 20 h 165"/>
                                <a:gd name="T10" fmla="*/ 139 w 442"/>
                                <a:gd name="T11" fmla="*/ 28 h 165"/>
                                <a:gd name="T12" fmla="*/ 73 w 442"/>
                                <a:gd name="T13" fmla="*/ 74 h 165"/>
                                <a:gd name="T14" fmla="*/ 30 w 442"/>
                                <a:gd name="T15" fmla="*/ 119 h 165"/>
                                <a:gd name="T16" fmla="*/ 47 w 442"/>
                                <a:gd name="T17" fmla="*/ 119 h 165"/>
                                <a:gd name="T18" fmla="*/ 53 w 442"/>
                                <a:gd name="T19" fmla="*/ 110 h 165"/>
                                <a:gd name="T20" fmla="*/ 66 w 442"/>
                                <a:gd name="T21" fmla="*/ 93 h 165"/>
                                <a:gd name="T22" fmla="*/ 112 w 442"/>
                                <a:gd name="T23" fmla="*/ 52 h 165"/>
                                <a:gd name="T24" fmla="*/ 169 w 442"/>
                                <a:gd name="T25" fmla="*/ 29 h 165"/>
                                <a:gd name="T26" fmla="*/ 215 w 442"/>
                                <a:gd name="T27" fmla="*/ 29 h 165"/>
                                <a:gd name="T28" fmla="*/ 207 w 442"/>
                                <a:gd name="T29" fmla="*/ 28 h 165"/>
                                <a:gd name="T30" fmla="*/ 208 w 442"/>
                                <a:gd name="T31" fmla="*/ 28 h 165"/>
                                <a:gd name="T32" fmla="*/ 202 w 442"/>
                                <a:gd name="T33" fmla="*/ 28 h 165"/>
                                <a:gd name="T34" fmla="*/ 187 w 442"/>
                                <a:gd name="T35" fmla="*/ 26 h 165"/>
                                <a:gd name="T36" fmla="*/ 176 w 442"/>
                                <a:gd name="T37" fmla="*/ 23 h 165"/>
                                <a:gd name="T38" fmla="*/ 168 w 442"/>
                                <a:gd name="T39" fmla="*/ 20 h 165"/>
                                <a:gd name="T40" fmla="*/ 180 w 442"/>
                                <a:gd name="T41" fmla="*/ 16 h 165"/>
                                <a:gd name="T42" fmla="*/ 158 w 442"/>
                                <a:gd name="T43" fmla="*/ 16 h 165"/>
                                <a:gd name="T44" fmla="*/ 156 w 442"/>
                                <a:gd name="T45" fmla="*/ 14 h 165"/>
                                <a:gd name="T46" fmla="*/ 155 w 442"/>
                                <a:gd name="T47" fmla="*/ 12 h 165"/>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Lst>
                              <a:ahLst/>
                              <a:cxnLst>
                                <a:cxn ang="T48">
                                  <a:pos x="T0" y="T1"/>
                                </a:cxn>
                                <a:cxn ang="T49">
                                  <a:pos x="T2" y="T3"/>
                                </a:cxn>
                                <a:cxn ang="T50">
                                  <a:pos x="T4" y="T5"/>
                                </a:cxn>
                                <a:cxn ang="T51">
                                  <a:pos x="T6" y="T7"/>
                                </a:cxn>
                                <a:cxn ang="T52">
                                  <a:pos x="T8" y="T9"/>
                                </a:cxn>
                                <a:cxn ang="T53">
                                  <a:pos x="T10" y="T11"/>
                                </a:cxn>
                                <a:cxn ang="T54">
                                  <a:pos x="T12" y="T13"/>
                                </a:cxn>
                                <a:cxn ang="T55">
                                  <a:pos x="T14" y="T15"/>
                                </a:cxn>
                                <a:cxn ang="T56">
                                  <a:pos x="T16" y="T17"/>
                                </a:cxn>
                                <a:cxn ang="T57">
                                  <a:pos x="T18" y="T19"/>
                                </a:cxn>
                                <a:cxn ang="T58">
                                  <a:pos x="T20" y="T21"/>
                                </a:cxn>
                                <a:cxn ang="T59">
                                  <a:pos x="T22" y="T23"/>
                                </a:cxn>
                                <a:cxn ang="T60">
                                  <a:pos x="T24" y="T25"/>
                                </a:cxn>
                                <a:cxn ang="T61">
                                  <a:pos x="T26" y="T27"/>
                                </a:cxn>
                                <a:cxn ang="T62">
                                  <a:pos x="T28" y="T29"/>
                                </a:cxn>
                                <a:cxn ang="T63">
                                  <a:pos x="T30" y="T31"/>
                                </a:cxn>
                                <a:cxn ang="T64">
                                  <a:pos x="T32" y="T33"/>
                                </a:cxn>
                                <a:cxn ang="T65">
                                  <a:pos x="T34" y="T35"/>
                                </a:cxn>
                                <a:cxn ang="T66">
                                  <a:pos x="T36" y="T37"/>
                                </a:cxn>
                                <a:cxn ang="T67">
                                  <a:pos x="T38" y="T39"/>
                                </a:cxn>
                                <a:cxn ang="T68">
                                  <a:pos x="T40" y="T41"/>
                                </a:cxn>
                                <a:cxn ang="T69">
                                  <a:pos x="T42" y="T43"/>
                                </a:cxn>
                                <a:cxn ang="T70">
                                  <a:pos x="T44" y="T45"/>
                                </a:cxn>
                                <a:cxn ang="T71">
                                  <a:pos x="T46" y="T47"/>
                                </a:cxn>
                              </a:cxnLst>
                              <a:rect l="0" t="0" r="r" b="b"/>
                              <a:pathLst>
                                <a:path w="442" h="165">
                                  <a:moveTo>
                                    <a:pt x="155" y="12"/>
                                  </a:moveTo>
                                  <a:lnTo>
                                    <a:pt x="150" y="14"/>
                                  </a:lnTo>
                                  <a:lnTo>
                                    <a:pt x="151" y="16"/>
                                  </a:lnTo>
                                  <a:lnTo>
                                    <a:pt x="153" y="18"/>
                                  </a:lnTo>
                                  <a:lnTo>
                                    <a:pt x="156" y="20"/>
                                  </a:lnTo>
                                  <a:lnTo>
                                    <a:pt x="139" y="28"/>
                                  </a:lnTo>
                                  <a:lnTo>
                                    <a:pt x="73" y="74"/>
                                  </a:lnTo>
                                  <a:lnTo>
                                    <a:pt x="30" y="119"/>
                                  </a:lnTo>
                                  <a:lnTo>
                                    <a:pt x="47" y="119"/>
                                  </a:lnTo>
                                  <a:lnTo>
                                    <a:pt x="53" y="110"/>
                                  </a:lnTo>
                                  <a:lnTo>
                                    <a:pt x="66" y="93"/>
                                  </a:lnTo>
                                  <a:lnTo>
                                    <a:pt x="112" y="52"/>
                                  </a:lnTo>
                                  <a:lnTo>
                                    <a:pt x="169" y="29"/>
                                  </a:lnTo>
                                  <a:lnTo>
                                    <a:pt x="215" y="29"/>
                                  </a:lnTo>
                                  <a:lnTo>
                                    <a:pt x="207" y="28"/>
                                  </a:lnTo>
                                  <a:lnTo>
                                    <a:pt x="208" y="28"/>
                                  </a:lnTo>
                                  <a:lnTo>
                                    <a:pt x="202" y="28"/>
                                  </a:lnTo>
                                  <a:lnTo>
                                    <a:pt x="187" y="26"/>
                                  </a:lnTo>
                                  <a:lnTo>
                                    <a:pt x="176" y="23"/>
                                  </a:lnTo>
                                  <a:lnTo>
                                    <a:pt x="168" y="20"/>
                                  </a:lnTo>
                                  <a:lnTo>
                                    <a:pt x="180" y="16"/>
                                  </a:lnTo>
                                  <a:lnTo>
                                    <a:pt x="158" y="16"/>
                                  </a:lnTo>
                                  <a:lnTo>
                                    <a:pt x="156" y="14"/>
                                  </a:lnTo>
                                  <a:lnTo>
                                    <a:pt x="155" y="1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8" name="Freeform 126"/>
                          <wps:cNvSpPr>
                            <a:spLocks/>
                          </wps:cNvSpPr>
                          <wps:spPr bwMode="auto">
                            <a:xfrm>
                              <a:off x="1106" y="0"/>
                              <a:ext cx="442" cy="165"/>
                            </a:xfrm>
                            <a:custGeom>
                              <a:avLst/>
                              <a:gdLst>
                                <a:gd name="T0" fmla="*/ 344 w 442"/>
                                <a:gd name="T1" fmla="*/ 23 h 165"/>
                                <a:gd name="T2" fmla="*/ 331 w 442"/>
                                <a:gd name="T3" fmla="*/ 23 h 165"/>
                                <a:gd name="T4" fmla="*/ 348 w 442"/>
                                <a:gd name="T5" fmla="*/ 31 h 165"/>
                                <a:gd name="T6" fmla="*/ 365 w 442"/>
                                <a:gd name="T7" fmla="*/ 41 h 165"/>
                                <a:gd name="T8" fmla="*/ 381 w 442"/>
                                <a:gd name="T9" fmla="*/ 52 h 165"/>
                                <a:gd name="T10" fmla="*/ 398 w 442"/>
                                <a:gd name="T11" fmla="*/ 63 h 165"/>
                                <a:gd name="T12" fmla="*/ 414 w 442"/>
                                <a:gd name="T13" fmla="*/ 76 h 165"/>
                                <a:gd name="T14" fmla="*/ 429 w 442"/>
                                <a:gd name="T15" fmla="*/ 91 h 165"/>
                                <a:gd name="T16" fmla="*/ 440 w 442"/>
                                <a:gd name="T17" fmla="*/ 98 h 165"/>
                                <a:gd name="T18" fmla="*/ 394 w 442"/>
                                <a:gd name="T19" fmla="*/ 54 h 165"/>
                                <a:gd name="T20" fmla="*/ 361 w 442"/>
                                <a:gd name="T21" fmla="*/ 32 h 165"/>
                                <a:gd name="T22" fmla="*/ 344 w 442"/>
                                <a:gd name="T23" fmla="*/ 23 h 165"/>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442" h="165">
                                  <a:moveTo>
                                    <a:pt x="344" y="23"/>
                                  </a:moveTo>
                                  <a:lnTo>
                                    <a:pt x="331" y="23"/>
                                  </a:lnTo>
                                  <a:lnTo>
                                    <a:pt x="348" y="31"/>
                                  </a:lnTo>
                                  <a:lnTo>
                                    <a:pt x="365" y="41"/>
                                  </a:lnTo>
                                  <a:lnTo>
                                    <a:pt x="381" y="52"/>
                                  </a:lnTo>
                                  <a:lnTo>
                                    <a:pt x="398" y="63"/>
                                  </a:lnTo>
                                  <a:lnTo>
                                    <a:pt x="414" y="76"/>
                                  </a:lnTo>
                                  <a:lnTo>
                                    <a:pt x="429" y="91"/>
                                  </a:lnTo>
                                  <a:lnTo>
                                    <a:pt x="440" y="98"/>
                                  </a:lnTo>
                                  <a:lnTo>
                                    <a:pt x="394" y="54"/>
                                  </a:lnTo>
                                  <a:lnTo>
                                    <a:pt x="361" y="32"/>
                                  </a:lnTo>
                                  <a:lnTo>
                                    <a:pt x="344" y="2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9" name="Freeform 127"/>
                          <wps:cNvSpPr>
                            <a:spLocks/>
                          </wps:cNvSpPr>
                          <wps:spPr bwMode="auto">
                            <a:xfrm>
                              <a:off x="1106" y="0"/>
                              <a:ext cx="442" cy="165"/>
                            </a:xfrm>
                            <a:custGeom>
                              <a:avLst/>
                              <a:gdLst>
                                <a:gd name="T0" fmla="*/ 287 w 442"/>
                                <a:gd name="T1" fmla="*/ 3 h 165"/>
                                <a:gd name="T2" fmla="*/ 246 w 442"/>
                                <a:gd name="T3" fmla="*/ 3 h 165"/>
                                <a:gd name="T4" fmla="*/ 263 w 442"/>
                                <a:gd name="T5" fmla="*/ 8 h 165"/>
                                <a:gd name="T6" fmla="*/ 280 w 442"/>
                                <a:gd name="T7" fmla="*/ 22 h 165"/>
                                <a:gd name="T8" fmla="*/ 274 w 442"/>
                                <a:gd name="T9" fmla="*/ 30 h 165"/>
                                <a:gd name="T10" fmla="*/ 261 w 442"/>
                                <a:gd name="T11" fmla="*/ 30 h 165"/>
                                <a:gd name="T12" fmla="*/ 309 w 442"/>
                                <a:gd name="T13" fmla="*/ 30 h 165"/>
                                <a:gd name="T14" fmla="*/ 309 w 442"/>
                                <a:gd name="T15" fmla="*/ 30 h 165"/>
                                <a:gd name="T16" fmla="*/ 320 w 442"/>
                                <a:gd name="T17" fmla="*/ 28 h 165"/>
                                <a:gd name="T18" fmla="*/ 291 w 442"/>
                                <a:gd name="T19" fmla="*/ 28 h 165"/>
                                <a:gd name="T20" fmla="*/ 282 w 442"/>
                                <a:gd name="T21" fmla="*/ 17 h 165"/>
                                <a:gd name="T22" fmla="*/ 274 w 442"/>
                                <a:gd name="T23" fmla="*/ 9 h 165"/>
                                <a:gd name="T24" fmla="*/ 265 w 442"/>
                                <a:gd name="T25" fmla="*/ 4 h 165"/>
                                <a:gd name="T26" fmla="*/ 290 w 442"/>
                                <a:gd name="T27" fmla="*/ 4 h 165"/>
                                <a:gd name="T28" fmla="*/ 287 w 442"/>
                                <a:gd name="T29" fmla="*/ 3 h 165"/>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Lst>
                              <a:ahLst/>
                              <a:cxnLst>
                                <a:cxn ang="T30">
                                  <a:pos x="T0" y="T1"/>
                                </a:cxn>
                                <a:cxn ang="T31">
                                  <a:pos x="T2" y="T3"/>
                                </a:cxn>
                                <a:cxn ang="T32">
                                  <a:pos x="T4" y="T5"/>
                                </a:cxn>
                                <a:cxn ang="T33">
                                  <a:pos x="T6" y="T7"/>
                                </a:cxn>
                                <a:cxn ang="T34">
                                  <a:pos x="T8" y="T9"/>
                                </a:cxn>
                                <a:cxn ang="T35">
                                  <a:pos x="T10" y="T11"/>
                                </a:cxn>
                                <a:cxn ang="T36">
                                  <a:pos x="T12" y="T13"/>
                                </a:cxn>
                                <a:cxn ang="T37">
                                  <a:pos x="T14" y="T15"/>
                                </a:cxn>
                                <a:cxn ang="T38">
                                  <a:pos x="T16" y="T17"/>
                                </a:cxn>
                                <a:cxn ang="T39">
                                  <a:pos x="T18" y="T19"/>
                                </a:cxn>
                                <a:cxn ang="T40">
                                  <a:pos x="T20" y="T21"/>
                                </a:cxn>
                                <a:cxn ang="T41">
                                  <a:pos x="T22" y="T23"/>
                                </a:cxn>
                                <a:cxn ang="T42">
                                  <a:pos x="T24" y="T25"/>
                                </a:cxn>
                                <a:cxn ang="T43">
                                  <a:pos x="T26" y="T27"/>
                                </a:cxn>
                                <a:cxn ang="T44">
                                  <a:pos x="T28" y="T29"/>
                                </a:cxn>
                              </a:cxnLst>
                              <a:rect l="0" t="0" r="r" b="b"/>
                              <a:pathLst>
                                <a:path w="442" h="165">
                                  <a:moveTo>
                                    <a:pt x="287" y="3"/>
                                  </a:moveTo>
                                  <a:lnTo>
                                    <a:pt x="246" y="3"/>
                                  </a:lnTo>
                                  <a:lnTo>
                                    <a:pt x="263" y="8"/>
                                  </a:lnTo>
                                  <a:lnTo>
                                    <a:pt x="280" y="22"/>
                                  </a:lnTo>
                                  <a:lnTo>
                                    <a:pt x="274" y="30"/>
                                  </a:lnTo>
                                  <a:lnTo>
                                    <a:pt x="261" y="30"/>
                                  </a:lnTo>
                                  <a:lnTo>
                                    <a:pt x="309" y="30"/>
                                  </a:lnTo>
                                  <a:lnTo>
                                    <a:pt x="320" y="28"/>
                                  </a:lnTo>
                                  <a:lnTo>
                                    <a:pt x="291" y="28"/>
                                  </a:lnTo>
                                  <a:lnTo>
                                    <a:pt x="282" y="17"/>
                                  </a:lnTo>
                                  <a:lnTo>
                                    <a:pt x="274" y="9"/>
                                  </a:lnTo>
                                  <a:lnTo>
                                    <a:pt x="265" y="4"/>
                                  </a:lnTo>
                                  <a:lnTo>
                                    <a:pt x="290" y="4"/>
                                  </a:lnTo>
                                  <a:lnTo>
                                    <a:pt x="287" y="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0" name="Freeform 128"/>
                          <wps:cNvSpPr>
                            <a:spLocks/>
                          </wps:cNvSpPr>
                          <wps:spPr bwMode="auto">
                            <a:xfrm>
                              <a:off x="1106" y="0"/>
                              <a:ext cx="442" cy="165"/>
                            </a:xfrm>
                            <a:custGeom>
                              <a:avLst/>
                              <a:gdLst>
                                <a:gd name="T0" fmla="*/ 241 w 442"/>
                                <a:gd name="T1" fmla="*/ 4 h 165"/>
                                <a:gd name="T2" fmla="*/ 228 w 442"/>
                                <a:gd name="T3" fmla="*/ 4 h 165"/>
                                <a:gd name="T4" fmla="*/ 219 w 442"/>
                                <a:gd name="T5" fmla="*/ 9 h 165"/>
                                <a:gd name="T6" fmla="*/ 210 w 442"/>
                                <a:gd name="T7" fmla="*/ 17 h 165"/>
                                <a:gd name="T8" fmla="*/ 202 w 442"/>
                                <a:gd name="T9" fmla="*/ 28 h 165"/>
                                <a:gd name="T10" fmla="*/ 208 w 442"/>
                                <a:gd name="T11" fmla="*/ 28 h 165"/>
                                <a:gd name="T12" fmla="*/ 225 w 442"/>
                                <a:gd name="T13" fmla="*/ 11 h 165"/>
                                <a:gd name="T14" fmla="*/ 241 w 442"/>
                                <a:gd name="T15" fmla="*/ 4 h 165"/>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442" h="165">
                                  <a:moveTo>
                                    <a:pt x="241" y="4"/>
                                  </a:moveTo>
                                  <a:lnTo>
                                    <a:pt x="228" y="4"/>
                                  </a:lnTo>
                                  <a:lnTo>
                                    <a:pt x="219" y="9"/>
                                  </a:lnTo>
                                  <a:lnTo>
                                    <a:pt x="210" y="17"/>
                                  </a:lnTo>
                                  <a:lnTo>
                                    <a:pt x="202" y="28"/>
                                  </a:lnTo>
                                  <a:lnTo>
                                    <a:pt x="208" y="28"/>
                                  </a:lnTo>
                                  <a:lnTo>
                                    <a:pt x="225" y="11"/>
                                  </a:lnTo>
                                  <a:lnTo>
                                    <a:pt x="241" y="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1" name="Freeform 129"/>
                          <wps:cNvSpPr>
                            <a:spLocks/>
                          </wps:cNvSpPr>
                          <wps:spPr bwMode="auto">
                            <a:xfrm>
                              <a:off x="1106" y="0"/>
                              <a:ext cx="442" cy="165"/>
                            </a:xfrm>
                            <a:custGeom>
                              <a:avLst/>
                              <a:gdLst>
                                <a:gd name="T0" fmla="*/ 290 w 442"/>
                                <a:gd name="T1" fmla="*/ 4 h 165"/>
                                <a:gd name="T2" fmla="*/ 265 w 442"/>
                                <a:gd name="T3" fmla="*/ 4 h 165"/>
                                <a:gd name="T4" fmla="*/ 284 w 442"/>
                                <a:gd name="T5" fmla="*/ 7 h 165"/>
                                <a:gd name="T6" fmla="*/ 303 w 442"/>
                                <a:gd name="T7" fmla="*/ 12 h 165"/>
                                <a:gd name="T8" fmla="*/ 323 w 442"/>
                                <a:gd name="T9" fmla="*/ 19 h 165"/>
                                <a:gd name="T10" fmla="*/ 317 w 442"/>
                                <a:gd name="T11" fmla="*/ 23 h 165"/>
                                <a:gd name="T12" fmla="*/ 305 w 442"/>
                                <a:gd name="T13" fmla="*/ 26 h 165"/>
                                <a:gd name="T14" fmla="*/ 291 w 442"/>
                                <a:gd name="T15" fmla="*/ 28 h 165"/>
                                <a:gd name="T16" fmla="*/ 320 w 442"/>
                                <a:gd name="T17" fmla="*/ 28 h 165"/>
                                <a:gd name="T18" fmla="*/ 322 w 442"/>
                                <a:gd name="T19" fmla="*/ 27 h 165"/>
                                <a:gd name="T20" fmla="*/ 331 w 442"/>
                                <a:gd name="T21" fmla="*/ 23 h 165"/>
                                <a:gd name="T22" fmla="*/ 344 w 442"/>
                                <a:gd name="T23" fmla="*/ 23 h 165"/>
                                <a:gd name="T24" fmla="*/ 337 w 442"/>
                                <a:gd name="T25" fmla="*/ 20 h 165"/>
                                <a:gd name="T26" fmla="*/ 340 w 442"/>
                                <a:gd name="T27" fmla="*/ 18 h 165"/>
                                <a:gd name="T28" fmla="*/ 340 w 442"/>
                                <a:gd name="T29" fmla="*/ 17 h 165"/>
                                <a:gd name="T30" fmla="*/ 332 w 442"/>
                                <a:gd name="T31" fmla="*/ 17 h 165"/>
                                <a:gd name="T32" fmla="*/ 313 w 442"/>
                                <a:gd name="T33" fmla="*/ 10 h 165"/>
                                <a:gd name="T34" fmla="*/ 294 w 442"/>
                                <a:gd name="T35" fmla="*/ 4 h 165"/>
                                <a:gd name="T36" fmla="*/ 290 w 442"/>
                                <a:gd name="T37" fmla="*/ 4 h 165"/>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Lst>
                              <a:ahLst/>
                              <a:cxnLst>
                                <a:cxn ang="T38">
                                  <a:pos x="T0" y="T1"/>
                                </a:cxn>
                                <a:cxn ang="T39">
                                  <a:pos x="T2" y="T3"/>
                                </a:cxn>
                                <a:cxn ang="T40">
                                  <a:pos x="T4" y="T5"/>
                                </a:cxn>
                                <a:cxn ang="T41">
                                  <a:pos x="T6" y="T7"/>
                                </a:cxn>
                                <a:cxn ang="T42">
                                  <a:pos x="T8" y="T9"/>
                                </a:cxn>
                                <a:cxn ang="T43">
                                  <a:pos x="T10" y="T11"/>
                                </a:cxn>
                                <a:cxn ang="T44">
                                  <a:pos x="T12" y="T13"/>
                                </a:cxn>
                                <a:cxn ang="T45">
                                  <a:pos x="T14" y="T15"/>
                                </a:cxn>
                                <a:cxn ang="T46">
                                  <a:pos x="T16" y="T17"/>
                                </a:cxn>
                                <a:cxn ang="T47">
                                  <a:pos x="T18" y="T19"/>
                                </a:cxn>
                                <a:cxn ang="T48">
                                  <a:pos x="T20" y="T21"/>
                                </a:cxn>
                                <a:cxn ang="T49">
                                  <a:pos x="T22" y="T23"/>
                                </a:cxn>
                                <a:cxn ang="T50">
                                  <a:pos x="T24" y="T25"/>
                                </a:cxn>
                                <a:cxn ang="T51">
                                  <a:pos x="T26" y="T27"/>
                                </a:cxn>
                                <a:cxn ang="T52">
                                  <a:pos x="T28" y="T29"/>
                                </a:cxn>
                                <a:cxn ang="T53">
                                  <a:pos x="T30" y="T31"/>
                                </a:cxn>
                                <a:cxn ang="T54">
                                  <a:pos x="T32" y="T33"/>
                                </a:cxn>
                                <a:cxn ang="T55">
                                  <a:pos x="T34" y="T35"/>
                                </a:cxn>
                                <a:cxn ang="T56">
                                  <a:pos x="T36" y="T37"/>
                                </a:cxn>
                              </a:cxnLst>
                              <a:rect l="0" t="0" r="r" b="b"/>
                              <a:pathLst>
                                <a:path w="442" h="165">
                                  <a:moveTo>
                                    <a:pt x="290" y="4"/>
                                  </a:moveTo>
                                  <a:lnTo>
                                    <a:pt x="265" y="4"/>
                                  </a:lnTo>
                                  <a:lnTo>
                                    <a:pt x="284" y="7"/>
                                  </a:lnTo>
                                  <a:lnTo>
                                    <a:pt x="303" y="12"/>
                                  </a:lnTo>
                                  <a:lnTo>
                                    <a:pt x="323" y="19"/>
                                  </a:lnTo>
                                  <a:lnTo>
                                    <a:pt x="317" y="23"/>
                                  </a:lnTo>
                                  <a:lnTo>
                                    <a:pt x="305" y="26"/>
                                  </a:lnTo>
                                  <a:lnTo>
                                    <a:pt x="291" y="28"/>
                                  </a:lnTo>
                                  <a:lnTo>
                                    <a:pt x="320" y="28"/>
                                  </a:lnTo>
                                  <a:lnTo>
                                    <a:pt x="322" y="27"/>
                                  </a:lnTo>
                                  <a:lnTo>
                                    <a:pt x="331" y="23"/>
                                  </a:lnTo>
                                  <a:lnTo>
                                    <a:pt x="344" y="23"/>
                                  </a:lnTo>
                                  <a:lnTo>
                                    <a:pt x="337" y="20"/>
                                  </a:lnTo>
                                  <a:lnTo>
                                    <a:pt x="340" y="18"/>
                                  </a:lnTo>
                                  <a:lnTo>
                                    <a:pt x="340" y="17"/>
                                  </a:lnTo>
                                  <a:lnTo>
                                    <a:pt x="332" y="17"/>
                                  </a:lnTo>
                                  <a:lnTo>
                                    <a:pt x="313" y="10"/>
                                  </a:lnTo>
                                  <a:lnTo>
                                    <a:pt x="294" y="4"/>
                                  </a:lnTo>
                                  <a:lnTo>
                                    <a:pt x="290" y="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2" name="Freeform 130"/>
                          <wps:cNvSpPr>
                            <a:spLocks/>
                          </wps:cNvSpPr>
                          <wps:spPr bwMode="auto">
                            <a:xfrm>
                              <a:off x="1106" y="0"/>
                              <a:ext cx="442" cy="165"/>
                            </a:xfrm>
                            <a:custGeom>
                              <a:avLst/>
                              <a:gdLst>
                                <a:gd name="T0" fmla="*/ 338 w 442"/>
                                <a:gd name="T1" fmla="*/ 12 h 165"/>
                                <a:gd name="T2" fmla="*/ 337 w 442"/>
                                <a:gd name="T3" fmla="*/ 14 h 165"/>
                                <a:gd name="T4" fmla="*/ 335 w 442"/>
                                <a:gd name="T5" fmla="*/ 16 h 165"/>
                                <a:gd name="T6" fmla="*/ 332 w 442"/>
                                <a:gd name="T7" fmla="*/ 17 h 165"/>
                                <a:gd name="T8" fmla="*/ 340 w 442"/>
                                <a:gd name="T9" fmla="*/ 17 h 165"/>
                                <a:gd name="T10" fmla="*/ 342 w 442"/>
                                <a:gd name="T11" fmla="*/ 16 h 165"/>
                                <a:gd name="T12" fmla="*/ 343 w 442"/>
                                <a:gd name="T13" fmla="*/ 14 h 165"/>
                                <a:gd name="T14" fmla="*/ 343 w 442"/>
                                <a:gd name="T15" fmla="*/ 14 h 165"/>
                                <a:gd name="T16" fmla="*/ 338 w 442"/>
                                <a:gd name="T17" fmla="*/ 12 h 165"/>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442" h="165">
                                  <a:moveTo>
                                    <a:pt x="338" y="12"/>
                                  </a:moveTo>
                                  <a:lnTo>
                                    <a:pt x="337" y="14"/>
                                  </a:lnTo>
                                  <a:lnTo>
                                    <a:pt x="335" y="16"/>
                                  </a:lnTo>
                                  <a:lnTo>
                                    <a:pt x="332" y="17"/>
                                  </a:lnTo>
                                  <a:lnTo>
                                    <a:pt x="340" y="17"/>
                                  </a:lnTo>
                                  <a:lnTo>
                                    <a:pt x="342" y="16"/>
                                  </a:lnTo>
                                  <a:lnTo>
                                    <a:pt x="343" y="14"/>
                                  </a:lnTo>
                                  <a:lnTo>
                                    <a:pt x="338" y="1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3" name="Freeform 131"/>
                          <wps:cNvSpPr>
                            <a:spLocks/>
                          </wps:cNvSpPr>
                          <wps:spPr bwMode="auto">
                            <a:xfrm>
                              <a:off x="1106" y="0"/>
                              <a:ext cx="442" cy="165"/>
                            </a:xfrm>
                            <a:custGeom>
                              <a:avLst/>
                              <a:gdLst>
                                <a:gd name="T0" fmla="*/ 253 w 442"/>
                                <a:gd name="T1" fmla="*/ 0 h 165"/>
                                <a:gd name="T2" fmla="*/ 230 w 442"/>
                                <a:gd name="T3" fmla="*/ 0 h 165"/>
                                <a:gd name="T4" fmla="*/ 212 w 442"/>
                                <a:gd name="T5" fmla="*/ 2 h 165"/>
                                <a:gd name="T6" fmla="*/ 191 w 442"/>
                                <a:gd name="T7" fmla="*/ 7 h 165"/>
                                <a:gd name="T8" fmla="*/ 172 w 442"/>
                                <a:gd name="T9" fmla="*/ 13 h 165"/>
                                <a:gd name="T10" fmla="*/ 158 w 442"/>
                                <a:gd name="T11" fmla="*/ 16 h 165"/>
                                <a:gd name="T12" fmla="*/ 180 w 442"/>
                                <a:gd name="T13" fmla="*/ 16 h 165"/>
                                <a:gd name="T14" fmla="*/ 188 w 442"/>
                                <a:gd name="T15" fmla="*/ 13 h 165"/>
                                <a:gd name="T16" fmla="*/ 207 w 442"/>
                                <a:gd name="T17" fmla="*/ 7 h 165"/>
                                <a:gd name="T18" fmla="*/ 226 w 442"/>
                                <a:gd name="T19" fmla="*/ 4 h 165"/>
                                <a:gd name="T20" fmla="*/ 228 w 442"/>
                                <a:gd name="T21" fmla="*/ 4 h 165"/>
                                <a:gd name="T22" fmla="*/ 241 w 442"/>
                                <a:gd name="T23" fmla="*/ 4 h 165"/>
                                <a:gd name="T24" fmla="*/ 246 w 442"/>
                                <a:gd name="T25" fmla="*/ 3 h 165"/>
                                <a:gd name="T26" fmla="*/ 287 w 442"/>
                                <a:gd name="T27" fmla="*/ 3 h 165"/>
                                <a:gd name="T28" fmla="*/ 271 w 442"/>
                                <a:gd name="T29" fmla="*/ 1 h 165"/>
                                <a:gd name="T30" fmla="*/ 253 w 442"/>
                                <a:gd name="T31" fmla="*/ 0 h 165"/>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Lst>
                              <a:ahLst/>
                              <a:cxnLst>
                                <a:cxn ang="T32">
                                  <a:pos x="T0" y="T1"/>
                                </a:cxn>
                                <a:cxn ang="T33">
                                  <a:pos x="T2" y="T3"/>
                                </a:cxn>
                                <a:cxn ang="T34">
                                  <a:pos x="T4" y="T5"/>
                                </a:cxn>
                                <a:cxn ang="T35">
                                  <a:pos x="T6" y="T7"/>
                                </a:cxn>
                                <a:cxn ang="T36">
                                  <a:pos x="T8" y="T9"/>
                                </a:cxn>
                                <a:cxn ang="T37">
                                  <a:pos x="T10" y="T11"/>
                                </a:cxn>
                                <a:cxn ang="T38">
                                  <a:pos x="T12" y="T13"/>
                                </a:cxn>
                                <a:cxn ang="T39">
                                  <a:pos x="T14" y="T15"/>
                                </a:cxn>
                                <a:cxn ang="T40">
                                  <a:pos x="T16" y="T17"/>
                                </a:cxn>
                                <a:cxn ang="T41">
                                  <a:pos x="T18" y="T19"/>
                                </a:cxn>
                                <a:cxn ang="T42">
                                  <a:pos x="T20" y="T21"/>
                                </a:cxn>
                                <a:cxn ang="T43">
                                  <a:pos x="T22" y="T23"/>
                                </a:cxn>
                                <a:cxn ang="T44">
                                  <a:pos x="T24" y="T25"/>
                                </a:cxn>
                                <a:cxn ang="T45">
                                  <a:pos x="T26" y="T27"/>
                                </a:cxn>
                                <a:cxn ang="T46">
                                  <a:pos x="T28" y="T29"/>
                                </a:cxn>
                                <a:cxn ang="T47">
                                  <a:pos x="T30" y="T31"/>
                                </a:cxn>
                              </a:cxnLst>
                              <a:rect l="0" t="0" r="r" b="b"/>
                              <a:pathLst>
                                <a:path w="442" h="165">
                                  <a:moveTo>
                                    <a:pt x="253" y="0"/>
                                  </a:moveTo>
                                  <a:lnTo>
                                    <a:pt x="230" y="0"/>
                                  </a:lnTo>
                                  <a:lnTo>
                                    <a:pt x="212" y="2"/>
                                  </a:lnTo>
                                  <a:lnTo>
                                    <a:pt x="191" y="7"/>
                                  </a:lnTo>
                                  <a:lnTo>
                                    <a:pt x="172" y="13"/>
                                  </a:lnTo>
                                  <a:lnTo>
                                    <a:pt x="158" y="16"/>
                                  </a:lnTo>
                                  <a:lnTo>
                                    <a:pt x="180" y="16"/>
                                  </a:lnTo>
                                  <a:lnTo>
                                    <a:pt x="188" y="13"/>
                                  </a:lnTo>
                                  <a:lnTo>
                                    <a:pt x="207" y="7"/>
                                  </a:lnTo>
                                  <a:lnTo>
                                    <a:pt x="226" y="4"/>
                                  </a:lnTo>
                                  <a:lnTo>
                                    <a:pt x="228" y="4"/>
                                  </a:lnTo>
                                  <a:lnTo>
                                    <a:pt x="241" y="4"/>
                                  </a:lnTo>
                                  <a:lnTo>
                                    <a:pt x="246" y="3"/>
                                  </a:lnTo>
                                  <a:lnTo>
                                    <a:pt x="287" y="3"/>
                                  </a:lnTo>
                                  <a:lnTo>
                                    <a:pt x="271" y="1"/>
                                  </a:lnTo>
                                  <a:lnTo>
                                    <a:pt x="253"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04" name="Group 132"/>
                        <wpg:cNvGrpSpPr>
                          <a:grpSpLocks/>
                        </wpg:cNvGrpSpPr>
                        <wpg:grpSpPr bwMode="auto">
                          <a:xfrm>
                            <a:off x="1055" y="88"/>
                            <a:ext cx="639" cy="599"/>
                            <a:chOff x="1055" y="88"/>
                            <a:chExt cx="639" cy="599"/>
                          </a:xfrm>
                        </wpg:grpSpPr>
                        <wps:wsp>
                          <wps:cNvPr id="205" name="Freeform 133"/>
                          <wps:cNvSpPr>
                            <a:spLocks/>
                          </wps:cNvSpPr>
                          <wps:spPr bwMode="auto">
                            <a:xfrm>
                              <a:off x="1055" y="88"/>
                              <a:ext cx="639" cy="599"/>
                            </a:xfrm>
                            <a:custGeom>
                              <a:avLst/>
                              <a:gdLst>
                                <a:gd name="T0" fmla="*/ 523 w 639"/>
                                <a:gd name="T1" fmla="*/ 88 h 599"/>
                                <a:gd name="T2" fmla="*/ 499 w 639"/>
                                <a:gd name="T3" fmla="*/ 143 h 599"/>
                                <a:gd name="T4" fmla="*/ 471 w 639"/>
                                <a:gd name="T5" fmla="*/ 196 h 599"/>
                                <a:gd name="T6" fmla="*/ 437 w 639"/>
                                <a:gd name="T7" fmla="*/ 250 h 599"/>
                                <a:gd name="T8" fmla="*/ 401 w 639"/>
                                <a:gd name="T9" fmla="*/ 298 h 599"/>
                                <a:gd name="T10" fmla="*/ 349 w 639"/>
                                <a:gd name="T11" fmla="*/ 355 h 599"/>
                                <a:gd name="T12" fmla="*/ 300 w 639"/>
                                <a:gd name="T13" fmla="*/ 397 h 599"/>
                                <a:gd name="T14" fmla="*/ 250 w 639"/>
                                <a:gd name="T15" fmla="*/ 432 h 599"/>
                                <a:gd name="T16" fmla="*/ 183 w 639"/>
                                <a:gd name="T17" fmla="*/ 468 h 599"/>
                                <a:gd name="T18" fmla="*/ 122 w 639"/>
                                <a:gd name="T19" fmla="*/ 492 h 599"/>
                                <a:gd name="T20" fmla="*/ 62 w 639"/>
                                <a:gd name="T21" fmla="*/ 507 h 599"/>
                                <a:gd name="T22" fmla="*/ 0 w 639"/>
                                <a:gd name="T23" fmla="*/ 516 h 599"/>
                                <a:gd name="T24" fmla="*/ 11 w 639"/>
                                <a:gd name="T25" fmla="*/ 534 h 599"/>
                                <a:gd name="T26" fmla="*/ 49 w 639"/>
                                <a:gd name="T27" fmla="*/ 582 h 599"/>
                                <a:gd name="T28" fmla="*/ 96 w 639"/>
                                <a:gd name="T29" fmla="*/ 622 h 599"/>
                                <a:gd name="T30" fmla="*/ 149 w 639"/>
                                <a:gd name="T31" fmla="*/ 654 h 599"/>
                                <a:gd name="T32" fmla="*/ 209 w 639"/>
                                <a:gd name="T33" fmla="*/ 675 h 599"/>
                                <a:gd name="T34" fmla="*/ 272 w 639"/>
                                <a:gd name="T35" fmla="*/ 686 h 599"/>
                                <a:gd name="T36" fmla="*/ 294 w 639"/>
                                <a:gd name="T37" fmla="*/ 686 h 599"/>
                                <a:gd name="T38" fmla="*/ 322 w 639"/>
                                <a:gd name="T39" fmla="*/ 685 h 599"/>
                                <a:gd name="T40" fmla="*/ 403 w 639"/>
                                <a:gd name="T41" fmla="*/ 669 h 599"/>
                                <a:gd name="T42" fmla="*/ 476 w 639"/>
                                <a:gd name="T43" fmla="*/ 635 h 599"/>
                                <a:gd name="T44" fmla="*/ 538 w 639"/>
                                <a:gd name="T45" fmla="*/ 586 h 599"/>
                                <a:gd name="T46" fmla="*/ 587 w 639"/>
                                <a:gd name="T47" fmla="*/ 524 h 599"/>
                                <a:gd name="T48" fmla="*/ 621 w 639"/>
                                <a:gd name="T49" fmla="*/ 452 h 599"/>
                                <a:gd name="T50" fmla="*/ 637 w 639"/>
                                <a:gd name="T51" fmla="*/ 372 h 599"/>
                                <a:gd name="T52" fmla="*/ 638 w 639"/>
                                <a:gd name="T53" fmla="*/ 344 h 599"/>
                                <a:gd name="T54" fmla="*/ 637 w 639"/>
                                <a:gd name="T55" fmla="*/ 322 h 599"/>
                                <a:gd name="T56" fmla="*/ 628 w 639"/>
                                <a:gd name="T57" fmla="*/ 260 h 599"/>
                                <a:gd name="T58" fmla="*/ 607 w 639"/>
                                <a:gd name="T59" fmla="*/ 201 h 599"/>
                                <a:gd name="T60" fmla="*/ 577 w 639"/>
                                <a:gd name="T61" fmla="*/ 148 h 599"/>
                                <a:gd name="T62" fmla="*/ 538 w 639"/>
                                <a:gd name="T63" fmla="*/ 102 h 599"/>
                                <a:gd name="T64" fmla="*/ 523 w 639"/>
                                <a:gd name="T65" fmla="*/ 88 h 599"/>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639" h="599">
                                  <a:moveTo>
                                    <a:pt x="523" y="0"/>
                                  </a:moveTo>
                                  <a:lnTo>
                                    <a:pt x="499" y="55"/>
                                  </a:lnTo>
                                  <a:lnTo>
                                    <a:pt x="471" y="108"/>
                                  </a:lnTo>
                                  <a:lnTo>
                                    <a:pt x="437" y="162"/>
                                  </a:lnTo>
                                  <a:lnTo>
                                    <a:pt x="401" y="210"/>
                                  </a:lnTo>
                                  <a:lnTo>
                                    <a:pt x="349" y="267"/>
                                  </a:lnTo>
                                  <a:lnTo>
                                    <a:pt x="300" y="309"/>
                                  </a:lnTo>
                                  <a:lnTo>
                                    <a:pt x="250" y="344"/>
                                  </a:lnTo>
                                  <a:lnTo>
                                    <a:pt x="183" y="380"/>
                                  </a:lnTo>
                                  <a:lnTo>
                                    <a:pt x="122" y="404"/>
                                  </a:lnTo>
                                  <a:lnTo>
                                    <a:pt x="62" y="419"/>
                                  </a:lnTo>
                                  <a:lnTo>
                                    <a:pt x="0" y="428"/>
                                  </a:lnTo>
                                  <a:lnTo>
                                    <a:pt x="11" y="446"/>
                                  </a:lnTo>
                                  <a:lnTo>
                                    <a:pt x="49" y="494"/>
                                  </a:lnTo>
                                  <a:lnTo>
                                    <a:pt x="96" y="534"/>
                                  </a:lnTo>
                                  <a:lnTo>
                                    <a:pt x="149" y="566"/>
                                  </a:lnTo>
                                  <a:lnTo>
                                    <a:pt x="209" y="587"/>
                                  </a:lnTo>
                                  <a:lnTo>
                                    <a:pt x="272" y="598"/>
                                  </a:lnTo>
                                  <a:lnTo>
                                    <a:pt x="294" y="598"/>
                                  </a:lnTo>
                                  <a:lnTo>
                                    <a:pt x="322" y="597"/>
                                  </a:lnTo>
                                  <a:lnTo>
                                    <a:pt x="403" y="581"/>
                                  </a:lnTo>
                                  <a:lnTo>
                                    <a:pt x="476" y="547"/>
                                  </a:lnTo>
                                  <a:lnTo>
                                    <a:pt x="538" y="498"/>
                                  </a:lnTo>
                                  <a:lnTo>
                                    <a:pt x="587" y="436"/>
                                  </a:lnTo>
                                  <a:lnTo>
                                    <a:pt x="621" y="364"/>
                                  </a:lnTo>
                                  <a:lnTo>
                                    <a:pt x="637" y="284"/>
                                  </a:lnTo>
                                  <a:lnTo>
                                    <a:pt x="638" y="256"/>
                                  </a:lnTo>
                                  <a:lnTo>
                                    <a:pt x="637" y="234"/>
                                  </a:lnTo>
                                  <a:lnTo>
                                    <a:pt x="628" y="172"/>
                                  </a:lnTo>
                                  <a:lnTo>
                                    <a:pt x="607" y="113"/>
                                  </a:lnTo>
                                  <a:lnTo>
                                    <a:pt x="577" y="60"/>
                                  </a:lnTo>
                                  <a:lnTo>
                                    <a:pt x="538" y="14"/>
                                  </a:lnTo>
                                  <a:lnTo>
                                    <a:pt x="523" y="0"/>
                                  </a:lnTo>
                                  <a:close/>
                                </a:path>
                              </a:pathLst>
                            </a:custGeom>
                            <a:solidFill>
                              <a:srgbClr val="003F5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06" name="Picture 13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1066" y="100"/>
                              <a:ext cx="625" cy="5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grpSp>
                        <wpg:cNvPr id="207" name="Group 135"/>
                        <wpg:cNvGrpSpPr>
                          <a:grpSpLocks/>
                        </wpg:cNvGrpSpPr>
                        <wpg:grpSpPr bwMode="auto">
                          <a:xfrm>
                            <a:off x="1081" y="167"/>
                            <a:ext cx="404" cy="151"/>
                            <a:chOff x="1081" y="167"/>
                            <a:chExt cx="404" cy="151"/>
                          </a:xfrm>
                        </wpg:grpSpPr>
                        <wps:wsp>
                          <wps:cNvPr id="209" name="Freeform 136"/>
                          <wps:cNvSpPr>
                            <a:spLocks/>
                          </wps:cNvSpPr>
                          <wps:spPr bwMode="auto">
                            <a:xfrm>
                              <a:off x="1081" y="167"/>
                              <a:ext cx="404" cy="151"/>
                            </a:xfrm>
                            <a:custGeom>
                              <a:avLst/>
                              <a:gdLst>
                                <a:gd name="T0" fmla="*/ 401 w 404"/>
                                <a:gd name="T1" fmla="*/ 236 h 151"/>
                                <a:gd name="T2" fmla="*/ 232 w 404"/>
                                <a:gd name="T3" fmla="*/ 236 h 151"/>
                                <a:gd name="T4" fmla="*/ 241 w 404"/>
                                <a:gd name="T5" fmla="*/ 240 h 151"/>
                                <a:gd name="T6" fmla="*/ 260 w 404"/>
                                <a:gd name="T7" fmla="*/ 251 h 151"/>
                                <a:gd name="T8" fmla="*/ 271 w 404"/>
                                <a:gd name="T9" fmla="*/ 268 h 151"/>
                                <a:gd name="T10" fmla="*/ 273 w 404"/>
                                <a:gd name="T11" fmla="*/ 272 h 151"/>
                                <a:gd name="T12" fmla="*/ 276 w 404"/>
                                <a:gd name="T13" fmla="*/ 275 h 151"/>
                                <a:gd name="T14" fmla="*/ 279 w 404"/>
                                <a:gd name="T15" fmla="*/ 279 h 151"/>
                                <a:gd name="T16" fmla="*/ 279 w 404"/>
                                <a:gd name="T17" fmla="*/ 280 h 151"/>
                                <a:gd name="T18" fmla="*/ 280 w 404"/>
                                <a:gd name="T19" fmla="*/ 281 h 151"/>
                                <a:gd name="T20" fmla="*/ 281 w 404"/>
                                <a:gd name="T21" fmla="*/ 282 h 151"/>
                                <a:gd name="T22" fmla="*/ 283 w 404"/>
                                <a:gd name="T23" fmla="*/ 284 h 151"/>
                                <a:gd name="T24" fmla="*/ 308 w 404"/>
                                <a:gd name="T25" fmla="*/ 296 h 151"/>
                                <a:gd name="T26" fmla="*/ 317 w 404"/>
                                <a:gd name="T27" fmla="*/ 308 h 151"/>
                                <a:gd name="T28" fmla="*/ 378 w 404"/>
                                <a:gd name="T29" fmla="*/ 264 h 151"/>
                                <a:gd name="T30" fmla="*/ 392 w 404"/>
                                <a:gd name="T31" fmla="*/ 249 h 151"/>
                                <a:gd name="T32" fmla="*/ 401 w 404"/>
                                <a:gd name="T33" fmla="*/ 236 h 151"/>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404" h="151">
                                  <a:moveTo>
                                    <a:pt x="401" y="69"/>
                                  </a:moveTo>
                                  <a:lnTo>
                                    <a:pt x="232" y="69"/>
                                  </a:lnTo>
                                  <a:lnTo>
                                    <a:pt x="241" y="73"/>
                                  </a:lnTo>
                                  <a:lnTo>
                                    <a:pt x="260" y="84"/>
                                  </a:lnTo>
                                  <a:lnTo>
                                    <a:pt x="271" y="101"/>
                                  </a:lnTo>
                                  <a:lnTo>
                                    <a:pt x="273" y="105"/>
                                  </a:lnTo>
                                  <a:lnTo>
                                    <a:pt x="276" y="108"/>
                                  </a:lnTo>
                                  <a:lnTo>
                                    <a:pt x="279" y="112"/>
                                  </a:lnTo>
                                  <a:lnTo>
                                    <a:pt x="279" y="113"/>
                                  </a:lnTo>
                                  <a:lnTo>
                                    <a:pt x="280" y="114"/>
                                  </a:lnTo>
                                  <a:lnTo>
                                    <a:pt x="281" y="115"/>
                                  </a:lnTo>
                                  <a:lnTo>
                                    <a:pt x="283" y="117"/>
                                  </a:lnTo>
                                  <a:lnTo>
                                    <a:pt x="308" y="129"/>
                                  </a:lnTo>
                                  <a:lnTo>
                                    <a:pt x="317" y="141"/>
                                  </a:lnTo>
                                  <a:lnTo>
                                    <a:pt x="378" y="97"/>
                                  </a:lnTo>
                                  <a:lnTo>
                                    <a:pt x="392" y="82"/>
                                  </a:lnTo>
                                  <a:lnTo>
                                    <a:pt x="401" y="69"/>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0" name="Freeform 137"/>
                          <wps:cNvSpPr>
                            <a:spLocks/>
                          </wps:cNvSpPr>
                          <wps:spPr bwMode="auto">
                            <a:xfrm>
                              <a:off x="1081" y="167"/>
                              <a:ext cx="404" cy="151"/>
                            </a:xfrm>
                            <a:custGeom>
                              <a:avLst/>
                              <a:gdLst>
                                <a:gd name="T0" fmla="*/ 399 w 404"/>
                                <a:gd name="T1" fmla="*/ 217 h 151"/>
                                <a:gd name="T2" fmla="*/ 57 w 404"/>
                                <a:gd name="T3" fmla="*/ 217 h 151"/>
                                <a:gd name="T4" fmla="*/ 82 w 404"/>
                                <a:gd name="T5" fmla="*/ 219 h 151"/>
                                <a:gd name="T6" fmla="*/ 104 w 404"/>
                                <a:gd name="T7" fmla="*/ 226 h 151"/>
                                <a:gd name="T8" fmla="*/ 122 w 404"/>
                                <a:gd name="T9" fmla="*/ 236 h 151"/>
                                <a:gd name="T10" fmla="*/ 137 w 404"/>
                                <a:gd name="T11" fmla="*/ 249 h 151"/>
                                <a:gd name="T12" fmla="*/ 149 w 404"/>
                                <a:gd name="T13" fmla="*/ 262 h 151"/>
                                <a:gd name="T14" fmla="*/ 153 w 404"/>
                                <a:gd name="T15" fmla="*/ 268 h 151"/>
                                <a:gd name="T16" fmla="*/ 154 w 404"/>
                                <a:gd name="T17" fmla="*/ 268 h 151"/>
                                <a:gd name="T18" fmla="*/ 208 w 404"/>
                                <a:gd name="T19" fmla="*/ 242 h 151"/>
                                <a:gd name="T20" fmla="*/ 215 w 404"/>
                                <a:gd name="T21" fmla="*/ 237 h 151"/>
                                <a:gd name="T22" fmla="*/ 232 w 404"/>
                                <a:gd name="T23" fmla="*/ 236 h 151"/>
                                <a:gd name="T24" fmla="*/ 401 w 404"/>
                                <a:gd name="T25" fmla="*/ 236 h 151"/>
                                <a:gd name="T26" fmla="*/ 403 w 404"/>
                                <a:gd name="T27" fmla="*/ 233 h 151"/>
                                <a:gd name="T28" fmla="*/ 402 w 404"/>
                                <a:gd name="T29" fmla="*/ 230 h 151"/>
                                <a:gd name="T30" fmla="*/ 401 w 404"/>
                                <a:gd name="T31" fmla="*/ 224 h 151"/>
                                <a:gd name="T32" fmla="*/ 399 w 404"/>
                                <a:gd name="T33" fmla="*/ 221 h 151"/>
                                <a:gd name="T34" fmla="*/ 399 w 404"/>
                                <a:gd name="T35" fmla="*/ 218 h 151"/>
                                <a:gd name="T36" fmla="*/ 399 w 404"/>
                                <a:gd name="T37" fmla="*/ 217 h 151"/>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Lst>
                              <a:ahLst/>
                              <a:cxnLst>
                                <a:cxn ang="T38">
                                  <a:pos x="T0" y="T1"/>
                                </a:cxn>
                                <a:cxn ang="T39">
                                  <a:pos x="T2" y="T3"/>
                                </a:cxn>
                                <a:cxn ang="T40">
                                  <a:pos x="T4" y="T5"/>
                                </a:cxn>
                                <a:cxn ang="T41">
                                  <a:pos x="T6" y="T7"/>
                                </a:cxn>
                                <a:cxn ang="T42">
                                  <a:pos x="T8" y="T9"/>
                                </a:cxn>
                                <a:cxn ang="T43">
                                  <a:pos x="T10" y="T11"/>
                                </a:cxn>
                                <a:cxn ang="T44">
                                  <a:pos x="T12" y="T13"/>
                                </a:cxn>
                                <a:cxn ang="T45">
                                  <a:pos x="T14" y="T15"/>
                                </a:cxn>
                                <a:cxn ang="T46">
                                  <a:pos x="T16" y="T17"/>
                                </a:cxn>
                                <a:cxn ang="T47">
                                  <a:pos x="T18" y="T19"/>
                                </a:cxn>
                                <a:cxn ang="T48">
                                  <a:pos x="T20" y="T21"/>
                                </a:cxn>
                                <a:cxn ang="T49">
                                  <a:pos x="T22" y="T23"/>
                                </a:cxn>
                                <a:cxn ang="T50">
                                  <a:pos x="T24" y="T25"/>
                                </a:cxn>
                                <a:cxn ang="T51">
                                  <a:pos x="T26" y="T27"/>
                                </a:cxn>
                                <a:cxn ang="T52">
                                  <a:pos x="T28" y="T29"/>
                                </a:cxn>
                                <a:cxn ang="T53">
                                  <a:pos x="T30" y="T31"/>
                                </a:cxn>
                                <a:cxn ang="T54">
                                  <a:pos x="T32" y="T33"/>
                                </a:cxn>
                                <a:cxn ang="T55">
                                  <a:pos x="T34" y="T35"/>
                                </a:cxn>
                                <a:cxn ang="T56">
                                  <a:pos x="T36" y="T37"/>
                                </a:cxn>
                              </a:cxnLst>
                              <a:rect l="0" t="0" r="r" b="b"/>
                              <a:pathLst>
                                <a:path w="404" h="151">
                                  <a:moveTo>
                                    <a:pt x="399" y="50"/>
                                  </a:moveTo>
                                  <a:lnTo>
                                    <a:pt x="57" y="50"/>
                                  </a:lnTo>
                                  <a:lnTo>
                                    <a:pt x="82" y="52"/>
                                  </a:lnTo>
                                  <a:lnTo>
                                    <a:pt x="104" y="59"/>
                                  </a:lnTo>
                                  <a:lnTo>
                                    <a:pt x="122" y="69"/>
                                  </a:lnTo>
                                  <a:lnTo>
                                    <a:pt x="137" y="82"/>
                                  </a:lnTo>
                                  <a:lnTo>
                                    <a:pt x="149" y="95"/>
                                  </a:lnTo>
                                  <a:lnTo>
                                    <a:pt x="153" y="101"/>
                                  </a:lnTo>
                                  <a:lnTo>
                                    <a:pt x="154" y="101"/>
                                  </a:lnTo>
                                  <a:lnTo>
                                    <a:pt x="208" y="75"/>
                                  </a:lnTo>
                                  <a:lnTo>
                                    <a:pt x="215" y="70"/>
                                  </a:lnTo>
                                  <a:lnTo>
                                    <a:pt x="232" y="69"/>
                                  </a:lnTo>
                                  <a:lnTo>
                                    <a:pt x="401" y="69"/>
                                  </a:lnTo>
                                  <a:lnTo>
                                    <a:pt x="403" y="66"/>
                                  </a:lnTo>
                                  <a:lnTo>
                                    <a:pt x="402" y="63"/>
                                  </a:lnTo>
                                  <a:lnTo>
                                    <a:pt x="401" y="57"/>
                                  </a:lnTo>
                                  <a:lnTo>
                                    <a:pt x="399" y="54"/>
                                  </a:lnTo>
                                  <a:lnTo>
                                    <a:pt x="399" y="51"/>
                                  </a:lnTo>
                                  <a:lnTo>
                                    <a:pt x="399" y="5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1" name="Freeform 138"/>
                          <wps:cNvSpPr>
                            <a:spLocks/>
                          </wps:cNvSpPr>
                          <wps:spPr bwMode="auto">
                            <a:xfrm>
                              <a:off x="1081" y="167"/>
                              <a:ext cx="404" cy="151"/>
                            </a:xfrm>
                            <a:custGeom>
                              <a:avLst/>
                              <a:gdLst>
                                <a:gd name="T0" fmla="*/ 167 w 404"/>
                                <a:gd name="T1" fmla="*/ 167 h 151"/>
                                <a:gd name="T2" fmla="*/ 18 w 404"/>
                                <a:gd name="T3" fmla="*/ 171 h 151"/>
                                <a:gd name="T4" fmla="*/ 6 w 404"/>
                                <a:gd name="T5" fmla="*/ 172 h 151"/>
                                <a:gd name="T6" fmla="*/ 5 w 404"/>
                                <a:gd name="T7" fmla="*/ 173 h 151"/>
                                <a:gd name="T8" fmla="*/ 0 w 404"/>
                                <a:gd name="T9" fmla="*/ 185 h 151"/>
                                <a:gd name="T10" fmla="*/ 4 w 404"/>
                                <a:gd name="T11" fmla="*/ 190 h 151"/>
                                <a:gd name="T12" fmla="*/ 9 w 404"/>
                                <a:gd name="T13" fmla="*/ 194 h 151"/>
                                <a:gd name="T14" fmla="*/ 17 w 404"/>
                                <a:gd name="T15" fmla="*/ 200 h 151"/>
                                <a:gd name="T16" fmla="*/ 20 w 404"/>
                                <a:gd name="T17" fmla="*/ 208 h 151"/>
                                <a:gd name="T18" fmla="*/ 20 w 404"/>
                                <a:gd name="T19" fmla="*/ 212 h 151"/>
                                <a:gd name="T20" fmla="*/ 19 w 404"/>
                                <a:gd name="T21" fmla="*/ 216 h 151"/>
                                <a:gd name="T22" fmla="*/ 19 w 404"/>
                                <a:gd name="T23" fmla="*/ 223 h 151"/>
                                <a:gd name="T24" fmla="*/ 18 w 404"/>
                                <a:gd name="T25" fmla="*/ 224 h 151"/>
                                <a:gd name="T26" fmla="*/ 32 w 404"/>
                                <a:gd name="T27" fmla="*/ 220 h 151"/>
                                <a:gd name="T28" fmla="*/ 45 w 404"/>
                                <a:gd name="T29" fmla="*/ 218 h 151"/>
                                <a:gd name="T30" fmla="*/ 57 w 404"/>
                                <a:gd name="T31" fmla="*/ 217 h 151"/>
                                <a:gd name="T32" fmla="*/ 399 w 404"/>
                                <a:gd name="T33" fmla="*/ 217 h 151"/>
                                <a:gd name="T34" fmla="*/ 396 w 404"/>
                                <a:gd name="T35" fmla="*/ 205 h 151"/>
                                <a:gd name="T36" fmla="*/ 352 w 404"/>
                                <a:gd name="T37" fmla="*/ 205 h 151"/>
                                <a:gd name="T38" fmla="*/ 343 w 404"/>
                                <a:gd name="T39" fmla="*/ 205 h 151"/>
                                <a:gd name="T40" fmla="*/ 342 w 404"/>
                                <a:gd name="T41" fmla="*/ 192 h 151"/>
                                <a:gd name="T42" fmla="*/ 341 w 404"/>
                                <a:gd name="T43" fmla="*/ 192 h 151"/>
                                <a:gd name="T44" fmla="*/ 315 w 404"/>
                                <a:gd name="T45" fmla="*/ 191 h 151"/>
                                <a:gd name="T46" fmla="*/ 314 w 404"/>
                                <a:gd name="T47" fmla="*/ 191 h 151"/>
                                <a:gd name="T48" fmla="*/ 176 w 404"/>
                                <a:gd name="T49" fmla="*/ 188 h 151"/>
                                <a:gd name="T50" fmla="*/ 168 w 404"/>
                                <a:gd name="T51" fmla="*/ 168 h 151"/>
                                <a:gd name="T52" fmla="*/ 167 w 404"/>
                                <a:gd name="T53" fmla="*/ 167 h 151"/>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Lst>
                              <a:ahLst/>
                              <a:cxnLst>
                                <a:cxn ang="T54">
                                  <a:pos x="T0" y="T1"/>
                                </a:cxn>
                                <a:cxn ang="T55">
                                  <a:pos x="T2" y="T3"/>
                                </a:cxn>
                                <a:cxn ang="T56">
                                  <a:pos x="T4" y="T5"/>
                                </a:cxn>
                                <a:cxn ang="T57">
                                  <a:pos x="T6" y="T7"/>
                                </a:cxn>
                                <a:cxn ang="T58">
                                  <a:pos x="T8" y="T9"/>
                                </a:cxn>
                                <a:cxn ang="T59">
                                  <a:pos x="T10" y="T11"/>
                                </a:cxn>
                                <a:cxn ang="T60">
                                  <a:pos x="T12" y="T13"/>
                                </a:cxn>
                                <a:cxn ang="T61">
                                  <a:pos x="T14" y="T15"/>
                                </a:cxn>
                                <a:cxn ang="T62">
                                  <a:pos x="T16" y="T17"/>
                                </a:cxn>
                                <a:cxn ang="T63">
                                  <a:pos x="T18" y="T19"/>
                                </a:cxn>
                                <a:cxn ang="T64">
                                  <a:pos x="T20" y="T21"/>
                                </a:cxn>
                                <a:cxn ang="T65">
                                  <a:pos x="T22" y="T23"/>
                                </a:cxn>
                                <a:cxn ang="T66">
                                  <a:pos x="T24" y="T25"/>
                                </a:cxn>
                                <a:cxn ang="T67">
                                  <a:pos x="T26" y="T27"/>
                                </a:cxn>
                                <a:cxn ang="T68">
                                  <a:pos x="T28" y="T29"/>
                                </a:cxn>
                                <a:cxn ang="T69">
                                  <a:pos x="T30" y="T31"/>
                                </a:cxn>
                                <a:cxn ang="T70">
                                  <a:pos x="T32" y="T33"/>
                                </a:cxn>
                                <a:cxn ang="T71">
                                  <a:pos x="T34" y="T35"/>
                                </a:cxn>
                                <a:cxn ang="T72">
                                  <a:pos x="T36" y="T37"/>
                                </a:cxn>
                                <a:cxn ang="T73">
                                  <a:pos x="T38" y="T39"/>
                                </a:cxn>
                                <a:cxn ang="T74">
                                  <a:pos x="T40" y="T41"/>
                                </a:cxn>
                                <a:cxn ang="T75">
                                  <a:pos x="T42" y="T43"/>
                                </a:cxn>
                                <a:cxn ang="T76">
                                  <a:pos x="T44" y="T45"/>
                                </a:cxn>
                                <a:cxn ang="T77">
                                  <a:pos x="T46" y="T47"/>
                                </a:cxn>
                                <a:cxn ang="T78">
                                  <a:pos x="T48" y="T49"/>
                                </a:cxn>
                                <a:cxn ang="T79">
                                  <a:pos x="T50" y="T51"/>
                                </a:cxn>
                                <a:cxn ang="T80">
                                  <a:pos x="T52" y="T53"/>
                                </a:cxn>
                              </a:cxnLst>
                              <a:rect l="0" t="0" r="r" b="b"/>
                              <a:pathLst>
                                <a:path w="404" h="151">
                                  <a:moveTo>
                                    <a:pt x="167" y="0"/>
                                  </a:moveTo>
                                  <a:lnTo>
                                    <a:pt x="18" y="4"/>
                                  </a:lnTo>
                                  <a:lnTo>
                                    <a:pt x="6" y="5"/>
                                  </a:lnTo>
                                  <a:lnTo>
                                    <a:pt x="5" y="6"/>
                                  </a:lnTo>
                                  <a:lnTo>
                                    <a:pt x="0" y="18"/>
                                  </a:lnTo>
                                  <a:lnTo>
                                    <a:pt x="4" y="23"/>
                                  </a:lnTo>
                                  <a:lnTo>
                                    <a:pt x="9" y="27"/>
                                  </a:lnTo>
                                  <a:lnTo>
                                    <a:pt x="17" y="33"/>
                                  </a:lnTo>
                                  <a:lnTo>
                                    <a:pt x="20" y="41"/>
                                  </a:lnTo>
                                  <a:lnTo>
                                    <a:pt x="20" y="45"/>
                                  </a:lnTo>
                                  <a:lnTo>
                                    <a:pt x="19" y="49"/>
                                  </a:lnTo>
                                  <a:lnTo>
                                    <a:pt x="19" y="56"/>
                                  </a:lnTo>
                                  <a:lnTo>
                                    <a:pt x="18" y="57"/>
                                  </a:lnTo>
                                  <a:lnTo>
                                    <a:pt x="32" y="53"/>
                                  </a:lnTo>
                                  <a:lnTo>
                                    <a:pt x="45" y="51"/>
                                  </a:lnTo>
                                  <a:lnTo>
                                    <a:pt x="57" y="50"/>
                                  </a:lnTo>
                                  <a:lnTo>
                                    <a:pt x="399" y="50"/>
                                  </a:lnTo>
                                  <a:lnTo>
                                    <a:pt x="396" y="38"/>
                                  </a:lnTo>
                                  <a:lnTo>
                                    <a:pt x="352" y="38"/>
                                  </a:lnTo>
                                  <a:lnTo>
                                    <a:pt x="343" y="38"/>
                                  </a:lnTo>
                                  <a:lnTo>
                                    <a:pt x="342" y="25"/>
                                  </a:lnTo>
                                  <a:lnTo>
                                    <a:pt x="341" y="25"/>
                                  </a:lnTo>
                                  <a:lnTo>
                                    <a:pt x="315" y="24"/>
                                  </a:lnTo>
                                  <a:lnTo>
                                    <a:pt x="314" y="24"/>
                                  </a:lnTo>
                                  <a:lnTo>
                                    <a:pt x="176" y="21"/>
                                  </a:lnTo>
                                  <a:lnTo>
                                    <a:pt x="168" y="1"/>
                                  </a:lnTo>
                                  <a:lnTo>
                                    <a:pt x="167"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2" name="Freeform 139"/>
                          <wps:cNvSpPr>
                            <a:spLocks/>
                          </wps:cNvSpPr>
                          <wps:spPr bwMode="auto">
                            <a:xfrm>
                              <a:off x="1081" y="167"/>
                              <a:ext cx="404" cy="151"/>
                            </a:xfrm>
                            <a:custGeom>
                              <a:avLst/>
                              <a:gdLst>
                                <a:gd name="T0" fmla="*/ 351 w 404"/>
                                <a:gd name="T1" fmla="*/ 171 h 151"/>
                                <a:gd name="T2" fmla="*/ 349 w 404"/>
                                <a:gd name="T3" fmla="*/ 171 h 151"/>
                                <a:gd name="T4" fmla="*/ 348 w 404"/>
                                <a:gd name="T5" fmla="*/ 172 h 151"/>
                                <a:gd name="T6" fmla="*/ 348 w 404"/>
                                <a:gd name="T7" fmla="*/ 173 h 151"/>
                                <a:gd name="T8" fmla="*/ 352 w 404"/>
                                <a:gd name="T9" fmla="*/ 205 h 151"/>
                                <a:gd name="T10" fmla="*/ 396 w 404"/>
                                <a:gd name="T11" fmla="*/ 205 h 151"/>
                                <a:gd name="T12" fmla="*/ 396 w 404"/>
                                <a:gd name="T13" fmla="*/ 204 h 151"/>
                                <a:gd name="T14" fmla="*/ 390 w 404"/>
                                <a:gd name="T15" fmla="*/ 180 h 151"/>
                                <a:gd name="T16" fmla="*/ 390 w 404"/>
                                <a:gd name="T17" fmla="*/ 177 h 151"/>
                                <a:gd name="T18" fmla="*/ 389 w 404"/>
                                <a:gd name="T19" fmla="*/ 177 h 151"/>
                                <a:gd name="T20" fmla="*/ 388 w 404"/>
                                <a:gd name="T21" fmla="*/ 177 h 151"/>
                                <a:gd name="T22" fmla="*/ 351 w 404"/>
                                <a:gd name="T23" fmla="*/ 171 h 151"/>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404" h="151">
                                  <a:moveTo>
                                    <a:pt x="351" y="4"/>
                                  </a:moveTo>
                                  <a:lnTo>
                                    <a:pt x="349" y="4"/>
                                  </a:lnTo>
                                  <a:lnTo>
                                    <a:pt x="348" y="5"/>
                                  </a:lnTo>
                                  <a:lnTo>
                                    <a:pt x="348" y="6"/>
                                  </a:lnTo>
                                  <a:lnTo>
                                    <a:pt x="352" y="38"/>
                                  </a:lnTo>
                                  <a:lnTo>
                                    <a:pt x="396" y="38"/>
                                  </a:lnTo>
                                  <a:lnTo>
                                    <a:pt x="396" y="37"/>
                                  </a:lnTo>
                                  <a:lnTo>
                                    <a:pt x="390" y="13"/>
                                  </a:lnTo>
                                  <a:lnTo>
                                    <a:pt x="390" y="10"/>
                                  </a:lnTo>
                                  <a:lnTo>
                                    <a:pt x="389" y="10"/>
                                  </a:lnTo>
                                  <a:lnTo>
                                    <a:pt x="388" y="10"/>
                                  </a:lnTo>
                                  <a:lnTo>
                                    <a:pt x="351" y="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4" name="Freeform 140"/>
                          <wps:cNvSpPr>
                            <a:spLocks/>
                          </wps:cNvSpPr>
                          <wps:spPr bwMode="auto">
                            <a:xfrm>
                              <a:off x="1081" y="167"/>
                              <a:ext cx="404" cy="151"/>
                            </a:xfrm>
                            <a:custGeom>
                              <a:avLst/>
                              <a:gdLst>
                                <a:gd name="T0" fmla="*/ 315 w 404"/>
                                <a:gd name="T1" fmla="*/ 191 h 151"/>
                                <a:gd name="T2" fmla="*/ 314 w 404"/>
                                <a:gd name="T3" fmla="*/ 191 h 151"/>
                                <a:gd name="T4" fmla="*/ 314 w 404"/>
                                <a:gd name="T5" fmla="*/ 191 h 151"/>
                                <a:gd name="T6" fmla="*/ 315 w 404"/>
                                <a:gd name="T7" fmla="*/ 191 h 151"/>
                                <a:gd name="T8" fmla="*/ 315 w 404"/>
                                <a:gd name="T9" fmla="*/ 191 h 151"/>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404" h="151">
                                  <a:moveTo>
                                    <a:pt x="315" y="24"/>
                                  </a:moveTo>
                                  <a:lnTo>
                                    <a:pt x="314" y="24"/>
                                  </a:lnTo>
                                  <a:lnTo>
                                    <a:pt x="315" y="2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15" name="Picture 14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1402" y="296"/>
                              <a:ext cx="190" cy="2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16" name="Picture 14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1367" y="288"/>
                              <a:ext cx="29" cy="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grpSp>
                        <wpg:cNvPr id="217" name="Group 143"/>
                        <wpg:cNvGrpSpPr>
                          <a:grpSpLocks/>
                        </wpg:cNvGrpSpPr>
                        <wpg:grpSpPr bwMode="auto">
                          <a:xfrm>
                            <a:off x="1482" y="221"/>
                            <a:ext cx="11" cy="31"/>
                            <a:chOff x="1482" y="221"/>
                            <a:chExt cx="11" cy="31"/>
                          </a:xfrm>
                        </wpg:grpSpPr>
                        <wps:wsp>
                          <wps:cNvPr id="218" name="Freeform 144"/>
                          <wps:cNvSpPr>
                            <a:spLocks/>
                          </wps:cNvSpPr>
                          <wps:spPr bwMode="auto">
                            <a:xfrm>
                              <a:off x="1482" y="221"/>
                              <a:ext cx="11" cy="31"/>
                            </a:xfrm>
                            <a:custGeom>
                              <a:avLst/>
                              <a:gdLst>
                                <a:gd name="T0" fmla="*/ 3 w 11"/>
                                <a:gd name="T1" fmla="*/ 221 h 31"/>
                                <a:gd name="T2" fmla="*/ 0 w 11"/>
                                <a:gd name="T3" fmla="*/ 226 h 31"/>
                                <a:gd name="T4" fmla="*/ 2 w 11"/>
                                <a:gd name="T5" fmla="*/ 231 h 31"/>
                                <a:gd name="T6" fmla="*/ 3 w 11"/>
                                <a:gd name="T7" fmla="*/ 237 h 31"/>
                                <a:gd name="T8" fmla="*/ 5 w 11"/>
                                <a:gd name="T9" fmla="*/ 242 h 31"/>
                                <a:gd name="T10" fmla="*/ 7 w 11"/>
                                <a:gd name="T11" fmla="*/ 247 h 31"/>
                                <a:gd name="T12" fmla="*/ 9 w 11"/>
                                <a:gd name="T13" fmla="*/ 252 h 31"/>
                                <a:gd name="T14" fmla="*/ 11 w 11"/>
                                <a:gd name="T15" fmla="*/ 249 h 31"/>
                                <a:gd name="T16" fmla="*/ 9 w 11"/>
                                <a:gd name="T17" fmla="*/ 244 h 31"/>
                                <a:gd name="T18" fmla="*/ 8 w 11"/>
                                <a:gd name="T19" fmla="*/ 239 h 31"/>
                                <a:gd name="T20" fmla="*/ 5 w 11"/>
                                <a:gd name="T21" fmla="*/ 231 h 31"/>
                                <a:gd name="T22" fmla="*/ 4 w 11"/>
                                <a:gd name="T23" fmla="*/ 228 h 31"/>
                                <a:gd name="T24" fmla="*/ 4 w 11"/>
                                <a:gd name="T25" fmla="*/ 226 h 31"/>
                                <a:gd name="T26" fmla="*/ 4 w 11"/>
                                <a:gd name="T27" fmla="*/ 225 h 31"/>
                                <a:gd name="T28" fmla="*/ 4 w 11"/>
                                <a:gd name="T29" fmla="*/ 223 h 31"/>
                                <a:gd name="T30" fmla="*/ 3 w 11"/>
                                <a:gd name="T31" fmla="*/ 221 h 31"/>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Lst>
                              <a:ahLst/>
                              <a:cxnLst>
                                <a:cxn ang="T32">
                                  <a:pos x="T0" y="T1"/>
                                </a:cxn>
                                <a:cxn ang="T33">
                                  <a:pos x="T2" y="T3"/>
                                </a:cxn>
                                <a:cxn ang="T34">
                                  <a:pos x="T4" y="T5"/>
                                </a:cxn>
                                <a:cxn ang="T35">
                                  <a:pos x="T6" y="T7"/>
                                </a:cxn>
                                <a:cxn ang="T36">
                                  <a:pos x="T8" y="T9"/>
                                </a:cxn>
                                <a:cxn ang="T37">
                                  <a:pos x="T10" y="T11"/>
                                </a:cxn>
                                <a:cxn ang="T38">
                                  <a:pos x="T12" y="T13"/>
                                </a:cxn>
                                <a:cxn ang="T39">
                                  <a:pos x="T14" y="T15"/>
                                </a:cxn>
                                <a:cxn ang="T40">
                                  <a:pos x="T16" y="T17"/>
                                </a:cxn>
                                <a:cxn ang="T41">
                                  <a:pos x="T18" y="T19"/>
                                </a:cxn>
                                <a:cxn ang="T42">
                                  <a:pos x="T20" y="T21"/>
                                </a:cxn>
                                <a:cxn ang="T43">
                                  <a:pos x="T22" y="T23"/>
                                </a:cxn>
                                <a:cxn ang="T44">
                                  <a:pos x="T24" y="T25"/>
                                </a:cxn>
                                <a:cxn ang="T45">
                                  <a:pos x="T26" y="T27"/>
                                </a:cxn>
                                <a:cxn ang="T46">
                                  <a:pos x="T28" y="T29"/>
                                </a:cxn>
                                <a:cxn ang="T47">
                                  <a:pos x="T30" y="T31"/>
                                </a:cxn>
                              </a:cxnLst>
                              <a:rect l="0" t="0" r="r" b="b"/>
                              <a:pathLst>
                                <a:path w="11" h="31">
                                  <a:moveTo>
                                    <a:pt x="3" y="0"/>
                                  </a:moveTo>
                                  <a:lnTo>
                                    <a:pt x="0" y="5"/>
                                  </a:lnTo>
                                  <a:lnTo>
                                    <a:pt x="2" y="10"/>
                                  </a:lnTo>
                                  <a:lnTo>
                                    <a:pt x="3" y="16"/>
                                  </a:lnTo>
                                  <a:lnTo>
                                    <a:pt x="5" y="21"/>
                                  </a:lnTo>
                                  <a:lnTo>
                                    <a:pt x="7" y="26"/>
                                  </a:lnTo>
                                  <a:lnTo>
                                    <a:pt x="9" y="31"/>
                                  </a:lnTo>
                                  <a:lnTo>
                                    <a:pt x="11" y="28"/>
                                  </a:lnTo>
                                  <a:lnTo>
                                    <a:pt x="9" y="23"/>
                                  </a:lnTo>
                                  <a:lnTo>
                                    <a:pt x="8" y="18"/>
                                  </a:lnTo>
                                  <a:lnTo>
                                    <a:pt x="5" y="10"/>
                                  </a:lnTo>
                                  <a:lnTo>
                                    <a:pt x="4" y="7"/>
                                  </a:lnTo>
                                  <a:lnTo>
                                    <a:pt x="4" y="5"/>
                                  </a:lnTo>
                                  <a:lnTo>
                                    <a:pt x="4" y="4"/>
                                  </a:lnTo>
                                  <a:lnTo>
                                    <a:pt x="4" y="2"/>
                                  </a:lnTo>
                                  <a:lnTo>
                                    <a:pt x="3" y="0"/>
                                  </a:lnTo>
                                  <a:close/>
                                </a:path>
                              </a:pathLst>
                            </a:custGeom>
                            <a:solidFill>
                              <a:srgbClr val="60869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19" name="Picture 14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1471" y="178"/>
                              <a:ext cx="14"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grpSp>
                        <wpg:cNvPr id="220" name="Group 146"/>
                        <wpg:cNvGrpSpPr>
                          <a:grpSpLocks/>
                        </wpg:cNvGrpSpPr>
                        <wpg:grpSpPr bwMode="auto">
                          <a:xfrm>
                            <a:off x="1491" y="249"/>
                            <a:ext cx="9" cy="20"/>
                            <a:chOff x="1491" y="249"/>
                            <a:chExt cx="9" cy="20"/>
                          </a:xfrm>
                        </wpg:grpSpPr>
                        <wps:wsp>
                          <wps:cNvPr id="221" name="Freeform 147"/>
                          <wps:cNvSpPr>
                            <a:spLocks/>
                          </wps:cNvSpPr>
                          <wps:spPr bwMode="auto">
                            <a:xfrm>
                              <a:off x="1491" y="249"/>
                              <a:ext cx="9" cy="20"/>
                            </a:xfrm>
                            <a:custGeom>
                              <a:avLst/>
                              <a:gdLst>
                                <a:gd name="T0" fmla="*/ 2 w 9"/>
                                <a:gd name="T1" fmla="*/ 249 h 20"/>
                                <a:gd name="T2" fmla="*/ 0 w 9"/>
                                <a:gd name="T3" fmla="*/ 252 h 20"/>
                                <a:gd name="T4" fmla="*/ 2 w 9"/>
                                <a:gd name="T5" fmla="*/ 258 h 20"/>
                                <a:gd name="T6" fmla="*/ 5 w 9"/>
                                <a:gd name="T7" fmla="*/ 263 h 20"/>
                                <a:gd name="T8" fmla="*/ 7 w 9"/>
                                <a:gd name="T9" fmla="*/ 269 h 20"/>
                                <a:gd name="T10" fmla="*/ 9 w 9"/>
                                <a:gd name="T11" fmla="*/ 267 h 20"/>
                                <a:gd name="T12" fmla="*/ 6 w 9"/>
                                <a:gd name="T13" fmla="*/ 261 h 20"/>
                                <a:gd name="T14" fmla="*/ 4 w 9"/>
                                <a:gd name="T15" fmla="*/ 255 h 20"/>
                                <a:gd name="T16" fmla="*/ 2 w 9"/>
                                <a:gd name="T17" fmla="*/ 249 h 20"/>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9" h="20">
                                  <a:moveTo>
                                    <a:pt x="2" y="0"/>
                                  </a:moveTo>
                                  <a:lnTo>
                                    <a:pt x="0" y="3"/>
                                  </a:lnTo>
                                  <a:lnTo>
                                    <a:pt x="2" y="9"/>
                                  </a:lnTo>
                                  <a:lnTo>
                                    <a:pt x="5" y="14"/>
                                  </a:lnTo>
                                  <a:lnTo>
                                    <a:pt x="7" y="20"/>
                                  </a:lnTo>
                                  <a:lnTo>
                                    <a:pt x="9" y="18"/>
                                  </a:lnTo>
                                  <a:lnTo>
                                    <a:pt x="6" y="12"/>
                                  </a:lnTo>
                                  <a:lnTo>
                                    <a:pt x="4" y="6"/>
                                  </a:lnTo>
                                  <a:lnTo>
                                    <a:pt x="2" y="0"/>
                                  </a:lnTo>
                                  <a:close/>
                                </a:path>
                              </a:pathLst>
                            </a:custGeom>
                            <a:solidFill>
                              <a:srgbClr val="003F5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22" name="Picture 148"/>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1498" y="267"/>
                              <a:ext cx="17" cy="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grpSp>
                        <wpg:cNvPr id="223" name="Group 149"/>
                        <wpg:cNvGrpSpPr>
                          <a:grpSpLocks/>
                        </wpg:cNvGrpSpPr>
                        <wpg:grpSpPr bwMode="auto">
                          <a:xfrm>
                            <a:off x="1484" y="231"/>
                            <a:ext cx="2" cy="6"/>
                            <a:chOff x="1484" y="231"/>
                            <a:chExt cx="2" cy="6"/>
                          </a:xfrm>
                        </wpg:grpSpPr>
                        <wps:wsp>
                          <wps:cNvPr id="384" name="Freeform 150"/>
                          <wps:cNvSpPr>
                            <a:spLocks/>
                          </wps:cNvSpPr>
                          <wps:spPr bwMode="auto">
                            <a:xfrm>
                              <a:off x="1484" y="231"/>
                              <a:ext cx="2" cy="6"/>
                            </a:xfrm>
                            <a:custGeom>
                              <a:avLst/>
                              <a:gdLst>
                                <a:gd name="T0" fmla="*/ 0 w 2"/>
                                <a:gd name="T1" fmla="*/ 231 h 6"/>
                                <a:gd name="T2" fmla="*/ 1 w 2"/>
                                <a:gd name="T3" fmla="*/ 237 h 6"/>
                                <a:gd name="T4" fmla="*/ 0 w 2"/>
                                <a:gd name="T5" fmla="*/ 231 h 6"/>
                                <a:gd name="T6" fmla="*/ 0 60000 65536"/>
                                <a:gd name="T7" fmla="*/ 0 60000 65536"/>
                                <a:gd name="T8" fmla="*/ 0 60000 65536"/>
                              </a:gdLst>
                              <a:ahLst/>
                              <a:cxnLst>
                                <a:cxn ang="T6">
                                  <a:pos x="T0" y="T1"/>
                                </a:cxn>
                                <a:cxn ang="T7">
                                  <a:pos x="T2" y="T3"/>
                                </a:cxn>
                                <a:cxn ang="T8">
                                  <a:pos x="T4" y="T5"/>
                                </a:cxn>
                              </a:cxnLst>
                              <a:rect l="0" t="0" r="r" b="b"/>
                              <a:pathLst>
                                <a:path w="2" h="6">
                                  <a:moveTo>
                                    <a:pt x="0" y="0"/>
                                  </a:moveTo>
                                  <a:lnTo>
                                    <a:pt x="1" y="6"/>
                                  </a:lnTo>
                                  <a:lnTo>
                                    <a:pt x="0" y="0"/>
                                  </a:lnTo>
                                  <a:close/>
                                </a:path>
                              </a:pathLst>
                            </a:custGeom>
                            <a:solidFill>
                              <a:srgbClr val="60869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85" name="Picture 15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1099" y="217"/>
                              <a:ext cx="268" cy="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86" name="Picture 15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1422" y="192"/>
                              <a:ext cx="7" cy="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87" name="Picture 15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1090" y="174"/>
                              <a:ext cx="170" cy="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grpSp>
                        <wpg:cNvPr id="388" name="Group 154"/>
                        <wpg:cNvGrpSpPr>
                          <a:grpSpLocks/>
                        </wpg:cNvGrpSpPr>
                        <wpg:grpSpPr bwMode="auto">
                          <a:xfrm>
                            <a:off x="1081" y="167"/>
                            <a:ext cx="507" cy="412"/>
                            <a:chOff x="1081" y="167"/>
                            <a:chExt cx="507" cy="412"/>
                          </a:xfrm>
                        </wpg:grpSpPr>
                        <wps:wsp>
                          <wps:cNvPr id="389" name="Freeform 155"/>
                          <wps:cNvSpPr>
                            <a:spLocks/>
                          </wps:cNvSpPr>
                          <wps:spPr bwMode="auto">
                            <a:xfrm>
                              <a:off x="1081" y="167"/>
                              <a:ext cx="507" cy="412"/>
                            </a:xfrm>
                            <a:custGeom>
                              <a:avLst/>
                              <a:gdLst>
                                <a:gd name="T0" fmla="*/ 468 w 507"/>
                                <a:gd name="T1" fmla="*/ 380 h 412"/>
                                <a:gd name="T2" fmla="*/ 330 w 507"/>
                                <a:gd name="T3" fmla="*/ 380 h 412"/>
                                <a:gd name="T4" fmla="*/ 333 w 507"/>
                                <a:gd name="T5" fmla="*/ 381 h 412"/>
                                <a:gd name="T6" fmla="*/ 340 w 507"/>
                                <a:gd name="T7" fmla="*/ 387 h 412"/>
                                <a:gd name="T8" fmla="*/ 342 w 507"/>
                                <a:gd name="T9" fmla="*/ 388 h 412"/>
                                <a:gd name="T10" fmla="*/ 342 w 507"/>
                                <a:gd name="T11" fmla="*/ 389 h 412"/>
                                <a:gd name="T12" fmla="*/ 338 w 507"/>
                                <a:gd name="T13" fmla="*/ 393 h 412"/>
                                <a:gd name="T14" fmla="*/ 335 w 507"/>
                                <a:gd name="T15" fmla="*/ 397 h 412"/>
                                <a:gd name="T16" fmla="*/ 332 w 507"/>
                                <a:gd name="T17" fmla="*/ 401 h 412"/>
                                <a:gd name="T18" fmla="*/ 329 w 507"/>
                                <a:gd name="T19" fmla="*/ 408 h 412"/>
                                <a:gd name="T20" fmla="*/ 326 w 507"/>
                                <a:gd name="T21" fmla="*/ 416 h 412"/>
                                <a:gd name="T22" fmla="*/ 329 w 507"/>
                                <a:gd name="T23" fmla="*/ 427 h 412"/>
                                <a:gd name="T24" fmla="*/ 347 w 507"/>
                                <a:gd name="T25" fmla="*/ 455 h 412"/>
                                <a:gd name="T26" fmla="*/ 356 w 507"/>
                                <a:gd name="T27" fmla="*/ 466 h 412"/>
                                <a:gd name="T28" fmla="*/ 356 w 507"/>
                                <a:gd name="T29" fmla="*/ 466 h 412"/>
                                <a:gd name="T30" fmla="*/ 364 w 507"/>
                                <a:gd name="T31" fmla="*/ 471 h 412"/>
                                <a:gd name="T32" fmla="*/ 376 w 507"/>
                                <a:gd name="T33" fmla="*/ 488 h 412"/>
                                <a:gd name="T34" fmla="*/ 385 w 507"/>
                                <a:gd name="T35" fmla="*/ 508 h 412"/>
                                <a:gd name="T36" fmla="*/ 390 w 507"/>
                                <a:gd name="T37" fmla="*/ 520 h 412"/>
                                <a:gd name="T38" fmla="*/ 398 w 507"/>
                                <a:gd name="T39" fmla="*/ 526 h 412"/>
                                <a:gd name="T40" fmla="*/ 399 w 507"/>
                                <a:gd name="T41" fmla="*/ 526 h 412"/>
                                <a:gd name="T42" fmla="*/ 416 w 507"/>
                                <a:gd name="T43" fmla="*/ 531 h 412"/>
                                <a:gd name="T44" fmla="*/ 428 w 507"/>
                                <a:gd name="T45" fmla="*/ 548 h 412"/>
                                <a:gd name="T46" fmla="*/ 431 w 507"/>
                                <a:gd name="T47" fmla="*/ 553 h 412"/>
                                <a:gd name="T48" fmla="*/ 433 w 507"/>
                                <a:gd name="T49" fmla="*/ 555 h 412"/>
                                <a:gd name="T50" fmla="*/ 434 w 507"/>
                                <a:gd name="T51" fmla="*/ 558 h 412"/>
                                <a:gd name="T52" fmla="*/ 435 w 507"/>
                                <a:gd name="T53" fmla="*/ 560 h 412"/>
                                <a:gd name="T54" fmla="*/ 435 w 507"/>
                                <a:gd name="T55" fmla="*/ 571 h 412"/>
                                <a:gd name="T56" fmla="*/ 436 w 507"/>
                                <a:gd name="T57" fmla="*/ 573 h 412"/>
                                <a:gd name="T58" fmla="*/ 439 w 507"/>
                                <a:gd name="T59" fmla="*/ 577 h 412"/>
                                <a:gd name="T60" fmla="*/ 443 w 507"/>
                                <a:gd name="T61" fmla="*/ 579 h 412"/>
                                <a:gd name="T62" fmla="*/ 450 w 507"/>
                                <a:gd name="T63" fmla="*/ 579 h 412"/>
                                <a:gd name="T64" fmla="*/ 453 w 507"/>
                                <a:gd name="T65" fmla="*/ 578 h 412"/>
                                <a:gd name="T66" fmla="*/ 454 w 507"/>
                                <a:gd name="T67" fmla="*/ 578 h 412"/>
                                <a:gd name="T68" fmla="*/ 455 w 507"/>
                                <a:gd name="T69" fmla="*/ 578 h 412"/>
                                <a:gd name="T70" fmla="*/ 456 w 507"/>
                                <a:gd name="T71" fmla="*/ 578 h 412"/>
                                <a:gd name="T72" fmla="*/ 476 w 507"/>
                                <a:gd name="T73" fmla="*/ 572 h 412"/>
                                <a:gd name="T74" fmla="*/ 506 w 507"/>
                                <a:gd name="T75" fmla="*/ 502 h 412"/>
                                <a:gd name="T76" fmla="*/ 506 w 507"/>
                                <a:gd name="T77" fmla="*/ 483 h 412"/>
                                <a:gd name="T78" fmla="*/ 504 w 507"/>
                                <a:gd name="T79" fmla="*/ 462 h 412"/>
                                <a:gd name="T80" fmla="*/ 483 w 507"/>
                                <a:gd name="T81" fmla="*/ 403 h 412"/>
                                <a:gd name="T82" fmla="*/ 470 w 507"/>
                                <a:gd name="T83" fmla="*/ 383 h 412"/>
                                <a:gd name="T84" fmla="*/ 468 w 507"/>
                                <a:gd name="T85" fmla="*/ 380 h 412"/>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Lst>
                              <a:ahLst/>
                              <a:cxnLst>
                                <a:cxn ang="T86">
                                  <a:pos x="T0" y="T1"/>
                                </a:cxn>
                                <a:cxn ang="T87">
                                  <a:pos x="T2" y="T3"/>
                                </a:cxn>
                                <a:cxn ang="T88">
                                  <a:pos x="T4" y="T5"/>
                                </a:cxn>
                                <a:cxn ang="T89">
                                  <a:pos x="T6" y="T7"/>
                                </a:cxn>
                                <a:cxn ang="T90">
                                  <a:pos x="T8" y="T9"/>
                                </a:cxn>
                                <a:cxn ang="T91">
                                  <a:pos x="T10" y="T11"/>
                                </a:cxn>
                                <a:cxn ang="T92">
                                  <a:pos x="T12" y="T13"/>
                                </a:cxn>
                                <a:cxn ang="T93">
                                  <a:pos x="T14" y="T15"/>
                                </a:cxn>
                                <a:cxn ang="T94">
                                  <a:pos x="T16" y="T17"/>
                                </a:cxn>
                                <a:cxn ang="T95">
                                  <a:pos x="T18" y="T19"/>
                                </a:cxn>
                                <a:cxn ang="T96">
                                  <a:pos x="T20" y="T21"/>
                                </a:cxn>
                                <a:cxn ang="T97">
                                  <a:pos x="T22" y="T23"/>
                                </a:cxn>
                                <a:cxn ang="T98">
                                  <a:pos x="T24" y="T25"/>
                                </a:cxn>
                                <a:cxn ang="T99">
                                  <a:pos x="T26" y="T27"/>
                                </a:cxn>
                                <a:cxn ang="T100">
                                  <a:pos x="T28" y="T29"/>
                                </a:cxn>
                                <a:cxn ang="T101">
                                  <a:pos x="T30" y="T31"/>
                                </a:cxn>
                                <a:cxn ang="T102">
                                  <a:pos x="T32" y="T33"/>
                                </a:cxn>
                                <a:cxn ang="T103">
                                  <a:pos x="T34" y="T35"/>
                                </a:cxn>
                                <a:cxn ang="T104">
                                  <a:pos x="T36" y="T37"/>
                                </a:cxn>
                                <a:cxn ang="T105">
                                  <a:pos x="T38" y="T39"/>
                                </a:cxn>
                                <a:cxn ang="T106">
                                  <a:pos x="T40" y="T41"/>
                                </a:cxn>
                                <a:cxn ang="T107">
                                  <a:pos x="T42" y="T43"/>
                                </a:cxn>
                                <a:cxn ang="T108">
                                  <a:pos x="T44" y="T45"/>
                                </a:cxn>
                                <a:cxn ang="T109">
                                  <a:pos x="T46" y="T47"/>
                                </a:cxn>
                                <a:cxn ang="T110">
                                  <a:pos x="T48" y="T49"/>
                                </a:cxn>
                                <a:cxn ang="T111">
                                  <a:pos x="T50" y="T51"/>
                                </a:cxn>
                                <a:cxn ang="T112">
                                  <a:pos x="T52" y="T53"/>
                                </a:cxn>
                                <a:cxn ang="T113">
                                  <a:pos x="T54" y="T55"/>
                                </a:cxn>
                                <a:cxn ang="T114">
                                  <a:pos x="T56" y="T57"/>
                                </a:cxn>
                                <a:cxn ang="T115">
                                  <a:pos x="T58" y="T59"/>
                                </a:cxn>
                                <a:cxn ang="T116">
                                  <a:pos x="T60" y="T61"/>
                                </a:cxn>
                                <a:cxn ang="T117">
                                  <a:pos x="T62" y="T63"/>
                                </a:cxn>
                                <a:cxn ang="T118">
                                  <a:pos x="T64" y="T65"/>
                                </a:cxn>
                                <a:cxn ang="T119">
                                  <a:pos x="T66" y="T67"/>
                                </a:cxn>
                                <a:cxn ang="T120">
                                  <a:pos x="T68" y="T69"/>
                                </a:cxn>
                                <a:cxn ang="T121">
                                  <a:pos x="T70" y="T71"/>
                                </a:cxn>
                                <a:cxn ang="T122">
                                  <a:pos x="T72" y="T73"/>
                                </a:cxn>
                                <a:cxn ang="T123">
                                  <a:pos x="T74" y="T75"/>
                                </a:cxn>
                                <a:cxn ang="T124">
                                  <a:pos x="T76" y="T77"/>
                                </a:cxn>
                                <a:cxn ang="T125">
                                  <a:pos x="T78" y="T79"/>
                                </a:cxn>
                                <a:cxn ang="T126">
                                  <a:pos x="T80" y="T81"/>
                                </a:cxn>
                                <a:cxn ang="T127">
                                  <a:pos x="T82" y="T83"/>
                                </a:cxn>
                                <a:cxn ang="T128">
                                  <a:pos x="T84" y="T85"/>
                                </a:cxn>
                              </a:cxnLst>
                              <a:rect l="0" t="0" r="r" b="b"/>
                              <a:pathLst>
                                <a:path w="507" h="412">
                                  <a:moveTo>
                                    <a:pt x="468" y="213"/>
                                  </a:moveTo>
                                  <a:lnTo>
                                    <a:pt x="330" y="213"/>
                                  </a:lnTo>
                                  <a:lnTo>
                                    <a:pt x="333" y="214"/>
                                  </a:lnTo>
                                  <a:lnTo>
                                    <a:pt x="340" y="220"/>
                                  </a:lnTo>
                                  <a:lnTo>
                                    <a:pt x="342" y="221"/>
                                  </a:lnTo>
                                  <a:lnTo>
                                    <a:pt x="342" y="222"/>
                                  </a:lnTo>
                                  <a:lnTo>
                                    <a:pt x="338" y="226"/>
                                  </a:lnTo>
                                  <a:lnTo>
                                    <a:pt x="335" y="230"/>
                                  </a:lnTo>
                                  <a:lnTo>
                                    <a:pt x="332" y="234"/>
                                  </a:lnTo>
                                  <a:lnTo>
                                    <a:pt x="329" y="241"/>
                                  </a:lnTo>
                                  <a:lnTo>
                                    <a:pt x="326" y="249"/>
                                  </a:lnTo>
                                  <a:lnTo>
                                    <a:pt x="329" y="260"/>
                                  </a:lnTo>
                                  <a:lnTo>
                                    <a:pt x="347" y="288"/>
                                  </a:lnTo>
                                  <a:lnTo>
                                    <a:pt x="356" y="299"/>
                                  </a:lnTo>
                                  <a:lnTo>
                                    <a:pt x="364" y="304"/>
                                  </a:lnTo>
                                  <a:lnTo>
                                    <a:pt x="376" y="321"/>
                                  </a:lnTo>
                                  <a:lnTo>
                                    <a:pt x="385" y="341"/>
                                  </a:lnTo>
                                  <a:lnTo>
                                    <a:pt x="390" y="353"/>
                                  </a:lnTo>
                                  <a:lnTo>
                                    <a:pt x="398" y="359"/>
                                  </a:lnTo>
                                  <a:lnTo>
                                    <a:pt x="399" y="359"/>
                                  </a:lnTo>
                                  <a:lnTo>
                                    <a:pt x="416" y="364"/>
                                  </a:lnTo>
                                  <a:lnTo>
                                    <a:pt x="428" y="381"/>
                                  </a:lnTo>
                                  <a:lnTo>
                                    <a:pt x="431" y="386"/>
                                  </a:lnTo>
                                  <a:lnTo>
                                    <a:pt x="433" y="388"/>
                                  </a:lnTo>
                                  <a:lnTo>
                                    <a:pt x="434" y="391"/>
                                  </a:lnTo>
                                  <a:lnTo>
                                    <a:pt x="435" y="393"/>
                                  </a:lnTo>
                                  <a:lnTo>
                                    <a:pt x="435" y="404"/>
                                  </a:lnTo>
                                  <a:lnTo>
                                    <a:pt x="436" y="406"/>
                                  </a:lnTo>
                                  <a:lnTo>
                                    <a:pt x="439" y="410"/>
                                  </a:lnTo>
                                  <a:lnTo>
                                    <a:pt x="443" y="412"/>
                                  </a:lnTo>
                                  <a:lnTo>
                                    <a:pt x="450" y="412"/>
                                  </a:lnTo>
                                  <a:lnTo>
                                    <a:pt x="453" y="411"/>
                                  </a:lnTo>
                                  <a:lnTo>
                                    <a:pt x="454" y="411"/>
                                  </a:lnTo>
                                  <a:lnTo>
                                    <a:pt x="455" y="411"/>
                                  </a:lnTo>
                                  <a:lnTo>
                                    <a:pt x="456" y="411"/>
                                  </a:lnTo>
                                  <a:lnTo>
                                    <a:pt x="476" y="405"/>
                                  </a:lnTo>
                                  <a:lnTo>
                                    <a:pt x="506" y="335"/>
                                  </a:lnTo>
                                  <a:lnTo>
                                    <a:pt x="506" y="316"/>
                                  </a:lnTo>
                                  <a:lnTo>
                                    <a:pt x="504" y="295"/>
                                  </a:lnTo>
                                  <a:lnTo>
                                    <a:pt x="483" y="236"/>
                                  </a:lnTo>
                                  <a:lnTo>
                                    <a:pt x="470" y="216"/>
                                  </a:lnTo>
                                  <a:lnTo>
                                    <a:pt x="468" y="21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0" name="Freeform 156"/>
                          <wps:cNvSpPr>
                            <a:spLocks/>
                          </wps:cNvSpPr>
                          <wps:spPr bwMode="auto">
                            <a:xfrm>
                              <a:off x="1081" y="167"/>
                              <a:ext cx="507" cy="412"/>
                            </a:xfrm>
                            <a:custGeom>
                              <a:avLst/>
                              <a:gdLst>
                                <a:gd name="T0" fmla="*/ 453 w 507"/>
                                <a:gd name="T1" fmla="*/ 336 h 412"/>
                                <a:gd name="T2" fmla="*/ 322 w 507"/>
                                <a:gd name="T3" fmla="*/ 336 h 412"/>
                                <a:gd name="T4" fmla="*/ 322 w 507"/>
                                <a:gd name="T5" fmla="*/ 337 h 412"/>
                                <a:gd name="T6" fmla="*/ 322 w 507"/>
                                <a:gd name="T7" fmla="*/ 346 h 412"/>
                                <a:gd name="T8" fmla="*/ 319 w 507"/>
                                <a:gd name="T9" fmla="*/ 355 h 412"/>
                                <a:gd name="T10" fmla="*/ 317 w 507"/>
                                <a:gd name="T11" fmla="*/ 363 h 412"/>
                                <a:gd name="T12" fmla="*/ 313 w 507"/>
                                <a:gd name="T13" fmla="*/ 382 h 412"/>
                                <a:gd name="T14" fmla="*/ 319 w 507"/>
                                <a:gd name="T15" fmla="*/ 399 h 412"/>
                                <a:gd name="T16" fmla="*/ 321 w 507"/>
                                <a:gd name="T17" fmla="*/ 401 h 412"/>
                                <a:gd name="T18" fmla="*/ 322 w 507"/>
                                <a:gd name="T19" fmla="*/ 401 h 412"/>
                                <a:gd name="T20" fmla="*/ 323 w 507"/>
                                <a:gd name="T21" fmla="*/ 401 h 412"/>
                                <a:gd name="T22" fmla="*/ 324 w 507"/>
                                <a:gd name="T23" fmla="*/ 401 h 412"/>
                                <a:gd name="T24" fmla="*/ 324 w 507"/>
                                <a:gd name="T25" fmla="*/ 400 h 412"/>
                                <a:gd name="T26" fmla="*/ 326 w 507"/>
                                <a:gd name="T27" fmla="*/ 399 h 412"/>
                                <a:gd name="T28" fmla="*/ 326 w 507"/>
                                <a:gd name="T29" fmla="*/ 393 h 412"/>
                                <a:gd name="T30" fmla="*/ 325 w 507"/>
                                <a:gd name="T31" fmla="*/ 382 h 412"/>
                                <a:gd name="T32" fmla="*/ 327 w 507"/>
                                <a:gd name="T33" fmla="*/ 380 h 412"/>
                                <a:gd name="T34" fmla="*/ 330 w 507"/>
                                <a:gd name="T35" fmla="*/ 380 h 412"/>
                                <a:gd name="T36" fmla="*/ 468 w 507"/>
                                <a:gd name="T37" fmla="*/ 380 h 412"/>
                                <a:gd name="T38" fmla="*/ 466 w 507"/>
                                <a:gd name="T39" fmla="*/ 376 h 412"/>
                                <a:gd name="T40" fmla="*/ 463 w 507"/>
                                <a:gd name="T41" fmla="*/ 370 h 412"/>
                                <a:gd name="T42" fmla="*/ 453 w 507"/>
                                <a:gd name="T43" fmla="*/ 345 h 412"/>
                                <a:gd name="T44" fmla="*/ 453 w 507"/>
                                <a:gd name="T45" fmla="*/ 336 h 412"/>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Lst>
                              <a:ahLst/>
                              <a:cxnLst>
                                <a:cxn ang="T46">
                                  <a:pos x="T0" y="T1"/>
                                </a:cxn>
                                <a:cxn ang="T47">
                                  <a:pos x="T2" y="T3"/>
                                </a:cxn>
                                <a:cxn ang="T48">
                                  <a:pos x="T4" y="T5"/>
                                </a:cxn>
                                <a:cxn ang="T49">
                                  <a:pos x="T6" y="T7"/>
                                </a:cxn>
                                <a:cxn ang="T50">
                                  <a:pos x="T8" y="T9"/>
                                </a:cxn>
                                <a:cxn ang="T51">
                                  <a:pos x="T10" y="T11"/>
                                </a:cxn>
                                <a:cxn ang="T52">
                                  <a:pos x="T12" y="T13"/>
                                </a:cxn>
                                <a:cxn ang="T53">
                                  <a:pos x="T14" y="T15"/>
                                </a:cxn>
                                <a:cxn ang="T54">
                                  <a:pos x="T16" y="T17"/>
                                </a:cxn>
                                <a:cxn ang="T55">
                                  <a:pos x="T18" y="T19"/>
                                </a:cxn>
                                <a:cxn ang="T56">
                                  <a:pos x="T20" y="T21"/>
                                </a:cxn>
                                <a:cxn ang="T57">
                                  <a:pos x="T22" y="T23"/>
                                </a:cxn>
                                <a:cxn ang="T58">
                                  <a:pos x="T24" y="T25"/>
                                </a:cxn>
                                <a:cxn ang="T59">
                                  <a:pos x="T26" y="T27"/>
                                </a:cxn>
                                <a:cxn ang="T60">
                                  <a:pos x="T28" y="T29"/>
                                </a:cxn>
                                <a:cxn ang="T61">
                                  <a:pos x="T30" y="T31"/>
                                </a:cxn>
                                <a:cxn ang="T62">
                                  <a:pos x="T32" y="T33"/>
                                </a:cxn>
                                <a:cxn ang="T63">
                                  <a:pos x="T34" y="T35"/>
                                </a:cxn>
                                <a:cxn ang="T64">
                                  <a:pos x="T36" y="T37"/>
                                </a:cxn>
                                <a:cxn ang="T65">
                                  <a:pos x="T38" y="T39"/>
                                </a:cxn>
                                <a:cxn ang="T66">
                                  <a:pos x="T40" y="T41"/>
                                </a:cxn>
                                <a:cxn ang="T67">
                                  <a:pos x="T42" y="T43"/>
                                </a:cxn>
                                <a:cxn ang="T68">
                                  <a:pos x="T44" y="T45"/>
                                </a:cxn>
                              </a:cxnLst>
                              <a:rect l="0" t="0" r="r" b="b"/>
                              <a:pathLst>
                                <a:path w="507" h="412">
                                  <a:moveTo>
                                    <a:pt x="453" y="169"/>
                                  </a:moveTo>
                                  <a:lnTo>
                                    <a:pt x="322" y="169"/>
                                  </a:lnTo>
                                  <a:lnTo>
                                    <a:pt x="322" y="170"/>
                                  </a:lnTo>
                                  <a:lnTo>
                                    <a:pt x="322" y="179"/>
                                  </a:lnTo>
                                  <a:lnTo>
                                    <a:pt x="319" y="188"/>
                                  </a:lnTo>
                                  <a:lnTo>
                                    <a:pt x="317" y="196"/>
                                  </a:lnTo>
                                  <a:lnTo>
                                    <a:pt x="313" y="215"/>
                                  </a:lnTo>
                                  <a:lnTo>
                                    <a:pt x="319" y="232"/>
                                  </a:lnTo>
                                  <a:lnTo>
                                    <a:pt x="321" y="234"/>
                                  </a:lnTo>
                                  <a:lnTo>
                                    <a:pt x="322" y="234"/>
                                  </a:lnTo>
                                  <a:lnTo>
                                    <a:pt x="323" y="234"/>
                                  </a:lnTo>
                                  <a:lnTo>
                                    <a:pt x="324" y="234"/>
                                  </a:lnTo>
                                  <a:lnTo>
                                    <a:pt x="324" y="233"/>
                                  </a:lnTo>
                                  <a:lnTo>
                                    <a:pt x="326" y="232"/>
                                  </a:lnTo>
                                  <a:lnTo>
                                    <a:pt x="326" y="226"/>
                                  </a:lnTo>
                                  <a:lnTo>
                                    <a:pt x="325" y="215"/>
                                  </a:lnTo>
                                  <a:lnTo>
                                    <a:pt x="327" y="213"/>
                                  </a:lnTo>
                                  <a:lnTo>
                                    <a:pt x="330" y="213"/>
                                  </a:lnTo>
                                  <a:lnTo>
                                    <a:pt x="468" y="213"/>
                                  </a:lnTo>
                                  <a:lnTo>
                                    <a:pt x="466" y="209"/>
                                  </a:lnTo>
                                  <a:lnTo>
                                    <a:pt x="463" y="203"/>
                                  </a:lnTo>
                                  <a:lnTo>
                                    <a:pt x="453" y="178"/>
                                  </a:lnTo>
                                  <a:lnTo>
                                    <a:pt x="453" y="169"/>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1" name="Freeform 157"/>
                          <wps:cNvSpPr>
                            <a:spLocks/>
                          </wps:cNvSpPr>
                          <wps:spPr bwMode="auto">
                            <a:xfrm>
                              <a:off x="1081" y="167"/>
                              <a:ext cx="507" cy="412"/>
                            </a:xfrm>
                            <a:custGeom>
                              <a:avLst/>
                              <a:gdLst>
                                <a:gd name="T0" fmla="*/ 433 w 507"/>
                                <a:gd name="T1" fmla="*/ 296 h 412"/>
                                <a:gd name="T2" fmla="*/ 295 w 507"/>
                                <a:gd name="T3" fmla="*/ 296 h 412"/>
                                <a:gd name="T4" fmla="*/ 312 w 507"/>
                                <a:gd name="T5" fmla="*/ 296 h 412"/>
                                <a:gd name="T6" fmla="*/ 321 w 507"/>
                                <a:gd name="T7" fmla="*/ 315 h 412"/>
                                <a:gd name="T8" fmla="*/ 321 w 507"/>
                                <a:gd name="T9" fmla="*/ 326 h 412"/>
                                <a:gd name="T10" fmla="*/ 322 w 507"/>
                                <a:gd name="T11" fmla="*/ 329 h 412"/>
                                <a:gd name="T12" fmla="*/ 322 w 507"/>
                                <a:gd name="T13" fmla="*/ 337 h 412"/>
                                <a:gd name="T14" fmla="*/ 322 w 507"/>
                                <a:gd name="T15" fmla="*/ 336 h 412"/>
                                <a:gd name="T16" fmla="*/ 453 w 507"/>
                                <a:gd name="T17" fmla="*/ 336 h 412"/>
                                <a:gd name="T18" fmla="*/ 453 w 507"/>
                                <a:gd name="T19" fmla="*/ 329 h 412"/>
                                <a:gd name="T20" fmla="*/ 454 w 507"/>
                                <a:gd name="T21" fmla="*/ 324 h 412"/>
                                <a:gd name="T22" fmla="*/ 454 w 507"/>
                                <a:gd name="T23" fmla="*/ 323 h 412"/>
                                <a:gd name="T24" fmla="*/ 454 w 507"/>
                                <a:gd name="T25" fmla="*/ 323 h 412"/>
                                <a:gd name="T26" fmla="*/ 453 w 507"/>
                                <a:gd name="T27" fmla="*/ 322 h 412"/>
                                <a:gd name="T28" fmla="*/ 441 w 507"/>
                                <a:gd name="T29" fmla="*/ 307 h 412"/>
                                <a:gd name="T30" fmla="*/ 433 w 507"/>
                                <a:gd name="T31" fmla="*/ 296 h 412"/>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Lst>
                              <a:ahLst/>
                              <a:cxnLst>
                                <a:cxn ang="T32">
                                  <a:pos x="T0" y="T1"/>
                                </a:cxn>
                                <a:cxn ang="T33">
                                  <a:pos x="T2" y="T3"/>
                                </a:cxn>
                                <a:cxn ang="T34">
                                  <a:pos x="T4" y="T5"/>
                                </a:cxn>
                                <a:cxn ang="T35">
                                  <a:pos x="T6" y="T7"/>
                                </a:cxn>
                                <a:cxn ang="T36">
                                  <a:pos x="T8" y="T9"/>
                                </a:cxn>
                                <a:cxn ang="T37">
                                  <a:pos x="T10" y="T11"/>
                                </a:cxn>
                                <a:cxn ang="T38">
                                  <a:pos x="T12" y="T13"/>
                                </a:cxn>
                                <a:cxn ang="T39">
                                  <a:pos x="T14" y="T15"/>
                                </a:cxn>
                                <a:cxn ang="T40">
                                  <a:pos x="T16" y="T17"/>
                                </a:cxn>
                                <a:cxn ang="T41">
                                  <a:pos x="T18" y="T19"/>
                                </a:cxn>
                                <a:cxn ang="T42">
                                  <a:pos x="T20" y="T21"/>
                                </a:cxn>
                                <a:cxn ang="T43">
                                  <a:pos x="T22" y="T23"/>
                                </a:cxn>
                                <a:cxn ang="T44">
                                  <a:pos x="T24" y="T25"/>
                                </a:cxn>
                                <a:cxn ang="T45">
                                  <a:pos x="T26" y="T27"/>
                                </a:cxn>
                                <a:cxn ang="T46">
                                  <a:pos x="T28" y="T29"/>
                                </a:cxn>
                                <a:cxn ang="T47">
                                  <a:pos x="T30" y="T31"/>
                                </a:cxn>
                              </a:cxnLst>
                              <a:rect l="0" t="0" r="r" b="b"/>
                              <a:pathLst>
                                <a:path w="507" h="412">
                                  <a:moveTo>
                                    <a:pt x="433" y="129"/>
                                  </a:moveTo>
                                  <a:lnTo>
                                    <a:pt x="295" y="129"/>
                                  </a:lnTo>
                                  <a:lnTo>
                                    <a:pt x="312" y="129"/>
                                  </a:lnTo>
                                  <a:lnTo>
                                    <a:pt x="321" y="148"/>
                                  </a:lnTo>
                                  <a:lnTo>
                                    <a:pt x="321" y="159"/>
                                  </a:lnTo>
                                  <a:lnTo>
                                    <a:pt x="322" y="162"/>
                                  </a:lnTo>
                                  <a:lnTo>
                                    <a:pt x="322" y="170"/>
                                  </a:lnTo>
                                  <a:lnTo>
                                    <a:pt x="322" y="169"/>
                                  </a:lnTo>
                                  <a:lnTo>
                                    <a:pt x="453" y="169"/>
                                  </a:lnTo>
                                  <a:lnTo>
                                    <a:pt x="453" y="162"/>
                                  </a:lnTo>
                                  <a:lnTo>
                                    <a:pt x="454" y="157"/>
                                  </a:lnTo>
                                  <a:lnTo>
                                    <a:pt x="454" y="156"/>
                                  </a:lnTo>
                                  <a:lnTo>
                                    <a:pt x="453" y="155"/>
                                  </a:lnTo>
                                  <a:lnTo>
                                    <a:pt x="441" y="140"/>
                                  </a:lnTo>
                                  <a:lnTo>
                                    <a:pt x="433" y="129"/>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2" name="Freeform 158"/>
                          <wps:cNvSpPr>
                            <a:spLocks/>
                          </wps:cNvSpPr>
                          <wps:spPr bwMode="auto">
                            <a:xfrm>
                              <a:off x="1081" y="167"/>
                              <a:ext cx="507" cy="412"/>
                            </a:xfrm>
                            <a:custGeom>
                              <a:avLst/>
                              <a:gdLst>
                                <a:gd name="T0" fmla="*/ 404 w 507"/>
                                <a:gd name="T1" fmla="*/ 236 h 412"/>
                                <a:gd name="T2" fmla="*/ 232 w 507"/>
                                <a:gd name="T3" fmla="*/ 236 h 412"/>
                                <a:gd name="T4" fmla="*/ 241 w 507"/>
                                <a:gd name="T5" fmla="*/ 240 h 412"/>
                                <a:gd name="T6" fmla="*/ 260 w 507"/>
                                <a:gd name="T7" fmla="*/ 251 h 412"/>
                                <a:gd name="T8" fmla="*/ 271 w 507"/>
                                <a:gd name="T9" fmla="*/ 268 h 412"/>
                                <a:gd name="T10" fmla="*/ 273 w 507"/>
                                <a:gd name="T11" fmla="*/ 272 h 412"/>
                                <a:gd name="T12" fmla="*/ 276 w 507"/>
                                <a:gd name="T13" fmla="*/ 275 h 412"/>
                                <a:gd name="T14" fmla="*/ 279 w 507"/>
                                <a:gd name="T15" fmla="*/ 279 h 412"/>
                                <a:gd name="T16" fmla="*/ 279 w 507"/>
                                <a:gd name="T17" fmla="*/ 280 h 412"/>
                                <a:gd name="T18" fmla="*/ 280 w 507"/>
                                <a:gd name="T19" fmla="*/ 281 h 412"/>
                                <a:gd name="T20" fmla="*/ 281 w 507"/>
                                <a:gd name="T21" fmla="*/ 281 h 412"/>
                                <a:gd name="T22" fmla="*/ 283 w 507"/>
                                <a:gd name="T23" fmla="*/ 284 h 412"/>
                                <a:gd name="T24" fmla="*/ 294 w 507"/>
                                <a:gd name="T25" fmla="*/ 296 h 412"/>
                                <a:gd name="T26" fmla="*/ 295 w 507"/>
                                <a:gd name="T27" fmla="*/ 296 h 412"/>
                                <a:gd name="T28" fmla="*/ 433 w 507"/>
                                <a:gd name="T29" fmla="*/ 296 h 412"/>
                                <a:gd name="T30" fmla="*/ 429 w 507"/>
                                <a:gd name="T31" fmla="*/ 290 h 412"/>
                                <a:gd name="T32" fmla="*/ 428 w 507"/>
                                <a:gd name="T33" fmla="*/ 290 h 412"/>
                                <a:gd name="T34" fmla="*/ 429 w 507"/>
                                <a:gd name="T35" fmla="*/ 290 h 412"/>
                                <a:gd name="T36" fmla="*/ 425 w 507"/>
                                <a:gd name="T37" fmla="*/ 283 h 412"/>
                                <a:gd name="T38" fmla="*/ 421 w 507"/>
                                <a:gd name="T39" fmla="*/ 277 h 412"/>
                                <a:gd name="T40" fmla="*/ 418 w 507"/>
                                <a:gd name="T41" fmla="*/ 271 h 412"/>
                                <a:gd name="T42" fmla="*/ 410 w 507"/>
                                <a:gd name="T43" fmla="*/ 252 h 412"/>
                                <a:gd name="T44" fmla="*/ 404 w 507"/>
                                <a:gd name="T45" fmla="*/ 236 h 412"/>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Lst>
                              <a:ahLst/>
                              <a:cxnLst>
                                <a:cxn ang="T46">
                                  <a:pos x="T0" y="T1"/>
                                </a:cxn>
                                <a:cxn ang="T47">
                                  <a:pos x="T2" y="T3"/>
                                </a:cxn>
                                <a:cxn ang="T48">
                                  <a:pos x="T4" y="T5"/>
                                </a:cxn>
                                <a:cxn ang="T49">
                                  <a:pos x="T6" y="T7"/>
                                </a:cxn>
                                <a:cxn ang="T50">
                                  <a:pos x="T8" y="T9"/>
                                </a:cxn>
                                <a:cxn ang="T51">
                                  <a:pos x="T10" y="T11"/>
                                </a:cxn>
                                <a:cxn ang="T52">
                                  <a:pos x="T12" y="T13"/>
                                </a:cxn>
                                <a:cxn ang="T53">
                                  <a:pos x="T14" y="T15"/>
                                </a:cxn>
                                <a:cxn ang="T54">
                                  <a:pos x="T16" y="T17"/>
                                </a:cxn>
                                <a:cxn ang="T55">
                                  <a:pos x="T18" y="T19"/>
                                </a:cxn>
                                <a:cxn ang="T56">
                                  <a:pos x="T20" y="T21"/>
                                </a:cxn>
                                <a:cxn ang="T57">
                                  <a:pos x="T22" y="T23"/>
                                </a:cxn>
                                <a:cxn ang="T58">
                                  <a:pos x="T24" y="T25"/>
                                </a:cxn>
                                <a:cxn ang="T59">
                                  <a:pos x="T26" y="T27"/>
                                </a:cxn>
                                <a:cxn ang="T60">
                                  <a:pos x="T28" y="T29"/>
                                </a:cxn>
                                <a:cxn ang="T61">
                                  <a:pos x="T30" y="T31"/>
                                </a:cxn>
                                <a:cxn ang="T62">
                                  <a:pos x="T32" y="T33"/>
                                </a:cxn>
                                <a:cxn ang="T63">
                                  <a:pos x="T34" y="T35"/>
                                </a:cxn>
                                <a:cxn ang="T64">
                                  <a:pos x="T36" y="T37"/>
                                </a:cxn>
                                <a:cxn ang="T65">
                                  <a:pos x="T38" y="T39"/>
                                </a:cxn>
                                <a:cxn ang="T66">
                                  <a:pos x="T40" y="T41"/>
                                </a:cxn>
                                <a:cxn ang="T67">
                                  <a:pos x="T42" y="T43"/>
                                </a:cxn>
                                <a:cxn ang="T68">
                                  <a:pos x="T44" y="T45"/>
                                </a:cxn>
                              </a:cxnLst>
                              <a:rect l="0" t="0" r="r" b="b"/>
                              <a:pathLst>
                                <a:path w="507" h="412">
                                  <a:moveTo>
                                    <a:pt x="404" y="69"/>
                                  </a:moveTo>
                                  <a:lnTo>
                                    <a:pt x="232" y="69"/>
                                  </a:lnTo>
                                  <a:lnTo>
                                    <a:pt x="241" y="73"/>
                                  </a:lnTo>
                                  <a:lnTo>
                                    <a:pt x="260" y="84"/>
                                  </a:lnTo>
                                  <a:lnTo>
                                    <a:pt x="271" y="101"/>
                                  </a:lnTo>
                                  <a:lnTo>
                                    <a:pt x="273" y="105"/>
                                  </a:lnTo>
                                  <a:lnTo>
                                    <a:pt x="276" y="108"/>
                                  </a:lnTo>
                                  <a:lnTo>
                                    <a:pt x="279" y="112"/>
                                  </a:lnTo>
                                  <a:lnTo>
                                    <a:pt x="279" y="113"/>
                                  </a:lnTo>
                                  <a:lnTo>
                                    <a:pt x="280" y="114"/>
                                  </a:lnTo>
                                  <a:lnTo>
                                    <a:pt x="281" y="114"/>
                                  </a:lnTo>
                                  <a:lnTo>
                                    <a:pt x="283" y="117"/>
                                  </a:lnTo>
                                  <a:lnTo>
                                    <a:pt x="294" y="129"/>
                                  </a:lnTo>
                                  <a:lnTo>
                                    <a:pt x="295" y="129"/>
                                  </a:lnTo>
                                  <a:lnTo>
                                    <a:pt x="433" y="129"/>
                                  </a:lnTo>
                                  <a:lnTo>
                                    <a:pt x="429" y="123"/>
                                  </a:lnTo>
                                  <a:lnTo>
                                    <a:pt x="428" y="123"/>
                                  </a:lnTo>
                                  <a:lnTo>
                                    <a:pt x="429" y="123"/>
                                  </a:lnTo>
                                  <a:lnTo>
                                    <a:pt x="425" y="116"/>
                                  </a:lnTo>
                                  <a:lnTo>
                                    <a:pt x="421" y="110"/>
                                  </a:lnTo>
                                  <a:lnTo>
                                    <a:pt x="418" y="104"/>
                                  </a:lnTo>
                                  <a:lnTo>
                                    <a:pt x="410" y="85"/>
                                  </a:lnTo>
                                  <a:lnTo>
                                    <a:pt x="404" y="69"/>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3" name="Freeform 159"/>
                          <wps:cNvSpPr>
                            <a:spLocks/>
                          </wps:cNvSpPr>
                          <wps:spPr bwMode="auto">
                            <a:xfrm>
                              <a:off x="1081" y="167"/>
                              <a:ext cx="507" cy="412"/>
                            </a:xfrm>
                            <a:custGeom>
                              <a:avLst/>
                              <a:gdLst>
                                <a:gd name="T0" fmla="*/ 429 w 507"/>
                                <a:gd name="T1" fmla="*/ 290 h 412"/>
                                <a:gd name="T2" fmla="*/ 428 w 507"/>
                                <a:gd name="T3" fmla="*/ 290 h 412"/>
                                <a:gd name="T4" fmla="*/ 429 w 507"/>
                                <a:gd name="T5" fmla="*/ 290 h 412"/>
                                <a:gd name="T6" fmla="*/ 0 60000 65536"/>
                                <a:gd name="T7" fmla="*/ 0 60000 65536"/>
                                <a:gd name="T8" fmla="*/ 0 60000 65536"/>
                              </a:gdLst>
                              <a:ahLst/>
                              <a:cxnLst>
                                <a:cxn ang="T6">
                                  <a:pos x="T0" y="T1"/>
                                </a:cxn>
                                <a:cxn ang="T7">
                                  <a:pos x="T2" y="T3"/>
                                </a:cxn>
                                <a:cxn ang="T8">
                                  <a:pos x="T4" y="T5"/>
                                </a:cxn>
                              </a:cxnLst>
                              <a:rect l="0" t="0" r="r" b="b"/>
                              <a:pathLst>
                                <a:path w="507" h="412">
                                  <a:moveTo>
                                    <a:pt x="429" y="123"/>
                                  </a:moveTo>
                                  <a:lnTo>
                                    <a:pt x="428" y="123"/>
                                  </a:lnTo>
                                  <a:lnTo>
                                    <a:pt x="429" y="12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4" name="Freeform 160"/>
                          <wps:cNvSpPr>
                            <a:spLocks/>
                          </wps:cNvSpPr>
                          <wps:spPr bwMode="auto">
                            <a:xfrm>
                              <a:off x="1081" y="167"/>
                              <a:ext cx="507" cy="412"/>
                            </a:xfrm>
                            <a:custGeom>
                              <a:avLst/>
                              <a:gdLst>
                                <a:gd name="T0" fmla="*/ 399 w 507"/>
                                <a:gd name="T1" fmla="*/ 217 h 412"/>
                                <a:gd name="T2" fmla="*/ 57 w 507"/>
                                <a:gd name="T3" fmla="*/ 217 h 412"/>
                                <a:gd name="T4" fmla="*/ 82 w 507"/>
                                <a:gd name="T5" fmla="*/ 219 h 412"/>
                                <a:gd name="T6" fmla="*/ 104 w 507"/>
                                <a:gd name="T7" fmla="*/ 226 h 412"/>
                                <a:gd name="T8" fmla="*/ 122 w 507"/>
                                <a:gd name="T9" fmla="*/ 236 h 412"/>
                                <a:gd name="T10" fmla="*/ 137 w 507"/>
                                <a:gd name="T11" fmla="*/ 249 h 412"/>
                                <a:gd name="T12" fmla="*/ 149 w 507"/>
                                <a:gd name="T13" fmla="*/ 262 h 412"/>
                                <a:gd name="T14" fmla="*/ 153 w 507"/>
                                <a:gd name="T15" fmla="*/ 268 h 412"/>
                                <a:gd name="T16" fmla="*/ 154 w 507"/>
                                <a:gd name="T17" fmla="*/ 268 h 412"/>
                                <a:gd name="T18" fmla="*/ 208 w 507"/>
                                <a:gd name="T19" fmla="*/ 242 h 412"/>
                                <a:gd name="T20" fmla="*/ 215 w 507"/>
                                <a:gd name="T21" fmla="*/ 237 h 412"/>
                                <a:gd name="T22" fmla="*/ 232 w 507"/>
                                <a:gd name="T23" fmla="*/ 236 h 412"/>
                                <a:gd name="T24" fmla="*/ 404 w 507"/>
                                <a:gd name="T25" fmla="*/ 236 h 412"/>
                                <a:gd name="T26" fmla="*/ 403 w 507"/>
                                <a:gd name="T27" fmla="*/ 234 h 412"/>
                                <a:gd name="T28" fmla="*/ 401 w 507"/>
                                <a:gd name="T29" fmla="*/ 224 h 412"/>
                                <a:gd name="T30" fmla="*/ 399 w 507"/>
                                <a:gd name="T31" fmla="*/ 221 h 412"/>
                                <a:gd name="T32" fmla="*/ 399 w 507"/>
                                <a:gd name="T33" fmla="*/ 218 h 412"/>
                                <a:gd name="T34" fmla="*/ 399 w 507"/>
                                <a:gd name="T35" fmla="*/ 217 h 412"/>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Lst>
                              <a:ahLst/>
                              <a:cxnLst>
                                <a:cxn ang="T36">
                                  <a:pos x="T0" y="T1"/>
                                </a:cxn>
                                <a:cxn ang="T37">
                                  <a:pos x="T2" y="T3"/>
                                </a:cxn>
                                <a:cxn ang="T38">
                                  <a:pos x="T4" y="T5"/>
                                </a:cxn>
                                <a:cxn ang="T39">
                                  <a:pos x="T6" y="T7"/>
                                </a:cxn>
                                <a:cxn ang="T40">
                                  <a:pos x="T8" y="T9"/>
                                </a:cxn>
                                <a:cxn ang="T41">
                                  <a:pos x="T10" y="T11"/>
                                </a:cxn>
                                <a:cxn ang="T42">
                                  <a:pos x="T12" y="T13"/>
                                </a:cxn>
                                <a:cxn ang="T43">
                                  <a:pos x="T14" y="T15"/>
                                </a:cxn>
                                <a:cxn ang="T44">
                                  <a:pos x="T16" y="T17"/>
                                </a:cxn>
                                <a:cxn ang="T45">
                                  <a:pos x="T18" y="T19"/>
                                </a:cxn>
                                <a:cxn ang="T46">
                                  <a:pos x="T20" y="T21"/>
                                </a:cxn>
                                <a:cxn ang="T47">
                                  <a:pos x="T22" y="T23"/>
                                </a:cxn>
                                <a:cxn ang="T48">
                                  <a:pos x="T24" y="T25"/>
                                </a:cxn>
                                <a:cxn ang="T49">
                                  <a:pos x="T26" y="T27"/>
                                </a:cxn>
                                <a:cxn ang="T50">
                                  <a:pos x="T28" y="T29"/>
                                </a:cxn>
                                <a:cxn ang="T51">
                                  <a:pos x="T30" y="T31"/>
                                </a:cxn>
                                <a:cxn ang="T52">
                                  <a:pos x="T32" y="T33"/>
                                </a:cxn>
                                <a:cxn ang="T53">
                                  <a:pos x="T34" y="T35"/>
                                </a:cxn>
                              </a:cxnLst>
                              <a:rect l="0" t="0" r="r" b="b"/>
                              <a:pathLst>
                                <a:path w="507" h="412">
                                  <a:moveTo>
                                    <a:pt x="399" y="50"/>
                                  </a:moveTo>
                                  <a:lnTo>
                                    <a:pt x="57" y="50"/>
                                  </a:lnTo>
                                  <a:lnTo>
                                    <a:pt x="82" y="52"/>
                                  </a:lnTo>
                                  <a:lnTo>
                                    <a:pt x="104" y="59"/>
                                  </a:lnTo>
                                  <a:lnTo>
                                    <a:pt x="122" y="69"/>
                                  </a:lnTo>
                                  <a:lnTo>
                                    <a:pt x="137" y="82"/>
                                  </a:lnTo>
                                  <a:lnTo>
                                    <a:pt x="149" y="95"/>
                                  </a:lnTo>
                                  <a:lnTo>
                                    <a:pt x="153" y="101"/>
                                  </a:lnTo>
                                  <a:lnTo>
                                    <a:pt x="154" y="101"/>
                                  </a:lnTo>
                                  <a:lnTo>
                                    <a:pt x="208" y="75"/>
                                  </a:lnTo>
                                  <a:lnTo>
                                    <a:pt x="215" y="70"/>
                                  </a:lnTo>
                                  <a:lnTo>
                                    <a:pt x="232" y="69"/>
                                  </a:lnTo>
                                  <a:lnTo>
                                    <a:pt x="404" y="69"/>
                                  </a:lnTo>
                                  <a:lnTo>
                                    <a:pt x="403" y="67"/>
                                  </a:lnTo>
                                  <a:lnTo>
                                    <a:pt x="401" y="57"/>
                                  </a:lnTo>
                                  <a:lnTo>
                                    <a:pt x="399" y="54"/>
                                  </a:lnTo>
                                  <a:lnTo>
                                    <a:pt x="399" y="51"/>
                                  </a:lnTo>
                                  <a:lnTo>
                                    <a:pt x="399" y="5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5" name="Freeform 161"/>
                          <wps:cNvSpPr>
                            <a:spLocks/>
                          </wps:cNvSpPr>
                          <wps:spPr bwMode="auto">
                            <a:xfrm>
                              <a:off x="1081" y="167"/>
                              <a:ext cx="507" cy="412"/>
                            </a:xfrm>
                            <a:custGeom>
                              <a:avLst/>
                              <a:gdLst>
                                <a:gd name="T0" fmla="*/ 167 w 507"/>
                                <a:gd name="T1" fmla="*/ 167 h 412"/>
                                <a:gd name="T2" fmla="*/ 18 w 507"/>
                                <a:gd name="T3" fmla="*/ 171 h 412"/>
                                <a:gd name="T4" fmla="*/ 6 w 507"/>
                                <a:gd name="T5" fmla="*/ 172 h 412"/>
                                <a:gd name="T6" fmla="*/ 5 w 507"/>
                                <a:gd name="T7" fmla="*/ 173 h 412"/>
                                <a:gd name="T8" fmla="*/ 0 w 507"/>
                                <a:gd name="T9" fmla="*/ 185 h 412"/>
                                <a:gd name="T10" fmla="*/ 4 w 507"/>
                                <a:gd name="T11" fmla="*/ 190 h 412"/>
                                <a:gd name="T12" fmla="*/ 9 w 507"/>
                                <a:gd name="T13" fmla="*/ 194 h 412"/>
                                <a:gd name="T14" fmla="*/ 17 w 507"/>
                                <a:gd name="T15" fmla="*/ 200 h 412"/>
                                <a:gd name="T16" fmla="*/ 20 w 507"/>
                                <a:gd name="T17" fmla="*/ 208 h 412"/>
                                <a:gd name="T18" fmla="*/ 20 w 507"/>
                                <a:gd name="T19" fmla="*/ 212 h 412"/>
                                <a:gd name="T20" fmla="*/ 19 w 507"/>
                                <a:gd name="T21" fmla="*/ 216 h 412"/>
                                <a:gd name="T22" fmla="*/ 19 w 507"/>
                                <a:gd name="T23" fmla="*/ 223 h 412"/>
                                <a:gd name="T24" fmla="*/ 18 w 507"/>
                                <a:gd name="T25" fmla="*/ 224 h 412"/>
                                <a:gd name="T26" fmla="*/ 32 w 507"/>
                                <a:gd name="T27" fmla="*/ 220 h 412"/>
                                <a:gd name="T28" fmla="*/ 45 w 507"/>
                                <a:gd name="T29" fmla="*/ 217 h 412"/>
                                <a:gd name="T30" fmla="*/ 57 w 507"/>
                                <a:gd name="T31" fmla="*/ 217 h 412"/>
                                <a:gd name="T32" fmla="*/ 399 w 507"/>
                                <a:gd name="T33" fmla="*/ 217 h 412"/>
                                <a:gd name="T34" fmla="*/ 396 w 507"/>
                                <a:gd name="T35" fmla="*/ 205 h 412"/>
                                <a:gd name="T36" fmla="*/ 352 w 507"/>
                                <a:gd name="T37" fmla="*/ 205 h 412"/>
                                <a:gd name="T38" fmla="*/ 343 w 507"/>
                                <a:gd name="T39" fmla="*/ 205 h 412"/>
                                <a:gd name="T40" fmla="*/ 342 w 507"/>
                                <a:gd name="T41" fmla="*/ 192 h 412"/>
                                <a:gd name="T42" fmla="*/ 341 w 507"/>
                                <a:gd name="T43" fmla="*/ 192 h 412"/>
                                <a:gd name="T44" fmla="*/ 315 w 507"/>
                                <a:gd name="T45" fmla="*/ 191 h 412"/>
                                <a:gd name="T46" fmla="*/ 314 w 507"/>
                                <a:gd name="T47" fmla="*/ 191 h 412"/>
                                <a:gd name="T48" fmla="*/ 176 w 507"/>
                                <a:gd name="T49" fmla="*/ 188 h 412"/>
                                <a:gd name="T50" fmla="*/ 168 w 507"/>
                                <a:gd name="T51" fmla="*/ 168 h 412"/>
                                <a:gd name="T52" fmla="*/ 167 w 507"/>
                                <a:gd name="T53" fmla="*/ 167 h 412"/>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Lst>
                              <a:ahLst/>
                              <a:cxnLst>
                                <a:cxn ang="T54">
                                  <a:pos x="T0" y="T1"/>
                                </a:cxn>
                                <a:cxn ang="T55">
                                  <a:pos x="T2" y="T3"/>
                                </a:cxn>
                                <a:cxn ang="T56">
                                  <a:pos x="T4" y="T5"/>
                                </a:cxn>
                                <a:cxn ang="T57">
                                  <a:pos x="T6" y="T7"/>
                                </a:cxn>
                                <a:cxn ang="T58">
                                  <a:pos x="T8" y="T9"/>
                                </a:cxn>
                                <a:cxn ang="T59">
                                  <a:pos x="T10" y="T11"/>
                                </a:cxn>
                                <a:cxn ang="T60">
                                  <a:pos x="T12" y="T13"/>
                                </a:cxn>
                                <a:cxn ang="T61">
                                  <a:pos x="T14" y="T15"/>
                                </a:cxn>
                                <a:cxn ang="T62">
                                  <a:pos x="T16" y="T17"/>
                                </a:cxn>
                                <a:cxn ang="T63">
                                  <a:pos x="T18" y="T19"/>
                                </a:cxn>
                                <a:cxn ang="T64">
                                  <a:pos x="T20" y="T21"/>
                                </a:cxn>
                                <a:cxn ang="T65">
                                  <a:pos x="T22" y="T23"/>
                                </a:cxn>
                                <a:cxn ang="T66">
                                  <a:pos x="T24" y="T25"/>
                                </a:cxn>
                                <a:cxn ang="T67">
                                  <a:pos x="T26" y="T27"/>
                                </a:cxn>
                                <a:cxn ang="T68">
                                  <a:pos x="T28" y="T29"/>
                                </a:cxn>
                                <a:cxn ang="T69">
                                  <a:pos x="T30" y="T31"/>
                                </a:cxn>
                                <a:cxn ang="T70">
                                  <a:pos x="T32" y="T33"/>
                                </a:cxn>
                                <a:cxn ang="T71">
                                  <a:pos x="T34" y="T35"/>
                                </a:cxn>
                                <a:cxn ang="T72">
                                  <a:pos x="T36" y="T37"/>
                                </a:cxn>
                                <a:cxn ang="T73">
                                  <a:pos x="T38" y="T39"/>
                                </a:cxn>
                                <a:cxn ang="T74">
                                  <a:pos x="T40" y="T41"/>
                                </a:cxn>
                                <a:cxn ang="T75">
                                  <a:pos x="T42" y="T43"/>
                                </a:cxn>
                                <a:cxn ang="T76">
                                  <a:pos x="T44" y="T45"/>
                                </a:cxn>
                                <a:cxn ang="T77">
                                  <a:pos x="T46" y="T47"/>
                                </a:cxn>
                                <a:cxn ang="T78">
                                  <a:pos x="T48" y="T49"/>
                                </a:cxn>
                                <a:cxn ang="T79">
                                  <a:pos x="T50" y="T51"/>
                                </a:cxn>
                                <a:cxn ang="T80">
                                  <a:pos x="T52" y="T53"/>
                                </a:cxn>
                              </a:cxnLst>
                              <a:rect l="0" t="0" r="r" b="b"/>
                              <a:pathLst>
                                <a:path w="507" h="412">
                                  <a:moveTo>
                                    <a:pt x="167" y="0"/>
                                  </a:moveTo>
                                  <a:lnTo>
                                    <a:pt x="18" y="4"/>
                                  </a:lnTo>
                                  <a:lnTo>
                                    <a:pt x="6" y="5"/>
                                  </a:lnTo>
                                  <a:lnTo>
                                    <a:pt x="5" y="6"/>
                                  </a:lnTo>
                                  <a:lnTo>
                                    <a:pt x="0" y="18"/>
                                  </a:lnTo>
                                  <a:lnTo>
                                    <a:pt x="4" y="23"/>
                                  </a:lnTo>
                                  <a:lnTo>
                                    <a:pt x="9" y="27"/>
                                  </a:lnTo>
                                  <a:lnTo>
                                    <a:pt x="17" y="33"/>
                                  </a:lnTo>
                                  <a:lnTo>
                                    <a:pt x="20" y="41"/>
                                  </a:lnTo>
                                  <a:lnTo>
                                    <a:pt x="20" y="45"/>
                                  </a:lnTo>
                                  <a:lnTo>
                                    <a:pt x="19" y="49"/>
                                  </a:lnTo>
                                  <a:lnTo>
                                    <a:pt x="19" y="56"/>
                                  </a:lnTo>
                                  <a:lnTo>
                                    <a:pt x="18" y="57"/>
                                  </a:lnTo>
                                  <a:lnTo>
                                    <a:pt x="32" y="53"/>
                                  </a:lnTo>
                                  <a:lnTo>
                                    <a:pt x="45" y="50"/>
                                  </a:lnTo>
                                  <a:lnTo>
                                    <a:pt x="57" y="50"/>
                                  </a:lnTo>
                                  <a:lnTo>
                                    <a:pt x="399" y="50"/>
                                  </a:lnTo>
                                  <a:lnTo>
                                    <a:pt x="396" y="38"/>
                                  </a:lnTo>
                                  <a:lnTo>
                                    <a:pt x="352" y="38"/>
                                  </a:lnTo>
                                  <a:lnTo>
                                    <a:pt x="343" y="38"/>
                                  </a:lnTo>
                                  <a:lnTo>
                                    <a:pt x="342" y="25"/>
                                  </a:lnTo>
                                  <a:lnTo>
                                    <a:pt x="341" y="25"/>
                                  </a:lnTo>
                                  <a:lnTo>
                                    <a:pt x="315" y="24"/>
                                  </a:lnTo>
                                  <a:lnTo>
                                    <a:pt x="314" y="24"/>
                                  </a:lnTo>
                                  <a:lnTo>
                                    <a:pt x="176" y="21"/>
                                  </a:lnTo>
                                  <a:lnTo>
                                    <a:pt x="168" y="1"/>
                                  </a:lnTo>
                                  <a:lnTo>
                                    <a:pt x="167"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6" name="Freeform 162"/>
                          <wps:cNvSpPr>
                            <a:spLocks/>
                          </wps:cNvSpPr>
                          <wps:spPr bwMode="auto">
                            <a:xfrm>
                              <a:off x="1081" y="167"/>
                              <a:ext cx="507" cy="412"/>
                            </a:xfrm>
                            <a:custGeom>
                              <a:avLst/>
                              <a:gdLst>
                                <a:gd name="T0" fmla="*/ 351 w 507"/>
                                <a:gd name="T1" fmla="*/ 171 h 412"/>
                                <a:gd name="T2" fmla="*/ 349 w 507"/>
                                <a:gd name="T3" fmla="*/ 171 h 412"/>
                                <a:gd name="T4" fmla="*/ 348 w 507"/>
                                <a:gd name="T5" fmla="*/ 172 h 412"/>
                                <a:gd name="T6" fmla="*/ 348 w 507"/>
                                <a:gd name="T7" fmla="*/ 173 h 412"/>
                                <a:gd name="T8" fmla="*/ 352 w 507"/>
                                <a:gd name="T9" fmla="*/ 205 h 412"/>
                                <a:gd name="T10" fmla="*/ 396 w 507"/>
                                <a:gd name="T11" fmla="*/ 205 h 412"/>
                                <a:gd name="T12" fmla="*/ 396 w 507"/>
                                <a:gd name="T13" fmla="*/ 204 h 412"/>
                                <a:gd name="T14" fmla="*/ 390 w 507"/>
                                <a:gd name="T15" fmla="*/ 180 h 412"/>
                                <a:gd name="T16" fmla="*/ 390 w 507"/>
                                <a:gd name="T17" fmla="*/ 177 h 412"/>
                                <a:gd name="T18" fmla="*/ 389 w 507"/>
                                <a:gd name="T19" fmla="*/ 177 h 412"/>
                                <a:gd name="T20" fmla="*/ 388 w 507"/>
                                <a:gd name="T21" fmla="*/ 177 h 412"/>
                                <a:gd name="T22" fmla="*/ 351 w 507"/>
                                <a:gd name="T23" fmla="*/ 171 h 412"/>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507" h="412">
                                  <a:moveTo>
                                    <a:pt x="351" y="4"/>
                                  </a:moveTo>
                                  <a:lnTo>
                                    <a:pt x="349" y="4"/>
                                  </a:lnTo>
                                  <a:lnTo>
                                    <a:pt x="348" y="5"/>
                                  </a:lnTo>
                                  <a:lnTo>
                                    <a:pt x="348" y="6"/>
                                  </a:lnTo>
                                  <a:lnTo>
                                    <a:pt x="352" y="38"/>
                                  </a:lnTo>
                                  <a:lnTo>
                                    <a:pt x="396" y="38"/>
                                  </a:lnTo>
                                  <a:lnTo>
                                    <a:pt x="396" y="37"/>
                                  </a:lnTo>
                                  <a:lnTo>
                                    <a:pt x="390" y="13"/>
                                  </a:lnTo>
                                  <a:lnTo>
                                    <a:pt x="390" y="10"/>
                                  </a:lnTo>
                                  <a:lnTo>
                                    <a:pt x="389" y="10"/>
                                  </a:lnTo>
                                  <a:lnTo>
                                    <a:pt x="388" y="10"/>
                                  </a:lnTo>
                                  <a:lnTo>
                                    <a:pt x="351" y="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7" name="Freeform 163"/>
                          <wps:cNvSpPr>
                            <a:spLocks/>
                          </wps:cNvSpPr>
                          <wps:spPr bwMode="auto">
                            <a:xfrm>
                              <a:off x="1081" y="167"/>
                              <a:ext cx="507" cy="412"/>
                            </a:xfrm>
                            <a:custGeom>
                              <a:avLst/>
                              <a:gdLst>
                                <a:gd name="T0" fmla="*/ 315 w 507"/>
                                <a:gd name="T1" fmla="*/ 191 h 412"/>
                                <a:gd name="T2" fmla="*/ 314 w 507"/>
                                <a:gd name="T3" fmla="*/ 191 h 412"/>
                                <a:gd name="T4" fmla="*/ 314 w 507"/>
                                <a:gd name="T5" fmla="*/ 191 h 412"/>
                                <a:gd name="T6" fmla="*/ 315 w 507"/>
                                <a:gd name="T7" fmla="*/ 191 h 412"/>
                                <a:gd name="T8" fmla="*/ 315 w 507"/>
                                <a:gd name="T9" fmla="*/ 191 h 412"/>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507" h="412">
                                  <a:moveTo>
                                    <a:pt x="315" y="24"/>
                                  </a:moveTo>
                                  <a:lnTo>
                                    <a:pt x="314" y="24"/>
                                  </a:lnTo>
                                  <a:lnTo>
                                    <a:pt x="315" y="2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98" name="Picture 16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1084" y="167"/>
                              <a:ext cx="504" cy="4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99" name="Picture 16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1490" y="616"/>
                              <a:ext cx="32" cy="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00" name="Picture 16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1530" y="610"/>
                              <a:ext cx="16" cy="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01" name="Picture 16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1547" y="603"/>
                              <a:ext cx="12" cy="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02" name="Picture 168"/>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1561" y="552"/>
                              <a:ext cx="28"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grpSp>
                        <wpg:cNvPr id="403" name="Group 169"/>
                        <wpg:cNvGrpSpPr>
                          <a:grpSpLocks/>
                        </wpg:cNvGrpSpPr>
                        <wpg:grpSpPr bwMode="auto">
                          <a:xfrm>
                            <a:off x="1489" y="611"/>
                            <a:ext cx="32" cy="18"/>
                            <a:chOff x="1489" y="611"/>
                            <a:chExt cx="32" cy="18"/>
                          </a:xfrm>
                        </wpg:grpSpPr>
                        <wps:wsp>
                          <wps:cNvPr id="404" name="Freeform 170"/>
                          <wps:cNvSpPr>
                            <a:spLocks/>
                          </wps:cNvSpPr>
                          <wps:spPr bwMode="auto">
                            <a:xfrm>
                              <a:off x="1489" y="611"/>
                              <a:ext cx="32" cy="18"/>
                            </a:xfrm>
                            <a:custGeom>
                              <a:avLst/>
                              <a:gdLst>
                                <a:gd name="T0" fmla="*/ 22 w 32"/>
                                <a:gd name="T1" fmla="*/ 611 h 18"/>
                                <a:gd name="T2" fmla="*/ 19 w 32"/>
                                <a:gd name="T3" fmla="*/ 614 h 18"/>
                                <a:gd name="T4" fmla="*/ 11 w 32"/>
                                <a:gd name="T5" fmla="*/ 620 h 18"/>
                                <a:gd name="T6" fmla="*/ 1 w 32"/>
                                <a:gd name="T7" fmla="*/ 623 h 18"/>
                                <a:gd name="T8" fmla="*/ 0 w 32"/>
                                <a:gd name="T9" fmla="*/ 628 h 18"/>
                                <a:gd name="T10" fmla="*/ 7 w 32"/>
                                <a:gd name="T11" fmla="*/ 628 h 18"/>
                                <a:gd name="T12" fmla="*/ 11 w 32"/>
                                <a:gd name="T13" fmla="*/ 622 h 18"/>
                                <a:gd name="T14" fmla="*/ 20 w 32"/>
                                <a:gd name="T15" fmla="*/ 621 h 18"/>
                                <a:gd name="T16" fmla="*/ 29 w 32"/>
                                <a:gd name="T17" fmla="*/ 621 h 18"/>
                                <a:gd name="T18" fmla="*/ 32 w 32"/>
                                <a:gd name="T19" fmla="*/ 619 h 18"/>
                                <a:gd name="T20" fmla="*/ 29 w 32"/>
                                <a:gd name="T21" fmla="*/ 615 h 18"/>
                                <a:gd name="T22" fmla="*/ 22 w 32"/>
                                <a:gd name="T23" fmla="*/ 611 h 18"/>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32" h="18">
                                  <a:moveTo>
                                    <a:pt x="22" y="0"/>
                                  </a:moveTo>
                                  <a:lnTo>
                                    <a:pt x="19" y="3"/>
                                  </a:lnTo>
                                  <a:lnTo>
                                    <a:pt x="11" y="9"/>
                                  </a:lnTo>
                                  <a:lnTo>
                                    <a:pt x="1" y="12"/>
                                  </a:lnTo>
                                  <a:lnTo>
                                    <a:pt x="0" y="17"/>
                                  </a:lnTo>
                                  <a:lnTo>
                                    <a:pt x="7" y="17"/>
                                  </a:lnTo>
                                  <a:lnTo>
                                    <a:pt x="11" y="11"/>
                                  </a:lnTo>
                                  <a:lnTo>
                                    <a:pt x="20" y="10"/>
                                  </a:lnTo>
                                  <a:lnTo>
                                    <a:pt x="29" y="10"/>
                                  </a:lnTo>
                                  <a:lnTo>
                                    <a:pt x="32" y="8"/>
                                  </a:lnTo>
                                  <a:lnTo>
                                    <a:pt x="29" y="4"/>
                                  </a:lnTo>
                                  <a:lnTo>
                                    <a:pt x="22"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05" name="Group 171"/>
                        <wpg:cNvGrpSpPr>
                          <a:grpSpLocks/>
                        </wpg:cNvGrpSpPr>
                        <wpg:grpSpPr bwMode="auto">
                          <a:xfrm>
                            <a:off x="1527" y="606"/>
                            <a:ext cx="19" cy="13"/>
                            <a:chOff x="1527" y="606"/>
                            <a:chExt cx="19" cy="13"/>
                          </a:xfrm>
                        </wpg:grpSpPr>
                        <wps:wsp>
                          <wps:cNvPr id="406" name="Freeform 172"/>
                          <wps:cNvSpPr>
                            <a:spLocks/>
                          </wps:cNvSpPr>
                          <wps:spPr bwMode="auto">
                            <a:xfrm>
                              <a:off x="1527" y="606"/>
                              <a:ext cx="19" cy="13"/>
                            </a:xfrm>
                            <a:custGeom>
                              <a:avLst/>
                              <a:gdLst>
                                <a:gd name="T0" fmla="*/ 18 w 19"/>
                                <a:gd name="T1" fmla="*/ 606 h 13"/>
                                <a:gd name="T2" fmla="*/ 8 w 19"/>
                                <a:gd name="T3" fmla="*/ 608 h 13"/>
                                <a:gd name="T4" fmla="*/ 8 w 19"/>
                                <a:gd name="T5" fmla="*/ 610 h 13"/>
                                <a:gd name="T6" fmla="*/ 6 w 19"/>
                                <a:gd name="T7" fmla="*/ 611 h 13"/>
                                <a:gd name="T8" fmla="*/ 2 w 19"/>
                                <a:gd name="T9" fmla="*/ 613 h 13"/>
                                <a:gd name="T10" fmla="*/ 0 w 19"/>
                                <a:gd name="T11" fmla="*/ 616 h 13"/>
                                <a:gd name="T12" fmla="*/ 3 w 19"/>
                                <a:gd name="T13" fmla="*/ 619 h 13"/>
                                <a:gd name="T14" fmla="*/ 6 w 19"/>
                                <a:gd name="T15" fmla="*/ 618 h 13"/>
                                <a:gd name="T16" fmla="*/ 6 w 19"/>
                                <a:gd name="T17" fmla="*/ 618 h 13"/>
                                <a:gd name="T18" fmla="*/ 13 w 19"/>
                                <a:gd name="T19" fmla="*/ 618 h 13"/>
                                <a:gd name="T20" fmla="*/ 18 w 19"/>
                                <a:gd name="T21" fmla="*/ 606 h 13"/>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19" h="13">
                                  <a:moveTo>
                                    <a:pt x="18" y="0"/>
                                  </a:moveTo>
                                  <a:lnTo>
                                    <a:pt x="8" y="2"/>
                                  </a:lnTo>
                                  <a:lnTo>
                                    <a:pt x="8" y="4"/>
                                  </a:lnTo>
                                  <a:lnTo>
                                    <a:pt x="6" y="5"/>
                                  </a:lnTo>
                                  <a:lnTo>
                                    <a:pt x="2" y="7"/>
                                  </a:lnTo>
                                  <a:lnTo>
                                    <a:pt x="0" y="10"/>
                                  </a:lnTo>
                                  <a:lnTo>
                                    <a:pt x="3" y="13"/>
                                  </a:lnTo>
                                  <a:lnTo>
                                    <a:pt x="6" y="12"/>
                                  </a:lnTo>
                                  <a:lnTo>
                                    <a:pt x="13" y="12"/>
                                  </a:lnTo>
                                  <a:lnTo>
                                    <a:pt x="1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07" name="Group 173"/>
                        <wpg:cNvGrpSpPr>
                          <a:grpSpLocks/>
                        </wpg:cNvGrpSpPr>
                        <wpg:grpSpPr bwMode="auto">
                          <a:xfrm>
                            <a:off x="1545" y="600"/>
                            <a:ext cx="13" cy="9"/>
                            <a:chOff x="1545" y="600"/>
                            <a:chExt cx="13" cy="9"/>
                          </a:xfrm>
                        </wpg:grpSpPr>
                        <wps:wsp>
                          <wps:cNvPr id="408" name="Freeform 174"/>
                          <wps:cNvSpPr>
                            <a:spLocks/>
                          </wps:cNvSpPr>
                          <wps:spPr bwMode="auto">
                            <a:xfrm>
                              <a:off x="1545" y="600"/>
                              <a:ext cx="13" cy="9"/>
                            </a:xfrm>
                            <a:custGeom>
                              <a:avLst/>
                              <a:gdLst>
                                <a:gd name="T0" fmla="*/ 4 w 13"/>
                                <a:gd name="T1" fmla="*/ 600 h 9"/>
                                <a:gd name="T2" fmla="*/ 4 w 13"/>
                                <a:gd name="T3" fmla="*/ 600 h 9"/>
                                <a:gd name="T4" fmla="*/ 0 w 13"/>
                                <a:gd name="T5" fmla="*/ 605 h 9"/>
                                <a:gd name="T6" fmla="*/ 2 w 13"/>
                                <a:gd name="T7" fmla="*/ 609 h 9"/>
                                <a:gd name="T8" fmla="*/ 12 w 13"/>
                                <a:gd name="T9" fmla="*/ 605 h 9"/>
                                <a:gd name="T10" fmla="*/ 11 w 13"/>
                                <a:gd name="T11" fmla="*/ 601 h 9"/>
                                <a:gd name="T12" fmla="*/ 4 w 13"/>
                                <a:gd name="T13" fmla="*/ 600 h 9"/>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13" h="9">
                                  <a:moveTo>
                                    <a:pt x="4" y="0"/>
                                  </a:moveTo>
                                  <a:lnTo>
                                    <a:pt x="4" y="0"/>
                                  </a:lnTo>
                                  <a:lnTo>
                                    <a:pt x="0" y="5"/>
                                  </a:lnTo>
                                  <a:lnTo>
                                    <a:pt x="2" y="9"/>
                                  </a:lnTo>
                                  <a:lnTo>
                                    <a:pt x="12" y="5"/>
                                  </a:lnTo>
                                  <a:lnTo>
                                    <a:pt x="11" y="1"/>
                                  </a:lnTo>
                                  <a:lnTo>
                                    <a:pt x="4"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9" name="Freeform 175"/>
                          <wps:cNvSpPr>
                            <a:spLocks/>
                          </wps:cNvSpPr>
                          <wps:spPr bwMode="auto">
                            <a:xfrm>
                              <a:off x="1545" y="600"/>
                              <a:ext cx="13" cy="9"/>
                            </a:xfrm>
                            <a:custGeom>
                              <a:avLst/>
                              <a:gdLst>
                                <a:gd name="T0" fmla="*/ 0 w 13"/>
                                <a:gd name="T1" fmla="*/ 605 h 9"/>
                                <a:gd name="T2" fmla="*/ 0 w 13"/>
                                <a:gd name="T3" fmla="*/ 605 h 9"/>
                                <a:gd name="T4" fmla="*/ 0 60000 65536"/>
                                <a:gd name="T5" fmla="*/ 0 60000 65536"/>
                              </a:gdLst>
                              <a:ahLst/>
                              <a:cxnLst>
                                <a:cxn ang="T4">
                                  <a:pos x="T0" y="T1"/>
                                </a:cxn>
                                <a:cxn ang="T5">
                                  <a:pos x="T2" y="T3"/>
                                </a:cxn>
                              </a:cxnLst>
                              <a:rect l="0" t="0" r="r" b="b"/>
                              <a:pathLst>
                                <a:path w="13" h="9">
                                  <a:moveTo>
                                    <a:pt x="0" y="5"/>
                                  </a:moveTo>
                                  <a:lnTo>
                                    <a:pt x="0" y="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10" name="Group 176"/>
                        <wpg:cNvGrpSpPr>
                          <a:grpSpLocks/>
                        </wpg:cNvGrpSpPr>
                        <wpg:grpSpPr bwMode="auto">
                          <a:xfrm>
                            <a:off x="1558" y="549"/>
                            <a:ext cx="29" cy="57"/>
                            <a:chOff x="1558" y="549"/>
                            <a:chExt cx="29" cy="57"/>
                          </a:xfrm>
                        </wpg:grpSpPr>
                        <wps:wsp>
                          <wps:cNvPr id="411" name="Freeform 177"/>
                          <wps:cNvSpPr>
                            <a:spLocks/>
                          </wps:cNvSpPr>
                          <wps:spPr bwMode="auto">
                            <a:xfrm>
                              <a:off x="1558" y="549"/>
                              <a:ext cx="29" cy="57"/>
                            </a:xfrm>
                            <a:custGeom>
                              <a:avLst/>
                              <a:gdLst>
                                <a:gd name="T0" fmla="*/ 24 w 29"/>
                                <a:gd name="T1" fmla="*/ 549 h 57"/>
                                <a:gd name="T2" fmla="*/ 24 w 29"/>
                                <a:gd name="T3" fmla="*/ 558 h 57"/>
                                <a:gd name="T4" fmla="*/ 19 w 29"/>
                                <a:gd name="T5" fmla="*/ 565 h 57"/>
                                <a:gd name="T6" fmla="*/ 18 w 29"/>
                                <a:gd name="T7" fmla="*/ 569 h 57"/>
                                <a:gd name="T8" fmla="*/ 13 w 29"/>
                                <a:gd name="T9" fmla="*/ 578 h 57"/>
                                <a:gd name="T10" fmla="*/ 11 w 29"/>
                                <a:gd name="T11" fmla="*/ 582 h 57"/>
                                <a:gd name="T12" fmla="*/ 4 w 29"/>
                                <a:gd name="T13" fmla="*/ 588 h 57"/>
                                <a:gd name="T14" fmla="*/ 0 w 29"/>
                                <a:gd name="T15" fmla="*/ 592 h 57"/>
                                <a:gd name="T16" fmla="*/ 3 w 29"/>
                                <a:gd name="T17" fmla="*/ 606 h 57"/>
                                <a:gd name="T18" fmla="*/ 15 w 29"/>
                                <a:gd name="T19" fmla="*/ 588 h 57"/>
                                <a:gd name="T20" fmla="*/ 19 w 29"/>
                                <a:gd name="T21" fmla="*/ 581 h 57"/>
                                <a:gd name="T22" fmla="*/ 22 w 29"/>
                                <a:gd name="T23" fmla="*/ 577 h 57"/>
                                <a:gd name="T24" fmla="*/ 26 w 29"/>
                                <a:gd name="T25" fmla="*/ 568 h 57"/>
                                <a:gd name="T26" fmla="*/ 27 w 29"/>
                                <a:gd name="T27" fmla="*/ 562 h 57"/>
                                <a:gd name="T28" fmla="*/ 28 w 29"/>
                                <a:gd name="T29" fmla="*/ 555 h 57"/>
                                <a:gd name="T30" fmla="*/ 29 w 29"/>
                                <a:gd name="T31" fmla="*/ 553 h 57"/>
                                <a:gd name="T32" fmla="*/ 29 w 29"/>
                                <a:gd name="T33" fmla="*/ 550 h 57"/>
                                <a:gd name="T34" fmla="*/ 24 w 29"/>
                                <a:gd name="T35" fmla="*/ 549 h 57"/>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Lst>
                              <a:ahLst/>
                              <a:cxnLst>
                                <a:cxn ang="T36">
                                  <a:pos x="T0" y="T1"/>
                                </a:cxn>
                                <a:cxn ang="T37">
                                  <a:pos x="T2" y="T3"/>
                                </a:cxn>
                                <a:cxn ang="T38">
                                  <a:pos x="T4" y="T5"/>
                                </a:cxn>
                                <a:cxn ang="T39">
                                  <a:pos x="T6" y="T7"/>
                                </a:cxn>
                                <a:cxn ang="T40">
                                  <a:pos x="T8" y="T9"/>
                                </a:cxn>
                                <a:cxn ang="T41">
                                  <a:pos x="T10" y="T11"/>
                                </a:cxn>
                                <a:cxn ang="T42">
                                  <a:pos x="T12" y="T13"/>
                                </a:cxn>
                                <a:cxn ang="T43">
                                  <a:pos x="T14" y="T15"/>
                                </a:cxn>
                                <a:cxn ang="T44">
                                  <a:pos x="T16" y="T17"/>
                                </a:cxn>
                                <a:cxn ang="T45">
                                  <a:pos x="T18" y="T19"/>
                                </a:cxn>
                                <a:cxn ang="T46">
                                  <a:pos x="T20" y="T21"/>
                                </a:cxn>
                                <a:cxn ang="T47">
                                  <a:pos x="T22" y="T23"/>
                                </a:cxn>
                                <a:cxn ang="T48">
                                  <a:pos x="T24" y="T25"/>
                                </a:cxn>
                                <a:cxn ang="T49">
                                  <a:pos x="T26" y="T27"/>
                                </a:cxn>
                                <a:cxn ang="T50">
                                  <a:pos x="T28" y="T29"/>
                                </a:cxn>
                                <a:cxn ang="T51">
                                  <a:pos x="T30" y="T31"/>
                                </a:cxn>
                                <a:cxn ang="T52">
                                  <a:pos x="T32" y="T33"/>
                                </a:cxn>
                                <a:cxn ang="T53">
                                  <a:pos x="T34" y="T35"/>
                                </a:cxn>
                              </a:cxnLst>
                              <a:rect l="0" t="0" r="r" b="b"/>
                              <a:pathLst>
                                <a:path w="29" h="57">
                                  <a:moveTo>
                                    <a:pt x="24" y="0"/>
                                  </a:moveTo>
                                  <a:lnTo>
                                    <a:pt x="24" y="9"/>
                                  </a:lnTo>
                                  <a:lnTo>
                                    <a:pt x="19" y="16"/>
                                  </a:lnTo>
                                  <a:lnTo>
                                    <a:pt x="18" y="20"/>
                                  </a:lnTo>
                                  <a:lnTo>
                                    <a:pt x="13" y="29"/>
                                  </a:lnTo>
                                  <a:lnTo>
                                    <a:pt x="11" y="33"/>
                                  </a:lnTo>
                                  <a:lnTo>
                                    <a:pt x="4" y="39"/>
                                  </a:lnTo>
                                  <a:lnTo>
                                    <a:pt x="0" y="43"/>
                                  </a:lnTo>
                                  <a:lnTo>
                                    <a:pt x="3" y="57"/>
                                  </a:lnTo>
                                  <a:lnTo>
                                    <a:pt x="15" y="39"/>
                                  </a:lnTo>
                                  <a:lnTo>
                                    <a:pt x="19" y="32"/>
                                  </a:lnTo>
                                  <a:lnTo>
                                    <a:pt x="22" y="28"/>
                                  </a:lnTo>
                                  <a:lnTo>
                                    <a:pt x="26" y="19"/>
                                  </a:lnTo>
                                  <a:lnTo>
                                    <a:pt x="27" y="13"/>
                                  </a:lnTo>
                                  <a:lnTo>
                                    <a:pt x="28" y="6"/>
                                  </a:lnTo>
                                  <a:lnTo>
                                    <a:pt x="29" y="4"/>
                                  </a:lnTo>
                                  <a:lnTo>
                                    <a:pt x="29" y="1"/>
                                  </a:lnTo>
                                  <a:lnTo>
                                    <a:pt x="24"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12" name="Picture 17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1489" y="613"/>
                              <a:ext cx="30" cy="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13" name="Picture 17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1528" y="608"/>
                              <a:ext cx="13" cy="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14" name="Picture 180"/>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1545" y="601"/>
                              <a:ext cx="11" cy="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15" name="Picture 18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1559" y="550"/>
                              <a:ext cx="28" cy="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wgp>
                  </a:graphicData>
                </a:graphic>
              </wp:inline>
            </w:drawing>
          </mc:Choice>
          <mc:Fallback>
            <w:pict>
              <v:group w14:anchorId="291D1664" id="Group 153" o:spid="_x0000_s1026" alt="Department of Economic Opportunity logo" style="width:84.85pt;height:50.45pt;mso-position-horizontal-relative:char;mso-position-vertical-relative:line" coordsize="1697,10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3" o:spid="_x0000_s1027" type="#_x0000_t75" style="position:absolute;left:4;top:763;width:1690;height:1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">
                  <v:imagedata r:id="rId34" o:title=""/>
                </v:shape>
                <v:group id="Group 94" o:spid="_x0000_s1028" style="position:absolute;left:2;top:708;width:1141;height:2" coordorigin="2,708" coordsize="114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">
                  <v:shape id="Freeform 95" o:spid="_x0000_s1029" style="position:absolute;left:2;top:708;width:1141;height:2;visibility:visible;mso-wrap-style:square;v-text-anchor:top" coordsize="114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" path="m,l1141,e" filled="f" strokecolor="#9aca3c" strokeweight=".22pt">
                    <v:path arrowok="t" o:connecttype="custom" o:connectlocs="0,0;1141,0" o:connectangles="0,0"/>
                  </v:shape>
                </v:group>
                <v:group id="Group 96" o:spid="_x0000_s1030" style="position:absolute;left:1551;top:708;width:144;height:2" coordorigin="1551,708" coordsize="14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">
                  <v:shape id="Freeform 97" o:spid="_x0000_s1031" style="position:absolute;left:1551;top:708;width:144;height:2;visibility:visible;mso-wrap-style:square;v-text-anchor:top" coordsize="14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" path="m,l143,e" filled="f" strokecolor="#9aca3c" strokeweight=".22pt">
                    <v:path arrowok="t" o:connecttype="custom" o:connectlocs="0,0;143,0" o:connectangles="0,0"/>
                  </v:shape>
                </v:group>
                <v:group id="Group 98" o:spid="_x0000_s1032" style="position:absolute;left:4;top:1006;width:1690;height:2" coordorigin="4,1006" coordsize="169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">
                  <v:shape id="Freeform 99" o:spid="_x0000_s1033" style="position:absolute;left:4;top:1006;width:1690;height:2;visibility:visible;mso-wrap-style:square;v-text-anchor:top" coordsize="169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" path="m,l1690,e" filled="f" strokecolor="#9aca3c" strokeweight=".07797mm">
                    <v:path arrowok="t" o:connecttype="custom" o:connectlocs="0,0;1690,0" o:connectangles="0,0"/>
                  </v:shape>
                </v:group>
                <v:group id="Group 100" o:spid="_x0000_s1034" style="position:absolute;left:570;top:71;width:480;height:548" coordorigin="570,71" coordsize="480,5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">
                  <v:shape id="Freeform 101" o:spid="_x0000_s1035" style="position:absolute;left:570;top:71;width:480;height:548;visibility:visible;mso-wrap-style:square;v-text-anchor:top" coordsize="480,5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" path="m479,l,,,548r477,l447,512,436,496,425,479,415,462r-9,-18l401,434r-281,l120,332r254,l371,300r,-13l371,262r,-13l374,218r-254,l120,114r282,l411,95,421,77,432,60,443,44,456,28,479,xe" fillcolor="#003f5c" stroked="f">
                    <v:path arrowok="t" o:connecttype="custom" o:connectlocs="479,71;0,71;0,619;477,619;447,583;436,567;425,550;415,533;406,515;401,505;120,505;120,403;374,403;371,371;371,358;371,333;371,320;374,289;120,289;120,185;402,185;411,166;421,148;432,131;443,115;456,99;479,71" o:connectangles="0,0,0,0,0,0,0,0,0,0,0,0,0,0,0,0,0,0,0,0,0,0,0,0,0,0,0"/>
                  </v:shape>
                </v:group>
                <v:group id="Group 102" o:spid="_x0000_s1036" style="position:absolute;left:5;top:71;width:537;height:548" coordorigin="5,71" coordsize="537,5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">
                  <v:shape id="Freeform 103" o:spid="_x0000_s1037" style="position:absolute;left:5;top:71;width:537;height:548;visibility:visible;mso-wrap-style:square;v-text-anchor:top" coordsize="537,5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" path="m,l,548r245,l312,542r59,-16l439,489r43,-43l491,434r-370,l121,114r368,l478,99,426,51,356,16,295,3,250,,,xe" fillcolor="#003f5c" stroked="f">
                    <v:path arrowok="t" o:connecttype="custom" o:connectlocs="0,71;0,619;245,619;312,613;371,597;439,560;482,517;491,505;121,505;121,185;489,185;478,170;426,122;356,87;295,74;250,71;0,71" o:connectangles="0,0,0,0,0,0,0,0,0,0,0,0,0,0,0,0,0"/>
                  </v:shape>
                  <v:shape id="Freeform 104" o:spid="_x0000_s1038" style="position:absolute;left:5;top:71;width:537;height:548;visibility:visible;mso-wrap-style:square;v-text-anchor:top" coordsize="537,5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" path="m489,114r-244,l268,115r22,3l361,150r38,50l415,258r-1,26l401,347r-45,56l283,431r-162,3l491,434r30,-58l535,317r2,-22l537,270r-9,-67l500,130,489,114xe" fillcolor="#003f5c" stroked="f">
                    <v:path arrowok="t" o:connecttype="custom" o:connectlocs="489,185;245,185;268,186;290,189;361,221;399,271;415,329;414,355;401,418;356,474;283,502;121,505;491,505;521,447;535,388;537,366;537,341;528,274;500,201;489,185;489,185" o:connectangles="0,0,0,0,0,0,0,0,0,0,0,0,0,0,0,0,0,0,0,0,0"/>
                  </v:shape>
                  <v:shape id="Picture 105" o:spid="_x0000_s1039" type="#_x0000_t75" style="position:absolute;left:578;top:80;width:450;height:5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">
                    <v:imagedata r:id="rId35" o:title=""/>
                  </v:shape>
                  <v:shape id="Picture 106" o:spid="_x0000_s1040" type="#_x0000_t75" style="position:absolute;left:15;top:80;width:519;height:5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">
                    <v:imagedata r:id="rId36" o:title=""/>
                  </v:shape>
                  <v:shape id="Picture 107" o:spid="_x0000_s1041" type="#_x0000_t75" style="position:absolute;left:1008;width:549;height:5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">
                    <v:imagedata r:id="rId37" o:title=""/>
                  </v:shape>
                </v:group>
                <v:group id="Group 108" o:spid="_x0000_s1042" style="position:absolute;left:1013;top:200;width:348;height:304" coordorigin="1013,200" coordsize="348,3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">
                  <v:shape id="Freeform 109" o:spid="_x0000_s1043" style="position:absolute;left:1013;top:200;width:348;height:304;visibility:visible;mso-wrap-style:square;v-text-anchor:top" coordsize="348,3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" path="m18,267r60,37l86,302r-2,-3l78,299,54,291,35,281,22,269r-4,-2xe" stroked="f">
                    <v:path arrowok="t" o:connecttype="custom" o:connectlocs="18,467;78,504;86,502;84,499;78,499;54,491;35,481;22,469;18,467" o:connectangles="0,0,0,0,0,0,0,0,0"/>
                  </v:shape>
                  <v:shape id="Freeform 110" o:spid="_x0000_s1044" style="position:absolute;left:1013;top:200;width:348;height:304;visibility:visible;mso-wrap-style:square;v-text-anchor:top" coordsize="348,3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" path="m1,80r,3l,87r10,14l26,114r11,15l36,131r,18l37,167r11,62l78,299r6,l77,286,69,269,45,192,41,151r,-20l42,124r11,l45,120,46,99r1,-2l18,97,5,86,1,80xe" stroked="f">
                    <v:path arrowok="t" o:connecttype="custom" o:connectlocs="1,280;1,283;0,287;10,301;26,314;37,329;36,331;36,349;37,367;48,429;78,499;84,499;77,486;69,469;45,392;41,351;41,331;42,324;53,324;45,320;46,299;47,297;18,297;5,286;1,280" o:connectangles="0,0,0,0,0,0,0,0,0,0,0,0,0,0,0,0,0,0,0,0,0,0,0,0,0"/>
                  </v:shape>
                  <v:shape id="Freeform 111" o:spid="_x0000_s1045" style="position:absolute;left:1013;top:200;width:348;height:304;visibility:visible;mso-wrap-style:square;v-text-anchor:top" coordsize="348,3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" path="m53,124r-11,l56,131r71,23l195,167r4,19l203,205r8,40l215,259r3,-1l214,237r-3,-20l208,197r-1,-19l225,176r19,l343,175r4,-3l339,172r-21,-1l257,168r-42,-5l201,163,132,150,59,127r-6,-3xe" stroked="f">
                    <v:path arrowok="t" o:connecttype="custom" o:connectlocs="53,324;42,324;56,331;127,354;195,367;199,386;203,405;211,445;215,459;218,458;214,437;211,417;208,397;207,378;225,376;244,376;343,375;347,372;339,372;318,371;257,368;215,363;201,363;132,350;59,327;53,324" o:connectangles="0,0,0,0,0,0,0,0,0,0,0,0,0,0,0,0,0,0,0,0,0,0,0,0,0,0"/>
                  </v:shape>
                  <v:shape id="Freeform 112" o:spid="_x0000_s1046" style="position:absolute;left:1013;top:200;width:348;height:304;visibility:visible;mso-wrap-style:square;v-text-anchor:top" coordsize="348,3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" path="m343,175r-79,l326,176r16,l343,175xe" stroked="f">
                    <v:path arrowok="t" o:connecttype="custom" o:connectlocs="343,375;264,375;326,376;342,376;343,375" o:connectangles="0,0,0,0,0"/>
                  </v:shape>
                  <v:shape id="Freeform 113" o:spid="_x0000_s1047" style="position:absolute;left:1013;top:200;width:348;height:304;visibility:visible;mso-wrap-style:square;v-text-anchor:top" coordsize="348,3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" path="m348,171r-9,1l347,172r1,-1xe" stroked="f">
                    <v:path arrowok="t" o:connecttype="custom" o:connectlocs="348,371;339,372;347,372" o:connectangles="0,0,0"/>
                  </v:shape>
                  <v:shape id="Freeform 114" o:spid="_x0000_s1048" style="position:absolute;left:1013;top:200;width:348;height:304;visibility:visible;mso-wrap-style:square;v-text-anchor:top" coordsize="348,3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" path="m207,67r-6,61l201,154r,5l201,163r14,l206,157r,-28l206,126r1,-20l209,87r,-4l210,70r-2,-1l207,67xe" stroked="f">
                    <v:path arrowok="t" o:connecttype="custom" o:connectlocs="207,267;201,328;201,354;201,359;201,363;215,363;206,357;206,329;206,326;207,306;209,287;209,283;210,270;208,269;207,267" o:connectangles="0,0,0,0,0,0,0,0,0,0,0,0,0,0,0"/>
                  </v:shape>
                  <v:shape id="Freeform 115" o:spid="_x0000_s1049" style="position:absolute;left:1013;top:200;width:348;height:304;visibility:visible;mso-wrap-style:square;v-text-anchor:top" coordsize="348,3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" path="m70,l48,57,40,96,18,97r29,l49,79,53,59,59,40,66,22,74,4,73,3,72,2,71,1,70,xe" stroked="f">
                    <v:path arrowok="t" o:connecttype="custom" o:connectlocs="70,200;48,257;40,296;18,297;47,297;49,279;53,259;59,240;66,222;74,204;73,203;72,202;71,201;70,200" o:connectangles="0,0,0,0,0,0,0,0,0,0,0,0,0,0"/>
                  </v:shape>
                </v:group>
                <v:group id="Group 116" o:spid="_x0000_s1050" style="position:absolute;left:1106;width:442;height:165" coordorigin="1106" coordsize="442,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">
                  <v:shape id="Freeform 117" o:spid="_x0000_s1051" style="position:absolute;left:1106;width:442;height:165;visibility:visible;mso-wrap-style:square;v-text-anchor:top" coordsize="442,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" path="m355,164r-3,l354,165r1,l355,164xe" stroked="f">
                    <v:path arrowok="t" o:connecttype="custom" o:connectlocs="355,164;352,164;354,165;355,165;355,164" o:connectangles="0,0,0,0,0"/>
                  </v:shape>
                  <v:shape id="Freeform 118" o:spid="_x0000_s1052" style="position:absolute;left:1106;width:442;height:165;visibility:visible;mso-wrap-style:square;v-text-anchor:top" coordsize="442,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" path="m353,158r-8,l349,160r1,4l352,164r3,l353,158xe" stroked="f">
                    <v:path arrowok="t" o:connecttype="custom" o:connectlocs="353,158;345,158;349,160;350,164;352,164;355,164;353,158" o:connectangles="0,0,0,0,0,0,0"/>
                  </v:shape>
                  <v:shape id="Freeform 119" o:spid="_x0000_s1053" style="position:absolute;left:1106;width:442;height:165;visibility:visible;mso-wrap-style:square;v-text-anchor:top" coordsize="442,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" path="m205,158r-60,l163,160r19,1l202,163r21,l244,164r22,-1l287,163r20,-1l326,160r13,-1l247,159r-21,l205,158xe" stroked="f">
                    <v:path arrowok="t" o:connecttype="custom" o:connectlocs="205,158;145,158;163,160;182,161;202,163;223,163;244,164;266,163;287,163;307,162;326,160;339,159;247,159;226,159;205,158" o:connectangles="0,0,0,0,0,0,0,0,0,0,0,0,0,0,0"/>
                  </v:shape>
                  <v:shape id="Freeform 120" o:spid="_x0000_s1054" style="position:absolute;left:1106;width:442;height:165;visibility:visible;mso-wrap-style:square;v-text-anchor:top" coordsize="442,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" path="m9,97r-2,l4,100r1,9l13,117r12,8l13,141,1,157,,162r4,l15,145,27,129r19,l41,128r6,-9l30,119,16,113,9,105r,-8xe" stroked="f">
                    <v:path arrowok="t" o:connecttype="custom" o:connectlocs="9,97;7,97;4,100;5,109;13,117;25,125;13,141;1,157;0,162;4,162;15,145;27,129;46,129;41,128;47,119;30,119;16,113;9,105;9,97" o:connectangles="0,0,0,0,0,0,0,0,0,0,0,0,0,0,0,0,0,0,0"/>
                  </v:shape>
                  <v:shape id="Freeform 121" o:spid="_x0000_s1055" style="position:absolute;left:1106;width:442;height:165;visibility:visible;mso-wrap-style:square;v-text-anchor:top" coordsize="442,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" path="m307,34r-28,l293,46r12,15l334,117r13,36l328,155r-20,2l288,158r-20,1l247,159r92,l345,158r8,l353,157r21,-3l394,150r1,l366,150,353,130,342,111,331,92,321,75,312,59,303,44r4,-10xe" stroked="f">
                    <v:path arrowok="t" o:connecttype="custom" o:connectlocs="307,34;279,34;293,46;305,61;334,117;347,153;328,155;308,157;288,158;268,159;247,159;339,159;345,158;353,158;353,157;374,154;394,150;395,150;366,150;353,130;342,111;331,92;321,75;312,59;303,44;307,34" o:connectangles="0,0,0,0,0,0,0,0,0,0,0,0,0,0,0,0,0,0,0,0,0,0,0,0,0,0"/>
                  </v:shape>
                  <v:shape id="Freeform 122" o:spid="_x0000_s1056" style="position:absolute;left:1106;width:442;height:165;visibility:visible;mso-wrap-style:square;v-text-anchor:top" coordsize="442,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" path="m46,129r-19,l42,135r80,19l139,156r3,1l144,158r1,l205,158r-20,-1l166,155r-19,-2l147,152r-5,l117,149,95,144,74,139,56,134,46,129xe" stroked="f">
                    <v:path arrowok="t" o:connecttype="custom" o:connectlocs="46,129;27,129;42,135;122,154;139,156;142,157;144,158;145,158;205,158;185,157;166,155;147,153;147,152;142,152;117,149;95,144;74,139;56,134;46,129" o:connectangles="0,0,0,0,0,0,0,0,0,0,0,0,0,0,0,0,0,0,0"/>
                  </v:shape>
                  <v:shape id="Freeform 123" o:spid="_x0000_s1057" style="position:absolute;left:1106;width:442;height:165;visibility:visible;mso-wrap-style:square;v-text-anchor:top" coordsize="442,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" path="m215,29r-46,l187,30r-5,15l175,62,161,99r-8,21l145,142r-3,10l147,152r3,-10l154,131,186,61,260,35r19,-1l307,34r2,-4l232,30r-13,l215,29xe" stroked="f">
                    <v:path arrowok="t" o:connecttype="custom" o:connectlocs="215,29;169,29;187,30;182,45;175,62;161,99;153,120;145,142;142,152;147,152;150,142;154,131;186,61;260,35;279,34;307,34;309,30;232,30;219,30;215,29" o:connectangles="0,0,0,0,0,0,0,0,0,0,0,0,0,0,0,0,0,0,0,0"/>
                  </v:shape>
                  <v:shape id="Freeform 124" o:spid="_x0000_s1058" style="position:absolute;left:1106;width:442;height:165;visibility:visible;mso-wrap-style:square;v-text-anchor:top" coordsize="442,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" path="m423,138r-17,4l387,146r-21,4l395,150r18,-4l421,142r2,-4xe" stroked="f">
                    <v:path arrowok="t" o:connecttype="custom" o:connectlocs="423,138;406,142;387,146;366,150;395,150;413,146;421,142;423,138" o:connectangles="0,0,0,0,0,0,0,0"/>
                  </v:shape>
                  <v:shape id="Freeform 125" o:spid="_x0000_s1059" style="position:absolute;left:1106;width:442;height:165;visibility:visible;mso-wrap-style:square;v-text-anchor:top" coordsize="442,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" path="m155,12r-5,2l151,16r2,2l156,20r-17,8l73,74,30,119r17,l53,110,66,93,112,52,169,29r46,l207,28r1,l202,28,187,26,176,23r-8,-3l180,16r-22,l156,14r-1,-2xe" stroked="f">
                    <v:path arrowok="t" o:connecttype="custom" o:connectlocs="155,12;150,14;151,16;153,18;156,20;139,28;73,74;30,119;47,119;53,110;66,93;112,52;169,29;215,29;207,28;208,28;202,28;187,26;176,23;168,20;180,16;158,16;156,14;155,12" o:connectangles="0,0,0,0,0,0,0,0,0,0,0,0,0,0,0,0,0,0,0,0,0,0,0,0"/>
                  </v:shape>
                  <v:shape id="Freeform 126" o:spid="_x0000_s1060" style="position:absolute;left:1106;width:442;height:165;visibility:visible;mso-wrap-style:square;v-text-anchor:top" coordsize="442,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" path="m344,23r-13,l348,31r17,10l381,52r17,11l414,76r15,15l440,98,394,54,361,32,344,23xe" stroked="f">
                    <v:path arrowok="t" o:connecttype="custom" o:connectlocs="344,23;331,23;348,31;365,41;381,52;398,63;414,76;429,91;440,98;394,54;361,32;344,23" o:connectangles="0,0,0,0,0,0,0,0,0,0,0,0"/>
                  </v:shape>
                  <v:shape id="Freeform 127" o:spid="_x0000_s1061" style="position:absolute;left:1106;width:442;height:165;visibility:visible;mso-wrap-style:square;v-text-anchor:top" coordsize="442,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" path="m287,3r-41,l263,8r17,14l274,30r-13,l309,30r11,-2l291,28,282,17,274,9,265,4r25,l287,3xe" stroked="f">
                    <v:path arrowok="t" o:connecttype="custom" o:connectlocs="287,3;246,3;263,8;280,22;274,30;261,30;309,30;309,30;320,28;291,28;282,17;274,9;265,4;290,4;287,3" o:connectangles="0,0,0,0,0,0,0,0,0,0,0,0,0,0,0"/>
                  </v:shape>
                  <v:shape id="Freeform 128" o:spid="_x0000_s1062" style="position:absolute;left:1106;width:442;height:165;visibility:visible;mso-wrap-style:square;v-text-anchor:top" coordsize="442,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" path="m241,4r-13,l219,9r-9,8l202,28r6,l225,11,241,4xe" stroked="f">
                    <v:path arrowok="t" o:connecttype="custom" o:connectlocs="241,4;228,4;219,9;210,17;202,28;208,28;225,11;241,4" o:connectangles="0,0,0,0,0,0,0,0"/>
                  </v:shape>
                  <v:shape id="Freeform 129" o:spid="_x0000_s1063" style="position:absolute;left:1106;width:442;height:165;visibility:visible;mso-wrap-style:square;v-text-anchor:top" coordsize="442,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" path="m290,4r-25,l284,7r19,5l323,19r-6,4l305,26r-14,2l320,28r2,-1l331,23r13,l337,20r3,-2l340,17r-8,l313,10,294,4r-4,xe" stroked="f">
                    <v:path arrowok="t" o:connecttype="custom" o:connectlocs="290,4;265,4;284,7;303,12;323,19;317,23;305,26;291,28;320,28;322,27;331,23;344,23;337,20;340,18;340,17;332,17;313,10;294,4;290,4" o:connectangles="0,0,0,0,0,0,0,0,0,0,0,0,0,0,0,0,0,0,0"/>
                  </v:shape>
                  <v:shape id="Freeform 130" o:spid="_x0000_s1064" style="position:absolute;left:1106;width:442;height:165;visibility:visible;mso-wrap-style:square;v-text-anchor:top" coordsize="442,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" path="m338,12r-1,2l335,16r-3,1l340,17r2,-1l343,14r-5,-2xe" stroked="f">
                    <v:path arrowok="t" o:connecttype="custom" o:connectlocs="338,12;337,14;335,16;332,17;340,17;342,16;343,14;343,14;338,12" o:connectangles="0,0,0,0,0,0,0,0,0"/>
                  </v:shape>
                  <v:shape id="Freeform 131" o:spid="_x0000_s1065" style="position:absolute;left:1106;width:442;height:165;visibility:visible;mso-wrap-style:square;v-text-anchor:top" coordsize="442,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" path="m253,l230,,212,2,191,7r-19,6l158,16r22,l188,13,207,7,226,4r2,l241,4r5,-1l287,3,271,1,253,xe" stroked="f">
                    <v:path arrowok="t" o:connecttype="custom" o:connectlocs="253,0;230,0;212,2;191,7;172,13;158,16;180,16;188,13;207,7;226,4;228,4;241,4;246,3;287,3;271,1;253,0" o:connectangles="0,0,0,0,0,0,0,0,0,0,0,0,0,0,0,0"/>
                  </v:shape>
                </v:group>
                <v:group id="Group 132" o:spid="_x0000_s1066" style="position:absolute;left:1055;top:88;width:639;height:599" coordorigin="1055,88" coordsize="639,5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">
                  <v:shape id="Freeform 133" o:spid="_x0000_s1067" style="position:absolute;left:1055;top:88;width:639;height:599;visibility:visible;mso-wrap-style:square;v-text-anchor:top" coordsize="639,5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" path="m523,l499,55r-28,53l437,162r-36,48l349,267r-49,42l250,344r-67,36l122,404,62,419,,428r11,18l49,494r47,40l149,566r60,21l272,598r22,l322,597r81,-16l476,547r62,-49l587,436r34,-72l637,284r1,-28l637,234r-9,-62l607,113,577,60,538,14,523,xe" fillcolor="#003f5c" stroked="f">
                    <v:path arrowok="t" o:connecttype="custom" o:connectlocs="523,88;499,143;471,196;437,250;401,298;349,355;300,397;250,432;183,468;122,492;62,507;0,516;11,534;49,582;96,622;149,654;209,675;272,686;294,686;322,685;403,669;476,635;538,586;587,524;621,452;637,372;638,344;637,322;628,260;607,201;577,148;538,102;523,88" o:connectangles="0,0,0,0,0,0,0,0,0,0,0,0,0,0,0,0,0,0,0,0,0,0,0,0,0,0,0,0,0,0,0,0,0"/>
                  </v:shape>
                  <v:shape id="Picture 134" o:spid="_x0000_s1068" type="#_x0000_t75" style="position:absolute;left:1066;top:100;width:625;height:5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">
                    <v:imagedata r:id="rId38" o:title=""/>
                  </v:shape>
                </v:group>
                <v:group id="Group 135" o:spid="_x0000_s1069" style="position:absolute;left:1081;top:167;width:404;height:151" coordorigin="1081,167" coordsize="404,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">
                  <v:shape id="Freeform 136" o:spid="_x0000_s1070" style="position:absolute;left:1081;top:167;width:404;height:151;visibility:visible;mso-wrap-style:square;v-text-anchor:top" coordsize="404,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" path="m401,69r-169,l241,73r19,11l271,101r2,4l276,108r3,4l279,113r1,1l281,115r2,2l308,129r9,12l378,97,392,82r9,-13xe" stroked="f">
                    <v:path arrowok="t" o:connecttype="custom" o:connectlocs="401,236;232,236;241,240;260,251;271,268;273,272;276,275;279,279;279,280;280,281;281,282;283,284;308,296;317,308;378,264;392,249;401,236" o:connectangles="0,0,0,0,0,0,0,0,0,0,0,0,0,0,0,0,0"/>
                  </v:shape>
                  <v:shape id="Freeform 137" o:spid="_x0000_s1071" style="position:absolute;left:1081;top:167;width:404;height:151;visibility:visible;mso-wrap-style:square;v-text-anchor:top" coordsize="404,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" path="m399,50l57,50r25,2l104,59r18,10l137,82r12,13l153,101r1,l208,75r7,-5l232,69r169,l403,66r-1,-3l401,57r-2,-3l399,51r,-1xe" stroked="f">
                    <v:path arrowok="t" o:connecttype="custom" o:connectlocs="399,217;57,217;82,219;104,226;122,236;137,249;149,262;153,268;154,268;208,242;215,237;232,236;401,236;403,233;402,230;401,224;399,221;399,218;399,217" o:connectangles="0,0,0,0,0,0,0,0,0,0,0,0,0,0,0,0,0,0,0"/>
                  </v:shape>
                  <v:shape id="Freeform 138" o:spid="_x0000_s1072" style="position:absolute;left:1081;top:167;width:404;height:151;visibility:visible;mso-wrap-style:square;v-text-anchor:top" coordsize="404,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" path="m167,l18,4,6,5,5,6,,18r4,5l9,27r8,6l20,41r,4l19,49r,7l18,57,32,53,45,51,57,50r342,l396,38r-44,l343,38,342,25r-1,l315,24r-1,l176,21,168,1,167,xe" stroked="f">
                    <v:path arrowok="t" o:connecttype="custom" o:connectlocs="167,167;18,171;6,172;5,173;0,185;4,190;9,194;17,200;20,208;20,212;19,216;19,223;18,224;32,220;45,218;57,217;399,217;396,205;352,205;343,205;342,192;341,192;315,191;314,191;176,188;168,168;167,167" o:connectangles="0,0,0,0,0,0,0,0,0,0,0,0,0,0,0,0,0,0,0,0,0,0,0,0,0,0,0"/>
                  </v:shape>
                  <v:shape id="Freeform 139" o:spid="_x0000_s1073" style="position:absolute;left:1081;top:167;width:404;height:151;visibility:visible;mso-wrap-style:square;v-text-anchor:top" coordsize="404,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" path="m351,4r-2,l348,5r,1l352,38r44,l396,37,390,13r,-3l389,10r-1,l351,4xe" stroked="f">
                    <v:path arrowok="t" o:connecttype="custom" o:connectlocs="351,171;349,171;348,172;348,173;352,205;396,205;396,204;390,180;390,177;389,177;388,177;351,171" o:connectangles="0,0,0,0,0,0,0,0,0,0,0,0"/>
                  </v:shape>
                  <v:shape id="Freeform 140" o:spid="_x0000_s1074" style="position:absolute;left:1081;top:167;width:404;height:151;visibility:visible;mso-wrap-style:square;v-text-anchor:top" coordsize="404,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" path="m315,24r-1,l315,24xe" stroked="f">
                    <v:path arrowok="t" o:connecttype="custom" o:connectlocs="315,191;314,191;314,191;315,191;315,191" o:connectangles="0,0,0,0,0"/>
                  </v:shape>
                  <v:shape id="Picture 141" o:spid="_x0000_s1075" type="#_x0000_t75" style="position:absolute;left:1402;top:296;width:190;height:2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">
                    <v:imagedata r:id="rId39" o:title=""/>
                  </v:shape>
                  <v:shape id="Picture 142" o:spid="_x0000_s1076" type="#_x0000_t75" style="position:absolute;left:1367;top:288;width:29;height: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">
                    <v:imagedata r:id="rId40" o:title=""/>
                  </v:shape>
                </v:group>
                <v:group id="Group 143" o:spid="_x0000_s1077" style="position:absolute;left:1482;top:221;width:11;height:31" coordorigin="1482,221" coordsize="11,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">
                  <v:shape id="Freeform 144" o:spid="_x0000_s1078" style="position:absolute;left:1482;top:221;width:11;height:31;visibility:visible;mso-wrap-style:square;v-text-anchor:top" coordsize="11,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" path="m3,l,5r2,5l3,16r2,5l7,26r2,5l11,28,9,23,8,18,5,10,4,7,4,5,4,4,4,2,3,xe" fillcolor="#60869f" stroked="f">
                    <v:path arrowok="t" o:connecttype="custom" o:connectlocs="3,221;0,226;2,231;3,237;5,242;7,247;9,252;11,249;9,244;8,239;5,231;4,228;4,226;4,225;4,223;3,221" o:connectangles="0,0,0,0,0,0,0,0,0,0,0,0,0,0,0,0"/>
                  </v:shape>
                  <v:shape id="Picture 145" o:spid="_x0000_s1079" type="#_x0000_t75" style="position:absolute;left:1471;top:178;width:14;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">
                    <v:imagedata r:id="rId41" o:title=""/>
                  </v:shape>
                </v:group>
                <v:group id="Group 146" o:spid="_x0000_s1080" style="position:absolute;left:1491;top:249;width:9;height:20" coordorigin="1491,249" coordsize="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">
                  <v:shape id="Freeform 147" o:spid="_x0000_s1081" style="position:absolute;left:1491;top:249;width:9;height:20;visibility:visible;mso-wrap-style:square;v-text-anchor:top" coordsize="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" path="m2,l,3,2,9r3,5l7,20,9,18,6,12,4,6,2,xe" fillcolor="#003f5d" stroked="f">
                    <v:path arrowok="t" o:connecttype="custom" o:connectlocs="2,249;0,252;2,258;5,263;7,269;9,267;6,261;4,255;2,249" o:connectangles="0,0,0,0,0,0,0,0,0"/>
                  </v:shape>
                  <v:shape id="Picture 148" o:spid="_x0000_s1082" type="#_x0000_t75" style="position:absolute;left:1498;top:267;width:17;height: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">
                    <v:imagedata r:id="rId42" o:title=""/>
                  </v:shape>
                </v:group>
                <v:group id="Group 149" o:spid="_x0000_s1083" style="position:absolute;left:1484;top:231;width:2;height:6" coordorigin="1484,231" coordsize="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">
                  <v:shape id="Freeform 150" o:spid="_x0000_s1084" style="position:absolute;left:1484;top:231;width:2;height:6;visibility:visible;mso-wrap-style:square;v-text-anchor:top" coordsize="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" path="m,l1,6,,xe" fillcolor="#60869f" stroked="f">
                    <v:path arrowok="t" o:connecttype="custom" o:connectlocs="0,231;1,237;0,231" o:connectangles="0,0,0"/>
                  </v:shape>
                  <v:shape id="Picture 151" o:spid="_x0000_s1085" type="#_x0000_t75" style="position:absolute;left:1099;top:217;width:268;height: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">
                    <v:imagedata r:id="rId43" o:title=""/>
                  </v:shape>
                  <v:shape id="Picture 152" o:spid="_x0000_s1086" type="#_x0000_t75" style="position:absolute;left:1422;top:192;width:7;height: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">
                    <v:imagedata r:id="rId44" o:title=""/>
                  </v:shape>
                  <v:shape id="Picture 153" o:spid="_x0000_s1087" type="#_x0000_t75" style="position:absolute;left:1090;top:174;width:170;height: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">
                    <v:imagedata r:id="rId45" o:title=""/>
                  </v:shape>
                </v:group>
                <v:group id="Group 154" o:spid="_x0000_s1088" style="position:absolute;left:1081;top:167;width:507;height:412" coordorigin="1081,167" coordsize="507,4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">
                  <v:shape id="Freeform 155" o:spid="_x0000_s1089" style="position:absolute;left:1081;top:167;width:507;height:412;visibility:visible;mso-wrap-style:square;v-text-anchor:top" coordsize="507,4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" path="m468,213r-138,l333,214r7,6l342,221r,1l338,226r-3,4l332,234r-3,7l326,249r3,11l347,288r9,11l364,304r12,17l385,341r5,12l398,359r1,l416,364r12,17l431,386r2,2l434,391r1,2l435,404r1,2l439,410r4,2l450,412r3,-1l454,411r1,l456,411r20,-6l506,335r,-19l504,295,483,236,470,216r-2,-3xe" stroked="f">
                    <v:path arrowok="t" o:connecttype="custom" o:connectlocs="468,380;330,380;333,381;340,387;342,388;342,389;338,393;335,397;332,401;329,408;326,416;329,427;347,455;356,466;356,466;364,471;376,488;385,508;390,520;398,526;399,526;416,531;428,548;431,553;433,555;434,558;435,560;435,571;436,573;439,577;443,579;450,579;453,578;454,578;455,578;456,578;476,572;506,502;506,483;504,462;483,403;470,383;468,380" o:connectangles="0,0,0,0,0,0,0,0,0,0,0,0,0,0,0,0,0,0,0,0,0,0,0,0,0,0,0,0,0,0,0,0,0,0,0,0,0,0,0,0,0,0,0"/>
                  </v:shape>
                  <v:shape id="Freeform 156" o:spid="_x0000_s1090" style="position:absolute;left:1081;top:167;width:507;height:412;visibility:visible;mso-wrap-style:square;v-text-anchor:top" coordsize="507,4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" path="m453,169r-131,l322,170r,9l319,188r-2,8l313,215r6,17l321,234r1,l323,234r1,l324,233r2,-1l326,226r-1,-11l327,213r3,l468,213r-2,-4l463,203,453,178r,-9xe" stroked="f">
                    <v:path arrowok="t" o:connecttype="custom" o:connectlocs="453,336;322,336;322,337;322,346;319,355;317,363;313,382;319,399;321,401;322,401;323,401;324,401;324,400;326,399;326,393;325,382;327,380;330,380;468,380;466,376;463,370;453,345;453,336" o:connectangles="0,0,0,0,0,0,0,0,0,0,0,0,0,0,0,0,0,0,0,0,0,0,0"/>
                  </v:shape>
                  <v:shape id="Freeform 157" o:spid="_x0000_s1091" style="position:absolute;left:1081;top:167;width:507;height:412;visibility:visible;mso-wrap-style:square;v-text-anchor:top" coordsize="507,4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" path="m433,129r-138,l312,129r9,19l321,159r1,3l322,170r,-1l453,169r,-7l454,157r,-1l453,155,441,140r-8,-11xe" stroked="f">
                    <v:path arrowok="t" o:connecttype="custom" o:connectlocs="433,296;295,296;312,296;321,315;321,326;322,329;322,337;322,336;453,336;453,329;454,324;454,323;454,323;453,322;441,307;433,296" o:connectangles="0,0,0,0,0,0,0,0,0,0,0,0,0,0,0,0"/>
                  </v:shape>
                  <v:shape id="Freeform 158" o:spid="_x0000_s1092" style="position:absolute;left:1081;top:167;width:507;height:412;visibility:visible;mso-wrap-style:square;v-text-anchor:top" coordsize="507,4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" path="m404,69r-172,l241,73r19,11l271,101r2,4l276,108r3,4l279,113r1,1l281,114r2,3l294,129r1,l433,129r-4,-6l428,123r1,l425,116r-4,-6l418,104,410,85,404,69xe" stroked="f">
                    <v:path arrowok="t" o:connecttype="custom" o:connectlocs="404,236;232,236;241,240;260,251;271,268;273,272;276,275;279,279;279,280;280,281;281,281;283,284;294,296;295,296;433,296;429,290;428,290;429,290;425,283;421,277;418,271;410,252;404,236" o:connectangles="0,0,0,0,0,0,0,0,0,0,0,0,0,0,0,0,0,0,0,0,0,0,0"/>
                  </v:shape>
                  <v:shape id="Freeform 159" o:spid="_x0000_s1093" style="position:absolute;left:1081;top:167;width:507;height:412;visibility:visible;mso-wrap-style:square;v-text-anchor:top" coordsize="507,4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" path="m429,123r-1,l429,123xe" stroked="f">
                    <v:path arrowok="t" o:connecttype="custom" o:connectlocs="429,290;428,290;429,290" o:connectangles="0,0,0"/>
                  </v:shape>
                  <v:shape id="Freeform 160" o:spid="_x0000_s1094" style="position:absolute;left:1081;top:167;width:507;height:412;visibility:visible;mso-wrap-style:square;v-text-anchor:top" coordsize="507,4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" path="m399,50l57,50r25,2l104,59r18,10l137,82r12,13l153,101r1,l208,75r7,-5l232,69r172,l403,67,401,57r-2,-3l399,51r,-1xe" stroked="f">
                    <v:path arrowok="t" o:connecttype="custom" o:connectlocs="399,217;57,217;82,219;104,226;122,236;137,249;149,262;153,268;154,268;208,242;215,237;232,236;404,236;403,234;401,224;399,221;399,218;399,217" o:connectangles="0,0,0,0,0,0,0,0,0,0,0,0,0,0,0,0,0,0"/>
                  </v:shape>
                  <v:shape id="Freeform 161" o:spid="_x0000_s1095" style="position:absolute;left:1081;top:167;width:507;height:412;visibility:visible;mso-wrap-style:square;v-text-anchor:top" coordsize="507,4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" path="m167,l18,4,6,5,5,6,,18r4,5l9,27r8,6l20,41r,4l19,49r,7l18,57,32,53,45,50r12,l399,50,396,38r-44,l343,38,342,25r-1,l315,24r-1,l176,21,168,1,167,xe" stroked="f">
                    <v:path arrowok="t" o:connecttype="custom" o:connectlocs="167,167;18,171;6,172;5,173;0,185;4,190;9,194;17,200;20,208;20,212;19,216;19,223;18,224;32,220;45,217;57,217;399,217;396,205;352,205;343,205;342,192;341,192;315,191;314,191;176,188;168,168;167,167" o:connectangles="0,0,0,0,0,0,0,0,0,0,0,0,0,0,0,0,0,0,0,0,0,0,0,0,0,0,0"/>
                  </v:shape>
                  <v:shape id="Freeform 162" o:spid="_x0000_s1096" style="position:absolute;left:1081;top:167;width:507;height:412;visibility:visible;mso-wrap-style:square;v-text-anchor:top" coordsize="507,4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" path="m351,4r-2,l348,5r,1l352,38r44,l396,37,390,13r,-3l389,10r-1,l351,4xe" stroked="f">
                    <v:path arrowok="t" o:connecttype="custom" o:connectlocs="351,171;349,171;348,172;348,173;352,205;396,205;396,204;390,180;390,177;389,177;388,177;351,171" o:connectangles="0,0,0,0,0,0,0,0,0,0,0,0"/>
                  </v:shape>
                  <v:shape id="Freeform 163" o:spid="_x0000_s1097" style="position:absolute;left:1081;top:167;width:507;height:412;visibility:visible;mso-wrap-style:square;v-text-anchor:top" coordsize="507,4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" path="m315,24r-1,l315,24xe" stroked="f">
                    <v:path arrowok="t" o:connecttype="custom" o:connectlocs="315,191;314,191;314,191;315,191;315,191" o:connectangles="0,0,0,0,0"/>
                  </v:shape>
                  <v:shape id="Picture 164" o:spid="_x0000_s1098" type="#_x0000_t75" style="position:absolute;left:1084;top:167;width:504;height:4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">
                    <v:imagedata r:id="rId46" o:title=""/>
                  </v:shape>
                  <v:shape id="Picture 165" o:spid="_x0000_s1099" type="#_x0000_t75" style="position:absolute;left:1490;top:616;width:32;height: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">
                    <v:imagedata r:id="rId47" o:title=""/>
                  </v:shape>
                  <v:shape id="Picture 166" o:spid="_x0000_s1100" type="#_x0000_t75" style="position:absolute;left:1530;top:610;width:16;height: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">
                    <v:imagedata r:id="rId48" o:title=""/>
                  </v:shape>
                  <v:shape id="Picture 167" o:spid="_x0000_s1101" type="#_x0000_t75" style="position:absolute;left:1547;top:603;width:12;height: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">
                    <v:imagedata r:id="rId49" o:title=""/>
                  </v:shape>
                  <v:shape id="Picture 168" o:spid="_x0000_s1102" type="#_x0000_t75" style="position:absolute;left:1561;top:552;width:28;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">
                    <v:imagedata r:id="rId50" o:title=""/>
                  </v:shape>
                </v:group>
                <v:group id="Group 169" o:spid="_x0000_s1103" style="position:absolute;left:1489;top:611;width:32;height:18" coordorigin="1489,611" coordsize="32,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">
                  <v:shape id="Freeform 170" o:spid="_x0000_s1104" style="position:absolute;left:1489;top:611;width:32;height:18;visibility:visible;mso-wrap-style:square;v-text-anchor:top" coordsize="32,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" path="m22,l19,3,11,9,1,12,,17r7,l11,11r9,-1l29,10,32,8,29,4,22,xe" stroked="f">
                    <v:path arrowok="t" o:connecttype="custom" o:connectlocs="22,611;19,614;11,620;1,623;0,628;7,628;11,622;20,621;29,621;32,619;29,615;22,611" o:connectangles="0,0,0,0,0,0,0,0,0,0,0,0"/>
                  </v:shape>
                </v:group>
                <v:group id="Group 171" o:spid="_x0000_s1105" style="position:absolute;left:1527;top:606;width:19;height:13" coordorigin="1527,606" coordsize="19,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">
                  <v:shape id="Freeform 172" o:spid="_x0000_s1106" style="position:absolute;left:1527;top:606;width:19;height:13;visibility:visible;mso-wrap-style:square;v-text-anchor:top" coordsize="19,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" path="m18,l8,2r,2l6,5,2,7,,10r3,3l6,12r7,l18,xe" stroked="f">
                    <v:path arrowok="t" o:connecttype="custom" o:connectlocs="18,606;8,608;8,610;6,611;2,613;0,616;3,619;6,618;6,618;13,618;18,606" o:connectangles="0,0,0,0,0,0,0,0,0,0,0"/>
                  </v:shape>
                </v:group>
                <v:group id="Group 173" o:spid="_x0000_s1107" style="position:absolute;left:1545;top:600;width:13;height:9" coordorigin="1545,600" coordsize="1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">
                  <v:shape id="Freeform 174" o:spid="_x0000_s1108" style="position:absolute;left:1545;top:600;width:13;height:9;visibility:visible;mso-wrap-style:square;v-text-anchor:top" coordsize="1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" path="m4,r,l,5,2,9,12,5,11,1,4,xe" stroked="f">
                    <v:path arrowok="t" o:connecttype="custom" o:connectlocs="4,600;4,600;0,605;2,609;12,605;11,601;4,600" o:connectangles="0,0,0,0,0,0,0"/>
                  </v:shape>
                  <v:shape id="Freeform 175" o:spid="_x0000_s1109" style="position:absolute;left:1545;top:600;width:13;height:9;visibility:visible;mso-wrap-style:square;v-text-anchor:top" coordsize="1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" path="m,5r,xe" stroked="f">
                    <v:path arrowok="t" o:connecttype="custom" o:connectlocs="0,605;0,605" o:connectangles="0,0"/>
                  </v:shape>
                </v:group>
                <v:group id="Group 176" o:spid="_x0000_s1110" style="position:absolute;left:1558;top:549;width:29;height:57" coordorigin="1558,549" coordsize="29,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">
                  <v:shape id="Freeform 177" o:spid="_x0000_s1111" style="position:absolute;left:1558;top:549;width:29;height:57;visibility:visible;mso-wrap-style:square;v-text-anchor:top" coordsize="29,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" path="m24,r,9l19,16r-1,4l13,29r-2,4l4,39,,43,3,57,15,39r4,-7l22,28r4,-9l27,13,28,6,29,4r,-3l24,xe" stroked="f">
                    <v:path arrowok="t" o:connecttype="custom" o:connectlocs="24,549;24,558;19,565;18,569;13,578;11,582;4,588;0,592;3,606;15,588;19,581;22,577;26,568;27,562;28,555;29,553;29,550;24,549" o:connectangles="0,0,0,0,0,0,0,0,0,0,0,0,0,0,0,0,0,0"/>
                  </v:shape>
                  <v:shape id="Picture 178" o:spid="_x0000_s1112" type="#_x0000_t75" style="position:absolute;left:1489;top:613;width:30;height: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">
                    <v:imagedata r:id="rId51" o:title=""/>
                  </v:shape>
                  <v:shape id="Picture 179" o:spid="_x0000_s1113" type="#_x0000_t75" style="position:absolute;left:1528;top:608;width:13;height: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">
                    <v:imagedata r:id="rId52" o:title=""/>
                  </v:shape>
                  <v:shape id="Picture 180" o:spid="_x0000_s1114" type="#_x0000_t75" style="position:absolute;left:1545;top:601;width:11;height: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">
                    <v:imagedata r:id="rId53" o:title=""/>
                  </v:shape>
                  <v:shape id="Picture 181" o:spid="_x0000_s1115" type="#_x0000_t75" style="position:absolute;left:1559;top:550;width:28;height: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">
                    <v:imagedata r:id="rId54" o:title=""/>
                  </v:shape>
                </v:group>
                <w10:anchorlock/>
              </v:group>
            </w:pict>
          </mc:Fallback>
        </mc:AlternateContent>
      </w:r>
    </w:p>
    <w:p w14:paraId="6D7052DD" w14:textId="77777777" w:rsidR="00EA7458" w:rsidRPr="00EA7458" w:rsidRDefault="00EA7458" w:rsidP="00EA7458">
      <w:pPr>
        <w:widowControl w:val="0"/>
        <w:spacing w:after="0" w:line="1008" w:lineRule="exact"/>
        <w:rPr>
          <w:rFonts w:ascii="Calibri" w:hAnsi="Calibri" w:cs="Calibri"/>
          <w:sz w:val="20"/>
          <w:szCs w:val="20"/>
        </w:rPr>
        <w:sectPr w:rsidR="00EA7458" w:rsidRPr="00EA7458" w:rsidSect="00EA7458">
          <w:pgSz w:w="12240" w:h="15840"/>
          <w:pgMar w:top="1500" w:right="900" w:bottom="280" w:left="900" w:header="720" w:footer="720" w:gutter="0"/>
          <w:cols w:space="720"/>
        </w:sectPr>
      </w:pPr>
    </w:p>
    <w:p w14:paraId="0927E8B7" w14:textId="77777777" w:rsidR="00EA7458" w:rsidRPr="00EA7458" w:rsidRDefault="00EA7458" w:rsidP="00EA7458">
      <w:pPr>
        <w:widowControl w:val="0"/>
        <w:spacing w:before="8" w:after="0" w:line="240" w:lineRule="auto"/>
        <w:rPr>
          <w:rFonts w:ascii="Calibri" w:hAnsi="Calibri" w:cs="Calibri"/>
          <w:b/>
          <w:bCs/>
          <w:sz w:val="14"/>
          <w:szCs w:val="14"/>
        </w:rPr>
      </w:pPr>
    </w:p>
    <w:p w14:paraId="5B1774D8" w14:textId="77777777" w:rsidR="00EA7458" w:rsidRPr="00EA7458" w:rsidRDefault="00EA7458" w:rsidP="00EA7458">
      <w:pPr>
        <w:widowControl w:val="0"/>
        <w:tabs>
          <w:tab w:val="left" w:pos="10331"/>
        </w:tabs>
        <w:spacing w:before="30" w:after="0" w:line="240" w:lineRule="auto"/>
        <w:ind w:left="107"/>
        <w:outlineLvl w:val="0"/>
        <w:rPr>
          <w:rFonts w:ascii="Calibri" w:hAnsi="Calibri"/>
          <w:sz w:val="36"/>
          <w:szCs w:val="36"/>
        </w:rPr>
      </w:pPr>
      <w:r w:rsidRPr="00EA7458">
        <w:rPr>
          <w:rFonts w:ascii="Calibri" w:hAnsi="Calibri"/>
          <w:b/>
          <w:bCs/>
          <w:color w:val="295CA3"/>
          <w:spacing w:val="-6"/>
          <w:w w:val="120"/>
          <w:sz w:val="36"/>
          <w:szCs w:val="36"/>
          <w:u w:val="single" w:color="231F20"/>
        </w:rPr>
        <w:t xml:space="preserve">TABLE </w:t>
      </w:r>
      <w:r w:rsidRPr="00EA7458">
        <w:rPr>
          <w:rFonts w:ascii="Calibri" w:hAnsi="Calibri"/>
          <w:b/>
          <w:bCs/>
          <w:color w:val="295CA3"/>
          <w:w w:val="120"/>
          <w:sz w:val="36"/>
          <w:szCs w:val="36"/>
          <w:u w:val="single" w:color="231F20"/>
        </w:rPr>
        <w:t>OF</w:t>
      </w:r>
      <w:r w:rsidRPr="00EA7458">
        <w:rPr>
          <w:rFonts w:ascii="Calibri" w:hAnsi="Calibri"/>
          <w:b/>
          <w:bCs/>
          <w:color w:val="295CA3"/>
          <w:spacing w:val="-76"/>
          <w:w w:val="120"/>
          <w:sz w:val="36"/>
          <w:szCs w:val="36"/>
          <w:u w:val="single" w:color="231F20"/>
        </w:rPr>
        <w:t xml:space="preserve"> </w:t>
      </w:r>
      <w:r w:rsidRPr="00EA7458">
        <w:rPr>
          <w:rFonts w:ascii="Calibri" w:hAnsi="Calibri"/>
          <w:b/>
          <w:bCs/>
          <w:color w:val="295CA3"/>
          <w:spacing w:val="-3"/>
          <w:w w:val="120"/>
          <w:sz w:val="36"/>
          <w:szCs w:val="36"/>
          <w:u w:val="single" w:color="231F20"/>
        </w:rPr>
        <w:t>CONTENTS</w:t>
      </w:r>
      <w:r w:rsidRPr="00EA7458">
        <w:rPr>
          <w:rFonts w:ascii="Calibri" w:hAnsi="Calibri"/>
          <w:b/>
          <w:bCs/>
          <w:color w:val="295CA3"/>
          <w:spacing w:val="-3"/>
          <w:w w:val="113"/>
          <w:sz w:val="36"/>
          <w:szCs w:val="36"/>
          <w:u w:val="single" w:color="231F20"/>
        </w:rPr>
        <w:t xml:space="preserve"> </w:t>
      </w:r>
      <w:r w:rsidRPr="00EA7458">
        <w:rPr>
          <w:rFonts w:ascii="Calibri" w:hAnsi="Calibri"/>
          <w:b/>
          <w:bCs/>
          <w:color w:val="295CA3"/>
          <w:spacing w:val="-3"/>
          <w:sz w:val="36"/>
          <w:szCs w:val="36"/>
          <w:u w:val="single" w:color="231F20"/>
        </w:rPr>
        <w:tab/>
      </w:r>
    </w:p>
    <w:p w14:paraId="2DEA5D6F" w14:textId="77777777" w:rsidR="00EA7458" w:rsidRPr="00EA7458" w:rsidRDefault="00EA7458" w:rsidP="00EA7458">
      <w:pPr>
        <w:widowControl w:val="0"/>
        <w:spacing w:after="0" w:line="240" w:lineRule="auto"/>
        <w:rPr>
          <w:rFonts w:ascii="Calibri" w:hAnsi="Calibri"/>
        </w:rPr>
        <w:sectPr w:rsidR="00EA7458" w:rsidRPr="00EA7458">
          <w:headerReference w:type="default" r:id="rId55"/>
          <w:footerReference w:type="default" r:id="rId56"/>
          <w:pgSz w:w="12240" w:h="15840"/>
          <w:pgMar w:top="1620" w:right="900" w:bottom="1992" w:left="900" w:header="812" w:footer="624" w:gutter="0"/>
          <w:cols w:space="720"/>
        </w:sectPr>
      </w:pPr>
    </w:p>
    <w:p w14:paraId="130F326F" w14:textId="77777777" w:rsidR="00EA7458" w:rsidRPr="00EA7458" w:rsidRDefault="00BC1D20" w:rsidP="00EA7458">
      <w:pPr>
        <w:widowControl w:val="0"/>
        <w:tabs>
          <w:tab w:val="right" w:leader="dot" w:pos="9457"/>
        </w:tabs>
        <w:spacing w:before="92" w:after="0" w:line="240" w:lineRule="auto"/>
        <w:ind w:left="107"/>
        <w:rPr>
          <w:rFonts w:ascii="Calibri" w:hAnsi="Calibri"/>
          <w:sz w:val="18"/>
          <w:szCs w:val="18"/>
        </w:rPr>
      </w:pPr>
      <w:hyperlink w:anchor="_bookmark0" w:history="1">
        <w:r w:rsidR="00EA7458" w:rsidRPr="00EA7458">
          <w:rPr>
            <w:rFonts w:ascii="Calibri" w:hAnsi="Calibri"/>
            <w:b/>
            <w:bCs/>
            <w:color w:val="295CA3"/>
            <w:w w:val="115"/>
            <w:sz w:val="18"/>
            <w:szCs w:val="18"/>
          </w:rPr>
          <w:t>FIGURE</w:t>
        </w:r>
        <w:r w:rsidR="00EA7458" w:rsidRPr="00EA7458">
          <w:rPr>
            <w:rFonts w:ascii="Calibri" w:hAnsi="Calibri"/>
            <w:b/>
            <w:bCs/>
            <w:color w:val="295CA3"/>
            <w:spacing w:val="-2"/>
            <w:w w:val="115"/>
            <w:sz w:val="18"/>
            <w:szCs w:val="18"/>
          </w:rPr>
          <w:t xml:space="preserve"> </w:t>
        </w:r>
        <w:r w:rsidR="00EA7458" w:rsidRPr="00EA7458">
          <w:rPr>
            <w:rFonts w:ascii="Calibri" w:hAnsi="Calibri"/>
            <w:b/>
            <w:bCs/>
            <w:color w:val="295CA3"/>
            <w:w w:val="115"/>
            <w:sz w:val="18"/>
            <w:szCs w:val="18"/>
          </w:rPr>
          <w:t>INDEX</w:t>
        </w:r>
        <w:r w:rsidR="00EA7458" w:rsidRPr="00EA7458">
          <w:rPr>
            <w:rFonts w:ascii="Calibri" w:hAnsi="Calibri"/>
            <w:b/>
            <w:bCs/>
            <w:color w:val="295CA3"/>
            <w:w w:val="115"/>
            <w:sz w:val="18"/>
            <w:szCs w:val="18"/>
          </w:rPr>
          <w:tab/>
          <w:t>iv</w:t>
        </w:r>
      </w:hyperlink>
    </w:p>
    <w:p w14:paraId="490E8E43" w14:textId="77777777" w:rsidR="00EA7458" w:rsidRPr="00EA7458" w:rsidRDefault="00BC1D20" w:rsidP="00EA7458">
      <w:pPr>
        <w:widowControl w:val="0"/>
        <w:tabs>
          <w:tab w:val="right" w:leader="dot" w:pos="9457"/>
        </w:tabs>
        <w:spacing w:before="81" w:after="0" w:line="240" w:lineRule="auto"/>
        <w:ind w:left="107"/>
        <w:rPr>
          <w:rFonts w:ascii="Calibri" w:hAnsi="Calibri"/>
          <w:sz w:val="18"/>
          <w:szCs w:val="18"/>
        </w:rPr>
      </w:pPr>
      <w:hyperlink w:anchor="_bookmark1" w:history="1">
        <w:r w:rsidR="00EA7458" w:rsidRPr="00EA7458">
          <w:rPr>
            <w:rFonts w:ascii="Calibri" w:hAnsi="Calibri"/>
            <w:b/>
            <w:bCs/>
            <w:color w:val="295CA3"/>
            <w:w w:val="110"/>
            <w:sz w:val="18"/>
            <w:szCs w:val="18"/>
          </w:rPr>
          <w:t>ACRONYM</w:t>
        </w:r>
        <w:r w:rsidR="00EA7458" w:rsidRPr="00EA7458">
          <w:rPr>
            <w:rFonts w:ascii="Calibri" w:hAnsi="Calibri"/>
            <w:b/>
            <w:bCs/>
            <w:color w:val="295CA3"/>
            <w:spacing w:val="1"/>
            <w:w w:val="110"/>
            <w:sz w:val="18"/>
            <w:szCs w:val="18"/>
          </w:rPr>
          <w:t xml:space="preserve"> </w:t>
        </w:r>
        <w:r w:rsidR="00EA7458" w:rsidRPr="00EA7458">
          <w:rPr>
            <w:rFonts w:ascii="Calibri" w:hAnsi="Calibri"/>
            <w:b/>
            <w:bCs/>
            <w:color w:val="295CA3"/>
            <w:w w:val="110"/>
            <w:sz w:val="18"/>
            <w:szCs w:val="18"/>
          </w:rPr>
          <w:t>GUIDE</w:t>
        </w:r>
        <w:r w:rsidR="00EA7458" w:rsidRPr="00EA7458">
          <w:rPr>
            <w:rFonts w:ascii="Calibri" w:hAnsi="Calibri"/>
            <w:b/>
            <w:bCs/>
            <w:color w:val="295CA3"/>
            <w:w w:val="110"/>
            <w:sz w:val="18"/>
            <w:szCs w:val="18"/>
          </w:rPr>
          <w:tab/>
          <w:t>vi</w:t>
        </w:r>
      </w:hyperlink>
    </w:p>
    <w:p w14:paraId="4E74742F" w14:textId="77777777" w:rsidR="00EA7458" w:rsidRPr="00EA7458" w:rsidRDefault="00BC1D20" w:rsidP="00EA7458">
      <w:pPr>
        <w:widowControl w:val="0"/>
        <w:tabs>
          <w:tab w:val="right" w:leader="dot" w:pos="9457"/>
        </w:tabs>
        <w:spacing w:before="81" w:after="0" w:line="240" w:lineRule="auto"/>
        <w:ind w:left="107"/>
        <w:rPr>
          <w:rFonts w:ascii="Calibri" w:hAnsi="Calibri"/>
          <w:sz w:val="18"/>
          <w:szCs w:val="18"/>
        </w:rPr>
      </w:pPr>
      <w:hyperlink w:anchor="_bookmark2" w:history="1">
        <w:r w:rsidR="00EA7458" w:rsidRPr="00EA7458">
          <w:rPr>
            <w:rFonts w:ascii="Calibri" w:hAnsi="Calibri"/>
            <w:b/>
            <w:bCs/>
            <w:color w:val="295CA3"/>
            <w:sz w:val="18"/>
            <w:szCs w:val="18"/>
          </w:rPr>
          <w:t>INTRODUCTION</w:t>
        </w:r>
        <w:r w:rsidR="00EA7458" w:rsidRPr="00EA7458">
          <w:rPr>
            <w:rFonts w:ascii="Calibri" w:hAnsi="Calibri"/>
            <w:b/>
            <w:bCs/>
            <w:color w:val="295CA3"/>
            <w:sz w:val="18"/>
            <w:szCs w:val="18"/>
          </w:rPr>
          <w:tab/>
          <w:t>1</w:t>
        </w:r>
      </w:hyperlink>
    </w:p>
    <w:p w14:paraId="649A12BA" w14:textId="77777777" w:rsidR="00EA7458" w:rsidRPr="00EA7458" w:rsidRDefault="00BC1D20" w:rsidP="00664EFD">
      <w:pPr>
        <w:widowControl w:val="0"/>
        <w:numPr>
          <w:ilvl w:val="0"/>
          <w:numId w:val="9"/>
        </w:numPr>
        <w:tabs>
          <w:tab w:val="left" w:pos="250"/>
          <w:tab w:val="right" w:leader="dot" w:pos="9457"/>
        </w:tabs>
        <w:spacing w:before="81" w:after="0" w:line="240" w:lineRule="auto"/>
        <w:ind w:hanging="141"/>
        <w:rPr>
          <w:rFonts w:ascii="Calibri" w:hAnsi="Calibri"/>
          <w:sz w:val="18"/>
          <w:szCs w:val="18"/>
        </w:rPr>
      </w:pPr>
      <w:hyperlink w:anchor="_bookmark3" w:history="1">
        <w:r w:rsidR="00EA7458" w:rsidRPr="00EA7458">
          <w:rPr>
            <w:rFonts w:ascii="Calibri" w:hAnsi="Calibri"/>
            <w:b/>
            <w:bCs/>
            <w:color w:val="295CA3"/>
            <w:w w:val="115"/>
            <w:sz w:val="18"/>
            <w:szCs w:val="18"/>
          </w:rPr>
          <w:t xml:space="preserve">WORKFORCE </w:t>
        </w:r>
        <w:r w:rsidR="00EA7458" w:rsidRPr="00EA7458">
          <w:rPr>
            <w:rFonts w:ascii="Calibri" w:hAnsi="Calibri"/>
            <w:b/>
            <w:bCs/>
            <w:color w:val="295CA3"/>
            <w:spacing w:val="-3"/>
            <w:w w:val="115"/>
            <w:sz w:val="18"/>
            <w:szCs w:val="18"/>
          </w:rPr>
          <w:t xml:space="preserve">INNOVATION </w:t>
        </w:r>
        <w:r w:rsidR="00EA7458" w:rsidRPr="00EA7458">
          <w:rPr>
            <w:rFonts w:ascii="Calibri" w:hAnsi="Calibri"/>
            <w:b/>
            <w:bCs/>
            <w:color w:val="295CA3"/>
            <w:w w:val="115"/>
            <w:sz w:val="18"/>
            <w:szCs w:val="18"/>
          </w:rPr>
          <w:t xml:space="preserve">AND OPPORTUNITY </w:t>
        </w:r>
        <w:r w:rsidR="00EA7458" w:rsidRPr="00EA7458">
          <w:rPr>
            <w:rFonts w:ascii="Calibri" w:hAnsi="Calibri"/>
            <w:b/>
            <w:bCs/>
            <w:color w:val="295CA3"/>
            <w:spacing w:val="-3"/>
            <w:w w:val="115"/>
            <w:sz w:val="18"/>
            <w:szCs w:val="18"/>
          </w:rPr>
          <w:t xml:space="preserve">ACT </w:t>
        </w:r>
        <w:r w:rsidR="00EA7458" w:rsidRPr="00EA7458">
          <w:rPr>
            <w:rFonts w:ascii="Calibri" w:hAnsi="Calibri"/>
            <w:b/>
            <w:bCs/>
            <w:color w:val="295CA3"/>
            <w:spacing w:val="-5"/>
            <w:w w:val="115"/>
            <w:sz w:val="18"/>
            <w:szCs w:val="18"/>
          </w:rPr>
          <w:t xml:space="preserve">STATE </w:t>
        </w:r>
        <w:r w:rsidR="00EA7458" w:rsidRPr="00EA7458">
          <w:rPr>
            <w:rFonts w:ascii="Calibri" w:hAnsi="Calibri"/>
            <w:b/>
            <w:bCs/>
            <w:color w:val="295CA3"/>
            <w:w w:val="115"/>
            <w:sz w:val="18"/>
            <w:szCs w:val="18"/>
          </w:rPr>
          <w:t>PLAN</w:t>
        </w:r>
        <w:r w:rsidR="00EA7458" w:rsidRPr="00EA7458">
          <w:rPr>
            <w:rFonts w:ascii="Calibri" w:hAnsi="Calibri"/>
            <w:b/>
            <w:bCs/>
            <w:color w:val="295CA3"/>
            <w:spacing w:val="3"/>
            <w:w w:val="115"/>
            <w:sz w:val="18"/>
            <w:szCs w:val="18"/>
          </w:rPr>
          <w:t xml:space="preserve"> </w:t>
        </w:r>
        <w:r w:rsidR="00EA7458" w:rsidRPr="00EA7458">
          <w:rPr>
            <w:rFonts w:ascii="Calibri" w:hAnsi="Calibri"/>
            <w:b/>
            <w:bCs/>
            <w:color w:val="295CA3"/>
            <w:w w:val="115"/>
            <w:sz w:val="18"/>
            <w:szCs w:val="18"/>
          </w:rPr>
          <w:t>TYPE</w:t>
        </w:r>
        <w:r w:rsidR="00EA7458" w:rsidRPr="00EA7458">
          <w:rPr>
            <w:rFonts w:ascii="Calibri" w:hAnsi="Calibri"/>
            <w:b/>
            <w:bCs/>
            <w:color w:val="295CA3"/>
            <w:w w:val="115"/>
            <w:sz w:val="18"/>
            <w:szCs w:val="18"/>
          </w:rPr>
          <w:tab/>
          <w:t>2</w:t>
        </w:r>
      </w:hyperlink>
    </w:p>
    <w:p w14:paraId="05CD59BE" w14:textId="77777777" w:rsidR="00EA7458" w:rsidRPr="00EA7458" w:rsidRDefault="00BC1D20" w:rsidP="00664EFD">
      <w:pPr>
        <w:widowControl w:val="0"/>
        <w:numPr>
          <w:ilvl w:val="0"/>
          <w:numId w:val="9"/>
        </w:numPr>
        <w:tabs>
          <w:tab w:val="left" w:pos="299"/>
          <w:tab w:val="right" w:leader="dot" w:pos="9457"/>
        </w:tabs>
        <w:spacing w:before="81" w:after="0" w:line="240" w:lineRule="auto"/>
        <w:ind w:left="298" w:hanging="190"/>
        <w:rPr>
          <w:rFonts w:ascii="Calibri" w:hAnsi="Calibri"/>
          <w:sz w:val="18"/>
          <w:szCs w:val="18"/>
        </w:rPr>
      </w:pPr>
      <w:hyperlink w:anchor="_bookmark4" w:history="1">
        <w:r w:rsidR="00EA7458" w:rsidRPr="00EA7458">
          <w:rPr>
            <w:rFonts w:ascii="Calibri" w:hAnsi="Calibri"/>
            <w:b/>
            <w:bCs/>
            <w:color w:val="295CA3"/>
            <w:w w:val="115"/>
            <w:sz w:val="18"/>
            <w:szCs w:val="18"/>
          </w:rPr>
          <w:t>STRATEGIC</w:t>
        </w:r>
        <w:r w:rsidR="00EA7458" w:rsidRPr="00EA7458">
          <w:rPr>
            <w:rFonts w:ascii="Calibri" w:hAnsi="Calibri"/>
            <w:b/>
            <w:bCs/>
            <w:color w:val="295CA3"/>
            <w:spacing w:val="-2"/>
            <w:w w:val="115"/>
            <w:sz w:val="18"/>
            <w:szCs w:val="18"/>
          </w:rPr>
          <w:t xml:space="preserve"> </w:t>
        </w:r>
        <w:r w:rsidR="00EA7458" w:rsidRPr="00EA7458">
          <w:rPr>
            <w:rFonts w:ascii="Calibri" w:hAnsi="Calibri"/>
            <w:b/>
            <w:bCs/>
            <w:color w:val="295CA3"/>
            <w:w w:val="115"/>
            <w:sz w:val="18"/>
            <w:szCs w:val="18"/>
          </w:rPr>
          <w:t>ELEMENTS</w:t>
        </w:r>
        <w:r w:rsidR="00EA7458" w:rsidRPr="00EA7458">
          <w:rPr>
            <w:rFonts w:ascii="Calibri" w:hAnsi="Calibri"/>
            <w:b/>
            <w:bCs/>
            <w:color w:val="295CA3"/>
            <w:w w:val="115"/>
            <w:sz w:val="18"/>
            <w:szCs w:val="18"/>
          </w:rPr>
          <w:tab/>
          <w:t>3</w:t>
        </w:r>
      </w:hyperlink>
    </w:p>
    <w:p w14:paraId="31F87E47" w14:textId="77E7A73F" w:rsidR="00EA7458" w:rsidRPr="00EA7458" w:rsidRDefault="00BC1D20" w:rsidP="00664EFD">
      <w:pPr>
        <w:widowControl w:val="0"/>
        <w:numPr>
          <w:ilvl w:val="1"/>
          <w:numId w:val="9"/>
        </w:numPr>
        <w:tabs>
          <w:tab w:val="left" w:pos="708"/>
          <w:tab w:val="right" w:leader="dot" w:pos="9457"/>
        </w:tabs>
        <w:spacing w:before="81" w:after="0" w:line="240" w:lineRule="auto"/>
        <w:rPr>
          <w:rFonts w:ascii="Calibri" w:hAnsi="Calibri"/>
          <w:sz w:val="18"/>
          <w:szCs w:val="18"/>
        </w:rPr>
      </w:pPr>
      <w:hyperlink w:anchor="_bookmark4" w:history="1">
        <w:r w:rsidR="00EA7458" w:rsidRPr="00EA7458">
          <w:rPr>
            <w:rFonts w:ascii="Calibri" w:hAnsi="Calibri"/>
            <w:b/>
            <w:bCs/>
            <w:color w:val="295CA3"/>
            <w:w w:val="110"/>
            <w:sz w:val="18"/>
            <w:szCs w:val="18"/>
          </w:rPr>
          <w:t>Economic, Workforce and Workforce Development Activities</w:t>
        </w:r>
        <w:r w:rsidR="00EA7458" w:rsidRPr="00EA7458">
          <w:rPr>
            <w:rFonts w:ascii="Calibri" w:hAnsi="Calibri"/>
            <w:b/>
            <w:bCs/>
            <w:color w:val="295CA3"/>
            <w:spacing w:val="-3"/>
            <w:w w:val="110"/>
            <w:sz w:val="18"/>
            <w:szCs w:val="18"/>
          </w:rPr>
          <w:t xml:space="preserve"> </w:t>
        </w:r>
        <w:r w:rsidR="00EA7458" w:rsidRPr="00EA7458">
          <w:rPr>
            <w:rFonts w:ascii="Calibri" w:hAnsi="Calibri"/>
            <w:b/>
            <w:bCs/>
            <w:color w:val="295CA3"/>
            <w:w w:val="110"/>
            <w:sz w:val="18"/>
            <w:szCs w:val="18"/>
          </w:rPr>
          <w:t>Analysis</w:t>
        </w:r>
        <w:r w:rsidR="00EA7458" w:rsidRPr="00EA7458">
          <w:rPr>
            <w:rFonts w:ascii="Calibri" w:hAnsi="Calibri"/>
            <w:b/>
            <w:bCs/>
            <w:color w:val="295CA3"/>
            <w:w w:val="110"/>
            <w:sz w:val="18"/>
            <w:szCs w:val="18"/>
          </w:rPr>
          <w:tab/>
          <w:t>3</w:t>
        </w:r>
      </w:hyperlink>
    </w:p>
    <w:p w14:paraId="251142BC" w14:textId="77777777" w:rsidR="00EA7458" w:rsidRPr="00EA7458" w:rsidRDefault="00BC1D20" w:rsidP="00664EFD">
      <w:pPr>
        <w:widowControl w:val="0"/>
        <w:numPr>
          <w:ilvl w:val="1"/>
          <w:numId w:val="9"/>
        </w:numPr>
        <w:tabs>
          <w:tab w:val="left" w:pos="708"/>
          <w:tab w:val="right" w:leader="dot" w:pos="9457"/>
        </w:tabs>
        <w:spacing w:before="81" w:after="0" w:line="240" w:lineRule="auto"/>
        <w:rPr>
          <w:rFonts w:ascii="Calibri" w:hAnsi="Calibri"/>
          <w:sz w:val="18"/>
          <w:szCs w:val="18"/>
        </w:rPr>
      </w:pPr>
      <w:hyperlink w:anchor="_bookmark35" w:history="1">
        <w:r w:rsidR="00EA7458" w:rsidRPr="00EA7458">
          <w:rPr>
            <w:rFonts w:ascii="Calibri" w:hAnsi="Calibri"/>
            <w:b/>
            <w:bCs/>
            <w:color w:val="295CA3"/>
            <w:w w:val="110"/>
            <w:sz w:val="18"/>
            <w:szCs w:val="18"/>
          </w:rPr>
          <w:t>State Strategic Vision and</w:t>
        </w:r>
        <w:r w:rsidR="00EA7458" w:rsidRPr="00EA7458">
          <w:rPr>
            <w:rFonts w:ascii="Calibri" w:hAnsi="Calibri"/>
            <w:b/>
            <w:bCs/>
            <w:color w:val="295CA3"/>
            <w:spacing w:val="4"/>
            <w:w w:val="110"/>
            <w:sz w:val="18"/>
            <w:szCs w:val="18"/>
          </w:rPr>
          <w:t xml:space="preserve"> </w:t>
        </w:r>
        <w:r w:rsidR="00EA7458" w:rsidRPr="00EA7458">
          <w:rPr>
            <w:rFonts w:ascii="Calibri" w:hAnsi="Calibri"/>
            <w:b/>
            <w:bCs/>
            <w:color w:val="295CA3"/>
            <w:w w:val="110"/>
            <w:sz w:val="18"/>
            <w:szCs w:val="18"/>
          </w:rPr>
          <w:t>Goals</w:t>
        </w:r>
        <w:r w:rsidR="00EA7458" w:rsidRPr="00EA7458">
          <w:rPr>
            <w:rFonts w:ascii="Calibri" w:hAnsi="Calibri"/>
            <w:b/>
            <w:bCs/>
            <w:color w:val="295CA3"/>
            <w:w w:val="110"/>
            <w:sz w:val="18"/>
            <w:szCs w:val="18"/>
          </w:rPr>
          <w:tab/>
          <w:t>49</w:t>
        </w:r>
      </w:hyperlink>
    </w:p>
    <w:p w14:paraId="2239F114" w14:textId="77777777" w:rsidR="00EA7458" w:rsidRPr="00EA7458" w:rsidRDefault="00BC1D20" w:rsidP="00664EFD">
      <w:pPr>
        <w:widowControl w:val="0"/>
        <w:numPr>
          <w:ilvl w:val="1"/>
          <w:numId w:val="9"/>
        </w:numPr>
        <w:tabs>
          <w:tab w:val="left" w:pos="708"/>
          <w:tab w:val="right" w:leader="dot" w:pos="9457"/>
        </w:tabs>
        <w:spacing w:before="81" w:after="0" w:line="240" w:lineRule="auto"/>
        <w:rPr>
          <w:rFonts w:ascii="Calibri" w:hAnsi="Calibri"/>
          <w:sz w:val="18"/>
          <w:szCs w:val="18"/>
        </w:rPr>
      </w:pPr>
      <w:hyperlink w:anchor="_bookmark36" w:history="1">
        <w:r w:rsidR="00EA7458" w:rsidRPr="00EA7458">
          <w:rPr>
            <w:rFonts w:ascii="Calibri" w:hAnsi="Calibri"/>
            <w:b/>
            <w:bCs/>
            <w:color w:val="295CA3"/>
            <w:w w:val="110"/>
            <w:sz w:val="18"/>
            <w:szCs w:val="18"/>
          </w:rPr>
          <w:t>State Strategy</w:t>
        </w:r>
        <w:r w:rsidR="00EA7458" w:rsidRPr="00EA7458">
          <w:rPr>
            <w:rFonts w:ascii="Calibri" w:hAnsi="Calibri"/>
            <w:b/>
            <w:bCs/>
            <w:color w:val="295CA3"/>
            <w:w w:val="110"/>
            <w:sz w:val="18"/>
            <w:szCs w:val="18"/>
          </w:rPr>
          <w:tab/>
          <w:t>51</w:t>
        </w:r>
      </w:hyperlink>
    </w:p>
    <w:p w14:paraId="23E24A62" w14:textId="77777777" w:rsidR="00EA7458" w:rsidRPr="00EA7458" w:rsidRDefault="00BC1D20" w:rsidP="00664EFD">
      <w:pPr>
        <w:widowControl w:val="0"/>
        <w:numPr>
          <w:ilvl w:val="0"/>
          <w:numId w:val="9"/>
        </w:numPr>
        <w:tabs>
          <w:tab w:val="left" w:pos="349"/>
          <w:tab w:val="right" w:leader="dot" w:pos="9457"/>
        </w:tabs>
        <w:spacing w:before="81" w:after="0" w:line="240" w:lineRule="auto"/>
        <w:ind w:left="348" w:hanging="240"/>
        <w:rPr>
          <w:rFonts w:ascii="Calibri" w:hAnsi="Calibri"/>
          <w:sz w:val="18"/>
          <w:szCs w:val="18"/>
        </w:rPr>
      </w:pPr>
      <w:hyperlink w:anchor="_bookmark37" w:history="1">
        <w:r w:rsidR="00EA7458" w:rsidRPr="00EA7458">
          <w:rPr>
            <w:rFonts w:ascii="Calibri" w:hAnsi="Calibri"/>
            <w:b/>
            <w:bCs/>
            <w:color w:val="295CA3"/>
            <w:w w:val="115"/>
            <w:sz w:val="18"/>
            <w:szCs w:val="18"/>
          </w:rPr>
          <w:t>OPERATIONAL PLANNING</w:t>
        </w:r>
        <w:r w:rsidR="00EA7458" w:rsidRPr="00EA7458">
          <w:rPr>
            <w:rFonts w:ascii="Calibri" w:hAnsi="Calibri"/>
            <w:b/>
            <w:bCs/>
            <w:color w:val="295CA3"/>
            <w:spacing w:val="-3"/>
            <w:w w:val="115"/>
            <w:sz w:val="18"/>
            <w:szCs w:val="18"/>
          </w:rPr>
          <w:t xml:space="preserve"> </w:t>
        </w:r>
        <w:r w:rsidR="00EA7458" w:rsidRPr="00EA7458">
          <w:rPr>
            <w:rFonts w:ascii="Calibri" w:hAnsi="Calibri"/>
            <w:b/>
            <w:bCs/>
            <w:color w:val="295CA3"/>
            <w:w w:val="115"/>
            <w:sz w:val="18"/>
            <w:szCs w:val="18"/>
          </w:rPr>
          <w:t>ELEMENTS</w:t>
        </w:r>
        <w:r w:rsidR="00EA7458" w:rsidRPr="00EA7458">
          <w:rPr>
            <w:rFonts w:ascii="Calibri" w:hAnsi="Calibri"/>
            <w:b/>
            <w:bCs/>
            <w:color w:val="295CA3"/>
            <w:w w:val="115"/>
            <w:sz w:val="18"/>
            <w:szCs w:val="18"/>
          </w:rPr>
          <w:tab/>
          <w:t>58</w:t>
        </w:r>
      </w:hyperlink>
    </w:p>
    <w:p w14:paraId="3B4C5B55" w14:textId="77777777" w:rsidR="00EA7458" w:rsidRPr="00EA7458" w:rsidRDefault="00BC1D20" w:rsidP="00664EFD">
      <w:pPr>
        <w:widowControl w:val="0"/>
        <w:numPr>
          <w:ilvl w:val="1"/>
          <w:numId w:val="9"/>
        </w:numPr>
        <w:tabs>
          <w:tab w:val="left" w:pos="708"/>
          <w:tab w:val="right" w:leader="dot" w:pos="9457"/>
        </w:tabs>
        <w:spacing w:before="81" w:after="0" w:line="240" w:lineRule="auto"/>
        <w:rPr>
          <w:rFonts w:ascii="Calibri" w:hAnsi="Calibri"/>
          <w:sz w:val="18"/>
          <w:szCs w:val="18"/>
        </w:rPr>
      </w:pPr>
      <w:hyperlink w:anchor="_bookmark37" w:history="1">
        <w:r w:rsidR="00EA7458" w:rsidRPr="00EA7458">
          <w:rPr>
            <w:rFonts w:ascii="Calibri" w:hAnsi="Calibri"/>
            <w:b/>
            <w:bCs/>
            <w:color w:val="295CA3"/>
            <w:w w:val="110"/>
            <w:sz w:val="18"/>
            <w:szCs w:val="18"/>
          </w:rPr>
          <w:t>State Strategy</w:t>
        </w:r>
        <w:r w:rsidR="00EA7458" w:rsidRPr="00EA7458">
          <w:rPr>
            <w:rFonts w:ascii="Calibri" w:hAnsi="Calibri"/>
            <w:b/>
            <w:bCs/>
            <w:color w:val="295CA3"/>
            <w:spacing w:val="1"/>
            <w:w w:val="110"/>
            <w:sz w:val="18"/>
            <w:szCs w:val="18"/>
          </w:rPr>
          <w:t xml:space="preserve"> </w:t>
        </w:r>
        <w:r w:rsidR="00EA7458" w:rsidRPr="00EA7458">
          <w:rPr>
            <w:rFonts w:ascii="Calibri" w:hAnsi="Calibri"/>
            <w:b/>
            <w:bCs/>
            <w:color w:val="295CA3"/>
            <w:w w:val="110"/>
            <w:sz w:val="18"/>
            <w:szCs w:val="18"/>
          </w:rPr>
          <w:t>Implementation</w:t>
        </w:r>
        <w:r w:rsidR="00EA7458" w:rsidRPr="00EA7458">
          <w:rPr>
            <w:rFonts w:ascii="Calibri" w:hAnsi="Calibri"/>
            <w:b/>
            <w:bCs/>
            <w:color w:val="295CA3"/>
            <w:w w:val="110"/>
            <w:sz w:val="18"/>
            <w:szCs w:val="18"/>
          </w:rPr>
          <w:tab/>
          <w:t>58</w:t>
        </w:r>
      </w:hyperlink>
    </w:p>
    <w:p w14:paraId="7B589B86" w14:textId="77777777" w:rsidR="00EA7458" w:rsidRPr="00EA7458" w:rsidRDefault="00BC1D20" w:rsidP="00664EFD">
      <w:pPr>
        <w:widowControl w:val="0"/>
        <w:numPr>
          <w:ilvl w:val="1"/>
          <w:numId w:val="9"/>
        </w:numPr>
        <w:tabs>
          <w:tab w:val="left" w:pos="708"/>
          <w:tab w:val="right" w:leader="dot" w:pos="9457"/>
        </w:tabs>
        <w:spacing w:before="81" w:after="0" w:line="240" w:lineRule="auto"/>
        <w:rPr>
          <w:rFonts w:ascii="Calibri" w:hAnsi="Calibri"/>
          <w:sz w:val="18"/>
          <w:szCs w:val="18"/>
        </w:rPr>
      </w:pPr>
      <w:hyperlink w:anchor="_bookmark39" w:history="1">
        <w:r w:rsidR="00EA7458" w:rsidRPr="00EA7458">
          <w:rPr>
            <w:rFonts w:ascii="Calibri" w:hAnsi="Calibri"/>
            <w:b/>
            <w:bCs/>
            <w:color w:val="295CA3"/>
            <w:w w:val="110"/>
            <w:sz w:val="18"/>
            <w:szCs w:val="18"/>
          </w:rPr>
          <w:t>State Operating Systems and</w:t>
        </w:r>
        <w:r w:rsidR="00EA7458" w:rsidRPr="00EA7458">
          <w:rPr>
            <w:rFonts w:ascii="Calibri" w:hAnsi="Calibri"/>
            <w:b/>
            <w:bCs/>
            <w:color w:val="295CA3"/>
            <w:spacing w:val="4"/>
            <w:w w:val="110"/>
            <w:sz w:val="18"/>
            <w:szCs w:val="18"/>
          </w:rPr>
          <w:t xml:space="preserve"> </w:t>
        </w:r>
        <w:r w:rsidR="00EA7458" w:rsidRPr="00EA7458">
          <w:rPr>
            <w:rFonts w:ascii="Calibri" w:hAnsi="Calibri"/>
            <w:b/>
            <w:bCs/>
            <w:color w:val="295CA3"/>
            <w:w w:val="110"/>
            <w:sz w:val="18"/>
            <w:szCs w:val="18"/>
          </w:rPr>
          <w:t>Policies</w:t>
        </w:r>
        <w:r w:rsidR="00EA7458" w:rsidRPr="00EA7458">
          <w:rPr>
            <w:rFonts w:ascii="Calibri" w:hAnsi="Calibri"/>
            <w:b/>
            <w:bCs/>
            <w:color w:val="295CA3"/>
            <w:w w:val="110"/>
            <w:sz w:val="18"/>
            <w:szCs w:val="18"/>
          </w:rPr>
          <w:tab/>
          <w:t>70</w:t>
        </w:r>
      </w:hyperlink>
    </w:p>
    <w:p w14:paraId="1153671B" w14:textId="77777777" w:rsidR="00EA7458" w:rsidRPr="00EA7458" w:rsidRDefault="00BC1D20" w:rsidP="00664EFD">
      <w:pPr>
        <w:widowControl w:val="0"/>
        <w:numPr>
          <w:ilvl w:val="0"/>
          <w:numId w:val="9"/>
        </w:numPr>
        <w:tabs>
          <w:tab w:val="left" w:pos="357"/>
          <w:tab w:val="right" w:leader="dot" w:pos="9457"/>
        </w:tabs>
        <w:spacing w:before="81" w:after="0" w:line="240" w:lineRule="auto"/>
        <w:ind w:left="356" w:hanging="248"/>
        <w:rPr>
          <w:rFonts w:ascii="Calibri" w:hAnsi="Calibri"/>
          <w:sz w:val="18"/>
          <w:szCs w:val="18"/>
        </w:rPr>
      </w:pPr>
      <w:hyperlink w:anchor="_bookmark54" w:history="1">
        <w:r w:rsidR="00EA7458" w:rsidRPr="00EA7458">
          <w:rPr>
            <w:rFonts w:ascii="Calibri" w:hAnsi="Calibri"/>
            <w:b/>
            <w:bCs/>
            <w:color w:val="295CA3"/>
            <w:w w:val="115"/>
            <w:sz w:val="18"/>
            <w:szCs w:val="18"/>
          </w:rPr>
          <w:t xml:space="preserve">COORDINATION WITH </w:t>
        </w:r>
        <w:r w:rsidR="00EA7458" w:rsidRPr="00EA7458">
          <w:rPr>
            <w:rFonts w:ascii="Calibri" w:hAnsi="Calibri"/>
            <w:b/>
            <w:bCs/>
            <w:color w:val="295CA3"/>
            <w:spacing w:val="-5"/>
            <w:w w:val="115"/>
            <w:sz w:val="18"/>
            <w:szCs w:val="18"/>
          </w:rPr>
          <w:t xml:space="preserve">STATE </w:t>
        </w:r>
        <w:r w:rsidR="00EA7458" w:rsidRPr="00EA7458">
          <w:rPr>
            <w:rFonts w:ascii="Calibri" w:hAnsi="Calibri"/>
            <w:b/>
            <w:bCs/>
            <w:color w:val="295CA3"/>
            <w:w w:val="115"/>
            <w:sz w:val="18"/>
            <w:szCs w:val="18"/>
          </w:rPr>
          <w:t>PLAN</w:t>
        </w:r>
        <w:r w:rsidR="00EA7458" w:rsidRPr="00EA7458">
          <w:rPr>
            <w:rFonts w:ascii="Calibri" w:hAnsi="Calibri"/>
            <w:b/>
            <w:bCs/>
            <w:color w:val="295CA3"/>
            <w:spacing w:val="-2"/>
            <w:w w:val="115"/>
            <w:sz w:val="18"/>
            <w:szCs w:val="18"/>
          </w:rPr>
          <w:t xml:space="preserve"> </w:t>
        </w:r>
        <w:r w:rsidR="00EA7458" w:rsidRPr="00EA7458">
          <w:rPr>
            <w:rFonts w:ascii="Calibri" w:hAnsi="Calibri"/>
            <w:b/>
            <w:bCs/>
            <w:color w:val="295CA3"/>
            <w:w w:val="115"/>
            <w:sz w:val="18"/>
            <w:szCs w:val="18"/>
          </w:rPr>
          <w:t>PROGRAMS</w:t>
        </w:r>
        <w:r w:rsidR="00EA7458" w:rsidRPr="00EA7458">
          <w:rPr>
            <w:rFonts w:ascii="Calibri" w:hAnsi="Calibri"/>
            <w:b/>
            <w:bCs/>
            <w:color w:val="295CA3"/>
            <w:w w:val="115"/>
            <w:sz w:val="18"/>
            <w:szCs w:val="18"/>
          </w:rPr>
          <w:tab/>
          <w:t>98</w:t>
        </w:r>
      </w:hyperlink>
    </w:p>
    <w:p w14:paraId="47A7415D" w14:textId="77777777" w:rsidR="00EA7458" w:rsidRPr="00EA7458" w:rsidRDefault="00BC1D20" w:rsidP="00664EFD">
      <w:pPr>
        <w:widowControl w:val="0"/>
        <w:numPr>
          <w:ilvl w:val="0"/>
          <w:numId w:val="9"/>
        </w:numPr>
        <w:tabs>
          <w:tab w:val="left" w:pos="308"/>
          <w:tab w:val="right" w:leader="dot" w:pos="9457"/>
        </w:tabs>
        <w:spacing w:before="81" w:after="0" w:line="240" w:lineRule="auto"/>
        <w:ind w:left="307" w:hanging="199"/>
        <w:rPr>
          <w:rFonts w:ascii="Calibri" w:hAnsi="Calibri"/>
          <w:sz w:val="18"/>
          <w:szCs w:val="18"/>
        </w:rPr>
      </w:pPr>
      <w:hyperlink w:anchor="_bookmark55" w:history="1">
        <w:r w:rsidR="00EA7458" w:rsidRPr="00EA7458">
          <w:rPr>
            <w:rFonts w:ascii="Calibri" w:hAnsi="Calibri"/>
            <w:b/>
            <w:bCs/>
            <w:color w:val="295CA3"/>
            <w:w w:val="110"/>
            <w:sz w:val="18"/>
            <w:szCs w:val="18"/>
          </w:rPr>
          <w:t>COMMON</w:t>
        </w:r>
        <w:r w:rsidR="00EA7458" w:rsidRPr="00EA7458">
          <w:rPr>
            <w:rFonts w:ascii="Calibri" w:hAnsi="Calibri"/>
            <w:b/>
            <w:bCs/>
            <w:color w:val="295CA3"/>
            <w:spacing w:val="1"/>
            <w:w w:val="110"/>
            <w:sz w:val="18"/>
            <w:szCs w:val="18"/>
          </w:rPr>
          <w:t xml:space="preserve"> </w:t>
        </w:r>
        <w:r w:rsidR="00EA7458" w:rsidRPr="00EA7458">
          <w:rPr>
            <w:rFonts w:ascii="Calibri" w:hAnsi="Calibri"/>
            <w:b/>
            <w:bCs/>
            <w:color w:val="295CA3"/>
            <w:w w:val="110"/>
            <w:sz w:val="18"/>
            <w:szCs w:val="18"/>
          </w:rPr>
          <w:t>ASSURANCES</w:t>
        </w:r>
        <w:r w:rsidR="00EA7458" w:rsidRPr="00EA7458">
          <w:rPr>
            <w:rFonts w:ascii="Calibri" w:hAnsi="Calibri"/>
            <w:b/>
            <w:bCs/>
            <w:color w:val="295CA3"/>
            <w:w w:val="110"/>
            <w:sz w:val="18"/>
            <w:szCs w:val="18"/>
          </w:rPr>
          <w:tab/>
          <w:t>100</w:t>
        </w:r>
      </w:hyperlink>
    </w:p>
    <w:p w14:paraId="76835C5B" w14:textId="77777777" w:rsidR="00EA7458" w:rsidRPr="00EA7458" w:rsidRDefault="00BC1D20" w:rsidP="00664EFD">
      <w:pPr>
        <w:widowControl w:val="0"/>
        <w:numPr>
          <w:ilvl w:val="0"/>
          <w:numId w:val="9"/>
        </w:numPr>
        <w:tabs>
          <w:tab w:val="left" w:pos="373"/>
        </w:tabs>
        <w:spacing w:before="81" w:after="0" w:line="240" w:lineRule="auto"/>
        <w:ind w:left="372" w:hanging="264"/>
        <w:rPr>
          <w:rFonts w:ascii="Calibri" w:hAnsi="Calibri"/>
          <w:sz w:val="18"/>
          <w:szCs w:val="18"/>
        </w:rPr>
      </w:pPr>
      <w:hyperlink w:anchor="_bookmark56" w:history="1">
        <w:r w:rsidR="00EA7458" w:rsidRPr="00EA7458">
          <w:rPr>
            <w:rFonts w:ascii="Calibri" w:hAnsi="Calibri"/>
            <w:b/>
            <w:bCs/>
            <w:color w:val="295CA3"/>
            <w:w w:val="115"/>
            <w:sz w:val="18"/>
            <w:szCs w:val="18"/>
          </w:rPr>
          <w:t>PROGRAM-SPECIFIC REQUIREMENTS FOR CORE</w:t>
        </w:r>
        <w:r w:rsidR="00EA7458" w:rsidRPr="00EA7458">
          <w:rPr>
            <w:rFonts w:ascii="Calibri" w:hAnsi="Calibri"/>
            <w:b/>
            <w:bCs/>
            <w:color w:val="295CA3"/>
            <w:spacing w:val="-6"/>
            <w:w w:val="115"/>
            <w:sz w:val="18"/>
            <w:szCs w:val="18"/>
          </w:rPr>
          <w:t xml:space="preserve"> </w:t>
        </w:r>
        <w:r w:rsidR="00EA7458" w:rsidRPr="00EA7458">
          <w:rPr>
            <w:rFonts w:ascii="Calibri" w:hAnsi="Calibri"/>
            <w:b/>
            <w:bCs/>
            <w:color w:val="295CA3"/>
            <w:w w:val="115"/>
            <w:sz w:val="18"/>
            <w:szCs w:val="18"/>
          </w:rPr>
          <w:t>PROGRAMS–</w:t>
        </w:r>
      </w:hyperlink>
    </w:p>
    <w:p w14:paraId="287B0B84" w14:textId="0EAE8471" w:rsidR="00EA7458" w:rsidRPr="00EA7458" w:rsidRDefault="00BC1D20" w:rsidP="00EA7458">
      <w:pPr>
        <w:widowControl w:val="0"/>
        <w:tabs>
          <w:tab w:val="right" w:leader="dot" w:pos="9457"/>
        </w:tabs>
        <w:spacing w:before="20" w:after="0" w:line="240" w:lineRule="auto"/>
        <w:ind w:left="107"/>
        <w:rPr>
          <w:rFonts w:ascii="Calibri" w:hAnsi="Calibri" w:cs="Calibri"/>
          <w:sz w:val="18"/>
          <w:szCs w:val="18"/>
        </w:rPr>
      </w:pPr>
      <w:hyperlink w:anchor="_bookmark56" w:history="1">
        <w:r w:rsidR="00EA7458" w:rsidRPr="00EA7458">
          <w:rPr>
            <w:rFonts w:ascii="Gill Sans MT" w:hAnsi="Gill Sans MT"/>
            <w:b/>
            <w:bCs/>
            <w:i/>
            <w:color w:val="295CA3"/>
            <w:spacing w:val="-7"/>
            <w:sz w:val="18"/>
            <w:szCs w:val="18"/>
          </w:rPr>
          <w:t xml:space="preserve">ADULT, </w:t>
        </w:r>
        <w:r w:rsidR="00EA7458" w:rsidRPr="00EA7458">
          <w:rPr>
            <w:rFonts w:ascii="Gill Sans MT" w:hAnsi="Gill Sans MT"/>
            <w:b/>
            <w:bCs/>
            <w:i/>
            <w:color w:val="295CA3"/>
            <w:spacing w:val="-3"/>
            <w:sz w:val="18"/>
            <w:szCs w:val="18"/>
          </w:rPr>
          <w:t xml:space="preserve">DISLOCATED </w:t>
        </w:r>
        <w:r w:rsidR="00EA7458" w:rsidRPr="00EA7458">
          <w:rPr>
            <w:rFonts w:ascii="Gill Sans MT" w:hAnsi="Gill Sans MT"/>
            <w:b/>
            <w:bCs/>
            <w:i/>
            <w:color w:val="295CA3"/>
            <w:sz w:val="18"/>
            <w:szCs w:val="18"/>
          </w:rPr>
          <w:t>WORKER AND YOUTH</w:t>
        </w:r>
        <w:r w:rsidR="00EA7458" w:rsidRPr="00EA7458">
          <w:rPr>
            <w:rFonts w:ascii="Gill Sans MT" w:hAnsi="Gill Sans MT"/>
            <w:b/>
            <w:bCs/>
            <w:i/>
            <w:color w:val="295CA3"/>
            <w:spacing w:val="-12"/>
            <w:sz w:val="18"/>
            <w:szCs w:val="18"/>
          </w:rPr>
          <w:t xml:space="preserve"> </w:t>
        </w:r>
        <w:r w:rsidR="00EA7458" w:rsidRPr="00EA7458">
          <w:rPr>
            <w:rFonts w:ascii="Gill Sans MT" w:hAnsi="Gill Sans MT"/>
            <w:b/>
            <w:bCs/>
            <w:i/>
            <w:color w:val="295CA3"/>
            <w:sz w:val="18"/>
            <w:szCs w:val="18"/>
          </w:rPr>
          <w:t>ACTIVITIES</w:t>
        </w:r>
        <w:r w:rsidR="00EA7458" w:rsidRPr="00EA7458">
          <w:rPr>
            <w:rFonts w:ascii="Calibri" w:hAnsi="Gill Sans MT"/>
            <w:b/>
            <w:bCs/>
            <w:color w:val="295CA3"/>
            <w:sz w:val="18"/>
            <w:szCs w:val="18"/>
          </w:rPr>
          <w:tab/>
          <w:t>103</w:t>
        </w:r>
      </w:hyperlink>
    </w:p>
    <w:p w14:paraId="1375958E" w14:textId="77777777" w:rsidR="00EA7458" w:rsidRPr="00EA7458" w:rsidRDefault="00BC1D20" w:rsidP="00664EFD">
      <w:pPr>
        <w:widowControl w:val="0"/>
        <w:numPr>
          <w:ilvl w:val="1"/>
          <w:numId w:val="9"/>
        </w:numPr>
        <w:tabs>
          <w:tab w:val="left" w:pos="708"/>
          <w:tab w:val="right" w:leader="dot" w:pos="9457"/>
        </w:tabs>
        <w:spacing w:before="81" w:after="0" w:line="240" w:lineRule="auto"/>
        <w:rPr>
          <w:rFonts w:ascii="Calibri" w:hAnsi="Calibri"/>
          <w:sz w:val="18"/>
          <w:szCs w:val="18"/>
        </w:rPr>
      </w:pPr>
      <w:hyperlink w:anchor="_bookmark56" w:history="1">
        <w:r w:rsidR="00EA7458" w:rsidRPr="00EA7458">
          <w:rPr>
            <w:rFonts w:ascii="Calibri" w:hAnsi="Calibri"/>
            <w:b/>
            <w:bCs/>
            <w:color w:val="295CA3"/>
            <w:w w:val="110"/>
            <w:sz w:val="18"/>
            <w:szCs w:val="18"/>
          </w:rPr>
          <w:t>General Requirements</w:t>
        </w:r>
        <w:r w:rsidR="00EA7458" w:rsidRPr="00EA7458">
          <w:rPr>
            <w:rFonts w:ascii="Calibri" w:hAnsi="Calibri"/>
            <w:b/>
            <w:bCs/>
            <w:color w:val="295CA3"/>
            <w:w w:val="110"/>
            <w:sz w:val="18"/>
            <w:szCs w:val="18"/>
          </w:rPr>
          <w:tab/>
          <w:t>103</w:t>
        </w:r>
      </w:hyperlink>
    </w:p>
    <w:p w14:paraId="20F730D2" w14:textId="77777777" w:rsidR="00EA7458" w:rsidRPr="00EA7458" w:rsidRDefault="00BC1D20" w:rsidP="00664EFD">
      <w:pPr>
        <w:widowControl w:val="0"/>
        <w:numPr>
          <w:ilvl w:val="1"/>
          <w:numId w:val="9"/>
        </w:numPr>
        <w:tabs>
          <w:tab w:val="left" w:pos="708"/>
          <w:tab w:val="right" w:leader="dot" w:pos="9457"/>
        </w:tabs>
        <w:spacing w:before="81" w:after="0" w:line="240" w:lineRule="auto"/>
        <w:rPr>
          <w:rFonts w:ascii="Calibri" w:hAnsi="Calibri"/>
          <w:sz w:val="18"/>
          <w:szCs w:val="18"/>
        </w:rPr>
      </w:pPr>
      <w:hyperlink w:anchor="_bookmark58" w:history="1">
        <w:r w:rsidR="00EA7458" w:rsidRPr="00EA7458">
          <w:rPr>
            <w:rFonts w:ascii="Calibri" w:hAnsi="Calibri"/>
            <w:b/>
            <w:bCs/>
            <w:color w:val="295CA3"/>
            <w:w w:val="110"/>
            <w:sz w:val="18"/>
            <w:szCs w:val="18"/>
          </w:rPr>
          <w:t>Adult and Dislocated Worker Program</w:t>
        </w:r>
        <w:r w:rsidR="00EA7458" w:rsidRPr="00EA7458">
          <w:rPr>
            <w:rFonts w:ascii="Calibri" w:hAnsi="Calibri"/>
            <w:b/>
            <w:bCs/>
            <w:color w:val="295CA3"/>
            <w:spacing w:val="-1"/>
            <w:w w:val="110"/>
            <w:sz w:val="18"/>
            <w:szCs w:val="18"/>
          </w:rPr>
          <w:t xml:space="preserve"> </w:t>
        </w:r>
        <w:r w:rsidR="00EA7458" w:rsidRPr="00EA7458">
          <w:rPr>
            <w:rFonts w:ascii="Calibri" w:hAnsi="Calibri"/>
            <w:b/>
            <w:bCs/>
            <w:color w:val="295CA3"/>
            <w:w w:val="110"/>
            <w:sz w:val="18"/>
            <w:szCs w:val="18"/>
          </w:rPr>
          <w:t>Requirements</w:t>
        </w:r>
        <w:r w:rsidR="00EA7458" w:rsidRPr="00EA7458">
          <w:rPr>
            <w:rFonts w:ascii="Calibri" w:hAnsi="Calibri"/>
            <w:b/>
            <w:bCs/>
            <w:color w:val="295CA3"/>
            <w:w w:val="110"/>
            <w:sz w:val="18"/>
            <w:szCs w:val="18"/>
          </w:rPr>
          <w:tab/>
          <w:t>107</w:t>
        </w:r>
      </w:hyperlink>
    </w:p>
    <w:p w14:paraId="46189FA9" w14:textId="77777777" w:rsidR="00EA7458" w:rsidRPr="00EA7458" w:rsidRDefault="00BC1D20" w:rsidP="00664EFD">
      <w:pPr>
        <w:widowControl w:val="0"/>
        <w:numPr>
          <w:ilvl w:val="1"/>
          <w:numId w:val="9"/>
        </w:numPr>
        <w:tabs>
          <w:tab w:val="left" w:pos="708"/>
          <w:tab w:val="right" w:leader="dot" w:pos="9457"/>
        </w:tabs>
        <w:spacing w:before="81" w:after="0" w:line="240" w:lineRule="auto"/>
        <w:rPr>
          <w:rFonts w:ascii="Calibri" w:hAnsi="Calibri"/>
          <w:sz w:val="18"/>
          <w:szCs w:val="18"/>
        </w:rPr>
      </w:pPr>
      <w:hyperlink w:anchor="_bookmark59" w:history="1">
        <w:r w:rsidR="00EA7458" w:rsidRPr="00EA7458">
          <w:rPr>
            <w:rFonts w:ascii="Calibri" w:hAnsi="Calibri"/>
            <w:b/>
            <w:bCs/>
            <w:color w:val="295CA3"/>
            <w:spacing w:val="-4"/>
            <w:w w:val="105"/>
            <w:sz w:val="18"/>
            <w:szCs w:val="18"/>
          </w:rPr>
          <w:t xml:space="preserve">Youth </w:t>
        </w:r>
        <w:r w:rsidR="00EA7458" w:rsidRPr="00EA7458">
          <w:rPr>
            <w:rFonts w:ascii="Calibri" w:hAnsi="Calibri"/>
            <w:b/>
            <w:bCs/>
            <w:color w:val="295CA3"/>
            <w:w w:val="105"/>
            <w:sz w:val="18"/>
            <w:szCs w:val="18"/>
          </w:rPr>
          <w:t>Program</w:t>
        </w:r>
        <w:r w:rsidR="00EA7458" w:rsidRPr="00EA7458">
          <w:rPr>
            <w:rFonts w:ascii="Calibri" w:hAnsi="Calibri"/>
            <w:b/>
            <w:bCs/>
            <w:color w:val="295CA3"/>
            <w:spacing w:val="10"/>
            <w:w w:val="105"/>
            <w:sz w:val="18"/>
            <w:szCs w:val="18"/>
          </w:rPr>
          <w:t xml:space="preserve"> </w:t>
        </w:r>
        <w:r w:rsidR="00EA7458" w:rsidRPr="00EA7458">
          <w:rPr>
            <w:rFonts w:ascii="Calibri" w:hAnsi="Calibri"/>
            <w:b/>
            <w:bCs/>
            <w:color w:val="295CA3"/>
            <w:w w:val="105"/>
            <w:sz w:val="18"/>
            <w:szCs w:val="18"/>
          </w:rPr>
          <w:t>Requirements</w:t>
        </w:r>
        <w:r w:rsidR="00EA7458" w:rsidRPr="00EA7458">
          <w:rPr>
            <w:rFonts w:ascii="Calibri" w:hAnsi="Calibri"/>
            <w:b/>
            <w:bCs/>
            <w:color w:val="295CA3"/>
            <w:w w:val="105"/>
            <w:sz w:val="18"/>
            <w:szCs w:val="18"/>
          </w:rPr>
          <w:tab/>
          <w:t>110</w:t>
        </w:r>
      </w:hyperlink>
    </w:p>
    <w:p w14:paraId="39B1F927" w14:textId="77777777" w:rsidR="00EA7458" w:rsidRPr="00EA7458" w:rsidRDefault="00BC1D20" w:rsidP="00664EFD">
      <w:pPr>
        <w:widowControl w:val="0"/>
        <w:numPr>
          <w:ilvl w:val="1"/>
          <w:numId w:val="9"/>
        </w:numPr>
        <w:tabs>
          <w:tab w:val="left" w:pos="708"/>
          <w:tab w:val="right" w:leader="dot" w:pos="9457"/>
        </w:tabs>
        <w:spacing w:before="81" w:after="0" w:line="240" w:lineRule="auto"/>
        <w:rPr>
          <w:rFonts w:ascii="Calibri" w:hAnsi="Calibri"/>
          <w:sz w:val="18"/>
          <w:szCs w:val="18"/>
        </w:rPr>
      </w:pPr>
      <w:hyperlink w:anchor="_bookmark60" w:history="1">
        <w:r w:rsidR="00EA7458" w:rsidRPr="00EA7458">
          <w:rPr>
            <w:rFonts w:ascii="Calibri" w:hAnsi="Calibri"/>
            <w:b/>
            <w:bCs/>
            <w:color w:val="295CA3"/>
            <w:w w:val="110"/>
            <w:sz w:val="18"/>
            <w:szCs w:val="18"/>
          </w:rPr>
          <w:t>Single-area State Requirements</w:t>
        </w:r>
        <w:r w:rsidR="00EA7458" w:rsidRPr="00EA7458">
          <w:rPr>
            <w:rFonts w:ascii="Calibri" w:hAnsi="Calibri"/>
            <w:b/>
            <w:bCs/>
            <w:color w:val="295CA3"/>
            <w:w w:val="110"/>
            <w:sz w:val="18"/>
            <w:szCs w:val="18"/>
          </w:rPr>
          <w:tab/>
          <w:t>112</w:t>
        </w:r>
      </w:hyperlink>
    </w:p>
    <w:p w14:paraId="7BB01013" w14:textId="77777777" w:rsidR="00EA7458" w:rsidRPr="00EA7458" w:rsidRDefault="00BC1D20" w:rsidP="00664EFD">
      <w:pPr>
        <w:widowControl w:val="0"/>
        <w:numPr>
          <w:ilvl w:val="1"/>
          <w:numId w:val="9"/>
        </w:numPr>
        <w:tabs>
          <w:tab w:val="left" w:pos="708"/>
          <w:tab w:val="right" w:leader="dot" w:pos="9457"/>
        </w:tabs>
        <w:spacing w:before="81" w:after="0" w:line="240" w:lineRule="auto"/>
        <w:rPr>
          <w:rFonts w:ascii="Calibri" w:hAnsi="Calibri"/>
          <w:sz w:val="18"/>
          <w:szCs w:val="18"/>
        </w:rPr>
      </w:pPr>
      <w:hyperlink w:anchor="_bookmark60" w:history="1">
        <w:r w:rsidR="00EA7458" w:rsidRPr="00EA7458">
          <w:rPr>
            <w:rFonts w:ascii="Calibri" w:hAnsi="Calibri"/>
            <w:b/>
            <w:bCs/>
            <w:color w:val="295CA3"/>
            <w:w w:val="105"/>
            <w:sz w:val="18"/>
            <w:szCs w:val="18"/>
          </w:rPr>
          <w:t>Waiver Requests</w:t>
        </w:r>
        <w:r w:rsidR="00EA7458" w:rsidRPr="00EA7458">
          <w:rPr>
            <w:rFonts w:ascii="Calibri" w:hAnsi="Calibri"/>
            <w:b/>
            <w:bCs/>
            <w:color w:val="295CA3"/>
            <w:spacing w:val="5"/>
            <w:w w:val="105"/>
            <w:sz w:val="18"/>
            <w:szCs w:val="18"/>
          </w:rPr>
          <w:t xml:space="preserve"> </w:t>
        </w:r>
        <w:r w:rsidR="00EA7458" w:rsidRPr="00EA7458">
          <w:rPr>
            <w:rFonts w:ascii="Calibri" w:hAnsi="Calibri"/>
            <w:b/>
            <w:bCs/>
            <w:color w:val="295CA3"/>
            <w:w w:val="105"/>
            <w:sz w:val="18"/>
            <w:szCs w:val="18"/>
          </w:rPr>
          <w:t>(optional)</w:t>
        </w:r>
        <w:r w:rsidR="00EA7458" w:rsidRPr="00EA7458">
          <w:rPr>
            <w:rFonts w:ascii="Calibri" w:hAnsi="Calibri"/>
            <w:b/>
            <w:bCs/>
            <w:color w:val="295CA3"/>
            <w:w w:val="105"/>
            <w:sz w:val="18"/>
            <w:szCs w:val="18"/>
          </w:rPr>
          <w:tab/>
          <w:t>112</w:t>
        </w:r>
      </w:hyperlink>
    </w:p>
    <w:p w14:paraId="2C65B0F9" w14:textId="77777777" w:rsidR="00EA7458" w:rsidRPr="00EA7458" w:rsidRDefault="00BC1D20" w:rsidP="00EA7458">
      <w:pPr>
        <w:widowControl w:val="0"/>
        <w:tabs>
          <w:tab w:val="right" w:leader="dot" w:pos="9457"/>
        </w:tabs>
        <w:spacing w:before="81" w:after="0" w:line="240" w:lineRule="auto"/>
        <w:ind w:left="107"/>
        <w:rPr>
          <w:rFonts w:ascii="Calibri" w:hAnsi="Calibri"/>
          <w:sz w:val="18"/>
          <w:szCs w:val="18"/>
        </w:rPr>
      </w:pPr>
      <w:hyperlink w:anchor="_bookmark61" w:history="1">
        <w:r w:rsidR="00EA7458" w:rsidRPr="00EA7458">
          <w:rPr>
            <w:rFonts w:ascii="Calibri" w:hAnsi="Calibri"/>
            <w:b/>
            <w:bCs/>
            <w:color w:val="295CA3"/>
            <w:w w:val="110"/>
            <w:sz w:val="18"/>
            <w:szCs w:val="18"/>
          </w:rPr>
          <w:t>TITLE I-B</w:t>
        </w:r>
        <w:r w:rsidR="00EA7458" w:rsidRPr="00EA7458">
          <w:rPr>
            <w:rFonts w:ascii="Calibri" w:hAnsi="Calibri"/>
            <w:b/>
            <w:bCs/>
            <w:color w:val="295CA3"/>
            <w:spacing w:val="2"/>
            <w:w w:val="110"/>
            <w:sz w:val="18"/>
            <w:szCs w:val="18"/>
          </w:rPr>
          <w:t xml:space="preserve"> </w:t>
        </w:r>
        <w:r w:rsidR="00EA7458" w:rsidRPr="00EA7458">
          <w:rPr>
            <w:rFonts w:ascii="Calibri" w:hAnsi="Calibri"/>
            <w:b/>
            <w:bCs/>
            <w:color w:val="295CA3"/>
            <w:w w:val="110"/>
            <w:sz w:val="18"/>
            <w:szCs w:val="18"/>
          </w:rPr>
          <w:t>ASSURANCES</w:t>
        </w:r>
        <w:r w:rsidR="00EA7458" w:rsidRPr="00EA7458">
          <w:rPr>
            <w:rFonts w:ascii="Calibri" w:hAnsi="Calibri"/>
            <w:b/>
            <w:bCs/>
            <w:color w:val="295CA3"/>
            <w:w w:val="110"/>
            <w:sz w:val="18"/>
            <w:szCs w:val="18"/>
          </w:rPr>
          <w:tab/>
          <w:t>113</w:t>
        </w:r>
      </w:hyperlink>
    </w:p>
    <w:p w14:paraId="544314E6" w14:textId="77777777" w:rsidR="00EA7458" w:rsidRPr="00EA7458" w:rsidRDefault="00BC1D20" w:rsidP="00664EFD">
      <w:pPr>
        <w:widowControl w:val="0"/>
        <w:numPr>
          <w:ilvl w:val="0"/>
          <w:numId w:val="9"/>
        </w:numPr>
        <w:tabs>
          <w:tab w:val="left" w:pos="422"/>
          <w:tab w:val="right" w:leader="dot" w:pos="9457"/>
        </w:tabs>
        <w:spacing w:before="81" w:after="0" w:line="240" w:lineRule="auto"/>
        <w:ind w:left="421" w:hanging="313"/>
        <w:rPr>
          <w:rFonts w:ascii="Calibri" w:hAnsi="Calibri"/>
          <w:sz w:val="18"/>
          <w:szCs w:val="18"/>
        </w:rPr>
      </w:pPr>
      <w:hyperlink w:anchor="_bookmark62" w:history="1">
        <w:r w:rsidR="00EA7458" w:rsidRPr="00EA7458">
          <w:rPr>
            <w:rFonts w:ascii="Calibri" w:hAnsi="Calibri"/>
            <w:b/>
            <w:bCs/>
            <w:color w:val="295CA3"/>
            <w:w w:val="110"/>
            <w:sz w:val="18"/>
            <w:szCs w:val="18"/>
          </w:rPr>
          <w:t>PROGRAM-SPECIFIC</w:t>
        </w:r>
        <w:r w:rsidR="00EA7458" w:rsidRPr="00EA7458">
          <w:rPr>
            <w:rFonts w:ascii="Calibri" w:hAnsi="Calibri"/>
            <w:b/>
            <w:bCs/>
            <w:color w:val="295CA3"/>
            <w:spacing w:val="-5"/>
            <w:w w:val="110"/>
            <w:sz w:val="18"/>
            <w:szCs w:val="18"/>
          </w:rPr>
          <w:t xml:space="preserve"> </w:t>
        </w:r>
        <w:r w:rsidR="00EA7458" w:rsidRPr="00EA7458">
          <w:rPr>
            <w:rFonts w:ascii="Calibri" w:hAnsi="Calibri"/>
            <w:b/>
            <w:bCs/>
            <w:color w:val="295CA3"/>
            <w:w w:val="110"/>
            <w:sz w:val="18"/>
            <w:szCs w:val="18"/>
          </w:rPr>
          <w:t>REQUIREMENTS</w:t>
        </w:r>
        <w:r w:rsidR="00EA7458" w:rsidRPr="00EA7458">
          <w:rPr>
            <w:rFonts w:ascii="Calibri" w:hAnsi="Calibri"/>
            <w:b/>
            <w:bCs/>
            <w:color w:val="295CA3"/>
            <w:spacing w:val="-5"/>
            <w:w w:val="110"/>
            <w:sz w:val="18"/>
            <w:szCs w:val="18"/>
          </w:rPr>
          <w:t xml:space="preserve"> </w:t>
        </w:r>
        <w:r w:rsidR="00EA7458" w:rsidRPr="00EA7458">
          <w:rPr>
            <w:rFonts w:ascii="Calibri" w:hAnsi="Calibri"/>
            <w:b/>
            <w:bCs/>
            <w:color w:val="295CA3"/>
            <w:w w:val="110"/>
            <w:sz w:val="18"/>
            <w:szCs w:val="18"/>
          </w:rPr>
          <w:t>FOR</w:t>
        </w:r>
        <w:r w:rsidR="00EA7458" w:rsidRPr="00EA7458">
          <w:rPr>
            <w:rFonts w:ascii="Calibri" w:hAnsi="Calibri"/>
            <w:b/>
            <w:bCs/>
            <w:color w:val="295CA3"/>
            <w:spacing w:val="-5"/>
            <w:w w:val="110"/>
            <w:sz w:val="18"/>
            <w:szCs w:val="18"/>
          </w:rPr>
          <w:t xml:space="preserve"> </w:t>
        </w:r>
        <w:r w:rsidR="00EA7458" w:rsidRPr="00EA7458">
          <w:rPr>
            <w:rFonts w:ascii="Calibri" w:hAnsi="Calibri"/>
            <w:b/>
            <w:bCs/>
            <w:color w:val="295CA3"/>
            <w:w w:val="110"/>
            <w:sz w:val="18"/>
            <w:szCs w:val="18"/>
          </w:rPr>
          <w:t>CORE</w:t>
        </w:r>
        <w:r w:rsidR="00EA7458" w:rsidRPr="00EA7458">
          <w:rPr>
            <w:rFonts w:ascii="Calibri" w:hAnsi="Calibri"/>
            <w:b/>
            <w:bCs/>
            <w:color w:val="295CA3"/>
            <w:spacing w:val="-5"/>
            <w:w w:val="110"/>
            <w:sz w:val="18"/>
            <w:szCs w:val="18"/>
          </w:rPr>
          <w:t xml:space="preserve"> </w:t>
        </w:r>
        <w:r w:rsidR="00EA7458" w:rsidRPr="00EA7458">
          <w:rPr>
            <w:rFonts w:ascii="Calibri" w:hAnsi="Calibri"/>
            <w:b/>
            <w:bCs/>
            <w:color w:val="295CA3"/>
            <w:w w:val="110"/>
            <w:sz w:val="18"/>
            <w:szCs w:val="18"/>
          </w:rPr>
          <w:t>PROGRAMS–</w:t>
        </w:r>
        <w:r w:rsidR="00EA7458" w:rsidRPr="00EA7458">
          <w:rPr>
            <w:rFonts w:ascii="Gill Sans MT" w:hAnsi="Gill Sans MT" w:cs="Gill Sans MT"/>
            <w:b/>
            <w:bCs/>
            <w:i/>
            <w:color w:val="295CA3"/>
            <w:w w:val="110"/>
            <w:sz w:val="18"/>
            <w:szCs w:val="18"/>
          </w:rPr>
          <w:t>WAGNER-PEYSER</w:t>
        </w:r>
        <w:r w:rsidR="00EA7458" w:rsidRPr="00EA7458">
          <w:rPr>
            <w:rFonts w:ascii="Gill Sans MT" w:hAnsi="Gill Sans MT" w:cs="Gill Sans MT"/>
            <w:b/>
            <w:bCs/>
            <w:i/>
            <w:color w:val="295CA3"/>
            <w:spacing w:val="-15"/>
            <w:w w:val="110"/>
            <w:sz w:val="18"/>
            <w:szCs w:val="18"/>
          </w:rPr>
          <w:t xml:space="preserve"> </w:t>
        </w:r>
        <w:r w:rsidR="00EA7458" w:rsidRPr="00EA7458">
          <w:rPr>
            <w:rFonts w:ascii="Gill Sans MT" w:hAnsi="Gill Sans MT" w:cs="Gill Sans MT"/>
            <w:b/>
            <w:bCs/>
            <w:i/>
            <w:color w:val="295CA3"/>
            <w:spacing w:val="-4"/>
            <w:w w:val="110"/>
            <w:sz w:val="18"/>
            <w:szCs w:val="18"/>
          </w:rPr>
          <w:t>ACT</w:t>
        </w:r>
        <w:r w:rsidR="00EA7458" w:rsidRPr="00EA7458">
          <w:rPr>
            <w:rFonts w:ascii="Gill Sans MT" w:hAnsi="Gill Sans MT" w:cs="Gill Sans MT"/>
            <w:b/>
            <w:bCs/>
            <w:i/>
            <w:color w:val="295CA3"/>
            <w:spacing w:val="-15"/>
            <w:w w:val="110"/>
            <w:sz w:val="18"/>
            <w:szCs w:val="18"/>
          </w:rPr>
          <w:t xml:space="preserve"> </w:t>
        </w:r>
        <w:r w:rsidR="00EA7458" w:rsidRPr="00EA7458">
          <w:rPr>
            <w:rFonts w:ascii="Gill Sans MT" w:hAnsi="Gill Sans MT" w:cs="Gill Sans MT"/>
            <w:b/>
            <w:bCs/>
            <w:i/>
            <w:color w:val="295CA3"/>
            <w:w w:val="110"/>
            <w:sz w:val="18"/>
            <w:szCs w:val="18"/>
          </w:rPr>
          <w:t>PROGRAM</w:t>
        </w:r>
        <w:r w:rsidR="00EA7458" w:rsidRPr="00EA7458">
          <w:rPr>
            <w:rFonts w:ascii="Calibri" w:hAnsi="Calibri"/>
            <w:b/>
            <w:bCs/>
            <w:color w:val="295CA3"/>
            <w:w w:val="110"/>
            <w:sz w:val="18"/>
            <w:szCs w:val="18"/>
          </w:rPr>
          <w:tab/>
          <w:t>115</w:t>
        </w:r>
      </w:hyperlink>
    </w:p>
    <w:p w14:paraId="2C85B098" w14:textId="77777777" w:rsidR="00EA7458" w:rsidRPr="00EA7458" w:rsidRDefault="00BC1D20" w:rsidP="00664EFD">
      <w:pPr>
        <w:widowControl w:val="0"/>
        <w:numPr>
          <w:ilvl w:val="1"/>
          <w:numId w:val="9"/>
        </w:numPr>
        <w:tabs>
          <w:tab w:val="left" w:pos="708"/>
          <w:tab w:val="right" w:leader="dot" w:pos="9457"/>
        </w:tabs>
        <w:spacing w:before="81" w:after="0" w:line="240" w:lineRule="auto"/>
        <w:rPr>
          <w:rFonts w:ascii="Calibri" w:hAnsi="Calibri"/>
          <w:sz w:val="18"/>
          <w:szCs w:val="18"/>
        </w:rPr>
      </w:pPr>
      <w:hyperlink w:anchor="_bookmark62" w:history="1">
        <w:r w:rsidR="00EA7458" w:rsidRPr="00EA7458">
          <w:rPr>
            <w:rFonts w:ascii="Calibri" w:hAnsi="Calibri"/>
            <w:b/>
            <w:bCs/>
            <w:color w:val="295CA3"/>
            <w:w w:val="110"/>
            <w:sz w:val="18"/>
            <w:szCs w:val="18"/>
          </w:rPr>
          <w:t>Employment Service Professional Staff Development</w:t>
        </w:r>
        <w:r w:rsidR="00EA7458" w:rsidRPr="00EA7458">
          <w:rPr>
            <w:rFonts w:ascii="Calibri" w:hAnsi="Calibri"/>
            <w:b/>
            <w:bCs/>
            <w:color w:val="295CA3"/>
            <w:w w:val="110"/>
            <w:sz w:val="18"/>
            <w:szCs w:val="18"/>
          </w:rPr>
          <w:tab/>
          <w:t>115</w:t>
        </w:r>
      </w:hyperlink>
    </w:p>
    <w:p w14:paraId="1FD4866C" w14:textId="77777777" w:rsidR="00EA7458" w:rsidRPr="00EA7458" w:rsidRDefault="00BC1D20" w:rsidP="00664EFD">
      <w:pPr>
        <w:widowControl w:val="0"/>
        <w:numPr>
          <w:ilvl w:val="1"/>
          <w:numId w:val="9"/>
        </w:numPr>
        <w:tabs>
          <w:tab w:val="left" w:pos="708"/>
          <w:tab w:val="right" w:leader="dot" w:pos="9457"/>
        </w:tabs>
        <w:spacing w:before="81" w:after="0" w:line="240" w:lineRule="auto"/>
        <w:rPr>
          <w:rFonts w:ascii="Calibri" w:hAnsi="Calibri"/>
          <w:sz w:val="18"/>
          <w:szCs w:val="18"/>
        </w:rPr>
      </w:pPr>
      <w:hyperlink w:anchor="_bookmark63" w:history="1">
        <w:r w:rsidR="00EA7458" w:rsidRPr="00EA7458">
          <w:rPr>
            <w:rFonts w:ascii="Calibri" w:hAnsi="Calibri"/>
            <w:b/>
            <w:bCs/>
            <w:color w:val="295CA3"/>
            <w:w w:val="105"/>
            <w:sz w:val="18"/>
            <w:szCs w:val="18"/>
          </w:rPr>
          <w:t>Assistance in Unemployment Compensation Claims Through One-Stop Career</w:t>
        </w:r>
        <w:r w:rsidR="00EA7458" w:rsidRPr="00EA7458">
          <w:rPr>
            <w:rFonts w:ascii="Calibri" w:hAnsi="Calibri"/>
            <w:b/>
            <w:bCs/>
            <w:color w:val="295CA3"/>
            <w:spacing w:val="35"/>
            <w:w w:val="105"/>
            <w:sz w:val="18"/>
            <w:szCs w:val="18"/>
          </w:rPr>
          <w:t xml:space="preserve"> </w:t>
        </w:r>
        <w:r w:rsidR="00EA7458" w:rsidRPr="00EA7458">
          <w:rPr>
            <w:rFonts w:ascii="Calibri" w:hAnsi="Calibri"/>
            <w:b/>
            <w:bCs/>
            <w:color w:val="295CA3"/>
            <w:w w:val="105"/>
            <w:sz w:val="18"/>
            <w:szCs w:val="18"/>
          </w:rPr>
          <w:t>Centers</w:t>
        </w:r>
        <w:r w:rsidR="00EA7458" w:rsidRPr="00EA7458">
          <w:rPr>
            <w:rFonts w:ascii="Calibri" w:hAnsi="Calibri"/>
            <w:b/>
            <w:bCs/>
            <w:color w:val="295CA3"/>
            <w:w w:val="105"/>
            <w:sz w:val="18"/>
            <w:szCs w:val="18"/>
          </w:rPr>
          <w:tab/>
          <w:t>116</w:t>
        </w:r>
      </w:hyperlink>
    </w:p>
    <w:p w14:paraId="3735907C" w14:textId="37A5DCD8" w:rsidR="00EA7458" w:rsidRPr="00EA7458" w:rsidRDefault="00BC1D20" w:rsidP="00664EFD">
      <w:pPr>
        <w:widowControl w:val="0"/>
        <w:numPr>
          <w:ilvl w:val="1"/>
          <w:numId w:val="9"/>
        </w:numPr>
        <w:tabs>
          <w:tab w:val="left" w:pos="708"/>
          <w:tab w:val="right" w:leader="dot" w:pos="9457"/>
        </w:tabs>
        <w:spacing w:before="81" w:after="0" w:line="240" w:lineRule="auto"/>
        <w:rPr>
          <w:rFonts w:ascii="Calibri" w:hAnsi="Calibri"/>
          <w:sz w:val="18"/>
          <w:szCs w:val="18"/>
        </w:rPr>
      </w:pPr>
      <w:hyperlink w:anchor="_bookmark63" w:history="1">
        <w:r w:rsidR="00EA7458" w:rsidRPr="00EA7458">
          <w:rPr>
            <w:rFonts w:ascii="Calibri" w:hAnsi="Calibri"/>
            <w:b/>
            <w:bCs/>
            <w:color w:val="295CA3"/>
            <w:w w:val="110"/>
            <w:sz w:val="18"/>
            <w:szCs w:val="18"/>
          </w:rPr>
          <w:t>Assistance to U</w:t>
        </w:r>
        <w:r w:rsidR="006501C8">
          <w:rPr>
            <w:rFonts w:ascii="Calibri" w:hAnsi="Calibri"/>
            <w:b/>
            <w:bCs/>
            <w:color w:val="295CA3"/>
            <w:w w:val="110"/>
            <w:sz w:val="18"/>
            <w:szCs w:val="18"/>
          </w:rPr>
          <w:t xml:space="preserve">nemployment </w:t>
        </w:r>
        <w:r w:rsidR="00EA7458" w:rsidRPr="00EA7458">
          <w:rPr>
            <w:rFonts w:ascii="Calibri" w:hAnsi="Calibri"/>
            <w:b/>
            <w:bCs/>
            <w:color w:val="295CA3"/>
            <w:w w:val="110"/>
            <w:sz w:val="18"/>
            <w:szCs w:val="18"/>
          </w:rPr>
          <w:t>I</w:t>
        </w:r>
        <w:r w:rsidR="006501C8">
          <w:rPr>
            <w:rFonts w:ascii="Calibri" w:hAnsi="Calibri"/>
            <w:b/>
            <w:bCs/>
            <w:color w:val="295CA3"/>
            <w:w w:val="110"/>
            <w:sz w:val="18"/>
            <w:szCs w:val="18"/>
          </w:rPr>
          <w:t>nsurance</w:t>
        </w:r>
        <w:r w:rsidR="00EA7458" w:rsidRPr="00EA7458">
          <w:rPr>
            <w:rFonts w:ascii="Calibri" w:hAnsi="Calibri"/>
            <w:b/>
            <w:bCs/>
            <w:color w:val="295CA3"/>
            <w:w w:val="110"/>
            <w:sz w:val="18"/>
            <w:szCs w:val="18"/>
          </w:rPr>
          <w:t xml:space="preserve"> Claimants and Other Unemployed</w:t>
        </w:r>
        <w:r w:rsidR="00EA7458" w:rsidRPr="00EA7458">
          <w:rPr>
            <w:rFonts w:ascii="Calibri" w:hAnsi="Calibri"/>
            <w:b/>
            <w:bCs/>
            <w:color w:val="295CA3"/>
            <w:spacing w:val="-1"/>
            <w:w w:val="110"/>
            <w:sz w:val="18"/>
            <w:szCs w:val="18"/>
          </w:rPr>
          <w:t xml:space="preserve"> </w:t>
        </w:r>
        <w:r w:rsidR="00EA7458" w:rsidRPr="00EA7458">
          <w:rPr>
            <w:rFonts w:ascii="Calibri" w:hAnsi="Calibri"/>
            <w:b/>
            <w:bCs/>
            <w:color w:val="295CA3"/>
            <w:w w:val="110"/>
            <w:sz w:val="18"/>
            <w:szCs w:val="18"/>
          </w:rPr>
          <w:t>Individuals</w:t>
        </w:r>
        <w:r w:rsidR="00EA7458" w:rsidRPr="00EA7458">
          <w:rPr>
            <w:rFonts w:ascii="Calibri" w:hAnsi="Calibri"/>
            <w:b/>
            <w:bCs/>
            <w:color w:val="295CA3"/>
            <w:w w:val="110"/>
            <w:sz w:val="18"/>
            <w:szCs w:val="18"/>
          </w:rPr>
          <w:tab/>
          <w:t>116</w:t>
        </w:r>
      </w:hyperlink>
    </w:p>
    <w:p w14:paraId="1CF4C82E" w14:textId="77777777" w:rsidR="00EA7458" w:rsidRPr="00EA7458" w:rsidRDefault="00BC1D20" w:rsidP="00664EFD">
      <w:pPr>
        <w:widowControl w:val="0"/>
        <w:numPr>
          <w:ilvl w:val="1"/>
          <w:numId w:val="9"/>
        </w:numPr>
        <w:tabs>
          <w:tab w:val="left" w:pos="708"/>
          <w:tab w:val="right" w:leader="dot" w:pos="9457"/>
        </w:tabs>
        <w:spacing w:before="81" w:after="0" w:line="240" w:lineRule="auto"/>
        <w:rPr>
          <w:rFonts w:ascii="Calibri" w:hAnsi="Calibri"/>
          <w:sz w:val="18"/>
          <w:szCs w:val="18"/>
        </w:rPr>
      </w:pPr>
      <w:hyperlink w:anchor="_bookmark64" w:history="1">
        <w:r w:rsidR="00EA7458" w:rsidRPr="00EA7458">
          <w:rPr>
            <w:rFonts w:ascii="Calibri" w:hAnsi="Calibri"/>
            <w:b/>
            <w:bCs/>
            <w:color w:val="295CA3"/>
            <w:spacing w:val="-3"/>
            <w:w w:val="105"/>
            <w:sz w:val="18"/>
            <w:szCs w:val="18"/>
          </w:rPr>
          <w:t xml:space="preserve">W-P </w:t>
        </w:r>
        <w:r w:rsidR="00EA7458" w:rsidRPr="00EA7458">
          <w:rPr>
            <w:rFonts w:ascii="Calibri" w:hAnsi="Calibri"/>
            <w:b/>
            <w:bCs/>
            <w:color w:val="295CA3"/>
            <w:w w:val="105"/>
            <w:sz w:val="18"/>
            <w:szCs w:val="18"/>
          </w:rPr>
          <w:t>Funds to Support UI</w:t>
        </w:r>
        <w:r w:rsidR="00EA7458" w:rsidRPr="00EA7458">
          <w:rPr>
            <w:rFonts w:ascii="Calibri" w:hAnsi="Calibri"/>
            <w:b/>
            <w:bCs/>
            <w:color w:val="295CA3"/>
            <w:spacing w:val="20"/>
            <w:w w:val="105"/>
            <w:sz w:val="18"/>
            <w:szCs w:val="18"/>
          </w:rPr>
          <w:t xml:space="preserve"> </w:t>
        </w:r>
        <w:r w:rsidR="00EA7458" w:rsidRPr="00EA7458">
          <w:rPr>
            <w:rFonts w:ascii="Calibri" w:hAnsi="Calibri"/>
            <w:b/>
            <w:bCs/>
            <w:color w:val="295CA3"/>
            <w:w w:val="105"/>
            <w:sz w:val="18"/>
            <w:szCs w:val="18"/>
          </w:rPr>
          <w:t>Claimants</w:t>
        </w:r>
        <w:r w:rsidR="00EA7458" w:rsidRPr="00EA7458">
          <w:rPr>
            <w:rFonts w:ascii="Calibri" w:hAnsi="Calibri"/>
            <w:b/>
            <w:bCs/>
            <w:color w:val="295CA3"/>
            <w:w w:val="105"/>
            <w:sz w:val="18"/>
            <w:szCs w:val="18"/>
          </w:rPr>
          <w:tab/>
          <w:t>118</w:t>
        </w:r>
      </w:hyperlink>
    </w:p>
    <w:p w14:paraId="75B04C19" w14:textId="77777777" w:rsidR="00EA7458" w:rsidRPr="00EA7458" w:rsidRDefault="00BC1D20" w:rsidP="00664EFD">
      <w:pPr>
        <w:widowControl w:val="0"/>
        <w:numPr>
          <w:ilvl w:val="1"/>
          <w:numId w:val="9"/>
        </w:numPr>
        <w:tabs>
          <w:tab w:val="left" w:pos="708"/>
          <w:tab w:val="right" w:leader="dot" w:pos="9457"/>
        </w:tabs>
        <w:spacing w:before="81" w:after="0" w:line="240" w:lineRule="auto"/>
        <w:rPr>
          <w:rFonts w:ascii="Calibri" w:hAnsi="Calibri"/>
          <w:sz w:val="18"/>
          <w:szCs w:val="18"/>
        </w:rPr>
      </w:pPr>
      <w:hyperlink w:anchor="_bookmark65" w:history="1">
        <w:r w:rsidR="00EA7458" w:rsidRPr="00EA7458">
          <w:rPr>
            <w:rFonts w:ascii="Calibri" w:hAnsi="Calibri"/>
            <w:b/>
            <w:bCs/>
            <w:color w:val="295CA3"/>
            <w:w w:val="110"/>
            <w:sz w:val="18"/>
            <w:szCs w:val="18"/>
          </w:rPr>
          <w:t>Agricultural Outreach Plan</w:t>
        </w:r>
        <w:r w:rsidR="00EA7458" w:rsidRPr="00EA7458">
          <w:rPr>
            <w:rFonts w:ascii="Calibri" w:hAnsi="Calibri"/>
            <w:b/>
            <w:bCs/>
            <w:color w:val="295CA3"/>
            <w:spacing w:val="2"/>
            <w:w w:val="110"/>
            <w:sz w:val="18"/>
            <w:szCs w:val="18"/>
          </w:rPr>
          <w:t xml:space="preserve"> </w:t>
        </w:r>
        <w:r w:rsidR="00EA7458" w:rsidRPr="00EA7458">
          <w:rPr>
            <w:rFonts w:ascii="Calibri" w:hAnsi="Calibri"/>
            <w:b/>
            <w:bCs/>
            <w:color w:val="295CA3"/>
            <w:w w:val="110"/>
            <w:sz w:val="18"/>
            <w:szCs w:val="18"/>
          </w:rPr>
          <w:t>(AOP)</w:t>
        </w:r>
        <w:r w:rsidR="00EA7458" w:rsidRPr="00EA7458">
          <w:rPr>
            <w:rFonts w:ascii="Calibri" w:hAnsi="Calibri"/>
            <w:b/>
            <w:bCs/>
            <w:color w:val="295CA3"/>
            <w:w w:val="110"/>
            <w:sz w:val="18"/>
            <w:szCs w:val="18"/>
          </w:rPr>
          <w:tab/>
          <w:t>120</w:t>
        </w:r>
      </w:hyperlink>
    </w:p>
    <w:p w14:paraId="07644E8D" w14:textId="77777777" w:rsidR="00EA7458" w:rsidRPr="00EA7458" w:rsidRDefault="00BC1D20" w:rsidP="00664EFD">
      <w:pPr>
        <w:widowControl w:val="0"/>
        <w:numPr>
          <w:ilvl w:val="0"/>
          <w:numId w:val="9"/>
        </w:numPr>
        <w:tabs>
          <w:tab w:val="left" w:pos="472"/>
        </w:tabs>
        <w:spacing w:before="81" w:after="0" w:line="240" w:lineRule="auto"/>
        <w:ind w:left="471" w:hanging="363"/>
        <w:rPr>
          <w:rFonts w:ascii="Gill Sans MT" w:hAnsi="Gill Sans MT" w:cs="Gill Sans MT"/>
          <w:sz w:val="18"/>
          <w:szCs w:val="18"/>
        </w:rPr>
      </w:pPr>
      <w:hyperlink w:anchor="_bookmark67" w:history="1">
        <w:r w:rsidR="00EA7458" w:rsidRPr="00EA7458">
          <w:rPr>
            <w:rFonts w:ascii="Calibri" w:hAnsi="Calibri"/>
            <w:b/>
            <w:bCs/>
            <w:color w:val="295CA3"/>
            <w:w w:val="115"/>
            <w:sz w:val="18"/>
            <w:szCs w:val="18"/>
          </w:rPr>
          <w:t>PROGRAM-SPECIFIC REQUIREMENTS FOR CORE</w:t>
        </w:r>
        <w:r w:rsidR="00EA7458" w:rsidRPr="00EA7458">
          <w:rPr>
            <w:rFonts w:ascii="Calibri" w:hAnsi="Calibri"/>
            <w:b/>
            <w:bCs/>
            <w:color w:val="295CA3"/>
            <w:spacing w:val="-6"/>
            <w:w w:val="115"/>
            <w:sz w:val="18"/>
            <w:szCs w:val="18"/>
          </w:rPr>
          <w:t xml:space="preserve"> </w:t>
        </w:r>
        <w:r w:rsidR="00EA7458" w:rsidRPr="00EA7458">
          <w:rPr>
            <w:rFonts w:ascii="Calibri" w:hAnsi="Calibri"/>
            <w:b/>
            <w:bCs/>
            <w:color w:val="295CA3"/>
            <w:w w:val="115"/>
            <w:sz w:val="18"/>
            <w:szCs w:val="18"/>
          </w:rPr>
          <w:t>PROGRAMS</w:t>
        </w:r>
        <w:r w:rsidR="00EA7458" w:rsidRPr="00EA7458">
          <w:rPr>
            <w:rFonts w:ascii="Gill Sans MT" w:hAnsi="Gill Sans MT" w:cs="Gill Sans MT"/>
            <w:b/>
            <w:bCs/>
            <w:i/>
            <w:color w:val="295CA3"/>
            <w:w w:val="115"/>
            <w:sz w:val="18"/>
            <w:szCs w:val="18"/>
          </w:rPr>
          <w:t>–</w:t>
        </w:r>
      </w:hyperlink>
    </w:p>
    <w:p w14:paraId="2E262741" w14:textId="77777777" w:rsidR="00EA7458" w:rsidRPr="00EA7458" w:rsidRDefault="00BC1D20" w:rsidP="00EA7458">
      <w:pPr>
        <w:widowControl w:val="0"/>
        <w:tabs>
          <w:tab w:val="right" w:leader="dot" w:pos="9457"/>
        </w:tabs>
        <w:spacing w:before="20" w:after="0" w:line="240" w:lineRule="auto"/>
        <w:ind w:left="107"/>
        <w:rPr>
          <w:rFonts w:ascii="Calibri" w:hAnsi="Calibri" w:cs="Calibri"/>
          <w:sz w:val="18"/>
          <w:szCs w:val="18"/>
        </w:rPr>
      </w:pPr>
      <w:hyperlink w:anchor="_bookmark67" w:history="1">
        <w:r w:rsidR="00EA7458" w:rsidRPr="00EA7458">
          <w:rPr>
            <w:rFonts w:ascii="Gill Sans MT" w:hAnsi="Gill Sans MT"/>
            <w:b/>
            <w:bCs/>
            <w:i/>
            <w:color w:val="295CA3"/>
            <w:spacing w:val="-4"/>
            <w:sz w:val="18"/>
            <w:szCs w:val="18"/>
          </w:rPr>
          <w:t xml:space="preserve">ADULT </w:t>
        </w:r>
        <w:r w:rsidR="00EA7458" w:rsidRPr="00EA7458">
          <w:rPr>
            <w:rFonts w:ascii="Gill Sans MT" w:hAnsi="Gill Sans MT"/>
            <w:b/>
            <w:bCs/>
            <w:i/>
            <w:color w:val="295CA3"/>
            <w:sz w:val="18"/>
            <w:szCs w:val="18"/>
          </w:rPr>
          <w:t xml:space="preserve">EDUCATION AND </w:t>
        </w:r>
        <w:r w:rsidR="00EA7458" w:rsidRPr="00EA7458">
          <w:rPr>
            <w:rFonts w:ascii="Gill Sans MT" w:hAnsi="Gill Sans MT"/>
            <w:b/>
            <w:bCs/>
            <w:i/>
            <w:color w:val="295CA3"/>
            <w:spacing w:val="-6"/>
            <w:sz w:val="18"/>
            <w:szCs w:val="18"/>
          </w:rPr>
          <w:t xml:space="preserve">FAMILY </w:t>
        </w:r>
        <w:r w:rsidR="00EA7458" w:rsidRPr="00EA7458">
          <w:rPr>
            <w:rFonts w:ascii="Gill Sans MT" w:hAnsi="Gill Sans MT"/>
            <w:b/>
            <w:bCs/>
            <w:i/>
            <w:color w:val="295CA3"/>
            <w:sz w:val="18"/>
            <w:szCs w:val="18"/>
          </w:rPr>
          <w:t>LITERACY</w:t>
        </w:r>
        <w:r w:rsidR="00EA7458" w:rsidRPr="00EA7458">
          <w:rPr>
            <w:rFonts w:ascii="Gill Sans MT" w:hAnsi="Gill Sans MT"/>
            <w:b/>
            <w:bCs/>
            <w:i/>
            <w:color w:val="295CA3"/>
            <w:spacing w:val="-11"/>
            <w:sz w:val="18"/>
            <w:szCs w:val="18"/>
          </w:rPr>
          <w:t xml:space="preserve"> </w:t>
        </w:r>
        <w:r w:rsidR="00EA7458" w:rsidRPr="00EA7458">
          <w:rPr>
            <w:rFonts w:ascii="Gill Sans MT" w:hAnsi="Gill Sans MT"/>
            <w:b/>
            <w:bCs/>
            <w:i/>
            <w:color w:val="295CA3"/>
            <w:sz w:val="18"/>
            <w:szCs w:val="18"/>
          </w:rPr>
          <w:t>PROGRAMS</w:t>
        </w:r>
        <w:r w:rsidR="00EA7458" w:rsidRPr="00EA7458">
          <w:rPr>
            <w:rFonts w:ascii="Calibri" w:hAnsi="Gill Sans MT"/>
            <w:b/>
            <w:bCs/>
            <w:color w:val="295CA3"/>
            <w:sz w:val="18"/>
            <w:szCs w:val="18"/>
          </w:rPr>
          <w:tab/>
          <w:t>130</w:t>
        </w:r>
      </w:hyperlink>
    </w:p>
    <w:p w14:paraId="08BCACA7" w14:textId="77777777" w:rsidR="00EA7458" w:rsidRPr="00EA7458" w:rsidRDefault="00BC1D20" w:rsidP="00664EFD">
      <w:pPr>
        <w:widowControl w:val="0"/>
        <w:numPr>
          <w:ilvl w:val="1"/>
          <w:numId w:val="9"/>
        </w:numPr>
        <w:tabs>
          <w:tab w:val="left" w:pos="708"/>
          <w:tab w:val="right" w:leader="dot" w:pos="9457"/>
        </w:tabs>
        <w:spacing w:before="81" w:after="0" w:line="240" w:lineRule="auto"/>
        <w:rPr>
          <w:rFonts w:ascii="Calibri" w:hAnsi="Calibri"/>
          <w:sz w:val="18"/>
          <w:szCs w:val="18"/>
        </w:rPr>
      </w:pPr>
      <w:hyperlink w:anchor="_bookmark67" w:history="1">
        <w:r w:rsidR="00EA7458" w:rsidRPr="00EA7458">
          <w:rPr>
            <w:rFonts w:ascii="Calibri" w:hAnsi="Calibri"/>
            <w:b/>
            <w:bCs/>
            <w:color w:val="295CA3"/>
            <w:w w:val="110"/>
            <w:sz w:val="18"/>
            <w:szCs w:val="18"/>
          </w:rPr>
          <w:t>Aligning of Content</w:t>
        </w:r>
        <w:r w:rsidR="00EA7458" w:rsidRPr="00EA7458">
          <w:rPr>
            <w:rFonts w:ascii="Calibri" w:hAnsi="Calibri"/>
            <w:b/>
            <w:bCs/>
            <w:color w:val="295CA3"/>
            <w:spacing w:val="2"/>
            <w:w w:val="110"/>
            <w:sz w:val="18"/>
            <w:szCs w:val="18"/>
          </w:rPr>
          <w:t xml:space="preserve"> </w:t>
        </w:r>
        <w:r w:rsidR="00EA7458" w:rsidRPr="00EA7458">
          <w:rPr>
            <w:rFonts w:ascii="Calibri" w:hAnsi="Calibri"/>
            <w:b/>
            <w:bCs/>
            <w:color w:val="295CA3"/>
            <w:w w:val="110"/>
            <w:sz w:val="18"/>
            <w:szCs w:val="18"/>
          </w:rPr>
          <w:t>Standards</w:t>
        </w:r>
        <w:r w:rsidR="00EA7458" w:rsidRPr="00EA7458">
          <w:rPr>
            <w:rFonts w:ascii="Calibri" w:hAnsi="Calibri"/>
            <w:b/>
            <w:bCs/>
            <w:color w:val="295CA3"/>
            <w:w w:val="110"/>
            <w:sz w:val="18"/>
            <w:szCs w:val="18"/>
          </w:rPr>
          <w:tab/>
          <w:t>130</w:t>
        </w:r>
      </w:hyperlink>
    </w:p>
    <w:p w14:paraId="49383372" w14:textId="77777777" w:rsidR="00EA7458" w:rsidRPr="00EA7458" w:rsidRDefault="00BC1D20" w:rsidP="00664EFD">
      <w:pPr>
        <w:widowControl w:val="0"/>
        <w:numPr>
          <w:ilvl w:val="1"/>
          <w:numId w:val="9"/>
        </w:numPr>
        <w:tabs>
          <w:tab w:val="left" w:pos="708"/>
          <w:tab w:val="right" w:leader="dot" w:pos="9457"/>
        </w:tabs>
        <w:spacing w:before="81" w:after="0" w:line="240" w:lineRule="auto"/>
        <w:rPr>
          <w:rFonts w:ascii="Calibri" w:hAnsi="Calibri"/>
          <w:sz w:val="18"/>
          <w:szCs w:val="18"/>
        </w:rPr>
      </w:pPr>
      <w:hyperlink w:anchor="_bookmark68" w:history="1">
        <w:r w:rsidR="00EA7458" w:rsidRPr="00EA7458">
          <w:rPr>
            <w:rFonts w:ascii="Calibri" w:hAnsi="Calibri"/>
            <w:b/>
            <w:bCs/>
            <w:color w:val="295CA3"/>
            <w:w w:val="105"/>
            <w:sz w:val="18"/>
            <w:szCs w:val="18"/>
          </w:rPr>
          <w:t>Local</w:t>
        </w:r>
        <w:r w:rsidR="00EA7458" w:rsidRPr="00EA7458">
          <w:rPr>
            <w:rFonts w:ascii="Calibri" w:hAnsi="Calibri"/>
            <w:b/>
            <w:bCs/>
            <w:color w:val="295CA3"/>
            <w:spacing w:val="3"/>
            <w:w w:val="105"/>
            <w:sz w:val="18"/>
            <w:szCs w:val="18"/>
          </w:rPr>
          <w:t xml:space="preserve"> </w:t>
        </w:r>
        <w:r w:rsidR="00EA7458" w:rsidRPr="00EA7458">
          <w:rPr>
            <w:rFonts w:ascii="Calibri" w:hAnsi="Calibri"/>
            <w:b/>
            <w:bCs/>
            <w:color w:val="295CA3"/>
            <w:w w:val="105"/>
            <w:sz w:val="18"/>
            <w:szCs w:val="18"/>
          </w:rPr>
          <w:t>Activities</w:t>
        </w:r>
        <w:r w:rsidR="00EA7458" w:rsidRPr="00EA7458">
          <w:rPr>
            <w:rFonts w:ascii="Calibri" w:hAnsi="Calibri"/>
            <w:b/>
            <w:bCs/>
            <w:color w:val="295CA3"/>
            <w:w w:val="105"/>
            <w:sz w:val="18"/>
            <w:szCs w:val="18"/>
          </w:rPr>
          <w:tab/>
          <w:t>131</w:t>
        </w:r>
      </w:hyperlink>
    </w:p>
    <w:p w14:paraId="0C1A7FC6" w14:textId="77777777" w:rsidR="00EA7458" w:rsidRPr="00EA7458" w:rsidRDefault="00BC1D20" w:rsidP="00664EFD">
      <w:pPr>
        <w:widowControl w:val="0"/>
        <w:numPr>
          <w:ilvl w:val="1"/>
          <w:numId w:val="9"/>
        </w:numPr>
        <w:tabs>
          <w:tab w:val="left" w:pos="708"/>
          <w:tab w:val="right" w:leader="dot" w:pos="9457"/>
        </w:tabs>
        <w:spacing w:before="81" w:after="0" w:line="240" w:lineRule="auto"/>
        <w:rPr>
          <w:rFonts w:ascii="Calibri" w:hAnsi="Calibri"/>
          <w:sz w:val="18"/>
          <w:szCs w:val="18"/>
        </w:rPr>
      </w:pPr>
      <w:hyperlink w:anchor="_bookmark70" w:history="1">
        <w:r w:rsidR="00EA7458" w:rsidRPr="00EA7458">
          <w:rPr>
            <w:rFonts w:ascii="Calibri" w:hAnsi="Calibri"/>
            <w:b/>
            <w:bCs/>
            <w:color w:val="295CA3"/>
            <w:w w:val="110"/>
            <w:sz w:val="18"/>
            <w:szCs w:val="18"/>
          </w:rPr>
          <w:t>Corrections Education and Other Education of Institutionalized</w:t>
        </w:r>
        <w:r w:rsidR="00EA7458" w:rsidRPr="00EA7458">
          <w:rPr>
            <w:rFonts w:ascii="Calibri" w:hAnsi="Calibri"/>
            <w:b/>
            <w:bCs/>
            <w:color w:val="295CA3"/>
            <w:spacing w:val="-4"/>
            <w:w w:val="110"/>
            <w:sz w:val="18"/>
            <w:szCs w:val="18"/>
          </w:rPr>
          <w:t xml:space="preserve"> </w:t>
        </w:r>
        <w:r w:rsidR="00EA7458" w:rsidRPr="00EA7458">
          <w:rPr>
            <w:rFonts w:ascii="Calibri" w:hAnsi="Calibri"/>
            <w:b/>
            <w:bCs/>
            <w:color w:val="295CA3"/>
            <w:w w:val="110"/>
            <w:sz w:val="18"/>
            <w:szCs w:val="18"/>
          </w:rPr>
          <w:t>Individuals</w:t>
        </w:r>
        <w:r w:rsidR="00EA7458" w:rsidRPr="00EA7458">
          <w:rPr>
            <w:rFonts w:ascii="Calibri" w:hAnsi="Calibri"/>
            <w:b/>
            <w:bCs/>
            <w:color w:val="295CA3"/>
            <w:w w:val="110"/>
            <w:sz w:val="18"/>
            <w:szCs w:val="18"/>
          </w:rPr>
          <w:tab/>
          <w:t>135</w:t>
        </w:r>
      </w:hyperlink>
    </w:p>
    <w:p w14:paraId="6FA47CDC" w14:textId="77777777" w:rsidR="00EA7458" w:rsidRPr="00EA7458" w:rsidRDefault="00BC1D20" w:rsidP="00664EFD">
      <w:pPr>
        <w:widowControl w:val="0"/>
        <w:numPr>
          <w:ilvl w:val="1"/>
          <w:numId w:val="9"/>
        </w:numPr>
        <w:tabs>
          <w:tab w:val="left" w:pos="708"/>
          <w:tab w:val="right" w:leader="dot" w:pos="9457"/>
        </w:tabs>
        <w:spacing w:before="81" w:after="0" w:line="240" w:lineRule="auto"/>
        <w:rPr>
          <w:rFonts w:ascii="Calibri" w:hAnsi="Calibri"/>
          <w:sz w:val="18"/>
          <w:szCs w:val="18"/>
        </w:rPr>
      </w:pPr>
      <w:hyperlink w:anchor="_bookmark70" w:history="1">
        <w:r w:rsidR="00EA7458" w:rsidRPr="00EA7458">
          <w:rPr>
            <w:rFonts w:ascii="Calibri" w:hAnsi="Calibri"/>
            <w:b/>
            <w:bCs/>
            <w:color w:val="295CA3"/>
            <w:w w:val="110"/>
            <w:sz w:val="18"/>
            <w:szCs w:val="18"/>
          </w:rPr>
          <w:t>Integrated English Literacy and Civics Education</w:t>
        </w:r>
        <w:r w:rsidR="00EA7458" w:rsidRPr="00EA7458">
          <w:rPr>
            <w:rFonts w:ascii="Calibri" w:hAnsi="Calibri"/>
            <w:b/>
            <w:bCs/>
            <w:color w:val="295CA3"/>
            <w:spacing w:val="5"/>
            <w:w w:val="110"/>
            <w:sz w:val="18"/>
            <w:szCs w:val="18"/>
          </w:rPr>
          <w:t xml:space="preserve"> </w:t>
        </w:r>
        <w:r w:rsidR="00EA7458" w:rsidRPr="00EA7458">
          <w:rPr>
            <w:rFonts w:ascii="Calibri" w:hAnsi="Calibri"/>
            <w:b/>
            <w:bCs/>
            <w:color w:val="295CA3"/>
            <w:w w:val="110"/>
            <w:sz w:val="18"/>
            <w:szCs w:val="18"/>
          </w:rPr>
          <w:t>Program</w:t>
        </w:r>
        <w:r w:rsidR="00EA7458" w:rsidRPr="00EA7458">
          <w:rPr>
            <w:rFonts w:ascii="Calibri" w:hAnsi="Calibri"/>
            <w:b/>
            <w:bCs/>
            <w:color w:val="295CA3"/>
            <w:w w:val="110"/>
            <w:sz w:val="18"/>
            <w:szCs w:val="18"/>
          </w:rPr>
          <w:tab/>
          <w:t>135</w:t>
        </w:r>
      </w:hyperlink>
    </w:p>
    <w:p w14:paraId="1456EB07" w14:textId="77777777" w:rsidR="00EA7458" w:rsidRPr="00EA7458" w:rsidRDefault="00BC1D20" w:rsidP="00664EFD">
      <w:pPr>
        <w:widowControl w:val="0"/>
        <w:numPr>
          <w:ilvl w:val="1"/>
          <w:numId w:val="9"/>
        </w:numPr>
        <w:tabs>
          <w:tab w:val="left" w:pos="708"/>
          <w:tab w:val="right" w:leader="dot" w:pos="9457"/>
        </w:tabs>
        <w:spacing w:before="81" w:after="0" w:line="240" w:lineRule="auto"/>
        <w:rPr>
          <w:rFonts w:ascii="Calibri" w:hAnsi="Calibri"/>
          <w:sz w:val="18"/>
          <w:szCs w:val="18"/>
        </w:rPr>
      </w:pPr>
      <w:hyperlink w:anchor="_bookmark71" w:history="1">
        <w:r w:rsidR="00EA7458" w:rsidRPr="00EA7458">
          <w:rPr>
            <w:rFonts w:ascii="Calibri" w:hAnsi="Calibri"/>
            <w:b/>
            <w:bCs/>
            <w:color w:val="295CA3"/>
            <w:w w:val="110"/>
            <w:sz w:val="18"/>
            <w:szCs w:val="18"/>
          </w:rPr>
          <w:t>State Leadership</w:t>
        </w:r>
        <w:r w:rsidR="00EA7458" w:rsidRPr="00EA7458">
          <w:rPr>
            <w:rFonts w:ascii="Calibri" w:hAnsi="Calibri"/>
            <w:b/>
            <w:bCs/>
            <w:color w:val="295CA3"/>
            <w:w w:val="110"/>
            <w:sz w:val="18"/>
            <w:szCs w:val="18"/>
          </w:rPr>
          <w:tab/>
          <w:t>136</w:t>
        </w:r>
      </w:hyperlink>
    </w:p>
    <w:p w14:paraId="65831C9E" w14:textId="77777777" w:rsidR="00EA7458" w:rsidRPr="00EA7458" w:rsidRDefault="00BC1D20" w:rsidP="00664EFD">
      <w:pPr>
        <w:widowControl w:val="0"/>
        <w:numPr>
          <w:ilvl w:val="1"/>
          <w:numId w:val="9"/>
        </w:numPr>
        <w:tabs>
          <w:tab w:val="left" w:pos="708"/>
          <w:tab w:val="right" w:leader="dot" w:pos="9457"/>
        </w:tabs>
        <w:spacing w:before="81" w:after="0" w:line="240" w:lineRule="auto"/>
        <w:rPr>
          <w:rFonts w:ascii="Calibri" w:hAnsi="Calibri"/>
          <w:sz w:val="18"/>
          <w:szCs w:val="18"/>
        </w:rPr>
      </w:pPr>
      <w:hyperlink w:anchor="_bookmark72" w:history="1">
        <w:r w:rsidR="00EA7458" w:rsidRPr="00EA7458">
          <w:rPr>
            <w:rFonts w:ascii="Calibri" w:hAnsi="Calibri"/>
            <w:b/>
            <w:bCs/>
            <w:color w:val="295CA3"/>
            <w:w w:val="110"/>
            <w:sz w:val="18"/>
            <w:szCs w:val="18"/>
          </w:rPr>
          <w:t>Assessing</w:t>
        </w:r>
        <w:r w:rsidR="00EA7458" w:rsidRPr="00EA7458">
          <w:rPr>
            <w:rFonts w:ascii="Calibri" w:hAnsi="Calibri"/>
            <w:b/>
            <w:bCs/>
            <w:color w:val="295CA3"/>
            <w:spacing w:val="1"/>
            <w:w w:val="110"/>
            <w:sz w:val="18"/>
            <w:szCs w:val="18"/>
          </w:rPr>
          <w:t xml:space="preserve"> </w:t>
        </w:r>
        <w:r w:rsidR="00EA7458" w:rsidRPr="00EA7458">
          <w:rPr>
            <w:rFonts w:ascii="Calibri" w:hAnsi="Calibri"/>
            <w:b/>
            <w:bCs/>
            <w:color w:val="295CA3"/>
            <w:w w:val="110"/>
            <w:sz w:val="18"/>
            <w:szCs w:val="18"/>
          </w:rPr>
          <w:t>Quality</w:t>
        </w:r>
        <w:r w:rsidR="00EA7458" w:rsidRPr="00EA7458">
          <w:rPr>
            <w:rFonts w:ascii="Calibri" w:hAnsi="Calibri"/>
            <w:b/>
            <w:bCs/>
            <w:color w:val="295CA3"/>
            <w:w w:val="110"/>
            <w:sz w:val="18"/>
            <w:szCs w:val="18"/>
          </w:rPr>
          <w:tab/>
          <w:t>138</w:t>
        </w:r>
      </w:hyperlink>
    </w:p>
    <w:p w14:paraId="71EDD8A0" w14:textId="77777777" w:rsidR="00EA7458" w:rsidRPr="00EA7458" w:rsidRDefault="00BC1D20" w:rsidP="00664EFD">
      <w:pPr>
        <w:widowControl w:val="0"/>
        <w:numPr>
          <w:ilvl w:val="0"/>
          <w:numId w:val="9"/>
        </w:numPr>
        <w:tabs>
          <w:tab w:val="left" w:pos="370"/>
          <w:tab w:val="right" w:leader="dot" w:pos="9457"/>
        </w:tabs>
        <w:spacing w:before="239" w:after="0" w:line="240" w:lineRule="auto"/>
        <w:ind w:left="369" w:hanging="261"/>
        <w:rPr>
          <w:rFonts w:ascii="Calibri" w:hAnsi="Calibri"/>
          <w:sz w:val="18"/>
          <w:szCs w:val="18"/>
        </w:rPr>
      </w:pPr>
      <w:hyperlink w:anchor="_bookmark73" w:history="1">
        <w:r w:rsidR="00EA7458" w:rsidRPr="00EA7458">
          <w:rPr>
            <w:rFonts w:ascii="Calibri" w:hAnsi="Calibri"/>
            <w:b/>
            <w:bCs/>
            <w:color w:val="295CA3"/>
            <w:w w:val="110"/>
            <w:sz w:val="18"/>
            <w:szCs w:val="18"/>
          </w:rPr>
          <w:t>PROGRAM-SPECIFIC REQUIREMENTS FOR CORE PROGRAMS–</w:t>
        </w:r>
        <w:r w:rsidR="00EA7458" w:rsidRPr="00EA7458">
          <w:rPr>
            <w:rFonts w:ascii="Gill Sans MT" w:hAnsi="Gill Sans MT" w:cs="Gill Sans MT"/>
            <w:b/>
            <w:bCs/>
            <w:i/>
            <w:color w:val="295CA3"/>
            <w:w w:val="110"/>
            <w:sz w:val="18"/>
            <w:szCs w:val="18"/>
          </w:rPr>
          <w:t>VOCATIONAL</w:t>
        </w:r>
        <w:r w:rsidR="00EA7458" w:rsidRPr="00EA7458">
          <w:rPr>
            <w:rFonts w:ascii="Gill Sans MT" w:hAnsi="Gill Sans MT" w:cs="Gill Sans MT"/>
            <w:b/>
            <w:bCs/>
            <w:i/>
            <w:color w:val="295CA3"/>
            <w:spacing w:val="-36"/>
            <w:w w:val="110"/>
            <w:sz w:val="18"/>
            <w:szCs w:val="18"/>
          </w:rPr>
          <w:t xml:space="preserve"> </w:t>
        </w:r>
        <w:r w:rsidR="00EA7458" w:rsidRPr="00EA7458">
          <w:rPr>
            <w:rFonts w:ascii="Gill Sans MT" w:hAnsi="Gill Sans MT" w:cs="Gill Sans MT"/>
            <w:b/>
            <w:bCs/>
            <w:i/>
            <w:color w:val="295CA3"/>
            <w:w w:val="110"/>
            <w:sz w:val="18"/>
            <w:szCs w:val="18"/>
          </w:rPr>
          <w:t>REHABILITATION</w:t>
        </w:r>
        <w:r w:rsidR="00EA7458" w:rsidRPr="00EA7458">
          <w:rPr>
            <w:rFonts w:ascii="Calibri" w:hAnsi="Calibri"/>
            <w:b/>
            <w:bCs/>
            <w:color w:val="295CA3"/>
            <w:w w:val="110"/>
            <w:sz w:val="18"/>
            <w:szCs w:val="18"/>
          </w:rPr>
          <w:tab/>
          <w:t>142</w:t>
        </w:r>
      </w:hyperlink>
    </w:p>
    <w:p w14:paraId="4C9C5C4C" w14:textId="77777777" w:rsidR="00EA7458" w:rsidRPr="00EA7458" w:rsidRDefault="00BC1D20" w:rsidP="00664EFD">
      <w:pPr>
        <w:widowControl w:val="0"/>
        <w:numPr>
          <w:ilvl w:val="1"/>
          <w:numId w:val="9"/>
        </w:numPr>
        <w:tabs>
          <w:tab w:val="left" w:pos="708"/>
          <w:tab w:val="right" w:leader="dot" w:pos="9457"/>
        </w:tabs>
        <w:spacing w:before="81" w:after="0" w:line="240" w:lineRule="auto"/>
        <w:rPr>
          <w:rFonts w:ascii="Calibri" w:hAnsi="Calibri"/>
          <w:sz w:val="18"/>
          <w:szCs w:val="18"/>
        </w:rPr>
      </w:pPr>
      <w:hyperlink w:anchor="_bookmark73" w:history="1">
        <w:r w:rsidR="00EA7458" w:rsidRPr="00EA7458">
          <w:rPr>
            <w:rFonts w:ascii="Calibri" w:hAnsi="Calibri"/>
            <w:b/>
            <w:bCs/>
            <w:color w:val="295CA3"/>
            <w:w w:val="105"/>
            <w:sz w:val="18"/>
            <w:szCs w:val="18"/>
          </w:rPr>
          <w:t>Input of State Rehabilitation</w:t>
        </w:r>
        <w:r w:rsidR="00EA7458" w:rsidRPr="00EA7458">
          <w:rPr>
            <w:rFonts w:ascii="Calibri" w:hAnsi="Calibri"/>
            <w:b/>
            <w:bCs/>
            <w:color w:val="295CA3"/>
            <w:spacing w:val="14"/>
            <w:w w:val="105"/>
            <w:sz w:val="18"/>
            <w:szCs w:val="18"/>
          </w:rPr>
          <w:t xml:space="preserve"> </w:t>
        </w:r>
        <w:r w:rsidR="00EA7458" w:rsidRPr="00EA7458">
          <w:rPr>
            <w:rFonts w:ascii="Calibri" w:hAnsi="Calibri"/>
            <w:b/>
            <w:bCs/>
            <w:color w:val="295CA3"/>
            <w:w w:val="105"/>
            <w:sz w:val="18"/>
            <w:szCs w:val="18"/>
          </w:rPr>
          <w:t>Council</w:t>
        </w:r>
        <w:r w:rsidR="00EA7458" w:rsidRPr="00EA7458">
          <w:rPr>
            <w:rFonts w:ascii="Calibri" w:hAnsi="Calibri"/>
            <w:b/>
            <w:bCs/>
            <w:color w:val="295CA3"/>
            <w:w w:val="105"/>
            <w:sz w:val="18"/>
            <w:szCs w:val="18"/>
          </w:rPr>
          <w:tab/>
          <w:t>142</w:t>
        </w:r>
      </w:hyperlink>
    </w:p>
    <w:p w14:paraId="258DB849" w14:textId="77777777" w:rsidR="00EA7458" w:rsidRPr="00EA7458" w:rsidRDefault="00BC1D20" w:rsidP="00664EFD">
      <w:pPr>
        <w:widowControl w:val="0"/>
        <w:numPr>
          <w:ilvl w:val="1"/>
          <w:numId w:val="9"/>
        </w:numPr>
        <w:tabs>
          <w:tab w:val="left" w:pos="708"/>
          <w:tab w:val="right" w:leader="dot" w:pos="9457"/>
        </w:tabs>
        <w:spacing w:before="81" w:after="0" w:line="240" w:lineRule="auto"/>
        <w:rPr>
          <w:rFonts w:ascii="Calibri" w:hAnsi="Calibri"/>
          <w:sz w:val="18"/>
          <w:szCs w:val="18"/>
        </w:rPr>
      </w:pPr>
      <w:hyperlink w:anchor="_bookmark74" w:history="1">
        <w:r w:rsidR="00EA7458" w:rsidRPr="00EA7458">
          <w:rPr>
            <w:rFonts w:ascii="Calibri" w:hAnsi="Calibri"/>
            <w:b/>
            <w:bCs/>
            <w:color w:val="295CA3"/>
            <w:w w:val="105"/>
            <w:sz w:val="18"/>
            <w:szCs w:val="18"/>
          </w:rPr>
          <w:t>Request for Waiver of</w:t>
        </w:r>
        <w:r w:rsidR="00EA7458" w:rsidRPr="00EA7458">
          <w:rPr>
            <w:rFonts w:ascii="Calibri" w:hAnsi="Calibri"/>
            <w:b/>
            <w:bCs/>
            <w:color w:val="295CA3"/>
            <w:spacing w:val="14"/>
            <w:w w:val="105"/>
            <w:sz w:val="18"/>
            <w:szCs w:val="18"/>
          </w:rPr>
          <w:t xml:space="preserve"> </w:t>
        </w:r>
        <w:r w:rsidR="00EA7458" w:rsidRPr="00EA7458">
          <w:rPr>
            <w:rFonts w:ascii="Calibri" w:hAnsi="Calibri"/>
            <w:b/>
            <w:bCs/>
            <w:color w:val="295CA3"/>
            <w:w w:val="105"/>
            <w:sz w:val="18"/>
            <w:szCs w:val="18"/>
          </w:rPr>
          <w:t>Statewideness</w:t>
        </w:r>
        <w:r w:rsidR="00EA7458" w:rsidRPr="00EA7458">
          <w:rPr>
            <w:rFonts w:ascii="Calibri" w:hAnsi="Calibri"/>
            <w:b/>
            <w:bCs/>
            <w:color w:val="295CA3"/>
            <w:w w:val="105"/>
            <w:sz w:val="18"/>
            <w:szCs w:val="18"/>
          </w:rPr>
          <w:tab/>
          <w:t>150</w:t>
        </w:r>
      </w:hyperlink>
    </w:p>
    <w:p w14:paraId="48E398D8" w14:textId="77777777" w:rsidR="00EA7458" w:rsidRPr="00EA7458" w:rsidRDefault="00BC1D20" w:rsidP="00664EFD">
      <w:pPr>
        <w:widowControl w:val="0"/>
        <w:numPr>
          <w:ilvl w:val="1"/>
          <w:numId w:val="9"/>
        </w:numPr>
        <w:tabs>
          <w:tab w:val="left" w:pos="708"/>
          <w:tab w:val="right" w:leader="dot" w:pos="9457"/>
        </w:tabs>
        <w:spacing w:before="81" w:after="0" w:line="240" w:lineRule="auto"/>
        <w:rPr>
          <w:rFonts w:ascii="Calibri" w:hAnsi="Calibri"/>
          <w:sz w:val="18"/>
          <w:szCs w:val="18"/>
        </w:rPr>
      </w:pPr>
      <w:hyperlink w:anchor="_bookmark75" w:history="1">
        <w:r w:rsidR="00EA7458" w:rsidRPr="00EA7458">
          <w:rPr>
            <w:rFonts w:ascii="Calibri" w:hAnsi="Calibri"/>
            <w:b/>
            <w:bCs/>
            <w:color w:val="295CA3"/>
            <w:w w:val="110"/>
            <w:sz w:val="18"/>
            <w:szCs w:val="18"/>
          </w:rPr>
          <w:t>Cooperation with Agencies Not Under the Workforce</w:t>
        </w:r>
        <w:r w:rsidR="00EA7458" w:rsidRPr="00EA7458">
          <w:rPr>
            <w:rFonts w:ascii="Calibri" w:hAnsi="Calibri"/>
            <w:b/>
            <w:bCs/>
            <w:color w:val="295CA3"/>
            <w:spacing w:val="-3"/>
            <w:w w:val="110"/>
            <w:sz w:val="18"/>
            <w:szCs w:val="18"/>
          </w:rPr>
          <w:t xml:space="preserve"> </w:t>
        </w:r>
        <w:r w:rsidR="00EA7458" w:rsidRPr="00EA7458">
          <w:rPr>
            <w:rFonts w:ascii="Calibri" w:hAnsi="Calibri"/>
            <w:b/>
            <w:bCs/>
            <w:color w:val="295CA3"/>
            <w:w w:val="110"/>
            <w:sz w:val="18"/>
            <w:szCs w:val="18"/>
          </w:rPr>
          <w:t>System</w:t>
        </w:r>
        <w:r w:rsidR="00EA7458" w:rsidRPr="00EA7458">
          <w:rPr>
            <w:rFonts w:ascii="Calibri" w:hAnsi="Calibri"/>
            <w:b/>
            <w:bCs/>
            <w:color w:val="295CA3"/>
            <w:w w:val="110"/>
            <w:sz w:val="18"/>
            <w:szCs w:val="18"/>
          </w:rPr>
          <w:tab/>
          <w:t>151</w:t>
        </w:r>
      </w:hyperlink>
    </w:p>
    <w:p w14:paraId="5E6B6584" w14:textId="77777777" w:rsidR="00EA7458" w:rsidRPr="00EA7458" w:rsidRDefault="00BC1D20" w:rsidP="00664EFD">
      <w:pPr>
        <w:widowControl w:val="0"/>
        <w:numPr>
          <w:ilvl w:val="1"/>
          <w:numId w:val="9"/>
        </w:numPr>
        <w:tabs>
          <w:tab w:val="left" w:pos="708"/>
          <w:tab w:val="right" w:leader="dot" w:pos="9457"/>
        </w:tabs>
        <w:spacing w:before="81" w:after="0" w:line="240" w:lineRule="auto"/>
        <w:rPr>
          <w:rFonts w:ascii="Calibri" w:hAnsi="Calibri"/>
          <w:sz w:val="18"/>
          <w:szCs w:val="18"/>
        </w:rPr>
      </w:pPr>
      <w:hyperlink w:anchor="_bookmark76" w:history="1">
        <w:r w:rsidR="00EA7458" w:rsidRPr="00EA7458">
          <w:rPr>
            <w:rFonts w:ascii="Calibri" w:hAnsi="Calibri"/>
            <w:b/>
            <w:bCs/>
            <w:color w:val="295CA3"/>
            <w:w w:val="110"/>
            <w:sz w:val="18"/>
            <w:szCs w:val="18"/>
          </w:rPr>
          <w:t>Coordination with Education</w:t>
        </w:r>
        <w:r w:rsidR="00EA7458" w:rsidRPr="00EA7458">
          <w:rPr>
            <w:rFonts w:ascii="Calibri" w:hAnsi="Calibri"/>
            <w:b/>
            <w:bCs/>
            <w:color w:val="295CA3"/>
            <w:spacing w:val="1"/>
            <w:w w:val="110"/>
            <w:sz w:val="18"/>
            <w:szCs w:val="18"/>
          </w:rPr>
          <w:t xml:space="preserve"> </w:t>
        </w:r>
        <w:r w:rsidR="00EA7458" w:rsidRPr="00EA7458">
          <w:rPr>
            <w:rFonts w:ascii="Calibri" w:hAnsi="Calibri"/>
            <w:b/>
            <w:bCs/>
            <w:color w:val="295CA3"/>
            <w:w w:val="110"/>
            <w:sz w:val="18"/>
            <w:szCs w:val="18"/>
          </w:rPr>
          <w:t>Officials</w:t>
        </w:r>
        <w:r w:rsidR="00EA7458" w:rsidRPr="00EA7458">
          <w:rPr>
            <w:rFonts w:ascii="Calibri" w:hAnsi="Calibri"/>
            <w:b/>
            <w:bCs/>
            <w:color w:val="295CA3"/>
            <w:w w:val="110"/>
            <w:sz w:val="18"/>
            <w:szCs w:val="18"/>
          </w:rPr>
          <w:tab/>
          <w:t>154</w:t>
        </w:r>
      </w:hyperlink>
    </w:p>
    <w:p w14:paraId="59226AFE" w14:textId="77777777" w:rsidR="00EA7458" w:rsidRPr="00EA7458" w:rsidRDefault="00BC1D20" w:rsidP="00664EFD">
      <w:pPr>
        <w:widowControl w:val="0"/>
        <w:numPr>
          <w:ilvl w:val="1"/>
          <w:numId w:val="9"/>
        </w:numPr>
        <w:tabs>
          <w:tab w:val="left" w:pos="708"/>
          <w:tab w:val="right" w:leader="dot" w:pos="9457"/>
        </w:tabs>
        <w:spacing w:before="81" w:after="0" w:line="240" w:lineRule="auto"/>
        <w:rPr>
          <w:rFonts w:ascii="Calibri" w:hAnsi="Calibri"/>
          <w:sz w:val="18"/>
          <w:szCs w:val="18"/>
        </w:rPr>
      </w:pPr>
      <w:hyperlink w:anchor="_bookmark77" w:history="1">
        <w:r w:rsidR="00EA7458" w:rsidRPr="00EA7458">
          <w:rPr>
            <w:rFonts w:ascii="Calibri" w:hAnsi="Calibri"/>
            <w:b/>
            <w:bCs/>
            <w:color w:val="295CA3"/>
            <w:w w:val="110"/>
            <w:sz w:val="18"/>
            <w:szCs w:val="18"/>
          </w:rPr>
          <w:t>Cooperative Agreements with Private Nonprofit</w:t>
        </w:r>
        <w:r w:rsidR="00EA7458" w:rsidRPr="00EA7458">
          <w:rPr>
            <w:rFonts w:ascii="Calibri" w:hAnsi="Calibri"/>
            <w:b/>
            <w:bCs/>
            <w:color w:val="295CA3"/>
            <w:spacing w:val="-1"/>
            <w:w w:val="110"/>
            <w:sz w:val="18"/>
            <w:szCs w:val="18"/>
          </w:rPr>
          <w:t xml:space="preserve"> </w:t>
        </w:r>
        <w:r w:rsidR="00EA7458" w:rsidRPr="00EA7458">
          <w:rPr>
            <w:rFonts w:ascii="Calibri" w:hAnsi="Calibri"/>
            <w:b/>
            <w:bCs/>
            <w:color w:val="295CA3"/>
            <w:w w:val="110"/>
            <w:sz w:val="18"/>
            <w:szCs w:val="18"/>
          </w:rPr>
          <w:t>Organizations</w:t>
        </w:r>
        <w:r w:rsidR="00EA7458" w:rsidRPr="00EA7458">
          <w:rPr>
            <w:rFonts w:ascii="Calibri" w:hAnsi="Calibri"/>
            <w:b/>
            <w:bCs/>
            <w:color w:val="295CA3"/>
            <w:w w:val="110"/>
            <w:sz w:val="18"/>
            <w:szCs w:val="18"/>
          </w:rPr>
          <w:tab/>
          <w:t>160</w:t>
        </w:r>
      </w:hyperlink>
    </w:p>
    <w:p w14:paraId="186F7DA6" w14:textId="77777777" w:rsidR="00EA7458" w:rsidRPr="00EA7458" w:rsidRDefault="00BC1D20" w:rsidP="00664EFD">
      <w:pPr>
        <w:widowControl w:val="0"/>
        <w:numPr>
          <w:ilvl w:val="1"/>
          <w:numId w:val="9"/>
        </w:numPr>
        <w:tabs>
          <w:tab w:val="left" w:pos="708"/>
          <w:tab w:val="right" w:leader="dot" w:pos="9457"/>
        </w:tabs>
        <w:spacing w:before="81" w:after="0" w:line="240" w:lineRule="auto"/>
        <w:rPr>
          <w:rFonts w:ascii="Calibri" w:hAnsi="Calibri"/>
          <w:sz w:val="18"/>
          <w:szCs w:val="18"/>
        </w:rPr>
      </w:pPr>
      <w:hyperlink w:anchor="_bookmark78" w:history="1">
        <w:r w:rsidR="00EA7458" w:rsidRPr="00EA7458">
          <w:rPr>
            <w:rFonts w:ascii="Calibri" w:hAnsi="Calibri"/>
            <w:b/>
            <w:bCs/>
            <w:color w:val="295CA3"/>
            <w:w w:val="105"/>
            <w:sz w:val="18"/>
            <w:szCs w:val="18"/>
          </w:rPr>
          <w:t>Cooperative Agreements for the Provision of Supported Employment</w:t>
        </w:r>
        <w:r w:rsidR="00EA7458" w:rsidRPr="00EA7458">
          <w:rPr>
            <w:rFonts w:ascii="Calibri" w:hAnsi="Calibri"/>
            <w:b/>
            <w:bCs/>
            <w:color w:val="295CA3"/>
            <w:spacing w:val="7"/>
            <w:w w:val="105"/>
            <w:sz w:val="18"/>
            <w:szCs w:val="18"/>
          </w:rPr>
          <w:t xml:space="preserve"> </w:t>
        </w:r>
        <w:r w:rsidR="00EA7458" w:rsidRPr="00EA7458">
          <w:rPr>
            <w:rFonts w:ascii="Calibri" w:hAnsi="Calibri"/>
            <w:b/>
            <w:bCs/>
            <w:color w:val="295CA3"/>
            <w:w w:val="105"/>
            <w:sz w:val="18"/>
            <w:szCs w:val="18"/>
          </w:rPr>
          <w:t>Services</w:t>
        </w:r>
        <w:r w:rsidR="00EA7458" w:rsidRPr="00EA7458">
          <w:rPr>
            <w:rFonts w:ascii="Calibri" w:hAnsi="Calibri"/>
            <w:b/>
            <w:bCs/>
            <w:color w:val="295CA3"/>
            <w:w w:val="105"/>
            <w:sz w:val="18"/>
            <w:szCs w:val="18"/>
          </w:rPr>
          <w:tab/>
          <w:t>161</w:t>
        </w:r>
      </w:hyperlink>
    </w:p>
    <w:p w14:paraId="083407F3" w14:textId="77777777" w:rsidR="00EA7458" w:rsidRPr="00EA7458" w:rsidRDefault="00BC1D20" w:rsidP="00664EFD">
      <w:pPr>
        <w:widowControl w:val="0"/>
        <w:numPr>
          <w:ilvl w:val="1"/>
          <w:numId w:val="9"/>
        </w:numPr>
        <w:tabs>
          <w:tab w:val="left" w:pos="708"/>
          <w:tab w:val="right" w:leader="dot" w:pos="9457"/>
        </w:tabs>
        <w:spacing w:before="81" w:after="0" w:line="240" w:lineRule="auto"/>
        <w:rPr>
          <w:rFonts w:ascii="Calibri" w:hAnsi="Calibri"/>
          <w:sz w:val="18"/>
          <w:szCs w:val="18"/>
        </w:rPr>
      </w:pPr>
      <w:hyperlink w:anchor="_bookmark79" w:history="1">
        <w:r w:rsidR="00EA7458" w:rsidRPr="00EA7458">
          <w:rPr>
            <w:rFonts w:ascii="Calibri" w:hAnsi="Calibri"/>
            <w:b/>
            <w:bCs/>
            <w:color w:val="295CA3"/>
            <w:w w:val="105"/>
            <w:sz w:val="18"/>
            <w:szCs w:val="18"/>
          </w:rPr>
          <w:t>Coordination with</w:t>
        </w:r>
        <w:r w:rsidR="00EA7458" w:rsidRPr="00EA7458">
          <w:rPr>
            <w:rFonts w:ascii="Calibri" w:hAnsi="Calibri"/>
            <w:b/>
            <w:bCs/>
            <w:color w:val="295CA3"/>
            <w:spacing w:val="6"/>
            <w:w w:val="105"/>
            <w:sz w:val="18"/>
            <w:szCs w:val="18"/>
          </w:rPr>
          <w:t xml:space="preserve"> </w:t>
        </w:r>
        <w:r w:rsidR="00EA7458" w:rsidRPr="00EA7458">
          <w:rPr>
            <w:rFonts w:ascii="Calibri" w:hAnsi="Calibri"/>
            <w:b/>
            <w:bCs/>
            <w:color w:val="295CA3"/>
            <w:w w:val="105"/>
            <w:sz w:val="18"/>
            <w:szCs w:val="18"/>
          </w:rPr>
          <w:t>Employers</w:t>
        </w:r>
        <w:r w:rsidR="00EA7458" w:rsidRPr="00EA7458">
          <w:rPr>
            <w:rFonts w:ascii="Calibri" w:hAnsi="Calibri"/>
            <w:b/>
            <w:bCs/>
            <w:color w:val="295CA3"/>
            <w:w w:val="105"/>
            <w:sz w:val="18"/>
            <w:szCs w:val="18"/>
          </w:rPr>
          <w:tab/>
          <w:t>164</w:t>
        </w:r>
      </w:hyperlink>
    </w:p>
    <w:p w14:paraId="4F21A30F" w14:textId="77777777" w:rsidR="00EA7458" w:rsidRPr="00EA7458" w:rsidRDefault="00BC1D20" w:rsidP="00664EFD">
      <w:pPr>
        <w:widowControl w:val="0"/>
        <w:numPr>
          <w:ilvl w:val="1"/>
          <w:numId w:val="9"/>
        </w:numPr>
        <w:tabs>
          <w:tab w:val="left" w:pos="708"/>
          <w:tab w:val="right" w:leader="dot" w:pos="9457"/>
        </w:tabs>
        <w:spacing w:before="81" w:after="0" w:line="240" w:lineRule="auto"/>
        <w:rPr>
          <w:rFonts w:ascii="Calibri" w:hAnsi="Calibri"/>
          <w:sz w:val="18"/>
          <w:szCs w:val="18"/>
        </w:rPr>
      </w:pPr>
      <w:hyperlink w:anchor="_bookmark80" w:history="1">
        <w:r w:rsidR="00EA7458" w:rsidRPr="00EA7458">
          <w:rPr>
            <w:rFonts w:ascii="Calibri" w:hAnsi="Calibri"/>
            <w:b/>
            <w:bCs/>
            <w:color w:val="295CA3"/>
            <w:w w:val="110"/>
            <w:sz w:val="18"/>
            <w:szCs w:val="18"/>
          </w:rPr>
          <w:t>Interagency Cooperation</w:t>
        </w:r>
        <w:r w:rsidR="00EA7458" w:rsidRPr="00EA7458">
          <w:rPr>
            <w:rFonts w:ascii="Calibri" w:hAnsi="Calibri"/>
            <w:b/>
            <w:bCs/>
            <w:color w:val="295CA3"/>
            <w:w w:val="110"/>
            <w:sz w:val="18"/>
            <w:szCs w:val="18"/>
          </w:rPr>
          <w:tab/>
          <w:t>166</w:t>
        </w:r>
      </w:hyperlink>
    </w:p>
    <w:p w14:paraId="58794F9D" w14:textId="77777777" w:rsidR="00EA7458" w:rsidRPr="00EA7458" w:rsidRDefault="00BC1D20" w:rsidP="00664EFD">
      <w:pPr>
        <w:widowControl w:val="0"/>
        <w:numPr>
          <w:ilvl w:val="1"/>
          <w:numId w:val="9"/>
        </w:numPr>
        <w:tabs>
          <w:tab w:val="left" w:pos="708"/>
          <w:tab w:val="right" w:leader="dot" w:pos="9457"/>
        </w:tabs>
        <w:spacing w:before="81" w:after="0" w:line="240" w:lineRule="auto"/>
        <w:rPr>
          <w:rFonts w:ascii="Calibri" w:hAnsi="Calibri"/>
          <w:sz w:val="18"/>
          <w:szCs w:val="18"/>
        </w:rPr>
      </w:pPr>
      <w:hyperlink w:anchor="_bookmark81" w:history="1">
        <w:r w:rsidR="00EA7458" w:rsidRPr="00EA7458">
          <w:rPr>
            <w:rFonts w:ascii="Calibri" w:hAnsi="Calibri"/>
            <w:b/>
            <w:bCs/>
            <w:color w:val="295CA3"/>
            <w:w w:val="110"/>
            <w:sz w:val="18"/>
            <w:szCs w:val="18"/>
          </w:rPr>
          <w:t>Comprehensive System of Personnel</w:t>
        </w:r>
        <w:r w:rsidR="00EA7458" w:rsidRPr="00EA7458">
          <w:rPr>
            <w:rFonts w:ascii="Calibri" w:hAnsi="Calibri"/>
            <w:b/>
            <w:bCs/>
            <w:color w:val="295CA3"/>
            <w:spacing w:val="1"/>
            <w:w w:val="110"/>
            <w:sz w:val="18"/>
            <w:szCs w:val="18"/>
          </w:rPr>
          <w:t xml:space="preserve"> </w:t>
        </w:r>
        <w:r w:rsidR="00EA7458" w:rsidRPr="00EA7458">
          <w:rPr>
            <w:rFonts w:ascii="Calibri" w:hAnsi="Calibri"/>
            <w:b/>
            <w:bCs/>
            <w:color w:val="295CA3"/>
            <w:w w:val="110"/>
            <w:sz w:val="18"/>
            <w:szCs w:val="18"/>
          </w:rPr>
          <w:t>Development</w:t>
        </w:r>
        <w:r w:rsidR="00EA7458" w:rsidRPr="00EA7458">
          <w:rPr>
            <w:rFonts w:ascii="Calibri" w:hAnsi="Calibri"/>
            <w:b/>
            <w:bCs/>
            <w:color w:val="295CA3"/>
            <w:w w:val="110"/>
            <w:sz w:val="18"/>
            <w:szCs w:val="18"/>
          </w:rPr>
          <w:tab/>
          <w:t>167</w:t>
        </w:r>
      </w:hyperlink>
    </w:p>
    <w:p w14:paraId="40F019B8" w14:textId="77777777" w:rsidR="00EA7458" w:rsidRPr="00EA7458" w:rsidRDefault="00BC1D20" w:rsidP="00664EFD">
      <w:pPr>
        <w:widowControl w:val="0"/>
        <w:numPr>
          <w:ilvl w:val="1"/>
          <w:numId w:val="9"/>
        </w:numPr>
        <w:tabs>
          <w:tab w:val="left" w:pos="708"/>
          <w:tab w:val="right" w:leader="dot" w:pos="9457"/>
        </w:tabs>
        <w:spacing w:before="81" w:after="0" w:line="240" w:lineRule="auto"/>
        <w:rPr>
          <w:rFonts w:ascii="Calibri" w:hAnsi="Calibri"/>
          <w:sz w:val="18"/>
          <w:szCs w:val="18"/>
        </w:rPr>
      </w:pPr>
      <w:hyperlink w:anchor="_bookmark84" w:history="1">
        <w:r w:rsidR="00EA7458" w:rsidRPr="00EA7458">
          <w:rPr>
            <w:rFonts w:ascii="Calibri" w:hAnsi="Calibri"/>
            <w:b/>
            <w:bCs/>
            <w:color w:val="295CA3"/>
            <w:w w:val="110"/>
            <w:sz w:val="18"/>
            <w:szCs w:val="18"/>
          </w:rPr>
          <w:t>Statewide Assessment</w:t>
        </w:r>
        <w:r w:rsidR="00EA7458" w:rsidRPr="00EA7458">
          <w:rPr>
            <w:rFonts w:ascii="Calibri" w:hAnsi="Calibri"/>
            <w:b/>
            <w:bCs/>
            <w:color w:val="295CA3"/>
            <w:w w:val="110"/>
            <w:sz w:val="18"/>
            <w:szCs w:val="18"/>
          </w:rPr>
          <w:tab/>
          <w:t>175</w:t>
        </w:r>
      </w:hyperlink>
    </w:p>
    <w:p w14:paraId="56177FF5" w14:textId="77777777" w:rsidR="00EA7458" w:rsidRPr="00EA7458" w:rsidRDefault="00BC1D20" w:rsidP="00664EFD">
      <w:pPr>
        <w:widowControl w:val="0"/>
        <w:numPr>
          <w:ilvl w:val="1"/>
          <w:numId w:val="9"/>
        </w:numPr>
        <w:tabs>
          <w:tab w:val="left" w:pos="708"/>
          <w:tab w:val="right" w:leader="dot" w:pos="9457"/>
        </w:tabs>
        <w:spacing w:before="81" w:after="0" w:line="240" w:lineRule="auto"/>
        <w:rPr>
          <w:rFonts w:ascii="Calibri" w:hAnsi="Calibri"/>
          <w:sz w:val="18"/>
          <w:szCs w:val="18"/>
        </w:rPr>
      </w:pPr>
      <w:hyperlink w:anchor="_bookmark87" w:history="1">
        <w:r w:rsidR="00EA7458" w:rsidRPr="00EA7458">
          <w:rPr>
            <w:rFonts w:ascii="Calibri" w:hAnsi="Calibri"/>
            <w:b/>
            <w:bCs/>
            <w:color w:val="295CA3"/>
            <w:w w:val="110"/>
            <w:sz w:val="18"/>
            <w:szCs w:val="18"/>
          </w:rPr>
          <w:t>Annual Estimates</w:t>
        </w:r>
        <w:r w:rsidR="00EA7458" w:rsidRPr="00EA7458">
          <w:rPr>
            <w:rFonts w:ascii="Calibri" w:hAnsi="Calibri"/>
            <w:b/>
            <w:bCs/>
            <w:color w:val="295CA3"/>
            <w:w w:val="110"/>
            <w:sz w:val="18"/>
            <w:szCs w:val="18"/>
          </w:rPr>
          <w:tab/>
          <w:t>177</w:t>
        </w:r>
      </w:hyperlink>
    </w:p>
    <w:p w14:paraId="5E94CB38" w14:textId="77777777" w:rsidR="00EA7458" w:rsidRPr="00EA7458" w:rsidRDefault="00BC1D20" w:rsidP="00664EFD">
      <w:pPr>
        <w:widowControl w:val="0"/>
        <w:numPr>
          <w:ilvl w:val="1"/>
          <w:numId w:val="9"/>
        </w:numPr>
        <w:tabs>
          <w:tab w:val="left" w:pos="708"/>
          <w:tab w:val="right" w:leader="dot" w:pos="9457"/>
        </w:tabs>
        <w:spacing w:before="81" w:after="0" w:line="240" w:lineRule="auto"/>
        <w:rPr>
          <w:rFonts w:ascii="Calibri" w:hAnsi="Calibri"/>
          <w:sz w:val="18"/>
          <w:szCs w:val="18"/>
        </w:rPr>
      </w:pPr>
      <w:hyperlink w:anchor="_bookmark89" w:history="1">
        <w:r w:rsidR="00EA7458" w:rsidRPr="00EA7458">
          <w:rPr>
            <w:rFonts w:ascii="Calibri" w:hAnsi="Calibri"/>
            <w:b/>
            <w:bCs/>
            <w:color w:val="295CA3"/>
            <w:w w:val="110"/>
            <w:sz w:val="18"/>
            <w:szCs w:val="18"/>
          </w:rPr>
          <w:t>State Goals and</w:t>
        </w:r>
        <w:r w:rsidR="00EA7458" w:rsidRPr="00EA7458">
          <w:rPr>
            <w:rFonts w:ascii="Calibri" w:hAnsi="Calibri"/>
            <w:b/>
            <w:bCs/>
            <w:color w:val="295CA3"/>
            <w:spacing w:val="1"/>
            <w:w w:val="110"/>
            <w:sz w:val="18"/>
            <w:szCs w:val="18"/>
          </w:rPr>
          <w:t xml:space="preserve"> </w:t>
        </w:r>
        <w:r w:rsidR="00EA7458" w:rsidRPr="00EA7458">
          <w:rPr>
            <w:rFonts w:ascii="Calibri" w:hAnsi="Calibri"/>
            <w:b/>
            <w:bCs/>
            <w:color w:val="295CA3"/>
            <w:w w:val="110"/>
            <w:sz w:val="18"/>
            <w:szCs w:val="18"/>
          </w:rPr>
          <w:t>Priorities</w:t>
        </w:r>
        <w:r w:rsidR="00EA7458" w:rsidRPr="00EA7458">
          <w:rPr>
            <w:rFonts w:ascii="Calibri" w:hAnsi="Calibri"/>
            <w:b/>
            <w:bCs/>
            <w:color w:val="295CA3"/>
            <w:w w:val="110"/>
            <w:sz w:val="18"/>
            <w:szCs w:val="18"/>
          </w:rPr>
          <w:tab/>
          <w:t>178</w:t>
        </w:r>
      </w:hyperlink>
    </w:p>
    <w:p w14:paraId="0D450ECB" w14:textId="77777777" w:rsidR="00EA7458" w:rsidRPr="00EA7458" w:rsidRDefault="00BC1D20" w:rsidP="00664EFD">
      <w:pPr>
        <w:widowControl w:val="0"/>
        <w:numPr>
          <w:ilvl w:val="1"/>
          <w:numId w:val="9"/>
        </w:numPr>
        <w:tabs>
          <w:tab w:val="left" w:pos="708"/>
          <w:tab w:val="right" w:leader="dot" w:pos="9457"/>
        </w:tabs>
        <w:spacing w:before="81" w:after="0" w:line="240" w:lineRule="auto"/>
        <w:rPr>
          <w:rFonts w:ascii="Calibri" w:hAnsi="Calibri"/>
          <w:sz w:val="18"/>
          <w:szCs w:val="18"/>
        </w:rPr>
      </w:pPr>
      <w:hyperlink w:anchor="_bookmark90" w:history="1">
        <w:r w:rsidR="00EA7458" w:rsidRPr="00EA7458">
          <w:rPr>
            <w:rFonts w:ascii="Calibri" w:hAnsi="Calibri"/>
            <w:b/>
            <w:bCs/>
            <w:color w:val="295CA3"/>
            <w:w w:val="110"/>
            <w:sz w:val="18"/>
            <w:szCs w:val="18"/>
          </w:rPr>
          <w:t>Order of</w:t>
        </w:r>
        <w:r w:rsidR="00EA7458" w:rsidRPr="00EA7458">
          <w:rPr>
            <w:rFonts w:ascii="Calibri" w:hAnsi="Calibri"/>
            <w:b/>
            <w:bCs/>
            <w:color w:val="295CA3"/>
            <w:spacing w:val="1"/>
            <w:w w:val="110"/>
            <w:sz w:val="18"/>
            <w:szCs w:val="18"/>
          </w:rPr>
          <w:t xml:space="preserve"> </w:t>
        </w:r>
        <w:r w:rsidR="00EA7458" w:rsidRPr="00EA7458">
          <w:rPr>
            <w:rFonts w:ascii="Calibri" w:hAnsi="Calibri"/>
            <w:b/>
            <w:bCs/>
            <w:color w:val="295CA3"/>
            <w:w w:val="110"/>
            <w:sz w:val="18"/>
            <w:szCs w:val="18"/>
          </w:rPr>
          <w:t>Selection</w:t>
        </w:r>
        <w:r w:rsidR="00EA7458" w:rsidRPr="00EA7458">
          <w:rPr>
            <w:rFonts w:ascii="Calibri" w:hAnsi="Calibri"/>
            <w:b/>
            <w:bCs/>
            <w:color w:val="295CA3"/>
            <w:w w:val="110"/>
            <w:sz w:val="18"/>
            <w:szCs w:val="18"/>
          </w:rPr>
          <w:tab/>
          <w:t>181</w:t>
        </w:r>
      </w:hyperlink>
    </w:p>
    <w:p w14:paraId="2D55475B" w14:textId="77777777" w:rsidR="00EA7458" w:rsidRPr="00EA7458" w:rsidRDefault="00BC1D20" w:rsidP="00664EFD">
      <w:pPr>
        <w:widowControl w:val="0"/>
        <w:numPr>
          <w:ilvl w:val="1"/>
          <w:numId w:val="9"/>
        </w:numPr>
        <w:tabs>
          <w:tab w:val="left" w:pos="708"/>
          <w:tab w:val="right" w:leader="dot" w:pos="9457"/>
        </w:tabs>
        <w:spacing w:before="81" w:after="0" w:line="240" w:lineRule="auto"/>
        <w:rPr>
          <w:rFonts w:ascii="Calibri" w:hAnsi="Calibri"/>
          <w:sz w:val="18"/>
          <w:szCs w:val="18"/>
        </w:rPr>
      </w:pPr>
      <w:hyperlink w:anchor="_bookmark92" w:history="1">
        <w:r w:rsidR="00EA7458" w:rsidRPr="00EA7458">
          <w:rPr>
            <w:rFonts w:ascii="Calibri" w:hAnsi="Calibri"/>
            <w:b/>
            <w:bCs/>
            <w:color w:val="295CA3"/>
            <w:w w:val="110"/>
            <w:sz w:val="18"/>
            <w:szCs w:val="18"/>
          </w:rPr>
          <w:t>Goals and Plans for Distribution of Title VI, Part B</w:t>
        </w:r>
        <w:r w:rsidR="00EA7458" w:rsidRPr="00EA7458">
          <w:rPr>
            <w:rFonts w:ascii="Calibri" w:hAnsi="Calibri"/>
            <w:b/>
            <w:bCs/>
            <w:color w:val="295CA3"/>
            <w:spacing w:val="4"/>
            <w:w w:val="110"/>
            <w:sz w:val="18"/>
            <w:szCs w:val="18"/>
          </w:rPr>
          <w:t xml:space="preserve"> </w:t>
        </w:r>
        <w:r w:rsidR="00EA7458" w:rsidRPr="00EA7458">
          <w:rPr>
            <w:rFonts w:ascii="Calibri" w:hAnsi="Calibri"/>
            <w:b/>
            <w:bCs/>
            <w:color w:val="295CA3"/>
            <w:w w:val="110"/>
            <w:sz w:val="18"/>
            <w:szCs w:val="18"/>
          </w:rPr>
          <w:t>Funds</w:t>
        </w:r>
        <w:r w:rsidR="00EA7458" w:rsidRPr="00EA7458">
          <w:rPr>
            <w:rFonts w:ascii="Calibri" w:hAnsi="Calibri"/>
            <w:b/>
            <w:bCs/>
            <w:color w:val="295CA3"/>
            <w:w w:val="110"/>
            <w:sz w:val="18"/>
            <w:szCs w:val="18"/>
          </w:rPr>
          <w:tab/>
          <w:t>184</w:t>
        </w:r>
      </w:hyperlink>
    </w:p>
    <w:p w14:paraId="3B9F3E15" w14:textId="77777777" w:rsidR="00EA7458" w:rsidRPr="00EA7458" w:rsidRDefault="00BC1D20" w:rsidP="00664EFD">
      <w:pPr>
        <w:widowControl w:val="0"/>
        <w:numPr>
          <w:ilvl w:val="1"/>
          <w:numId w:val="9"/>
        </w:numPr>
        <w:tabs>
          <w:tab w:val="left" w:pos="708"/>
          <w:tab w:val="right" w:leader="dot" w:pos="9457"/>
        </w:tabs>
        <w:spacing w:before="81" w:after="0" w:line="240" w:lineRule="auto"/>
        <w:rPr>
          <w:rFonts w:ascii="Calibri" w:hAnsi="Calibri"/>
          <w:sz w:val="18"/>
          <w:szCs w:val="18"/>
        </w:rPr>
      </w:pPr>
      <w:hyperlink w:anchor="_bookmark93" w:history="1">
        <w:r w:rsidR="00EA7458" w:rsidRPr="00EA7458">
          <w:rPr>
            <w:rFonts w:ascii="Calibri" w:hAnsi="Calibri"/>
            <w:b/>
            <w:bCs/>
            <w:color w:val="295CA3"/>
            <w:w w:val="110"/>
            <w:sz w:val="18"/>
            <w:szCs w:val="18"/>
          </w:rPr>
          <w:t>State’s Strategies</w:t>
        </w:r>
        <w:r w:rsidR="00EA7458" w:rsidRPr="00EA7458">
          <w:rPr>
            <w:rFonts w:ascii="Calibri" w:hAnsi="Calibri"/>
            <w:b/>
            <w:bCs/>
            <w:color w:val="295CA3"/>
            <w:w w:val="110"/>
            <w:sz w:val="18"/>
            <w:szCs w:val="18"/>
          </w:rPr>
          <w:tab/>
          <w:t>186</w:t>
        </w:r>
      </w:hyperlink>
    </w:p>
    <w:p w14:paraId="671D852B" w14:textId="77777777" w:rsidR="00EA7458" w:rsidRPr="00EA7458" w:rsidRDefault="00BC1D20" w:rsidP="00664EFD">
      <w:pPr>
        <w:widowControl w:val="0"/>
        <w:numPr>
          <w:ilvl w:val="1"/>
          <w:numId w:val="9"/>
        </w:numPr>
        <w:tabs>
          <w:tab w:val="left" w:pos="708"/>
          <w:tab w:val="right" w:leader="dot" w:pos="9457"/>
        </w:tabs>
        <w:spacing w:before="81" w:after="0" w:line="240" w:lineRule="auto"/>
        <w:rPr>
          <w:rFonts w:ascii="Calibri" w:hAnsi="Calibri"/>
          <w:sz w:val="18"/>
          <w:szCs w:val="18"/>
        </w:rPr>
      </w:pPr>
      <w:hyperlink w:anchor="_bookmark95" w:history="1">
        <w:r w:rsidR="00EA7458" w:rsidRPr="00EA7458">
          <w:rPr>
            <w:rFonts w:ascii="Calibri" w:hAnsi="Calibri"/>
            <w:b/>
            <w:bCs/>
            <w:color w:val="295CA3"/>
            <w:w w:val="110"/>
            <w:sz w:val="18"/>
            <w:szCs w:val="18"/>
          </w:rPr>
          <w:t>Evaluation and Reports of</w:t>
        </w:r>
        <w:r w:rsidR="00EA7458" w:rsidRPr="00EA7458">
          <w:rPr>
            <w:rFonts w:ascii="Calibri" w:hAnsi="Calibri"/>
            <w:b/>
            <w:bCs/>
            <w:color w:val="295CA3"/>
            <w:spacing w:val="2"/>
            <w:w w:val="110"/>
            <w:sz w:val="18"/>
            <w:szCs w:val="18"/>
          </w:rPr>
          <w:t xml:space="preserve"> </w:t>
        </w:r>
        <w:r w:rsidR="00EA7458" w:rsidRPr="00EA7458">
          <w:rPr>
            <w:rFonts w:ascii="Calibri" w:hAnsi="Calibri"/>
            <w:b/>
            <w:bCs/>
            <w:color w:val="295CA3"/>
            <w:w w:val="110"/>
            <w:sz w:val="18"/>
            <w:szCs w:val="18"/>
          </w:rPr>
          <w:t>Progress</w:t>
        </w:r>
        <w:r w:rsidR="00EA7458" w:rsidRPr="00EA7458">
          <w:rPr>
            <w:rFonts w:ascii="Calibri" w:hAnsi="Calibri"/>
            <w:b/>
            <w:bCs/>
            <w:color w:val="295CA3"/>
            <w:w w:val="110"/>
            <w:sz w:val="18"/>
            <w:szCs w:val="18"/>
          </w:rPr>
          <w:tab/>
          <w:t>192</w:t>
        </w:r>
      </w:hyperlink>
    </w:p>
    <w:p w14:paraId="728A9EC8" w14:textId="581BA4FD" w:rsidR="00EA7458" w:rsidRPr="00EA7458" w:rsidRDefault="00BC1D20" w:rsidP="00664EFD">
      <w:pPr>
        <w:widowControl w:val="0"/>
        <w:numPr>
          <w:ilvl w:val="1"/>
          <w:numId w:val="9"/>
        </w:numPr>
        <w:tabs>
          <w:tab w:val="left" w:pos="708"/>
          <w:tab w:val="right" w:leader="dot" w:pos="9457"/>
        </w:tabs>
        <w:spacing w:before="81" w:after="0" w:line="240" w:lineRule="auto"/>
        <w:rPr>
          <w:rFonts w:ascii="Calibri" w:hAnsi="Calibri"/>
          <w:sz w:val="18"/>
          <w:szCs w:val="18"/>
        </w:rPr>
      </w:pPr>
      <w:hyperlink w:anchor="_bookmark97" w:history="1">
        <w:r w:rsidR="00EA7458" w:rsidRPr="00EA7458">
          <w:rPr>
            <w:rFonts w:ascii="Calibri" w:hAnsi="Calibri"/>
            <w:b/>
            <w:bCs/>
            <w:color w:val="295CA3"/>
            <w:w w:val="110"/>
            <w:sz w:val="18"/>
            <w:szCs w:val="18"/>
          </w:rPr>
          <w:t>Quality, Scope and Extent of Supported Employment</w:t>
        </w:r>
        <w:r w:rsidR="00EA7458" w:rsidRPr="00EA7458">
          <w:rPr>
            <w:rFonts w:ascii="Calibri" w:hAnsi="Calibri"/>
            <w:b/>
            <w:bCs/>
            <w:color w:val="295CA3"/>
            <w:spacing w:val="3"/>
            <w:w w:val="110"/>
            <w:sz w:val="18"/>
            <w:szCs w:val="18"/>
          </w:rPr>
          <w:t xml:space="preserve"> </w:t>
        </w:r>
        <w:r w:rsidR="00EA7458" w:rsidRPr="00EA7458">
          <w:rPr>
            <w:rFonts w:ascii="Calibri" w:hAnsi="Calibri"/>
            <w:b/>
            <w:bCs/>
            <w:color w:val="295CA3"/>
            <w:w w:val="110"/>
            <w:sz w:val="18"/>
            <w:szCs w:val="18"/>
          </w:rPr>
          <w:t>Services</w:t>
        </w:r>
        <w:r w:rsidR="00EA7458" w:rsidRPr="00EA7458">
          <w:rPr>
            <w:rFonts w:ascii="Calibri" w:hAnsi="Calibri"/>
            <w:b/>
            <w:bCs/>
            <w:color w:val="295CA3"/>
            <w:w w:val="110"/>
            <w:sz w:val="18"/>
            <w:szCs w:val="18"/>
          </w:rPr>
          <w:tab/>
          <w:t>204</w:t>
        </w:r>
      </w:hyperlink>
    </w:p>
    <w:p w14:paraId="4AFA4888" w14:textId="77777777" w:rsidR="00EA7458" w:rsidRPr="00EA7458" w:rsidRDefault="00BC1D20" w:rsidP="00EA7458">
      <w:pPr>
        <w:widowControl w:val="0"/>
        <w:tabs>
          <w:tab w:val="right" w:leader="dot" w:pos="9457"/>
        </w:tabs>
        <w:spacing w:before="81" w:after="0" w:line="240" w:lineRule="auto"/>
        <w:ind w:left="107"/>
        <w:rPr>
          <w:rFonts w:ascii="Calibri" w:hAnsi="Calibri"/>
          <w:sz w:val="18"/>
          <w:szCs w:val="18"/>
        </w:rPr>
      </w:pPr>
      <w:hyperlink w:anchor="_bookmark99" w:history="1">
        <w:r w:rsidR="00EA7458" w:rsidRPr="00EA7458">
          <w:rPr>
            <w:rFonts w:ascii="Calibri" w:hAnsi="Calibri"/>
            <w:b/>
            <w:bCs/>
            <w:color w:val="295CA3"/>
            <w:w w:val="115"/>
            <w:sz w:val="18"/>
            <w:szCs w:val="18"/>
          </w:rPr>
          <w:t>VOCATIONAL REHABILITATION CERTIFICATIONS &amp;</w:t>
        </w:r>
        <w:r w:rsidR="00EA7458" w:rsidRPr="00EA7458">
          <w:rPr>
            <w:rFonts w:ascii="Calibri" w:hAnsi="Calibri"/>
            <w:b/>
            <w:bCs/>
            <w:color w:val="295CA3"/>
            <w:spacing w:val="-6"/>
            <w:w w:val="115"/>
            <w:sz w:val="18"/>
            <w:szCs w:val="18"/>
          </w:rPr>
          <w:t xml:space="preserve"> </w:t>
        </w:r>
        <w:r w:rsidR="00EA7458" w:rsidRPr="00EA7458">
          <w:rPr>
            <w:rFonts w:ascii="Calibri" w:hAnsi="Calibri"/>
            <w:b/>
            <w:bCs/>
            <w:color w:val="295CA3"/>
            <w:w w:val="115"/>
            <w:sz w:val="18"/>
            <w:szCs w:val="18"/>
          </w:rPr>
          <w:t>ASSURANCES</w:t>
        </w:r>
        <w:r w:rsidR="00EA7458" w:rsidRPr="00EA7458">
          <w:rPr>
            <w:rFonts w:ascii="Calibri" w:hAnsi="Calibri"/>
            <w:b/>
            <w:bCs/>
            <w:color w:val="295CA3"/>
            <w:w w:val="115"/>
            <w:sz w:val="18"/>
            <w:szCs w:val="18"/>
          </w:rPr>
          <w:tab/>
          <w:t>208</w:t>
        </w:r>
      </w:hyperlink>
    </w:p>
    <w:p w14:paraId="7EBD5634" w14:textId="77777777" w:rsidR="00EA7458" w:rsidRPr="00EA7458" w:rsidRDefault="00BC1D20" w:rsidP="00EA7458">
      <w:pPr>
        <w:widowControl w:val="0"/>
        <w:tabs>
          <w:tab w:val="right" w:leader="dot" w:pos="9457"/>
        </w:tabs>
        <w:spacing w:before="81" w:after="0" w:line="240" w:lineRule="auto"/>
        <w:ind w:left="107"/>
        <w:rPr>
          <w:rFonts w:ascii="Calibri" w:hAnsi="Calibri"/>
          <w:sz w:val="18"/>
          <w:szCs w:val="18"/>
        </w:rPr>
      </w:pPr>
      <w:hyperlink w:anchor="_bookmark100" w:history="1">
        <w:r w:rsidR="00EA7458" w:rsidRPr="00EA7458">
          <w:rPr>
            <w:rFonts w:ascii="Calibri" w:hAnsi="Calibri"/>
            <w:b/>
            <w:bCs/>
            <w:color w:val="295CA3"/>
            <w:w w:val="115"/>
            <w:sz w:val="18"/>
            <w:szCs w:val="18"/>
          </w:rPr>
          <w:t>CERTIFICATION REGARDING</w:t>
        </w:r>
        <w:r w:rsidR="00EA7458" w:rsidRPr="00EA7458">
          <w:rPr>
            <w:rFonts w:ascii="Calibri" w:hAnsi="Calibri"/>
            <w:b/>
            <w:bCs/>
            <w:color w:val="295CA3"/>
            <w:spacing w:val="-3"/>
            <w:w w:val="115"/>
            <w:sz w:val="18"/>
            <w:szCs w:val="18"/>
          </w:rPr>
          <w:t xml:space="preserve"> </w:t>
        </w:r>
        <w:r w:rsidR="00EA7458" w:rsidRPr="00EA7458">
          <w:rPr>
            <w:rFonts w:ascii="Calibri" w:hAnsi="Calibri"/>
            <w:b/>
            <w:bCs/>
            <w:color w:val="295CA3"/>
            <w:w w:val="115"/>
            <w:sz w:val="18"/>
            <w:szCs w:val="18"/>
          </w:rPr>
          <w:t>LOBBYING</w:t>
        </w:r>
        <w:r w:rsidR="00EA7458" w:rsidRPr="00EA7458">
          <w:rPr>
            <w:rFonts w:ascii="Calibri" w:hAnsi="Calibri"/>
            <w:b/>
            <w:bCs/>
            <w:color w:val="295CA3"/>
            <w:w w:val="115"/>
            <w:sz w:val="18"/>
            <w:szCs w:val="18"/>
          </w:rPr>
          <w:tab/>
          <w:t>213</w:t>
        </w:r>
      </w:hyperlink>
    </w:p>
    <w:p w14:paraId="40A11010" w14:textId="77777777" w:rsidR="00EA7458" w:rsidRPr="00EA7458" w:rsidRDefault="00BC1D20" w:rsidP="00664EFD">
      <w:pPr>
        <w:widowControl w:val="0"/>
        <w:numPr>
          <w:ilvl w:val="0"/>
          <w:numId w:val="9"/>
        </w:numPr>
        <w:tabs>
          <w:tab w:val="left" w:pos="321"/>
          <w:tab w:val="right" w:leader="dot" w:pos="9457"/>
        </w:tabs>
        <w:spacing w:before="81" w:after="0" w:line="240" w:lineRule="auto"/>
        <w:ind w:left="320" w:hanging="212"/>
        <w:rPr>
          <w:rFonts w:ascii="Calibri" w:hAnsi="Calibri"/>
          <w:sz w:val="18"/>
          <w:szCs w:val="18"/>
        </w:rPr>
      </w:pPr>
      <w:hyperlink w:anchor="_bookmark101" w:history="1">
        <w:r w:rsidR="00EA7458" w:rsidRPr="00EA7458">
          <w:rPr>
            <w:rFonts w:ascii="Calibri" w:hAnsi="Calibri"/>
            <w:b/>
            <w:bCs/>
            <w:color w:val="295CA3"/>
            <w:w w:val="110"/>
            <w:sz w:val="18"/>
            <w:szCs w:val="18"/>
          </w:rPr>
          <w:t>SPECIFIC</w:t>
        </w:r>
        <w:r w:rsidR="00EA7458" w:rsidRPr="00EA7458">
          <w:rPr>
            <w:rFonts w:ascii="Calibri" w:hAnsi="Calibri"/>
            <w:b/>
            <w:bCs/>
            <w:color w:val="295CA3"/>
            <w:spacing w:val="-3"/>
            <w:w w:val="110"/>
            <w:sz w:val="18"/>
            <w:szCs w:val="18"/>
          </w:rPr>
          <w:t xml:space="preserve"> </w:t>
        </w:r>
        <w:r w:rsidR="00EA7458" w:rsidRPr="00EA7458">
          <w:rPr>
            <w:rFonts w:ascii="Calibri" w:hAnsi="Calibri"/>
            <w:b/>
            <w:bCs/>
            <w:color w:val="295CA3"/>
            <w:w w:val="110"/>
            <w:sz w:val="18"/>
            <w:szCs w:val="18"/>
          </w:rPr>
          <w:t>REQUIREMENTS</w:t>
        </w:r>
        <w:r w:rsidR="00EA7458" w:rsidRPr="00EA7458">
          <w:rPr>
            <w:rFonts w:ascii="Calibri" w:hAnsi="Calibri"/>
            <w:b/>
            <w:bCs/>
            <w:color w:val="295CA3"/>
            <w:spacing w:val="-3"/>
            <w:w w:val="110"/>
            <w:sz w:val="18"/>
            <w:szCs w:val="18"/>
          </w:rPr>
          <w:t xml:space="preserve"> </w:t>
        </w:r>
        <w:r w:rsidR="00EA7458" w:rsidRPr="00EA7458">
          <w:rPr>
            <w:rFonts w:ascii="Calibri" w:hAnsi="Calibri"/>
            <w:b/>
            <w:bCs/>
            <w:color w:val="295CA3"/>
            <w:w w:val="110"/>
            <w:sz w:val="18"/>
            <w:szCs w:val="18"/>
          </w:rPr>
          <w:t>FOR</w:t>
        </w:r>
        <w:r w:rsidR="00EA7458" w:rsidRPr="00EA7458">
          <w:rPr>
            <w:rFonts w:ascii="Calibri" w:hAnsi="Calibri"/>
            <w:b/>
            <w:bCs/>
            <w:color w:val="295CA3"/>
            <w:spacing w:val="-3"/>
            <w:w w:val="110"/>
            <w:sz w:val="18"/>
            <w:szCs w:val="18"/>
          </w:rPr>
          <w:t xml:space="preserve"> </w:t>
        </w:r>
        <w:r w:rsidR="00EA7458" w:rsidRPr="00EA7458">
          <w:rPr>
            <w:rFonts w:ascii="Calibri" w:hAnsi="Calibri"/>
            <w:b/>
            <w:bCs/>
            <w:color w:val="295CA3"/>
            <w:w w:val="110"/>
            <w:sz w:val="18"/>
            <w:szCs w:val="18"/>
          </w:rPr>
          <w:t>CORE</w:t>
        </w:r>
        <w:r w:rsidR="00EA7458" w:rsidRPr="00EA7458">
          <w:rPr>
            <w:rFonts w:ascii="Calibri" w:hAnsi="Calibri"/>
            <w:b/>
            <w:bCs/>
            <w:color w:val="295CA3"/>
            <w:spacing w:val="-3"/>
            <w:w w:val="110"/>
            <w:sz w:val="18"/>
            <w:szCs w:val="18"/>
          </w:rPr>
          <w:t xml:space="preserve"> </w:t>
        </w:r>
        <w:r w:rsidR="00EA7458" w:rsidRPr="00EA7458">
          <w:rPr>
            <w:rFonts w:ascii="Calibri" w:hAnsi="Calibri"/>
            <w:b/>
            <w:bCs/>
            <w:color w:val="295CA3"/>
            <w:w w:val="110"/>
            <w:sz w:val="18"/>
            <w:szCs w:val="18"/>
          </w:rPr>
          <w:t>PROGRAMS–</w:t>
        </w:r>
        <w:r w:rsidR="00EA7458" w:rsidRPr="00EA7458">
          <w:rPr>
            <w:rFonts w:ascii="Gill Sans MT" w:hAnsi="Gill Sans MT" w:cs="Gill Sans MT"/>
            <w:b/>
            <w:bCs/>
            <w:i/>
            <w:color w:val="295CA3"/>
            <w:w w:val="110"/>
            <w:sz w:val="18"/>
            <w:szCs w:val="18"/>
          </w:rPr>
          <w:t>FLORIDA</w:t>
        </w:r>
        <w:r w:rsidR="00EA7458" w:rsidRPr="00EA7458">
          <w:rPr>
            <w:rFonts w:ascii="Gill Sans MT" w:hAnsi="Gill Sans MT" w:cs="Gill Sans MT"/>
            <w:b/>
            <w:bCs/>
            <w:i/>
            <w:color w:val="295CA3"/>
            <w:spacing w:val="-13"/>
            <w:w w:val="110"/>
            <w:sz w:val="18"/>
            <w:szCs w:val="18"/>
          </w:rPr>
          <w:t xml:space="preserve"> </w:t>
        </w:r>
        <w:r w:rsidR="00EA7458" w:rsidRPr="00EA7458">
          <w:rPr>
            <w:rFonts w:ascii="Gill Sans MT" w:hAnsi="Gill Sans MT" w:cs="Gill Sans MT"/>
            <w:b/>
            <w:bCs/>
            <w:i/>
            <w:color w:val="295CA3"/>
            <w:w w:val="110"/>
            <w:sz w:val="18"/>
            <w:szCs w:val="18"/>
          </w:rPr>
          <w:t>DIVISION</w:t>
        </w:r>
        <w:r w:rsidR="00EA7458" w:rsidRPr="00EA7458">
          <w:rPr>
            <w:rFonts w:ascii="Gill Sans MT" w:hAnsi="Gill Sans MT" w:cs="Gill Sans MT"/>
            <w:b/>
            <w:bCs/>
            <w:i/>
            <w:color w:val="295CA3"/>
            <w:spacing w:val="-13"/>
            <w:w w:val="110"/>
            <w:sz w:val="18"/>
            <w:szCs w:val="18"/>
          </w:rPr>
          <w:t xml:space="preserve"> </w:t>
        </w:r>
        <w:r w:rsidR="00EA7458" w:rsidRPr="00EA7458">
          <w:rPr>
            <w:rFonts w:ascii="Gill Sans MT" w:hAnsi="Gill Sans MT" w:cs="Gill Sans MT"/>
            <w:b/>
            <w:bCs/>
            <w:i/>
            <w:color w:val="295CA3"/>
            <w:w w:val="110"/>
            <w:sz w:val="18"/>
            <w:szCs w:val="18"/>
          </w:rPr>
          <w:t>OF</w:t>
        </w:r>
        <w:r w:rsidR="00EA7458" w:rsidRPr="00EA7458">
          <w:rPr>
            <w:rFonts w:ascii="Gill Sans MT" w:hAnsi="Gill Sans MT" w:cs="Gill Sans MT"/>
            <w:b/>
            <w:bCs/>
            <w:i/>
            <w:color w:val="295CA3"/>
            <w:spacing w:val="-13"/>
            <w:w w:val="110"/>
            <w:sz w:val="18"/>
            <w:szCs w:val="18"/>
          </w:rPr>
          <w:t xml:space="preserve"> </w:t>
        </w:r>
        <w:r w:rsidR="00EA7458" w:rsidRPr="00EA7458">
          <w:rPr>
            <w:rFonts w:ascii="Gill Sans MT" w:hAnsi="Gill Sans MT" w:cs="Gill Sans MT"/>
            <w:b/>
            <w:bCs/>
            <w:i/>
            <w:color w:val="295CA3"/>
            <w:w w:val="110"/>
            <w:sz w:val="18"/>
            <w:szCs w:val="18"/>
          </w:rPr>
          <w:t>BLIND</w:t>
        </w:r>
        <w:r w:rsidR="00EA7458" w:rsidRPr="00EA7458">
          <w:rPr>
            <w:rFonts w:ascii="Gill Sans MT" w:hAnsi="Gill Sans MT" w:cs="Gill Sans MT"/>
            <w:b/>
            <w:bCs/>
            <w:i/>
            <w:color w:val="295CA3"/>
            <w:spacing w:val="-13"/>
            <w:w w:val="110"/>
            <w:sz w:val="18"/>
            <w:szCs w:val="18"/>
          </w:rPr>
          <w:t xml:space="preserve"> </w:t>
        </w:r>
        <w:r w:rsidR="00EA7458" w:rsidRPr="00EA7458">
          <w:rPr>
            <w:rFonts w:ascii="Gill Sans MT" w:hAnsi="Gill Sans MT" w:cs="Gill Sans MT"/>
            <w:b/>
            <w:bCs/>
            <w:i/>
            <w:color w:val="295CA3"/>
            <w:w w:val="110"/>
            <w:sz w:val="18"/>
            <w:szCs w:val="18"/>
          </w:rPr>
          <w:t>SERVICES</w:t>
        </w:r>
        <w:r w:rsidR="00EA7458" w:rsidRPr="00EA7458">
          <w:rPr>
            <w:rFonts w:ascii="Calibri" w:hAnsi="Calibri"/>
            <w:b/>
            <w:bCs/>
            <w:color w:val="295CA3"/>
            <w:w w:val="110"/>
            <w:sz w:val="18"/>
            <w:szCs w:val="18"/>
          </w:rPr>
          <w:tab/>
          <w:t>214</w:t>
        </w:r>
      </w:hyperlink>
    </w:p>
    <w:p w14:paraId="7DF2035C" w14:textId="77777777" w:rsidR="00EA7458" w:rsidRPr="00EA7458" w:rsidRDefault="00BC1D20" w:rsidP="00664EFD">
      <w:pPr>
        <w:widowControl w:val="0"/>
        <w:numPr>
          <w:ilvl w:val="1"/>
          <w:numId w:val="9"/>
        </w:numPr>
        <w:tabs>
          <w:tab w:val="left" w:pos="708"/>
          <w:tab w:val="right" w:leader="dot" w:pos="9457"/>
        </w:tabs>
        <w:spacing w:before="81" w:after="0" w:line="240" w:lineRule="auto"/>
        <w:rPr>
          <w:rFonts w:ascii="Calibri" w:hAnsi="Calibri"/>
          <w:sz w:val="18"/>
          <w:szCs w:val="18"/>
        </w:rPr>
      </w:pPr>
      <w:hyperlink w:anchor="_bookmark101" w:history="1">
        <w:r w:rsidR="00EA7458" w:rsidRPr="00EA7458">
          <w:rPr>
            <w:rFonts w:ascii="Calibri" w:hAnsi="Calibri"/>
            <w:b/>
            <w:bCs/>
            <w:color w:val="295CA3"/>
            <w:w w:val="105"/>
            <w:sz w:val="18"/>
            <w:szCs w:val="18"/>
          </w:rPr>
          <w:t>Input of State Rehabilitation</w:t>
        </w:r>
        <w:r w:rsidR="00EA7458" w:rsidRPr="00EA7458">
          <w:rPr>
            <w:rFonts w:ascii="Calibri" w:hAnsi="Calibri"/>
            <w:b/>
            <w:bCs/>
            <w:color w:val="295CA3"/>
            <w:spacing w:val="14"/>
            <w:w w:val="105"/>
            <w:sz w:val="18"/>
            <w:szCs w:val="18"/>
          </w:rPr>
          <w:t xml:space="preserve"> </w:t>
        </w:r>
        <w:r w:rsidR="00EA7458" w:rsidRPr="00EA7458">
          <w:rPr>
            <w:rFonts w:ascii="Calibri" w:hAnsi="Calibri"/>
            <w:b/>
            <w:bCs/>
            <w:color w:val="295CA3"/>
            <w:w w:val="105"/>
            <w:sz w:val="18"/>
            <w:szCs w:val="18"/>
          </w:rPr>
          <w:t>Council</w:t>
        </w:r>
        <w:r w:rsidR="00EA7458" w:rsidRPr="00EA7458">
          <w:rPr>
            <w:rFonts w:ascii="Calibri" w:hAnsi="Calibri"/>
            <w:b/>
            <w:bCs/>
            <w:color w:val="295CA3"/>
            <w:w w:val="105"/>
            <w:sz w:val="18"/>
            <w:szCs w:val="18"/>
          </w:rPr>
          <w:tab/>
          <w:t>214</w:t>
        </w:r>
      </w:hyperlink>
    </w:p>
    <w:p w14:paraId="4877E08D" w14:textId="77777777" w:rsidR="00EA7458" w:rsidRPr="00EA7458" w:rsidRDefault="00BC1D20" w:rsidP="00664EFD">
      <w:pPr>
        <w:widowControl w:val="0"/>
        <w:numPr>
          <w:ilvl w:val="1"/>
          <w:numId w:val="9"/>
        </w:numPr>
        <w:tabs>
          <w:tab w:val="left" w:pos="708"/>
          <w:tab w:val="right" w:leader="dot" w:pos="9457"/>
        </w:tabs>
        <w:spacing w:before="81" w:after="0" w:line="240" w:lineRule="auto"/>
        <w:rPr>
          <w:rFonts w:ascii="Calibri" w:hAnsi="Calibri"/>
          <w:sz w:val="18"/>
          <w:szCs w:val="18"/>
        </w:rPr>
      </w:pPr>
      <w:hyperlink w:anchor="_bookmark102" w:history="1">
        <w:r w:rsidR="00EA7458" w:rsidRPr="00EA7458">
          <w:rPr>
            <w:rFonts w:ascii="Calibri" w:hAnsi="Calibri"/>
            <w:b/>
            <w:bCs/>
            <w:color w:val="295CA3"/>
            <w:w w:val="105"/>
            <w:sz w:val="18"/>
            <w:szCs w:val="18"/>
          </w:rPr>
          <w:t>Request for Waiver of</w:t>
        </w:r>
        <w:r w:rsidR="00EA7458" w:rsidRPr="00EA7458">
          <w:rPr>
            <w:rFonts w:ascii="Calibri" w:hAnsi="Calibri"/>
            <w:b/>
            <w:bCs/>
            <w:color w:val="295CA3"/>
            <w:spacing w:val="13"/>
            <w:w w:val="105"/>
            <w:sz w:val="18"/>
            <w:szCs w:val="18"/>
          </w:rPr>
          <w:t xml:space="preserve"> </w:t>
        </w:r>
        <w:r w:rsidR="00EA7458" w:rsidRPr="00EA7458">
          <w:rPr>
            <w:rFonts w:ascii="Calibri" w:hAnsi="Calibri"/>
            <w:b/>
            <w:bCs/>
            <w:color w:val="295CA3"/>
            <w:w w:val="105"/>
            <w:sz w:val="18"/>
            <w:szCs w:val="18"/>
          </w:rPr>
          <w:t>Statewideness</w:t>
        </w:r>
        <w:r w:rsidR="00EA7458" w:rsidRPr="00EA7458">
          <w:rPr>
            <w:rFonts w:ascii="Calibri" w:hAnsi="Calibri"/>
            <w:b/>
            <w:bCs/>
            <w:color w:val="295CA3"/>
            <w:w w:val="105"/>
            <w:sz w:val="18"/>
            <w:szCs w:val="18"/>
          </w:rPr>
          <w:tab/>
          <w:t>217</w:t>
        </w:r>
      </w:hyperlink>
    </w:p>
    <w:p w14:paraId="39EE4C14" w14:textId="77777777" w:rsidR="00EA7458" w:rsidRPr="00EA7458" w:rsidRDefault="00BC1D20" w:rsidP="00664EFD">
      <w:pPr>
        <w:widowControl w:val="0"/>
        <w:numPr>
          <w:ilvl w:val="1"/>
          <w:numId w:val="9"/>
        </w:numPr>
        <w:tabs>
          <w:tab w:val="left" w:pos="708"/>
          <w:tab w:val="right" w:leader="dot" w:pos="9457"/>
        </w:tabs>
        <w:spacing w:before="81" w:after="0" w:line="240" w:lineRule="auto"/>
        <w:rPr>
          <w:rFonts w:ascii="Calibri" w:hAnsi="Calibri"/>
          <w:sz w:val="18"/>
          <w:szCs w:val="18"/>
        </w:rPr>
      </w:pPr>
      <w:hyperlink w:anchor="_bookmark103" w:history="1">
        <w:r w:rsidR="00EA7458" w:rsidRPr="00EA7458">
          <w:rPr>
            <w:rFonts w:ascii="Calibri" w:hAnsi="Calibri"/>
            <w:b/>
            <w:bCs/>
            <w:color w:val="295CA3"/>
            <w:w w:val="110"/>
            <w:sz w:val="18"/>
            <w:szCs w:val="18"/>
          </w:rPr>
          <w:t>Cooperation with Agencies Not Under the Workforce</w:t>
        </w:r>
        <w:r w:rsidR="00EA7458" w:rsidRPr="00EA7458">
          <w:rPr>
            <w:rFonts w:ascii="Calibri" w:hAnsi="Calibri"/>
            <w:b/>
            <w:bCs/>
            <w:color w:val="295CA3"/>
            <w:spacing w:val="-1"/>
            <w:w w:val="110"/>
            <w:sz w:val="18"/>
            <w:szCs w:val="18"/>
          </w:rPr>
          <w:t xml:space="preserve"> </w:t>
        </w:r>
        <w:r w:rsidR="00EA7458" w:rsidRPr="00EA7458">
          <w:rPr>
            <w:rFonts w:ascii="Calibri" w:hAnsi="Calibri"/>
            <w:b/>
            <w:bCs/>
            <w:color w:val="295CA3"/>
            <w:w w:val="110"/>
            <w:sz w:val="18"/>
            <w:szCs w:val="18"/>
          </w:rPr>
          <w:t>System</w:t>
        </w:r>
        <w:r w:rsidR="00EA7458" w:rsidRPr="00EA7458">
          <w:rPr>
            <w:rFonts w:ascii="Calibri" w:hAnsi="Calibri"/>
            <w:b/>
            <w:bCs/>
            <w:color w:val="295CA3"/>
            <w:w w:val="110"/>
            <w:sz w:val="18"/>
            <w:szCs w:val="18"/>
          </w:rPr>
          <w:tab/>
          <w:t>218</w:t>
        </w:r>
      </w:hyperlink>
    </w:p>
    <w:p w14:paraId="05E9605A" w14:textId="77777777" w:rsidR="00EA7458" w:rsidRPr="00EA7458" w:rsidRDefault="00BC1D20" w:rsidP="00664EFD">
      <w:pPr>
        <w:widowControl w:val="0"/>
        <w:numPr>
          <w:ilvl w:val="1"/>
          <w:numId w:val="9"/>
        </w:numPr>
        <w:tabs>
          <w:tab w:val="left" w:pos="708"/>
          <w:tab w:val="right" w:leader="dot" w:pos="9457"/>
        </w:tabs>
        <w:spacing w:before="81" w:after="0" w:line="240" w:lineRule="auto"/>
        <w:rPr>
          <w:rFonts w:ascii="Calibri" w:hAnsi="Calibri"/>
          <w:sz w:val="18"/>
          <w:szCs w:val="18"/>
        </w:rPr>
      </w:pPr>
      <w:hyperlink w:anchor="_bookmark104" w:history="1">
        <w:r w:rsidR="00EA7458" w:rsidRPr="00EA7458">
          <w:rPr>
            <w:rFonts w:ascii="Calibri" w:hAnsi="Calibri"/>
            <w:b/>
            <w:bCs/>
            <w:color w:val="295CA3"/>
            <w:w w:val="110"/>
            <w:sz w:val="18"/>
            <w:szCs w:val="18"/>
          </w:rPr>
          <w:t>Coordination with Education</w:t>
        </w:r>
        <w:r w:rsidR="00EA7458" w:rsidRPr="00EA7458">
          <w:rPr>
            <w:rFonts w:ascii="Calibri" w:hAnsi="Calibri"/>
            <w:b/>
            <w:bCs/>
            <w:color w:val="295CA3"/>
            <w:spacing w:val="1"/>
            <w:w w:val="110"/>
            <w:sz w:val="18"/>
            <w:szCs w:val="18"/>
          </w:rPr>
          <w:t xml:space="preserve"> </w:t>
        </w:r>
        <w:r w:rsidR="00EA7458" w:rsidRPr="00EA7458">
          <w:rPr>
            <w:rFonts w:ascii="Calibri" w:hAnsi="Calibri"/>
            <w:b/>
            <w:bCs/>
            <w:color w:val="295CA3"/>
            <w:w w:val="110"/>
            <w:sz w:val="18"/>
            <w:szCs w:val="18"/>
          </w:rPr>
          <w:t>Officials</w:t>
        </w:r>
        <w:r w:rsidR="00EA7458" w:rsidRPr="00EA7458">
          <w:rPr>
            <w:rFonts w:ascii="Calibri" w:hAnsi="Calibri"/>
            <w:b/>
            <w:bCs/>
            <w:color w:val="295CA3"/>
            <w:w w:val="110"/>
            <w:sz w:val="18"/>
            <w:szCs w:val="18"/>
          </w:rPr>
          <w:tab/>
          <w:t>219</w:t>
        </w:r>
      </w:hyperlink>
    </w:p>
    <w:p w14:paraId="6522224D" w14:textId="77777777" w:rsidR="00EA7458" w:rsidRPr="00EA7458" w:rsidRDefault="00BC1D20" w:rsidP="00664EFD">
      <w:pPr>
        <w:widowControl w:val="0"/>
        <w:numPr>
          <w:ilvl w:val="1"/>
          <w:numId w:val="9"/>
        </w:numPr>
        <w:tabs>
          <w:tab w:val="left" w:pos="708"/>
          <w:tab w:val="right" w:leader="dot" w:pos="9457"/>
        </w:tabs>
        <w:spacing w:before="81" w:after="0" w:line="240" w:lineRule="auto"/>
        <w:rPr>
          <w:rFonts w:ascii="Calibri" w:hAnsi="Calibri"/>
          <w:sz w:val="18"/>
          <w:szCs w:val="18"/>
        </w:rPr>
      </w:pPr>
      <w:hyperlink w:anchor="_bookmark105" w:history="1">
        <w:r w:rsidR="00EA7458" w:rsidRPr="00EA7458">
          <w:rPr>
            <w:rFonts w:ascii="Calibri" w:hAnsi="Calibri"/>
            <w:b/>
            <w:bCs/>
            <w:color w:val="295CA3"/>
            <w:w w:val="110"/>
            <w:sz w:val="18"/>
            <w:szCs w:val="18"/>
          </w:rPr>
          <w:t>Cooperative Agreements with Private Nonprofit</w:t>
        </w:r>
        <w:r w:rsidR="00EA7458" w:rsidRPr="00EA7458">
          <w:rPr>
            <w:rFonts w:ascii="Calibri" w:hAnsi="Calibri"/>
            <w:b/>
            <w:bCs/>
            <w:color w:val="295CA3"/>
            <w:spacing w:val="-1"/>
            <w:w w:val="110"/>
            <w:sz w:val="18"/>
            <w:szCs w:val="18"/>
          </w:rPr>
          <w:t xml:space="preserve"> </w:t>
        </w:r>
        <w:r w:rsidR="00EA7458" w:rsidRPr="00EA7458">
          <w:rPr>
            <w:rFonts w:ascii="Calibri" w:hAnsi="Calibri"/>
            <w:b/>
            <w:bCs/>
            <w:color w:val="295CA3"/>
            <w:w w:val="110"/>
            <w:sz w:val="18"/>
            <w:szCs w:val="18"/>
          </w:rPr>
          <w:t>Organizations</w:t>
        </w:r>
        <w:r w:rsidR="00EA7458" w:rsidRPr="00EA7458">
          <w:rPr>
            <w:rFonts w:ascii="Calibri" w:hAnsi="Calibri"/>
            <w:b/>
            <w:bCs/>
            <w:color w:val="295CA3"/>
            <w:w w:val="110"/>
            <w:sz w:val="18"/>
            <w:szCs w:val="18"/>
          </w:rPr>
          <w:tab/>
          <w:t>221</w:t>
        </w:r>
      </w:hyperlink>
    </w:p>
    <w:p w14:paraId="698ADA5B" w14:textId="77777777" w:rsidR="00EA7458" w:rsidRPr="00EA7458" w:rsidRDefault="00BC1D20" w:rsidP="00664EFD">
      <w:pPr>
        <w:widowControl w:val="0"/>
        <w:numPr>
          <w:ilvl w:val="1"/>
          <w:numId w:val="9"/>
        </w:numPr>
        <w:tabs>
          <w:tab w:val="left" w:pos="708"/>
          <w:tab w:val="right" w:leader="dot" w:pos="9457"/>
        </w:tabs>
        <w:spacing w:before="81" w:after="0" w:line="240" w:lineRule="auto"/>
        <w:rPr>
          <w:rFonts w:ascii="Calibri" w:hAnsi="Calibri"/>
          <w:sz w:val="18"/>
          <w:szCs w:val="18"/>
        </w:rPr>
      </w:pPr>
      <w:hyperlink w:anchor="_bookmark105" w:history="1">
        <w:r w:rsidR="00EA7458" w:rsidRPr="00EA7458">
          <w:rPr>
            <w:rFonts w:ascii="Calibri" w:hAnsi="Calibri"/>
            <w:b/>
            <w:bCs/>
            <w:color w:val="295CA3"/>
            <w:w w:val="110"/>
            <w:sz w:val="18"/>
            <w:szCs w:val="18"/>
          </w:rPr>
          <w:t>Cooperative Agreements for the Provision of Supported Employment</w:t>
        </w:r>
        <w:r w:rsidR="00EA7458" w:rsidRPr="00EA7458">
          <w:rPr>
            <w:rFonts w:ascii="Calibri" w:hAnsi="Calibri"/>
            <w:b/>
            <w:bCs/>
            <w:color w:val="295CA3"/>
            <w:spacing w:val="-4"/>
            <w:w w:val="110"/>
            <w:sz w:val="18"/>
            <w:szCs w:val="18"/>
          </w:rPr>
          <w:t xml:space="preserve"> </w:t>
        </w:r>
        <w:r w:rsidR="00EA7458" w:rsidRPr="00EA7458">
          <w:rPr>
            <w:rFonts w:ascii="Calibri" w:hAnsi="Calibri"/>
            <w:b/>
            <w:bCs/>
            <w:color w:val="295CA3"/>
            <w:w w:val="110"/>
            <w:sz w:val="18"/>
            <w:szCs w:val="18"/>
          </w:rPr>
          <w:t>Services</w:t>
        </w:r>
        <w:r w:rsidR="00EA7458" w:rsidRPr="00EA7458">
          <w:rPr>
            <w:rFonts w:ascii="Calibri" w:hAnsi="Calibri"/>
            <w:b/>
            <w:bCs/>
            <w:color w:val="295CA3"/>
            <w:w w:val="110"/>
            <w:sz w:val="18"/>
            <w:szCs w:val="18"/>
          </w:rPr>
          <w:tab/>
          <w:t>221</w:t>
        </w:r>
      </w:hyperlink>
    </w:p>
    <w:p w14:paraId="0EE7D4F7" w14:textId="77777777" w:rsidR="00EA7458" w:rsidRPr="00EA7458" w:rsidRDefault="00BC1D20" w:rsidP="00664EFD">
      <w:pPr>
        <w:widowControl w:val="0"/>
        <w:numPr>
          <w:ilvl w:val="1"/>
          <w:numId w:val="9"/>
        </w:numPr>
        <w:tabs>
          <w:tab w:val="left" w:pos="708"/>
          <w:tab w:val="right" w:leader="dot" w:pos="9457"/>
        </w:tabs>
        <w:spacing w:before="81" w:after="0" w:line="240" w:lineRule="auto"/>
        <w:rPr>
          <w:rFonts w:ascii="Calibri" w:hAnsi="Calibri"/>
          <w:sz w:val="18"/>
          <w:szCs w:val="18"/>
        </w:rPr>
      </w:pPr>
      <w:hyperlink w:anchor="_bookmark106" w:history="1">
        <w:r w:rsidR="00EA7458" w:rsidRPr="00EA7458">
          <w:rPr>
            <w:rFonts w:ascii="Calibri" w:hAnsi="Calibri"/>
            <w:b/>
            <w:bCs/>
            <w:color w:val="295CA3"/>
            <w:w w:val="110"/>
            <w:sz w:val="18"/>
            <w:szCs w:val="18"/>
          </w:rPr>
          <w:t>Coordination with</w:t>
        </w:r>
        <w:r w:rsidR="00EA7458" w:rsidRPr="00EA7458">
          <w:rPr>
            <w:rFonts w:ascii="Calibri" w:hAnsi="Calibri"/>
            <w:b/>
            <w:bCs/>
            <w:color w:val="295CA3"/>
            <w:spacing w:val="1"/>
            <w:w w:val="110"/>
            <w:sz w:val="18"/>
            <w:szCs w:val="18"/>
          </w:rPr>
          <w:t xml:space="preserve"> </w:t>
        </w:r>
        <w:r w:rsidR="00EA7458" w:rsidRPr="00EA7458">
          <w:rPr>
            <w:rFonts w:ascii="Calibri" w:hAnsi="Calibri"/>
            <w:b/>
            <w:bCs/>
            <w:color w:val="295CA3"/>
            <w:w w:val="110"/>
            <w:sz w:val="18"/>
            <w:szCs w:val="18"/>
          </w:rPr>
          <w:t>Employers</w:t>
        </w:r>
        <w:r w:rsidR="00EA7458" w:rsidRPr="00EA7458">
          <w:rPr>
            <w:rFonts w:ascii="Calibri" w:hAnsi="Calibri"/>
            <w:b/>
            <w:bCs/>
            <w:color w:val="295CA3"/>
            <w:w w:val="110"/>
            <w:sz w:val="18"/>
            <w:szCs w:val="18"/>
          </w:rPr>
          <w:tab/>
          <w:t>222</w:t>
        </w:r>
      </w:hyperlink>
    </w:p>
    <w:p w14:paraId="6EE1BD87" w14:textId="77777777" w:rsidR="00EA7458" w:rsidRPr="00EA7458" w:rsidRDefault="00BC1D20" w:rsidP="00664EFD">
      <w:pPr>
        <w:widowControl w:val="0"/>
        <w:numPr>
          <w:ilvl w:val="1"/>
          <w:numId w:val="9"/>
        </w:numPr>
        <w:tabs>
          <w:tab w:val="left" w:pos="708"/>
          <w:tab w:val="right" w:leader="dot" w:pos="9457"/>
        </w:tabs>
        <w:spacing w:before="81" w:after="0" w:line="240" w:lineRule="auto"/>
        <w:rPr>
          <w:rFonts w:ascii="Calibri" w:hAnsi="Calibri"/>
          <w:sz w:val="18"/>
          <w:szCs w:val="18"/>
        </w:rPr>
      </w:pPr>
      <w:hyperlink w:anchor="_bookmark107" w:history="1">
        <w:r w:rsidR="00EA7458" w:rsidRPr="00EA7458">
          <w:rPr>
            <w:rFonts w:ascii="Calibri" w:hAnsi="Calibri"/>
            <w:b/>
            <w:bCs/>
            <w:color w:val="295CA3"/>
            <w:w w:val="110"/>
            <w:sz w:val="18"/>
            <w:szCs w:val="18"/>
          </w:rPr>
          <w:t>Interagency Cooperation</w:t>
        </w:r>
        <w:r w:rsidR="00EA7458" w:rsidRPr="00EA7458">
          <w:rPr>
            <w:rFonts w:ascii="Calibri" w:hAnsi="Calibri"/>
            <w:b/>
            <w:bCs/>
            <w:color w:val="295CA3"/>
            <w:w w:val="110"/>
            <w:sz w:val="18"/>
            <w:szCs w:val="18"/>
          </w:rPr>
          <w:tab/>
          <w:t>223</w:t>
        </w:r>
      </w:hyperlink>
    </w:p>
    <w:p w14:paraId="6530CDEA" w14:textId="77777777" w:rsidR="00EA7458" w:rsidRPr="00EA7458" w:rsidRDefault="00BC1D20" w:rsidP="00664EFD">
      <w:pPr>
        <w:widowControl w:val="0"/>
        <w:numPr>
          <w:ilvl w:val="1"/>
          <w:numId w:val="9"/>
        </w:numPr>
        <w:tabs>
          <w:tab w:val="left" w:pos="708"/>
          <w:tab w:val="right" w:leader="dot" w:pos="9457"/>
        </w:tabs>
        <w:spacing w:before="81" w:after="0" w:line="240" w:lineRule="auto"/>
        <w:rPr>
          <w:rFonts w:ascii="Calibri" w:hAnsi="Calibri"/>
          <w:sz w:val="18"/>
          <w:szCs w:val="18"/>
        </w:rPr>
      </w:pPr>
      <w:hyperlink w:anchor="_bookmark109" w:history="1">
        <w:r w:rsidR="00EA7458" w:rsidRPr="00EA7458">
          <w:rPr>
            <w:rFonts w:ascii="Calibri" w:hAnsi="Calibri"/>
            <w:b/>
            <w:bCs/>
            <w:color w:val="295CA3"/>
            <w:w w:val="110"/>
            <w:sz w:val="18"/>
            <w:szCs w:val="18"/>
          </w:rPr>
          <w:t>Comprehensive System of Personnel</w:t>
        </w:r>
        <w:r w:rsidR="00EA7458" w:rsidRPr="00EA7458">
          <w:rPr>
            <w:rFonts w:ascii="Calibri" w:hAnsi="Calibri"/>
            <w:b/>
            <w:bCs/>
            <w:color w:val="295CA3"/>
            <w:spacing w:val="3"/>
            <w:w w:val="110"/>
            <w:sz w:val="18"/>
            <w:szCs w:val="18"/>
          </w:rPr>
          <w:t xml:space="preserve"> </w:t>
        </w:r>
        <w:r w:rsidR="00EA7458" w:rsidRPr="00EA7458">
          <w:rPr>
            <w:rFonts w:ascii="Calibri" w:hAnsi="Calibri"/>
            <w:b/>
            <w:bCs/>
            <w:color w:val="295CA3"/>
            <w:w w:val="110"/>
            <w:sz w:val="18"/>
            <w:szCs w:val="18"/>
          </w:rPr>
          <w:t>Development</w:t>
        </w:r>
        <w:r w:rsidR="00EA7458" w:rsidRPr="00EA7458">
          <w:rPr>
            <w:rFonts w:ascii="Calibri" w:hAnsi="Calibri"/>
            <w:b/>
            <w:bCs/>
            <w:color w:val="295CA3"/>
            <w:w w:val="110"/>
            <w:sz w:val="18"/>
            <w:szCs w:val="18"/>
          </w:rPr>
          <w:tab/>
          <w:t>228</w:t>
        </w:r>
      </w:hyperlink>
    </w:p>
    <w:p w14:paraId="1C587D2D" w14:textId="77777777" w:rsidR="00EA7458" w:rsidRPr="00EA7458" w:rsidRDefault="00BC1D20" w:rsidP="00664EFD">
      <w:pPr>
        <w:widowControl w:val="0"/>
        <w:numPr>
          <w:ilvl w:val="1"/>
          <w:numId w:val="9"/>
        </w:numPr>
        <w:tabs>
          <w:tab w:val="left" w:pos="708"/>
          <w:tab w:val="right" w:leader="dot" w:pos="9457"/>
        </w:tabs>
        <w:spacing w:before="81" w:after="0" w:line="240" w:lineRule="auto"/>
        <w:rPr>
          <w:rFonts w:ascii="Calibri" w:hAnsi="Calibri"/>
          <w:sz w:val="18"/>
          <w:szCs w:val="18"/>
        </w:rPr>
      </w:pPr>
      <w:hyperlink w:anchor="_bookmark113" w:history="1">
        <w:r w:rsidR="00EA7458" w:rsidRPr="00EA7458">
          <w:rPr>
            <w:rFonts w:ascii="Calibri" w:hAnsi="Calibri"/>
            <w:b/>
            <w:bCs/>
            <w:color w:val="295CA3"/>
            <w:w w:val="110"/>
            <w:sz w:val="18"/>
            <w:szCs w:val="18"/>
          </w:rPr>
          <w:t>Statewide</w:t>
        </w:r>
        <w:r w:rsidR="00EA7458" w:rsidRPr="00EA7458">
          <w:rPr>
            <w:rFonts w:ascii="Calibri" w:hAnsi="Calibri"/>
            <w:b/>
            <w:bCs/>
            <w:color w:val="295CA3"/>
            <w:spacing w:val="1"/>
            <w:w w:val="110"/>
            <w:sz w:val="18"/>
            <w:szCs w:val="18"/>
          </w:rPr>
          <w:t xml:space="preserve"> </w:t>
        </w:r>
        <w:r w:rsidR="00EA7458" w:rsidRPr="00EA7458">
          <w:rPr>
            <w:rFonts w:ascii="Calibri" w:hAnsi="Calibri"/>
            <w:b/>
            <w:bCs/>
            <w:color w:val="295CA3"/>
            <w:w w:val="110"/>
            <w:sz w:val="18"/>
            <w:szCs w:val="18"/>
          </w:rPr>
          <w:t>Assessment</w:t>
        </w:r>
        <w:r w:rsidR="00EA7458" w:rsidRPr="00EA7458">
          <w:rPr>
            <w:rFonts w:ascii="Calibri" w:hAnsi="Calibri"/>
            <w:b/>
            <w:bCs/>
            <w:color w:val="295CA3"/>
            <w:w w:val="110"/>
            <w:sz w:val="18"/>
            <w:szCs w:val="18"/>
          </w:rPr>
          <w:tab/>
          <w:t>238</w:t>
        </w:r>
      </w:hyperlink>
    </w:p>
    <w:p w14:paraId="09C6E1CC" w14:textId="77777777" w:rsidR="00EA7458" w:rsidRPr="00EA7458" w:rsidRDefault="00BC1D20" w:rsidP="00664EFD">
      <w:pPr>
        <w:widowControl w:val="0"/>
        <w:numPr>
          <w:ilvl w:val="1"/>
          <w:numId w:val="9"/>
        </w:numPr>
        <w:tabs>
          <w:tab w:val="left" w:pos="708"/>
          <w:tab w:val="right" w:leader="dot" w:pos="9457"/>
        </w:tabs>
        <w:spacing w:before="81" w:after="0" w:line="240" w:lineRule="auto"/>
        <w:rPr>
          <w:rFonts w:ascii="Calibri" w:hAnsi="Calibri"/>
          <w:sz w:val="18"/>
          <w:szCs w:val="18"/>
        </w:rPr>
      </w:pPr>
      <w:hyperlink w:anchor="_bookmark115" w:history="1">
        <w:r w:rsidR="00EA7458" w:rsidRPr="00EA7458">
          <w:rPr>
            <w:rFonts w:ascii="Calibri" w:hAnsi="Calibri"/>
            <w:b/>
            <w:bCs/>
            <w:color w:val="295CA3"/>
            <w:w w:val="110"/>
            <w:sz w:val="18"/>
            <w:szCs w:val="18"/>
          </w:rPr>
          <w:t>Annual</w:t>
        </w:r>
        <w:r w:rsidR="00EA7458" w:rsidRPr="00EA7458">
          <w:rPr>
            <w:rFonts w:ascii="Calibri" w:hAnsi="Calibri"/>
            <w:b/>
            <w:bCs/>
            <w:color w:val="295CA3"/>
            <w:spacing w:val="1"/>
            <w:w w:val="110"/>
            <w:sz w:val="18"/>
            <w:szCs w:val="18"/>
          </w:rPr>
          <w:t xml:space="preserve"> </w:t>
        </w:r>
        <w:r w:rsidR="00EA7458" w:rsidRPr="00EA7458">
          <w:rPr>
            <w:rFonts w:ascii="Calibri" w:hAnsi="Calibri"/>
            <w:b/>
            <w:bCs/>
            <w:color w:val="295CA3"/>
            <w:w w:val="110"/>
            <w:sz w:val="18"/>
            <w:szCs w:val="18"/>
          </w:rPr>
          <w:t>Estimates</w:t>
        </w:r>
        <w:r w:rsidR="00EA7458" w:rsidRPr="00EA7458">
          <w:rPr>
            <w:rFonts w:ascii="Calibri" w:hAnsi="Calibri"/>
            <w:b/>
            <w:bCs/>
            <w:color w:val="295CA3"/>
            <w:w w:val="110"/>
            <w:sz w:val="18"/>
            <w:szCs w:val="18"/>
          </w:rPr>
          <w:tab/>
          <w:t>244</w:t>
        </w:r>
      </w:hyperlink>
    </w:p>
    <w:p w14:paraId="2DD0F64C" w14:textId="77777777" w:rsidR="00EA7458" w:rsidRPr="00EA7458" w:rsidRDefault="00BC1D20" w:rsidP="00664EFD">
      <w:pPr>
        <w:widowControl w:val="0"/>
        <w:numPr>
          <w:ilvl w:val="1"/>
          <w:numId w:val="9"/>
        </w:numPr>
        <w:tabs>
          <w:tab w:val="left" w:pos="708"/>
          <w:tab w:val="right" w:leader="dot" w:pos="9457"/>
        </w:tabs>
        <w:spacing w:before="81" w:after="0" w:line="240" w:lineRule="auto"/>
        <w:rPr>
          <w:rFonts w:ascii="Calibri" w:hAnsi="Calibri"/>
          <w:sz w:val="18"/>
          <w:szCs w:val="18"/>
        </w:rPr>
      </w:pPr>
      <w:hyperlink w:anchor="_bookmark116" w:history="1">
        <w:r w:rsidR="00EA7458" w:rsidRPr="00EA7458">
          <w:rPr>
            <w:rFonts w:ascii="Calibri" w:hAnsi="Calibri"/>
            <w:b/>
            <w:bCs/>
            <w:color w:val="295CA3"/>
            <w:w w:val="110"/>
            <w:sz w:val="18"/>
            <w:szCs w:val="18"/>
          </w:rPr>
          <w:t>State Goals and</w:t>
        </w:r>
        <w:r w:rsidR="00EA7458" w:rsidRPr="00EA7458">
          <w:rPr>
            <w:rFonts w:ascii="Calibri" w:hAnsi="Calibri"/>
            <w:b/>
            <w:bCs/>
            <w:color w:val="295CA3"/>
            <w:spacing w:val="2"/>
            <w:w w:val="110"/>
            <w:sz w:val="18"/>
            <w:szCs w:val="18"/>
          </w:rPr>
          <w:t xml:space="preserve"> </w:t>
        </w:r>
        <w:r w:rsidR="00EA7458" w:rsidRPr="00EA7458">
          <w:rPr>
            <w:rFonts w:ascii="Calibri" w:hAnsi="Calibri"/>
            <w:b/>
            <w:bCs/>
            <w:color w:val="295CA3"/>
            <w:w w:val="110"/>
            <w:sz w:val="18"/>
            <w:szCs w:val="18"/>
          </w:rPr>
          <w:t>Priorities</w:t>
        </w:r>
        <w:r w:rsidR="00EA7458" w:rsidRPr="00EA7458">
          <w:rPr>
            <w:rFonts w:ascii="Calibri" w:hAnsi="Calibri"/>
            <w:b/>
            <w:bCs/>
            <w:color w:val="295CA3"/>
            <w:w w:val="110"/>
            <w:sz w:val="18"/>
            <w:szCs w:val="18"/>
          </w:rPr>
          <w:tab/>
          <w:t>245</w:t>
        </w:r>
      </w:hyperlink>
    </w:p>
    <w:p w14:paraId="44859B60" w14:textId="77777777" w:rsidR="00EA7458" w:rsidRPr="00EA7458" w:rsidRDefault="00BC1D20" w:rsidP="00664EFD">
      <w:pPr>
        <w:widowControl w:val="0"/>
        <w:numPr>
          <w:ilvl w:val="1"/>
          <w:numId w:val="9"/>
        </w:numPr>
        <w:tabs>
          <w:tab w:val="left" w:pos="708"/>
          <w:tab w:val="right" w:leader="dot" w:pos="9457"/>
        </w:tabs>
        <w:spacing w:before="81" w:after="0" w:line="240" w:lineRule="auto"/>
        <w:rPr>
          <w:rFonts w:ascii="Calibri" w:hAnsi="Calibri"/>
          <w:sz w:val="18"/>
          <w:szCs w:val="18"/>
        </w:rPr>
      </w:pPr>
      <w:hyperlink w:anchor="_bookmark117" w:history="1">
        <w:r w:rsidR="00EA7458" w:rsidRPr="00EA7458">
          <w:rPr>
            <w:rFonts w:ascii="Calibri" w:hAnsi="Calibri"/>
            <w:b/>
            <w:bCs/>
            <w:color w:val="295CA3"/>
            <w:w w:val="110"/>
            <w:sz w:val="18"/>
            <w:szCs w:val="18"/>
          </w:rPr>
          <w:t>Order of</w:t>
        </w:r>
        <w:r w:rsidR="00EA7458" w:rsidRPr="00EA7458">
          <w:rPr>
            <w:rFonts w:ascii="Calibri" w:hAnsi="Calibri"/>
            <w:b/>
            <w:bCs/>
            <w:color w:val="295CA3"/>
            <w:spacing w:val="2"/>
            <w:w w:val="110"/>
            <w:sz w:val="18"/>
            <w:szCs w:val="18"/>
          </w:rPr>
          <w:t xml:space="preserve"> </w:t>
        </w:r>
        <w:r w:rsidR="00EA7458" w:rsidRPr="00EA7458">
          <w:rPr>
            <w:rFonts w:ascii="Calibri" w:hAnsi="Calibri"/>
            <w:b/>
            <w:bCs/>
            <w:color w:val="295CA3"/>
            <w:w w:val="110"/>
            <w:sz w:val="18"/>
            <w:szCs w:val="18"/>
          </w:rPr>
          <w:t>Selection</w:t>
        </w:r>
        <w:r w:rsidR="00EA7458" w:rsidRPr="00EA7458">
          <w:rPr>
            <w:rFonts w:ascii="Calibri" w:hAnsi="Calibri"/>
            <w:b/>
            <w:bCs/>
            <w:color w:val="295CA3"/>
            <w:w w:val="110"/>
            <w:sz w:val="18"/>
            <w:szCs w:val="18"/>
          </w:rPr>
          <w:tab/>
          <w:t>249</w:t>
        </w:r>
      </w:hyperlink>
    </w:p>
    <w:p w14:paraId="54A67C94" w14:textId="77777777" w:rsidR="00EA7458" w:rsidRPr="00EA7458" w:rsidRDefault="00BC1D20" w:rsidP="00664EFD">
      <w:pPr>
        <w:widowControl w:val="0"/>
        <w:numPr>
          <w:ilvl w:val="1"/>
          <w:numId w:val="9"/>
        </w:numPr>
        <w:tabs>
          <w:tab w:val="left" w:pos="708"/>
          <w:tab w:val="right" w:leader="dot" w:pos="9457"/>
        </w:tabs>
        <w:spacing w:before="81" w:after="0" w:line="240" w:lineRule="auto"/>
        <w:rPr>
          <w:rFonts w:ascii="Calibri" w:hAnsi="Calibri"/>
          <w:sz w:val="18"/>
          <w:szCs w:val="18"/>
        </w:rPr>
      </w:pPr>
      <w:hyperlink w:anchor="_bookmark117" w:history="1">
        <w:r w:rsidR="00EA7458" w:rsidRPr="00EA7458">
          <w:rPr>
            <w:rFonts w:ascii="Calibri" w:hAnsi="Calibri"/>
            <w:b/>
            <w:bCs/>
            <w:color w:val="295CA3"/>
            <w:w w:val="110"/>
            <w:sz w:val="18"/>
            <w:szCs w:val="18"/>
          </w:rPr>
          <w:t>Goals and Plans for Distribution of Title VI, Part B</w:t>
        </w:r>
        <w:r w:rsidR="00EA7458" w:rsidRPr="00EA7458">
          <w:rPr>
            <w:rFonts w:ascii="Calibri" w:hAnsi="Calibri"/>
            <w:b/>
            <w:bCs/>
            <w:color w:val="295CA3"/>
            <w:spacing w:val="8"/>
            <w:w w:val="110"/>
            <w:sz w:val="18"/>
            <w:szCs w:val="18"/>
          </w:rPr>
          <w:t xml:space="preserve"> </w:t>
        </w:r>
        <w:r w:rsidR="00EA7458" w:rsidRPr="00EA7458">
          <w:rPr>
            <w:rFonts w:ascii="Calibri" w:hAnsi="Calibri"/>
            <w:b/>
            <w:bCs/>
            <w:color w:val="295CA3"/>
            <w:w w:val="110"/>
            <w:sz w:val="18"/>
            <w:szCs w:val="18"/>
          </w:rPr>
          <w:t>Funds</w:t>
        </w:r>
        <w:r w:rsidR="00EA7458" w:rsidRPr="00EA7458">
          <w:rPr>
            <w:rFonts w:ascii="Calibri" w:hAnsi="Calibri"/>
            <w:b/>
            <w:bCs/>
            <w:color w:val="295CA3"/>
            <w:w w:val="110"/>
            <w:sz w:val="18"/>
            <w:szCs w:val="18"/>
          </w:rPr>
          <w:tab/>
          <w:t>249</w:t>
        </w:r>
      </w:hyperlink>
    </w:p>
    <w:p w14:paraId="12061747" w14:textId="77777777" w:rsidR="00EA7458" w:rsidRPr="00EA7458" w:rsidRDefault="00BC1D20" w:rsidP="00664EFD">
      <w:pPr>
        <w:widowControl w:val="0"/>
        <w:numPr>
          <w:ilvl w:val="1"/>
          <w:numId w:val="9"/>
        </w:numPr>
        <w:tabs>
          <w:tab w:val="left" w:pos="708"/>
          <w:tab w:val="right" w:leader="dot" w:pos="9457"/>
        </w:tabs>
        <w:spacing w:before="81" w:after="0" w:line="240" w:lineRule="auto"/>
        <w:rPr>
          <w:rFonts w:ascii="Calibri" w:hAnsi="Calibri"/>
          <w:sz w:val="18"/>
          <w:szCs w:val="18"/>
        </w:rPr>
      </w:pPr>
      <w:hyperlink w:anchor="_bookmark119" w:history="1">
        <w:r w:rsidR="00EA7458" w:rsidRPr="00EA7458">
          <w:rPr>
            <w:rFonts w:ascii="Calibri" w:hAnsi="Calibri"/>
            <w:b/>
            <w:bCs/>
            <w:color w:val="295CA3"/>
            <w:w w:val="110"/>
            <w:sz w:val="18"/>
            <w:szCs w:val="18"/>
          </w:rPr>
          <w:t>State’s Strategies</w:t>
        </w:r>
        <w:r w:rsidR="00EA7458" w:rsidRPr="00EA7458">
          <w:rPr>
            <w:rFonts w:ascii="Calibri" w:hAnsi="Calibri"/>
            <w:b/>
            <w:bCs/>
            <w:color w:val="295CA3"/>
            <w:w w:val="110"/>
            <w:sz w:val="18"/>
            <w:szCs w:val="18"/>
          </w:rPr>
          <w:tab/>
          <w:t>251</w:t>
        </w:r>
      </w:hyperlink>
    </w:p>
    <w:p w14:paraId="0EB7CCA6" w14:textId="77777777" w:rsidR="00EA7458" w:rsidRPr="00EA7458" w:rsidRDefault="00BC1D20" w:rsidP="00664EFD">
      <w:pPr>
        <w:widowControl w:val="0"/>
        <w:numPr>
          <w:ilvl w:val="1"/>
          <w:numId w:val="9"/>
        </w:numPr>
        <w:tabs>
          <w:tab w:val="left" w:pos="708"/>
          <w:tab w:val="right" w:leader="dot" w:pos="9457"/>
        </w:tabs>
        <w:spacing w:before="81" w:after="0" w:line="240" w:lineRule="auto"/>
        <w:rPr>
          <w:rFonts w:ascii="Calibri" w:hAnsi="Calibri"/>
          <w:sz w:val="18"/>
          <w:szCs w:val="18"/>
        </w:rPr>
      </w:pPr>
      <w:hyperlink w:anchor="_bookmark120" w:history="1">
        <w:r w:rsidR="00EA7458" w:rsidRPr="00EA7458">
          <w:rPr>
            <w:rFonts w:ascii="Calibri" w:hAnsi="Calibri"/>
            <w:b/>
            <w:bCs/>
            <w:color w:val="295CA3"/>
            <w:w w:val="110"/>
            <w:sz w:val="18"/>
            <w:szCs w:val="18"/>
          </w:rPr>
          <w:t>Evaluation and Reports of</w:t>
        </w:r>
        <w:r w:rsidR="00EA7458" w:rsidRPr="00EA7458">
          <w:rPr>
            <w:rFonts w:ascii="Calibri" w:hAnsi="Calibri"/>
            <w:b/>
            <w:bCs/>
            <w:color w:val="295CA3"/>
            <w:spacing w:val="3"/>
            <w:w w:val="110"/>
            <w:sz w:val="18"/>
            <w:szCs w:val="18"/>
          </w:rPr>
          <w:t xml:space="preserve"> </w:t>
        </w:r>
        <w:r w:rsidR="00EA7458" w:rsidRPr="00EA7458">
          <w:rPr>
            <w:rFonts w:ascii="Calibri" w:hAnsi="Calibri"/>
            <w:b/>
            <w:bCs/>
            <w:color w:val="295CA3"/>
            <w:w w:val="110"/>
            <w:sz w:val="18"/>
            <w:szCs w:val="18"/>
          </w:rPr>
          <w:t>Progress</w:t>
        </w:r>
        <w:r w:rsidR="00EA7458" w:rsidRPr="00EA7458">
          <w:rPr>
            <w:rFonts w:ascii="Calibri" w:hAnsi="Calibri"/>
            <w:b/>
            <w:bCs/>
            <w:color w:val="295CA3"/>
            <w:w w:val="110"/>
            <w:sz w:val="18"/>
            <w:szCs w:val="18"/>
          </w:rPr>
          <w:tab/>
          <w:t>253</w:t>
        </w:r>
      </w:hyperlink>
    </w:p>
    <w:p w14:paraId="3C32A537" w14:textId="379551C1" w:rsidR="00EA7458" w:rsidRPr="00EA7458" w:rsidRDefault="00BC1D20" w:rsidP="00664EFD">
      <w:pPr>
        <w:widowControl w:val="0"/>
        <w:numPr>
          <w:ilvl w:val="1"/>
          <w:numId w:val="9"/>
        </w:numPr>
        <w:tabs>
          <w:tab w:val="left" w:pos="708"/>
          <w:tab w:val="right" w:leader="dot" w:pos="9457"/>
        </w:tabs>
        <w:spacing w:before="81" w:after="0" w:line="240" w:lineRule="auto"/>
        <w:rPr>
          <w:rFonts w:ascii="Calibri" w:hAnsi="Calibri"/>
          <w:sz w:val="18"/>
          <w:szCs w:val="18"/>
        </w:rPr>
      </w:pPr>
      <w:hyperlink w:anchor="_bookmark127" w:history="1">
        <w:r w:rsidR="00EA7458" w:rsidRPr="00EA7458">
          <w:rPr>
            <w:rFonts w:ascii="Calibri" w:hAnsi="Calibri"/>
            <w:b/>
            <w:bCs/>
            <w:color w:val="295CA3"/>
            <w:w w:val="110"/>
            <w:sz w:val="18"/>
            <w:szCs w:val="18"/>
          </w:rPr>
          <w:t>Quality, Scope and Extent of Supported Employment</w:t>
        </w:r>
        <w:r w:rsidR="00EA7458" w:rsidRPr="00EA7458">
          <w:rPr>
            <w:rFonts w:ascii="Calibri" w:hAnsi="Calibri"/>
            <w:b/>
            <w:bCs/>
            <w:color w:val="295CA3"/>
            <w:spacing w:val="3"/>
            <w:w w:val="110"/>
            <w:sz w:val="18"/>
            <w:szCs w:val="18"/>
          </w:rPr>
          <w:t xml:space="preserve"> </w:t>
        </w:r>
        <w:r w:rsidR="00EA7458" w:rsidRPr="00EA7458">
          <w:rPr>
            <w:rFonts w:ascii="Calibri" w:hAnsi="Calibri"/>
            <w:b/>
            <w:bCs/>
            <w:color w:val="295CA3"/>
            <w:w w:val="110"/>
            <w:sz w:val="18"/>
            <w:szCs w:val="18"/>
          </w:rPr>
          <w:t>Services</w:t>
        </w:r>
        <w:r w:rsidR="00EA7458" w:rsidRPr="00EA7458">
          <w:rPr>
            <w:rFonts w:ascii="Calibri" w:hAnsi="Calibri"/>
            <w:b/>
            <w:bCs/>
            <w:color w:val="295CA3"/>
            <w:w w:val="110"/>
            <w:sz w:val="18"/>
            <w:szCs w:val="18"/>
          </w:rPr>
          <w:tab/>
          <w:t>268</w:t>
        </w:r>
      </w:hyperlink>
    </w:p>
    <w:p w14:paraId="7DF90F8F" w14:textId="77777777" w:rsidR="00EA7458" w:rsidRPr="00EA7458" w:rsidRDefault="00BC1D20" w:rsidP="00EA7458">
      <w:pPr>
        <w:widowControl w:val="0"/>
        <w:tabs>
          <w:tab w:val="right" w:leader="dot" w:pos="9457"/>
        </w:tabs>
        <w:spacing w:before="81" w:after="0" w:line="240" w:lineRule="auto"/>
        <w:ind w:left="107"/>
        <w:rPr>
          <w:rFonts w:ascii="Calibri" w:hAnsi="Calibri"/>
          <w:sz w:val="18"/>
          <w:szCs w:val="18"/>
        </w:rPr>
      </w:pPr>
      <w:hyperlink w:anchor="_bookmark128" w:history="1">
        <w:r w:rsidR="00EA7458" w:rsidRPr="00EA7458">
          <w:rPr>
            <w:rFonts w:ascii="Calibri" w:hAnsi="Calibri"/>
            <w:b/>
            <w:bCs/>
            <w:color w:val="295CA3"/>
            <w:w w:val="110"/>
            <w:sz w:val="18"/>
            <w:szCs w:val="18"/>
          </w:rPr>
          <w:t>VOCATIONAL REHABILITATION CERTIFICATIONS &amp;</w:t>
        </w:r>
        <w:r w:rsidR="00EA7458" w:rsidRPr="00EA7458">
          <w:rPr>
            <w:rFonts w:ascii="Calibri" w:hAnsi="Calibri"/>
            <w:b/>
            <w:bCs/>
            <w:color w:val="295CA3"/>
            <w:spacing w:val="11"/>
            <w:w w:val="110"/>
            <w:sz w:val="18"/>
            <w:szCs w:val="18"/>
          </w:rPr>
          <w:t xml:space="preserve"> </w:t>
        </w:r>
        <w:r w:rsidR="00EA7458" w:rsidRPr="00EA7458">
          <w:rPr>
            <w:rFonts w:ascii="Calibri" w:hAnsi="Calibri"/>
            <w:b/>
            <w:bCs/>
            <w:color w:val="295CA3"/>
            <w:w w:val="110"/>
            <w:sz w:val="18"/>
            <w:szCs w:val="18"/>
          </w:rPr>
          <w:t>ASSURANCES</w:t>
        </w:r>
        <w:r w:rsidR="00EA7458" w:rsidRPr="00EA7458">
          <w:rPr>
            <w:rFonts w:ascii="Calibri" w:hAnsi="Calibri"/>
            <w:b/>
            <w:bCs/>
            <w:color w:val="295CA3"/>
            <w:w w:val="110"/>
            <w:sz w:val="18"/>
            <w:szCs w:val="18"/>
          </w:rPr>
          <w:tab/>
          <w:t>271</w:t>
        </w:r>
      </w:hyperlink>
    </w:p>
    <w:p w14:paraId="56D6E652" w14:textId="77777777" w:rsidR="00EA7458" w:rsidRPr="00EA7458" w:rsidRDefault="00BC1D20" w:rsidP="00EA7458">
      <w:pPr>
        <w:widowControl w:val="0"/>
        <w:tabs>
          <w:tab w:val="right" w:leader="dot" w:pos="9457"/>
        </w:tabs>
        <w:spacing w:before="81" w:after="0" w:line="240" w:lineRule="auto"/>
        <w:ind w:left="107"/>
        <w:rPr>
          <w:rFonts w:ascii="Calibri" w:hAnsi="Calibri"/>
          <w:sz w:val="18"/>
          <w:szCs w:val="18"/>
        </w:rPr>
      </w:pPr>
      <w:hyperlink w:anchor="_bookmark129" w:history="1">
        <w:r w:rsidR="00EA7458" w:rsidRPr="00EA7458">
          <w:rPr>
            <w:rFonts w:ascii="Calibri" w:hAnsi="Calibri"/>
            <w:b/>
            <w:bCs/>
            <w:color w:val="295CA3"/>
            <w:w w:val="115"/>
            <w:sz w:val="18"/>
            <w:szCs w:val="18"/>
          </w:rPr>
          <w:t>CERTIFICATION REGARDING</w:t>
        </w:r>
        <w:r w:rsidR="00EA7458" w:rsidRPr="00EA7458">
          <w:rPr>
            <w:rFonts w:ascii="Calibri" w:hAnsi="Calibri"/>
            <w:b/>
            <w:bCs/>
            <w:color w:val="295CA3"/>
            <w:spacing w:val="-3"/>
            <w:w w:val="115"/>
            <w:sz w:val="18"/>
            <w:szCs w:val="18"/>
          </w:rPr>
          <w:t xml:space="preserve"> </w:t>
        </w:r>
        <w:r w:rsidR="00EA7458" w:rsidRPr="00EA7458">
          <w:rPr>
            <w:rFonts w:ascii="Calibri" w:hAnsi="Calibri"/>
            <w:b/>
            <w:bCs/>
            <w:color w:val="295CA3"/>
            <w:w w:val="115"/>
            <w:sz w:val="18"/>
            <w:szCs w:val="18"/>
          </w:rPr>
          <w:t>LOBBYING</w:t>
        </w:r>
        <w:r w:rsidR="00EA7458" w:rsidRPr="00EA7458">
          <w:rPr>
            <w:rFonts w:ascii="Calibri" w:hAnsi="Calibri"/>
            <w:b/>
            <w:bCs/>
            <w:color w:val="295CA3"/>
            <w:w w:val="115"/>
            <w:sz w:val="18"/>
            <w:szCs w:val="18"/>
          </w:rPr>
          <w:tab/>
          <w:t>276</w:t>
        </w:r>
      </w:hyperlink>
    </w:p>
    <w:p w14:paraId="0D4EBDEB" w14:textId="77777777" w:rsidR="00EA7458" w:rsidRPr="00EA7458" w:rsidRDefault="00EA7458" w:rsidP="00EA7458">
      <w:pPr>
        <w:widowControl w:val="0"/>
        <w:spacing w:after="0" w:line="240" w:lineRule="auto"/>
        <w:rPr>
          <w:rFonts w:ascii="Calibri" w:hAnsi="Calibri"/>
        </w:rPr>
        <w:sectPr w:rsidR="00EA7458" w:rsidRPr="00EA7458">
          <w:type w:val="continuous"/>
          <w:pgSz w:w="12240" w:h="15840"/>
          <w:pgMar w:top="1840" w:right="900" w:bottom="1992" w:left="900" w:header="720" w:footer="720" w:gutter="0"/>
          <w:cols w:space="720"/>
        </w:sectPr>
      </w:pPr>
    </w:p>
    <w:p w14:paraId="20D8A9F4" w14:textId="77777777" w:rsidR="00EA7458" w:rsidRPr="00EA7458" w:rsidRDefault="00EA7458" w:rsidP="00EA7458">
      <w:pPr>
        <w:widowControl w:val="0"/>
        <w:spacing w:after="0" w:line="14" w:lineRule="auto"/>
        <w:rPr>
          <w:rFonts w:ascii="Calibri" w:hAnsi="Calibri"/>
          <w:sz w:val="20"/>
          <w:szCs w:val="20"/>
        </w:rPr>
        <w:sectPr w:rsidR="00EA7458" w:rsidRPr="00EA7458">
          <w:footerReference w:type="default" r:id="rId57"/>
          <w:type w:val="continuous"/>
          <w:pgSz w:w="12240" w:h="15840"/>
          <w:pgMar w:top="1620" w:right="900" w:bottom="820" w:left="900" w:header="720" w:footer="624" w:gutter="0"/>
          <w:cols w:space="720"/>
        </w:sectPr>
      </w:pPr>
    </w:p>
    <w:p w14:paraId="32FCB75B" w14:textId="77777777" w:rsidR="00EA7458" w:rsidRPr="00EA7458" w:rsidRDefault="00EA7458" w:rsidP="00EA7458">
      <w:pPr>
        <w:widowControl w:val="0"/>
        <w:tabs>
          <w:tab w:val="left" w:pos="10331"/>
        </w:tabs>
        <w:spacing w:before="210" w:after="0" w:line="240" w:lineRule="auto"/>
        <w:ind w:left="107"/>
        <w:outlineLvl w:val="0"/>
        <w:rPr>
          <w:rFonts w:ascii="Calibri" w:hAnsi="Calibri"/>
          <w:sz w:val="36"/>
          <w:szCs w:val="36"/>
        </w:rPr>
      </w:pPr>
      <w:bookmarkStart w:id="1" w:name="Figure_Index"/>
      <w:bookmarkStart w:id="2" w:name="_bookmark0"/>
      <w:bookmarkEnd w:id="1"/>
      <w:bookmarkEnd w:id="2"/>
      <w:r w:rsidRPr="00EA7458">
        <w:rPr>
          <w:rFonts w:ascii="Calibri" w:hAnsi="Calibri"/>
          <w:b/>
          <w:bCs/>
          <w:color w:val="295CA3"/>
          <w:w w:val="115"/>
          <w:sz w:val="36"/>
          <w:szCs w:val="36"/>
          <w:u w:val="single" w:color="231F20"/>
        </w:rPr>
        <w:lastRenderedPageBreak/>
        <w:t>FIGURE</w:t>
      </w:r>
      <w:r w:rsidRPr="00EA7458">
        <w:rPr>
          <w:rFonts w:ascii="Calibri" w:hAnsi="Calibri"/>
          <w:b/>
          <w:bCs/>
          <w:color w:val="295CA3"/>
          <w:spacing w:val="-1"/>
          <w:w w:val="115"/>
          <w:sz w:val="36"/>
          <w:szCs w:val="36"/>
          <w:u w:val="single" w:color="231F20"/>
        </w:rPr>
        <w:t xml:space="preserve"> </w:t>
      </w:r>
      <w:r w:rsidRPr="00EA7458">
        <w:rPr>
          <w:rFonts w:ascii="Calibri" w:hAnsi="Calibri"/>
          <w:b/>
          <w:bCs/>
          <w:color w:val="295CA3"/>
          <w:w w:val="115"/>
          <w:sz w:val="36"/>
          <w:szCs w:val="36"/>
          <w:u w:val="single" w:color="231F20"/>
        </w:rPr>
        <w:t>INDEX</w:t>
      </w:r>
      <w:r w:rsidRPr="00EA7458">
        <w:rPr>
          <w:rFonts w:ascii="Calibri" w:hAnsi="Calibri"/>
          <w:b/>
          <w:bCs/>
          <w:color w:val="295CA3"/>
          <w:w w:val="113"/>
          <w:sz w:val="36"/>
          <w:szCs w:val="36"/>
          <w:u w:val="single" w:color="231F20"/>
        </w:rPr>
        <w:t xml:space="preserve"> </w:t>
      </w:r>
      <w:r w:rsidRPr="00EA7458">
        <w:rPr>
          <w:rFonts w:ascii="Calibri" w:hAnsi="Calibri"/>
          <w:b/>
          <w:bCs/>
          <w:color w:val="295CA3"/>
          <w:sz w:val="36"/>
          <w:szCs w:val="36"/>
          <w:u w:val="single" w:color="231F20"/>
        </w:rPr>
        <w:tab/>
      </w:r>
    </w:p>
    <w:p w14:paraId="2412DD00" w14:textId="77777777" w:rsidR="00EA7458" w:rsidRPr="00EA7458" w:rsidRDefault="00EA7458" w:rsidP="00EA7458">
      <w:pPr>
        <w:widowControl w:val="0"/>
        <w:spacing w:after="0" w:line="240" w:lineRule="auto"/>
        <w:rPr>
          <w:rFonts w:ascii="Calibri" w:hAnsi="Calibri"/>
        </w:rPr>
        <w:sectPr w:rsidR="00EA7458" w:rsidRPr="00EA7458">
          <w:footerReference w:type="default" r:id="rId58"/>
          <w:pgSz w:w="12240" w:h="15840"/>
          <w:pgMar w:top="1620" w:right="900" w:bottom="820" w:left="900" w:header="812" w:footer="624" w:gutter="0"/>
          <w:cols w:space="720"/>
        </w:sectPr>
      </w:pPr>
    </w:p>
    <w:p w14:paraId="02B512A9" w14:textId="77777777" w:rsidR="00EA7458" w:rsidRPr="00EA7458" w:rsidRDefault="00EA7458" w:rsidP="00EA7458">
      <w:pPr>
        <w:widowControl w:val="0"/>
        <w:tabs>
          <w:tab w:val="left" w:pos="5099"/>
        </w:tabs>
        <w:spacing w:before="92" w:after="0" w:line="240" w:lineRule="auto"/>
        <w:ind w:left="107"/>
        <w:rPr>
          <w:rFonts w:ascii="Calibri" w:hAnsi="Calibri" w:cs="Calibri"/>
          <w:sz w:val="18"/>
          <w:szCs w:val="18"/>
        </w:rPr>
      </w:pPr>
      <w:r w:rsidRPr="00EA7458">
        <w:rPr>
          <w:rFonts w:ascii="Calibri" w:hAnsi="Calibri"/>
          <w:b/>
          <w:color w:val="231F20"/>
          <w:w w:val="110"/>
          <w:sz w:val="18"/>
          <w:u w:val="single" w:color="231F20"/>
        </w:rPr>
        <w:t>Section</w:t>
      </w:r>
      <w:r w:rsidRPr="00EA7458">
        <w:rPr>
          <w:rFonts w:ascii="Calibri" w:hAnsi="Calibri"/>
          <w:b/>
          <w:color w:val="231F20"/>
          <w:spacing w:val="-1"/>
          <w:w w:val="110"/>
          <w:sz w:val="18"/>
          <w:u w:val="single" w:color="231F20"/>
        </w:rPr>
        <w:t xml:space="preserve"> </w:t>
      </w:r>
      <w:r w:rsidRPr="00EA7458">
        <w:rPr>
          <w:rFonts w:ascii="Calibri" w:hAnsi="Calibri"/>
          <w:b/>
          <w:color w:val="231F20"/>
          <w:w w:val="110"/>
          <w:sz w:val="18"/>
          <w:u w:val="single" w:color="231F20"/>
        </w:rPr>
        <w:t>II</w:t>
      </w:r>
      <w:r w:rsidRPr="00EA7458">
        <w:rPr>
          <w:rFonts w:ascii="Calibri" w:hAnsi="Calibri"/>
          <w:b/>
          <w:color w:val="231F20"/>
          <w:w w:val="113"/>
          <w:sz w:val="18"/>
          <w:u w:val="single" w:color="231F20"/>
        </w:rPr>
        <w:t xml:space="preserve"> </w:t>
      </w:r>
      <w:r w:rsidRPr="00EA7458">
        <w:rPr>
          <w:rFonts w:ascii="Calibri" w:hAnsi="Calibri"/>
          <w:b/>
          <w:color w:val="231F20"/>
          <w:sz w:val="18"/>
          <w:u w:val="single" w:color="231F20"/>
        </w:rPr>
        <w:tab/>
      </w:r>
    </w:p>
    <w:p w14:paraId="77997FB5" w14:textId="2E2D108A" w:rsidR="00EA7458" w:rsidRPr="00EA7458" w:rsidRDefault="00BC1D20" w:rsidP="0B52496C">
      <w:pPr>
        <w:widowControl w:val="0"/>
        <w:spacing w:before="110" w:after="0" w:line="261" w:lineRule="auto"/>
        <w:ind w:left="107" w:right="893"/>
        <w:rPr>
          <w:rFonts w:ascii="Calibri" w:hAnsi="Calibri" w:cs="Calibri"/>
          <w:sz w:val="18"/>
          <w:szCs w:val="18"/>
        </w:rPr>
      </w:pPr>
      <w:hyperlink w:anchor="_bookmark5" w:history="1">
        <w:r w:rsidR="00EA7458" w:rsidRPr="0B52496C">
          <w:rPr>
            <w:rFonts w:ascii="Calibri" w:hAnsi="Calibri"/>
            <w:b/>
            <w:bCs/>
            <w:color w:val="231F20"/>
            <w:w w:val="105"/>
            <w:sz w:val="18"/>
            <w:szCs w:val="18"/>
          </w:rPr>
          <w:t>Figure 2.01</w:t>
        </w:r>
      </w:hyperlink>
      <w:r w:rsidR="00EA7458" w:rsidRPr="0B52496C">
        <w:rPr>
          <w:rFonts w:ascii="Calibri" w:hAnsi="Calibri"/>
          <w:b/>
          <w:bCs/>
          <w:color w:val="231F20"/>
          <w:w w:val="105"/>
          <w:sz w:val="18"/>
          <w:szCs w:val="18"/>
        </w:rPr>
        <w:t xml:space="preserve"> </w:t>
      </w:r>
      <w:hyperlink w:anchor="_bookmark5" w:history="1">
        <w:r w:rsidR="00EA7458" w:rsidRPr="0B52496C">
          <w:rPr>
            <w:rFonts w:ascii="Calibri" w:hAnsi="Calibri"/>
            <w:color w:val="231F20"/>
            <w:w w:val="105"/>
            <w:sz w:val="18"/>
            <w:szCs w:val="18"/>
          </w:rPr>
          <w:t>Nonagricultural Employment in Florida,</w:t>
        </w:r>
      </w:hyperlink>
      <w:r w:rsidR="00EA7458" w:rsidRPr="0B52496C">
        <w:rPr>
          <w:rFonts w:ascii="Calibri" w:hAnsi="Calibri"/>
          <w:color w:val="231F20"/>
          <w:w w:val="106"/>
          <w:sz w:val="18"/>
          <w:szCs w:val="18"/>
        </w:rPr>
        <w:t xml:space="preserve"> </w:t>
      </w:r>
      <w:hyperlink w:anchor="_bookmark5" w:history="1">
        <w:r w:rsidR="00983FA7" w:rsidRPr="0B52496C">
          <w:rPr>
            <w:rFonts w:ascii="Calibri" w:hAnsi="Calibri"/>
            <w:color w:val="231F20"/>
            <w:w w:val="105"/>
            <w:sz w:val="18"/>
            <w:szCs w:val="18"/>
          </w:rPr>
          <w:t xml:space="preserve">Seasonally </w:t>
        </w:r>
        <w:r w:rsidR="00983FA7" w:rsidRPr="00F55C20">
          <w:rPr>
            <w:rFonts w:ascii="Calibri" w:hAnsi="Calibri"/>
            <w:color w:val="231F20"/>
            <w:w w:val="105"/>
            <w:sz w:val="18"/>
            <w:szCs w:val="18"/>
          </w:rPr>
          <w:t>Adjusted</w:t>
        </w:r>
      </w:hyperlink>
    </w:p>
    <w:p w14:paraId="56C54A4D" w14:textId="77777777" w:rsidR="00EA7458" w:rsidRPr="00EA7458" w:rsidRDefault="00BC1D20" w:rsidP="00EA7458">
      <w:pPr>
        <w:widowControl w:val="0"/>
        <w:spacing w:before="90" w:after="0" w:line="240" w:lineRule="auto"/>
        <w:ind w:left="107"/>
        <w:rPr>
          <w:rFonts w:ascii="Calibri" w:hAnsi="Calibri" w:cs="Calibri"/>
          <w:sz w:val="18"/>
          <w:szCs w:val="18"/>
        </w:rPr>
      </w:pPr>
      <w:hyperlink w:anchor="_bookmark6" w:history="1">
        <w:r w:rsidR="00EA7458" w:rsidRPr="00EA7458">
          <w:rPr>
            <w:rFonts w:ascii="Calibri" w:hAnsi="Calibri"/>
            <w:b/>
            <w:color w:val="231F20"/>
            <w:w w:val="110"/>
            <w:sz w:val="18"/>
          </w:rPr>
          <w:t xml:space="preserve">Figure 2.02 </w:t>
        </w:r>
        <w:r w:rsidR="00EA7458" w:rsidRPr="00EA7458">
          <w:rPr>
            <w:rFonts w:ascii="Calibri" w:hAnsi="Calibri"/>
            <w:color w:val="231F20"/>
            <w:spacing w:val="-6"/>
            <w:w w:val="110"/>
            <w:sz w:val="18"/>
          </w:rPr>
          <w:t xml:space="preserve">Top </w:t>
        </w:r>
        <w:r w:rsidR="00EA7458" w:rsidRPr="00EA7458">
          <w:rPr>
            <w:rFonts w:ascii="Calibri" w:hAnsi="Calibri"/>
            <w:color w:val="231F20"/>
            <w:w w:val="110"/>
            <w:sz w:val="18"/>
          </w:rPr>
          <w:t>15 Existing Demand</w:t>
        </w:r>
        <w:r w:rsidR="00EA7458" w:rsidRPr="00EA7458">
          <w:rPr>
            <w:rFonts w:ascii="Calibri" w:hAnsi="Calibri"/>
            <w:color w:val="231F20"/>
            <w:spacing w:val="-29"/>
            <w:w w:val="110"/>
            <w:sz w:val="18"/>
          </w:rPr>
          <w:t xml:space="preserve"> </w:t>
        </w:r>
        <w:r w:rsidR="00EA7458" w:rsidRPr="00EA7458">
          <w:rPr>
            <w:rFonts w:ascii="Calibri" w:hAnsi="Calibri"/>
            <w:color w:val="231F20"/>
            <w:w w:val="110"/>
            <w:sz w:val="18"/>
          </w:rPr>
          <w:t>Occupations</w:t>
        </w:r>
      </w:hyperlink>
    </w:p>
    <w:p w14:paraId="69C04D01" w14:textId="77777777" w:rsidR="00EA7458" w:rsidRPr="00EA7458" w:rsidRDefault="00BC1D20" w:rsidP="00EA7458">
      <w:pPr>
        <w:widowControl w:val="0"/>
        <w:spacing w:before="110" w:after="0" w:line="240" w:lineRule="auto"/>
        <w:ind w:left="107"/>
        <w:rPr>
          <w:rFonts w:ascii="Calibri" w:hAnsi="Calibri" w:cs="Calibri"/>
          <w:sz w:val="18"/>
          <w:szCs w:val="18"/>
        </w:rPr>
      </w:pPr>
      <w:hyperlink w:anchor="_bookmark7" w:history="1">
        <w:r w:rsidR="00EA7458" w:rsidRPr="00EA7458">
          <w:rPr>
            <w:rFonts w:ascii="Calibri" w:hAnsi="Calibri"/>
            <w:b/>
            <w:color w:val="231F20"/>
            <w:w w:val="110"/>
            <w:sz w:val="18"/>
          </w:rPr>
          <w:t xml:space="preserve">Figure 2.03 </w:t>
        </w:r>
        <w:r w:rsidR="00EA7458" w:rsidRPr="00EA7458">
          <w:rPr>
            <w:rFonts w:ascii="Calibri" w:hAnsi="Calibri"/>
            <w:color w:val="231F20"/>
            <w:spacing w:val="-6"/>
            <w:w w:val="110"/>
            <w:sz w:val="18"/>
          </w:rPr>
          <w:t xml:space="preserve">Top </w:t>
        </w:r>
        <w:r w:rsidR="00EA7458" w:rsidRPr="00EA7458">
          <w:rPr>
            <w:rFonts w:ascii="Calibri" w:hAnsi="Calibri"/>
            <w:color w:val="231F20"/>
            <w:w w:val="110"/>
            <w:sz w:val="18"/>
          </w:rPr>
          <w:t>Emerging</w:t>
        </w:r>
        <w:r w:rsidR="00EA7458" w:rsidRPr="00EA7458">
          <w:rPr>
            <w:rFonts w:ascii="Calibri" w:hAnsi="Calibri"/>
            <w:color w:val="231F20"/>
            <w:spacing w:val="-12"/>
            <w:w w:val="110"/>
            <w:sz w:val="18"/>
          </w:rPr>
          <w:t xml:space="preserve"> </w:t>
        </w:r>
        <w:r w:rsidR="00EA7458" w:rsidRPr="00EA7458">
          <w:rPr>
            <w:rFonts w:ascii="Calibri" w:hAnsi="Calibri"/>
            <w:color w:val="231F20"/>
            <w:w w:val="110"/>
            <w:sz w:val="18"/>
          </w:rPr>
          <w:t>Industries</w:t>
        </w:r>
      </w:hyperlink>
    </w:p>
    <w:p w14:paraId="115701D2" w14:textId="77777777" w:rsidR="00EA7458" w:rsidRPr="00EA7458" w:rsidRDefault="00BC1D20" w:rsidP="00EA7458">
      <w:pPr>
        <w:widowControl w:val="0"/>
        <w:spacing w:before="110" w:after="0" w:line="240" w:lineRule="auto"/>
        <w:ind w:left="107"/>
        <w:rPr>
          <w:rFonts w:ascii="Calibri" w:hAnsi="Calibri" w:cs="Calibri"/>
          <w:sz w:val="18"/>
          <w:szCs w:val="18"/>
        </w:rPr>
      </w:pPr>
      <w:hyperlink w:anchor="_bookmark8" w:history="1">
        <w:r w:rsidR="00EA7458" w:rsidRPr="00EA7458">
          <w:rPr>
            <w:rFonts w:ascii="Calibri" w:hAnsi="Calibri"/>
            <w:b/>
            <w:color w:val="231F20"/>
            <w:w w:val="110"/>
            <w:sz w:val="18"/>
          </w:rPr>
          <w:t xml:space="preserve">Figure 2.04 </w:t>
        </w:r>
        <w:r w:rsidR="00EA7458" w:rsidRPr="00EA7458">
          <w:rPr>
            <w:rFonts w:ascii="Calibri" w:hAnsi="Calibri"/>
            <w:color w:val="231F20"/>
            <w:spacing w:val="-6"/>
            <w:w w:val="110"/>
            <w:sz w:val="18"/>
          </w:rPr>
          <w:t xml:space="preserve">Top </w:t>
        </w:r>
        <w:r w:rsidR="00EA7458" w:rsidRPr="00EA7458">
          <w:rPr>
            <w:rFonts w:ascii="Calibri" w:hAnsi="Calibri"/>
            <w:color w:val="231F20"/>
            <w:w w:val="110"/>
            <w:sz w:val="18"/>
          </w:rPr>
          <w:t>15 Emerging</w:t>
        </w:r>
        <w:r w:rsidR="00EA7458" w:rsidRPr="00EA7458">
          <w:rPr>
            <w:rFonts w:ascii="Calibri" w:hAnsi="Calibri"/>
            <w:color w:val="231F20"/>
            <w:spacing w:val="-21"/>
            <w:w w:val="110"/>
            <w:sz w:val="18"/>
          </w:rPr>
          <w:t xml:space="preserve"> </w:t>
        </w:r>
        <w:r w:rsidR="00EA7458" w:rsidRPr="00EA7458">
          <w:rPr>
            <w:rFonts w:ascii="Calibri" w:hAnsi="Calibri"/>
            <w:color w:val="231F20"/>
            <w:w w:val="110"/>
            <w:sz w:val="18"/>
          </w:rPr>
          <w:t>Occupations</w:t>
        </w:r>
      </w:hyperlink>
    </w:p>
    <w:p w14:paraId="51EDA2B0" w14:textId="77777777" w:rsidR="00EA7458" w:rsidRPr="00EA7458" w:rsidRDefault="00BC1D20" w:rsidP="00EA7458">
      <w:pPr>
        <w:widowControl w:val="0"/>
        <w:spacing w:before="110" w:after="0" w:line="261" w:lineRule="auto"/>
        <w:ind w:left="107" w:right="893"/>
        <w:rPr>
          <w:rFonts w:ascii="Calibri" w:hAnsi="Calibri" w:cs="Calibri"/>
          <w:sz w:val="18"/>
          <w:szCs w:val="18"/>
        </w:rPr>
      </w:pPr>
      <w:hyperlink w:anchor="_bookmark9" w:history="1">
        <w:r w:rsidR="00EA7458" w:rsidRPr="00EA7458">
          <w:rPr>
            <w:rFonts w:ascii="Calibri" w:hAnsi="Calibri"/>
            <w:b/>
            <w:color w:val="231F20"/>
            <w:w w:val="110"/>
            <w:sz w:val="18"/>
          </w:rPr>
          <w:t xml:space="preserve">Figure 2.05 </w:t>
        </w:r>
        <w:r w:rsidR="00EA7458" w:rsidRPr="00EA7458">
          <w:rPr>
            <w:rFonts w:ascii="Calibri" w:hAnsi="Calibri"/>
            <w:color w:val="231F20"/>
            <w:w w:val="110"/>
            <w:sz w:val="18"/>
          </w:rPr>
          <w:t>New and Emerging Occupations</w:t>
        </w:r>
        <w:r w:rsidR="00EA7458" w:rsidRPr="00EA7458">
          <w:rPr>
            <w:rFonts w:ascii="Calibri" w:hAnsi="Calibri"/>
            <w:color w:val="231F20"/>
            <w:spacing w:val="-1"/>
            <w:w w:val="110"/>
            <w:sz w:val="18"/>
          </w:rPr>
          <w:t xml:space="preserve"> </w:t>
        </w:r>
        <w:r w:rsidR="00EA7458" w:rsidRPr="00EA7458">
          <w:rPr>
            <w:rFonts w:ascii="Calibri" w:hAnsi="Calibri"/>
            <w:color w:val="231F20"/>
            <w:spacing w:val="-6"/>
            <w:w w:val="110"/>
            <w:sz w:val="18"/>
          </w:rPr>
          <w:t>Top</w:t>
        </w:r>
      </w:hyperlink>
      <w:r w:rsidR="00EA7458" w:rsidRPr="00EA7458">
        <w:rPr>
          <w:rFonts w:ascii="Calibri" w:hAnsi="Calibri"/>
          <w:color w:val="231F20"/>
          <w:w w:val="108"/>
          <w:sz w:val="18"/>
        </w:rPr>
        <w:t xml:space="preserve"> </w:t>
      </w:r>
      <w:hyperlink w:anchor="_bookmark9" w:history="1">
        <w:r w:rsidR="00EA7458" w:rsidRPr="00EA7458">
          <w:rPr>
            <w:rFonts w:ascii="Calibri" w:hAnsi="Calibri"/>
            <w:color w:val="231F20"/>
            <w:w w:val="110"/>
            <w:sz w:val="18"/>
          </w:rPr>
          <w:t>Knowledge</w:t>
        </w:r>
        <w:r w:rsidR="00EA7458" w:rsidRPr="00EA7458">
          <w:rPr>
            <w:rFonts w:ascii="Calibri" w:hAnsi="Calibri"/>
            <w:color w:val="231F20"/>
            <w:spacing w:val="18"/>
            <w:w w:val="110"/>
            <w:sz w:val="18"/>
          </w:rPr>
          <w:t xml:space="preserve"> </w:t>
        </w:r>
        <w:r w:rsidR="00EA7458" w:rsidRPr="00EA7458">
          <w:rPr>
            <w:rFonts w:ascii="Calibri" w:hAnsi="Calibri"/>
            <w:color w:val="231F20"/>
            <w:w w:val="110"/>
            <w:sz w:val="18"/>
          </w:rPr>
          <w:t>Scores</w:t>
        </w:r>
      </w:hyperlink>
    </w:p>
    <w:p w14:paraId="24872C21" w14:textId="321DAE60" w:rsidR="00EA7458" w:rsidRPr="00EA7458" w:rsidRDefault="00BC1D20" w:rsidP="00EA7458">
      <w:pPr>
        <w:widowControl w:val="0"/>
        <w:spacing w:before="90" w:after="0" w:line="240" w:lineRule="auto"/>
        <w:ind w:left="107"/>
        <w:rPr>
          <w:rFonts w:ascii="Calibri" w:hAnsi="Calibri" w:cs="Calibri"/>
          <w:sz w:val="18"/>
          <w:szCs w:val="18"/>
        </w:rPr>
      </w:pPr>
      <w:hyperlink w:anchor="_bookmark10" w:history="1">
        <w:r w:rsidR="00EA7458" w:rsidRPr="00EA7458">
          <w:rPr>
            <w:rFonts w:ascii="Calibri" w:hAnsi="Calibri"/>
            <w:b/>
            <w:color w:val="231F20"/>
            <w:w w:val="110"/>
            <w:sz w:val="18"/>
          </w:rPr>
          <w:t xml:space="preserve">Figure 2.06 </w:t>
        </w:r>
        <w:r w:rsidR="00EA7458" w:rsidRPr="00EA7458">
          <w:rPr>
            <w:rFonts w:ascii="Calibri" w:hAnsi="Calibri"/>
            <w:color w:val="231F20"/>
            <w:w w:val="110"/>
            <w:sz w:val="18"/>
          </w:rPr>
          <w:t xml:space="preserve">Emerging Occupations </w:t>
        </w:r>
        <w:r w:rsidR="00EA7458" w:rsidRPr="00EA7458">
          <w:rPr>
            <w:rFonts w:ascii="Calibri" w:hAnsi="Calibri"/>
            <w:color w:val="231F20"/>
            <w:spacing w:val="-6"/>
            <w:w w:val="110"/>
            <w:sz w:val="18"/>
          </w:rPr>
          <w:t xml:space="preserve">Top </w:t>
        </w:r>
        <w:r w:rsidR="00EA7458" w:rsidRPr="00EA7458">
          <w:rPr>
            <w:rFonts w:ascii="Calibri" w:hAnsi="Calibri"/>
            <w:color w:val="231F20"/>
            <w:w w:val="110"/>
            <w:sz w:val="18"/>
          </w:rPr>
          <w:t>Skills</w:t>
        </w:r>
        <w:r w:rsidR="00EA7458" w:rsidRPr="00EA7458">
          <w:rPr>
            <w:rFonts w:ascii="Calibri" w:hAnsi="Calibri"/>
            <w:color w:val="231F20"/>
            <w:spacing w:val="33"/>
            <w:w w:val="110"/>
            <w:sz w:val="18"/>
          </w:rPr>
          <w:t xml:space="preserve"> </w:t>
        </w:r>
        <w:r w:rsidR="00EA7458" w:rsidRPr="00EA7458">
          <w:rPr>
            <w:rFonts w:ascii="Calibri" w:hAnsi="Calibri"/>
            <w:color w:val="231F20"/>
            <w:w w:val="110"/>
            <w:sz w:val="18"/>
          </w:rPr>
          <w:t>Scores</w:t>
        </w:r>
      </w:hyperlink>
    </w:p>
    <w:p w14:paraId="70B4C0EE" w14:textId="51A1BFE4" w:rsidR="00EA7458" w:rsidRPr="00EA7458" w:rsidRDefault="00BC1D20" w:rsidP="00EA7458">
      <w:pPr>
        <w:widowControl w:val="0"/>
        <w:spacing w:before="110" w:after="0" w:line="261" w:lineRule="auto"/>
        <w:ind w:left="107" w:right="893"/>
        <w:rPr>
          <w:rFonts w:ascii="Calibri" w:hAnsi="Calibri" w:cs="Calibri"/>
          <w:sz w:val="18"/>
          <w:szCs w:val="18"/>
        </w:rPr>
      </w:pPr>
      <w:hyperlink w:anchor="_bookmark10" w:history="1">
        <w:r w:rsidR="00EA7458" w:rsidRPr="00EA7458">
          <w:rPr>
            <w:rFonts w:ascii="Calibri" w:hAnsi="Calibri"/>
            <w:b/>
            <w:color w:val="231F20"/>
            <w:w w:val="110"/>
            <w:sz w:val="18"/>
          </w:rPr>
          <w:t xml:space="preserve">Figure 2.07 </w:t>
        </w:r>
        <w:r w:rsidR="00EA7458" w:rsidRPr="00EA7458">
          <w:rPr>
            <w:rFonts w:ascii="Calibri" w:hAnsi="Calibri"/>
            <w:color w:val="231F20"/>
            <w:w w:val="110"/>
            <w:sz w:val="18"/>
          </w:rPr>
          <w:t>Emerging Occupations</w:t>
        </w:r>
        <w:r w:rsidR="00EA7458" w:rsidRPr="00EA7458">
          <w:rPr>
            <w:rFonts w:ascii="Calibri" w:hAnsi="Calibri"/>
            <w:color w:val="231F20"/>
            <w:spacing w:val="-13"/>
            <w:w w:val="110"/>
            <w:sz w:val="18"/>
          </w:rPr>
          <w:t xml:space="preserve"> </w:t>
        </w:r>
        <w:r w:rsidR="00EA7458" w:rsidRPr="00EA7458">
          <w:rPr>
            <w:rFonts w:ascii="Calibri" w:hAnsi="Calibri"/>
            <w:color w:val="231F20"/>
            <w:spacing w:val="-6"/>
            <w:w w:val="110"/>
            <w:sz w:val="18"/>
          </w:rPr>
          <w:t>Top</w:t>
        </w:r>
      </w:hyperlink>
      <w:r w:rsidR="00EA7458" w:rsidRPr="00EA7458">
        <w:rPr>
          <w:rFonts w:ascii="Calibri" w:hAnsi="Calibri"/>
          <w:color w:val="231F20"/>
          <w:w w:val="108"/>
          <w:sz w:val="18"/>
        </w:rPr>
        <w:t xml:space="preserve"> </w:t>
      </w:r>
      <w:hyperlink w:anchor="_bookmark10" w:history="1">
        <w:r w:rsidR="00EA7458" w:rsidRPr="00EA7458">
          <w:rPr>
            <w:rFonts w:ascii="Calibri" w:hAnsi="Calibri"/>
            <w:color w:val="231F20"/>
            <w:w w:val="110"/>
            <w:sz w:val="18"/>
          </w:rPr>
          <w:t>Abilities</w:t>
        </w:r>
        <w:r w:rsidR="00EA7458" w:rsidRPr="00EA7458">
          <w:rPr>
            <w:rFonts w:ascii="Calibri" w:hAnsi="Calibri"/>
            <w:color w:val="231F20"/>
            <w:spacing w:val="-2"/>
            <w:w w:val="110"/>
            <w:sz w:val="18"/>
          </w:rPr>
          <w:t xml:space="preserve"> </w:t>
        </w:r>
        <w:r w:rsidR="00EA7458" w:rsidRPr="00EA7458">
          <w:rPr>
            <w:rFonts w:ascii="Calibri" w:hAnsi="Calibri"/>
            <w:color w:val="231F20"/>
            <w:w w:val="110"/>
            <w:sz w:val="18"/>
          </w:rPr>
          <w:t>Scores</w:t>
        </w:r>
      </w:hyperlink>
    </w:p>
    <w:p w14:paraId="615A6D95" w14:textId="77777777" w:rsidR="00EA7458" w:rsidRPr="00EA7458" w:rsidRDefault="00BC1D20" w:rsidP="00EA7458">
      <w:pPr>
        <w:widowControl w:val="0"/>
        <w:spacing w:before="90" w:after="0" w:line="261" w:lineRule="auto"/>
        <w:ind w:left="107"/>
        <w:rPr>
          <w:rFonts w:ascii="Calibri" w:hAnsi="Calibri" w:cs="Calibri"/>
          <w:sz w:val="18"/>
          <w:szCs w:val="18"/>
        </w:rPr>
      </w:pPr>
      <w:hyperlink w:anchor="_bookmark11" w:history="1">
        <w:r w:rsidR="00EA7458" w:rsidRPr="00EA7458">
          <w:rPr>
            <w:rFonts w:ascii="Calibri" w:hAnsi="Calibri"/>
            <w:b/>
            <w:color w:val="231F20"/>
            <w:w w:val="110"/>
            <w:sz w:val="18"/>
          </w:rPr>
          <w:t>Figure</w:t>
        </w:r>
        <w:r w:rsidR="00EA7458" w:rsidRPr="00EA7458">
          <w:rPr>
            <w:rFonts w:ascii="Calibri" w:hAnsi="Calibri"/>
            <w:b/>
            <w:color w:val="231F20"/>
            <w:spacing w:val="-4"/>
            <w:w w:val="110"/>
            <w:sz w:val="18"/>
          </w:rPr>
          <w:t xml:space="preserve"> </w:t>
        </w:r>
        <w:r w:rsidR="00EA7458" w:rsidRPr="00EA7458">
          <w:rPr>
            <w:rFonts w:ascii="Calibri" w:hAnsi="Calibri"/>
            <w:b/>
            <w:color w:val="231F20"/>
            <w:w w:val="110"/>
            <w:sz w:val="18"/>
          </w:rPr>
          <w:t>2.08</w:t>
        </w:r>
        <w:r w:rsidR="00EA7458" w:rsidRPr="00EA7458">
          <w:rPr>
            <w:rFonts w:ascii="Calibri" w:hAnsi="Calibri"/>
            <w:b/>
            <w:color w:val="231F20"/>
            <w:spacing w:val="-4"/>
            <w:w w:val="110"/>
            <w:sz w:val="18"/>
          </w:rPr>
          <w:t xml:space="preserve"> </w:t>
        </w:r>
        <w:r w:rsidR="00EA7458" w:rsidRPr="00EA7458">
          <w:rPr>
            <w:rFonts w:ascii="Calibri" w:hAnsi="Calibri"/>
            <w:color w:val="231F20"/>
            <w:w w:val="110"/>
            <w:sz w:val="18"/>
          </w:rPr>
          <w:t>Occupations</w:t>
        </w:r>
        <w:r w:rsidR="00EA7458" w:rsidRPr="00EA7458">
          <w:rPr>
            <w:rFonts w:ascii="Calibri" w:hAnsi="Calibri"/>
            <w:color w:val="231F20"/>
            <w:spacing w:val="-4"/>
            <w:w w:val="110"/>
            <w:sz w:val="18"/>
          </w:rPr>
          <w:t xml:space="preserve"> </w:t>
        </w:r>
        <w:r w:rsidR="00EA7458" w:rsidRPr="00EA7458">
          <w:rPr>
            <w:rFonts w:ascii="Calibri" w:hAnsi="Calibri"/>
            <w:color w:val="231F20"/>
            <w:w w:val="110"/>
            <w:sz w:val="18"/>
          </w:rPr>
          <w:t>with</w:t>
        </w:r>
        <w:r w:rsidR="00EA7458" w:rsidRPr="00EA7458">
          <w:rPr>
            <w:rFonts w:ascii="Calibri" w:hAnsi="Calibri"/>
            <w:color w:val="231F20"/>
            <w:spacing w:val="-4"/>
            <w:w w:val="110"/>
            <w:sz w:val="18"/>
          </w:rPr>
          <w:t xml:space="preserve"> </w:t>
        </w:r>
        <w:r w:rsidR="00EA7458" w:rsidRPr="00EA7458">
          <w:rPr>
            <w:rFonts w:ascii="Calibri" w:hAnsi="Calibri"/>
            <w:color w:val="231F20"/>
            <w:w w:val="110"/>
            <w:sz w:val="18"/>
          </w:rPr>
          <w:t>the</w:t>
        </w:r>
        <w:r w:rsidR="00EA7458" w:rsidRPr="00EA7458">
          <w:rPr>
            <w:rFonts w:ascii="Calibri" w:hAnsi="Calibri"/>
            <w:color w:val="231F20"/>
            <w:spacing w:val="-4"/>
            <w:w w:val="110"/>
            <w:sz w:val="18"/>
          </w:rPr>
          <w:t xml:space="preserve"> </w:t>
        </w:r>
        <w:r w:rsidR="00EA7458" w:rsidRPr="00EA7458">
          <w:rPr>
            <w:rFonts w:ascii="Calibri" w:hAnsi="Calibri"/>
            <w:color w:val="231F20"/>
            <w:w w:val="110"/>
            <w:sz w:val="18"/>
          </w:rPr>
          <w:t>Most</w:t>
        </w:r>
        <w:r w:rsidR="00EA7458" w:rsidRPr="00EA7458">
          <w:rPr>
            <w:rFonts w:ascii="Calibri" w:hAnsi="Calibri"/>
            <w:color w:val="231F20"/>
            <w:spacing w:val="-4"/>
            <w:w w:val="110"/>
            <w:sz w:val="18"/>
          </w:rPr>
          <w:t xml:space="preserve"> </w:t>
        </w:r>
        <w:r w:rsidR="00EA7458" w:rsidRPr="00EA7458">
          <w:rPr>
            <w:rFonts w:ascii="Calibri" w:hAnsi="Calibri"/>
            <w:color w:val="231F20"/>
            <w:w w:val="110"/>
            <w:sz w:val="18"/>
          </w:rPr>
          <w:t>Job</w:t>
        </w:r>
        <w:r w:rsidR="00EA7458" w:rsidRPr="00EA7458">
          <w:rPr>
            <w:rFonts w:ascii="Calibri" w:hAnsi="Calibri"/>
            <w:color w:val="231F20"/>
            <w:spacing w:val="-4"/>
            <w:w w:val="110"/>
            <w:sz w:val="18"/>
          </w:rPr>
          <w:t xml:space="preserve"> </w:t>
        </w:r>
        <w:r w:rsidR="00EA7458" w:rsidRPr="00EA7458">
          <w:rPr>
            <w:rFonts w:ascii="Calibri" w:hAnsi="Calibri"/>
            <w:color w:val="231F20"/>
            <w:w w:val="110"/>
            <w:sz w:val="18"/>
          </w:rPr>
          <w:t>Openings</w:t>
        </w:r>
        <w:r w:rsidR="00EA7458" w:rsidRPr="00EA7458">
          <w:rPr>
            <w:rFonts w:ascii="Calibri" w:hAnsi="Calibri"/>
            <w:color w:val="231F20"/>
            <w:spacing w:val="-4"/>
            <w:w w:val="110"/>
            <w:sz w:val="18"/>
          </w:rPr>
          <w:t xml:space="preserve"> </w:t>
        </w:r>
        <w:r w:rsidR="00EA7458" w:rsidRPr="00EA7458">
          <w:rPr>
            <w:rFonts w:ascii="Calibri" w:hAnsi="Calibri"/>
            <w:color w:val="231F20"/>
            <w:spacing w:val="-6"/>
            <w:w w:val="110"/>
            <w:sz w:val="18"/>
          </w:rPr>
          <w:t>Top</w:t>
        </w:r>
      </w:hyperlink>
      <w:r w:rsidR="00EA7458" w:rsidRPr="00EA7458">
        <w:rPr>
          <w:rFonts w:ascii="Calibri" w:hAnsi="Calibri"/>
          <w:color w:val="231F20"/>
          <w:w w:val="108"/>
          <w:sz w:val="18"/>
        </w:rPr>
        <w:t xml:space="preserve"> </w:t>
      </w:r>
      <w:hyperlink w:anchor="_bookmark11" w:history="1">
        <w:r w:rsidR="00EA7458" w:rsidRPr="00EA7458">
          <w:rPr>
            <w:rFonts w:ascii="Calibri" w:hAnsi="Calibri"/>
            <w:color w:val="231F20"/>
            <w:w w:val="110"/>
            <w:sz w:val="18"/>
          </w:rPr>
          <w:t>Knowledge</w:t>
        </w:r>
        <w:r w:rsidR="00EA7458" w:rsidRPr="00EA7458">
          <w:rPr>
            <w:rFonts w:ascii="Calibri" w:hAnsi="Calibri"/>
            <w:color w:val="231F20"/>
            <w:spacing w:val="18"/>
            <w:w w:val="110"/>
            <w:sz w:val="18"/>
          </w:rPr>
          <w:t xml:space="preserve"> </w:t>
        </w:r>
        <w:r w:rsidR="00EA7458" w:rsidRPr="00EA7458">
          <w:rPr>
            <w:rFonts w:ascii="Calibri" w:hAnsi="Calibri"/>
            <w:color w:val="231F20"/>
            <w:w w:val="110"/>
            <w:sz w:val="18"/>
          </w:rPr>
          <w:t>Scores</w:t>
        </w:r>
      </w:hyperlink>
    </w:p>
    <w:p w14:paraId="652AE889" w14:textId="77777777" w:rsidR="00EA7458" w:rsidRPr="00EA7458" w:rsidRDefault="00BC1D20" w:rsidP="00EA7458">
      <w:pPr>
        <w:widowControl w:val="0"/>
        <w:spacing w:before="90" w:after="0" w:line="261" w:lineRule="auto"/>
        <w:ind w:left="107" w:right="70"/>
        <w:rPr>
          <w:rFonts w:ascii="Calibri" w:hAnsi="Calibri" w:cs="Calibri"/>
          <w:sz w:val="18"/>
          <w:szCs w:val="18"/>
        </w:rPr>
      </w:pPr>
      <w:hyperlink w:anchor="_bookmark11" w:history="1">
        <w:r w:rsidR="00EA7458" w:rsidRPr="00EA7458">
          <w:rPr>
            <w:rFonts w:ascii="Calibri" w:hAnsi="Calibri"/>
            <w:b/>
            <w:color w:val="231F20"/>
            <w:w w:val="110"/>
            <w:sz w:val="18"/>
          </w:rPr>
          <w:t xml:space="preserve">Figure 2.09 </w:t>
        </w:r>
        <w:r w:rsidR="00EA7458" w:rsidRPr="00EA7458">
          <w:rPr>
            <w:rFonts w:ascii="Calibri" w:hAnsi="Calibri"/>
            <w:color w:val="231F20"/>
            <w:w w:val="110"/>
            <w:sz w:val="18"/>
          </w:rPr>
          <w:t>Occupations with the Most Job Openings</w:t>
        </w:r>
        <w:r w:rsidR="00EA7458" w:rsidRPr="00EA7458">
          <w:rPr>
            <w:rFonts w:ascii="Calibri" w:hAnsi="Calibri"/>
            <w:color w:val="231F20"/>
            <w:spacing w:val="-31"/>
            <w:w w:val="110"/>
            <w:sz w:val="18"/>
          </w:rPr>
          <w:t xml:space="preserve"> </w:t>
        </w:r>
        <w:r w:rsidR="00EA7458" w:rsidRPr="00EA7458">
          <w:rPr>
            <w:rFonts w:ascii="Calibri" w:hAnsi="Calibri"/>
            <w:color w:val="231F20"/>
            <w:spacing w:val="-6"/>
            <w:w w:val="110"/>
            <w:sz w:val="18"/>
          </w:rPr>
          <w:t>Top</w:t>
        </w:r>
      </w:hyperlink>
      <w:r w:rsidR="00EA7458" w:rsidRPr="00EA7458">
        <w:rPr>
          <w:rFonts w:ascii="Calibri" w:hAnsi="Calibri"/>
          <w:color w:val="231F20"/>
          <w:w w:val="108"/>
          <w:sz w:val="18"/>
        </w:rPr>
        <w:t xml:space="preserve"> </w:t>
      </w:r>
      <w:hyperlink w:anchor="_bookmark11" w:history="1">
        <w:r w:rsidR="00EA7458" w:rsidRPr="00EA7458">
          <w:rPr>
            <w:rFonts w:ascii="Calibri" w:hAnsi="Calibri"/>
            <w:color w:val="231F20"/>
            <w:w w:val="110"/>
            <w:sz w:val="18"/>
          </w:rPr>
          <w:t>Skills</w:t>
        </w:r>
        <w:r w:rsidR="00EA7458" w:rsidRPr="00EA7458">
          <w:rPr>
            <w:rFonts w:ascii="Calibri" w:hAnsi="Calibri"/>
            <w:color w:val="231F20"/>
            <w:spacing w:val="27"/>
            <w:w w:val="110"/>
            <w:sz w:val="18"/>
          </w:rPr>
          <w:t xml:space="preserve"> </w:t>
        </w:r>
        <w:r w:rsidR="00EA7458" w:rsidRPr="00EA7458">
          <w:rPr>
            <w:rFonts w:ascii="Calibri" w:hAnsi="Calibri"/>
            <w:color w:val="231F20"/>
            <w:w w:val="110"/>
            <w:sz w:val="18"/>
          </w:rPr>
          <w:t>Scores</w:t>
        </w:r>
      </w:hyperlink>
    </w:p>
    <w:p w14:paraId="3A27AFD4" w14:textId="77777777" w:rsidR="00EA7458" w:rsidRPr="00EA7458" w:rsidRDefault="00BC1D20" w:rsidP="00EA7458">
      <w:pPr>
        <w:widowControl w:val="0"/>
        <w:spacing w:before="90" w:after="0" w:line="261" w:lineRule="auto"/>
        <w:ind w:left="107"/>
        <w:rPr>
          <w:rFonts w:ascii="Calibri" w:hAnsi="Calibri" w:cs="Calibri"/>
          <w:sz w:val="18"/>
          <w:szCs w:val="18"/>
        </w:rPr>
      </w:pPr>
      <w:hyperlink w:anchor="_bookmark12" w:history="1">
        <w:r w:rsidR="00EA7458" w:rsidRPr="00EA7458">
          <w:rPr>
            <w:rFonts w:ascii="Calibri" w:hAnsi="Calibri"/>
            <w:b/>
            <w:color w:val="231F20"/>
            <w:w w:val="110"/>
            <w:sz w:val="18"/>
          </w:rPr>
          <w:t>Figure</w:t>
        </w:r>
        <w:r w:rsidR="00EA7458" w:rsidRPr="00EA7458">
          <w:rPr>
            <w:rFonts w:ascii="Calibri" w:hAnsi="Calibri"/>
            <w:b/>
            <w:color w:val="231F20"/>
            <w:spacing w:val="-9"/>
            <w:w w:val="110"/>
            <w:sz w:val="18"/>
          </w:rPr>
          <w:t xml:space="preserve"> </w:t>
        </w:r>
        <w:r w:rsidR="00EA7458" w:rsidRPr="00EA7458">
          <w:rPr>
            <w:rFonts w:ascii="Calibri" w:hAnsi="Calibri"/>
            <w:b/>
            <w:color w:val="231F20"/>
            <w:spacing w:val="-4"/>
            <w:w w:val="110"/>
            <w:sz w:val="18"/>
          </w:rPr>
          <w:t>2.10</w:t>
        </w:r>
        <w:r w:rsidR="00EA7458" w:rsidRPr="00EA7458">
          <w:rPr>
            <w:rFonts w:ascii="Calibri" w:hAnsi="Calibri"/>
            <w:b/>
            <w:color w:val="231F20"/>
            <w:spacing w:val="-9"/>
            <w:w w:val="110"/>
            <w:sz w:val="18"/>
          </w:rPr>
          <w:t xml:space="preserve"> </w:t>
        </w:r>
        <w:r w:rsidR="00EA7458" w:rsidRPr="00EA7458">
          <w:rPr>
            <w:rFonts w:ascii="Calibri" w:hAnsi="Calibri"/>
            <w:color w:val="231F20"/>
            <w:w w:val="110"/>
            <w:sz w:val="18"/>
          </w:rPr>
          <w:t>Occupations</w:t>
        </w:r>
        <w:r w:rsidR="00EA7458" w:rsidRPr="00EA7458">
          <w:rPr>
            <w:rFonts w:ascii="Calibri" w:hAnsi="Calibri"/>
            <w:color w:val="231F20"/>
            <w:spacing w:val="-9"/>
            <w:w w:val="110"/>
            <w:sz w:val="18"/>
          </w:rPr>
          <w:t xml:space="preserve"> </w:t>
        </w:r>
        <w:r w:rsidR="00EA7458" w:rsidRPr="00EA7458">
          <w:rPr>
            <w:rFonts w:ascii="Calibri" w:hAnsi="Calibri"/>
            <w:color w:val="231F20"/>
            <w:w w:val="110"/>
            <w:sz w:val="18"/>
          </w:rPr>
          <w:t>with</w:t>
        </w:r>
        <w:r w:rsidR="00EA7458" w:rsidRPr="00EA7458">
          <w:rPr>
            <w:rFonts w:ascii="Calibri" w:hAnsi="Calibri"/>
            <w:color w:val="231F20"/>
            <w:spacing w:val="-9"/>
            <w:w w:val="110"/>
            <w:sz w:val="18"/>
          </w:rPr>
          <w:t xml:space="preserve"> </w:t>
        </w:r>
        <w:r w:rsidR="00EA7458" w:rsidRPr="00EA7458">
          <w:rPr>
            <w:rFonts w:ascii="Calibri" w:hAnsi="Calibri"/>
            <w:color w:val="231F20"/>
            <w:w w:val="110"/>
            <w:sz w:val="18"/>
          </w:rPr>
          <w:t>the</w:t>
        </w:r>
        <w:r w:rsidR="00EA7458" w:rsidRPr="00EA7458">
          <w:rPr>
            <w:rFonts w:ascii="Calibri" w:hAnsi="Calibri"/>
            <w:color w:val="231F20"/>
            <w:spacing w:val="-9"/>
            <w:w w:val="110"/>
            <w:sz w:val="18"/>
          </w:rPr>
          <w:t xml:space="preserve"> </w:t>
        </w:r>
        <w:r w:rsidR="00EA7458" w:rsidRPr="00EA7458">
          <w:rPr>
            <w:rFonts w:ascii="Calibri" w:hAnsi="Calibri"/>
            <w:color w:val="231F20"/>
            <w:w w:val="110"/>
            <w:sz w:val="18"/>
          </w:rPr>
          <w:t>Most</w:t>
        </w:r>
        <w:r w:rsidR="00EA7458" w:rsidRPr="00EA7458">
          <w:rPr>
            <w:rFonts w:ascii="Calibri" w:hAnsi="Calibri"/>
            <w:color w:val="231F20"/>
            <w:spacing w:val="-9"/>
            <w:w w:val="110"/>
            <w:sz w:val="18"/>
          </w:rPr>
          <w:t xml:space="preserve"> </w:t>
        </w:r>
        <w:r w:rsidR="00EA7458" w:rsidRPr="00EA7458">
          <w:rPr>
            <w:rFonts w:ascii="Calibri" w:hAnsi="Calibri"/>
            <w:color w:val="231F20"/>
            <w:w w:val="110"/>
            <w:sz w:val="18"/>
          </w:rPr>
          <w:t>Job</w:t>
        </w:r>
        <w:r w:rsidR="00EA7458" w:rsidRPr="00EA7458">
          <w:rPr>
            <w:rFonts w:ascii="Calibri" w:hAnsi="Calibri"/>
            <w:color w:val="231F20"/>
            <w:spacing w:val="-9"/>
            <w:w w:val="110"/>
            <w:sz w:val="18"/>
          </w:rPr>
          <w:t xml:space="preserve"> </w:t>
        </w:r>
        <w:r w:rsidR="00EA7458" w:rsidRPr="00EA7458">
          <w:rPr>
            <w:rFonts w:ascii="Calibri" w:hAnsi="Calibri"/>
            <w:color w:val="231F20"/>
            <w:w w:val="110"/>
            <w:sz w:val="18"/>
          </w:rPr>
          <w:t>Openings</w:t>
        </w:r>
        <w:r w:rsidR="00EA7458" w:rsidRPr="00EA7458">
          <w:rPr>
            <w:rFonts w:ascii="Calibri" w:hAnsi="Calibri"/>
            <w:color w:val="231F20"/>
            <w:spacing w:val="-9"/>
            <w:w w:val="110"/>
            <w:sz w:val="18"/>
          </w:rPr>
          <w:t xml:space="preserve"> </w:t>
        </w:r>
        <w:r w:rsidR="00EA7458" w:rsidRPr="00EA7458">
          <w:rPr>
            <w:rFonts w:ascii="Calibri" w:hAnsi="Calibri"/>
            <w:color w:val="231F20"/>
            <w:spacing w:val="-6"/>
            <w:w w:val="110"/>
            <w:sz w:val="18"/>
          </w:rPr>
          <w:t>Top</w:t>
        </w:r>
      </w:hyperlink>
      <w:r w:rsidR="00EA7458" w:rsidRPr="00EA7458">
        <w:rPr>
          <w:rFonts w:ascii="Calibri" w:hAnsi="Calibri"/>
          <w:color w:val="231F20"/>
          <w:w w:val="108"/>
          <w:sz w:val="18"/>
        </w:rPr>
        <w:t xml:space="preserve"> </w:t>
      </w:r>
      <w:hyperlink w:anchor="_bookmark12" w:history="1">
        <w:r w:rsidR="00EA7458" w:rsidRPr="00EA7458">
          <w:rPr>
            <w:rFonts w:ascii="Calibri" w:hAnsi="Calibri"/>
            <w:color w:val="231F20"/>
            <w:w w:val="110"/>
            <w:sz w:val="18"/>
          </w:rPr>
          <w:t>Abilities</w:t>
        </w:r>
        <w:r w:rsidR="00EA7458" w:rsidRPr="00EA7458">
          <w:rPr>
            <w:rFonts w:ascii="Calibri" w:hAnsi="Calibri"/>
            <w:color w:val="231F20"/>
            <w:spacing w:val="-2"/>
            <w:w w:val="110"/>
            <w:sz w:val="18"/>
          </w:rPr>
          <w:t xml:space="preserve"> </w:t>
        </w:r>
        <w:r w:rsidR="00EA7458" w:rsidRPr="00EA7458">
          <w:rPr>
            <w:rFonts w:ascii="Calibri" w:hAnsi="Calibri"/>
            <w:color w:val="231F20"/>
            <w:w w:val="110"/>
            <w:sz w:val="18"/>
          </w:rPr>
          <w:t>Scores</w:t>
        </w:r>
      </w:hyperlink>
    </w:p>
    <w:p w14:paraId="0CB9074B" w14:textId="77777777" w:rsidR="00757989" w:rsidRDefault="00BC1D20" w:rsidP="00B4168F">
      <w:pPr>
        <w:widowControl w:val="0"/>
        <w:spacing w:before="90" w:after="0" w:line="240" w:lineRule="auto"/>
        <w:ind w:left="107" w:right="142"/>
        <w:rPr>
          <w:rFonts w:ascii="Calibri" w:hAnsi="Calibri"/>
          <w:color w:val="231F20"/>
          <w:spacing w:val="-40"/>
          <w:w w:val="105"/>
          <w:sz w:val="18"/>
        </w:rPr>
      </w:pPr>
      <w:hyperlink w:anchor="_bookmark12" w:history="1">
        <w:r w:rsidR="00EA7458" w:rsidRPr="00EA7458">
          <w:rPr>
            <w:rFonts w:ascii="Calibri" w:hAnsi="Calibri"/>
            <w:b/>
            <w:color w:val="231F20"/>
            <w:w w:val="105"/>
            <w:sz w:val="18"/>
          </w:rPr>
          <w:t>Figure</w:t>
        </w:r>
        <w:r w:rsidR="00EA7458" w:rsidRPr="00EA7458">
          <w:rPr>
            <w:rFonts w:ascii="Calibri" w:hAnsi="Calibri"/>
            <w:b/>
            <w:color w:val="231F20"/>
            <w:spacing w:val="19"/>
            <w:w w:val="105"/>
            <w:sz w:val="18"/>
          </w:rPr>
          <w:t xml:space="preserve"> </w:t>
        </w:r>
        <w:r w:rsidR="00EA7458" w:rsidRPr="00EA7458">
          <w:rPr>
            <w:rFonts w:ascii="Calibri" w:hAnsi="Calibri"/>
            <w:b/>
            <w:color w:val="231F20"/>
            <w:spacing w:val="-4"/>
            <w:w w:val="105"/>
            <w:sz w:val="18"/>
          </w:rPr>
          <w:t>2.11</w:t>
        </w:r>
        <w:r w:rsidR="00EA7458" w:rsidRPr="00EA7458">
          <w:rPr>
            <w:rFonts w:ascii="Calibri" w:hAnsi="Calibri"/>
            <w:b/>
            <w:color w:val="231F20"/>
            <w:spacing w:val="19"/>
            <w:w w:val="105"/>
            <w:sz w:val="18"/>
          </w:rPr>
          <w:t xml:space="preserve"> </w:t>
        </w:r>
        <w:r w:rsidR="00EA7458" w:rsidRPr="00EA7458">
          <w:rPr>
            <w:rFonts w:ascii="Calibri" w:hAnsi="Calibri"/>
            <w:color w:val="231F20"/>
            <w:w w:val="105"/>
            <w:sz w:val="18"/>
          </w:rPr>
          <w:t>Rapid</w:t>
        </w:r>
        <w:r w:rsidR="00EA7458" w:rsidRPr="00EA7458">
          <w:rPr>
            <w:rFonts w:ascii="Calibri" w:hAnsi="Calibri"/>
            <w:color w:val="231F20"/>
            <w:spacing w:val="19"/>
            <w:w w:val="105"/>
            <w:sz w:val="18"/>
          </w:rPr>
          <w:t xml:space="preserve"> </w:t>
        </w:r>
        <w:r w:rsidR="00EA7458" w:rsidRPr="00EA7458">
          <w:rPr>
            <w:rFonts w:ascii="Calibri" w:hAnsi="Calibri"/>
            <w:color w:val="231F20"/>
            <w:w w:val="105"/>
            <w:sz w:val="18"/>
          </w:rPr>
          <w:t>Growth</w:t>
        </w:r>
        <w:r w:rsidR="00EA7458" w:rsidRPr="00EA7458">
          <w:rPr>
            <w:rFonts w:ascii="Calibri" w:hAnsi="Calibri"/>
            <w:color w:val="231F20"/>
            <w:spacing w:val="19"/>
            <w:w w:val="105"/>
            <w:sz w:val="18"/>
          </w:rPr>
          <w:t xml:space="preserve"> </w:t>
        </w:r>
        <w:r w:rsidR="00EA7458" w:rsidRPr="00EA7458">
          <w:rPr>
            <w:rFonts w:ascii="Calibri" w:hAnsi="Calibri"/>
            <w:color w:val="231F20"/>
            <w:w w:val="105"/>
            <w:sz w:val="18"/>
          </w:rPr>
          <w:t>Occupations</w:t>
        </w:r>
        <w:r w:rsidR="00EA7458" w:rsidRPr="00EA7458">
          <w:rPr>
            <w:rFonts w:ascii="Calibri" w:hAnsi="Calibri"/>
            <w:color w:val="231F20"/>
            <w:spacing w:val="19"/>
            <w:w w:val="105"/>
            <w:sz w:val="18"/>
          </w:rPr>
          <w:t xml:space="preserve"> </w:t>
        </w:r>
        <w:r w:rsidR="00EA7458" w:rsidRPr="00EA7458">
          <w:rPr>
            <w:rFonts w:ascii="Calibri" w:hAnsi="Calibri"/>
            <w:color w:val="231F20"/>
            <w:spacing w:val="-6"/>
            <w:w w:val="105"/>
            <w:sz w:val="18"/>
          </w:rPr>
          <w:t>Top</w:t>
        </w:r>
        <w:r w:rsidR="00EA7458" w:rsidRPr="00EA7458">
          <w:rPr>
            <w:rFonts w:ascii="Calibri" w:hAnsi="Calibri"/>
            <w:color w:val="231F20"/>
            <w:spacing w:val="19"/>
            <w:w w:val="105"/>
            <w:sz w:val="18"/>
          </w:rPr>
          <w:t xml:space="preserve"> </w:t>
        </w:r>
        <w:r w:rsidR="00EA7458" w:rsidRPr="00EA7458">
          <w:rPr>
            <w:rFonts w:ascii="Calibri" w:hAnsi="Calibri"/>
            <w:color w:val="231F20"/>
            <w:w w:val="105"/>
            <w:sz w:val="18"/>
          </w:rPr>
          <w:t>Knowledge</w:t>
        </w:r>
        <w:r w:rsidR="00EA7458" w:rsidRPr="00EA7458">
          <w:rPr>
            <w:rFonts w:ascii="Calibri" w:hAnsi="Calibri"/>
            <w:color w:val="231F20"/>
            <w:spacing w:val="19"/>
            <w:w w:val="105"/>
            <w:sz w:val="18"/>
          </w:rPr>
          <w:t xml:space="preserve"> </w:t>
        </w:r>
        <w:r w:rsidR="00EA7458" w:rsidRPr="00EA7458">
          <w:rPr>
            <w:rFonts w:ascii="Calibri" w:hAnsi="Calibri"/>
            <w:color w:val="231F20"/>
            <w:w w:val="105"/>
            <w:sz w:val="18"/>
          </w:rPr>
          <w:t>Scores</w:t>
        </w:r>
      </w:hyperlink>
      <w:r w:rsidR="00EA7458" w:rsidRPr="00EA7458">
        <w:rPr>
          <w:rFonts w:ascii="Calibri" w:hAnsi="Calibri"/>
          <w:color w:val="231F20"/>
          <w:spacing w:val="-40"/>
          <w:w w:val="105"/>
          <w:sz w:val="18"/>
        </w:rPr>
        <w:t xml:space="preserve"> </w:t>
      </w:r>
    </w:p>
    <w:p w14:paraId="226D8994" w14:textId="77777777" w:rsidR="00757989" w:rsidRDefault="00BC1D20" w:rsidP="00B4168F">
      <w:pPr>
        <w:widowControl w:val="0"/>
        <w:spacing w:before="90" w:after="0" w:line="240" w:lineRule="auto"/>
        <w:ind w:left="107" w:right="142"/>
        <w:rPr>
          <w:rFonts w:ascii="Calibri" w:hAnsi="Calibri"/>
          <w:color w:val="231F20"/>
          <w:spacing w:val="-17"/>
          <w:w w:val="105"/>
          <w:sz w:val="18"/>
        </w:rPr>
      </w:pPr>
      <w:hyperlink w:anchor="_bookmark13" w:history="1">
        <w:r w:rsidR="00EA7458" w:rsidRPr="00EA7458">
          <w:rPr>
            <w:rFonts w:ascii="Calibri" w:hAnsi="Calibri"/>
            <w:b/>
            <w:color w:val="231F20"/>
            <w:w w:val="105"/>
            <w:sz w:val="18"/>
          </w:rPr>
          <w:t>Figure</w:t>
        </w:r>
        <w:r w:rsidR="00EA7458" w:rsidRPr="00EA7458">
          <w:rPr>
            <w:rFonts w:ascii="Calibri" w:hAnsi="Calibri"/>
            <w:b/>
            <w:color w:val="231F20"/>
            <w:spacing w:val="19"/>
            <w:w w:val="105"/>
            <w:sz w:val="18"/>
          </w:rPr>
          <w:t xml:space="preserve"> </w:t>
        </w:r>
        <w:r w:rsidR="00EA7458" w:rsidRPr="00EA7458">
          <w:rPr>
            <w:rFonts w:ascii="Calibri" w:hAnsi="Calibri"/>
            <w:b/>
            <w:color w:val="231F20"/>
            <w:spacing w:val="-4"/>
            <w:w w:val="105"/>
            <w:sz w:val="18"/>
          </w:rPr>
          <w:t>2.12</w:t>
        </w:r>
        <w:r w:rsidR="00EA7458" w:rsidRPr="00EA7458">
          <w:rPr>
            <w:rFonts w:ascii="Calibri" w:hAnsi="Calibri"/>
            <w:b/>
            <w:color w:val="231F20"/>
            <w:spacing w:val="19"/>
            <w:w w:val="105"/>
            <w:sz w:val="18"/>
          </w:rPr>
          <w:t xml:space="preserve"> </w:t>
        </w:r>
        <w:r w:rsidR="00EA7458" w:rsidRPr="00EA7458">
          <w:rPr>
            <w:rFonts w:ascii="Calibri" w:hAnsi="Calibri"/>
            <w:color w:val="231F20"/>
            <w:w w:val="105"/>
            <w:sz w:val="18"/>
          </w:rPr>
          <w:t>Rapid</w:t>
        </w:r>
        <w:r w:rsidR="00EA7458" w:rsidRPr="00EA7458">
          <w:rPr>
            <w:rFonts w:ascii="Calibri" w:hAnsi="Calibri"/>
            <w:color w:val="231F20"/>
            <w:spacing w:val="19"/>
            <w:w w:val="105"/>
            <w:sz w:val="18"/>
          </w:rPr>
          <w:t xml:space="preserve"> </w:t>
        </w:r>
        <w:r w:rsidR="00EA7458" w:rsidRPr="00EA7458">
          <w:rPr>
            <w:rFonts w:ascii="Calibri" w:hAnsi="Calibri"/>
            <w:color w:val="231F20"/>
            <w:w w:val="105"/>
            <w:sz w:val="18"/>
          </w:rPr>
          <w:t>Growth</w:t>
        </w:r>
        <w:r w:rsidR="00EA7458" w:rsidRPr="00EA7458">
          <w:rPr>
            <w:rFonts w:ascii="Calibri" w:hAnsi="Calibri"/>
            <w:color w:val="231F20"/>
            <w:spacing w:val="19"/>
            <w:w w:val="105"/>
            <w:sz w:val="18"/>
          </w:rPr>
          <w:t xml:space="preserve"> </w:t>
        </w:r>
        <w:r w:rsidR="00EA7458" w:rsidRPr="00EA7458">
          <w:rPr>
            <w:rFonts w:ascii="Calibri" w:hAnsi="Calibri"/>
            <w:color w:val="231F20"/>
            <w:w w:val="105"/>
            <w:sz w:val="18"/>
          </w:rPr>
          <w:t>Occupations</w:t>
        </w:r>
        <w:r w:rsidR="00EA7458" w:rsidRPr="00EA7458">
          <w:rPr>
            <w:rFonts w:ascii="Calibri" w:hAnsi="Calibri"/>
            <w:color w:val="231F20"/>
            <w:spacing w:val="19"/>
            <w:w w:val="105"/>
            <w:sz w:val="18"/>
          </w:rPr>
          <w:t xml:space="preserve"> </w:t>
        </w:r>
        <w:r w:rsidR="00EA7458" w:rsidRPr="00EA7458">
          <w:rPr>
            <w:rFonts w:ascii="Calibri" w:hAnsi="Calibri"/>
            <w:color w:val="231F20"/>
            <w:spacing w:val="-6"/>
            <w:w w:val="105"/>
            <w:sz w:val="18"/>
          </w:rPr>
          <w:t>Top</w:t>
        </w:r>
        <w:r w:rsidR="00EA7458" w:rsidRPr="00EA7458">
          <w:rPr>
            <w:rFonts w:ascii="Calibri" w:hAnsi="Calibri"/>
            <w:color w:val="231F20"/>
            <w:spacing w:val="19"/>
            <w:w w:val="105"/>
            <w:sz w:val="18"/>
          </w:rPr>
          <w:t xml:space="preserve"> </w:t>
        </w:r>
        <w:r w:rsidR="00EA7458" w:rsidRPr="00EA7458">
          <w:rPr>
            <w:rFonts w:ascii="Calibri" w:hAnsi="Calibri"/>
            <w:color w:val="231F20"/>
            <w:w w:val="105"/>
            <w:sz w:val="18"/>
          </w:rPr>
          <w:t>Skills</w:t>
        </w:r>
        <w:r w:rsidR="00EA7458" w:rsidRPr="00EA7458">
          <w:rPr>
            <w:rFonts w:ascii="Calibri" w:hAnsi="Calibri"/>
            <w:color w:val="231F20"/>
            <w:spacing w:val="19"/>
            <w:w w:val="105"/>
            <w:sz w:val="18"/>
          </w:rPr>
          <w:t xml:space="preserve"> </w:t>
        </w:r>
        <w:r w:rsidR="00EA7458" w:rsidRPr="00EA7458">
          <w:rPr>
            <w:rFonts w:ascii="Calibri" w:hAnsi="Calibri"/>
            <w:color w:val="231F20"/>
            <w:w w:val="105"/>
            <w:sz w:val="18"/>
          </w:rPr>
          <w:t>Scores</w:t>
        </w:r>
      </w:hyperlink>
      <w:r w:rsidR="00EA7458" w:rsidRPr="00EA7458">
        <w:rPr>
          <w:rFonts w:ascii="Calibri" w:hAnsi="Calibri"/>
          <w:color w:val="231F20"/>
          <w:spacing w:val="-17"/>
          <w:w w:val="105"/>
          <w:sz w:val="18"/>
        </w:rPr>
        <w:t xml:space="preserve"> </w:t>
      </w:r>
    </w:p>
    <w:p w14:paraId="643957EB" w14:textId="77777777" w:rsidR="00757989" w:rsidRDefault="00BC1D20" w:rsidP="00B4168F">
      <w:pPr>
        <w:widowControl w:val="0"/>
        <w:spacing w:before="90" w:after="0" w:line="240" w:lineRule="auto"/>
        <w:ind w:left="107" w:right="142"/>
        <w:rPr>
          <w:rFonts w:ascii="Calibri" w:hAnsi="Calibri"/>
          <w:color w:val="231F20"/>
          <w:w w:val="105"/>
          <w:sz w:val="18"/>
        </w:rPr>
      </w:pPr>
      <w:hyperlink w:anchor="_bookmark13" w:history="1">
        <w:r w:rsidR="00EA7458" w:rsidRPr="00EA7458">
          <w:rPr>
            <w:rFonts w:ascii="Calibri" w:hAnsi="Calibri"/>
            <w:b/>
            <w:color w:val="231F20"/>
            <w:w w:val="105"/>
            <w:sz w:val="18"/>
          </w:rPr>
          <w:t xml:space="preserve">Figure </w:t>
        </w:r>
        <w:r w:rsidR="00EA7458" w:rsidRPr="00EA7458">
          <w:rPr>
            <w:rFonts w:ascii="Calibri" w:hAnsi="Calibri"/>
            <w:b/>
            <w:color w:val="231F20"/>
            <w:spacing w:val="-4"/>
            <w:w w:val="105"/>
            <w:sz w:val="18"/>
          </w:rPr>
          <w:t xml:space="preserve">2.13 </w:t>
        </w:r>
        <w:r w:rsidR="00EA7458" w:rsidRPr="00EA7458">
          <w:rPr>
            <w:rFonts w:ascii="Calibri" w:hAnsi="Calibri"/>
            <w:color w:val="231F20"/>
            <w:w w:val="105"/>
            <w:sz w:val="18"/>
          </w:rPr>
          <w:t xml:space="preserve">Rapid Growth Occupations </w:t>
        </w:r>
        <w:r w:rsidR="00EA7458" w:rsidRPr="00EA7458">
          <w:rPr>
            <w:rFonts w:ascii="Calibri" w:hAnsi="Calibri"/>
            <w:color w:val="231F20"/>
            <w:spacing w:val="-6"/>
            <w:w w:val="105"/>
            <w:sz w:val="18"/>
          </w:rPr>
          <w:t xml:space="preserve">Top </w:t>
        </w:r>
        <w:r w:rsidR="00EA7458" w:rsidRPr="00EA7458">
          <w:rPr>
            <w:rFonts w:ascii="Calibri" w:hAnsi="Calibri"/>
            <w:color w:val="231F20"/>
            <w:w w:val="105"/>
            <w:sz w:val="18"/>
          </w:rPr>
          <w:t>Abilities Scores</w:t>
        </w:r>
      </w:hyperlink>
    </w:p>
    <w:p w14:paraId="1F693949" w14:textId="31E39300" w:rsidR="00EA7458" w:rsidRPr="00EA7458" w:rsidRDefault="00BC1D20" w:rsidP="00F55C20">
      <w:pPr>
        <w:widowControl w:val="0"/>
        <w:spacing w:before="90" w:after="0" w:line="240" w:lineRule="auto"/>
        <w:ind w:left="107" w:right="142"/>
        <w:rPr>
          <w:rFonts w:ascii="Calibri" w:hAnsi="Calibri" w:cs="Calibri"/>
          <w:sz w:val="18"/>
          <w:szCs w:val="18"/>
        </w:rPr>
      </w:pPr>
      <w:hyperlink w:anchor="_bookmark14" w:history="1">
        <w:r w:rsidR="00EA7458" w:rsidRPr="00EA7458">
          <w:rPr>
            <w:rFonts w:ascii="Calibri" w:hAnsi="Calibri"/>
            <w:b/>
            <w:color w:val="231F20"/>
            <w:w w:val="105"/>
            <w:sz w:val="18"/>
          </w:rPr>
          <w:t xml:space="preserve">Figure </w:t>
        </w:r>
        <w:r w:rsidR="00EA7458" w:rsidRPr="00EA7458">
          <w:rPr>
            <w:rFonts w:ascii="Calibri" w:hAnsi="Calibri"/>
            <w:b/>
            <w:color w:val="231F20"/>
            <w:spacing w:val="-4"/>
            <w:w w:val="105"/>
            <w:sz w:val="18"/>
          </w:rPr>
          <w:t xml:space="preserve">2.14 </w:t>
        </w:r>
        <w:r w:rsidR="00EA7458" w:rsidRPr="00EA7458">
          <w:rPr>
            <w:rFonts w:ascii="Calibri" w:hAnsi="Calibri"/>
            <w:color w:val="231F20"/>
            <w:w w:val="105"/>
            <w:sz w:val="18"/>
          </w:rPr>
          <w:t>Florida Unemployment Rate (Seasonally</w:t>
        </w:r>
        <w:r w:rsidR="00757989">
          <w:rPr>
            <w:rFonts w:ascii="Calibri" w:hAnsi="Calibri"/>
            <w:color w:val="231F20"/>
            <w:w w:val="105"/>
            <w:sz w:val="18"/>
          </w:rPr>
          <w:t xml:space="preserve"> </w:t>
        </w:r>
        <w:r w:rsidR="00EA7458" w:rsidRPr="00EA7458">
          <w:rPr>
            <w:rFonts w:ascii="Calibri" w:hAnsi="Calibri"/>
            <w:color w:val="231F20"/>
            <w:w w:val="105"/>
            <w:sz w:val="18"/>
          </w:rPr>
          <w:t>Adjusted</w:t>
        </w:r>
      </w:hyperlink>
      <w:r w:rsidR="00EA7458" w:rsidRPr="00EA7458">
        <w:rPr>
          <w:rFonts w:ascii="Calibri" w:hAnsi="Calibri"/>
          <w:color w:val="231F20"/>
          <w:w w:val="105"/>
          <w:sz w:val="18"/>
        </w:rPr>
        <w:t>)</w:t>
      </w:r>
      <w:r w:rsidR="00757989">
        <w:br/>
      </w:r>
      <w:hyperlink w:anchor="_bookmark15" w:history="1">
        <w:r w:rsidR="00EA7458" w:rsidRPr="00EA7458">
          <w:rPr>
            <w:rFonts w:ascii="Calibri" w:hAnsi="Calibri" w:cs="Calibri"/>
            <w:b/>
            <w:bCs/>
            <w:color w:val="231F20"/>
            <w:w w:val="110"/>
            <w:sz w:val="18"/>
            <w:szCs w:val="18"/>
          </w:rPr>
          <w:t>Figure</w:t>
        </w:r>
        <w:r w:rsidR="00EA7458" w:rsidRPr="00EA7458">
          <w:rPr>
            <w:rFonts w:ascii="Calibri" w:hAnsi="Calibri" w:cs="Calibri"/>
            <w:b/>
            <w:bCs/>
            <w:color w:val="231F20"/>
            <w:spacing w:val="-15"/>
            <w:w w:val="110"/>
            <w:sz w:val="18"/>
            <w:szCs w:val="18"/>
          </w:rPr>
          <w:t xml:space="preserve"> </w:t>
        </w:r>
        <w:r w:rsidR="00EA7458" w:rsidRPr="00EA7458">
          <w:rPr>
            <w:rFonts w:ascii="Calibri" w:hAnsi="Calibri" w:cs="Calibri"/>
            <w:b/>
            <w:bCs/>
            <w:color w:val="231F20"/>
            <w:spacing w:val="-4"/>
            <w:w w:val="110"/>
            <w:sz w:val="18"/>
            <w:szCs w:val="18"/>
          </w:rPr>
          <w:t>2.15</w:t>
        </w:r>
        <w:r w:rsidR="00EA7458" w:rsidRPr="00EA7458">
          <w:rPr>
            <w:rFonts w:ascii="Calibri" w:hAnsi="Calibri" w:cs="Calibri"/>
            <w:b/>
            <w:bCs/>
            <w:color w:val="231F20"/>
            <w:spacing w:val="-15"/>
            <w:w w:val="110"/>
            <w:sz w:val="18"/>
            <w:szCs w:val="18"/>
          </w:rPr>
          <w:t xml:space="preserve"> </w:t>
        </w:r>
        <w:r w:rsidR="00EA7458" w:rsidRPr="00EA7458">
          <w:rPr>
            <w:rFonts w:ascii="Calibri" w:hAnsi="Calibri" w:cs="Calibri"/>
            <w:color w:val="231F20"/>
            <w:w w:val="110"/>
            <w:sz w:val="18"/>
            <w:szCs w:val="18"/>
          </w:rPr>
          <w:t>Florida’s</w:t>
        </w:r>
        <w:r w:rsidR="00EA7458" w:rsidRPr="00EA7458">
          <w:rPr>
            <w:rFonts w:ascii="Calibri" w:hAnsi="Calibri" w:cs="Calibri"/>
            <w:color w:val="231F20"/>
            <w:spacing w:val="-15"/>
            <w:w w:val="110"/>
            <w:sz w:val="18"/>
            <w:szCs w:val="18"/>
          </w:rPr>
          <w:t xml:space="preserve"> </w:t>
        </w:r>
        <w:r w:rsidR="00EA7458" w:rsidRPr="00EA7458">
          <w:rPr>
            <w:rFonts w:ascii="Calibri" w:hAnsi="Calibri" w:cs="Calibri"/>
            <w:color w:val="231F20"/>
            <w:w w:val="110"/>
            <w:sz w:val="18"/>
            <w:szCs w:val="18"/>
          </w:rPr>
          <w:t>Labor</w:t>
        </w:r>
        <w:r w:rsidR="00EA7458" w:rsidRPr="00EA7458">
          <w:rPr>
            <w:rFonts w:ascii="Calibri" w:hAnsi="Calibri" w:cs="Calibri"/>
            <w:color w:val="231F20"/>
            <w:spacing w:val="-15"/>
            <w:w w:val="110"/>
            <w:sz w:val="18"/>
            <w:szCs w:val="18"/>
          </w:rPr>
          <w:t xml:space="preserve"> </w:t>
        </w:r>
        <w:r w:rsidR="00EA7458" w:rsidRPr="00EA7458">
          <w:rPr>
            <w:rFonts w:ascii="Calibri" w:hAnsi="Calibri" w:cs="Calibri"/>
            <w:color w:val="231F20"/>
            <w:w w:val="110"/>
            <w:sz w:val="18"/>
            <w:szCs w:val="18"/>
          </w:rPr>
          <w:t>Force</w:t>
        </w:r>
        <w:r w:rsidR="00EA7458" w:rsidRPr="00EA7458">
          <w:rPr>
            <w:rFonts w:ascii="Calibri" w:hAnsi="Calibri" w:cs="Calibri"/>
            <w:color w:val="231F20"/>
            <w:spacing w:val="-15"/>
            <w:w w:val="110"/>
            <w:sz w:val="18"/>
            <w:szCs w:val="18"/>
          </w:rPr>
          <w:t xml:space="preserve"> </w:t>
        </w:r>
        <w:r w:rsidR="00EA7458" w:rsidRPr="00EA7458">
          <w:rPr>
            <w:rFonts w:ascii="Calibri" w:hAnsi="Calibri" w:cs="Calibri"/>
            <w:color w:val="231F20"/>
            <w:w w:val="110"/>
            <w:sz w:val="18"/>
            <w:szCs w:val="18"/>
          </w:rPr>
          <w:t>and</w:t>
        </w:r>
        <w:r w:rsidR="00EA7458" w:rsidRPr="00EA7458">
          <w:rPr>
            <w:rFonts w:ascii="Calibri" w:hAnsi="Calibri" w:cs="Calibri"/>
            <w:color w:val="231F20"/>
            <w:spacing w:val="-15"/>
            <w:w w:val="110"/>
            <w:sz w:val="18"/>
            <w:szCs w:val="18"/>
          </w:rPr>
          <w:t xml:space="preserve"> </w:t>
        </w:r>
        <w:r w:rsidR="00EA7458" w:rsidRPr="00EA7458">
          <w:rPr>
            <w:rFonts w:ascii="Calibri" w:hAnsi="Calibri" w:cs="Calibri"/>
            <w:color w:val="231F20"/>
            <w:w w:val="110"/>
            <w:sz w:val="18"/>
            <w:szCs w:val="18"/>
          </w:rPr>
          <w:t>Employment</w:t>
        </w:r>
      </w:hyperlink>
      <w:r w:rsidR="00EA7458" w:rsidRPr="00EA7458">
        <w:rPr>
          <w:rFonts w:ascii="Calibri" w:hAnsi="Calibri" w:cs="Calibri"/>
          <w:color w:val="231F20"/>
          <w:w w:val="105"/>
          <w:sz w:val="18"/>
          <w:szCs w:val="18"/>
        </w:rPr>
        <w:t xml:space="preserve"> </w:t>
      </w:r>
      <w:hyperlink w:anchor="_bookmark15" w:history="1">
        <w:r w:rsidR="00EA7458" w:rsidRPr="00EA7458">
          <w:rPr>
            <w:rFonts w:ascii="Calibri" w:hAnsi="Calibri" w:cs="Calibri"/>
            <w:color w:val="231F20"/>
            <w:w w:val="105"/>
            <w:sz w:val="18"/>
            <w:szCs w:val="18"/>
          </w:rPr>
          <w:t>(Seasonally</w:t>
        </w:r>
        <w:r w:rsidR="00EA7458" w:rsidRPr="00EA7458">
          <w:rPr>
            <w:rFonts w:ascii="Calibri" w:hAnsi="Calibri" w:cs="Calibri"/>
            <w:color w:val="231F20"/>
            <w:spacing w:val="40"/>
            <w:w w:val="105"/>
            <w:sz w:val="18"/>
            <w:szCs w:val="18"/>
          </w:rPr>
          <w:t xml:space="preserve"> </w:t>
        </w:r>
        <w:r w:rsidR="00EA7458" w:rsidRPr="00EA7458">
          <w:rPr>
            <w:rFonts w:ascii="Calibri" w:hAnsi="Calibri" w:cs="Calibri"/>
            <w:color w:val="231F20"/>
            <w:w w:val="105"/>
            <w:sz w:val="18"/>
            <w:szCs w:val="18"/>
          </w:rPr>
          <w:t>Adjusted</w:t>
        </w:r>
      </w:hyperlink>
      <w:r w:rsidR="00EA7458" w:rsidRPr="00EA7458">
        <w:rPr>
          <w:rFonts w:ascii="Calibri" w:hAnsi="Calibri" w:cs="Calibri"/>
          <w:color w:val="231F20"/>
          <w:w w:val="105"/>
          <w:sz w:val="18"/>
          <w:szCs w:val="18"/>
        </w:rPr>
        <w:t>)</w:t>
      </w:r>
    </w:p>
    <w:p w14:paraId="22C76C7B" w14:textId="5E8458E9" w:rsidR="00EA7458" w:rsidRPr="00EA7458" w:rsidRDefault="00BC1D20" w:rsidP="00EA7458">
      <w:pPr>
        <w:widowControl w:val="0"/>
        <w:spacing w:before="90" w:after="0" w:line="261" w:lineRule="auto"/>
        <w:ind w:left="107" w:right="893"/>
        <w:rPr>
          <w:rFonts w:ascii="Calibri" w:hAnsi="Calibri" w:cs="Calibri"/>
          <w:sz w:val="18"/>
          <w:szCs w:val="18"/>
        </w:rPr>
      </w:pPr>
      <w:hyperlink w:anchor="_bookmark16" w:history="1">
        <w:r w:rsidR="00EA7458" w:rsidRPr="00EA7458">
          <w:rPr>
            <w:rFonts w:ascii="Calibri" w:hAnsi="Calibri" w:cs="Calibri"/>
            <w:b/>
            <w:bCs/>
            <w:color w:val="231F20"/>
            <w:w w:val="110"/>
            <w:sz w:val="18"/>
            <w:szCs w:val="18"/>
          </w:rPr>
          <w:t>Figure</w:t>
        </w:r>
        <w:r w:rsidR="00EA7458" w:rsidRPr="00EA7458">
          <w:rPr>
            <w:rFonts w:ascii="Calibri" w:hAnsi="Calibri" w:cs="Calibri"/>
            <w:b/>
            <w:bCs/>
            <w:color w:val="231F20"/>
            <w:spacing w:val="-13"/>
            <w:w w:val="110"/>
            <w:sz w:val="18"/>
            <w:szCs w:val="18"/>
          </w:rPr>
          <w:t xml:space="preserve"> </w:t>
        </w:r>
        <w:r w:rsidR="00EA7458" w:rsidRPr="00EA7458">
          <w:rPr>
            <w:rFonts w:ascii="Calibri" w:hAnsi="Calibri" w:cs="Calibri"/>
            <w:b/>
            <w:bCs/>
            <w:color w:val="231F20"/>
            <w:spacing w:val="-4"/>
            <w:w w:val="110"/>
            <w:sz w:val="18"/>
            <w:szCs w:val="18"/>
          </w:rPr>
          <w:t>2.16</w:t>
        </w:r>
        <w:r w:rsidR="00EA7458" w:rsidRPr="00EA7458">
          <w:rPr>
            <w:rFonts w:ascii="Calibri" w:hAnsi="Calibri" w:cs="Calibri"/>
            <w:b/>
            <w:bCs/>
            <w:color w:val="231F20"/>
            <w:spacing w:val="-13"/>
            <w:w w:val="110"/>
            <w:sz w:val="18"/>
            <w:szCs w:val="18"/>
          </w:rPr>
          <w:t xml:space="preserve"> </w:t>
        </w:r>
        <w:r w:rsidR="00EA7458" w:rsidRPr="00EA7458">
          <w:rPr>
            <w:rFonts w:ascii="Calibri" w:hAnsi="Calibri" w:cs="Calibri"/>
            <w:color w:val="231F20"/>
            <w:w w:val="110"/>
            <w:sz w:val="18"/>
            <w:szCs w:val="18"/>
          </w:rPr>
          <w:t>Employment</w:t>
        </w:r>
        <w:r w:rsidR="00EA7458" w:rsidRPr="00EA7458">
          <w:rPr>
            <w:rFonts w:ascii="Calibri" w:hAnsi="Calibri" w:cs="Calibri"/>
            <w:color w:val="231F20"/>
            <w:spacing w:val="-13"/>
            <w:w w:val="110"/>
            <w:sz w:val="18"/>
            <w:szCs w:val="18"/>
          </w:rPr>
          <w:t xml:space="preserve"> </w:t>
        </w:r>
        <w:r w:rsidR="00EA7458" w:rsidRPr="00EA7458">
          <w:rPr>
            <w:rFonts w:ascii="Calibri" w:hAnsi="Calibri" w:cs="Calibri"/>
            <w:color w:val="231F20"/>
            <w:w w:val="110"/>
            <w:sz w:val="18"/>
            <w:szCs w:val="18"/>
          </w:rPr>
          <w:t>Status</w:t>
        </w:r>
        <w:r w:rsidR="00EA7458" w:rsidRPr="00EA7458">
          <w:rPr>
            <w:rFonts w:ascii="Calibri" w:hAnsi="Calibri" w:cs="Calibri"/>
            <w:color w:val="231F20"/>
            <w:spacing w:val="-13"/>
            <w:w w:val="110"/>
            <w:sz w:val="18"/>
            <w:szCs w:val="18"/>
          </w:rPr>
          <w:t xml:space="preserve"> </w:t>
        </w:r>
        <w:r w:rsidR="00EA7458" w:rsidRPr="00EA7458">
          <w:rPr>
            <w:rFonts w:ascii="Calibri" w:hAnsi="Calibri" w:cs="Calibri"/>
            <w:color w:val="231F20"/>
            <w:w w:val="110"/>
            <w:sz w:val="18"/>
            <w:szCs w:val="18"/>
          </w:rPr>
          <w:t>–</w:t>
        </w:r>
        <w:r w:rsidR="00EA7458" w:rsidRPr="00EA7458">
          <w:rPr>
            <w:rFonts w:ascii="Calibri" w:hAnsi="Calibri" w:cs="Calibri"/>
            <w:color w:val="231F20"/>
            <w:spacing w:val="-13"/>
            <w:w w:val="110"/>
            <w:sz w:val="18"/>
            <w:szCs w:val="18"/>
          </w:rPr>
          <w:t xml:space="preserve"> </w:t>
        </w:r>
        <w:r w:rsidR="00EA7458" w:rsidRPr="00EA7458">
          <w:rPr>
            <w:rFonts w:ascii="Calibri" w:hAnsi="Calibri" w:cs="Calibri"/>
            <w:color w:val="231F20"/>
            <w:w w:val="110"/>
            <w:sz w:val="18"/>
            <w:szCs w:val="18"/>
          </w:rPr>
          <w:t>U.S.</w:t>
        </w:r>
        <w:r w:rsidR="00EA7458" w:rsidRPr="00EA7458">
          <w:rPr>
            <w:rFonts w:ascii="Calibri" w:hAnsi="Calibri" w:cs="Calibri"/>
            <w:color w:val="231F20"/>
            <w:spacing w:val="-13"/>
            <w:w w:val="110"/>
            <w:sz w:val="18"/>
            <w:szCs w:val="18"/>
          </w:rPr>
          <w:t xml:space="preserve"> </w:t>
        </w:r>
        <w:r w:rsidR="00EA7458" w:rsidRPr="00EA7458">
          <w:rPr>
            <w:rFonts w:ascii="Calibri" w:hAnsi="Calibri" w:cs="Calibri"/>
            <w:color w:val="231F20"/>
            <w:w w:val="110"/>
            <w:sz w:val="18"/>
            <w:szCs w:val="18"/>
          </w:rPr>
          <w:t>versus</w:t>
        </w:r>
        <w:r w:rsidR="00EA7458" w:rsidRPr="00EA7458">
          <w:rPr>
            <w:rFonts w:ascii="Calibri" w:hAnsi="Calibri" w:cs="Calibri"/>
            <w:color w:val="231F20"/>
            <w:spacing w:val="-13"/>
            <w:w w:val="110"/>
            <w:sz w:val="18"/>
            <w:szCs w:val="18"/>
          </w:rPr>
          <w:t xml:space="preserve"> </w:t>
        </w:r>
        <w:r w:rsidR="00EA7458" w:rsidRPr="00EA7458">
          <w:rPr>
            <w:rFonts w:ascii="Calibri" w:hAnsi="Calibri" w:cs="Calibri"/>
            <w:color w:val="231F20"/>
            <w:w w:val="110"/>
            <w:sz w:val="18"/>
            <w:szCs w:val="18"/>
          </w:rPr>
          <w:t>Florida</w:t>
        </w:r>
      </w:hyperlink>
      <w:r w:rsidR="00EA7458" w:rsidRPr="00EA7458">
        <w:rPr>
          <w:rFonts w:ascii="Calibri" w:hAnsi="Calibri" w:cs="Calibri"/>
          <w:color w:val="231F20"/>
          <w:w w:val="107"/>
          <w:sz w:val="18"/>
          <w:szCs w:val="18"/>
        </w:rPr>
        <w:t xml:space="preserve"> </w:t>
      </w:r>
      <w:hyperlink w:anchor="_bookmark16" w:history="1">
        <w:r w:rsidR="005E5B17">
          <w:rPr>
            <w:rFonts w:ascii="Calibri" w:hAnsi="Calibri" w:cs="Calibri"/>
            <w:color w:val="231F20"/>
            <w:w w:val="105"/>
            <w:sz w:val="18"/>
            <w:szCs w:val="18"/>
          </w:rPr>
          <w:t>November</w:t>
        </w:r>
      </w:hyperlink>
      <w:r w:rsidR="005E5B17">
        <w:rPr>
          <w:rFonts w:ascii="Calibri" w:hAnsi="Calibri" w:cs="Calibri"/>
          <w:color w:val="231F20"/>
          <w:w w:val="105"/>
          <w:sz w:val="18"/>
          <w:szCs w:val="18"/>
        </w:rPr>
        <w:t xml:space="preserve"> 2017</w:t>
      </w:r>
    </w:p>
    <w:p w14:paraId="57995EAF" w14:textId="0BFF7263" w:rsidR="00EA7458" w:rsidRPr="005E5B17" w:rsidRDefault="00BC1D20" w:rsidP="005E5B17">
      <w:pPr>
        <w:widowControl w:val="0"/>
        <w:spacing w:before="90" w:after="0" w:line="240" w:lineRule="auto"/>
        <w:ind w:left="107" w:right="893"/>
        <w:rPr>
          <w:rFonts w:ascii="Calibri" w:hAnsi="Calibri" w:cs="Calibri"/>
          <w:bCs/>
          <w:color w:val="231F20"/>
          <w:w w:val="110"/>
          <w:sz w:val="18"/>
          <w:szCs w:val="18"/>
        </w:rPr>
      </w:pPr>
      <w:hyperlink w:anchor="_bookmark17" w:history="1">
        <w:r w:rsidR="00EA7458" w:rsidRPr="00771949">
          <w:rPr>
            <w:rFonts w:ascii="Calibri" w:hAnsi="Calibri" w:cs="Calibri"/>
            <w:b/>
            <w:bCs/>
            <w:color w:val="231F20"/>
            <w:w w:val="110"/>
            <w:sz w:val="18"/>
            <w:szCs w:val="18"/>
          </w:rPr>
          <w:t xml:space="preserve">Figure 2.17 </w:t>
        </w:r>
        <w:r w:rsidR="00EA7458" w:rsidRPr="005E5B17">
          <w:rPr>
            <w:rFonts w:ascii="Calibri" w:hAnsi="Calibri" w:cs="Calibri"/>
            <w:bCs/>
            <w:color w:val="231F20"/>
            <w:w w:val="110"/>
            <w:sz w:val="18"/>
            <w:szCs w:val="18"/>
          </w:rPr>
          <w:t>Percent Distribution of Employment by Major</w:t>
        </w:r>
      </w:hyperlink>
      <w:r w:rsidR="00EA7458" w:rsidRPr="005E5B17">
        <w:rPr>
          <w:rFonts w:ascii="Calibri" w:hAnsi="Calibri" w:cs="Calibri"/>
          <w:bCs/>
          <w:color w:val="231F20"/>
          <w:w w:val="110"/>
          <w:sz w:val="18"/>
          <w:szCs w:val="18"/>
        </w:rPr>
        <w:t xml:space="preserve"> </w:t>
      </w:r>
      <w:r w:rsidR="005E5B17" w:rsidRPr="005E5B17">
        <w:rPr>
          <w:rFonts w:ascii="Calibri" w:hAnsi="Calibri" w:cs="Calibri"/>
          <w:bCs/>
          <w:color w:val="231F20"/>
          <w:w w:val="110"/>
          <w:sz w:val="18"/>
          <w:szCs w:val="18"/>
        </w:rPr>
        <w:t>Occupational Group Florida 2017</w:t>
      </w:r>
    </w:p>
    <w:p w14:paraId="31D23BAA" w14:textId="77777777" w:rsidR="00EA7458" w:rsidRPr="00EA7458" w:rsidRDefault="00BC1D20" w:rsidP="00EA7458">
      <w:pPr>
        <w:widowControl w:val="0"/>
        <w:spacing w:before="90" w:after="0" w:line="261" w:lineRule="auto"/>
        <w:ind w:left="107"/>
        <w:rPr>
          <w:rFonts w:ascii="Calibri" w:hAnsi="Calibri" w:cs="Calibri"/>
          <w:sz w:val="18"/>
          <w:szCs w:val="18"/>
        </w:rPr>
      </w:pPr>
      <w:hyperlink w:anchor="_bookmark18" w:history="1">
        <w:r w:rsidR="00EA7458" w:rsidRPr="00EA7458">
          <w:rPr>
            <w:rFonts w:ascii="Calibri" w:hAnsi="Calibri"/>
            <w:b/>
            <w:color w:val="231F20"/>
            <w:w w:val="105"/>
            <w:sz w:val="18"/>
          </w:rPr>
          <w:t xml:space="preserve">Figure </w:t>
        </w:r>
        <w:r w:rsidR="00EA7458" w:rsidRPr="00EA7458">
          <w:rPr>
            <w:rFonts w:ascii="Calibri" w:hAnsi="Calibri"/>
            <w:b/>
            <w:color w:val="231F20"/>
            <w:spacing w:val="-4"/>
            <w:w w:val="105"/>
            <w:sz w:val="18"/>
          </w:rPr>
          <w:t xml:space="preserve">2.18 </w:t>
        </w:r>
        <w:r w:rsidR="00EA7458" w:rsidRPr="00EA7458">
          <w:rPr>
            <w:rFonts w:ascii="Calibri" w:hAnsi="Calibri"/>
            <w:color w:val="231F20"/>
            <w:w w:val="105"/>
            <w:sz w:val="18"/>
          </w:rPr>
          <w:t>Percent Distribution by Major Occupational</w:t>
        </w:r>
        <w:r w:rsidR="00EA7458" w:rsidRPr="00EA7458">
          <w:rPr>
            <w:rFonts w:ascii="Calibri" w:hAnsi="Calibri"/>
            <w:color w:val="231F20"/>
            <w:spacing w:val="26"/>
            <w:w w:val="105"/>
            <w:sz w:val="18"/>
          </w:rPr>
          <w:t xml:space="preserve"> </w:t>
        </w:r>
        <w:r w:rsidR="00EA7458" w:rsidRPr="00EA7458">
          <w:rPr>
            <w:rFonts w:ascii="Calibri" w:hAnsi="Calibri"/>
            <w:color w:val="231F20"/>
            <w:w w:val="105"/>
            <w:sz w:val="18"/>
          </w:rPr>
          <w:t>Group</w:t>
        </w:r>
      </w:hyperlink>
      <w:r w:rsidR="00EA7458" w:rsidRPr="00EA7458">
        <w:rPr>
          <w:rFonts w:ascii="Calibri" w:hAnsi="Calibri"/>
          <w:color w:val="231F20"/>
          <w:w w:val="107"/>
          <w:sz w:val="18"/>
        </w:rPr>
        <w:t xml:space="preserve"> </w:t>
      </w:r>
      <w:hyperlink w:anchor="_bookmark18" w:history="1">
        <w:r w:rsidR="00EA7458" w:rsidRPr="00EA7458">
          <w:rPr>
            <w:rFonts w:ascii="Calibri" w:hAnsi="Calibri"/>
            <w:color w:val="231F20"/>
            <w:w w:val="105"/>
            <w:sz w:val="18"/>
          </w:rPr>
          <w:t>Local Workforce Development Areas</w:t>
        </w:r>
        <w:r w:rsidR="00EA7458" w:rsidRPr="00EA7458">
          <w:rPr>
            <w:rFonts w:ascii="Calibri" w:hAnsi="Calibri"/>
            <w:color w:val="231F20"/>
            <w:spacing w:val="31"/>
            <w:w w:val="105"/>
            <w:sz w:val="18"/>
          </w:rPr>
          <w:t xml:space="preserve"> </w:t>
        </w:r>
        <w:r w:rsidR="00EA7458" w:rsidRPr="00EA7458">
          <w:rPr>
            <w:rFonts w:ascii="Calibri" w:hAnsi="Calibri"/>
            <w:color w:val="231F20"/>
            <w:w w:val="105"/>
            <w:sz w:val="18"/>
          </w:rPr>
          <w:t>1-7</w:t>
        </w:r>
      </w:hyperlink>
    </w:p>
    <w:p w14:paraId="6947A54C" w14:textId="2F31A158" w:rsidR="00EA7458" w:rsidRPr="00EA7458" w:rsidRDefault="00BC1D20" w:rsidP="0B52496C">
      <w:pPr>
        <w:widowControl w:val="0"/>
        <w:spacing w:before="90" w:after="0" w:line="261" w:lineRule="auto"/>
        <w:ind w:left="107"/>
        <w:rPr>
          <w:rFonts w:ascii="Calibri" w:hAnsi="Calibri" w:cs="Calibri"/>
          <w:sz w:val="18"/>
          <w:szCs w:val="18"/>
        </w:rPr>
      </w:pPr>
      <w:hyperlink w:anchor="_bookmark19" w:history="1">
        <w:r w:rsidR="00EA7458" w:rsidRPr="0B52496C">
          <w:rPr>
            <w:rFonts w:ascii="Calibri" w:hAnsi="Calibri"/>
            <w:b/>
            <w:bCs/>
            <w:color w:val="231F20"/>
            <w:w w:val="105"/>
            <w:sz w:val="18"/>
            <w:szCs w:val="18"/>
          </w:rPr>
          <w:t xml:space="preserve">Figure </w:t>
        </w:r>
        <w:r w:rsidR="00EA7458" w:rsidRPr="0B52496C">
          <w:rPr>
            <w:rFonts w:ascii="Calibri" w:hAnsi="Calibri"/>
            <w:b/>
            <w:bCs/>
            <w:color w:val="231F20"/>
            <w:spacing w:val="-4"/>
            <w:w w:val="105"/>
            <w:sz w:val="18"/>
            <w:szCs w:val="18"/>
          </w:rPr>
          <w:t xml:space="preserve">2.19 </w:t>
        </w:r>
        <w:r w:rsidR="00EA7458" w:rsidRPr="0B52496C">
          <w:rPr>
            <w:rFonts w:ascii="Calibri" w:hAnsi="Calibri"/>
            <w:color w:val="231F20"/>
            <w:w w:val="105"/>
            <w:sz w:val="18"/>
            <w:szCs w:val="18"/>
          </w:rPr>
          <w:t>Percent Distribution by Major Occupational</w:t>
        </w:r>
        <w:r w:rsidR="00EA7458" w:rsidRPr="0B52496C">
          <w:rPr>
            <w:rFonts w:ascii="Calibri" w:hAnsi="Calibri"/>
            <w:color w:val="231F20"/>
            <w:spacing w:val="27"/>
            <w:w w:val="105"/>
            <w:sz w:val="18"/>
            <w:szCs w:val="18"/>
          </w:rPr>
          <w:t xml:space="preserve"> </w:t>
        </w:r>
        <w:r w:rsidR="00EA7458" w:rsidRPr="0B52496C">
          <w:rPr>
            <w:rFonts w:ascii="Calibri" w:hAnsi="Calibri"/>
            <w:color w:val="231F20"/>
            <w:w w:val="105"/>
            <w:sz w:val="18"/>
            <w:szCs w:val="18"/>
          </w:rPr>
          <w:t>Group</w:t>
        </w:r>
      </w:hyperlink>
      <w:r w:rsidR="00EA7458" w:rsidRPr="0B52496C">
        <w:rPr>
          <w:rFonts w:ascii="Calibri" w:hAnsi="Calibri"/>
          <w:color w:val="231F20"/>
          <w:w w:val="107"/>
          <w:sz w:val="18"/>
          <w:szCs w:val="18"/>
        </w:rPr>
        <w:t xml:space="preserve"> </w:t>
      </w:r>
      <w:hyperlink w:anchor="_bookmark19" w:history="1">
        <w:r w:rsidR="00EA7458" w:rsidRPr="0B52496C">
          <w:rPr>
            <w:rFonts w:ascii="Calibri" w:hAnsi="Calibri"/>
            <w:color w:val="231F20"/>
            <w:w w:val="105"/>
            <w:sz w:val="18"/>
            <w:szCs w:val="18"/>
          </w:rPr>
          <w:t xml:space="preserve">Local Workforce Development </w:t>
        </w:r>
        <w:r w:rsidR="00983FA7" w:rsidRPr="0B52496C">
          <w:rPr>
            <w:rFonts w:ascii="Calibri" w:hAnsi="Calibri"/>
            <w:color w:val="231F20"/>
            <w:w w:val="105"/>
            <w:sz w:val="18"/>
            <w:szCs w:val="18"/>
          </w:rPr>
          <w:t xml:space="preserve">Areas </w:t>
        </w:r>
        <w:r w:rsidR="00983FA7" w:rsidRPr="0B52496C">
          <w:rPr>
            <w:rFonts w:ascii="Calibri" w:hAnsi="Calibri"/>
            <w:color w:val="231F20"/>
            <w:spacing w:val="11"/>
            <w:w w:val="105"/>
            <w:sz w:val="18"/>
            <w:szCs w:val="18"/>
          </w:rPr>
          <w:t>8</w:t>
        </w:r>
        <w:r w:rsidR="00EA7458" w:rsidRPr="0B52496C">
          <w:rPr>
            <w:rFonts w:ascii="Calibri" w:hAnsi="Calibri"/>
            <w:color w:val="231F20"/>
            <w:w w:val="105"/>
            <w:sz w:val="18"/>
            <w:szCs w:val="18"/>
          </w:rPr>
          <w:t>-16</w:t>
        </w:r>
      </w:hyperlink>
    </w:p>
    <w:p w14:paraId="7C9D4BD1" w14:textId="11C25200" w:rsidR="00EA7458" w:rsidRPr="00EA7458" w:rsidRDefault="00BC1D20" w:rsidP="0B52496C">
      <w:pPr>
        <w:widowControl w:val="0"/>
        <w:spacing w:before="90" w:after="0" w:line="261" w:lineRule="auto"/>
        <w:ind w:left="107"/>
        <w:rPr>
          <w:rFonts w:ascii="Calibri" w:hAnsi="Calibri" w:cs="Calibri"/>
          <w:sz w:val="18"/>
          <w:szCs w:val="18"/>
        </w:rPr>
      </w:pPr>
      <w:hyperlink w:anchor="_bookmark20" w:history="1">
        <w:r w:rsidR="00EA7458" w:rsidRPr="0B52496C">
          <w:rPr>
            <w:rFonts w:ascii="Calibri" w:hAnsi="Calibri"/>
            <w:b/>
            <w:bCs/>
            <w:color w:val="231F20"/>
            <w:w w:val="105"/>
            <w:sz w:val="18"/>
            <w:szCs w:val="18"/>
          </w:rPr>
          <w:t>Figure</w:t>
        </w:r>
        <w:r w:rsidR="00EA7458" w:rsidRPr="0B52496C">
          <w:rPr>
            <w:rFonts w:ascii="Calibri" w:hAnsi="Calibri"/>
            <w:b/>
            <w:bCs/>
            <w:color w:val="231F20"/>
            <w:spacing w:val="15"/>
            <w:w w:val="105"/>
            <w:sz w:val="18"/>
            <w:szCs w:val="18"/>
          </w:rPr>
          <w:t xml:space="preserve"> </w:t>
        </w:r>
        <w:r w:rsidR="00EA7458" w:rsidRPr="0B52496C">
          <w:rPr>
            <w:rFonts w:ascii="Calibri" w:hAnsi="Calibri"/>
            <w:b/>
            <w:bCs/>
            <w:color w:val="231F20"/>
            <w:w w:val="105"/>
            <w:sz w:val="18"/>
            <w:szCs w:val="18"/>
          </w:rPr>
          <w:t>2.20</w:t>
        </w:r>
        <w:r w:rsidR="00EA7458" w:rsidRPr="0B52496C">
          <w:rPr>
            <w:rFonts w:ascii="Calibri" w:hAnsi="Calibri"/>
            <w:b/>
            <w:bCs/>
            <w:color w:val="231F20"/>
            <w:spacing w:val="15"/>
            <w:w w:val="105"/>
            <w:sz w:val="18"/>
            <w:szCs w:val="18"/>
          </w:rPr>
          <w:t xml:space="preserve"> </w:t>
        </w:r>
        <w:r w:rsidR="00EA7458" w:rsidRPr="0B52496C">
          <w:rPr>
            <w:rFonts w:ascii="Calibri" w:hAnsi="Calibri"/>
            <w:color w:val="231F20"/>
            <w:w w:val="105"/>
            <w:sz w:val="18"/>
            <w:szCs w:val="18"/>
          </w:rPr>
          <w:t>Percent</w:t>
        </w:r>
        <w:r w:rsidR="00EA7458" w:rsidRPr="0B52496C">
          <w:rPr>
            <w:rFonts w:ascii="Calibri" w:hAnsi="Calibri"/>
            <w:color w:val="231F20"/>
            <w:spacing w:val="15"/>
            <w:w w:val="105"/>
            <w:sz w:val="18"/>
            <w:szCs w:val="18"/>
          </w:rPr>
          <w:t xml:space="preserve"> </w:t>
        </w:r>
        <w:r w:rsidR="00EA7458" w:rsidRPr="0B52496C">
          <w:rPr>
            <w:rFonts w:ascii="Calibri" w:hAnsi="Calibri"/>
            <w:color w:val="231F20"/>
            <w:w w:val="105"/>
            <w:sz w:val="18"/>
            <w:szCs w:val="18"/>
          </w:rPr>
          <w:t>Distribution</w:t>
        </w:r>
        <w:r w:rsidR="00EA7458" w:rsidRPr="0B52496C">
          <w:rPr>
            <w:rFonts w:ascii="Calibri" w:hAnsi="Calibri"/>
            <w:color w:val="231F20"/>
            <w:spacing w:val="15"/>
            <w:w w:val="105"/>
            <w:sz w:val="18"/>
            <w:szCs w:val="18"/>
          </w:rPr>
          <w:t xml:space="preserve"> </w:t>
        </w:r>
        <w:r w:rsidR="00EA7458" w:rsidRPr="0B52496C">
          <w:rPr>
            <w:rFonts w:ascii="Calibri" w:hAnsi="Calibri"/>
            <w:color w:val="231F20"/>
            <w:w w:val="105"/>
            <w:sz w:val="18"/>
            <w:szCs w:val="18"/>
          </w:rPr>
          <w:t>by</w:t>
        </w:r>
        <w:r w:rsidR="00EA7458" w:rsidRPr="0B52496C">
          <w:rPr>
            <w:rFonts w:ascii="Calibri" w:hAnsi="Calibri"/>
            <w:color w:val="231F20"/>
            <w:spacing w:val="15"/>
            <w:w w:val="105"/>
            <w:sz w:val="18"/>
            <w:szCs w:val="18"/>
          </w:rPr>
          <w:t xml:space="preserve"> </w:t>
        </w:r>
        <w:r w:rsidR="00EA7458" w:rsidRPr="0B52496C">
          <w:rPr>
            <w:rFonts w:ascii="Calibri" w:hAnsi="Calibri"/>
            <w:color w:val="231F20"/>
            <w:w w:val="105"/>
            <w:sz w:val="18"/>
            <w:szCs w:val="18"/>
          </w:rPr>
          <w:t>Major</w:t>
        </w:r>
        <w:r w:rsidR="00EA7458" w:rsidRPr="0B52496C">
          <w:rPr>
            <w:rFonts w:ascii="Calibri" w:hAnsi="Calibri"/>
            <w:color w:val="231F20"/>
            <w:spacing w:val="15"/>
            <w:w w:val="105"/>
            <w:sz w:val="18"/>
            <w:szCs w:val="18"/>
          </w:rPr>
          <w:t xml:space="preserve"> </w:t>
        </w:r>
        <w:r w:rsidR="00EA7458" w:rsidRPr="0B52496C">
          <w:rPr>
            <w:rFonts w:ascii="Calibri" w:hAnsi="Calibri"/>
            <w:color w:val="231F20"/>
            <w:w w:val="105"/>
            <w:sz w:val="18"/>
            <w:szCs w:val="18"/>
          </w:rPr>
          <w:t>Occupational</w:t>
        </w:r>
        <w:r w:rsidR="00EA7458" w:rsidRPr="0B52496C">
          <w:rPr>
            <w:rFonts w:ascii="Calibri" w:hAnsi="Calibri"/>
            <w:color w:val="231F20"/>
            <w:spacing w:val="15"/>
            <w:w w:val="105"/>
            <w:sz w:val="18"/>
            <w:szCs w:val="18"/>
          </w:rPr>
          <w:t xml:space="preserve"> </w:t>
        </w:r>
        <w:r w:rsidR="00EA7458" w:rsidRPr="0B52496C">
          <w:rPr>
            <w:rFonts w:ascii="Calibri" w:hAnsi="Calibri"/>
            <w:color w:val="231F20"/>
            <w:w w:val="105"/>
            <w:sz w:val="18"/>
            <w:szCs w:val="18"/>
          </w:rPr>
          <w:t>Group</w:t>
        </w:r>
      </w:hyperlink>
      <w:r w:rsidR="00EA7458" w:rsidRPr="0B52496C">
        <w:rPr>
          <w:rFonts w:ascii="Calibri" w:hAnsi="Calibri"/>
          <w:color w:val="231F20"/>
          <w:spacing w:val="-41"/>
          <w:w w:val="105"/>
          <w:sz w:val="18"/>
          <w:szCs w:val="18"/>
        </w:rPr>
        <w:t xml:space="preserve"> </w:t>
      </w:r>
      <w:hyperlink w:anchor="_bookmark20" w:history="1">
        <w:r w:rsidR="00EA7458" w:rsidRPr="0B52496C">
          <w:rPr>
            <w:rFonts w:ascii="Calibri" w:hAnsi="Calibri"/>
            <w:color w:val="231F20"/>
            <w:w w:val="105"/>
            <w:sz w:val="18"/>
            <w:szCs w:val="18"/>
          </w:rPr>
          <w:t xml:space="preserve">Local Workforce Development </w:t>
        </w:r>
        <w:r w:rsidR="00983FA7" w:rsidRPr="0B52496C">
          <w:rPr>
            <w:rFonts w:ascii="Calibri" w:hAnsi="Calibri"/>
            <w:color w:val="231F20"/>
            <w:w w:val="105"/>
            <w:sz w:val="18"/>
            <w:szCs w:val="18"/>
          </w:rPr>
          <w:t xml:space="preserve">Areas </w:t>
        </w:r>
        <w:r w:rsidR="00983FA7" w:rsidRPr="0B52496C">
          <w:rPr>
            <w:rFonts w:ascii="Calibri" w:hAnsi="Calibri"/>
            <w:color w:val="231F20"/>
            <w:spacing w:val="3"/>
            <w:w w:val="105"/>
            <w:sz w:val="18"/>
            <w:szCs w:val="18"/>
          </w:rPr>
          <w:t>17</w:t>
        </w:r>
        <w:r w:rsidR="00EA7458" w:rsidRPr="0B52496C">
          <w:rPr>
            <w:rFonts w:ascii="Calibri" w:hAnsi="Calibri"/>
            <w:color w:val="231F20"/>
            <w:w w:val="105"/>
            <w:sz w:val="18"/>
            <w:szCs w:val="18"/>
          </w:rPr>
          <w:t>-24</w:t>
        </w:r>
      </w:hyperlink>
    </w:p>
    <w:p w14:paraId="397290C1" w14:textId="77777777" w:rsidR="00EA7458" w:rsidRPr="00EA7458" w:rsidRDefault="00BC1D20" w:rsidP="00EA7458">
      <w:pPr>
        <w:widowControl w:val="0"/>
        <w:spacing w:before="90" w:after="0" w:line="240" w:lineRule="auto"/>
        <w:ind w:left="107"/>
        <w:rPr>
          <w:rFonts w:ascii="Calibri" w:hAnsi="Calibri" w:cs="Calibri"/>
          <w:sz w:val="18"/>
          <w:szCs w:val="18"/>
        </w:rPr>
      </w:pPr>
      <w:hyperlink w:anchor="_bookmark21" w:history="1">
        <w:r w:rsidR="00EA7458" w:rsidRPr="00EA7458">
          <w:rPr>
            <w:rFonts w:ascii="Calibri" w:hAnsi="Calibri"/>
            <w:b/>
            <w:color w:val="231F20"/>
            <w:w w:val="110"/>
            <w:sz w:val="18"/>
          </w:rPr>
          <w:t>Figure</w:t>
        </w:r>
        <w:r w:rsidR="00EA7458" w:rsidRPr="00EA7458">
          <w:rPr>
            <w:rFonts w:ascii="Calibri" w:hAnsi="Calibri"/>
            <w:b/>
            <w:color w:val="231F20"/>
            <w:spacing w:val="-12"/>
            <w:w w:val="110"/>
            <w:sz w:val="18"/>
          </w:rPr>
          <w:t xml:space="preserve"> </w:t>
        </w:r>
        <w:r w:rsidR="00EA7458" w:rsidRPr="00EA7458">
          <w:rPr>
            <w:rFonts w:ascii="Calibri" w:hAnsi="Calibri"/>
            <w:b/>
            <w:color w:val="231F20"/>
            <w:w w:val="110"/>
            <w:sz w:val="18"/>
          </w:rPr>
          <w:t>2.21</w:t>
        </w:r>
        <w:r w:rsidR="00EA7458" w:rsidRPr="00EA7458">
          <w:rPr>
            <w:rFonts w:ascii="Calibri" w:hAnsi="Calibri"/>
            <w:b/>
            <w:color w:val="231F20"/>
            <w:spacing w:val="-12"/>
            <w:w w:val="110"/>
            <w:sz w:val="18"/>
          </w:rPr>
          <w:t xml:space="preserve"> </w:t>
        </w:r>
        <w:r w:rsidR="00EA7458" w:rsidRPr="00EA7458">
          <w:rPr>
            <w:rFonts w:ascii="Calibri" w:hAnsi="Calibri"/>
            <w:color w:val="231F20"/>
            <w:w w:val="110"/>
            <w:sz w:val="18"/>
          </w:rPr>
          <w:t>Fastest</w:t>
        </w:r>
        <w:r w:rsidR="00EA7458" w:rsidRPr="00EA7458">
          <w:rPr>
            <w:rFonts w:ascii="Calibri" w:hAnsi="Calibri"/>
            <w:color w:val="231F20"/>
            <w:spacing w:val="-12"/>
            <w:w w:val="110"/>
            <w:sz w:val="18"/>
          </w:rPr>
          <w:t xml:space="preserve"> </w:t>
        </w:r>
        <w:r w:rsidR="00EA7458" w:rsidRPr="00EA7458">
          <w:rPr>
            <w:rFonts w:ascii="Calibri" w:hAnsi="Calibri"/>
            <w:color w:val="231F20"/>
            <w:w w:val="110"/>
            <w:sz w:val="18"/>
          </w:rPr>
          <w:t>Growing</w:t>
        </w:r>
        <w:r w:rsidR="00EA7458" w:rsidRPr="00EA7458">
          <w:rPr>
            <w:rFonts w:ascii="Calibri" w:hAnsi="Calibri"/>
            <w:color w:val="231F20"/>
            <w:spacing w:val="-12"/>
            <w:w w:val="110"/>
            <w:sz w:val="18"/>
          </w:rPr>
          <w:t xml:space="preserve"> </w:t>
        </w:r>
        <w:r w:rsidR="00EA7458" w:rsidRPr="00EA7458">
          <w:rPr>
            <w:rFonts w:ascii="Calibri" w:hAnsi="Calibri"/>
            <w:color w:val="231F20"/>
            <w:w w:val="110"/>
            <w:sz w:val="18"/>
          </w:rPr>
          <w:t>Occupations</w:t>
        </w:r>
        <w:r w:rsidR="00EA7458" w:rsidRPr="00EA7458">
          <w:rPr>
            <w:rFonts w:ascii="Calibri" w:hAnsi="Calibri"/>
            <w:color w:val="231F20"/>
            <w:spacing w:val="-12"/>
            <w:w w:val="110"/>
            <w:sz w:val="18"/>
          </w:rPr>
          <w:t xml:space="preserve"> </w:t>
        </w:r>
        <w:r w:rsidR="00EA7458" w:rsidRPr="00EA7458">
          <w:rPr>
            <w:rFonts w:ascii="Calibri" w:hAnsi="Calibri"/>
            <w:color w:val="231F20"/>
            <w:w w:val="110"/>
            <w:sz w:val="18"/>
          </w:rPr>
          <w:t>in</w:t>
        </w:r>
        <w:r w:rsidR="00EA7458" w:rsidRPr="00EA7458">
          <w:rPr>
            <w:rFonts w:ascii="Calibri" w:hAnsi="Calibri"/>
            <w:color w:val="231F20"/>
            <w:spacing w:val="-12"/>
            <w:w w:val="110"/>
            <w:sz w:val="18"/>
          </w:rPr>
          <w:t xml:space="preserve"> </w:t>
        </w:r>
        <w:r w:rsidR="00EA7458" w:rsidRPr="00EA7458">
          <w:rPr>
            <w:rFonts w:ascii="Calibri" w:hAnsi="Calibri"/>
            <w:color w:val="231F20"/>
            <w:w w:val="110"/>
            <w:sz w:val="18"/>
          </w:rPr>
          <w:t>Florida</w:t>
        </w:r>
      </w:hyperlink>
    </w:p>
    <w:p w14:paraId="7B281174" w14:textId="77777777" w:rsidR="00EA7458" w:rsidRPr="00EA7458" w:rsidRDefault="00BC1D20" w:rsidP="00EA7458">
      <w:pPr>
        <w:widowControl w:val="0"/>
        <w:spacing w:before="110" w:after="0" w:line="240" w:lineRule="auto"/>
        <w:ind w:left="107"/>
        <w:rPr>
          <w:rFonts w:ascii="Calibri" w:hAnsi="Calibri" w:cs="Calibri"/>
          <w:sz w:val="18"/>
          <w:szCs w:val="18"/>
        </w:rPr>
      </w:pPr>
      <w:hyperlink w:anchor="_bookmark22" w:history="1">
        <w:r w:rsidR="00EA7458" w:rsidRPr="00EA7458">
          <w:rPr>
            <w:rFonts w:ascii="Calibri" w:hAnsi="Calibri"/>
            <w:b/>
            <w:color w:val="231F20"/>
            <w:w w:val="110"/>
            <w:sz w:val="18"/>
          </w:rPr>
          <w:t>Figure</w:t>
        </w:r>
        <w:r w:rsidR="00EA7458" w:rsidRPr="00EA7458">
          <w:rPr>
            <w:rFonts w:ascii="Calibri" w:hAnsi="Calibri"/>
            <w:b/>
            <w:color w:val="231F20"/>
            <w:spacing w:val="-5"/>
            <w:w w:val="110"/>
            <w:sz w:val="18"/>
          </w:rPr>
          <w:t xml:space="preserve"> </w:t>
        </w:r>
        <w:r w:rsidR="00EA7458" w:rsidRPr="00EA7458">
          <w:rPr>
            <w:rFonts w:ascii="Calibri" w:hAnsi="Calibri"/>
            <w:b/>
            <w:color w:val="231F20"/>
            <w:w w:val="110"/>
            <w:sz w:val="18"/>
          </w:rPr>
          <w:t>2.22</w:t>
        </w:r>
        <w:r w:rsidR="00EA7458" w:rsidRPr="00EA7458">
          <w:rPr>
            <w:rFonts w:ascii="Calibri" w:hAnsi="Calibri"/>
            <w:b/>
            <w:color w:val="231F20"/>
            <w:spacing w:val="-5"/>
            <w:w w:val="110"/>
            <w:sz w:val="18"/>
          </w:rPr>
          <w:t xml:space="preserve"> </w:t>
        </w:r>
        <w:r w:rsidR="00EA7458" w:rsidRPr="00EA7458">
          <w:rPr>
            <w:rFonts w:ascii="Calibri" w:hAnsi="Calibri"/>
            <w:color w:val="231F20"/>
            <w:w w:val="110"/>
            <w:sz w:val="18"/>
          </w:rPr>
          <w:t>Occupations</w:t>
        </w:r>
        <w:r w:rsidR="00EA7458" w:rsidRPr="00EA7458">
          <w:rPr>
            <w:rFonts w:ascii="Calibri" w:hAnsi="Calibri"/>
            <w:color w:val="231F20"/>
            <w:spacing w:val="-5"/>
            <w:w w:val="110"/>
            <w:sz w:val="18"/>
          </w:rPr>
          <w:t xml:space="preserve"> </w:t>
        </w:r>
        <w:r w:rsidR="00EA7458" w:rsidRPr="00EA7458">
          <w:rPr>
            <w:rFonts w:ascii="Calibri" w:hAnsi="Calibri"/>
            <w:color w:val="231F20"/>
            <w:w w:val="110"/>
            <w:sz w:val="18"/>
          </w:rPr>
          <w:t>Gaining</w:t>
        </w:r>
        <w:r w:rsidR="00EA7458" w:rsidRPr="00EA7458">
          <w:rPr>
            <w:rFonts w:ascii="Calibri" w:hAnsi="Calibri"/>
            <w:color w:val="231F20"/>
            <w:spacing w:val="-5"/>
            <w:w w:val="110"/>
            <w:sz w:val="18"/>
          </w:rPr>
          <w:t xml:space="preserve"> </w:t>
        </w:r>
        <w:r w:rsidR="00EA7458" w:rsidRPr="00EA7458">
          <w:rPr>
            <w:rFonts w:ascii="Calibri" w:hAnsi="Calibri"/>
            <w:color w:val="231F20"/>
            <w:w w:val="110"/>
            <w:sz w:val="18"/>
          </w:rPr>
          <w:t>the</w:t>
        </w:r>
        <w:r w:rsidR="00EA7458" w:rsidRPr="00EA7458">
          <w:rPr>
            <w:rFonts w:ascii="Calibri" w:hAnsi="Calibri"/>
            <w:color w:val="231F20"/>
            <w:spacing w:val="-5"/>
            <w:w w:val="110"/>
            <w:sz w:val="18"/>
          </w:rPr>
          <w:t xml:space="preserve"> </w:t>
        </w:r>
        <w:r w:rsidR="00EA7458" w:rsidRPr="00EA7458">
          <w:rPr>
            <w:rFonts w:ascii="Calibri" w:hAnsi="Calibri"/>
            <w:color w:val="231F20"/>
            <w:w w:val="110"/>
            <w:sz w:val="18"/>
          </w:rPr>
          <w:t>Most</w:t>
        </w:r>
        <w:r w:rsidR="00EA7458" w:rsidRPr="00EA7458">
          <w:rPr>
            <w:rFonts w:ascii="Calibri" w:hAnsi="Calibri"/>
            <w:color w:val="231F20"/>
            <w:spacing w:val="-5"/>
            <w:w w:val="110"/>
            <w:sz w:val="18"/>
          </w:rPr>
          <w:t xml:space="preserve"> </w:t>
        </w:r>
        <w:r w:rsidR="00EA7458" w:rsidRPr="00EA7458">
          <w:rPr>
            <w:rFonts w:ascii="Calibri" w:hAnsi="Calibri"/>
            <w:color w:val="231F20"/>
            <w:w w:val="110"/>
            <w:sz w:val="18"/>
          </w:rPr>
          <w:t>New</w:t>
        </w:r>
        <w:r w:rsidR="00EA7458" w:rsidRPr="00EA7458">
          <w:rPr>
            <w:rFonts w:ascii="Calibri" w:hAnsi="Calibri"/>
            <w:color w:val="231F20"/>
            <w:spacing w:val="-5"/>
            <w:w w:val="110"/>
            <w:sz w:val="18"/>
          </w:rPr>
          <w:t xml:space="preserve"> </w:t>
        </w:r>
        <w:r w:rsidR="00EA7458" w:rsidRPr="00EA7458">
          <w:rPr>
            <w:rFonts w:ascii="Calibri" w:hAnsi="Calibri"/>
            <w:color w:val="231F20"/>
            <w:w w:val="110"/>
            <w:sz w:val="18"/>
          </w:rPr>
          <w:t>Jobs</w:t>
        </w:r>
        <w:r w:rsidR="00EA7458" w:rsidRPr="00EA7458">
          <w:rPr>
            <w:rFonts w:ascii="Calibri" w:hAnsi="Calibri"/>
            <w:color w:val="231F20"/>
            <w:spacing w:val="-5"/>
            <w:w w:val="110"/>
            <w:sz w:val="18"/>
          </w:rPr>
          <w:t xml:space="preserve"> </w:t>
        </w:r>
        <w:r w:rsidR="00EA7458" w:rsidRPr="00EA7458">
          <w:rPr>
            <w:rFonts w:ascii="Calibri" w:hAnsi="Calibri"/>
            <w:color w:val="231F20"/>
            <w:w w:val="110"/>
            <w:sz w:val="18"/>
          </w:rPr>
          <w:t>in</w:t>
        </w:r>
        <w:r w:rsidR="00EA7458" w:rsidRPr="00EA7458">
          <w:rPr>
            <w:rFonts w:ascii="Calibri" w:hAnsi="Calibri"/>
            <w:color w:val="231F20"/>
            <w:spacing w:val="-5"/>
            <w:w w:val="110"/>
            <w:sz w:val="18"/>
          </w:rPr>
          <w:t xml:space="preserve"> </w:t>
        </w:r>
        <w:r w:rsidR="00EA7458" w:rsidRPr="00EA7458">
          <w:rPr>
            <w:rFonts w:ascii="Calibri" w:hAnsi="Calibri"/>
            <w:color w:val="231F20"/>
            <w:w w:val="110"/>
            <w:sz w:val="18"/>
          </w:rPr>
          <w:t>Florida</w:t>
        </w:r>
      </w:hyperlink>
    </w:p>
    <w:p w14:paraId="4B328B12" w14:textId="77777777" w:rsidR="00EA7458" w:rsidRPr="00EA7458" w:rsidRDefault="00BC1D20" w:rsidP="00EA7458">
      <w:pPr>
        <w:widowControl w:val="0"/>
        <w:spacing w:before="110" w:after="0" w:line="261" w:lineRule="auto"/>
        <w:ind w:left="107" w:right="893"/>
        <w:rPr>
          <w:rFonts w:ascii="Calibri" w:hAnsi="Calibri" w:cs="Calibri"/>
          <w:sz w:val="18"/>
          <w:szCs w:val="18"/>
        </w:rPr>
      </w:pPr>
      <w:hyperlink w:anchor="_bookmark23" w:history="1">
        <w:r w:rsidR="00EA7458" w:rsidRPr="00EA7458">
          <w:rPr>
            <w:rFonts w:ascii="Calibri" w:hAnsi="Calibri"/>
            <w:b/>
            <w:color w:val="231F20"/>
            <w:w w:val="110"/>
            <w:sz w:val="18"/>
          </w:rPr>
          <w:t>Figure</w:t>
        </w:r>
        <w:r w:rsidR="00EA7458" w:rsidRPr="00EA7458">
          <w:rPr>
            <w:rFonts w:ascii="Calibri" w:hAnsi="Calibri"/>
            <w:b/>
            <w:color w:val="231F20"/>
            <w:spacing w:val="-18"/>
            <w:w w:val="110"/>
            <w:sz w:val="18"/>
          </w:rPr>
          <w:t xml:space="preserve"> </w:t>
        </w:r>
        <w:r w:rsidR="00EA7458" w:rsidRPr="00EA7458">
          <w:rPr>
            <w:rFonts w:ascii="Calibri" w:hAnsi="Calibri"/>
            <w:b/>
            <w:color w:val="231F20"/>
            <w:w w:val="110"/>
            <w:sz w:val="18"/>
          </w:rPr>
          <w:t>2.23</w:t>
        </w:r>
        <w:r w:rsidR="00EA7458" w:rsidRPr="00EA7458">
          <w:rPr>
            <w:rFonts w:ascii="Calibri" w:hAnsi="Calibri"/>
            <w:b/>
            <w:color w:val="231F20"/>
            <w:spacing w:val="-18"/>
            <w:w w:val="110"/>
            <w:sz w:val="18"/>
          </w:rPr>
          <w:t xml:space="preserve"> </w:t>
        </w:r>
        <w:r w:rsidR="00EA7458" w:rsidRPr="00EA7458">
          <w:rPr>
            <w:rFonts w:ascii="Calibri" w:hAnsi="Calibri"/>
            <w:color w:val="231F20"/>
            <w:w w:val="110"/>
            <w:sz w:val="18"/>
          </w:rPr>
          <w:t>Florida</w:t>
        </w:r>
        <w:r w:rsidR="00EA7458" w:rsidRPr="00EA7458">
          <w:rPr>
            <w:rFonts w:ascii="Calibri" w:hAnsi="Calibri"/>
            <w:color w:val="231F20"/>
            <w:spacing w:val="-18"/>
            <w:w w:val="110"/>
            <w:sz w:val="18"/>
          </w:rPr>
          <w:t xml:space="preserve"> </w:t>
        </w:r>
        <w:r w:rsidR="00EA7458" w:rsidRPr="00EA7458">
          <w:rPr>
            <w:rFonts w:ascii="Calibri" w:hAnsi="Calibri"/>
            <w:color w:val="231F20"/>
            <w:w w:val="110"/>
            <w:sz w:val="18"/>
          </w:rPr>
          <w:t>Construction</w:t>
        </w:r>
        <w:r w:rsidR="00EA7458" w:rsidRPr="00EA7458">
          <w:rPr>
            <w:rFonts w:ascii="Calibri" w:hAnsi="Calibri"/>
            <w:color w:val="231F20"/>
            <w:spacing w:val="-18"/>
            <w:w w:val="110"/>
            <w:sz w:val="18"/>
          </w:rPr>
          <w:t xml:space="preserve"> </w:t>
        </w:r>
        <w:r w:rsidR="00EA7458" w:rsidRPr="00EA7458">
          <w:rPr>
            <w:rFonts w:ascii="Calibri" w:hAnsi="Calibri"/>
            <w:color w:val="231F20"/>
            <w:w w:val="110"/>
            <w:sz w:val="18"/>
          </w:rPr>
          <w:t>Employment</w:t>
        </w:r>
      </w:hyperlink>
      <w:r w:rsidR="00EA7458" w:rsidRPr="00EA7458">
        <w:rPr>
          <w:rFonts w:ascii="Calibri" w:hAnsi="Calibri"/>
          <w:color w:val="231F20"/>
          <w:w w:val="105"/>
          <w:sz w:val="18"/>
        </w:rPr>
        <w:t xml:space="preserve"> </w:t>
      </w:r>
      <w:hyperlink w:anchor="_bookmark23" w:history="1">
        <w:r w:rsidR="00EA7458" w:rsidRPr="00EA7458">
          <w:rPr>
            <w:rFonts w:ascii="Calibri" w:hAnsi="Calibri"/>
            <w:color w:val="231F20"/>
            <w:w w:val="110"/>
            <w:sz w:val="18"/>
          </w:rPr>
          <w:t>Seasonally</w:t>
        </w:r>
        <w:r w:rsidR="00EA7458" w:rsidRPr="00EA7458">
          <w:rPr>
            <w:rFonts w:ascii="Calibri" w:hAnsi="Calibri"/>
            <w:color w:val="231F20"/>
            <w:spacing w:val="-6"/>
            <w:w w:val="110"/>
            <w:sz w:val="18"/>
          </w:rPr>
          <w:t xml:space="preserve"> </w:t>
        </w:r>
        <w:r w:rsidR="00EA7458" w:rsidRPr="00EA7458">
          <w:rPr>
            <w:rFonts w:ascii="Calibri" w:hAnsi="Calibri"/>
            <w:color w:val="231F20"/>
            <w:w w:val="110"/>
            <w:sz w:val="18"/>
          </w:rPr>
          <w:t>Adjusted</w:t>
        </w:r>
      </w:hyperlink>
    </w:p>
    <w:p w14:paraId="6D0E1C29" w14:textId="77777777" w:rsidR="00EA7458" w:rsidRPr="00EA7458" w:rsidRDefault="00BC1D20" w:rsidP="00EA7458">
      <w:pPr>
        <w:widowControl w:val="0"/>
        <w:spacing w:before="90" w:after="0" w:line="261" w:lineRule="auto"/>
        <w:ind w:left="107" w:right="893"/>
        <w:rPr>
          <w:rFonts w:ascii="Calibri" w:hAnsi="Calibri" w:cs="Calibri"/>
          <w:sz w:val="18"/>
          <w:szCs w:val="18"/>
        </w:rPr>
      </w:pPr>
      <w:hyperlink w:anchor="_bookmark24" w:history="1">
        <w:r w:rsidR="00EA7458" w:rsidRPr="00EA7458">
          <w:rPr>
            <w:rFonts w:ascii="Calibri" w:hAnsi="Calibri"/>
            <w:b/>
            <w:color w:val="231F20"/>
            <w:w w:val="105"/>
            <w:sz w:val="18"/>
          </w:rPr>
          <w:t xml:space="preserve">Figure 2.24 </w:t>
        </w:r>
        <w:r w:rsidR="00EA7458" w:rsidRPr="00EA7458">
          <w:rPr>
            <w:rFonts w:ascii="Calibri" w:hAnsi="Calibri"/>
            <w:color w:val="231F20"/>
            <w:w w:val="105"/>
            <w:sz w:val="18"/>
          </w:rPr>
          <w:t>Florida Manufacturing</w:t>
        </w:r>
        <w:r w:rsidR="00EA7458" w:rsidRPr="00EA7458">
          <w:rPr>
            <w:rFonts w:ascii="Calibri" w:hAnsi="Calibri"/>
            <w:color w:val="231F20"/>
            <w:spacing w:val="23"/>
            <w:w w:val="105"/>
            <w:sz w:val="18"/>
          </w:rPr>
          <w:t xml:space="preserve"> </w:t>
        </w:r>
        <w:r w:rsidR="00EA7458" w:rsidRPr="00EA7458">
          <w:rPr>
            <w:rFonts w:ascii="Calibri" w:hAnsi="Calibri"/>
            <w:color w:val="231F20"/>
            <w:w w:val="105"/>
            <w:sz w:val="18"/>
          </w:rPr>
          <w:t>Employment</w:t>
        </w:r>
      </w:hyperlink>
      <w:r w:rsidR="00EA7458" w:rsidRPr="00EA7458">
        <w:rPr>
          <w:rFonts w:ascii="Calibri" w:hAnsi="Calibri"/>
          <w:color w:val="231F20"/>
          <w:w w:val="105"/>
          <w:sz w:val="18"/>
        </w:rPr>
        <w:t xml:space="preserve"> </w:t>
      </w:r>
      <w:hyperlink w:anchor="_bookmark24" w:history="1">
        <w:r w:rsidR="00EA7458" w:rsidRPr="00EA7458">
          <w:rPr>
            <w:rFonts w:ascii="Calibri" w:hAnsi="Calibri"/>
            <w:color w:val="231F20"/>
            <w:w w:val="105"/>
            <w:sz w:val="18"/>
          </w:rPr>
          <w:t>Seasonally</w:t>
        </w:r>
        <w:r w:rsidR="00EA7458" w:rsidRPr="00EA7458">
          <w:rPr>
            <w:rFonts w:ascii="Calibri" w:hAnsi="Calibri"/>
            <w:color w:val="231F20"/>
            <w:spacing w:val="24"/>
            <w:w w:val="105"/>
            <w:sz w:val="18"/>
          </w:rPr>
          <w:t xml:space="preserve"> </w:t>
        </w:r>
        <w:r w:rsidR="00EA7458" w:rsidRPr="00EA7458">
          <w:rPr>
            <w:rFonts w:ascii="Calibri" w:hAnsi="Calibri"/>
            <w:color w:val="231F20"/>
            <w:w w:val="105"/>
            <w:sz w:val="18"/>
          </w:rPr>
          <w:t>Adjusted</w:t>
        </w:r>
      </w:hyperlink>
    </w:p>
    <w:p w14:paraId="515B3CF1" w14:textId="6BB8651D" w:rsidR="00EA7458" w:rsidRPr="00EA7458" w:rsidRDefault="00EA7458" w:rsidP="0B52496C">
      <w:pPr>
        <w:widowControl w:val="0"/>
        <w:spacing w:before="92" w:after="0" w:line="261" w:lineRule="auto"/>
        <w:ind w:left="107" w:right="716"/>
        <w:rPr>
          <w:rFonts w:ascii="Calibri" w:hAnsi="Calibri" w:cs="Calibri"/>
          <w:sz w:val="18"/>
          <w:szCs w:val="18"/>
        </w:rPr>
      </w:pPr>
      <w:r w:rsidRPr="00EA7458">
        <w:rPr>
          <w:rFonts w:ascii="Calibri" w:hAnsi="Calibri"/>
          <w:w w:val="105"/>
        </w:rPr>
        <w:br w:type="column"/>
      </w:r>
      <w:hyperlink w:anchor="_bookmark25" w:history="1">
        <w:r w:rsidRPr="0B52496C">
          <w:rPr>
            <w:rFonts w:ascii="Calibri" w:hAnsi="Calibri"/>
            <w:b/>
            <w:bCs/>
            <w:color w:val="231F20"/>
            <w:w w:val="105"/>
            <w:sz w:val="18"/>
            <w:szCs w:val="18"/>
          </w:rPr>
          <w:t>Figure</w:t>
        </w:r>
        <w:r w:rsidRPr="0B52496C">
          <w:rPr>
            <w:rFonts w:ascii="Calibri" w:hAnsi="Calibri"/>
            <w:b/>
            <w:bCs/>
            <w:color w:val="231F20"/>
            <w:spacing w:val="12"/>
            <w:w w:val="105"/>
            <w:sz w:val="18"/>
            <w:szCs w:val="18"/>
          </w:rPr>
          <w:t xml:space="preserve"> </w:t>
        </w:r>
        <w:r w:rsidRPr="0B52496C">
          <w:rPr>
            <w:rFonts w:ascii="Calibri" w:hAnsi="Calibri"/>
            <w:b/>
            <w:bCs/>
            <w:color w:val="231F20"/>
            <w:w w:val="105"/>
            <w:sz w:val="18"/>
            <w:szCs w:val="18"/>
          </w:rPr>
          <w:t>2.25</w:t>
        </w:r>
        <w:r w:rsidRPr="0B52496C">
          <w:rPr>
            <w:rFonts w:ascii="Calibri" w:hAnsi="Calibri"/>
            <w:b/>
            <w:bCs/>
            <w:color w:val="231F20"/>
            <w:spacing w:val="12"/>
            <w:w w:val="105"/>
            <w:sz w:val="18"/>
            <w:szCs w:val="18"/>
          </w:rPr>
          <w:t xml:space="preserve"> </w:t>
        </w:r>
        <w:r w:rsidRPr="0B52496C">
          <w:rPr>
            <w:rFonts w:ascii="Calibri" w:hAnsi="Calibri"/>
            <w:color w:val="231F20"/>
            <w:w w:val="105"/>
            <w:sz w:val="18"/>
            <w:szCs w:val="18"/>
          </w:rPr>
          <w:t>Florida</w:t>
        </w:r>
        <w:r w:rsidRPr="0B52496C">
          <w:rPr>
            <w:rFonts w:ascii="Calibri" w:hAnsi="Calibri"/>
            <w:color w:val="231F20"/>
            <w:spacing w:val="12"/>
            <w:w w:val="105"/>
            <w:sz w:val="18"/>
            <w:szCs w:val="18"/>
          </w:rPr>
          <w:t xml:space="preserve"> </w:t>
        </w:r>
        <w:r w:rsidRPr="0B52496C">
          <w:rPr>
            <w:rFonts w:ascii="Calibri" w:hAnsi="Calibri"/>
            <w:color w:val="231F20"/>
            <w:spacing w:val="-3"/>
            <w:w w:val="105"/>
            <w:sz w:val="18"/>
            <w:szCs w:val="18"/>
          </w:rPr>
          <w:t>Trade,</w:t>
        </w:r>
        <w:r w:rsidRPr="0B52496C">
          <w:rPr>
            <w:rFonts w:ascii="Calibri" w:hAnsi="Calibri"/>
            <w:color w:val="231F20"/>
            <w:spacing w:val="12"/>
            <w:w w:val="105"/>
            <w:sz w:val="18"/>
            <w:szCs w:val="18"/>
          </w:rPr>
          <w:t xml:space="preserve"> </w:t>
        </w:r>
        <w:r w:rsidRPr="0B52496C">
          <w:rPr>
            <w:rFonts w:ascii="Calibri" w:hAnsi="Calibri"/>
            <w:color w:val="231F20"/>
            <w:w w:val="105"/>
            <w:sz w:val="18"/>
            <w:szCs w:val="18"/>
          </w:rPr>
          <w:t>Transportation</w:t>
        </w:r>
        <w:r w:rsidR="00D5537E">
          <w:rPr>
            <w:rFonts w:ascii="Calibri" w:hAnsi="Calibri"/>
            <w:color w:val="231F20"/>
            <w:w w:val="105"/>
            <w:sz w:val="18"/>
            <w:szCs w:val="18"/>
          </w:rPr>
          <w:t xml:space="preserve"> and</w:t>
        </w:r>
        <w:r w:rsidRPr="0B52496C">
          <w:rPr>
            <w:rFonts w:ascii="Calibri" w:hAnsi="Calibri"/>
            <w:color w:val="231F20"/>
            <w:spacing w:val="12"/>
            <w:w w:val="105"/>
            <w:sz w:val="18"/>
            <w:szCs w:val="18"/>
          </w:rPr>
          <w:t xml:space="preserve"> </w:t>
        </w:r>
        <w:r w:rsidRPr="0B52496C">
          <w:rPr>
            <w:rFonts w:ascii="Calibri" w:hAnsi="Calibri"/>
            <w:color w:val="231F20"/>
            <w:w w:val="105"/>
            <w:sz w:val="18"/>
            <w:szCs w:val="18"/>
          </w:rPr>
          <w:t>Utilities</w:t>
        </w:r>
      </w:hyperlink>
      <w:r w:rsidRPr="0B52496C">
        <w:rPr>
          <w:rFonts w:ascii="Calibri" w:hAnsi="Calibri"/>
          <w:color w:val="231F20"/>
          <w:spacing w:val="-41"/>
          <w:w w:val="105"/>
          <w:sz w:val="18"/>
          <w:szCs w:val="18"/>
        </w:rPr>
        <w:t xml:space="preserve"> </w:t>
      </w:r>
      <w:hyperlink w:anchor="_bookmark25" w:history="1">
        <w:r w:rsidR="00983FA7" w:rsidRPr="0B52496C">
          <w:rPr>
            <w:rFonts w:ascii="Calibri" w:hAnsi="Calibri"/>
            <w:color w:val="231F20"/>
            <w:w w:val="105"/>
            <w:sz w:val="18"/>
            <w:szCs w:val="18"/>
          </w:rPr>
          <w:t>Employment Seasonally</w:t>
        </w:r>
        <w:r w:rsidRPr="0B52496C">
          <w:rPr>
            <w:rFonts w:ascii="Calibri" w:hAnsi="Calibri"/>
            <w:color w:val="231F20"/>
            <w:spacing w:val="30"/>
            <w:w w:val="105"/>
            <w:sz w:val="18"/>
            <w:szCs w:val="18"/>
          </w:rPr>
          <w:t xml:space="preserve"> </w:t>
        </w:r>
        <w:r w:rsidRPr="0B52496C">
          <w:rPr>
            <w:rFonts w:ascii="Calibri" w:hAnsi="Calibri"/>
            <w:color w:val="231F20"/>
            <w:w w:val="105"/>
            <w:sz w:val="18"/>
            <w:szCs w:val="18"/>
          </w:rPr>
          <w:t>Adjusted</w:t>
        </w:r>
      </w:hyperlink>
    </w:p>
    <w:p w14:paraId="343DC0B2" w14:textId="77777777" w:rsidR="00EA7458" w:rsidRPr="00EA7458" w:rsidRDefault="00BC1D20" w:rsidP="00EA7458">
      <w:pPr>
        <w:widowControl w:val="0"/>
        <w:spacing w:before="90" w:after="0" w:line="261" w:lineRule="auto"/>
        <w:ind w:left="107" w:right="716"/>
        <w:rPr>
          <w:rFonts w:ascii="Calibri" w:hAnsi="Calibri" w:cs="Calibri"/>
          <w:sz w:val="18"/>
          <w:szCs w:val="18"/>
        </w:rPr>
      </w:pPr>
      <w:hyperlink w:anchor="_bookmark26" w:history="1">
        <w:r w:rsidR="00EA7458" w:rsidRPr="00EA7458">
          <w:rPr>
            <w:rFonts w:ascii="Calibri" w:hAnsi="Calibri"/>
            <w:b/>
            <w:color w:val="231F20"/>
            <w:w w:val="105"/>
            <w:sz w:val="18"/>
          </w:rPr>
          <w:t>Figure</w:t>
        </w:r>
        <w:r w:rsidR="00EA7458" w:rsidRPr="00EA7458">
          <w:rPr>
            <w:rFonts w:ascii="Calibri" w:hAnsi="Calibri"/>
            <w:b/>
            <w:color w:val="231F20"/>
            <w:spacing w:val="20"/>
            <w:w w:val="105"/>
            <w:sz w:val="18"/>
          </w:rPr>
          <w:t xml:space="preserve"> </w:t>
        </w:r>
        <w:r w:rsidR="00EA7458" w:rsidRPr="00EA7458">
          <w:rPr>
            <w:rFonts w:ascii="Calibri" w:hAnsi="Calibri"/>
            <w:b/>
            <w:color w:val="231F20"/>
            <w:w w:val="105"/>
            <w:sz w:val="18"/>
          </w:rPr>
          <w:t>2.26</w:t>
        </w:r>
        <w:r w:rsidR="00EA7458" w:rsidRPr="00EA7458">
          <w:rPr>
            <w:rFonts w:ascii="Calibri" w:hAnsi="Calibri"/>
            <w:b/>
            <w:color w:val="231F20"/>
            <w:spacing w:val="20"/>
            <w:w w:val="105"/>
            <w:sz w:val="18"/>
          </w:rPr>
          <w:t xml:space="preserve"> </w:t>
        </w:r>
        <w:r w:rsidR="00EA7458" w:rsidRPr="00EA7458">
          <w:rPr>
            <w:rFonts w:ascii="Calibri" w:hAnsi="Calibri"/>
            <w:color w:val="231F20"/>
            <w:w w:val="105"/>
            <w:sz w:val="18"/>
          </w:rPr>
          <w:t>Florida</w:t>
        </w:r>
        <w:r w:rsidR="00EA7458" w:rsidRPr="00EA7458">
          <w:rPr>
            <w:rFonts w:ascii="Calibri" w:hAnsi="Calibri"/>
            <w:color w:val="231F20"/>
            <w:spacing w:val="20"/>
            <w:w w:val="105"/>
            <w:sz w:val="18"/>
          </w:rPr>
          <w:t xml:space="preserve"> </w:t>
        </w:r>
        <w:r w:rsidR="00EA7458" w:rsidRPr="00EA7458">
          <w:rPr>
            <w:rFonts w:ascii="Calibri" w:hAnsi="Calibri"/>
            <w:color w:val="231F20"/>
            <w:w w:val="105"/>
            <w:sz w:val="18"/>
          </w:rPr>
          <w:t>Information</w:t>
        </w:r>
        <w:r w:rsidR="00EA7458" w:rsidRPr="00EA7458">
          <w:rPr>
            <w:rFonts w:ascii="Calibri" w:hAnsi="Calibri"/>
            <w:color w:val="231F20"/>
            <w:spacing w:val="20"/>
            <w:w w:val="105"/>
            <w:sz w:val="18"/>
          </w:rPr>
          <w:t xml:space="preserve"> </w:t>
        </w:r>
        <w:r w:rsidR="00EA7458" w:rsidRPr="00EA7458">
          <w:rPr>
            <w:rFonts w:ascii="Calibri" w:hAnsi="Calibri"/>
            <w:color w:val="231F20"/>
            <w:w w:val="105"/>
            <w:sz w:val="18"/>
          </w:rPr>
          <w:t>Employment</w:t>
        </w:r>
        <w:r w:rsidR="00EA7458" w:rsidRPr="00EA7458">
          <w:rPr>
            <w:rFonts w:ascii="Calibri" w:hAnsi="Calibri"/>
            <w:color w:val="231F20"/>
            <w:spacing w:val="20"/>
            <w:w w:val="105"/>
            <w:sz w:val="18"/>
          </w:rPr>
          <w:t xml:space="preserve"> </w:t>
        </w:r>
        <w:r w:rsidR="00EA7458" w:rsidRPr="00EA7458">
          <w:rPr>
            <w:rFonts w:ascii="Calibri" w:hAnsi="Calibri"/>
            <w:color w:val="231F20"/>
            <w:w w:val="105"/>
            <w:sz w:val="18"/>
          </w:rPr>
          <w:t>Seasonally</w:t>
        </w:r>
      </w:hyperlink>
      <w:r w:rsidR="00EA7458" w:rsidRPr="00EA7458">
        <w:rPr>
          <w:rFonts w:ascii="Calibri" w:hAnsi="Calibri"/>
          <w:color w:val="231F20"/>
          <w:spacing w:val="-40"/>
          <w:w w:val="105"/>
          <w:sz w:val="18"/>
        </w:rPr>
        <w:t xml:space="preserve"> </w:t>
      </w:r>
      <w:hyperlink w:anchor="_bookmark26" w:history="1">
        <w:r w:rsidR="00EA7458" w:rsidRPr="00EA7458">
          <w:rPr>
            <w:rFonts w:ascii="Calibri" w:hAnsi="Calibri"/>
            <w:color w:val="231F20"/>
            <w:w w:val="105"/>
            <w:sz w:val="18"/>
          </w:rPr>
          <w:t>Adjusted</w:t>
        </w:r>
      </w:hyperlink>
    </w:p>
    <w:p w14:paraId="401629A8" w14:textId="77777777" w:rsidR="00EA7458" w:rsidRPr="00EA7458" w:rsidRDefault="00BC1D20" w:rsidP="00EA7458">
      <w:pPr>
        <w:widowControl w:val="0"/>
        <w:spacing w:before="90" w:after="0" w:line="261" w:lineRule="auto"/>
        <w:ind w:left="107" w:right="716"/>
        <w:rPr>
          <w:rFonts w:ascii="Calibri" w:hAnsi="Calibri" w:cs="Calibri"/>
          <w:sz w:val="18"/>
          <w:szCs w:val="18"/>
        </w:rPr>
      </w:pPr>
      <w:hyperlink w:anchor="_bookmark27" w:history="1">
        <w:r w:rsidR="00EA7458" w:rsidRPr="00EA7458">
          <w:rPr>
            <w:rFonts w:ascii="Calibri" w:hAnsi="Calibri"/>
            <w:b/>
            <w:color w:val="231F20"/>
            <w:w w:val="110"/>
            <w:sz w:val="18"/>
          </w:rPr>
          <w:t>Figure</w:t>
        </w:r>
        <w:r w:rsidR="00EA7458" w:rsidRPr="00EA7458">
          <w:rPr>
            <w:rFonts w:ascii="Calibri" w:hAnsi="Calibri"/>
            <w:b/>
            <w:color w:val="231F20"/>
            <w:spacing w:val="-17"/>
            <w:w w:val="110"/>
            <w:sz w:val="18"/>
          </w:rPr>
          <w:t xml:space="preserve"> </w:t>
        </w:r>
        <w:r w:rsidR="00EA7458" w:rsidRPr="00EA7458">
          <w:rPr>
            <w:rFonts w:ascii="Calibri" w:hAnsi="Calibri"/>
            <w:b/>
            <w:color w:val="231F20"/>
            <w:w w:val="110"/>
            <w:sz w:val="18"/>
          </w:rPr>
          <w:t>2.27</w:t>
        </w:r>
        <w:r w:rsidR="00EA7458" w:rsidRPr="00EA7458">
          <w:rPr>
            <w:rFonts w:ascii="Calibri" w:hAnsi="Calibri"/>
            <w:b/>
            <w:color w:val="231F20"/>
            <w:spacing w:val="-17"/>
            <w:w w:val="110"/>
            <w:sz w:val="18"/>
          </w:rPr>
          <w:t xml:space="preserve"> </w:t>
        </w:r>
        <w:r w:rsidR="00EA7458" w:rsidRPr="00EA7458">
          <w:rPr>
            <w:rFonts w:ascii="Calibri" w:hAnsi="Calibri"/>
            <w:color w:val="231F20"/>
            <w:w w:val="110"/>
            <w:sz w:val="18"/>
          </w:rPr>
          <w:t>Florida</w:t>
        </w:r>
        <w:r w:rsidR="00EA7458" w:rsidRPr="00EA7458">
          <w:rPr>
            <w:rFonts w:ascii="Calibri" w:hAnsi="Calibri"/>
            <w:color w:val="231F20"/>
            <w:spacing w:val="-17"/>
            <w:w w:val="110"/>
            <w:sz w:val="18"/>
          </w:rPr>
          <w:t xml:space="preserve"> </w:t>
        </w:r>
        <w:r w:rsidR="00EA7458" w:rsidRPr="00EA7458">
          <w:rPr>
            <w:rFonts w:ascii="Calibri" w:hAnsi="Calibri"/>
            <w:color w:val="231F20"/>
            <w:w w:val="110"/>
            <w:sz w:val="18"/>
          </w:rPr>
          <w:t>Financial</w:t>
        </w:r>
        <w:r w:rsidR="00EA7458" w:rsidRPr="00EA7458">
          <w:rPr>
            <w:rFonts w:ascii="Calibri" w:hAnsi="Calibri"/>
            <w:color w:val="231F20"/>
            <w:spacing w:val="-17"/>
            <w:w w:val="110"/>
            <w:sz w:val="18"/>
          </w:rPr>
          <w:t xml:space="preserve"> </w:t>
        </w:r>
        <w:r w:rsidR="00EA7458" w:rsidRPr="00EA7458">
          <w:rPr>
            <w:rFonts w:ascii="Calibri" w:hAnsi="Calibri"/>
            <w:color w:val="231F20"/>
            <w:w w:val="110"/>
            <w:sz w:val="18"/>
          </w:rPr>
          <w:t>Activities</w:t>
        </w:r>
        <w:r w:rsidR="00EA7458" w:rsidRPr="00EA7458">
          <w:rPr>
            <w:rFonts w:ascii="Calibri" w:hAnsi="Calibri"/>
            <w:color w:val="231F20"/>
            <w:spacing w:val="-17"/>
            <w:w w:val="110"/>
            <w:sz w:val="18"/>
          </w:rPr>
          <w:t xml:space="preserve"> </w:t>
        </w:r>
        <w:r w:rsidR="00EA7458" w:rsidRPr="00EA7458">
          <w:rPr>
            <w:rFonts w:ascii="Calibri" w:hAnsi="Calibri"/>
            <w:color w:val="231F20"/>
            <w:w w:val="110"/>
            <w:sz w:val="18"/>
          </w:rPr>
          <w:t>Employment</w:t>
        </w:r>
      </w:hyperlink>
      <w:r w:rsidR="00EA7458" w:rsidRPr="00EA7458">
        <w:rPr>
          <w:rFonts w:ascii="Calibri" w:hAnsi="Calibri"/>
          <w:color w:val="231F20"/>
          <w:w w:val="105"/>
          <w:sz w:val="18"/>
        </w:rPr>
        <w:t xml:space="preserve"> </w:t>
      </w:r>
      <w:hyperlink w:anchor="_bookmark27" w:history="1">
        <w:r w:rsidR="00EA7458" w:rsidRPr="00EA7458">
          <w:rPr>
            <w:rFonts w:ascii="Calibri" w:hAnsi="Calibri"/>
            <w:color w:val="231F20"/>
            <w:w w:val="110"/>
            <w:sz w:val="18"/>
          </w:rPr>
          <w:t>Seasonally</w:t>
        </w:r>
        <w:r w:rsidR="00EA7458" w:rsidRPr="00EA7458">
          <w:rPr>
            <w:rFonts w:ascii="Calibri" w:hAnsi="Calibri"/>
            <w:color w:val="231F20"/>
            <w:spacing w:val="-6"/>
            <w:w w:val="110"/>
            <w:sz w:val="18"/>
          </w:rPr>
          <w:t xml:space="preserve"> </w:t>
        </w:r>
        <w:r w:rsidR="00EA7458" w:rsidRPr="00EA7458">
          <w:rPr>
            <w:rFonts w:ascii="Calibri" w:hAnsi="Calibri"/>
            <w:color w:val="231F20"/>
            <w:w w:val="110"/>
            <w:sz w:val="18"/>
          </w:rPr>
          <w:t>Adjusted</w:t>
        </w:r>
      </w:hyperlink>
    </w:p>
    <w:p w14:paraId="2D48E654" w14:textId="2FBF505A" w:rsidR="00EA7458" w:rsidRPr="0056655F" w:rsidRDefault="00BC1D20" w:rsidP="0056655F">
      <w:pPr>
        <w:widowControl w:val="0"/>
        <w:spacing w:before="90" w:after="0" w:line="261" w:lineRule="auto"/>
        <w:ind w:left="107" w:right="716"/>
        <w:rPr>
          <w:rFonts w:ascii="Calibri" w:hAnsi="Calibri"/>
          <w:color w:val="231F20"/>
          <w:w w:val="110"/>
          <w:sz w:val="18"/>
        </w:rPr>
      </w:pPr>
      <w:hyperlink w:anchor="_bookmark28" w:history="1">
        <w:r w:rsidR="00EA7458" w:rsidRPr="0056655F">
          <w:rPr>
            <w:rFonts w:ascii="Calibri" w:hAnsi="Calibri"/>
            <w:b/>
            <w:color w:val="231F20"/>
            <w:w w:val="110"/>
            <w:sz w:val="18"/>
          </w:rPr>
          <w:t>Figure 2.28</w:t>
        </w:r>
        <w:r w:rsidR="00EA7458" w:rsidRPr="0056655F">
          <w:rPr>
            <w:rFonts w:ascii="Calibri" w:hAnsi="Calibri"/>
            <w:color w:val="231F20"/>
            <w:w w:val="110"/>
            <w:sz w:val="18"/>
          </w:rPr>
          <w:t xml:space="preserve"> Florida Professional and Business Services</w:t>
        </w:r>
      </w:hyperlink>
      <w:r w:rsidR="00EA7458" w:rsidRPr="0056655F">
        <w:rPr>
          <w:rFonts w:ascii="Calibri" w:hAnsi="Calibri"/>
          <w:color w:val="231F20"/>
          <w:w w:val="110"/>
          <w:sz w:val="18"/>
        </w:rPr>
        <w:t xml:space="preserve"> </w:t>
      </w:r>
      <w:hyperlink w:anchor="_bookmark28" w:history="1">
        <w:r w:rsidR="00983FA7" w:rsidRPr="0056655F">
          <w:rPr>
            <w:rFonts w:ascii="Calibri" w:hAnsi="Calibri"/>
            <w:color w:val="231F20"/>
            <w:w w:val="110"/>
            <w:sz w:val="18"/>
          </w:rPr>
          <w:t>Employment Seasonally</w:t>
        </w:r>
        <w:r w:rsidR="00EA7458" w:rsidRPr="0056655F">
          <w:rPr>
            <w:rFonts w:ascii="Calibri" w:hAnsi="Calibri"/>
            <w:color w:val="231F20"/>
            <w:w w:val="110"/>
            <w:sz w:val="18"/>
          </w:rPr>
          <w:t xml:space="preserve"> Adjusted</w:t>
        </w:r>
      </w:hyperlink>
    </w:p>
    <w:p w14:paraId="60B8E541" w14:textId="77777777" w:rsidR="00EA7458" w:rsidRPr="00EA7458" w:rsidRDefault="00BC1D20" w:rsidP="00EA7458">
      <w:pPr>
        <w:widowControl w:val="0"/>
        <w:spacing w:before="90" w:after="0" w:line="261" w:lineRule="auto"/>
        <w:ind w:left="107"/>
        <w:rPr>
          <w:rFonts w:ascii="Calibri" w:hAnsi="Calibri" w:cs="Calibri"/>
          <w:sz w:val="18"/>
          <w:szCs w:val="18"/>
        </w:rPr>
      </w:pPr>
      <w:hyperlink w:anchor="_bookmark29" w:history="1">
        <w:r w:rsidR="00EA7458" w:rsidRPr="00EA7458">
          <w:rPr>
            <w:rFonts w:ascii="Calibri" w:hAnsi="Calibri"/>
            <w:b/>
            <w:color w:val="231F20"/>
            <w:w w:val="110"/>
            <w:sz w:val="18"/>
          </w:rPr>
          <w:t>Figure</w:t>
        </w:r>
        <w:r w:rsidR="00EA7458" w:rsidRPr="00EA7458">
          <w:rPr>
            <w:rFonts w:ascii="Calibri" w:hAnsi="Calibri"/>
            <w:b/>
            <w:color w:val="231F20"/>
            <w:spacing w:val="-8"/>
            <w:w w:val="110"/>
            <w:sz w:val="18"/>
          </w:rPr>
          <w:t xml:space="preserve"> </w:t>
        </w:r>
        <w:r w:rsidR="00EA7458" w:rsidRPr="00EA7458">
          <w:rPr>
            <w:rFonts w:ascii="Calibri" w:hAnsi="Calibri"/>
            <w:b/>
            <w:color w:val="231F20"/>
            <w:w w:val="110"/>
            <w:sz w:val="18"/>
          </w:rPr>
          <w:t>2.29</w:t>
        </w:r>
        <w:r w:rsidR="00EA7458" w:rsidRPr="00EA7458">
          <w:rPr>
            <w:rFonts w:ascii="Calibri" w:hAnsi="Calibri"/>
            <w:b/>
            <w:color w:val="231F20"/>
            <w:spacing w:val="-8"/>
            <w:w w:val="110"/>
            <w:sz w:val="18"/>
          </w:rPr>
          <w:t xml:space="preserve"> </w:t>
        </w:r>
        <w:r w:rsidR="00EA7458" w:rsidRPr="00EA7458">
          <w:rPr>
            <w:rFonts w:ascii="Calibri" w:hAnsi="Calibri"/>
            <w:color w:val="231F20"/>
            <w:w w:val="110"/>
            <w:sz w:val="18"/>
          </w:rPr>
          <w:t>Florida</w:t>
        </w:r>
        <w:r w:rsidR="00EA7458" w:rsidRPr="00EA7458">
          <w:rPr>
            <w:rFonts w:ascii="Calibri" w:hAnsi="Calibri"/>
            <w:color w:val="231F20"/>
            <w:spacing w:val="-8"/>
            <w:w w:val="110"/>
            <w:sz w:val="18"/>
          </w:rPr>
          <w:t xml:space="preserve"> </w:t>
        </w:r>
        <w:r w:rsidR="00EA7458" w:rsidRPr="00EA7458">
          <w:rPr>
            <w:rFonts w:ascii="Calibri" w:hAnsi="Calibri"/>
            <w:color w:val="231F20"/>
            <w:w w:val="110"/>
            <w:sz w:val="18"/>
          </w:rPr>
          <w:t>Education</w:t>
        </w:r>
        <w:r w:rsidR="00EA7458" w:rsidRPr="00EA7458">
          <w:rPr>
            <w:rFonts w:ascii="Calibri" w:hAnsi="Calibri"/>
            <w:color w:val="231F20"/>
            <w:spacing w:val="-8"/>
            <w:w w:val="110"/>
            <w:sz w:val="18"/>
          </w:rPr>
          <w:t xml:space="preserve"> </w:t>
        </w:r>
        <w:r w:rsidR="00EA7458" w:rsidRPr="00EA7458">
          <w:rPr>
            <w:rFonts w:ascii="Calibri" w:hAnsi="Calibri"/>
            <w:color w:val="231F20"/>
            <w:w w:val="110"/>
            <w:sz w:val="18"/>
          </w:rPr>
          <w:t>and</w:t>
        </w:r>
        <w:r w:rsidR="00EA7458" w:rsidRPr="00EA7458">
          <w:rPr>
            <w:rFonts w:ascii="Calibri" w:hAnsi="Calibri"/>
            <w:color w:val="231F20"/>
            <w:spacing w:val="-8"/>
            <w:w w:val="110"/>
            <w:sz w:val="18"/>
          </w:rPr>
          <w:t xml:space="preserve"> </w:t>
        </w:r>
        <w:r w:rsidR="00EA7458" w:rsidRPr="00EA7458">
          <w:rPr>
            <w:rFonts w:ascii="Calibri" w:hAnsi="Calibri"/>
            <w:color w:val="231F20"/>
            <w:w w:val="110"/>
            <w:sz w:val="18"/>
          </w:rPr>
          <w:t>Health</w:t>
        </w:r>
        <w:r w:rsidR="00EA7458" w:rsidRPr="00EA7458">
          <w:rPr>
            <w:rFonts w:ascii="Calibri" w:hAnsi="Calibri"/>
            <w:color w:val="231F20"/>
            <w:spacing w:val="-8"/>
            <w:w w:val="110"/>
            <w:sz w:val="18"/>
          </w:rPr>
          <w:t xml:space="preserve"> </w:t>
        </w:r>
        <w:r w:rsidR="00EA7458" w:rsidRPr="00EA7458">
          <w:rPr>
            <w:rFonts w:ascii="Calibri" w:hAnsi="Calibri"/>
            <w:color w:val="231F20"/>
            <w:w w:val="110"/>
            <w:sz w:val="18"/>
          </w:rPr>
          <w:t>Services</w:t>
        </w:r>
        <w:r w:rsidR="00EA7458" w:rsidRPr="00EA7458">
          <w:rPr>
            <w:rFonts w:ascii="Calibri" w:hAnsi="Calibri"/>
            <w:color w:val="231F20"/>
            <w:spacing w:val="-8"/>
            <w:w w:val="110"/>
            <w:sz w:val="18"/>
          </w:rPr>
          <w:t xml:space="preserve"> </w:t>
        </w:r>
        <w:r w:rsidR="00EA7458" w:rsidRPr="00EA7458">
          <w:rPr>
            <w:rFonts w:ascii="Calibri" w:hAnsi="Calibri"/>
            <w:color w:val="231F20"/>
            <w:w w:val="110"/>
            <w:sz w:val="18"/>
          </w:rPr>
          <w:t>Employment</w:t>
        </w:r>
      </w:hyperlink>
      <w:r w:rsidR="00EA7458" w:rsidRPr="00EA7458">
        <w:rPr>
          <w:rFonts w:ascii="Calibri" w:hAnsi="Calibri"/>
          <w:color w:val="231F20"/>
          <w:w w:val="105"/>
          <w:sz w:val="18"/>
        </w:rPr>
        <w:t xml:space="preserve"> </w:t>
      </w:r>
      <w:hyperlink w:anchor="_bookmark29" w:history="1">
        <w:r w:rsidR="00EA7458" w:rsidRPr="00EA7458">
          <w:rPr>
            <w:rFonts w:ascii="Calibri" w:hAnsi="Calibri"/>
            <w:color w:val="231F20"/>
            <w:w w:val="110"/>
            <w:sz w:val="18"/>
          </w:rPr>
          <w:t>Seasonally</w:t>
        </w:r>
        <w:r w:rsidR="00EA7458" w:rsidRPr="00EA7458">
          <w:rPr>
            <w:rFonts w:ascii="Calibri" w:hAnsi="Calibri"/>
            <w:color w:val="231F20"/>
            <w:spacing w:val="-6"/>
            <w:w w:val="110"/>
            <w:sz w:val="18"/>
          </w:rPr>
          <w:t xml:space="preserve"> </w:t>
        </w:r>
        <w:r w:rsidR="00EA7458" w:rsidRPr="00EA7458">
          <w:rPr>
            <w:rFonts w:ascii="Calibri" w:hAnsi="Calibri"/>
            <w:color w:val="231F20"/>
            <w:w w:val="110"/>
            <w:sz w:val="18"/>
          </w:rPr>
          <w:t>Adjusted</w:t>
        </w:r>
      </w:hyperlink>
    </w:p>
    <w:p w14:paraId="303FC60E" w14:textId="77777777" w:rsidR="00EA7458" w:rsidRPr="00EA7458" w:rsidRDefault="00BC1D20" w:rsidP="00EA7458">
      <w:pPr>
        <w:widowControl w:val="0"/>
        <w:spacing w:before="90" w:after="0" w:line="261" w:lineRule="auto"/>
        <w:ind w:left="107" w:right="716"/>
        <w:rPr>
          <w:rFonts w:ascii="Calibri" w:hAnsi="Calibri" w:cs="Calibri"/>
          <w:sz w:val="18"/>
          <w:szCs w:val="18"/>
        </w:rPr>
      </w:pPr>
      <w:hyperlink w:anchor="_bookmark30" w:history="1">
        <w:r w:rsidR="00EA7458" w:rsidRPr="00EA7458">
          <w:rPr>
            <w:rFonts w:ascii="Calibri" w:hAnsi="Calibri"/>
            <w:b/>
            <w:color w:val="231F20"/>
            <w:w w:val="110"/>
            <w:sz w:val="18"/>
          </w:rPr>
          <w:t>Figure</w:t>
        </w:r>
        <w:r w:rsidR="00EA7458" w:rsidRPr="00EA7458">
          <w:rPr>
            <w:rFonts w:ascii="Calibri" w:hAnsi="Calibri"/>
            <w:b/>
            <w:color w:val="231F20"/>
            <w:spacing w:val="-13"/>
            <w:w w:val="110"/>
            <w:sz w:val="18"/>
          </w:rPr>
          <w:t xml:space="preserve"> </w:t>
        </w:r>
        <w:r w:rsidR="00EA7458" w:rsidRPr="00EA7458">
          <w:rPr>
            <w:rFonts w:ascii="Calibri" w:hAnsi="Calibri"/>
            <w:b/>
            <w:color w:val="231F20"/>
            <w:w w:val="110"/>
            <w:sz w:val="18"/>
          </w:rPr>
          <w:t>2.30</w:t>
        </w:r>
        <w:r w:rsidR="00EA7458" w:rsidRPr="00EA7458">
          <w:rPr>
            <w:rFonts w:ascii="Calibri" w:hAnsi="Calibri"/>
            <w:b/>
            <w:color w:val="231F20"/>
            <w:spacing w:val="-13"/>
            <w:w w:val="110"/>
            <w:sz w:val="18"/>
          </w:rPr>
          <w:t xml:space="preserve"> </w:t>
        </w:r>
        <w:r w:rsidR="00EA7458" w:rsidRPr="00EA7458">
          <w:rPr>
            <w:rFonts w:ascii="Calibri" w:hAnsi="Calibri"/>
            <w:color w:val="231F20"/>
            <w:w w:val="110"/>
            <w:sz w:val="18"/>
          </w:rPr>
          <w:t>Florida</w:t>
        </w:r>
        <w:r w:rsidR="00EA7458" w:rsidRPr="00EA7458">
          <w:rPr>
            <w:rFonts w:ascii="Calibri" w:hAnsi="Calibri"/>
            <w:color w:val="231F20"/>
            <w:spacing w:val="-13"/>
            <w:w w:val="110"/>
            <w:sz w:val="18"/>
          </w:rPr>
          <w:t xml:space="preserve"> </w:t>
        </w:r>
        <w:r w:rsidR="00EA7458" w:rsidRPr="00EA7458">
          <w:rPr>
            <w:rFonts w:ascii="Calibri" w:hAnsi="Calibri"/>
            <w:color w:val="231F20"/>
            <w:w w:val="110"/>
            <w:sz w:val="18"/>
          </w:rPr>
          <w:t>Leisure</w:t>
        </w:r>
        <w:r w:rsidR="00EA7458" w:rsidRPr="00EA7458">
          <w:rPr>
            <w:rFonts w:ascii="Calibri" w:hAnsi="Calibri"/>
            <w:color w:val="231F20"/>
            <w:spacing w:val="-13"/>
            <w:w w:val="110"/>
            <w:sz w:val="18"/>
          </w:rPr>
          <w:t xml:space="preserve"> </w:t>
        </w:r>
        <w:r w:rsidR="00EA7458" w:rsidRPr="00EA7458">
          <w:rPr>
            <w:rFonts w:ascii="Calibri" w:hAnsi="Calibri"/>
            <w:color w:val="231F20"/>
            <w:w w:val="110"/>
            <w:sz w:val="18"/>
          </w:rPr>
          <w:t>and</w:t>
        </w:r>
        <w:r w:rsidR="00EA7458" w:rsidRPr="00EA7458">
          <w:rPr>
            <w:rFonts w:ascii="Calibri" w:hAnsi="Calibri"/>
            <w:color w:val="231F20"/>
            <w:spacing w:val="-13"/>
            <w:w w:val="110"/>
            <w:sz w:val="18"/>
          </w:rPr>
          <w:t xml:space="preserve"> </w:t>
        </w:r>
        <w:r w:rsidR="00EA7458" w:rsidRPr="00EA7458">
          <w:rPr>
            <w:rFonts w:ascii="Calibri" w:hAnsi="Calibri"/>
            <w:color w:val="231F20"/>
            <w:w w:val="110"/>
            <w:sz w:val="18"/>
          </w:rPr>
          <w:t>Hospitality</w:t>
        </w:r>
        <w:r w:rsidR="00EA7458" w:rsidRPr="00EA7458">
          <w:rPr>
            <w:rFonts w:ascii="Calibri" w:hAnsi="Calibri"/>
            <w:color w:val="231F20"/>
            <w:spacing w:val="-13"/>
            <w:w w:val="110"/>
            <w:sz w:val="18"/>
          </w:rPr>
          <w:t xml:space="preserve"> </w:t>
        </w:r>
        <w:r w:rsidR="00EA7458" w:rsidRPr="00EA7458">
          <w:rPr>
            <w:rFonts w:ascii="Calibri" w:hAnsi="Calibri"/>
            <w:color w:val="231F20"/>
            <w:w w:val="110"/>
            <w:sz w:val="18"/>
          </w:rPr>
          <w:t>Employment</w:t>
        </w:r>
      </w:hyperlink>
      <w:r w:rsidR="00EA7458" w:rsidRPr="00EA7458">
        <w:rPr>
          <w:rFonts w:ascii="Calibri" w:hAnsi="Calibri"/>
          <w:color w:val="231F20"/>
          <w:w w:val="105"/>
          <w:sz w:val="18"/>
        </w:rPr>
        <w:t xml:space="preserve"> </w:t>
      </w:r>
      <w:hyperlink w:anchor="_bookmark30" w:history="1">
        <w:r w:rsidR="00EA7458" w:rsidRPr="00EA7458">
          <w:rPr>
            <w:rFonts w:ascii="Calibri" w:hAnsi="Calibri"/>
            <w:color w:val="231F20"/>
            <w:w w:val="110"/>
            <w:sz w:val="18"/>
          </w:rPr>
          <w:t>Seasonally</w:t>
        </w:r>
        <w:r w:rsidR="00EA7458" w:rsidRPr="00EA7458">
          <w:rPr>
            <w:rFonts w:ascii="Calibri" w:hAnsi="Calibri"/>
            <w:color w:val="231F20"/>
            <w:spacing w:val="-6"/>
            <w:w w:val="110"/>
            <w:sz w:val="18"/>
          </w:rPr>
          <w:t xml:space="preserve"> </w:t>
        </w:r>
        <w:r w:rsidR="00EA7458" w:rsidRPr="00EA7458">
          <w:rPr>
            <w:rFonts w:ascii="Calibri" w:hAnsi="Calibri"/>
            <w:color w:val="231F20"/>
            <w:w w:val="110"/>
            <w:sz w:val="18"/>
          </w:rPr>
          <w:t>Adjusted</w:t>
        </w:r>
      </w:hyperlink>
    </w:p>
    <w:p w14:paraId="199DDFF4" w14:textId="77777777" w:rsidR="00EA7458" w:rsidRPr="00EA7458" w:rsidRDefault="00BC1D20" w:rsidP="00EA7458">
      <w:pPr>
        <w:widowControl w:val="0"/>
        <w:spacing w:before="90" w:after="0" w:line="261" w:lineRule="auto"/>
        <w:ind w:left="107" w:right="716"/>
        <w:rPr>
          <w:rFonts w:ascii="Calibri" w:hAnsi="Calibri" w:cs="Calibri"/>
          <w:sz w:val="18"/>
          <w:szCs w:val="18"/>
        </w:rPr>
      </w:pPr>
      <w:hyperlink w:anchor="_bookmark31" w:history="1">
        <w:r w:rsidR="00EA7458" w:rsidRPr="00EA7458">
          <w:rPr>
            <w:rFonts w:ascii="Calibri" w:hAnsi="Calibri"/>
            <w:b/>
            <w:color w:val="231F20"/>
            <w:w w:val="105"/>
            <w:sz w:val="18"/>
          </w:rPr>
          <w:t>Figure</w:t>
        </w:r>
        <w:r w:rsidR="00EA7458" w:rsidRPr="00EA7458">
          <w:rPr>
            <w:rFonts w:ascii="Calibri" w:hAnsi="Calibri"/>
            <w:b/>
            <w:color w:val="231F20"/>
            <w:spacing w:val="17"/>
            <w:w w:val="105"/>
            <w:sz w:val="18"/>
          </w:rPr>
          <w:t xml:space="preserve"> </w:t>
        </w:r>
        <w:r w:rsidR="00EA7458" w:rsidRPr="00EA7458">
          <w:rPr>
            <w:rFonts w:ascii="Calibri" w:hAnsi="Calibri"/>
            <w:b/>
            <w:color w:val="231F20"/>
            <w:w w:val="105"/>
            <w:sz w:val="18"/>
          </w:rPr>
          <w:t>2.31</w:t>
        </w:r>
        <w:r w:rsidR="00EA7458" w:rsidRPr="00EA7458">
          <w:rPr>
            <w:rFonts w:ascii="Calibri" w:hAnsi="Calibri"/>
            <w:b/>
            <w:color w:val="231F20"/>
            <w:spacing w:val="17"/>
            <w:w w:val="105"/>
            <w:sz w:val="18"/>
          </w:rPr>
          <w:t xml:space="preserve"> </w:t>
        </w:r>
        <w:r w:rsidR="00EA7458" w:rsidRPr="00EA7458">
          <w:rPr>
            <w:rFonts w:ascii="Calibri" w:hAnsi="Calibri"/>
            <w:color w:val="231F20"/>
            <w:w w:val="105"/>
            <w:sz w:val="18"/>
          </w:rPr>
          <w:t>Florida</w:t>
        </w:r>
        <w:r w:rsidR="00EA7458" w:rsidRPr="00EA7458">
          <w:rPr>
            <w:rFonts w:ascii="Calibri" w:hAnsi="Calibri"/>
            <w:color w:val="231F20"/>
            <w:spacing w:val="17"/>
            <w:w w:val="105"/>
            <w:sz w:val="18"/>
          </w:rPr>
          <w:t xml:space="preserve"> </w:t>
        </w:r>
        <w:r w:rsidR="00EA7458" w:rsidRPr="00EA7458">
          <w:rPr>
            <w:rFonts w:ascii="Calibri" w:hAnsi="Calibri"/>
            <w:color w:val="231F20"/>
            <w:w w:val="105"/>
            <w:sz w:val="18"/>
          </w:rPr>
          <w:t>Other</w:t>
        </w:r>
        <w:r w:rsidR="00EA7458" w:rsidRPr="00EA7458">
          <w:rPr>
            <w:rFonts w:ascii="Calibri" w:hAnsi="Calibri"/>
            <w:color w:val="231F20"/>
            <w:spacing w:val="17"/>
            <w:w w:val="105"/>
            <w:sz w:val="18"/>
          </w:rPr>
          <w:t xml:space="preserve"> </w:t>
        </w:r>
        <w:r w:rsidR="00EA7458" w:rsidRPr="00EA7458">
          <w:rPr>
            <w:rFonts w:ascii="Calibri" w:hAnsi="Calibri"/>
            <w:color w:val="231F20"/>
            <w:w w:val="105"/>
            <w:sz w:val="18"/>
          </w:rPr>
          <w:t>Services</w:t>
        </w:r>
        <w:r w:rsidR="00EA7458" w:rsidRPr="00EA7458">
          <w:rPr>
            <w:rFonts w:ascii="Calibri" w:hAnsi="Calibri"/>
            <w:color w:val="231F20"/>
            <w:spacing w:val="17"/>
            <w:w w:val="105"/>
            <w:sz w:val="18"/>
          </w:rPr>
          <w:t xml:space="preserve"> </w:t>
        </w:r>
        <w:r w:rsidR="00EA7458" w:rsidRPr="00EA7458">
          <w:rPr>
            <w:rFonts w:ascii="Calibri" w:hAnsi="Calibri"/>
            <w:color w:val="231F20"/>
            <w:w w:val="105"/>
            <w:sz w:val="18"/>
          </w:rPr>
          <w:t>Employment</w:t>
        </w:r>
      </w:hyperlink>
      <w:r w:rsidR="00EA7458" w:rsidRPr="00EA7458">
        <w:rPr>
          <w:rFonts w:ascii="Calibri" w:hAnsi="Calibri"/>
          <w:color w:val="231F20"/>
          <w:spacing w:val="-41"/>
          <w:w w:val="105"/>
          <w:sz w:val="18"/>
        </w:rPr>
        <w:t xml:space="preserve"> </w:t>
      </w:r>
      <w:hyperlink w:anchor="_bookmark31" w:history="1">
        <w:r w:rsidR="00EA7458" w:rsidRPr="00EA7458">
          <w:rPr>
            <w:rFonts w:ascii="Calibri" w:hAnsi="Calibri"/>
            <w:color w:val="231F20"/>
            <w:w w:val="105"/>
            <w:sz w:val="18"/>
          </w:rPr>
          <w:t>Seasonally Adjusted</w:t>
        </w:r>
      </w:hyperlink>
    </w:p>
    <w:p w14:paraId="58A55773" w14:textId="77777777" w:rsidR="00EA7458" w:rsidRPr="00EA7458" w:rsidRDefault="00BC1D20" w:rsidP="00EA7458">
      <w:pPr>
        <w:widowControl w:val="0"/>
        <w:spacing w:before="90" w:after="0" w:line="261" w:lineRule="auto"/>
        <w:ind w:left="107" w:right="716"/>
        <w:rPr>
          <w:rFonts w:ascii="Calibri" w:hAnsi="Calibri" w:cs="Calibri"/>
          <w:sz w:val="18"/>
          <w:szCs w:val="18"/>
        </w:rPr>
      </w:pPr>
      <w:hyperlink w:anchor="_bookmark32" w:history="1">
        <w:r w:rsidR="00EA7458" w:rsidRPr="00EA7458">
          <w:rPr>
            <w:rFonts w:ascii="Calibri" w:hAnsi="Calibri"/>
            <w:b/>
            <w:color w:val="231F20"/>
            <w:w w:val="110"/>
            <w:sz w:val="18"/>
          </w:rPr>
          <w:t>Figure</w:t>
        </w:r>
        <w:r w:rsidR="00EA7458" w:rsidRPr="00EA7458">
          <w:rPr>
            <w:rFonts w:ascii="Calibri" w:hAnsi="Calibri"/>
            <w:b/>
            <w:color w:val="231F20"/>
            <w:spacing w:val="-20"/>
            <w:w w:val="110"/>
            <w:sz w:val="18"/>
          </w:rPr>
          <w:t xml:space="preserve"> </w:t>
        </w:r>
        <w:r w:rsidR="00EA7458" w:rsidRPr="00EA7458">
          <w:rPr>
            <w:rFonts w:ascii="Calibri" w:hAnsi="Calibri"/>
            <w:b/>
            <w:color w:val="231F20"/>
            <w:w w:val="110"/>
            <w:sz w:val="18"/>
          </w:rPr>
          <w:t>2.32</w:t>
        </w:r>
        <w:r w:rsidR="00EA7458" w:rsidRPr="00EA7458">
          <w:rPr>
            <w:rFonts w:ascii="Calibri" w:hAnsi="Calibri"/>
            <w:b/>
            <w:color w:val="231F20"/>
            <w:spacing w:val="-20"/>
            <w:w w:val="110"/>
            <w:sz w:val="18"/>
          </w:rPr>
          <w:t xml:space="preserve"> </w:t>
        </w:r>
        <w:r w:rsidR="00EA7458" w:rsidRPr="00EA7458">
          <w:rPr>
            <w:rFonts w:ascii="Calibri" w:hAnsi="Calibri"/>
            <w:color w:val="231F20"/>
            <w:w w:val="110"/>
            <w:sz w:val="18"/>
          </w:rPr>
          <w:t>Florida</w:t>
        </w:r>
        <w:r w:rsidR="00EA7458" w:rsidRPr="00EA7458">
          <w:rPr>
            <w:rFonts w:ascii="Calibri" w:hAnsi="Calibri"/>
            <w:color w:val="231F20"/>
            <w:spacing w:val="-20"/>
            <w:w w:val="110"/>
            <w:sz w:val="18"/>
          </w:rPr>
          <w:t xml:space="preserve"> </w:t>
        </w:r>
        <w:r w:rsidR="00EA7458" w:rsidRPr="00EA7458">
          <w:rPr>
            <w:rFonts w:ascii="Calibri" w:hAnsi="Calibri"/>
            <w:color w:val="231F20"/>
            <w:w w:val="110"/>
            <w:sz w:val="18"/>
          </w:rPr>
          <w:t>Government</w:t>
        </w:r>
        <w:r w:rsidR="00EA7458" w:rsidRPr="00EA7458">
          <w:rPr>
            <w:rFonts w:ascii="Calibri" w:hAnsi="Calibri"/>
            <w:color w:val="231F20"/>
            <w:spacing w:val="-20"/>
            <w:w w:val="110"/>
            <w:sz w:val="18"/>
          </w:rPr>
          <w:t xml:space="preserve"> </w:t>
        </w:r>
        <w:r w:rsidR="00EA7458" w:rsidRPr="00EA7458">
          <w:rPr>
            <w:rFonts w:ascii="Calibri" w:hAnsi="Calibri"/>
            <w:color w:val="231F20"/>
            <w:w w:val="110"/>
            <w:sz w:val="18"/>
          </w:rPr>
          <w:t>Employment</w:t>
        </w:r>
      </w:hyperlink>
      <w:r w:rsidR="00EA7458" w:rsidRPr="00EA7458">
        <w:rPr>
          <w:rFonts w:ascii="Calibri" w:hAnsi="Calibri"/>
          <w:color w:val="231F20"/>
          <w:w w:val="105"/>
          <w:sz w:val="18"/>
        </w:rPr>
        <w:t xml:space="preserve"> </w:t>
      </w:r>
      <w:hyperlink w:anchor="_bookmark32" w:history="1">
        <w:r w:rsidR="00EA7458" w:rsidRPr="00EA7458">
          <w:rPr>
            <w:rFonts w:ascii="Calibri" w:hAnsi="Calibri"/>
            <w:color w:val="231F20"/>
            <w:w w:val="110"/>
            <w:sz w:val="18"/>
          </w:rPr>
          <w:t>Seasonally</w:t>
        </w:r>
        <w:r w:rsidR="00EA7458" w:rsidRPr="00EA7458">
          <w:rPr>
            <w:rFonts w:ascii="Calibri" w:hAnsi="Calibri"/>
            <w:color w:val="231F20"/>
            <w:spacing w:val="-6"/>
            <w:w w:val="110"/>
            <w:sz w:val="18"/>
          </w:rPr>
          <w:t xml:space="preserve"> </w:t>
        </w:r>
        <w:r w:rsidR="00EA7458" w:rsidRPr="00EA7458">
          <w:rPr>
            <w:rFonts w:ascii="Calibri" w:hAnsi="Calibri"/>
            <w:color w:val="231F20"/>
            <w:w w:val="110"/>
            <w:sz w:val="18"/>
          </w:rPr>
          <w:t>Adjusted</w:t>
        </w:r>
      </w:hyperlink>
    </w:p>
    <w:p w14:paraId="5A18BF60" w14:textId="6022E794" w:rsidR="00EA7458" w:rsidRPr="00EA7458" w:rsidRDefault="00BC1D20" w:rsidP="00EA7458">
      <w:pPr>
        <w:widowControl w:val="0"/>
        <w:spacing w:before="90" w:after="0" w:line="261" w:lineRule="auto"/>
        <w:ind w:left="107" w:right="190"/>
        <w:rPr>
          <w:rFonts w:ascii="Calibri" w:hAnsi="Calibri" w:cs="Calibri"/>
          <w:sz w:val="18"/>
          <w:szCs w:val="18"/>
        </w:rPr>
      </w:pPr>
      <w:hyperlink w:anchor="_bookmark32" w:history="1">
        <w:r w:rsidR="00EA7458" w:rsidRPr="00EA7458">
          <w:rPr>
            <w:rFonts w:ascii="Calibri" w:hAnsi="Calibri"/>
            <w:b/>
            <w:color w:val="231F20"/>
            <w:w w:val="105"/>
            <w:sz w:val="18"/>
          </w:rPr>
          <w:t xml:space="preserve">Figure 2.33 </w:t>
        </w:r>
        <w:r w:rsidR="00EA7458" w:rsidRPr="00EA7458">
          <w:rPr>
            <w:rFonts w:ascii="Calibri" w:hAnsi="Calibri"/>
            <w:color w:val="231F20"/>
            <w:w w:val="105"/>
            <w:sz w:val="18"/>
          </w:rPr>
          <w:t>Florida Educational Attainment for the</w:t>
        </w:r>
        <w:r w:rsidR="00EA7458" w:rsidRPr="00EA7458">
          <w:rPr>
            <w:rFonts w:ascii="Calibri" w:hAnsi="Calibri"/>
            <w:color w:val="231F20"/>
            <w:spacing w:val="38"/>
            <w:w w:val="105"/>
            <w:sz w:val="18"/>
          </w:rPr>
          <w:t xml:space="preserve"> </w:t>
        </w:r>
        <w:r w:rsidR="00EA7458" w:rsidRPr="00EA7458">
          <w:rPr>
            <w:rFonts w:ascii="Calibri" w:hAnsi="Calibri"/>
            <w:color w:val="231F20"/>
            <w:w w:val="105"/>
            <w:sz w:val="18"/>
          </w:rPr>
          <w:t>Civilian</w:t>
        </w:r>
      </w:hyperlink>
      <w:r w:rsidR="00EA7458" w:rsidRPr="00EA7458">
        <w:rPr>
          <w:rFonts w:ascii="Calibri" w:hAnsi="Calibri"/>
          <w:color w:val="231F20"/>
          <w:w w:val="108"/>
          <w:sz w:val="18"/>
        </w:rPr>
        <w:t xml:space="preserve"> </w:t>
      </w:r>
      <w:hyperlink w:anchor="_bookmark32" w:history="1">
        <w:r w:rsidR="00EA7458" w:rsidRPr="00EA7458">
          <w:rPr>
            <w:rFonts w:ascii="Calibri" w:hAnsi="Calibri"/>
            <w:color w:val="231F20"/>
            <w:w w:val="105"/>
            <w:sz w:val="18"/>
          </w:rPr>
          <w:t>Labor Force Aged 25-64 (201</w:t>
        </w:r>
        <w:r w:rsidR="005E5B17">
          <w:rPr>
            <w:rFonts w:ascii="Calibri" w:hAnsi="Calibri"/>
            <w:color w:val="231F20"/>
            <w:w w:val="105"/>
            <w:sz w:val="18"/>
          </w:rPr>
          <w:t>6</w:t>
        </w:r>
        <w:r w:rsidR="00EA7458" w:rsidRPr="00EA7458">
          <w:rPr>
            <w:rFonts w:ascii="Calibri" w:hAnsi="Calibri"/>
            <w:color w:val="231F20"/>
            <w:w w:val="105"/>
            <w:sz w:val="18"/>
          </w:rPr>
          <w:t>)</w:t>
        </w:r>
      </w:hyperlink>
    </w:p>
    <w:p w14:paraId="0272B599" w14:textId="77777777" w:rsidR="00EA7458" w:rsidRPr="00EA7458" w:rsidRDefault="00BC1D20" w:rsidP="00EA7458">
      <w:pPr>
        <w:widowControl w:val="0"/>
        <w:spacing w:before="90" w:after="0" w:line="240" w:lineRule="auto"/>
        <w:ind w:left="107"/>
        <w:rPr>
          <w:rFonts w:ascii="Calibri" w:hAnsi="Calibri" w:cs="Calibri"/>
          <w:sz w:val="18"/>
          <w:szCs w:val="18"/>
        </w:rPr>
      </w:pPr>
      <w:hyperlink w:anchor="_bookmark33" w:history="1">
        <w:r w:rsidR="00EA7458" w:rsidRPr="00EA7458">
          <w:rPr>
            <w:rFonts w:ascii="Calibri" w:hAnsi="Calibri"/>
            <w:b/>
            <w:color w:val="231F20"/>
            <w:w w:val="110"/>
            <w:sz w:val="18"/>
          </w:rPr>
          <w:t xml:space="preserve">Figure 2.34 </w:t>
        </w:r>
        <w:r w:rsidR="00EA7458" w:rsidRPr="00EA7458">
          <w:rPr>
            <w:rFonts w:ascii="Calibri" w:hAnsi="Calibri"/>
            <w:color w:val="231F20"/>
            <w:w w:val="110"/>
            <w:sz w:val="18"/>
          </w:rPr>
          <w:t>Analysis of Age Range and Ability to Speak</w:t>
        </w:r>
        <w:r w:rsidR="00EA7458" w:rsidRPr="00EA7458">
          <w:rPr>
            <w:rFonts w:ascii="Calibri" w:hAnsi="Calibri"/>
            <w:color w:val="231F20"/>
            <w:spacing w:val="6"/>
            <w:w w:val="110"/>
            <w:sz w:val="18"/>
          </w:rPr>
          <w:t xml:space="preserve"> </w:t>
        </w:r>
        <w:r w:rsidR="00EA7458" w:rsidRPr="00EA7458">
          <w:rPr>
            <w:rFonts w:ascii="Calibri" w:hAnsi="Calibri"/>
            <w:color w:val="231F20"/>
            <w:w w:val="110"/>
            <w:sz w:val="18"/>
          </w:rPr>
          <w:t>English</w:t>
        </w:r>
      </w:hyperlink>
    </w:p>
    <w:p w14:paraId="05AD5B65" w14:textId="77777777" w:rsidR="00EA7458" w:rsidRPr="00EA7458" w:rsidRDefault="00BC1D20" w:rsidP="00EA7458">
      <w:pPr>
        <w:widowControl w:val="0"/>
        <w:spacing w:before="110" w:after="0" w:line="261" w:lineRule="auto"/>
        <w:ind w:left="107" w:right="783"/>
        <w:rPr>
          <w:rFonts w:ascii="Calibri" w:hAnsi="Calibri" w:cs="Calibri"/>
          <w:sz w:val="18"/>
          <w:szCs w:val="18"/>
        </w:rPr>
      </w:pPr>
      <w:hyperlink w:anchor="_bookmark34" w:history="1">
        <w:r w:rsidR="00EA7458" w:rsidRPr="00EA7458">
          <w:rPr>
            <w:rFonts w:ascii="Calibri" w:hAnsi="Calibri"/>
            <w:b/>
            <w:color w:val="231F20"/>
            <w:w w:val="110"/>
            <w:sz w:val="18"/>
          </w:rPr>
          <w:t>Figure</w:t>
        </w:r>
        <w:r w:rsidR="00EA7458" w:rsidRPr="00EA7458">
          <w:rPr>
            <w:rFonts w:ascii="Calibri" w:hAnsi="Calibri"/>
            <w:b/>
            <w:color w:val="231F20"/>
            <w:spacing w:val="-19"/>
            <w:w w:val="110"/>
            <w:sz w:val="18"/>
          </w:rPr>
          <w:t xml:space="preserve"> </w:t>
        </w:r>
        <w:r w:rsidR="00EA7458" w:rsidRPr="00EA7458">
          <w:rPr>
            <w:rFonts w:ascii="Calibri" w:hAnsi="Calibri"/>
            <w:b/>
            <w:color w:val="231F20"/>
            <w:w w:val="110"/>
            <w:sz w:val="18"/>
          </w:rPr>
          <w:t>2.35</w:t>
        </w:r>
        <w:r w:rsidR="00EA7458" w:rsidRPr="00EA7458">
          <w:rPr>
            <w:rFonts w:ascii="Calibri" w:hAnsi="Calibri"/>
            <w:b/>
            <w:color w:val="231F20"/>
            <w:spacing w:val="-19"/>
            <w:w w:val="110"/>
            <w:sz w:val="18"/>
          </w:rPr>
          <w:t xml:space="preserve"> </w:t>
        </w:r>
        <w:r w:rsidR="00EA7458" w:rsidRPr="00EA7458">
          <w:rPr>
            <w:rFonts w:ascii="Calibri" w:hAnsi="Calibri"/>
            <w:color w:val="231F20"/>
            <w:w w:val="110"/>
            <w:sz w:val="18"/>
          </w:rPr>
          <w:t>Educational</w:t>
        </w:r>
        <w:r w:rsidR="00EA7458" w:rsidRPr="00EA7458">
          <w:rPr>
            <w:rFonts w:ascii="Calibri" w:hAnsi="Calibri"/>
            <w:color w:val="231F20"/>
            <w:spacing w:val="-19"/>
            <w:w w:val="110"/>
            <w:sz w:val="18"/>
          </w:rPr>
          <w:t xml:space="preserve"> </w:t>
        </w:r>
        <w:r w:rsidR="00EA7458" w:rsidRPr="00EA7458">
          <w:rPr>
            <w:rFonts w:ascii="Calibri" w:hAnsi="Calibri"/>
            <w:color w:val="231F20"/>
            <w:w w:val="110"/>
            <w:sz w:val="18"/>
          </w:rPr>
          <w:t>Attainment</w:t>
        </w:r>
        <w:r w:rsidR="00EA7458" w:rsidRPr="00EA7458">
          <w:rPr>
            <w:rFonts w:ascii="Calibri" w:hAnsi="Calibri"/>
            <w:color w:val="231F20"/>
            <w:spacing w:val="-19"/>
            <w:w w:val="110"/>
            <w:sz w:val="18"/>
          </w:rPr>
          <w:t xml:space="preserve"> </w:t>
        </w:r>
        <w:r w:rsidR="00EA7458" w:rsidRPr="00EA7458">
          <w:rPr>
            <w:rFonts w:ascii="Calibri" w:hAnsi="Calibri"/>
            <w:color w:val="231F20"/>
            <w:w w:val="110"/>
            <w:sz w:val="18"/>
          </w:rPr>
          <w:t>and</w:t>
        </w:r>
        <w:r w:rsidR="00EA7458" w:rsidRPr="00EA7458">
          <w:rPr>
            <w:rFonts w:ascii="Calibri" w:hAnsi="Calibri"/>
            <w:color w:val="231F20"/>
            <w:spacing w:val="-19"/>
            <w:w w:val="110"/>
            <w:sz w:val="18"/>
          </w:rPr>
          <w:t xml:space="preserve"> </w:t>
        </w:r>
        <w:r w:rsidR="00EA7458" w:rsidRPr="00EA7458">
          <w:rPr>
            <w:rFonts w:ascii="Calibri" w:hAnsi="Calibri"/>
            <w:color w:val="231F20"/>
            <w:w w:val="110"/>
            <w:sz w:val="18"/>
          </w:rPr>
          <w:t>Ability</w:t>
        </w:r>
        <w:r w:rsidR="00EA7458" w:rsidRPr="00EA7458">
          <w:rPr>
            <w:rFonts w:ascii="Calibri" w:hAnsi="Calibri"/>
            <w:color w:val="231F20"/>
            <w:spacing w:val="-19"/>
            <w:w w:val="110"/>
            <w:sz w:val="18"/>
          </w:rPr>
          <w:t xml:space="preserve"> </w:t>
        </w:r>
        <w:r w:rsidR="00EA7458" w:rsidRPr="00EA7458">
          <w:rPr>
            <w:rFonts w:ascii="Calibri" w:hAnsi="Calibri"/>
            <w:color w:val="231F20"/>
            <w:w w:val="110"/>
            <w:sz w:val="18"/>
          </w:rPr>
          <w:t>to</w:t>
        </w:r>
      </w:hyperlink>
      <w:r w:rsidR="00EA7458" w:rsidRPr="00EA7458">
        <w:rPr>
          <w:rFonts w:ascii="Calibri" w:hAnsi="Calibri"/>
          <w:color w:val="231F20"/>
          <w:sz w:val="18"/>
        </w:rPr>
        <w:t xml:space="preserve"> </w:t>
      </w:r>
      <w:hyperlink w:anchor="_bookmark34" w:history="1">
        <w:r w:rsidR="00EA7458" w:rsidRPr="00EA7458">
          <w:rPr>
            <w:rFonts w:ascii="Calibri" w:hAnsi="Calibri"/>
            <w:color w:val="231F20"/>
            <w:w w:val="110"/>
            <w:sz w:val="18"/>
          </w:rPr>
          <w:t>Speak</w:t>
        </w:r>
        <w:r w:rsidR="00EA7458" w:rsidRPr="00EA7458">
          <w:rPr>
            <w:rFonts w:ascii="Calibri" w:hAnsi="Calibri"/>
            <w:color w:val="231F20"/>
            <w:spacing w:val="22"/>
            <w:w w:val="110"/>
            <w:sz w:val="18"/>
          </w:rPr>
          <w:t xml:space="preserve"> </w:t>
        </w:r>
        <w:r w:rsidR="00EA7458" w:rsidRPr="00EA7458">
          <w:rPr>
            <w:rFonts w:ascii="Calibri" w:hAnsi="Calibri"/>
            <w:color w:val="231F20"/>
            <w:w w:val="110"/>
            <w:sz w:val="18"/>
          </w:rPr>
          <w:t>English</w:t>
        </w:r>
      </w:hyperlink>
    </w:p>
    <w:p w14:paraId="6697D6A2" w14:textId="77777777" w:rsidR="00EA7458" w:rsidRPr="00EA7458" w:rsidRDefault="00EA7458" w:rsidP="00EA7458">
      <w:pPr>
        <w:widowControl w:val="0"/>
        <w:spacing w:after="0" w:line="261" w:lineRule="auto"/>
        <w:rPr>
          <w:rFonts w:ascii="Calibri" w:hAnsi="Calibri" w:cs="Calibri"/>
          <w:sz w:val="18"/>
          <w:szCs w:val="18"/>
        </w:rPr>
        <w:sectPr w:rsidR="00EA7458" w:rsidRPr="00EA7458">
          <w:type w:val="continuous"/>
          <w:pgSz w:w="12240" w:h="15840"/>
          <w:pgMar w:top="1500" w:right="900" w:bottom="280" w:left="900" w:header="720" w:footer="720" w:gutter="0"/>
          <w:cols w:num="2" w:space="720" w:equalWidth="0">
            <w:col w:w="5100" w:space="132"/>
            <w:col w:w="5208"/>
          </w:cols>
        </w:sectPr>
      </w:pPr>
    </w:p>
    <w:p w14:paraId="6A11E460" w14:textId="77777777" w:rsidR="00EA7458" w:rsidRPr="00EA7458" w:rsidRDefault="00EA7458" w:rsidP="00EA7458">
      <w:pPr>
        <w:widowControl w:val="0"/>
        <w:spacing w:before="8" w:after="0" w:line="240" w:lineRule="auto"/>
        <w:rPr>
          <w:rFonts w:ascii="Calibri" w:hAnsi="Calibri" w:cs="Calibri"/>
          <w:sz w:val="14"/>
          <w:szCs w:val="14"/>
        </w:rPr>
      </w:pPr>
    </w:p>
    <w:p w14:paraId="4B731822" w14:textId="3329CE28" w:rsidR="00EA7458" w:rsidRPr="00EA7458" w:rsidRDefault="00924AC3" w:rsidP="0B52496C">
      <w:pPr>
        <w:widowControl w:val="0"/>
        <w:tabs>
          <w:tab w:val="left" w:pos="9162"/>
        </w:tabs>
        <w:spacing w:before="30" w:after="0" w:line="240" w:lineRule="auto"/>
        <w:ind w:left="107"/>
        <w:rPr>
          <w:rFonts w:ascii="Calibri" w:hAnsi="Calibri" w:cs="Calibri"/>
          <w:sz w:val="24"/>
          <w:szCs w:val="24"/>
        </w:rPr>
      </w:pPr>
      <w:r>
        <w:rPr>
          <w:noProof/>
        </w:rPr>
        <mc:AlternateContent>
          <mc:Choice Requires="wpg">
            <w:drawing>
              <wp:anchor distT="0" distB="0" distL="114300" distR="114300" simplePos="0" relativeHeight="251658241" behindDoc="1" locked="0" layoutInCell="1" allowOverlap="1" wp14:anchorId="0F4ABA69" wp14:editId="7A3954E0">
                <wp:simplePos x="0" y="0"/>
                <wp:positionH relativeFrom="page">
                  <wp:posOffset>640080</wp:posOffset>
                </wp:positionH>
                <wp:positionV relativeFrom="paragraph">
                  <wp:posOffset>276860</wp:posOffset>
                </wp:positionV>
                <wp:extent cx="6492240" cy="1270"/>
                <wp:effectExtent l="0" t="0" r="0" b="0"/>
                <wp:wrapNone/>
                <wp:docPr id="151" name="Group 1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92240" cy="1270"/>
                          <a:chOff x="1008" y="436"/>
                          <a:chExt cx="10224" cy="2"/>
                        </a:xfrm>
                      </wpg:grpSpPr>
                      <wps:wsp>
                        <wps:cNvPr id="152" name="Freeform 183"/>
                        <wps:cNvSpPr>
                          <a:spLocks/>
                        </wps:cNvSpPr>
                        <wps:spPr bwMode="auto">
                          <a:xfrm>
                            <a:off x="1008" y="436"/>
                            <a:ext cx="10224" cy="2"/>
                          </a:xfrm>
                          <a:custGeom>
                            <a:avLst/>
                            <a:gdLst>
                              <a:gd name="T0" fmla="+- 0 1008 1008"/>
                              <a:gd name="T1" fmla="*/ T0 w 10224"/>
                              <a:gd name="T2" fmla="+- 0 11232 1008"/>
                              <a:gd name="T3" fmla="*/ T2 w 10224"/>
                            </a:gdLst>
                            <a:ahLst/>
                            <a:cxnLst>
                              <a:cxn ang="0">
                                <a:pos x="T1" y="0"/>
                              </a:cxn>
                              <a:cxn ang="0">
                                <a:pos x="T3" y="0"/>
                              </a:cxn>
                            </a:cxnLst>
                            <a:rect l="0" t="0" r="r" b="b"/>
                            <a:pathLst>
                              <a:path w="10224">
                                <a:moveTo>
                                  <a:pt x="0" y="0"/>
                                </a:moveTo>
                                <a:lnTo>
                                  <a:pt x="10224" y="0"/>
                                </a:lnTo>
                              </a:path>
                            </a:pathLst>
                          </a:custGeom>
                          <a:noFill/>
                          <a:ln w="317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D87B213" id="Group 151" o:spid="_x0000_s1026" style="position:absolute;margin-left:50.4pt;margin-top:21.8pt;width:511.2pt;height:.1pt;z-index:-251658239;mso-position-horizontal-relative:page" coordorigin="1008,436" coordsize="1022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">
                <v:shape id="Freeform 183" o:spid="_x0000_s1027" style="position:absolute;left:1008;top:436;width:10224;height:2;visibility:visible;mso-wrap-style:square;v-text-anchor:top" coordsize="1022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" path="m,l10224,e" filled="f" strokecolor="#231f20" strokeweight=".25pt">
                  <v:path arrowok="t" o:connecttype="custom" o:connectlocs="0,0;10224,0" o:connectangles="0,0"/>
                </v:shape>
                <w10:wrap anchorx="page"/>
              </v:group>
            </w:pict>
          </mc:Fallback>
        </mc:AlternateContent>
      </w:r>
      <w:r w:rsidR="00983FA7" w:rsidRPr="0B52496C">
        <w:rPr>
          <w:rFonts w:ascii="Calibri" w:hAnsi="Calibri"/>
          <w:b/>
          <w:bCs/>
          <w:color w:val="295CA3"/>
          <w:w w:val="110"/>
          <w:sz w:val="36"/>
          <w:szCs w:val="36"/>
        </w:rPr>
        <w:t xml:space="preserve">FIGURE </w:t>
      </w:r>
      <w:r w:rsidR="00983FA7" w:rsidRPr="0B52496C">
        <w:rPr>
          <w:rFonts w:ascii="Calibri" w:hAnsi="Calibri"/>
          <w:b/>
          <w:bCs/>
          <w:color w:val="295CA3"/>
          <w:spacing w:val="8"/>
          <w:w w:val="110"/>
          <w:sz w:val="36"/>
          <w:szCs w:val="36"/>
        </w:rPr>
        <w:t>INDEX</w:t>
      </w:r>
      <w:r w:rsidR="00EA7458" w:rsidRPr="00EA7458">
        <w:rPr>
          <w:rFonts w:ascii="Calibri" w:hAnsi="Calibri"/>
          <w:b/>
          <w:color w:val="295CA3"/>
          <w:w w:val="110"/>
          <w:sz w:val="36"/>
        </w:rPr>
        <w:tab/>
      </w:r>
      <w:r w:rsidR="00EA7458" w:rsidRPr="0B52496C">
        <w:rPr>
          <w:rFonts w:ascii="Calibri" w:hAnsi="Calibri"/>
          <w:color w:val="231F20"/>
          <w:w w:val="105"/>
          <w:sz w:val="24"/>
          <w:szCs w:val="24"/>
        </w:rPr>
        <w:t>(continued)</w:t>
      </w:r>
    </w:p>
    <w:p w14:paraId="1971A15A" w14:textId="77777777" w:rsidR="00EA7458" w:rsidRPr="00EA7458" w:rsidRDefault="00EA7458" w:rsidP="00EA7458">
      <w:pPr>
        <w:widowControl w:val="0"/>
        <w:spacing w:after="0" w:line="240" w:lineRule="auto"/>
        <w:rPr>
          <w:rFonts w:ascii="Calibri" w:hAnsi="Calibri" w:cs="Calibri"/>
          <w:sz w:val="24"/>
          <w:szCs w:val="24"/>
        </w:rPr>
        <w:sectPr w:rsidR="00EA7458" w:rsidRPr="00EA7458">
          <w:footerReference w:type="default" r:id="rId59"/>
          <w:pgSz w:w="12240" w:h="15840"/>
          <w:pgMar w:top="1620" w:right="900" w:bottom="820" w:left="900" w:header="812" w:footer="624" w:gutter="0"/>
          <w:cols w:space="720"/>
        </w:sectPr>
      </w:pPr>
    </w:p>
    <w:p w14:paraId="3747BABC" w14:textId="77777777" w:rsidR="00EA7458" w:rsidRPr="00EA7458" w:rsidRDefault="00EA7458" w:rsidP="00EA7458">
      <w:pPr>
        <w:widowControl w:val="0"/>
        <w:tabs>
          <w:tab w:val="left" w:pos="5099"/>
        </w:tabs>
        <w:spacing w:before="119" w:after="0" w:line="240" w:lineRule="auto"/>
        <w:ind w:left="107"/>
        <w:rPr>
          <w:rFonts w:ascii="Calibri" w:hAnsi="Calibri" w:cs="Calibri"/>
          <w:sz w:val="18"/>
          <w:szCs w:val="18"/>
        </w:rPr>
      </w:pPr>
      <w:r w:rsidRPr="00EA7458">
        <w:rPr>
          <w:rFonts w:ascii="Calibri" w:hAnsi="Calibri"/>
          <w:b/>
          <w:color w:val="231F20"/>
          <w:w w:val="110"/>
          <w:sz w:val="18"/>
          <w:u w:val="single" w:color="231F20"/>
        </w:rPr>
        <w:t>Section</w:t>
      </w:r>
      <w:r w:rsidRPr="00EA7458">
        <w:rPr>
          <w:rFonts w:ascii="Calibri" w:hAnsi="Calibri"/>
          <w:b/>
          <w:color w:val="231F20"/>
          <w:spacing w:val="-5"/>
          <w:w w:val="110"/>
          <w:sz w:val="18"/>
          <w:u w:val="single" w:color="231F20"/>
        </w:rPr>
        <w:t xml:space="preserve"> </w:t>
      </w:r>
      <w:r w:rsidRPr="00EA7458">
        <w:rPr>
          <w:rFonts w:ascii="Calibri" w:hAnsi="Calibri"/>
          <w:b/>
          <w:color w:val="231F20"/>
          <w:w w:val="110"/>
          <w:sz w:val="18"/>
          <w:u w:val="single" w:color="231F20"/>
        </w:rPr>
        <w:t>III</w:t>
      </w:r>
      <w:r w:rsidRPr="00EA7458">
        <w:rPr>
          <w:rFonts w:ascii="Calibri" w:hAnsi="Calibri"/>
          <w:b/>
          <w:color w:val="231F20"/>
          <w:w w:val="113"/>
          <w:sz w:val="18"/>
          <w:u w:val="single" w:color="231F20"/>
        </w:rPr>
        <w:t xml:space="preserve"> </w:t>
      </w:r>
      <w:r w:rsidRPr="00EA7458">
        <w:rPr>
          <w:rFonts w:ascii="Calibri" w:hAnsi="Calibri"/>
          <w:b/>
          <w:color w:val="231F20"/>
          <w:sz w:val="18"/>
          <w:u w:val="single" w:color="231F20"/>
        </w:rPr>
        <w:tab/>
      </w:r>
    </w:p>
    <w:p w14:paraId="55D38B3F" w14:textId="028B47BD" w:rsidR="00EA7458" w:rsidRPr="00EA7458" w:rsidRDefault="00BC1D20" w:rsidP="00EA7458">
      <w:pPr>
        <w:widowControl w:val="0"/>
        <w:spacing w:before="110" w:after="0" w:line="240" w:lineRule="auto"/>
        <w:ind w:left="107"/>
        <w:rPr>
          <w:rFonts w:ascii="Calibri" w:hAnsi="Calibri" w:cs="Calibri"/>
          <w:sz w:val="18"/>
          <w:szCs w:val="18"/>
        </w:rPr>
      </w:pPr>
      <w:hyperlink w:anchor="_bookmark38" w:history="1">
        <w:r w:rsidR="00EA7458" w:rsidRPr="00EA7458">
          <w:rPr>
            <w:rFonts w:ascii="Calibri" w:hAnsi="Calibri"/>
            <w:b/>
            <w:color w:val="231F20"/>
            <w:w w:val="110"/>
            <w:sz w:val="18"/>
          </w:rPr>
          <w:t>Figure</w:t>
        </w:r>
        <w:r w:rsidR="00EA7458" w:rsidRPr="00EA7458">
          <w:rPr>
            <w:rFonts w:ascii="Calibri" w:hAnsi="Calibri"/>
            <w:b/>
            <w:color w:val="231F20"/>
            <w:spacing w:val="-7"/>
            <w:w w:val="110"/>
            <w:sz w:val="18"/>
          </w:rPr>
          <w:t xml:space="preserve"> </w:t>
        </w:r>
        <w:r w:rsidR="00EA7458" w:rsidRPr="00EA7458">
          <w:rPr>
            <w:rFonts w:ascii="Calibri" w:hAnsi="Calibri"/>
            <w:b/>
            <w:color w:val="231F20"/>
            <w:w w:val="110"/>
            <w:sz w:val="18"/>
          </w:rPr>
          <w:t>3.01</w:t>
        </w:r>
      </w:hyperlink>
      <w:r w:rsidR="00EA7458" w:rsidRPr="00EA7458">
        <w:rPr>
          <w:rFonts w:ascii="Calibri" w:hAnsi="Calibri"/>
          <w:b/>
          <w:color w:val="231F20"/>
          <w:spacing w:val="-7"/>
          <w:w w:val="110"/>
          <w:sz w:val="18"/>
        </w:rPr>
        <w:t xml:space="preserve"> </w:t>
      </w:r>
      <w:r w:rsidR="00EA7458" w:rsidRPr="00EA7458">
        <w:rPr>
          <w:rFonts w:ascii="Calibri" w:hAnsi="Calibri"/>
          <w:color w:val="231F20"/>
          <w:w w:val="110"/>
          <w:sz w:val="18"/>
        </w:rPr>
        <w:t>CareerSource</w:t>
      </w:r>
      <w:r w:rsidR="00EA7458" w:rsidRPr="00EA7458">
        <w:rPr>
          <w:rFonts w:ascii="Calibri" w:hAnsi="Calibri"/>
          <w:color w:val="231F20"/>
          <w:spacing w:val="-7"/>
          <w:w w:val="110"/>
          <w:sz w:val="18"/>
        </w:rPr>
        <w:t xml:space="preserve"> </w:t>
      </w:r>
      <w:r w:rsidR="00EA7458" w:rsidRPr="00EA7458">
        <w:rPr>
          <w:rFonts w:ascii="Calibri" w:hAnsi="Calibri"/>
          <w:color w:val="231F20"/>
          <w:w w:val="110"/>
          <w:sz w:val="18"/>
        </w:rPr>
        <w:t>Florida</w:t>
      </w:r>
      <w:r w:rsidR="00EA7458" w:rsidRPr="00EA7458">
        <w:rPr>
          <w:rFonts w:ascii="Calibri" w:hAnsi="Calibri"/>
          <w:color w:val="231F20"/>
          <w:spacing w:val="-7"/>
          <w:w w:val="110"/>
          <w:sz w:val="18"/>
        </w:rPr>
        <w:t xml:space="preserve"> </w:t>
      </w:r>
      <w:r w:rsidR="00EA7458" w:rsidRPr="00EA7458">
        <w:rPr>
          <w:rFonts w:ascii="Calibri" w:hAnsi="Calibri"/>
          <w:color w:val="231F20"/>
          <w:w w:val="110"/>
          <w:sz w:val="18"/>
        </w:rPr>
        <w:t>Board</w:t>
      </w:r>
      <w:r w:rsidR="00EA7458" w:rsidRPr="00EA7458">
        <w:rPr>
          <w:rFonts w:ascii="Calibri" w:hAnsi="Calibri"/>
          <w:color w:val="231F20"/>
          <w:spacing w:val="-7"/>
          <w:w w:val="110"/>
          <w:sz w:val="18"/>
        </w:rPr>
        <w:t xml:space="preserve"> </w:t>
      </w:r>
      <w:r w:rsidR="00EA7458" w:rsidRPr="00EA7458">
        <w:rPr>
          <w:rFonts w:ascii="Calibri" w:hAnsi="Calibri"/>
          <w:color w:val="231F20"/>
          <w:w w:val="110"/>
          <w:sz w:val="18"/>
        </w:rPr>
        <w:t>Governance</w:t>
      </w:r>
    </w:p>
    <w:p w14:paraId="2DDC3245" w14:textId="183EF4E4" w:rsidR="008B5C34" w:rsidRDefault="00633F73" w:rsidP="00EA7458">
      <w:pPr>
        <w:widowControl w:val="0"/>
        <w:spacing w:before="110" w:after="0" w:line="261" w:lineRule="auto"/>
        <w:ind w:left="107"/>
        <w:rPr>
          <w:rFonts w:ascii="Calibri" w:hAnsi="Calibri"/>
          <w:b/>
          <w:color w:val="231F20"/>
          <w:spacing w:val="15"/>
          <w:w w:val="105"/>
          <w:sz w:val="18"/>
        </w:rPr>
      </w:pPr>
      <w:r>
        <w:fldChar w:fldCharType="begin"/>
      </w:r>
      <w:r>
        <w:instrText xml:space="preserve"> HYPERLINK \l "_bookmark40" </w:instrText>
      </w:r>
      <w:r>
        <w:fldChar w:fldCharType="separate"/>
      </w:r>
      <w:r w:rsidR="00EA7458" w:rsidRPr="00EA7458">
        <w:rPr>
          <w:rFonts w:ascii="Calibri" w:hAnsi="Calibri"/>
          <w:b/>
          <w:color w:val="231F20"/>
          <w:w w:val="105"/>
          <w:sz w:val="18"/>
        </w:rPr>
        <w:t>Figure</w:t>
      </w:r>
      <w:r w:rsidR="00EA7458" w:rsidRPr="00EA7458">
        <w:rPr>
          <w:rFonts w:ascii="Calibri" w:hAnsi="Calibri"/>
          <w:b/>
          <w:color w:val="231F20"/>
          <w:spacing w:val="15"/>
          <w:w w:val="105"/>
          <w:sz w:val="18"/>
        </w:rPr>
        <w:t xml:space="preserve"> </w:t>
      </w:r>
      <w:r w:rsidR="00EA7458" w:rsidRPr="00EA7458">
        <w:rPr>
          <w:rFonts w:ascii="Calibri" w:hAnsi="Calibri"/>
          <w:b/>
          <w:color w:val="231F20"/>
          <w:w w:val="105"/>
          <w:sz w:val="18"/>
        </w:rPr>
        <w:t>3.02</w:t>
      </w:r>
      <w:r w:rsidR="008B5C34">
        <w:rPr>
          <w:rFonts w:ascii="Calibri" w:hAnsi="Calibri"/>
          <w:b/>
          <w:color w:val="231F20"/>
          <w:spacing w:val="15"/>
          <w:w w:val="105"/>
          <w:sz w:val="18"/>
        </w:rPr>
        <w:t xml:space="preserve"> </w:t>
      </w:r>
      <w:r w:rsidR="008B5C34" w:rsidRPr="008B5C34">
        <w:rPr>
          <w:rFonts w:cstheme="minorHAnsi"/>
          <w:color w:val="231F20"/>
          <w:w w:val="105"/>
          <w:sz w:val="18"/>
          <w:szCs w:val="18"/>
        </w:rPr>
        <w:t>Youth Offenders Placed in Paid Work Experience</w:t>
      </w:r>
    </w:p>
    <w:p w14:paraId="2F91DEA2" w14:textId="0ED8BE3C" w:rsidR="00EA7458" w:rsidRPr="00EA7458" w:rsidRDefault="008B5C34" w:rsidP="00EA7458">
      <w:pPr>
        <w:widowControl w:val="0"/>
        <w:spacing w:before="110" w:after="0" w:line="261" w:lineRule="auto"/>
        <w:ind w:left="107"/>
        <w:rPr>
          <w:rFonts w:ascii="Calibri" w:hAnsi="Calibri" w:cs="Calibri"/>
          <w:sz w:val="18"/>
          <w:szCs w:val="18"/>
        </w:rPr>
      </w:pPr>
      <w:r w:rsidRPr="008B5C34">
        <w:rPr>
          <w:rFonts w:ascii="Calibri" w:hAnsi="Calibri"/>
          <w:b/>
          <w:color w:val="231F20"/>
          <w:w w:val="105"/>
          <w:sz w:val="18"/>
        </w:rPr>
        <w:t>Figure 3.03</w:t>
      </w:r>
      <w:r>
        <w:rPr>
          <w:rFonts w:ascii="Calibri" w:hAnsi="Calibri"/>
          <w:color w:val="231F20"/>
          <w:w w:val="105"/>
          <w:sz w:val="18"/>
        </w:rPr>
        <w:t xml:space="preserve"> </w:t>
      </w:r>
      <w:r w:rsidR="00EA7458" w:rsidRPr="00EA7458">
        <w:rPr>
          <w:rFonts w:ascii="Calibri" w:hAnsi="Calibri"/>
          <w:color w:val="231F20"/>
          <w:w w:val="105"/>
          <w:sz w:val="18"/>
        </w:rPr>
        <w:t>Florida</w:t>
      </w:r>
      <w:r w:rsidR="00EA7458" w:rsidRPr="00EA7458">
        <w:rPr>
          <w:rFonts w:ascii="Calibri" w:hAnsi="Calibri"/>
          <w:color w:val="231F20"/>
          <w:spacing w:val="15"/>
          <w:w w:val="105"/>
          <w:sz w:val="18"/>
        </w:rPr>
        <w:t xml:space="preserve"> </w:t>
      </w:r>
      <w:r w:rsidR="00EA7458" w:rsidRPr="00EA7458">
        <w:rPr>
          <w:rFonts w:ascii="Calibri" w:hAnsi="Calibri"/>
          <w:color w:val="231F20"/>
          <w:w w:val="105"/>
          <w:sz w:val="18"/>
        </w:rPr>
        <w:t>Department</w:t>
      </w:r>
      <w:r w:rsidR="00EA7458" w:rsidRPr="00EA7458">
        <w:rPr>
          <w:rFonts w:ascii="Calibri" w:hAnsi="Calibri"/>
          <w:color w:val="231F20"/>
          <w:spacing w:val="15"/>
          <w:w w:val="105"/>
          <w:sz w:val="18"/>
        </w:rPr>
        <w:t xml:space="preserve"> </w:t>
      </w:r>
      <w:r w:rsidR="00EA7458" w:rsidRPr="00EA7458">
        <w:rPr>
          <w:rFonts w:ascii="Calibri" w:hAnsi="Calibri"/>
          <w:color w:val="231F20"/>
          <w:w w:val="105"/>
          <w:sz w:val="18"/>
        </w:rPr>
        <w:t>of</w:t>
      </w:r>
      <w:r w:rsidR="00EA7458" w:rsidRPr="00EA7458">
        <w:rPr>
          <w:rFonts w:ascii="Calibri" w:hAnsi="Calibri"/>
          <w:color w:val="231F20"/>
          <w:spacing w:val="15"/>
          <w:w w:val="105"/>
          <w:sz w:val="18"/>
        </w:rPr>
        <w:t xml:space="preserve"> </w:t>
      </w:r>
      <w:r w:rsidR="00EA7458" w:rsidRPr="00EA7458">
        <w:rPr>
          <w:rFonts w:ascii="Calibri" w:hAnsi="Calibri"/>
          <w:color w:val="231F20"/>
          <w:w w:val="105"/>
          <w:sz w:val="18"/>
        </w:rPr>
        <w:t>Economic</w:t>
      </w:r>
      <w:r w:rsidR="00EA7458" w:rsidRPr="00EA7458">
        <w:rPr>
          <w:rFonts w:ascii="Calibri" w:hAnsi="Calibri"/>
          <w:color w:val="231F20"/>
          <w:spacing w:val="15"/>
          <w:w w:val="105"/>
          <w:sz w:val="18"/>
        </w:rPr>
        <w:t xml:space="preserve"> </w:t>
      </w:r>
      <w:r w:rsidR="00EA7458" w:rsidRPr="00EA7458">
        <w:rPr>
          <w:rFonts w:ascii="Calibri" w:hAnsi="Calibri"/>
          <w:color w:val="231F20"/>
          <w:w w:val="105"/>
          <w:sz w:val="18"/>
        </w:rPr>
        <w:t>Opportunity</w:t>
      </w:r>
      <w:r w:rsidR="00633F73">
        <w:rPr>
          <w:rFonts w:ascii="Calibri" w:hAnsi="Calibri"/>
          <w:color w:val="231F20"/>
          <w:w w:val="105"/>
          <w:sz w:val="18"/>
        </w:rPr>
        <w:fldChar w:fldCharType="end"/>
      </w:r>
      <w:r w:rsidR="00EA7458" w:rsidRPr="00EA7458">
        <w:rPr>
          <w:rFonts w:ascii="Calibri" w:hAnsi="Calibri"/>
          <w:color w:val="231F20"/>
          <w:spacing w:val="-41"/>
          <w:w w:val="105"/>
          <w:sz w:val="18"/>
        </w:rPr>
        <w:t xml:space="preserve"> </w:t>
      </w:r>
      <w:hyperlink w:anchor="_bookmark40" w:history="1">
        <w:r w:rsidR="00EA7458" w:rsidRPr="00EA7458">
          <w:rPr>
            <w:rFonts w:ascii="Calibri" w:hAnsi="Calibri"/>
            <w:color w:val="231F20"/>
            <w:w w:val="105"/>
            <w:sz w:val="18"/>
          </w:rPr>
          <w:t>Organizational</w:t>
        </w:r>
        <w:r w:rsidR="00EA7458" w:rsidRPr="00EA7458">
          <w:rPr>
            <w:rFonts w:ascii="Calibri" w:hAnsi="Calibri"/>
            <w:color w:val="231F20"/>
            <w:spacing w:val="39"/>
            <w:w w:val="105"/>
            <w:sz w:val="18"/>
          </w:rPr>
          <w:t xml:space="preserve"> </w:t>
        </w:r>
        <w:r w:rsidR="00EA7458" w:rsidRPr="00EA7458">
          <w:rPr>
            <w:rFonts w:ascii="Calibri" w:hAnsi="Calibri"/>
            <w:color w:val="231F20"/>
            <w:w w:val="105"/>
            <w:sz w:val="18"/>
          </w:rPr>
          <w:t>Chart</w:t>
        </w:r>
      </w:hyperlink>
    </w:p>
    <w:p w14:paraId="0A16B22A" w14:textId="176FD897" w:rsidR="00EA7458" w:rsidRPr="00EA7458" w:rsidRDefault="00BC1D20" w:rsidP="00EA7458">
      <w:pPr>
        <w:widowControl w:val="0"/>
        <w:spacing w:before="90" w:after="0" w:line="240" w:lineRule="auto"/>
        <w:ind w:left="107"/>
        <w:rPr>
          <w:rFonts w:ascii="Calibri" w:hAnsi="Calibri" w:cs="Calibri"/>
          <w:sz w:val="18"/>
          <w:szCs w:val="18"/>
        </w:rPr>
      </w:pPr>
      <w:hyperlink w:anchor="_bookmark41" w:history="1">
        <w:r w:rsidR="00EA7458" w:rsidRPr="00EA7458">
          <w:rPr>
            <w:rFonts w:ascii="Calibri" w:hAnsi="Calibri" w:cs="Calibri"/>
            <w:b/>
            <w:bCs/>
            <w:color w:val="231F20"/>
            <w:w w:val="110"/>
            <w:sz w:val="18"/>
            <w:szCs w:val="18"/>
          </w:rPr>
          <w:t>Figure</w:t>
        </w:r>
        <w:r w:rsidR="00EA7458" w:rsidRPr="00EA7458">
          <w:rPr>
            <w:rFonts w:ascii="Calibri" w:hAnsi="Calibri" w:cs="Calibri"/>
            <w:b/>
            <w:bCs/>
            <w:color w:val="231F20"/>
            <w:spacing w:val="-17"/>
            <w:w w:val="110"/>
            <w:sz w:val="18"/>
            <w:szCs w:val="18"/>
          </w:rPr>
          <w:t xml:space="preserve"> </w:t>
        </w:r>
        <w:r w:rsidR="00EA7458" w:rsidRPr="00EA7458">
          <w:rPr>
            <w:rFonts w:ascii="Calibri" w:hAnsi="Calibri" w:cs="Calibri"/>
            <w:b/>
            <w:bCs/>
            <w:color w:val="231F20"/>
            <w:w w:val="110"/>
            <w:sz w:val="18"/>
            <w:szCs w:val="18"/>
          </w:rPr>
          <w:t>3.0</w:t>
        </w:r>
        <w:r w:rsidR="008B5C34">
          <w:rPr>
            <w:rFonts w:ascii="Calibri" w:hAnsi="Calibri" w:cs="Calibri"/>
            <w:b/>
            <w:bCs/>
            <w:color w:val="231F20"/>
            <w:w w:val="110"/>
            <w:sz w:val="18"/>
            <w:szCs w:val="18"/>
          </w:rPr>
          <w:t>4</w:t>
        </w:r>
        <w:r w:rsidR="00EA7458" w:rsidRPr="00EA7458">
          <w:rPr>
            <w:rFonts w:ascii="Calibri" w:hAnsi="Calibri" w:cs="Calibri"/>
            <w:b/>
            <w:bCs/>
            <w:color w:val="231F20"/>
            <w:spacing w:val="-17"/>
            <w:w w:val="110"/>
            <w:sz w:val="18"/>
            <w:szCs w:val="18"/>
          </w:rPr>
          <w:t xml:space="preserve"> </w:t>
        </w:r>
        <w:r w:rsidR="00EA7458" w:rsidRPr="00EA7458">
          <w:rPr>
            <w:rFonts w:ascii="Calibri" w:hAnsi="Calibri" w:cs="Calibri"/>
            <w:color w:val="231F20"/>
            <w:w w:val="110"/>
            <w:sz w:val="18"/>
            <w:szCs w:val="18"/>
          </w:rPr>
          <w:t>Florida’s</w:t>
        </w:r>
        <w:r w:rsidR="00EA7458" w:rsidRPr="00EA7458">
          <w:rPr>
            <w:rFonts w:ascii="Calibri" w:hAnsi="Calibri" w:cs="Calibri"/>
            <w:color w:val="231F20"/>
            <w:spacing w:val="-17"/>
            <w:w w:val="110"/>
            <w:sz w:val="18"/>
            <w:szCs w:val="18"/>
          </w:rPr>
          <w:t xml:space="preserve"> </w:t>
        </w:r>
        <w:r w:rsidR="00EA7458" w:rsidRPr="00EA7458">
          <w:rPr>
            <w:rFonts w:ascii="Calibri" w:hAnsi="Calibri" w:cs="Calibri"/>
            <w:color w:val="231F20"/>
            <w:w w:val="110"/>
            <w:sz w:val="18"/>
            <w:szCs w:val="18"/>
          </w:rPr>
          <w:t>Workforce</w:t>
        </w:r>
        <w:r w:rsidR="00EA7458" w:rsidRPr="00EA7458">
          <w:rPr>
            <w:rFonts w:ascii="Calibri" w:hAnsi="Calibri" w:cs="Calibri"/>
            <w:color w:val="231F20"/>
            <w:spacing w:val="-17"/>
            <w:w w:val="110"/>
            <w:sz w:val="18"/>
            <w:szCs w:val="18"/>
          </w:rPr>
          <w:t xml:space="preserve"> </w:t>
        </w:r>
        <w:r w:rsidR="00EA7458" w:rsidRPr="00EA7458">
          <w:rPr>
            <w:rFonts w:ascii="Calibri" w:hAnsi="Calibri" w:cs="Calibri"/>
            <w:color w:val="231F20"/>
            <w:w w:val="110"/>
            <w:sz w:val="18"/>
            <w:szCs w:val="18"/>
          </w:rPr>
          <w:t>System</w:t>
        </w:r>
        <w:r w:rsidR="00EA7458" w:rsidRPr="00EA7458">
          <w:rPr>
            <w:rFonts w:ascii="Calibri" w:hAnsi="Calibri" w:cs="Calibri"/>
            <w:color w:val="231F20"/>
            <w:spacing w:val="-17"/>
            <w:w w:val="110"/>
            <w:sz w:val="18"/>
            <w:szCs w:val="18"/>
          </w:rPr>
          <w:t xml:space="preserve"> </w:t>
        </w:r>
        <w:r w:rsidR="00EA7458" w:rsidRPr="00EA7458">
          <w:rPr>
            <w:rFonts w:ascii="Calibri" w:hAnsi="Calibri" w:cs="Calibri"/>
            <w:color w:val="231F20"/>
            <w:w w:val="110"/>
            <w:sz w:val="18"/>
            <w:szCs w:val="18"/>
          </w:rPr>
          <w:t>Organization</w:t>
        </w:r>
      </w:hyperlink>
    </w:p>
    <w:p w14:paraId="23BDA969" w14:textId="56CC6942" w:rsidR="00EA7458" w:rsidRPr="00EA7458" w:rsidRDefault="00BC1D20" w:rsidP="00EA7458">
      <w:pPr>
        <w:widowControl w:val="0"/>
        <w:spacing w:before="110" w:after="0" w:line="261" w:lineRule="auto"/>
        <w:ind w:left="107" w:right="893"/>
        <w:rPr>
          <w:rFonts w:ascii="Calibri" w:hAnsi="Calibri" w:cs="Calibri"/>
          <w:sz w:val="18"/>
          <w:szCs w:val="18"/>
        </w:rPr>
      </w:pPr>
      <w:hyperlink w:anchor="_bookmark42" w:history="1">
        <w:r w:rsidR="00EA7458" w:rsidRPr="00EA7458">
          <w:rPr>
            <w:rFonts w:ascii="Calibri" w:hAnsi="Calibri"/>
            <w:b/>
            <w:color w:val="231F20"/>
            <w:w w:val="110"/>
            <w:sz w:val="18"/>
          </w:rPr>
          <w:t>Figure</w:t>
        </w:r>
        <w:r w:rsidR="00EA7458" w:rsidRPr="00EA7458">
          <w:rPr>
            <w:rFonts w:ascii="Calibri" w:hAnsi="Calibri"/>
            <w:b/>
            <w:color w:val="231F20"/>
            <w:spacing w:val="-15"/>
            <w:w w:val="110"/>
            <w:sz w:val="18"/>
          </w:rPr>
          <w:t xml:space="preserve"> </w:t>
        </w:r>
        <w:r w:rsidR="00EA7458" w:rsidRPr="00EA7458">
          <w:rPr>
            <w:rFonts w:ascii="Calibri" w:hAnsi="Calibri"/>
            <w:b/>
            <w:color w:val="231F20"/>
            <w:w w:val="110"/>
            <w:sz w:val="18"/>
          </w:rPr>
          <w:t>3.0</w:t>
        </w:r>
        <w:r w:rsidR="008B5C34">
          <w:rPr>
            <w:rFonts w:ascii="Calibri" w:hAnsi="Calibri"/>
            <w:b/>
            <w:color w:val="231F20"/>
            <w:w w:val="110"/>
            <w:sz w:val="18"/>
          </w:rPr>
          <w:t>5</w:t>
        </w:r>
        <w:r w:rsidR="00EA7458" w:rsidRPr="00EA7458">
          <w:rPr>
            <w:rFonts w:ascii="Calibri" w:hAnsi="Calibri"/>
            <w:b/>
            <w:color w:val="231F20"/>
            <w:spacing w:val="-15"/>
            <w:w w:val="110"/>
            <w:sz w:val="18"/>
          </w:rPr>
          <w:t xml:space="preserve"> </w:t>
        </w:r>
        <w:r w:rsidR="00EA7458" w:rsidRPr="00EA7458">
          <w:rPr>
            <w:rFonts w:ascii="Calibri" w:hAnsi="Calibri"/>
            <w:color w:val="231F20"/>
            <w:w w:val="110"/>
            <w:sz w:val="18"/>
          </w:rPr>
          <w:t>Florida</w:t>
        </w:r>
        <w:r w:rsidR="00EA7458" w:rsidRPr="00EA7458">
          <w:rPr>
            <w:rFonts w:ascii="Calibri" w:hAnsi="Calibri"/>
            <w:color w:val="231F20"/>
            <w:spacing w:val="-15"/>
            <w:w w:val="110"/>
            <w:sz w:val="18"/>
          </w:rPr>
          <w:t xml:space="preserve"> </w:t>
        </w:r>
        <w:r w:rsidR="00EA7458" w:rsidRPr="00EA7458">
          <w:rPr>
            <w:rFonts w:ascii="Calibri" w:hAnsi="Calibri"/>
            <w:color w:val="231F20"/>
            <w:w w:val="110"/>
            <w:sz w:val="18"/>
          </w:rPr>
          <w:t>Department</w:t>
        </w:r>
        <w:r w:rsidR="00EA7458" w:rsidRPr="00EA7458">
          <w:rPr>
            <w:rFonts w:ascii="Calibri" w:hAnsi="Calibri"/>
            <w:color w:val="231F20"/>
            <w:spacing w:val="-15"/>
            <w:w w:val="110"/>
            <w:sz w:val="18"/>
          </w:rPr>
          <w:t xml:space="preserve"> </w:t>
        </w:r>
        <w:r w:rsidR="00EA7458" w:rsidRPr="00EA7458">
          <w:rPr>
            <w:rFonts w:ascii="Calibri" w:hAnsi="Calibri"/>
            <w:color w:val="231F20"/>
            <w:w w:val="110"/>
            <w:sz w:val="18"/>
          </w:rPr>
          <w:t>of</w:t>
        </w:r>
        <w:r w:rsidR="00EA7458" w:rsidRPr="00EA7458">
          <w:rPr>
            <w:rFonts w:ascii="Calibri" w:hAnsi="Calibri"/>
            <w:color w:val="231F20"/>
            <w:spacing w:val="-15"/>
            <w:w w:val="110"/>
            <w:sz w:val="18"/>
          </w:rPr>
          <w:t xml:space="preserve"> </w:t>
        </w:r>
        <w:r w:rsidR="00EA7458" w:rsidRPr="00EA7458">
          <w:rPr>
            <w:rFonts w:ascii="Calibri" w:hAnsi="Calibri"/>
            <w:color w:val="231F20"/>
            <w:w w:val="110"/>
            <w:sz w:val="18"/>
          </w:rPr>
          <w:t>Education</w:t>
        </w:r>
      </w:hyperlink>
      <w:r w:rsidR="00EA7458" w:rsidRPr="00EA7458">
        <w:rPr>
          <w:rFonts w:ascii="Calibri" w:hAnsi="Calibri"/>
          <w:color w:val="231F20"/>
          <w:w w:val="107"/>
          <w:sz w:val="18"/>
        </w:rPr>
        <w:t xml:space="preserve"> </w:t>
      </w:r>
      <w:hyperlink w:anchor="_bookmark42" w:history="1">
        <w:r w:rsidR="00EA7458" w:rsidRPr="00EA7458">
          <w:rPr>
            <w:rFonts w:ascii="Calibri" w:hAnsi="Calibri"/>
            <w:color w:val="231F20"/>
            <w:w w:val="105"/>
            <w:sz w:val="18"/>
          </w:rPr>
          <w:t>Organizational</w:t>
        </w:r>
        <w:r w:rsidR="00EA7458" w:rsidRPr="00EA7458">
          <w:rPr>
            <w:rFonts w:ascii="Calibri" w:hAnsi="Calibri"/>
            <w:color w:val="231F20"/>
            <w:spacing w:val="39"/>
            <w:w w:val="105"/>
            <w:sz w:val="18"/>
          </w:rPr>
          <w:t xml:space="preserve"> </w:t>
        </w:r>
        <w:r w:rsidR="00EA7458" w:rsidRPr="00EA7458">
          <w:rPr>
            <w:rFonts w:ascii="Calibri" w:hAnsi="Calibri"/>
            <w:color w:val="231F20"/>
            <w:w w:val="105"/>
            <w:sz w:val="18"/>
          </w:rPr>
          <w:t>Chart</w:t>
        </w:r>
      </w:hyperlink>
    </w:p>
    <w:p w14:paraId="3E18E4CE" w14:textId="3901C34A" w:rsidR="00EA7458" w:rsidRPr="00EA7458" w:rsidRDefault="00BC1D20" w:rsidP="00EA7458">
      <w:pPr>
        <w:widowControl w:val="0"/>
        <w:spacing w:before="90" w:after="0" w:line="261" w:lineRule="auto"/>
        <w:ind w:left="107"/>
        <w:rPr>
          <w:rFonts w:ascii="Calibri" w:hAnsi="Calibri" w:cs="Calibri"/>
          <w:sz w:val="18"/>
          <w:szCs w:val="18"/>
        </w:rPr>
      </w:pPr>
      <w:hyperlink w:anchor="_bookmark43" w:history="1">
        <w:r w:rsidR="00EA7458" w:rsidRPr="00EA7458">
          <w:rPr>
            <w:rFonts w:ascii="Calibri" w:hAnsi="Calibri"/>
            <w:b/>
            <w:color w:val="231F20"/>
            <w:w w:val="110"/>
            <w:sz w:val="18"/>
          </w:rPr>
          <w:t>Figure</w:t>
        </w:r>
        <w:r w:rsidR="00EA7458" w:rsidRPr="00EA7458">
          <w:rPr>
            <w:rFonts w:ascii="Calibri" w:hAnsi="Calibri"/>
            <w:b/>
            <w:color w:val="231F20"/>
            <w:spacing w:val="-7"/>
            <w:w w:val="110"/>
            <w:sz w:val="18"/>
          </w:rPr>
          <w:t xml:space="preserve"> </w:t>
        </w:r>
        <w:r w:rsidR="00EA7458" w:rsidRPr="00EA7458">
          <w:rPr>
            <w:rFonts w:ascii="Calibri" w:hAnsi="Calibri"/>
            <w:b/>
            <w:color w:val="231F20"/>
            <w:w w:val="110"/>
            <w:sz w:val="18"/>
          </w:rPr>
          <w:t>3.0</w:t>
        </w:r>
        <w:r w:rsidR="008B5C34">
          <w:rPr>
            <w:rFonts w:ascii="Calibri" w:hAnsi="Calibri"/>
            <w:b/>
            <w:color w:val="231F20"/>
            <w:w w:val="110"/>
            <w:sz w:val="18"/>
          </w:rPr>
          <w:t>6</w:t>
        </w:r>
        <w:r w:rsidR="00EA7458" w:rsidRPr="00EA7458">
          <w:rPr>
            <w:rFonts w:ascii="Calibri" w:hAnsi="Calibri"/>
            <w:b/>
            <w:color w:val="231F20"/>
            <w:spacing w:val="-7"/>
            <w:w w:val="110"/>
            <w:sz w:val="18"/>
          </w:rPr>
          <w:t xml:space="preserve"> </w:t>
        </w:r>
        <w:r w:rsidR="00EA7458" w:rsidRPr="00EA7458">
          <w:rPr>
            <w:rFonts w:ascii="Calibri" w:hAnsi="Calibri"/>
            <w:color w:val="231F20"/>
            <w:w w:val="110"/>
            <w:sz w:val="18"/>
          </w:rPr>
          <w:t>Florida</w:t>
        </w:r>
        <w:r w:rsidR="00EA7458" w:rsidRPr="00EA7458">
          <w:rPr>
            <w:rFonts w:ascii="Calibri" w:hAnsi="Calibri"/>
            <w:color w:val="231F20"/>
            <w:spacing w:val="-7"/>
            <w:w w:val="110"/>
            <w:sz w:val="18"/>
          </w:rPr>
          <w:t xml:space="preserve"> </w:t>
        </w:r>
        <w:r w:rsidR="00EA7458" w:rsidRPr="00EA7458">
          <w:rPr>
            <w:rFonts w:ascii="Calibri" w:hAnsi="Calibri"/>
            <w:color w:val="231F20"/>
            <w:w w:val="110"/>
            <w:sz w:val="18"/>
          </w:rPr>
          <w:t>Division</w:t>
        </w:r>
        <w:r w:rsidR="00EA7458" w:rsidRPr="00EA7458">
          <w:rPr>
            <w:rFonts w:ascii="Calibri" w:hAnsi="Calibri"/>
            <w:color w:val="231F20"/>
            <w:spacing w:val="-7"/>
            <w:w w:val="110"/>
            <w:sz w:val="18"/>
          </w:rPr>
          <w:t xml:space="preserve"> </w:t>
        </w:r>
        <w:r w:rsidR="00EA7458" w:rsidRPr="00EA7458">
          <w:rPr>
            <w:rFonts w:ascii="Calibri" w:hAnsi="Calibri"/>
            <w:color w:val="231F20"/>
            <w:w w:val="110"/>
            <w:sz w:val="18"/>
          </w:rPr>
          <w:t>of</w:t>
        </w:r>
        <w:r w:rsidR="00EA7458" w:rsidRPr="00EA7458">
          <w:rPr>
            <w:rFonts w:ascii="Calibri" w:hAnsi="Calibri"/>
            <w:color w:val="231F20"/>
            <w:spacing w:val="-7"/>
            <w:w w:val="110"/>
            <w:sz w:val="18"/>
          </w:rPr>
          <w:t xml:space="preserve"> </w:t>
        </w:r>
        <w:r w:rsidR="00EA7458" w:rsidRPr="00EA7458">
          <w:rPr>
            <w:rFonts w:ascii="Calibri" w:hAnsi="Calibri"/>
            <w:color w:val="231F20"/>
            <w:w w:val="110"/>
            <w:sz w:val="18"/>
          </w:rPr>
          <w:t>Career</w:t>
        </w:r>
        <w:r w:rsidR="00EA7458" w:rsidRPr="00EA7458">
          <w:rPr>
            <w:rFonts w:ascii="Calibri" w:hAnsi="Calibri"/>
            <w:color w:val="231F20"/>
            <w:spacing w:val="-7"/>
            <w:w w:val="110"/>
            <w:sz w:val="18"/>
          </w:rPr>
          <w:t xml:space="preserve"> </w:t>
        </w:r>
        <w:r w:rsidR="00EA7458" w:rsidRPr="00EA7458">
          <w:rPr>
            <w:rFonts w:ascii="Calibri" w:hAnsi="Calibri"/>
            <w:color w:val="231F20"/>
            <w:w w:val="110"/>
            <w:sz w:val="18"/>
          </w:rPr>
          <w:t>and</w:t>
        </w:r>
        <w:r w:rsidR="00EA7458" w:rsidRPr="00EA7458">
          <w:rPr>
            <w:rFonts w:ascii="Calibri" w:hAnsi="Calibri"/>
            <w:color w:val="231F20"/>
            <w:spacing w:val="-7"/>
            <w:w w:val="110"/>
            <w:sz w:val="18"/>
          </w:rPr>
          <w:t xml:space="preserve"> </w:t>
        </w:r>
        <w:r w:rsidR="00EA7458" w:rsidRPr="00EA7458">
          <w:rPr>
            <w:rFonts w:ascii="Calibri" w:hAnsi="Calibri"/>
            <w:color w:val="231F20"/>
            <w:w w:val="110"/>
            <w:sz w:val="18"/>
          </w:rPr>
          <w:t>Adult</w:t>
        </w:r>
        <w:r w:rsidR="00EA7458" w:rsidRPr="00EA7458">
          <w:rPr>
            <w:rFonts w:ascii="Calibri" w:hAnsi="Calibri"/>
            <w:color w:val="231F20"/>
            <w:spacing w:val="-7"/>
            <w:w w:val="110"/>
            <w:sz w:val="18"/>
          </w:rPr>
          <w:t xml:space="preserve"> </w:t>
        </w:r>
        <w:r w:rsidR="00EA7458" w:rsidRPr="00EA7458">
          <w:rPr>
            <w:rFonts w:ascii="Calibri" w:hAnsi="Calibri"/>
            <w:color w:val="231F20"/>
            <w:w w:val="110"/>
            <w:sz w:val="18"/>
          </w:rPr>
          <w:t>Education</w:t>
        </w:r>
      </w:hyperlink>
      <w:r w:rsidR="00EA7458" w:rsidRPr="00EA7458">
        <w:rPr>
          <w:rFonts w:ascii="Calibri" w:hAnsi="Calibri"/>
          <w:color w:val="231F20"/>
          <w:w w:val="107"/>
          <w:sz w:val="18"/>
        </w:rPr>
        <w:t xml:space="preserve"> </w:t>
      </w:r>
      <w:hyperlink w:anchor="_bookmark43" w:history="1">
        <w:r w:rsidR="00EA7458" w:rsidRPr="00EA7458">
          <w:rPr>
            <w:rFonts w:ascii="Calibri" w:hAnsi="Calibri"/>
            <w:color w:val="231F20"/>
            <w:w w:val="105"/>
            <w:sz w:val="18"/>
          </w:rPr>
          <w:t>Organizational</w:t>
        </w:r>
        <w:r w:rsidR="00EA7458" w:rsidRPr="00EA7458">
          <w:rPr>
            <w:rFonts w:ascii="Calibri" w:hAnsi="Calibri"/>
            <w:color w:val="231F20"/>
            <w:spacing w:val="39"/>
            <w:w w:val="105"/>
            <w:sz w:val="18"/>
          </w:rPr>
          <w:t xml:space="preserve"> </w:t>
        </w:r>
        <w:r w:rsidR="00EA7458" w:rsidRPr="00EA7458">
          <w:rPr>
            <w:rFonts w:ascii="Calibri" w:hAnsi="Calibri"/>
            <w:color w:val="231F20"/>
            <w:w w:val="105"/>
            <w:sz w:val="18"/>
          </w:rPr>
          <w:t>Chart</w:t>
        </w:r>
      </w:hyperlink>
    </w:p>
    <w:p w14:paraId="5C0E8D7F" w14:textId="0B35E881" w:rsidR="00EA7458" w:rsidRPr="00EA7458" w:rsidRDefault="00BC1D20" w:rsidP="00EA7458">
      <w:pPr>
        <w:widowControl w:val="0"/>
        <w:spacing w:before="90" w:after="0" w:line="261" w:lineRule="auto"/>
        <w:ind w:left="107"/>
        <w:rPr>
          <w:rFonts w:ascii="Calibri" w:hAnsi="Calibri" w:cs="Calibri"/>
          <w:sz w:val="18"/>
          <w:szCs w:val="18"/>
        </w:rPr>
      </w:pPr>
      <w:hyperlink w:anchor="_bookmark44" w:history="1">
        <w:r w:rsidR="00EA7458" w:rsidRPr="00EA7458">
          <w:rPr>
            <w:rFonts w:ascii="Calibri" w:hAnsi="Calibri"/>
            <w:b/>
            <w:color w:val="231F20"/>
            <w:w w:val="110"/>
            <w:sz w:val="18"/>
          </w:rPr>
          <w:t>Figure</w:t>
        </w:r>
        <w:r w:rsidR="00EA7458" w:rsidRPr="00EA7458">
          <w:rPr>
            <w:rFonts w:ascii="Calibri" w:hAnsi="Calibri"/>
            <w:b/>
            <w:color w:val="231F20"/>
            <w:spacing w:val="-18"/>
            <w:w w:val="110"/>
            <w:sz w:val="18"/>
          </w:rPr>
          <w:t xml:space="preserve"> </w:t>
        </w:r>
        <w:r w:rsidR="00EA7458" w:rsidRPr="00EA7458">
          <w:rPr>
            <w:rFonts w:ascii="Calibri" w:hAnsi="Calibri"/>
            <w:b/>
            <w:color w:val="231F20"/>
            <w:w w:val="110"/>
            <w:sz w:val="18"/>
          </w:rPr>
          <w:t>3.0</w:t>
        </w:r>
        <w:r w:rsidR="008B5C34">
          <w:rPr>
            <w:rFonts w:ascii="Calibri" w:hAnsi="Calibri"/>
            <w:b/>
            <w:color w:val="231F20"/>
            <w:w w:val="110"/>
            <w:sz w:val="18"/>
          </w:rPr>
          <w:t>7</w:t>
        </w:r>
        <w:r w:rsidR="00EA7458" w:rsidRPr="00EA7458">
          <w:rPr>
            <w:rFonts w:ascii="Calibri" w:hAnsi="Calibri"/>
            <w:b/>
            <w:color w:val="231F20"/>
            <w:spacing w:val="-18"/>
            <w:w w:val="110"/>
            <w:sz w:val="18"/>
          </w:rPr>
          <w:t xml:space="preserve"> </w:t>
        </w:r>
        <w:r w:rsidR="00EA7458" w:rsidRPr="00EA7458">
          <w:rPr>
            <w:rFonts w:ascii="Calibri" w:hAnsi="Calibri"/>
            <w:color w:val="231F20"/>
            <w:w w:val="110"/>
            <w:sz w:val="18"/>
          </w:rPr>
          <w:t>Florida</w:t>
        </w:r>
        <w:r w:rsidR="00EA7458" w:rsidRPr="00EA7458">
          <w:rPr>
            <w:rFonts w:ascii="Calibri" w:hAnsi="Calibri"/>
            <w:color w:val="231F20"/>
            <w:spacing w:val="-18"/>
            <w:w w:val="110"/>
            <w:sz w:val="18"/>
          </w:rPr>
          <w:t xml:space="preserve"> </w:t>
        </w:r>
        <w:r w:rsidR="00EA7458" w:rsidRPr="00EA7458">
          <w:rPr>
            <w:rFonts w:ascii="Calibri" w:hAnsi="Calibri"/>
            <w:color w:val="231F20"/>
            <w:w w:val="110"/>
            <w:sz w:val="18"/>
          </w:rPr>
          <w:t>Division</w:t>
        </w:r>
        <w:r w:rsidR="00EA7458" w:rsidRPr="00EA7458">
          <w:rPr>
            <w:rFonts w:ascii="Calibri" w:hAnsi="Calibri"/>
            <w:color w:val="231F20"/>
            <w:spacing w:val="-18"/>
            <w:w w:val="110"/>
            <w:sz w:val="18"/>
          </w:rPr>
          <w:t xml:space="preserve"> </w:t>
        </w:r>
        <w:r w:rsidR="00EA7458" w:rsidRPr="00EA7458">
          <w:rPr>
            <w:rFonts w:ascii="Calibri" w:hAnsi="Calibri"/>
            <w:color w:val="231F20"/>
            <w:w w:val="110"/>
            <w:sz w:val="18"/>
          </w:rPr>
          <w:t>of</w:t>
        </w:r>
        <w:r w:rsidR="00EA7458" w:rsidRPr="00EA7458">
          <w:rPr>
            <w:rFonts w:ascii="Calibri" w:hAnsi="Calibri"/>
            <w:color w:val="231F20"/>
            <w:spacing w:val="-18"/>
            <w:w w:val="110"/>
            <w:sz w:val="18"/>
          </w:rPr>
          <w:t xml:space="preserve"> </w:t>
        </w:r>
        <w:r w:rsidR="00EA7458" w:rsidRPr="00EA7458">
          <w:rPr>
            <w:rFonts w:ascii="Calibri" w:hAnsi="Calibri"/>
            <w:color w:val="231F20"/>
            <w:w w:val="110"/>
            <w:sz w:val="18"/>
          </w:rPr>
          <w:t>Vocational</w:t>
        </w:r>
        <w:r w:rsidR="00EA7458" w:rsidRPr="00EA7458">
          <w:rPr>
            <w:rFonts w:ascii="Calibri" w:hAnsi="Calibri"/>
            <w:color w:val="231F20"/>
            <w:spacing w:val="-18"/>
            <w:w w:val="110"/>
            <w:sz w:val="18"/>
          </w:rPr>
          <w:t xml:space="preserve"> </w:t>
        </w:r>
        <w:r w:rsidR="00EA7458" w:rsidRPr="00EA7458">
          <w:rPr>
            <w:rFonts w:ascii="Calibri" w:hAnsi="Calibri"/>
            <w:color w:val="231F20"/>
            <w:w w:val="110"/>
            <w:sz w:val="18"/>
          </w:rPr>
          <w:t>Rehabilitation</w:t>
        </w:r>
      </w:hyperlink>
      <w:r w:rsidR="00EA7458" w:rsidRPr="00EA7458">
        <w:rPr>
          <w:rFonts w:ascii="Calibri" w:hAnsi="Calibri"/>
          <w:color w:val="231F20"/>
          <w:w w:val="104"/>
          <w:sz w:val="18"/>
        </w:rPr>
        <w:t xml:space="preserve"> </w:t>
      </w:r>
      <w:hyperlink w:anchor="_bookmark44" w:history="1">
        <w:r w:rsidR="00EA7458" w:rsidRPr="00EA7458">
          <w:rPr>
            <w:rFonts w:ascii="Calibri" w:hAnsi="Calibri"/>
            <w:color w:val="231F20"/>
            <w:w w:val="105"/>
            <w:sz w:val="18"/>
          </w:rPr>
          <w:t>Organizational</w:t>
        </w:r>
        <w:r w:rsidR="00EA7458" w:rsidRPr="00EA7458">
          <w:rPr>
            <w:rFonts w:ascii="Calibri" w:hAnsi="Calibri"/>
            <w:color w:val="231F20"/>
            <w:spacing w:val="39"/>
            <w:w w:val="105"/>
            <w:sz w:val="18"/>
          </w:rPr>
          <w:t xml:space="preserve"> </w:t>
        </w:r>
        <w:r w:rsidR="00EA7458" w:rsidRPr="00EA7458">
          <w:rPr>
            <w:rFonts w:ascii="Calibri" w:hAnsi="Calibri"/>
            <w:color w:val="231F20"/>
            <w:w w:val="105"/>
            <w:sz w:val="18"/>
          </w:rPr>
          <w:t>Chart</w:t>
        </w:r>
      </w:hyperlink>
    </w:p>
    <w:p w14:paraId="35573919" w14:textId="6B288D03" w:rsidR="00EA7458" w:rsidRPr="00EA7458" w:rsidRDefault="00BC1D20" w:rsidP="00EA7458">
      <w:pPr>
        <w:widowControl w:val="0"/>
        <w:spacing w:before="90" w:after="0" w:line="261" w:lineRule="auto"/>
        <w:ind w:left="107" w:right="893"/>
        <w:rPr>
          <w:rFonts w:ascii="Calibri" w:hAnsi="Calibri" w:cs="Calibri"/>
          <w:sz w:val="18"/>
          <w:szCs w:val="18"/>
        </w:rPr>
      </w:pPr>
      <w:hyperlink w:anchor="_bookmark45" w:history="1">
        <w:r w:rsidR="00EA7458" w:rsidRPr="00EA7458">
          <w:rPr>
            <w:rFonts w:ascii="Calibri" w:hAnsi="Calibri"/>
            <w:b/>
            <w:color w:val="231F20"/>
            <w:w w:val="110"/>
            <w:sz w:val="18"/>
          </w:rPr>
          <w:t>Figure 3.0</w:t>
        </w:r>
        <w:r w:rsidR="008B5C34">
          <w:rPr>
            <w:rFonts w:ascii="Calibri" w:hAnsi="Calibri"/>
            <w:b/>
            <w:color w:val="231F20"/>
            <w:w w:val="110"/>
            <w:sz w:val="18"/>
          </w:rPr>
          <w:t>8</w:t>
        </w:r>
        <w:r w:rsidR="00EA7458" w:rsidRPr="00EA7458">
          <w:rPr>
            <w:rFonts w:ascii="Calibri" w:hAnsi="Calibri"/>
            <w:b/>
            <w:color w:val="231F20"/>
            <w:w w:val="110"/>
            <w:sz w:val="18"/>
          </w:rPr>
          <w:t xml:space="preserve"> </w:t>
        </w:r>
        <w:r w:rsidR="00EA7458" w:rsidRPr="00EA7458">
          <w:rPr>
            <w:rFonts w:ascii="Calibri" w:hAnsi="Calibri"/>
            <w:color w:val="231F20"/>
            <w:w w:val="110"/>
            <w:sz w:val="18"/>
          </w:rPr>
          <w:t>Florida Division of Blind</w:t>
        </w:r>
        <w:r w:rsidR="00EA7458" w:rsidRPr="00EA7458">
          <w:rPr>
            <w:rFonts w:ascii="Calibri" w:hAnsi="Calibri"/>
            <w:color w:val="231F20"/>
            <w:spacing w:val="-24"/>
            <w:w w:val="110"/>
            <w:sz w:val="18"/>
          </w:rPr>
          <w:t xml:space="preserve"> </w:t>
        </w:r>
        <w:r w:rsidR="00EA7458" w:rsidRPr="00EA7458">
          <w:rPr>
            <w:rFonts w:ascii="Calibri" w:hAnsi="Calibri"/>
            <w:color w:val="231F20"/>
            <w:w w:val="110"/>
            <w:sz w:val="18"/>
          </w:rPr>
          <w:t>Services</w:t>
        </w:r>
      </w:hyperlink>
      <w:r w:rsidR="00EA7458" w:rsidRPr="00EA7458">
        <w:rPr>
          <w:rFonts w:ascii="Calibri" w:hAnsi="Calibri"/>
          <w:color w:val="231F20"/>
          <w:w w:val="112"/>
          <w:sz w:val="18"/>
        </w:rPr>
        <w:t xml:space="preserve"> </w:t>
      </w:r>
      <w:hyperlink w:anchor="_bookmark45" w:history="1">
        <w:r w:rsidR="00EA7458" w:rsidRPr="00EA7458">
          <w:rPr>
            <w:rFonts w:ascii="Calibri" w:hAnsi="Calibri"/>
            <w:color w:val="231F20"/>
            <w:w w:val="105"/>
            <w:sz w:val="18"/>
          </w:rPr>
          <w:t>Organizational</w:t>
        </w:r>
        <w:r w:rsidR="00EA7458" w:rsidRPr="00EA7458">
          <w:rPr>
            <w:rFonts w:ascii="Calibri" w:hAnsi="Calibri"/>
            <w:color w:val="231F20"/>
            <w:spacing w:val="39"/>
            <w:w w:val="105"/>
            <w:sz w:val="18"/>
          </w:rPr>
          <w:t xml:space="preserve"> </w:t>
        </w:r>
        <w:r w:rsidR="00EA7458" w:rsidRPr="00EA7458">
          <w:rPr>
            <w:rFonts w:ascii="Calibri" w:hAnsi="Calibri"/>
            <w:color w:val="231F20"/>
            <w:w w:val="105"/>
            <w:sz w:val="18"/>
          </w:rPr>
          <w:t>Chart</w:t>
        </w:r>
      </w:hyperlink>
    </w:p>
    <w:p w14:paraId="00AC8029" w14:textId="332214D3" w:rsidR="005E2625" w:rsidRPr="005E2625" w:rsidRDefault="00BC1D20" w:rsidP="005E2625">
      <w:pPr>
        <w:widowControl w:val="0"/>
        <w:spacing w:before="90" w:after="0" w:line="261" w:lineRule="auto"/>
        <w:ind w:left="107" w:right="893"/>
        <w:rPr>
          <w:rFonts w:ascii="Calibri" w:hAnsi="Calibri"/>
          <w:color w:val="231F20"/>
          <w:w w:val="110"/>
          <w:sz w:val="18"/>
        </w:rPr>
      </w:pPr>
      <w:hyperlink w:anchor="_bookmark46" w:history="1">
        <w:r w:rsidR="00EA7458" w:rsidRPr="00EA7458">
          <w:rPr>
            <w:rFonts w:ascii="Calibri" w:hAnsi="Calibri"/>
            <w:b/>
            <w:color w:val="231F20"/>
            <w:w w:val="110"/>
            <w:sz w:val="18"/>
          </w:rPr>
          <w:t>Figure</w:t>
        </w:r>
        <w:r w:rsidR="00EA7458" w:rsidRPr="005E2625">
          <w:rPr>
            <w:rFonts w:ascii="Calibri" w:hAnsi="Calibri"/>
            <w:b/>
            <w:color w:val="231F20"/>
            <w:w w:val="110"/>
            <w:sz w:val="18"/>
          </w:rPr>
          <w:t xml:space="preserve"> </w:t>
        </w:r>
        <w:r w:rsidR="00EA7458" w:rsidRPr="00EA7458">
          <w:rPr>
            <w:rFonts w:ascii="Calibri" w:hAnsi="Calibri"/>
            <w:b/>
            <w:color w:val="231F20"/>
            <w:w w:val="110"/>
            <w:sz w:val="18"/>
          </w:rPr>
          <w:t>3.0</w:t>
        </w:r>
        <w:r w:rsidR="008B5C34">
          <w:rPr>
            <w:rFonts w:ascii="Calibri" w:hAnsi="Calibri"/>
            <w:b/>
            <w:color w:val="231F20"/>
            <w:w w:val="110"/>
            <w:sz w:val="18"/>
          </w:rPr>
          <w:t>9</w:t>
        </w:r>
      </w:hyperlink>
      <w:r w:rsidR="005E2625" w:rsidRPr="005E2625">
        <w:rPr>
          <w:rFonts w:ascii="Calibri" w:hAnsi="Calibri"/>
          <w:b/>
          <w:color w:val="231F20"/>
          <w:w w:val="110"/>
          <w:sz w:val="18"/>
        </w:rPr>
        <w:t xml:space="preserve"> </w:t>
      </w:r>
      <w:r w:rsidR="005E2625" w:rsidRPr="005E2625">
        <w:rPr>
          <w:rFonts w:ascii="Calibri" w:hAnsi="Calibri"/>
          <w:color w:val="231F20"/>
          <w:w w:val="110"/>
          <w:sz w:val="18"/>
        </w:rPr>
        <w:t>2016-2017 WIOA Participants/Exiters</w:t>
      </w:r>
    </w:p>
    <w:p w14:paraId="4CB2B606" w14:textId="643F84EA" w:rsidR="005E2625" w:rsidRPr="005E2625" w:rsidRDefault="005E2625" w:rsidP="005E2625">
      <w:pPr>
        <w:widowControl w:val="0"/>
        <w:spacing w:before="90" w:after="0" w:line="261" w:lineRule="auto"/>
        <w:ind w:left="107" w:right="893"/>
        <w:rPr>
          <w:rFonts w:ascii="Calibri" w:hAnsi="Calibri"/>
          <w:color w:val="231F20"/>
          <w:w w:val="110"/>
          <w:sz w:val="18"/>
        </w:rPr>
      </w:pPr>
      <w:r w:rsidRPr="005E2625">
        <w:rPr>
          <w:rFonts w:ascii="Calibri" w:hAnsi="Calibri"/>
          <w:b/>
          <w:color w:val="231F20"/>
          <w:w w:val="110"/>
          <w:sz w:val="18"/>
        </w:rPr>
        <w:t>Figure 3.</w:t>
      </w:r>
      <w:r w:rsidR="008B5C34">
        <w:rPr>
          <w:rFonts w:ascii="Calibri" w:hAnsi="Calibri"/>
          <w:b/>
          <w:color w:val="231F20"/>
          <w:w w:val="110"/>
          <w:sz w:val="18"/>
        </w:rPr>
        <w:t>10</w:t>
      </w:r>
      <w:r w:rsidRPr="005E2625">
        <w:rPr>
          <w:rFonts w:ascii="Calibri" w:hAnsi="Calibri"/>
          <w:b/>
          <w:color w:val="231F20"/>
          <w:w w:val="110"/>
          <w:sz w:val="18"/>
        </w:rPr>
        <w:t xml:space="preserve"> </w:t>
      </w:r>
      <w:r w:rsidRPr="00600A6C">
        <w:rPr>
          <w:rFonts w:ascii="Calibri" w:hAnsi="Calibri"/>
          <w:color w:val="231F20"/>
          <w:w w:val="110"/>
          <w:sz w:val="18"/>
        </w:rPr>
        <w:t>2015-2016</w:t>
      </w:r>
      <w:r w:rsidRPr="005E2625">
        <w:rPr>
          <w:rFonts w:ascii="Calibri" w:hAnsi="Calibri"/>
          <w:b/>
          <w:color w:val="231F20"/>
          <w:w w:val="110"/>
          <w:sz w:val="18"/>
        </w:rPr>
        <w:t xml:space="preserve"> </w:t>
      </w:r>
      <w:r w:rsidRPr="005E2625">
        <w:rPr>
          <w:rFonts w:ascii="Calibri" w:hAnsi="Calibri"/>
          <w:color w:val="231F20"/>
          <w:w w:val="110"/>
          <w:sz w:val="18"/>
        </w:rPr>
        <w:t xml:space="preserve">WIA Participants/Exiters </w:t>
      </w:r>
    </w:p>
    <w:p w14:paraId="5453AF2A" w14:textId="32DD4564" w:rsidR="005E2625" w:rsidRPr="005E2625" w:rsidRDefault="005E2625" w:rsidP="005E2625">
      <w:pPr>
        <w:widowControl w:val="0"/>
        <w:spacing w:before="90" w:after="0" w:line="261" w:lineRule="auto"/>
        <w:ind w:left="107" w:right="893"/>
        <w:rPr>
          <w:rFonts w:ascii="Calibri" w:hAnsi="Calibri"/>
          <w:color w:val="231F20"/>
          <w:w w:val="110"/>
          <w:sz w:val="18"/>
        </w:rPr>
      </w:pPr>
      <w:r w:rsidRPr="005E2625">
        <w:rPr>
          <w:rFonts w:ascii="Calibri" w:hAnsi="Calibri"/>
          <w:b/>
          <w:color w:val="231F20"/>
          <w:w w:val="110"/>
          <w:sz w:val="18"/>
        </w:rPr>
        <w:t>Figure 3.1</w:t>
      </w:r>
      <w:r w:rsidR="008B5C34">
        <w:rPr>
          <w:rFonts w:ascii="Calibri" w:hAnsi="Calibri"/>
          <w:b/>
          <w:color w:val="231F20"/>
          <w:w w:val="110"/>
          <w:sz w:val="18"/>
        </w:rPr>
        <w:t>1</w:t>
      </w:r>
      <w:r w:rsidRPr="005E2625">
        <w:rPr>
          <w:rFonts w:ascii="Calibri" w:hAnsi="Calibri"/>
          <w:b/>
          <w:color w:val="231F20"/>
          <w:w w:val="110"/>
          <w:sz w:val="18"/>
        </w:rPr>
        <w:t xml:space="preserve"> </w:t>
      </w:r>
      <w:r w:rsidRPr="005E2625">
        <w:rPr>
          <w:rFonts w:ascii="Calibri" w:hAnsi="Calibri"/>
          <w:color w:val="231F20"/>
          <w:w w:val="110"/>
          <w:sz w:val="18"/>
        </w:rPr>
        <w:t xml:space="preserve">State WIOA Statewide </w:t>
      </w:r>
      <w:r w:rsidR="00C47FC0">
        <w:rPr>
          <w:rFonts w:ascii="Calibri" w:hAnsi="Calibri"/>
          <w:color w:val="231F20"/>
          <w:w w:val="110"/>
          <w:sz w:val="18"/>
        </w:rPr>
        <w:t xml:space="preserve">Primary Indicators </w:t>
      </w:r>
      <w:r w:rsidRPr="005E2625">
        <w:rPr>
          <w:rFonts w:ascii="Calibri" w:hAnsi="Calibri"/>
          <w:color w:val="231F20"/>
          <w:w w:val="110"/>
          <w:sz w:val="18"/>
        </w:rPr>
        <w:t>of Performance PY 2016-2017</w:t>
      </w:r>
    </w:p>
    <w:p w14:paraId="69D3E149" w14:textId="1C350ED6" w:rsidR="005E2625" w:rsidRDefault="005E2625" w:rsidP="005E2625">
      <w:pPr>
        <w:widowControl w:val="0"/>
        <w:spacing w:before="90" w:after="0" w:line="261" w:lineRule="auto"/>
        <w:ind w:left="107" w:right="893"/>
        <w:rPr>
          <w:rFonts w:ascii="Calibri" w:hAnsi="Calibri"/>
          <w:color w:val="231F20"/>
          <w:w w:val="110"/>
          <w:sz w:val="18"/>
        </w:rPr>
      </w:pPr>
      <w:r w:rsidRPr="005E2625">
        <w:rPr>
          <w:rFonts w:ascii="Calibri" w:hAnsi="Calibri"/>
          <w:b/>
          <w:color w:val="231F20"/>
          <w:w w:val="110"/>
          <w:sz w:val="18"/>
        </w:rPr>
        <w:t>Figure 3.1</w:t>
      </w:r>
      <w:r w:rsidR="008B5C34">
        <w:rPr>
          <w:rFonts w:ascii="Calibri" w:hAnsi="Calibri"/>
          <w:b/>
          <w:color w:val="231F20"/>
          <w:w w:val="110"/>
          <w:sz w:val="18"/>
        </w:rPr>
        <w:t>2</w:t>
      </w:r>
      <w:r w:rsidRPr="005E2625">
        <w:rPr>
          <w:rFonts w:ascii="Calibri" w:hAnsi="Calibri"/>
          <w:b/>
          <w:color w:val="231F20"/>
          <w:w w:val="110"/>
          <w:sz w:val="18"/>
        </w:rPr>
        <w:t xml:space="preserve"> </w:t>
      </w:r>
      <w:r w:rsidRPr="005E2625">
        <w:rPr>
          <w:rFonts w:ascii="Calibri" w:hAnsi="Calibri"/>
          <w:color w:val="231F20"/>
          <w:w w:val="110"/>
          <w:sz w:val="18"/>
        </w:rPr>
        <w:t>Local Workforce Development Board WIOA Performance Program Year 2016-2017</w:t>
      </w:r>
    </w:p>
    <w:p w14:paraId="07C31895" w14:textId="1A07573B" w:rsidR="00316B90" w:rsidRDefault="00316B90" w:rsidP="00316B90">
      <w:pPr>
        <w:widowControl w:val="0"/>
        <w:spacing w:before="90" w:after="0" w:line="240" w:lineRule="auto"/>
        <w:ind w:left="107" w:right="893"/>
        <w:rPr>
          <w:rFonts w:ascii="Calibri" w:hAnsi="Calibri"/>
          <w:color w:val="231F20"/>
          <w:w w:val="110"/>
          <w:sz w:val="18"/>
        </w:rPr>
      </w:pPr>
      <w:r>
        <w:rPr>
          <w:rFonts w:ascii="Calibri" w:hAnsi="Calibri"/>
          <w:b/>
          <w:color w:val="231F20"/>
          <w:w w:val="110"/>
          <w:sz w:val="18"/>
        </w:rPr>
        <w:t>Figure 3.1</w:t>
      </w:r>
      <w:r w:rsidR="008B5C34">
        <w:rPr>
          <w:rFonts w:ascii="Calibri" w:hAnsi="Calibri"/>
          <w:b/>
          <w:color w:val="231F20"/>
          <w:w w:val="110"/>
          <w:sz w:val="18"/>
        </w:rPr>
        <w:t>3</w:t>
      </w:r>
      <w:r>
        <w:rPr>
          <w:rFonts w:ascii="Calibri" w:hAnsi="Calibri"/>
          <w:b/>
          <w:color w:val="231F20"/>
          <w:w w:val="110"/>
          <w:sz w:val="18"/>
        </w:rPr>
        <w:t xml:space="preserve"> </w:t>
      </w:r>
      <w:r w:rsidR="000377F4">
        <w:rPr>
          <w:rFonts w:ascii="Calibri" w:hAnsi="Calibri"/>
          <w:color w:val="231F20"/>
          <w:w w:val="110"/>
          <w:sz w:val="18"/>
        </w:rPr>
        <w:t xml:space="preserve">Florida </w:t>
      </w:r>
      <w:r w:rsidR="00C47FC0">
        <w:rPr>
          <w:rFonts w:ascii="Calibri" w:hAnsi="Calibri"/>
          <w:color w:val="231F20"/>
          <w:w w:val="110"/>
          <w:sz w:val="18"/>
        </w:rPr>
        <w:t xml:space="preserve">Primary Indicators of Performance </w:t>
      </w:r>
      <w:r w:rsidR="000377F4">
        <w:rPr>
          <w:rFonts w:ascii="Calibri" w:hAnsi="Calibri"/>
          <w:color w:val="231F20"/>
          <w:w w:val="110"/>
          <w:sz w:val="18"/>
        </w:rPr>
        <w:t>Goals Program Year 2017-18</w:t>
      </w:r>
    </w:p>
    <w:p w14:paraId="323EF5FA" w14:textId="6B681058" w:rsidR="00316B90" w:rsidRPr="00316B90" w:rsidRDefault="00316B90" w:rsidP="00316B90">
      <w:pPr>
        <w:widowControl w:val="0"/>
        <w:spacing w:before="90" w:after="0" w:line="240" w:lineRule="auto"/>
        <w:ind w:left="107" w:right="893"/>
        <w:rPr>
          <w:rFonts w:ascii="Calibri" w:hAnsi="Calibri"/>
          <w:color w:val="231F20"/>
          <w:w w:val="110"/>
          <w:sz w:val="18"/>
        </w:rPr>
      </w:pPr>
      <w:r w:rsidRPr="008B5C34">
        <w:rPr>
          <w:rFonts w:ascii="Calibri" w:hAnsi="Calibri"/>
          <w:b/>
          <w:color w:val="231F20"/>
          <w:w w:val="110"/>
          <w:sz w:val="18"/>
        </w:rPr>
        <w:t>Figure 3.1</w:t>
      </w:r>
      <w:r w:rsidR="008B5C34" w:rsidRPr="008B5C34">
        <w:rPr>
          <w:rFonts w:ascii="Calibri" w:hAnsi="Calibri"/>
          <w:b/>
          <w:color w:val="231F20"/>
          <w:w w:val="110"/>
          <w:sz w:val="18"/>
        </w:rPr>
        <w:t>4</w:t>
      </w:r>
      <w:r w:rsidRPr="00316B90">
        <w:rPr>
          <w:rFonts w:ascii="Calibri" w:hAnsi="Calibri"/>
          <w:color w:val="231F20"/>
          <w:w w:val="110"/>
          <w:sz w:val="18"/>
        </w:rPr>
        <w:t xml:space="preserve"> </w:t>
      </w:r>
      <w:r w:rsidR="000377F4">
        <w:rPr>
          <w:rFonts w:ascii="Calibri" w:hAnsi="Calibri"/>
          <w:color w:val="231F20"/>
          <w:w w:val="110"/>
          <w:sz w:val="18"/>
        </w:rPr>
        <w:t>Customer Satisfaction of the Employ Florida System</w:t>
      </w:r>
    </w:p>
    <w:p w14:paraId="259700BB" w14:textId="25571172" w:rsidR="00EA7458" w:rsidRPr="00EA7458" w:rsidRDefault="00316B90" w:rsidP="000377F4">
      <w:pPr>
        <w:widowControl w:val="0"/>
        <w:spacing w:before="90" w:after="0" w:line="240" w:lineRule="auto"/>
        <w:ind w:left="107" w:right="893"/>
        <w:rPr>
          <w:rFonts w:ascii="Calibri" w:hAnsi="Calibri" w:cs="Calibri"/>
          <w:sz w:val="18"/>
          <w:szCs w:val="18"/>
        </w:rPr>
      </w:pPr>
      <w:r>
        <w:rPr>
          <w:rFonts w:ascii="Calibri" w:hAnsi="Calibri"/>
          <w:b/>
          <w:color w:val="231F20"/>
          <w:w w:val="110"/>
          <w:sz w:val="18"/>
        </w:rPr>
        <w:t>Figure 3.1</w:t>
      </w:r>
      <w:r w:rsidR="008B5C34">
        <w:rPr>
          <w:rFonts w:ascii="Calibri" w:hAnsi="Calibri"/>
          <w:b/>
          <w:color w:val="231F20"/>
          <w:w w:val="110"/>
          <w:sz w:val="18"/>
        </w:rPr>
        <w:t>5</w:t>
      </w:r>
      <w:r>
        <w:rPr>
          <w:rFonts w:ascii="Calibri" w:hAnsi="Calibri"/>
          <w:b/>
          <w:color w:val="231F20"/>
          <w:w w:val="110"/>
          <w:sz w:val="18"/>
        </w:rPr>
        <w:t xml:space="preserve"> </w:t>
      </w:r>
      <w:hyperlink w:anchor="_bookmark50" w:history="1">
        <w:r w:rsidR="00EA7458" w:rsidRPr="0B52496C">
          <w:rPr>
            <w:rFonts w:ascii="Calibri" w:hAnsi="Calibri"/>
            <w:color w:val="231F20"/>
            <w:w w:val="105"/>
            <w:sz w:val="18"/>
            <w:szCs w:val="18"/>
          </w:rPr>
          <w:t>Florida Vocational Rehabilitation</w:t>
        </w:r>
        <w:r w:rsidR="00EA7458" w:rsidRPr="0B52496C">
          <w:rPr>
            <w:rFonts w:ascii="Calibri" w:hAnsi="Calibri"/>
            <w:color w:val="231F20"/>
            <w:spacing w:val="29"/>
            <w:w w:val="105"/>
            <w:sz w:val="18"/>
            <w:szCs w:val="18"/>
          </w:rPr>
          <w:t xml:space="preserve"> </w:t>
        </w:r>
        <w:r w:rsidR="00EA7458" w:rsidRPr="0B52496C">
          <w:rPr>
            <w:rFonts w:ascii="Calibri" w:hAnsi="Calibri"/>
            <w:color w:val="231F20"/>
            <w:w w:val="105"/>
            <w:sz w:val="18"/>
            <w:szCs w:val="18"/>
          </w:rPr>
          <w:t>Federal</w:t>
        </w:r>
      </w:hyperlink>
      <w:r w:rsidR="00EA7458" w:rsidRPr="0B52496C">
        <w:rPr>
          <w:rFonts w:ascii="Calibri" w:hAnsi="Calibri"/>
          <w:color w:val="231F20"/>
          <w:w w:val="109"/>
          <w:sz w:val="18"/>
          <w:szCs w:val="18"/>
        </w:rPr>
        <w:t xml:space="preserve"> </w:t>
      </w:r>
      <w:hyperlink w:anchor="_bookmark50" w:history="1">
        <w:r w:rsidR="00983FA7" w:rsidRPr="0B52496C">
          <w:rPr>
            <w:rFonts w:ascii="Calibri" w:hAnsi="Calibri"/>
            <w:color w:val="231F20"/>
            <w:w w:val="105"/>
            <w:sz w:val="18"/>
            <w:szCs w:val="18"/>
          </w:rPr>
          <w:t>Performance Indicators and</w:t>
        </w:r>
        <w:r w:rsidR="00EA7458" w:rsidRPr="0B52496C">
          <w:rPr>
            <w:rFonts w:ascii="Calibri" w:hAnsi="Calibri"/>
            <w:color w:val="231F20"/>
            <w:spacing w:val="-19"/>
            <w:w w:val="105"/>
            <w:sz w:val="18"/>
            <w:szCs w:val="18"/>
          </w:rPr>
          <w:t xml:space="preserve"> </w:t>
        </w:r>
        <w:r w:rsidR="00EA7458" w:rsidRPr="0B52496C">
          <w:rPr>
            <w:rFonts w:ascii="Calibri" w:hAnsi="Calibri"/>
            <w:color w:val="231F20"/>
            <w:spacing w:val="-3"/>
            <w:w w:val="105"/>
            <w:sz w:val="18"/>
            <w:szCs w:val="18"/>
          </w:rPr>
          <w:t>Targets</w:t>
        </w:r>
      </w:hyperlink>
    </w:p>
    <w:p w14:paraId="2D03D908" w14:textId="5F3A13A0" w:rsidR="00EA7458" w:rsidRPr="00EA7458" w:rsidRDefault="00BC1D20" w:rsidP="00EA7458">
      <w:pPr>
        <w:widowControl w:val="0"/>
        <w:spacing w:before="90" w:after="0" w:line="240" w:lineRule="auto"/>
        <w:ind w:left="107"/>
        <w:rPr>
          <w:rFonts w:ascii="Calibri" w:hAnsi="Calibri" w:cs="Calibri"/>
          <w:sz w:val="18"/>
          <w:szCs w:val="18"/>
        </w:rPr>
      </w:pPr>
      <w:hyperlink w:anchor="_bookmark51" w:history="1">
        <w:r w:rsidR="00EA7458" w:rsidRPr="00EA7458">
          <w:rPr>
            <w:rFonts w:ascii="Calibri" w:hAnsi="Calibri"/>
            <w:b/>
            <w:color w:val="231F20"/>
            <w:w w:val="105"/>
            <w:sz w:val="18"/>
          </w:rPr>
          <w:t xml:space="preserve">Figure </w:t>
        </w:r>
        <w:r w:rsidR="00EA7458" w:rsidRPr="00EA7458">
          <w:rPr>
            <w:rFonts w:ascii="Calibri" w:hAnsi="Calibri"/>
            <w:b/>
            <w:color w:val="231F20"/>
            <w:spacing w:val="-5"/>
            <w:w w:val="105"/>
            <w:sz w:val="18"/>
          </w:rPr>
          <w:t>3.1</w:t>
        </w:r>
        <w:r w:rsidR="00602996">
          <w:rPr>
            <w:rFonts w:ascii="Calibri" w:hAnsi="Calibri"/>
            <w:b/>
            <w:color w:val="231F20"/>
            <w:spacing w:val="-5"/>
            <w:w w:val="105"/>
            <w:sz w:val="18"/>
          </w:rPr>
          <w:t>6</w:t>
        </w:r>
        <w:r w:rsidR="00EA7458" w:rsidRPr="00EA7458">
          <w:rPr>
            <w:rFonts w:ascii="Calibri" w:hAnsi="Calibri"/>
            <w:b/>
            <w:color w:val="231F20"/>
            <w:spacing w:val="-5"/>
            <w:w w:val="105"/>
            <w:sz w:val="18"/>
          </w:rPr>
          <w:t xml:space="preserve"> </w:t>
        </w:r>
        <w:r w:rsidR="00EA7458" w:rsidRPr="00EA7458">
          <w:rPr>
            <w:rFonts w:ascii="Calibri" w:hAnsi="Calibri"/>
            <w:color w:val="231F20"/>
            <w:w w:val="105"/>
            <w:sz w:val="18"/>
          </w:rPr>
          <w:t xml:space="preserve">Florida Adult Education State Performance </w:t>
        </w:r>
        <w:r w:rsidR="00EA7458" w:rsidRPr="00EA7458">
          <w:rPr>
            <w:rFonts w:ascii="Calibri" w:hAnsi="Calibri"/>
            <w:color w:val="231F20"/>
            <w:spacing w:val="-3"/>
            <w:w w:val="105"/>
            <w:sz w:val="18"/>
          </w:rPr>
          <w:t>Targets</w:t>
        </w:r>
      </w:hyperlink>
    </w:p>
    <w:p w14:paraId="07A9CC3F" w14:textId="1F8AF208" w:rsidR="00EA7458" w:rsidRDefault="00BC1D20" w:rsidP="00EA7458">
      <w:pPr>
        <w:widowControl w:val="0"/>
        <w:spacing w:before="20" w:after="0" w:line="240" w:lineRule="auto"/>
        <w:ind w:left="107"/>
        <w:rPr>
          <w:rFonts w:ascii="Calibri" w:hAnsi="Calibri" w:cs="Calibri"/>
          <w:color w:val="231F20"/>
          <w:w w:val="110"/>
          <w:sz w:val="18"/>
          <w:szCs w:val="18"/>
        </w:rPr>
      </w:pPr>
      <w:hyperlink w:anchor="_bookmark51" w:history="1">
        <w:r w:rsidR="00EA7458" w:rsidRPr="00EA7458">
          <w:rPr>
            <w:rFonts w:ascii="Calibri" w:hAnsi="Calibri" w:cs="Calibri"/>
            <w:color w:val="231F20"/>
            <w:w w:val="110"/>
            <w:sz w:val="18"/>
            <w:szCs w:val="18"/>
          </w:rPr>
          <w:t>–</w:t>
        </w:r>
        <w:r w:rsidR="00EA7458" w:rsidRPr="00EA7458">
          <w:rPr>
            <w:rFonts w:ascii="Calibri" w:hAnsi="Calibri" w:cs="Calibri"/>
            <w:color w:val="231F20"/>
            <w:spacing w:val="-8"/>
            <w:w w:val="110"/>
            <w:sz w:val="18"/>
            <w:szCs w:val="18"/>
          </w:rPr>
          <w:t xml:space="preserve"> </w:t>
        </w:r>
        <w:r w:rsidR="00EA7458" w:rsidRPr="00EA7458">
          <w:rPr>
            <w:rFonts w:ascii="Calibri" w:hAnsi="Calibri" w:cs="Calibri"/>
            <w:color w:val="231F20"/>
            <w:w w:val="110"/>
            <w:sz w:val="18"/>
            <w:szCs w:val="18"/>
          </w:rPr>
          <w:t>Adult</w:t>
        </w:r>
        <w:r w:rsidR="00EA7458" w:rsidRPr="00EA7458">
          <w:rPr>
            <w:rFonts w:ascii="Calibri" w:hAnsi="Calibri" w:cs="Calibri"/>
            <w:color w:val="231F20"/>
            <w:spacing w:val="-8"/>
            <w:w w:val="110"/>
            <w:sz w:val="18"/>
            <w:szCs w:val="18"/>
          </w:rPr>
          <w:t xml:space="preserve"> </w:t>
        </w:r>
        <w:r w:rsidR="00EA7458" w:rsidRPr="00EA7458">
          <w:rPr>
            <w:rFonts w:ascii="Calibri" w:hAnsi="Calibri" w:cs="Calibri"/>
            <w:color w:val="231F20"/>
            <w:w w:val="110"/>
            <w:sz w:val="18"/>
            <w:szCs w:val="18"/>
          </w:rPr>
          <w:t>Basic</w:t>
        </w:r>
        <w:r w:rsidR="00EA7458" w:rsidRPr="00EA7458">
          <w:rPr>
            <w:rFonts w:ascii="Calibri" w:hAnsi="Calibri" w:cs="Calibri"/>
            <w:color w:val="231F20"/>
            <w:spacing w:val="-8"/>
            <w:w w:val="110"/>
            <w:sz w:val="18"/>
            <w:szCs w:val="18"/>
          </w:rPr>
          <w:t xml:space="preserve"> </w:t>
        </w:r>
        <w:r w:rsidR="00EA7458" w:rsidRPr="00EA7458">
          <w:rPr>
            <w:rFonts w:ascii="Calibri" w:hAnsi="Calibri" w:cs="Calibri"/>
            <w:color w:val="231F20"/>
            <w:w w:val="110"/>
            <w:sz w:val="18"/>
            <w:szCs w:val="18"/>
          </w:rPr>
          <w:t>Education</w:t>
        </w:r>
        <w:r w:rsidR="00EA7458" w:rsidRPr="00EA7458">
          <w:rPr>
            <w:rFonts w:ascii="Calibri" w:hAnsi="Calibri" w:cs="Calibri"/>
            <w:color w:val="231F20"/>
            <w:spacing w:val="-8"/>
            <w:w w:val="110"/>
            <w:sz w:val="18"/>
            <w:szCs w:val="18"/>
          </w:rPr>
          <w:t xml:space="preserve"> </w:t>
        </w:r>
        <w:r w:rsidR="00EA7458" w:rsidRPr="00EA7458">
          <w:rPr>
            <w:rFonts w:ascii="Calibri" w:hAnsi="Calibri" w:cs="Calibri"/>
            <w:color w:val="231F20"/>
            <w:w w:val="110"/>
            <w:sz w:val="18"/>
            <w:szCs w:val="18"/>
          </w:rPr>
          <w:t>and</w:t>
        </w:r>
        <w:r w:rsidR="00EA7458" w:rsidRPr="00EA7458">
          <w:rPr>
            <w:rFonts w:ascii="Calibri" w:hAnsi="Calibri" w:cs="Calibri"/>
            <w:color w:val="231F20"/>
            <w:spacing w:val="-8"/>
            <w:w w:val="110"/>
            <w:sz w:val="18"/>
            <w:szCs w:val="18"/>
          </w:rPr>
          <w:t xml:space="preserve"> </w:t>
        </w:r>
        <w:r w:rsidR="00EA7458" w:rsidRPr="00EA7458">
          <w:rPr>
            <w:rFonts w:ascii="Calibri" w:hAnsi="Calibri" w:cs="Calibri"/>
            <w:color w:val="231F20"/>
            <w:w w:val="110"/>
            <w:sz w:val="18"/>
            <w:szCs w:val="18"/>
          </w:rPr>
          <w:t>Adult</w:t>
        </w:r>
        <w:r w:rsidR="00EA7458" w:rsidRPr="00EA7458">
          <w:rPr>
            <w:rFonts w:ascii="Calibri" w:hAnsi="Calibri" w:cs="Calibri"/>
            <w:color w:val="231F20"/>
            <w:spacing w:val="-8"/>
            <w:w w:val="110"/>
            <w:sz w:val="18"/>
            <w:szCs w:val="18"/>
          </w:rPr>
          <w:t xml:space="preserve"> </w:t>
        </w:r>
        <w:r w:rsidR="00EA7458" w:rsidRPr="00EA7458">
          <w:rPr>
            <w:rFonts w:ascii="Calibri" w:hAnsi="Calibri" w:cs="Calibri"/>
            <w:color w:val="231F20"/>
            <w:w w:val="110"/>
            <w:sz w:val="18"/>
            <w:szCs w:val="18"/>
          </w:rPr>
          <w:t>Secondary</w:t>
        </w:r>
        <w:r w:rsidR="00EA7458" w:rsidRPr="00EA7458">
          <w:rPr>
            <w:rFonts w:ascii="Calibri" w:hAnsi="Calibri" w:cs="Calibri"/>
            <w:color w:val="231F20"/>
            <w:spacing w:val="-8"/>
            <w:w w:val="110"/>
            <w:sz w:val="18"/>
            <w:szCs w:val="18"/>
          </w:rPr>
          <w:t xml:space="preserve"> </w:t>
        </w:r>
        <w:r w:rsidR="00EA7458" w:rsidRPr="00EA7458">
          <w:rPr>
            <w:rFonts w:ascii="Calibri" w:hAnsi="Calibri" w:cs="Calibri"/>
            <w:color w:val="231F20"/>
            <w:w w:val="110"/>
            <w:sz w:val="18"/>
            <w:szCs w:val="18"/>
          </w:rPr>
          <w:t>Education</w:t>
        </w:r>
      </w:hyperlink>
    </w:p>
    <w:p w14:paraId="354C8BC7" w14:textId="55DA2BDD" w:rsidR="00316B90" w:rsidRDefault="00316B90" w:rsidP="00316B90">
      <w:pPr>
        <w:widowControl w:val="0"/>
        <w:spacing w:before="90" w:after="0" w:line="240" w:lineRule="auto"/>
        <w:ind w:left="107"/>
        <w:rPr>
          <w:rFonts w:ascii="Calibri" w:hAnsi="Calibri"/>
          <w:color w:val="231F20"/>
          <w:w w:val="105"/>
          <w:sz w:val="18"/>
        </w:rPr>
      </w:pPr>
      <w:r w:rsidRPr="00316B90">
        <w:rPr>
          <w:rFonts w:ascii="Calibri" w:hAnsi="Calibri"/>
          <w:b/>
          <w:color w:val="231F20"/>
          <w:w w:val="105"/>
          <w:sz w:val="18"/>
        </w:rPr>
        <w:t>Figure 3.1</w:t>
      </w:r>
      <w:r w:rsidR="00602996">
        <w:rPr>
          <w:rFonts w:ascii="Calibri" w:hAnsi="Calibri"/>
          <w:b/>
          <w:color w:val="231F20"/>
          <w:w w:val="105"/>
          <w:sz w:val="18"/>
        </w:rPr>
        <w:t>7</w:t>
      </w:r>
      <w:r w:rsidRPr="00316B90">
        <w:rPr>
          <w:rFonts w:ascii="Calibri" w:hAnsi="Calibri"/>
          <w:b/>
          <w:color w:val="231F20"/>
          <w:w w:val="105"/>
          <w:sz w:val="18"/>
        </w:rPr>
        <w:t xml:space="preserve"> </w:t>
      </w:r>
      <w:r w:rsidRPr="00316B90">
        <w:rPr>
          <w:rFonts w:ascii="Calibri" w:hAnsi="Calibri"/>
          <w:color w:val="231F20"/>
          <w:w w:val="105"/>
          <w:sz w:val="18"/>
        </w:rPr>
        <w:t>Florida Adult Education State Targets English for Speakers of Other Languages</w:t>
      </w:r>
    </w:p>
    <w:p w14:paraId="149E1CB6" w14:textId="5D600FA1" w:rsidR="00316B90" w:rsidRPr="00316B90" w:rsidRDefault="00316B90" w:rsidP="00316B90">
      <w:pPr>
        <w:widowControl w:val="0"/>
        <w:spacing w:before="90" w:after="0" w:line="240" w:lineRule="auto"/>
        <w:ind w:left="107"/>
        <w:rPr>
          <w:rFonts w:ascii="Calibri" w:hAnsi="Calibri"/>
          <w:color w:val="231F20"/>
          <w:w w:val="105"/>
          <w:sz w:val="18"/>
        </w:rPr>
      </w:pPr>
      <w:r w:rsidRPr="00316B90">
        <w:rPr>
          <w:rFonts w:ascii="Calibri" w:hAnsi="Calibri"/>
          <w:b/>
          <w:color w:val="231F20"/>
          <w:w w:val="105"/>
          <w:sz w:val="18"/>
        </w:rPr>
        <w:t>Figure 3.1</w:t>
      </w:r>
      <w:r w:rsidR="00602996">
        <w:rPr>
          <w:rFonts w:ascii="Calibri" w:hAnsi="Calibri"/>
          <w:b/>
          <w:color w:val="231F20"/>
          <w:w w:val="105"/>
          <w:sz w:val="18"/>
        </w:rPr>
        <w:t>8</w:t>
      </w:r>
      <w:r w:rsidRPr="00316B90">
        <w:rPr>
          <w:rFonts w:ascii="Calibri" w:hAnsi="Calibri"/>
          <w:color w:val="231F20"/>
          <w:w w:val="105"/>
          <w:sz w:val="18"/>
        </w:rPr>
        <w:t xml:space="preserve"> Distribution of Dislocated Worker Funding Percentages</w:t>
      </w:r>
    </w:p>
    <w:p w14:paraId="06BAF224" w14:textId="77777777" w:rsidR="00EA7458" w:rsidRPr="00EA7458" w:rsidRDefault="00EA7458" w:rsidP="00EA7458">
      <w:pPr>
        <w:widowControl w:val="0"/>
        <w:spacing w:after="0" w:line="240" w:lineRule="auto"/>
        <w:rPr>
          <w:rFonts w:ascii="Calibri" w:hAnsi="Calibri" w:cs="Calibri"/>
          <w:sz w:val="18"/>
          <w:szCs w:val="18"/>
        </w:rPr>
      </w:pPr>
    </w:p>
    <w:p w14:paraId="4CE801BB" w14:textId="77777777" w:rsidR="00EA7458" w:rsidRPr="00EA7458" w:rsidRDefault="00EA7458" w:rsidP="00EA7458">
      <w:pPr>
        <w:widowControl w:val="0"/>
        <w:spacing w:before="5" w:after="0" w:line="240" w:lineRule="auto"/>
        <w:rPr>
          <w:rFonts w:ascii="Calibri" w:hAnsi="Calibri" w:cs="Calibri"/>
          <w:sz w:val="16"/>
          <w:szCs w:val="16"/>
        </w:rPr>
      </w:pPr>
    </w:p>
    <w:p w14:paraId="7B9734AD" w14:textId="77777777" w:rsidR="00EA7458" w:rsidRPr="00EA7458" w:rsidRDefault="00EA7458" w:rsidP="00EA7458">
      <w:pPr>
        <w:widowControl w:val="0"/>
        <w:tabs>
          <w:tab w:val="left" w:pos="5080"/>
        </w:tabs>
        <w:spacing w:after="0" w:line="360" w:lineRule="auto"/>
        <w:ind w:left="107"/>
        <w:rPr>
          <w:rFonts w:ascii="Calibri" w:hAnsi="Calibri" w:cs="Calibri"/>
          <w:sz w:val="18"/>
          <w:szCs w:val="18"/>
        </w:rPr>
      </w:pPr>
      <w:r w:rsidRPr="00EA7458">
        <w:rPr>
          <w:rFonts w:ascii="Calibri" w:hAnsi="Calibri"/>
          <w:b/>
          <w:color w:val="231F20"/>
          <w:w w:val="110"/>
          <w:sz w:val="18"/>
          <w:u w:val="single" w:color="231F20"/>
        </w:rPr>
        <w:t>Section</w:t>
      </w:r>
      <w:r w:rsidRPr="00EA7458">
        <w:rPr>
          <w:rFonts w:ascii="Calibri" w:hAnsi="Calibri"/>
          <w:b/>
          <w:color w:val="231F20"/>
          <w:spacing w:val="-5"/>
          <w:w w:val="110"/>
          <w:sz w:val="18"/>
          <w:u w:val="single" w:color="231F20"/>
        </w:rPr>
        <w:t xml:space="preserve"> </w:t>
      </w:r>
      <w:r w:rsidRPr="00EA7458">
        <w:rPr>
          <w:rFonts w:ascii="Calibri" w:hAnsi="Calibri"/>
          <w:b/>
          <w:color w:val="231F20"/>
          <w:w w:val="110"/>
          <w:sz w:val="18"/>
          <w:u w:val="single" w:color="231F20"/>
        </w:rPr>
        <w:t>VI</w:t>
      </w:r>
      <w:r w:rsidRPr="00EA7458">
        <w:rPr>
          <w:rFonts w:ascii="Calibri" w:hAnsi="Calibri"/>
          <w:b/>
          <w:color w:val="231F20"/>
          <w:w w:val="113"/>
          <w:sz w:val="18"/>
          <w:u w:val="single" w:color="231F20"/>
        </w:rPr>
        <w:t xml:space="preserve"> </w:t>
      </w:r>
      <w:r w:rsidRPr="00EA7458">
        <w:rPr>
          <w:rFonts w:ascii="Calibri" w:hAnsi="Calibri"/>
          <w:b/>
          <w:color w:val="231F20"/>
          <w:sz w:val="18"/>
          <w:u w:val="single" w:color="231F20"/>
        </w:rPr>
        <w:tab/>
      </w:r>
      <w:r w:rsidRPr="00EA7458">
        <w:rPr>
          <w:rFonts w:ascii="Calibri" w:hAnsi="Calibri"/>
          <w:b/>
          <w:color w:val="231F20"/>
          <w:w w:val="46"/>
          <w:sz w:val="18"/>
          <w:u w:val="single" w:color="231F20"/>
        </w:rPr>
        <w:t xml:space="preserve"> </w:t>
      </w:r>
      <w:r w:rsidRPr="00EA7458">
        <w:rPr>
          <w:rFonts w:ascii="Calibri" w:hAnsi="Calibri"/>
          <w:b/>
          <w:color w:val="231F20"/>
          <w:sz w:val="18"/>
        </w:rPr>
        <w:t xml:space="preserve"> </w:t>
      </w:r>
      <w:hyperlink w:anchor="_bookmark57" w:history="1">
        <w:r w:rsidRPr="00EA7458">
          <w:rPr>
            <w:rFonts w:ascii="Calibri" w:hAnsi="Calibri"/>
            <w:b/>
            <w:color w:val="231F20"/>
            <w:w w:val="110"/>
            <w:sz w:val="18"/>
          </w:rPr>
          <w:t>Figure</w:t>
        </w:r>
        <w:r w:rsidRPr="00EA7458">
          <w:rPr>
            <w:rFonts w:ascii="Calibri" w:hAnsi="Calibri"/>
            <w:b/>
            <w:color w:val="231F20"/>
            <w:spacing w:val="-16"/>
            <w:w w:val="110"/>
            <w:sz w:val="18"/>
          </w:rPr>
          <w:t xml:space="preserve"> </w:t>
        </w:r>
        <w:r w:rsidRPr="00EA7458">
          <w:rPr>
            <w:rFonts w:ascii="Calibri" w:hAnsi="Calibri"/>
            <w:b/>
            <w:color w:val="231F20"/>
            <w:w w:val="110"/>
            <w:sz w:val="18"/>
          </w:rPr>
          <w:t>6.01</w:t>
        </w:r>
        <w:r w:rsidRPr="00EA7458">
          <w:rPr>
            <w:rFonts w:ascii="Calibri" w:hAnsi="Calibri"/>
            <w:b/>
            <w:color w:val="231F20"/>
            <w:spacing w:val="-16"/>
            <w:w w:val="110"/>
            <w:sz w:val="18"/>
          </w:rPr>
          <w:t xml:space="preserve"> </w:t>
        </w:r>
        <w:r w:rsidRPr="00EA7458">
          <w:rPr>
            <w:rFonts w:ascii="Calibri" w:hAnsi="Calibri"/>
            <w:color w:val="231F20"/>
            <w:w w:val="110"/>
            <w:sz w:val="18"/>
          </w:rPr>
          <w:t>CareerSource</w:t>
        </w:r>
        <w:r w:rsidRPr="00EA7458">
          <w:rPr>
            <w:rFonts w:ascii="Calibri" w:hAnsi="Calibri"/>
            <w:color w:val="231F20"/>
            <w:spacing w:val="-16"/>
            <w:w w:val="110"/>
            <w:sz w:val="18"/>
          </w:rPr>
          <w:t xml:space="preserve"> </w:t>
        </w:r>
        <w:r w:rsidRPr="00EA7458">
          <w:rPr>
            <w:rFonts w:ascii="Calibri" w:hAnsi="Calibri"/>
            <w:color w:val="231F20"/>
            <w:w w:val="110"/>
            <w:sz w:val="18"/>
          </w:rPr>
          <w:t>Florida</w:t>
        </w:r>
        <w:r w:rsidRPr="00EA7458">
          <w:rPr>
            <w:rFonts w:ascii="Calibri" w:hAnsi="Calibri"/>
            <w:color w:val="231F20"/>
            <w:spacing w:val="-16"/>
            <w:w w:val="110"/>
            <w:sz w:val="18"/>
          </w:rPr>
          <w:t xml:space="preserve"> </w:t>
        </w:r>
        <w:r w:rsidRPr="00EA7458">
          <w:rPr>
            <w:rFonts w:ascii="Calibri" w:hAnsi="Calibri"/>
            <w:color w:val="231F20"/>
            <w:w w:val="110"/>
            <w:sz w:val="18"/>
          </w:rPr>
          <w:t>Network</w:t>
        </w:r>
        <w:r w:rsidRPr="00EA7458">
          <w:rPr>
            <w:rFonts w:ascii="Calibri" w:hAnsi="Calibri"/>
            <w:color w:val="231F20"/>
            <w:spacing w:val="-16"/>
            <w:w w:val="110"/>
            <w:sz w:val="18"/>
          </w:rPr>
          <w:t xml:space="preserve"> </w:t>
        </w:r>
        <w:r w:rsidRPr="00EA7458">
          <w:rPr>
            <w:rFonts w:ascii="Calibri" w:hAnsi="Calibri"/>
            <w:color w:val="231F20"/>
            <w:w w:val="110"/>
            <w:sz w:val="18"/>
          </w:rPr>
          <w:t>Map</w:t>
        </w:r>
      </w:hyperlink>
    </w:p>
    <w:p w14:paraId="72CCD791" w14:textId="77777777" w:rsidR="00EA7458" w:rsidRPr="00EA7458" w:rsidRDefault="00EA7458" w:rsidP="00EA7458">
      <w:pPr>
        <w:widowControl w:val="0"/>
        <w:spacing w:after="0" w:line="240" w:lineRule="auto"/>
        <w:rPr>
          <w:rFonts w:ascii="Calibri" w:hAnsi="Calibri" w:cs="Calibri"/>
          <w:sz w:val="18"/>
          <w:szCs w:val="18"/>
        </w:rPr>
      </w:pPr>
    </w:p>
    <w:p w14:paraId="3776C64B" w14:textId="77777777" w:rsidR="008D082B" w:rsidRPr="008D082B" w:rsidRDefault="00EA7458" w:rsidP="008D082B">
      <w:pPr>
        <w:widowControl w:val="0"/>
        <w:tabs>
          <w:tab w:val="left" w:pos="5099"/>
        </w:tabs>
        <w:spacing w:before="110" w:after="0" w:line="240" w:lineRule="auto"/>
        <w:ind w:left="107"/>
        <w:rPr>
          <w:rFonts w:ascii="Calibri" w:hAnsi="Calibri" w:cs="Calibri"/>
          <w:sz w:val="18"/>
          <w:szCs w:val="18"/>
        </w:rPr>
      </w:pPr>
      <w:r w:rsidRPr="00EA7458">
        <w:rPr>
          <w:rFonts w:ascii="Calibri" w:hAnsi="Calibri"/>
          <w:b/>
          <w:color w:val="231F20"/>
          <w:w w:val="110"/>
          <w:sz w:val="18"/>
          <w:u w:val="single" w:color="231F20"/>
        </w:rPr>
        <w:t>Section</w:t>
      </w:r>
      <w:r w:rsidRPr="00EA7458">
        <w:rPr>
          <w:rFonts w:ascii="Calibri" w:hAnsi="Calibri"/>
          <w:b/>
          <w:color w:val="231F20"/>
          <w:spacing w:val="5"/>
          <w:w w:val="110"/>
          <w:sz w:val="18"/>
          <w:u w:val="single" w:color="231F20"/>
        </w:rPr>
        <w:t xml:space="preserve"> </w:t>
      </w:r>
      <w:r w:rsidRPr="00EA7458">
        <w:rPr>
          <w:rFonts w:ascii="Calibri" w:hAnsi="Calibri"/>
          <w:b/>
          <w:color w:val="231F20"/>
          <w:w w:val="110"/>
          <w:sz w:val="18"/>
          <w:u w:val="single" w:color="231F20"/>
        </w:rPr>
        <w:t>VII</w:t>
      </w:r>
      <w:r w:rsidRPr="00EA7458">
        <w:rPr>
          <w:rFonts w:ascii="Calibri" w:hAnsi="Calibri"/>
          <w:b/>
          <w:color w:val="231F20"/>
          <w:w w:val="113"/>
          <w:sz w:val="18"/>
          <w:u w:val="single" w:color="231F20"/>
        </w:rPr>
        <w:t xml:space="preserve"> </w:t>
      </w:r>
      <w:r w:rsidRPr="00EA7458">
        <w:rPr>
          <w:rFonts w:ascii="Calibri" w:hAnsi="Calibri"/>
          <w:b/>
          <w:color w:val="231F20"/>
          <w:sz w:val="18"/>
          <w:u w:val="single" w:color="231F20"/>
        </w:rPr>
        <w:tab/>
      </w:r>
    </w:p>
    <w:p w14:paraId="62A20562" w14:textId="4CF55BF8" w:rsidR="008D082B" w:rsidRPr="00435774" w:rsidRDefault="00A36F63" w:rsidP="0B52496C">
      <w:pPr>
        <w:widowControl w:val="0"/>
        <w:spacing w:before="110" w:after="0" w:line="240" w:lineRule="auto"/>
        <w:ind w:left="107"/>
        <w:rPr>
          <w:rStyle w:val="Hyperlink"/>
          <w:rFonts w:ascii="Calibri" w:hAnsi="Calibri" w:cs="Calibri"/>
          <w:color w:val="auto"/>
          <w:sz w:val="18"/>
          <w:szCs w:val="18"/>
          <w:u w:val="none"/>
        </w:rPr>
      </w:pPr>
      <w:r w:rsidRPr="00435774">
        <w:fldChar w:fldCharType="begin"/>
      </w:r>
      <w:r w:rsidRPr="00435774">
        <w:rPr>
          <w:rFonts w:ascii="Calibri" w:hAnsi="Calibri"/>
          <w:b/>
          <w:w w:val="105"/>
          <w:sz w:val="18"/>
          <w:szCs w:val="18"/>
        </w:rPr>
        <w:instrText xml:space="preserve"> HYPERLINK  \l "_bookmark65" </w:instrText>
      </w:r>
      <w:r w:rsidRPr="00435774">
        <w:rPr>
          <w:rFonts w:ascii="Calibri" w:hAnsi="Calibri"/>
          <w:b/>
          <w:w w:val="105"/>
          <w:sz w:val="18"/>
          <w:szCs w:val="18"/>
        </w:rPr>
        <w:fldChar w:fldCharType="separate"/>
      </w:r>
      <w:r w:rsidR="008D082B" w:rsidRPr="0B52496C">
        <w:rPr>
          <w:rStyle w:val="Hyperlink"/>
          <w:rFonts w:ascii="Calibri" w:hAnsi="Calibri"/>
          <w:b/>
          <w:bCs/>
          <w:color w:val="auto"/>
          <w:w w:val="105"/>
          <w:sz w:val="18"/>
          <w:szCs w:val="18"/>
          <w:u w:val="none"/>
        </w:rPr>
        <w:t xml:space="preserve">Figure </w:t>
      </w:r>
      <w:r w:rsidR="008D082B" w:rsidRPr="0B52496C">
        <w:rPr>
          <w:rStyle w:val="Hyperlink"/>
          <w:rFonts w:ascii="Calibri" w:hAnsi="Calibri"/>
          <w:b/>
          <w:bCs/>
          <w:color w:val="auto"/>
          <w:spacing w:val="-6"/>
          <w:w w:val="105"/>
          <w:sz w:val="18"/>
          <w:szCs w:val="18"/>
          <w:u w:val="none"/>
        </w:rPr>
        <w:t xml:space="preserve">7.01 </w:t>
      </w:r>
      <w:r w:rsidR="00C3187E" w:rsidRPr="00435774">
        <w:rPr>
          <w:rStyle w:val="Hyperlink"/>
          <w:rFonts w:ascii="Calibri" w:hAnsi="Calibri"/>
          <w:color w:val="auto"/>
          <w:spacing w:val="-6"/>
          <w:w w:val="105"/>
          <w:sz w:val="18"/>
          <w:szCs w:val="18"/>
          <w:u w:val="none"/>
        </w:rPr>
        <w:t>Florida’s</w:t>
      </w:r>
      <w:r w:rsidR="00C3187E" w:rsidRPr="00435774">
        <w:rPr>
          <w:rStyle w:val="Hyperlink"/>
          <w:rFonts w:ascii="Calibri" w:hAnsi="Calibri"/>
          <w:color w:val="auto"/>
          <w:sz w:val="18"/>
          <w:szCs w:val="18"/>
          <w:u w:val="none"/>
        </w:rPr>
        <w:t xml:space="preserve"> Top </w:t>
      </w:r>
      <w:r w:rsidRPr="00435774">
        <w:rPr>
          <w:rStyle w:val="Hyperlink"/>
          <w:rFonts w:ascii="Calibri" w:hAnsi="Calibri"/>
          <w:color w:val="auto"/>
          <w:sz w:val="18"/>
          <w:szCs w:val="18"/>
          <w:u w:val="none"/>
        </w:rPr>
        <w:t xml:space="preserve">Major </w:t>
      </w:r>
      <w:r w:rsidR="00983FA7" w:rsidRPr="00435774">
        <w:rPr>
          <w:rStyle w:val="Hyperlink"/>
          <w:rFonts w:ascii="Calibri" w:hAnsi="Calibri"/>
          <w:color w:val="auto"/>
          <w:sz w:val="18"/>
          <w:szCs w:val="18"/>
          <w:u w:val="none"/>
        </w:rPr>
        <w:t>Labor-Intensive</w:t>
      </w:r>
      <w:r w:rsidRPr="00435774">
        <w:rPr>
          <w:rStyle w:val="Hyperlink"/>
          <w:rFonts w:ascii="Calibri" w:hAnsi="Calibri"/>
          <w:color w:val="auto"/>
          <w:sz w:val="18"/>
          <w:szCs w:val="18"/>
          <w:u w:val="none"/>
        </w:rPr>
        <w:t xml:space="preserve"> </w:t>
      </w:r>
      <w:r w:rsidR="00020A08">
        <w:rPr>
          <w:rStyle w:val="Hyperlink"/>
          <w:rFonts w:ascii="Calibri" w:hAnsi="Calibri"/>
          <w:color w:val="auto"/>
          <w:sz w:val="18"/>
          <w:szCs w:val="18"/>
          <w:u w:val="none"/>
        </w:rPr>
        <w:t xml:space="preserve">Crop </w:t>
      </w:r>
      <w:r w:rsidRPr="00435774">
        <w:rPr>
          <w:rStyle w:val="Hyperlink"/>
          <w:rFonts w:ascii="Calibri" w:hAnsi="Calibri"/>
          <w:color w:val="auto"/>
          <w:sz w:val="18"/>
          <w:szCs w:val="18"/>
          <w:u w:val="none"/>
        </w:rPr>
        <w:t>Activity</w:t>
      </w:r>
    </w:p>
    <w:p w14:paraId="7CB56E25" w14:textId="4E667DCF" w:rsidR="00EA7458" w:rsidRPr="00EA7458" w:rsidRDefault="00A36F63" w:rsidP="00EA7458">
      <w:pPr>
        <w:widowControl w:val="0"/>
        <w:spacing w:before="110" w:after="0" w:line="240" w:lineRule="auto"/>
        <w:ind w:left="107"/>
        <w:rPr>
          <w:rFonts w:ascii="Calibri" w:hAnsi="Calibri" w:cs="Calibri"/>
          <w:sz w:val="18"/>
          <w:szCs w:val="18"/>
        </w:rPr>
      </w:pPr>
      <w:r w:rsidRPr="00435774">
        <w:rPr>
          <w:rFonts w:ascii="Calibri" w:hAnsi="Calibri"/>
          <w:b/>
          <w:w w:val="105"/>
          <w:sz w:val="18"/>
          <w:szCs w:val="18"/>
        </w:rPr>
        <w:fldChar w:fldCharType="end"/>
      </w:r>
      <w:hyperlink w:anchor="_bookmark66" w:history="1">
        <w:r w:rsidR="00EA7458" w:rsidRPr="00EA7458">
          <w:rPr>
            <w:rFonts w:ascii="Calibri" w:hAnsi="Calibri"/>
            <w:b/>
            <w:color w:val="231F20"/>
            <w:w w:val="105"/>
            <w:sz w:val="18"/>
          </w:rPr>
          <w:t xml:space="preserve">Figure </w:t>
        </w:r>
        <w:r w:rsidR="00EA7458" w:rsidRPr="00EA7458">
          <w:rPr>
            <w:rFonts w:ascii="Calibri" w:hAnsi="Calibri"/>
            <w:b/>
            <w:color w:val="231F20"/>
            <w:spacing w:val="-6"/>
            <w:w w:val="105"/>
            <w:sz w:val="18"/>
          </w:rPr>
          <w:t>7.0</w:t>
        </w:r>
        <w:r w:rsidR="008D082B">
          <w:rPr>
            <w:rFonts w:ascii="Calibri" w:hAnsi="Calibri"/>
            <w:b/>
            <w:color w:val="231F20"/>
            <w:spacing w:val="-6"/>
            <w:w w:val="105"/>
            <w:sz w:val="18"/>
          </w:rPr>
          <w:t>2</w:t>
        </w:r>
        <w:r w:rsidR="00EA7458" w:rsidRPr="00EA7458">
          <w:rPr>
            <w:rFonts w:ascii="Calibri" w:hAnsi="Calibri"/>
            <w:b/>
            <w:color w:val="231F20"/>
            <w:spacing w:val="-6"/>
            <w:w w:val="105"/>
            <w:sz w:val="18"/>
          </w:rPr>
          <w:t xml:space="preserve"> </w:t>
        </w:r>
        <w:r w:rsidR="00EA7458" w:rsidRPr="00EA7458">
          <w:rPr>
            <w:rFonts w:ascii="Calibri" w:hAnsi="Calibri"/>
            <w:color w:val="231F20"/>
            <w:w w:val="105"/>
            <w:sz w:val="18"/>
          </w:rPr>
          <w:t>MSFW Significant/Bilingual Office Locations</w:t>
        </w:r>
      </w:hyperlink>
    </w:p>
    <w:p w14:paraId="574F70B5" w14:textId="77777777" w:rsidR="00EA7458" w:rsidRDefault="00EA7458" w:rsidP="00EA7458">
      <w:pPr>
        <w:widowControl w:val="0"/>
        <w:spacing w:after="0" w:line="240" w:lineRule="auto"/>
        <w:rPr>
          <w:rFonts w:ascii="Calibri" w:hAnsi="Calibri" w:cs="Calibri"/>
          <w:sz w:val="18"/>
          <w:szCs w:val="18"/>
        </w:rPr>
      </w:pPr>
    </w:p>
    <w:p w14:paraId="2EEC8D02" w14:textId="3EDC8657" w:rsidR="00EA7458" w:rsidRDefault="00EA7458" w:rsidP="00EA7458">
      <w:pPr>
        <w:widowControl w:val="0"/>
        <w:spacing w:before="1" w:after="0" w:line="240" w:lineRule="auto"/>
        <w:rPr>
          <w:rFonts w:ascii="Calibri" w:hAnsi="Calibri" w:cs="Calibri"/>
          <w:sz w:val="18"/>
          <w:szCs w:val="18"/>
        </w:rPr>
      </w:pPr>
    </w:p>
    <w:p w14:paraId="2D1A895B" w14:textId="6E14220D" w:rsidR="00600A6C" w:rsidRDefault="00600A6C" w:rsidP="00EA7458">
      <w:pPr>
        <w:widowControl w:val="0"/>
        <w:spacing w:before="1" w:after="0" w:line="240" w:lineRule="auto"/>
        <w:rPr>
          <w:rFonts w:ascii="Calibri" w:hAnsi="Calibri" w:cs="Calibri"/>
          <w:sz w:val="18"/>
          <w:szCs w:val="18"/>
        </w:rPr>
      </w:pPr>
    </w:p>
    <w:p w14:paraId="156B3D31" w14:textId="77777777" w:rsidR="00600A6C" w:rsidRPr="00EA7458" w:rsidRDefault="00600A6C" w:rsidP="00EA7458">
      <w:pPr>
        <w:widowControl w:val="0"/>
        <w:spacing w:before="1" w:after="0" w:line="240" w:lineRule="auto"/>
        <w:rPr>
          <w:rFonts w:ascii="Calibri" w:hAnsi="Calibri" w:cs="Calibri"/>
          <w:sz w:val="18"/>
          <w:szCs w:val="18"/>
        </w:rPr>
      </w:pPr>
    </w:p>
    <w:p w14:paraId="43EA47E3" w14:textId="77777777" w:rsidR="00EA7458" w:rsidRPr="00EA7458" w:rsidRDefault="00EA7458" w:rsidP="00EA7458">
      <w:pPr>
        <w:widowControl w:val="0"/>
        <w:tabs>
          <w:tab w:val="left" w:pos="5099"/>
        </w:tabs>
        <w:spacing w:after="0" w:line="240" w:lineRule="auto"/>
        <w:ind w:left="107"/>
        <w:rPr>
          <w:rFonts w:ascii="Calibri" w:hAnsi="Calibri" w:cs="Calibri"/>
          <w:sz w:val="18"/>
          <w:szCs w:val="18"/>
        </w:rPr>
      </w:pPr>
      <w:r w:rsidRPr="00EA7458">
        <w:rPr>
          <w:rFonts w:ascii="Calibri" w:hAnsi="Calibri"/>
          <w:b/>
          <w:color w:val="231F20"/>
          <w:w w:val="110"/>
          <w:sz w:val="18"/>
          <w:u w:val="single" w:color="231F20"/>
        </w:rPr>
        <w:t>Section</w:t>
      </w:r>
      <w:r w:rsidRPr="00EA7458">
        <w:rPr>
          <w:rFonts w:ascii="Calibri" w:hAnsi="Calibri"/>
          <w:b/>
          <w:color w:val="231F20"/>
          <w:spacing w:val="1"/>
          <w:w w:val="110"/>
          <w:sz w:val="18"/>
          <w:u w:val="single" w:color="231F20"/>
        </w:rPr>
        <w:t xml:space="preserve"> </w:t>
      </w:r>
      <w:r w:rsidRPr="00EA7458">
        <w:rPr>
          <w:rFonts w:ascii="Calibri" w:hAnsi="Calibri"/>
          <w:b/>
          <w:color w:val="231F20"/>
          <w:w w:val="110"/>
          <w:sz w:val="18"/>
          <w:u w:val="single" w:color="231F20"/>
        </w:rPr>
        <w:t>VIII</w:t>
      </w:r>
      <w:r w:rsidRPr="00EA7458">
        <w:rPr>
          <w:rFonts w:ascii="Calibri" w:hAnsi="Calibri"/>
          <w:b/>
          <w:color w:val="231F20"/>
          <w:w w:val="113"/>
          <w:sz w:val="18"/>
          <w:u w:val="single" w:color="231F20"/>
        </w:rPr>
        <w:t xml:space="preserve"> </w:t>
      </w:r>
      <w:r w:rsidRPr="00EA7458">
        <w:rPr>
          <w:rFonts w:ascii="Calibri" w:hAnsi="Calibri"/>
          <w:b/>
          <w:color w:val="231F20"/>
          <w:sz w:val="18"/>
          <w:u w:val="single" w:color="231F20"/>
        </w:rPr>
        <w:tab/>
      </w:r>
    </w:p>
    <w:p w14:paraId="775AF60A" w14:textId="77777777" w:rsidR="00600A6C" w:rsidRDefault="00BC1D20" w:rsidP="00600A6C">
      <w:pPr>
        <w:widowControl w:val="0"/>
        <w:spacing w:before="110" w:after="0" w:line="240" w:lineRule="auto"/>
        <w:ind w:left="107"/>
        <w:rPr>
          <w:rFonts w:ascii="Calibri" w:hAnsi="Calibri"/>
          <w:color w:val="231F20"/>
          <w:w w:val="110"/>
          <w:sz w:val="18"/>
        </w:rPr>
      </w:pPr>
      <w:hyperlink w:anchor="_bookmark69" w:history="1">
        <w:r w:rsidR="00EA7458" w:rsidRPr="00EA7458">
          <w:rPr>
            <w:rFonts w:ascii="Calibri" w:hAnsi="Calibri"/>
            <w:b/>
            <w:color w:val="231F20"/>
            <w:w w:val="110"/>
            <w:sz w:val="18"/>
          </w:rPr>
          <w:t>Figure</w:t>
        </w:r>
        <w:r w:rsidR="00EA7458" w:rsidRPr="00EA7458">
          <w:rPr>
            <w:rFonts w:ascii="Calibri" w:hAnsi="Calibri"/>
            <w:b/>
            <w:color w:val="231F20"/>
            <w:spacing w:val="-10"/>
            <w:w w:val="110"/>
            <w:sz w:val="18"/>
          </w:rPr>
          <w:t xml:space="preserve"> </w:t>
        </w:r>
        <w:r w:rsidR="00EA7458" w:rsidRPr="00EA7458">
          <w:rPr>
            <w:rFonts w:ascii="Calibri" w:hAnsi="Calibri"/>
            <w:b/>
            <w:color w:val="231F20"/>
            <w:w w:val="110"/>
            <w:sz w:val="18"/>
          </w:rPr>
          <w:t>8.01</w:t>
        </w:r>
        <w:r w:rsidR="00EA7458" w:rsidRPr="00EA7458">
          <w:rPr>
            <w:rFonts w:ascii="Calibri" w:hAnsi="Calibri"/>
            <w:b/>
            <w:color w:val="231F20"/>
            <w:spacing w:val="-10"/>
            <w:w w:val="110"/>
            <w:sz w:val="18"/>
          </w:rPr>
          <w:t xml:space="preserve"> </w:t>
        </w:r>
        <w:r w:rsidR="00EA7458" w:rsidRPr="00EA7458">
          <w:rPr>
            <w:rFonts w:ascii="Calibri" w:hAnsi="Calibri"/>
            <w:color w:val="231F20"/>
            <w:w w:val="110"/>
            <w:sz w:val="18"/>
          </w:rPr>
          <w:t>Adu</w:t>
        </w:r>
        <w:r w:rsidR="00EA7458" w:rsidRPr="00BA3E09">
          <w:rPr>
            <w:rFonts w:ascii="Calibri" w:hAnsi="Calibri"/>
            <w:color w:val="231F20"/>
            <w:w w:val="110"/>
            <w:sz w:val="18"/>
          </w:rPr>
          <w:t>lt</w:t>
        </w:r>
        <w:r w:rsidR="00EA7458" w:rsidRPr="00BA3E09">
          <w:rPr>
            <w:rFonts w:ascii="Calibri" w:hAnsi="Calibri"/>
            <w:color w:val="231F20"/>
            <w:spacing w:val="-10"/>
            <w:w w:val="110"/>
            <w:sz w:val="18"/>
          </w:rPr>
          <w:t xml:space="preserve"> </w:t>
        </w:r>
        <w:r w:rsidR="00EA7458" w:rsidRPr="00BA3E09">
          <w:rPr>
            <w:rFonts w:ascii="Calibri" w:hAnsi="Calibri"/>
            <w:color w:val="231F20"/>
            <w:w w:val="110"/>
            <w:sz w:val="18"/>
          </w:rPr>
          <w:t>General</w:t>
        </w:r>
        <w:r w:rsidR="00EA7458" w:rsidRPr="00BA3E09">
          <w:rPr>
            <w:rFonts w:ascii="Calibri" w:hAnsi="Calibri"/>
            <w:color w:val="231F20"/>
            <w:spacing w:val="-10"/>
            <w:w w:val="110"/>
            <w:sz w:val="18"/>
          </w:rPr>
          <w:t xml:space="preserve"> </w:t>
        </w:r>
        <w:r w:rsidR="00EA7458" w:rsidRPr="00BA3E09">
          <w:rPr>
            <w:rFonts w:ascii="Calibri" w:hAnsi="Calibri"/>
            <w:color w:val="231F20"/>
            <w:w w:val="110"/>
            <w:sz w:val="18"/>
          </w:rPr>
          <w:t>Edu</w:t>
        </w:r>
        <w:r w:rsidR="00EA7458" w:rsidRPr="00EA7458">
          <w:rPr>
            <w:rFonts w:ascii="Calibri" w:hAnsi="Calibri"/>
            <w:color w:val="231F20"/>
            <w:w w:val="110"/>
            <w:sz w:val="18"/>
          </w:rPr>
          <w:t>cation</w:t>
        </w:r>
        <w:r w:rsidR="00EA7458" w:rsidRPr="00EA7458">
          <w:rPr>
            <w:rFonts w:ascii="Calibri" w:hAnsi="Calibri"/>
            <w:color w:val="231F20"/>
            <w:spacing w:val="-10"/>
            <w:w w:val="110"/>
            <w:sz w:val="18"/>
          </w:rPr>
          <w:t xml:space="preserve"> </w:t>
        </w:r>
        <w:r w:rsidR="00EA7458" w:rsidRPr="00EA7458">
          <w:rPr>
            <w:rFonts w:ascii="Calibri" w:hAnsi="Calibri"/>
            <w:color w:val="231F20"/>
            <w:w w:val="110"/>
            <w:sz w:val="18"/>
          </w:rPr>
          <w:t>Programs</w:t>
        </w:r>
        <w:r w:rsidR="00EA7458" w:rsidRPr="00EA7458">
          <w:rPr>
            <w:rFonts w:ascii="Calibri" w:hAnsi="Calibri"/>
            <w:color w:val="231F20"/>
            <w:spacing w:val="-10"/>
            <w:w w:val="110"/>
            <w:sz w:val="18"/>
          </w:rPr>
          <w:t xml:space="preserve"> </w:t>
        </w:r>
        <w:r w:rsidR="00EA7458" w:rsidRPr="00EA7458">
          <w:rPr>
            <w:rFonts w:ascii="Calibri" w:hAnsi="Calibri"/>
            <w:color w:val="231F20"/>
            <w:w w:val="110"/>
            <w:sz w:val="18"/>
          </w:rPr>
          <w:t>and</w:t>
        </w:r>
        <w:r w:rsidR="00EA7458" w:rsidRPr="00EA7458">
          <w:rPr>
            <w:rFonts w:ascii="Calibri" w:hAnsi="Calibri"/>
            <w:color w:val="231F20"/>
            <w:spacing w:val="-10"/>
            <w:w w:val="110"/>
            <w:sz w:val="18"/>
          </w:rPr>
          <w:t xml:space="preserve"> </w:t>
        </w:r>
        <w:r w:rsidR="00EA7458" w:rsidRPr="00EA7458">
          <w:rPr>
            <w:rFonts w:ascii="Calibri" w:hAnsi="Calibri"/>
            <w:color w:val="231F20"/>
            <w:w w:val="110"/>
            <w:sz w:val="18"/>
          </w:rPr>
          <w:t>Courses</w:t>
        </w:r>
      </w:hyperlink>
    </w:p>
    <w:p w14:paraId="7C6CF25E" w14:textId="77777777" w:rsidR="00600A6C" w:rsidRDefault="00600A6C" w:rsidP="00600A6C">
      <w:pPr>
        <w:widowControl w:val="0"/>
        <w:spacing w:before="110" w:after="0" w:line="240" w:lineRule="auto"/>
        <w:ind w:left="107"/>
        <w:rPr>
          <w:rFonts w:ascii="Calibri" w:hAnsi="Calibri"/>
          <w:color w:val="231F20"/>
          <w:w w:val="110"/>
          <w:sz w:val="18"/>
        </w:rPr>
      </w:pPr>
    </w:p>
    <w:p w14:paraId="34ABED46" w14:textId="779DD122" w:rsidR="00EA7458" w:rsidRPr="00EA7458" w:rsidRDefault="00EA7458" w:rsidP="00600A6C">
      <w:pPr>
        <w:widowControl w:val="0"/>
        <w:spacing w:before="110" w:after="0" w:line="240" w:lineRule="auto"/>
        <w:ind w:left="107"/>
        <w:rPr>
          <w:rFonts w:ascii="Calibri" w:hAnsi="Calibri" w:cs="Calibri"/>
          <w:sz w:val="18"/>
          <w:szCs w:val="18"/>
        </w:rPr>
      </w:pPr>
      <w:r w:rsidRPr="00EA7458">
        <w:rPr>
          <w:rFonts w:ascii="Calibri" w:hAnsi="Calibri"/>
          <w:b/>
          <w:color w:val="231F20"/>
          <w:w w:val="115"/>
          <w:sz w:val="18"/>
          <w:u w:val="single" w:color="231F20"/>
        </w:rPr>
        <w:t>Section</w:t>
      </w:r>
      <w:r w:rsidRPr="00EA7458">
        <w:rPr>
          <w:rFonts w:ascii="Calibri" w:hAnsi="Calibri"/>
          <w:b/>
          <w:color w:val="231F20"/>
          <w:spacing w:val="-24"/>
          <w:w w:val="115"/>
          <w:sz w:val="18"/>
          <w:u w:val="single" w:color="231F20"/>
        </w:rPr>
        <w:t xml:space="preserve"> </w:t>
      </w:r>
      <w:r w:rsidRPr="00EA7458">
        <w:rPr>
          <w:rFonts w:ascii="Calibri" w:hAnsi="Calibri"/>
          <w:b/>
          <w:color w:val="231F20"/>
          <w:w w:val="115"/>
          <w:sz w:val="18"/>
          <w:u w:val="single" w:color="231F20"/>
        </w:rPr>
        <w:t>IX</w:t>
      </w:r>
      <w:r w:rsidRPr="00EA7458">
        <w:rPr>
          <w:rFonts w:ascii="Calibri" w:hAnsi="Calibri"/>
          <w:b/>
          <w:color w:val="231F20"/>
          <w:w w:val="113"/>
          <w:sz w:val="18"/>
          <w:u w:val="single" w:color="231F20"/>
        </w:rPr>
        <w:t xml:space="preserve"> </w:t>
      </w:r>
      <w:r w:rsidRPr="00EA7458">
        <w:rPr>
          <w:rFonts w:ascii="Calibri" w:hAnsi="Calibri"/>
          <w:b/>
          <w:color w:val="231F20"/>
          <w:sz w:val="18"/>
          <w:u w:val="single" w:color="231F20"/>
        </w:rPr>
        <w:tab/>
      </w:r>
    </w:p>
    <w:p w14:paraId="42BA615C" w14:textId="77777777" w:rsidR="00EA7458" w:rsidRPr="00EA7458" w:rsidRDefault="00BC1D20" w:rsidP="00EA7458">
      <w:pPr>
        <w:widowControl w:val="0"/>
        <w:spacing w:before="110" w:after="0" w:line="240" w:lineRule="auto"/>
        <w:ind w:left="107" w:right="716"/>
        <w:rPr>
          <w:rFonts w:ascii="Calibri" w:hAnsi="Calibri" w:cs="Calibri"/>
          <w:sz w:val="18"/>
          <w:szCs w:val="18"/>
        </w:rPr>
      </w:pPr>
      <w:hyperlink w:anchor="_bookmark82" w:history="1">
        <w:r w:rsidR="00EA7458" w:rsidRPr="00EA7458">
          <w:rPr>
            <w:rFonts w:ascii="Calibri" w:hAnsi="Calibri"/>
            <w:b/>
            <w:color w:val="231F20"/>
            <w:w w:val="110"/>
            <w:sz w:val="18"/>
          </w:rPr>
          <w:t>Figure</w:t>
        </w:r>
        <w:r w:rsidR="00EA7458" w:rsidRPr="00EA7458">
          <w:rPr>
            <w:rFonts w:ascii="Calibri" w:hAnsi="Calibri"/>
            <w:b/>
            <w:color w:val="231F20"/>
            <w:spacing w:val="-7"/>
            <w:w w:val="110"/>
            <w:sz w:val="18"/>
          </w:rPr>
          <w:t xml:space="preserve"> </w:t>
        </w:r>
        <w:r w:rsidR="00EA7458" w:rsidRPr="00EA7458">
          <w:rPr>
            <w:rFonts w:ascii="Calibri" w:hAnsi="Calibri"/>
            <w:b/>
            <w:color w:val="231F20"/>
            <w:spacing w:val="-3"/>
            <w:w w:val="110"/>
            <w:sz w:val="18"/>
          </w:rPr>
          <w:t>9.01</w:t>
        </w:r>
        <w:r w:rsidR="00EA7458" w:rsidRPr="00EA7458">
          <w:rPr>
            <w:rFonts w:ascii="Calibri" w:hAnsi="Calibri"/>
            <w:b/>
            <w:color w:val="231F20"/>
            <w:spacing w:val="-7"/>
            <w:w w:val="110"/>
            <w:sz w:val="18"/>
          </w:rPr>
          <w:t xml:space="preserve"> </w:t>
        </w:r>
        <w:r w:rsidR="00EA7458" w:rsidRPr="00EA7458">
          <w:rPr>
            <w:rFonts w:ascii="Calibri" w:hAnsi="Calibri"/>
            <w:color w:val="231F20"/>
            <w:w w:val="110"/>
            <w:sz w:val="18"/>
          </w:rPr>
          <w:t>VR</w:t>
        </w:r>
        <w:r w:rsidR="00EA7458" w:rsidRPr="00EA7458">
          <w:rPr>
            <w:rFonts w:ascii="Calibri" w:hAnsi="Calibri"/>
            <w:color w:val="231F20"/>
            <w:spacing w:val="-7"/>
            <w:w w:val="110"/>
            <w:sz w:val="18"/>
          </w:rPr>
          <w:t xml:space="preserve"> </w:t>
        </w:r>
        <w:r w:rsidR="00EA7458" w:rsidRPr="00EA7458">
          <w:rPr>
            <w:rFonts w:ascii="Calibri" w:hAnsi="Calibri"/>
            <w:color w:val="231F20"/>
            <w:w w:val="110"/>
            <w:sz w:val="18"/>
          </w:rPr>
          <w:t>Personnel</w:t>
        </w:r>
        <w:r w:rsidR="00EA7458" w:rsidRPr="00EA7458">
          <w:rPr>
            <w:rFonts w:ascii="Calibri" w:hAnsi="Calibri"/>
            <w:color w:val="231F20"/>
            <w:spacing w:val="-7"/>
            <w:w w:val="110"/>
            <w:sz w:val="18"/>
          </w:rPr>
          <w:t xml:space="preserve"> </w:t>
        </w:r>
        <w:r w:rsidR="00EA7458" w:rsidRPr="00EA7458">
          <w:rPr>
            <w:rFonts w:ascii="Calibri" w:hAnsi="Calibri"/>
            <w:color w:val="231F20"/>
            <w:w w:val="110"/>
            <w:sz w:val="18"/>
          </w:rPr>
          <w:t>and</w:t>
        </w:r>
        <w:r w:rsidR="00EA7458" w:rsidRPr="00EA7458">
          <w:rPr>
            <w:rFonts w:ascii="Calibri" w:hAnsi="Calibri"/>
            <w:color w:val="231F20"/>
            <w:spacing w:val="-7"/>
            <w:w w:val="110"/>
            <w:sz w:val="18"/>
          </w:rPr>
          <w:t xml:space="preserve"> </w:t>
        </w:r>
        <w:r w:rsidR="00EA7458" w:rsidRPr="00EA7458">
          <w:rPr>
            <w:rFonts w:ascii="Calibri" w:hAnsi="Calibri"/>
            <w:color w:val="231F20"/>
            <w:w w:val="110"/>
            <w:sz w:val="18"/>
          </w:rPr>
          <w:t>Projected</w:t>
        </w:r>
        <w:r w:rsidR="00EA7458" w:rsidRPr="00EA7458">
          <w:rPr>
            <w:rFonts w:ascii="Calibri" w:hAnsi="Calibri"/>
            <w:color w:val="231F20"/>
            <w:spacing w:val="-7"/>
            <w:w w:val="110"/>
            <w:sz w:val="18"/>
          </w:rPr>
          <w:t xml:space="preserve"> </w:t>
        </w:r>
        <w:r w:rsidR="00EA7458" w:rsidRPr="00EA7458">
          <w:rPr>
            <w:rFonts w:ascii="Calibri" w:hAnsi="Calibri"/>
            <w:color w:val="231F20"/>
            <w:w w:val="110"/>
            <w:sz w:val="18"/>
          </w:rPr>
          <w:t>Staffing</w:t>
        </w:r>
        <w:r w:rsidR="00EA7458" w:rsidRPr="00EA7458">
          <w:rPr>
            <w:rFonts w:ascii="Calibri" w:hAnsi="Calibri"/>
            <w:color w:val="231F20"/>
            <w:spacing w:val="-7"/>
            <w:w w:val="110"/>
            <w:sz w:val="18"/>
          </w:rPr>
          <w:t xml:space="preserve"> </w:t>
        </w:r>
        <w:r w:rsidR="00EA7458" w:rsidRPr="00EA7458">
          <w:rPr>
            <w:rFonts w:ascii="Calibri" w:hAnsi="Calibri"/>
            <w:color w:val="231F20"/>
            <w:w w:val="110"/>
            <w:sz w:val="18"/>
          </w:rPr>
          <w:t>Needs</w:t>
        </w:r>
      </w:hyperlink>
    </w:p>
    <w:p w14:paraId="0335D27A" w14:textId="77777777" w:rsidR="00EA7458" w:rsidRPr="00EA7458" w:rsidRDefault="00BC1D20" w:rsidP="00EA7458">
      <w:pPr>
        <w:widowControl w:val="0"/>
        <w:spacing w:before="110" w:after="0" w:line="240" w:lineRule="auto"/>
        <w:ind w:left="107"/>
        <w:rPr>
          <w:rFonts w:ascii="Calibri" w:hAnsi="Calibri" w:cs="Calibri"/>
          <w:sz w:val="18"/>
          <w:szCs w:val="18"/>
        </w:rPr>
      </w:pPr>
      <w:hyperlink w:anchor="_bookmark83" w:history="1">
        <w:r w:rsidR="00EA7458" w:rsidRPr="00EA7458">
          <w:rPr>
            <w:rFonts w:ascii="Calibri" w:hAnsi="Calibri"/>
            <w:b/>
            <w:color w:val="231F20"/>
            <w:w w:val="105"/>
            <w:sz w:val="18"/>
          </w:rPr>
          <w:t xml:space="preserve">Figure </w:t>
        </w:r>
        <w:r w:rsidR="00EA7458" w:rsidRPr="00EA7458">
          <w:rPr>
            <w:rFonts w:ascii="Calibri" w:hAnsi="Calibri"/>
            <w:b/>
            <w:color w:val="231F20"/>
            <w:spacing w:val="-3"/>
            <w:w w:val="105"/>
            <w:sz w:val="18"/>
          </w:rPr>
          <w:t xml:space="preserve">9.02 </w:t>
        </w:r>
        <w:r w:rsidR="00EA7458" w:rsidRPr="00EA7458">
          <w:rPr>
            <w:rFonts w:ascii="Calibri" w:hAnsi="Calibri"/>
            <w:color w:val="231F20"/>
            <w:w w:val="105"/>
            <w:sz w:val="18"/>
          </w:rPr>
          <w:t>Program Data for Institutions of Higher Education</w:t>
        </w:r>
      </w:hyperlink>
    </w:p>
    <w:p w14:paraId="42D853CF" w14:textId="77777777" w:rsidR="00EA7458" w:rsidRPr="00EA7458" w:rsidRDefault="00BC1D20" w:rsidP="00EA7458">
      <w:pPr>
        <w:widowControl w:val="0"/>
        <w:spacing w:before="110" w:after="0" w:line="261" w:lineRule="auto"/>
        <w:ind w:left="107"/>
        <w:rPr>
          <w:rFonts w:ascii="Calibri" w:hAnsi="Calibri" w:cs="Calibri"/>
          <w:sz w:val="18"/>
          <w:szCs w:val="18"/>
        </w:rPr>
      </w:pPr>
      <w:hyperlink w:anchor="_bookmark85" w:history="1">
        <w:r w:rsidR="00EA7458" w:rsidRPr="00EA7458">
          <w:rPr>
            <w:rFonts w:ascii="Calibri" w:hAnsi="Calibri"/>
            <w:b/>
            <w:color w:val="231F20"/>
            <w:w w:val="110"/>
            <w:sz w:val="18"/>
          </w:rPr>
          <w:t xml:space="preserve">Figure </w:t>
        </w:r>
        <w:r w:rsidR="00EA7458" w:rsidRPr="00EA7458">
          <w:rPr>
            <w:rFonts w:ascii="Calibri" w:hAnsi="Calibri"/>
            <w:b/>
            <w:color w:val="231F20"/>
            <w:spacing w:val="-3"/>
            <w:w w:val="110"/>
            <w:sz w:val="18"/>
          </w:rPr>
          <w:t xml:space="preserve">9.03 </w:t>
        </w:r>
        <w:r w:rsidR="00EA7458" w:rsidRPr="00EA7458">
          <w:rPr>
            <w:rFonts w:ascii="Calibri" w:hAnsi="Calibri"/>
            <w:color w:val="231F20"/>
            <w:spacing w:val="-3"/>
            <w:w w:val="110"/>
            <w:sz w:val="18"/>
          </w:rPr>
          <w:t xml:space="preserve">Key </w:t>
        </w:r>
        <w:r w:rsidR="00EA7458" w:rsidRPr="00EA7458">
          <w:rPr>
            <w:rFonts w:ascii="Calibri" w:hAnsi="Calibri"/>
            <w:color w:val="231F20"/>
            <w:w w:val="110"/>
            <w:sz w:val="18"/>
          </w:rPr>
          <w:t>Results of Comprehensive Statewide</w:t>
        </w:r>
        <w:r w:rsidR="00EA7458" w:rsidRPr="00EA7458">
          <w:rPr>
            <w:rFonts w:ascii="Calibri" w:hAnsi="Calibri"/>
            <w:color w:val="231F20"/>
            <w:spacing w:val="-7"/>
            <w:w w:val="110"/>
            <w:sz w:val="18"/>
          </w:rPr>
          <w:t xml:space="preserve"> </w:t>
        </w:r>
        <w:r w:rsidR="00EA7458" w:rsidRPr="00EA7458">
          <w:rPr>
            <w:rFonts w:ascii="Calibri" w:hAnsi="Calibri"/>
            <w:color w:val="231F20"/>
            <w:w w:val="110"/>
            <w:sz w:val="18"/>
          </w:rPr>
          <w:t>Needs</w:t>
        </w:r>
      </w:hyperlink>
      <w:r w:rsidR="00EA7458" w:rsidRPr="00EA7458">
        <w:rPr>
          <w:rFonts w:ascii="Calibri" w:hAnsi="Calibri"/>
          <w:color w:val="231F20"/>
          <w:w w:val="112"/>
          <w:sz w:val="18"/>
        </w:rPr>
        <w:t xml:space="preserve"> </w:t>
      </w:r>
      <w:hyperlink w:anchor="_bookmark85" w:history="1">
        <w:r w:rsidR="00EA7458" w:rsidRPr="00EA7458">
          <w:rPr>
            <w:rFonts w:ascii="Calibri" w:hAnsi="Calibri"/>
            <w:color w:val="231F20"/>
            <w:w w:val="110"/>
            <w:sz w:val="18"/>
          </w:rPr>
          <w:t>Assessment</w:t>
        </w:r>
        <w:r w:rsidR="00EA7458" w:rsidRPr="00EA7458">
          <w:rPr>
            <w:rFonts w:ascii="Calibri" w:hAnsi="Calibri"/>
            <w:color w:val="231F20"/>
            <w:spacing w:val="4"/>
            <w:w w:val="110"/>
            <w:sz w:val="18"/>
          </w:rPr>
          <w:t xml:space="preserve"> </w:t>
        </w:r>
        <w:r w:rsidR="00EA7458" w:rsidRPr="00EA7458">
          <w:rPr>
            <w:rFonts w:ascii="Calibri" w:hAnsi="Calibri"/>
            <w:color w:val="231F20"/>
            <w:w w:val="110"/>
            <w:sz w:val="18"/>
          </w:rPr>
          <w:t>Survey</w:t>
        </w:r>
      </w:hyperlink>
    </w:p>
    <w:p w14:paraId="0013FC9B" w14:textId="77777777" w:rsidR="00EA7458" w:rsidRPr="00E70F55" w:rsidRDefault="00BC1D20" w:rsidP="00E70F55">
      <w:pPr>
        <w:widowControl w:val="0"/>
        <w:spacing w:before="110" w:after="0" w:line="261" w:lineRule="auto"/>
        <w:ind w:left="107"/>
        <w:rPr>
          <w:rFonts w:ascii="Calibri" w:hAnsi="Calibri"/>
          <w:color w:val="231F20"/>
          <w:w w:val="110"/>
          <w:sz w:val="18"/>
        </w:rPr>
      </w:pPr>
      <w:hyperlink w:anchor="_bookmark86" w:history="1">
        <w:r w:rsidR="00EA7458" w:rsidRPr="00E70F55">
          <w:rPr>
            <w:rFonts w:ascii="Calibri" w:hAnsi="Calibri"/>
            <w:b/>
            <w:color w:val="231F20"/>
            <w:w w:val="110"/>
            <w:sz w:val="18"/>
          </w:rPr>
          <w:t>Figure 9.04</w:t>
        </w:r>
        <w:r w:rsidR="00EA7458" w:rsidRPr="00E70F55">
          <w:rPr>
            <w:rFonts w:ascii="Calibri" w:hAnsi="Calibri"/>
            <w:color w:val="231F20"/>
            <w:w w:val="110"/>
            <w:sz w:val="18"/>
          </w:rPr>
          <w:t xml:space="preserve"> CSNA Findings and Recommendations</w:t>
        </w:r>
      </w:hyperlink>
    </w:p>
    <w:p w14:paraId="19CE669B" w14:textId="36501712" w:rsidR="00EA7458" w:rsidRPr="00EA7458" w:rsidRDefault="00BC1D20" w:rsidP="0B52496C">
      <w:pPr>
        <w:widowControl w:val="0"/>
        <w:spacing w:before="110" w:after="0" w:line="261" w:lineRule="auto"/>
        <w:ind w:left="107"/>
        <w:rPr>
          <w:rFonts w:ascii="Calibri" w:hAnsi="Calibri" w:cs="Calibri"/>
          <w:sz w:val="18"/>
          <w:szCs w:val="18"/>
        </w:rPr>
      </w:pPr>
      <w:hyperlink w:anchor="_bookmark88" w:history="1">
        <w:r w:rsidR="00EA7458" w:rsidRPr="0B52496C">
          <w:rPr>
            <w:rFonts w:ascii="Calibri" w:hAnsi="Calibri"/>
            <w:b/>
            <w:bCs/>
            <w:color w:val="231F20"/>
            <w:w w:val="105"/>
            <w:sz w:val="18"/>
            <w:szCs w:val="18"/>
          </w:rPr>
          <w:t>Figure</w:t>
        </w:r>
        <w:r w:rsidR="00EA7458" w:rsidRPr="0B52496C">
          <w:rPr>
            <w:rFonts w:ascii="Calibri" w:hAnsi="Calibri"/>
            <w:b/>
            <w:bCs/>
            <w:color w:val="231F20"/>
            <w:spacing w:val="20"/>
            <w:w w:val="105"/>
            <w:sz w:val="18"/>
            <w:szCs w:val="18"/>
          </w:rPr>
          <w:t xml:space="preserve"> </w:t>
        </w:r>
        <w:r w:rsidR="00EA7458" w:rsidRPr="0B52496C">
          <w:rPr>
            <w:rFonts w:ascii="Calibri" w:hAnsi="Calibri"/>
            <w:b/>
            <w:bCs/>
            <w:color w:val="231F20"/>
            <w:spacing w:val="-3"/>
            <w:w w:val="105"/>
            <w:sz w:val="18"/>
            <w:szCs w:val="18"/>
          </w:rPr>
          <w:t>9.05</w:t>
        </w:r>
        <w:r w:rsidR="00EA7458" w:rsidRPr="0B52496C">
          <w:rPr>
            <w:rFonts w:ascii="Calibri" w:hAnsi="Calibri"/>
            <w:b/>
            <w:bCs/>
            <w:color w:val="231F20"/>
            <w:spacing w:val="20"/>
            <w:w w:val="105"/>
            <w:sz w:val="18"/>
            <w:szCs w:val="18"/>
          </w:rPr>
          <w:t xml:space="preserve"> </w:t>
        </w:r>
        <w:r w:rsidR="00EA7458" w:rsidRPr="0B52496C">
          <w:rPr>
            <w:rFonts w:ascii="Calibri" w:hAnsi="Calibri"/>
            <w:color w:val="231F20"/>
            <w:w w:val="105"/>
            <w:sz w:val="18"/>
            <w:szCs w:val="18"/>
          </w:rPr>
          <w:t>Projected</w:t>
        </w:r>
        <w:r w:rsidR="00EA7458" w:rsidRPr="0B52496C">
          <w:rPr>
            <w:rFonts w:ascii="Calibri" w:hAnsi="Calibri"/>
            <w:color w:val="231F20"/>
            <w:spacing w:val="20"/>
            <w:w w:val="105"/>
            <w:sz w:val="18"/>
            <w:szCs w:val="18"/>
          </w:rPr>
          <w:t xml:space="preserve"> </w:t>
        </w:r>
        <w:r w:rsidR="00EA7458" w:rsidRPr="0B52496C">
          <w:rPr>
            <w:rFonts w:ascii="Calibri" w:hAnsi="Calibri"/>
            <w:color w:val="231F20"/>
            <w:w w:val="105"/>
            <w:sz w:val="18"/>
            <w:szCs w:val="18"/>
          </w:rPr>
          <w:t>Number</w:t>
        </w:r>
        <w:r w:rsidR="00EA7458" w:rsidRPr="0B52496C">
          <w:rPr>
            <w:rFonts w:ascii="Calibri" w:hAnsi="Calibri"/>
            <w:color w:val="231F20"/>
            <w:spacing w:val="20"/>
            <w:w w:val="105"/>
            <w:sz w:val="18"/>
            <w:szCs w:val="18"/>
          </w:rPr>
          <w:t xml:space="preserve"> </w:t>
        </w:r>
        <w:r w:rsidR="00EA7458" w:rsidRPr="0B52496C">
          <w:rPr>
            <w:rFonts w:ascii="Calibri" w:hAnsi="Calibri"/>
            <w:color w:val="231F20"/>
            <w:w w:val="105"/>
            <w:sz w:val="18"/>
            <w:szCs w:val="18"/>
          </w:rPr>
          <w:t>of</w:t>
        </w:r>
        <w:r w:rsidR="00EA7458" w:rsidRPr="0B52496C">
          <w:rPr>
            <w:rFonts w:ascii="Calibri" w:hAnsi="Calibri"/>
            <w:color w:val="231F20"/>
            <w:spacing w:val="20"/>
            <w:w w:val="105"/>
            <w:sz w:val="18"/>
            <w:szCs w:val="18"/>
          </w:rPr>
          <w:t xml:space="preserve"> </w:t>
        </w:r>
        <w:r w:rsidR="00EA7458" w:rsidRPr="0B52496C">
          <w:rPr>
            <w:rFonts w:ascii="Calibri" w:hAnsi="Calibri"/>
            <w:color w:val="231F20"/>
            <w:w w:val="105"/>
            <w:sz w:val="18"/>
            <w:szCs w:val="18"/>
          </w:rPr>
          <w:t>Eligible</w:t>
        </w:r>
        <w:r w:rsidR="00EA7458" w:rsidRPr="0B52496C">
          <w:rPr>
            <w:rFonts w:ascii="Calibri" w:hAnsi="Calibri"/>
            <w:color w:val="231F20"/>
            <w:spacing w:val="20"/>
            <w:w w:val="105"/>
            <w:sz w:val="18"/>
            <w:szCs w:val="18"/>
          </w:rPr>
          <w:t xml:space="preserve"> </w:t>
        </w:r>
        <w:r w:rsidR="00EA7458" w:rsidRPr="0B52496C">
          <w:rPr>
            <w:rFonts w:ascii="Calibri" w:hAnsi="Calibri"/>
            <w:color w:val="231F20"/>
            <w:w w:val="105"/>
            <w:sz w:val="18"/>
            <w:szCs w:val="18"/>
          </w:rPr>
          <w:t>Individuals</w:t>
        </w:r>
        <w:r w:rsidR="00EA7458" w:rsidRPr="0B52496C">
          <w:rPr>
            <w:rFonts w:ascii="Calibri" w:hAnsi="Calibri"/>
            <w:color w:val="231F20"/>
            <w:spacing w:val="20"/>
            <w:w w:val="105"/>
            <w:sz w:val="18"/>
            <w:szCs w:val="18"/>
          </w:rPr>
          <w:t xml:space="preserve"> </w:t>
        </w:r>
        <w:r w:rsidR="00EA7458" w:rsidRPr="0B52496C">
          <w:rPr>
            <w:rFonts w:ascii="Calibri" w:hAnsi="Calibri"/>
            <w:color w:val="231F20"/>
            <w:w w:val="105"/>
            <w:sz w:val="18"/>
            <w:szCs w:val="18"/>
          </w:rPr>
          <w:t>to</w:t>
        </w:r>
        <w:r w:rsidR="00EA7458" w:rsidRPr="0B52496C">
          <w:rPr>
            <w:rFonts w:ascii="Calibri" w:hAnsi="Calibri"/>
            <w:color w:val="231F20"/>
            <w:spacing w:val="20"/>
            <w:w w:val="105"/>
            <w:sz w:val="18"/>
            <w:szCs w:val="18"/>
          </w:rPr>
          <w:t xml:space="preserve"> </w:t>
        </w:r>
        <w:r w:rsidR="00EA7458" w:rsidRPr="0B52496C">
          <w:rPr>
            <w:rFonts w:ascii="Calibri" w:hAnsi="Calibri"/>
            <w:color w:val="231F20"/>
            <w:w w:val="105"/>
            <w:sz w:val="18"/>
            <w:szCs w:val="18"/>
          </w:rPr>
          <w:t>Receive</w:t>
        </w:r>
      </w:hyperlink>
      <w:r w:rsidR="00EA7458" w:rsidRPr="0B52496C">
        <w:rPr>
          <w:rFonts w:ascii="Calibri" w:hAnsi="Calibri"/>
          <w:color w:val="231F20"/>
          <w:spacing w:val="-39"/>
          <w:w w:val="105"/>
          <w:sz w:val="18"/>
          <w:szCs w:val="18"/>
        </w:rPr>
        <w:t xml:space="preserve"> </w:t>
      </w:r>
      <w:hyperlink w:anchor="_bookmark88" w:history="1">
        <w:r w:rsidR="00983FA7" w:rsidRPr="0B52496C">
          <w:rPr>
            <w:rFonts w:ascii="Calibri" w:hAnsi="Calibri"/>
            <w:color w:val="231F20"/>
            <w:w w:val="105"/>
            <w:sz w:val="18"/>
            <w:szCs w:val="18"/>
          </w:rPr>
          <w:t>Vocational Rehabilitation</w:t>
        </w:r>
        <w:r w:rsidR="00EA7458" w:rsidRPr="0B52496C">
          <w:rPr>
            <w:rFonts w:ascii="Calibri" w:hAnsi="Calibri"/>
            <w:color w:val="231F20"/>
            <w:spacing w:val="10"/>
            <w:w w:val="105"/>
            <w:sz w:val="18"/>
            <w:szCs w:val="18"/>
          </w:rPr>
          <w:t xml:space="preserve"> </w:t>
        </w:r>
        <w:r w:rsidR="00EA7458" w:rsidRPr="0B52496C">
          <w:rPr>
            <w:rFonts w:ascii="Calibri" w:hAnsi="Calibri"/>
            <w:color w:val="231F20"/>
            <w:w w:val="105"/>
            <w:sz w:val="18"/>
            <w:szCs w:val="18"/>
          </w:rPr>
          <w:t>Services</w:t>
        </w:r>
      </w:hyperlink>
    </w:p>
    <w:p w14:paraId="1E4306CD" w14:textId="2D86DED2" w:rsidR="00EA7458" w:rsidRPr="00EA7458" w:rsidRDefault="00BC1D20" w:rsidP="00EA7458">
      <w:pPr>
        <w:widowControl w:val="0"/>
        <w:spacing w:before="90" w:after="0" w:line="261" w:lineRule="auto"/>
        <w:ind w:left="107"/>
        <w:rPr>
          <w:rFonts w:ascii="Calibri" w:hAnsi="Calibri" w:cs="Calibri"/>
          <w:sz w:val="18"/>
          <w:szCs w:val="18"/>
        </w:rPr>
      </w:pPr>
      <w:hyperlink w:anchor="_bookmark91" w:history="1">
        <w:r w:rsidR="00EA7458" w:rsidRPr="00EA7458">
          <w:rPr>
            <w:rFonts w:ascii="Calibri" w:hAnsi="Calibri"/>
            <w:b/>
            <w:color w:val="231F20"/>
            <w:w w:val="110"/>
            <w:sz w:val="18"/>
          </w:rPr>
          <w:t xml:space="preserve">Figure </w:t>
        </w:r>
        <w:r w:rsidR="00EA7458" w:rsidRPr="00EA7458">
          <w:rPr>
            <w:rFonts w:ascii="Calibri" w:hAnsi="Calibri"/>
            <w:b/>
            <w:color w:val="231F20"/>
            <w:spacing w:val="-3"/>
            <w:w w:val="110"/>
            <w:sz w:val="18"/>
          </w:rPr>
          <w:t xml:space="preserve">9.06 </w:t>
        </w:r>
        <w:r w:rsidR="00EA7458" w:rsidRPr="00EA7458">
          <w:rPr>
            <w:rFonts w:ascii="Calibri" w:hAnsi="Calibri"/>
            <w:color w:val="231F20"/>
            <w:w w:val="110"/>
            <w:sz w:val="18"/>
          </w:rPr>
          <w:t>Projected Outcome and Service Goals and</w:t>
        </w:r>
        <w:r w:rsidR="00EA7458" w:rsidRPr="00EA7458">
          <w:rPr>
            <w:rFonts w:ascii="Calibri" w:hAnsi="Calibri"/>
            <w:color w:val="231F20"/>
            <w:spacing w:val="-15"/>
            <w:w w:val="110"/>
            <w:sz w:val="18"/>
          </w:rPr>
          <w:t xml:space="preserve"> </w:t>
        </w:r>
        <w:r w:rsidR="00EA7458" w:rsidRPr="00EA7458">
          <w:rPr>
            <w:rFonts w:ascii="Calibri" w:hAnsi="Calibri"/>
            <w:color w:val="231F20"/>
            <w:w w:val="110"/>
            <w:sz w:val="18"/>
          </w:rPr>
          <w:t>Time</w:t>
        </w:r>
      </w:hyperlink>
      <w:r w:rsidR="00EA7458" w:rsidRPr="00EA7458">
        <w:rPr>
          <w:rFonts w:ascii="Calibri" w:hAnsi="Calibri"/>
          <w:color w:val="231F20"/>
          <w:w w:val="107"/>
          <w:sz w:val="18"/>
        </w:rPr>
        <w:t xml:space="preserve"> </w:t>
      </w:r>
      <w:r w:rsidR="00E70F55">
        <w:rPr>
          <w:rFonts w:ascii="Calibri" w:hAnsi="Calibri"/>
          <w:color w:val="231F20"/>
          <w:w w:val="107"/>
          <w:sz w:val="18"/>
        </w:rPr>
        <w:t xml:space="preserve">Frames for Federal Fiscal Year </w:t>
      </w:r>
      <w:hyperlink w:anchor="_bookmark91" w:history="1">
        <w:r w:rsidR="005E1F11">
          <w:rPr>
            <w:rFonts w:ascii="Calibri" w:hAnsi="Calibri"/>
            <w:color w:val="231F20"/>
            <w:w w:val="110"/>
            <w:sz w:val="18"/>
          </w:rPr>
          <w:t>2018-19</w:t>
        </w:r>
      </w:hyperlink>
    </w:p>
    <w:p w14:paraId="0C68BA57" w14:textId="77777777" w:rsidR="00EA7458" w:rsidRPr="00EA7458" w:rsidRDefault="00BC1D20" w:rsidP="00EA7458">
      <w:pPr>
        <w:widowControl w:val="0"/>
        <w:spacing w:before="90" w:after="0" w:line="240" w:lineRule="auto"/>
        <w:ind w:left="107" w:right="716"/>
        <w:rPr>
          <w:rFonts w:ascii="Calibri" w:hAnsi="Calibri" w:cs="Calibri"/>
          <w:sz w:val="18"/>
          <w:szCs w:val="18"/>
        </w:rPr>
      </w:pPr>
      <w:hyperlink w:anchor="_bookmark94" w:history="1">
        <w:r w:rsidR="00EA7458" w:rsidRPr="00EA7458">
          <w:rPr>
            <w:rFonts w:ascii="Calibri" w:hAnsi="Calibri"/>
            <w:b/>
            <w:color w:val="231F20"/>
            <w:w w:val="110"/>
            <w:sz w:val="18"/>
          </w:rPr>
          <w:t xml:space="preserve">Figure </w:t>
        </w:r>
        <w:r w:rsidR="00EA7458" w:rsidRPr="00EA7458">
          <w:rPr>
            <w:rFonts w:ascii="Calibri" w:hAnsi="Calibri"/>
            <w:b/>
            <w:color w:val="231F20"/>
            <w:spacing w:val="-3"/>
            <w:w w:val="110"/>
            <w:sz w:val="18"/>
          </w:rPr>
          <w:t xml:space="preserve">9.07 </w:t>
        </w:r>
        <w:r w:rsidR="00EA7458" w:rsidRPr="00EA7458">
          <w:rPr>
            <w:rFonts w:ascii="Calibri" w:hAnsi="Calibri"/>
            <w:color w:val="231F20"/>
            <w:w w:val="110"/>
            <w:sz w:val="18"/>
          </w:rPr>
          <w:t>Federal Standards and</w:t>
        </w:r>
        <w:r w:rsidR="00EA7458" w:rsidRPr="00EA7458">
          <w:rPr>
            <w:rFonts w:ascii="Calibri" w:hAnsi="Calibri"/>
            <w:color w:val="231F20"/>
            <w:spacing w:val="-30"/>
            <w:w w:val="110"/>
            <w:sz w:val="18"/>
          </w:rPr>
          <w:t xml:space="preserve"> </w:t>
        </w:r>
        <w:r w:rsidR="00EA7458" w:rsidRPr="00EA7458">
          <w:rPr>
            <w:rFonts w:ascii="Calibri" w:hAnsi="Calibri"/>
            <w:color w:val="231F20"/>
            <w:w w:val="110"/>
            <w:sz w:val="18"/>
          </w:rPr>
          <w:t>Indicators</w:t>
        </w:r>
      </w:hyperlink>
    </w:p>
    <w:p w14:paraId="1B4E66F1" w14:textId="77777777" w:rsidR="00EA7458" w:rsidRPr="00EA7458" w:rsidRDefault="00EA7458" w:rsidP="00EA7458">
      <w:pPr>
        <w:widowControl w:val="0"/>
        <w:spacing w:after="0" w:line="240" w:lineRule="auto"/>
        <w:rPr>
          <w:rFonts w:ascii="Calibri" w:hAnsi="Calibri" w:cs="Calibri"/>
          <w:sz w:val="18"/>
          <w:szCs w:val="18"/>
        </w:rPr>
      </w:pPr>
    </w:p>
    <w:p w14:paraId="29CFE685" w14:textId="77777777" w:rsidR="00EA7458" w:rsidRPr="00EA7458" w:rsidRDefault="00EA7458" w:rsidP="00EA7458">
      <w:pPr>
        <w:widowControl w:val="0"/>
        <w:spacing w:before="1" w:after="0" w:line="240" w:lineRule="auto"/>
        <w:rPr>
          <w:rFonts w:ascii="Calibri" w:hAnsi="Calibri" w:cs="Calibri"/>
          <w:sz w:val="18"/>
          <w:szCs w:val="18"/>
        </w:rPr>
      </w:pPr>
    </w:p>
    <w:p w14:paraId="27CB5449" w14:textId="77777777" w:rsidR="00EA7458" w:rsidRPr="00EA7458" w:rsidRDefault="00EA7458" w:rsidP="00EA7458">
      <w:pPr>
        <w:widowControl w:val="0"/>
        <w:tabs>
          <w:tab w:val="left" w:pos="5099"/>
        </w:tabs>
        <w:spacing w:after="0" w:line="240" w:lineRule="auto"/>
        <w:ind w:left="107"/>
        <w:rPr>
          <w:rFonts w:ascii="Calibri" w:hAnsi="Calibri" w:cs="Calibri"/>
          <w:sz w:val="18"/>
          <w:szCs w:val="18"/>
        </w:rPr>
      </w:pPr>
      <w:r w:rsidRPr="00EA7458">
        <w:rPr>
          <w:rFonts w:ascii="Calibri" w:hAnsi="Calibri"/>
          <w:b/>
          <w:color w:val="231F20"/>
          <w:w w:val="115"/>
          <w:sz w:val="18"/>
          <w:u w:val="single" w:color="231F20"/>
        </w:rPr>
        <w:t>Section</w:t>
      </w:r>
      <w:r w:rsidRPr="00EA7458">
        <w:rPr>
          <w:rFonts w:ascii="Calibri" w:hAnsi="Calibri"/>
          <w:b/>
          <w:color w:val="231F20"/>
          <w:spacing w:val="-18"/>
          <w:w w:val="115"/>
          <w:sz w:val="18"/>
          <w:u w:val="single" w:color="231F20"/>
        </w:rPr>
        <w:t xml:space="preserve"> </w:t>
      </w:r>
      <w:r w:rsidRPr="00EA7458">
        <w:rPr>
          <w:rFonts w:ascii="Calibri" w:hAnsi="Calibri"/>
          <w:b/>
          <w:color w:val="231F20"/>
          <w:w w:val="115"/>
          <w:sz w:val="18"/>
          <w:u w:val="single" w:color="231F20"/>
        </w:rPr>
        <w:t>X</w:t>
      </w:r>
      <w:r w:rsidRPr="00EA7458">
        <w:rPr>
          <w:rFonts w:ascii="Calibri" w:hAnsi="Calibri"/>
          <w:b/>
          <w:color w:val="231F20"/>
          <w:w w:val="113"/>
          <w:sz w:val="18"/>
          <w:u w:val="single" w:color="231F20"/>
        </w:rPr>
        <w:t xml:space="preserve"> </w:t>
      </w:r>
      <w:r w:rsidRPr="00EA7458">
        <w:rPr>
          <w:rFonts w:ascii="Calibri" w:hAnsi="Calibri"/>
          <w:b/>
          <w:color w:val="231F20"/>
          <w:sz w:val="18"/>
          <w:u w:val="single" w:color="231F20"/>
        </w:rPr>
        <w:tab/>
      </w:r>
    </w:p>
    <w:p w14:paraId="3E6D3170" w14:textId="52257CAA" w:rsidR="00EA7458" w:rsidRPr="00E70F55" w:rsidRDefault="00BC1D20" w:rsidP="00E70F55">
      <w:pPr>
        <w:widowControl w:val="0"/>
        <w:spacing w:before="90" w:after="0" w:line="240" w:lineRule="auto"/>
        <w:ind w:left="107" w:right="716"/>
        <w:rPr>
          <w:rFonts w:ascii="Calibri" w:hAnsi="Calibri"/>
          <w:b/>
          <w:color w:val="231F20"/>
          <w:w w:val="110"/>
          <w:sz w:val="18"/>
        </w:rPr>
      </w:pPr>
      <w:hyperlink w:anchor="_bookmark108" w:history="1">
        <w:r w:rsidR="00EA7458" w:rsidRPr="00E70F55">
          <w:rPr>
            <w:rFonts w:ascii="Calibri" w:hAnsi="Calibri"/>
            <w:b/>
            <w:color w:val="231F20"/>
            <w:w w:val="110"/>
            <w:sz w:val="18"/>
          </w:rPr>
          <w:t xml:space="preserve">Figure 10.01 </w:t>
        </w:r>
        <w:r w:rsidR="00EA7458" w:rsidRPr="00E70F55">
          <w:rPr>
            <w:rFonts w:ascii="Calibri" w:hAnsi="Calibri"/>
            <w:color w:val="231F20"/>
            <w:w w:val="110"/>
            <w:sz w:val="18"/>
          </w:rPr>
          <w:t xml:space="preserve">Performance Standards </w:t>
        </w:r>
        <w:r w:rsidR="00983FA7" w:rsidRPr="00E70F55">
          <w:rPr>
            <w:rFonts w:ascii="Calibri" w:hAnsi="Calibri"/>
            <w:color w:val="231F20"/>
            <w:w w:val="110"/>
            <w:sz w:val="18"/>
          </w:rPr>
          <w:t>and Indicators</w:t>
        </w:r>
      </w:hyperlink>
    </w:p>
    <w:p w14:paraId="7E0E6303" w14:textId="77777777" w:rsidR="00EA7458" w:rsidRPr="00EA7458" w:rsidRDefault="00BC1D20" w:rsidP="00EA7458">
      <w:pPr>
        <w:widowControl w:val="0"/>
        <w:spacing w:before="110" w:after="0" w:line="240" w:lineRule="auto"/>
        <w:ind w:left="107" w:right="716"/>
        <w:rPr>
          <w:rFonts w:ascii="Calibri" w:hAnsi="Calibri" w:cs="Calibri"/>
          <w:sz w:val="18"/>
          <w:szCs w:val="18"/>
        </w:rPr>
      </w:pPr>
      <w:hyperlink w:anchor="_bookmark110" w:history="1">
        <w:r w:rsidR="00EA7458" w:rsidRPr="00EA7458">
          <w:rPr>
            <w:rFonts w:ascii="Calibri" w:hAnsi="Calibri"/>
            <w:b/>
            <w:color w:val="231F20"/>
            <w:w w:val="110"/>
            <w:sz w:val="18"/>
          </w:rPr>
          <w:t xml:space="preserve">Figure </w:t>
        </w:r>
        <w:r w:rsidR="00EA7458" w:rsidRPr="00EA7458">
          <w:rPr>
            <w:rFonts w:ascii="Calibri" w:hAnsi="Calibri"/>
            <w:b/>
            <w:color w:val="231F20"/>
            <w:spacing w:val="-3"/>
            <w:w w:val="110"/>
            <w:sz w:val="18"/>
          </w:rPr>
          <w:t xml:space="preserve">10.02 </w:t>
        </w:r>
        <w:r w:rsidR="00EA7458" w:rsidRPr="00EA7458">
          <w:rPr>
            <w:rFonts w:ascii="Calibri" w:hAnsi="Calibri"/>
            <w:color w:val="231F20"/>
            <w:w w:val="110"/>
            <w:sz w:val="18"/>
          </w:rPr>
          <w:t>Personnel Employed by</w:t>
        </w:r>
        <w:r w:rsidR="00EA7458" w:rsidRPr="00EA7458">
          <w:rPr>
            <w:rFonts w:ascii="Calibri" w:hAnsi="Calibri"/>
            <w:color w:val="231F20"/>
            <w:spacing w:val="7"/>
            <w:w w:val="110"/>
            <w:sz w:val="18"/>
          </w:rPr>
          <w:t xml:space="preserve"> </w:t>
        </w:r>
        <w:r w:rsidR="00EA7458" w:rsidRPr="00EA7458">
          <w:rPr>
            <w:rFonts w:ascii="Calibri" w:hAnsi="Calibri"/>
            <w:color w:val="231F20"/>
            <w:w w:val="110"/>
            <w:sz w:val="18"/>
          </w:rPr>
          <w:t>FDBS</w:t>
        </w:r>
      </w:hyperlink>
    </w:p>
    <w:p w14:paraId="08F95551" w14:textId="77777777" w:rsidR="00EA7458" w:rsidRPr="00EA7458" w:rsidRDefault="00BC1D20" w:rsidP="00EA7458">
      <w:pPr>
        <w:widowControl w:val="0"/>
        <w:spacing w:before="110" w:after="0" w:line="240" w:lineRule="auto"/>
        <w:ind w:left="107" w:right="716"/>
        <w:rPr>
          <w:rFonts w:ascii="Calibri" w:hAnsi="Calibri" w:cs="Calibri"/>
          <w:sz w:val="18"/>
          <w:szCs w:val="18"/>
        </w:rPr>
      </w:pPr>
      <w:hyperlink w:anchor="_bookmark111" w:history="1">
        <w:r w:rsidR="00EA7458" w:rsidRPr="00EA7458">
          <w:rPr>
            <w:rFonts w:ascii="Calibri" w:hAnsi="Calibri"/>
            <w:b/>
            <w:color w:val="231F20"/>
            <w:w w:val="110"/>
            <w:sz w:val="18"/>
          </w:rPr>
          <w:t>Figure</w:t>
        </w:r>
        <w:r w:rsidR="00EA7458" w:rsidRPr="00EA7458">
          <w:rPr>
            <w:rFonts w:ascii="Calibri" w:hAnsi="Calibri"/>
            <w:b/>
            <w:color w:val="231F20"/>
            <w:spacing w:val="-11"/>
            <w:w w:val="110"/>
            <w:sz w:val="18"/>
          </w:rPr>
          <w:t xml:space="preserve"> </w:t>
        </w:r>
        <w:r w:rsidR="00EA7458" w:rsidRPr="00EA7458">
          <w:rPr>
            <w:rFonts w:ascii="Calibri" w:hAnsi="Calibri"/>
            <w:b/>
            <w:color w:val="231F20"/>
            <w:spacing w:val="-3"/>
            <w:w w:val="110"/>
            <w:sz w:val="18"/>
          </w:rPr>
          <w:t>10.03</w:t>
        </w:r>
        <w:r w:rsidR="00EA7458" w:rsidRPr="00EA7458">
          <w:rPr>
            <w:rFonts w:ascii="Calibri" w:hAnsi="Calibri"/>
            <w:b/>
            <w:color w:val="231F20"/>
            <w:spacing w:val="-11"/>
            <w:w w:val="110"/>
            <w:sz w:val="18"/>
          </w:rPr>
          <w:t xml:space="preserve"> </w:t>
        </w:r>
        <w:r w:rsidR="00EA7458" w:rsidRPr="00EA7458">
          <w:rPr>
            <w:rFonts w:ascii="Calibri" w:hAnsi="Calibri"/>
            <w:color w:val="231F20"/>
            <w:w w:val="110"/>
            <w:sz w:val="18"/>
          </w:rPr>
          <w:t>Counselor</w:t>
        </w:r>
        <w:r w:rsidR="00EA7458" w:rsidRPr="00EA7458">
          <w:rPr>
            <w:rFonts w:ascii="Calibri" w:hAnsi="Calibri"/>
            <w:color w:val="231F20"/>
            <w:spacing w:val="-11"/>
            <w:w w:val="110"/>
            <w:sz w:val="18"/>
          </w:rPr>
          <w:t xml:space="preserve"> </w:t>
        </w:r>
        <w:r w:rsidR="00EA7458" w:rsidRPr="00EA7458">
          <w:rPr>
            <w:rFonts w:ascii="Calibri" w:hAnsi="Calibri"/>
            <w:color w:val="231F20"/>
            <w:w w:val="110"/>
            <w:sz w:val="18"/>
          </w:rPr>
          <w:t>to</w:t>
        </w:r>
        <w:r w:rsidR="00EA7458" w:rsidRPr="00EA7458">
          <w:rPr>
            <w:rFonts w:ascii="Calibri" w:hAnsi="Calibri"/>
            <w:color w:val="231F20"/>
            <w:spacing w:val="-11"/>
            <w:w w:val="110"/>
            <w:sz w:val="18"/>
          </w:rPr>
          <w:t xml:space="preserve"> </w:t>
        </w:r>
        <w:r w:rsidR="00EA7458" w:rsidRPr="00EA7458">
          <w:rPr>
            <w:rFonts w:ascii="Calibri" w:hAnsi="Calibri"/>
            <w:color w:val="231F20"/>
            <w:w w:val="110"/>
            <w:sz w:val="18"/>
          </w:rPr>
          <w:t>Client</w:t>
        </w:r>
        <w:r w:rsidR="00EA7458" w:rsidRPr="00EA7458">
          <w:rPr>
            <w:rFonts w:ascii="Calibri" w:hAnsi="Calibri"/>
            <w:color w:val="231F20"/>
            <w:spacing w:val="-11"/>
            <w:w w:val="110"/>
            <w:sz w:val="18"/>
          </w:rPr>
          <w:t xml:space="preserve"> </w:t>
        </w:r>
        <w:r w:rsidR="00EA7458" w:rsidRPr="00EA7458">
          <w:rPr>
            <w:rFonts w:ascii="Calibri" w:hAnsi="Calibri"/>
            <w:color w:val="231F20"/>
            <w:w w:val="110"/>
            <w:sz w:val="18"/>
          </w:rPr>
          <w:t>Ratio</w:t>
        </w:r>
      </w:hyperlink>
    </w:p>
    <w:p w14:paraId="604AB534" w14:textId="77777777" w:rsidR="00EA7458" w:rsidRPr="00EA7458" w:rsidRDefault="00BC1D20" w:rsidP="00EA7458">
      <w:pPr>
        <w:widowControl w:val="0"/>
        <w:spacing w:before="110" w:after="0" w:line="261" w:lineRule="auto"/>
        <w:ind w:left="107" w:right="190"/>
        <w:rPr>
          <w:rFonts w:ascii="Calibri" w:hAnsi="Calibri" w:cs="Calibri"/>
          <w:sz w:val="18"/>
          <w:szCs w:val="18"/>
        </w:rPr>
      </w:pPr>
      <w:hyperlink w:anchor="_bookmark111" w:history="1">
        <w:r w:rsidR="00EA7458" w:rsidRPr="00EA7458">
          <w:rPr>
            <w:rFonts w:ascii="Calibri" w:hAnsi="Calibri"/>
            <w:b/>
            <w:color w:val="231F20"/>
            <w:w w:val="105"/>
            <w:sz w:val="18"/>
          </w:rPr>
          <w:t>Figure</w:t>
        </w:r>
        <w:r w:rsidR="00EA7458" w:rsidRPr="00EA7458">
          <w:rPr>
            <w:rFonts w:ascii="Calibri" w:hAnsi="Calibri"/>
            <w:b/>
            <w:color w:val="231F20"/>
            <w:spacing w:val="21"/>
            <w:w w:val="105"/>
            <w:sz w:val="18"/>
          </w:rPr>
          <w:t xml:space="preserve"> </w:t>
        </w:r>
        <w:r w:rsidR="00EA7458" w:rsidRPr="00EA7458">
          <w:rPr>
            <w:rFonts w:ascii="Calibri" w:hAnsi="Calibri"/>
            <w:b/>
            <w:color w:val="231F20"/>
            <w:spacing w:val="-3"/>
            <w:w w:val="105"/>
            <w:sz w:val="18"/>
          </w:rPr>
          <w:t>10.04</w:t>
        </w:r>
        <w:r w:rsidR="00EA7458" w:rsidRPr="00EA7458">
          <w:rPr>
            <w:rFonts w:ascii="Calibri" w:hAnsi="Calibri"/>
            <w:b/>
            <w:color w:val="231F20"/>
            <w:spacing w:val="21"/>
            <w:w w:val="105"/>
            <w:sz w:val="18"/>
          </w:rPr>
          <w:t xml:space="preserve"> </w:t>
        </w:r>
        <w:r w:rsidR="00EA7458" w:rsidRPr="00EA7458">
          <w:rPr>
            <w:rFonts w:ascii="Calibri" w:hAnsi="Calibri"/>
            <w:color w:val="231F20"/>
            <w:w w:val="105"/>
            <w:sz w:val="18"/>
          </w:rPr>
          <w:t>Personnel</w:t>
        </w:r>
        <w:r w:rsidR="00EA7458" w:rsidRPr="00EA7458">
          <w:rPr>
            <w:rFonts w:ascii="Calibri" w:hAnsi="Calibri"/>
            <w:color w:val="231F20"/>
            <w:spacing w:val="21"/>
            <w:w w:val="105"/>
            <w:sz w:val="18"/>
          </w:rPr>
          <w:t xml:space="preserve"> </w:t>
        </w:r>
        <w:r w:rsidR="00EA7458" w:rsidRPr="00EA7458">
          <w:rPr>
            <w:rFonts w:ascii="Calibri" w:hAnsi="Calibri"/>
            <w:color w:val="231F20"/>
            <w:w w:val="105"/>
            <w:sz w:val="18"/>
          </w:rPr>
          <w:t>Serving</w:t>
        </w:r>
        <w:r w:rsidR="00EA7458" w:rsidRPr="00EA7458">
          <w:rPr>
            <w:rFonts w:ascii="Calibri" w:hAnsi="Calibri"/>
            <w:color w:val="231F20"/>
            <w:spacing w:val="21"/>
            <w:w w:val="105"/>
            <w:sz w:val="18"/>
          </w:rPr>
          <w:t xml:space="preserve"> </w:t>
        </w:r>
        <w:r w:rsidR="00EA7458" w:rsidRPr="00EA7458">
          <w:rPr>
            <w:rFonts w:ascii="Calibri" w:hAnsi="Calibri"/>
            <w:color w:val="231F20"/>
            <w:w w:val="105"/>
            <w:sz w:val="18"/>
          </w:rPr>
          <w:t>Vocational</w:t>
        </w:r>
        <w:r w:rsidR="00EA7458" w:rsidRPr="00EA7458">
          <w:rPr>
            <w:rFonts w:ascii="Calibri" w:hAnsi="Calibri"/>
            <w:color w:val="231F20"/>
            <w:spacing w:val="21"/>
            <w:w w:val="105"/>
            <w:sz w:val="18"/>
          </w:rPr>
          <w:t xml:space="preserve"> </w:t>
        </w:r>
        <w:r w:rsidR="00EA7458" w:rsidRPr="00EA7458">
          <w:rPr>
            <w:rFonts w:ascii="Calibri" w:hAnsi="Calibri"/>
            <w:color w:val="231F20"/>
            <w:w w:val="105"/>
            <w:sz w:val="18"/>
          </w:rPr>
          <w:t>Rehabilitation</w:t>
        </w:r>
      </w:hyperlink>
      <w:r w:rsidR="00EA7458" w:rsidRPr="00EA7458">
        <w:rPr>
          <w:rFonts w:ascii="Calibri" w:hAnsi="Calibri"/>
          <w:color w:val="231F20"/>
          <w:spacing w:val="-39"/>
          <w:w w:val="105"/>
          <w:sz w:val="18"/>
        </w:rPr>
        <w:t xml:space="preserve"> </w:t>
      </w:r>
      <w:hyperlink w:anchor="_bookmark111" w:history="1">
        <w:r w:rsidR="00EA7458" w:rsidRPr="00EA7458">
          <w:rPr>
            <w:rFonts w:ascii="Calibri" w:hAnsi="Calibri"/>
            <w:color w:val="231F20"/>
            <w:w w:val="105"/>
            <w:sz w:val="18"/>
          </w:rPr>
          <w:t>Clients:  Vacancy</w:t>
        </w:r>
        <w:r w:rsidR="00EA7458" w:rsidRPr="00EA7458">
          <w:rPr>
            <w:rFonts w:ascii="Calibri" w:hAnsi="Calibri"/>
            <w:color w:val="231F20"/>
            <w:spacing w:val="25"/>
            <w:w w:val="105"/>
            <w:sz w:val="18"/>
          </w:rPr>
          <w:t xml:space="preserve"> </w:t>
        </w:r>
        <w:r w:rsidR="00EA7458" w:rsidRPr="00EA7458">
          <w:rPr>
            <w:rFonts w:ascii="Calibri" w:hAnsi="Calibri"/>
            <w:color w:val="231F20"/>
            <w:w w:val="105"/>
            <w:sz w:val="18"/>
          </w:rPr>
          <w:t>Information</w:t>
        </w:r>
      </w:hyperlink>
    </w:p>
    <w:p w14:paraId="2D166F3F" w14:textId="3D90DE50" w:rsidR="00EA7458" w:rsidRPr="00EA7458" w:rsidRDefault="00BC1D20" w:rsidP="00EA7458">
      <w:pPr>
        <w:widowControl w:val="0"/>
        <w:spacing w:before="90" w:after="0" w:line="261" w:lineRule="auto"/>
        <w:ind w:left="107" w:right="783"/>
        <w:rPr>
          <w:rFonts w:ascii="Calibri" w:hAnsi="Calibri" w:cs="Calibri"/>
          <w:sz w:val="18"/>
          <w:szCs w:val="18"/>
        </w:rPr>
      </w:pPr>
      <w:hyperlink w:anchor="_bookmark112" w:history="1">
        <w:r w:rsidR="00EA7458" w:rsidRPr="00EA7458">
          <w:rPr>
            <w:rFonts w:ascii="Calibri" w:hAnsi="Calibri"/>
            <w:b/>
            <w:color w:val="231F20"/>
            <w:w w:val="110"/>
            <w:sz w:val="18"/>
          </w:rPr>
          <w:t xml:space="preserve">Figure </w:t>
        </w:r>
        <w:r w:rsidR="00EA7458" w:rsidRPr="00EA7458">
          <w:rPr>
            <w:rFonts w:ascii="Calibri" w:hAnsi="Calibri"/>
            <w:b/>
            <w:color w:val="231F20"/>
            <w:spacing w:val="-3"/>
            <w:w w:val="110"/>
            <w:sz w:val="18"/>
          </w:rPr>
          <w:t xml:space="preserve">10.05 </w:t>
        </w:r>
        <w:r w:rsidR="00EA7458" w:rsidRPr="00EA7458">
          <w:rPr>
            <w:rFonts w:ascii="Calibri" w:hAnsi="Calibri"/>
            <w:color w:val="231F20"/>
            <w:w w:val="110"/>
            <w:sz w:val="18"/>
          </w:rPr>
          <w:t>FDBS Personnel Standards by</w:t>
        </w:r>
        <w:r w:rsidR="00EA7458" w:rsidRPr="00EA7458">
          <w:rPr>
            <w:rFonts w:ascii="Calibri" w:hAnsi="Calibri"/>
            <w:color w:val="231F20"/>
            <w:spacing w:val="-13"/>
            <w:w w:val="110"/>
            <w:sz w:val="18"/>
          </w:rPr>
          <w:t xml:space="preserve"> </w:t>
        </w:r>
        <w:r w:rsidR="00EA7458" w:rsidRPr="00EA7458">
          <w:rPr>
            <w:rFonts w:ascii="Calibri" w:hAnsi="Calibri"/>
            <w:color w:val="231F20"/>
            <w:w w:val="110"/>
            <w:sz w:val="18"/>
          </w:rPr>
          <w:t>Position</w:t>
        </w:r>
      </w:hyperlink>
      <w:r w:rsidR="00EA7458" w:rsidRPr="00EA7458">
        <w:rPr>
          <w:rFonts w:ascii="Calibri" w:hAnsi="Calibri"/>
          <w:color w:val="231F20"/>
          <w:w w:val="105"/>
          <w:sz w:val="18"/>
        </w:rPr>
        <w:t xml:space="preserve"> </w:t>
      </w:r>
      <w:hyperlink w:anchor="_bookmark112" w:history="1">
        <w:r w:rsidR="00E70F55">
          <w:rPr>
            <w:rFonts w:ascii="Calibri" w:hAnsi="Calibri"/>
            <w:color w:val="231F20"/>
            <w:w w:val="110"/>
            <w:sz w:val="18"/>
          </w:rPr>
          <w:t>State</w:t>
        </w:r>
      </w:hyperlink>
      <w:r w:rsidR="00E70F55">
        <w:rPr>
          <w:rFonts w:ascii="Calibri" w:hAnsi="Calibri"/>
          <w:color w:val="231F20"/>
          <w:w w:val="110"/>
          <w:sz w:val="18"/>
        </w:rPr>
        <w:t xml:space="preserve"> Fiscal Year 2016-17</w:t>
      </w:r>
    </w:p>
    <w:p w14:paraId="50B6982E" w14:textId="4E4B40B6" w:rsidR="00EA7458" w:rsidRPr="00EA7458" w:rsidRDefault="00BC1D20" w:rsidP="00EA7458">
      <w:pPr>
        <w:widowControl w:val="0"/>
        <w:spacing w:before="90" w:after="0" w:line="240" w:lineRule="auto"/>
        <w:ind w:left="107"/>
        <w:rPr>
          <w:rFonts w:ascii="Calibri" w:hAnsi="Calibri" w:cs="Calibri"/>
          <w:sz w:val="18"/>
          <w:szCs w:val="18"/>
        </w:rPr>
      </w:pPr>
      <w:hyperlink w:anchor="_bookmark118" w:history="1">
        <w:r w:rsidR="00EA7458" w:rsidRPr="00EA7458">
          <w:rPr>
            <w:rFonts w:ascii="Calibri" w:hAnsi="Calibri"/>
            <w:b/>
            <w:color w:val="231F20"/>
            <w:w w:val="105"/>
            <w:sz w:val="18"/>
          </w:rPr>
          <w:t xml:space="preserve">Figure </w:t>
        </w:r>
        <w:r w:rsidR="00EA7458" w:rsidRPr="00EA7458">
          <w:rPr>
            <w:rFonts w:ascii="Calibri" w:hAnsi="Calibri"/>
            <w:b/>
            <w:color w:val="231F20"/>
            <w:spacing w:val="-3"/>
            <w:w w:val="105"/>
            <w:sz w:val="18"/>
          </w:rPr>
          <w:t xml:space="preserve">10.06 </w:t>
        </w:r>
        <w:r w:rsidR="00EA7458" w:rsidRPr="00EA7458">
          <w:rPr>
            <w:rFonts w:ascii="Calibri" w:hAnsi="Calibri"/>
            <w:color w:val="231F20"/>
            <w:w w:val="105"/>
            <w:sz w:val="18"/>
          </w:rPr>
          <w:t>Supported Employment Spending Patterns</w:t>
        </w:r>
      </w:hyperlink>
    </w:p>
    <w:p w14:paraId="07F903D1" w14:textId="77777777" w:rsidR="00EA7458" w:rsidRPr="00EA7458" w:rsidRDefault="00BC1D20" w:rsidP="00EA7458">
      <w:pPr>
        <w:widowControl w:val="0"/>
        <w:spacing w:before="110" w:after="0" w:line="261" w:lineRule="auto"/>
        <w:ind w:left="107" w:right="716"/>
        <w:rPr>
          <w:rFonts w:ascii="Calibri" w:hAnsi="Calibri" w:cs="Calibri"/>
          <w:sz w:val="18"/>
          <w:szCs w:val="18"/>
        </w:rPr>
      </w:pPr>
      <w:hyperlink w:anchor="_bookmark118" w:history="1">
        <w:r w:rsidR="00EA7458" w:rsidRPr="00EA7458">
          <w:rPr>
            <w:rFonts w:ascii="Calibri" w:hAnsi="Calibri"/>
            <w:b/>
            <w:color w:val="231F20"/>
            <w:w w:val="105"/>
            <w:sz w:val="18"/>
          </w:rPr>
          <w:t>Figure</w:t>
        </w:r>
        <w:r w:rsidR="00EA7458" w:rsidRPr="00EA7458">
          <w:rPr>
            <w:rFonts w:ascii="Calibri" w:hAnsi="Calibri"/>
            <w:b/>
            <w:color w:val="231F20"/>
            <w:spacing w:val="23"/>
            <w:w w:val="105"/>
            <w:sz w:val="18"/>
          </w:rPr>
          <w:t xml:space="preserve"> </w:t>
        </w:r>
        <w:r w:rsidR="00EA7458" w:rsidRPr="00EA7458">
          <w:rPr>
            <w:rFonts w:ascii="Calibri" w:hAnsi="Calibri"/>
            <w:b/>
            <w:color w:val="231F20"/>
            <w:spacing w:val="-3"/>
            <w:w w:val="105"/>
            <w:sz w:val="18"/>
          </w:rPr>
          <w:t>10.07</w:t>
        </w:r>
        <w:r w:rsidR="00EA7458" w:rsidRPr="00EA7458">
          <w:rPr>
            <w:rFonts w:ascii="Calibri" w:hAnsi="Calibri"/>
            <w:b/>
            <w:color w:val="231F20"/>
            <w:spacing w:val="23"/>
            <w:w w:val="105"/>
            <w:sz w:val="18"/>
          </w:rPr>
          <w:t xml:space="preserve"> </w:t>
        </w:r>
        <w:r w:rsidR="00EA7458" w:rsidRPr="00EA7458">
          <w:rPr>
            <w:rFonts w:ascii="Calibri" w:hAnsi="Calibri"/>
            <w:color w:val="231F20"/>
            <w:w w:val="105"/>
            <w:sz w:val="18"/>
          </w:rPr>
          <w:t>Individuals</w:t>
        </w:r>
        <w:r w:rsidR="00EA7458" w:rsidRPr="00EA7458">
          <w:rPr>
            <w:rFonts w:ascii="Calibri" w:hAnsi="Calibri"/>
            <w:color w:val="231F20"/>
            <w:spacing w:val="23"/>
            <w:w w:val="105"/>
            <w:sz w:val="18"/>
          </w:rPr>
          <w:t xml:space="preserve"> </w:t>
        </w:r>
        <w:r w:rsidR="00EA7458" w:rsidRPr="00EA7458">
          <w:rPr>
            <w:rFonts w:ascii="Calibri" w:hAnsi="Calibri"/>
            <w:color w:val="231F20"/>
            <w:w w:val="105"/>
            <w:sz w:val="18"/>
          </w:rPr>
          <w:t>Served</w:t>
        </w:r>
        <w:r w:rsidR="00EA7458" w:rsidRPr="00EA7458">
          <w:rPr>
            <w:rFonts w:ascii="Calibri" w:hAnsi="Calibri"/>
            <w:color w:val="231F20"/>
            <w:spacing w:val="23"/>
            <w:w w:val="105"/>
            <w:sz w:val="18"/>
          </w:rPr>
          <w:t xml:space="preserve"> </w:t>
        </w:r>
        <w:r w:rsidR="00EA7458" w:rsidRPr="00EA7458">
          <w:rPr>
            <w:rFonts w:ascii="Calibri" w:hAnsi="Calibri"/>
            <w:color w:val="231F20"/>
            <w:w w:val="105"/>
            <w:sz w:val="18"/>
          </w:rPr>
          <w:t>by</w:t>
        </w:r>
        <w:r w:rsidR="00EA7458" w:rsidRPr="00EA7458">
          <w:rPr>
            <w:rFonts w:ascii="Calibri" w:hAnsi="Calibri"/>
            <w:color w:val="231F20"/>
            <w:spacing w:val="23"/>
            <w:w w:val="105"/>
            <w:sz w:val="18"/>
          </w:rPr>
          <w:t xml:space="preserve"> </w:t>
        </w:r>
        <w:r w:rsidR="00EA7458" w:rsidRPr="00EA7458">
          <w:rPr>
            <w:rFonts w:ascii="Calibri" w:hAnsi="Calibri"/>
            <w:color w:val="231F20"/>
            <w:w w:val="105"/>
            <w:sz w:val="18"/>
          </w:rPr>
          <w:t>Supported</w:t>
        </w:r>
      </w:hyperlink>
      <w:r w:rsidR="00EA7458" w:rsidRPr="00EA7458">
        <w:rPr>
          <w:rFonts w:ascii="Calibri" w:hAnsi="Calibri"/>
          <w:color w:val="231F20"/>
          <w:spacing w:val="-39"/>
          <w:w w:val="105"/>
          <w:sz w:val="18"/>
        </w:rPr>
        <w:t xml:space="preserve"> </w:t>
      </w:r>
      <w:hyperlink w:anchor="_bookmark118" w:history="1">
        <w:r w:rsidR="00EA7458" w:rsidRPr="00EA7458">
          <w:rPr>
            <w:rFonts w:ascii="Calibri" w:hAnsi="Calibri"/>
            <w:color w:val="231F20"/>
            <w:w w:val="105"/>
            <w:sz w:val="18"/>
          </w:rPr>
          <w:t>Employment</w:t>
        </w:r>
        <w:r w:rsidR="00EA7458" w:rsidRPr="00EA7458">
          <w:rPr>
            <w:rFonts w:ascii="Calibri" w:hAnsi="Calibri"/>
            <w:color w:val="231F20"/>
            <w:spacing w:val="26"/>
            <w:w w:val="105"/>
            <w:sz w:val="18"/>
          </w:rPr>
          <w:t xml:space="preserve"> </w:t>
        </w:r>
        <w:r w:rsidR="00EA7458" w:rsidRPr="00EA7458">
          <w:rPr>
            <w:rFonts w:ascii="Calibri" w:hAnsi="Calibri"/>
            <w:color w:val="231F20"/>
            <w:w w:val="105"/>
            <w:sz w:val="18"/>
          </w:rPr>
          <w:t>Programs</w:t>
        </w:r>
      </w:hyperlink>
    </w:p>
    <w:p w14:paraId="77141A00" w14:textId="77777777" w:rsidR="00EA7458" w:rsidRPr="00EA7458" w:rsidRDefault="00BC1D20" w:rsidP="00EA7458">
      <w:pPr>
        <w:widowControl w:val="0"/>
        <w:spacing w:before="90" w:after="0" w:line="240" w:lineRule="auto"/>
        <w:ind w:left="107" w:right="716"/>
        <w:rPr>
          <w:rFonts w:ascii="Calibri" w:hAnsi="Calibri" w:cs="Calibri"/>
          <w:sz w:val="18"/>
          <w:szCs w:val="18"/>
        </w:rPr>
      </w:pPr>
      <w:hyperlink w:anchor="_bookmark121" w:history="1">
        <w:r w:rsidR="00EA7458" w:rsidRPr="00EA7458">
          <w:rPr>
            <w:rFonts w:ascii="Calibri" w:hAnsi="Calibri"/>
            <w:b/>
            <w:color w:val="231F20"/>
            <w:w w:val="110"/>
            <w:sz w:val="18"/>
          </w:rPr>
          <w:t xml:space="preserve">Figure </w:t>
        </w:r>
        <w:r w:rsidR="00EA7458" w:rsidRPr="00EA7458">
          <w:rPr>
            <w:rFonts w:ascii="Calibri" w:hAnsi="Calibri"/>
            <w:b/>
            <w:color w:val="231F20"/>
            <w:spacing w:val="-3"/>
            <w:w w:val="110"/>
            <w:sz w:val="18"/>
          </w:rPr>
          <w:t xml:space="preserve">10.08 </w:t>
        </w:r>
        <w:r w:rsidR="00EA7458" w:rsidRPr="00EA7458">
          <w:rPr>
            <w:rFonts w:ascii="Calibri" w:hAnsi="Calibri"/>
            <w:color w:val="231F20"/>
            <w:w w:val="110"/>
            <w:sz w:val="18"/>
          </w:rPr>
          <w:t>Outcomes in BBE</w:t>
        </w:r>
        <w:r w:rsidR="00EA7458" w:rsidRPr="00EA7458">
          <w:rPr>
            <w:rFonts w:ascii="Calibri" w:hAnsi="Calibri"/>
            <w:color w:val="231F20"/>
            <w:spacing w:val="-21"/>
            <w:w w:val="110"/>
            <w:sz w:val="18"/>
          </w:rPr>
          <w:t xml:space="preserve"> </w:t>
        </w:r>
        <w:r w:rsidR="00EA7458" w:rsidRPr="00EA7458">
          <w:rPr>
            <w:rFonts w:ascii="Calibri" w:hAnsi="Calibri"/>
            <w:color w:val="231F20"/>
            <w:w w:val="110"/>
            <w:sz w:val="18"/>
          </w:rPr>
          <w:t>Program</w:t>
        </w:r>
      </w:hyperlink>
    </w:p>
    <w:p w14:paraId="5936713A" w14:textId="77777777" w:rsidR="00EA7458" w:rsidRPr="00EA7458" w:rsidRDefault="00BC1D20" w:rsidP="00EA7458">
      <w:pPr>
        <w:widowControl w:val="0"/>
        <w:spacing w:before="110" w:after="0" w:line="240" w:lineRule="auto"/>
        <w:ind w:left="107" w:right="716"/>
        <w:rPr>
          <w:rFonts w:ascii="Calibri" w:hAnsi="Calibri" w:cs="Calibri"/>
          <w:sz w:val="18"/>
          <w:szCs w:val="18"/>
        </w:rPr>
      </w:pPr>
      <w:hyperlink w:anchor="_bookmark122" w:history="1">
        <w:r w:rsidR="00EA7458" w:rsidRPr="00EA7458">
          <w:rPr>
            <w:rFonts w:ascii="Calibri" w:hAnsi="Calibri"/>
            <w:b/>
            <w:color w:val="231F20"/>
            <w:w w:val="110"/>
            <w:sz w:val="18"/>
          </w:rPr>
          <w:t xml:space="preserve">Figure </w:t>
        </w:r>
        <w:r w:rsidR="00EA7458" w:rsidRPr="00EA7458">
          <w:rPr>
            <w:rFonts w:ascii="Calibri" w:hAnsi="Calibri"/>
            <w:b/>
            <w:color w:val="231F20"/>
            <w:spacing w:val="-3"/>
            <w:w w:val="110"/>
            <w:sz w:val="18"/>
          </w:rPr>
          <w:t xml:space="preserve">10.09 </w:t>
        </w:r>
        <w:r w:rsidR="00EA7458" w:rsidRPr="00EA7458">
          <w:rPr>
            <w:rFonts w:ascii="Calibri" w:hAnsi="Calibri"/>
            <w:color w:val="231F20"/>
            <w:w w:val="110"/>
            <w:sz w:val="18"/>
          </w:rPr>
          <w:t>Clients Served by Service</w:t>
        </w:r>
        <w:r w:rsidR="00EA7458" w:rsidRPr="00EA7458">
          <w:rPr>
            <w:rFonts w:ascii="Calibri" w:hAnsi="Calibri"/>
            <w:color w:val="231F20"/>
            <w:spacing w:val="22"/>
            <w:w w:val="110"/>
            <w:sz w:val="18"/>
          </w:rPr>
          <w:t xml:space="preserve"> </w:t>
        </w:r>
        <w:r w:rsidR="00EA7458" w:rsidRPr="00EA7458">
          <w:rPr>
            <w:rFonts w:ascii="Calibri" w:hAnsi="Calibri"/>
            <w:color w:val="231F20"/>
            <w:w w:val="110"/>
            <w:sz w:val="18"/>
          </w:rPr>
          <w:t>Category</w:t>
        </w:r>
      </w:hyperlink>
    </w:p>
    <w:p w14:paraId="18A2A865" w14:textId="77777777" w:rsidR="00EA7458" w:rsidRPr="00EA7458" w:rsidRDefault="00BC1D20" w:rsidP="00EA7458">
      <w:pPr>
        <w:widowControl w:val="0"/>
        <w:spacing w:before="110" w:after="0" w:line="261" w:lineRule="auto"/>
        <w:ind w:left="107" w:right="783"/>
        <w:rPr>
          <w:rFonts w:ascii="Calibri" w:hAnsi="Calibri" w:cs="Calibri"/>
          <w:sz w:val="18"/>
          <w:szCs w:val="18"/>
        </w:rPr>
      </w:pPr>
      <w:hyperlink w:anchor="_bookmark123" w:history="1">
        <w:r w:rsidR="00EA7458" w:rsidRPr="00EA7458">
          <w:rPr>
            <w:rFonts w:ascii="Calibri" w:hAnsi="Calibri"/>
            <w:b/>
            <w:color w:val="231F20"/>
            <w:w w:val="110"/>
            <w:sz w:val="18"/>
          </w:rPr>
          <w:t>Figure</w:t>
        </w:r>
        <w:r w:rsidR="00EA7458" w:rsidRPr="00EA7458">
          <w:rPr>
            <w:rFonts w:ascii="Calibri" w:hAnsi="Calibri"/>
            <w:b/>
            <w:color w:val="231F20"/>
            <w:spacing w:val="-10"/>
            <w:w w:val="110"/>
            <w:sz w:val="18"/>
          </w:rPr>
          <w:t xml:space="preserve"> </w:t>
        </w:r>
        <w:r w:rsidR="00EA7458" w:rsidRPr="00EA7458">
          <w:rPr>
            <w:rFonts w:ascii="Calibri" w:hAnsi="Calibri"/>
            <w:b/>
            <w:color w:val="231F20"/>
            <w:spacing w:val="-5"/>
            <w:w w:val="110"/>
            <w:sz w:val="18"/>
          </w:rPr>
          <w:t>10.10</w:t>
        </w:r>
        <w:r w:rsidR="00EA7458" w:rsidRPr="00EA7458">
          <w:rPr>
            <w:rFonts w:ascii="Calibri" w:hAnsi="Calibri"/>
            <w:b/>
            <w:color w:val="231F20"/>
            <w:spacing w:val="-10"/>
            <w:w w:val="110"/>
            <w:sz w:val="18"/>
          </w:rPr>
          <w:t xml:space="preserve"> </w:t>
        </w:r>
        <w:r w:rsidR="00EA7458" w:rsidRPr="00EA7458">
          <w:rPr>
            <w:rFonts w:ascii="Calibri" w:hAnsi="Calibri"/>
            <w:color w:val="231F20"/>
            <w:w w:val="110"/>
            <w:sz w:val="18"/>
          </w:rPr>
          <w:t>Number</w:t>
        </w:r>
        <w:r w:rsidR="00EA7458" w:rsidRPr="00EA7458">
          <w:rPr>
            <w:rFonts w:ascii="Calibri" w:hAnsi="Calibri"/>
            <w:color w:val="231F20"/>
            <w:spacing w:val="-10"/>
            <w:w w:val="110"/>
            <w:sz w:val="18"/>
          </w:rPr>
          <w:t xml:space="preserve"> </w:t>
        </w:r>
        <w:r w:rsidR="00EA7458" w:rsidRPr="00EA7458">
          <w:rPr>
            <w:rFonts w:ascii="Calibri" w:hAnsi="Calibri"/>
            <w:color w:val="231F20"/>
            <w:w w:val="110"/>
            <w:sz w:val="18"/>
          </w:rPr>
          <w:t>of</w:t>
        </w:r>
        <w:r w:rsidR="00EA7458" w:rsidRPr="00EA7458">
          <w:rPr>
            <w:rFonts w:ascii="Calibri" w:hAnsi="Calibri"/>
            <w:color w:val="231F20"/>
            <w:spacing w:val="-10"/>
            <w:w w:val="110"/>
            <w:sz w:val="18"/>
          </w:rPr>
          <w:t xml:space="preserve"> </w:t>
        </w:r>
        <w:r w:rsidR="00EA7458" w:rsidRPr="00EA7458">
          <w:rPr>
            <w:rFonts w:ascii="Calibri" w:hAnsi="Calibri"/>
            <w:color w:val="231F20"/>
            <w:w w:val="110"/>
            <w:sz w:val="18"/>
          </w:rPr>
          <w:t>Clients</w:t>
        </w:r>
        <w:r w:rsidR="00EA7458" w:rsidRPr="00EA7458">
          <w:rPr>
            <w:rFonts w:ascii="Calibri" w:hAnsi="Calibri"/>
            <w:color w:val="231F20"/>
            <w:spacing w:val="-10"/>
            <w:w w:val="110"/>
            <w:sz w:val="18"/>
          </w:rPr>
          <w:t xml:space="preserve"> </w:t>
        </w:r>
        <w:r w:rsidR="00EA7458" w:rsidRPr="00EA7458">
          <w:rPr>
            <w:rFonts w:ascii="Calibri" w:hAnsi="Calibri"/>
            <w:color w:val="231F20"/>
            <w:w w:val="110"/>
            <w:sz w:val="18"/>
          </w:rPr>
          <w:t>Served</w:t>
        </w:r>
        <w:r w:rsidR="00EA7458" w:rsidRPr="00EA7458">
          <w:rPr>
            <w:rFonts w:ascii="Calibri" w:hAnsi="Calibri"/>
            <w:color w:val="231F20"/>
            <w:spacing w:val="-10"/>
            <w:w w:val="110"/>
            <w:sz w:val="18"/>
          </w:rPr>
          <w:t xml:space="preserve"> </w:t>
        </w:r>
        <w:r w:rsidR="00EA7458" w:rsidRPr="00EA7458">
          <w:rPr>
            <w:rFonts w:ascii="Calibri" w:hAnsi="Calibri"/>
            <w:color w:val="231F20"/>
            <w:w w:val="110"/>
            <w:sz w:val="18"/>
          </w:rPr>
          <w:t>in</w:t>
        </w:r>
        <w:r w:rsidR="00EA7458" w:rsidRPr="00EA7458">
          <w:rPr>
            <w:rFonts w:ascii="Calibri" w:hAnsi="Calibri"/>
            <w:color w:val="231F20"/>
            <w:spacing w:val="-10"/>
            <w:w w:val="110"/>
            <w:sz w:val="18"/>
          </w:rPr>
          <w:t xml:space="preserve"> </w:t>
        </w:r>
        <w:r w:rsidR="00EA7458" w:rsidRPr="00EA7458">
          <w:rPr>
            <w:rFonts w:ascii="Calibri" w:hAnsi="Calibri"/>
            <w:color w:val="231F20"/>
            <w:w w:val="110"/>
            <w:sz w:val="18"/>
          </w:rPr>
          <w:t>Race</w:t>
        </w:r>
      </w:hyperlink>
      <w:r w:rsidR="00EA7458" w:rsidRPr="00EA7458">
        <w:rPr>
          <w:rFonts w:ascii="Calibri" w:hAnsi="Calibri"/>
          <w:color w:val="231F20"/>
          <w:w w:val="113"/>
          <w:sz w:val="18"/>
        </w:rPr>
        <w:t xml:space="preserve"> </w:t>
      </w:r>
      <w:hyperlink w:anchor="_bookmark123" w:history="1">
        <w:r w:rsidR="00EA7458" w:rsidRPr="00EA7458">
          <w:rPr>
            <w:rFonts w:ascii="Calibri" w:hAnsi="Calibri"/>
            <w:color w:val="231F20"/>
            <w:w w:val="110"/>
            <w:sz w:val="18"/>
          </w:rPr>
          <w:t>Ethnicity</w:t>
        </w:r>
        <w:r w:rsidR="00EA7458" w:rsidRPr="00EA7458">
          <w:rPr>
            <w:rFonts w:ascii="Calibri" w:hAnsi="Calibri"/>
            <w:color w:val="231F20"/>
            <w:spacing w:val="-27"/>
            <w:w w:val="110"/>
            <w:sz w:val="18"/>
          </w:rPr>
          <w:t xml:space="preserve"> </w:t>
        </w:r>
        <w:r w:rsidR="00EA7458" w:rsidRPr="00EA7458">
          <w:rPr>
            <w:rFonts w:ascii="Calibri" w:hAnsi="Calibri"/>
            <w:color w:val="231F20"/>
            <w:w w:val="110"/>
            <w:sz w:val="18"/>
          </w:rPr>
          <w:t>Categories</w:t>
        </w:r>
      </w:hyperlink>
    </w:p>
    <w:p w14:paraId="3322FADE" w14:textId="77777777" w:rsidR="00EA7458" w:rsidRPr="00EA7458" w:rsidRDefault="00BC1D20" w:rsidP="00EA7458">
      <w:pPr>
        <w:widowControl w:val="0"/>
        <w:spacing w:before="90" w:after="0" w:line="261" w:lineRule="auto"/>
        <w:ind w:left="107" w:right="716"/>
        <w:rPr>
          <w:rFonts w:ascii="Calibri" w:hAnsi="Calibri" w:cs="Calibri"/>
          <w:sz w:val="18"/>
          <w:szCs w:val="18"/>
        </w:rPr>
      </w:pPr>
      <w:hyperlink w:anchor="_bookmark124" w:history="1">
        <w:r w:rsidR="00EA7458" w:rsidRPr="00EA7458">
          <w:rPr>
            <w:rFonts w:ascii="Calibri" w:hAnsi="Calibri"/>
            <w:b/>
            <w:color w:val="231F20"/>
            <w:w w:val="105"/>
            <w:sz w:val="18"/>
          </w:rPr>
          <w:t xml:space="preserve">Figure </w:t>
        </w:r>
        <w:r w:rsidR="00EA7458" w:rsidRPr="00EA7458">
          <w:rPr>
            <w:rFonts w:ascii="Calibri" w:hAnsi="Calibri"/>
            <w:b/>
            <w:color w:val="231F20"/>
            <w:spacing w:val="-5"/>
            <w:w w:val="105"/>
            <w:sz w:val="18"/>
          </w:rPr>
          <w:t xml:space="preserve">10.11 </w:t>
        </w:r>
        <w:r w:rsidR="00EA7458" w:rsidRPr="00EA7458">
          <w:rPr>
            <w:rFonts w:ascii="Calibri" w:hAnsi="Calibri"/>
            <w:color w:val="231F20"/>
            <w:w w:val="105"/>
            <w:sz w:val="18"/>
          </w:rPr>
          <w:t>Change in Number of Clients Served</w:t>
        </w:r>
        <w:r w:rsidR="00EA7458" w:rsidRPr="00EA7458">
          <w:rPr>
            <w:rFonts w:ascii="Calibri" w:hAnsi="Calibri"/>
            <w:color w:val="231F20"/>
            <w:spacing w:val="39"/>
            <w:w w:val="105"/>
            <w:sz w:val="18"/>
          </w:rPr>
          <w:t xml:space="preserve"> </w:t>
        </w:r>
        <w:r w:rsidR="00EA7458" w:rsidRPr="00EA7458">
          <w:rPr>
            <w:rFonts w:ascii="Calibri" w:hAnsi="Calibri"/>
            <w:color w:val="231F20"/>
            <w:w w:val="105"/>
            <w:sz w:val="18"/>
          </w:rPr>
          <w:t>in</w:t>
        </w:r>
      </w:hyperlink>
      <w:r w:rsidR="00EA7458" w:rsidRPr="00EA7458">
        <w:rPr>
          <w:rFonts w:ascii="Calibri" w:hAnsi="Calibri"/>
          <w:color w:val="231F20"/>
          <w:w w:val="102"/>
          <w:sz w:val="18"/>
        </w:rPr>
        <w:t xml:space="preserve"> </w:t>
      </w:r>
      <w:hyperlink w:anchor="_bookmark124" w:history="1">
        <w:r w:rsidR="00EA7458" w:rsidRPr="00EA7458">
          <w:rPr>
            <w:rFonts w:ascii="Calibri" w:hAnsi="Calibri"/>
            <w:color w:val="231F20"/>
            <w:w w:val="105"/>
            <w:sz w:val="18"/>
          </w:rPr>
          <w:t>Minority</w:t>
        </w:r>
        <w:r w:rsidR="00EA7458" w:rsidRPr="00EA7458">
          <w:rPr>
            <w:rFonts w:ascii="Calibri" w:hAnsi="Calibri"/>
            <w:color w:val="231F20"/>
            <w:spacing w:val="-11"/>
            <w:w w:val="105"/>
            <w:sz w:val="18"/>
          </w:rPr>
          <w:t xml:space="preserve"> </w:t>
        </w:r>
        <w:r w:rsidR="00EA7458" w:rsidRPr="00EA7458">
          <w:rPr>
            <w:rFonts w:ascii="Calibri" w:hAnsi="Calibri"/>
            <w:color w:val="231F20"/>
            <w:w w:val="105"/>
            <w:sz w:val="18"/>
          </w:rPr>
          <w:t>Groups</w:t>
        </w:r>
      </w:hyperlink>
    </w:p>
    <w:p w14:paraId="5FFED7C2" w14:textId="0BBC60A2" w:rsidR="00EA7458" w:rsidRPr="00EA7458" w:rsidRDefault="00BC1D20" w:rsidP="00EA7458">
      <w:pPr>
        <w:widowControl w:val="0"/>
        <w:spacing w:before="90" w:after="0" w:line="240" w:lineRule="auto"/>
        <w:ind w:left="107" w:right="716"/>
        <w:rPr>
          <w:rFonts w:ascii="Calibri" w:hAnsi="Calibri" w:cs="Calibri"/>
          <w:sz w:val="18"/>
          <w:szCs w:val="18"/>
        </w:rPr>
      </w:pPr>
      <w:hyperlink w:anchor="_bookmark125" w:history="1">
        <w:r w:rsidR="00EA7458" w:rsidRPr="00EA7458">
          <w:rPr>
            <w:rFonts w:ascii="Calibri" w:hAnsi="Calibri"/>
            <w:b/>
            <w:color w:val="231F20"/>
            <w:w w:val="110"/>
            <w:sz w:val="18"/>
          </w:rPr>
          <w:t>Figure</w:t>
        </w:r>
        <w:r w:rsidR="00EA7458" w:rsidRPr="00EA7458">
          <w:rPr>
            <w:rFonts w:ascii="Calibri" w:hAnsi="Calibri"/>
            <w:b/>
            <w:color w:val="231F20"/>
            <w:spacing w:val="-13"/>
            <w:w w:val="110"/>
            <w:sz w:val="18"/>
          </w:rPr>
          <w:t xml:space="preserve"> </w:t>
        </w:r>
        <w:r w:rsidR="00EA7458" w:rsidRPr="00EA7458">
          <w:rPr>
            <w:rFonts w:ascii="Calibri" w:hAnsi="Calibri"/>
            <w:b/>
            <w:color w:val="231F20"/>
            <w:spacing w:val="-5"/>
            <w:w w:val="110"/>
            <w:sz w:val="18"/>
          </w:rPr>
          <w:t>10.12</w:t>
        </w:r>
        <w:r w:rsidR="00EA7458" w:rsidRPr="00EA7458">
          <w:rPr>
            <w:rFonts w:ascii="Calibri" w:hAnsi="Calibri"/>
            <w:b/>
            <w:color w:val="231F20"/>
            <w:spacing w:val="-13"/>
            <w:w w:val="110"/>
            <w:sz w:val="18"/>
          </w:rPr>
          <w:t xml:space="preserve"> </w:t>
        </w:r>
        <w:r w:rsidR="00EA7458" w:rsidRPr="00EA7458">
          <w:rPr>
            <w:rFonts w:ascii="Calibri" w:hAnsi="Calibri"/>
            <w:color w:val="231F20"/>
            <w:w w:val="110"/>
            <w:sz w:val="18"/>
          </w:rPr>
          <w:t>FDBS</w:t>
        </w:r>
        <w:r w:rsidR="00EA7458" w:rsidRPr="00EA7458">
          <w:rPr>
            <w:rFonts w:ascii="Calibri" w:hAnsi="Calibri"/>
            <w:color w:val="231F20"/>
            <w:spacing w:val="-13"/>
            <w:w w:val="110"/>
            <w:sz w:val="18"/>
          </w:rPr>
          <w:t xml:space="preserve"> </w:t>
        </w:r>
        <w:r w:rsidR="00EA7458" w:rsidRPr="00EA7458">
          <w:rPr>
            <w:rFonts w:ascii="Calibri" w:hAnsi="Calibri"/>
            <w:color w:val="231F20"/>
            <w:w w:val="110"/>
            <w:sz w:val="18"/>
          </w:rPr>
          <w:t>Training</w:t>
        </w:r>
        <w:r w:rsidR="00EA7458" w:rsidRPr="00EA7458">
          <w:rPr>
            <w:rFonts w:ascii="Calibri" w:hAnsi="Calibri"/>
            <w:color w:val="231F20"/>
            <w:spacing w:val="-13"/>
            <w:w w:val="110"/>
            <w:sz w:val="18"/>
          </w:rPr>
          <w:t xml:space="preserve"> </w:t>
        </w:r>
        <w:r w:rsidR="00EA7458" w:rsidRPr="00EA7458">
          <w:rPr>
            <w:rFonts w:ascii="Calibri" w:hAnsi="Calibri"/>
            <w:color w:val="231F20"/>
            <w:w w:val="110"/>
            <w:sz w:val="18"/>
          </w:rPr>
          <w:t>Offered</w:t>
        </w:r>
        <w:r w:rsidR="00EA7458" w:rsidRPr="00EA7458">
          <w:rPr>
            <w:rFonts w:ascii="Calibri" w:hAnsi="Calibri"/>
            <w:color w:val="231F20"/>
            <w:spacing w:val="-13"/>
            <w:w w:val="110"/>
            <w:sz w:val="18"/>
          </w:rPr>
          <w:t xml:space="preserve"> </w:t>
        </w:r>
        <w:r w:rsidR="00EA7458" w:rsidRPr="00EA7458">
          <w:rPr>
            <w:rFonts w:ascii="Calibri" w:hAnsi="Calibri"/>
            <w:color w:val="231F20"/>
            <w:w w:val="110"/>
            <w:sz w:val="18"/>
          </w:rPr>
          <w:t>FFY</w:t>
        </w:r>
        <w:r w:rsidR="00EA7458" w:rsidRPr="00EA7458">
          <w:rPr>
            <w:rFonts w:ascii="Calibri" w:hAnsi="Calibri"/>
            <w:color w:val="231F20"/>
            <w:spacing w:val="-13"/>
            <w:w w:val="110"/>
            <w:sz w:val="18"/>
          </w:rPr>
          <w:t xml:space="preserve"> </w:t>
        </w:r>
        <w:r w:rsidR="00A44FCB">
          <w:rPr>
            <w:rFonts w:ascii="Calibri" w:hAnsi="Calibri"/>
            <w:color w:val="231F20"/>
            <w:w w:val="110"/>
            <w:sz w:val="18"/>
          </w:rPr>
          <w:t>2016</w:t>
        </w:r>
        <w:r w:rsidR="00EA7458" w:rsidRPr="00EA7458">
          <w:rPr>
            <w:rFonts w:ascii="Calibri" w:hAnsi="Calibri"/>
            <w:color w:val="231F20"/>
            <w:w w:val="110"/>
            <w:sz w:val="18"/>
          </w:rPr>
          <w:t>-20</w:t>
        </w:r>
      </w:hyperlink>
      <w:r w:rsidR="00A44FCB">
        <w:rPr>
          <w:rFonts w:ascii="Calibri" w:hAnsi="Calibri"/>
          <w:color w:val="231F20"/>
          <w:w w:val="110"/>
          <w:sz w:val="18"/>
        </w:rPr>
        <w:t>17</w:t>
      </w:r>
    </w:p>
    <w:p w14:paraId="029A852B" w14:textId="5A064F56" w:rsidR="00A44FCB" w:rsidRPr="00A44FCB" w:rsidRDefault="005912D8" w:rsidP="00A44FCB">
      <w:pPr>
        <w:widowControl w:val="0"/>
        <w:spacing w:before="90" w:after="0" w:line="240" w:lineRule="auto"/>
        <w:ind w:left="107" w:right="716"/>
        <w:rPr>
          <w:rFonts w:ascii="Calibri" w:hAnsi="Calibri"/>
          <w:color w:val="231F20"/>
          <w:w w:val="110"/>
          <w:sz w:val="18"/>
        </w:rPr>
      </w:pPr>
      <w:r>
        <w:fldChar w:fldCharType="begin"/>
      </w:r>
      <w:r>
        <w:instrText xml:space="preserve"> HYPERLINK \l "_bookmark126" </w:instrText>
      </w:r>
      <w:r>
        <w:fldChar w:fldCharType="separate"/>
      </w:r>
      <w:r w:rsidR="00EA7458" w:rsidRPr="00EA7458">
        <w:rPr>
          <w:rFonts w:ascii="Calibri" w:hAnsi="Calibri"/>
          <w:b/>
          <w:color w:val="231F20"/>
          <w:w w:val="110"/>
          <w:sz w:val="18"/>
        </w:rPr>
        <w:t xml:space="preserve">Figure </w:t>
      </w:r>
      <w:r w:rsidR="00EA7458" w:rsidRPr="00A44FCB">
        <w:rPr>
          <w:rFonts w:ascii="Calibri" w:hAnsi="Calibri"/>
          <w:b/>
          <w:color w:val="231F20"/>
          <w:w w:val="110"/>
          <w:sz w:val="18"/>
        </w:rPr>
        <w:t xml:space="preserve">10.13 </w:t>
      </w:r>
      <w:r w:rsidR="00A44FCB" w:rsidRPr="00A44FCB">
        <w:rPr>
          <w:rFonts w:ascii="Calibri" w:hAnsi="Calibri"/>
          <w:color w:val="231F20"/>
          <w:w w:val="110"/>
          <w:sz w:val="18"/>
        </w:rPr>
        <w:t>Performance Standards and Indicators</w:t>
      </w:r>
    </w:p>
    <w:p w14:paraId="4EA827C2" w14:textId="724FA3A0" w:rsidR="00EA7458" w:rsidRPr="00EA7458" w:rsidRDefault="00A44FCB" w:rsidP="00A44FCB">
      <w:pPr>
        <w:widowControl w:val="0"/>
        <w:spacing w:before="90" w:after="0" w:line="240" w:lineRule="auto"/>
        <w:ind w:left="107" w:right="716"/>
        <w:rPr>
          <w:rFonts w:ascii="Calibri" w:hAnsi="Calibri" w:cs="Calibri"/>
          <w:sz w:val="18"/>
          <w:szCs w:val="18"/>
        </w:rPr>
      </w:pPr>
      <w:r>
        <w:rPr>
          <w:rFonts w:ascii="Calibri" w:hAnsi="Calibri"/>
          <w:b/>
          <w:color w:val="231F20"/>
          <w:w w:val="110"/>
          <w:sz w:val="18"/>
        </w:rPr>
        <w:t xml:space="preserve">Figure 10.14 </w:t>
      </w:r>
      <w:r w:rsidR="00EA7458" w:rsidRPr="00A44FCB">
        <w:rPr>
          <w:rFonts w:ascii="Calibri" w:hAnsi="Calibri"/>
          <w:color w:val="231F20"/>
          <w:w w:val="110"/>
          <w:sz w:val="18"/>
        </w:rPr>
        <w:t>FRCB Meeting Expenses</w:t>
      </w:r>
      <w:r w:rsidR="005912D8">
        <w:rPr>
          <w:rFonts w:ascii="Calibri" w:hAnsi="Calibri"/>
          <w:color w:val="231F20"/>
          <w:w w:val="110"/>
          <w:sz w:val="18"/>
        </w:rPr>
        <w:fldChar w:fldCharType="end"/>
      </w:r>
    </w:p>
    <w:p w14:paraId="240A281A" w14:textId="77777777" w:rsidR="00EA7458" w:rsidRPr="00EA7458" w:rsidRDefault="00EA7458" w:rsidP="00EA7458">
      <w:pPr>
        <w:widowControl w:val="0"/>
        <w:spacing w:after="0" w:line="240" w:lineRule="auto"/>
        <w:rPr>
          <w:rFonts w:ascii="Calibri" w:hAnsi="Calibri" w:cs="Calibri"/>
          <w:sz w:val="18"/>
          <w:szCs w:val="18"/>
        </w:rPr>
        <w:sectPr w:rsidR="00EA7458" w:rsidRPr="00EA7458">
          <w:type w:val="continuous"/>
          <w:pgSz w:w="12240" w:h="15840"/>
          <w:pgMar w:top="1500" w:right="900" w:bottom="280" w:left="900" w:header="720" w:footer="720" w:gutter="0"/>
          <w:cols w:num="2" w:space="720" w:equalWidth="0">
            <w:col w:w="5100" w:space="132"/>
            <w:col w:w="5208"/>
          </w:cols>
        </w:sectPr>
      </w:pPr>
    </w:p>
    <w:p w14:paraId="34B13321" w14:textId="77777777" w:rsidR="00EA7458" w:rsidRPr="00EA7458" w:rsidRDefault="00EA7458" w:rsidP="00EA7458">
      <w:pPr>
        <w:widowControl w:val="0"/>
        <w:spacing w:before="8" w:after="0" w:line="240" w:lineRule="auto"/>
        <w:rPr>
          <w:rFonts w:ascii="Calibri" w:hAnsi="Calibri" w:cs="Calibri"/>
          <w:sz w:val="14"/>
          <w:szCs w:val="14"/>
        </w:rPr>
      </w:pPr>
    </w:p>
    <w:p w14:paraId="0D034FFC" w14:textId="77777777" w:rsidR="00EA7458" w:rsidRPr="00EA7458" w:rsidRDefault="00EA7458" w:rsidP="00EA7458">
      <w:pPr>
        <w:widowControl w:val="0"/>
        <w:tabs>
          <w:tab w:val="left" w:pos="10331"/>
        </w:tabs>
        <w:spacing w:before="30" w:after="0" w:line="240" w:lineRule="auto"/>
        <w:ind w:left="107"/>
        <w:outlineLvl w:val="0"/>
        <w:rPr>
          <w:rFonts w:ascii="Calibri" w:hAnsi="Calibri"/>
          <w:sz w:val="36"/>
          <w:szCs w:val="36"/>
        </w:rPr>
      </w:pPr>
      <w:bookmarkStart w:id="3" w:name="Acronym_Guide"/>
      <w:bookmarkStart w:id="4" w:name="_bookmark1"/>
      <w:bookmarkEnd w:id="3"/>
      <w:bookmarkEnd w:id="4"/>
      <w:r w:rsidRPr="00EA7458">
        <w:rPr>
          <w:rFonts w:ascii="Calibri" w:hAnsi="Calibri"/>
          <w:b/>
          <w:bCs/>
          <w:color w:val="295CA3"/>
          <w:w w:val="115"/>
          <w:sz w:val="36"/>
          <w:szCs w:val="36"/>
          <w:u w:val="single" w:color="231F20"/>
        </w:rPr>
        <w:t>ACRONYM</w:t>
      </w:r>
      <w:r w:rsidRPr="00EA7458">
        <w:rPr>
          <w:rFonts w:ascii="Calibri" w:hAnsi="Calibri"/>
          <w:b/>
          <w:bCs/>
          <w:color w:val="295CA3"/>
          <w:spacing w:val="-62"/>
          <w:w w:val="115"/>
          <w:sz w:val="36"/>
          <w:szCs w:val="36"/>
          <w:u w:val="single" w:color="231F20"/>
        </w:rPr>
        <w:t xml:space="preserve"> </w:t>
      </w:r>
      <w:r w:rsidRPr="00EA7458">
        <w:rPr>
          <w:rFonts w:ascii="Calibri" w:hAnsi="Calibri"/>
          <w:b/>
          <w:bCs/>
          <w:color w:val="295CA3"/>
          <w:w w:val="115"/>
          <w:sz w:val="36"/>
          <w:szCs w:val="36"/>
          <w:u w:val="single" w:color="231F20"/>
        </w:rPr>
        <w:t>GUIDE</w:t>
      </w:r>
      <w:r w:rsidRPr="00EA7458">
        <w:rPr>
          <w:rFonts w:ascii="Calibri" w:hAnsi="Calibri"/>
          <w:b/>
          <w:bCs/>
          <w:color w:val="295CA3"/>
          <w:w w:val="113"/>
          <w:sz w:val="36"/>
          <w:szCs w:val="36"/>
          <w:u w:val="single" w:color="231F20"/>
        </w:rPr>
        <w:t xml:space="preserve"> </w:t>
      </w:r>
      <w:r w:rsidRPr="00EA7458">
        <w:rPr>
          <w:rFonts w:ascii="Calibri" w:hAnsi="Calibri"/>
          <w:b/>
          <w:bCs/>
          <w:color w:val="295CA3"/>
          <w:sz w:val="36"/>
          <w:szCs w:val="36"/>
          <w:u w:val="single" w:color="231F20"/>
        </w:rPr>
        <w:tab/>
      </w:r>
    </w:p>
    <w:p w14:paraId="5320259A" w14:textId="77777777" w:rsidR="00EA7458" w:rsidRPr="00EA7458" w:rsidRDefault="00EA7458" w:rsidP="00EA7458">
      <w:pPr>
        <w:widowControl w:val="0"/>
        <w:spacing w:after="0" w:line="360" w:lineRule="auto"/>
        <w:ind w:left="90"/>
        <w:rPr>
          <w:rFonts w:ascii="Calibri" w:hAnsi="Calibri"/>
          <w:sz w:val="18"/>
        </w:rPr>
      </w:pPr>
      <w:r w:rsidRPr="00EA7458">
        <w:rPr>
          <w:rFonts w:ascii="Calibri" w:hAnsi="Calibri"/>
          <w:b/>
          <w:sz w:val="18"/>
        </w:rPr>
        <w:t>ABE</w:t>
      </w:r>
      <w:r w:rsidRPr="00EA7458">
        <w:rPr>
          <w:rFonts w:ascii="Calibri" w:hAnsi="Calibri"/>
          <w:sz w:val="18"/>
        </w:rPr>
        <w:t xml:space="preserve"> Adult Basic Education</w:t>
      </w:r>
    </w:p>
    <w:p w14:paraId="134F617C" w14:textId="77777777" w:rsidR="00EA7458" w:rsidRPr="00EA7458" w:rsidRDefault="00EA7458" w:rsidP="00EA7458">
      <w:pPr>
        <w:widowControl w:val="0"/>
        <w:spacing w:after="0" w:line="360" w:lineRule="auto"/>
        <w:ind w:left="90"/>
        <w:rPr>
          <w:rFonts w:ascii="Calibri" w:hAnsi="Calibri"/>
          <w:sz w:val="18"/>
        </w:rPr>
      </w:pPr>
      <w:r w:rsidRPr="00EA7458">
        <w:rPr>
          <w:rFonts w:ascii="Calibri" w:hAnsi="Calibri"/>
          <w:b/>
          <w:sz w:val="18"/>
        </w:rPr>
        <w:t>AEPIP</w:t>
      </w:r>
      <w:r w:rsidRPr="00EA7458">
        <w:rPr>
          <w:rFonts w:ascii="Calibri" w:hAnsi="Calibri"/>
          <w:sz w:val="18"/>
        </w:rPr>
        <w:t xml:space="preserve"> Adult Education Program Improvement Plan</w:t>
      </w:r>
    </w:p>
    <w:p w14:paraId="675B9209" w14:textId="77777777" w:rsidR="00EA7458" w:rsidRPr="00EA7458" w:rsidRDefault="00EA7458" w:rsidP="00EA7458">
      <w:pPr>
        <w:widowControl w:val="0"/>
        <w:spacing w:after="0" w:line="360" w:lineRule="auto"/>
        <w:ind w:left="90"/>
        <w:rPr>
          <w:rFonts w:ascii="Calibri" w:hAnsi="Calibri"/>
          <w:sz w:val="18"/>
        </w:rPr>
      </w:pPr>
      <w:r w:rsidRPr="00EA7458">
        <w:rPr>
          <w:rFonts w:ascii="Calibri" w:hAnsi="Calibri"/>
          <w:b/>
          <w:sz w:val="18"/>
        </w:rPr>
        <w:t>ASE</w:t>
      </w:r>
      <w:r w:rsidRPr="00EA7458">
        <w:rPr>
          <w:rFonts w:ascii="Calibri" w:hAnsi="Calibri"/>
          <w:sz w:val="18"/>
        </w:rPr>
        <w:t xml:space="preserve"> Adult Secondary Education </w:t>
      </w:r>
    </w:p>
    <w:p w14:paraId="3EFE41C1" w14:textId="77777777" w:rsidR="00EA7458" w:rsidRPr="00EA7458" w:rsidRDefault="00EA7458" w:rsidP="00EA7458">
      <w:pPr>
        <w:widowControl w:val="0"/>
        <w:spacing w:after="0" w:line="360" w:lineRule="auto"/>
        <w:ind w:left="90"/>
        <w:rPr>
          <w:rFonts w:ascii="Calibri" w:hAnsi="Calibri"/>
          <w:sz w:val="18"/>
        </w:rPr>
      </w:pPr>
      <w:r w:rsidRPr="00EA7458">
        <w:rPr>
          <w:rFonts w:ascii="Calibri" w:hAnsi="Calibri"/>
          <w:b/>
          <w:sz w:val="18"/>
        </w:rPr>
        <w:t>ACS</w:t>
      </w:r>
      <w:r w:rsidRPr="00EA7458">
        <w:rPr>
          <w:rFonts w:ascii="Calibri" w:hAnsi="Calibri"/>
          <w:sz w:val="18"/>
        </w:rPr>
        <w:t xml:space="preserve"> American Community Survey </w:t>
      </w:r>
    </w:p>
    <w:p w14:paraId="3B2D64D3" w14:textId="77777777" w:rsidR="00EA7458" w:rsidRPr="00EA7458" w:rsidRDefault="00EA7458" w:rsidP="00EA7458">
      <w:pPr>
        <w:widowControl w:val="0"/>
        <w:spacing w:after="0" w:line="360" w:lineRule="auto"/>
        <w:ind w:left="90"/>
        <w:rPr>
          <w:rFonts w:ascii="Calibri" w:hAnsi="Calibri"/>
          <w:sz w:val="18"/>
        </w:rPr>
      </w:pPr>
      <w:r w:rsidRPr="00EA7458">
        <w:rPr>
          <w:rFonts w:ascii="Calibri" w:hAnsi="Calibri"/>
          <w:b/>
          <w:sz w:val="18"/>
        </w:rPr>
        <w:t>ADA</w:t>
      </w:r>
      <w:r w:rsidRPr="00EA7458">
        <w:rPr>
          <w:rFonts w:ascii="Calibri" w:hAnsi="Calibri"/>
          <w:sz w:val="18"/>
        </w:rPr>
        <w:t xml:space="preserve"> Americans with Disabilities Act </w:t>
      </w:r>
    </w:p>
    <w:p w14:paraId="5781D914" w14:textId="77777777" w:rsidR="00EA7458" w:rsidRPr="00EA7458" w:rsidRDefault="00EA7458" w:rsidP="00EA7458">
      <w:pPr>
        <w:widowControl w:val="0"/>
        <w:spacing w:after="0" w:line="360" w:lineRule="auto"/>
        <w:ind w:left="90"/>
        <w:rPr>
          <w:rFonts w:ascii="Calibri" w:hAnsi="Calibri"/>
          <w:sz w:val="18"/>
        </w:rPr>
      </w:pPr>
      <w:r w:rsidRPr="00EA7458">
        <w:rPr>
          <w:rFonts w:ascii="Calibri" w:hAnsi="Calibri"/>
          <w:b/>
          <w:sz w:val="18"/>
        </w:rPr>
        <w:t>AOP</w:t>
      </w:r>
      <w:r w:rsidRPr="00EA7458">
        <w:rPr>
          <w:rFonts w:ascii="Calibri" w:hAnsi="Calibri"/>
          <w:sz w:val="18"/>
        </w:rPr>
        <w:t xml:space="preserve"> Agricultural Outreach Plan</w:t>
      </w:r>
    </w:p>
    <w:p w14:paraId="2B71B9B8" w14:textId="77777777" w:rsidR="00EA7458" w:rsidRPr="00EA7458" w:rsidRDefault="00EA7458" w:rsidP="00EA7458">
      <w:pPr>
        <w:widowControl w:val="0"/>
        <w:spacing w:after="0" w:line="360" w:lineRule="auto"/>
        <w:ind w:left="90"/>
        <w:rPr>
          <w:rFonts w:ascii="Calibri" w:hAnsi="Calibri"/>
          <w:sz w:val="18"/>
        </w:rPr>
      </w:pPr>
      <w:r w:rsidRPr="00EA7458">
        <w:rPr>
          <w:rFonts w:ascii="Calibri" w:hAnsi="Calibri"/>
          <w:b/>
          <w:sz w:val="18"/>
        </w:rPr>
        <w:t>APD</w:t>
      </w:r>
      <w:r w:rsidRPr="00EA7458">
        <w:rPr>
          <w:rFonts w:ascii="Calibri" w:hAnsi="Calibri"/>
          <w:sz w:val="18"/>
        </w:rPr>
        <w:t xml:space="preserve"> Agency for Persons with Disabilities</w:t>
      </w:r>
    </w:p>
    <w:p w14:paraId="44EE9F6F" w14:textId="77777777" w:rsidR="00EA7458" w:rsidRPr="00EA7458" w:rsidRDefault="00EA7458" w:rsidP="00EA7458">
      <w:pPr>
        <w:widowControl w:val="0"/>
        <w:spacing w:after="0" w:line="360" w:lineRule="auto"/>
        <w:ind w:left="90"/>
        <w:rPr>
          <w:rFonts w:ascii="Calibri" w:hAnsi="Calibri"/>
          <w:sz w:val="18"/>
        </w:rPr>
      </w:pPr>
      <w:r w:rsidRPr="00EA7458">
        <w:rPr>
          <w:rFonts w:ascii="Calibri" w:hAnsi="Calibri"/>
          <w:b/>
          <w:sz w:val="18"/>
        </w:rPr>
        <w:t>AWARE</w:t>
      </w:r>
      <w:r w:rsidRPr="00EA7458">
        <w:rPr>
          <w:rFonts w:ascii="Calibri" w:hAnsi="Calibri"/>
          <w:sz w:val="18"/>
        </w:rPr>
        <w:t xml:space="preserve"> Accessible Web-based Activity and Reporting</w:t>
      </w:r>
    </w:p>
    <w:p w14:paraId="11674C21" w14:textId="77777777" w:rsidR="00EA7458" w:rsidRPr="00EA7458" w:rsidRDefault="00EA7458" w:rsidP="00EA7458">
      <w:pPr>
        <w:widowControl w:val="0"/>
        <w:spacing w:after="0" w:line="360" w:lineRule="auto"/>
        <w:ind w:left="90"/>
        <w:rPr>
          <w:rFonts w:ascii="Calibri" w:hAnsi="Calibri"/>
          <w:sz w:val="18"/>
        </w:rPr>
      </w:pPr>
      <w:r w:rsidRPr="00EA7458">
        <w:rPr>
          <w:rFonts w:ascii="Calibri" w:hAnsi="Calibri"/>
          <w:b/>
          <w:sz w:val="18"/>
        </w:rPr>
        <w:t>BBE</w:t>
      </w:r>
      <w:r w:rsidRPr="00EA7458">
        <w:rPr>
          <w:rFonts w:ascii="Calibri" w:hAnsi="Calibri"/>
          <w:sz w:val="18"/>
        </w:rPr>
        <w:t xml:space="preserve"> Bureau of Business Enterprise</w:t>
      </w:r>
    </w:p>
    <w:p w14:paraId="42E0498E" w14:textId="77777777" w:rsidR="00EA7458" w:rsidRPr="00EA7458" w:rsidRDefault="00EA7458" w:rsidP="00EA7458">
      <w:pPr>
        <w:widowControl w:val="0"/>
        <w:spacing w:after="0" w:line="360" w:lineRule="auto"/>
        <w:ind w:left="90"/>
        <w:rPr>
          <w:rFonts w:ascii="Calibri" w:hAnsi="Calibri"/>
          <w:sz w:val="18"/>
        </w:rPr>
      </w:pPr>
      <w:r w:rsidRPr="00EA7458">
        <w:rPr>
          <w:rFonts w:ascii="Calibri" w:hAnsi="Calibri"/>
          <w:b/>
          <w:sz w:val="18"/>
        </w:rPr>
        <w:t>BEESS</w:t>
      </w:r>
      <w:r w:rsidRPr="00EA7458">
        <w:rPr>
          <w:rFonts w:ascii="Calibri" w:hAnsi="Calibri"/>
          <w:sz w:val="18"/>
        </w:rPr>
        <w:t xml:space="preserve"> Bureau of Exceptional Education and Student Services </w:t>
      </w:r>
    </w:p>
    <w:p w14:paraId="3172B5F0" w14:textId="77777777" w:rsidR="00EA7458" w:rsidRPr="00EA7458" w:rsidRDefault="00EA7458" w:rsidP="00EA7458">
      <w:pPr>
        <w:widowControl w:val="0"/>
        <w:spacing w:after="0" w:line="360" w:lineRule="auto"/>
        <w:ind w:left="90"/>
        <w:rPr>
          <w:rFonts w:ascii="Calibri" w:hAnsi="Calibri"/>
          <w:sz w:val="18"/>
        </w:rPr>
      </w:pPr>
      <w:r w:rsidRPr="00EA7458">
        <w:rPr>
          <w:rFonts w:ascii="Calibri" w:hAnsi="Calibri"/>
          <w:b/>
          <w:sz w:val="18"/>
        </w:rPr>
        <w:t>CBTAC</w:t>
      </w:r>
      <w:r w:rsidRPr="00EA7458">
        <w:rPr>
          <w:rFonts w:ascii="Calibri" w:hAnsi="Calibri"/>
          <w:sz w:val="18"/>
        </w:rPr>
        <w:t xml:space="preserve"> Certified Business Technical Assistance Consultant </w:t>
      </w:r>
    </w:p>
    <w:p w14:paraId="18BA7A80" w14:textId="77777777" w:rsidR="00EA7458" w:rsidRPr="00EA7458" w:rsidRDefault="00EA7458" w:rsidP="00EA7458">
      <w:pPr>
        <w:widowControl w:val="0"/>
        <w:spacing w:after="0" w:line="360" w:lineRule="auto"/>
        <w:ind w:left="90"/>
        <w:rPr>
          <w:rFonts w:ascii="Calibri" w:hAnsi="Calibri"/>
          <w:sz w:val="18"/>
        </w:rPr>
      </w:pPr>
      <w:r w:rsidRPr="00EA7458">
        <w:rPr>
          <w:rFonts w:ascii="Calibri" w:hAnsi="Calibri"/>
          <w:b/>
          <w:sz w:val="18"/>
        </w:rPr>
        <w:t>CCRS</w:t>
      </w:r>
      <w:r w:rsidRPr="00EA7458">
        <w:rPr>
          <w:rFonts w:ascii="Calibri" w:hAnsi="Calibri"/>
          <w:sz w:val="18"/>
        </w:rPr>
        <w:t xml:space="preserve"> College &amp; Career Readiness Standards</w:t>
      </w:r>
    </w:p>
    <w:p w14:paraId="44FA50D3" w14:textId="77777777" w:rsidR="00EA7458" w:rsidRPr="00EA7458" w:rsidRDefault="00EA7458" w:rsidP="00EA7458">
      <w:pPr>
        <w:widowControl w:val="0"/>
        <w:spacing w:after="0" w:line="360" w:lineRule="auto"/>
        <w:ind w:left="90"/>
        <w:rPr>
          <w:rFonts w:ascii="Calibri" w:hAnsi="Calibri"/>
          <w:sz w:val="18"/>
        </w:rPr>
      </w:pPr>
      <w:r w:rsidRPr="00EA7458">
        <w:rPr>
          <w:rFonts w:ascii="Calibri" w:hAnsi="Calibri"/>
          <w:b/>
          <w:sz w:val="18"/>
        </w:rPr>
        <w:t>CEU</w:t>
      </w:r>
      <w:r w:rsidRPr="00EA7458">
        <w:rPr>
          <w:rFonts w:ascii="Calibri" w:hAnsi="Calibri"/>
          <w:sz w:val="18"/>
        </w:rPr>
        <w:t xml:space="preserve"> Continuing Education Units</w:t>
      </w:r>
    </w:p>
    <w:p w14:paraId="51FB7DB3" w14:textId="77777777" w:rsidR="00EA7458" w:rsidRPr="00EA7458" w:rsidRDefault="00EA7458" w:rsidP="00EA7458">
      <w:pPr>
        <w:widowControl w:val="0"/>
        <w:spacing w:after="0" w:line="360" w:lineRule="auto"/>
        <w:ind w:left="90"/>
        <w:rPr>
          <w:rFonts w:ascii="Calibri" w:hAnsi="Calibri"/>
          <w:sz w:val="18"/>
        </w:rPr>
      </w:pPr>
      <w:r w:rsidRPr="00EA7458">
        <w:rPr>
          <w:rFonts w:ascii="Calibri" w:hAnsi="Calibri"/>
          <w:b/>
          <w:sz w:val="18"/>
        </w:rPr>
        <w:t>CFR</w:t>
      </w:r>
      <w:r w:rsidRPr="00EA7458">
        <w:rPr>
          <w:rFonts w:ascii="Calibri" w:hAnsi="Calibri"/>
          <w:sz w:val="18"/>
        </w:rPr>
        <w:t xml:space="preserve"> Code of Federal Regulations</w:t>
      </w:r>
    </w:p>
    <w:p w14:paraId="38122E12" w14:textId="77777777" w:rsidR="00EA7458" w:rsidRPr="00EA7458" w:rsidRDefault="00EA7458" w:rsidP="00EA7458">
      <w:pPr>
        <w:widowControl w:val="0"/>
        <w:spacing w:after="0" w:line="360" w:lineRule="auto"/>
        <w:ind w:left="90"/>
        <w:rPr>
          <w:rFonts w:ascii="Calibri" w:hAnsi="Calibri"/>
          <w:sz w:val="18"/>
        </w:rPr>
      </w:pPr>
      <w:r w:rsidRPr="00EA7458">
        <w:rPr>
          <w:rFonts w:ascii="Calibri" w:hAnsi="Calibri"/>
          <w:b/>
          <w:sz w:val="18"/>
        </w:rPr>
        <w:t>CSNA</w:t>
      </w:r>
      <w:r w:rsidRPr="00EA7458">
        <w:rPr>
          <w:rFonts w:ascii="Calibri" w:hAnsi="Calibri"/>
          <w:sz w:val="18"/>
        </w:rPr>
        <w:t xml:space="preserve"> Comprehensive Statewide Needs Assessment</w:t>
      </w:r>
    </w:p>
    <w:p w14:paraId="2C7E2D8D" w14:textId="77777777" w:rsidR="00EA7458" w:rsidRPr="00EA7458" w:rsidRDefault="00EA7458" w:rsidP="00EA7458">
      <w:pPr>
        <w:widowControl w:val="0"/>
        <w:spacing w:after="0" w:line="360" w:lineRule="auto"/>
        <w:ind w:left="90"/>
        <w:rPr>
          <w:rFonts w:ascii="Calibri" w:hAnsi="Calibri"/>
          <w:sz w:val="18"/>
        </w:rPr>
      </w:pPr>
      <w:r w:rsidRPr="00EA7458">
        <w:rPr>
          <w:rFonts w:ascii="Calibri" w:hAnsi="Calibri"/>
          <w:b/>
          <w:sz w:val="18"/>
        </w:rPr>
        <w:t>CRC</w:t>
      </w:r>
      <w:r w:rsidRPr="00EA7458">
        <w:rPr>
          <w:rFonts w:ascii="Calibri" w:hAnsi="Calibri"/>
          <w:sz w:val="18"/>
        </w:rPr>
        <w:t xml:space="preserve"> Certified Rehabilitation Counselors</w:t>
      </w:r>
    </w:p>
    <w:p w14:paraId="7FA638DC" w14:textId="1039D616" w:rsidR="00EA7458" w:rsidRPr="00EA7458" w:rsidRDefault="00EA7458" w:rsidP="00EA7458">
      <w:pPr>
        <w:widowControl w:val="0"/>
        <w:spacing w:after="0" w:line="360" w:lineRule="auto"/>
        <w:ind w:left="90"/>
        <w:rPr>
          <w:rFonts w:ascii="Calibri" w:hAnsi="Calibri"/>
          <w:sz w:val="18"/>
        </w:rPr>
      </w:pPr>
      <w:r w:rsidRPr="00EA7458">
        <w:rPr>
          <w:rFonts w:ascii="Calibri" w:hAnsi="Calibri"/>
          <w:b/>
          <w:sz w:val="18"/>
        </w:rPr>
        <w:t>CRP</w:t>
      </w:r>
      <w:r w:rsidRPr="00EA7458">
        <w:rPr>
          <w:rFonts w:ascii="Calibri" w:hAnsi="Calibri"/>
          <w:sz w:val="18"/>
        </w:rPr>
        <w:t xml:space="preserve"> Community Rehabilitation Pr</w:t>
      </w:r>
      <w:r w:rsidR="00AB783D">
        <w:rPr>
          <w:rFonts w:ascii="Calibri" w:hAnsi="Calibri"/>
          <w:sz w:val="18"/>
        </w:rPr>
        <w:t>ovider</w:t>
      </w:r>
    </w:p>
    <w:p w14:paraId="26E04A6E" w14:textId="77777777" w:rsidR="00EA7458" w:rsidRPr="00EA7458" w:rsidRDefault="00EA7458" w:rsidP="00EA7458">
      <w:pPr>
        <w:widowControl w:val="0"/>
        <w:spacing w:after="0" w:line="360" w:lineRule="auto"/>
        <w:ind w:left="90"/>
        <w:rPr>
          <w:rFonts w:ascii="Calibri" w:hAnsi="Calibri"/>
          <w:sz w:val="18"/>
        </w:rPr>
      </w:pPr>
      <w:r w:rsidRPr="00EA7458">
        <w:rPr>
          <w:rFonts w:ascii="Calibri" w:hAnsi="Calibri"/>
          <w:b/>
          <w:sz w:val="18"/>
        </w:rPr>
        <w:t>CASAS</w:t>
      </w:r>
      <w:r w:rsidRPr="00EA7458">
        <w:rPr>
          <w:rFonts w:ascii="Calibri" w:hAnsi="Calibri"/>
          <w:sz w:val="18"/>
        </w:rPr>
        <w:t xml:space="preserve"> Comprehensive Adult Student Assessment System </w:t>
      </w:r>
    </w:p>
    <w:p w14:paraId="05943734" w14:textId="77777777" w:rsidR="00EA7458" w:rsidRPr="00EA7458" w:rsidRDefault="00EA7458" w:rsidP="00EA7458">
      <w:pPr>
        <w:widowControl w:val="0"/>
        <w:spacing w:after="0" w:line="360" w:lineRule="auto"/>
        <w:ind w:left="90"/>
        <w:rPr>
          <w:rFonts w:ascii="Calibri" w:hAnsi="Calibri"/>
          <w:sz w:val="18"/>
        </w:rPr>
      </w:pPr>
      <w:r w:rsidRPr="00EA7458">
        <w:rPr>
          <w:rFonts w:ascii="Calibri" w:hAnsi="Calibri"/>
          <w:b/>
          <w:sz w:val="18"/>
        </w:rPr>
        <w:t>CSPD</w:t>
      </w:r>
      <w:r w:rsidRPr="00EA7458">
        <w:rPr>
          <w:rFonts w:ascii="Calibri" w:hAnsi="Calibri"/>
          <w:sz w:val="18"/>
        </w:rPr>
        <w:t xml:space="preserve"> Comprehensive System of Personnel Development </w:t>
      </w:r>
    </w:p>
    <w:p w14:paraId="2216862E" w14:textId="77777777" w:rsidR="00EA7458" w:rsidRPr="00EA7458" w:rsidRDefault="00EA7458" w:rsidP="00EA7458">
      <w:pPr>
        <w:widowControl w:val="0"/>
        <w:spacing w:after="0" w:line="360" w:lineRule="auto"/>
        <w:ind w:left="90"/>
        <w:rPr>
          <w:rFonts w:ascii="Calibri" w:hAnsi="Calibri"/>
          <w:sz w:val="18"/>
        </w:rPr>
      </w:pPr>
      <w:r w:rsidRPr="00EA7458">
        <w:rPr>
          <w:rFonts w:ascii="Calibri" w:hAnsi="Calibri"/>
          <w:b/>
          <w:sz w:val="18"/>
        </w:rPr>
        <w:t>DEO</w:t>
      </w:r>
      <w:r w:rsidRPr="00EA7458">
        <w:rPr>
          <w:rFonts w:ascii="Calibri" w:hAnsi="Calibri"/>
          <w:sz w:val="18"/>
        </w:rPr>
        <w:t xml:space="preserve"> Department of Economic Opportunity</w:t>
      </w:r>
    </w:p>
    <w:p w14:paraId="552666B4" w14:textId="77777777" w:rsidR="00EA7458" w:rsidRPr="00EA7458" w:rsidRDefault="00EA7458" w:rsidP="00EA7458">
      <w:pPr>
        <w:widowControl w:val="0"/>
        <w:spacing w:after="0" w:line="360" w:lineRule="auto"/>
        <w:ind w:left="90"/>
        <w:rPr>
          <w:rFonts w:ascii="Calibri" w:hAnsi="Calibri"/>
          <w:sz w:val="18"/>
        </w:rPr>
      </w:pPr>
      <w:r w:rsidRPr="00EA7458">
        <w:rPr>
          <w:rFonts w:ascii="Calibri" w:hAnsi="Calibri"/>
          <w:b/>
          <w:sz w:val="18"/>
        </w:rPr>
        <w:t>DJJ</w:t>
      </w:r>
      <w:r w:rsidRPr="00EA7458">
        <w:rPr>
          <w:rFonts w:ascii="Calibri" w:hAnsi="Calibri"/>
          <w:sz w:val="18"/>
        </w:rPr>
        <w:t xml:space="preserve"> Department of Juvenile Justice</w:t>
      </w:r>
    </w:p>
    <w:p w14:paraId="3D3EF8FB" w14:textId="77777777" w:rsidR="00EA7458" w:rsidRPr="00EA7458" w:rsidRDefault="00EA7458" w:rsidP="00EA7458">
      <w:pPr>
        <w:widowControl w:val="0"/>
        <w:spacing w:after="0" w:line="360" w:lineRule="auto"/>
        <w:ind w:left="90"/>
        <w:rPr>
          <w:rFonts w:ascii="Calibri" w:hAnsi="Calibri"/>
          <w:sz w:val="18"/>
        </w:rPr>
      </w:pPr>
      <w:r w:rsidRPr="00EA7458">
        <w:rPr>
          <w:rFonts w:ascii="Calibri" w:hAnsi="Calibri"/>
          <w:b/>
          <w:sz w:val="18"/>
        </w:rPr>
        <w:t>DPN</w:t>
      </w:r>
      <w:r w:rsidRPr="00EA7458">
        <w:rPr>
          <w:rFonts w:ascii="Calibri" w:hAnsi="Calibri"/>
          <w:sz w:val="18"/>
        </w:rPr>
        <w:t xml:space="preserve"> Disability Program Navigator</w:t>
      </w:r>
    </w:p>
    <w:p w14:paraId="33E29D1C" w14:textId="77777777" w:rsidR="00EA7458" w:rsidRPr="00EA7458" w:rsidRDefault="00EA7458" w:rsidP="00EA7458">
      <w:pPr>
        <w:widowControl w:val="0"/>
        <w:spacing w:after="0" w:line="360" w:lineRule="auto"/>
        <w:ind w:left="90"/>
        <w:rPr>
          <w:rFonts w:ascii="Calibri" w:hAnsi="Calibri"/>
          <w:sz w:val="18"/>
        </w:rPr>
      </w:pPr>
      <w:r w:rsidRPr="00EA7458">
        <w:rPr>
          <w:rFonts w:ascii="Calibri" w:hAnsi="Calibri"/>
          <w:b/>
          <w:sz w:val="18"/>
        </w:rPr>
        <w:t>DROP</w:t>
      </w:r>
      <w:r w:rsidRPr="00EA7458">
        <w:rPr>
          <w:rFonts w:ascii="Calibri" w:hAnsi="Calibri"/>
          <w:sz w:val="18"/>
        </w:rPr>
        <w:t xml:space="preserve"> Deferred Retirement Option Program </w:t>
      </w:r>
    </w:p>
    <w:p w14:paraId="17B2128B" w14:textId="131A4522" w:rsidR="00EA7458" w:rsidRPr="00EA7458" w:rsidRDefault="00EA7458" w:rsidP="00EA7458">
      <w:pPr>
        <w:widowControl w:val="0"/>
        <w:spacing w:after="0" w:line="360" w:lineRule="auto"/>
        <w:ind w:left="90"/>
        <w:rPr>
          <w:rFonts w:ascii="Calibri" w:hAnsi="Calibri"/>
          <w:sz w:val="18"/>
        </w:rPr>
      </w:pPr>
      <w:r w:rsidRPr="00EA7458">
        <w:rPr>
          <w:rFonts w:ascii="Calibri" w:hAnsi="Calibri"/>
          <w:b/>
          <w:sz w:val="18"/>
        </w:rPr>
        <w:t>DVOP</w:t>
      </w:r>
      <w:r w:rsidRPr="00EA7458">
        <w:rPr>
          <w:rFonts w:ascii="Calibri" w:hAnsi="Calibri"/>
          <w:sz w:val="18"/>
        </w:rPr>
        <w:t xml:space="preserve"> Disabled Veteran Outreach Program </w:t>
      </w:r>
    </w:p>
    <w:p w14:paraId="257E0A08" w14:textId="77777777" w:rsidR="00EA7458" w:rsidRPr="00EA7458" w:rsidRDefault="00EA7458" w:rsidP="00EA7458">
      <w:pPr>
        <w:widowControl w:val="0"/>
        <w:spacing w:after="0" w:line="360" w:lineRule="auto"/>
        <w:ind w:left="90"/>
        <w:rPr>
          <w:rFonts w:ascii="Calibri" w:hAnsi="Calibri"/>
          <w:sz w:val="18"/>
        </w:rPr>
      </w:pPr>
      <w:r w:rsidRPr="00EA7458">
        <w:rPr>
          <w:rFonts w:ascii="Calibri" w:hAnsi="Calibri"/>
          <w:b/>
          <w:sz w:val="18"/>
        </w:rPr>
        <w:t>DCAE</w:t>
      </w:r>
      <w:r w:rsidRPr="00EA7458">
        <w:rPr>
          <w:rFonts w:ascii="Calibri" w:hAnsi="Calibri"/>
          <w:sz w:val="18"/>
        </w:rPr>
        <w:t xml:space="preserve"> Division of Career and Adult Education </w:t>
      </w:r>
    </w:p>
    <w:p w14:paraId="75B4A5F7" w14:textId="77777777" w:rsidR="00EA7458" w:rsidRPr="00EA7458" w:rsidRDefault="00EA7458" w:rsidP="00EA7458">
      <w:pPr>
        <w:widowControl w:val="0"/>
        <w:spacing w:after="0" w:line="360" w:lineRule="auto"/>
        <w:ind w:left="90"/>
        <w:rPr>
          <w:rFonts w:ascii="Calibri" w:hAnsi="Calibri"/>
          <w:sz w:val="18"/>
        </w:rPr>
      </w:pPr>
      <w:r w:rsidRPr="00EA7458">
        <w:rPr>
          <w:rFonts w:ascii="Calibri" w:hAnsi="Calibri"/>
          <w:b/>
          <w:sz w:val="18"/>
        </w:rPr>
        <w:t>EN</w:t>
      </w:r>
      <w:r w:rsidRPr="00EA7458">
        <w:rPr>
          <w:rFonts w:ascii="Calibri" w:hAnsi="Calibri"/>
          <w:sz w:val="18"/>
        </w:rPr>
        <w:t xml:space="preserve"> Employment Networks</w:t>
      </w:r>
    </w:p>
    <w:p w14:paraId="2E4FE80C" w14:textId="77777777" w:rsidR="00EA7458" w:rsidRPr="00EA7458" w:rsidRDefault="00EA7458" w:rsidP="00EA7458">
      <w:pPr>
        <w:widowControl w:val="0"/>
        <w:spacing w:after="0" w:line="360" w:lineRule="auto"/>
        <w:ind w:left="90"/>
        <w:rPr>
          <w:rFonts w:ascii="Calibri" w:hAnsi="Calibri"/>
          <w:sz w:val="18"/>
        </w:rPr>
      </w:pPr>
      <w:r w:rsidRPr="00EA7458">
        <w:rPr>
          <w:rFonts w:ascii="Calibri" w:hAnsi="Calibri"/>
          <w:b/>
          <w:sz w:val="18"/>
        </w:rPr>
        <w:t>EPS</w:t>
      </w:r>
      <w:r w:rsidRPr="00EA7458">
        <w:rPr>
          <w:rFonts w:ascii="Calibri" w:hAnsi="Calibri"/>
          <w:sz w:val="18"/>
        </w:rPr>
        <w:t xml:space="preserve"> Employment Placement Specialist</w:t>
      </w:r>
    </w:p>
    <w:p w14:paraId="4A85DCD1" w14:textId="77777777" w:rsidR="00EA7458" w:rsidRPr="00EA7458" w:rsidRDefault="00EA7458" w:rsidP="00EA7458">
      <w:pPr>
        <w:widowControl w:val="0"/>
        <w:spacing w:after="0" w:line="360" w:lineRule="auto"/>
        <w:ind w:left="90"/>
        <w:rPr>
          <w:rFonts w:ascii="Calibri" w:hAnsi="Calibri"/>
          <w:sz w:val="18"/>
        </w:rPr>
      </w:pPr>
      <w:r w:rsidRPr="00EA7458">
        <w:rPr>
          <w:rFonts w:ascii="Calibri" w:hAnsi="Calibri"/>
          <w:b/>
          <w:sz w:val="18"/>
        </w:rPr>
        <w:t>ESOL</w:t>
      </w:r>
      <w:r w:rsidRPr="00EA7458">
        <w:rPr>
          <w:rFonts w:ascii="Calibri" w:hAnsi="Calibri"/>
          <w:sz w:val="18"/>
        </w:rPr>
        <w:t xml:space="preserve"> English for Speakers of Other Languages</w:t>
      </w:r>
    </w:p>
    <w:p w14:paraId="0C750A35" w14:textId="77777777" w:rsidR="00EA7458" w:rsidRPr="00EA7458" w:rsidRDefault="00EA7458" w:rsidP="00EA7458">
      <w:pPr>
        <w:widowControl w:val="0"/>
        <w:spacing w:after="0" w:line="360" w:lineRule="auto"/>
        <w:ind w:left="90"/>
        <w:rPr>
          <w:rFonts w:ascii="Calibri" w:hAnsi="Calibri"/>
          <w:sz w:val="18"/>
        </w:rPr>
      </w:pPr>
      <w:r w:rsidRPr="00EA7458">
        <w:rPr>
          <w:rFonts w:ascii="Calibri" w:hAnsi="Calibri"/>
          <w:b/>
          <w:sz w:val="18"/>
        </w:rPr>
        <w:t>ETA</w:t>
      </w:r>
      <w:r w:rsidRPr="00EA7458">
        <w:rPr>
          <w:rFonts w:ascii="Calibri" w:hAnsi="Calibri"/>
          <w:sz w:val="18"/>
        </w:rPr>
        <w:t xml:space="preserve"> Employment and Training Administration</w:t>
      </w:r>
    </w:p>
    <w:p w14:paraId="0115434A" w14:textId="77777777" w:rsidR="00EA7458" w:rsidRPr="00EA7458" w:rsidRDefault="00EA7458" w:rsidP="00EA7458">
      <w:pPr>
        <w:widowControl w:val="0"/>
        <w:spacing w:after="0" w:line="360" w:lineRule="auto"/>
        <w:ind w:left="90"/>
        <w:rPr>
          <w:rFonts w:ascii="Calibri" w:hAnsi="Calibri"/>
          <w:sz w:val="18"/>
        </w:rPr>
      </w:pPr>
      <w:r w:rsidRPr="00EA7458">
        <w:rPr>
          <w:rFonts w:ascii="Calibri" w:hAnsi="Calibri"/>
          <w:b/>
          <w:sz w:val="18"/>
        </w:rPr>
        <w:t>FAAST</w:t>
      </w:r>
      <w:r w:rsidRPr="00EA7458">
        <w:rPr>
          <w:rFonts w:ascii="Calibri" w:hAnsi="Calibri"/>
          <w:sz w:val="18"/>
        </w:rPr>
        <w:t xml:space="preserve"> Florida Alliance for Assistive Services and Technology</w:t>
      </w:r>
    </w:p>
    <w:p w14:paraId="27C30B8E" w14:textId="77777777" w:rsidR="00EA7458" w:rsidRPr="00EA7458" w:rsidRDefault="00EA7458" w:rsidP="00EA7458">
      <w:pPr>
        <w:widowControl w:val="0"/>
        <w:spacing w:after="0" w:line="360" w:lineRule="auto"/>
        <w:ind w:left="90"/>
        <w:rPr>
          <w:rFonts w:ascii="Calibri" w:hAnsi="Calibri"/>
          <w:sz w:val="18"/>
        </w:rPr>
      </w:pPr>
      <w:r w:rsidRPr="00EA7458">
        <w:rPr>
          <w:rFonts w:ascii="Calibri" w:hAnsi="Calibri"/>
          <w:b/>
          <w:sz w:val="18"/>
        </w:rPr>
        <w:t>FAPE</w:t>
      </w:r>
      <w:r w:rsidRPr="00EA7458">
        <w:rPr>
          <w:rFonts w:ascii="Calibri" w:hAnsi="Calibri"/>
          <w:sz w:val="18"/>
        </w:rPr>
        <w:t xml:space="preserve"> Free and Appropriate Public Education </w:t>
      </w:r>
    </w:p>
    <w:p w14:paraId="009F1DBC" w14:textId="77777777" w:rsidR="00EA7458" w:rsidRPr="00EA7458" w:rsidRDefault="00EA7458" w:rsidP="00EA7458">
      <w:pPr>
        <w:widowControl w:val="0"/>
        <w:spacing w:after="0" w:line="360" w:lineRule="auto"/>
        <w:ind w:left="90"/>
        <w:rPr>
          <w:rFonts w:ascii="Calibri" w:hAnsi="Calibri"/>
          <w:sz w:val="18"/>
        </w:rPr>
      </w:pPr>
      <w:r w:rsidRPr="00EA7458">
        <w:rPr>
          <w:rFonts w:ascii="Calibri" w:hAnsi="Calibri"/>
          <w:b/>
          <w:sz w:val="18"/>
        </w:rPr>
        <w:t>FDBS</w:t>
      </w:r>
      <w:r w:rsidRPr="00EA7458">
        <w:rPr>
          <w:rFonts w:ascii="Calibri" w:hAnsi="Calibri"/>
          <w:sz w:val="18"/>
        </w:rPr>
        <w:t xml:space="preserve"> Florida Division of Blind Services </w:t>
      </w:r>
    </w:p>
    <w:p w14:paraId="7344576D" w14:textId="77777777" w:rsidR="00EA7458" w:rsidRPr="00EA7458" w:rsidRDefault="00EA7458" w:rsidP="00EA7458">
      <w:pPr>
        <w:widowControl w:val="0"/>
        <w:spacing w:after="0" w:line="360" w:lineRule="auto"/>
        <w:ind w:left="90"/>
        <w:rPr>
          <w:rFonts w:ascii="Calibri" w:hAnsi="Calibri"/>
          <w:sz w:val="18"/>
        </w:rPr>
      </w:pPr>
      <w:r w:rsidRPr="00EA7458">
        <w:rPr>
          <w:rFonts w:ascii="Calibri" w:hAnsi="Calibri"/>
          <w:b/>
          <w:sz w:val="18"/>
        </w:rPr>
        <w:t>FDOE</w:t>
      </w:r>
      <w:r w:rsidRPr="00EA7458">
        <w:rPr>
          <w:rFonts w:ascii="Calibri" w:hAnsi="Calibri"/>
          <w:sz w:val="18"/>
        </w:rPr>
        <w:t xml:space="preserve"> Florida Department of Education</w:t>
      </w:r>
    </w:p>
    <w:p w14:paraId="1FDAD38B" w14:textId="77777777" w:rsidR="00EA7458" w:rsidRPr="00EA7458" w:rsidRDefault="00EA7458" w:rsidP="00EA7458">
      <w:pPr>
        <w:widowControl w:val="0"/>
        <w:spacing w:after="0" w:line="360" w:lineRule="auto"/>
        <w:ind w:left="90"/>
        <w:rPr>
          <w:rFonts w:ascii="Calibri" w:hAnsi="Calibri"/>
          <w:sz w:val="18"/>
        </w:rPr>
      </w:pPr>
      <w:r w:rsidRPr="00EA7458">
        <w:rPr>
          <w:rFonts w:ascii="Calibri" w:hAnsi="Calibri"/>
          <w:b/>
          <w:sz w:val="18"/>
        </w:rPr>
        <w:t>FETPIP</w:t>
      </w:r>
      <w:r w:rsidRPr="00EA7458">
        <w:rPr>
          <w:rFonts w:ascii="Calibri" w:hAnsi="Calibri"/>
          <w:sz w:val="18"/>
        </w:rPr>
        <w:t xml:space="preserve"> Florida Education and Training Placement Information Program </w:t>
      </w:r>
    </w:p>
    <w:p w14:paraId="28F24826" w14:textId="77777777" w:rsidR="00EA7458" w:rsidRPr="00EA7458" w:rsidRDefault="00EA7458" w:rsidP="00EA7458">
      <w:pPr>
        <w:widowControl w:val="0"/>
        <w:spacing w:after="0" w:line="360" w:lineRule="auto"/>
        <w:ind w:left="90"/>
        <w:rPr>
          <w:rFonts w:ascii="Calibri" w:hAnsi="Calibri"/>
          <w:sz w:val="18"/>
        </w:rPr>
      </w:pPr>
      <w:r w:rsidRPr="00EA7458">
        <w:rPr>
          <w:rFonts w:ascii="Calibri" w:hAnsi="Calibri"/>
          <w:b/>
          <w:sz w:val="18"/>
        </w:rPr>
        <w:t>FICAPS</w:t>
      </w:r>
      <w:r w:rsidRPr="00EA7458">
        <w:rPr>
          <w:rFonts w:ascii="Calibri" w:hAnsi="Calibri"/>
          <w:sz w:val="18"/>
        </w:rPr>
        <w:t xml:space="preserve"> Florida’s Integrated Career and Academic Preparation System </w:t>
      </w:r>
    </w:p>
    <w:p w14:paraId="71C6ACAC" w14:textId="77777777" w:rsidR="00EA7458" w:rsidRPr="00EA7458" w:rsidRDefault="00EA7458" w:rsidP="00D63204">
      <w:pPr>
        <w:widowControl w:val="0"/>
        <w:spacing w:after="0" w:line="333" w:lineRule="auto"/>
        <w:ind w:left="107" w:right="4790"/>
        <w:rPr>
          <w:rFonts w:ascii="Calibri" w:hAnsi="Calibri" w:cs="Calibri"/>
          <w:sz w:val="18"/>
          <w:szCs w:val="18"/>
        </w:rPr>
      </w:pPr>
      <w:r w:rsidRPr="00EA7458">
        <w:rPr>
          <w:rFonts w:ascii="Calibri" w:hAnsi="Calibri"/>
          <w:b/>
          <w:sz w:val="18"/>
        </w:rPr>
        <w:t>FILC</w:t>
      </w:r>
      <w:r w:rsidRPr="00EA7458">
        <w:rPr>
          <w:rFonts w:ascii="Calibri" w:hAnsi="Calibri"/>
          <w:sz w:val="18"/>
        </w:rPr>
        <w:t xml:space="preserve"> Florida Independent Living Council</w:t>
      </w:r>
    </w:p>
    <w:p w14:paraId="6DDB3EA3" w14:textId="77777777" w:rsidR="00EA7458" w:rsidRPr="00EA7458" w:rsidRDefault="00EA7458" w:rsidP="00D63204">
      <w:pPr>
        <w:widowControl w:val="0"/>
        <w:spacing w:after="0" w:line="333" w:lineRule="auto"/>
        <w:rPr>
          <w:rFonts w:ascii="Calibri" w:hAnsi="Calibri" w:cs="Calibri"/>
          <w:sz w:val="18"/>
          <w:szCs w:val="18"/>
        </w:rPr>
        <w:sectPr w:rsidR="00EA7458" w:rsidRPr="00EA7458">
          <w:footerReference w:type="default" r:id="rId60"/>
          <w:pgSz w:w="12240" w:h="15840"/>
          <w:pgMar w:top="1620" w:right="900" w:bottom="820" w:left="900" w:header="812" w:footer="624" w:gutter="0"/>
          <w:cols w:space="720"/>
        </w:sectPr>
      </w:pPr>
    </w:p>
    <w:p w14:paraId="65B062E9" w14:textId="47A8D021" w:rsidR="00EA7458" w:rsidRPr="00EA7458" w:rsidRDefault="00924AC3" w:rsidP="00EA7458">
      <w:pPr>
        <w:widowControl w:val="0"/>
        <w:tabs>
          <w:tab w:val="left" w:pos="9162"/>
        </w:tabs>
        <w:spacing w:before="30" w:after="0" w:line="240" w:lineRule="auto"/>
        <w:ind w:left="107"/>
        <w:rPr>
          <w:rFonts w:ascii="Calibri" w:hAnsi="Calibri" w:cs="Calibri"/>
          <w:sz w:val="24"/>
          <w:szCs w:val="24"/>
        </w:rPr>
      </w:pPr>
      <w:r>
        <w:rPr>
          <w:noProof/>
        </w:rPr>
        <w:lastRenderedPageBreak/>
        <mc:AlternateContent>
          <mc:Choice Requires="wpg">
            <w:drawing>
              <wp:anchor distT="0" distB="0" distL="114300" distR="114300" simplePos="0" relativeHeight="251658245" behindDoc="1" locked="0" layoutInCell="1" allowOverlap="1" wp14:anchorId="40DDF64E" wp14:editId="526A00AD">
                <wp:simplePos x="0" y="0"/>
                <wp:positionH relativeFrom="page">
                  <wp:posOffset>640080</wp:posOffset>
                </wp:positionH>
                <wp:positionV relativeFrom="paragraph">
                  <wp:posOffset>276860</wp:posOffset>
                </wp:positionV>
                <wp:extent cx="6492240" cy="1270"/>
                <wp:effectExtent l="0" t="0" r="0" b="0"/>
                <wp:wrapNone/>
                <wp:docPr id="149" name="Group 1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92240" cy="1270"/>
                          <a:chOff x="1008" y="436"/>
                          <a:chExt cx="10224" cy="2"/>
                        </a:xfrm>
                      </wpg:grpSpPr>
                      <wps:wsp>
                        <wps:cNvPr id="150" name="Freeform 185"/>
                        <wps:cNvSpPr>
                          <a:spLocks/>
                        </wps:cNvSpPr>
                        <wps:spPr bwMode="auto">
                          <a:xfrm>
                            <a:off x="1008" y="436"/>
                            <a:ext cx="10224" cy="2"/>
                          </a:xfrm>
                          <a:custGeom>
                            <a:avLst/>
                            <a:gdLst>
                              <a:gd name="T0" fmla="+- 0 1008 1008"/>
                              <a:gd name="T1" fmla="*/ T0 w 10224"/>
                              <a:gd name="T2" fmla="+- 0 11232 1008"/>
                              <a:gd name="T3" fmla="*/ T2 w 10224"/>
                            </a:gdLst>
                            <a:ahLst/>
                            <a:cxnLst>
                              <a:cxn ang="0">
                                <a:pos x="T1" y="0"/>
                              </a:cxn>
                              <a:cxn ang="0">
                                <a:pos x="T3" y="0"/>
                              </a:cxn>
                            </a:cxnLst>
                            <a:rect l="0" t="0" r="r" b="b"/>
                            <a:pathLst>
                              <a:path w="10224">
                                <a:moveTo>
                                  <a:pt x="0" y="0"/>
                                </a:moveTo>
                                <a:lnTo>
                                  <a:pt x="10224" y="0"/>
                                </a:lnTo>
                              </a:path>
                            </a:pathLst>
                          </a:custGeom>
                          <a:noFill/>
                          <a:ln w="317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FE05C58" id="Group 149" o:spid="_x0000_s1026" style="position:absolute;margin-left:50.4pt;margin-top:21.8pt;width:511.2pt;height:.1pt;z-index:-251658235;mso-position-horizontal-relative:page" coordorigin="1008,436" coordsize="1022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">
                <v:shape id="Freeform 185" o:spid="_x0000_s1027" style="position:absolute;left:1008;top:436;width:10224;height:2;visibility:visible;mso-wrap-style:square;v-text-anchor:top" coordsize="1022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" path="m,l10224,e" filled="f" strokecolor="#231f20" strokeweight=".25pt">
                  <v:path arrowok="t" o:connecttype="custom" o:connectlocs="0,0;10224,0" o:connectangles="0,0"/>
                </v:shape>
                <w10:wrap anchorx="page"/>
              </v:group>
            </w:pict>
          </mc:Fallback>
        </mc:AlternateContent>
      </w:r>
      <w:r w:rsidR="00EA7458" w:rsidRPr="00EA7458">
        <w:rPr>
          <w:rFonts w:ascii="Calibri" w:hAnsi="Calibri"/>
          <w:b/>
          <w:color w:val="295CA3"/>
          <w:w w:val="110"/>
          <w:sz w:val="36"/>
        </w:rPr>
        <w:t>ACRONYM</w:t>
      </w:r>
      <w:r w:rsidR="00EA7458" w:rsidRPr="00EA7458">
        <w:rPr>
          <w:rFonts w:ascii="Calibri" w:hAnsi="Calibri"/>
          <w:b/>
          <w:color w:val="295CA3"/>
          <w:spacing w:val="69"/>
          <w:w w:val="110"/>
          <w:sz w:val="36"/>
        </w:rPr>
        <w:t xml:space="preserve"> </w:t>
      </w:r>
      <w:r w:rsidR="00EA7458" w:rsidRPr="00EA7458">
        <w:rPr>
          <w:rFonts w:ascii="Calibri" w:hAnsi="Calibri"/>
          <w:b/>
          <w:color w:val="295CA3"/>
          <w:w w:val="110"/>
          <w:sz w:val="36"/>
        </w:rPr>
        <w:t>GUIDE</w:t>
      </w:r>
      <w:r w:rsidR="00EA7458" w:rsidRPr="00EA7458">
        <w:rPr>
          <w:rFonts w:ascii="Calibri" w:hAnsi="Calibri"/>
          <w:b/>
          <w:color w:val="295CA3"/>
          <w:w w:val="110"/>
          <w:sz w:val="36"/>
        </w:rPr>
        <w:tab/>
      </w:r>
      <w:r w:rsidR="00EA7458" w:rsidRPr="00EA7458">
        <w:rPr>
          <w:rFonts w:ascii="Calibri" w:hAnsi="Calibri"/>
          <w:color w:val="231F20"/>
          <w:w w:val="105"/>
          <w:sz w:val="24"/>
        </w:rPr>
        <w:t>(continued)</w:t>
      </w:r>
    </w:p>
    <w:p w14:paraId="3ACF67DA" w14:textId="77777777" w:rsidR="00EA7458" w:rsidRPr="00EA7458" w:rsidRDefault="00EA7458" w:rsidP="00EA7458">
      <w:pPr>
        <w:widowControl w:val="0"/>
        <w:spacing w:after="0" w:line="360" w:lineRule="auto"/>
        <w:ind w:left="90"/>
        <w:rPr>
          <w:rFonts w:ascii="Calibri" w:hAnsi="Calibri"/>
          <w:sz w:val="18"/>
        </w:rPr>
      </w:pPr>
      <w:r w:rsidRPr="00EA7458">
        <w:rPr>
          <w:rFonts w:ascii="Calibri" w:hAnsi="Calibri"/>
          <w:b/>
          <w:sz w:val="18"/>
        </w:rPr>
        <w:t>FFY</w:t>
      </w:r>
      <w:r w:rsidRPr="00EA7458">
        <w:rPr>
          <w:rFonts w:ascii="Calibri" w:hAnsi="Calibri"/>
          <w:sz w:val="18"/>
        </w:rPr>
        <w:t xml:space="preserve"> Federal Fiscal Year</w:t>
      </w:r>
    </w:p>
    <w:p w14:paraId="41CFDC8E" w14:textId="77777777" w:rsidR="00EA7458" w:rsidRPr="00EA7458" w:rsidRDefault="00EA7458" w:rsidP="00EA7458">
      <w:pPr>
        <w:widowControl w:val="0"/>
        <w:spacing w:after="0" w:line="360" w:lineRule="auto"/>
        <w:ind w:left="90"/>
        <w:rPr>
          <w:rFonts w:ascii="Calibri" w:hAnsi="Calibri"/>
          <w:sz w:val="18"/>
        </w:rPr>
      </w:pPr>
      <w:r w:rsidRPr="00EA7458">
        <w:rPr>
          <w:rFonts w:ascii="Calibri" w:hAnsi="Calibri"/>
          <w:b/>
          <w:sz w:val="18"/>
        </w:rPr>
        <w:t>FRC</w:t>
      </w:r>
      <w:r w:rsidRPr="00EA7458">
        <w:rPr>
          <w:rFonts w:ascii="Calibri" w:hAnsi="Calibri"/>
          <w:sz w:val="18"/>
        </w:rPr>
        <w:t xml:space="preserve"> Florida Rehabilitation Council</w:t>
      </w:r>
    </w:p>
    <w:p w14:paraId="5E4CFC91" w14:textId="77777777" w:rsidR="00EA7458" w:rsidRPr="00EA7458" w:rsidRDefault="00EA7458" w:rsidP="00EA7458">
      <w:pPr>
        <w:widowControl w:val="0"/>
        <w:spacing w:after="0" w:line="360" w:lineRule="auto"/>
        <w:ind w:left="90"/>
        <w:rPr>
          <w:rFonts w:ascii="Calibri" w:hAnsi="Calibri"/>
          <w:sz w:val="18"/>
        </w:rPr>
      </w:pPr>
      <w:r w:rsidRPr="00EA7458">
        <w:rPr>
          <w:rFonts w:ascii="Calibri" w:hAnsi="Calibri"/>
          <w:b/>
          <w:sz w:val="18"/>
        </w:rPr>
        <w:t>FRCB</w:t>
      </w:r>
      <w:r w:rsidRPr="00EA7458">
        <w:rPr>
          <w:rFonts w:ascii="Calibri" w:hAnsi="Calibri"/>
          <w:sz w:val="18"/>
        </w:rPr>
        <w:t xml:space="preserve"> Florida Rehabilitation Council for the Blind</w:t>
      </w:r>
    </w:p>
    <w:p w14:paraId="4A821D5E" w14:textId="77777777" w:rsidR="00EA7458" w:rsidRPr="00EA7458" w:rsidRDefault="00EA7458" w:rsidP="00EA7458">
      <w:pPr>
        <w:widowControl w:val="0"/>
        <w:spacing w:after="0" w:line="360" w:lineRule="auto"/>
        <w:ind w:left="90"/>
        <w:rPr>
          <w:rFonts w:ascii="Calibri" w:hAnsi="Calibri"/>
          <w:sz w:val="18"/>
        </w:rPr>
      </w:pPr>
      <w:r w:rsidRPr="00EA7458">
        <w:rPr>
          <w:rFonts w:ascii="Calibri" w:hAnsi="Calibri"/>
          <w:b/>
          <w:sz w:val="18"/>
        </w:rPr>
        <w:t>IEP</w:t>
      </w:r>
      <w:r w:rsidRPr="00EA7458">
        <w:rPr>
          <w:rFonts w:ascii="Calibri" w:hAnsi="Calibri"/>
          <w:sz w:val="18"/>
        </w:rPr>
        <w:t xml:space="preserve"> Individualized Education Plan</w:t>
      </w:r>
    </w:p>
    <w:p w14:paraId="7CAD7F0E" w14:textId="77777777" w:rsidR="00EA7458" w:rsidRPr="00EA7458" w:rsidRDefault="00EA7458" w:rsidP="00EA7458">
      <w:pPr>
        <w:widowControl w:val="0"/>
        <w:spacing w:after="0" w:line="360" w:lineRule="auto"/>
        <w:ind w:left="90"/>
        <w:rPr>
          <w:rFonts w:ascii="Calibri" w:hAnsi="Calibri"/>
          <w:sz w:val="18"/>
        </w:rPr>
      </w:pPr>
      <w:r w:rsidRPr="00EA7458">
        <w:rPr>
          <w:rFonts w:ascii="Calibri" w:hAnsi="Calibri"/>
          <w:b/>
          <w:sz w:val="18"/>
        </w:rPr>
        <w:t>IPE</w:t>
      </w:r>
      <w:r w:rsidRPr="00EA7458">
        <w:rPr>
          <w:rFonts w:ascii="Calibri" w:hAnsi="Calibri"/>
          <w:sz w:val="18"/>
        </w:rPr>
        <w:t xml:space="preserve"> Individualized Plan for Employment</w:t>
      </w:r>
    </w:p>
    <w:p w14:paraId="26F0291C" w14:textId="77777777" w:rsidR="00EA7458" w:rsidRPr="00EA7458" w:rsidRDefault="00EA7458" w:rsidP="00EA7458">
      <w:pPr>
        <w:widowControl w:val="0"/>
        <w:spacing w:after="0" w:line="360" w:lineRule="auto"/>
        <w:ind w:left="90"/>
        <w:rPr>
          <w:rFonts w:ascii="Calibri" w:hAnsi="Calibri"/>
          <w:sz w:val="18"/>
        </w:rPr>
      </w:pPr>
      <w:r w:rsidRPr="00EA7458">
        <w:rPr>
          <w:rFonts w:ascii="Calibri" w:hAnsi="Calibri"/>
          <w:b/>
          <w:sz w:val="18"/>
        </w:rPr>
        <w:t>ITA</w:t>
      </w:r>
      <w:r w:rsidRPr="00EA7458">
        <w:rPr>
          <w:rFonts w:ascii="Calibri" w:hAnsi="Calibri"/>
          <w:sz w:val="18"/>
        </w:rPr>
        <w:t xml:space="preserve"> Individual Training Accounts </w:t>
      </w:r>
    </w:p>
    <w:p w14:paraId="6665D5BC" w14:textId="77777777" w:rsidR="00EA7458" w:rsidRPr="00EA7458" w:rsidRDefault="00EA7458" w:rsidP="00EA7458">
      <w:pPr>
        <w:widowControl w:val="0"/>
        <w:spacing w:after="0" w:line="360" w:lineRule="auto"/>
        <w:ind w:left="90"/>
        <w:rPr>
          <w:rFonts w:ascii="Calibri" w:hAnsi="Calibri"/>
          <w:sz w:val="18"/>
        </w:rPr>
      </w:pPr>
      <w:r w:rsidRPr="00EA7458">
        <w:rPr>
          <w:rFonts w:ascii="Calibri" w:hAnsi="Calibri"/>
          <w:b/>
          <w:sz w:val="18"/>
        </w:rPr>
        <w:t>IWT</w:t>
      </w:r>
      <w:r w:rsidRPr="00EA7458">
        <w:rPr>
          <w:rFonts w:ascii="Calibri" w:hAnsi="Calibri"/>
          <w:sz w:val="18"/>
        </w:rPr>
        <w:t xml:space="preserve"> Incumbent Worker Training </w:t>
      </w:r>
    </w:p>
    <w:p w14:paraId="6BC580D5" w14:textId="77777777" w:rsidR="00EA7458" w:rsidRPr="00EA7458" w:rsidRDefault="00EA7458" w:rsidP="00EA7458">
      <w:pPr>
        <w:widowControl w:val="0"/>
        <w:spacing w:after="0" w:line="360" w:lineRule="auto"/>
        <w:ind w:left="90"/>
        <w:rPr>
          <w:rFonts w:ascii="Calibri" w:hAnsi="Calibri"/>
          <w:sz w:val="18"/>
        </w:rPr>
      </w:pPr>
      <w:r w:rsidRPr="00EA7458">
        <w:rPr>
          <w:rFonts w:ascii="Calibri" w:hAnsi="Calibri"/>
          <w:b/>
          <w:sz w:val="18"/>
        </w:rPr>
        <w:t>JVA</w:t>
      </w:r>
      <w:r w:rsidRPr="00EA7458">
        <w:rPr>
          <w:rFonts w:ascii="Calibri" w:hAnsi="Calibri"/>
          <w:sz w:val="18"/>
        </w:rPr>
        <w:t xml:space="preserve"> Jobs for Veterans Act</w:t>
      </w:r>
    </w:p>
    <w:p w14:paraId="12EC6F08" w14:textId="77777777" w:rsidR="00EA7458" w:rsidRPr="00EA7458" w:rsidRDefault="00EA7458" w:rsidP="00EA7458">
      <w:pPr>
        <w:widowControl w:val="0"/>
        <w:spacing w:after="0" w:line="360" w:lineRule="auto"/>
        <w:ind w:left="90"/>
        <w:rPr>
          <w:rFonts w:ascii="Calibri" w:hAnsi="Calibri"/>
          <w:sz w:val="18"/>
        </w:rPr>
      </w:pPr>
      <w:r w:rsidRPr="00EA7458">
        <w:rPr>
          <w:rFonts w:ascii="Calibri" w:hAnsi="Calibri"/>
          <w:b/>
          <w:sz w:val="18"/>
        </w:rPr>
        <w:t>JVSG</w:t>
      </w:r>
      <w:r w:rsidRPr="00EA7458">
        <w:rPr>
          <w:rFonts w:ascii="Calibri" w:hAnsi="Calibri"/>
          <w:sz w:val="18"/>
        </w:rPr>
        <w:t xml:space="preserve"> Jobs for Veterans State Grant </w:t>
      </w:r>
    </w:p>
    <w:p w14:paraId="136C3EEE" w14:textId="506765FA" w:rsidR="00EA7458" w:rsidRPr="00EA7458" w:rsidRDefault="00EA7458" w:rsidP="00EA7458">
      <w:pPr>
        <w:widowControl w:val="0"/>
        <w:spacing w:after="0" w:line="360" w:lineRule="auto"/>
        <w:ind w:left="90"/>
        <w:rPr>
          <w:rFonts w:ascii="Calibri" w:hAnsi="Calibri"/>
          <w:sz w:val="18"/>
        </w:rPr>
      </w:pPr>
      <w:r w:rsidRPr="00EA7458">
        <w:rPr>
          <w:rFonts w:ascii="Calibri" w:hAnsi="Calibri"/>
          <w:b/>
          <w:sz w:val="18"/>
        </w:rPr>
        <w:t>KSAs</w:t>
      </w:r>
      <w:r w:rsidRPr="00EA7458">
        <w:rPr>
          <w:rFonts w:ascii="Calibri" w:hAnsi="Calibri"/>
          <w:sz w:val="18"/>
        </w:rPr>
        <w:t xml:space="preserve"> Knowledge, Skills</w:t>
      </w:r>
      <w:r w:rsidR="00D5537E">
        <w:rPr>
          <w:rFonts w:ascii="Calibri" w:hAnsi="Calibri"/>
          <w:sz w:val="18"/>
        </w:rPr>
        <w:t xml:space="preserve"> and</w:t>
      </w:r>
      <w:r w:rsidRPr="00EA7458">
        <w:rPr>
          <w:rFonts w:ascii="Calibri" w:hAnsi="Calibri"/>
          <w:sz w:val="18"/>
        </w:rPr>
        <w:t xml:space="preserve"> Abilities </w:t>
      </w:r>
    </w:p>
    <w:p w14:paraId="3AB6ECB4" w14:textId="77777777" w:rsidR="00EA7458" w:rsidRPr="00EA7458" w:rsidRDefault="00EA7458" w:rsidP="00EA7458">
      <w:pPr>
        <w:widowControl w:val="0"/>
        <w:spacing w:after="0" w:line="360" w:lineRule="auto"/>
        <w:ind w:left="90"/>
        <w:rPr>
          <w:rFonts w:ascii="Calibri" w:hAnsi="Calibri"/>
          <w:sz w:val="18"/>
        </w:rPr>
      </w:pPr>
      <w:r w:rsidRPr="00EA7458">
        <w:rPr>
          <w:rFonts w:ascii="Calibri" w:hAnsi="Calibri"/>
          <w:b/>
          <w:sz w:val="18"/>
        </w:rPr>
        <w:t>LEA</w:t>
      </w:r>
      <w:r w:rsidRPr="00EA7458">
        <w:rPr>
          <w:rFonts w:ascii="Calibri" w:hAnsi="Calibri"/>
          <w:sz w:val="18"/>
        </w:rPr>
        <w:t xml:space="preserve"> Local Education Agency</w:t>
      </w:r>
    </w:p>
    <w:p w14:paraId="16A390BB" w14:textId="77777777" w:rsidR="00EA7458" w:rsidRPr="00EA7458" w:rsidRDefault="00EA7458" w:rsidP="00EA7458">
      <w:pPr>
        <w:widowControl w:val="0"/>
        <w:spacing w:after="0" w:line="360" w:lineRule="auto"/>
        <w:ind w:left="90"/>
        <w:rPr>
          <w:rFonts w:ascii="Calibri" w:hAnsi="Calibri"/>
          <w:sz w:val="18"/>
        </w:rPr>
      </w:pPr>
      <w:r w:rsidRPr="00EA7458">
        <w:rPr>
          <w:rFonts w:ascii="Calibri" w:hAnsi="Calibri"/>
          <w:b/>
          <w:sz w:val="18"/>
        </w:rPr>
        <w:t>LMS</w:t>
      </w:r>
      <w:r w:rsidRPr="00EA7458">
        <w:rPr>
          <w:rFonts w:ascii="Calibri" w:hAnsi="Calibri"/>
          <w:sz w:val="18"/>
        </w:rPr>
        <w:t xml:space="preserve"> Learning Management System</w:t>
      </w:r>
    </w:p>
    <w:p w14:paraId="1BF41985" w14:textId="77777777" w:rsidR="00EA7458" w:rsidRPr="00EA7458" w:rsidRDefault="00EA7458" w:rsidP="00EA7458">
      <w:pPr>
        <w:widowControl w:val="0"/>
        <w:spacing w:after="0" w:line="360" w:lineRule="auto"/>
        <w:ind w:left="90"/>
        <w:rPr>
          <w:rFonts w:ascii="Calibri" w:hAnsi="Calibri"/>
          <w:sz w:val="18"/>
        </w:rPr>
      </w:pPr>
      <w:r w:rsidRPr="00EA7458">
        <w:rPr>
          <w:rFonts w:ascii="Calibri" w:hAnsi="Calibri"/>
          <w:b/>
          <w:sz w:val="18"/>
        </w:rPr>
        <w:t>LWDA</w:t>
      </w:r>
      <w:r w:rsidRPr="00EA7458">
        <w:rPr>
          <w:rFonts w:ascii="Calibri" w:hAnsi="Calibri"/>
          <w:sz w:val="18"/>
        </w:rPr>
        <w:t xml:space="preserve"> Local Workforce Development Area</w:t>
      </w:r>
    </w:p>
    <w:p w14:paraId="7E83D702" w14:textId="77777777" w:rsidR="00EA7458" w:rsidRPr="00EA7458" w:rsidRDefault="00EA7458" w:rsidP="00EA7458">
      <w:pPr>
        <w:widowControl w:val="0"/>
        <w:spacing w:after="0" w:line="360" w:lineRule="auto"/>
        <w:ind w:left="90"/>
        <w:rPr>
          <w:rFonts w:ascii="Calibri" w:hAnsi="Calibri"/>
          <w:sz w:val="18"/>
        </w:rPr>
      </w:pPr>
      <w:r w:rsidRPr="00EA7458">
        <w:rPr>
          <w:rFonts w:ascii="Calibri" w:hAnsi="Calibri"/>
          <w:b/>
          <w:sz w:val="18"/>
        </w:rPr>
        <w:t>LWDB</w:t>
      </w:r>
      <w:r w:rsidRPr="00EA7458">
        <w:rPr>
          <w:rFonts w:ascii="Calibri" w:hAnsi="Calibri"/>
          <w:sz w:val="18"/>
        </w:rPr>
        <w:t xml:space="preserve"> Local Workforce Development Board</w:t>
      </w:r>
    </w:p>
    <w:p w14:paraId="22DC63CF" w14:textId="77777777" w:rsidR="00EA7458" w:rsidRPr="00EA7458" w:rsidRDefault="00EA7458" w:rsidP="00EA7458">
      <w:pPr>
        <w:widowControl w:val="0"/>
        <w:spacing w:after="0" w:line="360" w:lineRule="auto"/>
        <w:ind w:left="90"/>
        <w:rPr>
          <w:rFonts w:ascii="Calibri" w:hAnsi="Calibri"/>
          <w:sz w:val="18"/>
        </w:rPr>
      </w:pPr>
      <w:r w:rsidRPr="00EA7458">
        <w:rPr>
          <w:rFonts w:ascii="Calibri" w:hAnsi="Calibri"/>
          <w:b/>
          <w:sz w:val="18"/>
        </w:rPr>
        <w:t>MDES</w:t>
      </w:r>
      <w:r w:rsidRPr="00EA7458">
        <w:rPr>
          <w:rFonts w:ascii="Calibri" w:hAnsi="Calibri"/>
          <w:sz w:val="18"/>
        </w:rPr>
        <w:t xml:space="preserve"> Mississippi Department of Employment Security</w:t>
      </w:r>
    </w:p>
    <w:p w14:paraId="7BEDCE3E" w14:textId="77777777" w:rsidR="00EA7458" w:rsidRPr="00EA7458" w:rsidRDefault="00EA7458" w:rsidP="00EA7458">
      <w:pPr>
        <w:widowControl w:val="0"/>
        <w:spacing w:after="0" w:line="360" w:lineRule="auto"/>
        <w:ind w:left="90"/>
        <w:rPr>
          <w:rFonts w:ascii="Calibri" w:hAnsi="Calibri"/>
          <w:sz w:val="18"/>
        </w:rPr>
      </w:pPr>
      <w:r w:rsidRPr="00EA7458">
        <w:rPr>
          <w:rFonts w:ascii="Calibri" w:hAnsi="Calibri"/>
          <w:b/>
          <w:sz w:val="18"/>
        </w:rPr>
        <w:t>MIS</w:t>
      </w:r>
      <w:r w:rsidRPr="00EA7458">
        <w:rPr>
          <w:rFonts w:ascii="Calibri" w:hAnsi="Calibri"/>
          <w:sz w:val="18"/>
        </w:rPr>
        <w:t xml:space="preserve"> Management Information System </w:t>
      </w:r>
    </w:p>
    <w:p w14:paraId="6D0E1CC1" w14:textId="77777777" w:rsidR="00EA7458" w:rsidRPr="00EA7458" w:rsidRDefault="00EA7458" w:rsidP="00EA7458">
      <w:pPr>
        <w:widowControl w:val="0"/>
        <w:spacing w:after="0" w:line="360" w:lineRule="auto"/>
        <w:ind w:left="90"/>
        <w:rPr>
          <w:rFonts w:ascii="Calibri" w:hAnsi="Calibri"/>
          <w:sz w:val="18"/>
        </w:rPr>
      </w:pPr>
      <w:r w:rsidRPr="00EA7458">
        <w:rPr>
          <w:rFonts w:ascii="Calibri" w:hAnsi="Calibri"/>
          <w:b/>
          <w:sz w:val="18"/>
        </w:rPr>
        <w:t>MSA</w:t>
      </w:r>
      <w:r w:rsidRPr="00EA7458">
        <w:rPr>
          <w:rFonts w:ascii="Calibri" w:hAnsi="Calibri"/>
          <w:sz w:val="18"/>
        </w:rPr>
        <w:t xml:space="preserve"> Metropolitan Statistical Area </w:t>
      </w:r>
    </w:p>
    <w:p w14:paraId="5171F83F" w14:textId="77777777" w:rsidR="00EA7458" w:rsidRPr="00EA7458" w:rsidRDefault="00EA7458" w:rsidP="00EA7458">
      <w:pPr>
        <w:widowControl w:val="0"/>
        <w:spacing w:after="0" w:line="360" w:lineRule="auto"/>
        <w:ind w:left="90"/>
        <w:rPr>
          <w:rFonts w:ascii="Calibri" w:hAnsi="Calibri"/>
          <w:sz w:val="18"/>
        </w:rPr>
      </w:pPr>
      <w:r w:rsidRPr="00EA7458">
        <w:rPr>
          <w:rFonts w:ascii="Calibri" w:hAnsi="Calibri"/>
          <w:b/>
          <w:sz w:val="18"/>
        </w:rPr>
        <w:t>MSFW</w:t>
      </w:r>
      <w:r w:rsidRPr="00EA7458">
        <w:rPr>
          <w:rFonts w:ascii="Calibri" w:hAnsi="Calibri"/>
          <w:sz w:val="18"/>
        </w:rPr>
        <w:t xml:space="preserve"> Migrant &amp; Seasonal Farmworkers</w:t>
      </w:r>
    </w:p>
    <w:p w14:paraId="1C4D6487" w14:textId="77777777" w:rsidR="00EA7458" w:rsidRPr="00EA7458" w:rsidRDefault="00EA7458" w:rsidP="00EA7458">
      <w:pPr>
        <w:widowControl w:val="0"/>
        <w:spacing w:after="0" w:line="360" w:lineRule="auto"/>
        <w:ind w:left="90"/>
        <w:rPr>
          <w:rFonts w:ascii="Calibri" w:hAnsi="Calibri"/>
          <w:sz w:val="18"/>
        </w:rPr>
      </w:pPr>
      <w:r w:rsidRPr="00EA7458">
        <w:rPr>
          <w:rFonts w:ascii="Calibri" w:hAnsi="Calibri"/>
          <w:b/>
          <w:sz w:val="18"/>
        </w:rPr>
        <w:t>NCSRC</w:t>
      </w:r>
      <w:r w:rsidRPr="00EA7458">
        <w:rPr>
          <w:rFonts w:ascii="Calibri" w:hAnsi="Calibri"/>
          <w:sz w:val="18"/>
        </w:rPr>
        <w:t xml:space="preserve"> National Coalition of State Rehabilitation Councils</w:t>
      </w:r>
    </w:p>
    <w:p w14:paraId="60164823" w14:textId="77777777" w:rsidR="00EA7458" w:rsidRPr="00EA7458" w:rsidRDefault="00EA7458" w:rsidP="00EA7458">
      <w:pPr>
        <w:widowControl w:val="0"/>
        <w:spacing w:after="0" w:line="360" w:lineRule="auto"/>
        <w:ind w:left="90"/>
        <w:rPr>
          <w:rFonts w:ascii="Calibri" w:hAnsi="Calibri"/>
          <w:sz w:val="18"/>
        </w:rPr>
      </w:pPr>
      <w:r w:rsidRPr="00EA7458">
        <w:rPr>
          <w:rFonts w:ascii="Calibri" w:hAnsi="Calibri"/>
          <w:b/>
          <w:sz w:val="18"/>
        </w:rPr>
        <w:t>NEG</w:t>
      </w:r>
      <w:r w:rsidRPr="00EA7458">
        <w:rPr>
          <w:rFonts w:ascii="Calibri" w:hAnsi="Calibri"/>
          <w:sz w:val="18"/>
        </w:rPr>
        <w:t xml:space="preserve"> National Emergency Grant</w:t>
      </w:r>
    </w:p>
    <w:p w14:paraId="51DA504A" w14:textId="77777777" w:rsidR="00EA7458" w:rsidRPr="00EA7458" w:rsidRDefault="00EA7458" w:rsidP="00EA7458">
      <w:pPr>
        <w:widowControl w:val="0"/>
        <w:spacing w:after="0" w:line="360" w:lineRule="auto"/>
        <w:ind w:left="90"/>
        <w:rPr>
          <w:rFonts w:ascii="Calibri" w:hAnsi="Calibri"/>
          <w:sz w:val="18"/>
        </w:rPr>
      </w:pPr>
      <w:r w:rsidRPr="00EA7458">
        <w:rPr>
          <w:rFonts w:ascii="Calibri" w:hAnsi="Calibri"/>
          <w:b/>
          <w:sz w:val="18"/>
        </w:rPr>
        <w:t>NFJP</w:t>
      </w:r>
      <w:r w:rsidRPr="00EA7458">
        <w:rPr>
          <w:rFonts w:ascii="Calibri" w:hAnsi="Calibri"/>
          <w:sz w:val="18"/>
        </w:rPr>
        <w:t xml:space="preserve"> National Farmworker Jobs Program</w:t>
      </w:r>
    </w:p>
    <w:p w14:paraId="3F46FE1A" w14:textId="77777777" w:rsidR="00EA7458" w:rsidRPr="00EA7458" w:rsidRDefault="00EA7458" w:rsidP="00EA7458">
      <w:pPr>
        <w:widowControl w:val="0"/>
        <w:spacing w:after="0" w:line="360" w:lineRule="auto"/>
        <w:ind w:left="90"/>
        <w:rPr>
          <w:rFonts w:ascii="Calibri" w:hAnsi="Calibri"/>
          <w:sz w:val="18"/>
        </w:rPr>
      </w:pPr>
      <w:r w:rsidRPr="00EA7458">
        <w:rPr>
          <w:rFonts w:ascii="Calibri" w:hAnsi="Calibri"/>
          <w:b/>
          <w:sz w:val="18"/>
        </w:rPr>
        <w:t>NRS</w:t>
      </w:r>
      <w:r w:rsidRPr="00EA7458">
        <w:rPr>
          <w:rFonts w:ascii="Calibri" w:hAnsi="Calibri"/>
          <w:sz w:val="18"/>
        </w:rPr>
        <w:t xml:space="preserve"> National Reporting System</w:t>
      </w:r>
    </w:p>
    <w:p w14:paraId="218EEF68" w14:textId="77777777" w:rsidR="00EA7458" w:rsidRPr="00EA7458" w:rsidRDefault="00EA7458" w:rsidP="00EA7458">
      <w:pPr>
        <w:widowControl w:val="0"/>
        <w:spacing w:after="0" w:line="360" w:lineRule="auto"/>
        <w:ind w:left="90"/>
        <w:rPr>
          <w:rFonts w:ascii="Calibri" w:hAnsi="Calibri"/>
          <w:sz w:val="18"/>
        </w:rPr>
      </w:pPr>
      <w:r w:rsidRPr="00EA7458">
        <w:rPr>
          <w:rFonts w:ascii="Calibri" w:hAnsi="Calibri"/>
          <w:b/>
          <w:sz w:val="18"/>
        </w:rPr>
        <w:t>O*Net</w:t>
      </w:r>
      <w:r w:rsidRPr="00EA7458">
        <w:rPr>
          <w:rFonts w:ascii="Calibri" w:hAnsi="Calibri"/>
          <w:sz w:val="18"/>
        </w:rPr>
        <w:t xml:space="preserve"> Occupational Information Network</w:t>
      </w:r>
    </w:p>
    <w:p w14:paraId="038338F5" w14:textId="77777777" w:rsidR="00EA7458" w:rsidRPr="00EA7458" w:rsidRDefault="00EA7458" w:rsidP="00EA7458">
      <w:pPr>
        <w:widowControl w:val="0"/>
        <w:spacing w:after="0" w:line="360" w:lineRule="auto"/>
        <w:ind w:left="90"/>
        <w:rPr>
          <w:rFonts w:ascii="Calibri" w:hAnsi="Calibri"/>
          <w:sz w:val="18"/>
        </w:rPr>
      </w:pPr>
      <w:r w:rsidRPr="00EA7458">
        <w:rPr>
          <w:rFonts w:ascii="Calibri" w:hAnsi="Calibri"/>
          <w:b/>
          <w:sz w:val="18"/>
        </w:rPr>
        <w:t>OCR</w:t>
      </w:r>
      <w:r w:rsidRPr="00EA7458">
        <w:rPr>
          <w:rFonts w:ascii="Calibri" w:hAnsi="Calibri"/>
          <w:sz w:val="18"/>
        </w:rPr>
        <w:t xml:space="preserve"> Office of Civil Rights</w:t>
      </w:r>
    </w:p>
    <w:p w14:paraId="5C2CD01D" w14:textId="77777777" w:rsidR="00EA7458" w:rsidRPr="00EA7458" w:rsidRDefault="00EA7458" w:rsidP="00EA7458">
      <w:pPr>
        <w:widowControl w:val="0"/>
        <w:spacing w:after="0" w:line="360" w:lineRule="auto"/>
        <w:ind w:left="90"/>
        <w:rPr>
          <w:rFonts w:ascii="Calibri" w:hAnsi="Calibri"/>
          <w:sz w:val="18"/>
        </w:rPr>
      </w:pPr>
      <w:r w:rsidRPr="00EA7458">
        <w:rPr>
          <w:rFonts w:ascii="Calibri" w:hAnsi="Calibri"/>
          <w:b/>
          <w:sz w:val="18"/>
        </w:rPr>
        <w:t>OCTAE</w:t>
      </w:r>
      <w:r w:rsidRPr="00EA7458">
        <w:rPr>
          <w:rFonts w:ascii="Calibri" w:hAnsi="Calibri"/>
          <w:sz w:val="18"/>
        </w:rPr>
        <w:t xml:space="preserve"> Office of Career, Technical &amp; Adult Education (USDOE)</w:t>
      </w:r>
    </w:p>
    <w:p w14:paraId="3E38E2D2" w14:textId="77777777" w:rsidR="00EA7458" w:rsidRPr="00EA7458" w:rsidRDefault="00EA7458" w:rsidP="00EA7458">
      <w:pPr>
        <w:widowControl w:val="0"/>
        <w:spacing w:after="0" w:line="360" w:lineRule="auto"/>
        <w:ind w:left="90"/>
        <w:rPr>
          <w:rFonts w:ascii="Calibri" w:hAnsi="Calibri"/>
          <w:sz w:val="18"/>
        </w:rPr>
      </w:pPr>
      <w:r w:rsidRPr="00EA7458">
        <w:rPr>
          <w:rFonts w:ascii="Calibri" w:hAnsi="Calibri"/>
          <w:b/>
          <w:sz w:val="18"/>
        </w:rPr>
        <w:t>OJT</w:t>
      </w:r>
      <w:r w:rsidRPr="00EA7458">
        <w:rPr>
          <w:rFonts w:ascii="Calibri" w:hAnsi="Calibri"/>
          <w:sz w:val="18"/>
        </w:rPr>
        <w:t xml:space="preserve"> On-the-Job Training </w:t>
      </w:r>
    </w:p>
    <w:p w14:paraId="2762568D" w14:textId="25451972" w:rsidR="00EA7458" w:rsidRDefault="00EA7458" w:rsidP="00EA7458">
      <w:pPr>
        <w:widowControl w:val="0"/>
        <w:spacing w:after="0" w:line="360" w:lineRule="auto"/>
        <w:ind w:left="90"/>
        <w:rPr>
          <w:rFonts w:ascii="Calibri" w:hAnsi="Calibri"/>
          <w:sz w:val="18"/>
        </w:rPr>
      </w:pPr>
      <w:r w:rsidRPr="00EA7458">
        <w:rPr>
          <w:rFonts w:ascii="Calibri" w:hAnsi="Calibri"/>
          <w:b/>
          <w:sz w:val="18"/>
        </w:rPr>
        <w:t>OOS</w:t>
      </w:r>
      <w:r w:rsidRPr="00EA7458">
        <w:rPr>
          <w:rFonts w:ascii="Calibri" w:hAnsi="Calibri"/>
          <w:sz w:val="18"/>
        </w:rPr>
        <w:t xml:space="preserve"> Order of Selecti</w:t>
      </w:r>
      <w:r w:rsidR="00CD1C1C">
        <w:rPr>
          <w:rFonts w:ascii="Calibri" w:hAnsi="Calibri"/>
          <w:sz w:val="18"/>
        </w:rPr>
        <w:t>on</w:t>
      </w:r>
    </w:p>
    <w:p w14:paraId="52A4D49D" w14:textId="77777777" w:rsidR="00CD1C1C" w:rsidRPr="00BE6993" w:rsidRDefault="00CD1C1C" w:rsidP="00CD1C1C">
      <w:pPr>
        <w:widowControl w:val="0"/>
        <w:spacing w:after="0" w:line="360" w:lineRule="auto"/>
        <w:ind w:left="90"/>
        <w:rPr>
          <w:rFonts w:ascii="Calibri" w:hAnsi="Calibri"/>
          <w:sz w:val="18"/>
        </w:rPr>
      </w:pPr>
      <w:r w:rsidRPr="009C5637">
        <w:rPr>
          <w:rFonts w:ascii="Calibri" w:hAnsi="Calibri"/>
          <w:b/>
          <w:sz w:val="18"/>
        </w:rPr>
        <w:t>PFM</w:t>
      </w:r>
      <w:r w:rsidRPr="00CD1C1C">
        <w:rPr>
          <w:rFonts w:ascii="Calibri" w:hAnsi="Calibri"/>
          <w:b/>
          <w:sz w:val="18"/>
        </w:rPr>
        <w:t xml:space="preserve"> </w:t>
      </w:r>
      <w:r w:rsidRPr="00CD1C1C">
        <w:rPr>
          <w:rFonts w:ascii="Calibri" w:hAnsi="Calibri"/>
          <w:sz w:val="18"/>
        </w:rPr>
        <w:t>Performance Funding Model</w:t>
      </w:r>
    </w:p>
    <w:p w14:paraId="029F24E9" w14:textId="77777777" w:rsidR="00EA7458" w:rsidRPr="00EA7458" w:rsidRDefault="00EA7458" w:rsidP="00EA7458">
      <w:pPr>
        <w:widowControl w:val="0"/>
        <w:spacing w:after="0" w:line="360" w:lineRule="auto"/>
        <w:ind w:left="90"/>
        <w:rPr>
          <w:rFonts w:ascii="Calibri" w:hAnsi="Calibri"/>
          <w:sz w:val="18"/>
        </w:rPr>
      </w:pPr>
      <w:r w:rsidRPr="00EA7458">
        <w:rPr>
          <w:rFonts w:ascii="Calibri" w:hAnsi="Calibri"/>
          <w:b/>
          <w:sz w:val="18"/>
        </w:rPr>
        <w:t>PY</w:t>
      </w:r>
      <w:r w:rsidRPr="00EA7458">
        <w:rPr>
          <w:rFonts w:ascii="Calibri" w:hAnsi="Calibri"/>
          <w:sz w:val="18"/>
        </w:rPr>
        <w:t xml:space="preserve"> Program Year</w:t>
      </w:r>
    </w:p>
    <w:p w14:paraId="2E57AF46" w14:textId="11C9C699" w:rsidR="00EA7458" w:rsidRPr="00EA7458" w:rsidRDefault="00EA7458" w:rsidP="00EA7458">
      <w:pPr>
        <w:widowControl w:val="0"/>
        <w:spacing w:after="0" w:line="360" w:lineRule="auto"/>
        <w:ind w:left="90"/>
        <w:rPr>
          <w:rFonts w:ascii="Calibri" w:hAnsi="Calibri"/>
          <w:sz w:val="18"/>
        </w:rPr>
      </w:pPr>
      <w:r w:rsidRPr="00EA7458">
        <w:rPr>
          <w:rFonts w:ascii="Calibri" w:hAnsi="Calibri"/>
          <w:b/>
          <w:sz w:val="18"/>
        </w:rPr>
        <w:t>QRT</w:t>
      </w:r>
      <w:r w:rsidRPr="00EA7458">
        <w:rPr>
          <w:rFonts w:ascii="Calibri" w:hAnsi="Calibri"/>
          <w:sz w:val="18"/>
        </w:rPr>
        <w:t xml:space="preserve"> Quick Response Training</w:t>
      </w:r>
    </w:p>
    <w:p w14:paraId="74EBE5D9" w14:textId="77777777" w:rsidR="00EA7458" w:rsidRPr="00EA7458" w:rsidRDefault="00EA7458" w:rsidP="00EA7458">
      <w:pPr>
        <w:widowControl w:val="0"/>
        <w:spacing w:after="0" w:line="360" w:lineRule="auto"/>
        <w:ind w:left="90"/>
        <w:rPr>
          <w:rFonts w:ascii="Calibri" w:hAnsi="Calibri"/>
          <w:sz w:val="18"/>
        </w:rPr>
      </w:pPr>
      <w:r w:rsidRPr="00EA7458">
        <w:rPr>
          <w:rFonts w:ascii="Calibri" w:hAnsi="Calibri"/>
          <w:b/>
          <w:sz w:val="18"/>
        </w:rPr>
        <w:t>RA</w:t>
      </w:r>
      <w:r w:rsidRPr="00EA7458">
        <w:rPr>
          <w:rFonts w:ascii="Calibri" w:hAnsi="Calibri"/>
          <w:sz w:val="18"/>
        </w:rPr>
        <w:t xml:space="preserve"> Reemployment Assistance</w:t>
      </w:r>
    </w:p>
    <w:p w14:paraId="18DDA960" w14:textId="77777777" w:rsidR="00EA7458" w:rsidRPr="00EA7458" w:rsidRDefault="00EA7458" w:rsidP="00EA7458">
      <w:pPr>
        <w:widowControl w:val="0"/>
        <w:spacing w:after="0" w:line="360" w:lineRule="auto"/>
        <w:ind w:left="90"/>
        <w:rPr>
          <w:rFonts w:ascii="Calibri" w:hAnsi="Calibri"/>
          <w:sz w:val="18"/>
        </w:rPr>
      </w:pPr>
      <w:r w:rsidRPr="00EA7458">
        <w:rPr>
          <w:rFonts w:ascii="Calibri" w:hAnsi="Calibri"/>
          <w:b/>
          <w:sz w:val="18"/>
        </w:rPr>
        <w:t>REACT</w:t>
      </w:r>
      <w:r w:rsidRPr="00EA7458">
        <w:rPr>
          <w:rFonts w:ascii="Calibri" w:hAnsi="Calibri"/>
          <w:sz w:val="18"/>
        </w:rPr>
        <w:t xml:space="preserve"> Reemployment and Emergency Assistance Coordination Team</w:t>
      </w:r>
    </w:p>
    <w:p w14:paraId="0AB77EF3" w14:textId="77777777" w:rsidR="00EA7458" w:rsidRPr="00EA7458" w:rsidRDefault="00EA7458" w:rsidP="00EA7458">
      <w:pPr>
        <w:widowControl w:val="0"/>
        <w:spacing w:after="0" w:line="360" w:lineRule="auto"/>
        <w:ind w:left="90"/>
        <w:rPr>
          <w:rFonts w:ascii="Calibri" w:hAnsi="Calibri"/>
          <w:sz w:val="18"/>
        </w:rPr>
      </w:pPr>
      <w:r w:rsidRPr="00EA7458">
        <w:rPr>
          <w:rFonts w:ascii="Calibri" w:hAnsi="Calibri"/>
          <w:b/>
          <w:sz w:val="18"/>
        </w:rPr>
        <w:t>RESEA</w:t>
      </w:r>
      <w:r w:rsidRPr="00EA7458">
        <w:rPr>
          <w:rFonts w:ascii="Calibri" w:hAnsi="Calibri"/>
          <w:sz w:val="18"/>
        </w:rPr>
        <w:t xml:space="preserve"> Reemployment Services and Eligibility Assessment</w:t>
      </w:r>
    </w:p>
    <w:p w14:paraId="3C8DF729" w14:textId="77777777" w:rsidR="00EA7458" w:rsidRPr="00EA7458" w:rsidRDefault="00EA7458" w:rsidP="00EA7458">
      <w:pPr>
        <w:widowControl w:val="0"/>
        <w:spacing w:after="0" w:line="360" w:lineRule="auto"/>
        <w:ind w:left="90"/>
        <w:rPr>
          <w:rFonts w:ascii="Calibri" w:hAnsi="Calibri"/>
          <w:sz w:val="18"/>
        </w:rPr>
      </w:pPr>
      <w:r w:rsidRPr="00EA7458">
        <w:rPr>
          <w:rFonts w:ascii="Calibri" w:hAnsi="Calibri"/>
          <w:b/>
          <w:sz w:val="18"/>
        </w:rPr>
        <w:t>RFA</w:t>
      </w:r>
      <w:r w:rsidRPr="00EA7458">
        <w:rPr>
          <w:rFonts w:ascii="Calibri" w:hAnsi="Calibri"/>
          <w:sz w:val="18"/>
        </w:rPr>
        <w:t xml:space="preserve"> Request for Application</w:t>
      </w:r>
    </w:p>
    <w:p w14:paraId="2D4FB34B" w14:textId="77777777" w:rsidR="00EA7458" w:rsidRPr="00EA7458" w:rsidRDefault="00EA7458" w:rsidP="00EA7458">
      <w:pPr>
        <w:widowControl w:val="0"/>
        <w:spacing w:after="0" w:line="360" w:lineRule="auto"/>
        <w:ind w:left="90"/>
        <w:rPr>
          <w:rFonts w:ascii="Calibri" w:hAnsi="Calibri"/>
          <w:sz w:val="18"/>
        </w:rPr>
      </w:pPr>
      <w:r w:rsidRPr="00EA7458">
        <w:rPr>
          <w:rFonts w:ascii="Calibri" w:hAnsi="Calibri"/>
          <w:b/>
          <w:sz w:val="18"/>
        </w:rPr>
        <w:t>RFP</w:t>
      </w:r>
      <w:r w:rsidRPr="00EA7458">
        <w:rPr>
          <w:rFonts w:ascii="Calibri" w:hAnsi="Calibri"/>
          <w:sz w:val="18"/>
        </w:rPr>
        <w:t xml:space="preserve"> Request for Proposal</w:t>
      </w:r>
    </w:p>
    <w:p w14:paraId="659DFE17" w14:textId="77777777" w:rsidR="00EA7458" w:rsidRPr="00EA7458" w:rsidRDefault="00EA7458" w:rsidP="00EA7458">
      <w:pPr>
        <w:widowControl w:val="0"/>
        <w:spacing w:after="0" w:line="360" w:lineRule="auto"/>
        <w:ind w:left="90"/>
        <w:rPr>
          <w:rFonts w:ascii="Calibri" w:hAnsi="Calibri"/>
          <w:sz w:val="18"/>
        </w:rPr>
      </w:pPr>
      <w:r w:rsidRPr="00EA7458">
        <w:rPr>
          <w:rFonts w:ascii="Calibri" w:hAnsi="Calibri"/>
          <w:b/>
          <w:sz w:val="18"/>
        </w:rPr>
        <w:t>RIMS</w:t>
      </w:r>
      <w:r w:rsidRPr="00EA7458">
        <w:rPr>
          <w:rFonts w:ascii="Calibri" w:hAnsi="Calibri"/>
          <w:sz w:val="18"/>
        </w:rPr>
        <w:t xml:space="preserve"> Rehabilitation Information Management System </w:t>
      </w:r>
    </w:p>
    <w:p w14:paraId="79299AE2" w14:textId="77777777" w:rsidR="00EA7458" w:rsidRPr="00EA7458" w:rsidRDefault="00EA7458" w:rsidP="00EA7458">
      <w:pPr>
        <w:widowControl w:val="0"/>
        <w:spacing w:after="0" w:line="360" w:lineRule="auto"/>
        <w:ind w:left="90"/>
        <w:rPr>
          <w:rFonts w:ascii="Calibri" w:hAnsi="Calibri"/>
          <w:sz w:val="18"/>
        </w:rPr>
      </w:pPr>
      <w:r w:rsidRPr="00EA7458">
        <w:rPr>
          <w:rFonts w:ascii="Calibri" w:hAnsi="Calibri"/>
          <w:b/>
          <w:sz w:val="18"/>
        </w:rPr>
        <w:t>RSA</w:t>
      </w:r>
      <w:r w:rsidRPr="00EA7458">
        <w:rPr>
          <w:rFonts w:ascii="Calibri" w:hAnsi="Calibri"/>
          <w:sz w:val="18"/>
        </w:rPr>
        <w:t xml:space="preserve"> Rehabilitation Services Administration (USDOE) </w:t>
      </w:r>
    </w:p>
    <w:p w14:paraId="4C27CAD5" w14:textId="77777777" w:rsidR="00EA7458" w:rsidRPr="00EA7458" w:rsidRDefault="00EA7458" w:rsidP="00EA7458">
      <w:pPr>
        <w:widowControl w:val="0"/>
        <w:spacing w:after="0" w:line="333" w:lineRule="auto"/>
        <w:ind w:left="107" w:right="6085"/>
        <w:rPr>
          <w:rFonts w:ascii="Calibri" w:hAnsi="Calibri" w:cs="Calibri"/>
          <w:sz w:val="18"/>
          <w:szCs w:val="18"/>
        </w:rPr>
      </w:pPr>
      <w:r w:rsidRPr="00EA7458">
        <w:rPr>
          <w:rFonts w:ascii="Calibri" w:hAnsi="Calibri"/>
          <w:b/>
          <w:sz w:val="18"/>
        </w:rPr>
        <w:t>SBE</w:t>
      </w:r>
      <w:r w:rsidRPr="00EA7458">
        <w:rPr>
          <w:rFonts w:ascii="Calibri" w:hAnsi="Calibri"/>
          <w:sz w:val="18"/>
        </w:rPr>
        <w:t xml:space="preserve"> Significant Barriers to Employment</w:t>
      </w:r>
    </w:p>
    <w:p w14:paraId="2D9D3B9A" w14:textId="77777777" w:rsidR="00EA7458" w:rsidRPr="00EA7458" w:rsidRDefault="00EA7458" w:rsidP="00EA7458">
      <w:pPr>
        <w:widowControl w:val="0"/>
        <w:spacing w:after="0" w:line="333" w:lineRule="auto"/>
        <w:rPr>
          <w:rFonts w:ascii="Calibri" w:hAnsi="Calibri" w:cs="Calibri"/>
          <w:sz w:val="18"/>
          <w:szCs w:val="18"/>
        </w:rPr>
        <w:sectPr w:rsidR="00EA7458" w:rsidRPr="00EA7458">
          <w:footerReference w:type="default" r:id="rId61"/>
          <w:pgSz w:w="12240" w:h="15840"/>
          <w:pgMar w:top="1620" w:right="900" w:bottom="820" w:left="900" w:header="812" w:footer="624" w:gutter="0"/>
          <w:cols w:space="720"/>
        </w:sectPr>
      </w:pPr>
    </w:p>
    <w:p w14:paraId="04043DD8" w14:textId="77777777" w:rsidR="00EA7458" w:rsidRPr="00EA7458" w:rsidRDefault="00EA7458" w:rsidP="00EA7458">
      <w:pPr>
        <w:widowControl w:val="0"/>
        <w:spacing w:before="8" w:after="0" w:line="240" w:lineRule="auto"/>
        <w:rPr>
          <w:rFonts w:ascii="Calibri" w:hAnsi="Calibri" w:cs="Calibri"/>
          <w:sz w:val="14"/>
          <w:szCs w:val="14"/>
        </w:rPr>
      </w:pPr>
    </w:p>
    <w:p w14:paraId="31C5321B" w14:textId="5382AEAB" w:rsidR="00EA7458" w:rsidRPr="00EA7458" w:rsidRDefault="00924AC3" w:rsidP="00EA7458">
      <w:pPr>
        <w:widowControl w:val="0"/>
        <w:tabs>
          <w:tab w:val="left" w:pos="9162"/>
        </w:tabs>
        <w:spacing w:before="30" w:after="0" w:line="240" w:lineRule="auto"/>
        <w:ind w:left="107"/>
        <w:rPr>
          <w:rFonts w:ascii="Calibri" w:hAnsi="Calibri" w:cs="Calibri"/>
          <w:sz w:val="24"/>
          <w:szCs w:val="24"/>
        </w:rPr>
      </w:pPr>
      <w:r>
        <w:rPr>
          <w:noProof/>
        </w:rPr>
        <mc:AlternateContent>
          <mc:Choice Requires="wpg">
            <w:drawing>
              <wp:anchor distT="0" distB="0" distL="114300" distR="114300" simplePos="0" relativeHeight="251658246" behindDoc="1" locked="0" layoutInCell="1" allowOverlap="1" wp14:anchorId="1E3EF5F7" wp14:editId="73C7CFFA">
                <wp:simplePos x="0" y="0"/>
                <wp:positionH relativeFrom="page">
                  <wp:posOffset>640080</wp:posOffset>
                </wp:positionH>
                <wp:positionV relativeFrom="paragraph">
                  <wp:posOffset>276860</wp:posOffset>
                </wp:positionV>
                <wp:extent cx="6492240" cy="1270"/>
                <wp:effectExtent l="0" t="0" r="0" b="0"/>
                <wp:wrapNone/>
                <wp:docPr id="147" name="Group 1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92240" cy="1270"/>
                          <a:chOff x="1008" y="436"/>
                          <a:chExt cx="10224" cy="2"/>
                        </a:xfrm>
                      </wpg:grpSpPr>
                      <wps:wsp>
                        <wps:cNvPr id="148" name="Freeform 187"/>
                        <wps:cNvSpPr>
                          <a:spLocks/>
                        </wps:cNvSpPr>
                        <wps:spPr bwMode="auto">
                          <a:xfrm>
                            <a:off x="1008" y="436"/>
                            <a:ext cx="10224" cy="2"/>
                          </a:xfrm>
                          <a:custGeom>
                            <a:avLst/>
                            <a:gdLst>
                              <a:gd name="T0" fmla="+- 0 1008 1008"/>
                              <a:gd name="T1" fmla="*/ T0 w 10224"/>
                              <a:gd name="T2" fmla="+- 0 11232 1008"/>
                              <a:gd name="T3" fmla="*/ T2 w 10224"/>
                            </a:gdLst>
                            <a:ahLst/>
                            <a:cxnLst>
                              <a:cxn ang="0">
                                <a:pos x="T1" y="0"/>
                              </a:cxn>
                              <a:cxn ang="0">
                                <a:pos x="T3" y="0"/>
                              </a:cxn>
                            </a:cxnLst>
                            <a:rect l="0" t="0" r="r" b="b"/>
                            <a:pathLst>
                              <a:path w="10224">
                                <a:moveTo>
                                  <a:pt x="0" y="0"/>
                                </a:moveTo>
                                <a:lnTo>
                                  <a:pt x="10224" y="0"/>
                                </a:lnTo>
                              </a:path>
                            </a:pathLst>
                          </a:custGeom>
                          <a:noFill/>
                          <a:ln w="317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FB90038" id="Group 147" o:spid="_x0000_s1026" style="position:absolute;margin-left:50.4pt;margin-top:21.8pt;width:511.2pt;height:.1pt;z-index:-251658234;mso-position-horizontal-relative:page" coordorigin="1008,436" coordsize="1022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">
                <v:shape id="Freeform 187" o:spid="_x0000_s1027" style="position:absolute;left:1008;top:436;width:10224;height:2;visibility:visible;mso-wrap-style:square;v-text-anchor:top" coordsize="1022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" path="m,l10224,e" filled="f" strokecolor="#231f20" strokeweight=".25pt">
                  <v:path arrowok="t" o:connecttype="custom" o:connectlocs="0,0;10224,0" o:connectangles="0,0"/>
                </v:shape>
                <w10:wrap anchorx="page"/>
              </v:group>
            </w:pict>
          </mc:Fallback>
        </mc:AlternateContent>
      </w:r>
      <w:r w:rsidR="00EA7458" w:rsidRPr="00EA7458">
        <w:rPr>
          <w:rFonts w:ascii="Calibri" w:hAnsi="Calibri"/>
          <w:b/>
          <w:color w:val="295CA3"/>
          <w:w w:val="110"/>
          <w:sz w:val="36"/>
        </w:rPr>
        <w:t>ACRONYM</w:t>
      </w:r>
      <w:r w:rsidR="00EA7458" w:rsidRPr="00EA7458">
        <w:rPr>
          <w:rFonts w:ascii="Calibri" w:hAnsi="Calibri"/>
          <w:b/>
          <w:color w:val="295CA3"/>
          <w:spacing w:val="69"/>
          <w:w w:val="110"/>
          <w:sz w:val="36"/>
        </w:rPr>
        <w:t xml:space="preserve"> </w:t>
      </w:r>
      <w:r w:rsidR="00EA7458" w:rsidRPr="00EA7458">
        <w:rPr>
          <w:rFonts w:ascii="Calibri" w:hAnsi="Calibri"/>
          <w:b/>
          <w:color w:val="295CA3"/>
          <w:w w:val="110"/>
          <w:sz w:val="36"/>
        </w:rPr>
        <w:t>GUIDE</w:t>
      </w:r>
      <w:r w:rsidR="00EA7458" w:rsidRPr="00EA7458">
        <w:rPr>
          <w:rFonts w:ascii="Calibri" w:hAnsi="Calibri"/>
          <w:b/>
          <w:color w:val="295CA3"/>
          <w:w w:val="110"/>
          <w:sz w:val="36"/>
        </w:rPr>
        <w:tab/>
      </w:r>
      <w:r w:rsidR="00EA7458" w:rsidRPr="00EA7458">
        <w:rPr>
          <w:rFonts w:ascii="Calibri" w:hAnsi="Calibri"/>
          <w:color w:val="231F20"/>
          <w:w w:val="105"/>
          <w:sz w:val="24"/>
        </w:rPr>
        <w:t>(continued)</w:t>
      </w:r>
    </w:p>
    <w:p w14:paraId="751FF6D8" w14:textId="77777777" w:rsidR="00EA7458" w:rsidRPr="00EA7458" w:rsidRDefault="00EA7458" w:rsidP="00EA7458">
      <w:pPr>
        <w:widowControl w:val="0"/>
        <w:spacing w:after="0" w:line="360" w:lineRule="auto"/>
        <w:ind w:left="90"/>
        <w:rPr>
          <w:rFonts w:ascii="Calibri" w:hAnsi="Calibri"/>
          <w:sz w:val="18"/>
        </w:rPr>
      </w:pPr>
      <w:r w:rsidRPr="00EA7458">
        <w:rPr>
          <w:rFonts w:ascii="Calibri" w:hAnsi="Calibri"/>
          <w:b/>
          <w:sz w:val="18"/>
        </w:rPr>
        <w:t>SE</w:t>
      </w:r>
      <w:r w:rsidRPr="00EA7458">
        <w:rPr>
          <w:rFonts w:ascii="Calibri" w:hAnsi="Calibri"/>
          <w:sz w:val="18"/>
        </w:rPr>
        <w:t xml:space="preserve"> Supported Employment</w:t>
      </w:r>
    </w:p>
    <w:p w14:paraId="664DAFC8" w14:textId="77777777" w:rsidR="00EA7458" w:rsidRPr="00EA7458" w:rsidRDefault="00EA7458" w:rsidP="00EA7458">
      <w:pPr>
        <w:widowControl w:val="0"/>
        <w:spacing w:after="0" w:line="360" w:lineRule="auto"/>
        <w:ind w:left="90"/>
        <w:rPr>
          <w:rFonts w:ascii="Calibri" w:hAnsi="Calibri"/>
          <w:sz w:val="18"/>
        </w:rPr>
      </w:pPr>
      <w:r w:rsidRPr="00EA7458">
        <w:rPr>
          <w:rFonts w:ascii="Calibri" w:hAnsi="Calibri"/>
          <w:b/>
          <w:sz w:val="18"/>
        </w:rPr>
        <w:t>SFY</w:t>
      </w:r>
      <w:r w:rsidRPr="00EA7458">
        <w:rPr>
          <w:rFonts w:ascii="Calibri" w:hAnsi="Calibri"/>
          <w:sz w:val="18"/>
        </w:rPr>
        <w:t xml:space="preserve"> State Fiscal Year</w:t>
      </w:r>
    </w:p>
    <w:p w14:paraId="4D5D7A7A" w14:textId="77777777" w:rsidR="00EA7458" w:rsidRPr="00EA7458" w:rsidRDefault="00EA7458" w:rsidP="00EA7458">
      <w:pPr>
        <w:widowControl w:val="0"/>
        <w:spacing w:after="0" w:line="360" w:lineRule="auto"/>
        <w:ind w:left="90"/>
        <w:rPr>
          <w:rFonts w:ascii="Calibri" w:hAnsi="Calibri"/>
          <w:sz w:val="18"/>
        </w:rPr>
      </w:pPr>
      <w:r w:rsidRPr="00EA7458">
        <w:rPr>
          <w:rFonts w:ascii="Calibri" w:hAnsi="Calibri"/>
          <w:b/>
          <w:sz w:val="18"/>
        </w:rPr>
        <w:t>SNAP</w:t>
      </w:r>
      <w:r w:rsidRPr="00EA7458">
        <w:rPr>
          <w:rFonts w:ascii="Calibri" w:hAnsi="Calibri"/>
          <w:sz w:val="18"/>
        </w:rPr>
        <w:t xml:space="preserve"> Supplemental Nutrition Assistance Program</w:t>
      </w:r>
    </w:p>
    <w:p w14:paraId="1630669A" w14:textId="77777777" w:rsidR="00EA7458" w:rsidRPr="00EA7458" w:rsidRDefault="00EA7458" w:rsidP="00EA7458">
      <w:pPr>
        <w:widowControl w:val="0"/>
        <w:spacing w:after="0" w:line="360" w:lineRule="auto"/>
        <w:ind w:left="90"/>
        <w:rPr>
          <w:rFonts w:ascii="Calibri" w:hAnsi="Calibri"/>
          <w:sz w:val="18"/>
        </w:rPr>
      </w:pPr>
      <w:r w:rsidRPr="00EA7458">
        <w:rPr>
          <w:rFonts w:ascii="Calibri" w:hAnsi="Calibri"/>
          <w:b/>
          <w:sz w:val="18"/>
        </w:rPr>
        <w:t>SRC</w:t>
      </w:r>
      <w:r w:rsidRPr="00EA7458">
        <w:rPr>
          <w:rFonts w:ascii="Calibri" w:hAnsi="Calibri"/>
          <w:sz w:val="18"/>
        </w:rPr>
        <w:t xml:space="preserve"> State Rehabilitation Council </w:t>
      </w:r>
    </w:p>
    <w:p w14:paraId="59DCD1F9" w14:textId="77777777" w:rsidR="00EA7458" w:rsidRPr="00EA7458" w:rsidRDefault="00EA7458" w:rsidP="00EA7458">
      <w:pPr>
        <w:widowControl w:val="0"/>
        <w:spacing w:after="0" w:line="360" w:lineRule="auto"/>
        <w:ind w:left="90"/>
        <w:rPr>
          <w:rFonts w:ascii="Calibri" w:hAnsi="Calibri"/>
          <w:sz w:val="18"/>
        </w:rPr>
      </w:pPr>
      <w:r w:rsidRPr="00EA7458">
        <w:rPr>
          <w:rFonts w:ascii="Calibri" w:hAnsi="Calibri"/>
          <w:b/>
          <w:sz w:val="18"/>
        </w:rPr>
        <w:t>SSA</w:t>
      </w:r>
      <w:r w:rsidRPr="00EA7458">
        <w:rPr>
          <w:rFonts w:ascii="Calibri" w:hAnsi="Calibri"/>
          <w:sz w:val="18"/>
        </w:rPr>
        <w:t xml:space="preserve"> Social Security Administration </w:t>
      </w:r>
    </w:p>
    <w:p w14:paraId="077027DC" w14:textId="77777777" w:rsidR="00EA7458" w:rsidRPr="00EA7458" w:rsidRDefault="00EA7458" w:rsidP="00EA7458">
      <w:pPr>
        <w:widowControl w:val="0"/>
        <w:spacing w:after="0" w:line="360" w:lineRule="auto"/>
        <w:ind w:left="90"/>
        <w:rPr>
          <w:rFonts w:ascii="Calibri" w:hAnsi="Calibri"/>
          <w:sz w:val="18"/>
        </w:rPr>
      </w:pPr>
      <w:r w:rsidRPr="00EA7458">
        <w:rPr>
          <w:rFonts w:ascii="Calibri" w:hAnsi="Calibri"/>
          <w:b/>
          <w:sz w:val="18"/>
        </w:rPr>
        <w:t>TAA</w:t>
      </w:r>
      <w:r w:rsidRPr="00EA7458">
        <w:rPr>
          <w:rFonts w:ascii="Calibri" w:hAnsi="Calibri"/>
          <w:sz w:val="18"/>
        </w:rPr>
        <w:t xml:space="preserve"> Trade Adjustment Assistance</w:t>
      </w:r>
    </w:p>
    <w:p w14:paraId="74B5D3B3" w14:textId="77777777" w:rsidR="00EA7458" w:rsidRPr="00EA7458" w:rsidRDefault="00EA7458" w:rsidP="00EA7458">
      <w:pPr>
        <w:widowControl w:val="0"/>
        <w:spacing w:after="0" w:line="360" w:lineRule="auto"/>
        <w:ind w:left="90"/>
        <w:rPr>
          <w:rFonts w:ascii="Calibri" w:hAnsi="Calibri"/>
          <w:sz w:val="18"/>
        </w:rPr>
      </w:pPr>
      <w:r w:rsidRPr="00EA7458">
        <w:rPr>
          <w:rFonts w:ascii="Calibri" w:hAnsi="Calibri"/>
          <w:b/>
          <w:sz w:val="18"/>
        </w:rPr>
        <w:t>TAACCT</w:t>
      </w:r>
      <w:r w:rsidRPr="00EA7458">
        <w:rPr>
          <w:rFonts w:ascii="Calibri" w:hAnsi="Calibri"/>
          <w:sz w:val="18"/>
        </w:rPr>
        <w:t xml:space="preserve"> Trade Adjustment Assistance Community College and Career Training</w:t>
      </w:r>
    </w:p>
    <w:p w14:paraId="7E875D61" w14:textId="77777777" w:rsidR="00EA7458" w:rsidRPr="00EA7458" w:rsidRDefault="00EA7458" w:rsidP="00EA7458">
      <w:pPr>
        <w:widowControl w:val="0"/>
        <w:spacing w:after="0" w:line="360" w:lineRule="auto"/>
        <w:ind w:left="90"/>
        <w:rPr>
          <w:rFonts w:ascii="Calibri" w:hAnsi="Calibri"/>
          <w:sz w:val="18"/>
        </w:rPr>
      </w:pPr>
      <w:r w:rsidRPr="00EA7458">
        <w:rPr>
          <w:rFonts w:ascii="Calibri" w:hAnsi="Calibri"/>
          <w:b/>
          <w:sz w:val="18"/>
        </w:rPr>
        <w:t>TANF</w:t>
      </w:r>
      <w:r w:rsidRPr="00EA7458">
        <w:rPr>
          <w:rFonts w:ascii="Calibri" w:hAnsi="Calibri"/>
          <w:sz w:val="18"/>
        </w:rPr>
        <w:t xml:space="preserve"> Temporary Assistance for Needy Families</w:t>
      </w:r>
    </w:p>
    <w:p w14:paraId="2A164D0C" w14:textId="77777777" w:rsidR="00EA7458" w:rsidRPr="00EA7458" w:rsidRDefault="00EA7458" w:rsidP="00EA7458">
      <w:pPr>
        <w:widowControl w:val="0"/>
        <w:spacing w:after="0" w:line="360" w:lineRule="auto"/>
        <w:ind w:left="90"/>
        <w:rPr>
          <w:rFonts w:ascii="Calibri" w:hAnsi="Calibri"/>
          <w:sz w:val="18"/>
        </w:rPr>
      </w:pPr>
      <w:r w:rsidRPr="00EA7458">
        <w:rPr>
          <w:rFonts w:ascii="Calibri" w:hAnsi="Calibri"/>
          <w:b/>
          <w:sz w:val="18"/>
        </w:rPr>
        <w:t>TABE</w:t>
      </w:r>
      <w:r w:rsidRPr="00EA7458">
        <w:rPr>
          <w:rFonts w:ascii="Calibri" w:hAnsi="Calibri"/>
          <w:sz w:val="18"/>
        </w:rPr>
        <w:t xml:space="preserve"> Test of Adult Basic Education</w:t>
      </w:r>
    </w:p>
    <w:p w14:paraId="3496941C" w14:textId="77777777" w:rsidR="00EA7458" w:rsidRPr="00EA7458" w:rsidRDefault="00EA7458" w:rsidP="00EA7458">
      <w:pPr>
        <w:widowControl w:val="0"/>
        <w:spacing w:after="0" w:line="360" w:lineRule="auto"/>
        <w:ind w:left="90"/>
        <w:rPr>
          <w:rFonts w:ascii="Calibri" w:hAnsi="Calibri"/>
          <w:sz w:val="18"/>
        </w:rPr>
      </w:pPr>
      <w:r w:rsidRPr="00EA7458">
        <w:rPr>
          <w:rFonts w:ascii="Calibri" w:hAnsi="Calibri"/>
          <w:b/>
          <w:sz w:val="18"/>
        </w:rPr>
        <w:t>TAP</w:t>
      </w:r>
      <w:r w:rsidRPr="00EA7458">
        <w:rPr>
          <w:rFonts w:ascii="Calibri" w:hAnsi="Calibri"/>
          <w:sz w:val="18"/>
        </w:rPr>
        <w:t xml:space="preserve"> Talent Acquisition Portal</w:t>
      </w:r>
    </w:p>
    <w:p w14:paraId="0FBCCC58" w14:textId="77777777" w:rsidR="00EA7458" w:rsidRPr="00EA7458" w:rsidRDefault="00EA7458" w:rsidP="00EA7458">
      <w:pPr>
        <w:widowControl w:val="0"/>
        <w:spacing w:after="0" w:line="360" w:lineRule="auto"/>
        <w:ind w:left="90"/>
        <w:rPr>
          <w:rFonts w:ascii="Calibri" w:hAnsi="Calibri"/>
          <w:sz w:val="18"/>
        </w:rPr>
      </w:pPr>
      <w:r w:rsidRPr="00EA7458">
        <w:rPr>
          <w:rFonts w:ascii="Calibri" w:hAnsi="Calibri"/>
          <w:b/>
          <w:sz w:val="18"/>
        </w:rPr>
        <w:t>TPCA</w:t>
      </w:r>
      <w:r w:rsidRPr="00EA7458">
        <w:rPr>
          <w:rFonts w:ascii="Calibri" w:hAnsi="Calibri"/>
          <w:sz w:val="18"/>
        </w:rPr>
        <w:t xml:space="preserve"> Third Party Cooperative Arrangements</w:t>
      </w:r>
    </w:p>
    <w:p w14:paraId="06B8550F" w14:textId="77777777" w:rsidR="004D260F" w:rsidRPr="00EA7458" w:rsidRDefault="004D260F" w:rsidP="004D260F">
      <w:pPr>
        <w:widowControl w:val="0"/>
        <w:spacing w:after="0" w:line="360" w:lineRule="auto"/>
        <w:ind w:left="90"/>
        <w:rPr>
          <w:rFonts w:ascii="Calibri" w:hAnsi="Calibri"/>
          <w:sz w:val="18"/>
        </w:rPr>
      </w:pPr>
      <w:r w:rsidRPr="00EA7458">
        <w:rPr>
          <w:rFonts w:ascii="Calibri" w:hAnsi="Calibri"/>
          <w:b/>
          <w:sz w:val="18"/>
        </w:rPr>
        <w:t>TRADE</w:t>
      </w:r>
      <w:r w:rsidRPr="00EA7458">
        <w:rPr>
          <w:rFonts w:ascii="Calibri" w:hAnsi="Calibri"/>
          <w:sz w:val="18"/>
        </w:rPr>
        <w:t xml:space="preserve"> Transforming Resources for Accelerated Degrees and Employment</w:t>
      </w:r>
    </w:p>
    <w:p w14:paraId="68A3DE56" w14:textId="3A7F501C" w:rsidR="004D260F" w:rsidRPr="00C067A5" w:rsidRDefault="004D260F" w:rsidP="004D260F">
      <w:pPr>
        <w:widowControl w:val="0"/>
        <w:spacing w:after="0" w:line="360" w:lineRule="auto"/>
        <w:ind w:left="90"/>
        <w:rPr>
          <w:rFonts w:ascii="Calibri" w:hAnsi="Calibri"/>
          <w:sz w:val="18"/>
          <w:lang w:val="fr-HT"/>
        </w:rPr>
      </w:pPr>
      <w:r w:rsidRPr="00C067A5">
        <w:rPr>
          <w:rFonts w:ascii="Calibri" w:hAnsi="Calibri"/>
          <w:b/>
          <w:sz w:val="18"/>
          <w:lang w:val="fr-HT"/>
        </w:rPr>
        <w:t>UCX</w:t>
      </w:r>
      <w:r w:rsidR="00524181">
        <w:rPr>
          <w:rFonts w:ascii="Calibri" w:hAnsi="Calibri"/>
          <w:b/>
          <w:sz w:val="18"/>
          <w:lang w:val="fr-HT"/>
        </w:rPr>
        <w:t xml:space="preserve"> </w:t>
      </w:r>
      <w:r w:rsidR="00524181">
        <w:rPr>
          <w:rFonts w:ascii="Calibri" w:hAnsi="Calibri"/>
          <w:sz w:val="18"/>
          <w:lang w:val="fr-HT"/>
        </w:rPr>
        <w:t>Ex-Service M</w:t>
      </w:r>
      <w:r w:rsidRPr="00C067A5">
        <w:rPr>
          <w:rFonts w:ascii="Calibri" w:hAnsi="Calibri"/>
          <w:sz w:val="18"/>
          <w:lang w:val="fr-HT"/>
        </w:rPr>
        <w:t>embers</w:t>
      </w:r>
    </w:p>
    <w:p w14:paraId="71958ACA" w14:textId="7AA25570" w:rsidR="004D260F" w:rsidRPr="00C067A5" w:rsidRDefault="004D260F" w:rsidP="004D260F">
      <w:pPr>
        <w:widowControl w:val="0"/>
        <w:spacing w:after="0" w:line="360" w:lineRule="auto"/>
        <w:ind w:left="90"/>
        <w:rPr>
          <w:rFonts w:ascii="Calibri" w:hAnsi="Calibri"/>
          <w:sz w:val="18"/>
          <w:lang w:val="fr-HT"/>
        </w:rPr>
      </w:pPr>
      <w:r w:rsidRPr="00C067A5">
        <w:rPr>
          <w:rFonts w:ascii="Calibri" w:hAnsi="Calibri"/>
          <w:b/>
          <w:sz w:val="18"/>
          <w:lang w:val="fr-HT"/>
        </w:rPr>
        <w:t>UI</w:t>
      </w:r>
      <w:r w:rsidR="00524181">
        <w:rPr>
          <w:rFonts w:ascii="Calibri" w:hAnsi="Calibri"/>
          <w:sz w:val="18"/>
          <w:lang w:val="fr-HT"/>
        </w:rPr>
        <w:t xml:space="preserve"> </w:t>
      </w:r>
      <w:r w:rsidRPr="00C067A5">
        <w:rPr>
          <w:rFonts w:ascii="Calibri" w:hAnsi="Calibri"/>
          <w:sz w:val="18"/>
          <w:lang w:val="fr-HT"/>
        </w:rPr>
        <w:t>Unemployment</w:t>
      </w:r>
      <w:r w:rsidR="00524181">
        <w:rPr>
          <w:rFonts w:ascii="Calibri" w:hAnsi="Calibri"/>
          <w:sz w:val="18"/>
          <w:lang w:val="fr-HT"/>
        </w:rPr>
        <w:t xml:space="preserve"> </w:t>
      </w:r>
      <w:r w:rsidRPr="00C067A5">
        <w:rPr>
          <w:rFonts w:ascii="Calibri" w:hAnsi="Calibri"/>
          <w:sz w:val="18"/>
          <w:lang w:val="fr-HT"/>
        </w:rPr>
        <w:t>Insurance</w:t>
      </w:r>
    </w:p>
    <w:p w14:paraId="76421D10" w14:textId="77777777" w:rsidR="00EA7458" w:rsidRPr="00EA7458" w:rsidRDefault="00EA7458" w:rsidP="00EA7458">
      <w:pPr>
        <w:widowControl w:val="0"/>
        <w:spacing w:after="0" w:line="360" w:lineRule="auto"/>
        <w:ind w:left="90"/>
        <w:rPr>
          <w:rFonts w:ascii="Calibri" w:hAnsi="Calibri"/>
          <w:sz w:val="18"/>
        </w:rPr>
      </w:pPr>
      <w:r w:rsidRPr="00EA7458">
        <w:rPr>
          <w:rFonts w:ascii="Calibri" w:hAnsi="Calibri"/>
          <w:b/>
          <w:sz w:val="18"/>
        </w:rPr>
        <w:t>USDOE</w:t>
      </w:r>
      <w:r w:rsidRPr="00EA7458">
        <w:rPr>
          <w:rFonts w:ascii="Calibri" w:hAnsi="Calibri"/>
          <w:sz w:val="18"/>
        </w:rPr>
        <w:t xml:space="preserve"> United States Department of Education </w:t>
      </w:r>
    </w:p>
    <w:p w14:paraId="6161ED5D" w14:textId="77777777" w:rsidR="00EA7458" w:rsidRPr="00EA7458" w:rsidRDefault="00EA7458" w:rsidP="00EA7458">
      <w:pPr>
        <w:widowControl w:val="0"/>
        <w:spacing w:after="0" w:line="360" w:lineRule="auto"/>
        <w:ind w:left="90"/>
        <w:rPr>
          <w:rFonts w:ascii="Calibri" w:hAnsi="Calibri"/>
          <w:sz w:val="18"/>
        </w:rPr>
      </w:pPr>
      <w:r w:rsidRPr="00EA7458">
        <w:rPr>
          <w:rFonts w:ascii="Calibri" w:hAnsi="Calibri"/>
          <w:b/>
          <w:sz w:val="18"/>
        </w:rPr>
        <w:t>USDOL</w:t>
      </w:r>
      <w:r w:rsidRPr="00EA7458">
        <w:rPr>
          <w:rFonts w:ascii="Calibri" w:hAnsi="Calibri"/>
          <w:sz w:val="18"/>
        </w:rPr>
        <w:t xml:space="preserve"> United States Department of Labor  </w:t>
      </w:r>
    </w:p>
    <w:p w14:paraId="04DC010D" w14:textId="77777777" w:rsidR="00EA7458" w:rsidRPr="00EA7458" w:rsidRDefault="00EA7458" w:rsidP="00EA7458">
      <w:pPr>
        <w:widowControl w:val="0"/>
        <w:spacing w:after="0" w:line="360" w:lineRule="auto"/>
        <w:ind w:left="90"/>
        <w:rPr>
          <w:rFonts w:ascii="Calibri" w:hAnsi="Calibri"/>
          <w:sz w:val="18"/>
        </w:rPr>
      </w:pPr>
      <w:r w:rsidRPr="00EA7458">
        <w:rPr>
          <w:rFonts w:ascii="Calibri" w:hAnsi="Calibri"/>
          <w:b/>
          <w:sz w:val="18"/>
        </w:rPr>
        <w:t>VETS</w:t>
      </w:r>
      <w:r w:rsidRPr="00EA7458">
        <w:rPr>
          <w:rFonts w:ascii="Calibri" w:hAnsi="Calibri"/>
          <w:sz w:val="18"/>
        </w:rPr>
        <w:t xml:space="preserve"> Veterans Employment and Training Service </w:t>
      </w:r>
    </w:p>
    <w:p w14:paraId="0720F14B" w14:textId="77777777" w:rsidR="00EA7458" w:rsidRPr="00EA7458" w:rsidRDefault="00EA7458" w:rsidP="00EA7458">
      <w:pPr>
        <w:widowControl w:val="0"/>
        <w:spacing w:after="0" w:line="360" w:lineRule="auto"/>
        <w:ind w:left="90"/>
        <w:rPr>
          <w:rFonts w:ascii="Calibri" w:hAnsi="Calibri"/>
          <w:sz w:val="18"/>
        </w:rPr>
      </w:pPr>
      <w:r w:rsidRPr="00EA7458">
        <w:rPr>
          <w:rFonts w:ascii="Calibri" w:hAnsi="Calibri"/>
          <w:b/>
          <w:sz w:val="18"/>
        </w:rPr>
        <w:t>VR</w:t>
      </w:r>
      <w:r w:rsidRPr="00EA7458">
        <w:rPr>
          <w:rFonts w:ascii="Calibri" w:hAnsi="Calibri"/>
          <w:sz w:val="18"/>
        </w:rPr>
        <w:t xml:space="preserve"> Florida Division of Vocational Rehabilitation </w:t>
      </w:r>
    </w:p>
    <w:p w14:paraId="15D58C1C" w14:textId="77777777" w:rsidR="00EA7458" w:rsidRPr="00EA7458" w:rsidRDefault="00EA7458" w:rsidP="00EA7458">
      <w:pPr>
        <w:widowControl w:val="0"/>
        <w:spacing w:after="0" w:line="360" w:lineRule="auto"/>
        <w:ind w:left="90"/>
        <w:rPr>
          <w:rFonts w:ascii="Calibri" w:hAnsi="Calibri"/>
          <w:sz w:val="18"/>
        </w:rPr>
      </w:pPr>
      <w:r w:rsidRPr="00EA7458">
        <w:rPr>
          <w:rFonts w:ascii="Calibri" w:hAnsi="Calibri"/>
          <w:b/>
          <w:sz w:val="18"/>
        </w:rPr>
        <w:t>WIA</w:t>
      </w:r>
      <w:r w:rsidRPr="00EA7458">
        <w:rPr>
          <w:rFonts w:ascii="Calibri" w:hAnsi="Calibri"/>
          <w:sz w:val="18"/>
        </w:rPr>
        <w:t xml:space="preserve"> Workforce Investment Act</w:t>
      </w:r>
    </w:p>
    <w:p w14:paraId="3C6CDB0D" w14:textId="77777777" w:rsidR="00EA7458" w:rsidRPr="00EA7458" w:rsidRDefault="00EA7458" w:rsidP="00EA7458">
      <w:pPr>
        <w:widowControl w:val="0"/>
        <w:spacing w:after="0" w:line="360" w:lineRule="auto"/>
        <w:ind w:left="90"/>
        <w:rPr>
          <w:rFonts w:ascii="Calibri" w:hAnsi="Calibri"/>
          <w:sz w:val="18"/>
        </w:rPr>
      </w:pPr>
      <w:r w:rsidRPr="00EA7458">
        <w:rPr>
          <w:rFonts w:ascii="Calibri" w:hAnsi="Calibri"/>
          <w:b/>
          <w:sz w:val="18"/>
        </w:rPr>
        <w:t>WIPA</w:t>
      </w:r>
      <w:r w:rsidRPr="00EA7458">
        <w:rPr>
          <w:rFonts w:ascii="Calibri" w:hAnsi="Calibri"/>
          <w:sz w:val="18"/>
        </w:rPr>
        <w:t xml:space="preserve"> Work Incentives Planning and Assistance </w:t>
      </w:r>
    </w:p>
    <w:p w14:paraId="371C4323" w14:textId="77777777" w:rsidR="00EA7458" w:rsidRPr="00EA7458" w:rsidRDefault="00EA7458" w:rsidP="00EA7458">
      <w:pPr>
        <w:widowControl w:val="0"/>
        <w:spacing w:after="0" w:line="360" w:lineRule="auto"/>
        <w:ind w:left="90"/>
        <w:rPr>
          <w:rFonts w:ascii="Calibri" w:hAnsi="Calibri"/>
          <w:sz w:val="18"/>
        </w:rPr>
      </w:pPr>
      <w:r w:rsidRPr="00EA7458">
        <w:rPr>
          <w:rFonts w:ascii="Calibri" w:hAnsi="Calibri"/>
          <w:b/>
          <w:sz w:val="18"/>
        </w:rPr>
        <w:t>WIOA</w:t>
      </w:r>
      <w:r w:rsidRPr="00EA7458">
        <w:rPr>
          <w:rFonts w:ascii="Calibri" w:hAnsi="Calibri"/>
          <w:sz w:val="18"/>
        </w:rPr>
        <w:t xml:space="preserve"> Workforce Innovation and Opportunity Act </w:t>
      </w:r>
    </w:p>
    <w:p w14:paraId="52485F25" w14:textId="77777777" w:rsidR="00EA7458" w:rsidRPr="00EA7458" w:rsidRDefault="00EA7458" w:rsidP="00EA7458">
      <w:pPr>
        <w:widowControl w:val="0"/>
        <w:spacing w:after="0" w:line="360" w:lineRule="auto"/>
        <w:ind w:left="90"/>
        <w:rPr>
          <w:rFonts w:ascii="Calibri" w:hAnsi="Calibri"/>
          <w:sz w:val="18"/>
        </w:rPr>
      </w:pPr>
      <w:r w:rsidRPr="00EA7458">
        <w:rPr>
          <w:rFonts w:ascii="Calibri" w:hAnsi="Calibri"/>
          <w:b/>
          <w:sz w:val="18"/>
        </w:rPr>
        <w:t>WP</w:t>
      </w:r>
      <w:r w:rsidRPr="00EA7458">
        <w:rPr>
          <w:rFonts w:ascii="Calibri" w:hAnsi="Calibri"/>
          <w:sz w:val="18"/>
        </w:rPr>
        <w:t xml:space="preserve"> Wagner-Peyser</w:t>
      </w:r>
    </w:p>
    <w:p w14:paraId="3D76E895" w14:textId="77777777" w:rsidR="00EA7458" w:rsidRPr="00EA7458" w:rsidRDefault="00EA7458" w:rsidP="00EA7458">
      <w:pPr>
        <w:widowControl w:val="0"/>
        <w:spacing w:after="0" w:line="360" w:lineRule="auto"/>
        <w:ind w:left="90"/>
        <w:rPr>
          <w:rFonts w:ascii="Calibri" w:hAnsi="Calibri"/>
          <w:sz w:val="18"/>
        </w:rPr>
      </w:pPr>
      <w:r w:rsidRPr="00EA7458">
        <w:rPr>
          <w:rFonts w:ascii="Calibri" w:hAnsi="Calibri"/>
          <w:b/>
          <w:sz w:val="18"/>
        </w:rPr>
        <w:t>WPRS</w:t>
      </w:r>
      <w:r w:rsidRPr="00EA7458">
        <w:rPr>
          <w:rFonts w:ascii="Calibri" w:hAnsi="Calibri"/>
          <w:sz w:val="18"/>
        </w:rPr>
        <w:t xml:space="preserve"> Worker Profiling and Reemployment Services</w:t>
      </w:r>
    </w:p>
    <w:p w14:paraId="15C56350" w14:textId="77777777" w:rsidR="00EA7458" w:rsidRPr="00EA7458" w:rsidRDefault="00EA7458" w:rsidP="00EA7458">
      <w:pPr>
        <w:widowControl w:val="0"/>
        <w:spacing w:after="0" w:line="240" w:lineRule="auto"/>
        <w:ind w:left="107"/>
        <w:rPr>
          <w:rFonts w:ascii="Calibri" w:hAnsi="Calibri" w:cs="Calibri"/>
          <w:sz w:val="18"/>
          <w:szCs w:val="18"/>
        </w:rPr>
      </w:pPr>
      <w:r w:rsidRPr="00EA7458">
        <w:rPr>
          <w:rFonts w:ascii="Calibri" w:hAnsi="Calibri"/>
          <w:b/>
          <w:sz w:val="18"/>
        </w:rPr>
        <w:t>WRIS</w:t>
      </w:r>
      <w:r w:rsidRPr="00EA7458">
        <w:rPr>
          <w:rFonts w:ascii="Calibri" w:hAnsi="Calibri"/>
          <w:sz w:val="18"/>
        </w:rPr>
        <w:t xml:space="preserve"> Wage Record Information System</w:t>
      </w:r>
    </w:p>
    <w:p w14:paraId="507FBCF8" w14:textId="77777777" w:rsidR="00EA7458" w:rsidRPr="00EA7458" w:rsidRDefault="00EA7458" w:rsidP="00EA7458">
      <w:pPr>
        <w:widowControl w:val="0"/>
        <w:spacing w:after="0" w:line="240" w:lineRule="auto"/>
        <w:rPr>
          <w:rFonts w:ascii="Calibri" w:hAnsi="Calibri" w:cs="Calibri"/>
          <w:sz w:val="18"/>
          <w:szCs w:val="18"/>
        </w:rPr>
        <w:sectPr w:rsidR="00EA7458" w:rsidRPr="00EA7458">
          <w:footerReference w:type="default" r:id="rId62"/>
          <w:pgSz w:w="12240" w:h="15840"/>
          <w:pgMar w:top="1620" w:right="900" w:bottom="820" w:left="900" w:header="812" w:footer="624" w:gutter="0"/>
          <w:cols w:space="720"/>
        </w:sectPr>
      </w:pPr>
    </w:p>
    <w:p w14:paraId="4F8145D1" w14:textId="77777777" w:rsidR="00EA7458" w:rsidRPr="00EA7458" w:rsidRDefault="00EA7458" w:rsidP="00EA7458">
      <w:pPr>
        <w:widowControl w:val="0"/>
        <w:spacing w:before="8" w:after="0" w:line="240" w:lineRule="auto"/>
        <w:rPr>
          <w:rFonts w:ascii="Calibri" w:hAnsi="Calibri" w:cs="Calibri"/>
          <w:sz w:val="14"/>
          <w:szCs w:val="14"/>
        </w:rPr>
      </w:pPr>
    </w:p>
    <w:p w14:paraId="2D6046F5" w14:textId="77777777" w:rsidR="00EA7458" w:rsidRPr="00EA7458" w:rsidRDefault="00EA7458" w:rsidP="00EA7458">
      <w:pPr>
        <w:widowControl w:val="0"/>
        <w:tabs>
          <w:tab w:val="left" w:pos="10331"/>
        </w:tabs>
        <w:spacing w:before="30" w:after="0" w:line="240" w:lineRule="auto"/>
        <w:ind w:left="107"/>
        <w:outlineLvl w:val="0"/>
        <w:rPr>
          <w:rFonts w:ascii="Calibri" w:hAnsi="Calibri"/>
          <w:sz w:val="36"/>
          <w:szCs w:val="36"/>
        </w:rPr>
      </w:pPr>
      <w:bookmarkStart w:id="5" w:name="Introduction"/>
      <w:bookmarkStart w:id="6" w:name="_bookmark2"/>
      <w:bookmarkEnd w:id="5"/>
      <w:bookmarkEnd w:id="6"/>
      <w:r w:rsidRPr="00EA7458">
        <w:rPr>
          <w:rFonts w:ascii="Calibri" w:hAnsi="Calibri"/>
          <w:b/>
          <w:bCs/>
          <w:color w:val="295CA3"/>
          <w:w w:val="115"/>
          <w:sz w:val="36"/>
          <w:szCs w:val="36"/>
          <w:u w:val="single" w:color="231F20"/>
        </w:rPr>
        <w:t>INTRODUCTION</w:t>
      </w:r>
      <w:r w:rsidRPr="00EA7458">
        <w:rPr>
          <w:rFonts w:ascii="Calibri" w:hAnsi="Calibri"/>
          <w:b/>
          <w:bCs/>
          <w:color w:val="295CA3"/>
          <w:w w:val="113"/>
          <w:sz w:val="36"/>
          <w:szCs w:val="36"/>
          <w:u w:val="single" w:color="231F20"/>
        </w:rPr>
        <w:t xml:space="preserve"> </w:t>
      </w:r>
      <w:r w:rsidRPr="00EA7458">
        <w:rPr>
          <w:rFonts w:ascii="Calibri" w:hAnsi="Calibri"/>
          <w:b/>
          <w:bCs/>
          <w:color w:val="295CA3"/>
          <w:sz w:val="36"/>
          <w:szCs w:val="36"/>
          <w:u w:val="single" w:color="231F20"/>
        </w:rPr>
        <w:tab/>
      </w:r>
    </w:p>
    <w:p w14:paraId="618EEB49" w14:textId="4CF73CA6" w:rsidR="00EA7458" w:rsidRPr="00EA7458" w:rsidRDefault="00105C9D" w:rsidP="00D63204">
      <w:pPr>
        <w:widowControl w:val="0"/>
        <w:spacing w:after="0" w:line="240" w:lineRule="auto"/>
        <w:ind w:left="90" w:right="180"/>
        <w:rPr>
          <w:rFonts w:ascii="Calibri" w:hAnsi="Calibri"/>
        </w:rPr>
      </w:pPr>
      <w:r>
        <w:rPr>
          <w:rFonts w:ascii="Calibri" w:hAnsi="Calibri"/>
        </w:rPr>
        <w:br/>
      </w:r>
      <w:r w:rsidR="00EA7458" w:rsidRPr="00EA7458">
        <w:rPr>
          <w:rFonts w:ascii="Calibri" w:hAnsi="Calibri"/>
        </w:rPr>
        <w:t xml:space="preserve">The federal Workforce Innovation and Opportunity Act </w:t>
      </w:r>
      <w:r w:rsidR="00FD29DE">
        <w:rPr>
          <w:rFonts w:ascii="Calibri" w:hAnsi="Calibri"/>
        </w:rPr>
        <w:t xml:space="preserve">(WIOA) </w:t>
      </w:r>
      <w:r w:rsidR="00EA7458" w:rsidRPr="00EA7458">
        <w:rPr>
          <w:rFonts w:ascii="Calibri" w:hAnsi="Calibri"/>
        </w:rPr>
        <w:t>provides direction, guidance and important updates for the workforce system in every state. The law prioritizes a market-driven approach to talent development that prepare</w:t>
      </w:r>
      <w:r w:rsidR="00CA647D">
        <w:rPr>
          <w:rFonts w:ascii="Calibri" w:hAnsi="Calibri"/>
        </w:rPr>
        <w:t>s</w:t>
      </w:r>
      <w:r w:rsidR="00EA7458" w:rsidRPr="00EA7458">
        <w:rPr>
          <w:rFonts w:ascii="Calibri" w:hAnsi="Calibri"/>
        </w:rPr>
        <w:t xml:space="preserve"> </w:t>
      </w:r>
      <w:r w:rsidR="005C292E">
        <w:rPr>
          <w:rFonts w:ascii="Calibri" w:hAnsi="Calibri"/>
        </w:rPr>
        <w:t>people</w:t>
      </w:r>
      <w:r w:rsidR="00EA7458" w:rsidRPr="00EA7458">
        <w:rPr>
          <w:rFonts w:ascii="Calibri" w:hAnsi="Calibri"/>
        </w:rPr>
        <w:t xml:space="preserve"> seeking employment for the jobs of today and of the future. Added emphasis is placed on the need for access to workforce services for all. </w:t>
      </w:r>
      <w:r w:rsidR="00E60E62">
        <w:rPr>
          <w:rFonts w:ascii="Calibri" w:hAnsi="Calibri"/>
        </w:rPr>
        <w:t>Under WIOA, r</w:t>
      </w:r>
      <w:r w:rsidR="00EA7458" w:rsidRPr="00EA7458">
        <w:rPr>
          <w:rFonts w:ascii="Calibri" w:hAnsi="Calibri"/>
        </w:rPr>
        <w:t>egional alignment of markets and resources are facilitated and encouraged.</w:t>
      </w:r>
    </w:p>
    <w:p w14:paraId="42E537E5" w14:textId="77777777" w:rsidR="00EA7458" w:rsidRPr="00EA7458" w:rsidRDefault="00EA7458" w:rsidP="00D63204">
      <w:pPr>
        <w:widowControl w:val="0"/>
        <w:spacing w:after="0" w:line="240" w:lineRule="auto"/>
        <w:ind w:left="90" w:right="180"/>
        <w:rPr>
          <w:rFonts w:ascii="Calibri" w:hAnsi="Calibri"/>
        </w:rPr>
      </w:pPr>
    </w:p>
    <w:p w14:paraId="50783FC7" w14:textId="29BFFB5E" w:rsidR="00CD1C1C" w:rsidRDefault="00CD1C1C" w:rsidP="00D63204">
      <w:pPr>
        <w:widowControl w:val="0"/>
        <w:spacing w:after="0" w:line="240" w:lineRule="auto"/>
        <w:ind w:left="90" w:right="180"/>
        <w:rPr>
          <w:rFonts w:ascii="Calibri" w:hAnsi="Calibri"/>
        </w:rPr>
      </w:pPr>
      <w:r w:rsidRPr="00CD1C1C">
        <w:rPr>
          <w:rFonts w:ascii="Calibri" w:hAnsi="Calibri"/>
        </w:rPr>
        <w:t>Florida swiftly adopted WIOA and explored opportunities to improve outcomes, grow partnerships and enhance customer service. Florida’s workforce investment system built on momentum gained through expanded business engagement and improved alignment with regional economies and stakeholders. Florida’s strong focus on performance was sharpened by increasing the emphasis on achievement of results for job seekers, workers looking to grow in their careers</w:t>
      </w:r>
      <w:r w:rsidR="00D5537E">
        <w:rPr>
          <w:rFonts w:ascii="Calibri" w:hAnsi="Calibri"/>
        </w:rPr>
        <w:t xml:space="preserve"> and</w:t>
      </w:r>
      <w:r w:rsidRPr="00CD1C1C">
        <w:rPr>
          <w:rFonts w:ascii="Calibri" w:hAnsi="Calibri"/>
        </w:rPr>
        <w:t xml:space="preserve"> businesses looking to hire and enhance competitiveness.</w:t>
      </w:r>
    </w:p>
    <w:p w14:paraId="23F82D69" w14:textId="30339221" w:rsidR="0056655F" w:rsidRDefault="0056655F" w:rsidP="00D63204">
      <w:pPr>
        <w:widowControl w:val="0"/>
        <w:spacing w:after="0" w:line="240" w:lineRule="auto"/>
        <w:ind w:left="90" w:right="180"/>
        <w:rPr>
          <w:rFonts w:ascii="Calibri" w:hAnsi="Calibri"/>
        </w:rPr>
      </w:pPr>
    </w:p>
    <w:p w14:paraId="7C92201B" w14:textId="0CF40D76" w:rsidR="007B27B6" w:rsidRDefault="0056655F" w:rsidP="00D63204">
      <w:pPr>
        <w:widowControl w:val="0"/>
        <w:spacing w:after="0" w:line="240" w:lineRule="auto"/>
        <w:ind w:left="90" w:right="180"/>
        <w:rPr>
          <w:rStyle w:val="fontstyle01"/>
          <w:rFonts w:asciiTheme="minorHAnsi" w:hAnsiTheme="minorHAnsi" w:cstheme="minorHAnsi"/>
        </w:rPr>
      </w:pPr>
      <w:r w:rsidRPr="007B27B6">
        <w:rPr>
          <w:rStyle w:val="fontstyle01"/>
          <w:rFonts w:asciiTheme="minorHAnsi" w:hAnsiTheme="minorHAnsi" w:cstheme="minorHAnsi"/>
        </w:rPr>
        <w:t xml:space="preserve">Since the submission of </w:t>
      </w:r>
      <w:r w:rsidR="00E67748">
        <w:rPr>
          <w:rStyle w:val="fontstyle01"/>
          <w:rFonts w:asciiTheme="minorHAnsi" w:hAnsiTheme="minorHAnsi" w:cstheme="minorHAnsi"/>
        </w:rPr>
        <w:t>Florida’s</w:t>
      </w:r>
      <w:r w:rsidRPr="007B27B6">
        <w:rPr>
          <w:rStyle w:val="fontstyle01"/>
          <w:rFonts w:asciiTheme="minorHAnsi" w:hAnsiTheme="minorHAnsi" w:cstheme="minorHAnsi"/>
        </w:rPr>
        <w:t xml:space="preserve"> first Unified State Plan in</w:t>
      </w:r>
      <w:r w:rsidR="00005E3E">
        <w:rPr>
          <w:rStyle w:val="fontstyle01"/>
          <w:rFonts w:asciiTheme="minorHAnsi" w:hAnsiTheme="minorHAnsi" w:cstheme="minorHAnsi"/>
        </w:rPr>
        <w:t xml:space="preserve"> </w:t>
      </w:r>
      <w:r w:rsidRPr="007B27B6">
        <w:rPr>
          <w:rStyle w:val="fontstyle01"/>
          <w:rFonts w:asciiTheme="minorHAnsi" w:hAnsiTheme="minorHAnsi" w:cstheme="minorHAnsi"/>
        </w:rPr>
        <w:t>2016</w:t>
      </w:r>
      <w:r w:rsidR="00E67748">
        <w:rPr>
          <w:rStyle w:val="fontstyle01"/>
          <w:rFonts w:asciiTheme="minorHAnsi" w:hAnsiTheme="minorHAnsi" w:cstheme="minorHAnsi"/>
        </w:rPr>
        <w:t>,</w:t>
      </w:r>
      <w:r w:rsidRPr="007B27B6">
        <w:rPr>
          <w:rStyle w:val="fontstyle01"/>
          <w:rFonts w:asciiTheme="minorHAnsi" w:hAnsiTheme="minorHAnsi" w:cstheme="minorHAnsi"/>
        </w:rPr>
        <w:t xml:space="preserve"> regular interagency meetings of the WIOA Core Partner programs address</w:t>
      </w:r>
      <w:r w:rsidR="007B27B6">
        <w:rPr>
          <w:rStyle w:val="fontstyle01"/>
          <w:rFonts w:asciiTheme="minorHAnsi" w:hAnsiTheme="minorHAnsi" w:cstheme="minorHAnsi"/>
        </w:rPr>
        <w:t>ed</w:t>
      </w:r>
      <w:r w:rsidRPr="007B27B6">
        <w:rPr>
          <w:rStyle w:val="fontstyle01"/>
          <w:rFonts w:asciiTheme="minorHAnsi" w:hAnsiTheme="minorHAnsi" w:cstheme="minorHAnsi"/>
        </w:rPr>
        <w:t xml:space="preserve"> aspects of plan implementation. These meetings included leadership and subject matter experts from the Florida Department of Education’s </w:t>
      </w:r>
      <w:r w:rsidR="007253D8">
        <w:rPr>
          <w:rStyle w:val="fontstyle01"/>
          <w:rFonts w:asciiTheme="minorHAnsi" w:hAnsiTheme="minorHAnsi" w:cstheme="minorHAnsi"/>
        </w:rPr>
        <w:t>D</w:t>
      </w:r>
      <w:r w:rsidRPr="007B27B6">
        <w:rPr>
          <w:rStyle w:val="fontstyle01"/>
          <w:rFonts w:asciiTheme="minorHAnsi" w:hAnsiTheme="minorHAnsi" w:cstheme="minorHAnsi"/>
        </w:rPr>
        <w:t>ivisions of Career and Adult Education, Vocational Rehabilitation</w:t>
      </w:r>
      <w:r w:rsidR="00D5537E">
        <w:rPr>
          <w:rStyle w:val="fontstyle01"/>
          <w:rFonts w:asciiTheme="minorHAnsi" w:hAnsiTheme="minorHAnsi" w:cstheme="minorHAnsi"/>
        </w:rPr>
        <w:t xml:space="preserve"> and</w:t>
      </w:r>
      <w:r w:rsidRPr="007B27B6">
        <w:rPr>
          <w:rStyle w:val="fontstyle01"/>
          <w:rFonts w:asciiTheme="minorHAnsi" w:hAnsiTheme="minorHAnsi" w:cstheme="minorHAnsi"/>
        </w:rPr>
        <w:t xml:space="preserve"> Blind Services, the Florida Department of Economic Opportunity</w:t>
      </w:r>
      <w:r w:rsidR="00D5537E">
        <w:rPr>
          <w:rStyle w:val="fontstyle01"/>
          <w:rFonts w:asciiTheme="minorHAnsi" w:hAnsiTheme="minorHAnsi" w:cstheme="minorHAnsi"/>
        </w:rPr>
        <w:t xml:space="preserve"> and</w:t>
      </w:r>
      <w:r w:rsidRPr="007B27B6">
        <w:rPr>
          <w:rStyle w:val="fontstyle01"/>
          <w:rFonts w:asciiTheme="minorHAnsi" w:hAnsiTheme="minorHAnsi" w:cstheme="minorHAnsi"/>
        </w:rPr>
        <w:t xml:space="preserve"> CareerSource Florida.</w:t>
      </w:r>
      <w:r w:rsidR="007B27B6">
        <w:rPr>
          <w:rStyle w:val="fontstyle01"/>
          <w:rFonts w:asciiTheme="minorHAnsi" w:hAnsiTheme="minorHAnsi" w:cstheme="minorHAnsi"/>
        </w:rPr>
        <w:t xml:space="preserve"> A </w:t>
      </w:r>
      <w:r w:rsidR="006F37A1">
        <w:rPr>
          <w:rStyle w:val="fontstyle01"/>
          <w:rFonts w:asciiTheme="minorHAnsi" w:hAnsiTheme="minorHAnsi" w:cstheme="minorHAnsi"/>
        </w:rPr>
        <w:t>stakeholders’</w:t>
      </w:r>
      <w:r w:rsidR="007B27B6">
        <w:rPr>
          <w:rStyle w:val="fontstyle01"/>
          <w:rFonts w:asciiTheme="minorHAnsi" w:hAnsiTheme="minorHAnsi" w:cstheme="minorHAnsi"/>
        </w:rPr>
        <w:t xml:space="preserve"> workgroup including core and </w:t>
      </w:r>
      <w:r w:rsidR="003E22B7">
        <w:rPr>
          <w:rStyle w:val="fontstyle01"/>
          <w:rFonts w:asciiTheme="minorHAnsi" w:hAnsiTheme="minorHAnsi" w:cstheme="minorHAnsi"/>
        </w:rPr>
        <w:t xml:space="preserve">other </w:t>
      </w:r>
      <w:r w:rsidR="007B27B6">
        <w:rPr>
          <w:rStyle w:val="fontstyle01"/>
          <w:rFonts w:asciiTheme="minorHAnsi" w:hAnsiTheme="minorHAnsi" w:cstheme="minorHAnsi"/>
        </w:rPr>
        <w:t xml:space="preserve">partners met regularly to </w:t>
      </w:r>
      <w:r w:rsidR="0078084A">
        <w:rPr>
          <w:rStyle w:val="fontstyle01"/>
          <w:rFonts w:asciiTheme="minorHAnsi" w:hAnsiTheme="minorHAnsi" w:cstheme="minorHAnsi"/>
        </w:rPr>
        <w:t xml:space="preserve">share </w:t>
      </w:r>
      <w:r w:rsidR="007B27B6">
        <w:rPr>
          <w:rStyle w:val="fontstyle01"/>
          <w:rFonts w:asciiTheme="minorHAnsi" w:hAnsiTheme="minorHAnsi" w:cstheme="minorHAnsi"/>
        </w:rPr>
        <w:t>information, p</w:t>
      </w:r>
      <w:r w:rsidR="0078084A">
        <w:rPr>
          <w:rStyle w:val="fontstyle01"/>
          <w:rFonts w:asciiTheme="minorHAnsi" w:hAnsiTheme="minorHAnsi" w:cstheme="minorHAnsi"/>
        </w:rPr>
        <w:t>rovide</w:t>
      </w:r>
      <w:r w:rsidR="007B27B6">
        <w:rPr>
          <w:rStyle w:val="fontstyle01"/>
          <w:rFonts w:asciiTheme="minorHAnsi" w:hAnsiTheme="minorHAnsi" w:cstheme="minorHAnsi"/>
        </w:rPr>
        <w:t xml:space="preserve"> input for a two-year modification of the unified plan</w:t>
      </w:r>
      <w:r w:rsidR="00D5537E">
        <w:rPr>
          <w:rStyle w:val="fontstyle01"/>
          <w:rFonts w:asciiTheme="minorHAnsi" w:hAnsiTheme="minorHAnsi" w:cstheme="minorHAnsi"/>
        </w:rPr>
        <w:t xml:space="preserve"> and</w:t>
      </w:r>
      <w:r w:rsidR="007B27B6">
        <w:rPr>
          <w:rStyle w:val="fontstyle01"/>
          <w:rFonts w:asciiTheme="minorHAnsi" w:hAnsiTheme="minorHAnsi" w:cstheme="minorHAnsi"/>
        </w:rPr>
        <w:t xml:space="preserve"> </w:t>
      </w:r>
      <w:r w:rsidR="0078084A">
        <w:rPr>
          <w:rStyle w:val="fontstyle01"/>
          <w:rFonts w:asciiTheme="minorHAnsi" w:hAnsiTheme="minorHAnsi" w:cstheme="minorHAnsi"/>
        </w:rPr>
        <w:t xml:space="preserve">make </w:t>
      </w:r>
      <w:r w:rsidR="007B27B6">
        <w:rPr>
          <w:rStyle w:val="fontstyle01"/>
          <w:rFonts w:asciiTheme="minorHAnsi" w:hAnsiTheme="minorHAnsi" w:cstheme="minorHAnsi"/>
        </w:rPr>
        <w:t>recommendations to leadership for agencies and organizations to be included in a combined plan.</w:t>
      </w:r>
    </w:p>
    <w:p w14:paraId="04F5085C" w14:textId="77777777" w:rsidR="007B27B6" w:rsidRDefault="007B27B6" w:rsidP="00D63204">
      <w:pPr>
        <w:widowControl w:val="0"/>
        <w:spacing w:after="0" w:line="240" w:lineRule="auto"/>
        <w:ind w:left="90" w:right="180"/>
        <w:rPr>
          <w:rStyle w:val="fontstyle01"/>
          <w:rFonts w:asciiTheme="minorHAnsi" w:hAnsiTheme="minorHAnsi" w:cstheme="minorHAnsi"/>
        </w:rPr>
      </w:pPr>
    </w:p>
    <w:p w14:paraId="70A2DCA8" w14:textId="1FE503CB" w:rsidR="007B27B6" w:rsidRPr="00CD1C1C" w:rsidRDefault="00A77085" w:rsidP="00D63204">
      <w:pPr>
        <w:widowControl w:val="0"/>
        <w:spacing w:after="0" w:line="240" w:lineRule="auto"/>
        <w:ind w:left="90" w:right="180"/>
        <w:rPr>
          <w:rStyle w:val="fontstyle01"/>
          <w:rFonts w:asciiTheme="minorHAnsi" w:hAnsiTheme="minorHAnsi" w:cstheme="minorHAnsi"/>
        </w:rPr>
      </w:pPr>
      <w:r w:rsidRPr="00CD1C1C">
        <w:rPr>
          <w:rStyle w:val="fontstyle01"/>
          <w:rFonts w:asciiTheme="minorHAnsi" w:hAnsiTheme="minorHAnsi" w:cstheme="minorHAnsi"/>
        </w:rPr>
        <w:t xml:space="preserve">As of November 2017, </w:t>
      </w:r>
      <w:r w:rsidR="007B27B6" w:rsidRPr="00CD1C1C">
        <w:rPr>
          <w:rStyle w:val="fontstyle01"/>
          <w:rFonts w:asciiTheme="minorHAnsi" w:hAnsiTheme="minorHAnsi" w:cstheme="minorHAnsi"/>
        </w:rPr>
        <w:t xml:space="preserve">Florida </w:t>
      </w:r>
      <w:r w:rsidRPr="00CD1C1C">
        <w:rPr>
          <w:rStyle w:val="fontstyle01"/>
          <w:rFonts w:asciiTheme="minorHAnsi" w:hAnsiTheme="minorHAnsi" w:cstheme="minorHAnsi"/>
        </w:rPr>
        <w:t xml:space="preserve">enjoys </w:t>
      </w:r>
      <w:r w:rsidR="007B27B6" w:rsidRPr="00CD1C1C">
        <w:rPr>
          <w:rStyle w:val="fontstyle01"/>
          <w:rFonts w:asciiTheme="minorHAnsi" w:hAnsiTheme="minorHAnsi" w:cstheme="minorHAnsi"/>
        </w:rPr>
        <w:t xml:space="preserve">a </w:t>
      </w:r>
      <w:r w:rsidR="00D40621">
        <w:rPr>
          <w:rStyle w:val="fontstyle01"/>
          <w:rFonts w:asciiTheme="minorHAnsi" w:hAnsiTheme="minorHAnsi" w:cstheme="minorHAnsi"/>
        </w:rPr>
        <w:t>healthy</w:t>
      </w:r>
      <w:r w:rsidR="007B27B6" w:rsidRPr="00CD1C1C">
        <w:rPr>
          <w:rStyle w:val="fontstyle01"/>
          <w:rFonts w:asciiTheme="minorHAnsi" w:hAnsiTheme="minorHAnsi" w:cstheme="minorHAnsi"/>
        </w:rPr>
        <w:t xml:space="preserve"> labor market </w:t>
      </w:r>
      <w:r w:rsidRPr="00CD1C1C">
        <w:rPr>
          <w:rStyle w:val="fontstyle01"/>
          <w:rFonts w:asciiTheme="minorHAnsi" w:hAnsiTheme="minorHAnsi" w:cstheme="minorHAnsi"/>
        </w:rPr>
        <w:t xml:space="preserve">and a strong workforce system well-positioned to continue its integrated approach to providing exceptional services to businesses and job seekers. </w:t>
      </w:r>
    </w:p>
    <w:p w14:paraId="7BA0C078" w14:textId="77777777" w:rsidR="00A55E82" w:rsidRPr="00A77085" w:rsidRDefault="00A55E82" w:rsidP="00D63204">
      <w:pPr>
        <w:widowControl w:val="0"/>
        <w:spacing w:after="0" w:line="240" w:lineRule="auto"/>
        <w:ind w:left="90" w:right="180"/>
        <w:rPr>
          <w:rFonts w:ascii="Calibri" w:hAnsi="Calibri"/>
        </w:rPr>
      </w:pPr>
    </w:p>
    <w:p w14:paraId="16D2F863" w14:textId="34B61AF1" w:rsidR="00CD1C1C" w:rsidRDefault="00CD1C1C" w:rsidP="00D63204">
      <w:pPr>
        <w:widowControl w:val="0"/>
        <w:spacing w:after="0" w:line="240" w:lineRule="auto"/>
        <w:ind w:left="90" w:right="180"/>
        <w:rPr>
          <w:rStyle w:val="fontstyle01"/>
          <w:rFonts w:asciiTheme="minorHAnsi" w:hAnsiTheme="minorHAnsi" w:cstheme="minorHAnsi"/>
        </w:rPr>
      </w:pPr>
      <w:r w:rsidRPr="00CD1C1C">
        <w:rPr>
          <w:rFonts w:ascii="Calibri" w:hAnsi="Calibri"/>
        </w:rPr>
        <w:t xml:space="preserve">States and local workforce development boards are required to regularly revisit state plan strategies and recalibrate </w:t>
      </w:r>
      <w:r w:rsidR="00FB5E11">
        <w:rPr>
          <w:rFonts w:ascii="Calibri" w:hAnsi="Calibri"/>
        </w:rPr>
        <w:t xml:space="preserve">those strategies </w:t>
      </w:r>
      <w:r w:rsidRPr="00CD1C1C">
        <w:rPr>
          <w:rFonts w:ascii="Calibri" w:hAnsi="Calibri"/>
        </w:rPr>
        <w:t xml:space="preserve">to respond to the changing economic conditions and workforce needs of the state (20 CFR, Unified and Combined Plans Under Title I of the Workforce Innovation and Opportunity Act, §676.135). </w:t>
      </w:r>
      <w:r w:rsidRPr="00CD1C1C">
        <w:rPr>
          <w:rStyle w:val="fontstyle01"/>
          <w:rFonts w:asciiTheme="minorHAnsi" w:hAnsiTheme="minorHAnsi" w:cstheme="minorHAnsi"/>
        </w:rPr>
        <w:t xml:space="preserve">The State of Florida </w:t>
      </w:r>
      <w:r w:rsidR="00D15E04">
        <w:rPr>
          <w:rStyle w:val="fontstyle01"/>
          <w:rFonts w:asciiTheme="minorHAnsi" w:hAnsiTheme="minorHAnsi" w:cstheme="minorHAnsi"/>
        </w:rPr>
        <w:t>WIOA</w:t>
      </w:r>
      <w:r w:rsidRPr="00CD1C1C">
        <w:rPr>
          <w:rStyle w:val="fontstyle01"/>
          <w:rFonts w:asciiTheme="minorHAnsi" w:hAnsiTheme="minorHAnsi" w:cstheme="minorHAnsi"/>
        </w:rPr>
        <w:t xml:space="preserve"> Unified Plan Two-Year Modification is consistent with the requirements of federal and state law with an emphasis on:</w:t>
      </w:r>
    </w:p>
    <w:p w14:paraId="0F284298" w14:textId="77777777" w:rsidR="00A77085" w:rsidRDefault="00A77085" w:rsidP="00D63204">
      <w:pPr>
        <w:widowControl w:val="0"/>
        <w:spacing w:after="0" w:line="240" w:lineRule="auto"/>
        <w:ind w:left="90" w:right="180"/>
        <w:rPr>
          <w:rStyle w:val="fontstyle01"/>
          <w:rFonts w:asciiTheme="minorHAnsi" w:hAnsiTheme="minorHAnsi" w:cstheme="minorHAnsi"/>
        </w:rPr>
      </w:pPr>
    </w:p>
    <w:p w14:paraId="168F7359" w14:textId="43378021" w:rsidR="00A77085" w:rsidRPr="00A77085" w:rsidRDefault="00A77085" w:rsidP="00D63204">
      <w:pPr>
        <w:pStyle w:val="ListParagraph"/>
        <w:widowControl w:val="0"/>
        <w:numPr>
          <w:ilvl w:val="0"/>
          <w:numId w:val="93"/>
        </w:numPr>
        <w:spacing w:after="0" w:line="240" w:lineRule="auto"/>
        <w:ind w:right="180"/>
        <w:rPr>
          <w:rStyle w:val="fontstyle01"/>
          <w:rFonts w:asciiTheme="minorHAnsi" w:hAnsiTheme="minorHAnsi"/>
        </w:rPr>
      </w:pPr>
      <w:r w:rsidRPr="00A77085">
        <w:rPr>
          <w:rStyle w:val="fontstyle01"/>
          <w:rFonts w:asciiTheme="minorHAnsi" w:hAnsiTheme="minorHAnsi"/>
          <w:b/>
        </w:rPr>
        <w:t>Streamlining services</w:t>
      </w:r>
      <w:r w:rsidRPr="00A77085">
        <w:rPr>
          <w:rStyle w:val="fontstyle01"/>
          <w:rFonts w:asciiTheme="minorHAnsi" w:hAnsiTheme="minorHAnsi"/>
        </w:rPr>
        <w:t xml:space="preserve"> </w:t>
      </w:r>
      <w:r>
        <w:rPr>
          <w:rStyle w:val="fontstyle01"/>
          <w:rFonts w:asciiTheme="minorHAnsi" w:hAnsiTheme="minorHAnsi"/>
        </w:rPr>
        <w:t xml:space="preserve">– </w:t>
      </w:r>
      <w:r w:rsidRPr="00A77085">
        <w:rPr>
          <w:rStyle w:val="fontstyle01"/>
          <w:rFonts w:asciiTheme="minorHAnsi" w:hAnsiTheme="minorHAnsi"/>
        </w:rPr>
        <w:t>Florida’s employment and training programs must be coordinated and consolidated at locally managed one-stop delivery system centers.</w:t>
      </w:r>
    </w:p>
    <w:p w14:paraId="1848E4AB" w14:textId="77777777" w:rsidR="00A77085" w:rsidRDefault="00A77085" w:rsidP="00D63204">
      <w:pPr>
        <w:widowControl w:val="0"/>
        <w:spacing w:after="0" w:line="240" w:lineRule="auto"/>
        <w:ind w:left="90" w:right="180"/>
        <w:rPr>
          <w:rStyle w:val="fontstyle01"/>
          <w:rFonts w:asciiTheme="minorHAnsi" w:hAnsiTheme="minorHAnsi"/>
        </w:rPr>
      </w:pPr>
    </w:p>
    <w:p w14:paraId="5209108E" w14:textId="764C0899" w:rsidR="00A77085" w:rsidRPr="00A77085" w:rsidRDefault="00A77085" w:rsidP="00D63204">
      <w:pPr>
        <w:pStyle w:val="ListParagraph"/>
        <w:widowControl w:val="0"/>
        <w:numPr>
          <w:ilvl w:val="0"/>
          <w:numId w:val="93"/>
        </w:numPr>
        <w:spacing w:after="0" w:line="240" w:lineRule="auto"/>
        <w:ind w:right="180"/>
        <w:rPr>
          <w:rStyle w:val="fontstyle01"/>
          <w:rFonts w:asciiTheme="minorHAnsi" w:hAnsiTheme="minorHAnsi"/>
        </w:rPr>
      </w:pPr>
      <w:r w:rsidRPr="00A77085">
        <w:rPr>
          <w:rStyle w:val="fontstyle01"/>
          <w:rFonts w:asciiTheme="minorHAnsi" w:hAnsiTheme="minorHAnsi"/>
          <w:b/>
        </w:rPr>
        <w:t>Empowering individuals</w:t>
      </w:r>
      <w:r w:rsidRPr="00A77085">
        <w:rPr>
          <w:rStyle w:val="fontstyle01"/>
          <w:rFonts w:asciiTheme="minorHAnsi" w:hAnsiTheme="minorHAnsi"/>
        </w:rPr>
        <w:t xml:space="preserve"> </w:t>
      </w:r>
      <w:r>
        <w:rPr>
          <w:rStyle w:val="fontstyle01"/>
          <w:rFonts w:asciiTheme="minorHAnsi" w:hAnsiTheme="minorHAnsi"/>
        </w:rPr>
        <w:t xml:space="preserve">– </w:t>
      </w:r>
      <w:r w:rsidRPr="00A77085">
        <w:rPr>
          <w:rStyle w:val="fontstyle01"/>
          <w:rFonts w:asciiTheme="minorHAnsi" w:hAnsiTheme="minorHAnsi"/>
        </w:rPr>
        <w:t>Eligible participants will make informed decisions, choosing the qualified training program that best meets their needs.</w:t>
      </w:r>
    </w:p>
    <w:p w14:paraId="40CCFED6" w14:textId="77777777" w:rsidR="00A77085" w:rsidRPr="00A77085" w:rsidRDefault="00A77085" w:rsidP="00A77085">
      <w:pPr>
        <w:pStyle w:val="ListParagraph"/>
        <w:rPr>
          <w:rStyle w:val="fontstyle01"/>
          <w:rFonts w:asciiTheme="minorHAnsi" w:hAnsiTheme="minorHAnsi"/>
        </w:rPr>
      </w:pPr>
    </w:p>
    <w:p w14:paraId="02AFCC15" w14:textId="13BBF2F4" w:rsidR="00A77085" w:rsidRPr="00A77085" w:rsidRDefault="00A77085" w:rsidP="00D63204">
      <w:pPr>
        <w:pStyle w:val="ListParagraph"/>
        <w:widowControl w:val="0"/>
        <w:numPr>
          <w:ilvl w:val="0"/>
          <w:numId w:val="93"/>
        </w:numPr>
        <w:spacing w:after="0" w:line="240" w:lineRule="auto"/>
        <w:ind w:right="180"/>
        <w:rPr>
          <w:rStyle w:val="fontstyle01"/>
          <w:rFonts w:asciiTheme="minorHAnsi" w:hAnsiTheme="minorHAnsi"/>
        </w:rPr>
      </w:pPr>
      <w:r w:rsidRPr="00A77085">
        <w:rPr>
          <w:rStyle w:val="fontstyle01"/>
          <w:rFonts w:asciiTheme="minorHAnsi" w:hAnsiTheme="minorHAnsi"/>
          <w:b/>
        </w:rPr>
        <w:t>Universal access</w:t>
      </w:r>
      <w:r w:rsidRPr="00A77085">
        <w:rPr>
          <w:rStyle w:val="fontstyle01"/>
          <w:rFonts w:asciiTheme="minorHAnsi" w:hAnsiTheme="minorHAnsi"/>
        </w:rPr>
        <w:t xml:space="preserve"> </w:t>
      </w:r>
      <w:r>
        <w:rPr>
          <w:rStyle w:val="fontstyle01"/>
          <w:rFonts w:asciiTheme="minorHAnsi" w:hAnsiTheme="minorHAnsi"/>
        </w:rPr>
        <w:t xml:space="preserve">– </w:t>
      </w:r>
      <w:r w:rsidRPr="00A77085">
        <w:rPr>
          <w:rStyle w:val="fontstyle01"/>
          <w:rFonts w:asciiTheme="minorHAnsi" w:hAnsiTheme="minorHAnsi"/>
        </w:rPr>
        <w:t>Through a one-stop delivery system, every Floridian will have access to employment services.</w:t>
      </w:r>
    </w:p>
    <w:p w14:paraId="2D34FF39" w14:textId="77777777" w:rsidR="00A77085" w:rsidRPr="00A77085" w:rsidRDefault="00A77085" w:rsidP="00A77085">
      <w:pPr>
        <w:pStyle w:val="ListParagraph"/>
        <w:rPr>
          <w:rStyle w:val="fontstyle01"/>
          <w:rFonts w:asciiTheme="minorHAnsi" w:hAnsiTheme="minorHAnsi"/>
        </w:rPr>
      </w:pPr>
    </w:p>
    <w:p w14:paraId="0D1E38DD" w14:textId="2B99FDAD" w:rsidR="00EA7458" w:rsidRPr="00A77085" w:rsidRDefault="00A77085" w:rsidP="00D63204">
      <w:pPr>
        <w:pStyle w:val="ListParagraph"/>
        <w:widowControl w:val="0"/>
        <w:numPr>
          <w:ilvl w:val="0"/>
          <w:numId w:val="93"/>
        </w:numPr>
        <w:spacing w:after="0" w:line="240" w:lineRule="auto"/>
        <w:ind w:right="180"/>
        <w:rPr>
          <w:color w:val="231F20"/>
        </w:rPr>
        <w:sectPr w:rsidR="00EA7458" w:rsidRPr="00A77085">
          <w:footerReference w:type="default" r:id="rId63"/>
          <w:pgSz w:w="12240" w:h="15840"/>
          <w:pgMar w:top="1620" w:right="900" w:bottom="820" w:left="900" w:header="812" w:footer="624" w:gutter="0"/>
          <w:cols w:space="720"/>
        </w:sectPr>
      </w:pPr>
      <w:r w:rsidRPr="00A77085">
        <w:rPr>
          <w:rStyle w:val="fontstyle01"/>
          <w:rFonts w:asciiTheme="minorHAnsi" w:hAnsiTheme="minorHAnsi"/>
          <w:b/>
        </w:rPr>
        <w:t>Increased accountability</w:t>
      </w:r>
      <w:r w:rsidRPr="00A77085">
        <w:rPr>
          <w:rStyle w:val="fontstyle01"/>
          <w:rFonts w:asciiTheme="minorHAnsi" w:hAnsiTheme="minorHAnsi"/>
        </w:rPr>
        <w:t xml:space="preserve"> </w:t>
      </w:r>
      <w:r>
        <w:rPr>
          <w:rStyle w:val="fontstyle01"/>
          <w:rFonts w:asciiTheme="minorHAnsi" w:hAnsiTheme="minorHAnsi"/>
        </w:rPr>
        <w:t xml:space="preserve">– </w:t>
      </w:r>
      <w:r w:rsidRPr="00A77085">
        <w:rPr>
          <w:rStyle w:val="fontstyle01"/>
          <w:rFonts w:asciiTheme="minorHAnsi" w:hAnsiTheme="minorHAnsi"/>
        </w:rPr>
        <w:t>The state, localities</w:t>
      </w:r>
      <w:r w:rsidR="00D5537E">
        <w:rPr>
          <w:rStyle w:val="fontstyle01"/>
          <w:rFonts w:asciiTheme="minorHAnsi" w:hAnsiTheme="minorHAnsi"/>
        </w:rPr>
        <w:t xml:space="preserve"> and</w:t>
      </w:r>
      <w:r w:rsidRPr="00A77085">
        <w:rPr>
          <w:rStyle w:val="fontstyle01"/>
          <w:rFonts w:asciiTheme="minorHAnsi" w:hAnsiTheme="minorHAnsi"/>
        </w:rPr>
        <w:t xml:space="preserve"> training providers will be held accountable for their performance.</w:t>
      </w:r>
    </w:p>
    <w:p w14:paraId="5B782B2F" w14:textId="77777777" w:rsidR="00EA7458" w:rsidRPr="00EA7458" w:rsidRDefault="00EA7458" w:rsidP="00EA7458">
      <w:pPr>
        <w:widowControl w:val="0"/>
        <w:spacing w:before="8" w:after="0" w:line="240" w:lineRule="auto"/>
        <w:rPr>
          <w:rFonts w:ascii="Calibri" w:hAnsi="Calibri" w:cs="Calibri"/>
          <w:sz w:val="14"/>
          <w:szCs w:val="14"/>
        </w:rPr>
      </w:pPr>
    </w:p>
    <w:p w14:paraId="2C1D8D0E" w14:textId="77777777" w:rsidR="00EA7458" w:rsidRPr="00EA7458" w:rsidRDefault="00EA7458" w:rsidP="00664EFD">
      <w:pPr>
        <w:widowControl w:val="0"/>
        <w:numPr>
          <w:ilvl w:val="0"/>
          <w:numId w:val="8"/>
        </w:numPr>
        <w:tabs>
          <w:tab w:val="left" w:pos="395"/>
          <w:tab w:val="left" w:pos="10313"/>
        </w:tabs>
        <w:spacing w:before="27" w:after="240" w:line="432" w:lineRule="exact"/>
        <w:ind w:right="107"/>
        <w:outlineLvl w:val="0"/>
        <w:rPr>
          <w:rFonts w:ascii="Calibri" w:hAnsi="Calibri"/>
          <w:sz w:val="36"/>
          <w:szCs w:val="36"/>
        </w:rPr>
      </w:pPr>
      <w:bookmarkStart w:id="7" w:name="I._Workforce_Innovation_and_Opportunity_"/>
      <w:bookmarkStart w:id="8" w:name="_bookmark3"/>
      <w:bookmarkEnd w:id="7"/>
      <w:bookmarkEnd w:id="8"/>
      <w:r w:rsidRPr="00EA7458">
        <w:rPr>
          <w:rFonts w:ascii="Calibri" w:hAnsi="Calibri"/>
          <w:b/>
          <w:bCs/>
          <w:color w:val="295CA3"/>
          <w:w w:val="115"/>
          <w:sz w:val="36"/>
          <w:szCs w:val="36"/>
        </w:rPr>
        <w:t xml:space="preserve">WORKFORCE </w:t>
      </w:r>
      <w:r w:rsidRPr="00EA7458">
        <w:rPr>
          <w:rFonts w:ascii="Calibri" w:hAnsi="Calibri"/>
          <w:b/>
          <w:bCs/>
          <w:color w:val="295CA3"/>
          <w:spacing w:val="-6"/>
          <w:w w:val="115"/>
          <w:sz w:val="36"/>
          <w:szCs w:val="36"/>
        </w:rPr>
        <w:t xml:space="preserve">INNOVATION </w:t>
      </w:r>
      <w:r w:rsidRPr="00EA7458">
        <w:rPr>
          <w:rFonts w:ascii="Calibri" w:hAnsi="Calibri"/>
          <w:b/>
          <w:bCs/>
          <w:color w:val="295CA3"/>
          <w:w w:val="115"/>
          <w:sz w:val="36"/>
          <w:szCs w:val="36"/>
        </w:rPr>
        <w:t xml:space="preserve">AND OPPORTUNITY </w:t>
      </w:r>
      <w:r w:rsidRPr="00EA7458">
        <w:rPr>
          <w:rFonts w:ascii="Calibri" w:hAnsi="Calibri"/>
          <w:b/>
          <w:bCs/>
          <w:color w:val="295CA3"/>
          <w:spacing w:val="-3"/>
          <w:w w:val="115"/>
          <w:sz w:val="36"/>
          <w:szCs w:val="36"/>
        </w:rPr>
        <w:t>ACT</w:t>
      </w:r>
      <w:r w:rsidRPr="00EA7458">
        <w:rPr>
          <w:rFonts w:ascii="Calibri" w:hAnsi="Calibri"/>
          <w:b/>
          <w:bCs/>
          <w:color w:val="295CA3"/>
          <w:spacing w:val="-49"/>
          <w:w w:val="115"/>
          <w:sz w:val="36"/>
          <w:szCs w:val="36"/>
        </w:rPr>
        <w:t xml:space="preserve"> </w:t>
      </w:r>
      <w:r w:rsidRPr="00EA7458">
        <w:rPr>
          <w:rFonts w:ascii="Calibri" w:hAnsi="Calibri"/>
          <w:b/>
          <w:bCs/>
          <w:color w:val="295CA3"/>
          <w:spacing w:val="-12"/>
          <w:w w:val="115"/>
          <w:sz w:val="36"/>
          <w:szCs w:val="36"/>
        </w:rPr>
        <w:t>STATE</w:t>
      </w:r>
      <w:r w:rsidRPr="00EA7458">
        <w:rPr>
          <w:rFonts w:ascii="Calibri" w:hAnsi="Calibri"/>
          <w:b/>
          <w:bCs/>
          <w:color w:val="295CA3"/>
          <w:w w:val="119"/>
          <w:sz w:val="36"/>
          <w:szCs w:val="36"/>
        </w:rPr>
        <w:t xml:space="preserve"> </w:t>
      </w:r>
      <w:r w:rsidRPr="00EA7458">
        <w:rPr>
          <w:rFonts w:ascii="Calibri" w:hAnsi="Calibri"/>
          <w:b/>
          <w:bCs/>
          <w:color w:val="295CA3"/>
          <w:w w:val="115"/>
          <w:sz w:val="36"/>
          <w:szCs w:val="36"/>
          <w:u w:val="single" w:color="231F20"/>
        </w:rPr>
        <w:t>PLAN</w:t>
      </w:r>
      <w:r w:rsidRPr="00EA7458">
        <w:rPr>
          <w:rFonts w:ascii="Calibri" w:hAnsi="Calibri"/>
          <w:b/>
          <w:bCs/>
          <w:color w:val="295CA3"/>
          <w:spacing w:val="34"/>
          <w:w w:val="115"/>
          <w:sz w:val="36"/>
          <w:szCs w:val="36"/>
          <w:u w:val="single" w:color="231F20"/>
        </w:rPr>
        <w:t xml:space="preserve"> </w:t>
      </w:r>
      <w:r w:rsidRPr="00EA7458">
        <w:rPr>
          <w:rFonts w:ascii="Calibri" w:hAnsi="Calibri"/>
          <w:b/>
          <w:bCs/>
          <w:color w:val="295CA3"/>
          <w:w w:val="115"/>
          <w:sz w:val="36"/>
          <w:szCs w:val="36"/>
          <w:u w:val="single" w:color="231F20"/>
        </w:rPr>
        <w:t>TYPE</w:t>
      </w:r>
      <w:r w:rsidRPr="00EA7458">
        <w:rPr>
          <w:rFonts w:ascii="Calibri" w:hAnsi="Calibri"/>
          <w:b/>
          <w:bCs/>
          <w:color w:val="295CA3"/>
          <w:w w:val="113"/>
          <w:sz w:val="36"/>
          <w:szCs w:val="36"/>
          <w:u w:val="single" w:color="231F20"/>
        </w:rPr>
        <w:t xml:space="preserve"> </w:t>
      </w:r>
      <w:r w:rsidRPr="00EA7458">
        <w:rPr>
          <w:rFonts w:ascii="Calibri" w:hAnsi="Calibri"/>
          <w:b/>
          <w:bCs/>
          <w:color w:val="295CA3"/>
          <w:sz w:val="36"/>
          <w:szCs w:val="36"/>
          <w:u w:val="single" w:color="231F20"/>
        </w:rPr>
        <w:tab/>
      </w:r>
      <w:r w:rsidRPr="00EA7458">
        <w:rPr>
          <w:rFonts w:ascii="Calibri" w:hAnsi="Calibri"/>
          <w:b/>
          <w:bCs/>
          <w:color w:val="295CA3"/>
          <w:w w:val="22"/>
          <w:sz w:val="36"/>
          <w:szCs w:val="36"/>
          <w:u w:val="single" w:color="231F20"/>
        </w:rPr>
        <w:t xml:space="preserve"> </w:t>
      </w:r>
    </w:p>
    <w:p w14:paraId="04B929E8" w14:textId="04CE221D" w:rsidR="00EA7458" w:rsidRPr="00EA7458" w:rsidRDefault="00EA7458" w:rsidP="00D63204">
      <w:pPr>
        <w:widowControl w:val="0"/>
        <w:spacing w:after="240" w:line="240" w:lineRule="auto"/>
        <w:ind w:left="90" w:right="90"/>
        <w:rPr>
          <w:rFonts w:ascii="Calibri" w:hAnsi="Calibri"/>
        </w:rPr>
      </w:pPr>
      <w:r w:rsidRPr="00EA7458">
        <w:rPr>
          <w:rFonts w:ascii="Calibri" w:hAnsi="Calibri"/>
        </w:rPr>
        <w:t xml:space="preserve">Florida is submitting </w:t>
      </w:r>
      <w:r w:rsidR="00CE4DF0">
        <w:rPr>
          <w:rFonts w:ascii="Calibri" w:hAnsi="Calibri"/>
        </w:rPr>
        <w:t xml:space="preserve">its </w:t>
      </w:r>
      <w:r w:rsidRPr="00EA7458">
        <w:rPr>
          <w:rFonts w:ascii="Calibri" w:hAnsi="Calibri"/>
        </w:rPr>
        <w:t>Unified State Plan</w:t>
      </w:r>
      <w:r w:rsidR="00CE4DF0">
        <w:rPr>
          <w:rFonts w:ascii="Calibri" w:hAnsi="Calibri"/>
        </w:rPr>
        <w:t xml:space="preserve"> Two-Year Modification</w:t>
      </w:r>
      <w:r w:rsidRPr="00EA7458">
        <w:rPr>
          <w:rFonts w:ascii="Calibri" w:hAnsi="Calibri"/>
        </w:rPr>
        <w:t xml:space="preserve"> which includes the following required programs:</w:t>
      </w:r>
    </w:p>
    <w:p w14:paraId="6BA24B5B" w14:textId="72988D69" w:rsidR="00C07650" w:rsidRPr="00C07650" w:rsidRDefault="00EA7458" w:rsidP="00D63204">
      <w:pPr>
        <w:widowControl w:val="0"/>
        <w:numPr>
          <w:ilvl w:val="0"/>
          <w:numId w:val="10"/>
        </w:numPr>
        <w:spacing w:before="240" w:after="0" w:line="240" w:lineRule="auto"/>
        <w:ind w:right="90"/>
        <w:rPr>
          <w:rFonts w:ascii="Calibri" w:hAnsi="Calibri"/>
        </w:rPr>
      </w:pPr>
      <w:r w:rsidRPr="00C07650">
        <w:rPr>
          <w:rFonts w:ascii="Calibri" w:hAnsi="Calibri"/>
        </w:rPr>
        <w:t>Adult Progra</w:t>
      </w:r>
      <w:r w:rsidRPr="00EA7458">
        <w:rPr>
          <w:rFonts w:ascii="Calibri" w:hAnsi="Calibri"/>
        </w:rPr>
        <w:t>m</w:t>
      </w:r>
    </w:p>
    <w:p w14:paraId="13094341" w14:textId="7B2AB414" w:rsidR="00C07650" w:rsidRPr="00C07650" w:rsidRDefault="00EA7458" w:rsidP="00D63204">
      <w:pPr>
        <w:widowControl w:val="0"/>
        <w:numPr>
          <w:ilvl w:val="0"/>
          <w:numId w:val="10"/>
        </w:numPr>
        <w:spacing w:before="240" w:after="0" w:line="240" w:lineRule="auto"/>
        <w:ind w:right="90"/>
        <w:rPr>
          <w:rFonts w:ascii="Calibri" w:hAnsi="Calibri"/>
        </w:rPr>
      </w:pPr>
      <w:r w:rsidRPr="00C07650">
        <w:rPr>
          <w:rFonts w:ascii="Calibri" w:hAnsi="Calibri"/>
        </w:rPr>
        <w:t>Dislocated Worker Progra</w:t>
      </w:r>
      <w:r w:rsidRPr="00EA7458">
        <w:rPr>
          <w:rFonts w:ascii="Calibri" w:hAnsi="Calibri"/>
        </w:rPr>
        <w:t>m</w:t>
      </w:r>
    </w:p>
    <w:p w14:paraId="0F66C9C2" w14:textId="77777777" w:rsidR="00EA7458" w:rsidRPr="00EA7458" w:rsidRDefault="00EA7458" w:rsidP="00D63204">
      <w:pPr>
        <w:widowControl w:val="0"/>
        <w:numPr>
          <w:ilvl w:val="0"/>
          <w:numId w:val="10"/>
        </w:numPr>
        <w:spacing w:before="240" w:after="0" w:line="240" w:lineRule="auto"/>
        <w:ind w:right="90"/>
        <w:rPr>
          <w:rFonts w:ascii="Calibri" w:hAnsi="Calibri"/>
        </w:rPr>
      </w:pPr>
      <w:r w:rsidRPr="00EA7458">
        <w:rPr>
          <w:rFonts w:ascii="Calibri" w:hAnsi="Calibri"/>
        </w:rPr>
        <w:t>Youth Program</w:t>
      </w:r>
    </w:p>
    <w:p w14:paraId="7556CF38" w14:textId="77777777" w:rsidR="00EA7458" w:rsidRPr="00EA7458" w:rsidRDefault="00EA7458" w:rsidP="00D63204">
      <w:pPr>
        <w:widowControl w:val="0"/>
        <w:numPr>
          <w:ilvl w:val="0"/>
          <w:numId w:val="10"/>
        </w:numPr>
        <w:spacing w:before="240" w:after="0" w:line="240" w:lineRule="auto"/>
        <w:ind w:right="90"/>
        <w:rPr>
          <w:rFonts w:ascii="Calibri" w:hAnsi="Calibri"/>
        </w:rPr>
      </w:pPr>
      <w:r w:rsidRPr="00EA7458">
        <w:rPr>
          <w:rFonts w:ascii="Calibri" w:hAnsi="Calibri"/>
        </w:rPr>
        <w:t>Adult Education and Family Literacy Act</w:t>
      </w:r>
    </w:p>
    <w:p w14:paraId="1E589CF1" w14:textId="77777777" w:rsidR="00EA7458" w:rsidRPr="00EA7458" w:rsidRDefault="00EA7458" w:rsidP="00D63204">
      <w:pPr>
        <w:widowControl w:val="0"/>
        <w:numPr>
          <w:ilvl w:val="0"/>
          <w:numId w:val="10"/>
        </w:numPr>
        <w:spacing w:before="240" w:after="0" w:line="240" w:lineRule="auto"/>
        <w:ind w:right="90"/>
        <w:rPr>
          <w:rFonts w:ascii="Calibri" w:hAnsi="Calibri"/>
        </w:rPr>
      </w:pPr>
      <w:r w:rsidRPr="00EA7458">
        <w:rPr>
          <w:rFonts w:ascii="Calibri" w:hAnsi="Calibri"/>
        </w:rPr>
        <w:t>Wagner-Peyser Act</w:t>
      </w:r>
    </w:p>
    <w:p w14:paraId="48899E4B" w14:textId="77777777" w:rsidR="00EA7458" w:rsidRPr="00EA7458" w:rsidRDefault="00EA7458" w:rsidP="00D63204">
      <w:pPr>
        <w:widowControl w:val="0"/>
        <w:numPr>
          <w:ilvl w:val="0"/>
          <w:numId w:val="10"/>
        </w:numPr>
        <w:spacing w:before="240" w:after="0" w:line="240" w:lineRule="auto"/>
        <w:ind w:right="90"/>
        <w:rPr>
          <w:rFonts w:ascii="Calibri" w:hAnsi="Calibri"/>
        </w:rPr>
      </w:pPr>
      <w:r w:rsidRPr="00EA7458">
        <w:rPr>
          <w:rFonts w:ascii="Calibri" w:hAnsi="Calibri"/>
        </w:rPr>
        <w:t>Vocational Rehabilitation Program, including Blind Services Program</w:t>
      </w:r>
    </w:p>
    <w:p w14:paraId="786E89D2" w14:textId="4805669D" w:rsidR="00CE4DF0" w:rsidRDefault="00105C9D" w:rsidP="00D63204">
      <w:pPr>
        <w:spacing w:line="240" w:lineRule="auto"/>
      </w:pPr>
      <w:r>
        <w:br/>
      </w:r>
      <w:r w:rsidR="00CE4DF0">
        <w:t xml:space="preserve">A </w:t>
      </w:r>
      <w:r>
        <w:t>u</w:t>
      </w:r>
      <w:r w:rsidR="00CE4DF0">
        <w:t>nified plan approach was selected for the first plan submitted under WIOA. This plan includes required core partners: CareerSource Florida, the Department of Economic Opportunity</w:t>
      </w:r>
      <w:r w:rsidR="00742361">
        <w:t xml:space="preserve"> and</w:t>
      </w:r>
      <w:r w:rsidR="00CE4DF0">
        <w:t xml:space="preserve"> the Department of Education</w:t>
      </w:r>
      <w:r w:rsidR="00742361">
        <w:t>’s Divisions of</w:t>
      </w:r>
      <w:r w:rsidR="00CE4DF0">
        <w:t xml:space="preserve"> Vocational Rehabilitation, Blind Services</w:t>
      </w:r>
      <w:r w:rsidR="00D5537E">
        <w:t xml:space="preserve"> and</w:t>
      </w:r>
      <w:r w:rsidR="00CE4DF0">
        <w:t xml:space="preserve"> Career and Adult Education. </w:t>
      </w:r>
    </w:p>
    <w:p w14:paraId="3330A5FB" w14:textId="6088BB1A" w:rsidR="00DC343A" w:rsidRDefault="00CD1C1C" w:rsidP="00D63204">
      <w:pPr>
        <w:spacing w:line="240" w:lineRule="auto"/>
      </w:pPr>
      <w:r w:rsidRPr="00CD1C1C">
        <w:t>Florida built on the collaboration established through its WIOA Task Force and smaller workgroups by involving other programs and organizations as needed in workforce system updates</w:t>
      </w:r>
      <w:r w:rsidR="00D5537E">
        <w:t xml:space="preserve"> and</w:t>
      </w:r>
      <w:r w:rsidRPr="00CD1C1C">
        <w:t xml:space="preserve"> by identifying opportunities for partnerships. This has allowed Florida to be deliberate and thorough in its strategic planning efforts across programs.</w:t>
      </w:r>
    </w:p>
    <w:p w14:paraId="787EB314" w14:textId="2330BC8F" w:rsidR="00DC343A" w:rsidRDefault="00DC343A"/>
    <w:p w14:paraId="1B3AC5CC" w14:textId="77777777" w:rsidR="00002D76" w:rsidRPr="00EA7458" w:rsidRDefault="00002D76" w:rsidP="00664EFD">
      <w:pPr>
        <w:widowControl w:val="0"/>
        <w:numPr>
          <w:ilvl w:val="0"/>
          <w:numId w:val="8"/>
        </w:numPr>
        <w:tabs>
          <w:tab w:val="left" w:pos="508"/>
          <w:tab w:val="left" w:pos="10331"/>
        </w:tabs>
        <w:spacing w:before="30" w:after="0" w:line="240" w:lineRule="auto"/>
        <w:ind w:left="507" w:hanging="385"/>
        <w:outlineLvl w:val="0"/>
        <w:rPr>
          <w:rFonts w:ascii="Calibri" w:hAnsi="Calibri"/>
          <w:sz w:val="36"/>
          <w:szCs w:val="36"/>
        </w:rPr>
      </w:pPr>
      <w:bookmarkStart w:id="9" w:name="II._Strategic_Elements"/>
      <w:bookmarkStart w:id="10" w:name="(a)_Economic,_Workforce,_and_Workforce_D"/>
      <w:bookmarkStart w:id="11" w:name="_bookmark4"/>
      <w:bookmarkEnd w:id="9"/>
      <w:bookmarkEnd w:id="10"/>
      <w:bookmarkEnd w:id="11"/>
      <w:r w:rsidRPr="00EA7458">
        <w:rPr>
          <w:rFonts w:ascii="Calibri" w:hAnsi="Calibri"/>
          <w:b/>
          <w:bCs/>
          <w:color w:val="295CA3"/>
          <w:spacing w:val="-4"/>
          <w:w w:val="115"/>
          <w:sz w:val="36"/>
          <w:szCs w:val="36"/>
          <w:u w:val="single" w:color="231F20"/>
        </w:rPr>
        <w:t>STRATEGIC</w:t>
      </w:r>
      <w:r w:rsidRPr="00EA7458">
        <w:rPr>
          <w:rFonts w:ascii="Calibri" w:hAnsi="Calibri"/>
          <w:b/>
          <w:bCs/>
          <w:color w:val="295CA3"/>
          <w:spacing w:val="32"/>
          <w:w w:val="115"/>
          <w:sz w:val="36"/>
          <w:szCs w:val="36"/>
          <w:u w:val="single" w:color="231F20"/>
        </w:rPr>
        <w:t xml:space="preserve"> </w:t>
      </w:r>
      <w:r w:rsidRPr="00EA7458">
        <w:rPr>
          <w:rFonts w:ascii="Calibri" w:hAnsi="Calibri"/>
          <w:b/>
          <w:bCs/>
          <w:color w:val="295CA3"/>
          <w:w w:val="115"/>
          <w:sz w:val="36"/>
          <w:szCs w:val="36"/>
          <w:u w:val="single" w:color="231F20"/>
        </w:rPr>
        <w:t>ELEMENTS</w:t>
      </w:r>
      <w:r w:rsidRPr="00EA7458">
        <w:rPr>
          <w:rFonts w:ascii="Calibri" w:hAnsi="Calibri"/>
          <w:b/>
          <w:bCs/>
          <w:color w:val="295CA3"/>
          <w:w w:val="113"/>
          <w:sz w:val="36"/>
          <w:szCs w:val="36"/>
          <w:u w:val="single" w:color="231F20"/>
        </w:rPr>
        <w:t xml:space="preserve"> </w:t>
      </w:r>
      <w:r w:rsidRPr="00EA7458">
        <w:rPr>
          <w:rFonts w:ascii="Calibri" w:hAnsi="Calibri"/>
          <w:b/>
          <w:bCs/>
          <w:color w:val="295CA3"/>
          <w:sz w:val="36"/>
          <w:szCs w:val="36"/>
          <w:u w:val="single" w:color="231F20"/>
        </w:rPr>
        <w:tab/>
      </w:r>
    </w:p>
    <w:p w14:paraId="38C2EF50" w14:textId="4B8EB9BA" w:rsidR="00002D76" w:rsidRPr="00EA7458" w:rsidRDefault="00002D76" w:rsidP="00664EFD">
      <w:pPr>
        <w:widowControl w:val="0"/>
        <w:numPr>
          <w:ilvl w:val="0"/>
          <w:numId w:val="7"/>
        </w:numPr>
        <w:tabs>
          <w:tab w:val="left" w:pos="828"/>
        </w:tabs>
        <w:spacing w:before="87" w:after="0" w:line="240" w:lineRule="auto"/>
        <w:outlineLvl w:val="1"/>
        <w:rPr>
          <w:rFonts w:ascii="Calibri" w:hAnsi="Calibri"/>
          <w:sz w:val="26"/>
          <w:szCs w:val="26"/>
        </w:rPr>
      </w:pPr>
      <w:r w:rsidRPr="00EA7458">
        <w:rPr>
          <w:rFonts w:ascii="Calibri" w:hAnsi="Calibri"/>
          <w:b/>
          <w:bCs/>
          <w:color w:val="295CA3"/>
          <w:w w:val="110"/>
          <w:sz w:val="26"/>
          <w:szCs w:val="26"/>
        </w:rPr>
        <w:t>Economic, Workforce</w:t>
      </w:r>
      <w:r w:rsidR="00D5537E">
        <w:rPr>
          <w:rFonts w:ascii="Calibri" w:hAnsi="Calibri"/>
          <w:b/>
          <w:bCs/>
          <w:color w:val="295CA3"/>
          <w:w w:val="110"/>
          <w:sz w:val="26"/>
          <w:szCs w:val="26"/>
        </w:rPr>
        <w:t xml:space="preserve"> and</w:t>
      </w:r>
      <w:r w:rsidRPr="00EA7458">
        <w:rPr>
          <w:rFonts w:ascii="Calibri" w:hAnsi="Calibri"/>
          <w:b/>
          <w:bCs/>
          <w:color w:val="295CA3"/>
          <w:w w:val="110"/>
          <w:sz w:val="26"/>
          <w:szCs w:val="26"/>
        </w:rPr>
        <w:t xml:space="preserve"> Workforce Development Activities</w:t>
      </w:r>
      <w:r w:rsidRPr="00EA7458">
        <w:rPr>
          <w:rFonts w:ascii="Calibri" w:hAnsi="Calibri"/>
          <w:b/>
          <w:bCs/>
          <w:color w:val="295CA3"/>
          <w:spacing w:val="-27"/>
          <w:w w:val="110"/>
          <w:sz w:val="26"/>
          <w:szCs w:val="26"/>
        </w:rPr>
        <w:t xml:space="preserve"> </w:t>
      </w:r>
      <w:r w:rsidRPr="00EA7458">
        <w:rPr>
          <w:rFonts w:ascii="Calibri" w:hAnsi="Calibri"/>
          <w:b/>
          <w:bCs/>
          <w:color w:val="295CA3"/>
          <w:w w:val="110"/>
          <w:sz w:val="26"/>
          <w:szCs w:val="26"/>
        </w:rPr>
        <w:t>Analysis</w:t>
      </w:r>
    </w:p>
    <w:p w14:paraId="29639F7D" w14:textId="77777777" w:rsidR="00002D76" w:rsidRPr="00EA7458" w:rsidRDefault="00002D76" w:rsidP="00664EFD">
      <w:pPr>
        <w:widowControl w:val="0"/>
        <w:numPr>
          <w:ilvl w:val="1"/>
          <w:numId w:val="7"/>
        </w:numPr>
        <w:tabs>
          <w:tab w:val="left" w:pos="1278"/>
        </w:tabs>
        <w:spacing w:before="165" w:after="0" w:line="240" w:lineRule="auto"/>
        <w:outlineLvl w:val="2"/>
        <w:rPr>
          <w:rFonts w:ascii="Calibri" w:hAnsi="Calibri"/>
        </w:rPr>
      </w:pPr>
      <w:r w:rsidRPr="00EA7458">
        <w:rPr>
          <w:rFonts w:ascii="Calibri" w:hAnsi="Calibri"/>
          <w:b/>
          <w:bCs/>
          <w:color w:val="295CA3"/>
          <w:w w:val="110"/>
        </w:rPr>
        <w:t>Economic and Workforce</w:t>
      </w:r>
      <w:r w:rsidRPr="00EA7458">
        <w:rPr>
          <w:rFonts w:ascii="Calibri" w:hAnsi="Calibri"/>
          <w:b/>
          <w:bCs/>
          <w:color w:val="295CA3"/>
          <w:spacing w:val="2"/>
          <w:w w:val="110"/>
        </w:rPr>
        <w:t xml:space="preserve"> </w:t>
      </w:r>
      <w:r w:rsidRPr="00EA7458">
        <w:rPr>
          <w:rFonts w:ascii="Calibri" w:hAnsi="Calibri"/>
          <w:b/>
          <w:bCs/>
          <w:color w:val="295CA3"/>
          <w:w w:val="110"/>
        </w:rPr>
        <w:t>Analysis</w:t>
      </w:r>
    </w:p>
    <w:p w14:paraId="6DEA4690" w14:textId="77777777" w:rsidR="00002D76" w:rsidRPr="00EA7458" w:rsidRDefault="00002D76" w:rsidP="00664EFD">
      <w:pPr>
        <w:widowControl w:val="0"/>
        <w:numPr>
          <w:ilvl w:val="2"/>
          <w:numId w:val="7"/>
        </w:numPr>
        <w:tabs>
          <w:tab w:val="left" w:pos="1998"/>
        </w:tabs>
        <w:spacing w:before="190" w:after="0" w:line="240" w:lineRule="auto"/>
        <w:rPr>
          <w:rFonts w:ascii="Calibri" w:hAnsi="Calibri" w:cs="Calibri"/>
        </w:rPr>
      </w:pPr>
      <w:r w:rsidRPr="00EA7458">
        <w:rPr>
          <w:rFonts w:ascii="Calibri" w:hAnsi="Calibri"/>
          <w:color w:val="295CA3"/>
          <w:w w:val="110"/>
        </w:rPr>
        <w:t>Economic</w:t>
      </w:r>
      <w:r w:rsidRPr="00EA7458">
        <w:rPr>
          <w:rFonts w:ascii="Calibri" w:hAnsi="Calibri"/>
          <w:color w:val="295CA3"/>
          <w:spacing w:val="1"/>
          <w:w w:val="110"/>
        </w:rPr>
        <w:t xml:space="preserve"> </w:t>
      </w:r>
      <w:r w:rsidRPr="00EA7458">
        <w:rPr>
          <w:rFonts w:ascii="Calibri" w:hAnsi="Calibri"/>
          <w:color w:val="295CA3"/>
          <w:w w:val="110"/>
        </w:rPr>
        <w:t>Analysis</w:t>
      </w:r>
    </w:p>
    <w:p w14:paraId="4FA1FF71" w14:textId="77777777" w:rsidR="00002D76" w:rsidRPr="00EA7458" w:rsidRDefault="00002D76" w:rsidP="00664EFD">
      <w:pPr>
        <w:widowControl w:val="0"/>
        <w:numPr>
          <w:ilvl w:val="3"/>
          <w:numId w:val="7"/>
        </w:numPr>
        <w:tabs>
          <w:tab w:val="left" w:pos="3132"/>
        </w:tabs>
        <w:spacing w:before="195" w:after="0" w:line="240" w:lineRule="auto"/>
        <w:rPr>
          <w:rFonts w:ascii="Calibri" w:hAnsi="Calibri" w:cs="Calibri"/>
        </w:rPr>
      </w:pPr>
      <w:r w:rsidRPr="00EA7458">
        <w:rPr>
          <w:rFonts w:ascii="Calibri" w:hAnsi="Calibri"/>
          <w:color w:val="295CA3"/>
          <w:w w:val="110"/>
        </w:rPr>
        <w:t>Existing Demand Industry Sectors and</w:t>
      </w:r>
      <w:r w:rsidRPr="00EA7458">
        <w:rPr>
          <w:rFonts w:ascii="Calibri" w:hAnsi="Calibri"/>
          <w:color w:val="295CA3"/>
          <w:spacing w:val="2"/>
          <w:w w:val="110"/>
        </w:rPr>
        <w:t xml:space="preserve"> </w:t>
      </w:r>
      <w:r w:rsidRPr="00EA7458">
        <w:rPr>
          <w:rFonts w:ascii="Calibri" w:hAnsi="Calibri"/>
          <w:color w:val="295CA3"/>
          <w:w w:val="110"/>
        </w:rPr>
        <w:t>Occupations</w:t>
      </w:r>
    </w:p>
    <w:p w14:paraId="6EDD0A5F" w14:textId="77777777" w:rsidR="00C07650" w:rsidRDefault="00002D76" w:rsidP="00D63204">
      <w:pPr>
        <w:widowControl w:val="0"/>
        <w:spacing w:before="195" w:after="0" w:line="266" w:lineRule="exact"/>
        <w:ind w:left="107"/>
        <w:outlineLvl w:val="2"/>
        <w:rPr>
          <w:rFonts w:ascii="Calibri" w:hAnsi="Calibri"/>
          <w:b/>
          <w:bCs/>
          <w:color w:val="231F20"/>
          <w:w w:val="110"/>
        </w:rPr>
      </w:pPr>
      <w:r w:rsidRPr="00EA7458">
        <w:rPr>
          <w:rFonts w:ascii="Calibri" w:hAnsi="Calibri"/>
          <w:b/>
          <w:bCs/>
          <w:color w:val="231F20"/>
          <w:w w:val="110"/>
        </w:rPr>
        <w:t>Existing Demand Industry</w:t>
      </w:r>
      <w:r w:rsidRPr="00EA7458">
        <w:rPr>
          <w:rFonts w:ascii="Calibri" w:hAnsi="Calibri"/>
          <w:b/>
          <w:bCs/>
          <w:color w:val="231F20"/>
          <w:spacing w:val="1"/>
          <w:w w:val="110"/>
        </w:rPr>
        <w:t xml:space="preserve"> </w:t>
      </w:r>
      <w:r w:rsidRPr="00EA7458">
        <w:rPr>
          <w:rFonts w:ascii="Calibri" w:hAnsi="Calibri"/>
          <w:b/>
          <w:bCs/>
          <w:color w:val="231F20"/>
          <w:w w:val="110"/>
        </w:rPr>
        <w:t>Sectors</w:t>
      </w:r>
    </w:p>
    <w:p w14:paraId="431EC4BD" w14:textId="3D7800B1" w:rsidR="00002D76" w:rsidRPr="00734283" w:rsidRDefault="00002D76" w:rsidP="00D63204">
      <w:pPr>
        <w:widowControl w:val="0"/>
        <w:spacing w:before="195" w:after="0" w:line="240" w:lineRule="auto"/>
        <w:ind w:left="107"/>
        <w:outlineLvl w:val="2"/>
        <w:rPr>
          <w:color w:val="231F20"/>
          <w:spacing w:val="-3"/>
          <w:w w:val="110"/>
        </w:rPr>
      </w:pPr>
      <w:bookmarkStart w:id="12" w:name="_Hlk504136799"/>
      <w:r w:rsidRPr="00734283">
        <w:rPr>
          <w:color w:val="231F20"/>
          <w:spacing w:val="-3"/>
          <w:w w:val="110"/>
        </w:rPr>
        <w:t>As of November 2017, industries with the most demand were all services-producing industries with trade, transportation and utilities generating the most demand (1,767,600 jobs), followed by professional and business services (1,342,800 jobs), education and health services (1,276,900 jobs)</w:t>
      </w:r>
      <w:r w:rsidR="00D5537E">
        <w:rPr>
          <w:color w:val="231F20"/>
          <w:spacing w:val="-3"/>
          <w:w w:val="110"/>
        </w:rPr>
        <w:t xml:space="preserve"> and</w:t>
      </w:r>
      <w:r w:rsidRPr="00734283">
        <w:rPr>
          <w:color w:val="231F20"/>
          <w:spacing w:val="-3"/>
          <w:w w:val="110"/>
        </w:rPr>
        <w:t xml:space="preserve"> leisure and hospitality (1,197,700 jobs). Construction (+8.7 percent) and manufacturing (+3.9 percent) were the fastest growing major industries over the year. </w:t>
      </w:r>
    </w:p>
    <w:p w14:paraId="46549479" w14:textId="3FBF6443" w:rsidR="00BF4AD0" w:rsidRPr="00734283" w:rsidRDefault="00002D76" w:rsidP="00D63204">
      <w:pPr>
        <w:spacing w:before="195" w:line="240" w:lineRule="auto"/>
        <w:ind w:left="107"/>
        <w:rPr>
          <w:color w:val="231F20"/>
          <w:spacing w:val="-3"/>
          <w:w w:val="110"/>
        </w:rPr>
      </w:pPr>
      <w:r w:rsidRPr="00734283">
        <w:rPr>
          <w:color w:val="231F20"/>
          <w:spacing w:val="-3"/>
          <w:w w:val="110"/>
        </w:rPr>
        <w:t xml:space="preserve">As of November 2017, the national annual growth rates (seasonally adjusted) in construction (+2.8 percent), manufacturing (+1.5 percent), trade, transportation and utilities (+0.4 percent), </w:t>
      </w:r>
      <w:r w:rsidR="00492CAC">
        <w:rPr>
          <w:color w:val="231F20"/>
          <w:spacing w:val="-3"/>
          <w:w w:val="110"/>
        </w:rPr>
        <w:t>i</w:t>
      </w:r>
      <w:r w:rsidRPr="00734283">
        <w:rPr>
          <w:color w:val="231F20"/>
          <w:spacing w:val="-3"/>
          <w:w w:val="110"/>
        </w:rPr>
        <w:t xml:space="preserve">nformation (-1.9 percent), </w:t>
      </w:r>
      <w:r w:rsidRPr="00734283">
        <w:rPr>
          <w:color w:val="231F20"/>
          <w:spacing w:val="-3"/>
          <w:w w:val="110"/>
        </w:rPr>
        <w:lastRenderedPageBreak/>
        <w:t>financial activities (+1.8 percent), professional and business services (+2.7 percent), other services (+1.4 percent)</w:t>
      </w:r>
      <w:r w:rsidR="00D5537E">
        <w:rPr>
          <w:color w:val="231F20"/>
          <w:spacing w:val="-3"/>
          <w:w w:val="110"/>
        </w:rPr>
        <w:t xml:space="preserve"> and</w:t>
      </w:r>
      <w:r w:rsidRPr="00734283">
        <w:rPr>
          <w:color w:val="231F20"/>
          <w:spacing w:val="-3"/>
          <w:w w:val="110"/>
        </w:rPr>
        <w:t xml:space="preserve"> government (+0.2 percent) were less than the expansion rates for Florida.</w:t>
      </w:r>
    </w:p>
    <w:p w14:paraId="3BF19ABE" w14:textId="586BACD7" w:rsidR="006F37A1" w:rsidRDefault="00002D76" w:rsidP="00D63204">
      <w:pPr>
        <w:spacing w:before="195" w:line="240" w:lineRule="auto"/>
        <w:ind w:left="107"/>
        <w:rPr>
          <w:color w:val="231F20"/>
          <w:spacing w:val="-3"/>
          <w:w w:val="110"/>
        </w:rPr>
      </w:pPr>
      <w:r w:rsidRPr="00734283">
        <w:rPr>
          <w:color w:val="231F20"/>
          <w:spacing w:val="-3"/>
          <w:w w:val="110"/>
        </w:rPr>
        <w:t>In November 2017, Florida (+2.3 percent) had the second</w:t>
      </w:r>
      <w:r w:rsidR="003C116C">
        <w:rPr>
          <w:color w:val="231F20"/>
          <w:spacing w:val="-3"/>
          <w:w w:val="110"/>
        </w:rPr>
        <w:t xml:space="preserve"> </w:t>
      </w:r>
      <w:r w:rsidRPr="00734283">
        <w:rPr>
          <w:color w:val="231F20"/>
          <w:spacing w:val="-3"/>
          <w:w w:val="110"/>
        </w:rPr>
        <w:t xml:space="preserve">strongest over-the-year growth rate in total nonagricultural employment among the </w:t>
      </w:r>
      <w:r w:rsidR="003C116C">
        <w:rPr>
          <w:color w:val="231F20"/>
          <w:spacing w:val="-3"/>
          <w:w w:val="110"/>
        </w:rPr>
        <w:t>10</w:t>
      </w:r>
      <w:r w:rsidRPr="00734283">
        <w:rPr>
          <w:color w:val="231F20"/>
          <w:spacing w:val="-3"/>
          <w:w w:val="110"/>
        </w:rPr>
        <w:t xml:space="preserve"> most populous states, behind Texas (+2.7 percent). Among all states, Florida ranked fourth in over-the-year growth rate</w:t>
      </w:r>
      <w:r w:rsidR="005E7C49">
        <w:rPr>
          <w:color w:val="231F20"/>
          <w:spacing w:val="-3"/>
          <w:w w:val="110"/>
        </w:rPr>
        <w:t xml:space="preserve">. </w:t>
      </w:r>
    </w:p>
    <w:p w14:paraId="6302B437" w14:textId="77777777" w:rsidR="006F37A1" w:rsidRDefault="006F37A1">
      <w:pPr>
        <w:rPr>
          <w:color w:val="231F20"/>
          <w:spacing w:val="-3"/>
          <w:w w:val="110"/>
        </w:rPr>
      </w:pPr>
      <w:r>
        <w:rPr>
          <w:color w:val="231F20"/>
          <w:spacing w:val="-3"/>
          <w:w w:val="110"/>
        </w:rPr>
        <w:br w:type="page"/>
      </w:r>
    </w:p>
    <w:p w14:paraId="6A697CCC" w14:textId="77777777" w:rsidR="00002D76" w:rsidRPr="00734283" w:rsidRDefault="00002D76" w:rsidP="00D63204">
      <w:pPr>
        <w:spacing w:before="195" w:line="240" w:lineRule="auto"/>
        <w:ind w:left="107"/>
        <w:rPr>
          <w:color w:val="231F20"/>
          <w:spacing w:val="-3"/>
          <w:w w:val="110"/>
        </w:rPr>
      </w:pPr>
    </w:p>
    <w:p w14:paraId="37A7ECB2" w14:textId="29281346" w:rsidR="00002D76" w:rsidRPr="00E356B4" w:rsidRDefault="006F37A1" w:rsidP="00D63204">
      <w:pPr>
        <w:widowControl w:val="0"/>
        <w:spacing w:before="57" w:after="0" w:line="266" w:lineRule="exact"/>
        <w:ind w:left="468" w:right="468"/>
        <w:outlineLvl w:val="2"/>
        <w:rPr>
          <w:rFonts w:ascii="Calibri" w:hAnsi="Calibri"/>
        </w:rPr>
      </w:pPr>
      <w:bookmarkStart w:id="13" w:name="_bookmark5"/>
      <w:bookmarkEnd w:id="12"/>
      <w:bookmarkEnd w:id="13"/>
      <w:r>
        <w:rPr>
          <w:rFonts w:ascii="Calibri" w:hAnsi="Calibri"/>
          <w:b/>
          <w:bCs/>
          <w:w w:val="110"/>
        </w:rPr>
        <w:t>F</w:t>
      </w:r>
      <w:r w:rsidR="00002D76" w:rsidRPr="00E356B4">
        <w:rPr>
          <w:rFonts w:ascii="Calibri" w:hAnsi="Calibri"/>
          <w:b/>
          <w:bCs/>
          <w:w w:val="110"/>
        </w:rPr>
        <w:t>igure</w:t>
      </w:r>
      <w:r w:rsidR="00002D76" w:rsidRPr="00E356B4">
        <w:rPr>
          <w:rFonts w:ascii="Calibri" w:hAnsi="Calibri"/>
          <w:b/>
          <w:bCs/>
          <w:spacing w:val="-7"/>
          <w:w w:val="110"/>
        </w:rPr>
        <w:t xml:space="preserve"> </w:t>
      </w:r>
      <w:r w:rsidR="00002D76" w:rsidRPr="00E356B4">
        <w:rPr>
          <w:rFonts w:ascii="Calibri" w:hAnsi="Calibri"/>
          <w:b/>
          <w:bCs/>
          <w:w w:val="110"/>
        </w:rPr>
        <w:t>2.01</w:t>
      </w:r>
    </w:p>
    <w:p w14:paraId="403045A6" w14:textId="77777777" w:rsidR="00002D76" w:rsidRPr="00E356B4" w:rsidRDefault="00002D76" w:rsidP="00D63204">
      <w:pPr>
        <w:widowControl w:val="0"/>
        <w:spacing w:after="0" w:line="266" w:lineRule="exact"/>
        <w:ind w:left="468" w:right="468"/>
        <w:rPr>
          <w:rFonts w:ascii="Calibri" w:hAnsi="Calibri" w:cs="Calibri"/>
        </w:rPr>
      </w:pPr>
      <w:r w:rsidRPr="00E356B4">
        <w:rPr>
          <w:rFonts w:ascii="Calibri" w:hAnsi="Calibri"/>
          <w:b/>
          <w:color w:val="231F20"/>
          <w:w w:val="110"/>
        </w:rPr>
        <w:t>Nonagricultural</w:t>
      </w:r>
      <w:r w:rsidRPr="00E356B4">
        <w:rPr>
          <w:rFonts w:ascii="Calibri" w:hAnsi="Calibri"/>
          <w:b/>
          <w:color w:val="231F20"/>
          <w:spacing w:val="-14"/>
          <w:w w:val="110"/>
        </w:rPr>
        <w:t xml:space="preserve"> </w:t>
      </w:r>
      <w:r w:rsidRPr="00E356B4">
        <w:rPr>
          <w:rFonts w:ascii="Calibri" w:hAnsi="Calibri"/>
          <w:b/>
          <w:color w:val="231F20"/>
          <w:w w:val="110"/>
        </w:rPr>
        <w:t>Employment</w:t>
      </w:r>
      <w:r w:rsidRPr="00E356B4">
        <w:rPr>
          <w:rFonts w:ascii="Calibri" w:hAnsi="Calibri"/>
          <w:b/>
          <w:color w:val="231F20"/>
          <w:spacing w:val="-14"/>
          <w:w w:val="110"/>
        </w:rPr>
        <w:t xml:space="preserve"> </w:t>
      </w:r>
      <w:r w:rsidRPr="00E356B4">
        <w:rPr>
          <w:rFonts w:ascii="Calibri" w:hAnsi="Calibri"/>
          <w:b/>
          <w:color w:val="231F20"/>
          <w:w w:val="110"/>
        </w:rPr>
        <w:t>in</w:t>
      </w:r>
      <w:r w:rsidRPr="00E356B4">
        <w:rPr>
          <w:rFonts w:ascii="Calibri" w:hAnsi="Calibri"/>
          <w:b/>
          <w:color w:val="231F20"/>
          <w:spacing w:val="-14"/>
          <w:w w:val="110"/>
        </w:rPr>
        <w:t xml:space="preserve"> </w:t>
      </w:r>
      <w:r w:rsidRPr="00E356B4">
        <w:rPr>
          <w:rFonts w:ascii="Calibri" w:hAnsi="Calibri"/>
          <w:b/>
          <w:color w:val="231F20"/>
          <w:w w:val="110"/>
        </w:rPr>
        <w:t>Florida,</w:t>
      </w:r>
      <w:r w:rsidRPr="00E356B4">
        <w:rPr>
          <w:rFonts w:ascii="Calibri" w:hAnsi="Calibri"/>
          <w:b/>
          <w:color w:val="231F20"/>
          <w:spacing w:val="-14"/>
          <w:w w:val="110"/>
        </w:rPr>
        <w:t xml:space="preserve"> </w:t>
      </w:r>
      <w:r w:rsidRPr="00E356B4">
        <w:rPr>
          <w:rFonts w:ascii="Calibri" w:hAnsi="Calibri"/>
          <w:b/>
          <w:color w:val="231F20"/>
          <w:w w:val="110"/>
        </w:rPr>
        <w:t>Seasonally</w:t>
      </w:r>
      <w:r w:rsidRPr="00E356B4">
        <w:rPr>
          <w:rFonts w:ascii="Calibri" w:hAnsi="Calibri"/>
          <w:b/>
          <w:color w:val="231F20"/>
          <w:spacing w:val="-14"/>
          <w:w w:val="110"/>
        </w:rPr>
        <w:t xml:space="preserve"> </w:t>
      </w:r>
      <w:r w:rsidRPr="00E356B4">
        <w:rPr>
          <w:rFonts w:ascii="Calibri" w:hAnsi="Calibri"/>
          <w:b/>
          <w:color w:val="231F20"/>
          <w:w w:val="110"/>
        </w:rPr>
        <w:t>Adjusted</w:t>
      </w:r>
    </w:p>
    <w:p w14:paraId="16ECDB1B" w14:textId="77777777" w:rsidR="00002D76" w:rsidRPr="00E356B4" w:rsidRDefault="00002D76" w:rsidP="00002D76">
      <w:pPr>
        <w:widowControl w:val="0"/>
        <w:spacing w:before="1" w:after="0" w:line="240" w:lineRule="auto"/>
        <w:rPr>
          <w:rFonts w:ascii="Calibri" w:hAnsi="Calibri" w:cs="Calibri"/>
          <w:b/>
          <w:bCs/>
          <w:sz w:val="18"/>
          <w:szCs w:val="18"/>
        </w:rPr>
      </w:pPr>
    </w:p>
    <w:tbl>
      <w:tblPr>
        <w:tblStyle w:val="PlainTable1"/>
        <w:tblW w:w="10612" w:type="dxa"/>
        <w:tblLook w:val="04A0" w:firstRow="1" w:lastRow="0" w:firstColumn="1" w:lastColumn="0" w:noHBand="0" w:noVBand="1"/>
      </w:tblPr>
      <w:tblGrid>
        <w:gridCol w:w="3330"/>
        <w:gridCol w:w="1170"/>
        <w:gridCol w:w="1170"/>
        <w:gridCol w:w="1170"/>
        <w:gridCol w:w="985"/>
        <w:gridCol w:w="899"/>
        <w:gridCol w:w="927"/>
        <w:gridCol w:w="961"/>
      </w:tblGrid>
      <w:tr w:rsidR="001774A7" w:rsidRPr="008D0BDE" w14:paraId="21939F02" w14:textId="77777777" w:rsidTr="001961CC">
        <w:trPr>
          <w:cnfStyle w:val="100000000000" w:firstRow="1" w:lastRow="0" w:firstColumn="0" w:lastColumn="0" w:oddVBand="0" w:evenVBand="0" w:oddHBand="0" w:evenHBand="0" w:firstRowFirstColumn="0" w:firstRowLastColumn="0" w:lastRowFirstColumn="0" w:lastRowLastColumn="0"/>
          <w:trHeight w:val="294"/>
        </w:trPr>
        <w:tc>
          <w:tcPr>
            <w:cnfStyle w:val="001000000000" w:firstRow="0" w:lastRow="0" w:firstColumn="1" w:lastColumn="0" w:oddVBand="0" w:evenVBand="0" w:oddHBand="0" w:evenHBand="0" w:firstRowFirstColumn="0" w:firstRowLastColumn="0" w:lastRowFirstColumn="0" w:lastRowLastColumn="0"/>
            <w:tcW w:w="3330" w:type="dxa"/>
            <w:vAlign w:val="center"/>
            <w:hideMark/>
          </w:tcPr>
          <w:p w14:paraId="179E6092" w14:textId="77777777" w:rsidR="001774A7" w:rsidRPr="00CF3FD3" w:rsidRDefault="001774A7" w:rsidP="00B60A91">
            <w:pPr>
              <w:ind w:firstLineChars="100" w:firstLine="161"/>
              <w:rPr>
                <w:rFonts w:ascii="Calibri" w:hAnsi="Calibri" w:cs="Arial"/>
                <w:bCs w:val="0"/>
                <w:color w:val="231F20"/>
                <w:sz w:val="16"/>
                <w:szCs w:val="16"/>
              </w:rPr>
            </w:pPr>
            <w:r w:rsidRPr="00CF3FD3">
              <w:rPr>
                <w:rFonts w:ascii="Calibri" w:hAnsi="Calibri" w:cs="Arial"/>
                <w:color w:val="231F20"/>
                <w:sz w:val="16"/>
                <w:szCs w:val="16"/>
              </w:rPr>
              <w:t>Industry Title</w:t>
            </w:r>
          </w:p>
        </w:tc>
        <w:tc>
          <w:tcPr>
            <w:tcW w:w="1170" w:type="dxa"/>
            <w:vAlign w:val="center"/>
            <w:hideMark/>
          </w:tcPr>
          <w:p w14:paraId="31EB78A3" w14:textId="5EA9E36C" w:rsidR="001774A7" w:rsidRPr="008D0BDE" w:rsidRDefault="001774A7" w:rsidP="00D63204">
            <w:pPr>
              <w:cnfStyle w:val="100000000000" w:firstRow="1" w:lastRow="0" w:firstColumn="0" w:lastColumn="0" w:oddVBand="0" w:evenVBand="0" w:oddHBand="0" w:evenHBand="0" w:firstRowFirstColumn="0" w:firstRowLastColumn="0" w:lastRowFirstColumn="0" w:lastRowLastColumn="0"/>
              <w:rPr>
                <w:rFonts w:ascii="Calibri" w:hAnsi="Calibri" w:cs="Arial"/>
                <w:bCs w:val="0"/>
                <w:sz w:val="19"/>
                <w:szCs w:val="19"/>
              </w:rPr>
            </w:pPr>
            <w:r w:rsidRPr="008D0BDE">
              <w:rPr>
                <w:rFonts w:ascii="Calibri" w:hAnsi="Calibri" w:cs="Arial"/>
                <w:color w:val="231F20"/>
                <w:sz w:val="16"/>
                <w:szCs w:val="16"/>
              </w:rPr>
              <w:t>November 2017</w:t>
            </w:r>
          </w:p>
        </w:tc>
        <w:tc>
          <w:tcPr>
            <w:tcW w:w="1170" w:type="dxa"/>
            <w:vAlign w:val="center"/>
            <w:hideMark/>
          </w:tcPr>
          <w:p w14:paraId="78FA87A2" w14:textId="58545EBE" w:rsidR="001774A7" w:rsidRPr="008D0BDE" w:rsidRDefault="001774A7" w:rsidP="00D63204">
            <w:pPr>
              <w:cnfStyle w:val="100000000000" w:firstRow="1" w:lastRow="0" w:firstColumn="0" w:lastColumn="0" w:oddVBand="0" w:evenVBand="0" w:oddHBand="0" w:evenHBand="0" w:firstRowFirstColumn="0" w:firstRowLastColumn="0" w:lastRowFirstColumn="0" w:lastRowLastColumn="0"/>
              <w:rPr>
                <w:rFonts w:ascii="Calibri" w:hAnsi="Calibri" w:cs="Arial"/>
                <w:bCs w:val="0"/>
                <w:color w:val="231F20"/>
                <w:sz w:val="16"/>
                <w:szCs w:val="16"/>
              </w:rPr>
            </w:pPr>
            <w:r w:rsidRPr="008D0BDE">
              <w:rPr>
                <w:rFonts w:ascii="Calibri" w:hAnsi="Calibri" w:cs="Arial"/>
                <w:color w:val="231F20"/>
                <w:sz w:val="16"/>
                <w:szCs w:val="16"/>
              </w:rPr>
              <w:t>October</w:t>
            </w:r>
          </w:p>
          <w:p w14:paraId="317FD683" w14:textId="69C9ACE4" w:rsidR="001774A7" w:rsidRPr="008D0BDE" w:rsidRDefault="001774A7" w:rsidP="00D63204">
            <w:pPr>
              <w:cnfStyle w:val="100000000000" w:firstRow="1" w:lastRow="0" w:firstColumn="0" w:lastColumn="0" w:oddVBand="0" w:evenVBand="0" w:oddHBand="0" w:evenHBand="0" w:firstRowFirstColumn="0" w:firstRowLastColumn="0" w:lastRowFirstColumn="0" w:lastRowLastColumn="0"/>
              <w:rPr>
                <w:rFonts w:ascii="Calibri" w:hAnsi="Calibri" w:cs="Arial"/>
                <w:bCs w:val="0"/>
                <w:sz w:val="19"/>
                <w:szCs w:val="19"/>
              </w:rPr>
            </w:pPr>
            <w:r w:rsidRPr="008D0BDE">
              <w:rPr>
                <w:rFonts w:ascii="Calibri" w:hAnsi="Calibri" w:cs="Arial"/>
                <w:color w:val="231F20"/>
                <w:sz w:val="16"/>
                <w:szCs w:val="16"/>
              </w:rPr>
              <w:t>2017</w:t>
            </w:r>
          </w:p>
        </w:tc>
        <w:tc>
          <w:tcPr>
            <w:tcW w:w="1170" w:type="dxa"/>
            <w:vAlign w:val="center"/>
            <w:hideMark/>
          </w:tcPr>
          <w:p w14:paraId="10553C81" w14:textId="516D5102" w:rsidR="001774A7" w:rsidRPr="008D0BDE" w:rsidRDefault="001774A7" w:rsidP="00D63204">
            <w:pPr>
              <w:cnfStyle w:val="100000000000" w:firstRow="1" w:lastRow="0" w:firstColumn="0" w:lastColumn="0" w:oddVBand="0" w:evenVBand="0" w:oddHBand="0" w:evenHBand="0" w:firstRowFirstColumn="0" w:firstRowLastColumn="0" w:lastRowFirstColumn="0" w:lastRowLastColumn="0"/>
              <w:rPr>
                <w:rFonts w:ascii="Calibri" w:hAnsi="Calibri" w:cs="Arial"/>
                <w:bCs w:val="0"/>
                <w:sz w:val="19"/>
                <w:szCs w:val="19"/>
              </w:rPr>
            </w:pPr>
            <w:r w:rsidRPr="008D0BDE">
              <w:rPr>
                <w:rFonts w:ascii="Calibri" w:hAnsi="Calibri" w:cs="Arial"/>
                <w:color w:val="231F20"/>
                <w:sz w:val="16"/>
                <w:szCs w:val="16"/>
              </w:rPr>
              <w:t>November 2016</w:t>
            </w:r>
          </w:p>
        </w:tc>
        <w:tc>
          <w:tcPr>
            <w:tcW w:w="985" w:type="dxa"/>
            <w:vAlign w:val="center"/>
            <w:hideMark/>
          </w:tcPr>
          <w:p w14:paraId="30FEDD55" w14:textId="77777777" w:rsidR="001774A7" w:rsidRPr="008D0BDE" w:rsidRDefault="001774A7" w:rsidP="00D63204">
            <w:pPr>
              <w:cnfStyle w:val="100000000000" w:firstRow="1" w:lastRow="0" w:firstColumn="0" w:lastColumn="0" w:oddVBand="0" w:evenVBand="0" w:oddHBand="0" w:evenHBand="0" w:firstRowFirstColumn="0" w:firstRowLastColumn="0" w:lastRowFirstColumn="0" w:lastRowLastColumn="0"/>
              <w:rPr>
                <w:rFonts w:ascii="Calibri" w:hAnsi="Calibri" w:cs="Arial"/>
                <w:bCs w:val="0"/>
                <w:color w:val="231F20"/>
                <w:sz w:val="16"/>
                <w:szCs w:val="16"/>
              </w:rPr>
            </w:pPr>
            <w:r w:rsidRPr="008D0BDE">
              <w:rPr>
                <w:rFonts w:ascii="Calibri" w:hAnsi="Calibri" w:cs="Arial"/>
                <w:color w:val="231F20"/>
                <w:sz w:val="16"/>
                <w:szCs w:val="16"/>
              </w:rPr>
              <w:t>Over the Month Change Level</w:t>
            </w:r>
          </w:p>
        </w:tc>
        <w:tc>
          <w:tcPr>
            <w:tcW w:w="899" w:type="dxa"/>
            <w:vAlign w:val="center"/>
            <w:hideMark/>
          </w:tcPr>
          <w:p w14:paraId="3C7DCFC2" w14:textId="1C77A977" w:rsidR="001774A7" w:rsidRPr="008D0BDE" w:rsidRDefault="001774A7" w:rsidP="00D63204">
            <w:pPr>
              <w:cnfStyle w:val="100000000000" w:firstRow="1" w:lastRow="0" w:firstColumn="0" w:lastColumn="0" w:oddVBand="0" w:evenVBand="0" w:oddHBand="0" w:evenHBand="0" w:firstRowFirstColumn="0" w:firstRowLastColumn="0" w:lastRowFirstColumn="0" w:lastRowLastColumn="0"/>
              <w:rPr>
                <w:rFonts w:ascii="Calibri" w:hAnsi="Calibri" w:cs="Arial"/>
                <w:bCs w:val="0"/>
                <w:color w:val="231F20"/>
                <w:sz w:val="16"/>
                <w:szCs w:val="16"/>
              </w:rPr>
            </w:pPr>
            <w:r w:rsidRPr="008D0BDE">
              <w:rPr>
                <w:rFonts w:ascii="Calibri" w:hAnsi="Calibri" w:cs="Arial"/>
                <w:color w:val="231F20"/>
                <w:sz w:val="16"/>
                <w:szCs w:val="16"/>
              </w:rPr>
              <w:t xml:space="preserve">Over the Month </w:t>
            </w:r>
            <w:r w:rsidR="00942199" w:rsidRPr="008D0BDE">
              <w:rPr>
                <w:rFonts w:ascii="Calibri" w:hAnsi="Calibri" w:cs="Arial"/>
                <w:color w:val="231F20"/>
                <w:sz w:val="16"/>
                <w:szCs w:val="16"/>
              </w:rPr>
              <w:t>Change %</w:t>
            </w:r>
          </w:p>
        </w:tc>
        <w:tc>
          <w:tcPr>
            <w:tcW w:w="927" w:type="dxa"/>
            <w:vAlign w:val="center"/>
            <w:hideMark/>
          </w:tcPr>
          <w:p w14:paraId="41982310" w14:textId="77777777" w:rsidR="001774A7" w:rsidRPr="008D0BDE" w:rsidRDefault="001774A7" w:rsidP="00D63204">
            <w:pPr>
              <w:cnfStyle w:val="100000000000" w:firstRow="1" w:lastRow="0" w:firstColumn="0" w:lastColumn="0" w:oddVBand="0" w:evenVBand="0" w:oddHBand="0" w:evenHBand="0" w:firstRowFirstColumn="0" w:firstRowLastColumn="0" w:lastRowFirstColumn="0" w:lastRowLastColumn="0"/>
              <w:rPr>
                <w:rFonts w:ascii="Calibri" w:hAnsi="Calibri" w:cs="Arial"/>
                <w:bCs w:val="0"/>
                <w:color w:val="231F20"/>
                <w:sz w:val="16"/>
                <w:szCs w:val="16"/>
              </w:rPr>
            </w:pPr>
            <w:r w:rsidRPr="008D0BDE">
              <w:rPr>
                <w:rFonts w:ascii="Calibri" w:hAnsi="Calibri" w:cs="Arial"/>
                <w:color w:val="231F20"/>
                <w:sz w:val="16"/>
                <w:szCs w:val="16"/>
              </w:rPr>
              <w:t>Over the Year Change Level</w:t>
            </w:r>
          </w:p>
        </w:tc>
        <w:tc>
          <w:tcPr>
            <w:tcW w:w="961" w:type="dxa"/>
            <w:vAlign w:val="center"/>
            <w:hideMark/>
          </w:tcPr>
          <w:p w14:paraId="0485F1A3" w14:textId="77777777" w:rsidR="001774A7" w:rsidRPr="008D0BDE" w:rsidRDefault="001774A7" w:rsidP="00D63204">
            <w:pPr>
              <w:cnfStyle w:val="100000000000" w:firstRow="1" w:lastRow="0" w:firstColumn="0" w:lastColumn="0" w:oddVBand="0" w:evenVBand="0" w:oddHBand="0" w:evenHBand="0" w:firstRowFirstColumn="0" w:firstRowLastColumn="0" w:lastRowFirstColumn="0" w:lastRowLastColumn="0"/>
              <w:rPr>
                <w:rFonts w:ascii="Calibri" w:hAnsi="Calibri" w:cs="Arial"/>
                <w:bCs w:val="0"/>
                <w:color w:val="231F20"/>
                <w:sz w:val="16"/>
                <w:szCs w:val="16"/>
              </w:rPr>
            </w:pPr>
            <w:r w:rsidRPr="008D0BDE">
              <w:rPr>
                <w:rFonts w:ascii="Calibri" w:hAnsi="Calibri" w:cs="Arial"/>
                <w:color w:val="231F20"/>
                <w:sz w:val="16"/>
                <w:szCs w:val="16"/>
              </w:rPr>
              <w:t>Over the Year Change %</w:t>
            </w:r>
          </w:p>
        </w:tc>
      </w:tr>
      <w:tr w:rsidR="001774A7" w:rsidRPr="00E356B4" w14:paraId="595E0F74" w14:textId="77777777" w:rsidTr="00CF3FD3">
        <w:trPr>
          <w:cnfStyle w:val="000000100000" w:firstRow="0" w:lastRow="0" w:firstColumn="0" w:lastColumn="0" w:oddVBand="0" w:evenVBand="0" w:oddHBand="1" w:evenHBand="0" w:firstRowFirstColumn="0" w:firstRowLastColumn="0" w:lastRowFirstColumn="0" w:lastRowLastColumn="0"/>
          <w:trHeight w:hRule="exact" w:val="264"/>
        </w:trPr>
        <w:tc>
          <w:tcPr>
            <w:cnfStyle w:val="001000000000" w:firstRow="0" w:lastRow="0" w:firstColumn="1" w:lastColumn="0" w:oddVBand="0" w:evenVBand="0" w:oddHBand="0" w:evenHBand="0" w:firstRowFirstColumn="0" w:firstRowLastColumn="0" w:lastRowFirstColumn="0" w:lastRowLastColumn="0"/>
            <w:tcW w:w="3330" w:type="dxa"/>
            <w:vAlign w:val="center"/>
            <w:hideMark/>
          </w:tcPr>
          <w:p w14:paraId="00294114" w14:textId="77777777" w:rsidR="001774A7" w:rsidRPr="00CF3FD3" w:rsidRDefault="001774A7" w:rsidP="001774A7">
            <w:pPr>
              <w:rPr>
                <w:rFonts w:ascii="Calibri" w:hAnsi="Calibri" w:cs="Arial"/>
                <w:b w:val="0"/>
                <w:color w:val="231F20"/>
                <w:sz w:val="16"/>
                <w:szCs w:val="16"/>
              </w:rPr>
            </w:pPr>
            <w:r w:rsidRPr="00CF3FD3">
              <w:rPr>
                <w:rFonts w:ascii="Calibri" w:hAnsi="Calibri" w:cs="Arial"/>
                <w:b w:val="0"/>
                <w:color w:val="231F20"/>
                <w:sz w:val="16"/>
                <w:szCs w:val="16"/>
              </w:rPr>
              <w:t>Total Nonagricultural Employment</w:t>
            </w:r>
          </w:p>
        </w:tc>
        <w:tc>
          <w:tcPr>
            <w:tcW w:w="1170" w:type="dxa"/>
            <w:vAlign w:val="center"/>
            <w:hideMark/>
          </w:tcPr>
          <w:p w14:paraId="49B2428E" w14:textId="77777777" w:rsidR="001774A7" w:rsidRPr="00E356B4" w:rsidRDefault="001774A7" w:rsidP="00D63204">
            <w:pPr>
              <w:ind w:firstLineChars="100" w:firstLine="160"/>
              <w:cnfStyle w:val="000000100000" w:firstRow="0" w:lastRow="0" w:firstColumn="0" w:lastColumn="0" w:oddVBand="0" w:evenVBand="0" w:oddHBand="1" w:evenHBand="0" w:firstRowFirstColumn="0" w:firstRowLastColumn="0" w:lastRowFirstColumn="0" w:lastRowLastColumn="0"/>
              <w:rPr>
                <w:rFonts w:ascii="Calibri" w:hAnsi="Calibri" w:cs="Arial"/>
                <w:color w:val="231F20"/>
                <w:sz w:val="16"/>
                <w:szCs w:val="16"/>
              </w:rPr>
            </w:pPr>
            <w:r w:rsidRPr="00E356B4">
              <w:rPr>
                <w:rFonts w:ascii="Calibri" w:hAnsi="Calibri" w:cs="Arial"/>
                <w:color w:val="231F20"/>
                <w:sz w:val="16"/>
                <w:szCs w:val="16"/>
              </w:rPr>
              <w:t>8,676,400</w:t>
            </w:r>
          </w:p>
        </w:tc>
        <w:tc>
          <w:tcPr>
            <w:tcW w:w="1170" w:type="dxa"/>
            <w:vAlign w:val="center"/>
            <w:hideMark/>
          </w:tcPr>
          <w:p w14:paraId="56B01475" w14:textId="77777777" w:rsidR="001774A7" w:rsidRPr="00E356B4" w:rsidRDefault="001774A7" w:rsidP="00D63204">
            <w:pPr>
              <w:ind w:firstLineChars="100" w:firstLine="160"/>
              <w:cnfStyle w:val="000000100000" w:firstRow="0" w:lastRow="0" w:firstColumn="0" w:lastColumn="0" w:oddVBand="0" w:evenVBand="0" w:oddHBand="1" w:evenHBand="0" w:firstRowFirstColumn="0" w:firstRowLastColumn="0" w:lastRowFirstColumn="0" w:lastRowLastColumn="0"/>
              <w:rPr>
                <w:rFonts w:ascii="Calibri" w:hAnsi="Calibri" w:cs="Arial"/>
                <w:color w:val="231F20"/>
                <w:sz w:val="16"/>
                <w:szCs w:val="16"/>
              </w:rPr>
            </w:pPr>
            <w:r w:rsidRPr="00E356B4">
              <w:rPr>
                <w:rFonts w:ascii="Calibri" w:hAnsi="Calibri" w:cs="Arial"/>
                <w:color w:val="231F20"/>
                <w:sz w:val="16"/>
                <w:szCs w:val="16"/>
              </w:rPr>
              <w:t>8,663,300</w:t>
            </w:r>
          </w:p>
        </w:tc>
        <w:tc>
          <w:tcPr>
            <w:tcW w:w="1170" w:type="dxa"/>
            <w:vAlign w:val="center"/>
            <w:hideMark/>
          </w:tcPr>
          <w:p w14:paraId="3C0DB0AF" w14:textId="77777777" w:rsidR="001774A7" w:rsidRPr="00E356B4" w:rsidRDefault="001774A7" w:rsidP="00D63204">
            <w:pPr>
              <w:ind w:firstLineChars="100" w:firstLine="160"/>
              <w:cnfStyle w:val="000000100000" w:firstRow="0" w:lastRow="0" w:firstColumn="0" w:lastColumn="0" w:oddVBand="0" w:evenVBand="0" w:oddHBand="1" w:evenHBand="0" w:firstRowFirstColumn="0" w:firstRowLastColumn="0" w:lastRowFirstColumn="0" w:lastRowLastColumn="0"/>
              <w:rPr>
                <w:rFonts w:ascii="Calibri" w:hAnsi="Calibri" w:cs="Arial"/>
                <w:color w:val="231F20"/>
                <w:sz w:val="16"/>
                <w:szCs w:val="16"/>
              </w:rPr>
            </w:pPr>
            <w:r w:rsidRPr="00E356B4">
              <w:rPr>
                <w:rFonts w:ascii="Calibri" w:hAnsi="Calibri" w:cs="Arial"/>
                <w:color w:val="231F20"/>
                <w:sz w:val="16"/>
                <w:szCs w:val="16"/>
              </w:rPr>
              <w:t>8,481,400</w:t>
            </w:r>
          </w:p>
        </w:tc>
        <w:tc>
          <w:tcPr>
            <w:tcW w:w="985" w:type="dxa"/>
            <w:vAlign w:val="center"/>
            <w:hideMark/>
          </w:tcPr>
          <w:p w14:paraId="743FFDCA" w14:textId="77777777" w:rsidR="001774A7" w:rsidRPr="00E356B4" w:rsidRDefault="001774A7" w:rsidP="00D63204">
            <w:pPr>
              <w:ind w:firstLineChars="100" w:firstLine="160"/>
              <w:cnfStyle w:val="000000100000" w:firstRow="0" w:lastRow="0" w:firstColumn="0" w:lastColumn="0" w:oddVBand="0" w:evenVBand="0" w:oddHBand="1" w:evenHBand="0" w:firstRowFirstColumn="0" w:firstRowLastColumn="0" w:lastRowFirstColumn="0" w:lastRowLastColumn="0"/>
              <w:rPr>
                <w:rFonts w:ascii="Calibri" w:hAnsi="Calibri" w:cs="Arial"/>
                <w:color w:val="231F20"/>
                <w:sz w:val="16"/>
                <w:szCs w:val="16"/>
              </w:rPr>
            </w:pPr>
            <w:r w:rsidRPr="00E356B4">
              <w:rPr>
                <w:rFonts w:ascii="Calibri" w:hAnsi="Calibri" w:cs="Arial"/>
                <w:color w:val="231F20"/>
                <w:sz w:val="16"/>
                <w:szCs w:val="16"/>
              </w:rPr>
              <w:t>13,100</w:t>
            </w:r>
          </w:p>
        </w:tc>
        <w:tc>
          <w:tcPr>
            <w:tcW w:w="899" w:type="dxa"/>
            <w:vAlign w:val="center"/>
            <w:hideMark/>
          </w:tcPr>
          <w:p w14:paraId="55F834E1" w14:textId="77777777" w:rsidR="001774A7" w:rsidRPr="00E356B4" w:rsidRDefault="001774A7" w:rsidP="00D63204">
            <w:pPr>
              <w:ind w:firstLineChars="100" w:firstLine="160"/>
              <w:cnfStyle w:val="000000100000" w:firstRow="0" w:lastRow="0" w:firstColumn="0" w:lastColumn="0" w:oddVBand="0" w:evenVBand="0" w:oddHBand="1" w:evenHBand="0" w:firstRowFirstColumn="0" w:firstRowLastColumn="0" w:lastRowFirstColumn="0" w:lastRowLastColumn="0"/>
              <w:rPr>
                <w:rFonts w:ascii="Calibri" w:hAnsi="Calibri" w:cs="Arial"/>
                <w:color w:val="231F20"/>
                <w:sz w:val="16"/>
                <w:szCs w:val="16"/>
              </w:rPr>
            </w:pPr>
            <w:r w:rsidRPr="00E356B4">
              <w:rPr>
                <w:rFonts w:ascii="Calibri" w:hAnsi="Calibri" w:cs="Arial"/>
                <w:color w:val="231F20"/>
                <w:sz w:val="16"/>
                <w:szCs w:val="16"/>
              </w:rPr>
              <w:t>0.2</w:t>
            </w:r>
          </w:p>
        </w:tc>
        <w:tc>
          <w:tcPr>
            <w:tcW w:w="927" w:type="dxa"/>
            <w:vAlign w:val="center"/>
            <w:hideMark/>
          </w:tcPr>
          <w:p w14:paraId="2E117761" w14:textId="77777777" w:rsidR="001774A7" w:rsidRPr="00E356B4" w:rsidRDefault="001774A7" w:rsidP="00D63204">
            <w:pPr>
              <w:ind w:firstLineChars="100" w:firstLine="160"/>
              <w:cnfStyle w:val="000000100000" w:firstRow="0" w:lastRow="0" w:firstColumn="0" w:lastColumn="0" w:oddVBand="0" w:evenVBand="0" w:oddHBand="1" w:evenHBand="0" w:firstRowFirstColumn="0" w:firstRowLastColumn="0" w:lastRowFirstColumn="0" w:lastRowLastColumn="0"/>
              <w:rPr>
                <w:rFonts w:ascii="Calibri" w:hAnsi="Calibri" w:cs="Arial"/>
                <w:color w:val="231F20"/>
                <w:sz w:val="16"/>
                <w:szCs w:val="16"/>
              </w:rPr>
            </w:pPr>
            <w:r w:rsidRPr="00E356B4">
              <w:rPr>
                <w:rFonts w:ascii="Calibri" w:hAnsi="Calibri" w:cs="Arial"/>
                <w:color w:val="231F20"/>
                <w:sz w:val="16"/>
                <w:szCs w:val="16"/>
              </w:rPr>
              <w:t>195,000</w:t>
            </w:r>
          </w:p>
        </w:tc>
        <w:tc>
          <w:tcPr>
            <w:tcW w:w="961" w:type="dxa"/>
            <w:vAlign w:val="center"/>
            <w:hideMark/>
          </w:tcPr>
          <w:p w14:paraId="6F1D7D55" w14:textId="77777777" w:rsidR="001774A7" w:rsidRPr="00E356B4" w:rsidRDefault="001774A7" w:rsidP="00D63204">
            <w:pPr>
              <w:ind w:firstLineChars="100" w:firstLine="160"/>
              <w:cnfStyle w:val="000000100000" w:firstRow="0" w:lastRow="0" w:firstColumn="0" w:lastColumn="0" w:oddVBand="0" w:evenVBand="0" w:oddHBand="1" w:evenHBand="0" w:firstRowFirstColumn="0" w:firstRowLastColumn="0" w:lastRowFirstColumn="0" w:lastRowLastColumn="0"/>
              <w:rPr>
                <w:rFonts w:ascii="Calibri" w:hAnsi="Calibri" w:cs="Arial"/>
                <w:color w:val="231F20"/>
                <w:sz w:val="16"/>
                <w:szCs w:val="16"/>
              </w:rPr>
            </w:pPr>
            <w:r w:rsidRPr="00E356B4">
              <w:rPr>
                <w:rFonts w:ascii="Calibri" w:hAnsi="Calibri" w:cs="Arial"/>
                <w:color w:val="231F20"/>
                <w:sz w:val="16"/>
                <w:szCs w:val="16"/>
              </w:rPr>
              <w:t>2.3</w:t>
            </w:r>
          </w:p>
        </w:tc>
      </w:tr>
      <w:tr w:rsidR="001774A7" w:rsidRPr="00E356B4" w14:paraId="65B8635B" w14:textId="77777777" w:rsidTr="00CF3FD3">
        <w:trPr>
          <w:trHeight w:hRule="exact" w:val="264"/>
        </w:trPr>
        <w:tc>
          <w:tcPr>
            <w:cnfStyle w:val="001000000000" w:firstRow="0" w:lastRow="0" w:firstColumn="1" w:lastColumn="0" w:oddVBand="0" w:evenVBand="0" w:oddHBand="0" w:evenHBand="0" w:firstRowFirstColumn="0" w:firstRowLastColumn="0" w:lastRowFirstColumn="0" w:lastRowLastColumn="0"/>
            <w:tcW w:w="3330" w:type="dxa"/>
            <w:vAlign w:val="center"/>
            <w:hideMark/>
          </w:tcPr>
          <w:p w14:paraId="0883AC70" w14:textId="77777777" w:rsidR="001774A7" w:rsidRPr="00CF3FD3" w:rsidRDefault="001774A7" w:rsidP="001774A7">
            <w:pPr>
              <w:rPr>
                <w:rFonts w:ascii="Calibri" w:hAnsi="Calibri" w:cs="Arial"/>
                <w:b w:val="0"/>
                <w:color w:val="231F20"/>
                <w:sz w:val="16"/>
                <w:szCs w:val="16"/>
              </w:rPr>
            </w:pPr>
            <w:r w:rsidRPr="00CF3FD3">
              <w:rPr>
                <w:rFonts w:ascii="Calibri" w:hAnsi="Calibri" w:cs="Arial"/>
                <w:b w:val="0"/>
                <w:color w:val="231F20"/>
                <w:sz w:val="16"/>
                <w:szCs w:val="16"/>
              </w:rPr>
              <w:t>Total Private</w:t>
            </w:r>
          </w:p>
        </w:tc>
        <w:tc>
          <w:tcPr>
            <w:tcW w:w="1170" w:type="dxa"/>
            <w:vAlign w:val="center"/>
            <w:hideMark/>
          </w:tcPr>
          <w:p w14:paraId="3E7AE941" w14:textId="77777777" w:rsidR="001774A7" w:rsidRPr="00E356B4" w:rsidRDefault="001774A7" w:rsidP="00D63204">
            <w:pPr>
              <w:ind w:firstLineChars="100" w:firstLine="160"/>
              <w:cnfStyle w:val="000000000000" w:firstRow="0" w:lastRow="0" w:firstColumn="0" w:lastColumn="0" w:oddVBand="0" w:evenVBand="0" w:oddHBand="0" w:evenHBand="0" w:firstRowFirstColumn="0" w:firstRowLastColumn="0" w:lastRowFirstColumn="0" w:lastRowLastColumn="0"/>
              <w:rPr>
                <w:rFonts w:ascii="Calibri" w:hAnsi="Calibri" w:cs="Arial"/>
                <w:color w:val="231F20"/>
                <w:sz w:val="16"/>
                <w:szCs w:val="16"/>
              </w:rPr>
            </w:pPr>
            <w:r w:rsidRPr="00E356B4">
              <w:rPr>
                <w:rFonts w:ascii="Calibri" w:hAnsi="Calibri" w:cs="Arial"/>
                <w:color w:val="231F20"/>
                <w:sz w:val="16"/>
                <w:szCs w:val="16"/>
              </w:rPr>
              <w:t>7,565,700</w:t>
            </w:r>
          </w:p>
        </w:tc>
        <w:tc>
          <w:tcPr>
            <w:tcW w:w="1170" w:type="dxa"/>
            <w:vAlign w:val="center"/>
            <w:hideMark/>
          </w:tcPr>
          <w:p w14:paraId="0C532EAB" w14:textId="77777777" w:rsidR="001774A7" w:rsidRPr="00E356B4" w:rsidRDefault="001774A7" w:rsidP="00D63204">
            <w:pPr>
              <w:ind w:firstLineChars="100" w:firstLine="160"/>
              <w:cnfStyle w:val="000000000000" w:firstRow="0" w:lastRow="0" w:firstColumn="0" w:lastColumn="0" w:oddVBand="0" w:evenVBand="0" w:oddHBand="0" w:evenHBand="0" w:firstRowFirstColumn="0" w:firstRowLastColumn="0" w:lastRowFirstColumn="0" w:lastRowLastColumn="0"/>
              <w:rPr>
                <w:rFonts w:ascii="Calibri" w:hAnsi="Calibri" w:cs="Arial"/>
                <w:color w:val="231F20"/>
                <w:sz w:val="16"/>
                <w:szCs w:val="16"/>
              </w:rPr>
            </w:pPr>
            <w:r w:rsidRPr="00E356B4">
              <w:rPr>
                <w:rFonts w:ascii="Calibri" w:hAnsi="Calibri" w:cs="Arial"/>
                <w:color w:val="231F20"/>
                <w:sz w:val="16"/>
                <w:szCs w:val="16"/>
              </w:rPr>
              <w:t>7,551,800</w:t>
            </w:r>
          </w:p>
        </w:tc>
        <w:tc>
          <w:tcPr>
            <w:tcW w:w="1170" w:type="dxa"/>
            <w:vAlign w:val="center"/>
            <w:hideMark/>
          </w:tcPr>
          <w:p w14:paraId="6E32179B" w14:textId="77777777" w:rsidR="001774A7" w:rsidRPr="00E356B4" w:rsidRDefault="001774A7" w:rsidP="00D63204">
            <w:pPr>
              <w:ind w:firstLineChars="100" w:firstLine="160"/>
              <w:cnfStyle w:val="000000000000" w:firstRow="0" w:lastRow="0" w:firstColumn="0" w:lastColumn="0" w:oddVBand="0" w:evenVBand="0" w:oddHBand="0" w:evenHBand="0" w:firstRowFirstColumn="0" w:firstRowLastColumn="0" w:lastRowFirstColumn="0" w:lastRowLastColumn="0"/>
              <w:rPr>
                <w:rFonts w:ascii="Calibri" w:hAnsi="Calibri" w:cs="Arial"/>
                <w:color w:val="231F20"/>
                <w:sz w:val="16"/>
                <w:szCs w:val="16"/>
              </w:rPr>
            </w:pPr>
            <w:r w:rsidRPr="00E356B4">
              <w:rPr>
                <w:rFonts w:ascii="Calibri" w:hAnsi="Calibri" w:cs="Arial"/>
                <w:color w:val="231F20"/>
                <w:sz w:val="16"/>
                <w:szCs w:val="16"/>
              </w:rPr>
              <w:t>7,382,900</w:t>
            </w:r>
          </w:p>
        </w:tc>
        <w:tc>
          <w:tcPr>
            <w:tcW w:w="985" w:type="dxa"/>
            <w:vAlign w:val="center"/>
            <w:hideMark/>
          </w:tcPr>
          <w:p w14:paraId="12C08C13" w14:textId="77777777" w:rsidR="001774A7" w:rsidRPr="00E356B4" w:rsidRDefault="001774A7" w:rsidP="00D63204">
            <w:pPr>
              <w:ind w:firstLineChars="100" w:firstLine="160"/>
              <w:cnfStyle w:val="000000000000" w:firstRow="0" w:lastRow="0" w:firstColumn="0" w:lastColumn="0" w:oddVBand="0" w:evenVBand="0" w:oddHBand="0" w:evenHBand="0" w:firstRowFirstColumn="0" w:firstRowLastColumn="0" w:lastRowFirstColumn="0" w:lastRowLastColumn="0"/>
              <w:rPr>
                <w:rFonts w:ascii="Calibri" w:hAnsi="Calibri" w:cs="Arial"/>
                <w:color w:val="231F20"/>
                <w:sz w:val="16"/>
                <w:szCs w:val="16"/>
              </w:rPr>
            </w:pPr>
            <w:r w:rsidRPr="00E356B4">
              <w:rPr>
                <w:rFonts w:ascii="Calibri" w:hAnsi="Calibri" w:cs="Arial"/>
                <w:color w:val="231F20"/>
                <w:sz w:val="16"/>
                <w:szCs w:val="16"/>
              </w:rPr>
              <w:t>13,900</w:t>
            </w:r>
          </w:p>
        </w:tc>
        <w:tc>
          <w:tcPr>
            <w:tcW w:w="899" w:type="dxa"/>
            <w:vAlign w:val="center"/>
            <w:hideMark/>
          </w:tcPr>
          <w:p w14:paraId="7FCA64A1" w14:textId="77777777" w:rsidR="001774A7" w:rsidRPr="00E356B4" w:rsidRDefault="001774A7" w:rsidP="00D63204">
            <w:pPr>
              <w:ind w:firstLineChars="100" w:firstLine="160"/>
              <w:cnfStyle w:val="000000000000" w:firstRow="0" w:lastRow="0" w:firstColumn="0" w:lastColumn="0" w:oddVBand="0" w:evenVBand="0" w:oddHBand="0" w:evenHBand="0" w:firstRowFirstColumn="0" w:firstRowLastColumn="0" w:lastRowFirstColumn="0" w:lastRowLastColumn="0"/>
              <w:rPr>
                <w:rFonts w:ascii="Calibri" w:hAnsi="Calibri" w:cs="Arial"/>
                <w:color w:val="231F20"/>
                <w:sz w:val="16"/>
                <w:szCs w:val="16"/>
              </w:rPr>
            </w:pPr>
            <w:r w:rsidRPr="00E356B4">
              <w:rPr>
                <w:rFonts w:ascii="Calibri" w:hAnsi="Calibri" w:cs="Arial"/>
                <w:color w:val="231F20"/>
                <w:sz w:val="16"/>
                <w:szCs w:val="16"/>
              </w:rPr>
              <w:t>0.2</w:t>
            </w:r>
          </w:p>
        </w:tc>
        <w:tc>
          <w:tcPr>
            <w:tcW w:w="927" w:type="dxa"/>
            <w:vAlign w:val="center"/>
            <w:hideMark/>
          </w:tcPr>
          <w:p w14:paraId="12836961" w14:textId="77777777" w:rsidR="001774A7" w:rsidRPr="00E356B4" w:rsidRDefault="001774A7" w:rsidP="00D63204">
            <w:pPr>
              <w:ind w:firstLineChars="100" w:firstLine="160"/>
              <w:cnfStyle w:val="000000000000" w:firstRow="0" w:lastRow="0" w:firstColumn="0" w:lastColumn="0" w:oddVBand="0" w:evenVBand="0" w:oddHBand="0" w:evenHBand="0" w:firstRowFirstColumn="0" w:firstRowLastColumn="0" w:lastRowFirstColumn="0" w:lastRowLastColumn="0"/>
              <w:rPr>
                <w:rFonts w:ascii="Calibri" w:hAnsi="Calibri" w:cs="Arial"/>
                <w:color w:val="231F20"/>
                <w:sz w:val="16"/>
                <w:szCs w:val="16"/>
              </w:rPr>
            </w:pPr>
            <w:r w:rsidRPr="00E356B4">
              <w:rPr>
                <w:rFonts w:ascii="Calibri" w:hAnsi="Calibri" w:cs="Arial"/>
                <w:color w:val="231F20"/>
                <w:sz w:val="16"/>
                <w:szCs w:val="16"/>
              </w:rPr>
              <w:t>182,800</w:t>
            </w:r>
          </w:p>
        </w:tc>
        <w:tc>
          <w:tcPr>
            <w:tcW w:w="961" w:type="dxa"/>
            <w:vAlign w:val="center"/>
            <w:hideMark/>
          </w:tcPr>
          <w:p w14:paraId="566E6F80" w14:textId="77777777" w:rsidR="001774A7" w:rsidRPr="00E356B4" w:rsidRDefault="001774A7" w:rsidP="00D63204">
            <w:pPr>
              <w:ind w:firstLineChars="100" w:firstLine="160"/>
              <w:cnfStyle w:val="000000000000" w:firstRow="0" w:lastRow="0" w:firstColumn="0" w:lastColumn="0" w:oddVBand="0" w:evenVBand="0" w:oddHBand="0" w:evenHBand="0" w:firstRowFirstColumn="0" w:firstRowLastColumn="0" w:lastRowFirstColumn="0" w:lastRowLastColumn="0"/>
              <w:rPr>
                <w:rFonts w:ascii="Calibri" w:hAnsi="Calibri" w:cs="Arial"/>
                <w:color w:val="231F20"/>
                <w:sz w:val="16"/>
                <w:szCs w:val="16"/>
              </w:rPr>
            </w:pPr>
            <w:r w:rsidRPr="00E356B4">
              <w:rPr>
                <w:rFonts w:ascii="Calibri" w:hAnsi="Calibri" w:cs="Arial"/>
                <w:color w:val="231F20"/>
                <w:sz w:val="16"/>
                <w:szCs w:val="16"/>
              </w:rPr>
              <w:t>2.5</w:t>
            </w:r>
          </w:p>
        </w:tc>
      </w:tr>
      <w:tr w:rsidR="001774A7" w:rsidRPr="00E356B4" w14:paraId="193A0D07" w14:textId="77777777" w:rsidTr="00CF3FD3">
        <w:trPr>
          <w:cnfStyle w:val="000000100000" w:firstRow="0" w:lastRow="0" w:firstColumn="0" w:lastColumn="0" w:oddVBand="0" w:evenVBand="0" w:oddHBand="1" w:evenHBand="0" w:firstRowFirstColumn="0" w:firstRowLastColumn="0" w:lastRowFirstColumn="0" w:lastRowLastColumn="0"/>
          <w:trHeight w:hRule="exact" w:val="264"/>
        </w:trPr>
        <w:tc>
          <w:tcPr>
            <w:cnfStyle w:val="001000000000" w:firstRow="0" w:lastRow="0" w:firstColumn="1" w:lastColumn="0" w:oddVBand="0" w:evenVBand="0" w:oddHBand="0" w:evenHBand="0" w:firstRowFirstColumn="0" w:firstRowLastColumn="0" w:lastRowFirstColumn="0" w:lastRowLastColumn="0"/>
            <w:tcW w:w="3330" w:type="dxa"/>
            <w:vAlign w:val="center"/>
            <w:hideMark/>
          </w:tcPr>
          <w:p w14:paraId="6DC87C70" w14:textId="77777777" w:rsidR="001774A7" w:rsidRPr="00CF3FD3" w:rsidRDefault="001774A7" w:rsidP="001774A7">
            <w:pPr>
              <w:rPr>
                <w:rFonts w:ascii="Calibri" w:hAnsi="Calibri" w:cs="Arial"/>
                <w:b w:val="0"/>
                <w:color w:val="231F20"/>
                <w:sz w:val="16"/>
                <w:szCs w:val="16"/>
              </w:rPr>
            </w:pPr>
            <w:r w:rsidRPr="00CF3FD3">
              <w:rPr>
                <w:rFonts w:ascii="Calibri" w:hAnsi="Calibri" w:cs="Arial"/>
                <w:b w:val="0"/>
                <w:color w:val="231F20"/>
                <w:sz w:val="16"/>
                <w:szCs w:val="16"/>
              </w:rPr>
              <w:t>Goods Producing</w:t>
            </w:r>
          </w:p>
        </w:tc>
        <w:tc>
          <w:tcPr>
            <w:tcW w:w="1170" w:type="dxa"/>
            <w:vAlign w:val="center"/>
            <w:hideMark/>
          </w:tcPr>
          <w:p w14:paraId="3F5AC17C" w14:textId="77777777" w:rsidR="001774A7" w:rsidRPr="00E356B4" w:rsidRDefault="001774A7" w:rsidP="00D63204">
            <w:pPr>
              <w:ind w:firstLineChars="100" w:firstLine="160"/>
              <w:cnfStyle w:val="000000100000" w:firstRow="0" w:lastRow="0" w:firstColumn="0" w:lastColumn="0" w:oddVBand="0" w:evenVBand="0" w:oddHBand="1" w:evenHBand="0" w:firstRowFirstColumn="0" w:firstRowLastColumn="0" w:lastRowFirstColumn="0" w:lastRowLastColumn="0"/>
              <w:rPr>
                <w:rFonts w:ascii="Calibri" w:hAnsi="Calibri" w:cs="Arial"/>
                <w:color w:val="231F20"/>
                <w:sz w:val="16"/>
                <w:szCs w:val="16"/>
              </w:rPr>
            </w:pPr>
            <w:r w:rsidRPr="00E356B4">
              <w:rPr>
                <w:rFonts w:ascii="Calibri" w:hAnsi="Calibri" w:cs="Arial"/>
                <w:color w:val="231F20"/>
                <w:sz w:val="16"/>
                <w:szCs w:val="16"/>
              </w:rPr>
              <w:t>902,900</w:t>
            </w:r>
          </w:p>
        </w:tc>
        <w:tc>
          <w:tcPr>
            <w:tcW w:w="1170" w:type="dxa"/>
            <w:vAlign w:val="center"/>
            <w:hideMark/>
          </w:tcPr>
          <w:p w14:paraId="17BD8200" w14:textId="77777777" w:rsidR="001774A7" w:rsidRPr="00E356B4" w:rsidRDefault="001774A7" w:rsidP="00D63204">
            <w:pPr>
              <w:ind w:firstLineChars="100" w:firstLine="160"/>
              <w:cnfStyle w:val="000000100000" w:firstRow="0" w:lastRow="0" w:firstColumn="0" w:lastColumn="0" w:oddVBand="0" w:evenVBand="0" w:oddHBand="1" w:evenHBand="0" w:firstRowFirstColumn="0" w:firstRowLastColumn="0" w:lastRowFirstColumn="0" w:lastRowLastColumn="0"/>
              <w:rPr>
                <w:rFonts w:ascii="Calibri" w:hAnsi="Calibri" w:cs="Arial"/>
                <w:color w:val="231F20"/>
                <w:sz w:val="16"/>
                <w:szCs w:val="16"/>
              </w:rPr>
            </w:pPr>
            <w:r w:rsidRPr="00E356B4">
              <w:rPr>
                <w:rFonts w:ascii="Calibri" w:hAnsi="Calibri" w:cs="Arial"/>
                <w:color w:val="231F20"/>
                <w:sz w:val="16"/>
                <w:szCs w:val="16"/>
              </w:rPr>
              <w:t>896,500</w:t>
            </w:r>
          </w:p>
        </w:tc>
        <w:tc>
          <w:tcPr>
            <w:tcW w:w="1170" w:type="dxa"/>
            <w:vAlign w:val="center"/>
            <w:hideMark/>
          </w:tcPr>
          <w:p w14:paraId="5C30E635" w14:textId="77777777" w:rsidR="001774A7" w:rsidRPr="00E356B4" w:rsidRDefault="001774A7" w:rsidP="00D63204">
            <w:pPr>
              <w:ind w:firstLineChars="100" w:firstLine="160"/>
              <w:cnfStyle w:val="000000100000" w:firstRow="0" w:lastRow="0" w:firstColumn="0" w:lastColumn="0" w:oddVBand="0" w:evenVBand="0" w:oddHBand="1" w:evenHBand="0" w:firstRowFirstColumn="0" w:firstRowLastColumn="0" w:lastRowFirstColumn="0" w:lastRowLastColumn="0"/>
              <w:rPr>
                <w:rFonts w:ascii="Calibri" w:hAnsi="Calibri" w:cs="Arial"/>
                <w:color w:val="231F20"/>
                <w:sz w:val="16"/>
                <w:szCs w:val="16"/>
              </w:rPr>
            </w:pPr>
            <w:r w:rsidRPr="00E356B4">
              <w:rPr>
                <w:rFonts w:ascii="Calibri" w:hAnsi="Calibri" w:cs="Arial"/>
                <w:color w:val="231F20"/>
                <w:sz w:val="16"/>
                <w:szCs w:val="16"/>
              </w:rPr>
              <w:t>847,000</w:t>
            </w:r>
          </w:p>
        </w:tc>
        <w:tc>
          <w:tcPr>
            <w:tcW w:w="985" w:type="dxa"/>
            <w:vAlign w:val="center"/>
            <w:hideMark/>
          </w:tcPr>
          <w:p w14:paraId="5AFC5F89" w14:textId="77777777" w:rsidR="001774A7" w:rsidRPr="00E356B4" w:rsidRDefault="001774A7" w:rsidP="00D63204">
            <w:pPr>
              <w:ind w:firstLineChars="100" w:firstLine="160"/>
              <w:cnfStyle w:val="000000100000" w:firstRow="0" w:lastRow="0" w:firstColumn="0" w:lastColumn="0" w:oddVBand="0" w:evenVBand="0" w:oddHBand="1" w:evenHBand="0" w:firstRowFirstColumn="0" w:firstRowLastColumn="0" w:lastRowFirstColumn="0" w:lastRowLastColumn="0"/>
              <w:rPr>
                <w:rFonts w:ascii="Calibri" w:hAnsi="Calibri" w:cs="Arial"/>
                <w:color w:val="231F20"/>
                <w:sz w:val="16"/>
                <w:szCs w:val="16"/>
              </w:rPr>
            </w:pPr>
            <w:r w:rsidRPr="00E356B4">
              <w:rPr>
                <w:rFonts w:ascii="Calibri" w:hAnsi="Calibri" w:cs="Arial"/>
                <w:color w:val="231F20"/>
                <w:sz w:val="16"/>
                <w:szCs w:val="16"/>
              </w:rPr>
              <w:t>6,400</w:t>
            </w:r>
          </w:p>
        </w:tc>
        <w:tc>
          <w:tcPr>
            <w:tcW w:w="899" w:type="dxa"/>
            <w:vAlign w:val="center"/>
            <w:hideMark/>
          </w:tcPr>
          <w:p w14:paraId="1EE9F445" w14:textId="77777777" w:rsidR="001774A7" w:rsidRPr="00E356B4" w:rsidRDefault="001774A7" w:rsidP="00D63204">
            <w:pPr>
              <w:ind w:firstLineChars="100" w:firstLine="160"/>
              <w:cnfStyle w:val="000000100000" w:firstRow="0" w:lastRow="0" w:firstColumn="0" w:lastColumn="0" w:oddVBand="0" w:evenVBand="0" w:oddHBand="1" w:evenHBand="0" w:firstRowFirstColumn="0" w:firstRowLastColumn="0" w:lastRowFirstColumn="0" w:lastRowLastColumn="0"/>
              <w:rPr>
                <w:rFonts w:ascii="Calibri" w:hAnsi="Calibri" w:cs="Arial"/>
                <w:color w:val="231F20"/>
                <w:sz w:val="16"/>
                <w:szCs w:val="16"/>
              </w:rPr>
            </w:pPr>
            <w:r w:rsidRPr="00E356B4">
              <w:rPr>
                <w:rFonts w:ascii="Calibri" w:hAnsi="Calibri" w:cs="Arial"/>
                <w:color w:val="231F20"/>
                <w:sz w:val="16"/>
                <w:szCs w:val="16"/>
              </w:rPr>
              <w:t>0.7</w:t>
            </w:r>
          </w:p>
        </w:tc>
        <w:tc>
          <w:tcPr>
            <w:tcW w:w="927" w:type="dxa"/>
            <w:vAlign w:val="center"/>
            <w:hideMark/>
          </w:tcPr>
          <w:p w14:paraId="104CCB51" w14:textId="77777777" w:rsidR="001774A7" w:rsidRPr="00E356B4" w:rsidRDefault="001774A7" w:rsidP="00D63204">
            <w:pPr>
              <w:ind w:firstLineChars="100" w:firstLine="160"/>
              <w:cnfStyle w:val="000000100000" w:firstRow="0" w:lastRow="0" w:firstColumn="0" w:lastColumn="0" w:oddVBand="0" w:evenVBand="0" w:oddHBand="1" w:evenHBand="0" w:firstRowFirstColumn="0" w:firstRowLastColumn="0" w:lastRowFirstColumn="0" w:lastRowLastColumn="0"/>
              <w:rPr>
                <w:rFonts w:ascii="Calibri" w:hAnsi="Calibri" w:cs="Arial"/>
                <w:color w:val="231F20"/>
                <w:sz w:val="16"/>
                <w:szCs w:val="16"/>
              </w:rPr>
            </w:pPr>
            <w:r w:rsidRPr="00E356B4">
              <w:rPr>
                <w:rFonts w:ascii="Calibri" w:hAnsi="Calibri" w:cs="Arial"/>
                <w:color w:val="231F20"/>
                <w:sz w:val="16"/>
                <w:szCs w:val="16"/>
              </w:rPr>
              <w:t>55,900</w:t>
            </w:r>
          </w:p>
        </w:tc>
        <w:tc>
          <w:tcPr>
            <w:tcW w:w="961" w:type="dxa"/>
            <w:vAlign w:val="center"/>
            <w:hideMark/>
          </w:tcPr>
          <w:p w14:paraId="6D20AA81" w14:textId="77777777" w:rsidR="001774A7" w:rsidRPr="00E356B4" w:rsidRDefault="001774A7" w:rsidP="00D63204">
            <w:pPr>
              <w:ind w:firstLineChars="100" w:firstLine="160"/>
              <w:cnfStyle w:val="000000100000" w:firstRow="0" w:lastRow="0" w:firstColumn="0" w:lastColumn="0" w:oddVBand="0" w:evenVBand="0" w:oddHBand="1" w:evenHBand="0" w:firstRowFirstColumn="0" w:firstRowLastColumn="0" w:lastRowFirstColumn="0" w:lastRowLastColumn="0"/>
              <w:rPr>
                <w:rFonts w:ascii="Calibri" w:hAnsi="Calibri" w:cs="Arial"/>
                <w:color w:val="231F20"/>
                <w:sz w:val="16"/>
                <w:szCs w:val="16"/>
              </w:rPr>
            </w:pPr>
            <w:r w:rsidRPr="00E356B4">
              <w:rPr>
                <w:rFonts w:ascii="Calibri" w:hAnsi="Calibri" w:cs="Arial"/>
                <w:color w:val="231F20"/>
                <w:sz w:val="16"/>
                <w:szCs w:val="16"/>
              </w:rPr>
              <w:t>6.6</w:t>
            </w:r>
          </w:p>
        </w:tc>
      </w:tr>
      <w:tr w:rsidR="001774A7" w:rsidRPr="00E356B4" w14:paraId="65B05A48" w14:textId="77777777" w:rsidTr="00CF3FD3">
        <w:trPr>
          <w:trHeight w:val="264"/>
        </w:trPr>
        <w:tc>
          <w:tcPr>
            <w:cnfStyle w:val="001000000000" w:firstRow="0" w:lastRow="0" w:firstColumn="1" w:lastColumn="0" w:oddVBand="0" w:evenVBand="0" w:oddHBand="0" w:evenHBand="0" w:firstRowFirstColumn="0" w:firstRowLastColumn="0" w:lastRowFirstColumn="0" w:lastRowLastColumn="0"/>
            <w:tcW w:w="3330" w:type="dxa"/>
            <w:vAlign w:val="center"/>
            <w:hideMark/>
          </w:tcPr>
          <w:p w14:paraId="63128A40" w14:textId="2C762FA3" w:rsidR="001774A7" w:rsidRPr="00CF3FD3" w:rsidRDefault="001774A7" w:rsidP="001774A7">
            <w:pPr>
              <w:ind w:firstLineChars="100" w:firstLine="160"/>
              <w:rPr>
                <w:rFonts w:ascii="Calibri" w:hAnsi="Calibri" w:cs="Arial"/>
                <w:b w:val="0"/>
                <w:color w:val="231F20"/>
                <w:sz w:val="16"/>
                <w:szCs w:val="16"/>
              </w:rPr>
            </w:pPr>
            <w:r w:rsidRPr="00CF3FD3">
              <w:rPr>
                <w:rFonts w:ascii="Calibri" w:hAnsi="Calibri" w:cs="Arial"/>
                <w:b w:val="0"/>
                <w:color w:val="231F20"/>
                <w:sz w:val="16"/>
                <w:szCs w:val="16"/>
              </w:rPr>
              <w:t>Mining, Logging</w:t>
            </w:r>
            <w:r w:rsidR="00D5537E">
              <w:rPr>
                <w:rFonts w:ascii="Calibri" w:hAnsi="Calibri" w:cs="Arial"/>
                <w:b w:val="0"/>
                <w:color w:val="231F20"/>
                <w:sz w:val="16"/>
                <w:szCs w:val="16"/>
              </w:rPr>
              <w:t xml:space="preserve"> and</w:t>
            </w:r>
            <w:r w:rsidRPr="00CF3FD3">
              <w:rPr>
                <w:rFonts w:ascii="Calibri" w:hAnsi="Calibri" w:cs="Arial"/>
                <w:b w:val="0"/>
                <w:color w:val="231F20"/>
                <w:sz w:val="16"/>
                <w:szCs w:val="16"/>
              </w:rPr>
              <w:t xml:space="preserve"> Construction</w:t>
            </w:r>
          </w:p>
        </w:tc>
        <w:tc>
          <w:tcPr>
            <w:tcW w:w="1170" w:type="dxa"/>
            <w:vAlign w:val="center"/>
            <w:hideMark/>
          </w:tcPr>
          <w:p w14:paraId="594EA8BE" w14:textId="77777777" w:rsidR="001774A7" w:rsidRPr="00E356B4" w:rsidRDefault="001774A7" w:rsidP="00D63204">
            <w:pPr>
              <w:ind w:firstLineChars="100" w:firstLine="160"/>
              <w:cnfStyle w:val="000000000000" w:firstRow="0" w:lastRow="0" w:firstColumn="0" w:lastColumn="0" w:oddVBand="0" w:evenVBand="0" w:oddHBand="0" w:evenHBand="0" w:firstRowFirstColumn="0" w:firstRowLastColumn="0" w:lastRowFirstColumn="0" w:lastRowLastColumn="0"/>
              <w:rPr>
                <w:rFonts w:ascii="Calibri" w:hAnsi="Calibri" w:cs="Arial"/>
                <w:color w:val="231F20"/>
                <w:sz w:val="16"/>
                <w:szCs w:val="16"/>
              </w:rPr>
            </w:pPr>
            <w:r w:rsidRPr="00E356B4">
              <w:rPr>
                <w:rFonts w:ascii="Calibri" w:hAnsi="Calibri" w:cs="Arial"/>
                <w:color w:val="231F20"/>
                <w:sz w:val="16"/>
                <w:szCs w:val="16"/>
              </w:rPr>
              <w:t>530,300</w:t>
            </w:r>
          </w:p>
        </w:tc>
        <w:tc>
          <w:tcPr>
            <w:tcW w:w="1170" w:type="dxa"/>
            <w:vAlign w:val="center"/>
            <w:hideMark/>
          </w:tcPr>
          <w:p w14:paraId="39AC65A7" w14:textId="77777777" w:rsidR="001774A7" w:rsidRPr="00E356B4" w:rsidRDefault="001774A7" w:rsidP="00D63204">
            <w:pPr>
              <w:ind w:firstLineChars="100" w:firstLine="160"/>
              <w:cnfStyle w:val="000000000000" w:firstRow="0" w:lastRow="0" w:firstColumn="0" w:lastColumn="0" w:oddVBand="0" w:evenVBand="0" w:oddHBand="0" w:evenHBand="0" w:firstRowFirstColumn="0" w:firstRowLastColumn="0" w:lastRowFirstColumn="0" w:lastRowLastColumn="0"/>
              <w:rPr>
                <w:rFonts w:ascii="Calibri" w:hAnsi="Calibri" w:cs="Arial"/>
                <w:color w:val="231F20"/>
                <w:sz w:val="16"/>
                <w:szCs w:val="16"/>
              </w:rPr>
            </w:pPr>
            <w:r w:rsidRPr="00E356B4">
              <w:rPr>
                <w:rFonts w:ascii="Calibri" w:hAnsi="Calibri" w:cs="Arial"/>
                <w:color w:val="231F20"/>
                <w:sz w:val="16"/>
                <w:szCs w:val="16"/>
              </w:rPr>
              <w:t>524,000</w:t>
            </w:r>
          </w:p>
        </w:tc>
        <w:tc>
          <w:tcPr>
            <w:tcW w:w="1170" w:type="dxa"/>
            <w:vAlign w:val="center"/>
            <w:hideMark/>
          </w:tcPr>
          <w:p w14:paraId="25C48F56" w14:textId="77777777" w:rsidR="001774A7" w:rsidRPr="00E356B4" w:rsidRDefault="001774A7" w:rsidP="00D63204">
            <w:pPr>
              <w:ind w:firstLineChars="100" w:firstLine="160"/>
              <w:cnfStyle w:val="000000000000" w:firstRow="0" w:lastRow="0" w:firstColumn="0" w:lastColumn="0" w:oddVBand="0" w:evenVBand="0" w:oddHBand="0" w:evenHBand="0" w:firstRowFirstColumn="0" w:firstRowLastColumn="0" w:lastRowFirstColumn="0" w:lastRowLastColumn="0"/>
              <w:rPr>
                <w:rFonts w:ascii="Calibri" w:hAnsi="Calibri" w:cs="Arial"/>
                <w:color w:val="231F20"/>
                <w:sz w:val="16"/>
                <w:szCs w:val="16"/>
              </w:rPr>
            </w:pPr>
            <w:r w:rsidRPr="00E356B4">
              <w:rPr>
                <w:rFonts w:ascii="Calibri" w:hAnsi="Calibri" w:cs="Arial"/>
                <w:color w:val="231F20"/>
                <w:sz w:val="16"/>
                <w:szCs w:val="16"/>
              </w:rPr>
              <w:t>488,500</w:t>
            </w:r>
          </w:p>
        </w:tc>
        <w:tc>
          <w:tcPr>
            <w:tcW w:w="985" w:type="dxa"/>
            <w:vAlign w:val="center"/>
            <w:hideMark/>
          </w:tcPr>
          <w:p w14:paraId="00BB9DA7" w14:textId="77777777" w:rsidR="001774A7" w:rsidRPr="00E356B4" w:rsidRDefault="001774A7" w:rsidP="00D63204">
            <w:pPr>
              <w:ind w:firstLineChars="100" w:firstLine="160"/>
              <w:cnfStyle w:val="000000000000" w:firstRow="0" w:lastRow="0" w:firstColumn="0" w:lastColumn="0" w:oddVBand="0" w:evenVBand="0" w:oddHBand="0" w:evenHBand="0" w:firstRowFirstColumn="0" w:firstRowLastColumn="0" w:lastRowFirstColumn="0" w:lastRowLastColumn="0"/>
              <w:rPr>
                <w:rFonts w:ascii="Calibri" w:hAnsi="Calibri" w:cs="Arial"/>
                <w:color w:val="231F20"/>
                <w:sz w:val="16"/>
                <w:szCs w:val="16"/>
              </w:rPr>
            </w:pPr>
            <w:r w:rsidRPr="00E356B4">
              <w:rPr>
                <w:rFonts w:ascii="Calibri" w:hAnsi="Calibri" w:cs="Arial"/>
                <w:color w:val="231F20"/>
                <w:sz w:val="16"/>
                <w:szCs w:val="16"/>
              </w:rPr>
              <w:t>6,300</w:t>
            </w:r>
          </w:p>
        </w:tc>
        <w:tc>
          <w:tcPr>
            <w:tcW w:w="899" w:type="dxa"/>
            <w:vAlign w:val="center"/>
            <w:hideMark/>
          </w:tcPr>
          <w:p w14:paraId="389BC71E" w14:textId="77777777" w:rsidR="001774A7" w:rsidRPr="00E356B4" w:rsidRDefault="001774A7" w:rsidP="00D63204">
            <w:pPr>
              <w:ind w:firstLineChars="100" w:firstLine="160"/>
              <w:cnfStyle w:val="000000000000" w:firstRow="0" w:lastRow="0" w:firstColumn="0" w:lastColumn="0" w:oddVBand="0" w:evenVBand="0" w:oddHBand="0" w:evenHBand="0" w:firstRowFirstColumn="0" w:firstRowLastColumn="0" w:lastRowFirstColumn="0" w:lastRowLastColumn="0"/>
              <w:rPr>
                <w:rFonts w:ascii="Calibri" w:hAnsi="Calibri" w:cs="Arial"/>
                <w:color w:val="231F20"/>
                <w:sz w:val="16"/>
                <w:szCs w:val="16"/>
              </w:rPr>
            </w:pPr>
            <w:r w:rsidRPr="00E356B4">
              <w:rPr>
                <w:rFonts w:ascii="Calibri" w:hAnsi="Calibri" w:cs="Arial"/>
                <w:color w:val="231F20"/>
                <w:sz w:val="16"/>
                <w:szCs w:val="16"/>
              </w:rPr>
              <w:t>1.2</w:t>
            </w:r>
          </w:p>
        </w:tc>
        <w:tc>
          <w:tcPr>
            <w:tcW w:w="927" w:type="dxa"/>
            <w:vAlign w:val="center"/>
            <w:hideMark/>
          </w:tcPr>
          <w:p w14:paraId="4B328D43" w14:textId="77777777" w:rsidR="001774A7" w:rsidRPr="00E356B4" w:rsidRDefault="001774A7" w:rsidP="00D63204">
            <w:pPr>
              <w:ind w:firstLineChars="100" w:firstLine="160"/>
              <w:cnfStyle w:val="000000000000" w:firstRow="0" w:lastRow="0" w:firstColumn="0" w:lastColumn="0" w:oddVBand="0" w:evenVBand="0" w:oddHBand="0" w:evenHBand="0" w:firstRowFirstColumn="0" w:firstRowLastColumn="0" w:lastRowFirstColumn="0" w:lastRowLastColumn="0"/>
              <w:rPr>
                <w:rFonts w:ascii="Calibri" w:hAnsi="Calibri" w:cs="Arial"/>
                <w:color w:val="231F20"/>
                <w:sz w:val="16"/>
                <w:szCs w:val="16"/>
              </w:rPr>
            </w:pPr>
            <w:r w:rsidRPr="00E356B4">
              <w:rPr>
                <w:rFonts w:ascii="Calibri" w:hAnsi="Calibri" w:cs="Arial"/>
                <w:color w:val="231F20"/>
                <w:sz w:val="16"/>
                <w:szCs w:val="16"/>
              </w:rPr>
              <w:t>41,800</w:t>
            </w:r>
          </w:p>
        </w:tc>
        <w:tc>
          <w:tcPr>
            <w:tcW w:w="961" w:type="dxa"/>
            <w:vAlign w:val="center"/>
            <w:hideMark/>
          </w:tcPr>
          <w:p w14:paraId="6D620D97" w14:textId="77777777" w:rsidR="001774A7" w:rsidRPr="00E356B4" w:rsidRDefault="001774A7" w:rsidP="00D63204">
            <w:pPr>
              <w:ind w:firstLineChars="100" w:firstLine="160"/>
              <w:cnfStyle w:val="000000000000" w:firstRow="0" w:lastRow="0" w:firstColumn="0" w:lastColumn="0" w:oddVBand="0" w:evenVBand="0" w:oddHBand="0" w:evenHBand="0" w:firstRowFirstColumn="0" w:firstRowLastColumn="0" w:lastRowFirstColumn="0" w:lastRowLastColumn="0"/>
              <w:rPr>
                <w:rFonts w:ascii="Calibri" w:hAnsi="Calibri" w:cs="Arial"/>
                <w:color w:val="231F20"/>
                <w:sz w:val="16"/>
                <w:szCs w:val="16"/>
              </w:rPr>
            </w:pPr>
            <w:r w:rsidRPr="00E356B4">
              <w:rPr>
                <w:rFonts w:ascii="Calibri" w:hAnsi="Calibri" w:cs="Arial"/>
                <w:color w:val="231F20"/>
                <w:sz w:val="16"/>
                <w:szCs w:val="16"/>
              </w:rPr>
              <w:t>8.6</w:t>
            </w:r>
          </w:p>
        </w:tc>
      </w:tr>
      <w:tr w:rsidR="001774A7" w:rsidRPr="00E356B4" w14:paraId="44723ACE" w14:textId="77777777" w:rsidTr="00CF3FD3">
        <w:trPr>
          <w:cnfStyle w:val="000000100000" w:firstRow="0" w:lastRow="0" w:firstColumn="0" w:lastColumn="0" w:oddVBand="0" w:evenVBand="0" w:oddHBand="1" w:evenHBand="0" w:firstRowFirstColumn="0" w:firstRowLastColumn="0" w:lastRowFirstColumn="0" w:lastRowLastColumn="0"/>
          <w:trHeight w:hRule="exact" w:val="264"/>
        </w:trPr>
        <w:tc>
          <w:tcPr>
            <w:cnfStyle w:val="001000000000" w:firstRow="0" w:lastRow="0" w:firstColumn="1" w:lastColumn="0" w:oddVBand="0" w:evenVBand="0" w:oddHBand="0" w:evenHBand="0" w:firstRowFirstColumn="0" w:firstRowLastColumn="0" w:lastRowFirstColumn="0" w:lastRowLastColumn="0"/>
            <w:tcW w:w="3330" w:type="dxa"/>
            <w:vAlign w:val="center"/>
            <w:hideMark/>
          </w:tcPr>
          <w:p w14:paraId="398462E2" w14:textId="77777777" w:rsidR="001774A7" w:rsidRPr="00CF3FD3" w:rsidRDefault="001774A7" w:rsidP="001774A7">
            <w:pPr>
              <w:ind w:firstLineChars="100" w:firstLine="160"/>
              <w:rPr>
                <w:rFonts w:ascii="Calibri" w:hAnsi="Calibri" w:cs="Arial"/>
                <w:b w:val="0"/>
                <w:color w:val="231F20"/>
                <w:sz w:val="16"/>
                <w:szCs w:val="16"/>
              </w:rPr>
            </w:pPr>
            <w:r w:rsidRPr="00CF3FD3">
              <w:rPr>
                <w:rFonts w:ascii="Calibri" w:hAnsi="Calibri" w:cs="Arial"/>
                <w:b w:val="0"/>
                <w:color w:val="231F20"/>
                <w:sz w:val="16"/>
                <w:szCs w:val="16"/>
              </w:rPr>
              <w:t>Construction</w:t>
            </w:r>
          </w:p>
        </w:tc>
        <w:tc>
          <w:tcPr>
            <w:tcW w:w="1170" w:type="dxa"/>
            <w:vAlign w:val="center"/>
            <w:hideMark/>
          </w:tcPr>
          <w:p w14:paraId="26D25311" w14:textId="77777777" w:rsidR="001774A7" w:rsidRPr="00E356B4" w:rsidRDefault="001774A7" w:rsidP="00D63204">
            <w:pPr>
              <w:ind w:firstLineChars="100" w:firstLine="160"/>
              <w:cnfStyle w:val="000000100000" w:firstRow="0" w:lastRow="0" w:firstColumn="0" w:lastColumn="0" w:oddVBand="0" w:evenVBand="0" w:oddHBand="1" w:evenHBand="0" w:firstRowFirstColumn="0" w:firstRowLastColumn="0" w:lastRowFirstColumn="0" w:lastRowLastColumn="0"/>
              <w:rPr>
                <w:rFonts w:ascii="Calibri" w:hAnsi="Calibri" w:cs="Arial"/>
                <w:color w:val="231F20"/>
                <w:sz w:val="16"/>
                <w:szCs w:val="16"/>
              </w:rPr>
            </w:pPr>
            <w:r w:rsidRPr="00E356B4">
              <w:rPr>
                <w:rFonts w:ascii="Calibri" w:hAnsi="Calibri" w:cs="Arial"/>
                <w:color w:val="231F20"/>
                <w:sz w:val="16"/>
                <w:szCs w:val="16"/>
              </w:rPr>
              <w:t>524,600</w:t>
            </w:r>
          </w:p>
        </w:tc>
        <w:tc>
          <w:tcPr>
            <w:tcW w:w="1170" w:type="dxa"/>
            <w:vAlign w:val="center"/>
            <w:hideMark/>
          </w:tcPr>
          <w:p w14:paraId="6DC97A48" w14:textId="77777777" w:rsidR="001774A7" w:rsidRPr="00E356B4" w:rsidRDefault="001774A7" w:rsidP="00D63204">
            <w:pPr>
              <w:ind w:firstLineChars="100" w:firstLine="160"/>
              <w:cnfStyle w:val="000000100000" w:firstRow="0" w:lastRow="0" w:firstColumn="0" w:lastColumn="0" w:oddVBand="0" w:evenVBand="0" w:oddHBand="1" w:evenHBand="0" w:firstRowFirstColumn="0" w:firstRowLastColumn="0" w:lastRowFirstColumn="0" w:lastRowLastColumn="0"/>
              <w:rPr>
                <w:rFonts w:ascii="Calibri" w:hAnsi="Calibri" w:cs="Arial"/>
                <w:color w:val="231F20"/>
                <w:sz w:val="16"/>
                <w:szCs w:val="16"/>
              </w:rPr>
            </w:pPr>
            <w:r w:rsidRPr="00E356B4">
              <w:rPr>
                <w:rFonts w:ascii="Calibri" w:hAnsi="Calibri" w:cs="Arial"/>
                <w:color w:val="231F20"/>
                <w:sz w:val="16"/>
                <w:szCs w:val="16"/>
              </w:rPr>
              <w:t>518,400</w:t>
            </w:r>
          </w:p>
        </w:tc>
        <w:tc>
          <w:tcPr>
            <w:tcW w:w="1170" w:type="dxa"/>
            <w:vAlign w:val="center"/>
            <w:hideMark/>
          </w:tcPr>
          <w:p w14:paraId="65650474" w14:textId="77777777" w:rsidR="001774A7" w:rsidRPr="00E356B4" w:rsidRDefault="001774A7" w:rsidP="00D63204">
            <w:pPr>
              <w:ind w:firstLineChars="100" w:firstLine="160"/>
              <w:cnfStyle w:val="000000100000" w:firstRow="0" w:lastRow="0" w:firstColumn="0" w:lastColumn="0" w:oddVBand="0" w:evenVBand="0" w:oddHBand="1" w:evenHBand="0" w:firstRowFirstColumn="0" w:firstRowLastColumn="0" w:lastRowFirstColumn="0" w:lastRowLastColumn="0"/>
              <w:rPr>
                <w:rFonts w:ascii="Calibri" w:hAnsi="Calibri" w:cs="Arial"/>
                <w:color w:val="231F20"/>
                <w:sz w:val="16"/>
                <w:szCs w:val="16"/>
              </w:rPr>
            </w:pPr>
            <w:r w:rsidRPr="00E356B4">
              <w:rPr>
                <w:rFonts w:ascii="Calibri" w:hAnsi="Calibri" w:cs="Arial"/>
                <w:color w:val="231F20"/>
                <w:sz w:val="16"/>
                <w:szCs w:val="16"/>
              </w:rPr>
              <w:t>482,800</w:t>
            </w:r>
          </w:p>
        </w:tc>
        <w:tc>
          <w:tcPr>
            <w:tcW w:w="985" w:type="dxa"/>
            <w:vAlign w:val="center"/>
            <w:hideMark/>
          </w:tcPr>
          <w:p w14:paraId="6F68D059" w14:textId="77777777" w:rsidR="001774A7" w:rsidRPr="00E356B4" w:rsidRDefault="001774A7" w:rsidP="00D63204">
            <w:pPr>
              <w:ind w:firstLineChars="100" w:firstLine="160"/>
              <w:cnfStyle w:val="000000100000" w:firstRow="0" w:lastRow="0" w:firstColumn="0" w:lastColumn="0" w:oddVBand="0" w:evenVBand="0" w:oddHBand="1" w:evenHBand="0" w:firstRowFirstColumn="0" w:firstRowLastColumn="0" w:lastRowFirstColumn="0" w:lastRowLastColumn="0"/>
              <w:rPr>
                <w:rFonts w:ascii="Calibri" w:hAnsi="Calibri" w:cs="Arial"/>
                <w:color w:val="231F20"/>
                <w:sz w:val="16"/>
                <w:szCs w:val="16"/>
              </w:rPr>
            </w:pPr>
            <w:r w:rsidRPr="00E356B4">
              <w:rPr>
                <w:rFonts w:ascii="Calibri" w:hAnsi="Calibri" w:cs="Arial"/>
                <w:color w:val="231F20"/>
                <w:sz w:val="16"/>
                <w:szCs w:val="16"/>
              </w:rPr>
              <w:t>6,200</w:t>
            </w:r>
          </w:p>
        </w:tc>
        <w:tc>
          <w:tcPr>
            <w:tcW w:w="899" w:type="dxa"/>
            <w:vAlign w:val="center"/>
            <w:hideMark/>
          </w:tcPr>
          <w:p w14:paraId="230DC9FD" w14:textId="77777777" w:rsidR="001774A7" w:rsidRPr="00E356B4" w:rsidRDefault="001774A7" w:rsidP="00D63204">
            <w:pPr>
              <w:ind w:firstLineChars="100" w:firstLine="160"/>
              <w:cnfStyle w:val="000000100000" w:firstRow="0" w:lastRow="0" w:firstColumn="0" w:lastColumn="0" w:oddVBand="0" w:evenVBand="0" w:oddHBand="1" w:evenHBand="0" w:firstRowFirstColumn="0" w:firstRowLastColumn="0" w:lastRowFirstColumn="0" w:lastRowLastColumn="0"/>
              <w:rPr>
                <w:rFonts w:ascii="Calibri" w:hAnsi="Calibri" w:cs="Arial"/>
                <w:color w:val="231F20"/>
                <w:sz w:val="16"/>
                <w:szCs w:val="16"/>
              </w:rPr>
            </w:pPr>
            <w:r w:rsidRPr="00E356B4">
              <w:rPr>
                <w:rFonts w:ascii="Calibri" w:hAnsi="Calibri" w:cs="Arial"/>
                <w:color w:val="231F20"/>
                <w:sz w:val="16"/>
                <w:szCs w:val="16"/>
              </w:rPr>
              <w:t>1.2</w:t>
            </w:r>
          </w:p>
        </w:tc>
        <w:tc>
          <w:tcPr>
            <w:tcW w:w="927" w:type="dxa"/>
            <w:vAlign w:val="center"/>
            <w:hideMark/>
          </w:tcPr>
          <w:p w14:paraId="630AB8DD" w14:textId="77777777" w:rsidR="001774A7" w:rsidRPr="00E356B4" w:rsidRDefault="001774A7" w:rsidP="00D63204">
            <w:pPr>
              <w:ind w:firstLineChars="100" w:firstLine="160"/>
              <w:cnfStyle w:val="000000100000" w:firstRow="0" w:lastRow="0" w:firstColumn="0" w:lastColumn="0" w:oddVBand="0" w:evenVBand="0" w:oddHBand="1" w:evenHBand="0" w:firstRowFirstColumn="0" w:firstRowLastColumn="0" w:lastRowFirstColumn="0" w:lastRowLastColumn="0"/>
              <w:rPr>
                <w:rFonts w:ascii="Calibri" w:hAnsi="Calibri" w:cs="Arial"/>
                <w:color w:val="231F20"/>
                <w:sz w:val="16"/>
                <w:szCs w:val="16"/>
              </w:rPr>
            </w:pPr>
            <w:r w:rsidRPr="00E356B4">
              <w:rPr>
                <w:rFonts w:ascii="Calibri" w:hAnsi="Calibri" w:cs="Arial"/>
                <w:color w:val="231F20"/>
                <w:sz w:val="16"/>
                <w:szCs w:val="16"/>
              </w:rPr>
              <w:t>41,800</w:t>
            </w:r>
          </w:p>
        </w:tc>
        <w:tc>
          <w:tcPr>
            <w:tcW w:w="961" w:type="dxa"/>
            <w:vAlign w:val="center"/>
            <w:hideMark/>
          </w:tcPr>
          <w:p w14:paraId="2D62DAD7" w14:textId="77777777" w:rsidR="001774A7" w:rsidRPr="00E356B4" w:rsidRDefault="001774A7" w:rsidP="00D63204">
            <w:pPr>
              <w:ind w:firstLineChars="100" w:firstLine="160"/>
              <w:cnfStyle w:val="000000100000" w:firstRow="0" w:lastRow="0" w:firstColumn="0" w:lastColumn="0" w:oddVBand="0" w:evenVBand="0" w:oddHBand="1" w:evenHBand="0" w:firstRowFirstColumn="0" w:firstRowLastColumn="0" w:lastRowFirstColumn="0" w:lastRowLastColumn="0"/>
              <w:rPr>
                <w:rFonts w:ascii="Calibri" w:hAnsi="Calibri" w:cs="Arial"/>
                <w:color w:val="231F20"/>
                <w:sz w:val="16"/>
                <w:szCs w:val="16"/>
              </w:rPr>
            </w:pPr>
            <w:r w:rsidRPr="00E356B4">
              <w:rPr>
                <w:rFonts w:ascii="Calibri" w:hAnsi="Calibri" w:cs="Arial"/>
                <w:color w:val="231F20"/>
                <w:sz w:val="16"/>
                <w:szCs w:val="16"/>
              </w:rPr>
              <w:t>8.7</w:t>
            </w:r>
          </w:p>
        </w:tc>
      </w:tr>
      <w:tr w:rsidR="001774A7" w:rsidRPr="00E356B4" w14:paraId="1CC8D033" w14:textId="77777777" w:rsidTr="00CF3FD3">
        <w:trPr>
          <w:trHeight w:hRule="exact" w:val="264"/>
        </w:trPr>
        <w:tc>
          <w:tcPr>
            <w:cnfStyle w:val="001000000000" w:firstRow="0" w:lastRow="0" w:firstColumn="1" w:lastColumn="0" w:oddVBand="0" w:evenVBand="0" w:oddHBand="0" w:evenHBand="0" w:firstRowFirstColumn="0" w:firstRowLastColumn="0" w:lastRowFirstColumn="0" w:lastRowLastColumn="0"/>
            <w:tcW w:w="3330" w:type="dxa"/>
            <w:vAlign w:val="center"/>
            <w:hideMark/>
          </w:tcPr>
          <w:p w14:paraId="6D46BC5C" w14:textId="77777777" w:rsidR="001774A7" w:rsidRPr="00CF3FD3" w:rsidRDefault="001774A7" w:rsidP="001774A7">
            <w:pPr>
              <w:ind w:firstLineChars="100" w:firstLine="160"/>
              <w:rPr>
                <w:rFonts w:ascii="Calibri" w:hAnsi="Calibri" w:cs="Arial"/>
                <w:b w:val="0"/>
                <w:color w:val="231F20"/>
                <w:sz w:val="16"/>
                <w:szCs w:val="16"/>
              </w:rPr>
            </w:pPr>
            <w:r w:rsidRPr="00CF3FD3">
              <w:rPr>
                <w:rFonts w:ascii="Calibri" w:hAnsi="Calibri" w:cs="Arial"/>
                <w:b w:val="0"/>
                <w:color w:val="231F20"/>
                <w:sz w:val="16"/>
                <w:szCs w:val="16"/>
              </w:rPr>
              <w:t>Manufacturing</w:t>
            </w:r>
          </w:p>
        </w:tc>
        <w:tc>
          <w:tcPr>
            <w:tcW w:w="1170" w:type="dxa"/>
            <w:vAlign w:val="center"/>
            <w:hideMark/>
          </w:tcPr>
          <w:p w14:paraId="4DB51938" w14:textId="77777777" w:rsidR="001774A7" w:rsidRPr="00E356B4" w:rsidRDefault="001774A7" w:rsidP="00D63204">
            <w:pPr>
              <w:ind w:firstLineChars="100" w:firstLine="160"/>
              <w:cnfStyle w:val="000000000000" w:firstRow="0" w:lastRow="0" w:firstColumn="0" w:lastColumn="0" w:oddVBand="0" w:evenVBand="0" w:oddHBand="0" w:evenHBand="0" w:firstRowFirstColumn="0" w:firstRowLastColumn="0" w:lastRowFirstColumn="0" w:lastRowLastColumn="0"/>
              <w:rPr>
                <w:rFonts w:ascii="Calibri" w:hAnsi="Calibri" w:cs="Arial"/>
                <w:color w:val="231F20"/>
                <w:sz w:val="16"/>
                <w:szCs w:val="16"/>
              </w:rPr>
            </w:pPr>
            <w:r w:rsidRPr="00E356B4">
              <w:rPr>
                <w:rFonts w:ascii="Calibri" w:hAnsi="Calibri" w:cs="Arial"/>
                <w:color w:val="231F20"/>
                <w:sz w:val="16"/>
                <w:szCs w:val="16"/>
              </w:rPr>
              <w:t>372,600</w:t>
            </w:r>
          </w:p>
        </w:tc>
        <w:tc>
          <w:tcPr>
            <w:tcW w:w="1170" w:type="dxa"/>
            <w:vAlign w:val="center"/>
            <w:hideMark/>
          </w:tcPr>
          <w:p w14:paraId="379566AA" w14:textId="77777777" w:rsidR="001774A7" w:rsidRPr="00E356B4" w:rsidRDefault="001774A7" w:rsidP="00D63204">
            <w:pPr>
              <w:ind w:firstLineChars="100" w:firstLine="160"/>
              <w:cnfStyle w:val="000000000000" w:firstRow="0" w:lastRow="0" w:firstColumn="0" w:lastColumn="0" w:oddVBand="0" w:evenVBand="0" w:oddHBand="0" w:evenHBand="0" w:firstRowFirstColumn="0" w:firstRowLastColumn="0" w:lastRowFirstColumn="0" w:lastRowLastColumn="0"/>
              <w:rPr>
                <w:rFonts w:ascii="Calibri" w:hAnsi="Calibri" w:cs="Arial"/>
                <w:color w:val="231F20"/>
                <w:sz w:val="16"/>
                <w:szCs w:val="16"/>
              </w:rPr>
            </w:pPr>
            <w:r w:rsidRPr="00E356B4">
              <w:rPr>
                <w:rFonts w:ascii="Calibri" w:hAnsi="Calibri" w:cs="Arial"/>
                <w:color w:val="231F20"/>
                <w:sz w:val="16"/>
                <w:szCs w:val="16"/>
              </w:rPr>
              <w:t>372,500</w:t>
            </w:r>
          </w:p>
        </w:tc>
        <w:tc>
          <w:tcPr>
            <w:tcW w:w="1170" w:type="dxa"/>
            <w:vAlign w:val="center"/>
            <w:hideMark/>
          </w:tcPr>
          <w:p w14:paraId="7990621E" w14:textId="77777777" w:rsidR="001774A7" w:rsidRPr="00E356B4" w:rsidRDefault="001774A7" w:rsidP="00D63204">
            <w:pPr>
              <w:ind w:firstLineChars="100" w:firstLine="160"/>
              <w:cnfStyle w:val="000000000000" w:firstRow="0" w:lastRow="0" w:firstColumn="0" w:lastColumn="0" w:oddVBand="0" w:evenVBand="0" w:oddHBand="0" w:evenHBand="0" w:firstRowFirstColumn="0" w:firstRowLastColumn="0" w:lastRowFirstColumn="0" w:lastRowLastColumn="0"/>
              <w:rPr>
                <w:rFonts w:ascii="Calibri" w:hAnsi="Calibri" w:cs="Arial"/>
                <w:color w:val="231F20"/>
                <w:sz w:val="16"/>
                <w:szCs w:val="16"/>
              </w:rPr>
            </w:pPr>
            <w:r w:rsidRPr="00E356B4">
              <w:rPr>
                <w:rFonts w:ascii="Calibri" w:hAnsi="Calibri" w:cs="Arial"/>
                <w:color w:val="231F20"/>
                <w:sz w:val="16"/>
                <w:szCs w:val="16"/>
              </w:rPr>
              <w:t>358,500</w:t>
            </w:r>
          </w:p>
        </w:tc>
        <w:tc>
          <w:tcPr>
            <w:tcW w:w="985" w:type="dxa"/>
            <w:vAlign w:val="center"/>
            <w:hideMark/>
          </w:tcPr>
          <w:p w14:paraId="33111B5A" w14:textId="77777777" w:rsidR="001774A7" w:rsidRPr="00E356B4" w:rsidRDefault="001774A7" w:rsidP="00D63204">
            <w:pPr>
              <w:ind w:firstLineChars="100" w:firstLine="160"/>
              <w:cnfStyle w:val="000000000000" w:firstRow="0" w:lastRow="0" w:firstColumn="0" w:lastColumn="0" w:oddVBand="0" w:evenVBand="0" w:oddHBand="0" w:evenHBand="0" w:firstRowFirstColumn="0" w:firstRowLastColumn="0" w:lastRowFirstColumn="0" w:lastRowLastColumn="0"/>
              <w:rPr>
                <w:rFonts w:ascii="Calibri" w:hAnsi="Calibri" w:cs="Arial"/>
                <w:color w:val="231F20"/>
                <w:sz w:val="16"/>
                <w:szCs w:val="16"/>
              </w:rPr>
            </w:pPr>
            <w:r w:rsidRPr="00E356B4">
              <w:rPr>
                <w:rFonts w:ascii="Calibri" w:hAnsi="Calibri" w:cs="Arial"/>
                <w:color w:val="231F20"/>
                <w:sz w:val="16"/>
                <w:szCs w:val="16"/>
              </w:rPr>
              <w:t>100</w:t>
            </w:r>
          </w:p>
        </w:tc>
        <w:tc>
          <w:tcPr>
            <w:tcW w:w="899" w:type="dxa"/>
            <w:vAlign w:val="center"/>
            <w:hideMark/>
          </w:tcPr>
          <w:p w14:paraId="32530850" w14:textId="0335EDAA" w:rsidR="001774A7" w:rsidRPr="00E356B4" w:rsidRDefault="001774A7" w:rsidP="00D63204">
            <w:pPr>
              <w:ind w:firstLineChars="100" w:firstLine="160"/>
              <w:cnfStyle w:val="000000000000" w:firstRow="0" w:lastRow="0" w:firstColumn="0" w:lastColumn="0" w:oddVBand="0" w:evenVBand="0" w:oddHBand="0" w:evenHBand="0" w:firstRowFirstColumn="0" w:firstRowLastColumn="0" w:lastRowFirstColumn="0" w:lastRowLastColumn="0"/>
              <w:rPr>
                <w:rFonts w:ascii="Calibri" w:hAnsi="Calibri" w:cs="Arial"/>
                <w:color w:val="231F20"/>
                <w:sz w:val="16"/>
                <w:szCs w:val="16"/>
              </w:rPr>
            </w:pPr>
            <w:r w:rsidRPr="00E356B4">
              <w:rPr>
                <w:rFonts w:ascii="Calibri" w:hAnsi="Calibri" w:cs="Arial"/>
                <w:color w:val="231F20"/>
                <w:sz w:val="16"/>
                <w:szCs w:val="16"/>
              </w:rPr>
              <w:t>*</w:t>
            </w:r>
          </w:p>
        </w:tc>
        <w:tc>
          <w:tcPr>
            <w:tcW w:w="927" w:type="dxa"/>
            <w:vAlign w:val="center"/>
            <w:hideMark/>
          </w:tcPr>
          <w:p w14:paraId="3672BCE1" w14:textId="77777777" w:rsidR="001774A7" w:rsidRPr="00E356B4" w:rsidRDefault="001774A7" w:rsidP="00D63204">
            <w:pPr>
              <w:ind w:firstLineChars="100" w:firstLine="160"/>
              <w:cnfStyle w:val="000000000000" w:firstRow="0" w:lastRow="0" w:firstColumn="0" w:lastColumn="0" w:oddVBand="0" w:evenVBand="0" w:oddHBand="0" w:evenHBand="0" w:firstRowFirstColumn="0" w:firstRowLastColumn="0" w:lastRowFirstColumn="0" w:lastRowLastColumn="0"/>
              <w:rPr>
                <w:rFonts w:ascii="Calibri" w:hAnsi="Calibri" w:cs="Arial"/>
                <w:color w:val="231F20"/>
                <w:sz w:val="16"/>
                <w:szCs w:val="16"/>
              </w:rPr>
            </w:pPr>
            <w:r w:rsidRPr="00E356B4">
              <w:rPr>
                <w:rFonts w:ascii="Calibri" w:hAnsi="Calibri" w:cs="Arial"/>
                <w:color w:val="231F20"/>
                <w:sz w:val="16"/>
                <w:szCs w:val="16"/>
              </w:rPr>
              <w:t>14,100</w:t>
            </w:r>
          </w:p>
        </w:tc>
        <w:tc>
          <w:tcPr>
            <w:tcW w:w="961" w:type="dxa"/>
            <w:vAlign w:val="center"/>
            <w:hideMark/>
          </w:tcPr>
          <w:p w14:paraId="6AC4D914" w14:textId="77777777" w:rsidR="001774A7" w:rsidRPr="00E356B4" w:rsidRDefault="001774A7" w:rsidP="00D63204">
            <w:pPr>
              <w:ind w:firstLineChars="100" w:firstLine="160"/>
              <w:cnfStyle w:val="000000000000" w:firstRow="0" w:lastRow="0" w:firstColumn="0" w:lastColumn="0" w:oddVBand="0" w:evenVBand="0" w:oddHBand="0" w:evenHBand="0" w:firstRowFirstColumn="0" w:firstRowLastColumn="0" w:lastRowFirstColumn="0" w:lastRowLastColumn="0"/>
              <w:rPr>
                <w:rFonts w:ascii="Calibri" w:hAnsi="Calibri" w:cs="Arial"/>
                <w:color w:val="231F20"/>
                <w:sz w:val="16"/>
                <w:szCs w:val="16"/>
              </w:rPr>
            </w:pPr>
            <w:r w:rsidRPr="00E356B4">
              <w:rPr>
                <w:rFonts w:ascii="Calibri" w:hAnsi="Calibri" w:cs="Arial"/>
                <w:color w:val="231F20"/>
                <w:sz w:val="16"/>
                <w:szCs w:val="16"/>
              </w:rPr>
              <w:t>3.9</w:t>
            </w:r>
          </w:p>
        </w:tc>
      </w:tr>
      <w:tr w:rsidR="001774A7" w:rsidRPr="00E356B4" w14:paraId="624697C4" w14:textId="77777777" w:rsidTr="00CF3FD3">
        <w:trPr>
          <w:cnfStyle w:val="000000100000" w:firstRow="0" w:lastRow="0" w:firstColumn="0" w:lastColumn="0" w:oddVBand="0" w:evenVBand="0" w:oddHBand="1" w:evenHBand="0" w:firstRowFirstColumn="0" w:firstRowLastColumn="0" w:lastRowFirstColumn="0" w:lastRowLastColumn="0"/>
          <w:trHeight w:hRule="exact" w:val="264"/>
        </w:trPr>
        <w:tc>
          <w:tcPr>
            <w:cnfStyle w:val="001000000000" w:firstRow="0" w:lastRow="0" w:firstColumn="1" w:lastColumn="0" w:oddVBand="0" w:evenVBand="0" w:oddHBand="0" w:evenHBand="0" w:firstRowFirstColumn="0" w:firstRowLastColumn="0" w:lastRowFirstColumn="0" w:lastRowLastColumn="0"/>
            <w:tcW w:w="3330" w:type="dxa"/>
            <w:vAlign w:val="center"/>
            <w:hideMark/>
          </w:tcPr>
          <w:p w14:paraId="5EE7F8C9" w14:textId="77777777" w:rsidR="001774A7" w:rsidRPr="00CF3FD3" w:rsidRDefault="001774A7" w:rsidP="001774A7">
            <w:pPr>
              <w:ind w:firstLineChars="200" w:firstLine="320"/>
              <w:rPr>
                <w:rFonts w:ascii="Calibri" w:hAnsi="Calibri" w:cs="Arial"/>
                <w:b w:val="0"/>
                <w:color w:val="231F20"/>
                <w:sz w:val="16"/>
                <w:szCs w:val="16"/>
              </w:rPr>
            </w:pPr>
            <w:r w:rsidRPr="00CF3FD3">
              <w:rPr>
                <w:rFonts w:ascii="Calibri" w:hAnsi="Calibri" w:cs="Arial"/>
                <w:b w:val="0"/>
                <w:color w:val="231F20"/>
                <w:sz w:val="16"/>
                <w:szCs w:val="16"/>
              </w:rPr>
              <w:t>Durable Goods</w:t>
            </w:r>
          </w:p>
        </w:tc>
        <w:tc>
          <w:tcPr>
            <w:tcW w:w="1170" w:type="dxa"/>
            <w:vAlign w:val="center"/>
            <w:hideMark/>
          </w:tcPr>
          <w:p w14:paraId="04402312" w14:textId="77777777" w:rsidR="001774A7" w:rsidRPr="00E356B4" w:rsidRDefault="001774A7" w:rsidP="00D63204">
            <w:pPr>
              <w:ind w:firstLineChars="100" w:firstLine="160"/>
              <w:cnfStyle w:val="000000100000" w:firstRow="0" w:lastRow="0" w:firstColumn="0" w:lastColumn="0" w:oddVBand="0" w:evenVBand="0" w:oddHBand="1" w:evenHBand="0" w:firstRowFirstColumn="0" w:firstRowLastColumn="0" w:lastRowFirstColumn="0" w:lastRowLastColumn="0"/>
              <w:rPr>
                <w:rFonts w:ascii="Calibri" w:hAnsi="Calibri" w:cs="Arial"/>
                <w:color w:val="231F20"/>
                <w:sz w:val="16"/>
                <w:szCs w:val="16"/>
              </w:rPr>
            </w:pPr>
            <w:r w:rsidRPr="00E356B4">
              <w:rPr>
                <w:rFonts w:ascii="Calibri" w:hAnsi="Calibri" w:cs="Arial"/>
                <w:color w:val="231F20"/>
                <w:sz w:val="16"/>
                <w:szCs w:val="16"/>
              </w:rPr>
              <w:t>256,900</w:t>
            </w:r>
          </w:p>
        </w:tc>
        <w:tc>
          <w:tcPr>
            <w:tcW w:w="1170" w:type="dxa"/>
            <w:vAlign w:val="center"/>
            <w:hideMark/>
          </w:tcPr>
          <w:p w14:paraId="2B8E1A2B" w14:textId="77777777" w:rsidR="001774A7" w:rsidRPr="00E356B4" w:rsidRDefault="001774A7" w:rsidP="00D63204">
            <w:pPr>
              <w:ind w:firstLineChars="100" w:firstLine="160"/>
              <w:cnfStyle w:val="000000100000" w:firstRow="0" w:lastRow="0" w:firstColumn="0" w:lastColumn="0" w:oddVBand="0" w:evenVBand="0" w:oddHBand="1" w:evenHBand="0" w:firstRowFirstColumn="0" w:firstRowLastColumn="0" w:lastRowFirstColumn="0" w:lastRowLastColumn="0"/>
              <w:rPr>
                <w:rFonts w:ascii="Calibri" w:hAnsi="Calibri" w:cs="Arial"/>
                <w:color w:val="231F20"/>
                <w:sz w:val="16"/>
                <w:szCs w:val="16"/>
              </w:rPr>
            </w:pPr>
            <w:r w:rsidRPr="00E356B4">
              <w:rPr>
                <w:rFonts w:ascii="Calibri" w:hAnsi="Calibri" w:cs="Arial"/>
                <w:color w:val="231F20"/>
                <w:sz w:val="16"/>
                <w:szCs w:val="16"/>
              </w:rPr>
              <w:t>255,800</w:t>
            </w:r>
          </w:p>
        </w:tc>
        <w:tc>
          <w:tcPr>
            <w:tcW w:w="1170" w:type="dxa"/>
            <w:vAlign w:val="center"/>
            <w:hideMark/>
          </w:tcPr>
          <w:p w14:paraId="058EB90B" w14:textId="77777777" w:rsidR="001774A7" w:rsidRPr="00E356B4" w:rsidRDefault="001774A7" w:rsidP="00D63204">
            <w:pPr>
              <w:ind w:firstLineChars="100" w:firstLine="160"/>
              <w:cnfStyle w:val="000000100000" w:firstRow="0" w:lastRow="0" w:firstColumn="0" w:lastColumn="0" w:oddVBand="0" w:evenVBand="0" w:oddHBand="1" w:evenHBand="0" w:firstRowFirstColumn="0" w:firstRowLastColumn="0" w:lastRowFirstColumn="0" w:lastRowLastColumn="0"/>
              <w:rPr>
                <w:rFonts w:ascii="Calibri" w:hAnsi="Calibri" w:cs="Arial"/>
                <w:color w:val="231F20"/>
                <w:sz w:val="16"/>
                <w:szCs w:val="16"/>
              </w:rPr>
            </w:pPr>
            <w:r w:rsidRPr="00E356B4">
              <w:rPr>
                <w:rFonts w:ascii="Calibri" w:hAnsi="Calibri" w:cs="Arial"/>
                <w:color w:val="231F20"/>
                <w:sz w:val="16"/>
                <w:szCs w:val="16"/>
              </w:rPr>
              <w:t>243,400</w:t>
            </w:r>
          </w:p>
        </w:tc>
        <w:tc>
          <w:tcPr>
            <w:tcW w:w="985" w:type="dxa"/>
            <w:vAlign w:val="center"/>
            <w:hideMark/>
          </w:tcPr>
          <w:p w14:paraId="4F5D912B" w14:textId="77777777" w:rsidR="001774A7" w:rsidRPr="00E356B4" w:rsidRDefault="001774A7" w:rsidP="00D63204">
            <w:pPr>
              <w:ind w:firstLineChars="100" w:firstLine="160"/>
              <w:cnfStyle w:val="000000100000" w:firstRow="0" w:lastRow="0" w:firstColumn="0" w:lastColumn="0" w:oddVBand="0" w:evenVBand="0" w:oddHBand="1" w:evenHBand="0" w:firstRowFirstColumn="0" w:firstRowLastColumn="0" w:lastRowFirstColumn="0" w:lastRowLastColumn="0"/>
              <w:rPr>
                <w:rFonts w:ascii="Calibri" w:hAnsi="Calibri" w:cs="Arial"/>
                <w:color w:val="231F20"/>
                <w:sz w:val="16"/>
                <w:szCs w:val="16"/>
              </w:rPr>
            </w:pPr>
            <w:r w:rsidRPr="00E356B4">
              <w:rPr>
                <w:rFonts w:ascii="Calibri" w:hAnsi="Calibri" w:cs="Arial"/>
                <w:color w:val="231F20"/>
                <w:sz w:val="16"/>
                <w:szCs w:val="16"/>
              </w:rPr>
              <w:t>1100</w:t>
            </w:r>
          </w:p>
        </w:tc>
        <w:tc>
          <w:tcPr>
            <w:tcW w:w="899" w:type="dxa"/>
            <w:vAlign w:val="center"/>
            <w:hideMark/>
          </w:tcPr>
          <w:p w14:paraId="539704F9" w14:textId="77777777" w:rsidR="001774A7" w:rsidRPr="00E356B4" w:rsidRDefault="001774A7" w:rsidP="00D63204">
            <w:pPr>
              <w:ind w:firstLineChars="100" w:firstLine="160"/>
              <w:cnfStyle w:val="000000100000" w:firstRow="0" w:lastRow="0" w:firstColumn="0" w:lastColumn="0" w:oddVBand="0" w:evenVBand="0" w:oddHBand="1" w:evenHBand="0" w:firstRowFirstColumn="0" w:firstRowLastColumn="0" w:lastRowFirstColumn="0" w:lastRowLastColumn="0"/>
              <w:rPr>
                <w:rFonts w:ascii="Calibri" w:hAnsi="Calibri" w:cs="Arial"/>
                <w:color w:val="231F20"/>
                <w:sz w:val="16"/>
                <w:szCs w:val="16"/>
              </w:rPr>
            </w:pPr>
            <w:r w:rsidRPr="00E356B4">
              <w:rPr>
                <w:rFonts w:ascii="Calibri" w:hAnsi="Calibri" w:cs="Arial"/>
                <w:color w:val="231F20"/>
                <w:sz w:val="16"/>
                <w:szCs w:val="16"/>
              </w:rPr>
              <w:t>0.4</w:t>
            </w:r>
          </w:p>
        </w:tc>
        <w:tc>
          <w:tcPr>
            <w:tcW w:w="927" w:type="dxa"/>
            <w:vAlign w:val="center"/>
            <w:hideMark/>
          </w:tcPr>
          <w:p w14:paraId="63A6A2F1" w14:textId="77777777" w:rsidR="001774A7" w:rsidRPr="00E356B4" w:rsidRDefault="001774A7" w:rsidP="00D63204">
            <w:pPr>
              <w:ind w:firstLineChars="100" w:firstLine="160"/>
              <w:cnfStyle w:val="000000100000" w:firstRow="0" w:lastRow="0" w:firstColumn="0" w:lastColumn="0" w:oddVBand="0" w:evenVBand="0" w:oddHBand="1" w:evenHBand="0" w:firstRowFirstColumn="0" w:firstRowLastColumn="0" w:lastRowFirstColumn="0" w:lastRowLastColumn="0"/>
              <w:rPr>
                <w:rFonts w:ascii="Calibri" w:hAnsi="Calibri" w:cs="Arial"/>
                <w:color w:val="231F20"/>
                <w:sz w:val="16"/>
                <w:szCs w:val="16"/>
              </w:rPr>
            </w:pPr>
            <w:r w:rsidRPr="00E356B4">
              <w:rPr>
                <w:rFonts w:ascii="Calibri" w:hAnsi="Calibri" w:cs="Arial"/>
                <w:color w:val="231F20"/>
                <w:sz w:val="16"/>
                <w:szCs w:val="16"/>
              </w:rPr>
              <w:t>13,500</w:t>
            </w:r>
          </w:p>
        </w:tc>
        <w:tc>
          <w:tcPr>
            <w:tcW w:w="961" w:type="dxa"/>
            <w:vAlign w:val="center"/>
            <w:hideMark/>
          </w:tcPr>
          <w:p w14:paraId="0AC5D344" w14:textId="77777777" w:rsidR="001774A7" w:rsidRPr="00E356B4" w:rsidRDefault="001774A7" w:rsidP="00D63204">
            <w:pPr>
              <w:ind w:firstLineChars="100" w:firstLine="160"/>
              <w:cnfStyle w:val="000000100000" w:firstRow="0" w:lastRow="0" w:firstColumn="0" w:lastColumn="0" w:oddVBand="0" w:evenVBand="0" w:oddHBand="1" w:evenHBand="0" w:firstRowFirstColumn="0" w:firstRowLastColumn="0" w:lastRowFirstColumn="0" w:lastRowLastColumn="0"/>
              <w:rPr>
                <w:rFonts w:ascii="Calibri" w:hAnsi="Calibri" w:cs="Arial"/>
                <w:color w:val="231F20"/>
                <w:sz w:val="16"/>
                <w:szCs w:val="16"/>
              </w:rPr>
            </w:pPr>
            <w:r w:rsidRPr="00E356B4">
              <w:rPr>
                <w:rFonts w:ascii="Calibri" w:hAnsi="Calibri" w:cs="Arial"/>
                <w:color w:val="231F20"/>
                <w:sz w:val="16"/>
                <w:szCs w:val="16"/>
              </w:rPr>
              <w:t>5.5</w:t>
            </w:r>
          </w:p>
        </w:tc>
      </w:tr>
      <w:tr w:rsidR="001774A7" w:rsidRPr="00E356B4" w14:paraId="1F3233E6" w14:textId="77777777" w:rsidTr="00CF3FD3">
        <w:trPr>
          <w:trHeight w:hRule="exact" w:val="264"/>
        </w:trPr>
        <w:tc>
          <w:tcPr>
            <w:cnfStyle w:val="001000000000" w:firstRow="0" w:lastRow="0" w:firstColumn="1" w:lastColumn="0" w:oddVBand="0" w:evenVBand="0" w:oddHBand="0" w:evenHBand="0" w:firstRowFirstColumn="0" w:firstRowLastColumn="0" w:lastRowFirstColumn="0" w:lastRowLastColumn="0"/>
            <w:tcW w:w="3330" w:type="dxa"/>
            <w:vAlign w:val="center"/>
            <w:hideMark/>
          </w:tcPr>
          <w:p w14:paraId="49391FA8" w14:textId="77777777" w:rsidR="001774A7" w:rsidRPr="00CF3FD3" w:rsidRDefault="001774A7" w:rsidP="001774A7">
            <w:pPr>
              <w:ind w:firstLineChars="200" w:firstLine="320"/>
              <w:rPr>
                <w:rFonts w:ascii="Calibri" w:hAnsi="Calibri" w:cs="Arial"/>
                <w:b w:val="0"/>
                <w:color w:val="231F20"/>
                <w:sz w:val="16"/>
                <w:szCs w:val="16"/>
              </w:rPr>
            </w:pPr>
            <w:r w:rsidRPr="00CF3FD3">
              <w:rPr>
                <w:rFonts w:ascii="Calibri" w:hAnsi="Calibri" w:cs="Arial"/>
                <w:b w:val="0"/>
                <w:color w:val="231F20"/>
                <w:sz w:val="16"/>
                <w:szCs w:val="16"/>
              </w:rPr>
              <w:t>Nondurable Goods</w:t>
            </w:r>
          </w:p>
        </w:tc>
        <w:tc>
          <w:tcPr>
            <w:tcW w:w="1170" w:type="dxa"/>
            <w:vAlign w:val="center"/>
            <w:hideMark/>
          </w:tcPr>
          <w:p w14:paraId="2F8047A0" w14:textId="77777777" w:rsidR="001774A7" w:rsidRPr="00E356B4" w:rsidRDefault="001774A7" w:rsidP="00D63204">
            <w:pPr>
              <w:ind w:firstLineChars="100" w:firstLine="160"/>
              <w:cnfStyle w:val="000000000000" w:firstRow="0" w:lastRow="0" w:firstColumn="0" w:lastColumn="0" w:oddVBand="0" w:evenVBand="0" w:oddHBand="0" w:evenHBand="0" w:firstRowFirstColumn="0" w:firstRowLastColumn="0" w:lastRowFirstColumn="0" w:lastRowLastColumn="0"/>
              <w:rPr>
                <w:rFonts w:ascii="Calibri" w:hAnsi="Calibri" w:cs="Arial"/>
                <w:color w:val="231F20"/>
                <w:sz w:val="16"/>
                <w:szCs w:val="16"/>
              </w:rPr>
            </w:pPr>
            <w:r w:rsidRPr="00E356B4">
              <w:rPr>
                <w:rFonts w:ascii="Calibri" w:hAnsi="Calibri" w:cs="Arial"/>
                <w:color w:val="231F20"/>
                <w:sz w:val="16"/>
                <w:szCs w:val="16"/>
              </w:rPr>
              <w:t>115,700</w:t>
            </w:r>
          </w:p>
        </w:tc>
        <w:tc>
          <w:tcPr>
            <w:tcW w:w="1170" w:type="dxa"/>
            <w:vAlign w:val="center"/>
            <w:hideMark/>
          </w:tcPr>
          <w:p w14:paraId="67488590" w14:textId="77777777" w:rsidR="001774A7" w:rsidRPr="00E356B4" w:rsidRDefault="001774A7" w:rsidP="00D63204">
            <w:pPr>
              <w:ind w:firstLineChars="100" w:firstLine="160"/>
              <w:cnfStyle w:val="000000000000" w:firstRow="0" w:lastRow="0" w:firstColumn="0" w:lastColumn="0" w:oddVBand="0" w:evenVBand="0" w:oddHBand="0" w:evenHBand="0" w:firstRowFirstColumn="0" w:firstRowLastColumn="0" w:lastRowFirstColumn="0" w:lastRowLastColumn="0"/>
              <w:rPr>
                <w:rFonts w:ascii="Calibri" w:hAnsi="Calibri" w:cs="Arial"/>
                <w:color w:val="231F20"/>
                <w:sz w:val="16"/>
                <w:szCs w:val="16"/>
              </w:rPr>
            </w:pPr>
            <w:r w:rsidRPr="00E356B4">
              <w:rPr>
                <w:rFonts w:ascii="Calibri" w:hAnsi="Calibri" w:cs="Arial"/>
                <w:color w:val="231F20"/>
                <w:sz w:val="16"/>
                <w:szCs w:val="16"/>
              </w:rPr>
              <w:t>116,700</w:t>
            </w:r>
          </w:p>
        </w:tc>
        <w:tc>
          <w:tcPr>
            <w:tcW w:w="1170" w:type="dxa"/>
            <w:vAlign w:val="center"/>
            <w:hideMark/>
          </w:tcPr>
          <w:p w14:paraId="6438C73E" w14:textId="77777777" w:rsidR="001774A7" w:rsidRPr="00E356B4" w:rsidRDefault="001774A7" w:rsidP="00D63204">
            <w:pPr>
              <w:ind w:firstLineChars="100" w:firstLine="160"/>
              <w:cnfStyle w:val="000000000000" w:firstRow="0" w:lastRow="0" w:firstColumn="0" w:lastColumn="0" w:oddVBand="0" w:evenVBand="0" w:oddHBand="0" w:evenHBand="0" w:firstRowFirstColumn="0" w:firstRowLastColumn="0" w:lastRowFirstColumn="0" w:lastRowLastColumn="0"/>
              <w:rPr>
                <w:rFonts w:ascii="Calibri" w:hAnsi="Calibri" w:cs="Arial"/>
                <w:color w:val="231F20"/>
                <w:sz w:val="16"/>
                <w:szCs w:val="16"/>
              </w:rPr>
            </w:pPr>
            <w:r w:rsidRPr="00E356B4">
              <w:rPr>
                <w:rFonts w:ascii="Calibri" w:hAnsi="Calibri" w:cs="Arial"/>
                <w:color w:val="231F20"/>
                <w:sz w:val="16"/>
                <w:szCs w:val="16"/>
              </w:rPr>
              <w:t>115,100</w:t>
            </w:r>
          </w:p>
        </w:tc>
        <w:tc>
          <w:tcPr>
            <w:tcW w:w="985" w:type="dxa"/>
            <w:vAlign w:val="center"/>
            <w:hideMark/>
          </w:tcPr>
          <w:p w14:paraId="71407EDF" w14:textId="77777777" w:rsidR="001774A7" w:rsidRPr="00E356B4" w:rsidRDefault="001774A7" w:rsidP="00D63204">
            <w:pPr>
              <w:ind w:firstLineChars="100" w:firstLine="160"/>
              <w:cnfStyle w:val="000000000000" w:firstRow="0" w:lastRow="0" w:firstColumn="0" w:lastColumn="0" w:oddVBand="0" w:evenVBand="0" w:oddHBand="0" w:evenHBand="0" w:firstRowFirstColumn="0" w:firstRowLastColumn="0" w:lastRowFirstColumn="0" w:lastRowLastColumn="0"/>
              <w:rPr>
                <w:rFonts w:ascii="Calibri" w:hAnsi="Calibri" w:cs="Arial"/>
                <w:color w:val="231F20"/>
                <w:sz w:val="16"/>
                <w:szCs w:val="16"/>
              </w:rPr>
            </w:pPr>
            <w:r w:rsidRPr="00E356B4">
              <w:rPr>
                <w:rFonts w:ascii="Calibri" w:hAnsi="Calibri" w:cs="Arial"/>
                <w:color w:val="231F20"/>
                <w:sz w:val="16"/>
                <w:szCs w:val="16"/>
              </w:rPr>
              <w:t>-1000</w:t>
            </w:r>
          </w:p>
        </w:tc>
        <w:tc>
          <w:tcPr>
            <w:tcW w:w="899" w:type="dxa"/>
            <w:vAlign w:val="center"/>
            <w:hideMark/>
          </w:tcPr>
          <w:p w14:paraId="525019B0" w14:textId="77777777" w:rsidR="001774A7" w:rsidRPr="00E356B4" w:rsidRDefault="001774A7" w:rsidP="00D63204">
            <w:pPr>
              <w:ind w:firstLineChars="100" w:firstLine="160"/>
              <w:cnfStyle w:val="000000000000" w:firstRow="0" w:lastRow="0" w:firstColumn="0" w:lastColumn="0" w:oddVBand="0" w:evenVBand="0" w:oddHBand="0" w:evenHBand="0" w:firstRowFirstColumn="0" w:firstRowLastColumn="0" w:lastRowFirstColumn="0" w:lastRowLastColumn="0"/>
              <w:rPr>
                <w:rFonts w:ascii="Calibri" w:hAnsi="Calibri" w:cs="Arial"/>
                <w:color w:val="231F20"/>
                <w:sz w:val="16"/>
                <w:szCs w:val="16"/>
              </w:rPr>
            </w:pPr>
            <w:r w:rsidRPr="00E356B4">
              <w:rPr>
                <w:rFonts w:ascii="Calibri" w:hAnsi="Calibri" w:cs="Arial"/>
                <w:color w:val="231F20"/>
                <w:sz w:val="16"/>
                <w:szCs w:val="16"/>
              </w:rPr>
              <w:t>-0.9</w:t>
            </w:r>
          </w:p>
        </w:tc>
        <w:tc>
          <w:tcPr>
            <w:tcW w:w="927" w:type="dxa"/>
            <w:vAlign w:val="center"/>
            <w:hideMark/>
          </w:tcPr>
          <w:p w14:paraId="65F64555" w14:textId="77777777" w:rsidR="001774A7" w:rsidRPr="00E356B4" w:rsidRDefault="001774A7" w:rsidP="00D63204">
            <w:pPr>
              <w:ind w:firstLineChars="100" w:firstLine="160"/>
              <w:cnfStyle w:val="000000000000" w:firstRow="0" w:lastRow="0" w:firstColumn="0" w:lastColumn="0" w:oddVBand="0" w:evenVBand="0" w:oddHBand="0" w:evenHBand="0" w:firstRowFirstColumn="0" w:firstRowLastColumn="0" w:lastRowFirstColumn="0" w:lastRowLastColumn="0"/>
              <w:rPr>
                <w:rFonts w:ascii="Calibri" w:hAnsi="Calibri" w:cs="Arial"/>
                <w:color w:val="231F20"/>
                <w:sz w:val="16"/>
                <w:szCs w:val="16"/>
              </w:rPr>
            </w:pPr>
            <w:r w:rsidRPr="00E356B4">
              <w:rPr>
                <w:rFonts w:ascii="Calibri" w:hAnsi="Calibri" w:cs="Arial"/>
                <w:color w:val="231F20"/>
                <w:sz w:val="16"/>
                <w:szCs w:val="16"/>
              </w:rPr>
              <w:t>600</w:t>
            </w:r>
          </w:p>
        </w:tc>
        <w:tc>
          <w:tcPr>
            <w:tcW w:w="961" w:type="dxa"/>
            <w:vAlign w:val="center"/>
            <w:hideMark/>
          </w:tcPr>
          <w:p w14:paraId="33CECA43" w14:textId="77777777" w:rsidR="001774A7" w:rsidRPr="00E356B4" w:rsidRDefault="001774A7" w:rsidP="00D63204">
            <w:pPr>
              <w:ind w:firstLineChars="100" w:firstLine="160"/>
              <w:cnfStyle w:val="000000000000" w:firstRow="0" w:lastRow="0" w:firstColumn="0" w:lastColumn="0" w:oddVBand="0" w:evenVBand="0" w:oddHBand="0" w:evenHBand="0" w:firstRowFirstColumn="0" w:firstRowLastColumn="0" w:lastRowFirstColumn="0" w:lastRowLastColumn="0"/>
              <w:rPr>
                <w:rFonts w:ascii="Calibri" w:hAnsi="Calibri" w:cs="Arial"/>
                <w:color w:val="231F20"/>
                <w:sz w:val="16"/>
                <w:szCs w:val="16"/>
              </w:rPr>
            </w:pPr>
            <w:r w:rsidRPr="00E356B4">
              <w:rPr>
                <w:rFonts w:ascii="Calibri" w:hAnsi="Calibri" w:cs="Arial"/>
                <w:color w:val="231F20"/>
                <w:sz w:val="16"/>
                <w:szCs w:val="16"/>
              </w:rPr>
              <w:t>0.5</w:t>
            </w:r>
          </w:p>
        </w:tc>
      </w:tr>
      <w:tr w:rsidR="001774A7" w:rsidRPr="00E356B4" w14:paraId="7A510522" w14:textId="77777777" w:rsidTr="00CF3FD3">
        <w:trPr>
          <w:cnfStyle w:val="000000100000" w:firstRow="0" w:lastRow="0" w:firstColumn="0" w:lastColumn="0" w:oddVBand="0" w:evenVBand="0" w:oddHBand="1" w:evenHBand="0" w:firstRowFirstColumn="0" w:firstRowLastColumn="0" w:lastRowFirstColumn="0" w:lastRowLastColumn="0"/>
          <w:trHeight w:hRule="exact" w:val="264"/>
        </w:trPr>
        <w:tc>
          <w:tcPr>
            <w:cnfStyle w:val="001000000000" w:firstRow="0" w:lastRow="0" w:firstColumn="1" w:lastColumn="0" w:oddVBand="0" w:evenVBand="0" w:oddHBand="0" w:evenHBand="0" w:firstRowFirstColumn="0" w:firstRowLastColumn="0" w:lastRowFirstColumn="0" w:lastRowLastColumn="0"/>
            <w:tcW w:w="3330" w:type="dxa"/>
            <w:vAlign w:val="center"/>
            <w:hideMark/>
          </w:tcPr>
          <w:p w14:paraId="63FDC3F0" w14:textId="77777777" w:rsidR="001774A7" w:rsidRPr="00CF3FD3" w:rsidRDefault="001774A7" w:rsidP="001774A7">
            <w:pPr>
              <w:rPr>
                <w:rFonts w:ascii="Calibri" w:hAnsi="Calibri" w:cs="Arial"/>
                <w:b w:val="0"/>
                <w:color w:val="231F20"/>
                <w:sz w:val="16"/>
                <w:szCs w:val="16"/>
              </w:rPr>
            </w:pPr>
            <w:r w:rsidRPr="00CF3FD3">
              <w:rPr>
                <w:rFonts w:ascii="Calibri" w:hAnsi="Calibri" w:cs="Arial"/>
                <w:b w:val="0"/>
                <w:color w:val="231F20"/>
                <w:sz w:val="16"/>
                <w:szCs w:val="16"/>
              </w:rPr>
              <w:t>Service Providing</w:t>
            </w:r>
          </w:p>
        </w:tc>
        <w:tc>
          <w:tcPr>
            <w:tcW w:w="1170" w:type="dxa"/>
            <w:vAlign w:val="center"/>
            <w:hideMark/>
          </w:tcPr>
          <w:p w14:paraId="1952AFAC" w14:textId="77777777" w:rsidR="001774A7" w:rsidRPr="00E356B4" w:rsidRDefault="001774A7" w:rsidP="00D63204">
            <w:pPr>
              <w:ind w:firstLineChars="100" w:firstLine="160"/>
              <w:cnfStyle w:val="000000100000" w:firstRow="0" w:lastRow="0" w:firstColumn="0" w:lastColumn="0" w:oddVBand="0" w:evenVBand="0" w:oddHBand="1" w:evenHBand="0" w:firstRowFirstColumn="0" w:firstRowLastColumn="0" w:lastRowFirstColumn="0" w:lastRowLastColumn="0"/>
              <w:rPr>
                <w:rFonts w:ascii="Calibri" w:hAnsi="Calibri" w:cs="Arial"/>
                <w:color w:val="231F20"/>
                <w:sz w:val="16"/>
                <w:szCs w:val="16"/>
              </w:rPr>
            </w:pPr>
            <w:r w:rsidRPr="00E356B4">
              <w:rPr>
                <w:rFonts w:ascii="Calibri" w:hAnsi="Calibri" w:cs="Arial"/>
                <w:color w:val="231F20"/>
                <w:sz w:val="16"/>
                <w:szCs w:val="16"/>
              </w:rPr>
              <w:t>7,773,500</w:t>
            </w:r>
          </w:p>
        </w:tc>
        <w:tc>
          <w:tcPr>
            <w:tcW w:w="1170" w:type="dxa"/>
            <w:vAlign w:val="center"/>
            <w:hideMark/>
          </w:tcPr>
          <w:p w14:paraId="142A1907" w14:textId="77777777" w:rsidR="001774A7" w:rsidRPr="00E356B4" w:rsidRDefault="001774A7" w:rsidP="00D63204">
            <w:pPr>
              <w:ind w:firstLineChars="100" w:firstLine="160"/>
              <w:cnfStyle w:val="000000100000" w:firstRow="0" w:lastRow="0" w:firstColumn="0" w:lastColumn="0" w:oddVBand="0" w:evenVBand="0" w:oddHBand="1" w:evenHBand="0" w:firstRowFirstColumn="0" w:firstRowLastColumn="0" w:lastRowFirstColumn="0" w:lastRowLastColumn="0"/>
              <w:rPr>
                <w:rFonts w:ascii="Calibri" w:hAnsi="Calibri" w:cs="Arial"/>
                <w:color w:val="231F20"/>
                <w:sz w:val="16"/>
                <w:szCs w:val="16"/>
              </w:rPr>
            </w:pPr>
            <w:r w:rsidRPr="00E356B4">
              <w:rPr>
                <w:rFonts w:ascii="Calibri" w:hAnsi="Calibri" w:cs="Arial"/>
                <w:color w:val="231F20"/>
                <w:sz w:val="16"/>
                <w:szCs w:val="16"/>
              </w:rPr>
              <w:t>7,766,800</w:t>
            </w:r>
          </w:p>
        </w:tc>
        <w:tc>
          <w:tcPr>
            <w:tcW w:w="1170" w:type="dxa"/>
            <w:vAlign w:val="center"/>
            <w:hideMark/>
          </w:tcPr>
          <w:p w14:paraId="2E0ED638" w14:textId="77777777" w:rsidR="001774A7" w:rsidRPr="00E356B4" w:rsidRDefault="001774A7" w:rsidP="00D63204">
            <w:pPr>
              <w:ind w:firstLineChars="100" w:firstLine="160"/>
              <w:cnfStyle w:val="000000100000" w:firstRow="0" w:lastRow="0" w:firstColumn="0" w:lastColumn="0" w:oddVBand="0" w:evenVBand="0" w:oddHBand="1" w:evenHBand="0" w:firstRowFirstColumn="0" w:firstRowLastColumn="0" w:lastRowFirstColumn="0" w:lastRowLastColumn="0"/>
              <w:rPr>
                <w:rFonts w:ascii="Calibri" w:hAnsi="Calibri" w:cs="Arial"/>
                <w:color w:val="231F20"/>
                <w:sz w:val="16"/>
                <w:szCs w:val="16"/>
              </w:rPr>
            </w:pPr>
            <w:r w:rsidRPr="00E356B4">
              <w:rPr>
                <w:rFonts w:ascii="Calibri" w:hAnsi="Calibri" w:cs="Arial"/>
                <w:color w:val="231F20"/>
                <w:sz w:val="16"/>
                <w:szCs w:val="16"/>
              </w:rPr>
              <w:t>7,634,400</w:t>
            </w:r>
          </w:p>
        </w:tc>
        <w:tc>
          <w:tcPr>
            <w:tcW w:w="985" w:type="dxa"/>
            <w:vAlign w:val="center"/>
            <w:hideMark/>
          </w:tcPr>
          <w:p w14:paraId="0A3CF06C" w14:textId="77777777" w:rsidR="001774A7" w:rsidRPr="00E356B4" w:rsidRDefault="001774A7" w:rsidP="00D63204">
            <w:pPr>
              <w:ind w:firstLineChars="100" w:firstLine="160"/>
              <w:cnfStyle w:val="000000100000" w:firstRow="0" w:lastRow="0" w:firstColumn="0" w:lastColumn="0" w:oddVBand="0" w:evenVBand="0" w:oddHBand="1" w:evenHBand="0" w:firstRowFirstColumn="0" w:firstRowLastColumn="0" w:lastRowFirstColumn="0" w:lastRowLastColumn="0"/>
              <w:rPr>
                <w:rFonts w:ascii="Calibri" w:hAnsi="Calibri" w:cs="Arial"/>
                <w:color w:val="231F20"/>
                <w:sz w:val="16"/>
                <w:szCs w:val="16"/>
              </w:rPr>
            </w:pPr>
            <w:r w:rsidRPr="00E356B4">
              <w:rPr>
                <w:rFonts w:ascii="Calibri" w:hAnsi="Calibri" w:cs="Arial"/>
                <w:color w:val="231F20"/>
                <w:sz w:val="16"/>
                <w:szCs w:val="16"/>
              </w:rPr>
              <w:t>6,700</w:t>
            </w:r>
          </w:p>
        </w:tc>
        <w:tc>
          <w:tcPr>
            <w:tcW w:w="899" w:type="dxa"/>
            <w:vAlign w:val="center"/>
            <w:hideMark/>
          </w:tcPr>
          <w:p w14:paraId="5EE01D0C" w14:textId="77777777" w:rsidR="001774A7" w:rsidRPr="00E356B4" w:rsidRDefault="001774A7" w:rsidP="00D63204">
            <w:pPr>
              <w:ind w:firstLineChars="100" w:firstLine="160"/>
              <w:cnfStyle w:val="000000100000" w:firstRow="0" w:lastRow="0" w:firstColumn="0" w:lastColumn="0" w:oddVBand="0" w:evenVBand="0" w:oddHBand="1" w:evenHBand="0" w:firstRowFirstColumn="0" w:firstRowLastColumn="0" w:lastRowFirstColumn="0" w:lastRowLastColumn="0"/>
              <w:rPr>
                <w:rFonts w:ascii="Calibri" w:hAnsi="Calibri" w:cs="Arial"/>
                <w:color w:val="231F20"/>
                <w:sz w:val="16"/>
                <w:szCs w:val="16"/>
              </w:rPr>
            </w:pPr>
            <w:r w:rsidRPr="00E356B4">
              <w:rPr>
                <w:rFonts w:ascii="Calibri" w:hAnsi="Calibri" w:cs="Arial"/>
                <w:color w:val="231F20"/>
                <w:sz w:val="16"/>
                <w:szCs w:val="16"/>
              </w:rPr>
              <w:t>0.1</w:t>
            </w:r>
          </w:p>
        </w:tc>
        <w:tc>
          <w:tcPr>
            <w:tcW w:w="927" w:type="dxa"/>
            <w:vAlign w:val="center"/>
            <w:hideMark/>
          </w:tcPr>
          <w:p w14:paraId="56C74FF1" w14:textId="77777777" w:rsidR="001774A7" w:rsidRPr="00E356B4" w:rsidRDefault="001774A7" w:rsidP="00D63204">
            <w:pPr>
              <w:ind w:firstLineChars="100" w:firstLine="160"/>
              <w:cnfStyle w:val="000000100000" w:firstRow="0" w:lastRow="0" w:firstColumn="0" w:lastColumn="0" w:oddVBand="0" w:evenVBand="0" w:oddHBand="1" w:evenHBand="0" w:firstRowFirstColumn="0" w:firstRowLastColumn="0" w:lastRowFirstColumn="0" w:lastRowLastColumn="0"/>
              <w:rPr>
                <w:rFonts w:ascii="Calibri" w:hAnsi="Calibri" w:cs="Arial"/>
                <w:color w:val="231F20"/>
                <w:sz w:val="16"/>
                <w:szCs w:val="16"/>
              </w:rPr>
            </w:pPr>
            <w:r w:rsidRPr="00E356B4">
              <w:rPr>
                <w:rFonts w:ascii="Calibri" w:hAnsi="Calibri" w:cs="Arial"/>
                <w:color w:val="231F20"/>
                <w:sz w:val="16"/>
                <w:szCs w:val="16"/>
              </w:rPr>
              <w:t>139,100</w:t>
            </w:r>
          </w:p>
        </w:tc>
        <w:tc>
          <w:tcPr>
            <w:tcW w:w="961" w:type="dxa"/>
            <w:vAlign w:val="center"/>
            <w:hideMark/>
          </w:tcPr>
          <w:p w14:paraId="3752B0AF" w14:textId="77777777" w:rsidR="001774A7" w:rsidRPr="00E356B4" w:rsidRDefault="001774A7" w:rsidP="00D63204">
            <w:pPr>
              <w:ind w:firstLineChars="100" w:firstLine="160"/>
              <w:cnfStyle w:val="000000100000" w:firstRow="0" w:lastRow="0" w:firstColumn="0" w:lastColumn="0" w:oddVBand="0" w:evenVBand="0" w:oddHBand="1" w:evenHBand="0" w:firstRowFirstColumn="0" w:firstRowLastColumn="0" w:lastRowFirstColumn="0" w:lastRowLastColumn="0"/>
              <w:rPr>
                <w:rFonts w:ascii="Calibri" w:hAnsi="Calibri" w:cs="Arial"/>
                <w:color w:val="231F20"/>
                <w:sz w:val="16"/>
                <w:szCs w:val="16"/>
              </w:rPr>
            </w:pPr>
            <w:r w:rsidRPr="00E356B4">
              <w:rPr>
                <w:rFonts w:ascii="Calibri" w:hAnsi="Calibri" w:cs="Arial"/>
                <w:color w:val="231F20"/>
                <w:sz w:val="16"/>
                <w:szCs w:val="16"/>
              </w:rPr>
              <w:t>1.8</w:t>
            </w:r>
          </w:p>
        </w:tc>
      </w:tr>
      <w:tr w:rsidR="001774A7" w:rsidRPr="00E356B4" w14:paraId="5490FB4A" w14:textId="77777777" w:rsidTr="00CF3FD3">
        <w:trPr>
          <w:trHeight w:hRule="exact" w:val="264"/>
        </w:trPr>
        <w:tc>
          <w:tcPr>
            <w:cnfStyle w:val="001000000000" w:firstRow="0" w:lastRow="0" w:firstColumn="1" w:lastColumn="0" w:oddVBand="0" w:evenVBand="0" w:oddHBand="0" w:evenHBand="0" w:firstRowFirstColumn="0" w:firstRowLastColumn="0" w:lastRowFirstColumn="0" w:lastRowLastColumn="0"/>
            <w:tcW w:w="3330" w:type="dxa"/>
            <w:vAlign w:val="center"/>
            <w:hideMark/>
          </w:tcPr>
          <w:p w14:paraId="113EE835" w14:textId="77777777" w:rsidR="001774A7" w:rsidRPr="00CF3FD3" w:rsidRDefault="001774A7" w:rsidP="001774A7">
            <w:pPr>
              <w:rPr>
                <w:rFonts w:ascii="Calibri" w:hAnsi="Calibri" w:cs="Arial"/>
                <w:b w:val="0"/>
                <w:color w:val="231F20"/>
                <w:sz w:val="16"/>
                <w:szCs w:val="16"/>
              </w:rPr>
            </w:pPr>
            <w:r w:rsidRPr="00CF3FD3">
              <w:rPr>
                <w:rFonts w:ascii="Calibri" w:hAnsi="Calibri" w:cs="Arial"/>
                <w:b w:val="0"/>
                <w:color w:val="231F20"/>
                <w:sz w:val="16"/>
                <w:szCs w:val="16"/>
              </w:rPr>
              <w:t>Private Service Providing</w:t>
            </w:r>
          </w:p>
        </w:tc>
        <w:tc>
          <w:tcPr>
            <w:tcW w:w="1170" w:type="dxa"/>
            <w:vAlign w:val="center"/>
            <w:hideMark/>
          </w:tcPr>
          <w:p w14:paraId="355F00A9" w14:textId="77777777" w:rsidR="001774A7" w:rsidRPr="00E356B4" w:rsidRDefault="001774A7" w:rsidP="00D63204">
            <w:pPr>
              <w:ind w:firstLineChars="100" w:firstLine="160"/>
              <w:cnfStyle w:val="000000000000" w:firstRow="0" w:lastRow="0" w:firstColumn="0" w:lastColumn="0" w:oddVBand="0" w:evenVBand="0" w:oddHBand="0" w:evenHBand="0" w:firstRowFirstColumn="0" w:firstRowLastColumn="0" w:lastRowFirstColumn="0" w:lastRowLastColumn="0"/>
              <w:rPr>
                <w:rFonts w:ascii="Calibri" w:hAnsi="Calibri" w:cs="Arial"/>
                <w:color w:val="231F20"/>
                <w:sz w:val="16"/>
                <w:szCs w:val="16"/>
              </w:rPr>
            </w:pPr>
            <w:r w:rsidRPr="00E356B4">
              <w:rPr>
                <w:rFonts w:ascii="Calibri" w:hAnsi="Calibri" w:cs="Arial"/>
                <w:color w:val="231F20"/>
                <w:sz w:val="16"/>
                <w:szCs w:val="16"/>
              </w:rPr>
              <w:t>6,662,800</w:t>
            </w:r>
          </w:p>
        </w:tc>
        <w:tc>
          <w:tcPr>
            <w:tcW w:w="1170" w:type="dxa"/>
            <w:vAlign w:val="center"/>
            <w:hideMark/>
          </w:tcPr>
          <w:p w14:paraId="18A93135" w14:textId="77777777" w:rsidR="001774A7" w:rsidRPr="00E356B4" w:rsidRDefault="001774A7" w:rsidP="00D63204">
            <w:pPr>
              <w:ind w:firstLineChars="100" w:firstLine="160"/>
              <w:cnfStyle w:val="000000000000" w:firstRow="0" w:lastRow="0" w:firstColumn="0" w:lastColumn="0" w:oddVBand="0" w:evenVBand="0" w:oddHBand="0" w:evenHBand="0" w:firstRowFirstColumn="0" w:firstRowLastColumn="0" w:lastRowFirstColumn="0" w:lastRowLastColumn="0"/>
              <w:rPr>
                <w:rFonts w:ascii="Calibri" w:hAnsi="Calibri" w:cs="Arial"/>
                <w:color w:val="231F20"/>
                <w:sz w:val="16"/>
                <w:szCs w:val="16"/>
              </w:rPr>
            </w:pPr>
            <w:r w:rsidRPr="00E356B4">
              <w:rPr>
                <w:rFonts w:ascii="Calibri" w:hAnsi="Calibri" w:cs="Arial"/>
                <w:color w:val="231F20"/>
                <w:sz w:val="16"/>
                <w:szCs w:val="16"/>
              </w:rPr>
              <w:t>6,655,300</w:t>
            </w:r>
          </w:p>
        </w:tc>
        <w:tc>
          <w:tcPr>
            <w:tcW w:w="1170" w:type="dxa"/>
            <w:vAlign w:val="center"/>
            <w:hideMark/>
          </w:tcPr>
          <w:p w14:paraId="2DD1819E" w14:textId="77777777" w:rsidR="001774A7" w:rsidRPr="00E356B4" w:rsidRDefault="001774A7" w:rsidP="00D63204">
            <w:pPr>
              <w:ind w:firstLineChars="100" w:firstLine="160"/>
              <w:cnfStyle w:val="000000000000" w:firstRow="0" w:lastRow="0" w:firstColumn="0" w:lastColumn="0" w:oddVBand="0" w:evenVBand="0" w:oddHBand="0" w:evenHBand="0" w:firstRowFirstColumn="0" w:firstRowLastColumn="0" w:lastRowFirstColumn="0" w:lastRowLastColumn="0"/>
              <w:rPr>
                <w:rFonts w:ascii="Calibri" w:hAnsi="Calibri" w:cs="Arial"/>
                <w:color w:val="231F20"/>
                <w:sz w:val="16"/>
                <w:szCs w:val="16"/>
              </w:rPr>
            </w:pPr>
            <w:r w:rsidRPr="00E356B4">
              <w:rPr>
                <w:rFonts w:ascii="Calibri" w:hAnsi="Calibri" w:cs="Arial"/>
                <w:color w:val="231F20"/>
                <w:sz w:val="16"/>
                <w:szCs w:val="16"/>
              </w:rPr>
              <w:t>6,535,900</w:t>
            </w:r>
          </w:p>
        </w:tc>
        <w:tc>
          <w:tcPr>
            <w:tcW w:w="985" w:type="dxa"/>
            <w:vAlign w:val="center"/>
            <w:hideMark/>
          </w:tcPr>
          <w:p w14:paraId="59664930" w14:textId="77777777" w:rsidR="001774A7" w:rsidRPr="00E356B4" w:rsidRDefault="001774A7" w:rsidP="00D63204">
            <w:pPr>
              <w:ind w:firstLineChars="100" w:firstLine="160"/>
              <w:cnfStyle w:val="000000000000" w:firstRow="0" w:lastRow="0" w:firstColumn="0" w:lastColumn="0" w:oddVBand="0" w:evenVBand="0" w:oddHBand="0" w:evenHBand="0" w:firstRowFirstColumn="0" w:firstRowLastColumn="0" w:lastRowFirstColumn="0" w:lastRowLastColumn="0"/>
              <w:rPr>
                <w:rFonts w:ascii="Calibri" w:hAnsi="Calibri" w:cs="Arial"/>
                <w:color w:val="231F20"/>
                <w:sz w:val="16"/>
                <w:szCs w:val="16"/>
              </w:rPr>
            </w:pPr>
            <w:r w:rsidRPr="00E356B4">
              <w:rPr>
                <w:rFonts w:ascii="Calibri" w:hAnsi="Calibri" w:cs="Arial"/>
                <w:color w:val="231F20"/>
                <w:sz w:val="16"/>
                <w:szCs w:val="16"/>
              </w:rPr>
              <w:t>7500</w:t>
            </w:r>
          </w:p>
        </w:tc>
        <w:tc>
          <w:tcPr>
            <w:tcW w:w="899" w:type="dxa"/>
            <w:vAlign w:val="center"/>
            <w:hideMark/>
          </w:tcPr>
          <w:p w14:paraId="44129885" w14:textId="77777777" w:rsidR="001774A7" w:rsidRPr="00E356B4" w:rsidRDefault="001774A7" w:rsidP="00D63204">
            <w:pPr>
              <w:ind w:firstLineChars="100" w:firstLine="160"/>
              <w:cnfStyle w:val="000000000000" w:firstRow="0" w:lastRow="0" w:firstColumn="0" w:lastColumn="0" w:oddVBand="0" w:evenVBand="0" w:oddHBand="0" w:evenHBand="0" w:firstRowFirstColumn="0" w:firstRowLastColumn="0" w:lastRowFirstColumn="0" w:lastRowLastColumn="0"/>
              <w:rPr>
                <w:rFonts w:ascii="Calibri" w:hAnsi="Calibri" w:cs="Arial"/>
                <w:color w:val="231F20"/>
                <w:sz w:val="16"/>
                <w:szCs w:val="16"/>
              </w:rPr>
            </w:pPr>
            <w:r w:rsidRPr="00E356B4">
              <w:rPr>
                <w:rFonts w:ascii="Calibri" w:hAnsi="Calibri" w:cs="Arial"/>
                <w:color w:val="231F20"/>
                <w:sz w:val="16"/>
                <w:szCs w:val="16"/>
              </w:rPr>
              <w:t>0.1</w:t>
            </w:r>
          </w:p>
        </w:tc>
        <w:tc>
          <w:tcPr>
            <w:tcW w:w="927" w:type="dxa"/>
            <w:vAlign w:val="center"/>
            <w:hideMark/>
          </w:tcPr>
          <w:p w14:paraId="1871F73E" w14:textId="77777777" w:rsidR="001774A7" w:rsidRPr="00E356B4" w:rsidRDefault="001774A7" w:rsidP="00D63204">
            <w:pPr>
              <w:ind w:firstLineChars="100" w:firstLine="160"/>
              <w:cnfStyle w:val="000000000000" w:firstRow="0" w:lastRow="0" w:firstColumn="0" w:lastColumn="0" w:oddVBand="0" w:evenVBand="0" w:oddHBand="0" w:evenHBand="0" w:firstRowFirstColumn="0" w:firstRowLastColumn="0" w:lastRowFirstColumn="0" w:lastRowLastColumn="0"/>
              <w:rPr>
                <w:rFonts w:ascii="Calibri" w:hAnsi="Calibri" w:cs="Arial"/>
                <w:color w:val="231F20"/>
                <w:sz w:val="16"/>
                <w:szCs w:val="16"/>
              </w:rPr>
            </w:pPr>
            <w:r w:rsidRPr="00E356B4">
              <w:rPr>
                <w:rFonts w:ascii="Calibri" w:hAnsi="Calibri" w:cs="Arial"/>
                <w:color w:val="231F20"/>
                <w:sz w:val="16"/>
                <w:szCs w:val="16"/>
              </w:rPr>
              <w:t>126,900</w:t>
            </w:r>
          </w:p>
        </w:tc>
        <w:tc>
          <w:tcPr>
            <w:tcW w:w="961" w:type="dxa"/>
            <w:vAlign w:val="center"/>
            <w:hideMark/>
          </w:tcPr>
          <w:p w14:paraId="6726BF97" w14:textId="77777777" w:rsidR="001774A7" w:rsidRPr="00E356B4" w:rsidRDefault="001774A7" w:rsidP="00D63204">
            <w:pPr>
              <w:ind w:firstLineChars="100" w:firstLine="160"/>
              <w:cnfStyle w:val="000000000000" w:firstRow="0" w:lastRow="0" w:firstColumn="0" w:lastColumn="0" w:oddVBand="0" w:evenVBand="0" w:oddHBand="0" w:evenHBand="0" w:firstRowFirstColumn="0" w:firstRowLastColumn="0" w:lastRowFirstColumn="0" w:lastRowLastColumn="0"/>
              <w:rPr>
                <w:rFonts w:ascii="Calibri" w:hAnsi="Calibri" w:cs="Arial"/>
                <w:color w:val="231F20"/>
                <w:sz w:val="16"/>
                <w:szCs w:val="16"/>
              </w:rPr>
            </w:pPr>
            <w:r w:rsidRPr="00E356B4">
              <w:rPr>
                <w:rFonts w:ascii="Calibri" w:hAnsi="Calibri" w:cs="Arial"/>
                <w:color w:val="231F20"/>
                <w:sz w:val="16"/>
                <w:szCs w:val="16"/>
              </w:rPr>
              <w:t>1.9</w:t>
            </w:r>
          </w:p>
        </w:tc>
      </w:tr>
      <w:tr w:rsidR="001774A7" w:rsidRPr="00E356B4" w14:paraId="42131494" w14:textId="77777777" w:rsidTr="00CF3FD3">
        <w:trPr>
          <w:cnfStyle w:val="000000100000" w:firstRow="0" w:lastRow="0" w:firstColumn="0" w:lastColumn="0" w:oddVBand="0" w:evenVBand="0" w:oddHBand="1" w:evenHBand="0" w:firstRowFirstColumn="0" w:firstRowLastColumn="0" w:lastRowFirstColumn="0" w:lastRowLastColumn="0"/>
          <w:trHeight w:hRule="exact" w:val="264"/>
        </w:trPr>
        <w:tc>
          <w:tcPr>
            <w:cnfStyle w:val="001000000000" w:firstRow="0" w:lastRow="0" w:firstColumn="1" w:lastColumn="0" w:oddVBand="0" w:evenVBand="0" w:oddHBand="0" w:evenHBand="0" w:firstRowFirstColumn="0" w:firstRowLastColumn="0" w:lastRowFirstColumn="0" w:lastRowLastColumn="0"/>
            <w:tcW w:w="3330" w:type="dxa"/>
            <w:vAlign w:val="center"/>
            <w:hideMark/>
          </w:tcPr>
          <w:p w14:paraId="59053440" w14:textId="4D0E5D20" w:rsidR="001774A7" w:rsidRPr="00CF3FD3" w:rsidRDefault="001774A7" w:rsidP="001774A7">
            <w:pPr>
              <w:rPr>
                <w:rFonts w:ascii="Calibri" w:hAnsi="Calibri" w:cs="Arial"/>
                <w:b w:val="0"/>
                <w:color w:val="231F20"/>
                <w:sz w:val="16"/>
                <w:szCs w:val="16"/>
              </w:rPr>
            </w:pPr>
            <w:r w:rsidRPr="00CF3FD3">
              <w:rPr>
                <w:rFonts w:ascii="Calibri" w:hAnsi="Calibri" w:cs="Arial"/>
                <w:b w:val="0"/>
                <w:color w:val="231F20"/>
                <w:sz w:val="16"/>
                <w:szCs w:val="16"/>
              </w:rPr>
              <w:t>Trade, Transportation</w:t>
            </w:r>
            <w:r w:rsidR="00D5537E">
              <w:rPr>
                <w:rFonts w:ascii="Calibri" w:hAnsi="Calibri" w:cs="Arial"/>
                <w:b w:val="0"/>
                <w:color w:val="231F20"/>
                <w:sz w:val="16"/>
                <w:szCs w:val="16"/>
              </w:rPr>
              <w:t xml:space="preserve"> and</w:t>
            </w:r>
            <w:r w:rsidRPr="00CF3FD3">
              <w:rPr>
                <w:rFonts w:ascii="Calibri" w:hAnsi="Calibri" w:cs="Arial"/>
                <w:b w:val="0"/>
                <w:color w:val="231F20"/>
                <w:sz w:val="16"/>
                <w:szCs w:val="16"/>
              </w:rPr>
              <w:t xml:space="preserve"> Utilities</w:t>
            </w:r>
          </w:p>
        </w:tc>
        <w:tc>
          <w:tcPr>
            <w:tcW w:w="1170" w:type="dxa"/>
            <w:vAlign w:val="center"/>
            <w:hideMark/>
          </w:tcPr>
          <w:p w14:paraId="37B26A72" w14:textId="77777777" w:rsidR="001774A7" w:rsidRPr="00E356B4" w:rsidRDefault="001774A7" w:rsidP="00D63204">
            <w:pPr>
              <w:ind w:firstLineChars="100" w:firstLine="160"/>
              <w:cnfStyle w:val="000000100000" w:firstRow="0" w:lastRow="0" w:firstColumn="0" w:lastColumn="0" w:oddVBand="0" w:evenVBand="0" w:oddHBand="1" w:evenHBand="0" w:firstRowFirstColumn="0" w:firstRowLastColumn="0" w:lastRowFirstColumn="0" w:lastRowLastColumn="0"/>
              <w:rPr>
                <w:rFonts w:ascii="Calibri" w:hAnsi="Calibri" w:cs="Arial"/>
                <w:color w:val="231F20"/>
                <w:sz w:val="16"/>
                <w:szCs w:val="16"/>
              </w:rPr>
            </w:pPr>
            <w:r w:rsidRPr="00E356B4">
              <w:rPr>
                <w:rFonts w:ascii="Calibri" w:hAnsi="Calibri" w:cs="Arial"/>
                <w:color w:val="231F20"/>
                <w:sz w:val="16"/>
                <w:szCs w:val="16"/>
              </w:rPr>
              <w:t>1,767,600</w:t>
            </w:r>
          </w:p>
        </w:tc>
        <w:tc>
          <w:tcPr>
            <w:tcW w:w="1170" w:type="dxa"/>
            <w:vAlign w:val="center"/>
            <w:hideMark/>
          </w:tcPr>
          <w:p w14:paraId="52AA602B" w14:textId="77777777" w:rsidR="001774A7" w:rsidRPr="00E356B4" w:rsidRDefault="001774A7" w:rsidP="00D63204">
            <w:pPr>
              <w:ind w:firstLineChars="100" w:firstLine="160"/>
              <w:cnfStyle w:val="000000100000" w:firstRow="0" w:lastRow="0" w:firstColumn="0" w:lastColumn="0" w:oddVBand="0" w:evenVBand="0" w:oddHBand="1" w:evenHBand="0" w:firstRowFirstColumn="0" w:firstRowLastColumn="0" w:lastRowFirstColumn="0" w:lastRowLastColumn="0"/>
              <w:rPr>
                <w:rFonts w:ascii="Calibri" w:hAnsi="Calibri" w:cs="Arial"/>
                <w:color w:val="231F20"/>
                <w:sz w:val="16"/>
                <w:szCs w:val="16"/>
              </w:rPr>
            </w:pPr>
            <w:r w:rsidRPr="00E356B4">
              <w:rPr>
                <w:rFonts w:ascii="Calibri" w:hAnsi="Calibri" w:cs="Arial"/>
                <w:color w:val="231F20"/>
                <w:sz w:val="16"/>
                <w:szCs w:val="16"/>
              </w:rPr>
              <w:t>1,762,100</w:t>
            </w:r>
          </w:p>
        </w:tc>
        <w:tc>
          <w:tcPr>
            <w:tcW w:w="1170" w:type="dxa"/>
            <w:vAlign w:val="center"/>
            <w:hideMark/>
          </w:tcPr>
          <w:p w14:paraId="6D3839C5" w14:textId="77777777" w:rsidR="001774A7" w:rsidRPr="00E356B4" w:rsidRDefault="001774A7" w:rsidP="00D63204">
            <w:pPr>
              <w:ind w:firstLineChars="100" w:firstLine="160"/>
              <w:cnfStyle w:val="000000100000" w:firstRow="0" w:lastRow="0" w:firstColumn="0" w:lastColumn="0" w:oddVBand="0" w:evenVBand="0" w:oddHBand="1" w:evenHBand="0" w:firstRowFirstColumn="0" w:firstRowLastColumn="0" w:lastRowFirstColumn="0" w:lastRowLastColumn="0"/>
              <w:rPr>
                <w:rFonts w:ascii="Calibri" w:hAnsi="Calibri" w:cs="Arial"/>
                <w:color w:val="231F20"/>
                <w:sz w:val="16"/>
                <w:szCs w:val="16"/>
              </w:rPr>
            </w:pPr>
            <w:r w:rsidRPr="00E356B4">
              <w:rPr>
                <w:rFonts w:ascii="Calibri" w:hAnsi="Calibri" w:cs="Arial"/>
                <w:color w:val="231F20"/>
                <w:sz w:val="16"/>
                <w:szCs w:val="16"/>
              </w:rPr>
              <w:t>1,734,100</w:t>
            </w:r>
          </w:p>
        </w:tc>
        <w:tc>
          <w:tcPr>
            <w:tcW w:w="985" w:type="dxa"/>
            <w:vAlign w:val="center"/>
            <w:hideMark/>
          </w:tcPr>
          <w:p w14:paraId="210D26D7" w14:textId="77777777" w:rsidR="001774A7" w:rsidRPr="00E356B4" w:rsidRDefault="001774A7" w:rsidP="00D63204">
            <w:pPr>
              <w:ind w:firstLineChars="100" w:firstLine="160"/>
              <w:cnfStyle w:val="000000100000" w:firstRow="0" w:lastRow="0" w:firstColumn="0" w:lastColumn="0" w:oddVBand="0" w:evenVBand="0" w:oddHBand="1" w:evenHBand="0" w:firstRowFirstColumn="0" w:firstRowLastColumn="0" w:lastRowFirstColumn="0" w:lastRowLastColumn="0"/>
              <w:rPr>
                <w:rFonts w:ascii="Calibri" w:hAnsi="Calibri" w:cs="Arial"/>
                <w:color w:val="231F20"/>
                <w:sz w:val="16"/>
                <w:szCs w:val="16"/>
              </w:rPr>
            </w:pPr>
            <w:r w:rsidRPr="00E356B4">
              <w:rPr>
                <w:rFonts w:ascii="Calibri" w:hAnsi="Calibri" w:cs="Arial"/>
                <w:color w:val="231F20"/>
                <w:sz w:val="16"/>
                <w:szCs w:val="16"/>
              </w:rPr>
              <w:t>5500</w:t>
            </w:r>
          </w:p>
        </w:tc>
        <w:tc>
          <w:tcPr>
            <w:tcW w:w="899" w:type="dxa"/>
            <w:vAlign w:val="center"/>
            <w:hideMark/>
          </w:tcPr>
          <w:p w14:paraId="1097CBB8" w14:textId="77777777" w:rsidR="001774A7" w:rsidRPr="00E356B4" w:rsidRDefault="001774A7" w:rsidP="00D63204">
            <w:pPr>
              <w:ind w:firstLineChars="100" w:firstLine="160"/>
              <w:cnfStyle w:val="000000100000" w:firstRow="0" w:lastRow="0" w:firstColumn="0" w:lastColumn="0" w:oddVBand="0" w:evenVBand="0" w:oddHBand="1" w:evenHBand="0" w:firstRowFirstColumn="0" w:firstRowLastColumn="0" w:lastRowFirstColumn="0" w:lastRowLastColumn="0"/>
              <w:rPr>
                <w:rFonts w:ascii="Calibri" w:hAnsi="Calibri" w:cs="Arial"/>
                <w:color w:val="231F20"/>
                <w:sz w:val="16"/>
                <w:szCs w:val="16"/>
              </w:rPr>
            </w:pPr>
            <w:r w:rsidRPr="00E356B4">
              <w:rPr>
                <w:rFonts w:ascii="Calibri" w:hAnsi="Calibri" w:cs="Arial"/>
                <w:color w:val="231F20"/>
                <w:sz w:val="16"/>
                <w:szCs w:val="16"/>
              </w:rPr>
              <w:t>0.3</w:t>
            </w:r>
          </w:p>
        </w:tc>
        <w:tc>
          <w:tcPr>
            <w:tcW w:w="927" w:type="dxa"/>
            <w:vAlign w:val="center"/>
            <w:hideMark/>
          </w:tcPr>
          <w:p w14:paraId="2A6EFB81" w14:textId="77777777" w:rsidR="001774A7" w:rsidRPr="00E356B4" w:rsidRDefault="001774A7" w:rsidP="00D63204">
            <w:pPr>
              <w:ind w:firstLineChars="100" w:firstLine="160"/>
              <w:cnfStyle w:val="000000100000" w:firstRow="0" w:lastRow="0" w:firstColumn="0" w:lastColumn="0" w:oddVBand="0" w:evenVBand="0" w:oddHBand="1" w:evenHBand="0" w:firstRowFirstColumn="0" w:firstRowLastColumn="0" w:lastRowFirstColumn="0" w:lastRowLastColumn="0"/>
              <w:rPr>
                <w:rFonts w:ascii="Calibri" w:hAnsi="Calibri" w:cs="Arial"/>
                <w:color w:val="231F20"/>
                <w:sz w:val="16"/>
                <w:szCs w:val="16"/>
              </w:rPr>
            </w:pPr>
            <w:r w:rsidRPr="00E356B4">
              <w:rPr>
                <w:rFonts w:ascii="Calibri" w:hAnsi="Calibri" w:cs="Arial"/>
                <w:color w:val="231F20"/>
                <w:sz w:val="16"/>
                <w:szCs w:val="16"/>
              </w:rPr>
              <w:t>33,500</w:t>
            </w:r>
          </w:p>
        </w:tc>
        <w:tc>
          <w:tcPr>
            <w:tcW w:w="961" w:type="dxa"/>
            <w:vAlign w:val="center"/>
            <w:hideMark/>
          </w:tcPr>
          <w:p w14:paraId="7EB35D66" w14:textId="77777777" w:rsidR="001774A7" w:rsidRPr="00E356B4" w:rsidRDefault="001774A7" w:rsidP="00D63204">
            <w:pPr>
              <w:ind w:firstLineChars="100" w:firstLine="160"/>
              <w:cnfStyle w:val="000000100000" w:firstRow="0" w:lastRow="0" w:firstColumn="0" w:lastColumn="0" w:oddVBand="0" w:evenVBand="0" w:oddHBand="1" w:evenHBand="0" w:firstRowFirstColumn="0" w:firstRowLastColumn="0" w:lastRowFirstColumn="0" w:lastRowLastColumn="0"/>
              <w:rPr>
                <w:rFonts w:ascii="Calibri" w:hAnsi="Calibri" w:cs="Arial"/>
                <w:color w:val="231F20"/>
                <w:sz w:val="16"/>
                <w:szCs w:val="16"/>
              </w:rPr>
            </w:pPr>
            <w:r w:rsidRPr="00E356B4">
              <w:rPr>
                <w:rFonts w:ascii="Calibri" w:hAnsi="Calibri" w:cs="Arial"/>
                <w:color w:val="231F20"/>
                <w:sz w:val="16"/>
                <w:szCs w:val="16"/>
              </w:rPr>
              <w:t>1.9</w:t>
            </w:r>
          </w:p>
        </w:tc>
      </w:tr>
      <w:tr w:rsidR="001774A7" w:rsidRPr="00E356B4" w14:paraId="7C5E2C48" w14:textId="77777777" w:rsidTr="00CF3FD3">
        <w:trPr>
          <w:trHeight w:hRule="exact" w:val="264"/>
        </w:trPr>
        <w:tc>
          <w:tcPr>
            <w:cnfStyle w:val="001000000000" w:firstRow="0" w:lastRow="0" w:firstColumn="1" w:lastColumn="0" w:oddVBand="0" w:evenVBand="0" w:oddHBand="0" w:evenHBand="0" w:firstRowFirstColumn="0" w:firstRowLastColumn="0" w:lastRowFirstColumn="0" w:lastRowLastColumn="0"/>
            <w:tcW w:w="3330" w:type="dxa"/>
            <w:vAlign w:val="center"/>
            <w:hideMark/>
          </w:tcPr>
          <w:p w14:paraId="71095BC9" w14:textId="77777777" w:rsidR="001774A7" w:rsidRPr="00CF3FD3" w:rsidRDefault="001774A7" w:rsidP="001774A7">
            <w:pPr>
              <w:ind w:firstLineChars="200" w:firstLine="320"/>
              <w:rPr>
                <w:rFonts w:ascii="Calibri" w:hAnsi="Calibri" w:cs="Arial"/>
                <w:b w:val="0"/>
                <w:color w:val="231F20"/>
                <w:sz w:val="16"/>
                <w:szCs w:val="16"/>
              </w:rPr>
            </w:pPr>
            <w:r w:rsidRPr="00CF3FD3">
              <w:rPr>
                <w:rFonts w:ascii="Calibri" w:hAnsi="Calibri" w:cs="Arial"/>
                <w:b w:val="0"/>
                <w:color w:val="231F20"/>
                <w:sz w:val="16"/>
                <w:szCs w:val="16"/>
              </w:rPr>
              <w:t>Wholesale Trade</w:t>
            </w:r>
          </w:p>
        </w:tc>
        <w:tc>
          <w:tcPr>
            <w:tcW w:w="1170" w:type="dxa"/>
            <w:vAlign w:val="center"/>
            <w:hideMark/>
          </w:tcPr>
          <w:p w14:paraId="0F132F0D" w14:textId="77777777" w:rsidR="001774A7" w:rsidRPr="00E356B4" w:rsidRDefault="001774A7" w:rsidP="00D63204">
            <w:pPr>
              <w:ind w:firstLineChars="100" w:firstLine="160"/>
              <w:cnfStyle w:val="000000000000" w:firstRow="0" w:lastRow="0" w:firstColumn="0" w:lastColumn="0" w:oddVBand="0" w:evenVBand="0" w:oddHBand="0" w:evenHBand="0" w:firstRowFirstColumn="0" w:firstRowLastColumn="0" w:lastRowFirstColumn="0" w:lastRowLastColumn="0"/>
              <w:rPr>
                <w:rFonts w:ascii="Calibri" w:hAnsi="Calibri" w:cs="Arial"/>
                <w:color w:val="231F20"/>
                <w:sz w:val="16"/>
                <w:szCs w:val="16"/>
              </w:rPr>
            </w:pPr>
            <w:r w:rsidRPr="00E356B4">
              <w:rPr>
                <w:rFonts w:ascii="Calibri" w:hAnsi="Calibri" w:cs="Arial"/>
                <w:color w:val="231F20"/>
                <w:sz w:val="16"/>
                <w:szCs w:val="16"/>
              </w:rPr>
              <w:t>354,000</w:t>
            </w:r>
          </w:p>
        </w:tc>
        <w:tc>
          <w:tcPr>
            <w:tcW w:w="1170" w:type="dxa"/>
            <w:vAlign w:val="center"/>
            <w:hideMark/>
          </w:tcPr>
          <w:p w14:paraId="6E00B11B" w14:textId="77777777" w:rsidR="001774A7" w:rsidRPr="00E356B4" w:rsidRDefault="001774A7" w:rsidP="00D63204">
            <w:pPr>
              <w:ind w:firstLineChars="100" w:firstLine="160"/>
              <w:cnfStyle w:val="000000000000" w:firstRow="0" w:lastRow="0" w:firstColumn="0" w:lastColumn="0" w:oddVBand="0" w:evenVBand="0" w:oddHBand="0" w:evenHBand="0" w:firstRowFirstColumn="0" w:firstRowLastColumn="0" w:lastRowFirstColumn="0" w:lastRowLastColumn="0"/>
              <w:rPr>
                <w:rFonts w:ascii="Calibri" w:hAnsi="Calibri" w:cs="Arial"/>
                <w:color w:val="231F20"/>
                <w:sz w:val="16"/>
                <w:szCs w:val="16"/>
              </w:rPr>
            </w:pPr>
            <w:r w:rsidRPr="00E356B4">
              <w:rPr>
                <w:rFonts w:ascii="Calibri" w:hAnsi="Calibri" w:cs="Arial"/>
                <w:color w:val="231F20"/>
                <w:sz w:val="16"/>
                <w:szCs w:val="16"/>
              </w:rPr>
              <w:t>353,000</w:t>
            </w:r>
          </w:p>
        </w:tc>
        <w:tc>
          <w:tcPr>
            <w:tcW w:w="1170" w:type="dxa"/>
            <w:vAlign w:val="center"/>
            <w:hideMark/>
          </w:tcPr>
          <w:p w14:paraId="2B97392B" w14:textId="77777777" w:rsidR="001774A7" w:rsidRPr="00E356B4" w:rsidRDefault="001774A7" w:rsidP="00D63204">
            <w:pPr>
              <w:ind w:firstLineChars="100" w:firstLine="160"/>
              <w:cnfStyle w:val="000000000000" w:firstRow="0" w:lastRow="0" w:firstColumn="0" w:lastColumn="0" w:oddVBand="0" w:evenVBand="0" w:oddHBand="0" w:evenHBand="0" w:firstRowFirstColumn="0" w:firstRowLastColumn="0" w:lastRowFirstColumn="0" w:lastRowLastColumn="0"/>
              <w:rPr>
                <w:rFonts w:ascii="Calibri" w:hAnsi="Calibri" w:cs="Arial"/>
                <w:color w:val="231F20"/>
                <w:sz w:val="16"/>
                <w:szCs w:val="16"/>
              </w:rPr>
            </w:pPr>
            <w:r w:rsidRPr="00E356B4">
              <w:rPr>
                <w:rFonts w:ascii="Calibri" w:hAnsi="Calibri" w:cs="Arial"/>
                <w:color w:val="231F20"/>
                <w:sz w:val="16"/>
                <w:szCs w:val="16"/>
              </w:rPr>
              <w:t>338,800</w:t>
            </w:r>
          </w:p>
        </w:tc>
        <w:tc>
          <w:tcPr>
            <w:tcW w:w="985" w:type="dxa"/>
            <w:vAlign w:val="center"/>
            <w:hideMark/>
          </w:tcPr>
          <w:p w14:paraId="6378F0E0" w14:textId="77777777" w:rsidR="001774A7" w:rsidRPr="00E356B4" w:rsidRDefault="001774A7" w:rsidP="00D63204">
            <w:pPr>
              <w:ind w:firstLineChars="100" w:firstLine="160"/>
              <w:cnfStyle w:val="000000000000" w:firstRow="0" w:lastRow="0" w:firstColumn="0" w:lastColumn="0" w:oddVBand="0" w:evenVBand="0" w:oddHBand="0" w:evenHBand="0" w:firstRowFirstColumn="0" w:firstRowLastColumn="0" w:lastRowFirstColumn="0" w:lastRowLastColumn="0"/>
              <w:rPr>
                <w:rFonts w:ascii="Calibri" w:hAnsi="Calibri" w:cs="Arial"/>
                <w:color w:val="231F20"/>
                <w:sz w:val="16"/>
                <w:szCs w:val="16"/>
              </w:rPr>
            </w:pPr>
            <w:r w:rsidRPr="00E356B4">
              <w:rPr>
                <w:rFonts w:ascii="Calibri" w:hAnsi="Calibri" w:cs="Arial"/>
                <w:color w:val="231F20"/>
                <w:sz w:val="16"/>
                <w:szCs w:val="16"/>
              </w:rPr>
              <w:t>1,000</w:t>
            </w:r>
          </w:p>
        </w:tc>
        <w:tc>
          <w:tcPr>
            <w:tcW w:w="899" w:type="dxa"/>
            <w:vAlign w:val="center"/>
            <w:hideMark/>
          </w:tcPr>
          <w:p w14:paraId="31BD9B71" w14:textId="77777777" w:rsidR="001774A7" w:rsidRPr="00E356B4" w:rsidRDefault="001774A7" w:rsidP="00D63204">
            <w:pPr>
              <w:ind w:firstLineChars="100" w:firstLine="160"/>
              <w:cnfStyle w:val="000000000000" w:firstRow="0" w:lastRow="0" w:firstColumn="0" w:lastColumn="0" w:oddVBand="0" w:evenVBand="0" w:oddHBand="0" w:evenHBand="0" w:firstRowFirstColumn="0" w:firstRowLastColumn="0" w:lastRowFirstColumn="0" w:lastRowLastColumn="0"/>
              <w:rPr>
                <w:rFonts w:ascii="Calibri" w:hAnsi="Calibri" w:cs="Arial"/>
                <w:color w:val="231F20"/>
                <w:sz w:val="16"/>
                <w:szCs w:val="16"/>
              </w:rPr>
            </w:pPr>
            <w:r w:rsidRPr="00E356B4">
              <w:rPr>
                <w:rFonts w:ascii="Calibri" w:hAnsi="Calibri" w:cs="Arial"/>
                <w:color w:val="231F20"/>
                <w:sz w:val="16"/>
                <w:szCs w:val="16"/>
              </w:rPr>
              <w:t>0.3</w:t>
            </w:r>
          </w:p>
        </w:tc>
        <w:tc>
          <w:tcPr>
            <w:tcW w:w="927" w:type="dxa"/>
            <w:vAlign w:val="center"/>
            <w:hideMark/>
          </w:tcPr>
          <w:p w14:paraId="5200FE43" w14:textId="77777777" w:rsidR="001774A7" w:rsidRPr="00E356B4" w:rsidRDefault="001774A7" w:rsidP="00D63204">
            <w:pPr>
              <w:ind w:firstLineChars="100" w:firstLine="160"/>
              <w:cnfStyle w:val="000000000000" w:firstRow="0" w:lastRow="0" w:firstColumn="0" w:lastColumn="0" w:oddVBand="0" w:evenVBand="0" w:oddHBand="0" w:evenHBand="0" w:firstRowFirstColumn="0" w:firstRowLastColumn="0" w:lastRowFirstColumn="0" w:lastRowLastColumn="0"/>
              <w:rPr>
                <w:rFonts w:ascii="Calibri" w:hAnsi="Calibri" w:cs="Arial"/>
                <w:color w:val="231F20"/>
                <w:sz w:val="16"/>
                <w:szCs w:val="16"/>
              </w:rPr>
            </w:pPr>
            <w:r w:rsidRPr="00E356B4">
              <w:rPr>
                <w:rFonts w:ascii="Calibri" w:hAnsi="Calibri" w:cs="Arial"/>
                <w:color w:val="231F20"/>
                <w:sz w:val="16"/>
                <w:szCs w:val="16"/>
              </w:rPr>
              <w:t>15,200</w:t>
            </w:r>
          </w:p>
        </w:tc>
        <w:tc>
          <w:tcPr>
            <w:tcW w:w="961" w:type="dxa"/>
            <w:vAlign w:val="center"/>
            <w:hideMark/>
          </w:tcPr>
          <w:p w14:paraId="0B2743BC" w14:textId="77777777" w:rsidR="001774A7" w:rsidRPr="00E356B4" w:rsidRDefault="001774A7" w:rsidP="00D63204">
            <w:pPr>
              <w:ind w:firstLineChars="100" w:firstLine="160"/>
              <w:cnfStyle w:val="000000000000" w:firstRow="0" w:lastRow="0" w:firstColumn="0" w:lastColumn="0" w:oddVBand="0" w:evenVBand="0" w:oddHBand="0" w:evenHBand="0" w:firstRowFirstColumn="0" w:firstRowLastColumn="0" w:lastRowFirstColumn="0" w:lastRowLastColumn="0"/>
              <w:rPr>
                <w:rFonts w:ascii="Calibri" w:hAnsi="Calibri" w:cs="Arial"/>
                <w:color w:val="231F20"/>
                <w:sz w:val="16"/>
                <w:szCs w:val="16"/>
              </w:rPr>
            </w:pPr>
            <w:r w:rsidRPr="00E356B4">
              <w:rPr>
                <w:rFonts w:ascii="Calibri" w:hAnsi="Calibri" w:cs="Arial"/>
                <w:color w:val="231F20"/>
                <w:sz w:val="16"/>
                <w:szCs w:val="16"/>
              </w:rPr>
              <w:t>4.5</w:t>
            </w:r>
          </w:p>
        </w:tc>
      </w:tr>
      <w:tr w:rsidR="001774A7" w:rsidRPr="00E356B4" w14:paraId="6EFF87D3" w14:textId="77777777" w:rsidTr="00CF3FD3">
        <w:trPr>
          <w:cnfStyle w:val="000000100000" w:firstRow="0" w:lastRow="0" w:firstColumn="0" w:lastColumn="0" w:oddVBand="0" w:evenVBand="0" w:oddHBand="1" w:evenHBand="0" w:firstRowFirstColumn="0" w:firstRowLastColumn="0" w:lastRowFirstColumn="0" w:lastRowLastColumn="0"/>
          <w:trHeight w:hRule="exact" w:val="264"/>
        </w:trPr>
        <w:tc>
          <w:tcPr>
            <w:cnfStyle w:val="001000000000" w:firstRow="0" w:lastRow="0" w:firstColumn="1" w:lastColumn="0" w:oddVBand="0" w:evenVBand="0" w:oddHBand="0" w:evenHBand="0" w:firstRowFirstColumn="0" w:firstRowLastColumn="0" w:lastRowFirstColumn="0" w:lastRowLastColumn="0"/>
            <w:tcW w:w="3330" w:type="dxa"/>
            <w:vAlign w:val="center"/>
            <w:hideMark/>
          </w:tcPr>
          <w:p w14:paraId="43D5ADB5" w14:textId="77777777" w:rsidR="001774A7" w:rsidRPr="00CF3FD3" w:rsidRDefault="001774A7" w:rsidP="001774A7">
            <w:pPr>
              <w:ind w:firstLineChars="200" w:firstLine="320"/>
              <w:rPr>
                <w:rFonts w:ascii="Calibri" w:hAnsi="Calibri" w:cs="Arial"/>
                <w:b w:val="0"/>
                <w:color w:val="231F20"/>
                <w:sz w:val="16"/>
                <w:szCs w:val="16"/>
              </w:rPr>
            </w:pPr>
            <w:r w:rsidRPr="00CF3FD3">
              <w:rPr>
                <w:rFonts w:ascii="Calibri" w:hAnsi="Calibri" w:cs="Arial"/>
                <w:b w:val="0"/>
                <w:color w:val="231F20"/>
                <w:sz w:val="16"/>
                <w:szCs w:val="16"/>
              </w:rPr>
              <w:t>Retail Trade</w:t>
            </w:r>
          </w:p>
        </w:tc>
        <w:tc>
          <w:tcPr>
            <w:tcW w:w="1170" w:type="dxa"/>
            <w:vAlign w:val="center"/>
            <w:hideMark/>
          </w:tcPr>
          <w:p w14:paraId="7775D3CA" w14:textId="77777777" w:rsidR="001774A7" w:rsidRPr="00E356B4" w:rsidRDefault="001774A7" w:rsidP="00D63204">
            <w:pPr>
              <w:ind w:firstLineChars="100" w:firstLine="160"/>
              <w:cnfStyle w:val="000000100000" w:firstRow="0" w:lastRow="0" w:firstColumn="0" w:lastColumn="0" w:oddVBand="0" w:evenVBand="0" w:oddHBand="1" w:evenHBand="0" w:firstRowFirstColumn="0" w:firstRowLastColumn="0" w:lastRowFirstColumn="0" w:lastRowLastColumn="0"/>
              <w:rPr>
                <w:rFonts w:ascii="Calibri" w:hAnsi="Calibri" w:cs="Arial"/>
                <w:color w:val="231F20"/>
                <w:sz w:val="16"/>
                <w:szCs w:val="16"/>
              </w:rPr>
            </w:pPr>
            <w:r w:rsidRPr="00E356B4">
              <w:rPr>
                <w:rFonts w:ascii="Calibri" w:hAnsi="Calibri" w:cs="Arial"/>
                <w:color w:val="231F20"/>
                <w:sz w:val="16"/>
                <w:szCs w:val="16"/>
              </w:rPr>
              <w:t>1,125,600</w:t>
            </w:r>
          </w:p>
        </w:tc>
        <w:tc>
          <w:tcPr>
            <w:tcW w:w="1170" w:type="dxa"/>
            <w:vAlign w:val="center"/>
            <w:hideMark/>
          </w:tcPr>
          <w:p w14:paraId="7E4AE0D1" w14:textId="77777777" w:rsidR="001774A7" w:rsidRPr="00E356B4" w:rsidRDefault="001774A7" w:rsidP="00D63204">
            <w:pPr>
              <w:ind w:firstLineChars="100" w:firstLine="160"/>
              <w:cnfStyle w:val="000000100000" w:firstRow="0" w:lastRow="0" w:firstColumn="0" w:lastColumn="0" w:oddVBand="0" w:evenVBand="0" w:oddHBand="1" w:evenHBand="0" w:firstRowFirstColumn="0" w:firstRowLastColumn="0" w:lastRowFirstColumn="0" w:lastRowLastColumn="0"/>
              <w:rPr>
                <w:rFonts w:ascii="Calibri" w:hAnsi="Calibri" w:cs="Arial"/>
                <w:color w:val="231F20"/>
                <w:sz w:val="16"/>
                <w:szCs w:val="16"/>
              </w:rPr>
            </w:pPr>
            <w:r w:rsidRPr="00E356B4">
              <w:rPr>
                <w:rFonts w:ascii="Calibri" w:hAnsi="Calibri" w:cs="Arial"/>
                <w:color w:val="231F20"/>
                <w:sz w:val="16"/>
                <w:szCs w:val="16"/>
              </w:rPr>
              <w:t>1,123,600</w:t>
            </w:r>
          </w:p>
        </w:tc>
        <w:tc>
          <w:tcPr>
            <w:tcW w:w="1170" w:type="dxa"/>
            <w:vAlign w:val="center"/>
            <w:hideMark/>
          </w:tcPr>
          <w:p w14:paraId="199FBC9F" w14:textId="77777777" w:rsidR="001774A7" w:rsidRPr="00E356B4" w:rsidRDefault="001774A7" w:rsidP="00D63204">
            <w:pPr>
              <w:ind w:firstLineChars="100" w:firstLine="160"/>
              <w:cnfStyle w:val="000000100000" w:firstRow="0" w:lastRow="0" w:firstColumn="0" w:lastColumn="0" w:oddVBand="0" w:evenVBand="0" w:oddHBand="1" w:evenHBand="0" w:firstRowFirstColumn="0" w:firstRowLastColumn="0" w:lastRowFirstColumn="0" w:lastRowLastColumn="0"/>
              <w:rPr>
                <w:rFonts w:ascii="Calibri" w:hAnsi="Calibri" w:cs="Arial"/>
                <w:color w:val="231F20"/>
                <w:sz w:val="16"/>
                <w:szCs w:val="16"/>
              </w:rPr>
            </w:pPr>
            <w:r w:rsidRPr="00E356B4">
              <w:rPr>
                <w:rFonts w:ascii="Calibri" w:hAnsi="Calibri" w:cs="Arial"/>
                <w:color w:val="231F20"/>
                <w:sz w:val="16"/>
                <w:szCs w:val="16"/>
              </w:rPr>
              <w:t>1,114,200</w:t>
            </w:r>
          </w:p>
        </w:tc>
        <w:tc>
          <w:tcPr>
            <w:tcW w:w="985" w:type="dxa"/>
            <w:vAlign w:val="center"/>
            <w:hideMark/>
          </w:tcPr>
          <w:p w14:paraId="2013DBA2" w14:textId="77777777" w:rsidR="001774A7" w:rsidRPr="00E356B4" w:rsidRDefault="001774A7" w:rsidP="00D63204">
            <w:pPr>
              <w:ind w:firstLineChars="100" w:firstLine="160"/>
              <w:cnfStyle w:val="000000100000" w:firstRow="0" w:lastRow="0" w:firstColumn="0" w:lastColumn="0" w:oddVBand="0" w:evenVBand="0" w:oddHBand="1" w:evenHBand="0" w:firstRowFirstColumn="0" w:firstRowLastColumn="0" w:lastRowFirstColumn="0" w:lastRowLastColumn="0"/>
              <w:rPr>
                <w:rFonts w:ascii="Calibri" w:hAnsi="Calibri" w:cs="Arial"/>
                <w:color w:val="231F20"/>
                <w:sz w:val="16"/>
                <w:szCs w:val="16"/>
              </w:rPr>
            </w:pPr>
            <w:r w:rsidRPr="00E356B4">
              <w:rPr>
                <w:rFonts w:ascii="Calibri" w:hAnsi="Calibri" w:cs="Arial"/>
                <w:color w:val="231F20"/>
                <w:sz w:val="16"/>
                <w:szCs w:val="16"/>
              </w:rPr>
              <w:t>2,000</w:t>
            </w:r>
          </w:p>
        </w:tc>
        <w:tc>
          <w:tcPr>
            <w:tcW w:w="899" w:type="dxa"/>
            <w:vAlign w:val="center"/>
            <w:hideMark/>
          </w:tcPr>
          <w:p w14:paraId="34DD8E59" w14:textId="77777777" w:rsidR="001774A7" w:rsidRPr="00E356B4" w:rsidRDefault="001774A7" w:rsidP="00D63204">
            <w:pPr>
              <w:ind w:firstLineChars="100" w:firstLine="160"/>
              <w:cnfStyle w:val="000000100000" w:firstRow="0" w:lastRow="0" w:firstColumn="0" w:lastColumn="0" w:oddVBand="0" w:evenVBand="0" w:oddHBand="1" w:evenHBand="0" w:firstRowFirstColumn="0" w:firstRowLastColumn="0" w:lastRowFirstColumn="0" w:lastRowLastColumn="0"/>
              <w:rPr>
                <w:rFonts w:ascii="Calibri" w:hAnsi="Calibri" w:cs="Arial"/>
                <w:color w:val="231F20"/>
                <w:sz w:val="16"/>
                <w:szCs w:val="16"/>
              </w:rPr>
            </w:pPr>
            <w:r w:rsidRPr="00E356B4">
              <w:rPr>
                <w:rFonts w:ascii="Calibri" w:hAnsi="Calibri" w:cs="Arial"/>
                <w:color w:val="231F20"/>
                <w:sz w:val="16"/>
                <w:szCs w:val="16"/>
              </w:rPr>
              <w:t>0.2</w:t>
            </w:r>
          </w:p>
        </w:tc>
        <w:tc>
          <w:tcPr>
            <w:tcW w:w="927" w:type="dxa"/>
            <w:vAlign w:val="center"/>
            <w:hideMark/>
          </w:tcPr>
          <w:p w14:paraId="32AAC486" w14:textId="77777777" w:rsidR="001774A7" w:rsidRPr="00E356B4" w:rsidRDefault="001774A7" w:rsidP="00D63204">
            <w:pPr>
              <w:ind w:firstLineChars="100" w:firstLine="160"/>
              <w:cnfStyle w:val="000000100000" w:firstRow="0" w:lastRow="0" w:firstColumn="0" w:lastColumn="0" w:oddVBand="0" w:evenVBand="0" w:oddHBand="1" w:evenHBand="0" w:firstRowFirstColumn="0" w:firstRowLastColumn="0" w:lastRowFirstColumn="0" w:lastRowLastColumn="0"/>
              <w:rPr>
                <w:rFonts w:ascii="Calibri" w:hAnsi="Calibri" w:cs="Arial"/>
                <w:color w:val="231F20"/>
                <w:sz w:val="16"/>
                <w:szCs w:val="16"/>
              </w:rPr>
            </w:pPr>
            <w:r w:rsidRPr="00E356B4">
              <w:rPr>
                <w:rFonts w:ascii="Calibri" w:hAnsi="Calibri" w:cs="Arial"/>
                <w:color w:val="231F20"/>
                <w:sz w:val="16"/>
                <w:szCs w:val="16"/>
              </w:rPr>
              <w:t>11,400</w:t>
            </w:r>
          </w:p>
        </w:tc>
        <w:tc>
          <w:tcPr>
            <w:tcW w:w="961" w:type="dxa"/>
            <w:vAlign w:val="center"/>
            <w:hideMark/>
          </w:tcPr>
          <w:p w14:paraId="5C421A80" w14:textId="77777777" w:rsidR="001774A7" w:rsidRPr="00E356B4" w:rsidRDefault="001774A7" w:rsidP="00D63204">
            <w:pPr>
              <w:ind w:firstLineChars="100" w:firstLine="160"/>
              <w:cnfStyle w:val="000000100000" w:firstRow="0" w:lastRow="0" w:firstColumn="0" w:lastColumn="0" w:oddVBand="0" w:evenVBand="0" w:oddHBand="1" w:evenHBand="0" w:firstRowFirstColumn="0" w:firstRowLastColumn="0" w:lastRowFirstColumn="0" w:lastRowLastColumn="0"/>
              <w:rPr>
                <w:rFonts w:ascii="Calibri" w:hAnsi="Calibri" w:cs="Arial"/>
                <w:color w:val="231F20"/>
                <w:sz w:val="16"/>
                <w:szCs w:val="16"/>
              </w:rPr>
            </w:pPr>
            <w:r w:rsidRPr="00E356B4">
              <w:rPr>
                <w:rFonts w:ascii="Calibri" w:hAnsi="Calibri" w:cs="Arial"/>
                <w:color w:val="231F20"/>
                <w:sz w:val="16"/>
                <w:szCs w:val="16"/>
              </w:rPr>
              <w:t>1</w:t>
            </w:r>
          </w:p>
        </w:tc>
      </w:tr>
      <w:tr w:rsidR="001774A7" w:rsidRPr="00E356B4" w14:paraId="4028D894" w14:textId="77777777" w:rsidTr="00CF3FD3">
        <w:trPr>
          <w:trHeight w:hRule="exact" w:val="264"/>
        </w:trPr>
        <w:tc>
          <w:tcPr>
            <w:cnfStyle w:val="001000000000" w:firstRow="0" w:lastRow="0" w:firstColumn="1" w:lastColumn="0" w:oddVBand="0" w:evenVBand="0" w:oddHBand="0" w:evenHBand="0" w:firstRowFirstColumn="0" w:firstRowLastColumn="0" w:lastRowFirstColumn="0" w:lastRowLastColumn="0"/>
            <w:tcW w:w="3330" w:type="dxa"/>
            <w:vAlign w:val="center"/>
            <w:hideMark/>
          </w:tcPr>
          <w:p w14:paraId="5C0A95FF" w14:textId="3B177775" w:rsidR="001774A7" w:rsidRPr="00CF3FD3" w:rsidRDefault="001774A7" w:rsidP="001774A7">
            <w:pPr>
              <w:ind w:firstLineChars="100" w:firstLine="160"/>
              <w:rPr>
                <w:rFonts w:ascii="Calibri" w:hAnsi="Calibri" w:cs="Arial"/>
                <w:b w:val="0"/>
                <w:color w:val="231F20"/>
                <w:sz w:val="16"/>
                <w:szCs w:val="16"/>
              </w:rPr>
            </w:pPr>
            <w:r w:rsidRPr="00CF3FD3">
              <w:rPr>
                <w:rFonts w:ascii="Calibri" w:hAnsi="Calibri" w:cs="Arial"/>
                <w:b w:val="0"/>
                <w:color w:val="231F20"/>
                <w:sz w:val="16"/>
                <w:szCs w:val="16"/>
              </w:rPr>
              <w:t xml:space="preserve">    Transportation, Warehousing</w:t>
            </w:r>
            <w:r w:rsidR="00D5537E">
              <w:rPr>
                <w:rFonts w:ascii="Calibri" w:hAnsi="Calibri" w:cs="Arial"/>
                <w:b w:val="0"/>
                <w:color w:val="231F20"/>
                <w:sz w:val="16"/>
                <w:szCs w:val="16"/>
              </w:rPr>
              <w:t xml:space="preserve"> and</w:t>
            </w:r>
            <w:r w:rsidRPr="00CF3FD3">
              <w:rPr>
                <w:rFonts w:ascii="Calibri" w:hAnsi="Calibri" w:cs="Arial"/>
                <w:b w:val="0"/>
                <w:color w:val="231F20"/>
                <w:sz w:val="16"/>
                <w:szCs w:val="16"/>
              </w:rPr>
              <w:t xml:space="preserve"> Utilities</w:t>
            </w:r>
          </w:p>
        </w:tc>
        <w:tc>
          <w:tcPr>
            <w:tcW w:w="1170" w:type="dxa"/>
            <w:vAlign w:val="center"/>
            <w:hideMark/>
          </w:tcPr>
          <w:p w14:paraId="1D294AA7" w14:textId="77777777" w:rsidR="001774A7" w:rsidRPr="00E356B4" w:rsidRDefault="001774A7" w:rsidP="00D63204">
            <w:pPr>
              <w:ind w:firstLineChars="100" w:firstLine="160"/>
              <w:cnfStyle w:val="000000000000" w:firstRow="0" w:lastRow="0" w:firstColumn="0" w:lastColumn="0" w:oddVBand="0" w:evenVBand="0" w:oddHBand="0" w:evenHBand="0" w:firstRowFirstColumn="0" w:firstRowLastColumn="0" w:lastRowFirstColumn="0" w:lastRowLastColumn="0"/>
              <w:rPr>
                <w:rFonts w:ascii="Calibri" w:hAnsi="Calibri" w:cs="Arial"/>
                <w:color w:val="231F20"/>
                <w:sz w:val="16"/>
                <w:szCs w:val="16"/>
              </w:rPr>
            </w:pPr>
            <w:r w:rsidRPr="00E356B4">
              <w:rPr>
                <w:rFonts w:ascii="Calibri" w:hAnsi="Calibri" w:cs="Arial"/>
                <w:color w:val="231F20"/>
                <w:sz w:val="16"/>
                <w:szCs w:val="16"/>
              </w:rPr>
              <w:t>288,000</w:t>
            </w:r>
          </w:p>
        </w:tc>
        <w:tc>
          <w:tcPr>
            <w:tcW w:w="1170" w:type="dxa"/>
            <w:vAlign w:val="center"/>
            <w:hideMark/>
          </w:tcPr>
          <w:p w14:paraId="5421BB8A" w14:textId="77777777" w:rsidR="001774A7" w:rsidRPr="00E356B4" w:rsidRDefault="001774A7" w:rsidP="00D63204">
            <w:pPr>
              <w:ind w:firstLineChars="100" w:firstLine="160"/>
              <w:cnfStyle w:val="000000000000" w:firstRow="0" w:lastRow="0" w:firstColumn="0" w:lastColumn="0" w:oddVBand="0" w:evenVBand="0" w:oddHBand="0" w:evenHBand="0" w:firstRowFirstColumn="0" w:firstRowLastColumn="0" w:lastRowFirstColumn="0" w:lastRowLastColumn="0"/>
              <w:rPr>
                <w:rFonts w:ascii="Calibri" w:hAnsi="Calibri" w:cs="Arial"/>
                <w:color w:val="231F20"/>
                <w:sz w:val="16"/>
                <w:szCs w:val="16"/>
              </w:rPr>
            </w:pPr>
            <w:r w:rsidRPr="00E356B4">
              <w:rPr>
                <w:rFonts w:ascii="Calibri" w:hAnsi="Calibri" w:cs="Arial"/>
                <w:color w:val="231F20"/>
                <w:sz w:val="16"/>
                <w:szCs w:val="16"/>
              </w:rPr>
              <w:t>285,500</w:t>
            </w:r>
          </w:p>
        </w:tc>
        <w:tc>
          <w:tcPr>
            <w:tcW w:w="1170" w:type="dxa"/>
            <w:vAlign w:val="center"/>
            <w:hideMark/>
          </w:tcPr>
          <w:p w14:paraId="2D2472ED" w14:textId="77777777" w:rsidR="001774A7" w:rsidRPr="00E356B4" w:rsidRDefault="001774A7" w:rsidP="00D63204">
            <w:pPr>
              <w:ind w:firstLineChars="100" w:firstLine="160"/>
              <w:cnfStyle w:val="000000000000" w:firstRow="0" w:lastRow="0" w:firstColumn="0" w:lastColumn="0" w:oddVBand="0" w:evenVBand="0" w:oddHBand="0" w:evenHBand="0" w:firstRowFirstColumn="0" w:firstRowLastColumn="0" w:lastRowFirstColumn="0" w:lastRowLastColumn="0"/>
              <w:rPr>
                <w:rFonts w:ascii="Calibri" w:hAnsi="Calibri" w:cs="Arial"/>
                <w:color w:val="231F20"/>
                <w:sz w:val="16"/>
                <w:szCs w:val="16"/>
              </w:rPr>
            </w:pPr>
            <w:r w:rsidRPr="00E356B4">
              <w:rPr>
                <w:rFonts w:ascii="Calibri" w:hAnsi="Calibri" w:cs="Arial"/>
                <w:color w:val="231F20"/>
                <w:sz w:val="16"/>
                <w:szCs w:val="16"/>
              </w:rPr>
              <w:t>281,100</w:t>
            </w:r>
          </w:p>
        </w:tc>
        <w:tc>
          <w:tcPr>
            <w:tcW w:w="985" w:type="dxa"/>
            <w:vAlign w:val="center"/>
            <w:hideMark/>
          </w:tcPr>
          <w:p w14:paraId="6A59C71C" w14:textId="77777777" w:rsidR="001774A7" w:rsidRPr="00E356B4" w:rsidRDefault="001774A7" w:rsidP="00D63204">
            <w:pPr>
              <w:ind w:firstLineChars="100" w:firstLine="160"/>
              <w:cnfStyle w:val="000000000000" w:firstRow="0" w:lastRow="0" w:firstColumn="0" w:lastColumn="0" w:oddVBand="0" w:evenVBand="0" w:oddHBand="0" w:evenHBand="0" w:firstRowFirstColumn="0" w:firstRowLastColumn="0" w:lastRowFirstColumn="0" w:lastRowLastColumn="0"/>
              <w:rPr>
                <w:rFonts w:ascii="Calibri" w:hAnsi="Calibri" w:cs="Arial"/>
                <w:color w:val="231F20"/>
                <w:sz w:val="16"/>
                <w:szCs w:val="16"/>
              </w:rPr>
            </w:pPr>
            <w:r w:rsidRPr="00E356B4">
              <w:rPr>
                <w:rFonts w:ascii="Calibri" w:hAnsi="Calibri" w:cs="Arial"/>
                <w:color w:val="231F20"/>
                <w:sz w:val="16"/>
                <w:szCs w:val="16"/>
              </w:rPr>
              <w:t>2500</w:t>
            </w:r>
          </w:p>
        </w:tc>
        <w:tc>
          <w:tcPr>
            <w:tcW w:w="899" w:type="dxa"/>
            <w:vAlign w:val="center"/>
            <w:hideMark/>
          </w:tcPr>
          <w:p w14:paraId="11387549" w14:textId="77777777" w:rsidR="001774A7" w:rsidRPr="00E356B4" w:rsidRDefault="001774A7" w:rsidP="00D63204">
            <w:pPr>
              <w:ind w:firstLineChars="100" w:firstLine="160"/>
              <w:cnfStyle w:val="000000000000" w:firstRow="0" w:lastRow="0" w:firstColumn="0" w:lastColumn="0" w:oddVBand="0" w:evenVBand="0" w:oddHBand="0" w:evenHBand="0" w:firstRowFirstColumn="0" w:firstRowLastColumn="0" w:lastRowFirstColumn="0" w:lastRowLastColumn="0"/>
              <w:rPr>
                <w:rFonts w:ascii="Calibri" w:hAnsi="Calibri" w:cs="Arial"/>
                <w:color w:val="231F20"/>
                <w:sz w:val="16"/>
                <w:szCs w:val="16"/>
              </w:rPr>
            </w:pPr>
            <w:r w:rsidRPr="00E356B4">
              <w:rPr>
                <w:rFonts w:ascii="Calibri" w:hAnsi="Calibri" w:cs="Arial"/>
                <w:color w:val="231F20"/>
                <w:sz w:val="16"/>
                <w:szCs w:val="16"/>
              </w:rPr>
              <w:t>0.9</w:t>
            </w:r>
          </w:p>
        </w:tc>
        <w:tc>
          <w:tcPr>
            <w:tcW w:w="927" w:type="dxa"/>
            <w:vAlign w:val="center"/>
            <w:hideMark/>
          </w:tcPr>
          <w:p w14:paraId="3DF82B84" w14:textId="77777777" w:rsidR="001774A7" w:rsidRPr="00E356B4" w:rsidRDefault="001774A7" w:rsidP="00D63204">
            <w:pPr>
              <w:ind w:firstLineChars="100" w:firstLine="160"/>
              <w:cnfStyle w:val="000000000000" w:firstRow="0" w:lastRow="0" w:firstColumn="0" w:lastColumn="0" w:oddVBand="0" w:evenVBand="0" w:oddHBand="0" w:evenHBand="0" w:firstRowFirstColumn="0" w:firstRowLastColumn="0" w:lastRowFirstColumn="0" w:lastRowLastColumn="0"/>
              <w:rPr>
                <w:rFonts w:ascii="Calibri" w:hAnsi="Calibri" w:cs="Arial"/>
                <w:color w:val="231F20"/>
                <w:sz w:val="16"/>
                <w:szCs w:val="16"/>
              </w:rPr>
            </w:pPr>
            <w:r w:rsidRPr="00E356B4">
              <w:rPr>
                <w:rFonts w:ascii="Calibri" w:hAnsi="Calibri" w:cs="Arial"/>
                <w:color w:val="231F20"/>
                <w:sz w:val="16"/>
                <w:szCs w:val="16"/>
              </w:rPr>
              <w:t>6,900</w:t>
            </w:r>
          </w:p>
        </w:tc>
        <w:tc>
          <w:tcPr>
            <w:tcW w:w="961" w:type="dxa"/>
            <w:vAlign w:val="center"/>
            <w:hideMark/>
          </w:tcPr>
          <w:p w14:paraId="74AA310E" w14:textId="77777777" w:rsidR="001774A7" w:rsidRPr="00E356B4" w:rsidRDefault="001774A7" w:rsidP="00D63204">
            <w:pPr>
              <w:ind w:firstLineChars="100" w:firstLine="160"/>
              <w:cnfStyle w:val="000000000000" w:firstRow="0" w:lastRow="0" w:firstColumn="0" w:lastColumn="0" w:oddVBand="0" w:evenVBand="0" w:oddHBand="0" w:evenHBand="0" w:firstRowFirstColumn="0" w:firstRowLastColumn="0" w:lastRowFirstColumn="0" w:lastRowLastColumn="0"/>
              <w:rPr>
                <w:rFonts w:ascii="Calibri" w:hAnsi="Calibri" w:cs="Arial"/>
                <w:color w:val="231F20"/>
                <w:sz w:val="16"/>
                <w:szCs w:val="16"/>
              </w:rPr>
            </w:pPr>
            <w:r w:rsidRPr="00E356B4">
              <w:rPr>
                <w:rFonts w:ascii="Calibri" w:hAnsi="Calibri" w:cs="Arial"/>
                <w:color w:val="231F20"/>
                <w:sz w:val="16"/>
                <w:szCs w:val="16"/>
              </w:rPr>
              <w:t>2.5</w:t>
            </w:r>
          </w:p>
        </w:tc>
      </w:tr>
      <w:tr w:rsidR="001774A7" w:rsidRPr="00E356B4" w14:paraId="42CCBADB" w14:textId="77777777" w:rsidTr="00CF3FD3">
        <w:trPr>
          <w:cnfStyle w:val="000000100000" w:firstRow="0" w:lastRow="0" w:firstColumn="0" w:lastColumn="0" w:oddVBand="0" w:evenVBand="0" w:oddHBand="1" w:evenHBand="0" w:firstRowFirstColumn="0" w:firstRowLastColumn="0" w:lastRowFirstColumn="0" w:lastRowLastColumn="0"/>
          <w:trHeight w:hRule="exact" w:val="264"/>
        </w:trPr>
        <w:tc>
          <w:tcPr>
            <w:cnfStyle w:val="001000000000" w:firstRow="0" w:lastRow="0" w:firstColumn="1" w:lastColumn="0" w:oddVBand="0" w:evenVBand="0" w:oddHBand="0" w:evenHBand="0" w:firstRowFirstColumn="0" w:firstRowLastColumn="0" w:lastRowFirstColumn="0" w:lastRowLastColumn="0"/>
            <w:tcW w:w="3330" w:type="dxa"/>
            <w:vAlign w:val="center"/>
            <w:hideMark/>
          </w:tcPr>
          <w:p w14:paraId="7A096E38" w14:textId="77777777" w:rsidR="001774A7" w:rsidRPr="00CF3FD3" w:rsidRDefault="001774A7" w:rsidP="001774A7">
            <w:pPr>
              <w:rPr>
                <w:rFonts w:ascii="Calibri" w:hAnsi="Calibri" w:cs="Arial"/>
                <w:b w:val="0"/>
                <w:color w:val="231F20"/>
                <w:sz w:val="16"/>
                <w:szCs w:val="16"/>
              </w:rPr>
            </w:pPr>
            <w:r w:rsidRPr="00CF3FD3">
              <w:rPr>
                <w:rFonts w:ascii="Calibri" w:hAnsi="Calibri" w:cs="Arial"/>
                <w:b w:val="0"/>
                <w:color w:val="231F20"/>
                <w:sz w:val="16"/>
                <w:szCs w:val="16"/>
              </w:rPr>
              <w:t>Information</w:t>
            </w:r>
          </w:p>
        </w:tc>
        <w:tc>
          <w:tcPr>
            <w:tcW w:w="1170" w:type="dxa"/>
            <w:vAlign w:val="center"/>
            <w:hideMark/>
          </w:tcPr>
          <w:p w14:paraId="56D64CFC" w14:textId="77777777" w:rsidR="001774A7" w:rsidRPr="00E356B4" w:rsidRDefault="001774A7" w:rsidP="00D63204">
            <w:pPr>
              <w:ind w:firstLineChars="100" w:firstLine="160"/>
              <w:cnfStyle w:val="000000100000" w:firstRow="0" w:lastRow="0" w:firstColumn="0" w:lastColumn="0" w:oddVBand="0" w:evenVBand="0" w:oddHBand="1" w:evenHBand="0" w:firstRowFirstColumn="0" w:firstRowLastColumn="0" w:lastRowFirstColumn="0" w:lastRowLastColumn="0"/>
              <w:rPr>
                <w:rFonts w:ascii="Calibri" w:hAnsi="Calibri" w:cs="Arial"/>
                <w:color w:val="231F20"/>
                <w:sz w:val="16"/>
                <w:szCs w:val="16"/>
              </w:rPr>
            </w:pPr>
            <w:r w:rsidRPr="00E356B4">
              <w:rPr>
                <w:rFonts w:ascii="Calibri" w:hAnsi="Calibri" w:cs="Arial"/>
                <w:color w:val="231F20"/>
                <w:sz w:val="16"/>
                <w:szCs w:val="16"/>
              </w:rPr>
              <w:t>141,000</w:t>
            </w:r>
          </w:p>
        </w:tc>
        <w:tc>
          <w:tcPr>
            <w:tcW w:w="1170" w:type="dxa"/>
            <w:vAlign w:val="center"/>
            <w:hideMark/>
          </w:tcPr>
          <w:p w14:paraId="76543616" w14:textId="77777777" w:rsidR="001774A7" w:rsidRPr="00E356B4" w:rsidRDefault="001774A7" w:rsidP="00D63204">
            <w:pPr>
              <w:ind w:firstLineChars="100" w:firstLine="160"/>
              <w:cnfStyle w:val="000000100000" w:firstRow="0" w:lastRow="0" w:firstColumn="0" w:lastColumn="0" w:oddVBand="0" w:evenVBand="0" w:oddHBand="1" w:evenHBand="0" w:firstRowFirstColumn="0" w:firstRowLastColumn="0" w:lastRowFirstColumn="0" w:lastRowLastColumn="0"/>
              <w:rPr>
                <w:rFonts w:ascii="Calibri" w:hAnsi="Calibri" w:cs="Arial"/>
                <w:color w:val="231F20"/>
                <w:sz w:val="16"/>
                <w:szCs w:val="16"/>
              </w:rPr>
            </w:pPr>
            <w:r w:rsidRPr="00E356B4">
              <w:rPr>
                <w:rFonts w:ascii="Calibri" w:hAnsi="Calibri" w:cs="Arial"/>
                <w:color w:val="231F20"/>
                <w:sz w:val="16"/>
                <w:szCs w:val="16"/>
              </w:rPr>
              <w:t>139,800</w:t>
            </w:r>
          </w:p>
        </w:tc>
        <w:tc>
          <w:tcPr>
            <w:tcW w:w="1170" w:type="dxa"/>
            <w:vAlign w:val="center"/>
            <w:hideMark/>
          </w:tcPr>
          <w:p w14:paraId="17ABE254" w14:textId="77777777" w:rsidR="001774A7" w:rsidRPr="00E356B4" w:rsidRDefault="001774A7" w:rsidP="00D63204">
            <w:pPr>
              <w:ind w:firstLineChars="100" w:firstLine="160"/>
              <w:cnfStyle w:val="000000100000" w:firstRow="0" w:lastRow="0" w:firstColumn="0" w:lastColumn="0" w:oddVBand="0" w:evenVBand="0" w:oddHBand="1" w:evenHBand="0" w:firstRowFirstColumn="0" w:firstRowLastColumn="0" w:lastRowFirstColumn="0" w:lastRowLastColumn="0"/>
              <w:rPr>
                <w:rFonts w:ascii="Calibri" w:hAnsi="Calibri" w:cs="Arial"/>
                <w:color w:val="231F20"/>
                <w:sz w:val="16"/>
                <w:szCs w:val="16"/>
              </w:rPr>
            </w:pPr>
            <w:r w:rsidRPr="00E356B4">
              <w:rPr>
                <w:rFonts w:ascii="Calibri" w:hAnsi="Calibri" w:cs="Arial"/>
                <w:color w:val="231F20"/>
                <w:sz w:val="16"/>
                <w:szCs w:val="16"/>
              </w:rPr>
              <w:t>138,000</w:t>
            </w:r>
          </w:p>
        </w:tc>
        <w:tc>
          <w:tcPr>
            <w:tcW w:w="985" w:type="dxa"/>
            <w:vAlign w:val="center"/>
            <w:hideMark/>
          </w:tcPr>
          <w:p w14:paraId="38167F91" w14:textId="77777777" w:rsidR="001774A7" w:rsidRPr="00E356B4" w:rsidRDefault="001774A7" w:rsidP="00D63204">
            <w:pPr>
              <w:ind w:firstLineChars="100" w:firstLine="160"/>
              <w:cnfStyle w:val="000000100000" w:firstRow="0" w:lastRow="0" w:firstColumn="0" w:lastColumn="0" w:oddVBand="0" w:evenVBand="0" w:oddHBand="1" w:evenHBand="0" w:firstRowFirstColumn="0" w:firstRowLastColumn="0" w:lastRowFirstColumn="0" w:lastRowLastColumn="0"/>
              <w:rPr>
                <w:rFonts w:ascii="Calibri" w:hAnsi="Calibri" w:cs="Arial"/>
                <w:color w:val="231F20"/>
                <w:sz w:val="16"/>
                <w:szCs w:val="16"/>
              </w:rPr>
            </w:pPr>
            <w:r w:rsidRPr="00E356B4">
              <w:rPr>
                <w:rFonts w:ascii="Calibri" w:hAnsi="Calibri" w:cs="Arial"/>
                <w:color w:val="231F20"/>
                <w:sz w:val="16"/>
                <w:szCs w:val="16"/>
              </w:rPr>
              <w:t>1,200</w:t>
            </w:r>
          </w:p>
        </w:tc>
        <w:tc>
          <w:tcPr>
            <w:tcW w:w="899" w:type="dxa"/>
            <w:vAlign w:val="center"/>
            <w:hideMark/>
          </w:tcPr>
          <w:p w14:paraId="5228A95A" w14:textId="77777777" w:rsidR="001774A7" w:rsidRPr="00E356B4" w:rsidRDefault="001774A7" w:rsidP="00D63204">
            <w:pPr>
              <w:ind w:firstLineChars="100" w:firstLine="160"/>
              <w:cnfStyle w:val="000000100000" w:firstRow="0" w:lastRow="0" w:firstColumn="0" w:lastColumn="0" w:oddVBand="0" w:evenVBand="0" w:oddHBand="1" w:evenHBand="0" w:firstRowFirstColumn="0" w:firstRowLastColumn="0" w:lastRowFirstColumn="0" w:lastRowLastColumn="0"/>
              <w:rPr>
                <w:rFonts w:ascii="Calibri" w:hAnsi="Calibri" w:cs="Arial"/>
                <w:color w:val="231F20"/>
                <w:sz w:val="16"/>
                <w:szCs w:val="16"/>
              </w:rPr>
            </w:pPr>
            <w:r w:rsidRPr="00E356B4">
              <w:rPr>
                <w:rFonts w:ascii="Calibri" w:hAnsi="Calibri" w:cs="Arial"/>
                <w:color w:val="231F20"/>
                <w:sz w:val="16"/>
                <w:szCs w:val="16"/>
              </w:rPr>
              <w:t>0.9</w:t>
            </w:r>
          </w:p>
        </w:tc>
        <w:tc>
          <w:tcPr>
            <w:tcW w:w="927" w:type="dxa"/>
            <w:vAlign w:val="center"/>
            <w:hideMark/>
          </w:tcPr>
          <w:p w14:paraId="7CF5CD10" w14:textId="77777777" w:rsidR="001774A7" w:rsidRPr="00E356B4" w:rsidRDefault="001774A7" w:rsidP="00D63204">
            <w:pPr>
              <w:ind w:firstLineChars="100" w:firstLine="160"/>
              <w:cnfStyle w:val="000000100000" w:firstRow="0" w:lastRow="0" w:firstColumn="0" w:lastColumn="0" w:oddVBand="0" w:evenVBand="0" w:oddHBand="1" w:evenHBand="0" w:firstRowFirstColumn="0" w:firstRowLastColumn="0" w:lastRowFirstColumn="0" w:lastRowLastColumn="0"/>
              <w:rPr>
                <w:rFonts w:ascii="Calibri" w:hAnsi="Calibri" w:cs="Arial"/>
                <w:color w:val="231F20"/>
                <w:sz w:val="16"/>
                <w:szCs w:val="16"/>
              </w:rPr>
            </w:pPr>
            <w:r w:rsidRPr="00E356B4">
              <w:rPr>
                <w:rFonts w:ascii="Calibri" w:hAnsi="Calibri" w:cs="Arial"/>
                <w:color w:val="231F20"/>
                <w:sz w:val="16"/>
                <w:szCs w:val="16"/>
              </w:rPr>
              <w:t>3,000</w:t>
            </w:r>
          </w:p>
        </w:tc>
        <w:tc>
          <w:tcPr>
            <w:tcW w:w="961" w:type="dxa"/>
            <w:vAlign w:val="center"/>
            <w:hideMark/>
          </w:tcPr>
          <w:p w14:paraId="7CC8EA2D" w14:textId="77777777" w:rsidR="001774A7" w:rsidRPr="00E356B4" w:rsidRDefault="001774A7" w:rsidP="00D63204">
            <w:pPr>
              <w:ind w:firstLineChars="100" w:firstLine="160"/>
              <w:cnfStyle w:val="000000100000" w:firstRow="0" w:lastRow="0" w:firstColumn="0" w:lastColumn="0" w:oddVBand="0" w:evenVBand="0" w:oddHBand="1" w:evenHBand="0" w:firstRowFirstColumn="0" w:firstRowLastColumn="0" w:lastRowFirstColumn="0" w:lastRowLastColumn="0"/>
              <w:rPr>
                <w:rFonts w:ascii="Calibri" w:hAnsi="Calibri" w:cs="Arial"/>
                <w:color w:val="231F20"/>
                <w:sz w:val="16"/>
                <w:szCs w:val="16"/>
              </w:rPr>
            </w:pPr>
            <w:r w:rsidRPr="00E356B4">
              <w:rPr>
                <w:rFonts w:ascii="Calibri" w:hAnsi="Calibri" w:cs="Arial"/>
                <w:color w:val="231F20"/>
                <w:sz w:val="16"/>
                <w:szCs w:val="16"/>
              </w:rPr>
              <w:t>2.2</w:t>
            </w:r>
          </w:p>
        </w:tc>
      </w:tr>
      <w:tr w:rsidR="001774A7" w:rsidRPr="00E356B4" w14:paraId="66574330" w14:textId="77777777" w:rsidTr="00CF3FD3">
        <w:trPr>
          <w:trHeight w:hRule="exact" w:val="264"/>
        </w:trPr>
        <w:tc>
          <w:tcPr>
            <w:cnfStyle w:val="001000000000" w:firstRow="0" w:lastRow="0" w:firstColumn="1" w:lastColumn="0" w:oddVBand="0" w:evenVBand="0" w:oddHBand="0" w:evenHBand="0" w:firstRowFirstColumn="0" w:firstRowLastColumn="0" w:lastRowFirstColumn="0" w:lastRowLastColumn="0"/>
            <w:tcW w:w="3330" w:type="dxa"/>
            <w:vAlign w:val="center"/>
            <w:hideMark/>
          </w:tcPr>
          <w:p w14:paraId="43293CCC" w14:textId="77777777" w:rsidR="001774A7" w:rsidRPr="00CF3FD3" w:rsidRDefault="001774A7" w:rsidP="001774A7">
            <w:pPr>
              <w:rPr>
                <w:rFonts w:ascii="Calibri" w:hAnsi="Calibri" w:cs="Arial"/>
                <w:b w:val="0"/>
                <w:color w:val="231F20"/>
                <w:sz w:val="16"/>
                <w:szCs w:val="16"/>
              </w:rPr>
            </w:pPr>
            <w:r w:rsidRPr="00CF3FD3">
              <w:rPr>
                <w:rFonts w:ascii="Calibri" w:hAnsi="Calibri" w:cs="Arial"/>
                <w:b w:val="0"/>
                <w:color w:val="231F20"/>
                <w:sz w:val="16"/>
                <w:szCs w:val="16"/>
              </w:rPr>
              <w:t>Financial Activities</w:t>
            </w:r>
          </w:p>
        </w:tc>
        <w:tc>
          <w:tcPr>
            <w:tcW w:w="1170" w:type="dxa"/>
            <w:vAlign w:val="center"/>
            <w:hideMark/>
          </w:tcPr>
          <w:p w14:paraId="200E44C3" w14:textId="77777777" w:rsidR="001774A7" w:rsidRPr="00E356B4" w:rsidRDefault="001774A7" w:rsidP="00D63204">
            <w:pPr>
              <w:ind w:firstLineChars="100" w:firstLine="160"/>
              <w:cnfStyle w:val="000000000000" w:firstRow="0" w:lastRow="0" w:firstColumn="0" w:lastColumn="0" w:oddVBand="0" w:evenVBand="0" w:oddHBand="0" w:evenHBand="0" w:firstRowFirstColumn="0" w:firstRowLastColumn="0" w:lastRowFirstColumn="0" w:lastRowLastColumn="0"/>
              <w:rPr>
                <w:rFonts w:ascii="Calibri" w:hAnsi="Calibri" w:cs="Arial"/>
                <w:color w:val="231F20"/>
                <w:sz w:val="16"/>
                <w:szCs w:val="16"/>
              </w:rPr>
            </w:pPr>
            <w:r w:rsidRPr="00E356B4">
              <w:rPr>
                <w:rFonts w:ascii="Calibri" w:hAnsi="Calibri" w:cs="Arial"/>
                <w:color w:val="231F20"/>
                <w:sz w:val="16"/>
                <w:szCs w:val="16"/>
              </w:rPr>
              <w:t>567,400</w:t>
            </w:r>
          </w:p>
        </w:tc>
        <w:tc>
          <w:tcPr>
            <w:tcW w:w="1170" w:type="dxa"/>
            <w:vAlign w:val="center"/>
            <w:hideMark/>
          </w:tcPr>
          <w:p w14:paraId="5E70C0D5" w14:textId="77777777" w:rsidR="001774A7" w:rsidRPr="00E356B4" w:rsidRDefault="001774A7" w:rsidP="00D63204">
            <w:pPr>
              <w:ind w:firstLineChars="100" w:firstLine="160"/>
              <w:cnfStyle w:val="000000000000" w:firstRow="0" w:lastRow="0" w:firstColumn="0" w:lastColumn="0" w:oddVBand="0" w:evenVBand="0" w:oddHBand="0" w:evenHBand="0" w:firstRowFirstColumn="0" w:firstRowLastColumn="0" w:lastRowFirstColumn="0" w:lastRowLastColumn="0"/>
              <w:rPr>
                <w:rFonts w:ascii="Calibri" w:hAnsi="Calibri" w:cs="Arial"/>
                <w:color w:val="231F20"/>
                <w:sz w:val="16"/>
                <w:szCs w:val="16"/>
              </w:rPr>
            </w:pPr>
            <w:r w:rsidRPr="00E356B4">
              <w:rPr>
                <w:rFonts w:ascii="Calibri" w:hAnsi="Calibri" w:cs="Arial"/>
                <w:color w:val="231F20"/>
                <w:sz w:val="16"/>
                <w:szCs w:val="16"/>
              </w:rPr>
              <w:t>562,200</w:t>
            </w:r>
          </w:p>
        </w:tc>
        <w:tc>
          <w:tcPr>
            <w:tcW w:w="1170" w:type="dxa"/>
            <w:vAlign w:val="center"/>
            <w:hideMark/>
          </w:tcPr>
          <w:p w14:paraId="26A29CF9" w14:textId="77777777" w:rsidR="001774A7" w:rsidRPr="00E356B4" w:rsidRDefault="001774A7" w:rsidP="00D63204">
            <w:pPr>
              <w:ind w:firstLineChars="100" w:firstLine="160"/>
              <w:cnfStyle w:val="000000000000" w:firstRow="0" w:lastRow="0" w:firstColumn="0" w:lastColumn="0" w:oddVBand="0" w:evenVBand="0" w:oddHBand="0" w:evenHBand="0" w:firstRowFirstColumn="0" w:firstRowLastColumn="0" w:lastRowFirstColumn="0" w:lastRowLastColumn="0"/>
              <w:rPr>
                <w:rFonts w:ascii="Calibri" w:hAnsi="Calibri" w:cs="Arial"/>
                <w:color w:val="231F20"/>
                <w:sz w:val="16"/>
                <w:szCs w:val="16"/>
              </w:rPr>
            </w:pPr>
            <w:r w:rsidRPr="00E356B4">
              <w:rPr>
                <w:rFonts w:ascii="Calibri" w:hAnsi="Calibri" w:cs="Arial"/>
                <w:color w:val="231F20"/>
                <w:sz w:val="16"/>
                <w:szCs w:val="16"/>
              </w:rPr>
              <w:t>551,900</w:t>
            </w:r>
          </w:p>
        </w:tc>
        <w:tc>
          <w:tcPr>
            <w:tcW w:w="985" w:type="dxa"/>
            <w:vAlign w:val="center"/>
            <w:hideMark/>
          </w:tcPr>
          <w:p w14:paraId="476CBE05" w14:textId="77777777" w:rsidR="001774A7" w:rsidRPr="00E356B4" w:rsidRDefault="001774A7" w:rsidP="00D63204">
            <w:pPr>
              <w:ind w:firstLineChars="100" w:firstLine="160"/>
              <w:cnfStyle w:val="000000000000" w:firstRow="0" w:lastRow="0" w:firstColumn="0" w:lastColumn="0" w:oddVBand="0" w:evenVBand="0" w:oddHBand="0" w:evenHBand="0" w:firstRowFirstColumn="0" w:firstRowLastColumn="0" w:lastRowFirstColumn="0" w:lastRowLastColumn="0"/>
              <w:rPr>
                <w:rFonts w:ascii="Calibri" w:hAnsi="Calibri" w:cs="Arial"/>
                <w:color w:val="231F20"/>
                <w:sz w:val="16"/>
                <w:szCs w:val="16"/>
              </w:rPr>
            </w:pPr>
            <w:r w:rsidRPr="00E356B4">
              <w:rPr>
                <w:rFonts w:ascii="Calibri" w:hAnsi="Calibri" w:cs="Arial"/>
                <w:color w:val="231F20"/>
                <w:sz w:val="16"/>
                <w:szCs w:val="16"/>
              </w:rPr>
              <w:t>5,200</w:t>
            </w:r>
          </w:p>
        </w:tc>
        <w:tc>
          <w:tcPr>
            <w:tcW w:w="899" w:type="dxa"/>
            <w:vAlign w:val="center"/>
            <w:hideMark/>
          </w:tcPr>
          <w:p w14:paraId="31C29D2F" w14:textId="77777777" w:rsidR="001774A7" w:rsidRPr="00E356B4" w:rsidRDefault="001774A7" w:rsidP="00D63204">
            <w:pPr>
              <w:ind w:firstLineChars="100" w:firstLine="160"/>
              <w:cnfStyle w:val="000000000000" w:firstRow="0" w:lastRow="0" w:firstColumn="0" w:lastColumn="0" w:oddVBand="0" w:evenVBand="0" w:oddHBand="0" w:evenHBand="0" w:firstRowFirstColumn="0" w:firstRowLastColumn="0" w:lastRowFirstColumn="0" w:lastRowLastColumn="0"/>
              <w:rPr>
                <w:rFonts w:ascii="Calibri" w:hAnsi="Calibri" w:cs="Arial"/>
                <w:color w:val="231F20"/>
                <w:sz w:val="16"/>
                <w:szCs w:val="16"/>
              </w:rPr>
            </w:pPr>
            <w:r w:rsidRPr="00E356B4">
              <w:rPr>
                <w:rFonts w:ascii="Calibri" w:hAnsi="Calibri" w:cs="Arial"/>
                <w:color w:val="231F20"/>
                <w:sz w:val="16"/>
                <w:szCs w:val="16"/>
              </w:rPr>
              <w:t>0.9</w:t>
            </w:r>
          </w:p>
        </w:tc>
        <w:tc>
          <w:tcPr>
            <w:tcW w:w="927" w:type="dxa"/>
            <w:vAlign w:val="center"/>
            <w:hideMark/>
          </w:tcPr>
          <w:p w14:paraId="1214E5F9" w14:textId="77777777" w:rsidR="001774A7" w:rsidRPr="00E356B4" w:rsidRDefault="001774A7" w:rsidP="00D63204">
            <w:pPr>
              <w:ind w:firstLineChars="100" w:firstLine="160"/>
              <w:cnfStyle w:val="000000000000" w:firstRow="0" w:lastRow="0" w:firstColumn="0" w:lastColumn="0" w:oddVBand="0" w:evenVBand="0" w:oddHBand="0" w:evenHBand="0" w:firstRowFirstColumn="0" w:firstRowLastColumn="0" w:lastRowFirstColumn="0" w:lastRowLastColumn="0"/>
              <w:rPr>
                <w:rFonts w:ascii="Calibri" w:hAnsi="Calibri" w:cs="Arial"/>
                <w:color w:val="231F20"/>
                <w:sz w:val="16"/>
                <w:szCs w:val="16"/>
              </w:rPr>
            </w:pPr>
            <w:r w:rsidRPr="00E356B4">
              <w:rPr>
                <w:rFonts w:ascii="Calibri" w:hAnsi="Calibri" w:cs="Arial"/>
                <w:color w:val="231F20"/>
                <w:sz w:val="16"/>
                <w:szCs w:val="16"/>
              </w:rPr>
              <w:t>15,500</w:t>
            </w:r>
          </w:p>
        </w:tc>
        <w:tc>
          <w:tcPr>
            <w:tcW w:w="961" w:type="dxa"/>
            <w:vAlign w:val="center"/>
            <w:hideMark/>
          </w:tcPr>
          <w:p w14:paraId="46C74963" w14:textId="77777777" w:rsidR="001774A7" w:rsidRPr="00E356B4" w:rsidRDefault="001774A7" w:rsidP="00D63204">
            <w:pPr>
              <w:ind w:firstLineChars="100" w:firstLine="160"/>
              <w:cnfStyle w:val="000000000000" w:firstRow="0" w:lastRow="0" w:firstColumn="0" w:lastColumn="0" w:oddVBand="0" w:evenVBand="0" w:oddHBand="0" w:evenHBand="0" w:firstRowFirstColumn="0" w:firstRowLastColumn="0" w:lastRowFirstColumn="0" w:lastRowLastColumn="0"/>
              <w:rPr>
                <w:rFonts w:ascii="Calibri" w:hAnsi="Calibri" w:cs="Arial"/>
                <w:color w:val="231F20"/>
                <w:sz w:val="16"/>
                <w:szCs w:val="16"/>
              </w:rPr>
            </w:pPr>
            <w:r w:rsidRPr="00E356B4">
              <w:rPr>
                <w:rFonts w:ascii="Calibri" w:hAnsi="Calibri" w:cs="Arial"/>
                <w:color w:val="231F20"/>
                <w:sz w:val="16"/>
                <w:szCs w:val="16"/>
              </w:rPr>
              <w:t>2.8</w:t>
            </w:r>
          </w:p>
        </w:tc>
      </w:tr>
      <w:tr w:rsidR="001774A7" w:rsidRPr="00E356B4" w14:paraId="1040C88B" w14:textId="77777777" w:rsidTr="00CF3FD3">
        <w:trPr>
          <w:cnfStyle w:val="000000100000" w:firstRow="0" w:lastRow="0" w:firstColumn="0" w:lastColumn="0" w:oddVBand="0" w:evenVBand="0" w:oddHBand="1" w:evenHBand="0" w:firstRowFirstColumn="0" w:firstRowLastColumn="0" w:lastRowFirstColumn="0" w:lastRowLastColumn="0"/>
          <w:trHeight w:hRule="exact" w:val="264"/>
        </w:trPr>
        <w:tc>
          <w:tcPr>
            <w:cnfStyle w:val="001000000000" w:firstRow="0" w:lastRow="0" w:firstColumn="1" w:lastColumn="0" w:oddVBand="0" w:evenVBand="0" w:oddHBand="0" w:evenHBand="0" w:firstRowFirstColumn="0" w:firstRowLastColumn="0" w:lastRowFirstColumn="0" w:lastRowLastColumn="0"/>
            <w:tcW w:w="3330" w:type="dxa"/>
            <w:vAlign w:val="center"/>
            <w:hideMark/>
          </w:tcPr>
          <w:p w14:paraId="3CB97BAE" w14:textId="77777777" w:rsidR="001774A7" w:rsidRPr="00CF3FD3" w:rsidRDefault="001774A7" w:rsidP="001774A7">
            <w:pPr>
              <w:ind w:firstLineChars="100" w:firstLine="160"/>
              <w:rPr>
                <w:rFonts w:ascii="Calibri" w:hAnsi="Calibri" w:cs="Arial"/>
                <w:b w:val="0"/>
                <w:color w:val="231F20"/>
                <w:sz w:val="16"/>
                <w:szCs w:val="16"/>
              </w:rPr>
            </w:pPr>
            <w:r w:rsidRPr="00CF3FD3">
              <w:rPr>
                <w:rFonts w:ascii="Calibri" w:hAnsi="Calibri" w:cs="Arial"/>
                <w:b w:val="0"/>
                <w:color w:val="231F20"/>
                <w:sz w:val="16"/>
                <w:szCs w:val="16"/>
              </w:rPr>
              <w:t>Finance and Insurance</w:t>
            </w:r>
          </w:p>
        </w:tc>
        <w:tc>
          <w:tcPr>
            <w:tcW w:w="1170" w:type="dxa"/>
            <w:vAlign w:val="center"/>
            <w:hideMark/>
          </w:tcPr>
          <w:p w14:paraId="32CA83A0" w14:textId="77777777" w:rsidR="001774A7" w:rsidRPr="00E356B4" w:rsidRDefault="001774A7" w:rsidP="00D63204">
            <w:pPr>
              <w:ind w:firstLineChars="100" w:firstLine="160"/>
              <w:cnfStyle w:val="000000100000" w:firstRow="0" w:lastRow="0" w:firstColumn="0" w:lastColumn="0" w:oddVBand="0" w:evenVBand="0" w:oddHBand="1" w:evenHBand="0" w:firstRowFirstColumn="0" w:firstRowLastColumn="0" w:lastRowFirstColumn="0" w:lastRowLastColumn="0"/>
              <w:rPr>
                <w:rFonts w:ascii="Calibri" w:hAnsi="Calibri" w:cs="Arial"/>
                <w:color w:val="231F20"/>
                <w:sz w:val="16"/>
                <w:szCs w:val="16"/>
              </w:rPr>
            </w:pPr>
            <w:r w:rsidRPr="00E356B4">
              <w:rPr>
                <w:rFonts w:ascii="Calibri" w:hAnsi="Calibri" w:cs="Arial"/>
                <w:color w:val="231F20"/>
                <w:sz w:val="16"/>
                <w:szCs w:val="16"/>
              </w:rPr>
              <w:t>374,200</w:t>
            </w:r>
          </w:p>
        </w:tc>
        <w:tc>
          <w:tcPr>
            <w:tcW w:w="1170" w:type="dxa"/>
            <w:vAlign w:val="center"/>
            <w:hideMark/>
          </w:tcPr>
          <w:p w14:paraId="1E285A8F" w14:textId="77777777" w:rsidR="001774A7" w:rsidRPr="00E356B4" w:rsidRDefault="001774A7" w:rsidP="00D63204">
            <w:pPr>
              <w:ind w:firstLineChars="100" w:firstLine="160"/>
              <w:cnfStyle w:val="000000100000" w:firstRow="0" w:lastRow="0" w:firstColumn="0" w:lastColumn="0" w:oddVBand="0" w:evenVBand="0" w:oddHBand="1" w:evenHBand="0" w:firstRowFirstColumn="0" w:firstRowLastColumn="0" w:lastRowFirstColumn="0" w:lastRowLastColumn="0"/>
              <w:rPr>
                <w:rFonts w:ascii="Calibri" w:hAnsi="Calibri" w:cs="Arial"/>
                <w:color w:val="231F20"/>
                <w:sz w:val="16"/>
                <w:szCs w:val="16"/>
              </w:rPr>
            </w:pPr>
            <w:r w:rsidRPr="00E356B4">
              <w:rPr>
                <w:rFonts w:ascii="Calibri" w:hAnsi="Calibri" w:cs="Arial"/>
                <w:color w:val="231F20"/>
                <w:sz w:val="16"/>
                <w:szCs w:val="16"/>
              </w:rPr>
              <w:t>372,100</w:t>
            </w:r>
          </w:p>
        </w:tc>
        <w:tc>
          <w:tcPr>
            <w:tcW w:w="1170" w:type="dxa"/>
            <w:vAlign w:val="center"/>
            <w:hideMark/>
          </w:tcPr>
          <w:p w14:paraId="0D26D3BA" w14:textId="77777777" w:rsidR="001774A7" w:rsidRPr="00E356B4" w:rsidRDefault="001774A7" w:rsidP="00D63204">
            <w:pPr>
              <w:ind w:firstLineChars="100" w:firstLine="160"/>
              <w:cnfStyle w:val="000000100000" w:firstRow="0" w:lastRow="0" w:firstColumn="0" w:lastColumn="0" w:oddVBand="0" w:evenVBand="0" w:oddHBand="1" w:evenHBand="0" w:firstRowFirstColumn="0" w:firstRowLastColumn="0" w:lastRowFirstColumn="0" w:lastRowLastColumn="0"/>
              <w:rPr>
                <w:rFonts w:ascii="Calibri" w:hAnsi="Calibri" w:cs="Arial"/>
                <w:color w:val="231F20"/>
                <w:sz w:val="16"/>
                <w:szCs w:val="16"/>
              </w:rPr>
            </w:pPr>
            <w:r w:rsidRPr="00E356B4">
              <w:rPr>
                <w:rFonts w:ascii="Calibri" w:hAnsi="Calibri" w:cs="Arial"/>
                <w:color w:val="231F20"/>
                <w:sz w:val="16"/>
                <w:szCs w:val="16"/>
              </w:rPr>
              <w:t>369,800</w:t>
            </w:r>
          </w:p>
        </w:tc>
        <w:tc>
          <w:tcPr>
            <w:tcW w:w="985" w:type="dxa"/>
            <w:vAlign w:val="center"/>
            <w:hideMark/>
          </w:tcPr>
          <w:p w14:paraId="25954DC1" w14:textId="77777777" w:rsidR="001774A7" w:rsidRPr="00E356B4" w:rsidRDefault="001774A7" w:rsidP="00D63204">
            <w:pPr>
              <w:ind w:firstLineChars="100" w:firstLine="160"/>
              <w:cnfStyle w:val="000000100000" w:firstRow="0" w:lastRow="0" w:firstColumn="0" w:lastColumn="0" w:oddVBand="0" w:evenVBand="0" w:oddHBand="1" w:evenHBand="0" w:firstRowFirstColumn="0" w:firstRowLastColumn="0" w:lastRowFirstColumn="0" w:lastRowLastColumn="0"/>
              <w:rPr>
                <w:rFonts w:ascii="Calibri" w:hAnsi="Calibri" w:cs="Arial"/>
                <w:color w:val="231F20"/>
                <w:sz w:val="16"/>
                <w:szCs w:val="16"/>
              </w:rPr>
            </w:pPr>
            <w:r w:rsidRPr="00E356B4">
              <w:rPr>
                <w:rFonts w:ascii="Calibri" w:hAnsi="Calibri" w:cs="Arial"/>
                <w:color w:val="231F20"/>
                <w:sz w:val="16"/>
                <w:szCs w:val="16"/>
              </w:rPr>
              <w:t>2,100</w:t>
            </w:r>
          </w:p>
        </w:tc>
        <w:tc>
          <w:tcPr>
            <w:tcW w:w="899" w:type="dxa"/>
            <w:vAlign w:val="center"/>
            <w:hideMark/>
          </w:tcPr>
          <w:p w14:paraId="6BD4AE04" w14:textId="77777777" w:rsidR="001774A7" w:rsidRPr="00E356B4" w:rsidRDefault="001774A7" w:rsidP="00D63204">
            <w:pPr>
              <w:ind w:firstLineChars="100" w:firstLine="160"/>
              <w:cnfStyle w:val="000000100000" w:firstRow="0" w:lastRow="0" w:firstColumn="0" w:lastColumn="0" w:oddVBand="0" w:evenVBand="0" w:oddHBand="1" w:evenHBand="0" w:firstRowFirstColumn="0" w:firstRowLastColumn="0" w:lastRowFirstColumn="0" w:lastRowLastColumn="0"/>
              <w:rPr>
                <w:rFonts w:ascii="Calibri" w:hAnsi="Calibri" w:cs="Arial"/>
                <w:color w:val="231F20"/>
                <w:sz w:val="16"/>
                <w:szCs w:val="16"/>
              </w:rPr>
            </w:pPr>
            <w:r w:rsidRPr="00E356B4">
              <w:rPr>
                <w:rFonts w:ascii="Calibri" w:hAnsi="Calibri" w:cs="Arial"/>
                <w:color w:val="231F20"/>
                <w:sz w:val="16"/>
                <w:szCs w:val="16"/>
              </w:rPr>
              <w:t>0.6</w:t>
            </w:r>
          </w:p>
        </w:tc>
        <w:tc>
          <w:tcPr>
            <w:tcW w:w="927" w:type="dxa"/>
            <w:vAlign w:val="center"/>
            <w:hideMark/>
          </w:tcPr>
          <w:p w14:paraId="5924C58A" w14:textId="77777777" w:rsidR="001774A7" w:rsidRPr="00E356B4" w:rsidRDefault="001774A7" w:rsidP="00D63204">
            <w:pPr>
              <w:ind w:firstLineChars="100" w:firstLine="160"/>
              <w:cnfStyle w:val="000000100000" w:firstRow="0" w:lastRow="0" w:firstColumn="0" w:lastColumn="0" w:oddVBand="0" w:evenVBand="0" w:oddHBand="1" w:evenHBand="0" w:firstRowFirstColumn="0" w:firstRowLastColumn="0" w:lastRowFirstColumn="0" w:lastRowLastColumn="0"/>
              <w:rPr>
                <w:rFonts w:ascii="Calibri" w:hAnsi="Calibri" w:cs="Arial"/>
                <w:color w:val="231F20"/>
                <w:sz w:val="16"/>
                <w:szCs w:val="16"/>
              </w:rPr>
            </w:pPr>
            <w:r w:rsidRPr="00E356B4">
              <w:rPr>
                <w:rFonts w:ascii="Calibri" w:hAnsi="Calibri" w:cs="Arial"/>
                <w:color w:val="231F20"/>
                <w:sz w:val="16"/>
                <w:szCs w:val="16"/>
              </w:rPr>
              <w:t>4,400</w:t>
            </w:r>
          </w:p>
        </w:tc>
        <w:tc>
          <w:tcPr>
            <w:tcW w:w="961" w:type="dxa"/>
            <w:vAlign w:val="center"/>
            <w:hideMark/>
          </w:tcPr>
          <w:p w14:paraId="72BB2329" w14:textId="77777777" w:rsidR="001774A7" w:rsidRPr="00E356B4" w:rsidRDefault="001774A7" w:rsidP="00D63204">
            <w:pPr>
              <w:ind w:firstLineChars="100" w:firstLine="160"/>
              <w:cnfStyle w:val="000000100000" w:firstRow="0" w:lastRow="0" w:firstColumn="0" w:lastColumn="0" w:oddVBand="0" w:evenVBand="0" w:oddHBand="1" w:evenHBand="0" w:firstRowFirstColumn="0" w:firstRowLastColumn="0" w:lastRowFirstColumn="0" w:lastRowLastColumn="0"/>
              <w:rPr>
                <w:rFonts w:ascii="Calibri" w:hAnsi="Calibri" w:cs="Arial"/>
                <w:color w:val="231F20"/>
                <w:sz w:val="16"/>
                <w:szCs w:val="16"/>
              </w:rPr>
            </w:pPr>
            <w:r w:rsidRPr="00E356B4">
              <w:rPr>
                <w:rFonts w:ascii="Calibri" w:hAnsi="Calibri" w:cs="Arial"/>
                <w:color w:val="231F20"/>
                <w:sz w:val="16"/>
                <w:szCs w:val="16"/>
              </w:rPr>
              <w:t>1.2</w:t>
            </w:r>
          </w:p>
        </w:tc>
      </w:tr>
      <w:tr w:rsidR="001774A7" w:rsidRPr="00E356B4" w14:paraId="5AEDF865" w14:textId="77777777" w:rsidTr="00CF3FD3">
        <w:trPr>
          <w:trHeight w:hRule="exact" w:val="264"/>
        </w:trPr>
        <w:tc>
          <w:tcPr>
            <w:cnfStyle w:val="001000000000" w:firstRow="0" w:lastRow="0" w:firstColumn="1" w:lastColumn="0" w:oddVBand="0" w:evenVBand="0" w:oddHBand="0" w:evenHBand="0" w:firstRowFirstColumn="0" w:firstRowLastColumn="0" w:lastRowFirstColumn="0" w:lastRowLastColumn="0"/>
            <w:tcW w:w="3330" w:type="dxa"/>
            <w:vAlign w:val="center"/>
            <w:hideMark/>
          </w:tcPr>
          <w:p w14:paraId="205A3EA9" w14:textId="4A413B39" w:rsidR="001774A7" w:rsidRPr="00CF3FD3" w:rsidRDefault="001774A7" w:rsidP="001774A7">
            <w:pPr>
              <w:ind w:firstLineChars="100" w:firstLine="160"/>
              <w:rPr>
                <w:rFonts w:ascii="Calibri" w:hAnsi="Calibri" w:cs="Arial"/>
                <w:b w:val="0"/>
                <w:color w:val="231F20"/>
                <w:sz w:val="16"/>
                <w:szCs w:val="16"/>
              </w:rPr>
            </w:pPr>
            <w:r w:rsidRPr="00CF3FD3">
              <w:rPr>
                <w:rFonts w:ascii="Calibri" w:hAnsi="Calibri" w:cs="Arial"/>
                <w:b w:val="0"/>
                <w:color w:val="231F20"/>
                <w:sz w:val="16"/>
                <w:szCs w:val="16"/>
              </w:rPr>
              <w:t xml:space="preserve">Real </w:t>
            </w:r>
            <w:r w:rsidR="00942199">
              <w:rPr>
                <w:rFonts w:ascii="Calibri" w:hAnsi="Calibri" w:cs="Arial"/>
                <w:b w:val="0"/>
                <w:color w:val="231F20"/>
                <w:sz w:val="16"/>
                <w:szCs w:val="16"/>
              </w:rPr>
              <w:t>E</w:t>
            </w:r>
            <w:r w:rsidRPr="00CF3FD3">
              <w:rPr>
                <w:rFonts w:ascii="Calibri" w:hAnsi="Calibri" w:cs="Arial"/>
                <w:b w:val="0"/>
                <w:color w:val="231F20"/>
                <w:sz w:val="16"/>
                <w:szCs w:val="16"/>
              </w:rPr>
              <w:t>state, Rental</w:t>
            </w:r>
            <w:r w:rsidR="00D5537E">
              <w:rPr>
                <w:rFonts w:ascii="Calibri" w:hAnsi="Calibri" w:cs="Arial"/>
                <w:b w:val="0"/>
                <w:color w:val="231F20"/>
                <w:sz w:val="16"/>
                <w:szCs w:val="16"/>
              </w:rPr>
              <w:t xml:space="preserve"> and</w:t>
            </w:r>
            <w:r w:rsidRPr="00CF3FD3">
              <w:rPr>
                <w:rFonts w:ascii="Calibri" w:hAnsi="Calibri" w:cs="Arial"/>
                <w:b w:val="0"/>
                <w:color w:val="231F20"/>
                <w:sz w:val="16"/>
                <w:szCs w:val="16"/>
              </w:rPr>
              <w:t xml:space="preserve"> Leasing</w:t>
            </w:r>
          </w:p>
        </w:tc>
        <w:tc>
          <w:tcPr>
            <w:tcW w:w="1170" w:type="dxa"/>
            <w:vAlign w:val="center"/>
            <w:hideMark/>
          </w:tcPr>
          <w:p w14:paraId="41229BC8" w14:textId="77777777" w:rsidR="001774A7" w:rsidRPr="00E356B4" w:rsidRDefault="001774A7" w:rsidP="00D63204">
            <w:pPr>
              <w:ind w:firstLineChars="100" w:firstLine="160"/>
              <w:cnfStyle w:val="000000000000" w:firstRow="0" w:lastRow="0" w:firstColumn="0" w:lastColumn="0" w:oddVBand="0" w:evenVBand="0" w:oddHBand="0" w:evenHBand="0" w:firstRowFirstColumn="0" w:firstRowLastColumn="0" w:lastRowFirstColumn="0" w:lastRowLastColumn="0"/>
              <w:rPr>
                <w:rFonts w:ascii="Calibri" w:hAnsi="Calibri" w:cs="Arial"/>
                <w:color w:val="231F20"/>
                <w:sz w:val="16"/>
                <w:szCs w:val="16"/>
              </w:rPr>
            </w:pPr>
            <w:r w:rsidRPr="00E356B4">
              <w:rPr>
                <w:rFonts w:ascii="Calibri" w:hAnsi="Calibri" w:cs="Arial"/>
                <w:color w:val="231F20"/>
                <w:sz w:val="16"/>
                <w:szCs w:val="16"/>
              </w:rPr>
              <w:t>193,200</w:t>
            </w:r>
          </w:p>
        </w:tc>
        <w:tc>
          <w:tcPr>
            <w:tcW w:w="1170" w:type="dxa"/>
            <w:vAlign w:val="center"/>
            <w:hideMark/>
          </w:tcPr>
          <w:p w14:paraId="67BF1EF2" w14:textId="77777777" w:rsidR="001774A7" w:rsidRPr="00E356B4" w:rsidRDefault="001774A7" w:rsidP="00D63204">
            <w:pPr>
              <w:ind w:firstLineChars="100" w:firstLine="160"/>
              <w:cnfStyle w:val="000000000000" w:firstRow="0" w:lastRow="0" w:firstColumn="0" w:lastColumn="0" w:oddVBand="0" w:evenVBand="0" w:oddHBand="0" w:evenHBand="0" w:firstRowFirstColumn="0" w:firstRowLastColumn="0" w:lastRowFirstColumn="0" w:lastRowLastColumn="0"/>
              <w:rPr>
                <w:rFonts w:ascii="Calibri" w:hAnsi="Calibri" w:cs="Arial"/>
                <w:color w:val="231F20"/>
                <w:sz w:val="16"/>
                <w:szCs w:val="16"/>
              </w:rPr>
            </w:pPr>
            <w:r w:rsidRPr="00E356B4">
              <w:rPr>
                <w:rFonts w:ascii="Calibri" w:hAnsi="Calibri" w:cs="Arial"/>
                <w:color w:val="231F20"/>
                <w:sz w:val="16"/>
                <w:szCs w:val="16"/>
              </w:rPr>
              <w:t>190,100</w:t>
            </w:r>
          </w:p>
        </w:tc>
        <w:tc>
          <w:tcPr>
            <w:tcW w:w="1170" w:type="dxa"/>
            <w:vAlign w:val="center"/>
            <w:hideMark/>
          </w:tcPr>
          <w:p w14:paraId="2A131B35" w14:textId="77777777" w:rsidR="001774A7" w:rsidRPr="00E356B4" w:rsidRDefault="001774A7" w:rsidP="00D63204">
            <w:pPr>
              <w:ind w:firstLineChars="100" w:firstLine="160"/>
              <w:cnfStyle w:val="000000000000" w:firstRow="0" w:lastRow="0" w:firstColumn="0" w:lastColumn="0" w:oddVBand="0" w:evenVBand="0" w:oddHBand="0" w:evenHBand="0" w:firstRowFirstColumn="0" w:firstRowLastColumn="0" w:lastRowFirstColumn="0" w:lastRowLastColumn="0"/>
              <w:rPr>
                <w:rFonts w:ascii="Calibri" w:hAnsi="Calibri" w:cs="Arial"/>
                <w:color w:val="231F20"/>
                <w:sz w:val="16"/>
                <w:szCs w:val="16"/>
              </w:rPr>
            </w:pPr>
            <w:r w:rsidRPr="00E356B4">
              <w:rPr>
                <w:rFonts w:ascii="Calibri" w:hAnsi="Calibri" w:cs="Arial"/>
                <w:color w:val="231F20"/>
                <w:sz w:val="16"/>
                <w:szCs w:val="16"/>
              </w:rPr>
              <w:t>182,100</w:t>
            </w:r>
          </w:p>
        </w:tc>
        <w:tc>
          <w:tcPr>
            <w:tcW w:w="985" w:type="dxa"/>
            <w:vAlign w:val="center"/>
            <w:hideMark/>
          </w:tcPr>
          <w:p w14:paraId="3A078C4F" w14:textId="77777777" w:rsidR="001774A7" w:rsidRPr="00E356B4" w:rsidRDefault="001774A7" w:rsidP="00D63204">
            <w:pPr>
              <w:ind w:firstLineChars="100" w:firstLine="160"/>
              <w:cnfStyle w:val="000000000000" w:firstRow="0" w:lastRow="0" w:firstColumn="0" w:lastColumn="0" w:oddVBand="0" w:evenVBand="0" w:oddHBand="0" w:evenHBand="0" w:firstRowFirstColumn="0" w:firstRowLastColumn="0" w:lastRowFirstColumn="0" w:lastRowLastColumn="0"/>
              <w:rPr>
                <w:rFonts w:ascii="Calibri" w:hAnsi="Calibri" w:cs="Arial"/>
                <w:color w:val="231F20"/>
                <w:sz w:val="16"/>
                <w:szCs w:val="16"/>
              </w:rPr>
            </w:pPr>
            <w:r w:rsidRPr="00E356B4">
              <w:rPr>
                <w:rFonts w:ascii="Calibri" w:hAnsi="Calibri" w:cs="Arial"/>
                <w:color w:val="231F20"/>
                <w:sz w:val="16"/>
                <w:szCs w:val="16"/>
              </w:rPr>
              <w:t>3,100</w:t>
            </w:r>
          </w:p>
        </w:tc>
        <w:tc>
          <w:tcPr>
            <w:tcW w:w="899" w:type="dxa"/>
            <w:vAlign w:val="center"/>
            <w:hideMark/>
          </w:tcPr>
          <w:p w14:paraId="4E9E7430" w14:textId="77777777" w:rsidR="001774A7" w:rsidRPr="00E356B4" w:rsidRDefault="001774A7" w:rsidP="00D63204">
            <w:pPr>
              <w:ind w:firstLineChars="100" w:firstLine="160"/>
              <w:cnfStyle w:val="000000000000" w:firstRow="0" w:lastRow="0" w:firstColumn="0" w:lastColumn="0" w:oddVBand="0" w:evenVBand="0" w:oddHBand="0" w:evenHBand="0" w:firstRowFirstColumn="0" w:firstRowLastColumn="0" w:lastRowFirstColumn="0" w:lastRowLastColumn="0"/>
              <w:rPr>
                <w:rFonts w:ascii="Calibri" w:hAnsi="Calibri" w:cs="Arial"/>
                <w:color w:val="231F20"/>
                <w:sz w:val="16"/>
                <w:szCs w:val="16"/>
              </w:rPr>
            </w:pPr>
            <w:r w:rsidRPr="00E356B4">
              <w:rPr>
                <w:rFonts w:ascii="Calibri" w:hAnsi="Calibri" w:cs="Arial"/>
                <w:color w:val="231F20"/>
                <w:sz w:val="16"/>
                <w:szCs w:val="16"/>
              </w:rPr>
              <w:t>1.6</w:t>
            </w:r>
          </w:p>
        </w:tc>
        <w:tc>
          <w:tcPr>
            <w:tcW w:w="927" w:type="dxa"/>
            <w:vAlign w:val="center"/>
            <w:hideMark/>
          </w:tcPr>
          <w:p w14:paraId="2FDC25D6" w14:textId="77777777" w:rsidR="001774A7" w:rsidRPr="00E356B4" w:rsidRDefault="001774A7" w:rsidP="00D63204">
            <w:pPr>
              <w:ind w:firstLineChars="100" w:firstLine="160"/>
              <w:cnfStyle w:val="000000000000" w:firstRow="0" w:lastRow="0" w:firstColumn="0" w:lastColumn="0" w:oddVBand="0" w:evenVBand="0" w:oddHBand="0" w:evenHBand="0" w:firstRowFirstColumn="0" w:firstRowLastColumn="0" w:lastRowFirstColumn="0" w:lastRowLastColumn="0"/>
              <w:rPr>
                <w:rFonts w:ascii="Calibri" w:hAnsi="Calibri" w:cs="Arial"/>
                <w:color w:val="231F20"/>
                <w:sz w:val="16"/>
                <w:szCs w:val="16"/>
              </w:rPr>
            </w:pPr>
            <w:r w:rsidRPr="00E356B4">
              <w:rPr>
                <w:rFonts w:ascii="Calibri" w:hAnsi="Calibri" w:cs="Arial"/>
                <w:color w:val="231F20"/>
                <w:sz w:val="16"/>
                <w:szCs w:val="16"/>
              </w:rPr>
              <w:t>11,100</w:t>
            </w:r>
          </w:p>
        </w:tc>
        <w:tc>
          <w:tcPr>
            <w:tcW w:w="961" w:type="dxa"/>
            <w:vAlign w:val="center"/>
            <w:hideMark/>
          </w:tcPr>
          <w:p w14:paraId="2BA458C3" w14:textId="77777777" w:rsidR="001774A7" w:rsidRPr="00E356B4" w:rsidRDefault="001774A7" w:rsidP="00D63204">
            <w:pPr>
              <w:ind w:firstLineChars="100" w:firstLine="160"/>
              <w:cnfStyle w:val="000000000000" w:firstRow="0" w:lastRow="0" w:firstColumn="0" w:lastColumn="0" w:oddVBand="0" w:evenVBand="0" w:oddHBand="0" w:evenHBand="0" w:firstRowFirstColumn="0" w:firstRowLastColumn="0" w:lastRowFirstColumn="0" w:lastRowLastColumn="0"/>
              <w:rPr>
                <w:rFonts w:ascii="Calibri" w:hAnsi="Calibri" w:cs="Arial"/>
                <w:color w:val="231F20"/>
                <w:sz w:val="16"/>
                <w:szCs w:val="16"/>
              </w:rPr>
            </w:pPr>
            <w:r w:rsidRPr="00E356B4">
              <w:rPr>
                <w:rFonts w:ascii="Calibri" w:hAnsi="Calibri" w:cs="Arial"/>
                <w:color w:val="231F20"/>
                <w:sz w:val="16"/>
                <w:szCs w:val="16"/>
              </w:rPr>
              <w:t>6.1</w:t>
            </w:r>
          </w:p>
        </w:tc>
      </w:tr>
      <w:tr w:rsidR="001774A7" w:rsidRPr="00E356B4" w14:paraId="6E40B7CA" w14:textId="77777777" w:rsidTr="00CF3FD3">
        <w:trPr>
          <w:cnfStyle w:val="000000100000" w:firstRow="0" w:lastRow="0" w:firstColumn="0" w:lastColumn="0" w:oddVBand="0" w:evenVBand="0" w:oddHBand="1" w:evenHBand="0" w:firstRowFirstColumn="0" w:firstRowLastColumn="0" w:lastRowFirstColumn="0" w:lastRowLastColumn="0"/>
          <w:trHeight w:hRule="exact" w:val="264"/>
        </w:trPr>
        <w:tc>
          <w:tcPr>
            <w:cnfStyle w:val="001000000000" w:firstRow="0" w:lastRow="0" w:firstColumn="1" w:lastColumn="0" w:oddVBand="0" w:evenVBand="0" w:oddHBand="0" w:evenHBand="0" w:firstRowFirstColumn="0" w:firstRowLastColumn="0" w:lastRowFirstColumn="0" w:lastRowLastColumn="0"/>
            <w:tcW w:w="3330" w:type="dxa"/>
            <w:vAlign w:val="center"/>
            <w:hideMark/>
          </w:tcPr>
          <w:p w14:paraId="765F266F" w14:textId="77777777" w:rsidR="001774A7" w:rsidRPr="00CF3FD3" w:rsidRDefault="001774A7" w:rsidP="001774A7">
            <w:pPr>
              <w:rPr>
                <w:rFonts w:ascii="Calibri" w:hAnsi="Calibri" w:cs="Arial"/>
                <w:b w:val="0"/>
                <w:color w:val="231F20"/>
                <w:sz w:val="16"/>
                <w:szCs w:val="16"/>
              </w:rPr>
            </w:pPr>
            <w:r w:rsidRPr="00CF3FD3">
              <w:rPr>
                <w:rFonts w:ascii="Calibri" w:hAnsi="Calibri" w:cs="Arial"/>
                <w:b w:val="0"/>
                <w:color w:val="231F20"/>
                <w:sz w:val="16"/>
                <w:szCs w:val="16"/>
              </w:rPr>
              <w:t>Professional and Business Services</w:t>
            </w:r>
          </w:p>
        </w:tc>
        <w:tc>
          <w:tcPr>
            <w:tcW w:w="1170" w:type="dxa"/>
            <w:vAlign w:val="center"/>
            <w:hideMark/>
          </w:tcPr>
          <w:p w14:paraId="3B52782B" w14:textId="77777777" w:rsidR="001774A7" w:rsidRPr="00E356B4" w:rsidRDefault="001774A7" w:rsidP="00D63204">
            <w:pPr>
              <w:ind w:firstLineChars="100" w:firstLine="160"/>
              <w:cnfStyle w:val="000000100000" w:firstRow="0" w:lastRow="0" w:firstColumn="0" w:lastColumn="0" w:oddVBand="0" w:evenVBand="0" w:oddHBand="1" w:evenHBand="0" w:firstRowFirstColumn="0" w:firstRowLastColumn="0" w:lastRowFirstColumn="0" w:lastRowLastColumn="0"/>
              <w:rPr>
                <w:rFonts w:ascii="Calibri" w:hAnsi="Calibri" w:cs="Arial"/>
                <w:color w:val="231F20"/>
                <w:sz w:val="16"/>
                <w:szCs w:val="16"/>
              </w:rPr>
            </w:pPr>
            <w:r w:rsidRPr="00E356B4">
              <w:rPr>
                <w:rFonts w:ascii="Calibri" w:hAnsi="Calibri" w:cs="Arial"/>
                <w:color w:val="231F20"/>
                <w:sz w:val="16"/>
                <w:szCs w:val="16"/>
              </w:rPr>
              <w:t>1,342,800</w:t>
            </w:r>
          </w:p>
        </w:tc>
        <w:tc>
          <w:tcPr>
            <w:tcW w:w="1170" w:type="dxa"/>
            <w:vAlign w:val="center"/>
            <w:hideMark/>
          </w:tcPr>
          <w:p w14:paraId="65D8EF99" w14:textId="77777777" w:rsidR="001774A7" w:rsidRPr="00E356B4" w:rsidRDefault="001774A7" w:rsidP="00D63204">
            <w:pPr>
              <w:ind w:firstLineChars="100" w:firstLine="160"/>
              <w:cnfStyle w:val="000000100000" w:firstRow="0" w:lastRow="0" w:firstColumn="0" w:lastColumn="0" w:oddVBand="0" w:evenVBand="0" w:oddHBand="1" w:evenHBand="0" w:firstRowFirstColumn="0" w:firstRowLastColumn="0" w:lastRowFirstColumn="0" w:lastRowLastColumn="0"/>
              <w:rPr>
                <w:rFonts w:ascii="Calibri" w:hAnsi="Calibri" w:cs="Arial"/>
                <w:color w:val="231F20"/>
                <w:sz w:val="16"/>
                <w:szCs w:val="16"/>
              </w:rPr>
            </w:pPr>
            <w:r w:rsidRPr="00E356B4">
              <w:rPr>
                <w:rFonts w:ascii="Calibri" w:hAnsi="Calibri" w:cs="Arial"/>
                <w:color w:val="231F20"/>
                <w:sz w:val="16"/>
                <w:szCs w:val="16"/>
              </w:rPr>
              <w:t>1,348,500</w:t>
            </w:r>
          </w:p>
        </w:tc>
        <w:tc>
          <w:tcPr>
            <w:tcW w:w="1170" w:type="dxa"/>
            <w:vAlign w:val="center"/>
            <w:hideMark/>
          </w:tcPr>
          <w:p w14:paraId="4E6CA296" w14:textId="77777777" w:rsidR="001774A7" w:rsidRPr="00E356B4" w:rsidRDefault="001774A7" w:rsidP="00D63204">
            <w:pPr>
              <w:ind w:firstLineChars="100" w:firstLine="160"/>
              <w:cnfStyle w:val="000000100000" w:firstRow="0" w:lastRow="0" w:firstColumn="0" w:lastColumn="0" w:oddVBand="0" w:evenVBand="0" w:oddHBand="1" w:evenHBand="0" w:firstRowFirstColumn="0" w:firstRowLastColumn="0" w:lastRowFirstColumn="0" w:lastRowLastColumn="0"/>
              <w:rPr>
                <w:rFonts w:ascii="Calibri" w:hAnsi="Calibri" w:cs="Arial"/>
                <w:color w:val="231F20"/>
                <w:sz w:val="16"/>
                <w:szCs w:val="16"/>
              </w:rPr>
            </w:pPr>
            <w:r w:rsidRPr="00E356B4">
              <w:rPr>
                <w:rFonts w:ascii="Calibri" w:hAnsi="Calibri" w:cs="Arial"/>
                <w:color w:val="231F20"/>
                <w:sz w:val="16"/>
                <w:szCs w:val="16"/>
              </w:rPr>
              <w:t>1,301,800</w:t>
            </w:r>
          </w:p>
        </w:tc>
        <w:tc>
          <w:tcPr>
            <w:tcW w:w="985" w:type="dxa"/>
            <w:vAlign w:val="center"/>
            <w:hideMark/>
          </w:tcPr>
          <w:p w14:paraId="38A644CF" w14:textId="77777777" w:rsidR="001774A7" w:rsidRPr="00E356B4" w:rsidRDefault="001774A7" w:rsidP="00D63204">
            <w:pPr>
              <w:ind w:firstLineChars="100" w:firstLine="160"/>
              <w:cnfStyle w:val="000000100000" w:firstRow="0" w:lastRow="0" w:firstColumn="0" w:lastColumn="0" w:oddVBand="0" w:evenVBand="0" w:oddHBand="1" w:evenHBand="0" w:firstRowFirstColumn="0" w:firstRowLastColumn="0" w:lastRowFirstColumn="0" w:lastRowLastColumn="0"/>
              <w:rPr>
                <w:rFonts w:ascii="Calibri" w:hAnsi="Calibri" w:cs="Arial"/>
                <w:color w:val="231F20"/>
                <w:sz w:val="16"/>
                <w:szCs w:val="16"/>
              </w:rPr>
            </w:pPr>
            <w:r w:rsidRPr="00E356B4">
              <w:rPr>
                <w:rFonts w:ascii="Calibri" w:hAnsi="Calibri" w:cs="Arial"/>
                <w:color w:val="231F20"/>
                <w:sz w:val="16"/>
                <w:szCs w:val="16"/>
              </w:rPr>
              <w:t>-5,700</w:t>
            </w:r>
          </w:p>
        </w:tc>
        <w:tc>
          <w:tcPr>
            <w:tcW w:w="899" w:type="dxa"/>
            <w:vAlign w:val="center"/>
            <w:hideMark/>
          </w:tcPr>
          <w:p w14:paraId="5DAA9DC0" w14:textId="77777777" w:rsidR="001774A7" w:rsidRPr="00E356B4" w:rsidRDefault="001774A7" w:rsidP="00D63204">
            <w:pPr>
              <w:ind w:firstLineChars="100" w:firstLine="160"/>
              <w:cnfStyle w:val="000000100000" w:firstRow="0" w:lastRow="0" w:firstColumn="0" w:lastColumn="0" w:oddVBand="0" w:evenVBand="0" w:oddHBand="1" w:evenHBand="0" w:firstRowFirstColumn="0" w:firstRowLastColumn="0" w:lastRowFirstColumn="0" w:lastRowLastColumn="0"/>
              <w:rPr>
                <w:rFonts w:ascii="Calibri" w:hAnsi="Calibri" w:cs="Arial"/>
                <w:color w:val="231F20"/>
                <w:sz w:val="16"/>
                <w:szCs w:val="16"/>
              </w:rPr>
            </w:pPr>
            <w:r w:rsidRPr="00E356B4">
              <w:rPr>
                <w:rFonts w:ascii="Calibri" w:hAnsi="Calibri" w:cs="Arial"/>
                <w:color w:val="231F20"/>
                <w:sz w:val="16"/>
                <w:szCs w:val="16"/>
              </w:rPr>
              <w:t>-0.4</w:t>
            </w:r>
          </w:p>
        </w:tc>
        <w:tc>
          <w:tcPr>
            <w:tcW w:w="927" w:type="dxa"/>
            <w:vAlign w:val="center"/>
            <w:hideMark/>
          </w:tcPr>
          <w:p w14:paraId="7572C5CF" w14:textId="77777777" w:rsidR="001774A7" w:rsidRPr="00E356B4" w:rsidRDefault="001774A7" w:rsidP="00D63204">
            <w:pPr>
              <w:ind w:firstLineChars="100" w:firstLine="160"/>
              <w:cnfStyle w:val="000000100000" w:firstRow="0" w:lastRow="0" w:firstColumn="0" w:lastColumn="0" w:oddVBand="0" w:evenVBand="0" w:oddHBand="1" w:evenHBand="0" w:firstRowFirstColumn="0" w:firstRowLastColumn="0" w:lastRowFirstColumn="0" w:lastRowLastColumn="0"/>
              <w:rPr>
                <w:rFonts w:ascii="Calibri" w:hAnsi="Calibri" w:cs="Arial"/>
                <w:color w:val="231F20"/>
                <w:sz w:val="16"/>
                <w:szCs w:val="16"/>
              </w:rPr>
            </w:pPr>
            <w:r w:rsidRPr="00E356B4">
              <w:rPr>
                <w:rFonts w:ascii="Calibri" w:hAnsi="Calibri" w:cs="Arial"/>
                <w:color w:val="231F20"/>
                <w:sz w:val="16"/>
                <w:szCs w:val="16"/>
              </w:rPr>
              <w:t>41,000</w:t>
            </w:r>
          </w:p>
        </w:tc>
        <w:tc>
          <w:tcPr>
            <w:tcW w:w="961" w:type="dxa"/>
            <w:vAlign w:val="center"/>
            <w:hideMark/>
          </w:tcPr>
          <w:p w14:paraId="4F1B8817" w14:textId="77777777" w:rsidR="001774A7" w:rsidRPr="00E356B4" w:rsidRDefault="001774A7" w:rsidP="00D63204">
            <w:pPr>
              <w:ind w:firstLineChars="100" w:firstLine="160"/>
              <w:cnfStyle w:val="000000100000" w:firstRow="0" w:lastRow="0" w:firstColumn="0" w:lastColumn="0" w:oddVBand="0" w:evenVBand="0" w:oddHBand="1" w:evenHBand="0" w:firstRowFirstColumn="0" w:firstRowLastColumn="0" w:lastRowFirstColumn="0" w:lastRowLastColumn="0"/>
              <w:rPr>
                <w:rFonts w:ascii="Calibri" w:hAnsi="Calibri" w:cs="Arial"/>
                <w:color w:val="231F20"/>
                <w:sz w:val="16"/>
                <w:szCs w:val="16"/>
              </w:rPr>
            </w:pPr>
            <w:r w:rsidRPr="00E356B4">
              <w:rPr>
                <w:rFonts w:ascii="Calibri" w:hAnsi="Calibri" w:cs="Arial"/>
                <w:color w:val="231F20"/>
                <w:sz w:val="16"/>
                <w:szCs w:val="16"/>
              </w:rPr>
              <w:t>3.1</w:t>
            </w:r>
          </w:p>
        </w:tc>
      </w:tr>
      <w:tr w:rsidR="001774A7" w:rsidRPr="00E356B4" w14:paraId="43AFB1C2" w14:textId="77777777" w:rsidTr="00CF3FD3">
        <w:trPr>
          <w:trHeight w:hRule="exact" w:val="264"/>
        </w:trPr>
        <w:tc>
          <w:tcPr>
            <w:cnfStyle w:val="001000000000" w:firstRow="0" w:lastRow="0" w:firstColumn="1" w:lastColumn="0" w:oddVBand="0" w:evenVBand="0" w:oddHBand="0" w:evenHBand="0" w:firstRowFirstColumn="0" w:firstRowLastColumn="0" w:lastRowFirstColumn="0" w:lastRowLastColumn="0"/>
            <w:tcW w:w="3330" w:type="dxa"/>
            <w:vAlign w:val="center"/>
            <w:hideMark/>
          </w:tcPr>
          <w:p w14:paraId="43D7ADA1" w14:textId="77777777" w:rsidR="001774A7" w:rsidRPr="00CF3FD3" w:rsidRDefault="001774A7" w:rsidP="001774A7">
            <w:pPr>
              <w:ind w:firstLineChars="100" w:firstLine="160"/>
              <w:rPr>
                <w:rFonts w:ascii="Calibri" w:hAnsi="Calibri" w:cs="Arial"/>
                <w:b w:val="0"/>
                <w:color w:val="231F20"/>
                <w:sz w:val="16"/>
                <w:szCs w:val="16"/>
              </w:rPr>
            </w:pPr>
            <w:r w:rsidRPr="00CF3FD3">
              <w:rPr>
                <w:rFonts w:ascii="Calibri" w:hAnsi="Calibri" w:cs="Arial"/>
                <w:b w:val="0"/>
                <w:color w:val="231F20"/>
                <w:sz w:val="16"/>
                <w:szCs w:val="16"/>
              </w:rPr>
              <w:t>Professional and Technical Services</w:t>
            </w:r>
          </w:p>
        </w:tc>
        <w:tc>
          <w:tcPr>
            <w:tcW w:w="1170" w:type="dxa"/>
            <w:vAlign w:val="center"/>
            <w:hideMark/>
          </w:tcPr>
          <w:p w14:paraId="442CCD09" w14:textId="77777777" w:rsidR="001774A7" w:rsidRPr="00E356B4" w:rsidRDefault="001774A7" w:rsidP="00D63204">
            <w:pPr>
              <w:ind w:firstLineChars="100" w:firstLine="160"/>
              <w:cnfStyle w:val="000000000000" w:firstRow="0" w:lastRow="0" w:firstColumn="0" w:lastColumn="0" w:oddVBand="0" w:evenVBand="0" w:oddHBand="0" w:evenHBand="0" w:firstRowFirstColumn="0" w:firstRowLastColumn="0" w:lastRowFirstColumn="0" w:lastRowLastColumn="0"/>
              <w:rPr>
                <w:rFonts w:ascii="Calibri" w:hAnsi="Calibri" w:cs="Arial"/>
                <w:color w:val="231F20"/>
                <w:sz w:val="16"/>
                <w:szCs w:val="16"/>
              </w:rPr>
            </w:pPr>
            <w:r w:rsidRPr="00E356B4">
              <w:rPr>
                <w:rFonts w:ascii="Calibri" w:hAnsi="Calibri" w:cs="Arial"/>
                <w:color w:val="231F20"/>
                <w:sz w:val="16"/>
                <w:szCs w:val="16"/>
              </w:rPr>
              <w:t>556,800</w:t>
            </w:r>
          </w:p>
        </w:tc>
        <w:tc>
          <w:tcPr>
            <w:tcW w:w="1170" w:type="dxa"/>
            <w:vAlign w:val="center"/>
            <w:hideMark/>
          </w:tcPr>
          <w:p w14:paraId="05C29A0E" w14:textId="77777777" w:rsidR="001774A7" w:rsidRPr="00E356B4" w:rsidRDefault="001774A7" w:rsidP="00D63204">
            <w:pPr>
              <w:ind w:firstLineChars="100" w:firstLine="160"/>
              <w:cnfStyle w:val="000000000000" w:firstRow="0" w:lastRow="0" w:firstColumn="0" w:lastColumn="0" w:oddVBand="0" w:evenVBand="0" w:oddHBand="0" w:evenHBand="0" w:firstRowFirstColumn="0" w:firstRowLastColumn="0" w:lastRowFirstColumn="0" w:lastRowLastColumn="0"/>
              <w:rPr>
                <w:rFonts w:ascii="Calibri" w:hAnsi="Calibri" w:cs="Arial"/>
                <w:color w:val="231F20"/>
                <w:sz w:val="16"/>
                <w:szCs w:val="16"/>
              </w:rPr>
            </w:pPr>
            <w:r w:rsidRPr="00E356B4">
              <w:rPr>
                <w:rFonts w:ascii="Calibri" w:hAnsi="Calibri" w:cs="Arial"/>
                <w:color w:val="231F20"/>
                <w:sz w:val="16"/>
                <w:szCs w:val="16"/>
              </w:rPr>
              <w:t>557,900</w:t>
            </w:r>
          </w:p>
        </w:tc>
        <w:tc>
          <w:tcPr>
            <w:tcW w:w="1170" w:type="dxa"/>
            <w:vAlign w:val="center"/>
            <w:hideMark/>
          </w:tcPr>
          <w:p w14:paraId="159CBF04" w14:textId="77777777" w:rsidR="001774A7" w:rsidRPr="00E356B4" w:rsidRDefault="001774A7" w:rsidP="00D63204">
            <w:pPr>
              <w:ind w:firstLineChars="100" w:firstLine="160"/>
              <w:cnfStyle w:val="000000000000" w:firstRow="0" w:lastRow="0" w:firstColumn="0" w:lastColumn="0" w:oddVBand="0" w:evenVBand="0" w:oddHBand="0" w:evenHBand="0" w:firstRowFirstColumn="0" w:firstRowLastColumn="0" w:lastRowFirstColumn="0" w:lastRowLastColumn="0"/>
              <w:rPr>
                <w:rFonts w:ascii="Calibri" w:hAnsi="Calibri" w:cs="Arial"/>
                <w:color w:val="231F20"/>
                <w:sz w:val="16"/>
                <w:szCs w:val="16"/>
              </w:rPr>
            </w:pPr>
            <w:r w:rsidRPr="00E356B4">
              <w:rPr>
                <w:rFonts w:ascii="Calibri" w:hAnsi="Calibri" w:cs="Arial"/>
                <w:color w:val="231F20"/>
                <w:sz w:val="16"/>
                <w:szCs w:val="16"/>
              </w:rPr>
              <w:t>536,400</w:t>
            </w:r>
          </w:p>
        </w:tc>
        <w:tc>
          <w:tcPr>
            <w:tcW w:w="985" w:type="dxa"/>
            <w:vAlign w:val="center"/>
            <w:hideMark/>
          </w:tcPr>
          <w:p w14:paraId="3958AB36" w14:textId="77777777" w:rsidR="001774A7" w:rsidRPr="00E356B4" w:rsidRDefault="001774A7" w:rsidP="00D63204">
            <w:pPr>
              <w:ind w:firstLineChars="100" w:firstLine="160"/>
              <w:cnfStyle w:val="000000000000" w:firstRow="0" w:lastRow="0" w:firstColumn="0" w:lastColumn="0" w:oddVBand="0" w:evenVBand="0" w:oddHBand="0" w:evenHBand="0" w:firstRowFirstColumn="0" w:firstRowLastColumn="0" w:lastRowFirstColumn="0" w:lastRowLastColumn="0"/>
              <w:rPr>
                <w:rFonts w:ascii="Calibri" w:hAnsi="Calibri" w:cs="Arial"/>
                <w:color w:val="231F20"/>
                <w:sz w:val="16"/>
                <w:szCs w:val="16"/>
              </w:rPr>
            </w:pPr>
            <w:r w:rsidRPr="00E356B4">
              <w:rPr>
                <w:rFonts w:ascii="Calibri" w:hAnsi="Calibri" w:cs="Arial"/>
                <w:color w:val="231F20"/>
                <w:sz w:val="16"/>
                <w:szCs w:val="16"/>
              </w:rPr>
              <w:t>-1100</w:t>
            </w:r>
          </w:p>
        </w:tc>
        <w:tc>
          <w:tcPr>
            <w:tcW w:w="899" w:type="dxa"/>
            <w:vAlign w:val="center"/>
            <w:hideMark/>
          </w:tcPr>
          <w:p w14:paraId="19ACF748" w14:textId="77777777" w:rsidR="001774A7" w:rsidRPr="00E356B4" w:rsidRDefault="001774A7" w:rsidP="00D63204">
            <w:pPr>
              <w:ind w:firstLineChars="100" w:firstLine="160"/>
              <w:cnfStyle w:val="000000000000" w:firstRow="0" w:lastRow="0" w:firstColumn="0" w:lastColumn="0" w:oddVBand="0" w:evenVBand="0" w:oddHBand="0" w:evenHBand="0" w:firstRowFirstColumn="0" w:firstRowLastColumn="0" w:lastRowFirstColumn="0" w:lastRowLastColumn="0"/>
              <w:rPr>
                <w:rFonts w:ascii="Calibri" w:hAnsi="Calibri" w:cs="Arial"/>
                <w:color w:val="231F20"/>
                <w:sz w:val="16"/>
                <w:szCs w:val="16"/>
              </w:rPr>
            </w:pPr>
            <w:r w:rsidRPr="00E356B4">
              <w:rPr>
                <w:rFonts w:ascii="Calibri" w:hAnsi="Calibri" w:cs="Arial"/>
                <w:color w:val="231F20"/>
                <w:sz w:val="16"/>
                <w:szCs w:val="16"/>
              </w:rPr>
              <w:t>-0.2</w:t>
            </w:r>
          </w:p>
        </w:tc>
        <w:tc>
          <w:tcPr>
            <w:tcW w:w="927" w:type="dxa"/>
            <w:vAlign w:val="center"/>
            <w:hideMark/>
          </w:tcPr>
          <w:p w14:paraId="1B9755A2" w14:textId="77777777" w:rsidR="001774A7" w:rsidRPr="00E356B4" w:rsidRDefault="001774A7" w:rsidP="00D63204">
            <w:pPr>
              <w:ind w:firstLineChars="100" w:firstLine="160"/>
              <w:cnfStyle w:val="000000000000" w:firstRow="0" w:lastRow="0" w:firstColumn="0" w:lastColumn="0" w:oddVBand="0" w:evenVBand="0" w:oddHBand="0" w:evenHBand="0" w:firstRowFirstColumn="0" w:firstRowLastColumn="0" w:lastRowFirstColumn="0" w:lastRowLastColumn="0"/>
              <w:rPr>
                <w:rFonts w:ascii="Calibri" w:hAnsi="Calibri" w:cs="Arial"/>
                <w:color w:val="231F20"/>
                <w:sz w:val="16"/>
                <w:szCs w:val="16"/>
              </w:rPr>
            </w:pPr>
            <w:r w:rsidRPr="00E356B4">
              <w:rPr>
                <w:rFonts w:ascii="Calibri" w:hAnsi="Calibri" w:cs="Arial"/>
                <w:color w:val="231F20"/>
                <w:sz w:val="16"/>
                <w:szCs w:val="16"/>
              </w:rPr>
              <w:t>20,400</w:t>
            </w:r>
          </w:p>
        </w:tc>
        <w:tc>
          <w:tcPr>
            <w:tcW w:w="961" w:type="dxa"/>
            <w:vAlign w:val="center"/>
            <w:hideMark/>
          </w:tcPr>
          <w:p w14:paraId="17BCDE7A" w14:textId="77777777" w:rsidR="001774A7" w:rsidRPr="00E356B4" w:rsidRDefault="001774A7" w:rsidP="00D63204">
            <w:pPr>
              <w:ind w:firstLineChars="100" w:firstLine="160"/>
              <w:cnfStyle w:val="000000000000" w:firstRow="0" w:lastRow="0" w:firstColumn="0" w:lastColumn="0" w:oddVBand="0" w:evenVBand="0" w:oddHBand="0" w:evenHBand="0" w:firstRowFirstColumn="0" w:firstRowLastColumn="0" w:lastRowFirstColumn="0" w:lastRowLastColumn="0"/>
              <w:rPr>
                <w:rFonts w:ascii="Calibri" w:hAnsi="Calibri" w:cs="Arial"/>
                <w:color w:val="231F20"/>
                <w:sz w:val="16"/>
                <w:szCs w:val="16"/>
              </w:rPr>
            </w:pPr>
            <w:r w:rsidRPr="00E356B4">
              <w:rPr>
                <w:rFonts w:ascii="Calibri" w:hAnsi="Calibri" w:cs="Arial"/>
                <w:color w:val="231F20"/>
                <w:sz w:val="16"/>
                <w:szCs w:val="16"/>
              </w:rPr>
              <w:t>3.8</w:t>
            </w:r>
          </w:p>
        </w:tc>
      </w:tr>
      <w:tr w:rsidR="001774A7" w:rsidRPr="00E356B4" w14:paraId="1196AD8E" w14:textId="77777777" w:rsidTr="00CF3FD3">
        <w:trPr>
          <w:cnfStyle w:val="000000100000" w:firstRow="0" w:lastRow="0" w:firstColumn="0" w:lastColumn="0" w:oddVBand="0" w:evenVBand="0" w:oddHBand="1" w:evenHBand="0" w:firstRowFirstColumn="0" w:firstRowLastColumn="0" w:lastRowFirstColumn="0" w:lastRowLastColumn="0"/>
          <w:trHeight w:hRule="exact" w:val="264"/>
        </w:trPr>
        <w:tc>
          <w:tcPr>
            <w:cnfStyle w:val="001000000000" w:firstRow="0" w:lastRow="0" w:firstColumn="1" w:lastColumn="0" w:oddVBand="0" w:evenVBand="0" w:oddHBand="0" w:evenHBand="0" w:firstRowFirstColumn="0" w:firstRowLastColumn="0" w:lastRowFirstColumn="0" w:lastRowLastColumn="0"/>
            <w:tcW w:w="3330" w:type="dxa"/>
            <w:vAlign w:val="center"/>
            <w:hideMark/>
          </w:tcPr>
          <w:p w14:paraId="4643253C" w14:textId="77777777" w:rsidR="001774A7" w:rsidRPr="00CF3FD3" w:rsidRDefault="001774A7" w:rsidP="001774A7">
            <w:pPr>
              <w:ind w:firstLineChars="100" w:firstLine="160"/>
              <w:rPr>
                <w:rFonts w:ascii="Calibri" w:hAnsi="Calibri" w:cs="Arial"/>
                <w:b w:val="0"/>
                <w:color w:val="231F20"/>
                <w:sz w:val="16"/>
                <w:szCs w:val="16"/>
              </w:rPr>
            </w:pPr>
            <w:r w:rsidRPr="00CF3FD3">
              <w:rPr>
                <w:rFonts w:ascii="Calibri" w:hAnsi="Calibri" w:cs="Arial"/>
                <w:b w:val="0"/>
                <w:color w:val="231F20"/>
                <w:sz w:val="16"/>
                <w:szCs w:val="16"/>
              </w:rPr>
              <w:t>Management of Companies and Enterprises</w:t>
            </w:r>
          </w:p>
        </w:tc>
        <w:tc>
          <w:tcPr>
            <w:tcW w:w="1170" w:type="dxa"/>
            <w:vAlign w:val="center"/>
            <w:hideMark/>
          </w:tcPr>
          <w:p w14:paraId="18F84CC2" w14:textId="77777777" w:rsidR="001774A7" w:rsidRPr="00E356B4" w:rsidRDefault="001774A7" w:rsidP="00D63204">
            <w:pPr>
              <w:ind w:firstLineChars="100" w:firstLine="160"/>
              <w:cnfStyle w:val="000000100000" w:firstRow="0" w:lastRow="0" w:firstColumn="0" w:lastColumn="0" w:oddVBand="0" w:evenVBand="0" w:oddHBand="1" w:evenHBand="0" w:firstRowFirstColumn="0" w:firstRowLastColumn="0" w:lastRowFirstColumn="0" w:lastRowLastColumn="0"/>
              <w:rPr>
                <w:rFonts w:ascii="Calibri" w:hAnsi="Calibri" w:cs="Arial"/>
                <w:color w:val="231F20"/>
                <w:sz w:val="16"/>
                <w:szCs w:val="16"/>
              </w:rPr>
            </w:pPr>
            <w:r w:rsidRPr="00E356B4">
              <w:rPr>
                <w:rFonts w:ascii="Calibri" w:hAnsi="Calibri" w:cs="Arial"/>
                <w:color w:val="231F20"/>
                <w:sz w:val="16"/>
                <w:szCs w:val="16"/>
              </w:rPr>
              <w:t>105,200</w:t>
            </w:r>
          </w:p>
        </w:tc>
        <w:tc>
          <w:tcPr>
            <w:tcW w:w="1170" w:type="dxa"/>
            <w:vAlign w:val="center"/>
            <w:hideMark/>
          </w:tcPr>
          <w:p w14:paraId="08A57FC7" w14:textId="77777777" w:rsidR="001774A7" w:rsidRPr="00E356B4" w:rsidRDefault="001774A7" w:rsidP="00D63204">
            <w:pPr>
              <w:ind w:firstLineChars="100" w:firstLine="160"/>
              <w:cnfStyle w:val="000000100000" w:firstRow="0" w:lastRow="0" w:firstColumn="0" w:lastColumn="0" w:oddVBand="0" w:evenVBand="0" w:oddHBand="1" w:evenHBand="0" w:firstRowFirstColumn="0" w:firstRowLastColumn="0" w:lastRowFirstColumn="0" w:lastRowLastColumn="0"/>
              <w:rPr>
                <w:rFonts w:ascii="Calibri" w:hAnsi="Calibri" w:cs="Arial"/>
                <w:color w:val="231F20"/>
                <w:sz w:val="16"/>
                <w:szCs w:val="16"/>
              </w:rPr>
            </w:pPr>
            <w:r w:rsidRPr="00E356B4">
              <w:rPr>
                <w:rFonts w:ascii="Calibri" w:hAnsi="Calibri" w:cs="Arial"/>
                <w:color w:val="231F20"/>
                <w:sz w:val="16"/>
                <w:szCs w:val="16"/>
              </w:rPr>
              <w:t>104,800</w:t>
            </w:r>
          </w:p>
        </w:tc>
        <w:tc>
          <w:tcPr>
            <w:tcW w:w="1170" w:type="dxa"/>
            <w:vAlign w:val="center"/>
            <w:hideMark/>
          </w:tcPr>
          <w:p w14:paraId="5023ABD7" w14:textId="77777777" w:rsidR="001774A7" w:rsidRPr="00E356B4" w:rsidRDefault="001774A7" w:rsidP="00D63204">
            <w:pPr>
              <w:ind w:firstLineChars="100" w:firstLine="160"/>
              <w:cnfStyle w:val="000000100000" w:firstRow="0" w:lastRow="0" w:firstColumn="0" w:lastColumn="0" w:oddVBand="0" w:evenVBand="0" w:oddHBand="1" w:evenHBand="0" w:firstRowFirstColumn="0" w:firstRowLastColumn="0" w:lastRowFirstColumn="0" w:lastRowLastColumn="0"/>
              <w:rPr>
                <w:rFonts w:ascii="Calibri" w:hAnsi="Calibri" w:cs="Arial"/>
                <w:color w:val="231F20"/>
                <w:sz w:val="16"/>
                <w:szCs w:val="16"/>
              </w:rPr>
            </w:pPr>
            <w:r w:rsidRPr="00E356B4">
              <w:rPr>
                <w:rFonts w:ascii="Calibri" w:hAnsi="Calibri" w:cs="Arial"/>
                <w:color w:val="231F20"/>
                <w:sz w:val="16"/>
                <w:szCs w:val="16"/>
              </w:rPr>
              <w:t>102,500</w:t>
            </w:r>
          </w:p>
        </w:tc>
        <w:tc>
          <w:tcPr>
            <w:tcW w:w="985" w:type="dxa"/>
            <w:vAlign w:val="center"/>
            <w:hideMark/>
          </w:tcPr>
          <w:p w14:paraId="038439F1" w14:textId="77777777" w:rsidR="001774A7" w:rsidRPr="00E356B4" w:rsidRDefault="001774A7" w:rsidP="00D63204">
            <w:pPr>
              <w:ind w:firstLineChars="100" w:firstLine="160"/>
              <w:cnfStyle w:val="000000100000" w:firstRow="0" w:lastRow="0" w:firstColumn="0" w:lastColumn="0" w:oddVBand="0" w:evenVBand="0" w:oddHBand="1" w:evenHBand="0" w:firstRowFirstColumn="0" w:firstRowLastColumn="0" w:lastRowFirstColumn="0" w:lastRowLastColumn="0"/>
              <w:rPr>
                <w:rFonts w:ascii="Calibri" w:hAnsi="Calibri" w:cs="Arial"/>
                <w:color w:val="231F20"/>
                <w:sz w:val="16"/>
                <w:szCs w:val="16"/>
              </w:rPr>
            </w:pPr>
            <w:r w:rsidRPr="00E356B4">
              <w:rPr>
                <w:rFonts w:ascii="Calibri" w:hAnsi="Calibri" w:cs="Arial"/>
                <w:color w:val="231F20"/>
                <w:sz w:val="16"/>
                <w:szCs w:val="16"/>
              </w:rPr>
              <w:t>400</w:t>
            </w:r>
          </w:p>
        </w:tc>
        <w:tc>
          <w:tcPr>
            <w:tcW w:w="899" w:type="dxa"/>
            <w:vAlign w:val="center"/>
            <w:hideMark/>
          </w:tcPr>
          <w:p w14:paraId="02AF7612" w14:textId="77777777" w:rsidR="001774A7" w:rsidRPr="00E356B4" w:rsidRDefault="001774A7" w:rsidP="00D63204">
            <w:pPr>
              <w:ind w:firstLineChars="100" w:firstLine="160"/>
              <w:cnfStyle w:val="000000100000" w:firstRow="0" w:lastRow="0" w:firstColumn="0" w:lastColumn="0" w:oddVBand="0" w:evenVBand="0" w:oddHBand="1" w:evenHBand="0" w:firstRowFirstColumn="0" w:firstRowLastColumn="0" w:lastRowFirstColumn="0" w:lastRowLastColumn="0"/>
              <w:rPr>
                <w:rFonts w:ascii="Calibri" w:hAnsi="Calibri" w:cs="Arial"/>
                <w:color w:val="231F20"/>
                <w:sz w:val="16"/>
                <w:szCs w:val="16"/>
              </w:rPr>
            </w:pPr>
            <w:r w:rsidRPr="00E356B4">
              <w:rPr>
                <w:rFonts w:ascii="Calibri" w:hAnsi="Calibri" w:cs="Arial"/>
                <w:color w:val="231F20"/>
                <w:sz w:val="16"/>
                <w:szCs w:val="16"/>
              </w:rPr>
              <w:t>0.4</w:t>
            </w:r>
          </w:p>
        </w:tc>
        <w:tc>
          <w:tcPr>
            <w:tcW w:w="927" w:type="dxa"/>
            <w:vAlign w:val="center"/>
            <w:hideMark/>
          </w:tcPr>
          <w:p w14:paraId="205147C3" w14:textId="77777777" w:rsidR="001774A7" w:rsidRPr="00E356B4" w:rsidRDefault="001774A7" w:rsidP="00D63204">
            <w:pPr>
              <w:ind w:firstLineChars="100" w:firstLine="160"/>
              <w:cnfStyle w:val="000000100000" w:firstRow="0" w:lastRow="0" w:firstColumn="0" w:lastColumn="0" w:oddVBand="0" w:evenVBand="0" w:oddHBand="1" w:evenHBand="0" w:firstRowFirstColumn="0" w:firstRowLastColumn="0" w:lastRowFirstColumn="0" w:lastRowLastColumn="0"/>
              <w:rPr>
                <w:rFonts w:ascii="Calibri" w:hAnsi="Calibri" w:cs="Arial"/>
                <w:color w:val="231F20"/>
                <w:sz w:val="16"/>
                <w:szCs w:val="16"/>
              </w:rPr>
            </w:pPr>
            <w:r w:rsidRPr="00E356B4">
              <w:rPr>
                <w:rFonts w:ascii="Calibri" w:hAnsi="Calibri" w:cs="Arial"/>
                <w:color w:val="231F20"/>
                <w:sz w:val="16"/>
                <w:szCs w:val="16"/>
              </w:rPr>
              <w:t>2,700</w:t>
            </w:r>
          </w:p>
        </w:tc>
        <w:tc>
          <w:tcPr>
            <w:tcW w:w="961" w:type="dxa"/>
            <w:vAlign w:val="center"/>
            <w:hideMark/>
          </w:tcPr>
          <w:p w14:paraId="693AD8A9" w14:textId="77777777" w:rsidR="001774A7" w:rsidRPr="00E356B4" w:rsidRDefault="001774A7" w:rsidP="00D63204">
            <w:pPr>
              <w:ind w:firstLineChars="100" w:firstLine="160"/>
              <w:cnfStyle w:val="000000100000" w:firstRow="0" w:lastRow="0" w:firstColumn="0" w:lastColumn="0" w:oddVBand="0" w:evenVBand="0" w:oddHBand="1" w:evenHBand="0" w:firstRowFirstColumn="0" w:firstRowLastColumn="0" w:lastRowFirstColumn="0" w:lastRowLastColumn="0"/>
              <w:rPr>
                <w:rFonts w:ascii="Calibri" w:hAnsi="Calibri" w:cs="Arial"/>
                <w:color w:val="231F20"/>
                <w:sz w:val="16"/>
                <w:szCs w:val="16"/>
              </w:rPr>
            </w:pPr>
            <w:r w:rsidRPr="00E356B4">
              <w:rPr>
                <w:rFonts w:ascii="Calibri" w:hAnsi="Calibri" w:cs="Arial"/>
                <w:color w:val="231F20"/>
                <w:sz w:val="16"/>
                <w:szCs w:val="16"/>
              </w:rPr>
              <w:t>2.6</w:t>
            </w:r>
          </w:p>
        </w:tc>
      </w:tr>
      <w:tr w:rsidR="001774A7" w:rsidRPr="00E356B4" w14:paraId="25AA4BBF" w14:textId="77777777" w:rsidTr="00CF3FD3">
        <w:trPr>
          <w:trHeight w:hRule="exact" w:val="264"/>
        </w:trPr>
        <w:tc>
          <w:tcPr>
            <w:cnfStyle w:val="001000000000" w:firstRow="0" w:lastRow="0" w:firstColumn="1" w:lastColumn="0" w:oddVBand="0" w:evenVBand="0" w:oddHBand="0" w:evenHBand="0" w:firstRowFirstColumn="0" w:firstRowLastColumn="0" w:lastRowFirstColumn="0" w:lastRowLastColumn="0"/>
            <w:tcW w:w="3330" w:type="dxa"/>
            <w:vAlign w:val="center"/>
            <w:hideMark/>
          </w:tcPr>
          <w:p w14:paraId="5C8CD21D" w14:textId="77777777" w:rsidR="001774A7" w:rsidRPr="00CF3FD3" w:rsidRDefault="001774A7" w:rsidP="001774A7">
            <w:pPr>
              <w:ind w:firstLineChars="100" w:firstLine="160"/>
              <w:rPr>
                <w:rFonts w:ascii="Calibri" w:hAnsi="Calibri" w:cs="Arial"/>
                <w:b w:val="0"/>
                <w:color w:val="231F20"/>
                <w:sz w:val="16"/>
                <w:szCs w:val="16"/>
              </w:rPr>
            </w:pPr>
            <w:r w:rsidRPr="00CF3FD3">
              <w:rPr>
                <w:rFonts w:ascii="Calibri" w:hAnsi="Calibri" w:cs="Arial"/>
                <w:b w:val="0"/>
                <w:color w:val="231F20"/>
                <w:sz w:val="16"/>
                <w:szCs w:val="16"/>
              </w:rPr>
              <w:t>Administrative and Waste Services</w:t>
            </w:r>
          </w:p>
        </w:tc>
        <w:tc>
          <w:tcPr>
            <w:tcW w:w="1170" w:type="dxa"/>
            <w:vAlign w:val="center"/>
            <w:hideMark/>
          </w:tcPr>
          <w:p w14:paraId="21657ED9" w14:textId="77777777" w:rsidR="001774A7" w:rsidRPr="00E356B4" w:rsidRDefault="001774A7" w:rsidP="00D63204">
            <w:pPr>
              <w:ind w:firstLineChars="100" w:firstLine="160"/>
              <w:cnfStyle w:val="000000000000" w:firstRow="0" w:lastRow="0" w:firstColumn="0" w:lastColumn="0" w:oddVBand="0" w:evenVBand="0" w:oddHBand="0" w:evenHBand="0" w:firstRowFirstColumn="0" w:firstRowLastColumn="0" w:lastRowFirstColumn="0" w:lastRowLastColumn="0"/>
              <w:rPr>
                <w:rFonts w:ascii="Calibri" w:hAnsi="Calibri" w:cs="Arial"/>
                <w:color w:val="231F20"/>
                <w:sz w:val="16"/>
                <w:szCs w:val="16"/>
              </w:rPr>
            </w:pPr>
            <w:r w:rsidRPr="00E356B4">
              <w:rPr>
                <w:rFonts w:ascii="Calibri" w:hAnsi="Calibri" w:cs="Arial"/>
                <w:color w:val="231F20"/>
                <w:sz w:val="16"/>
                <w:szCs w:val="16"/>
              </w:rPr>
              <w:t>680,800</w:t>
            </w:r>
          </w:p>
        </w:tc>
        <w:tc>
          <w:tcPr>
            <w:tcW w:w="1170" w:type="dxa"/>
            <w:vAlign w:val="center"/>
            <w:hideMark/>
          </w:tcPr>
          <w:p w14:paraId="4DC01C47" w14:textId="77777777" w:rsidR="001774A7" w:rsidRPr="00E356B4" w:rsidRDefault="001774A7" w:rsidP="00D63204">
            <w:pPr>
              <w:ind w:firstLineChars="100" w:firstLine="160"/>
              <w:cnfStyle w:val="000000000000" w:firstRow="0" w:lastRow="0" w:firstColumn="0" w:lastColumn="0" w:oddVBand="0" w:evenVBand="0" w:oddHBand="0" w:evenHBand="0" w:firstRowFirstColumn="0" w:firstRowLastColumn="0" w:lastRowFirstColumn="0" w:lastRowLastColumn="0"/>
              <w:rPr>
                <w:rFonts w:ascii="Calibri" w:hAnsi="Calibri" w:cs="Arial"/>
                <w:color w:val="231F20"/>
                <w:sz w:val="16"/>
                <w:szCs w:val="16"/>
              </w:rPr>
            </w:pPr>
            <w:r w:rsidRPr="00E356B4">
              <w:rPr>
                <w:rFonts w:ascii="Calibri" w:hAnsi="Calibri" w:cs="Arial"/>
                <w:color w:val="231F20"/>
                <w:sz w:val="16"/>
                <w:szCs w:val="16"/>
              </w:rPr>
              <w:t>685,800</w:t>
            </w:r>
          </w:p>
        </w:tc>
        <w:tc>
          <w:tcPr>
            <w:tcW w:w="1170" w:type="dxa"/>
            <w:vAlign w:val="center"/>
            <w:hideMark/>
          </w:tcPr>
          <w:p w14:paraId="5E09BAA4" w14:textId="77777777" w:rsidR="001774A7" w:rsidRPr="00E356B4" w:rsidRDefault="001774A7" w:rsidP="00D63204">
            <w:pPr>
              <w:ind w:firstLineChars="100" w:firstLine="160"/>
              <w:cnfStyle w:val="000000000000" w:firstRow="0" w:lastRow="0" w:firstColumn="0" w:lastColumn="0" w:oddVBand="0" w:evenVBand="0" w:oddHBand="0" w:evenHBand="0" w:firstRowFirstColumn="0" w:firstRowLastColumn="0" w:lastRowFirstColumn="0" w:lastRowLastColumn="0"/>
              <w:rPr>
                <w:rFonts w:ascii="Calibri" w:hAnsi="Calibri" w:cs="Arial"/>
                <w:color w:val="231F20"/>
                <w:sz w:val="16"/>
                <w:szCs w:val="16"/>
              </w:rPr>
            </w:pPr>
            <w:r w:rsidRPr="00E356B4">
              <w:rPr>
                <w:rFonts w:ascii="Calibri" w:hAnsi="Calibri" w:cs="Arial"/>
                <w:color w:val="231F20"/>
                <w:sz w:val="16"/>
                <w:szCs w:val="16"/>
              </w:rPr>
              <w:t>662,900</w:t>
            </w:r>
          </w:p>
        </w:tc>
        <w:tc>
          <w:tcPr>
            <w:tcW w:w="985" w:type="dxa"/>
            <w:vAlign w:val="center"/>
            <w:hideMark/>
          </w:tcPr>
          <w:p w14:paraId="364A002B" w14:textId="77777777" w:rsidR="001774A7" w:rsidRPr="00E356B4" w:rsidRDefault="001774A7" w:rsidP="00D63204">
            <w:pPr>
              <w:ind w:firstLineChars="100" w:firstLine="160"/>
              <w:cnfStyle w:val="000000000000" w:firstRow="0" w:lastRow="0" w:firstColumn="0" w:lastColumn="0" w:oddVBand="0" w:evenVBand="0" w:oddHBand="0" w:evenHBand="0" w:firstRowFirstColumn="0" w:firstRowLastColumn="0" w:lastRowFirstColumn="0" w:lastRowLastColumn="0"/>
              <w:rPr>
                <w:rFonts w:ascii="Calibri" w:hAnsi="Calibri" w:cs="Arial"/>
                <w:color w:val="231F20"/>
                <w:sz w:val="16"/>
                <w:szCs w:val="16"/>
              </w:rPr>
            </w:pPr>
            <w:r w:rsidRPr="00E356B4">
              <w:rPr>
                <w:rFonts w:ascii="Calibri" w:hAnsi="Calibri" w:cs="Arial"/>
                <w:color w:val="231F20"/>
                <w:sz w:val="16"/>
                <w:szCs w:val="16"/>
              </w:rPr>
              <w:t>-5,000</w:t>
            </w:r>
          </w:p>
        </w:tc>
        <w:tc>
          <w:tcPr>
            <w:tcW w:w="899" w:type="dxa"/>
            <w:vAlign w:val="center"/>
            <w:hideMark/>
          </w:tcPr>
          <w:p w14:paraId="4FF53C40" w14:textId="77777777" w:rsidR="001774A7" w:rsidRPr="00E356B4" w:rsidRDefault="001774A7" w:rsidP="00D63204">
            <w:pPr>
              <w:ind w:firstLineChars="100" w:firstLine="160"/>
              <w:cnfStyle w:val="000000000000" w:firstRow="0" w:lastRow="0" w:firstColumn="0" w:lastColumn="0" w:oddVBand="0" w:evenVBand="0" w:oddHBand="0" w:evenHBand="0" w:firstRowFirstColumn="0" w:firstRowLastColumn="0" w:lastRowFirstColumn="0" w:lastRowLastColumn="0"/>
              <w:rPr>
                <w:rFonts w:ascii="Calibri" w:hAnsi="Calibri" w:cs="Arial"/>
                <w:color w:val="231F20"/>
                <w:sz w:val="16"/>
                <w:szCs w:val="16"/>
              </w:rPr>
            </w:pPr>
            <w:r w:rsidRPr="00E356B4">
              <w:rPr>
                <w:rFonts w:ascii="Calibri" w:hAnsi="Calibri" w:cs="Arial"/>
                <w:color w:val="231F20"/>
                <w:sz w:val="16"/>
                <w:szCs w:val="16"/>
              </w:rPr>
              <w:t>-0.7</w:t>
            </w:r>
          </w:p>
        </w:tc>
        <w:tc>
          <w:tcPr>
            <w:tcW w:w="927" w:type="dxa"/>
            <w:vAlign w:val="center"/>
            <w:hideMark/>
          </w:tcPr>
          <w:p w14:paraId="0E1539CC" w14:textId="77777777" w:rsidR="001774A7" w:rsidRPr="00E356B4" w:rsidRDefault="001774A7" w:rsidP="00D63204">
            <w:pPr>
              <w:ind w:firstLineChars="100" w:firstLine="160"/>
              <w:cnfStyle w:val="000000000000" w:firstRow="0" w:lastRow="0" w:firstColumn="0" w:lastColumn="0" w:oddVBand="0" w:evenVBand="0" w:oddHBand="0" w:evenHBand="0" w:firstRowFirstColumn="0" w:firstRowLastColumn="0" w:lastRowFirstColumn="0" w:lastRowLastColumn="0"/>
              <w:rPr>
                <w:rFonts w:ascii="Calibri" w:hAnsi="Calibri" w:cs="Arial"/>
                <w:color w:val="231F20"/>
                <w:sz w:val="16"/>
                <w:szCs w:val="16"/>
              </w:rPr>
            </w:pPr>
            <w:r w:rsidRPr="00E356B4">
              <w:rPr>
                <w:rFonts w:ascii="Calibri" w:hAnsi="Calibri" w:cs="Arial"/>
                <w:color w:val="231F20"/>
                <w:sz w:val="16"/>
                <w:szCs w:val="16"/>
              </w:rPr>
              <w:t>17,900</w:t>
            </w:r>
          </w:p>
        </w:tc>
        <w:tc>
          <w:tcPr>
            <w:tcW w:w="961" w:type="dxa"/>
            <w:vAlign w:val="center"/>
            <w:hideMark/>
          </w:tcPr>
          <w:p w14:paraId="5F56F2B7" w14:textId="77777777" w:rsidR="001774A7" w:rsidRPr="00E356B4" w:rsidRDefault="001774A7" w:rsidP="00D63204">
            <w:pPr>
              <w:ind w:firstLineChars="100" w:firstLine="160"/>
              <w:cnfStyle w:val="000000000000" w:firstRow="0" w:lastRow="0" w:firstColumn="0" w:lastColumn="0" w:oddVBand="0" w:evenVBand="0" w:oddHBand="0" w:evenHBand="0" w:firstRowFirstColumn="0" w:firstRowLastColumn="0" w:lastRowFirstColumn="0" w:lastRowLastColumn="0"/>
              <w:rPr>
                <w:rFonts w:ascii="Calibri" w:hAnsi="Calibri" w:cs="Arial"/>
                <w:color w:val="231F20"/>
                <w:sz w:val="16"/>
                <w:szCs w:val="16"/>
              </w:rPr>
            </w:pPr>
            <w:r w:rsidRPr="00E356B4">
              <w:rPr>
                <w:rFonts w:ascii="Calibri" w:hAnsi="Calibri" w:cs="Arial"/>
                <w:color w:val="231F20"/>
                <w:sz w:val="16"/>
                <w:szCs w:val="16"/>
              </w:rPr>
              <w:t>2.7</w:t>
            </w:r>
          </w:p>
        </w:tc>
      </w:tr>
      <w:tr w:rsidR="001774A7" w:rsidRPr="00E356B4" w14:paraId="7CCDCA3B" w14:textId="77777777" w:rsidTr="00CF3FD3">
        <w:trPr>
          <w:cnfStyle w:val="000000100000" w:firstRow="0" w:lastRow="0" w:firstColumn="0" w:lastColumn="0" w:oddVBand="0" w:evenVBand="0" w:oddHBand="1" w:evenHBand="0" w:firstRowFirstColumn="0" w:firstRowLastColumn="0" w:lastRowFirstColumn="0" w:lastRowLastColumn="0"/>
          <w:trHeight w:hRule="exact" w:val="264"/>
        </w:trPr>
        <w:tc>
          <w:tcPr>
            <w:cnfStyle w:val="001000000000" w:firstRow="0" w:lastRow="0" w:firstColumn="1" w:lastColumn="0" w:oddVBand="0" w:evenVBand="0" w:oddHBand="0" w:evenHBand="0" w:firstRowFirstColumn="0" w:firstRowLastColumn="0" w:lastRowFirstColumn="0" w:lastRowLastColumn="0"/>
            <w:tcW w:w="3330" w:type="dxa"/>
            <w:vAlign w:val="center"/>
            <w:hideMark/>
          </w:tcPr>
          <w:p w14:paraId="11289C21" w14:textId="77777777" w:rsidR="001774A7" w:rsidRPr="00CF3FD3" w:rsidRDefault="001774A7" w:rsidP="001774A7">
            <w:pPr>
              <w:rPr>
                <w:rFonts w:ascii="Calibri" w:hAnsi="Calibri" w:cs="Arial"/>
                <w:b w:val="0"/>
                <w:color w:val="231F20"/>
                <w:sz w:val="16"/>
                <w:szCs w:val="16"/>
              </w:rPr>
            </w:pPr>
            <w:r w:rsidRPr="00CF3FD3">
              <w:rPr>
                <w:rFonts w:ascii="Calibri" w:hAnsi="Calibri" w:cs="Arial"/>
                <w:b w:val="0"/>
                <w:color w:val="231F20"/>
                <w:sz w:val="16"/>
                <w:szCs w:val="16"/>
              </w:rPr>
              <w:t>Education and Health Services</w:t>
            </w:r>
          </w:p>
        </w:tc>
        <w:tc>
          <w:tcPr>
            <w:tcW w:w="1170" w:type="dxa"/>
            <w:vAlign w:val="center"/>
            <w:hideMark/>
          </w:tcPr>
          <w:p w14:paraId="5DFA6B3D" w14:textId="77777777" w:rsidR="001774A7" w:rsidRPr="00E356B4" w:rsidRDefault="001774A7" w:rsidP="00D63204">
            <w:pPr>
              <w:ind w:firstLineChars="100" w:firstLine="160"/>
              <w:cnfStyle w:val="000000100000" w:firstRow="0" w:lastRow="0" w:firstColumn="0" w:lastColumn="0" w:oddVBand="0" w:evenVBand="0" w:oddHBand="1" w:evenHBand="0" w:firstRowFirstColumn="0" w:firstRowLastColumn="0" w:lastRowFirstColumn="0" w:lastRowLastColumn="0"/>
              <w:rPr>
                <w:rFonts w:ascii="Calibri" w:hAnsi="Calibri" w:cs="Arial"/>
                <w:color w:val="231F20"/>
                <w:sz w:val="16"/>
                <w:szCs w:val="16"/>
              </w:rPr>
            </w:pPr>
            <w:r w:rsidRPr="00E356B4">
              <w:rPr>
                <w:rFonts w:ascii="Calibri" w:hAnsi="Calibri" w:cs="Arial"/>
                <w:color w:val="231F20"/>
                <w:sz w:val="16"/>
                <w:szCs w:val="16"/>
              </w:rPr>
              <w:t>1,276,900</w:t>
            </w:r>
          </w:p>
        </w:tc>
        <w:tc>
          <w:tcPr>
            <w:tcW w:w="1170" w:type="dxa"/>
            <w:vAlign w:val="center"/>
            <w:hideMark/>
          </w:tcPr>
          <w:p w14:paraId="6AF0E769" w14:textId="77777777" w:rsidR="001774A7" w:rsidRPr="00E356B4" w:rsidRDefault="001774A7" w:rsidP="00D63204">
            <w:pPr>
              <w:ind w:firstLineChars="100" w:firstLine="160"/>
              <w:cnfStyle w:val="000000100000" w:firstRow="0" w:lastRow="0" w:firstColumn="0" w:lastColumn="0" w:oddVBand="0" w:evenVBand="0" w:oddHBand="1" w:evenHBand="0" w:firstRowFirstColumn="0" w:firstRowLastColumn="0" w:lastRowFirstColumn="0" w:lastRowLastColumn="0"/>
              <w:rPr>
                <w:rFonts w:ascii="Calibri" w:hAnsi="Calibri" w:cs="Arial"/>
                <w:color w:val="231F20"/>
                <w:sz w:val="16"/>
                <w:szCs w:val="16"/>
              </w:rPr>
            </w:pPr>
            <w:r w:rsidRPr="00E356B4">
              <w:rPr>
                <w:rFonts w:ascii="Calibri" w:hAnsi="Calibri" w:cs="Arial"/>
                <w:color w:val="231F20"/>
                <w:sz w:val="16"/>
                <w:szCs w:val="16"/>
              </w:rPr>
              <w:t>1,275,300</w:t>
            </w:r>
          </w:p>
        </w:tc>
        <w:tc>
          <w:tcPr>
            <w:tcW w:w="1170" w:type="dxa"/>
            <w:vAlign w:val="center"/>
            <w:hideMark/>
          </w:tcPr>
          <w:p w14:paraId="36EAA8B2" w14:textId="77777777" w:rsidR="001774A7" w:rsidRPr="00E356B4" w:rsidRDefault="001774A7" w:rsidP="00D63204">
            <w:pPr>
              <w:ind w:firstLineChars="100" w:firstLine="160"/>
              <w:cnfStyle w:val="000000100000" w:firstRow="0" w:lastRow="0" w:firstColumn="0" w:lastColumn="0" w:oddVBand="0" w:evenVBand="0" w:oddHBand="1" w:evenHBand="0" w:firstRowFirstColumn="0" w:firstRowLastColumn="0" w:lastRowFirstColumn="0" w:lastRowLastColumn="0"/>
              <w:rPr>
                <w:rFonts w:ascii="Calibri" w:hAnsi="Calibri" w:cs="Arial"/>
                <w:color w:val="231F20"/>
                <w:sz w:val="16"/>
                <w:szCs w:val="16"/>
              </w:rPr>
            </w:pPr>
            <w:r w:rsidRPr="00E356B4">
              <w:rPr>
                <w:rFonts w:ascii="Calibri" w:hAnsi="Calibri" w:cs="Arial"/>
                <w:color w:val="231F20"/>
                <w:sz w:val="16"/>
                <w:szCs w:val="16"/>
              </w:rPr>
              <w:t>1,261,700</w:t>
            </w:r>
          </w:p>
        </w:tc>
        <w:tc>
          <w:tcPr>
            <w:tcW w:w="985" w:type="dxa"/>
            <w:vAlign w:val="center"/>
            <w:hideMark/>
          </w:tcPr>
          <w:p w14:paraId="635690C0" w14:textId="77777777" w:rsidR="001774A7" w:rsidRPr="00E356B4" w:rsidRDefault="001774A7" w:rsidP="00D63204">
            <w:pPr>
              <w:ind w:firstLineChars="100" w:firstLine="160"/>
              <w:cnfStyle w:val="000000100000" w:firstRow="0" w:lastRow="0" w:firstColumn="0" w:lastColumn="0" w:oddVBand="0" w:evenVBand="0" w:oddHBand="1" w:evenHBand="0" w:firstRowFirstColumn="0" w:firstRowLastColumn="0" w:lastRowFirstColumn="0" w:lastRowLastColumn="0"/>
              <w:rPr>
                <w:rFonts w:ascii="Calibri" w:hAnsi="Calibri" w:cs="Arial"/>
                <w:color w:val="231F20"/>
                <w:sz w:val="16"/>
                <w:szCs w:val="16"/>
              </w:rPr>
            </w:pPr>
            <w:r w:rsidRPr="00E356B4">
              <w:rPr>
                <w:rFonts w:ascii="Calibri" w:hAnsi="Calibri" w:cs="Arial"/>
                <w:color w:val="231F20"/>
                <w:sz w:val="16"/>
                <w:szCs w:val="16"/>
              </w:rPr>
              <w:t>1,600</w:t>
            </w:r>
          </w:p>
        </w:tc>
        <w:tc>
          <w:tcPr>
            <w:tcW w:w="899" w:type="dxa"/>
            <w:vAlign w:val="center"/>
            <w:hideMark/>
          </w:tcPr>
          <w:p w14:paraId="0AFBF8A9" w14:textId="77777777" w:rsidR="001774A7" w:rsidRPr="00E356B4" w:rsidRDefault="001774A7" w:rsidP="00D63204">
            <w:pPr>
              <w:ind w:firstLineChars="100" w:firstLine="160"/>
              <w:cnfStyle w:val="000000100000" w:firstRow="0" w:lastRow="0" w:firstColumn="0" w:lastColumn="0" w:oddVBand="0" w:evenVBand="0" w:oddHBand="1" w:evenHBand="0" w:firstRowFirstColumn="0" w:firstRowLastColumn="0" w:lastRowFirstColumn="0" w:lastRowLastColumn="0"/>
              <w:rPr>
                <w:rFonts w:ascii="Calibri" w:hAnsi="Calibri" w:cs="Arial"/>
                <w:color w:val="231F20"/>
                <w:sz w:val="16"/>
                <w:szCs w:val="16"/>
              </w:rPr>
            </w:pPr>
            <w:r w:rsidRPr="00E356B4">
              <w:rPr>
                <w:rFonts w:ascii="Calibri" w:hAnsi="Calibri" w:cs="Arial"/>
                <w:color w:val="231F20"/>
                <w:sz w:val="16"/>
                <w:szCs w:val="16"/>
              </w:rPr>
              <w:t>0.1</w:t>
            </w:r>
          </w:p>
        </w:tc>
        <w:tc>
          <w:tcPr>
            <w:tcW w:w="927" w:type="dxa"/>
            <w:vAlign w:val="center"/>
            <w:hideMark/>
          </w:tcPr>
          <w:p w14:paraId="7F7F15E0" w14:textId="77777777" w:rsidR="001774A7" w:rsidRPr="00E356B4" w:rsidRDefault="001774A7" w:rsidP="00D63204">
            <w:pPr>
              <w:ind w:firstLineChars="100" w:firstLine="160"/>
              <w:cnfStyle w:val="000000100000" w:firstRow="0" w:lastRow="0" w:firstColumn="0" w:lastColumn="0" w:oddVBand="0" w:evenVBand="0" w:oddHBand="1" w:evenHBand="0" w:firstRowFirstColumn="0" w:firstRowLastColumn="0" w:lastRowFirstColumn="0" w:lastRowLastColumn="0"/>
              <w:rPr>
                <w:rFonts w:ascii="Calibri" w:hAnsi="Calibri" w:cs="Arial"/>
                <w:color w:val="231F20"/>
                <w:sz w:val="16"/>
                <w:szCs w:val="16"/>
              </w:rPr>
            </w:pPr>
            <w:r w:rsidRPr="00E356B4">
              <w:rPr>
                <w:rFonts w:ascii="Calibri" w:hAnsi="Calibri" w:cs="Arial"/>
                <w:color w:val="231F20"/>
                <w:sz w:val="16"/>
                <w:szCs w:val="16"/>
              </w:rPr>
              <w:t>15,200</w:t>
            </w:r>
          </w:p>
        </w:tc>
        <w:tc>
          <w:tcPr>
            <w:tcW w:w="961" w:type="dxa"/>
            <w:vAlign w:val="center"/>
            <w:hideMark/>
          </w:tcPr>
          <w:p w14:paraId="49773234" w14:textId="77777777" w:rsidR="001774A7" w:rsidRPr="00E356B4" w:rsidRDefault="001774A7" w:rsidP="00D63204">
            <w:pPr>
              <w:ind w:firstLineChars="100" w:firstLine="160"/>
              <w:cnfStyle w:val="000000100000" w:firstRow="0" w:lastRow="0" w:firstColumn="0" w:lastColumn="0" w:oddVBand="0" w:evenVBand="0" w:oddHBand="1" w:evenHBand="0" w:firstRowFirstColumn="0" w:firstRowLastColumn="0" w:lastRowFirstColumn="0" w:lastRowLastColumn="0"/>
              <w:rPr>
                <w:rFonts w:ascii="Calibri" w:hAnsi="Calibri" w:cs="Arial"/>
                <w:color w:val="231F20"/>
                <w:sz w:val="16"/>
                <w:szCs w:val="16"/>
              </w:rPr>
            </w:pPr>
            <w:r w:rsidRPr="00E356B4">
              <w:rPr>
                <w:rFonts w:ascii="Calibri" w:hAnsi="Calibri" w:cs="Arial"/>
                <w:color w:val="231F20"/>
                <w:sz w:val="16"/>
                <w:szCs w:val="16"/>
              </w:rPr>
              <w:t>1.2</w:t>
            </w:r>
          </w:p>
        </w:tc>
      </w:tr>
      <w:tr w:rsidR="001774A7" w:rsidRPr="00E356B4" w14:paraId="19962A33" w14:textId="77777777" w:rsidTr="00CF3FD3">
        <w:trPr>
          <w:trHeight w:hRule="exact" w:val="264"/>
        </w:trPr>
        <w:tc>
          <w:tcPr>
            <w:cnfStyle w:val="001000000000" w:firstRow="0" w:lastRow="0" w:firstColumn="1" w:lastColumn="0" w:oddVBand="0" w:evenVBand="0" w:oddHBand="0" w:evenHBand="0" w:firstRowFirstColumn="0" w:firstRowLastColumn="0" w:lastRowFirstColumn="0" w:lastRowLastColumn="0"/>
            <w:tcW w:w="3330" w:type="dxa"/>
            <w:vAlign w:val="center"/>
            <w:hideMark/>
          </w:tcPr>
          <w:p w14:paraId="7DD4355D" w14:textId="77777777" w:rsidR="001774A7" w:rsidRPr="00CF3FD3" w:rsidRDefault="001774A7" w:rsidP="001774A7">
            <w:pPr>
              <w:ind w:firstLineChars="100" w:firstLine="160"/>
              <w:rPr>
                <w:rFonts w:ascii="Calibri" w:hAnsi="Calibri" w:cs="Arial"/>
                <w:b w:val="0"/>
                <w:color w:val="231F20"/>
                <w:sz w:val="16"/>
                <w:szCs w:val="16"/>
              </w:rPr>
            </w:pPr>
            <w:r w:rsidRPr="00CF3FD3">
              <w:rPr>
                <w:rFonts w:ascii="Calibri" w:hAnsi="Calibri" w:cs="Arial"/>
                <w:b w:val="0"/>
                <w:color w:val="231F20"/>
                <w:sz w:val="16"/>
                <w:szCs w:val="16"/>
              </w:rPr>
              <w:t>Educational Services</w:t>
            </w:r>
          </w:p>
        </w:tc>
        <w:tc>
          <w:tcPr>
            <w:tcW w:w="1170" w:type="dxa"/>
            <w:vAlign w:val="center"/>
            <w:hideMark/>
          </w:tcPr>
          <w:p w14:paraId="51101B68" w14:textId="77777777" w:rsidR="001774A7" w:rsidRPr="00E356B4" w:rsidRDefault="001774A7" w:rsidP="00D63204">
            <w:pPr>
              <w:ind w:firstLineChars="100" w:firstLine="160"/>
              <w:cnfStyle w:val="000000000000" w:firstRow="0" w:lastRow="0" w:firstColumn="0" w:lastColumn="0" w:oddVBand="0" w:evenVBand="0" w:oddHBand="0" w:evenHBand="0" w:firstRowFirstColumn="0" w:firstRowLastColumn="0" w:lastRowFirstColumn="0" w:lastRowLastColumn="0"/>
              <w:rPr>
                <w:rFonts w:ascii="Calibri" w:hAnsi="Calibri" w:cs="Arial"/>
                <w:color w:val="231F20"/>
                <w:sz w:val="16"/>
                <w:szCs w:val="16"/>
              </w:rPr>
            </w:pPr>
            <w:r w:rsidRPr="00E356B4">
              <w:rPr>
                <w:rFonts w:ascii="Calibri" w:hAnsi="Calibri" w:cs="Arial"/>
                <w:color w:val="231F20"/>
                <w:sz w:val="16"/>
                <w:szCs w:val="16"/>
              </w:rPr>
              <w:t>159,900</w:t>
            </w:r>
          </w:p>
        </w:tc>
        <w:tc>
          <w:tcPr>
            <w:tcW w:w="1170" w:type="dxa"/>
            <w:vAlign w:val="center"/>
            <w:hideMark/>
          </w:tcPr>
          <w:p w14:paraId="71F850E6" w14:textId="77777777" w:rsidR="001774A7" w:rsidRPr="00E356B4" w:rsidRDefault="001774A7" w:rsidP="00D63204">
            <w:pPr>
              <w:ind w:firstLineChars="100" w:firstLine="160"/>
              <w:cnfStyle w:val="000000000000" w:firstRow="0" w:lastRow="0" w:firstColumn="0" w:lastColumn="0" w:oddVBand="0" w:evenVBand="0" w:oddHBand="0" w:evenHBand="0" w:firstRowFirstColumn="0" w:firstRowLastColumn="0" w:lastRowFirstColumn="0" w:lastRowLastColumn="0"/>
              <w:rPr>
                <w:rFonts w:ascii="Calibri" w:hAnsi="Calibri" w:cs="Arial"/>
                <w:color w:val="231F20"/>
                <w:sz w:val="16"/>
                <w:szCs w:val="16"/>
              </w:rPr>
            </w:pPr>
            <w:r w:rsidRPr="00E356B4">
              <w:rPr>
                <w:rFonts w:ascii="Calibri" w:hAnsi="Calibri" w:cs="Arial"/>
                <w:color w:val="231F20"/>
                <w:sz w:val="16"/>
                <w:szCs w:val="16"/>
              </w:rPr>
              <w:t>157,700</w:t>
            </w:r>
          </w:p>
        </w:tc>
        <w:tc>
          <w:tcPr>
            <w:tcW w:w="1170" w:type="dxa"/>
            <w:vAlign w:val="center"/>
            <w:hideMark/>
          </w:tcPr>
          <w:p w14:paraId="5E448BE0" w14:textId="77777777" w:rsidR="001774A7" w:rsidRPr="00E356B4" w:rsidRDefault="001774A7" w:rsidP="00D63204">
            <w:pPr>
              <w:ind w:firstLineChars="100" w:firstLine="160"/>
              <w:cnfStyle w:val="000000000000" w:firstRow="0" w:lastRow="0" w:firstColumn="0" w:lastColumn="0" w:oddVBand="0" w:evenVBand="0" w:oddHBand="0" w:evenHBand="0" w:firstRowFirstColumn="0" w:firstRowLastColumn="0" w:lastRowFirstColumn="0" w:lastRowLastColumn="0"/>
              <w:rPr>
                <w:rFonts w:ascii="Calibri" w:hAnsi="Calibri" w:cs="Arial"/>
                <w:color w:val="231F20"/>
                <w:sz w:val="16"/>
                <w:szCs w:val="16"/>
              </w:rPr>
            </w:pPr>
            <w:r w:rsidRPr="00E356B4">
              <w:rPr>
                <w:rFonts w:ascii="Calibri" w:hAnsi="Calibri" w:cs="Arial"/>
                <w:color w:val="231F20"/>
                <w:sz w:val="16"/>
                <w:szCs w:val="16"/>
              </w:rPr>
              <w:t>160,100</w:t>
            </w:r>
          </w:p>
        </w:tc>
        <w:tc>
          <w:tcPr>
            <w:tcW w:w="985" w:type="dxa"/>
            <w:vAlign w:val="center"/>
            <w:hideMark/>
          </w:tcPr>
          <w:p w14:paraId="06B70830" w14:textId="77777777" w:rsidR="001774A7" w:rsidRPr="00E356B4" w:rsidRDefault="001774A7" w:rsidP="00D63204">
            <w:pPr>
              <w:ind w:firstLineChars="100" w:firstLine="160"/>
              <w:cnfStyle w:val="000000000000" w:firstRow="0" w:lastRow="0" w:firstColumn="0" w:lastColumn="0" w:oddVBand="0" w:evenVBand="0" w:oddHBand="0" w:evenHBand="0" w:firstRowFirstColumn="0" w:firstRowLastColumn="0" w:lastRowFirstColumn="0" w:lastRowLastColumn="0"/>
              <w:rPr>
                <w:rFonts w:ascii="Calibri" w:hAnsi="Calibri" w:cs="Arial"/>
                <w:color w:val="231F20"/>
                <w:sz w:val="16"/>
                <w:szCs w:val="16"/>
              </w:rPr>
            </w:pPr>
            <w:r w:rsidRPr="00E356B4">
              <w:rPr>
                <w:rFonts w:ascii="Calibri" w:hAnsi="Calibri" w:cs="Arial"/>
                <w:color w:val="231F20"/>
                <w:sz w:val="16"/>
                <w:szCs w:val="16"/>
              </w:rPr>
              <w:t>2200</w:t>
            </w:r>
          </w:p>
        </w:tc>
        <w:tc>
          <w:tcPr>
            <w:tcW w:w="899" w:type="dxa"/>
            <w:vAlign w:val="center"/>
            <w:hideMark/>
          </w:tcPr>
          <w:p w14:paraId="36C1DDEC" w14:textId="77777777" w:rsidR="001774A7" w:rsidRPr="00E356B4" w:rsidRDefault="001774A7" w:rsidP="00D63204">
            <w:pPr>
              <w:ind w:firstLineChars="100" w:firstLine="160"/>
              <w:cnfStyle w:val="000000000000" w:firstRow="0" w:lastRow="0" w:firstColumn="0" w:lastColumn="0" w:oddVBand="0" w:evenVBand="0" w:oddHBand="0" w:evenHBand="0" w:firstRowFirstColumn="0" w:firstRowLastColumn="0" w:lastRowFirstColumn="0" w:lastRowLastColumn="0"/>
              <w:rPr>
                <w:rFonts w:ascii="Calibri" w:hAnsi="Calibri" w:cs="Arial"/>
                <w:color w:val="231F20"/>
                <w:sz w:val="16"/>
                <w:szCs w:val="16"/>
              </w:rPr>
            </w:pPr>
            <w:r w:rsidRPr="00E356B4">
              <w:rPr>
                <w:rFonts w:ascii="Calibri" w:hAnsi="Calibri" w:cs="Arial"/>
                <w:color w:val="231F20"/>
                <w:sz w:val="16"/>
                <w:szCs w:val="16"/>
              </w:rPr>
              <w:t>1.4</w:t>
            </w:r>
          </w:p>
        </w:tc>
        <w:tc>
          <w:tcPr>
            <w:tcW w:w="927" w:type="dxa"/>
            <w:vAlign w:val="center"/>
            <w:hideMark/>
          </w:tcPr>
          <w:p w14:paraId="466B8153" w14:textId="77777777" w:rsidR="001774A7" w:rsidRPr="00E356B4" w:rsidRDefault="001774A7" w:rsidP="00D63204">
            <w:pPr>
              <w:ind w:firstLineChars="100" w:firstLine="160"/>
              <w:cnfStyle w:val="000000000000" w:firstRow="0" w:lastRow="0" w:firstColumn="0" w:lastColumn="0" w:oddVBand="0" w:evenVBand="0" w:oddHBand="0" w:evenHBand="0" w:firstRowFirstColumn="0" w:firstRowLastColumn="0" w:lastRowFirstColumn="0" w:lastRowLastColumn="0"/>
              <w:rPr>
                <w:rFonts w:ascii="Calibri" w:hAnsi="Calibri" w:cs="Arial"/>
                <w:color w:val="231F20"/>
                <w:sz w:val="16"/>
                <w:szCs w:val="16"/>
              </w:rPr>
            </w:pPr>
            <w:r w:rsidRPr="00E356B4">
              <w:rPr>
                <w:rFonts w:ascii="Calibri" w:hAnsi="Calibri" w:cs="Arial"/>
                <w:color w:val="231F20"/>
                <w:sz w:val="16"/>
                <w:szCs w:val="16"/>
              </w:rPr>
              <w:t>-200</w:t>
            </w:r>
          </w:p>
        </w:tc>
        <w:tc>
          <w:tcPr>
            <w:tcW w:w="961" w:type="dxa"/>
            <w:vAlign w:val="center"/>
            <w:hideMark/>
          </w:tcPr>
          <w:p w14:paraId="254D17C8" w14:textId="77777777" w:rsidR="001774A7" w:rsidRPr="00E356B4" w:rsidRDefault="001774A7" w:rsidP="00D63204">
            <w:pPr>
              <w:ind w:firstLineChars="100" w:firstLine="160"/>
              <w:cnfStyle w:val="000000000000" w:firstRow="0" w:lastRow="0" w:firstColumn="0" w:lastColumn="0" w:oddVBand="0" w:evenVBand="0" w:oddHBand="0" w:evenHBand="0" w:firstRowFirstColumn="0" w:firstRowLastColumn="0" w:lastRowFirstColumn="0" w:lastRowLastColumn="0"/>
              <w:rPr>
                <w:rFonts w:ascii="Calibri" w:hAnsi="Calibri" w:cs="Arial"/>
                <w:color w:val="231F20"/>
                <w:sz w:val="16"/>
                <w:szCs w:val="16"/>
              </w:rPr>
            </w:pPr>
            <w:r w:rsidRPr="00E356B4">
              <w:rPr>
                <w:rFonts w:ascii="Calibri" w:hAnsi="Calibri" w:cs="Arial"/>
                <w:color w:val="231F20"/>
                <w:sz w:val="16"/>
                <w:szCs w:val="16"/>
              </w:rPr>
              <w:t>-0.1</w:t>
            </w:r>
          </w:p>
        </w:tc>
      </w:tr>
      <w:tr w:rsidR="001774A7" w:rsidRPr="00E356B4" w14:paraId="0863CED9" w14:textId="77777777" w:rsidTr="00CF3FD3">
        <w:trPr>
          <w:cnfStyle w:val="000000100000" w:firstRow="0" w:lastRow="0" w:firstColumn="0" w:lastColumn="0" w:oddVBand="0" w:evenVBand="0" w:oddHBand="1" w:evenHBand="0" w:firstRowFirstColumn="0" w:firstRowLastColumn="0" w:lastRowFirstColumn="0" w:lastRowLastColumn="0"/>
          <w:trHeight w:hRule="exact" w:val="264"/>
        </w:trPr>
        <w:tc>
          <w:tcPr>
            <w:cnfStyle w:val="001000000000" w:firstRow="0" w:lastRow="0" w:firstColumn="1" w:lastColumn="0" w:oddVBand="0" w:evenVBand="0" w:oddHBand="0" w:evenHBand="0" w:firstRowFirstColumn="0" w:firstRowLastColumn="0" w:lastRowFirstColumn="0" w:lastRowLastColumn="0"/>
            <w:tcW w:w="3330" w:type="dxa"/>
            <w:vAlign w:val="center"/>
            <w:hideMark/>
          </w:tcPr>
          <w:p w14:paraId="30DDB880" w14:textId="77777777" w:rsidR="001774A7" w:rsidRPr="00CF3FD3" w:rsidRDefault="001774A7" w:rsidP="001774A7">
            <w:pPr>
              <w:ind w:firstLineChars="100" w:firstLine="160"/>
              <w:rPr>
                <w:rFonts w:ascii="Calibri" w:hAnsi="Calibri" w:cs="Arial"/>
                <w:b w:val="0"/>
                <w:color w:val="231F20"/>
                <w:sz w:val="16"/>
                <w:szCs w:val="16"/>
              </w:rPr>
            </w:pPr>
            <w:r w:rsidRPr="00CF3FD3">
              <w:rPr>
                <w:rFonts w:ascii="Calibri" w:hAnsi="Calibri" w:cs="Arial"/>
                <w:b w:val="0"/>
                <w:color w:val="231F20"/>
                <w:sz w:val="16"/>
                <w:szCs w:val="16"/>
              </w:rPr>
              <w:t>Health Care and Social Assistance</w:t>
            </w:r>
          </w:p>
        </w:tc>
        <w:tc>
          <w:tcPr>
            <w:tcW w:w="1170" w:type="dxa"/>
            <w:vAlign w:val="center"/>
            <w:hideMark/>
          </w:tcPr>
          <w:p w14:paraId="44FBD566" w14:textId="77777777" w:rsidR="001774A7" w:rsidRPr="00E356B4" w:rsidRDefault="001774A7" w:rsidP="00D63204">
            <w:pPr>
              <w:ind w:firstLineChars="100" w:firstLine="160"/>
              <w:cnfStyle w:val="000000100000" w:firstRow="0" w:lastRow="0" w:firstColumn="0" w:lastColumn="0" w:oddVBand="0" w:evenVBand="0" w:oddHBand="1" w:evenHBand="0" w:firstRowFirstColumn="0" w:firstRowLastColumn="0" w:lastRowFirstColumn="0" w:lastRowLastColumn="0"/>
              <w:rPr>
                <w:rFonts w:ascii="Calibri" w:hAnsi="Calibri" w:cs="Arial"/>
                <w:color w:val="231F20"/>
                <w:sz w:val="16"/>
                <w:szCs w:val="16"/>
              </w:rPr>
            </w:pPr>
            <w:r w:rsidRPr="00E356B4">
              <w:rPr>
                <w:rFonts w:ascii="Calibri" w:hAnsi="Calibri" w:cs="Arial"/>
                <w:color w:val="231F20"/>
                <w:sz w:val="16"/>
                <w:szCs w:val="16"/>
              </w:rPr>
              <w:t>1,117,000</w:t>
            </w:r>
          </w:p>
        </w:tc>
        <w:tc>
          <w:tcPr>
            <w:tcW w:w="1170" w:type="dxa"/>
            <w:vAlign w:val="center"/>
            <w:hideMark/>
          </w:tcPr>
          <w:p w14:paraId="0C368E2A" w14:textId="77777777" w:rsidR="001774A7" w:rsidRPr="00E356B4" w:rsidRDefault="001774A7" w:rsidP="00D63204">
            <w:pPr>
              <w:ind w:firstLineChars="100" w:firstLine="160"/>
              <w:cnfStyle w:val="000000100000" w:firstRow="0" w:lastRow="0" w:firstColumn="0" w:lastColumn="0" w:oddVBand="0" w:evenVBand="0" w:oddHBand="1" w:evenHBand="0" w:firstRowFirstColumn="0" w:firstRowLastColumn="0" w:lastRowFirstColumn="0" w:lastRowLastColumn="0"/>
              <w:rPr>
                <w:rFonts w:ascii="Calibri" w:hAnsi="Calibri" w:cs="Arial"/>
                <w:color w:val="231F20"/>
                <w:sz w:val="16"/>
                <w:szCs w:val="16"/>
              </w:rPr>
            </w:pPr>
            <w:r w:rsidRPr="00E356B4">
              <w:rPr>
                <w:rFonts w:ascii="Calibri" w:hAnsi="Calibri" w:cs="Arial"/>
                <w:color w:val="231F20"/>
                <w:sz w:val="16"/>
                <w:szCs w:val="16"/>
              </w:rPr>
              <w:t>1,117,600</w:t>
            </w:r>
          </w:p>
        </w:tc>
        <w:tc>
          <w:tcPr>
            <w:tcW w:w="1170" w:type="dxa"/>
            <w:vAlign w:val="center"/>
            <w:hideMark/>
          </w:tcPr>
          <w:p w14:paraId="23F88826" w14:textId="77777777" w:rsidR="001774A7" w:rsidRPr="00E356B4" w:rsidRDefault="001774A7" w:rsidP="00D63204">
            <w:pPr>
              <w:ind w:firstLineChars="100" w:firstLine="160"/>
              <w:cnfStyle w:val="000000100000" w:firstRow="0" w:lastRow="0" w:firstColumn="0" w:lastColumn="0" w:oddVBand="0" w:evenVBand="0" w:oddHBand="1" w:evenHBand="0" w:firstRowFirstColumn="0" w:firstRowLastColumn="0" w:lastRowFirstColumn="0" w:lastRowLastColumn="0"/>
              <w:rPr>
                <w:rFonts w:ascii="Calibri" w:hAnsi="Calibri" w:cs="Arial"/>
                <w:color w:val="231F20"/>
                <w:sz w:val="16"/>
                <w:szCs w:val="16"/>
              </w:rPr>
            </w:pPr>
            <w:r w:rsidRPr="00E356B4">
              <w:rPr>
                <w:rFonts w:ascii="Calibri" w:hAnsi="Calibri" w:cs="Arial"/>
                <w:color w:val="231F20"/>
                <w:sz w:val="16"/>
                <w:szCs w:val="16"/>
              </w:rPr>
              <w:t>1,101,600</w:t>
            </w:r>
          </w:p>
        </w:tc>
        <w:tc>
          <w:tcPr>
            <w:tcW w:w="985" w:type="dxa"/>
            <w:vAlign w:val="center"/>
            <w:hideMark/>
          </w:tcPr>
          <w:p w14:paraId="108BD7B3" w14:textId="77777777" w:rsidR="001774A7" w:rsidRPr="00E356B4" w:rsidRDefault="001774A7" w:rsidP="00D63204">
            <w:pPr>
              <w:ind w:firstLineChars="100" w:firstLine="160"/>
              <w:cnfStyle w:val="000000100000" w:firstRow="0" w:lastRow="0" w:firstColumn="0" w:lastColumn="0" w:oddVBand="0" w:evenVBand="0" w:oddHBand="1" w:evenHBand="0" w:firstRowFirstColumn="0" w:firstRowLastColumn="0" w:lastRowFirstColumn="0" w:lastRowLastColumn="0"/>
              <w:rPr>
                <w:rFonts w:ascii="Calibri" w:hAnsi="Calibri" w:cs="Arial"/>
                <w:color w:val="231F20"/>
                <w:sz w:val="16"/>
                <w:szCs w:val="16"/>
              </w:rPr>
            </w:pPr>
            <w:r w:rsidRPr="00E356B4">
              <w:rPr>
                <w:rFonts w:ascii="Calibri" w:hAnsi="Calibri" w:cs="Arial"/>
                <w:color w:val="231F20"/>
                <w:sz w:val="16"/>
                <w:szCs w:val="16"/>
              </w:rPr>
              <w:t>-600</w:t>
            </w:r>
          </w:p>
        </w:tc>
        <w:tc>
          <w:tcPr>
            <w:tcW w:w="899" w:type="dxa"/>
            <w:vAlign w:val="center"/>
            <w:hideMark/>
          </w:tcPr>
          <w:p w14:paraId="5FDEA2DA" w14:textId="77777777" w:rsidR="001774A7" w:rsidRPr="00E356B4" w:rsidRDefault="001774A7" w:rsidP="00D63204">
            <w:pPr>
              <w:ind w:firstLineChars="100" w:firstLine="160"/>
              <w:cnfStyle w:val="000000100000" w:firstRow="0" w:lastRow="0" w:firstColumn="0" w:lastColumn="0" w:oddVBand="0" w:evenVBand="0" w:oddHBand="1" w:evenHBand="0" w:firstRowFirstColumn="0" w:firstRowLastColumn="0" w:lastRowFirstColumn="0" w:lastRowLastColumn="0"/>
              <w:rPr>
                <w:rFonts w:ascii="Calibri" w:hAnsi="Calibri" w:cs="Arial"/>
                <w:color w:val="231F20"/>
                <w:sz w:val="16"/>
                <w:szCs w:val="16"/>
              </w:rPr>
            </w:pPr>
            <w:r w:rsidRPr="00E356B4">
              <w:rPr>
                <w:rFonts w:ascii="Calibri" w:hAnsi="Calibri" w:cs="Arial"/>
                <w:color w:val="231F20"/>
                <w:sz w:val="16"/>
                <w:szCs w:val="16"/>
              </w:rPr>
              <w:t>-0.1</w:t>
            </w:r>
          </w:p>
        </w:tc>
        <w:tc>
          <w:tcPr>
            <w:tcW w:w="927" w:type="dxa"/>
            <w:vAlign w:val="center"/>
            <w:hideMark/>
          </w:tcPr>
          <w:p w14:paraId="7B1A6134" w14:textId="77777777" w:rsidR="001774A7" w:rsidRPr="00E356B4" w:rsidRDefault="001774A7" w:rsidP="00D63204">
            <w:pPr>
              <w:ind w:firstLineChars="100" w:firstLine="160"/>
              <w:cnfStyle w:val="000000100000" w:firstRow="0" w:lastRow="0" w:firstColumn="0" w:lastColumn="0" w:oddVBand="0" w:evenVBand="0" w:oddHBand="1" w:evenHBand="0" w:firstRowFirstColumn="0" w:firstRowLastColumn="0" w:lastRowFirstColumn="0" w:lastRowLastColumn="0"/>
              <w:rPr>
                <w:rFonts w:ascii="Calibri" w:hAnsi="Calibri" w:cs="Arial"/>
                <w:color w:val="231F20"/>
                <w:sz w:val="16"/>
                <w:szCs w:val="16"/>
              </w:rPr>
            </w:pPr>
            <w:r w:rsidRPr="00E356B4">
              <w:rPr>
                <w:rFonts w:ascii="Calibri" w:hAnsi="Calibri" w:cs="Arial"/>
                <w:color w:val="231F20"/>
                <w:sz w:val="16"/>
                <w:szCs w:val="16"/>
              </w:rPr>
              <w:t>15,400</w:t>
            </w:r>
          </w:p>
        </w:tc>
        <w:tc>
          <w:tcPr>
            <w:tcW w:w="961" w:type="dxa"/>
            <w:vAlign w:val="center"/>
            <w:hideMark/>
          </w:tcPr>
          <w:p w14:paraId="3E100A31" w14:textId="77777777" w:rsidR="001774A7" w:rsidRPr="00E356B4" w:rsidRDefault="001774A7" w:rsidP="00D63204">
            <w:pPr>
              <w:ind w:firstLineChars="100" w:firstLine="160"/>
              <w:cnfStyle w:val="000000100000" w:firstRow="0" w:lastRow="0" w:firstColumn="0" w:lastColumn="0" w:oddVBand="0" w:evenVBand="0" w:oddHBand="1" w:evenHBand="0" w:firstRowFirstColumn="0" w:firstRowLastColumn="0" w:lastRowFirstColumn="0" w:lastRowLastColumn="0"/>
              <w:rPr>
                <w:rFonts w:ascii="Calibri" w:hAnsi="Calibri" w:cs="Arial"/>
                <w:color w:val="231F20"/>
                <w:sz w:val="16"/>
                <w:szCs w:val="16"/>
              </w:rPr>
            </w:pPr>
            <w:r w:rsidRPr="00E356B4">
              <w:rPr>
                <w:rFonts w:ascii="Calibri" w:hAnsi="Calibri" w:cs="Arial"/>
                <w:color w:val="231F20"/>
                <w:sz w:val="16"/>
                <w:szCs w:val="16"/>
              </w:rPr>
              <w:t>1.4</w:t>
            </w:r>
          </w:p>
        </w:tc>
      </w:tr>
      <w:tr w:rsidR="001774A7" w:rsidRPr="00E356B4" w14:paraId="67B68D5A" w14:textId="77777777" w:rsidTr="00CF3FD3">
        <w:trPr>
          <w:trHeight w:hRule="exact" w:val="264"/>
        </w:trPr>
        <w:tc>
          <w:tcPr>
            <w:cnfStyle w:val="001000000000" w:firstRow="0" w:lastRow="0" w:firstColumn="1" w:lastColumn="0" w:oddVBand="0" w:evenVBand="0" w:oddHBand="0" w:evenHBand="0" w:firstRowFirstColumn="0" w:firstRowLastColumn="0" w:lastRowFirstColumn="0" w:lastRowLastColumn="0"/>
            <w:tcW w:w="3330" w:type="dxa"/>
            <w:vAlign w:val="center"/>
            <w:hideMark/>
          </w:tcPr>
          <w:p w14:paraId="78031486" w14:textId="77777777" w:rsidR="001774A7" w:rsidRPr="00CF3FD3" w:rsidRDefault="001774A7" w:rsidP="001774A7">
            <w:pPr>
              <w:rPr>
                <w:rFonts w:ascii="Calibri" w:hAnsi="Calibri" w:cs="Arial"/>
                <w:b w:val="0"/>
                <w:color w:val="231F20"/>
                <w:sz w:val="16"/>
                <w:szCs w:val="16"/>
              </w:rPr>
            </w:pPr>
            <w:r w:rsidRPr="00CF3FD3">
              <w:rPr>
                <w:rFonts w:ascii="Calibri" w:hAnsi="Calibri" w:cs="Arial"/>
                <w:b w:val="0"/>
                <w:color w:val="231F20"/>
                <w:sz w:val="16"/>
                <w:szCs w:val="16"/>
              </w:rPr>
              <w:t>Leisure and Hospitality</w:t>
            </w:r>
          </w:p>
        </w:tc>
        <w:tc>
          <w:tcPr>
            <w:tcW w:w="1170" w:type="dxa"/>
            <w:vAlign w:val="center"/>
            <w:hideMark/>
          </w:tcPr>
          <w:p w14:paraId="293753A4" w14:textId="77777777" w:rsidR="001774A7" w:rsidRPr="00E356B4" w:rsidRDefault="001774A7" w:rsidP="00D63204">
            <w:pPr>
              <w:ind w:firstLineChars="100" w:firstLine="160"/>
              <w:cnfStyle w:val="000000000000" w:firstRow="0" w:lastRow="0" w:firstColumn="0" w:lastColumn="0" w:oddVBand="0" w:evenVBand="0" w:oddHBand="0" w:evenHBand="0" w:firstRowFirstColumn="0" w:firstRowLastColumn="0" w:lastRowFirstColumn="0" w:lastRowLastColumn="0"/>
              <w:rPr>
                <w:rFonts w:ascii="Calibri" w:hAnsi="Calibri" w:cs="Arial"/>
                <w:color w:val="231F20"/>
                <w:sz w:val="16"/>
                <w:szCs w:val="16"/>
              </w:rPr>
            </w:pPr>
            <w:r w:rsidRPr="00E356B4">
              <w:rPr>
                <w:rFonts w:ascii="Calibri" w:hAnsi="Calibri" w:cs="Arial"/>
                <w:color w:val="231F20"/>
                <w:sz w:val="16"/>
                <w:szCs w:val="16"/>
              </w:rPr>
              <w:t>1,197,700</w:t>
            </w:r>
          </w:p>
        </w:tc>
        <w:tc>
          <w:tcPr>
            <w:tcW w:w="1170" w:type="dxa"/>
            <w:vAlign w:val="center"/>
            <w:hideMark/>
          </w:tcPr>
          <w:p w14:paraId="4A9070E7" w14:textId="77777777" w:rsidR="001774A7" w:rsidRPr="00E356B4" w:rsidRDefault="001774A7" w:rsidP="00D63204">
            <w:pPr>
              <w:ind w:firstLineChars="100" w:firstLine="160"/>
              <w:cnfStyle w:val="000000000000" w:firstRow="0" w:lastRow="0" w:firstColumn="0" w:lastColumn="0" w:oddVBand="0" w:evenVBand="0" w:oddHBand="0" w:evenHBand="0" w:firstRowFirstColumn="0" w:firstRowLastColumn="0" w:lastRowFirstColumn="0" w:lastRowLastColumn="0"/>
              <w:rPr>
                <w:rFonts w:ascii="Calibri" w:hAnsi="Calibri" w:cs="Arial"/>
                <w:color w:val="231F20"/>
                <w:sz w:val="16"/>
                <w:szCs w:val="16"/>
              </w:rPr>
            </w:pPr>
            <w:r w:rsidRPr="00E356B4">
              <w:rPr>
                <w:rFonts w:ascii="Calibri" w:hAnsi="Calibri" w:cs="Arial"/>
                <w:color w:val="231F20"/>
                <w:sz w:val="16"/>
                <w:szCs w:val="16"/>
              </w:rPr>
              <w:t>1,195,900</w:t>
            </w:r>
          </w:p>
        </w:tc>
        <w:tc>
          <w:tcPr>
            <w:tcW w:w="1170" w:type="dxa"/>
            <w:vAlign w:val="center"/>
            <w:hideMark/>
          </w:tcPr>
          <w:p w14:paraId="22481BD8" w14:textId="77777777" w:rsidR="001774A7" w:rsidRPr="00E356B4" w:rsidRDefault="001774A7" w:rsidP="00D63204">
            <w:pPr>
              <w:ind w:firstLineChars="100" w:firstLine="160"/>
              <w:cnfStyle w:val="000000000000" w:firstRow="0" w:lastRow="0" w:firstColumn="0" w:lastColumn="0" w:oddVBand="0" w:evenVBand="0" w:oddHBand="0" w:evenHBand="0" w:firstRowFirstColumn="0" w:firstRowLastColumn="0" w:lastRowFirstColumn="0" w:lastRowLastColumn="0"/>
              <w:rPr>
                <w:rFonts w:ascii="Calibri" w:hAnsi="Calibri" w:cs="Arial"/>
                <w:color w:val="231F20"/>
                <w:sz w:val="16"/>
                <w:szCs w:val="16"/>
              </w:rPr>
            </w:pPr>
            <w:r w:rsidRPr="00E356B4">
              <w:rPr>
                <w:rFonts w:ascii="Calibri" w:hAnsi="Calibri" w:cs="Arial"/>
                <w:color w:val="231F20"/>
                <w:sz w:val="16"/>
                <w:szCs w:val="16"/>
              </w:rPr>
              <w:t>1,192,500</w:t>
            </w:r>
          </w:p>
        </w:tc>
        <w:tc>
          <w:tcPr>
            <w:tcW w:w="985" w:type="dxa"/>
            <w:vAlign w:val="center"/>
            <w:hideMark/>
          </w:tcPr>
          <w:p w14:paraId="436103B6" w14:textId="77777777" w:rsidR="001774A7" w:rsidRPr="00E356B4" w:rsidRDefault="001774A7" w:rsidP="00D63204">
            <w:pPr>
              <w:ind w:firstLineChars="100" w:firstLine="160"/>
              <w:cnfStyle w:val="000000000000" w:firstRow="0" w:lastRow="0" w:firstColumn="0" w:lastColumn="0" w:oddVBand="0" w:evenVBand="0" w:oddHBand="0" w:evenHBand="0" w:firstRowFirstColumn="0" w:firstRowLastColumn="0" w:lastRowFirstColumn="0" w:lastRowLastColumn="0"/>
              <w:rPr>
                <w:rFonts w:ascii="Calibri" w:hAnsi="Calibri" w:cs="Arial"/>
                <w:color w:val="231F20"/>
                <w:sz w:val="16"/>
                <w:szCs w:val="16"/>
              </w:rPr>
            </w:pPr>
            <w:r w:rsidRPr="00E356B4">
              <w:rPr>
                <w:rFonts w:ascii="Calibri" w:hAnsi="Calibri" w:cs="Arial"/>
                <w:color w:val="231F20"/>
                <w:sz w:val="16"/>
                <w:szCs w:val="16"/>
              </w:rPr>
              <w:t>1,800</w:t>
            </w:r>
          </w:p>
        </w:tc>
        <w:tc>
          <w:tcPr>
            <w:tcW w:w="899" w:type="dxa"/>
            <w:vAlign w:val="center"/>
            <w:hideMark/>
          </w:tcPr>
          <w:p w14:paraId="7BD83993" w14:textId="77777777" w:rsidR="001774A7" w:rsidRPr="00E356B4" w:rsidRDefault="001774A7" w:rsidP="00D63204">
            <w:pPr>
              <w:ind w:firstLineChars="100" w:firstLine="160"/>
              <w:cnfStyle w:val="000000000000" w:firstRow="0" w:lastRow="0" w:firstColumn="0" w:lastColumn="0" w:oddVBand="0" w:evenVBand="0" w:oddHBand="0" w:evenHBand="0" w:firstRowFirstColumn="0" w:firstRowLastColumn="0" w:lastRowFirstColumn="0" w:lastRowLastColumn="0"/>
              <w:rPr>
                <w:rFonts w:ascii="Calibri" w:hAnsi="Calibri" w:cs="Arial"/>
                <w:color w:val="231F20"/>
                <w:sz w:val="16"/>
                <w:szCs w:val="16"/>
              </w:rPr>
            </w:pPr>
            <w:r w:rsidRPr="00E356B4">
              <w:rPr>
                <w:rFonts w:ascii="Calibri" w:hAnsi="Calibri" w:cs="Arial"/>
                <w:color w:val="231F20"/>
                <w:sz w:val="16"/>
                <w:szCs w:val="16"/>
              </w:rPr>
              <w:t>0.2</w:t>
            </w:r>
          </w:p>
        </w:tc>
        <w:tc>
          <w:tcPr>
            <w:tcW w:w="927" w:type="dxa"/>
            <w:vAlign w:val="center"/>
            <w:hideMark/>
          </w:tcPr>
          <w:p w14:paraId="3125C227" w14:textId="77777777" w:rsidR="001774A7" w:rsidRPr="00E356B4" w:rsidRDefault="001774A7" w:rsidP="00D63204">
            <w:pPr>
              <w:ind w:firstLineChars="100" w:firstLine="160"/>
              <w:cnfStyle w:val="000000000000" w:firstRow="0" w:lastRow="0" w:firstColumn="0" w:lastColumn="0" w:oddVBand="0" w:evenVBand="0" w:oddHBand="0" w:evenHBand="0" w:firstRowFirstColumn="0" w:firstRowLastColumn="0" w:lastRowFirstColumn="0" w:lastRowLastColumn="0"/>
              <w:rPr>
                <w:rFonts w:ascii="Calibri" w:hAnsi="Calibri" w:cs="Arial"/>
                <w:color w:val="231F20"/>
                <w:sz w:val="16"/>
                <w:szCs w:val="16"/>
              </w:rPr>
            </w:pPr>
            <w:r w:rsidRPr="00E356B4">
              <w:rPr>
                <w:rFonts w:ascii="Calibri" w:hAnsi="Calibri" w:cs="Arial"/>
                <w:color w:val="231F20"/>
                <w:sz w:val="16"/>
                <w:szCs w:val="16"/>
              </w:rPr>
              <w:t>5,200</w:t>
            </w:r>
          </w:p>
        </w:tc>
        <w:tc>
          <w:tcPr>
            <w:tcW w:w="961" w:type="dxa"/>
            <w:vAlign w:val="center"/>
            <w:hideMark/>
          </w:tcPr>
          <w:p w14:paraId="10960E7D" w14:textId="77777777" w:rsidR="001774A7" w:rsidRPr="00E356B4" w:rsidRDefault="001774A7" w:rsidP="00D63204">
            <w:pPr>
              <w:ind w:firstLineChars="100" w:firstLine="160"/>
              <w:cnfStyle w:val="000000000000" w:firstRow="0" w:lastRow="0" w:firstColumn="0" w:lastColumn="0" w:oddVBand="0" w:evenVBand="0" w:oddHBand="0" w:evenHBand="0" w:firstRowFirstColumn="0" w:firstRowLastColumn="0" w:lastRowFirstColumn="0" w:lastRowLastColumn="0"/>
              <w:rPr>
                <w:rFonts w:ascii="Calibri" w:hAnsi="Calibri" w:cs="Arial"/>
                <w:color w:val="231F20"/>
                <w:sz w:val="16"/>
                <w:szCs w:val="16"/>
              </w:rPr>
            </w:pPr>
            <w:r w:rsidRPr="00E356B4">
              <w:rPr>
                <w:rFonts w:ascii="Calibri" w:hAnsi="Calibri" w:cs="Arial"/>
                <w:color w:val="231F20"/>
                <w:sz w:val="16"/>
                <w:szCs w:val="16"/>
              </w:rPr>
              <w:t>0.4</w:t>
            </w:r>
          </w:p>
        </w:tc>
      </w:tr>
      <w:tr w:rsidR="001774A7" w:rsidRPr="00E356B4" w14:paraId="73769170" w14:textId="77777777" w:rsidTr="00CF3FD3">
        <w:trPr>
          <w:cnfStyle w:val="000000100000" w:firstRow="0" w:lastRow="0" w:firstColumn="0" w:lastColumn="0" w:oddVBand="0" w:evenVBand="0" w:oddHBand="1" w:evenHBand="0" w:firstRowFirstColumn="0" w:firstRowLastColumn="0" w:lastRowFirstColumn="0" w:lastRowLastColumn="0"/>
          <w:trHeight w:hRule="exact" w:val="264"/>
        </w:trPr>
        <w:tc>
          <w:tcPr>
            <w:cnfStyle w:val="001000000000" w:firstRow="0" w:lastRow="0" w:firstColumn="1" w:lastColumn="0" w:oddVBand="0" w:evenVBand="0" w:oddHBand="0" w:evenHBand="0" w:firstRowFirstColumn="0" w:firstRowLastColumn="0" w:lastRowFirstColumn="0" w:lastRowLastColumn="0"/>
            <w:tcW w:w="3330" w:type="dxa"/>
            <w:vAlign w:val="center"/>
            <w:hideMark/>
          </w:tcPr>
          <w:p w14:paraId="61599B85" w14:textId="7692C62F" w:rsidR="001774A7" w:rsidRPr="00CF3FD3" w:rsidRDefault="001774A7" w:rsidP="001774A7">
            <w:pPr>
              <w:ind w:firstLineChars="100" w:firstLine="160"/>
              <w:rPr>
                <w:rFonts w:ascii="Calibri" w:hAnsi="Calibri" w:cs="Arial"/>
                <w:b w:val="0"/>
                <w:color w:val="231F20"/>
                <w:sz w:val="16"/>
                <w:szCs w:val="16"/>
              </w:rPr>
            </w:pPr>
            <w:r w:rsidRPr="00CF3FD3">
              <w:rPr>
                <w:rFonts w:ascii="Calibri" w:hAnsi="Calibri" w:cs="Arial"/>
                <w:b w:val="0"/>
                <w:color w:val="231F20"/>
                <w:sz w:val="16"/>
                <w:szCs w:val="16"/>
              </w:rPr>
              <w:t>Arts, Entertainment</w:t>
            </w:r>
            <w:r w:rsidR="00D5537E">
              <w:rPr>
                <w:rFonts w:ascii="Calibri" w:hAnsi="Calibri" w:cs="Arial"/>
                <w:b w:val="0"/>
                <w:color w:val="231F20"/>
                <w:sz w:val="16"/>
                <w:szCs w:val="16"/>
              </w:rPr>
              <w:t xml:space="preserve"> and</w:t>
            </w:r>
            <w:r w:rsidRPr="00CF3FD3">
              <w:rPr>
                <w:rFonts w:ascii="Calibri" w:hAnsi="Calibri" w:cs="Arial"/>
                <w:b w:val="0"/>
                <w:color w:val="231F20"/>
                <w:sz w:val="16"/>
                <w:szCs w:val="16"/>
              </w:rPr>
              <w:t xml:space="preserve"> Recreation</w:t>
            </w:r>
          </w:p>
        </w:tc>
        <w:tc>
          <w:tcPr>
            <w:tcW w:w="1170" w:type="dxa"/>
            <w:vAlign w:val="center"/>
            <w:hideMark/>
          </w:tcPr>
          <w:p w14:paraId="45B037C0" w14:textId="77777777" w:rsidR="001774A7" w:rsidRPr="00E356B4" w:rsidRDefault="001774A7" w:rsidP="00D63204">
            <w:pPr>
              <w:ind w:firstLineChars="100" w:firstLine="160"/>
              <w:cnfStyle w:val="000000100000" w:firstRow="0" w:lastRow="0" w:firstColumn="0" w:lastColumn="0" w:oddVBand="0" w:evenVBand="0" w:oddHBand="1" w:evenHBand="0" w:firstRowFirstColumn="0" w:firstRowLastColumn="0" w:lastRowFirstColumn="0" w:lastRowLastColumn="0"/>
              <w:rPr>
                <w:rFonts w:ascii="Calibri" w:hAnsi="Calibri" w:cs="Arial"/>
                <w:color w:val="231F20"/>
                <w:sz w:val="16"/>
                <w:szCs w:val="16"/>
              </w:rPr>
            </w:pPr>
            <w:r w:rsidRPr="00E356B4">
              <w:rPr>
                <w:rFonts w:ascii="Calibri" w:hAnsi="Calibri" w:cs="Arial"/>
                <w:color w:val="231F20"/>
                <w:sz w:val="16"/>
                <w:szCs w:val="16"/>
              </w:rPr>
              <w:t>221,900</w:t>
            </w:r>
          </w:p>
        </w:tc>
        <w:tc>
          <w:tcPr>
            <w:tcW w:w="1170" w:type="dxa"/>
            <w:vAlign w:val="center"/>
            <w:hideMark/>
          </w:tcPr>
          <w:p w14:paraId="145792F3" w14:textId="77777777" w:rsidR="001774A7" w:rsidRPr="00E356B4" w:rsidRDefault="001774A7" w:rsidP="00D63204">
            <w:pPr>
              <w:ind w:firstLineChars="100" w:firstLine="160"/>
              <w:cnfStyle w:val="000000100000" w:firstRow="0" w:lastRow="0" w:firstColumn="0" w:lastColumn="0" w:oddVBand="0" w:evenVBand="0" w:oddHBand="1" w:evenHBand="0" w:firstRowFirstColumn="0" w:firstRowLastColumn="0" w:lastRowFirstColumn="0" w:lastRowLastColumn="0"/>
              <w:rPr>
                <w:rFonts w:ascii="Calibri" w:hAnsi="Calibri" w:cs="Arial"/>
                <w:color w:val="231F20"/>
                <w:sz w:val="16"/>
                <w:szCs w:val="16"/>
              </w:rPr>
            </w:pPr>
            <w:r w:rsidRPr="00E356B4">
              <w:rPr>
                <w:rFonts w:ascii="Calibri" w:hAnsi="Calibri" w:cs="Arial"/>
                <w:color w:val="231F20"/>
                <w:sz w:val="16"/>
                <w:szCs w:val="16"/>
              </w:rPr>
              <w:t>224,700</w:t>
            </w:r>
          </w:p>
        </w:tc>
        <w:tc>
          <w:tcPr>
            <w:tcW w:w="1170" w:type="dxa"/>
            <w:vAlign w:val="center"/>
            <w:hideMark/>
          </w:tcPr>
          <w:p w14:paraId="7EAD31B7" w14:textId="77777777" w:rsidR="001774A7" w:rsidRPr="00E356B4" w:rsidRDefault="001774A7" w:rsidP="00D63204">
            <w:pPr>
              <w:ind w:firstLineChars="100" w:firstLine="160"/>
              <w:cnfStyle w:val="000000100000" w:firstRow="0" w:lastRow="0" w:firstColumn="0" w:lastColumn="0" w:oddVBand="0" w:evenVBand="0" w:oddHBand="1" w:evenHBand="0" w:firstRowFirstColumn="0" w:firstRowLastColumn="0" w:lastRowFirstColumn="0" w:lastRowLastColumn="0"/>
              <w:rPr>
                <w:rFonts w:ascii="Calibri" w:hAnsi="Calibri" w:cs="Arial"/>
                <w:color w:val="231F20"/>
                <w:sz w:val="16"/>
                <w:szCs w:val="16"/>
              </w:rPr>
            </w:pPr>
            <w:r w:rsidRPr="00E356B4">
              <w:rPr>
                <w:rFonts w:ascii="Calibri" w:hAnsi="Calibri" w:cs="Arial"/>
                <w:color w:val="231F20"/>
                <w:sz w:val="16"/>
                <w:szCs w:val="16"/>
              </w:rPr>
              <w:t>223,500</w:t>
            </w:r>
          </w:p>
        </w:tc>
        <w:tc>
          <w:tcPr>
            <w:tcW w:w="985" w:type="dxa"/>
            <w:vAlign w:val="center"/>
            <w:hideMark/>
          </w:tcPr>
          <w:p w14:paraId="55593795" w14:textId="77777777" w:rsidR="001774A7" w:rsidRPr="00E356B4" w:rsidRDefault="001774A7" w:rsidP="00D63204">
            <w:pPr>
              <w:ind w:firstLineChars="100" w:firstLine="160"/>
              <w:cnfStyle w:val="000000100000" w:firstRow="0" w:lastRow="0" w:firstColumn="0" w:lastColumn="0" w:oddVBand="0" w:evenVBand="0" w:oddHBand="1" w:evenHBand="0" w:firstRowFirstColumn="0" w:firstRowLastColumn="0" w:lastRowFirstColumn="0" w:lastRowLastColumn="0"/>
              <w:rPr>
                <w:rFonts w:ascii="Calibri" w:hAnsi="Calibri" w:cs="Arial"/>
                <w:color w:val="231F20"/>
                <w:sz w:val="16"/>
                <w:szCs w:val="16"/>
              </w:rPr>
            </w:pPr>
            <w:r w:rsidRPr="00E356B4">
              <w:rPr>
                <w:rFonts w:ascii="Calibri" w:hAnsi="Calibri" w:cs="Arial"/>
                <w:color w:val="231F20"/>
                <w:sz w:val="16"/>
                <w:szCs w:val="16"/>
              </w:rPr>
              <w:t>-2,800</w:t>
            </w:r>
          </w:p>
        </w:tc>
        <w:tc>
          <w:tcPr>
            <w:tcW w:w="899" w:type="dxa"/>
            <w:vAlign w:val="center"/>
            <w:hideMark/>
          </w:tcPr>
          <w:p w14:paraId="5AB643F1" w14:textId="77777777" w:rsidR="001774A7" w:rsidRPr="00E356B4" w:rsidRDefault="001774A7" w:rsidP="00D63204">
            <w:pPr>
              <w:ind w:firstLineChars="100" w:firstLine="160"/>
              <w:cnfStyle w:val="000000100000" w:firstRow="0" w:lastRow="0" w:firstColumn="0" w:lastColumn="0" w:oddVBand="0" w:evenVBand="0" w:oddHBand="1" w:evenHBand="0" w:firstRowFirstColumn="0" w:firstRowLastColumn="0" w:lastRowFirstColumn="0" w:lastRowLastColumn="0"/>
              <w:rPr>
                <w:rFonts w:ascii="Calibri" w:hAnsi="Calibri" w:cs="Arial"/>
                <w:color w:val="231F20"/>
                <w:sz w:val="16"/>
                <w:szCs w:val="16"/>
              </w:rPr>
            </w:pPr>
            <w:r w:rsidRPr="00E356B4">
              <w:rPr>
                <w:rFonts w:ascii="Calibri" w:hAnsi="Calibri" w:cs="Arial"/>
                <w:color w:val="231F20"/>
                <w:sz w:val="16"/>
                <w:szCs w:val="16"/>
              </w:rPr>
              <w:t>-1.2</w:t>
            </w:r>
          </w:p>
        </w:tc>
        <w:tc>
          <w:tcPr>
            <w:tcW w:w="927" w:type="dxa"/>
            <w:vAlign w:val="center"/>
            <w:hideMark/>
          </w:tcPr>
          <w:p w14:paraId="1D595536" w14:textId="77777777" w:rsidR="001774A7" w:rsidRPr="00E356B4" w:rsidRDefault="001774A7" w:rsidP="00D63204">
            <w:pPr>
              <w:ind w:firstLineChars="100" w:firstLine="160"/>
              <w:cnfStyle w:val="000000100000" w:firstRow="0" w:lastRow="0" w:firstColumn="0" w:lastColumn="0" w:oddVBand="0" w:evenVBand="0" w:oddHBand="1" w:evenHBand="0" w:firstRowFirstColumn="0" w:firstRowLastColumn="0" w:lastRowFirstColumn="0" w:lastRowLastColumn="0"/>
              <w:rPr>
                <w:rFonts w:ascii="Calibri" w:hAnsi="Calibri" w:cs="Arial"/>
                <w:color w:val="231F20"/>
                <w:sz w:val="16"/>
                <w:szCs w:val="16"/>
              </w:rPr>
            </w:pPr>
            <w:r w:rsidRPr="00E356B4">
              <w:rPr>
                <w:rFonts w:ascii="Calibri" w:hAnsi="Calibri" w:cs="Arial"/>
                <w:color w:val="231F20"/>
                <w:sz w:val="16"/>
                <w:szCs w:val="16"/>
              </w:rPr>
              <w:t>-1,600</w:t>
            </w:r>
          </w:p>
        </w:tc>
        <w:tc>
          <w:tcPr>
            <w:tcW w:w="961" w:type="dxa"/>
            <w:vAlign w:val="center"/>
            <w:hideMark/>
          </w:tcPr>
          <w:p w14:paraId="0726B83C" w14:textId="77777777" w:rsidR="001774A7" w:rsidRPr="00E356B4" w:rsidRDefault="001774A7" w:rsidP="00D63204">
            <w:pPr>
              <w:ind w:firstLineChars="100" w:firstLine="160"/>
              <w:cnfStyle w:val="000000100000" w:firstRow="0" w:lastRow="0" w:firstColumn="0" w:lastColumn="0" w:oddVBand="0" w:evenVBand="0" w:oddHBand="1" w:evenHBand="0" w:firstRowFirstColumn="0" w:firstRowLastColumn="0" w:lastRowFirstColumn="0" w:lastRowLastColumn="0"/>
              <w:rPr>
                <w:rFonts w:ascii="Calibri" w:hAnsi="Calibri" w:cs="Arial"/>
                <w:color w:val="231F20"/>
                <w:sz w:val="16"/>
                <w:szCs w:val="16"/>
              </w:rPr>
            </w:pPr>
            <w:r w:rsidRPr="00E356B4">
              <w:rPr>
                <w:rFonts w:ascii="Calibri" w:hAnsi="Calibri" w:cs="Arial"/>
                <w:color w:val="231F20"/>
                <w:sz w:val="16"/>
                <w:szCs w:val="16"/>
              </w:rPr>
              <w:t>-0.7</w:t>
            </w:r>
          </w:p>
        </w:tc>
      </w:tr>
      <w:tr w:rsidR="001774A7" w:rsidRPr="00E356B4" w14:paraId="70A8A8AC" w14:textId="77777777" w:rsidTr="00CF3FD3">
        <w:trPr>
          <w:trHeight w:hRule="exact" w:val="264"/>
        </w:trPr>
        <w:tc>
          <w:tcPr>
            <w:cnfStyle w:val="001000000000" w:firstRow="0" w:lastRow="0" w:firstColumn="1" w:lastColumn="0" w:oddVBand="0" w:evenVBand="0" w:oddHBand="0" w:evenHBand="0" w:firstRowFirstColumn="0" w:firstRowLastColumn="0" w:lastRowFirstColumn="0" w:lastRowLastColumn="0"/>
            <w:tcW w:w="3330" w:type="dxa"/>
            <w:vAlign w:val="center"/>
            <w:hideMark/>
          </w:tcPr>
          <w:p w14:paraId="26B66602" w14:textId="77777777" w:rsidR="001774A7" w:rsidRPr="00CF3FD3" w:rsidRDefault="001774A7" w:rsidP="001774A7">
            <w:pPr>
              <w:ind w:firstLineChars="100" w:firstLine="160"/>
              <w:rPr>
                <w:rFonts w:ascii="Calibri" w:hAnsi="Calibri" w:cs="Arial"/>
                <w:b w:val="0"/>
                <w:color w:val="231F20"/>
                <w:sz w:val="16"/>
                <w:szCs w:val="16"/>
              </w:rPr>
            </w:pPr>
            <w:r w:rsidRPr="00CF3FD3">
              <w:rPr>
                <w:rFonts w:ascii="Calibri" w:hAnsi="Calibri" w:cs="Arial"/>
                <w:b w:val="0"/>
                <w:color w:val="231F20"/>
                <w:sz w:val="16"/>
                <w:szCs w:val="16"/>
              </w:rPr>
              <w:t>Accommodation and Food Services</w:t>
            </w:r>
          </w:p>
        </w:tc>
        <w:tc>
          <w:tcPr>
            <w:tcW w:w="1170" w:type="dxa"/>
            <w:vAlign w:val="center"/>
            <w:hideMark/>
          </w:tcPr>
          <w:p w14:paraId="3E7418FE" w14:textId="77777777" w:rsidR="001774A7" w:rsidRPr="00E356B4" w:rsidRDefault="001774A7" w:rsidP="00D63204">
            <w:pPr>
              <w:ind w:firstLineChars="100" w:firstLine="160"/>
              <w:cnfStyle w:val="000000000000" w:firstRow="0" w:lastRow="0" w:firstColumn="0" w:lastColumn="0" w:oddVBand="0" w:evenVBand="0" w:oddHBand="0" w:evenHBand="0" w:firstRowFirstColumn="0" w:firstRowLastColumn="0" w:lastRowFirstColumn="0" w:lastRowLastColumn="0"/>
              <w:rPr>
                <w:rFonts w:ascii="Calibri" w:hAnsi="Calibri" w:cs="Arial"/>
                <w:color w:val="231F20"/>
                <w:sz w:val="16"/>
                <w:szCs w:val="16"/>
              </w:rPr>
            </w:pPr>
            <w:r w:rsidRPr="00E356B4">
              <w:rPr>
                <w:rFonts w:ascii="Calibri" w:hAnsi="Calibri" w:cs="Arial"/>
                <w:color w:val="231F20"/>
                <w:sz w:val="16"/>
                <w:szCs w:val="16"/>
              </w:rPr>
              <w:t>975,800</w:t>
            </w:r>
          </w:p>
        </w:tc>
        <w:tc>
          <w:tcPr>
            <w:tcW w:w="1170" w:type="dxa"/>
            <w:vAlign w:val="center"/>
            <w:hideMark/>
          </w:tcPr>
          <w:p w14:paraId="06EF9FF1" w14:textId="77777777" w:rsidR="001774A7" w:rsidRPr="00E356B4" w:rsidRDefault="001774A7" w:rsidP="00D63204">
            <w:pPr>
              <w:ind w:firstLineChars="100" w:firstLine="160"/>
              <w:cnfStyle w:val="000000000000" w:firstRow="0" w:lastRow="0" w:firstColumn="0" w:lastColumn="0" w:oddVBand="0" w:evenVBand="0" w:oddHBand="0" w:evenHBand="0" w:firstRowFirstColumn="0" w:firstRowLastColumn="0" w:lastRowFirstColumn="0" w:lastRowLastColumn="0"/>
              <w:rPr>
                <w:rFonts w:ascii="Calibri" w:hAnsi="Calibri" w:cs="Arial"/>
                <w:color w:val="231F20"/>
                <w:sz w:val="16"/>
                <w:szCs w:val="16"/>
              </w:rPr>
            </w:pPr>
            <w:r w:rsidRPr="00E356B4">
              <w:rPr>
                <w:rFonts w:ascii="Calibri" w:hAnsi="Calibri" w:cs="Arial"/>
                <w:color w:val="231F20"/>
                <w:sz w:val="16"/>
                <w:szCs w:val="16"/>
              </w:rPr>
              <w:t>971,200</w:t>
            </w:r>
          </w:p>
        </w:tc>
        <w:tc>
          <w:tcPr>
            <w:tcW w:w="1170" w:type="dxa"/>
            <w:vAlign w:val="center"/>
            <w:hideMark/>
          </w:tcPr>
          <w:p w14:paraId="31D7A7F5" w14:textId="77777777" w:rsidR="001774A7" w:rsidRPr="00E356B4" w:rsidRDefault="001774A7" w:rsidP="00D63204">
            <w:pPr>
              <w:ind w:firstLineChars="100" w:firstLine="160"/>
              <w:cnfStyle w:val="000000000000" w:firstRow="0" w:lastRow="0" w:firstColumn="0" w:lastColumn="0" w:oddVBand="0" w:evenVBand="0" w:oddHBand="0" w:evenHBand="0" w:firstRowFirstColumn="0" w:firstRowLastColumn="0" w:lastRowFirstColumn="0" w:lastRowLastColumn="0"/>
              <w:rPr>
                <w:rFonts w:ascii="Calibri" w:hAnsi="Calibri" w:cs="Arial"/>
                <w:color w:val="231F20"/>
                <w:sz w:val="16"/>
                <w:szCs w:val="16"/>
              </w:rPr>
            </w:pPr>
            <w:r w:rsidRPr="00E356B4">
              <w:rPr>
                <w:rFonts w:ascii="Calibri" w:hAnsi="Calibri" w:cs="Arial"/>
                <w:color w:val="231F20"/>
                <w:sz w:val="16"/>
                <w:szCs w:val="16"/>
              </w:rPr>
              <w:t>969,000</w:t>
            </w:r>
          </w:p>
        </w:tc>
        <w:tc>
          <w:tcPr>
            <w:tcW w:w="985" w:type="dxa"/>
            <w:vAlign w:val="center"/>
            <w:hideMark/>
          </w:tcPr>
          <w:p w14:paraId="39533FD1" w14:textId="77777777" w:rsidR="001774A7" w:rsidRPr="00E356B4" w:rsidRDefault="001774A7" w:rsidP="00D63204">
            <w:pPr>
              <w:ind w:firstLineChars="100" w:firstLine="160"/>
              <w:cnfStyle w:val="000000000000" w:firstRow="0" w:lastRow="0" w:firstColumn="0" w:lastColumn="0" w:oddVBand="0" w:evenVBand="0" w:oddHBand="0" w:evenHBand="0" w:firstRowFirstColumn="0" w:firstRowLastColumn="0" w:lastRowFirstColumn="0" w:lastRowLastColumn="0"/>
              <w:rPr>
                <w:rFonts w:ascii="Calibri" w:hAnsi="Calibri" w:cs="Arial"/>
                <w:color w:val="231F20"/>
                <w:sz w:val="16"/>
                <w:szCs w:val="16"/>
              </w:rPr>
            </w:pPr>
            <w:r w:rsidRPr="00E356B4">
              <w:rPr>
                <w:rFonts w:ascii="Calibri" w:hAnsi="Calibri" w:cs="Arial"/>
                <w:color w:val="231F20"/>
                <w:sz w:val="16"/>
                <w:szCs w:val="16"/>
              </w:rPr>
              <w:t>4,600</w:t>
            </w:r>
          </w:p>
        </w:tc>
        <w:tc>
          <w:tcPr>
            <w:tcW w:w="899" w:type="dxa"/>
            <w:vAlign w:val="center"/>
            <w:hideMark/>
          </w:tcPr>
          <w:p w14:paraId="49C3F849" w14:textId="77777777" w:rsidR="001774A7" w:rsidRPr="00E356B4" w:rsidRDefault="001774A7" w:rsidP="00D63204">
            <w:pPr>
              <w:ind w:firstLineChars="100" w:firstLine="160"/>
              <w:cnfStyle w:val="000000000000" w:firstRow="0" w:lastRow="0" w:firstColumn="0" w:lastColumn="0" w:oddVBand="0" w:evenVBand="0" w:oddHBand="0" w:evenHBand="0" w:firstRowFirstColumn="0" w:firstRowLastColumn="0" w:lastRowFirstColumn="0" w:lastRowLastColumn="0"/>
              <w:rPr>
                <w:rFonts w:ascii="Calibri" w:hAnsi="Calibri" w:cs="Arial"/>
                <w:color w:val="231F20"/>
                <w:sz w:val="16"/>
                <w:szCs w:val="16"/>
              </w:rPr>
            </w:pPr>
            <w:r w:rsidRPr="00E356B4">
              <w:rPr>
                <w:rFonts w:ascii="Calibri" w:hAnsi="Calibri" w:cs="Arial"/>
                <w:color w:val="231F20"/>
                <w:sz w:val="16"/>
                <w:szCs w:val="16"/>
              </w:rPr>
              <w:t>0.5</w:t>
            </w:r>
          </w:p>
        </w:tc>
        <w:tc>
          <w:tcPr>
            <w:tcW w:w="927" w:type="dxa"/>
            <w:vAlign w:val="center"/>
            <w:hideMark/>
          </w:tcPr>
          <w:p w14:paraId="7E18EDAB" w14:textId="77777777" w:rsidR="001774A7" w:rsidRPr="00E356B4" w:rsidRDefault="001774A7" w:rsidP="00D63204">
            <w:pPr>
              <w:ind w:firstLineChars="100" w:firstLine="160"/>
              <w:cnfStyle w:val="000000000000" w:firstRow="0" w:lastRow="0" w:firstColumn="0" w:lastColumn="0" w:oddVBand="0" w:evenVBand="0" w:oddHBand="0" w:evenHBand="0" w:firstRowFirstColumn="0" w:firstRowLastColumn="0" w:lastRowFirstColumn="0" w:lastRowLastColumn="0"/>
              <w:rPr>
                <w:rFonts w:ascii="Calibri" w:hAnsi="Calibri" w:cs="Arial"/>
                <w:color w:val="231F20"/>
                <w:sz w:val="16"/>
                <w:szCs w:val="16"/>
              </w:rPr>
            </w:pPr>
            <w:r w:rsidRPr="00E356B4">
              <w:rPr>
                <w:rFonts w:ascii="Calibri" w:hAnsi="Calibri" w:cs="Arial"/>
                <w:color w:val="231F20"/>
                <w:sz w:val="16"/>
                <w:szCs w:val="16"/>
              </w:rPr>
              <w:t>6,800</w:t>
            </w:r>
          </w:p>
        </w:tc>
        <w:tc>
          <w:tcPr>
            <w:tcW w:w="961" w:type="dxa"/>
            <w:vAlign w:val="center"/>
            <w:hideMark/>
          </w:tcPr>
          <w:p w14:paraId="1D62C191" w14:textId="77777777" w:rsidR="001774A7" w:rsidRPr="00E356B4" w:rsidRDefault="001774A7" w:rsidP="00D63204">
            <w:pPr>
              <w:ind w:firstLineChars="100" w:firstLine="160"/>
              <w:cnfStyle w:val="000000000000" w:firstRow="0" w:lastRow="0" w:firstColumn="0" w:lastColumn="0" w:oddVBand="0" w:evenVBand="0" w:oddHBand="0" w:evenHBand="0" w:firstRowFirstColumn="0" w:firstRowLastColumn="0" w:lastRowFirstColumn="0" w:lastRowLastColumn="0"/>
              <w:rPr>
                <w:rFonts w:ascii="Calibri" w:hAnsi="Calibri" w:cs="Arial"/>
                <w:color w:val="231F20"/>
                <w:sz w:val="16"/>
                <w:szCs w:val="16"/>
              </w:rPr>
            </w:pPr>
            <w:r w:rsidRPr="00E356B4">
              <w:rPr>
                <w:rFonts w:ascii="Calibri" w:hAnsi="Calibri" w:cs="Arial"/>
                <w:color w:val="231F20"/>
                <w:sz w:val="16"/>
                <w:szCs w:val="16"/>
              </w:rPr>
              <w:t>0.7</w:t>
            </w:r>
          </w:p>
        </w:tc>
      </w:tr>
      <w:tr w:rsidR="001774A7" w:rsidRPr="00E356B4" w14:paraId="7A3F221A" w14:textId="77777777" w:rsidTr="00CF3FD3">
        <w:trPr>
          <w:cnfStyle w:val="000000100000" w:firstRow="0" w:lastRow="0" w:firstColumn="0" w:lastColumn="0" w:oddVBand="0" w:evenVBand="0" w:oddHBand="1" w:evenHBand="0" w:firstRowFirstColumn="0" w:firstRowLastColumn="0" w:lastRowFirstColumn="0" w:lastRowLastColumn="0"/>
          <w:trHeight w:hRule="exact" w:val="264"/>
        </w:trPr>
        <w:tc>
          <w:tcPr>
            <w:cnfStyle w:val="001000000000" w:firstRow="0" w:lastRow="0" w:firstColumn="1" w:lastColumn="0" w:oddVBand="0" w:evenVBand="0" w:oddHBand="0" w:evenHBand="0" w:firstRowFirstColumn="0" w:firstRowLastColumn="0" w:lastRowFirstColumn="0" w:lastRowLastColumn="0"/>
            <w:tcW w:w="3330" w:type="dxa"/>
            <w:vAlign w:val="center"/>
            <w:hideMark/>
          </w:tcPr>
          <w:p w14:paraId="115BB5E3" w14:textId="77777777" w:rsidR="001774A7" w:rsidRPr="00CF3FD3" w:rsidRDefault="001774A7" w:rsidP="001774A7">
            <w:pPr>
              <w:rPr>
                <w:rFonts w:ascii="Calibri" w:hAnsi="Calibri" w:cs="Arial"/>
                <w:b w:val="0"/>
                <w:color w:val="231F20"/>
                <w:sz w:val="16"/>
                <w:szCs w:val="16"/>
              </w:rPr>
            </w:pPr>
            <w:r w:rsidRPr="00CF3FD3">
              <w:rPr>
                <w:rFonts w:ascii="Calibri" w:hAnsi="Calibri" w:cs="Arial"/>
                <w:b w:val="0"/>
                <w:color w:val="231F20"/>
                <w:sz w:val="16"/>
                <w:szCs w:val="16"/>
              </w:rPr>
              <w:t>Other Services</w:t>
            </w:r>
          </w:p>
        </w:tc>
        <w:tc>
          <w:tcPr>
            <w:tcW w:w="1170" w:type="dxa"/>
            <w:vAlign w:val="center"/>
            <w:hideMark/>
          </w:tcPr>
          <w:p w14:paraId="065D926C" w14:textId="77777777" w:rsidR="001774A7" w:rsidRPr="00E356B4" w:rsidRDefault="001774A7" w:rsidP="00D63204">
            <w:pPr>
              <w:ind w:firstLineChars="100" w:firstLine="160"/>
              <w:cnfStyle w:val="000000100000" w:firstRow="0" w:lastRow="0" w:firstColumn="0" w:lastColumn="0" w:oddVBand="0" w:evenVBand="0" w:oddHBand="1" w:evenHBand="0" w:firstRowFirstColumn="0" w:firstRowLastColumn="0" w:lastRowFirstColumn="0" w:lastRowLastColumn="0"/>
              <w:rPr>
                <w:rFonts w:ascii="Calibri" w:hAnsi="Calibri" w:cs="Arial"/>
                <w:color w:val="231F20"/>
                <w:sz w:val="16"/>
                <w:szCs w:val="16"/>
              </w:rPr>
            </w:pPr>
            <w:r w:rsidRPr="00E356B4">
              <w:rPr>
                <w:rFonts w:ascii="Calibri" w:hAnsi="Calibri" w:cs="Arial"/>
                <w:color w:val="231F20"/>
                <w:sz w:val="16"/>
                <w:szCs w:val="16"/>
              </w:rPr>
              <w:t>369,400</w:t>
            </w:r>
          </w:p>
        </w:tc>
        <w:tc>
          <w:tcPr>
            <w:tcW w:w="1170" w:type="dxa"/>
            <w:vAlign w:val="center"/>
            <w:hideMark/>
          </w:tcPr>
          <w:p w14:paraId="4EC6DB40" w14:textId="77777777" w:rsidR="001774A7" w:rsidRPr="00E356B4" w:rsidRDefault="001774A7" w:rsidP="00D63204">
            <w:pPr>
              <w:ind w:firstLineChars="100" w:firstLine="160"/>
              <w:cnfStyle w:val="000000100000" w:firstRow="0" w:lastRow="0" w:firstColumn="0" w:lastColumn="0" w:oddVBand="0" w:evenVBand="0" w:oddHBand="1" w:evenHBand="0" w:firstRowFirstColumn="0" w:firstRowLastColumn="0" w:lastRowFirstColumn="0" w:lastRowLastColumn="0"/>
              <w:rPr>
                <w:rFonts w:ascii="Calibri" w:hAnsi="Calibri" w:cs="Arial"/>
                <w:color w:val="231F20"/>
                <w:sz w:val="16"/>
                <w:szCs w:val="16"/>
              </w:rPr>
            </w:pPr>
            <w:r w:rsidRPr="00E356B4">
              <w:rPr>
                <w:rFonts w:ascii="Calibri" w:hAnsi="Calibri" w:cs="Arial"/>
                <w:color w:val="231F20"/>
                <w:sz w:val="16"/>
                <w:szCs w:val="16"/>
              </w:rPr>
              <w:t>371,500</w:t>
            </w:r>
          </w:p>
        </w:tc>
        <w:tc>
          <w:tcPr>
            <w:tcW w:w="1170" w:type="dxa"/>
            <w:vAlign w:val="center"/>
            <w:hideMark/>
          </w:tcPr>
          <w:p w14:paraId="3DD611EC" w14:textId="77777777" w:rsidR="001774A7" w:rsidRPr="00E356B4" w:rsidRDefault="001774A7" w:rsidP="00D63204">
            <w:pPr>
              <w:ind w:firstLineChars="100" w:firstLine="160"/>
              <w:cnfStyle w:val="000000100000" w:firstRow="0" w:lastRow="0" w:firstColumn="0" w:lastColumn="0" w:oddVBand="0" w:evenVBand="0" w:oddHBand="1" w:evenHBand="0" w:firstRowFirstColumn="0" w:firstRowLastColumn="0" w:lastRowFirstColumn="0" w:lastRowLastColumn="0"/>
              <w:rPr>
                <w:rFonts w:ascii="Calibri" w:hAnsi="Calibri" w:cs="Arial"/>
                <w:color w:val="231F20"/>
                <w:sz w:val="16"/>
                <w:szCs w:val="16"/>
              </w:rPr>
            </w:pPr>
            <w:r w:rsidRPr="00E356B4">
              <w:rPr>
                <w:rFonts w:ascii="Calibri" w:hAnsi="Calibri" w:cs="Arial"/>
                <w:color w:val="231F20"/>
                <w:sz w:val="16"/>
                <w:szCs w:val="16"/>
              </w:rPr>
              <w:t>355,900</w:t>
            </w:r>
          </w:p>
        </w:tc>
        <w:tc>
          <w:tcPr>
            <w:tcW w:w="985" w:type="dxa"/>
            <w:vAlign w:val="center"/>
            <w:hideMark/>
          </w:tcPr>
          <w:p w14:paraId="587A653F" w14:textId="77777777" w:rsidR="001774A7" w:rsidRPr="00E356B4" w:rsidRDefault="001774A7" w:rsidP="00D63204">
            <w:pPr>
              <w:ind w:firstLineChars="100" w:firstLine="160"/>
              <w:cnfStyle w:val="000000100000" w:firstRow="0" w:lastRow="0" w:firstColumn="0" w:lastColumn="0" w:oddVBand="0" w:evenVBand="0" w:oddHBand="1" w:evenHBand="0" w:firstRowFirstColumn="0" w:firstRowLastColumn="0" w:lastRowFirstColumn="0" w:lastRowLastColumn="0"/>
              <w:rPr>
                <w:rFonts w:ascii="Calibri" w:hAnsi="Calibri" w:cs="Arial"/>
                <w:color w:val="231F20"/>
                <w:sz w:val="16"/>
                <w:szCs w:val="16"/>
              </w:rPr>
            </w:pPr>
            <w:r w:rsidRPr="00E356B4">
              <w:rPr>
                <w:rFonts w:ascii="Calibri" w:hAnsi="Calibri" w:cs="Arial"/>
                <w:color w:val="231F20"/>
                <w:sz w:val="16"/>
                <w:szCs w:val="16"/>
              </w:rPr>
              <w:t>-2,100</w:t>
            </w:r>
          </w:p>
        </w:tc>
        <w:tc>
          <w:tcPr>
            <w:tcW w:w="899" w:type="dxa"/>
            <w:vAlign w:val="center"/>
            <w:hideMark/>
          </w:tcPr>
          <w:p w14:paraId="6A8B0BE8" w14:textId="77777777" w:rsidR="001774A7" w:rsidRPr="00E356B4" w:rsidRDefault="001774A7" w:rsidP="00D63204">
            <w:pPr>
              <w:ind w:firstLineChars="100" w:firstLine="160"/>
              <w:cnfStyle w:val="000000100000" w:firstRow="0" w:lastRow="0" w:firstColumn="0" w:lastColumn="0" w:oddVBand="0" w:evenVBand="0" w:oddHBand="1" w:evenHBand="0" w:firstRowFirstColumn="0" w:firstRowLastColumn="0" w:lastRowFirstColumn="0" w:lastRowLastColumn="0"/>
              <w:rPr>
                <w:rFonts w:ascii="Calibri" w:hAnsi="Calibri" w:cs="Arial"/>
                <w:color w:val="231F20"/>
                <w:sz w:val="16"/>
                <w:szCs w:val="16"/>
              </w:rPr>
            </w:pPr>
            <w:r w:rsidRPr="00E356B4">
              <w:rPr>
                <w:rFonts w:ascii="Calibri" w:hAnsi="Calibri" w:cs="Arial"/>
                <w:color w:val="231F20"/>
                <w:sz w:val="16"/>
                <w:szCs w:val="16"/>
              </w:rPr>
              <w:t>-0.6</w:t>
            </w:r>
          </w:p>
        </w:tc>
        <w:tc>
          <w:tcPr>
            <w:tcW w:w="927" w:type="dxa"/>
            <w:vAlign w:val="center"/>
            <w:hideMark/>
          </w:tcPr>
          <w:p w14:paraId="7354C44E" w14:textId="77777777" w:rsidR="001774A7" w:rsidRPr="00E356B4" w:rsidRDefault="001774A7" w:rsidP="00D63204">
            <w:pPr>
              <w:ind w:firstLineChars="100" w:firstLine="160"/>
              <w:cnfStyle w:val="000000100000" w:firstRow="0" w:lastRow="0" w:firstColumn="0" w:lastColumn="0" w:oddVBand="0" w:evenVBand="0" w:oddHBand="1" w:evenHBand="0" w:firstRowFirstColumn="0" w:firstRowLastColumn="0" w:lastRowFirstColumn="0" w:lastRowLastColumn="0"/>
              <w:rPr>
                <w:rFonts w:ascii="Calibri" w:hAnsi="Calibri" w:cs="Arial"/>
                <w:color w:val="231F20"/>
                <w:sz w:val="16"/>
                <w:szCs w:val="16"/>
              </w:rPr>
            </w:pPr>
            <w:r w:rsidRPr="00E356B4">
              <w:rPr>
                <w:rFonts w:ascii="Calibri" w:hAnsi="Calibri" w:cs="Arial"/>
                <w:color w:val="231F20"/>
                <w:sz w:val="16"/>
                <w:szCs w:val="16"/>
              </w:rPr>
              <w:t>13,500</w:t>
            </w:r>
          </w:p>
        </w:tc>
        <w:tc>
          <w:tcPr>
            <w:tcW w:w="961" w:type="dxa"/>
            <w:vAlign w:val="center"/>
            <w:hideMark/>
          </w:tcPr>
          <w:p w14:paraId="15FBDC4D" w14:textId="77777777" w:rsidR="001774A7" w:rsidRPr="00E356B4" w:rsidRDefault="001774A7" w:rsidP="00D63204">
            <w:pPr>
              <w:ind w:firstLineChars="100" w:firstLine="160"/>
              <w:cnfStyle w:val="000000100000" w:firstRow="0" w:lastRow="0" w:firstColumn="0" w:lastColumn="0" w:oddVBand="0" w:evenVBand="0" w:oddHBand="1" w:evenHBand="0" w:firstRowFirstColumn="0" w:firstRowLastColumn="0" w:lastRowFirstColumn="0" w:lastRowLastColumn="0"/>
              <w:rPr>
                <w:rFonts w:ascii="Calibri" w:hAnsi="Calibri" w:cs="Arial"/>
                <w:color w:val="231F20"/>
                <w:sz w:val="16"/>
                <w:szCs w:val="16"/>
              </w:rPr>
            </w:pPr>
            <w:r w:rsidRPr="00E356B4">
              <w:rPr>
                <w:rFonts w:ascii="Calibri" w:hAnsi="Calibri" w:cs="Arial"/>
                <w:color w:val="231F20"/>
                <w:sz w:val="16"/>
                <w:szCs w:val="16"/>
              </w:rPr>
              <w:t>3.8</w:t>
            </w:r>
          </w:p>
        </w:tc>
      </w:tr>
      <w:tr w:rsidR="001774A7" w:rsidRPr="00E356B4" w14:paraId="1EA452FB" w14:textId="77777777" w:rsidTr="00CF3FD3">
        <w:trPr>
          <w:trHeight w:hRule="exact" w:val="264"/>
        </w:trPr>
        <w:tc>
          <w:tcPr>
            <w:cnfStyle w:val="001000000000" w:firstRow="0" w:lastRow="0" w:firstColumn="1" w:lastColumn="0" w:oddVBand="0" w:evenVBand="0" w:oddHBand="0" w:evenHBand="0" w:firstRowFirstColumn="0" w:firstRowLastColumn="0" w:lastRowFirstColumn="0" w:lastRowLastColumn="0"/>
            <w:tcW w:w="3330" w:type="dxa"/>
            <w:vAlign w:val="center"/>
            <w:hideMark/>
          </w:tcPr>
          <w:p w14:paraId="630C3F1F" w14:textId="77777777" w:rsidR="001774A7" w:rsidRPr="00CF3FD3" w:rsidRDefault="001774A7" w:rsidP="001774A7">
            <w:pPr>
              <w:rPr>
                <w:rFonts w:ascii="Calibri" w:hAnsi="Calibri" w:cs="Arial"/>
                <w:b w:val="0"/>
                <w:color w:val="231F20"/>
                <w:sz w:val="16"/>
                <w:szCs w:val="16"/>
              </w:rPr>
            </w:pPr>
            <w:r w:rsidRPr="00CF3FD3">
              <w:rPr>
                <w:rFonts w:ascii="Calibri" w:hAnsi="Calibri" w:cs="Arial"/>
                <w:b w:val="0"/>
                <w:color w:val="231F20"/>
                <w:sz w:val="16"/>
                <w:szCs w:val="16"/>
              </w:rPr>
              <w:t>Total Government</w:t>
            </w:r>
          </w:p>
        </w:tc>
        <w:tc>
          <w:tcPr>
            <w:tcW w:w="1170" w:type="dxa"/>
            <w:vAlign w:val="center"/>
            <w:hideMark/>
          </w:tcPr>
          <w:p w14:paraId="67DE75E1" w14:textId="77777777" w:rsidR="001774A7" w:rsidRPr="00E356B4" w:rsidRDefault="001774A7" w:rsidP="00D63204">
            <w:pPr>
              <w:ind w:firstLineChars="100" w:firstLine="160"/>
              <w:cnfStyle w:val="000000000000" w:firstRow="0" w:lastRow="0" w:firstColumn="0" w:lastColumn="0" w:oddVBand="0" w:evenVBand="0" w:oddHBand="0" w:evenHBand="0" w:firstRowFirstColumn="0" w:firstRowLastColumn="0" w:lastRowFirstColumn="0" w:lastRowLastColumn="0"/>
              <w:rPr>
                <w:rFonts w:ascii="Calibri" w:hAnsi="Calibri" w:cs="Arial"/>
                <w:color w:val="231F20"/>
                <w:sz w:val="16"/>
                <w:szCs w:val="16"/>
              </w:rPr>
            </w:pPr>
            <w:r w:rsidRPr="00E356B4">
              <w:rPr>
                <w:rFonts w:ascii="Calibri" w:hAnsi="Calibri" w:cs="Arial"/>
                <w:color w:val="231F20"/>
                <w:sz w:val="16"/>
                <w:szCs w:val="16"/>
              </w:rPr>
              <w:t>1,110,700</w:t>
            </w:r>
          </w:p>
        </w:tc>
        <w:tc>
          <w:tcPr>
            <w:tcW w:w="1170" w:type="dxa"/>
            <w:vAlign w:val="center"/>
            <w:hideMark/>
          </w:tcPr>
          <w:p w14:paraId="5C5D2EF9" w14:textId="77777777" w:rsidR="001774A7" w:rsidRPr="00E356B4" w:rsidRDefault="001774A7" w:rsidP="00D63204">
            <w:pPr>
              <w:ind w:firstLineChars="100" w:firstLine="160"/>
              <w:cnfStyle w:val="000000000000" w:firstRow="0" w:lastRow="0" w:firstColumn="0" w:lastColumn="0" w:oddVBand="0" w:evenVBand="0" w:oddHBand="0" w:evenHBand="0" w:firstRowFirstColumn="0" w:firstRowLastColumn="0" w:lastRowFirstColumn="0" w:lastRowLastColumn="0"/>
              <w:rPr>
                <w:rFonts w:ascii="Calibri" w:hAnsi="Calibri" w:cs="Arial"/>
                <w:color w:val="231F20"/>
                <w:sz w:val="16"/>
                <w:szCs w:val="16"/>
              </w:rPr>
            </w:pPr>
            <w:r w:rsidRPr="00E356B4">
              <w:rPr>
                <w:rFonts w:ascii="Calibri" w:hAnsi="Calibri" w:cs="Arial"/>
                <w:color w:val="231F20"/>
                <w:sz w:val="16"/>
                <w:szCs w:val="16"/>
              </w:rPr>
              <w:t>1,111,500</w:t>
            </w:r>
          </w:p>
        </w:tc>
        <w:tc>
          <w:tcPr>
            <w:tcW w:w="1170" w:type="dxa"/>
            <w:vAlign w:val="center"/>
            <w:hideMark/>
          </w:tcPr>
          <w:p w14:paraId="7DDFF86B" w14:textId="77777777" w:rsidR="001774A7" w:rsidRPr="00E356B4" w:rsidRDefault="001774A7" w:rsidP="00D63204">
            <w:pPr>
              <w:ind w:firstLineChars="100" w:firstLine="160"/>
              <w:cnfStyle w:val="000000000000" w:firstRow="0" w:lastRow="0" w:firstColumn="0" w:lastColumn="0" w:oddVBand="0" w:evenVBand="0" w:oddHBand="0" w:evenHBand="0" w:firstRowFirstColumn="0" w:firstRowLastColumn="0" w:lastRowFirstColumn="0" w:lastRowLastColumn="0"/>
              <w:rPr>
                <w:rFonts w:ascii="Calibri" w:hAnsi="Calibri" w:cs="Arial"/>
                <w:color w:val="231F20"/>
                <w:sz w:val="16"/>
                <w:szCs w:val="16"/>
              </w:rPr>
            </w:pPr>
            <w:r w:rsidRPr="00E356B4">
              <w:rPr>
                <w:rFonts w:ascii="Calibri" w:hAnsi="Calibri" w:cs="Arial"/>
                <w:color w:val="231F20"/>
                <w:sz w:val="16"/>
                <w:szCs w:val="16"/>
              </w:rPr>
              <w:t>1,098,500</w:t>
            </w:r>
          </w:p>
        </w:tc>
        <w:tc>
          <w:tcPr>
            <w:tcW w:w="985" w:type="dxa"/>
            <w:vAlign w:val="center"/>
            <w:hideMark/>
          </w:tcPr>
          <w:p w14:paraId="144A2BA4" w14:textId="77777777" w:rsidR="001774A7" w:rsidRPr="00E356B4" w:rsidRDefault="001774A7" w:rsidP="00D63204">
            <w:pPr>
              <w:ind w:firstLineChars="100" w:firstLine="160"/>
              <w:cnfStyle w:val="000000000000" w:firstRow="0" w:lastRow="0" w:firstColumn="0" w:lastColumn="0" w:oddVBand="0" w:evenVBand="0" w:oddHBand="0" w:evenHBand="0" w:firstRowFirstColumn="0" w:firstRowLastColumn="0" w:lastRowFirstColumn="0" w:lastRowLastColumn="0"/>
              <w:rPr>
                <w:rFonts w:ascii="Calibri" w:hAnsi="Calibri" w:cs="Arial"/>
                <w:color w:val="231F20"/>
                <w:sz w:val="16"/>
                <w:szCs w:val="16"/>
              </w:rPr>
            </w:pPr>
            <w:r w:rsidRPr="00E356B4">
              <w:rPr>
                <w:rFonts w:ascii="Calibri" w:hAnsi="Calibri" w:cs="Arial"/>
                <w:color w:val="231F20"/>
                <w:sz w:val="16"/>
                <w:szCs w:val="16"/>
              </w:rPr>
              <w:t>-800</w:t>
            </w:r>
          </w:p>
        </w:tc>
        <w:tc>
          <w:tcPr>
            <w:tcW w:w="899" w:type="dxa"/>
            <w:vAlign w:val="center"/>
            <w:hideMark/>
          </w:tcPr>
          <w:p w14:paraId="7C78F556" w14:textId="77777777" w:rsidR="001774A7" w:rsidRPr="00E356B4" w:rsidRDefault="001774A7" w:rsidP="00D63204">
            <w:pPr>
              <w:ind w:firstLineChars="100" w:firstLine="160"/>
              <w:cnfStyle w:val="000000000000" w:firstRow="0" w:lastRow="0" w:firstColumn="0" w:lastColumn="0" w:oddVBand="0" w:evenVBand="0" w:oddHBand="0" w:evenHBand="0" w:firstRowFirstColumn="0" w:firstRowLastColumn="0" w:lastRowFirstColumn="0" w:lastRowLastColumn="0"/>
              <w:rPr>
                <w:rFonts w:ascii="Calibri" w:hAnsi="Calibri" w:cs="Arial"/>
                <w:color w:val="231F20"/>
                <w:sz w:val="16"/>
                <w:szCs w:val="16"/>
              </w:rPr>
            </w:pPr>
            <w:r w:rsidRPr="00E356B4">
              <w:rPr>
                <w:rFonts w:ascii="Calibri" w:hAnsi="Calibri" w:cs="Arial"/>
                <w:color w:val="231F20"/>
                <w:sz w:val="16"/>
                <w:szCs w:val="16"/>
              </w:rPr>
              <w:t>-0.1</w:t>
            </w:r>
          </w:p>
        </w:tc>
        <w:tc>
          <w:tcPr>
            <w:tcW w:w="927" w:type="dxa"/>
            <w:vAlign w:val="center"/>
            <w:hideMark/>
          </w:tcPr>
          <w:p w14:paraId="4768DE60" w14:textId="77777777" w:rsidR="001774A7" w:rsidRPr="00E356B4" w:rsidRDefault="001774A7" w:rsidP="00D63204">
            <w:pPr>
              <w:ind w:firstLineChars="100" w:firstLine="160"/>
              <w:cnfStyle w:val="000000000000" w:firstRow="0" w:lastRow="0" w:firstColumn="0" w:lastColumn="0" w:oddVBand="0" w:evenVBand="0" w:oddHBand="0" w:evenHBand="0" w:firstRowFirstColumn="0" w:firstRowLastColumn="0" w:lastRowFirstColumn="0" w:lastRowLastColumn="0"/>
              <w:rPr>
                <w:rFonts w:ascii="Calibri" w:hAnsi="Calibri" w:cs="Arial"/>
                <w:color w:val="231F20"/>
                <w:sz w:val="16"/>
                <w:szCs w:val="16"/>
              </w:rPr>
            </w:pPr>
            <w:r w:rsidRPr="00E356B4">
              <w:rPr>
                <w:rFonts w:ascii="Calibri" w:hAnsi="Calibri" w:cs="Arial"/>
                <w:color w:val="231F20"/>
                <w:sz w:val="16"/>
                <w:szCs w:val="16"/>
              </w:rPr>
              <w:t>12,200</w:t>
            </w:r>
          </w:p>
        </w:tc>
        <w:tc>
          <w:tcPr>
            <w:tcW w:w="961" w:type="dxa"/>
            <w:vAlign w:val="center"/>
            <w:hideMark/>
          </w:tcPr>
          <w:p w14:paraId="1D27E5B7" w14:textId="77777777" w:rsidR="001774A7" w:rsidRPr="00E356B4" w:rsidRDefault="001774A7" w:rsidP="00D63204">
            <w:pPr>
              <w:ind w:firstLineChars="100" w:firstLine="160"/>
              <w:cnfStyle w:val="000000000000" w:firstRow="0" w:lastRow="0" w:firstColumn="0" w:lastColumn="0" w:oddVBand="0" w:evenVBand="0" w:oddHBand="0" w:evenHBand="0" w:firstRowFirstColumn="0" w:firstRowLastColumn="0" w:lastRowFirstColumn="0" w:lastRowLastColumn="0"/>
              <w:rPr>
                <w:rFonts w:ascii="Calibri" w:hAnsi="Calibri" w:cs="Arial"/>
                <w:color w:val="231F20"/>
                <w:sz w:val="16"/>
                <w:szCs w:val="16"/>
              </w:rPr>
            </w:pPr>
            <w:r w:rsidRPr="00E356B4">
              <w:rPr>
                <w:rFonts w:ascii="Calibri" w:hAnsi="Calibri" w:cs="Arial"/>
                <w:color w:val="231F20"/>
                <w:sz w:val="16"/>
                <w:szCs w:val="16"/>
              </w:rPr>
              <w:t>1.1</w:t>
            </w:r>
          </w:p>
        </w:tc>
      </w:tr>
      <w:tr w:rsidR="001774A7" w:rsidRPr="00E356B4" w14:paraId="3BE3C503" w14:textId="77777777" w:rsidTr="00CF3FD3">
        <w:trPr>
          <w:cnfStyle w:val="000000100000" w:firstRow="0" w:lastRow="0" w:firstColumn="0" w:lastColumn="0" w:oddVBand="0" w:evenVBand="0" w:oddHBand="1" w:evenHBand="0" w:firstRowFirstColumn="0" w:firstRowLastColumn="0" w:lastRowFirstColumn="0" w:lastRowLastColumn="0"/>
          <w:trHeight w:hRule="exact" w:val="264"/>
        </w:trPr>
        <w:tc>
          <w:tcPr>
            <w:cnfStyle w:val="001000000000" w:firstRow="0" w:lastRow="0" w:firstColumn="1" w:lastColumn="0" w:oddVBand="0" w:evenVBand="0" w:oddHBand="0" w:evenHBand="0" w:firstRowFirstColumn="0" w:firstRowLastColumn="0" w:lastRowFirstColumn="0" w:lastRowLastColumn="0"/>
            <w:tcW w:w="3330" w:type="dxa"/>
            <w:vAlign w:val="center"/>
            <w:hideMark/>
          </w:tcPr>
          <w:p w14:paraId="21103530" w14:textId="77777777" w:rsidR="001774A7" w:rsidRPr="00CF3FD3" w:rsidRDefault="001774A7" w:rsidP="001774A7">
            <w:pPr>
              <w:ind w:firstLineChars="100" w:firstLine="160"/>
              <w:rPr>
                <w:rFonts w:ascii="Calibri" w:hAnsi="Calibri" w:cs="Arial"/>
                <w:b w:val="0"/>
                <w:color w:val="231F20"/>
                <w:sz w:val="16"/>
                <w:szCs w:val="16"/>
              </w:rPr>
            </w:pPr>
            <w:r w:rsidRPr="00CF3FD3">
              <w:rPr>
                <w:rFonts w:ascii="Calibri" w:hAnsi="Calibri" w:cs="Arial"/>
                <w:b w:val="0"/>
                <w:color w:val="231F20"/>
                <w:sz w:val="16"/>
                <w:szCs w:val="16"/>
              </w:rPr>
              <w:t>Federal</w:t>
            </w:r>
          </w:p>
        </w:tc>
        <w:tc>
          <w:tcPr>
            <w:tcW w:w="1170" w:type="dxa"/>
            <w:vAlign w:val="center"/>
            <w:hideMark/>
          </w:tcPr>
          <w:p w14:paraId="05D5294A" w14:textId="77777777" w:rsidR="001774A7" w:rsidRPr="00E356B4" w:rsidRDefault="001774A7" w:rsidP="00D63204">
            <w:pPr>
              <w:ind w:firstLineChars="100" w:firstLine="160"/>
              <w:cnfStyle w:val="000000100000" w:firstRow="0" w:lastRow="0" w:firstColumn="0" w:lastColumn="0" w:oddVBand="0" w:evenVBand="0" w:oddHBand="1" w:evenHBand="0" w:firstRowFirstColumn="0" w:firstRowLastColumn="0" w:lastRowFirstColumn="0" w:lastRowLastColumn="0"/>
              <w:rPr>
                <w:rFonts w:ascii="Calibri" w:hAnsi="Calibri" w:cs="Arial"/>
                <w:color w:val="231F20"/>
                <w:sz w:val="16"/>
                <w:szCs w:val="16"/>
              </w:rPr>
            </w:pPr>
            <w:r w:rsidRPr="00E356B4">
              <w:rPr>
                <w:rFonts w:ascii="Calibri" w:hAnsi="Calibri" w:cs="Arial"/>
                <w:color w:val="231F20"/>
                <w:sz w:val="16"/>
                <w:szCs w:val="16"/>
              </w:rPr>
              <w:t>139,100</w:t>
            </w:r>
          </w:p>
        </w:tc>
        <w:tc>
          <w:tcPr>
            <w:tcW w:w="1170" w:type="dxa"/>
            <w:vAlign w:val="center"/>
            <w:hideMark/>
          </w:tcPr>
          <w:p w14:paraId="5D9DADDC" w14:textId="77777777" w:rsidR="001774A7" w:rsidRPr="00E356B4" w:rsidRDefault="001774A7" w:rsidP="00D63204">
            <w:pPr>
              <w:ind w:firstLineChars="100" w:firstLine="160"/>
              <w:cnfStyle w:val="000000100000" w:firstRow="0" w:lastRow="0" w:firstColumn="0" w:lastColumn="0" w:oddVBand="0" w:evenVBand="0" w:oddHBand="1" w:evenHBand="0" w:firstRowFirstColumn="0" w:firstRowLastColumn="0" w:lastRowFirstColumn="0" w:lastRowLastColumn="0"/>
              <w:rPr>
                <w:rFonts w:ascii="Calibri" w:hAnsi="Calibri" w:cs="Arial"/>
                <w:color w:val="231F20"/>
                <w:sz w:val="16"/>
                <w:szCs w:val="16"/>
              </w:rPr>
            </w:pPr>
            <w:r w:rsidRPr="00E356B4">
              <w:rPr>
                <w:rFonts w:ascii="Calibri" w:hAnsi="Calibri" w:cs="Arial"/>
                <w:color w:val="231F20"/>
                <w:sz w:val="16"/>
                <w:szCs w:val="16"/>
              </w:rPr>
              <w:t>139,800</w:t>
            </w:r>
          </w:p>
        </w:tc>
        <w:tc>
          <w:tcPr>
            <w:tcW w:w="1170" w:type="dxa"/>
            <w:vAlign w:val="center"/>
            <w:hideMark/>
          </w:tcPr>
          <w:p w14:paraId="0523B0AF" w14:textId="77777777" w:rsidR="001774A7" w:rsidRPr="00E356B4" w:rsidRDefault="001774A7" w:rsidP="00D63204">
            <w:pPr>
              <w:ind w:firstLineChars="100" w:firstLine="160"/>
              <w:cnfStyle w:val="000000100000" w:firstRow="0" w:lastRow="0" w:firstColumn="0" w:lastColumn="0" w:oddVBand="0" w:evenVBand="0" w:oddHBand="1" w:evenHBand="0" w:firstRowFirstColumn="0" w:firstRowLastColumn="0" w:lastRowFirstColumn="0" w:lastRowLastColumn="0"/>
              <w:rPr>
                <w:rFonts w:ascii="Calibri" w:hAnsi="Calibri" w:cs="Arial"/>
                <w:color w:val="231F20"/>
                <w:sz w:val="16"/>
                <w:szCs w:val="16"/>
              </w:rPr>
            </w:pPr>
            <w:r w:rsidRPr="00E356B4">
              <w:rPr>
                <w:rFonts w:ascii="Calibri" w:hAnsi="Calibri" w:cs="Arial"/>
                <w:color w:val="231F20"/>
                <w:sz w:val="16"/>
                <w:szCs w:val="16"/>
              </w:rPr>
              <w:t>138,700</w:t>
            </w:r>
          </w:p>
        </w:tc>
        <w:tc>
          <w:tcPr>
            <w:tcW w:w="985" w:type="dxa"/>
            <w:vAlign w:val="center"/>
            <w:hideMark/>
          </w:tcPr>
          <w:p w14:paraId="453DE24C" w14:textId="77777777" w:rsidR="001774A7" w:rsidRPr="00E356B4" w:rsidRDefault="001774A7" w:rsidP="00D63204">
            <w:pPr>
              <w:ind w:firstLineChars="100" w:firstLine="160"/>
              <w:cnfStyle w:val="000000100000" w:firstRow="0" w:lastRow="0" w:firstColumn="0" w:lastColumn="0" w:oddVBand="0" w:evenVBand="0" w:oddHBand="1" w:evenHBand="0" w:firstRowFirstColumn="0" w:firstRowLastColumn="0" w:lastRowFirstColumn="0" w:lastRowLastColumn="0"/>
              <w:rPr>
                <w:rFonts w:ascii="Calibri" w:hAnsi="Calibri" w:cs="Arial"/>
                <w:color w:val="231F20"/>
                <w:sz w:val="16"/>
                <w:szCs w:val="16"/>
              </w:rPr>
            </w:pPr>
            <w:r w:rsidRPr="00E356B4">
              <w:rPr>
                <w:rFonts w:ascii="Calibri" w:hAnsi="Calibri" w:cs="Arial"/>
                <w:color w:val="231F20"/>
                <w:sz w:val="16"/>
                <w:szCs w:val="16"/>
              </w:rPr>
              <w:t>-700</w:t>
            </w:r>
          </w:p>
        </w:tc>
        <w:tc>
          <w:tcPr>
            <w:tcW w:w="899" w:type="dxa"/>
            <w:vAlign w:val="center"/>
            <w:hideMark/>
          </w:tcPr>
          <w:p w14:paraId="721F4457" w14:textId="77777777" w:rsidR="001774A7" w:rsidRPr="00E356B4" w:rsidRDefault="001774A7" w:rsidP="00D63204">
            <w:pPr>
              <w:ind w:firstLineChars="100" w:firstLine="160"/>
              <w:cnfStyle w:val="000000100000" w:firstRow="0" w:lastRow="0" w:firstColumn="0" w:lastColumn="0" w:oddVBand="0" w:evenVBand="0" w:oddHBand="1" w:evenHBand="0" w:firstRowFirstColumn="0" w:firstRowLastColumn="0" w:lastRowFirstColumn="0" w:lastRowLastColumn="0"/>
              <w:rPr>
                <w:rFonts w:ascii="Calibri" w:hAnsi="Calibri" w:cs="Arial"/>
                <w:color w:val="231F20"/>
                <w:sz w:val="16"/>
                <w:szCs w:val="16"/>
              </w:rPr>
            </w:pPr>
            <w:r w:rsidRPr="00E356B4">
              <w:rPr>
                <w:rFonts w:ascii="Calibri" w:hAnsi="Calibri" w:cs="Arial"/>
                <w:color w:val="231F20"/>
                <w:sz w:val="16"/>
                <w:szCs w:val="16"/>
              </w:rPr>
              <w:t>-0.5</w:t>
            </w:r>
          </w:p>
        </w:tc>
        <w:tc>
          <w:tcPr>
            <w:tcW w:w="927" w:type="dxa"/>
            <w:vAlign w:val="center"/>
            <w:hideMark/>
          </w:tcPr>
          <w:p w14:paraId="348DA96E" w14:textId="77777777" w:rsidR="001774A7" w:rsidRPr="00E356B4" w:rsidRDefault="001774A7" w:rsidP="00D63204">
            <w:pPr>
              <w:ind w:firstLineChars="100" w:firstLine="160"/>
              <w:cnfStyle w:val="000000100000" w:firstRow="0" w:lastRow="0" w:firstColumn="0" w:lastColumn="0" w:oddVBand="0" w:evenVBand="0" w:oddHBand="1" w:evenHBand="0" w:firstRowFirstColumn="0" w:firstRowLastColumn="0" w:lastRowFirstColumn="0" w:lastRowLastColumn="0"/>
              <w:rPr>
                <w:rFonts w:ascii="Calibri" w:hAnsi="Calibri" w:cs="Arial"/>
                <w:color w:val="231F20"/>
                <w:sz w:val="16"/>
                <w:szCs w:val="16"/>
              </w:rPr>
            </w:pPr>
            <w:r w:rsidRPr="00E356B4">
              <w:rPr>
                <w:rFonts w:ascii="Calibri" w:hAnsi="Calibri" w:cs="Arial"/>
                <w:color w:val="231F20"/>
                <w:sz w:val="16"/>
                <w:szCs w:val="16"/>
              </w:rPr>
              <w:t>400</w:t>
            </w:r>
          </w:p>
        </w:tc>
        <w:tc>
          <w:tcPr>
            <w:tcW w:w="961" w:type="dxa"/>
            <w:vAlign w:val="center"/>
            <w:hideMark/>
          </w:tcPr>
          <w:p w14:paraId="39A9A320" w14:textId="77777777" w:rsidR="001774A7" w:rsidRPr="00E356B4" w:rsidRDefault="001774A7" w:rsidP="00D63204">
            <w:pPr>
              <w:ind w:firstLineChars="100" w:firstLine="160"/>
              <w:cnfStyle w:val="000000100000" w:firstRow="0" w:lastRow="0" w:firstColumn="0" w:lastColumn="0" w:oddVBand="0" w:evenVBand="0" w:oddHBand="1" w:evenHBand="0" w:firstRowFirstColumn="0" w:firstRowLastColumn="0" w:lastRowFirstColumn="0" w:lastRowLastColumn="0"/>
              <w:rPr>
                <w:rFonts w:ascii="Calibri" w:hAnsi="Calibri" w:cs="Arial"/>
                <w:color w:val="231F20"/>
                <w:sz w:val="16"/>
                <w:szCs w:val="16"/>
              </w:rPr>
            </w:pPr>
            <w:r w:rsidRPr="00E356B4">
              <w:rPr>
                <w:rFonts w:ascii="Calibri" w:hAnsi="Calibri" w:cs="Arial"/>
                <w:color w:val="231F20"/>
                <w:sz w:val="16"/>
                <w:szCs w:val="16"/>
              </w:rPr>
              <w:t>0.3</w:t>
            </w:r>
          </w:p>
        </w:tc>
      </w:tr>
      <w:tr w:rsidR="001774A7" w:rsidRPr="00E356B4" w14:paraId="30E7A1FB" w14:textId="77777777" w:rsidTr="00CF3FD3">
        <w:trPr>
          <w:trHeight w:hRule="exact" w:val="264"/>
        </w:trPr>
        <w:tc>
          <w:tcPr>
            <w:cnfStyle w:val="001000000000" w:firstRow="0" w:lastRow="0" w:firstColumn="1" w:lastColumn="0" w:oddVBand="0" w:evenVBand="0" w:oddHBand="0" w:evenHBand="0" w:firstRowFirstColumn="0" w:firstRowLastColumn="0" w:lastRowFirstColumn="0" w:lastRowLastColumn="0"/>
            <w:tcW w:w="3330" w:type="dxa"/>
            <w:vAlign w:val="center"/>
            <w:hideMark/>
          </w:tcPr>
          <w:p w14:paraId="2C09DB62" w14:textId="77777777" w:rsidR="001774A7" w:rsidRPr="00CF3FD3" w:rsidRDefault="001774A7" w:rsidP="001774A7">
            <w:pPr>
              <w:ind w:firstLineChars="100" w:firstLine="160"/>
              <w:rPr>
                <w:rFonts w:ascii="Calibri" w:hAnsi="Calibri" w:cs="Arial"/>
                <w:b w:val="0"/>
                <w:color w:val="231F20"/>
                <w:sz w:val="16"/>
                <w:szCs w:val="16"/>
              </w:rPr>
            </w:pPr>
            <w:r w:rsidRPr="00CF3FD3">
              <w:rPr>
                <w:rFonts w:ascii="Calibri" w:hAnsi="Calibri" w:cs="Arial"/>
                <w:b w:val="0"/>
                <w:color w:val="231F20"/>
                <w:sz w:val="16"/>
                <w:szCs w:val="16"/>
              </w:rPr>
              <w:t>State</w:t>
            </w:r>
          </w:p>
        </w:tc>
        <w:tc>
          <w:tcPr>
            <w:tcW w:w="1170" w:type="dxa"/>
            <w:vAlign w:val="center"/>
            <w:hideMark/>
          </w:tcPr>
          <w:p w14:paraId="11320988" w14:textId="77777777" w:rsidR="001774A7" w:rsidRPr="00E356B4" w:rsidRDefault="001774A7" w:rsidP="00D63204">
            <w:pPr>
              <w:ind w:firstLineChars="100" w:firstLine="160"/>
              <w:cnfStyle w:val="000000000000" w:firstRow="0" w:lastRow="0" w:firstColumn="0" w:lastColumn="0" w:oddVBand="0" w:evenVBand="0" w:oddHBand="0" w:evenHBand="0" w:firstRowFirstColumn="0" w:firstRowLastColumn="0" w:lastRowFirstColumn="0" w:lastRowLastColumn="0"/>
              <w:rPr>
                <w:rFonts w:ascii="Calibri" w:hAnsi="Calibri" w:cs="Arial"/>
                <w:color w:val="231F20"/>
                <w:sz w:val="16"/>
                <w:szCs w:val="16"/>
              </w:rPr>
            </w:pPr>
            <w:r w:rsidRPr="00E356B4">
              <w:rPr>
                <w:rFonts w:ascii="Calibri" w:hAnsi="Calibri" w:cs="Arial"/>
                <w:color w:val="231F20"/>
                <w:sz w:val="16"/>
                <w:szCs w:val="16"/>
              </w:rPr>
              <w:t>212,300</w:t>
            </w:r>
          </w:p>
        </w:tc>
        <w:tc>
          <w:tcPr>
            <w:tcW w:w="1170" w:type="dxa"/>
            <w:vAlign w:val="center"/>
            <w:hideMark/>
          </w:tcPr>
          <w:p w14:paraId="47A47275" w14:textId="77777777" w:rsidR="001774A7" w:rsidRPr="00E356B4" w:rsidRDefault="001774A7" w:rsidP="00D63204">
            <w:pPr>
              <w:ind w:firstLineChars="100" w:firstLine="160"/>
              <w:cnfStyle w:val="000000000000" w:firstRow="0" w:lastRow="0" w:firstColumn="0" w:lastColumn="0" w:oddVBand="0" w:evenVBand="0" w:oddHBand="0" w:evenHBand="0" w:firstRowFirstColumn="0" w:firstRowLastColumn="0" w:lastRowFirstColumn="0" w:lastRowLastColumn="0"/>
              <w:rPr>
                <w:rFonts w:ascii="Calibri" w:hAnsi="Calibri" w:cs="Arial"/>
                <w:color w:val="231F20"/>
                <w:sz w:val="16"/>
                <w:szCs w:val="16"/>
              </w:rPr>
            </w:pPr>
            <w:r w:rsidRPr="00E356B4">
              <w:rPr>
                <w:rFonts w:ascii="Calibri" w:hAnsi="Calibri" w:cs="Arial"/>
                <w:color w:val="231F20"/>
                <w:sz w:val="16"/>
                <w:szCs w:val="16"/>
              </w:rPr>
              <w:t>212,600</w:t>
            </w:r>
          </w:p>
        </w:tc>
        <w:tc>
          <w:tcPr>
            <w:tcW w:w="1170" w:type="dxa"/>
            <w:vAlign w:val="center"/>
            <w:hideMark/>
          </w:tcPr>
          <w:p w14:paraId="0AC7DA5C" w14:textId="77777777" w:rsidR="001774A7" w:rsidRPr="00E356B4" w:rsidRDefault="001774A7" w:rsidP="00D63204">
            <w:pPr>
              <w:ind w:firstLineChars="100" w:firstLine="160"/>
              <w:cnfStyle w:val="000000000000" w:firstRow="0" w:lastRow="0" w:firstColumn="0" w:lastColumn="0" w:oddVBand="0" w:evenVBand="0" w:oddHBand="0" w:evenHBand="0" w:firstRowFirstColumn="0" w:firstRowLastColumn="0" w:lastRowFirstColumn="0" w:lastRowLastColumn="0"/>
              <w:rPr>
                <w:rFonts w:ascii="Calibri" w:hAnsi="Calibri" w:cs="Arial"/>
                <w:color w:val="231F20"/>
                <w:sz w:val="16"/>
                <w:szCs w:val="16"/>
              </w:rPr>
            </w:pPr>
            <w:r w:rsidRPr="00E356B4">
              <w:rPr>
                <w:rFonts w:ascii="Calibri" w:hAnsi="Calibri" w:cs="Arial"/>
                <w:color w:val="231F20"/>
                <w:sz w:val="16"/>
                <w:szCs w:val="16"/>
              </w:rPr>
              <w:t>212,500</w:t>
            </w:r>
          </w:p>
        </w:tc>
        <w:tc>
          <w:tcPr>
            <w:tcW w:w="985" w:type="dxa"/>
            <w:vAlign w:val="center"/>
            <w:hideMark/>
          </w:tcPr>
          <w:p w14:paraId="3010A575" w14:textId="77777777" w:rsidR="001774A7" w:rsidRPr="00E356B4" w:rsidRDefault="001774A7" w:rsidP="00D63204">
            <w:pPr>
              <w:ind w:firstLineChars="100" w:firstLine="160"/>
              <w:cnfStyle w:val="000000000000" w:firstRow="0" w:lastRow="0" w:firstColumn="0" w:lastColumn="0" w:oddVBand="0" w:evenVBand="0" w:oddHBand="0" w:evenHBand="0" w:firstRowFirstColumn="0" w:firstRowLastColumn="0" w:lastRowFirstColumn="0" w:lastRowLastColumn="0"/>
              <w:rPr>
                <w:rFonts w:ascii="Calibri" w:hAnsi="Calibri" w:cs="Arial"/>
                <w:color w:val="231F20"/>
                <w:sz w:val="16"/>
                <w:szCs w:val="16"/>
              </w:rPr>
            </w:pPr>
            <w:r w:rsidRPr="00E356B4">
              <w:rPr>
                <w:rFonts w:ascii="Calibri" w:hAnsi="Calibri" w:cs="Arial"/>
                <w:color w:val="231F20"/>
                <w:sz w:val="16"/>
                <w:szCs w:val="16"/>
              </w:rPr>
              <w:t>-300</w:t>
            </w:r>
          </w:p>
        </w:tc>
        <w:tc>
          <w:tcPr>
            <w:tcW w:w="899" w:type="dxa"/>
            <w:vAlign w:val="center"/>
            <w:hideMark/>
          </w:tcPr>
          <w:p w14:paraId="09A84F86" w14:textId="77777777" w:rsidR="001774A7" w:rsidRPr="00E356B4" w:rsidRDefault="001774A7" w:rsidP="00D63204">
            <w:pPr>
              <w:ind w:firstLineChars="100" w:firstLine="160"/>
              <w:cnfStyle w:val="000000000000" w:firstRow="0" w:lastRow="0" w:firstColumn="0" w:lastColumn="0" w:oddVBand="0" w:evenVBand="0" w:oddHBand="0" w:evenHBand="0" w:firstRowFirstColumn="0" w:firstRowLastColumn="0" w:lastRowFirstColumn="0" w:lastRowLastColumn="0"/>
              <w:rPr>
                <w:rFonts w:ascii="Calibri" w:hAnsi="Calibri" w:cs="Arial"/>
                <w:color w:val="231F20"/>
                <w:sz w:val="16"/>
                <w:szCs w:val="16"/>
              </w:rPr>
            </w:pPr>
            <w:r w:rsidRPr="00E356B4">
              <w:rPr>
                <w:rFonts w:ascii="Calibri" w:hAnsi="Calibri" w:cs="Arial"/>
                <w:color w:val="231F20"/>
                <w:sz w:val="16"/>
                <w:szCs w:val="16"/>
              </w:rPr>
              <w:t>-0.1</w:t>
            </w:r>
          </w:p>
        </w:tc>
        <w:tc>
          <w:tcPr>
            <w:tcW w:w="927" w:type="dxa"/>
            <w:vAlign w:val="center"/>
            <w:hideMark/>
          </w:tcPr>
          <w:p w14:paraId="18FF8F3D" w14:textId="77777777" w:rsidR="001774A7" w:rsidRPr="00E356B4" w:rsidRDefault="001774A7" w:rsidP="00D63204">
            <w:pPr>
              <w:ind w:firstLineChars="100" w:firstLine="160"/>
              <w:cnfStyle w:val="000000000000" w:firstRow="0" w:lastRow="0" w:firstColumn="0" w:lastColumn="0" w:oddVBand="0" w:evenVBand="0" w:oddHBand="0" w:evenHBand="0" w:firstRowFirstColumn="0" w:firstRowLastColumn="0" w:lastRowFirstColumn="0" w:lastRowLastColumn="0"/>
              <w:rPr>
                <w:rFonts w:ascii="Calibri" w:hAnsi="Calibri" w:cs="Arial"/>
                <w:color w:val="231F20"/>
                <w:sz w:val="16"/>
                <w:szCs w:val="16"/>
              </w:rPr>
            </w:pPr>
            <w:r w:rsidRPr="00E356B4">
              <w:rPr>
                <w:rFonts w:ascii="Calibri" w:hAnsi="Calibri" w:cs="Arial"/>
                <w:color w:val="231F20"/>
                <w:sz w:val="16"/>
                <w:szCs w:val="16"/>
              </w:rPr>
              <w:t>-200</w:t>
            </w:r>
          </w:p>
        </w:tc>
        <w:tc>
          <w:tcPr>
            <w:tcW w:w="961" w:type="dxa"/>
            <w:vAlign w:val="center"/>
            <w:hideMark/>
          </w:tcPr>
          <w:p w14:paraId="1F26DC8C" w14:textId="77777777" w:rsidR="001774A7" w:rsidRPr="00E356B4" w:rsidRDefault="001774A7" w:rsidP="00D63204">
            <w:pPr>
              <w:ind w:firstLineChars="100" w:firstLine="160"/>
              <w:cnfStyle w:val="000000000000" w:firstRow="0" w:lastRow="0" w:firstColumn="0" w:lastColumn="0" w:oddVBand="0" w:evenVBand="0" w:oddHBand="0" w:evenHBand="0" w:firstRowFirstColumn="0" w:firstRowLastColumn="0" w:lastRowFirstColumn="0" w:lastRowLastColumn="0"/>
              <w:rPr>
                <w:rFonts w:ascii="Calibri" w:hAnsi="Calibri" w:cs="Arial"/>
                <w:color w:val="231F20"/>
                <w:sz w:val="16"/>
                <w:szCs w:val="16"/>
              </w:rPr>
            </w:pPr>
            <w:r w:rsidRPr="00E356B4">
              <w:rPr>
                <w:rFonts w:ascii="Calibri" w:hAnsi="Calibri" w:cs="Arial"/>
                <w:color w:val="231F20"/>
                <w:sz w:val="16"/>
                <w:szCs w:val="16"/>
              </w:rPr>
              <w:t>-0.1</w:t>
            </w:r>
          </w:p>
        </w:tc>
      </w:tr>
      <w:tr w:rsidR="001774A7" w:rsidRPr="00E356B4" w14:paraId="7569BEF8" w14:textId="77777777" w:rsidTr="00CF3FD3">
        <w:trPr>
          <w:cnfStyle w:val="000000100000" w:firstRow="0" w:lastRow="0" w:firstColumn="0" w:lastColumn="0" w:oddVBand="0" w:evenVBand="0" w:oddHBand="1" w:evenHBand="0" w:firstRowFirstColumn="0" w:firstRowLastColumn="0" w:lastRowFirstColumn="0" w:lastRowLastColumn="0"/>
          <w:trHeight w:hRule="exact" w:val="264"/>
        </w:trPr>
        <w:tc>
          <w:tcPr>
            <w:cnfStyle w:val="001000000000" w:firstRow="0" w:lastRow="0" w:firstColumn="1" w:lastColumn="0" w:oddVBand="0" w:evenVBand="0" w:oddHBand="0" w:evenHBand="0" w:firstRowFirstColumn="0" w:firstRowLastColumn="0" w:lastRowFirstColumn="0" w:lastRowLastColumn="0"/>
            <w:tcW w:w="3330" w:type="dxa"/>
            <w:vAlign w:val="center"/>
            <w:hideMark/>
          </w:tcPr>
          <w:p w14:paraId="413DD9B9" w14:textId="77777777" w:rsidR="001774A7" w:rsidRPr="00CF3FD3" w:rsidRDefault="001774A7" w:rsidP="001774A7">
            <w:pPr>
              <w:ind w:firstLineChars="100" w:firstLine="160"/>
              <w:rPr>
                <w:rFonts w:ascii="Calibri" w:hAnsi="Calibri" w:cs="Arial"/>
                <w:b w:val="0"/>
                <w:color w:val="231F20"/>
                <w:sz w:val="16"/>
                <w:szCs w:val="16"/>
              </w:rPr>
            </w:pPr>
            <w:r w:rsidRPr="00CF3FD3">
              <w:rPr>
                <w:rFonts w:ascii="Calibri" w:hAnsi="Calibri" w:cs="Arial"/>
                <w:b w:val="0"/>
                <w:color w:val="231F20"/>
                <w:sz w:val="16"/>
                <w:szCs w:val="16"/>
              </w:rPr>
              <w:t>Local</w:t>
            </w:r>
          </w:p>
        </w:tc>
        <w:tc>
          <w:tcPr>
            <w:tcW w:w="1170" w:type="dxa"/>
            <w:vAlign w:val="center"/>
            <w:hideMark/>
          </w:tcPr>
          <w:p w14:paraId="7CD6693E" w14:textId="77777777" w:rsidR="001774A7" w:rsidRPr="00E356B4" w:rsidRDefault="001774A7" w:rsidP="00D63204">
            <w:pPr>
              <w:ind w:firstLineChars="100" w:firstLine="160"/>
              <w:cnfStyle w:val="000000100000" w:firstRow="0" w:lastRow="0" w:firstColumn="0" w:lastColumn="0" w:oddVBand="0" w:evenVBand="0" w:oddHBand="1" w:evenHBand="0" w:firstRowFirstColumn="0" w:firstRowLastColumn="0" w:lastRowFirstColumn="0" w:lastRowLastColumn="0"/>
              <w:rPr>
                <w:rFonts w:ascii="Calibri" w:hAnsi="Calibri" w:cs="Arial"/>
                <w:color w:val="231F20"/>
                <w:sz w:val="16"/>
                <w:szCs w:val="16"/>
              </w:rPr>
            </w:pPr>
            <w:r w:rsidRPr="00E356B4">
              <w:rPr>
                <w:rFonts w:ascii="Calibri" w:hAnsi="Calibri" w:cs="Arial"/>
                <w:color w:val="231F20"/>
                <w:sz w:val="16"/>
                <w:szCs w:val="16"/>
              </w:rPr>
              <w:t>759,300</w:t>
            </w:r>
          </w:p>
        </w:tc>
        <w:tc>
          <w:tcPr>
            <w:tcW w:w="1170" w:type="dxa"/>
            <w:vAlign w:val="center"/>
            <w:hideMark/>
          </w:tcPr>
          <w:p w14:paraId="489063F6" w14:textId="77777777" w:rsidR="001774A7" w:rsidRPr="00E356B4" w:rsidRDefault="001774A7" w:rsidP="00D63204">
            <w:pPr>
              <w:ind w:firstLineChars="100" w:firstLine="160"/>
              <w:cnfStyle w:val="000000100000" w:firstRow="0" w:lastRow="0" w:firstColumn="0" w:lastColumn="0" w:oddVBand="0" w:evenVBand="0" w:oddHBand="1" w:evenHBand="0" w:firstRowFirstColumn="0" w:firstRowLastColumn="0" w:lastRowFirstColumn="0" w:lastRowLastColumn="0"/>
              <w:rPr>
                <w:rFonts w:ascii="Calibri" w:hAnsi="Calibri" w:cs="Arial"/>
                <w:color w:val="231F20"/>
                <w:sz w:val="16"/>
                <w:szCs w:val="16"/>
              </w:rPr>
            </w:pPr>
            <w:r w:rsidRPr="00E356B4">
              <w:rPr>
                <w:rFonts w:ascii="Calibri" w:hAnsi="Calibri" w:cs="Arial"/>
                <w:color w:val="231F20"/>
                <w:sz w:val="16"/>
                <w:szCs w:val="16"/>
              </w:rPr>
              <w:t>759,100</w:t>
            </w:r>
          </w:p>
        </w:tc>
        <w:tc>
          <w:tcPr>
            <w:tcW w:w="1170" w:type="dxa"/>
            <w:vAlign w:val="center"/>
            <w:hideMark/>
          </w:tcPr>
          <w:p w14:paraId="6657B8B2" w14:textId="77777777" w:rsidR="001774A7" w:rsidRPr="00E356B4" w:rsidRDefault="001774A7" w:rsidP="00D63204">
            <w:pPr>
              <w:ind w:firstLineChars="100" w:firstLine="160"/>
              <w:cnfStyle w:val="000000100000" w:firstRow="0" w:lastRow="0" w:firstColumn="0" w:lastColumn="0" w:oddVBand="0" w:evenVBand="0" w:oddHBand="1" w:evenHBand="0" w:firstRowFirstColumn="0" w:firstRowLastColumn="0" w:lastRowFirstColumn="0" w:lastRowLastColumn="0"/>
              <w:rPr>
                <w:rFonts w:ascii="Calibri" w:hAnsi="Calibri" w:cs="Arial"/>
                <w:color w:val="231F20"/>
                <w:sz w:val="16"/>
                <w:szCs w:val="16"/>
              </w:rPr>
            </w:pPr>
            <w:r w:rsidRPr="00E356B4">
              <w:rPr>
                <w:rFonts w:ascii="Calibri" w:hAnsi="Calibri" w:cs="Arial"/>
                <w:color w:val="231F20"/>
                <w:sz w:val="16"/>
                <w:szCs w:val="16"/>
              </w:rPr>
              <w:t>747,300</w:t>
            </w:r>
          </w:p>
        </w:tc>
        <w:tc>
          <w:tcPr>
            <w:tcW w:w="985" w:type="dxa"/>
            <w:vAlign w:val="center"/>
            <w:hideMark/>
          </w:tcPr>
          <w:p w14:paraId="4E5566D2" w14:textId="77777777" w:rsidR="001774A7" w:rsidRPr="00E356B4" w:rsidRDefault="001774A7" w:rsidP="00D63204">
            <w:pPr>
              <w:ind w:firstLineChars="100" w:firstLine="160"/>
              <w:cnfStyle w:val="000000100000" w:firstRow="0" w:lastRow="0" w:firstColumn="0" w:lastColumn="0" w:oddVBand="0" w:evenVBand="0" w:oddHBand="1" w:evenHBand="0" w:firstRowFirstColumn="0" w:firstRowLastColumn="0" w:lastRowFirstColumn="0" w:lastRowLastColumn="0"/>
              <w:rPr>
                <w:rFonts w:ascii="Calibri" w:hAnsi="Calibri" w:cs="Arial"/>
                <w:color w:val="231F20"/>
                <w:sz w:val="16"/>
                <w:szCs w:val="16"/>
              </w:rPr>
            </w:pPr>
            <w:r w:rsidRPr="00E356B4">
              <w:rPr>
                <w:rFonts w:ascii="Calibri" w:hAnsi="Calibri" w:cs="Arial"/>
                <w:color w:val="231F20"/>
                <w:sz w:val="16"/>
                <w:szCs w:val="16"/>
              </w:rPr>
              <w:t>200</w:t>
            </w:r>
          </w:p>
        </w:tc>
        <w:tc>
          <w:tcPr>
            <w:tcW w:w="899" w:type="dxa"/>
            <w:vAlign w:val="center"/>
            <w:hideMark/>
          </w:tcPr>
          <w:p w14:paraId="3D565E2E" w14:textId="46EB43D6" w:rsidR="001774A7" w:rsidRPr="00E356B4" w:rsidRDefault="001774A7" w:rsidP="00D63204">
            <w:pPr>
              <w:ind w:firstLineChars="100" w:firstLine="160"/>
              <w:cnfStyle w:val="000000100000" w:firstRow="0" w:lastRow="0" w:firstColumn="0" w:lastColumn="0" w:oddVBand="0" w:evenVBand="0" w:oddHBand="1" w:evenHBand="0" w:firstRowFirstColumn="0" w:firstRowLastColumn="0" w:lastRowFirstColumn="0" w:lastRowLastColumn="0"/>
              <w:rPr>
                <w:rFonts w:ascii="Calibri" w:hAnsi="Calibri" w:cs="Arial"/>
                <w:color w:val="231F20"/>
                <w:sz w:val="16"/>
                <w:szCs w:val="16"/>
              </w:rPr>
            </w:pPr>
            <w:r w:rsidRPr="00E356B4">
              <w:rPr>
                <w:rFonts w:ascii="Calibri" w:hAnsi="Calibri" w:cs="Arial"/>
                <w:color w:val="231F20"/>
                <w:sz w:val="16"/>
                <w:szCs w:val="16"/>
              </w:rPr>
              <w:t>*</w:t>
            </w:r>
          </w:p>
        </w:tc>
        <w:tc>
          <w:tcPr>
            <w:tcW w:w="927" w:type="dxa"/>
            <w:vAlign w:val="center"/>
            <w:hideMark/>
          </w:tcPr>
          <w:p w14:paraId="3567E706" w14:textId="77777777" w:rsidR="001774A7" w:rsidRPr="00E356B4" w:rsidRDefault="001774A7" w:rsidP="00D63204">
            <w:pPr>
              <w:ind w:firstLineChars="100" w:firstLine="160"/>
              <w:cnfStyle w:val="000000100000" w:firstRow="0" w:lastRow="0" w:firstColumn="0" w:lastColumn="0" w:oddVBand="0" w:evenVBand="0" w:oddHBand="1" w:evenHBand="0" w:firstRowFirstColumn="0" w:firstRowLastColumn="0" w:lastRowFirstColumn="0" w:lastRowLastColumn="0"/>
              <w:rPr>
                <w:rFonts w:ascii="Calibri" w:hAnsi="Calibri" w:cs="Arial"/>
                <w:color w:val="231F20"/>
                <w:sz w:val="16"/>
                <w:szCs w:val="16"/>
              </w:rPr>
            </w:pPr>
            <w:r w:rsidRPr="00E356B4">
              <w:rPr>
                <w:rFonts w:ascii="Calibri" w:hAnsi="Calibri" w:cs="Arial"/>
                <w:color w:val="231F20"/>
                <w:sz w:val="16"/>
                <w:szCs w:val="16"/>
              </w:rPr>
              <w:t>12,000</w:t>
            </w:r>
          </w:p>
        </w:tc>
        <w:tc>
          <w:tcPr>
            <w:tcW w:w="961" w:type="dxa"/>
            <w:vAlign w:val="center"/>
            <w:hideMark/>
          </w:tcPr>
          <w:p w14:paraId="6E16A2A0" w14:textId="77777777" w:rsidR="001774A7" w:rsidRPr="00E356B4" w:rsidRDefault="001774A7" w:rsidP="00D63204">
            <w:pPr>
              <w:ind w:firstLineChars="100" w:firstLine="160"/>
              <w:cnfStyle w:val="000000100000" w:firstRow="0" w:lastRow="0" w:firstColumn="0" w:lastColumn="0" w:oddVBand="0" w:evenVBand="0" w:oddHBand="1" w:evenHBand="0" w:firstRowFirstColumn="0" w:firstRowLastColumn="0" w:lastRowFirstColumn="0" w:lastRowLastColumn="0"/>
              <w:rPr>
                <w:rFonts w:ascii="Calibri" w:hAnsi="Calibri" w:cs="Arial"/>
                <w:color w:val="231F20"/>
                <w:sz w:val="16"/>
                <w:szCs w:val="16"/>
              </w:rPr>
            </w:pPr>
            <w:r w:rsidRPr="00E356B4">
              <w:rPr>
                <w:rFonts w:ascii="Calibri" w:hAnsi="Calibri" w:cs="Arial"/>
                <w:color w:val="231F20"/>
                <w:sz w:val="16"/>
                <w:szCs w:val="16"/>
              </w:rPr>
              <w:t>1.6</w:t>
            </w:r>
          </w:p>
        </w:tc>
      </w:tr>
    </w:tbl>
    <w:p w14:paraId="74D03131" w14:textId="77777777" w:rsidR="00002D76" w:rsidRPr="0023102E" w:rsidRDefault="00002D76" w:rsidP="00002D76">
      <w:pPr>
        <w:widowControl w:val="0"/>
        <w:spacing w:before="53" w:after="0" w:line="216" w:lineRule="exact"/>
        <w:ind w:left="107" w:right="496"/>
        <w:rPr>
          <w:rFonts w:ascii="Calibri" w:hAnsi="Calibri"/>
          <w:color w:val="231F20"/>
          <w:w w:val="105"/>
          <w:sz w:val="18"/>
        </w:rPr>
      </w:pPr>
      <w:r w:rsidRPr="00E356B4">
        <w:rPr>
          <w:rFonts w:ascii="Calibri" w:hAnsi="Calibri"/>
          <w:color w:val="231F20"/>
          <w:w w:val="105"/>
          <w:sz w:val="18"/>
        </w:rPr>
        <w:t>Source: Florida Department of Economic Opportunity, Bureau of Labor Market Statistics, Current Employment Statistics, December 2017</w:t>
      </w:r>
    </w:p>
    <w:p w14:paraId="71FC23CD" w14:textId="77777777" w:rsidR="00002D76" w:rsidRPr="00EA7458" w:rsidRDefault="00002D76" w:rsidP="00002D76">
      <w:pPr>
        <w:widowControl w:val="0"/>
        <w:spacing w:after="0" w:line="216" w:lineRule="exact"/>
        <w:rPr>
          <w:rFonts w:ascii="Calibri" w:hAnsi="Calibri" w:cs="Calibri"/>
          <w:sz w:val="18"/>
          <w:szCs w:val="18"/>
        </w:rPr>
        <w:sectPr w:rsidR="00002D76" w:rsidRPr="00EA7458">
          <w:footerReference w:type="default" r:id="rId64"/>
          <w:pgSz w:w="12240" w:h="15840"/>
          <w:pgMar w:top="1620" w:right="900" w:bottom="820" w:left="900" w:header="812" w:footer="624" w:gutter="0"/>
          <w:cols w:space="720"/>
        </w:sectPr>
      </w:pPr>
    </w:p>
    <w:p w14:paraId="70F66B2D" w14:textId="77777777" w:rsidR="00002D76" w:rsidRPr="00EA7458" w:rsidRDefault="00002D76" w:rsidP="00002D76">
      <w:pPr>
        <w:widowControl w:val="0"/>
        <w:spacing w:before="4" w:after="0" w:line="240" w:lineRule="auto"/>
        <w:rPr>
          <w:rFonts w:ascii="Calibri" w:hAnsi="Calibri" w:cs="Calibri"/>
          <w:sz w:val="14"/>
          <w:szCs w:val="14"/>
        </w:rPr>
      </w:pPr>
    </w:p>
    <w:p w14:paraId="387A995B" w14:textId="41504A71" w:rsidR="00002D76" w:rsidRPr="00EA7458" w:rsidRDefault="00002D76" w:rsidP="00002D76">
      <w:pPr>
        <w:widowControl w:val="0"/>
        <w:spacing w:before="57" w:after="0" w:line="266" w:lineRule="exact"/>
        <w:ind w:left="107"/>
        <w:outlineLvl w:val="2"/>
        <w:rPr>
          <w:rFonts w:ascii="Calibri" w:hAnsi="Calibri"/>
        </w:rPr>
      </w:pPr>
      <w:r w:rsidRPr="00EA7458">
        <w:rPr>
          <w:rFonts w:ascii="Calibri" w:hAnsi="Calibri"/>
          <w:b/>
          <w:bCs/>
          <w:color w:val="231F20"/>
          <w:w w:val="110"/>
        </w:rPr>
        <w:t>Existing Demand</w:t>
      </w:r>
      <w:r w:rsidRPr="00EA7458">
        <w:rPr>
          <w:rFonts w:ascii="Calibri" w:hAnsi="Calibri"/>
          <w:b/>
          <w:bCs/>
          <w:color w:val="231F20"/>
          <w:spacing w:val="12"/>
          <w:w w:val="110"/>
        </w:rPr>
        <w:t xml:space="preserve"> </w:t>
      </w:r>
      <w:r w:rsidRPr="00EA7458">
        <w:rPr>
          <w:rFonts w:ascii="Calibri" w:hAnsi="Calibri"/>
          <w:b/>
          <w:bCs/>
          <w:color w:val="231F20"/>
          <w:w w:val="110"/>
        </w:rPr>
        <w:t>Occupations</w:t>
      </w:r>
    </w:p>
    <w:p w14:paraId="55953A66" w14:textId="77C9F441" w:rsidR="00CD1C1C" w:rsidRPr="00CD1C1C" w:rsidRDefault="00CD1C1C" w:rsidP="00D63204">
      <w:pPr>
        <w:widowControl w:val="0"/>
        <w:spacing w:before="2" w:after="0" w:line="240" w:lineRule="auto"/>
        <w:ind w:left="107"/>
        <w:rPr>
          <w:rFonts w:ascii="Calibri" w:hAnsi="Calibri"/>
        </w:rPr>
      </w:pPr>
      <w:r w:rsidRPr="00CD1C1C">
        <w:rPr>
          <w:rFonts w:ascii="Calibri" w:hAnsi="Calibri"/>
          <w:color w:val="231F20"/>
          <w:w w:val="105"/>
        </w:rPr>
        <w:t>Existing</w:t>
      </w:r>
      <w:r w:rsidRPr="00CD1C1C">
        <w:rPr>
          <w:rFonts w:ascii="Calibri" w:hAnsi="Calibri"/>
          <w:color w:val="231F20"/>
          <w:spacing w:val="10"/>
          <w:w w:val="105"/>
        </w:rPr>
        <w:t xml:space="preserve"> </w:t>
      </w:r>
      <w:r w:rsidRPr="00CD1C1C">
        <w:rPr>
          <w:rFonts w:ascii="Calibri" w:hAnsi="Calibri"/>
          <w:color w:val="231F20"/>
          <w:w w:val="105"/>
        </w:rPr>
        <w:t>demand</w:t>
      </w:r>
      <w:r w:rsidRPr="00CD1C1C">
        <w:rPr>
          <w:rFonts w:ascii="Calibri" w:hAnsi="Calibri"/>
          <w:color w:val="231F20"/>
          <w:spacing w:val="10"/>
          <w:w w:val="105"/>
        </w:rPr>
        <w:t xml:space="preserve"> </w:t>
      </w:r>
      <w:r w:rsidRPr="00CD1C1C">
        <w:rPr>
          <w:rFonts w:ascii="Calibri" w:hAnsi="Calibri"/>
          <w:color w:val="231F20"/>
          <w:w w:val="105"/>
        </w:rPr>
        <w:t>occupations</w:t>
      </w:r>
      <w:r w:rsidRPr="00CD1C1C">
        <w:rPr>
          <w:rFonts w:ascii="Calibri" w:hAnsi="Calibri"/>
          <w:color w:val="231F20"/>
          <w:spacing w:val="10"/>
          <w:w w:val="105"/>
        </w:rPr>
        <w:t xml:space="preserve"> </w:t>
      </w:r>
      <w:r w:rsidRPr="00CD1C1C">
        <w:rPr>
          <w:rFonts w:ascii="Calibri" w:hAnsi="Calibri"/>
          <w:color w:val="231F20"/>
          <w:w w:val="105"/>
        </w:rPr>
        <w:t>are</w:t>
      </w:r>
      <w:r w:rsidRPr="00CD1C1C">
        <w:rPr>
          <w:rFonts w:ascii="Calibri" w:hAnsi="Calibri"/>
          <w:color w:val="231F20"/>
          <w:spacing w:val="10"/>
          <w:w w:val="105"/>
        </w:rPr>
        <w:t xml:space="preserve"> </w:t>
      </w:r>
      <w:r w:rsidRPr="00CD1C1C">
        <w:rPr>
          <w:rFonts w:ascii="Calibri" w:hAnsi="Calibri"/>
          <w:color w:val="231F20"/>
          <w:w w:val="105"/>
        </w:rPr>
        <w:t>occupations</w:t>
      </w:r>
      <w:r w:rsidRPr="00CD1C1C">
        <w:rPr>
          <w:rFonts w:ascii="Calibri" w:hAnsi="Calibri"/>
          <w:color w:val="231F20"/>
          <w:spacing w:val="10"/>
          <w:w w:val="105"/>
        </w:rPr>
        <w:t xml:space="preserve"> </w:t>
      </w:r>
      <w:r w:rsidRPr="00CD1C1C">
        <w:rPr>
          <w:rFonts w:ascii="Calibri" w:hAnsi="Calibri"/>
          <w:color w:val="231F20"/>
          <w:w w:val="105"/>
        </w:rPr>
        <w:t>that</w:t>
      </w:r>
      <w:r w:rsidRPr="00CD1C1C">
        <w:rPr>
          <w:rFonts w:ascii="Calibri" w:hAnsi="Calibri"/>
          <w:color w:val="231F20"/>
          <w:spacing w:val="10"/>
          <w:w w:val="105"/>
        </w:rPr>
        <w:t xml:space="preserve"> </w:t>
      </w:r>
      <w:r w:rsidRPr="00CD1C1C">
        <w:rPr>
          <w:rFonts w:ascii="Calibri" w:hAnsi="Calibri"/>
          <w:color w:val="231F20"/>
          <w:w w:val="105"/>
        </w:rPr>
        <w:t>have</w:t>
      </w:r>
      <w:r w:rsidRPr="00CD1C1C">
        <w:rPr>
          <w:rFonts w:ascii="Calibri" w:hAnsi="Calibri"/>
          <w:color w:val="231F20"/>
          <w:spacing w:val="10"/>
          <w:w w:val="105"/>
        </w:rPr>
        <w:t xml:space="preserve"> </w:t>
      </w:r>
      <w:r w:rsidRPr="00CD1C1C">
        <w:rPr>
          <w:rFonts w:ascii="Calibri" w:hAnsi="Calibri"/>
          <w:color w:val="231F20"/>
          <w:w w:val="105"/>
        </w:rPr>
        <w:t>the</w:t>
      </w:r>
      <w:r w:rsidRPr="00CD1C1C">
        <w:rPr>
          <w:rFonts w:ascii="Calibri" w:hAnsi="Calibri"/>
          <w:color w:val="231F20"/>
          <w:spacing w:val="10"/>
          <w:w w:val="105"/>
        </w:rPr>
        <w:t xml:space="preserve"> </w:t>
      </w:r>
      <w:r w:rsidRPr="00CD1C1C">
        <w:rPr>
          <w:rFonts w:ascii="Calibri" w:hAnsi="Calibri"/>
          <w:color w:val="231F20"/>
          <w:w w:val="105"/>
        </w:rPr>
        <w:t>highest</w:t>
      </w:r>
      <w:r w:rsidRPr="00CD1C1C">
        <w:rPr>
          <w:rFonts w:ascii="Calibri" w:hAnsi="Calibri"/>
          <w:color w:val="231F20"/>
          <w:spacing w:val="10"/>
          <w:w w:val="105"/>
        </w:rPr>
        <w:t xml:space="preserve"> </w:t>
      </w:r>
      <w:r w:rsidRPr="00CD1C1C">
        <w:rPr>
          <w:rFonts w:ascii="Calibri" w:hAnsi="Calibri"/>
          <w:color w:val="231F20"/>
          <w:w w:val="105"/>
        </w:rPr>
        <w:t>number</w:t>
      </w:r>
      <w:r w:rsidRPr="00CD1C1C">
        <w:rPr>
          <w:rFonts w:ascii="Calibri" w:hAnsi="Calibri"/>
          <w:color w:val="231F20"/>
          <w:spacing w:val="10"/>
          <w:w w:val="105"/>
        </w:rPr>
        <w:t xml:space="preserve"> </w:t>
      </w:r>
      <w:r w:rsidRPr="00CD1C1C">
        <w:rPr>
          <w:rFonts w:ascii="Calibri" w:hAnsi="Calibri"/>
          <w:color w:val="231F20"/>
          <w:w w:val="105"/>
        </w:rPr>
        <w:t>of</w:t>
      </w:r>
      <w:r w:rsidRPr="00CD1C1C">
        <w:rPr>
          <w:rFonts w:ascii="Calibri" w:hAnsi="Calibri"/>
          <w:color w:val="231F20"/>
          <w:spacing w:val="10"/>
          <w:w w:val="105"/>
        </w:rPr>
        <w:t xml:space="preserve"> </w:t>
      </w:r>
      <w:r w:rsidRPr="00CD1C1C">
        <w:rPr>
          <w:rFonts w:ascii="Calibri" w:hAnsi="Calibri"/>
          <w:color w:val="231F20"/>
          <w:w w:val="105"/>
        </w:rPr>
        <w:t>projected</w:t>
      </w:r>
      <w:r w:rsidRPr="00CD1C1C">
        <w:rPr>
          <w:rFonts w:ascii="Calibri" w:hAnsi="Calibri"/>
          <w:color w:val="231F20"/>
          <w:spacing w:val="10"/>
          <w:w w:val="105"/>
        </w:rPr>
        <w:t xml:space="preserve"> </w:t>
      </w:r>
      <w:r w:rsidRPr="00CD1C1C">
        <w:rPr>
          <w:rFonts w:ascii="Calibri" w:hAnsi="Calibri"/>
          <w:color w:val="231F20"/>
          <w:w w:val="105"/>
        </w:rPr>
        <w:t>total</w:t>
      </w:r>
      <w:r w:rsidRPr="00CD1C1C">
        <w:rPr>
          <w:rFonts w:ascii="Calibri" w:hAnsi="Calibri"/>
          <w:color w:val="231F20"/>
          <w:spacing w:val="10"/>
          <w:w w:val="105"/>
        </w:rPr>
        <w:t xml:space="preserve"> </w:t>
      </w:r>
      <w:r w:rsidRPr="00CD1C1C">
        <w:rPr>
          <w:rFonts w:ascii="Calibri" w:hAnsi="Calibri"/>
          <w:color w:val="231F20"/>
          <w:w w:val="105"/>
        </w:rPr>
        <w:t>job</w:t>
      </w:r>
      <w:r w:rsidRPr="00CD1C1C">
        <w:rPr>
          <w:rFonts w:ascii="Calibri" w:hAnsi="Calibri"/>
          <w:color w:val="231F20"/>
          <w:spacing w:val="5"/>
          <w:w w:val="105"/>
        </w:rPr>
        <w:t xml:space="preserve"> </w:t>
      </w:r>
      <w:r w:rsidRPr="00CD1C1C">
        <w:rPr>
          <w:rFonts w:ascii="Calibri" w:hAnsi="Calibri"/>
          <w:color w:val="231F20"/>
          <w:w w:val="105"/>
        </w:rPr>
        <w:t>openings. Starting with the release of the 2017-2025 projections, job openings will be calculated using the new Separations Method.</w:t>
      </w:r>
      <w:r w:rsidRPr="00CD1C1C">
        <w:rPr>
          <w:rFonts w:ascii="Calibri" w:hAnsi="Calibri"/>
          <w:color w:val="231F20"/>
          <w:spacing w:val="12"/>
          <w:w w:val="105"/>
        </w:rPr>
        <w:t xml:space="preserve"> </w:t>
      </w:r>
      <w:r w:rsidRPr="00CD1C1C">
        <w:rPr>
          <w:rFonts w:ascii="Calibri" w:hAnsi="Calibri"/>
          <w:color w:val="231F20"/>
          <w:spacing w:val="-5"/>
          <w:w w:val="105"/>
        </w:rPr>
        <w:t>Total</w:t>
      </w:r>
      <w:r w:rsidRPr="00CD1C1C">
        <w:rPr>
          <w:rFonts w:ascii="Calibri" w:hAnsi="Calibri"/>
          <w:color w:val="231F20"/>
          <w:spacing w:val="6"/>
          <w:w w:val="105"/>
        </w:rPr>
        <w:t xml:space="preserve"> </w:t>
      </w:r>
      <w:r w:rsidRPr="00CD1C1C">
        <w:rPr>
          <w:rFonts w:ascii="Calibri" w:hAnsi="Calibri"/>
          <w:color w:val="231F20"/>
          <w:w w:val="105"/>
        </w:rPr>
        <w:t>job</w:t>
      </w:r>
      <w:r w:rsidRPr="00CD1C1C">
        <w:rPr>
          <w:rFonts w:ascii="Calibri" w:hAnsi="Calibri"/>
          <w:color w:val="231F20"/>
          <w:spacing w:val="6"/>
          <w:w w:val="105"/>
        </w:rPr>
        <w:t xml:space="preserve"> </w:t>
      </w:r>
      <w:r w:rsidRPr="00CD1C1C">
        <w:rPr>
          <w:rFonts w:ascii="Calibri" w:hAnsi="Calibri"/>
          <w:color w:val="231F20"/>
          <w:w w:val="105"/>
        </w:rPr>
        <w:t>openings</w:t>
      </w:r>
      <w:r w:rsidRPr="00CD1C1C">
        <w:rPr>
          <w:rFonts w:ascii="Calibri" w:hAnsi="Calibri"/>
          <w:color w:val="231F20"/>
          <w:spacing w:val="6"/>
          <w:w w:val="105"/>
        </w:rPr>
        <w:t xml:space="preserve"> </w:t>
      </w:r>
      <w:r w:rsidRPr="00CD1C1C">
        <w:rPr>
          <w:rFonts w:ascii="Calibri" w:hAnsi="Calibri"/>
          <w:color w:val="231F20"/>
          <w:w w:val="105"/>
        </w:rPr>
        <w:t>reflect</w:t>
      </w:r>
      <w:r w:rsidRPr="00CD1C1C">
        <w:rPr>
          <w:rFonts w:ascii="Calibri" w:hAnsi="Calibri"/>
          <w:color w:val="231F20"/>
          <w:spacing w:val="6"/>
          <w:w w:val="105"/>
        </w:rPr>
        <w:t xml:space="preserve"> </w:t>
      </w:r>
      <w:r w:rsidRPr="00CD1C1C">
        <w:rPr>
          <w:rFonts w:ascii="Calibri" w:hAnsi="Calibri"/>
          <w:color w:val="231F20"/>
          <w:w w:val="105"/>
        </w:rPr>
        <w:t>(1)</w:t>
      </w:r>
      <w:r w:rsidRPr="00CD1C1C">
        <w:rPr>
          <w:rFonts w:ascii="Calibri" w:hAnsi="Calibri"/>
          <w:color w:val="231F20"/>
          <w:spacing w:val="6"/>
          <w:w w:val="105"/>
        </w:rPr>
        <w:t xml:space="preserve"> </w:t>
      </w:r>
      <w:r w:rsidRPr="00CD1C1C">
        <w:rPr>
          <w:rFonts w:ascii="Calibri" w:hAnsi="Calibri"/>
          <w:color w:val="231F20"/>
          <w:w w:val="105"/>
        </w:rPr>
        <w:t>job</w:t>
      </w:r>
      <w:r w:rsidRPr="00CD1C1C">
        <w:rPr>
          <w:rFonts w:ascii="Calibri" w:hAnsi="Calibri"/>
          <w:color w:val="231F20"/>
          <w:spacing w:val="6"/>
          <w:w w:val="105"/>
        </w:rPr>
        <w:t xml:space="preserve"> </w:t>
      </w:r>
      <w:r w:rsidRPr="00CD1C1C">
        <w:rPr>
          <w:rFonts w:ascii="Calibri" w:hAnsi="Calibri"/>
          <w:color w:val="231F20"/>
          <w:w w:val="105"/>
        </w:rPr>
        <w:t>openings</w:t>
      </w:r>
      <w:r w:rsidRPr="00CD1C1C">
        <w:rPr>
          <w:rFonts w:ascii="Calibri" w:hAnsi="Calibri"/>
          <w:color w:val="231F20"/>
          <w:spacing w:val="6"/>
          <w:w w:val="105"/>
        </w:rPr>
        <w:t xml:space="preserve"> </w:t>
      </w:r>
      <w:r w:rsidRPr="00CD1C1C">
        <w:rPr>
          <w:rFonts w:ascii="Calibri" w:hAnsi="Calibri"/>
          <w:color w:val="231F20"/>
          <w:w w:val="105"/>
        </w:rPr>
        <w:t>resulting</w:t>
      </w:r>
      <w:r w:rsidRPr="00CD1C1C">
        <w:rPr>
          <w:rFonts w:ascii="Calibri" w:hAnsi="Calibri"/>
          <w:color w:val="231F20"/>
          <w:spacing w:val="6"/>
          <w:w w:val="105"/>
        </w:rPr>
        <w:t xml:space="preserve"> </w:t>
      </w:r>
      <w:r w:rsidRPr="00CD1C1C">
        <w:rPr>
          <w:rFonts w:ascii="Calibri" w:hAnsi="Calibri"/>
          <w:color w:val="231F20"/>
          <w:w w:val="105"/>
        </w:rPr>
        <w:t>from</w:t>
      </w:r>
      <w:r w:rsidRPr="00CD1C1C">
        <w:rPr>
          <w:rFonts w:ascii="Calibri" w:hAnsi="Calibri"/>
          <w:color w:val="231F20"/>
          <w:spacing w:val="6"/>
          <w:w w:val="105"/>
        </w:rPr>
        <w:t xml:space="preserve"> </w:t>
      </w:r>
      <w:r w:rsidRPr="00CD1C1C">
        <w:rPr>
          <w:rFonts w:ascii="Calibri" w:hAnsi="Calibri"/>
          <w:color w:val="231F20"/>
          <w:w w:val="105"/>
        </w:rPr>
        <w:t>employment</w:t>
      </w:r>
      <w:r w:rsidRPr="00CD1C1C">
        <w:rPr>
          <w:rFonts w:ascii="Calibri" w:hAnsi="Calibri"/>
          <w:color w:val="231F20"/>
          <w:spacing w:val="6"/>
          <w:w w:val="105"/>
        </w:rPr>
        <w:t xml:space="preserve"> </w:t>
      </w:r>
      <w:r w:rsidRPr="00CD1C1C">
        <w:rPr>
          <w:rFonts w:ascii="Calibri" w:hAnsi="Calibri"/>
          <w:color w:val="231F20"/>
          <w:w w:val="105"/>
        </w:rPr>
        <w:t>growth</w:t>
      </w:r>
      <w:r w:rsidRPr="00CD1C1C">
        <w:rPr>
          <w:rFonts w:ascii="Calibri" w:hAnsi="Calibri"/>
          <w:color w:val="231F20"/>
          <w:spacing w:val="6"/>
          <w:w w:val="105"/>
        </w:rPr>
        <w:t xml:space="preserve">, </w:t>
      </w:r>
      <w:r w:rsidRPr="00CD1C1C">
        <w:rPr>
          <w:rFonts w:ascii="Calibri" w:hAnsi="Calibri"/>
          <w:color w:val="231F20"/>
          <w:w w:val="105"/>
        </w:rPr>
        <w:t>(2)</w:t>
      </w:r>
      <w:r w:rsidRPr="00CD1C1C">
        <w:rPr>
          <w:rFonts w:ascii="Calibri" w:hAnsi="Calibri"/>
          <w:color w:val="231F20"/>
          <w:spacing w:val="6"/>
          <w:w w:val="105"/>
        </w:rPr>
        <w:t xml:space="preserve"> </w:t>
      </w:r>
      <w:r w:rsidRPr="00CD1C1C">
        <w:rPr>
          <w:rFonts w:ascii="Calibri" w:hAnsi="Calibri"/>
          <w:color w:val="231F20"/>
          <w:w w:val="105"/>
        </w:rPr>
        <w:t>job</w:t>
      </w:r>
      <w:r w:rsidRPr="00CD1C1C">
        <w:rPr>
          <w:rFonts w:ascii="Calibri" w:hAnsi="Calibri"/>
          <w:color w:val="231F20"/>
          <w:spacing w:val="-39"/>
          <w:w w:val="105"/>
        </w:rPr>
        <w:t xml:space="preserve"> </w:t>
      </w:r>
      <w:r w:rsidRPr="00CD1C1C">
        <w:rPr>
          <w:rFonts w:ascii="Calibri" w:hAnsi="Calibri"/>
          <w:color w:val="231F20"/>
          <w:w w:val="105"/>
        </w:rPr>
        <w:t>openings resulting from workers permanently exiting an occupation</w:t>
      </w:r>
      <w:r w:rsidR="00D5537E">
        <w:rPr>
          <w:rFonts w:ascii="Calibri" w:hAnsi="Calibri"/>
          <w:color w:val="231F20"/>
          <w:w w:val="105"/>
        </w:rPr>
        <w:t xml:space="preserve"> and</w:t>
      </w:r>
      <w:r w:rsidRPr="00CD1C1C">
        <w:rPr>
          <w:rFonts w:ascii="Calibri" w:hAnsi="Calibri"/>
          <w:color w:val="231F20"/>
          <w:w w:val="105"/>
        </w:rPr>
        <w:t xml:space="preserve"> (3) job openings resulting from workers transferring to other occupations. In</w:t>
      </w:r>
      <w:r w:rsidRPr="00CD1C1C">
        <w:rPr>
          <w:rFonts w:ascii="Calibri" w:hAnsi="Calibri"/>
          <w:color w:val="231F20"/>
          <w:spacing w:val="14"/>
          <w:w w:val="105"/>
        </w:rPr>
        <w:t xml:space="preserve"> </w:t>
      </w:r>
      <w:r w:rsidRPr="00CD1C1C">
        <w:rPr>
          <w:rFonts w:ascii="Calibri" w:hAnsi="Calibri"/>
          <w:color w:val="231F20"/>
          <w:w w:val="105"/>
        </w:rPr>
        <w:t>most</w:t>
      </w:r>
      <w:r w:rsidRPr="00CD1C1C">
        <w:rPr>
          <w:rFonts w:ascii="Calibri" w:hAnsi="Calibri"/>
          <w:color w:val="231F20"/>
          <w:spacing w:val="14"/>
          <w:w w:val="105"/>
        </w:rPr>
        <w:t xml:space="preserve"> </w:t>
      </w:r>
      <w:r w:rsidRPr="00CD1C1C">
        <w:rPr>
          <w:rFonts w:ascii="Calibri" w:hAnsi="Calibri"/>
          <w:color w:val="231F20"/>
          <w:w w:val="105"/>
        </w:rPr>
        <w:t>occupations,</w:t>
      </w:r>
      <w:r w:rsidRPr="00CD1C1C">
        <w:rPr>
          <w:rFonts w:ascii="Calibri" w:hAnsi="Calibri"/>
          <w:color w:val="231F20"/>
          <w:spacing w:val="14"/>
          <w:w w:val="105"/>
        </w:rPr>
        <w:t xml:space="preserve"> </w:t>
      </w:r>
      <w:r w:rsidRPr="00CD1C1C">
        <w:rPr>
          <w:rFonts w:ascii="Calibri" w:hAnsi="Calibri"/>
          <w:color w:val="231F20"/>
          <w:w w:val="105"/>
        </w:rPr>
        <w:t>replacement</w:t>
      </w:r>
      <w:r w:rsidRPr="00CD1C1C">
        <w:rPr>
          <w:rFonts w:ascii="Calibri" w:hAnsi="Calibri"/>
          <w:color w:val="231F20"/>
          <w:spacing w:val="14"/>
          <w:w w:val="105"/>
        </w:rPr>
        <w:t xml:space="preserve"> </w:t>
      </w:r>
      <w:r w:rsidRPr="00CD1C1C">
        <w:rPr>
          <w:rFonts w:ascii="Calibri" w:hAnsi="Calibri"/>
          <w:color w:val="231F20"/>
          <w:w w:val="105"/>
        </w:rPr>
        <w:t>needs</w:t>
      </w:r>
      <w:r w:rsidRPr="00CD1C1C">
        <w:rPr>
          <w:rFonts w:ascii="Calibri" w:hAnsi="Calibri"/>
          <w:color w:val="231F20"/>
          <w:spacing w:val="14"/>
          <w:w w:val="105"/>
        </w:rPr>
        <w:t xml:space="preserve"> </w:t>
      </w:r>
      <w:r w:rsidRPr="00CD1C1C">
        <w:rPr>
          <w:rFonts w:ascii="Calibri" w:hAnsi="Calibri"/>
          <w:color w:val="231F20"/>
          <w:w w:val="105"/>
        </w:rPr>
        <w:t>provide</w:t>
      </w:r>
      <w:r w:rsidRPr="00CD1C1C">
        <w:rPr>
          <w:rFonts w:ascii="Calibri" w:hAnsi="Calibri"/>
          <w:color w:val="231F20"/>
          <w:spacing w:val="14"/>
          <w:w w:val="105"/>
        </w:rPr>
        <w:t xml:space="preserve"> </w:t>
      </w:r>
      <w:r w:rsidRPr="00CD1C1C">
        <w:rPr>
          <w:rFonts w:ascii="Calibri" w:hAnsi="Calibri"/>
          <w:color w:val="231F20"/>
          <w:w w:val="105"/>
        </w:rPr>
        <w:t>many</w:t>
      </w:r>
      <w:r w:rsidRPr="00CD1C1C">
        <w:rPr>
          <w:rFonts w:ascii="Calibri" w:hAnsi="Calibri"/>
          <w:color w:val="231F20"/>
          <w:spacing w:val="14"/>
          <w:w w:val="105"/>
        </w:rPr>
        <w:t xml:space="preserve"> </w:t>
      </w:r>
      <w:r w:rsidRPr="00CD1C1C">
        <w:rPr>
          <w:rFonts w:ascii="Calibri" w:hAnsi="Calibri"/>
          <w:color w:val="231F20"/>
          <w:w w:val="105"/>
        </w:rPr>
        <w:t>more</w:t>
      </w:r>
      <w:r w:rsidRPr="00CD1C1C">
        <w:rPr>
          <w:rFonts w:ascii="Calibri" w:hAnsi="Calibri"/>
          <w:color w:val="231F20"/>
          <w:spacing w:val="14"/>
          <w:w w:val="105"/>
        </w:rPr>
        <w:t xml:space="preserve"> </w:t>
      </w:r>
      <w:r w:rsidRPr="00CD1C1C">
        <w:rPr>
          <w:rFonts w:ascii="Calibri" w:hAnsi="Calibri"/>
          <w:color w:val="231F20"/>
          <w:w w:val="105"/>
        </w:rPr>
        <w:t>job</w:t>
      </w:r>
      <w:r w:rsidRPr="00CD1C1C">
        <w:rPr>
          <w:rFonts w:ascii="Calibri" w:hAnsi="Calibri"/>
          <w:color w:val="231F20"/>
          <w:spacing w:val="14"/>
          <w:w w:val="105"/>
        </w:rPr>
        <w:t xml:space="preserve"> </w:t>
      </w:r>
      <w:r w:rsidRPr="00CD1C1C">
        <w:rPr>
          <w:rFonts w:ascii="Calibri" w:hAnsi="Calibri"/>
          <w:color w:val="231F20"/>
          <w:w w:val="105"/>
        </w:rPr>
        <w:t>openings</w:t>
      </w:r>
      <w:r w:rsidRPr="00CD1C1C">
        <w:rPr>
          <w:rFonts w:ascii="Calibri" w:hAnsi="Calibri"/>
          <w:color w:val="231F20"/>
          <w:spacing w:val="14"/>
          <w:w w:val="105"/>
        </w:rPr>
        <w:t xml:space="preserve"> </w:t>
      </w:r>
      <w:r w:rsidRPr="00CD1C1C">
        <w:rPr>
          <w:rFonts w:ascii="Calibri" w:hAnsi="Calibri"/>
          <w:color w:val="231F20"/>
          <w:w w:val="105"/>
        </w:rPr>
        <w:t>than</w:t>
      </w:r>
      <w:r w:rsidRPr="00CD1C1C">
        <w:rPr>
          <w:rFonts w:ascii="Calibri" w:hAnsi="Calibri"/>
          <w:color w:val="231F20"/>
          <w:spacing w:val="-23"/>
          <w:w w:val="105"/>
        </w:rPr>
        <w:t xml:space="preserve"> </w:t>
      </w:r>
      <w:r w:rsidRPr="00CD1C1C">
        <w:rPr>
          <w:rFonts w:ascii="Calibri" w:hAnsi="Calibri"/>
          <w:color w:val="231F20"/>
          <w:w w:val="105"/>
        </w:rPr>
        <w:t>employment growth</w:t>
      </w:r>
      <w:r w:rsidRPr="00CD1C1C">
        <w:rPr>
          <w:rFonts w:ascii="Calibri" w:hAnsi="Calibri"/>
          <w:color w:val="231F20"/>
          <w:spacing w:val="28"/>
          <w:w w:val="105"/>
        </w:rPr>
        <w:t xml:space="preserve"> </w:t>
      </w:r>
      <w:r w:rsidRPr="00CD1C1C">
        <w:rPr>
          <w:rFonts w:ascii="Calibri" w:hAnsi="Calibri"/>
          <w:color w:val="231F20"/>
          <w:w w:val="105"/>
        </w:rPr>
        <w:t>does.</w:t>
      </w:r>
    </w:p>
    <w:p w14:paraId="58EE32A5" w14:textId="626E07B3" w:rsidR="00CD1C1C" w:rsidRPr="00CD1C1C" w:rsidRDefault="00CD1C1C" w:rsidP="00D63204">
      <w:pPr>
        <w:widowControl w:val="0"/>
        <w:spacing w:before="195" w:after="0" w:line="240" w:lineRule="auto"/>
        <w:ind w:left="107"/>
        <w:rPr>
          <w:rFonts w:ascii="Calibri" w:hAnsi="Calibri"/>
        </w:rPr>
      </w:pPr>
      <w:r w:rsidRPr="00CD1C1C">
        <w:rPr>
          <w:rFonts w:ascii="Calibri" w:hAnsi="Calibri"/>
          <w:color w:val="231F20"/>
          <w:w w:val="105"/>
        </w:rPr>
        <w:t>Existing</w:t>
      </w:r>
      <w:r w:rsidRPr="00CD1C1C">
        <w:rPr>
          <w:rFonts w:ascii="Calibri" w:hAnsi="Calibri"/>
          <w:color w:val="231F20"/>
          <w:spacing w:val="16"/>
          <w:w w:val="105"/>
        </w:rPr>
        <w:t xml:space="preserve"> </w:t>
      </w:r>
      <w:r w:rsidRPr="00CD1C1C">
        <w:rPr>
          <w:rFonts w:ascii="Calibri" w:hAnsi="Calibri"/>
          <w:color w:val="231F20"/>
          <w:w w:val="105"/>
        </w:rPr>
        <w:t>demand</w:t>
      </w:r>
      <w:r w:rsidRPr="00CD1C1C">
        <w:rPr>
          <w:rFonts w:ascii="Calibri" w:hAnsi="Calibri"/>
          <w:color w:val="231F20"/>
          <w:spacing w:val="16"/>
          <w:w w:val="105"/>
        </w:rPr>
        <w:t xml:space="preserve"> </w:t>
      </w:r>
      <w:r w:rsidRPr="00CD1C1C">
        <w:rPr>
          <w:rFonts w:ascii="Calibri" w:hAnsi="Calibri"/>
          <w:color w:val="231F20"/>
          <w:w w:val="105"/>
        </w:rPr>
        <w:t>occupations</w:t>
      </w:r>
      <w:r w:rsidRPr="00CD1C1C">
        <w:rPr>
          <w:rFonts w:ascii="Calibri" w:hAnsi="Calibri"/>
          <w:color w:val="231F20"/>
          <w:spacing w:val="16"/>
          <w:w w:val="105"/>
        </w:rPr>
        <w:t xml:space="preserve"> </w:t>
      </w:r>
      <w:r w:rsidRPr="00CD1C1C">
        <w:rPr>
          <w:rFonts w:ascii="Calibri" w:hAnsi="Calibri"/>
          <w:color w:val="231F20"/>
          <w:w w:val="105"/>
        </w:rPr>
        <w:t>tend</w:t>
      </w:r>
      <w:r w:rsidRPr="00CD1C1C">
        <w:rPr>
          <w:rFonts w:ascii="Calibri" w:hAnsi="Calibri"/>
          <w:color w:val="231F20"/>
          <w:spacing w:val="16"/>
          <w:w w:val="105"/>
        </w:rPr>
        <w:t xml:space="preserve"> </w:t>
      </w:r>
      <w:r w:rsidRPr="00CD1C1C">
        <w:rPr>
          <w:rFonts w:ascii="Calibri" w:hAnsi="Calibri"/>
          <w:color w:val="231F20"/>
          <w:w w:val="105"/>
        </w:rPr>
        <w:t>to</w:t>
      </w:r>
      <w:r w:rsidRPr="00CD1C1C">
        <w:rPr>
          <w:rFonts w:ascii="Calibri" w:hAnsi="Calibri"/>
          <w:color w:val="231F20"/>
          <w:spacing w:val="16"/>
          <w:w w:val="105"/>
        </w:rPr>
        <w:t xml:space="preserve"> </w:t>
      </w:r>
      <w:r w:rsidRPr="00CD1C1C">
        <w:rPr>
          <w:rFonts w:ascii="Calibri" w:hAnsi="Calibri"/>
          <w:color w:val="231F20"/>
          <w:w w:val="105"/>
        </w:rPr>
        <w:t>be</w:t>
      </w:r>
      <w:r w:rsidRPr="00CD1C1C">
        <w:rPr>
          <w:rFonts w:ascii="Calibri" w:hAnsi="Calibri"/>
          <w:color w:val="231F20"/>
          <w:spacing w:val="16"/>
          <w:w w:val="105"/>
        </w:rPr>
        <w:t xml:space="preserve"> </w:t>
      </w:r>
      <w:r w:rsidRPr="00CD1C1C">
        <w:rPr>
          <w:rFonts w:ascii="Calibri" w:hAnsi="Calibri"/>
          <w:color w:val="231F20"/>
          <w:w w:val="105"/>
        </w:rPr>
        <w:t>occupations</w:t>
      </w:r>
      <w:r w:rsidRPr="00CD1C1C">
        <w:rPr>
          <w:rFonts w:ascii="Calibri" w:hAnsi="Calibri"/>
          <w:color w:val="231F20"/>
          <w:spacing w:val="16"/>
          <w:w w:val="105"/>
        </w:rPr>
        <w:t xml:space="preserve"> </w:t>
      </w:r>
      <w:r w:rsidRPr="00CD1C1C">
        <w:rPr>
          <w:rFonts w:ascii="Calibri" w:hAnsi="Calibri"/>
          <w:color w:val="231F20"/>
          <w:w w:val="105"/>
        </w:rPr>
        <w:t>that</w:t>
      </w:r>
      <w:r w:rsidRPr="00CD1C1C">
        <w:rPr>
          <w:rFonts w:ascii="Calibri" w:hAnsi="Calibri"/>
          <w:color w:val="231F20"/>
          <w:spacing w:val="16"/>
          <w:w w:val="105"/>
        </w:rPr>
        <w:t xml:space="preserve"> </w:t>
      </w:r>
      <w:r w:rsidRPr="00CD1C1C">
        <w:rPr>
          <w:rFonts w:ascii="Calibri" w:hAnsi="Calibri"/>
          <w:color w:val="231F20"/>
          <w:w w:val="105"/>
        </w:rPr>
        <w:t>serve</w:t>
      </w:r>
      <w:r w:rsidRPr="00CD1C1C">
        <w:rPr>
          <w:rFonts w:ascii="Calibri" w:hAnsi="Calibri"/>
          <w:color w:val="231F20"/>
          <w:spacing w:val="16"/>
          <w:w w:val="105"/>
        </w:rPr>
        <w:t xml:space="preserve"> </w:t>
      </w:r>
      <w:r w:rsidRPr="00CD1C1C">
        <w:rPr>
          <w:rFonts w:ascii="Calibri" w:hAnsi="Calibri"/>
          <w:color w:val="231F20"/>
          <w:w w:val="105"/>
        </w:rPr>
        <w:t>the</w:t>
      </w:r>
      <w:r w:rsidRPr="00CD1C1C">
        <w:rPr>
          <w:rFonts w:ascii="Calibri" w:hAnsi="Calibri"/>
          <w:color w:val="231F20"/>
          <w:spacing w:val="16"/>
          <w:w w:val="105"/>
        </w:rPr>
        <w:t xml:space="preserve"> </w:t>
      </w:r>
      <w:r w:rsidRPr="00CD1C1C">
        <w:rPr>
          <w:rFonts w:ascii="Calibri" w:hAnsi="Calibri"/>
          <w:color w:val="231F20"/>
          <w:w w:val="105"/>
        </w:rPr>
        <w:t>most</w:t>
      </w:r>
      <w:r w:rsidRPr="00CD1C1C">
        <w:rPr>
          <w:rFonts w:ascii="Calibri" w:hAnsi="Calibri"/>
          <w:color w:val="231F20"/>
          <w:spacing w:val="16"/>
          <w:w w:val="105"/>
        </w:rPr>
        <w:t xml:space="preserve"> </w:t>
      </w:r>
      <w:r w:rsidRPr="00CD1C1C">
        <w:rPr>
          <w:rFonts w:ascii="Calibri" w:hAnsi="Calibri"/>
          <w:color w:val="231F20"/>
          <w:w w:val="105"/>
        </w:rPr>
        <w:t>basic</w:t>
      </w:r>
      <w:r w:rsidRPr="00CD1C1C">
        <w:rPr>
          <w:rFonts w:ascii="Calibri" w:hAnsi="Calibri"/>
          <w:color w:val="231F20"/>
          <w:spacing w:val="16"/>
          <w:w w:val="105"/>
        </w:rPr>
        <w:t xml:space="preserve"> </w:t>
      </w:r>
      <w:r w:rsidRPr="00CD1C1C">
        <w:rPr>
          <w:rFonts w:ascii="Calibri" w:hAnsi="Calibri"/>
          <w:color w:val="231F20"/>
          <w:w w:val="105"/>
        </w:rPr>
        <w:t>societal</w:t>
      </w:r>
      <w:r w:rsidRPr="00CD1C1C">
        <w:rPr>
          <w:rFonts w:ascii="Calibri" w:hAnsi="Calibri"/>
          <w:color w:val="231F20"/>
          <w:spacing w:val="16"/>
          <w:w w:val="105"/>
        </w:rPr>
        <w:t xml:space="preserve"> </w:t>
      </w:r>
      <w:r w:rsidRPr="00CD1C1C">
        <w:rPr>
          <w:rFonts w:ascii="Calibri" w:hAnsi="Calibri"/>
          <w:color w:val="231F20"/>
          <w:w w:val="105"/>
        </w:rPr>
        <w:t>needs.</w:t>
      </w:r>
      <w:r w:rsidRPr="00CD1C1C">
        <w:rPr>
          <w:rFonts w:ascii="Calibri" w:hAnsi="Calibri"/>
          <w:color w:val="231F20"/>
          <w:spacing w:val="33"/>
          <w:w w:val="105"/>
        </w:rPr>
        <w:t xml:space="preserve"> </w:t>
      </w:r>
      <w:r w:rsidRPr="00CD1C1C">
        <w:rPr>
          <w:rFonts w:ascii="Calibri" w:hAnsi="Calibri"/>
          <w:color w:val="231F20"/>
          <w:w w:val="105"/>
        </w:rPr>
        <w:t>The</w:t>
      </w:r>
      <w:r w:rsidRPr="00CD1C1C">
        <w:rPr>
          <w:rFonts w:ascii="Calibri" w:hAnsi="Calibri"/>
          <w:color w:val="231F20"/>
          <w:spacing w:val="16"/>
          <w:w w:val="105"/>
        </w:rPr>
        <w:t xml:space="preserve"> </w:t>
      </w:r>
      <w:r w:rsidRPr="00CD1C1C">
        <w:rPr>
          <w:rFonts w:ascii="Calibri" w:hAnsi="Calibri"/>
          <w:color w:val="231F20"/>
          <w:w w:val="105"/>
        </w:rPr>
        <w:t>most</w:t>
      </w:r>
      <w:r w:rsidRPr="00CD1C1C">
        <w:rPr>
          <w:rFonts w:ascii="Calibri" w:hAnsi="Calibri"/>
          <w:color w:val="231F20"/>
          <w:spacing w:val="-24"/>
          <w:w w:val="105"/>
        </w:rPr>
        <w:t xml:space="preserve"> </w:t>
      </w:r>
      <w:r w:rsidRPr="00CD1C1C">
        <w:rPr>
          <w:rFonts w:ascii="Calibri" w:hAnsi="Calibri"/>
          <w:color w:val="231F20"/>
          <w:w w:val="105"/>
        </w:rPr>
        <w:t>common</w:t>
      </w:r>
      <w:r w:rsidRPr="00CD1C1C">
        <w:rPr>
          <w:rFonts w:ascii="Calibri" w:hAnsi="Calibri"/>
          <w:color w:val="231F20"/>
          <w:spacing w:val="12"/>
          <w:w w:val="105"/>
        </w:rPr>
        <w:t xml:space="preserve"> </w:t>
      </w:r>
      <w:r w:rsidRPr="00CD1C1C">
        <w:rPr>
          <w:rFonts w:ascii="Calibri" w:hAnsi="Calibri"/>
          <w:color w:val="231F20"/>
          <w:w w:val="105"/>
        </w:rPr>
        <w:t>existing</w:t>
      </w:r>
      <w:r w:rsidRPr="00CD1C1C">
        <w:rPr>
          <w:rFonts w:ascii="Calibri" w:hAnsi="Calibri"/>
          <w:color w:val="231F20"/>
          <w:spacing w:val="12"/>
          <w:w w:val="105"/>
        </w:rPr>
        <w:t xml:space="preserve"> </w:t>
      </w:r>
      <w:r w:rsidRPr="00CD1C1C">
        <w:rPr>
          <w:rFonts w:ascii="Calibri" w:hAnsi="Calibri"/>
          <w:color w:val="231F20"/>
          <w:w w:val="105"/>
        </w:rPr>
        <w:t>demand</w:t>
      </w:r>
      <w:r w:rsidRPr="00CD1C1C">
        <w:rPr>
          <w:rFonts w:ascii="Calibri" w:hAnsi="Calibri"/>
          <w:color w:val="231F20"/>
          <w:spacing w:val="12"/>
          <w:w w:val="105"/>
        </w:rPr>
        <w:t xml:space="preserve"> </w:t>
      </w:r>
      <w:r w:rsidRPr="00CD1C1C">
        <w:rPr>
          <w:rFonts w:ascii="Calibri" w:hAnsi="Calibri"/>
          <w:color w:val="231F20"/>
          <w:w w:val="105"/>
        </w:rPr>
        <w:t>occupations</w:t>
      </w:r>
      <w:r w:rsidRPr="00CD1C1C">
        <w:rPr>
          <w:rFonts w:ascii="Calibri" w:hAnsi="Calibri"/>
          <w:color w:val="231F20"/>
          <w:spacing w:val="12"/>
          <w:w w:val="105"/>
        </w:rPr>
        <w:t xml:space="preserve"> </w:t>
      </w:r>
      <w:r w:rsidRPr="00CD1C1C">
        <w:rPr>
          <w:rFonts w:ascii="Calibri" w:hAnsi="Calibri"/>
          <w:color w:val="231F20"/>
          <w:w w:val="105"/>
        </w:rPr>
        <w:t>in</w:t>
      </w:r>
      <w:r w:rsidRPr="00CD1C1C">
        <w:rPr>
          <w:rFonts w:ascii="Calibri" w:hAnsi="Calibri"/>
          <w:color w:val="231F20"/>
          <w:spacing w:val="12"/>
          <w:w w:val="105"/>
        </w:rPr>
        <w:t xml:space="preserve"> </w:t>
      </w:r>
      <w:r w:rsidRPr="00CD1C1C">
        <w:rPr>
          <w:rFonts w:ascii="Calibri" w:hAnsi="Calibri"/>
          <w:color w:val="231F20"/>
          <w:w w:val="105"/>
        </w:rPr>
        <w:t>the</w:t>
      </w:r>
      <w:r w:rsidRPr="00CD1C1C">
        <w:rPr>
          <w:rFonts w:ascii="Calibri" w:hAnsi="Calibri"/>
          <w:color w:val="231F20"/>
          <w:spacing w:val="12"/>
          <w:w w:val="105"/>
        </w:rPr>
        <w:t xml:space="preserve"> </w:t>
      </w:r>
      <w:r w:rsidRPr="00CD1C1C">
        <w:rPr>
          <w:rFonts w:ascii="Calibri" w:hAnsi="Calibri"/>
          <w:color w:val="231F20"/>
          <w:w w:val="105"/>
        </w:rPr>
        <w:t>U.S.</w:t>
      </w:r>
      <w:r w:rsidRPr="00CD1C1C">
        <w:rPr>
          <w:rFonts w:ascii="Calibri" w:hAnsi="Calibri"/>
          <w:color w:val="231F20"/>
          <w:spacing w:val="12"/>
          <w:w w:val="105"/>
        </w:rPr>
        <w:t xml:space="preserve"> </w:t>
      </w:r>
      <w:r w:rsidRPr="00CD1C1C">
        <w:rPr>
          <w:rFonts w:ascii="Calibri" w:hAnsi="Calibri"/>
          <w:color w:val="231F20"/>
          <w:w w:val="105"/>
        </w:rPr>
        <w:t>labor</w:t>
      </w:r>
      <w:r w:rsidRPr="00CD1C1C">
        <w:rPr>
          <w:rFonts w:ascii="Calibri" w:hAnsi="Calibri"/>
          <w:color w:val="231F20"/>
          <w:spacing w:val="12"/>
          <w:w w:val="105"/>
        </w:rPr>
        <w:t xml:space="preserve"> </w:t>
      </w:r>
      <w:r w:rsidRPr="00CD1C1C">
        <w:rPr>
          <w:rFonts w:ascii="Calibri" w:hAnsi="Calibri"/>
          <w:color w:val="231F20"/>
          <w:w w:val="105"/>
        </w:rPr>
        <w:t>market</w:t>
      </w:r>
      <w:r w:rsidRPr="00CD1C1C">
        <w:rPr>
          <w:rFonts w:ascii="Calibri" w:hAnsi="Calibri"/>
          <w:color w:val="231F20"/>
          <w:spacing w:val="12"/>
          <w:w w:val="105"/>
        </w:rPr>
        <w:t xml:space="preserve"> </w:t>
      </w:r>
      <w:r w:rsidRPr="00CD1C1C">
        <w:rPr>
          <w:rFonts w:ascii="Calibri" w:hAnsi="Calibri"/>
          <w:color w:val="231F20"/>
          <w:w w:val="105"/>
        </w:rPr>
        <w:t>are</w:t>
      </w:r>
      <w:r w:rsidRPr="00CD1C1C">
        <w:rPr>
          <w:rFonts w:ascii="Calibri" w:hAnsi="Calibri"/>
          <w:color w:val="231F20"/>
          <w:spacing w:val="12"/>
          <w:w w:val="105"/>
        </w:rPr>
        <w:t xml:space="preserve"> </w:t>
      </w:r>
      <w:r w:rsidRPr="00CD1C1C">
        <w:rPr>
          <w:rFonts w:ascii="Calibri" w:hAnsi="Calibri"/>
          <w:color w:val="231F20"/>
          <w:w w:val="105"/>
        </w:rPr>
        <w:t>low-skill,</w:t>
      </w:r>
      <w:r w:rsidRPr="00CD1C1C">
        <w:rPr>
          <w:rFonts w:ascii="Calibri" w:hAnsi="Calibri"/>
          <w:color w:val="231F20"/>
          <w:spacing w:val="12"/>
          <w:w w:val="105"/>
        </w:rPr>
        <w:t xml:space="preserve"> </w:t>
      </w:r>
      <w:r w:rsidRPr="00CD1C1C">
        <w:rPr>
          <w:rFonts w:ascii="Calibri" w:hAnsi="Calibri"/>
          <w:color w:val="231F20"/>
          <w:w w:val="105"/>
        </w:rPr>
        <w:t>hourly</w:t>
      </w:r>
      <w:r w:rsidRPr="00CD1C1C">
        <w:rPr>
          <w:rFonts w:ascii="Calibri" w:hAnsi="Calibri"/>
          <w:color w:val="231F20"/>
          <w:spacing w:val="12"/>
          <w:w w:val="105"/>
        </w:rPr>
        <w:t xml:space="preserve"> </w:t>
      </w:r>
      <w:r w:rsidRPr="00CD1C1C">
        <w:rPr>
          <w:rFonts w:ascii="Calibri" w:hAnsi="Calibri"/>
          <w:color w:val="231F20"/>
          <w:w w:val="105"/>
        </w:rPr>
        <w:t>wage</w:t>
      </w:r>
      <w:r w:rsidRPr="00CD1C1C">
        <w:rPr>
          <w:rFonts w:ascii="Calibri" w:hAnsi="Calibri"/>
          <w:color w:val="231F20"/>
          <w:spacing w:val="12"/>
          <w:w w:val="105"/>
        </w:rPr>
        <w:t xml:space="preserve"> </w:t>
      </w:r>
      <w:r w:rsidRPr="00CD1C1C">
        <w:rPr>
          <w:rFonts w:ascii="Calibri" w:hAnsi="Calibri"/>
          <w:color w:val="231F20"/>
          <w:w w:val="105"/>
        </w:rPr>
        <w:t>occupations</w:t>
      </w:r>
      <w:r w:rsidRPr="00CD1C1C">
        <w:rPr>
          <w:rFonts w:ascii="Calibri" w:hAnsi="Calibri"/>
          <w:color w:val="231F20"/>
          <w:spacing w:val="12"/>
          <w:w w:val="105"/>
        </w:rPr>
        <w:t xml:space="preserve"> </w:t>
      </w:r>
      <w:r w:rsidRPr="00CD1C1C">
        <w:rPr>
          <w:rFonts w:ascii="Calibri" w:hAnsi="Calibri"/>
          <w:color w:val="231F20"/>
          <w:w w:val="105"/>
        </w:rPr>
        <w:t>with</w:t>
      </w:r>
      <w:r w:rsidRPr="00CD1C1C">
        <w:rPr>
          <w:rFonts w:ascii="Calibri" w:hAnsi="Calibri"/>
          <w:color w:val="231F20"/>
          <w:spacing w:val="-48"/>
          <w:w w:val="105"/>
        </w:rPr>
        <w:t xml:space="preserve"> </w:t>
      </w:r>
      <w:r w:rsidRPr="00CD1C1C">
        <w:rPr>
          <w:rFonts w:ascii="Calibri" w:hAnsi="Calibri"/>
          <w:color w:val="231F20"/>
          <w:w w:val="105"/>
        </w:rPr>
        <w:t xml:space="preserve">high </w:t>
      </w:r>
      <w:r w:rsidRPr="00CD1C1C">
        <w:rPr>
          <w:rFonts w:ascii="Calibri" w:hAnsi="Calibri"/>
          <w:color w:val="231F20"/>
          <w:spacing w:val="-3"/>
          <w:w w:val="105"/>
        </w:rPr>
        <w:t xml:space="preserve">turnover. </w:t>
      </w:r>
      <w:r w:rsidRPr="00CD1C1C">
        <w:rPr>
          <w:rFonts w:ascii="Calibri" w:hAnsi="Calibri"/>
          <w:color w:val="231F20"/>
          <w:w w:val="105"/>
        </w:rPr>
        <w:t>Florida follows the national pattern, with common existing demand occupations in the</w:t>
      </w:r>
      <w:r w:rsidRPr="00CD1C1C">
        <w:rPr>
          <w:rFonts w:ascii="Calibri" w:hAnsi="Calibri"/>
          <w:color w:val="231F20"/>
          <w:spacing w:val="6"/>
          <w:w w:val="105"/>
        </w:rPr>
        <w:t xml:space="preserve"> </w:t>
      </w:r>
      <w:r w:rsidRPr="00CD1C1C">
        <w:rPr>
          <w:rFonts w:ascii="Calibri" w:hAnsi="Calibri"/>
          <w:color w:val="231F20"/>
          <w:w w:val="105"/>
        </w:rPr>
        <w:t>state,</w:t>
      </w:r>
      <w:r w:rsidRPr="00CD1C1C">
        <w:rPr>
          <w:rFonts w:ascii="Calibri" w:hAnsi="Calibri"/>
          <w:color w:val="231F20"/>
          <w:w w:val="92"/>
        </w:rPr>
        <w:t xml:space="preserve"> </w:t>
      </w:r>
      <w:r w:rsidRPr="00CD1C1C">
        <w:rPr>
          <w:rFonts w:ascii="Calibri" w:hAnsi="Calibri"/>
          <w:color w:val="231F20"/>
          <w:w w:val="105"/>
        </w:rPr>
        <w:t>including</w:t>
      </w:r>
      <w:r w:rsidRPr="00CD1C1C">
        <w:rPr>
          <w:rFonts w:ascii="Calibri" w:hAnsi="Calibri"/>
          <w:color w:val="231F20"/>
          <w:spacing w:val="19"/>
          <w:w w:val="105"/>
        </w:rPr>
        <w:t xml:space="preserve"> </w:t>
      </w:r>
      <w:r w:rsidRPr="00CD1C1C">
        <w:rPr>
          <w:rFonts w:ascii="Calibri" w:hAnsi="Calibri"/>
          <w:color w:val="231F20"/>
          <w:w w:val="105"/>
        </w:rPr>
        <w:t>retail</w:t>
      </w:r>
      <w:r w:rsidRPr="00CD1C1C">
        <w:rPr>
          <w:rFonts w:ascii="Calibri" w:hAnsi="Calibri"/>
          <w:color w:val="231F20"/>
          <w:spacing w:val="19"/>
          <w:w w:val="105"/>
        </w:rPr>
        <w:t xml:space="preserve"> </w:t>
      </w:r>
      <w:r w:rsidRPr="00CD1C1C">
        <w:rPr>
          <w:rFonts w:ascii="Calibri" w:hAnsi="Calibri"/>
          <w:color w:val="231F20"/>
          <w:w w:val="105"/>
        </w:rPr>
        <w:t>salespersons,</w:t>
      </w:r>
      <w:r w:rsidRPr="00CD1C1C">
        <w:rPr>
          <w:rFonts w:ascii="Calibri" w:hAnsi="Calibri"/>
          <w:color w:val="231F20"/>
          <w:spacing w:val="19"/>
          <w:w w:val="105"/>
        </w:rPr>
        <w:t xml:space="preserve"> </w:t>
      </w:r>
      <w:r w:rsidRPr="00CD1C1C">
        <w:rPr>
          <w:rFonts w:ascii="Calibri" w:hAnsi="Calibri"/>
          <w:color w:val="231F20"/>
          <w:w w:val="105"/>
        </w:rPr>
        <w:t>food</w:t>
      </w:r>
      <w:r w:rsidRPr="00CD1C1C">
        <w:rPr>
          <w:rFonts w:ascii="Calibri" w:hAnsi="Calibri"/>
          <w:color w:val="231F20"/>
          <w:spacing w:val="19"/>
          <w:w w:val="105"/>
        </w:rPr>
        <w:t xml:space="preserve"> </w:t>
      </w:r>
      <w:r w:rsidRPr="00CD1C1C">
        <w:rPr>
          <w:rFonts w:ascii="Calibri" w:hAnsi="Calibri"/>
          <w:color w:val="231F20"/>
          <w:w w:val="105"/>
        </w:rPr>
        <w:t>preparation</w:t>
      </w:r>
      <w:r w:rsidRPr="00CD1C1C">
        <w:rPr>
          <w:rFonts w:ascii="Calibri" w:hAnsi="Calibri"/>
          <w:color w:val="231F20"/>
          <w:spacing w:val="19"/>
          <w:w w:val="105"/>
        </w:rPr>
        <w:t xml:space="preserve"> </w:t>
      </w:r>
      <w:r w:rsidRPr="00CD1C1C">
        <w:rPr>
          <w:rFonts w:ascii="Calibri" w:hAnsi="Calibri"/>
          <w:color w:val="231F20"/>
          <w:w w:val="105"/>
        </w:rPr>
        <w:t>and</w:t>
      </w:r>
      <w:r w:rsidRPr="00CD1C1C">
        <w:rPr>
          <w:rFonts w:ascii="Calibri" w:hAnsi="Calibri"/>
          <w:color w:val="231F20"/>
          <w:spacing w:val="19"/>
          <w:w w:val="105"/>
        </w:rPr>
        <w:t xml:space="preserve"> </w:t>
      </w:r>
      <w:r w:rsidRPr="00CD1C1C">
        <w:rPr>
          <w:rFonts w:ascii="Calibri" w:hAnsi="Calibri"/>
          <w:color w:val="231F20"/>
          <w:w w:val="105"/>
        </w:rPr>
        <w:t>serving</w:t>
      </w:r>
      <w:r w:rsidRPr="00CD1C1C">
        <w:rPr>
          <w:rFonts w:ascii="Calibri" w:hAnsi="Calibri"/>
          <w:color w:val="231F20"/>
          <w:spacing w:val="19"/>
          <w:w w:val="105"/>
        </w:rPr>
        <w:t xml:space="preserve"> </w:t>
      </w:r>
      <w:r w:rsidRPr="00CD1C1C">
        <w:rPr>
          <w:rFonts w:ascii="Calibri" w:hAnsi="Calibri"/>
          <w:color w:val="231F20"/>
          <w:w w:val="105"/>
        </w:rPr>
        <w:t>workers,</w:t>
      </w:r>
      <w:r w:rsidRPr="00CD1C1C">
        <w:rPr>
          <w:rFonts w:ascii="Calibri" w:hAnsi="Calibri"/>
          <w:color w:val="231F20"/>
          <w:spacing w:val="19"/>
          <w:w w:val="105"/>
        </w:rPr>
        <w:t xml:space="preserve"> </w:t>
      </w:r>
      <w:r w:rsidR="00F05357">
        <w:rPr>
          <w:rFonts w:ascii="Calibri" w:hAnsi="Calibri"/>
          <w:color w:val="231F20"/>
          <w:spacing w:val="19"/>
          <w:w w:val="105"/>
        </w:rPr>
        <w:t xml:space="preserve">waiters and waitresses, </w:t>
      </w:r>
      <w:r w:rsidR="00D5537E">
        <w:rPr>
          <w:rFonts w:ascii="Calibri" w:hAnsi="Calibri"/>
          <w:color w:val="231F20"/>
          <w:w w:val="105"/>
        </w:rPr>
        <w:t>and</w:t>
      </w:r>
      <w:r w:rsidRPr="00CD1C1C">
        <w:rPr>
          <w:rFonts w:ascii="Calibri" w:hAnsi="Calibri"/>
          <w:color w:val="231F20"/>
          <w:spacing w:val="19"/>
          <w:w w:val="105"/>
        </w:rPr>
        <w:t xml:space="preserve"> </w:t>
      </w:r>
      <w:r w:rsidRPr="00CD1C1C">
        <w:rPr>
          <w:rFonts w:ascii="Calibri" w:hAnsi="Calibri"/>
          <w:color w:val="231F20"/>
          <w:w w:val="105"/>
        </w:rPr>
        <w:t>cashiers.</w:t>
      </w:r>
      <w:r w:rsidRPr="00CD1C1C">
        <w:rPr>
          <w:rFonts w:ascii="Calibri" w:hAnsi="Calibri"/>
          <w:color w:val="231F20"/>
          <w:spacing w:val="-32"/>
          <w:w w:val="105"/>
        </w:rPr>
        <w:t xml:space="preserve"> </w:t>
      </w:r>
      <w:r w:rsidR="00385BBA">
        <w:rPr>
          <w:rFonts w:ascii="Calibri" w:hAnsi="Calibri"/>
          <w:color w:val="231F20"/>
          <w:spacing w:val="-32"/>
          <w:w w:val="105"/>
        </w:rPr>
        <w:t>S</w:t>
      </w:r>
      <w:r w:rsidRPr="00CD1C1C">
        <w:rPr>
          <w:rFonts w:ascii="Calibri" w:hAnsi="Calibri"/>
          <w:color w:val="231F20"/>
          <w:w w:val="105"/>
        </w:rPr>
        <w:t>ome</w:t>
      </w:r>
      <w:r w:rsidRPr="00CD1C1C">
        <w:rPr>
          <w:rFonts w:ascii="Calibri" w:hAnsi="Calibri"/>
          <w:color w:val="231F20"/>
          <w:spacing w:val="21"/>
          <w:w w:val="105"/>
        </w:rPr>
        <w:t xml:space="preserve"> </w:t>
      </w:r>
      <w:r w:rsidRPr="00CD1C1C">
        <w:rPr>
          <w:rFonts w:ascii="Calibri" w:hAnsi="Calibri"/>
          <w:color w:val="231F20"/>
          <w:w w:val="105"/>
        </w:rPr>
        <w:t>existing</w:t>
      </w:r>
      <w:r w:rsidRPr="00CD1C1C">
        <w:rPr>
          <w:rFonts w:ascii="Calibri" w:hAnsi="Calibri"/>
          <w:color w:val="231F20"/>
          <w:spacing w:val="21"/>
          <w:w w:val="105"/>
        </w:rPr>
        <w:t xml:space="preserve"> </w:t>
      </w:r>
      <w:r w:rsidRPr="00CD1C1C">
        <w:rPr>
          <w:rFonts w:ascii="Calibri" w:hAnsi="Calibri"/>
          <w:color w:val="231F20"/>
          <w:w w:val="105"/>
        </w:rPr>
        <w:t>demand</w:t>
      </w:r>
      <w:r w:rsidRPr="00CD1C1C">
        <w:rPr>
          <w:rFonts w:ascii="Calibri" w:hAnsi="Calibri"/>
          <w:color w:val="231F20"/>
          <w:spacing w:val="21"/>
          <w:w w:val="105"/>
        </w:rPr>
        <w:t xml:space="preserve"> </w:t>
      </w:r>
      <w:r w:rsidRPr="00CD1C1C">
        <w:rPr>
          <w:rFonts w:ascii="Calibri" w:hAnsi="Calibri"/>
          <w:color w:val="231F20"/>
          <w:w w:val="105"/>
        </w:rPr>
        <w:t>occupations</w:t>
      </w:r>
      <w:r w:rsidRPr="00CD1C1C">
        <w:rPr>
          <w:rFonts w:ascii="Calibri" w:hAnsi="Calibri"/>
          <w:color w:val="231F20"/>
          <w:spacing w:val="21"/>
          <w:w w:val="105"/>
        </w:rPr>
        <w:t xml:space="preserve"> </w:t>
      </w:r>
      <w:r w:rsidRPr="00CD1C1C">
        <w:rPr>
          <w:rFonts w:ascii="Calibri" w:hAnsi="Calibri"/>
          <w:color w:val="231F20"/>
          <w:w w:val="105"/>
        </w:rPr>
        <w:t>in</w:t>
      </w:r>
      <w:r w:rsidRPr="00CD1C1C">
        <w:rPr>
          <w:rFonts w:ascii="Calibri" w:hAnsi="Calibri"/>
          <w:color w:val="231F20"/>
          <w:spacing w:val="21"/>
          <w:w w:val="105"/>
        </w:rPr>
        <w:t xml:space="preserve"> </w:t>
      </w:r>
      <w:r w:rsidRPr="00CD1C1C">
        <w:rPr>
          <w:rFonts w:ascii="Calibri" w:hAnsi="Calibri"/>
          <w:color w:val="231F20"/>
          <w:w w:val="105"/>
        </w:rPr>
        <w:t>Florida</w:t>
      </w:r>
      <w:r w:rsidRPr="00CD1C1C">
        <w:rPr>
          <w:rFonts w:ascii="Calibri" w:hAnsi="Calibri"/>
          <w:color w:val="231F20"/>
          <w:spacing w:val="21"/>
          <w:w w:val="105"/>
        </w:rPr>
        <w:t xml:space="preserve"> </w:t>
      </w:r>
      <w:r w:rsidRPr="00CD1C1C">
        <w:rPr>
          <w:rFonts w:ascii="Calibri" w:hAnsi="Calibri"/>
          <w:color w:val="231F20"/>
          <w:w w:val="105"/>
        </w:rPr>
        <w:t>are</w:t>
      </w:r>
      <w:r w:rsidRPr="00CD1C1C">
        <w:rPr>
          <w:rFonts w:ascii="Calibri" w:hAnsi="Calibri"/>
          <w:color w:val="231F20"/>
          <w:spacing w:val="21"/>
          <w:w w:val="105"/>
        </w:rPr>
        <w:t xml:space="preserve"> </w:t>
      </w:r>
      <w:r w:rsidRPr="00CD1C1C">
        <w:rPr>
          <w:rFonts w:ascii="Calibri" w:hAnsi="Calibri"/>
          <w:color w:val="231F20"/>
          <w:w w:val="105"/>
        </w:rPr>
        <w:t>relatively</w:t>
      </w:r>
      <w:r w:rsidRPr="00CD1C1C">
        <w:rPr>
          <w:rFonts w:ascii="Calibri" w:hAnsi="Calibri"/>
          <w:color w:val="231F20"/>
          <w:spacing w:val="21"/>
          <w:w w:val="105"/>
        </w:rPr>
        <w:t xml:space="preserve"> </w:t>
      </w:r>
      <w:r w:rsidRPr="00CD1C1C">
        <w:rPr>
          <w:rFonts w:ascii="Calibri" w:hAnsi="Calibri"/>
          <w:color w:val="231F20"/>
          <w:w w:val="105"/>
        </w:rPr>
        <w:t>high</w:t>
      </w:r>
      <w:r w:rsidR="00360FD2">
        <w:rPr>
          <w:rFonts w:ascii="Calibri" w:hAnsi="Calibri"/>
          <w:color w:val="231F20"/>
          <w:w w:val="105"/>
        </w:rPr>
        <w:t xml:space="preserve"> </w:t>
      </w:r>
      <w:r w:rsidRPr="00CD1C1C">
        <w:rPr>
          <w:rFonts w:ascii="Calibri" w:hAnsi="Calibri"/>
          <w:color w:val="231F20"/>
          <w:w w:val="105"/>
        </w:rPr>
        <w:t>skill.</w:t>
      </w:r>
      <w:r w:rsidRPr="00CD1C1C">
        <w:rPr>
          <w:rFonts w:ascii="Calibri" w:hAnsi="Calibri"/>
          <w:color w:val="231F20"/>
          <w:spacing w:val="42"/>
          <w:w w:val="105"/>
        </w:rPr>
        <w:t xml:space="preserve"> </w:t>
      </w:r>
      <w:r w:rsidRPr="00CD1C1C">
        <w:rPr>
          <w:rFonts w:ascii="Calibri" w:hAnsi="Calibri"/>
          <w:color w:val="231F20"/>
          <w:w w:val="105"/>
        </w:rPr>
        <w:t>Such</w:t>
      </w:r>
      <w:r w:rsidRPr="00CD1C1C">
        <w:rPr>
          <w:rFonts w:ascii="Calibri" w:hAnsi="Calibri"/>
          <w:color w:val="231F20"/>
          <w:spacing w:val="21"/>
          <w:w w:val="105"/>
        </w:rPr>
        <w:t xml:space="preserve"> </w:t>
      </w:r>
      <w:r w:rsidRPr="00CD1C1C">
        <w:rPr>
          <w:rFonts w:ascii="Calibri" w:hAnsi="Calibri"/>
          <w:color w:val="231F20"/>
          <w:w w:val="105"/>
        </w:rPr>
        <w:t>occupations</w:t>
      </w:r>
      <w:r w:rsidRPr="00CD1C1C">
        <w:rPr>
          <w:rFonts w:ascii="Calibri" w:hAnsi="Calibri"/>
          <w:color w:val="231F20"/>
          <w:spacing w:val="21"/>
          <w:w w:val="105"/>
        </w:rPr>
        <w:t xml:space="preserve"> </w:t>
      </w:r>
      <w:r w:rsidRPr="00CD1C1C">
        <w:rPr>
          <w:rFonts w:ascii="Calibri" w:hAnsi="Calibri"/>
          <w:color w:val="231F20"/>
          <w:w w:val="105"/>
        </w:rPr>
        <w:t>include</w:t>
      </w:r>
      <w:r w:rsidRPr="00CD1C1C">
        <w:rPr>
          <w:rFonts w:ascii="Calibri" w:hAnsi="Calibri"/>
          <w:color w:val="231F20"/>
          <w:spacing w:val="-32"/>
          <w:w w:val="105"/>
        </w:rPr>
        <w:t xml:space="preserve"> </w:t>
      </w:r>
      <w:r w:rsidRPr="00CD1C1C">
        <w:rPr>
          <w:rFonts w:ascii="Calibri" w:hAnsi="Calibri"/>
          <w:color w:val="231F20"/>
          <w:w w:val="105"/>
        </w:rPr>
        <w:t>registered nurses, accountants and auditors</w:t>
      </w:r>
      <w:r w:rsidR="00D5537E">
        <w:rPr>
          <w:rFonts w:ascii="Calibri" w:hAnsi="Calibri"/>
          <w:color w:val="231F20"/>
          <w:w w:val="105"/>
        </w:rPr>
        <w:t xml:space="preserve"> and</w:t>
      </w:r>
      <w:r w:rsidRPr="00CD1C1C">
        <w:rPr>
          <w:rFonts w:ascii="Calibri" w:hAnsi="Calibri"/>
          <w:color w:val="231F20"/>
          <w:w w:val="105"/>
        </w:rPr>
        <w:t xml:space="preserve"> elementary school teachers.</w:t>
      </w:r>
    </w:p>
    <w:p w14:paraId="4519CABE" w14:textId="77777777" w:rsidR="00CD1C1C" w:rsidRPr="00CD1C1C" w:rsidRDefault="00CD1C1C" w:rsidP="00D63204">
      <w:pPr>
        <w:widowControl w:val="0"/>
        <w:spacing w:before="5" w:after="0" w:line="240" w:lineRule="auto"/>
        <w:rPr>
          <w:rFonts w:ascii="Calibri" w:hAnsi="Calibri" w:cs="Calibri"/>
          <w:sz w:val="16"/>
          <w:szCs w:val="16"/>
        </w:rPr>
      </w:pPr>
    </w:p>
    <w:p w14:paraId="0983BCF5" w14:textId="6FF02959" w:rsidR="00CD1C1C" w:rsidRPr="00EA7458" w:rsidRDefault="00CD1C1C" w:rsidP="00D63204">
      <w:pPr>
        <w:widowControl w:val="0"/>
        <w:spacing w:after="0" w:line="240" w:lineRule="auto"/>
        <w:ind w:left="107"/>
        <w:rPr>
          <w:rFonts w:ascii="Calibri" w:hAnsi="Calibri"/>
        </w:rPr>
      </w:pPr>
      <w:bookmarkStart w:id="14" w:name="_Hlk504136973"/>
      <w:r w:rsidRPr="00CD1C1C">
        <w:rPr>
          <w:rFonts w:ascii="Calibri" w:hAnsi="Calibri"/>
          <w:color w:val="231F20"/>
          <w:w w:val="110"/>
        </w:rPr>
        <w:t>The</w:t>
      </w:r>
      <w:r w:rsidRPr="00CD1C1C">
        <w:rPr>
          <w:rFonts w:ascii="Calibri" w:hAnsi="Calibri"/>
          <w:color w:val="231F20"/>
          <w:spacing w:val="-9"/>
          <w:w w:val="110"/>
        </w:rPr>
        <w:t xml:space="preserve"> </w:t>
      </w:r>
      <w:r w:rsidRPr="00CD1C1C">
        <w:rPr>
          <w:rFonts w:ascii="Calibri" w:hAnsi="Calibri"/>
          <w:color w:val="231F20"/>
          <w:w w:val="110"/>
        </w:rPr>
        <w:t>top</w:t>
      </w:r>
      <w:r w:rsidRPr="00CD1C1C">
        <w:rPr>
          <w:rFonts w:ascii="Calibri" w:hAnsi="Calibri"/>
          <w:color w:val="231F20"/>
          <w:spacing w:val="-9"/>
          <w:w w:val="110"/>
        </w:rPr>
        <w:t xml:space="preserve"> </w:t>
      </w:r>
      <w:r w:rsidRPr="00CD1C1C">
        <w:rPr>
          <w:rFonts w:ascii="Calibri" w:hAnsi="Calibri"/>
          <w:color w:val="231F20"/>
          <w:w w:val="110"/>
        </w:rPr>
        <w:t>five</w:t>
      </w:r>
      <w:r w:rsidRPr="00CD1C1C">
        <w:rPr>
          <w:rFonts w:ascii="Calibri" w:hAnsi="Calibri"/>
          <w:color w:val="231F20"/>
          <w:spacing w:val="-9"/>
          <w:w w:val="110"/>
        </w:rPr>
        <w:t xml:space="preserve"> </w:t>
      </w:r>
      <w:r w:rsidRPr="00CD1C1C">
        <w:rPr>
          <w:rFonts w:ascii="Calibri" w:hAnsi="Calibri"/>
          <w:color w:val="231F20"/>
          <w:w w:val="110"/>
        </w:rPr>
        <w:t>existing</w:t>
      </w:r>
      <w:r w:rsidRPr="00CD1C1C">
        <w:rPr>
          <w:rFonts w:ascii="Calibri" w:hAnsi="Calibri"/>
          <w:color w:val="231F20"/>
          <w:spacing w:val="-9"/>
          <w:w w:val="110"/>
        </w:rPr>
        <w:t xml:space="preserve"> </w:t>
      </w:r>
      <w:r w:rsidRPr="00CD1C1C">
        <w:rPr>
          <w:rFonts w:ascii="Calibri" w:hAnsi="Calibri"/>
          <w:color w:val="231F20"/>
          <w:w w:val="110"/>
        </w:rPr>
        <w:t>demand</w:t>
      </w:r>
      <w:r w:rsidRPr="00CD1C1C">
        <w:rPr>
          <w:rFonts w:ascii="Calibri" w:hAnsi="Calibri"/>
          <w:color w:val="231F20"/>
          <w:spacing w:val="-9"/>
          <w:w w:val="110"/>
        </w:rPr>
        <w:t xml:space="preserve"> </w:t>
      </w:r>
      <w:r w:rsidRPr="00CD1C1C">
        <w:rPr>
          <w:rFonts w:ascii="Calibri" w:hAnsi="Calibri"/>
          <w:color w:val="231F20"/>
          <w:w w:val="110"/>
        </w:rPr>
        <w:t>occupations</w:t>
      </w:r>
      <w:r w:rsidRPr="00CD1C1C">
        <w:rPr>
          <w:rFonts w:ascii="Calibri" w:hAnsi="Calibri"/>
          <w:color w:val="231F20"/>
          <w:spacing w:val="-9"/>
          <w:w w:val="110"/>
        </w:rPr>
        <w:t xml:space="preserve"> </w:t>
      </w:r>
      <w:r w:rsidRPr="00CD1C1C">
        <w:rPr>
          <w:rFonts w:ascii="Calibri" w:hAnsi="Calibri"/>
          <w:color w:val="231F20"/>
          <w:w w:val="110"/>
        </w:rPr>
        <w:t>for</w:t>
      </w:r>
      <w:r w:rsidRPr="00CD1C1C">
        <w:rPr>
          <w:rFonts w:ascii="Calibri" w:hAnsi="Calibri"/>
          <w:color w:val="231F20"/>
          <w:spacing w:val="-9"/>
          <w:w w:val="110"/>
        </w:rPr>
        <w:t xml:space="preserve"> </w:t>
      </w:r>
      <w:r w:rsidRPr="00CD1C1C">
        <w:rPr>
          <w:rFonts w:ascii="Calibri" w:hAnsi="Calibri"/>
          <w:color w:val="231F20"/>
          <w:w w:val="110"/>
        </w:rPr>
        <w:t>Florida</w:t>
      </w:r>
      <w:r w:rsidRPr="00CD1C1C">
        <w:rPr>
          <w:rFonts w:ascii="Calibri" w:hAnsi="Calibri"/>
          <w:color w:val="231F20"/>
          <w:spacing w:val="-9"/>
          <w:w w:val="110"/>
        </w:rPr>
        <w:t xml:space="preserve"> </w:t>
      </w:r>
      <w:r w:rsidRPr="00CD1C1C">
        <w:rPr>
          <w:rFonts w:ascii="Calibri" w:hAnsi="Calibri"/>
          <w:color w:val="231F20"/>
          <w:w w:val="110"/>
        </w:rPr>
        <w:t>statewide</w:t>
      </w:r>
      <w:r w:rsidRPr="00CD1C1C">
        <w:rPr>
          <w:rFonts w:ascii="Calibri" w:hAnsi="Calibri"/>
          <w:color w:val="231F20"/>
          <w:spacing w:val="-9"/>
          <w:w w:val="110"/>
        </w:rPr>
        <w:t xml:space="preserve"> </w:t>
      </w:r>
      <w:r w:rsidRPr="00CD1C1C">
        <w:rPr>
          <w:rFonts w:ascii="Calibri" w:hAnsi="Calibri"/>
          <w:color w:val="231F20"/>
          <w:w w:val="110"/>
        </w:rPr>
        <w:t>are</w:t>
      </w:r>
      <w:r w:rsidRPr="00CD1C1C">
        <w:rPr>
          <w:rFonts w:ascii="Calibri" w:hAnsi="Calibri"/>
          <w:color w:val="231F20"/>
          <w:spacing w:val="-9"/>
          <w:w w:val="110"/>
        </w:rPr>
        <w:t xml:space="preserve"> </w:t>
      </w:r>
      <w:r w:rsidRPr="00CD1C1C">
        <w:rPr>
          <w:rFonts w:ascii="Calibri" w:hAnsi="Calibri"/>
          <w:color w:val="231F20"/>
          <w:w w:val="110"/>
        </w:rPr>
        <w:t>related</w:t>
      </w:r>
      <w:r w:rsidRPr="00CD1C1C">
        <w:rPr>
          <w:rFonts w:ascii="Calibri" w:hAnsi="Calibri"/>
          <w:color w:val="231F20"/>
          <w:spacing w:val="-9"/>
          <w:w w:val="110"/>
        </w:rPr>
        <w:t xml:space="preserve"> </w:t>
      </w:r>
      <w:r w:rsidRPr="00CD1C1C">
        <w:rPr>
          <w:rFonts w:ascii="Calibri" w:hAnsi="Calibri"/>
          <w:color w:val="231F20"/>
          <w:w w:val="110"/>
        </w:rPr>
        <w:t>to</w:t>
      </w:r>
      <w:r w:rsidRPr="00CD1C1C">
        <w:rPr>
          <w:rFonts w:ascii="Calibri" w:hAnsi="Calibri"/>
          <w:color w:val="231F20"/>
          <w:spacing w:val="-9"/>
          <w:w w:val="110"/>
        </w:rPr>
        <w:t xml:space="preserve"> </w:t>
      </w:r>
      <w:r w:rsidRPr="00CD1C1C">
        <w:rPr>
          <w:rFonts w:ascii="Calibri" w:hAnsi="Calibri"/>
          <w:color w:val="231F20"/>
          <w:w w:val="110"/>
        </w:rPr>
        <w:t>customer</w:t>
      </w:r>
      <w:r w:rsidRPr="00CD1C1C">
        <w:rPr>
          <w:rFonts w:ascii="Calibri" w:hAnsi="Calibri"/>
          <w:color w:val="231F20"/>
          <w:spacing w:val="-9"/>
          <w:w w:val="110"/>
        </w:rPr>
        <w:t xml:space="preserve"> </w:t>
      </w:r>
      <w:r w:rsidRPr="00CD1C1C">
        <w:rPr>
          <w:rFonts w:ascii="Calibri" w:hAnsi="Calibri"/>
          <w:color w:val="231F20"/>
          <w:w w:val="110"/>
        </w:rPr>
        <w:t>service</w:t>
      </w:r>
      <w:r w:rsidRPr="00CD1C1C">
        <w:rPr>
          <w:rFonts w:ascii="Calibri" w:hAnsi="Calibri"/>
          <w:color w:val="231F20"/>
          <w:spacing w:val="-9"/>
          <w:w w:val="110"/>
        </w:rPr>
        <w:t xml:space="preserve"> </w:t>
      </w:r>
      <w:r w:rsidRPr="00CD1C1C">
        <w:rPr>
          <w:rFonts w:ascii="Calibri" w:hAnsi="Calibri"/>
          <w:color w:val="231F20"/>
          <w:w w:val="110"/>
        </w:rPr>
        <w:t>and</w:t>
      </w:r>
      <w:r w:rsidRPr="00CD1C1C">
        <w:rPr>
          <w:rFonts w:ascii="Calibri" w:hAnsi="Calibri"/>
          <w:color w:val="231F20"/>
          <w:w w:val="108"/>
        </w:rPr>
        <w:t xml:space="preserve"> </w:t>
      </w:r>
      <w:r w:rsidRPr="00CD1C1C">
        <w:rPr>
          <w:rFonts w:ascii="Calibri" w:hAnsi="Calibri"/>
          <w:color w:val="231F20"/>
          <w:w w:val="110"/>
        </w:rPr>
        <w:t>hospitality.</w:t>
      </w:r>
      <w:r w:rsidRPr="00CD1C1C">
        <w:rPr>
          <w:rFonts w:ascii="Calibri" w:hAnsi="Calibri"/>
          <w:color w:val="231F20"/>
          <w:spacing w:val="19"/>
          <w:w w:val="110"/>
        </w:rPr>
        <w:t xml:space="preserve"> </w:t>
      </w:r>
      <w:r w:rsidRPr="00CD1C1C">
        <w:rPr>
          <w:rFonts w:ascii="Calibri" w:hAnsi="Calibri"/>
          <w:color w:val="231F20"/>
          <w:w w:val="110"/>
        </w:rPr>
        <w:t>Retail</w:t>
      </w:r>
      <w:r w:rsidRPr="00CD1C1C">
        <w:rPr>
          <w:rFonts w:ascii="Calibri" w:hAnsi="Calibri"/>
          <w:color w:val="231F20"/>
          <w:spacing w:val="-18"/>
          <w:w w:val="110"/>
        </w:rPr>
        <w:t xml:space="preserve"> </w:t>
      </w:r>
      <w:r w:rsidRPr="00CD1C1C">
        <w:rPr>
          <w:rFonts w:ascii="Calibri" w:hAnsi="Calibri"/>
          <w:color w:val="231F20"/>
          <w:w w:val="110"/>
        </w:rPr>
        <w:t>salesperson</w:t>
      </w:r>
      <w:r w:rsidRPr="00CD1C1C">
        <w:rPr>
          <w:rFonts w:ascii="Calibri" w:hAnsi="Calibri"/>
          <w:color w:val="231F20"/>
          <w:spacing w:val="-18"/>
          <w:w w:val="110"/>
        </w:rPr>
        <w:t xml:space="preserve"> </w:t>
      </w:r>
      <w:r w:rsidRPr="00CD1C1C">
        <w:rPr>
          <w:rFonts w:ascii="Calibri" w:hAnsi="Calibri"/>
          <w:color w:val="231F20"/>
          <w:w w:val="110"/>
        </w:rPr>
        <w:t>is</w:t>
      </w:r>
      <w:r w:rsidRPr="00CD1C1C">
        <w:rPr>
          <w:rFonts w:ascii="Calibri" w:hAnsi="Calibri"/>
          <w:color w:val="231F20"/>
          <w:spacing w:val="-18"/>
          <w:w w:val="110"/>
        </w:rPr>
        <w:t xml:space="preserve"> </w:t>
      </w:r>
      <w:r w:rsidRPr="00CD1C1C">
        <w:rPr>
          <w:rFonts w:ascii="Calibri" w:hAnsi="Calibri"/>
          <w:color w:val="231F20"/>
          <w:w w:val="110"/>
        </w:rPr>
        <w:t>the</w:t>
      </w:r>
      <w:r w:rsidRPr="00CD1C1C">
        <w:rPr>
          <w:rFonts w:ascii="Calibri" w:hAnsi="Calibri"/>
          <w:color w:val="231F20"/>
          <w:spacing w:val="-18"/>
          <w:w w:val="110"/>
        </w:rPr>
        <w:t xml:space="preserve"> </w:t>
      </w:r>
      <w:r w:rsidRPr="00CD1C1C">
        <w:rPr>
          <w:rFonts w:ascii="Calibri" w:hAnsi="Calibri"/>
          <w:color w:val="231F20"/>
          <w:w w:val="110"/>
        </w:rPr>
        <w:t>top</w:t>
      </w:r>
      <w:r w:rsidRPr="00CD1C1C">
        <w:rPr>
          <w:rFonts w:ascii="Calibri" w:hAnsi="Calibri"/>
          <w:color w:val="231F20"/>
          <w:spacing w:val="-18"/>
          <w:w w:val="110"/>
        </w:rPr>
        <w:t xml:space="preserve"> </w:t>
      </w:r>
      <w:r w:rsidRPr="00CD1C1C">
        <w:rPr>
          <w:rFonts w:ascii="Calibri" w:hAnsi="Calibri"/>
          <w:color w:val="231F20"/>
          <w:w w:val="110"/>
        </w:rPr>
        <w:t>existing</w:t>
      </w:r>
      <w:r w:rsidRPr="00CD1C1C">
        <w:rPr>
          <w:rFonts w:ascii="Calibri" w:hAnsi="Calibri"/>
          <w:color w:val="231F20"/>
          <w:spacing w:val="-18"/>
          <w:w w:val="110"/>
        </w:rPr>
        <w:t xml:space="preserve"> </w:t>
      </w:r>
      <w:r w:rsidRPr="00CD1C1C">
        <w:rPr>
          <w:rFonts w:ascii="Calibri" w:hAnsi="Calibri"/>
          <w:color w:val="231F20"/>
          <w:w w:val="110"/>
        </w:rPr>
        <w:t>demand</w:t>
      </w:r>
      <w:r w:rsidRPr="00CD1C1C">
        <w:rPr>
          <w:rFonts w:ascii="Calibri" w:hAnsi="Calibri"/>
          <w:color w:val="231F20"/>
          <w:spacing w:val="-18"/>
          <w:w w:val="110"/>
        </w:rPr>
        <w:t xml:space="preserve"> </w:t>
      </w:r>
      <w:r w:rsidRPr="00CD1C1C">
        <w:rPr>
          <w:rFonts w:ascii="Calibri" w:hAnsi="Calibri"/>
          <w:color w:val="231F20"/>
          <w:w w:val="110"/>
        </w:rPr>
        <w:t>occupation,</w:t>
      </w:r>
      <w:r w:rsidRPr="00CD1C1C">
        <w:rPr>
          <w:rFonts w:ascii="Calibri" w:hAnsi="Calibri"/>
          <w:color w:val="231F20"/>
          <w:spacing w:val="-18"/>
          <w:w w:val="110"/>
        </w:rPr>
        <w:t xml:space="preserve"> </w:t>
      </w:r>
      <w:r w:rsidRPr="00CD1C1C">
        <w:rPr>
          <w:rFonts w:ascii="Calibri" w:hAnsi="Calibri"/>
          <w:color w:val="231F20"/>
          <w:w w:val="110"/>
        </w:rPr>
        <w:t>with</w:t>
      </w:r>
      <w:r w:rsidRPr="00CD1C1C">
        <w:rPr>
          <w:rFonts w:ascii="Calibri" w:hAnsi="Calibri"/>
          <w:color w:val="231F20"/>
          <w:spacing w:val="-18"/>
          <w:w w:val="110"/>
        </w:rPr>
        <w:t xml:space="preserve"> </w:t>
      </w:r>
      <w:r w:rsidRPr="00CD1C1C">
        <w:rPr>
          <w:rFonts w:ascii="Calibri" w:hAnsi="Calibri"/>
          <w:color w:val="231F20"/>
          <w:w w:val="110"/>
        </w:rPr>
        <w:t>482,959</w:t>
      </w:r>
      <w:r w:rsidRPr="00CD1C1C">
        <w:rPr>
          <w:rFonts w:ascii="Calibri" w:hAnsi="Calibri"/>
          <w:color w:val="231F20"/>
          <w:spacing w:val="-18"/>
          <w:w w:val="110"/>
        </w:rPr>
        <w:t xml:space="preserve"> </w:t>
      </w:r>
      <w:r w:rsidRPr="00CD1C1C">
        <w:rPr>
          <w:rFonts w:ascii="Calibri" w:hAnsi="Calibri"/>
          <w:color w:val="231F20"/>
          <w:w w:val="110"/>
        </w:rPr>
        <w:t>projected</w:t>
      </w:r>
      <w:r w:rsidRPr="00CD1C1C">
        <w:rPr>
          <w:rFonts w:ascii="Calibri" w:hAnsi="Calibri"/>
          <w:color w:val="231F20"/>
          <w:spacing w:val="-18"/>
          <w:w w:val="110"/>
        </w:rPr>
        <w:t xml:space="preserve"> </w:t>
      </w:r>
      <w:r w:rsidRPr="00CD1C1C">
        <w:rPr>
          <w:rFonts w:ascii="Calibri" w:hAnsi="Calibri"/>
          <w:color w:val="231F20"/>
          <w:w w:val="110"/>
        </w:rPr>
        <w:t>total</w:t>
      </w:r>
      <w:r w:rsidRPr="00CD1C1C">
        <w:rPr>
          <w:rFonts w:ascii="Calibri" w:hAnsi="Calibri"/>
          <w:color w:val="231F20"/>
          <w:spacing w:val="-18"/>
          <w:w w:val="110"/>
        </w:rPr>
        <w:t xml:space="preserve"> </w:t>
      </w:r>
      <w:r w:rsidRPr="00CD1C1C">
        <w:rPr>
          <w:rFonts w:ascii="Calibri" w:hAnsi="Calibri"/>
          <w:color w:val="231F20"/>
          <w:w w:val="110"/>
        </w:rPr>
        <w:t>job</w:t>
      </w:r>
      <w:r w:rsidRPr="00CD1C1C">
        <w:rPr>
          <w:rFonts w:ascii="Calibri" w:hAnsi="Calibri"/>
          <w:color w:val="231F20"/>
          <w:w w:val="106"/>
        </w:rPr>
        <w:t xml:space="preserve"> </w:t>
      </w:r>
      <w:r w:rsidRPr="00CD1C1C">
        <w:rPr>
          <w:rFonts w:ascii="Calibri" w:hAnsi="Calibri"/>
          <w:color w:val="231F20"/>
          <w:w w:val="110"/>
        </w:rPr>
        <w:t xml:space="preserve">openings between 2017 and 2025. </w:t>
      </w:r>
      <w:r w:rsidRPr="00CD1C1C">
        <w:rPr>
          <w:rFonts w:ascii="Calibri" w:hAnsi="Calibri"/>
          <w:color w:val="231F20"/>
          <w:spacing w:val="-4"/>
          <w:w w:val="110"/>
        </w:rPr>
        <w:t xml:space="preserve">Two </w:t>
      </w:r>
      <w:r w:rsidRPr="00CD1C1C">
        <w:rPr>
          <w:rFonts w:ascii="Calibri" w:hAnsi="Calibri"/>
          <w:color w:val="231F20"/>
          <w:w w:val="110"/>
        </w:rPr>
        <w:t>of the top existing demand occupations are</w:t>
      </w:r>
      <w:r w:rsidR="006177D9">
        <w:rPr>
          <w:rFonts w:ascii="Calibri" w:hAnsi="Calibri"/>
          <w:color w:val="231F20"/>
          <w:w w:val="110"/>
        </w:rPr>
        <w:t xml:space="preserve"> </w:t>
      </w:r>
      <w:r w:rsidRPr="00CD1C1C">
        <w:rPr>
          <w:rFonts w:ascii="Calibri" w:hAnsi="Calibri"/>
          <w:color w:val="231F20"/>
          <w:w w:val="110"/>
        </w:rPr>
        <w:t>healthcare</w:t>
      </w:r>
      <w:r w:rsidRPr="00CD1C1C">
        <w:rPr>
          <w:rFonts w:ascii="Calibri" w:hAnsi="Calibri"/>
          <w:color w:val="231F20"/>
          <w:w w:val="106"/>
        </w:rPr>
        <w:t xml:space="preserve"> </w:t>
      </w:r>
      <w:r w:rsidRPr="00CD1C1C">
        <w:rPr>
          <w:rFonts w:ascii="Calibri" w:hAnsi="Calibri"/>
          <w:color w:val="231F20"/>
          <w:w w:val="110"/>
        </w:rPr>
        <w:t>occupations:</w:t>
      </w:r>
      <w:r w:rsidRPr="00CD1C1C">
        <w:rPr>
          <w:rFonts w:ascii="Calibri" w:hAnsi="Calibri"/>
          <w:color w:val="231F20"/>
          <w:spacing w:val="-16"/>
          <w:w w:val="110"/>
        </w:rPr>
        <w:t xml:space="preserve"> </w:t>
      </w:r>
      <w:r w:rsidRPr="00CD1C1C">
        <w:rPr>
          <w:rFonts w:ascii="Calibri" w:hAnsi="Calibri"/>
          <w:color w:val="231F20"/>
          <w:w w:val="110"/>
        </w:rPr>
        <w:t>registered</w:t>
      </w:r>
      <w:r w:rsidRPr="00CD1C1C">
        <w:rPr>
          <w:rFonts w:ascii="Calibri" w:hAnsi="Calibri"/>
          <w:color w:val="231F20"/>
          <w:spacing w:val="-16"/>
          <w:w w:val="110"/>
        </w:rPr>
        <w:t xml:space="preserve"> </w:t>
      </w:r>
      <w:r w:rsidRPr="00CD1C1C">
        <w:rPr>
          <w:rFonts w:ascii="Calibri" w:hAnsi="Calibri"/>
          <w:color w:val="231F20"/>
          <w:w w:val="110"/>
        </w:rPr>
        <w:t>nurses</w:t>
      </w:r>
      <w:r w:rsidRPr="00CD1C1C">
        <w:rPr>
          <w:rFonts w:ascii="Calibri" w:hAnsi="Calibri"/>
          <w:color w:val="231F20"/>
          <w:spacing w:val="-16"/>
          <w:w w:val="110"/>
        </w:rPr>
        <w:t xml:space="preserve"> </w:t>
      </w:r>
      <w:r w:rsidRPr="00CD1C1C">
        <w:rPr>
          <w:rFonts w:ascii="Calibri" w:hAnsi="Calibri"/>
          <w:color w:val="231F20"/>
          <w:w w:val="110"/>
        </w:rPr>
        <w:t>and</w:t>
      </w:r>
      <w:r w:rsidRPr="00CD1C1C">
        <w:rPr>
          <w:rFonts w:ascii="Calibri" w:hAnsi="Calibri"/>
          <w:color w:val="231F20"/>
          <w:spacing w:val="-16"/>
          <w:w w:val="110"/>
        </w:rPr>
        <w:t xml:space="preserve"> </w:t>
      </w:r>
      <w:r w:rsidRPr="00CD1C1C">
        <w:rPr>
          <w:rFonts w:ascii="Calibri" w:hAnsi="Calibri"/>
          <w:color w:val="231F20"/>
          <w:w w:val="110"/>
        </w:rPr>
        <w:t>nursing</w:t>
      </w:r>
      <w:r w:rsidRPr="00CD1C1C">
        <w:rPr>
          <w:rFonts w:ascii="Calibri" w:hAnsi="Calibri"/>
          <w:color w:val="231F20"/>
          <w:spacing w:val="-16"/>
          <w:w w:val="110"/>
        </w:rPr>
        <w:t xml:space="preserve"> </w:t>
      </w:r>
      <w:r w:rsidRPr="00CD1C1C">
        <w:rPr>
          <w:rFonts w:ascii="Calibri" w:hAnsi="Calibri"/>
          <w:color w:val="231F20"/>
          <w:w w:val="110"/>
        </w:rPr>
        <w:t>assistants,</w:t>
      </w:r>
      <w:r w:rsidRPr="00CD1C1C">
        <w:rPr>
          <w:rFonts w:ascii="Calibri" w:hAnsi="Calibri"/>
          <w:color w:val="231F20"/>
          <w:spacing w:val="-16"/>
          <w:w w:val="110"/>
        </w:rPr>
        <w:t xml:space="preserve"> </w:t>
      </w:r>
      <w:r w:rsidRPr="00CD1C1C">
        <w:rPr>
          <w:rFonts w:ascii="Calibri" w:hAnsi="Calibri"/>
          <w:color w:val="231F20"/>
          <w:w w:val="110"/>
        </w:rPr>
        <w:t>which</w:t>
      </w:r>
      <w:r w:rsidRPr="00CD1C1C">
        <w:rPr>
          <w:rFonts w:ascii="Calibri" w:hAnsi="Calibri"/>
          <w:color w:val="231F20"/>
          <w:spacing w:val="-16"/>
          <w:w w:val="110"/>
        </w:rPr>
        <w:t xml:space="preserve"> </w:t>
      </w:r>
      <w:r w:rsidRPr="00CD1C1C">
        <w:rPr>
          <w:rFonts w:ascii="Calibri" w:hAnsi="Calibri"/>
          <w:color w:val="231F20"/>
          <w:w w:val="110"/>
        </w:rPr>
        <w:t>have</w:t>
      </w:r>
      <w:r w:rsidRPr="00CD1C1C">
        <w:rPr>
          <w:rFonts w:ascii="Calibri" w:hAnsi="Calibri"/>
          <w:color w:val="231F20"/>
          <w:spacing w:val="-16"/>
          <w:w w:val="110"/>
        </w:rPr>
        <w:t xml:space="preserve"> </w:t>
      </w:r>
      <w:r w:rsidRPr="00CD1C1C">
        <w:rPr>
          <w:rFonts w:ascii="Calibri" w:hAnsi="Calibri"/>
          <w:color w:val="231F20"/>
          <w:w w:val="110"/>
        </w:rPr>
        <w:t>a</w:t>
      </w:r>
      <w:r w:rsidRPr="00CD1C1C">
        <w:rPr>
          <w:rFonts w:ascii="Calibri" w:hAnsi="Calibri"/>
          <w:color w:val="231F20"/>
          <w:spacing w:val="-16"/>
          <w:w w:val="110"/>
        </w:rPr>
        <w:t xml:space="preserve"> </w:t>
      </w:r>
      <w:r w:rsidRPr="00CD1C1C">
        <w:rPr>
          <w:rFonts w:ascii="Calibri" w:hAnsi="Calibri"/>
          <w:color w:val="231F20"/>
          <w:w w:val="110"/>
        </w:rPr>
        <w:t>relatively</w:t>
      </w:r>
      <w:r w:rsidRPr="00CD1C1C">
        <w:rPr>
          <w:rFonts w:ascii="Calibri" w:hAnsi="Calibri"/>
          <w:color w:val="231F20"/>
          <w:spacing w:val="-16"/>
          <w:w w:val="110"/>
        </w:rPr>
        <w:t xml:space="preserve"> </w:t>
      </w:r>
      <w:r w:rsidRPr="00CD1C1C">
        <w:rPr>
          <w:rFonts w:ascii="Calibri" w:hAnsi="Calibri"/>
          <w:color w:val="231F20"/>
          <w:w w:val="110"/>
        </w:rPr>
        <w:t>high</w:t>
      </w:r>
      <w:r w:rsidRPr="00CD1C1C">
        <w:rPr>
          <w:rFonts w:ascii="Calibri" w:hAnsi="Calibri"/>
          <w:color w:val="231F20"/>
          <w:spacing w:val="-16"/>
          <w:w w:val="110"/>
        </w:rPr>
        <w:t xml:space="preserve"> </w:t>
      </w:r>
      <w:r w:rsidRPr="00CD1C1C">
        <w:rPr>
          <w:rFonts w:ascii="Calibri" w:hAnsi="Calibri"/>
          <w:color w:val="231F20"/>
          <w:w w:val="110"/>
        </w:rPr>
        <w:t>turnover</w:t>
      </w:r>
      <w:r w:rsidRPr="00CD1C1C">
        <w:rPr>
          <w:rFonts w:ascii="Calibri" w:hAnsi="Calibri"/>
          <w:color w:val="231F20"/>
          <w:spacing w:val="-16"/>
          <w:w w:val="110"/>
        </w:rPr>
        <w:t xml:space="preserve"> </w:t>
      </w:r>
      <w:r w:rsidRPr="00CD1C1C">
        <w:rPr>
          <w:rFonts w:ascii="Calibri" w:hAnsi="Calibri"/>
          <w:color w:val="231F20"/>
          <w:w w:val="110"/>
        </w:rPr>
        <w:t>rate</w:t>
      </w:r>
      <w:r w:rsidRPr="00CD1C1C">
        <w:rPr>
          <w:rFonts w:ascii="Calibri" w:hAnsi="Calibri"/>
          <w:color w:val="231F20"/>
          <w:spacing w:val="-16"/>
          <w:w w:val="110"/>
        </w:rPr>
        <w:t xml:space="preserve"> </w:t>
      </w:r>
      <w:r w:rsidRPr="00CD1C1C">
        <w:rPr>
          <w:rFonts w:ascii="Calibri" w:hAnsi="Calibri"/>
          <w:color w:val="231F20"/>
          <w:w w:val="110"/>
        </w:rPr>
        <w:t>and</w:t>
      </w:r>
      <w:r w:rsidRPr="00CD1C1C">
        <w:rPr>
          <w:rFonts w:ascii="Calibri" w:hAnsi="Calibri"/>
          <w:color w:val="231F20"/>
          <w:spacing w:val="-16"/>
          <w:w w:val="110"/>
        </w:rPr>
        <w:t xml:space="preserve"> </w:t>
      </w:r>
      <w:r w:rsidRPr="00CD1C1C">
        <w:rPr>
          <w:rFonts w:ascii="Calibri" w:hAnsi="Calibri"/>
          <w:color w:val="231F20"/>
          <w:w w:val="110"/>
        </w:rPr>
        <w:t>will</w:t>
      </w:r>
      <w:r w:rsidRPr="00CD1C1C">
        <w:rPr>
          <w:rFonts w:ascii="Calibri" w:hAnsi="Calibri"/>
          <w:color w:val="231F20"/>
        </w:rPr>
        <w:t xml:space="preserve"> </w:t>
      </w:r>
      <w:r w:rsidRPr="00CD1C1C">
        <w:rPr>
          <w:rFonts w:ascii="Calibri" w:hAnsi="Calibri"/>
          <w:color w:val="231F20"/>
          <w:w w:val="110"/>
        </w:rPr>
        <w:t>experience</w:t>
      </w:r>
      <w:r w:rsidRPr="00CD1C1C">
        <w:rPr>
          <w:rFonts w:ascii="Calibri" w:hAnsi="Calibri"/>
          <w:color w:val="231F20"/>
          <w:spacing w:val="-18"/>
          <w:w w:val="110"/>
        </w:rPr>
        <w:t xml:space="preserve"> </w:t>
      </w:r>
      <w:r w:rsidRPr="00CD1C1C">
        <w:rPr>
          <w:rFonts w:ascii="Calibri" w:hAnsi="Calibri"/>
          <w:color w:val="231F20"/>
          <w:w w:val="110"/>
        </w:rPr>
        <w:t>employment</w:t>
      </w:r>
      <w:r w:rsidRPr="00CD1C1C">
        <w:rPr>
          <w:rFonts w:ascii="Calibri" w:hAnsi="Calibri"/>
          <w:color w:val="231F20"/>
          <w:spacing w:val="-18"/>
          <w:w w:val="110"/>
        </w:rPr>
        <w:t xml:space="preserve"> </w:t>
      </w:r>
      <w:r w:rsidRPr="00CD1C1C">
        <w:rPr>
          <w:rFonts w:ascii="Calibri" w:hAnsi="Calibri"/>
          <w:color w:val="231F20"/>
          <w:w w:val="110"/>
        </w:rPr>
        <w:t>growth</w:t>
      </w:r>
      <w:r w:rsidRPr="00CD1C1C">
        <w:rPr>
          <w:rFonts w:ascii="Calibri" w:hAnsi="Calibri"/>
          <w:color w:val="231F20"/>
          <w:spacing w:val="-18"/>
          <w:w w:val="110"/>
        </w:rPr>
        <w:t xml:space="preserve"> </w:t>
      </w:r>
      <w:r w:rsidRPr="00CD1C1C">
        <w:rPr>
          <w:rFonts w:ascii="Calibri" w:hAnsi="Calibri"/>
          <w:color w:val="231F20"/>
          <w:w w:val="110"/>
        </w:rPr>
        <w:t>because of</w:t>
      </w:r>
      <w:r w:rsidRPr="00CD1C1C">
        <w:rPr>
          <w:rFonts w:ascii="Calibri" w:hAnsi="Calibri"/>
          <w:color w:val="231F20"/>
          <w:spacing w:val="-18"/>
          <w:w w:val="110"/>
        </w:rPr>
        <w:t xml:space="preserve"> </w:t>
      </w:r>
      <w:r w:rsidRPr="00CD1C1C">
        <w:rPr>
          <w:rFonts w:ascii="Calibri" w:hAnsi="Calibri"/>
          <w:color w:val="231F20"/>
          <w:w w:val="110"/>
        </w:rPr>
        <w:t>the</w:t>
      </w:r>
      <w:r w:rsidRPr="00CD1C1C">
        <w:rPr>
          <w:rFonts w:ascii="Calibri" w:hAnsi="Calibri"/>
          <w:color w:val="231F20"/>
          <w:spacing w:val="-18"/>
          <w:w w:val="110"/>
        </w:rPr>
        <w:t xml:space="preserve"> </w:t>
      </w:r>
      <w:r w:rsidRPr="00CD1C1C">
        <w:rPr>
          <w:rFonts w:ascii="Calibri" w:hAnsi="Calibri"/>
          <w:color w:val="231F20"/>
          <w:w w:val="110"/>
        </w:rPr>
        <w:t>increasing</w:t>
      </w:r>
      <w:r w:rsidRPr="00CD1C1C">
        <w:rPr>
          <w:rFonts w:ascii="Calibri" w:hAnsi="Calibri"/>
          <w:color w:val="231F20"/>
          <w:spacing w:val="-18"/>
          <w:w w:val="110"/>
        </w:rPr>
        <w:t xml:space="preserve"> </w:t>
      </w:r>
      <w:r w:rsidRPr="00CD1C1C">
        <w:rPr>
          <w:rFonts w:ascii="Calibri" w:hAnsi="Calibri"/>
          <w:color w:val="231F20"/>
          <w:w w:val="110"/>
        </w:rPr>
        <w:t>demand</w:t>
      </w:r>
      <w:r w:rsidRPr="00CD1C1C">
        <w:rPr>
          <w:rFonts w:ascii="Calibri" w:hAnsi="Calibri"/>
          <w:color w:val="231F20"/>
          <w:spacing w:val="-18"/>
          <w:w w:val="110"/>
        </w:rPr>
        <w:t xml:space="preserve"> </w:t>
      </w:r>
      <w:r w:rsidRPr="00CD1C1C">
        <w:rPr>
          <w:rFonts w:ascii="Calibri" w:hAnsi="Calibri"/>
          <w:color w:val="231F20"/>
          <w:w w:val="110"/>
        </w:rPr>
        <w:t>for</w:t>
      </w:r>
      <w:r w:rsidRPr="00CD1C1C">
        <w:rPr>
          <w:rFonts w:ascii="Calibri" w:hAnsi="Calibri"/>
          <w:color w:val="231F20"/>
          <w:spacing w:val="-18"/>
          <w:w w:val="110"/>
        </w:rPr>
        <w:t xml:space="preserve"> </w:t>
      </w:r>
      <w:r w:rsidRPr="00CD1C1C">
        <w:rPr>
          <w:rFonts w:ascii="Calibri" w:hAnsi="Calibri"/>
          <w:color w:val="231F20"/>
          <w:w w:val="110"/>
        </w:rPr>
        <w:t>healthcare</w:t>
      </w:r>
      <w:r w:rsidRPr="00CD1C1C">
        <w:rPr>
          <w:rFonts w:ascii="Calibri" w:hAnsi="Calibri"/>
          <w:color w:val="231F20"/>
          <w:spacing w:val="-18"/>
          <w:w w:val="110"/>
        </w:rPr>
        <w:t xml:space="preserve"> </w:t>
      </w:r>
      <w:r w:rsidRPr="00CD1C1C">
        <w:rPr>
          <w:rFonts w:ascii="Calibri" w:hAnsi="Calibri"/>
          <w:color w:val="231F20"/>
          <w:w w:val="110"/>
        </w:rPr>
        <w:t>services,</w:t>
      </w:r>
      <w:r w:rsidRPr="00CD1C1C">
        <w:rPr>
          <w:rFonts w:ascii="Calibri" w:hAnsi="Calibri"/>
          <w:color w:val="231F20"/>
          <w:w w:val="109"/>
        </w:rPr>
        <w:t xml:space="preserve"> </w:t>
      </w:r>
      <w:r w:rsidRPr="00CD1C1C">
        <w:rPr>
          <w:rFonts w:ascii="Calibri" w:hAnsi="Calibri"/>
          <w:color w:val="231F20"/>
          <w:w w:val="110"/>
        </w:rPr>
        <w:t>driven</w:t>
      </w:r>
      <w:r w:rsidRPr="00CD1C1C">
        <w:rPr>
          <w:rFonts w:ascii="Calibri" w:hAnsi="Calibri"/>
          <w:color w:val="231F20"/>
          <w:spacing w:val="-10"/>
          <w:w w:val="110"/>
        </w:rPr>
        <w:t xml:space="preserve"> </w:t>
      </w:r>
      <w:r w:rsidRPr="00CD1C1C">
        <w:rPr>
          <w:rFonts w:ascii="Calibri" w:hAnsi="Calibri"/>
          <w:color w:val="231F20"/>
          <w:w w:val="110"/>
        </w:rPr>
        <w:t>by</w:t>
      </w:r>
      <w:r w:rsidRPr="00CD1C1C">
        <w:rPr>
          <w:rFonts w:ascii="Calibri" w:hAnsi="Calibri"/>
          <w:color w:val="231F20"/>
          <w:spacing w:val="-10"/>
          <w:w w:val="110"/>
        </w:rPr>
        <w:t xml:space="preserve"> </w:t>
      </w:r>
      <w:r w:rsidRPr="00CD1C1C">
        <w:rPr>
          <w:rFonts w:ascii="Calibri" w:hAnsi="Calibri"/>
          <w:color w:val="231F20"/>
          <w:w w:val="110"/>
        </w:rPr>
        <w:t>population</w:t>
      </w:r>
      <w:r w:rsidRPr="00CD1C1C">
        <w:rPr>
          <w:rFonts w:ascii="Calibri" w:hAnsi="Calibri"/>
          <w:color w:val="231F20"/>
          <w:spacing w:val="-10"/>
          <w:w w:val="110"/>
        </w:rPr>
        <w:t xml:space="preserve"> </w:t>
      </w:r>
      <w:r w:rsidRPr="00CD1C1C">
        <w:rPr>
          <w:rFonts w:ascii="Calibri" w:hAnsi="Calibri"/>
          <w:color w:val="231F20"/>
          <w:w w:val="110"/>
        </w:rPr>
        <w:t>growth</w:t>
      </w:r>
      <w:r w:rsidRPr="00CD1C1C">
        <w:rPr>
          <w:rFonts w:ascii="Calibri" w:hAnsi="Calibri"/>
          <w:color w:val="231F20"/>
          <w:spacing w:val="-10"/>
          <w:w w:val="110"/>
        </w:rPr>
        <w:t xml:space="preserve"> </w:t>
      </w:r>
      <w:r w:rsidRPr="00CD1C1C">
        <w:rPr>
          <w:rFonts w:ascii="Calibri" w:hAnsi="Calibri"/>
          <w:color w:val="231F20"/>
          <w:w w:val="110"/>
        </w:rPr>
        <w:t>and</w:t>
      </w:r>
      <w:r w:rsidRPr="00CD1C1C">
        <w:rPr>
          <w:rFonts w:ascii="Calibri" w:hAnsi="Calibri"/>
          <w:color w:val="231F20"/>
          <w:spacing w:val="-10"/>
          <w:w w:val="110"/>
        </w:rPr>
        <w:t xml:space="preserve"> </w:t>
      </w:r>
      <w:r w:rsidRPr="00CD1C1C">
        <w:rPr>
          <w:rFonts w:ascii="Calibri" w:hAnsi="Calibri"/>
          <w:color w:val="231F20"/>
          <w:w w:val="110"/>
        </w:rPr>
        <w:t>aging,</w:t>
      </w:r>
      <w:r w:rsidRPr="00CD1C1C">
        <w:rPr>
          <w:rFonts w:ascii="Calibri" w:hAnsi="Calibri"/>
          <w:color w:val="231F20"/>
          <w:spacing w:val="-10"/>
          <w:w w:val="110"/>
        </w:rPr>
        <w:t xml:space="preserve"> </w:t>
      </w:r>
      <w:r w:rsidRPr="00CD1C1C">
        <w:rPr>
          <w:rFonts w:ascii="Calibri" w:hAnsi="Calibri"/>
          <w:color w:val="231F20"/>
          <w:w w:val="110"/>
        </w:rPr>
        <w:t>expanding</w:t>
      </w:r>
      <w:r w:rsidRPr="00CD1C1C">
        <w:rPr>
          <w:rFonts w:ascii="Calibri" w:hAnsi="Calibri"/>
          <w:color w:val="231F20"/>
          <w:spacing w:val="-10"/>
          <w:w w:val="110"/>
        </w:rPr>
        <w:t xml:space="preserve"> </w:t>
      </w:r>
      <w:r w:rsidRPr="00CD1C1C">
        <w:rPr>
          <w:rFonts w:ascii="Calibri" w:hAnsi="Calibri"/>
          <w:color w:val="231F20"/>
          <w:w w:val="110"/>
        </w:rPr>
        <w:t>insurance</w:t>
      </w:r>
      <w:r w:rsidRPr="00CD1C1C">
        <w:rPr>
          <w:rFonts w:ascii="Calibri" w:hAnsi="Calibri"/>
          <w:color w:val="231F20"/>
          <w:spacing w:val="-10"/>
          <w:w w:val="110"/>
        </w:rPr>
        <w:t xml:space="preserve"> </w:t>
      </w:r>
      <w:r w:rsidRPr="00CD1C1C">
        <w:rPr>
          <w:rFonts w:ascii="Calibri" w:hAnsi="Calibri"/>
          <w:color w:val="231F20"/>
          <w:w w:val="110"/>
        </w:rPr>
        <w:t>coverage</w:t>
      </w:r>
      <w:r w:rsidR="00D5537E">
        <w:rPr>
          <w:rFonts w:ascii="Calibri" w:hAnsi="Calibri"/>
          <w:color w:val="231F20"/>
          <w:w w:val="110"/>
        </w:rPr>
        <w:t xml:space="preserve"> and</w:t>
      </w:r>
      <w:r w:rsidRPr="00CD1C1C">
        <w:rPr>
          <w:rFonts w:ascii="Calibri" w:hAnsi="Calibri"/>
          <w:color w:val="231F20"/>
          <w:spacing w:val="-10"/>
          <w:w w:val="110"/>
        </w:rPr>
        <w:t xml:space="preserve"> </w:t>
      </w:r>
      <w:r w:rsidRPr="00CD1C1C">
        <w:rPr>
          <w:rFonts w:ascii="Calibri" w:hAnsi="Calibri"/>
          <w:color w:val="231F20"/>
          <w:w w:val="110"/>
        </w:rPr>
        <w:t>technological</w:t>
      </w:r>
      <w:r w:rsidRPr="00CD1C1C">
        <w:rPr>
          <w:rFonts w:ascii="Calibri" w:hAnsi="Calibri"/>
          <w:color w:val="231F20"/>
          <w:spacing w:val="-10"/>
          <w:w w:val="110"/>
        </w:rPr>
        <w:t xml:space="preserve"> </w:t>
      </w:r>
      <w:r w:rsidRPr="00CD1C1C">
        <w:rPr>
          <w:rFonts w:ascii="Calibri" w:hAnsi="Calibri"/>
          <w:color w:val="231F20"/>
          <w:w w:val="110"/>
        </w:rPr>
        <w:t>change.</w:t>
      </w:r>
      <w:r w:rsidRPr="00CD1C1C">
        <w:rPr>
          <w:rFonts w:ascii="Calibri" w:hAnsi="Calibri"/>
          <w:color w:val="231F20"/>
          <w:spacing w:val="35"/>
          <w:w w:val="110"/>
        </w:rPr>
        <w:t xml:space="preserve"> </w:t>
      </w:r>
      <w:r w:rsidRPr="00CD1C1C">
        <w:rPr>
          <w:rFonts w:ascii="Calibri" w:hAnsi="Calibri"/>
          <w:color w:val="231F20"/>
          <w:w w:val="110"/>
        </w:rPr>
        <w:t>Only</w:t>
      </w:r>
      <w:r w:rsidRPr="00CD1C1C">
        <w:rPr>
          <w:rFonts w:ascii="Calibri" w:hAnsi="Calibri"/>
          <w:color w:val="231F20"/>
          <w:w w:val="108"/>
        </w:rPr>
        <w:t xml:space="preserve"> </w:t>
      </w:r>
      <w:r w:rsidRPr="00CD1C1C">
        <w:rPr>
          <w:rFonts w:ascii="Calibri" w:hAnsi="Calibri"/>
          <w:color w:val="231F20"/>
          <w:w w:val="110"/>
        </w:rPr>
        <w:t>two</w:t>
      </w:r>
      <w:r w:rsidRPr="00CD1C1C">
        <w:rPr>
          <w:rFonts w:ascii="Calibri" w:hAnsi="Calibri"/>
          <w:color w:val="231F20"/>
          <w:spacing w:val="-17"/>
          <w:w w:val="110"/>
        </w:rPr>
        <w:t xml:space="preserve"> </w:t>
      </w:r>
      <w:r w:rsidRPr="00CD1C1C">
        <w:rPr>
          <w:rFonts w:ascii="Calibri" w:hAnsi="Calibri"/>
          <w:color w:val="231F20"/>
          <w:w w:val="110"/>
        </w:rPr>
        <w:t>of</w:t>
      </w:r>
      <w:r w:rsidRPr="00CD1C1C">
        <w:rPr>
          <w:rFonts w:ascii="Calibri" w:hAnsi="Calibri"/>
          <w:color w:val="231F20"/>
          <w:spacing w:val="-17"/>
          <w:w w:val="110"/>
        </w:rPr>
        <w:t xml:space="preserve"> </w:t>
      </w:r>
      <w:r w:rsidRPr="00CD1C1C">
        <w:rPr>
          <w:rFonts w:ascii="Calibri" w:hAnsi="Calibri"/>
          <w:color w:val="231F20"/>
          <w:w w:val="110"/>
        </w:rPr>
        <w:t>the</w:t>
      </w:r>
      <w:r w:rsidRPr="00CD1C1C">
        <w:rPr>
          <w:rFonts w:ascii="Calibri" w:hAnsi="Calibri"/>
          <w:color w:val="231F20"/>
          <w:spacing w:val="-17"/>
          <w:w w:val="110"/>
        </w:rPr>
        <w:t xml:space="preserve"> </w:t>
      </w:r>
      <w:r w:rsidRPr="00CD1C1C">
        <w:rPr>
          <w:rFonts w:ascii="Calibri" w:hAnsi="Calibri"/>
          <w:color w:val="231F20"/>
          <w:w w:val="110"/>
        </w:rPr>
        <w:t>top</w:t>
      </w:r>
      <w:r w:rsidRPr="00CD1C1C">
        <w:rPr>
          <w:rFonts w:ascii="Calibri" w:hAnsi="Calibri"/>
          <w:color w:val="231F20"/>
          <w:spacing w:val="-17"/>
          <w:w w:val="110"/>
        </w:rPr>
        <w:t xml:space="preserve"> </w:t>
      </w:r>
      <w:r w:rsidRPr="00CD1C1C">
        <w:rPr>
          <w:rFonts w:ascii="Calibri" w:hAnsi="Calibri"/>
          <w:color w:val="231F20"/>
          <w:w w:val="110"/>
        </w:rPr>
        <w:t>existing</w:t>
      </w:r>
      <w:r w:rsidRPr="00CD1C1C">
        <w:rPr>
          <w:rFonts w:ascii="Calibri" w:hAnsi="Calibri"/>
          <w:color w:val="231F20"/>
          <w:spacing w:val="-17"/>
          <w:w w:val="110"/>
        </w:rPr>
        <w:t xml:space="preserve"> </w:t>
      </w:r>
      <w:r w:rsidRPr="00CD1C1C">
        <w:rPr>
          <w:rFonts w:ascii="Calibri" w:hAnsi="Calibri"/>
          <w:color w:val="231F20"/>
          <w:w w:val="110"/>
        </w:rPr>
        <w:t>demand</w:t>
      </w:r>
      <w:r w:rsidRPr="00CD1C1C">
        <w:rPr>
          <w:rFonts w:ascii="Calibri" w:hAnsi="Calibri"/>
          <w:color w:val="231F20"/>
          <w:spacing w:val="-17"/>
          <w:w w:val="110"/>
        </w:rPr>
        <w:t xml:space="preserve"> </w:t>
      </w:r>
      <w:r w:rsidRPr="00CD1C1C">
        <w:rPr>
          <w:rFonts w:ascii="Calibri" w:hAnsi="Calibri"/>
          <w:color w:val="231F20"/>
          <w:w w:val="110"/>
        </w:rPr>
        <w:t>occupations</w:t>
      </w:r>
      <w:r w:rsidRPr="00CD1C1C">
        <w:rPr>
          <w:rFonts w:ascii="Calibri" w:hAnsi="Calibri"/>
          <w:color w:val="231F20"/>
          <w:spacing w:val="-17"/>
          <w:w w:val="110"/>
        </w:rPr>
        <w:t xml:space="preserve"> </w:t>
      </w:r>
      <w:r w:rsidRPr="00CD1C1C">
        <w:rPr>
          <w:rFonts w:ascii="Calibri" w:hAnsi="Calibri"/>
          <w:color w:val="231F20"/>
          <w:w w:val="110"/>
        </w:rPr>
        <w:t>require</w:t>
      </w:r>
      <w:r w:rsidRPr="00CD1C1C">
        <w:rPr>
          <w:rFonts w:ascii="Calibri" w:hAnsi="Calibri"/>
          <w:color w:val="231F20"/>
          <w:spacing w:val="-17"/>
          <w:w w:val="110"/>
        </w:rPr>
        <w:t xml:space="preserve"> </w:t>
      </w:r>
      <w:r w:rsidRPr="00CD1C1C">
        <w:rPr>
          <w:rFonts w:ascii="Calibri" w:hAnsi="Calibri"/>
          <w:color w:val="231F20"/>
          <w:w w:val="110"/>
        </w:rPr>
        <w:t>significant</w:t>
      </w:r>
      <w:r w:rsidRPr="00CD1C1C">
        <w:rPr>
          <w:rFonts w:ascii="Calibri" w:hAnsi="Calibri"/>
          <w:color w:val="231F20"/>
          <w:spacing w:val="-17"/>
          <w:w w:val="110"/>
        </w:rPr>
        <w:t xml:space="preserve"> </w:t>
      </w:r>
      <w:r w:rsidRPr="00CD1C1C">
        <w:rPr>
          <w:rFonts w:ascii="Calibri" w:hAnsi="Calibri"/>
          <w:color w:val="231F20"/>
          <w:w w:val="110"/>
        </w:rPr>
        <w:t>technical</w:t>
      </w:r>
      <w:r w:rsidRPr="00CD1C1C">
        <w:rPr>
          <w:rFonts w:ascii="Calibri" w:hAnsi="Calibri"/>
          <w:color w:val="231F20"/>
          <w:spacing w:val="-17"/>
          <w:w w:val="110"/>
        </w:rPr>
        <w:t xml:space="preserve"> </w:t>
      </w:r>
      <w:r w:rsidRPr="00CD1C1C">
        <w:rPr>
          <w:rFonts w:ascii="Calibri" w:hAnsi="Calibri"/>
          <w:color w:val="231F20"/>
          <w:w w:val="110"/>
        </w:rPr>
        <w:t>training:</w:t>
      </w:r>
      <w:r w:rsidRPr="00CD1C1C">
        <w:rPr>
          <w:rFonts w:ascii="Calibri" w:hAnsi="Calibri"/>
          <w:color w:val="231F20"/>
          <w:spacing w:val="21"/>
          <w:w w:val="110"/>
        </w:rPr>
        <w:t xml:space="preserve"> </w:t>
      </w:r>
      <w:r w:rsidRPr="00CD1C1C">
        <w:rPr>
          <w:rFonts w:ascii="Calibri" w:hAnsi="Calibri"/>
          <w:color w:val="231F20"/>
          <w:w w:val="110"/>
        </w:rPr>
        <w:t>registered</w:t>
      </w:r>
      <w:r w:rsidRPr="00CD1C1C">
        <w:rPr>
          <w:rFonts w:ascii="Calibri" w:hAnsi="Calibri"/>
          <w:color w:val="231F20"/>
          <w:spacing w:val="-17"/>
          <w:w w:val="110"/>
        </w:rPr>
        <w:t xml:space="preserve"> </w:t>
      </w:r>
      <w:r w:rsidRPr="00CD1C1C">
        <w:rPr>
          <w:rFonts w:ascii="Calibri" w:hAnsi="Calibri"/>
          <w:color w:val="231F20"/>
          <w:w w:val="110"/>
        </w:rPr>
        <w:t>nurses</w:t>
      </w:r>
      <w:r w:rsidRPr="00CD1C1C">
        <w:rPr>
          <w:rFonts w:ascii="Calibri" w:hAnsi="Calibri"/>
          <w:color w:val="231F20"/>
          <w:spacing w:val="-17"/>
          <w:w w:val="110"/>
        </w:rPr>
        <w:t xml:space="preserve"> </w:t>
      </w:r>
      <w:r w:rsidRPr="00CD1C1C">
        <w:rPr>
          <w:rFonts w:ascii="Calibri" w:hAnsi="Calibri"/>
          <w:color w:val="231F20"/>
          <w:w w:val="110"/>
        </w:rPr>
        <w:t>and</w:t>
      </w:r>
      <w:r w:rsidRPr="00CD1C1C">
        <w:rPr>
          <w:rFonts w:ascii="Calibri" w:hAnsi="Calibri"/>
          <w:color w:val="231F20"/>
          <w:w w:val="108"/>
        </w:rPr>
        <w:t xml:space="preserve"> </w:t>
      </w:r>
      <w:r w:rsidRPr="00CD1C1C">
        <w:rPr>
          <w:rFonts w:ascii="Calibri" w:hAnsi="Calibri"/>
          <w:color w:val="231F20"/>
          <w:w w:val="105"/>
        </w:rPr>
        <w:t>accountants and</w:t>
      </w:r>
      <w:r w:rsidRPr="00CD1C1C">
        <w:rPr>
          <w:rFonts w:ascii="Calibri" w:hAnsi="Calibri"/>
          <w:color w:val="231F20"/>
          <w:spacing w:val="37"/>
          <w:w w:val="105"/>
        </w:rPr>
        <w:t xml:space="preserve"> </w:t>
      </w:r>
      <w:r w:rsidRPr="00CD1C1C">
        <w:rPr>
          <w:rFonts w:ascii="Calibri" w:hAnsi="Calibri"/>
          <w:color w:val="231F20"/>
          <w:w w:val="105"/>
        </w:rPr>
        <w:t>auditors.</w:t>
      </w:r>
    </w:p>
    <w:bookmarkEnd w:id="14"/>
    <w:p w14:paraId="45AB9126" w14:textId="77777777" w:rsidR="00002D76" w:rsidRPr="00EA7458" w:rsidRDefault="00002D76" w:rsidP="00002D76">
      <w:pPr>
        <w:widowControl w:val="0"/>
        <w:spacing w:after="0" w:line="264" w:lineRule="exact"/>
        <w:rPr>
          <w:rFonts w:ascii="Calibri" w:hAnsi="Calibri"/>
        </w:rPr>
        <w:sectPr w:rsidR="00002D76" w:rsidRPr="00EA7458">
          <w:pgSz w:w="12240" w:h="15840"/>
          <w:pgMar w:top="1620" w:right="900" w:bottom="820" w:left="900" w:header="812" w:footer="624" w:gutter="0"/>
          <w:cols w:space="720"/>
        </w:sectPr>
      </w:pPr>
    </w:p>
    <w:p w14:paraId="61EC3545" w14:textId="77777777" w:rsidR="00002D76" w:rsidRPr="00EA7458" w:rsidRDefault="00002D76" w:rsidP="00002D76">
      <w:pPr>
        <w:widowControl w:val="0"/>
        <w:spacing w:before="2" w:after="0" w:line="240" w:lineRule="auto"/>
        <w:rPr>
          <w:rFonts w:ascii="Calibri" w:hAnsi="Calibri" w:cs="Calibri"/>
          <w:sz w:val="14"/>
          <w:szCs w:val="14"/>
        </w:rPr>
      </w:pPr>
    </w:p>
    <w:p w14:paraId="3DC4896F" w14:textId="77777777" w:rsidR="00002D76" w:rsidRPr="00EA7458" w:rsidRDefault="00002D76" w:rsidP="00002D76">
      <w:pPr>
        <w:widowControl w:val="0"/>
        <w:spacing w:before="58" w:after="0" w:line="264" w:lineRule="exact"/>
        <w:ind w:left="107"/>
        <w:rPr>
          <w:rFonts w:ascii="Calibri" w:hAnsi="Calibri"/>
        </w:rPr>
      </w:pPr>
      <w:bookmarkStart w:id="15" w:name="_bookmark6"/>
      <w:bookmarkEnd w:id="15"/>
      <w:r w:rsidRPr="00EA7458">
        <w:rPr>
          <w:rFonts w:ascii="Calibri" w:hAnsi="Calibri"/>
          <w:color w:val="231F20"/>
          <w:w w:val="110"/>
        </w:rPr>
        <w:t>The</w:t>
      </w:r>
      <w:r w:rsidRPr="00EA7458">
        <w:rPr>
          <w:rFonts w:ascii="Calibri" w:hAnsi="Calibri"/>
          <w:color w:val="231F20"/>
          <w:spacing w:val="-16"/>
          <w:w w:val="110"/>
        </w:rPr>
        <w:t xml:space="preserve"> </w:t>
      </w:r>
      <w:r w:rsidRPr="00EA7458">
        <w:rPr>
          <w:rFonts w:ascii="Calibri" w:hAnsi="Calibri"/>
          <w:color w:val="231F20"/>
          <w:w w:val="110"/>
        </w:rPr>
        <w:t>following</w:t>
      </w:r>
      <w:r w:rsidRPr="00EA7458">
        <w:rPr>
          <w:rFonts w:ascii="Calibri" w:hAnsi="Calibri"/>
          <w:color w:val="231F20"/>
          <w:spacing w:val="-16"/>
          <w:w w:val="110"/>
        </w:rPr>
        <w:t xml:space="preserve"> </w:t>
      </w:r>
      <w:r w:rsidRPr="00EA7458">
        <w:rPr>
          <w:rFonts w:ascii="Calibri" w:hAnsi="Calibri"/>
          <w:color w:val="231F20"/>
          <w:w w:val="110"/>
        </w:rPr>
        <w:t>table</w:t>
      </w:r>
      <w:r w:rsidRPr="00EA7458">
        <w:rPr>
          <w:rFonts w:ascii="Calibri" w:hAnsi="Calibri"/>
          <w:color w:val="231F20"/>
          <w:spacing w:val="-16"/>
          <w:w w:val="110"/>
        </w:rPr>
        <w:t xml:space="preserve"> </w:t>
      </w:r>
      <w:r w:rsidRPr="00EA7458">
        <w:rPr>
          <w:rFonts w:ascii="Calibri" w:hAnsi="Calibri"/>
          <w:color w:val="231F20"/>
          <w:w w:val="110"/>
        </w:rPr>
        <w:t>displays</w:t>
      </w:r>
      <w:r w:rsidRPr="00EA7458">
        <w:rPr>
          <w:rFonts w:ascii="Calibri" w:hAnsi="Calibri"/>
          <w:color w:val="231F20"/>
          <w:spacing w:val="-16"/>
          <w:w w:val="110"/>
        </w:rPr>
        <w:t xml:space="preserve"> </w:t>
      </w:r>
      <w:r w:rsidRPr="00EA7458">
        <w:rPr>
          <w:rFonts w:ascii="Calibri" w:hAnsi="Calibri"/>
          <w:color w:val="231F20"/>
          <w:w w:val="110"/>
        </w:rPr>
        <w:t>the</w:t>
      </w:r>
      <w:r w:rsidRPr="00EA7458">
        <w:rPr>
          <w:rFonts w:ascii="Calibri" w:hAnsi="Calibri"/>
          <w:color w:val="231F20"/>
          <w:spacing w:val="-16"/>
          <w:w w:val="110"/>
        </w:rPr>
        <w:t xml:space="preserve"> </w:t>
      </w:r>
      <w:r w:rsidRPr="00EA7458">
        <w:rPr>
          <w:rFonts w:ascii="Calibri" w:hAnsi="Calibri"/>
          <w:color w:val="231F20"/>
          <w:w w:val="110"/>
        </w:rPr>
        <w:t>top</w:t>
      </w:r>
      <w:r w:rsidRPr="00EA7458">
        <w:rPr>
          <w:rFonts w:ascii="Calibri" w:hAnsi="Calibri"/>
          <w:color w:val="231F20"/>
          <w:spacing w:val="-16"/>
          <w:w w:val="110"/>
        </w:rPr>
        <w:t xml:space="preserve"> </w:t>
      </w:r>
      <w:r w:rsidRPr="00EA7458">
        <w:rPr>
          <w:rFonts w:ascii="Calibri" w:hAnsi="Calibri"/>
          <w:color w:val="231F20"/>
          <w:w w:val="110"/>
        </w:rPr>
        <w:t>15</w:t>
      </w:r>
      <w:r w:rsidRPr="00EA7458">
        <w:rPr>
          <w:rFonts w:ascii="Calibri" w:hAnsi="Calibri"/>
          <w:color w:val="231F20"/>
          <w:spacing w:val="-16"/>
          <w:w w:val="110"/>
        </w:rPr>
        <w:t xml:space="preserve"> </w:t>
      </w:r>
      <w:r w:rsidRPr="00EA7458">
        <w:rPr>
          <w:rFonts w:ascii="Calibri" w:hAnsi="Calibri"/>
          <w:color w:val="231F20"/>
          <w:w w:val="110"/>
        </w:rPr>
        <w:t>existing</w:t>
      </w:r>
      <w:r w:rsidRPr="00EA7458">
        <w:rPr>
          <w:rFonts w:ascii="Calibri" w:hAnsi="Calibri"/>
          <w:color w:val="231F20"/>
          <w:spacing w:val="-16"/>
          <w:w w:val="110"/>
        </w:rPr>
        <w:t xml:space="preserve"> </w:t>
      </w:r>
      <w:r w:rsidRPr="00EA7458">
        <w:rPr>
          <w:rFonts w:ascii="Calibri" w:hAnsi="Calibri"/>
          <w:color w:val="231F20"/>
          <w:w w:val="110"/>
        </w:rPr>
        <w:t>demand</w:t>
      </w:r>
      <w:r w:rsidRPr="00EA7458">
        <w:rPr>
          <w:rFonts w:ascii="Calibri" w:hAnsi="Calibri"/>
          <w:color w:val="231F20"/>
          <w:spacing w:val="-16"/>
          <w:w w:val="110"/>
        </w:rPr>
        <w:t xml:space="preserve"> </w:t>
      </w:r>
      <w:r w:rsidRPr="00EA7458">
        <w:rPr>
          <w:rFonts w:ascii="Calibri" w:hAnsi="Calibri"/>
          <w:color w:val="231F20"/>
          <w:w w:val="110"/>
        </w:rPr>
        <w:t>occupations</w:t>
      </w:r>
      <w:r w:rsidRPr="00EA7458">
        <w:rPr>
          <w:rFonts w:ascii="Calibri" w:hAnsi="Calibri"/>
          <w:color w:val="231F20"/>
          <w:spacing w:val="-16"/>
          <w:w w:val="110"/>
        </w:rPr>
        <w:t xml:space="preserve"> </w:t>
      </w:r>
      <w:r w:rsidRPr="00EA7458">
        <w:rPr>
          <w:rFonts w:ascii="Calibri" w:hAnsi="Calibri"/>
          <w:color w:val="231F20"/>
          <w:w w:val="110"/>
        </w:rPr>
        <w:t>(based</w:t>
      </w:r>
      <w:r w:rsidRPr="00EA7458">
        <w:rPr>
          <w:rFonts w:ascii="Calibri" w:hAnsi="Calibri"/>
          <w:color w:val="231F20"/>
          <w:spacing w:val="-16"/>
          <w:w w:val="110"/>
        </w:rPr>
        <w:t xml:space="preserve"> </w:t>
      </w:r>
      <w:r w:rsidRPr="00EA7458">
        <w:rPr>
          <w:rFonts w:ascii="Calibri" w:hAnsi="Calibri"/>
          <w:color w:val="231F20"/>
          <w:w w:val="110"/>
        </w:rPr>
        <w:t>on</w:t>
      </w:r>
      <w:r w:rsidRPr="00EA7458">
        <w:rPr>
          <w:rFonts w:ascii="Calibri" w:hAnsi="Calibri"/>
          <w:color w:val="231F20"/>
          <w:spacing w:val="-16"/>
          <w:w w:val="110"/>
        </w:rPr>
        <w:t xml:space="preserve"> </w:t>
      </w:r>
      <w:r w:rsidRPr="00EA7458">
        <w:rPr>
          <w:rFonts w:ascii="Calibri" w:hAnsi="Calibri"/>
          <w:color w:val="231F20"/>
          <w:w w:val="110"/>
        </w:rPr>
        <w:t>201</w:t>
      </w:r>
      <w:r>
        <w:rPr>
          <w:rFonts w:ascii="Calibri" w:hAnsi="Calibri"/>
          <w:color w:val="231F20"/>
          <w:w w:val="110"/>
        </w:rPr>
        <w:t>7</w:t>
      </w:r>
      <w:r w:rsidRPr="00EA7458">
        <w:rPr>
          <w:rFonts w:ascii="Calibri" w:hAnsi="Calibri"/>
          <w:color w:val="231F20"/>
          <w:w w:val="110"/>
        </w:rPr>
        <w:t>-202</w:t>
      </w:r>
      <w:r>
        <w:rPr>
          <w:rFonts w:ascii="Calibri" w:hAnsi="Calibri"/>
          <w:color w:val="231F20"/>
          <w:w w:val="110"/>
        </w:rPr>
        <w:t>5</w:t>
      </w:r>
      <w:r w:rsidRPr="00EA7458">
        <w:rPr>
          <w:rFonts w:ascii="Calibri" w:hAnsi="Calibri"/>
          <w:color w:val="231F20"/>
          <w:spacing w:val="-16"/>
          <w:w w:val="110"/>
        </w:rPr>
        <w:t xml:space="preserve"> </w:t>
      </w:r>
      <w:r w:rsidRPr="00EA7458">
        <w:rPr>
          <w:rFonts w:ascii="Calibri" w:hAnsi="Calibri"/>
          <w:color w:val="231F20"/>
          <w:w w:val="110"/>
        </w:rPr>
        <w:t>total</w:t>
      </w:r>
      <w:r w:rsidRPr="00EA7458">
        <w:rPr>
          <w:rFonts w:ascii="Calibri" w:hAnsi="Calibri"/>
          <w:color w:val="231F20"/>
          <w:spacing w:val="-16"/>
          <w:w w:val="110"/>
        </w:rPr>
        <w:t xml:space="preserve"> </w:t>
      </w:r>
      <w:r w:rsidRPr="00EA7458">
        <w:rPr>
          <w:rFonts w:ascii="Calibri" w:hAnsi="Calibri"/>
          <w:color w:val="231F20"/>
          <w:w w:val="110"/>
        </w:rPr>
        <w:t>job</w:t>
      </w:r>
      <w:r w:rsidRPr="00EA7458">
        <w:rPr>
          <w:rFonts w:ascii="Calibri" w:hAnsi="Calibri"/>
          <w:color w:val="231F20"/>
          <w:w w:val="106"/>
        </w:rPr>
        <w:t xml:space="preserve"> </w:t>
      </w:r>
      <w:r w:rsidRPr="00EA7458">
        <w:rPr>
          <w:rFonts w:ascii="Calibri" w:hAnsi="Calibri"/>
          <w:color w:val="231F20"/>
          <w:w w:val="110"/>
        </w:rPr>
        <w:t>openings)</w:t>
      </w:r>
      <w:r w:rsidRPr="00EA7458">
        <w:rPr>
          <w:rFonts w:ascii="Calibri" w:hAnsi="Calibri"/>
          <w:color w:val="231F20"/>
          <w:spacing w:val="-34"/>
          <w:w w:val="110"/>
        </w:rPr>
        <w:t xml:space="preserve"> </w:t>
      </w:r>
      <w:r w:rsidRPr="00EA7458">
        <w:rPr>
          <w:rFonts w:ascii="Calibri" w:hAnsi="Calibri"/>
          <w:color w:val="231F20"/>
          <w:w w:val="110"/>
        </w:rPr>
        <w:t>for</w:t>
      </w:r>
      <w:r w:rsidRPr="00EA7458">
        <w:rPr>
          <w:rFonts w:ascii="Calibri" w:hAnsi="Calibri"/>
          <w:color w:val="231F20"/>
          <w:spacing w:val="-34"/>
          <w:w w:val="110"/>
        </w:rPr>
        <w:t xml:space="preserve"> </w:t>
      </w:r>
      <w:r w:rsidRPr="00EA7458">
        <w:rPr>
          <w:rFonts w:ascii="Calibri" w:hAnsi="Calibri"/>
          <w:color w:val="231F20"/>
          <w:w w:val="110"/>
        </w:rPr>
        <w:t>Florida</w:t>
      </w:r>
      <w:r w:rsidRPr="00EA7458">
        <w:rPr>
          <w:rFonts w:ascii="Calibri" w:hAnsi="Calibri"/>
          <w:color w:val="231F20"/>
          <w:spacing w:val="-34"/>
          <w:w w:val="110"/>
        </w:rPr>
        <w:t xml:space="preserve"> </w:t>
      </w:r>
      <w:r w:rsidRPr="00EA7458">
        <w:rPr>
          <w:rFonts w:ascii="Calibri" w:hAnsi="Calibri"/>
          <w:color w:val="231F20"/>
          <w:w w:val="110"/>
        </w:rPr>
        <w:t>statewide.</w:t>
      </w:r>
    </w:p>
    <w:p w14:paraId="37D93A58" w14:textId="77777777" w:rsidR="00002D76" w:rsidRPr="00EA7458" w:rsidRDefault="00002D76" w:rsidP="00002D76">
      <w:pPr>
        <w:widowControl w:val="0"/>
        <w:spacing w:before="6" w:after="0" w:line="240" w:lineRule="auto"/>
        <w:rPr>
          <w:rFonts w:ascii="Calibri" w:hAnsi="Calibri" w:cs="Calibri"/>
          <w:sz w:val="16"/>
          <w:szCs w:val="16"/>
        </w:rPr>
      </w:pPr>
    </w:p>
    <w:p w14:paraId="23A025B3" w14:textId="77777777" w:rsidR="00002D76" w:rsidRPr="00F81BF7" w:rsidRDefault="00002D76" w:rsidP="00D63204">
      <w:pPr>
        <w:widowControl w:val="0"/>
        <w:spacing w:after="0" w:line="266" w:lineRule="exact"/>
        <w:ind w:left="468" w:right="468"/>
        <w:outlineLvl w:val="2"/>
        <w:rPr>
          <w:rFonts w:ascii="Calibri" w:hAnsi="Calibri"/>
        </w:rPr>
      </w:pPr>
      <w:r w:rsidRPr="00F81BF7">
        <w:rPr>
          <w:rFonts w:ascii="Calibri" w:hAnsi="Calibri"/>
          <w:b/>
          <w:bCs/>
          <w:color w:val="231F20"/>
          <w:w w:val="115"/>
        </w:rPr>
        <w:t>Figure</w:t>
      </w:r>
      <w:r w:rsidRPr="00F81BF7">
        <w:rPr>
          <w:rFonts w:ascii="Calibri" w:hAnsi="Calibri"/>
          <w:b/>
          <w:bCs/>
          <w:color w:val="231F20"/>
          <w:spacing w:val="-16"/>
          <w:w w:val="115"/>
        </w:rPr>
        <w:t xml:space="preserve"> </w:t>
      </w:r>
      <w:r w:rsidRPr="00F81BF7">
        <w:rPr>
          <w:rFonts w:ascii="Calibri" w:hAnsi="Calibri"/>
          <w:b/>
          <w:bCs/>
          <w:color w:val="231F20"/>
          <w:w w:val="115"/>
        </w:rPr>
        <w:t>2.02</w:t>
      </w:r>
    </w:p>
    <w:p w14:paraId="51D314CD" w14:textId="77777777" w:rsidR="00002D76" w:rsidRPr="00EA7458" w:rsidRDefault="00002D76" w:rsidP="00D63204">
      <w:pPr>
        <w:widowControl w:val="0"/>
        <w:spacing w:after="0" w:line="266" w:lineRule="exact"/>
        <w:ind w:left="468" w:right="468"/>
        <w:rPr>
          <w:rFonts w:ascii="Calibri" w:hAnsi="Calibri" w:cs="Calibri"/>
        </w:rPr>
      </w:pPr>
      <w:r w:rsidRPr="00464182">
        <w:rPr>
          <w:rFonts w:ascii="Calibri" w:hAnsi="Calibri"/>
          <w:b/>
          <w:color w:val="231F20"/>
          <w:spacing w:val="-7"/>
          <w:w w:val="110"/>
        </w:rPr>
        <w:t xml:space="preserve">Top </w:t>
      </w:r>
      <w:r w:rsidRPr="00464182">
        <w:rPr>
          <w:rFonts w:ascii="Calibri" w:hAnsi="Calibri"/>
          <w:b/>
          <w:color w:val="231F20"/>
          <w:w w:val="110"/>
        </w:rPr>
        <w:t>15 Existing Demand</w:t>
      </w:r>
      <w:r w:rsidRPr="00464182">
        <w:rPr>
          <w:rFonts w:ascii="Calibri" w:hAnsi="Calibri"/>
          <w:b/>
          <w:color w:val="231F20"/>
          <w:spacing w:val="2"/>
          <w:w w:val="110"/>
        </w:rPr>
        <w:t xml:space="preserve"> </w:t>
      </w:r>
      <w:r w:rsidRPr="00464182">
        <w:rPr>
          <w:rFonts w:ascii="Calibri" w:hAnsi="Calibri"/>
          <w:b/>
          <w:color w:val="231F20"/>
          <w:w w:val="110"/>
        </w:rPr>
        <w:t>Occupations</w:t>
      </w:r>
    </w:p>
    <w:p w14:paraId="29D1CEF8" w14:textId="77777777" w:rsidR="00002D76" w:rsidRPr="00EA7458" w:rsidRDefault="00002D76" w:rsidP="00002D76">
      <w:pPr>
        <w:widowControl w:val="0"/>
        <w:spacing w:before="1" w:after="0" w:line="240" w:lineRule="auto"/>
        <w:rPr>
          <w:rFonts w:ascii="Calibri" w:hAnsi="Calibri" w:cs="Calibri"/>
          <w:b/>
          <w:bCs/>
          <w:sz w:val="9"/>
          <w:szCs w:val="9"/>
        </w:rPr>
      </w:pPr>
    </w:p>
    <w:tbl>
      <w:tblPr>
        <w:tblW w:w="0" w:type="auto"/>
        <w:tblInd w:w="-5" w:type="dxa"/>
        <w:tblLook w:val="04A0" w:firstRow="1" w:lastRow="0" w:firstColumn="1" w:lastColumn="0" w:noHBand="0" w:noVBand="1"/>
      </w:tblPr>
      <w:tblGrid>
        <w:gridCol w:w="379"/>
        <w:gridCol w:w="703"/>
        <w:gridCol w:w="1651"/>
        <w:gridCol w:w="1115"/>
        <w:gridCol w:w="1115"/>
        <w:gridCol w:w="844"/>
        <w:gridCol w:w="885"/>
        <w:gridCol w:w="992"/>
        <w:gridCol w:w="906"/>
        <w:gridCol w:w="704"/>
        <w:gridCol w:w="1141"/>
      </w:tblGrid>
      <w:tr w:rsidR="00CD1C1C" w:rsidRPr="00BE6993" w14:paraId="6D42221D" w14:textId="77777777" w:rsidTr="00CD1C1C">
        <w:trPr>
          <w:trHeight w:val="675"/>
        </w:trPr>
        <w:tc>
          <w:tcPr>
            <w:tcW w:w="0" w:type="auto"/>
            <w:tcBorders>
              <w:top w:val="single" w:sz="4" w:space="0" w:color="231F20"/>
              <w:left w:val="single" w:sz="4" w:space="0" w:color="231F20"/>
              <w:bottom w:val="single" w:sz="4" w:space="0" w:color="231F20"/>
              <w:right w:val="single" w:sz="4" w:space="0" w:color="231F20"/>
            </w:tcBorders>
            <w:shd w:val="clear" w:color="auto" w:fill="auto"/>
            <w:noWrap/>
            <w:vAlign w:val="center"/>
            <w:hideMark/>
          </w:tcPr>
          <w:p w14:paraId="0907631E" w14:textId="77777777" w:rsidR="00CD1C1C" w:rsidRPr="00F55C20" w:rsidRDefault="00CD1C1C" w:rsidP="00CD1C1C">
            <w:pPr>
              <w:spacing w:after="0" w:line="240" w:lineRule="auto"/>
              <w:rPr>
                <w:rFonts w:ascii="Calibri" w:hAnsi="Calibri"/>
                <w:color w:val="000000"/>
                <w:sz w:val="16"/>
                <w:szCs w:val="16"/>
              </w:rPr>
            </w:pPr>
          </w:p>
        </w:tc>
        <w:tc>
          <w:tcPr>
            <w:tcW w:w="0" w:type="auto"/>
            <w:tcBorders>
              <w:top w:val="single" w:sz="4" w:space="0" w:color="231F20"/>
              <w:left w:val="nil"/>
              <w:bottom w:val="single" w:sz="4" w:space="0" w:color="231F20"/>
              <w:right w:val="single" w:sz="4" w:space="0" w:color="231F20"/>
            </w:tcBorders>
            <w:shd w:val="clear" w:color="auto" w:fill="auto"/>
            <w:vAlign w:val="center"/>
            <w:hideMark/>
          </w:tcPr>
          <w:p w14:paraId="7B721A3C" w14:textId="77777777" w:rsidR="00CD1C1C" w:rsidRPr="00CD1C1C" w:rsidRDefault="00CD1C1C" w:rsidP="00D63204">
            <w:pPr>
              <w:spacing w:after="0" w:line="240" w:lineRule="auto"/>
              <w:rPr>
                <w:rFonts w:ascii="Calibri" w:hAnsi="Calibri"/>
                <w:b/>
                <w:bCs/>
                <w:color w:val="231F20"/>
                <w:sz w:val="16"/>
                <w:szCs w:val="16"/>
              </w:rPr>
            </w:pPr>
            <w:r w:rsidRPr="00CD1C1C">
              <w:rPr>
                <w:rFonts w:ascii="Calibri" w:hAnsi="Calibri"/>
                <w:b/>
                <w:bCs/>
                <w:color w:val="231F20"/>
                <w:sz w:val="16"/>
                <w:szCs w:val="16"/>
              </w:rPr>
              <w:t>Code</w:t>
            </w:r>
          </w:p>
        </w:tc>
        <w:tc>
          <w:tcPr>
            <w:tcW w:w="0" w:type="auto"/>
            <w:tcBorders>
              <w:top w:val="single" w:sz="4" w:space="0" w:color="231F20"/>
              <w:left w:val="nil"/>
              <w:bottom w:val="single" w:sz="4" w:space="0" w:color="231F20"/>
              <w:right w:val="single" w:sz="4" w:space="0" w:color="231F20"/>
            </w:tcBorders>
            <w:shd w:val="clear" w:color="auto" w:fill="auto"/>
            <w:vAlign w:val="center"/>
            <w:hideMark/>
          </w:tcPr>
          <w:p w14:paraId="636573AB" w14:textId="77777777" w:rsidR="00CD1C1C" w:rsidRPr="00CD1C1C" w:rsidRDefault="00CD1C1C" w:rsidP="00D63204">
            <w:pPr>
              <w:spacing w:after="0" w:line="240" w:lineRule="auto"/>
              <w:rPr>
                <w:rFonts w:ascii="Calibri" w:hAnsi="Calibri"/>
                <w:b/>
                <w:bCs/>
                <w:color w:val="231F20"/>
                <w:sz w:val="16"/>
                <w:szCs w:val="16"/>
              </w:rPr>
            </w:pPr>
            <w:r w:rsidRPr="00CD1C1C">
              <w:rPr>
                <w:rFonts w:ascii="Calibri" w:hAnsi="Calibri"/>
                <w:b/>
                <w:bCs/>
                <w:color w:val="231F20"/>
                <w:sz w:val="16"/>
                <w:szCs w:val="16"/>
              </w:rPr>
              <w:t>Occupation</w:t>
            </w:r>
          </w:p>
        </w:tc>
        <w:tc>
          <w:tcPr>
            <w:tcW w:w="0" w:type="auto"/>
            <w:tcBorders>
              <w:top w:val="single" w:sz="4" w:space="0" w:color="231F20"/>
              <w:left w:val="nil"/>
              <w:bottom w:val="single" w:sz="4" w:space="0" w:color="231F20"/>
              <w:right w:val="single" w:sz="4" w:space="0" w:color="231F20"/>
            </w:tcBorders>
            <w:shd w:val="clear" w:color="auto" w:fill="auto"/>
            <w:vAlign w:val="center"/>
            <w:hideMark/>
          </w:tcPr>
          <w:p w14:paraId="46135B56" w14:textId="77777777" w:rsidR="00CD1C1C" w:rsidRPr="00CD1C1C" w:rsidRDefault="00CD1C1C" w:rsidP="00D63204">
            <w:pPr>
              <w:spacing w:after="0" w:line="240" w:lineRule="auto"/>
              <w:rPr>
                <w:rFonts w:ascii="Calibri" w:hAnsi="Calibri"/>
                <w:b/>
                <w:bCs/>
                <w:color w:val="231F20"/>
                <w:sz w:val="16"/>
                <w:szCs w:val="16"/>
              </w:rPr>
            </w:pPr>
            <w:r w:rsidRPr="00CD1C1C">
              <w:rPr>
                <w:rFonts w:ascii="Calibri" w:hAnsi="Calibri"/>
                <w:b/>
                <w:bCs/>
                <w:color w:val="231F20"/>
                <w:sz w:val="16"/>
                <w:szCs w:val="16"/>
              </w:rPr>
              <w:t>2017 Employment</w:t>
            </w:r>
          </w:p>
        </w:tc>
        <w:tc>
          <w:tcPr>
            <w:tcW w:w="0" w:type="auto"/>
            <w:tcBorders>
              <w:top w:val="single" w:sz="4" w:space="0" w:color="231F20"/>
              <w:left w:val="nil"/>
              <w:bottom w:val="single" w:sz="4" w:space="0" w:color="231F20"/>
              <w:right w:val="single" w:sz="4" w:space="0" w:color="231F20"/>
            </w:tcBorders>
            <w:shd w:val="clear" w:color="auto" w:fill="auto"/>
            <w:vAlign w:val="center"/>
            <w:hideMark/>
          </w:tcPr>
          <w:p w14:paraId="6FA3C184" w14:textId="77777777" w:rsidR="00CD1C1C" w:rsidRPr="00CD1C1C" w:rsidRDefault="00CD1C1C" w:rsidP="00D63204">
            <w:pPr>
              <w:spacing w:after="0" w:line="240" w:lineRule="auto"/>
              <w:rPr>
                <w:rFonts w:ascii="Calibri" w:hAnsi="Calibri"/>
                <w:b/>
                <w:bCs/>
                <w:color w:val="231F20"/>
                <w:sz w:val="16"/>
                <w:szCs w:val="16"/>
              </w:rPr>
            </w:pPr>
            <w:r w:rsidRPr="00CD1C1C">
              <w:rPr>
                <w:rFonts w:ascii="Calibri" w:hAnsi="Calibri"/>
                <w:b/>
                <w:bCs/>
                <w:color w:val="231F20"/>
                <w:sz w:val="16"/>
                <w:szCs w:val="16"/>
              </w:rPr>
              <w:t>2025 Employment</w:t>
            </w:r>
          </w:p>
        </w:tc>
        <w:tc>
          <w:tcPr>
            <w:tcW w:w="0" w:type="auto"/>
            <w:tcBorders>
              <w:top w:val="single" w:sz="4" w:space="0" w:color="231F20"/>
              <w:left w:val="nil"/>
              <w:bottom w:val="single" w:sz="4" w:space="0" w:color="231F20"/>
              <w:right w:val="single" w:sz="4" w:space="0" w:color="231F20"/>
            </w:tcBorders>
            <w:shd w:val="clear" w:color="auto" w:fill="auto"/>
            <w:vAlign w:val="center"/>
            <w:hideMark/>
          </w:tcPr>
          <w:p w14:paraId="7843C588" w14:textId="77777777" w:rsidR="00CD1C1C" w:rsidRPr="00CD1C1C" w:rsidRDefault="00CD1C1C" w:rsidP="00D63204">
            <w:pPr>
              <w:spacing w:after="0" w:line="240" w:lineRule="auto"/>
              <w:rPr>
                <w:rFonts w:ascii="Calibri" w:hAnsi="Calibri"/>
                <w:b/>
                <w:bCs/>
                <w:color w:val="231F20"/>
                <w:sz w:val="16"/>
                <w:szCs w:val="16"/>
              </w:rPr>
            </w:pPr>
            <w:r w:rsidRPr="00CD1C1C">
              <w:rPr>
                <w:rFonts w:ascii="Calibri" w:hAnsi="Calibri"/>
                <w:b/>
                <w:bCs/>
                <w:color w:val="231F20"/>
                <w:sz w:val="16"/>
                <w:szCs w:val="16"/>
              </w:rPr>
              <w:t>2017-25 Level Change</w:t>
            </w:r>
          </w:p>
        </w:tc>
        <w:tc>
          <w:tcPr>
            <w:tcW w:w="0" w:type="auto"/>
            <w:tcBorders>
              <w:top w:val="single" w:sz="4" w:space="0" w:color="231F20"/>
              <w:left w:val="nil"/>
              <w:bottom w:val="single" w:sz="4" w:space="0" w:color="231F20"/>
              <w:right w:val="single" w:sz="4" w:space="0" w:color="231F20"/>
            </w:tcBorders>
            <w:shd w:val="clear" w:color="auto" w:fill="auto"/>
            <w:vAlign w:val="center"/>
            <w:hideMark/>
          </w:tcPr>
          <w:p w14:paraId="5AFDF7DA" w14:textId="77777777" w:rsidR="00CD1C1C" w:rsidRPr="00CD1C1C" w:rsidRDefault="00CD1C1C" w:rsidP="00D63204">
            <w:pPr>
              <w:spacing w:after="0" w:line="240" w:lineRule="auto"/>
              <w:rPr>
                <w:rFonts w:ascii="Calibri" w:hAnsi="Calibri"/>
                <w:b/>
                <w:bCs/>
                <w:color w:val="231F20"/>
                <w:sz w:val="16"/>
                <w:szCs w:val="16"/>
              </w:rPr>
            </w:pPr>
            <w:r w:rsidRPr="00CD1C1C">
              <w:rPr>
                <w:rFonts w:ascii="Calibri" w:hAnsi="Calibri"/>
                <w:b/>
                <w:bCs/>
                <w:color w:val="231F20"/>
                <w:sz w:val="16"/>
                <w:szCs w:val="16"/>
              </w:rPr>
              <w:t>2017-25 Percent Change</w:t>
            </w:r>
          </w:p>
        </w:tc>
        <w:tc>
          <w:tcPr>
            <w:tcW w:w="0" w:type="auto"/>
            <w:tcBorders>
              <w:top w:val="single" w:sz="4" w:space="0" w:color="231F20"/>
              <w:left w:val="nil"/>
              <w:bottom w:val="single" w:sz="4" w:space="0" w:color="231F20"/>
              <w:right w:val="single" w:sz="4" w:space="0" w:color="231F20"/>
            </w:tcBorders>
            <w:shd w:val="clear" w:color="auto" w:fill="auto"/>
            <w:vAlign w:val="center"/>
            <w:hideMark/>
          </w:tcPr>
          <w:p w14:paraId="5C1A535D" w14:textId="77777777" w:rsidR="00CD1C1C" w:rsidRPr="00CD1C1C" w:rsidRDefault="00CD1C1C" w:rsidP="00D63204">
            <w:pPr>
              <w:spacing w:after="0" w:line="240" w:lineRule="auto"/>
              <w:rPr>
                <w:rFonts w:ascii="Calibri" w:hAnsi="Calibri"/>
                <w:b/>
                <w:bCs/>
                <w:color w:val="231F20"/>
                <w:sz w:val="16"/>
                <w:szCs w:val="16"/>
              </w:rPr>
            </w:pPr>
            <w:r w:rsidRPr="00CD1C1C">
              <w:rPr>
                <w:rFonts w:ascii="Calibri" w:hAnsi="Calibri"/>
                <w:b/>
                <w:bCs/>
                <w:color w:val="231F20"/>
                <w:sz w:val="16"/>
                <w:szCs w:val="16"/>
              </w:rPr>
              <w:t>2017-25 Total Job openings</w:t>
            </w:r>
          </w:p>
        </w:tc>
        <w:tc>
          <w:tcPr>
            <w:tcW w:w="0" w:type="auto"/>
            <w:tcBorders>
              <w:top w:val="single" w:sz="4" w:space="0" w:color="231F20"/>
              <w:left w:val="nil"/>
              <w:bottom w:val="single" w:sz="4" w:space="0" w:color="231F20"/>
              <w:right w:val="single" w:sz="4" w:space="0" w:color="231F20"/>
            </w:tcBorders>
            <w:shd w:val="clear" w:color="auto" w:fill="auto"/>
            <w:vAlign w:val="center"/>
            <w:hideMark/>
          </w:tcPr>
          <w:p w14:paraId="78FD0992" w14:textId="77777777" w:rsidR="00CD1C1C" w:rsidRPr="00CD1C1C" w:rsidRDefault="00CD1C1C" w:rsidP="00D63204">
            <w:pPr>
              <w:spacing w:after="0" w:line="240" w:lineRule="auto"/>
              <w:rPr>
                <w:rFonts w:ascii="Calibri" w:hAnsi="Calibri"/>
                <w:b/>
                <w:bCs/>
                <w:color w:val="231F20"/>
                <w:sz w:val="16"/>
                <w:szCs w:val="16"/>
              </w:rPr>
            </w:pPr>
            <w:r w:rsidRPr="00CD1C1C">
              <w:rPr>
                <w:rFonts w:ascii="Calibri" w:hAnsi="Calibri"/>
                <w:b/>
                <w:bCs/>
                <w:color w:val="231F20"/>
                <w:sz w:val="16"/>
                <w:szCs w:val="16"/>
              </w:rPr>
              <w:t>2017 Median Hourly Wage</w:t>
            </w:r>
          </w:p>
        </w:tc>
        <w:tc>
          <w:tcPr>
            <w:tcW w:w="0" w:type="auto"/>
            <w:tcBorders>
              <w:top w:val="single" w:sz="4" w:space="0" w:color="231F20"/>
              <w:left w:val="nil"/>
              <w:bottom w:val="single" w:sz="4" w:space="0" w:color="231F20"/>
              <w:right w:val="single" w:sz="4" w:space="0" w:color="231F20"/>
            </w:tcBorders>
            <w:shd w:val="clear" w:color="auto" w:fill="auto"/>
            <w:vAlign w:val="center"/>
            <w:hideMark/>
          </w:tcPr>
          <w:p w14:paraId="1E6530BC" w14:textId="77777777" w:rsidR="00CD1C1C" w:rsidRPr="00CD1C1C" w:rsidRDefault="00CD1C1C" w:rsidP="00D63204">
            <w:pPr>
              <w:spacing w:after="0" w:line="240" w:lineRule="auto"/>
              <w:rPr>
                <w:rFonts w:ascii="Calibri" w:hAnsi="Calibri"/>
                <w:b/>
                <w:bCs/>
                <w:color w:val="231F20"/>
                <w:sz w:val="16"/>
                <w:szCs w:val="16"/>
              </w:rPr>
            </w:pPr>
            <w:r w:rsidRPr="00CD1C1C">
              <w:rPr>
                <w:rFonts w:ascii="Calibri" w:hAnsi="Calibri"/>
                <w:b/>
                <w:bCs/>
                <w:color w:val="231F20"/>
                <w:sz w:val="16"/>
                <w:szCs w:val="16"/>
              </w:rPr>
              <w:t>2017 Entry Wage</w:t>
            </w:r>
          </w:p>
        </w:tc>
        <w:tc>
          <w:tcPr>
            <w:tcW w:w="0" w:type="auto"/>
            <w:tcBorders>
              <w:top w:val="single" w:sz="4" w:space="0" w:color="231F20"/>
              <w:left w:val="nil"/>
              <w:bottom w:val="single" w:sz="4" w:space="0" w:color="231F20"/>
              <w:right w:val="single" w:sz="4" w:space="0" w:color="231F20"/>
            </w:tcBorders>
            <w:shd w:val="clear" w:color="auto" w:fill="auto"/>
            <w:vAlign w:val="center"/>
            <w:hideMark/>
          </w:tcPr>
          <w:p w14:paraId="2B0B582B" w14:textId="77777777" w:rsidR="00CD1C1C" w:rsidRPr="00CD1C1C" w:rsidRDefault="00CD1C1C" w:rsidP="00D63204">
            <w:pPr>
              <w:spacing w:after="0" w:line="240" w:lineRule="auto"/>
              <w:rPr>
                <w:rFonts w:ascii="Calibri" w:hAnsi="Calibri"/>
                <w:b/>
                <w:bCs/>
                <w:color w:val="231F20"/>
                <w:sz w:val="16"/>
                <w:szCs w:val="16"/>
              </w:rPr>
            </w:pPr>
            <w:r w:rsidRPr="00CD1C1C">
              <w:rPr>
                <w:rFonts w:ascii="Calibri" w:hAnsi="Calibri"/>
                <w:b/>
                <w:bCs/>
                <w:color w:val="231F20"/>
                <w:sz w:val="16"/>
                <w:szCs w:val="16"/>
              </w:rPr>
              <w:t>2017 Experienced Wage</w:t>
            </w:r>
          </w:p>
        </w:tc>
      </w:tr>
      <w:tr w:rsidR="002F07C8" w:rsidRPr="00BE6993" w14:paraId="3EDB8FA0" w14:textId="77777777" w:rsidTr="00CD1C1C">
        <w:trPr>
          <w:trHeight w:hRule="exact" w:val="300"/>
        </w:trPr>
        <w:tc>
          <w:tcPr>
            <w:tcW w:w="0" w:type="auto"/>
            <w:tcBorders>
              <w:top w:val="nil"/>
              <w:left w:val="single" w:sz="4" w:space="0" w:color="231F20"/>
              <w:bottom w:val="single" w:sz="4" w:space="0" w:color="231F20"/>
              <w:right w:val="single" w:sz="4" w:space="0" w:color="231F20"/>
            </w:tcBorders>
            <w:shd w:val="clear" w:color="000000" w:fill="E6E7E8"/>
            <w:vAlign w:val="center"/>
            <w:hideMark/>
          </w:tcPr>
          <w:p w14:paraId="1D23B117" w14:textId="77777777" w:rsidR="00CD1C1C" w:rsidRPr="00CD1C1C" w:rsidRDefault="00CD1C1C" w:rsidP="00D63204">
            <w:pPr>
              <w:spacing w:after="0" w:line="240" w:lineRule="auto"/>
              <w:rPr>
                <w:rFonts w:ascii="Calibri" w:hAnsi="Calibri"/>
                <w:color w:val="231F20"/>
                <w:sz w:val="16"/>
                <w:szCs w:val="16"/>
              </w:rPr>
            </w:pPr>
            <w:r w:rsidRPr="00CD1C1C">
              <w:rPr>
                <w:rFonts w:ascii="Calibri" w:hAnsi="Calibri"/>
                <w:color w:val="231F20"/>
                <w:sz w:val="16"/>
                <w:szCs w:val="16"/>
              </w:rPr>
              <w:t>1</w:t>
            </w:r>
          </w:p>
        </w:tc>
        <w:tc>
          <w:tcPr>
            <w:tcW w:w="0" w:type="auto"/>
            <w:tcBorders>
              <w:top w:val="nil"/>
              <w:left w:val="nil"/>
              <w:bottom w:val="single" w:sz="4" w:space="0" w:color="231F20"/>
              <w:right w:val="single" w:sz="4" w:space="0" w:color="231F20"/>
            </w:tcBorders>
            <w:shd w:val="clear" w:color="000000" w:fill="E6E7E8"/>
            <w:vAlign w:val="center"/>
            <w:hideMark/>
          </w:tcPr>
          <w:p w14:paraId="7D4D9140" w14:textId="77777777" w:rsidR="00CD1C1C" w:rsidRPr="00CD1C1C" w:rsidRDefault="00CD1C1C" w:rsidP="00CD1C1C">
            <w:pPr>
              <w:spacing w:after="0" w:line="240" w:lineRule="auto"/>
              <w:rPr>
                <w:rFonts w:ascii="Calibri" w:hAnsi="Calibri"/>
                <w:color w:val="231F20"/>
                <w:sz w:val="16"/>
                <w:szCs w:val="16"/>
              </w:rPr>
            </w:pPr>
            <w:r w:rsidRPr="00CD1C1C">
              <w:rPr>
                <w:rFonts w:ascii="Calibri" w:hAnsi="Calibri"/>
                <w:color w:val="231F20"/>
                <w:sz w:val="16"/>
                <w:szCs w:val="16"/>
              </w:rPr>
              <w:t>412031</w:t>
            </w:r>
          </w:p>
        </w:tc>
        <w:tc>
          <w:tcPr>
            <w:tcW w:w="0" w:type="auto"/>
            <w:tcBorders>
              <w:top w:val="nil"/>
              <w:left w:val="nil"/>
              <w:bottom w:val="single" w:sz="4" w:space="0" w:color="231F20"/>
              <w:right w:val="single" w:sz="4" w:space="0" w:color="231F20"/>
            </w:tcBorders>
            <w:shd w:val="clear" w:color="000000" w:fill="E6E7E8"/>
            <w:vAlign w:val="center"/>
            <w:hideMark/>
          </w:tcPr>
          <w:p w14:paraId="23CA328C" w14:textId="77777777" w:rsidR="00CD1C1C" w:rsidRPr="00CD1C1C" w:rsidRDefault="00CD1C1C" w:rsidP="00CD1C1C">
            <w:pPr>
              <w:spacing w:after="0" w:line="240" w:lineRule="auto"/>
              <w:rPr>
                <w:rFonts w:ascii="Calibri" w:hAnsi="Calibri"/>
                <w:color w:val="231F20"/>
                <w:sz w:val="16"/>
                <w:szCs w:val="16"/>
              </w:rPr>
            </w:pPr>
            <w:r w:rsidRPr="00CD1C1C">
              <w:rPr>
                <w:rFonts w:ascii="Calibri" w:hAnsi="Calibri"/>
                <w:color w:val="231F20"/>
                <w:sz w:val="16"/>
                <w:szCs w:val="16"/>
              </w:rPr>
              <w:t>Retail Salespersons</w:t>
            </w:r>
          </w:p>
        </w:tc>
        <w:tc>
          <w:tcPr>
            <w:tcW w:w="0" w:type="auto"/>
            <w:tcBorders>
              <w:top w:val="nil"/>
              <w:left w:val="nil"/>
              <w:bottom w:val="single" w:sz="4" w:space="0" w:color="231F20"/>
              <w:right w:val="single" w:sz="4" w:space="0" w:color="231F20"/>
            </w:tcBorders>
            <w:shd w:val="clear" w:color="000000" w:fill="E6E7E8"/>
            <w:vAlign w:val="center"/>
            <w:hideMark/>
          </w:tcPr>
          <w:p w14:paraId="1F01E6B9" w14:textId="77777777" w:rsidR="00CD1C1C" w:rsidRPr="00CD1C1C" w:rsidRDefault="00CD1C1C" w:rsidP="00D63204">
            <w:pPr>
              <w:spacing w:after="0" w:line="240" w:lineRule="auto"/>
              <w:rPr>
                <w:rFonts w:ascii="Calibri" w:hAnsi="Calibri"/>
                <w:color w:val="231F20"/>
                <w:sz w:val="16"/>
                <w:szCs w:val="16"/>
              </w:rPr>
            </w:pPr>
            <w:r w:rsidRPr="00CD1C1C">
              <w:rPr>
                <w:rFonts w:ascii="Calibri" w:hAnsi="Calibri"/>
                <w:color w:val="231F20"/>
                <w:sz w:val="16"/>
                <w:szCs w:val="16"/>
              </w:rPr>
              <w:t>351,545</w:t>
            </w:r>
          </w:p>
        </w:tc>
        <w:tc>
          <w:tcPr>
            <w:tcW w:w="0" w:type="auto"/>
            <w:tcBorders>
              <w:top w:val="nil"/>
              <w:left w:val="nil"/>
              <w:bottom w:val="single" w:sz="4" w:space="0" w:color="231F20"/>
              <w:right w:val="single" w:sz="4" w:space="0" w:color="231F20"/>
            </w:tcBorders>
            <w:shd w:val="clear" w:color="000000" w:fill="E6E7E8"/>
            <w:vAlign w:val="center"/>
            <w:hideMark/>
          </w:tcPr>
          <w:p w14:paraId="26FD1416" w14:textId="77777777" w:rsidR="00CD1C1C" w:rsidRPr="00CD1C1C" w:rsidRDefault="00CD1C1C" w:rsidP="00D63204">
            <w:pPr>
              <w:spacing w:after="0" w:line="240" w:lineRule="auto"/>
              <w:rPr>
                <w:rFonts w:ascii="Calibri" w:hAnsi="Calibri"/>
                <w:color w:val="231F20"/>
                <w:sz w:val="16"/>
                <w:szCs w:val="16"/>
              </w:rPr>
            </w:pPr>
            <w:r w:rsidRPr="00CD1C1C">
              <w:rPr>
                <w:rFonts w:ascii="Calibri" w:hAnsi="Calibri"/>
                <w:color w:val="231F20"/>
                <w:sz w:val="16"/>
                <w:szCs w:val="16"/>
              </w:rPr>
              <w:t>397,545</w:t>
            </w:r>
          </w:p>
        </w:tc>
        <w:tc>
          <w:tcPr>
            <w:tcW w:w="0" w:type="auto"/>
            <w:tcBorders>
              <w:top w:val="nil"/>
              <w:left w:val="nil"/>
              <w:bottom w:val="single" w:sz="4" w:space="0" w:color="231F20"/>
              <w:right w:val="single" w:sz="4" w:space="0" w:color="231F20"/>
            </w:tcBorders>
            <w:shd w:val="clear" w:color="000000" w:fill="E6E7E8"/>
            <w:vAlign w:val="center"/>
            <w:hideMark/>
          </w:tcPr>
          <w:p w14:paraId="55F85167" w14:textId="77777777" w:rsidR="00CD1C1C" w:rsidRPr="00CD1C1C" w:rsidRDefault="00CD1C1C" w:rsidP="00D63204">
            <w:pPr>
              <w:spacing w:after="0" w:line="240" w:lineRule="auto"/>
              <w:rPr>
                <w:rFonts w:ascii="Calibri" w:hAnsi="Calibri"/>
                <w:color w:val="231F20"/>
                <w:sz w:val="16"/>
                <w:szCs w:val="16"/>
              </w:rPr>
            </w:pPr>
            <w:r w:rsidRPr="00CD1C1C">
              <w:rPr>
                <w:rFonts w:ascii="Calibri" w:hAnsi="Calibri"/>
                <w:color w:val="231F20"/>
                <w:sz w:val="16"/>
                <w:szCs w:val="16"/>
              </w:rPr>
              <w:t>46,000</w:t>
            </w:r>
          </w:p>
        </w:tc>
        <w:tc>
          <w:tcPr>
            <w:tcW w:w="0" w:type="auto"/>
            <w:tcBorders>
              <w:top w:val="nil"/>
              <w:left w:val="nil"/>
              <w:bottom w:val="single" w:sz="4" w:space="0" w:color="231F20"/>
              <w:right w:val="single" w:sz="4" w:space="0" w:color="231F20"/>
            </w:tcBorders>
            <w:shd w:val="clear" w:color="000000" w:fill="E6E7E8"/>
            <w:vAlign w:val="center"/>
            <w:hideMark/>
          </w:tcPr>
          <w:p w14:paraId="3257CC36" w14:textId="77777777" w:rsidR="00CD1C1C" w:rsidRPr="00CD1C1C" w:rsidRDefault="00CD1C1C" w:rsidP="00D63204">
            <w:pPr>
              <w:spacing w:after="0" w:line="240" w:lineRule="auto"/>
              <w:rPr>
                <w:rFonts w:ascii="Calibri" w:hAnsi="Calibri"/>
                <w:color w:val="231F20"/>
                <w:sz w:val="16"/>
                <w:szCs w:val="16"/>
              </w:rPr>
            </w:pPr>
            <w:r w:rsidRPr="00CD1C1C">
              <w:rPr>
                <w:rFonts w:ascii="Calibri" w:hAnsi="Calibri"/>
                <w:color w:val="231F20"/>
                <w:sz w:val="16"/>
                <w:szCs w:val="16"/>
              </w:rPr>
              <w:t>13.09</w:t>
            </w:r>
          </w:p>
        </w:tc>
        <w:tc>
          <w:tcPr>
            <w:tcW w:w="0" w:type="auto"/>
            <w:tcBorders>
              <w:top w:val="nil"/>
              <w:left w:val="nil"/>
              <w:bottom w:val="single" w:sz="4" w:space="0" w:color="231F20"/>
              <w:right w:val="single" w:sz="4" w:space="0" w:color="231F20"/>
            </w:tcBorders>
            <w:shd w:val="clear" w:color="000000" w:fill="E6E7E8"/>
            <w:vAlign w:val="center"/>
            <w:hideMark/>
          </w:tcPr>
          <w:p w14:paraId="6D420DC1" w14:textId="77777777" w:rsidR="00CD1C1C" w:rsidRPr="00CD1C1C" w:rsidRDefault="00CD1C1C" w:rsidP="00D63204">
            <w:pPr>
              <w:spacing w:after="0" w:line="240" w:lineRule="auto"/>
              <w:rPr>
                <w:rFonts w:ascii="Calibri" w:hAnsi="Calibri"/>
                <w:color w:val="231F20"/>
                <w:sz w:val="16"/>
                <w:szCs w:val="16"/>
              </w:rPr>
            </w:pPr>
            <w:r w:rsidRPr="00CD1C1C">
              <w:rPr>
                <w:rFonts w:ascii="Calibri" w:hAnsi="Calibri"/>
                <w:color w:val="231F20"/>
                <w:sz w:val="16"/>
                <w:szCs w:val="16"/>
              </w:rPr>
              <w:t>482,959</w:t>
            </w:r>
          </w:p>
        </w:tc>
        <w:tc>
          <w:tcPr>
            <w:tcW w:w="0" w:type="auto"/>
            <w:tcBorders>
              <w:top w:val="nil"/>
              <w:left w:val="nil"/>
              <w:bottom w:val="single" w:sz="4" w:space="0" w:color="231F20"/>
              <w:right w:val="single" w:sz="4" w:space="0" w:color="231F20"/>
            </w:tcBorders>
            <w:shd w:val="clear" w:color="000000" w:fill="E6E7E8"/>
            <w:vAlign w:val="center"/>
            <w:hideMark/>
          </w:tcPr>
          <w:p w14:paraId="1A1692A9" w14:textId="77777777" w:rsidR="00CD1C1C" w:rsidRPr="00CD1C1C" w:rsidRDefault="00CD1C1C" w:rsidP="00D63204">
            <w:pPr>
              <w:spacing w:after="0" w:line="240" w:lineRule="auto"/>
              <w:rPr>
                <w:rFonts w:ascii="Calibri" w:hAnsi="Calibri"/>
                <w:color w:val="231F20"/>
                <w:sz w:val="16"/>
                <w:szCs w:val="16"/>
              </w:rPr>
            </w:pPr>
            <w:r w:rsidRPr="00CD1C1C">
              <w:rPr>
                <w:rFonts w:ascii="Calibri" w:hAnsi="Calibri"/>
                <w:color w:val="231F20"/>
                <w:sz w:val="16"/>
                <w:szCs w:val="16"/>
              </w:rPr>
              <w:t>10.36</w:t>
            </w:r>
          </w:p>
        </w:tc>
        <w:tc>
          <w:tcPr>
            <w:tcW w:w="0" w:type="auto"/>
            <w:tcBorders>
              <w:top w:val="nil"/>
              <w:left w:val="nil"/>
              <w:bottom w:val="single" w:sz="4" w:space="0" w:color="231F20"/>
              <w:right w:val="single" w:sz="4" w:space="0" w:color="231F20"/>
            </w:tcBorders>
            <w:shd w:val="clear" w:color="000000" w:fill="E6E7E8"/>
            <w:vAlign w:val="center"/>
            <w:hideMark/>
          </w:tcPr>
          <w:p w14:paraId="6F052672" w14:textId="77777777" w:rsidR="00CD1C1C" w:rsidRPr="00CD1C1C" w:rsidRDefault="00CD1C1C" w:rsidP="00D63204">
            <w:pPr>
              <w:spacing w:after="0" w:line="240" w:lineRule="auto"/>
              <w:rPr>
                <w:rFonts w:ascii="Calibri" w:hAnsi="Calibri"/>
                <w:color w:val="231F20"/>
                <w:sz w:val="16"/>
                <w:szCs w:val="16"/>
              </w:rPr>
            </w:pPr>
            <w:r w:rsidRPr="00CD1C1C">
              <w:rPr>
                <w:rFonts w:ascii="Calibri" w:hAnsi="Calibri"/>
                <w:color w:val="231F20"/>
                <w:sz w:val="16"/>
                <w:szCs w:val="16"/>
              </w:rPr>
              <w:t>8.9</w:t>
            </w:r>
          </w:p>
        </w:tc>
        <w:tc>
          <w:tcPr>
            <w:tcW w:w="0" w:type="auto"/>
            <w:tcBorders>
              <w:top w:val="nil"/>
              <w:left w:val="nil"/>
              <w:bottom w:val="single" w:sz="4" w:space="0" w:color="231F20"/>
              <w:right w:val="single" w:sz="4" w:space="0" w:color="231F20"/>
            </w:tcBorders>
            <w:shd w:val="clear" w:color="000000" w:fill="E6E7E8"/>
            <w:vAlign w:val="center"/>
            <w:hideMark/>
          </w:tcPr>
          <w:p w14:paraId="33A0E770" w14:textId="77777777" w:rsidR="00CD1C1C" w:rsidRPr="00CD1C1C" w:rsidRDefault="00CD1C1C" w:rsidP="00D63204">
            <w:pPr>
              <w:spacing w:after="0" w:line="240" w:lineRule="auto"/>
              <w:rPr>
                <w:rFonts w:ascii="Calibri" w:hAnsi="Calibri"/>
                <w:color w:val="231F20"/>
                <w:sz w:val="16"/>
                <w:szCs w:val="16"/>
              </w:rPr>
            </w:pPr>
            <w:r w:rsidRPr="00CD1C1C">
              <w:rPr>
                <w:rFonts w:ascii="Calibri" w:hAnsi="Calibri"/>
                <w:color w:val="231F20"/>
                <w:sz w:val="16"/>
                <w:szCs w:val="16"/>
              </w:rPr>
              <w:t>14.21</w:t>
            </w:r>
          </w:p>
        </w:tc>
      </w:tr>
      <w:tr w:rsidR="00CD1C1C" w:rsidRPr="00BE6993" w14:paraId="78868B1C" w14:textId="77777777" w:rsidTr="00CD1C1C">
        <w:trPr>
          <w:trHeight w:hRule="exact" w:val="675"/>
        </w:trPr>
        <w:tc>
          <w:tcPr>
            <w:tcW w:w="0" w:type="auto"/>
            <w:tcBorders>
              <w:top w:val="nil"/>
              <w:left w:val="single" w:sz="4" w:space="0" w:color="231F20"/>
              <w:bottom w:val="single" w:sz="4" w:space="0" w:color="231F20"/>
              <w:right w:val="single" w:sz="4" w:space="0" w:color="231F20"/>
            </w:tcBorders>
            <w:shd w:val="clear" w:color="auto" w:fill="auto"/>
            <w:vAlign w:val="center"/>
            <w:hideMark/>
          </w:tcPr>
          <w:p w14:paraId="0821C219" w14:textId="77777777" w:rsidR="00CD1C1C" w:rsidRPr="00CD1C1C" w:rsidRDefault="00CD1C1C" w:rsidP="00D63204">
            <w:pPr>
              <w:spacing w:after="0" w:line="240" w:lineRule="auto"/>
              <w:rPr>
                <w:rFonts w:ascii="Calibri" w:hAnsi="Calibri"/>
                <w:color w:val="231F20"/>
                <w:sz w:val="16"/>
                <w:szCs w:val="16"/>
              </w:rPr>
            </w:pPr>
            <w:r w:rsidRPr="00CD1C1C">
              <w:rPr>
                <w:rFonts w:ascii="Calibri" w:hAnsi="Calibri"/>
                <w:color w:val="231F20"/>
                <w:sz w:val="16"/>
                <w:szCs w:val="16"/>
              </w:rPr>
              <w:t>2</w:t>
            </w:r>
          </w:p>
        </w:tc>
        <w:tc>
          <w:tcPr>
            <w:tcW w:w="0" w:type="auto"/>
            <w:tcBorders>
              <w:top w:val="nil"/>
              <w:left w:val="nil"/>
              <w:bottom w:val="single" w:sz="4" w:space="0" w:color="231F20"/>
              <w:right w:val="single" w:sz="4" w:space="0" w:color="231F20"/>
            </w:tcBorders>
            <w:shd w:val="clear" w:color="auto" w:fill="auto"/>
            <w:vAlign w:val="center"/>
            <w:hideMark/>
          </w:tcPr>
          <w:p w14:paraId="121FEBD0" w14:textId="77777777" w:rsidR="00CD1C1C" w:rsidRPr="00CD1C1C" w:rsidRDefault="00CD1C1C" w:rsidP="00CD1C1C">
            <w:pPr>
              <w:spacing w:after="0" w:line="240" w:lineRule="auto"/>
              <w:rPr>
                <w:rFonts w:ascii="Calibri" w:hAnsi="Calibri"/>
                <w:color w:val="231F20"/>
                <w:sz w:val="16"/>
                <w:szCs w:val="16"/>
              </w:rPr>
            </w:pPr>
            <w:r w:rsidRPr="00CD1C1C">
              <w:rPr>
                <w:rFonts w:ascii="Calibri" w:hAnsi="Calibri"/>
                <w:color w:val="231F20"/>
                <w:sz w:val="16"/>
                <w:szCs w:val="16"/>
              </w:rPr>
              <w:t>353021</w:t>
            </w:r>
          </w:p>
        </w:tc>
        <w:tc>
          <w:tcPr>
            <w:tcW w:w="0" w:type="auto"/>
            <w:tcBorders>
              <w:top w:val="nil"/>
              <w:left w:val="nil"/>
              <w:bottom w:val="single" w:sz="4" w:space="0" w:color="231F20"/>
              <w:right w:val="single" w:sz="4" w:space="0" w:color="231F20"/>
            </w:tcBorders>
            <w:shd w:val="clear" w:color="auto" w:fill="auto"/>
            <w:vAlign w:val="center"/>
            <w:hideMark/>
          </w:tcPr>
          <w:p w14:paraId="6DA63CE9" w14:textId="77777777" w:rsidR="00CD1C1C" w:rsidRPr="00CD1C1C" w:rsidRDefault="00CD1C1C" w:rsidP="00CD1C1C">
            <w:pPr>
              <w:spacing w:after="0" w:line="240" w:lineRule="auto"/>
              <w:rPr>
                <w:rFonts w:ascii="Calibri" w:hAnsi="Calibri"/>
                <w:color w:val="231F20"/>
                <w:sz w:val="16"/>
                <w:szCs w:val="16"/>
              </w:rPr>
            </w:pPr>
            <w:r w:rsidRPr="00CD1C1C">
              <w:rPr>
                <w:rFonts w:ascii="Calibri" w:hAnsi="Calibri"/>
                <w:color w:val="231F20"/>
                <w:sz w:val="16"/>
                <w:szCs w:val="16"/>
              </w:rPr>
              <w:t>Combined Food Prep. and Serving Workers, Inc. Fast Food</w:t>
            </w:r>
          </w:p>
        </w:tc>
        <w:tc>
          <w:tcPr>
            <w:tcW w:w="0" w:type="auto"/>
            <w:tcBorders>
              <w:top w:val="nil"/>
              <w:left w:val="nil"/>
              <w:bottom w:val="single" w:sz="4" w:space="0" w:color="231F20"/>
              <w:right w:val="single" w:sz="4" w:space="0" w:color="231F20"/>
            </w:tcBorders>
            <w:shd w:val="clear" w:color="auto" w:fill="auto"/>
            <w:vAlign w:val="center"/>
            <w:hideMark/>
          </w:tcPr>
          <w:p w14:paraId="1D7BB93F" w14:textId="77777777" w:rsidR="00CD1C1C" w:rsidRPr="00CD1C1C" w:rsidRDefault="00CD1C1C" w:rsidP="00D63204">
            <w:pPr>
              <w:spacing w:after="0" w:line="240" w:lineRule="auto"/>
              <w:rPr>
                <w:rFonts w:ascii="Calibri" w:hAnsi="Calibri"/>
                <w:color w:val="231F20"/>
                <w:sz w:val="16"/>
                <w:szCs w:val="16"/>
              </w:rPr>
            </w:pPr>
            <w:r w:rsidRPr="00CD1C1C">
              <w:rPr>
                <w:rFonts w:ascii="Calibri" w:hAnsi="Calibri"/>
                <w:color w:val="231F20"/>
                <w:sz w:val="16"/>
                <w:szCs w:val="16"/>
              </w:rPr>
              <w:t>238,814</w:t>
            </w:r>
          </w:p>
        </w:tc>
        <w:tc>
          <w:tcPr>
            <w:tcW w:w="0" w:type="auto"/>
            <w:tcBorders>
              <w:top w:val="nil"/>
              <w:left w:val="nil"/>
              <w:bottom w:val="single" w:sz="4" w:space="0" w:color="231F20"/>
              <w:right w:val="single" w:sz="4" w:space="0" w:color="231F20"/>
            </w:tcBorders>
            <w:shd w:val="clear" w:color="auto" w:fill="auto"/>
            <w:vAlign w:val="center"/>
            <w:hideMark/>
          </w:tcPr>
          <w:p w14:paraId="2E7E7071" w14:textId="77777777" w:rsidR="00CD1C1C" w:rsidRPr="00CD1C1C" w:rsidRDefault="00CD1C1C" w:rsidP="00D63204">
            <w:pPr>
              <w:spacing w:after="0" w:line="240" w:lineRule="auto"/>
              <w:rPr>
                <w:rFonts w:ascii="Calibri" w:hAnsi="Calibri"/>
                <w:color w:val="231F20"/>
                <w:sz w:val="16"/>
                <w:szCs w:val="16"/>
              </w:rPr>
            </w:pPr>
            <w:r w:rsidRPr="00CD1C1C">
              <w:rPr>
                <w:rFonts w:ascii="Calibri" w:hAnsi="Calibri"/>
                <w:color w:val="231F20"/>
                <w:sz w:val="16"/>
                <w:szCs w:val="16"/>
              </w:rPr>
              <w:t>277,504</w:t>
            </w:r>
          </w:p>
        </w:tc>
        <w:tc>
          <w:tcPr>
            <w:tcW w:w="0" w:type="auto"/>
            <w:tcBorders>
              <w:top w:val="nil"/>
              <w:left w:val="nil"/>
              <w:bottom w:val="single" w:sz="4" w:space="0" w:color="231F20"/>
              <w:right w:val="single" w:sz="4" w:space="0" w:color="231F20"/>
            </w:tcBorders>
            <w:shd w:val="clear" w:color="auto" w:fill="auto"/>
            <w:vAlign w:val="center"/>
            <w:hideMark/>
          </w:tcPr>
          <w:p w14:paraId="43AC6EA0" w14:textId="77777777" w:rsidR="00CD1C1C" w:rsidRPr="00CD1C1C" w:rsidRDefault="00CD1C1C" w:rsidP="00D63204">
            <w:pPr>
              <w:spacing w:after="0" w:line="240" w:lineRule="auto"/>
              <w:rPr>
                <w:rFonts w:ascii="Calibri" w:hAnsi="Calibri"/>
                <w:color w:val="231F20"/>
                <w:sz w:val="16"/>
                <w:szCs w:val="16"/>
              </w:rPr>
            </w:pPr>
            <w:r w:rsidRPr="00CD1C1C">
              <w:rPr>
                <w:rFonts w:ascii="Calibri" w:hAnsi="Calibri"/>
                <w:color w:val="231F20"/>
                <w:sz w:val="16"/>
                <w:szCs w:val="16"/>
              </w:rPr>
              <w:t>38,690</w:t>
            </w:r>
          </w:p>
        </w:tc>
        <w:tc>
          <w:tcPr>
            <w:tcW w:w="0" w:type="auto"/>
            <w:tcBorders>
              <w:top w:val="nil"/>
              <w:left w:val="nil"/>
              <w:bottom w:val="single" w:sz="4" w:space="0" w:color="231F20"/>
              <w:right w:val="single" w:sz="4" w:space="0" w:color="231F20"/>
            </w:tcBorders>
            <w:shd w:val="clear" w:color="auto" w:fill="auto"/>
            <w:vAlign w:val="center"/>
            <w:hideMark/>
          </w:tcPr>
          <w:p w14:paraId="491CC638" w14:textId="77777777" w:rsidR="00CD1C1C" w:rsidRPr="00CD1C1C" w:rsidRDefault="00CD1C1C" w:rsidP="00D63204">
            <w:pPr>
              <w:spacing w:after="0" w:line="240" w:lineRule="auto"/>
              <w:rPr>
                <w:rFonts w:ascii="Calibri" w:hAnsi="Calibri"/>
                <w:color w:val="231F20"/>
                <w:sz w:val="16"/>
                <w:szCs w:val="16"/>
              </w:rPr>
            </w:pPr>
            <w:r w:rsidRPr="00CD1C1C">
              <w:rPr>
                <w:rFonts w:ascii="Calibri" w:hAnsi="Calibri"/>
                <w:color w:val="231F20"/>
                <w:sz w:val="16"/>
                <w:szCs w:val="16"/>
              </w:rPr>
              <w:t>16.20</w:t>
            </w:r>
          </w:p>
        </w:tc>
        <w:tc>
          <w:tcPr>
            <w:tcW w:w="0" w:type="auto"/>
            <w:tcBorders>
              <w:top w:val="nil"/>
              <w:left w:val="nil"/>
              <w:bottom w:val="single" w:sz="4" w:space="0" w:color="231F20"/>
              <w:right w:val="single" w:sz="4" w:space="0" w:color="231F20"/>
            </w:tcBorders>
            <w:shd w:val="clear" w:color="auto" w:fill="auto"/>
            <w:vAlign w:val="center"/>
            <w:hideMark/>
          </w:tcPr>
          <w:p w14:paraId="6FED20DE" w14:textId="77777777" w:rsidR="00CD1C1C" w:rsidRPr="00CD1C1C" w:rsidRDefault="00CD1C1C" w:rsidP="00D63204">
            <w:pPr>
              <w:spacing w:after="0" w:line="240" w:lineRule="auto"/>
              <w:rPr>
                <w:rFonts w:ascii="Calibri" w:hAnsi="Calibri"/>
                <w:color w:val="231F20"/>
                <w:sz w:val="16"/>
                <w:szCs w:val="16"/>
              </w:rPr>
            </w:pPr>
            <w:r w:rsidRPr="00CD1C1C">
              <w:rPr>
                <w:rFonts w:ascii="Calibri" w:hAnsi="Calibri"/>
                <w:color w:val="231F20"/>
                <w:sz w:val="16"/>
                <w:szCs w:val="16"/>
              </w:rPr>
              <w:t>417,337</w:t>
            </w:r>
          </w:p>
        </w:tc>
        <w:tc>
          <w:tcPr>
            <w:tcW w:w="0" w:type="auto"/>
            <w:tcBorders>
              <w:top w:val="nil"/>
              <w:left w:val="nil"/>
              <w:bottom w:val="single" w:sz="4" w:space="0" w:color="231F20"/>
              <w:right w:val="single" w:sz="4" w:space="0" w:color="231F20"/>
            </w:tcBorders>
            <w:shd w:val="clear" w:color="auto" w:fill="auto"/>
            <w:vAlign w:val="center"/>
            <w:hideMark/>
          </w:tcPr>
          <w:p w14:paraId="7712CC45" w14:textId="77777777" w:rsidR="00CD1C1C" w:rsidRPr="00CD1C1C" w:rsidRDefault="00CD1C1C" w:rsidP="00D63204">
            <w:pPr>
              <w:spacing w:after="0" w:line="240" w:lineRule="auto"/>
              <w:rPr>
                <w:rFonts w:ascii="Calibri" w:hAnsi="Calibri"/>
                <w:color w:val="231F20"/>
                <w:sz w:val="16"/>
                <w:szCs w:val="16"/>
              </w:rPr>
            </w:pPr>
            <w:r w:rsidRPr="00CD1C1C">
              <w:rPr>
                <w:rFonts w:ascii="Calibri" w:hAnsi="Calibri"/>
                <w:color w:val="231F20"/>
                <w:sz w:val="16"/>
                <w:szCs w:val="16"/>
              </w:rPr>
              <w:t>9.47</w:t>
            </w:r>
          </w:p>
        </w:tc>
        <w:tc>
          <w:tcPr>
            <w:tcW w:w="0" w:type="auto"/>
            <w:tcBorders>
              <w:top w:val="nil"/>
              <w:left w:val="nil"/>
              <w:bottom w:val="single" w:sz="4" w:space="0" w:color="231F20"/>
              <w:right w:val="single" w:sz="4" w:space="0" w:color="231F20"/>
            </w:tcBorders>
            <w:shd w:val="clear" w:color="auto" w:fill="auto"/>
            <w:vAlign w:val="center"/>
            <w:hideMark/>
          </w:tcPr>
          <w:p w14:paraId="27337B5D" w14:textId="77777777" w:rsidR="00CD1C1C" w:rsidRPr="00CD1C1C" w:rsidRDefault="00CD1C1C" w:rsidP="00D63204">
            <w:pPr>
              <w:spacing w:after="0" w:line="240" w:lineRule="auto"/>
              <w:rPr>
                <w:rFonts w:ascii="Calibri" w:hAnsi="Calibri"/>
                <w:color w:val="231F20"/>
                <w:sz w:val="16"/>
                <w:szCs w:val="16"/>
              </w:rPr>
            </w:pPr>
            <w:r w:rsidRPr="00CD1C1C">
              <w:rPr>
                <w:rFonts w:ascii="Calibri" w:hAnsi="Calibri"/>
                <w:color w:val="231F20"/>
                <w:sz w:val="16"/>
                <w:szCs w:val="16"/>
              </w:rPr>
              <w:t>9.14</w:t>
            </w:r>
          </w:p>
        </w:tc>
        <w:tc>
          <w:tcPr>
            <w:tcW w:w="0" w:type="auto"/>
            <w:tcBorders>
              <w:top w:val="nil"/>
              <w:left w:val="nil"/>
              <w:bottom w:val="single" w:sz="4" w:space="0" w:color="231F20"/>
              <w:right w:val="single" w:sz="4" w:space="0" w:color="231F20"/>
            </w:tcBorders>
            <w:shd w:val="clear" w:color="auto" w:fill="auto"/>
            <w:vAlign w:val="center"/>
            <w:hideMark/>
          </w:tcPr>
          <w:p w14:paraId="7D1061D8" w14:textId="77777777" w:rsidR="00CD1C1C" w:rsidRPr="00CD1C1C" w:rsidRDefault="00CD1C1C" w:rsidP="00D63204">
            <w:pPr>
              <w:spacing w:after="0" w:line="240" w:lineRule="auto"/>
              <w:rPr>
                <w:rFonts w:ascii="Calibri" w:hAnsi="Calibri"/>
                <w:color w:val="231F20"/>
                <w:sz w:val="16"/>
                <w:szCs w:val="16"/>
              </w:rPr>
            </w:pPr>
            <w:r w:rsidRPr="00CD1C1C">
              <w:rPr>
                <w:rFonts w:ascii="Calibri" w:hAnsi="Calibri"/>
                <w:color w:val="231F20"/>
                <w:sz w:val="16"/>
                <w:szCs w:val="16"/>
              </w:rPr>
              <w:t>10.44</w:t>
            </w:r>
          </w:p>
        </w:tc>
      </w:tr>
      <w:tr w:rsidR="002F07C8" w:rsidRPr="00BE6993" w14:paraId="0C10C247" w14:textId="77777777" w:rsidTr="00CD1C1C">
        <w:trPr>
          <w:trHeight w:hRule="exact" w:val="300"/>
        </w:trPr>
        <w:tc>
          <w:tcPr>
            <w:tcW w:w="0" w:type="auto"/>
            <w:tcBorders>
              <w:top w:val="nil"/>
              <w:left w:val="single" w:sz="4" w:space="0" w:color="231F20"/>
              <w:bottom w:val="single" w:sz="4" w:space="0" w:color="231F20"/>
              <w:right w:val="single" w:sz="4" w:space="0" w:color="231F20"/>
            </w:tcBorders>
            <w:shd w:val="clear" w:color="000000" w:fill="E6E7E8"/>
            <w:vAlign w:val="center"/>
            <w:hideMark/>
          </w:tcPr>
          <w:p w14:paraId="5C93A3E3" w14:textId="77777777" w:rsidR="00CD1C1C" w:rsidRPr="00CD1C1C" w:rsidRDefault="00CD1C1C" w:rsidP="00D63204">
            <w:pPr>
              <w:spacing w:after="0" w:line="240" w:lineRule="auto"/>
              <w:rPr>
                <w:rFonts w:ascii="Calibri" w:hAnsi="Calibri"/>
                <w:color w:val="231F20"/>
                <w:sz w:val="16"/>
                <w:szCs w:val="16"/>
              </w:rPr>
            </w:pPr>
            <w:r w:rsidRPr="00CD1C1C">
              <w:rPr>
                <w:rFonts w:ascii="Calibri" w:hAnsi="Calibri"/>
                <w:color w:val="231F20"/>
                <w:sz w:val="16"/>
                <w:szCs w:val="16"/>
              </w:rPr>
              <w:t>3</w:t>
            </w:r>
          </w:p>
        </w:tc>
        <w:tc>
          <w:tcPr>
            <w:tcW w:w="0" w:type="auto"/>
            <w:tcBorders>
              <w:top w:val="nil"/>
              <w:left w:val="nil"/>
              <w:bottom w:val="single" w:sz="4" w:space="0" w:color="231F20"/>
              <w:right w:val="single" w:sz="4" w:space="0" w:color="231F20"/>
            </w:tcBorders>
            <w:shd w:val="clear" w:color="000000" w:fill="E6E7E8"/>
            <w:vAlign w:val="center"/>
            <w:hideMark/>
          </w:tcPr>
          <w:p w14:paraId="270318E7" w14:textId="77777777" w:rsidR="00CD1C1C" w:rsidRPr="00CD1C1C" w:rsidRDefault="00CD1C1C" w:rsidP="00CD1C1C">
            <w:pPr>
              <w:spacing w:after="0" w:line="240" w:lineRule="auto"/>
              <w:rPr>
                <w:rFonts w:ascii="Calibri" w:hAnsi="Calibri"/>
                <w:color w:val="231F20"/>
                <w:sz w:val="16"/>
                <w:szCs w:val="16"/>
              </w:rPr>
            </w:pPr>
            <w:r w:rsidRPr="00CD1C1C">
              <w:rPr>
                <w:rFonts w:ascii="Calibri" w:hAnsi="Calibri"/>
                <w:color w:val="231F20"/>
                <w:sz w:val="16"/>
                <w:szCs w:val="16"/>
              </w:rPr>
              <w:t>412011</w:t>
            </w:r>
          </w:p>
        </w:tc>
        <w:tc>
          <w:tcPr>
            <w:tcW w:w="0" w:type="auto"/>
            <w:tcBorders>
              <w:top w:val="nil"/>
              <w:left w:val="nil"/>
              <w:bottom w:val="single" w:sz="4" w:space="0" w:color="231F20"/>
              <w:right w:val="single" w:sz="4" w:space="0" w:color="231F20"/>
            </w:tcBorders>
            <w:shd w:val="clear" w:color="000000" w:fill="E6E7E8"/>
            <w:vAlign w:val="center"/>
            <w:hideMark/>
          </w:tcPr>
          <w:p w14:paraId="3CDF1CCD" w14:textId="77777777" w:rsidR="00CD1C1C" w:rsidRPr="00CD1C1C" w:rsidRDefault="00CD1C1C" w:rsidP="00CD1C1C">
            <w:pPr>
              <w:spacing w:after="0" w:line="240" w:lineRule="auto"/>
              <w:rPr>
                <w:rFonts w:ascii="Calibri" w:hAnsi="Calibri"/>
                <w:color w:val="231F20"/>
                <w:sz w:val="16"/>
                <w:szCs w:val="16"/>
              </w:rPr>
            </w:pPr>
            <w:r w:rsidRPr="00CD1C1C">
              <w:rPr>
                <w:rFonts w:ascii="Calibri" w:hAnsi="Calibri"/>
                <w:color w:val="231F20"/>
                <w:sz w:val="16"/>
                <w:szCs w:val="16"/>
              </w:rPr>
              <w:t>Cashiers</w:t>
            </w:r>
          </w:p>
        </w:tc>
        <w:tc>
          <w:tcPr>
            <w:tcW w:w="0" w:type="auto"/>
            <w:tcBorders>
              <w:top w:val="nil"/>
              <w:left w:val="nil"/>
              <w:bottom w:val="single" w:sz="4" w:space="0" w:color="231F20"/>
              <w:right w:val="single" w:sz="4" w:space="0" w:color="231F20"/>
            </w:tcBorders>
            <w:shd w:val="clear" w:color="000000" w:fill="E6E7E8"/>
            <w:vAlign w:val="center"/>
            <w:hideMark/>
          </w:tcPr>
          <w:p w14:paraId="5660B7DE" w14:textId="77777777" w:rsidR="00CD1C1C" w:rsidRPr="00CD1C1C" w:rsidRDefault="00CD1C1C" w:rsidP="00D63204">
            <w:pPr>
              <w:spacing w:after="0" w:line="240" w:lineRule="auto"/>
              <w:rPr>
                <w:rFonts w:ascii="Calibri" w:hAnsi="Calibri"/>
                <w:color w:val="231F20"/>
                <w:sz w:val="16"/>
                <w:szCs w:val="16"/>
              </w:rPr>
            </w:pPr>
            <w:r w:rsidRPr="00CD1C1C">
              <w:rPr>
                <w:rFonts w:ascii="Calibri" w:hAnsi="Calibri"/>
                <w:color w:val="231F20"/>
                <w:sz w:val="16"/>
                <w:szCs w:val="16"/>
              </w:rPr>
              <w:t>248,045</w:t>
            </w:r>
          </w:p>
        </w:tc>
        <w:tc>
          <w:tcPr>
            <w:tcW w:w="0" w:type="auto"/>
            <w:tcBorders>
              <w:top w:val="nil"/>
              <w:left w:val="nil"/>
              <w:bottom w:val="single" w:sz="4" w:space="0" w:color="231F20"/>
              <w:right w:val="single" w:sz="4" w:space="0" w:color="231F20"/>
            </w:tcBorders>
            <w:shd w:val="clear" w:color="000000" w:fill="E6E7E8"/>
            <w:vAlign w:val="center"/>
            <w:hideMark/>
          </w:tcPr>
          <w:p w14:paraId="577A9FDB" w14:textId="77777777" w:rsidR="00CD1C1C" w:rsidRPr="00CD1C1C" w:rsidRDefault="00CD1C1C" w:rsidP="00D63204">
            <w:pPr>
              <w:spacing w:after="0" w:line="240" w:lineRule="auto"/>
              <w:rPr>
                <w:rFonts w:ascii="Calibri" w:hAnsi="Calibri"/>
                <w:color w:val="231F20"/>
                <w:sz w:val="16"/>
                <w:szCs w:val="16"/>
              </w:rPr>
            </w:pPr>
            <w:r w:rsidRPr="00CD1C1C">
              <w:rPr>
                <w:rFonts w:ascii="Calibri" w:hAnsi="Calibri"/>
                <w:color w:val="231F20"/>
                <w:sz w:val="16"/>
                <w:szCs w:val="16"/>
              </w:rPr>
              <w:t>261,482</w:t>
            </w:r>
          </w:p>
        </w:tc>
        <w:tc>
          <w:tcPr>
            <w:tcW w:w="0" w:type="auto"/>
            <w:tcBorders>
              <w:top w:val="nil"/>
              <w:left w:val="nil"/>
              <w:bottom w:val="single" w:sz="4" w:space="0" w:color="231F20"/>
              <w:right w:val="single" w:sz="4" w:space="0" w:color="231F20"/>
            </w:tcBorders>
            <w:shd w:val="clear" w:color="000000" w:fill="E6E7E8"/>
            <w:vAlign w:val="center"/>
            <w:hideMark/>
          </w:tcPr>
          <w:p w14:paraId="16537718" w14:textId="77777777" w:rsidR="00CD1C1C" w:rsidRPr="00CD1C1C" w:rsidRDefault="00CD1C1C" w:rsidP="00D63204">
            <w:pPr>
              <w:spacing w:after="0" w:line="240" w:lineRule="auto"/>
              <w:rPr>
                <w:rFonts w:ascii="Calibri" w:hAnsi="Calibri"/>
                <w:color w:val="231F20"/>
                <w:sz w:val="16"/>
                <w:szCs w:val="16"/>
              </w:rPr>
            </w:pPr>
            <w:r w:rsidRPr="00CD1C1C">
              <w:rPr>
                <w:rFonts w:ascii="Calibri" w:hAnsi="Calibri"/>
                <w:color w:val="231F20"/>
                <w:sz w:val="16"/>
                <w:szCs w:val="16"/>
              </w:rPr>
              <w:t>13,437</w:t>
            </w:r>
          </w:p>
        </w:tc>
        <w:tc>
          <w:tcPr>
            <w:tcW w:w="0" w:type="auto"/>
            <w:tcBorders>
              <w:top w:val="nil"/>
              <w:left w:val="nil"/>
              <w:bottom w:val="single" w:sz="4" w:space="0" w:color="231F20"/>
              <w:right w:val="single" w:sz="4" w:space="0" w:color="231F20"/>
            </w:tcBorders>
            <w:shd w:val="clear" w:color="000000" w:fill="E6E7E8"/>
            <w:vAlign w:val="center"/>
            <w:hideMark/>
          </w:tcPr>
          <w:p w14:paraId="1B0C81BA" w14:textId="77777777" w:rsidR="00CD1C1C" w:rsidRPr="00CD1C1C" w:rsidRDefault="00CD1C1C" w:rsidP="00D63204">
            <w:pPr>
              <w:spacing w:after="0" w:line="240" w:lineRule="auto"/>
              <w:rPr>
                <w:rFonts w:ascii="Calibri" w:hAnsi="Calibri"/>
                <w:color w:val="231F20"/>
                <w:sz w:val="16"/>
                <w:szCs w:val="16"/>
              </w:rPr>
            </w:pPr>
            <w:r w:rsidRPr="00CD1C1C">
              <w:rPr>
                <w:rFonts w:ascii="Calibri" w:hAnsi="Calibri"/>
                <w:color w:val="231F20"/>
                <w:sz w:val="16"/>
                <w:szCs w:val="16"/>
              </w:rPr>
              <w:t>5.42</w:t>
            </w:r>
          </w:p>
        </w:tc>
        <w:tc>
          <w:tcPr>
            <w:tcW w:w="0" w:type="auto"/>
            <w:tcBorders>
              <w:top w:val="nil"/>
              <w:left w:val="nil"/>
              <w:bottom w:val="single" w:sz="4" w:space="0" w:color="231F20"/>
              <w:right w:val="single" w:sz="4" w:space="0" w:color="231F20"/>
            </w:tcBorders>
            <w:shd w:val="clear" w:color="000000" w:fill="E6E7E8"/>
            <w:vAlign w:val="center"/>
            <w:hideMark/>
          </w:tcPr>
          <w:p w14:paraId="49D98447" w14:textId="77777777" w:rsidR="00CD1C1C" w:rsidRPr="00CD1C1C" w:rsidRDefault="00CD1C1C" w:rsidP="00D63204">
            <w:pPr>
              <w:spacing w:after="0" w:line="240" w:lineRule="auto"/>
              <w:rPr>
                <w:rFonts w:ascii="Calibri" w:hAnsi="Calibri"/>
                <w:color w:val="231F20"/>
                <w:sz w:val="16"/>
                <w:szCs w:val="16"/>
              </w:rPr>
            </w:pPr>
            <w:r w:rsidRPr="00CD1C1C">
              <w:rPr>
                <w:rFonts w:ascii="Calibri" w:hAnsi="Calibri"/>
                <w:color w:val="231F20"/>
                <w:sz w:val="16"/>
                <w:szCs w:val="16"/>
              </w:rPr>
              <w:t>391,038</w:t>
            </w:r>
          </w:p>
        </w:tc>
        <w:tc>
          <w:tcPr>
            <w:tcW w:w="0" w:type="auto"/>
            <w:tcBorders>
              <w:top w:val="nil"/>
              <w:left w:val="nil"/>
              <w:bottom w:val="single" w:sz="4" w:space="0" w:color="231F20"/>
              <w:right w:val="single" w:sz="4" w:space="0" w:color="231F20"/>
            </w:tcBorders>
            <w:shd w:val="clear" w:color="000000" w:fill="E6E7E8"/>
            <w:vAlign w:val="center"/>
            <w:hideMark/>
          </w:tcPr>
          <w:p w14:paraId="38B46B1D" w14:textId="77777777" w:rsidR="00CD1C1C" w:rsidRPr="00CD1C1C" w:rsidRDefault="00CD1C1C" w:rsidP="00D63204">
            <w:pPr>
              <w:spacing w:after="0" w:line="240" w:lineRule="auto"/>
              <w:rPr>
                <w:rFonts w:ascii="Calibri" w:hAnsi="Calibri"/>
                <w:color w:val="231F20"/>
                <w:sz w:val="16"/>
                <w:szCs w:val="16"/>
              </w:rPr>
            </w:pPr>
            <w:r w:rsidRPr="00CD1C1C">
              <w:rPr>
                <w:rFonts w:ascii="Calibri" w:hAnsi="Calibri"/>
                <w:color w:val="231F20"/>
                <w:sz w:val="16"/>
                <w:szCs w:val="16"/>
              </w:rPr>
              <w:t>9.31</w:t>
            </w:r>
          </w:p>
        </w:tc>
        <w:tc>
          <w:tcPr>
            <w:tcW w:w="0" w:type="auto"/>
            <w:tcBorders>
              <w:top w:val="nil"/>
              <w:left w:val="nil"/>
              <w:bottom w:val="single" w:sz="4" w:space="0" w:color="231F20"/>
              <w:right w:val="single" w:sz="4" w:space="0" w:color="231F20"/>
            </w:tcBorders>
            <w:shd w:val="clear" w:color="000000" w:fill="E6E7E8"/>
            <w:vAlign w:val="center"/>
            <w:hideMark/>
          </w:tcPr>
          <w:p w14:paraId="7C7E10C5" w14:textId="77777777" w:rsidR="00CD1C1C" w:rsidRPr="00CD1C1C" w:rsidRDefault="00CD1C1C" w:rsidP="00D63204">
            <w:pPr>
              <w:spacing w:after="0" w:line="240" w:lineRule="auto"/>
              <w:rPr>
                <w:rFonts w:ascii="Calibri" w:hAnsi="Calibri"/>
                <w:color w:val="231F20"/>
                <w:sz w:val="16"/>
                <w:szCs w:val="16"/>
              </w:rPr>
            </w:pPr>
            <w:r w:rsidRPr="00CD1C1C">
              <w:rPr>
                <w:rFonts w:ascii="Calibri" w:hAnsi="Calibri"/>
                <w:color w:val="231F20"/>
                <w:sz w:val="16"/>
                <w:szCs w:val="16"/>
              </w:rPr>
              <w:t>8.88</w:t>
            </w:r>
          </w:p>
        </w:tc>
        <w:tc>
          <w:tcPr>
            <w:tcW w:w="0" w:type="auto"/>
            <w:tcBorders>
              <w:top w:val="nil"/>
              <w:left w:val="nil"/>
              <w:bottom w:val="single" w:sz="4" w:space="0" w:color="231F20"/>
              <w:right w:val="single" w:sz="4" w:space="0" w:color="231F20"/>
            </w:tcBorders>
            <w:shd w:val="clear" w:color="000000" w:fill="E6E7E8"/>
            <w:vAlign w:val="center"/>
            <w:hideMark/>
          </w:tcPr>
          <w:p w14:paraId="0B566296" w14:textId="77777777" w:rsidR="00CD1C1C" w:rsidRPr="00CD1C1C" w:rsidRDefault="00CD1C1C" w:rsidP="00D63204">
            <w:pPr>
              <w:spacing w:after="0" w:line="240" w:lineRule="auto"/>
              <w:rPr>
                <w:rFonts w:ascii="Calibri" w:hAnsi="Calibri"/>
                <w:color w:val="231F20"/>
                <w:sz w:val="16"/>
                <w:szCs w:val="16"/>
              </w:rPr>
            </w:pPr>
            <w:r w:rsidRPr="00CD1C1C">
              <w:rPr>
                <w:rFonts w:ascii="Calibri" w:hAnsi="Calibri"/>
                <w:color w:val="231F20"/>
                <w:sz w:val="16"/>
                <w:szCs w:val="16"/>
              </w:rPr>
              <w:t>10.48</w:t>
            </w:r>
          </w:p>
        </w:tc>
      </w:tr>
      <w:tr w:rsidR="00CD1C1C" w:rsidRPr="00BE6993" w14:paraId="09BEC7F3" w14:textId="77777777" w:rsidTr="00CD1C1C">
        <w:trPr>
          <w:trHeight w:hRule="exact" w:val="487"/>
        </w:trPr>
        <w:tc>
          <w:tcPr>
            <w:tcW w:w="0" w:type="auto"/>
            <w:tcBorders>
              <w:top w:val="nil"/>
              <w:left w:val="single" w:sz="4" w:space="0" w:color="231F20"/>
              <w:bottom w:val="single" w:sz="4" w:space="0" w:color="231F20"/>
              <w:right w:val="single" w:sz="4" w:space="0" w:color="231F20"/>
            </w:tcBorders>
            <w:shd w:val="clear" w:color="auto" w:fill="auto"/>
            <w:vAlign w:val="center"/>
            <w:hideMark/>
          </w:tcPr>
          <w:p w14:paraId="79F9D097" w14:textId="77777777" w:rsidR="00CD1C1C" w:rsidRPr="00CD1C1C" w:rsidRDefault="00CD1C1C" w:rsidP="00D63204">
            <w:pPr>
              <w:spacing w:after="0" w:line="240" w:lineRule="auto"/>
              <w:rPr>
                <w:rFonts w:ascii="Calibri" w:hAnsi="Calibri"/>
                <w:color w:val="231F20"/>
                <w:sz w:val="16"/>
                <w:szCs w:val="16"/>
              </w:rPr>
            </w:pPr>
            <w:r w:rsidRPr="00CD1C1C">
              <w:rPr>
                <w:rFonts w:ascii="Calibri" w:hAnsi="Calibri"/>
                <w:color w:val="231F20"/>
                <w:sz w:val="16"/>
                <w:szCs w:val="16"/>
              </w:rPr>
              <w:t>4</w:t>
            </w:r>
          </w:p>
        </w:tc>
        <w:tc>
          <w:tcPr>
            <w:tcW w:w="0" w:type="auto"/>
            <w:tcBorders>
              <w:top w:val="nil"/>
              <w:left w:val="nil"/>
              <w:bottom w:val="single" w:sz="4" w:space="0" w:color="231F20"/>
              <w:right w:val="single" w:sz="4" w:space="0" w:color="231F20"/>
            </w:tcBorders>
            <w:shd w:val="clear" w:color="auto" w:fill="auto"/>
            <w:vAlign w:val="center"/>
            <w:hideMark/>
          </w:tcPr>
          <w:p w14:paraId="7FC436E6" w14:textId="77777777" w:rsidR="00CD1C1C" w:rsidRPr="00CD1C1C" w:rsidRDefault="00CD1C1C" w:rsidP="00CD1C1C">
            <w:pPr>
              <w:spacing w:after="0" w:line="240" w:lineRule="auto"/>
              <w:rPr>
                <w:rFonts w:ascii="Calibri" w:hAnsi="Calibri"/>
                <w:color w:val="231F20"/>
                <w:sz w:val="16"/>
                <w:szCs w:val="16"/>
              </w:rPr>
            </w:pPr>
            <w:r w:rsidRPr="00CD1C1C">
              <w:rPr>
                <w:rFonts w:ascii="Calibri" w:hAnsi="Calibri"/>
                <w:color w:val="231F20"/>
                <w:sz w:val="16"/>
                <w:szCs w:val="16"/>
              </w:rPr>
              <w:t>353031</w:t>
            </w:r>
          </w:p>
        </w:tc>
        <w:tc>
          <w:tcPr>
            <w:tcW w:w="0" w:type="auto"/>
            <w:tcBorders>
              <w:top w:val="nil"/>
              <w:left w:val="nil"/>
              <w:bottom w:val="single" w:sz="4" w:space="0" w:color="231F20"/>
              <w:right w:val="single" w:sz="4" w:space="0" w:color="231F20"/>
            </w:tcBorders>
            <w:shd w:val="clear" w:color="auto" w:fill="auto"/>
            <w:vAlign w:val="center"/>
            <w:hideMark/>
          </w:tcPr>
          <w:p w14:paraId="257B141C" w14:textId="77777777" w:rsidR="00CD1C1C" w:rsidRPr="00CD1C1C" w:rsidRDefault="00CD1C1C" w:rsidP="00CD1C1C">
            <w:pPr>
              <w:spacing w:after="0" w:line="240" w:lineRule="auto"/>
              <w:rPr>
                <w:rFonts w:ascii="Calibri" w:hAnsi="Calibri"/>
                <w:color w:val="231F20"/>
                <w:sz w:val="16"/>
                <w:szCs w:val="16"/>
              </w:rPr>
            </w:pPr>
            <w:r w:rsidRPr="00CD1C1C">
              <w:rPr>
                <w:rFonts w:ascii="Calibri" w:hAnsi="Calibri"/>
                <w:color w:val="231F20"/>
                <w:sz w:val="16"/>
                <w:szCs w:val="16"/>
              </w:rPr>
              <w:t>Waiters and Waitresses</w:t>
            </w:r>
          </w:p>
        </w:tc>
        <w:tc>
          <w:tcPr>
            <w:tcW w:w="0" w:type="auto"/>
            <w:tcBorders>
              <w:top w:val="nil"/>
              <w:left w:val="nil"/>
              <w:bottom w:val="single" w:sz="4" w:space="0" w:color="231F20"/>
              <w:right w:val="single" w:sz="4" w:space="0" w:color="231F20"/>
            </w:tcBorders>
            <w:shd w:val="clear" w:color="auto" w:fill="auto"/>
            <w:vAlign w:val="center"/>
            <w:hideMark/>
          </w:tcPr>
          <w:p w14:paraId="7DBF4811" w14:textId="77777777" w:rsidR="00CD1C1C" w:rsidRPr="00CD1C1C" w:rsidRDefault="00CD1C1C" w:rsidP="00D63204">
            <w:pPr>
              <w:spacing w:after="0" w:line="240" w:lineRule="auto"/>
              <w:rPr>
                <w:rFonts w:ascii="Calibri" w:hAnsi="Calibri"/>
                <w:color w:val="231F20"/>
                <w:sz w:val="16"/>
                <w:szCs w:val="16"/>
              </w:rPr>
            </w:pPr>
            <w:r w:rsidRPr="00CD1C1C">
              <w:rPr>
                <w:rFonts w:ascii="Calibri" w:hAnsi="Calibri"/>
                <w:color w:val="231F20"/>
                <w:sz w:val="16"/>
                <w:szCs w:val="16"/>
              </w:rPr>
              <w:t>226,204</w:t>
            </w:r>
          </w:p>
        </w:tc>
        <w:tc>
          <w:tcPr>
            <w:tcW w:w="0" w:type="auto"/>
            <w:tcBorders>
              <w:top w:val="nil"/>
              <w:left w:val="nil"/>
              <w:bottom w:val="single" w:sz="4" w:space="0" w:color="231F20"/>
              <w:right w:val="single" w:sz="4" w:space="0" w:color="231F20"/>
            </w:tcBorders>
            <w:shd w:val="clear" w:color="auto" w:fill="auto"/>
            <w:vAlign w:val="center"/>
            <w:hideMark/>
          </w:tcPr>
          <w:p w14:paraId="2E3CA279" w14:textId="77777777" w:rsidR="00CD1C1C" w:rsidRPr="00CD1C1C" w:rsidRDefault="00CD1C1C" w:rsidP="00D63204">
            <w:pPr>
              <w:spacing w:after="0" w:line="240" w:lineRule="auto"/>
              <w:rPr>
                <w:rFonts w:ascii="Calibri" w:hAnsi="Calibri"/>
                <w:color w:val="231F20"/>
                <w:sz w:val="16"/>
                <w:szCs w:val="16"/>
              </w:rPr>
            </w:pPr>
            <w:r w:rsidRPr="00CD1C1C">
              <w:rPr>
                <w:rFonts w:ascii="Calibri" w:hAnsi="Calibri"/>
                <w:color w:val="231F20"/>
                <w:sz w:val="16"/>
                <w:szCs w:val="16"/>
              </w:rPr>
              <w:t>247,019</w:t>
            </w:r>
          </w:p>
        </w:tc>
        <w:tc>
          <w:tcPr>
            <w:tcW w:w="0" w:type="auto"/>
            <w:tcBorders>
              <w:top w:val="nil"/>
              <w:left w:val="nil"/>
              <w:bottom w:val="single" w:sz="4" w:space="0" w:color="231F20"/>
              <w:right w:val="single" w:sz="4" w:space="0" w:color="231F20"/>
            </w:tcBorders>
            <w:shd w:val="clear" w:color="auto" w:fill="auto"/>
            <w:vAlign w:val="center"/>
            <w:hideMark/>
          </w:tcPr>
          <w:p w14:paraId="6731BDD1" w14:textId="77777777" w:rsidR="00CD1C1C" w:rsidRPr="00CD1C1C" w:rsidRDefault="00CD1C1C" w:rsidP="00D63204">
            <w:pPr>
              <w:spacing w:after="0" w:line="240" w:lineRule="auto"/>
              <w:rPr>
                <w:rFonts w:ascii="Calibri" w:hAnsi="Calibri"/>
                <w:color w:val="231F20"/>
                <w:sz w:val="16"/>
                <w:szCs w:val="16"/>
              </w:rPr>
            </w:pPr>
            <w:r w:rsidRPr="00CD1C1C">
              <w:rPr>
                <w:rFonts w:ascii="Calibri" w:hAnsi="Calibri"/>
                <w:color w:val="231F20"/>
                <w:sz w:val="16"/>
                <w:szCs w:val="16"/>
              </w:rPr>
              <w:t>20,815</w:t>
            </w:r>
          </w:p>
        </w:tc>
        <w:tc>
          <w:tcPr>
            <w:tcW w:w="0" w:type="auto"/>
            <w:tcBorders>
              <w:top w:val="nil"/>
              <w:left w:val="nil"/>
              <w:bottom w:val="single" w:sz="4" w:space="0" w:color="231F20"/>
              <w:right w:val="single" w:sz="4" w:space="0" w:color="231F20"/>
            </w:tcBorders>
            <w:shd w:val="clear" w:color="auto" w:fill="auto"/>
            <w:vAlign w:val="center"/>
            <w:hideMark/>
          </w:tcPr>
          <w:p w14:paraId="7A4BEE2A" w14:textId="77777777" w:rsidR="00CD1C1C" w:rsidRPr="00CD1C1C" w:rsidRDefault="00CD1C1C" w:rsidP="00D63204">
            <w:pPr>
              <w:spacing w:after="0" w:line="240" w:lineRule="auto"/>
              <w:rPr>
                <w:rFonts w:ascii="Calibri" w:hAnsi="Calibri"/>
                <w:color w:val="231F20"/>
                <w:sz w:val="16"/>
                <w:szCs w:val="16"/>
              </w:rPr>
            </w:pPr>
            <w:r w:rsidRPr="00CD1C1C">
              <w:rPr>
                <w:rFonts w:ascii="Calibri" w:hAnsi="Calibri"/>
                <w:color w:val="231F20"/>
                <w:sz w:val="16"/>
                <w:szCs w:val="16"/>
              </w:rPr>
              <w:t>9.20</w:t>
            </w:r>
          </w:p>
        </w:tc>
        <w:tc>
          <w:tcPr>
            <w:tcW w:w="0" w:type="auto"/>
            <w:tcBorders>
              <w:top w:val="nil"/>
              <w:left w:val="nil"/>
              <w:bottom w:val="single" w:sz="4" w:space="0" w:color="231F20"/>
              <w:right w:val="single" w:sz="4" w:space="0" w:color="231F20"/>
            </w:tcBorders>
            <w:shd w:val="clear" w:color="auto" w:fill="auto"/>
            <w:vAlign w:val="center"/>
            <w:hideMark/>
          </w:tcPr>
          <w:p w14:paraId="4DFCA908" w14:textId="77777777" w:rsidR="00CD1C1C" w:rsidRPr="00CD1C1C" w:rsidRDefault="00CD1C1C" w:rsidP="00D63204">
            <w:pPr>
              <w:spacing w:after="0" w:line="240" w:lineRule="auto"/>
              <w:rPr>
                <w:rFonts w:ascii="Calibri" w:hAnsi="Calibri"/>
                <w:color w:val="231F20"/>
                <w:sz w:val="16"/>
                <w:szCs w:val="16"/>
              </w:rPr>
            </w:pPr>
            <w:r w:rsidRPr="00CD1C1C">
              <w:rPr>
                <w:rFonts w:ascii="Calibri" w:hAnsi="Calibri"/>
                <w:color w:val="231F20"/>
                <w:sz w:val="16"/>
                <w:szCs w:val="16"/>
              </w:rPr>
              <w:t>374,691</w:t>
            </w:r>
          </w:p>
        </w:tc>
        <w:tc>
          <w:tcPr>
            <w:tcW w:w="0" w:type="auto"/>
            <w:tcBorders>
              <w:top w:val="nil"/>
              <w:left w:val="nil"/>
              <w:bottom w:val="single" w:sz="4" w:space="0" w:color="231F20"/>
              <w:right w:val="single" w:sz="4" w:space="0" w:color="231F20"/>
            </w:tcBorders>
            <w:shd w:val="clear" w:color="auto" w:fill="auto"/>
            <w:vAlign w:val="center"/>
            <w:hideMark/>
          </w:tcPr>
          <w:p w14:paraId="70ED87C6" w14:textId="77777777" w:rsidR="00CD1C1C" w:rsidRPr="00CD1C1C" w:rsidRDefault="00CD1C1C" w:rsidP="00D63204">
            <w:pPr>
              <w:spacing w:after="0" w:line="240" w:lineRule="auto"/>
              <w:rPr>
                <w:rFonts w:ascii="Calibri" w:hAnsi="Calibri"/>
                <w:color w:val="231F20"/>
                <w:sz w:val="16"/>
                <w:szCs w:val="16"/>
              </w:rPr>
            </w:pPr>
            <w:r w:rsidRPr="00CD1C1C">
              <w:rPr>
                <w:rFonts w:ascii="Calibri" w:hAnsi="Calibri"/>
                <w:color w:val="231F20"/>
                <w:sz w:val="16"/>
                <w:szCs w:val="16"/>
              </w:rPr>
              <w:t>10.03</w:t>
            </w:r>
          </w:p>
        </w:tc>
        <w:tc>
          <w:tcPr>
            <w:tcW w:w="0" w:type="auto"/>
            <w:tcBorders>
              <w:top w:val="nil"/>
              <w:left w:val="nil"/>
              <w:bottom w:val="single" w:sz="4" w:space="0" w:color="231F20"/>
              <w:right w:val="single" w:sz="4" w:space="0" w:color="231F20"/>
            </w:tcBorders>
            <w:shd w:val="clear" w:color="auto" w:fill="auto"/>
            <w:vAlign w:val="center"/>
            <w:hideMark/>
          </w:tcPr>
          <w:p w14:paraId="637E9809" w14:textId="77777777" w:rsidR="00CD1C1C" w:rsidRPr="00CD1C1C" w:rsidRDefault="00CD1C1C" w:rsidP="00D63204">
            <w:pPr>
              <w:spacing w:after="0" w:line="240" w:lineRule="auto"/>
              <w:rPr>
                <w:rFonts w:ascii="Calibri" w:hAnsi="Calibri"/>
                <w:color w:val="231F20"/>
                <w:sz w:val="16"/>
                <w:szCs w:val="16"/>
              </w:rPr>
            </w:pPr>
            <w:r w:rsidRPr="00CD1C1C">
              <w:rPr>
                <w:rFonts w:ascii="Calibri" w:hAnsi="Calibri"/>
                <w:color w:val="231F20"/>
                <w:sz w:val="16"/>
                <w:szCs w:val="16"/>
              </w:rPr>
              <w:t>9.13</w:t>
            </w:r>
          </w:p>
        </w:tc>
        <w:tc>
          <w:tcPr>
            <w:tcW w:w="0" w:type="auto"/>
            <w:tcBorders>
              <w:top w:val="nil"/>
              <w:left w:val="nil"/>
              <w:bottom w:val="single" w:sz="4" w:space="0" w:color="231F20"/>
              <w:right w:val="single" w:sz="4" w:space="0" w:color="231F20"/>
            </w:tcBorders>
            <w:shd w:val="clear" w:color="auto" w:fill="auto"/>
            <w:vAlign w:val="center"/>
            <w:hideMark/>
          </w:tcPr>
          <w:p w14:paraId="0A9B7AB2" w14:textId="77777777" w:rsidR="00CD1C1C" w:rsidRPr="00CD1C1C" w:rsidRDefault="00CD1C1C" w:rsidP="00D63204">
            <w:pPr>
              <w:spacing w:after="0" w:line="240" w:lineRule="auto"/>
              <w:rPr>
                <w:rFonts w:ascii="Calibri" w:hAnsi="Calibri"/>
                <w:color w:val="231F20"/>
                <w:sz w:val="16"/>
                <w:szCs w:val="16"/>
              </w:rPr>
            </w:pPr>
            <w:r w:rsidRPr="00CD1C1C">
              <w:rPr>
                <w:rFonts w:ascii="Calibri" w:hAnsi="Calibri"/>
                <w:color w:val="231F20"/>
                <w:sz w:val="16"/>
                <w:szCs w:val="16"/>
              </w:rPr>
              <w:t>15.49</w:t>
            </w:r>
          </w:p>
        </w:tc>
      </w:tr>
      <w:tr w:rsidR="002F07C8" w:rsidRPr="00BE6993" w14:paraId="75045464" w14:textId="77777777" w:rsidTr="00CD1C1C">
        <w:trPr>
          <w:trHeight w:hRule="exact" w:val="450"/>
        </w:trPr>
        <w:tc>
          <w:tcPr>
            <w:tcW w:w="0" w:type="auto"/>
            <w:tcBorders>
              <w:top w:val="nil"/>
              <w:left w:val="single" w:sz="4" w:space="0" w:color="231F20"/>
              <w:bottom w:val="single" w:sz="4" w:space="0" w:color="231F20"/>
              <w:right w:val="single" w:sz="4" w:space="0" w:color="231F20"/>
            </w:tcBorders>
            <w:shd w:val="clear" w:color="000000" w:fill="E6E7E8"/>
            <w:vAlign w:val="center"/>
            <w:hideMark/>
          </w:tcPr>
          <w:p w14:paraId="77095B1D" w14:textId="77777777" w:rsidR="00CD1C1C" w:rsidRPr="00CD1C1C" w:rsidRDefault="00CD1C1C" w:rsidP="00D63204">
            <w:pPr>
              <w:spacing w:after="0" w:line="240" w:lineRule="auto"/>
              <w:rPr>
                <w:rFonts w:ascii="Calibri" w:hAnsi="Calibri"/>
                <w:color w:val="231F20"/>
                <w:sz w:val="16"/>
                <w:szCs w:val="16"/>
              </w:rPr>
            </w:pPr>
            <w:r w:rsidRPr="00CD1C1C">
              <w:rPr>
                <w:rFonts w:ascii="Calibri" w:hAnsi="Calibri"/>
                <w:color w:val="231F20"/>
                <w:sz w:val="16"/>
                <w:szCs w:val="16"/>
              </w:rPr>
              <w:t>5</w:t>
            </w:r>
          </w:p>
        </w:tc>
        <w:tc>
          <w:tcPr>
            <w:tcW w:w="0" w:type="auto"/>
            <w:tcBorders>
              <w:top w:val="nil"/>
              <w:left w:val="nil"/>
              <w:bottom w:val="single" w:sz="4" w:space="0" w:color="231F20"/>
              <w:right w:val="single" w:sz="4" w:space="0" w:color="231F20"/>
            </w:tcBorders>
            <w:shd w:val="clear" w:color="000000" w:fill="E6E7E8"/>
            <w:vAlign w:val="center"/>
            <w:hideMark/>
          </w:tcPr>
          <w:p w14:paraId="3CF95D53" w14:textId="77777777" w:rsidR="00CD1C1C" w:rsidRPr="00CD1C1C" w:rsidRDefault="00CD1C1C" w:rsidP="00CD1C1C">
            <w:pPr>
              <w:spacing w:after="0" w:line="240" w:lineRule="auto"/>
              <w:rPr>
                <w:rFonts w:ascii="Calibri" w:hAnsi="Calibri"/>
                <w:color w:val="231F20"/>
                <w:sz w:val="16"/>
                <w:szCs w:val="16"/>
              </w:rPr>
            </w:pPr>
            <w:r w:rsidRPr="00CD1C1C">
              <w:rPr>
                <w:rFonts w:ascii="Calibri" w:hAnsi="Calibri"/>
                <w:color w:val="231F20"/>
                <w:sz w:val="16"/>
                <w:szCs w:val="16"/>
              </w:rPr>
              <w:t>434051</w:t>
            </w:r>
          </w:p>
        </w:tc>
        <w:tc>
          <w:tcPr>
            <w:tcW w:w="0" w:type="auto"/>
            <w:tcBorders>
              <w:top w:val="nil"/>
              <w:left w:val="nil"/>
              <w:bottom w:val="single" w:sz="4" w:space="0" w:color="231F20"/>
              <w:right w:val="single" w:sz="4" w:space="0" w:color="231F20"/>
            </w:tcBorders>
            <w:shd w:val="clear" w:color="000000" w:fill="E6E7E8"/>
            <w:vAlign w:val="center"/>
            <w:hideMark/>
          </w:tcPr>
          <w:p w14:paraId="457E014F" w14:textId="77777777" w:rsidR="00CD1C1C" w:rsidRPr="00CD1C1C" w:rsidRDefault="00CD1C1C" w:rsidP="00CD1C1C">
            <w:pPr>
              <w:spacing w:after="0" w:line="240" w:lineRule="auto"/>
              <w:rPr>
                <w:rFonts w:ascii="Calibri" w:hAnsi="Calibri"/>
                <w:color w:val="231F20"/>
                <w:sz w:val="16"/>
                <w:szCs w:val="16"/>
              </w:rPr>
            </w:pPr>
            <w:r w:rsidRPr="00CD1C1C">
              <w:rPr>
                <w:rFonts w:ascii="Calibri" w:hAnsi="Calibri"/>
                <w:color w:val="231F20"/>
                <w:sz w:val="16"/>
                <w:szCs w:val="16"/>
              </w:rPr>
              <w:t>Customer Service Representatives</w:t>
            </w:r>
          </w:p>
        </w:tc>
        <w:tc>
          <w:tcPr>
            <w:tcW w:w="0" w:type="auto"/>
            <w:tcBorders>
              <w:top w:val="nil"/>
              <w:left w:val="nil"/>
              <w:bottom w:val="single" w:sz="4" w:space="0" w:color="231F20"/>
              <w:right w:val="single" w:sz="4" w:space="0" w:color="231F20"/>
            </w:tcBorders>
            <w:shd w:val="clear" w:color="000000" w:fill="E6E7E8"/>
            <w:vAlign w:val="center"/>
            <w:hideMark/>
          </w:tcPr>
          <w:p w14:paraId="0E050A78" w14:textId="77777777" w:rsidR="00CD1C1C" w:rsidRPr="00CD1C1C" w:rsidRDefault="00CD1C1C" w:rsidP="00D63204">
            <w:pPr>
              <w:spacing w:after="0" w:line="240" w:lineRule="auto"/>
              <w:rPr>
                <w:rFonts w:ascii="Calibri" w:hAnsi="Calibri"/>
                <w:color w:val="231F20"/>
                <w:sz w:val="16"/>
                <w:szCs w:val="16"/>
              </w:rPr>
            </w:pPr>
            <w:r w:rsidRPr="00CD1C1C">
              <w:rPr>
                <w:rFonts w:ascii="Calibri" w:hAnsi="Calibri"/>
                <w:color w:val="231F20"/>
                <w:sz w:val="16"/>
                <w:szCs w:val="16"/>
              </w:rPr>
              <w:t>244,276</w:t>
            </w:r>
          </w:p>
        </w:tc>
        <w:tc>
          <w:tcPr>
            <w:tcW w:w="0" w:type="auto"/>
            <w:tcBorders>
              <w:top w:val="nil"/>
              <w:left w:val="nil"/>
              <w:bottom w:val="single" w:sz="4" w:space="0" w:color="231F20"/>
              <w:right w:val="single" w:sz="4" w:space="0" w:color="231F20"/>
            </w:tcBorders>
            <w:shd w:val="clear" w:color="000000" w:fill="E6E7E8"/>
            <w:vAlign w:val="center"/>
            <w:hideMark/>
          </w:tcPr>
          <w:p w14:paraId="726F5E1B" w14:textId="77777777" w:rsidR="00CD1C1C" w:rsidRPr="00CD1C1C" w:rsidRDefault="00CD1C1C" w:rsidP="00D63204">
            <w:pPr>
              <w:spacing w:after="0" w:line="240" w:lineRule="auto"/>
              <w:rPr>
                <w:rFonts w:ascii="Calibri" w:hAnsi="Calibri"/>
                <w:color w:val="231F20"/>
                <w:sz w:val="16"/>
                <w:szCs w:val="16"/>
              </w:rPr>
            </w:pPr>
            <w:r w:rsidRPr="00CD1C1C">
              <w:rPr>
                <w:rFonts w:ascii="Calibri" w:hAnsi="Calibri"/>
                <w:color w:val="231F20"/>
                <w:sz w:val="16"/>
                <w:szCs w:val="16"/>
              </w:rPr>
              <w:t>278,142</w:t>
            </w:r>
          </w:p>
        </w:tc>
        <w:tc>
          <w:tcPr>
            <w:tcW w:w="0" w:type="auto"/>
            <w:tcBorders>
              <w:top w:val="nil"/>
              <w:left w:val="nil"/>
              <w:bottom w:val="single" w:sz="4" w:space="0" w:color="231F20"/>
              <w:right w:val="single" w:sz="4" w:space="0" w:color="231F20"/>
            </w:tcBorders>
            <w:shd w:val="clear" w:color="000000" w:fill="E6E7E8"/>
            <w:vAlign w:val="center"/>
            <w:hideMark/>
          </w:tcPr>
          <w:p w14:paraId="357A1AB6" w14:textId="77777777" w:rsidR="00CD1C1C" w:rsidRPr="00CD1C1C" w:rsidRDefault="00CD1C1C" w:rsidP="00D63204">
            <w:pPr>
              <w:spacing w:after="0" w:line="240" w:lineRule="auto"/>
              <w:rPr>
                <w:rFonts w:ascii="Calibri" w:hAnsi="Calibri"/>
                <w:color w:val="231F20"/>
                <w:sz w:val="16"/>
                <w:szCs w:val="16"/>
              </w:rPr>
            </w:pPr>
            <w:r w:rsidRPr="00CD1C1C">
              <w:rPr>
                <w:rFonts w:ascii="Calibri" w:hAnsi="Calibri"/>
                <w:color w:val="231F20"/>
                <w:sz w:val="16"/>
                <w:szCs w:val="16"/>
              </w:rPr>
              <w:t>33,866</w:t>
            </w:r>
          </w:p>
        </w:tc>
        <w:tc>
          <w:tcPr>
            <w:tcW w:w="0" w:type="auto"/>
            <w:tcBorders>
              <w:top w:val="nil"/>
              <w:left w:val="nil"/>
              <w:bottom w:val="single" w:sz="4" w:space="0" w:color="231F20"/>
              <w:right w:val="single" w:sz="4" w:space="0" w:color="231F20"/>
            </w:tcBorders>
            <w:shd w:val="clear" w:color="000000" w:fill="E6E7E8"/>
            <w:vAlign w:val="center"/>
            <w:hideMark/>
          </w:tcPr>
          <w:p w14:paraId="285F76FC" w14:textId="77777777" w:rsidR="00CD1C1C" w:rsidRPr="00CD1C1C" w:rsidRDefault="00CD1C1C" w:rsidP="00D63204">
            <w:pPr>
              <w:spacing w:after="0" w:line="240" w:lineRule="auto"/>
              <w:rPr>
                <w:rFonts w:ascii="Calibri" w:hAnsi="Calibri"/>
                <w:color w:val="231F20"/>
                <w:sz w:val="16"/>
                <w:szCs w:val="16"/>
              </w:rPr>
            </w:pPr>
            <w:r w:rsidRPr="00CD1C1C">
              <w:rPr>
                <w:rFonts w:ascii="Calibri" w:hAnsi="Calibri"/>
                <w:color w:val="231F20"/>
                <w:sz w:val="16"/>
                <w:szCs w:val="16"/>
              </w:rPr>
              <w:t>13.86</w:t>
            </w:r>
          </w:p>
        </w:tc>
        <w:tc>
          <w:tcPr>
            <w:tcW w:w="0" w:type="auto"/>
            <w:tcBorders>
              <w:top w:val="nil"/>
              <w:left w:val="nil"/>
              <w:bottom w:val="single" w:sz="4" w:space="0" w:color="231F20"/>
              <w:right w:val="single" w:sz="4" w:space="0" w:color="231F20"/>
            </w:tcBorders>
            <w:shd w:val="clear" w:color="000000" w:fill="E6E7E8"/>
            <w:vAlign w:val="center"/>
            <w:hideMark/>
          </w:tcPr>
          <w:p w14:paraId="7164643B" w14:textId="77777777" w:rsidR="00CD1C1C" w:rsidRPr="00CD1C1C" w:rsidRDefault="00CD1C1C" w:rsidP="00D63204">
            <w:pPr>
              <w:spacing w:after="0" w:line="240" w:lineRule="auto"/>
              <w:rPr>
                <w:rFonts w:ascii="Calibri" w:hAnsi="Calibri"/>
                <w:color w:val="231F20"/>
                <w:sz w:val="16"/>
                <w:szCs w:val="16"/>
              </w:rPr>
            </w:pPr>
            <w:r w:rsidRPr="00CD1C1C">
              <w:rPr>
                <w:rFonts w:ascii="Calibri" w:hAnsi="Calibri"/>
                <w:color w:val="231F20"/>
                <w:sz w:val="16"/>
                <w:szCs w:val="16"/>
              </w:rPr>
              <w:t>289,913</w:t>
            </w:r>
          </w:p>
        </w:tc>
        <w:tc>
          <w:tcPr>
            <w:tcW w:w="0" w:type="auto"/>
            <w:tcBorders>
              <w:top w:val="nil"/>
              <w:left w:val="nil"/>
              <w:bottom w:val="single" w:sz="4" w:space="0" w:color="231F20"/>
              <w:right w:val="single" w:sz="4" w:space="0" w:color="231F20"/>
            </w:tcBorders>
            <w:shd w:val="clear" w:color="000000" w:fill="E6E7E8"/>
            <w:vAlign w:val="center"/>
            <w:hideMark/>
          </w:tcPr>
          <w:p w14:paraId="33661E99" w14:textId="77777777" w:rsidR="00CD1C1C" w:rsidRPr="00CD1C1C" w:rsidRDefault="00CD1C1C" w:rsidP="00D63204">
            <w:pPr>
              <w:spacing w:after="0" w:line="240" w:lineRule="auto"/>
              <w:rPr>
                <w:rFonts w:ascii="Calibri" w:hAnsi="Calibri"/>
                <w:color w:val="231F20"/>
                <w:sz w:val="16"/>
                <w:szCs w:val="16"/>
              </w:rPr>
            </w:pPr>
            <w:r w:rsidRPr="00CD1C1C">
              <w:rPr>
                <w:rFonts w:ascii="Calibri" w:hAnsi="Calibri"/>
                <w:color w:val="231F20"/>
                <w:sz w:val="16"/>
                <w:szCs w:val="16"/>
              </w:rPr>
              <w:t>14.43</w:t>
            </w:r>
          </w:p>
        </w:tc>
        <w:tc>
          <w:tcPr>
            <w:tcW w:w="0" w:type="auto"/>
            <w:tcBorders>
              <w:top w:val="nil"/>
              <w:left w:val="nil"/>
              <w:bottom w:val="single" w:sz="4" w:space="0" w:color="231F20"/>
              <w:right w:val="single" w:sz="4" w:space="0" w:color="231F20"/>
            </w:tcBorders>
            <w:shd w:val="clear" w:color="000000" w:fill="E6E7E8"/>
            <w:vAlign w:val="center"/>
            <w:hideMark/>
          </w:tcPr>
          <w:p w14:paraId="6FB0B476" w14:textId="77777777" w:rsidR="00CD1C1C" w:rsidRPr="00CD1C1C" w:rsidRDefault="00CD1C1C" w:rsidP="00D63204">
            <w:pPr>
              <w:spacing w:after="0" w:line="240" w:lineRule="auto"/>
              <w:rPr>
                <w:rFonts w:ascii="Calibri" w:hAnsi="Calibri"/>
                <w:color w:val="231F20"/>
                <w:sz w:val="16"/>
                <w:szCs w:val="16"/>
              </w:rPr>
            </w:pPr>
            <w:r w:rsidRPr="00CD1C1C">
              <w:rPr>
                <w:rFonts w:ascii="Calibri" w:hAnsi="Calibri"/>
                <w:color w:val="231F20"/>
                <w:sz w:val="16"/>
                <w:szCs w:val="16"/>
              </w:rPr>
              <w:t>10.65</w:t>
            </w:r>
          </w:p>
        </w:tc>
        <w:tc>
          <w:tcPr>
            <w:tcW w:w="0" w:type="auto"/>
            <w:tcBorders>
              <w:top w:val="nil"/>
              <w:left w:val="nil"/>
              <w:bottom w:val="single" w:sz="4" w:space="0" w:color="231F20"/>
              <w:right w:val="single" w:sz="4" w:space="0" w:color="231F20"/>
            </w:tcBorders>
            <w:shd w:val="clear" w:color="000000" w:fill="E6E7E8"/>
            <w:vAlign w:val="center"/>
            <w:hideMark/>
          </w:tcPr>
          <w:p w14:paraId="69080DBF" w14:textId="77777777" w:rsidR="00CD1C1C" w:rsidRPr="00CD1C1C" w:rsidRDefault="00CD1C1C" w:rsidP="00D63204">
            <w:pPr>
              <w:spacing w:after="0" w:line="240" w:lineRule="auto"/>
              <w:rPr>
                <w:rFonts w:ascii="Calibri" w:hAnsi="Calibri"/>
                <w:color w:val="231F20"/>
                <w:sz w:val="16"/>
                <w:szCs w:val="16"/>
              </w:rPr>
            </w:pPr>
            <w:r w:rsidRPr="00CD1C1C">
              <w:rPr>
                <w:rFonts w:ascii="Calibri" w:hAnsi="Calibri"/>
                <w:color w:val="231F20"/>
                <w:sz w:val="16"/>
                <w:szCs w:val="16"/>
              </w:rPr>
              <w:t>17.78</w:t>
            </w:r>
          </w:p>
        </w:tc>
      </w:tr>
      <w:tr w:rsidR="00CD1C1C" w:rsidRPr="00BE6993" w14:paraId="6902F485" w14:textId="77777777" w:rsidTr="00F05357">
        <w:trPr>
          <w:trHeight w:hRule="exact" w:val="730"/>
        </w:trPr>
        <w:tc>
          <w:tcPr>
            <w:tcW w:w="0" w:type="auto"/>
            <w:tcBorders>
              <w:top w:val="nil"/>
              <w:left w:val="single" w:sz="4" w:space="0" w:color="231F20"/>
              <w:bottom w:val="single" w:sz="4" w:space="0" w:color="231F20"/>
              <w:right w:val="single" w:sz="4" w:space="0" w:color="231F20"/>
            </w:tcBorders>
            <w:shd w:val="clear" w:color="auto" w:fill="auto"/>
            <w:vAlign w:val="center"/>
            <w:hideMark/>
          </w:tcPr>
          <w:p w14:paraId="422671C5" w14:textId="77777777" w:rsidR="00CD1C1C" w:rsidRPr="00CD1C1C" w:rsidRDefault="00CD1C1C" w:rsidP="00D63204">
            <w:pPr>
              <w:spacing w:after="0" w:line="240" w:lineRule="auto"/>
              <w:rPr>
                <w:rFonts w:ascii="Calibri" w:hAnsi="Calibri"/>
                <w:color w:val="231F20"/>
                <w:sz w:val="16"/>
                <w:szCs w:val="16"/>
              </w:rPr>
            </w:pPr>
            <w:r w:rsidRPr="00CD1C1C">
              <w:rPr>
                <w:rFonts w:ascii="Calibri" w:hAnsi="Calibri"/>
                <w:color w:val="231F20"/>
                <w:sz w:val="16"/>
                <w:szCs w:val="16"/>
              </w:rPr>
              <w:t>6</w:t>
            </w:r>
          </w:p>
        </w:tc>
        <w:tc>
          <w:tcPr>
            <w:tcW w:w="0" w:type="auto"/>
            <w:tcBorders>
              <w:top w:val="nil"/>
              <w:left w:val="nil"/>
              <w:bottom w:val="single" w:sz="4" w:space="0" w:color="231F20"/>
              <w:right w:val="single" w:sz="4" w:space="0" w:color="231F20"/>
            </w:tcBorders>
            <w:shd w:val="clear" w:color="auto" w:fill="auto"/>
            <w:vAlign w:val="center"/>
            <w:hideMark/>
          </w:tcPr>
          <w:p w14:paraId="57E76CB4" w14:textId="77777777" w:rsidR="00CD1C1C" w:rsidRPr="00CD1C1C" w:rsidRDefault="00CD1C1C" w:rsidP="00CD1C1C">
            <w:pPr>
              <w:spacing w:after="0" w:line="240" w:lineRule="auto"/>
              <w:rPr>
                <w:rFonts w:ascii="Calibri" w:hAnsi="Calibri"/>
                <w:color w:val="231F20"/>
                <w:sz w:val="16"/>
                <w:szCs w:val="16"/>
              </w:rPr>
            </w:pPr>
            <w:r w:rsidRPr="00CD1C1C">
              <w:rPr>
                <w:rFonts w:ascii="Calibri" w:hAnsi="Calibri"/>
                <w:color w:val="231F20"/>
                <w:sz w:val="16"/>
                <w:szCs w:val="16"/>
              </w:rPr>
              <w:t>436014</w:t>
            </w:r>
          </w:p>
        </w:tc>
        <w:tc>
          <w:tcPr>
            <w:tcW w:w="0" w:type="auto"/>
            <w:tcBorders>
              <w:top w:val="nil"/>
              <w:left w:val="nil"/>
              <w:bottom w:val="single" w:sz="4" w:space="0" w:color="231F20"/>
              <w:right w:val="single" w:sz="4" w:space="0" w:color="231F20"/>
            </w:tcBorders>
            <w:shd w:val="clear" w:color="auto" w:fill="auto"/>
            <w:vAlign w:val="center"/>
            <w:hideMark/>
          </w:tcPr>
          <w:p w14:paraId="644222EF" w14:textId="76BCE563" w:rsidR="00CD1C1C" w:rsidRPr="00CD1C1C" w:rsidRDefault="00CD1C1C" w:rsidP="00CD1C1C">
            <w:pPr>
              <w:spacing w:after="0" w:line="240" w:lineRule="auto"/>
              <w:rPr>
                <w:rFonts w:ascii="Calibri" w:hAnsi="Calibri"/>
                <w:color w:val="231F20"/>
                <w:sz w:val="16"/>
                <w:szCs w:val="16"/>
              </w:rPr>
            </w:pPr>
            <w:r w:rsidRPr="00CD1C1C">
              <w:rPr>
                <w:rFonts w:ascii="Calibri" w:hAnsi="Calibri"/>
                <w:color w:val="231F20"/>
                <w:sz w:val="16"/>
                <w:szCs w:val="16"/>
              </w:rPr>
              <w:t>Secretaries, Except Legal, Medical</w:t>
            </w:r>
            <w:r w:rsidR="00D5537E">
              <w:rPr>
                <w:rFonts w:ascii="Calibri" w:hAnsi="Calibri"/>
                <w:color w:val="231F20"/>
                <w:sz w:val="16"/>
                <w:szCs w:val="16"/>
              </w:rPr>
              <w:t xml:space="preserve"> and</w:t>
            </w:r>
            <w:r w:rsidRPr="00CD1C1C">
              <w:rPr>
                <w:rFonts w:ascii="Calibri" w:hAnsi="Calibri"/>
                <w:color w:val="231F20"/>
                <w:sz w:val="16"/>
                <w:szCs w:val="16"/>
              </w:rPr>
              <w:t xml:space="preserve"> Executive</w:t>
            </w:r>
          </w:p>
        </w:tc>
        <w:tc>
          <w:tcPr>
            <w:tcW w:w="0" w:type="auto"/>
            <w:tcBorders>
              <w:top w:val="nil"/>
              <w:left w:val="nil"/>
              <w:bottom w:val="single" w:sz="4" w:space="0" w:color="231F20"/>
              <w:right w:val="single" w:sz="4" w:space="0" w:color="231F20"/>
            </w:tcBorders>
            <w:shd w:val="clear" w:color="auto" w:fill="auto"/>
            <w:vAlign w:val="center"/>
            <w:hideMark/>
          </w:tcPr>
          <w:p w14:paraId="58431A17" w14:textId="77777777" w:rsidR="00CD1C1C" w:rsidRPr="00CD1C1C" w:rsidRDefault="00CD1C1C" w:rsidP="00D63204">
            <w:pPr>
              <w:spacing w:after="0" w:line="240" w:lineRule="auto"/>
              <w:rPr>
                <w:rFonts w:ascii="Calibri" w:hAnsi="Calibri"/>
                <w:color w:val="231F20"/>
                <w:sz w:val="16"/>
                <w:szCs w:val="16"/>
              </w:rPr>
            </w:pPr>
            <w:r w:rsidRPr="00CD1C1C">
              <w:rPr>
                <w:rFonts w:ascii="Calibri" w:hAnsi="Calibri"/>
                <w:color w:val="231F20"/>
                <w:sz w:val="16"/>
                <w:szCs w:val="16"/>
              </w:rPr>
              <w:t>194,145</w:t>
            </w:r>
          </w:p>
        </w:tc>
        <w:tc>
          <w:tcPr>
            <w:tcW w:w="0" w:type="auto"/>
            <w:tcBorders>
              <w:top w:val="nil"/>
              <w:left w:val="nil"/>
              <w:bottom w:val="single" w:sz="4" w:space="0" w:color="231F20"/>
              <w:right w:val="single" w:sz="4" w:space="0" w:color="231F20"/>
            </w:tcBorders>
            <w:shd w:val="clear" w:color="auto" w:fill="auto"/>
            <w:vAlign w:val="center"/>
            <w:hideMark/>
          </w:tcPr>
          <w:p w14:paraId="214CDA72" w14:textId="77777777" w:rsidR="00CD1C1C" w:rsidRPr="00CD1C1C" w:rsidRDefault="00CD1C1C" w:rsidP="00D63204">
            <w:pPr>
              <w:spacing w:after="0" w:line="240" w:lineRule="auto"/>
              <w:rPr>
                <w:rFonts w:ascii="Calibri" w:hAnsi="Calibri"/>
                <w:color w:val="231F20"/>
                <w:sz w:val="16"/>
                <w:szCs w:val="16"/>
              </w:rPr>
            </w:pPr>
            <w:r w:rsidRPr="00CD1C1C">
              <w:rPr>
                <w:rFonts w:ascii="Calibri" w:hAnsi="Calibri"/>
                <w:color w:val="231F20"/>
                <w:sz w:val="16"/>
                <w:szCs w:val="16"/>
              </w:rPr>
              <w:t>211,512</w:t>
            </w:r>
          </w:p>
        </w:tc>
        <w:tc>
          <w:tcPr>
            <w:tcW w:w="0" w:type="auto"/>
            <w:tcBorders>
              <w:top w:val="nil"/>
              <w:left w:val="nil"/>
              <w:bottom w:val="single" w:sz="4" w:space="0" w:color="231F20"/>
              <w:right w:val="single" w:sz="4" w:space="0" w:color="231F20"/>
            </w:tcBorders>
            <w:shd w:val="clear" w:color="auto" w:fill="auto"/>
            <w:vAlign w:val="center"/>
            <w:hideMark/>
          </w:tcPr>
          <w:p w14:paraId="1C650515" w14:textId="77777777" w:rsidR="00CD1C1C" w:rsidRPr="00CD1C1C" w:rsidRDefault="00CD1C1C" w:rsidP="00D63204">
            <w:pPr>
              <w:spacing w:after="0" w:line="240" w:lineRule="auto"/>
              <w:rPr>
                <w:rFonts w:ascii="Calibri" w:hAnsi="Calibri"/>
                <w:color w:val="231F20"/>
                <w:sz w:val="16"/>
                <w:szCs w:val="16"/>
              </w:rPr>
            </w:pPr>
            <w:r w:rsidRPr="00CD1C1C">
              <w:rPr>
                <w:rFonts w:ascii="Calibri" w:hAnsi="Calibri"/>
                <w:color w:val="231F20"/>
                <w:sz w:val="16"/>
                <w:szCs w:val="16"/>
              </w:rPr>
              <w:t>17367</w:t>
            </w:r>
          </w:p>
        </w:tc>
        <w:tc>
          <w:tcPr>
            <w:tcW w:w="0" w:type="auto"/>
            <w:tcBorders>
              <w:top w:val="nil"/>
              <w:left w:val="nil"/>
              <w:bottom w:val="single" w:sz="4" w:space="0" w:color="231F20"/>
              <w:right w:val="single" w:sz="4" w:space="0" w:color="231F20"/>
            </w:tcBorders>
            <w:shd w:val="clear" w:color="auto" w:fill="auto"/>
            <w:vAlign w:val="center"/>
            <w:hideMark/>
          </w:tcPr>
          <w:p w14:paraId="6A80BCE9" w14:textId="77777777" w:rsidR="00CD1C1C" w:rsidRPr="00CD1C1C" w:rsidRDefault="00CD1C1C" w:rsidP="00D63204">
            <w:pPr>
              <w:spacing w:after="0" w:line="240" w:lineRule="auto"/>
              <w:rPr>
                <w:rFonts w:ascii="Calibri" w:hAnsi="Calibri"/>
                <w:color w:val="231F20"/>
                <w:sz w:val="16"/>
                <w:szCs w:val="16"/>
              </w:rPr>
            </w:pPr>
            <w:r w:rsidRPr="00CD1C1C">
              <w:rPr>
                <w:rFonts w:ascii="Calibri" w:hAnsi="Calibri"/>
                <w:color w:val="231F20"/>
                <w:sz w:val="16"/>
                <w:szCs w:val="16"/>
              </w:rPr>
              <w:t>8.95</w:t>
            </w:r>
          </w:p>
        </w:tc>
        <w:tc>
          <w:tcPr>
            <w:tcW w:w="0" w:type="auto"/>
            <w:tcBorders>
              <w:top w:val="nil"/>
              <w:left w:val="nil"/>
              <w:bottom w:val="single" w:sz="4" w:space="0" w:color="231F20"/>
              <w:right w:val="single" w:sz="4" w:space="0" w:color="231F20"/>
            </w:tcBorders>
            <w:shd w:val="clear" w:color="auto" w:fill="auto"/>
            <w:vAlign w:val="center"/>
            <w:hideMark/>
          </w:tcPr>
          <w:p w14:paraId="67DC1F04" w14:textId="77777777" w:rsidR="00CD1C1C" w:rsidRPr="00CD1C1C" w:rsidRDefault="00CD1C1C" w:rsidP="00D63204">
            <w:pPr>
              <w:spacing w:after="0" w:line="240" w:lineRule="auto"/>
              <w:rPr>
                <w:rFonts w:ascii="Calibri" w:hAnsi="Calibri"/>
                <w:color w:val="231F20"/>
                <w:sz w:val="16"/>
                <w:szCs w:val="16"/>
              </w:rPr>
            </w:pPr>
            <w:r w:rsidRPr="00CD1C1C">
              <w:rPr>
                <w:rFonts w:ascii="Calibri" w:hAnsi="Calibri"/>
                <w:color w:val="231F20"/>
                <w:sz w:val="16"/>
                <w:szCs w:val="16"/>
              </w:rPr>
              <w:t>182,226</w:t>
            </w:r>
          </w:p>
        </w:tc>
        <w:tc>
          <w:tcPr>
            <w:tcW w:w="0" w:type="auto"/>
            <w:tcBorders>
              <w:top w:val="nil"/>
              <w:left w:val="nil"/>
              <w:bottom w:val="single" w:sz="4" w:space="0" w:color="231F20"/>
              <w:right w:val="single" w:sz="4" w:space="0" w:color="231F20"/>
            </w:tcBorders>
            <w:shd w:val="clear" w:color="auto" w:fill="auto"/>
            <w:vAlign w:val="center"/>
            <w:hideMark/>
          </w:tcPr>
          <w:p w14:paraId="029EDDA2" w14:textId="77777777" w:rsidR="00CD1C1C" w:rsidRPr="00CD1C1C" w:rsidRDefault="00CD1C1C" w:rsidP="00D63204">
            <w:pPr>
              <w:spacing w:after="0" w:line="240" w:lineRule="auto"/>
              <w:rPr>
                <w:rFonts w:ascii="Calibri" w:hAnsi="Calibri"/>
                <w:color w:val="231F20"/>
                <w:sz w:val="16"/>
                <w:szCs w:val="16"/>
              </w:rPr>
            </w:pPr>
            <w:r w:rsidRPr="00CD1C1C">
              <w:rPr>
                <w:rFonts w:ascii="Calibri" w:hAnsi="Calibri"/>
                <w:color w:val="231F20"/>
                <w:sz w:val="16"/>
                <w:szCs w:val="16"/>
              </w:rPr>
              <w:t>15.78</w:t>
            </w:r>
          </w:p>
        </w:tc>
        <w:tc>
          <w:tcPr>
            <w:tcW w:w="0" w:type="auto"/>
            <w:tcBorders>
              <w:top w:val="nil"/>
              <w:left w:val="nil"/>
              <w:bottom w:val="single" w:sz="4" w:space="0" w:color="231F20"/>
              <w:right w:val="single" w:sz="4" w:space="0" w:color="231F20"/>
            </w:tcBorders>
            <w:shd w:val="clear" w:color="auto" w:fill="auto"/>
            <w:vAlign w:val="center"/>
            <w:hideMark/>
          </w:tcPr>
          <w:p w14:paraId="23A94906" w14:textId="77777777" w:rsidR="00CD1C1C" w:rsidRPr="00CD1C1C" w:rsidRDefault="00CD1C1C" w:rsidP="00D63204">
            <w:pPr>
              <w:spacing w:after="0" w:line="240" w:lineRule="auto"/>
              <w:rPr>
                <w:rFonts w:ascii="Calibri" w:hAnsi="Calibri"/>
                <w:color w:val="231F20"/>
                <w:sz w:val="16"/>
                <w:szCs w:val="16"/>
              </w:rPr>
            </w:pPr>
            <w:r w:rsidRPr="00CD1C1C">
              <w:rPr>
                <w:rFonts w:ascii="Calibri" w:hAnsi="Calibri"/>
                <w:color w:val="231F20"/>
                <w:sz w:val="16"/>
                <w:szCs w:val="16"/>
              </w:rPr>
              <w:t>11.44</w:t>
            </w:r>
          </w:p>
        </w:tc>
        <w:tc>
          <w:tcPr>
            <w:tcW w:w="0" w:type="auto"/>
            <w:tcBorders>
              <w:top w:val="nil"/>
              <w:left w:val="nil"/>
              <w:bottom w:val="single" w:sz="4" w:space="0" w:color="231F20"/>
              <w:right w:val="single" w:sz="4" w:space="0" w:color="231F20"/>
            </w:tcBorders>
            <w:shd w:val="clear" w:color="auto" w:fill="auto"/>
            <w:vAlign w:val="center"/>
            <w:hideMark/>
          </w:tcPr>
          <w:p w14:paraId="3063355D" w14:textId="77777777" w:rsidR="00CD1C1C" w:rsidRPr="00CD1C1C" w:rsidRDefault="00CD1C1C" w:rsidP="00D63204">
            <w:pPr>
              <w:spacing w:after="0" w:line="240" w:lineRule="auto"/>
              <w:rPr>
                <w:rFonts w:ascii="Calibri" w:hAnsi="Calibri"/>
                <w:color w:val="231F20"/>
                <w:sz w:val="16"/>
                <w:szCs w:val="16"/>
              </w:rPr>
            </w:pPr>
            <w:r w:rsidRPr="00CD1C1C">
              <w:rPr>
                <w:rFonts w:ascii="Calibri" w:hAnsi="Calibri"/>
                <w:color w:val="231F20"/>
                <w:sz w:val="16"/>
                <w:szCs w:val="16"/>
              </w:rPr>
              <w:t>19.05</w:t>
            </w:r>
          </w:p>
        </w:tc>
      </w:tr>
      <w:tr w:rsidR="002F07C8" w:rsidRPr="00BE6993" w14:paraId="2475092D" w14:textId="77777777" w:rsidTr="00CD1C1C">
        <w:trPr>
          <w:trHeight w:hRule="exact" w:val="300"/>
        </w:trPr>
        <w:tc>
          <w:tcPr>
            <w:tcW w:w="0" w:type="auto"/>
            <w:tcBorders>
              <w:top w:val="nil"/>
              <w:left w:val="single" w:sz="4" w:space="0" w:color="231F20"/>
              <w:bottom w:val="single" w:sz="4" w:space="0" w:color="231F20"/>
              <w:right w:val="single" w:sz="4" w:space="0" w:color="231F20"/>
            </w:tcBorders>
            <w:shd w:val="clear" w:color="000000" w:fill="E6E7E8"/>
            <w:vAlign w:val="center"/>
            <w:hideMark/>
          </w:tcPr>
          <w:p w14:paraId="316B73F3" w14:textId="77777777" w:rsidR="00CD1C1C" w:rsidRPr="00CD1C1C" w:rsidRDefault="00CD1C1C" w:rsidP="00D63204">
            <w:pPr>
              <w:spacing w:after="0" w:line="240" w:lineRule="auto"/>
              <w:rPr>
                <w:rFonts w:ascii="Calibri" w:hAnsi="Calibri"/>
                <w:color w:val="231F20"/>
                <w:sz w:val="16"/>
                <w:szCs w:val="16"/>
              </w:rPr>
            </w:pPr>
            <w:r w:rsidRPr="00CD1C1C">
              <w:rPr>
                <w:rFonts w:ascii="Calibri" w:hAnsi="Calibri"/>
                <w:color w:val="231F20"/>
                <w:sz w:val="16"/>
                <w:szCs w:val="16"/>
              </w:rPr>
              <w:t>7</w:t>
            </w:r>
          </w:p>
        </w:tc>
        <w:tc>
          <w:tcPr>
            <w:tcW w:w="0" w:type="auto"/>
            <w:tcBorders>
              <w:top w:val="nil"/>
              <w:left w:val="nil"/>
              <w:bottom w:val="single" w:sz="4" w:space="0" w:color="231F20"/>
              <w:right w:val="single" w:sz="4" w:space="0" w:color="231F20"/>
            </w:tcBorders>
            <w:shd w:val="clear" w:color="000000" w:fill="E6E7E8"/>
            <w:vAlign w:val="center"/>
            <w:hideMark/>
          </w:tcPr>
          <w:p w14:paraId="024BFEC2" w14:textId="77777777" w:rsidR="00CD1C1C" w:rsidRPr="00CD1C1C" w:rsidRDefault="00CD1C1C" w:rsidP="00CD1C1C">
            <w:pPr>
              <w:spacing w:after="0" w:line="240" w:lineRule="auto"/>
              <w:rPr>
                <w:rFonts w:ascii="Calibri" w:hAnsi="Calibri"/>
                <w:color w:val="231F20"/>
                <w:sz w:val="16"/>
                <w:szCs w:val="16"/>
              </w:rPr>
            </w:pPr>
            <w:r w:rsidRPr="00CD1C1C">
              <w:rPr>
                <w:rFonts w:ascii="Calibri" w:hAnsi="Calibri"/>
                <w:color w:val="231F20"/>
                <w:sz w:val="16"/>
                <w:szCs w:val="16"/>
              </w:rPr>
              <w:t>439061</w:t>
            </w:r>
          </w:p>
        </w:tc>
        <w:tc>
          <w:tcPr>
            <w:tcW w:w="0" w:type="auto"/>
            <w:tcBorders>
              <w:top w:val="nil"/>
              <w:left w:val="nil"/>
              <w:bottom w:val="single" w:sz="4" w:space="0" w:color="231F20"/>
              <w:right w:val="single" w:sz="4" w:space="0" w:color="231F20"/>
            </w:tcBorders>
            <w:shd w:val="clear" w:color="000000" w:fill="E6E7E8"/>
            <w:vAlign w:val="center"/>
            <w:hideMark/>
          </w:tcPr>
          <w:p w14:paraId="387904E9" w14:textId="77777777" w:rsidR="00CD1C1C" w:rsidRPr="00CD1C1C" w:rsidRDefault="00CD1C1C" w:rsidP="00CD1C1C">
            <w:pPr>
              <w:spacing w:after="0" w:line="240" w:lineRule="auto"/>
              <w:rPr>
                <w:rFonts w:ascii="Calibri" w:hAnsi="Calibri"/>
                <w:color w:val="231F20"/>
                <w:sz w:val="16"/>
                <w:szCs w:val="16"/>
              </w:rPr>
            </w:pPr>
            <w:r w:rsidRPr="00CD1C1C">
              <w:rPr>
                <w:rFonts w:ascii="Calibri" w:hAnsi="Calibri"/>
                <w:color w:val="231F20"/>
                <w:sz w:val="16"/>
                <w:szCs w:val="16"/>
              </w:rPr>
              <w:t>Office Clerks, General</w:t>
            </w:r>
          </w:p>
        </w:tc>
        <w:tc>
          <w:tcPr>
            <w:tcW w:w="0" w:type="auto"/>
            <w:tcBorders>
              <w:top w:val="nil"/>
              <w:left w:val="nil"/>
              <w:bottom w:val="single" w:sz="4" w:space="0" w:color="231F20"/>
              <w:right w:val="single" w:sz="4" w:space="0" w:color="231F20"/>
            </w:tcBorders>
            <w:shd w:val="clear" w:color="000000" w:fill="E6E7E8"/>
            <w:vAlign w:val="center"/>
            <w:hideMark/>
          </w:tcPr>
          <w:p w14:paraId="15BE2D79" w14:textId="77777777" w:rsidR="00CD1C1C" w:rsidRPr="00CD1C1C" w:rsidRDefault="00CD1C1C" w:rsidP="00D63204">
            <w:pPr>
              <w:spacing w:after="0" w:line="240" w:lineRule="auto"/>
              <w:rPr>
                <w:rFonts w:ascii="Calibri" w:hAnsi="Calibri"/>
                <w:color w:val="231F20"/>
                <w:sz w:val="16"/>
                <w:szCs w:val="16"/>
              </w:rPr>
            </w:pPr>
            <w:r w:rsidRPr="00CD1C1C">
              <w:rPr>
                <w:rFonts w:ascii="Calibri" w:hAnsi="Calibri"/>
                <w:color w:val="231F20"/>
                <w:sz w:val="16"/>
                <w:szCs w:val="16"/>
              </w:rPr>
              <w:t>173,867</w:t>
            </w:r>
          </w:p>
        </w:tc>
        <w:tc>
          <w:tcPr>
            <w:tcW w:w="0" w:type="auto"/>
            <w:tcBorders>
              <w:top w:val="nil"/>
              <w:left w:val="nil"/>
              <w:bottom w:val="single" w:sz="4" w:space="0" w:color="231F20"/>
              <w:right w:val="single" w:sz="4" w:space="0" w:color="231F20"/>
            </w:tcBorders>
            <w:shd w:val="clear" w:color="000000" w:fill="E6E7E8"/>
            <w:vAlign w:val="center"/>
            <w:hideMark/>
          </w:tcPr>
          <w:p w14:paraId="3BE348BC" w14:textId="77777777" w:rsidR="00CD1C1C" w:rsidRPr="00CD1C1C" w:rsidRDefault="00CD1C1C" w:rsidP="00D63204">
            <w:pPr>
              <w:spacing w:after="0" w:line="240" w:lineRule="auto"/>
              <w:rPr>
                <w:rFonts w:ascii="Calibri" w:hAnsi="Calibri"/>
                <w:color w:val="231F20"/>
                <w:sz w:val="16"/>
                <w:szCs w:val="16"/>
              </w:rPr>
            </w:pPr>
            <w:r w:rsidRPr="00CD1C1C">
              <w:rPr>
                <w:rFonts w:ascii="Calibri" w:hAnsi="Calibri"/>
                <w:color w:val="231F20"/>
                <w:sz w:val="16"/>
                <w:szCs w:val="16"/>
              </w:rPr>
              <w:t>188,359</w:t>
            </w:r>
          </w:p>
        </w:tc>
        <w:tc>
          <w:tcPr>
            <w:tcW w:w="0" w:type="auto"/>
            <w:tcBorders>
              <w:top w:val="nil"/>
              <w:left w:val="nil"/>
              <w:bottom w:val="single" w:sz="4" w:space="0" w:color="231F20"/>
              <w:right w:val="single" w:sz="4" w:space="0" w:color="231F20"/>
            </w:tcBorders>
            <w:shd w:val="clear" w:color="000000" w:fill="E6E7E8"/>
            <w:vAlign w:val="center"/>
            <w:hideMark/>
          </w:tcPr>
          <w:p w14:paraId="196A1C9B" w14:textId="77777777" w:rsidR="00CD1C1C" w:rsidRPr="00CD1C1C" w:rsidRDefault="00CD1C1C" w:rsidP="00D63204">
            <w:pPr>
              <w:spacing w:after="0" w:line="240" w:lineRule="auto"/>
              <w:rPr>
                <w:rFonts w:ascii="Calibri" w:hAnsi="Calibri"/>
                <w:color w:val="231F20"/>
                <w:sz w:val="16"/>
                <w:szCs w:val="16"/>
              </w:rPr>
            </w:pPr>
            <w:r w:rsidRPr="00CD1C1C">
              <w:rPr>
                <w:rFonts w:ascii="Calibri" w:hAnsi="Calibri"/>
                <w:color w:val="231F20"/>
                <w:sz w:val="16"/>
                <w:szCs w:val="16"/>
              </w:rPr>
              <w:t>14,492</w:t>
            </w:r>
          </w:p>
        </w:tc>
        <w:tc>
          <w:tcPr>
            <w:tcW w:w="0" w:type="auto"/>
            <w:tcBorders>
              <w:top w:val="nil"/>
              <w:left w:val="nil"/>
              <w:bottom w:val="single" w:sz="4" w:space="0" w:color="231F20"/>
              <w:right w:val="single" w:sz="4" w:space="0" w:color="231F20"/>
            </w:tcBorders>
            <w:shd w:val="clear" w:color="000000" w:fill="E6E7E8"/>
            <w:vAlign w:val="center"/>
            <w:hideMark/>
          </w:tcPr>
          <w:p w14:paraId="16D824A7" w14:textId="77777777" w:rsidR="00CD1C1C" w:rsidRPr="00CD1C1C" w:rsidRDefault="00CD1C1C" w:rsidP="00D63204">
            <w:pPr>
              <w:spacing w:after="0" w:line="240" w:lineRule="auto"/>
              <w:rPr>
                <w:rFonts w:ascii="Calibri" w:hAnsi="Calibri"/>
                <w:color w:val="231F20"/>
                <w:sz w:val="16"/>
                <w:szCs w:val="16"/>
              </w:rPr>
            </w:pPr>
            <w:r w:rsidRPr="00CD1C1C">
              <w:rPr>
                <w:rFonts w:ascii="Calibri" w:hAnsi="Calibri"/>
                <w:color w:val="231F20"/>
                <w:sz w:val="16"/>
                <w:szCs w:val="16"/>
              </w:rPr>
              <w:t>8.34</w:t>
            </w:r>
          </w:p>
        </w:tc>
        <w:tc>
          <w:tcPr>
            <w:tcW w:w="0" w:type="auto"/>
            <w:tcBorders>
              <w:top w:val="nil"/>
              <w:left w:val="nil"/>
              <w:bottom w:val="single" w:sz="4" w:space="0" w:color="231F20"/>
              <w:right w:val="single" w:sz="4" w:space="0" w:color="231F20"/>
            </w:tcBorders>
            <w:shd w:val="clear" w:color="000000" w:fill="E6E7E8"/>
            <w:vAlign w:val="center"/>
            <w:hideMark/>
          </w:tcPr>
          <w:p w14:paraId="7D02D2F0" w14:textId="77777777" w:rsidR="00CD1C1C" w:rsidRPr="00CD1C1C" w:rsidRDefault="00CD1C1C" w:rsidP="00D63204">
            <w:pPr>
              <w:spacing w:after="0" w:line="240" w:lineRule="auto"/>
              <w:rPr>
                <w:rFonts w:ascii="Calibri" w:hAnsi="Calibri"/>
                <w:color w:val="231F20"/>
                <w:sz w:val="16"/>
                <w:szCs w:val="16"/>
              </w:rPr>
            </w:pPr>
            <w:r w:rsidRPr="00CD1C1C">
              <w:rPr>
                <w:rFonts w:ascii="Calibri" w:hAnsi="Calibri"/>
                <w:color w:val="231F20"/>
                <w:sz w:val="16"/>
                <w:szCs w:val="16"/>
              </w:rPr>
              <w:t>177,435</w:t>
            </w:r>
          </w:p>
        </w:tc>
        <w:tc>
          <w:tcPr>
            <w:tcW w:w="0" w:type="auto"/>
            <w:tcBorders>
              <w:top w:val="nil"/>
              <w:left w:val="nil"/>
              <w:bottom w:val="single" w:sz="4" w:space="0" w:color="231F20"/>
              <w:right w:val="single" w:sz="4" w:space="0" w:color="231F20"/>
            </w:tcBorders>
            <w:shd w:val="clear" w:color="000000" w:fill="E6E7E8"/>
            <w:vAlign w:val="center"/>
            <w:hideMark/>
          </w:tcPr>
          <w:p w14:paraId="70632AD5" w14:textId="77777777" w:rsidR="00CD1C1C" w:rsidRPr="00CD1C1C" w:rsidRDefault="00CD1C1C" w:rsidP="00D63204">
            <w:pPr>
              <w:spacing w:after="0" w:line="240" w:lineRule="auto"/>
              <w:rPr>
                <w:rFonts w:ascii="Calibri" w:hAnsi="Calibri"/>
                <w:color w:val="231F20"/>
                <w:sz w:val="16"/>
                <w:szCs w:val="16"/>
              </w:rPr>
            </w:pPr>
            <w:r w:rsidRPr="00CD1C1C">
              <w:rPr>
                <w:rFonts w:ascii="Calibri" w:hAnsi="Calibri"/>
                <w:color w:val="231F20"/>
                <w:sz w:val="16"/>
                <w:szCs w:val="16"/>
              </w:rPr>
              <w:t>13.4</w:t>
            </w:r>
          </w:p>
        </w:tc>
        <w:tc>
          <w:tcPr>
            <w:tcW w:w="0" w:type="auto"/>
            <w:tcBorders>
              <w:top w:val="nil"/>
              <w:left w:val="nil"/>
              <w:bottom w:val="single" w:sz="4" w:space="0" w:color="231F20"/>
              <w:right w:val="single" w:sz="4" w:space="0" w:color="231F20"/>
            </w:tcBorders>
            <w:shd w:val="clear" w:color="000000" w:fill="E6E7E8"/>
            <w:vAlign w:val="center"/>
            <w:hideMark/>
          </w:tcPr>
          <w:p w14:paraId="276F3214" w14:textId="77777777" w:rsidR="00CD1C1C" w:rsidRPr="00CD1C1C" w:rsidRDefault="00CD1C1C" w:rsidP="00D63204">
            <w:pPr>
              <w:spacing w:after="0" w:line="240" w:lineRule="auto"/>
              <w:rPr>
                <w:rFonts w:ascii="Calibri" w:hAnsi="Calibri"/>
                <w:color w:val="231F20"/>
                <w:sz w:val="16"/>
                <w:szCs w:val="16"/>
              </w:rPr>
            </w:pPr>
            <w:r w:rsidRPr="00CD1C1C">
              <w:rPr>
                <w:rFonts w:ascii="Calibri" w:hAnsi="Calibri"/>
                <w:color w:val="231F20"/>
                <w:sz w:val="16"/>
                <w:szCs w:val="16"/>
              </w:rPr>
              <w:t>9.78</w:t>
            </w:r>
          </w:p>
        </w:tc>
        <w:tc>
          <w:tcPr>
            <w:tcW w:w="0" w:type="auto"/>
            <w:tcBorders>
              <w:top w:val="nil"/>
              <w:left w:val="nil"/>
              <w:bottom w:val="single" w:sz="4" w:space="0" w:color="231F20"/>
              <w:right w:val="single" w:sz="4" w:space="0" w:color="231F20"/>
            </w:tcBorders>
            <w:shd w:val="clear" w:color="000000" w:fill="E6E7E8"/>
            <w:vAlign w:val="center"/>
            <w:hideMark/>
          </w:tcPr>
          <w:p w14:paraId="6FE0F71D" w14:textId="77777777" w:rsidR="00CD1C1C" w:rsidRPr="00CD1C1C" w:rsidRDefault="00CD1C1C" w:rsidP="00D63204">
            <w:pPr>
              <w:spacing w:after="0" w:line="240" w:lineRule="auto"/>
              <w:rPr>
                <w:rFonts w:ascii="Calibri" w:hAnsi="Calibri"/>
                <w:color w:val="231F20"/>
                <w:sz w:val="16"/>
                <w:szCs w:val="16"/>
              </w:rPr>
            </w:pPr>
            <w:r w:rsidRPr="00CD1C1C">
              <w:rPr>
                <w:rFonts w:ascii="Calibri" w:hAnsi="Calibri"/>
                <w:color w:val="231F20"/>
                <w:sz w:val="16"/>
                <w:szCs w:val="16"/>
              </w:rPr>
              <w:t>17.06</w:t>
            </w:r>
          </w:p>
        </w:tc>
      </w:tr>
      <w:tr w:rsidR="00CD1C1C" w:rsidRPr="00BE6993" w14:paraId="783434B5" w14:textId="77777777" w:rsidTr="00CD1C1C">
        <w:trPr>
          <w:trHeight w:hRule="exact" w:val="450"/>
        </w:trPr>
        <w:tc>
          <w:tcPr>
            <w:tcW w:w="0" w:type="auto"/>
            <w:tcBorders>
              <w:top w:val="nil"/>
              <w:left w:val="single" w:sz="4" w:space="0" w:color="231F20"/>
              <w:bottom w:val="single" w:sz="4" w:space="0" w:color="231F20"/>
              <w:right w:val="single" w:sz="4" w:space="0" w:color="231F20"/>
            </w:tcBorders>
            <w:shd w:val="clear" w:color="auto" w:fill="auto"/>
            <w:vAlign w:val="center"/>
            <w:hideMark/>
          </w:tcPr>
          <w:p w14:paraId="38EDBDB8" w14:textId="77777777" w:rsidR="00CD1C1C" w:rsidRPr="00CD1C1C" w:rsidRDefault="00CD1C1C" w:rsidP="00D63204">
            <w:pPr>
              <w:spacing w:after="0" w:line="240" w:lineRule="auto"/>
              <w:rPr>
                <w:rFonts w:ascii="Calibri" w:hAnsi="Calibri"/>
                <w:color w:val="231F20"/>
                <w:sz w:val="16"/>
                <w:szCs w:val="16"/>
              </w:rPr>
            </w:pPr>
            <w:r w:rsidRPr="00CD1C1C">
              <w:rPr>
                <w:rFonts w:ascii="Calibri" w:hAnsi="Calibri"/>
                <w:color w:val="231F20"/>
                <w:sz w:val="16"/>
                <w:szCs w:val="16"/>
              </w:rPr>
              <w:t>8</w:t>
            </w:r>
          </w:p>
        </w:tc>
        <w:tc>
          <w:tcPr>
            <w:tcW w:w="0" w:type="auto"/>
            <w:tcBorders>
              <w:top w:val="nil"/>
              <w:left w:val="nil"/>
              <w:bottom w:val="single" w:sz="4" w:space="0" w:color="231F20"/>
              <w:right w:val="single" w:sz="4" w:space="0" w:color="231F20"/>
            </w:tcBorders>
            <w:shd w:val="clear" w:color="auto" w:fill="auto"/>
            <w:vAlign w:val="center"/>
            <w:hideMark/>
          </w:tcPr>
          <w:p w14:paraId="1394026E" w14:textId="77777777" w:rsidR="00CD1C1C" w:rsidRPr="00CD1C1C" w:rsidRDefault="00CD1C1C" w:rsidP="00CD1C1C">
            <w:pPr>
              <w:spacing w:after="0" w:line="240" w:lineRule="auto"/>
              <w:rPr>
                <w:rFonts w:ascii="Calibri" w:hAnsi="Calibri"/>
                <w:color w:val="231F20"/>
                <w:sz w:val="16"/>
                <w:szCs w:val="16"/>
              </w:rPr>
            </w:pPr>
            <w:r w:rsidRPr="00CD1C1C">
              <w:rPr>
                <w:rFonts w:ascii="Calibri" w:hAnsi="Calibri"/>
                <w:color w:val="231F20"/>
                <w:sz w:val="16"/>
                <w:szCs w:val="16"/>
              </w:rPr>
              <w:t>537062</w:t>
            </w:r>
          </w:p>
        </w:tc>
        <w:tc>
          <w:tcPr>
            <w:tcW w:w="0" w:type="auto"/>
            <w:tcBorders>
              <w:top w:val="nil"/>
              <w:left w:val="nil"/>
              <w:bottom w:val="single" w:sz="4" w:space="0" w:color="231F20"/>
              <w:right w:val="single" w:sz="4" w:space="0" w:color="231F20"/>
            </w:tcBorders>
            <w:shd w:val="clear" w:color="auto" w:fill="auto"/>
            <w:vAlign w:val="center"/>
            <w:hideMark/>
          </w:tcPr>
          <w:p w14:paraId="302DED7C" w14:textId="47B8FF00" w:rsidR="00CD1C1C" w:rsidRPr="00CD1C1C" w:rsidRDefault="00CD1C1C" w:rsidP="00CD1C1C">
            <w:pPr>
              <w:spacing w:after="0" w:line="240" w:lineRule="auto"/>
              <w:rPr>
                <w:rFonts w:ascii="Calibri" w:hAnsi="Calibri"/>
                <w:color w:val="231F20"/>
                <w:sz w:val="16"/>
                <w:szCs w:val="16"/>
              </w:rPr>
            </w:pPr>
            <w:r w:rsidRPr="00CD1C1C">
              <w:rPr>
                <w:rFonts w:ascii="Calibri" w:hAnsi="Calibri"/>
                <w:color w:val="231F20"/>
                <w:sz w:val="16"/>
                <w:szCs w:val="16"/>
              </w:rPr>
              <w:t>Laborers and Freight, Stock</w:t>
            </w:r>
            <w:r w:rsidR="00D5537E">
              <w:rPr>
                <w:rFonts w:ascii="Calibri" w:hAnsi="Calibri"/>
                <w:color w:val="231F20"/>
                <w:sz w:val="16"/>
                <w:szCs w:val="16"/>
              </w:rPr>
              <w:t xml:space="preserve"> and</w:t>
            </w:r>
            <w:r w:rsidRPr="00CD1C1C">
              <w:rPr>
                <w:rFonts w:ascii="Calibri" w:hAnsi="Calibri"/>
                <w:color w:val="231F20"/>
                <w:sz w:val="16"/>
                <w:szCs w:val="16"/>
              </w:rPr>
              <w:t xml:space="preserve"> Material Movers, Hand</w:t>
            </w:r>
          </w:p>
        </w:tc>
        <w:tc>
          <w:tcPr>
            <w:tcW w:w="0" w:type="auto"/>
            <w:tcBorders>
              <w:top w:val="nil"/>
              <w:left w:val="nil"/>
              <w:bottom w:val="single" w:sz="4" w:space="0" w:color="231F20"/>
              <w:right w:val="single" w:sz="4" w:space="0" w:color="231F20"/>
            </w:tcBorders>
            <w:shd w:val="clear" w:color="auto" w:fill="auto"/>
            <w:vAlign w:val="center"/>
            <w:hideMark/>
          </w:tcPr>
          <w:p w14:paraId="6CFC7860" w14:textId="77777777" w:rsidR="00CD1C1C" w:rsidRPr="00CD1C1C" w:rsidRDefault="00CD1C1C" w:rsidP="00D63204">
            <w:pPr>
              <w:spacing w:after="0" w:line="240" w:lineRule="auto"/>
              <w:rPr>
                <w:rFonts w:ascii="Calibri" w:hAnsi="Calibri"/>
                <w:color w:val="231F20"/>
                <w:sz w:val="16"/>
                <w:szCs w:val="16"/>
              </w:rPr>
            </w:pPr>
            <w:r w:rsidRPr="00CD1C1C">
              <w:rPr>
                <w:rFonts w:ascii="Calibri" w:hAnsi="Calibri"/>
                <w:color w:val="231F20"/>
                <w:sz w:val="16"/>
                <w:szCs w:val="16"/>
              </w:rPr>
              <w:t>132,364</w:t>
            </w:r>
          </w:p>
        </w:tc>
        <w:tc>
          <w:tcPr>
            <w:tcW w:w="0" w:type="auto"/>
            <w:tcBorders>
              <w:top w:val="nil"/>
              <w:left w:val="nil"/>
              <w:bottom w:val="single" w:sz="4" w:space="0" w:color="231F20"/>
              <w:right w:val="single" w:sz="4" w:space="0" w:color="231F20"/>
            </w:tcBorders>
            <w:shd w:val="clear" w:color="auto" w:fill="auto"/>
            <w:vAlign w:val="center"/>
            <w:hideMark/>
          </w:tcPr>
          <w:p w14:paraId="2CA2DBE9" w14:textId="77777777" w:rsidR="00CD1C1C" w:rsidRPr="00CD1C1C" w:rsidRDefault="00CD1C1C" w:rsidP="00D63204">
            <w:pPr>
              <w:spacing w:after="0" w:line="240" w:lineRule="auto"/>
              <w:rPr>
                <w:rFonts w:ascii="Calibri" w:hAnsi="Calibri"/>
                <w:color w:val="231F20"/>
                <w:sz w:val="16"/>
                <w:szCs w:val="16"/>
              </w:rPr>
            </w:pPr>
            <w:r w:rsidRPr="00CD1C1C">
              <w:rPr>
                <w:rFonts w:ascii="Calibri" w:hAnsi="Calibri"/>
                <w:color w:val="231F20"/>
                <w:sz w:val="16"/>
                <w:szCs w:val="16"/>
              </w:rPr>
              <w:t>146,186</w:t>
            </w:r>
          </w:p>
        </w:tc>
        <w:tc>
          <w:tcPr>
            <w:tcW w:w="0" w:type="auto"/>
            <w:tcBorders>
              <w:top w:val="nil"/>
              <w:left w:val="nil"/>
              <w:bottom w:val="single" w:sz="4" w:space="0" w:color="231F20"/>
              <w:right w:val="single" w:sz="4" w:space="0" w:color="231F20"/>
            </w:tcBorders>
            <w:shd w:val="clear" w:color="auto" w:fill="auto"/>
            <w:vAlign w:val="center"/>
            <w:hideMark/>
          </w:tcPr>
          <w:p w14:paraId="7EDB35CF" w14:textId="77777777" w:rsidR="00CD1C1C" w:rsidRPr="00CD1C1C" w:rsidRDefault="00CD1C1C" w:rsidP="00D63204">
            <w:pPr>
              <w:spacing w:after="0" w:line="240" w:lineRule="auto"/>
              <w:rPr>
                <w:rFonts w:ascii="Calibri" w:hAnsi="Calibri"/>
                <w:color w:val="231F20"/>
                <w:sz w:val="16"/>
                <w:szCs w:val="16"/>
              </w:rPr>
            </w:pPr>
            <w:r w:rsidRPr="00CD1C1C">
              <w:rPr>
                <w:rFonts w:ascii="Calibri" w:hAnsi="Calibri"/>
                <w:color w:val="231F20"/>
                <w:sz w:val="16"/>
                <w:szCs w:val="16"/>
              </w:rPr>
              <w:t>13,822</w:t>
            </w:r>
          </w:p>
        </w:tc>
        <w:tc>
          <w:tcPr>
            <w:tcW w:w="0" w:type="auto"/>
            <w:tcBorders>
              <w:top w:val="nil"/>
              <w:left w:val="nil"/>
              <w:bottom w:val="single" w:sz="4" w:space="0" w:color="231F20"/>
              <w:right w:val="single" w:sz="4" w:space="0" w:color="231F20"/>
            </w:tcBorders>
            <w:shd w:val="clear" w:color="auto" w:fill="auto"/>
            <w:vAlign w:val="center"/>
            <w:hideMark/>
          </w:tcPr>
          <w:p w14:paraId="3AAC40EF" w14:textId="77777777" w:rsidR="00CD1C1C" w:rsidRPr="00CD1C1C" w:rsidRDefault="00CD1C1C" w:rsidP="00D63204">
            <w:pPr>
              <w:spacing w:after="0" w:line="240" w:lineRule="auto"/>
              <w:rPr>
                <w:rFonts w:ascii="Calibri" w:hAnsi="Calibri"/>
                <w:color w:val="231F20"/>
                <w:sz w:val="16"/>
                <w:szCs w:val="16"/>
              </w:rPr>
            </w:pPr>
            <w:r w:rsidRPr="00CD1C1C">
              <w:rPr>
                <w:rFonts w:ascii="Calibri" w:hAnsi="Calibri"/>
                <w:color w:val="231F20"/>
                <w:sz w:val="16"/>
                <w:szCs w:val="16"/>
              </w:rPr>
              <w:t>10.44</w:t>
            </w:r>
          </w:p>
        </w:tc>
        <w:tc>
          <w:tcPr>
            <w:tcW w:w="0" w:type="auto"/>
            <w:tcBorders>
              <w:top w:val="nil"/>
              <w:left w:val="nil"/>
              <w:bottom w:val="single" w:sz="4" w:space="0" w:color="231F20"/>
              <w:right w:val="single" w:sz="4" w:space="0" w:color="231F20"/>
            </w:tcBorders>
            <w:shd w:val="clear" w:color="auto" w:fill="auto"/>
            <w:vAlign w:val="center"/>
            <w:hideMark/>
          </w:tcPr>
          <w:p w14:paraId="7D43D8AD" w14:textId="77777777" w:rsidR="00CD1C1C" w:rsidRPr="00CD1C1C" w:rsidRDefault="00CD1C1C" w:rsidP="00D63204">
            <w:pPr>
              <w:spacing w:after="0" w:line="240" w:lineRule="auto"/>
              <w:rPr>
                <w:rFonts w:ascii="Calibri" w:hAnsi="Calibri"/>
                <w:color w:val="231F20"/>
                <w:sz w:val="16"/>
                <w:szCs w:val="16"/>
              </w:rPr>
            </w:pPr>
            <w:r w:rsidRPr="00CD1C1C">
              <w:rPr>
                <w:rFonts w:ascii="Calibri" w:hAnsi="Calibri"/>
                <w:color w:val="231F20"/>
                <w:sz w:val="16"/>
                <w:szCs w:val="16"/>
              </w:rPr>
              <w:t>163,604</w:t>
            </w:r>
          </w:p>
        </w:tc>
        <w:tc>
          <w:tcPr>
            <w:tcW w:w="0" w:type="auto"/>
            <w:tcBorders>
              <w:top w:val="nil"/>
              <w:left w:val="nil"/>
              <w:bottom w:val="single" w:sz="4" w:space="0" w:color="231F20"/>
              <w:right w:val="single" w:sz="4" w:space="0" w:color="231F20"/>
            </w:tcBorders>
            <w:shd w:val="clear" w:color="auto" w:fill="auto"/>
            <w:vAlign w:val="center"/>
            <w:hideMark/>
          </w:tcPr>
          <w:p w14:paraId="2EDC6C78" w14:textId="77777777" w:rsidR="00CD1C1C" w:rsidRPr="00CD1C1C" w:rsidRDefault="00CD1C1C" w:rsidP="00D63204">
            <w:pPr>
              <w:spacing w:after="0" w:line="240" w:lineRule="auto"/>
              <w:rPr>
                <w:rFonts w:ascii="Calibri" w:hAnsi="Calibri"/>
                <w:color w:val="231F20"/>
                <w:sz w:val="16"/>
                <w:szCs w:val="16"/>
              </w:rPr>
            </w:pPr>
            <w:r w:rsidRPr="00CD1C1C">
              <w:rPr>
                <w:rFonts w:ascii="Calibri" w:hAnsi="Calibri"/>
                <w:color w:val="231F20"/>
                <w:sz w:val="16"/>
                <w:szCs w:val="16"/>
              </w:rPr>
              <w:t>11.92</w:t>
            </w:r>
          </w:p>
        </w:tc>
        <w:tc>
          <w:tcPr>
            <w:tcW w:w="0" w:type="auto"/>
            <w:tcBorders>
              <w:top w:val="nil"/>
              <w:left w:val="nil"/>
              <w:bottom w:val="single" w:sz="4" w:space="0" w:color="231F20"/>
              <w:right w:val="single" w:sz="4" w:space="0" w:color="231F20"/>
            </w:tcBorders>
            <w:shd w:val="clear" w:color="auto" w:fill="auto"/>
            <w:vAlign w:val="center"/>
            <w:hideMark/>
          </w:tcPr>
          <w:p w14:paraId="593A08BD" w14:textId="77777777" w:rsidR="00CD1C1C" w:rsidRPr="00CD1C1C" w:rsidRDefault="00CD1C1C" w:rsidP="00D63204">
            <w:pPr>
              <w:spacing w:after="0" w:line="240" w:lineRule="auto"/>
              <w:rPr>
                <w:rFonts w:ascii="Calibri" w:hAnsi="Calibri"/>
                <w:color w:val="231F20"/>
                <w:sz w:val="16"/>
                <w:szCs w:val="16"/>
              </w:rPr>
            </w:pPr>
            <w:r w:rsidRPr="00CD1C1C">
              <w:rPr>
                <w:rFonts w:ascii="Calibri" w:hAnsi="Calibri"/>
                <w:color w:val="231F20"/>
                <w:sz w:val="16"/>
                <w:szCs w:val="16"/>
              </w:rPr>
              <w:t>9.58</w:t>
            </w:r>
          </w:p>
        </w:tc>
        <w:tc>
          <w:tcPr>
            <w:tcW w:w="0" w:type="auto"/>
            <w:tcBorders>
              <w:top w:val="nil"/>
              <w:left w:val="nil"/>
              <w:bottom w:val="single" w:sz="4" w:space="0" w:color="231F20"/>
              <w:right w:val="single" w:sz="4" w:space="0" w:color="231F20"/>
            </w:tcBorders>
            <w:shd w:val="clear" w:color="auto" w:fill="auto"/>
            <w:vAlign w:val="center"/>
            <w:hideMark/>
          </w:tcPr>
          <w:p w14:paraId="226E3000" w14:textId="77777777" w:rsidR="00CD1C1C" w:rsidRPr="00CD1C1C" w:rsidRDefault="00CD1C1C" w:rsidP="00D63204">
            <w:pPr>
              <w:spacing w:after="0" w:line="240" w:lineRule="auto"/>
              <w:rPr>
                <w:rFonts w:ascii="Calibri" w:hAnsi="Calibri"/>
                <w:color w:val="231F20"/>
                <w:sz w:val="16"/>
                <w:szCs w:val="16"/>
              </w:rPr>
            </w:pPr>
            <w:r w:rsidRPr="00CD1C1C">
              <w:rPr>
                <w:rFonts w:ascii="Calibri" w:hAnsi="Calibri"/>
                <w:color w:val="231F20"/>
                <w:sz w:val="16"/>
                <w:szCs w:val="16"/>
              </w:rPr>
              <w:t>15.32</w:t>
            </w:r>
          </w:p>
        </w:tc>
      </w:tr>
      <w:tr w:rsidR="002F07C8" w:rsidRPr="00BE6993" w14:paraId="28002F1E" w14:textId="77777777" w:rsidTr="00CD1C1C">
        <w:trPr>
          <w:trHeight w:hRule="exact" w:val="433"/>
        </w:trPr>
        <w:tc>
          <w:tcPr>
            <w:tcW w:w="0" w:type="auto"/>
            <w:tcBorders>
              <w:top w:val="nil"/>
              <w:left w:val="single" w:sz="4" w:space="0" w:color="231F20"/>
              <w:bottom w:val="single" w:sz="4" w:space="0" w:color="231F20"/>
              <w:right w:val="single" w:sz="4" w:space="0" w:color="231F20"/>
            </w:tcBorders>
            <w:shd w:val="clear" w:color="000000" w:fill="E6E7E8"/>
            <w:vAlign w:val="center"/>
            <w:hideMark/>
          </w:tcPr>
          <w:p w14:paraId="05D6F340" w14:textId="77777777" w:rsidR="00CD1C1C" w:rsidRPr="00CD1C1C" w:rsidRDefault="00CD1C1C" w:rsidP="00D63204">
            <w:pPr>
              <w:spacing w:after="0" w:line="240" w:lineRule="auto"/>
              <w:rPr>
                <w:rFonts w:ascii="Calibri" w:hAnsi="Calibri"/>
                <w:color w:val="231F20"/>
                <w:sz w:val="16"/>
                <w:szCs w:val="16"/>
              </w:rPr>
            </w:pPr>
            <w:r w:rsidRPr="00CD1C1C">
              <w:rPr>
                <w:rFonts w:ascii="Calibri" w:hAnsi="Calibri"/>
                <w:color w:val="231F20"/>
                <w:sz w:val="16"/>
                <w:szCs w:val="16"/>
              </w:rPr>
              <w:t>9</w:t>
            </w:r>
          </w:p>
        </w:tc>
        <w:tc>
          <w:tcPr>
            <w:tcW w:w="0" w:type="auto"/>
            <w:tcBorders>
              <w:top w:val="nil"/>
              <w:left w:val="nil"/>
              <w:bottom w:val="single" w:sz="4" w:space="0" w:color="231F20"/>
              <w:right w:val="single" w:sz="4" w:space="0" w:color="231F20"/>
            </w:tcBorders>
            <w:shd w:val="clear" w:color="000000" w:fill="E6E7E8"/>
            <w:vAlign w:val="center"/>
            <w:hideMark/>
          </w:tcPr>
          <w:p w14:paraId="223E9C84" w14:textId="77777777" w:rsidR="00CD1C1C" w:rsidRPr="00CD1C1C" w:rsidRDefault="00CD1C1C" w:rsidP="00CD1C1C">
            <w:pPr>
              <w:spacing w:after="0" w:line="240" w:lineRule="auto"/>
              <w:rPr>
                <w:rFonts w:ascii="Calibri" w:hAnsi="Calibri"/>
                <w:color w:val="231F20"/>
                <w:sz w:val="16"/>
                <w:szCs w:val="16"/>
              </w:rPr>
            </w:pPr>
            <w:r w:rsidRPr="00CD1C1C">
              <w:rPr>
                <w:rFonts w:ascii="Calibri" w:hAnsi="Calibri"/>
                <w:color w:val="231F20"/>
                <w:sz w:val="16"/>
                <w:szCs w:val="16"/>
              </w:rPr>
              <w:t>435081</w:t>
            </w:r>
          </w:p>
        </w:tc>
        <w:tc>
          <w:tcPr>
            <w:tcW w:w="0" w:type="auto"/>
            <w:tcBorders>
              <w:top w:val="nil"/>
              <w:left w:val="nil"/>
              <w:bottom w:val="single" w:sz="4" w:space="0" w:color="231F20"/>
              <w:right w:val="single" w:sz="4" w:space="0" w:color="231F20"/>
            </w:tcBorders>
            <w:shd w:val="clear" w:color="000000" w:fill="E6E7E8"/>
            <w:vAlign w:val="center"/>
            <w:hideMark/>
          </w:tcPr>
          <w:p w14:paraId="57074B9E" w14:textId="77777777" w:rsidR="00CD1C1C" w:rsidRPr="00CD1C1C" w:rsidRDefault="00CD1C1C" w:rsidP="00CD1C1C">
            <w:pPr>
              <w:spacing w:after="0" w:line="240" w:lineRule="auto"/>
              <w:rPr>
                <w:rFonts w:ascii="Calibri" w:hAnsi="Calibri"/>
                <w:color w:val="231F20"/>
                <w:sz w:val="16"/>
                <w:szCs w:val="16"/>
              </w:rPr>
            </w:pPr>
            <w:r w:rsidRPr="00CD1C1C">
              <w:rPr>
                <w:rFonts w:ascii="Calibri" w:hAnsi="Calibri"/>
                <w:color w:val="231F20"/>
                <w:sz w:val="16"/>
                <w:szCs w:val="16"/>
              </w:rPr>
              <w:t>Stock Clerks and Order Fillers</w:t>
            </w:r>
          </w:p>
        </w:tc>
        <w:tc>
          <w:tcPr>
            <w:tcW w:w="0" w:type="auto"/>
            <w:tcBorders>
              <w:top w:val="nil"/>
              <w:left w:val="nil"/>
              <w:bottom w:val="single" w:sz="4" w:space="0" w:color="231F20"/>
              <w:right w:val="single" w:sz="4" w:space="0" w:color="231F20"/>
            </w:tcBorders>
            <w:shd w:val="clear" w:color="000000" w:fill="E6E7E8"/>
            <w:vAlign w:val="center"/>
            <w:hideMark/>
          </w:tcPr>
          <w:p w14:paraId="4DECDA2B" w14:textId="77777777" w:rsidR="00CD1C1C" w:rsidRPr="00CD1C1C" w:rsidRDefault="00CD1C1C" w:rsidP="00D63204">
            <w:pPr>
              <w:spacing w:after="0" w:line="240" w:lineRule="auto"/>
              <w:rPr>
                <w:rFonts w:ascii="Calibri" w:hAnsi="Calibri"/>
                <w:color w:val="231F20"/>
                <w:sz w:val="16"/>
                <w:szCs w:val="16"/>
              </w:rPr>
            </w:pPr>
            <w:r w:rsidRPr="00CD1C1C">
              <w:rPr>
                <w:rFonts w:ascii="Calibri" w:hAnsi="Calibri"/>
                <w:color w:val="231F20"/>
                <w:sz w:val="16"/>
                <w:szCs w:val="16"/>
              </w:rPr>
              <w:t>140,166</w:t>
            </w:r>
          </w:p>
        </w:tc>
        <w:tc>
          <w:tcPr>
            <w:tcW w:w="0" w:type="auto"/>
            <w:tcBorders>
              <w:top w:val="nil"/>
              <w:left w:val="nil"/>
              <w:bottom w:val="single" w:sz="4" w:space="0" w:color="231F20"/>
              <w:right w:val="single" w:sz="4" w:space="0" w:color="231F20"/>
            </w:tcBorders>
            <w:shd w:val="clear" w:color="000000" w:fill="E6E7E8"/>
            <w:vAlign w:val="center"/>
            <w:hideMark/>
          </w:tcPr>
          <w:p w14:paraId="127A816F" w14:textId="77777777" w:rsidR="00CD1C1C" w:rsidRPr="00CD1C1C" w:rsidRDefault="00CD1C1C" w:rsidP="00D63204">
            <w:pPr>
              <w:spacing w:after="0" w:line="240" w:lineRule="auto"/>
              <w:rPr>
                <w:rFonts w:ascii="Calibri" w:hAnsi="Calibri"/>
                <w:color w:val="231F20"/>
                <w:sz w:val="16"/>
                <w:szCs w:val="16"/>
              </w:rPr>
            </w:pPr>
            <w:r w:rsidRPr="00CD1C1C">
              <w:rPr>
                <w:rFonts w:ascii="Calibri" w:hAnsi="Calibri"/>
                <w:color w:val="231F20"/>
                <w:sz w:val="16"/>
                <w:szCs w:val="16"/>
              </w:rPr>
              <w:t>152,582</w:t>
            </w:r>
          </w:p>
        </w:tc>
        <w:tc>
          <w:tcPr>
            <w:tcW w:w="0" w:type="auto"/>
            <w:tcBorders>
              <w:top w:val="nil"/>
              <w:left w:val="nil"/>
              <w:bottom w:val="single" w:sz="4" w:space="0" w:color="231F20"/>
              <w:right w:val="single" w:sz="4" w:space="0" w:color="231F20"/>
            </w:tcBorders>
            <w:shd w:val="clear" w:color="000000" w:fill="E6E7E8"/>
            <w:vAlign w:val="center"/>
            <w:hideMark/>
          </w:tcPr>
          <w:p w14:paraId="00C442B0" w14:textId="77777777" w:rsidR="00CD1C1C" w:rsidRPr="00CD1C1C" w:rsidRDefault="00CD1C1C" w:rsidP="00D63204">
            <w:pPr>
              <w:spacing w:after="0" w:line="240" w:lineRule="auto"/>
              <w:rPr>
                <w:rFonts w:ascii="Calibri" w:hAnsi="Calibri"/>
                <w:color w:val="231F20"/>
                <w:sz w:val="16"/>
                <w:szCs w:val="16"/>
              </w:rPr>
            </w:pPr>
            <w:r w:rsidRPr="00CD1C1C">
              <w:rPr>
                <w:rFonts w:ascii="Calibri" w:hAnsi="Calibri"/>
                <w:color w:val="231F20"/>
                <w:sz w:val="16"/>
                <w:szCs w:val="16"/>
              </w:rPr>
              <w:t>12,416</w:t>
            </w:r>
          </w:p>
        </w:tc>
        <w:tc>
          <w:tcPr>
            <w:tcW w:w="0" w:type="auto"/>
            <w:tcBorders>
              <w:top w:val="nil"/>
              <w:left w:val="nil"/>
              <w:bottom w:val="single" w:sz="4" w:space="0" w:color="231F20"/>
              <w:right w:val="single" w:sz="4" w:space="0" w:color="231F20"/>
            </w:tcBorders>
            <w:shd w:val="clear" w:color="000000" w:fill="E6E7E8"/>
            <w:vAlign w:val="center"/>
            <w:hideMark/>
          </w:tcPr>
          <w:p w14:paraId="043F18BB" w14:textId="77777777" w:rsidR="00CD1C1C" w:rsidRPr="00CD1C1C" w:rsidRDefault="00CD1C1C" w:rsidP="00D63204">
            <w:pPr>
              <w:spacing w:after="0" w:line="240" w:lineRule="auto"/>
              <w:rPr>
                <w:rFonts w:ascii="Calibri" w:hAnsi="Calibri"/>
                <w:color w:val="231F20"/>
                <w:sz w:val="16"/>
                <w:szCs w:val="16"/>
              </w:rPr>
            </w:pPr>
            <w:r w:rsidRPr="00CD1C1C">
              <w:rPr>
                <w:rFonts w:ascii="Calibri" w:hAnsi="Calibri"/>
                <w:color w:val="231F20"/>
                <w:sz w:val="16"/>
                <w:szCs w:val="16"/>
              </w:rPr>
              <w:t>8.86</w:t>
            </w:r>
          </w:p>
        </w:tc>
        <w:tc>
          <w:tcPr>
            <w:tcW w:w="0" w:type="auto"/>
            <w:tcBorders>
              <w:top w:val="nil"/>
              <w:left w:val="nil"/>
              <w:bottom w:val="single" w:sz="4" w:space="0" w:color="231F20"/>
              <w:right w:val="single" w:sz="4" w:space="0" w:color="231F20"/>
            </w:tcBorders>
            <w:shd w:val="clear" w:color="000000" w:fill="E6E7E8"/>
            <w:vAlign w:val="center"/>
            <w:hideMark/>
          </w:tcPr>
          <w:p w14:paraId="03A479A8" w14:textId="77777777" w:rsidR="00CD1C1C" w:rsidRPr="00CD1C1C" w:rsidRDefault="00CD1C1C" w:rsidP="00D63204">
            <w:pPr>
              <w:spacing w:after="0" w:line="240" w:lineRule="auto"/>
              <w:rPr>
                <w:rFonts w:ascii="Calibri" w:hAnsi="Calibri"/>
                <w:color w:val="231F20"/>
                <w:sz w:val="16"/>
                <w:szCs w:val="16"/>
              </w:rPr>
            </w:pPr>
            <w:r w:rsidRPr="00CD1C1C">
              <w:rPr>
                <w:rFonts w:ascii="Calibri" w:hAnsi="Calibri"/>
                <w:color w:val="231F20"/>
                <w:sz w:val="16"/>
                <w:szCs w:val="16"/>
              </w:rPr>
              <w:t>161,332</w:t>
            </w:r>
          </w:p>
        </w:tc>
        <w:tc>
          <w:tcPr>
            <w:tcW w:w="0" w:type="auto"/>
            <w:tcBorders>
              <w:top w:val="nil"/>
              <w:left w:val="nil"/>
              <w:bottom w:val="single" w:sz="4" w:space="0" w:color="231F20"/>
              <w:right w:val="single" w:sz="4" w:space="0" w:color="231F20"/>
            </w:tcBorders>
            <w:shd w:val="clear" w:color="000000" w:fill="E6E7E8"/>
            <w:vAlign w:val="center"/>
            <w:hideMark/>
          </w:tcPr>
          <w:p w14:paraId="57DBD816" w14:textId="77777777" w:rsidR="00CD1C1C" w:rsidRPr="00CD1C1C" w:rsidRDefault="00CD1C1C" w:rsidP="00D63204">
            <w:pPr>
              <w:spacing w:after="0" w:line="240" w:lineRule="auto"/>
              <w:rPr>
                <w:rFonts w:ascii="Calibri" w:hAnsi="Calibri"/>
                <w:color w:val="231F20"/>
                <w:sz w:val="16"/>
                <w:szCs w:val="16"/>
              </w:rPr>
            </w:pPr>
            <w:r w:rsidRPr="00CD1C1C">
              <w:rPr>
                <w:rFonts w:ascii="Calibri" w:hAnsi="Calibri"/>
                <w:color w:val="231F20"/>
                <w:sz w:val="16"/>
                <w:szCs w:val="16"/>
              </w:rPr>
              <w:t>11.59</w:t>
            </w:r>
          </w:p>
        </w:tc>
        <w:tc>
          <w:tcPr>
            <w:tcW w:w="0" w:type="auto"/>
            <w:tcBorders>
              <w:top w:val="nil"/>
              <w:left w:val="nil"/>
              <w:bottom w:val="single" w:sz="4" w:space="0" w:color="231F20"/>
              <w:right w:val="single" w:sz="4" w:space="0" w:color="231F20"/>
            </w:tcBorders>
            <w:shd w:val="clear" w:color="000000" w:fill="E6E7E8"/>
            <w:vAlign w:val="center"/>
            <w:hideMark/>
          </w:tcPr>
          <w:p w14:paraId="27FDAB72" w14:textId="77777777" w:rsidR="00CD1C1C" w:rsidRPr="00CD1C1C" w:rsidRDefault="00CD1C1C" w:rsidP="00D63204">
            <w:pPr>
              <w:spacing w:after="0" w:line="240" w:lineRule="auto"/>
              <w:rPr>
                <w:rFonts w:ascii="Calibri" w:hAnsi="Calibri"/>
                <w:color w:val="231F20"/>
                <w:sz w:val="16"/>
                <w:szCs w:val="16"/>
              </w:rPr>
            </w:pPr>
            <w:r w:rsidRPr="00CD1C1C">
              <w:rPr>
                <w:rFonts w:ascii="Calibri" w:hAnsi="Calibri"/>
                <w:color w:val="231F20"/>
                <w:sz w:val="16"/>
                <w:szCs w:val="16"/>
              </w:rPr>
              <w:t>9.58</w:t>
            </w:r>
          </w:p>
        </w:tc>
        <w:tc>
          <w:tcPr>
            <w:tcW w:w="0" w:type="auto"/>
            <w:tcBorders>
              <w:top w:val="nil"/>
              <w:left w:val="nil"/>
              <w:bottom w:val="single" w:sz="4" w:space="0" w:color="231F20"/>
              <w:right w:val="single" w:sz="4" w:space="0" w:color="231F20"/>
            </w:tcBorders>
            <w:shd w:val="clear" w:color="000000" w:fill="E6E7E8"/>
            <w:vAlign w:val="center"/>
            <w:hideMark/>
          </w:tcPr>
          <w:p w14:paraId="49A7088F" w14:textId="77777777" w:rsidR="00CD1C1C" w:rsidRPr="00CD1C1C" w:rsidRDefault="00CD1C1C" w:rsidP="00D63204">
            <w:pPr>
              <w:spacing w:after="0" w:line="240" w:lineRule="auto"/>
              <w:rPr>
                <w:rFonts w:ascii="Calibri" w:hAnsi="Calibri"/>
                <w:color w:val="231F20"/>
                <w:sz w:val="16"/>
                <w:szCs w:val="16"/>
              </w:rPr>
            </w:pPr>
            <w:r w:rsidRPr="00CD1C1C">
              <w:rPr>
                <w:rFonts w:ascii="Calibri" w:hAnsi="Calibri"/>
                <w:color w:val="231F20"/>
                <w:sz w:val="16"/>
                <w:szCs w:val="16"/>
              </w:rPr>
              <w:t>14.08</w:t>
            </w:r>
          </w:p>
        </w:tc>
      </w:tr>
      <w:tr w:rsidR="00CD1C1C" w:rsidRPr="00BE6993" w14:paraId="383678C9" w14:textId="77777777" w:rsidTr="0061372E">
        <w:trPr>
          <w:trHeight w:hRule="exact" w:val="613"/>
        </w:trPr>
        <w:tc>
          <w:tcPr>
            <w:tcW w:w="0" w:type="auto"/>
            <w:tcBorders>
              <w:top w:val="nil"/>
              <w:left w:val="single" w:sz="4" w:space="0" w:color="231F20"/>
              <w:bottom w:val="single" w:sz="4" w:space="0" w:color="231F20"/>
              <w:right w:val="single" w:sz="4" w:space="0" w:color="231F20"/>
            </w:tcBorders>
            <w:shd w:val="clear" w:color="auto" w:fill="auto"/>
            <w:vAlign w:val="center"/>
            <w:hideMark/>
          </w:tcPr>
          <w:p w14:paraId="2A1C4B38" w14:textId="77777777" w:rsidR="00CD1C1C" w:rsidRPr="00CD1C1C" w:rsidRDefault="00CD1C1C" w:rsidP="00D63204">
            <w:pPr>
              <w:spacing w:after="0" w:line="240" w:lineRule="auto"/>
              <w:rPr>
                <w:rFonts w:ascii="Calibri" w:hAnsi="Calibri"/>
                <w:color w:val="231F20"/>
                <w:sz w:val="16"/>
                <w:szCs w:val="16"/>
              </w:rPr>
            </w:pPr>
            <w:r w:rsidRPr="00CD1C1C">
              <w:rPr>
                <w:rFonts w:ascii="Calibri" w:hAnsi="Calibri"/>
                <w:color w:val="231F20"/>
                <w:sz w:val="16"/>
                <w:szCs w:val="16"/>
              </w:rPr>
              <w:t>10</w:t>
            </w:r>
          </w:p>
        </w:tc>
        <w:tc>
          <w:tcPr>
            <w:tcW w:w="0" w:type="auto"/>
            <w:tcBorders>
              <w:top w:val="nil"/>
              <w:left w:val="nil"/>
              <w:bottom w:val="single" w:sz="4" w:space="0" w:color="231F20"/>
              <w:right w:val="single" w:sz="4" w:space="0" w:color="231F20"/>
            </w:tcBorders>
            <w:shd w:val="clear" w:color="auto" w:fill="auto"/>
            <w:vAlign w:val="center"/>
            <w:hideMark/>
          </w:tcPr>
          <w:p w14:paraId="1A7E7B76" w14:textId="77777777" w:rsidR="00CD1C1C" w:rsidRPr="00CD1C1C" w:rsidRDefault="00CD1C1C" w:rsidP="00CD1C1C">
            <w:pPr>
              <w:spacing w:after="0" w:line="240" w:lineRule="auto"/>
              <w:rPr>
                <w:rFonts w:ascii="Calibri" w:hAnsi="Calibri"/>
                <w:color w:val="231F20"/>
                <w:sz w:val="16"/>
                <w:szCs w:val="16"/>
              </w:rPr>
            </w:pPr>
            <w:r w:rsidRPr="00CD1C1C">
              <w:rPr>
                <w:rFonts w:ascii="Calibri" w:hAnsi="Calibri"/>
                <w:color w:val="231F20"/>
                <w:sz w:val="16"/>
                <w:szCs w:val="16"/>
              </w:rPr>
              <w:t>372011</w:t>
            </w:r>
          </w:p>
        </w:tc>
        <w:tc>
          <w:tcPr>
            <w:tcW w:w="0" w:type="auto"/>
            <w:tcBorders>
              <w:top w:val="nil"/>
              <w:left w:val="nil"/>
              <w:bottom w:val="single" w:sz="4" w:space="0" w:color="231F20"/>
              <w:right w:val="single" w:sz="4" w:space="0" w:color="231F20"/>
            </w:tcBorders>
            <w:shd w:val="clear" w:color="auto" w:fill="auto"/>
            <w:vAlign w:val="center"/>
            <w:hideMark/>
          </w:tcPr>
          <w:p w14:paraId="015328BA" w14:textId="77777777" w:rsidR="00CD1C1C" w:rsidRPr="00CD1C1C" w:rsidRDefault="00CD1C1C" w:rsidP="00CD1C1C">
            <w:pPr>
              <w:spacing w:after="0" w:line="240" w:lineRule="auto"/>
              <w:rPr>
                <w:rFonts w:ascii="Calibri" w:hAnsi="Calibri"/>
                <w:color w:val="231F20"/>
                <w:sz w:val="16"/>
                <w:szCs w:val="16"/>
              </w:rPr>
            </w:pPr>
            <w:r w:rsidRPr="00CD1C1C">
              <w:rPr>
                <w:rFonts w:ascii="Calibri" w:hAnsi="Calibri"/>
                <w:color w:val="231F20"/>
                <w:sz w:val="16"/>
                <w:szCs w:val="16"/>
              </w:rPr>
              <w:t>Janitors and Cleaners, Except Maids and Housekeeping</w:t>
            </w:r>
          </w:p>
        </w:tc>
        <w:tc>
          <w:tcPr>
            <w:tcW w:w="0" w:type="auto"/>
            <w:tcBorders>
              <w:top w:val="nil"/>
              <w:left w:val="nil"/>
              <w:bottom w:val="single" w:sz="4" w:space="0" w:color="231F20"/>
              <w:right w:val="single" w:sz="4" w:space="0" w:color="231F20"/>
            </w:tcBorders>
            <w:shd w:val="clear" w:color="auto" w:fill="auto"/>
            <w:vAlign w:val="center"/>
            <w:hideMark/>
          </w:tcPr>
          <w:p w14:paraId="6E4E064A" w14:textId="77777777" w:rsidR="00CD1C1C" w:rsidRPr="00CD1C1C" w:rsidRDefault="00CD1C1C" w:rsidP="00D63204">
            <w:pPr>
              <w:spacing w:after="0" w:line="240" w:lineRule="auto"/>
              <w:rPr>
                <w:rFonts w:ascii="Calibri" w:hAnsi="Calibri"/>
                <w:color w:val="231F20"/>
                <w:sz w:val="16"/>
                <w:szCs w:val="16"/>
              </w:rPr>
            </w:pPr>
            <w:r w:rsidRPr="00CD1C1C">
              <w:rPr>
                <w:rFonts w:ascii="Calibri" w:hAnsi="Calibri"/>
                <w:color w:val="231F20"/>
                <w:sz w:val="16"/>
                <w:szCs w:val="16"/>
              </w:rPr>
              <w:t>131,143</w:t>
            </w:r>
          </w:p>
        </w:tc>
        <w:tc>
          <w:tcPr>
            <w:tcW w:w="0" w:type="auto"/>
            <w:tcBorders>
              <w:top w:val="nil"/>
              <w:left w:val="nil"/>
              <w:bottom w:val="single" w:sz="4" w:space="0" w:color="231F20"/>
              <w:right w:val="single" w:sz="4" w:space="0" w:color="231F20"/>
            </w:tcBorders>
            <w:shd w:val="clear" w:color="auto" w:fill="auto"/>
            <w:vAlign w:val="center"/>
            <w:hideMark/>
          </w:tcPr>
          <w:p w14:paraId="425430DB" w14:textId="77777777" w:rsidR="00CD1C1C" w:rsidRPr="00CD1C1C" w:rsidRDefault="00CD1C1C" w:rsidP="00D63204">
            <w:pPr>
              <w:spacing w:after="0" w:line="240" w:lineRule="auto"/>
              <w:rPr>
                <w:rFonts w:ascii="Calibri" w:hAnsi="Calibri"/>
                <w:color w:val="231F20"/>
                <w:sz w:val="16"/>
                <w:szCs w:val="16"/>
              </w:rPr>
            </w:pPr>
            <w:r w:rsidRPr="00CD1C1C">
              <w:rPr>
                <w:rFonts w:ascii="Calibri" w:hAnsi="Calibri"/>
                <w:color w:val="231F20"/>
                <w:sz w:val="16"/>
                <w:szCs w:val="16"/>
              </w:rPr>
              <w:t>147,628</w:t>
            </w:r>
          </w:p>
        </w:tc>
        <w:tc>
          <w:tcPr>
            <w:tcW w:w="0" w:type="auto"/>
            <w:tcBorders>
              <w:top w:val="nil"/>
              <w:left w:val="nil"/>
              <w:bottom w:val="single" w:sz="4" w:space="0" w:color="231F20"/>
              <w:right w:val="single" w:sz="4" w:space="0" w:color="231F20"/>
            </w:tcBorders>
            <w:shd w:val="clear" w:color="auto" w:fill="auto"/>
            <w:vAlign w:val="center"/>
            <w:hideMark/>
          </w:tcPr>
          <w:p w14:paraId="32E31D32" w14:textId="77777777" w:rsidR="00CD1C1C" w:rsidRPr="00CD1C1C" w:rsidRDefault="00CD1C1C" w:rsidP="00D63204">
            <w:pPr>
              <w:spacing w:after="0" w:line="240" w:lineRule="auto"/>
              <w:rPr>
                <w:rFonts w:ascii="Calibri" w:hAnsi="Calibri"/>
                <w:color w:val="231F20"/>
                <w:sz w:val="16"/>
                <w:szCs w:val="16"/>
              </w:rPr>
            </w:pPr>
            <w:r w:rsidRPr="00CD1C1C">
              <w:rPr>
                <w:rFonts w:ascii="Calibri" w:hAnsi="Calibri"/>
                <w:color w:val="231F20"/>
                <w:sz w:val="16"/>
                <w:szCs w:val="16"/>
              </w:rPr>
              <w:t>16,485</w:t>
            </w:r>
          </w:p>
        </w:tc>
        <w:tc>
          <w:tcPr>
            <w:tcW w:w="0" w:type="auto"/>
            <w:tcBorders>
              <w:top w:val="nil"/>
              <w:left w:val="nil"/>
              <w:bottom w:val="single" w:sz="4" w:space="0" w:color="231F20"/>
              <w:right w:val="single" w:sz="4" w:space="0" w:color="231F20"/>
            </w:tcBorders>
            <w:shd w:val="clear" w:color="auto" w:fill="auto"/>
            <w:vAlign w:val="center"/>
            <w:hideMark/>
          </w:tcPr>
          <w:p w14:paraId="4DE3E69F" w14:textId="77777777" w:rsidR="00CD1C1C" w:rsidRPr="00CD1C1C" w:rsidRDefault="00CD1C1C" w:rsidP="00D63204">
            <w:pPr>
              <w:spacing w:after="0" w:line="240" w:lineRule="auto"/>
              <w:rPr>
                <w:rFonts w:ascii="Calibri" w:hAnsi="Calibri"/>
                <w:color w:val="231F20"/>
                <w:sz w:val="16"/>
                <w:szCs w:val="16"/>
              </w:rPr>
            </w:pPr>
            <w:r w:rsidRPr="00CD1C1C">
              <w:rPr>
                <w:rFonts w:ascii="Calibri" w:hAnsi="Calibri"/>
                <w:color w:val="231F20"/>
                <w:sz w:val="16"/>
                <w:szCs w:val="16"/>
              </w:rPr>
              <w:t>12.57</w:t>
            </w:r>
          </w:p>
        </w:tc>
        <w:tc>
          <w:tcPr>
            <w:tcW w:w="0" w:type="auto"/>
            <w:tcBorders>
              <w:top w:val="nil"/>
              <w:left w:val="nil"/>
              <w:bottom w:val="single" w:sz="4" w:space="0" w:color="231F20"/>
              <w:right w:val="single" w:sz="4" w:space="0" w:color="231F20"/>
            </w:tcBorders>
            <w:shd w:val="clear" w:color="auto" w:fill="auto"/>
            <w:vAlign w:val="center"/>
            <w:hideMark/>
          </w:tcPr>
          <w:p w14:paraId="3B134B56" w14:textId="77777777" w:rsidR="00CD1C1C" w:rsidRPr="00CD1C1C" w:rsidRDefault="00CD1C1C" w:rsidP="00D63204">
            <w:pPr>
              <w:spacing w:after="0" w:line="240" w:lineRule="auto"/>
              <w:rPr>
                <w:rFonts w:ascii="Calibri" w:hAnsi="Calibri"/>
                <w:color w:val="231F20"/>
                <w:sz w:val="16"/>
                <w:szCs w:val="16"/>
              </w:rPr>
            </w:pPr>
            <w:r w:rsidRPr="00CD1C1C">
              <w:rPr>
                <w:rFonts w:ascii="Calibri" w:hAnsi="Calibri"/>
                <w:color w:val="231F20"/>
                <w:sz w:val="16"/>
                <w:szCs w:val="16"/>
              </w:rPr>
              <w:t>160,755</w:t>
            </w:r>
          </w:p>
        </w:tc>
        <w:tc>
          <w:tcPr>
            <w:tcW w:w="0" w:type="auto"/>
            <w:tcBorders>
              <w:top w:val="nil"/>
              <w:left w:val="nil"/>
              <w:bottom w:val="single" w:sz="4" w:space="0" w:color="231F20"/>
              <w:right w:val="single" w:sz="4" w:space="0" w:color="231F20"/>
            </w:tcBorders>
            <w:shd w:val="clear" w:color="auto" w:fill="auto"/>
            <w:vAlign w:val="center"/>
            <w:hideMark/>
          </w:tcPr>
          <w:p w14:paraId="6E3DF975" w14:textId="77777777" w:rsidR="00CD1C1C" w:rsidRPr="00CD1C1C" w:rsidRDefault="00CD1C1C" w:rsidP="00D63204">
            <w:pPr>
              <w:spacing w:after="0" w:line="240" w:lineRule="auto"/>
              <w:rPr>
                <w:rFonts w:ascii="Calibri" w:hAnsi="Calibri"/>
                <w:color w:val="231F20"/>
                <w:sz w:val="16"/>
                <w:szCs w:val="16"/>
              </w:rPr>
            </w:pPr>
            <w:r w:rsidRPr="00CD1C1C">
              <w:rPr>
                <w:rFonts w:ascii="Calibri" w:hAnsi="Calibri"/>
                <w:color w:val="231F20"/>
                <w:sz w:val="16"/>
                <w:szCs w:val="16"/>
              </w:rPr>
              <w:t>10.60</w:t>
            </w:r>
          </w:p>
        </w:tc>
        <w:tc>
          <w:tcPr>
            <w:tcW w:w="0" w:type="auto"/>
            <w:tcBorders>
              <w:top w:val="nil"/>
              <w:left w:val="nil"/>
              <w:bottom w:val="single" w:sz="4" w:space="0" w:color="231F20"/>
              <w:right w:val="single" w:sz="4" w:space="0" w:color="231F20"/>
            </w:tcBorders>
            <w:shd w:val="clear" w:color="auto" w:fill="auto"/>
            <w:vAlign w:val="center"/>
            <w:hideMark/>
          </w:tcPr>
          <w:p w14:paraId="5A97E7D3" w14:textId="77777777" w:rsidR="00CD1C1C" w:rsidRPr="00CD1C1C" w:rsidRDefault="00CD1C1C" w:rsidP="00D63204">
            <w:pPr>
              <w:spacing w:after="0" w:line="240" w:lineRule="auto"/>
              <w:rPr>
                <w:rFonts w:ascii="Calibri" w:hAnsi="Calibri"/>
                <w:color w:val="231F20"/>
                <w:sz w:val="16"/>
                <w:szCs w:val="16"/>
              </w:rPr>
            </w:pPr>
            <w:r w:rsidRPr="00CD1C1C">
              <w:rPr>
                <w:rFonts w:ascii="Calibri" w:hAnsi="Calibri"/>
                <w:color w:val="231F20"/>
                <w:sz w:val="16"/>
                <w:szCs w:val="16"/>
              </w:rPr>
              <w:t>9.15</w:t>
            </w:r>
          </w:p>
        </w:tc>
        <w:tc>
          <w:tcPr>
            <w:tcW w:w="0" w:type="auto"/>
            <w:tcBorders>
              <w:top w:val="nil"/>
              <w:left w:val="nil"/>
              <w:bottom w:val="single" w:sz="4" w:space="0" w:color="231F20"/>
              <w:right w:val="single" w:sz="4" w:space="0" w:color="231F20"/>
            </w:tcBorders>
            <w:shd w:val="clear" w:color="auto" w:fill="auto"/>
            <w:vAlign w:val="center"/>
            <w:hideMark/>
          </w:tcPr>
          <w:p w14:paraId="10A58044" w14:textId="77777777" w:rsidR="00CD1C1C" w:rsidRPr="00CD1C1C" w:rsidRDefault="00CD1C1C" w:rsidP="00D63204">
            <w:pPr>
              <w:spacing w:after="0" w:line="240" w:lineRule="auto"/>
              <w:rPr>
                <w:rFonts w:ascii="Calibri" w:hAnsi="Calibri"/>
                <w:color w:val="231F20"/>
                <w:sz w:val="16"/>
                <w:szCs w:val="16"/>
              </w:rPr>
            </w:pPr>
            <w:r w:rsidRPr="00CD1C1C">
              <w:rPr>
                <w:rFonts w:ascii="Calibri" w:hAnsi="Calibri"/>
                <w:color w:val="231F20"/>
                <w:sz w:val="16"/>
                <w:szCs w:val="16"/>
              </w:rPr>
              <w:t>12.70</w:t>
            </w:r>
          </w:p>
        </w:tc>
      </w:tr>
      <w:tr w:rsidR="002F07C8" w:rsidRPr="00BE6993" w14:paraId="35A906CA" w14:textId="77777777" w:rsidTr="00CD1C1C">
        <w:trPr>
          <w:trHeight w:hRule="exact" w:val="300"/>
        </w:trPr>
        <w:tc>
          <w:tcPr>
            <w:tcW w:w="0" w:type="auto"/>
            <w:tcBorders>
              <w:top w:val="nil"/>
              <w:left w:val="single" w:sz="4" w:space="0" w:color="231F20"/>
              <w:bottom w:val="single" w:sz="4" w:space="0" w:color="231F20"/>
              <w:right w:val="single" w:sz="4" w:space="0" w:color="231F20"/>
            </w:tcBorders>
            <w:shd w:val="clear" w:color="000000" w:fill="E6E7E8"/>
            <w:vAlign w:val="center"/>
            <w:hideMark/>
          </w:tcPr>
          <w:p w14:paraId="1CC486D2" w14:textId="77777777" w:rsidR="00CD1C1C" w:rsidRPr="00CD1C1C" w:rsidRDefault="00CD1C1C" w:rsidP="00D63204">
            <w:pPr>
              <w:spacing w:after="0" w:line="240" w:lineRule="auto"/>
              <w:rPr>
                <w:rFonts w:ascii="Calibri" w:hAnsi="Calibri"/>
                <w:color w:val="231F20"/>
                <w:sz w:val="16"/>
                <w:szCs w:val="16"/>
              </w:rPr>
            </w:pPr>
            <w:r w:rsidRPr="00CD1C1C">
              <w:rPr>
                <w:rFonts w:ascii="Calibri" w:hAnsi="Calibri"/>
                <w:color w:val="231F20"/>
                <w:sz w:val="16"/>
                <w:szCs w:val="16"/>
              </w:rPr>
              <w:t>11</w:t>
            </w:r>
          </w:p>
        </w:tc>
        <w:tc>
          <w:tcPr>
            <w:tcW w:w="0" w:type="auto"/>
            <w:tcBorders>
              <w:top w:val="nil"/>
              <w:left w:val="nil"/>
              <w:bottom w:val="single" w:sz="4" w:space="0" w:color="231F20"/>
              <w:right w:val="single" w:sz="4" w:space="0" w:color="231F20"/>
            </w:tcBorders>
            <w:shd w:val="clear" w:color="000000" w:fill="E6E7E8"/>
            <w:vAlign w:val="center"/>
            <w:hideMark/>
          </w:tcPr>
          <w:p w14:paraId="3A74EAED" w14:textId="77777777" w:rsidR="00CD1C1C" w:rsidRPr="00CD1C1C" w:rsidRDefault="00CD1C1C" w:rsidP="00CD1C1C">
            <w:pPr>
              <w:spacing w:after="0" w:line="240" w:lineRule="auto"/>
              <w:rPr>
                <w:rFonts w:ascii="Calibri" w:hAnsi="Calibri"/>
                <w:color w:val="231F20"/>
                <w:sz w:val="16"/>
                <w:szCs w:val="16"/>
              </w:rPr>
            </w:pPr>
            <w:r w:rsidRPr="00CD1C1C">
              <w:rPr>
                <w:rFonts w:ascii="Calibri" w:hAnsi="Calibri"/>
                <w:color w:val="231F20"/>
                <w:sz w:val="16"/>
                <w:szCs w:val="16"/>
              </w:rPr>
              <w:t>352014</w:t>
            </w:r>
          </w:p>
        </w:tc>
        <w:tc>
          <w:tcPr>
            <w:tcW w:w="0" w:type="auto"/>
            <w:tcBorders>
              <w:top w:val="nil"/>
              <w:left w:val="nil"/>
              <w:bottom w:val="single" w:sz="4" w:space="0" w:color="231F20"/>
              <w:right w:val="single" w:sz="4" w:space="0" w:color="231F20"/>
            </w:tcBorders>
            <w:shd w:val="clear" w:color="000000" w:fill="E6E7E8"/>
            <w:vAlign w:val="center"/>
            <w:hideMark/>
          </w:tcPr>
          <w:p w14:paraId="32654843" w14:textId="77777777" w:rsidR="00CD1C1C" w:rsidRPr="00CD1C1C" w:rsidRDefault="00CD1C1C" w:rsidP="00D63204">
            <w:pPr>
              <w:spacing w:after="0" w:line="240" w:lineRule="auto"/>
              <w:rPr>
                <w:rFonts w:ascii="Calibri" w:hAnsi="Calibri"/>
                <w:color w:val="231F20"/>
                <w:sz w:val="16"/>
                <w:szCs w:val="16"/>
              </w:rPr>
            </w:pPr>
            <w:r w:rsidRPr="00CD1C1C">
              <w:rPr>
                <w:rFonts w:ascii="Calibri" w:hAnsi="Calibri"/>
                <w:color w:val="231F20"/>
                <w:sz w:val="16"/>
                <w:szCs w:val="16"/>
              </w:rPr>
              <w:t>Cooks, Restaurant</w:t>
            </w:r>
          </w:p>
        </w:tc>
        <w:tc>
          <w:tcPr>
            <w:tcW w:w="0" w:type="auto"/>
            <w:tcBorders>
              <w:top w:val="nil"/>
              <w:left w:val="nil"/>
              <w:bottom w:val="single" w:sz="4" w:space="0" w:color="231F20"/>
              <w:right w:val="single" w:sz="4" w:space="0" w:color="231F20"/>
            </w:tcBorders>
            <w:shd w:val="clear" w:color="000000" w:fill="E6E7E8"/>
            <w:vAlign w:val="center"/>
            <w:hideMark/>
          </w:tcPr>
          <w:p w14:paraId="7291F4B9" w14:textId="77777777" w:rsidR="00CD1C1C" w:rsidRPr="00CD1C1C" w:rsidRDefault="00CD1C1C" w:rsidP="00D63204">
            <w:pPr>
              <w:spacing w:after="0" w:line="240" w:lineRule="auto"/>
              <w:rPr>
                <w:rFonts w:ascii="Calibri" w:hAnsi="Calibri"/>
                <w:color w:val="231F20"/>
                <w:sz w:val="16"/>
                <w:szCs w:val="16"/>
              </w:rPr>
            </w:pPr>
            <w:r w:rsidRPr="00CD1C1C">
              <w:rPr>
                <w:rFonts w:ascii="Calibri" w:hAnsi="Calibri"/>
                <w:color w:val="231F20"/>
                <w:sz w:val="16"/>
                <w:szCs w:val="16"/>
              </w:rPr>
              <w:t>105,686</w:t>
            </w:r>
          </w:p>
        </w:tc>
        <w:tc>
          <w:tcPr>
            <w:tcW w:w="0" w:type="auto"/>
            <w:tcBorders>
              <w:top w:val="nil"/>
              <w:left w:val="nil"/>
              <w:bottom w:val="single" w:sz="4" w:space="0" w:color="231F20"/>
              <w:right w:val="single" w:sz="4" w:space="0" w:color="231F20"/>
            </w:tcBorders>
            <w:shd w:val="clear" w:color="000000" w:fill="E6E7E8"/>
            <w:vAlign w:val="center"/>
            <w:hideMark/>
          </w:tcPr>
          <w:p w14:paraId="64665ADC" w14:textId="77777777" w:rsidR="00CD1C1C" w:rsidRPr="00CD1C1C" w:rsidRDefault="00CD1C1C" w:rsidP="00D63204">
            <w:pPr>
              <w:spacing w:after="0" w:line="240" w:lineRule="auto"/>
              <w:rPr>
                <w:rFonts w:ascii="Calibri" w:hAnsi="Calibri"/>
                <w:color w:val="231F20"/>
                <w:sz w:val="16"/>
                <w:szCs w:val="16"/>
              </w:rPr>
            </w:pPr>
            <w:r w:rsidRPr="00CD1C1C">
              <w:rPr>
                <w:rFonts w:ascii="Calibri" w:hAnsi="Calibri"/>
                <w:color w:val="231F20"/>
                <w:sz w:val="16"/>
                <w:szCs w:val="16"/>
              </w:rPr>
              <w:t>125,554</w:t>
            </w:r>
          </w:p>
        </w:tc>
        <w:tc>
          <w:tcPr>
            <w:tcW w:w="0" w:type="auto"/>
            <w:tcBorders>
              <w:top w:val="nil"/>
              <w:left w:val="nil"/>
              <w:bottom w:val="single" w:sz="4" w:space="0" w:color="231F20"/>
              <w:right w:val="single" w:sz="4" w:space="0" w:color="231F20"/>
            </w:tcBorders>
            <w:shd w:val="clear" w:color="000000" w:fill="E6E7E8"/>
            <w:vAlign w:val="center"/>
            <w:hideMark/>
          </w:tcPr>
          <w:p w14:paraId="45B89B4A" w14:textId="77777777" w:rsidR="00CD1C1C" w:rsidRPr="00CD1C1C" w:rsidRDefault="00CD1C1C" w:rsidP="00D63204">
            <w:pPr>
              <w:spacing w:after="0" w:line="240" w:lineRule="auto"/>
              <w:rPr>
                <w:rFonts w:ascii="Calibri" w:hAnsi="Calibri"/>
                <w:color w:val="231F20"/>
                <w:sz w:val="16"/>
                <w:szCs w:val="16"/>
              </w:rPr>
            </w:pPr>
            <w:r w:rsidRPr="00CD1C1C">
              <w:rPr>
                <w:rFonts w:ascii="Calibri" w:hAnsi="Calibri"/>
                <w:color w:val="231F20"/>
                <w:sz w:val="16"/>
                <w:szCs w:val="16"/>
              </w:rPr>
              <w:t>19,868</w:t>
            </w:r>
          </w:p>
        </w:tc>
        <w:tc>
          <w:tcPr>
            <w:tcW w:w="0" w:type="auto"/>
            <w:tcBorders>
              <w:top w:val="nil"/>
              <w:left w:val="nil"/>
              <w:bottom w:val="single" w:sz="4" w:space="0" w:color="231F20"/>
              <w:right w:val="single" w:sz="4" w:space="0" w:color="231F20"/>
            </w:tcBorders>
            <w:shd w:val="clear" w:color="000000" w:fill="E6E7E8"/>
            <w:vAlign w:val="center"/>
            <w:hideMark/>
          </w:tcPr>
          <w:p w14:paraId="562A38E7" w14:textId="77777777" w:rsidR="00CD1C1C" w:rsidRPr="00CD1C1C" w:rsidRDefault="00CD1C1C" w:rsidP="00D63204">
            <w:pPr>
              <w:spacing w:after="0" w:line="240" w:lineRule="auto"/>
              <w:rPr>
                <w:rFonts w:ascii="Calibri" w:hAnsi="Calibri"/>
                <w:color w:val="231F20"/>
                <w:sz w:val="16"/>
                <w:szCs w:val="16"/>
              </w:rPr>
            </w:pPr>
            <w:r w:rsidRPr="00CD1C1C">
              <w:rPr>
                <w:rFonts w:ascii="Calibri" w:hAnsi="Calibri"/>
                <w:color w:val="231F20"/>
                <w:sz w:val="16"/>
                <w:szCs w:val="16"/>
              </w:rPr>
              <w:t>18.8</w:t>
            </w:r>
          </w:p>
        </w:tc>
        <w:tc>
          <w:tcPr>
            <w:tcW w:w="0" w:type="auto"/>
            <w:tcBorders>
              <w:top w:val="nil"/>
              <w:left w:val="nil"/>
              <w:bottom w:val="single" w:sz="4" w:space="0" w:color="231F20"/>
              <w:right w:val="single" w:sz="4" w:space="0" w:color="231F20"/>
            </w:tcBorders>
            <w:shd w:val="clear" w:color="000000" w:fill="E6E7E8"/>
            <w:vAlign w:val="center"/>
            <w:hideMark/>
          </w:tcPr>
          <w:p w14:paraId="2CD5D9A6" w14:textId="77777777" w:rsidR="00CD1C1C" w:rsidRPr="00CD1C1C" w:rsidRDefault="00CD1C1C" w:rsidP="00D63204">
            <w:pPr>
              <w:spacing w:after="0" w:line="240" w:lineRule="auto"/>
              <w:rPr>
                <w:rFonts w:ascii="Calibri" w:hAnsi="Calibri"/>
                <w:color w:val="231F20"/>
                <w:sz w:val="16"/>
                <w:szCs w:val="16"/>
              </w:rPr>
            </w:pPr>
            <w:r w:rsidRPr="00CD1C1C">
              <w:rPr>
                <w:rFonts w:ascii="Calibri" w:hAnsi="Calibri"/>
                <w:color w:val="231F20"/>
                <w:sz w:val="16"/>
                <w:szCs w:val="16"/>
              </w:rPr>
              <w:t>151,110</w:t>
            </w:r>
          </w:p>
        </w:tc>
        <w:tc>
          <w:tcPr>
            <w:tcW w:w="0" w:type="auto"/>
            <w:tcBorders>
              <w:top w:val="nil"/>
              <w:left w:val="nil"/>
              <w:bottom w:val="single" w:sz="4" w:space="0" w:color="231F20"/>
              <w:right w:val="single" w:sz="4" w:space="0" w:color="231F20"/>
            </w:tcBorders>
            <w:shd w:val="clear" w:color="000000" w:fill="E6E7E8"/>
            <w:vAlign w:val="center"/>
            <w:hideMark/>
          </w:tcPr>
          <w:p w14:paraId="230B8614" w14:textId="77777777" w:rsidR="00CD1C1C" w:rsidRPr="00CD1C1C" w:rsidRDefault="00CD1C1C" w:rsidP="00D63204">
            <w:pPr>
              <w:spacing w:after="0" w:line="240" w:lineRule="auto"/>
              <w:rPr>
                <w:rFonts w:ascii="Calibri" w:hAnsi="Calibri"/>
                <w:color w:val="231F20"/>
                <w:sz w:val="16"/>
                <w:szCs w:val="16"/>
              </w:rPr>
            </w:pPr>
            <w:r w:rsidRPr="00CD1C1C">
              <w:rPr>
                <w:rFonts w:ascii="Calibri" w:hAnsi="Calibri"/>
                <w:color w:val="231F20"/>
                <w:sz w:val="16"/>
                <w:szCs w:val="16"/>
              </w:rPr>
              <w:t>12.55</w:t>
            </w:r>
          </w:p>
        </w:tc>
        <w:tc>
          <w:tcPr>
            <w:tcW w:w="0" w:type="auto"/>
            <w:tcBorders>
              <w:top w:val="nil"/>
              <w:left w:val="nil"/>
              <w:bottom w:val="single" w:sz="4" w:space="0" w:color="231F20"/>
              <w:right w:val="single" w:sz="4" w:space="0" w:color="231F20"/>
            </w:tcBorders>
            <w:shd w:val="clear" w:color="000000" w:fill="E6E7E8"/>
            <w:vAlign w:val="center"/>
            <w:hideMark/>
          </w:tcPr>
          <w:p w14:paraId="0C237FC4" w14:textId="77777777" w:rsidR="00CD1C1C" w:rsidRPr="00CD1C1C" w:rsidRDefault="00CD1C1C" w:rsidP="00D63204">
            <w:pPr>
              <w:spacing w:after="0" w:line="240" w:lineRule="auto"/>
              <w:rPr>
                <w:rFonts w:ascii="Calibri" w:hAnsi="Calibri"/>
                <w:color w:val="231F20"/>
                <w:sz w:val="16"/>
                <w:szCs w:val="16"/>
              </w:rPr>
            </w:pPr>
            <w:r w:rsidRPr="00CD1C1C">
              <w:rPr>
                <w:rFonts w:ascii="Calibri" w:hAnsi="Calibri"/>
                <w:color w:val="231F20"/>
                <w:sz w:val="16"/>
                <w:szCs w:val="16"/>
              </w:rPr>
              <w:t>10.20</w:t>
            </w:r>
          </w:p>
        </w:tc>
        <w:tc>
          <w:tcPr>
            <w:tcW w:w="0" w:type="auto"/>
            <w:tcBorders>
              <w:top w:val="nil"/>
              <w:left w:val="nil"/>
              <w:bottom w:val="single" w:sz="4" w:space="0" w:color="231F20"/>
              <w:right w:val="single" w:sz="4" w:space="0" w:color="231F20"/>
            </w:tcBorders>
            <w:shd w:val="clear" w:color="000000" w:fill="E6E7E8"/>
            <w:vAlign w:val="center"/>
            <w:hideMark/>
          </w:tcPr>
          <w:p w14:paraId="48E93527" w14:textId="77777777" w:rsidR="00CD1C1C" w:rsidRPr="00CD1C1C" w:rsidRDefault="00CD1C1C" w:rsidP="00D63204">
            <w:pPr>
              <w:spacing w:after="0" w:line="240" w:lineRule="auto"/>
              <w:rPr>
                <w:rFonts w:ascii="Calibri" w:hAnsi="Calibri"/>
                <w:color w:val="231F20"/>
                <w:sz w:val="16"/>
                <w:szCs w:val="16"/>
              </w:rPr>
            </w:pPr>
            <w:r w:rsidRPr="00CD1C1C">
              <w:rPr>
                <w:rFonts w:ascii="Calibri" w:hAnsi="Calibri"/>
                <w:color w:val="231F20"/>
                <w:sz w:val="16"/>
                <w:szCs w:val="16"/>
              </w:rPr>
              <w:t>14.42</w:t>
            </w:r>
          </w:p>
        </w:tc>
      </w:tr>
      <w:tr w:rsidR="00CD1C1C" w:rsidRPr="00BE6993" w14:paraId="5B0842AB" w14:textId="77777777" w:rsidTr="00CD1C1C">
        <w:trPr>
          <w:trHeight w:hRule="exact" w:val="450"/>
        </w:trPr>
        <w:tc>
          <w:tcPr>
            <w:tcW w:w="0" w:type="auto"/>
            <w:tcBorders>
              <w:top w:val="nil"/>
              <w:left w:val="single" w:sz="4" w:space="0" w:color="231F20"/>
              <w:bottom w:val="single" w:sz="4" w:space="0" w:color="231F20"/>
              <w:right w:val="single" w:sz="4" w:space="0" w:color="231F20"/>
            </w:tcBorders>
            <w:shd w:val="clear" w:color="auto" w:fill="auto"/>
            <w:vAlign w:val="center"/>
            <w:hideMark/>
          </w:tcPr>
          <w:p w14:paraId="30764342" w14:textId="77777777" w:rsidR="00CD1C1C" w:rsidRPr="00CD1C1C" w:rsidRDefault="00CD1C1C" w:rsidP="00D63204">
            <w:pPr>
              <w:spacing w:after="0" w:line="240" w:lineRule="auto"/>
              <w:rPr>
                <w:rFonts w:ascii="Calibri" w:hAnsi="Calibri"/>
                <w:color w:val="231F20"/>
                <w:sz w:val="16"/>
                <w:szCs w:val="16"/>
              </w:rPr>
            </w:pPr>
            <w:r w:rsidRPr="00CD1C1C">
              <w:rPr>
                <w:rFonts w:ascii="Calibri" w:hAnsi="Calibri"/>
                <w:color w:val="231F20"/>
                <w:sz w:val="16"/>
                <w:szCs w:val="16"/>
              </w:rPr>
              <w:t>12</w:t>
            </w:r>
          </w:p>
        </w:tc>
        <w:tc>
          <w:tcPr>
            <w:tcW w:w="0" w:type="auto"/>
            <w:tcBorders>
              <w:top w:val="nil"/>
              <w:left w:val="nil"/>
              <w:bottom w:val="single" w:sz="4" w:space="0" w:color="231F20"/>
              <w:right w:val="single" w:sz="4" w:space="0" w:color="231F20"/>
            </w:tcBorders>
            <w:shd w:val="clear" w:color="auto" w:fill="auto"/>
            <w:vAlign w:val="center"/>
            <w:hideMark/>
          </w:tcPr>
          <w:p w14:paraId="43FF0694" w14:textId="77777777" w:rsidR="00CD1C1C" w:rsidRPr="00CD1C1C" w:rsidRDefault="00CD1C1C" w:rsidP="00CD1C1C">
            <w:pPr>
              <w:spacing w:after="0" w:line="240" w:lineRule="auto"/>
              <w:rPr>
                <w:rFonts w:ascii="Calibri" w:hAnsi="Calibri"/>
                <w:color w:val="231F20"/>
                <w:sz w:val="16"/>
                <w:szCs w:val="16"/>
              </w:rPr>
            </w:pPr>
            <w:r w:rsidRPr="00CD1C1C">
              <w:rPr>
                <w:rFonts w:ascii="Calibri" w:hAnsi="Calibri"/>
                <w:color w:val="231F20"/>
                <w:sz w:val="16"/>
                <w:szCs w:val="16"/>
              </w:rPr>
              <w:t>373011</w:t>
            </w:r>
          </w:p>
        </w:tc>
        <w:tc>
          <w:tcPr>
            <w:tcW w:w="0" w:type="auto"/>
            <w:tcBorders>
              <w:top w:val="nil"/>
              <w:left w:val="nil"/>
              <w:bottom w:val="single" w:sz="4" w:space="0" w:color="231F20"/>
              <w:right w:val="single" w:sz="4" w:space="0" w:color="231F20"/>
            </w:tcBorders>
            <w:shd w:val="clear" w:color="auto" w:fill="auto"/>
            <w:vAlign w:val="center"/>
            <w:hideMark/>
          </w:tcPr>
          <w:p w14:paraId="29AC402C" w14:textId="6F23D875" w:rsidR="00CD1C1C" w:rsidRPr="00CD1C1C" w:rsidRDefault="00CD1C1C" w:rsidP="00CD1C1C">
            <w:pPr>
              <w:spacing w:after="0" w:line="240" w:lineRule="auto"/>
              <w:rPr>
                <w:rFonts w:ascii="Calibri" w:hAnsi="Calibri"/>
                <w:color w:val="231F20"/>
                <w:sz w:val="16"/>
                <w:szCs w:val="16"/>
              </w:rPr>
            </w:pPr>
            <w:r w:rsidRPr="00CD1C1C">
              <w:rPr>
                <w:rFonts w:ascii="Calibri" w:hAnsi="Calibri"/>
                <w:color w:val="231F20"/>
                <w:sz w:val="16"/>
                <w:szCs w:val="16"/>
              </w:rPr>
              <w:t xml:space="preserve">Landscaping and </w:t>
            </w:r>
            <w:r w:rsidR="0061372E" w:rsidRPr="00CD1C1C">
              <w:rPr>
                <w:rFonts w:ascii="Calibri" w:hAnsi="Calibri"/>
                <w:color w:val="231F20"/>
                <w:sz w:val="16"/>
                <w:szCs w:val="16"/>
              </w:rPr>
              <w:t>Grounds keeping</w:t>
            </w:r>
            <w:r w:rsidRPr="00CD1C1C">
              <w:rPr>
                <w:rFonts w:ascii="Calibri" w:hAnsi="Calibri"/>
                <w:color w:val="231F20"/>
                <w:sz w:val="16"/>
                <w:szCs w:val="16"/>
              </w:rPr>
              <w:t xml:space="preserve"> Workers</w:t>
            </w:r>
          </w:p>
        </w:tc>
        <w:tc>
          <w:tcPr>
            <w:tcW w:w="0" w:type="auto"/>
            <w:tcBorders>
              <w:top w:val="nil"/>
              <w:left w:val="nil"/>
              <w:bottom w:val="single" w:sz="4" w:space="0" w:color="231F20"/>
              <w:right w:val="single" w:sz="4" w:space="0" w:color="231F20"/>
            </w:tcBorders>
            <w:shd w:val="clear" w:color="auto" w:fill="auto"/>
            <w:vAlign w:val="center"/>
            <w:hideMark/>
          </w:tcPr>
          <w:p w14:paraId="50269ABF" w14:textId="77777777" w:rsidR="00CD1C1C" w:rsidRPr="00CD1C1C" w:rsidRDefault="00CD1C1C" w:rsidP="00D63204">
            <w:pPr>
              <w:spacing w:after="0" w:line="240" w:lineRule="auto"/>
              <w:rPr>
                <w:rFonts w:ascii="Calibri" w:hAnsi="Calibri"/>
                <w:color w:val="231F20"/>
                <w:sz w:val="16"/>
                <w:szCs w:val="16"/>
              </w:rPr>
            </w:pPr>
            <w:r w:rsidRPr="00CD1C1C">
              <w:rPr>
                <w:rFonts w:ascii="Calibri" w:hAnsi="Calibri"/>
                <w:color w:val="231F20"/>
                <w:sz w:val="16"/>
                <w:szCs w:val="16"/>
              </w:rPr>
              <w:t>115,326</w:t>
            </w:r>
          </w:p>
        </w:tc>
        <w:tc>
          <w:tcPr>
            <w:tcW w:w="0" w:type="auto"/>
            <w:tcBorders>
              <w:top w:val="nil"/>
              <w:left w:val="nil"/>
              <w:bottom w:val="single" w:sz="4" w:space="0" w:color="231F20"/>
              <w:right w:val="single" w:sz="4" w:space="0" w:color="231F20"/>
            </w:tcBorders>
            <w:shd w:val="clear" w:color="auto" w:fill="auto"/>
            <w:vAlign w:val="center"/>
            <w:hideMark/>
          </w:tcPr>
          <w:p w14:paraId="740B6527" w14:textId="77777777" w:rsidR="00CD1C1C" w:rsidRPr="00CD1C1C" w:rsidRDefault="00CD1C1C" w:rsidP="00D63204">
            <w:pPr>
              <w:spacing w:after="0" w:line="240" w:lineRule="auto"/>
              <w:rPr>
                <w:rFonts w:ascii="Calibri" w:hAnsi="Calibri"/>
                <w:color w:val="231F20"/>
                <w:sz w:val="16"/>
                <w:szCs w:val="16"/>
              </w:rPr>
            </w:pPr>
            <w:r w:rsidRPr="00CD1C1C">
              <w:rPr>
                <w:rFonts w:ascii="Calibri" w:hAnsi="Calibri"/>
                <w:color w:val="231F20"/>
                <w:sz w:val="16"/>
                <w:szCs w:val="16"/>
              </w:rPr>
              <w:t>130,911</w:t>
            </w:r>
          </w:p>
        </w:tc>
        <w:tc>
          <w:tcPr>
            <w:tcW w:w="0" w:type="auto"/>
            <w:tcBorders>
              <w:top w:val="nil"/>
              <w:left w:val="nil"/>
              <w:bottom w:val="single" w:sz="4" w:space="0" w:color="231F20"/>
              <w:right w:val="single" w:sz="4" w:space="0" w:color="231F20"/>
            </w:tcBorders>
            <w:shd w:val="clear" w:color="auto" w:fill="auto"/>
            <w:vAlign w:val="center"/>
            <w:hideMark/>
          </w:tcPr>
          <w:p w14:paraId="74348C37" w14:textId="77777777" w:rsidR="00CD1C1C" w:rsidRPr="00CD1C1C" w:rsidRDefault="00CD1C1C" w:rsidP="00D63204">
            <w:pPr>
              <w:spacing w:after="0" w:line="240" w:lineRule="auto"/>
              <w:rPr>
                <w:rFonts w:ascii="Calibri" w:hAnsi="Calibri"/>
                <w:color w:val="231F20"/>
                <w:sz w:val="16"/>
                <w:szCs w:val="16"/>
              </w:rPr>
            </w:pPr>
            <w:r w:rsidRPr="00CD1C1C">
              <w:rPr>
                <w:rFonts w:ascii="Calibri" w:hAnsi="Calibri"/>
                <w:color w:val="231F20"/>
                <w:sz w:val="16"/>
                <w:szCs w:val="16"/>
              </w:rPr>
              <w:t>15,585</w:t>
            </w:r>
          </w:p>
        </w:tc>
        <w:tc>
          <w:tcPr>
            <w:tcW w:w="0" w:type="auto"/>
            <w:tcBorders>
              <w:top w:val="nil"/>
              <w:left w:val="nil"/>
              <w:bottom w:val="single" w:sz="4" w:space="0" w:color="231F20"/>
              <w:right w:val="single" w:sz="4" w:space="0" w:color="231F20"/>
            </w:tcBorders>
            <w:shd w:val="clear" w:color="auto" w:fill="auto"/>
            <w:vAlign w:val="center"/>
            <w:hideMark/>
          </w:tcPr>
          <w:p w14:paraId="1EF40E59" w14:textId="77777777" w:rsidR="00CD1C1C" w:rsidRPr="00CD1C1C" w:rsidRDefault="00CD1C1C" w:rsidP="00D63204">
            <w:pPr>
              <w:spacing w:after="0" w:line="240" w:lineRule="auto"/>
              <w:rPr>
                <w:rFonts w:ascii="Calibri" w:hAnsi="Calibri"/>
                <w:color w:val="231F20"/>
                <w:sz w:val="16"/>
                <w:szCs w:val="16"/>
              </w:rPr>
            </w:pPr>
            <w:r w:rsidRPr="00CD1C1C">
              <w:rPr>
                <w:rFonts w:ascii="Calibri" w:hAnsi="Calibri"/>
                <w:color w:val="231F20"/>
                <w:sz w:val="16"/>
                <w:szCs w:val="16"/>
              </w:rPr>
              <w:t>13.51</w:t>
            </w:r>
          </w:p>
        </w:tc>
        <w:tc>
          <w:tcPr>
            <w:tcW w:w="0" w:type="auto"/>
            <w:tcBorders>
              <w:top w:val="nil"/>
              <w:left w:val="nil"/>
              <w:bottom w:val="single" w:sz="4" w:space="0" w:color="231F20"/>
              <w:right w:val="single" w:sz="4" w:space="0" w:color="231F20"/>
            </w:tcBorders>
            <w:shd w:val="clear" w:color="auto" w:fill="auto"/>
            <w:vAlign w:val="center"/>
            <w:hideMark/>
          </w:tcPr>
          <w:p w14:paraId="13D72342" w14:textId="77777777" w:rsidR="00CD1C1C" w:rsidRPr="00CD1C1C" w:rsidRDefault="00CD1C1C" w:rsidP="00D63204">
            <w:pPr>
              <w:spacing w:after="0" w:line="240" w:lineRule="auto"/>
              <w:rPr>
                <w:rFonts w:ascii="Calibri" w:hAnsi="Calibri"/>
                <w:color w:val="231F20"/>
                <w:sz w:val="16"/>
                <w:szCs w:val="16"/>
              </w:rPr>
            </w:pPr>
            <w:r w:rsidRPr="00CD1C1C">
              <w:rPr>
                <w:rFonts w:ascii="Calibri" w:hAnsi="Calibri"/>
                <w:color w:val="231F20"/>
                <w:sz w:val="16"/>
                <w:szCs w:val="16"/>
              </w:rPr>
              <w:t>131,690</w:t>
            </w:r>
          </w:p>
        </w:tc>
        <w:tc>
          <w:tcPr>
            <w:tcW w:w="0" w:type="auto"/>
            <w:tcBorders>
              <w:top w:val="nil"/>
              <w:left w:val="nil"/>
              <w:bottom w:val="single" w:sz="4" w:space="0" w:color="231F20"/>
              <w:right w:val="single" w:sz="4" w:space="0" w:color="231F20"/>
            </w:tcBorders>
            <w:shd w:val="clear" w:color="auto" w:fill="auto"/>
            <w:vAlign w:val="center"/>
            <w:hideMark/>
          </w:tcPr>
          <w:p w14:paraId="3F7053EC" w14:textId="77777777" w:rsidR="00CD1C1C" w:rsidRPr="00CD1C1C" w:rsidRDefault="00CD1C1C" w:rsidP="00D63204">
            <w:pPr>
              <w:spacing w:after="0" w:line="240" w:lineRule="auto"/>
              <w:rPr>
                <w:rFonts w:ascii="Calibri" w:hAnsi="Calibri"/>
                <w:color w:val="231F20"/>
                <w:sz w:val="16"/>
                <w:szCs w:val="16"/>
              </w:rPr>
            </w:pPr>
            <w:r w:rsidRPr="00CD1C1C">
              <w:rPr>
                <w:rFonts w:ascii="Calibri" w:hAnsi="Calibri"/>
                <w:color w:val="231F20"/>
                <w:sz w:val="16"/>
                <w:szCs w:val="16"/>
              </w:rPr>
              <w:t>11.74</w:t>
            </w:r>
          </w:p>
        </w:tc>
        <w:tc>
          <w:tcPr>
            <w:tcW w:w="0" w:type="auto"/>
            <w:tcBorders>
              <w:top w:val="nil"/>
              <w:left w:val="nil"/>
              <w:bottom w:val="single" w:sz="4" w:space="0" w:color="231F20"/>
              <w:right w:val="single" w:sz="4" w:space="0" w:color="231F20"/>
            </w:tcBorders>
            <w:shd w:val="clear" w:color="auto" w:fill="auto"/>
            <w:vAlign w:val="center"/>
            <w:hideMark/>
          </w:tcPr>
          <w:p w14:paraId="5350605F" w14:textId="77777777" w:rsidR="00CD1C1C" w:rsidRPr="00CD1C1C" w:rsidRDefault="00CD1C1C" w:rsidP="00D63204">
            <w:pPr>
              <w:spacing w:after="0" w:line="240" w:lineRule="auto"/>
              <w:rPr>
                <w:rFonts w:ascii="Calibri" w:hAnsi="Calibri"/>
                <w:color w:val="231F20"/>
                <w:sz w:val="16"/>
                <w:szCs w:val="16"/>
              </w:rPr>
            </w:pPr>
            <w:r w:rsidRPr="00CD1C1C">
              <w:rPr>
                <w:rFonts w:ascii="Calibri" w:hAnsi="Calibri"/>
                <w:color w:val="231F20"/>
                <w:sz w:val="16"/>
                <w:szCs w:val="16"/>
              </w:rPr>
              <w:t>9.94</w:t>
            </w:r>
          </w:p>
        </w:tc>
        <w:tc>
          <w:tcPr>
            <w:tcW w:w="0" w:type="auto"/>
            <w:tcBorders>
              <w:top w:val="nil"/>
              <w:left w:val="nil"/>
              <w:bottom w:val="single" w:sz="4" w:space="0" w:color="231F20"/>
              <w:right w:val="single" w:sz="4" w:space="0" w:color="231F20"/>
            </w:tcBorders>
            <w:shd w:val="clear" w:color="auto" w:fill="auto"/>
            <w:vAlign w:val="center"/>
            <w:hideMark/>
          </w:tcPr>
          <w:p w14:paraId="4D8DFBF8" w14:textId="77777777" w:rsidR="00CD1C1C" w:rsidRPr="00CD1C1C" w:rsidRDefault="00CD1C1C" w:rsidP="00D63204">
            <w:pPr>
              <w:spacing w:after="0" w:line="240" w:lineRule="auto"/>
              <w:rPr>
                <w:rFonts w:ascii="Calibri" w:hAnsi="Calibri"/>
                <w:color w:val="231F20"/>
                <w:sz w:val="16"/>
                <w:szCs w:val="16"/>
              </w:rPr>
            </w:pPr>
            <w:r w:rsidRPr="00CD1C1C">
              <w:rPr>
                <w:rFonts w:ascii="Calibri" w:hAnsi="Calibri"/>
                <w:color w:val="231F20"/>
                <w:sz w:val="16"/>
                <w:szCs w:val="16"/>
              </w:rPr>
              <w:t>13.84</w:t>
            </w:r>
          </w:p>
        </w:tc>
      </w:tr>
      <w:tr w:rsidR="002F07C8" w:rsidRPr="00BE6993" w14:paraId="5EC79471" w14:textId="77777777" w:rsidTr="00CD1C1C">
        <w:trPr>
          <w:trHeight w:hRule="exact" w:val="450"/>
        </w:trPr>
        <w:tc>
          <w:tcPr>
            <w:tcW w:w="0" w:type="auto"/>
            <w:tcBorders>
              <w:top w:val="nil"/>
              <w:left w:val="single" w:sz="4" w:space="0" w:color="231F20"/>
              <w:bottom w:val="single" w:sz="4" w:space="0" w:color="231F20"/>
              <w:right w:val="single" w:sz="4" w:space="0" w:color="231F20"/>
            </w:tcBorders>
            <w:shd w:val="clear" w:color="000000" w:fill="E6E7E8"/>
            <w:vAlign w:val="center"/>
            <w:hideMark/>
          </w:tcPr>
          <w:p w14:paraId="66F27156" w14:textId="77777777" w:rsidR="00CD1C1C" w:rsidRPr="00CD1C1C" w:rsidRDefault="00CD1C1C" w:rsidP="00D63204">
            <w:pPr>
              <w:spacing w:after="0" w:line="240" w:lineRule="auto"/>
              <w:rPr>
                <w:rFonts w:ascii="Calibri" w:hAnsi="Calibri"/>
                <w:color w:val="231F20"/>
                <w:sz w:val="16"/>
                <w:szCs w:val="16"/>
              </w:rPr>
            </w:pPr>
            <w:r w:rsidRPr="00CD1C1C">
              <w:rPr>
                <w:rFonts w:ascii="Calibri" w:hAnsi="Calibri"/>
                <w:color w:val="231F20"/>
                <w:sz w:val="16"/>
                <w:szCs w:val="16"/>
              </w:rPr>
              <w:t>13</w:t>
            </w:r>
          </w:p>
        </w:tc>
        <w:tc>
          <w:tcPr>
            <w:tcW w:w="0" w:type="auto"/>
            <w:tcBorders>
              <w:top w:val="nil"/>
              <w:left w:val="nil"/>
              <w:bottom w:val="single" w:sz="4" w:space="0" w:color="231F20"/>
              <w:right w:val="single" w:sz="4" w:space="0" w:color="231F20"/>
            </w:tcBorders>
            <w:shd w:val="clear" w:color="000000" w:fill="E6E7E8"/>
            <w:vAlign w:val="center"/>
            <w:hideMark/>
          </w:tcPr>
          <w:p w14:paraId="7DF2DA90" w14:textId="77777777" w:rsidR="00CD1C1C" w:rsidRPr="00CD1C1C" w:rsidRDefault="00CD1C1C" w:rsidP="00CD1C1C">
            <w:pPr>
              <w:spacing w:after="0" w:line="240" w:lineRule="auto"/>
              <w:rPr>
                <w:rFonts w:ascii="Calibri" w:hAnsi="Calibri"/>
                <w:color w:val="231F20"/>
                <w:sz w:val="16"/>
                <w:szCs w:val="16"/>
              </w:rPr>
            </w:pPr>
            <w:r w:rsidRPr="00CD1C1C">
              <w:rPr>
                <w:rFonts w:ascii="Calibri" w:hAnsi="Calibri"/>
                <w:color w:val="231F20"/>
                <w:sz w:val="16"/>
                <w:szCs w:val="16"/>
              </w:rPr>
              <w:t>372012</w:t>
            </w:r>
          </w:p>
        </w:tc>
        <w:tc>
          <w:tcPr>
            <w:tcW w:w="0" w:type="auto"/>
            <w:tcBorders>
              <w:top w:val="nil"/>
              <w:left w:val="nil"/>
              <w:bottom w:val="single" w:sz="4" w:space="0" w:color="231F20"/>
              <w:right w:val="single" w:sz="4" w:space="0" w:color="231F20"/>
            </w:tcBorders>
            <w:shd w:val="clear" w:color="000000" w:fill="E6E7E8"/>
            <w:vAlign w:val="center"/>
            <w:hideMark/>
          </w:tcPr>
          <w:p w14:paraId="68B7BCD9" w14:textId="77777777" w:rsidR="00CD1C1C" w:rsidRPr="00CD1C1C" w:rsidRDefault="00CD1C1C" w:rsidP="00CD1C1C">
            <w:pPr>
              <w:spacing w:after="0" w:line="240" w:lineRule="auto"/>
              <w:rPr>
                <w:rFonts w:ascii="Calibri" w:hAnsi="Calibri"/>
                <w:color w:val="231F20"/>
                <w:sz w:val="16"/>
                <w:szCs w:val="16"/>
              </w:rPr>
            </w:pPr>
            <w:r w:rsidRPr="00CD1C1C">
              <w:rPr>
                <w:rFonts w:ascii="Calibri" w:hAnsi="Calibri"/>
                <w:color w:val="231F20"/>
                <w:sz w:val="16"/>
                <w:szCs w:val="16"/>
              </w:rPr>
              <w:t>Maids and Housekeeping Cleaners</w:t>
            </w:r>
          </w:p>
        </w:tc>
        <w:tc>
          <w:tcPr>
            <w:tcW w:w="0" w:type="auto"/>
            <w:tcBorders>
              <w:top w:val="nil"/>
              <w:left w:val="nil"/>
              <w:bottom w:val="single" w:sz="4" w:space="0" w:color="231F20"/>
              <w:right w:val="single" w:sz="4" w:space="0" w:color="231F20"/>
            </w:tcBorders>
            <w:shd w:val="clear" w:color="000000" w:fill="E6E7E8"/>
            <w:vAlign w:val="center"/>
            <w:hideMark/>
          </w:tcPr>
          <w:p w14:paraId="6BD4B875" w14:textId="77777777" w:rsidR="00CD1C1C" w:rsidRPr="00CD1C1C" w:rsidRDefault="00CD1C1C" w:rsidP="00D63204">
            <w:pPr>
              <w:spacing w:after="0" w:line="240" w:lineRule="auto"/>
              <w:rPr>
                <w:rFonts w:ascii="Calibri" w:hAnsi="Calibri"/>
                <w:color w:val="231F20"/>
                <w:sz w:val="16"/>
                <w:szCs w:val="16"/>
              </w:rPr>
            </w:pPr>
            <w:r w:rsidRPr="00CD1C1C">
              <w:rPr>
                <w:rFonts w:ascii="Calibri" w:hAnsi="Calibri"/>
                <w:color w:val="231F20"/>
                <w:sz w:val="16"/>
                <w:szCs w:val="16"/>
              </w:rPr>
              <w:t>95,320</w:t>
            </w:r>
          </w:p>
        </w:tc>
        <w:tc>
          <w:tcPr>
            <w:tcW w:w="0" w:type="auto"/>
            <w:tcBorders>
              <w:top w:val="nil"/>
              <w:left w:val="nil"/>
              <w:bottom w:val="single" w:sz="4" w:space="0" w:color="231F20"/>
              <w:right w:val="single" w:sz="4" w:space="0" w:color="231F20"/>
            </w:tcBorders>
            <w:shd w:val="clear" w:color="000000" w:fill="E6E7E8"/>
            <w:vAlign w:val="center"/>
            <w:hideMark/>
          </w:tcPr>
          <w:p w14:paraId="5AB5425C" w14:textId="77777777" w:rsidR="00CD1C1C" w:rsidRPr="00CD1C1C" w:rsidRDefault="00CD1C1C" w:rsidP="00D63204">
            <w:pPr>
              <w:spacing w:after="0" w:line="240" w:lineRule="auto"/>
              <w:rPr>
                <w:rFonts w:ascii="Calibri" w:hAnsi="Calibri"/>
                <w:color w:val="231F20"/>
                <w:sz w:val="16"/>
                <w:szCs w:val="16"/>
              </w:rPr>
            </w:pPr>
            <w:r w:rsidRPr="00CD1C1C">
              <w:rPr>
                <w:rFonts w:ascii="Calibri" w:hAnsi="Calibri"/>
                <w:color w:val="231F20"/>
                <w:sz w:val="16"/>
                <w:szCs w:val="16"/>
              </w:rPr>
              <w:t>107,252</w:t>
            </w:r>
          </w:p>
        </w:tc>
        <w:tc>
          <w:tcPr>
            <w:tcW w:w="0" w:type="auto"/>
            <w:tcBorders>
              <w:top w:val="nil"/>
              <w:left w:val="nil"/>
              <w:bottom w:val="single" w:sz="4" w:space="0" w:color="231F20"/>
              <w:right w:val="single" w:sz="4" w:space="0" w:color="231F20"/>
            </w:tcBorders>
            <w:shd w:val="clear" w:color="000000" w:fill="E6E7E8"/>
            <w:vAlign w:val="center"/>
            <w:hideMark/>
          </w:tcPr>
          <w:p w14:paraId="76BFA5F3" w14:textId="77777777" w:rsidR="00CD1C1C" w:rsidRPr="00CD1C1C" w:rsidRDefault="00CD1C1C" w:rsidP="00D63204">
            <w:pPr>
              <w:spacing w:after="0" w:line="240" w:lineRule="auto"/>
              <w:rPr>
                <w:rFonts w:ascii="Calibri" w:hAnsi="Calibri"/>
                <w:color w:val="231F20"/>
                <w:sz w:val="16"/>
                <w:szCs w:val="16"/>
              </w:rPr>
            </w:pPr>
            <w:r w:rsidRPr="00CD1C1C">
              <w:rPr>
                <w:rFonts w:ascii="Calibri" w:hAnsi="Calibri"/>
                <w:color w:val="231F20"/>
                <w:sz w:val="16"/>
                <w:szCs w:val="16"/>
              </w:rPr>
              <w:t>11,932</w:t>
            </w:r>
          </w:p>
        </w:tc>
        <w:tc>
          <w:tcPr>
            <w:tcW w:w="0" w:type="auto"/>
            <w:tcBorders>
              <w:top w:val="nil"/>
              <w:left w:val="nil"/>
              <w:bottom w:val="single" w:sz="4" w:space="0" w:color="231F20"/>
              <w:right w:val="single" w:sz="4" w:space="0" w:color="231F20"/>
            </w:tcBorders>
            <w:shd w:val="clear" w:color="000000" w:fill="E6E7E8"/>
            <w:vAlign w:val="center"/>
            <w:hideMark/>
          </w:tcPr>
          <w:p w14:paraId="314E5603" w14:textId="77777777" w:rsidR="00CD1C1C" w:rsidRPr="00CD1C1C" w:rsidRDefault="00CD1C1C" w:rsidP="00D63204">
            <w:pPr>
              <w:spacing w:after="0" w:line="240" w:lineRule="auto"/>
              <w:rPr>
                <w:rFonts w:ascii="Calibri" w:hAnsi="Calibri"/>
                <w:color w:val="231F20"/>
                <w:sz w:val="16"/>
                <w:szCs w:val="16"/>
              </w:rPr>
            </w:pPr>
            <w:r w:rsidRPr="00CD1C1C">
              <w:rPr>
                <w:rFonts w:ascii="Calibri" w:hAnsi="Calibri"/>
                <w:color w:val="231F20"/>
                <w:sz w:val="16"/>
                <w:szCs w:val="16"/>
              </w:rPr>
              <w:t>12.52</w:t>
            </w:r>
          </w:p>
        </w:tc>
        <w:tc>
          <w:tcPr>
            <w:tcW w:w="0" w:type="auto"/>
            <w:tcBorders>
              <w:top w:val="nil"/>
              <w:left w:val="nil"/>
              <w:bottom w:val="single" w:sz="4" w:space="0" w:color="231F20"/>
              <w:right w:val="single" w:sz="4" w:space="0" w:color="231F20"/>
            </w:tcBorders>
            <w:shd w:val="clear" w:color="000000" w:fill="E6E7E8"/>
            <w:vAlign w:val="center"/>
            <w:hideMark/>
          </w:tcPr>
          <w:p w14:paraId="254678F3" w14:textId="77777777" w:rsidR="00CD1C1C" w:rsidRPr="00CD1C1C" w:rsidRDefault="00CD1C1C" w:rsidP="00D63204">
            <w:pPr>
              <w:spacing w:after="0" w:line="240" w:lineRule="auto"/>
              <w:rPr>
                <w:rFonts w:ascii="Calibri" w:hAnsi="Calibri"/>
                <w:color w:val="231F20"/>
                <w:sz w:val="16"/>
                <w:szCs w:val="16"/>
              </w:rPr>
            </w:pPr>
            <w:r w:rsidRPr="00CD1C1C">
              <w:rPr>
                <w:rFonts w:ascii="Calibri" w:hAnsi="Calibri"/>
                <w:color w:val="231F20"/>
                <w:sz w:val="16"/>
                <w:szCs w:val="16"/>
              </w:rPr>
              <w:t>121,572</w:t>
            </w:r>
          </w:p>
        </w:tc>
        <w:tc>
          <w:tcPr>
            <w:tcW w:w="0" w:type="auto"/>
            <w:tcBorders>
              <w:top w:val="nil"/>
              <w:left w:val="nil"/>
              <w:bottom w:val="single" w:sz="4" w:space="0" w:color="231F20"/>
              <w:right w:val="single" w:sz="4" w:space="0" w:color="231F20"/>
            </w:tcBorders>
            <w:shd w:val="clear" w:color="000000" w:fill="E6E7E8"/>
            <w:vAlign w:val="center"/>
            <w:hideMark/>
          </w:tcPr>
          <w:p w14:paraId="1B9ABD2C" w14:textId="77777777" w:rsidR="00CD1C1C" w:rsidRPr="00CD1C1C" w:rsidRDefault="00CD1C1C" w:rsidP="00D63204">
            <w:pPr>
              <w:spacing w:after="0" w:line="240" w:lineRule="auto"/>
              <w:rPr>
                <w:rFonts w:ascii="Calibri" w:hAnsi="Calibri"/>
                <w:color w:val="231F20"/>
                <w:sz w:val="16"/>
                <w:szCs w:val="16"/>
              </w:rPr>
            </w:pPr>
            <w:r w:rsidRPr="00CD1C1C">
              <w:rPr>
                <w:rFonts w:ascii="Calibri" w:hAnsi="Calibri"/>
                <w:color w:val="231F20"/>
                <w:sz w:val="16"/>
                <w:szCs w:val="16"/>
              </w:rPr>
              <w:t>10.34</w:t>
            </w:r>
          </w:p>
        </w:tc>
        <w:tc>
          <w:tcPr>
            <w:tcW w:w="0" w:type="auto"/>
            <w:tcBorders>
              <w:top w:val="nil"/>
              <w:left w:val="nil"/>
              <w:bottom w:val="single" w:sz="4" w:space="0" w:color="231F20"/>
              <w:right w:val="single" w:sz="4" w:space="0" w:color="231F20"/>
            </w:tcBorders>
            <w:shd w:val="clear" w:color="000000" w:fill="E6E7E8"/>
            <w:vAlign w:val="center"/>
            <w:hideMark/>
          </w:tcPr>
          <w:p w14:paraId="1A5811FC" w14:textId="77777777" w:rsidR="00CD1C1C" w:rsidRPr="00CD1C1C" w:rsidRDefault="00CD1C1C" w:rsidP="00D63204">
            <w:pPr>
              <w:spacing w:after="0" w:line="240" w:lineRule="auto"/>
              <w:rPr>
                <w:rFonts w:ascii="Calibri" w:hAnsi="Calibri"/>
                <w:color w:val="231F20"/>
                <w:sz w:val="16"/>
                <w:szCs w:val="16"/>
              </w:rPr>
            </w:pPr>
            <w:r w:rsidRPr="00CD1C1C">
              <w:rPr>
                <w:rFonts w:ascii="Calibri" w:hAnsi="Calibri"/>
                <w:color w:val="231F20"/>
                <w:sz w:val="16"/>
                <w:szCs w:val="16"/>
              </w:rPr>
              <w:t>9.15</w:t>
            </w:r>
          </w:p>
        </w:tc>
        <w:tc>
          <w:tcPr>
            <w:tcW w:w="0" w:type="auto"/>
            <w:tcBorders>
              <w:top w:val="nil"/>
              <w:left w:val="nil"/>
              <w:bottom w:val="single" w:sz="4" w:space="0" w:color="231F20"/>
              <w:right w:val="single" w:sz="4" w:space="0" w:color="231F20"/>
            </w:tcBorders>
            <w:shd w:val="clear" w:color="000000" w:fill="E6E7E8"/>
            <w:vAlign w:val="center"/>
            <w:hideMark/>
          </w:tcPr>
          <w:p w14:paraId="3FB6B196" w14:textId="77777777" w:rsidR="00CD1C1C" w:rsidRPr="00CD1C1C" w:rsidRDefault="00CD1C1C" w:rsidP="00D63204">
            <w:pPr>
              <w:spacing w:after="0" w:line="240" w:lineRule="auto"/>
              <w:rPr>
                <w:rFonts w:ascii="Calibri" w:hAnsi="Calibri"/>
                <w:color w:val="231F20"/>
                <w:sz w:val="16"/>
                <w:szCs w:val="16"/>
              </w:rPr>
            </w:pPr>
            <w:r w:rsidRPr="00CD1C1C">
              <w:rPr>
                <w:rFonts w:ascii="Calibri" w:hAnsi="Calibri"/>
                <w:color w:val="231F20"/>
                <w:sz w:val="16"/>
                <w:szCs w:val="16"/>
              </w:rPr>
              <w:t>11.73</w:t>
            </w:r>
          </w:p>
        </w:tc>
      </w:tr>
      <w:tr w:rsidR="00CD1C1C" w:rsidRPr="00BE6993" w14:paraId="26720FC1" w14:textId="77777777" w:rsidTr="00CD1C1C">
        <w:trPr>
          <w:trHeight w:hRule="exact" w:val="300"/>
        </w:trPr>
        <w:tc>
          <w:tcPr>
            <w:tcW w:w="0" w:type="auto"/>
            <w:tcBorders>
              <w:top w:val="nil"/>
              <w:left w:val="single" w:sz="4" w:space="0" w:color="231F20"/>
              <w:bottom w:val="single" w:sz="4" w:space="0" w:color="231F20"/>
              <w:right w:val="single" w:sz="4" w:space="0" w:color="231F20"/>
            </w:tcBorders>
            <w:shd w:val="clear" w:color="auto" w:fill="auto"/>
            <w:vAlign w:val="center"/>
            <w:hideMark/>
          </w:tcPr>
          <w:p w14:paraId="2996A1CC" w14:textId="77777777" w:rsidR="00CD1C1C" w:rsidRPr="00CD1C1C" w:rsidRDefault="00CD1C1C" w:rsidP="00D63204">
            <w:pPr>
              <w:spacing w:after="0" w:line="240" w:lineRule="auto"/>
              <w:rPr>
                <w:rFonts w:ascii="Calibri" w:hAnsi="Calibri"/>
                <w:color w:val="231F20"/>
                <w:sz w:val="16"/>
                <w:szCs w:val="16"/>
              </w:rPr>
            </w:pPr>
            <w:r w:rsidRPr="00CD1C1C">
              <w:rPr>
                <w:rFonts w:ascii="Calibri" w:hAnsi="Calibri"/>
                <w:color w:val="231F20"/>
                <w:sz w:val="16"/>
                <w:szCs w:val="16"/>
              </w:rPr>
              <w:t>14</w:t>
            </w:r>
          </w:p>
        </w:tc>
        <w:tc>
          <w:tcPr>
            <w:tcW w:w="0" w:type="auto"/>
            <w:tcBorders>
              <w:top w:val="nil"/>
              <w:left w:val="nil"/>
              <w:bottom w:val="single" w:sz="4" w:space="0" w:color="231F20"/>
              <w:right w:val="single" w:sz="4" w:space="0" w:color="231F20"/>
            </w:tcBorders>
            <w:shd w:val="clear" w:color="auto" w:fill="auto"/>
            <w:vAlign w:val="center"/>
            <w:hideMark/>
          </w:tcPr>
          <w:p w14:paraId="12C9D46C" w14:textId="77777777" w:rsidR="00CD1C1C" w:rsidRPr="00CD1C1C" w:rsidRDefault="00CD1C1C" w:rsidP="00CD1C1C">
            <w:pPr>
              <w:spacing w:after="0" w:line="240" w:lineRule="auto"/>
              <w:rPr>
                <w:rFonts w:ascii="Calibri" w:hAnsi="Calibri"/>
                <w:color w:val="231F20"/>
                <w:sz w:val="16"/>
                <w:szCs w:val="16"/>
              </w:rPr>
            </w:pPr>
            <w:r w:rsidRPr="00CD1C1C">
              <w:rPr>
                <w:rFonts w:ascii="Calibri" w:hAnsi="Calibri"/>
                <w:color w:val="231F20"/>
                <w:sz w:val="16"/>
                <w:szCs w:val="16"/>
              </w:rPr>
              <w:t>311014</w:t>
            </w:r>
          </w:p>
        </w:tc>
        <w:tc>
          <w:tcPr>
            <w:tcW w:w="0" w:type="auto"/>
            <w:tcBorders>
              <w:top w:val="nil"/>
              <w:left w:val="nil"/>
              <w:bottom w:val="single" w:sz="4" w:space="0" w:color="231F20"/>
              <w:right w:val="single" w:sz="4" w:space="0" w:color="231F20"/>
            </w:tcBorders>
            <w:shd w:val="clear" w:color="auto" w:fill="auto"/>
            <w:vAlign w:val="center"/>
            <w:hideMark/>
          </w:tcPr>
          <w:p w14:paraId="63E6E762" w14:textId="77777777" w:rsidR="00CD1C1C" w:rsidRPr="00CD1C1C" w:rsidRDefault="00CD1C1C" w:rsidP="00CD1C1C">
            <w:pPr>
              <w:spacing w:after="0" w:line="240" w:lineRule="auto"/>
              <w:rPr>
                <w:rFonts w:ascii="Calibri" w:hAnsi="Calibri"/>
                <w:color w:val="231F20"/>
                <w:sz w:val="16"/>
                <w:szCs w:val="16"/>
              </w:rPr>
            </w:pPr>
            <w:r w:rsidRPr="00CD1C1C">
              <w:rPr>
                <w:rFonts w:ascii="Calibri" w:hAnsi="Calibri"/>
                <w:color w:val="231F20"/>
                <w:sz w:val="16"/>
                <w:szCs w:val="16"/>
              </w:rPr>
              <w:t xml:space="preserve">Nursing Assistants                                                              </w:t>
            </w:r>
          </w:p>
        </w:tc>
        <w:tc>
          <w:tcPr>
            <w:tcW w:w="0" w:type="auto"/>
            <w:tcBorders>
              <w:top w:val="nil"/>
              <w:left w:val="nil"/>
              <w:bottom w:val="single" w:sz="4" w:space="0" w:color="231F20"/>
              <w:right w:val="single" w:sz="4" w:space="0" w:color="231F20"/>
            </w:tcBorders>
            <w:shd w:val="clear" w:color="auto" w:fill="auto"/>
            <w:vAlign w:val="center"/>
            <w:hideMark/>
          </w:tcPr>
          <w:p w14:paraId="2C4784A0" w14:textId="77777777" w:rsidR="00CD1C1C" w:rsidRPr="00CD1C1C" w:rsidRDefault="00CD1C1C" w:rsidP="00D63204">
            <w:pPr>
              <w:spacing w:after="0" w:line="240" w:lineRule="auto"/>
              <w:rPr>
                <w:rFonts w:ascii="Calibri" w:hAnsi="Calibri"/>
                <w:color w:val="231F20"/>
                <w:sz w:val="16"/>
                <w:szCs w:val="16"/>
              </w:rPr>
            </w:pPr>
            <w:r w:rsidRPr="00CD1C1C">
              <w:rPr>
                <w:rFonts w:ascii="Calibri" w:hAnsi="Calibri"/>
                <w:color w:val="231F20"/>
                <w:sz w:val="16"/>
                <w:szCs w:val="16"/>
              </w:rPr>
              <w:t>96,804</w:t>
            </w:r>
          </w:p>
        </w:tc>
        <w:tc>
          <w:tcPr>
            <w:tcW w:w="0" w:type="auto"/>
            <w:tcBorders>
              <w:top w:val="nil"/>
              <w:left w:val="nil"/>
              <w:bottom w:val="single" w:sz="4" w:space="0" w:color="231F20"/>
              <w:right w:val="single" w:sz="4" w:space="0" w:color="231F20"/>
            </w:tcBorders>
            <w:shd w:val="clear" w:color="auto" w:fill="auto"/>
            <w:vAlign w:val="center"/>
            <w:hideMark/>
          </w:tcPr>
          <w:p w14:paraId="4EB7C8CA" w14:textId="77777777" w:rsidR="00CD1C1C" w:rsidRPr="00CD1C1C" w:rsidRDefault="00CD1C1C" w:rsidP="00D63204">
            <w:pPr>
              <w:spacing w:after="0" w:line="240" w:lineRule="auto"/>
              <w:rPr>
                <w:rFonts w:ascii="Calibri" w:hAnsi="Calibri"/>
                <w:color w:val="231F20"/>
                <w:sz w:val="16"/>
                <w:szCs w:val="16"/>
              </w:rPr>
            </w:pPr>
            <w:r w:rsidRPr="00CD1C1C">
              <w:rPr>
                <w:rFonts w:ascii="Calibri" w:hAnsi="Calibri"/>
                <w:color w:val="231F20"/>
                <w:sz w:val="16"/>
                <w:szCs w:val="16"/>
              </w:rPr>
              <w:t>114,430</w:t>
            </w:r>
          </w:p>
        </w:tc>
        <w:tc>
          <w:tcPr>
            <w:tcW w:w="0" w:type="auto"/>
            <w:tcBorders>
              <w:top w:val="nil"/>
              <w:left w:val="nil"/>
              <w:bottom w:val="single" w:sz="4" w:space="0" w:color="231F20"/>
              <w:right w:val="single" w:sz="4" w:space="0" w:color="231F20"/>
            </w:tcBorders>
            <w:shd w:val="clear" w:color="auto" w:fill="auto"/>
            <w:vAlign w:val="center"/>
            <w:hideMark/>
          </w:tcPr>
          <w:p w14:paraId="7B9EBEFA" w14:textId="77777777" w:rsidR="00CD1C1C" w:rsidRPr="00CD1C1C" w:rsidRDefault="00CD1C1C" w:rsidP="00D63204">
            <w:pPr>
              <w:spacing w:after="0" w:line="240" w:lineRule="auto"/>
              <w:rPr>
                <w:rFonts w:ascii="Calibri" w:hAnsi="Calibri"/>
                <w:color w:val="231F20"/>
                <w:sz w:val="16"/>
                <w:szCs w:val="16"/>
              </w:rPr>
            </w:pPr>
            <w:r w:rsidRPr="00CD1C1C">
              <w:rPr>
                <w:rFonts w:ascii="Calibri" w:hAnsi="Calibri"/>
                <w:color w:val="231F20"/>
                <w:sz w:val="16"/>
                <w:szCs w:val="16"/>
              </w:rPr>
              <w:t>17,626</w:t>
            </w:r>
          </w:p>
        </w:tc>
        <w:tc>
          <w:tcPr>
            <w:tcW w:w="0" w:type="auto"/>
            <w:tcBorders>
              <w:top w:val="nil"/>
              <w:left w:val="nil"/>
              <w:bottom w:val="single" w:sz="4" w:space="0" w:color="231F20"/>
              <w:right w:val="single" w:sz="4" w:space="0" w:color="231F20"/>
            </w:tcBorders>
            <w:shd w:val="clear" w:color="auto" w:fill="auto"/>
            <w:vAlign w:val="center"/>
            <w:hideMark/>
          </w:tcPr>
          <w:p w14:paraId="1411759C" w14:textId="77777777" w:rsidR="00CD1C1C" w:rsidRPr="00CD1C1C" w:rsidRDefault="00CD1C1C" w:rsidP="00D63204">
            <w:pPr>
              <w:spacing w:after="0" w:line="240" w:lineRule="auto"/>
              <w:rPr>
                <w:rFonts w:ascii="Calibri" w:hAnsi="Calibri"/>
                <w:color w:val="231F20"/>
                <w:sz w:val="16"/>
                <w:szCs w:val="16"/>
              </w:rPr>
            </w:pPr>
            <w:r w:rsidRPr="00CD1C1C">
              <w:rPr>
                <w:rFonts w:ascii="Calibri" w:hAnsi="Calibri"/>
                <w:color w:val="231F20"/>
                <w:sz w:val="16"/>
                <w:szCs w:val="16"/>
              </w:rPr>
              <w:t>18.21</w:t>
            </w:r>
          </w:p>
        </w:tc>
        <w:tc>
          <w:tcPr>
            <w:tcW w:w="0" w:type="auto"/>
            <w:tcBorders>
              <w:top w:val="nil"/>
              <w:left w:val="nil"/>
              <w:bottom w:val="single" w:sz="4" w:space="0" w:color="231F20"/>
              <w:right w:val="single" w:sz="4" w:space="0" w:color="231F20"/>
            </w:tcBorders>
            <w:shd w:val="clear" w:color="auto" w:fill="auto"/>
            <w:vAlign w:val="center"/>
            <w:hideMark/>
          </w:tcPr>
          <w:p w14:paraId="7CD98DA7" w14:textId="77777777" w:rsidR="00CD1C1C" w:rsidRPr="00CD1C1C" w:rsidRDefault="00CD1C1C" w:rsidP="00D63204">
            <w:pPr>
              <w:spacing w:after="0" w:line="240" w:lineRule="auto"/>
              <w:rPr>
                <w:rFonts w:ascii="Calibri" w:hAnsi="Calibri"/>
                <w:color w:val="231F20"/>
                <w:sz w:val="16"/>
                <w:szCs w:val="16"/>
              </w:rPr>
            </w:pPr>
            <w:r w:rsidRPr="00CD1C1C">
              <w:rPr>
                <w:rFonts w:ascii="Calibri" w:hAnsi="Calibri"/>
                <w:color w:val="231F20"/>
                <w:sz w:val="16"/>
                <w:szCs w:val="16"/>
              </w:rPr>
              <w:t>115,808</w:t>
            </w:r>
          </w:p>
        </w:tc>
        <w:tc>
          <w:tcPr>
            <w:tcW w:w="0" w:type="auto"/>
            <w:tcBorders>
              <w:top w:val="nil"/>
              <w:left w:val="nil"/>
              <w:bottom w:val="single" w:sz="4" w:space="0" w:color="231F20"/>
              <w:right w:val="single" w:sz="4" w:space="0" w:color="231F20"/>
            </w:tcBorders>
            <w:shd w:val="clear" w:color="auto" w:fill="auto"/>
            <w:vAlign w:val="center"/>
            <w:hideMark/>
          </w:tcPr>
          <w:p w14:paraId="411C3169" w14:textId="77777777" w:rsidR="00CD1C1C" w:rsidRPr="00CD1C1C" w:rsidRDefault="00CD1C1C" w:rsidP="00D63204">
            <w:pPr>
              <w:spacing w:after="0" w:line="240" w:lineRule="auto"/>
              <w:rPr>
                <w:rFonts w:ascii="Calibri" w:hAnsi="Calibri"/>
                <w:color w:val="231F20"/>
                <w:sz w:val="16"/>
                <w:szCs w:val="16"/>
              </w:rPr>
            </w:pPr>
            <w:r w:rsidRPr="00CD1C1C">
              <w:rPr>
                <w:rFonts w:ascii="Calibri" w:hAnsi="Calibri"/>
                <w:color w:val="231F20"/>
                <w:sz w:val="16"/>
                <w:szCs w:val="16"/>
              </w:rPr>
              <w:t>12.15</w:t>
            </w:r>
          </w:p>
        </w:tc>
        <w:tc>
          <w:tcPr>
            <w:tcW w:w="0" w:type="auto"/>
            <w:tcBorders>
              <w:top w:val="nil"/>
              <w:left w:val="nil"/>
              <w:bottom w:val="single" w:sz="4" w:space="0" w:color="231F20"/>
              <w:right w:val="single" w:sz="4" w:space="0" w:color="231F20"/>
            </w:tcBorders>
            <w:shd w:val="clear" w:color="auto" w:fill="auto"/>
            <w:vAlign w:val="center"/>
            <w:hideMark/>
          </w:tcPr>
          <w:p w14:paraId="71A058CA" w14:textId="77777777" w:rsidR="00CD1C1C" w:rsidRPr="00CD1C1C" w:rsidRDefault="00CD1C1C" w:rsidP="00D63204">
            <w:pPr>
              <w:spacing w:after="0" w:line="240" w:lineRule="auto"/>
              <w:rPr>
                <w:rFonts w:ascii="Calibri" w:hAnsi="Calibri"/>
                <w:color w:val="231F20"/>
                <w:sz w:val="16"/>
                <w:szCs w:val="16"/>
              </w:rPr>
            </w:pPr>
            <w:r w:rsidRPr="00CD1C1C">
              <w:rPr>
                <w:rFonts w:ascii="Calibri" w:hAnsi="Calibri"/>
                <w:color w:val="231F20"/>
                <w:sz w:val="16"/>
                <w:szCs w:val="16"/>
              </w:rPr>
              <w:t>10.59</w:t>
            </w:r>
          </w:p>
        </w:tc>
        <w:tc>
          <w:tcPr>
            <w:tcW w:w="0" w:type="auto"/>
            <w:tcBorders>
              <w:top w:val="nil"/>
              <w:left w:val="nil"/>
              <w:bottom w:val="single" w:sz="4" w:space="0" w:color="231F20"/>
              <w:right w:val="single" w:sz="4" w:space="0" w:color="231F20"/>
            </w:tcBorders>
            <w:shd w:val="clear" w:color="auto" w:fill="auto"/>
            <w:vAlign w:val="center"/>
            <w:hideMark/>
          </w:tcPr>
          <w:p w14:paraId="2F7B40CF" w14:textId="77777777" w:rsidR="00CD1C1C" w:rsidRPr="00CD1C1C" w:rsidRDefault="00CD1C1C" w:rsidP="00D63204">
            <w:pPr>
              <w:spacing w:after="0" w:line="240" w:lineRule="auto"/>
              <w:rPr>
                <w:rFonts w:ascii="Calibri" w:hAnsi="Calibri"/>
                <w:color w:val="231F20"/>
                <w:sz w:val="16"/>
                <w:szCs w:val="16"/>
              </w:rPr>
            </w:pPr>
            <w:r w:rsidRPr="00CD1C1C">
              <w:rPr>
                <w:rFonts w:ascii="Calibri" w:hAnsi="Calibri"/>
                <w:color w:val="231F20"/>
                <w:sz w:val="16"/>
                <w:szCs w:val="16"/>
              </w:rPr>
              <w:t>13.50</w:t>
            </w:r>
          </w:p>
        </w:tc>
      </w:tr>
      <w:tr w:rsidR="002F07C8" w:rsidRPr="00BE6993" w14:paraId="723EC325" w14:textId="77777777" w:rsidTr="00CD1C1C">
        <w:trPr>
          <w:trHeight w:hRule="exact" w:val="300"/>
        </w:trPr>
        <w:tc>
          <w:tcPr>
            <w:tcW w:w="0" w:type="auto"/>
            <w:tcBorders>
              <w:top w:val="nil"/>
              <w:left w:val="single" w:sz="4" w:space="0" w:color="231F20"/>
              <w:bottom w:val="single" w:sz="4" w:space="0" w:color="231F20"/>
              <w:right w:val="single" w:sz="4" w:space="0" w:color="231F20"/>
            </w:tcBorders>
            <w:shd w:val="clear" w:color="000000" w:fill="E6E7E8"/>
            <w:vAlign w:val="center"/>
            <w:hideMark/>
          </w:tcPr>
          <w:p w14:paraId="00D32EB1" w14:textId="77777777" w:rsidR="00CD1C1C" w:rsidRPr="00CD1C1C" w:rsidRDefault="00CD1C1C" w:rsidP="00D63204">
            <w:pPr>
              <w:spacing w:after="0" w:line="240" w:lineRule="auto"/>
              <w:rPr>
                <w:rFonts w:ascii="Calibri" w:hAnsi="Calibri"/>
                <w:color w:val="231F20"/>
                <w:sz w:val="16"/>
                <w:szCs w:val="16"/>
              </w:rPr>
            </w:pPr>
            <w:r w:rsidRPr="00CD1C1C">
              <w:rPr>
                <w:rFonts w:ascii="Calibri" w:hAnsi="Calibri"/>
                <w:color w:val="231F20"/>
                <w:sz w:val="16"/>
                <w:szCs w:val="16"/>
              </w:rPr>
              <w:t>15</w:t>
            </w:r>
          </w:p>
        </w:tc>
        <w:tc>
          <w:tcPr>
            <w:tcW w:w="0" w:type="auto"/>
            <w:tcBorders>
              <w:top w:val="nil"/>
              <w:left w:val="nil"/>
              <w:bottom w:val="single" w:sz="4" w:space="0" w:color="231F20"/>
              <w:right w:val="single" w:sz="4" w:space="0" w:color="231F20"/>
            </w:tcBorders>
            <w:shd w:val="clear" w:color="000000" w:fill="E6E7E8"/>
            <w:vAlign w:val="center"/>
            <w:hideMark/>
          </w:tcPr>
          <w:p w14:paraId="40B2EC08" w14:textId="77777777" w:rsidR="00CD1C1C" w:rsidRPr="00CD1C1C" w:rsidRDefault="00CD1C1C" w:rsidP="00CD1C1C">
            <w:pPr>
              <w:spacing w:after="0" w:line="240" w:lineRule="auto"/>
              <w:rPr>
                <w:rFonts w:ascii="Calibri" w:hAnsi="Calibri"/>
                <w:color w:val="231F20"/>
                <w:sz w:val="16"/>
                <w:szCs w:val="16"/>
              </w:rPr>
            </w:pPr>
            <w:r w:rsidRPr="00CD1C1C">
              <w:rPr>
                <w:rFonts w:ascii="Calibri" w:hAnsi="Calibri"/>
                <w:color w:val="231F20"/>
                <w:sz w:val="16"/>
                <w:szCs w:val="16"/>
              </w:rPr>
              <w:t>291141</w:t>
            </w:r>
          </w:p>
        </w:tc>
        <w:tc>
          <w:tcPr>
            <w:tcW w:w="0" w:type="auto"/>
            <w:tcBorders>
              <w:top w:val="nil"/>
              <w:left w:val="nil"/>
              <w:bottom w:val="single" w:sz="4" w:space="0" w:color="231F20"/>
              <w:right w:val="single" w:sz="4" w:space="0" w:color="231F20"/>
            </w:tcBorders>
            <w:shd w:val="clear" w:color="000000" w:fill="E6E7E8"/>
            <w:vAlign w:val="center"/>
            <w:hideMark/>
          </w:tcPr>
          <w:p w14:paraId="2B15BD6F" w14:textId="77777777" w:rsidR="00CD1C1C" w:rsidRPr="00CD1C1C" w:rsidRDefault="00CD1C1C" w:rsidP="00CD1C1C">
            <w:pPr>
              <w:spacing w:after="0" w:line="240" w:lineRule="auto"/>
              <w:rPr>
                <w:rFonts w:ascii="Calibri" w:hAnsi="Calibri"/>
                <w:color w:val="231F20"/>
                <w:sz w:val="16"/>
                <w:szCs w:val="16"/>
              </w:rPr>
            </w:pPr>
            <w:r w:rsidRPr="00CD1C1C">
              <w:rPr>
                <w:rFonts w:ascii="Calibri" w:hAnsi="Calibri"/>
                <w:color w:val="231F20"/>
                <w:sz w:val="16"/>
                <w:szCs w:val="16"/>
              </w:rPr>
              <w:t xml:space="preserve">Registered Nurses                                                               </w:t>
            </w:r>
          </w:p>
        </w:tc>
        <w:tc>
          <w:tcPr>
            <w:tcW w:w="0" w:type="auto"/>
            <w:tcBorders>
              <w:top w:val="nil"/>
              <w:left w:val="nil"/>
              <w:bottom w:val="single" w:sz="4" w:space="0" w:color="231F20"/>
              <w:right w:val="single" w:sz="4" w:space="0" w:color="231F20"/>
            </w:tcBorders>
            <w:shd w:val="clear" w:color="000000" w:fill="E6E7E8"/>
            <w:vAlign w:val="center"/>
            <w:hideMark/>
          </w:tcPr>
          <w:p w14:paraId="7C11180C" w14:textId="77777777" w:rsidR="00CD1C1C" w:rsidRPr="00CD1C1C" w:rsidRDefault="00CD1C1C" w:rsidP="00D63204">
            <w:pPr>
              <w:spacing w:after="0" w:line="240" w:lineRule="auto"/>
              <w:rPr>
                <w:rFonts w:ascii="Calibri" w:hAnsi="Calibri"/>
                <w:color w:val="231F20"/>
                <w:sz w:val="16"/>
                <w:szCs w:val="16"/>
              </w:rPr>
            </w:pPr>
            <w:r w:rsidRPr="00CD1C1C">
              <w:rPr>
                <w:rFonts w:ascii="Calibri" w:hAnsi="Calibri"/>
                <w:color w:val="231F20"/>
                <w:sz w:val="16"/>
                <w:szCs w:val="16"/>
              </w:rPr>
              <w:t>188,202</w:t>
            </w:r>
          </w:p>
        </w:tc>
        <w:tc>
          <w:tcPr>
            <w:tcW w:w="0" w:type="auto"/>
            <w:tcBorders>
              <w:top w:val="nil"/>
              <w:left w:val="nil"/>
              <w:bottom w:val="single" w:sz="4" w:space="0" w:color="231F20"/>
              <w:right w:val="single" w:sz="4" w:space="0" w:color="231F20"/>
            </w:tcBorders>
            <w:shd w:val="clear" w:color="000000" w:fill="E6E7E8"/>
            <w:vAlign w:val="center"/>
            <w:hideMark/>
          </w:tcPr>
          <w:p w14:paraId="36D48490" w14:textId="77777777" w:rsidR="00CD1C1C" w:rsidRPr="00CD1C1C" w:rsidRDefault="00CD1C1C" w:rsidP="00D63204">
            <w:pPr>
              <w:spacing w:after="0" w:line="240" w:lineRule="auto"/>
              <w:rPr>
                <w:rFonts w:ascii="Calibri" w:hAnsi="Calibri"/>
                <w:color w:val="231F20"/>
                <w:sz w:val="16"/>
                <w:szCs w:val="16"/>
              </w:rPr>
            </w:pPr>
            <w:r w:rsidRPr="00CD1C1C">
              <w:rPr>
                <w:rFonts w:ascii="Calibri" w:hAnsi="Calibri"/>
                <w:color w:val="231F20"/>
                <w:sz w:val="16"/>
                <w:szCs w:val="16"/>
              </w:rPr>
              <w:t>218,508</w:t>
            </w:r>
          </w:p>
        </w:tc>
        <w:tc>
          <w:tcPr>
            <w:tcW w:w="0" w:type="auto"/>
            <w:tcBorders>
              <w:top w:val="nil"/>
              <w:left w:val="nil"/>
              <w:bottom w:val="single" w:sz="4" w:space="0" w:color="231F20"/>
              <w:right w:val="single" w:sz="4" w:space="0" w:color="231F20"/>
            </w:tcBorders>
            <w:shd w:val="clear" w:color="000000" w:fill="E6E7E8"/>
            <w:vAlign w:val="center"/>
            <w:hideMark/>
          </w:tcPr>
          <w:p w14:paraId="11EE5A10" w14:textId="77777777" w:rsidR="00CD1C1C" w:rsidRPr="00CD1C1C" w:rsidRDefault="00CD1C1C" w:rsidP="00D63204">
            <w:pPr>
              <w:spacing w:after="0" w:line="240" w:lineRule="auto"/>
              <w:rPr>
                <w:rFonts w:ascii="Calibri" w:hAnsi="Calibri"/>
                <w:color w:val="231F20"/>
                <w:sz w:val="16"/>
                <w:szCs w:val="16"/>
              </w:rPr>
            </w:pPr>
            <w:r w:rsidRPr="00CD1C1C">
              <w:rPr>
                <w:rFonts w:ascii="Calibri" w:hAnsi="Calibri"/>
                <w:color w:val="231F20"/>
                <w:sz w:val="16"/>
                <w:szCs w:val="16"/>
              </w:rPr>
              <w:t>30,306</w:t>
            </w:r>
          </w:p>
        </w:tc>
        <w:tc>
          <w:tcPr>
            <w:tcW w:w="0" w:type="auto"/>
            <w:tcBorders>
              <w:top w:val="nil"/>
              <w:left w:val="nil"/>
              <w:bottom w:val="single" w:sz="4" w:space="0" w:color="231F20"/>
              <w:right w:val="single" w:sz="4" w:space="0" w:color="231F20"/>
            </w:tcBorders>
            <w:shd w:val="clear" w:color="000000" w:fill="E6E7E8"/>
            <w:vAlign w:val="center"/>
            <w:hideMark/>
          </w:tcPr>
          <w:p w14:paraId="0001D1D0" w14:textId="77777777" w:rsidR="00CD1C1C" w:rsidRPr="00CD1C1C" w:rsidRDefault="00CD1C1C" w:rsidP="00D63204">
            <w:pPr>
              <w:spacing w:after="0" w:line="240" w:lineRule="auto"/>
              <w:rPr>
                <w:rFonts w:ascii="Calibri" w:hAnsi="Calibri"/>
                <w:color w:val="231F20"/>
                <w:sz w:val="16"/>
                <w:szCs w:val="16"/>
              </w:rPr>
            </w:pPr>
            <w:r w:rsidRPr="00CD1C1C">
              <w:rPr>
                <w:rFonts w:ascii="Calibri" w:hAnsi="Calibri"/>
                <w:color w:val="231F20"/>
                <w:sz w:val="16"/>
                <w:szCs w:val="16"/>
              </w:rPr>
              <w:t>16.1</w:t>
            </w:r>
          </w:p>
        </w:tc>
        <w:tc>
          <w:tcPr>
            <w:tcW w:w="0" w:type="auto"/>
            <w:tcBorders>
              <w:top w:val="nil"/>
              <w:left w:val="nil"/>
              <w:bottom w:val="single" w:sz="4" w:space="0" w:color="231F20"/>
              <w:right w:val="single" w:sz="4" w:space="0" w:color="231F20"/>
            </w:tcBorders>
            <w:shd w:val="clear" w:color="000000" w:fill="E6E7E8"/>
            <w:vAlign w:val="center"/>
            <w:hideMark/>
          </w:tcPr>
          <w:p w14:paraId="60DABC4D" w14:textId="77777777" w:rsidR="00CD1C1C" w:rsidRPr="00CD1C1C" w:rsidRDefault="00CD1C1C" w:rsidP="00D63204">
            <w:pPr>
              <w:spacing w:after="0" w:line="240" w:lineRule="auto"/>
              <w:rPr>
                <w:rFonts w:ascii="Calibri" w:hAnsi="Calibri"/>
                <w:color w:val="231F20"/>
                <w:sz w:val="16"/>
                <w:szCs w:val="16"/>
              </w:rPr>
            </w:pPr>
            <w:r w:rsidRPr="00CD1C1C">
              <w:rPr>
                <w:rFonts w:ascii="Calibri" w:hAnsi="Calibri"/>
                <w:color w:val="231F20"/>
                <w:sz w:val="16"/>
                <w:szCs w:val="16"/>
              </w:rPr>
              <w:t>113,795</w:t>
            </w:r>
          </w:p>
        </w:tc>
        <w:tc>
          <w:tcPr>
            <w:tcW w:w="0" w:type="auto"/>
            <w:tcBorders>
              <w:top w:val="nil"/>
              <w:left w:val="nil"/>
              <w:bottom w:val="single" w:sz="4" w:space="0" w:color="231F20"/>
              <w:right w:val="single" w:sz="4" w:space="0" w:color="231F20"/>
            </w:tcBorders>
            <w:shd w:val="clear" w:color="000000" w:fill="E6E7E8"/>
            <w:vAlign w:val="center"/>
            <w:hideMark/>
          </w:tcPr>
          <w:p w14:paraId="4276C877" w14:textId="77777777" w:rsidR="00CD1C1C" w:rsidRPr="00CD1C1C" w:rsidRDefault="00CD1C1C" w:rsidP="00D63204">
            <w:pPr>
              <w:spacing w:after="0" w:line="240" w:lineRule="auto"/>
              <w:rPr>
                <w:rFonts w:ascii="Calibri" w:hAnsi="Calibri"/>
                <w:color w:val="231F20"/>
                <w:sz w:val="16"/>
                <w:szCs w:val="16"/>
              </w:rPr>
            </w:pPr>
            <w:r w:rsidRPr="00CD1C1C">
              <w:rPr>
                <w:rFonts w:ascii="Calibri" w:hAnsi="Calibri"/>
                <w:color w:val="231F20"/>
                <w:sz w:val="16"/>
                <w:szCs w:val="16"/>
              </w:rPr>
              <w:t>30.79</w:t>
            </w:r>
          </w:p>
        </w:tc>
        <w:tc>
          <w:tcPr>
            <w:tcW w:w="0" w:type="auto"/>
            <w:tcBorders>
              <w:top w:val="nil"/>
              <w:left w:val="nil"/>
              <w:bottom w:val="single" w:sz="4" w:space="0" w:color="231F20"/>
              <w:right w:val="single" w:sz="4" w:space="0" w:color="231F20"/>
            </w:tcBorders>
            <w:shd w:val="clear" w:color="000000" w:fill="E6E7E8"/>
            <w:vAlign w:val="center"/>
            <w:hideMark/>
          </w:tcPr>
          <w:p w14:paraId="61F5538C" w14:textId="77777777" w:rsidR="00CD1C1C" w:rsidRPr="00CD1C1C" w:rsidRDefault="00CD1C1C" w:rsidP="00D63204">
            <w:pPr>
              <w:spacing w:after="0" w:line="240" w:lineRule="auto"/>
              <w:rPr>
                <w:rFonts w:ascii="Calibri" w:hAnsi="Calibri"/>
                <w:color w:val="231F20"/>
                <w:sz w:val="16"/>
                <w:szCs w:val="16"/>
              </w:rPr>
            </w:pPr>
            <w:r w:rsidRPr="00CD1C1C">
              <w:rPr>
                <w:rFonts w:ascii="Calibri" w:hAnsi="Calibri"/>
                <w:color w:val="231F20"/>
                <w:sz w:val="16"/>
                <w:szCs w:val="16"/>
              </w:rPr>
              <w:t>24.84</w:t>
            </w:r>
          </w:p>
        </w:tc>
        <w:tc>
          <w:tcPr>
            <w:tcW w:w="0" w:type="auto"/>
            <w:tcBorders>
              <w:top w:val="nil"/>
              <w:left w:val="nil"/>
              <w:bottom w:val="single" w:sz="4" w:space="0" w:color="231F20"/>
              <w:right w:val="single" w:sz="4" w:space="0" w:color="231F20"/>
            </w:tcBorders>
            <w:shd w:val="clear" w:color="000000" w:fill="E6E7E8"/>
            <w:vAlign w:val="center"/>
            <w:hideMark/>
          </w:tcPr>
          <w:p w14:paraId="1B93054B" w14:textId="77777777" w:rsidR="00CD1C1C" w:rsidRPr="00CD1C1C" w:rsidRDefault="00CD1C1C" w:rsidP="00D63204">
            <w:pPr>
              <w:spacing w:after="0" w:line="240" w:lineRule="auto"/>
              <w:rPr>
                <w:rFonts w:ascii="Calibri" w:hAnsi="Calibri"/>
                <w:color w:val="231F20"/>
                <w:sz w:val="16"/>
                <w:szCs w:val="16"/>
              </w:rPr>
            </w:pPr>
            <w:r w:rsidRPr="00CD1C1C">
              <w:rPr>
                <w:rFonts w:ascii="Calibri" w:hAnsi="Calibri"/>
                <w:color w:val="231F20"/>
                <w:sz w:val="16"/>
                <w:szCs w:val="16"/>
              </w:rPr>
              <w:t>35.18</w:t>
            </w:r>
          </w:p>
        </w:tc>
      </w:tr>
    </w:tbl>
    <w:p w14:paraId="0EBB1A08" w14:textId="77777777" w:rsidR="00CD1C1C" w:rsidRPr="00CD1C1C" w:rsidRDefault="00CD1C1C" w:rsidP="00CD1C1C">
      <w:pPr>
        <w:widowControl w:val="0"/>
        <w:spacing w:before="102" w:after="0" w:line="240" w:lineRule="auto"/>
        <w:ind w:left="107"/>
        <w:rPr>
          <w:rFonts w:ascii="Calibri" w:hAnsi="Calibri" w:cs="Calibri"/>
          <w:sz w:val="18"/>
          <w:szCs w:val="18"/>
        </w:rPr>
      </w:pPr>
      <w:r w:rsidRPr="00CD1C1C">
        <w:rPr>
          <w:rFonts w:ascii="Calibri" w:hAnsi="Calibri"/>
          <w:color w:val="231F20"/>
          <w:w w:val="105"/>
          <w:sz w:val="18"/>
        </w:rPr>
        <w:t>Source:  Florida Department of Economic Opportunity, Bureau of Labor Market Statistics, December 2017</w:t>
      </w:r>
    </w:p>
    <w:p w14:paraId="16F2A9F6" w14:textId="77777777" w:rsidR="00CD1C1C" w:rsidRPr="00EA7458" w:rsidRDefault="00CD1C1C" w:rsidP="00CD1C1C">
      <w:pPr>
        <w:widowControl w:val="0"/>
        <w:spacing w:after="0" w:line="240" w:lineRule="auto"/>
        <w:rPr>
          <w:rFonts w:ascii="Calibri" w:hAnsi="Calibri" w:cs="Calibri"/>
          <w:sz w:val="18"/>
          <w:szCs w:val="18"/>
        </w:rPr>
        <w:sectPr w:rsidR="00CD1C1C" w:rsidRPr="00EA7458">
          <w:pgSz w:w="12240" w:h="15840"/>
          <w:pgMar w:top="1620" w:right="900" w:bottom="820" w:left="900" w:header="812" w:footer="624" w:gutter="0"/>
          <w:cols w:space="720"/>
        </w:sectPr>
      </w:pPr>
    </w:p>
    <w:p w14:paraId="705B64B3" w14:textId="1D5D35B5" w:rsidR="00CD1C1C" w:rsidRDefault="00CD1C1C" w:rsidP="00002D76">
      <w:pPr>
        <w:widowControl w:val="0"/>
        <w:spacing w:after="0" w:line="240" w:lineRule="auto"/>
        <w:rPr>
          <w:rFonts w:ascii="Calibri" w:hAnsi="Calibri" w:cs="Calibri"/>
          <w:sz w:val="18"/>
          <w:szCs w:val="18"/>
        </w:rPr>
      </w:pPr>
    </w:p>
    <w:p w14:paraId="2C136F99" w14:textId="77777777" w:rsidR="00002D76" w:rsidRPr="00EA7458" w:rsidRDefault="00002D76" w:rsidP="00664EFD">
      <w:pPr>
        <w:widowControl w:val="0"/>
        <w:numPr>
          <w:ilvl w:val="3"/>
          <w:numId w:val="7"/>
        </w:numPr>
        <w:tabs>
          <w:tab w:val="left" w:pos="3132"/>
        </w:tabs>
        <w:spacing w:before="59" w:after="0" w:line="240" w:lineRule="auto"/>
        <w:rPr>
          <w:rFonts w:ascii="Calibri" w:hAnsi="Calibri" w:cs="Calibri"/>
        </w:rPr>
      </w:pPr>
      <w:bookmarkStart w:id="16" w:name="_bookmark7"/>
      <w:bookmarkEnd w:id="16"/>
      <w:r w:rsidRPr="00EA7458">
        <w:rPr>
          <w:rFonts w:ascii="Calibri" w:hAnsi="Calibri"/>
          <w:color w:val="295CA3"/>
          <w:w w:val="110"/>
        </w:rPr>
        <w:t>Emerging Demand Industry Sectors and</w:t>
      </w:r>
      <w:r w:rsidRPr="00EA7458">
        <w:rPr>
          <w:rFonts w:ascii="Calibri" w:hAnsi="Calibri"/>
          <w:color w:val="295CA3"/>
          <w:spacing w:val="2"/>
          <w:w w:val="110"/>
        </w:rPr>
        <w:t xml:space="preserve"> </w:t>
      </w:r>
      <w:r w:rsidRPr="00EA7458">
        <w:rPr>
          <w:rFonts w:ascii="Calibri" w:hAnsi="Calibri"/>
          <w:color w:val="295CA3"/>
          <w:w w:val="110"/>
        </w:rPr>
        <w:t>Occupations</w:t>
      </w:r>
    </w:p>
    <w:p w14:paraId="00AD1854" w14:textId="0241D0E5" w:rsidR="00002D76" w:rsidRPr="00EA7458" w:rsidRDefault="00002D76" w:rsidP="00D63204">
      <w:pPr>
        <w:widowControl w:val="0"/>
        <w:spacing w:before="195" w:after="0" w:line="240" w:lineRule="auto"/>
        <w:ind w:left="107"/>
        <w:outlineLvl w:val="2"/>
        <w:rPr>
          <w:rFonts w:ascii="Calibri" w:hAnsi="Calibri"/>
        </w:rPr>
      </w:pPr>
      <w:r w:rsidRPr="00EA7458">
        <w:rPr>
          <w:rFonts w:ascii="Calibri" w:hAnsi="Calibri"/>
          <w:b/>
          <w:bCs/>
          <w:color w:val="231F20"/>
          <w:w w:val="110"/>
        </w:rPr>
        <w:t>Emerging Demand</w:t>
      </w:r>
      <w:r w:rsidRPr="00EA7458">
        <w:rPr>
          <w:rFonts w:ascii="Calibri" w:hAnsi="Calibri"/>
          <w:b/>
          <w:bCs/>
          <w:color w:val="231F20"/>
          <w:spacing w:val="-4"/>
          <w:w w:val="110"/>
        </w:rPr>
        <w:t xml:space="preserve"> </w:t>
      </w:r>
      <w:r w:rsidRPr="00EA7458">
        <w:rPr>
          <w:rFonts w:ascii="Calibri" w:hAnsi="Calibri"/>
          <w:b/>
          <w:bCs/>
          <w:color w:val="231F20"/>
          <w:w w:val="110"/>
        </w:rPr>
        <w:t>Industries</w:t>
      </w:r>
    </w:p>
    <w:p w14:paraId="0B8AF688" w14:textId="748450FC" w:rsidR="00002D76" w:rsidRPr="00EA7458" w:rsidRDefault="00002D76" w:rsidP="00D63204">
      <w:pPr>
        <w:widowControl w:val="0"/>
        <w:spacing w:before="2" w:after="0" w:line="240" w:lineRule="auto"/>
        <w:ind w:left="107" w:right="178"/>
        <w:rPr>
          <w:rFonts w:ascii="Calibri" w:hAnsi="Calibri"/>
        </w:rPr>
      </w:pPr>
      <w:bookmarkStart w:id="17" w:name="_Hlk504137058"/>
      <w:r w:rsidRPr="0087352F">
        <w:rPr>
          <w:rFonts w:ascii="Calibri" w:hAnsi="Calibri"/>
          <w:color w:val="231F20"/>
          <w:w w:val="110"/>
        </w:rPr>
        <w:t>The</w:t>
      </w:r>
      <w:r w:rsidRPr="0087352F">
        <w:rPr>
          <w:rFonts w:ascii="Calibri" w:hAnsi="Calibri"/>
          <w:color w:val="231F20"/>
          <w:spacing w:val="-9"/>
          <w:w w:val="110"/>
        </w:rPr>
        <w:t xml:space="preserve"> </w:t>
      </w:r>
      <w:r w:rsidRPr="0087352F">
        <w:rPr>
          <w:rFonts w:ascii="Calibri" w:hAnsi="Calibri"/>
          <w:color w:val="231F20"/>
          <w:w w:val="110"/>
        </w:rPr>
        <w:t>emerging</w:t>
      </w:r>
      <w:r w:rsidRPr="0087352F">
        <w:rPr>
          <w:rFonts w:ascii="Calibri" w:hAnsi="Calibri"/>
          <w:color w:val="231F20"/>
          <w:spacing w:val="-9"/>
          <w:w w:val="110"/>
        </w:rPr>
        <w:t xml:space="preserve"> </w:t>
      </w:r>
      <w:r w:rsidRPr="0087352F">
        <w:rPr>
          <w:rFonts w:ascii="Calibri" w:hAnsi="Calibri"/>
          <w:color w:val="231F20"/>
          <w:w w:val="110"/>
        </w:rPr>
        <w:t>industries</w:t>
      </w:r>
      <w:r w:rsidRPr="0087352F">
        <w:rPr>
          <w:rFonts w:ascii="Calibri" w:hAnsi="Calibri"/>
          <w:color w:val="231F20"/>
          <w:spacing w:val="-9"/>
          <w:w w:val="110"/>
        </w:rPr>
        <w:t xml:space="preserve"> </w:t>
      </w:r>
      <w:r w:rsidRPr="0087352F">
        <w:rPr>
          <w:rFonts w:ascii="Calibri" w:hAnsi="Calibri"/>
          <w:color w:val="231F20"/>
          <w:w w:val="110"/>
        </w:rPr>
        <w:t>were</w:t>
      </w:r>
      <w:r w:rsidRPr="0087352F">
        <w:rPr>
          <w:rFonts w:ascii="Calibri" w:hAnsi="Calibri"/>
          <w:color w:val="231F20"/>
          <w:spacing w:val="-9"/>
          <w:w w:val="110"/>
        </w:rPr>
        <w:t xml:space="preserve"> </w:t>
      </w:r>
      <w:r w:rsidRPr="0087352F">
        <w:rPr>
          <w:rFonts w:ascii="Calibri" w:hAnsi="Calibri"/>
          <w:color w:val="231F20"/>
          <w:w w:val="110"/>
        </w:rPr>
        <w:t>chosen</w:t>
      </w:r>
      <w:r w:rsidRPr="0087352F">
        <w:rPr>
          <w:rFonts w:ascii="Calibri" w:hAnsi="Calibri"/>
          <w:color w:val="231F20"/>
          <w:spacing w:val="-9"/>
          <w:w w:val="110"/>
        </w:rPr>
        <w:t xml:space="preserve"> </w:t>
      </w:r>
      <w:r w:rsidRPr="0087352F">
        <w:rPr>
          <w:rFonts w:ascii="Calibri" w:hAnsi="Calibri"/>
          <w:color w:val="231F20"/>
          <w:w w:val="110"/>
        </w:rPr>
        <w:t>from</w:t>
      </w:r>
      <w:r w:rsidRPr="0087352F">
        <w:rPr>
          <w:rFonts w:ascii="Calibri" w:hAnsi="Calibri"/>
          <w:color w:val="231F20"/>
          <w:spacing w:val="-9"/>
          <w:w w:val="110"/>
        </w:rPr>
        <w:t xml:space="preserve"> </w:t>
      </w:r>
      <w:r w:rsidRPr="0087352F">
        <w:rPr>
          <w:rFonts w:ascii="Calibri" w:hAnsi="Calibri"/>
          <w:color w:val="231F20"/>
          <w:w w:val="110"/>
        </w:rPr>
        <w:t>among</w:t>
      </w:r>
      <w:r w:rsidRPr="0087352F">
        <w:rPr>
          <w:rFonts w:ascii="Calibri" w:hAnsi="Calibri"/>
          <w:color w:val="231F20"/>
          <w:spacing w:val="-9"/>
          <w:w w:val="110"/>
        </w:rPr>
        <w:t xml:space="preserve"> </w:t>
      </w:r>
      <w:r w:rsidRPr="0087352F">
        <w:rPr>
          <w:rFonts w:ascii="Calibri" w:hAnsi="Calibri"/>
          <w:color w:val="231F20"/>
          <w:w w:val="110"/>
        </w:rPr>
        <w:t>the</w:t>
      </w:r>
      <w:r w:rsidRPr="0087352F">
        <w:rPr>
          <w:rFonts w:ascii="Calibri" w:hAnsi="Calibri"/>
          <w:color w:val="231F20"/>
          <w:spacing w:val="-9"/>
          <w:w w:val="110"/>
        </w:rPr>
        <w:t xml:space="preserve"> </w:t>
      </w:r>
      <w:r w:rsidR="00BB1204">
        <w:rPr>
          <w:rFonts w:ascii="Calibri" w:hAnsi="Calibri"/>
          <w:color w:val="231F20"/>
          <w:spacing w:val="-9"/>
          <w:w w:val="110"/>
        </w:rPr>
        <w:t>four</w:t>
      </w:r>
      <w:r w:rsidRPr="0087352F">
        <w:rPr>
          <w:rFonts w:ascii="Calibri" w:hAnsi="Calibri"/>
          <w:color w:val="231F20"/>
          <w:w w:val="110"/>
        </w:rPr>
        <w:t>-digit</w:t>
      </w:r>
      <w:r w:rsidRPr="0087352F">
        <w:rPr>
          <w:rFonts w:ascii="Calibri" w:hAnsi="Calibri"/>
          <w:color w:val="231F20"/>
          <w:spacing w:val="-9"/>
          <w:w w:val="110"/>
        </w:rPr>
        <w:t xml:space="preserve"> </w:t>
      </w:r>
      <w:r w:rsidRPr="0087352F">
        <w:rPr>
          <w:rFonts w:ascii="Calibri" w:hAnsi="Calibri"/>
          <w:color w:val="231F20"/>
          <w:w w:val="110"/>
        </w:rPr>
        <w:t>North</w:t>
      </w:r>
      <w:r w:rsidRPr="0087352F">
        <w:rPr>
          <w:rFonts w:ascii="Calibri" w:hAnsi="Calibri"/>
          <w:color w:val="231F20"/>
          <w:spacing w:val="-9"/>
          <w:w w:val="110"/>
        </w:rPr>
        <w:t xml:space="preserve"> </w:t>
      </w:r>
      <w:r w:rsidRPr="0087352F">
        <w:rPr>
          <w:rFonts w:ascii="Calibri" w:hAnsi="Calibri"/>
          <w:color w:val="231F20"/>
          <w:w w:val="110"/>
        </w:rPr>
        <w:t>American</w:t>
      </w:r>
      <w:r w:rsidRPr="0087352F">
        <w:rPr>
          <w:rFonts w:ascii="Calibri" w:hAnsi="Calibri"/>
          <w:color w:val="231F20"/>
          <w:spacing w:val="-9"/>
          <w:w w:val="110"/>
        </w:rPr>
        <w:t xml:space="preserve"> </w:t>
      </w:r>
      <w:r w:rsidRPr="0087352F">
        <w:rPr>
          <w:rFonts w:ascii="Calibri" w:hAnsi="Calibri"/>
          <w:color w:val="231F20"/>
          <w:w w:val="110"/>
        </w:rPr>
        <w:t>Industry</w:t>
      </w:r>
      <w:r w:rsidRPr="0087352F">
        <w:rPr>
          <w:rFonts w:ascii="Calibri" w:hAnsi="Calibri"/>
          <w:color w:val="231F20"/>
          <w:w w:val="104"/>
        </w:rPr>
        <w:t xml:space="preserve"> </w:t>
      </w:r>
      <w:r w:rsidRPr="0087352F">
        <w:rPr>
          <w:rFonts w:ascii="Calibri" w:hAnsi="Calibri"/>
          <w:color w:val="231F20"/>
          <w:w w:val="110"/>
        </w:rPr>
        <w:t>Classification</w:t>
      </w:r>
      <w:r w:rsidRPr="0087352F">
        <w:rPr>
          <w:rFonts w:ascii="Calibri" w:hAnsi="Calibri"/>
          <w:color w:val="231F20"/>
          <w:spacing w:val="-19"/>
          <w:w w:val="110"/>
        </w:rPr>
        <w:t xml:space="preserve"> </w:t>
      </w:r>
      <w:r w:rsidRPr="0087352F">
        <w:rPr>
          <w:rFonts w:ascii="Calibri" w:hAnsi="Calibri"/>
          <w:color w:val="231F20"/>
          <w:w w:val="110"/>
        </w:rPr>
        <w:t>System</w:t>
      </w:r>
      <w:r w:rsidRPr="0087352F">
        <w:rPr>
          <w:rFonts w:ascii="Calibri" w:hAnsi="Calibri"/>
          <w:color w:val="231F20"/>
          <w:spacing w:val="-19"/>
          <w:w w:val="110"/>
        </w:rPr>
        <w:t xml:space="preserve"> </w:t>
      </w:r>
      <w:r w:rsidRPr="0087352F">
        <w:rPr>
          <w:rFonts w:ascii="Calibri" w:hAnsi="Calibri"/>
          <w:color w:val="231F20"/>
          <w:w w:val="110"/>
        </w:rPr>
        <w:t>industries</w:t>
      </w:r>
      <w:r w:rsidRPr="0087352F">
        <w:rPr>
          <w:rFonts w:ascii="Calibri" w:hAnsi="Calibri"/>
          <w:color w:val="231F20"/>
          <w:spacing w:val="-19"/>
          <w:w w:val="110"/>
        </w:rPr>
        <w:t xml:space="preserve"> </w:t>
      </w:r>
      <w:r w:rsidRPr="0087352F">
        <w:rPr>
          <w:rFonts w:ascii="Calibri" w:hAnsi="Calibri"/>
          <w:color w:val="231F20"/>
          <w:w w:val="110"/>
        </w:rPr>
        <w:t>with</w:t>
      </w:r>
      <w:r w:rsidRPr="0087352F">
        <w:rPr>
          <w:rFonts w:ascii="Calibri" w:hAnsi="Calibri"/>
          <w:color w:val="231F20"/>
          <w:spacing w:val="-19"/>
          <w:w w:val="110"/>
        </w:rPr>
        <w:t xml:space="preserve"> </w:t>
      </w:r>
      <w:r w:rsidRPr="0087352F">
        <w:rPr>
          <w:rFonts w:ascii="Calibri" w:hAnsi="Calibri"/>
          <w:color w:val="231F20"/>
          <w:w w:val="110"/>
        </w:rPr>
        <w:t>the</w:t>
      </w:r>
      <w:r w:rsidRPr="0087352F">
        <w:rPr>
          <w:rFonts w:ascii="Calibri" w:hAnsi="Calibri"/>
          <w:color w:val="231F20"/>
          <w:spacing w:val="-19"/>
          <w:w w:val="110"/>
        </w:rPr>
        <w:t xml:space="preserve"> </w:t>
      </w:r>
      <w:r w:rsidRPr="0087352F">
        <w:rPr>
          <w:rFonts w:ascii="Calibri" w:hAnsi="Calibri"/>
          <w:color w:val="231F20"/>
          <w:w w:val="110"/>
        </w:rPr>
        <w:t>fastest</w:t>
      </w:r>
      <w:r w:rsidRPr="0087352F">
        <w:rPr>
          <w:rFonts w:ascii="Calibri" w:hAnsi="Calibri"/>
          <w:color w:val="231F20"/>
          <w:spacing w:val="-19"/>
          <w:w w:val="110"/>
        </w:rPr>
        <w:t xml:space="preserve"> </w:t>
      </w:r>
      <w:r w:rsidRPr="0087352F">
        <w:rPr>
          <w:rFonts w:ascii="Calibri" w:hAnsi="Calibri"/>
          <w:color w:val="231F20"/>
          <w:w w:val="110"/>
        </w:rPr>
        <w:t>projected</w:t>
      </w:r>
      <w:r w:rsidRPr="0087352F">
        <w:rPr>
          <w:rFonts w:ascii="Calibri" w:hAnsi="Calibri"/>
          <w:color w:val="231F20"/>
          <w:spacing w:val="-19"/>
          <w:w w:val="110"/>
        </w:rPr>
        <w:t xml:space="preserve"> </w:t>
      </w:r>
      <w:r w:rsidRPr="0087352F">
        <w:rPr>
          <w:rFonts w:ascii="Calibri" w:hAnsi="Calibri"/>
          <w:color w:val="231F20"/>
          <w:w w:val="110"/>
        </w:rPr>
        <w:t>growth</w:t>
      </w:r>
      <w:r w:rsidRPr="0087352F">
        <w:rPr>
          <w:rFonts w:ascii="Calibri" w:hAnsi="Calibri"/>
          <w:color w:val="231F20"/>
          <w:spacing w:val="-19"/>
          <w:w w:val="110"/>
        </w:rPr>
        <w:t xml:space="preserve"> </w:t>
      </w:r>
      <w:r w:rsidRPr="0087352F">
        <w:rPr>
          <w:rFonts w:ascii="Calibri" w:hAnsi="Calibri"/>
          <w:color w:val="231F20"/>
          <w:w w:val="110"/>
        </w:rPr>
        <w:t>rates</w:t>
      </w:r>
      <w:r w:rsidRPr="0087352F">
        <w:rPr>
          <w:rFonts w:ascii="Calibri" w:hAnsi="Calibri"/>
          <w:color w:val="231F20"/>
          <w:spacing w:val="-19"/>
          <w:w w:val="110"/>
        </w:rPr>
        <w:t xml:space="preserve"> </w:t>
      </w:r>
      <w:r w:rsidRPr="0087352F">
        <w:rPr>
          <w:rFonts w:ascii="Calibri" w:hAnsi="Calibri"/>
          <w:color w:val="231F20"/>
          <w:w w:val="110"/>
        </w:rPr>
        <w:t>over</w:t>
      </w:r>
      <w:r w:rsidRPr="0087352F">
        <w:rPr>
          <w:rFonts w:ascii="Calibri" w:hAnsi="Calibri"/>
          <w:color w:val="231F20"/>
          <w:spacing w:val="-19"/>
          <w:w w:val="110"/>
        </w:rPr>
        <w:t xml:space="preserve"> </w:t>
      </w:r>
      <w:r w:rsidRPr="0087352F">
        <w:rPr>
          <w:rFonts w:ascii="Calibri" w:hAnsi="Calibri"/>
          <w:color w:val="231F20"/>
          <w:w w:val="110"/>
        </w:rPr>
        <w:t>the</w:t>
      </w:r>
      <w:r w:rsidRPr="0087352F">
        <w:rPr>
          <w:rFonts w:ascii="Calibri" w:hAnsi="Calibri"/>
          <w:color w:val="231F20"/>
          <w:spacing w:val="-19"/>
          <w:w w:val="110"/>
        </w:rPr>
        <w:t xml:space="preserve"> </w:t>
      </w:r>
      <w:r w:rsidRPr="0087352F">
        <w:rPr>
          <w:rFonts w:ascii="Calibri" w:hAnsi="Calibri"/>
          <w:color w:val="231F20"/>
          <w:w w:val="110"/>
        </w:rPr>
        <w:t>next</w:t>
      </w:r>
      <w:r w:rsidRPr="0087352F">
        <w:rPr>
          <w:rFonts w:ascii="Calibri" w:hAnsi="Calibri"/>
          <w:color w:val="231F20"/>
          <w:spacing w:val="-19"/>
          <w:w w:val="110"/>
        </w:rPr>
        <w:t xml:space="preserve"> </w:t>
      </w:r>
      <w:r w:rsidRPr="0087352F">
        <w:rPr>
          <w:rFonts w:ascii="Calibri" w:hAnsi="Calibri"/>
          <w:color w:val="231F20"/>
          <w:w w:val="110"/>
        </w:rPr>
        <w:t>eight</w:t>
      </w:r>
      <w:r w:rsidRPr="0087352F">
        <w:rPr>
          <w:rFonts w:ascii="Calibri" w:hAnsi="Calibri"/>
          <w:color w:val="231F20"/>
          <w:spacing w:val="-19"/>
          <w:w w:val="110"/>
        </w:rPr>
        <w:t xml:space="preserve"> </w:t>
      </w:r>
      <w:r w:rsidRPr="0087352F">
        <w:rPr>
          <w:rFonts w:ascii="Calibri" w:hAnsi="Calibri"/>
          <w:color w:val="231F20"/>
          <w:w w:val="110"/>
        </w:rPr>
        <w:t xml:space="preserve">years </w:t>
      </w:r>
      <w:r>
        <w:rPr>
          <w:rFonts w:ascii="Calibri" w:hAnsi="Calibri"/>
          <w:color w:val="231F20"/>
          <w:w w:val="110"/>
        </w:rPr>
        <w:t xml:space="preserve">for industries with less than the average employment level. Notably, </w:t>
      </w:r>
      <w:r w:rsidR="00CD1C1C">
        <w:rPr>
          <w:rFonts w:ascii="Calibri" w:hAnsi="Calibri"/>
          <w:color w:val="231F20"/>
          <w:w w:val="110"/>
        </w:rPr>
        <w:t xml:space="preserve">healthcare </w:t>
      </w:r>
      <w:r w:rsidRPr="0087352F">
        <w:rPr>
          <w:rFonts w:ascii="Calibri" w:hAnsi="Calibri"/>
          <w:color w:val="231F20"/>
          <w:w w:val="110"/>
        </w:rPr>
        <w:t>and education industries occupied four of the five top positions on</w:t>
      </w:r>
      <w:r w:rsidRPr="0087352F">
        <w:rPr>
          <w:rFonts w:ascii="Calibri" w:hAnsi="Calibri"/>
          <w:color w:val="231F20"/>
          <w:spacing w:val="-11"/>
          <w:w w:val="110"/>
        </w:rPr>
        <w:t xml:space="preserve"> </w:t>
      </w:r>
      <w:r w:rsidRPr="0087352F">
        <w:rPr>
          <w:rFonts w:ascii="Calibri" w:hAnsi="Calibri"/>
          <w:color w:val="231F20"/>
          <w:w w:val="110"/>
        </w:rPr>
        <w:t>the</w:t>
      </w:r>
      <w:r w:rsidRPr="0087352F">
        <w:rPr>
          <w:rFonts w:ascii="Calibri" w:hAnsi="Calibri"/>
          <w:color w:val="231F20"/>
          <w:spacing w:val="-11"/>
          <w:w w:val="110"/>
        </w:rPr>
        <w:t xml:space="preserve"> </w:t>
      </w:r>
      <w:r w:rsidRPr="0087352F">
        <w:rPr>
          <w:rFonts w:ascii="Calibri" w:hAnsi="Calibri"/>
          <w:color w:val="231F20"/>
          <w:w w:val="110"/>
        </w:rPr>
        <w:t>lists</w:t>
      </w:r>
      <w:r w:rsidRPr="0087352F">
        <w:rPr>
          <w:rFonts w:ascii="Calibri" w:hAnsi="Calibri"/>
          <w:color w:val="231F20"/>
          <w:spacing w:val="-11"/>
          <w:w w:val="110"/>
        </w:rPr>
        <w:t xml:space="preserve"> </w:t>
      </w:r>
      <w:r w:rsidRPr="0087352F">
        <w:rPr>
          <w:rFonts w:ascii="Calibri" w:hAnsi="Calibri"/>
          <w:color w:val="231F20"/>
          <w:w w:val="110"/>
        </w:rPr>
        <w:t>of</w:t>
      </w:r>
      <w:r w:rsidRPr="0087352F">
        <w:rPr>
          <w:rFonts w:ascii="Calibri" w:hAnsi="Calibri"/>
          <w:color w:val="231F20"/>
          <w:spacing w:val="-11"/>
          <w:w w:val="110"/>
        </w:rPr>
        <w:t xml:space="preserve"> </w:t>
      </w:r>
      <w:r w:rsidRPr="0087352F">
        <w:rPr>
          <w:rFonts w:ascii="Calibri" w:hAnsi="Calibri"/>
          <w:color w:val="231F20"/>
          <w:w w:val="110"/>
        </w:rPr>
        <w:t>emerging</w:t>
      </w:r>
      <w:r w:rsidRPr="0087352F">
        <w:rPr>
          <w:rFonts w:ascii="Calibri" w:hAnsi="Calibri"/>
          <w:color w:val="231F20"/>
          <w:spacing w:val="-11"/>
          <w:w w:val="110"/>
        </w:rPr>
        <w:t xml:space="preserve"> </w:t>
      </w:r>
      <w:r w:rsidRPr="0087352F">
        <w:rPr>
          <w:rFonts w:ascii="Calibri" w:hAnsi="Calibri"/>
          <w:color w:val="231F20"/>
          <w:w w:val="110"/>
        </w:rPr>
        <w:t>industries</w:t>
      </w:r>
      <w:r w:rsidR="00D5537E">
        <w:rPr>
          <w:rFonts w:ascii="Calibri" w:hAnsi="Calibri"/>
          <w:color w:val="231F20"/>
          <w:w w:val="110"/>
        </w:rPr>
        <w:t xml:space="preserve"> and</w:t>
      </w:r>
      <w:r>
        <w:rPr>
          <w:rFonts w:ascii="Calibri" w:hAnsi="Calibri"/>
          <w:color w:val="231F20"/>
          <w:w w:val="110"/>
        </w:rPr>
        <w:t xml:space="preserve"> there are three manufacturing industries among those in the top 20</w:t>
      </w:r>
      <w:r w:rsidRPr="0087352F">
        <w:rPr>
          <w:rFonts w:ascii="Calibri" w:hAnsi="Calibri"/>
          <w:color w:val="231F20"/>
          <w:w w:val="110"/>
        </w:rPr>
        <w:t>.</w:t>
      </w:r>
      <w:r w:rsidRPr="0087352F">
        <w:rPr>
          <w:rFonts w:ascii="Calibri" w:hAnsi="Calibri"/>
          <w:color w:val="231F20"/>
          <w:spacing w:val="33"/>
          <w:w w:val="110"/>
        </w:rPr>
        <w:t xml:space="preserve"> </w:t>
      </w:r>
    </w:p>
    <w:bookmarkEnd w:id="17"/>
    <w:p w14:paraId="6D2072BB" w14:textId="77777777" w:rsidR="00002D76" w:rsidRPr="00EA7458" w:rsidRDefault="00002D76" w:rsidP="00D63204">
      <w:pPr>
        <w:widowControl w:val="0"/>
        <w:spacing w:before="196" w:after="0" w:line="266" w:lineRule="exact"/>
        <w:ind w:left="468" w:right="468"/>
        <w:outlineLvl w:val="2"/>
        <w:rPr>
          <w:rFonts w:ascii="Calibri" w:hAnsi="Calibri"/>
        </w:rPr>
      </w:pPr>
      <w:r w:rsidRPr="00EA7458">
        <w:rPr>
          <w:rFonts w:ascii="Calibri" w:hAnsi="Calibri"/>
          <w:b/>
          <w:bCs/>
          <w:color w:val="231F20"/>
          <w:w w:val="115"/>
        </w:rPr>
        <w:t>Figure</w:t>
      </w:r>
      <w:r w:rsidRPr="00EA7458">
        <w:rPr>
          <w:rFonts w:ascii="Calibri" w:hAnsi="Calibri"/>
          <w:b/>
          <w:bCs/>
          <w:color w:val="231F20"/>
          <w:spacing w:val="-18"/>
          <w:w w:val="115"/>
        </w:rPr>
        <w:t xml:space="preserve"> </w:t>
      </w:r>
      <w:r w:rsidRPr="00EA7458">
        <w:rPr>
          <w:rFonts w:ascii="Calibri" w:hAnsi="Calibri"/>
          <w:b/>
          <w:bCs/>
          <w:color w:val="231F20"/>
          <w:w w:val="115"/>
        </w:rPr>
        <w:t>2.03</w:t>
      </w:r>
    </w:p>
    <w:p w14:paraId="10DE6589" w14:textId="77777777" w:rsidR="00002D76" w:rsidRPr="00EA7458" w:rsidRDefault="00002D76" w:rsidP="00D63204">
      <w:pPr>
        <w:widowControl w:val="0"/>
        <w:spacing w:after="0" w:line="266" w:lineRule="exact"/>
        <w:ind w:left="468" w:right="468"/>
        <w:rPr>
          <w:rFonts w:ascii="Calibri" w:hAnsi="Calibri" w:cs="Calibri"/>
        </w:rPr>
      </w:pPr>
      <w:r w:rsidRPr="00EA7458">
        <w:rPr>
          <w:rFonts w:ascii="Calibri" w:hAnsi="Calibri"/>
          <w:b/>
          <w:color w:val="231F20"/>
          <w:spacing w:val="-7"/>
          <w:w w:val="110"/>
        </w:rPr>
        <w:t xml:space="preserve">Top </w:t>
      </w:r>
      <w:r w:rsidRPr="00EA7458">
        <w:rPr>
          <w:rFonts w:ascii="Calibri" w:hAnsi="Calibri"/>
          <w:b/>
          <w:color w:val="231F20"/>
          <w:w w:val="110"/>
        </w:rPr>
        <w:t>Emerging</w:t>
      </w:r>
      <w:r w:rsidRPr="00EA7458">
        <w:rPr>
          <w:rFonts w:ascii="Calibri" w:hAnsi="Calibri"/>
          <w:b/>
          <w:color w:val="231F20"/>
          <w:spacing w:val="12"/>
          <w:w w:val="110"/>
        </w:rPr>
        <w:t xml:space="preserve"> </w:t>
      </w:r>
      <w:r w:rsidRPr="00EA7458">
        <w:rPr>
          <w:rFonts w:ascii="Calibri" w:hAnsi="Calibri"/>
          <w:b/>
          <w:color w:val="231F20"/>
          <w:w w:val="110"/>
        </w:rPr>
        <w:t>Industries</w:t>
      </w:r>
    </w:p>
    <w:p w14:paraId="3EEA02B9" w14:textId="77777777" w:rsidR="00002D76" w:rsidRPr="00EA7458" w:rsidRDefault="00002D76" w:rsidP="00002D76">
      <w:pPr>
        <w:widowControl w:val="0"/>
        <w:spacing w:before="1" w:after="0" w:line="240" w:lineRule="auto"/>
        <w:rPr>
          <w:rFonts w:ascii="Calibri" w:hAnsi="Calibri" w:cs="Calibri"/>
          <w:b/>
          <w:bCs/>
          <w:sz w:val="18"/>
          <w:szCs w:val="18"/>
        </w:rPr>
      </w:pPr>
    </w:p>
    <w:tbl>
      <w:tblPr>
        <w:tblW w:w="0" w:type="auto"/>
        <w:tblLook w:val="04A0" w:firstRow="1" w:lastRow="0" w:firstColumn="1" w:lastColumn="0" w:noHBand="0" w:noVBand="1"/>
      </w:tblPr>
      <w:tblGrid>
        <w:gridCol w:w="703"/>
        <w:gridCol w:w="4433"/>
        <w:gridCol w:w="1342"/>
        <w:gridCol w:w="1342"/>
        <w:gridCol w:w="1440"/>
        <w:gridCol w:w="1170"/>
      </w:tblGrid>
      <w:tr w:rsidR="00002D76" w:rsidRPr="00336134" w14:paraId="5FEC643F" w14:textId="77777777" w:rsidTr="001429C7">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327757C3" w14:textId="77777777" w:rsidR="00002D76" w:rsidRPr="00336134" w:rsidRDefault="00002D76" w:rsidP="00D63204">
            <w:pPr>
              <w:spacing w:after="0" w:line="240" w:lineRule="auto"/>
              <w:rPr>
                <w:rFonts w:ascii="Calibri" w:hAnsi="Calibri"/>
                <w:b/>
                <w:bCs/>
                <w:color w:val="231F20"/>
                <w:sz w:val="16"/>
                <w:szCs w:val="16"/>
              </w:rPr>
            </w:pPr>
            <w:r w:rsidRPr="00336134">
              <w:rPr>
                <w:rFonts w:ascii="Calibri" w:hAnsi="Calibri"/>
                <w:b/>
                <w:bCs/>
                <w:color w:val="231F20"/>
                <w:sz w:val="16"/>
                <w:szCs w:val="16"/>
              </w:rPr>
              <w:t>Code</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276EA48A" w14:textId="77777777" w:rsidR="00002D76" w:rsidRPr="00336134" w:rsidRDefault="00002D76" w:rsidP="00D63204">
            <w:pPr>
              <w:spacing w:after="0" w:line="240" w:lineRule="auto"/>
              <w:rPr>
                <w:rFonts w:ascii="Calibri" w:hAnsi="Calibri"/>
                <w:b/>
                <w:bCs/>
                <w:color w:val="231F20"/>
                <w:sz w:val="16"/>
                <w:szCs w:val="16"/>
              </w:rPr>
            </w:pPr>
            <w:r w:rsidRPr="00336134">
              <w:rPr>
                <w:rFonts w:ascii="Calibri" w:hAnsi="Calibri"/>
                <w:b/>
                <w:bCs/>
                <w:color w:val="231F20"/>
                <w:sz w:val="16"/>
                <w:szCs w:val="16"/>
              </w:rPr>
              <w:t>Title</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5AAB0DA9" w14:textId="77777777" w:rsidR="00002D76" w:rsidRPr="00336134" w:rsidRDefault="00002D76" w:rsidP="00D63204">
            <w:pPr>
              <w:spacing w:after="0" w:line="240" w:lineRule="auto"/>
              <w:rPr>
                <w:rFonts w:ascii="Calibri" w:hAnsi="Calibri"/>
                <w:b/>
                <w:bCs/>
                <w:color w:val="231F20"/>
                <w:sz w:val="16"/>
                <w:szCs w:val="16"/>
              </w:rPr>
            </w:pPr>
            <w:r w:rsidRPr="00336134">
              <w:rPr>
                <w:rFonts w:ascii="Calibri" w:hAnsi="Calibri"/>
                <w:b/>
                <w:bCs/>
                <w:color w:val="231F20"/>
                <w:sz w:val="16"/>
                <w:szCs w:val="16"/>
              </w:rPr>
              <w:t>2017 Employment</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6F37E9D4" w14:textId="77777777" w:rsidR="00002D76" w:rsidRPr="00336134" w:rsidRDefault="00002D76" w:rsidP="00D63204">
            <w:pPr>
              <w:spacing w:after="0" w:line="240" w:lineRule="auto"/>
              <w:rPr>
                <w:rFonts w:ascii="Calibri" w:hAnsi="Calibri"/>
                <w:b/>
                <w:bCs/>
                <w:color w:val="231F20"/>
                <w:sz w:val="16"/>
                <w:szCs w:val="16"/>
              </w:rPr>
            </w:pPr>
            <w:r w:rsidRPr="00336134">
              <w:rPr>
                <w:rFonts w:ascii="Calibri" w:hAnsi="Calibri"/>
                <w:b/>
                <w:bCs/>
                <w:color w:val="231F20"/>
                <w:sz w:val="16"/>
                <w:szCs w:val="16"/>
              </w:rPr>
              <w:t>2025 Employment</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4F125743" w14:textId="77777777" w:rsidR="00002D76" w:rsidRPr="00336134" w:rsidRDefault="00002D76" w:rsidP="00D63204">
            <w:pPr>
              <w:spacing w:after="0" w:line="240" w:lineRule="auto"/>
              <w:rPr>
                <w:rFonts w:ascii="Calibri" w:hAnsi="Calibri"/>
                <w:b/>
                <w:bCs/>
                <w:color w:val="231F20"/>
                <w:sz w:val="16"/>
                <w:szCs w:val="16"/>
              </w:rPr>
            </w:pPr>
            <w:r w:rsidRPr="00336134">
              <w:rPr>
                <w:rFonts w:ascii="Calibri" w:hAnsi="Calibri"/>
                <w:b/>
                <w:bCs/>
                <w:color w:val="231F20"/>
                <w:sz w:val="16"/>
                <w:szCs w:val="16"/>
              </w:rPr>
              <w:t>2017-25 Total Change</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0DAA78E3" w14:textId="77777777" w:rsidR="00002D76" w:rsidRPr="00336134" w:rsidRDefault="00002D76" w:rsidP="00D63204">
            <w:pPr>
              <w:spacing w:after="0" w:line="240" w:lineRule="auto"/>
              <w:rPr>
                <w:rFonts w:ascii="Calibri" w:hAnsi="Calibri"/>
                <w:b/>
                <w:bCs/>
                <w:color w:val="231F20"/>
                <w:sz w:val="16"/>
                <w:szCs w:val="16"/>
              </w:rPr>
            </w:pPr>
            <w:r w:rsidRPr="00336134">
              <w:rPr>
                <w:rFonts w:ascii="Calibri" w:hAnsi="Calibri"/>
                <w:b/>
                <w:bCs/>
                <w:color w:val="231F20"/>
                <w:sz w:val="16"/>
                <w:szCs w:val="16"/>
              </w:rPr>
              <w:t>2017-25 Percent</w:t>
            </w:r>
          </w:p>
        </w:tc>
      </w:tr>
      <w:tr w:rsidR="00002D76" w:rsidRPr="00336134" w14:paraId="2F88A1A2" w14:textId="77777777" w:rsidTr="001429C7">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ACE9F2E" w14:textId="77777777" w:rsidR="00002D76" w:rsidRPr="00336134" w:rsidRDefault="00002D76" w:rsidP="001429C7">
            <w:pPr>
              <w:spacing w:after="0" w:line="240" w:lineRule="auto"/>
              <w:rPr>
                <w:rFonts w:ascii="Calibri" w:hAnsi="Calibri"/>
                <w:color w:val="231F20"/>
                <w:sz w:val="16"/>
                <w:szCs w:val="16"/>
              </w:rPr>
            </w:pPr>
            <w:r w:rsidRPr="00336134">
              <w:rPr>
                <w:rFonts w:ascii="Calibri" w:hAnsi="Calibri"/>
                <w:color w:val="231F20"/>
                <w:sz w:val="16"/>
                <w:szCs w:val="16"/>
              </w:rPr>
              <w:t>621900</w:t>
            </w:r>
          </w:p>
        </w:tc>
        <w:tc>
          <w:tcPr>
            <w:tcW w:w="0" w:type="auto"/>
            <w:tcBorders>
              <w:top w:val="nil"/>
              <w:left w:val="nil"/>
              <w:bottom w:val="single" w:sz="4" w:space="0" w:color="auto"/>
              <w:right w:val="single" w:sz="4" w:space="0" w:color="auto"/>
            </w:tcBorders>
            <w:shd w:val="clear" w:color="auto" w:fill="auto"/>
            <w:vAlign w:val="center"/>
            <w:hideMark/>
          </w:tcPr>
          <w:p w14:paraId="33BD5678" w14:textId="77777777" w:rsidR="00002D76" w:rsidRPr="00336134" w:rsidRDefault="00002D76" w:rsidP="001429C7">
            <w:pPr>
              <w:spacing w:after="0" w:line="240" w:lineRule="auto"/>
              <w:rPr>
                <w:rFonts w:ascii="Calibri" w:hAnsi="Calibri"/>
                <w:color w:val="231F20"/>
                <w:sz w:val="16"/>
                <w:szCs w:val="16"/>
              </w:rPr>
            </w:pPr>
            <w:r w:rsidRPr="00336134">
              <w:rPr>
                <w:rFonts w:ascii="Calibri" w:hAnsi="Calibri"/>
                <w:color w:val="231F20"/>
                <w:sz w:val="16"/>
                <w:szCs w:val="16"/>
              </w:rPr>
              <w:t>Other Ambulatory Health Care Services</w:t>
            </w:r>
          </w:p>
        </w:tc>
        <w:tc>
          <w:tcPr>
            <w:tcW w:w="0" w:type="auto"/>
            <w:tcBorders>
              <w:top w:val="nil"/>
              <w:left w:val="nil"/>
              <w:bottom w:val="single" w:sz="4" w:space="0" w:color="auto"/>
              <w:right w:val="single" w:sz="4" w:space="0" w:color="auto"/>
            </w:tcBorders>
            <w:shd w:val="clear" w:color="auto" w:fill="auto"/>
            <w:vAlign w:val="center"/>
            <w:hideMark/>
          </w:tcPr>
          <w:p w14:paraId="01AAFA43" w14:textId="77777777" w:rsidR="00002D76" w:rsidRPr="00336134" w:rsidRDefault="00002D76" w:rsidP="00D63204">
            <w:pPr>
              <w:spacing w:after="0" w:line="240" w:lineRule="auto"/>
              <w:rPr>
                <w:rFonts w:ascii="Calibri" w:hAnsi="Calibri"/>
                <w:color w:val="231F20"/>
                <w:sz w:val="16"/>
                <w:szCs w:val="16"/>
              </w:rPr>
            </w:pPr>
            <w:r w:rsidRPr="00336134">
              <w:rPr>
                <w:rFonts w:ascii="Calibri" w:hAnsi="Calibri"/>
                <w:color w:val="231F20"/>
                <w:sz w:val="16"/>
                <w:szCs w:val="16"/>
              </w:rPr>
              <w:t>14,156</w:t>
            </w:r>
          </w:p>
        </w:tc>
        <w:tc>
          <w:tcPr>
            <w:tcW w:w="0" w:type="auto"/>
            <w:tcBorders>
              <w:top w:val="nil"/>
              <w:left w:val="nil"/>
              <w:bottom w:val="single" w:sz="4" w:space="0" w:color="auto"/>
              <w:right w:val="single" w:sz="4" w:space="0" w:color="auto"/>
            </w:tcBorders>
            <w:shd w:val="clear" w:color="auto" w:fill="auto"/>
            <w:vAlign w:val="center"/>
            <w:hideMark/>
          </w:tcPr>
          <w:p w14:paraId="174F8674" w14:textId="77777777" w:rsidR="00002D76" w:rsidRPr="00336134" w:rsidRDefault="00002D76" w:rsidP="00D63204">
            <w:pPr>
              <w:spacing w:after="0" w:line="240" w:lineRule="auto"/>
              <w:rPr>
                <w:rFonts w:ascii="Calibri" w:hAnsi="Calibri"/>
                <w:color w:val="231F20"/>
                <w:sz w:val="16"/>
                <w:szCs w:val="16"/>
              </w:rPr>
            </w:pPr>
            <w:r w:rsidRPr="00336134">
              <w:rPr>
                <w:rFonts w:ascii="Calibri" w:hAnsi="Calibri"/>
                <w:color w:val="231F20"/>
                <w:sz w:val="16"/>
                <w:szCs w:val="16"/>
              </w:rPr>
              <w:t>18,467</w:t>
            </w:r>
          </w:p>
        </w:tc>
        <w:tc>
          <w:tcPr>
            <w:tcW w:w="0" w:type="auto"/>
            <w:tcBorders>
              <w:top w:val="nil"/>
              <w:left w:val="nil"/>
              <w:bottom w:val="single" w:sz="4" w:space="0" w:color="auto"/>
              <w:right w:val="single" w:sz="4" w:space="0" w:color="auto"/>
            </w:tcBorders>
            <w:shd w:val="clear" w:color="auto" w:fill="auto"/>
            <w:vAlign w:val="center"/>
            <w:hideMark/>
          </w:tcPr>
          <w:p w14:paraId="60E5C6C4" w14:textId="77777777" w:rsidR="00002D76" w:rsidRPr="00336134" w:rsidRDefault="00002D76" w:rsidP="00D63204">
            <w:pPr>
              <w:spacing w:after="0" w:line="240" w:lineRule="auto"/>
              <w:rPr>
                <w:rFonts w:ascii="Calibri" w:hAnsi="Calibri"/>
                <w:color w:val="231F20"/>
                <w:sz w:val="16"/>
                <w:szCs w:val="16"/>
              </w:rPr>
            </w:pPr>
            <w:r w:rsidRPr="00336134">
              <w:rPr>
                <w:rFonts w:ascii="Calibri" w:hAnsi="Calibri"/>
                <w:color w:val="231F20"/>
                <w:sz w:val="16"/>
                <w:szCs w:val="16"/>
              </w:rPr>
              <w:t>4,311</w:t>
            </w:r>
          </w:p>
        </w:tc>
        <w:tc>
          <w:tcPr>
            <w:tcW w:w="0" w:type="auto"/>
            <w:tcBorders>
              <w:top w:val="nil"/>
              <w:left w:val="nil"/>
              <w:bottom w:val="single" w:sz="4" w:space="0" w:color="auto"/>
              <w:right w:val="single" w:sz="4" w:space="0" w:color="auto"/>
            </w:tcBorders>
            <w:shd w:val="clear" w:color="auto" w:fill="auto"/>
            <w:vAlign w:val="center"/>
            <w:hideMark/>
          </w:tcPr>
          <w:p w14:paraId="6A0727A4" w14:textId="77777777" w:rsidR="00002D76" w:rsidRPr="00336134" w:rsidRDefault="00002D76" w:rsidP="00D63204">
            <w:pPr>
              <w:spacing w:after="0" w:line="240" w:lineRule="auto"/>
              <w:rPr>
                <w:rFonts w:ascii="Calibri" w:hAnsi="Calibri"/>
                <w:color w:val="231F20"/>
                <w:sz w:val="16"/>
                <w:szCs w:val="16"/>
              </w:rPr>
            </w:pPr>
            <w:r w:rsidRPr="00336134">
              <w:rPr>
                <w:rFonts w:ascii="Calibri" w:hAnsi="Calibri"/>
                <w:color w:val="231F20"/>
                <w:sz w:val="16"/>
                <w:szCs w:val="16"/>
              </w:rPr>
              <w:t>30.5%</w:t>
            </w:r>
          </w:p>
        </w:tc>
      </w:tr>
      <w:tr w:rsidR="00002D76" w:rsidRPr="00336134" w14:paraId="5035C8B9" w14:textId="77777777" w:rsidTr="001429C7">
        <w:trPr>
          <w:trHeight w:val="300"/>
        </w:trPr>
        <w:tc>
          <w:tcPr>
            <w:tcW w:w="0" w:type="auto"/>
            <w:tcBorders>
              <w:top w:val="nil"/>
              <w:left w:val="single" w:sz="4" w:space="0" w:color="auto"/>
              <w:bottom w:val="single" w:sz="4" w:space="0" w:color="auto"/>
              <w:right w:val="single" w:sz="4" w:space="0" w:color="auto"/>
            </w:tcBorders>
            <w:shd w:val="clear" w:color="000000" w:fill="E6E7E8"/>
            <w:vAlign w:val="center"/>
            <w:hideMark/>
          </w:tcPr>
          <w:p w14:paraId="27ADA2A3" w14:textId="77777777" w:rsidR="00002D76" w:rsidRPr="00336134" w:rsidRDefault="00002D76" w:rsidP="001429C7">
            <w:pPr>
              <w:spacing w:after="0" w:line="240" w:lineRule="auto"/>
              <w:rPr>
                <w:rFonts w:ascii="Calibri" w:hAnsi="Calibri"/>
                <w:color w:val="231F20"/>
                <w:sz w:val="16"/>
                <w:szCs w:val="16"/>
              </w:rPr>
            </w:pPr>
            <w:r w:rsidRPr="00336134">
              <w:rPr>
                <w:rFonts w:ascii="Calibri" w:hAnsi="Calibri"/>
                <w:color w:val="231F20"/>
                <w:sz w:val="16"/>
                <w:szCs w:val="16"/>
              </w:rPr>
              <w:t>454100</w:t>
            </w:r>
          </w:p>
        </w:tc>
        <w:tc>
          <w:tcPr>
            <w:tcW w:w="0" w:type="auto"/>
            <w:tcBorders>
              <w:top w:val="nil"/>
              <w:left w:val="nil"/>
              <w:bottom w:val="single" w:sz="4" w:space="0" w:color="auto"/>
              <w:right w:val="single" w:sz="4" w:space="0" w:color="auto"/>
            </w:tcBorders>
            <w:shd w:val="clear" w:color="000000" w:fill="E6E7E8"/>
            <w:vAlign w:val="center"/>
            <w:hideMark/>
          </w:tcPr>
          <w:p w14:paraId="4B451870" w14:textId="77777777" w:rsidR="00002D76" w:rsidRPr="00336134" w:rsidRDefault="00002D76" w:rsidP="001429C7">
            <w:pPr>
              <w:spacing w:after="0" w:line="240" w:lineRule="auto"/>
              <w:rPr>
                <w:rFonts w:ascii="Calibri" w:hAnsi="Calibri"/>
                <w:color w:val="231F20"/>
                <w:sz w:val="16"/>
                <w:szCs w:val="16"/>
              </w:rPr>
            </w:pPr>
            <w:r w:rsidRPr="00336134">
              <w:rPr>
                <w:rFonts w:ascii="Calibri" w:hAnsi="Calibri"/>
                <w:color w:val="231F20"/>
                <w:sz w:val="16"/>
                <w:szCs w:val="16"/>
              </w:rPr>
              <w:t>Electronic Shopping and Mail-Order Houses</w:t>
            </w:r>
          </w:p>
        </w:tc>
        <w:tc>
          <w:tcPr>
            <w:tcW w:w="0" w:type="auto"/>
            <w:tcBorders>
              <w:top w:val="nil"/>
              <w:left w:val="nil"/>
              <w:bottom w:val="single" w:sz="4" w:space="0" w:color="auto"/>
              <w:right w:val="single" w:sz="4" w:space="0" w:color="auto"/>
            </w:tcBorders>
            <w:shd w:val="clear" w:color="000000" w:fill="E6E7E8"/>
            <w:vAlign w:val="center"/>
            <w:hideMark/>
          </w:tcPr>
          <w:p w14:paraId="34C756A2" w14:textId="77777777" w:rsidR="00002D76" w:rsidRPr="00336134" w:rsidRDefault="00002D76" w:rsidP="00D63204">
            <w:pPr>
              <w:spacing w:after="0" w:line="240" w:lineRule="auto"/>
              <w:rPr>
                <w:rFonts w:ascii="Calibri" w:hAnsi="Calibri"/>
                <w:color w:val="231F20"/>
                <w:sz w:val="16"/>
                <w:szCs w:val="16"/>
              </w:rPr>
            </w:pPr>
            <w:r w:rsidRPr="00336134">
              <w:rPr>
                <w:rFonts w:ascii="Calibri" w:hAnsi="Calibri"/>
                <w:color w:val="231F20"/>
                <w:sz w:val="16"/>
                <w:szCs w:val="16"/>
              </w:rPr>
              <w:t>29,722</w:t>
            </w:r>
          </w:p>
        </w:tc>
        <w:tc>
          <w:tcPr>
            <w:tcW w:w="0" w:type="auto"/>
            <w:tcBorders>
              <w:top w:val="nil"/>
              <w:left w:val="nil"/>
              <w:bottom w:val="single" w:sz="4" w:space="0" w:color="auto"/>
              <w:right w:val="single" w:sz="4" w:space="0" w:color="auto"/>
            </w:tcBorders>
            <w:shd w:val="clear" w:color="000000" w:fill="E6E7E8"/>
            <w:vAlign w:val="center"/>
            <w:hideMark/>
          </w:tcPr>
          <w:p w14:paraId="5E534570" w14:textId="77777777" w:rsidR="00002D76" w:rsidRPr="00336134" w:rsidRDefault="00002D76" w:rsidP="00D63204">
            <w:pPr>
              <w:spacing w:after="0" w:line="240" w:lineRule="auto"/>
              <w:rPr>
                <w:rFonts w:ascii="Calibri" w:hAnsi="Calibri"/>
                <w:color w:val="231F20"/>
                <w:sz w:val="16"/>
                <w:szCs w:val="16"/>
              </w:rPr>
            </w:pPr>
            <w:r w:rsidRPr="00336134">
              <w:rPr>
                <w:rFonts w:ascii="Calibri" w:hAnsi="Calibri"/>
                <w:color w:val="231F20"/>
                <w:sz w:val="16"/>
                <w:szCs w:val="16"/>
              </w:rPr>
              <w:t>37,825</w:t>
            </w:r>
          </w:p>
        </w:tc>
        <w:tc>
          <w:tcPr>
            <w:tcW w:w="0" w:type="auto"/>
            <w:tcBorders>
              <w:top w:val="nil"/>
              <w:left w:val="nil"/>
              <w:bottom w:val="single" w:sz="4" w:space="0" w:color="auto"/>
              <w:right w:val="single" w:sz="4" w:space="0" w:color="auto"/>
            </w:tcBorders>
            <w:shd w:val="clear" w:color="000000" w:fill="E6E7E8"/>
            <w:vAlign w:val="center"/>
            <w:hideMark/>
          </w:tcPr>
          <w:p w14:paraId="3B9BC98E" w14:textId="77777777" w:rsidR="00002D76" w:rsidRPr="00336134" w:rsidRDefault="00002D76" w:rsidP="00D63204">
            <w:pPr>
              <w:spacing w:after="0" w:line="240" w:lineRule="auto"/>
              <w:rPr>
                <w:rFonts w:ascii="Calibri" w:hAnsi="Calibri"/>
                <w:color w:val="231F20"/>
                <w:sz w:val="16"/>
                <w:szCs w:val="16"/>
              </w:rPr>
            </w:pPr>
            <w:r w:rsidRPr="00336134">
              <w:rPr>
                <w:rFonts w:ascii="Calibri" w:hAnsi="Calibri"/>
                <w:color w:val="231F20"/>
                <w:sz w:val="16"/>
                <w:szCs w:val="16"/>
              </w:rPr>
              <w:t>8,103</w:t>
            </w:r>
          </w:p>
        </w:tc>
        <w:tc>
          <w:tcPr>
            <w:tcW w:w="0" w:type="auto"/>
            <w:tcBorders>
              <w:top w:val="nil"/>
              <w:left w:val="nil"/>
              <w:bottom w:val="single" w:sz="4" w:space="0" w:color="auto"/>
              <w:right w:val="single" w:sz="4" w:space="0" w:color="auto"/>
            </w:tcBorders>
            <w:shd w:val="clear" w:color="000000" w:fill="E6E7E8"/>
            <w:vAlign w:val="center"/>
            <w:hideMark/>
          </w:tcPr>
          <w:p w14:paraId="62902DB1" w14:textId="77777777" w:rsidR="00002D76" w:rsidRPr="00336134" w:rsidRDefault="00002D76" w:rsidP="00D63204">
            <w:pPr>
              <w:spacing w:after="0" w:line="240" w:lineRule="auto"/>
              <w:rPr>
                <w:rFonts w:ascii="Calibri" w:hAnsi="Calibri"/>
                <w:color w:val="231F20"/>
                <w:sz w:val="16"/>
                <w:szCs w:val="16"/>
              </w:rPr>
            </w:pPr>
            <w:r w:rsidRPr="00336134">
              <w:rPr>
                <w:rFonts w:ascii="Calibri" w:hAnsi="Calibri"/>
                <w:color w:val="231F20"/>
                <w:sz w:val="16"/>
                <w:szCs w:val="16"/>
              </w:rPr>
              <w:t>27.3%</w:t>
            </w:r>
          </w:p>
        </w:tc>
      </w:tr>
      <w:tr w:rsidR="00002D76" w:rsidRPr="00336134" w14:paraId="5536F95D" w14:textId="77777777" w:rsidTr="001429C7">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A6250DA" w14:textId="77777777" w:rsidR="00002D76" w:rsidRPr="00336134" w:rsidRDefault="00002D76" w:rsidP="001429C7">
            <w:pPr>
              <w:spacing w:after="0" w:line="240" w:lineRule="auto"/>
              <w:rPr>
                <w:rFonts w:ascii="Calibri" w:hAnsi="Calibri"/>
                <w:color w:val="231F20"/>
                <w:sz w:val="16"/>
                <w:szCs w:val="16"/>
              </w:rPr>
            </w:pPr>
            <w:r w:rsidRPr="00336134">
              <w:rPr>
                <w:rFonts w:ascii="Calibri" w:hAnsi="Calibri"/>
                <w:color w:val="231F20"/>
                <w:sz w:val="16"/>
                <w:szCs w:val="16"/>
              </w:rPr>
              <w:t>611205</w:t>
            </w:r>
          </w:p>
        </w:tc>
        <w:tc>
          <w:tcPr>
            <w:tcW w:w="0" w:type="auto"/>
            <w:tcBorders>
              <w:top w:val="nil"/>
              <w:left w:val="nil"/>
              <w:bottom w:val="single" w:sz="4" w:space="0" w:color="auto"/>
              <w:right w:val="single" w:sz="4" w:space="0" w:color="auto"/>
            </w:tcBorders>
            <w:shd w:val="clear" w:color="auto" w:fill="auto"/>
            <w:vAlign w:val="center"/>
            <w:hideMark/>
          </w:tcPr>
          <w:p w14:paraId="68C48765" w14:textId="77777777" w:rsidR="00002D76" w:rsidRPr="00336134" w:rsidRDefault="00002D76" w:rsidP="001429C7">
            <w:pPr>
              <w:spacing w:after="0" w:line="240" w:lineRule="auto"/>
              <w:rPr>
                <w:rFonts w:ascii="Calibri" w:hAnsi="Calibri"/>
                <w:color w:val="231F20"/>
                <w:sz w:val="16"/>
                <w:szCs w:val="16"/>
              </w:rPr>
            </w:pPr>
            <w:r w:rsidRPr="00336134">
              <w:rPr>
                <w:rFonts w:ascii="Calibri" w:hAnsi="Calibri"/>
                <w:color w:val="231F20"/>
                <w:sz w:val="16"/>
                <w:szCs w:val="16"/>
              </w:rPr>
              <w:t>Private Junior Colleges</w:t>
            </w:r>
          </w:p>
        </w:tc>
        <w:tc>
          <w:tcPr>
            <w:tcW w:w="0" w:type="auto"/>
            <w:tcBorders>
              <w:top w:val="nil"/>
              <w:left w:val="nil"/>
              <w:bottom w:val="single" w:sz="4" w:space="0" w:color="auto"/>
              <w:right w:val="single" w:sz="4" w:space="0" w:color="auto"/>
            </w:tcBorders>
            <w:shd w:val="clear" w:color="auto" w:fill="auto"/>
            <w:vAlign w:val="center"/>
            <w:hideMark/>
          </w:tcPr>
          <w:p w14:paraId="568B237A" w14:textId="77777777" w:rsidR="00002D76" w:rsidRPr="00336134" w:rsidRDefault="00002D76" w:rsidP="00D63204">
            <w:pPr>
              <w:spacing w:after="0" w:line="240" w:lineRule="auto"/>
              <w:rPr>
                <w:rFonts w:ascii="Calibri" w:hAnsi="Calibri"/>
                <w:color w:val="231F20"/>
                <w:sz w:val="16"/>
                <w:szCs w:val="16"/>
              </w:rPr>
            </w:pPr>
            <w:r w:rsidRPr="00336134">
              <w:rPr>
                <w:rFonts w:ascii="Calibri" w:hAnsi="Calibri"/>
                <w:color w:val="231F20"/>
                <w:sz w:val="16"/>
                <w:szCs w:val="16"/>
              </w:rPr>
              <w:t>5,616</w:t>
            </w:r>
          </w:p>
        </w:tc>
        <w:tc>
          <w:tcPr>
            <w:tcW w:w="0" w:type="auto"/>
            <w:tcBorders>
              <w:top w:val="nil"/>
              <w:left w:val="nil"/>
              <w:bottom w:val="single" w:sz="4" w:space="0" w:color="auto"/>
              <w:right w:val="single" w:sz="4" w:space="0" w:color="auto"/>
            </w:tcBorders>
            <w:shd w:val="clear" w:color="auto" w:fill="auto"/>
            <w:vAlign w:val="center"/>
            <w:hideMark/>
          </w:tcPr>
          <w:p w14:paraId="32DCEDD7" w14:textId="77777777" w:rsidR="00002D76" w:rsidRPr="00336134" w:rsidRDefault="00002D76" w:rsidP="00D63204">
            <w:pPr>
              <w:spacing w:after="0" w:line="240" w:lineRule="auto"/>
              <w:rPr>
                <w:rFonts w:ascii="Calibri" w:hAnsi="Calibri"/>
                <w:color w:val="231F20"/>
                <w:sz w:val="16"/>
                <w:szCs w:val="16"/>
              </w:rPr>
            </w:pPr>
            <w:r w:rsidRPr="00336134">
              <w:rPr>
                <w:rFonts w:ascii="Calibri" w:hAnsi="Calibri"/>
                <w:color w:val="231F20"/>
                <w:sz w:val="16"/>
                <w:szCs w:val="16"/>
              </w:rPr>
              <w:t>6,877</w:t>
            </w:r>
          </w:p>
        </w:tc>
        <w:tc>
          <w:tcPr>
            <w:tcW w:w="0" w:type="auto"/>
            <w:tcBorders>
              <w:top w:val="nil"/>
              <w:left w:val="nil"/>
              <w:bottom w:val="single" w:sz="4" w:space="0" w:color="auto"/>
              <w:right w:val="single" w:sz="4" w:space="0" w:color="auto"/>
            </w:tcBorders>
            <w:shd w:val="clear" w:color="auto" w:fill="auto"/>
            <w:vAlign w:val="center"/>
            <w:hideMark/>
          </w:tcPr>
          <w:p w14:paraId="609D27DF" w14:textId="77777777" w:rsidR="00002D76" w:rsidRPr="00336134" w:rsidRDefault="00002D76" w:rsidP="00D63204">
            <w:pPr>
              <w:spacing w:after="0" w:line="240" w:lineRule="auto"/>
              <w:rPr>
                <w:rFonts w:ascii="Calibri" w:hAnsi="Calibri"/>
                <w:color w:val="231F20"/>
                <w:sz w:val="16"/>
                <w:szCs w:val="16"/>
              </w:rPr>
            </w:pPr>
            <w:r w:rsidRPr="00336134">
              <w:rPr>
                <w:rFonts w:ascii="Calibri" w:hAnsi="Calibri"/>
                <w:color w:val="231F20"/>
                <w:sz w:val="16"/>
                <w:szCs w:val="16"/>
              </w:rPr>
              <w:t>1,261</w:t>
            </w:r>
          </w:p>
        </w:tc>
        <w:tc>
          <w:tcPr>
            <w:tcW w:w="0" w:type="auto"/>
            <w:tcBorders>
              <w:top w:val="nil"/>
              <w:left w:val="nil"/>
              <w:bottom w:val="single" w:sz="4" w:space="0" w:color="auto"/>
              <w:right w:val="single" w:sz="4" w:space="0" w:color="auto"/>
            </w:tcBorders>
            <w:shd w:val="clear" w:color="auto" w:fill="auto"/>
            <w:vAlign w:val="center"/>
            <w:hideMark/>
          </w:tcPr>
          <w:p w14:paraId="080F7CE4" w14:textId="77777777" w:rsidR="00002D76" w:rsidRPr="00336134" w:rsidRDefault="00002D76" w:rsidP="00D63204">
            <w:pPr>
              <w:spacing w:after="0" w:line="240" w:lineRule="auto"/>
              <w:rPr>
                <w:rFonts w:ascii="Calibri" w:hAnsi="Calibri"/>
                <w:color w:val="231F20"/>
                <w:sz w:val="16"/>
                <w:szCs w:val="16"/>
              </w:rPr>
            </w:pPr>
            <w:r w:rsidRPr="00336134">
              <w:rPr>
                <w:rFonts w:ascii="Calibri" w:hAnsi="Calibri"/>
                <w:color w:val="231F20"/>
                <w:sz w:val="16"/>
                <w:szCs w:val="16"/>
              </w:rPr>
              <w:t>22.5%</w:t>
            </w:r>
          </w:p>
        </w:tc>
      </w:tr>
      <w:tr w:rsidR="00002D76" w:rsidRPr="00336134" w14:paraId="5E0E3D7F" w14:textId="77777777" w:rsidTr="001429C7">
        <w:trPr>
          <w:trHeight w:val="300"/>
        </w:trPr>
        <w:tc>
          <w:tcPr>
            <w:tcW w:w="0" w:type="auto"/>
            <w:tcBorders>
              <w:top w:val="nil"/>
              <w:left w:val="single" w:sz="4" w:space="0" w:color="auto"/>
              <w:bottom w:val="single" w:sz="4" w:space="0" w:color="auto"/>
              <w:right w:val="single" w:sz="4" w:space="0" w:color="auto"/>
            </w:tcBorders>
            <w:shd w:val="clear" w:color="000000" w:fill="E6E7E8"/>
            <w:vAlign w:val="center"/>
            <w:hideMark/>
          </w:tcPr>
          <w:p w14:paraId="39094A04" w14:textId="77777777" w:rsidR="00002D76" w:rsidRPr="00336134" w:rsidRDefault="00002D76" w:rsidP="001429C7">
            <w:pPr>
              <w:spacing w:after="0" w:line="240" w:lineRule="auto"/>
              <w:rPr>
                <w:rFonts w:ascii="Calibri" w:hAnsi="Calibri"/>
                <w:color w:val="231F20"/>
                <w:sz w:val="16"/>
                <w:szCs w:val="16"/>
              </w:rPr>
            </w:pPr>
            <w:r w:rsidRPr="00336134">
              <w:rPr>
                <w:rFonts w:ascii="Calibri" w:hAnsi="Calibri"/>
                <w:color w:val="231F20"/>
                <w:sz w:val="16"/>
                <w:szCs w:val="16"/>
              </w:rPr>
              <w:t>621500</w:t>
            </w:r>
          </w:p>
        </w:tc>
        <w:tc>
          <w:tcPr>
            <w:tcW w:w="0" w:type="auto"/>
            <w:tcBorders>
              <w:top w:val="nil"/>
              <w:left w:val="nil"/>
              <w:bottom w:val="single" w:sz="4" w:space="0" w:color="auto"/>
              <w:right w:val="single" w:sz="4" w:space="0" w:color="auto"/>
            </w:tcBorders>
            <w:shd w:val="clear" w:color="000000" w:fill="E6E7E8"/>
            <w:vAlign w:val="center"/>
            <w:hideMark/>
          </w:tcPr>
          <w:p w14:paraId="34693E24" w14:textId="77777777" w:rsidR="00002D76" w:rsidRPr="00336134" w:rsidRDefault="00002D76" w:rsidP="001429C7">
            <w:pPr>
              <w:spacing w:after="0" w:line="240" w:lineRule="auto"/>
              <w:rPr>
                <w:rFonts w:ascii="Calibri" w:hAnsi="Calibri"/>
                <w:color w:val="231F20"/>
                <w:sz w:val="16"/>
                <w:szCs w:val="16"/>
              </w:rPr>
            </w:pPr>
            <w:r w:rsidRPr="00336134">
              <w:rPr>
                <w:rFonts w:ascii="Calibri" w:hAnsi="Calibri"/>
                <w:color w:val="231F20"/>
                <w:sz w:val="16"/>
                <w:szCs w:val="16"/>
              </w:rPr>
              <w:t>Medical and Diagnostic Laboratories</w:t>
            </w:r>
          </w:p>
        </w:tc>
        <w:tc>
          <w:tcPr>
            <w:tcW w:w="0" w:type="auto"/>
            <w:tcBorders>
              <w:top w:val="nil"/>
              <w:left w:val="nil"/>
              <w:bottom w:val="single" w:sz="4" w:space="0" w:color="auto"/>
              <w:right w:val="single" w:sz="4" w:space="0" w:color="auto"/>
            </w:tcBorders>
            <w:shd w:val="clear" w:color="000000" w:fill="E6E7E8"/>
            <w:vAlign w:val="center"/>
            <w:hideMark/>
          </w:tcPr>
          <w:p w14:paraId="4481B7E1" w14:textId="77777777" w:rsidR="00002D76" w:rsidRPr="00336134" w:rsidRDefault="00002D76" w:rsidP="00D63204">
            <w:pPr>
              <w:spacing w:after="0" w:line="240" w:lineRule="auto"/>
              <w:rPr>
                <w:rFonts w:ascii="Calibri" w:hAnsi="Calibri"/>
                <w:color w:val="231F20"/>
                <w:sz w:val="16"/>
                <w:szCs w:val="16"/>
              </w:rPr>
            </w:pPr>
            <w:r w:rsidRPr="00336134">
              <w:rPr>
                <w:rFonts w:ascii="Calibri" w:hAnsi="Calibri"/>
                <w:color w:val="231F20"/>
                <w:sz w:val="16"/>
                <w:szCs w:val="16"/>
              </w:rPr>
              <w:t>22,878</w:t>
            </w:r>
          </w:p>
        </w:tc>
        <w:tc>
          <w:tcPr>
            <w:tcW w:w="0" w:type="auto"/>
            <w:tcBorders>
              <w:top w:val="nil"/>
              <w:left w:val="nil"/>
              <w:bottom w:val="single" w:sz="4" w:space="0" w:color="auto"/>
              <w:right w:val="single" w:sz="4" w:space="0" w:color="auto"/>
            </w:tcBorders>
            <w:shd w:val="clear" w:color="000000" w:fill="E6E7E8"/>
            <w:vAlign w:val="center"/>
            <w:hideMark/>
          </w:tcPr>
          <w:p w14:paraId="3F78138C" w14:textId="77777777" w:rsidR="00002D76" w:rsidRPr="00336134" w:rsidRDefault="00002D76" w:rsidP="00D63204">
            <w:pPr>
              <w:spacing w:after="0" w:line="240" w:lineRule="auto"/>
              <w:rPr>
                <w:rFonts w:ascii="Calibri" w:hAnsi="Calibri"/>
                <w:color w:val="231F20"/>
                <w:sz w:val="16"/>
                <w:szCs w:val="16"/>
              </w:rPr>
            </w:pPr>
            <w:r w:rsidRPr="00336134">
              <w:rPr>
                <w:rFonts w:ascii="Calibri" w:hAnsi="Calibri"/>
                <w:color w:val="231F20"/>
                <w:sz w:val="16"/>
                <w:szCs w:val="16"/>
              </w:rPr>
              <w:t>27,857</w:t>
            </w:r>
          </w:p>
        </w:tc>
        <w:tc>
          <w:tcPr>
            <w:tcW w:w="0" w:type="auto"/>
            <w:tcBorders>
              <w:top w:val="nil"/>
              <w:left w:val="nil"/>
              <w:bottom w:val="single" w:sz="4" w:space="0" w:color="auto"/>
              <w:right w:val="single" w:sz="4" w:space="0" w:color="auto"/>
            </w:tcBorders>
            <w:shd w:val="clear" w:color="000000" w:fill="E6E7E8"/>
            <w:vAlign w:val="center"/>
            <w:hideMark/>
          </w:tcPr>
          <w:p w14:paraId="7C92AF68" w14:textId="77777777" w:rsidR="00002D76" w:rsidRPr="00336134" w:rsidRDefault="00002D76" w:rsidP="00D63204">
            <w:pPr>
              <w:spacing w:after="0" w:line="240" w:lineRule="auto"/>
              <w:rPr>
                <w:rFonts w:ascii="Calibri" w:hAnsi="Calibri"/>
                <w:color w:val="231F20"/>
                <w:sz w:val="16"/>
                <w:szCs w:val="16"/>
              </w:rPr>
            </w:pPr>
            <w:r w:rsidRPr="00336134">
              <w:rPr>
                <w:rFonts w:ascii="Calibri" w:hAnsi="Calibri"/>
                <w:color w:val="231F20"/>
                <w:sz w:val="16"/>
                <w:szCs w:val="16"/>
              </w:rPr>
              <w:t>4,979</w:t>
            </w:r>
          </w:p>
        </w:tc>
        <w:tc>
          <w:tcPr>
            <w:tcW w:w="0" w:type="auto"/>
            <w:tcBorders>
              <w:top w:val="nil"/>
              <w:left w:val="nil"/>
              <w:bottom w:val="single" w:sz="4" w:space="0" w:color="auto"/>
              <w:right w:val="single" w:sz="4" w:space="0" w:color="auto"/>
            </w:tcBorders>
            <w:shd w:val="clear" w:color="000000" w:fill="E6E7E8"/>
            <w:vAlign w:val="center"/>
            <w:hideMark/>
          </w:tcPr>
          <w:p w14:paraId="226028E9" w14:textId="77777777" w:rsidR="00002D76" w:rsidRPr="00336134" w:rsidRDefault="00002D76" w:rsidP="00D63204">
            <w:pPr>
              <w:spacing w:after="0" w:line="240" w:lineRule="auto"/>
              <w:rPr>
                <w:rFonts w:ascii="Calibri" w:hAnsi="Calibri"/>
                <w:color w:val="231F20"/>
                <w:sz w:val="16"/>
                <w:szCs w:val="16"/>
              </w:rPr>
            </w:pPr>
            <w:r w:rsidRPr="00336134">
              <w:rPr>
                <w:rFonts w:ascii="Calibri" w:hAnsi="Calibri"/>
                <w:color w:val="231F20"/>
                <w:sz w:val="16"/>
                <w:szCs w:val="16"/>
              </w:rPr>
              <w:t>21.8%</w:t>
            </w:r>
          </w:p>
        </w:tc>
      </w:tr>
      <w:tr w:rsidR="00002D76" w:rsidRPr="00336134" w14:paraId="70779EF4" w14:textId="77777777" w:rsidTr="001429C7">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35A1C95" w14:textId="77777777" w:rsidR="00002D76" w:rsidRPr="00336134" w:rsidRDefault="00002D76" w:rsidP="001429C7">
            <w:pPr>
              <w:spacing w:after="0" w:line="240" w:lineRule="auto"/>
              <w:rPr>
                <w:rFonts w:ascii="Calibri" w:hAnsi="Calibri"/>
                <w:color w:val="231F20"/>
                <w:sz w:val="16"/>
                <w:szCs w:val="16"/>
              </w:rPr>
            </w:pPr>
            <w:r w:rsidRPr="00336134">
              <w:rPr>
                <w:rFonts w:ascii="Calibri" w:hAnsi="Calibri"/>
                <w:color w:val="231F20"/>
                <w:sz w:val="16"/>
                <w:szCs w:val="16"/>
              </w:rPr>
              <w:t>611700</w:t>
            </w:r>
          </w:p>
        </w:tc>
        <w:tc>
          <w:tcPr>
            <w:tcW w:w="0" w:type="auto"/>
            <w:tcBorders>
              <w:top w:val="nil"/>
              <w:left w:val="nil"/>
              <w:bottom w:val="single" w:sz="4" w:space="0" w:color="auto"/>
              <w:right w:val="single" w:sz="4" w:space="0" w:color="auto"/>
            </w:tcBorders>
            <w:shd w:val="clear" w:color="auto" w:fill="auto"/>
            <w:vAlign w:val="center"/>
            <w:hideMark/>
          </w:tcPr>
          <w:p w14:paraId="13076C1B" w14:textId="77777777" w:rsidR="00002D76" w:rsidRPr="00336134" w:rsidRDefault="00002D76" w:rsidP="001429C7">
            <w:pPr>
              <w:spacing w:after="0" w:line="240" w:lineRule="auto"/>
              <w:rPr>
                <w:rFonts w:ascii="Calibri" w:hAnsi="Calibri"/>
                <w:color w:val="231F20"/>
                <w:sz w:val="16"/>
                <w:szCs w:val="16"/>
              </w:rPr>
            </w:pPr>
            <w:r w:rsidRPr="00336134">
              <w:rPr>
                <w:rFonts w:ascii="Calibri" w:hAnsi="Calibri"/>
                <w:color w:val="231F20"/>
                <w:sz w:val="16"/>
                <w:szCs w:val="16"/>
              </w:rPr>
              <w:t>Educational Support Services</w:t>
            </w:r>
          </w:p>
        </w:tc>
        <w:tc>
          <w:tcPr>
            <w:tcW w:w="0" w:type="auto"/>
            <w:tcBorders>
              <w:top w:val="nil"/>
              <w:left w:val="nil"/>
              <w:bottom w:val="single" w:sz="4" w:space="0" w:color="auto"/>
              <w:right w:val="single" w:sz="4" w:space="0" w:color="auto"/>
            </w:tcBorders>
            <w:shd w:val="clear" w:color="auto" w:fill="auto"/>
            <w:vAlign w:val="center"/>
            <w:hideMark/>
          </w:tcPr>
          <w:p w14:paraId="1ECAF179" w14:textId="77777777" w:rsidR="00002D76" w:rsidRPr="00336134" w:rsidRDefault="00002D76" w:rsidP="00D63204">
            <w:pPr>
              <w:spacing w:after="0" w:line="240" w:lineRule="auto"/>
              <w:rPr>
                <w:rFonts w:ascii="Calibri" w:hAnsi="Calibri"/>
                <w:color w:val="231F20"/>
                <w:sz w:val="16"/>
                <w:szCs w:val="16"/>
              </w:rPr>
            </w:pPr>
            <w:r w:rsidRPr="00336134">
              <w:rPr>
                <w:rFonts w:ascii="Calibri" w:hAnsi="Calibri"/>
                <w:color w:val="231F20"/>
                <w:sz w:val="16"/>
                <w:szCs w:val="16"/>
              </w:rPr>
              <w:t>7,082</w:t>
            </w:r>
          </w:p>
        </w:tc>
        <w:tc>
          <w:tcPr>
            <w:tcW w:w="0" w:type="auto"/>
            <w:tcBorders>
              <w:top w:val="nil"/>
              <w:left w:val="nil"/>
              <w:bottom w:val="single" w:sz="4" w:space="0" w:color="auto"/>
              <w:right w:val="single" w:sz="4" w:space="0" w:color="auto"/>
            </w:tcBorders>
            <w:shd w:val="clear" w:color="auto" w:fill="auto"/>
            <w:vAlign w:val="center"/>
            <w:hideMark/>
          </w:tcPr>
          <w:p w14:paraId="6A9E6221" w14:textId="77777777" w:rsidR="00002D76" w:rsidRPr="00336134" w:rsidRDefault="00002D76" w:rsidP="00D63204">
            <w:pPr>
              <w:spacing w:after="0" w:line="240" w:lineRule="auto"/>
              <w:rPr>
                <w:rFonts w:ascii="Calibri" w:hAnsi="Calibri"/>
                <w:color w:val="231F20"/>
                <w:sz w:val="16"/>
                <w:szCs w:val="16"/>
              </w:rPr>
            </w:pPr>
            <w:r w:rsidRPr="00336134">
              <w:rPr>
                <w:rFonts w:ascii="Calibri" w:hAnsi="Calibri"/>
                <w:color w:val="231F20"/>
                <w:sz w:val="16"/>
                <w:szCs w:val="16"/>
              </w:rPr>
              <w:t>8,561</w:t>
            </w:r>
          </w:p>
        </w:tc>
        <w:tc>
          <w:tcPr>
            <w:tcW w:w="0" w:type="auto"/>
            <w:tcBorders>
              <w:top w:val="nil"/>
              <w:left w:val="nil"/>
              <w:bottom w:val="single" w:sz="4" w:space="0" w:color="auto"/>
              <w:right w:val="single" w:sz="4" w:space="0" w:color="auto"/>
            </w:tcBorders>
            <w:shd w:val="clear" w:color="auto" w:fill="auto"/>
            <w:vAlign w:val="center"/>
            <w:hideMark/>
          </w:tcPr>
          <w:p w14:paraId="59278E83" w14:textId="77777777" w:rsidR="00002D76" w:rsidRPr="00336134" w:rsidRDefault="00002D76" w:rsidP="00D63204">
            <w:pPr>
              <w:spacing w:after="0" w:line="240" w:lineRule="auto"/>
              <w:rPr>
                <w:rFonts w:ascii="Calibri" w:hAnsi="Calibri"/>
                <w:color w:val="231F20"/>
                <w:sz w:val="16"/>
                <w:szCs w:val="16"/>
              </w:rPr>
            </w:pPr>
            <w:r w:rsidRPr="00336134">
              <w:rPr>
                <w:rFonts w:ascii="Calibri" w:hAnsi="Calibri"/>
                <w:color w:val="231F20"/>
                <w:sz w:val="16"/>
                <w:szCs w:val="16"/>
              </w:rPr>
              <w:t>1,479</w:t>
            </w:r>
          </w:p>
        </w:tc>
        <w:tc>
          <w:tcPr>
            <w:tcW w:w="0" w:type="auto"/>
            <w:tcBorders>
              <w:top w:val="nil"/>
              <w:left w:val="nil"/>
              <w:bottom w:val="single" w:sz="4" w:space="0" w:color="auto"/>
              <w:right w:val="single" w:sz="4" w:space="0" w:color="auto"/>
            </w:tcBorders>
            <w:shd w:val="clear" w:color="auto" w:fill="auto"/>
            <w:vAlign w:val="center"/>
            <w:hideMark/>
          </w:tcPr>
          <w:p w14:paraId="5D932176" w14:textId="77777777" w:rsidR="00002D76" w:rsidRPr="00336134" w:rsidRDefault="00002D76" w:rsidP="00D63204">
            <w:pPr>
              <w:spacing w:after="0" w:line="240" w:lineRule="auto"/>
              <w:rPr>
                <w:rFonts w:ascii="Calibri" w:hAnsi="Calibri"/>
                <w:color w:val="231F20"/>
                <w:sz w:val="16"/>
                <w:szCs w:val="16"/>
              </w:rPr>
            </w:pPr>
            <w:r w:rsidRPr="00336134">
              <w:rPr>
                <w:rFonts w:ascii="Calibri" w:hAnsi="Calibri"/>
                <w:color w:val="231F20"/>
                <w:sz w:val="16"/>
                <w:szCs w:val="16"/>
              </w:rPr>
              <w:t>20.9%</w:t>
            </w:r>
          </w:p>
        </w:tc>
      </w:tr>
      <w:tr w:rsidR="00002D76" w:rsidRPr="00336134" w14:paraId="53D05023" w14:textId="77777777" w:rsidTr="001429C7">
        <w:trPr>
          <w:trHeight w:val="450"/>
        </w:trPr>
        <w:tc>
          <w:tcPr>
            <w:tcW w:w="0" w:type="auto"/>
            <w:tcBorders>
              <w:top w:val="nil"/>
              <w:left w:val="single" w:sz="4" w:space="0" w:color="auto"/>
              <w:bottom w:val="single" w:sz="4" w:space="0" w:color="auto"/>
              <w:right w:val="single" w:sz="4" w:space="0" w:color="auto"/>
            </w:tcBorders>
            <w:shd w:val="clear" w:color="000000" w:fill="E6E7E8"/>
            <w:vAlign w:val="center"/>
            <w:hideMark/>
          </w:tcPr>
          <w:p w14:paraId="3819F6D8" w14:textId="77777777" w:rsidR="00002D76" w:rsidRPr="00336134" w:rsidRDefault="00002D76" w:rsidP="001429C7">
            <w:pPr>
              <w:spacing w:after="0" w:line="240" w:lineRule="auto"/>
              <w:rPr>
                <w:rFonts w:ascii="Calibri" w:hAnsi="Calibri"/>
                <w:color w:val="231F20"/>
                <w:sz w:val="16"/>
                <w:szCs w:val="16"/>
              </w:rPr>
            </w:pPr>
            <w:r w:rsidRPr="00336134">
              <w:rPr>
                <w:rFonts w:ascii="Calibri" w:hAnsi="Calibri"/>
                <w:color w:val="231F20"/>
                <w:sz w:val="16"/>
                <w:szCs w:val="16"/>
              </w:rPr>
              <w:t>622305</w:t>
            </w:r>
          </w:p>
        </w:tc>
        <w:tc>
          <w:tcPr>
            <w:tcW w:w="0" w:type="auto"/>
            <w:tcBorders>
              <w:top w:val="nil"/>
              <w:left w:val="nil"/>
              <w:bottom w:val="single" w:sz="4" w:space="0" w:color="auto"/>
              <w:right w:val="single" w:sz="4" w:space="0" w:color="auto"/>
            </w:tcBorders>
            <w:shd w:val="clear" w:color="000000" w:fill="E6E7E8"/>
            <w:vAlign w:val="center"/>
            <w:hideMark/>
          </w:tcPr>
          <w:p w14:paraId="571F8E37" w14:textId="77777777" w:rsidR="00002D76" w:rsidRPr="00336134" w:rsidRDefault="00002D76" w:rsidP="001429C7">
            <w:pPr>
              <w:spacing w:after="0" w:line="240" w:lineRule="auto"/>
              <w:rPr>
                <w:rFonts w:ascii="Calibri" w:hAnsi="Calibri"/>
                <w:color w:val="231F20"/>
                <w:sz w:val="16"/>
                <w:szCs w:val="16"/>
              </w:rPr>
            </w:pPr>
            <w:r w:rsidRPr="00336134">
              <w:rPr>
                <w:rFonts w:ascii="Calibri" w:hAnsi="Calibri"/>
                <w:color w:val="231F20"/>
                <w:sz w:val="16"/>
                <w:szCs w:val="16"/>
              </w:rPr>
              <w:t>Private Specialty (Except Psychiatric and Substance Abuse)</w:t>
            </w:r>
          </w:p>
        </w:tc>
        <w:tc>
          <w:tcPr>
            <w:tcW w:w="0" w:type="auto"/>
            <w:tcBorders>
              <w:top w:val="nil"/>
              <w:left w:val="nil"/>
              <w:bottom w:val="single" w:sz="4" w:space="0" w:color="auto"/>
              <w:right w:val="single" w:sz="4" w:space="0" w:color="auto"/>
            </w:tcBorders>
            <w:shd w:val="clear" w:color="000000" w:fill="E6E7E8"/>
            <w:vAlign w:val="center"/>
            <w:hideMark/>
          </w:tcPr>
          <w:p w14:paraId="709FB456" w14:textId="77777777" w:rsidR="00002D76" w:rsidRPr="00336134" w:rsidRDefault="00002D76" w:rsidP="00D63204">
            <w:pPr>
              <w:spacing w:after="0" w:line="240" w:lineRule="auto"/>
              <w:rPr>
                <w:rFonts w:ascii="Calibri" w:hAnsi="Calibri"/>
                <w:color w:val="231F20"/>
                <w:sz w:val="16"/>
                <w:szCs w:val="16"/>
              </w:rPr>
            </w:pPr>
            <w:r w:rsidRPr="00336134">
              <w:rPr>
                <w:rFonts w:ascii="Calibri" w:hAnsi="Calibri"/>
                <w:color w:val="231F20"/>
                <w:sz w:val="16"/>
                <w:szCs w:val="16"/>
              </w:rPr>
              <w:t>15,297</w:t>
            </w:r>
          </w:p>
        </w:tc>
        <w:tc>
          <w:tcPr>
            <w:tcW w:w="0" w:type="auto"/>
            <w:tcBorders>
              <w:top w:val="nil"/>
              <w:left w:val="nil"/>
              <w:bottom w:val="single" w:sz="4" w:space="0" w:color="auto"/>
              <w:right w:val="single" w:sz="4" w:space="0" w:color="auto"/>
            </w:tcBorders>
            <w:shd w:val="clear" w:color="000000" w:fill="E6E7E8"/>
            <w:vAlign w:val="center"/>
            <w:hideMark/>
          </w:tcPr>
          <w:p w14:paraId="39D637B6" w14:textId="77777777" w:rsidR="00002D76" w:rsidRPr="00336134" w:rsidRDefault="00002D76" w:rsidP="00D63204">
            <w:pPr>
              <w:spacing w:after="0" w:line="240" w:lineRule="auto"/>
              <w:rPr>
                <w:rFonts w:ascii="Calibri" w:hAnsi="Calibri"/>
                <w:color w:val="231F20"/>
                <w:sz w:val="16"/>
                <w:szCs w:val="16"/>
              </w:rPr>
            </w:pPr>
            <w:r w:rsidRPr="00336134">
              <w:rPr>
                <w:rFonts w:ascii="Calibri" w:hAnsi="Calibri"/>
                <w:color w:val="231F20"/>
                <w:sz w:val="16"/>
                <w:szCs w:val="16"/>
              </w:rPr>
              <w:t>18,274</w:t>
            </w:r>
          </w:p>
        </w:tc>
        <w:tc>
          <w:tcPr>
            <w:tcW w:w="0" w:type="auto"/>
            <w:tcBorders>
              <w:top w:val="nil"/>
              <w:left w:val="nil"/>
              <w:bottom w:val="single" w:sz="4" w:space="0" w:color="auto"/>
              <w:right w:val="single" w:sz="4" w:space="0" w:color="auto"/>
            </w:tcBorders>
            <w:shd w:val="clear" w:color="000000" w:fill="E6E7E8"/>
            <w:vAlign w:val="center"/>
            <w:hideMark/>
          </w:tcPr>
          <w:p w14:paraId="6A240D51" w14:textId="77777777" w:rsidR="00002D76" w:rsidRPr="00336134" w:rsidRDefault="00002D76" w:rsidP="00D63204">
            <w:pPr>
              <w:spacing w:after="0" w:line="240" w:lineRule="auto"/>
              <w:rPr>
                <w:rFonts w:ascii="Calibri" w:hAnsi="Calibri"/>
                <w:color w:val="231F20"/>
                <w:sz w:val="16"/>
                <w:szCs w:val="16"/>
              </w:rPr>
            </w:pPr>
            <w:r w:rsidRPr="00336134">
              <w:rPr>
                <w:rFonts w:ascii="Calibri" w:hAnsi="Calibri"/>
                <w:color w:val="231F20"/>
                <w:sz w:val="16"/>
                <w:szCs w:val="16"/>
              </w:rPr>
              <w:t>2,977</w:t>
            </w:r>
          </w:p>
        </w:tc>
        <w:tc>
          <w:tcPr>
            <w:tcW w:w="0" w:type="auto"/>
            <w:tcBorders>
              <w:top w:val="nil"/>
              <w:left w:val="nil"/>
              <w:bottom w:val="single" w:sz="4" w:space="0" w:color="auto"/>
              <w:right w:val="single" w:sz="4" w:space="0" w:color="auto"/>
            </w:tcBorders>
            <w:shd w:val="clear" w:color="000000" w:fill="E6E7E8"/>
            <w:vAlign w:val="center"/>
            <w:hideMark/>
          </w:tcPr>
          <w:p w14:paraId="041FD238" w14:textId="77777777" w:rsidR="00002D76" w:rsidRPr="00336134" w:rsidRDefault="00002D76" w:rsidP="00D63204">
            <w:pPr>
              <w:spacing w:after="0" w:line="240" w:lineRule="auto"/>
              <w:rPr>
                <w:rFonts w:ascii="Calibri" w:hAnsi="Calibri"/>
                <w:color w:val="231F20"/>
                <w:sz w:val="16"/>
                <w:szCs w:val="16"/>
              </w:rPr>
            </w:pPr>
            <w:r w:rsidRPr="00336134">
              <w:rPr>
                <w:rFonts w:ascii="Calibri" w:hAnsi="Calibri"/>
                <w:color w:val="231F20"/>
                <w:sz w:val="16"/>
                <w:szCs w:val="16"/>
              </w:rPr>
              <w:t>19.5%</w:t>
            </w:r>
          </w:p>
        </w:tc>
      </w:tr>
      <w:tr w:rsidR="00002D76" w:rsidRPr="00336134" w14:paraId="67656F4C" w14:textId="77777777" w:rsidTr="001429C7">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99F257B" w14:textId="77777777" w:rsidR="00002D76" w:rsidRPr="00336134" w:rsidRDefault="00002D76" w:rsidP="001429C7">
            <w:pPr>
              <w:spacing w:after="0" w:line="240" w:lineRule="auto"/>
              <w:rPr>
                <w:rFonts w:ascii="Calibri" w:hAnsi="Calibri"/>
                <w:color w:val="231F20"/>
                <w:sz w:val="16"/>
                <w:szCs w:val="16"/>
              </w:rPr>
            </w:pPr>
            <w:r w:rsidRPr="00336134">
              <w:rPr>
                <w:rFonts w:ascii="Calibri" w:hAnsi="Calibri"/>
                <w:color w:val="231F20"/>
                <w:sz w:val="16"/>
                <w:szCs w:val="16"/>
              </w:rPr>
              <w:t>523900</w:t>
            </w:r>
          </w:p>
        </w:tc>
        <w:tc>
          <w:tcPr>
            <w:tcW w:w="0" w:type="auto"/>
            <w:tcBorders>
              <w:top w:val="nil"/>
              <w:left w:val="nil"/>
              <w:bottom w:val="single" w:sz="4" w:space="0" w:color="auto"/>
              <w:right w:val="single" w:sz="4" w:space="0" w:color="auto"/>
            </w:tcBorders>
            <w:shd w:val="clear" w:color="auto" w:fill="auto"/>
            <w:vAlign w:val="center"/>
            <w:hideMark/>
          </w:tcPr>
          <w:p w14:paraId="696DC68F" w14:textId="77777777" w:rsidR="00002D76" w:rsidRPr="00336134" w:rsidRDefault="00002D76" w:rsidP="001429C7">
            <w:pPr>
              <w:spacing w:after="0" w:line="240" w:lineRule="auto"/>
              <w:rPr>
                <w:rFonts w:ascii="Calibri" w:hAnsi="Calibri"/>
                <w:color w:val="231F20"/>
                <w:sz w:val="16"/>
                <w:szCs w:val="16"/>
              </w:rPr>
            </w:pPr>
            <w:r w:rsidRPr="00336134">
              <w:rPr>
                <w:rFonts w:ascii="Calibri" w:hAnsi="Calibri"/>
                <w:color w:val="231F20"/>
                <w:sz w:val="16"/>
                <w:szCs w:val="16"/>
              </w:rPr>
              <w:t>Other Financial Investment Activities</w:t>
            </w:r>
          </w:p>
        </w:tc>
        <w:tc>
          <w:tcPr>
            <w:tcW w:w="0" w:type="auto"/>
            <w:tcBorders>
              <w:top w:val="nil"/>
              <w:left w:val="nil"/>
              <w:bottom w:val="single" w:sz="4" w:space="0" w:color="auto"/>
              <w:right w:val="single" w:sz="4" w:space="0" w:color="auto"/>
            </w:tcBorders>
            <w:shd w:val="clear" w:color="auto" w:fill="auto"/>
            <w:vAlign w:val="center"/>
            <w:hideMark/>
          </w:tcPr>
          <w:p w14:paraId="336744ED" w14:textId="77777777" w:rsidR="00002D76" w:rsidRPr="00336134" w:rsidRDefault="00002D76" w:rsidP="00D63204">
            <w:pPr>
              <w:spacing w:after="0" w:line="240" w:lineRule="auto"/>
              <w:rPr>
                <w:rFonts w:ascii="Calibri" w:hAnsi="Calibri"/>
                <w:color w:val="231F20"/>
                <w:sz w:val="16"/>
                <w:szCs w:val="16"/>
              </w:rPr>
            </w:pPr>
            <w:r w:rsidRPr="00336134">
              <w:rPr>
                <w:rFonts w:ascii="Calibri" w:hAnsi="Calibri"/>
                <w:color w:val="231F20"/>
                <w:sz w:val="16"/>
                <w:szCs w:val="16"/>
              </w:rPr>
              <w:t>20,804</w:t>
            </w:r>
          </w:p>
        </w:tc>
        <w:tc>
          <w:tcPr>
            <w:tcW w:w="0" w:type="auto"/>
            <w:tcBorders>
              <w:top w:val="nil"/>
              <w:left w:val="nil"/>
              <w:bottom w:val="single" w:sz="4" w:space="0" w:color="auto"/>
              <w:right w:val="single" w:sz="4" w:space="0" w:color="auto"/>
            </w:tcBorders>
            <w:shd w:val="clear" w:color="auto" w:fill="auto"/>
            <w:vAlign w:val="center"/>
            <w:hideMark/>
          </w:tcPr>
          <w:p w14:paraId="1BCBFDEF" w14:textId="77777777" w:rsidR="00002D76" w:rsidRPr="00336134" w:rsidRDefault="00002D76" w:rsidP="00D63204">
            <w:pPr>
              <w:spacing w:after="0" w:line="240" w:lineRule="auto"/>
              <w:rPr>
                <w:rFonts w:ascii="Calibri" w:hAnsi="Calibri"/>
                <w:color w:val="231F20"/>
                <w:sz w:val="16"/>
                <w:szCs w:val="16"/>
              </w:rPr>
            </w:pPr>
            <w:r w:rsidRPr="00336134">
              <w:rPr>
                <w:rFonts w:ascii="Calibri" w:hAnsi="Calibri"/>
                <w:color w:val="231F20"/>
                <w:sz w:val="16"/>
                <w:szCs w:val="16"/>
              </w:rPr>
              <w:t>24,773</w:t>
            </w:r>
          </w:p>
        </w:tc>
        <w:tc>
          <w:tcPr>
            <w:tcW w:w="0" w:type="auto"/>
            <w:tcBorders>
              <w:top w:val="nil"/>
              <w:left w:val="nil"/>
              <w:bottom w:val="single" w:sz="4" w:space="0" w:color="auto"/>
              <w:right w:val="single" w:sz="4" w:space="0" w:color="auto"/>
            </w:tcBorders>
            <w:shd w:val="clear" w:color="auto" w:fill="auto"/>
            <w:vAlign w:val="center"/>
            <w:hideMark/>
          </w:tcPr>
          <w:p w14:paraId="7BD97863" w14:textId="77777777" w:rsidR="00002D76" w:rsidRPr="00336134" w:rsidRDefault="00002D76" w:rsidP="00D63204">
            <w:pPr>
              <w:spacing w:after="0" w:line="240" w:lineRule="auto"/>
              <w:rPr>
                <w:rFonts w:ascii="Calibri" w:hAnsi="Calibri"/>
                <w:color w:val="231F20"/>
                <w:sz w:val="16"/>
                <w:szCs w:val="16"/>
              </w:rPr>
            </w:pPr>
            <w:r w:rsidRPr="00336134">
              <w:rPr>
                <w:rFonts w:ascii="Calibri" w:hAnsi="Calibri"/>
                <w:color w:val="231F20"/>
                <w:sz w:val="16"/>
                <w:szCs w:val="16"/>
              </w:rPr>
              <w:t>3,969</w:t>
            </w:r>
          </w:p>
        </w:tc>
        <w:tc>
          <w:tcPr>
            <w:tcW w:w="0" w:type="auto"/>
            <w:tcBorders>
              <w:top w:val="nil"/>
              <w:left w:val="nil"/>
              <w:bottom w:val="single" w:sz="4" w:space="0" w:color="auto"/>
              <w:right w:val="single" w:sz="4" w:space="0" w:color="auto"/>
            </w:tcBorders>
            <w:shd w:val="clear" w:color="auto" w:fill="auto"/>
            <w:vAlign w:val="center"/>
            <w:hideMark/>
          </w:tcPr>
          <w:p w14:paraId="60EC6181" w14:textId="77777777" w:rsidR="00002D76" w:rsidRPr="00336134" w:rsidRDefault="00002D76" w:rsidP="00D63204">
            <w:pPr>
              <w:spacing w:after="0" w:line="240" w:lineRule="auto"/>
              <w:rPr>
                <w:rFonts w:ascii="Calibri" w:hAnsi="Calibri"/>
                <w:color w:val="231F20"/>
                <w:sz w:val="16"/>
                <w:szCs w:val="16"/>
              </w:rPr>
            </w:pPr>
            <w:r w:rsidRPr="00336134">
              <w:rPr>
                <w:rFonts w:ascii="Calibri" w:hAnsi="Calibri"/>
                <w:color w:val="231F20"/>
                <w:sz w:val="16"/>
                <w:szCs w:val="16"/>
              </w:rPr>
              <w:t>19.1%</w:t>
            </w:r>
          </w:p>
        </w:tc>
      </w:tr>
      <w:tr w:rsidR="00002D76" w:rsidRPr="00336134" w14:paraId="50B5655F" w14:textId="77777777" w:rsidTr="001429C7">
        <w:trPr>
          <w:trHeight w:val="300"/>
        </w:trPr>
        <w:tc>
          <w:tcPr>
            <w:tcW w:w="0" w:type="auto"/>
            <w:tcBorders>
              <w:top w:val="nil"/>
              <w:left w:val="single" w:sz="4" w:space="0" w:color="auto"/>
              <w:bottom w:val="single" w:sz="4" w:space="0" w:color="auto"/>
              <w:right w:val="single" w:sz="4" w:space="0" w:color="auto"/>
            </w:tcBorders>
            <w:shd w:val="clear" w:color="000000" w:fill="E6E7E8"/>
            <w:vAlign w:val="center"/>
            <w:hideMark/>
          </w:tcPr>
          <w:p w14:paraId="396BA3DB" w14:textId="77777777" w:rsidR="00002D76" w:rsidRPr="00336134" w:rsidRDefault="00002D76" w:rsidP="001429C7">
            <w:pPr>
              <w:spacing w:after="0" w:line="240" w:lineRule="auto"/>
              <w:rPr>
                <w:rFonts w:ascii="Calibri" w:hAnsi="Calibri"/>
                <w:color w:val="231F20"/>
                <w:sz w:val="16"/>
                <w:szCs w:val="16"/>
              </w:rPr>
            </w:pPr>
            <w:r w:rsidRPr="00336134">
              <w:rPr>
                <w:rFonts w:ascii="Calibri" w:hAnsi="Calibri"/>
                <w:color w:val="231F20"/>
                <w:sz w:val="16"/>
                <w:szCs w:val="16"/>
              </w:rPr>
              <w:t>511200</w:t>
            </w:r>
          </w:p>
        </w:tc>
        <w:tc>
          <w:tcPr>
            <w:tcW w:w="0" w:type="auto"/>
            <w:tcBorders>
              <w:top w:val="nil"/>
              <w:left w:val="nil"/>
              <w:bottom w:val="single" w:sz="4" w:space="0" w:color="auto"/>
              <w:right w:val="single" w:sz="4" w:space="0" w:color="auto"/>
            </w:tcBorders>
            <w:shd w:val="clear" w:color="000000" w:fill="E6E7E8"/>
            <w:vAlign w:val="center"/>
            <w:hideMark/>
          </w:tcPr>
          <w:p w14:paraId="7179DBF3" w14:textId="77777777" w:rsidR="00002D76" w:rsidRPr="00336134" w:rsidRDefault="00002D76" w:rsidP="001429C7">
            <w:pPr>
              <w:spacing w:after="0" w:line="240" w:lineRule="auto"/>
              <w:rPr>
                <w:rFonts w:ascii="Calibri" w:hAnsi="Calibri"/>
                <w:color w:val="231F20"/>
                <w:sz w:val="16"/>
                <w:szCs w:val="16"/>
              </w:rPr>
            </w:pPr>
            <w:r w:rsidRPr="00336134">
              <w:rPr>
                <w:rFonts w:ascii="Calibri" w:hAnsi="Calibri"/>
                <w:color w:val="231F20"/>
                <w:sz w:val="16"/>
                <w:szCs w:val="16"/>
              </w:rPr>
              <w:t>Software Publishers</w:t>
            </w:r>
          </w:p>
        </w:tc>
        <w:tc>
          <w:tcPr>
            <w:tcW w:w="0" w:type="auto"/>
            <w:tcBorders>
              <w:top w:val="nil"/>
              <w:left w:val="nil"/>
              <w:bottom w:val="single" w:sz="4" w:space="0" w:color="auto"/>
              <w:right w:val="single" w:sz="4" w:space="0" w:color="auto"/>
            </w:tcBorders>
            <w:shd w:val="clear" w:color="000000" w:fill="E6E7E8"/>
            <w:vAlign w:val="center"/>
            <w:hideMark/>
          </w:tcPr>
          <w:p w14:paraId="6AF7FFD9" w14:textId="77777777" w:rsidR="00002D76" w:rsidRPr="00336134" w:rsidRDefault="00002D76" w:rsidP="00D63204">
            <w:pPr>
              <w:spacing w:after="0" w:line="240" w:lineRule="auto"/>
              <w:rPr>
                <w:rFonts w:ascii="Calibri" w:hAnsi="Calibri"/>
                <w:color w:val="231F20"/>
                <w:sz w:val="16"/>
                <w:szCs w:val="16"/>
              </w:rPr>
            </w:pPr>
            <w:r w:rsidRPr="00336134">
              <w:rPr>
                <w:rFonts w:ascii="Calibri" w:hAnsi="Calibri"/>
                <w:color w:val="231F20"/>
                <w:sz w:val="16"/>
                <w:szCs w:val="16"/>
              </w:rPr>
              <w:t>14,073</w:t>
            </w:r>
          </w:p>
        </w:tc>
        <w:tc>
          <w:tcPr>
            <w:tcW w:w="0" w:type="auto"/>
            <w:tcBorders>
              <w:top w:val="nil"/>
              <w:left w:val="nil"/>
              <w:bottom w:val="single" w:sz="4" w:space="0" w:color="auto"/>
              <w:right w:val="single" w:sz="4" w:space="0" w:color="auto"/>
            </w:tcBorders>
            <w:shd w:val="clear" w:color="000000" w:fill="E6E7E8"/>
            <w:vAlign w:val="center"/>
            <w:hideMark/>
          </w:tcPr>
          <w:p w14:paraId="471F0A5D" w14:textId="77777777" w:rsidR="00002D76" w:rsidRPr="00336134" w:rsidRDefault="00002D76" w:rsidP="00D63204">
            <w:pPr>
              <w:spacing w:after="0" w:line="240" w:lineRule="auto"/>
              <w:rPr>
                <w:rFonts w:ascii="Calibri" w:hAnsi="Calibri"/>
                <w:color w:val="231F20"/>
                <w:sz w:val="16"/>
                <w:szCs w:val="16"/>
              </w:rPr>
            </w:pPr>
            <w:r w:rsidRPr="00336134">
              <w:rPr>
                <w:rFonts w:ascii="Calibri" w:hAnsi="Calibri"/>
                <w:color w:val="231F20"/>
                <w:sz w:val="16"/>
                <w:szCs w:val="16"/>
              </w:rPr>
              <w:t>16,523</w:t>
            </w:r>
          </w:p>
        </w:tc>
        <w:tc>
          <w:tcPr>
            <w:tcW w:w="0" w:type="auto"/>
            <w:tcBorders>
              <w:top w:val="nil"/>
              <w:left w:val="nil"/>
              <w:bottom w:val="single" w:sz="4" w:space="0" w:color="auto"/>
              <w:right w:val="single" w:sz="4" w:space="0" w:color="auto"/>
            </w:tcBorders>
            <w:shd w:val="clear" w:color="000000" w:fill="E6E7E8"/>
            <w:vAlign w:val="center"/>
            <w:hideMark/>
          </w:tcPr>
          <w:p w14:paraId="0CDD663C" w14:textId="77777777" w:rsidR="00002D76" w:rsidRPr="00336134" w:rsidRDefault="00002D76" w:rsidP="00D63204">
            <w:pPr>
              <w:spacing w:after="0" w:line="240" w:lineRule="auto"/>
              <w:rPr>
                <w:rFonts w:ascii="Calibri" w:hAnsi="Calibri"/>
                <w:color w:val="231F20"/>
                <w:sz w:val="16"/>
                <w:szCs w:val="16"/>
              </w:rPr>
            </w:pPr>
            <w:r w:rsidRPr="00336134">
              <w:rPr>
                <w:rFonts w:ascii="Calibri" w:hAnsi="Calibri"/>
                <w:color w:val="231F20"/>
                <w:sz w:val="16"/>
                <w:szCs w:val="16"/>
              </w:rPr>
              <w:t>2,450</w:t>
            </w:r>
          </w:p>
        </w:tc>
        <w:tc>
          <w:tcPr>
            <w:tcW w:w="0" w:type="auto"/>
            <w:tcBorders>
              <w:top w:val="nil"/>
              <w:left w:val="nil"/>
              <w:bottom w:val="single" w:sz="4" w:space="0" w:color="auto"/>
              <w:right w:val="single" w:sz="4" w:space="0" w:color="auto"/>
            </w:tcBorders>
            <w:shd w:val="clear" w:color="000000" w:fill="E6E7E8"/>
            <w:vAlign w:val="center"/>
            <w:hideMark/>
          </w:tcPr>
          <w:p w14:paraId="24A7B41C" w14:textId="77777777" w:rsidR="00002D76" w:rsidRPr="00336134" w:rsidRDefault="00002D76" w:rsidP="00D63204">
            <w:pPr>
              <w:spacing w:after="0" w:line="240" w:lineRule="auto"/>
              <w:rPr>
                <w:rFonts w:ascii="Calibri" w:hAnsi="Calibri"/>
                <w:color w:val="231F20"/>
                <w:sz w:val="16"/>
                <w:szCs w:val="16"/>
              </w:rPr>
            </w:pPr>
            <w:r w:rsidRPr="00336134">
              <w:rPr>
                <w:rFonts w:ascii="Calibri" w:hAnsi="Calibri"/>
                <w:color w:val="231F20"/>
                <w:sz w:val="16"/>
                <w:szCs w:val="16"/>
              </w:rPr>
              <w:t>17.4%</w:t>
            </w:r>
          </w:p>
        </w:tc>
      </w:tr>
      <w:tr w:rsidR="00002D76" w:rsidRPr="00336134" w14:paraId="50315F92" w14:textId="77777777" w:rsidTr="001429C7">
        <w:trPr>
          <w:trHeight w:val="45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9FEC720" w14:textId="77777777" w:rsidR="00002D76" w:rsidRPr="00336134" w:rsidRDefault="00002D76" w:rsidP="001429C7">
            <w:pPr>
              <w:spacing w:after="0" w:line="240" w:lineRule="auto"/>
              <w:rPr>
                <w:rFonts w:ascii="Calibri" w:hAnsi="Calibri"/>
                <w:color w:val="231F20"/>
                <w:sz w:val="16"/>
                <w:szCs w:val="16"/>
              </w:rPr>
            </w:pPr>
            <w:r w:rsidRPr="00336134">
              <w:rPr>
                <w:rFonts w:ascii="Calibri" w:hAnsi="Calibri"/>
                <w:color w:val="231F20"/>
                <w:sz w:val="16"/>
                <w:szCs w:val="16"/>
              </w:rPr>
              <w:t>541700</w:t>
            </w:r>
          </w:p>
        </w:tc>
        <w:tc>
          <w:tcPr>
            <w:tcW w:w="0" w:type="auto"/>
            <w:tcBorders>
              <w:top w:val="nil"/>
              <w:left w:val="nil"/>
              <w:bottom w:val="single" w:sz="4" w:space="0" w:color="auto"/>
              <w:right w:val="single" w:sz="4" w:space="0" w:color="auto"/>
            </w:tcBorders>
            <w:shd w:val="clear" w:color="auto" w:fill="auto"/>
            <w:vAlign w:val="center"/>
            <w:hideMark/>
          </w:tcPr>
          <w:p w14:paraId="1E29F9C2" w14:textId="77777777" w:rsidR="00002D76" w:rsidRPr="00336134" w:rsidRDefault="00002D76" w:rsidP="001429C7">
            <w:pPr>
              <w:spacing w:after="0" w:line="240" w:lineRule="auto"/>
              <w:rPr>
                <w:rFonts w:ascii="Calibri" w:hAnsi="Calibri"/>
                <w:color w:val="231F20"/>
                <w:sz w:val="16"/>
                <w:szCs w:val="16"/>
              </w:rPr>
            </w:pPr>
            <w:r w:rsidRPr="00336134">
              <w:rPr>
                <w:rFonts w:ascii="Calibri" w:hAnsi="Calibri"/>
                <w:color w:val="231F20"/>
                <w:sz w:val="16"/>
                <w:szCs w:val="16"/>
              </w:rPr>
              <w:t>Scientific Research and Development Services</w:t>
            </w:r>
          </w:p>
        </w:tc>
        <w:tc>
          <w:tcPr>
            <w:tcW w:w="0" w:type="auto"/>
            <w:tcBorders>
              <w:top w:val="nil"/>
              <w:left w:val="nil"/>
              <w:bottom w:val="single" w:sz="4" w:space="0" w:color="auto"/>
              <w:right w:val="single" w:sz="4" w:space="0" w:color="auto"/>
            </w:tcBorders>
            <w:shd w:val="clear" w:color="auto" w:fill="auto"/>
            <w:vAlign w:val="center"/>
            <w:hideMark/>
          </w:tcPr>
          <w:p w14:paraId="4B5F46DE" w14:textId="77777777" w:rsidR="00002D76" w:rsidRPr="00336134" w:rsidRDefault="00002D76" w:rsidP="00D63204">
            <w:pPr>
              <w:spacing w:after="0" w:line="240" w:lineRule="auto"/>
              <w:rPr>
                <w:rFonts w:ascii="Calibri" w:hAnsi="Calibri"/>
                <w:color w:val="231F20"/>
                <w:sz w:val="16"/>
                <w:szCs w:val="16"/>
              </w:rPr>
            </w:pPr>
            <w:r w:rsidRPr="00336134">
              <w:rPr>
                <w:rFonts w:ascii="Calibri" w:hAnsi="Calibri"/>
                <w:color w:val="231F20"/>
                <w:sz w:val="16"/>
                <w:szCs w:val="16"/>
              </w:rPr>
              <w:t>18,215</w:t>
            </w:r>
          </w:p>
        </w:tc>
        <w:tc>
          <w:tcPr>
            <w:tcW w:w="0" w:type="auto"/>
            <w:tcBorders>
              <w:top w:val="nil"/>
              <w:left w:val="nil"/>
              <w:bottom w:val="single" w:sz="4" w:space="0" w:color="auto"/>
              <w:right w:val="single" w:sz="4" w:space="0" w:color="auto"/>
            </w:tcBorders>
            <w:shd w:val="clear" w:color="auto" w:fill="auto"/>
            <w:vAlign w:val="center"/>
            <w:hideMark/>
          </w:tcPr>
          <w:p w14:paraId="212E7FC0" w14:textId="77777777" w:rsidR="00002D76" w:rsidRPr="00336134" w:rsidRDefault="00002D76" w:rsidP="00D63204">
            <w:pPr>
              <w:spacing w:after="0" w:line="240" w:lineRule="auto"/>
              <w:rPr>
                <w:rFonts w:ascii="Calibri" w:hAnsi="Calibri"/>
                <w:color w:val="231F20"/>
                <w:sz w:val="16"/>
                <w:szCs w:val="16"/>
              </w:rPr>
            </w:pPr>
            <w:r w:rsidRPr="00336134">
              <w:rPr>
                <w:rFonts w:ascii="Calibri" w:hAnsi="Calibri"/>
                <w:color w:val="231F20"/>
                <w:sz w:val="16"/>
                <w:szCs w:val="16"/>
              </w:rPr>
              <w:t>21,385</w:t>
            </w:r>
          </w:p>
        </w:tc>
        <w:tc>
          <w:tcPr>
            <w:tcW w:w="0" w:type="auto"/>
            <w:tcBorders>
              <w:top w:val="nil"/>
              <w:left w:val="nil"/>
              <w:bottom w:val="single" w:sz="4" w:space="0" w:color="auto"/>
              <w:right w:val="single" w:sz="4" w:space="0" w:color="auto"/>
            </w:tcBorders>
            <w:shd w:val="clear" w:color="auto" w:fill="auto"/>
            <w:vAlign w:val="center"/>
            <w:hideMark/>
          </w:tcPr>
          <w:p w14:paraId="0FE7BF12" w14:textId="77777777" w:rsidR="00002D76" w:rsidRPr="00336134" w:rsidRDefault="00002D76" w:rsidP="00D63204">
            <w:pPr>
              <w:spacing w:after="0" w:line="240" w:lineRule="auto"/>
              <w:rPr>
                <w:rFonts w:ascii="Calibri" w:hAnsi="Calibri"/>
                <w:color w:val="231F20"/>
                <w:sz w:val="16"/>
                <w:szCs w:val="16"/>
              </w:rPr>
            </w:pPr>
            <w:r w:rsidRPr="00336134">
              <w:rPr>
                <w:rFonts w:ascii="Calibri" w:hAnsi="Calibri"/>
                <w:color w:val="231F20"/>
                <w:sz w:val="16"/>
                <w:szCs w:val="16"/>
              </w:rPr>
              <w:t>3,170</w:t>
            </w:r>
          </w:p>
        </w:tc>
        <w:tc>
          <w:tcPr>
            <w:tcW w:w="0" w:type="auto"/>
            <w:tcBorders>
              <w:top w:val="nil"/>
              <w:left w:val="nil"/>
              <w:bottom w:val="single" w:sz="4" w:space="0" w:color="auto"/>
              <w:right w:val="single" w:sz="4" w:space="0" w:color="auto"/>
            </w:tcBorders>
            <w:shd w:val="clear" w:color="auto" w:fill="auto"/>
            <w:vAlign w:val="center"/>
            <w:hideMark/>
          </w:tcPr>
          <w:p w14:paraId="4899D29B" w14:textId="77777777" w:rsidR="00002D76" w:rsidRPr="00336134" w:rsidRDefault="00002D76" w:rsidP="00D63204">
            <w:pPr>
              <w:spacing w:after="0" w:line="240" w:lineRule="auto"/>
              <w:rPr>
                <w:rFonts w:ascii="Calibri" w:hAnsi="Calibri"/>
                <w:color w:val="231F20"/>
                <w:sz w:val="16"/>
                <w:szCs w:val="16"/>
              </w:rPr>
            </w:pPr>
            <w:r w:rsidRPr="00336134">
              <w:rPr>
                <w:rFonts w:ascii="Calibri" w:hAnsi="Calibri"/>
                <w:color w:val="231F20"/>
                <w:sz w:val="16"/>
                <w:szCs w:val="16"/>
              </w:rPr>
              <w:t>17.4%</w:t>
            </w:r>
          </w:p>
        </w:tc>
      </w:tr>
      <w:tr w:rsidR="00002D76" w:rsidRPr="00336134" w14:paraId="6534760F" w14:textId="77777777" w:rsidTr="001429C7">
        <w:trPr>
          <w:trHeight w:val="450"/>
        </w:trPr>
        <w:tc>
          <w:tcPr>
            <w:tcW w:w="0" w:type="auto"/>
            <w:tcBorders>
              <w:top w:val="nil"/>
              <w:left w:val="single" w:sz="4" w:space="0" w:color="auto"/>
              <w:bottom w:val="single" w:sz="4" w:space="0" w:color="auto"/>
              <w:right w:val="single" w:sz="4" w:space="0" w:color="auto"/>
            </w:tcBorders>
            <w:shd w:val="clear" w:color="000000" w:fill="E6E7E8"/>
            <w:vAlign w:val="center"/>
            <w:hideMark/>
          </w:tcPr>
          <w:p w14:paraId="112C4706" w14:textId="77777777" w:rsidR="00002D76" w:rsidRPr="00336134" w:rsidRDefault="00002D76" w:rsidP="001429C7">
            <w:pPr>
              <w:spacing w:after="0" w:line="240" w:lineRule="auto"/>
              <w:rPr>
                <w:rFonts w:ascii="Calibri" w:hAnsi="Calibri"/>
                <w:color w:val="231F20"/>
                <w:sz w:val="16"/>
                <w:szCs w:val="16"/>
              </w:rPr>
            </w:pPr>
            <w:r w:rsidRPr="00336134">
              <w:rPr>
                <w:rFonts w:ascii="Calibri" w:hAnsi="Calibri"/>
                <w:color w:val="231F20"/>
                <w:sz w:val="16"/>
                <w:szCs w:val="16"/>
              </w:rPr>
              <w:t>532400</w:t>
            </w:r>
          </w:p>
        </w:tc>
        <w:tc>
          <w:tcPr>
            <w:tcW w:w="0" w:type="auto"/>
            <w:tcBorders>
              <w:top w:val="nil"/>
              <w:left w:val="nil"/>
              <w:bottom w:val="single" w:sz="4" w:space="0" w:color="auto"/>
              <w:right w:val="single" w:sz="4" w:space="0" w:color="auto"/>
            </w:tcBorders>
            <w:shd w:val="clear" w:color="000000" w:fill="E6E7E8"/>
            <w:vAlign w:val="center"/>
            <w:hideMark/>
          </w:tcPr>
          <w:p w14:paraId="6AAD62A1" w14:textId="77777777" w:rsidR="00002D76" w:rsidRPr="00336134" w:rsidRDefault="00002D76" w:rsidP="001429C7">
            <w:pPr>
              <w:spacing w:after="0" w:line="240" w:lineRule="auto"/>
              <w:rPr>
                <w:rFonts w:ascii="Calibri" w:hAnsi="Calibri"/>
                <w:color w:val="231F20"/>
                <w:sz w:val="16"/>
                <w:szCs w:val="16"/>
              </w:rPr>
            </w:pPr>
            <w:r w:rsidRPr="00336134">
              <w:rPr>
                <w:rFonts w:ascii="Calibri" w:hAnsi="Calibri"/>
                <w:color w:val="231F20"/>
                <w:sz w:val="16"/>
                <w:szCs w:val="16"/>
              </w:rPr>
              <w:t>Commercial and Industrial Machinery and Equipment Rental and Leasing</w:t>
            </w:r>
          </w:p>
        </w:tc>
        <w:tc>
          <w:tcPr>
            <w:tcW w:w="0" w:type="auto"/>
            <w:tcBorders>
              <w:top w:val="nil"/>
              <w:left w:val="nil"/>
              <w:bottom w:val="single" w:sz="4" w:space="0" w:color="auto"/>
              <w:right w:val="single" w:sz="4" w:space="0" w:color="auto"/>
            </w:tcBorders>
            <w:shd w:val="clear" w:color="000000" w:fill="E6E7E8"/>
            <w:vAlign w:val="center"/>
            <w:hideMark/>
          </w:tcPr>
          <w:p w14:paraId="18ADB633" w14:textId="77777777" w:rsidR="00002D76" w:rsidRPr="00336134" w:rsidRDefault="00002D76" w:rsidP="00D63204">
            <w:pPr>
              <w:spacing w:after="0" w:line="240" w:lineRule="auto"/>
              <w:rPr>
                <w:rFonts w:ascii="Calibri" w:hAnsi="Calibri"/>
                <w:color w:val="231F20"/>
                <w:sz w:val="16"/>
                <w:szCs w:val="16"/>
              </w:rPr>
            </w:pPr>
            <w:r w:rsidRPr="00336134">
              <w:rPr>
                <w:rFonts w:ascii="Calibri" w:hAnsi="Calibri"/>
                <w:color w:val="231F20"/>
                <w:sz w:val="16"/>
                <w:szCs w:val="16"/>
              </w:rPr>
              <w:t>9,635</w:t>
            </w:r>
          </w:p>
        </w:tc>
        <w:tc>
          <w:tcPr>
            <w:tcW w:w="0" w:type="auto"/>
            <w:tcBorders>
              <w:top w:val="nil"/>
              <w:left w:val="nil"/>
              <w:bottom w:val="single" w:sz="4" w:space="0" w:color="auto"/>
              <w:right w:val="single" w:sz="4" w:space="0" w:color="auto"/>
            </w:tcBorders>
            <w:shd w:val="clear" w:color="000000" w:fill="E6E7E8"/>
            <w:vAlign w:val="center"/>
            <w:hideMark/>
          </w:tcPr>
          <w:p w14:paraId="5B3371BB" w14:textId="77777777" w:rsidR="00002D76" w:rsidRPr="00336134" w:rsidRDefault="00002D76" w:rsidP="00D63204">
            <w:pPr>
              <w:spacing w:after="0" w:line="240" w:lineRule="auto"/>
              <w:rPr>
                <w:rFonts w:ascii="Calibri" w:hAnsi="Calibri"/>
                <w:color w:val="231F20"/>
                <w:sz w:val="16"/>
                <w:szCs w:val="16"/>
              </w:rPr>
            </w:pPr>
            <w:r w:rsidRPr="00336134">
              <w:rPr>
                <w:rFonts w:ascii="Calibri" w:hAnsi="Calibri"/>
                <w:color w:val="231F20"/>
                <w:sz w:val="16"/>
                <w:szCs w:val="16"/>
              </w:rPr>
              <w:t>11,272</w:t>
            </w:r>
          </w:p>
        </w:tc>
        <w:tc>
          <w:tcPr>
            <w:tcW w:w="0" w:type="auto"/>
            <w:tcBorders>
              <w:top w:val="nil"/>
              <w:left w:val="nil"/>
              <w:bottom w:val="single" w:sz="4" w:space="0" w:color="auto"/>
              <w:right w:val="single" w:sz="4" w:space="0" w:color="auto"/>
            </w:tcBorders>
            <w:shd w:val="clear" w:color="000000" w:fill="E6E7E8"/>
            <w:vAlign w:val="center"/>
            <w:hideMark/>
          </w:tcPr>
          <w:p w14:paraId="5F9EFD68" w14:textId="77777777" w:rsidR="00002D76" w:rsidRPr="00336134" w:rsidRDefault="00002D76" w:rsidP="00D63204">
            <w:pPr>
              <w:spacing w:after="0" w:line="240" w:lineRule="auto"/>
              <w:rPr>
                <w:rFonts w:ascii="Calibri" w:hAnsi="Calibri"/>
                <w:color w:val="231F20"/>
                <w:sz w:val="16"/>
                <w:szCs w:val="16"/>
              </w:rPr>
            </w:pPr>
            <w:r w:rsidRPr="00336134">
              <w:rPr>
                <w:rFonts w:ascii="Calibri" w:hAnsi="Calibri"/>
                <w:color w:val="231F20"/>
                <w:sz w:val="16"/>
                <w:szCs w:val="16"/>
              </w:rPr>
              <w:t>1,637</w:t>
            </w:r>
          </w:p>
        </w:tc>
        <w:tc>
          <w:tcPr>
            <w:tcW w:w="0" w:type="auto"/>
            <w:tcBorders>
              <w:top w:val="nil"/>
              <w:left w:val="nil"/>
              <w:bottom w:val="single" w:sz="4" w:space="0" w:color="auto"/>
              <w:right w:val="single" w:sz="4" w:space="0" w:color="auto"/>
            </w:tcBorders>
            <w:shd w:val="clear" w:color="000000" w:fill="E6E7E8"/>
            <w:vAlign w:val="center"/>
            <w:hideMark/>
          </w:tcPr>
          <w:p w14:paraId="716C5CE3" w14:textId="77777777" w:rsidR="00002D76" w:rsidRPr="00336134" w:rsidRDefault="00002D76" w:rsidP="00D63204">
            <w:pPr>
              <w:spacing w:after="0" w:line="240" w:lineRule="auto"/>
              <w:rPr>
                <w:rFonts w:ascii="Calibri" w:hAnsi="Calibri"/>
                <w:color w:val="231F20"/>
                <w:sz w:val="16"/>
                <w:szCs w:val="16"/>
              </w:rPr>
            </w:pPr>
            <w:r w:rsidRPr="00336134">
              <w:rPr>
                <w:rFonts w:ascii="Calibri" w:hAnsi="Calibri"/>
                <w:color w:val="231F20"/>
                <w:sz w:val="16"/>
                <w:szCs w:val="16"/>
              </w:rPr>
              <w:t>17.0%</w:t>
            </w:r>
          </w:p>
        </w:tc>
      </w:tr>
      <w:tr w:rsidR="00002D76" w:rsidRPr="00336134" w14:paraId="294BE355" w14:textId="77777777" w:rsidTr="001429C7">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8A2188F" w14:textId="77777777" w:rsidR="00002D76" w:rsidRPr="00336134" w:rsidRDefault="00002D76" w:rsidP="001429C7">
            <w:pPr>
              <w:spacing w:after="0" w:line="240" w:lineRule="auto"/>
              <w:rPr>
                <w:rFonts w:ascii="Calibri" w:hAnsi="Calibri"/>
                <w:color w:val="231F20"/>
                <w:sz w:val="16"/>
                <w:szCs w:val="16"/>
              </w:rPr>
            </w:pPr>
            <w:r w:rsidRPr="00336134">
              <w:rPr>
                <w:rFonts w:ascii="Calibri" w:hAnsi="Calibri"/>
                <w:color w:val="231F20"/>
                <w:sz w:val="16"/>
                <w:szCs w:val="16"/>
              </w:rPr>
              <w:t>517400</w:t>
            </w:r>
          </w:p>
        </w:tc>
        <w:tc>
          <w:tcPr>
            <w:tcW w:w="0" w:type="auto"/>
            <w:tcBorders>
              <w:top w:val="nil"/>
              <w:left w:val="nil"/>
              <w:bottom w:val="single" w:sz="4" w:space="0" w:color="auto"/>
              <w:right w:val="single" w:sz="4" w:space="0" w:color="auto"/>
            </w:tcBorders>
            <w:shd w:val="clear" w:color="auto" w:fill="auto"/>
            <w:vAlign w:val="center"/>
            <w:hideMark/>
          </w:tcPr>
          <w:p w14:paraId="6D94EA22" w14:textId="77777777" w:rsidR="00002D76" w:rsidRPr="00336134" w:rsidRDefault="00002D76" w:rsidP="001429C7">
            <w:pPr>
              <w:spacing w:after="0" w:line="240" w:lineRule="auto"/>
              <w:rPr>
                <w:rFonts w:ascii="Calibri" w:hAnsi="Calibri"/>
                <w:color w:val="231F20"/>
                <w:sz w:val="16"/>
                <w:szCs w:val="16"/>
              </w:rPr>
            </w:pPr>
            <w:r w:rsidRPr="00336134">
              <w:rPr>
                <w:rFonts w:ascii="Calibri" w:hAnsi="Calibri"/>
                <w:color w:val="231F20"/>
                <w:sz w:val="16"/>
                <w:szCs w:val="16"/>
              </w:rPr>
              <w:t>Satellite Telecommunications</w:t>
            </w:r>
          </w:p>
        </w:tc>
        <w:tc>
          <w:tcPr>
            <w:tcW w:w="0" w:type="auto"/>
            <w:tcBorders>
              <w:top w:val="nil"/>
              <w:left w:val="nil"/>
              <w:bottom w:val="single" w:sz="4" w:space="0" w:color="auto"/>
              <w:right w:val="single" w:sz="4" w:space="0" w:color="auto"/>
            </w:tcBorders>
            <w:shd w:val="clear" w:color="auto" w:fill="auto"/>
            <w:vAlign w:val="center"/>
            <w:hideMark/>
          </w:tcPr>
          <w:p w14:paraId="04E6FF6F" w14:textId="77777777" w:rsidR="00002D76" w:rsidRPr="00336134" w:rsidRDefault="00002D76" w:rsidP="00D63204">
            <w:pPr>
              <w:spacing w:after="0" w:line="240" w:lineRule="auto"/>
              <w:rPr>
                <w:rFonts w:ascii="Calibri" w:hAnsi="Calibri"/>
                <w:color w:val="231F20"/>
                <w:sz w:val="16"/>
                <w:szCs w:val="16"/>
              </w:rPr>
            </w:pPr>
            <w:r w:rsidRPr="00336134">
              <w:rPr>
                <w:rFonts w:ascii="Calibri" w:hAnsi="Calibri"/>
                <w:color w:val="231F20"/>
                <w:sz w:val="16"/>
                <w:szCs w:val="16"/>
              </w:rPr>
              <w:t>643</w:t>
            </w:r>
          </w:p>
        </w:tc>
        <w:tc>
          <w:tcPr>
            <w:tcW w:w="0" w:type="auto"/>
            <w:tcBorders>
              <w:top w:val="nil"/>
              <w:left w:val="nil"/>
              <w:bottom w:val="single" w:sz="4" w:space="0" w:color="auto"/>
              <w:right w:val="single" w:sz="4" w:space="0" w:color="auto"/>
            </w:tcBorders>
            <w:shd w:val="clear" w:color="auto" w:fill="auto"/>
            <w:vAlign w:val="center"/>
            <w:hideMark/>
          </w:tcPr>
          <w:p w14:paraId="2CE1FA26" w14:textId="77777777" w:rsidR="00002D76" w:rsidRPr="00336134" w:rsidRDefault="00002D76" w:rsidP="00D63204">
            <w:pPr>
              <w:spacing w:after="0" w:line="240" w:lineRule="auto"/>
              <w:rPr>
                <w:rFonts w:ascii="Calibri" w:hAnsi="Calibri"/>
                <w:color w:val="231F20"/>
                <w:sz w:val="16"/>
                <w:szCs w:val="16"/>
              </w:rPr>
            </w:pPr>
            <w:r w:rsidRPr="00336134">
              <w:rPr>
                <w:rFonts w:ascii="Calibri" w:hAnsi="Calibri"/>
                <w:color w:val="231F20"/>
                <w:sz w:val="16"/>
                <w:szCs w:val="16"/>
              </w:rPr>
              <w:t>752</w:t>
            </w:r>
          </w:p>
        </w:tc>
        <w:tc>
          <w:tcPr>
            <w:tcW w:w="0" w:type="auto"/>
            <w:tcBorders>
              <w:top w:val="nil"/>
              <w:left w:val="nil"/>
              <w:bottom w:val="single" w:sz="4" w:space="0" w:color="auto"/>
              <w:right w:val="single" w:sz="4" w:space="0" w:color="auto"/>
            </w:tcBorders>
            <w:shd w:val="clear" w:color="auto" w:fill="auto"/>
            <w:vAlign w:val="center"/>
            <w:hideMark/>
          </w:tcPr>
          <w:p w14:paraId="74465FD0" w14:textId="77777777" w:rsidR="00002D76" w:rsidRPr="00336134" w:rsidRDefault="00002D76" w:rsidP="00D63204">
            <w:pPr>
              <w:spacing w:after="0" w:line="240" w:lineRule="auto"/>
              <w:rPr>
                <w:rFonts w:ascii="Calibri" w:hAnsi="Calibri"/>
                <w:color w:val="231F20"/>
                <w:sz w:val="16"/>
                <w:szCs w:val="16"/>
              </w:rPr>
            </w:pPr>
            <w:r w:rsidRPr="00336134">
              <w:rPr>
                <w:rFonts w:ascii="Calibri" w:hAnsi="Calibri"/>
                <w:color w:val="231F20"/>
                <w:sz w:val="16"/>
                <w:szCs w:val="16"/>
              </w:rPr>
              <w:t>109</w:t>
            </w:r>
          </w:p>
        </w:tc>
        <w:tc>
          <w:tcPr>
            <w:tcW w:w="0" w:type="auto"/>
            <w:tcBorders>
              <w:top w:val="nil"/>
              <w:left w:val="nil"/>
              <w:bottom w:val="single" w:sz="4" w:space="0" w:color="auto"/>
              <w:right w:val="single" w:sz="4" w:space="0" w:color="auto"/>
            </w:tcBorders>
            <w:shd w:val="clear" w:color="auto" w:fill="auto"/>
            <w:vAlign w:val="center"/>
            <w:hideMark/>
          </w:tcPr>
          <w:p w14:paraId="4AD6B0DD" w14:textId="77777777" w:rsidR="00002D76" w:rsidRPr="00336134" w:rsidRDefault="00002D76" w:rsidP="00D63204">
            <w:pPr>
              <w:spacing w:after="0" w:line="240" w:lineRule="auto"/>
              <w:rPr>
                <w:rFonts w:ascii="Calibri" w:hAnsi="Calibri"/>
                <w:color w:val="231F20"/>
                <w:sz w:val="16"/>
                <w:szCs w:val="16"/>
              </w:rPr>
            </w:pPr>
            <w:r w:rsidRPr="00336134">
              <w:rPr>
                <w:rFonts w:ascii="Calibri" w:hAnsi="Calibri"/>
                <w:color w:val="231F20"/>
                <w:sz w:val="16"/>
                <w:szCs w:val="16"/>
              </w:rPr>
              <w:t>17.0%</w:t>
            </w:r>
          </w:p>
        </w:tc>
      </w:tr>
      <w:tr w:rsidR="00002D76" w:rsidRPr="00336134" w14:paraId="042746D9" w14:textId="77777777" w:rsidTr="001429C7">
        <w:trPr>
          <w:trHeight w:val="450"/>
        </w:trPr>
        <w:tc>
          <w:tcPr>
            <w:tcW w:w="0" w:type="auto"/>
            <w:tcBorders>
              <w:top w:val="nil"/>
              <w:left w:val="single" w:sz="4" w:space="0" w:color="auto"/>
              <w:bottom w:val="single" w:sz="4" w:space="0" w:color="auto"/>
              <w:right w:val="single" w:sz="4" w:space="0" w:color="auto"/>
            </w:tcBorders>
            <w:shd w:val="clear" w:color="000000" w:fill="E6E7E8"/>
            <w:vAlign w:val="center"/>
            <w:hideMark/>
          </w:tcPr>
          <w:p w14:paraId="5F5CED92" w14:textId="77777777" w:rsidR="00002D76" w:rsidRPr="00336134" w:rsidRDefault="00002D76" w:rsidP="001429C7">
            <w:pPr>
              <w:spacing w:after="0" w:line="240" w:lineRule="auto"/>
              <w:rPr>
                <w:rFonts w:ascii="Calibri" w:hAnsi="Calibri"/>
                <w:color w:val="231F20"/>
                <w:sz w:val="16"/>
                <w:szCs w:val="16"/>
              </w:rPr>
            </w:pPr>
            <w:r w:rsidRPr="00336134">
              <w:rPr>
                <w:rFonts w:ascii="Calibri" w:hAnsi="Calibri"/>
                <w:color w:val="231F20"/>
                <w:sz w:val="16"/>
                <w:szCs w:val="16"/>
              </w:rPr>
              <w:t>327300</w:t>
            </w:r>
          </w:p>
        </w:tc>
        <w:tc>
          <w:tcPr>
            <w:tcW w:w="0" w:type="auto"/>
            <w:tcBorders>
              <w:top w:val="nil"/>
              <w:left w:val="nil"/>
              <w:bottom w:val="single" w:sz="4" w:space="0" w:color="auto"/>
              <w:right w:val="single" w:sz="4" w:space="0" w:color="auto"/>
            </w:tcBorders>
            <w:shd w:val="clear" w:color="000000" w:fill="E6E7E8"/>
            <w:vAlign w:val="center"/>
            <w:hideMark/>
          </w:tcPr>
          <w:p w14:paraId="0B12F500" w14:textId="77777777" w:rsidR="00002D76" w:rsidRPr="00336134" w:rsidRDefault="00002D76" w:rsidP="001429C7">
            <w:pPr>
              <w:spacing w:after="0" w:line="240" w:lineRule="auto"/>
              <w:rPr>
                <w:rFonts w:ascii="Calibri" w:hAnsi="Calibri"/>
                <w:color w:val="231F20"/>
                <w:sz w:val="16"/>
                <w:szCs w:val="16"/>
              </w:rPr>
            </w:pPr>
            <w:r w:rsidRPr="00336134">
              <w:rPr>
                <w:rFonts w:ascii="Calibri" w:hAnsi="Calibri"/>
                <w:color w:val="231F20"/>
                <w:sz w:val="16"/>
                <w:szCs w:val="16"/>
              </w:rPr>
              <w:t>Cement and Concrete Product Manufacturing</w:t>
            </w:r>
          </w:p>
        </w:tc>
        <w:tc>
          <w:tcPr>
            <w:tcW w:w="0" w:type="auto"/>
            <w:tcBorders>
              <w:top w:val="nil"/>
              <w:left w:val="nil"/>
              <w:bottom w:val="single" w:sz="4" w:space="0" w:color="auto"/>
              <w:right w:val="single" w:sz="4" w:space="0" w:color="auto"/>
            </w:tcBorders>
            <w:shd w:val="clear" w:color="000000" w:fill="E6E7E8"/>
            <w:vAlign w:val="center"/>
            <w:hideMark/>
          </w:tcPr>
          <w:p w14:paraId="714DB73F" w14:textId="77777777" w:rsidR="00002D76" w:rsidRPr="00336134" w:rsidRDefault="00002D76" w:rsidP="00D63204">
            <w:pPr>
              <w:spacing w:after="0" w:line="240" w:lineRule="auto"/>
              <w:rPr>
                <w:rFonts w:ascii="Calibri" w:hAnsi="Calibri"/>
                <w:color w:val="231F20"/>
                <w:sz w:val="16"/>
                <w:szCs w:val="16"/>
              </w:rPr>
            </w:pPr>
            <w:r w:rsidRPr="00336134">
              <w:rPr>
                <w:rFonts w:ascii="Calibri" w:hAnsi="Calibri"/>
                <w:color w:val="231F20"/>
                <w:sz w:val="16"/>
                <w:szCs w:val="16"/>
              </w:rPr>
              <w:t>15,065</w:t>
            </w:r>
          </w:p>
        </w:tc>
        <w:tc>
          <w:tcPr>
            <w:tcW w:w="0" w:type="auto"/>
            <w:tcBorders>
              <w:top w:val="nil"/>
              <w:left w:val="nil"/>
              <w:bottom w:val="single" w:sz="4" w:space="0" w:color="auto"/>
              <w:right w:val="single" w:sz="4" w:space="0" w:color="auto"/>
            </w:tcBorders>
            <w:shd w:val="clear" w:color="000000" w:fill="E6E7E8"/>
            <w:vAlign w:val="center"/>
            <w:hideMark/>
          </w:tcPr>
          <w:p w14:paraId="4D7BD935" w14:textId="77777777" w:rsidR="00002D76" w:rsidRPr="00336134" w:rsidRDefault="00002D76" w:rsidP="00D63204">
            <w:pPr>
              <w:spacing w:after="0" w:line="240" w:lineRule="auto"/>
              <w:rPr>
                <w:rFonts w:ascii="Calibri" w:hAnsi="Calibri"/>
                <w:color w:val="231F20"/>
                <w:sz w:val="16"/>
                <w:szCs w:val="16"/>
              </w:rPr>
            </w:pPr>
            <w:r w:rsidRPr="00336134">
              <w:rPr>
                <w:rFonts w:ascii="Calibri" w:hAnsi="Calibri"/>
                <w:color w:val="231F20"/>
                <w:sz w:val="16"/>
                <w:szCs w:val="16"/>
              </w:rPr>
              <w:t>17,618</w:t>
            </w:r>
          </w:p>
        </w:tc>
        <w:tc>
          <w:tcPr>
            <w:tcW w:w="0" w:type="auto"/>
            <w:tcBorders>
              <w:top w:val="nil"/>
              <w:left w:val="nil"/>
              <w:bottom w:val="single" w:sz="4" w:space="0" w:color="auto"/>
              <w:right w:val="single" w:sz="4" w:space="0" w:color="auto"/>
            </w:tcBorders>
            <w:shd w:val="clear" w:color="000000" w:fill="E6E7E8"/>
            <w:vAlign w:val="center"/>
            <w:hideMark/>
          </w:tcPr>
          <w:p w14:paraId="2348A0B2" w14:textId="77777777" w:rsidR="00002D76" w:rsidRPr="00336134" w:rsidRDefault="00002D76" w:rsidP="00D63204">
            <w:pPr>
              <w:spacing w:after="0" w:line="240" w:lineRule="auto"/>
              <w:rPr>
                <w:rFonts w:ascii="Calibri" w:hAnsi="Calibri"/>
                <w:color w:val="231F20"/>
                <w:sz w:val="16"/>
                <w:szCs w:val="16"/>
              </w:rPr>
            </w:pPr>
            <w:r w:rsidRPr="00336134">
              <w:rPr>
                <w:rFonts w:ascii="Calibri" w:hAnsi="Calibri"/>
                <w:color w:val="231F20"/>
                <w:sz w:val="16"/>
                <w:szCs w:val="16"/>
              </w:rPr>
              <w:t>2,553</w:t>
            </w:r>
          </w:p>
        </w:tc>
        <w:tc>
          <w:tcPr>
            <w:tcW w:w="0" w:type="auto"/>
            <w:tcBorders>
              <w:top w:val="nil"/>
              <w:left w:val="nil"/>
              <w:bottom w:val="single" w:sz="4" w:space="0" w:color="auto"/>
              <w:right w:val="single" w:sz="4" w:space="0" w:color="auto"/>
            </w:tcBorders>
            <w:shd w:val="clear" w:color="000000" w:fill="E6E7E8"/>
            <w:vAlign w:val="center"/>
            <w:hideMark/>
          </w:tcPr>
          <w:p w14:paraId="3449895B" w14:textId="77777777" w:rsidR="00002D76" w:rsidRPr="00336134" w:rsidRDefault="00002D76" w:rsidP="00D63204">
            <w:pPr>
              <w:spacing w:after="0" w:line="240" w:lineRule="auto"/>
              <w:rPr>
                <w:rFonts w:ascii="Calibri" w:hAnsi="Calibri"/>
                <w:color w:val="231F20"/>
                <w:sz w:val="16"/>
                <w:szCs w:val="16"/>
              </w:rPr>
            </w:pPr>
            <w:r w:rsidRPr="00336134">
              <w:rPr>
                <w:rFonts w:ascii="Calibri" w:hAnsi="Calibri"/>
                <w:color w:val="231F20"/>
                <w:sz w:val="16"/>
                <w:szCs w:val="16"/>
              </w:rPr>
              <w:t>16.9%</w:t>
            </w:r>
          </w:p>
        </w:tc>
      </w:tr>
      <w:tr w:rsidR="00002D76" w:rsidRPr="00336134" w14:paraId="7829FB90" w14:textId="77777777" w:rsidTr="001429C7">
        <w:trPr>
          <w:trHeight w:val="45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1D59DB0" w14:textId="77777777" w:rsidR="00002D76" w:rsidRPr="00336134" w:rsidRDefault="00002D76" w:rsidP="001429C7">
            <w:pPr>
              <w:spacing w:after="0" w:line="240" w:lineRule="auto"/>
              <w:rPr>
                <w:rFonts w:ascii="Calibri" w:hAnsi="Calibri"/>
                <w:color w:val="231F20"/>
                <w:sz w:val="16"/>
                <w:szCs w:val="16"/>
              </w:rPr>
            </w:pPr>
            <w:r w:rsidRPr="00336134">
              <w:rPr>
                <w:rFonts w:ascii="Calibri" w:hAnsi="Calibri"/>
                <w:color w:val="231F20"/>
                <w:sz w:val="16"/>
                <w:szCs w:val="16"/>
              </w:rPr>
              <w:t>423300</w:t>
            </w:r>
          </w:p>
        </w:tc>
        <w:tc>
          <w:tcPr>
            <w:tcW w:w="0" w:type="auto"/>
            <w:tcBorders>
              <w:top w:val="nil"/>
              <w:left w:val="nil"/>
              <w:bottom w:val="single" w:sz="4" w:space="0" w:color="auto"/>
              <w:right w:val="single" w:sz="4" w:space="0" w:color="auto"/>
            </w:tcBorders>
            <w:shd w:val="clear" w:color="auto" w:fill="auto"/>
            <w:vAlign w:val="center"/>
            <w:hideMark/>
          </w:tcPr>
          <w:p w14:paraId="2B0F653F" w14:textId="77777777" w:rsidR="00002D76" w:rsidRPr="00336134" w:rsidRDefault="00002D76" w:rsidP="001429C7">
            <w:pPr>
              <w:spacing w:after="0" w:line="240" w:lineRule="auto"/>
              <w:rPr>
                <w:rFonts w:ascii="Calibri" w:hAnsi="Calibri"/>
                <w:color w:val="231F20"/>
                <w:sz w:val="16"/>
                <w:szCs w:val="16"/>
              </w:rPr>
            </w:pPr>
            <w:r w:rsidRPr="00336134">
              <w:rPr>
                <w:rFonts w:ascii="Calibri" w:hAnsi="Calibri"/>
                <w:color w:val="231F20"/>
                <w:sz w:val="16"/>
                <w:szCs w:val="16"/>
              </w:rPr>
              <w:t>Lumber and Other Construction Materials Merchant Wholesalers</w:t>
            </w:r>
          </w:p>
        </w:tc>
        <w:tc>
          <w:tcPr>
            <w:tcW w:w="0" w:type="auto"/>
            <w:tcBorders>
              <w:top w:val="nil"/>
              <w:left w:val="nil"/>
              <w:bottom w:val="single" w:sz="4" w:space="0" w:color="auto"/>
              <w:right w:val="single" w:sz="4" w:space="0" w:color="auto"/>
            </w:tcBorders>
            <w:shd w:val="clear" w:color="auto" w:fill="auto"/>
            <w:vAlign w:val="center"/>
            <w:hideMark/>
          </w:tcPr>
          <w:p w14:paraId="08ABE28E" w14:textId="77777777" w:rsidR="00002D76" w:rsidRPr="00336134" w:rsidRDefault="00002D76" w:rsidP="00D63204">
            <w:pPr>
              <w:spacing w:after="0" w:line="240" w:lineRule="auto"/>
              <w:rPr>
                <w:rFonts w:ascii="Calibri" w:hAnsi="Calibri"/>
                <w:color w:val="231F20"/>
                <w:sz w:val="16"/>
                <w:szCs w:val="16"/>
              </w:rPr>
            </w:pPr>
            <w:r w:rsidRPr="00336134">
              <w:rPr>
                <w:rFonts w:ascii="Calibri" w:hAnsi="Calibri"/>
                <w:color w:val="231F20"/>
                <w:sz w:val="16"/>
                <w:szCs w:val="16"/>
              </w:rPr>
              <w:t>15,003</w:t>
            </w:r>
          </w:p>
        </w:tc>
        <w:tc>
          <w:tcPr>
            <w:tcW w:w="0" w:type="auto"/>
            <w:tcBorders>
              <w:top w:val="nil"/>
              <w:left w:val="nil"/>
              <w:bottom w:val="single" w:sz="4" w:space="0" w:color="auto"/>
              <w:right w:val="single" w:sz="4" w:space="0" w:color="auto"/>
            </w:tcBorders>
            <w:shd w:val="clear" w:color="auto" w:fill="auto"/>
            <w:vAlign w:val="center"/>
            <w:hideMark/>
          </w:tcPr>
          <w:p w14:paraId="451F0BB2" w14:textId="77777777" w:rsidR="00002D76" w:rsidRPr="00336134" w:rsidRDefault="00002D76" w:rsidP="00D63204">
            <w:pPr>
              <w:spacing w:after="0" w:line="240" w:lineRule="auto"/>
              <w:rPr>
                <w:rFonts w:ascii="Calibri" w:hAnsi="Calibri"/>
                <w:color w:val="231F20"/>
                <w:sz w:val="16"/>
                <w:szCs w:val="16"/>
              </w:rPr>
            </w:pPr>
            <w:r w:rsidRPr="00336134">
              <w:rPr>
                <w:rFonts w:ascii="Calibri" w:hAnsi="Calibri"/>
                <w:color w:val="231F20"/>
                <w:sz w:val="16"/>
                <w:szCs w:val="16"/>
              </w:rPr>
              <w:t>17,528</w:t>
            </w:r>
          </w:p>
        </w:tc>
        <w:tc>
          <w:tcPr>
            <w:tcW w:w="0" w:type="auto"/>
            <w:tcBorders>
              <w:top w:val="nil"/>
              <w:left w:val="nil"/>
              <w:bottom w:val="single" w:sz="4" w:space="0" w:color="auto"/>
              <w:right w:val="single" w:sz="4" w:space="0" w:color="auto"/>
            </w:tcBorders>
            <w:shd w:val="clear" w:color="auto" w:fill="auto"/>
            <w:vAlign w:val="center"/>
            <w:hideMark/>
          </w:tcPr>
          <w:p w14:paraId="531088A6" w14:textId="77777777" w:rsidR="00002D76" w:rsidRPr="00336134" w:rsidRDefault="00002D76" w:rsidP="00D63204">
            <w:pPr>
              <w:spacing w:after="0" w:line="240" w:lineRule="auto"/>
              <w:rPr>
                <w:rFonts w:ascii="Calibri" w:hAnsi="Calibri"/>
                <w:color w:val="231F20"/>
                <w:sz w:val="16"/>
                <w:szCs w:val="16"/>
              </w:rPr>
            </w:pPr>
            <w:r w:rsidRPr="00336134">
              <w:rPr>
                <w:rFonts w:ascii="Calibri" w:hAnsi="Calibri"/>
                <w:color w:val="231F20"/>
                <w:sz w:val="16"/>
                <w:szCs w:val="16"/>
              </w:rPr>
              <w:t>2,525</w:t>
            </w:r>
          </w:p>
        </w:tc>
        <w:tc>
          <w:tcPr>
            <w:tcW w:w="0" w:type="auto"/>
            <w:tcBorders>
              <w:top w:val="nil"/>
              <w:left w:val="nil"/>
              <w:bottom w:val="single" w:sz="4" w:space="0" w:color="auto"/>
              <w:right w:val="single" w:sz="4" w:space="0" w:color="auto"/>
            </w:tcBorders>
            <w:shd w:val="clear" w:color="auto" w:fill="auto"/>
            <w:vAlign w:val="center"/>
            <w:hideMark/>
          </w:tcPr>
          <w:p w14:paraId="3C57321B" w14:textId="77777777" w:rsidR="00002D76" w:rsidRPr="00336134" w:rsidRDefault="00002D76" w:rsidP="00D63204">
            <w:pPr>
              <w:spacing w:after="0" w:line="240" w:lineRule="auto"/>
              <w:rPr>
                <w:rFonts w:ascii="Calibri" w:hAnsi="Calibri"/>
                <w:color w:val="231F20"/>
                <w:sz w:val="16"/>
                <w:szCs w:val="16"/>
              </w:rPr>
            </w:pPr>
            <w:r w:rsidRPr="00336134">
              <w:rPr>
                <w:rFonts w:ascii="Calibri" w:hAnsi="Calibri"/>
                <w:color w:val="231F20"/>
                <w:sz w:val="16"/>
                <w:szCs w:val="16"/>
              </w:rPr>
              <w:t>16.8%</w:t>
            </w:r>
          </w:p>
        </w:tc>
      </w:tr>
      <w:tr w:rsidR="00002D76" w:rsidRPr="00336134" w14:paraId="1C3EE5C3" w14:textId="77777777" w:rsidTr="001429C7">
        <w:trPr>
          <w:trHeight w:val="300"/>
        </w:trPr>
        <w:tc>
          <w:tcPr>
            <w:tcW w:w="0" w:type="auto"/>
            <w:tcBorders>
              <w:top w:val="nil"/>
              <w:left w:val="single" w:sz="4" w:space="0" w:color="auto"/>
              <w:bottom w:val="single" w:sz="4" w:space="0" w:color="auto"/>
              <w:right w:val="single" w:sz="4" w:space="0" w:color="auto"/>
            </w:tcBorders>
            <w:shd w:val="clear" w:color="000000" w:fill="E6E7E8"/>
            <w:vAlign w:val="center"/>
            <w:hideMark/>
          </w:tcPr>
          <w:p w14:paraId="7DA4C7A2" w14:textId="77777777" w:rsidR="00002D76" w:rsidRPr="00336134" w:rsidRDefault="00002D76" w:rsidP="001429C7">
            <w:pPr>
              <w:spacing w:after="0" w:line="240" w:lineRule="auto"/>
              <w:rPr>
                <w:rFonts w:ascii="Calibri" w:hAnsi="Calibri"/>
                <w:color w:val="231F20"/>
                <w:sz w:val="16"/>
                <w:szCs w:val="16"/>
              </w:rPr>
            </w:pPr>
            <w:r w:rsidRPr="00336134">
              <w:rPr>
                <w:rFonts w:ascii="Calibri" w:hAnsi="Calibri"/>
                <w:color w:val="231F20"/>
                <w:sz w:val="16"/>
                <w:szCs w:val="16"/>
              </w:rPr>
              <w:t>519100</w:t>
            </w:r>
          </w:p>
        </w:tc>
        <w:tc>
          <w:tcPr>
            <w:tcW w:w="0" w:type="auto"/>
            <w:tcBorders>
              <w:top w:val="nil"/>
              <w:left w:val="nil"/>
              <w:bottom w:val="single" w:sz="4" w:space="0" w:color="auto"/>
              <w:right w:val="single" w:sz="4" w:space="0" w:color="auto"/>
            </w:tcBorders>
            <w:shd w:val="clear" w:color="000000" w:fill="E6E7E8"/>
            <w:vAlign w:val="center"/>
            <w:hideMark/>
          </w:tcPr>
          <w:p w14:paraId="358B89AA" w14:textId="77777777" w:rsidR="00002D76" w:rsidRPr="00336134" w:rsidRDefault="00002D76" w:rsidP="001429C7">
            <w:pPr>
              <w:spacing w:after="0" w:line="240" w:lineRule="auto"/>
              <w:rPr>
                <w:rFonts w:ascii="Calibri" w:hAnsi="Calibri"/>
                <w:color w:val="231F20"/>
                <w:sz w:val="16"/>
                <w:szCs w:val="16"/>
              </w:rPr>
            </w:pPr>
            <w:r w:rsidRPr="00336134">
              <w:rPr>
                <w:rFonts w:ascii="Calibri" w:hAnsi="Calibri"/>
                <w:color w:val="231F20"/>
                <w:sz w:val="16"/>
                <w:szCs w:val="16"/>
              </w:rPr>
              <w:t>Other Information Services</w:t>
            </w:r>
          </w:p>
        </w:tc>
        <w:tc>
          <w:tcPr>
            <w:tcW w:w="0" w:type="auto"/>
            <w:tcBorders>
              <w:top w:val="nil"/>
              <w:left w:val="nil"/>
              <w:bottom w:val="single" w:sz="4" w:space="0" w:color="auto"/>
              <w:right w:val="single" w:sz="4" w:space="0" w:color="auto"/>
            </w:tcBorders>
            <w:shd w:val="clear" w:color="000000" w:fill="E6E7E8"/>
            <w:vAlign w:val="center"/>
            <w:hideMark/>
          </w:tcPr>
          <w:p w14:paraId="452D0351" w14:textId="77777777" w:rsidR="00002D76" w:rsidRPr="00336134" w:rsidRDefault="00002D76" w:rsidP="00D63204">
            <w:pPr>
              <w:spacing w:after="0" w:line="240" w:lineRule="auto"/>
              <w:rPr>
                <w:rFonts w:ascii="Calibri" w:hAnsi="Calibri"/>
                <w:color w:val="231F20"/>
                <w:sz w:val="16"/>
                <w:szCs w:val="16"/>
              </w:rPr>
            </w:pPr>
            <w:r w:rsidRPr="00336134">
              <w:rPr>
                <w:rFonts w:ascii="Calibri" w:hAnsi="Calibri"/>
                <w:color w:val="231F20"/>
                <w:sz w:val="16"/>
                <w:szCs w:val="16"/>
              </w:rPr>
              <w:t>6,858</w:t>
            </w:r>
          </w:p>
        </w:tc>
        <w:tc>
          <w:tcPr>
            <w:tcW w:w="0" w:type="auto"/>
            <w:tcBorders>
              <w:top w:val="nil"/>
              <w:left w:val="nil"/>
              <w:bottom w:val="single" w:sz="4" w:space="0" w:color="auto"/>
              <w:right w:val="single" w:sz="4" w:space="0" w:color="auto"/>
            </w:tcBorders>
            <w:shd w:val="clear" w:color="000000" w:fill="E6E7E8"/>
            <w:vAlign w:val="center"/>
            <w:hideMark/>
          </w:tcPr>
          <w:p w14:paraId="6AE51BFB" w14:textId="77777777" w:rsidR="00002D76" w:rsidRPr="00336134" w:rsidRDefault="00002D76" w:rsidP="00D63204">
            <w:pPr>
              <w:spacing w:after="0" w:line="240" w:lineRule="auto"/>
              <w:rPr>
                <w:rFonts w:ascii="Calibri" w:hAnsi="Calibri"/>
                <w:color w:val="231F20"/>
                <w:sz w:val="16"/>
                <w:szCs w:val="16"/>
              </w:rPr>
            </w:pPr>
            <w:r w:rsidRPr="00336134">
              <w:rPr>
                <w:rFonts w:ascii="Calibri" w:hAnsi="Calibri"/>
                <w:color w:val="231F20"/>
                <w:sz w:val="16"/>
                <w:szCs w:val="16"/>
              </w:rPr>
              <w:t>7,998</w:t>
            </w:r>
          </w:p>
        </w:tc>
        <w:tc>
          <w:tcPr>
            <w:tcW w:w="0" w:type="auto"/>
            <w:tcBorders>
              <w:top w:val="nil"/>
              <w:left w:val="nil"/>
              <w:bottom w:val="single" w:sz="4" w:space="0" w:color="auto"/>
              <w:right w:val="single" w:sz="4" w:space="0" w:color="auto"/>
            </w:tcBorders>
            <w:shd w:val="clear" w:color="000000" w:fill="E6E7E8"/>
            <w:vAlign w:val="center"/>
            <w:hideMark/>
          </w:tcPr>
          <w:p w14:paraId="726F590D" w14:textId="77777777" w:rsidR="00002D76" w:rsidRPr="00336134" w:rsidRDefault="00002D76" w:rsidP="00D63204">
            <w:pPr>
              <w:spacing w:after="0" w:line="240" w:lineRule="auto"/>
              <w:rPr>
                <w:rFonts w:ascii="Calibri" w:hAnsi="Calibri"/>
                <w:color w:val="231F20"/>
                <w:sz w:val="16"/>
                <w:szCs w:val="16"/>
              </w:rPr>
            </w:pPr>
            <w:r w:rsidRPr="00336134">
              <w:rPr>
                <w:rFonts w:ascii="Calibri" w:hAnsi="Calibri"/>
                <w:color w:val="231F20"/>
                <w:sz w:val="16"/>
                <w:szCs w:val="16"/>
              </w:rPr>
              <w:t>1,140</w:t>
            </w:r>
          </w:p>
        </w:tc>
        <w:tc>
          <w:tcPr>
            <w:tcW w:w="0" w:type="auto"/>
            <w:tcBorders>
              <w:top w:val="nil"/>
              <w:left w:val="nil"/>
              <w:bottom w:val="single" w:sz="4" w:space="0" w:color="auto"/>
              <w:right w:val="single" w:sz="4" w:space="0" w:color="auto"/>
            </w:tcBorders>
            <w:shd w:val="clear" w:color="000000" w:fill="E6E7E8"/>
            <w:vAlign w:val="center"/>
            <w:hideMark/>
          </w:tcPr>
          <w:p w14:paraId="34B84514" w14:textId="77777777" w:rsidR="00002D76" w:rsidRPr="00336134" w:rsidRDefault="00002D76" w:rsidP="00D63204">
            <w:pPr>
              <w:spacing w:after="0" w:line="240" w:lineRule="auto"/>
              <w:rPr>
                <w:rFonts w:ascii="Calibri" w:hAnsi="Calibri"/>
                <w:color w:val="231F20"/>
                <w:sz w:val="16"/>
                <w:szCs w:val="16"/>
              </w:rPr>
            </w:pPr>
            <w:r w:rsidRPr="00336134">
              <w:rPr>
                <w:rFonts w:ascii="Calibri" w:hAnsi="Calibri"/>
                <w:color w:val="231F20"/>
                <w:sz w:val="16"/>
                <w:szCs w:val="16"/>
              </w:rPr>
              <w:t>16.6%</w:t>
            </w:r>
          </w:p>
        </w:tc>
      </w:tr>
      <w:tr w:rsidR="00002D76" w:rsidRPr="00336134" w14:paraId="77BD0160" w14:textId="77777777" w:rsidTr="001429C7">
        <w:trPr>
          <w:trHeight w:val="45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40126FB" w14:textId="77777777" w:rsidR="00002D76" w:rsidRPr="00336134" w:rsidRDefault="00002D76" w:rsidP="001429C7">
            <w:pPr>
              <w:spacing w:after="0" w:line="240" w:lineRule="auto"/>
              <w:rPr>
                <w:rFonts w:ascii="Calibri" w:hAnsi="Calibri"/>
                <w:color w:val="231F20"/>
                <w:sz w:val="16"/>
                <w:szCs w:val="16"/>
              </w:rPr>
            </w:pPr>
            <w:r w:rsidRPr="00336134">
              <w:rPr>
                <w:rFonts w:ascii="Calibri" w:hAnsi="Calibri"/>
                <w:color w:val="231F20"/>
                <w:sz w:val="16"/>
                <w:szCs w:val="16"/>
              </w:rPr>
              <w:t>623200</w:t>
            </w:r>
          </w:p>
        </w:tc>
        <w:tc>
          <w:tcPr>
            <w:tcW w:w="0" w:type="auto"/>
            <w:tcBorders>
              <w:top w:val="nil"/>
              <w:left w:val="nil"/>
              <w:bottom w:val="single" w:sz="4" w:space="0" w:color="auto"/>
              <w:right w:val="single" w:sz="4" w:space="0" w:color="auto"/>
            </w:tcBorders>
            <w:shd w:val="clear" w:color="auto" w:fill="auto"/>
            <w:vAlign w:val="center"/>
            <w:hideMark/>
          </w:tcPr>
          <w:p w14:paraId="2B414D6B" w14:textId="77777777" w:rsidR="00002D76" w:rsidRPr="00336134" w:rsidRDefault="00002D76" w:rsidP="001429C7">
            <w:pPr>
              <w:spacing w:after="0" w:line="240" w:lineRule="auto"/>
              <w:rPr>
                <w:rFonts w:ascii="Calibri" w:hAnsi="Calibri"/>
                <w:color w:val="231F20"/>
                <w:sz w:val="16"/>
                <w:szCs w:val="16"/>
              </w:rPr>
            </w:pPr>
            <w:r w:rsidRPr="00336134">
              <w:rPr>
                <w:rFonts w:ascii="Calibri" w:hAnsi="Calibri"/>
                <w:color w:val="231F20"/>
                <w:sz w:val="16"/>
                <w:szCs w:val="16"/>
              </w:rPr>
              <w:t>Residential Mental Retardation, Mental Health and Substance Abuse Facilities</w:t>
            </w:r>
          </w:p>
        </w:tc>
        <w:tc>
          <w:tcPr>
            <w:tcW w:w="0" w:type="auto"/>
            <w:tcBorders>
              <w:top w:val="nil"/>
              <w:left w:val="nil"/>
              <w:bottom w:val="single" w:sz="4" w:space="0" w:color="auto"/>
              <w:right w:val="single" w:sz="4" w:space="0" w:color="auto"/>
            </w:tcBorders>
            <w:shd w:val="clear" w:color="auto" w:fill="auto"/>
            <w:vAlign w:val="center"/>
            <w:hideMark/>
          </w:tcPr>
          <w:p w14:paraId="0343BA5F" w14:textId="77777777" w:rsidR="00002D76" w:rsidRPr="00336134" w:rsidRDefault="00002D76" w:rsidP="00D63204">
            <w:pPr>
              <w:spacing w:after="0" w:line="240" w:lineRule="auto"/>
              <w:rPr>
                <w:rFonts w:ascii="Calibri" w:hAnsi="Calibri"/>
                <w:color w:val="231F20"/>
                <w:sz w:val="16"/>
                <w:szCs w:val="16"/>
              </w:rPr>
            </w:pPr>
            <w:r w:rsidRPr="00336134">
              <w:rPr>
                <w:rFonts w:ascii="Calibri" w:hAnsi="Calibri"/>
                <w:color w:val="231F20"/>
                <w:sz w:val="16"/>
                <w:szCs w:val="16"/>
              </w:rPr>
              <w:t>22,836</w:t>
            </w:r>
          </w:p>
        </w:tc>
        <w:tc>
          <w:tcPr>
            <w:tcW w:w="0" w:type="auto"/>
            <w:tcBorders>
              <w:top w:val="nil"/>
              <w:left w:val="nil"/>
              <w:bottom w:val="single" w:sz="4" w:space="0" w:color="auto"/>
              <w:right w:val="single" w:sz="4" w:space="0" w:color="auto"/>
            </w:tcBorders>
            <w:shd w:val="clear" w:color="auto" w:fill="auto"/>
            <w:vAlign w:val="center"/>
            <w:hideMark/>
          </w:tcPr>
          <w:p w14:paraId="58518056" w14:textId="77777777" w:rsidR="00002D76" w:rsidRPr="00336134" w:rsidRDefault="00002D76" w:rsidP="00D63204">
            <w:pPr>
              <w:spacing w:after="0" w:line="240" w:lineRule="auto"/>
              <w:rPr>
                <w:rFonts w:ascii="Calibri" w:hAnsi="Calibri"/>
                <w:color w:val="231F20"/>
                <w:sz w:val="16"/>
                <w:szCs w:val="16"/>
              </w:rPr>
            </w:pPr>
            <w:r w:rsidRPr="00336134">
              <w:rPr>
                <w:rFonts w:ascii="Calibri" w:hAnsi="Calibri"/>
                <w:color w:val="231F20"/>
                <w:sz w:val="16"/>
                <w:szCs w:val="16"/>
              </w:rPr>
              <w:t>26,530</w:t>
            </w:r>
          </w:p>
        </w:tc>
        <w:tc>
          <w:tcPr>
            <w:tcW w:w="0" w:type="auto"/>
            <w:tcBorders>
              <w:top w:val="nil"/>
              <w:left w:val="nil"/>
              <w:bottom w:val="single" w:sz="4" w:space="0" w:color="auto"/>
              <w:right w:val="single" w:sz="4" w:space="0" w:color="auto"/>
            </w:tcBorders>
            <w:shd w:val="clear" w:color="auto" w:fill="auto"/>
            <w:vAlign w:val="center"/>
            <w:hideMark/>
          </w:tcPr>
          <w:p w14:paraId="49B55B6E" w14:textId="77777777" w:rsidR="00002D76" w:rsidRPr="00336134" w:rsidRDefault="00002D76" w:rsidP="00D63204">
            <w:pPr>
              <w:spacing w:after="0" w:line="240" w:lineRule="auto"/>
              <w:rPr>
                <w:rFonts w:ascii="Calibri" w:hAnsi="Calibri"/>
                <w:color w:val="231F20"/>
                <w:sz w:val="16"/>
                <w:szCs w:val="16"/>
              </w:rPr>
            </w:pPr>
            <w:r w:rsidRPr="00336134">
              <w:rPr>
                <w:rFonts w:ascii="Calibri" w:hAnsi="Calibri"/>
                <w:color w:val="231F20"/>
                <w:sz w:val="16"/>
                <w:szCs w:val="16"/>
              </w:rPr>
              <w:t>3694</w:t>
            </w:r>
          </w:p>
        </w:tc>
        <w:tc>
          <w:tcPr>
            <w:tcW w:w="0" w:type="auto"/>
            <w:tcBorders>
              <w:top w:val="nil"/>
              <w:left w:val="nil"/>
              <w:bottom w:val="single" w:sz="4" w:space="0" w:color="auto"/>
              <w:right w:val="single" w:sz="4" w:space="0" w:color="auto"/>
            </w:tcBorders>
            <w:shd w:val="clear" w:color="auto" w:fill="auto"/>
            <w:vAlign w:val="center"/>
            <w:hideMark/>
          </w:tcPr>
          <w:p w14:paraId="4D8162ED" w14:textId="77777777" w:rsidR="00002D76" w:rsidRPr="00336134" w:rsidRDefault="00002D76" w:rsidP="00D63204">
            <w:pPr>
              <w:spacing w:after="0" w:line="240" w:lineRule="auto"/>
              <w:rPr>
                <w:rFonts w:ascii="Calibri" w:hAnsi="Calibri"/>
                <w:color w:val="231F20"/>
                <w:sz w:val="16"/>
                <w:szCs w:val="16"/>
              </w:rPr>
            </w:pPr>
            <w:r w:rsidRPr="00336134">
              <w:rPr>
                <w:rFonts w:ascii="Calibri" w:hAnsi="Calibri"/>
                <w:color w:val="231F20"/>
                <w:sz w:val="16"/>
                <w:szCs w:val="16"/>
              </w:rPr>
              <w:t>16.2%</w:t>
            </w:r>
          </w:p>
        </w:tc>
      </w:tr>
      <w:tr w:rsidR="00002D76" w:rsidRPr="00336134" w14:paraId="56AAB067" w14:textId="77777777" w:rsidTr="001429C7">
        <w:trPr>
          <w:trHeight w:val="300"/>
        </w:trPr>
        <w:tc>
          <w:tcPr>
            <w:tcW w:w="0" w:type="auto"/>
            <w:tcBorders>
              <w:top w:val="nil"/>
              <w:left w:val="single" w:sz="4" w:space="0" w:color="auto"/>
              <w:bottom w:val="single" w:sz="4" w:space="0" w:color="auto"/>
              <w:right w:val="single" w:sz="4" w:space="0" w:color="auto"/>
            </w:tcBorders>
            <w:shd w:val="clear" w:color="000000" w:fill="E6E7E8"/>
            <w:vAlign w:val="center"/>
            <w:hideMark/>
          </w:tcPr>
          <w:p w14:paraId="28EAB391" w14:textId="77777777" w:rsidR="00002D76" w:rsidRPr="00336134" w:rsidRDefault="00002D76" w:rsidP="001429C7">
            <w:pPr>
              <w:spacing w:after="0" w:line="240" w:lineRule="auto"/>
              <w:rPr>
                <w:rFonts w:ascii="Calibri" w:hAnsi="Calibri"/>
                <w:color w:val="231F20"/>
                <w:sz w:val="16"/>
                <w:szCs w:val="16"/>
              </w:rPr>
            </w:pPr>
            <w:r w:rsidRPr="00336134">
              <w:rPr>
                <w:rFonts w:ascii="Calibri" w:hAnsi="Calibri"/>
                <w:color w:val="231F20"/>
                <w:sz w:val="16"/>
                <w:szCs w:val="16"/>
              </w:rPr>
              <w:t>334300</w:t>
            </w:r>
          </w:p>
        </w:tc>
        <w:tc>
          <w:tcPr>
            <w:tcW w:w="0" w:type="auto"/>
            <w:tcBorders>
              <w:top w:val="nil"/>
              <w:left w:val="nil"/>
              <w:bottom w:val="single" w:sz="4" w:space="0" w:color="auto"/>
              <w:right w:val="single" w:sz="4" w:space="0" w:color="auto"/>
            </w:tcBorders>
            <w:shd w:val="clear" w:color="000000" w:fill="E6E7E8"/>
            <w:vAlign w:val="center"/>
            <w:hideMark/>
          </w:tcPr>
          <w:p w14:paraId="4EF78689" w14:textId="77777777" w:rsidR="00002D76" w:rsidRPr="00336134" w:rsidRDefault="00002D76" w:rsidP="001429C7">
            <w:pPr>
              <w:spacing w:after="0" w:line="240" w:lineRule="auto"/>
              <w:rPr>
                <w:rFonts w:ascii="Calibri" w:hAnsi="Calibri"/>
                <w:color w:val="231F20"/>
                <w:sz w:val="16"/>
                <w:szCs w:val="16"/>
              </w:rPr>
            </w:pPr>
            <w:r w:rsidRPr="00336134">
              <w:rPr>
                <w:rFonts w:ascii="Calibri" w:hAnsi="Calibri"/>
                <w:color w:val="231F20"/>
                <w:sz w:val="16"/>
                <w:szCs w:val="16"/>
              </w:rPr>
              <w:t>Audio and Video Equipment Manufacturing</w:t>
            </w:r>
          </w:p>
        </w:tc>
        <w:tc>
          <w:tcPr>
            <w:tcW w:w="0" w:type="auto"/>
            <w:tcBorders>
              <w:top w:val="nil"/>
              <w:left w:val="nil"/>
              <w:bottom w:val="single" w:sz="4" w:space="0" w:color="auto"/>
              <w:right w:val="single" w:sz="4" w:space="0" w:color="auto"/>
            </w:tcBorders>
            <w:shd w:val="clear" w:color="000000" w:fill="E6E7E8"/>
            <w:vAlign w:val="center"/>
            <w:hideMark/>
          </w:tcPr>
          <w:p w14:paraId="08F10CD7" w14:textId="77777777" w:rsidR="00002D76" w:rsidRPr="00336134" w:rsidRDefault="00002D76" w:rsidP="00D63204">
            <w:pPr>
              <w:spacing w:after="0" w:line="240" w:lineRule="auto"/>
              <w:rPr>
                <w:rFonts w:ascii="Calibri" w:hAnsi="Calibri"/>
                <w:color w:val="231F20"/>
                <w:sz w:val="16"/>
                <w:szCs w:val="16"/>
              </w:rPr>
            </w:pPr>
            <w:r w:rsidRPr="00336134">
              <w:rPr>
                <w:rFonts w:ascii="Calibri" w:hAnsi="Calibri"/>
                <w:color w:val="231F20"/>
                <w:sz w:val="16"/>
                <w:szCs w:val="16"/>
              </w:rPr>
              <w:t>936</w:t>
            </w:r>
          </w:p>
        </w:tc>
        <w:tc>
          <w:tcPr>
            <w:tcW w:w="0" w:type="auto"/>
            <w:tcBorders>
              <w:top w:val="nil"/>
              <w:left w:val="nil"/>
              <w:bottom w:val="single" w:sz="4" w:space="0" w:color="auto"/>
              <w:right w:val="single" w:sz="4" w:space="0" w:color="auto"/>
            </w:tcBorders>
            <w:shd w:val="clear" w:color="000000" w:fill="E6E7E8"/>
            <w:vAlign w:val="center"/>
            <w:hideMark/>
          </w:tcPr>
          <w:p w14:paraId="22864A22" w14:textId="77777777" w:rsidR="00002D76" w:rsidRPr="00336134" w:rsidRDefault="00002D76" w:rsidP="00D63204">
            <w:pPr>
              <w:spacing w:after="0" w:line="240" w:lineRule="auto"/>
              <w:rPr>
                <w:rFonts w:ascii="Calibri" w:hAnsi="Calibri"/>
                <w:color w:val="231F20"/>
                <w:sz w:val="16"/>
                <w:szCs w:val="16"/>
              </w:rPr>
            </w:pPr>
            <w:r w:rsidRPr="00336134">
              <w:rPr>
                <w:rFonts w:ascii="Calibri" w:hAnsi="Calibri"/>
                <w:color w:val="231F20"/>
                <w:sz w:val="16"/>
                <w:szCs w:val="16"/>
              </w:rPr>
              <w:t>1,087</w:t>
            </w:r>
          </w:p>
        </w:tc>
        <w:tc>
          <w:tcPr>
            <w:tcW w:w="0" w:type="auto"/>
            <w:tcBorders>
              <w:top w:val="nil"/>
              <w:left w:val="nil"/>
              <w:bottom w:val="single" w:sz="4" w:space="0" w:color="auto"/>
              <w:right w:val="single" w:sz="4" w:space="0" w:color="auto"/>
            </w:tcBorders>
            <w:shd w:val="clear" w:color="000000" w:fill="E6E7E8"/>
            <w:vAlign w:val="center"/>
            <w:hideMark/>
          </w:tcPr>
          <w:p w14:paraId="14D6AC68" w14:textId="77777777" w:rsidR="00002D76" w:rsidRPr="00336134" w:rsidRDefault="00002D76" w:rsidP="00D63204">
            <w:pPr>
              <w:spacing w:after="0" w:line="240" w:lineRule="auto"/>
              <w:rPr>
                <w:rFonts w:ascii="Calibri" w:hAnsi="Calibri"/>
                <w:color w:val="231F20"/>
                <w:sz w:val="16"/>
                <w:szCs w:val="16"/>
              </w:rPr>
            </w:pPr>
            <w:r w:rsidRPr="00336134">
              <w:rPr>
                <w:rFonts w:ascii="Calibri" w:hAnsi="Calibri"/>
                <w:color w:val="231F20"/>
                <w:sz w:val="16"/>
                <w:szCs w:val="16"/>
              </w:rPr>
              <w:t>151</w:t>
            </w:r>
          </w:p>
        </w:tc>
        <w:tc>
          <w:tcPr>
            <w:tcW w:w="0" w:type="auto"/>
            <w:tcBorders>
              <w:top w:val="nil"/>
              <w:left w:val="nil"/>
              <w:bottom w:val="single" w:sz="4" w:space="0" w:color="auto"/>
              <w:right w:val="single" w:sz="4" w:space="0" w:color="auto"/>
            </w:tcBorders>
            <w:shd w:val="clear" w:color="000000" w:fill="E6E7E8"/>
            <w:vAlign w:val="center"/>
            <w:hideMark/>
          </w:tcPr>
          <w:p w14:paraId="0AA0D226" w14:textId="77777777" w:rsidR="00002D76" w:rsidRPr="00336134" w:rsidRDefault="00002D76" w:rsidP="00D63204">
            <w:pPr>
              <w:spacing w:after="0" w:line="240" w:lineRule="auto"/>
              <w:rPr>
                <w:rFonts w:ascii="Calibri" w:hAnsi="Calibri"/>
                <w:color w:val="231F20"/>
                <w:sz w:val="16"/>
                <w:szCs w:val="16"/>
              </w:rPr>
            </w:pPr>
            <w:r w:rsidRPr="00336134">
              <w:rPr>
                <w:rFonts w:ascii="Calibri" w:hAnsi="Calibri"/>
                <w:color w:val="231F20"/>
                <w:sz w:val="16"/>
                <w:szCs w:val="16"/>
              </w:rPr>
              <w:t>16.1%</w:t>
            </w:r>
          </w:p>
        </w:tc>
      </w:tr>
      <w:tr w:rsidR="00002D76" w:rsidRPr="00336134" w14:paraId="33F2E829" w14:textId="77777777" w:rsidTr="001429C7">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D3E4CE3" w14:textId="77777777" w:rsidR="00002D76" w:rsidRPr="00336134" w:rsidRDefault="00002D76" w:rsidP="001429C7">
            <w:pPr>
              <w:spacing w:after="0" w:line="240" w:lineRule="auto"/>
              <w:rPr>
                <w:rFonts w:ascii="Calibri" w:hAnsi="Calibri"/>
                <w:color w:val="231F20"/>
                <w:sz w:val="16"/>
                <w:szCs w:val="16"/>
              </w:rPr>
            </w:pPr>
            <w:r w:rsidRPr="00336134">
              <w:rPr>
                <w:rFonts w:ascii="Calibri" w:hAnsi="Calibri"/>
                <w:color w:val="231F20"/>
                <w:sz w:val="16"/>
                <w:szCs w:val="16"/>
              </w:rPr>
              <w:t>492200</w:t>
            </w:r>
          </w:p>
        </w:tc>
        <w:tc>
          <w:tcPr>
            <w:tcW w:w="0" w:type="auto"/>
            <w:tcBorders>
              <w:top w:val="nil"/>
              <w:left w:val="nil"/>
              <w:bottom w:val="single" w:sz="4" w:space="0" w:color="auto"/>
              <w:right w:val="single" w:sz="4" w:space="0" w:color="auto"/>
            </w:tcBorders>
            <w:shd w:val="clear" w:color="auto" w:fill="auto"/>
            <w:vAlign w:val="center"/>
            <w:hideMark/>
          </w:tcPr>
          <w:p w14:paraId="0A1888C5" w14:textId="77777777" w:rsidR="00002D76" w:rsidRPr="00336134" w:rsidRDefault="00002D76" w:rsidP="001429C7">
            <w:pPr>
              <w:spacing w:after="0" w:line="240" w:lineRule="auto"/>
              <w:rPr>
                <w:rFonts w:ascii="Calibri" w:hAnsi="Calibri"/>
                <w:color w:val="231F20"/>
                <w:sz w:val="16"/>
                <w:szCs w:val="16"/>
              </w:rPr>
            </w:pPr>
            <w:r w:rsidRPr="00336134">
              <w:rPr>
                <w:rFonts w:ascii="Calibri" w:hAnsi="Calibri"/>
                <w:color w:val="231F20"/>
                <w:sz w:val="16"/>
                <w:szCs w:val="16"/>
              </w:rPr>
              <w:t>Local Messengers and Local Delivery</w:t>
            </w:r>
          </w:p>
        </w:tc>
        <w:tc>
          <w:tcPr>
            <w:tcW w:w="0" w:type="auto"/>
            <w:tcBorders>
              <w:top w:val="nil"/>
              <w:left w:val="nil"/>
              <w:bottom w:val="single" w:sz="4" w:space="0" w:color="auto"/>
              <w:right w:val="single" w:sz="4" w:space="0" w:color="auto"/>
            </w:tcBorders>
            <w:shd w:val="clear" w:color="auto" w:fill="auto"/>
            <w:vAlign w:val="center"/>
            <w:hideMark/>
          </w:tcPr>
          <w:p w14:paraId="6A439B0C" w14:textId="77777777" w:rsidR="00002D76" w:rsidRPr="00336134" w:rsidRDefault="00002D76" w:rsidP="00D63204">
            <w:pPr>
              <w:spacing w:after="0" w:line="240" w:lineRule="auto"/>
              <w:rPr>
                <w:rFonts w:ascii="Calibri" w:hAnsi="Calibri"/>
                <w:color w:val="231F20"/>
                <w:sz w:val="16"/>
                <w:szCs w:val="16"/>
              </w:rPr>
            </w:pPr>
            <w:r w:rsidRPr="00336134">
              <w:rPr>
                <w:rFonts w:ascii="Calibri" w:hAnsi="Calibri"/>
                <w:color w:val="231F20"/>
                <w:sz w:val="16"/>
                <w:szCs w:val="16"/>
              </w:rPr>
              <w:t>3,676</w:t>
            </w:r>
          </w:p>
        </w:tc>
        <w:tc>
          <w:tcPr>
            <w:tcW w:w="0" w:type="auto"/>
            <w:tcBorders>
              <w:top w:val="nil"/>
              <w:left w:val="nil"/>
              <w:bottom w:val="single" w:sz="4" w:space="0" w:color="auto"/>
              <w:right w:val="single" w:sz="4" w:space="0" w:color="auto"/>
            </w:tcBorders>
            <w:shd w:val="clear" w:color="auto" w:fill="auto"/>
            <w:vAlign w:val="center"/>
            <w:hideMark/>
          </w:tcPr>
          <w:p w14:paraId="3E9FFF04" w14:textId="77777777" w:rsidR="00002D76" w:rsidRPr="00336134" w:rsidRDefault="00002D76" w:rsidP="00D63204">
            <w:pPr>
              <w:spacing w:after="0" w:line="240" w:lineRule="auto"/>
              <w:rPr>
                <w:rFonts w:ascii="Calibri" w:hAnsi="Calibri"/>
                <w:color w:val="231F20"/>
                <w:sz w:val="16"/>
                <w:szCs w:val="16"/>
              </w:rPr>
            </w:pPr>
            <w:r w:rsidRPr="00336134">
              <w:rPr>
                <w:rFonts w:ascii="Calibri" w:hAnsi="Calibri"/>
                <w:color w:val="231F20"/>
                <w:sz w:val="16"/>
                <w:szCs w:val="16"/>
              </w:rPr>
              <w:t>4,266</w:t>
            </w:r>
          </w:p>
        </w:tc>
        <w:tc>
          <w:tcPr>
            <w:tcW w:w="0" w:type="auto"/>
            <w:tcBorders>
              <w:top w:val="nil"/>
              <w:left w:val="nil"/>
              <w:bottom w:val="single" w:sz="4" w:space="0" w:color="auto"/>
              <w:right w:val="single" w:sz="4" w:space="0" w:color="auto"/>
            </w:tcBorders>
            <w:shd w:val="clear" w:color="auto" w:fill="auto"/>
            <w:vAlign w:val="center"/>
            <w:hideMark/>
          </w:tcPr>
          <w:p w14:paraId="1B070643" w14:textId="77777777" w:rsidR="00002D76" w:rsidRPr="00336134" w:rsidRDefault="00002D76" w:rsidP="00D63204">
            <w:pPr>
              <w:spacing w:after="0" w:line="240" w:lineRule="auto"/>
              <w:rPr>
                <w:rFonts w:ascii="Calibri" w:hAnsi="Calibri"/>
                <w:color w:val="231F20"/>
                <w:sz w:val="16"/>
                <w:szCs w:val="16"/>
              </w:rPr>
            </w:pPr>
            <w:r w:rsidRPr="00336134">
              <w:rPr>
                <w:rFonts w:ascii="Calibri" w:hAnsi="Calibri"/>
                <w:color w:val="231F20"/>
                <w:sz w:val="16"/>
                <w:szCs w:val="16"/>
              </w:rPr>
              <w:t>590</w:t>
            </w:r>
          </w:p>
        </w:tc>
        <w:tc>
          <w:tcPr>
            <w:tcW w:w="0" w:type="auto"/>
            <w:tcBorders>
              <w:top w:val="nil"/>
              <w:left w:val="nil"/>
              <w:bottom w:val="single" w:sz="4" w:space="0" w:color="auto"/>
              <w:right w:val="single" w:sz="4" w:space="0" w:color="auto"/>
            </w:tcBorders>
            <w:shd w:val="clear" w:color="auto" w:fill="auto"/>
            <w:vAlign w:val="center"/>
            <w:hideMark/>
          </w:tcPr>
          <w:p w14:paraId="7787E897" w14:textId="77777777" w:rsidR="00002D76" w:rsidRPr="00336134" w:rsidRDefault="00002D76" w:rsidP="00D63204">
            <w:pPr>
              <w:spacing w:after="0" w:line="240" w:lineRule="auto"/>
              <w:rPr>
                <w:rFonts w:ascii="Calibri" w:hAnsi="Calibri"/>
                <w:color w:val="231F20"/>
                <w:sz w:val="16"/>
                <w:szCs w:val="16"/>
              </w:rPr>
            </w:pPr>
            <w:r w:rsidRPr="00336134">
              <w:rPr>
                <w:rFonts w:ascii="Calibri" w:hAnsi="Calibri"/>
                <w:color w:val="231F20"/>
                <w:sz w:val="16"/>
                <w:szCs w:val="16"/>
              </w:rPr>
              <w:t>16.1%</w:t>
            </w:r>
          </w:p>
        </w:tc>
      </w:tr>
      <w:tr w:rsidR="00002D76" w:rsidRPr="00336134" w14:paraId="7AEDE1EA" w14:textId="77777777" w:rsidTr="001429C7">
        <w:trPr>
          <w:trHeight w:val="450"/>
        </w:trPr>
        <w:tc>
          <w:tcPr>
            <w:tcW w:w="0" w:type="auto"/>
            <w:tcBorders>
              <w:top w:val="nil"/>
              <w:left w:val="single" w:sz="4" w:space="0" w:color="auto"/>
              <w:bottom w:val="single" w:sz="4" w:space="0" w:color="auto"/>
              <w:right w:val="single" w:sz="4" w:space="0" w:color="auto"/>
            </w:tcBorders>
            <w:shd w:val="clear" w:color="000000" w:fill="E6E7E8"/>
            <w:vAlign w:val="center"/>
            <w:hideMark/>
          </w:tcPr>
          <w:p w14:paraId="08C137C0" w14:textId="77777777" w:rsidR="00002D76" w:rsidRPr="00336134" w:rsidRDefault="00002D76" w:rsidP="001429C7">
            <w:pPr>
              <w:spacing w:after="0" w:line="240" w:lineRule="auto"/>
              <w:rPr>
                <w:rFonts w:ascii="Calibri" w:hAnsi="Calibri"/>
                <w:color w:val="231F20"/>
                <w:sz w:val="16"/>
                <w:szCs w:val="16"/>
              </w:rPr>
            </w:pPr>
            <w:r w:rsidRPr="00336134">
              <w:rPr>
                <w:rFonts w:ascii="Calibri" w:hAnsi="Calibri"/>
                <w:color w:val="231F20"/>
                <w:sz w:val="16"/>
                <w:szCs w:val="16"/>
              </w:rPr>
              <w:t>622205</w:t>
            </w:r>
          </w:p>
        </w:tc>
        <w:tc>
          <w:tcPr>
            <w:tcW w:w="0" w:type="auto"/>
            <w:tcBorders>
              <w:top w:val="nil"/>
              <w:left w:val="nil"/>
              <w:bottom w:val="single" w:sz="4" w:space="0" w:color="auto"/>
              <w:right w:val="single" w:sz="4" w:space="0" w:color="auto"/>
            </w:tcBorders>
            <w:shd w:val="clear" w:color="000000" w:fill="E6E7E8"/>
            <w:vAlign w:val="center"/>
            <w:hideMark/>
          </w:tcPr>
          <w:p w14:paraId="778485D5" w14:textId="77777777" w:rsidR="00002D76" w:rsidRPr="00336134" w:rsidRDefault="00002D76" w:rsidP="001429C7">
            <w:pPr>
              <w:spacing w:after="0" w:line="240" w:lineRule="auto"/>
              <w:rPr>
                <w:rFonts w:ascii="Calibri" w:hAnsi="Calibri"/>
                <w:color w:val="231F20"/>
                <w:sz w:val="16"/>
                <w:szCs w:val="16"/>
              </w:rPr>
            </w:pPr>
            <w:r w:rsidRPr="00336134">
              <w:rPr>
                <w:rFonts w:ascii="Calibri" w:hAnsi="Calibri"/>
                <w:color w:val="231F20"/>
                <w:sz w:val="16"/>
                <w:szCs w:val="16"/>
              </w:rPr>
              <w:t>Private Psychiatric and Substance Abuse Hospitals</w:t>
            </w:r>
          </w:p>
        </w:tc>
        <w:tc>
          <w:tcPr>
            <w:tcW w:w="0" w:type="auto"/>
            <w:tcBorders>
              <w:top w:val="nil"/>
              <w:left w:val="nil"/>
              <w:bottom w:val="single" w:sz="4" w:space="0" w:color="auto"/>
              <w:right w:val="single" w:sz="4" w:space="0" w:color="auto"/>
            </w:tcBorders>
            <w:shd w:val="clear" w:color="000000" w:fill="E6E7E8"/>
            <w:vAlign w:val="center"/>
            <w:hideMark/>
          </w:tcPr>
          <w:p w14:paraId="320F285A" w14:textId="77777777" w:rsidR="00002D76" w:rsidRPr="00336134" w:rsidRDefault="00002D76" w:rsidP="00D63204">
            <w:pPr>
              <w:spacing w:after="0" w:line="240" w:lineRule="auto"/>
              <w:rPr>
                <w:rFonts w:ascii="Calibri" w:hAnsi="Calibri"/>
                <w:color w:val="231F20"/>
                <w:sz w:val="16"/>
                <w:szCs w:val="16"/>
              </w:rPr>
            </w:pPr>
            <w:r w:rsidRPr="00336134">
              <w:rPr>
                <w:rFonts w:ascii="Calibri" w:hAnsi="Calibri"/>
                <w:color w:val="231F20"/>
                <w:sz w:val="16"/>
                <w:szCs w:val="16"/>
              </w:rPr>
              <w:t>10,814</w:t>
            </w:r>
          </w:p>
        </w:tc>
        <w:tc>
          <w:tcPr>
            <w:tcW w:w="0" w:type="auto"/>
            <w:tcBorders>
              <w:top w:val="nil"/>
              <w:left w:val="nil"/>
              <w:bottom w:val="single" w:sz="4" w:space="0" w:color="auto"/>
              <w:right w:val="single" w:sz="4" w:space="0" w:color="auto"/>
            </w:tcBorders>
            <w:shd w:val="clear" w:color="000000" w:fill="E6E7E8"/>
            <w:vAlign w:val="center"/>
            <w:hideMark/>
          </w:tcPr>
          <w:p w14:paraId="0A8BD4CC" w14:textId="77777777" w:rsidR="00002D76" w:rsidRPr="00336134" w:rsidRDefault="00002D76" w:rsidP="00D63204">
            <w:pPr>
              <w:spacing w:after="0" w:line="240" w:lineRule="auto"/>
              <w:rPr>
                <w:rFonts w:ascii="Calibri" w:hAnsi="Calibri"/>
                <w:color w:val="231F20"/>
                <w:sz w:val="16"/>
                <w:szCs w:val="16"/>
              </w:rPr>
            </w:pPr>
            <w:r w:rsidRPr="00336134">
              <w:rPr>
                <w:rFonts w:ascii="Calibri" w:hAnsi="Calibri"/>
                <w:color w:val="231F20"/>
                <w:sz w:val="16"/>
                <w:szCs w:val="16"/>
              </w:rPr>
              <w:t>12,542</w:t>
            </w:r>
          </w:p>
        </w:tc>
        <w:tc>
          <w:tcPr>
            <w:tcW w:w="0" w:type="auto"/>
            <w:tcBorders>
              <w:top w:val="nil"/>
              <w:left w:val="nil"/>
              <w:bottom w:val="single" w:sz="4" w:space="0" w:color="auto"/>
              <w:right w:val="single" w:sz="4" w:space="0" w:color="auto"/>
            </w:tcBorders>
            <w:shd w:val="clear" w:color="000000" w:fill="E6E7E8"/>
            <w:vAlign w:val="center"/>
            <w:hideMark/>
          </w:tcPr>
          <w:p w14:paraId="316F5041" w14:textId="77777777" w:rsidR="00002D76" w:rsidRPr="00336134" w:rsidRDefault="00002D76" w:rsidP="00D63204">
            <w:pPr>
              <w:spacing w:after="0" w:line="240" w:lineRule="auto"/>
              <w:rPr>
                <w:rFonts w:ascii="Calibri" w:hAnsi="Calibri"/>
                <w:color w:val="231F20"/>
                <w:sz w:val="16"/>
                <w:szCs w:val="16"/>
              </w:rPr>
            </w:pPr>
            <w:r w:rsidRPr="00336134">
              <w:rPr>
                <w:rFonts w:ascii="Calibri" w:hAnsi="Calibri"/>
                <w:color w:val="231F20"/>
                <w:sz w:val="16"/>
                <w:szCs w:val="16"/>
              </w:rPr>
              <w:t>1,728</w:t>
            </w:r>
          </w:p>
        </w:tc>
        <w:tc>
          <w:tcPr>
            <w:tcW w:w="0" w:type="auto"/>
            <w:tcBorders>
              <w:top w:val="nil"/>
              <w:left w:val="nil"/>
              <w:bottom w:val="single" w:sz="4" w:space="0" w:color="auto"/>
              <w:right w:val="single" w:sz="4" w:space="0" w:color="auto"/>
            </w:tcBorders>
            <w:shd w:val="clear" w:color="000000" w:fill="E6E7E8"/>
            <w:vAlign w:val="center"/>
            <w:hideMark/>
          </w:tcPr>
          <w:p w14:paraId="1666A5A8" w14:textId="77777777" w:rsidR="00002D76" w:rsidRPr="00336134" w:rsidRDefault="00002D76" w:rsidP="00D63204">
            <w:pPr>
              <w:spacing w:after="0" w:line="240" w:lineRule="auto"/>
              <w:rPr>
                <w:rFonts w:ascii="Calibri" w:hAnsi="Calibri"/>
                <w:color w:val="231F20"/>
                <w:sz w:val="16"/>
                <w:szCs w:val="16"/>
              </w:rPr>
            </w:pPr>
            <w:r w:rsidRPr="00336134">
              <w:rPr>
                <w:rFonts w:ascii="Calibri" w:hAnsi="Calibri"/>
                <w:color w:val="231F20"/>
                <w:sz w:val="16"/>
                <w:szCs w:val="16"/>
              </w:rPr>
              <w:t>16.0%</w:t>
            </w:r>
          </w:p>
        </w:tc>
      </w:tr>
      <w:tr w:rsidR="00002D76" w:rsidRPr="00336134" w14:paraId="64E8AC22" w14:textId="77777777" w:rsidTr="001429C7">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300BD94" w14:textId="77777777" w:rsidR="00002D76" w:rsidRPr="00336134" w:rsidRDefault="00002D76" w:rsidP="001429C7">
            <w:pPr>
              <w:spacing w:after="0" w:line="240" w:lineRule="auto"/>
              <w:rPr>
                <w:rFonts w:ascii="Calibri" w:hAnsi="Calibri"/>
                <w:color w:val="231F20"/>
                <w:sz w:val="16"/>
                <w:szCs w:val="16"/>
              </w:rPr>
            </w:pPr>
            <w:r w:rsidRPr="00336134">
              <w:rPr>
                <w:rFonts w:ascii="Calibri" w:hAnsi="Calibri"/>
                <w:color w:val="231F20"/>
                <w:sz w:val="16"/>
                <w:szCs w:val="16"/>
              </w:rPr>
              <w:t>488900</w:t>
            </w:r>
          </w:p>
        </w:tc>
        <w:tc>
          <w:tcPr>
            <w:tcW w:w="0" w:type="auto"/>
            <w:tcBorders>
              <w:top w:val="nil"/>
              <w:left w:val="nil"/>
              <w:bottom w:val="single" w:sz="4" w:space="0" w:color="auto"/>
              <w:right w:val="single" w:sz="4" w:space="0" w:color="auto"/>
            </w:tcBorders>
            <w:shd w:val="clear" w:color="auto" w:fill="auto"/>
            <w:vAlign w:val="center"/>
            <w:hideMark/>
          </w:tcPr>
          <w:p w14:paraId="1E759C14" w14:textId="77777777" w:rsidR="00002D76" w:rsidRPr="00336134" w:rsidRDefault="00002D76" w:rsidP="001429C7">
            <w:pPr>
              <w:spacing w:after="0" w:line="240" w:lineRule="auto"/>
              <w:rPr>
                <w:rFonts w:ascii="Calibri" w:hAnsi="Calibri"/>
                <w:color w:val="231F20"/>
                <w:sz w:val="16"/>
                <w:szCs w:val="16"/>
              </w:rPr>
            </w:pPr>
            <w:r w:rsidRPr="00336134">
              <w:rPr>
                <w:rFonts w:ascii="Calibri" w:hAnsi="Calibri"/>
                <w:color w:val="231F20"/>
                <w:sz w:val="16"/>
                <w:szCs w:val="16"/>
              </w:rPr>
              <w:t>Other Support Activities for Transport</w:t>
            </w:r>
          </w:p>
        </w:tc>
        <w:tc>
          <w:tcPr>
            <w:tcW w:w="0" w:type="auto"/>
            <w:tcBorders>
              <w:top w:val="nil"/>
              <w:left w:val="nil"/>
              <w:bottom w:val="single" w:sz="4" w:space="0" w:color="auto"/>
              <w:right w:val="single" w:sz="4" w:space="0" w:color="auto"/>
            </w:tcBorders>
            <w:shd w:val="clear" w:color="auto" w:fill="auto"/>
            <w:vAlign w:val="center"/>
            <w:hideMark/>
          </w:tcPr>
          <w:p w14:paraId="20F15F6B" w14:textId="77777777" w:rsidR="00002D76" w:rsidRPr="00336134" w:rsidRDefault="00002D76" w:rsidP="00D63204">
            <w:pPr>
              <w:spacing w:after="0" w:line="240" w:lineRule="auto"/>
              <w:rPr>
                <w:rFonts w:ascii="Calibri" w:hAnsi="Calibri"/>
                <w:color w:val="231F20"/>
                <w:sz w:val="16"/>
                <w:szCs w:val="16"/>
              </w:rPr>
            </w:pPr>
            <w:r w:rsidRPr="00336134">
              <w:rPr>
                <w:rFonts w:ascii="Calibri" w:hAnsi="Calibri"/>
                <w:color w:val="231F20"/>
                <w:sz w:val="16"/>
                <w:szCs w:val="16"/>
              </w:rPr>
              <w:t>2,410</w:t>
            </w:r>
          </w:p>
        </w:tc>
        <w:tc>
          <w:tcPr>
            <w:tcW w:w="0" w:type="auto"/>
            <w:tcBorders>
              <w:top w:val="nil"/>
              <w:left w:val="nil"/>
              <w:bottom w:val="single" w:sz="4" w:space="0" w:color="auto"/>
              <w:right w:val="single" w:sz="4" w:space="0" w:color="auto"/>
            </w:tcBorders>
            <w:shd w:val="clear" w:color="auto" w:fill="auto"/>
            <w:vAlign w:val="center"/>
            <w:hideMark/>
          </w:tcPr>
          <w:p w14:paraId="66E64F87" w14:textId="77777777" w:rsidR="00002D76" w:rsidRPr="00336134" w:rsidRDefault="00002D76" w:rsidP="00D63204">
            <w:pPr>
              <w:spacing w:after="0" w:line="240" w:lineRule="auto"/>
              <w:rPr>
                <w:rFonts w:ascii="Calibri" w:hAnsi="Calibri"/>
                <w:color w:val="231F20"/>
                <w:sz w:val="16"/>
                <w:szCs w:val="16"/>
              </w:rPr>
            </w:pPr>
            <w:r w:rsidRPr="00336134">
              <w:rPr>
                <w:rFonts w:ascii="Calibri" w:hAnsi="Calibri"/>
                <w:color w:val="231F20"/>
                <w:sz w:val="16"/>
                <w:szCs w:val="16"/>
              </w:rPr>
              <w:t>2,776</w:t>
            </w:r>
          </w:p>
        </w:tc>
        <w:tc>
          <w:tcPr>
            <w:tcW w:w="0" w:type="auto"/>
            <w:tcBorders>
              <w:top w:val="nil"/>
              <w:left w:val="nil"/>
              <w:bottom w:val="single" w:sz="4" w:space="0" w:color="auto"/>
              <w:right w:val="single" w:sz="4" w:space="0" w:color="auto"/>
            </w:tcBorders>
            <w:shd w:val="clear" w:color="auto" w:fill="auto"/>
            <w:vAlign w:val="center"/>
            <w:hideMark/>
          </w:tcPr>
          <w:p w14:paraId="2C85EF12" w14:textId="77777777" w:rsidR="00002D76" w:rsidRPr="00336134" w:rsidRDefault="00002D76" w:rsidP="00D63204">
            <w:pPr>
              <w:spacing w:after="0" w:line="240" w:lineRule="auto"/>
              <w:rPr>
                <w:rFonts w:ascii="Calibri" w:hAnsi="Calibri"/>
                <w:color w:val="231F20"/>
                <w:sz w:val="16"/>
                <w:szCs w:val="16"/>
              </w:rPr>
            </w:pPr>
            <w:r w:rsidRPr="00336134">
              <w:rPr>
                <w:rFonts w:ascii="Calibri" w:hAnsi="Calibri"/>
                <w:color w:val="231F20"/>
                <w:sz w:val="16"/>
                <w:szCs w:val="16"/>
              </w:rPr>
              <w:t>366</w:t>
            </w:r>
          </w:p>
        </w:tc>
        <w:tc>
          <w:tcPr>
            <w:tcW w:w="0" w:type="auto"/>
            <w:tcBorders>
              <w:top w:val="nil"/>
              <w:left w:val="nil"/>
              <w:bottom w:val="single" w:sz="4" w:space="0" w:color="auto"/>
              <w:right w:val="single" w:sz="4" w:space="0" w:color="auto"/>
            </w:tcBorders>
            <w:shd w:val="clear" w:color="auto" w:fill="auto"/>
            <w:vAlign w:val="center"/>
            <w:hideMark/>
          </w:tcPr>
          <w:p w14:paraId="29315723" w14:textId="77777777" w:rsidR="00002D76" w:rsidRPr="00336134" w:rsidRDefault="00002D76" w:rsidP="00D63204">
            <w:pPr>
              <w:spacing w:after="0" w:line="240" w:lineRule="auto"/>
              <w:rPr>
                <w:rFonts w:ascii="Calibri" w:hAnsi="Calibri"/>
                <w:color w:val="231F20"/>
                <w:sz w:val="16"/>
                <w:szCs w:val="16"/>
              </w:rPr>
            </w:pPr>
            <w:r w:rsidRPr="00336134">
              <w:rPr>
                <w:rFonts w:ascii="Calibri" w:hAnsi="Calibri"/>
                <w:color w:val="231F20"/>
                <w:sz w:val="16"/>
                <w:szCs w:val="16"/>
              </w:rPr>
              <w:t>15.2%</w:t>
            </w:r>
          </w:p>
        </w:tc>
      </w:tr>
      <w:tr w:rsidR="00002D76" w:rsidRPr="00336134" w14:paraId="5FF294C2" w14:textId="77777777" w:rsidTr="001429C7">
        <w:trPr>
          <w:trHeight w:val="300"/>
        </w:trPr>
        <w:tc>
          <w:tcPr>
            <w:tcW w:w="0" w:type="auto"/>
            <w:tcBorders>
              <w:top w:val="nil"/>
              <w:left w:val="single" w:sz="4" w:space="0" w:color="auto"/>
              <w:bottom w:val="single" w:sz="4" w:space="0" w:color="auto"/>
              <w:right w:val="single" w:sz="4" w:space="0" w:color="auto"/>
            </w:tcBorders>
            <w:shd w:val="clear" w:color="000000" w:fill="E6E7E8"/>
            <w:vAlign w:val="center"/>
            <w:hideMark/>
          </w:tcPr>
          <w:p w14:paraId="4D208D10" w14:textId="77777777" w:rsidR="00002D76" w:rsidRPr="00336134" w:rsidRDefault="00002D76" w:rsidP="001429C7">
            <w:pPr>
              <w:spacing w:after="0" w:line="240" w:lineRule="auto"/>
              <w:rPr>
                <w:rFonts w:ascii="Calibri" w:hAnsi="Calibri"/>
                <w:color w:val="231F20"/>
                <w:sz w:val="16"/>
                <w:szCs w:val="16"/>
              </w:rPr>
            </w:pPr>
            <w:r w:rsidRPr="00336134">
              <w:rPr>
                <w:rFonts w:ascii="Calibri" w:hAnsi="Calibri"/>
                <w:color w:val="231F20"/>
                <w:sz w:val="16"/>
                <w:szCs w:val="16"/>
              </w:rPr>
              <w:t>332500</w:t>
            </w:r>
          </w:p>
        </w:tc>
        <w:tc>
          <w:tcPr>
            <w:tcW w:w="0" w:type="auto"/>
            <w:tcBorders>
              <w:top w:val="nil"/>
              <w:left w:val="nil"/>
              <w:bottom w:val="single" w:sz="4" w:space="0" w:color="auto"/>
              <w:right w:val="single" w:sz="4" w:space="0" w:color="auto"/>
            </w:tcBorders>
            <w:shd w:val="clear" w:color="000000" w:fill="E6E7E8"/>
            <w:vAlign w:val="center"/>
            <w:hideMark/>
          </w:tcPr>
          <w:p w14:paraId="74D06A30" w14:textId="77777777" w:rsidR="00002D76" w:rsidRPr="00336134" w:rsidRDefault="00002D76" w:rsidP="001429C7">
            <w:pPr>
              <w:spacing w:after="0" w:line="240" w:lineRule="auto"/>
              <w:rPr>
                <w:rFonts w:ascii="Calibri" w:hAnsi="Calibri"/>
                <w:color w:val="231F20"/>
                <w:sz w:val="16"/>
                <w:szCs w:val="16"/>
              </w:rPr>
            </w:pPr>
            <w:r w:rsidRPr="00336134">
              <w:rPr>
                <w:rFonts w:ascii="Calibri" w:hAnsi="Calibri"/>
                <w:color w:val="231F20"/>
                <w:sz w:val="16"/>
                <w:szCs w:val="16"/>
              </w:rPr>
              <w:t>Hardware Manufacturing</w:t>
            </w:r>
          </w:p>
        </w:tc>
        <w:tc>
          <w:tcPr>
            <w:tcW w:w="0" w:type="auto"/>
            <w:tcBorders>
              <w:top w:val="nil"/>
              <w:left w:val="nil"/>
              <w:bottom w:val="single" w:sz="4" w:space="0" w:color="auto"/>
              <w:right w:val="single" w:sz="4" w:space="0" w:color="auto"/>
            </w:tcBorders>
            <w:shd w:val="clear" w:color="000000" w:fill="E6E7E8"/>
            <w:vAlign w:val="center"/>
            <w:hideMark/>
          </w:tcPr>
          <w:p w14:paraId="7A86A94C" w14:textId="77777777" w:rsidR="00002D76" w:rsidRPr="00336134" w:rsidRDefault="00002D76" w:rsidP="00D63204">
            <w:pPr>
              <w:spacing w:after="0" w:line="240" w:lineRule="auto"/>
              <w:rPr>
                <w:rFonts w:ascii="Calibri" w:hAnsi="Calibri"/>
                <w:color w:val="231F20"/>
                <w:sz w:val="16"/>
                <w:szCs w:val="16"/>
              </w:rPr>
            </w:pPr>
            <w:r w:rsidRPr="00336134">
              <w:rPr>
                <w:rFonts w:ascii="Calibri" w:hAnsi="Calibri"/>
                <w:color w:val="231F20"/>
                <w:sz w:val="16"/>
                <w:szCs w:val="16"/>
              </w:rPr>
              <w:t>514</w:t>
            </w:r>
          </w:p>
        </w:tc>
        <w:tc>
          <w:tcPr>
            <w:tcW w:w="0" w:type="auto"/>
            <w:tcBorders>
              <w:top w:val="nil"/>
              <w:left w:val="nil"/>
              <w:bottom w:val="single" w:sz="4" w:space="0" w:color="auto"/>
              <w:right w:val="single" w:sz="4" w:space="0" w:color="auto"/>
            </w:tcBorders>
            <w:shd w:val="clear" w:color="000000" w:fill="E6E7E8"/>
            <w:vAlign w:val="center"/>
            <w:hideMark/>
          </w:tcPr>
          <w:p w14:paraId="1B19BE2D" w14:textId="77777777" w:rsidR="00002D76" w:rsidRPr="00336134" w:rsidRDefault="00002D76" w:rsidP="00D63204">
            <w:pPr>
              <w:spacing w:after="0" w:line="240" w:lineRule="auto"/>
              <w:rPr>
                <w:rFonts w:ascii="Calibri" w:hAnsi="Calibri"/>
                <w:color w:val="231F20"/>
                <w:sz w:val="16"/>
                <w:szCs w:val="16"/>
              </w:rPr>
            </w:pPr>
            <w:r w:rsidRPr="00336134">
              <w:rPr>
                <w:rFonts w:ascii="Calibri" w:hAnsi="Calibri"/>
                <w:color w:val="231F20"/>
                <w:sz w:val="16"/>
                <w:szCs w:val="16"/>
              </w:rPr>
              <w:t>592</w:t>
            </w:r>
          </w:p>
        </w:tc>
        <w:tc>
          <w:tcPr>
            <w:tcW w:w="0" w:type="auto"/>
            <w:tcBorders>
              <w:top w:val="nil"/>
              <w:left w:val="nil"/>
              <w:bottom w:val="single" w:sz="4" w:space="0" w:color="auto"/>
              <w:right w:val="single" w:sz="4" w:space="0" w:color="auto"/>
            </w:tcBorders>
            <w:shd w:val="clear" w:color="000000" w:fill="E6E7E8"/>
            <w:vAlign w:val="center"/>
            <w:hideMark/>
          </w:tcPr>
          <w:p w14:paraId="45A177AC" w14:textId="77777777" w:rsidR="00002D76" w:rsidRPr="00336134" w:rsidRDefault="00002D76" w:rsidP="00D63204">
            <w:pPr>
              <w:spacing w:after="0" w:line="240" w:lineRule="auto"/>
              <w:rPr>
                <w:rFonts w:ascii="Calibri" w:hAnsi="Calibri"/>
                <w:color w:val="231F20"/>
                <w:sz w:val="16"/>
                <w:szCs w:val="16"/>
              </w:rPr>
            </w:pPr>
            <w:r w:rsidRPr="00336134">
              <w:rPr>
                <w:rFonts w:ascii="Calibri" w:hAnsi="Calibri"/>
                <w:color w:val="231F20"/>
                <w:sz w:val="16"/>
                <w:szCs w:val="16"/>
              </w:rPr>
              <w:t>78</w:t>
            </w:r>
          </w:p>
        </w:tc>
        <w:tc>
          <w:tcPr>
            <w:tcW w:w="0" w:type="auto"/>
            <w:tcBorders>
              <w:top w:val="nil"/>
              <w:left w:val="nil"/>
              <w:bottom w:val="single" w:sz="4" w:space="0" w:color="auto"/>
              <w:right w:val="single" w:sz="4" w:space="0" w:color="auto"/>
            </w:tcBorders>
            <w:shd w:val="clear" w:color="000000" w:fill="E6E7E8"/>
            <w:vAlign w:val="center"/>
            <w:hideMark/>
          </w:tcPr>
          <w:p w14:paraId="5E78EB95" w14:textId="77777777" w:rsidR="00002D76" w:rsidRPr="00336134" w:rsidRDefault="00002D76" w:rsidP="00D63204">
            <w:pPr>
              <w:spacing w:after="0" w:line="240" w:lineRule="auto"/>
              <w:rPr>
                <w:rFonts w:ascii="Calibri" w:hAnsi="Calibri"/>
                <w:color w:val="231F20"/>
                <w:sz w:val="16"/>
                <w:szCs w:val="16"/>
              </w:rPr>
            </w:pPr>
            <w:r w:rsidRPr="00336134">
              <w:rPr>
                <w:rFonts w:ascii="Calibri" w:hAnsi="Calibri"/>
                <w:color w:val="231F20"/>
                <w:sz w:val="16"/>
                <w:szCs w:val="16"/>
              </w:rPr>
              <w:t>15.2%</w:t>
            </w:r>
          </w:p>
        </w:tc>
      </w:tr>
    </w:tbl>
    <w:p w14:paraId="7841CA50" w14:textId="77777777" w:rsidR="00002D76" w:rsidRPr="00EA7458" w:rsidRDefault="00002D76" w:rsidP="00002D76">
      <w:pPr>
        <w:widowControl w:val="0"/>
        <w:spacing w:before="102" w:after="0" w:line="240" w:lineRule="auto"/>
        <w:ind w:left="107"/>
        <w:rPr>
          <w:rFonts w:ascii="Calibri" w:hAnsi="Calibri" w:cs="Calibri"/>
          <w:sz w:val="18"/>
          <w:szCs w:val="18"/>
        </w:rPr>
      </w:pPr>
      <w:r w:rsidRPr="00EA7458">
        <w:rPr>
          <w:rFonts w:ascii="Calibri" w:hAnsi="Calibri"/>
          <w:color w:val="231F20"/>
          <w:w w:val="105"/>
          <w:sz w:val="18"/>
        </w:rPr>
        <w:t xml:space="preserve">Source:  Florida Department of Economic Opportunity, Bureau of Labor Market Statistics, </w:t>
      </w:r>
      <w:r>
        <w:rPr>
          <w:rFonts w:ascii="Calibri" w:hAnsi="Calibri"/>
          <w:color w:val="231F20"/>
          <w:w w:val="105"/>
          <w:sz w:val="18"/>
        </w:rPr>
        <w:t>December 2017</w:t>
      </w:r>
    </w:p>
    <w:p w14:paraId="0EFB583A" w14:textId="77777777" w:rsidR="00002D76" w:rsidRPr="00EA7458" w:rsidRDefault="00002D76" w:rsidP="00002D76">
      <w:pPr>
        <w:widowControl w:val="0"/>
        <w:spacing w:before="12" w:after="0" w:line="240" w:lineRule="auto"/>
        <w:ind w:left="107"/>
        <w:rPr>
          <w:rFonts w:ascii="Calibri" w:hAnsi="Calibri" w:cs="Calibri"/>
          <w:sz w:val="18"/>
          <w:szCs w:val="18"/>
        </w:rPr>
        <w:sectPr w:rsidR="00002D76" w:rsidRPr="00EA7458">
          <w:pgSz w:w="12240" w:h="15840"/>
          <w:pgMar w:top="1620" w:right="900" w:bottom="820" w:left="900" w:header="812" w:footer="624" w:gutter="0"/>
          <w:cols w:space="720"/>
        </w:sectPr>
      </w:pPr>
    </w:p>
    <w:p w14:paraId="5B74519B" w14:textId="77777777" w:rsidR="00002D76" w:rsidRPr="00EA7458" w:rsidRDefault="00002D76" w:rsidP="00002D76">
      <w:pPr>
        <w:widowControl w:val="0"/>
        <w:spacing w:before="4" w:after="0" w:line="240" w:lineRule="auto"/>
        <w:rPr>
          <w:rFonts w:ascii="Calibri" w:hAnsi="Calibri" w:cs="Calibri"/>
          <w:sz w:val="14"/>
          <w:szCs w:val="14"/>
        </w:rPr>
      </w:pPr>
    </w:p>
    <w:p w14:paraId="186B8B6A" w14:textId="471550B6" w:rsidR="00002D76" w:rsidRPr="00EA7458" w:rsidRDefault="00002D76" w:rsidP="00D63204">
      <w:pPr>
        <w:widowControl w:val="0"/>
        <w:spacing w:before="57" w:after="0" w:line="240" w:lineRule="auto"/>
        <w:ind w:left="107"/>
        <w:outlineLvl w:val="2"/>
        <w:rPr>
          <w:rFonts w:ascii="Calibri" w:hAnsi="Calibri"/>
        </w:rPr>
      </w:pPr>
      <w:r w:rsidRPr="00EA7458">
        <w:rPr>
          <w:rFonts w:ascii="Calibri" w:hAnsi="Calibri"/>
          <w:b/>
          <w:bCs/>
          <w:color w:val="231F20"/>
          <w:w w:val="110"/>
        </w:rPr>
        <w:t>Emerging</w:t>
      </w:r>
      <w:r w:rsidRPr="00EA7458">
        <w:rPr>
          <w:rFonts w:ascii="Calibri" w:hAnsi="Calibri"/>
          <w:b/>
          <w:bCs/>
          <w:color w:val="231F20"/>
          <w:spacing w:val="22"/>
          <w:w w:val="110"/>
        </w:rPr>
        <w:t xml:space="preserve"> </w:t>
      </w:r>
      <w:r w:rsidRPr="00EA7458">
        <w:rPr>
          <w:rFonts w:ascii="Calibri" w:hAnsi="Calibri"/>
          <w:b/>
          <w:bCs/>
          <w:color w:val="231F20"/>
          <w:w w:val="110"/>
        </w:rPr>
        <w:t>Occupations</w:t>
      </w:r>
    </w:p>
    <w:p w14:paraId="70D02EC2" w14:textId="79CC7FE8" w:rsidR="00002D76" w:rsidRPr="005D37D4" w:rsidRDefault="00002D76" w:rsidP="00D63204">
      <w:pPr>
        <w:widowControl w:val="0"/>
        <w:spacing w:before="2" w:after="0" w:line="240" w:lineRule="auto"/>
        <w:ind w:left="107"/>
        <w:rPr>
          <w:rFonts w:ascii="Calibri" w:hAnsi="Calibri"/>
        </w:rPr>
      </w:pPr>
      <w:r w:rsidRPr="005D37D4">
        <w:rPr>
          <w:rFonts w:ascii="Calibri" w:hAnsi="Calibri"/>
          <w:color w:val="231F20"/>
          <w:w w:val="105"/>
        </w:rPr>
        <w:t>Emerging occupations consist of (1) new occupations in the workforce and (2) traditional</w:t>
      </w:r>
      <w:r w:rsidRPr="005D37D4">
        <w:rPr>
          <w:rFonts w:ascii="Calibri" w:hAnsi="Calibri"/>
          <w:color w:val="231F20"/>
          <w:spacing w:val="20"/>
          <w:w w:val="105"/>
        </w:rPr>
        <w:t xml:space="preserve"> </w:t>
      </w:r>
      <w:r w:rsidRPr="005D37D4">
        <w:rPr>
          <w:rFonts w:ascii="Calibri" w:hAnsi="Calibri"/>
          <w:color w:val="231F20"/>
          <w:w w:val="105"/>
        </w:rPr>
        <w:t>occupations</w:t>
      </w:r>
      <w:r w:rsidRPr="005D37D4">
        <w:rPr>
          <w:rFonts w:ascii="Calibri" w:hAnsi="Calibri"/>
          <w:color w:val="231F20"/>
          <w:w w:val="108"/>
        </w:rPr>
        <w:t xml:space="preserve"> </w:t>
      </w:r>
      <w:r w:rsidRPr="005D37D4">
        <w:rPr>
          <w:rFonts w:ascii="Calibri" w:hAnsi="Calibri"/>
          <w:color w:val="231F20"/>
          <w:w w:val="105"/>
        </w:rPr>
        <w:t>whose</w:t>
      </w:r>
      <w:r w:rsidRPr="005D37D4">
        <w:rPr>
          <w:rFonts w:ascii="Calibri" w:hAnsi="Calibri"/>
          <w:color w:val="231F20"/>
          <w:spacing w:val="14"/>
          <w:w w:val="105"/>
        </w:rPr>
        <w:t xml:space="preserve"> </w:t>
      </w:r>
      <w:r w:rsidRPr="005D37D4">
        <w:rPr>
          <w:rFonts w:ascii="Calibri" w:hAnsi="Calibri"/>
          <w:color w:val="231F20"/>
          <w:w w:val="105"/>
        </w:rPr>
        <w:t>requisite</w:t>
      </w:r>
      <w:r w:rsidRPr="005D37D4">
        <w:rPr>
          <w:rFonts w:ascii="Calibri" w:hAnsi="Calibri"/>
          <w:color w:val="231F20"/>
          <w:spacing w:val="14"/>
          <w:w w:val="105"/>
        </w:rPr>
        <w:t xml:space="preserve"> </w:t>
      </w:r>
      <w:r w:rsidRPr="005D37D4">
        <w:rPr>
          <w:rFonts w:ascii="Calibri" w:hAnsi="Calibri"/>
          <w:color w:val="231F20"/>
          <w:w w:val="105"/>
        </w:rPr>
        <w:t>knowledge,</w:t>
      </w:r>
      <w:r w:rsidRPr="005D37D4">
        <w:rPr>
          <w:rFonts w:ascii="Calibri" w:hAnsi="Calibri"/>
          <w:color w:val="231F20"/>
          <w:spacing w:val="14"/>
          <w:w w:val="105"/>
        </w:rPr>
        <w:t xml:space="preserve"> </w:t>
      </w:r>
      <w:r w:rsidRPr="005D37D4">
        <w:rPr>
          <w:rFonts w:ascii="Calibri" w:hAnsi="Calibri"/>
          <w:color w:val="231F20"/>
          <w:w w:val="105"/>
        </w:rPr>
        <w:t>skills</w:t>
      </w:r>
      <w:r w:rsidR="00D5537E">
        <w:rPr>
          <w:rFonts w:ascii="Calibri" w:hAnsi="Calibri"/>
          <w:color w:val="231F20"/>
          <w:w w:val="105"/>
        </w:rPr>
        <w:t xml:space="preserve"> and</w:t>
      </w:r>
      <w:r w:rsidRPr="005D37D4">
        <w:rPr>
          <w:rFonts w:ascii="Calibri" w:hAnsi="Calibri"/>
          <w:color w:val="231F20"/>
          <w:spacing w:val="14"/>
          <w:w w:val="105"/>
        </w:rPr>
        <w:t xml:space="preserve"> </w:t>
      </w:r>
      <w:r w:rsidRPr="005D37D4">
        <w:rPr>
          <w:rFonts w:ascii="Calibri" w:hAnsi="Calibri"/>
          <w:color w:val="231F20"/>
          <w:w w:val="105"/>
        </w:rPr>
        <w:t>abilities</w:t>
      </w:r>
      <w:r w:rsidRPr="005D37D4">
        <w:rPr>
          <w:rFonts w:ascii="Calibri" w:hAnsi="Calibri"/>
          <w:color w:val="231F20"/>
          <w:spacing w:val="14"/>
          <w:w w:val="105"/>
        </w:rPr>
        <w:t xml:space="preserve"> </w:t>
      </w:r>
      <w:r w:rsidRPr="005D37D4">
        <w:rPr>
          <w:rFonts w:ascii="Calibri" w:hAnsi="Calibri"/>
          <w:color w:val="231F20"/>
          <w:w w:val="105"/>
        </w:rPr>
        <w:t>are</w:t>
      </w:r>
      <w:r w:rsidRPr="005D37D4">
        <w:rPr>
          <w:rFonts w:ascii="Calibri" w:hAnsi="Calibri"/>
          <w:color w:val="231F20"/>
          <w:spacing w:val="14"/>
          <w:w w:val="105"/>
        </w:rPr>
        <w:t xml:space="preserve"> </w:t>
      </w:r>
      <w:r w:rsidRPr="005D37D4">
        <w:rPr>
          <w:rFonts w:ascii="Calibri" w:hAnsi="Calibri"/>
          <w:color w:val="231F20"/>
          <w:w w:val="105"/>
        </w:rPr>
        <w:t>currently</w:t>
      </w:r>
      <w:r w:rsidRPr="005D37D4">
        <w:rPr>
          <w:rFonts w:ascii="Calibri" w:hAnsi="Calibri"/>
          <w:color w:val="231F20"/>
          <w:spacing w:val="14"/>
          <w:w w:val="105"/>
        </w:rPr>
        <w:t xml:space="preserve"> </w:t>
      </w:r>
      <w:r w:rsidRPr="005D37D4">
        <w:rPr>
          <w:rFonts w:ascii="Calibri" w:hAnsi="Calibri"/>
          <w:color w:val="231F20"/>
          <w:w w:val="105"/>
        </w:rPr>
        <w:t>evolving</w:t>
      </w:r>
      <w:r w:rsidRPr="005D37D4">
        <w:rPr>
          <w:rFonts w:ascii="Calibri" w:hAnsi="Calibri"/>
          <w:color w:val="231F20"/>
          <w:spacing w:val="14"/>
          <w:w w:val="105"/>
        </w:rPr>
        <w:t xml:space="preserve"> </w:t>
      </w:r>
      <w:r w:rsidRPr="005D37D4">
        <w:rPr>
          <w:rFonts w:ascii="Calibri" w:hAnsi="Calibri"/>
          <w:color w:val="231F20"/>
          <w:w w:val="105"/>
        </w:rPr>
        <w:t>in</w:t>
      </w:r>
      <w:r w:rsidRPr="005D37D4">
        <w:rPr>
          <w:rFonts w:ascii="Calibri" w:hAnsi="Calibri"/>
          <w:color w:val="231F20"/>
          <w:spacing w:val="14"/>
          <w:w w:val="105"/>
        </w:rPr>
        <w:t xml:space="preserve"> </w:t>
      </w:r>
      <w:r w:rsidRPr="005D37D4">
        <w:rPr>
          <w:rFonts w:ascii="Calibri" w:hAnsi="Calibri"/>
          <w:color w:val="231F20"/>
          <w:w w:val="105"/>
        </w:rPr>
        <w:t>response</w:t>
      </w:r>
      <w:r w:rsidRPr="005D37D4">
        <w:rPr>
          <w:rFonts w:ascii="Calibri" w:hAnsi="Calibri"/>
          <w:color w:val="231F20"/>
          <w:spacing w:val="14"/>
          <w:w w:val="105"/>
        </w:rPr>
        <w:t xml:space="preserve"> </w:t>
      </w:r>
      <w:r w:rsidRPr="005D37D4">
        <w:rPr>
          <w:rFonts w:ascii="Calibri" w:hAnsi="Calibri"/>
          <w:color w:val="231F20"/>
          <w:w w:val="105"/>
        </w:rPr>
        <w:t>to</w:t>
      </w:r>
      <w:r w:rsidRPr="005D37D4">
        <w:rPr>
          <w:rFonts w:ascii="Calibri" w:hAnsi="Calibri"/>
          <w:color w:val="231F20"/>
          <w:spacing w:val="14"/>
          <w:w w:val="105"/>
        </w:rPr>
        <w:t xml:space="preserve"> </w:t>
      </w:r>
      <w:r w:rsidRPr="005D37D4">
        <w:rPr>
          <w:rFonts w:ascii="Calibri" w:hAnsi="Calibri"/>
          <w:color w:val="231F20"/>
          <w:w w:val="105"/>
        </w:rPr>
        <w:t>altered</w:t>
      </w:r>
      <w:r w:rsidRPr="005D37D4">
        <w:rPr>
          <w:rFonts w:ascii="Calibri" w:hAnsi="Calibri"/>
          <w:color w:val="231F20"/>
          <w:spacing w:val="14"/>
          <w:w w:val="105"/>
        </w:rPr>
        <w:t xml:space="preserve"> </w:t>
      </w:r>
      <w:r w:rsidRPr="005D37D4">
        <w:rPr>
          <w:rFonts w:ascii="Calibri" w:hAnsi="Calibri"/>
          <w:color w:val="231F20"/>
          <w:w w:val="105"/>
        </w:rPr>
        <w:t>market</w:t>
      </w:r>
      <w:r w:rsidRPr="005D37D4">
        <w:rPr>
          <w:rFonts w:ascii="Calibri" w:hAnsi="Calibri"/>
          <w:color w:val="231F20"/>
          <w:spacing w:val="-31"/>
          <w:w w:val="105"/>
        </w:rPr>
        <w:t xml:space="preserve"> </w:t>
      </w:r>
      <w:r w:rsidRPr="005D37D4">
        <w:rPr>
          <w:rFonts w:ascii="Calibri" w:hAnsi="Calibri"/>
          <w:color w:val="231F20"/>
          <w:w w:val="105"/>
        </w:rPr>
        <w:t>conditions, new technology</w:t>
      </w:r>
      <w:r w:rsidR="00D5537E">
        <w:rPr>
          <w:rFonts w:ascii="Calibri" w:hAnsi="Calibri"/>
          <w:color w:val="231F20"/>
          <w:w w:val="105"/>
        </w:rPr>
        <w:t xml:space="preserve"> and</w:t>
      </w:r>
      <w:r w:rsidRPr="005D37D4">
        <w:rPr>
          <w:rFonts w:ascii="Calibri" w:hAnsi="Calibri"/>
          <w:color w:val="231F20"/>
          <w:w w:val="105"/>
        </w:rPr>
        <w:t xml:space="preserve"> societal changes.</w:t>
      </w:r>
    </w:p>
    <w:p w14:paraId="3D7A1FEF" w14:textId="33871AC2" w:rsidR="00CD1C1C" w:rsidRPr="00CD1C1C" w:rsidRDefault="00CD1C1C" w:rsidP="00D63204">
      <w:pPr>
        <w:widowControl w:val="0"/>
        <w:spacing w:before="195" w:after="0" w:line="240" w:lineRule="auto"/>
        <w:ind w:left="107"/>
        <w:rPr>
          <w:rFonts w:ascii="Calibri" w:hAnsi="Calibri"/>
        </w:rPr>
      </w:pPr>
      <w:r w:rsidRPr="00CD1C1C">
        <w:rPr>
          <w:rFonts w:ascii="Calibri" w:hAnsi="Calibri"/>
          <w:color w:val="231F20"/>
          <w:w w:val="110"/>
        </w:rPr>
        <w:t>Some</w:t>
      </w:r>
      <w:r w:rsidRPr="00CD1C1C">
        <w:rPr>
          <w:rFonts w:ascii="Calibri" w:hAnsi="Calibri"/>
          <w:color w:val="231F20"/>
          <w:spacing w:val="-14"/>
          <w:w w:val="110"/>
        </w:rPr>
        <w:t xml:space="preserve"> </w:t>
      </w:r>
      <w:r w:rsidRPr="00CD1C1C">
        <w:rPr>
          <w:rFonts w:ascii="Calibri" w:hAnsi="Calibri"/>
          <w:color w:val="231F20"/>
          <w:w w:val="110"/>
        </w:rPr>
        <w:t>of</w:t>
      </w:r>
      <w:r w:rsidRPr="00CD1C1C">
        <w:rPr>
          <w:rFonts w:ascii="Calibri" w:hAnsi="Calibri"/>
          <w:color w:val="231F20"/>
          <w:spacing w:val="-14"/>
          <w:w w:val="110"/>
        </w:rPr>
        <w:t xml:space="preserve"> </w:t>
      </w:r>
      <w:r w:rsidRPr="00CD1C1C">
        <w:rPr>
          <w:rFonts w:ascii="Calibri" w:hAnsi="Calibri"/>
          <w:color w:val="231F20"/>
          <w:w w:val="110"/>
        </w:rPr>
        <w:t>the</w:t>
      </w:r>
      <w:r w:rsidRPr="00CD1C1C">
        <w:rPr>
          <w:rFonts w:ascii="Calibri" w:hAnsi="Calibri"/>
          <w:color w:val="231F20"/>
          <w:spacing w:val="-14"/>
          <w:w w:val="110"/>
        </w:rPr>
        <w:t xml:space="preserve"> </w:t>
      </w:r>
      <w:r w:rsidRPr="00CD1C1C">
        <w:rPr>
          <w:rFonts w:ascii="Calibri" w:hAnsi="Calibri"/>
          <w:color w:val="231F20"/>
          <w:w w:val="110"/>
        </w:rPr>
        <w:t>factors</w:t>
      </w:r>
      <w:r w:rsidRPr="00CD1C1C">
        <w:rPr>
          <w:rFonts w:ascii="Calibri" w:hAnsi="Calibri"/>
          <w:color w:val="231F20"/>
          <w:spacing w:val="-14"/>
          <w:w w:val="110"/>
        </w:rPr>
        <w:t xml:space="preserve"> </w:t>
      </w:r>
      <w:r w:rsidRPr="00CD1C1C">
        <w:rPr>
          <w:rFonts w:ascii="Calibri" w:hAnsi="Calibri"/>
          <w:color w:val="231F20"/>
          <w:w w:val="110"/>
        </w:rPr>
        <w:t>that</w:t>
      </w:r>
      <w:r w:rsidRPr="00CD1C1C">
        <w:rPr>
          <w:rFonts w:ascii="Calibri" w:hAnsi="Calibri"/>
          <w:color w:val="231F20"/>
          <w:spacing w:val="-14"/>
          <w:w w:val="110"/>
        </w:rPr>
        <w:t xml:space="preserve"> </w:t>
      </w:r>
      <w:r w:rsidRPr="00CD1C1C">
        <w:rPr>
          <w:rFonts w:ascii="Calibri" w:hAnsi="Calibri"/>
          <w:color w:val="231F20"/>
          <w:w w:val="110"/>
        </w:rPr>
        <w:t>cause</w:t>
      </w:r>
      <w:r w:rsidRPr="00CD1C1C">
        <w:rPr>
          <w:rFonts w:ascii="Calibri" w:hAnsi="Calibri"/>
          <w:color w:val="231F20"/>
          <w:spacing w:val="-14"/>
          <w:w w:val="110"/>
        </w:rPr>
        <w:t xml:space="preserve"> </w:t>
      </w:r>
      <w:r w:rsidRPr="00CD1C1C">
        <w:rPr>
          <w:rFonts w:ascii="Calibri" w:hAnsi="Calibri"/>
          <w:color w:val="231F20"/>
          <w:w w:val="110"/>
        </w:rPr>
        <w:t>occupations</w:t>
      </w:r>
      <w:r w:rsidRPr="00CD1C1C">
        <w:rPr>
          <w:rFonts w:ascii="Calibri" w:hAnsi="Calibri"/>
          <w:color w:val="231F20"/>
          <w:spacing w:val="-14"/>
          <w:w w:val="110"/>
        </w:rPr>
        <w:t xml:space="preserve"> </w:t>
      </w:r>
      <w:r w:rsidRPr="00CD1C1C">
        <w:rPr>
          <w:rFonts w:ascii="Calibri" w:hAnsi="Calibri"/>
          <w:color w:val="231F20"/>
          <w:w w:val="110"/>
        </w:rPr>
        <w:t>to</w:t>
      </w:r>
      <w:r w:rsidRPr="00CD1C1C">
        <w:rPr>
          <w:rFonts w:ascii="Calibri" w:hAnsi="Calibri"/>
          <w:color w:val="231F20"/>
          <w:spacing w:val="-14"/>
          <w:w w:val="110"/>
        </w:rPr>
        <w:t xml:space="preserve"> </w:t>
      </w:r>
      <w:r w:rsidRPr="00CD1C1C">
        <w:rPr>
          <w:rFonts w:ascii="Calibri" w:hAnsi="Calibri"/>
          <w:color w:val="231F20"/>
          <w:w w:val="110"/>
        </w:rPr>
        <w:t>emerge</w:t>
      </w:r>
      <w:r w:rsidRPr="00CD1C1C">
        <w:rPr>
          <w:rFonts w:ascii="Calibri" w:hAnsi="Calibri"/>
          <w:color w:val="231F20"/>
          <w:spacing w:val="-14"/>
          <w:w w:val="110"/>
        </w:rPr>
        <w:t xml:space="preserve"> </w:t>
      </w:r>
      <w:r w:rsidRPr="00CD1C1C">
        <w:rPr>
          <w:rFonts w:ascii="Calibri" w:hAnsi="Calibri"/>
          <w:color w:val="231F20"/>
          <w:w w:val="110"/>
        </w:rPr>
        <w:t>are</w:t>
      </w:r>
      <w:r w:rsidRPr="00CD1C1C">
        <w:rPr>
          <w:rFonts w:ascii="Calibri" w:hAnsi="Calibri"/>
          <w:color w:val="231F20"/>
          <w:spacing w:val="-14"/>
          <w:w w:val="110"/>
        </w:rPr>
        <w:t xml:space="preserve"> </w:t>
      </w:r>
      <w:r w:rsidRPr="00CD1C1C">
        <w:rPr>
          <w:rFonts w:ascii="Calibri" w:hAnsi="Calibri"/>
          <w:color w:val="231F20"/>
          <w:w w:val="110"/>
        </w:rPr>
        <w:t>changing</w:t>
      </w:r>
      <w:r w:rsidRPr="00CD1C1C">
        <w:rPr>
          <w:rFonts w:ascii="Calibri" w:hAnsi="Calibri"/>
          <w:color w:val="231F20"/>
          <w:spacing w:val="-14"/>
          <w:w w:val="110"/>
        </w:rPr>
        <w:t xml:space="preserve"> </w:t>
      </w:r>
      <w:r w:rsidRPr="00CD1C1C">
        <w:rPr>
          <w:rFonts w:ascii="Calibri" w:hAnsi="Calibri"/>
          <w:color w:val="231F20"/>
          <w:w w:val="110"/>
        </w:rPr>
        <w:t>technology,</w:t>
      </w:r>
      <w:r w:rsidRPr="00CD1C1C">
        <w:rPr>
          <w:rFonts w:ascii="Calibri" w:hAnsi="Calibri"/>
          <w:color w:val="231F20"/>
          <w:spacing w:val="-14"/>
          <w:w w:val="110"/>
        </w:rPr>
        <w:t xml:space="preserve"> </w:t>
      </w:r>
      <w:r w:rsidRPr="00CD1C1C">
        <w:rPr>
          <w:rFonts w:ascii="Calibri" w:hAnsi="Calibri"/>
          <w:color w:val="231F20"/>
          <w:w w:val="110"/>
        </w:rPr>
        <w:t>laws,</w:t>
      </w:r>
      <w:r w:rsidRPr="00CD1C1C">
        <w:rPr>
          <w:rFonts w:ascii="Calibri" w:hAnsi="Calibri"/>
          <w:color w:val="231F20"/>
          <w:spacing w:val="-14"/>
          <w:w w:val="110"/>
        </w:rPr>
        <w:t xml:space="preserve"> </w:t>
      </w:r>
      <w:r w:rsidRPr="00CD1C1C">
        <w:rPr>
          <w:rFonts w:ascii="Calibri" w:hAnsi="Calibri"/>
          <w:color w:val="231F20"/>
          <w:w w:val="110"/>
        </w:rPr>
        <w:t>demographics</w:t>
      </w:r>
      <w:r w:rsidR="00D5537E">
        <w:rPr>
          <w:rFonts w:ascii="Calibri" w:hAnsi="Calibri"/>
          <w:color w:val="231F20"/>
          <w:w w:val="110"/>
        </w:rPr>
        <w:t xml:space="preserve"> and</w:t>
      </w:r>
      <w:r w:rsidRPr="00CD1C1C">
        <w:rPr>
          <w:rFonts w:ascii="Calibri" w:hAnsi="Calibri"/>
          <w:color w:val="231F20"/>
          <w:spacing w:val="-11"/>
          <w:w w:val="110"/>
        </w:rPr>
        <w:t xml:space="preserve"> </w:t>
      </w:r>
      <w:r w:rsidRPr="00CD1C1C">
        <w:rPr>
          <w:rFonts w:ascii="Calibri" w:hAnsi="Calibri"/>
          <w:color w:val="231F20"/>
          <w:w w:val="110"/>
        </w:rPr>
        <w:t>business</w:t>
      </w:r>
      <w:r w:rsidRPr="00CD1C1C">
        <w:rPr>
          <w:rFonts w:ascii="Calibri" w:hAnsi="Calibri"/>
          <w:color w:val="231F20"/>
          <w:spacing w:val="-11"/>
          <w:w w:val="110"/>
        </w:rPr>
        <w:t xml:space="preserve"> </w:t>
      </w:r>
      <w:r w:rsidRPr="00CD1C1C">
        <w:rPr>
          <w:rFonts w:ascii="Calibri" w:hAnsi="Calibri"/>
          <w:color w:val="231F20"/>
          <w:w w:val="110"/>
        </w:rPr>
        <w:t>practices.</w:t>
      </w:r>
      <w:r w:rsidRPr="00CD1C1C">
        <w:rPr>
          <w:rFonts w:ascii="Calibri" w:hAnsi="Calibri"/>
          <w:color w:val="231F20"/>
          <w:spacing w:val="33"/>
          <w:w w:val="110"/>
        </w:rPr>
        <w:t xml:space="preserve"> </w:t>
      </w:r>
      <w:r w:rsidRPr="00CD1C1C">
        <w:rPr>
          <w:rFonts w:ascii="Calibri" w:hAnsi="Calibri"/>
          <w:color w:val="231F20"/>
          <w:w w:val="110"/>
        </w:rPr>
        <w:t>In</w:t>
      </w:r>
      <w:r w:rsidRPr="00CD1C1C">
        <w:rPr>
          <w:rFonts w:ascii="Calibri" w:hAnsi="Calibri"/>
          <w:color w:val="231F20"/>
          <w:spacing w:val="-11"/>
          <w:w w:val="110"/>
        </w:rPr>
        <w:t xml:space="preserve"> </w:t>
      </w:r>
      <w:r w:rsidRPr="00CD1C1C">
        <w:rPr>
          <w:rFonts w:ascii="Calibri" w:hAnsi="Calibri"/>
          <w:color w:val="231F20"/>
          <w:w w:val="110"/>
        </w:rPr>
        <w:t>Florida,</w:t>
      </w:r>
      <w:r w:rsidRPr="00CD1C1C">
        <w:rPr>
          <w:rFonts w:ascii="Calibri" w:hAnsi="Calibri"/>
          <w:color w:val="231F20"/>
          <w:spacing w:val="-11"/>
          <w:w w:val="110"/>
        </w:rPr>
        <w:t xml:space="preserve"> </w:t>
      </w:r>
      <w:r w:rsidRPr="00CD1C1C">
        <w:rPr>
          <w:rFonts w:ascii="Calibri" w:hAnsi="Calibri"/>
          <w:color w:val="231F20"/>
          <w:w w:val="110"/>
        </w:rPr>
        <w:t>the fastest growing among the</w:t>
      </w:r>
      <w:r w:rsidRPr="00CD1C1C">
        <w:rPr>
          <w:rFonts w:ascii="Calibri" w:hAnsi="Calibri"/>
          <w:color w:val="231F20"/>
          <w:spacing w:val="-11"/>
          <w:w w:val="110"/>
        </w:rPr>
        <w:t xml:space="preserve"> </w:t>
      </w:r>
      <w:r w:rsidRPr="00CD1C1C">
        <w:rPr>
          <w:rFonts w:ascii="Calibri" w:hAnsi="Calibri"/>
          <w:color w:val="231F20"/>
          <w:w w:val="110"/>
        </w:rPr>
        <w:t>emerging</w:t>
      </w:r>
      <w:r w:rsidRPr="00CD1C1C">
        <w:rPr>
          <w:rFonts w:ascii="Calibri" w:hAnsi="Calibri"/>
          <w:color w:val="231F20"/>
          <w:spacing w:val="-11"/>
          <w:w w:val="110"/>
        </w:rPr>
        <w:t xml:space="preserve"> </w:t>
      </w:r>
      <w:r w:rsidRPr="00CD1C1C">
        <w:rPr>
          <w:rFonts w:ascii="Calibri" w:hAnsi="Calibri"/>
          <w:color w:val="231F20"/>
          <w:w w:val="110"/>
        </w:rPr>
        <w:t>occupations are</w:t>
      </w:r>
      <w:r w:rsidRPr="00CD1C1C">
        <w:rPr>
          <w:rFonts w:ascii="Calibri" w:hAnsi="Calibri"/>
          <w:color w:val="231F20"/>
          <w:spacing w:val="-11"/>
          <w:w w:val="110"/>
        </w:rPr>
        <w:t xml:space="preserve"> s</w:t>
      </w:r>
      <w:r w:rsidRPr="00CD1C1C">
        <w:rPr>
          <w:rFonts w:ascii="Calibri" w:hAnsi="Calibri"/>
          <w:color w:val="231F20"/>
          <w:w w:val="110"/>
        </w:rPr>
        <w:t>tatisticians, solar photovoltaic installers, nurse practitioners</w:t>
      </w:r>
      <w:r w:rsidR="00CA7B2A">
        <w:rPr>
          <w:rFonts w:ascii="Calibri" w:hAnsi="Calibri"/>
          <w:color w:val="231F20"/>
          <w:w w:val="110"/>
        </w:rPr>
        <w:t>,</w:t>
      </w:r>
      <w:r w:rsidRPr="00CD1C1C">
        <w:rPr>
          <w:rFonts w:ascii="Calibri" w:hAnsi="Calibri"/>
          <w:color w:val="231F20"/>
          <w:w w:val="110"/>
        </w:rPr>
        <w:t xml:space="preserve"> cartographers and photogrammetrists.</w:t>
      </w:r>
      <w:r w:rsidRPr="00CD1C1C">
        <w:rPr>
          <w:rFonts w:ascii="Calibri" w:hAnsi="Calibri"/>
          <w:color w:val="231F20"/>
          <w:spacing w:val="31"/>
          <w:w w:val="110"/>
        </w:rPr>
        <w:t xml:space="preserve"> </w:t>
      </w:r>
      <w:r w:rsidRPr="00CD1C1C">
        <w:rPr>
          <w:rFonts w:ascii="Calibri" w:hAnsi="Calibri"/>
          <w:color w:val="231F20"/>
          <w:w w:val="110"/>
        </w:rPr>
        <w:t>The</w:t>
      </w:r>
      <w:r w:rsidRPr="00CD1C1C">
        <w:rPr>
          <w:rFonts w:ascii="Calibri" w:hAnsi="Calibri"/>
          <w:color w:val="231F20"/>
          <w:spacing w:val="-12"/>
          <w:w w:val="110"/>
        </w:rPr>
        <w:t xml:space="preserve"> </w:t>
      </w:r>
      <w:r w:rsidRPr="00CD1C1C">
        <w:rPr>
          <w:rFonts w:ascii="Calibri" w:hAnsi="Calibri"/>
          <w:color w:val="231F20"/>
          <w:w w:val="110"/>
        </w:rPr>
        <w:t>most</w:t>
      </w:r>
      <w:r w:rsidRPr="00CD1C1C">
        <w:rPr>
          <w:rFonts w:ascii="Calibri" w:hAnsi="Calibri"/>
          <w:color w:val="231F20"/>
          <w:spacing w:val="-12"/>
          <w:w w:val="110"/>
        </w:rPr>
        <w:t xml:space="preserve"> </w:t>
      </w:r>
      <w:r w:rsidRPr="00CD1C1C">
        <w:rPr>
          <w:rFonts w:ascii="Calibri" w:hAnsi="Calibri"/>
          <w:color w:val="231F20"/>
          <w:w w:val="110"/>
        </w:rPr>
        <w:t>common</w:t>
      </w:r>
      <w:r w:rsidRPr="00CD1C1C">
        <w:rPr>
          <w:rFonts w:ascii="Calibri" w:hAnsi="Calibri"/>
          <w:color w:val="231F20"/>
          <w:spacing w:val="-12"/>
          <w:w w:val="110"/>
        </w:rPr>
        <w:t xml:space="preserve"> </w:t>
      </w:r>
      <w:r w:rsidRPr="00CD1C1C">
        <w:rPr>
          <w:rFonts w:ascii="Calibri" w:hAnsi="Calibri"/>
          <w:color w:val="231F20"/>
          <w:w w:val="110"/>
        </w:rPr>
        <w:t>industry</w:t>
      </w:r>
      <w:r w:rsidRPr="00CD1C1C">
        <w:rPr>
          <w:rFonts w:ascii="Calibri" w:hAnsi="Calibri"/>
          <w:color w:val="231F20"/>
          <w:spacing w:val="-12"/>
          <w:w w:val="110"/>
        </w:rPr>
        <w:t xml:space="preserve"> </w:t>
      </w:r>
      <w:r w:rsidRPr="00CD1C1C">
        <w:rPr>
          <w:rFonts w:ascii="Calibri" w:hAnsi="Calibri"/>
          <w:color w:val="231F20"/>
          <w:w w:val="110"/>
        </w:rPr>
        <w:t>sectors</w:t>
      </w:r>
      <w:r w:rsidRPr="00CD1C1C">
        <w:rPr>
          <w:rFonts w:ascii="Calibri" w:hAnsi="Calibri"/>
          <w:color w:val="231F20"/>
          <w:spacing w:val="-12"/>
          <w:w w:val="110"/>
        </w:rPr>
        <w:t xml:space="preserve"> </w:t>
      </w:r>
      <w:r w:rsidRPr="00CD1C1C">
        <w:rPr>
          <w:rFonts w:ascii="Calibri" w:hAnsi="Calibri"/>
          <w:color w:val="231F20"/>
          <w:w w:val="110"/>
        </w:rPr>
        <w:t>for</w:t>
      </w:r>
      <w:r w:rsidRPr="00CD1C1C">
        <w:rPr>
          <w:rFonts w:ascii="Calibri" w:hAnsi="Calibri"/>
          <w:color w:val="231F20"/>
        </w:rPr>
        <w:t xml:space="preserve"> </w:t>
      </w:r>
      <w:r w:rsidRPr="00CD1C1C">
        <w:rPr>
          <w:rFonts w:ascii="Calibri" w:hAnsi="Calibri"/>
          <w:color w:val="231F20"/>
          <w:w w:val="110"/>
        </w:rPr>
        <w:t>emerging</w:t>
      </w:r>
      <w:r w:rsidRPr="00CD1C1C">
        <w:rPr>
          <w:rFonts w:ascii="Calibri" w:hAnsi="Calibri"/>
          <w:color w:val="231F20"/>
          <w:spacing w:val="-10"/>
          <w:w w:val="110"/>
        </w:rPr>
        <w:t xml:space="preserve"> </w:t>
      </w:r>
      <w:r w:rsidRPr="00CD1C1C">
        <w:rPr>
          <w:rFonts w:ascii="Calibri" w:hAnsi="Calibri"/>
          <w:color w:val="231F20"/>
          <w:w w:val="110"/>
        </w:rPr>
        <w:t>occupations</w:t>
      </w:r>
      <w:r w:rsidRPr="00CD1C1C">
        <w:rPr>
          <w:rFonts w:ascii="Calibri" w:hAnsi="Calibri"/>
          <w:color w:val="231F20"/>
          <w:spacing w:val="-10"/>
          <w:w w:val="110"/>
        </w:rPr>
        <w:t xml:space="preserve"> </w:t>
      </w:r>
      <w:r w:rsidRPr="00CD1C1C">
        <w:rPr>
          <w:rFonts w:ascii="Calibri" w:hAnsi="Calibri"/>
          <w:color w:val="231F20"/>
          <w:w w:val="110"/>
        </w:rPr>
        <w:t>are</w:t>
      </w:r>
      <w:r w:rsidRPr="00CD1C1C">
        <w:rPr>
          <w:rFonts w:ascii="Calibri" w:hAnsi="Calibri"/>
          <w:color w:val="231F20"/>
          <w:spacing w:val="-10"/>
          <w:w w:val="110"/>
        </w:rPr>
        <w:t xml:space="preserve"> </w:t>
      </w:r>
      <w:r w:rsidRPr="00CD1C1C">
        <w:rPr>
          <w:rFonts w:ascii="Calibri" w:hAnsi="Calibri"/>
          <w:color w:val="231F20"/>
          <w:w w:val="110"/>
        </w:rPr>
        <w:t>healthcare</w:t>
      </w:r>
      <w:r w:rsidRPr="00CD1C1C">
        <w:rPr>
          <w:rFonts w:ascii="Calibri" w:hAnsi="Calibri"/>
          <w:color w:val="231F20"/>
          <w:spacing w:val="-10"/>
          <w:w w:val="110"/>
        </w:rPr>
        <w:t xml:space="preserve"> </w:t>
      </w:r>
      <w:r w:rsidRPr="00CD1C1C">
        <w:rPr>
          <w:rFonts w:ascii="Calibri" w:hAnsi="Calibri"/>
          <w:color w:val="231F20"/>
          <w:w w:val="110"/>
        </w:rPr>
        <w:t>and</w:t>
      </w:r>
      <w:r w:rsidRPr="00CD1C1C">
        <w:rPr>
          <w:rFonts w:ascii="Calibri" w:hAnsi="Calibri"/>
          <w:color w:val="231F20"/>
          <w:spacing w:val="-10"/>
          <w:w w:val="110"/>
        </w:rPr>
        <w:t xml:space="preserve"> </w:t>
      </w:r>
      <w:r w:rsidRPr="00CD1C1C">
        <w:rPr>
          <w:rFonts w:ascii="Calibri" w:hAnsi="Calibri"/>
          <w:color w:val="231F20"/>
          <w:w w:val="110"/>
        </w:rPr>
        <w:t>professional</w:t>
      </w:r>
      <w:r w:rsidRPr="00CD1C1C">
        <w:rPr>
          <w:rFonts w:ascii="Calibri" w:hAnsi="Calibri"/>
          <w:color w:val="231F20"/>
          <w:spacing w:val="-10"/>
          <w:w w:val="110"/>
        </w:rPr>
        <w:t xml:space="preserve"> </w:t>
      </w:r>
      <w:r w:rsidRPr="00CD1C1C">
        <w:rPr>
          <w:rFonts w:ascii="Calibri" w:hAnsi="Calibri"/>
          <w:color w:val="231F20"/>
          <w:w w:val="110"/>
        </w:rPr>
        <w:t>services,</w:t>
      </w:r>
      <w:r w:rsidRPr="00CD1C1C">
        <w:rPr>
          <w:rFonts w:ascii="Calibri" w:hAnsi="Calibri"/>
          <w:color w:val="231F20"/>
          <w:spacing w:val="-10"/>
          <w:w w:val="110"/>
        </w:rPr>
        <w:t xml:space="preserve"> </w:t>
      </w:r>
      <w:r w:rsidRPr="00CD1C1C">
        <w:rPr>
          <w:rFonts w:ascii="Calibri" w:hAnsi="Calibri"/>
          <w:color w:val="231F20"/>
          <w:w w:val="110"/>
        </w:rPr>
        <w:t>due</w:t>
      </w:r>
      <w:r w:rsidRPr="00CD1C1C">
        <w:rPr>
          <w:rFonts w:ascii="Calibri" w:hAnsi="Calibri"/>
          <w:color w:val="231F20"/>
          <w:spacing w:val="-10"/>
          <w:w w:val="110"/>
        </w:rPr>
        <w:t xml:space="preserve"> </w:t>
      </w:r>
      <w:r w:rsidRPr="00CD1C1C">
        <w:rPr>
          <w:rFonts w:ascii="Calibri" w:hAnsi="Calibri"/>
          <w:color w:val="231F20"/>
          <w:w w:val="110"/>
        </w:rPr>
        <w:t>to</w:t>
      </w:r>
      <w:r w:rsidRPr="00CD1C1C">
        <w:rPr>
          <w:rFonts w:ascii="Calibri" w:hAnsi="Calibri"/>
          <w:color w:val="231F20"/>
          <w:spacing w:val="-10"/>
          <w:w w:val="110"/>
        </w:rPr>
        <w:t xml:space="preserve"> </w:t>
      </w:r>
      <w:r w:rsidRPr="00CD1C1C">
        <w:rPr>
          <w:rFonts w:ascii="Calibri" w:hAnsi="Calibri"/>
          <w:color w:val="231F20"/>
          <w:w w:val="110"/>
        </w:rPr>
        <w:t>ongoing</w:t>
      </w:r>
      <w:r w:rsidRPr="00CD1C1C">
        <w:rPr>
          <w:rFonts w:ascii="Calibri" w:hAnsi="Calibri"/>
          <w:color w:val="231F20"/>
          <w:spacing w:val="-10"/>
          <w:w w:val="110"/>
        </w:rPr>
        <w:t xml:space="preserve"> </w:t>
      </w:r>
      <w:r w:rsidRPr="00CD1C1C">
        <w:rPr>
          <w:rFonts w:ascii="Calibri" w:hAnsi="Calibri"/>
          <w:color w:val="231F20"/>
          <w:w w:val="110"/>
        </w:rPr>
        <w:t>advances</w:t>
      </w:r>
      <w:r w:rsidRPr="00CD1C1C">
        <w:rPr>
          <w:rFonts w:ascii="Calibri" w:hAnsi="Calibri"/>
          <w:color w:val="231F20"/>
          <w:spacing w:val="-10"/>
          <w:w w:val="110"/>
        </w:rPr>
        <w:t xml:space="preserve"> </w:t>
      </w:r>
      <w:r w:rsidRPr="00CD1C1C">
        <w:rPr>
          <w:rFonts w:ascii="Calibri" w:hAnsi="Calibri"/>
          <w:color w:val="231F20"/>
          <w:w w:val="110"/>
        </w:rPr>
        <w:t>in</w:t>
      </w:r>
      <w:r w:rsidRPr="00CD1C1C">
        <w:rPr>
          <w:rFonts w:ascii="Calibri" w:hAnsi="Calibri"/>
          <w:color w:val="231F20"/>
          <w:spacing w:val="-10"/>
          <w:w w:val="110"/>
        </w:rPr>
        <w:t xml:space="preserve"> </w:t>
      </w:r>
      <w:r w:rsidRPr="00CD1C1C">
        <w:rPr>
          <w:rFonts w:ascii="Calibri" w:hAnsi="Calibri"/>
          <w:color w:val="231F20"/>
          <w:w w:val="110"/>
        </w:rPr>
        <w:t>medical technology;</w:t>
      </w:r>
      <w:r w:rsidRPr="00CD1C1C">
        <w:rPr>
          <w:rFonts w:ascii="Calibri" w:hAnsi="Calibri"/>
          <w:color w:val="231F20"/>
          <w:spacing w:val="-25"/>
          <w:w w:val="110"/>
        </w:rPr>
        <w:t xml:space="preserve"> </w:t>
      </w:r>
      <w:r w:rsidRPr="00CD1C1C">
        <w:rPr>
          <w:rFonts w:ascii="Calibri" w:hAnsi="Calibri"/>
          <w:color w:val="231F20"/>
          <w:w w:val="110"/>
        </w:rPr>
        <w:t>life,</w:t>
      </w:r>
      <w:r w:rsidRPr="00CD1C1C">
        <w:rPr>
          <w:rFonts w:ascii="Calibri" w:hAnsi="Calibri"/>
          <w:color w:val="231F20"/>
          <w:spacing w:val="-25"/>
          <w:w w:val="110"/>
        </w:rPr>
        <w:t xml:space="preserve"> </w:t>
      </w:r>
      <w:r w:rsidRPr="00CD1C1C">
        <w:rPr>
          <w:rFonts w:ascii="Calibri" w:hAnsi="Calibri"/>
          <w:color w:val="231F20"/>
          <w:w w:val="110"/>
        </w:rPr>
        <w:t>physical</w:t>
      </w:r>
      <w:r w:rsidR="00D5537E">
        <w:rPr>
          <w:rFonts w:ascii="Calibri" w:hAnsi="Calibri"/>
          <w:color w:val="231F20"/>
          <w:w w:val="110"/>
        </w:rPr>
        <w:t xml:space="preserve"> and</w:t>
      </w:r>
      <w:r w:rsidRPr="00CD1C1C">
        <w:rPr>
          <w:rFonts w:ascii="Calibri" w:hAnsi="Calibri"/>
          <w:color w:val="231F20"/>
          <w:spacing w:val="-25"/>
          <w:w w:val="110"/>
        </w:rPr>
        <w:t xml:space="preserve"> </w:t>
      </w:r>
      <w:r w:rsidRPr="00CD1C1C">
        <w:rPr>
          <w:rFonts w:ascii="Calibri" w:hAnsi="Calibri"/>
          <w:color w:val="231F20"/>
          <w:w w:val="110"/>
        </w:rPr>
        <w:t>environmental</w:t>
      </w:r>
      <w:r w:rsidRPr="00CD1C1C">
        <w:rPr>
          <w:rFonts w:ascii="Calibri" w:hAnsi="Calibri"/>
          <w:color w:val="231F20"/>
          <w:spacing w:val="-25"/>
          <w:w w:val="110"/>
        </w:rPr>
        <w:t xml:space="preserve"> </w:t>
      </w:r>
      <w:r w:rsidRPr="00CD1C1C">
        <w:rPr>
          <w:rFonts w:ascii="Calibri" w:hAnsi="Calibri"/>
          <w:color w:val="231F20"/>
          <w:w w:val="110"/>
        </w:rPr>
        <w:t>sciences;</w:t>
      </w:r>
      <w:r w:rsidRPr="00CD1C1C">
        <w:rPr>
          <w:rFonts w:ascii="Calibri" w:hAnsi="Calibri"/>
          <w:color w:val="231F20"/>
          <w:spacing w:val="-25"/>
          <w:w w:val="110"/>
        </w:rPr>
        <w:t xml:space="preserve"> </w:t>
      </w:r>
      <w:r w:rsidRPr="00CD1C1C">
        <w:rPr>
          <w:rFonts w:ascii="Calibri" w:hAnsi="Calibri"/>
          <w:color w:val="231F20"/>
          <w:w w:val="110"/>
        </w:rPr>
        <w:t>engineering,</w:t>
      </w:r>
      <w:r w:rsidRPr="00CD1C1C">
        <w:rPr>
          <w:rFonts w:ascii="Calibri" w:hAnsi="Calibri"/>
          <w:color w:val="231F20"/>
          <w:spacing w:val="-25"/>
          <w:w w:val="110"/>
        </w:rPr>
        <w:t xml:space="preserve"> </w:t>
      </w:r>
      <w:r w:rsidRPr="00CD1C1C">
        <w:rPr>
          <w:rFonts w:ascii="Calibri" w:hAnsi="Calibri"/>
          <w:color w:val="231F20"/>
          <w:w w:val="110"/>
        </w:rPr>
        <w:t>mathematics</w:t>
      </w:r>
      <w:r w:rsidR="00D5537E">
        <w:rPr>
          <w:rFonts w:ascii="Calibri" w:hAnsi="Calibri"/>
          <w:color w:val="231F20"/>
          <w:w w:val="110"/>
        </w:rPr>
        <w:t xml:space="preserve"> and</w:t>
      </w:r>
      <w:r w:rsidRPr="00CD1C1C">
        <w:rPr>
          <w:rFonts w:ascii="Calibri" w:hAnsi="Calibri"/>
          <w:color w:val="231F20"/>
          <w:spacing w:val="-25"/>
          <w:w w:val="110"/>
        </w:rPr>
        <w:t xml:space="preserve"> </w:t>
      </w:r>
      <w:r w:rsidRPr="00CD1C1C">
        <w:rPr>
          <w:rFonts w:ascii="Calibri" w:hAnsi="Calibri"/>
          <w:color w:val="231F20"/>
          <w:w w:val="110"/>
        </w:rPr>
        <w:t>computer</w:t>
      </w:r>
      <w:r w:rsidRPr="00CD1C1C">
        <w:rPr>
          <w:rFonts w:ascii="Calibri" w:hAnsi="Calibri"/>
          <w:color w:val="231F20"/>
          <w:spacing w:val="-25"/>
          <w:w w:val="110"/>
        </w:rPr>
        <w:t xml:space="preserve"> </w:t>
      </w:r>
      <w:r w:rsidRPr="00CD1C1C">
        <w:rPr>
          <w:rFonts w:ascii="Calibri" w:hAnsi="Calibri"/>
          <w:color w:val="231F20"/>
          <w:w w:val="110"/>
        </w:rPr>
        <w:t>sciences;</w:t>
      </w:r>
      <w:r w:rsidRPr="00CD1C1C">
        <w:rPr>
          <w:rFonts w:ascii="Calibri" w:hAnsi="Calibri"/>
          <w:color w:val="231F20"/>
          <w:w w:val="111"/>
        </w:rPr>
        <w:t xml:space="preserve"> </w:t>
      </w:r>
      <w:r w:rsidRPr="00CD1C1C">
        <w:rPr>
          <w:rFonts w:ascii="Calibri" w:hAnsi="Calibri"/>
          <w:color w:val="231F20"/>
          <w:w w:val="110"/>
        </w:rPr>
        <w:t xml:space="preserve">and psychology and the social sciences. </w:t>
      </w:r>
    </w:p>
    <w:p w14:paraId="4B555D45" w14:textId="77777777" w:rsidR="00002D76" w:rsidRPr="00F81BF7" w:rsidRDefault="00002D76" w:rsidP="00D63204">
      <w:pPr>
        <w:widowControl w:val="0"/>
        <w:spacing w:before="5" w:after="0" w:line="240" w:lineRule="auto"/>
        <w:rPr>
          <w:rFonts w:ascii="Calibri" w:hAnsi="Calibri" w:cs="Calibri"/>
          <w:sz w:val="16"/>
          <w:szCs w:val="16"/>
        </w:rPr>
      </w:pPr>
    </w:p>
    <w:p w14:paraId="24E80A18" w14:textId="77777777" w:rsidR="00002D76" w:rsidRPr="00CB6225" w:rsidRDefault="00002D76" w:rsidP="00D63204">
      <w:pPr>
        <w:widowControl w:val="0"/>
        <w:spacing w:after="0" w:line="240" w:lineRule="auto"/>
        <w:ind w:left="107"/>
        <w:rPr>
          <w:rFonts w:ascii="Calibri" w:hAnsi="Calibri"/>
        </w:rPr>
      </w:pPr>
      <w:bookmarkStart w:id="18" w:name="_Hlk504137138"/>
      <w:r w:rsidRPr="00CB6225">
        <w:rPr>
          <w:rFonts w:ascii="Calibri" w:hAnsi="Calibri"/>
          <w:color w:val="231F20"/>
          <w:w w:val="110"/>
        </w:rPr>
        <w:t>Most top</w:t>
      </w:r>
      <w:r w:rsidRPr="00CB6225">
        <w:rPr>
          <w:rFonts w:ascii="Calibri" w:hAnsi="Calibri"/>
          <w:color w:val="231F20"/>
          <w:spacing w:val="-20"/>
          <w:w w:val="110"/>
        </w:rPr>
        <w:t xml:space="preserve"> </w:t>
      </w:r>
      <w:r w:rsidRPr="00CB6225">
        <w:rPr>
          <w:rFonts w:ascii="Calibri" w:hAnsi="Calibri"/>
          <w:color w:val="231F20"/>
          <w:w w:val="110"/>
        </w:rPr>
        <w:t>emerging</w:t>
      </w:r>
      <w:r w:rsidRPr="00CB6225">
        <w:rPr>
          <w:rFonts w:ascii="Calibri" w:hAnsi="Calibri"/>
          <w:color w:val="231F20"/>
          <w:spacing w:val="-20"/>
          <w:w w:val="110"/>
        </w:rPr>
        <w:t xml:space="preserve"> </w:t>
      </w:r>
      <w:r w:rsidRPr="00CB6225">
        <w:rPr>
          <w:rFonts w:ascii="Calibri" w:hAnsi="Calibri"/>
          <w:color w:val="231F20"/>
          <w:w w:val="110"/>
        </w:rPr>
        <w:t>occupations</w:t>
      </w:r>
      <w:r w:rsidRPr="00CB6225">
        <w:rPr>
          <w:rFonts w:ascii="Calibri" w:hAnsi="Calibri"/>
          <w:color w:val="231F20"/>
          <w:spacing w:val="-20"/>
          <w:w w:val="110"/>
        </w:rPr>
        <w:t xml:space="preserve"> </w:t>
      </w:r>
      <w:r w:rsidRPr="00CB6225">
        <w:rPr>
          <w:rFonts w:ascii="Calibri" w:hAnsi="Calibri"/>
          <w:color w:val="231F20"/>
          <w:w w:val="110"/>
        </w:rPr>
        <w:t>occur</w:t>
      </w:r>
      <w:r w:rsidRPr="00CB6225">
        <w:rPr>
          <w:rFonts w:ascii="Calibri" w:hAnsi="Calibri"/>
          <w:color w:val="231F20"/>
          <w:spacing w:val="-20"/>
          <w:w w:val="110"/>
        </w:rPr>
        <w:t xml:space="preserve"> </w:t>
      </w:r>
      <w:r w:rsidRPr="00CB6225">
        <w:rPr>
          <w:rFonts w:ascii="Calibri" w:hAnsi="Calibri"/>
          <w:color w:val="231F20"/>
          <w:w w:val="110"/>
        </w:rPr>
        <w:t>in</w:t>
      </w:r>
      <w:r w:rsidRPr="00CB6225">
        <w:rPr>
          <w:rFonts w:ascii="Calibri" w:hAnsi="Calibri"/>
          <w:color w:val="231F20"/>
          <w:spacing w:val="-20"/>
          <w:w w:val="110"/>
        </w:rPr>
        <w:t xml:space="preserve"> </w:t>
      </w:r>
      <w:r w:rsidRPr="00CB6225">
        <w:rPr>
          <w:rFonts w:ascii="Calibri" w:hAnsi="Calibri"/>
          <w:color w:val="231F20"/>
          <w:w w:val="110"/>
        </w:rPr>
        <w:t>the</w:t>
      </w:r>
      <w:r w:rsidRPr="00CB6225">
        <w:rPr>
          <w:rFonts w:ascii="Calibri" w:hAnsi="Calibri"/>
          <w:color w:val="231F20"/>
          <w:spacing w:val="-20"/>
          <w:w w:val="110"/>
        </w:rPr>
        <w:t xml:space="preserve"> </w:t>
      </w:r>
      <w:r w:rsidRPr="00CB6225">
        <w:rPr>
          <w:rFonts w:ascii="Calibri" w:hAnsi="Calibri"/>
          <w:color w:val="231F20"/>
          <w:w w:val="110"/>
        </w:rPr>
        <w:t>healthcare</w:t>
      </w:r>
      <w:r w:rsidRPr="00CB6225">
        <w:rPr>
          <w:rFonts w:ascii="Calibri" w:hAnsi="Calibri"/>
          <w:color w:val="231F20"/>
          <w:spacing w:val="-20"/>
          <w:w w:val="110"/>
        </w:rPr>
        <w:t xml:space="preserve"> </w:t>
      </w:r>
      <w:r w:rsidRPr="00CB6225">
        <w:rPr>
          <w:rFonts w:ascii="Calibri" w:hAnsi="Calibri"/>
          <w:color w:val="231F20"/>
          <w:w w:val="110"/>
        </w:rPr>
        <w:t>(11</w:t>
      </w:r>
      <w:r w:rsidRPr="00CB6225">
        <w:rPr>
          <w:rFonts w:ascii="Calibri" w:hAnsi="Calibri"/>
          <w:color w:val="231F20"/>
          <w:spacing w:val="-20"/>
          <w:w w:val="110"/>
        </w:rPr>
        <w:t xml:space="preserve"> </w:t>
      </w:r>
      <w:r w:rsidRPr="00CB6225">
        <w:rPr>
          <w:rFonts w:ascii="Calibri" w:hAnsi="Calibri"/>
          <w:color w:val="231F20"/>
          <w:w w:val="110"/>
        </w:rPr>
        <w:t>of</w:t>
      </w:r>
      <w:r w:rsidRPr="00CB6225">
        <w:rPr>
          <w:rFonts w:ascii="Calibri" w:hAnsi="Calibri"/>
          <w:color w:val="231F20"/>
          <w:spacing w:val="-20"/>
          <w:w w:val="110"/>
        </w:rPr>
        <w:t xml:space="preserve"> </w:t>
      </w:r>
      <w:r w:rsidRPr="00CB6225">
        <w:rPr>
          <w:rFonts w:ascii="Calibri" w:hAnsi="Calibri"/>
          <w:color w:val="231F20"/>
          <w:w w:val="110"/>
        </w:rPr>
        <w:t>top</w:t>
      </w:r>
      <w:r w:rsidRPr="00CB6225">
        <w:rPr>
          <w:rFonts w:ascii="Calibri" w:hAnsi="Calibri"/>
          <w:color w:val="231F20"/>
          <w:spacing w:val="-20"/>
          <w:w w:val="110"/>
        </w:rPr>
        <w:t xml:space="preserve"> </w:t>
      </w:r>
      <w:r w:rsidRPr="00CB6225">
        <w:rPr>
          <w:rFonts w:ascii="Calibri" w:hAnsi="Calibri"/>
          <w:color w:val="231F20"/>
          <w:w w:val="110"/>
        </w:rPr>
        <w:t>20)</w:t>
      </w:r>
      <w:r w:rsidRPr="00CB6225">
        <w:rPr>
          <w:rFonts w:ascii="Calibri" w:hAnsi="Calibri"/>
          <w:color w:val="231F20"/>
          <w:spacing w:val="-20"/>
          <w:w w:val="110"/>
        </w:rPr>
        <w:t xml:space="preserve"> </w:t>
      </w:r>
      <w:r w:rsidRPr="00CB6225">
        <w:rPr>
          <w:rFonts w:ascii="Calibri" w:hAnsi="Calibri"/>
          <w:color w:val="231F20"/>
          <w:w w:val="110"/>
        </w:rPr>
        <w:t>and</w:t>
      </w:r>
      <w:r w:rsidRPr="00CB6225">
        <w:rPr>
          <w:rFonts w:ascii="Calibri" w:hAnsi="Calibri"/>
          <w:color w:val="231F20"/>
          <w:spacing w:val="-20"/>
          <w:w w:val="110"/>
        </w:rPr>
        <w:t xml:space="preserve"> </w:t>
      </w:r>
      <w:r w:rsidRPr="00CB6225">
        <w:rPr>
          <w:rFonts w:ascii="Calibri" w:hAnsi="Calibri"/>
          <w:color w:val="231F20"/>
          <w:w w:val="110"/>
        </w:rPr>
        <w:t>professional</w:t>
      </w:r>
      <w:r w:rsidRPr="00CB6225">
        <w:rPr>
          <w:rFonts w:ascii="Calibri" w:hAnsi="Calibri"/>
          <w:color w:val="231F20"/>
          <w:w w:val="107"/>
        </w:rPr>
        <w:t xml:space="preserve"> </w:t>
      </w:r>
      <w:r w:rsidRPr="00CB6225">
        <w:rPr>
          <w:rFonts w:ascii="Calibri" w:hAnsi="Calibri"/>
          <w:color w:val="231F20"/>
          <w:w w:val="110"/>
        </w:rPr>
        <w:t>services</w:t>
      </w:r>
      <w:r w:rsidRPr="00CB6225">
        <w:rPr>
          <w:rFonts w:ascii="Calibri" w:hAnsi="Calibri"/>
          <w:color w:val="231F20"/>
          <w:spacing w:val="-27"/>
          <w:w w:val="110"/>
        </w:rPr>
        <w:t xml:space="preserve"> </w:t>
      </w:r>
      <w:r w:rsidRPr="00CB6225">
        <w:rPr>
          <w:rFonts w:ascii="Calibri" w:hAnsi="Calibri"/>
          <w:color w:val="231F20"/>
          <w:w w:val="110"/>
        </w:rPr>
        <w:t>(6</w:t>
      </w:r>
      <w:r w:rsidRPr="00CB6225">
        <w:rPr>
          <w:rFonts w:ascii="Calibri" w:hAnsi="Calibri"/>
          <w:color w:val="231F20"/>
          <w:spacing w:val="-27"/>
          <w:w w:val="110"/>
        </w:rPr>
        <w:t xml:space="preserve"> </w:t>
      </w:r>
      <w:r w:rsidRPr="00CB6225">
        <w:rPr>
          <w:rFonts w:ascii="Calibri" w:hAnsi="Calibri"/>
          <w:color w:val="231F20"/>
          <w:w w:val="110"/>
        </w:rPr>
        <w:t>of</w:t>
      </w:r>
      <w:r w:rsidRPr="00CB6225">
        <w:rPr>
          <w:rFonts w:ascii="Calibri" w:hAnsi="Calibri"/>
          <w:color w:val="231F20"/>
          <w:spacing w:val="-27"/>
          <w:w w:val="110"/>
        </w:rPr>
        <w:t xml:space="preserve"> </w:t>
      </w:r>
      <w:r w:rsidRPr="00CB6225">
        <w:rPr>
          <w:rFonts w:ascii="Calibri" w:hAnsi="Calibri"/>
          <w:color w:val="231F20"/>
          <w:w w:val="110"/>
        </w:rPr>
        <w:t>top</w:t>
      </w:r>
      <w:r w:rsidRPr="00CB6225">
        <w:rPr>
          <w:rFonts w:ascii="Calibri" w:hAnsi="Calibri"/>
          <w:color w:val="231F20"/>
          <w:spacing w:val="-27"/>
          <w:w w:val="110"/>
        </w:rPr>
        <w:t xml:space="preserve"> </w:t>
      </w:r>
      <w:r w:rsidRPr="00CB6225">
        <w:rPr>
          <w:rFonts w:ascii="Calibri" w:hAnsi="Calibri"/>
          <w:color w:val="231F20"/>
          <w:w w:val="110"/>
        </w:rPr>
        <w:t>20).</w:t>
      </w:r>
    </w:p>
    <w:p w14:paraId="74D7EF04" w14:textId="77777777" w:rsidR="00002D76" w:rsidRPr="00CB6225" w:rsidRDefault="00002D76" w:rsidP="00D63204">
      <w:pPr>
        <w:widowControl w:val="0"/>
        <w:spacing w:before="5" w:after="0" w:line="240" w:lineRule="auto"/>
        <w:rPr>
          <w:rFonts w:ascii="Calibri" w:hAnsi="Calibri" w:cs="Calibri"/>
          <w:sz w:val="16"/>
          <w:szCs w:val="16"/>
        </w:rPr>
      </w:pPr>
    </w:p>
    <w:p w14:paraId="1AF9646A" w14:textId="56EE8B72" w:rsidR="00002D76" w:rsidRPr="00CB6225" w:rsidRDefault="00002D76" w:rsidP="00D63204">
      <w:pPr>
        <w:widowControl w:val="0"/>
        <w:spacing w:after="0" w:line="240" w:lineRule="auto"/>
        <w:ind w:left="107"/>
        <w:rPr>
          <w:rFonts w:ascii="Calibri" w:hAnsi="Calibri"/>
        </w:rPr>
      </w:pPr>
      <w:r w:rsidRPr="00CB6225">
        <w:rPr>
          <w:rFonts w:ascii="Calibri" w:hAnsi="Calibri"/>
          <w:color w:val="231F20"/>
          <w:w w:val="110"/>
        </w:rPr>
        <w:t>The</w:t>
      </w:r>
      <w:r w:rsidRPr="00CB6225">
        <w:rPr>
          <w:rFonts w:ascii="Calibri" w:hAnsi="Calibri"/>
          <w:color w:val="231F20"/>
          <w:spacing w:val="-14"/>
          <w:w w:val="110"/>
        </w:rPr>
        <w:t xml:space="preserve"> </w:t>
      </w:r>
      <w:r w:rsidRPr="00CB6225">
        <w:rPr>
          <w:rFonts w:ascii="Calibri" w:hAnsi="Calibri"/>
          <w:color w:val="231F20"/>
          <w:w w:val="110"/>
        </w:rPr>
        <w:t>growth</w:t>
      </w:r>
      <w:r w:rsidRPr="00CB6225">
        <w:rPr>
          <w:rFonts w:ascii="Calibri" w:hAnsi="Calibri"/>
          <w:color w:val="231F20"/>
          <w:spacing w:val="-14"/>
          <w:w w:val="110"/>
        </w:rPr>
        <w:t xml:space="preserve"> </w:t>
      </w:r>
      <w:r w:rsidRPr="00CB6225">
        <w:rPr>
          <w:rFonts w:ascii="Calibri" w:hAnsi="Calibri"/>
          <w:color w:val="231F20"/>
          <w:w w:val="110"/>
        </w:rPr>
        <w:t>in</w:t>
      </w:r>
      <w:r w:rsidRPr="00CB6225">
        <w:rPr>
          <w:rFonts w:ascii="Calibri" w:hAnsi="Calibri"/>
          <w:color w:val="231F20"/>
          <w:spacing w:val="-14"/>
          <w:w w:val="110"/>
        </w:rPr>
        <w:t xml:space="preserve"> </w:t>
      </w:r>
      <w:r w:rsidRPr="00CB6225">
        <w:rPr>
          <w:rFonts w:ascii="Calibri" w:hAnsi="Calibri"/>
          <w:color w:val="231F20"/>
          <w:w w:val="110"/>
        </w:rPr>
        <w:t>healthcare</w:t>
      </w:r>
      <w:r w:rsidRPr="00CB6225">
        <w:rPr>
          <w:rFonts w:ascii="Calibri" w:hAnsi="Calibri"/>
          <w:color w:val="231F20"/>
          <w:spacing w:val="-14"/>
          <w:w w:val="110"/>
        </w:rPr>
        <w:t xml:space="preserve"> </w:t>
      </w:r>
      <w:r w:rsidRPr="00CB6225">
        <w:rPr>
          <w:rFonts w:ascii="Calibri" w:hAnsi="Calibri"/>
          <w:color w:val="231F20"/>
          <w:w w:val="110"/>
        </w:rPr>
        <w:t>sector</w:t>
      </w:r>
      <w:r w:rsidRPr="00CB6225">
        <w:rPr>
          <w:rFonts w:ascii="Calibri" w:hAnsi="Calibri"/>
          <w:color w:val="231F20"/>
          <w:spacing w:val="-14"/>
          <w:w w:val="110"/>
        </w:rPr>
        <w:t xml:space="preserve"> </w:t>
      </w:r>
      <w:r w:rsidRPr="00CB6225">
        <w:rPr>
          <w:rFonts w:ascii="Calibri" w:hAnsi="Calibri"/>
          <w:color w:val="231F20"/>
          <w:w w:val="110"/>
        </w:rPr>
        <w:t>emerging</w:t>
      </w:r>
      <w:r w:rsidRPr="00CB6225">
        <w:rPr>
          <w:rFonts w:ascii="Calibri" w:hAnsi="Calibri"/>
          <w:color w:val="231F20"/>
          <w:spacing w:val="-14"/>
          <w:w w:val="110"/>
        </w:rPr>
        <w:t xml:space="preserve"> </w:t>
      </w:r>
      <w:r w:rsidRPr="00CB6225">
        <w:rPr>
          <w:rFonts w:ascii="Calibri" w:hAnsi="Calibri"/>
          <w:color w:val="231F20"/>
          <w:w w:val="110"/>
        </w:rPr>
        <w:t>occupations</w:t>
      </w:r>
      <w:r w:rsidRPr="00CB6225">
        <w:rPr>
          <w:rFonts w:ascii="Calibri" w:hAnsi="Calibri"/>
          <w:color w:val="231F20"/>
          <w:spacing w:val="-14"/>
          <w:w w:val="110"/>
        </w:rPr>
        <w:t xml:space="preserve"> </w:t>
      </w:r>
      <w:r w:rsidRPr="00CB6225">
        <w:rPr>
          <w:rFonts w:ascii="Calibri" w:hAnsi="Calibri"/>
          <w:color w:val="231F20"/>
          <w:w w:val="110"/>
        </w:rPr>
        <w:t>reflects</w:t>
      </w:r>
      <w:r w:rsidRPr="00CB6225">
        <w:rPr>
          <w:rFonts w:ascii="Calibri" w:hAnsi="Calibri"/>
          <w:color w:val="231F20"/>
          <w:spacing w:val="-14"/>
          <w:w w:val="110"/>
        </w:rPr>
        <w:t xml:space="preserve"> </w:t>
      </w:r>
      <w:r w:rsidRPr="00CB6225">
        <w:rPr>
          <w:rFonts w:ascii="Calibri" w:hAnsi="Calibri"/>
          <w:color w:val="231F20"/>
          <w:w w:val="110"/>
        </w:rPr>
        <w:t>an</w:t>
      </w:r>
      <w:r w:rsidRPr="00CB6225">
        <w:rPr>
          <w:rFonts w:ascii="Calibri" w:hAnsi="Calibri"/>
          <w:color w:val="231F20"/>
          <w:spacing w:val="-14"/>
          <w:w w:val="110"/>
        </w:rPr>
        <w:t xml:space="preserve"> </w:t>
      </w:r>
      <w:r w:rsidRPr="00CB6225">
        <w:rPr>
          <w:rFonts w:ascii="Calibri" w:hAnsi="Calibri"/>
          <w:color w:val="231F20"/>
          <w:w w:val="110"/>
        </w:rPr>
        <w:t>increasing</w:t>
      </w:r>
      <w:r w:rsidRPr="00CB6225">
        <w:rPr>
          <w:rFonts w:ascii="Calibri" w:hAnsi="Calibri"/>
          <w:color w:val="231F20"/>
          <w:spacing w:val="-14"/>
          <w:w w:val="110"/>
        </w:rPr>
        <w:t xml:space="preserve"> </w:t>
      </w:r>
      <w:r w:rsidRPr="00CB6225">
        <w:rPr>
          <w:rFonts w:ascii="Calibri" w:hAnsi="Calibri"/>
          <w:color w:val="231F20"/>
          <w:w w:val="110"/>
        </w:rPr>
        <w:t>demand</w:t>
      </w:r>
      <w:r w:rsidRPr="00CB6225">
        <w:rPr>
          <w:rFonts w:ascii="Calibri" w:hAnsi="Calibri"/>
          <w:color w:val="231F20"/>
          <w:spacing w:val="-14"/>
          <w:w w:val="110"/>
        </w:rPr>
        <w:t xml:space="preserve"> </w:t>
      </w:r>
      <w:r w:rsidRPr="00CB6225">
        <w:rPr>
          <w:rFonts w:ascii="Calibri" w:hAnsi="Calibri"/>
          <w:color w:val="231F20"/>
          <w:w w:val="110"/>
        </w:rPr>
        <w:t>for</w:t>
      </w:r>
      <w:r w:rsidRPr="00CB6225">
        <w:rPr>
          <w:rFonts w:ascii="Calibri" w:hAnsi="Calibri"/>
          <w:color w:val="231F20"/>
          <w:spacing w:val="-14"/>
          <w:w w:val="110"/>
        </w:rPr>
        <w:t xml:space="preserve"> </w:t>
      </w:r>
      <w:r w:rsidRPr="00CB6225">
        <w:rPr>
          <w:rFonts w:ascii="Calibri" w:hAnsi="Calibri"/>
          <w:color w:val="231F20"/>
          <w:w w:val="110"/>
        </w:rPr>
        <w:t>medical</w:t>
      </w:r>
      <w:r w:rsidRPr="00CB6225">
        <w:rPr>
          <w:rFonts w:ascii="Calibri" w:hAnsi="Calibri"/>
          <w:color w:val="231F20"/>
          <w:spacing w:val="-14"/>
          <w:w w:val="110"/>
        </w:rPr>
        <w:t xml:space="preserve"> </w:t>
      </w:r>
      <w:r w:rsidRPr="00CB6225">
        <w:rPr>
          <w:rFonts w:ascii="Calibri" w:hAnsi="Calibri"/>
          <w:color w:val="231F20"/>
          <w:w w:val="110"/>
        </w:rPr>
        <w:t>services</w:t>
      </w:r>
      <w:r w:rsidRPr="00CB6225">
        <w:rPr>
          <w:rFonts w:ascii="Calibri" w:hAnsi="Calibri"/>
          <w:color w:val="231F20"/>
          <w:w w:val="111"/>
        </w:rPr>
        <w:t xml:space="preserve"> </w:t>
      </w:r>
      <w:r>
        <w:rPr>
          <w:rFonts w:ascii="Calibri" w:hAnsi="Calibri"/>
          <w:color w:val="231F20"/>
          <w:w w:val="110"/>
        </w:rPr>
        <w:t>due to</w:t>
      </w:r>
      <w:r w:rsidRPr="00CB6225">
        <w:rPr>
          <w:rFonts w:ascii="Calibri" w:hAnsi="Calibri"/>
          <w:color w:val="231F20"/>
          <w:spacing w:val="-15"/>
          <w:w w:val="110"/>
        </w:rPr>
        <w:t xml:space="preserve"> </w:t>
      </w:r>
      <w:r w:rsidRPr="00CB6225">
        <w:rPr>
          <w:rFonts w:ascii="Calibri" w:hAnsi="Calibri"/>
          <w:color w:val="231F20"/>
          <w:w w:val="110"/>
        </w:rPr>
        <w:t>population</w:t>
      </w:r>
      <w:r w:rsidRPr="00CB6225">
        <w:rPr>
          <w:rFonts w:ascii="Calibri" w:hAnsi="Calibri"/>
          <w:color w:val="231F20"/>
          <w:spacing w:val="-15"/>
          <w:w w:val="110"/>
        </w:rPr>
        <w:t xml:space="preserve"> </w:t>
      </w:r>
      <w:r w:rsidRPr="00CB6225">
        <w:rPr>
          <w:rFonts w:ascii="Calibri" w:hAnsi="Calibri"/>
          <w:color w:val="231F20"/>
          <w:w w:val="110"/>
        </w:rPr>
        <w:t>aging,</w:t>
      </w:r>
      <w:r w:rsidRPr="00CB6225">
        <w:rPr>
          <w:rFonts w:ascii="Calibri" w:hAnsi="Calibri"/>
          <w:color w:val="231F20"/>
          <w:spacing w:val="-15"/>
          <w:w w:val="110"/>
        </w:rPr>
        <w:t xml:space="preserve"> </w:t>
      </w:r>
      <w:r w:rsidRPr="00CB6225">
        <w:rPr>
          <w:rFonts w:ascii="Calibri" w:hAnsi="Calibri"/>
          <w:color w:val="231F20"/>
          <w:w w:val="110"/>
        </w:rPr>
        <w:t>expanding</w:t>
      </w:r>
      <w:r w:rsidRPr="00CB6225">
        <w:rPr>
          <w:rFonts w:ascii="Calibri" w:hAnsi="Calibri"/>
          <w:color w:val="231F20"/>
          <w:spacing w:val="-15"/>
          <w:w w:val="110"/>
        </w:rPr>
        <w:t xml:space="preserve"> </w:t>
      </w:r>
      <w:r w:rsidRPr="00CB6225">
        <w:rPr>
          <w:rFonts w:ascii="Calibri" w:hAnsi="Calibri"/>
          <w:color w:val="231F20"/>
          <w:w w:val="110"/>
        </w:rPr>
        <w:t>medical</w:t>
      </w:r>
      <w:r w:rsidRPr="00CB6225">
        <w:rPr>
          <w:rFonts w:ascii="Calibri" w:hAnsi="Calibri"/>
          <w:color w:val="231F20"/>
          <w:spacing w:val="-15"/>
          <w:w w:val="110"/>
        </w:rPr>
        <w:t xml:space="preserve"> </w:t>
      </w:r>
      <w:r w:rsidRPr="00CB6225">
        <w:rPr>
          <w:rFonts w:ascii="Calibri" w:hAnsi="Calibri"/>
          <w:color w:val="231F20"/>
          <w:w w:val="110"/>
        </w:rPr>
        <w:t>insurance</w:t>
      </w:r>
      <w:r w:rsidRPr="00CB6225">
        <w:rPr>
          <w:rFonts w:ascii="Calibri" w:hAnsi="Calibri"/>
          <w:color w:val="231F20"/>
          <w:spacing w:val="-15"/>
          <w:w w:val="110"/>
        </w:rPr>
        <w:t xml:space="preserve"> </w:t>
      </w:r>
      <w:r w:rsidRPr="00CB6225">
        <w:rPr>
          <w:rFonts w:ascii="Calibri" w:hAnsi="Calibri"/>
          <w:color w:val="231F20"/>
          <w:w w:val="110"/>
        </w:rPr>
        <w:t>coverage</w:t>
      </w:r>
      <w:r w:rsidR="00D5537E">
        <w:rPr>
          <w:rFonts w:ascii="Calibri" w:hAnsi="Calibri"/>
          <w:color w:val="231F20"/>
          <w:w w:val="110"/>
        </w:rPr>
        <w:t xml:space="preserve"> and</w:t>
      </w:r>
      <w:r w:rsidRPr="00CB6225">
        <w:rPr>
          <w:rFonts w:ascii="Calibri" w:hAnsi="Calibri"/>
          <w:color w:val="231F20"/>
          <w:spacing w:val="-15"/>
          <w:w w:val="110"/>
        </w:rPr>
        <w:t xml:space="preserve"> </w:t>
      </w:r>
      <w:r w:rsidRPr="00CB6225">
        <w:rPr>
          <w:rFonts w:ascii="Calibri" w:hAnsi="Calibri"/>
          <w:color w:val="231F20"/>
          <w:w w:val="110"/>
        </w:rPr>
        <w:t>technological</w:t>
      </w:r>
      <w:r w:rsidRPr="00CB6225">
        <w:rPr>
          <w:rFonts w:ascii="Calibri" w:hAnsi="Calibri"/>
          <w:color w:val="231F20"/>
          <w:spacing w:val="-15"/>
          <w:w w:val="110"/>
        </w:rPr>
        <w:t xml:space="preserve"> </w:t>
      </w:r>
      <w:r w:rsidRPr="00CB6225">
        <w:rPr>
          <w:rFonts w:ascii="Calibri" w:hAnsi="Calibri"/>
          <w:color w:val="231F20"/>
          <w:w w:val="110"/>
        </w:rPr>
        <w:t>innovation.</w:t>
      </w:r>
    </w:p>
    <w:bookmarkEnd w:id="18"/>
    <w:p w14:paraId="6C8E0900" w14:textId="77777777" w:rsidR="00002D76" w:rsidRPr="00F81BF7" w:rsidRDefault="00002D76" w:rsidP="00D63204">
      <w:pPr>
        <w:widowControl w:val="0"/>
        <w:spacing w:before="5" w:after="0" w:line="240" w:lineRule="auto"/>
        <w:rPr>
          <w:rFonts w:ascii="Calibri" w:hAnsi="Calibri" w:cs="Calibri"/>
          <w:sz w:val="16"/>
          <w:szCs w:val="16"/>
        </w:rPr>
      </w:pPr>
    </w:p>
    <w:p w14:paraId="1FFC44AE" w14:textId="77777777" w:rsidR="00002D76" w:rsidRPr="00F81BF7" w:rsidRDefault="00002D76" w:rsidP="00002D76">
      <w:pPr>
        <w:widowControl w:val="0"/>
        <w:spacing w:after="0" w:line="264" w:lineRule="exact"/>
        <w:rPr>
          <w:rFonts w:ascii="Calibri" w:hAnsi="Calibri"/>
        </w:rPr>
        <w:sectPr w:rsidR="00002D76" w:rsidRPr="00F81BF7">
          <w:pgSz w:w="12240" w:h="15840"/>
          <w:pgMar w:top="1620" w:right="900" w:bottom="820" w:left="900" w:header="812" w:footer="624" w:gutter="0"/>
          <w:cols w:space="720"/>
        </w:sectPr>
      </w:pPr>
    </w:p>
    <w:p w14:paraId="2BE38E78" w14:textId="77777777" w:rsidR="00002D76" w:rsidRPr="00F81BF7" w:rsidRDefault="00002D76" w:rsidP="00002D76">
      <w:pPr>
        <w:widowControl w:val="0"/>
        <w:spacing w:before="2" w:after="0" w:line="240" w:lineRule="auto"/>
        <w:rPr>
          <w:rFonts w:ascii="Calibri" w:hAnsi="Calibri" w:cs="Calibri"/>
          <w:sz w:val="14"/>
          <w:szCs w:val="14"/>
        </w:rPr>
      </w:pPr>
    </w:p>
    <w:p w14:paraId="53DD6177" w14:textId="7711EE04" w:rsidR="00002D76" w:rsidRPr="00EA7458" w:rsidRDefault="00002D76" w:rsidP="00D63204">
      <w:pPr>
        <w:widowControl w:val="0"/>
        <w:spacing w:before="58" w:after="0" w:line="264" w:lineRule="exact"/>
        <w:ind w:left="107" w:right="281"/>
        <w:rPr>
          <w:rFonts w:ascii="Calibri" w:hAnsi="Calibri"/>
        </w:rPr>
      </w:pPr>
      <w:bookmarkStart w:id="19" w:name="_bookmark8"/>
      <w:bookmarkEnd w:id="19"/>
      <w:r w:rsidRPr="00956336">
        <w:rPr>
          <w:rFonts w:ascii="Calibri" w:hAnsi="Calibri"/>
          <w:color w:val="231F20"/>
          <w:w w:val="110"/>
        </w:rPr>
        <w:t>The</w:t>
      </w:r>
      <w:r w:rsidRPr="00956336">
        <w:rPr>
          <w:rFonts w:ascii="Calibri" w:hAnsi="Calibri"/>
          <w:color w:val="231F20"/>
          <w:spacing w:val="-9"/>
          <w:w w:val="110"/>
        </w:rPr>
        <w:t xml:space="preserve"> </w:t>
      </w:r>
      <w:r w:rsidRPr="00956336">
        <w:rPr>
          <w:rFonts w:ascii="Calibri" w:hAnsi="Calibri"/>
          <w:color w:val="231F20"/>
          <w:w w:val="110"/>
        </w:rPr>
        <w:t>following</w:t>
      </w:r>
      <w:r w:rsidRPr="00956336">
        <w:rPr>
          <w:rFonts w:ascii="Calibri" w:hAnsi="Calibri"/>
          <w:color w:val="231F20"/>
          <w:spacing w:val="-9"/>
          <w:w w:val="110"/>
        </w:rPr>
        <w:t xml:space="preserve"> </w:t>
      </w:r>
      <w:r w:rsidRPr="00956336">
        <w:rPr>
          <w:rFonts w:ascii="Calibri" w:hAnsi="Calibri"/>
          <w:color w:val="231F20"/>
          <w:w w:val="110"/>
        </w:rPr>
        <w:t>table</w:t>
      </w:r>
      <w:r w:rsidRPr="00956336">
        <w:rPr>
          <w:rFonts w:ascii="Calibri" w:hAnsi="Calibri"/>
          <w:color w:val="231F20"/>
          <w:spacing w:val="-9"/>
          <w:w w:val="110"/>
        </w:rPr>
        <w:t xml:space="preserve"> </w:t>
      </w:r>
      <w:r>
        <w:rPr>
          <w:rFonts w:ascii="Calibri" w:hAnsi="Calibri"/>
          <w:color w:val="231F20"/>
          <w:w w:val="110"/>
        </w:rPr>
        <w:t>shows t</w:t>
      </w:r>
      <w:r w:rsidRPr="00956336">
        <w:rPr>
          <w:rFonts w:ascii="Calibri" w:hAnsi="Calibri"/>
          <w:color w:val="231F20"/>
          <w:w w:val="110"/>
        </w:rPr>
        <w:t>he</w:t>
      </w:r>
      <w:r w:rsidRPr="00956336">
        <w:rPr>
          <w:rFonts w:ascii="Calibri" w:hAnsi="Calibri"/>
          <w:color w:val="231F20"/>
          <w:spacing w:val="-9"/>
          <w:w w:val="110"/>
        </w:rPr>
        <w:t xml:space="preserve"> </w:t>
      </w:r>
      <w:r w:rsidRPr="00956336">
        <w:rPr>
          <w:rFonts w:ascii="Calibri" w:hAnsi="Calibri"/>
          <w:color w:val="231F20"/>
          <w:w w:val="110"/>
        </w:rPr>
        <w:t>top</w:t>
      </w:r>
      <w:r w:rsidRPr="00956336">
        <w:rPr>
          <w:rFonts w:ascii="Calibri" w:hAnsi="Calibri"/>
          <w:color w:val="231F20"/>
          <w:spacing w:val="-9"/>
          <w:w w:val="110"/>
        </w:rPr>
        <w:t xml:space="preserve"> </w:t>
      </w:r>
      <w:r>
        <w:rPr>
          <w:rFonts w:ascii="Calibri" w:hAnsi="Calibri"/>
          <w:color w:val="231F20"/>
          <w:w w:val="110"/>
        </w:rPr>
        <w:t>20</w:t>
      </w:r>
      <w:r w:rsidRPr="00956336">
        <w:rPr>
          <w:rFonts w:ascii="Calibri" w:hAnsi="Calibri"/>
          <w:color w:val="231F20"/>
          <w:w w:val="91"/>
        </w:rPr>
        <w:t xml:space="preserve"> </w:t>
      </w:r>
      <w:r w:rsidRPr="00956336">
        <w:rPr>
          <w:rFonts w:ascii="Calibri" w:hAnsi="Calibri"/>
          <w:color w:val="231F20"/>
          <w:w w:val="110"/>
        </w:rPr>
        <w:t>emerging</w:t>
      </w:r>
      <w:r w:rsidRPr="00956336">
        <w:rPr>
          <w:rFonts w:ascii="Calibri" w:hAnsi="Calibri"/>
          <w:color w:val="231F20"/>
          <w:spacing w:val="-18"/>
          <w:w w:val="110"/>
        </w:rPr>
        <w:t xml:space="preserve"> </w:t>
      </w:r>
      <w:r w:rsidRPr="00956336">
        <w:rPr>
          <w:rFonts w:ascii="Calibri" w:hAnsi="Calibri"/>
          <w:color w:val="231F20"/>
          <w:w w:val="110"/>
        </w:rPr>
        <w:t>occupations</w:t>
      </w:r>
      <w:r w:rsidRPr="00956336">
        <w:rPr>
          <w:rFonts w:ascii="Calibri" w:hAnsi="Calibri"/>
          <w:color w:val="231F20"/>
          <w:spacing w:val="-18"/>
          <w:w w:val="110"/>
        </w:rPr>
        <w:t xml:space="preserve"> </w:t>
      </w:r>
      <w:r w:rsidRPr="00956336">
        <w:rPr>
          <w:rFonts w:ascii="Calibri" w:hAnsi="Calibri"/>
          <w:color w:val="231F20"/>
          <w:w w:val="110"/>
        </w:rPr>
        <w:t>for</w:t>
      </w:r>
      <w:r w:rsidRPr="00956336">
        <w:rPr>
          <w:rFonts w:ascii="Calibri" w:hAnsi="Calibri"/>
          <w:color w:val="231F20"/>
          <w:spacing w:val="-18"/>
          <w:w w:val="110"/>
        </w:rPr>
        <w:t xml:space="preserve"> </w:t>
      </w:r>
      <w:r w:rsidRPr="00956336">
        <w:rPr>
          <w:rFonts w:ascii="Calibri" w:hAnsi="Calibri"/>
          <w:color w:val="231F20"/>
          <w:w w:val="110"/>
        </w:rPr>
        <w:t>Florida</w:t>
      </w:r>
      <w:r w:rsidRPr="00956336">
        <w:rPr>
          <w:rFonts w:ascii="Calibri" w:hAnsi="Calibri"/>
          <w:color w:val="231F20"/>
          <w:spacing w:val="-18"/>
          <w:w w:val="110"/>
        </w:rPr>
        <w:t xml:space="preserve"> </w:t>
      </w:r>
      <w:r w:rsidRPr="00956336">
        <w:rPr>
          <w:rFonts w:ascii="Calibri" w:hAnsi="Calibri"/>
          <w:color w:val="231F20"/>
          <w:w w:val="110"/>
        </w:rPr>
        <w:t>statewide.</w:t>
      </w:r>
      <w:r w:rsidRPr="00B56C65">
        <w:rPr>
          <w:rFonts w:ascii="Calibri" w:hAnsi="Calibri"/>
          <w:color w:val="231F20"/>
          <w:w w:val="110"/>
        </w:rPr>
        <w:t xml:space="preserve"> </w:t>
      </w:r>
      <w:r>
        <w:rPr>
          <w:rFonts w:ascii="Calibri" w:hAnsi="Calibri"/>
          <w:color w:val="231F20"/>
          <w:w w:val="110"/>
        </w:rPr>
        <w:t xml:space="preserve">This list is </w:t>
      </w:r>
      <w:r w:rsidRPr="00956336">
        <w:rPr>
          <w:rFonts w:ascii="Calibri" w:hAnsi="Calibri"/>
          <w:color w:val="231F20"/>
          <w:w w:val="110"/>
        </w:rPr>
        <w:t>based</w:t>
      </w:r>
      <w:r w:rsidRPr="00956336">
        <w:rPr>
          <w:rFonts w:ascii="Calibri" w:hAnsi="Calibri"/>
          <w:color w:val="231F20"/>
          <w:spacing w:val="-18"/>
          <w:w w:val="110"/>
        </w:rPr>
        <w:t xml:space="preserve"> </w:t>
      </w:r>
      <w:r w:rsidRPr="00956336">
        <w:rPr>
          <w:rFonts w:ascii="Calibri" w:hAnsi="Calibri"/>
          <w:color w:val="231F20"/>
          <w:w w:val="110"/>
        </w:rPr>
        <w:t>on</w:t>
      </w:r>
      <w:r w:rsidRPr="00956336">
        <w:rPr>
          <w:rFonts w:ascii="Calibri" w:hAnsi="Calibri"/>
          <w:color w:val="231F20"/>
          <w:spacing w:val="-18"/>
          <w:w w:val="110"/>
        </w:rPr>
        <w:t xml:space="preserve"> </w:t>
      </w:r>
      <w:r w:rsidRPr="00956336">
        <w:rPr>
          <w:rFonts w:ascii="Calibri" w:hAnsi="Calibri"/>
          <w:color w:val="231F20"/>
          <w:w w:val="110"/>
        </w:rPr>
        <w:t>2017-2025</w:t>
      </w:r>
      <w:r>
        <w:rPr>
          <w:rFonts w:ascii="Calibri" w:hAnsi="Calibri"/>
          <w:color w:val="231F20"/>
          <w:w w:val="110"/>
        </w:rPr>
        <w:t xml:space="preserve"> projections</w:t>
      </w:r>
      <w:r w:rsidR="003967F8">
        <w:rPr>
          <w:rFonts w:ascii="Calibri" w:hAnsi="Calibri"/>
          <w:color w:val="231F20"/>
          <w:w w:val="110"/>
        </w:rPr>
        <w:t xml:space="preserve"> of</w:t>
      </w:r>
      <w:r>
        <w:rPr>
          <w:rFonts w:ascii="Calibri" w:hAnsi="Calibri"/>
          <w:color w:val="231F20"/>
          <w:w w:val="110"/>
        </w:rPr>
        <w:t xml:space="preserve"> </w:t>
      </w:r>
      <w:r w:rsidRPr="00956336">
        <w:rPr>
          <w:rFonts w:ascii="Calibri" w:hAnsi="Calibri"/>
          <w:color w:val="231F20"/>
          <w:w w:val="110"/>
        </w:rPr>
        <w:t>percent</w:t>
      </w:r>
      <w:r w:rsidRPr="00956336">
        <w:rPr>
          <w:rFonts w:ascii="Calibri" w:hAnsi="Calibri"/>
          <w:color w:val="231F20"/>
          <w:spacing w:val="-18"/>
          <w:w w:val="110"/>
        </w:rPr>
        <w:t xml:space="preserve"> </w:t>
      </w:r>
      <w:r w:rsidRPr="00956336">
        <w:rPr>
          <w:rFonts w:ascii="Calibri" w:hAnsi="Calibri"/>
          <w:color w:val="231F20"/>
          <w:w w:val="110"/>
        </w:rPr>
        <w:t>job</w:t>
      </w:r>
      <w:r w:rsidRPr="00956336">
        <w:rPr>
          <w:rFonts w:ascii="Calibri" w:hAnsi="Calibri"/>
          <w:color w:val="231F20"/>
          <w:spacing w:val="-18"/>
          <w:w w:val="110"/>
        </w:rPr>
        <w:t xml:space="preserve"> </w:t>
      </w:r>
      <w:r w:rsidRPr="00956336">
        <w:rPr>
          <w:rFonts w:ascii="Calibri" w:hAnsi="Calibri"/>
          <w:color w:val="231F20"/>
          <w:w w:val="110"/>
        </w:rPr>
        <w:t>growth</w:t>
      </w:r>
      <w:r>
        <w:rPr>
          <w:rFonts w:ascii="Calibri" w:hAnsi="Calibri"/>
          <w:color w:val="231F20"/>
          <w:w w:val="110"/>
        </w:rPr>
        <w:t xml:space="preserve"> for occupations with less than the average employment level.</w:t>
      </w:r>
    </w:p>
    <w:p w14:paraId="6EF10432" w14:textId="77777777" w:rsidR="00002D76" w:rsidRPr="00EA7458" w:rsidRDefault="00002D76" w:rsidP="00002D76">
      <w:pPr>
        <w:widowControl w:val="0"/>
        <w:spacing w:before="6" w:after="0" w:line="240" w:lineRule="auto"/>
        <w:rPr>
          <w:rFonts w:ascii="Calibri" w:hAnsi="Calibri" w:cs="Calibri"/>
          <w:sz w:val="16"/>
          <w:szCs w:val="16"/>
        </w:rPr>
      </w:pPr>
    </w:p>
    <w:p w14:paraId="2F3AD692" w14:textId="77777777" w:rsidR="00002D76" w:rsidRPr="00EA7458" w:rsidRDefault="00002D76" w:rsidP="00D63204">
      <w:pPr>
        <w:widowControl w:val="0"/>
        <w:spacing w:after="0" w:line="266" w:lineRule="exact"/>
        <w:ind w:left="468" w:right="468"/>
        <w:outlineLvl w:val="2"/>
        <w:rPr>
          <w:rFonts w:ascii="Calibri" w:hAnsi="Calibri"/>
        </w:rPr>
      </w:pPr>
      <w:r w:rsidRPr="00EA7458">
        <w:rPr>
          <w:rFonts w:ascii="Calibri" w:hAnsi="Calibri"/>
          <w:b/>
          <w:bCs/>
          <w:color w:val="231F20"/>
          <w:w w:val="115"/>
        </w:rPr>
        <w:t>Figure</w:t>
      </w:r>
      <w:r w:rsidRPr="00EA7458">
        <w:rPr>
          <w:rFonts w:ascii="Calibri" w:hAnsi="Calibri"/>
          <w:b/>
          <w:bCs/>
          <w:color w:val="231F20"/>
          <w:spacing w:val="-16"/>
          <w:w w:val="115"/>
        </w:rPr>
        <w:t xml:space="preserve"> </w:t>
      </w:r>
      <w:r w:rsidRPr="00EA7458">
        <w:rPr>
          <w:rFonts w:ascii="Calibri" w:hAnsi="Calibri"/>
          <w:b/>
          <w:bCs/>
          <w:color w:val="231F20"/>
          <w:w w:val="115"/>
        </w:rPr>
        <w:t>2.04</w:t>
      </w:r>
    </w:p>
    <w:p w14:paraId="7F4661CC" w14:textId="77777777" w:rsidR="00002D76" w:rsidRPr="00EA7458" w:rsidRDefault="00002D76" w:rsidP="00D63204">
      <w:pPr>
        <w:widowControl w:val="0"/>
        <w:spacing w:after="0" w:line="266" w:lineRule="exact"/>
        <w:ind w:left="468" w:right="468"/>
        <w:rPr>
          <w:rFonts w:ascii="Calibri" w:hAnsi="Calibri" w:cs="Calibri"/>
        </w:rPr>
      </w:pPr>
      <w:r w:rsidRPr="00EA7458">
        <w:rPr>
          <w:rFonts w:ascii="Calibri" w:hAnsi="Calibri"/>
          <w:b/>
          <w:color w:val="231F20"/>
          <w:spacing w:val="-7"/>
          <w:w w:val="110"/>
        </w:rPr>
        <w:t xml:space="preserve">Top </w:t>
      </w:r>
      <w:r>
        <w:rPr>
          <w:rFonts w:ascii="Calibri" w:hAnsi="Calibri"/>
          <w:b/>
          <w:color w:val="231F20"/>
          <w:w w:val="110"/>
        </w:rPr>
        <w:t>20</w:t>
      </w:r>
      <w:r w:rsidRPr="00EA7458">
        <w:rPr>
          <w:rFonts w:ascii="Calibri" w:hAnsi="Calibri"/>
          <w:b/>
          <w:color w:val="231F20"/>
          <w:w w:val="110"/>
        </w:rPr>
        <w:t xml:space="preserve"> Emerging</w:t>
      </w:r>
      <w:r w:rsidRPr="00EA7458">
        <w:rPr>
          <w:rFonts w:ascii="Calibri" w:hAnsi="Calibri"/>
          <w:b/>
          <w:color w:val="231F20"/>
          <w:spacing w:val="12"/>
          <w:w w:val="110"/>
        </w:rPr>
        <w:t xml:space="preserve"> </w:t>
      </w:r>
      <w:r w:rsidRPr="00EA7458">
        <w:rPr>
          <w:rFonts w:ascii="Calibri" w:hAnsi="Calibri"/>
          <w:b/>
          <w:color w:val="231F20"/>
          <w:w w:val="110"/>
        </w:rPr>
        <w:t>Occupations</w:t>
      </w:r>
    </w:p>
    <w:p w14:paraId="4A22C93E" w14:textId="77777777" w:rsidR="00002D76" w:rsidRPr="00EA7458" w:rsidRDefault="00002D76" w:rsidP="00002D76">
      <w:pPr>
        <w:widowControl w:val="0"/>
        <w:spacing w:before="1" w:after="0" w:line="240" w:lineRule="auto"/>
        <w:rPr>
          <w:rFonts w:ascii="Calibri" w:hAnsi="Calibri" w:cs="Calibri"/>
          <w:b/>
          <w:bCs/>
          <w:sz w:val="18"/>
          <w:szCs w:val="18"/>
        </w:rPr>
      </w:pPr>
    </w:p>
    <w:tbl>
      <w:tblPr>
        <w:tblW w:w="0" w:type="auto"/>
        <w:tblLook w:val="04A0" w:firstRow="1" w:lastRow="0" w:firstColumn="1" w:lastColumn="0" w:noHBand="0" w:noVBand="1"/>
      </w:tblPr>
      <w:tblGrid>
        <w:gridCol w:w="548"/>
        <w:gridCol w:w="703"/>
        <w:gridCol w:w="1758"/>
        <w:gridCol w:w="1091"/>
        <w:gridCol w:w="1091"/>
        <w:gridCol w:w="762"/>
        <w:gridCol w:w="810"/>
        <w:gridCol w:w="1106"/>
        <w:gridCol w:w="820"/>
        <w:gridCol w:w="653"/>
        <w:gridCol w:w="1088"/>
      </w:tblGrid>
      <w:tr w:rsidR="00002D76" w:rsidRPr="00336134" w14:paraId="04BD1F60" w14:textId="77777777" w:rsidTr="001429C7">
        <w:trPr>
          <w:trHeight w:val="900"/>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338F2C5C" w14:textId="77777777" w:rsidR="00002D76" w:rsidRPr="00336134" w:rsidRDefault="00002D76" w:rsidP="00D63204">
            <w:pPr>
              <w:spacing w:after="0" w:line="240" w:lineRule="auto"/>
              <w:rPr>
                <w:rFonts w:ascii="Calibri" w:hAnsi="Calibri"/>
                <w:b/>
                <w:bCs/>
                <w:color w:val="231F20"/>
                <w:sz w:val="16"/>
                <w:szCs w:val="16"/>
              </w:rPr>
            </w:pPr>
            <w:r w:rsidRPr="00336134">
              <w:rPr>
                <w:rFonts w:ascii="Calibri" w:hAnsi="Calibri"/>
                <w:b/>
                <w:bCs/>
                <w:color w:val="231F20"/>
                <w:sz w:val="16"/>
                <w:szCs w:val="16"/>
              </w:rPr>
              <w:t>Rank</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16A5A149" w14:textId="77777777" w:rsidR="00002D76" w:rsidRPr="00336134" w:rsidRDefault="00002D76" w:rsidP="00D63204">
            <w:pPr>
              <w:spacing w:after="0" w:line="240" w:lineRule="auto"/>
              <w:rPr>
                <w:rFonts w:ascii="Calibri" w:hAnsi="Calibri"/>
                <w:b/>
                <w:bCs/>
                <w:color w:val="231F20"/>
                <w:sz w:val="16"/>
                <w:szCs w:val="16"/>
              </w:rPr>
            </w:pPr>
            <w:r w:rsidRPr="00336134">
              <w:rPr>
                <w:rFonts w:ascii="Calibri" w:hAnsi="Calibri"/>
                <w:b/>
                <w:bCs/>
                <w:color w:val="231F20"/>
                <w:sz w:val="16"/>
                <w:szCs w:val="16"/>
              </w:rPr>
              <w:t>Code</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6B293B84" w14:textId="77777777" w:rsidR="00002D76" w:rsidRPr="00336134" w:rsidRDefault="00002D76" w:rsidP="00D63204">
            <w:pPr>
              <w:spacing w:after="0" w:line="240" w:lineRule="auto"/>
              <w:rPr>
                <w:rFonts w:ascii="Calibri" w:hAnsi="Calibri"/>
                <w:b/>
                <w:bCs/>
                <w:color w:val="231F20"/>
                <w:sz w:val="16"/>
                <w:szCs w:val="16"/>
              </w:rPr>
            </w:pPr>
            <w:r w:rsidRPr="00336134">
              <w:rPr>
                <w:rFonts w:ascii="Calibri" w:hAnsi="Calibri"/>
                <w:b/>
                <w:bCs/>
                <w:color w:val="231F20"/>
                <w:sz w:val="16"/>
                <w:szCs w:val="16"/>
              </w:rPr>
              <w:t>Occupation</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27DD3A87" w14:textId="77777777" w:rsidR="00002D76" w:rsidRPr="00336134" w:rsidRDefault="00002D76" w:rsidP="00D63204">
            <w:pPr>
              <w:spacing w:after="0" w:line="240" w:lineRule="auto"/>
              <w:rPr>
                <w:rFonts w:ascii="Calibri" w:hAnsi="Calibri"/>
                <w:b/>
                <w:bCs/>
                <w:color w:val="231F20"/>
                <w:sz w:val="16"/>
                <w:szCs w:val="16"/>
              </w:rPr>
            </w:pPr>
            <w:r w:rsidRPr="00336134">
              <w:rPr>
                <w:rFonts w:ascii="Calibri" w:hAnsi="Calibri"/>
                <w:b/>
                <w:bCs/>
                <w:color w:val="231F20"/>
                <w:sz w:val="16"/>
                <w:szCs w:val="16"/>
              </w:rPr>
              <w:t>2017 Employment</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6D1B2562" w14:textId="77777777" w:rsidR="00002D76" w:rsidRPr="00336134" w:rsidRDefault="00002D76" w:rsidP="00D63204">
            <w:pPr>
              <w:spacing w:after="0" w:line="240" w:lineRule="auto"/>
              <w:rPr>
                <w:rFonts w:ascii="Calibri" w:hAnsi="Calibri"/>
                <w:b/>
                <w:bCs/>
                <w:color w:val="231F20"/>
                <w:sz w:val="16"/>
                <w:szCs w:val="16"/>
              </w:rPr>
            </w:pPr>
            <w:r w:rsidRPr="00336134">
              <w:rPr>
                <w:rFonts w:ascii="Calibri" w:hAnsi="Calibri"/>
                <w:b/>
                <w:bCs/>
                <w:color w:val="231F20"/>
                <w:sz w:val="16"/>
                <w:szCs w:val="16"/>
              </w:rPr>
              <w:t>2025 Employment</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4576005C" w14:textId="77777777" w:rsidR="00002D76" w:rsidRPr="00336134" w:rsidRDefault="00002D76" w:rsidP="00D63204">
            <w:pPr>
              <w:spacing w:after="0" w:line="240" w:lineRule="auto"/>
              <w:rPr>
                <w:rFonts w:ascii="Calibri" w:hAnsi="Calibri"/>
                <w:b/>
                <w:bCs/>
                <w:color w:val="231F20"/>
                <w:sz w:val="16"/>
                <w:szCs w:val="16"/>
              </w:rPr>
            </w:pPr>
            <w:r w:rsidRPr="00336134">
              <w:rPr>
                <w:rFonts w:ascii="Calibri" w:hAnsi="Calibri"/>
                <w:b/>
                <w:bCs/>
                <w:color w:val="231F20"/>
                <w:sz w:val="16"/>
                <w:szCs w:val="16"/>
              </w:rPr>
              <w:t>2017-25 Level change</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5AF8A8A8" w14:textId="77777777" w:rsidR="00002D76" w:rsidRPr="00336134" w:rsidRDefault="00002D76" w:rsidP="00D63204">
            <w:pPr>
              <w:spacing w:after="0" w:line="240" w:lineRule="auto"/>
              <w:rPr>
                <w:rFonts w:ascii="Calibri" w:hAnsi="Calibri"/>
                <w:b/>
                <w:bCs/>
                <w:color w:val="231F20"/>
                <w:sz w:val="16"/>
                <w:szCs w:val="16"/>
              </w:rPr>
            </w:pPr>
            <w:r w:rsidRPr="00336134">
              <w:rPr>
                <w:rFonts w:ascii="Calibri" w:hAnsi="Calibri"/>
                <w:b/>
                <w:bCs/>
                <w:color w:val="231F20"/>
                <w:sz w:val="16"/>
                <w:szCs w:val="16"/>
              </w:rPr>
              <w:t>2017-25 Percent Change</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106B09B4" w14:textId="77777777" w:rsidR="00002D76" w:rsidRPr="00336134" w:rsidRDefault="00002D76" w:rsidP="00D63204">
            <w:pPr>
              <w:spacing w:after="0" w:line="240" w:lineRule="auto"/>
              <w:rPr>
                <w:rFonts w:ascii="Calibri" w:hAnsi="Calibri"/>
                <w:b/>
                <w:bCs/>
                <w:color w:val="231F20"/>
                <w:sz w:val="16"/>
                <w:szCs w:val="16"/>
              </w:rPr>
            </w:pPr>
            <w:r w:rsidRPr="00336134">
              <w:rPr>
                <w:rFonts w:ascii="Calibri" w:hAnsi="Calibri"/>
                <w:b/>
                <w:bCs/>
                <w:color w:val="231F20"/>
                <w:sz w:val="16"/>
                <w:szCs w:val="16"/>
              </w:rPr>
              <w:t>Industry Sector Linkage</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755FFB9B" w14:textId="77777777" w:rsidR="00002D76" w:rsidRPr="00336134" w:rsidRDefault="00002D76" w:rsidP="00D63204">
            <w:pPr>
              <w:spacing w:after="0" w:line="240" w:lineRule="auto"/>
              <w:rPr>
                <w:rFonts w:ascii="Calibri" w:hAnsi="Calibri"/>
                <w:b/>
                <w:bCs/>
                <w:color w:val="231F20"/>
                <w:sz w:val="16"/>
                <w:szCs w:val="16"/>
              </w:rPr>
            </w:pPr>
            <w:r w:rsidRPr="00336134">
              <w:rPr>
                <w:rFonts w:ascii="Calibri" w:hAnsi="Calibri"/>
                <w:b/>
                <w:bCs/>
                <w:color w:val="231F20"/>
                <w:sz w:val="16"/>
                <w:szCs w:val="16"/>
              </w:rPr>
              <w:t>2017 Median Hourly Wage</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7E445281" w14:textId="77777777" w:rsidR="00002D76" w:rsidRPr="00336134" w:rsidRDefault="00002D76" w:rsidP="00D63204">
            <w:pPr>
              <w:spacing w:after="0" w:line="240" w:lineRule="auto"/>
              <w:rPr>
                <w:rFonts w:ascii="Calibri" w:hAnsi="Calibri"/>
                <w:b/>
                <w:bCs/>
                <w:color w:val="231F20"/>
                <w:sz w:val="16"/>
                <w:szCs w:val="16"/>
              </w:rPr>
            </w:pPr>
            <w:r w:rsidRPr="00336134">
              <w:rPr>
                <w:rFonts w:ascii="Calibri" w:hAnsi="Calibri"/>
                <w:b/>
                <w:bCs/>
                <w:color w:val="231F20"/>
                <w:sz w:val="16"/>
                <w:szCs w:val="16"/>
              </w:rPr>
              <w:t>2017 Entry Wage</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1E1E1FF8" w14:textId="77777777" w:rsidR="00002D76" w:rsidRPr="00336134" w:rsidRDefault="00002D76" w:rsidP="00D63204">
            <w:pPr>
              <w:spacing w:after="0" w:line="240" w:lineRule="auto"/>
              <w:rPr>
                <w:rFonts w:ascii="Calibri" w:hAnsi="Calibri"/>
                <w:b/>
                <w:bCs/>
                <w:color w:val="231F20"/>
                <w:sz w:val="16"/>
                <w:szCs w:val="16"/>
              </w:rPr>
            </w:pPr>
            <w:r w:rsidRPr="00336134">
              <w:rPr>
                <w:rFonts w:ascii="Calibri" w:hAnsi="Calibri"/>
                <w:b/>
                <w:bCs/>
                <w:color w:val="231F20"/>
                <w:sz w:val="16"/>
                <w:szCs w:val="16"/>
              </w:rPr>
              <w:t>2017 Experienced Wage</w:t>
            </w:r>
          </w:p>
        </w:tc>
      </w:tr>
      <w:tr w:rsidR="00002D76" w:rsidRPr="00336134" w14:paraId="4115FEC9" w14:textId="77777777" w:rsidTr="001429C7">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66954C7" w14:textId="77777777" w:rsidR="00002D76" w:rsidRPr="00336134" w:rsidRDefault="00002D76" w:rsidP="00D63204">
            <w:pPr>
              <w:spacing w:after="0" w:line="240" w:lineRule="auto"/>
              <w:rPr>
                <w:rFonts w:ascii="Calibri" w:hAnsi="Calibri"/>
                <w:color w:val="231F20"/>
                <w:sz w:val="16"/>
                <w:szCs w:val="16"/>
              </w:rPr>
            </w:pPr>
            <w:r w:rsidRPr="00336134">
              <w:rPr>
                <w:rFonts w:ascii="Calibri" w:hAnsi="Calibri"/>
                <w:color w:val="231F20"/>
                <w:sz w:val="16"/>
                <w:szCs w:val="16"/>
              </w:rPr>
              <w:t>1</w:t>
            </w:r>
          </w:p>
        </w:tc>
        <w:tc>
          <w:tcPr>
            <w:tcW w:w="0" w:type="auto"/>
            <w:tcBorders>
              <w:top w:val="nil"/>
              <w:left w:val="nil"/>
              <w:bottom w:val="single" w:sz="4" w:space="0" w:color="auto"/>
              <w:right w:val="single" w:sz="4" w:space="0" w:color="auto"/>
            </w:tcBorders>
            <w:shd w:val="clear" w:color="auto" w:fill="auto"/>
            <w:vAlign w:val="center"/>
            <w:hideMark/>
          </w:tcPr>
          <w:p w14:paraId="71E64B41" w14:textId="77777777" w:rsidR="00002D76" w:rsidRPr="00336134" w:rsidRDefault="00002D76" w:rsidP="00D63204">
            <w:pPr>
              <w:spacing w:after="0" w:line="240" w:lineRule="auto"/>
              <w:rPr>
                <w:rFonts w:ascii="Calibri" w:hAnsi="Calibri"/>
                <w:color w:val="231F20"/>
                <w:sz w:val="16"/>
                <w:szCs w:val="16"/>
              </w:rPr>
            </w:pPr>
            <w:r w:rsidRPr="00336134">
              <w:rPr>
                <w:rFonts w:ascii="Calibri" w:hAnsi="Calibri"/>
                <w:color w:val="231F20"/>
                <w:sz w:val="16"/>
                <w:szCs w:val="16"/>
              </w:rPr>
              <w:t>152041</w:t>
            </w:r>
          </w:p>
        </w:tc>
        <w:tc>
          <w:tcPr>
            <w:tcW w:w="0" w:type="auto"/>
            <w:tcBorders>
              <w:top w:val="nil"/>
              <w:left w:val="nil"/>
              <w:bottom w:val="single" w:sz="4" w:space="0" w:color="auto"/>
              <w:right w:val="single" w:sz="4" w:space="0" w:color="auto"/>
            </w:tcBorders>
            <w:shd w:val="clear" w:color="auto" w:fill="auto"/>
            <w:vAlign w:val="center"/>
            <w:hideMark/>
          </w:tcPr>
          <w:p w14:paraId="2AE1EB36" w14:textId="77777777" w:rsidR="00002D76" w:rsidRPr="00336134" w:rsidRDefault="00002D76" w:rsidP="001429C7">
            <w:pPr>
              <w:spacing w:after="0" w:line="240" w:lineRule="auto"/>
              <w:rPr>
                <w:rFonts w:ascii="Calibri" w:hAnsi="Calibri"/>
                <w:color w:val="231F20"/>
                <w:sz w:val="16"/>
                <w:szCs w:val="16"/>
              </w:rPr>
            </w:pPr>
            <w:r w:rsidRPr="00336134">
              <w:rPr>
                <w:rFonts w:ascii="Calibri" w:hAnsi="Calibri"/>
                <w:color w:val="231F20"/>
                <w:sz w:val="16"/>
                <w:szCs w:val="16"/>
              </w:rPr>
              <w:t>Statisticians</w:t>
            </w:r>
          </w:p>
        </w:tc>
        <w:tc>
          <w:tcPr>
            <w:tcW w:w="0" w:type="auto"/>
            <w:tcBorders>
              <w:top w:val="nil"/>
              <w:left w:val="nil"/>
              <w:bottom w:val="single" w:sz="4" w:space="0" w:color="auto"/>
              <w:right w:val="single" w:sz="4" w:space="0" w:color="auto"/>
            </w:tcBorders>
            <w:shd w:val="clear" w:color="auto" w:fill="auto"/>
            <w:vAlign w:val="center"/>
            <w:hideMark/>
          </w:tcPr>
          <w:p w14:paraId="38092DFD" w14:textId="77777777" w:rsidR="00002D76" w:rsidRPr="00336134" w:rsidRDefault="00002D76" w:rsidP="00D63204">
            <w:pPr>
              <w:spacing w:after="0" w:line="240" w:lineRule="auto"/>
              <w:rPr>
                <w:rFonts w:ascii="Calibri" w:hAnsi="Calibri"/>
                <w:color w:val="231F20"/>
                <w:sz w:val="16"/>
                <w:szCs w:val="16"/>
              </w:rPr>
            </w:pPr>
            <w:r w:rsidRPr="00336134">
              <w:rPr>
                <w:rFonts w:ascii="Calibri" w:hAnsi="Calibri"/>
                <w:color w:val="231F20"/>
                <w:sz w:val="16"/>
                <w:szCs w:val="16"/>
              </w:rPr>
              <w:t>931</w:t>
            </w:r>
          </w:p>
        </w:tc>
        <w:tc>
          <w:tcPr>
            <w:tcW w:w="0" w:type="auto"/>
            <w:tcBorders>
              <w:top w:val="nil"/>
              <w:left w:val="nil"/>
              <w:bottom w:val="single" w:sz="4" w:space="0" w:color="auto"/>
              <w:right w:val="single" w:sz="4" w:space="0" w:color="auto"/>
            </w:tcBorders>
            <w:shd w:val="clear" w:color="auto" w:fill="auto"/>
            <w:vAlign w:val="center"/>
            <w:hideMark/>
          </w:tcPr>
          <w:p w14:paraId="533625AA" w14:textId="77777777" w:rsidR="00002D76" w:rsidRPr="00336134" w:rsidRDefault="00002D76" w:rsidP="00D63204">
            <w:pPr>
              <w:spacing w:after="0" w:line="240" w:lineRule="auto"/>
              <w:rPr>
                <w:rFonts w:ascii="Calibri" w:hAnsi="Calibri"/>
                <w:color w:val="231F20"/>
                <w:sz w:val="16"/>
                <w:szCs w:val="16"/>
              </w:rPr>
            </w:pPr>
            <w:r w:rsidRPr="00336134">
              <w:rPr>
                <w:rFonts w:ascii="Calibri" w:hAnsi="Calibri"/>
                <w:color w:val="231F20"/>
                <w:sz w:val="16"/>
                <w:szCs w:val="16"/>
              </w:rPr>
              <w:t>1,307</w:t>
            </w:r>
          </w:p>
        </w:tc>
        <w:tc>
          <w:tcPr>
            <w:tcW w:w="0" w:type="auto"/>
            <w:tcBorders>
              <w:top w:val="nil"/>
              <w:left w:val="nil"/>
              <w:bottom w:val="single" w:sz="4" w:space="0" w:color="auto"/>
              <w:right w:val="single" w:sz="4" w:space="0" w:color="auto"/>
            </w:tcBorders>
            <w:shd w:val="clear" w:color="auto" w:fill="auto"/>
            <w:vAlign w:val="center"/>
            <w:hideMark/>
          </w:tcPr>
          <w:p w14:paraId="5F4FD408" w14:textId="77777777" w:rsidR="00002D76" w:rsidRPr="00336134" w:rsidRDefault="00002D76" w:rsidP="00D63204">
            <w:pPr>
              <w:spacing w:after="0" w:line="240" w:lineRule="auto"/>
              <w:rPr>
                <w:rFonts w:ascii="Calibri" w:hAnsi="Calibri"/>
                <w:color w:val="231F20"/>
                <w:sz w:val="16"/>
                <w:szCs w:val="16"/>
              </w:rPr>
            </w:pPr>
            <w:r w:rsidRPr="00336134">
              <w:rPr>
                <w:rFonts w:ascii="Calibri" w:hAnsi="Calibri"/>
                <w:color w:val="231F20"/>
                <w:sz w:val="16"/>
                <w:szCs w:val="16"/>
              </w:rPr>
              <w:t>376</w:t>
            </w:r>
          </w:p>
        </w:tc>
        <w:tc>
          <w:tcPr>
            <w:tcW w:w="0" w:type="auto"/>
            <w:tcBorders>
              <w:top w:val="nil"/>
              <w:left w:val="nil"/>
              <w:bottom w:val="single" w:sz="4" w:space="0" w:color="auto"/>
              <w:right w:val="single" w:sz="4" w:space="0" w:color="auto"/>
            </w:tcBorders>
            <w:shd w:val="clear" w:color="auto" w:fill="auto"/>
            <w:vAlign w:val="center"/>
            <w:hideMark/>
          </w:tcPr>
          <w:p w14:paraId="1486189E" w14:textId="77777777" w:rsidR="00002D76" w:rsidRPr="00336134" w:rsidRDefault="00002D76" w:rsidP="00D63204">
            <w:pPr>
              <w:spacing w:after="0" w:line="240" w:lineRule="auto"/>
              <w:rPr>
                <w:rFonts w:ascii="Calibri" w:hAnsi="Calibri"/>
                <w:color w:val="231F20"/>
                <w:sz w:val="16"/>
                <w:szCs w:val="16"/>
              </w:rPr>
            </w:pPr>
            <w:r w:rsidRPr="00336134">
              <w:rPr>
                <w:rFonts w:ascii="Calibri" w:hAnsi="Calibri"/>
                <w:color w:val="231F20"/>
                <w:sz w:val="16"/>
                <w:szCs w:val="16"/>
              </w:rPr>
              <w:t>40.4</w:t>
            </w:r>
          </w:p>
        </w:tc>
        <w:tc>
          <w:tcPr>
            <w:tcW w:w="0" w:type="auto"/>
            <w:tcBorders>
              <w:top w:val="nil"/>
              <w:left w:val="nil"/>
              <w:bottom w:val="single" w:sz="4" w:space="0" w:color="auto"/>
              <w:right w:val="single" w:sz="4" w:space="0" w:color="auto"/>
            </w:tcBorders>
            <w:shd w:val="clear" w:color="auto" w:fill="auto"/>
            <w:vAlign w:val="center"/>
            <w:hideMark/>
          </w:tcPr>
          <w:p w14:paraId="776B137A" w14:textId="77777777" w:rsidR="00002D76" w:rsidRPr="00336134" w:rsidRDefault="00002D76" w:rsidP="001429C7">
            <w:pPr>
              <w:spacing w:after="0" w:line="240" w:lineRule="auto"/>
              <w:rPr>
                <w:rFonts w:ascii="Calibri" w:hAnsi="Calibri"/>
                <w:color w:val="231F20"/>
                <w:sz w:val="16"/>
                <w:szCs w:val="16"/>
              </w:rPr>
            </w:pPr>
            <w:r w:rsidRPr="00336134">
              <w:rPr>
                <w:rFonts w:ascii="Calibri" w:hAnsi="Calibri"/>
                <w:color w:val="231F20"/>
                <w:sz w:val="16"/>
                <w:szCs w:val="16"/>
              </w:rPr>
              <w:t>Professional Services</w:t>
            </w:r>
          </w:p>
        </w:tc>
        <w:tc>
          <w:tcPr>
            <w:tcW w:w="0" w:type="auto"/>
            <w:tcBorders>
              <w:top w:val="nil"/>
              <w:left w:val="nil"/>
              <w:bottom w:val="single" w:sz="4" w:space="0" w:color="auto"/>
              <w:right w:val="single" w:sz="4" w:space="0" w:color="auto"/>
            </w:tcBorders>
            <w:shd w:val="clear" w:color="auto" w:fill="auto"/>
            <w:vAlign w:val="center"/>
            <w:hideMark/>
          </w:tcPr>
          <w:p w14:paraId="61D7245B" w14:textId="77777777" w:rsidR="00002D76" w:rsidRPr="00336134" w:rsidRDefault="00002D76" w:rsidP="00D63204">
            <w:pPr>
              <w:spacing w:after="0" w:line="240" w:lineRule="auto"/>
              <w:rPr>
                <w:rFonts w:ascii="Calibri" w:hAnsi="Calibri"/>
                <w:color w:val="231F20"/>
                <w:sz w:val="16"/>
                <w:szCs w:val="16"/>
              </w:rPr>
            </w:pPr>
            <w:r w:rsidRPr="00336134">
              <w:rPr>
                <w:rFonts w:ascii="Calibri" w:hAnsi="Calibri"/>
                <w:color w:val="231F20"/>
                <w:sz w:val="16"/>
                <w:szCs w:val="16"/>
              </w:rPr>
              <w:t>30.01</w:t>
            </w:r>
          </w:p>
        </w:tc>
        <w:tc>
          <w:tcPr>
            <w:tcW w:w="0" w:type="auto"/>
            <w:tcBorders>
              <w:top w:val="nil"/>
              <w:left w:val="nil"/>
              <w:bottom w:val="single" w:sz="4" w:space="0" w:color="auto"/>
              <w:right w:val="single" w:sz="4" w:space="0" w:color="auto"/>
            </w:tcBorders>
            <w:shd w:val="clear" w:color="auto" w:fill="auto"/>
            <w:vAlign w:val="center"/>
            <w:hideMark/>
          </w:tcPr>
          <w:p w14:paraId="159AACC6" w14:textId="77777777" w:rsidR="00002D76" w:rsidRPr="00336134" w:rsidRDefault="00002D76" w:rsidP="00D63204">
            <w:pPr>
              <w:spacing w:after="0" w:line="240" w:lineRule="auto"/>
              <w:rPr>
                <w:rFonts w:ascii="Calibri" w:hAnsi="Calibri"/>
                <w:color w:val="231F20"/>
                <w:sz w:val="16"/>
                <w:szCs w:val="16"/>
              </w:rPr>
            </w:pPr>
            <w:r w:rsidRPr="00336134">
              <w:rPr>
                <w:rFonts w:ascii="Calibri" w:hAnsi="Calibri"/>
                <w:color w:val="231F20"/>
                <w:sz w:val="16"/>
                <w:szCs w:val="16"/>
              </w:rPr>
              <w:t>19.85</w:t>
            </w:r>
          </w:p>
        </w:tc>
        <w:tc>
          <w:tcPr>
            <w:tcW w:w="0" w:type="auto"/>
            <w:tcBorders>
              <w:top w:val="nil"/>
              <w:left w:val="nil"/>
              <w:bottom w:val="single" w:sz="4" w:space="0" w:color="auto"/>
              <w:right w:val="single" w:sz="4" w:space="0" w:color="auto"/>
            </w:tcBorders>
            <w:shd w:val="clear" w:color="auto" w:fill="auto"/>
            <w:vAlign w:val="center"/>
            <w:hideMark/>
          </w:tcPr>
          <w:p w14:paraId="69E2E91D" w14:textId="77777777" w:rsidR="00002D76" w:rsidRPr="00336134" w:rsidRDefault="00002D76" w:rsidP="00D63204">
            <w:pPr>
              <w:spacing w:after="0" w:line="240" w:lineRule="auto"/>
              <w:rPr>
                <w:rFonts w:ascii="Calibri" w:hAnsi="Calibri"/>
                <w:color w:val="231F20"/>
                <w:sz w:val="16"/>
                <w:szCs w:val="16"/>
              </w:rPr>
            </w:pPr>
            <w:r w:rsidRPr="00336134">
              <w:rPr>
                <w:rFonts w:ascii="Calibri" w:hAnsi="Calibri"/>
                <w:color w:val="231F20"/>
                <w:sz w:val="16"/>
                <w:szCs w:val="16"/>
              </w:rPr>
              <w:t>41.02</w:t>
            </w:r>
          </w:p>
        </w:tc>
      </w:tr>
      <w:tr w:rsidR="00002D76" w:rsidRPr="00336134" w14:paraId="195918B1" w14:textId="77777777" w:rsidTr="001429C7">
        <w:trPr>
          <w:trHeight w:val="300"/>
        </w:trPr>
        <w:tc>
          <w:tcPr>
            <w:tcW w:w="0" w:type="auto"/>
            <w:tcBorders>
              <w:top w:val="nil"/>
              <w:left w:val="single" w:sz="4" w:space="0" w:color="auto"/>
              <w:bottom w:val="single" w:sz="4" w:space="0" w:color="auto"/>
              <w:right w:val="single" w:sz="4" w:space="0" w:color="auto"/>
            </w:tcBorders>
            <w:shd w:val="clear" w:color="000000" w:fill="D1D3D4"/>
            <w:vAlign w:val="center"/>
            <w:hideMark/>
          </w:tcPr>
          <w:p w14:paraId="03DC4B87" w14:textId="77777777" w:rsidR="00002D76" w:rsidRPr="00336134" w:rsidRDefault="00002D76" w:rsidP="00D63204">
            <w:pPr>
              <w:spacing w:after="0" w:line="240" w:lineRule="auto"/>
              <w:rPr>
                <w:rFonts w:ascii="Calibri" w:hAnsi="Calibri"/>
                <w:color w:val="231F20"/>
                <w:sz w:val="16"/>
                <w:szCs w:val="16"/>
              </w:rPr>
            </w:pPr>
            <w:r w:rsidRPr="00336134">
              <w:rPr>
                <w:rFonts w:ascii="Calibri" w:hAnsi="Calibri"/>
                <w:color w:val="231F20"/>
                <w:sz w:val="16"/>
                <w:szCs w:val="16"/>
              </w:rPr>
              <w:t>2</w:t>
            </w:r>
          </w:p>
        </w:tc>
        <w:tc>
          <w:tcPr>
            <w:tcW w:w="0" w:type="auto"/>
            <w:tcBorders>
              <w:top w:val="nil"/>
              <w:left w:val="nil"/>
              <w:bottom w:val="single" w:sz="4" w:space="0" w:color="auto"/>
              <w:right w:val="single" w:sz="4" w:space="0" w:color="auto"/>
            </w:tcBorders>
            <w:shd w:val="clear" w:color="000000" w:fill="D1D3D4"/>
            <w:vAlign w:val="center"/>
            <w:hideMark/>
          </w:tcPr>
          <w:p w14:paraId="354A19BD" w14:textId="77777777" w:rsidR="00002D76" w:rsidRPr="00336134" w:rsidRDefault="00002D76" w:rsidP="00D63204">
            <w:pPr>
              <w:spacing w:after="0" w:line="240" w:lineRule="auto"/>
              <w:rPr>
                <w:rFonts w:ascii="Calibri" w:hAnsi="Calibri"/>
                <w:color w:val="231F20"/>
                <w:sz w:val="16"/>
                <w:szCs w:val="16"/>
              </w:rPr>
            </w:pPr>
            <w:r w:rsidRPr="00336134">
              <w:rPr>
                <w:rFonts w:ascii="Calibri" w:hAnsi="Calibri"/>
                <w:color w:val="231F20"/>
                <w:sz w:val="16"/>
                <w:szCs w:val="16"/>
              </w:rPr>
              <w:t>472231</w:t>
            </w:r>
          </w:p>
        </w:tc>
        <w:tc>
          <w:tcPr>
            <w:tcW w:w="0" w:type="auto"/>
            <w:tcBorders>
              <w:top w:val="nil"/>
              <w:left w:val="nil"/>
              <w:bottom w:val="single" w:sz="4" w:space="0" w:color="auto"/>
              <w:right w:val="single" w:sz="4" w:space="0" w:color="auto"/>
            </w:tcBorders>
            <w:shd w:val="clear" w:color="000000" w:fill="D1D3D4"/>
            <w:vAlign w:val="center"/>
            <w:hideMark/>
          </w:tcPr>
          <w:p w14:paraId="76CA3B21" w14:textId="77777777" w:rsidR="00002D76" w:rsidRPr="00336134" w:rsidRDefault="00002D76" w:rsidP="001429C7">
            <w:pPr>
              <w:spacing w:after="0" w:line="240" w:lineRule="auto"/>
              <w:rPr>
                <w:rFonts w:ascii="Calibri" w:hAnsi="Calibri"/>
                <w:color w:val="231F20"/>
                <w:sz w:val="16"/>
                <w:szCs w:val="16"/>
              </w:rPr>
            </w:pPr>
            <w:r w:rsidRPr="00336134">
              <w:rPr>
                <w:rFonts w:ascii="Calibri" w:hAnsi="Calibri"/>
                <w:color w:val="231F20"/>
                <w:sz w:val="16"/>
                <w:szCs w:val="16"/>
              </w:rPr>
              <w:t>Solar Photovoltaic Installers</w:t>
            </w:r>
          </w:p>
        </w:tc>
        <w:tc>
          <w:tcPr>
            <w:tcW w:w="0" w:type="auto"/>
            <w:tcBorders>
              <w:top w:val="nil"/>
              <w:left w:val="nil"/>
              <w:bottom w:val="single" w:sz="4" w:space="0" w:color="auto"/>
              <w:right w:val="single" w:sz="4" w:space="0" w:color="auto"/>
            </w:tcBorders>
            <w:shd w:val="clear" w:color="000000" w:fill="D1D3D4"/>
            <w:vAlign w:val="center"/>
            <w:hideMark/>
          </w:tcPr>
          <w:p w14:paraId="474B482A" w14:textId="77777777" w:rsidR="00002D76" w:rsidRPr="00336134" w:rsidRDefault="00002D76" w:rsidP="00D63204">
            <w:pPr>
              <w:spacing w:after="0" w:line="240" w:lineRule="auto"/>
              <w:rPr>
                <w:rFonts w:ascii="Calibri" w:hAnsi="Calibri"/>
                <w:color w:val="231F20"/>
                <w:sz w:val="16"/>
                <w:szCs w:val="16"/>
              </w:rPr>
            </w:pPr>
            <w:r w:rsidRPr="00336134">
              <w:rPr>
                <w:rFonts w:ascii="Calibri" w:hAnsi="Calibri"/>
                <w:color w:val="231F20"/>
                <w:sz w:val="16"/>
                <w:szCs w:val="16"/>
              </w:rPr>
              <w:t>928</w:t>
            </w:r>
          </w:p>
        </w:tc>
        <w:tc>
          <w:tcPr>
            <w:tcW w:w="0" w:type="auto"/>
            <w:tcBorders>
              <w:top w:val="nil"/>
              <w:left w:val="nil"/>
              <w:bottom w:val="single" w:sz="4" w:space="0" w:color="auto"/>
              <w:right w:val="single" w:sz="4" w:space="0" w:color="auto"/>
            </w:tcBorders>
            <w:shd w:val="clear" w:color="000000" w:fill="D1D3D4"/>
            <w:vAlign w:val="center"/>
            <w:hideMark/>
          </w:tcPr>
          <w:p w14:paraId="2E1C51BE" w14:textId="77777777" w:rsidR="00002D76" w:rsidRPr="00336134" w:rsidRDefault="00002D76" w:rsidP="00D63204">
            <w:pPr>
              <w:spacing w:after="0" w:line="240" w:lineRule="auto"/>
              <w:rPr>
                <w:rFonts w:ascii="Calibri" w:hAnsi="Calibri"/>
                <w:color w:val="231F20"/>
                <w:sz w:val="16"/>
                <w:szCs w:val="16"/>
              </w:rPr>
            </w:pPr>
            <w:r w:rsidRPr="00336134">
              <w:rPr>
                <w:rFonts w:ascii="Calibri" w:hAnsi="Calibri"/>
                <w:color w:val="231F20"/>
                <w:sz w:val="16"/>
                <w:szCs w:val="16"/>
              </w:rPr>
              <w:t>1,271</w:t>
            </w:r>
          </w:p>
        </w:tc>
        <w:tc>
          <w:tcPr>
            <w:tcW w:w="0" w:type="auto"/>
            <w:tcBorders>
              <w:top w:val="nil"/>
              <w:left w:val="nil"/>
              <w:bottom w:val="single" w:sz="4" w:space="0" w:color="auto"/>
              <w:right w:val="single" w:sz="4" w:space="0" w:color="auto"/>
            </w:tcBorders>
            <w:shd w:val="clear" w:color="000000" w:fill="D1D3D4"/>
            <w:vAlign w:val="center"/>
            <w:hideMark/>
          </w:tcPr>
          <w:p w14:paraId="0F78C1BD" w14:textId="77777777" w:rsidR="00002D76" w:rsidRPr="00336134" w:rsidRDefault="00002D76" w:rsidP="00D63204">
            <w:pPr>
              <w:spacing w:after="0" w:line="240" w:lineRule="auto"/>
              <w:rPr>
                <w:rFonts w:ascii="Calibri" w:hAnsi="Calibri"/>
                <w:color w:val="231F20"/>
                <w:sz w:val="16"/>
                <w:szCs w:val="16"/>
              </w:rPr>
            </w:pPr>
            <w:r w:rsidRPr="00336134">
              <w:rPr>
                <w:rFonts w:ascii="Calibri" w:hAnsi="Calibri"/>
                <w:color w:val="231F20"/>
                <w:sz w:val="16"/>
                <w:szCs w:val="16"/>
              </w:rPr>
              <w:t>343</w:t>
            </w:r>
          </w:p>
        </w:tc>
        <w:tc>
          <w:tcPr>
            <w:tcW w:w="0" w:type="auto"/>
            <w:tcBorders>
              <w:top w:val="nil"/>
              <w:left w:val="nil"/>
              <w:bottom w:val="single" w:sz="4" w:space="0" w:color="auto"/>
              <w:right w:val="single" w:sz="4" w:space="0" w:color="auto"/>
            </w:tcBorders>
            <w:shd w:val="clear" w:color="000000" w:fill="D1D3D4"/>
            <w:vAlign w:val="center"/>
            <w:hideMark/>
          </w:tcPr>
          <w:p w14:paraId="26AD2FBA" w14:textId="77777777" w:rsidR="00002D76" w:rsidRPr="00336134" w:rsidRDefault="00002D76" w:rsidP="00D63204">
            <w:pPr>
              <w:spacing w:after="0" w:line="240" w:lineRule="auto"/>
              <w:rPr>
                <w:rFonts w:ascii="Calibri" w:hAnsi="Calibri"/>
                <w:color w:val="231F20"/>
                <w:sz w:val="16"/>
                <w:szCs w:val="16"/>
              </w:rPr>
            </w:pPr>
            <w:r w:rsidRPr="00336134">
              <w:rPr>
                <w:rFonts w:ascii="Calibri" w:hAnsi="Calibri"/>
                <w:color w:val="231F20"/>
                <w:sz w:val="16"/>
                <w:szCs w:val="16"/>
              </w:rPr>
              <w:t>37.0</w:t>
            </w:r>
          </w:p>
        </w:tc>
        <w:tc>
          <w:tcPr>
            <w:tcW w:w="0" w:type="auto"/>
            <w:tcBorders>
              <w:top w:val="nil"/>
              <w:left w:val="nil"/>
              <w:bottom w:val="single" w:sz="4" w:space="0" w:color="auto"/>
              <w:right w:val="single" w:sz="4" w:space="0" w:color="auto"/>
            </w:tcBorders>
            <w:shd w:val="clear" w:color="000000" w:fill="D1D3D4"/>
            <w:vAlign w:val="center"/>
            <w:hideMark/>
          </w:tcPr>
          <w:p w14:paraId="5D0CB1A9" w14:textId="77777777" w:rsidR="00002D76" w:rsidRPr="00336134" w:rsidRDefault="00002D76" w:rsidP="001429C7">
            <w:pPr>
              <w:spacing w:after="0" w:line="240" w:lineRule="auto"/>
              <w:rPr>
                <w:rFonts w:ascii="Calibri" w:hAnsi="Calibri"/>
                <w:color w:val="231F20"/>
                <w:sz w:val="16"/>
                <w:szCs w:val="16"/>
              </w:rPr>
            </w:pPr>
            <w:r w:rsidRPr="00336134">
              <w:rPr>
                <w:rFonts w:ascii="Calibri" w:hAnsi="Calibri"/>
                <w:color w:val="231F20"/>
                <w:sz w:val="16"/>
                <w:szCs w:val="16"/>
              </w:rPr>
              <w:t>Clean Tech</w:t>
            </w:r>
          </w:p>
        </w:tc>
        <w:tc>
          <w:tcPr>
            <w:tcW w:w="0" w:type="auto"/>
            <w:tcBorders>
              <w:top w:val="nil"/>
              <w:left w:val="nil"/>
              <w:bottom w:val="single" w:sz="4" w:space="0" w:color="auto"/>
              <w:right w:val="single" w:sz="4" w:space="0" w:color="auto"/>
            </w:tcBorders>
            <w:shd w:val="clear" w:color="000000" w:fill="D1D3D4"/>
            <w:vAlign w:val="center"/>
            <w:hideMark/>
          </w:tcPr>
          <w:p w14:paraId="4B0877FC" w14:textId="77777777" w:rsidR="00002D76" w:rsidRPr="00336134" w:rsidRDefault="00002D76" w:rsidP="00D63204">
            <w:pPr>
              <w:spacing w:after="0" w:line="240" w:lineRule="auto"/>
              <w:rPr>
                <w:rFonts w:ascii="Calibri" w:hAnsi="Calibri"/>
                <w:color w:val="231F20"/>
                <w:sz w:val="16"/>
                <w:szCs w:val="16"/>
              </w:rPr>
            </w:pPr>
            <w:r w:rsidRPr="00336134">
              <w:rPr>
                <w:rFonts w:ascii="Calibri" w:hAnsi="Calibri"/>
                <w:color w:val="231F20"/>
                <w:sz w:val="16"/>
                <w:szCs w:val="16"/>
              </w:rPr>
              <w:t>14.93</w:t>
            </w:r>
          </w:p>
        </w:tc>
        <w:tc>
          <w:tcPr>
            <w:tcW w:w="0" w:type="auto"/>
            <w:tcBorders>
              <w:top w:val="nil"/>
              <w:left w:val="nil"/>
              <w:bottom w:val="single" w:sz="4" w:space="0" w:color="auto"/>
              <w:right w:val="single" w:sz="4" w:space="0" w:color="auto"/>
            </w:tcBorders>
            <w:shd w:val="clear" w:color="000000" w:fill="D1D3D4"/>
            <w:vAlign w:val="center"/>
            <w:hideMark/>
          </w:tcPr>
          <w:p w14:paraId="1EEFE55A" w14:textId="77777777" w:rsidR="00002D76" w:rsidRPr="00336134" w:rsidRDefault="00002D76" w:rsidP="00D63204">
            <w:pPr>
              <w:spacing w:after="0" w:line="240" w:lineRule="auto"/>
              <w:rPr>
                <w:rFonts w:ascii="Calibri" w:hAnsi="Calibri"/>
                <w:color w:val="231F20"/>
                <w:sz w:val="16"/>
                <w:szCs w:val="16"/>
              </w:rPr>
            </w:pPr>
            <w:r w:rsidRPr="00336134">
              <w:rPr>
                <w:rFonts w:ascii="Calibri" w:hAnsi="Calibri"/>
                <w:color w:val="231F20"/>
                <w:sz w:val="16"/>
                <w:szCs w:val="16"/>
              </w:rPr>
              <w:t>12.76</w:t>
            </w:r>
          </w:p>
        </w:tc>
        <w:tc>
          <w:tcPr>
            <w:tcW w:w="0" w:type="auto"/>
            <w:tcBorders>
              <w:top w:val="nil"/>
              <w:left w:val="nil"/>
              <w:bottom w:val="single" w:sz="4" w:space="0" w:color="auto"/>
              <w:right w:val="single" w:sz="4" w:space="0" w:color="auto"/>
            </w:tcBorders>
            <w:shd w:val="clear" w:color="000000" w:fill="D1D3D4"/>
            <w:vAlign w:val="center"/>
            <w:hideMark/>
          </w:tcPr>
          <w:p w14:paraId="743E6943" w14:textId="77777777" w:rsidR="00002D76" w:rsidRPr="00336134" w:rsidRDefault="00002D76" w:rsidP="00D63204">
            <w:pPr>
              <w:spacing w:after="0" w:line="240" w:lineRule="auto"/>
              <w:rPr>
                <w:rFonts w:ascii="Calibri" w:hAnsi="Calibri"/>
                <w:color w:val="231F20"/>
                <w:sz w:val="16"/>
                <w:szCs w:val="16"/>
              </w:rPr>
            </w:pPr>
            <w:r w:rsidRPr="00336134">
              <w:rPr>
                <w:rFonts w:ascii="Calibri" w:hAnsi="Calibri"/>
                <w:color w:val="231F20"/>
                <w:sz w:val="16"/>
                <w:szCs w:val="16"/>
              </w:rPr>
              <w:t>17.73</w:t>
            </w:r>
          </w:p>
        </w:tc>
      </w:tr>
      <w:tr w:rsidR="00002D76" w:rsidRPr="00336134" w14:paraId="7FC11243" w14:textId="77777777" w:rsidTr="001429C7">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A1500C4" w14:textId="77777777" w:rsidR="00002D76" w:rsidRPr="00336134" w:rsidRDefault="00002D76" w:rsidP="00D63204">
            <w:pPr>
              <w:spacing w:after="0" w:line="240" w:lineRule="auto"/>
              <w:rPr>
                <w:rFonts w:ascii="Calibri" w:hAnsi="Calibri"/>
                <w:color w:val="231F20"/>
                <w:sz w:val="16"/>
                <w:szCs w:val="16"/>
              </w:rPr>
            </w:pPr>
            <w:r w:rsidRPr="00336134">
              <w:rPr>
                <w:rFonts w:ascii="Calibri" w:hAnsi="Calibri"/>
                <w:color w:val="231F20"/>
                <w:sz w:val="16"/>
                <w:szCs w:val="16"/>
              </w:rPr>
              <w:t>3</w:t>
            </w:r>
          </w:p>
        </w:tc>
        <w:tc>
          <w:tcPr>
            <w:tcW w:w="0" w:type="auto"/>
            <w:tcBorders>
              <w:top w:val="nil"/>
              <w:left w:val="nil"/>
              <w:bottom w:val="single" w:sz="4" w:space="0" w:color="auto"/>
              <w:right w:val="single" w:sz="4" w:space="0" w:color="auto"/>
            </w:tcBorders>
            <w:shd w:val="clear" w:color="auto" w:fill="auto"/>
            <w:vAlign w:val="center"/>
            <w:hideMark/>
          </w:tcPr>
          <w:p w14:paraId="62CB1719" w14:textId="77777777" w:rsidR="00002D76" w:rsidRPr="00336134" w:rsidRDefault="00002D76" w:rsidP="00D63204">
            <w:pPr>
              <w:spacing w:after="0" w:line="240" w:lineRule="auto"/>
              <w:rPr>
                <w:rFonts w:ascii="Calibri" w:hAnsi="Calibri"/>
                <w:color w:val="231F20"/>
                <w:sz w:val="16"/>
                <w:szCs w:val="16"/>
              </w:rPr>
            </w:pPr>
            <w:r w:rsidRPr="00336134">
              <w:rPr>
                <w:rFonts w:ascii="Calibri" w:hAnsi="Calibri"/>
                <w:color w:val="231F20"/>
                <w:sz w:val="16"/>
                <w:szCs w:val="16"/>
              </w:rPr>
              <w:t>291171</w:t>
            </w:r>
          </w:p>
        </w:tc>
        <w:tc>
          <w:tcPr>
            <w:tcW w:w="0" w:type="auto"/>
            <w:tcBorders>
              <w:top w:val="nil"/>
              <w:left w:val="nil"/>
              <w:bottom w:val="single" w:sz="4" w:space="0" w:color="auto"/>
              <w:right w:val="single" w:sz="4" w:space="0" w:color="auto"/>
            </w:tcBorders>
            <w:shd w:val="clear" w:color="auto" w:fill="auto"/>
            <w:vAlign w:val="center"/>
            <w:hideMark/>
          </w:tcPr>
          <w:p w14:paraId="24420741" w14:textId="77777777" w:rsidR="00002D76" w:rsidRPr="00336134" w:rsidRDefault="00002D76" w:rsidP="001429C7">
            <w:pPr>
              <w:spacing w:after="0" w:line="240" w:lineRule="auto"/>
              <w:rPr>
                <w:rFonts w:ascii="Calibri" w:hAnsi="Calibri"/>
                <w:color w:val="231F20"/>
                <w:sz w:val="16"/>
                <w:szCs w:val="16"/>
              </w:rPr>
            </w:pPr>
            <w:r w:rsidRPr="00336134">
              <w:rPr>
                <w:rFonts w:ascii="Calibri" w:hAnsi="Calibri"/>
                <w:color w:val="231F20"/>
                <w:sz w:val="16"/>
                <w:szCs w:val="16"/>
              </w:rPr>
              <w:t>Nurse Practitioners</w:t>
            </w:r>
          </w:p>
        </w:tc>
        <w:tc>
          <w:tcPr>
            <w:tcW w:w="0" w:type="auto"/>
            <w:tcBorders>
              <w:top w:val="nil"/>
              <w:left w:val="nil"/>
              <w:bottom w:val="single" w:sz="4" w:space="0" w:color="auto"/>
              <w:right w:val="single" w:sz="4" w:space="0" w:color="auto"/>
            </w:tcBorders>
            <w:shd w:val="clear" w:color="auto" w:fill="auto"/>
            <w:vAlign w:val="center"/>
            <w:hideMark/>
          </w:tcPr>
          <w:p w14:paraId="141D150B" w14:textId="77777777" w:rsidR="00002D76" w:rsidRPr="00336134" w:rsidRDefault="00002D76" w:rsidP="00D63204">
            <w:pPr>
              <w:spacing w:after="0" w:line="240" w:lineRule="auto"/>
              <w:rPr>
                <w:rFonts w:ascii="Calibri" w:hAnsi="Calibri"/>
                <w:color w:val="231F20"/>
                <w:sz w:val="16"/>
                <w:szCs w:val="16"/>
              </w:rPr>
            </w:pPr>
            <w:r w:rsidRPr="00336134">
              <w:rPr>
                <w:rFonts w:ascii="Calibri" w:hAnsi="Calibri"/>
                <w:color w:val="231F20"/>
                <w:sz w:val="16"/>
                <w:szCs w:val="16"/>
              </w:rPr>
              <w:t>9,504</w:t>
            </w:r>
          </w:p>
        </w:tc>
        <w:tc>
          <w:tcPr>
            <w:tcW w:w="0" w:type="auto"/>
            <w:tcBorders>
              <w:top w:val="nil"/>
              <w:left w:val="nil"/>
              <w:bottom w:val="single" w:sz="4" w:space="0" w:color="auto"/>
              <w:right w:val="single" w:sz="4" w:space="0" w:color="auto"/>
            </w:tcBorders>
            <w:shd w:val="clear" w:color="auto" w:fill="auto"/>
            <w:vAlign w:val="center"/>
            <w:hideMark/>
          </w:tcPr>
          <w:p w14:paraId="3ABD04F6" w14:textId="77777777" w:rsidR="00002D76" w:rsidRPr="00336134" w:rsidRDefault="00002D76" w:rsidP="00D63204">
            <w:pPr>
              <w:spacing w:after="0" w:line="240" w:lineRule="auto"/>
              <w:rPr>
                <w:rFonts w:ascii="Calibri" w:hAnsi="Calibri"/>
                <w:color w:val="231F20"/>
                <w:sz w:val="16"/>
                <w:szCs w:val="16"/>
              </w:rPr>
            </w:pPr>
            <w:r w:rsidRPr="00336134">
              <w:rPr>
                <w:rFonts w:ascii="Calibri" w:hAnsi="Calibri"/>
                <w:color w:val="231F20"/>
                <w:sz w:val="16"/>
                <w:szCs w:val="16"/>
              </w:rPr>
              <w:t>12,801</w:t>
            </w:r>
          </w:p>
        </w:tc>
        <w:tc>
          <w:tcPr>
            <w:tcW w:w="0" w:type="auto"/>
            <w:tcBorders>
              <w:top w:val="nil"/>
              <w:left w:val="nil"/>
              <w:bottom w:val="single" w:sz="4" w:space="0" w:color="auto"/>
              <w:right w:val="single" w:sz="4" w:space="0" w:color="auto"/>
            </w:tcBorders>
            <w:shd w:val="clear" w:color="auto" w:fill="auto"/>
            <w:vAlign w:val="center"/>
            <w:hideMark/>
          </w:tcPr>
          <w:p w14:paraId="00743387" w14:textId="77777777" w:rsidR="00002D76" w:rsidRPr="00336134" w:rsidRDefault="00002D76" w:rsidP="00D63204">
            <w:pPr>
              <w:spacing w:after="0" w:line="240" w:lineRule="auto"/>
              <w:rPr>
                <w:rFonts w:ascii="Calibri" w:hAnsi="Calibri"/>
                <w:color w:val="231F20"/>
                <w:sz w:val="16"/>
                <w:szCs w:val="16"/>
              </w:rPr>
            </w:pPr>
            <w:r w:rsidRPr="00336134">
              <w:rPr>
                <w:rFonts w:ascii="Calibri" w:hAnsi="Calibri"/>
                <w:color w:val="231F20"/>
                <w:sz w:val="16"/>
                <w:szCs w:val="16"/>
              </w:rPr>
              <w:t>3,297</w:t>
            </w:r>
          </w:p>
        </w:tc>
        <w:tc>
          <w:tcPr>
            <w:tcW w:w="0" w:type="auto"/>
            <w:tcBorders>
              <w:top w:val="nil"/>
              <w:left w:val="nil"/>
              <w:bottom w:val="single" w:sz="4" w:space="0" w:color="auto"/>
              <w:right w:val="single" w:sz="4" w:space="0" w:color="auto"/>
            </w:tcBorders>
            <w:shd w:val="clear" w:color="auto" w:fill="auto"/>
            <w:vAlign w:val="center"/>
            <w:hideMark/>
          </w:tcPr>
          <w:p w14:paraId="04E97393" w14:textId="77777777" w:rsidR="00002D76" w:rsidRPr="00336134" w:rsidRDefault="00002D76" w:rsidP="00D63204">
            <w:pPr>
              <w:spacing w:after="0" w:line="240" w:lineRule="auto"/>
              <w:rPr>
                <w:rFonts w:ascii="Calibri" w:hAnsi="Calibri"/>
                <w:color w:val="231F20"/>
                <w:sz w:val="16"/>
                <w:szCs w:val="16"/>
              </w:rPr>
            </w:pPr>
            <w:r w:rsidRPr="00336134">
              <w:rPr>
                <w:rFonts w:ascii="Calibri" w:hAnsi="Calibri"/>
                <w:color w:val="231F20"/>
                <w:sz w:val="16"/>
                <w:szCs w:val="16"/>
              </w:rPr>
              <w:t>34.7</w:t>
            </w:r>
          </w:p>
        </w:tc>
        <w:tc>
          <w:tcPr>
            <w:tcW w:w="0" w:type="auto"/>
            <w:tcBorders>
              <w:top w:val="nil"/>
              <w:left w:val="nil"/>
              <w:bottom w:val="single" w:sz="4" w:space="0" w:color="auto"/>
              <w:right w:val="single" w:sz="4" w:space="0" w:color="auto"/>
            </w:tcBorders>
            <w:shd w:val="clear" w:color="auto" w:fill="auto"/>
            <w:vAlign w:val="center"/>
            <w:hideMark/>
          </w:tcPr>
          <w:p w14:paraId="0B03845B" w14:textId="77777777" w:rsidR="00002D76" w:rsidRPr="00336134" w:rsidRDefault="00002D76" w:rsidP="001429C7">
            <w:pPr>
              <w:spacing w:after="0" w:line="240" w:lineRule="auto"/>
              <w:rPr>
                <w:rFonts w:ascii="Calibri" w:hAnsi="Calibri"/>
                <w:color w:val="231F20"/>
                <w:sz w:val="16"/>
                <w:szCs w:val="16"/>
              </w:rPr>
            </w:pPr>
            <w:r w:rsidRPr="00336134">
              <w:rPr>
                <w:rFonts w:ascii="Calibri" w:hAnsi="Calibri"/>
                <w:color w:val="231F20"/>
                <w:sz w:val="16"/>
                <w:szCs w:val="16"/>
              </w:rPr>
              <w:t>Healthcare</w:t>
            </w:r>
          </w:p>
        </w:tc>
        <w:tc>
          <w:tcPr>
            <w:tcW w:w="0" w:type="auto"/>
            <w:tcBorders>
              <w:top w:val="nil"/>
              <w:left w:val="nil"/>
              <w:bottom w:val="single" w:sz="4" w:space="0" w:color="auto"/>
              <w:right w:val="single" w:sz="4" w:space="0" w:color="auto"/>
            </w:tcBorders>
            <w:shd w:val="clear" w:color="auto" w:fill="auto"/>
            <w:vAlign w:val="center"/>
            <w:hideMark/>
          </w:tcPr>
          <w:p w14:paraId="20F94DA4" w14:textId="77777777" w:rsidR="00002D76" w:rsidRPr="00336134" w:rsidRDefault="00002D76" w:rsidP="00D63204">
            <w:pPr>
              <w:spacing w:after="0" w:line="240" w:lineRule="auto"/>
              <w:rPr>
                <w:rFonts w:ascii="Calibri" w:hAnsi="Calibri"/>
                <w:color w:val="231F20"/>
                <w:sz w:val="16"/>
                <w:szCs w:val="16"/>
              </w:rPr>
            </w:pPr>
            <w:r w:rsidRPr="00336134">
              <w:rPr>
                <w:rFonts w:ascii="Calibri" w:hAnsi="Calibri"/>
                <w:color w:val="231F20"/>
                <w:sz w:val="16"/>
                <w:szCs w:val="16"/>
              </w:rPr>
              <w:t>46.25</w:t>
            </w:r>
          </w:p>
        </w:tc>
        <w:tc>
          <w:tcPr>
            <w:tcW w:w="0" w:type="auto"/>
            <w:tcBorders>
              <w:top w:val="nil"/>
              <w:left w:val="nil"/>
              <w:bottom w:val="single" w:sz="4" w:space="0" w:color="auto"/>
              <w:right w:val="single" w:sz="4" w:space="0" w:color="auto"/>
            </w:tcBorders>
            <w:shd w:val="clear" w:color="auto" w:fill="auto"/>
            <w:vAlign w:val="center"/>
            <w:hideMark/>
          </w:tcPr>
          <w:p w14:paraId="17245817" w14:textId="77777777" w:rsidR="00002D76" w:rsidRPr="00336134" w:rsidRDefault="00002D76" w:rsidP="00D63204">
            <w:pPr>
              <w:spacing w:after="0" w:line="240" w:lineRule="auto"/>
              <w:rPr>
                <w:rFonts w:ascii="Calibri" w:hAnsi="Calibri"/>
                <w:color w:val="231F20"/>
                <w:sz w:val="16"/>
                <w:szCs w:val="16"/>
              </w:rPr>
            </w:pPr>
            <w:r w:rsidRPr="00336134">
              <w:rPr>
                <w:rFonts w:ascii="Calibri" w:hAnsi="Calibri"/>
                <w:color w:val="231F20"/>
                <w:sz w:val="16"/>
                <w:szCs w:val="16"/>
              </w:rPr>
              <w:t>37.17</w:t>
            </w:r>
          </w:p>
        </w:tc>
        <w:tc>
          <w:tcPr>
            <w:tcW w:w="0" w:type="auto"/>
            <w:tcBorders>
              <w:top w:val="nil"/>
              <w:left w:val="nil"/>
              <w:bottom w:val="single" w:sz="4" w:space="0" w:color="auto"/>
              <w:right w:val="single" w:sz="4" w:space="0" w:color="auto"/>
            </w:tcBorders>
            <w:shd w:val="clear" w:color="auto" w:fill="auto"/>
            <w:vAlign w:val="center"/>
            <w:hideMark/>
          </w:tcPr>
          <w:p w14:paraId="6854294B" w14:textId="77777777" w:rsidR="00002D76" w:rsidRPr="00336134" w:rsidRDefault="00002D76" w:rsidP="00D63204">
            <w:pPr>
              <w:spacing w:after="0" w:line="240" w:lineRule="auto"/>
              <w:rPr>
                <w:rFonts w:ascii="Calibri" w:hAnsi="Calibri"/>
                <w:color w:val="231F20"/>
                <w:sz w:val="16"/>
                <w:szCs w:val="16"/>
              </w:rPr>
            </w:pPr>
            <w:r w:rsidRPr="00336134">
              <w:rPr>
                <w:rFonts w:ascii="Calibri" w:hAnsi="Calibri"/>
                <w:color w:val="231F20"/>
                <w:sz w:val="16"/>
                <w:szCs w:val="16"/>
              </w:rPr>
              <w:t>51.86</w:t>
            </w:r>
          </w:p>
        </w:tc>
      </w:tr>
      <w:tr w:rsidR="00002D76" w:rsidRPr="00336134" w14:paraId="176880AC" w14:textId="77777777" w:rsidTr="001429C7">
        <w:trPr>
          <w:trHeight w:val="300"/>
        </w:trPr>
        <w:tc>
          <w:tcPr>
            <w:tcW w:w="0" w:type="auto"/>
            <w:tcBorders>
              <w:top w:val="nil"/>
              <w:left w:val="single" w:sz="4" w:space="0" w:color="auto"/>
              <w:bottom w:val="single" w:sz="4" w:space="0" w:color="auto"/>
              <w:right w:val="single" w:sz="4" w:space="0" w:color="auto"/>
            </w:tcBorders>
            <w:shd w:val="clear" w:color="000000" w:fill="D1D3D4"/>
            <w:vAlign w:val="center"/>
            <w:hideMark/>
          </w:tcPr>
          <w:p w14:paraId="2CE68363" w14:textId="77777777" w:rsidR="00002D76" w:rsidRPr="00336134" w:rsidRDefault="00002D76" w:rsidP="00D63204">
            <w:pPr>
              <w:spacing w:after="0" w:line="240" w:lineRule="auto"/>
              <w:rPr>
                <w:rFonts w:ascii="Calibri" w:hAnsi="Calibri"/>
                <w:color w:val="231F20"/>
                <w:sz w:val="16"/>
                <w:szCs w:val="16"/>
              </w:rPr>
            </w:pPr>
            <w:r w:rsidRPr="00336134">
              <w:rPr>
                <w:rFonts w:ascii="Calibri" w:hAnsi="Calibri"/>
                <w:color w:val="231F20"/>
                <w:sz w:val="16"/>
                <w:szCs w:val="16"/>
              </w:rPr>
              <w:t>4</w:t>
            </w:r>
          </w:p>
        </w:tc>
        <w:tc>
          <w:tcPr>
            <w:tcW w:w="0" w:type="auto"/>
            <w:tcBorders>
              <w:top w:val="nil"/>
              <w:left w:val="nil"/>
              <w:bottom w:val="single" w:sz="4" w:space="0" w:color="auto"/>
              <w:right w:val="single" w:sz="4" w:space="0" w:color="auto"/>
            </w:tcBorders>
            <w:shd w:val="clear" w:color="000000" w:fill="D1D3D4"/>
            <w:vAlign w:val="center"/>
            <w:hideMark/>
          </w:tcPr>
          <w:p w14:paraId="224B27F0" w14:textId="77777777" w:rsidR="00002D76" w:rsidRPr="00336134" w:rsidRDefault="00002D76" w:rsidP="00D63204">
            <w:pPr>
              <w:spacing w:after="0" w:line="240" w:lineRule="auto"/>
              <w:rPr>
                <w:rFonts w:ascii="Calibri" w:hAnsi="Calibri"/>
                <w:color w:val="231F20"/>
                <w:sz w:val="16"/>
                <w:szCs w:val="16"/>
              </w:rPr>
            </w:pPr>
            <w:r w:rsidRPr="00336134">
              <w:rPr>
                <w:rFonts w:ascii="Calibri" w:hAnsi="Calibri"/>
                <w:color w:val="231F20"/>
                <w:sz w:val="16"/>
                <w:szCs w:val="16"/>
              </w:rPr>
              <w:t>171021</w:t>
            </w:r>
          </w:p>
        </w:tc>
        <w:tc>
          <w:tcPr>
            <w:tcW w:w="0" w:type="auto"/>
            <w:tcBorders>
              <w:top w:val="nil"/>
              <w:left w:val="nil"/>
              <w:bottom w:val="single" w:sz="4" w:space="0" w:color="auto"/>
              <w:right w:val="single" w:sz="4" w:space="0" w:color="auto"/>
            </w:tcBorders>
            <w:shd w:val="clear" w:color="000000" w:fill="D1D3D4"/>
            <w:vAlign w:val="center"/>
            <w:hideMark/>
          </w:tcPr>
          <w:p w14:paraId="3847D3CA" w14:textId="77777777" w:rsidR="00002D76" w:rsidRPr="00336134" w:rsidRDefault="00002D76" w:rsidP="001429C7">
            <w:pPr>
              <w:spacing w:after="0" w:line="240" w:lineRule="auto"/>
              <w:rPr>
                <w:rFonts w:ascii="Calibri" w:hAnsi="Calibri"/>
                <w:color w:val="231F20"/>
                <w:sz w:val="16"/>
                <w:szCs w:val="16"/>
              </w:rPr>
            </w:pPr>
            <w:r w:rsidRPr="00336134">
              <w:rPr>
                <w:rFonts w:ascii="Calibri" w:hAnsi="Calibri"/>
                <w:color w:val="231F20"/>
                <w:sz w:val="16"/>
                <w:szCs w:val="16"/>
              </w:rPr>
              <w:t>Cartographers and Photogrammetrists</w:t>
            </w:r>
          </w:p>
        </w:tc>
        <w:tc>
          <w:tcPr>
            <w:tcW w:w="0" w:type="auto"/>
            <w:tcBorders>
              <w:top w:val="nil"/>
              <w:left w:val="nil"/>
              <w:bottom w:val="single" w:sz="4" w:space="0" w:color="auto"/>
              <w:right w:val="single" w:sz="4" w:space="0" w:color="auto"/>
            </w:tcBorders>
            <w:shd w:val="clear" w:color="000000" w:fill="D1D3D4"/>
            <w:vAlign w:val="center"/>
            <w:hideMark/>
          </w:tcPr>
          <w:p w14:paraId="3694CFAA" w14:textId="77777777" w:rsidR="00002D76" w:rsidRPr="00336134" w:rsidRDefault="00002D76" w:rsidP="00D63204">
            <w:pPr>
              <w:spacing w:after="0" w:line="240" w:lineRule="auto"/>
              <w:rPr>
                <w:rFonts w:ascii="Calibri" w:hAnsi="Calibri"/>
                <w:color w:val="231F20"/>
                <w:sz w:val="16"/>
                <w:szCs w:val="16"/>
              </w:rPr>
            </w:pPr>
            <w:r w:rsidRPr="00336134">
              <w:rPr>
                <w:rFonts w:ascii="Calibri" w:hAnsi="Calibri"/>
                <w:color w:val="231F20"/>
                <w:sz w:val="16"/>
                <w:szCs w:val="16"/>
              </w:rPr>
              <w:t>579</w:t>
            </w:r>
          </w:p>
        </w:tc>
        <w:tc>
          <w:tcPr>
            <w:tcW w:w="0" w:type="auto"/>
            <w:tcBorders>
              <w:top w:val="nil"/>
              <w:left w:val="nil"/>
              <w:bottom w:val="single" w:sz="4" w:space="0" w:color="auto"/>
              <w:right w:val="single" w:sz="4" w:space="0" w:color="auto"/>
            </w:tcBorders>
            <w:shd w:val="clear" w:color="000000" w:fill="D1D3D4"/>
            <w:vAlign w:val="center"/>
            <w:hideMark/>
          </w:tcPr>
          <w:p w14:paraId="05EF7A16" w14:textId="77777777" w:rsidR="00002D76" w:rsidRPr="00336134" w:rsidRDefault="00002D76" w:rsidP="00D63204">
            <w:pPr>
              <w:spacing w:after="0" w:line="240" w:lineRule="auto"/>
              <w:rPr>
                <w:rFonts w:ascii="Calibri" w:hAnsi="Calibri"/>
                <w:color w:val="231F20"/>
                <w:sz w:val="16"/>
                <w:szCs w:val="16"/>
              </w:rPr>
            </w:pPr>
            <w:r w:rsidRPr="00336134">
              <w:rPr>
                <w:rFonts w:ascii="Calibri" w:hAnsi="Calibri"/>
                <w:color w:val="231F20"/>
                <w:sz w:val="16"/>
                <w:szCs w:val="16"/>
              </w:rPr>
              <w:t>775</w:t>
            </w:r>
          </w:p>
        </w:tc>
        <w:tc>
          <w:tcPr>
            <w:tcW w:w="0" w:type="auto"/>
            <w:tcBorders>
              <w:top w:val="nil"/>
              <w:left w:val="nil"/>
              <w:bottom w:val="single" w:sz="4" w:space="0" w:color="auto"/>
              <w:right w:val="single" w:sz="4" w:space="0" w:color="auto"/>
            </w:tcBorders>
            <w:shd w:val="clear" w:color="000000" w:fill="D1D3D4"/>
            <w:vAlign w:val="center"/>
            <w:hideMark/>
          </w:tcPr>
          <w:p w14:paraId="4F2B62DA" w14:textId="77777777" w:rsidR="00002D76" w:rsidRPr="00336134" w:rsidRDefault="00002D76" w:rsidP="00D63204">
            <w:pPr>
              <w:spacing w:after="0" w:line="240" w:lineRule="auto"/>
              <w:rPr>
                <w:rFonts w:ascii="Calibri" w:hAnsi="Calibri"/>
                <w:color w:val="231F20"/>
                <w:sz w:val="16"/>
                <w:szCs w:val="16"/>
              </w:rPr>
            </w:pPr>
            <w:r w:rsidRPr="00336134">
              <w:rPr>
                <w:rFonts w:ascii="Calibri" w:hAnsi="Calibri"/>
                <w:color w:val="231F20"/>
                <w:sz w:val="16"/>
                <w:szCs w:val="16"/>
              </w:rPr>
              <w:t>196</w:t>
            </w:r>
          </w:p>
        </w:tc>
        <w:tc>
          <w:tcPr>
            <w:tcW w:w="0" w:type="auto"/>
            <w:tcBorders>
              <w:top w:val="nil"/>
              <w:left w:val="nil"/>
              <w:bottom w:val="single" w:sz="4" w:space="0" w:color="auto"/>
              <w:right w:val="single" w:sz="4" w:space="0" w:color="auto"/>
            </w:tcBorders>
            <w:shd w:val="clear" w:color="000000" w:fill="D1D3D4"/>
            <w:vAlign w:val="center"/>
            <w:hideMark/>
          </w:tcPr>
          <w:p w14:paraId="4E7C1C43" w14:textId="77777777" w:rsidR="00002D76" w:rsidRPr="00336134" w:rsidRDefault="00002D76" w:rsidP="00D63204">
            <w:pPr>
              <w:spacing w:after="0" w:line="240" w:lineRule="auto"/>
              <w:rPr>
                <w:rFonts w:ascii="Calibri" w:hAnsi="Calibri"/>
                <w:color w:val="231F20"/>
                <w:sz w:val="16"/>
                <w:szCs w:val="16"/>
              </w:rPr>
            </w:pPr>
            <w:r w:rsidRPr="00336134">
              <w:rPr>
                <w:rFonts w:ascii="Calibri" w:hAnsi="Calibri"/>
                <w:color w:val="231F20"/>
                <w:sz w:val="16"/>
                <w:szCs w:val="16"/>
              </w:rPr>
              <w:t>33.9</w:t>
            </w:r>
          </w:p>
        </w:tc>
        <w:tc>
          <w:tcPr>
            <w:tcW w:w="0" w:type="auto"/>
            <w:tcBorders>
              <w:top w:val="nil"/>
              <w:left w:val="nil"/>
              <w:bottom w:val="single" w:sz="4" w:space="0" w:color="auto"/>
              <w:right w:val="single" w:sz="4" w:space="0" w:color="auto"/>
            </w:tcBorders>
            <w:shd w:val="clear" w:color="000000" w:fill="D1D3D4"/>
            <w:vAlign w:val="center"/>
            <w:hideMark/>
          </w:tcPr>
          <w:p w14:paraId="0A5512BB" w14:textId="77777777" w:rsidR="00002D76" w:rsidRPr="00336134" w:rsidRDefault="00002D76" w:rsidP="001429C7">
            <w:pPr>
              <w:spacing w:after="0" w:line="240" w:lineRule="auto"/>
              <w:rPr>
                <w:rFonts w:ascii="Calibri" w:hAnsi="Calibri"/>
                <w:color w:val="231F20"/>
                <w:sz w:val="16"/>
                <w:szCs w:val="16"/>
              </w:rPr>
            </w:pPr>
            <w:r w:rsidRPr="00336134">
              <w:rPr>
                <w:rFonts w:ascii="Calibri" w:hAnsi="Calibri"/>
                <w:color w:val="231F20"/>
                <w:sz w:val="16"/>
                <w:szCs w:val="16"/>
              </w:rPr>
              <w:t>Professional Services</w:t>
            </w:r>
          </w:p>
        </w:tc>
        <w:tc>
          <w:tcPr>
            <w:tcW w:w="0" w:type="auto"/>
            <w:tcBorders>
              <w:top w:val="nil"/>
              <w:left w:val="nil"/>
              <w:bottom w:val="single" w:sz="4" w:space="0" w:color="auto"/>
              <w:right w:val="single" w:sz="4" w:space="0" w:color="auto"/>
            </w:tcBorders>
            <w:shd w:val="clear" w:color="000000" w:fill="D1D3D4"/>
            <w:vAlign w:val="center"/>
            <w:hideMark/>
          </w:tcPr>
          <w:p w14:paraId="7CBC41FB" w14:textId="77777777" w:rsidR="00002D76" w:rsidRPr="00336134" w:rsidRDefault="00002D76" w:rsidP="00D63204">
            <w:pPr>
              <w:spacing w:after="0" w:line="240" w:lineRule="auto"/>
              <w:rPr>
                <w:rFonts w:ascii="Calibri" w:hAnsi="Calibri"/>
                <w:color w:val="231F20"/>
                <w:sz w:val="16"/>
                <w:szCs w:val="16"/>
              </w:rPr>
            </w:pPr>
            <w:r w:rsidRPr="00336134">
              <w:rPr>
                <w:rFonts w:ascii="Calibri" w:hAnsi="Calibri"/>
                <w:color w:val="231F20"/>
                <w:sz w:val="16"/>
                <w:szCs w:val="16"/>
              </w:rPr>
              <w:t>29.04</w:t>
            </w:r>
          </w:p>
        </w:tc>
        <w:tc>
          <w:tcPr>
            <w:tcW w:w="0" w:type="auto"/>
            <w:tcBorders>
              <w:top w:val="nil"/>
              <w:left w:val="nil"/>
              <w:bottom w:val="single" w:sz="4" w:space="0" w:color="auto"/>
              <w:right w:val="single" w:sz="4" w:space="0" w:color="auto"/>
            </w:tcBorders>
            <w:shd w:val="clear" w:color="000000" w:fill="D1D3D4"/>
            <w:vAlign w:val="center"/>
            <w:hideMark/>
          </w:tcPr>
          <w:p w14:paraId="5D3C4746" w14:textId="77777777" w:rsidR="00002D76" w:rsidRPr="00336134" w:rsidRDefault="00002D76" w:rsidP="00D63204">
            <w:pPr>
              <w:spacing w:after="0" w:line="240" w:lineRule="auto"/>
              <w:rPr>
                <w:rFonts w:ascii="Calibri" w:hAnsi="Calibri"/>
                <w:color w:val="231F20"/>
                <w:sz w:val="16"/>
                <w:szCs w:val="16"/>
              </w:rPr>
            </w:pPr>
            <w:r w:rsidRPr="00336134">
              <w:rPr>
                <w:rFonts w:ascii="Calibri" w:hAnsi="Calibri"/>
                <w:color w:val="231F20"/>
                <w:sz w:val="16"/>
                <w:szCs w:val="16"/>
              </w:rPr>
              <w:t>17.09</w:t>
            </w:r>
          </w:p>
        </w:tc>
        <w:tc>
          <w:tcPr>
            <w:tcW w:w="0" w:type="auto"/>
            <w:tcBorders>
              <w:top w:val="nil"/>
              <w:left w:val="nil"/>
              <w:bottom w:val="single" w:sz="4" w:space="0" w:color="auto"/>
              <w:right w:val="single" w:sz="4" w:space="0" w:color="auto"/>
            </w:tcBorders>
            <w:shd w:val="clear" w:color="000000" w:fill="D1D3D4"/>
            <w:vAlign w:val="center"/>
            <w:hideMark/>
          </w:tcPr>
          <w:p w14:paraId="6C872377" w14:textId="77777777" w:rsidR="00002D76" w:rsidRPr="00336134" w:rsidRDefault="00002D76" w:rsidP="00D63204">
            <w:pPr>
              <w:spacing w:after="0" w:line="240" w:lineRule="auto"/>
              <w:rPr>
                <w:rFonts w:ascii="Calibri" w:hAnsi="Calibri"/>
                <w:color w:val="231F20"/>
                <w:sz w:val="16"/>
                <w:szCs w:val="16"/>
              </w:rPr>
            </w:pPr>
            <w:r w:rsidRPr="00336134">
              <w:rPr>
                <w:rFonts w:ascii="Calibri" w:hAnsi="Calibri"/>
                <w:color w:val="231F20"/>
                <w:sz w:val="16"/>
                <w:szCs w:val="16"/>
              </w:rPr>
              <w:t>37.24</w:t>
            </w:r>
          </w:p>
        </w:tc>
      </w:tr>
      <w:tr w:rsidR="00002D76" w:rsidRPr="00336134" w14:paraId="6E315EAD" w14:textId="77777777" w:rsidTr="001429C7">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F1D0474" w14:textId="77777777" w:rsidR="00002D76" w:rsidRPr="00336134" w:rsidRDefault="00002D76" w:rsidP="00D63204">
            <w:pPr>
              <w:spacing w:after="0" w:line="240" w:lineRule="auto"/>
              <w:rPr>
                <w:rFonts w:ascii="Calibri" w:hAnsi="Calibri"/>
                <w:color w:val="231F20"/>
                <w:sz w:val="16"/>
                <w:szCs w:val="16"/>
              </w:rPr>
            </w:pPr>
            <w:r w:rsidRPr="00336134">
              <w:rPr>
                <w:rFonts w:ascii="Calibri" w:hAnsi="Calibri"/>
                <w:color w:val="231F20"/>
                <w:sz w:val="16"/>
                <w:szCs w:val="16"/>
              </w:rPr>
              <w:t>5</w:t>
            </w:r>
          </w:p>
        </w:tc>
        <w:tc>
          <w:tcPr>
            <w:tcW w:w="0" w:type="auto"/>
            <w:tcBorders>
              <w:top w:val="nil"/>
              <w:left w:val="nil"/>
              <w:bottom w:val="single" w:sz="4" w:space="0" w:color="auto"/>
              <w:right w:val="single" w:sz="4" w:space="0" w:color="auto"/>
            </w:tcBorders>
            <w:shd w:val="clear" w:color="auto" w:fill="auto"/>
            <w:vAlign w:val="center"/>
            <w:hideMark/>
          </w:tcPr>
          <w:p w14:paraId="374091EF" w14:textId="77777777" w:rsidR="00002D76" w:rsidRPr="00336134" w:rsidRDefault="00002D76" w:rsidP="00D63204">
            <w:pPr>
              <w:spacing w:after="0" w:line="240" w:lineRule="auto"/>
              <w:rPr>
                <w:rFonts w:ascii="Calibri" w:hAnsi="Calibri"/>
                <w:color w:val="231F20"/>
                <w:sz w:val="16"/>
                <w:szCs w:val="16"/>
              </w:rPr>
            </w:pPr>
            <w:r w:rsidRPr="00336134">
              <w:rPr>
                <w:rFonts w:ascii="Calibri" w:hAnsi="Calibri"/>
                <w:color w:val="231F20"/>
                <w:sz w:val="16"/>
                <w:szCs w:val="16"/>
              </w:rPr>
              <w:t>291071</w:t>
            </w:r>
          </w:p>
        </w:tc>
        <w:tc>
          <w:tcPr>
            <w:tcW w:w="0" w:type="auto"/>
            <w:tcBorders>
              <w:top w:val="nil"/>
              <w:left w:val="nil"/>
              <w:bottom w:val="single" w:sz="4" w:space="0" w:color="auto"/>
              <w:right w:val="single" w:sz="4" w:space="0" w:color="auto"/>
            </w:tcBorders>
            <w:shd w:val="clear" w:color="auto" w:fill="auto"/>
            <w:vAlign w:val="center"/>
            <w:hideMark/>
          </w:tcPr>
          <w:p w14:paraId="432B55B7" w14:textId="77777777" w:rsidR="00002D76" w:rsidRPr="00336134" w:rsidRDefault="00002D76" w:rsidP="001429C7">
            <w:pPr>
              <w:spacing w:after="0" w:line="240" w:lineRule="auto"/>
              <w:rPr>
                <w:rFonts w:ascii="Calibri" w:hAnsi="Calibri"/>
                <w:color w:val="231F20"/>
                <w:sz w:val="16"/>
                <w:szCs w:val="16"/>
              </w:rPr>
            </w:pPr>
            <w:r w:rsidRPr="00336134">
              <w:rPr>
                <w:rFonts w:ascii="Calibri" w:hAnsi="Calibri"/>
                <w:color w:val="231F20"/>
                <w:sz w:val="16"/>
                <w:szCs w:val="16"/>
              </w:rPr>
              <w:t>Physician Assistants</w:t>
            </w:r>
          </w:p>
        </w:tc>
        <w:tc>
          <w:tcPr>
            <w:tcW w:w="0" w:type="auto"/>
            <w:tcBorders>
              <w:top w:val="nil"/>
              <w:left w:val="nil"/>
              <w:bottom w:val="single" w:sz="4" w:space="0" w:color="auto"/>
              <w:right w:val="single" w:sz="4" w:space="0" w:color="auto"/>
            </w:tcBorders>
            <w:shd w:val="clear" w:color="auto" w:fill="auto"/>
            <w:vAlign w:val="center"/>
            <w:hideMark/>
          </w:tcPr>
          <w:p w14:paraId="708429CA" w14:textId="77777777" w:rsidR="00002D76" w:rsidRPr="00336134" w:rsidRDefault="00002D76" w:rsidP="00D63204">
            <w:pPr>
              <w:spacing w:after="0" w:line="240" w:lineRule="auto"/>
              <w:rPr>
                <w:rFonts w:ascii="Calibri" w:hAnsi="Calibri"/>
                <w:color w:val="231F20"/>
                <w:sz w:val="16"/>
                <w:szCs w:val="16"/>
              </w:rPr>
            </w:pPr>
            <w:r w:rsidRPr="00336134">
              <w:rPr>
                <w:rFonts w:ascii="Calibri" w:hAnsi="Calibri"/>
                <w:color w:val="231F20"/>
                <w:sz w:val="16"/>
                <w:szCs w:val="16"/>
              </w:rPr>
              <w:t>5,631</w:t>
            </w:r>
          </w:p>
        </w:tc>
        <w:tc>
          <w:tcPr>
            <w:tcW w:w="0" w:type="auto"/>
            <w:tcBorders>
              <w:top w:val="nil"/>
              <w:left w:val="nil"/>
              <w:bottom w:val="single" w:sz="4" w:space="0" w:color="auto"/>
              <w:right w:val="single" w:sz="4" w:space="0" w:color="auto"/>
            </w:tcBorders>
            <w:shd w:val="clear" w:color="auto" w:fill="auto"/>
            <w:vAlign w:val="center"/>
            <w:hideMark/>
          </w:tcPr>
          <w:p w14:paraId="19442232" w14:textId="77777777" w:rsidR="00002D76" w:rsidRPr="00336134" w:rsidRDefault="00002D76" w:rsidP="00D63204">
            <w:pPr>
              <w:spacing w:after="0" w:line="240" w:lineRule="auto"/>
              <w:rPr>
                <w:rFonts w:ascii="Calibri" w:hAnsi="Calibri"/>
                <w:color w:val="231F20"/>
                <w:sz w:val="16"/>
                <w:szCs w:val="16"/>
              </w:rPr>
            </w:pPr>
            <w:r w:rsidRPr="00336134">
              <w:rPr>
                <w:rFonts w:ascii="Calibri" w:hAnsi="Calibri"/>
                <w:color w:val="231F20"/>
                <w:sz w:val="16"/>
                <w:szCs w:val="16"/>
              </w:rPr>
              <w:t>7,512</w:t>
            </w:r>
          </w:p>
        </w:tc>
        <w:tc>
          <w:tcPr>
            <w:tcW w:w="0" w:type="auto"/>
            <w:tcBorders>
              <w:top w:val="nil"/>
              <w:left w:val="nil"/>
              <w:bottom w:val="single" w:sz="4" w:space="0" w:color="auto"/>
              <w:right w:val="single" w:sz="4" w:space="0" w:color="auto"/>
            </w:tcBorders>
            <w:shd w:val="clear" w:color="auto" w:fill="auto"/>
            <w:vAlign w:val="center"/>
            <w:hideMark/>
          </w:tcPr>
          <w:p w14:paraId="65E09CB9" w14:textId="77777777" w:rsidR="00002D76" w:rsidRPr="00336134" w:rsidRDefault="00002D76" w:rsidP="00D63204">
            <w:pPr>
              <w:spacing w:after="0" w:line="240" w:lineRule="auto"/>
              <w:rPr>
                <w:rFonts w:ascii="Calibri" w:hAnsi="Calibri"/>
                <w:color w:val="231F20"/>
                <w:sz w:val="16"/>
                <w:szCs w:val="16"/>
              </w:rPr>
            </w:pPr>
            <w:r w:rsidRPr="00336134">
              <w:rPr>
                <w:rFonts w:ascii="Calibri" w:hAnsi="Calibri"/>
                <w:color w:val="231F20"/>
                <w:sz w:val="16"/>
                <w:szCs w:val="16"/>
              </w:rPr>
              <w:t>1,881</w:t>
            </w:r>
          </w:p>
        </w:tc>
        <w:tc>
          <w:tcPr>
            <w:tcW w:w="0" w:type="auto"/>
            <w:tcBorders>
              <w:top w:val="nil"/>
              <w:left w:val="nil"/>
              <w:bottom w:val="single" w:sz="4" w:space="0" w:color="auto"/>
              <w:right w:val="single" w:sz="4" w:space="0" w:color="auto"/>
            </w:tcBorders>
            <w:shd w:val="clear" w:color="auto" w:fill="auto"/>
            <w:vAlign w:val="center"/>
            <w:hideMark/>
          </w:tcPr>
          <w:p w14:paraId="74E946C3" w14:textId="77777777" w:rsidR="00002D76" w:rsidRPr="00336134" w:rsidRDefault="00002D76" w:rsidP="00D63204">
            <w:pPr>
              <w:spacing w:after="0" w:line="240" w:lineRule="auto"/>
              <w:rPr>
                <w:rFonts w:ascii="Calibri" w:hAnsi="Calibri"/>
                <w:color w:val="231F20"/>
                <w:sz w:val="16"/>
                <w:szCs w:val="16"/>
              </w:rPr>
            </w:pPr>
            <w:r w:rsidRPr="00336134">
              <w:rPr>
                <w:rFonts w:ascii="Calibri" w:hAnsi="Calibri"/>
                <w:color w:val="231F20"/>
                <w:sz w:val="16"/>
                <w:szCs w:val="16"/>
              </w:rPr>
              <w:t>33.4</w:t>
            </w:r>
          </w:p>
        </w:tc>
        <w:tc>
          <w:tcPr>
            <w:tcW w:w="0" w:type="auto"/>
            <w:tcBorders>
              <w:top w:val="nil"/>
              <w:left w:val="nil"/>
              <w:bottom w:val="single" w:sz="4" w:space="0" w:color="auto"/>
              <w:right w:val="single" w:sz="4" w:space="0" w:color="auto"/>
            </w:tcBorders>
            <w:shd w:val="clear" w:color="auto" w:fill="auto"/>
            <w:vAlign w:val="center"/>
            <w:hideMark/>
          </w:tcPr>
          <w:p w14:paraId="344C93B6" w14:textId="77777777" w:rsidR="00002D76" w:rsidRPr="00336134" w:rsidRDefault="00002D76" w:rsidP="001429C7">
            <w:pPr>
              <w:spacing w:after="0" w:line="240" w:lineRule="auto"/>
              <w:rPr>
                <w:rFonts w:ascii="Calibri" w:hAnsi="Calibri"/>
                <w:color w:val="231F20"/>
                <w:sz w:val="16"/>
                <w:szCs w:val="16"/>
              </w:rPr>
            </w:pPr>
            <w:r w:rsidRPr="00336134">
              <w:rPr>
                <w:rFonts w:ascii="Calibri" w:hAnsi="Calibri"/>
                <w:color w:val="231F20"/>
                <w:sz w:val="16"/>
                <w:szCs w:val="16"/>
              </w:rPr>
              <w:t>Healthcare</w:t>
            </w:r>
          </w:p>
        </w:tc>
        <w:tc>
          <w:tcPr>
            <w:tcW w:w="0" w:type="auto"/>
            <w:tcBorders>
              <w:top w:val="nil"/>
              <w:left w:val="nil"/>
              <w:bottom w:val="single" w:sz="4" w:space="0" w:color="auto"/>
              <w:right w:val="single" w:sz="4" w:space="0" w:color="auto"/>
            </w:tcBorders>
            <w:shd w:val="clear" w:color="auto" w:fill="auto"/>
            <w:vAlign w:val="center"/>
            <w:hideMark/>
          </w:tcPr>
          <w:p w14:paraId="78CB841B" w14:textId="77777777" w:rsidR="00002D76" w:rsidRPr="00336134" w:rsidRDefault="00002D76" w:rsidP="00D63204">
            <w:pPr>
              <w:spacing w:after="0" w:line="240" w:lineRule="auto"/>
              <w:rPr>
                <w:rFonts w:ascii="Calibri" w:hAnsi="Calibri"/>
                <w:color w:val="231F20"/>
                <w:sz w:val="16"/>
                <w:szCs w:val="16"/>
              </w:rPr>
            </w:pPr>
            <w:r w:rsidRPr="00336134">
              <w:rPr>
                <w:rFonts w:ascii="Calibri" w:hAnsi="Calibri"/>
                <w:color w:val="231F20"/>
                <w:sz w:val="16"/>
                <w:szCs w:val="16"/>
              </w:rPr>
              <w:t>48.62</w:t>
            </w:r>
          </w:p>
        </w:tc>
        <w:tc>
          <w:tcPr>
            <w:tcW w:w="0" w:type="auto"/>
            <w:tcBorders>
              <w:top w:val="nil"/>
              <w:left w:val="nil"/>
              <w:bottom w:val="single" w:sz="4" w:space="0" w:color="auto"/>
              <w:right w:val="single" w:sz="4" w:space="0" w:color="auto"/>
            </w:tcBorders>
            <w:shd w:val="clear" w:color="auto" w:fill="auto"/>
            <w:vAlign w:val="center"/>
            <w:hideMark/>
          </w:tcPr>
          <w:p w14:paraId="3297FB97" w14:textId="77777777" w:rsidR="00002D76" w:rsidRPr="00336134" w:rsidRDefault="00002D76" w:rsidP="00D63204">
            <w:pPr>
              <w:spacing w:after="0" w:line="240" w:lineRule="auto"/>
              <w:rPr>
                <w:rFonts w:ascii="Calibri" w:hAnsi="Calibri"/>
                <w:color w:val="231F20"/>
                <w:sz w:val="16"/>
                <w:szCs w:val="16"/>
              </w:rPr>
            </w:pPr>
            <w:r w:rsidRPr="00336134">
              <w:rPr>
                <w:rFonts w:ascii="Calibri" w:hAnsi="Calibri"/>
                <w:color w:val="231F20"/>
                <w:sz w:val="16"/>
                <w:szCs w:val="16"/>
              </w:rPr>
              <w:t>38.38</w:t>
            </w:r>
          </w:p>
        </w:tc>
        <w:tc>
          <w:tcPr>
            <w:tcW w:w="0" w:type="auto"/>
            <w:tcBorders>
              <w:top w:val="nil"/>
              <w:left w:val="nil"/>
              <w:bottom w:val="single" w:sz="4" w:space="0" w:color="auto"/>
              <w:right w:val="single" w:sz="4" w:space="0" w:color="auto"/>
            </w:tcBorders>
            <w:shd w:val="clear" w:color="auto" w:fill="auto"/>
            <w:vAlign w:val="center"/>
            <w:hideMark/>
          </w:tcPr>
          <w:p w14:paraId="0B9BAC65" w14:textId="77777777" w:rsidR="00002D76" w:rsidRPr="00336134" w:rsidRDefault="00002D76" w:rsidP="00D63204">
            <w:pPr>
              <w:spacing w:after="0" w:line="240" w:lineRule="auto"/>
              <w:rPr>
                <w:rFonts w:ascii="Calibri" w:hAnsi="Calibri"/>
                <w:color w:val="231F20"/>
                <w:sz w:val="16"/>
                <w:szCs w:val="16"/>
              </w:rPr>
            </w:pPr>
            <w:r w:rsidRPr="00336134">
              <w:rPr>
                <w:rFonts w:ascii="Calibri" w:hAnsi="Calibri"/>
                <w:color w:val="231F20"/>
                <w:sz w:val="16"/>
                <w:szCs w:val="16"/>
              </w:rPr>
              <w:t>56.82</w:t>
            </w:r>
          </w:p>
        </w:tc>
      </w:tr>
      <w:tr w:rsidR="00002D76" w:rsidRPr="00336134" w14:paraId="07EB1263" w14:textId="77777777" w:rsidTr="001429C7">
        <w:trPr>
          <w:trHeight w:val="300"/>
        </w:trPr>
        <w:tc>
          <w:tcPr>
            <w:tcW w:w="0" w:type="auto"/>
            <w:tcBorders>
              <w:top w:val="nil"/>
              <w:left w:val="single" w:sz="4" w:space="0" w:color="auto"/>
              <w:bottom w:val="single" w:sz="4" w:space="0" w:color="auto"/>
              <w:right w:val="single" w:sz="4" w:space="0" w:color="auto"/>
            </w:tcBorders>
            <w:shd w:val="clear" w:color="000000" w:fill="D1D3D4"/>
            <w:vAlign w:val="center"/>
            <w:hideMark/>
          </w:tcPr>
          <w:p w14:paraId="770A17B1" w14:textId="77777777" w:rsidR="00002D76" w:rsidRPr="00336134" w:rsidRDefault="00002D76" w:rsidP="00D63204">
            <w:pPr>
              <w:spacing w:after="0" w:line="240" w:lineRule="auto"/>
              <w:rPr>
                <w:rFonts w:ascii="Calibri" w:hAnsi="Calibri"/>
                <w:color w:val="231F20"/>
                <w:sz w:val="16"/>
                <w:szCs w:val="16"/>
              </w:rPr>
            </w:pPr>
            <w:r w:rsidRPr="00336134">
              <w:rPr>
                <w:rFonts w:ascii="Calibri" w:hAnsi="Calibri"/>
                <w:color w:val="231F20"/>
                <w:sz w:val="16"/>
                <w:szCs w:val="16"/>
              </w:rPr>
              <w:t>6</w:t>
            </w:r>
          </w:p>
        </w:tc>
        <w:tc>
          <w:tcPr>
            <w:tcW w:w="0" w:type="auto"/>
            <w:tcBorders>
              <w:top w:val="nil"/>
              <w:left w:val="nil"/>
              <w:bottom w:val="single" w:sz="4" w:space="0" w:color="auto"/>
              <w:right w:val="single" w:sz="4" w:space="0" w:color="auto"/>
            </w:tcBorders>
            <w:shd w:val="clear" w:color="000000" w:fill="D1D3D4"/>
            <w:vAlign w:val="center"/>
            <w:hideMark/>
          </w:tcPr>
          <w:p w14:paraId="593BE373" w14:textId="77777777" w:rsidR="00002D76" w:rsidRPr="00336134" w:rsidRDefault="00002D76" w:rsidP="00D63204">
            <w:pPr>
              <w:spacing w:after="0" w:line="240" w:lineRule="auto"/>
              <w:rPr>
                <w:rFonts w:ascii="Calibri" w:hAnsi="Calibri"/>
                <w:color w:val="231F20"/>
                <w:sz w:val="16"/>
                <w:szCs w:val="16"/>
              </w:rPr>
            </w:pPr>
            <w:r w:rsidRPr="00336134">
              <w:rPr>
                <w:rFonts w:ascii="Calibri" w:hAnsi="Calibri"/>
                <w:color w:val="231F20"/>
                <w:sz w:val="16"/>
                <w:szCs w:val="16"/>
              </w:rPr>
              <w:t>312011</w:t>
            </w:r>
          </w:p>
        </w:tc>
        <w:tc>
          <w:tcPr>
            <w:tcW w:w="0" w:type="auto"/>
            <w:tcBorders>
              <w:top w:val="nil"/>
              <w:left w:val="nil"/>
              <w:bottom w:val="single" w:sz="4" w:space="0" w:color="auto"/>
              <w:right w:val="single" w:sz="4" w:space="0" w:color="auto"/>
            </w:tcBorders>
            <w:shd w:val="clear" w:color="000000" w:fill="D1D3D4"/>
            <w:vAlign w:val="center"/>
            <w:hideMark/>
          </w:tcPr>
          <w:p w14:paraId="6991A03F" w14:textId="77777777" w:rsidR="00002D76" w:rsidRPr="00336134" w:rsidRDefault="00002D76" w:rsidP="001429C7">
            <w:pPr>
              <w:spacing w:after="0" w:line="240" w:lineRule="auto"/>
              <w:rPr>
                <w:rFonts w:ascii="Calibri" w:hAnsi="Calibri"/>
                <w:color w:val="231F20"/>
                <w:sz w:val="16"/>
                <w:szCs w:val="16"/>
              </w:rPr>
            </w:pPr>
            <w:r w:rsidRPr="00336134">
              <w:rPr>
                <w:rFonts w:ascii="Calibri" w:hAnsi="Calibri"/>
                <w:color w:val="231F20"/>
                <w:sz w:val="16"/>
                <w:szCs w:val="16"/>
              </w:rPr>
              <w:t>Occupational Therapy Assistants</w:t>
            </w:r>
          </w:p>
        </w:tc>
        <w:tc>
          <w:tcPr>
            <w:tcW w:w="0" w:type="auto"/>
            <w:tcBorders>
              <w:top w:val="nil"/>
              <w:left w:val="nil"/>
              <w:bottom w:val="single" w:sz="4" w:space="0" w:color="auto"/>
              <w:right w:val="single" w:sz="4" w:space="0" w:color="auto"/>
            </w:tcBorders>
            <w:shd w:val="clear" w:color="000000" w:fill="D1D3D4"/>
            <w:vAlign w:val="center"/>
            <w:hideMark/>
          </w:tcPr>
          <w:p w14:paraId="12BD7931" w14:textId="77777777" w:rsidR="00002D76" w:rsidRPr="00336134" w:rsidRDefault="00002D76" w:rsidP="00D63204">
            <w:pPr>
              <w:spacing w:after="0" w:line="240" w:lineRule="auto"/>
              <w:rPr>
                <w:rFonts w:ascii="Calibri" w:hAnsi="Calibri"/>
                <w:color w:val="231F20"/>
                <w:sz w:val="16"/>
                <w:szCs w:val="16"/>
              </w:rPr>
            </w:pPr>
            <w:r w:rsidRPr="00336134">
              <w:rPr>
                <w:rFonts w:ascii="Calibri" w:hAnsi="Calibri"/>
                <w:color w:val="231F20"/>
                <w:sz w:val="16"/>
                <w:szCs w:val="16"/>
              </w:rPr>
              <w:t>2,262</w:t>
            </w:r>
          </w:p>
        </w:tc>
        <w:tc>
          <w:tcPr>
            <w:tcW w:w="0" w:type="auto"/>
            <w:tcBorders>
              <w:top w:val="nil"/>
              <w:left w:val="nil"/>
              <w:bottom w:val="single" w:sz="4" w:space="0" w:color="auto"/>
              <w:right w:val="single" w:sz="4" w:space="0" w:color="auto"/>
            </w:tcBorders>
            <w:shd w:val="clear" w:color="000000" w:fill="D1D3D4"/>
            <w:vAlign w:val="center"/>
            <w:hideMark/>
          </w:tcPr>
          <w:p w14:paraId="09DEFA49" w14:textId="77777777" w:rsidR="00002D76" w:rsidRPr="00336134" w:rsidRDefault="00002D76" w:rsidP="00D63204">
            <w:pPr>
              <w:spacing w:after="0" w:line="240" w:lineRule="auto"/>
              <w:rPr>
                <w:rFonts w:ascii="Calibri" w:hAnsi="Calibri"/>
                <w:color w:val="231F20"/>
                <w:sz w:val="16"/>
                <w:szCs w:val="16"/>
              </w:rPr>
            </w:pPr>
            <w:r w:rsidRPr="00336134">
              <w:rPr>
                <w:rFonts w:ascii="Calibri" w:hAnsi="Calibri"/>
                <w:color w:val="231F20"/>
                <w:sz w:val="16"/>
                <w:szCs w:val="16"/>
              </w:rPr>
              <w:t>3,005</w:t>
            </w:r>
          </w:p>
        </w:tc>
        <w:tc>
          <w:tcPr>
            <w:tcW w:w="0" w:type="auto"/>
            <w:tcBorders>
              <w:top w:val="nil"/>
              <w:left w:val="nil"/>
              <w:bottom w:val="single" w:sz="4" w:space="0" w:color="auto"/>
              <w:right w:val="single" w:sz="4" w:space="0" w:color="auto"/>
            </w:tcBorders>
            <w:shd w:val="clear" w:color="000000" w:fill="D1D3D4"/>
            <w:vAlign w:val="center"/>
            <w:hideMark/>
          </w:tcPr>
          <w:p w14:paraId="4A347FD0" w14:textId="77777777" w:rsidR="00002D76" w:rsidRPr="00336134" w:rsidRDefault="00002D76" w:rsidP="00D63204">
            <w:pPr>
              <w:spacing w:after="0" w:line="240" w:lineRule="auto"/>
              <w:rPr>
                <w:rFonts w:ascii="Calibri" w:hAnsi="Calibri"/>
                <w:color w:val="231F20"/>
                <w:sz w:val="16"/>
                <w:szCs w:val="16"/>
              </w:rPr>
            </w:pPr>
            <w:r w:rsidRPr="00336134">
              <w:rPr>
                <w:rFonts w:ascii="Calibri" w:hAnsi="Calibri"/>
                <w:color w:val="231F20"/>
                <w:sz w:val="16"/>
                <w:szCs w:val="16"/>
              </w:rPr>
              <w:t>743</w:t>
            </w:r>
          </w:p>
        </w:tc>
        <w:tc>
          <w:tcPr>
            <w:tcW w:w="0" w:type="auto"/>
            <w:tcBorders>
              <w:top w:val="nil"/>
              <w:left w:val="nil"/>
              <w:bottom w:val="single" w:sz="4" w:space="0" w:color="auto"/>
              <w:right w:val="single" w:sz="4" w:space="0" w:color="auto"/>
            </w:tcBorders>
            <w:shd w:val="clear" w:color="000000" w:fill="D1D3D4"/>
            <w:vAlign w:val="center"/>
            <w:hideMark/>
          </w:tcPr>
          <w:p w14:paraId="5B18185E" w14:textId="77777777" w:rsidR="00002D76" w:rsidRPr="00336134" w:rsidRDefault="00002D76" w:rsidP="00D63204">
            <w:pPr>
              <w:spacing w:after="0" w:line="240" w:lineRule="auto"/>
              <w:rPr>
                <w:rFonts w:ascii="Calibri" w:hAnsi="Calibri"/>
                <w:color w:val="231F20"/>
                <w:sz w:val="16"/>
                <w:szCs w:val="16"/>
              </w:rPr>
            </w:pPr>
            <w:r w:rsidRPr="00336134">
              <w:rPr>
                <w:rFonts w:ascii="Calibri" w:hAnsi="Calibri"/>
                <w:color w:val="231F20"/>
                <w:sz w:val="16"/>
                <w:szCs w:val="16"/>
              </w:rPr>
              <w:t>32.8</w:t>
            </w:r>
          </w:p>
        </w:tc>
        <w:tc>
          <w:tcPr>
            <w:tcW w:w="0" w:type="auto"/>
            <w:tcBorders>
              <w:top w:val="nil"/>
              <w:left w:val="nil"/>
              <w:bottom w:val="single" w:sz="4" w:space="0" w:color="auto"/>
              <w:right w:val="single" w:sz="4" w:space="0" w:color="auto"/>
            </w:tcBorders>
            <w:shd w:val="clear" w:color="000000" w:fill="D1D3D4"/>
            <w:vAlign w:val="center"/>
            <w:hideMark/>
          </w:tcPr>
          <w:p w14:paraId="466BA4C4" w14:textId="77777777" w:rsidR="00002D76" w:rsidRPr="00336134" w:rsidRDefault="00002D76" w:rsidP="001429C7">
            <w:pPr>
              <w:spacing w:after="0" w:line="240" w:lineRule="auto"/>
              <w:rPr>
                <w:rFonts w:ascii="Calibri" w:hAnsi="Calibri"/>
                <w:color w:val="231F20"/>
                <w:sz w:val="16"/>
                <w:szCs w:val="16"/>
              </w:rPr>
            </w:pPr>
            <w:r w:rsidRPr="00336134">
              <w:rPr>
                <w:rFonts w:ascii="Calibri" w:hAnsi="Calibri"/>
                <w:color w:val="231F20"/>
                <w:sz w:val="16"/>
                <w:szCs w:val="16"/>
              </w:rPr>
              <w:t>Healthcare</w:t>
            </w:r>
          </w:p>
        </w:tc>
        <w:tc>
          <w:tcPr>
            <w:tcW w:w="0" w:type="auto"/>
            <w:tcBorders>
              <w:top w:val="nil"/>
              <w:left w:val="nil"/>
              <w:bottom w:val="single" w:sz="4" w:space="0" w:color="auto"/>
              <w:right w:val="single" w:sz="4" w:space="0" w:color="auto"/>
            </w:tcBorders>
            <w:shd w:val="clear" w:color="000000" w:fill="D1D3D4"/>
            <w:vAlign w:val="center"/>
            <w:hideMark/>
          </w:tcPr>
          <w:p w14:paraId="2A9CCC25" w14:textId="77777777" w:rsidR="00002D76" w:rsidRPr="00336134" w:rsidRDefault="00002D76" w:rsidP="00D63204">
            <w:pPr>
              <w:spacing w:after="0" w:line="240" w:lineRule="auto"/>
              <w:rPr>
                <w:rFonts w:ascii="Calibri" w:hAnsi="Calibri"/>
                <w:color w:val="231F20"/>
                <w:sz w:val="16"/>
                <w:szCs w:val="16"/>
              </w:rPr>
            </w:pPr>
            <w:r w:rsidRPr="00336134">
              <w:rPr>
                <w:rFonts w:ascii="Calibri" w:hAnsi="Calibri"/>
                <w:color w:val="231F20"/>
                <w:sz w:val="16"/>
                <w:szCs w:val="16"/>
              </w:rPr>
              <w:t>31.07</w:t>
            </w:r>
          </w:p>
        </w:tc>
        <w:tc>
          <w:tcPr>
            <w:tcW w:w="0" w:type="auto"/>
            <w:tcBorders>
              <w:top w:val="nil"/>
              <w:left w:val="nil"/>
              <w:bottom w:val="single" w:sz="4" w:space="0" w:color="auto"/>
              <w:right w:val="single" w:sz="4" w:space="0" w:color="auto"/>
            </w:tcBorders>
            <w:shd w:val="clear" w:color="000000" w:fill="D1D3D4"/>
            <w:vAlign w:val="center"/>
            <w:hideMark/>
          </w:tcPr>
          <w:p w14:paraId="5C507238" w14:textId="77777777" w:rsidR="00002D76" w:rsidRPr="00336134" w:rsidRDefault="00002D76" w:rsidP="00D63204">
            <w:pPr>
              <w:spacing w:after="0" w:line="240" w:lineRule="auto"/>
              <w:rPr>
                <w:rFonts w:ascii="Calibri" w:hAnsi="Calibri"/>
                <w:color w:val="231F20"/>
                <w:sz w:val="16"/>
                <w:szCs w:val="16"/>
              </w:rPr>
            </w:pPr>
            <w:r w:rsidRPr="00336134">
              <w:rPr>
                <w:rFonts w:ascii="Calibri" w:hAnsi="Calibri"/>
                <w:color w:val="231F20"/>
                <w:sz w:val="16"/>
                <w:szCs w:val="16"/>
              </w:rPr>
              <w:t>23.64</w:t>
            </w:r>
          </w:p>
        </w:tc>
        <w:tc>
          <w:tcPr>
            <w:tcW w:w="0" w:type="auto"/>
            <w:tcBorders>
              <w:top w:val="nil"/>
              <w:left w:val="nil"/>
              <w:bottom w:val="single" w:sz="4" w:space="0" w:color="auto"/>
              <w:right w:val="single" w:sz="4" w:space="0" w:color="auto"/>
            </w:tcBorders>
            <w:shd w:val="clear" w:color="000000" w:fill="D1D3D4"/>
            <w:vAlign w:val="center"/>
            <w:hideMark/>
          </w:tcPr>
          <w:p w14:paraId="153AB2D3" w14:textId="77777777" w:rsidR="00002D76" w:rsidRPr="00336134" w:rsidRDefault="00002D76" w:rsidP="00D63204">
            <w:pPr>
              <w:spacing w:after="0" w:line="240" w:lineRule="auto"/>
              <w:rPr>
                <w:rFonts w:ascii="Calibri" w:hAnsi="Calibri"/>
                <w:color w:val="231F20"/>
                <w:sz w:val="16"/>
                <w:szCs w:val="16"/>
              </w:rPr>
            </w:pPr>
            <w:r w:rsidRPr="00336134">
              <w:rPr>
                <w:rFonts w:ascii="Calibri" w:hAnsi="Calibri"/>
                <w:color w:val="231F20"/>
                <w:sz w:val="16"/>
                <w:szCs w:val="16"/>
              </w:rPr>
              <w:t>34.11</w:t>
            </w:r>
          </w:p>
        </w:tc>
      </w:tr>
      <w:tr w:rsidR="00002D76" w:rsidRPr="00336134" w14:paraId="1D3E2176" w14:textId="77777777" w:rsidTr="001429C7">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02D0940" w14:textId="77777777" w:rsidR="00002D76" w:rsidRPr="00336134" w:rsidRDefault="00002D76" w:rsidP="00D63204">
            <w:pPr>
              <w:spacing w:after="0" w:line="240" w:lineRule="auto"/>
              <w:rPr>
                <w:rFonts w:ascii="Calibri" w:hAnsi="Calibri"/>
                <w:color w:val="231F20"/>
                <w:sz w:val="16"/>
                <w:szCs w:val="16"/>
              </w:rPr>
            </w:pPr>
            <w:r w:rsidRPr="00336134">
              <w:rPr>
                <w:rFonts w:ascii="Calibri" w:hAnsi="Calibri"/>
                <w:color w:val="231F20"/>
                <w:sz w:val="16"/>
                <w:szCs w:val="16"/>
              </w:rPr>
              <w:t>7</w:t>
            </w:r>
          </w:p>
        </w:tc>
        <w:tc>
          <w:tcPr>
            <w:tcW w:w="0" w:type="auto"/>
            <w:tcBorders>
              <w:top w:val="nil"/>
              <w:left w:val="nil"/>
              <w:bottom w:val="single" w:sz="4" w:space="0" w:color="auto"/>
              <w:right w:val="single" w:sz="4" w:space="0" w:color="auto"/>
            </w:tcBorders>
            <w:shd w:val="clear" w:color="auto" w:fill="auto"/>
            <w:vAlign w:val="center"/>
            <w:hideMark/>
          </w:tcPr>
          <w:p w14:paraId="3AC8B950" w14:textId="77777777" w:rsidR="00002D76" w:rsidRPr="00336134" w:rsidRDefault="00002D76" w:rsidP="00D63204">
            <w:pPr>
              <w:spacing w:after="0" w:line="240" w:lineRule="auto"/>
              <w:rPr>
                <w:rFonts w:ascii="Calibri" w:hAnsi="Calibri"/>
                <w:color w:val="231F20"/>
                <w:sz w:val="16"/>
                <w:szCs w:val="16"/>
              </w:rPr>
            </w:pPr>
            <w:r w:rsidRPr="00336134">
              <w:rPr>
                <w:rFonts w:ascii="Calibri" w:hAnsi="Calibri"/>
                <w:color w:val="231F20"/>
                <w:sz w:val="16"/>
                <w:szCs w:val="16"/>
              </w:rPr>
              <w:t>499092</w:t>
            </w:r>
          </w:p>
        </w:tc>
        <w:tc>
          <w:tcPr>
            <w:tcW w:w="0" w:type="auto"/>
            <w:tcBorders>
              <w:top w:val="nil"/>
              <w:left w:val="nil"/>
              <w:bottom w:val="single" w:sz="4" w:space="0" w:color="auto"/>
              <w:right w:val="single" w:sz="4" w:space="0" w:color="auto"/>
            </w:tcBorders>
            <w:shd w:val="clear" w:color="auto" w:fill="auto"/>
            <w:vAlign w:val="center"/>
            <w:hideMark/>
          </w:tcPr>
          <w:p w14:paraId="4179FC77" w14:textId="77777777" w:rsidR="00002D76" w:rsidRPr="00336134" w:rsidRDefault="00002D76" w:rsidP="001429C7">
            <w:pPr>
              <w:spacing w:after="0" w:line="240" w:lineRule="auto"/>
              <w:rPr>
                <w:rFonts w:ascii="Calibri" w:hAnsi="Calibri"/>
                <w:color w:val="231F20"/>
                <w:sz w:val="16"/>
                <w:szCs w:val="16"/>
              </w:rPr>
            </w:pPr>
            <w:r w:rsidRPr="00336134">
              <w:rPr>
                <w:rFonts w:ascii="Calibri" w:hAnsi="Calibri"/>
                <w:color w:val="231F20"/>
                <w:sz w:val="16"/>
                <w:szCs w:val="16"/>
              </w:rPr>
              <w:t>Commercial Divers</w:t>
            </w:r>
          </w:p>
        </w:tc>
        <w:tc>
          <w:tcPr>
            <w:tcW w:w="0" w:type="auto"/>
            <w:tcBorders>
              <w:top w:val="nil"/>
              <w:left w:val="nil"/>
              <w:bottom w:val="single" w:sz="4" w:space="0" w:color="auto"/>
              <w:right w:val="single" w:sz="4" w:space="0" w:color="auto"/>
            </w:tcBorders>
            <w:shd w:val="clear" w:color="auto" w:fill="auto"/>
            <w:vAlign w:val="center"/>
            <w:hideMark/>
          </w:tcPr>
          <w:p w14:paraId="7FD7493A" w14:textId="77777777" w:rsidR="00002D76" w:rsidRPr="00336134" w:rsidRDefault="00002D76" w:rsidP="00D63204">
            <w:pPr>
              <w:spacing w:after="0" w:line="240" w:lineRule="auto"/>
              <w:rPr>
                <w:rFonts w:ascii="Calibri" w:hAnsi="Calibri"/>
                <w:color w:val="231F20"/>
                <w:sz w:val="16"/>
                <w:szCs w:val="16"/>
              </w:rPr>
            </w:pPr>
            <w:r w:rsidRPr="00336134">
              <w:rPr>
                <w:rFonts w:ascii="Calibri" w:hAnsi="Calibri"/>
                <w:color w:val="231F20"/>
                <w:sz w:val="16"/>
                <w:szCs w:val="16"/>
              </w:rPr>
              <w:t>491</w:t>
            </w:r>
          </w:p>
        </w:tc>
        <w:tc>
          <w:tcPr>
            <w:tcW w:w="0" w:type="auto"/>
            <w:tcBorders>
              <w:top w:val="nil"/>
              <w:left w:val="nil"/>
              <w:bottom w:val="single" w:sz="4" w:space="0" w:color="auto"/>
              <w:right w:val="single" w:sz="4" w:space="0" w:color="auto"/>
            </w:tcBorders>
            <w:shd w:val="clear" w:color="auto" w:fill="auto"/>
            <w:vAlign w:val="center"/>
            <w:hideMark/>
          </w:tcPr>
          <w:p w14:paraId="01213AC6" w14:textId="77777777" w:rsidR="00002D76" w:rsidRPr="00336134" w:rsidRDefault="00002D76" w:rsidP="00D63204">
            <w:pPr>
              <w:spacing w:after="0" w:line="240" w:lineRule="auto"/>
              <w:rPr>
                <w:rFonts w:ascii="Calibri" w:hAnsi="Calibri"/>
                <w:color w:val="231F20"/>
                <w:sz w:val="16"/>
                <w:szCs w:val="16"/>
              </w:rPr>
            </w:pPr>
            <w:r w:rsidRPr="00336134">
              <w:rPr>
                <w:rFonts w:ascii="Calibri" w:hAnsi="Calibri"/>
                <w:color w:val="231F20"/>
                <w:sz w:val="16"/>
                <w:szCs w:val="16"/>
              </w:rPr>
              <w:t>647</w:t>
            </w:r>
          </w:p>
        </w:tc>
        <w:tc>
          <w:tcPr>
            <w:tcW w:w="0" w:type="auto"/>
            <w:tcBorders>
              <w:top w:val="nil"/>
              <w:left w:val="nil"/>
              <w:bottom w:val="single" w:sz="4" w:space="0" w:color="auto"/>
              <w:right w:val="single" w:sz="4" w:space="0" w:color="auto"/>
            </w:tcBorders>
            <w:shd w:val="clear" w:color="auto" w:fill="auto"/>
            <w:vAlign w:val="center"/>
            <w:hideMark/>
          </w:tcPr>
          <w:p w14:paraId="72D8656A" w14:textId="77777777" w:rsidR="00002D76" w:rsidRPr="00336134" w:rsidRDefault="00002D76" w:rsidP="00D63204">
            <w:pPr>
              <w:spacing w:after="0" w:line="240" w:lineRule="auto"/>
              <w:rPr>
                <w:rFonts w:ascii="Calibri" w:hAnsi="Calibri"/>
                <w:color w:val="231F20"/>
                <w:sz w:val="16"/>
                <w:szCs w:val="16"/>
              </w:rPr>
            </w:pPr>
            <w:r w:rsidRPr="00336134">
              <w:rPr>
                <w:rFonts w:ascii="Calibri" w:hAnsi="Calibri"/>
                <w:color w:val="231F20"/>
                <w:sz w:val="16"/>
                <w:szCs w:val="16"/>
              </w:rPr>
              <w:t>156</w:t>
            </w:r>
          </w:p>
        </w:tc>
        <w:tc>
          <w:tcPr>
            <w:tcW w:w="0" w:type="auto"/>
            <w:tcBorders>
              <w:top w:val="nil"/>
              <w:left w:val="nil"/>
              <w:bottom w:val="single" w:sz="4" w:space="0" w:color="auto"/>
              <w:right w:val="single" w:sz="4" w:space="0" w:color="auto"/>
            </w:tcBorders>
            <w:shd w:val="clear" w:color="auto" w:fill="auto"/>
            <w:vAlign w:val="center"/>
            <w:hideMark/>
          </w:tcPr>
          <w:p w14:paraId="72B78925" w14:textId="77777777" w:rsidR="00002D76" w:rsidRPr="00336134" w:rsidRDefault="00002D76" w:rsidP="00D63204">
            <w:pPr>
              <w:spacing w:after="0" w:line="240" w:lineRule="auto"/>
              <w:rPr>
                <w:rFonts w:ascii="Calibri" w:hAnsi="Calibri"/>
                <w:color w:val="231F20"/>
                <w:sz w:val="16"/>
                <w:szCs w:val="16"/>
              </w:rPr>
            </w:pPr>
            <w:r w:rsidRPr="00336134">
              <w:rPr>
                <w:rFonts w:ascii="Calibri" w:hAnsi="Calibri"/>
                <w:color w:val="231F20"/>
                <w:sz w:val="16"/>
                <w:szCs w:val="16"/>
              </w:rPr>
              <w:t>31.8</w:t>
            </w:r>
          </w:p>
        </w:tc>
        <w:tc>
          <w:tcPr>
            <w:tcW w:w="0" w:type="auto"/>
            <w:tcBorders>
              <w:top w:val="nil"/>
              <w:left w:val="nil"/>
              <w:bottom w:val="single" w:sz="4" w:space="0" w:color="auto"/>
              <w:right w:val="single" w:sz="4" w:space="0" w:color="auto"/>
            </w:tcBorders>
            <w:shd w:val="clear" w:color="auto" w:fill="auto"/>
            <w:vAlign w:val="center"/>
            <w:hideMark/>
          </w:tcPr>
          <w:p w14:paraId="06153C91" w14:textId="77777777" w:rsidR="00002D76" w:rsidRPr="00336134" w:rsidRDefault="00002D76" w:rsidP="001429C7">
            <w:pPr>
              <w:spacing w:after="0" w:line="240" w:lineRule="auto"/>
              <w:rPr>
                <w:rFonts w:ascii="Calibri" w:hAnsi="Calibri"/>
                <w:color w:val="231F20"/>
                <w:sz w:val="16"/>
                <w:szCs w:val="16"/>
              </w:rPr>
            </w:pPr>
            <w:r w:rsidRPr="00336134">
              <w:rPr>
                <w:rFonts w:ascii="Calibri" w:hAnsi="Calibri"/>
                <w:color w:val="231F20"/>
                <w:sz w:val="16"/>
                <w:szCs w:val="16"/>
              </w:rPr>
              <w:t>Professional Services</w:t>
            </w:r>
          </w:p>
        </w:tc>
        <w:tc>
          <w:tcPr>
            <w:tcW w:w="0" w:type="auto"/>
            <w:tcBorders>
              <w:top w:val="nil"/>
              <w:left w:val="nil"/>
              <w:bottom w:val="single" w:sz="4" w:space="0" w:color="auto"/>
              <w:right w:val="single" w:sz="4" w:space="0" w:color="auto"/>
            </w:tcBorders>
            <w:shd w:val="clear" w:color="auto" w:fill="auto"/>
            <w:vAlign w:val="center"/>
            <w:hideMark/>
          </w:tcPr>
          <w:p w14:paraId="77C13E58" w14:textId="77777777" w:rsidR="00002D76" w:rsidRPr="00336134" w:rsidRDefault="00002D76" w:rsidP="00D63204">
            <w:pPr>
              <w:spacing w:after="0" w:line="240" w:lineRule="auto"/>
              <w:rPr>
                <w:rFonts w:ascii="Calibri" w:hAnsi="Calibri"/>
                <w:color w:val="231F20"/>
                <w:sz w:val="16"/>
                <w:szCs w:val="16"/>
              </w:rPr>
            </w:pPr>
            <w:r w:rsidRPr="00336134">
              <w:rPr>
                <w:rFonts w:ascii="Calibri" w:hAnsi="Calibri"/>
                <w:color w:val="231F20"/>
                <w:sz w:val="16"/>
                <w:szCs w:val="16"/>
              </w:rPr>
              <w:t>19.41</w:t>
            </w:r>
          </w:p>
        </w:tc>
        <w:tc>
          <w:tcPr>
            <w:tcW w:w="0" w:type="auto"/>
            <w:tcBorders>
              <w:top w:val="nil"/>
              <w:left w:val="nil"/>
              <w:bottom w:val="single" w:sz="4" w:space="0" w:color="auto"/>
              <w:right w:val="single" w:sz="4" w:space="0" w:color="auto"/>
            </w:tcBorders>
            <w:shd w:val="clear" w:color="auto" w:fill="auto"/>
            <w:vAlign w:val="center"/>
            <w:hideMark/>
          </w:tcPr>
          <w:p w14:paraId="4B81B499" w14:textId="77777777" w:rsidR="00002D76" w:rsidRPr="00336134" w:rsidRDefault="00002D76" w:rsidP="00D63204">
            <w:pPr>
              <w:spacing w:after="0" w:line="240" w:lineRule="auto"/>
              <w:rPr>
                <w:rFonts w:ascii="Calibri" w:hAnsi="Calibri"/>
                <w:color w:val="231F20"/>
                <w:sz w:val="16"/>
                <w:szCs w:val="16"/>
              </w:rPr>
            </w:pPr>
            <w:r w:rsidRPr="00336134">
              <w:rPr>
                <w:rFonts w:ascii="Calibri" w:hAnsi="Calibri"/>
                <w:color w:val="231F20"/>
                <w:sz w:val="16"/>
                <w:szCs w:val="16"/>
              </w:rPr>
              <w:t>13.71</w:t>
            </w:r>
          </w:p>
        </w:tc>
        <w:tc>
          <w:tcPr>
            <w:tcW w:w="0" w:type="auto"/>
            <w:tcBorders>
              <w:top w:val="nil"/>
              <w:left w:val="nil"/>
              <w:bottom w:val="single" w:sz="4" w:space="0" w:color="auto"/>
              <w:right w:val="single" w:sz="4" w:space="0" w:color="auto"/>
            </w:tcBorders>
            <w:shd w:val="clear" w:color="auto" w:fill="auto"/>
            <w:vAlign w:val="center"/>
            <w:hideMark/>
          </w:tcPr>
          <w:p w14:paraId="49FA2A86" w14:textId="77777777" w:rsidR="00002D76" w:rsidRPr="00336134" w:rsidRDefault="00002D76" w:rsidP="00D63204">
            <w:pPr>
              <w:spacing w:after="0" w:line="240" w:lineRule="auto"/>
              <w:rPr>
                <w:rFonts w:ascii="Calibri" w:hAnsi="Calibri"/>
                <w:color w:val="231F20"/>
                <w:sz w:val="16"/>
                <w:szCs w:val="16"/>
              </w:rPr>
            </w:pPr>
            <w:r w:rsidRPr="00336134">
              <w:rPr>
                <w:rFonts w:ascii="Calibri" w:hAnsi="Calibri"/>
                <w:color w:val="231F20"/>
                <w:sz w:val="16"/>
                <w:szCs w:val="16"/>
              </w:rPr>
              <w:t>29.12</w:t>
            </w:r>
          </w:p>
        </w:tc>
      </w:tr>
      <w:tr w:rsidR="00002D76" w:rsidRPr="00336134" w14:paraId="503FD94E" w14:textId="77777777" w:rsidTr="001429C7">
        <w:trPr>
          <w:trHeight w:val="300"/>
        </w:trPr>
        <w:tc>
          <w:tcPr>
            <w:tcW w:w="0" w:type="auto"/>
            <w:tcBorders>
              <w:top w:val="nil"/>
              <w:left w:val="single" w:sz="4" w:space="0" w:color="auto"/>
              <w:bottom w:val="single" w:sz="4" w:space="0" w:color="auto"/>
              <w:right w:val="single" w:sz="4" w:space="0" w:color="auto"/>
            </w:tcBorders>
            <w:shd w:val="clear" w:color="000000" w:fill="D1D3D4"/>
            <w:vAlign w:val="center"/>
            <w:hideMark/>
          </w:tcPr>
          <w:p w14:paraId="739669FB" w14:textId="77777777" w:rsidR="00002D76" w:rsidRPr="00336134" w:rsidRDefault="00002D76" w:rsidP="00D63204">
            <w:pPr>
              <w:spacing w:after="0" w:line="240" w:lineRule="auto"/>
              <w:rPr>
                <w:rFonts w:ascii="Calibri" w:hAnsi="Calibri"/>
                <w:color w:val="231F20"/>
                <w:sz w:val="16"/>
                <w:szCs w:val="16"/>
              </w:rPr>
            </w:pPr>
            <w:r w:rsidRPr="00336134">
              <w:rPr>
                <w:rFonts w:ascii="Calibri" w:hAnsi="Calibri"/>
                <w:color w:val="231F20"/>
                <w:sz w:val="16"/>
                <w:szCs w:val="16"/>
              </w:rPr>
              <w:t>8</w:t>
            </w:r>
          </w:p>
        </w:tc>
        <w:tc>
          <w:tcPr>
            <w:tcW w:w="0" w:type="auto"/>
            <w:tcBorders>
              <w:top w:val="nil"/>
              <w:left w:val="nil"/>
              <w:bottom w:val="single" w:sz="4" w:space="0" w:color="auto"/>
              <w:right w:val="single" w:sz="4" w:space="0" w:color="auto"/>
            </w:tcBorders>
            <w:shd w:val="clear" w:color="000000" w:fill="D1D3D4"/>
            <w:vAlign w:val="center"/>
            <w:hideMark/>
          </w:tcPr>
          <w:p w14:paraId="6C6CB246" w14:textId="77777777" w:rsidR="00002D76" w:rsidRPr="00336134" w:rsidRDefault="00002D76" w:rsidP="00D63204">
            <w:pPr>
              <w:spacing w:after="0" w:line="240" w:lineRule="auto"/>
              <w:rPr>
                <w:rFonts w:ascii="Calibri" w:hAnsi="Calibri"/>
                <w:color w:val="231F20"/>
                <w:sz w:val="16"/>
                <w:szCs w:val="16"/>
              </w:rPr>
            </w:pPr>
            <w:r w:rsidRPr="00336134">
              <w:rPr>
                <w:rFonts w:ascii="Calibri" w:hAnsi="Calibri"/>
                <w:color w:val="231F20"/>
                <w:sz w:val="16"/>
                <w:szCs w:val="16"/>
              </w:rPr>
              <w:t>312021</w:t>
            </w:r>
          </w:p>
        </w:tc>
        <w:tc>
          <w:tcPr>
            <w:tcW w:w="0" w:type="auto"/>
            <w:tcBorders>
              <w:top w:val="nil"/>
              <w:left w:val="nil"/>
              <w:bottom w:val="single" w:sz="4" w:space="0" w:color="auto"/>
              <w:right w:val="single" w:sz="4" w:space="0" w:color="auto"/>
            </w:tcBorders>
            <w:shd w:val="clear" w:color="000000" w:fill="D1D3D4"/>
            <w:vAlign w:val="center"/>
            <w:hideMark/>
          </w:tcPr>
          <w:p w14:paraId="21001D72" w14:textId="77777777" w:rsidR="00002D76" w:rsidRPr="00336134" w:rsidRDefault="00002D76" w:rsidP="001429C7">
            <w:pPr>
              <w:spacing w:after="0" w:line="240" w:lineRule="auto"/>
              <w:rPr>
                <w:rFonts w:ascii="Calibri" w:hAnsi="Calibri"/>
                <w:color w:val="231F20"/>
                <w:sz w:val="16"/>
                <w:szCs w:val="16"/>
              </w:rPr>
            </w:pPr>
            <w:r w:rsidRPr="00336134">
              <w:rPr>
                <w:rFonts w:ascii="Calibri" w:hAnsi="Calibri"/>
                <w:color w:val="231F20"/>
                <w:sz w:val="16"/>
                <w:szCs w:val="16"/>
              </w:rPr>
              <w:t>Physical Therapist Assistants</w:t>
            </w:r>
          </w:p>
        </w:tc>
        <w:tc>
          <w:tcPr>
            <w:tcW w:w="0" w:type="auto"/>
            <w:tcBorders>
              <w:top w:val="nil"/>
              <w:left w:val="nil"/>
              <w:bottom w:val="single" w:sz="4" w:space="0" w:color="auto"/>
              <w:right w:val="single" w:sz="4" w:space="0" w:color="auto"/>
            </w:tcBorders>
            <w:shd w:val="clear" w:color="000000" w:fill="D1D3D4"/>
            <w:vAlign w:val="center"/>
            <w:hideMark/>
          </w:tcPr>
          <w:p w14:paraId="1C765530" w14:textId="77777777" w:rsidR="00002D76" w:rsidRPr="00336134" w:rsidRDefault="00002D76" w:rsidP="00D63204">
            <w:pPr>
              <w:spacing w:after="0" w:line="240" w:lineRule="auto"/>
              <w:rPr>
                <w:rFonts w:ascii="Calibri" w:hAnsi="Calibri"/>
                <w:color w:val="231F20"/>
                <w:sz w:val="16"/>
                <w:szCs w:val="16"/>
              </w:rPr>
            </w:pPr>
            <w:r w:rsidRPr="00336134">
              <w:rPr>
                <w:rFonts w:ascii="Calibri" w:hAnsi="Calibri"/>
                <w:color w:val="231F20"/>
                <w:sz w:val="16"/>
                <w:szCs w:val="16"/>
              </w:rPr>
              <w:t>5,482</w:t>
            </w:r>
          </w:p>
        </w:tc>
        <w:tc>
          <w:tcPr>
            <w:tcW w:w="0" w:type="auto"/>
            <w:tcBorders>
              <w:top w:val="nil"/>
              <w:left w:val="nil"/>
              <w:bottom w:val="single" w:sz="4" w:space="0" w:color="auto"/>
              <w:right w:val="single" w:sz="4" w:space="0" w:color="auto"/>
            </w:tcBorders>
            <w:shd w:val="clear" w:color="000000" w:fill="D1D3D4"/>
            <w:vAlign w:val="center"/>
            <w:hideMark/>
          </w:tcPr>
          <w:p w14:paraId="02AEE3D0" w14:textId="77777777" w:rsidR="00002D76" w:rsidRPr="00336134" w:rsidRDefault="00002D76" w:rsidP="00D63204">
            <w:pPr>
              <w:spacing w:after="0" w:line="240" w:lineRule="auto"/>
              <w:rPr>
                <w:rFonts w:ascii="Calibri" w:hAnsi="Calibri"/>
                <w:color w:val="231F20"/>
                <w:sz w:val="16"/>
                <w:szCs w:val="16"/>
              </w:rPr>
            </w:pPr>
            <w:r w:rsidRPr="00336134">
              <w:rPr>
                <w:rFonts w:ascii="Calibri" w:hAnsi="Calibri"/>
                <w:color w:val="231F20"/>
                <w:sz w:val="16"/>
                <w:szCs w:val="16"/>
              </w:rPr>
              <w:t>7,208</w:t>
            </w:r>
          </w:p>
        </w:tc>
        <w:tc>
          <w:tcPr>
            <w:tcW w:w="0" w:type="auto"/>
            <w:tcBorders>
              <w:top w:val="nil"/>
              <w:left w:val="nil"/>
              <w:bottom w:val="single" w:sz="4" w:space="0" w:color="auto"/>
              <w:right w:val="single" w:sz="4" w:space="0" w:color="auto"/>
            </w:tcBorders>
            <w:shd w:val="clear" w:color="000000" w:fill="D1D3D4"/>
            <w:vAlign w:val="center"/>
            <w:hideMark/>
          </w:tcPr>
          <w:p w14:paraId="0A666015" w14:textId="77777777" w:rsidR="00002D76" w:rsidRPr="00336134" w:rsidRDefault="00002D76" w:rsidP="00D63204">
            <w:pPr>
              <w:spacing w:after="0" w:line="240" w:lineRule="auto"/>
              <w:rPr>
                <w:rFonts w:ascii="Calibri" w:hAnsi="Calibri"/>
                <w:color w:val="231F20"/>
                <w:sz w:val="16"/>
                <w:szCs w:val="16"/>
              </w:rPr>
            </w:pPr>
            <w:r w:rsidRPr="00336134">
              <w:rPr>
                <w:rFonts w:ascii="Calibri" w:hAnsi="Calibri"/>
                <w:color w:val="231F20"/>
                <w:sz w:val="16"/>
                <w:szCs w:val="16"/>
              </w:rPr>
              <w:t>1,726</w:t>
            </w:r>
          </w:p>
        </w:tc>
        <w:tc>
          <w:tcPr>
            <w:tcW w:w="0" w:type="auto"/>
            <w:tcBorders>
              <w:top w:val="nil"/>
              <w:left w:val="nil"/>
              <w:bottom w:val="single" w:sz="4" w:space="0" w:color="auto"/>
              <w:right w:val="single" w:sz="4" w:space="0" w:color="auto"/>
            </w:tcBorders>
            <w:shd w:val="clear" w:color="000000" w:fill="D1D3D4"/>
            <w:vAlign w:val="center"/>
            <w:hideMark/>
          </w:tcPr>
          <w:p w14:paraId="1480BDFB" w14:textId="77777777" w:rsidR="00002D76" w:rsidRPr="00336134" w:rsidRDefault="00002D76" w:rsidP="00D63204">
            <w:pPr>
              <w:spacing w:after="0" w:line="240" w:lineRule="auto"/>
              <w:rPr>
                <w:rFonts w:ascii="Calibri" w:hAnsi="Calibri"/>
                <w:color w:val="231F20"/>
                <w:sz w:val="16"/>
                <w:szCs w:val="16"/>
              </w:rPr>
            </w:pPr>
            <w:r w:rsidRPr="00336134">
              <w:rPr>
                <w:rFonts w:ascii="Calibri" w:hAnsi="Calibri"/>
                <w:color w:val="231F20"/>
                <w:sz w:val="16"/>
                <w:szCs w:val="16"/>
              </w:rPr>
              <w:t>31.5</w:t>
            </w:r>
          </w:p>
        </w:tc>
        <w:tc>
          <w:tcPr>
            <w:tcW w:w="0" w:type="auto"/>
            <w:tcBorders>
              <w:top w:val="nil"/>
              <w:left w:val="nil"/>
              <w:bottom w:val="single" w:sz="4" w:space="0" w:color="auto"/>
              <w:right w:val="single" w:sz="4" w:space="0" w:color="auto"/>
            </w:tcBorders>
            <w:shd w:val="clear" w:color="000000" w:fill="D1D3D4"/>
            <w:vAlign w:val="center"/>
            <w:hideMark/>
          </w:tcPr>
          <w:p w14:paraId="2A050112" w14:textId="77777777" w:rsidR="00002D76" w:rsidRPr="00336134" w:rsidRDefault="00002D76" w:rsidP="001429C7">
            <w:pPr>
              <w:spacing w:after="0" w:line="240" w:lineRule="auto"/>
              <w:rPr>
                <w:rFonts w:ascii="Calibri" w:hAnsi="Calibri"/>
                <w:color w:val="231F20"/>
                <w:sz w:val="16"/>
                <w:szCs w:val="16"/>
              </w:rPr>
            </w:pPr>
            <w:r w:rsidRPr="00336134">
              <w:rPr>
                <w:rFonts w:ascii="Calibri" w:hAnsi="Calibri"/>
                <w:color w:val="231F20"/>
                <w:sz w:val="16"/>
                <w:szCs w:val="16"/>
              </w:rPr>
              <w:t>Healthcare</w:t>
            </w:r>
          </w:p>
        </w:tc>
        <w:tc>
          <w:tcPr>
            <w:tcW w:w="0" w:type="auto"/>
            <w:tcBorders>
              <w:top w:val="nil"/>
              <w:left w:val="nil"/>
              <w:bottom w:val="single" w:sz="4" w:space="0" w:color="auto"/>
              <w:right w:val="single" w:sz="4" w:space="0" w:color="auto"/>
            </w:tcBorders>
            <w:shd w:val="clear" w:color="000000" w:fill="D1D3D4"/>
            <w:vAlign w:val="center"/>
            <w:hideMark/>
          </w:tcPr>
          <w:p w14:paraId="1D06D14B" w14:textId="77777777" w:rsidR="00002D76" w:rsidRPr="00336134" w:rsidRDefault="00002D76" w:rsidP="00D63204">
            <w:pPr>
              <w:spacing w:after="0" w:line="240" w:lineRule="auto"/>
              <w:rPr>
                <w:rFonts w:ascii="Calibri" w:hAnsi="Calibri"/>
                <w:color w:val="231F20"/>
                <w:sz w:val="16"/>
                <w:szCs w:val="16"/>
              </w:rPr>
            </w:pPr>
            <w:r w:rsidRPr="00336134">
              <w:rPr>
                <w:rFonts w:ascii="Calibri" w:hAnsi="Calibri"/>
                <w:color w:val="231F20"/>
                <w:sz w:val="16"/>
                <w:szCs w:val="16"/>
              </w:rPr>
              <w:t>30.60</w:t>
            </w:r>
          </w:p>
        </w:tc>
        <w:tc>
          <w:tcPr>
            <w:tcW w:w="0" w:type="auto"/>
            <w:tcBorders>
              <w:top w:val="nil"/>
              <w:left w:val="nil"/>
              <w:bottom w:val="single" w:sz="4" w:space="0" w:color="auto"/>
              <w:right w:val="single" w:sz="4" w:space="0" w:color="auto"/>
            </w:tcBorders>
            <w:shd w:val="clear" w:color="000000" w:fill="D1D3D4"/>
            <w:vAlign w:val="center"/>
            <w:hideMark/>
          </w:tcPr>
          <w:p w14:paraId="2997D97D" w14:textId="77777777" w:rsidR="00002D76" w:rsidRPr="00336134" w:rsidRDefault="00002D76" w:rsidP="00D63204">
            <w:pPr>
              <w:spacing w:after="0" w:line="240" w:lineRule="auto"/>
              <w:rPr>
                <w:rFonts w:ascii="Calibri" w:hAnsi="Calibri"/>
                <w:color w:val="231F20"/>
                <w:sz w:val="16"/>
                <w:szCs w:val="16"/>
              </w:rPr>
            </w:pPr>
            <w:r w:rsidRPr="00336134">
              <w:rPr>
                <w:rFonts w:ascii="Calibri" w:hAnsi="Calibri"/>
                <w:color w:val="231F20"/>
                <w:sz w:val="16"/>
                <w:szCs w:val="16"/>
              </w:rPr>
              <w:t>24.28</w:t>
            </w:r>
          </w:p>
        </w:tc>
        <w:tc>
          <w:tcPr>
            <w:tcW w:w="0" w:type="auto"/>
            <w:tcBorders>
              <w:top w:val="nil"/>
              <w:left w:val="nil"/>
              <w:bottom w:val="single" w:sz="4" w:space="0" w:color="auto"/>
              <w:right w:val="single" w:sz="4" w:space="0" w:color="auto"/>
            </w:tcBorders>
            <w:shd w:val="clear" w:color="000000" w:fill="D1D3D4"/>
            <w:vAlign w:val="center"/>
            <w:hideMark/>
          </w:tcPr>
          <w:p w14:paraId="417F6B30" w14:textId="77777777" w:rsidR="00002D76" w:rsidRPr="00336134" w:rsidRDefault="00002D76" w:rsidP="00D63204">
            <w:pPr>
              <w:spacing w:after="0" w:line="240" w:lineRule="auto"/>
              <w:rPr>
                <w:rFonts w:ascii="Calibri" w:hAnsi="Calibri"/>
                <w:color w:val="231F20"/>
                <w:sz w:val="16"/>
                <w:szCs w:val="16"/>
              </w:rPr>
            </w:pPr>
            <w:r w:rsidRPr="00336134">
              <w:rPr>
                <w:rFonts w:ascii="Calibri" w:hAnsi="Calibri"/>
                <w:color w:val="231F20"/>
                <w:sz w:val="16"/>
                <w:szCs w:val="16"/>
              </w:rPr>
              <w:t>34.58</w:t>
            </w:r>
          </w:p>
        </w:tc>
      </w:tr>
      <w:tr w:rsidR="00002D76" w:rsidRPr="00336134" w14:paraId="0F5C8E99" w14:textId="77777777" w:rsidTr="001429C7">
        <w:trPr>
          <w:trHeight w:val="45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C8064CC" w14:textId="77777777" w:rsidR="00002D76" w:rsidRPr="00336134" w:rsidRDefault="00002D76" w:rsidP="00D63204">
            <w:pPr>
              <w:spacing w:after="0" w:line="240" w:lineRule="auto"/>
              <w:rPr>
                <w:rFonts w:ascii="Calibri" w:hAnsi="Calibri"/>
                <w:color w:val="231F20"/>
                <w:sz w:val="16"/>
                <w:szCs w:val="16"/>
              </w:rPr>
            </w:pPr>
            <w:r w:rsidRPr="00336134">
              <w:rPr>
                <w:rFonts w:ascii="Calibri" w:hAnsi="Calibri"/>
                <w:color w:val="231F20"/>
                <w:sz w:val="16"/>
                <w:szCs w:val="16"/>
              </w:rPr>
              <w:t>9</w:t>
            </w:r>
          </w:p>
        </w:tc>
        <w:tc>
          <w:tcPr>
            <w:tcW w:w="0" w:type="auto"/>
            <w:tcBorders>
              <w:top w:val="nil"/>
              <w:left w:val="nil"/>
              <w:bottom w:val="single" w:sz="4" w:space="0" w:color="auto"/>
              <w:right w:val="single" w:sz="4" w:space="0" w:color="auto"/>
            </w:tcBorders>
            <w:shd w:val="clear" w:color="auto" w:fill="auto"/>
            <w:vAlign w:val="center"/>
            <w:hideMark/>
          </w:tcPr>
          <w:p w14:paraId="24A7A952" w14:textId="77777777" w:rsidR="00002D76" w:rsidRPr="00336134" w:rsidRDefault="00002D76" w:rsidP="00D63204">
            <w:pPr>
              <w:spacing w:after="0" w:line="240" w:lineRule="auto"/>
              <w:rPr>
                <w:rFonts w:ascii="Calibri" w:hAnsi="Calibri"/>
                <w:color w:val="231F20"/>
                <w:sz w:val="16"/>
                <w:szCs w:val="16"/>
              </w:rPr>
            </w:pPr>
            <w:r w:rsidRPr="00336134">
              <w:rPr>
                <w:rFonts w:ascii="Calibri" w:hAnsi="Calibri"/>
                <w:color w:val="231F20"/>
                <w:sz w:val="16"/>
                <w:szCs w:val="16"/>
              </w:rPr>
              <w:t>473011</w:t>
            </w:r>
          </w:p>
        </w:tc>
        <w:tc>
          <w:tcPr>
            <w:tcW w:w="0" w:type="auto"/>
            <w:tcBorders>
              <w:top w:val="nil"/>
              <w:left w:val="nil"/>
              <w:bottom w:val="single" w:sz="4" w:space="0" w:color="auto"/>
              <w:right w:val="single" w:sz="4" w:space="0" w:color="auto"/>
            </w:tcBorders>
            <w:shd w:val="clear" w:color="auto" w:fill="auto"/>
            <w:vAlign w:val="center"/>
            <w:hideMark/>
          </w:tcPr>
          <w:p w14:paraId="4F178601" w14:textId="36BEAB5E" w:rsidR="00002D76" w:rsidRPr="00336134" w:rsidRDefault="00002D76" w:rsidP="001429C7">
            <w:pPr>
              <w:spacing w:after="0" w:line="240" w:lineRule="auto"/>
              <w:rPr>
                <w:rFonts w:ascii="Calibri" w:hAnsi="Calibri"/>
                <w:color w:val="231F20"/>
                <w:sz w:val="16"/>
                <w:szCs w:val="16"/>
              </w:rPr>
            </w:pPr>
            <w:r w:rsidRPr="00336134">
              <w:rPr>
                <w:rFonts w:ascii="Calibri" w:hAnsi="Calibri"/>
                <w:color w:val="231F20"/>
                <w:sz w:val="16"/>
                <w:szCs w:val="16"/>
              </w:rPr>
              <w:t>Helpers--Brickmasons, Blockmasons, Stonemasons</w:t>
            </w:r>
            <w:r w:rsidR="00D5537E">
              <w:rPr>
                <w:rFonts w:ascii="Calibri" w:hAnsi="Calibri"/>
                <w:color w:val="231F20"/>
                <w:sz w:val="16"/>
                <w:szCs w:val="16"/>
              </w:rPr>
              <w:t xml:space="preserve"> and</w:t>
            </w:r>
            <w:r w:rsidRPr="00336134">
              <w:rPr>
                <w:rFonts w:ascii="Calibri" w:hAnsi="Calibri"/>
                <w:color w:val="231F20"/>
                <w:sz w:val="16"/>
                <w:szCs w:val="16"/>
              </w:rPr>
              <w:t xml:space="preserve"> Tile and Marble Setters</w:t>
            </w:r>
          </w:p>
        </w:tc>
        <w:tc>
          <w:tcPr>
            <w:tcW w:w="0" w:type="auto"/>
            <w:tcBorders>
              <w:top w:val="nil"/>
              <w:left w:val="nil"/>
              <w:bottom w:val="single" w:sz="4" w:space="0" w:color="auto"/>
              <w:right w:val="single" w:sz="4" w:space="0" w:color="auto"/>
            </w:tcBorders>
            <w:shd w:val="clear" w:color="auto" w:fill="auto"/>
            <w:vAlign w:val="center"/>
            <w:hideMark/>
          </w:tcPr>
          <w:p w14:paraId="547CBEB0" w14:textId="77777777" w:rsidR="00002D76" w:rsidRPr="00336134" w:rsidRDefault="00002D76" w:rsidP="00D63204">
            <w:pPr>
              <w:spacing w:after="0" w:line="240" w:lineRule="auto"/>
              <w:rPr>
                <w:rFonts w:ascii="Calibri" w:hAnsi="Calibri"/>
                <w:color w:val="231F20"/>
                <w:sz w:val="16"/>
                <w:szCs w:val="16"/>
              </w:rPr>
            </w:pPr>
            <w:r w:rsidRPr="00336134">
              <w:rPr>
                <w:rFonts w:ascii="Calibri" w:hAnsi="Calibri"/>
                <w:color w:val="231F20"/>
                <w:sz w:val="16"/>
                <w:szCs w:val="16"/>
              </w:rPr>
              <w:t>1,159</w:t>
            </w:r>
          </w:p>
        </w:tc>
        <w:tc>
          <w:tcPr>
            <w:tcW w:w="0" w:type="auto"/>
            <w:tcBorders>
              <w:top w:val="nil"/>
              <w:left w:val="nil"/>
              <w:bottom w:val="single" w:sz="4" w:space="0" w:color="auto"/>
              <w:right w:val="single" w:sz="4" w:space="0" w:color="auto"/>
            </w:tcBorders>
            <w:shd w:val="clear" w:color="auto" w:fill="auto"/>
            <w:vAlign w:val="center"/>
            <w:hideMark/>
          </w:tcPr>
          <w:p w14:paraId="50AC361C" w14:textId="77777777" w:rsidR="00002D76" w:rsidRPr="00336134" w:rsidRDefault="00002D76" w:rsidP="00D63204">
            <w:pPr>
              <w:spacing w:after="0" w:line="240" w:lineRule="auto"/>
              <w:rPr>
                <w:rFonts w:ascii="Calibri" w:hAnsi="Calibri"/>
                <w:color w:val="231F20"/>
                <w:sz w:val="16"/>
                <w:szCs w:val="16"/>
              </w:rPr>
            </w:pPr>
            <w:r w:rsidRPr="00336134">
              <w:rPr>
                <w:rFonts w:ascii="Calibri" w:hAnsi="Calibri"/>
                <w:color w:val="231F20"/>
                <w:sz w:val="16"/>
                <w:szCs w:val="16"/>
              </w:rPr>
              <w:t>1,477</w:t>
            </w:r>
          </w:p>
        </w:tc>
        <w:tc>
          <w:tcPr>
            <w:tcW w:w="0" w:type="auto"/>
            <w:tcBorders>
              <w:top w:val="nil"/>
              <w:left w:val="nil"/>
              <w:bottom w:val="single" w:sz="4" w:space="0" w:color="auto"/>
              <w:right w:val="single" w:sz="4" w:space="0" w:color="auto"/>
            </w:tcBorders>
            <w:shd w:val="clear" w:color="auto" w:fill="auto"/>
            <w:vAlign w:val="center"/>
            <w:hideMark/>
          </w:tcPr>
          <w:p w14:paraId="79A4B7A5" w14:textId="77777777" w:rsidR="00002D76" w:rsidRPr="00336134" w:rsidRDefault="00002D76" w:rsidP="00D63204">
            <w:pPr>
              <w:spacing w:after="0" w:line="240" w:lineRule="auto"/>
              <w:rPr>
                <w:rFonts w:ascii="Calibri" w:hAnsi="Calibri"/>
                <w:color w:val="231F20"/>
                <w:sz w:val="16"/>
                <w:szCs w:val="16"/>
              </w:rPr>
            </w:pPr>
            <w:r w:rsidRPr="00336134">
              <w:rPr>
                <w:rFonts w:ascii="Calibri" w:hAnsi="Calibri"/>
                <w:color w:val="231F20"/>
                <w:sz w:val="16"/>
                <w:szCs w:val="16"/>
              </w:rPr>
              <w:t>318</w:t>
            </w:r>
          </w:p>
        </w:tc>
        <w:tc>
          <w:tcPr>
            <w:tcW w:w="0" w:type="auto"/>
            <w:tcBorders>
              <w:top w:val="nil"/>
              <w:left w:val="nil"/>
              <w:bottom w:val="single" w:sz="4" w:space="0" w:color="auto"/>
              <w:right w:val="single" w:sz="4" w:space="0" w:color="auto"/>
            </w:tcBorders>
            <w:shd w:val="clear" w:color="auto" w:fill="auto"/>
            <w:vAlign w:val="center"/>
            <w:hideMark/>
          </w:tcPr>
          <w:p w14:paraId="3F262F3A" w14:textId="77777777" w:rsidR="00002D76" w:rsidRPr="00336134" w:rsidRDefault="00002D76" w:rsidP="00D63204">
            <w:pPr>
              <w:spacing w:after="0" w:line="240" w:lineRule="auto"/>
              <w:rPr>
                <w:rFonts w:ascii="Calibri" w:hAnsi="Calibri"/>
                <w:color w:val="231F20"/>
                <w:sz w:val="16"/>
                <w:szCs w:val="16"/>
              </w:rPr>
            </w:pPr>
            <w:r w:rsidRPr="00336134">
              <w:rPr>
                <w:rFonts w:ascii="Calibri" w:hAnsi="Calibri"/>
                <w:color w:val="231F20"/>
                <w:sz w:val="16"/>
                <w:szCs w:val="16"/>
              </w:rPr>
              <w:t>27.4</w:t>
            </w:r>
          </w:p>
        </w:tc>
        <w:tc>
          <w:tcPr>
            <w:tcW w:w="0" w:type="auto"/>
            <w:tcBorders>
              <w:top w:val="nil"/>
              <w:left w:val="nil"/>
              <w:bottom w:val="single" w:sz="4" w:space="0" w:color="auto"/>
              <w:right w:val="single" w:sz="4" w:space="0" w:color="auto"/>
            </w:tcBorders>
            <w:shd w:val="clear" w:color="auto" w:fill="auto"/>
            <w:vAlign w:val="center"/>
            <w:hideMark/>
          </w:tcPr>
          <w:p w14:paraId="36EE8855" w14:textId="77777777" w:rsidR="00002D76" w:rsidRPr="00336134" w:rsidRDefault="00002D76" w:rsidP="001429C7">
            <w:pPr>
              <w:spacing w:after="0" w:line="240" w:lineRule="auto"/>
              <w:rPr>
                <w:rFonts w:ascii="Calibri" w:hAnsi="Calibri"/>
                <w:color w:val="231F20"/>
                <w:sz w:val="16"/>
                <w:szCs w:val="16"/>
              </w:rPr>
            </w:pPr>
            <w:r w:rsidRPr="00336134">
              <w:rPr>
                <w:rFonts w:ascii="Calibri" w:hAnsi="Calibri"/>
                <w:color w:val="231F20"/>
                <w:sz w:val="16"/>
                <w:szCs w:val="16"/>
              </w:rPr>
              <w:t>Construction</w:t>
            </w:r>
          </w:p>
        </w:tc>
        <w:tc>
          <w:tcPr>
            <w:tcW w:w="0" w:type="auto"/>
            <w:tcBorders>
              <w:top w:val="nil"/>
              <w:left w:val="nil"/>
              <w:bottom w:val="single" w:sz="4" w:space="0" w:color="auto"/>
              <w:right w:val="single" w:sz="4" w:space="0" w:color="auto"/>
            </w:tcBorders>
            <w:shd w:val="clear" w:color="auto" w:fill="auto"/>
            <w:vAlign w:val="center"/>
            <w:hideMark/>
          </w:tcPr>
          <w:p w14:paraId="77F0EA8F" w14:textId="77777777" w:rsidR="00002D76" w:rsidRPr="00336134" w:rsidRDefault="00002D76" w:rsidP="00D63204">
            <w:pPr>
              <w:spacing w:after="0" w:line="240" w:lineRule="auto"/>
              <w:rPr>
                <w:rFonts w:ascii="Calibri" w:hAnsi="Calibri"/>
                <w:color w:val="231F20"/>
                <w:sz w:val="16"/>
                <w:szCs w:val="16"/>
              </w:rPr>
            </w:pPr>
            <w:r w:rsidRPr="00336134">
              <w:rPr>
                <w:rFonts w:ascii="Calibri" w:hAnsi="Calibri"/>
                <w:color w:val="231F20"/>
                <w:sz w:val="16"/>
                <w:szCs w:val="16"/>
              </w:rPr>
              <w:t>11.50</w:t>
            </w:r>
          </w:p>
        </w:tc>
        <w:tc>
          <w:tcPr>
            <w:tcW w:w="0" w:type="auto"/>
            <w:tcBorders>
              <w:top w:val="nil"/>
              <w:left w:val="nil"/>
              <w:bottom w:val="single" w:sz="4" w:space="0" w:color="auto"/>
              <w:right w:val="single" w:sz="4" w:space="0" w:color="auto"/>
            </w:tcBorders>
            <w:shd w:val="clear" w:color="auto" w:fill="auto"/>
            <w:vAlign w:val="center"/>
            <w:hideMark/>
          </w:tcPr>
          <w:p w14:paraId="70636D4D" w14:textId="77777777" w:rsidR="00002D76" w:rsidRPr="00336134" w:rsidRDefault="00002D76" w:rsidP="00D63204">
            <w:pPr>
              <w:spacing w:after="0" w:line="240" w:lineRule="auto"/>
              <w:rPr>
                <w:rFonts w:ascii="Calibri" w:hAnsi="Calibri"/>
                <w:color w:val="231F20"/>
                <w:sz w:val="16"/>
                <w:szCs w:val="16"/>
              </w:rPr>
            </w:pPr>
            <w:r w:rsidRPr="00336134">
              <w:rPr>
                <w:rFonts w:ascii="Calibri" w:hAnsi="Calibri"/>
                <w:color w:val="231F20"/>
                <w:sz w:val="16"/>
                <w:szCs w:val="16"/>
              </w:rPr>
              <w:t>9.67</w:t>
            </w:r>
          </w:p>
        </w:tc>
        <w:tc>
          <w:tcPr>
            <w:tcW w:w="0" w:type="auto"/>
            <w:tcBorders>
              <w:top w:val="nil"/>
              <w:left w:val="nil"/>
              <w:bottom w:val="single" w:sz="4" w:space="0" w:color="auto"/>
              <w:right w:val="single" w:sz="4" w:space="0" w:color="auto"/>
            </w:tcBorders>
            <w:shd w:val="clear" w:color="auto" w:fill="auto"/>
            <w:vAlign w:val="center"/>
            <w:hideMark/>
          </w:tcPr>
          <w:p w14:paraId="31651ED5" w14:textId="77777777" w:rsidR="00002D76" w:rsidRPr="00336134" w:rsidRDefault="00002D76" w:rsidP="00D63204">
            <w:pPr>
              <w:spacing w:after="0" w:line="240" w:lineRule="auto"/>
              <w:rPr>
                <w:rFonts w:ascii="Calibri" w:hAnsi="Calibri"/>
                <w:color w:val="231F20"/>
                <w:sz w:val="16"/>
                <w:szCs w:val="16"/>
              </w:rPr>
            </w:pPr>
            <w:r w:rsidRPr="00336134">
              <w:rPr>
                <w:rFonts w:ascii="Calibri" w:hAnsi="Calibri"/>
                <w:color w:val="231F20"/>
                <w:sz w:val="16"/>
                <w:szCs w:val="16"/>
              </w:rPr>
              <w:t>13.36</w:t>
            </w:r>
          </w:p>
        </w:tc>
      </w:tr>
      <w:tr w:rsidR="00002D76" w:rsidRPr="00336134" w14:paraId="03F2200A" w14:textId="77777777" w:rsidTr="001429C7">
        <w:trPr>
          <w:trHeight w:val="300"/>
        </w:trPr>
        <w:tc>
          <w:tcPr>
            <w:tcW w:w="0" w:type="auto"/>
            <w:tcBorders>
              <w:top w:val="nil"/>
              <w:left w:val="single" w:sz="4" w:space="0" w:color="auto"/>
              <w:bottom w:val="single" w:sz="4" w:space="0" w:color="auto"/>
              <w:right w:val="single" w:sz="4" w:space="0" w:color="auto"/>
            </w:tcBorders>
            <w:shd w:val="clear" w:color="000000" w:fill="D1D3D4"/>
            <w:vAlign w:val="center"/>
            <w:hideMark/>
          </w:tcPr>
          <w:p w14:paraId="6CD7466A" w14:textId="77777777" w:rsidR="00002D76" w:rsidRPr="00336134" w:rsidRDefault="00002D76" w:rsidP="00D63204">
            <w:pPr>
              <w:spacing w:after="0" w:line="240" w:lineRule="auto"/>
              <w:rPr>
                <w:rFonts w:ascii="Calibri" w:hAnsi="Calibri"/>
                <w:color w:val="231F20"/>
                <w:sz w:val="16"/>
                <w:szCs w:val="16"/>
              </w:rPr>
            </w:pPr>
            <w:r w:rsidRPr="00336134">
              <w:rPr>
                <w:rFonts w:ascii="Calibri" w:hAnsi="Calibri"/>
                <w:color w:val="231F20"/>
                <w:sz w:val="16"/>
                <w:szCs w:val="16"/>
              </w:rPr>
              <w:t>10</w:t>
            </w:r>
          </w:p>
        </w:tc>
        <w:tc>
          <w:tcPr>
            <w:tcW w:w="0" w:type="auto"/>
            <w:tcBorders>
              <w:top w:val="nil"/>
              <w:left w:val="nil"/>
              <w:bottom w:val="single" w:sz="4" w:space="0" w:color="auto"/>
              <w:right w:val="single" w:sz="4" w:space="0" w:color="auto"/>
            </w:tcBorders>
            <w:shd w:val="clear" w:color="000000" w:fill="D1D3D4"/>
            <w:vAlign w:val="center"/>
            <w:hideMark/>
          </w:tcPr>
          <w:p w14:paraId="19B5519D" w14:textId="77777777" w:rsidR="00002D76" w:rsidRPr="00336134" w:rsidRDefault="00002D76" w:rsidP="00D63204">
            <w:pPr>
              <w:spacing w:after="0" w:line="240" w:lineRule="auto"/>
              <w:rPr>
                <w:rFonts w:ascii="Calibri" w:hAnsi="Calibri"/>
                <w:color w:val="231F20"/>
                <w:sz w:val="16"/>
                <w:szCs w:val="16"/>
              </w:rPr>
            </w:pPr>
            <w:r w:rsidRPr="00336134">
              <w:rPr>
                <w:rFonts w:ascii="Calibri" w:hAnsi="Calibri"/>
                <w:color w:val="231F20"/>
                <w:sz w:val="16"/>
                <w:szCs w:val="16"/>
              </w:rPr>
              <w:t>299092</w:t>
            </w:r>
          </w:p>
        </w:tc>
        <w:tc>
          <w:tcPr>
            <w:tcW w:w="0" w:type="auto"/>
            <w:tcBorders>
              <w:top w:val="nil"/>
              <w:left w:val="nil"/>
              <w:bottom w:val="single" w:sz="4" w:space="0" w:color="auto"/>
              <w:right w:val="single" w:sz="4" w:space="0" w:color="auto"/>
            </w:tcBorders>
            <w:shd w:val="clear" w:color="000000" w:fill="D1D3D4"/>
            <w:vAlign w:val="center"/>
            <w:hideMark/>
          </w:tcPr>
          <w:p w14:paraId="5C08A650" w14:textId="77777777" w:rsidR="00002D76" w:rsidRPr="00336134" w:rsidRDefault="00002D76" w:rsidP="001429C7">
            <w:pPr>
              <w:spacing w:after="0" w:line="240" w:lineRule="auto"/>
              <w:rPr>
                <w:rFonts w:ascii="Calibri" w:hAnsi="Calibri"/>
                <w:color w:val="231F20"/>
                <w:sz w:val="16"/>
                <w:szCs w:val="16"/>
              </w:rPr>
            </w:pPr>
            <w:r w:rsidRPr="00336134">
              <w:rPr>
                <w:rFonts w:ascii="Calibri" w:hAnsi="Calibri"/>
                <w:color w:val="231F20"/>
                <w:sz w:val="16"/>
                <w:szCs w:val="16"/>
              </w:rPr>
              <w:t>Genetic Counselors</w:t>
            </w:r>
          </w:p>
        </w:tc>
        <w:tc>
          <w:tcPr>
            <w:tcW w:w="0" w:type="auto"/>
            <w:tcBorders>
              <w:top w:val="nil"/>
              <w:left w:val="nil"/>
              <w:bottom w:val="single" w:sz="4" w:space="0" w:color="auto"/>
              <w:right w:val="single" w:sz="4" w:space="0" w:color="auto"/>
            </w:tcBorders>
            <w:shd w:val="clear" w:color="000000" w:fill="D1D3D4"/>
            <w:vAlign w:val="center"/>
            <w:hideMark/>
          </w:tcPr>
          <w:p w14:paraId="52E12054" w14:textId="77777777" w:rsidR="00002D76" w:rsidRPr="00336134" w:rsidRDefault="00002D76" w:rsidP="00D63204">
            <w:pPr>
              <w:spacing w:after="0" w:line="240" w:lineRule="auto"/>
              <w:rPr>
                <w:rFonts w:ascii="Calibri" w:hAnsi="Calibri"/>
                <w:color w:val="231F20"/>
                <w:sz w:val="16"/>
                <w:szCs w:val="16"/>
              </w:rPr>
            </w:pPr>
            <w:r w:rsidRPr="00336134">
              <w:rPr>
                <w:rFonts w:ascii="Calibri" w:hAnsi="Calibri"/>
                <w:color w:val="231F20"/>
                <w:sz w:val="16"/>
                <w:szCs w:val="16"/>
              </w:rPr>
              <w:t>110</w:t>
            </w:r>
          </w:p>
        </w:tc>
        <w:tc>
          <w:tcPr>
            <w:tcW w:w="0" w:type="auto"/>
            <w:tcBorders>
              <w:top w:val="nil"/>
              <w:left w:val="nil"/>
              <w:bottom w:val="single" w:sz="4" w:space="0" w:color="auto"/>
              <w:right w:val="single" w:sz="4" w:space="0" w:color="auto"/>
            </w:tcBorders>
            <w:shd w:val="clear" w:color="000000" w:fill="D1D3D4"/>
            <w:vAlign w:val="center"/>
            <w:hideMark/>
          </w:tcPr>
          <w:p w14:paraId="21A22B7B" w14:textId="77777777" w:rsidR="00002D76" w:rsidRPr="00336134" w:rsidRDefault="00002D76" w:rsidP="00D63204">
            <w:pPr>
              <w:spacing w:after="0" w:line="240" w:lineRule="auto"/>
              <w:rPr>
                <w:rFonts w:ascii="Calibri" w:hAnsi="Calibri"/>
                <w:color w:val="231F20"/>
                <w:sz w:val="16"/>
                <w:szCs w:val="16"/>
              </w:rPr>
            </w:pPr>
            <w:r w:rsidRPr="00336134">
              <w:rPr>
                <w:rFonts w:ascii="Calibri" w:hAnsi="Calibri"/>
                <w:color w:val="231F20"/>
                <w:sz w:val="16"/>
                <w:szCs w:val="16"/>
              </w:rPr>
              <w:t>140</w:t>
            </w:r>
          </w:p>
        </w:tc>
        <w:tc>
          <w:tcPr>
            <w:tcW w:w="0" w:type="auto"/>
            <w:tcBorders>
              <w:top w:val="nil"/>
              <w:left w:val="nil"/>
              <w:bottom w:val="single" w:sz="4" w:space="0" w:color="auto"/>
              <w:right w:val="single" w:sz="4" w:space="0" w:color="auto"/>
            </w:tcBorders>
            <w:shd w:val="clear" w:color="000000" w:fill="D1D3D4"/>
            <w:vAlign w:val="center"/>
            <w:hideMark/>
          </w:tcPr>
          <w:p w14:paraId="656AD5EA" w14:textId="77777777" w:rsidR="00002D76" w:rsidRPr="00336134" w:rsidRDefault="00002D76" w:rsidP="00D63204">
            <w:pPr>
              <w:spacing w:after="0" w:line="240" w:lineRule="auto"/>
              <w:rPr>
                <w:rFonts w:ascii="Calibri" w:hAnsi="Calibri"/>
                <w:color w:val="231F20"/>
                <w:sz w:val="16"/>
                <w:szCs w:val="16"/>
              </w:rPr>
            </w:pPr>
            <w:r w:rsidRPr="00336134">
              <w:rPr>
                <w:rFonts w:ascii="Calibri" w:hAnsi="Calibri"/>
                <w:color w:val="231F20"/>
                <w:sz w:val="16"/>
                <w:szCs w:val="16"/>
              </w:rPr>
              <w:t>30</w:t>
            </w:r>
          </w:p>
        </w:tc>
        <w:tc>
          <w:tcPr>
            <w:tcW w:w="0" w:type="auto"/>
            <w:tcBorders>
              <w:top w:val="nil"/>
              <w:left w:val="nil"/>
              <w:bottom w:val="single" w:sz="4" w:space="0" w:color="auto"/>
              <w:right w:val="single" w:sz="4" w:space="0" w:color="auto"/>
            </w:tcBorders>
            <w:shd w:val="clear" w:color="000000" w:fill="D1D3D4"/>
            <w:vAlign w:val="center"/>
            <w:hideMark/>
          </w:tcPr>
          <w:p w14:paraId="4E9D4FBE" w14:textId="77777777" w:rsidR="00002D76" w:rsidRPr="00336134" w:rsidRDefault="00002D76" w:rsidP="00D63204">
            <w:pPr>
              <w:spacing w:after="0" w:line="240" w:lineRule="auto"/>
              <w:rPr>
                <w:rFonts w:ascii="Calibri" w:hAnsi="Calibri"/>
                <w:color w:val="231F20"/>
                <w:sz w:val="16"/>
                <w:szCs w:val="16"/>
              </w:rPr>
            </w:pPr>
            <w:r w:rsidRPr="00336134">
              <w:rPr>
                <w:rFonts w:ascii="Calibri" w:hAnsi="Calibri"/>
                <w:color w:val="231F20"/>
                <w:sz w:val="16"/>
                <w:szCs w:val="16"/>
              </w:rPr>
              <w:t>27.3</w:t>
            </w:r>
          </w:p>
        </w:tc>
        <w:tc>
          <w:tcPr>
            <w:tcW w:w="0" w:type="auto"/>
            <w:tcBorders>
              <w:top w:val="nil"/>
              <w:left w:val="nil"/>
              <w:bottom w:val="single" w:sz="4" w:space="0" w:color="auto"/>
              <w:right w:val="single" w:sz="4" w:space="0" w:color="auto"/>
            </w:tcBorders>
            <w:shd w:val="clear" w:color="000000" w:fill="D1D3D4"/>
            <w:vAlign w:val="center"/>
            <w:hideMark/>
          </w:tcPr>
          <w:p w14:paraId="04090EC8" w14:textId="77777777" w:rsidR="00002D76" w:rsidRPr="00336134" w:rsidRDefault="00002D76" w:rsidP="001429C7">
            <w:pPr>
              <w:spacing w:after="0" w:line="240" w:lineRule="auto"/>
              <w:rPr>
                <w:rFonts w:ascii="Calibri" w:hAnsi="Calibri"/>
                <w:color w:val="231F20"/>
                <w:sz w:val="16"/>
                <w:szCs w:val="16"/>
              </w:rPr>
            </w:pPr>
            <w:r w:rsidRPr="00336134">
              <w:rPr>
                <w:rFonts w:ascii="Calibri" w:hAnsi="Calibri"/>
                <w:color w:val="231F20"/>
                <w:sz w:val="16"/>
                <w:szCs w:val="16"/>
              </w:rPr>
              <w:t>Healthcare</w:t>
            </w:r>
          </w:p>
        </w:tc>
        <w:tc>
          <w:tcPr>
            <w:tcW w:w="0" w:type="auto"/>
            <w:tcBorders>
              <w:top w:val="nil"/>
              <w:left w:val="nil"/>
              <w:bottom w:val="single" w:sz="4" w:space="0" w:color="auto"/>
              <w:right w:val="single" w:sz="4" w:space="0" w:color="auto"/>
            </w:tcBorders>
            <w:shd w:val="clear" w:color="000000" w:fill="D1D3D4"/>
            <w:vAlign w:val="center"/>
            <w:hideMark/>
          </w:tcPr>
          <w:p w14:paraId="6A88D191" w14:textId="77777777" w:rsidR="00002D76" w:rsidRPr="00336134" w:rsidRDefault="00002D76" w:rsidP="00D63204">
            <w:pPr>
              <w:spacing w:after="0" w:line="240" w:lineRule="auto"/>
              <w:rPr>
                <w:rFonts w:ascii="Calibri" w:hAnsi="Calibri"/>
                <w:color w:val="231F20"/>
                <w:sz w:val="16"/>
                <w:szCs w:val="16"/>
              </w:rPr>
            </w:pPr>
            <w:r w:rsidRPr="00336134">
              <w:rPr>
                <w:rFonts w:ascii="Calibri" w:hAnsi="Calibri"/>
                <w:color w:val="231F20"/>
                <w:sz w:val="16"/>
                <w:szCs w:val="16"/>
              </w:rPr>
              <w:t>36.22</w:t>
            </w:r>
          </w:p>
        </w:tc>
        <w:tc>
          <w:tcPr>
            <w:tcW w:w="0" w:type="auto"/>
            <w:tcBorders>
              <w:top w:val="nil"/>
              <w:left w:val="nil"/>
              <w:bottom w:val="single" w:sz="4" w:space="0" w:color="auto"/>
              <w:right w:val="single" w:sz="4" w:space="0" w:color="auto"/>
            </w:tcBorders>
            <w:shd w:val="clear" w:color="000000" w:fill="D1D3D4"/>
            <w:vAlign w:val="center"/>
            <w:hideMark/>
          </w:tcPr>
          <w:p w14:paraId="1DDC8962" w14:textId="77777777" w:rsidR="00002D76" w:rsidRPr="00336134" w:rsidRDefault="00002D76" w:rsidP="00D63204">
            <w:pPr>
              <w:spacing w:after="0" w:line="240" w:lineRule="auto"/>
              <w:rPr>
                <w:rFonts w:ascii="Calibri" w:hAnsi="Calibri"/>
                <w:color w:val="231F20"/>
                <w:sz w:val="16"/>
                <w:szCs w:val="16"/>
              </w:rPr>
            </w:pPr>
            <w:r w:rsidRPr="00336134">
              <w:rPr>
                <w:rFonts w:ascii="Calibri" w:hAnsi="Calibri"/>
                <w:color w:val="231F20"/>
                <w:sz w:val="16"/>
                <w:szCs w:val="16"/>
              </w:rPr>
              <w:t>19.70</w:t>
            </w:r>
          </w:p>
        </w:tc>
        <w:tc>
          <w:tcPr>
            <w:tcW w:w="0" w:type="auto"/>
            <w:tcBorders>
              <w:top w:val="nil"/>
              <w:left w:val="nil"/>
              <w:bottom w:val="single" w:sz="4" w:space="0" w:color="auto"/>
              <w:right w:val="single" w:sz="4" w:space="0" w:color="auto"/>
            </w:tcBorders>
            <w:shd w:val="clear" w:color="000000" w:fill="D1D3D4"/>
            <w:vAlign w:val="center"/>
            <w:hideMark/>
          </w:tcPr>
          <w:p w14:paraId="308F490C" w14:textId="77777777" w:rsidR="00002D76" w:rsidRPr="00336134" w:rsidRDefault="00002D76" w:rsidP="00D63204">
            <w:pPr>
              <w:spacing w:after="0" w:line="240" w:lineRule="auto"/>
              <w:rPr>
                <w:rFonts w:ascii="Calibri" w:hAnsi="Calibri"/>
                <w:color w:val="231F20"/>
                <w:sz w:val="16"/>
                <w:szCs w:val="16"/>
              </w:rPr>
            </w:pPr>
            <w:r w:rsidRPr="00336134">
              <w:rPr>
                <w:rFonts w:ascii="Calibri" w:hAnsi="Calibri"/>
                <w:color w:val="231F20"/>
                <w:sz w:val="16"/>
                <w:szCs w:val="16"/>
              </w:rPr>
              <w:t>43.75</w:t>
            </w:r>
          </w:p>
        </w:tc>
      </w:tr>
      <w:tr w:rsidR="00002D76" w:rsidRPr="00336134" w14:paraId="7E6BAFBF" w14:textId="77777777" w:rsidTr="001429C7">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AC3C877" w14:textId="77777777" w:rsidR="00002D76" w:rsidRPr="00336134" w:rsidRDefault="00002D76" w:rsidP="00D63204">
            <w:pPr>
              <w:spacing w:after="0" w:line="240" w:lineRule="auto"/>
              <w:rPr>
                <w:rFonts w:ascii="Calibri" w:hAnsi="Calibri"/>
                <w:color w:val="231F20"/>
                <w:sz w:val="16"/>
                <w:szCs w:val="16"/>
              </w:rPr>
            </w:pPr>
            <w:r w:rsidRPr="00336134">
              <w:rPr>
                <w:rFonts w:ascii="Calibri" w:hAnsi="Calibri"/>
                <w:color w:val="231F20"/>
                <w:sz w:val="16"/>
                <w:szCs w:val="16"/>
              </w:rPr>
              <w:t>11</w:t>
            </w:r>
          </w:p>
        </w:tc>
        <w:tc>
          <w:tcPr>
            <w:tcW w:w="0" w:type="auto"/>
            <w:tcBorders>
              <w:top w:val="nil"/>
              <w:left w:val="nil"/>
              <w:bottom w:val="single" w:sz="4" w:space="0" w:color="auto"/>
              <w:right w:val="single" w:sz="4" w:space="0" w:color="auto"/>
            </w:tcBorders>
            <w:shd w:val="clear" w:color="auto" w:fill="auto"/>
            <w:vAlign w:val="center"/>
            <w:hideMark/>
          </w:tcPr>
          <w:p w14:paraId="43EE7D35" w14:textId="77777777" w:rsidR="00002D76" w:rsidRPr="00336134" w:rsidRDefault="00002D76" w:rsidP="00D63204">
            <w:pPr>
              <w:spacing w:after="0" w:line="240" w:lineRule="auto"/>
              <w:rPr>
                <w:rFonts w:ascii="Calibri" w:hAnsi="Calibri"/>
                <w:color w:val="231F20"/>
                <w:sz w:val="16"/>
                <w:szCs w:val="16"/>
              </w:rPr>
            </w:pPr>
            <w:r w:rsidRPr="00336134">
              <w:rPr>
                <w:rFonts w:ascii="Calibri" w:hAnsi="Calibri"/>
                <w:color w:val="231F20"/>
                <w:sz w:val="16"/>
                <w:szCs w:val="16"/>
              </w:rPr>
              <w:t>472171</w:t>
            </w:r>
          </w:p>
        </w:tc>
        <w:tc>
          <w:tcPr>
            <w:tcW w:w="0" w:type="auto"/>
            <w:tcBorders>
              <w:top w:val="nil"/>
              <w:left w:val="nil"/>
              <w:bottom w:val="single" w:sz="4" w:space="0" w:color="auto"/>
              <w:right w:val="single" w:sz="4" w:space="0" w:color="auto"/>
            </w:tcBorders>
            <w:shd w:val="clear" w:color="auto" w:fill="auto"/>
            <w:vAlign w:val="center"/>
            <w:hideMark/>
          </w:tcPr>
          <w:p w14:paraId="2F463D63" w14:textId="77777777" w:rsidR="00002D76" w:rsidRPr="00336134" w:rsidRDefault="00002D76" w:rsidP="001429C7">
            <w:pPr>
              <w:spacing w:after="0" w:line="240" w:lineRule="auto"/>
              <w:rPr>
                <w:rFonts w:ascii="Calibri" w:hAnsi="Calibri"/>
                <w:color w:val="231F20"/>
                <w:sz w:val="16"/>
                <w:szCs w:val="16"/>
              </w:rPr>
            </w:pPr>
            <w:r w:rsidRPr="00336134">
              <w:rPr>
                <w:rFonts w:ascii="Calibri" w:hAnsi="Calibri"/>
                <w:color w:val="231F20"/>
                <w:sz w:val="16"/>
                <w:szCs w:val="16"/>
              </w:rPr>
              <w:t>Reinforcing Iron and Rebar Workers</w:t>
            </w:r>
          </w:p>
        </w:tc>
        <w:tc>
          <w:tcPr>
            <w:tcW w:w="0" w:type="auto"/>
            <w:tcBorders>
              <w:top w:val="nil"/>
              <w:left w:val="nil"/>
              <w:bottom w:val="single" w:sz="4" w:space="0" w:color="auto"/>
              <w:right w:val="single" w:sz="4" w:space="0" w:color="auto"/>
            </w:tcBorders>
            <w:shd w:val="clear" w:color="auto" w:fill="auto"/>
            <w:vAlign w:val="center"/>
            <w:hideMark/>
          </w:tcPr>
          <w:p w14:paraId="34ADBE5B" w14:textId="77777777" w:rsidR="00002D76" w:rsidRPr="00336134" w:rsidRDefault="00002D76" w:rsidP="00D63204">
            <w:pPr>
              <w:spacing w:after="0" w:line="240" w:lineRule="auto"/>
              <w:rPr>
                <w:rFonts w:ascii="Calibri" w:hAnsi="Calibri"/>
                <w:color w:val="231F20"/>
                <w:sz w:val="16"/>
                <w:szCs w:val="16"/>
              </w:rPr>
            </w:pPr>
            <w:r w:rsidRPr="00336134">
              <w:rPr>
                <w:rFonts w:ascii="Calibri" w:hAnsi="Calibri"/>
                <w:color w:val="231F20"/>
                <w:sz w:val="16"/>
                <w:szCs w:val="16"/>
              </w:rPr>
              <w:t>1009</w:t>
            </w:r>
          </w:p>
        </w:tc>
        <w:tc>
          <w:tcPr>
            <w:tcW w:w="0" w:type="auto"/>
            <w:tcBorders>
              <w:top w:val="nil"/>
              <w:left w:val="nil"/>
              <w:bottom w:val="single" w:sz="4" w:space="0" w:color="auto"/>
              <w:right w:val="single" w:sz="4" w:space="0" w:color="auto"/>
            </w:tcBorders>
            <w:shd w:val="clear" w:color="auto" w:fill="auto"/>
            <w:vAlign w:val="center"/>
            <w:hideMark/>
          </w:tcPr>
          <w:p w14:paraId="086C762A" w14:textId="77777777" w:rsidR="00002D76" w:rsidRPr="00336134" w:rsidRDefault="00002D76" w:rsidP="00D63204">
            <w:pPr>
              <w:spacing w:after="0" w:line="240" w:lineRule="auto"/>
              <w:rPr>
                <w:rFonts w:ascii="Calibri" w:hAnsi="Calibri"/>
                <w:color w:val="231F20"/>
                <w:sz w:val="16"/>
                <w:szCs w:val="16"/>
              </w:rPr>
            </w:pPr>
            <w:r w:rsidRPr="00336134">
              <w:rPr>
                <w:rFonts w:ascii="Calibri" w:hAnsi="Calibri"/>
                <w:color w:val="231F20"/>
                <w:sz w:val="16"/>
                <w:szCs w:val="16"/>
              </w:rPr>
              <w:t>1284</w:t>
            </w:r>
          </w:p>
        </w:tc>
        <w:tc>
          <w:tcPr>
            <w:tcW w:w="0" w:type="auto"/>
            <w:tcBorders>
              <w:top w:val="nil"/>
              <w:left w:val="nil"/>
              <w:bottom w:val="single" w:sz="4" w:space="0" w:color="auto"/>
              <w:right w:val="single" w:sz="4" w:space="0" w:color="auto"/>
            </w:tcBorders>
            <w:shd w:val="clear" w:color="auto" w:fill="auto"/>
            <w:vAlign w:val="center"/>
            <w:hideMark/>
          </w:tcPr>
          <w:p w14:paraId="43FDD936" w14:textId="77777777" w:rsidR="00002D76" w:rsidRPr="00336134" w:rsidRDefault="00002D76" w:rsidP="00D63204">
            <w:pPr>
              <w:spacing w:after="0" w:line="240" w:lineRule="auto"/>
              <w:rPr>
                <w:rFonts w:ascii="Calibri" w:hAnsi="Calibri"/>
                <w:color w:val="231F20"/>
                <w:sz w:val="16"/>
                <w:szCs w:val="16"/>
              </w:rPr>
            </w:pPr>
            <w:r w:rsidRPr="00336134">
              <w:rPr>
                <w:rFonts w:ascii="Calibri" w:hAnsi="Calibri"/>
                <w:color w:val="231F20"/>
                <w:sz w:val="16"/>
                <w:szCs w:val="16"/>
              </w:rPr>
              <w:t>275</w:t>
            </w:r>
          </w:p>
        </w:tc>
        <w:tc>
          <w:tcPr>
            <w:tcW w:w="0" w:type="auto"/>
            <w:tcBorders>
              <w:top w:val="nil"/>
              <w:left w:val="nil"/>
              <w:bottom w:val="single" w:sz="4" w:space="0" w:color="auto"/>
              <w:right w:val="single" w:sz="4" w:space="0" w:color="auto"/>
            </w:tcBorders>
            <w:shd w:val="clear" w:color="auto" w:fill="auto"/>
            <w:vAlign w:val="center"/>
            <w:hideMark/>
          </w:tcPr>
          <w:p w14:paraId="7C82D00B" w14:textId="77777777" w:rsidR="00002D76" w:rsidRPr="00336134" w:rsidRDefault="00002D76" w:rsidP="00D63204">
            <w:pPr>
              <w:spacing w:after="0" w:line="240" w:lineRule="auto"/>
              <w:rPr>
                <w:rFonts w:ascii="Calibri" w:hAnsi="Calibri"/>
                <w:color w:val="231F20"/>
                <w:sz w:val="16"/>
                <w:szCs w:val="16"/>
              </w:rPr>
            </w:pPr>
            <w:r w:rsidRPr="00336134">
              <w:rPr>
                <w:rFonts w:ascii="Calibri" w:hAnsi="Calibri"/>
                <w:color w:val="231F20"/>
                <w:sz w:val="16"/>
                <w:szCs w:val="16"/>
              </w:rPr>
              <w:t>27.3</w:t>
            </w:r>
          </w:p>
        </w:tc>
        <w:tc>
          <w:tcPr>
            <w:tcW w:w="0" w:type="auto"/>
            <w:tcBorders>
              <w:top w:val="nil"/>
              <w:left w:val="nil"/>
              <w:bottom w:val="single" w:sz="4" w:space="0" w:color="auto"/>
              <w:right w:val="single" w:sz="4" w:space="0" w:color="auto"/>
            </w:tcBorders>
            <w:shd w:val="clear" w:color="auto" w:fill="auto"/>
            <w:vAlign w:val="center"/>
            <w:hideMark/>
          </w:tcPr>
          <w:p w14:paraId="4174379F" w14:textId="77777777" w:rsidR="00002D76" w:rsidRPr="00336134" w:rsidRDefault="00002D76" w:rsidP="001429C7">
            <w:pPr>
              <w:spacing w:after="0" w:line="240" w:lineRule="auto"/>
              <w:rPr>
                <w:rFonts w:ascii="Calibri" w:hAnsi="Calibri"/>
                <w:color w:val="231F20"/>
                <w:sz w:val="16"/>
                <w:szCs w:val="16"/>
              </w:rPr>
            </w:pPr>
            <w:r w:rsidRPr="00336134">
              <w:rPr>
                <w:rFonts w:ascii="Calibri" w:hAnsi="Calibri"/>
                <w:color w:val="231F20"/>
                <w:sz w:val="16"/>
                <w:szCs w:val="16"/>
              </w:rPr>
              <w:t>Construction</w:t>
            </w:r>
          </w:p>
        </w:tc>
        <w:tc>
          <w:tcPr>
            <w:tcW w:w="0" w:type="auto"/>
            <w:tcBorders>
              <w:top w:val="nil"/>
              <w:left w:val="nil"/>
              <w:bottom w:val="single" w:sz="4" w:space="0" w:color="auto"/>
              <w:right w:val="single" w:sz="4" w:space="0" w:color="auto"/>
            </w:tcBorders>
            <w:shd w:val="clear" w:color="auto" w:fill="auto"/>
            <w:vAlign w:val="center"/>
            <w:hideMark/>
          </w:tcPr>
          <w:p w14:paraId="2286B1E5" w14:textId="77777777" w:rsidR="00002D76" w:rsidRPr="00336134" w:rsidRDefault="00002D76" w:rsidP="00D63204">
            <w:pPr>
              <w:spacing w:after="0" w:line="240" w:lineRule="auto"/>
              <w:rPr>
                <w:rFonts w:ascii="Calibri" w:hAnsi="Calibri"/>
                <w:color w:val="231F20"/>
                <w:sz w:val="16"/>
                <w:szCs w:val="16"/>
              </w:rPr>
            </w:pPr>
            <w:r w:rsidRPr="00336134">
              <w:rPr>
                <w:rFonts w:ascii="Calibri" w:hAnsi="Calibri"/>
                <w:color w:val="231F20"/>
                <w:sz w:val="16"/>
                <w:szCs w:val="16"/>
              </w:rPr>
              <w:t>18.06</w:t>
            </w:r>
          </w:p>
        </w:tc>
        <w:tc>
          <w:tcPr>
            <w:tcW w:w="0" w:type="auto"/>
            <w:tcBorders>
              <w:top w:val="nil"/>
              <w:left w:val="nil"/>
              <w:bottom w:val="single" w:sz="4" w:space="0" w:color="auto"/>
              <w:right w:val="single" w:sz="4" w:space="0" w:color="auto"/>
            </w:tcBorders>
            <w:shd w:val="clear" w:color="auto" w:fill="auto"/>
            <w:vAlign w:val="center"/>
            <w:hideMark/>
          </w:tcPr>
          <w:p w14:paraId="24635D95" w14:textId="77777777" w:rsidR="00002D76" w:rsidRPr="00336134" w:rsidRDefault="00002D76" w:rsidP="00D63204">
            <w:pPr>
              <w:spacing w:after="0" w:line="240" w:lineRule="auto"/>
              <w:rPr>
                <w:rFonts w:ascii="Calibri" w:hAnsi="Calibri"/>
                <w:color w:val="231F20"/>
                <w:sz w:val="16"/>
                <w:szCs w:val="16"/>
              </w:rPr>
            </w:pPr>
            <w:r w:rsidRPr="00336134">
              <w:rPr>
                <w:rFonts w:ascii="Calibri" w:hAnsi="Calibri"/>
                <w:color w:val="231F20"/>
                <w:sz w:val="16"/>
                <w:szCs w:val="16"/>
              </w:rPr>
              <w:t>14.22</w:t>
            </w:r>
          </w:p>
        </w:tc>
        <w:tc>
          <w:tcPr>
            <w:tcW w:w="0" w:type="auto"/>
            <w:tcBorders>
              <w:top w:val="nil"/>
              <w:left w:val="nil"/>
              <w:bottom w:val="single" w:sz="4" w:space="0" w:color="auto"/>
              <w:right w:val="single" w:sz="4" w:space="0" w:color="auto"/>
            </w:tcBorders>
            <w:shd w:val="clear" w:color="auto" w:fill="auto"/>
            <w:vAlign w:val="center"/>
            <w:hideMark/>
          </w:tcPr>
          <w:p w14:paraId="1309EA3C" w14:textId="77777777" w:rsidR="00002D76" w:rsidRPr="00336134" w:rsidRDefault="00002D76" w:rsidP="00D63204">
            <w:pPr>
              <w:spacing w:after="0" w:line="240" w:lineRule="auto"/>
              <w:rPr>
                <w:rFonts w:ascii="Calibri" w:hAnsi="Calibri"/>
                <w:color w:val="231F20"/>
                <w:sz w:val="16"/>
                <w:szCs w:val="16"/>
              </w:rPr>
            </w:pPr>
            <w:r w:rsidRPr="00336134">
              <w:rPr>
                <w:rFonts w:ascii="Calibri" w:hAnsi="Calibri"/>
                <w:color w:val="231F20"/>
                <w:sz w:val="16"/>
                <w:szCs w:val="16"/>
              </w:rPr>
              <w:t>22.15</w:t>
            </w:r>
          </w:p>
        </w:tc>
      </w:tr>
      <w:tr w:rsidR="00002D76" w:rsidRPr="00336134" w14:paraId="778135B1" w14:textId="77777777" w:rsidTr="001429C7">
        <w:trPr>
          <w:trHeight w:val="300"/>
        </w:trPr>
        <w:tc>
          <w:tcPr>
            <w:tcW w:w="0" w:type="auto"/>
            <w:tcBorders>
              <w:top w:val="nil"/>
              <w:left w:val="single" w:sz="4" w:space="0" w:color="auto"/>
              <w:bottom w:val="single" w:sz="4" w:space="0" w:color="auto"/>
              <w:right w:val="single" w:sz="4" w:space="0" w:color="auto"/>
            </w:tcBorders>
            <w:shd w:val="clear" w:color="000000" w:fill="D1D3D4"/>
            <w:vAlign w:val="center"/>
            <w:hideMark/>
          </w:tcPr>
          <w:p w14:paraId="04423C2F" w14:textId="77777777" w:rsidR="00002D76" w:rsidRPr="00336134" w:rsidRDefault="00002D76" w:rsidP="00D63204">
            <w:pPr>
              <w:spacing w:after="0" w:line="240" w:lineRule="auto"/>
              <w:rPr>
                <w:rFonts w:ascii="Calibri" w:hAnsi="Calibri"/>
                <w:color w:val="231F20"/>
                <w:sz w:val="16"/>
                <w:szCs w:val="16"/>
              </w:rPr>
            </w:pPr>
            <w:r w:rsidRPr="00336134">
              <w:rPr>
                <w:rFonts w:ascii="Calibri" w:hAnsi="Calibri"/>
                <w:color w:val="231F20"/>
                <w:sz w:val="16"/>
                <w:szCs w:val="16"/>
              </w:rPr>
              <w:t>12</w:t>
            </w:r>
          </w:p>
        </w:tc>
        <w:tc>
          <w:tcPr>
            <w:tcW w:w="0" w:type="auto"/>
            <w:tcBorders>
              <w:top w:val="nil"/>
              <w:left w:val="nil"/>
              <w:bottom w:val="single" w:sz="4" w:space="0" w:color="auto"/>
              <w:right w:val="single" w:sz="4" w:space="0" w:color="auto"/>
            </w:tcBorders>
            <w:shd w:val="clear" w:color="000000" w:fill="D1D3D4"/>
            <w:vAlign w:val="center"/>
            <w:hideMark/>
          </w:tcPr>
          <w:p w14:paraId="7C0B8C0C" w14:textId="77777777" w:rsidR="00002D76" w:rsidRPr="00336134" w:rsidRDefault="00002D76" w:rsidP="00D63204">
            <w:pPr>
              <w:spacing w:after="0" w:line="240" w:lineRule="auto"/>
              <w:rPr>
                <w:rFonts w:ascii="Calibri" w:hAnsi="Calibri"/>
                <w:color w:val="231F20"/>
                <w:sz w:val="16"/>
                <w:szCs w:val="16"/>
              </w:rPr>
            </w:pPr>
            <w:r w:rsidRPr="00336134">
              <w:rPr>
                <w:rFonts w:ascii="Calibri" w:hAnsi="Calibri"/>
                <w:color w:val="231F20"/>
                <w:sz w:val="16"/>
                <w:szCs w:val="16"/>
              </w:rPr>
              <w:t>312022</w:t>
            </w:r>
          </w:p>
        </w:tc>
        <w:tc>
          <w:tcPr>
            <w:tcW w:w="0" w:type="auto"/>
            <w:tcBorders>
              <w:top w:val="nil"/>
              <w:left w:val="nil"/>
              <w:bottom w:val="single" w:sz="4" w:space="0" w:color="auto"/>
              <w:right w:val="single" w:sz="4" w:space="0" w:color="auto"/>
            </w:tcBorders>
            <w:shd w:val="clear" w:color="000000" w:fill="D1D3D4"/>
            <w:vAlign w:val="center"/>
            <w:hideMark/>
          </w:tcPr>
          <w:p w14:paraId="6208924E" w14:textId="77777777" w:rsidR="00002D76" w:rsidRPr="00336134" w:rsidRDefault="00002D76" w:rsidP="001429C7">
            <w:pPr>
              <w:spacing w:after="0" w:line="240" w:lineRule="auto"/>
              <w:rPr>
                <w:rFonts w:ascii="Calibri" w:hAnsi="Calibri"/>
                <w:color w:val="231F20"/>
                <w:sz w:val="16"/>
                <w:szCs w:val="16"/>
              </w:rPr>
            </w:pPr>
            <w:r w:rsidRPr="00336134">
              <w:rPr>
                <w:rFonts w:ascii="Calibri" w:hAnsi="Calibri"/>
                <w:color w:val="231F20"/>
                <w:sz w:val="16"/>
                <w:szCs w:val="16"/>
              </w:rPr>
              <w:t>Physical Therapist Aides</w:t>
            </w:r>
          </w:p>
        </w:tc>
        <w:tc>
          <w:tcPr>
            <w:tcW w:w="0" w:type="auto"/>
            <w:tcBorders>
              <w:top w:val="nil"/>
              <w:left w:val="nil"/>
              <w:bottom w:val="single" w:sz="4" w:space="0" w:color="auto"/>
              <w:right w:val="single" w:sz="4" w:space="0" w:color="auto"/>
            </w:tcBorders>
            <w:shd w:val="clear" w:color="000000" w:fill="D1D3D4"/>
            <w:vAlign w:val="center"/>
            <w:hideMark/>
          </w:tcPr>
          <w:p w14:paraId="7DE1B48A" w14:textId="77777777" w:rsidR="00002D76" w:rsidRPr="00336134" w:rsidRDefault="00002D76" w:rsidP="00D63204">
            <w:pPr>
              <w:spacing w:after="0" w:line="240" w:lineRule="auto"/>
              <w:rPr>
                <w:rFonts w:ascii="Calibri" w:hAnsi="Calibri"/>
                <w:color w:val="231F20"/>
                <w:sz w:val="16"/>
                <w:szCs w:val="16"/>
              </w:rPr>
            </w:pPr>
            <w:r w:rsidRPr="00336134">
              <w:rPr>
                <w:rFonts w:ascii="Calibri" w:hAnsi="Calibri"/>
                <w:color w:val="231F20"/>
                <w:sz w:val="16"/>
                <w:szCs w:val="16"/>
              </w:rPr>
              <w:t>2,640</w:t>
            </w:r>
          </w:p>
        </w:tc>
        <w:tc>
          <w:tcPr>
            <w:tcW w:w="0" w:type="auto"/>
            <w:tcBorders>
              <w:top w:val="nil"/>
              <w:left w:val="nil"/>
              <w:bottom w:val="single" w:sz="4" w:space="0" w:color="auto"/>
              <w:right w:val="single" w:sz="4" w:space="0" w:color="auto"/>
            </w:tcBorders>
            <w:shd w:val="clear" w:color="000000" w:fill="D1D3D4"/>
            <w:vAlign w:val="center"/>
            <w:hideMark/>
          </w:tcPr>
          <w:p w14:paraId="56D81C26" w14:textId="77777777" w:rsidR="00002D76" w:rsidRPr="00336134" w:rsidRDefault="00002D76" w:rsidP="00D63204">
            <w:pPr>
              <w:spacing w:after="0" w:line="240" w:lineRule="auto"/>
              <w:rPr>
                <w:rFonts w:ascii="Calibri" w:hAnsi="Calibri"/>
                <w:color w:val="231F20"/>
                <w:sz w:val="16"/>
                <w:szCs w:val="16"/>
              </w:rPr>
            </w:pPr>
            <w:r w:rsidRPr="00336134">
              <w:rPr>
                <w:rFonts w:ascii="Calibri" w:hAnsi="Calibri"/>
                <w:color w:val="231F20"/>
                <w:sz w:val="16"/>
                <w:szCs w:val="16"/>
              </w:rPr>
              <w:t>3,352</w:t>
            </w:r>
          </w:p>
        </w:tc>
        <w:tc>
          <w:tcPr>
            <w:tcW w:w="0" w:type="auto"/>
            <w:tcBorders>
              <w:top w:val="nil"/>
              <w:left w:val="nil"/>
              <w:bottom w:val="single" w:sz="4" w:space="0" w:color="auto"/>
              <w:right w:val="single" w:sz="4" w:space="0" w:color="auto"/>
            </w:tcBorders>
            <w:shd w:val="clear" w:color="000000" w:fill="D1D3D4"/>
            <w:vAlign w:val="center"/>
            <w:hideMark/>
          </w:tcPr>
          <w:p w14:paraId="3BBCCE1F" w14:textId="77777777" w:rsidR="00002D76" w:rsidRPr="00336134" w:rsidRDefault="00002D76" w:rsidP="00D63204">
            <w:pPr>
              <w:spacing w:after="0" w:line="240" w:lineRule="auto"/>
              <w:rPr>
                <w:rFonts w:ascii="Calibri" w:hAnsi="Calibri"/>
                <w:color w:val="231F20"/>
                <w:sz w:val="16"/>
                <w:szCs w:val="16"/>
              </w:rPr>
            </w:pPr>
            <w:r w:rsidRPr="00336134">
              <w:rPr>
                <w:rFonts w:ascii="Calibri" w:hAnsi="Calibri"/>
                <w:color w:val="231F20"/>
                <w:sz w:val="16"/>
                <w:szCs w:val="16"/>
              </w:rPr>
              <w:t>712</w:t>
            </w:r>
          </w:p>
        </w:tc>
        <w:tc>
          <w:tcPr>
            <w:tcW w:w="0" w:type="auto"/>
            <w:tcBorders>
              <w:top w:val="nil"/>
              <w:left w:val="nil"/>
              <w:bottom w:val="single" w:sz="4" w:space="0" w:color="auto"/>
              <w:right w:val="single" w:sz="4" w:space="0" w:color="auto"/>
            </w:tcBorders>
            <w:shd w:val="clear" w:color="000000" w:fill="D1D3D4"/>
            <w:vAlign w:val="center"/>
            <w:hideMark/>
          </w:tcPr>
          <w:p w14:paraId="553C5FD1" w14:textId="77777777" w:rsidR="00002D76" w:rsidRPr="00336134" w:rsidRDefault="00002D76" w:rsidP="00D63204">
            <w:pPr>
              <w:spacing w:after="0" w:line="240" w:lineRule="auto"/>
              <w:rPr>
                <w:rFonts w:ascii="Calibri" w:hAnsi="Calibri"/>
                <w:color w:val="231F20"/>
                <w:sz w:val="16"/>
                <w:szCs w:val="16"/>
              </w:rPr>
            </w:pPr>
            <w:r w:rsidRPr="00336134">
              <w:rPr>
                <w:rFonts w:ascii="Calibri" w:hAnsi="Calibri"/>
                <w:color w:val="231F20"/>
                <w:sz w:val="16"/>
                <w:szCs w:val="16"/>
              </w:rPr>
              <w:t>27.0</w:t>
            </w:r>
          </w:p>
        </w:tc>
        <w:tc>
          <w:tcPr>
            <w:tcW w:w="0" w:type="auto"/>
            <w:tcBorders>
              <w:top w:val="nil"/>
              <w:left w:val="nil"/>
              <w:bottom w:val="single" w:sz="4" w:space="0" w:color="auto"/>
              <w:right w:val="single" w:sz="4" w:space="0" w:color="auto"/>
            </w:tcBorders>
            <w:shd w:val="clear" w:color="000000" w:fill="D1D3D4"/>
            <w:vAlign w:val="center"/>
            <w:hideMark/>
          </w:tcPr>
          <w:p w14:paraId="0834A5A1" w14:textId="77777777" w:rsidR="00002D76" w:rsidRPr="00336134" w:rsidRDefault="00002D76" w:rsidP="001429C7">
            <w:pPr>
              <w:spacing w:after="0" w:line="240" w:lineRule="auto"/>
              <w:rPr>
                <w:rFonts w:ascii="Calibri" w:hAnsi="Calibri"/>
                <w:color w:val="231F20"/>
                <w:sz w:val="16"/>
                <w:szCs w:val="16"/>
              </w:rPr>
            </w:pPr>
            <w:r w:rsidRPr="00336134">
              <w:rPr>
                <w:rFonts w:ascii="Calibri" w:hAnsi="Calibri"/>
                <w:color w:val="231F20"/>
                <w:sz w:val="16"/>
                <w:szCs w:val="16"/>
              </w:rPr>
              <w:t>Healthcare</w:t>
            </w:r>
          </w:p>
        </w:tc>
        <w:tc>
          <w:tcPr>
            <w:tcW w:w="0" w:type="auto"/>
            <w:tcBorders>
              <w:top w:val="nil"/>
              <w:left w:val="nil"/>
              <w:bottom w:val="single" w:sz="4" w:space="0" w:color="auto"/>
              <w:right w:val="single" w:sz="4" w:space="0" w:color="auto"/>
            </w:tcBorders>
            <w:shd w:val="clear" w:color="000000" w:fill="D1D3D4"/>
            <w:vAlign w:val="center"/>
            <w:hideMark/>
          </w:tcPr>
          <w:p w14:paraId="66C2B6A7" w14:textId="77777777" w:rsidR="00002D76" w:rsidRPr="00336134" w:rsidRDefault="00002D76" w:rsidP="00D63204">
            <w:pPr>
              <w:spacing w:after="0" w:line="240" w:lineRule="auto"/>
              <w:rPr>
                <w:rFonts w:ascii="Calibri" w:hAnsi="Calibri"/>
                <w:color w:val="231F20"/>
                <w:sz w:val="16"/>
                <w:szCs w:val="16"/>
              </w:rPr>
            </w:pPr>
            <w:r w:rsidRPr="00336134">
              <w:rPr>
                <w:rFonts w:ascii="Calibri" w:hAnsi="Calibri"/>
                <w:color w:val="231F20"/>
                <w:sz w:val="16"/>
                <w:szCs w:val="16"/>
              </w:rPr>
              <w:t>12.57</w:t>
            </w:r>
          </w:p>
        </w:tc>
        <w:tc>
          <w:tcPr>
            <w:tcW w:w="0" w:type="auto"/>
            <w:tcBorders>
              <w:top w:val="nil"/>
              <w:left w:val="nil"/>
              <w:bottom w:val="single" w:sz="4" w:space="0" w:color="auto"/>
              <w:right w:val="single" w:sz="4" w:space="0" w:color="auto"/>
            </w:tcBorders>
            <w:shd w:val="clear" w:color="000000" w:fill="D1D3D4"/>
            <w:vAlign w:val="center"/>
            <w:hideMark/>
          </w:tcPr>
          <w:p w14:paraId="56E6021A" w14:textId="77777777" w:rsidR="00002D76" w:rsidRPr="00336134" w:rsidRDefault="00002D76" w:rsidP="00D63204">
            <w:pPr>
              <w:spacing w:after="0" w:line="240" w:lineRule="auto"/>
              <w:rPr>
                <w:rFonts w:ascii="Calibri" w:hAnsi="Calibri"/>
                <w:color w:val="231F20"/>
                <w:sz w:val="16"/>
                <w:szCs w:val="16"/>
              </w:rPr>
            </w:pPr>
            <w:r w:rsidRPr="00336134">
              <w:rPr>
                <w:rFonts w:ascii="Calibri" w:hAnsi="Calibri"/>
                <w:color w:val="231F20"/>
                <w:sz w:val="16"/>
                <w:szCs w:val="16"/>
              </w:rPr>
              <w:t>10.76</w:t>
            </w:r>
          </w:p>
        </w:tc>
        <w:tc>
          <w:tcPr>
            <w:tcW w:w="0" w:type="auto"/>
            <w:tcBorders>
              <w:top w:val="nil"/>
              <w:left w:val="nil"/>
              <w:bottom w:val="single" w:sz="4" w:space="0" w:color="auto"/>
              <w:right w:val="single" w:sz="4" w:space="0" w:color="auto"/>
            </w:tcBorders>
            <w:shd w:val="clear" w:color="000000" w:fill="D1D3D4"/>
            <w:vAlign w:val="center"/>
            <w:hideMark/>
          </w:tcPr>
          <w:p w14:paraId="50EB8CB1" w14:textId="77777777" w:rsidR="00002D76" w:rsidRPr="00336134" w:rsidRDefault="00002D76" w:rsidP="00D63204">
            <w:pPr>
              <w:spacing w:after="0" w:line="240" w:lineRule="auto"/>
              <w:rPr>
                <w:rFonts w:ascii="Calibri" w:hAnsi="Calibri"/>
                <w:color w:val="231F20"/>
                <w:sz w:val="16"/>
                <w:szCs w:val="16"/>
              </w:rPr>
            </w:pPr>
            <w:r w:rsidRPr="00336134">
              <w:rPr>
                <w:rFonts w:ascii="Calibri" w:hAnsi="Calibri"/>
                <w:color w:val="231F20"/>
                <w:sz w:val="16"/>
                <w:szCs w:val="16"/>
              </w:rPr>
              <w:t>13.89</w:t>
            </w:r>
          </w:p>
        </w:tc>
      </w:tr>
      <w:tr w:rsidR="00002D76" w:rsidRPr="00336134" w14:paraId="3EDEFA92" w14:textId="77777777" w:rsidTr="001429C7">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2F5CDE0" w14:textId="77777777" w:rsidR="00002D76" w:rsidRPr="00336134" w:rsidRDefault="00002D76" w:rsidP="00D63204">
            <w:pPr>
              <w:spacing w:after="0" w:line="240" w:lineRule="auto"/>
              <w:rPr>
                <w:rFonts w:ascii="Calibri" w:hAnsi="Calibri"/>
                <w:color w:val="231F20"/>
                <w:sz w:val="16"/>
                <w:szCs w:val="16"/>
              </w:rPr>
            </w:pPr>
            <w:r w:rsidRPr="00336134">
              <w:rPr>
                <w:rFonts w:ascii="Calibri" w:hAnsi="Calibri"/>
                <w:color w:val="231F20"/>
                <w:sz w:val="16"/>
                <w:szCs w:val="16"/>
              </w:rPr>
              <w:t>13</w:t>
            </w:r>
          </w:p>
        </w:tc>
        <w:tc>
          <w:tcPr>
            <w:tcW w:w="0" w:type="auto"/>
            <w:tcBorders>
              <w:top w:val="nil"/>
              <w:left w:val="nil"/>
              <w:bottom w:val="single" w:sz="4" w:space="0" w:color="auto"/>
              <w:right w:val="single" w:sz="4" w:space="0" w:color="auto"/>
            </w:tcBorders>
            <w:shd w:val="clear" w:color="auto" w:fill="auto"/>
            <w:vAlign w:val="center"/>
            <w:hideMark/>
          </w:tcPr>
          <w:p w14:paraId="1AE7C68C" w14:textId="77777777" w:rsidR="00002D76" w:rsidRPr="00336134" w:rsidRDefault="00002D76" w:rsidP="00D63204">
            <w:pPr>
              <w:spacing w:after="0" w:line="240" w:lineRule="auto"/>
              <w:rPr>
                <w:rFonts w:ascii="Calibri" w:hAnsi="Calibri"/>
                <w:color w:val="231F20"/>
                <w:sz w:val="16"/>
                <w:szCs w:val="16"/>
              </w:rPr>
            </w:pPr>
            <w:r w:rsidRPr="00336134">
              <w:rPr>
                <w:rFonts w:ascii="Calibri" w:hAnsi="Calibri"/>
                <w:color w:val="231F20"/>
                <w:sz w:val="16"/>
                <w:szCs w:val="16"/>
              </w:rPr>
              <w:t>273091</w:t>
            </w:r>
          </w:p>
        </w:tc>
        <w:tc>
          <w:tcPr>
            <w:tcW w:w="0" w:type="auto"/>
            <w:tcBorders>
              <w:top w:val="nil"/>
              <w:left w:val="nil"/>
              <w:bottom w:val="single" w:sz="4" w:space="0" w:color="auto"/>
              <w:right w:val="single" w:sz="4" w:space="0" w:color="auto"/>
            </w:tcBorders>
            <w:shd w:val="clear" w:color="auto" w:fill="auto"/>
            <w:vAlign w:val="center"/>
            <w:hideMark/>
          </w:tcPr>
          <w:p w14:paraId="48B896DD" w14:textId="77777777" w:rsidR="00002D76" w:rsidRPr="00336134" w:rsidRDefault="00002D76" w:rsidP="001429C7">
            <w:pPr>
              <w:spacing w:after="0" w:line="240" w:lineRule="auto"/>
              <w:rPr>
                <w:rFonts w:ascii="Calibri" w:hAnsi="Calibri"/>
                <w:color w:val="231F20"/>
                <w:sz w:val="16"/>
                <w:szCs w:val="16"/>
              </w:rPr>
            </w:pPr>
            <w:r w:rsidRPr="00336134">
              <w:rPr>
                <w:rFonts w:ascii="Calibri" w:hAnsi="Calibri"/>
                <w:color w:val="231F20"/>
                <w:sz w:val="16"/>
                <w:szCs w:val="16"/>
              </w:rPr>
              <w:t>Interpreters and Translators</w:t>
            </w:r>
          </w:p>
        </w:tc>
        <w:tc>
          <w:tcPr>
            <w:tcW w:w="0" w:type="auto"/>
            <w:tcBorders>
              <w:top w:val="nil"/>
              <w:left w:val="nil"/>
              <w:bottom w:val="single" w:sz="4" w:space="0" w:color="auto"/>
              <w:right w:val="single" w:sz="4" w:space="0" w:color="auto"/>
            </w:tcBorders>
            <w:shd w:val="clear" w:color="auto" w:fill="auto"/>
            <w:vAlign w:val="center"/>
            <w:hideMark/>
          </w:tcPr>
          <w:p w14:paraId="6C808A5A" w14:textId="77777777" w:rsidR="00002D76" w:rsidRPr="00336134" w:rsidRDefault="00002D76" w:rsidP="00D63204">
            <w:pPr>
              <w:spacing w:after="0" w:line="240" w:lineRule="auto"/>
              <w:rPr>
                <w:rFonts w:ascii="Calibri" w:hAnsi="Calibri"/>
                <w:color w:val="231F20"/>
                <w:sz w:val="16"/>
                <w:szCs w:val="16"/>
              </w:rPr>
            </w:pPr>
            <w:r w:rsidRPr="00336134">
              <w:rPr>
                <w:rFonts w:ascii="Calibri" w:hAnsi="Calibri"/>
                <w:color w:val="231F20"/>
                <w:sz w:val="16"/>
                <w:szCs w:val="16"/>
              </w:rPr>
              <w:t>2,978</w:t>
            </w:r>
          </w:p>
        </w:tc>
        <w:tc>
          <w:tcPr>
            <w:tcW w:w="0" w:type="auto"/>
            <w:tcBorders>
              <w:top w:val="nil"/>
              <w:left w:val="nil"/>
              <w:bottom w:val="single" w:sz="4" w:space="0" w:color="auto"/>
              <w:right w:val="single" w:sz="4" w:space="0" w:color="auto"/>
            </w:tcBorders>
            <w:shd w:val="clear" w:color="auto" w:fill="auto"/>
            <w:vAlign w:val="center"/>
            <w:hideMark/>
          </w:tcPr>
          <w:p w14:paraId="1A489862" w14:textId="77777777" w:rsidR="00002D76" w:rsidRPr="00336134" w:rsidRDefault="00002D76" w:rsidP="00D63204">
            <w:pPr>
              <w:spacing w:after="0" w:line="240" w:lineRule="auto"/>
              <w:rPr>
                <w:rFonts w:ascii="Calibri" w:hAnsi="Calibri"/>
                <w:color w:val="231F20"/>
                <w:sz w:val="16"/>
                <w:szCs w:val="16"/>
              </w:rPr>
            </w:pPr>
            <w:r w:rsidRPr="00336134">
              <w:rPr>
                <w:rFonts w:ascii="Calibri" w:hAnsi="Calibri"/>
                <w:color w:val="231F20"/>
                <w:sz w:val="16"/>
                <w:szCs w:val="16"/>
              </w:rPr>
              <w:t>3,766</w:t>
            </w:r>
          </w:p>
        </w:tc>
        <w:tc>
          <w:tcPr>
            <w:tcW w:w="0" w:type="auto"/>
            <w:tcBorders>
              <w:top w:val="nil"/>
              <w:left w:val="nil"/>
              <w:bottom w:val="single" w:sz="4" w:space="0" w:color="auto"/>
              <w:right w:val="single" w:sz="4" w:space="0" w:color="auto"/>
            </w:tcBorders>
            <w:shd w:val="clear" w:color="auto" w:fill="auto"/>
            <w:vAlign w:val="center"/>
            <w:hideMark/>
          </w:tcPr>
          <w:p w14:paraId="6E0A9A7A" w14:textId="77777777" w:rsidR="00002D76" w:rsidRPr="00336134" w:rsidRDefault="00002D76" w:rsidP="00D63204">
            <w:pPr>
              <w:spacing w:after="0" w:line="240" w:lineRule="auto"/>
              <w:rPr>
                <w:rFonts w:ascii="Calibri" w:hAnsi="Calibri"/>
                <w:color w:val="231F20"/>
                <w:sz w:val="16"/>
                <w:szCs w:val="16"/>
              </w:rPr>
            </w:pPr>
            <w:r w:rsidRPr="00336134">
              <w:rPr>
                <w:rFonts w:ascii="Calibri" w:hAnsi="Calibri"/>
                <w:color w:val="231F20"/>
                <w:sz w:val="16"/>
                <w:szCs w:val="16"/>
              </w:rPr>
              <w:t>788</w:t>
            </w:r>
          </w:p>
        </w:tc>
        <w:tc>
          <w:tcPr>
            <w:tcW w:w="0" w:type="auto"/>
            <w:tcBorders>
              <w:top w:val="nil"/>
              <w:left w:val="nil"/>
              <w:bottom w:val="single" w:sz="4" w:space="0" w:color="auto"/>
              <w:right w:val="single" w:sz="4" w:space="0" w:color="auto"/>
            </w:tcBorders>
            <w:shd w:val="clear" w:color="auto" w:fill="auto"/>
            <w:vAlign w:val="center"/>
            <w:hideMark/>
          </w:tcPr>
          <w:p w14:paraId="27D520F9" w14:textId="77777777" w:rsidR="00002D76" w:rsidRPr="00336134" w:rsidRDefault="00002D76" w:rsidP="00D63204">
            <w:pPr>
              <w:spacing w:after="0" w:line="240" w:lineRule="auto"/>
              <w:rPr>
                <w:rFonts w:ascii="Calibri" w:hAnsi="Calibri"/>
                <w:color w:val="231F20"/>
                <w:sz w:val="16"/>
                <w:szCs w:val="16"/>
              </w:rPr>
            </w:pPr>
            <w:r w:rsidRPr="00336134">
              <w:rPr>
                <w:rFonts w:ascii="Calibri" w:hAnsi="Calibri"/>
                <w:color w:val="231F20"/>
                <w:sz w:val="16"/>
                <w:szCs w:val="16"/>
              </w:rPr>
              <w:t>26.5</w:t>
            </w:r>
          </w:p>
        </w:tc>
        <w:tc>
          <w:tcPr>
            <w:tcW w:w="0" w:type="auto"/>
            <w:tcBorders>
              <w:top w:val="nil"/>
              <w:left w:val="nil"/>
              <w:bottom w:val="single" w:sz="4" w:space="0" w:color="auto"/>
              <w:right w:val="single" w:sz="4" w:space="0" w:color="auto"/>
            </w:tcBorders>
            <w:shd w:val="clear" w:color="auto" w:fill="auto"/>
            <w:vAlign w:val="center"/>
            <w:hideMark/>
          </w:tcPr>
          <w:p w14:paraId="365EC49A" w14:textId="77777777" w:rsidR="00002D76" w:rsidRPr="00336134" w:rsidRDefault="00002D76" w:rsidP="001429C7">
            <w:pPr>
              <w:spacing w:after="0" w:line="240" w:lineRule="auto"/>
              <w:rPr>
                <w:rFonts w:ascii="Calibri" w:hAnsi="Calibri"/>
                <w:color w:val="231F20"/>
                <w:sz w:val="16"/>
                <w:szCs w:val="16"/>
              </w:rPr>
            </w:pPr>
            <w:r w:rsidRPr="00336134">
              <w:rPr>
                <w:rFonts w:ascii="Calibri" w:hAnsi="Calibri"/>
                <w:color w:val="231F20"/>
                <w:sz w:val="16"/>
                <w:szCs w:val="16"/>
              </w:rPr>
              <w:t>Professional Services</w:t>
            </w:r>
          </w:p>
        </w:tc>
        <w:tc>
          <w:tcPr>
            <w:tcW w:w="0" w:type="auto"/>
            <w:tcBorders>
              <w:top w:val="nil"/>
              <w:left w:val="nil"/>
              <w:bottom w:val="single" w:sz="4" w:space="0" w:color="auto"/>
              <w:right w:val="single" w:sz="4" w:space="0" w:color="auto"/>
            </w:tcBorders>
            <w:shd w:val="clear" w:color="auto" w:fill="auto"/>
            <w:vAlign w:val="center"/>
            <w:hideMark/>
          </w:tcPr>
          <w:p w14:paraId="6CA9211C" w14:textId="77777777" w:rsidR="00002D76" w:rsidRPr="00336134" w:rsidRDefault="00002D76" w:rsidP="00D63204">
            <w:pPr>
              <w:spacing w:after="0" w:line="240" w:lineRule="auto"/>
              <w:rPr>
                <w:rFonts w:ascii="Calibri" w:hAnsi="Calibri"/>
                <w:color w:val="231F20"/>
                <w:sz w:val="16"/>
                <w:szCs w:val="16"/>
              </w:rPr>
            </w:pPr>
            <w:r w:rsidRPr="00336134">
              <w:rPr>
                <w:rFonts w:ascii="Calibri" w:hAnsi="Calibri"/>
                <w:color w:val="231F20"/>
                <w:sz w:val="16"/>
                <w:szCs w:val="16"/>
              </w:rPr>
              <w:t>17.23</w:t>
            </w:r>
          </w:p>
        </w:tc>
        <w:tc>
          <w:tcPr>
            <w:tcW w:w="0" w:type="auto"/>
            <w:tcBorders>
              <w:top w:val="nil"/>
              <w:left w:val="nil"/>
              <w:bottom w:val="single" w:sz="4" w:space="0" w:color="auto"/>
              <w:right w:val="single" w:sz="4" w:space="0" w:color="auto"/>
            </w:tcBorders>
            <w:shd w:val="clear" w:color="auto" w:fill="auto"/>
            <w:vAlign w:val="center"/>
            <w:hideMark/>
          </w:tcPr>
          <w:p w14:paraId="2F680EDB" w14:textId="77777777" w:rsidR="00002D76" w:rsidRPr="00336134" w:rsidRDefault="00002D76" w:rsidP="00D63204">
            <w:pPr>
              <w:spacing w:after="0" w:line="240" w:lineRule="auto"/>
              <w:rPr>
                <w:rFonts w:ascii="Calibri" w:hAnsi="Calibri"/>
                <w:color w:val="231F20"/>
                <w:sz w:val="16"/>
                <w:szCs w:val="16"/>
              </w:rPr>
            </w:pPr>
            <w:r w:rsidRPr="00336134">
              <w:rPr>
                <w:rFonts w:ascii="Calibri" w:hAnsi="Calibri"/>
                <w:color w:val="231F20"/>
                <w:sz w:val="16"/>
                <w:szCs w:val="16"/>
              </w:rPr>
              <w:t>9.61</w:t>
            </w:r>
          </w:p>
        </w:tc>
        <w:tc>
          <w:tcPr>
            <w:tcW w:w="0" w:type="auto"/>
            <w:tcBorders>
              <w:top w:val="nil"/>
              <w:left w:val="nil"/>
              <w:bottom w:val="single" w:sz="4" w:space="0" w:color="auto"/>
              <w:right w:val="single" w:sz="4" w:space="0" w:color="auto"/>
            </w:tcBorders>
            <w:shd w:val="clear" w:color="auto" w:fill="auto"/>
            <w:vAlign w:val="center"/>
            <w:hideMark/>
          </w:tcPr>
          <w:p w14:paraId="460EBFC0" w14:textId="77777777" w:rsidR="00002D76" w:rsidRPr="00336134" w:rsidRDefault="00002D76" w:rsidP="00D63204">
            <w:pPr>
              <w:spacing w:after="0" w:line="240" w:lineRule="auto"/>
              <w:rPr>
                <w:rFonts w:ascii="Calibri" w:hAnsi="Calibri"/>
                <w:color w:val="231F20"/>
                <w:sz w:val="16"/>
                <w:szCs w:val="16"/>
              </w:rPr>
            </w:pPr>
            <w:r w:rsidRPr="00336134">
              <w:rPr>
                <w:rFonts w:ascii="Calibri" w:hAnsi="Calibri"/>
                <w:color w:val="231F20"/>
                <w:sz w:val="16"/>
                <w:szCs w:val="16"/>
              </w:rPr>
              <w:t>26.27</w:t>
            </w:r>
          </w:p>
        </w:tc>
      </w:tr>
      <w:tr w:rsidR="00002D76" w:rsidRPr="00336134" w14:paraId="4492BFCB" w14:textId="77777777" w:rsidTr="001429C7">
        <w:trPr>
          <w:trHeight w:val="300"/>
        </w:trPr>
        <w:tc>
          <w:tcPr>
            <w:tcW w:w="0" w:type="auto"/>
            <w:tcBorders>
              <w:top w:val="nil"/>
              <w:left w:val="single" w:sz="4" w:space="0" w:color="auto"/>
              <w:bottom w:val="single" w:sz="4" w:space="0" w:color="auto"/>
              <w:right w:val="single" w:sz="4" w:space="0" w:color="auto"/>
            </w:tcBorders>
            <w:shd w:val="clear" w:color="000000" w:fill="D1D3D4"/>
            <w:vAlign w:val="center"/>
            <w:hideMark/>
          </w:tcPr>
          <w:p w14:paraId="0B3F9A5E" w14:textId="77777777" w:rsidR="00002D76" w:rsidRPr="00336134" w:rsidRDefault="00002D76" w:rsidP="00D63204">
            <w:pPr>
              <w:spacing w:after="0" w:line="240" w:lineRule="auto"/>
              <w:rPr>
                <w:rFonts w:ascii="Calibri" w:hAnsi="Calibri"/>
                <w:color w:val="231F20"/>
                <w:sz w:val="16"/>
                <w:szCs w:val="16"/>
              </w:rPr>
            </w:pPr>
            <w:r w:rsidRPr="00336134">
              <w:rPr>
                <w:rFonts w:ascii="Calibri" w:hAnsi="Calibri"/>
                <w:color w:val="231F20"/>
                <w:sz w:val="16"/>
                <w:szCs w:val="16"/>
              </w:rPr>
              <w:t>14</w:t>
            </w:r>
          </w:p>
        </w:tc>
        <w:tc>
          <w:tcPr>
            <w:tcW w:w="0" w:type="auto"/>
            <w:tcBorders>
              <w:top w:val="nil"/>
              <w:left w:val="nil"/>
              <w:bottom w:val="single" w:sz="4" w:space="0" w:color="auto"/>
              <w:right w:val="single" w:sz="4" w:space="0" w:color="auto"/>
            </w:tcBorders>
            <w:shd w:val="clear" w:color="000000" w:fill="D1D3D4"/>
            <w:vAlign w:val="center"/>
            <w:hideMark/>
          </w:tcPr>
          <w:p w14:paraId="2211CE22" w14:textId="77777777" w:rsidR="00002D76" w:rsidRPr="00336134" w:rsidRDefault="00002D76" w:rsidP="00D63204">
            <w:pPr>
              <w:spacing w:after="0" w:line="240" w:lineRule="auto"/>
              <w:rPr>
                <w:rFonts w:ascii="Calibri" w:hAnsi="Calibri"/>
                <w:color w:val="231F20"/>
                <w:sz w:val="16"/>
                <w:szCs w:val="16"/>
              </w:rPr>
            </w:pPr>
            <w:r w:rsidRPr="00336134">
              <w:rPr>
                <w:rFonts w:ascii="Calibri" w:hAnsi="Calibri"/>
                <w:color w:val="231F20"/>
                <w:sz w:val="16"/>
                <w:szCs w:val="16"/>
              </w:rPr>
              <w:t>152031</w:t>
            </w:r>
          </w:p>
        </w:tc>
        <w:tc>
          <w:tcPr>
            <w:tcW w:w="0" w:type="auto"/>
            <w:tcBorders>
              <w:top w:val="nil"/>
              <w:left w:val="nil"/>
              <w:bottom w:val="single" w:sz="4" w:space="0" w:color="auto"/>
              <w:right w:val="single" w:sz="4" w:space="0" w:color="auto"/>
            </w:tcBorders>
            <w:shd w:val="clear" w:color="000000" w:fill="D1D3D4"/>
            <w:vAlign w:val="center"/>
            <w:hideMark/>
          </w:tcPr>
          <w:p w14:paraId="201DBADB" w14:textId="77777777" w:rsidR="00002D76" w:rsidRPr="00336134" w:rsidRDefault="00002D76" w:rsidP="001429C7">
            <w:pPr>
              <w:spacing w:after="0" w:line="240" w:lineRule="auto"/>
              <w:rPr>
                <w:rFonts w:ascii="Calibri" w:hAnsi="Calibri"/>
                <w:color w:val="231F20"/>
                <w:sz w:val="16"/>
                <w:szCs w:val="16"/>
              </w:rPr>
            </w:pPr>
            <w:r w:rsidRPr="00336134">
              <w:rPr>
                <w:rFonts w:ascii="Calibri" w:hAnsi="Calibri"/>
                <w:color w:val="231F20"/>
                <w:sz w:val="16"/>
                <w:szCs w:val="16"/>
              </w:rPr>
              <w:t>Operations Research Analysts</w:t>
            </w:r>
          </w:p>
        </w:tc>
        <w:tc>
          <w:tcPr>
            <w:tcW w:w="0" w:type="auto"/>
            <w:tcBorders>
              <w:top w:val="nil"/>
              <w:left w:val="nil"/>
              <w:bottom w:val="single" w:sz="4" w:space="0" w:color="auto"/>
              <w:right w:val="single" w:sz="4" w:space="0" w:color="auto"/>
            </w:tcBorders>
            <w:shd w:val="clear" w:color="000000" w:fill="D1D3D4"/>
            <w:vAlign w:val="center"/>
            <w:hideMark/>
          </w:tcPr>
          <w:p w14:paraId="2F96287E" w14:textId="77777777" w:rsidR="00002D76" w:rsidRPr="00336134" w:rsidRDefault="00002D76" w:rsidP="00D63204">
            <w:pPr>
              <w:spacing w:after="0" w:line="240" w:lineRule="auto"/>
              <w:rPr>
                <w:rFonts w:ascii="Calibri" w:hAnsi="Calibri"/>
                <w:color w:val="231F20"/>
                <w:sz w:val="16"/>
                <w:szCs w:val="16"/>
              </w:rPr>
            </w:pPr>
            <w:r w:rsidRPr="00336134">
              <w:rPr>
                <w:rFonts w:ascii="Calibri" w:hAnsi="Calibri"/>
                <w:color w:val="231F20"/>
                <w:sz w:val="16"/>
                <w:szCs w:val="16"/>
              </w:rPr>
              <w:t>6,634</w:t>
            </w:r>
          </w:p>
        </w:tc>
        <w:tc>
          <w:tcPr>
            <w:tcW w:w="0" w:type="auto"/>
            <w:tcBorders>
              <w:top w:val="nil"/>
              <w:left w:val="nil"/>
              <w:bottom w:val="single" w:sz="4" w:space="0" w:color="auto"/>
              <w:right w:val="single" w:sz="4" w:space="0" w:color="auto"/>
            </w:tcBorders>
            <w:shd w:val="clear" w:color="000000" w:fill="D1D3D4"/>
            <w:vAlign w:val="center"/>
            <w:hideMark/>
          </w:tcPr>
          <w:p w14:paraId="2E9C47CF" w14:textId="77777777" w:rsidR="00002D76" w:rsidRPr="00336134" w:rsidRDefault="00002D76" w:rsidP="00D63204">
            <w:pPr>
              <w:spacing w:after="0" w:line="240" w:lineRule="auto"/>
              <w:rPr>
                <w:rFonts w:ascii="Calibri" w:hAnsi="Calibri"/>
                <w:color w:val="231F20"/>
                <w:sz w:val="16"/>
                <w:szCs w:val="16"/>
              </w:rPr>
            </w:pPr>
            <w:r w:rsidRPr="00336134">
              <w:rPr>
                <w:rFonts w:ascii="Calibri" w:hAnsi="Calibri"/>
                <w:color w:val="231F20"/>
                <w:sz w:val="16"/>
                <w:szCs w:val="16"/>
              </w:rPr>
              <w:t>8,368</w:t>
            </w:r>
          </w:p>
        </w:tc>
        <w:tc>
          <w:tcPr>
            <w:tcW w:w="0" w:type="auto"/>
            <w:tcBorders>
              <w:top w:val="nil"/>
              <w:left w:val="nil"/>
              <w:bottom w:val="single" w:sz="4" w:space="0" w:color="auto"/>
              <w:right w:val="single" w:sz="4" w:space="0" w:color="auto"/>
            </w:tcBorders>
            <w:shd w:val="clear" w:color="000000" w:fill="D1D3D4"/>
            <w:vAlign w:val="center"/>
            <w:hideMark/>
          </w:tcPr>
          <w:p w14:paraId="3C7BA877" w14:textId="77777777" w:rsidR="00002D76" w:rsidRPr="00336134" w:rsidRDefault="00002D76" w:rsidP="00D63204">
            <w:pPr>
              <w:spacing w:after="0" w:line="240" w:lineRule="auto"/>
              <w:rPr>
                <w:rFonts w:ascii="Calibri" w:hAnsi="Calibri"/>
                <w:color w:val="231F20"/>
                <w:sz w:val="16"/>
                <w:szCs w:val="16"/>
              </w:rPr>
            </w:pPr>
            <w:r w:rsidRPr="00336134">
              <w:rPr>
                <w:rFonts w:ascii="Calibri" w:hAnsi="Calibri"/>
                <w:color w:val="231F20"/>
                <w:sz w:val="16"/>
                <w:szCs w:val="16"/>
              </w:rPr>
              <w:t>1734</w:t>
            </w:r>
          </w:p>
        </w:tc>
        <w:tc>
          <w:tcPr>
            <w:tcW w:w="0" w:type="auto"/>
            <w:tcBorders>
              <w:top w:val="nil"/>
              <w:left w:val="nil"/>
              <w:bottom w:val="single" w:sz="4" w:space="0" w:color="auto"/>
              <w:right w:val="single" w:sz="4" w:space="0" w:color="auto"/>
            </w:tcBorders>
            <w:shd w:val="clear" w:color="000000" w:fill="D1D3D4"/>
            <w:vAlign w:val="center"/>
            <w:hideMark/>
          </w:tcPr>
          <w:p w14:paraId="6EFAB605" w14:textId="77777777" w:rsidR="00002D76" w:rsidRPr="00336134" w:rsidRDefault="00002D76" w:rsidP="00D63204">
            <w:pPr>
              <w:spacing w:after="0" w:line="240" w:lineRule="auto"/>
              <w:rPr>
                <w:rFonts w:ascii="Calibri" w:hAnsi="Calibri"/>
                <w:color w:val="231F20"/>
                <w:sz w:val="16"/>
                <w:szCs w:val="16"/>
              </w:rPr>
            </w:pPr>
            <w:r w:rsidRPr="00336134">
              <w:rPr>
                <w:rFonts w:ascii="Calibri" w:hAnsi="Calibri"/>
                <w:color w:val="231F20"/>
                <w:sz w:val="16"/>
                <w:szCs w:val="16"/>
              </w:rPr>
              <w:t>26.1</w:t>
            </w:r>
          </w:p>
        </w:tc>
        <w:tc>
          <w:tcPr>
            <w:tcW w:w="0" w:type="auto"/>
            <w:tcBorders>
              <w:top w:val="nil"/>
              <w:left w:val="nil"/>
              <w:bottom w:val="single" w:sz="4" w:space="0" w:color="auto"/>
              <w:right w:val="single" w:sz="4" w:space="0" w:color="auto"/>
            </w:tcBorders>
            <w:shd w:val="clear" w:color="000000" w:fill="D1D3D4"/>
            <w:vAlign w:val="center"/>
            <w:hideMark/>
          </w:tcPr>
          <w:p w14:paraId="2325C106" w14:textId="77777777" w:rsidR="00002D76" w:rsidRPr="00336134" w:rsidRDefault="00002D76" w:rsidP="001429C7">
            <w:pPr>
              <w:spacing w:after="0" w:line="240" w:lineRule="auto"/>
              <w:rPr>
                <w:rFonts w:ascii="Calibri" w:hAnsi="Calibri"/>
                <w:color w:val="231F20"/>
                <w:sz w:val="16"/>
                <w:szCs w:val="16"/>
              </w:rPr>
            </w:pPr>
            <w:r w:rsidRPr="00336134">
              <w:rPr>
                <w:rFonts w:ascii="Calibri" w:hAnsi="Calibri"/>
                <w:color w:val="231F20"/>
                <w:sz w:val="16"/>
                <w:szCs w:val="16"/>
              </w:rPr>
              <w:t>Professional Services</w:t>
            </w:r>
          </w:p>
        </w:tc>
        <w:tc>
          <w:tcPr>
            <w:tcW w:w="0" w:type="auto"/>
            <w:tcBorders>
              <w:top w:val="nil"/>
              <w:left w:val="nil"/>
              <w:bottom w:val="single" w:sz="4" w:space="0" w:color="auto"/>
              <w:right w:val="single" w:sz="4" w:space="0" w:color="auto"/>
            </w:tcBorders>
            <w:shd w:val="clear" w:color="000000" w:fill="D1D3D4"/>
            <w:vAlign w:val="center"/>
            <w:hideMark/>
          </w:tcPr>
          <w:p w14:paraId="7A6AC989" w14:textId="77777777" w:rsidR="00002D76" w:rsidRPr="00336134" w:rsidRDefault="00002D76" w:rsidP="00D63204">
            <w:pPr>
              <w:spacing w:after="0" w:line="240" w:lineRule="auto"/>
              <w:rPr>
                <w:rFonts w:ascii="Calibri" w:hAnsi="Calibri"/>
                <w:color w:val="231F20"/>
                <w:sz w:val="16"/>
                <w:szCs w:val="16"/>
              </w:rPr>
            </w:pPr>
            <w:r w:rsidRPr="00336134">
              <w:rPr>
                <w:rFonts w:ascii="Calibri" w:hAnsi="Calibri"/>
                <w:color w:val="231F20"/>
                <w:sz w:val="16"/>
                <w:szCs w:val="16"/>
              </w:rPr>
              <w:t>29.51</w:t>
            </w:r>
          </w:p>
        </w:tc>
        <w:tc>
          <w:tcPr>
            <w:tcW w:w="0" w:type="auto"/>
            <w:tcBorders>
              <w:top w:val="nil"/>
              <w:left w:val="nil"/>
              <w:bottom w:val="single" w:sz="4" w:space="0" w:color="auto"/>
              <w:right w:val="single" w:sz="4" w:space="0" w:color="auto"/>
            </w:tcBorders>
            <w:shd w:val="clear" w:color="000000" w:fill="D1D3D4"/>
            <w:vAlign w:val="center"/>
            <w:hideMark/>
          </w:tcPr>
          <w:p w14:paraId="6DC27C1C" w14:textId="77777777" w:rsidR="00002D76" w:rsidRPr="00336134" w:rsidRDefault="00002D76" w:rsidP="00D63204">
            <w:pPr>
              <w:spacing w:after="0" w:line="240" w:lineRule="auto"/>
              <w:rPr>
                <w:rFonts w:ascii="Calibri" w:hAnsi="Calibri"/>
                <w:color w:val="231F20"/>
                <w:sz w:val="16"/>
                <w:szCs w:val="16"/>
              </w:rPr>
            </w:pPr>
            <w:r w:rsidRPr="00336134">
              <w:rPr>
                <w:rFonts w:ascii="Calibri" w:hAnsi="Calibri"/>
                <w:color w:val="231F20"/>
                <w:sz w:val="16"/>
                <w:szCs w:val="16"/>
              </w:rPr>
              <w:t>19.77</w:t>
            </w:r>
          </w:p>
        </w:tc>
        <w:tc>
          <w:tcPr>
            <w:tcW w:w="0" w:type="auto"/>
            <w:tcBorders>
              <w:top w:val="nil"/>
              <w:left w:val="nil"/>
              <w:bottom w:val="single" w:sz="4" w:space="0" w:color="auto"/>
              <w:right w:val="single" w:sz="4" w:space="0" w:color="auto"/>
            </w:tcBorders>
            <w:shd w:val="clear" w:color="000000" w:fill="D1D3D4"/>
            <w:vAlign w:val="center"/>
            <w:hideMark/>
          </w:tcPr>
          <w:p w14:paraId="59203B60" w14:textId="77777777" w:rsidR="00002D76" w:rsidRPr="00336134" w:rsidRDefault="00002D76" w:rsidP="00D63204">
            <w:pPr>
              <w:spacing w:after="0" w:line="240" w:lineRule="auto"/>
              <w:rPr>
                <w:rFonts w:ascii="Calibri" w:hAnsi="Calibri"/>
                <w:color w:val="231F20"/>
                <w:sz w:val="16"/>
                <w:szCs w:val="16"/>
              </w:rPr>
            </w:pPr>
            <w:r w:rsidRPr="00336134">
              <w:rPr>
                <w:rFonts w:ascii="Calibri" w:hAnsi="Calibri"/>
                <w:color w:val="231F20"/>
                <w:sz w:val="16"/>
                <w:szCs w:val="16"/>
              </w:rPr>
              <w:t>37.80</w:t>
            </w:r>
          </w:p>
        </w:tc>
      </w:tr>
      <w:tr w:rsidR="00002D76" w:rsidRPr="00336134" w14:paraId="4AA3EE0F" w14:textId="77777777" w:rsidTr="001429C7">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CD4BA7E" w14:textId="77777777" w:rsidR="00002D76" w:rsidRPr="00336134" w:rsidRDefault="00002D76" w:rsidP="00D63204">
            <w:pPr>
              <w:spacing w:after="0" w:line="240" w:lineRule="auto"/>
              <w:rPr>
                <w:rFonts w:ascii="Calibri" w:hAnsi="Calibri"/>
                <w:color w:val="231F20"/>
                <w:sz w:val="16"/>
                <w:szCs w:val="16"/>
              </w:rPr>
            </w:pPr>
            <w:r w:rsidRPr="00336134">
              <w:rPr>
                <w:rFonts w:ascii="Calibri" w:hAnsi="Calibri"/>
                <w:color w:val="231F20"/>
                <w:sz w:val="16"/>
                <w:szCs w:val="16"/>
              </w:rPr>
              <w:t>15</w:t>
            </w:r>
          </w:p>
        </w:tc>
        <w:tc>
          <w:tcPr>
            <w:tcW w:w="0" w:type="auto"/>
            <w:tcBorders>
              <w:top w:val="nil"/>
              <w:left w:val="nil"/>
              <w:bottom w:val="single" w:sz="4" w:space="0" w:color="auto"/>
              <w:right w:val="single" w:sz="4" w:space="0" w:color="auto"/>
            </w:tcBorders>
            <w:shd w:val="clear" w:color="auto" w:fill="auto"/>
            <w:vAlign w:val="center"/>
            <w:hideMark/>
          </w:tcPr>
          <w:p w14:paraId="18035542" w14:textId="77777777" w:rsidR="00002D76" w:rsidRPr="00336134" w:rsidRDefault="00002D76" w:rsidP="00D63204">
            <w:pPr>
              <w:spacing w:after="0" w:line="240" w:lineRule="auto"/>
              <w:rPr>
                <w:rFonts w:ascii="Calibri" w:hAnsi="Calibri"/>
                <w:color w:val="231F20"/>
                <w:sz w:val="16"/>
                <w:szCs w:val="16"/>
              </w:rPr>
            </w:pPr>
            <w:r w:rsidRPr="00336134">
              <w:rPr>
                <w:rFonts w:ascii="Calibri" w:hAnsi="Calibri"/>
                <w:color w:val="231F20"/>
                <w:sz w:val="16"/>
                <w:szCs w:val="16"/>
              </w:rPr>
              <w:t>292032</w:t>
            </w:r>
          </w:p>
        </w:tc>
        <w:tc>
          <w:tcPr>
            <w:tcW w:w="0" w:type="auto"/>
            <w:tcBorders>
              <w:top w:val="nil"/>
              <w:left w:val="nil"/>
              <w:bottom w:val="single" w:sz="4" w:space="0" w:color="auto"/>
              <w:right w:val="single" w:sz="4" w:space="0" w:color="auto"/>
            </w:tcBorders>
            <w:shd w:val="clear" w:color="auto" w:fill="auto"/>
            <w:vAlign w:val="center"/>
            <w:hideMark/>
          </w:tcPr>
          <w:p w14:paraId="52EA8484" w14:textId="77777777" w:rsidR="00002D76" w:rsidRPr="00336134" w:rsidRDefault="00002D76" w:rsidP="001429C7">
            <w:pPr>
              <w:spacing w:after="0" w:line="240" w:lineRule="auto"/>
              <w:rPr>
                <w:rFonts w:ascii="Calibri" w:hAnsi="Calibri"/>
                <w:color w:val="231F20"/>
                <w:sz w:val="16"/>
                <w:szCs w:val="16"/>
              </w:rPr>
            </w:pPr>
            <w:r w:rsidRPr="00336134">
              <w:rPr>
                <w:rFonts w:ascii="Calibri" w:hAnsi="Calibri"/>
                <w:color w:val="231F20"/>
                <w:sz w:val="16"/>
                <w:szCs w:val="16"/>
              </w:rPr>
              <w:t>Diagnostic Medical Sonographers</w:t>
            </w:r>
          </w:p>
        </w:tc>
        <w:tc>
          <w:tcPr>
            <w:tcW w:w="0" w:type="auto"/>
            <w:tcBorders>
              <w:top w:val="nil"/>
              <w:left w:val="nil"/>
              <w:bottom w:val="single" w:sz="4" w:space="0" w:color="auto"/>
              <w:right w:val="single" w:sz="4" w:space="0" w:color="auto"/>
            </w:tcBorders>
            <w:shd w:val="clear" w:color="auto" w:fill="auto"/>
            <w:vAlign w:val="center"/>
            <w:hideMark/>
          </w:tcPr>
          <w:p w14:paraId="09EA96FF" w14:textId="77777777" w:rsidR="00002D76" w:rsidRPr="00336134" w:rsidRDefault="00002D76" w:rsidP="00D63204">
            <w:pPr>
              <w:spacing w:after="0" w:line="240" w:lineRule="auto"/>
              <w:rPr>
                <w:rFonts w:ascii="Calibri" w:hAnsi="Calibri"/>
                <w:color w:val="231F20"/>
                <w:sz w:val="16"/>
                <w:szCs w:val="16"/>
              </w:rPr>
            </w:pPr>
            <w:r w:rsidRPr="00336134">
              <w:rPr>
                <w:rFonts w:ascii="Calibri" w:hAnsi="Calibri"/>
                <w:color w:val="231F20"/>
                <w:sz w:val="16"/>
                <w:szCs w:val="16"/>
              </w:rPr>
              <w:t>5,723</w:t>
            </w:r>
          </w:p>
        </w:tc>
        <w:tc>
          <w:tcPr>
            <w:tcW w:w="0" w:type="auto"/>
            <w:tcBorders>
              <w:top w:val="nil"/>
              <w:left w:val="nil"/>
              <w:bottom w:val="single" w:sz="4" w:space="0" w:color="auto"/>
              <w:right w:val="single" w:sz="4" w:space="0" w:color="auto"/>
            </w:tcBorders>
            <w:shd w:val="clear" w:color="auto" w:fill="auto"/>
            <w:vAlign w:val="center"/>
            <w:hideMark/>
          </w:tcPr>
          <w:p w14:paraId="07AF5C5A" w14:textId="77777777" w:rsidR="00002D76" w:rsidRPr="00336134" w:rsidRDefault="00002D76" w:rsidP="00D63204">
            <w:pPr>
              <w:spacing w:after="0" w:line="240" w:lineRule="auto"/>
              <w:rPr>
                <w:rFonts w:ascii="Calibri" w:hAnsi="Calibri"/>
                <w:color w:val="231F20"/>
                <w:sz w:val="16"/>
                <w:szCs w:val="16"/>
              </w:rPr>
            </w:pPr>
            <w:r w:rsidRPr="00336134">
              <w:rPr>
                <w:rFonts w:ascii="Calibri" w:hAnsi="Calibri"/>
                <w:color w:val="231F20"/>
                <w:sz w:val="16"/>
                <w:szCs w:val="16"/>
              </w:rPr>
              <w:t>7,205</w:t>
            </w:r>
          </w:p>
        </w:tc>
        <w:tc>
          <w:tcPr>
            <w:tcW w:w="0" w:type="auto"/>
            <w:tcBorders>
              <w:top w:val="nil"/>
              <w:left w:val="nil"/>
              <w:bottom w:val="single" w:sz="4" w:space="0" w:color="auto"/>
              <w:right w:val="single" w:sz="4" w:space="0" w:color="auto"/>
            </w:tcBorders>
            <w:shd w:val="clear" w:color="auto" w:fill="auto"/>
            <w:vAlign w:val="center"/>
            <w:hideMark/>
          </w:tcPr>
          <w:p w14:paraId="6D76A682" w14:textId="77777777" w:rsidR="00002D76" w:rsidRPr="00336134" w:rsidRDefault="00002D76" w:rsidP="00D63204">
            <w:pPr>
              <w:spacing w:after="0" w:line="240" w:lineRule="auto"/>
              <w:rPr>
                <w:rFonts w:ascii="Calibri" w:hAnsi="Calibri"/>
                <w:color w:val="231F20"/>
                <w:sz w:val="16"/>
                <w:szCs w:val="16"/>
              </w:rPr>
            </w:pPr>
            <w:r w:rsidRPr="00336134">
              <w:rPr>
                <w:rFonts w:ascii="Calibri" w:hAnsi="Calibri"/>
                <w:color w:val="231F20"/>
                <w:sz w:val="16"/>
                <w:szCs w:val="16"/>
              </w:rPr>
              <w:t>1,482</w:t>
            </w:r>
          </w:p>
        </w:tc>
        <w:tc>
          <w:tcPr>
            <w:tcW w:w="0" w:type="auto"/>
            <w:tcBorders>
              <w:top w:val="nil"/>
              <w:left w:val="nil"/>
              <w:bottom w:val="single" w:sz="4" w:space="0" w:color="auto"/>
              <w:right w:val="single" w:sz="4" w:space="0" w:color="auto"/>
            </w:tcBorders>
            <w:shd w:val="clear" w:color="auto" w:fill="auto"/>
            <w:vAlign w:val="center"/>
            <w:hideMark/>
          </w:tcPr>
          <w:p w14:paraId="7BDEC3CE" w14:textId="77777777" w:rsidR="00002D76" w:rsidRPr="00336134" w:rsidRDefault="00002D76" w:rsidP="00D63204">
            <w:pPr>
              <w:spacing w:after="0" w:line="240" w:lineRule="auto"/>
              <w:rPr>
                <w:rFonts w:ascii="Calibri" w:hAnsi="Calibri"/>
                <w:color w:val="231F20"/>
                <w:sz w:val="16"/>
                <w:szCs w:val="16"/>
              </w:rPr>
            </w:pPr>
            <w:r w:rsidRPr="00336134">
              <w:rPr>
                <w:rFonts w:ascii="Calibri" w:hAnsi="Calibri"/>
                <w:color w:val="231F20"/>
                <w:sz w:val="16"/>
                <w:szCs w:val="16"/>
              </w:rPr>
              <w:t>25.9</w:t>
            </w:r>
          </w:p>
        </w:tc>
        <w:tc>
          <w:tcPr>
            <w:tcW w:w="0" w:type="auto"/>
            <w:tcBorders>
              <w:top w:val="nil"/>
              <w:left w:val="nil"/>
              <w:bottom w:val="single" w:sz="4" w:space="0" w:color="auto"/>
              <w:right w:val="single" w:sz="4" w:space="0" w:color="auto"/>
            </w:tcBorders>
            <w:shd w:val="clear" w:color="auto" w:fill="auto"/>
            <w:vAlign w:val="center"/>
            <w:hideMark/>
          </w:tcPr>
          <w:p w14:paraId="2C0ABC55" w14:textId="77777777" w:rsidR="00002D76" w:rsidRPr="00336134" w:rsidRDefault="00002D76" w:rsidP="001429C7">
            <w:pPr>
              <w:spacing w:after="0" w:line="240" w:lineRule="auto"/>
              <w:rPr>
                <w:rFonts w:ascii="Calibri" w:hAnsi="Calibri"/>
                <w:color w:val="231F20"/>
                <w:sz w:val="16"/>
                <w:szCs w:val="16"/>
              </w:rPr>
            </w:pPr>
            <w:r w:rsidRPr="00336134">
              <w:rPr>
                <w:rFonts w:ascii="Calibri" w:hAnsi="Calibri"/>
                <w:color w:val="231F20"/>
                <w:sz w:val="16"/>
                <w:szCs w:val="16"/>
              </w:rPr>
              <w:t>Healthcare</w:t>
            </w:r>
          </w:p>
        </w:tc>
        <w:tc>
          <w:tcPr>
            <w:tcW w:w="0" w:type="auto"/>
            <w:tcBorders>
              <w:top w:val="nil"/>
              <w:left w:val="nil"/>
              <w:bottom w:val="single" w:sz="4" w:space="0" w:color="auto"/>
              <w:right w:val="single" w:sz="4" w:space="0" w:color="auto"/>
            </w:tcBorders>
            <w:shd w:val="clear" w:color="auto" w:fill="auto"/>
            <w:vAlign w:val="center"/>
            <w:hideMark/>
          </w:tcPr>
          <w:p w14:paraId="32E7E484" w14:textId="77777777" w:rsidR="00002D76" w:rsidRPr="00336134" w:rsidRDefault="00002D76" w:rsidP="00D63204">
            <w:pPr>
              <w:spacing w:after="0" w:line="240" w:lineRule="auto"/>
              <w:rPr>
                <w:rFonts w:ascii="Calibri" w:hAnsi="Calibri"/>
                <w:color w:val="231F20"/>
                <w:sz w:val="16"/>
                <w:szCs w:val="16"/>
              </w:rPr>
            </w:pPr>
            <w:r w:rsidRPr="00336134">
              <w:rPr>
                <w:rFonts w:ascii="Calibri" w:hAnsi="Calibri"/>
                <w:color w:val="231F20"/>
                <w:sz w:val="16"/>
                <w:szCs w:val="16"/>
              </w:rPr>
              <w:t>30.40</w:t>
            </w:r>
          </w:p>
        </w:tc>
        <w:tc>
          <w:tcPr>
            <w:tcW w:w="0" w:type="auto"/>
            <w:tcBorders>
              <w:top w:val="nil"/>
              <w:left w:val="nil"/>
              <w:bottom w:val="single" w:sz="4" w:space="0" w:color="auto"/>
              <w:right w:val="single" w:sz="4" w:space="0" w:color="auto"/>
            </w:tcBorders>
            <w:shd w:val="clear" w:color="auto" w:fill="auto"/>
            <w:vAlign w:val="center"/>
            <w:hideMark/>
          </w:tcPr>
          <w:p w14:paraId="05367B6A" w14:textId="77777777" w:rsidR="00002D76" w:rsidRPr="00336134" w:rsidRDefault="00002D76" w:rsidP="00D63204">
            <w:pPr>
              <w:spacing w:after="0" w:line="240" w:lineRule="auto"/>
              <w:rPr>
                <w:rFonts w:ascii="Calibri" w:hAnsi="Calibri"/>
                <w:color w:val="231F20"/>
                <w:sz w:val="16"/>
                <w:szCs w:val="16"/>
              </w:rPr>
            </w:pPr>
            <w:r w:rsidRPr="00336134">
              <w:rPr>
                <w:rFonts w:ascii="Calibri" w:hAnsi="Calibri"/>
                <w:color w:val="231F20"/>
                <w:sz w:val="16"/>
                <w:szCs w:val="16"/>
              </w:rPr>
              <w:t>24.58</w:t>
            </w:r>
          </w:p>
        </w:tc>
        <w:tc>
          <w:tcPr>
            <w:tcW w:w="0" w:type="auto"/>
            <w:tcBorders>
              <w:top w:val="nil"/>
              <w:left w:val="nil"/>
              <w:bottom w:val="single" w:sz="4" w:space="0" w:color="auto"/>
              <w:right w:val="single" w:sz="4" w:space="0" w:color="auto"/>
            </w:tcBorders>
            <w:shd w:val="clear" w:color="auto" w:fill="auto"/>
            <w:vAlign w:val="center"/>
            <w:hideMark/>
          </w:tcPr>
          <w:p w14:paraId="162954B9" w14:textId="77777777" w:rsidR="00002D76" w:rsidRPr="00336134" w:rsidRDefault="00002D76" w:rsidP="00D63204">
            <w:pPr>
              <w:spacing w:after="0" w:line="240" w:lineRule="auto"/>
              <w:rPr>
                <w:rFonts w:ascii="Calibri" w:hAnsi="Calibri"/>
                <w:color w:val="231F20"/>
                <w:sz w:val="16"/>
                <w:szCs w:val="16"/>
              </w:rPr>
            </w:pPr>
            <w:r w:rsidRPr="00336134">
              <w:rPr>
                <w:rFonts w:ascii="Calibri" w:hAnsi="Calibri"/>
                <w:color w:val="231F20"/>
                <w:sz w:val="16"/>
                <w:szCs w:val="16"/>
              </w:rPr>
              <w:t>33.85</w:t>
            </w:r>
          </w:p>
        </w:tc>
      </w:tr>
      <w:tr w:rsidR="00002D76" w:rsidRPr="00336134" w14:paraId="53D56990" w14:textId="77777777" w:rsidTr="001429C7">
        <w:trPr>
          <w:trHeight w:val="300"/>
        </w:trPr>
        <w:tc>
          <w:tcPr>
            <w:tcW w:w="0" w:type="auto"/>
            <w:tcBorders>
              <w:top w:val="nil"/>
              <w:left w:val="single" w:sz="4" w:space="0" w:color="auto"/>
              <w:bottom w:val="single" w:sz="4" w:space="0" w:color="auto"/>
              <w:right w:val="single" w:sz="4" w:space="0" w:color="auto"/>
            </w:tcBorders>
            <w:shd w:val="clear" w:color="000000" w:fill="D1D3D4"/>
            <w:vAlign w:val="center"/>
            <w:hideMark/>
          </w:tcPr>
          <w:p w14:paraId="0DF09FC7" w14:textId="77777777" w:rsidR="00002D76" w:rsidRPr="00336134" w:rsidRDefault="00002D76" w:rsidP="00D63204">
            <w:pPr>
              <w:spacing w:after="0" w:line="240" w:lineRule="auto"/>
              <w:rPr>
                <w:rFonts w:ascii="Calibri" w:hAnsi="Calibri"/>
                <w:color w:val="231F20"/>
                <w:sz w:val="16"/>
                <w:szCs w:val="16"/>
              </w:rPr>
            </w:pPr>
            <w:r w:rsidRPr="00336134">
              <w:rPr>
                <w:rFonts w:ascii="Calibri" w:hAnsi="Calibri"/>
                <w:color w:val="231F20"/>
                <w:sz w:val="16"/>
                <w:szCs w:val="16"/>
              </w:rPr>
              <w:t>16</w:t>
            </w:r>
          </w:p>
        </w:tc>
        <w:tc>
          <w:tcPr>
            <w:tcW w:w="0" w:type="auto"/>
            <w:tcBorders>
              <w:top w:val="nil"/>
              <w:left w:val="nil"/>
              <w:bottom w:val="single" w:sz="4" w:space="0" w:color="auto"/>
              <w:right w:val="single" w:sz="4" w:space="0" w:color="auto"/>
            </w:tcBorders>
            <w:shd w:val="clear" w:color="000000" w:fill="D1D3D4"/>
            <w:vAlign w:val="center"/>
            <w:hideMark/>
          </w:tcPr>
          <w:p w14:paraId="632E3F1A" w14:textId="77777777" w:rsidR="00002D76" w:rsidRPr="00336134" w:rsidRDefault="00002D76" w:rsidP="00D63204">
            <w:pPr>
              <w:spacing w:after="0" w:line="240" w:lineRule="auto"/>
              <w:rPr>
                <w:rFonts w:ascii="Calibri" w:hAnsi="Calibri"/>
                <w:color w:val="231F20"/>
                <w:sz w:val="16"/>
                <w:szCs w:val="16"/>
              </w:rPr>
            </w:pPr>
            <w:r w:rsidRPr="00336134">
              <w:rPr>
                <w:rFonts w:ascii="Calibri" w:hAnsi="Calibri"/>
                <w:color w:val="231F20"/>
                <w:sz w:val="16"/>
                <w:szCs w:val="16"/>
              </w:rPr>
              <w:t>291151</w:t>
            </w:r>
          </w:p>
        </w:tc>
        <w:tc>
          <w:tcPr>
            <w:tcW w:w="0" w:type="auto"/>
            <w:tcBorders>
              <w:top w:val="nil"/>
              <w:left w:val="nil"/>
              <w:bottom w:val="single" w:sz="4" w:space="0" w:color="auto"/>
              <w:right w:val="single" w:sz="4" w:space="0" w:color="auto"/>
            </w:tcBorders>
            <w:shd w:val="clear" w:color="000000" w:fill="D1D3D4"/>
            <w:vAlign w:val="center"/>
            <w:hideMark/>
          </w:tcPr>
          <w:p w14:paraId="0037AFED" w14:textId="77777777" w:rsidR="00002D76" w:rsidRPr="00336134" w:rsidRDefault="00002D76" w:rsidP="001429C7">
            <w:pPr>
              <w:spacing w:after="0" w:line="240" w:lineRule="auto"/>
              <w:rPr>
                <w:rFonts w:ascii="Calibri" w:hAnsi="Calibri"/>
                <w:color w:val="231F20"/>
                <w:sz w:val="16"/>
                <w:szCs w:val="16"/>
              </w:rPr>
            </w:pPr>
            <w:r w:rsidRPr="00336134">
              <w:rPr>
                <w:rFonts w:ascii="Calibri" w:hAnsi="Calibri"/>
                <w:color w:val="231F20"/>
                <w:sz w:val="16"/>
                <w:szCs w:val="16"/>
              </w:rPr>
              <w:t>Nurse Anesthetists</w:t>
            </w:r>
          </w:p>
        </w:tc>
        <w:tc>
          <w:tcPr>
            <w:tcW w:w="0" w:type="auto"/>
            <w:tcBorders>
              <w:top w:val="nil"/>
              <w:left w:val="nil"/>
              <w:bottom w:val="single" w:sz="4" w:space="0" w:color="auto"/>
              <w:right w:val="single" w:sz="4" w:space="0" w:color="auto"/>
            </w:tcBorders>
            <w:shd w:val="clear" w:color="000000" w:fill="D1D3D4"/>
            <w:vAlign w:val="center"/>
            <w:hideMark/>
          </w:tcPr>
          <w:p w14:paraId="7364C4A7" w14:textId="77777777" w:rsidR="00002D76" w:rsidRPr="00336134" w:rsidRDefault="00002D76" w:rsidP="00D63204">
            <w:pPr>
              <w:spacing w:after="0" w:line="240" w:lineRule="auto"/>
              <w:rPr>
                <w:rFonts w:ascii="Calibri" w:hAnsi="Calibri"/>
                <w:color w:val="231F20"/>
                <w:sz w:val="16"/>
                <w:szCs w:val="16"/>
              </w:rPr>
            </w:pPr>
            <w:r w:rsidRPr="00336134">
              <w:rPr>
                <w:rFonts w:ascii="Calibri" w:hAnsi="Calibri"/>
                <w:color w:val="231F20"/>
                <w:sz w:val="16"/>
                <w:szCs w:val="16"/>
              </w:rPr>
              <w:t>2,245</w:t>
            </w:r>
          </w:p>
        </w:tc>
        <w:tc>
          <w:tcPr>
            <w:tcW w:w="0" w:type="auto"/>
            <w:tcBorders>
              <w:top w:val="nil"/>
              <w:left w:val="nil"/>
              <w:bottom w:val="single" w:sz="4" w:space="0" w:color="auto"/>
              <w:right w:val="single" w:sz="4" w:space="0" w:color="auto"/>
            </w:tcBorders>
            <w:shd w:val="clear" w:color="000000" w:fill="D1D3D4"/>
            <w:vAlign w:val="center"/>
            <w:hideMark/>
          </w:tcPr>
          <w:p w14:paraId="7BD9254A" w14:textId="77777777" w:rsidR="00002D76" w:rsidRPr="00336134" w:rsidRDefault="00002D76" w:rsidP="00D63204">
            <w:pPr>
              <w:spacing w:after="0" w:line="240" w:lineRule="auto"/>
              <w:rPr>
                <w:rFonts w:ascii="Calibri" w:hAnsi="Calibri"/>
                <w:color w:val="231F20"/>
                <w:sz w:val="16"/>
                <w:szCs w:val="16"/>
              </w:rPr>
            </w:pPr>
            <w:r w:rsidRPr="00336134">
              <w:rPr>
                <w:rFonts w:ascii="Calibri" w:hAnsi="Calibri"/>
                <w:color w:val="231F20"/>
                <w:sz w:val="16"/>
                <w:szCs w:val="16"/>
              </w:rPr>
              <w:t>2,825</w:t>
            </w:r>
          </w:p>
        </w:tc>
        <w:tc>
          <w:tcPr>
            <w:tcW w:w="0" w:type="auto"/>
            <w:tcBorders>
              <w:top w:val="nil"/>
              <w:left w:val="nil"/>
              <w:bottom w:val="single" w:sz="4" w:space="0" w:color="auto"/>
              <w:right w:val="single" w:sz="4" w:space="0" w:color="auto"/>
            </w:tcBorders>
            <w:shd w:val="clear" w:color="000000" w:fill="D1D3D4"/>
            <w:vAlign w:val="center"/>
            <w:hideMark/>
          </w:tcPr>
          <w:p w14:paraId="54788264" w14:textId="77777777" w:rsidR="00002D76" w:rsidRPr="00336134" w:rsidRDefault="00002D76" w:rsidP="00D63204">
            <w:pPr>
              <w:spacing w:after="0" w:line="240" w:lineRule="auto"/>
              <w:rPr>
                <w:rFonts w:ascii="Calibri" w:hAnsi="Calibri"/>
                <w:color w:val="231F20"/>
                <w:sz w:val="16"/>
                <w:szCs w:val="16"/>
              </w:rPr>
            </w:pPr>
            <w:r w:rsidRPr="00336134">
              <w:rPr>
                <w:rFonts w:ascii="Calibri" w:hAnsi="Calibri"/>
                <w:color w:val="231F20"/>
                <w:sz w:val="16"/>
                <w:szCs w:val="16"/>
              </w:rPr>
              <w:t>580</w:t>
            </w:r>
          </w:p>
        </w:tc>
        <w:tc>
          <w:tcPr>
            <w:tcW w:w="0" w:type="auto"/>
            <w:tcBorders>
              <w:top w:val="nil"/>
              <w:left w:val="nil"/>
              <w:bottom w:val="single" w:sz="4" w:space="0" w:color="auto"/>
              <w:right w:val="single" w:sz="4" w:space="0" w:color="auto"/>
            </w:tcBorders>
            <w:shd w:val="clear" w:color="000000" w:fill="D1D3D4"/>
            <w:vAlign w:val="center"/>
            <w:hideMark/>
          </w:tcPr>
          <w:p w14:paraId="2E2F0F92" w14:textId="77777777" w:rsidR="00002D76" w:rsidRPr="00336134" w:rsidRDefault="00002D76" w:rsidP="00D63204">
            <w:pPr>
              <w:spacing w:after="0" w:line="240" w:lineRule="auto"/>
              <w:rPr>
                <w:rFonts w:ascii="Calibri" w:hAnsi="Calibri"/>
                <w:color w:val="231F20"/>
                <w:sz w:val="16"/>
                <w:szCs w:val="16"/>
              </w:rPr>
            </w:pPr>
            <w:r w:rsidRPr="00336134">
              <w:rPr>
                <w:rFonts w:ascii="Calibri" w:hAnsi="Calibri"/>
                <w:color w:val="231F20"/>
                <w:sz w:val="16"/>
                <w:szCs w:val="16"/>
              </w:rPr>
              <w:t>25.8</w:t>
            </w:r>
          </w:p>
        </w:tc>
        <w:tc>
          <w:tcPr>
            <w:tcW w:w="0" w:type="auto"/>
            <w:tcBorders>
              <w:top w:val="nil"/>
              <w:left w:val="nil"/>
              <w:bottom w:val="single" w:sz="4" w:space="0" w:color="auto"/>
              <w:right w:val="single" w:sz="4" w:space="0" w:color="auto"/>
            </w:tcBorders>
            <w:shd w:val="clear" w:color="000000" w:fill="D1D3D4"/>
            <w:vAlign w:val="center"/>
            <w:hideMark/>
          </w:tcPr>
          <w:p w14:paraId="5E751453" w14:textId="77777777" w:rsidR="00002D76" w:rsidRPr="00336134" w:rsidRDefault="00002D76" w:rsidP="001429C7">
            <w:pPr>
              <w:spacing w:after="0" w:line="240" w:lineRule="auto"/>
              <w:rPr>
                <w:rFonts w:ascii="Calibri" w:hAnsi="Calibri"/>
                <w:color w:val="231F20"/>
                <w:sz w:val="16"/>
                <w:szCs w:val="16"/>
              </w:rPr>
            </w:pPr>
            <w:r w:rsidRPr="00336134">
              <w:rPr>
                <w:rFonts w:ascii="Calibri" w:hAnsi="Calibri"/>
                <w:color w:val="231F20"/>
                <w:sz w:val="16"/>
                <w:szCs w:val="16"/>
              </w:rPr>
              <w:t>Healthcare</w:t>
            </w:r>
          </w:p>
        </w:tc>
        <w:tc>
          <w:tcPr>
            <w:tcW w:w="0" w:type="auto"/>
            <w:tcBorders>
              <w:top w:val="nil"/>
              <w:left w:val="nil"/>
              <w:bottom w:val="single" w:sz="4" w:space="0" w:color="auto"/>
              <w:right w:val="single" w:sz="4" w:space="0" w:color="auto"/>
            </w:tcBorders>
            <w:shd w:val="clear" w:color="000000" w:fill="D1D3D4"/>
            <w:vAlign w:val="center"/>
            <w:hideMark/>
          </w:tcPr>
          <w:p w14:paraId="4C99AE83" w14:textId="77777777" w:rsidR="00002D76" w:rsidRPr="00336134" w:rsidRDefault="00002D76" w:rsidP="00D63204">
            <w:pPr>
              <w:spacing w:after="0" w:line="240" w:lineRule="auto"/>
              <w:rPr>
                <w:rFonts w:ascii="Calibri" w:hAnsi="Calibri"/>
                <w:color w:val="231F20"/>
                <w:sz w:val="16"/>
                <w:szCs w:val="16"/>
              </w:rPr>
            </w:pPr>
            <w:r w:rsidRPr="00336134">
              <w:rPr>
                <w:rFonts w:ascii="Calibri" w:hAnsi="Calibri"/>
                <w:color w:val="231F20"/>
                <w:sz w:val="16"/>
                <w:szCs w:val="16"/>
              </w:rPr>
              <w:t>72.38</w:t>
            </w:r>
          </w:p>
        </w:tc>
        <w:tc>
          <w:tcPr>
            <w:tcW w:w="0" w:type="auto"/>
            <w:tcBorders>
              <w:top w:val="nil"/>
              <w:left w:val="nil"/>
              <w:bottom w:val="single" w:sz="4" w:space="0" w:color="auto"/>
              <w:right w:val="single" w:sz="4" w:space="0" w:color="auto"/>
            </w:tcBorders>
            <w:shd w:val="clear" w:color="000000" w:fill="D1D3D4"/>
            <w:vAlign w:val="center"/>
            <w:hideMark/>
          </w:tcPr>
          <w:p w14:paraId="3EC8A2D1" w14:textId="77777777" w:rsidR="00002D76" w:rsidRPr="00336134" w:rsidRDefault="00002D76" w:rsidP="00D63204">
            <w:pPr>
              <w:spacing w:after="0" w:line="240" w:lineRule="auto"/>
              <w:rPr>
                <w:rFonts w:ascii="Calibri" w:hAnsi="Calibri"/>
                <w:color w:val="231F20"/>
                <w:sz w:val="16"/>
                <w:szCs w:val="16"/>
              </w:rPr>
            </w:pPr>
            <w:r w:rsidRPr="00336134">
              <w:rPr>
                <w:rFonts w:ascii="Calibri" w:hAnsi="Calibri"/>
                <w:color w:val="231F20"/>
                <w:sz w:val="16"/>
                <w:szCs w:val="16"/>
              </w:rPr>
              <w:t>49.52</w:t>
            </w:r>
          </w:p>
        </w:tc>
        <w:tc>
          <w:tcPr>
            <w:tcW w:w="0" w:type="auto"/>
            <w:tcBorders>
              <w:top w:val="nil"/>
              <w:left w:val="nil"/>
              <w:bottom w:val="single" w:sz="4" w:space="0" w:color="auto"/>
              <w:right w:val="single" w:sz="4" w:space="0" w:color="auto"/>
            </w:tcBorders>
            <w:shd w:val="clear" w:color="000000" w:fill="D1D3D4"/>
            <w:vAlign w:val="center"/>
            <w:hideMark/>
          </w:tcPr>
          <w:p w14:paraId="321B13DA" w14:textId="77777777" w:rsidR="00002D76" w:rsidRPr="00336134" w:rsidRDefault="00002D76" w:rsidP="00D63204">
            <w:pPr>
              <w:spacing w:after="0" w:line="240" w:lineRule="auto"/>
              <w:rPr>
                <w:rFonts w:ascii="Calibri" w:hAnsi="Calibri"/>
                <w:color w:val="231F20"/>
                <w:sz w:val="16"/>
                <w:szCs w:val="16"/>
              </w:rPr>
            </w:pPr>
            <w:r w:rsidRPr="00336134">
              <w:rPr>
                <w:rFonts w:ascii="Calibri" w:hAnsi="Calibri"/>
                <w:color w:val="231F20"/>
                <w:sz w:val="16"/>
                <w:szCs w:val="16"/>
              </w:rPr>
              <w:t>95.57</w:t>
            </w:r>
          </w:p>
        </w:tc>
      </w:tr>
      <w:tr w:rsidR="00002D76" w:rsidRPr="00336134" w14:paraId="7AD92182" w14:textId="77777777" w:rsidTr="001429C7">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D3F8B36" w14:textId="77777777" w:rsidR="00002D76" w:rsidRPr="00336134" w:rsidRDefault="00002D76" w:rsidP="00D63204">
            <w:pPr>
              <w:spacing w:after="0" w:line="240" w:lineRule="auto"/>
              <w:rPr>
                <w:rFonts w:ascii="Calibri" w:hAnsi="Calibri"/>
                <w:color w:val="231F20"/>
                <w:sz w:val="16"/>
                <w:szCs w:val="16"/>
              </w:rPr>
            </w:pPr>
            <w:r w:rsidRPr="00336134">
              <w:rPr>
                <w:rFonts w:ascii="Calibri" w:hAnsi="Calibri"/>
                <w:color w:val="231F20"/>
                <w:sz w:val="16"/>
                <w:szCs w:val="16"/>
              </w:rPr>
              <w:t>17</w:t>
            </w:r>
          </w:p>
        </w:tc>
        <w:tc>
          <w:tcPr>
            <w:tcW w:w="0" w:type="auto"/>
            <w:tcBorders>
              <w:top w:val="nil"/>
              <w:left w:val="nil"/>
              <w:bottom w:val="single" w:sz="4" w:space="0" w:color="auto"/>
              <w:right w:val="single" w:sz="4" w:space="0" w:color="auto"/>
            </w:tcBorders>
            <w:shd w:val="clear" w:color="auto" w:fill="auto"/>
            <w:vAlign w:val="center"/>
            <w:hideMark/>
          </w:tcPr>
          <w:p w14:paraId="49CC5E8C" w14:textId="77777777" w:rsidR="00002D76" w:rsidRPr="00336134" w:rsidRDefault="00002D76" w:rsidP="00D63204">
            <w:pPr>
              <w:spacing w:after="0" w:line="240" w:lineRule="auto"/>
              <w:rPr>
                <w:rFonts w:ascii="Calibri" w:hAnsi="Calibri"/>
                <w:color w:val="231F20"/>
                <w:sz w:val="16"/>
                <w:szCs w:val="16"/>
              </w:rPr>
            </w:pPr>
            <w:r w:rsidRPr="00336134">
              <w:rPr>
                <w:rFonts w:ascii="Calibri" w:hAnsi="Calibri"/>
                <w:color w:val="231F20"/>
                <w:sz w:val="16"/>
                <w:szCs w:val="16"/>
              </w:rPr>
              <w:t>151134</w:t>
            </w:r>
          </w:p>
        </w:tc>
        <w:tc>
          <w:tcPr>
            <w:tcW w:w="0" w:type="auto"/>
            <w:tcBorders>
              <w:top w:val="nil"/>
              <w:left w:val="nil"/>
              <w:bottom w:val="single" w:sz="4" w:space="0" w:color="auto"/>
              <w:right w:val="single" w:sz="4" w:space="0" w:color="auto"/>
            </w:tcBorders>
            <w:shd w:val="clear" w:color="auto" w:fill="auto"/>
            <w:vAlign w:val="center"/>
            <w:hideMark/>
          </w:tcPr>
          <w:p w14:paraId="40540916" w14:textId="77777777" w:rsidR="00002D76" w:rsidRPr="00336134" w:rsidRDefault="00002D76" w:rsidP="001429C7">
            <w:pPr>
              <w:spacing w:after="0" w:line="240" w:lineRule="auto"/>
              <w:rPr>
                <w:rFonts w:ascii="Calibri" w:hAnsi="Calibri"/>
                <w:color w:val="231F20"/>
                <w:sz w:val="16"/>
                <w:szCs w:val="16"/>
              </w:rPr>
            </w:pPr>
            <w:r w:rsidRPr="00336134">
              <w:rPr>
                <w:rFonts w:ascii="Calibri" w:hAnsi="Calibri"/>
                <w:color w:val="231F20"/>
                <w:sz w:val="16"/>
                <w:szCs w:val="16"/>
              </w:rPr>
              <w:t>Web Developers</w:t>
            </w:r>
          </w:p>
        </w:tc>
        <w:tc>
          <w:tcPr>
            <w:tcW w:w="0" w:type="auto"/>
            <w:tcBorders>
              <w:top w:val="nil"/>
              <w:left w:val="nil"/>
              <w:bottom w:val="single" w:sz="4" w:space="0" w:color="auto"/>
              <w:right w:val="single" w:sz="4" w:space="0" w:color="auto"/>
            </w:tcBorders>
            <w:shd w:val="clear" w:color="auto" w:fill="auto"/>
            <w:vAlign w:val="center"/>
            <w:hideMark/>
          </w:tcPr>
          <w:p w14:paraId="72ED5DDE" w14:textId="77777777" w:rsidR="00002D76" w:rsidRPr="00336134" w:rsidRDefault="00002D76" w:rsidP="00D63204">
            <w:pPr>
              <w:spacing w:after="0" w:line="240" w:lineRule="auto"/>
              <w:rPr>
                <w:rFonts w:ascii="Calibri" w:hAnsi="Calibri"/>
                <w:color w:val="231F20"/>
                <w:sz w:val="16"/>
                <w:szCs w:val="16"/>
              </w:rPr>
            </w:pPr>
            <w:r w:rsidRPr="00336134">
              <w:rPr>
                <w:rFonts w:ascii="Calibri" w:hAnsi="Calibri"/>
                <w:color w:val="231F20"/>
                <w:sz w:val="16"/>
                <w:szCs w:val="16"/>
              </w:rPr>
              <w:t>9,752</w:t>
            </w:r>
          </w:p>
        </w:tc>
        <w:tc>
          <w:tcPr>
            <w:tcW w:w="0" w:type="auto"/>
            <w:tcBorders>
              <w:top w:val="nil"/>
              <w:left w:val="nil"/>
              <w:bottom w:val="single" w:sz="4" w:space="0" w:color="auto"/>
              <w:right w:val="single" w:sz="4" w:space="0" w:color="auto"/>
            </w:tcBorders>
            <w:shd w:val="clear" w:color="auto" w:fill="auto"/>
            <w:vAlign w:val="center"/>
            <w:hideMark/>
          </w:tcPr>
          <w:p w14:paraId="1736F56D" w14:textId="77777777" w:rsidR="00002D76" w:rsidRPr="00336134" w:rsidRDefault="00002D76" w:rsidP="00D63204">
            <w:pPr>
              <w:spacing w:after="0" w:line="240" w:lineRule="auto"/>
              <w:rPr>
                <w:rFonts w:ascii="Calibri" w:hAnsi="Calibri"/>
                <w:color w:val="231F20"/>
                <w:sz w:val="16"/>
                <w:szCs w:val="16"/>
              </w:rPr>
            </w:pPr>
            <w:r w:rsidRPr="00336134">
              <w:rPr>
                <w:rFonts w:ascii="Calibri" w:hAnsi="Calibri"/>
                <w:color w:val="231F20"/>
                <w:sz w:val="16"/>
                <w:szCs w:val="16"/>
              </w:rPr>
              <w:t>12,248</w:t>
            </w:r>
          </w:p>
        </w:tc>
        <w:tc>
          <w:tcPr>
            <w:tcW w:w="0" w:type="auto"/>
            <w:tcBorders>
              <w:top w:val="nil"/>
              <w:left w:val="nil"/>
              <w:bottom w:val="single" w:sz="4" w:space="0" w:color="auto"/>
              <w:right w:val="single" w:sz="4" w:space="0" w:color="auto"/>
            </w:tcBorders>
            <w:shd w:val="clear" w:color="auto" w:fill="auto"/>
            <w:vAlign w:val="center"/>
            <w:hideMark/>
          </w:tcPr>
          <w:p w14:paraId="3272201A" w14:textId="77777777" w:rsidR="00002D76" w:rsidRPr="00336134" w:rsidRDefault="00002D76" w:rsidP="00D63204">
            <w:pPr>
              <w:spacing w:after="0" w:line="240" w:lineRule="auto"/>
              <w:rPr>
                <w:rFonts w:ascii="Calibri" w:hAnsi="Calibri"/>
                <w:color w:val="231F20"/>
                <w:sz w:val="16"/>
                <w:szCs w:val="16"/>
              </w:rPr>
            </w:pPr>
            <w:r w:rsidRPr="00336134">
              <w:rPr>
                <w:rFonts w:ascii="Calibri" w:hAnsi="Calibri"/>
                <w:color w:val="231F20"/>
                <w:sz w:val="16"/>
                <w:szCs w:val="16"/>
              </w:rPr>
              <w:t>2,496</w:t>
            </w:r>
          </w:p>
        </w:tc>
        <w:tc>
          <w:tcPr>
            <w:tcW w:w="0" w:type="auto"/>
            <w:tcBorders>
              <w:top w:val="nil"/>
              <w:left w:val="nil"/>
              <w:bottom w:val="single" w:sz="4" w:space="0" w:color="auto"/>
              <w:right w:val="single" w:sz="4" w:space="0" w:color="auto"/>
            </w:tcBorders>
            <w:shd w:val="clear" w:color="auto" w:fill="auto"/>
            <w:vAlign w:val="center"/>
            <w:hideMark/>
          </w:tcPr>
          <w:p w14:paraId="5F46668D" w14:textId="77777777" w:rsidR="00002D76" w:rsidRPr="00336134" w:rsidRDefault="00002D76" w:rsidP="00D63204">
            <w:pPr>
              <w:spacing w:after="0" w:line="240" w:lineRule="auto"/>
              <w:rPr>
                <w:rFonts w:ascii="Calibri" w:hAnsi="Calibri"/>
                <w:color w:val="231F20"/>
                <w:sz w:val="16"/>
                <w:szCs w:val="16"/>
              </w:rPr>
            </w:pPr>
            <w:r w:rsidRPr="00336134">
              <w:rPr>
                <w:rFonts w:ascii="Calibri" w:hAnsi="Calibri"/>
                <w:color w:val="231F20"/>
                <w:sz w:val="16"/>
                <w:szCs w:val="16"/>
              </w:rPr>
              <w:t>25.6</w:t>
            </w:r>
          </w:p>
        </w:tc>
        <w:tc>
          <w:tcPr>
            <w:tcW w:w="0" w:type="auto"/>
            <w:tcBorders>
              <w:top w:val="nil"/>
              <w:left w:val="nil"/>
              <w:bottom w:val="single" w:sz="4" w:space="0" w:color="auto"/>
              <w:right w:val="single" w:sz="4" w:space="0" w:color="auto"/>
            </w:tcBorders>
            <w:shd w:val="clear" w:color="auto" w:fill="auto"/>
            <w:vAlign w:val="center"/>
            <w:hideMark/>
          </w:tcPr>
          <w:p w14:paraId="2AD918A6" w14:textId="77777777" w:rsidR="00002D76" w:rsidRPr="00336134" w:rsidRDefault="00002D76" w:rsidP="001429C7">
            <w:pPr>
              <w:spacing w:after="0" w:line="240" w:lineRule="auto"/>
              <w:rPr>
                <w:rFonts w:ascii="Calibri" w:hAnsi="Calibri"/>
                <w:color w:val="231F20"/>
                <w:sz w:val="16"/>
                <w:szCs w:val="16"/>
              </w:rPr>
            </w:pPr>
            <w:r w:rsidRPr="00336134">
              <w:rPr>
                <w:rFonts w:ascii="Calibri" w:hAnsi="Calibri"/>
                <w:color w:val="231F20"/>
                <w:sz w:val="16"/>
                <w:szCs w:val="16"/>
              </w:rPr>
              <w:t>Professional Services</w:t>
            </w:r>
          </w:p>
        </w:tc>
        <w:tc>
          <w:tcPr>
            <w:tcW w:w="0" w:type="auto"/>
            <w:tcBorders>
              <w:top w:val="nil"/>
              <w:left w:val="nil"/>
              <w:bottom w:val="single" w:sz="4" w:space="0" w:color="auto"/>
              <w:right w:val="single" w:sz="4" w:space="0" w:color="auto"/>
            </w:tcBorders>
            <w:shd w:val="clear" w:color="auto" w:fill="auto"/>
            <w:vAlign w:val="center"/>
            <w:hideMark/>
          </w:tcPr>
          <w:p w14:paraId="65936195" w14:textId="77777777" w:rsidR="00002D76" w:rsidRPr="00336134" w:rsidRDefault="00002D76" w:rsidP="00D63204">
            <w:pPr>
              <w:spacing w:after="0" w:line="240" w:lineRule="auto"/>
              <w:rPr>
                <w:rFonts w:ascii="Calibri" w:hAnsi="Calibri"/>
                <w:color w:val="231F20"/>
                <w:sz w:val="16"/>
                <w:szCs w:val="16"/>
              </w:rPr>
            </w:pPr>
            <w:r w:rsidRPr="00336134">
              <w:rPr>
                <w:rFonts w:ascii="Calibri" w:hAnsi="Calibri"/>
                <w:color w:val="231F20"/>
                <w:sz w:val="16"/>
                <w:szCs w:val="16"/>
              </w:rPr>
              <w:t>28.26</w:t>
            </w:r>
          </w:p>
        </w:tc>
        <w:tc>
          <w:tcPr>
            <w:tcW w:w="0" w:type="auto"/>
            <w:tcBorders>
              <w:top w:val="nil"/>
              <w:left w:val="nil"/>
              <w:bottom w:val="single" w:sz="4" w:space="0" w:color="auto"/>
              <w:right w:val="single" w:sz="4" w:space="0" w:color="auto"/>
            </w:tcBorders>
            <w:shd w:val="clear" w:color="auto" w:fill="auto"/>
            <w:vAlign w:val="center"/>
            <w:hideMark/>
          </w:tcPr>
          <w:p w14:paraId="621383B1" w14:textId="77777777" w:rsidR="00002D76" w:rsidRPr="00336134" w:rsidRDefault="00002D76" w:rsidP="00D63204">
            <w:pPr>
              <w:spacing w:after="0" w:line="240" w:lineRule="auto"/>
              <w:rPr>
                <w:rFonts w:ascii="Calibri" w:hAnsi="Calibri"/>
                <w:color w:val="231F20"/>
                <w:sz w:val="16"/>
                <w:szCs w:val="16"/>
              </w:rPr>
            </w:pPr>
            <w:r w:rsidRPr="00336134">
              <w:rPr>
                <w:rFonts w:ascii="Calibri" w:hAnsi="Calibri"/>
                <w:color w:val="231F20"/>
                <w:sz w:val="16"/>
                <w:szCs w:val="16"/>
              </w:rPr>
              <w:t>18.75</w:t>
            </w:r>
          </w:p>
        </w:tc>
        <w:tc>
          <w:tcPr>
            <w:tcW w:w="0" w:type="auto"/>
            <w:tcBorders>
              <w:top w:val="nil"/>
              <w:left w:val="nil"/>
              <w:bottom w:val="single" w:sz="4" w:space="0" w:color="auto"/>
              <w:right w:val="single" w:sz="4" w:space="0" w:color="auto"/>
            </w:tcBorders>
            <w:shd w:val="clear" w:color="auto" w:fill="auto"/>
            <w:vAlign w:val="center"/>
            <w:hideMark/>
          </w:tcPr>
          <w:p w14:paraId="21B01317" w14:textId="77777777" w:rsidR="00002D76" w:rsidRPr="00336134" w:rsidRDefault="00002D76" w:rsidP="00D63204">
            <w:pPr>
              <w:spacing w:after="0" w:line="240" w:lineRule="auto"/>
              <w:rPr>
                <w:rFonts w:ascii="Calibri" w:hAnsi="Calibri"/>
                <w:color w:val="231F20"/>
                <w:sz w:val="16"/>
                <w:szCs w:val="16"/>
              </w:rPr>
            </w:pPr>
            <w:r w:rsidRPr="00336134">
              <w:rPr>
                <w:rFonts w:ascii="Calibri" w:hAnsi="Calibri"/>
                <w:color w:val="231F20"/>
                <w:sz w:val="16"/>
                <w:szCs w:val="16"/>
              </w:rPr>
              <w:t>36.52</w:t>
            </w:r>
          </w:p>
        </w:tc>
      </w:tr>
      <w:tr w:rsidR="00002D76" w:rsidRPr="00336134" w14:paraId="1EBFD765" w14:textId="77777777" w:rsidTr="001429C7">
        <w:trPr>
          <w:trHeight w:val="300"/>
        </w:trPr>
        <w:tc>
          <w:tcPr>
            <w:tcW w:w="0" w:type="auto"/>
            <w:tcBorders>
              <w:top w:val="nil"/>
              <w:left w:val="single" w:sz="4" w:space="0" w:color="auto"/>
              <w:bottom w:val="single" w:sz="4" w:space="0" w:color="auto"/>
              <w:right w:val="single" w:sz="4" w:space="0" w:color="auto"/>
            </w:tcBorders>
            <w:shd w:val="clear" w:color="000000" w:fill="D1D3D4"/>
            <w:vAlign w:val="center"/>
            <w:hideMark/>
          </w:tcPr>
          <w:p w14:paraId="76E7755B" w14:textId="77777777" w:rsidR="00002D76" w:rsidRPr="00336134" w:rsidRDefault="00002D76" w:rsidP="00D63204">
            <w:pPr>
              <w:spacing w:after="0" w:line="240" w:lineRule="auto"/>
              <w:rPr>
                <w:rFonts w:ascii="Calibri" w:hAnsi="Calibri"/>
                <w:color w:val="231F20"/>
                <w:sz w:val="16"/>
                <w:szCs w:val="16"/>
              </w:rPr>
            </w:pPr>
            <w:r w:rsidRPr="00336134">
              <w:rPr>
                <w:rFonts w:ascii="Calibri" w:hAnsi="Calibri"/>
                <w:color w:val="231F20"/>
                <w:sz w:val="16"/>
                <w:szCs w:val="16"/>
              </w:rPr>
              <w:t>18</w:t>
            </w:r>
          </w:p>
        </w:tc>
        <w:tc>
          <w:tcPr>
            <w:tcW w:w="0" w:type="auto"/>
            <w:tcBorders>
              <w:top w:val="nil"/>
              <w:left w:val="nil"/>
              <w:bottom w:val="single" w:sz="4" w:space="0" w:color="auto"/>
              <w:right w:val="single" w:sz="4" w:space="0" w:color="auto"/>
            </w:tcBorders>
            <w:shd w:val="clear" w:color="000000" w:fill="D1D3D4"/>
            <w:vAlign w:val="center"/>
            <w:hideMark/>
          </w:tcPr>
          <w:p w14:paraId="288E0B16" w14:textId="77777777" w:rsidR="00002D76" w:rsidRPr="00336134" w:rsidRDefault="00002D76" w:rsidP="00D63204">
            <w:pPr>
              <w:spacing w:after="0" w:line="240" w:lineRule="auto"/>
              <w:rPr>
                <w:rFonts w:ascii="Calibri" w:hAnsi="Calibri"/>
                <w:color w:val="231F20"/>
                <w:sz w:val="16"/>
                <w:szCs w:val="16"/>
              </w:rPr>
            </w:pPr>
            <w:r w:rsidRPr="00336134">
              <w:rPr>
                <w:rFonts w:ascii="Calibri" w:hAnsi="Calibri"/>
                <w:color w:val="231F20"/>
                <w:sz w:val="16"/>
                <w:szCs w:val="16"/>
              </w:rPr>
              <w:t>291061</w:t>
            </w:r>
          </w:p>
        </w:tc>
        <w:tc>
          <w:tcPr>
            <w:tcW w:w="0" w:type="auto"/>
            <w:tcBorders>
              <w:top w:val="nil"/>
              <w:left w:val="nil"/>
              <w:bottom w:val="single" w:sz="4" w:space="0" w:color="auto"/>
              <w:right w:val="single" w:sz="4" w:space="0" w:color="auto"/>
            </w:tcBorders>
            <w:shd w:val="clear" w:color="000000" w:fill="D1D3D4"/>
            <w:vAlign w:val="center"/>
            <w:hideMark/>
          </w:tcPr>
          <w:p w14:paraId="6C4C1B8A" w14:textId="77777777" w:rsidR="00002D76" w:rsidRPr="00336134" w:rsidRDefault="00002D76" w:rsidP="001429C7">
            <w:pPr>
              <w:spacing w:after="0" w:line="240" w:lineRule="auto"/>
              <w:rPr>
                <w:rFonts w:ascii="Calibri" w:hAnsi="Calibri"/>
                <w:color w:val="231F20"/>
                <w:sz w:val="16"/>
                <w:szCs w:val="16"/>
              </w:rPr>
            </w:pPr>
            <w:r w:rsidRPr="00336134">
              <w:rPr>
                <w:rFonts w:ascii="Calibri" w:hAnsi="Calibri"/>
                <w:color w:val="231F20"/>
                <w:sz w:val="16"/>
                <w:szCs w:val="16"/>
              </w:rPr>
              <w:t>Anesthesiologists</w:t>
            </w:r>
          </w:p>
        </w:tc>
        <w:tc>
          <w:tcPr>
            <w:tcW w:w="0" w:type="auto"/>
            <w:tcBorders>
              <w:top w:val="nil"/>
              <w:left w:val="nil"/>
              <w:bottom w:val="single" w:sz="4" w:space="0" w:color="auto"/>
              <w:right w:val="single" w:sz="4" w:space="0" w:color="auto"/>
            </w:tcBorders>
            <w:shd w:val="clear" w:color="000000" w:fill="D1D3D4"/>
            <w:vAlign w:val="center"/>
            <w:hideMark/>
          </w:tcPr>
          <w:p w14:paraId="3EC96116" w14:textId="77777777" w:rsidR="00002D76" w:rsidRPr="00336134" w:rsidRDefault="00002D76" w:rsidP="00D63204">
            <w:pPr>
              <w:spacing w:after="0" w:line="240" w:lineRule="auto"/>
              <w:rPr>
                <w:rFonts w:ascii="Calibri" w:hAnsi="Calibri"/>
                <w:color w:val="231F20"/>
                <w:sz w:val="16"/>
                <w:szCs w:val="16"/>
              </w:rPr>
            </w:pPr>
            <w:r w:rsidRPr="00336134">
              <w:rPr>
                <w:rFonts w:ascii="Calibri" w:hAnsi="Calibri"/>
                <w:color w:val="231F20"/>
                <w:sz w:val="16"/>
                <w:szCs w:val="16"/>
              </w:rPr>
              <w:t>2,380</w:t>
            </w:r>
          </w:p>
        </w:tc>
        <w:tc>
          <w:tcPr>
            <w:tcW w:w="0" w:type="auto"/>
            <w:tcBorders>
              <w:top w:val="nil"/>
              <w:left w:val="nil"/>
              <w:bottom w:val="single" w:sz="4" w:space="0" w:color="auto"/>
              <w:right w:val="single" w:sz="4" w:space="0" w:color="auto"/>
            </w:tcBorders>
            <w:shd w:val="clear" w:color="000000" w:fill="D1D3D4"/>
            <w:vAlign w:val="center"/>
            <w:hideMark/>
          </w:tcPr>
          <w:p w14:paraId="4E9E6ED2" w14:textId="77777777" w:rsidR="00002D76" w:rsidRPr="00336134" w:rsidRDefault="00002D76" w:rsidP="00D63204">
            <w:pPr>
              <w:spacing w:after="0" w:line="240" w:lineRule="auto"/>
              <w:rPr>
                <w:rFonts w:ascii="Calibri" w:hAnsi="Calibri"/>
                <w:color w:val="231F20"/>
                <w:sz w:val="16"/>
                <w:szCs w:val="16"/>
              </w:rPr>
            </w:pPr>
            <w:r w:rsidRPr="00336134">
              <w:rPr>
                <w:rFonts w:ascii="Calibri" w:hAnsi="Calibri"/>
                <w:color w:val="231F20"/>
                <w:sz w:val="16"/>
                <w:szCs w:val="16"/>
              </w:rPr>
              <w:t>2,985</w:t>
            </w:r>
          </w:p>
        </w:tc>
        <w:tc>
          <w:tcPr>
            <w:tcW w:w="0" w:type="auto"/>
            <w:tcBorders>
              <w:top w:val="nil"/>
              <w:left w:val="nil"/>
              <w:bottom w:val="single" w:sz="4" w:space="0" w:color="auto"/>
              <w:right w:val="single" w:sz="4" w:space="0" w:color="auto"/>
            </w:tcBorders>
            <w:shd w:val="clear" w:color="000000" w:fill="D1D3D4"/>
            <w:vAlign w:val="center"/>
            <w:hideMark/>
          </w:tcPr>
          <w:p w14:paraId="2F0E425C" w14:textId="77777777" w:rsidR="00002D76" w:rsidRPr="00336134" w:rsidRDefault="00002D76" w:rsidP="00D63204">
            <w:pPr>
              <w:spacing w:after="0" w:line="240" w:lineRule="auto"/>
              <w:rPr>
                <w:rFonts w:ascii="Calibri" w:hAnsi="Calibri"/>
                <w:color w:val="231F20"/>
                <w:sz w:val="16"/>
                <w:szCs w:val="16"/>
              </w:rPr>
            </w:pPr>
            <w:r w:rsidRPr="00336134">
              <w:rPr>
                <w:rFonts w:ascii="Calibri" w:hAnsi="Calibri"/>
                <w:color w:val="231F20"/>
                <w:sz w:val="16"/>
                <w:szCs w:val="16"/>
              </w:rPr>
              <w:t>605</w:t>
            </w:r>
          </w:p>
        </w:tc>
        <w:tc>
          <w:tcPr>
            <w:tcW w:w="0" w:type="auto"/>
            <w:tcBorders>
              <w:top w:val="nil"/>
              <w:left w:val="nil"/>
              <w:bottom w:val="single" w:sz="4" w:space="0" w:color="auto"/>
              <w:right w:val="single" w:sz="4" w:space="0" w:color="auto"/>
            </w:tcBorders>
            <w:shd w:val="clear" w:color="000000" w:fill="D1D3D4"/>
            <w:vAlign w:val="center"/>
            <w:hideMark/>
          </w:tcPr>
          <w:p w14:paraId="5114959E" w14:textId="77777777" w:rsidR="00002D76" w:rsidRPr="00336134" w:rsidRDefault="00002D76" w:rsidP="00D63204">
            <w:pPr>
              <w:spacing w:after="0" w:line="240" w:lineRule="auto"/>
              <w:rPr>
                <w:rFonts w:ascii="Calibri" w:hAnsi="Calibri"/>
                <w:color w:val="231F20"/>
                <w:sz w:val="16"/>
                <w:szCs w:val="16"/>
              </w:rPr>
            </w:pPr>
            <w:r w:rsidRPr="00336134">
              <w:rPr>
                <w:rFonts w:ascii="Calibri" w:hAnsi="Calibri"/>
                <w:color w:val="231F20"/>
                <w:sz w:val="16"/>
                <w:szCs w:val="16"/>
              </w:rPr>
              <w:t>25.4</w:t>
            </w:r>
          </w:p>
        </w:tc>
        <w:tc>
          <w:tcPr>
            <w:tcW w:w="0" w:type="auto"/>
            <w:tcBorders>
              <w:top w:val="nil"/>
              <w:left w:val="nil"/>
              <w:bottom w:val="single" w:sz="4" w:space="0" w:color="auto"/>
              <w:right w:val="single" w:sz="4" w:space="0" w:color="auto"/>
            </w:tcBorders>
            <w:shd w:val="clear" w:color="000000" w:fill="D1D3D4"/>
            <w:vAlign w:val="center"/>
            <w:hideMark/>
          </w:tcPr>
          <w:p w14:paraId="1DBCB235" w14:textId="77777777" w:rsidR="00002D76" w:rsidRPr="00336134" w:rsidRDefault="00002D76" w:rsidP="001429C7">
            <w:pPr>
              <w:spacing w:after="0" w:line="240" w:lineRule="auto"/>
              <w:rPr>
                <w:rFonts w:ascii="Calibri" w:hAnsi="Calibri"/>
                <w:color w:val="231F20"/>
                <w:sz w:val="16"/>
                <w:szCs w:val="16"/>
              </w:rPr>
            </w:pPr>
            <w:r w:rsidRPr="00336134">
              <w:rPr>
                <w:rFonts w:ascii="Calibri" w:hAnsi="Calibri"/>
                <w:color w:val="231F20"/>
                <w:sz w:val="16"/>
                <w:szCs w:val="16"/>
              </w:rPr>
              <w:t>Healthcare</w:t>
            </w:r>
          </w:p>
        </w:tc>
        <w:tc>
          <w:tcPr>
            <w:tcW w:w="0" w:type="auto"/>
            <w:tcBorders>
              <w:top w:val="nil"/>
              <w:left w:val="nil"/>
              <w:bottom w:val="single" w:sz="4" w:space="0" w:color="auto"/>
              <w:right w:val="single" w:sz="4" w:space="0" w:color="auto"/>
            </w:tcBorders>
            <w:shd w:val="clear" w:color="000000" w:fill="D1D3D4"/>
            <w:vAlign w:val="center"/>
            <w:hideMark/>
          </w:tcPr>
          <w:p w14:paraId="6B0D4CA1" w14:textId="77777777" w:rsidR="00002D76" w:rsidRPr="00336134" w:rsidRDefault="00002D76" w:rsidP="00D63204">
            <w:pPr>
              <w:spacing w:after="0" w:line="240" w:lineRule="auto"/>
              <w:rPr>
                <w:rFonts w:ascii="Calibri" w:hAnsi="Calibri"/>
                <w:color w:val="231F20"/>
                <w:sz w:val="16"/>
                <w:szCs w:val="16"/>
              </w:rPr>
            </w:pPr>
            <w:r w:rsidRPr="00336134">
              <w:rPr>
                <w:rFonts w:ascii="Calibri" w:hAnsi="Calibri"/>
                <w:color w:val="231F20"/>
                <w:sz w:val="16"/>
                <w:szCs w:val="16"/>
              </w:rPr>
              <w:t>NR</w:t>
            </w:r>
          </w:p>
        </w:tc>
        <w:tc>
          <w:tcPr>
            <w:tcW w:w="0" w:type="auto"/>
            <w:tcBorders>
              <w:top w:val="nil"/>
              <w:left w:val="nil"/>
              <w:bottom w:val="single" w:sz="4" w:space="0" w:color="auto"/>
              <w:right w:val="single" w:sz="4" w:space="0" w:color="auto"/>
            </w:tcBorders>
            <w:shd w:val="clear" w:color="000000" w:fill="D1D3D4"/>
            <w:vAlign w:val="center"/>
            <w:hideMark/>
          </w:tcPr>
          <w:p w14:paraId="7841B139" w14:textId="77777777" w:rsidR="00002D76" w:rsidRPr="00336134" w:rsidRDefault="00002D76" w:rsidP="00D63204">
            <w:pPr>
              <w:spacing w:after="0" w:line="240" w:lineRule="auto"/>
              <w:rPr>
                <w:rFonts w:ascii="Calibri" w:hAnsi="Calibri"/>
                <w:color w:val="231F20"/>
                <w:sz w:val="16"/>
                <w:szCs w:val="16"/>
              </w:rPr>
            </w:pPr>
            <w:r w:rsidRPr="00336134">
              <w:rPr>
                <w:rFonts w:ascii="Calibri" w:hAnsi="Calibri"/>
                <w:color w:val="231F20"/>
                <w:sz w:val="16"/>
                <w:szCs w:val="16"/>
              </w:rPr>
              <w:t>NR</w:t>
            </w:r>
          </w:p>
        </w:tc>
        <w:tc>
          <w:tcPr>
            <w:tcW w:w="0" w:type="auto"/>
            <w:tcBorders>
              <w:top w:val="nil"/>
              <w:left w:val="nil"/>
              <w:bottom w:val="single" w:sz="4" w:space="0" w:color="auto"/>
              <w:right w:val="single" w:sz="4" w:space="0" w:color="auto"/>
            </w:tcBorders>
            <w:shd w:val="clear" w:color="000000" w:fill="D1D3D4"/>
            <w:vAlign w:val="center"/>
            <w:hideMark/>
          </w:tcPr>
          <w:p w14:paraId="0B38D7EA" w14:textId="77777777" w:rsidR="00002D76" w:rsidRPr="00336134" w:rsidRDefault="00002D76" w:rsidP="00D63204">
            <w:pPr>
              <w:spacing w:after="0" w:line="240" w:lineRule="auto"/>
              <w:rPr>
                <w:rFonts w:ascii="Calibri" w:hAnsi="Calibri"/>
                <w:color w:val="231F20"/>
                <w:sz w:val="16"/>
                <w:szCs w:val="16"/>
              </w:rPr>
            </w:pPr>
            <w:r w:rsidRPr="00336134">
              <w:rPr>
                <w:rFonts w:ascii="Calibri" w:hAnsi="Calibri"/>
                <w:color w:val="231F20"/>
                <w:sz w:val="16"/>
                <w:szCs w:val="16"/>
              </w:rPr>
              <w:t>NR</w:t>
            </w:r>
          </w:p>
        </w:tc>
      </w:tr>
      <w:tr w:rsidR="00002D76" w:rsidRPr="00336134" w14:paraId="29624F73" w14:textId="77777777" w:rsidTr="001429C7">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0B6F7B0" w14:textId="77777777" w:rsidR="00002D76" w:rsidRPr="00336134" w:rsidRDefault="00002D76" w:rsidP="00D63204">
            <w:pPr>
              <w:spacing w:after="0" w:line="240" w:lineRule="auto"/>
              <w:rPr>
                <w:rFonts w:ascii="Calibri" w:hAnsi="Calibri"/>
                <w:color w:val="231F20"/>
                <w:sz w:val="16"/>
                <w:szCs w:val="16"/>
              </w:rPr>
            </w:pPr>
            <w:r w:rsidRPr="00336134">
              <w:rPr>
                <w:rFonts w:ascii="Calibri" w:hAnsi="Calibri"/>
                <w:color w:val="231F20"/>
                <w:sz w:val="16"/>
                <w:szCs w:val="16"/>
              </w:rPr>
              <w:t>19</w:t>
            </w:r>
          </w:p>
        </w:tc>
        <w:tc>
          <w:tcPr>
            <w:tcW w:w="0" w:type="auto"/>
            <w:tcBorders>
              <w:top w:val="nil"/>
              <w:left w:val="nil"/>
              <w:bottom w:val="single" w:sz="4" w:space="0" w:color="auto"/>
              <w:right w:val="single" w:sz="4" w:space="0" w:color="auto"/>
            </w:tcBorders>
            <w:shd w:val="clear" w:color="auto" w:fill="auto"/>
            <w:vAlign w:val="center"/>
            <w:hideMark/>
          </w:tcPr>
          <w:p w14:paraId="4648E50B" w14:textId="77777777" w:rsidR="00002D76" w:rsidRPr="00336134" w:rsidRDefault="00002D76" w:rsidP="00D63204">
            <w:pPr>
              <w:spacing w:after="0" w:line="240" w:lineRule="auto"/>
              <w:rPr>
                <w:rFonts w:ascii="Calibri" w:hAnsi="Calibri"/>
                <w:color w:val="231F20"/>
                <w:sz w:val="16"/>
                <w:szCs w:val="16"/>
              </w:rPr>
            </w:pPr>
            <w:r w:rsidRPr="00336134">
              <w:rPr>
                <w:rFonts w:ascii="Calibri" w:hAnsi="Calibri"/>
                <w:color w:val="231F20"/>
                <w:sz w:val="16"/>
                <w:szCs w:val="16"/>
              </w:rPr>
              <w:t>292057</w:t>
            </w:r>
          </w:p>
        </w:tc>
        <w:tc>
          <w:tcPr>
            <w:tcW w:w="0" w:type="auto"/>
            <w:tcBorders>
              <w:top w:val="nil"/>
              <w:left w:val="nil"/>
              <w:bottom w:val="single" w:sz="4" w:space="0" w:color="auto"/>
              <w:right w:val="single" w:sz="4" w:space="0" w:color="auto"/>
            </w:tcBorders>
            <w:shd w:val="clear" w:color="auto" w:fill="auto"/>
            <w:vAlign w:val="center"/>
            <w:hideMark/>
          </w:tcPr>
          <w:p w14:paraId="7587A31F" w14:textId="77777777" w:rsidR="00002D76" w:rsidRPr="00336134" w:rsidRDefault="00002D76" w:rsidP="001429C7">
            <w:pPr>
              <w:spacing w:after="0" w:line="240" w:lineRule="auto"/>
              <w:rPr>
                <w:rFonts w:ascii="Calibri" w:hAnsi="Calibri"/>
                <w:color w:val="231F20"/>
                <w:sz w:val="16"/>
                <w:szCs w:val="16"/>
              </w:rPr>
            </w:pPr>
            <w:r w:rsidRPr="00336134">
              <w:rPr>
                <w:rFonts w:ascii="Calibri" w:hAnsi="Calibri"/>
                <w:color w:val="231F20"/>
                <w:sz w:val="16"/>
                <w:szCs w:val="16"/>
              </w:rPr>
              <w:t>Ophthalmic Medical Technicians</w:t>
            </w:r>
          </w:p>
        </w:tc>
        <w:tc>
          <w:tcPr>
            <w:tcW w:w="0" w:type="auto"/>
            <w:tcBorders>
              <w:top w:val="nil"/>
              <w:left w:val="nil"/>
              <w:bottom w:val="single" w:sz="4" w:space="0" w:color="auto"/>
              <w:right w:val="single" w:sz="4" w:space="0" w:color="auto"/>
            </w:tcBorders>
            <w:shd w:val="clear" w:color="auto" w:fill="auto"/>
            <w:vAlign w:val="center"/>
            <w:hideMark/>
          </w:tcPr>
          <w:p w14:paraId="6F89CB14" w14:textId="77777777" w:rsidR="00002D76" w:rsidRPr="00336134" w:rsidRDefault="00002D76" w:rsidP="00D63204">
            <w:pPr>
              <w:spacing w:after="0" w:line="240" w:lineRule="auto"/>
              <w:rPr>
                <w:rFonts w:ascii="Calibri" w:hAnsi="Calibri"/>
                <w:color w:val="231F20"/>
                <w:sz w:val="16"/>
                <w:szCs w:val="16"/>
              </w:rPr>
            </w:pPr>
            <w:r w:rsidRPr="00336134">
              <w:rPr>
                <w:rFonts w:ascii="Calibri" w:hAnsi="Calibri"/>
                <w:color w:val="231F20"/>
                <w:sz w:val="16"/>
                <w:szCs w:val="16"/>
              </w:rPr>
              <w:t>3,466</w:t>
            </w:r>
          </w:p>
        </w:tc>
        <w:tc>
          <w:tcPr>
            <w:tcW w:w="0" w:type="auto"/>
            <w:tcBorders>
              <w:top w:val="nil"/>
              <w:left w:val="nil"/>
              <w:bottom w:val="single" w:sz="4" w:space="0" w:color="auto"/>
              <w:right w:val="single" w:sz="4" w:space="0" w:color="auto"/>
            </w:tcBorders>
            <w:shd w:val="clear" w:color="auto" w:fill="auto"/>
            <w:vAlign w:val="center"/>
            <w:hideMark/>
          </w:tcPr>
          <w:p w14:paraId="1440B0FC" w14:textId="77777777" w:rsidR="00002D76" w:rsidRPr="00336134" w:rsidRDefault="00002D76" w:rsidP="00D63204">
            <w:pPr>
              <w:spacing w:after="0" w:line="240" w:lineRule="auto"/>
              <w:rPr>
                <w:rFonts w:ascii="Calibri" w:hAnsi="Calibri"/>
                <w:color w:val="231F20"/>
                <w:sz w:val="16"/>
                <w:szCs w:val="16"/>
              </w:rPr>
            </w:pPr>
            <w:r w:rsidRPr="00336134">
              <w:rPr>
                <w:rFonts w:ascii="Calibri" w:hAnsi="Calibri"/>
                <w:color w:val="231F20"/>
                <w:sz w:val="16"/>
                <w:szCs w:val="16"/>
              </w:rPr>
              <w:t>4,345</w:t>
            </w:r>
          </w:p>
        </w:tc>
        <w:tc>
          <w:tcPr>
            <w:tcW w:w="0" w:type="auto"/>
            <w:tcBorders>
              <w:top w:val="nil"/>
              <w:left w:val="nil"/>
              <w:bottom w:val="single" w:sz="4" w:space="0" w:color="auto"/>
              <w:right w:val="single" w:sz="4" w:space="0" w:color="auto"/>
            </w:tcBorders>
            <w:shd w:val="clear" w:color="auto" w:fill="auto"/>
            <w:vAlign w:val="center"/>
            <w:hideMark/>
          </w:tcPr>
          <w:p w14:paraId="10D26A9F" w14:textId="77777777" w:rsidR="00002D76" w:rsidRPr="00336134" w:rsidRDefault="00002D76" w:rsidP="00D63204">
            <w:pPr>
              <w:spacing w:after="0" w:line="240" w:lineRule="auto"/>
              <w:rPr>
                <w:rFonts w:ascii="Calibri" w:hAnsi="Calibri"/>
                <w:color w:val="231F20"/>
                <w:sz w:val="16"/>
                <w:szCs w:val="16"/>
              </w:rPr>
            </w:pPr>
            <w:r w:rsidRPr="00336134">
              <w:rPr>
                <w:rFonts w:ascii="Calibri" w:hAnsi="Calibri"/>
                <w:color w:val="231F20"/>
                <w:sz w:val="16"/>
                <w:szCs w:val="16"/>
              </w:rPr>
              <w:t>879</w:t>
            </w:r>
          </w:p>
        </w:tc>
        <w:tc>
          <w:tcPr>
            <w:tcW w:w="0" w:type="auto"/>
            <w:tcBorders>
              <w:top w:val="nil"/>
              <w:left w:val="nil"/>
              <w:bottom w:val="single" w:sz="4" w:space="0" w:color="auto"/>
              <w:right w:val="single" w:sz="4" w:space="0" w:color="auto"/>
            </w:tcBorders>
            <w:shd w:val="clear" w:color="auto" w:fill="auto"/>
            <w:vAlign w:val="center"/>
            <w:hideMark/>
          </w:tcPr>
          <w:p w14:paraId="73511CA4" w14:textId="77777777" w:rsidR="00002D76" w:rsidRPr="00336134" w:rsidRDefault="00002D76" w:rsidP="00D63204">
            <w:pPr>
              <w:spacing w:after="0" w:line="240" w:lineRule="auto"/>
              <w:rPr>
                <w:rFonts w:ascii="Calibri" w:hAnsi="Calibri"/>
                <w:color w:val="231F20"/>
                <w:sz w:val="16"/>
                <w:szCs w:val="16"/>
              </w:rPr>
            </w:pPr>
            <w:r w:rsidRPr="00336134">
              <w:rPr>
                <w:rFonts w:ascii="Calibri" w:hAnsi="Calibri"/>
                <w:color w:val="231F20"/>
                <w:sz w:val="16"/>
                <w:szCs w:val="16"/>
              </w:rPr>
              <w:t>25.4</w:t>
            </w:r>
          </w:p>
        </w:tc>
        <w:tc>
          <w:tcPr>
            <w:tcW w:w="0" w:type="auto"/>
            <w:tcBorders>
              <w:top w:val="nil"/>
              <w:left w:val="nil"/>
              <w:bottom w:val="single" w:sz="4" w:space="0" w:color="auto"/>
              <w:right w:val="single" w:sz="4" w:space="0" w:color="auto"/>
            </w:tcBorders>
            <w:shd w:val="clear" w:color="auto" w:fill="auto"/>
            <w:vAlign w:val="center"/>
            <w:hideMark/>
          </w:tcPr>
          <w:p w14:paraId="09C4B957" w14:textId="77777777" w:rsidR="00002D76" w:rsidRPr="00336134" w:rsidRDefault="00002D76" w:rsidP="001429C7">
            <w:pPr>
              <w:spacing w:after="0" w:line="240" w:lineRule="auto"/>
              <w:rPr>
                <w:rFonts w:ascii="Calibri" w:hAnsi="Calibri"/>
                <w:color w:val="231F20"/>
                <w:sz w:val="16"/>
                <w:szCs w:val="16"/>
              </w:rPr>
            </w:pPr>
            <w:r w:rsidRPr="00336134">
              <w:rPr>
                <w:rFonts w:ascii="Calibri" w:hAnsi="Calibri"/>
                <w:color w:val="231F20"/>
                <w:sz w:val="16"/>
                <w:szCs w:val="16"/>
              </w:rPr>
              <w:t>Healthcare</w:t>
            </w:r>
          </w:p>
        </w:tc>
        <w:tc>
          <w:tcPr>
            <w:tcW w:w="0" w:type="auto"/>
            <w:tcBorders>
              <w:top w:val="nil"/>
              <w:left w:val="nil"/>
              <w:bottom w:val="single" w:sz="4" w:space="0" w:color="auto"/>
              <w:right w:val="single" w:sz="4" w:space="0" w:color="auto"/>
            </w:tcBorders>
            <w:shd w:val="clear" w:color="auto" w:fill="auto"/>
            <w:vAlign w:val="center"/>
            <w:hideMark/>
          </w:tcPr>
          <w:p w14:paraId="5B06F886" w14:textId="77777777" w:rsidR="00002D76" w:rsidRPr="00336134" w:rsidRDefault="00002D76" w:rsidP="00D63204">
            <w:pPr>
              <w:spacing w:after="0" w:line="240" w:lineRule="auto"/>
              <w:rPr>
                <w:rFonts w:ascii="Calibri" w:hAnsi="Calibri"/>
                <w:color w:val="231F20"/>
                <w:sz w:val="16"/>
                <w:szCs w:val="16"/>
              </w:rPr>
            </w:pPr>
            <w:r w:rsidRPr="00336134">
              <w:rPr>
                <w:rFonts w:ascii="Calibri" w:hAnsi="Calibri"/>
                <w:color w:val="231F20"/>
                <w:sz w:val="16"/>
                <w:szCs w:val="16"/>
              </w:rPr>
              <w:t>17.61</w:t>
            </w:r>
          </w:p>
        </w:tc>
        <w:tc>
          <w:tcPr>
            <w:tcW w:w="0" w:type="auto"/>
            <w:tcBorders>
              <w:top w:val="nil"/>
              <w:left w:val="nil"/>
              <w:bottom w:val="single" w:sz="4" w:space="0" w:color="auto"/>
              <w:right w:val="single" w:sz="4" w:space="0" w:color="auto"/>
            </w:tcBorders>
            <w:shd w:val="clear" w:color="auto" w:fill="auto"/>
            <w:vAlign w:val="center"/>
            <w:hideMark/>
          </w:tcPr>
          <w:p w14:paraId="3579162E" w14:textId="77777777" w:rsidR="00002D76" w:rsidRPr="00336134" w:rsidRDefault="00002D76" w:rsidP="00D63204">
            <w:pPr>
              <w:spacing w:after="0" w:line="240" w:lineRule="auto"/>
              <w:rPr>
                <w:rFonts w:ascii="Calibri" w:hAnsi="Calibri"/>
                <w:color w:val="231F20"/>
                <w:sz w:val="16"/>
                <w:szCs w:val="16"/>
              </w:rPr>
            </w:pPr>
            <w:r w:rsidRPr="00336134">
              <w:rPr>
                <w:rFonts w:ascii="Calibri" w:hAnsi="Calibri"/>
                <w:color w:val="231F20"/>
                <w:sz w:val="16"/>
                <w:szCs w:val="16"/>
              </w:rPr>
              <w:t>13.97</w:t>
            </w:r>
          </w:p>
        </w:tc>
        <w:tc>
          <w:tcPr>
            <w:tcW w:w="0" w:type="auto"/>
            <w:tcBorders>
              <w:top w:val="nil"/>
              <w:left w:val="nil"/>
              <w:bottom w:val="single" w:sz="4" w:space="0" w:color="auto"/>
              <w:right w:val="single" w:sz="4" w:space="0" w:color="auto"/>
            </w:tcBorders>
            <w:shd w:val="clear" w:color="auto" w:fill="auto"/>
            <w:vAlign w:val="center"/>
            <w:hideMark/>
          </w:tcPr>
          <w:p w14:paraId="0154B2F7" w14:textId="77777777" w:rsidR="00002D76" w:rsidRPr="00336134" w:rsidRDefault="00002D76" w:rsidP="00D63204">
            <w:pPr>
              <w:spacing w:after="0" w:line="240" w:lineRule="auto"/>
              <w:rPr>
                <w:rFonts w:ascii="Calibri" w:hAnsi="Calibri"/>
                <w:color w:val="231F20"/>
                <w:sz w:val="16"/>
                <w:szCs w:val="16"/>
              </w:rPr>
            </w:pPr>
            <w:r w:rsidRPr="00336134">
              <w:rPr>
                <w:rFonts w:ascii="Calibri" w:hAnsi="Calibri"/>
                <w:color w:val="231F20"/>
                <w:sz w:val="16"/>
                <w:szCs w:val="16"/>
              </w:rPr>
              <w:t>19.82</w:t>
            </w:r>
          </w:p>
        </w:tc>
      </w:tr>
      <w:tr w:rsidR="00002D76" w:rsidRPr="00336134" w14:paraId="45DB621F" w14:textId="77777777" w:rsidTr="001429C7">
        <w:trPr>
          <w:trHeight w:val="300"/>
        </w:trPr>
        <w:tc>
          <w:tcPr>
            <w:tcW w:w="0" w:type="auto"/>
            <w:tcBorders>
              <w:top w:val="nil"/>
              <w:left w:val="single" w:sz="4" w:space="0" w:color="auto"/>
              <w:bottom w:val="single" w:sz="4" w:space="0" w:color="auto"/>
              <w:right w:val="single" w:sz="4" w:space="0" w:color="auto"/>
            </w:tcBorders>
            <w:shd w:val="clear" w:color="000000" w:fill="D1D3D4"/>
            <w:vAlign w:val="center"/>
            <w:hideMark/>
          </w:tcPr>
          <w:p w14:paraId="3B8EBE94" w14:textId="77777777" w:rsidR="00002D76" w:rsidRPr="00336134" w:rsidRDefault="00002D76" w:rsidP="00D63204">
            <w:pPr>
              <w:spacing w:after="0" w:line="240" w:lineRule="auto"/>
              <w:rPr>
                <w:rFonts w:ascii="Calibri" w:hAnsi="Calibri"/>
                <w:color w:val="231F20"/>
                <w:sz w:val="16"/>
                <w:szCs w:val="16"/>
              </w:rPr>
            </w:pPr>
            <w:r w:rsidRPr="00336134">
              <w:rPr>
                <w:rFonts w:ascii="Calibri" w:hAnsi="Calibri"/>
                <w:color w:val="231F20"/>
                <w:sz w:val="16"/>
                <w:szCs w:val="16"/>
              </w:rPr>
              <w:t>20</w:t>
            </w:r>
          </w:p>
        </w:tc>
        <w:tc>
          <w:tcPr>
            <w:tcW w:w="0" w:type="auto"/>
            <w:tcBorders>
              <w:top w:val="nil"/>
              <w:left w:val="nil"/>
              <w:bottom w:val="single" w:sz="4" w:space="0" w:color="auto"/>
              <w:right w:val="single" w:sz="4" w:space="0" w:color="auto"/>
            </w:tcBorders>
            <w:shd w:val="clear" w:color="000000" w:fill="D1D3D4"/>
            <w:vAlign w:val="center"/>
            <w:hideMark/>
          </w:tcPr>
          <w:p w14:paraId="6E3203E6" w14:textId="77777777" w:rsidR="00002D76" w:rsidRPr="00336134" w:rsidRDefault="00002D76" w:rsidP="00D63204">
            <w:pPr>
              <w:spacing w:after="0" w:line="240" w:lineRule="auto"/>
              <w:rPr>
                <w:rFonts w:ascii="Calibri" w:hAnsi="Calibri"/>
                <w:color w:val="231F20"/>
                <w:sz w:val="16"/>
                <w:szCs w:val="16"/>
              </w:rPr>
            </w:pPr>
            <w:r w:rsidRPr="00336134">
              <w:rPr>
                <w:rFonts w:ascii="Calibri" w:hAnsi="Calibri"/>
                <w:color w:val="231F20"/>
                <w:sz w:val="16"/>
                <w:szCs w:val="16"/>
              </w:rPr>
              <w:t>291181</w:t>
            </w:r>
          </w:p>
        </w:tc>
        <w:tc>
          <w:tcPr>
            <w:tcW w:w="0" w:type="auto"/>
            <w:tcBorders>
              <w:top w:val="nil"/>
              <w:left w:val="nil"/>
              <w:bottom w:val="single" w:sz="4" w:space="0" w:color="auto"/>
              <w:right w:val="single" w:sz="4" w:space="0" w:color="auto"/>
            </w:tcBorders>
            <w:shd w:val="clear" w:color="000000" w:fill="D1D3D4"/>
            <w:vAlign w:val="center"/>
            <w:hideMark/>
          </w:tcPr>
          <w:p w14:paraId="0FCC85B2" w14:textId="77777777" w:rsidR="00002D76" w:rsidRPr="00336134" w:rsidRDefault="00002D76" w:rsidP="001429C7">
            <w:pPr>
              <w:spacing w:after="0" w:line="240" w:lineRule="auto"/>
              <w:rPr>
                <w:rFonts w:ascii="Calibri" w:hAnsi="Calibri"/>
                <w:color w:val="231F20"/>
                <w:sz w:val="16"/>
                <w:szCs w:val="16"/>
              </w:rPr>
            </w:pPr>
            <w:r w:rsidRPr="00336134">
              <w:rPr>
                <w:rFonts w:ascii="Calibri" w:hAnsi="Calibri"/>
                <w:color w:val="231F20"/>
                <w:sz w:val="16"/>
                <w:szCs w:val="16"/>
              </w:rPr>
              <w:t>Audiologists</w:t>
            </w:r>
          </w:p>
        </w:tc>
        <w:tc>
          <w:tcPr>
            <w:tcW w:w="0" w:type="auto"/>
            <w:tcBorders>
              <w:top w:val="nil"/>
              <w:left w:val="nil"/>
              <w:bottom w:val="single" w:sz="4" w:space="0" w:color="auto"/>
              <w:right w:val="single" w:sz="4" w:space="0" w:color="auto"/>
            </w:tcBorders>
            <w:shd w:val="clear" w:color="000000" w:fill="D1D3D4"/>
            <w:vAlign w:val="center"/>
            <w:hideMark/>
          </w:tcPr>
          <w:p w14:paraId="3431A9F3" w14:textId="77777777" w:rsidR="00002D76" w:rsidRPr="00336134" w:rsidRDefault="00002D76" w:rsidP="00D63204">
            <w:pPr>
              <w:spacing w:after="0" w:line="240" w:lineRule="auto"/>
              <w:rPr>
                <w:rFonts w:ascii="Calibri" w:hAnsi="Calibri"/>
                <w:color w:val="231F20"/>
                <w:sz w:val="16"/>
                <w:szCs w:val="16"/>
              </w:rPr>
            </w:pPr>
            <w:r w:rsidRPr="00336134">
              <w:rPr>
                <w:rFonts w:ascii="Calibri" w:hAnsi="Calibri"/>
                <w:color w:val="231F20"/>
                <w:sz w:val="16"/>
                <w:szCs w:val="16"/>
              </w:rPr>
              <w:t>742</w:t>
            </w:r>
          </w:p>
        </w:tc>
        <w:tc>
          <w:tcPr>
            <w:tcW w:w="0" w:type="auto"/>
            <w:tcBorders>
              <w:top w:val="nil"/>
              <w:left w:val="nil"/>
              <w:bottom w:val="single" w:sz="4" w:space="0" w:color="auto"/>
              <w:right w:val="single" w:sz="4" w:space="0" w:color="auto"/>
            </w:tcBorders>
            <w:shd w:val="clear" w:color="000000" w:fill="D1D3D4"/>
            <w:vAlign w:val="center"/>
            <w:hideMark/>
          </w:tcPr>
          <w:p w14:paraId="7051902A" w14:textId="77777777" w:rsidR="00002D76" w:rsidRPr="00336134" w:rsidRDefault="00002D76" w:rsidP="00D63204">
            <w:pPr>
              <w:spacing w:after="0" w:line="240" w:lineRule="auto"/>
              <w:rPr>
                <w:rFonts w:ascii="Calibri" w:hAnsi="Calibri"/>
                <w:color w:val="231F20"/>
                <w:sz w:val="16"/>
                <w:szCs w:val="16"/>
              </w:rPr>
            </w:pPr>
            <w:r w:rsidRPr="00336134">
              <w:rPr>
                <w:rFonts w:ascii="Calibri" w:hAnsi="Calibri"/>
                <w:color w:val="231F20"/>
                <w:sz w:val="16"/>
                <w:szCs w:val="16"/>
              </w:rPr>
              <w:t>930</w:t>
            </w:r>
          </w:p>
        </w:tc>
        <w:tc>
          <w:tcPr>
            <w:tcW w:w="0" w:type="auto"/>
            <w:tcBorders>
              <w:top w:val="nil"/>
              <w:left w:val="nil"/>
              <w:bottom w:val="single" w:sz="4" w:space="0" w:color="auto"/>
              <w:right w:val="single" w:sz="4" w:space="0" w:color="auto"/>
            </w:tcBorders>
            <w:shd w:val="clear" w:color="000000" w:fill="D1D3D4"/>
            <w:vAlign w:val="center"/>
            <w:hideMark/>
          </w:tcPr>
          <w:p w14:paraId="041480A4" w14:textId="77777777" w:rsidR="00002D76" w:rsidRPr="00336134" w:rsidRDefault="00002D76" w:rsidP="00D63204">
            <w:pPr>
              <w:spacing w:after="0" w:line="240" w:lineRule="auto"/>
              <w:rPr>
                <w:rFonts w:ascii="Calibri" w:hAnsi="Calibri"/>
                <w:color w:val="231F20"/>
                <w:sz w:val="16"/>
                <w:szCs w:val="16"/>
              </w:rPr>
            </w:pPr>
            <w:r w:rsidRPr="00336134">
              <w:rPr>
                <w:rFonts w:ascii="Calibri" w:hAnsi="Calibri"/>
                <w:color w:val="231F20"/>
                <w:sz w:val="16"/>
                <w:szCs w:val="16"/>
              </w:rPr>
              <w:t>188</w:t>
            </w:r>
          </w:p>
        </w:tc>
        <w:tc>
          <w:tcPr>
            <w:tcW w:w="0" w:type="auto"/>
            <w:tcBorders>
              <w:top w:val="nil"/>
              <w:left w:val="nil"/>
              <w:bottom w:val="single" w:sz="4" w:space="0" w:color="auto"/>
              <w:right w:val="single" w:sz="4" w:space="0" w:color="auto"/>
            </w:tcBorders>
            <w:shd w:val="clear" w:color="000000" w:fill="D1D3D4"/>
            <w:vAlign w:val="center"/>
            <w:hideMark/>
          </w:tcPr>
          <w:p w14:paraId="2197BDEA" w14:textId="77777777" w:rsidR="00002D76" w:rsidRPr="00336134" w:rsidRDefault="00002D76" w:rsidP="00D63204">
            <w:pPr>
              <w:spacing w:after="0" w:line="240" w:lineRule="auto"/>
              <w:rPr>
                <w:rFonts w:ascii="Calibri" w:hAnsi="Calibri"/>
                <w:color w:val="231F20"/>
                <w:sz w:val="16"/>
                <w:szCs w:val="16"/>
              </w:rPr>
            </w:pPr>
            <w:r w:rsidRPr="00336134">
              <w:rPr>
                <w:rFonts w:ascii="Calibri" w:hAnsi="Calibri"/>
                <w:color w:val="231F20"/>
                <w:sz w:val="16"/>
                <w:szCs w:val="16"/>
              </w:rPr>
              <w:t>25.3</w:t>
            </w:r>
          </w:p>
        </w:tc>
        <w:tc>
          <w:tcPr>
            <w:tcW w:w="0" w:type="auto"/>
            <w:tcBorders>
              <w:top w:val="nil"/>
              <w:left w:val="nil"/>
              <w:bottom w:val="single" w:sz="4" w:space="0" w:color="auto"/>
              <w:right w:val="single" w:sz="4" w:space="0" w:color="auto"/>
            </w:tcBorders>
            <w:shd w:val="clear" w:color="000000" w:fill="D1D3D4"/>
            <w:vAlign w:val="center"/>
            <w:hideMark/>
          </w:tcPr>
          <w:p w14:paraId="555D8589" w14:textId="77777777" w:rsidR="00002D76" w:rsidRPr="00336134" w:rsidRDefault="00002D76" w:rsidP="001429C7">
            <w:pPr>
              <w:spacing w:after="0" w:line="240" w:lineRule="auto"/>
              <w:rPr>
                <w:rFonts w:ascii="Calibri" w:hAnsi="Calibri"/>
                <w:color w:val="231F20"/>
                <w:sz w:val="16"/>
                <w:szCs w:val="16"/>
              </w:rPr>
            </w:pPr>
            <w:r w:rsidRPr="00336134">
              <w:rPr>
                <w:rFonts w:ascii="Calibri" w:hAnsi="Calibri"/>
                <w:color w:val="231F20"/>
                <w:sz w:val="16"/>
                <w:szCs w:val="16"/>
              </w:rPr>
              <w:t>Healthcare</w:t>
            </w:r>
          </w:p>
        </w:tc>
        <w:tc>
          <w:tcPr>
            <w:tcW w:w="0" w:type="auto"/>
            <w:tcBorders>
              <w:top w:val="nil"/>
              <w:left w:val="nil"/>
              <w:bottom w:val="single" w:sz="4" w:space="0" w:color="auto"/>
              <w:right w:val="single" w:sz="4" w:space="0" w:color="auto"/>
            </w:tcBorders>
            <w:shd w:val="clear" w:color="000000" w:fill="D1D3D4"/>
            <w:vAlign w:val="center"/>
            <w:hideMark/>
          </w:tcPr>
          <w:p w14:paraId="7FD8B634" w14:textId="77777777" w:rsidR="00002D76" w:rsidRPr="00336134" w:rsidRDefault="00002D76" w:rsidP="00D63204">
            <w:pPr>
              <w:spacing w:after="0" w:line="240" w:lineRule="auto"/>
              <w:rPr>
                <w:rFonts w:ascii="Calibri" w:hAnsi="Calibri"/>
                <w:color w:val="231F20"/>
                <w:sz w:val="16"/>
                <w:szCs w:val="16"/>
              </w:rPr>
            </w:pPr>
            <w:r w:rsidRPr="00336134">
              <w:rPr>
                <w:rFonts w:ascii="Calibri" w:hAnsi="Calibri"/>
                <w:color w:val="231F20"/>
                <w:sz w:val="16"/>
                <w:szCs w:val="16"/>
              </w:rPr>
              <w:t>35.58</w:t>
            </w:r>
          </w:p>
        </w:tc>
        <w:tc>
          <w:tcPr>
            <w:tcW w:w="0" w:type="auto"/>
            <w:tcBorders>
              <w:top w:val="nil"/>
              <w:left w:val="nil"/>
              <w:bottom w:val="single" w:sz="4" w:space="0" w:color="auto"/>
              <w:right w:val="single" w:sz="4" w:space="0" w:color="auto"/>
            </w:tcBorders>
            <w:shd w:val="clear" w:color="000000" w:fill="D1D3D4"/>
            <w:vAlign w:val="center"/>
            <w:hideMark/>
          </w:tcPr>
          <w:p w14:paraId="37D2D623" w14:textId="77777777" w:rsidR="00002D76" w:rsidRPr="00336134" w:rsidRDefault="00002D76" w:rsidP="00D63204">
            <w:pPr>
              <w:spacing w:after="0" w:line="240" w:lineRule="auto"/>
              <w:rPr>
                <w:rFonts w:ascii="Calibri" w:hAnsi="Calibri"/>
                <w:color w:val="231F20"/>
                <w:sz w:val="16"/>
                <w:szCs w:val="16"/>
              </w:rPr>
            </w:pPr>
            <w:r w:rsidRPr="00336134">
              <w:rPr>
                <w:rFonts w:ascii="Calibri" w:hAnsi="Calibri"/>
                <w:color w:val="231F20"/>
                <w:sz w:val="16"/>
                <w:szCs w:val="16"/>
              </w:rPr>
              <w:t>23.55</w:t>
            </w:r>
          </w:p>
        </w:tc>
        <w:tc>
          <w:tcPr>
            <w:tcW w:w="0" w:type="auto"/>
            <w:tcBorders>
              <w:top w:val="nil"/>
              <w:left w:val="nil"/>
              <w:bottom w:val="single" w:sz="4" w:space="0" w:color="auto"/>
              <w:right w:val="single" w:sz="4" w:space="0" w:color="auto"/>
            </w:tcBorders>
            <w:shd w:val="clear" w:color="000000" w:fill="D1D3D4"/>
            <w:vAlign w:val="center"/>
            <w:hideMark/>
          </w:tcPr>
          <w:p w14:paraId="2E6DD043" w14:textId="77777777" w:rsidR="00002D76" w:rsidRPr="00336134" w:rsidRDefault="00002D76" w:rsidP="00D63204">
            <w:pPr>
              <w:spacing w:after="0" w:line="240" w:lineRule="auto"/>
              <w:rPr>
                <w:rFonts w:ascii="Calibri" w:hAnsi="Calibri"/>
                <w:color w:val="231F20"/>
                <w:sz w:val="16"/>
                <w:szCs w:val="16"/>
              </w:rPr>
            </w:pPr>
            <w:r w:rsidRPr="00336134">
              <w:rPr>
                <w:rFonts w:ascii="Calibri" w:hAnsi="Calibri"/>
                <w:color w:val="231F20"/>
                <w:sz w:val="16"/>
                <w:szCs w:val="16"/>
              </w:rPr>
              <w:t>41.34</w:t>
            </w:r>
          </w:p>
        </w:tc>
      </w:tr>
    </w:tbl>
    <w:p w14:paraId="77F10B57" w14:textId="77777777" w:rsidR="00002D76" w:rsidRPr="00EA7458" w:rsidRDefault="00002D76" w:rsidP="00002D76">
      <w:pPr>
        <w:widowControl w:val="0"/>
        <w:spacing w:before="102" w:after="0" w:line="240" w:lineRule="auto"/>
        <w:ind w:left="107"/>
        <w:rPr>
          <w:rFonts w:ascii="Calibri" w:hAnsi="Calibri" w:cs="Calibri"/>
          <w:sz w:val="18"/>
          <w:szCs w:val="18"/>
        </w:rPr>
      </w:pPr>
      <w:r w:rsidRPr="00EA7458">
        <w:rPr>
          <w:rFonts w:ascii="Calibri" w:hAnsi="Calibri"/>
          <w:color w:val="231F20"/>
          <w:w w:val="105"/>
          <w:sz w:val="18"/>
        </w:rPr>
        <w:t xml:space="preserve">Source:  Florida Department of Economic Opportunity, Bureau of Labor Market Statistics, </w:t>
      </w:r>
      <w:r>
        <w:rPr>
          <w:rFonts w:ascii="Calibri" w:hAnsi="Calibri"/>
          <w:color w:val="231F20"/>
          <w:w w:val="105"/>
          <w:sz w:val="18"/>
        </w:rPr>
        <w:t>December 2017</w:t>
      </w:r>
    </w:p>
    <w:p w14:paraId="754CEFA1" w14:textId="77777777" w:rsidR="00002D76" w:rsidRPr="00EA7458" w:rsidRDefault="00002D76" w:rsidP="00002D76">
      <w:pPr>
        <w:widowControl w:val="0"/>
        <w:spacing w:before="54" w:after="0" w:line="240" w:lineRule="auto"/>
        <w:ind w:left="107"/>
        <w:rPr>
          <w:rFonts w:ascii="Calibri" w:hAnsi="Calibri" w:cs="Calibri"/>
          <w:sz w:val="18"/>
          <w:szCs w:val="18"/>
        </w:rPr>
        <w:sectPr w:rsidR="00002D76" w:rsidRPr="00EA7458">
          <w:pgSz w:w="12240" w:h="15840"/>
          <w:pgMar w:top="1620" w:right="900" w:bottom="820" w:left="900" w:header="812" w:footer="624" w:gutter="0"/>
          <w:cols w:space="720"/>
        </w:sectPr>
      </w:pPr>
    </w:p>
    <w:p w14:paraId="2391EA67" w14:textId="77777777" w:rsidR="00002D76" w:rsidRPr="00EA7458" w:rsidRDefault="00002D76" w:rsidP="00002D76">
      <w:pPr>
        <w:widowControl w:val="0"/>
        <w:spacing w:before="2" w:after="0" w:line="240" w:lineRule="auto"/>
        <w:rPr>
          <w:rFonts w:ascii="Calibri" w:hAnsi="Calibri" w:cs="Calibri"/>
          <w:sz w:val="14"/>
          <w:szCs w:val="14"/>
        </w:rPr>
      </w:pPr>
    </w:p>
    <w:p w14:paraId="2FDA2F16" w14:textId="3CFF329F" w:rsidR="00002D76" w:rsidRPr="00717D28" w:rsidRDefault="00002D76" w:rsidP="00664EFD">
      <w:pPr>
        <w:widowControl w:val="0"/>
        <w:numPr>
          <w:ilvl w:val="3"/>
          <w:numId w:val="7"/>
        </w:numPr>
        <w:tabs>
          <w:tab w:val="left" w:pos="3132"/>
        </w:tabs>
        <w:spacing w:before="59" w:after="0" w:line="240" w:lineRule="auto"/>
        <w:rPr>
          <w:rFonts w:ascii="Calibri" w:hAnsi="Calibri" w:cs="Calibri"/>
        </w:rPr>
      </w:pPr>
      <w:bookmarkStart w:id="20" w:name="_bookmark9"/>
      <w:bookmarkEnd w:id="20"/>
      <w:r w:rsidRPr="00EA7458">
        <w:rPr>
          <w:rFonts w:ascii="Calibri" w:hAnsi="Calibri" w:cs="Calibri"/>
          <w:color w:val="295CA3"/>
          <w:w w:val="105"/>
        </w:rPr>
        <w:t>Employers’ Employment</w:t>
      </w:r>
      <w:r w:rsidRPr="00EA7458">
        <w:rPr>
          <w:rFonts w:ascii="Calibri" w:hAnsi="Calibri" w:cs="Calibri"/>
          <w:color w:val="295CA3"/>
          <w:spacing w:val="10"/>
          <w:w w:val="105"/>
        </w:rPr>
        <w:t xml:space="preserve"> </w:t>
      </w:r>
      <w:r w:rsidRPr="00EA7458">
        <w:rPr>
          <w:rFonts w:ascii="Calibri" w:hAnsi="Calibri" w:cs="Calibri"/>
          <w:color w:val="295CA3"/>
          <w:w w:val="105"/>
        </w:rPr>
        <w:t>Needs</w:t>
      </w:r>
    </w:p>
    <w:p w14:paraId="192798AA" w14:textId="77777777" w:rsidR="00CD1C1C" w:rsidRDefault="00CD1C1C" w:rsidP="00D63204">
      <w:pPr>
        <w:widowControl w:val="0"/>
        <w:spacing w:after="0" w:line="264" w:lineRule="exact"/>
        <w:ind w:left="107"/>
        <w:rPr>
          <w:rFonts w:ascii="Calibri" w:hAnsi="Calibri"/>
          <w:color w:val="231F20"/>
          <w:w w:val="105"/>
        </w:rPr>
      </w:pPr>
    </w:p>
    <w:p w14:paraId="67A75B6D" w14:textId="4BC0FAAE" w:rsidR="00CD1C1C" w:rsidRPr="00CD1C1C" w:rsidRDefault="00CD1C1C" w:rsidP="00D63204">
      <w:pPr>
        <w:widowControl w:val="0"/>
        <w:spacing w:after="0" w:line="264" w:lineRule="exact"/>
        <w:ind w:left="107"/>
        <w:rPr>
          <w:color w:val="231F20"/>
        </w:rPr>
      </w:pPr>
      <w:r w:rsidRPr="00CD1C1C">
        <w:rPr>
          <w:rFonts w:ascii="Calibri" w:hAnsi="Calibri"/>
          <w:color w:val="231F20"/>
          <w:w w:val="105"/>
        </w:rPr>
        <w:t>The needs of employers with respect to knowledge, skills</w:t>
      </w:r>
      <w:r w:rsidR="00D5537E">
        <w:rPr>
          <w:rFonts w:ascii="Calibri" w:hAnsi="Calibri"/>
          <w:color w:val="231F20"/>
          <w:w w:val="105"/>
        </w:rPr>
        <w:t xml:space="preserve"> and</w:t>
      </w:r>
      <w:r w:rsidRPr="00CD1C1C">
        <w:rPr>
          <w:rFonts w:ascii="Calibri" w:hAnsi="Calibri"/>
          <w:color w:val="231F20"/>
          <w:w w:val="105"/>
        </w:rPr>
        <w:t xml:space="preserve"> abilities (KSAs) are provided for each occupation in the labor market by the O*Net system (see </w:t>
      </w:r>
      <w:r w:rsidRPr="00C447EA">
        <w:rPr>
          <w:rFonts w:ascii="Calibri" w:hAnsi="Calibri"/>
          <w:color w:val="231F20"/>
          <w:w w:val="105"/>
        </w:rPr>
        <w:fldChar w:fldCharType="begin"/>
      </w:r>
      <w:r w:rsidRPr="00CD1C1C">
        <w:rPr>
          <w:rFonts w:ascii="Calibri" w:hAnsi="Calibri"/>
          <w:color w:val="231F20"/>
          <w:w w:val="105"/>
        </w:rPr>
        <w:instrText xml:space="preserve"> HYPERLINK "</w:instrText>
      </w:r>
      <w:r w:rsidRPr="00CD1C1C">
        <w:rPr>
          <w:color w:val="231F20"/>
        </w:rPr>
        <w:instrText>https://www.onetonline.org/).</w:instrText>
      </w:r>
    </w:p>
    <w:p w14:paraId="1A6B634E" w14:textId="77777777" w:rsidR="00CD1C1C" w:rsidRPr="00CD1C1C" w:rsidRDefault="00CD1C1C" w:rsidP="00D63204">
      <w:pPr>
        <w:widowControl w:val="0"/>
        <w:spacing w:after="0" w:line="264" w:lineRule="exact"/>
        <w:ind w:left="107"/>
        <w:rPr>
          <w:rStyle w:val="Hyperlink"/>
          <w:rFonts w:ascii="Calibri" w:hAnsi="Calibri"/>
          <w:w w:val="105"/>
        </w:rPr>
      </w:pPr>
      <w:r w:rsidRPr="00F55C20">
        <w:rPr>
          <w:rFonts w:ascii="Calibri" w:hAnsi="Calibri"/>
          <w:color w:val="231F20"/>
          <w:w w:val="105"/>
        </w:rPr>
        <w:instrText xml:space="preserve">" </w:instrText>
      </w:r>
      <w:r w:rsidRPr="00C447EA">
        <w:rPr>
          <w:rFonts w:ascii="Calibri" w:hAnsi="Calibri"/>
          <w:color w:val="231F20"/>
          <w:w w:val="105"/>
        </w:rPr>
        <w:fldChar w:fldCharType="separate"/>
      </w:r>
      <w:r w:rsidRPr="00CD1C1C">
        <w:rPr>
          <w:rStyle w:val="Hyperlink"/>
          <w:rFonts w:ascii="Calibri" w:hAnsi="Calibri"/>
          <w:w w:val="105"/>
        </w:rPr>
        <w:t>https://www.onetonline.org/).</w:t>
      </w:r>
    </w:p>
    <w:p w14:paraId="0A9BD6CF" w14:textId="24CD60BC" w:rsidR="00002D76" w:rsidRPr="00A06954" w:rsidRDefault="00CD1C1C" w:rsidP="00D63204">
      <w:pPr>
        <w:widowControl w:val="0"/>
        <w:spacing w:before="5" w:after="0" w:line="240" w:lineRule="auto"/>
        <w:rPr>
          <w:rFonts w:ascii="Calibri" w:hAnsi="Calibri" w:cs="Calibri"/>
          <w:sz w:val="16"/>
          <w:szCs w:val="16"/>
        </w:rPr>
      </w:pPr>
      <w:r w:rsidRPr="00C447EA">
        <w:rPr>
          <w:rFonts w:ascii="Calibri" w:hAnsi="Calibri"/>
          <w:color w:val="231F20"/>
          <w:w w:val="105"/>
        </w:rPr>
        <w:fldChar w:fldCharType="end"/>
      </w:r>
    </w:p>
    <w:p w14:paraId="02D6FAD8" w14:textId="6A71FDCC" w:rsidR="00002D76" w:rsidRPr="00717D28" w:rsidRDefault="00002D76" w:rsidP="00D63204">
      <w:pPr>
        <w:widowControl w:val="0"/>
        <w:spacing w:after="0" w:line="264" w:lineRule="exact"/>
        <w:ind w:left="107"/>
        <w:rPr>
          <w:rFonts w:ascii="Calibri" w:hAnsi="Calibri"/>
          <w:color w:val="231F20"/>
          <w:w w:val="105"/>
        </w:rPr>
      </w:pPr>
      <w:r w:rsidRPr="00A06954">
        <w:rPr>
          <w:rFonts w:ascii="Calibri" w:hAnsi="Calibri"/>
          <w:color w:val="231F20"/>
          <w:w w:val="105"/>
        </w:rPr>
        <w:t>By</w:t>
      </w:r>
      <w:r w:rsidRPr="00717D28">
        <w:rPr>
          <w:rFonts w:ascii="Calibri" w:hAnsi="Calibri"/>
          <w:color w:val="231F20"/>
          <w:w w:val="105"/>
        </w:rPr>
        <w:t xml:space="preserve"> </w:t>
      </w:r>
      <w:r w:rsidRPr="00A06954">
        <w:rPr>
          <w:rFonts w:ascii="Calibri" w:hAnsi="Calibri"/>
          <w:color w:val="231F20"/>
          <w:w w:val="105"/>
        </w:rPr>
        <w:t>using</w:t>
      </w:r>
      <w:r w:rsidRPr="00717D28">
        <w:rPr>
          <w:rFonts w:ascii="Calibri" w:hAnsi="Calibri"/>
          <w:color w:val="231F20"/>
          <w:w w:val="105"/>
        </w:rPr>
        <w:t xml:space="preserve"> </w:t>
      </w:r>
      <w:r w:rsidRPr="00A06954">
        <w:rPr>
          <w:rFonts w:ascii="Calibri" w:hAnsi="Calibri"/>
          <w:color w:val="231F20"/>
          <w:w w:val="105"/>
        </w:rPr>
        <w:t>the</w:t>
      </w:r>
      <w:r w:rsidRPr="00717D28">
        <w:rPr>
          <w:rFonts w:ascii="Calibri" w:hAnsi="Calibri"/>
          <w:color w:val="231F20"/>
          <w:w w:val="105"/>
        </w:rPr>
        <w:t xml:space="preserve"> </w:t>
      </w:r>
      <w:r w:rsidRPr="00A06954">
        <w:rPr>
          <w:rFonts w:ascii="Calibri" w:hAnsi="Calibri"/>
          <w:color w:val="231F20"/>
          <w:w w:val="105"/>
        </w:rPr>
        <w:t>content</w:t>
      </w:r>
      <w:r w:rsidRPr="00717D28">
        <w:rPr>
          <w:rFonts w:ascii="Calibri" w:hAnsi="Calibri"/>
          <w:color w:val="231F20"/>
          <w:w w:val="105"/>
        </w:rPr>
        <w:t xml:space="preserve"> </w:t>
      </w:r>
      <w:r w:rsidRPr="00A06954">
        <w:rPr>
          <w:rFonts w:ascii="Calibri" w:hAnsi="Calibri"/>
          <w:color w:val="231F20"/>
          <w:w w:val="105"/>
        </w:rPr>
        <w:t>in</w:t>
      </w:r>
      <w:r w:rsidRPr="00717D28">
        <w:rPr>
          <w:rFonts w:ascii="Calibri" w:hAnsi="Calibri"/>
          <w:color w:val="231F20"/>
          <w:w w:val="105"/>
        </w:rPr>
        <w:t xml:space="preserve"> </w:t>
      </w:r>
      <w:r w:rsidRPr="00A06954">
        <w:rPr>
          <w:rFonts w:ascii="Calibri" w:hAnsi="Calibri"/>
          <w:color w:val="231F20"/>
          <w:w w:val="105"/>
        </w:rPr>
        <w:t>the</w:t>
      </w:r>
      <w:r w:rsidRPr="00717D28">
        <w:rPr>
          <w:rFonts w:ascii="Calibri" w:hAnsi="Calibri"/>
          <w:color w:val="231F20"/>
          <w:w w:val="105"/>
        </w:rPr>
        <w:t xml:space="preserve"> </w:t>
      </w:r>
      <w:r w:rsidRPr="00A06954">
        <w:rPr>
          <w:rFonts w:ascii="Calibri" w:hAnsi="Calibri"/>
          <w:color w:val="231F20"/>
          <w:w w:val="105"/>
        </w:rPr>
        <w:t>O*Net</w:t>
      </w:r>
      <w:r w:rsidRPr="00717D28">
        <w:rPr>
          <w:rFonts w:ascii="Calibri" w:hAnsi="Calibri"/>
          <w:color w:val="231F20"/>
          <w:w w:val="105"/>
        </w:rPr>
        <w:t xml:space="preserve"> </w:t>
      </w:r>
      <w:r w:rsidRPr="00A06954">
        <w:rPr>
          <w:rFonts w:ascii="Calibri" w:hAnsi="Calibri"/>
          <w:color w:val="231F20"/>
          <w:w w:val="105"/>
        </w:rPr>
        <w:t>database</w:t>
      </w:r>
      <w:r w:rsidR="00EB1C64">
        <w:rPr>
          <w:rFonts w:ascii="Calibri" w:hAnsi="Calibri"/>
          <w:color w:val="231F20"/>
          <w:w w:val="105"/>
        </w:rPr>
        <w:t>,</w:t>
      </w:r>
      <w:r w:rsidRPr="00717D28">
        <w:rPr>
          <w:rFonts w:ascii="Calibri" w:hAnsi="Calibri"/>
          <w:color w:val="231F20"/>
          <w:w w:val="105"/>
        </w:rPr>
        <w:t xml:space="preserve"> </w:t>
      </w:r>
      <w:r w:rsidRPr="00A06954">
        <w:rPr>
          <w:rFonts w:ascii="Calibri" w:hAnsi="Calibri"/>
          <w:color w:val="231F20"/>
          <w:w w:val="105"/>
        </w:rPr>
        <w:t>it</w:t>
      </w:r>
      <w:r w:rsidRPr="00717D28">
        <w:rPr>
          <w:rFonts w:ascii="Calibri" w:hAnsi="Calibri"/>
          <w:color w:val="231F20"/>
          <w:w w:val="105"/>
        </w:rPr>
        <w:t xml:space="preserve"> </w:t>
      </w:r>
      <w:r w:rsidRPr="00A06954">
        <w:rPr>
          <w:rFonts w:ascii="Calibri" w:hAnsi="Calibri"/>
          <w:color w:val="231F20"/>
          <w:w w:val="105"/>
        </w:rPr>
        <w:t>is</w:t>
      </w:r>
      <w:r w:rsidRPr="00717D28">
        <w:rPr>
          <w:rFonts w:ascii="Calibri" w:hAnsi="Calibri"/>
          <w:color w:val="231F20"/>
          <w:w w:val="105"/>
        </w:rPr>
        <w:t xml:space="preserve"> </w:t>
      </w:r>
      <w:r w:rsidRPr="00A06954">
        <w:rPr>
          <w:rFonts w:ascii="Calibri" w:hAnsi="Calibri"/>
          <w:color w:val="231F20"/>
          <w:w w:val="105"/>
        </w:rPr>
        <w:t>possible</w:t>
      </w:r>
      <w:r w:rsidRPr="00717D28">
        <w:rPr>
          <w:rFonts w:ascii="Calibri" w:hAnsi="Calibri"/>
          <w:color w:val="231F20"/>
          <w:w w:val="105"/>
        </w:rPr>
        <w:t xml:space="preserve"> </w:t>
      </w:r>
      <w:r w:rsidRPr="00A06954">
        <w:rPr>
          <w:rFonts w:ascii="Calibri" w:hAnsi="Calibri"/>
          <w:color w:val="231F20"/>
          <w:w w:val="105"/>
        </w:rPr>
        <w:t>to</w:t>
      </w:r>
      <w:r w:rsidRPr="00717D28">
        <w:rPr>
          <w:rFonts w:ascii="Calibri" w:hAnsi="Calibri"/>
          <w:color w:val="231F20"/>
          <w:w w:val="105"/>
        </w:rPr>
        <w:t xml:space="preserve"> </w:t>
      </w:r>
      <w:r w:rsidRPr="00A06954">
        <w:rPr>
          <w:rFonts w:ascii="Calibri" w:hAnsi="Calibri"/>
          <w:color w:val="231F20"/>
          <w:w w:val="105"/>
        </w:rPr>
        <w:t>analyze</w:t>
      </w:r>
      <w:r w:rsidRPr="00717D28">
        <w:rPr>
          <w:rFonts w:ascii="Calibri" w:hAnsi="Calibri"/>
          <w:color w:val="231F20"/>
          <w:w w:val="105"/>
        </w:rPr>
        <w:t xml:space="preserve"> </w:t>
      </w:r>
      <w:r w:rsidRPr="00A06954">
        <w:rPr>
          <w:rFonts w:ascii="Calibri" w:hAnsi="Calibri"/>
          <w:color w:val="231F20"/>
          <w:w w:val="105"/>
        </w:rPr>
        <w:t>the</w:t>
      </w:r>
      <w:r w:rsidRPr="00717D28">
        <w:rPr>
          <w:rFonts w:ascii="Calibri" w:hAnsi="Calibri"/>
          <w:color w:val="231F20"/>
          <w:w w:val="105"/>
        </w:rPr>
        <w:t xml:space="preserve"> </w:t>
      </w:r>
      <w:r w:rsidRPr="00A06954">
        <w:rPr>
          <w:rFonts w:ascii="Calibri" w:hAnsi="Calibri"/>
          <w:color w:val="231F20"/>
          <w:w w:val="105"/>
        </w:rPr>
        <w:t>knowledge,</w:t>
      </w:r>
      <w:r w:rsidRPr="00717D28">
        <w:rPr>
          <w:rFonts w:ascii="Calibri" w:hAnsi="Calibri"/>
          <w:color w:val="231F20"/>
          <w:w w:val="105"/>
        </w:rPr>
        <w:t xml:space="preserve"> </w:t>
      </w:r>
      <w:r w:rsidRPr="00A06954">
        <w:rPr>
          <w:rFonts w:ascii="Calibri" w:hAnsi="Calibri"/>
          <w:color w:val="231F20"/>
          <w:w w:val="105"/>
        </w:rPr>
        <w:t>skills</w:t>
      </w:r>
      <w:r w:rsidRPr="00717D28">
        <w:rPr>
          <w:rFonts w:ascii="Calibri" w:hAnsi="Calibri"/>
          <w:color w:val="231F20"/>
          <w:w w:val="105"/>
        </w:rPr>
        <w:t xml:space="preserve"> </w:t>
      </w:r>
      <w:r w:rsidRPr="00A06954">
        <w:rPr>
          <w:rFonts w:ascii="Calibri" w:hAnsi="Calibri"/>
          <w:color w:val="231F20"/>
          <w:w w:val="105"/>
        </w:rPr>
        <w:t>and</w:t>
      </w:r>
      <w:r w:rsidRPr="00717D28">
        <w:rPr>
          <w:rFonts w:ascii="Calibri" w:hAnsi="Calibri"/>
          <w:color w:val="231F20"/>
          <w:w w:val="105"/>
        </w:rPr>
        <w:t xml:space="preserve"> </w:t>
      </w:r>
      <w:r w:rsidRPr="00A06954">
        <w:rPr>
          <w:rFonts w:ascii="Calibri" w:hAnsi="Calibri"/>
          <w:color w:val="231F20"/>
          <w:w w:val="105"/>
        </w:rPr>
        <w:t>abilities</w:t>
      </w:r>
      <w:r w:rsidRPr="00717D28">
        <w:rPr>
          <w:rFonts w:ascii="Calibri" w:hAnsi="Calibri"/>
          <w:color w:val="231F20"/>
          <w:w w:val="105"/>
        </w:rPr>
        <w:t xml:space="preserve"> </w:t>
      </w:r>
      <w:r w:rsidRPr="00A06954">
        <w:rPr>
          <w:rFonts w:ascii="Calibri" w:hAnsi="Calibri"/>
          <w:color w:val="231F20"/>
          <w:w w:val="105"/>
        </w:rPr>
        <w:t>for</w:t>
      </w:r>
      <w:r w:rsidRPr="00717D28">
        <w:rPr>
          <w:rFonts w:ascii="Calibri" w:hAnsi="Calibri"/>
          <w:color w:val="231F20"/>
          <w:w w:val="105"/>
        </w:rPr>
        <w:t xml:space="preserve"> </w:t>
      </w:r>
      <w:r w:rsidRPr="00A06954">
        <w:rPr>
          <w:rFonts w:ascii="Calibri" w:hAnsi="Calibri"/>
          <w:color w:val="231F20"/>
          <w:w w:val="105"/>
        </w:rPr>
        <w:t>individual</w:t>
      </w:r>
      <w:r w:rsidRPr="00717D28">
        <w:rPr>
          <w:rFonts w:ascii="Calibri" w:hAnsi="Calibri"/>
          <w:color w:val="231F20"/>
          <w:w w:val="105"/>
        </w:rPr>
        <w:t xml:space="preserve"> </w:t>
      </w:r>
      <w:r w:rsidRPr="00A06954">
        <w:rPr>
          <w:rFonts w:ascii="Calibri" w:hAnsi="Calibri"/>
          <w:color w:val="231F20"/>
          <w:w w:val="105"/>
        </w:rPr>
        <w:t>occupations,</w:t>
      </w:r>
      <w:r w:rsidRPr="00717D28">
        <w:rPr>
          <w:rFonts w:ascii="Calibri" w:hAnsi="Calibri"/>
          <w:color w:val="231F20"/>
          <w:w w:val="105"/>
        </w:rPr>
        <w:t xml:space="preserve"> </w:t>
      </w:r>
      <w:r w:rsidRPr="00A06954">
        <w:rPr>
          <w:rFonts w:ascii="Calibri" w:hAnsi="Calibri"/>
          <w:color w:val="231F20"/>
          <w:w w:val="105"/>
        </w:rPr>
        <w:t>occupational</w:t>
      </w:r>
      <w:r w:rsidRPr="00717D28">
        <w:rPr>
          <w:rFonts w:ascii="Calibri" w:hAnsi="Calibri"/>
          <w:color w:val="231F20"/>
          <w:w w:val="105"/>
        </w:rPr>
        <w:t xml:space="preserve"> </w:t>
      </w:r>
      <w:r w:rsidRPr="00A06954">
        <w:rPr>
          <w:rFonts w:ascii="Calibri" w:hAnsi="Calibri"/>
          <w:color w:val="231F20"/>
          <w:w w:val="105"/>
        </w:rPr>
        <w:t>groups,</w:t>
      </w:r>
      <w:r w:rsidRPr="00717D28">
        <w:rPr>
          <w:rFonts w:ascii="Calibri" w:hAnsi="Calibri"/>
          <w:color w:val="231F20"/>
          <w:w w:val="105"/>
        </w:rPr>
        <w:t xml:space="preserve"> </w:t>
      </w:r>
      <w:r w:rsidRPr="00A06954">
        <w:rPr>
          <w:rFonts w:ascii="Calibri" w:hAnsi="Calibri"/>
          <w:color w:val="231F20"/>
          <w:w w:val="105"/>
        </w:rPr>
        <w:t>or</w:t>
      </w:r>
      <w:r w:rsidRPr="00717D28">
        <w:rPr>
          <w:rFonts w:ascii="Calibri" w:hAnsi="Calibri"/>
          <w:color w:val="231F20"/>
          <w:w w:val="105"/>
        </w:rPr>
        <w:t xml:space="preserve"> </w:t>
      </w:r>
      <w:r w:rsidRPr="00A06954">
        <w:rPr>
          <w:rFonts w:ascii="Calibri" w:hAnsi="Calibri"/>
          <w:color w:val="231F20"/>
          <w:w w:val="105"/>
        </w:rPr>
        <w:t>targeted</w:t>
      </w:r>
      <w:r w:rsidRPr="00717D28">
        <w:rPr>
          <w:rFonts w:ascii="Calibri" w:hAnsi="Calibri"/>
          <w:color w:val="231F20"/>
          <w:w w:val="105"/>
        </w:rPr>
        <w:t xml:space="preserve"> </w:t>
      </w:r>
      <w:r w:rsidRPr="00A06954">
        <w:rPr>
          <w:rFonts w:ascii="Calibri" w:hAnsi="Calibri"/>
          <w:color w:val="231F20"/>
          <w:w w:val="105"/>
        </w:rPr>
        <w:t>occupations.</w:t>
      </w:r>
      <w:r w:rsidRPr="00717D28">
        <w:rPr>
          <w:rFonts w:ascii="Calibri" w:hAnsi="Calibri"/>
          <w:color w:val="231F20"/>
          <w:w w:val="105"/>
        </w:rPr>
        <w:t xml:space="preserve"> </w:t>
      </w:r>
      <w:r w:rsidRPr="00A06954">
        <w:rPr>
          <w:rFonts w:ascii="Calibri" w:hAnsi="Calibri"/>
          <w:color w:val="231F20"/>
          <w:w w:val="105"/>
        </w:rPr>
        <w:t>The</w:t>
      </w:r>
      <w:r w:rsidRPr="00717D28">
        <w:rPr>
          <w:rFonts w:ascii="Calibri" w:hAnsi="Calibri"/>
          <w:color w:val="231F20"/>
          <w:w w:val="105"/>
        </w:rPr>
        <w:t xml:space="preserve"> </w:t>
      </w:r>
      <w:r w:rsidRPr="00A06954">
        <w:rPr>
          <w:rFonts w:ascii="Calibri" w:hAnsi="Calibri"/>
          <w:color w:val="231F20"/>
          <w:w w:val="105"/>
        </w:rPr>
        <w:t>following</w:t>
      </w:r>
      <w:r w:rsidRPr="00717D28">
        <w:rPr>
          <w:rFonts w:ascii="Calibri" w:hAnsi="Calibri"/>
          <w:color w:val="231F20"/>
          <w:w w:val="105"/>
        </w:rPr>
        <w:t xml:space="preserve"> </w:t>
      </w:r>
      <w:r w:rsidRPr="00A06954">
        <w:rPr>
          <w:rFonts w:ascii="Calibri" w:hAnsi="Calibri"/>
          <w:color w:val="231F20"/>
          <w:w w:val="105"/>
        </w:rPr>
        <w:t>is</w:t>
      </w:r>
      <w:r w:rsidRPr="00717D28">
        <w:rPr>
          <w:rFonts w:ascii="Calibri" w:hAnsi="Calibri"/>
          <w:color w:val="231F20"/>
          <w:w w:val="105"/>
        </w:rPr>
        <w:t xml:space="preserve"> </w:t>
      </w:r>
      <w:r w:rsidRPr="00A06954">
        <w:rPr>
          <w:rFonts w:ascii="Calibri" w:hAnsi="Calibri"/>
          <w:color w:val="231F20"/>
          <w:w w:val="105"/>
        </w:rPr>
        <w:t>an</w:t>
      </w:r>
      <w:r w:rsidRPr="00717D28">
        <w:rPr>
          <w:rFonts w:ascii="Calibri" w:hAnsi="Calibri"/>
          <w:color w:val="231F20"/>
          <w:w w:val="105"/>
        </w:rPr>
        <w:t xml:space="preserve"> </w:t>
      </w:r>
      <w:r w:rsidRPr="00A06954">
        <w:rPr>
          <w:rFonts w:ascii="Calibri" w:hAnsi="Calibri"/>
          <w:color w:val="231F20"/>
          <w:w w:val="105"/>
        </w:rPr>
        <w:t>analysis</w:t>
      </w:r>
      <w:r w:rsidRPr="00717D28">
        <w:rPr>
          <w:rFonts w:ascii="Calibri" w:hAnsi="Calibri"/>
          <w:color w:val="231F20"/>
          <w:w w:val="105"/>
        </w:rPr>
        <w:t xml:space="preserve"> </w:t>
      </w:r>
      <w:r w:rsidRPr="00A06954">
        <w:rPr>
          <w:rFonts w:ascii="Calibri" w:hAnsi="Calibri"/>
          <w:color w:val="231F20"/>
          <w:w w:val="105"/>
        </w:rPr>
        <w:t>of</w:t>
      </w:r>
      <w:r w:rsidRPr="00717D28">
        <w:rPr>
          <w:rFonts w:ascii="Calibri" w:hAnsi="Calibri"/>
          <w:color w:val="231F20"/>
          <w:w w:val="105"/>
        </w:rPr>
        <w:t xml:space="preserve"> </w:t>
      </w:r>
      <w:r w:rsidRPr="00A06954">
        <w:rPr>
          <w:rFonts w:ascii="Calibri" w:hAnsi="Calibri"/>
          <w:color w:val="231F20"/>
          <w:w w:val="105"/>
        </w:rPr>
        <w:t>occupations that are emerging, have rapid growth</w:t>
      </w:r>
      <w:r w:rsidR="00D5537E">
        <w:rPr>
          <w:rFonts w:ascii="Calibri" w:hAnsi="Calibri"/>
          <w:color w:val="231F20"/>
          <w:w w:val="105"/>
        </w:rPr>
        <w:t xml:space="preserve"> and</w:t>
      </w:r>
      <w:r w:rsidRPr="00A06954">
        <w:rPr>
          <w:rFonts w:ascii="Calibri" w:hAnsi="Calibri"/>
          <w:color w:val="231F20"/>
          <w:w w:val="105"/>
        </w:rPr>
        <w:t xml:space="preserve"> have numerous job openings. O*Net</w:t>
      </w:r>
      <w:r w:rsidR="00B616B3">
        <w:rPr>
          <w:rFonts w:ascii="Calibri" w:hAnsi="Calibri"/>
          <w:color w:val="231F20"/>
          <w:w w:val="105"/>
        </w:rPr>
        <w:t xml:space="preserve"> </w:t>
      </w:r>
      <w:r>
        <w:rPr>
          <w:rFonts w:ascii="Calibri" w:hAnsi="Calibri"/>
          <w:color w:val="231F20"/>
          <w:w w:val="105"/>
        </w:rPr>
        <w:t xml:space="preserve">level and </w:t>
      </w:r>
      <w:r w:rsidRPr="00A06954">
        <w:rPr>
          <w:rFonts w:ascii="Calibri" w:hAnsi="Calibri"/>
          <w:color w:val="231F20"/>
          <w:w w:val="105"/>
        </w:rPr>
        <w:t>importance</w:t>
      </w:r>
      <w:r w:rsidRPr="00717D28">
        <w:rPr>
          <w:rFonts w:ascii="Calibri" w:hAnsi="Calibri"/>
          <w:color w:val="231F20"/>
          <w:w w:val="105"/>
        </w:rPr>
        <w:t xml:space="preserve"> </w:t>
      </w:r>
      <w:r w:rsidRPr="00A06954">
        <w:rPr>
          <w:rFonts w:ascii="Calibri" w:hAnsi="Calibri"/>
          <w:color w:val="231F20"/>
          <w:w w:val="105"/>
        </w:rPr>
        <w:t>scores</w:t>
      </w:r>
      <w:r w:rsidRPr="00717D28">
        <w:rPr>
          <w:rFonts w:ascii="Calibri" w:hAnsi="Calibri"/>
          <w:color w:val="231F20"/>
          <w:w w:val="105"/>
        </w:rPr>
        <w:t xml:space="preserve"> </w:t>
      </w:r>
      <w:r w:rsidRPr="00A06954">
        <w:rPr>
          <w:rFonts w:ascii="Calibri" w:hAnsi="Calibri"/>
          <w:color w:val="231F20"/>
          <w:w w:val="105"/>
        </w:rPr>
        <w:t>for</w:t>
      </w:r>
      <w:r w:rsidRPr="00717D28">
        <w:rPr>
          <w:rFonts w:ascii="Calibri" w:hAnsi="Calibri"/>
          <w:color w:val="231F20"/>
          <w:w w:val="105"/>
        </w:rPr>
        <w:t xml:space="preserve"> </w:t>
      </w:r>
      <w:r w:rsidRPr="00A06954">
        <w:rPr>
          <w:rFonts w:ascii="Calibri" w:hAnsi="Calibri"/>
          <w:color w:val="231F20"/>
          <w:w w:val="105"/>
        </w:rPr>
        <w:t>the</w:t>
      </w:r>
      <w:r w:rsidRPr="00717D28">
        <w:rPr>
          <w:rFonts w:ascii="Calibri" w:hAnsi="Calibri"/>
          <w:color w:val="231F20"/>
          <w:w w:val="105"/>
        </w:rPr>
        <w:t xml:space="preserve"> </w:t>
      </w:r>
      <w:r w:rsidRPr="00A06954">
        <w:rPr>
          <w:rFonts w:ascii="Calibri" w:hAnsi="Calibri"/>
          <w:color w:val="231F20"/>
          <w:w w:val="105"/>
        </w:rPr>
        <w:t>various</w:t>
      </w:r>
      <w:r w:rsidRPr="00717D28">
        <w:rPr>
          <w:rFonts w:ascii="Calibri" w:hAnsi="Calibri"/>
          <w:color w:val="231F20"/>
          <w:w w:val="105"/>
        </w:rPr>
        <w:t xml:space="preserve"> </w:t>
      </w:r>
      <w:r w:rsidRPr="00A06954">
        <w:rPr>
          <w:rFonts w:ascii="Calibri" w:hAnsi="Calibri"/>
          <w:color w:val="231F20"/>
          <w:w w:val="105"/>
        </w:rPr>
        <w:t>KSAs</w:t>
      </w:r>
      <w:r w:rsidRPr="00717D28">
        <w:rPr>
          <w:rFonts w:ascii="Calibri" w:hAnsi="Calibri"/>
          <w:color w:val="231F20"/>
          <w:w w:val="105"/>
        </w:rPr>
        <w:t xml:space="preserve"> </w:t>
      </w:r>
      <w:r w:rsidRPr="00A06954">
        <w:rPr>
          <w:rFonts w:ascii="Calibri" w:hAnsi="Calibri"/>
          <w:color w:val="231F20"/>
          <w:w w:val="105"/>
        </w:rPr>
        <w:t>were</w:t>
      </w:r>
      <w:r w:rsidRPr="00717D28">
        <w:rPr>
          <w:rFonts w:ascii="Calibri" w:hAnsi="Calibri"/>
          <w:color w:val="231F20"/>
          <w:w w:val="105"/>
        </w:rPr>
        <w:t xml:space="preserve"> </w:t>
      </w:r>
      <w:r w:rsidRPr="00A06954">
        <w:rPr>
          <w:rFonts w:ascii="Calibri" w:hAnsi="Calibri"/>
          <w:color w:val="231F20"/>
          <w:w w:val="105"/>
        </w:rPr>
        <w:t>matched</w:t>
      </w:r>
      <w:r w:rsidRPr="00717D28">
        <w:rPr>
          <w:rFonts w:ascii="Calibri" w:hAnsi="Calibri"/>
          <w:color w:val="231F20"/>
          <w:w w:val="105"/>
        </w:rPr>
        <w:t xml:space="preserve"> </w:t>
      </w:r>
      <w:r w:rsidRPr="00A06954">
        <w:rPr>
          <w:rFonts w:ascii="Calibri" w:hAnsi="Calibri"/>
          <w:color w:val="231F20"/>
          <w:w w:val="105"/>
        </w:rPr>
        <w:t>to</w:t>
      </w:r>
      <w:r w:rsidRPr="00717D28">
        <w:rPr>
          <w:rFonts w:ascii="Calibri" w:hAnsi="Calibri"/>
          <w:color w:val="231F20"/>
          <w:w w:val="105"/>
        </w:rPr>
        <w:t xml:space="preserve"> </w:t>
      </w:r>
      <w:r w:rsidRPr="00A06954">
        <w:rPr>
          <w:rFonts w:ascii="Calibri" w:hAnsi="Calibri"/>
          <w:color w:val="231F20"/>
          <w:w w:val="105"/>
        </w:rPr>
        <w:t>the</w:t>
      </w:r>
      <w:r w:rsidRPr="00717D28">
        <w:rPr>
          <w:rFonts w:ascii="Calibri" w:hAnsi="Calibri"/>
          <w:color w:val="231F20"/>
          <w:w w:val="105"/>
        </w:rPr>
        <w:t xml:space="preserve"> </w:t>
      </w:r>
      <w:r w:rsidRPr="00A06954">
        <w:rPr>
          <w:rFonts w:ascii="Calibri" w:hAnsi="Calibri"/>
          <w:color w:val="231F20"/>
          <w:w w:val="105"/>
        </w:rPr>
        <w:t>relevant</w:t>
      </w:r>
      <w:r w:rsidRPr="00717D28">
        <w:rPr>
          <w:rFonts w:ascii="Calibri" w:hAnsi="Calibri"/>
          <w:color w:val="231F20"/>
          <w:w w:val="105"/>
        </w:rPr>
        <w:t xml:space="preserve"> </w:t>
      </w:r>
      <w:r w:rsidRPr="00A06954">
        <w:rPr>
          <w:rFonts w:ascii="Calibri" w:hAnsi="Calibri"/>
          <w:color w:val="231F20"/>
          <w:w w:val="105"/>
        </w:rPr>
        <w:t>occupational</w:t>
      </w:r>
      <w:r w:rsidRPr="00717D28">
        <w:rPr>
          <w:rFonts w:ascii="Calibri" w:hAnsi="Calibri"/>
          <w:color w:val="231F20"/>
          <w:w w:val="105"/>
        </w:rPr>
        <w:t xml:space="preserve"> </w:t>
      </w:r>
      <w:r w:rsidRPr="00A06954">
        <w:rPr>
          <w:rFonts w:ascii="Calibri" w:hAnsi="Calibri"/>
          <w:color w:val="231F20"/>
          <w:w w:val="105"/>
        </w:rPr>
        <w:t>groups.</w:t>
      </w:r>
      <w:r w:rsidRPr="00717D28">
        <w:rPr>
          <w:rFonts w:ascii="Calibri" w:hAnsi="Calibri"/>
          <w:color w:val="231F20"/>
          <w:w w:val="105"/>
        </w:rPr>
        <w:t xml:space="preserve"> The</w:t>
      </w:r>
      <w:r w:rsidR="00717D28" w:rsidRPr="00717D28">
        <w:rPr>
          <w:rFonts w:ascii="Calibri" w:hAnsi="Calibri"/>
          <w:color w:val="231F20"/>
          <w:w w:val="105"/>
        </w:rPr>
        <w:t xml:space="preserve"> </w:t>
      </w:r>
      <w:r w:rsidRPr="00C27826">
        <w:rPr>
          <w:rFonts w:ascii="Calibri" w:hAnsi="Calibri"/>
          <w:color w:val="231F20"/>
          <w:w w:val="105"/>
        </w:rPr>
        <w:t>level and importance score were added together</w:t>
      </w:r>
      <w:r>
        <w:rPr>
          <w:rFonts w:ascii="Calibri" w:hAnsi="Calibri"/>
          <w:color w:val="231F20"/>
          <w:w w:val="105"/>
        </w:rPr>
        <w:t xml:space="preserve"> and standardized to a </w:t>
      </w:r>
      <w:r w:rsidR="00BF4AD0">
        <w:rPr>
          <w:rFonts w:ascii="Calibri" w:hAnsi="Calibri"/>
          <w:color w:val="231F20"/>
          <w:w w:val="105"/>
        </w:rPr>
        <w:t>100-point</w:t>
      </w:r>
      <w:r>
        <w:rPr>
          <w:rFonts w:ascii="Calibri" w:hAnsi="Calibri"/>
          <w:color w:val="231F20"/>
          <w:w w:val="105"/>
        </w:rPr>
        <w:t xml:space="preserve"> scale.</w:t>
      </w:r>
      <w:r w:rsidRPr="00717D28">
        <w:rPr>
          <w:rFonts w:ascii="Calibri" w:hAnsi="Calibri"/>
          <w:color w:val="231F20"/>
          <w:w w:val="105"/>
        </w:rPr>
        <w:t xml:space="preserve"> </w:t>
      </w:r>
      <w:r w:rsidRPr="00A06954">
        <w:rPr>
          <w:rFonts w:ascii="Calibri" w:hAnsi="Calibri"/>
          <w:color w:val="231F20"/>
          <w:w w:val="105"/>
        </w:rPr>
        <w:t>The</w:t>
      </w:r>
      <w:r w:rsidRPr="00717D28">
        <w:rPr>
          <w:rFonts w:ascii="Calibri" w:hAnsi="Calibri"/>
          <w:color w:val="231F20"/>
          <w:w w:val="105"/>
        </w:rPr>
        <w:t xml:space="preserve"> </w:t>
      </w:r>
      <w:r w:rsidRPr="00A06954">
        <w:rPr>
          <w:rFonts w:ascii="Calibri" w:hAnsi="Calibri"/>
          <w:color w:val="231F20"/>
          <w:w w:val="105"/>
        </w:rPr>
        <w:t>following nine</w:t>
      </w:r>
      <w:r w:rsidRPr="00717D28">
        <w:rPr>
          <w:rFonts w:ascii="Calibri" w:hAnsi="Calibri"/>
          <w:color w:val="231F20"/>
          <w:w w:val="105"/>
        </w:rPr>
        <w:t xml:space="preserve"> </w:t>
      </w:r>
      <w:r w:rsidRPr="00A06954">
        <w:rPr>
          <w:rFonts w:ascii="Calibri" w:hAnsi="Calibri"/>
          <w:color w:val="231F20"/>
          <w:w w:val="105"/>
        </w:rPr>
        <w:t>graphs</w:t>
      </w:r>
      <w:r w:rsidRPr="00717D28">
        <w:rPr>
          <w:rFonts w:ascii="Calibri" w:hAnsi="Calibri"/>
          <w:color w:val="231F20"/>
          <w:w w:val="105"/>
        </w:rPr>
        <w:t xml:space="preserve"> </w:t>
      </w:r>
      <w:r w:rsidRPr="00A06954">
        <w:rPr>
          <w:rFonts w:ascii="Calibri" w:hAnsi="Calibri"/>
          <w:color w:val="231F20"/>
          <w:w w:val="105"/>
        </w:rPr>
        <w:t>show</w:t>
      </w:r>
      <w:r w:rsidRPr="00717D28">
        <w:rPr>
          <w:rFonts w:ascii="Calibri" w:hAnsi="Calibri"/>
          <w:color w:val="231F20"/>
          <w:w w:val="105"/>
        </w:rPr>
        <w:t xml:space="preserve"> </w:t>
      </w:r>
      <w:r w:rsidRPr="00A06954">
        <w:rPr>
          <w:rFonts w:ascii="Calibri" w:hAnsi="Calibri"/>
          <w:color w:val="231F20"/>
          <w:w w:val="105"/>
        </w:rPr>
        <w:t>the</w:t>
      </w:r>
      <w:r w:rsidRPr="00717D28">
        <w:rPr>
          <w:rFonts w:ascii="Calibri" w:hAnsi="Calibri"/>
          <w:color w:val="231F20"/>
          <w:w w:val="105"/>
        </w:rPr>
        <w:t xml:space="preserve"> </w:t>
      </w:r>
      <w:r w:rsidRPr="00A06954">
        <w:rPr>
          <w:rFonts w:ascii="Calibri" w:hAnsi="Calibri"/>
          <w:color w:val="231F20"/>
          <w:w w:val="105"/>
        </w:rPr>
        <w:t>knowledge,</w:t>
      </w:r>
      <w:r w:rsidRPr="00717D28">
        <w:rPr>
          <w:rFonts w:ascii="Calibri" w:hAnsi="Calibri"/>
          <w:color w:val="231F20"/>
          <w:w w:val="105"/>
        </w:rPr>
        <w:t xml:space="preserve"> </w:t>
      </w:r>
      <w:r w:rsidRPr="00A06954">
        <w:rPr>
          <w:rFonts w:ascii="Calibri" w:hAnsi="Calibri"/>
          <w:color w:val="231F20"/>
          <w:w w:val="105"/>
        </w:rPr>
        <w:t>skills</w:t>
      </w:r>
      <w:r w:rsidR="00D5537E">
        <w:rPr>
          <w:rFonts w:ascii="Calibri" w:hAnsi="Calibri"/>
          <w:color w:val="231F20"/>
          <w:w w:val="105"/>
        </w:rPr>
        <w:t xml:space="preserve"> and</w:t>
      </w:r>
      <w:r w:rsidRPr="00717D28">
        <w:rPr>
          <w:rFonts w:ascii="Calibri" w:hAnsi="Calibri"/>
          <w:color w:val="231F20"/>
          <w:w w:val="105"/>
        </w:rPr>
        <w:t xml:space="preserve"> </w:t>
      </w:r>
      <w:r w:rsidRPr="00A06954">
        <w:rPr>
          <w:rFonts w:ascii="Calibri" w:hAnsi="Calibri"/>
          <w:color w:val="231F20"/>
          <w:w w:val="105"/>
        </w:rPr>
        <w:t>abilities</w:t>
      </w:r>
      <w:r w:rsidRPr="00717D28">
        <w:rPr>
          <w:rFonts w:ascii="Calibri" w:hAnsi="Calibri"/>
          <w:color w:val="231F20"/>
          <w:w w:val="105"/>
        </w:rPr>
        <w:t xml:space="preserve"> </w:t>
      </w:r>
      <w:r w:rsidRPr="00A06954">
        <w:rPr>
          <w:rFonts w:ascii="Calibri" w:hAnsi="Calibri"/>
          <w:color w:val="231F20"/>
          <w:w w:val="105"/>
        </w:rPr>
        <w:t>for</w:t>
      </w:r>
      <w:r w:rsidRPr="00717D28">
        <w:rPr>
          <w:rFonts w:ascii="Calibri" w:hAnsi="Calibri"/>
          <w:color w:val="231F20"/>
          <w:w w:val="105"/>
        </w:rPr>
        <w:t xml:space="preserve"> </w:t>
      </w:r>
      <w:r w:rsidRPr="00A06954">
        <w:rPr>
          <w:rFonts w:ascii="Calibri" w:hAnsi="Calibri"/>
          <w:color w:val="231F20"/>
          <w:w w:val="105"/>
        </w:rPr>
        <w:t>(1)</w:t>
      </w:r>
      <w:r w:rsidRPr="00717D28">
        <w:rPr>
          <w:rFonts w:ascii="Calibri" w:hAnsi="Calibri"/>
          <w:color w:val="231F20"/>
          <w:w w:val="105"/>
        </w:rPr>
        <w:t xml:space="preserve"> </w:t>
      </w:r>
      <w:r w:rsidRPr="00A06954">
        <w:rPr>
          <w:rFonts w:ascii="Calibri" w:hAnsi="Calibri"/>
          <w:color w:val="231F20"/>
          <w:w w:val="105"/>
        </w:rPr>
        <w:t>emerging</w:t>
      </w:r>
      <w:r w:rsidRPr="00717D28">
        <w:rPr>
          <w:rFonts w:ascii="Calibri" w:hAnsi="Calibri"/>
          <w:color w:val="231F20"/>
          <w:w w:val="105"/>
        </w:rPr>
        <w:t xml:space="preserve"> </w:t>
      </w:r>
      <w:r w:rsidRPr="00A06954">
        <w:rPr>
          <w:rFonts w:ascii="Calibri" w:hAnsi="Calibri"/>
          <w:color w:val="231F20"/>
          <w:w w:val="105"/>
        </w:rPr>
        <w:t>occupations,</w:t>
      </w:r>
      <w:r w:rsidRPr="00717D28">
        <w:rPr>
          <w:rFonts w:ascii="Calibri" w:hAnsi="Calibri"/>
          <w:color w:val="231F20"/>
          <w:w w:val="105"/>
        </w:rPr>
        <w:t xml:space="preserve"> </w:t>
      </w:r>
      <w:r w:rsidRPr="00A06954">
        <w:rPr>
          <w:rFonts w:ascii="Calibri" w:hAnsi="Calibri"/>
          <w:color w:val="231F20"/>
          <w:w w:val="105"/>
        </w:rPr>
        <w:t>(2)</w:t>
      </w:r>
      <w:r w:rsidRPr="00717D28">
        <w:rPr>
          <w:rFonts w:ascii="Calibri" w:hAnsi="Calibri"/>
          <w:color w:val="231F20"/>
          <w:w w:val="105"/>
        </w:rPr>
        <w:t xml:space="preserve"> </w:t>
      </w:r>
      <w:r w:rsidRPr="00A06954">
        <w:rPr>
          <w:rFonts w:ascii="Calibri" w:hAnsi="Calibri"/>
          <w:color w:val="231F20"/>
          <w:w w:val="105"/>
        </w:rPr>
        <w:t>occupations</w:t>
      </w:r>
      <w:r w:rsidRPr="00717D28">
        <w:rPr>
          <w:rFonts w:ascii="Calibri" w:hAnsi="Calibri"/>
          <w:color w:val="231F20"/>
          <w:w w:val="105"/>
        </w:rPr>
        <w:t xml:space="preserve"> </w:t>
      </w:r>
      <w:r w:rsidRPr="00A06954">
        <w:rPr>
          <w:rFonts w:ascii="Calibri" w:hAnsi="Calibri"/>
          <w:color w:val="231F20"/>
          <w:w w:val="105"/>
        </w:rPr>
        <w:t>with</w:t>
      </w:r>
      <w:r w:rsidRPr="00717D28">
        <w:rPr>
          <w:rFonts w:ascii="Calibri" w:hAnsi="Calibri"/>
          <w:color w:val="231F20"/>
          <w:w w:val="105"/>
        </w:rPr>
        <w:t xml:space="preserve"> </w:t>
      </w:r>
      <w:r w:rsidRPr="00A06954">
        <w:rPr>
          <w:rFonts w:ascii="Calibri" w:hAnsi="Calibri"/>
          <w:color w:val="231F20"/>
          <w:w w:val="105"/>
        </w:rPr>
        <w:t>numerous</w:t>
      </w:r>
      <w:r w:rsidRPr="00717D28">
        <w:rPr>
          <w:rFonts w:ascii="Calibri" w:hAnsi="Calibri"/>
          <w:color w:val="231F20"/>
          <w:w w:val="105"/>
        </w:rPr>
        <w:t xml:space="preserve"> </w:t>
      </w:r>
      <w:r w:rsidRPr="00A06954">
        <w:rPr>
          <w:rFonts w:ascii="Calibri" w:hAnsi="Calibri"/>
          <w:color w:val="231F20"/>
          <w:w w:val="105"/>
        </w:rPr>
        <w:t>job</w:t>
      </w:r>
      <w:r w:rsidRPr="00717D28">
        <w:rPr>
          <w:rFonts w:ascii="Calibri" w:hAnsi="Calibri"/>
          <w:color w:val="231F20"/>
          <w:w w:val="105"/>
        </w:rPr>
        <w:t xml:space="preserve"> </w:t>
      </w:r>
      <w:r w:rsidRPr="00A06954">
        <w:rPr>
          <w:rFonts w:ascii="Calibri" w:hAnsi="Calibri"/>
          <w:color w:val="231F20"/>
          <w:w w:val="105"/>
        </w:rPr>
        <w:t>openings and (3) rapid growth occupations as defined in the O*Net system.</w:t>
      </w:r>
    </w:p>
    <w:p w14:paraId="0C61D44A" w14:textId="77777777" w:rsidR="00002D76" w:rsidRPr="0006623F" w:rsidRDefault="00002D76" w:rsidP="00D63204">
      <w:pPr>
        <w:widowControl w:val="0"/>
        <w:spacing w:before="5" w:after="0" w:line="240" w:lineRule="auto"/>
        <w:rPr>
          <w:rFonts w:ascii="Calibri" w:hAnsi="Calibri" w:cs="Calibri"/>
          <w:sz w:val="16"/>
          <w:szCs w:val="16"/>
        </w:rPr>
      </w:pPr>
    </w:p>
    <w:p w14:paraId="2019C79F" w14:textId="0ECDCD96" w:rsidR="00002D76" w:rsidRPr="00EA7458" w:rsidRDefault="00002D76" w:rsidP="00D63204">
      <w:pPr>
        <w:widowControl w:val="0"/>
        <w:spacing w:after="0" w:line="264" w:lineRule="exact"/>
        <w:ind w:left="107"/>
        <w:rPr>
          <w:rFonts w:ascii="Calibri" w:hAnsi="Calibri"/>
        </w:rPr>
      </w:pPr>
      <w:r w:rsidRPr="00FD0BD8">
        <w:rPr>
          <w:rFonts w:ascii="Calibri" w:hAnsi="Calibri"/>
          <w:color w:val="231F20"/>
          <w:w w:val="105"/>
        </w:rPr>
        <w:t>The highest KSAs for emerging</w:t>
      </w:r>
      <w:r w:rsidRPr="00FD0BD8">
        <w:rPr>
          <w:rFonts w:ascii="Calibri" w:hAnsi="Calibri"/>
          <w:color w:val="231F20"/>
          <w:spacing w:val="17"/>
          <w:w w:val="105"/>
        </w:rPr>
        <w:t xml:space="preserve"> </w:t>
      </w:r>
      <w:r w:rsidRPr="00FD0BD8">
        <w:rPr>
          <w:rFonts w:ascii="Calibri" w:hAnsi="Calibri"/>
          <w:color w:val="231F20"/>
          <w:w w:val="105"/>
        </w:rPr>
        <w:t>occupations</w:t>
      </w:r>
      <w:r w:rsidRPr="00FD0BD8">
        <w:rPr>
          <w:rFonts w:ascii="Calibri" w:hAnsi="Calibri"/>
          <w:color w:val="231F20"/>
          <w:spacing w:val="17"/>
          <w:w w:val="105"/>
        </w:rPr>
        <w:t xml:space="preserve"> </w:t>
      </w:r>
      <w:r w:rsidRPr="00FD0BD8">
        <w:rPr>
          <w:rFonts w:ascii="Calibri" w:hAnsi="Calibri"/>
          <w:color w:val="231F20"/>
          <w:w w:val="105"/>
        </w:rPr>
        <w:t xml:space="preserve">are knowledge of English Language, </w:t>
      </w:r>
      <w:r>
        <w:rPr>
          <w:rFonts w:ascii="Calibri" w:hAnsi="Calibri"/>
          <w:color w:val="231F20"/>
          <w:w w:val="105"/>
        </w:rPr>
        <w:t xml:space="preserve">Customer &amp; Personal Service, </w:t>
      </w:r>
      <w:r w:rsidRPr="00FD0BD8">
        <w:rPr>
          <w:rFonts w:ascii="Calibri" w:hAnsi="Calibri"/>
          <w:color w:val="231F20"/>
          <w:w w:val="105"/>
        </w:rPr>
        <w:t xml:space="preserve">Active Listening, </w:t>
      </w:r>
      <w:r>
        <w:rPr>
          <w:rFonts w:ascii="Calibri" w:hAnsi="Calibri"/>
          <w:color w:val="231F20"/>
          <w:w w:val="105"/>
        </w:rPr>
        <w:t xml:space="preserve">Reading Comprehension, </w:t>
      </w:r>
      <w:r w:rsidRPr="00FD0BD8">
        <w:rPr>
          <w:rFonts w:ascii="Calibri" w:hAnsi="Calibri"/>
          <w:color w:val="231F20"/>
          <w:w w:val="105"/>
        </w:rPr>
        <w:t>Oral Comprehension</w:t>
      </w:r>
      <w:r w:rsidR="00D5537E">
        <w:rPr>
          <w:rFonts w:ascii="Calibri" w:hAnsi="Calibri"/>
          <w:color w:val="231F20"/>
          <w:w w:val="105"/>
        </w:rPr>
        <w:t xml:space="preserve"> and</w:t>
      </w:r>
      <w:r>
        <w:rPr>
          <w:rFonts w:ascii="Calibri" w:hAnsi="Calibri"/>
          <w:color w:val="231F20"/>
          <w:w w:val="105"/>
        </w:rPr>
        <w:t xml:space="preserve"> Oral Expression</w:t>
      </w:r>
      <w:r w:rsidRPr="00FD0BD8">
        <w:rPr>
          <w:rFonts w:ascii="Calibri" w:hAnsi="Calibri"/>
          <w:color w:val="231F20"/>
          <w:w w:val="105"/>
        </w:rPr>
        <w:t>.</w:t>
      </w:r>
    </w:p>
    <w:p w14:paraId="180BD3BB" w14:textId="77777777" w:rsidR="00002D76" w:rsidRPr="00EA7458" w:rsidRDefault="00002D76" w:rsidP="00002D76">
      <w:pPr>
        <w:widowControl w:val="0"/>
        <w:spacing w:before="6" w:after="0" w:line="240" w:lineRule="auto"/>
        <w:rPr>
          <w:rFonts w:ascii="Calibri" w:hAnsi="Calibri" w:cs="Calibri"/>
          <w:sz w:val="16"/>
          <w:szCs w:val="16"/>
        </w:rPr>
      </w:pPr>
    </w:p>
    <w:p w14:paraId="18C66146" w14:textId="77777777" w:rsidR="00002D76" w:rsidRPr="00EA7458" w:rsidRDefault="00002D76" w:rsidP="00D63204">
      <w:pPr>
        <w:widowControl w:val="0"/>
        <w:spacing w:after="0" w:line="266" w:lineRule="exact"/>
        <w:ind w:left="468" w:right="468"/>
        <w:outlineLvl w:val="2"/>
        <w:rPr>
          <w:rFonts w:ascii="Calibri" w:hAnsi="Calibri"/>
        </w:rPr>
      </w:pPr>
      <w:r w:rsidRPr="00EA7458">
        <w:rPr>
          <w:rFonts w:ascii="Calibri" w:hAnsi="Calibri"/>
          <w:b/>
          <w:bCs/>
          <w:color w:val="231F20"/>
          <w:w w:val="115"/>
        </w:rPr>
        <w:t>Figure</w:t>
      </w:r>
      <w:r w:rsidRPr="00EA7458">
        <w:rPr>
          <w:rFonts w:ascii="Calibri" w:hAnsi="Calibri"/>
          <w:b/>
          <w:bCs/>
          <w:color w:val="231F20"/>
          <w:spacing w:val="-14"/>
          <w:w w:val="115"/>
        </w:rPr>
        <w:t xml:space="preserve"> </w:t>
      </w:r>
      <w:r w:rsidRPr="00EA7458">
        <w:rPr>
          <w:rFonts w:ascii="Calibri" w:hAnsi="Calibri"/>
          <w:b/>
          <w:bCs/>
          <w:color w:val="231F20"/>
          <w:w w:val="115"/>
        </w:rPr>
        <w:t>2.05</w:t>
      </w:r>
    </w:p>
    <w:p w14:paraId="0D8E7C55" w14:textId="51C97C0C" w:rsidR="00002D76" w:rsidRDefault="00002D76" w:rsidP="00D63204">
      <w:pPr>
        <w:widowControl w:val="0"/>
        <w:spacing w:before="2" w:after="0" w:line="235" w:lineRule="auto"/>
        <w:ind w:left="3184" w:right="3182"/>
        <w:rPr>
          <w:rFonts w:ascii="Calibri" w:hAnsi="Calibri"/>
          <w:b/>
          <w:color w:val="231F20"/>
          <w:w w:val="114"/>
        </w:rPr>
      </w:pPr>
      <w:r>
        <w:rPr>
          <w:noProof/>
        </w:rPr>
        <w:drawing>
          <wp:anchor distT="0" distB="0" distL="114300" distR="114300" simplePos="0" relativeHeight="251658263" behindDoc="0" locked="0" layoutInCell="1" allowOverlap="1" wp14:anchorId="2735B273" wp14:editId="6796763D">
            <wp:simplePos x="0" y="0"/>
            <wp:positionH relativeFrom="margin">
              <wp:align>right</wp:align>
            </wp:positionH>
            <wp:positionV relativeFrom="paragraph">
              <wp:posOffset>495935</wp:posOffset>
            </wp:positionV>
            <wp:extent cx="6629400" cy="3857625"/>
            <wp:effectExtent l="0" t="0" r="0" b="0"/>
            <wp:wrapTopAndBottom/>
            <wp:docPr id="5" name="Chart 5" descr="Figure 2.05 displays the knowledge components that were reported most important for Emerging Occupations. Knowledge of English Language and Customer &amp; Personal Service were identified as most important for the Emerging Occupations. English Language 64, Customer &amp; Personal Service 62, Mathematics 53, Education &amp; Training 53, Administration &amp; Management 41, Public Safety &amp; Security 34, Engineering &amp; Technology 30, Mechanical 27, Design 25, Building &amp; Construction 19." title="Figure 2.05 Emerging Occupations Top Knowledge Scores"/>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14:sizeRelV relativeFrom="margin">
              <wp14:pctHeight>0</wp14:pctHeight>
            </wp14:sizeRelV>
          </wp:anchor>
        </w:drawing>
      </w:r>
      <w:r w:rsidR="00633F73" w:rsidRPr="00EA7458">
        <w:rPr>
          <w:rFonts w:ascii="Calibri" w:hAnsi="Calibri"/>
          <w:b/>
          <w:color w:val="231F20"/>
          <w:w w:val="115"/>
        </w:rPr>
        <w:t>Emerging</w:t>
      </w:r>
      <w:r w:rsidRPr="00EA7458">
        <w:rPr>
          <w:rFonts w:ascii="Calibri" w:hAnsi="Calibri"/>
          <w:b/>
          <w:color w:val="231F20"/>
          <w:spacing w:val="-20"/>
          <w:w w:val="115"/>
        </w:rPr>
        <w:t xml:space="preserve"> </w:t>
      </w:r>
      <w:r w:rsidR="00633F73" w:rsidRPr="00EA7458">
        <w:rPr>
          <w:rFonts w:ascii="Calibri" w:hAnsi="Calibri"/>
          <w:b/>
          <w:color w:val="231F20"/>
          <w:spacing w:val="-3"/>
          <w:w w:val="115"/>
        </w:rPr>
        <w:t>Occupations</w:t>
      </w:r>
      <w:r w:rsidR="00633F73" w:rsidRPr="00EA7458">
        <w:rPr>
          <w:rFonts w:ascii="Calibri" w:hAnsi="Calibri"/>
          <w:b/>
          <w:color w:val="231F20"/>
          <w:w w:val="114"/>
        </w:rPr>
        <w:t xml:space="preserve"> </w:t>
      </w:r>
    </w:p>
    <w:p w14:paraId="2E44860F" w14:textId="15813F25" w:rsidR="00002D76" w:rsidRPr="00EA7458" w:rsidRDefault="00633F73" w:rsidP="00D63204">
      <w:pPr>
        <w:widowControl w:val="0"/>
        <w:spacing w:before="2" w:after="0" w:line="235" w:lineRule="auto"/>
        <w:ind w:left="3184" w:right="3182"/>
        <w:rPr>
          <w:rFonts w:ascii="Calibri" w:hAnsi="Calibri" w:cs="Calibri"/>
        </w:rPr>
      </w:pPr>
      <w:r w:rsidRPr="00EA7458">
        <w:rPr>
          <w:rFonts w:ascii="Calibri" w:hAnsi="Calibri"/>
          <w:b/>
          <w:color w:val="231F20"/>
          <w:w w:val="115"/>
        </w:rPr>
        <w:t>Top Knowledge</w:t>
      </w:r>
      <w:r w:rsidRPr="00EA7458">
        <w:rPr>
          <w:rFonts w:ascii="Calibri" w:hAnsi="Calibri"/>
          <w:b/>
          <w:color w:val="231F20"/>
          <w:spacing w:val="10"/>
          <w:w w:val="115"/>
        </w:rPr>
        <w:t xml:space="preserve"> </w:t>
      </w:r>
      <w:r w:rsidRPr="00EA7458">
        <w:rPr>
          <w:rFonts w:ascii="Calibri" w:hAnsi="Calibri"/>
          <w:b/>
          <w:color w:val="231F20"/>
          <w:w w:val="115"/>
        </w:rPr>
        <w:t>Scores</w:t>
      </w:r>
    </w:p>
    <w:p w14:paraId="46401C4A" w14:textId="77777777" w:rsidR="00CD1C1C" w:rsidRPr="00EA7458" w:rsidRDefault="00CD1C1C" w:rsidP="00CD1C1C">
      <w:pPr>
        <w:widowControl w:val="0"/>
        <w:spacing w:before="102" w:after="0" w:line="240" w:lineRule="auto"/>
        <w:ind w:left="107"/>
        <w:rPr>
          <w:rFonts w:ascii="Calibri" w:hAnsi="Calibri" w:cs="Calibri"/>
          <w:sz w:val="18"/>
          <w:szCs w:val="18"/>
        </w:rPr>
      </w:pPr>
      <w:r w:rsidRPr="00CD1C1C">
        <w:rPr>
          <w:rFonts w:ascii="Calibri" w:hAnsi="Calibri"/>
          <w:color w:val="231F20"/>
          <w:w w:val="105"/>
          <w:sz w:val="18"/>
        </w:rPr>
        <w:t>Source:  O*Net and Florida Department of Economic Opportunity, Bureau of Labor Market Statistics, December 2017</w:t>
      </w:r>
    </w:p>
    <w:p w14:paraId="10ECF02B" w14:textId="77777777" w:rsidR="00002D76" w:rsidRPr="00EA7458" w:rsidRDefault="00002D76" w:rsidP="00002D76">
      <w:pPr>
        <w:widowControl w:val="0"/>
        <w:spacing w:after="0" w:line="240" w:lineRule="auto"/>
        <w:rPr>
          <w:rFonts w:ascii="Calibri" w:hAnsi="Calibri" w:cs="Calibri"/>
          <w:sz w:val="18"/>
          <w:szCs w:val="18"/>
        </w:rPr>
        <w:sectPr w:rsidR="00002D76" w:rsidRPr="00EA7458">
          <w:footerReference w:type="default" r:id="rId66"/>
          <w:pgSz w:w="12240" w:h="15840"/>
          <w:pgMar w:top="1620" w:right="900" w:bottom="820" w:left="900" w:header="812" w:footer="624" w:gutter="0"/>
          <w:cols w:space="720"/>
        </w:sectPr>
      </w:pPr>
    </w:p>
    <w:p w14:paraId="6CC653A2" w14:textId="77777777" w:rsidR="00002D76" w:rsidRPr="00EA7458" w:rsidRDefault="00002D76" w:rsidP="00002D76">
      <w:pPr>
        <w:widowControl w:val="0"/>
        <w:spacing w:before="4" w:after="0" w:line="240" w:lineRule="auto"/>
        <w:rPr>
          <w:rFonts w:ascii="Calibri" w:hAnsi="Calibri" w:cs="Calibri"/>
          <w:sz w:val="14"/>
          <w:szCs w:val="14"/>
        </w:rPr>
      </w:pPr>
    </w:p>
    <w:p w14:paraId="0F836447" w14:textId="77777777" w:rsidR="00002D76" w:rsidRPr="00EA7458" w:rsidRDefault="00002D76" w:rsidP="00D63204">
      <w:pPr>
        <w:widowControl w:val="0"/>
        <w:spacing w:before="57" w:after="0" w:line="266" w:lineRule="exact"/>
        <w:ind w:left="468" w:right="468"/>
        <w:outlineLvl w:val="2"/>
        <w:rPr>
          <w:rFonts w:ascii="Calibri" w:hAnsi="Calibri"/>
        </w:rPr>
      </w:pPr>
      <w:bookmarkStart w:id="21" w:name="_bookmark10"/>
      <w:bookmarkEnd w:id="21"/>
      <w:r w:rsidRPr="00EA7458">
        <w:rPr>
          <w:rFonts w:ascii="Calibri" w:hAnsi="Calibri"/>
          <w:b/>
          <w:bCs/>
          <w:color w:val="231F20"/>
          <w:w w:val="115"/>
        </w:rPr>
        <w:t>Figure</w:t>
      </w:r>
      <w:r w:rsidRPr="00EA7458">
        <w:rPr>
          <w:rFonts w:ascii="Calibri" w:hAnsi="Calibri"/>
          <w:b/>
          <w:bCs/>
          <w:color w:val="231F20"/>
          <w:spacing w:val="-14"/>
          <w:w w:val="115"/>
        </w:rPr>
        <w:t xml:space="preserve"> </w:t>
      </w:r>
      <w:r w:rsidRPr="00EA7458">
        <w:rPr>
          <w:rFonts w:ascii="Calibri" w:hAnsi="Calibri"/>
          <w:b/>
          <w:bCs/>
          <w:color w:val="231F20"/>
          <w:w w:val="115"/>
        </w:rPr>
        <w:t>2.06</w:t>
      </w:r>
    </w:p>
    <w:p w14:paraId="3EAAC1BF" w14:textId="12AAC600" w:rsidR="00002D76" w:rsidRDefault="00002D76" w:rsidP="00D63204">
      <w:pPr>
        <w:widowControl w:val="0"/>
        <w:spacing w:before="2" w:after="0" w:line="235" w:lineRule="auto"/>
        <w:ind w:left="3184" w:right="3182"/>
        <w:rPr>
          <w:rFonts w:ascii="Calibri" w:hAnsi="Calibri"/>
          <w:b/>
          <w:color w:val="231F20"/>
          <w:w w:val="114"/>
        </w:rPr>
      </w:pPr>
      <w:r>
        <w:rPr>
          <w:noProof/>
        </w:rPr>
        <w:drawing>
          <wp:anchor distT="0" distB="0" distL="114300" distR="114300" simplePos="0" relativeHeight="251658264" behindDoc="0" locked="0" layoutInCell="1" allowOverlap="1" wp14:anchorId="26C5ED74" wp14:editId="50CCD518">
            <wp:simplePos x="0" y="0"/>
            <wp:positionH relativeFrom="margin">
              <wp:align>right</wp:align>
            </wp:positionH>
            <wp:positionV relativeFrom="paragraph">
              <wp:posOffset>424815</wp:posOffset>
            </wp:positionV>
            <wp:extent cx="6629400" cy="3057525"/>
            <wp:effectExtent l="0" t="0" r="0" b="0"/>
            <wp:wrapTopAndBottom/>
            <wp:docPr id="6" name="Chart 6" descr="Figure 2.06 displays the skills components that were reported most important for Emerging Occupations. Skills in Active Listening and Reading Comprehension were identified as most important for the Emerging Occupations. Active Listening 62, Reading Comprehension 62, Critical Thinking 61, Speaking 59, Judgement &amp; Decision Making 54, Monitoring 54, Social Perceptiveness 54, Complex Problem Solving 54, Coordination 51, Service Orientation 49." title="Figure 2.06 Emerging Occupations Top Skills Scores"/>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14:sizeRelV relativeFrom="margin">
              <wp14:pctHeight>0</wp14:pctHeight>
            </wp14:sizeRelV>
          </wp:anchor>
        </w:drawing>
      </w:r>
      <w:r w:rsidR="00633F73" w:rsidRPr="00EA7458">
        <w:rPr>
          <w:rFonts w:ascii="Calibri" w:hAnsi="Calibri"/>
          <w:b/>
          <w:color w:val="231F20"/>
          <w:w w:val="115"/>
        </w:rPr>
        <w:t>Emerging</w:t>
      </w:r>
      <w:r w:rsidR="00633F73" w:rsidRPr="00EA7458">
        <w:rPr>
          <w:rFonts w:ascii="Calibri" w:hAnsi="Calibri"/>
          <w:b/>
          <w:color w:val="231F20"/>
          <w:spacing w:val="-20"/>
          <w:w w:val="115"/>
        </w:rPr>
        <w:t xml:space="preserve"> </w:t>
      </w:r>
      <w:r w:rsidR="00633F73" w:rsidRPr="00EA7458">
        <w:rPr>
          <w:rFonts w:ascii="Calibri" w:hAnsi="Calibri"/>
          <w:b/>
          <w:color w:val="231F20"/>
          <w:spacing w:val="-3"/>
          <w:w w:val="115"/>
        </w:rPr>
        <w:t>Occupations</w:t>
      </w:r>
      <w:r w:rsidR="00633F73" w:rsidRPr="00EA7458">
        <w:rPr>
          <w:rFonts w:ascii="Calibri" w:hAnsi="Calibri"/>
          <w:b/>
          <w:color w:val="231F20"/>
          <w:w w:val="114"/>
        </w:rPr>
        <w:t xml:space="preserve"> </w:t>
      </w:r>
    </w:p>
    <w:p w14:paraId="37D7A0F1" w14:textId="2335081B" w:rsidR="00002D76" w:rsidRDefault="00633F73" w:rsidP="00D63204">
      <w:pPr>
        <w:widowControl w:val="0"/>
        <w:spacing w:before="2" w:after="0" w:line="235" w:lineRule="auto"/>
        <w:ind w:left="3184" w:right="3182"/>
        <w:rPr>
          <w:rFonts w:ascii="Calibri" w:hAnsi="Calibri"/>
          <w:b/>
          <w:color w:val="231F20"/>
          <w:w w:val="115"/>
        </w:rPr>
      </w:pPr>
      <w:r w:rsidRPr="00EA7458">
        <w:rPr>
          <w:rFonts w:ascii="Calibri" w:hAnsi="Calibri"/>
          <w:b/>
          <w:color w:val="231F20"/>
          <w:w w:val="115"/>
        </w:rPr>
        <w:t>Top Skills</w:t>
      </w:r>
      <w:r w:rsidRPr="00EA7458">
        <w:rPr>
          <w:rFonts w:ascii="Calibri" w:hAnsi="Calibri"/>
          <w:b/>
          <w:color w:val="231F20"/>
          <w:spacing w:val="14"/>
          <w:w w:val="115"/>
        </w:rPr>
        <w:t xml:space="preserve"> </w:t>
      </w:r>
      <w:r w:rsidRPr="00EA7458">
        <w:rPr>
          <w:rFonts w:ascii="Calibri" w:hAnsi="Calibri"/>
          <w:b/>
          <w:color w:val="231F20"/>
          <w:w w:val="115"/>
        </w:rPr>
        <w:t>Scores</w:t>
      </w:r>
    </w:p>
    <w:p w14:paraId="2FB1D4BF" w14:textId="77777777" w:rsidR="00CD1C1C" w:rsidRPr="00EA7458" w:rsidRDefault="00CD1C1C" w:rsidP="00CD1C1C">
      <w:pPr>
        <w:widowControl w:val="0"/>
        <w:spacing w:before="102" w:after="0" w:line="240" w:lineRule="auto"/>
        <w:ind w:left="107"/>
        <w:rPr>
          <w:rFonts w:ascii="Calibri" w:hAnsi="Calibri" w:cs="Calibri"/>
          <w:sz w:val="18"/>
          <w:szCs w:val="18"/>
        </w:rPr>
      </w:pPr>
      <w:r w:rsidRPr="00CD1C1C">
        <w:rPr>
          <w:rFonts w:ascii="Calibri" w:hAnsi="Calibri"/>
          <w:color w:val="231F20"/>
          <w:w w:val="105"/>
          <w:sz w:val="18"/>
        </w:rPr>
        <w:t>Source:  O*Net and Florida Department of Economic Opportunity, Bureau of Labor Market Statistics, December 2017</w:t>
      </w:r>
    </w:p>
    <w:p w14:paraId="2B0956A7" w14:textId="77777777" w:rsidR="00FB2FBE" w:rsidRPr="002F7828" w:rsidRDefault="00FB2FBE" w:rsidP="00002D76">
      <w:pPr>
        <w:widowControl w:val="0"/>
        <w:spacing w:before="40" w:after="0" w:line="240" w:lineRule="auto"/>
        <w:rPr>
          <w:rFonts w:ascii="Calibri" w:hAnsi="Calibri"/>
          <w:color w:val="231F20"/>
          <w:w w:val="105"/>
          <w:sz w:val="18"/>
        </w:rPr>
      </w:pPr>
    </w:p>
    <w:p w14:paraId="7CDF97D0" w14:textId="77777777" w:rsidR="00002D76" w:rsidRPr="00EA7458" w:rsidRDefault="00002D76" w:rsidP="00D63204">
      <w:pPr>
        <w:widowControl w:val="0"/>
        <w:spacing w:after="0" w:line="266" w:lineRule="exact"/>
        <w:ind w:left="468" w:right="468"/>
        <w:outlineLvl w:val="2"/>
        <w:rPr>
          <w:rFonts w:ascii="Calibri" w:hAnsi="Calibri"/>
        </w:rPr>
      </w:pPr>
      <w:r w:rsidRPr="00EA7458">
        <w:rPr>
          <w:rFonts w:ascii="Calibri" w:hAnsi="Calibri"/>
          <w:b/>
          <w:bCs/>
          <w:color w:val="231F20"/>
          <w:w w:val="115"/>
        </w:rPr>
        <w:t>Figure</w:t>
      </w:r>
      <w:r w:rsidRPr="00EA7458">
        <w:rPr>
          <w:rFonts w:ascii="Calibri" w:hAnsi="Calibri"/>
          <w:b/>
          <w:bCs/>
          <w:color w:val="231F20"/>
          <w:spacing w:val="-28"/>
          <w:w w:val="115"/>
        </w:rPr>
        <w:t xml:space="preserve"> </w:t>
      </w:r>
      <w:r w:rsidRPr="00EA7458">
        <w:rPr>
          <w:rFonts w:ascii="Calibri" w:hAnsi="Calibri"/>
          <w:b/>
          <w:bCs/>
          <w:color w:val="231F20"/>
          <w:w w:val="115"/>
        </w:rPr>
        <w:t>2.07</w:t>
      </w:r>
    </w:p>
    <w:p w14:paraId="28D00053" w14:textId="6400EC19" w:rsidR="00002D76" w:rsidRDefault="00002D76" w:rsidP="00D63204">
      <w:pPr>
        <w:widowControl w:val="0"/>
        <w:spacing w:before="2" w:after="0" w:line="235" w:lineRule="auto"/>
        <w:ind w:left="3184" w:right="3182"/>
        <w:rPr>
          <w:rFonts w:ascii="Calibri" w:hAnsi="Calibri"/>
          <w:b/>
          <w:color w:val="231F20"/>
          <w:w w:val="114"/>
        </w:rPr>
      </w:pPr>
      <w:r>
        <w:rPr>
          <w:noProof/>
        </w:rPr>
        <w:drawing>
          <wp:anchor distT="0" distB="0" distL="114300" distR="114300" simplePos="0" relativeHeight="251658265" behindDoc="0" locked="0" layoutInCell="1" allowOverlap="1" wp14:anchorId="5319D7D7" wp14:editId="7B29C5BC">
            <wp:simplePos x="0" y="0"/>
            <wp:positionH relativeFrom="margin">
              <wp:align>right</wp:align>
            </wp:positionH>
            <wp:positionV relativeFrom="paragraph">
              <wp:posOffset>398780</wp:posOffset>
            </wp:positionV>
            <wp:extent cx="6629400" cy="2890520"/>
            <wp:effectExtent l="0" t="0" r="0" b="5080"/>
            <wp:wrapTopAndBottom/>
            <wp:docPr id="7" name="Chart 7" descr="Figure 2.07 displays the ability components that were reported most important for Emerging Occupations. Abilities of Oral Comprehension and Oral Expression were identified as most important for the Emerging Occupations. Oral Comprehension 66, Oral Expression 64, Problem Sensitivity 63, Near Vision 61, Written Comprehension 61, Deductive Reasoning 60, Inductive Reasoning 59, Speech Recognition 55, Speech Clarity 54, Arm-Hand Steadiness 40." title="Figure 2.07 Emerging Occupations Top Abilities Scores"/>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14:sizeRelV relativeFrom="margin">
              <wp14:pctHeight>0</wp14:pctHeight>
            </wp14:sizeRelV>
          </wp:anchor>
        </w:drawing>
      </w:r>
      <w:r w:rsidR="00633F73" w:rsidRPr="00EA7458">
        <w:rPr>
          <w:rFonts w:ascii="Calibri" w:hAnsi="Calibri"/>
          <w:b/>
          <w:color w:val="231F20"/>
          <w:w w:val="115"/>
        </w:rPr>
        <w:t>Emerging</w:t>
      </w:r>
      <w:r w:rsidR="00633F73" w:rsidRPr="00EA7458">
        <w:rPr>
          <w:rFonts w:ascii="Calibri" w:hAnsi="Calibri"/>
          <w:b/>
          <w:color w:val="231F20"/>
          <w:spacing w:val="-20"/>
          <w:w w:val="115"/>
        </w:rPr>
        <w:t xml:space="preserve"> </w:t>
      </w:r>
      <w:r w:rsidR="00633F73" w:rsidRPr="00EA7458">
        <w:rPr>
          <w:rFonts w:ascii="Calibri" w:hAnsi="Calibri"/>
          <w:b/>
          <w:color w:val="231F20"/>
          <w:spacing w:val="-3"/>
          <w:w w:val="115"/>
        </w:rPr>
        <w:t>Occupations</w:t>
      </w:r>
      <w:r w:rsidR="00633F73" w:rsidRPr="00EA7458">
        <w:rPr>
          <w:rFonts w:ascii="Calibri" w:hAnsi="Calibri"/>
          <w:b/>
          <w:color w:val="231F20"/>
          <w:w w:val="114"/>
        </w:rPr>
        <w:t xml:space="preserve"> </w:t>
      </w:r>
    </w:p>
    <w:p w14:paraId="4EA92A12" w14:textId="007790D9" w:rsidR="00002D76" w:rsidRPr="00EA7458" w:rsidRDefault="00633F73" w:rsidP="00D63204">
      <w:pPr>
        <w:widowControl w:val="0"/>
        <w:spacing w:before="2" w:after="0" w:line="235" w:lineRule="auto"/>
        <w:ind w:left="3184" w:right="3182"/>
        <w:rPr>
          <w:rFonts w:ascii="Calibri" w:hAnsi="Calibri" w:cs="Calibri"/>
        </w:rPr>
      </w:pPr>
      <w:r w:rsidRPr="00EA7458">
        <w:rPr>
          <w:rFonts w:ascii="Calibri" w:hAnsi="Calibri"/>
          <w:b/>
          <w:color w:val="231F20"/>
          <w:w w:val="115"/>
        </w:rPr>
        <w:t>Top Abilities</w:t>
      </w:r>
      <w:r w:rsidRPr="00EA7458">
        <w:rPr>
          <w:rFonts w:ascii="Calibri" w:hAnsi="Calibri"/>
          <w:b/>
          <w:color w:val="231F20"/>
          <w:spacing w:val="44"/>
          <w:w w:val="115"/>
        </w:rPr>
        <w:t xml:space="preserve"> </w:t>
      </w:r>
      <w:r w:rsidRPr="00EA7458">
        <w:rPr>
          <w:rFonts w:ascii="Calibri" w:hAnsi="Calibri"/>
          <w:b/>
          <w:color w:val="231F20"/>
          <w:w w:val="115"/>
        </w:rPr>
        <w:t>Scores</w:t>
      </w:r>
    </w:p>
    <w:p w14:paraId="4BFD4072" w14:textId="77777777" w:rsidR="00CD1C1C" w:rsidRPr="00EA7458" w:rsidRDefault="00CD1C1C" w:rsidP="00CD1C1C">
      <w:pPr>
        <w:widowControl w:val="0"/>
        <w:spacing w:before="102" w:after="0" w:line="240" w:lineRule="auto"/>
        <w:ind w:left="107"/>
        <w:rPr>
          <w:rFonts w:ascii="Calibri" w:hAnsi="Calibri" w:cs="Calibri"/>
          <w:sz w:val="18"/>
          <w:szCs w:val="18"/>
        </w:rPr>
      </w:pPr>
      <w:r w:rsidRPr="00CD1C1C">
        <w:rPr>
          <w:rFonts w:ascii="Calibri" w:hAnsi="Calibri"/>
          <w:color w:val="231F20"/>
          <w:w w:val="105"/>
          <w:sz w:val="18"/>
        </w:rPr>
        <w:t>Source:  O*Net and Florida Department of Economic Opportunity, Bureau of Labor Market Statistics, December 2017</w:t>
      </w:r>
    </w:p>
    <w:p w14:paraId="3DB5F5E2" w14:textId="77777777" w:rsidR="00002D76" w:rsidRPr="00EA7458" w:rsidRDefault="00002D76" w:rsidP="00002D76">
      <w:pPr>
        <w:widowControl w:val="0"/>
        <w:spacing w:before="41" w:after="0" w:line="240" w:lineRule="auto"/>
        <w:ind w:left="108"/>
        <w:rPr>
          <w:rFonts w:ascii="Calibri" w:hAnsi="Calibri" w:cs="Calibri"/>
          <w:sz w:val="18"/>
          <w:szCs w:val="18"/>
        </w:rPr>
        <w:sectPr w:rsidR="00002D76" w:rsidRPr="00EA7458">
          <w:footerReference w:type="default" r:id="rId69"/>
          <w:pgSz w:w="12240" w:h="15840"/>
          <w:pgMar w:top="1620" w:right="900" w:bottom="820" w:left="900" w:header="812" w:footer="624" w:gutter="0"/>
          <w:pgNumType w:start="11"/>
          <w:cols w:space="720"/>
        </w:sectPr>
      </w:pPr>
    </w:p>
    <w:p w14:paraId="08A6A730" w14:textId="77777777" w:rsidR="00002D76" w:rsidRPr="00EA7458" w:rsidRDefault="00002D76" w:rsidP="00002D76">
      <w:pPr>
        <w:widowControl w:val="0"/>
        <w:spacing w:before="2" w:after="0" w:line="240" w:lineRule="auto"/>
        <w:rPr>
          <w:rFonts w:ascii="Calibri" w:hAnsi="Calibri" w:cs="Calibri"/>
          <w:sz w:val="14"/>
          <w:szCs w:val="14"/>
        </w:rPr>
      </w:pPr>
    </w:p>
    <w:p w14:paraId="7C6885DF" w14:textId="0854A519" w:rsidR="00002D76" w:rsidRPr="00EA7458" w:rsidRDefault="00002D76" w:rsidP="00002D76">
      <w:pPr>
        <w:widowControl w:val="0"/>
        <w:spacing w:after="0" w:line="264" w:lineRule="exact"/>
        <w:ind w:left="107"/>
        <w:rPr>
          <w:rFonts w:ascii="Calibri" w:hAnsi="Calibri"/>
        </w:rPr>
      </w:pPr>
      <w:bookmarkStart w:id="22" w:name="_bookmark11"/>
      <w:bookmarkEnd w:id="22"/>
      <w:r w:rsidRPr="00FD0BD8">
        <w:rPr>
          <w:rFonts w:ascii="Calibri" w:hAnsi="Calibri"/>
          <w:color w:val="231F20"/>
          <w:w w:val="105"/>
        </w:rPr>
        <w:t>The highest KSAs for occupations</w:t>
      </w:r>
      <w:r>
        <w:rPr>
          <w:rFonts w:ascii="Calibri" w:hAnsi="Calibri"/>
          <w:color w:val="231F20"/>
          <w:w w:val="105"/>
        </w:rPr>
        <w:t xml:space="preserve"> with the most job openings</w:t>
      </w:r>
      <w:r w:rsidRPr="00FD0BD8">
        <w:rPr>
          <w:rFonts w:ascii="Calibri" w:hAnsi="Calibri"/>
          <w:color w:val="231F20"/>
          <w:spacing w:val="17"/>
          <w:w w:val="105"/>
        </w:rPr>
        <w:t xml:space="preserve"> </w:t>
      </w:r>
      <w:r w:rsidRPr="00FD0BD8">
        <w:rPr>
          <w:rFonts w:ascii="Calibri" w:hAnsi="Calibri"/>
          <w:color w:val="231F20"/>
          <w:w w:val="105"/>
        </w:rPr>
        <w:t xml:space="preserve">are knowledge of </w:t>
      </w:r>
      <w:r>
        <w:rPr>
          <w:rFonts w:ascii="Calibri" w:hAnsi="Calibri"/>
          <w:color w:val="231F20"/>
          <w:w w:val="105"/>
        </w:rPr>
        <w:t xml:space="preserve">Customer &amp; Personal Service, </w:t>
      </w:r>
      <w:r w:rsidRPr="00FD0BD8">
        <w:rPr>
          <w:rFonts w:ascii="Calibri" w:hAnsi="Calibri"/>
          <w:color w:val="231F20"/>
          <w:w w:val="105"/>
        </w:rPr>
        <w:t xml:space="preserve">English Language, Active Listening, </w:t>
      </w:r>
      <w:r>
        <w:rPr>
          <w:rFonts w:ascii="Calibri" w:hAnsi="Calibri"/>
          <w:color w:val="231F20"/>
          <w:w w:val="105"/>
        </w:rPr>
        <w:t xml:space="preserve">Speaking, </w:t>
      </w:r>
      <w:r w:rsidRPr="00FD0BD8">
        <w:rPr>
          <w:rFonts w:ascii="Calibri" w:hAnsi="Calibri"/>
          <w:color w:val="231F20"/>
          <w:w w:val="105"/>
        </w:rPr>
        <w:t>Oral Comprehension</w:t>
      </w:r>
      <w:r w:rsidR="00D5537E">
        <w:rPr>
          <w:rFonts w:ascii="Calibri" w:hAnsi="Calibri"/>
          <w:color w:val="231F20"/>
          <w:w w:val="105"/>
        </w:rPr>
        <w:t xml:space="preserve"> and</w:t>
      </w:r>
      <w:r>
        <w:rPr>
          <w:rFonts w:ascii="Calibri" w:hAnsi="Calibri"/>
          <w:color w:val="231F20"/>
          <w:w w:val="105"/>
        </w:rPr>
        <w:t xml:space="preserve"> Oral Expression</w:t>
      </w:r>
      <w:r w:rsidRPr="00FD0BD8">
        <w:rPr>
          <w:rFonts w:ascii="Calibri" w:hAnsi="Calibri"/>
          <w:color w:val="231F20"/>
          <w:w w:val="105"/>
        </w:rPr>
        <w:t>.</w:t>
      </w:r>
    </w:p>
    <w:p w14:paraId="50E4A702" w14:textId="77777777" w:rsidR="00002D76" w:rsidRPr="00EA7458" w:rsidRDefault="00002D76" w:rsidP="00D63204">
      <w:pPr>
        <w:widowControl w:val="0"/>
        <w:spacing w:before="197" w:after="0" w:line="266" w:lineRule="exact"/>
        <w:ind w:left="468" w:right="468"/>
        <w:outlineLvl w:val="2"/>
        <w:rPr>
          <w:rFonts w:ascii="Calibri" w:hAnsi="Calibri"/>
        </w:rPr>
      </w:pPr>
      <w:r w:rsidRPr="00EA7458">
        <w:rPr>
          <w:rFonts w:ascii="Calibri" w:hAnsi="Calibri"/>
          <w:b/>
          <w:bCs/>
          <w:color w:val="231F20"/>
          <w:w w:val="115"/>
        </w:rPr>
        <w:t>Figure</w:t>
      </w:r>
      <w:r w:rsidRPr="00EA7458">
        <w:rPr>
          <w:rFonts w:ascii="Calibri" w:hAnsi="Calibri"/>
          <w:b/>
          <w:bCs/>
          <w:color w:val="231F20"/>
          <w:spacing w:val="-14"/>
          <w:w w:val="115"/>
        </w:rPr>
        <w:t xml:space="preserve"> </w:t>
      </w:r>
      <w:r w:rsidRPr="00EA7458">
        <w:rPr>
          <w:rFonts w:ascii="Calibri" w:hAnsi="Calibri"/>
          <w:b/>
          <w:bCs/>
          <w:color w:val="231F20"/>
          <w:w w:val="115"/>
        </w:rPr>
        <w:t>2.08</w:t>
      </w:r>
    </w:p>
    <w:p w14:paraId="3AA95445" w14:textId="0DF0EBF2" w:rsidR="009E73D2" w:rsidRDefault="00002D76" w:rsidP="00D63204">
      <w:pPr>
        <w:widowControl w:val="0"/>
        <w:spacing w:before="2" w:after="0" w:line="235" w:lineRule="auto"/>
        <w:ind w:left="2673" w:right="2671"/>
        <w:rPr>
          <w:rFonts w:ascii="Calibri" w:hAnsi="Calibri"/>
          <w:b/>
          <w:color w:val="231F20"/>
          <w:w w:val="114"/>
        </w:rPr>
      </w:pPr>
      <w:r>
        <w:rPr>
          <w:noProof/>
        </w:rPr>
        <w:drawing>
          <wp:anchor distT="0" distB="0" distL="114300" distR="114300" simplePos="0" relativeHeight="251658266" behindDoc="0" locked="0" layoutInCell="1" allowOverlap="1" wp14:anchorId="6B316282" wp14:editId="66F59139">
            <wp:simplePos x="0" y="0"/>
            <wp:positionH relativeFrom="page">
              <wp:posOffset>600075</wp:posOffset>
            </wp:positionH>
            <wp:positionV relativeFrom="paragraph">
              <wp:posOffset>487680</wp:posOffset>
            </wp:positionV>
            <wp:extent cx="6629400" cy="2819400"/>
            <wp:effectExtent l="0" t="0" r="0" b="0"/>
            <wp:wrapTopAndBottom/>
            <wp:docPr id="8" name="Chart 8" descr="Figure 2.08 displays the knowledge components that were reported most important for Occupations with the Most Job Openings. Knowledge of Customer &amp; Personal Service and English Language were identified as most important for Occupations with the Most Job Openings.&#10;Customer &amp; Personal Service 65, English Language 58, Administration &amp; Management 47, Mathematics 46, Education &amp; Training 46, Public Safety &amp; Security 38, Mechanical 24, Engineering &amp; Technology 23, Design 21, Building &amp; Construction 17.&#10;" title="Figure 2.08 Occupations with The Most Job Openings Top Knowledge Scores"/>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14:sizeRelV relativeFrom="margin">
              <wp14:pctHeight>0</wp14:pctHeight>
            </wp14:sizeRelV>
          </wp:anchor>
        </w:drawing>
      </w:r>
      <w:r w:rsidR="00633F73" w:rsidRPr="00EA7458">
        <w:rPr>
          <w:rFonts w:ascii="Calibri" w:hAnsi="Calibri"/>
          <w:b/>
          <w:color w:val="231F20"/>
          <w:spacing w:val="-3"/>
          <w:w w:val="115"/>
        </w:rPr>
        <w:t xml:space="preserve">Occupations </w:t>
      </w:r>
      <w:r w:rsidR="006F37A1" w:rsidRPr="00EA7458">
        <w:rPr>
          <w:rFonts w:ascii="Calibri" w:hAnsi="Calibri"/>
          <w:b/>
          <w:color w:val="231F20"/>
          <w:w w:val="115"/>
        </w:rPr>
        <w:t>with</w:t>
      </w:r>
      <w:r w:rsidR="0027754F">
        <w:rPr>
          <w:rFonts w:ascii="Calibri" w:hAnsi="Calibri"/>
          <w:b/>
          <w:color w:val="231F20"/>
          <w:w w:val="115"/>
        </w:rPr>
        <w:t xml:space="preserve"> t</w:t>
      </w:r>
      <w:r w:rsidR="00633F73" w:rsidRPr="00EA7458">
        <w:rPr>
          <w:rFonts w:ascii="Calibri" w:hAnsi="Calibri"/>
          <w:b/>
          <w:color w:val="231F20"/>
          <w:w w:val="115"/>
        </w:rPr>
        <w:t>he Most Job</w:t>
      </w:r>
      <w:r w:rsidR="00633F73" w:rsidRPr="00EA7458">
        <w:rPr>
          <w:rFonts w:ascii="Calibri" w:hAnsi="Calibri"/>
          <w:b/>
          <w:color w:val="231F20"/>
          <w:spacing w:val="-4"/>
          <w:w w:val="115"/>
        </w:rPr>
        <w:t xml:space="preserve"> </w:t>
      </w:r>
      <w:r w:rsidR="00633F73" w:rsidRPr="00EA7458">
        <w:rPr>
          <w:rFonts w:ascii="Calibri" w:hAnsi="Calibri"/>
          <w:b/>
          <w:color w:val="231F20"/>
          <w:w w:val="115"/>
        </w:rPr>
        <w:t>Openings</w:t>
      </w:r>
      <w:r w:rsidR="00633F73" w:rsidRPr="00EA7458">
        <w:rPr>
          <w:rFonts w:ascii="Calibri" w:hAnsi="Calibri"/>
          <w:b/>
          <w:color w:val="231F20"/>
          <w:w w:val="114"/>
        </w:rPr>
        <w:t xml:space="preserve"> </w:t>
      </w:r>
    </w:p>
    <w:p w14:paraId="6EE7E040" w14:textId="3E04010E" w:rsidR="00002D76" w:rsidRPr="00B2490A" w:rsidRDefault="00633F73" w:rsidP="00D63204">
      <w:pPr>
        <w:widowControl w:val="0"/>
        <w:spacing w:before="2" w:after="0" w:line="235" w:lineRule="auto"/>
        <w:ind w:left="2673" w:right="2671"/>
        <w:rPr>
          <w:rFonts w:ascii="Calibri" w:hAnsi="Calibri" w:cs="Calibri"/>
        </w:rPr>
      </w:pPr>
      <w:r w:rsidRPr="00EA7458">
        <w:rPr>
          <w:rFonts w:ascii="Calibri" w:hAnsi="Calibri"/>
          <w:b/>
          <w:color w:val="231F20"/>
          <w:w w:val="115"/>
        </w:rPr>
        <w:t>Top Knowledge</w:t>
      </w:r>
      <w:r w:rsidRPr="00EA7458">
        <w:rPr>
          <w:rFonts w:ascii="Calibri" w:hAnsi="Calibri"/>
          <w:b/>
          <w:color w:val="231F20"/>
          <w:spacing w:val="10"/>
          <w:w w:val="115"/>
        </w:rPr>
        <w:t xml:space="preserve"> </w:t>
      </w:r>
      <w:r w:rsidRPr="00EA7458">
        <w:rPr>
          <w:rFonts w:ascii="Calibri" w:hAnsi="Calibri"/>
          <w:b/>
          <w:color w:val="231F20"/>
          <w:w w:val="115"/>
        </w:rPr>
        <w:t>Scores</w:t>
      </w:r>
      <w:r w:rsidRPr="00B2490A">
        <w:rPr>
          <w:noProof/>
        </w:rPr>
        <w:t xml:space="preserve"> </w:t>
      </w:r>
    </w:p>
    <w:p w14:paraId="3F148496" w14:textId="77777777" w:rsidR="00CD1C1C" w:rsidRPr="00CD1C1C" w:rsidRDefault="00CD1C1C" w:rsidP="00CD1C1C">
      <w:pPr>
        <w:widowControl w:val="0"/>
        <w:spacing w:before="102" w:after="0" w:line="240" w:lineRule="auto"/>
        <w:ind w:left="107"/>
        <w:rPr>
          <w:rFonts w:ascii="Calibri" w:hAnsi="Calibri" w:cs="Calibri"/>
          <w:sz w:val="18"/>
          <w:szCs w:val="18"/>
        </w:rPr>
      </w:pPr>
      <w:r w:rsidRPr="00CD1C1C">
        <w:rPr>
          <w:rFonts w:ascii="Calibri" w:hAnsi="Calibri"/>
          <w:color w:val="231F20"/>
          <w:w w:val="105"/>
          <w:sz w:val="18"/>
        </w:rPr>
        <w:t>Source:  O*Net and Florida Department of Economic Opportunity, Bureau of Labor Market Statistics, December 2017</w:t>
      </w:r>
    </w:p>
    <w:p w14:paraId="2DA83771" w14:textId="77777777" w:rsidR="00002D76" w:rsidRPr="00EA7458" w:rsidRDefault="00002D76" w:rsidP="00002D76">
      <w:pPr>
        <w:widowControl w:val="0"/>
        <w:spacing w:after="0" w:line="240" w:lineRule="auto"/>
        <w:ind w:left="107"/>
        <w:rPr>
          <w:rFonts w:ascii="Calibri" w:hAnsi="Calibri" w:cs="Calibri"/>
          <w:sz w:val="18"/>
          <w:szCs w:val="18"/>
        </w:rPr>
      </w:pPr>
    </w:p>
    <w:p w14:paraId="2963C2EB" w14:textId="77777777" w:rsidR="00002D76" w:rsidRPr="00EA7458" w:rsidRDefault="00002D76" w:rsidP="00002D76">
      <w:pPr>
        <w:widowControl w:val="0"/>
        <w:spacing w:before="11" w:after="0" w:line="240" w:lineRule="auto"/>
        <w:rPr>
          <w:rFonts w:ascii="Calibri" w:hAnsi="Calibri" w:cs="Calibri"/>
          <w:sz w:val="18"/>
          <w:szCs w:val="18"/>
        </w:rPr>
      </w:pPr>
    </w:p>
    <w:p w14:paraId="7339752E" w14:textId="77777777" w:rsidR="00002D76" w:rsidRPr="00EA7458" w:rsidRDefault="00002D76" w:rsidP="00D63204">
      <w:pPr>
        <w:widowControl w:val="0"/>
        <w:spacing w:after="0" w:line="266" w:lineRule="exact"/>
        <w:ind w:left="468" w:right="468"/>
        <w:outlineLvl w:val="2"/>
        <w:rPr>
          <w:rFonts w:ascii="Calibri" w:hAnsi="Calibri"/>
        </w:rPr>
      </w:pPr>
      <w:r w:rsidRPr="00EA7458">
        <w:rPr>
          <w:rFonts w:ascii="Calibri" w:hAnsi="Calibri"/>
          <w:b/>
          <w:bCs/>
          <w:color w:val="231F20"/>
          <w:w w:val="115"/>
        </w:rPr>
        <w:t>Figure</w:t>
      </w:r>
      <w:r w:rsidRPr="00EA7458">
        <w:rPr>
          <w:rFonts w:ascii="Calibri" w:hAnsi="Calibri"/>
          <w:b/>
          <w:bCs/>
          <w:color w:val="231F20"/>
          <w:spacing w:val="-14"/>
          <w:w w:val="115"/>
        </w:rPr>
        <w:t xml:space="preserve"> </w:t>
      </w:r>
      <w:r w:rsidRPr="00EA7458">
        <w:rPr>
          <w:rFonts w:ascii="Calibri" w:hAnsi="Calibri"/>
          <w:b/>
          <w:bCs/>
          <w:color w:val="231F20"/>
          <w:w w:val="115"/>
        </w:rPr>
        <w:t>2.09</w:t>
      </w:r>
    </w:p>
    <w:p w14:paraId="5349A7FE" w14:textId="77777777" w:rsidR="00313772" w:rsidRDefault="00002D76" w:rsidP="00D63204">
      <w:pPr>
        <w:widowControl w:val="0"/>
        <w:spacing w:before="2" w:after="0" w:line="235" w:lineRule="auto"/>
        <w:ind w:left="2673" w:right="2671"/>
        <w:rPr>
          <w:rFonts w:ascii="Calibri" w:hAnsi="Calibri"/>
          <w:b/>
          <w:color w:val="231F20"/>
          <w:w w:val="114"/>
        </w:rPr>
      </w:pPr>
      <w:r>
        <w:rPr>
          <w:noProof/>
        </w:rPr>
        <w:drawing>
          <wp:anchor distT="0" distB="0" distL="114300" distR="114300" simplePos="0" relativeHeight="251658267" behindDoc="0" locked="0" layoutInCell="1" allowOverlap="1" wp14:anchorId="04A53636" wp14:editId="6681BDEB">
            <wp:simplePos x="0" y="0"/>
            <wp:positionH relativeFrom="margin">
              <wp:align>right</wp:align>
            </wp:positionH>
            <wp:positionV relativeFrom="paragraph">
              <wp:posOffset>367030</wp:posOffset>
            </wp:positionV>
            <wp:extent cx="6629400" cy="2928620"/>
            <wp:effectExtent l="0" t="0" r="0" b="5080"/>
            <wp:wrapTopAndBottom/>
            <wp:docPr id="4" name="Chart 4" descr="Figure 2.09 displays the skills components that were reported most important for Occupations with the Most Job Openings. Skills in Active Listening and Speaking were identified as most important for Occupations with the Most Job Openings. Active Listening 57, Speaking 55, Critical Thinking 53, Reading Comprehension 53, Monitoring 50, Social Perceptiveness 50, Coordination 50, Service Orientation 49, Judgement &amp; Decision Making 48, Complex Problem Solving 46." title="Figure 2.09 Occupations with the Most Job Opernings Top Skills Scores"/>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14:sizeRelV relativeFrom="margin">
              <wp14:pctHeight>0</wp14:pctHeight>
            </wp14:sizeRelV>
          </wp:anchor>
        </w:drawing>
      </w:r>
      <w:r w:rsidR="00633F73" w:rsidRPr="00EA7458">
        <w:rPr>
          <w:rFonts w:ascii="Calibri" w:hAnsi="Calibri"/>
          <w:b/>
          <w:color w:val="231F20"/>
          <w:spacing w:val="-3"/>
          <w:w w:val="115"/>
        </w:rPr>
        <w:t xml:space="preserve">Occupations </w:t>
      </w:r>
      <w:r w:rsidR="0083080C">
        <w:rPr>
          <w:rFonts w:ascii="Calibri" w:hAnsi="Calibri"/>
          <w:b/>
          <w:color w:val="231F20"/>
          <w:w w:val="115"/>
        </w:rPr>
        <w:t>with t</w:t>
      </w:r>
      <w:r w:rsidR="00633F73" w:rsidRPr="00EA7458">
        <w:rPr>
          <w:rFonts w:ascii="Calibri" w:hAnsi="Calibri"/>
          <w:b/>
          <w:color w:val="231F20"/>
          <w:w w:val="115"/>
        </w:rPr>
        <w:t>he Most Job</w:t>
      </w:r>
      <w:r w:rsidR="00633F73" w:rsidRPr="00EA7458">
        <w:rPr>
          <w:rFonts w:ascii="Calibri" w:hAnsi="Calibri"/>
          <w:b/>
          <w:color w:val="231F20"/>
          <w:spacing w:val="-4"/>
          <w:w w:val="115"/>
        </w:rPr>
        <w:t xml:space="preserve"> </w:t>
      </w:r>
      <w:r w:rsidR="00633F73" w:rsidRPr="00EA7458">
        <w:rPr>
          <w:rFonts w:ascii="Calibri" w:hAnsi="Calibri"/>
          <w:b/>
          <w:color w:val="231F20"/>
          <w:w w:val="115"/>
        </w:rPr>
        <w:t>Openings</w:t>
      </w:r>
      <w:r w:rsidR="00633F73" w:rsidRPr="00EA7458">
        <w:rPr>
          <w:rFonts w:ascii="Calibri" w:hAnsi="Calibri"/>
          <w:b/>
          <w:color w:val="231F20"/>
          <w:w w:val="114"/>
        </w:rPr>
        <w:t xml:space="preserve"> </w:t>
      </w:r>
    </w:p>
    <w:p w14:paraId="7E514E4F" w14:textId="56854F8D" w:rsidR="00002D76" w:rsidRPr="00B2490A" w:rsidRDefault="00633F73" w:rsidP="00D63204">
      <w:pPr>
        <w:widowControl w:val="0"/>
        <w:spacing w:before="2" w:after="0" w:line="235" w:lineRule="auto"/>
        <w:ind w:left="2673" w:right="2671"/>
        <w:rPr>
          <w:rFonts w:ascii="Calibri" w:hAnsi="Calibri" w:cs="Calibri"/>
        </w:rPr>
      </w:pPr>
      <w:r w:rsidRPr="00EA7458">
        <w:rPr>
          <w:rFonts w:ascii="Calibri" w:hAnsi="Calibri"/>
          <w:b/>
          <w:color w:val="231F20"/>
          <w:w w:val="115"/>
        </w:rPr>
        <w:t>Top Skills</w:t>
      </w:r>
      <w:r w:rsidRPr="00EA7458">
        <w:rPr>
          <w:rFonts w:ascii="Calibri" w:hAnsi="Calibri"/>
          <w:b/>
          <w:color w:val="231F20"/>
          <w:spacing w:val="14"/>
          <w:w w:val="115"/>
        </w:rPr>
        <w:t xml:space="preserve"> </w:t>
      </w:r>
      <w:r w:rsidRPr="00EA7458">
        <w:rPr>
          <w:rFonts w:ascii="Calibri" w:hAnsi="Calibri"/>
          <w:b/>
          <w:color w:val="231F20"/>
          <w:w w:val="115"/>
        </w:rPr>
        <w:t>Scores</w:t>
      </w:r>
    </w:p>
    <w:p w14:paraId="1D09B817" w14:textId="77777777" w:rsidR="00CD1C1C" w:rsidRPr="00EA7458" w:rsidRDefault="00CD1C1C" w:rsidP="00CD1C1C">
      <w:pPr>
        <w:widowControl w:val="0"/>
        <w:spacing w:before="102" w:after="0" w:line="240" w:lineRule="auto"/>
        <w:ind w:left="107"/>
        <w:rPr>
          <w:rFonts w:ascii="Calibri" w:hAnsi="Calibri" w:cs="Calibri"/>
          <w:sz w:val="18"/>
          <w:szCs w:val="18"/>
        </w:rPr>
      </w:pPr>
      <w:r w:rsidRPr="00CD1C1C">
        <w:rPr>
          <w:rFonts w:ascii="Calibri" w:hAnsi="Calibri"/>
          <w:color w:val="231F20"/>
          <w:w w:val="105"/>
          <w:sz w:val="18"/>
        </w:rPr>
        <w:t>Source:  O*Net and Florida Department of Economic Opportunity, Bureau of Labor Market Statistics, December 2017</w:t>
      </w:r>
    </w:p>
    <w:p w14:paraId="176361A8" w14:textId="77777777" w:rsidR="00CD1C1C" w:rsidRPr="00EA7458" w:rsidRDefault="00CD1C1C" w:rsidP="00CD1C1C">
      <w:pPr>
        <w:widowControl w:val="0"/>
        <w:spacing w:after="0" w:line="240" w:lineRule="auto"/>
        <w:ind w:left="107"/>
        <w:rPr>
          <w:rFonts w:ascii="Calibri" w:hAnsi="Calibri" w:cs="Calibri"/>
          <w:sz w:val="18"/>
          <w:szCs w:val="18"/>
        </w:rPr>
      </w:pPr>
    </w:p>
    <w:p w14:paraId="4E5D392B" w14:textId="77777777" w:rsidR="00002D76" w:rsidRPr="00EA7458" w:rsidRDefault="00002D76" w:rsidP="00002D76">
      <w:pPr>
        <w:widowControl w:val="0"/>
        <w:spacing w:before="4" w:after="0" w:line="240" w:lineRule="auto"/>
        <w:rPr>
          <w:rFonts w:ascii="Calibri" w:hAnsi="Calibri" w:cs="Calibri"/>
          <w:sz w:val="14"/>
          <w:szCs w:val="14"/>
        </w:rPr>
      </w:pPr>
    </w:p>
    <w:p w14:paraId="69671164" w14:textId="77777777" w:rsidR="00002D76" w:rsidRPr="00EA7458" w:rsidRDefault="00002D76" w:rsidP="00D63204">
      <w:pPr>
        <w:widowControl w:val="0"/>
        <w:spacing w:before="57" w:after="0" w:line="266" w:lineRule="exact"/>
        <w:ind w:left="468" w:right="468"/>
        <w:outlineLvl w:val="2"/>
        <w:rPr>
          <w:rFonts w:ascii="Calibri" w:hAnsi="Calibri"/>
        </w:rPr>
      </w:pPr>
      <w:bookmarkStart w:id="23" w:name="_bookmark12"/>
      <w:bookmarkEnd w:id="23"/>
      <w:r w:rsidRPr="00EA7458">
        <w:rPr>
          <w:rFonts w:ascii="Calibri" w:hAnsi="Calibri"/>
          <w:b/>
          <w:bCs/>
          <w:color w:val="231F20"/>
          <w:w w:val="110"/>
        </w:rPr>
        <w:t xml:space="preserve">Figure </w:t>
      </w:r>
      <w:r w:rsidRPr="00EA7458">
        <w:rPr>
          <w:rFonts w:ascii="Calibri" w:hAnsi="Calibri"/>
          <w:b/>
          <w:bCs/>
          <w:color w:val="231F20"/>
          <w:spacing w:val="-6"/>
          <w:w w:val="110"/>
        </w:rPr>
        <w:t>2.10</w:t>
      </w:r>
    </w:p>
    <w:p w14:paraId="32132350" w14:textId="6F6F143A" w:rsidR="00002D76" w:rsidRPr="00EA7458" w:rsidRDefault="00002D76" w:rsidP="00D63204">
      <w:pPr>
        <w:widowControl w:val="0"/>
        <w:spacing w:before="2" w:after="0" w:line="235" w:lineRule="auto"/>
        <w:ind w:left="2673" w:right="2671"/>
        <w:rPr>
          <w:rFonts w:ascii="Calibri" w:hAnsi="Calibri" w:cs="Calibri"/>
        </w:rPr>
      </w:pPr>
      <w:r>
        <w:rPr>
          <w:noProof/>
        </w:rPr>
        <w:drawing>
          <wp:anchor distT="0" distB="0" distL="114300" distR="114300" simplePos="0" relativeHeight="251658268" behindDoc="0" locked="0" layoutInCell="1" allowOverlap="1" wp14:anchorId="72A2D4E0" wp14:editId="494F5865">
            <wp:simplePos x="0" y="0"/>
            <wp:positionH relativeFrom="column">
              <wp:posOffset>352425</wp:posOffset>
            </wp:positionH>
            <wp:positionV relativeFrom="paragraph">
              <wp:posOffset>405765</wp:posOffset>
            </wp:positionV>
            <wp:extent cx="6629400" cy="2828925"/>
            <wp:effectExtent l="0" t="0" r="0" b="0"/>
            <wp:wrapTopAndBottom/>
            <wp:docPr id="10" name="Chart 10" descr="Figure 2.10 displays the ability components that were reported most important for Occupations with the Most Job Openings. Abilities of Oral Comprehension and Oral Expression were identified as most important for Occupations with the Most Job Openings. Oral Comprehension 62, Oral Expression 61, Problem Sensitivity 55, Near Vision 55, Abilities -Speech Recognition 54, Written Comprehension 54, Deductive Reasoning 53, Speech Clarity 53, Inductive Reasoning 51, Arm-Hand Steadiness 33." title="Figure 2.10 Occupations with the Most Job Openings Top Abilities Scores"/>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14:sizeRelV relativeFrom="margin">
              <wp14:pctHeight>0</wp14:pctHeight>
            </wp14:sizeRelV>
          </wp:anchor>
        </w:drawing>
      </w:r>
      <w:r w:rsidR="00633F73" w:rsidRPr="00EA7458">
        <w:rPr>
          <w:rFonts w:ascii="Calibri" w:hAnsi="Calibri"/>
          <w:b/>
          <w:color w:val="231F20"/>
          <w:spacing w:val="-3"/>
          <w:w w:val="115"/>
        </w:rPr>
        <w:t xml:space="preserve">Occupations </w:t>
      </w:r>
      <w:r w:rsidR="00D76471">
        <w:rPr>
          <w:rFonts w:ascii="Calibri" w:hAnsi="Calibri"/>
          <w:b/>
          <w:color w:val="231F20"/>
          <w:spacing w:val="-3"/>
          <w:w w:val="115"/>
        </w:rPr>
        <w:t>w</w:t>
      </w:r>
      <w:r w:rsidR="00633F73" w:rsidRPr="00EA7458">
        <w:rPr>
          <w:rFonts w:ascii="Calibri" w:hAnsi="Calibri"/>
          <w:b/>
          <w:color w:val="231F20"/>
          <w:w w:val="115"/>
        </w:rPr>
        <w:t xml:space="preserve">ith </w:t>
      </w:r>
      <w:r w:rsidR="00D76471">
        <w:rPr>
          <w:rFonts w:ascii="Calibri" w:hAnsi="Calibri"/>
          <w:b/>
          <w:color w:val="231F20"/>
          <w:w w:val="115"/>
        </w:rPr>
        <w:t>t</w:t>
      </w:r>
      <w:r w:rsidR="00633F73" w:rsidRPr="00EA7458">
        <w:rPr>
          <w:rFonts w:ascii="Calibri" w:hAnsi="Calibri"/>
          <w:b/>
          <w:color w:val="231F20"/>
          <w:w w:val="115"/>
        </w:rPr>
        <w:t>he Most Job</w:t>
      </w:r>
      <w:r w:rsidR="00633F73" w:rsidRPr="00EA7458">
        <w:rPr>
          <w:rFonts w:ascii="Calibri" w:hAnsi="Calibri"/>
          <w:b/>
          <w:color w:val="231F20"/>
          <w:spacing w:val="-4"/>
          <w:w w:val="115"/>
        </w:rPr>
        <w:t xml:space="preserve"> </w:t>
      </w:r>
      <w:r w:rsidR="00633F73" w:rsidRPr="00EA7458">
        <w:rPr>
          <w:rFonts w:ascii="Calibri" w:hAnsi="Calibri"/>
          <w:b/>
          <w:color w:val="231F20"/>
          <w:w w:val="115"/>
        </w:rPr>
        <w:t>Openings</w:t>
      </w:r>
      <w:r w:rsidR="00633F73" w:rsidRPr="00EA7458">
        <w:rPr>
          <w:rFonts w:ascii="Calibri" w:hAnsi="Calibri"/>
          <w:b/>
          <w:color w:val="231F20"/>
          <w:w w:val="114"/>
        </w:rPr>
        <w:t xml:space="preserve"> </w:t>
      </w:r>
      <w:r w:rsidR="00633F73" w:rsidRPr="00EA7458">
        <w:rPr>
          <w:rFonts w:ascii="Calibri" w:hAnsi="Calibri"/>
          <w:b/>
          <w:color w:val="231F20"/>
          <w:w w:val="115"/>
        </w:rPr>
        <w:t>Top Abilities</w:t>
      </w:r>
      <w:r w:rsidR="00633F73" w:rsidRPr="00EA7458">
        <w:rPr>
          <w:rFonts w:ascii="Calibri" w:hAnsi="Calibri"/>
          <w:b/>
          <w:color w:val="231F20"/>
          <w:spacing w:val="44"/>
          <w:w w:val="115"/>
        </w:rPr>
        <w:t xml:space="preserve"> </w:t>
      </w:r>
      <w:r w:rsidR="00633F73" w:rsidRPr="00EA7458">
        <w:rPr>
          <w:rFonts w:ascii="Calibri" w:hAnsi="Calibri"/>
          <w:b/>
          <w:color w:val="231F20"/>
          <w:w w:val="115"/>
        </w:rPr>
        <w:t>Scores</w:t>
      </w:r>
    </w:p>
    <w:p w14:paraId="53929928" w14:textId="77777777" w:rsidR="00CD1C1C" w:rsidRPr="00CD1C1C" w:rsidRDefault="00CD1C1C" w:rsidP="00CD1C1C">
      <w:pPr>
        <w:widowControl w:val="0"/>
        <w:spacing w:before="102" w:after="0" w:line="240" w:lineRule="auto"/>
        <w:ind w:left="107"/>
        <w:rPr>
          <w:rFonts w:ascii="Calibri" w:hAnsi="Calibri" w:cs="Calibri"/>
          <w:sz w:val="18"/>
          <w:szCs w:val="18"/>
        </w:rPr>
      </w:pPr>
      <w:r w:rsidRPr="00CD1C1C">
        <w:rPr>
          <w:rFonts w:ascii="Calibri" w:hAnsi="Calibri"/>
          <w:color w:val="231F20"/>
          <w:w w:val="105"/>
          <w:sz w:val="18"/>
        </w:rPr>
        <w:t>Source:  O*Net and Florida Department of Economic Opportunity, Bureau of Labor Market Statistics, December 2017</w:t>
      </w:r>
    </w:p>
    <w:p w14:paraId="46891B1A" w14:textId="77777777" w:rsidR="00002D76" w:rsidRPr="00EA7458" w:rsidRDefault="00002D76" w:rsidP="00002D76">
      <w:pPr>
        <w:widowControl w:val="0"/>
        <w:spacing w:before="2" w:after="0" w:line="240" w:lineRule="auto"/>
        <w:rPr>
          <w:rFonts w:ascii="Calibri" w:hAnsi="Calibri" w:cs="Calibri"/>
          <w:sz w:val="14"/>
          <w:szCs w:val="14"/>
        </w:rPr>
      </w:pPr>
    </w:p>
    <w:p w14:paraId="14E196AE" w14:textId="324E6D00" w:rsidR="00002D76" w:rsidRPr="00EA7458" w:rsidRDefault="00002D76" w:rsidP="00002D76">
      <w:pPr>
        <w:widowControl w:val="0"/>
        <w:spacing w:after="0" w:line="264" w:lineRule="exact"/>
        <w:ind w:left="107"/>
        <w:rPr>
          <w:rFonts w:ascii="Calibri" w:hAnsi="Calibri"/>
        </w:rPr>
      </w:pPr>
      <w:r w:rsidRPr="00FD0BD8">
        <w:rPr>
          <w:rFonts w:ascii="Calibri" w:hAnsi="Calibri"/>
          <w:color w:val="231F20"/>
          <w:w w:val="105"/>
        </w:rPr>
        <w:t>The highest KSAs for occupations</w:t>
      </w:r>
      <w:r>
        <w:rPr>
          <w:rFonts w:ascii="Calibri" w:hAnsi="Calibri"/>
          <w:color w:val="231F20"/>
          <w:w w:val="105"/>
        </w:rPr>
        <w:t xml:space="preserve"> with the most job openings</w:t>
      </w:r>
      <w:r w:rsidRPr="00FD0BD8">
        <w:rPr>
          <w:rFonts w:ascii="Calibri" w:hAnsi="Calibri"/>
          <w:color w:val="231F20"/>
          <w:spacing w:val="17"/>
          <w:w w:val="105"/>
        </w:rPr>
        <w:t xml:space="preserve"> </w:t>
      </w:r>
      <w:r w:rsidRPr="00FD0BD8">
        <w:rPr>
          <w:rFonts w:ascii="Calibri" w:hAnsi="Calibri"/>
          <w:color w:val="231F20"/>
          <w:w w:val="105"/>
        </w:rPr>
        <w:t xml:space="preserve">are knowledge of </w:t>
      </w:r>
      <w:r>
        <w:rPr>
          <w:rFonts w:ascii="Calibri" w:hAnsi="Calibri"/>
          <w:color w:val="231F20"/>
          <w:w w:val="105"/>
        </w:rPr>
        <w:t xml:space="preserve">Customer &amp; Personal Service, </w:t>
      </w:r>
      <w:r w:rsidRPr="00FD0BD8">
        <w:rPr>
          <w:rFonts w:ascii="Calibri" w:hAnsi="Calibri"/>
          <w:color w:val="231F20"/>
          <w:w w:val="105"/>
        </w:rPr>
        <w:t xml:space="preserve">English Language, Active Listening, </w:t>
      </w:r>
      <w:r>
        <w:rPr>
          <w:rFonts w:ascii="Calibri" w:hAnsi="Calibri"/>
          <w:color w:val="231F20"/>
          <w:w w:val="105"/>
        </w:rPr>
        <w:t xml:space="preserve">Critical Thinking, </w:t>
      </w:r>
      <w:r w:rsidRPr="00FD0BD8">
        <w:rPr>
          <w:rFonts w:ascii="Calibri" w:hAnsi="Calibri"/>
          <w:color w:val="231F20"/>
          <w:w w:val="105"/>
        </w:rPr>
        <w:t>Oral Comprehension</w:t>
      </w:r>
      <w:r w:rsidR="00D5537E">
        <w:rPr>
          <w:rFonts w:ascii="Calibri" w:hAnsi="Calibri"/>
          <w:color w:val="231F20"/>
          <w:w w:val="105"/>
        </w:rPr>
        <w:t xml:space="preserve"> and</w:t>
      </w:r>
      <w:r>
        <w:rPr>
          <w:rFonts w:ascii="Calibri" w:hAnsi="Calibri"/>
          <w:color w:val="231F20"/>
          <w:w w:val="105"/>
        </w:rPr>
        <w:t xml:space="preserve"> Oral Expression</w:t>
      </w:r>
      <w:r w:rsidRPr="00FD0BD8">
        <w:rPr>
          <w:rFonts w:ascii="Calibri" w:hAnsi="Calibri"/>
          <w:color w:val="231F20"/>
          <w:w w:val="105"/>
        </w:rPr>
        <w:t>.</w:t>
      </w:r>
    </w:p>
    <w:p w14:paraId="2D5E49B5" w14:textId="77777777" w:rsidR="00002D76" w:rsidRPr="00EA7458" w:rsidRDefault="00002D76" w:rsidP="00002D76">
      <w:pPr>
        <w:widowControl w:val="0"/>
        <w:spacing w:before="6" w:after="0" w:line="240" w:lineRule="auto"/>
        <w:rPr>
          <w:rFonts w:ascii="Calibri" w:hAnsi="Calibri" w:cs="Calibri"/>
          <w:sz w:val="16"/>
          <w:szCs w:val="16"/>
        </w:rPr>
      </w:pPr>
    </w:p>
    <w:p w14:paraId="153E7CF3" w14:textId="77777777" w:rsidR="00002D76" w:rsidRPr="00EA7458" w:rsidRDefault="00002D76" w:rsidP="00D63204">
      <w:pPr>
        <w:widowControl w:val="0"/>
        <w:spacing w:after="0" w:line="266" w:lineRule="exact"/>
        <w:ind w:left="468" w:right="468"/>
        <w:outlineLvl w:val="2"/>
        <w:rPr>
          <w:rFonts w:ascii="Calibri" w:hAnsi="Calibri"/>
        </w:rPr>
      </w:pPr>
      <w:r w:rsidRPr="00EA7458">
        <w:rPr>
          <w:rFonts w:ascii="Calibri" w:hAnsi="Calibri"/>
          <w:b/>
          <w:bCs/>
          <w:color w:val="231F20"/>
          <w:w w:val="105"/>
        </w:rPr>
        <w:t>Figure</w:t>
      </w:r>
      <w:r w:rsidRPr="00EA7458">
        <w:rPr>
          <w:rFonts w:ascii="Calibri" w:hAnsi="Calibri"/>
          <w:b/>
          <w:bCs/>
          <w:color w:val="231F20"/>
          <w:spacing w:val="5"/>
          <w:w w:val="105"/>
        </w:rPr>
        <w:t xml:space="preserve"> </w:t>
      </w:r>
      <w:r w:rsidRPr="00EA7458">
        <w:rPr>
          <w:rFonts w:ascii="Calibri" w:hAnsi="Calibri"/>
          <w:b/>
          <w:bCs/>
          <w:color w:val="231F20"/>
          <w:spacing w:val="-6"/>
          <w:w w:val="105"/>
        </w:rPr>
        <w:t>2.11</w:t>
      </w:r>
    </w:p>
    <w:p w14:paraId="6C38089B" w14:textId="77777777" w:rsidR="00A5517A" w:rsidRDefault="00002D76" w:rsidP="00D63204">
      <w:pPr>
        <w:widowControl w:val="0"/>
        <w:spacing w:before="2" w:after="0" w:line="235" w:lineRule="auto"/>
        <w:ind w:left="3571" w:right="3569"/>
        <w:rPr>
          <w:rFonts w:ascii="Calibri" w:hAnsi="Calibri"/>
          <w:b/>
          <w:color w:val="231F20"/>
          <w:w w:val="114"/>
        </w:rPr>
      </w:pPr>
      <w:r>
        <w:rPr>
          <w:noProof/>
        </w:rPr>
        <w:drawing>
          <wp:anchor distT="0" distB="0" distL="114300" distR="114300" simplePos="0" relativeHeight="251658269" behindDoc="0" locked="0" layoutInCell="1" allowOverlap="1" wp14:anchorId="48BF42C9" wp14:editId="03FEF5E2">
            <wp:simplePos x="0" y="0"/>
            <wp:positionH relativeFrom="column">
              <wp:posOffset>66675</wp:posOffset>
            </wp:positionH>
            <wp:positionV relativeFrom="paragraph">
              <wp:posOffset>376555</wp:posOffset>
            </wp:positionV>
            <wp:extent cx="6629400" cy="2919095"/>
            <wp:effectExtent l="0" t="0" r="0" b="0"/>
            <wp:wrapTopAndBottom/>
            <wp:docPr id="17" name="Chart 17" descr="Figure 2.11 displays the knowledge components that were reported most important for Rapid Growth Occupations. Knowledge of Customer &amp; Personal Service and English Language were identified as most important for Rapid Growth Occupations. Customer &amp; Personal Service 67, English Language 61, Education &amp; Training 50, Mathematics 47, Administration &amp; Management 46, Public Safety &amp; Security 41, Engineering &amp; Technology 27, Mechanical 26, Design 24, Building &amp; Construction 19." title="Figure 2.11 Rapid Growth Occupations Top Knowledge Scores"/>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14:sizeRelV relativeFrom="margin">
              <wp14:pctHeight>0</wp14:pctHeight>
            </wp14:sizeRelV>
          </wp:anchor>
        </w:drawing>
      </w:r>
      <w:r w:rsidR="00633F73" w:rsidRPr="00EA7458">
        <w:rPr>
          <w:rFonts w:ascii="Calibri" w:hAnsi="Calibri"/>
          <w:b/>
          <w:color w:val="231F20"/>
          <w:w w:val="115"/>
        </w:rPr>
        <w:t>Rapid Growth</w:t>
      </w:r>
      <w:r w:rsidR="00633F73" w:rsidRPr="00EA7458">
        <w:rPr>
          <w:rFonts w:ascii="Calibri" w:hAnsi="Calibri"/>
          <w:b/>
          <w:color w:val="231F20"/>
          <w:spacing w:val="-20"/>
          <w:w w:val="115"/>
        </w:rPr>
        <w:t xml:space="preserve"> </w:t>
      </w:r>
      <w:r w:rsidR="00633F73" w:rsidRPr="00EA7458">
        <w:rPr>
          <w:rFonts w:ascii="Calibri" w:hAnsi="Calibri"/>
          <w:b/>
          <w:color w:val="231F20"/>
          <w:spacing w:val="-3"/>
          <w:w w:val="115"/>
        </w:rPr>
        <w:t>Occupations</w:t>
      </w:r>
      <w:r w:rsidR="00633F73" w:rsidRPr="00EA7458">
        <w:rPr>
          <w:rFonts w:ascii="Calibri" w:hAnsi="Calibri"/>
          <w:b/>
          <w:color w:val="231F20"/>
          <w:w w:val="114"/>
        </w:rPr>
        <w:t xml:space="preserve"> </w:t>
      </w:r>
    </w:p>
    <w:p w14:paraId="194C21BD" w14:textId="2DAD4B8C" w:rsidR="00002D76" w:rsidRPr="00B11BF8" w:rsidRDefault="00633F73" w:rsidP="00D63204">
      <w:pPr>
        <w:widowControl w:val="0"/>
        <w:spacing w:before="2" w:after="0" w:line="235" w:lineRule="auto"/>
        <w:ind w:left="3571" w:right="3569"/>
        <w:rPr>
          <w:rFonts w:ascii="Calibri" w:hAnsi="Calibri" w:cs="Calibri"/>
        </w:rPr>
      </w:pPr>
      <w:r w:rsidRPr="00EA7458">
        <w:rPr>
          <w:rFonts w:ascii="Calibri" w:hAnsi="Calibri"/>
          <w:b/>
          <w:color w:val="231F20"/>
          <w:w w:val="115"/>
        </w:rPr>
        <w:t>Top Knowledge</w:t>
      </w:r>
      <w:r w:rsidRPr="00EA7458">
        <w:rPr>
          <w:rFonts w:ascii="Calibri" w:hAnsi="Calibri"/>
          <w:b/>
          <w:color w:val="231F20"/>
          <w:spacing w:val="10"/>
          <w:w w:val="115"/>
        </w:rPr>
        <w:t xml:space="preserve"> </w:t>
      </w:r>
      <w:r w:rsidRPr="00EA7458">
        <w:rPr>
          <w:rFonts w:ascii="Calibri" w:hAnsi="Calibri"/>
          <w:b/>
          <w:color w:val="231F20"/>
          <w:w w:val="115"/>
        </w:rPr>
        <w:t>Scores</w:t>
      </w:r>
    </w:p>
    <w:p w14:paraId="7FA2E42A" w14:textId="77777777" w:rsidR="00CD1C1C" w:rsidRPr="00CD1C1C" w:rsidRDefault="00CD1C1C" w:rsidP="00CD1C1C">
      <w:pPr>
        <w:widowControl w:val="0"/>
        <w:spacing w:before="102" w:after="0" w:line="240" w:lineRule="auto"/>
        <w:ind w:left="107"/>
        <w:rPr>
          <w:rFonts w:ascii="Calibri" w:hAnsi="Calibri" w:cs="Calibri"/>
          <w:sz w:val="18"/>
          <w:szCs w:val="18"/>
        </w:rPr>
      </w:pPr>
      <w:r w:rsidRPr="00CD1C1C">
        <w:rPr>
          <w:rFonts w:ascii="Calibri" w:hAnsi="Calibri"/>
          <w:color w:val="231F20"/>
          <w:w w:val="105"/>
          <w:sz w:val="18"/>
        </w:rPr>
        <w:t>Source:  O*Net and Florida Department of Economic Opportunity, Bureau of Labor Market Statistics, December 2017</w:t>
      </w:r>
    </w:p>
    <w:p w14:paraId="57B507C8" w14:textId="77777777" w:rsidR="00002D76" w:rsidRPr="00EA7458" w:rsidRDefault="00002D76" w:rsidP="00D63204">
      <w:pPr>
        <w:widowControl w:val="0"/>
        <w:spacing w:before="57" w:after="0" w:line="266" w:lineRule="exact"/>
        <w:ind w:left="468" w:right="468"/>
        <w:outlineLvl w:val="2"/>
        <w:rPr>
          <w:rFonts w:ascii="Calibri" w:hAnsi="Calibri"/>
        </w:rPr>
      </w:pPr>
      <w:bookmarkStart w:id="24" w:name="_bookmark13"/>
      <w:bookmarkEnd w:id="24"/>
      <w:r w:rsidRPr="00EA7458">
        <w:rPr>
          <w:rFonts w:ascii="Calibri" w:hAnsi="Calibri"/>
          <w:b/>
          <w:bCs/>
          <w:color w:val="231F20"/>
          <w:w w:val="110"/>
        </w:rPr>
        <w:lastRenderedPageBreak/>
        <w:t>Figure</w:t>
      </w:r>
      <w:r w:rsidRPr="00EA7458">
        <w:rPr>
          <w:rFonts w:ascii="Calibri" w:hAnsi="Calibri"/>
          <w:b/>
          <w:bCs/>
          <w:color w:val="231F20"/>
          <w:spacing w:val="-4"/>
          <w:w w:val="110"/>
        </w:rPr>
        <w:t xml:space="preserve"> </w:t>
      </w:r>
      <w:r w:rsidRPr="00EA7458">
        <w:rPr>
          <w:rFonts w:ascii="Calibri" w:hAnsi="Calibri"/>
          <w:b/>
          <w:bCs/>
          <w:color w:val="231F20"/>
          <w:spacing w:val="-6"/>
          <w:w w:val="110"/>
        </w:rPr>
        <w:t>2.12</w:t>
      </w:r>
    </w:p>
    <w:p w14:paraId="253EF3C0" w14:textId="77777777" w:rsidR="00A5517A" w:rsidRDefault="00002D76" w:rsidP="00D63204">
      <w:pPr>
        <w:widowControl w:val="0"/>
        <w:spacing w:before="2" w:after="0" w:line="235" w:lineRule="auto"/>
        <w:ind w:left="3571" w:right="3569"/>
        <w:rPr>
          <w:rFonts w:ascii="Calibri" w:hAnsi="Calibri"/>
          <w:b/>
          <w:color w:val="231F20"/>
          <w:w w:val="114"/>
        </w:rPr>
      </w:pPr>
      <w:r>
        <w:rPr>
          <w:noProof/>
        </w:rPr>
        <w:drawing>
          <wp:anchor distT="0" distB="0" distL="114300" distR="114300" simplePos="0" relativeHeight="251658270" behindDoc="0" locked="0" layoutInCell="1" allowOverlap="1" wp14:anchorId="6B8727B2" wp14:editId="672B94C0">
            <wp:simplePos x="0" y="0"/>
            <wp:positionH relativeFrom="margin">
              <wp:align>right</wp:align>
            </wp:positionH>
            <wp:positionV relativeFrom="paragraph">
              <wp:posOffset>386715</wp:posOffset>
            </wp:positionV>
            <wp:extent cx="6629400" cy="3057525"/>
            <wp:effectExtent l="0" t="0" r="0" b="0"/>
            <wp:wrapTopAndBottom/>
            <wp:docPr id="18" name="Chart 18" descr="Figure 2.12 displays the skills components that were reported most important for Rapid Growth Occupations. Skills in Active Listening and Critical Thinking were identified as most important for Rapid Growth Occupations. Active Listening 59, Critical Thinking 57, Speaking 57, Reading Comprehension 56, Monitoring 53, Social Perceptiveness 52, Judgement &amp; Decision Making 51, Coordination 51, Service Orientation 50, Complex Problem Solving 49." title="Figure 2.12 Rapid Growth Occupations Top Skills Scores"/>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14:sizeRelV relativeFrom="margin">
              <wp14:pctHeight>0</wp14:pctHeight>
            </wp14:sizeRelV>
          </wp:anchor>
        </w:drawing>
      </w:r>
      <w:r w:rsidR="00633F73" w:rsidRPr="00EA7458">
        <w:rPr>
          <w:rFonts w:ascii="Calibri" w:hAnsi="Calibri"/>
          <w:b/>
          <w:color w:val="231F20"/>
          <w:w w:val="115"/>
        </w:rPr>
        <w:t>Rapid Growth</w:t>
      </w:r>
      <w:r w:rsidR="00633F73" w:rsidRPr="00EA7458">
        <w:rPr>
          <w:rFonts w:ascii="Calibri" w:hAnsi="Calibri"/>
          <w:b/>
          <w:color w:val="231F20"/>
          <w:spacing w:val="-20"/>
          <w:w w:val="115"/>
        </w:rPr>
        <w:t xml:space="preserve"> </w:t>
      </w:r>
      <w:r w:rsidR="00633F73" w:rsidRPr="00EA7458">
        <w:rPr>
          <w:rFonts w:ascii="Calibri" w:hAnsi="Calibri"/>
          <w:b/>
          <w:color w:val="231F20"/>
          <w:spacing w:val="-3"/>
          <w:w w:val="115"/>
        </w:rPr>
        <w:t>Occupations</w:t>
      </w:r>
      <w:r w:rsidR="00633F73" w:rsidRPr="00EA7458">
        <w:rPr>
          <w:rFonts w:ascii="Calibri" w:hAnsi="Calibri"/>
          <w:b/>
          <w:color w:val="231F20"/>
          <w:w w:val="114"/>
        </w:rPr>
        <w:t xml:space="preserve"> </w:t>
      </w:r>
    </w:p>
    <w:p w14:paraId="56F861B1" w14:textId="3CAF1ED7" w:rsidR="00002D76" w:rsidRPr="00EA7458" w:rsidRDefault="00633F73" w:rsidP="00D63204">
      <w:pPr>
        <w:widowControl w:val="0"/>
        <w:spacing w:before="2" w:after="0" w:line="235" w:lineRule="auto"/>
        <w:ind w:left="3571" w:right="3569"/>
        <w:rPr>
          <w:rFonts w:ascii="Calibri" w:hAnsi="Calibri" w:cs="Calibri"/>
        </w:rPr>
      </w:pPr>
      <w:r w:rsidRPr="00EA7458">
        <w:rPr>
          <w:rFonts w:ascii="Calibri" w:hAnsi="Calibri"/>
          <w:b/>
          <w:color w:val="231F20"/>
          <w:w w:val="115"/>
        </w:rPr>
        <w:t>Top Skills</w:t>
      </w:r>
      <w:r w:rsidRPr="00EA7458">
        <w:rPr>
          <w:rFonts w:ascii="Calibri" w:hAnsi="Calibri"/>
          <w:b/>
          <w:color w:val="231F20"/>
          <w:spacing w:val="14"/>
          <w:w w:val="115"/>
        </w:rPr>
        <w:t xml:space="preserve"> </w:t>
      </w:r>
      <w:r w:rsidRPr="00EA7458">
        <w:rPr>
          <w:rFonts w:ascii="Calibri" w:hAnsi="Calibri"/>
          <w:b/>
          <w:color w:val="231F20"/>
          <w:w w:val="115"/>
        </w:rPr>
        <w:t>Scores</w:t>
      </w:r>
    </w:p>
    <w:p w14:paraId="2D166F4C" w14:textId="77777777" w:rsidR="00CD1C1C" w:rsidRPr="00CD1C1C" w:rsidRDefault="00CD1C1C" w:rsidP="00CD1C1C">
      <w:pPr>
        <w:widowControl w:val="0"/>
        <w:spacing w:before="102" w:after="0" w:line="240" w:lineRule="auto"/>
        <w:ind w:left="107"/>
        <w:rPr>
          <w:rFonts w:ascii="Calibri" w:hAnsi="Calibri" w:cs="Calibri"/>
          <w:sz w:val="18"/>
          <w:szCs w:val="18"/>
        </w:rPr>
      </w:pPr>
      <w:r w:rsidRPr="00CD1C1C">
        <w:rPr>
          <w:rFonts w:ascii="Calibri" w:hAnsi="Calibri"/>
          <w:color w:val="231F20"/>
          <w:w w:val="105"/>
          <w:sz w:val="18"/>
        </w:rPr>
        <w:t>Source:  O*Net and Florida Department of Economic Opportunity, Bureau of Labor Market Statistics, December 2017</w:t>
      </w:r>
    </w:p>
    <w:p w14:paraId="5804E277" w14:textId="77777777" w:rsidR="00002D76" w:rsidRPr="00EA7458" w:rsidRDefault="00002D76" w:rsidP="00002D76">
      <w:pPr>
        <w:widowControl w:val="0"/>
        <w:spacing w:before="112" w:after="0" w:line="240" w:lineRule="auto"/>
        <w:ind w:left="107"/>
        <w:rPr>
          <w:rFonts w:ascii="Calibri" w:hAnsi="Calibri" w:cs="Calibri"/>
          <w:sz w:val="18"/>
          <w:szCs w:val="18"/>
        </w:rPr>
      </w:pPr>
    </w:p>
    <w:p w14:paraId="4E70D26F" w14:textId="77777777" w:rsidR="00002D76" w:rsidRPr="00EA7458" w:rsidRDefault="00002D76" w:rsidP="00002D76">
      <w:pPr>
        <w:widowControl w:val="0"/>
        <w:spacing w:before="11" w:after="0" w:line="240" w:lineRule="auto"/>
        <w:rPr>
          <w:rFonts w:ascii="Calibri" w:hAnsi="Calibri" w:cs="Calibri"/>
          <w:sz w:val="16"/>
          <w:szCs w:val="16"/>
        </w:rPr>
      </w:pPr>
    </w:p>
    <w:p w14:paraId="5945D90B" w14:textId="77777777" w:rsidR="00002D76" w:rsidRPr="00EA7458" w:rsidRDefault="00002D76" w:rsidP="00D63204">
      <w:pPr>
        <w:widowControl w:val="0"/>
        <w:spacing w:after="0" w:line="266" w:lineRule="exact"/>
        <w:ind w:left="468" w:right="468"/>
        <w:outlineLvl w:val="2"/>
        <w:rPr>
          <w:rFonts w:ascii="Calibri" w:hAnsi="Calibri"/>
        </w:rPr>
      </w:pPr>
      <w:r w:rsidRPr="00EA7458">
        <w:rPr>
          <w:rFonts w:ascii="Calibri" w:hAnsi="Calibri"/>
          <w:b/>
          <w:bCs/>
          <w:color w:val="231F20"/>
          <w:w w:val="110"/>
        </w:rPr>
        <w:t>Figure</w:t>
      </w:r>
      <w:r w:rsidRPr="00EA7458">
        <w:rPr>
          <w:rFonts w:ascii="Calibri" w:hAnsi="Calibri"/>
          <w:b/>
          <w:bCs/>
          <w:color w:val="231F20"/>
          <w:spacing w:val="-7"/>
          <w:w w:val="110"/>
        </w:rPr>
        <w:t xml:space="preserve"> </w:t>
      </w:r>
      <w:r w:rsidRPr="00EA7458">
        <w:rPr>
          <w:rFonts w:ascii="Calibri" w:hAnsi="Calibri"/>
          <w:b/>
          <w:bCs/>
          <w:color w:val="231F20"/>
          <w:spacing w:val="-6"/>
          <w:w w:val="110"/>
        </w:rPr>
        <w:t>2.13</w:t>
      </w:r>
    </w:p>
    <w:p w14:paraId="2979BA02" w14:textId="77777777" w:rsidR="00A5517A" w:rsidRDefault="00002D76" w:rsidP="00D63204">
      <w:pPr>
        <w:widowControl w:val="0"/>
        <w:spacing w:before="2" w:after="0" w:line="235" w:lineRule="auto"/>
        <w:ind w:left="3571" w:right="3569"/>
        <w:rPr>
          <w:rFonts w:ascii="Calibri" w:hAnsi="Calibri"/>
          <w:b/>
          <w:color w:val="231F20"/>
          <w:w w:val="114"/>
        </w:rPr>
      </w:pPr>
      <w:r>
        <w:rPr>
          <w:noProof/>
        </w:rPr>
        <w:drawing>
          <wp:anchor distT="0" distB="0" distL="114300" distR="114300" simplePos="0" relativeHeight="251658271" behindDoc="0" locked="0" layoutInCell="1" allowOverlap="1" wp14:anchorId="24E96C5F" wp14:editId="0DF665B1">
            <wp:simplePos x="0" y="0"/>
            <wp:positionH relativeFrom="margin">
              <wp:align>right</wp:align>
            </wp:positionH>
            <wp:positionV relativeFrom="paragraph">
              <wp:posOffset>352425</wp:posOffset>
            </wp:positionV>
            <wp:extent cx="6629400" cy="3143250"/>
            <wp:effectExtent l="0" t="0" r="0" b="0"/>
            <wp:wrapTopAndBottom/>
            <wp:docPr id="13" name="Chart 13" descr="Figure 2.13 displays the ability components that were reported most important for Rapid Growth Occupations. Abilities of Oral Comprehension and Oral Expression were identified as most important for Rapid Growth Occupations. Oral Comprehension 64, Oral Expression 63, Problem Sensitivity 60, Near Vision 58, Deductive Reasoning 57, Written Comprehension 57, Inductive Reasoning 55, Speech Recognition 55, Speech Clarity 54, Arm-Hand Steadiness 37." title="Figure 2.13 Rapid Growth Occupations Top Abilities Scores"/>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14:sizeRelV relativeFrom="margin">
              <wp14:pctHeight>0</wp14:pctHeight>
            </wp14:sizeRelV>
          </wp:anchor>
        </w:drawing>
      </w:r>
      <w:r w:rsidR="00633F73" w:rsidRPr="00EA7458">
        <w:rPr>
          <w:rFonts w:ascii="Calibri" w:hAnsi="Calibri"/>
          <w:b/>
          <w:color w:val="231F20"/>
          <w:w w:val="115"/>
        </w:rPr>
        <w:t>Rapid Growth</w:t>
      </w:r>
      <w:r w:rsidR="00633F73" w:rsidRPr="00EA7458">
        <w:rPr>
          <w:rFonts w:ascii="Calibri" w:hAnsi="Calibri"/>
          <w:b/>
          <w:color w:val="231F20"/>
          <w:spacing w:val="-20"/>
          <w:w w:val="115"/>
        </w:rPr>
        <w:t xml:space="preserve"> </w:t>
      </w:r>
      <w:r w:rsidR="00633F73" w:rsidRPr="00EA7458">
        <w:rPr>
          <w:rFonts w:ascii="Calibri" w:hAnsi="Calibri"/>
          <w:b/>
          <w:color w:val="231F20"/>
          <w:spacing w:val="-3"/>
          <w:w w:val="115"/>
        </w:rPr>
        <w:t>Occupations</w:t>
      </w:r>
      <w:r w:rsidR="00633F73" w:rsidRPr="00EA7458">
        <w:rPr>
          <w:rFonts w:ascii="Calibri" w:hAnsi="Calibri"/>
          <w:b/>
          <w:color w:val="231F20"/>
          <w:w w:val="114"/>
        </w:rPr>
        <w:t xml:space="preserve"> </w:t>
      </w:r>
    </w:p>
    <w:p w14:paraId="67A46A56" w14:textId="7B19D7D3" w:rsidR="00002D76" w:rsidRPr="00B11BF8" w:rsidRDefault="00633F73" w:rsidP="00D63204">
      <w:pPr>
        <w:widowControl w:val="0"/>
        <w:spacing w:before="2" w:after="0" w:line="235" w:lineRule="auto"/>
        <w:ind w:left="3571" w:right="3569"/>
        <w:rPr>
          <w:rFonts w:ascii="Calibri" w:hAnsi="Calibri" w:cs="Calibri"/>
        </w:rPr>
      </w:pPr>
      <w:r w:rsidRPr="00EA7458">
        <w:rPr>
          <w:rFonts w:ascii="Calibri" w:hAnsi="Calibri"/>
          <w:b/>
          <w:color w:val="231F20"/>
          <w:w w:val="115"/>
        </w:rPr>
        <w:t>Top Abilities</w:t>
      </w:r>
      <w:r w:rsidRPr="00EA7458">
        <w:rPr>
          <w:rFonts w:ascii="Calibri" w:hAnsi="Calibri"/>
          <w:b/>
          <w:color w:val="231F20"/>
          <w:spacing w:val="44"/>
          <w:w w:val="115"/>
        </w:rPr>
        <w:t xml:space="preserve"> </w:t>
      </w:r>
      <w:r w:rsidRPr="00EA7458">
        <w:rPr>
          <w:rFonts w:ascii="Calibri" w:hAnsi="Calibri"/>
          <w:b/>
          <w:color w:val="231F20"/>
          <w:w w:val="115"/>
        </w:rPr>
        <w:t>Scores</w:t>
      </w:r>
    </w:p>
    <w:p w14:paraId="5DF0A1E5" w14:textId="77777777" w:rsidR="00CD1C1C" w:rsidRPr="00CD1C1C" w:rsidRDefault="00CD1C1C" w:rsidP="00CD1C1C">
      <w:pPr>
        <w:widowControl w:val="0"/>
        <w:spacing w:after="0" w:line="240" w:lineRule="auto"/>
        <w:ind w:left="107"/>
        <w:rPr>
          <w:rFonts w:ascii="Calibri" w:hAnsi="Calibri" w:cs="Calibri"/>
          <w:sz w:val="18"/>
          <w:szCs w:val="18"/>
        </w:rPr>
      </w:pPr>
      <w:r w:rsidRPr="00CD1C1C">
        <w:rPr>
          <w:rFonts w:ascii="Calibri" w:hAnsi="Calibri"/>
          <w:color w:val="231F20"/>
          <w:w w:val="105"/>
          <w:sz w:val="18"/>
        </w:rPr>
        <w:t>Source:  O*Net and Florida Department of Economic Opportunity, Bureau of Labor Market Statistics, December 2017</w:t>
      </w:r>
    </w:p>
    <w:p w14:paraId="2317DD85" w14:textId="58350DB1" w:rsidR="00002D76" w:rsidRPr="00EA7458" w:rsidRDefault="00002D76" w:rsidP="00CD1C1C">
      <w:pPr>
        <w:widowControl w:val="0"/>
        <w:spacing w:after="0" w:line="240" w:lineRule="auto"/>
        <w:ind w:left="90"/>
        <w:rPr>
          <w:rFonts w:ascii="Calibri" w:hAnsi="Calibri" w:cs="Calibri"/>
          <w:sz w:val="18"/>
          <w:szCs w:val="18"/>
        </w:rPr>
        <w:sectPr w:rsidR="00002D76" w:rsidRPr="00EA7458">
          <w:pgSz w:w="12240" w:h="15840"/>
          <w:pgMar w:top="1620" w:right="900" w:bottom="820" w:left="900" w:header="812" w:footer="624" w:gutter="0"/>
          <w:cols w:space="720"/>
        </w:sectPr>
      </w:pPr>
      <w:r>
        <w:rPr>
          <w:rFonts w:ascii="Calibri" w:hAnsi="Calibri" w:cs="Calibri"/>
          <w:sz w:val="18"/>
          <w:szCs w:val="18"/>
        </w:rPr>
        <w:t xml:space="preserve">The 2017 charts are standardized on a </w:t>
      </w:r>
      <w:r w:rsidR="006F37A1">
        <w:rPr>
          <w:rFonts w:ascii="Calibri" w:hAnsi="Calibri" w:cs="Calibri"/>
          <w:sz w:val="18"/>
          <w:szCs w:val="18"/>
        </w:rPr>
        <w:t>100-point</w:t>
      </w:r>
      <w:r>
        <w:rPr>
          <w:rFonts w:ascii="Calibri" w:hAnsi="Calibri" w:cs="Calibri"/>
          <w:sz w:val="18"/>
          <w:szCs w:val="18"/>
        </w:rPr>
        <w:t xml:space="preserve"> scale as compared with the 2016 charts with a </w:t>
      </w:r>
      <w:r w:rsidR="00B41E88">
        <w:rPr>
          <w:rFonts w:ascii="Calibri" w:hAnsi="Calibri" w:cs="Calibri"/>
          <w:sz w:val="18"/>
          <w:szCs w:val="18"/>
        </w:rPr>
        <w:t>200-point</w:t>
      </w:r>
      <w:r>
        <w:rPr>
          <w:rFonts w:ascii="Calibri" w:hAnsi="Calibri" w:cs="Calibri"/>
          <w:sz w:val="18"/>
          <w:szCs w:val="18"/>
        </w:rPr>
        <w:t xml:space="preserve"> scale</w:t>
      </w:r>
    </w:p>
    <w:p w14:paraId="6599FDF9" w14:textId="77777777" w:rsidR="00002D76" w:rsidRPr="00EA7458" w:rsidRDefault="00002D76" w:rsidP="00002D76">
      <w:pPr>
        <w:widowControl w:val="0"/>
        <w:spacing w:before="2" w:after="0" w:line="240" w:lineRule="auto"/>
        <w:rPr>
          <w:rFonts w:ascii="Calibri" w:hAnsi="Calibri" w:cs="Calibri"/>
          <w:sz w:val="14"/>
          <w:szCs w:val="14"/>
        </w:rPr>
      </w:pPr>
    </w:p>
    <w:p w14:paraId="5FB11E4F" w14:textId="77777777" w:rsidR="00002D76" w:rsidRPr="00EA7458" w:rsidRDefault="00002D76" w:rsidP="00664EFD">
      <w:pPr>
        <w:widowControl w:val="0"/>
        <w:numPr>
          <w:ilvl w:val="2"/>
          <w:numId w:val="7"/>
        </w:numPr>
        <w:tabs>
          <w:tab w:val="left" w:pos="1998"/>
        </w:tabs>
        <w:spacing w:before="59" w:after="0" w:line="240" w:lineRule="auto"/>
        <w:ind w:hanging="428"/>
        <w:rPr>
          <w:rFonts w:ascii="Calibri" w:hAnsi="Calibri" w:cs="Calibri"/>
        </w:rPr>
      </w:pPr>
      <w:bookmarkStart w:id="25" w:name="_bookmark14"/>
      <w:bookmarkEnd w:id="25"/>
      <w:r w:rsidRPr="00EA7458">
        <w:rPr>
          <w:rFonts w:ascii="Calibri" w:hAnsi="Calibri"/>
          <w:color w:val="295CA3"/>
          <w:w w:val="110"/>
        </w:rPr>
        <w:t>Workforce</w:t>
      </w:r>
      <w:r w:rsidRPr="00EA7458">
        <w:rPr>
          <w:rFonts w:ascii="Calibri" w:hAnsi="Calibri"/>
          <w:color w:val="295CA3"/>
          <w:spacing w:val="1"/>
          <w:w w:val="110"/>
        </w:rPr>
        <w:t xml:space="preserve"> </w:t>
      </w:r>
      <w:r w:rsidRPr="00EA7458">
        <w:rPr>
          <w:rFonts w:ascii="Calibri" w:hAnsi="Calibri"/>
          <w:color w:val="295CA3"/>
          <w:w w:val="110"/>
        </w:rPr>
        <w:t>Analysis</w:t>
      </w:r>
    </w:p>
    <w:p w14:paraId="28E4A946" w14:textId="77777777" w:rsidR="00002D76" w:rsidRPr="00EA7458" w:rsidRDefault="00002D76" w:rsidP="00664EFD">
      <w:pPr>
        <w:widowControl w:val="0"/>
        <w:numPr>
          <w:ilvl w:val="3"/>
          <w:numId w:val="7"/>
        </w:numPr>
        <w:tabs>
          <w:tab w:val="left" w:pos="3132"/>
        </w:tabs>
        <w:spacing w:before="195" w:after="0" w:line="240" w:lineRule="auto"/>
        <w:rPr>
          <w:rFonts w:ascii="Calibri" w:hAnsi="Calibri" w:cs="Calibri"/>
        </w:rPr>
      </w:pPr>
      <w:r w:rsidRPr="00EA7458">
        <w:rPr>
          <w:rFonts w:ascii="Calibri" w:hAnsi="Calibri"/>
          <w:color w:val="295CA3"/>
          <w:w w:val="105"/>
        </w:rPr>
        <w:t>Employment and</w:t>
      </w:r>
      <w:r w:rsidRPr="00EA7458">
        <w:rPr>
          <w:rFonts w:ascii="Calibri" w:hAnsi="Calibri"/>
          <w:color w:val="295CA3"/>
          <w:spacing w:val="9"/>
          <w:w w:val="105"/>
        </w:rPr>
        <w:t xml:space="preserve"> </w:t>
      </w:r>
      <w:r w:rsidRPr="00EA7458">
        <w:rPr>
          <w:rFonts w:ascii="Calibri" w:hAnsi="Calibri"/>
          <w:color w:val="295CA3"/>
          <w:w w:val="105"/>
        </w:rPr>
        <w:t>Unemployment</w:t>
      </w:r>
    </w:p>
    <w:p w14:paraId="673E9D79" w14:textId="77777777" w:rsidR="00002D76" w:rsidRPr="00EA7458" w:rsidRDefault="00002D76" w:rsidP="00D63204">
      <w:pPr>
        <w:widowControl w:val="0"/>
        <w:spacing w:before="195" w:after="0" w:line="240" w:lineRule="auto"/>
        <w:ind w:left="107"/>
        <w:outlineLvl w:val="2"/>
        <w:rPr>
          <w:rFonts w:ascii="Calibri" w:hAnsi="Calibri"/>
        </w:rPr>
      </w:pPr>
      <w:r w:rsidRPr="00EA7458">
        <w:rPr>
          <w:rFonts w:ascii="Calibri" w:hAnsi="Calibri"/>
          <w:b/>
          <w:bCs/>
          <w:color w:val="231F20"/>
          <w:w w:val="120"/>
        </w:rPr>
        <w:t>Jobs</w:t>
      </w:r>
      <w:r>
        <w:rPr>
          <w:rFonts w:ascii="Calibri" w:hAnsi="Calibri"/>
          <w:b/>
          <w:bCs/>
          <w:color w:val="231F20"/>
          <w:w w:val="120"/>
        </w:rPr>
        <w:t xml:space="preserve"> </w:t>
      </w:r>
    </w:p>
    <w:p w14:paraId="7C844EFC" w14:textId="2BEE9FB0" w:rsidR="00002D76" w:rsidRPr="002149C9" w:rsidRDefault="00CD1C1C" w:rsidP="00D63204">
      <w:pPr>
        <w:widowControl w:val="0"/>
        <w:spacing w:before="2" w:after="0" w:line="240" w:lineRule="auto"/>
        <w:ind w:left="107"/>
        <w:rPr>
          <w:rFonts w:ascii="Calibri" w:hAnsi="Calibri" w:cs="Calibri"/>
        </w:rPr>
      </w:pPr>
      <w:r w:rsidRPr="00CD1C1C">
        <w:rPr>
          <w:rFonts w:ascii="Calibri" w:hAnsi="Calibri"/>
          <w:color w:val="231F20"/>
          <w:w w:val="105"/>
        </w:rPr>
        <w:t>There</w:t>
      </w:r>
      <w:r w:rsidRPr="00CD1C1C">
        <w:rPr>
          <w:rFonts w:ascii="Calibri" w:hAnsi="Calibri"/>
          <w:color w:val="231F20"/>
          <w:spacing w:val="12"/>
          <w:w w:val="105"/>
        </w:rPr>
        <w:t xml:space="preserve"> </w:t>
      </w:r>
      <w:r w:rsidRPr="00CD1C1C">
        <w:rPr>
          <w:rFonts w:ascii="Calibri" w:hAnsi="Calibri"/>
          <w:color w:val="231F20"/>
          <w:w w:val="105"/>
        </w:rPr>
        <w:t>are</w:t>
      </w:r>
      <w:r w:rsidRPr="00CD1C1C">
        <w:rPr>
          <w:rFonts w:ascii="Calibri" w:hAnsi="Calibri"/>
          <w:color w:val="231F20"/>
          <w:spacing w:val="12"/>
          <w:w w:val="105"/>
        </w:rPr>
        <w:t xml:space="preserve"> </w:t>
      </w:r>
      <w:r w:rsidRPr="00CD1C1C">
        <w:rPr>
          <w:rFonts w:ascii="Calibri" w:hAnsi="Calibri"/>
          <w:color w:val="231F20"/>
          <w:w w:val="105"/>
        </w:rPr>
        <w:t>many</w:t>
      </w:r>
      <w:r w:rsidRPr="00CD1C1C">
        <w:rPr>
          <w:rFonts w:ascii="Calibri" w:hAnsi="Calibri"/>
          <w:color w:val="231F20"/>
          <w:spacing w:val="12"/>
          <w:w w:val="105"/>
        </w:rPr>
        <w:t xml:space="preserve"> </w:t>
      </w:r>
      <w:r w:rsidRPr="00CD1C1C">
        <w:rPr>
          <w:rFonts w:ascii="Calibri" w:hAnsi="Calibri"/>
          <w:color w:val="231F20"/>
          <w:w w:val="105"/>
        </w:rPr>
        <w:t>positive</w:t>
      </w:r>
      <w:r w:rsidRPr="00CD1C1C">
        <w:rPr>
          <w:rFonts w:ascii="Calibri" w:hAnsi="Calibri"/>
          <w:color w:val="231F20"/>
          <w:spacing w:val="12"/>
          <w:w w:val="105"/>
        </w:rPr>
        <w:t xml:space="preserve"> </w:t>
      </w:r>
      <w:r w:rsidRPr="00CD1C1C">
        <w:rPr>
          <w:rFonts w:ascii="Calibri" w:hAnsi="Calibri"/>
          <w:color w:val="231F20"/>
          <w:w w:val="105"/>
        </w:rPr>
        <w:t>indicators</w:t>
      </w:r>
      <w:r w:rsidRPr="00CD1C1C">
        <w:rPr>
          <w:rFonts w:ascii="Calibri" w:hAnsi="Calibri"/>
          <w:color w:val="231F20"/>
          <w:spacing w:val="12"/>
          <w:w w:val="105"/>
        </w:rPr>
        <w:t xml:space="preserve"> </w:t>
      </w:r>
      <w:r w:rsidRPr="00CD1C1C">
        <w:rPr>
          <w:rFonts w:ascii="Calibri" w:hAnsi="Calibri"/>
          <w:color w:val="231F20"/>
          <w:w w:val="105"/>
        </w:rPr>
        <w:t>of</w:t>
      </w:r>
      <w:r w:rsidRPr="00CD1C1C">
        <w:rPr>
          <w:rFonts w:ascii="Calibri" w:hAnsi="Calibri"/>
          <w:color w:val="231F20"/>
          <w:spacing w:val="12"/>
          <w:w w:val="105"/>
        </w:rPr>
        <w:t xml:space="preserve"> </w:t>
      </w:r>
      <w:r w:rsidRPr="00CD1C1C">
        <w:rPr>
          <w:rFonts w:ascii="Calibri" w:hAnsi="Calibri"/>
          <w:color w:val="231F20"/>
          <w:w w:val="105"/>
        </w:rPr>
        <w:t>Florida’s</w:t>
      </w:r>
      <w:r w:rsidRPr="00CD1C1C">
        <w:rPr>
          <w:rFonts w:ascii="Calibri" w:hAnsi="Calibri"/>
          <w:color w:val="231F20"/>
          <w:spacing w:val="12"/>
          <w:w w:val="105"/>
        </w:rPr>
        <w:t xml:space="preserve"> </w:t>
      </w:r>
      <w:r w:rsidRPr="00CD1C1C">
        <w:rPr>
          <w:rFonts w:ascii="Calibri" w:hAnsi="Calibri"/>
          <w:color w:val="231F20"/>
          <w:w w:val="105"/>
        </w:rPr>
        <w:t>recovery</w:t>
      </w:r>
      <w:r w:rsidRPr="00CD1C1C">
        <w:rPr>
          <w:rFonts w:ascii="Calibri" w:hAnsi="Calibri"/>
          <w:color w:val="231F20"/>
          <w:spacing w:val="12"/>
          <w:w w:val="105"/>
        </w:rPr>
        <w:t xml:space="preserve"> </w:t>
      </w:r>
      <w:r w:rsidRPr="00CD1C1C">
        <w:rPr>
          <w:rFonts w:ascii="Calibri" w:hAnsi="Calibri"/>
          <w:color w:val="231F20"/>
          <w:w w:val="105"/>
        </w:rPr>
        <w:t>from</w:t>
      </w:r>
      <w:r w:rsidRPr="00CD1C1C">
        <w:rPr>
          <w:rFonts w:ascii="Calibri" w:hAnsi="Calibri"/>
          <w:color w:val="231F20"/>
          <w:spacing w:val="12"/>
          <w:w w:val="105"/>
        </w:rPr>
        <w:t xml:space="preserve"> </w:t>
      </w:r>
      <w:r w:rsidRPr="00CD1C1C">
        <w:rPr>
          <w:rFonts w:ascii="Calibri" w:hAnsi="Calibri"/>
          <w:color w:val="231F20"/>
          <w:w w:val="105"/>
        </w:rPr>
        <w:t>the</w:t>
      </w:r>
      <w:r w:rsidRPr="00CD1C1C">
        <w:rPr>
          <w:rFonts w:ascii="Calibri" w:hAnsi="Calibri"/>
          <w:color w:val="231F20"/>
          <w:spacing w:val="12"/>
          <w:w w:val="105"/>
        </w:rPr>
        <w:t xml:space="preserve"> </w:t>
      </w:r>
      <w:r w:rsidRPr="00CD1C1C">
        <w:rPr>
          <w:rFonts w:ascii="Calibri" w:hAnsi="Calibri"/>
          <w:color w:val="231F20"/>
          <w:w w:val="105"/>
        </w:rPr>
        <w:t>Great</w:t>
      </w:r>
      <w:r w:rsidRPr="00CD1C1C">
        <w:rPr>
          <w:rFonts w:ascii="Calibri" w:hAnsi="Calibri"/>
          <w:color w:val="231F20"/>
          <w:spacing w:val="12"/>
          <w:w w:val="105"/>
        </w:rPr>
        <w:t xml:space="preserve"> </w:t>
      </w:r>
      <w:r w:rsidRPr="00CD1C1C">
        <w:rPr>
          <w:rFonts w:ascii="Calibri" w:hAnsi="Calibri"/>
          <w:color w:val="231F20"/>
          <w:w w:val="105"/>
        </w:rPr>
        <w:t>Recession. Prior to September 2017, payroll</w:t>
      </w:r>
      <w:r w:rsidRPr="00CD1C1C">
        <w:rPr>
          <w:rFonts w:ascii="Calibri" w:hAnsi="Calibri"/>
          <w:color w:val="231F20"/>
          <w:spacing w:val="12"/>
          <w:w w:val="105"/>
        </w:rPr>
        <w:t xml:space="preserve"> </w:t>
      </w:r>
      <w:r w:rsidRPr="00CD1C1C">
        <w:rPr>
          <w:rFonts w:ascii="Calibri" w:hAnsi="Calibri"/>
          <w:color w:val="231F20"/>
          <w:w w:val="105"/>
        </w:rPr>
        <w:t>employment (jobs) expanded</w:t>
      </w:r>
      <w:r w:rsidRPr="00CD1C1C">
        <w:rPr>
          <w:rFonts w:ascii="Calibri" w:hAnsi="Calibri"/>
          <w:color w:val="231F20"/>
          <w:spacing w:val="11"/>
          <w:w w:val="105"/>
        </w:rPr>
        <w:t xml:space="preserve"> </w:t>
      </w:r>
      <w:r w:rsidRPr="00CD1C1C">
        <w:rPr>
          <w:rFonts w:ascii="Calibri" w:hAnsi="Calibri"/>
          <w:color w:val="231F20"/>
          <w:w w:val="105"/>
        </w:rPr>
        <w:t>at</w:t>
      </w:r>
      <w:r w:rsidRPr="00CD1C1C">
        <w:rPr>
          <w:rFonts w:ascii="Calibri" w:hAnsi="Calibri"/>
          <w:color w:val="231F20"/>
          <w:spacing w:val="11"/>
          <w:w w:val="105"/>
        </w:rPr>
        <w:t xml:space="preserve"> </w:t>
      </w:r>
      <w:r w:rsidRPr="00CD1C1C">
        <w:rPr>
          <w:rFonts w:ascii="Calibri" w:hAnsi="Calibri"/>
          <w:color w:val="231F20"/>
          <w:w w:val="105"/>
        </w:rPr>
        <w:t>a</w:t>
      </w:r>
      <w:r w:rsidRPr="00CD1C1C">
        <w:rPr>
          <w:rFonts w:ascii="Calibri" w:hAnsi="Calibri"/>
          <w:color w:val="231F20"/>
          <w:spacing w:val="11"/>
          <w:w w:val="105"/>
        </w:rPr>
        <w:t xml:space="preserve"> </w:t>
      </w:r>
      <w:r w:rsidRPr="00CD1C1C">
        <w:rPr>
          <w:rFonts w:ascii="Calibri" w:hAnsi="Calibri"/>
          <w:color w:val="231F20"/>
          <w:w w:val="105"/>
        </w:rPr>
        <w:t>rate</w:t>
      </w:r>
      <w:r w:rsidRPr="00CD1C1C">
        <w:rPr>
          <w:rFonts w:ascii="Calibri" w:hAnsi="Calibri"/>
          <w:color w:val="231F20"/>
          <w:spacing w:val="11"/>
          <w:w w:val="105"/>
        </w:rPr>
        <w:t xml:space="preserve"> </w:t>
      </w:r>
      <w:r w:rsidRPr="00CD1C1C">
        <w:rPr>
          <w:rFonts w:ascii="Calibri" w:hAnsi="Calibri"/>
          <w:color w:val="231F20"/>
          <w:w w:val="105"/>
        </w:rPr>
        <w:t>exceeding</w:t>
      </w:r>
      <w:r w:rsidRPr="00CD1C1C">
        <w:rPr>
          <w:rFonts w:ascii="Calibri" w:hAnsi="Calibri"/>
          <w:color w:val="231F20"/>
          <w:spacing w:val="11"/>
          <w:w w:val="105"/>
        </w:rPr>
        <w:t xml:space="preserve"> </w:t>
      </w:r>
      <w:r w:rsidRPr="00CD1C1C">
        <w:rPr>
          <w:rFonts w:ascii="Calibri" w:hAnsi="Calibri"/>
          <w:color w:val="231F20"/>
          <w:w w:val="105"/>
        </w:rPr>
        <w:t>that</w:t>
      </w:r>
      <w:r w:rsidRPr="00CD1C1C">
        <w:rPr>
          <w:rFonts w:ascii="Calibri" w:hAnsi="Calibri"/>
          <w:color w:val="231F20"/>
          <w:spacing w:val="11"/>
          <w:w w:val="105"/>
        </w:rPr>
        <w:t xml:space="preserve"> </w:t>
      </w:r>
      <w:r w:rsidRPr="00CD1C1C">
        <w:rPr>
          <w:rFonts w:ascii="Calibri" w:hAnsi="Calibri"/>
          <w:color w:val="231F20"/>
          <w:w w:val="105"/>
        </w:rPr>
        <w:t>of</w:t>
      </w:r>
      <w:r w:rsidRPr="00CD1C1C">
        <w:rPr>
          <w:rFonts w:ascii="Calibri" w:hAnsi="Calibri"/>
          <w:color w:val="231F20"/>
          <w:spacing w:val="11"/>
          <w:w w:val="105"/>
        </w:rPr>
        <w:t xml:space="preserve"> </w:t>
      </w:r>
      <w:r w:rsidRPr="00CD1C1C">
        <w:rPr>
          <w:rFonts w:ascii="Calibri" w:hAnsi="Calibri"/>
          <w:color w:val="231F20"/>
          <w:w w:val="105"/>
        </w:rPr>
        <w:t>the</w:t>
      </w:r>
      <w:r w:rsidRPr="00CD1C1C">
        <w:rPr>
          <w:rFonts w:ascii="Calibri" w:hAnsi="Calibri"/>
          <w:color w:val="231F20"/>
          <w:spacing w:val="11"/>
          <w:w w:val="105"/>
        </w:rPr>
        <w:t xml:space="preserve"> </w:t>
      </w:r>
      <w:r w:rsidRPr="00CD1C1C">
        <w:rPr>
          <w:rFonts w:ascii="Calibri" w:hAnsi="Calibri"/>
          <w:color w:val="231F20"/>
          <w:w w:val="105"/>
        </w:rPr>
        <w:t>nation</w:t>
      </w:r>
      <w:r w:rsidRPr="00CD1C1C">
        <w:rPr>
          <w:rFonts w:ascii="Calibri" w:hAnsi="Calibri"/>
          <w:color w:val="231F20"/>
          <w:spacing w:val="11"/>
          <w:w w:val="105"/>
        </w:rPr>
        <w:t xml:space="preserve"> </w:t>
      </w:r>
      <w:r w:rsidRPr="00CD1C1C">
        <w:rPr>
          <w:rFonts w:ascii="Calibri" w:hAnsi="Calibri"/>
          <w:color w:val="231F20"/>
          <w:w w:val="105"/>
        </w:rPr>
        <w:t>since</w:t>
      </w:r>
      <w:r w:rsidRPr="00CD1C1C">
        <w:rPr>
          <w:rFonts w:ascii="Calibri" w:hAnsi="Calibri"/>
          <w:color w:val="231F20"/>
          <w:spacing w:val="11"/>
          <w:w w:val="105"/>
        </w:rPr>
        <w:t xml:space="preserve"> </w:t>
      </w:r>
      <w:r w:rsidRPr="00CD1C1C">
        <w:rPr>
          <w:rFonts w:ascii="Calibri" w:hAnsi="Calibri"/>
          <w:color w:val="231F20"/>
          <w:w w:val="105"/>
        </w:rPr>
        <w:t>April</w:t>
      </w:r>
      <w:r w:rsidRPr="00CD1C1C">
        <w:rPr>
          <w:rFonts w:ascii="Calibri" w:hAnsi="Calibri"/>
          <w:color w:val="231F20"/>
          <w:spacing w:val="11"/>
          <w:w w:val="105"/>
        </w:rPr>
        <w:t xml:space="preserve"> </w:t>
      </w:r>
      <w:r w:rsidRPr="00CD1C1C">
        <w:rPr>
          <w:rFonts w:ascii="Calibri" w:hAnsi="Calibri"/>
          <w:color w:val="231F20"/>
          <w:w w:val="105"/>
        </w:rPr>
        <w:t>2012. As of November 2017, Florida gained jobs over</w:t>
      </w:r>
      <w:r w:rsidRPr="00CD1C1C">
        <w:rPr>
          <w:rFonts w:ascii="Calibri" w:hAnsi="Calibri"/>
          <w:color w:val="231F20"/>
          <w:spacing w:val="15"/>
          <w:w w:val="105"/>
        </w:rPr>
        <w:t xml:space="preserve"> </w:t>
      </w:r>
      <w:r w:rsidRPr="00CD1C1C">
        <w:rPr>
          <w:rFonts w:ascii="Calibri" w:hAnsi="Calibri"/>
          <w:color w:val="231F20"/>
          <w:w w:val="105"/>
        </w:rPr>
        <w:t>the</w:t>
      </w:r>
      <w:r w:rsidRPr="00CD1C1C">
        <w:rPr>
          <w:rFonts w:ascii="Calibri" w:hAnsi="Calibri"/>
          <w:color w:val="231F20"/>
          <w:spacing w:val="15"/>
          <w:w w:val="105"/>
        </w:rPr>
        <w:t xml:space="preserve"> </w:t>
      </w:r>
      <w:r w:rsidRPr="00CD1C1C">
        <w:rPr>
          <w:rFonts w:ascii="Calibri" w:hAnsi="Calibri"/>
          <w:color w:val="231F20"/>
          <w:w w:val="105"/>
        </w:rPr>
        <w:t>year</w:t>
      </w:r>
      <w:r w:rsidRPr="00CD1C1C">
        <w:rPr>
          <w:rFonts w:ascii="Calibri" w:hAnsi="Calibri"/>
          <w:color w:val="231F20"/>
          <w:spacing w:val="7"/>
          <w:w w:val="105"/>
        </w:rPr>
        <w:t xml:space="preserve"> </w:t>
      </w:r>
      <w:r w:rsidRPr="00CD1C1C">
        <w:rPr>
          <w:rFonts w:ascii="Calibri" w:hAnsi="Calibri"/>
          <w:color w:val="231F20"/>
          <w:w w:val="105"/>
        </w:rPr>
        <w:t>for</w:t>
      </w:r>
      <w:r w:rsidRPr="00CD1C1C">
        <w:rPr>
          <w:rFonts w:ascii="Calibri" w:hAnsi="Calibri"/>
          <w:color w:val="231F20"/>
          <w:spacing w:val="7"/>
          <w:w w:val="105"/>
        </w:rPr>
        <w:t xml:space="preserve"> </w:t>
      </w:r>
      <w:r w:rsidRPr="00CD1C1C">
        <w:rPr>
          <w:rFonts w:ascii="Calibri" w:hAnsi="Calibri"/>
          <w:color w:val="231F20"/>
          <w:w w:val="105"/>
        </w:rPr>
        <w:t>the</w:t>
      </w:r>
      <w:r w:rsidRPr="00CD1C1C">
        <w:rPr>
          <w:rFonts w:ascii="Calibri" w:hAnsi="Calibri"/>
          <w:color w:val="231F20"/>
          <w:spacing w:val="7"/>
          <w:w w:val="105"/>
        </w:rPr>
        <w:t xml:space="preserve"> </w:t>
      </w:r>
      <w:r w:rsidRPr="00CD1C1C">
        <w:rPr>
          <w:rFonts w:ascii="Calibri" w:hAnsi="Calibri"/>
          <w:color w:val="231F20"/>
          <w:w w:val="105"/>
        </w:rPr>
        <w:t>past</w:t>
      </w:r>
      <w:r w:rsidRPr="00CD1C1C">
        <w:rPr>
          <w:rFonts w:ascii="Calibri" w:hAnsi="Calibri"/>
          <w:color w:val="231F20"/>
          <w:spacing w:val="7"/>
          <w:w w:val="105"/>
        </w:rPr>
        <w:t xml:space="preserve"> </w:t>
      </w:r>
      <w:r w:rsidRPr="00CD1C1C">
        <w:rPr>
          <w:rFonts w:ascii="Calibri" w:hAnsi="Calibri"/>
          <w:color w:val="231F20"/>
          <w:w w:val="105"/>
        </w:rPr>
        <w:t>88</w:t>
      </w:r>
      <w:r w:rsidRPr="00CD1C1C">
        <w:rPr>
          <w:rFonts w:ascii="Calibri" w:hAnsi="Calibri"/>
          <w:color w:val="231F20"/>
          <w:spacing w:val="7"/>
          <w:w w:val="105"/>
        </w:rPr>
        <w:t xml:space="preserve"> </w:t>
      </w:r>
      <w:r w:rsidRPr="00CD1C1C">
        <w:rPr>
          <w:rFonts w:ascii="Calibri" w:hAnsi="Calibri"/>
          <w:color w:val="231F20"/>
          <w:w w:val="105"/>
        </w:rPr>
        <w:t>months. Prior</w:t>
      </w:r>
      <w:r w:rsidRPr="00CD1C1C">
        <w:rPr>
          <w:rFonts w:ascii="Calibri" w:hAnsi="Calibri"/>
          <w:color w:val="231F20"/>
          <w:spacing w:val="7"/>
          <w:w w:val="105"/>
        </w:rPr>
        <w:t xml:space="preserve"> </w:t>
      </w:r>
      <w:r w:rsidRPr="00CD1C1C">
        <w:rPr>
          <w:rFonts w:ascii="Calibri" w:hAnsi="Calibri"/>
          <w:color w:val="231F20"/>
          <w:w w:val="105"/>
        </w:rPr>
        <w:t>to</w:t>
      </w:r>
      <w:r w:rsidRPr="00CD1C1C">
        <w:rPr>
          <w:rFonts w:ascii="Calibri" w:hAnsi="Calibri"/>
          <w:color w:val="231F20"/>
          <w:spacing w:val="7"/>
          <w:w w:val="105"/>
        </w:rPr>
        <w:t xml:space="preserve"> </w:t>
      </w:r>
      <w:r w:rsidRPr="00CD1C1C">
        <w:rPr>
          <w:rFonts w:ascii="Calibri" w:hAnsi="Calibri"/>
          <w:color w:val="231F20"/>
          <w:w w:val="105"/>
        </w:rPr>
        <w:t>this,</w:t>
      </w:r>
      <w:r w:rsidRPr="00CD1C1C">
        <w:rPr>
          <w:rFonts w:ascii="Calibri" w:hAnsi="Calibri"/>
          <w:color w:val="231F20"/>
          <w:spacing w:val="7"/>
          <w:w w:val="105"/>
        </w:rPr>
        <w:t xml:space="preserve"> </w:t>
      </w:r>
      <w:r w:rsidRPr="00CD1C1C">
        <w:rPr>
          <w:rFonts w:ascii="Calibri" w:hAnsi="Calibri"/>
          <w:color w:val="231F20"/>
          <w:w w:val="105"/>
        </w:rPr>
        <w:t>the</w:t>
      </w:r>
      <w:r w:rsidRPr="00CD1C1C">
        <w:rPr>
          <w:rFonts w:ascii="Calibri" w:hAnsi="Calibri"/>
          <w:color w:val="231F20"/>
          <w:spacing w:val="7"/>
          <w:w w:val="105"/>
        </w:rPr>
        <w:t xml:space="preserve"> </w:t>
      </w:r>
      <w:r w:rsidRPr="00CD1C1C">
        <w:rPr>
          <w:rFonts w:ascii="Calibri" w:hAnsi="Calibri"/>
          <w:color w:val="231F20"/>
          <w:w w:val="105"/>
        </w:rPr>
        <w:t>state</w:t>
      </w:r>
      <w:r w:rsidRPr="00CD1C1C">
        <w:rPr>
          <w:rFonts w:ascii="Calibri" w:hAnsi="Calibri"/>
          <w:color w:val="231F20"/>
          <w:spacing w:val="7"/>
          <w:w w:val="105"/>
        </w:rPr>
        <w:t xml:space="preserve"> </w:t>
      </w:r>
      <w:r w:rsidRPr="00CD1C1C">
        <w:rPr>
          <w:rFonts w:ascii="Calibri" w:hAnsi="Calibri"/>
          <w:color w:val="231F20"/>
          <w:w w:val="105"/>
        </w:rPr>
        <w:t>lost</w:t>
      </w:r>
      <w:r w:rsidRPr="00CD1C1C">
        <w:rPr>
          <w:rFonts w:ascii="Calibri" w:hAnsi="Calibri"/>
          <w:color w:val="231F20"/>
          <w:spacing w:val="7"/>
          <w:w w:val="105"/>
        </w:rPr>
        <w:t xml:space="preserve"> </w:t>
      </w:r>
      <w:r w:rsidRPr="00CD1C1C">
        <w:rPr>
          <w:rFonts w:ascii="Calibri" w:hAnsi="Calibri"/>
          <w:color w:val="231F20"/>
          <w:w w:val="105"/>
        </w:rPr>
        <w:t>jobs</w:t>
      </w:r>
      <w:r w:rsidRPr="00CD1C1C">
        <w:rPr>
          <w:rFonts w:ascii="Calibri" w:hAnsi="Calibri"/>
          <w:color w:val="231F20"/>
          <w:spacing w:val="7"/>
          <w:w w:val="105"/>
        </w:rPr>
        <w:t xml:space="preserve"> </w:t>
      </w:r>
      <w:r w:rsidRPr="00CD1C1C">
        <w:rPr>
          <w:rFonts w:ascii="Calibri" w:hAnsi="Calibri"/>
          <w:color w:val="231F20"/>
          <w:w w:val="105"/>
        </w:rPr>
        <w:t>for</w:t>
      </w:r>
      <w:r w:rsidRPr="00CD1C1C">
        <w:rPr>
          <w:rFonts w:ascii="Calibri" w:hAnsi="Calibri"/>
          <w:color w:val="231F20"/>
          <w:spacing w:val="7"/>
          <w:w w:val="105"/>
        </w:rPr>
        <w:t xml:space="preserve"> </w:t>
      </w:r>
      <w:r w:rsidRPr="00CD1C1C">
        <w:rPr>
          <w:rFonts w:ascii="Calibri" w:hAnsi="Calibri"/>
          <w:color w:val="231F20"/>
          <w:w w:val="105"/>
        </w:rPr>
        <w:t>more</w:t>
      </w:r>
      <w:r w:rsidRPr="00CD1C1C">
        <w:rPr>
          <w:rFonts w:ascii="Calibri" w:hAnsi="Calibri"/>
          <w:color w:val="231F20"/>
          <w:spacing w:val="7"/>
          <w:w w:val="105"/>
        </w:rPr>
        <w:t xml:space="preserve"> </w:t>
      </w:r>
      <w:r w:rsidRPr="00CD1C1C">
        <w:rPr>
          <w:rFonts w:ascii="Calibri" w:hAnsi="Calibri"/>
          <w:color w:val="231F20"/>
          <w:w w:val="105"/>
        </w:rPr>
        <w:t>than</w:t>
      </w:r>
      <w:r w:rsidRPr="00CD1C1C">
        <w:rPr>
          <w:rFonts w:ascii="Calibri" w:hAnsi="Calibri"/>
          <w:color w:val="231F20"/>
          <w:spacing w:val="7"/>
          <w:w w:val="105"/>
        </w:rPr>
        <w:t xml:space="preserve"> </w:t>
      </w:r>
      <w:r w:rsidRPr="00CD1C1C">
        <w:rPr>
          <w:rFonts w:ascii="Calibri" w:hAnsi="Calibri"/>
          <w:color w:val="231F20"/>
          <w:w w:val="105"/>
        </w:rPr>
        <w:t>three</w:t>
      </w:r>
      <w:r w:rsidRPr="00CD1C1C">
        <w:rPr>
          <w:rFonts w:ascii="Calibri" w:hAnsi="Calibri"/>
          <w:color w:val="231F20"/>
          <w:w w:val="104"/>
        </w:rPr>
        <w:t xml:space="preserve"> </w:t>
      </w:r>
      <w:r w:rsidRPr="00CD1C1C">
        <w:rPr>
          <w:rFonts w:ascii="Calibri" w:hAnsi="Calibri"/>
          <w:color w:val="231F20"/>
          <w:w w:val="105"/>
        </w:rPr>
        <w:t>years. In November 2017, 22 out of 24 Florida metro areas had</w:t>
      </w:r>
      <w:r w:rsidRPr="00CD1C1C">
        <w:rPr>
          <w:rFonts w:ascii="Calibri" w:hAnsi="Calibri"/>
          <w:color w:val="231F20"/>
          <w:spacing w:val="10"/>
          <w:w w:val="105"/>
        </w:rPr>
        <w:t xml:space="preserve"> </w:t>
      </w:r>
      <w:r w:rsidRPr="00CD1C1C">
        <w:rPr>
          <w:rFonts w:ascii="Calibri" w:hAnsi="Calibri"/>
          <w:color w:val="231F20"/>
          <w:w w:val="105"/>
        </w:rPr>
        <w:t>over-the-year</w:t>
      </w:r>
      <w:r w:rsidRPr="00CD1C1C">
        <w:rPr>
          <w:rFonts w:ascii="Calibri" w:hAnsi="Calibri"/>
          <w:color w:val="231F20"/>
          <w:spacing w:val="10"/>
          <w:w w:val="105"/>
        </w:rPr>
        <w:t xml:space="preserve"> </w:t>
      </w:r>
      <w:r w:rsidRPr="00CD1C1C">
        <w:rPr>
          <w:rFonts w:ascii="Calibri" w:hAnsi="Calibri"/>
          <w:color w:val="231F20"/>
          <w:w w:val="105"/>
        </w:rPr>
        <w:t>job</w:t>
      </w:r>
      <w:r w:rsidRPr="00CD1C1C">
        <w:rPr>
          <w:rFonts w:ascii="Calibri" w:hAnsi="Calibri"/>
          <w:color w:val="231F20"/>
          <w:spacing w:val="10"/>
          <w:w w:val="105"/>
        </w:rPr>
        <w:t xml:space="preserve"> </w:t>
      </w:r>
      <w:r w:rsidRPr="00CD1C1C">
        <w:rPr>
          <w:rFonts w:ascii="Calibri" w:hAnsi="Calibri"/>
          <w:color w:val="231F20"/>
          <w:w w:val="105"/>
        </w:rPr>
        <w:t>gains. The</w:t>
      </w:r>
      <w:r w:rsidRPr="00CD1C1C">
        <w:rPr>
          <w:rFonts w:ascii="Calibri" w:hAnsi="Calibri"/>
          <w:color w:val="231F20"/>
          <w:spacing w:val="11"/>
          <w:w w:val="105"/>
        </w:rPr>
        <w:t xml:space="preserve"> </w:t>
      </w:r>
      <w:r w:rsidRPr="00CD1C1C">
        <w:rPr>
          <w:rFonts w:ascii="Calibri" w:hAnsi="Calibri"/>
          <w:color w:val="231F20"/>
          <w:w w:val="105"/>
        </w:rPr>
        <w:t>Orlando-Kissimmee-Sanford metro area (+38,800 jobs, +3.1 percent) added the most jobs in November 2017</w:t>
      </w:r>
      <w:r w:rsidR="007C4991">
        <w:rPr>
          <w:rFonts w:ascii="Calibri" w:hAnsi="Calibri"/>
          <w:color w:val="231F20"/>
          <w:w w:val="105"/>
        </w:rPr>
        <w:t>,</w:t>
      </w:r>
      <w:r w:rsidRPr="00CD1C1C">
        <w:rPr>
          <w:rFonts w:ascii="Calibri" w:hAnsi="Calibri"/>
          <w:color w:val="231F20"/>
          <w:w w:val="105"/>
        </w:rPr>
        <w:t xml:space="preserve"> followed by Tampa-St. Petersburg-Clearwater (+30,600 jobs, +2.3 percent) and Miami-Miami Beach-Kendall (+27,100 jobs, +2.3 percent)</w:t>
      </w:r>
      <w:r w:rsidRPr="00CD1C1C">
        <w:rPr>
          <w:rFonts w:ascii="Calibri" w:hAnsi="Calibri"/>
          <w:color w:val="231F20"/>
          <w:spacing w:val="11"/>
          <w:w w:val="105"/>
        </w:rPr>
        <w:t>.</w:t>
      </w:r>
    </w:p>
    <w:p w14:paraId="7AD70D9C" w14:textId="77777777" w:rsidR="00002D76" w:rsidRPr="00BA5B23" w:rsidRDefault="00002D76" w:rsidP="00D63204">
      <w:pPr>
        <w:widowControl w:val="0"/>
        <w:spacing w:before="192" w:after="0" w:line="240" w:lineRule="auto"/>
        <w:ind w:left="107"/>
        <w:outlineLvl w:val="2"/>
        <w:rPr>
          <w:rFonts w:ascii="Calibri" w:hAnsi="Calibri"/>
        </w:rPr>
      </w:pPr>
      <w:r w:rsidRPr="00BA5B23">
        <w:rPr>
          <w:rFonts w:ascii="Calibri" w:hAnsi="Calibri"/>
          <w:b/>
          <w:bCs/>
          <w:color w:val="231F20"/>
          <w:w w:val="110"/>
        </w:rPr>
        <w:t>Labor Force and</w:t>
      </w:r>
      <w:r w:rsidRPr="00BA5B23">
        <w:rPr>
          <w:rFonts w:ascii="Calibri" w:hAnsi="Calibri"/>
          <w:b/>
          <w:bCs/>
          <w:color w:val="231F20"/>
          <w:spacing w:val="-31"/>
          <w:w w:val="110"/>
        </w:rPr>
        <w:t xml:space="preserve"> </w:t>
      </w:r>
      <w:r w:rsidRPr="00BA5B23">
        <w:rPr>
          <w:rFonts w:ascii="Calibri" w:hAnsi="Calibri"/>
          <w:b/>
          <w:bCs/>
          <w:color w:val="231F20"/>
          <w:w w:val="110"/>
        </w:rPr>
        <w:t>Unemployment</w:t>
      </w:r>
    </w:p>
    <w:p w14:paraId="5D498F30" w14:textId="30A56B9D" w:rsidR="00CD1C1C" w:rsidRPr="00FD09CC" w:rsidRDefault="00CD1C1C" w:rsidP="00D63204">
      <w:pPr>
        <w:widowControl w:val="0"/>
        <w:spacing w:before="2" w:after="0" w:line="240" w:lineRule="auto"/>
        <w:ind w:left="107"/>
        <w:rPr>
          <w:rFonts w:ascii="Calibri" w:hAnsi="Calibri"/>
        </w:rPr>
      </w:pPr>
      <w:r w:rsidRPr="00CD1C1C">
        <w:rPr>
          <w:rFonts w:ascii="Calibri" w:hAnsi="Calibri"/>
          <w:color w:val="231F20"/>
          <w:w w:val="105"/>
        </w:rPr>
        <w:t>Florida’s</w:t>
      </w:r>
      <w:r w:rsidRPr="00CD1C1C">
        <w:rPr>
          <w:rFonts w:ascii="Calibri" w:hAnsi="Calibri"/>
          <w:color w:val="231F20"/>
          <w:spacing w:val="16"/>
          <w:w w:val="105"/>
        </w:rPr>
        <w:t xml:space="preserve"> </w:t>
      </w:r>
      <w:r w:rsidRPr="00CD1C1C">
        <w:rPr>
          <w:rFonts w:ascii="Calibri" w:hAnsi="Calibri"/>
          <w:color w:val="231F20"/>
          <w:w w:val="105"/>
        </w:rPr>
        <w:t>unemployment</w:t>
      </w:r>
      <w:r w:rsidRPr="00CD1C1C">
        <w:rPr>
          <w:rFonts w:ascii="Calibri" w:hAnsi="Calibri"/>
          <w:color w:val="231F20"/>
          <w:spacing w:val="16"/>
          <w:w w:val="105"/>
        </w:rPr>
        <w:t xml:space="preserve"> </w:t>
      </w:r>
      <w:r w:rsidRPr="00CD1C1C">
        <w:rPr>
          <w:rFonts w:ascii="Calibri" w:hAnsi="Calibri"/>
          <w:color w:val="231F20"/>
          <w:w w:val="105"/>
        </w:rPr>
        <w:t>rate</w:t>
      </w:r>
      <w:r w:rsidRPr="00CD1C1C">
        <w:rPr>
          <w:rFonts w:ascii="Calibri" w:hAnsi="Calibri"/>
          <w:color w:val="231F20"/>
          <w:spacing w:val="16"/>
          <w:w w:val="105"/>
        </w:rPr>
        <w:t xml:space="preserve"> </w:t>
      </w:r>
      <w:r w:rsidRPr="00CD1C1C">
        <w:rPr>
          <w:rFonts w:ascii="Calibri" w:hAnsi="Calibri"/>
          <w:color w:val="231F20"/>
          <w:w w:val="105"/>
        </w:rPr>
        <w:t>has</w:t>
      </w:r>
      <w:r w:rsidRPr="00CD1C1C">
        <w:rPr>
          <w:rFonts w:ascii="Calibri" w:hAnsi="Calibri"/>
          <w:color w:val="231F20"/>
          <w:spacing w:val="16"/>
          <w:w w:val="105"/>
        </w:rPr>
        <w:t xml:space="preserve"> </w:t>
      </w:r>
      <w:r w:rsidRPr="00CD1C1C">
        <w:rPr>
          <w:rFonts w:ascii="Calibri" w:hAnsi="Calibri"/>
          <w:color w:val="231F20"/>
          <w:w w:val="105"/>
        </w:rPr>
        <w:t>declined</w:t>
      </w:r>
      <w:r w:rsidRPr="00CD1C1C">
        <w:rPr>
          <w:rFonts w:ascii="Calibri" w:hAnsi="Calibri"/>
          <w:color w:val="231F20"/>
          <w:spacing w:val="16"/>
          <w:w w:val="105"/>
        </w:rPr>
        <w:t xml:space="preserve"> </w:t>
      </w:r>
      <w:r w:rsidRPr="00CD1C1C">
        <w:rPr>
          <w:rFonts w:ascii="Calibri" w:hAnsi="Calibri"/>
          <w:color w:val="231F20"/>
          <w:w w:val="105"/>
        </w:rPr>
        <w:t>since</w:t>
      </w:r>
      <w:r w:rsidRPr="00CD1C1C">
        <w:rPr>
          <w:rFonts w:ascii="Calibri" w:hAnsi="Calibri"/>
          <w:color w:val="231F20"/>
          <w:spacing w:val="16"/>
          <w:w w:val="105"/>
        </w:rPr>
        <w:t xml:space="preserve"> </w:t>
      </w:r>
      <w:r w:rsidRPr="00CD1C1C">
        <w:rPr>
          <w:rFonts w:ascii="Calibri" w:hAnsi="Calibri"/>
          <w:color w:val="231F20"/>
          <w:w w:val="105"/>
        </w:rPr>
        <w:t>the</w:t>
      </w:r>
      <w:r w:rsidRPr="00CD1C1C">
        <w:rPr>
          <w:rFonts w:ascii="Calibri" w:hAnsi="Calibri"/>
          <w:color w:val="231F20"/>
          <w:spacing w:val="16"/>
          <w:w w:val="105"/>
        </w:rPr>
        <w:t xml:space="preserve"> </w:t>
      </w:r>
      <w:r w:rsidRPr="00CD1C1C">
        <w:rPr>
          <w:rFonts w:ascii="Calibri" w:hAnsi="Calibri"/>
          <w:color w:val="231F20"/>
          <w:w w:val="105"/>
        </w:rPr>
        <w:t>November</w:t>
      </w:r>
      <w:r w:rsidRPr="00CD1C1C">
        <w:rPr>
          <w:rFonts w:ascii="Calibri" w:hAnsi="Calibri"/>
          <w:color w:val="231F20"/>
          <w:spacing w:val="16"/>
          <w:w w:val="105"/>
        </w:rPr>
        <w:t xml:space="preserve"> </w:t>
      </w:r>
      <w:r w:rsidRPr="00CD1C1C">
        <w:rPr>
          <w:rFonts w:ascii="Calibri" w:hAnsi="Calibri"/>
          <w:color w:val="231F20"/>
          <w:w w:val="105"/>
        </w:rPr>
        <w:t xml:space="preserve">2009 </w:t>
      </w:r>
      <w:r w:rsidR="003F3B4F">
        <w:rPr>
          <w:rFonts w:ascii="Calibri" w:hAnsi="Calibri"/>
          <w:color w:val="231F20"/>
          <w:w w:val="105"/>
        </w:rPr>
        <w:t>–</w:t>
      </w:r>
      <w:r w:rsidRPr="00CD1C1C">
        <w:rPr>
          <w:rFonts w:ascii="Calibri" w:hAnsi="Calibri"/>
          <w:color w:val="231F20"/>
          <w:w w:val="105"/>
        </w:rPr>
        <w:t xml:space="preserve"> January</w:t>
      </w:r>
      <w:r w:rsidRPr="00CD1C1C">
        <w:rPr>
          <w:rFonts w:ascii="Calibri" w:hAnsi="Calibri"/>
          <w:color w:val="231F20"/>
          <w:spacing w:val="16"/>
          <w:w w:val="105"/>
        </w:rPr>
        <w:t xml:space="preserve"> </w:t>
      </w:r>
      <w:r w:rsidRPr="00CD1C1C">
        <w:rPr>
          <w:rFonts w:ascii="Calibri" w:hAnsi="Calibri"/>
          <w:color w:val="231F20"/>
          <w:w w:val="105"/>
        </w:rPr>
        <w:t>2010</w:t>
      </w:r>
      <w:r w:rsidRPr="00CD1C1C">
        <w:rPr>
          <w:rFonts w:ascii="Calibri" w:hAnsi="Calibri"/>
          <w:color w:val="231F20"/>
          <w:spacing w:val="16"/>
          <w:w w:val="105"/>
        </w:rPr>
        <w:t xml:space="preserve"> </w:t>
      </w:r>
      <w:r w:rsidRPr="00CD1C1C">
        <w:rPr>
          <w:rFonts w:ascii="Calibri" w:hAnsi="Calibri"/>
          <w:color w:val="231F20"/>
          <w:w w:val="105"/>
        </w:rPr>
        <w:t>peak</w:t>
      </w:r>
      <w:r w:rsidRPr="00CD1C1C">
        <w:rPr>
          <w:rFonts w:ascii="Calibri" w:hAnsi="Calibri"/>
          <w:color w:val="231F20"/>
          <w:spacing w:val="16"/>
          <w:w w:val="105"/>
        </w:rPr>
        <w:t xml:space="preserve"> </w:t>
      </w:r>
      <w:r w:rsidRPr="00CD1C1C">
        <w:rPr>
          <w:rFonts w:ascii="Calibri" w:hAnsi="Calibri"/>
          <w:color w:val="231F20"/>
          <w:w w:val="105"/>
        </w:rPr>
        <w:t>of</w:t>
      </w:r>
      <w:r w:rsidRPr="00CD1C1C">
        <w:rPr>
          <w:rFonts w:ascii="Calibri" w:hAnsi="Calibri"/>
          <w:color w:val="231F20"/>
          <w:spacing w:val="16"/>
          <w:w w:val="105"/>
        </w:rPr>
        <w:t xml:space="preserve"> </w:t>
      </w:r>
      <w:r w:rsidRPr="00CD1C1C">
        <w:rPr>
          <w:rFonts w:ascii="Calibri" w:hAnsi="Calibri"/>
          <w:color w:val="231F20"/>
          <w:w w:val="105"/>
        </w:rPr>
        <w:t>11.2</w:t>
      </w:r>
      <w:r w:rsidRPr="00CD1C1C">
        <w:rPr>
          <w:rFonts w:ascii="Calibri" w:hAnsi="Calibri"/>
          <w:color w:val="231F20"/>
          <w:spacing w:val="16"/>
          <w:w w:val="105"/>
        </w:rPr>
        <w:t xml:space="preserve"> </w:t>
      </w:r>
      <w:r w:rsidRPr="00CD1C1C">
        <w:rPr>
          <w:rFonts w:ascii="Calibri" w:hAnsi="Calibri"/>
          <w:color w:val="231F20"/>
          <w:w w:val="105"/>
        </w:rPr>
        <w:t>percent</w:t>
      </w:r>
      <w:r w:rsidRPr="00CD1C1C">
        <w:rPr>
          <w:rFonts w:ascii="Calibri" w:hAnsi="Calibri"/>
          <w:color w:val="231F20"/>
          <w:w w:val="106"/>
        </w:rPr>
        <w:t xml:space="preserve"> </w:t>
      </w:r>
      <w:r w:rsidRPr="00CD1C1C">
        <w:rPr>
          <w:rFonts w:ascii="Calibri" w:hAnsi="Calibri"/>
          <w:color w:val="231F20"/>
          <w:w w:val="105"/>
        </w:rPr>
        <w:t>reached</w:t>
      </w:r>
      <w:r w:rsidRPr="00CD1C1C">
        <w:rPr>
          <w:rFonts w:ascii="Calibri" w:hAnsi="Calibri"/>
          <w:color w:val="231F20"/>
          <w:spacing w:val="19"/>
          <w:w w:val="105"/>
        </w:rPr>
        <w:t xml:space="preserve"> </w:t>
      </w:r>
      <w:r w:rsidRPr="00CD1C1C">
        <w:rPr>
          <w:rFonts w:ascii="Calibri" w:hAnsi="Calibri"/>
          <w:color w:val="231F20"/>
          <w:w w:val="105"/>
        </w:rPr>
        <w:t>in</w:t>
      </w:r>
      <w:r w:rsidRPr="00CD1C1C">
        <w:rPr>
          <w:rFonts w:ascii="Calibri" w:hAnsi="Calibri"/>
          <w:color w:val="231F20"/>
          <w:spacing w:val="19"/>
          <w:w w:val="105"/>
        </w:rPr>
        <w:t xml:space="preserve"> </w:t>
      </w:r>
      <w:r w:rsidRPr="00CD1C1C">
        <w:rPr>
          <w:rFonts w:ascii="Calibri" w:hAnsi="Calibri"/>
          <w:color w:val="231F20"/>
          <w:w w:val="105"/>
        </w:rPr>
        <w:t>the</w:t>
      </w:r>
      <w:r w:rsidRPr="00CD1C1C">
        <w:rPr>
          <w:rFonts w:ascii="Calibri" w:hAnsi="Calibri"/>
          <w:color w:val="231F20"/>
          <w:spacing w:val="19"/>
          <w:w w:val="105"/>
        </w:rPr>
        <w:t xml:space="preserve"> </w:t>
      </w:r>
      <w:r w:rsidRPr="00CD1C1C">
        <w:rPr>
          <w:rFonts w:ascii="Calibri" w:hAnsi="Calibri"/>
          <w:color w:val="231F20"/>
          <w:w w:val="105"/>
        </w:rPr>
        <w:t>Great</w:t>
      </w:r>
      <w:r w:rsidRPr="00CD1C1C">
        <w:rPr>
          <w:rFonts w:ascii="Calibri" w:hAnsi="Calibri"/>
          <w:color w:val="231F20"/>
          <w:spacing w:val="19"/>
          <w:w w:val="105"/>
        </w:rPr>
        <w:t xml:space="preserve"> </w:t>
      </w:r>
      <w:r w:rsidRPr="00CD1C1C">
        <w:rPr>
          <w:rFonts w:ascii="Calibri" w:hAnsi="Calibri"/>
          <w:color w:val="231F20"/>
          <w:w w:val="105"/>
        </w:rPr>
        <w:t>Recession. The</w:t>
      </w:r>
      <w:r w:rsidRPr="00CD1C1C">
        <w:rPr>
          <w:rFonts w:ascii="Calibri" w:hAnsi="Calibri"/>
          <w:color w:val="231F20"/>
          <w:spacing w:val="19"/>
          <w:w w:val="105"/>
        </w:rPr>
        <w:t xml:space="preserve"> </w:t>
      </w:r>
      <w:r w:rsidRPr="00CD1C1C">
        <w:rPr>
          <w:rFonts w:ascii="Calibri" w:hAnsi="Calibri"/>
          <w:color w:val="231F20"/>
          <w:w w:val="105"/>
        </w:rPr>
        <w:t>number</w:t>
      </w:r>
      <w:r w:rsidRPr="00CD1C1C">
        <w:rPr>
          <w:rFonts w:ascii="Calibri" w:hAnsi="Calibri"/>
          <w:color w:val="231F20"/>
          <w:spacing w:val="19"/>
          <w:w w:val="105"/>
        </w:rPr>
        <w:t xml:space="preserve"> </w:t>
      </w:r>
      <w:r w:rsidRPr="00CD1C1C">
        <w:rPr>
          <w:rFonts w:ascii="Calibri" w:hAnsi="Calibri"/>
          <w:color w:val="231F20"/>
          <w:w w:val="105"/>
        </w:rPr>
        <w:t>of</w:t>
      </w:r>
      <w:r w:rsidRPr="00CD1C1C">
        <w:rPr>
          <w:rFonts w:ascii="Calibri" w:hAnsi="Calibri"/>
          <w:color w:val="231F20"/>
          <w:spacing w:val="19"/>
          <w:w w:val="105"/>
        </w:rPr>
        <w:t xml:space="preserve"> </w:t>
      </w:r>
      <w:r w:rsidRPr="00CD1C1C">
        <w:rPr>
          <w:rFonts w:ascii="Calibri" w:hAnsi="Calibri"/>
          <w:color w:val="231F20"/>
          <w:w w:val="105"/>
        </w:rPr>
        <w:t>unemployed</w:t>
      </w:r>
      <w:r w:rsidRPr="00CD1C1C">
        <w:rPr>
          <w:rFonts w:ascii="Calibri" w:hAnsi="Calibri"/>
          <w:color w:val="231F20"/>
          <w:spacing w:val="19"/>
          <w:w w:val="105"/>
        </w:rPr>
        <w:t xml:space="preserve"> </w:t>
      </w:r>
      <w:r w:rsidRPr="00CD1C1C">
        <w:rPr>
          <w:rFonts w:ascii="Calibri" w:hAnsi="Calibri"/>
          <w:color w:val="231F20"/>
          <w:w w:val="105"/>
        </w:rPr>
        <w:t>persons</w:t>
      </w:r>
      <w:r w:rsidRPr="00CD1C1C">
        <w:rPr>
          <w:rFonts w:ascii="Calibri" w:hAnsi="Calibri"/>
          <w:color w:val="231F20"/>
          <w:spacing w:val="19"/>
          <w:w w:val="105"/>
        </w:rPr>
        <w:t xml:space="preserve"> </w:t>
      </w:r>
      <w:r w:rsidRPr="00CD1C1C">
        <w:rPr>
          <w:rFonts w:ascii="Calibri" w:hAnsi="Calibri"/>
          <w:color w:val="231F20"/>
          <w:w w:val="105"/>
        </w:rPr>
        <w:t>peaked</w:t>
      </w:r>
      <w:r w:rsidRPr="00CD1C1C">
        <w:rPr>
          <w:rFonts w:ascii="Calibri" w:hAnsi="Calibri"/>
          <w:color w:val="231F20"/>
          <w:spacing w:val="19"/>
          <w:w w:val="105"/>
        </w:rPr>
        <w:t xml:space="preserve"> </w:t>
      </w:r>
      <w:r w:rsidRPr="00CD1C1C">
        <w:rPr>
          <w:rFonts w:ascii="Calibri" w:hAnsi="Calibri"/>
          <w:color w:val="231F20"/>
          <w:w w:val="105"/>
        </w:rPr>
        <w:t>at 1,020,457 in January</w:t>
      </w:r>
      <w:r w:rsidRPr="00CD1C1C">
        <w:rPr>
          <w:rFonts w:ascii="Calibri" w:hAnsi="Calibri"/>
          <w:color w:val="231F20"/>
          <w:spacing w:val="-11"/>
          <w:w w:val="105"/>
        </w:rPr>
        <w:t xml:space="preserve"> </w:t>
      </w:r>
      <w:r w:rsidRPr="00CD1C1C">
        <w:rPr>
          <w:rFonts w:ascii="Calibri" w:hAnsi="Calibri"/>
          <w:color w:val="231F20"/>
          <w:w w:val="105"/>
        </w:rPr>
        <w:t>2010</w:t>
      </w:r>
      <w:r w:rsidR="00D5537E">
        <w:rPr>
          <w:rFonts w:ascii="Calibri" w:hAnsi="Calibri"/>
          <w:color w:val="231F20"/>
          <w:w w:val="105"/>
        </w:rPr>
        <w:t xml:space="preserve"> and</w:t>
      </w:r>
      <w:r w:rsidRPr="00CD1C1C">
        <w:rPr>
          <w:rFonts w:ascii="Calibri" w:hAnsi="Calibri"/>
          <w:color w:val="231F20"/>
          <w:w w:val="105"/>
        </w:rPr>
        <w:t xml:space="preserve"> has since dropped by 651,879 as of November 2017. The labor force has increased by 1,041,685</w:t>
      </w:r>
      <w:r w:rsidRPr="00CD1C1C">
        <w:rPr>
          <w:rFonts w:ascii="Calibri" w:hAnsi="Calibri"/>
          <w:color w:val="231F20"/>
          <w:spacing w:val="14"/>
          <w:w w:val="105"/>
        </w:rPr>
        <w:t xml:space="preserve"> </w:t>
      </w:r>
      <w:r w:rsidRPr="00CD1C1C">
        <w:rPr>
          <w:rFonts w:ascii="Calibri" w:hAnsi="Calibri"/>
          <w:color w:val="231F20"/>
          <w:w w:val="105"/>
        </w:rPr>
        <w:t>as</w:t>
      </w:r>
      <w:r w:rsidRPr="00CD1C1C">
        <w:rPr>
          <w:rFonts w:ascii="Calibri" w:hAnsi="Calibri"/>
          <w:color w:val="231F20"/>
          <w:spacing w:val="14"/>
          <w:w w:val="105"/>
        </w:rPr>
        <w:t xml:space="preserve"> </w:t>
      </w:r>
      <w:r w:rsidRPr="00CD1C1C">
        <w:rPr>
          <w:rFonts w:ascii="Calibri" w:hAnsi="Calibri"/>
          <w:color w:val="231F20"/>
          <w:w w:val="105"/>
        </w:rPr>
        <w:t>of</w:t>
      </w:r>
      <w:r w:rsidRPr="00CD1C1C">
        <w:rPr>
          <w:rFonts w:ascii="Calibri" w:hAnsi="Calibri"/>
          <w:color w:val="231F20"/>
          <w:spacing w:val="14"/>
          <w:w w:val="105"/>
        </w:rPr>
        <w:t xml:space="preserve"> </w:t>
      </w:r>
      <w:r w:rsidRPr="00CD1C1C">
        <w:rPr>
          <w:rFonts w:ascii="Calibri" w:hAnsi="Calibri"/>
          <w:color w:val="231F20"/>
          <w:w w:val="105"/>
        </w:rPr>
        <w:t>November 2017, from</w:t>
      </w:r>
      <w:r w:rsidRPr="00CD1C1C">
        <w:rPr>
          <w:rFonts w:ascii="Calibri" w:hAnsi="Calibri"/>
          <w:color w:val="231F20"/>
          <w:spacing w:val="14"/>
          <w:w w:val="105"/>
        </w:rPr>
        <w:t xml:space="preserve"> </w:t>
      </w:r>
      <w:r w:rsidRPr="00CD1C1C">
        <w:rPr>
          <w:rFonts w:ascii="Calibri" w:hAnsi="Calibri"/>
          <w:color w:val="231F20"/>
          <w:w w:val="105"/>
        </w:rPr>
        <w:t>the</w:t>
      </w:r>
      <w:r w:rsidRPr="00CD1C1C">
        <w:rPr>
          <w:rFonts w:ascii="Calibri" w:hAnsi="Calibri"/>
          <w:color w:val="231F20"/>
          <w:spacing w:val="14"/>
          <w:w w:val="105"/>
        </w:rPr>
        <w:t xml:space="preserve"> </w:t>
      </w:r>
      <w:r w:rsidRPr="00CD1C1C">
        <w:rPr>
          <w:rFonts w:ascii="Calibri" w:hAnsi="Calibri"/>
          <w:color w:val="231F20"/>
          <w:w w:val="105"/>
        </w:rPr>
        <w:t>low</w:t>
      </w:r>
      <w:r w:rsidRPr="00CD1C1C">
        <w:rPr>
          <w:rFonts w:ascii="Calibri" w:hAnsi="Calibri"/>
          <w:color w:val="231F20"/>
          <w:spacing w:val="14"/>
          <w:w w:val="105"/>
        </w:rPr>
        <w:t xml:space="preserve"> </w:t>
      </w:r>
      <w:r w:rsidRPr="00CD1C1C">
        <w:rPr>
          <w:rFonts w:ascii="Calibri" w:hAnsi="Calibri"/>
          <w:color w:val="231F20"/>
          <w:w w:val="105"/>
        </w:rPr>
        <w:t>point</w:t>
      </w:r>
      <w:r w:rsidRPr="00CD1C1C">
        <w:rPr>
          <w:rFonts w:ascii="Calibri" w:hAnsi="Calibri"/>
          <w:color w:val="231F20"/>
          <w:spacing w:val="14"/>
          <w:w w:val="105"/>
        </w:rPr>
        <w:t xml:space="preserve"> </w:t>
      </w:r>
      <w:r w:rsidRPr="00CD1C1C">
        <w:rPr>
          <w:rFonts w:ascii="Calibri" w:hAnsi="Calibri"/>
          <w:color w:val="231F20"/>
          <w:w w:val="105"/>
        </w:rPr>
        <w:t>reached</w:t>
      </w:r>
      <w:r w:rsidRPr="00CD1C1C">
        <w:rPr>
          <w:rFonts w:ascii="Calibri" w:hAnsi="Calibri"/>
          <w:color w:val="231F20"/>
          <w:spacing w:val="14"/>
          <w:w w:val="105"/>
        </w:rPr>
        <w:t xml:space="preserve"> </w:t>
      </w:r>
      <w:r w:rsidRPr="00CD1C1C">
        <w:rPr>
          <w:rFonts w:ascii="Calibri" w:hAnsi="Calibri"/>
          <w:color w:val="231F20"/>
          <w:w w:val="105"/>
        </w:rPr>
        <w:t>in</w:t>
      </w:r>
      <w:r w:rsidRPr="00CD1C1C">
        <w:rPr>
          <w:rFonts w:ascii="Calibri" w:hAnsi="Calibri"/>
          <w:color w:val="231F20"/>
          <w:spacing w:val="14"/>
          <w:w w:val="105"/>
        </w:rPr>
        <w:t xml:space="preserve"> </w:t>
      </w:r>
      <w:r w:rsidRPr="00CD1C1C">
        <w:rPr>
          <w:rFonts w:ascii="Calibri" w:hAnsi="Calibri"/>
          <w:color w:val="231F20"/>
          <w:w w:val="105"/>
        </w:rPr>
        <w:t>November</w:t>
      </w:r>
      <w:r w:rsidRPr="00CD1C1C">
        <w:rPr>
          <w:rFonts w:ascii="Calibri" w:hAnsi="Calibri"/>
          <w:color w:val="231F20"/>
          <w:spacing w:val="14"/>
          <w:w w:val="105"/>
        </w:rPr>
        <w:t xml:space="preserve"> </w:t>
      </w:r>
      <w:r w:rsidRPr="00CD1C1C">
        <w:rPr>
          <w:rFonts w:ascii="Calibri" w:hAnsi="Calibri"/>
          <w:color w:val="231F20"/>
          <w:w w:val="105"/>
        </w:rPr>
        <w:t xml:space="preserve">2009 (9,081,076). </w:t>
      </w:r>
    </w:p>
    <w:p w14:paraId="446E6248" w14:textId="655965D3" w:rsidR="00002D76" w:rsidRPr="00FD09CC" w:rsidRDefault="00002D76" w:rsidP="00D63204">
      <w:pPr>
        <w:widowControl w:val="0"/>
        <w:spacing w:before="195" w:after="0" w:line="240" w:lineRule="auto"/>
        <w:ind w:left="107"/>
        <w:rPr>
          <w:rFonts w:ascii="Calibri" w:hAnsi="Calibri"/>
        </w:rPr>
      </w:pPr>
      <w:r w:rsidRPr="00FD09CC">
        <w:rPr>
          <w:rFonts w:ascii="Calibri" w:hAnsi="Calibri"/>
          <w:color w:val="231F20"/>
          <w:w w:val="105"/>
        </w:rPr>
        <w:t>The</w:t>
      </w:r>
      <w:r w:rsidRPr="00FD09CC">
        <w:rPr>
          <w:rFonts w:ascii="Calibri" w:hAnsi="Calibri"/>
          <w:color w:val="231F20"/>
          <w:spacing w:val="11"/>
          <w:w w:val="105"/>
        </w:rPr>
        <w:t xml:space="preserve"> </w:t>
      </w:r>
      <w:r w:rsidRPr="00FD09CC">
        <w:rPr>
          <w:rFonts w:ascii="Calibri" w:hAnsi="Calibri"/>
          <w:color w:val="231F20"/>
          <w:w w:val="105"/>
        </w:rPr>
        <w:t>unemployment</w:t>
      </w:r>
      <w:r w:rsidRPr="00FD09CC">
        <w:rPr>
          <w:rFonts w:ascii="Calibri" w:hAnsi="Calibri"/>
          <w:color w:val="231F20"/>
          <w:spacing w:val="11"/>
          <w:w w:val="105"/>
        </w:rPr>
        <w:t xml:space="preserve"> </w:t>
      </w:r>
      <w:r w:rsidRPr="00FD09CC">
        <w:rPr>
          <w:rFonts w:ascii="Calibri" w:hAnsi="Calibri"/>
          <w:color w:val="231F20"/>
          <w:w w:val="105"/>
        </w:rPr>
        <w:t>rate</w:t>
      </w:r>
      <w:r w:rsidRPr="00FD09CC">
        <w:rPr>
          <w:rFonts w:ascii="Calibri" w:hAnsi="Calibri"/>
          <w:color w:val="231F20"/>
          <w:spacing w:val="11"/>
          <w:w w:val="105"/>
        </w:rPr>
        <w:t xml:space="preserve"> </w:t>
      </w:r>
      <w:r w:rsidRPr="00FD09CC">
        <w:rPr>
          <w:rFonts w:ascii="Calibri" w:hAnsi="Calibri"/>
          <w:color w:val="231F20"/>
          <w:w w:val="105"/>
        </w:rPr>
        <w:t>for</w:t>
      </w:r>
      <w:r w:rsidRPr="00FD09CC">
        <w:rPr>
          <w:rFonts w:ascii="Calibri" w:hAnsi="Calibri"/>
          <w:color w:val="231F20"/>
          <w:spacing w:val="11"/>
          <w:w w:val="105"/>
        </w:rPr>
        <w:t xml:space="preserve"> </w:t>
      </w:r>
      <w:r w:rsidRPr="00FD09CC">
        <w:rPr>
          <w:rFonts w:ascii="Calibri" w:hAnsi="Calibri"/>
          <w:color w:val="231F20"/>
          <w:w w:val="105"/>
        </w:rPr>
        <w:t>the</w:t>
      </w:r>
      <w:r w:rsidRPr="00FD09CC">
        <w:rPr>
          <w:rFonts w:ascii="Calibri" w:hAnsi="Calibri"/>
          <w:color w:val="231F20"/>
          <w:spacing w:val="11"/>
          <w:w w:val="105"/>
        </w:rPr>
        <w:t xml:space="preserve"> </w:t>
      </w:r>
      <w:r w:rsidRPr="00FD09CC">
        <w:rPr>
          <w:rFonts w:ascii="Calibri" w:hAnsi="Calibri"/>
          <w:color w:val="231F20"/>
          <w:w w:val="105"/>
        </w:rPr>
        <w:t>state</w:t>
      </w:r>
      <w:r w:rsidRPr="00FD09CC">
        <w:rPr>
          <w:rFonts w:ascii="Calibri" w:hAnsi="Calibri"/>
          <w:color w:val="231F20"/>
          <w:spacing w:val="11"/>
          <w:w w:val="105"/>
        </w:rPr>
        <w:t xml:space="preserve"> </w:t>
      </w:r>
      <w:r w:rsidRPr="00FD09CC">
        <w:rPr>
          <w:rFonts w:ascii="Calibri" w:hAnsi="Calibri"/>
          <w:color w:val="231F20"/>
          <w:w w:val="105"/>
        </w:rPr>
        <w:t>of</w:t>
      </w:r>
      <w:r w:rsidRPr="00FD09CC">
        <w:rPr>
          <w:rFonts w:ascii="Calibri" w:hAnsi="Calibri"/>
          <w:color w:val="231F20"/>
          <w:spacing w:val="11"/>
          <w:w w:val="105"/>
        </w:rPr>
        <w:t xml:space="preserve"> </w:t>
      </w:r>
      <w:r w:rsidRPr="00FD09CC">
        <w:rPr>
          <w:rFonts w:ascii="Calibri" w:hAnsi="Calibri"/>
          <w:color w:val="231F20"/>
          <w:w w:val="105"/>
        </w:rPr>
        <w:t>Florida</w:t>
      </w:r>
      <w:r w:rsidRPr="00FD09CC">
        <w:rPr>
          <w:rFonts w:ascii="Calibri" w:hAnsi="Calibri"/>
          <w:color w:val="231F20"/>
          <w:spacing w:val="11"/>
          <w:w w:val="105"/>
        </w:rPr>
        <w:t xml:space="preserve"> </w:t>
      </w:r>
      <w:r w:rsidRPr="00FD09CC">
        <w:rPr>
          <w:rFonts w:ascii="Calibri" w:hAnsi="Calibri"/>
          <w:color w:val="231F20"/>
          <w:w w:val="105"/>
        </w:rPr>
        <w:t>declined</w:t>
      </w:r>
      <w:r w:rsidRPr="00FD09CC">
        <w:rPr>
          <w:rFonts w:ascii="Calibri" w:hAnsi="Calibri"/>
          <w:color w:val="231F20"/>
          <w:spacing w:val="11"/>
          <w:w w:val="105"/>
        </w:rPr>
        <w:t xml:space="preserve"> </w:t>
      </w:r>
      <w:r w:rsidRPr="00FD09CC">
        <w:rPr>
          <w:rFonts w:ascii="Calibri" w:hAnsi="Calibri"/>
          <w:color w:val="231F20"/>
          <w:w w:val="105"/>
        </w:rPr>
        <w:t>by</w:t>
      </w:r>
      <w:r w:rsidRPr="00FD09CC">
        <w:rPr>
          <w:rFonts w:ascii="Calibri" w:hAnsi="Calibri"/>
          <w:color w:val="231F20"/>
          <w:spacing w:val="11"/>
          <w:w w:val="105"/>
        </w:rPr>
        <w:t xml:space="preserve"> </w:t>
      </w:r>
      <w:r w:rsidRPr="00FD09CC">
        <w:rPr>
          <w:rFonts w:ascii="Calibri" w:hAnsi="Calibri"/>
          <w:color w:val="231F20"/>
          <w:spacing w:val="-5"/>
          <w:w w:val="105"/>
        </w:rPr>
        <w:t>1.3</w:t>
      </w:r>
      <w:r w:rsidRPr="00FD09CC">
        <w:rPr>
          <w:rFonts w:ascii="Calibri" w:hAnsi="Calibri"/>
          <w:color w:val="231F20"/>
          <w:spacing w:val="11"/>
          <w:w w:val="105"/>
        </w:rPr>
        <w:t xml:space="preserve"> </w:t>
      </w:r>
      <w:r w:rsidRPr="00FD09CC">
        <w:rPr>
          <w:rFonts w:ascii="Calibri" w:hAnsi="Calibri"/>
          <w:color w:val="231F20"/>
          <w:w w:val="105"/>
        </w:rPr>
        <w:t>percentage</w:t>
      </w:r>
      <w:r w:rsidRPr="00FD09CC">
        <w:rPr>
          <w:rFonts w:ascii="Calibri" w:hAnsi="Calibri"/>
          <w:color w:val="231F20"/>
          <w:spacing w:val="11"/>
          <w:w w:val="105"/>
        </w:rPr>
        <w:t xml:space="preserve"> </w:t>
      </w:r>
      <w:r w:rsidRPr="00FD09CC">
        <w:rPr>
          <w:rFonts w:ascii="Calibri" w:hAnsi="Calibri"/>
          <w:color w:val="231F20"/>
          <w:w w:val="105"/>
        </w:rPr>
        <w:t>points</w:t>
      </w:r>
      <w:r w:rsidRPr="00FD09CC">
        <w:rPr>
          <w:rFonts w:ascii="Calibri" w:hAnsi="Calibri"/>
          <w:color w:val="231F20"/>
          <w:spacing w:val="11"/>
          <w:w w:val="105"/>
        </w:rPr>
        <w:t xml:space="preserve"> </w:t>
      </w:r>
      <w:r w:rsidRPr="00FD09CC">
        <w:rPr>
          <w:rFonts w:ascii="Calibri" w:hAnsi="Calibri"/>
          <w:color w:val="231F20"/>
          <w:w w:val="105"/>
        </w:rPr>
        <w:t>over</w:t>
      </w:r>
      <w:r w:rsidRPr="00FD09CC">
        <w:rPr>
          <w:rFonts w:ascii="Calibri" w:hAnsi="Calibri"/>
          <w:color w:val="231F20"/>
          <w:spacing w:val="11"/>
          <w:w w:val="105"/>
        </w:rPr>
        <w:t xml:space="preserve"> </w:t>
      </w:r>
      <w:r w:rsidRPr="00FD09CC">
        <w:rPr>
          <w:rFonts w:ascii="Calibri" w:hAnsi="Calibri"/>
          <w:color w:val="231F20"/>
          <w:w w:val="105"/>
        </w:rPr>
        <w:t>the</w:t>
      </w:r>
      <w:r w:rsidRPr="00FD09CC">
        <w:rPr>
          <w:rFonts w:ascii="Calibri" w:hAnsi="Calibri"/>
          <w:color w:val="231F20"/>
          <w:spacing w:val="11"/>
          <w:w w:val="105"/>
        </w:rPr>
        <w:t xml:space="preserve"> </w:t>
      </w:r>
      <w:r w:rsidRPr="00FD09CC">
        <w:rPr>
          <w:rFonts w:ascii="Calibri" w:hAnsi="Calibri"/>
          <w:color w:val="231F20"/>
          <w:w w:val="105"/>
        </w:rPr>
        <w:t>year</w:t>
      </w:r>
      <w:r w:rsidRPr="00FD09CC">
        <w:rPr>
          <w:rFonts w:ascii="Calibri" w:hAnsi="Calibri"/>
          <w:color w:val="231F20"/>
          <w:spacing w:val="11"/>
          <w:w w:val="105"/>
        </w:rPr>
        <w:t xml:space="preserve"> </w:t>
      </w:r>
      <w:r w:rsidRPr="00FD09CC">
        <w:rPr>
          <w:rFonts w:ascii="Calibri" w:hAnsi="Calibri"/>
          <w:color w:val="231F20"/>
          <w:w w:val="105"/>
        </w:rPr>
        <w:t>to</w:t>
      </w:r>
      <w:r w:rsidRPr="00FD09CC">
        <w:rPr>
          <w:rFonts w:ascii="Calibri" w:hAnsi="Calibri"/>
          <w:color w:val="231F20"/>
          <w:spacing w:val="11"/>
          <w:w w:val="105"/>
        </w:rPr>
        <w:t xml:space="preserve"> </w:t>
      </w:r>
      <w:r w:rsidRPr="00FD09CC">
        <w:rPr>
          <w:rFonts w:ascii="Calibri" w:hAnsi="Calibri"/>
          <w:color w:val="231F20"/>
          <w:w w:val="105"/>
        </w:rPr>
        <w:t>3.6</w:t>
      </w:r>
      <w:r w:rsidRPr="00FD09CC">
        <w:rPr>
          <w:rFonts w:ascii="Calibri" w:hAnsi="Calibri"/>
          <w:color w:val="231F20"/>
          <w:spacing w:val="-26"/>
          <w:w w:val="105"/>
        </w:rPr>
        <w:t xml:space="preserve"> </w:t>
      </w:r>
      <w:r w:rsidRPr="00FD09CC">
        <w:rPr>
          <w:rFonts w:ascii="Calibri" w:hAnsi="Calibri"/>
          <w:color w:val="231F20"/>
          <w:w w:val="105"/>
        </w:rPr>
        <w:t>percent</w:t>
      </w:r>
      <w:r w:rsidRPr="00FD09CC">
        <w:rPr>
          <w:rFonts w:ascii="Calibri" w:hAnsi="Calibri"/>
          <w:color w:val="231F20"/>
          <w:spacing w:val="15"/>
          <w:w w:val="105"/>
        </w:rPr>
        <w:t xml:space="preserve"> </w:t>
      </w:r>
      <w:r w:rsidRPr="00FD09CC">
        <w:rPr>
          <w:rFonts w:ascii="Calibri" w:hAnsi="Calibri"/>
          <w:color w:val="231F20"/>
          <w:w w:val="105"/>
        </w:rPr>
        <w:t>in</w:t>
      </w:r>
      <w:r w:rsidRPr="00FD09CC">
        <w:rPr>
          <w:rFonts w:ascii="Calibri" w:hAnsi="Calibri"/>
          <w:color w:val="231F20"/>
          <w:spacing w:val="15"/>
          <w:w w:val="105"/>
        </w:rPr>
        <w:t xml:space="preserve"> </w:t>
      </w:r>
      <w:r w:rsidRPr="00FD09CC">
        <w:rPr>
          <w:rFonts w:ascii="Calibri" w:hAnsi="Calibri"/>
          <w:color w:val="231F20"/>
          <w:w w:val="105"/>
        </w:rPr>
        <w:t>November 2017</w:t>
      </w:r>
      <w:r w:rsidR="005E7C49">
        <w:rPr>
          <w:rFonts w:ascii="Calibri" w:hAnsi="Calibri"/>
          <w:color w:val="231F20"/>
          <w:w w:val="105"/>
        </w:rPr>
        <w:t xml:space="preserve">. </w:t>
      </w:r>
      <w:r w:rsidRPr="00FD09CC">
        <w:rPr>
          <w:rFonts w:ascii="Calibri" w:hAnsi="Calibri"/>
          <w:color w:val="231F20"/>
          <w:w w:val="105"/>
        </w:rPr>
        <w:t>This</w:t>
      </w:r>
      <w:r w:rsidRPr="00FD09CC">
        <w:rPr>
          <w:rFonts w:ascii="Calibri" w:hAnsi="Calibri"/>
          <w:color w:val="231F20"/>
          <w:spacing w:val="15"/>
          <w:w w:val="105"/>
        </w:rPr>
        <w:t xml:space="preserve"> </w:t>
      </w:r>
      <w:r w:rsidRPr="00FD09CC">
        <w:rPr>
          <w:rFonts w:ascii="Calibri" w:hAnsi="Calibri"/>
          <w:color w:val="231F20"/>
          <w:w w:val="105"/>
        </w:rPr>
        <w:t>was</w:t>
      </w:r>
      <w:r w:rsidRPr="00FD09CC">
        <w:rPr>
          <w:rFonts w:ascii="Calibri" w:hAnsi="Calibri"/>
          <w:color w:val="231F20"/>
          <w:spacing w:val="15"/>
          <w:w w:val="105"/>
        </w:rPr>
        <w:t xml:space="preserve"> </w:t>
      </w:r>
      <w:r w:rsidRPr="00FD09CC">
        <w:rPr>
          <w:rFonts w:ascii="Calibri" w:hAnsi="Calibri"/>
          <w:color w:val="231F20"/>
          <w:w w:val="105"/>
        </w:rPr>
        <w:t>the</w:t>
      </w:r>
      <w:r w:rsidRPr="00FD09CC">
        <w:rPr>
          <w:rFonts w:ascii="Calibri" w:hAnsi="Calibri"/>
          <w:color w:val="231F20"/>
          <w:spacing w:val="15"/>
          <w:w w:val="105"/>
        </w:rPr>
        <w:t xml:space="preserve"> </w:t>
      </w:r>
      <w:r w:rsidRPr="00FD09CC">
        <w:rPr>
          <w:rFonts w:ascii="Calibri" w:hAnsi="Calibri"/>
          <w:color w:val="231F20"/>
          <w:w w:val="105"/>
        </w:rPr>
        <w:t>89</w:t>
      </w:r>
      <w:r w:rsidRPr="00FD09CC">
        <w:rPr>
          <w:rFonts w:ascii="Calibri" w:hAnsi="Calibri"/>
          <w:color w:val="231F20"/>
          <w:w w:val="105"/>
          <w:vertAlign w:val="superscript"/>
        </w:rPr>
        <w:t>th</w:t>
      </w:r>
      <w:r w:rsidRPr="00FD09CC">
        <w:rPr>
          <w:rFonts w:ascii="Calibri" w:hAnsi="Calibri"/>
          <w:color w:val="231F20"/>
          <w:w w:val="105"/>
        </w:rPr>
        <w:t xml:space="preserve"> consecutive</w:t>
      </w:r>
      <w:r w:rsidRPr="00FD09CC">
        <w:rPr>
          <w:rFonts w:ascii="Calibri" w:hAnsi="Calibri"/>
          <w:color w:val="231F20"/>
          <w:spacing w:val="15"/>
          <w:w w:val="105"/>
        </w:rPr>
        <w:t xml:space="preserve"> </w:t>
      </w:r>
      <w:r w:rsidRPr="00FD09CC">
        <w:rPr>
          <w:rFonts w:ascii="Calibri" w:hAnsi="Calibri"/>
          <w:color w:val="231F20"/>
          <w:w w:val="105"/>
        </w:rPr>
        <w:t>month</w:t>
      </w:r>
      <w:r w:rsidRPr="00FD09CC">
        <w:rPr>
          <w:rFonts w:ascii="Calibri" w:hAnsi="Calibri"/>
          <w:color w:val="231F20"/>
          <w:spacing w:val="15"/>
          <w:w w:val="105"/>
        </w:rPr>
        <w:t xml:space="preserve"> </w:t>
      </w:r>
      <w:r w:rsidRPr="00FD09CC">
        <w:rPr>
          <w:rFonts w:ascii="Calibri" w:hAnsi="Calibri"/>
          <w:color w:val="231F20"/>
          <w:w w:val="105"/>
        </w:rPr>
        <w:t>where</w:t>
      </w:r>
      <w:r w:rsidRPr="00FD09CC">
        <w:rPr>
          <w:rFonts w:ascii="Calibri" w:hAnsi="Calibri"/>
          <w:color w:val="231F20"/>
          <w:spacing w:val="15"/>
          <w:w w:val="105"/>
        </w:rPr>
        <w:t xml:space="preserve"> </w:t>
      </w:r>
      <w:r w:rsidRPr="00FD09CC">
        <w:rPr>
          <w:rFonts w:ascii="Calibri" w:hAnsi="Calibri"/>
          <w:color w:val="231F20"/>
          <w:w w:val="105"/>
        </w:rPr>
        <w:t>Florida’s</w:t>
      </w:r>
      <w:r w:rsidRPr="00FD09CC">
        <w:rPr>
          <w:rFonts w:ascii="Calibri" w:hAnsi="Calibri"/>
          <w:color w:val="231F20"/>
          <w:w w:val="118"/>
        </w:rPr>
        <w:t xml:space="preserve"> </w:t>
      </w:r>
      <w:r w:rsidRPr="00FD09CC">
        <w:rPr>
          <w:rFonts w:ascii="Calibri" w:hAnsi="Calibri"/>
          <w:color w:val="231F20"/>
          <w:w w:val="105"/>
        </w:rPr>
        <w:t>unemployment</w:t>
      </w:r>
      <w:r w:rsidRPr="00FD09CC">
        <w:rPr>
          <w:rFonts w:ascii="Calibri" w:hAnsi="Calibri"/>
          <w:color w:val="231F20"/>
          <w:spacing w:val="-13"/>
          <w:w w:val="105"/>
        </w:rPr>
        <w:t xml:space="preserve"> </w:t>
      </w:r>
      <w:r w:rsidRPr="00FD09CC">
        <w:rPr>
          <w:rFonts w:ascii="Calibri" w:hAnsi="Calibri"/>
          <w:color w:val="231F20"/>
          <w:w w:val="105"/>
        </w:rPr>
        <w:t>rate declined or held steady over the year.</w:t>
      </w:r>
    </w:p>
    <w:p w14:paraId="59BD4543" w14:textId="77777777" w:rsidR="00002D76" w:rsidRPr="00EA7458" w:rsidRDefault="00002D76" w:rsidP="00002D76">
      <w:pPr>
        <w:widowControl w:val="0"/>
        <w:spacing w:before="6" w:after="0" w:line="240" w:lineRule="auto"/>
        <w:rPr>
          <w:rFonts w:ascii="Calibri" w:hAnsi="Calibri" w:cs="Calibri"/>
          <w:sz w:val="16"/>
          <w:szCs w:val="16"/>
        </w:rPr>
      </w:pPr>
    </w:p>
    <w:p w14:paraId="4D1704C3" w14:textId="77777777" w:rsidR="00002D76" w:rsidRPr="004B2AB4" w:rsidRDefault="00002D76" w:rsidP="00D63204">
      <w:pPr>
        <w:widowControl w:val="0"/>
        <w:spacing w:after="0" w:line="266" w:lineRule="exact"/>
        <w:ind w:left="468" w:right="468"/>
        <w:outlineLvl w:val="2"/>
        <w:rPr>
          <w:rFonts w:ascii="Calibri" w:hAnsi="Calibri"/>
        </w:rPr>
      </w:pPr>
      <w:r w:rsidRPr="004B2AB4">
        <w:rPr>
          <w:rFonts w:ascii="Calibri" w:hAnsi="Calibri"/>
          <w:b/>
          <w:bCs/>
          <w:color w:val="231F20"/>
          <w:w w:val="110"/>
        </w:rPr>
        <w:t>Figure</w:t>
      </w:r>
      <w:r w:rsidRPr="004B2AB4">
        <w:rPr>
          <w:rFonts w:ascii="Calibri" w:hAnsi="Calibri"/>
          <w:b/>
          <w:bCs/>
          <w:color w:val="231F20"/>
          <w:spacing w:val="-5"/>
          <w:w w:val="110"/>
        </w:rPr>
        <w:t xml:space="preserve"> </w:t>
      </w:r>
      <w:r w:rsidRPr="004B2AB4">
        <w:rPr>
          <w:rFonts w:ascii="Calibri" w:hAnsi="Calibri"/>
          <w:b/>
          <w:bCs/>
          <w:color w:val="231F20"/>
          <w:spacing w:val="-6"/>
          <w:w w:val="110"/>
        </w:rPr>
        <w:t>2.14</w:t>
      </w:r>
    </w:p>
    <w:p w14:paraId="071E9C7D" w14:textId="1BF8C25A" w:rsidR="00002D76" w:rsidRPr="004B2AB4" w:rsidRDefault="00633F73" w:rsidP="00D63204">
      <w:pPr>
        <w:widowControl w:val="0"/>
        <w:spacing w:after="0" w:line="264" w:lineRule="exact"/>
        <w:ind w:left="468" w:right="468"/>
        <w:rPr>
          <w:rFonts w:ascii="Calibri" w:hAnsi="Calibri" w:cs="Calibri"/>
        </w:rPr>
      </w:pPr>
      <w:r w:rsidRPr="004B2AB4">
        <w:rPr>
          <w:rFonts w:ascii="Calibri" w:hAnsi="Calibri"/>
          <w:b/>
          <w:color w:val="231F20"/>
          <w:w w:val="115"/>
        </w:rPr>
        <w:t>Florida</w:t>
      </w:r>
      <w:r w:rsidRPr="004B2AB4">
        <w:rPr>
          <w:rFonts w:ascii="Calibri" w:hAnsi="Calibri"/>
          <w:b/>
          <w:color w:val="231F20"/>
          <w:spacing w:val="-39"/>
          <w:w w:val="115"/>
        </w:rPr>
        <w:t xml:space="preserve"> </w:t>
      </w:r>
      <w:r w:rsidRPr="004B2AB4">
        <w:rPr>
          <w:rFonts w:ascii="Calibri" w:hAnsi="Calibri"/>
          <w:b/>
          <w:color w:val="231F20"/>
          <w:w w:val="115"/>
        </w:rPr>
        <w:t>Unemployment</w:t>
      </w:r>
      <w:r>
        <w:rPr>
          <w:rFonts w:ascii="Calibri" w:hAnsi="Calibri"/>
          <w:b/>
          <w:color w:val="231F20"/>
          <w:spacing w:val="-39"/>
          <w:w w:val="115"/>
        </w:rPr>
        <w:t xml:space="preserve"> </w:t>
      </w:r>
      <w:r w:rsidRPr="004B2AB4">
        <w:rPr>
          <w:rFonts w:ascii="Calibri" w:hAnsi="Calibri"/>
          <w:b/>
          <w:color w:val="231F20"/>
          <w:spacing w:val="-4"/>
          <w:w w:val="115"/>
        </w:rPr>
        <w:t>Rate</w:t>
      </w:r>
    </w:p>
    <w:p w14:paraId="3C660D40" w14:textId="1CBAC53E" w:rsidR="00002D76" w:rsidRDefault="00002D76" w:rsidP="00D63204">
      <w:pPr>
        <w:widowControl w:val="0"/>
        <w:spacing w:after="0" w:line="266" w:lineRule="exact"/>
        <w:ind w:left="468" w:right="468"/>
        <w:rPr>
          <w:rFonts w:ascii="Calibri" w:hAnsi="Calibri"/>
          <w:color w:val="231F20"/>
          <w:w w:val="105"/>
        </w:rPr>
      </w:pPr>
      <w:r w:rsidRPr="004B2AB4">
        <w:rPr>
          <w:noProof/>
        </w:rPr>
        <w:drawing>
          <wp:anchor distT="0" distB="0" distL="114300" distR="114300" simplePos="0" relativeHeight="251658258" behindDoc="0" locked="0" layoutInCell="1" allowOverlap="1" wp14:anchorId="585A705D" wp14:editId="6E3A86D0">
            <wp:simplePos x="0" y="0"/>
            <wp:positionH relativeFrom="column">
              <wp:posOffset>19050</wp:posOffset>
            </wp:positionH>
            <wp:positionV relativeFrom="paragraph">
              <wp:posOffset>273050</wp:posOffset>
            </wp:positionV>
            <wp:extent cx="6629400" cy="3105150"/>
            <wp:effectExtent l="0" t="0" r="0" b="0"/>
            <wp:wrapTopAndBottom/>
            <wp:docPr id="23" name="Chart 23" descr="The line graph shows Florida’s unemployment rate peaked in January 2010 at 11.2 percent with 1,020,457 people unemployed. Unemployment steadily declined, dropping by 651,879 as of November 2017. The labor force increased by 1,041,685 as of November 2017.&#10;" title="Figure 2.14 Florida Unemployment Rate (Seasonally Adjusted)"/>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14:sizeRelV relativeFrom="margin">
              <wp14:pctHeight>0</wp14:pctHeight>
            </wp14:sizeRelV>
          </wp:anchor>
        </w:drawing>
      </w:r>
      <w:r w:rsidRPr="004B2AB4">
        <w:rPr>
          <w:rFonts w:ascii="Calibri" w:hAnsi="Calibri"/>
          <w:color w:val="231F20"/>
          <w:w w:val="105"/>
        </w:rPr>
        <w:t>(Seasonally</w:t>
      </w:r>
      <w:r w:rsidRPr="004B2AB4">
        <w:rPr>
          <w:rFonts w:ascii="Calibri" w:hAnsi="Calibri"/>
          <w:color w:val="231F20"/>
          <w:spacing w:val="52"/>
          <w:w w:val="105"/>
        </w:rPr>
        <w:t xml:space="preserve"> </w:t>
      </w:r>
      <w:r w:rsidRPr="004B2AB4">
        <w:rPr>
          <w:rFonts w:ascii="Calibri" w:hAnsi="Calibri"/>
          <w:color w:val="231F20"/>
          <w:w w:val="105"/>
        </w:rPr>
        <w:t>Adjusted)</w:t>
      </w:r>
    </w:p>
    <w:p w14:paraId="32171FAD" w14:textId="77777777" w:rsidR="00002D76" w:rsidRPr="00041D0F" w:rsidRDefault="00002D76" w:rsidP="00002D76">
      <w:pPr>
        <w:widowControl w:val="0"/>
        <w:spacing w:after="0" w:line="216" w:lineRule="exact"/>
        <w:ind w:left="630" w:right="281"/>
        <w:rPr>
          <w:rFonts w:ascii="Calibri" w:hAnsi="Calibri" w:cs="Calibri"/>
          <w:sz w:val="18"/>
          <w:szCs w:val="18"/>
        </w:rPr>
      </w:pPr>
      <w:r w:rsidRPr="00041D0F">
        <w:rPr>
          <w:rFonts w:ascii="Calibri" w:hAnsi="Calibri"/>
          <w:w w:val="105"/>
          <w:sz w:val="18"/>
        </w:rPr>
        <w:t>Source:</w:t>
      </w:r>
      <w:r w:rsidRPr="00041D0F">
        <w:rPr>
          <w:rFonts w:ascii="Calibri" w:hAnsi="Calibri"/>
          <w:spacing w:val="10"/>
          <w:w w:val="105"/>
          <w:sz w:val="18"/>
        </w:rPr>
        <w:t xml:space="preserve"> </w:t>
      </w:r>
      <w:r>
        <w:rPr>
          <w:rFonts w:ascii="Calibri" w:hAnsi="Calibri"/>
          <w:spacing w:val="10"/>
          <w:w w:val="105"/>
          <w:sz w:val="18"/>
        </w:rPr>
        <w:t xml:space="preserve"> </w:t>
      </w:r>
      <w:r w:rsidRPr="00041D0F">
        <w:rPr>
          <w:rFonts w:ascii="Calibri" w:hAnsi="Calibri"/>
          <w:w w:val="105"/>
          <w:sz w:val="18"/>
        </w:rPr>
        <w:t>U.S.</w:t>
      </w:r>
      <w:r w:rsidRPr="00041D0F">
        <w:rPr>
          <w:rFonts w:ascii="Calibri" w:hAnsi="Calibri"/>
          <w:spacing w:val="10"/>
          <w:w w:val="105"/>
          <w:sz w:val="18"/>
        </w:rPr>
        <w:t xml:space="preserve"> </w:t>
      </w:r>
      <w:r w:rsidRPr="00041D0F">
        <w:rPr>
          <w:rFonts w:ascii="Calibri" w:hAnsi="Calibri"/>
          <w:w w:val="105"/>
          <w:sz w:val="18"/>
        </w:rPr>
        <w:t>Department</w:t>
      </w:r>
      <w:r w:rsidRPr="00041D0F">
        <w:rPr>
          <w:rFonts w:ascii="Calibri" w:hAnsi="Calibri"/>
          <w:spacing w:val="10"/>
          <w:w w:val="105"/>
          <w:sz w:val="18"/>
        </w:rPr>
        <w:t xml:space="preserve"> </w:t>
      </w:r>
      <w:r w:rsidRPr="00041D0F">
        <w:rPr>
          <w:rFonts w:ascii="Calibri" w:hAnsi="Calibri"/>
          <w:w w:val="105"/>
          <w:sz w:val="18"/>
        </w:rPr>
        <w:t>of</w:t>
      </w:r>
      <w:r w:rsidRPr="00041D0F">
        <w:rPr>
          <w:rFonts w:ascii="Calibri" w:hAnsi="Calibri"/>
          <w:spacing w:val="10"/>
          <w:w w:val="105"/>
          <w:sz w:val="18"/>
        </w:rPr>
        <w:t xml:space="preserve"> </w:t>
      </w:r>
      <w:r w:rsidRPr="00041D0F">
        <w:rPr>
          <w:rFonts w:ascii="Calibri" w:hAnsi="Calibri"/>
          <w:spacing w:val="-3"/>
          <w:w w:val="105"/>
          <w:sz w:val="18"/>
        </w:rPr>
        <w:t>Labor,</w:t>
      </w:r>
      <w:r w:rsidRPr="00041D0F">
        <w:rPr>
          <w:rFonts w:ascii="Calibri" w:hAnsi="Calibri"/>
          <w:spacing w:val="10"/>
          <w:w w:val="105"/>
          <w:sz w:val="18"/>
        </w:rPr>
        <w:t xml:space="preserve"> </w:t>
      </w:r>
      <w:r w:rsidRPr="00041D0F">
        <w:rPr>
          <w:rFonts w:ascii="Calibri" w:hAnsi="Calibri"/>
          <w:w w:val="105"/>
          <w:sz w:val="18"/>
        </w:rPr>
        <w:t>Bureau</w:t>
      </w:r>
      <w:r w:rsidRPr="00041D0F">
        <w:rPr>
          <w:rFonts w:ascii="Calibri" w:hAnsi="Calibri"/>
          <w:spacing w:val="10"/>
          <w:w w:val="105"/>
          <w:sz w:val="18"/>
        </w:rPr>
        <w:t xml:space="preserve"> </w:t>
      </w:r>
      <w:r w:rsidRPr="00041D0F">
        <w:rPr>
          <w:rFonts w:ascii="Calibri" w:hAnsi="Calibri"/>
          <w:w w:val="105"/>
          <w:sz w:val="18"/>
        </w:rPr>
        <w:t>of</w:t>
      </w:r>
      <w:r w:rsidRPr="00041D0F">
        <w:rPr>
          <w:rFonts w:ascii="Calibri" w:hAnsi="Calibri"/>
          <w:spacing w:val="10"/>
          <w:w w:val="105"/>
          <w:sz w:val="18"/>
        </w:rPr>
        <w:t xml:space="preserve"> </w:t>
      </w:r>
      <w:r w:rsidRPr="00041D0F">
        <w:rPr>
          <w:rFonts w:ascii="Calibri" w:hAnsi="Calibri"/>
          <w:w w:val="105"/>
          <w:sz w:val="18"/>
        </w:rPr>
        <w:t>Labor</w:t>
      </w:r>
      <w:r w:rsidRPr="00041D0F">
        <w:rPr>
          <w:rFonts w:ascii="Calibri" w:hAnsi="Calibri"/>
          <w:spacing w:val="10"/>
          <w:w w:val="105"/>
          <w:sz w:val="18"/>
        </w:rPr>
        <w:t xml:space="preserve"> </w:t>
      </w:r>
      <w:r w:rsidRPr="00041D0F">
        <w:rPr>
          <w:rFonts w:ascii="Calibri" w:hAnsi="Calibri"/>
          <w:w w:val="105"/>
          <w:sz w:val="18"/>
        </w:rPr>
        <w:t>Statistics,</w:t>
      </w:r>
      <w:r w:rsidRPr="00041D0F">
        <w:rPr>
          <w:rFonts w:ascii="Calibri" w:hAnsi="Calibri"/>
          <w:spacing w:val="10"/>
          <w:w w:val="105"/>
          <w:sz w:val="18"/>
        </w:rPr>
        <w:t xml:space="preserve"> </w:t>
      </w:r>
      <w:r w:rsidRPr="00041D0F">
        <w:rPr>
          <w:rFonts w:ascii="Calibri" w:hAnsi="Calibri"/>
          <w:w w:val="105"/>
          <w:sz w:val="18"/>
        </w:rPr>
        <w:t>Local</w:t>
      </w:r>
      <w:r w:rsidRPr="00041D0F">
        <w:rPr>
          <w:rFonts w:ascii="Calibri" w:hAnsi="Calibri"/>
          <w:spacing w:val="10"/>
          <w:w w:val="105"/>
          <w:sz w:val="18"/>
        </w:rPr>
        <w:t xml:space="preserve"> </w:t>
      </w:r>
      <w:r w:rsidRPr="00041D0F">
        <w:rPr>
          <w:rFonts w:ascii="Calibri" w:hAnsi="Calibri"/>
          <w:w w:val="105"/>
          <w:sz w:val="18"/>
        </w:rPr>
        <w:t>Area</w:t>
      </w:r>
      <w:r w:rsidRPr="00041D0F">
        <w:rPr>
          <w:rFonts w:ascii="Calibri" w:hAnsi="Calibri"/>
          <w:spacing w:val="10"/>
          <w:w w:val="105"/>
          <w:sz w:val="18"/>
        </w:rPr>
        <w:t xml:space="preserve"> </w:t>
      </w:r>
      <w:r w:rsidRPr="00041D0F">
        <w:rPr>
          <w:rFonts w:ascii="Calibri" w:hAnsi="Calibri"/>
          <w:w w:val="105"/>
          <w:sz w:val="18"/>
        </w:rPr>
        <w:t>Unemployment</w:t>
      </w:r>
      <w:r w:rsidRPr="00041D0F">
        <w:rPr>
          <w:rFonts w:ascii="Calibri" w:hAnsi="Calibri"/>
          <w:spacing w:val="10"/>
          <w:w w:val="105"/>
          <w:sz w:val="18"/>
        </w:rPr>
        <w:t xml:space="preserve"> </w:t>
      </w:r>
      <w:r w:rsidRPr="00041D0F">
        <w:rPr>
          <w:rFonts w:ascii="Calibri" w:hAnsi="Calibri"/>
          <w:w w:val="105"/>
          <w:sz w:val="18"/>
        </w:rPr>
        <w:t>Statistics</w:t>
      </w:r>
      <w:r w:rsidRPr="00041D0F">
        <w:rPr>
          <w:rFonts w:ascii="Calibri" w:hAnsi="Calibri"/>
          <w:spacing w:val="10"/>
          <w:w w:val="105"/>
          <w:sz w:val="18"/>
        </w:rPr>
        <w:t xml:space="preserve"> </w:t>
      </w:r>
      <w:r w:rsidRPr="00041D0F">
        <w:rPr>
          <w:rFonts w:ascii="Calibri" w:hAnsi="Calibri"/>
          <w:w w:val="105"/>
          <w:sz w:val="18"/>
        </w:rPr>
        <w:t>Program,</w:t>
      </w:r>
      <w:r w:rsidRPr="00041D0F">
        <w:rPr>
          <w:rFonts w:ascii="Calibri" w:hAnsi="Calibri"/>
          <w:spacing w:val="10"/>
          <w:w w:val="105"/>
          <w:sz w:val="18"/>
        </w:rPr>
        <w:t xml:space="preserve"> </w:t>
      </w:r>
      <w:r w:rsidRPr="00041D0F">
        <w:rPr>
          <w:rFonts w:ascii="Calibri" w:hAnsi="Calibri"/>
          <w:w w:val="105"/>
          <w:sz w:val="18"/>
        </w:rPr>
        <w:t>in</w:t>
      </w:r>
      <w:r w:rsidRPr="00041D0F">
        <w:rPr>
          <w:rFonts w:ascii="Calibri" w:hAnsi="Calibri"/>
          <w:spacing w:val="10"/>
          <w:w w:val="105"/>
          <w:sz w:val="18"/>
        </w:rPr>
        <w:t xml:space="preserve"> </w:t>
      </w:r>
      <w:r w:rsidRPr="00041D0F">
        <w:rPr>
          <w:rFonts w:ascii="Calibri" w:hAnsi="Calibri"/>
          <w:w w:val="105"/>
          <w:sz w:val="18"/>
        </w:rPr>
        <w:t>cooperation</w:t>
      </w:r>
      <w:r w:rsidRPr="00041D0F">
        <w:rPr>
          <w:rFonts w:ascii="Calibri" w:hAnsi="Calibri"/>
          <w:spacing w:val="10"/>
          <w:w w:val="105"/>
          <w:sz w:val="18"/>
        </w:rPr>
        <w:t xml:space="preserve"> </w:t>
      </w:r>
      <w:r w:rsidRPr="00041D0F">
        <w:rPr>
          <w:rFonts w:ascii="Calibri" w:hAnsi="Calibri"/>
          <w:w w:val="105"/>
          <w:sz w:val="18"/>
        </w:rPr>
        <w:t>with</w:t>
      </w:r>
      <w:r w:rsidRPr="00041D0F">
        <w:rPr>
          <w:rFonts w:ascii="Calibri" w:hAnsi="Calibri"/>
          <w:spacing w:val="-40"/>
          <w:w w:val="105"/>
          <w:sz w:val="18"/>
        </w:rPr>
        <w:t xml:space="preserve"> </w:t>
      </w:r>
      <w:r w:rsidRPr="00041D0F">
        <w:rPr>
          <w:rFonts w:ascii="Calibri" w:hAnsi="Calibri"/>
          <w:w w:val="105"/>
          <w:sz w:val="18"/>
        </w:rPr>
        <w:t>the Florida Department of Economic Opportunity, Bureau of Labor Market Statistics, December 2017.</w:t>
      </w:r>
    </w:p>
    <w:p w14:paraId="3C26F801" w14:textId="77777777" w:rsidR="00002D76" w:rsidRDefault="00002D76" w:rsidP="00002D76">
      <w:pPr>
        <w:widowControl w:val="0"/>
        <w:spacing w:after="0" w:line="266" w:lineRule="exact"/>
        <w:ind w:left="468" w:right="468"/>
        <w:rPr>
          <w:rFonts w:ascii="Calibri" w:hAnsi="Calibri"/>
        </w:rPr>
      </w:pPr>
    </w:p>
    <w:p w14:paraId="3E051521" w14:textId="77777777" w:rsidR="00002D76" w:rsidRPr="00EA7458" w:rsidRDefault="00002D76" w:rsidP="00002D76">
      <w:pPr>
        <w:widowControl w:val="0"/>
        <w:spacing w:after="0" w:line="266" w:lineRule="exact"/>
        <w:ind w:right="468"/>
        <w:rPr>
          <w:rFonts w:ascii="Calibri" w:hAnsi="Calibri" w:cs="Calibri"/>
          <w:sz w:val="18"/>
          <w:szCs w:val="18"/>
        </w:rPr>
        <w:sectPr w:rsidR="00002D76" w:rsidRPr="00EA7458">
          <w:pgSz w:w="12240" w:h="15840"/>
          <w:pgMar w:top="1620" w:right="900" w:bottom="820" w:left="900" w:header="812" w:footer="624" w:gutter="0"/>
          <w:cols w:space="720"/>
        </w:sectPr>
      </w:pPr>
    </w:p>
    <w:p w14:paraId="640879DD" w14:textId="77777777" w:rsidR="00002D76" w:rsidRPr="00EA7458" w:rsidRDefault="00002D76" w:rsidP="00002D76">
      <w:pPr>
        <w:widowControl w:val="0"/>
        <w:spacing w:before="2" w:after="0" w:line="240" w:lineRule="auto"/>
        <w:rPr>
          <w:rFonts w:ascii="Calibri" w:hAnsi="Calibri" w:cs="Calibri"/>
          <w:sz w:val="14"/>
          <w:szCs w:val="14"/>
        </w:rPr>
      </w:pPr>
    </w:p>
    <w:p w14:paraId="3437FC30" w14:textId="194246DF" w:rsidR="00002D76" w:rsidRPr="000279AC" w:rsidRDefault="00002D76" w:rsidP="00D63204">
      <w:pPr>
        <w:widowControl w:val="0"/>
        <w:spacing w:before="58" w:line="264" w:lineRule="exact"/>
        <w:ind w:left="107" w:right="128"/>
        <w:rPr>
          <w:rFonts w:ascii="Calibri" w:hAnsi="Calibri"/>
          <w:color w:val="231F20"/>
          <w:w w:val="105"/>
        </w:rPr>
      </w:pPr>
      <w:bookmarkStart w:id="26" w:name="_bookmark15"/>
      <w:bookmarkEnd w:id="26"/>
      <w:r w:rsidRPr="00A40053">
        <w:rPr>
          <w:rFonts w:ascii="Calibri" w:hAnsi="Calibri"/>
          <w:color w:val="231F20"/>
          <w:w w:val="105"/>
        </w:rPr>
        <w:t>Florida’s</w:t>
      </w:r>
      <w:r w:rsidRPr="00A40053">
        <w:rPr>
          <w:rFonts w:ascii="Calibri" w:hAnsi="Calibri"/>
          <w:color w:val="231F20"/>
          <w:spacing w:val="17"/>
          <w:w w:val="105"/>
        </w:rPr>
        <w:t xml:space="preserve"> </w:t>
      </w:r>
      <w:r w:rsidRPr="00A40053">
        <w:rPr>
          <w:rFonts w:ascii="Calibri" w:hAnsi="Calibri"/>
          <w:color w:val="231F20"/>
          <w:w w:val="105"/>
        </w:rPr>
        <w:t>labor</w:t>
      </w:r>
      <w:r w:rsidRPr="00A40053">
        <w:rPr>
          <w:rFonts w:ascii="Calibri" w:hAnsi="Calibri"/>
          <w:color w:val="231F20"/>
          <w:spacing w:val="17"/>
          <w:w w:val="105"/>
        </w:rPr>
        <w:t xml:space="preserve"> </w:t>
      </w:r>
      <w:r w:rsidRPr="00A40053">
        <w:rPr>
          <w:rFonts w:ascii="Calibri" w:hAnsi="Calibri"/>
          <w:color w:val="231F20"/>
          <w:w w:val="105"/>
        </w:rPr>
        <w:t>force</w:t>
      </w:r>
      <w:r w:rsidRPr="00A40053">
        <w:rPr>
          <w:rFonts w:ascii="Calibri" w:hAnsi="Calibri"/>
          <w:color w:val="231F20"/>
          <w:spacing w:val="17"/>
          <w:w w:val="105"/>
        </w:rPr>
        <w:t xml:space="preserve"> </w:t>
      </w:r>
      <w:r w:rsidRPr="00A40053">
        <w:rPr>
          <w:rFonts w:ascii="Calibri" w:hAnsi="Calibri"/>
          <w:color w:val="231F20"/>
          <w:w w:val="105"/>
        </w:rPr>
        <w:t>increas</w:t>
      </w:r>
      <w:r w:rsidR="00F123B0">
        <w:rPr>
          <w:rFonts w:ascii="Calibri" w:hAnsi="Calibri"/>
          <w:color w:val="231F20"/>
          <w:w w:val="105"/>
        </w:rPr>
        <w:t>ed</w:t>
      </w:r>
      <w:r w:rsidRPr="00A40053">
        <w:rPr>
          <w:rFonts w:ascii="Calibri" w:hAnsi="Calibri"/>
          <w:color w:val="231F20"/>
          <w:spacing w:val="17"/>
          <w:w w:val="105"/>
        </w:rPr>
        <w:t xml:space="preserve"> </w:t>
      </w:r>
      <w:r w:rsidRPr="00A40053">
        <w:rPr>
          <w:rFonts w:ascii="Calibri" w:hAnsi="Calibri"/>
          <w:color w:val="231F20"/>
          <w:w w:val="105"/>
        </w:rPr>
        <w:t xml:space="preserve">steadily </w:t>
      </w:r>
      <w:r w:rsidR="00F123B0">
        <w:rPr>
          <w:rFonts w:ascii="Calibri" w:hAnsi="Calibri"/>
          <w:color w:val="231F20"/>
          <w:w w:val="105"/>
        </w:rPr>
        <w:t>after</w:t>
      </w:r>
      <w:r w:rsidRPr="00A40053">
        <w:rPr>
          <w:rFonts w:ascii="Calibri" w:hAnsi="Calibri"/>
          <w:color w:val="231F20"/>
          <w:w w:val="105"/>
        </w:rPr>
        <w:t xml:space="preserve"> reaching its low point in November 2009,</w:t>
      </w:r>
      <w:r w:rsidRPr="00A40053">
        <w:rPr>
          <w:rFonts w:ascii="Calibri" w:hAnsi="Calibri"/>
          <w:color w:val="231F20"/>
          <w:spacing w:val="17"/>
          <w:w w:val="105"/>
        </w:rPr>
        <w:t xml:space="preserve"> </w:t>
      </w:r>
      <w:r w:rsidRPr="00A40053">
        <w:rPr>
          <w:rFonts w:ascii="Calibri" w:hAnsi="Calibri"/>
          <w:color w:val="231F20"/>
          <w:w w:val="105"/>
        </w:rPr>
        <w:t>declin</w:t>
      </w:r>
      <w:r w:rsidR="00F123B0">
        <w:rPr>
          <w:rFonts w:ascii="Calibri" w:hAnsi="Calibri"/>
          <w:color w:val="231F20"/>
          <w:w w:val="105"/>
        </w:rPr>
        <w:t>ing</w:t>
      </w:r>
      <w:r w:rsidRPr="00A40053">
        <w:rPr>
          <w:rFonts w:ascii="Calibri" w:hAnsi="Calibri"/>
          <w:color w:val="231F20"/>
          <w:spacing w:val="17"/>
          <w:w w:val="105"/>
        </w:rPr>
        <w:t xml:space="preserve"> </w:t>
      </w:r>
      <w:r w:rsidR="000D077A">
        <w:rPr>
          <w:rFonts w:ascii="Calibri" w:hAnsi="Calibri"/>
          <w:color w:val="231F20"/>
          <w:spacing w:val="17"/>
          <w:w w:val="105"/>
        </w:rPr>
        <w:t xml:space="preserve">slightly </w:t>
      </w:r>
      <w:r w:rsidR="000D077A" w:rsidRPr="00A40053">
        <w:rPr>
          <w:rFonts w:ascii="Calibri" w:hAnsi="Calibri"/>
          <w:color w:val="231F20"/>
          <w:spacing w:val="17"/>
          <w:w w:val="105"/>
        </w:rPr>
        <w:t>upon</w:t>
      </w:r>
      <w:r w:rsidRPr="00A40053">
        <w:rPr>
          <w:rFonts w:ascii="Calibri" w:hAnsi="Calibri"/>
          <w:color w:val="231F20"/>
          <w:spacing w:val="17"/>
          <w:w w:val="105"/>
        </w:rPr>
        <w:t xml:space="preserve"> </w:t>
      </w:r>
      <w:r w:rsidRPr="00A40053">
        <w:rPr>
          <w:rFonts w:ascii="Calibri" w:hAnsi="Calibri"/>
          <w:color w:val="231F20"/>
          <w:w w:val="105"/>
        </w:rPr>
        <w:t>reaching</w:t>
      </w:r>
      <w:r w:rsidRPr="00A40053">
        <w:rPr>
          <w:rFonts w:ascii="Calibri" w:hAnsi="Calibri"/>
          <w:color w:val="231F20"/>
          <w:spacing w:val="17"/>
          <w:w w:val="105"/>
        </w:rPr>
        <w:t xml:space="preserve"> </w:t>
      </w:r>
      <w:r w:rsidRPr="00A40053">
        <w:rPr>
          <w:rFonts w:ascii="Calibri" w:hAnsi="Calibri"/>
          <w:color w:val="231F20"/>
          <w:w w:val="105"/>
        </w:rPr>
        <w:t>a</w:t>
      </w:r>
      <w:r w:rsidRPr="00A40053">
        <w:rPr>
          <w:rFonts w:ascii="Calibri" w:hAnsi="Calibri"/>
          <w:color w:val="231F20"/>
          <w:spacing w:val="17"/>
          <w:w w:val="105"/>
        </w:rPr>
        <w:t xml:space="preserve"> </w:t>
      </w:r>
      <w:r w:rsidRPr="00A40053">
        <w:rPr>
          <w:rFonts w:ascii="Calibri" w:hAnsi="Calibri"/>
          <w:color w:val="231F20"/>
          <w:w w:val="105"/>
        </w:rPr>
        <w:t>peak</w:t>
      </w:r>
      <w:r w:rsidRPr="00A40053">
        <w:rPr>
          <w:rFonts w:ascii="Calibri" w:hAnsi="Calibri"/>
          <w:color w:val="231F20"/>
          <w:spacing w:val="17"/>
          <w:w w:val="105"/>
        </w:rPr>
        <w:t xml:space="preserve"> </w:t>
      </w:r>
      <w:r w:rsidRPr="00A40053">
        <w:rPr>
          <w:rFonts w:ascii="Calibri" w:hAnsi="Calibri"/>
          <w:color w:val="231F20"/>
          <w:w w:val="105"/>
        </w:rPr>
        <w:t>in May 2017 (10,147,870)</w:t>
      </w:r>
      <w:r w:rsidR="005E7C49">
        <w:rPr>
          <w:rFonts w:ascii="Calibri" w:hAnsi="Calibri"/>
          <w:color w:val="231F20"/>
          <w:w w:val="105"/>
        </w:rPr>
        <w:t xml:space="preserve">. </w:t>
      </w:r>
      <w:r w:rsidR="00C64A81">
        <w:rPr>
          <w:rFonts w:ascii="Calibri" w:hAnsi="Calibri"/>
          <w:color w:val="231F20"/>
          <w:w w:val="105"/>
        </w:rPr>
        <w:t>T</w:t>
      </w:r>
      <w:r w:rsidRPr="00A40053">
        <w:rPr>
          <w:rFonts w:ascii="Calibri" w:hAnsi="Calibri"/>
          <w:color w:val="231F20"/>
          <w:w w:val="105"/>
        </w:rPr>
        <w:t>he</w:t>
      </w:r>
      <w:r w:rsidRPr="00A40053">
        <w:rPr>
          <w:rFonts w:ascii="Calibri" w:hAnsi="Calibri"/>
          <w:color w:val="231F20"/>
          <w:spacing w:val="14"/>
          <w:w w:val="105"/>
        </w:rPr>
        <w:t xml:space="preserve"> </w:t>
      </w:r>
      <w:r w:rsidRPr="00A40053">
        <w:rPr>
          <w:rFonts w:ascii="Calibri" w:hAnsi="Calibri"/>
          <w:color w:val="231F20"/>
          <w:w w:val="105"/>
        </w:rPr>
        <w:t>number</w:t>
      </w:r>
      <w:r w:rsidRPr="00A40053">
        <w:rPr>
          <w:rFonts w:ascii="Calibri" w:hAnsi="Calibri"/>
          <w:color w:val="231F20"/>
          <w:spacing w:val="14"/>
          <w:w w:val="105"/>
        </w:rPr>
        <w:t xml:space="preserve"> </w:t>
      </w:r>
      <w:r w:rsidRPr="00A40053">
        <w:rPr>
          <w:rFonts w:ascii="Calibri" w:hAnsi="Calibri"/>
          <w:color w:val="231F20"/>
          <w:w w:val="105"/>
        </w:rPr>
        <w:t>of</w:t>
      </w:r>
      <w:r w:rsidRPr="00A40053">
        <w:rPr>
          <w:rFonts w:ascii="Calibri" w:hAnsi="Calibri"/>
          <w:color w:val="231F20"/>
          <w:spacing w:val="14"/>
          <w:w w:val="105"/>
        </w:rPr>
        <w:t xml:space="preserve"> </w:t>
      </w:r>
      <w:r w:rsidRPr="00A40053">
        <w:rPr>
          <w:rFonts w:ascii="Calibri" w:hAnsi="Calibri"/>
          <w:color w:val="231F20"/>
          <w:w w:val="105"/>
        </w:rPr>
        <w:t>unemployed</w:t>
      </w:r>
      <w:r w:rsidRPr="00A40053">
        <w:rPr>
          <w:rFonts w:ascii="Calibri" w:hAnsi="Calibri"/>
          <w:color w:val="231F20"/>
          <w:spacing w:val="14"/>
          <w:w w:val="105"/>
        </w:rPr>
        <w:t xml:space="preserve"> </w:t>
      </w:r>
      <w:r w:rsidRPr="00A40053">
        <w:rPr>
          <w:rFonts w:ascii="Calibri" w:hAnsi="Calibri"/>
          <w:color w:val="231F20"/>
          <w:w w:val="105"/>
        </w:rPr>
        <w:t>persons</w:t>
      </w:r>
      <w:r w:rsidRPr="00A40053">
        <w:rPr>
          <w:rFonts w:ascii="Calibri" w:hAnsi="Calibri"/>
          <w:color w:val="231F20"/>
          <w:spacing w:val="14"/>
          <w:w w:val="105"/>
        </w:rPr>
        <w:t xml:space="preserve"> generally </w:t>
      </w:r>
      <w:r w:rsidRPr="00A40053">
        <w:rPr>
          <w:rFonts w:ascii="Calibri" w:hAnsi="Calibri"/>
          <w:color w:val="231F20"/>
          <w:w w:val="105"/>
        </w:rPr>
        <w:t>has</w:t>
      </w:r>
      <w:r w:rsidRPr="00A40053">
        <w:rPr>
          <w:rFonts w:ascii="Calibri" w:hAnsi="Calibri"/>
          <w:color w:val="231F20"/>
          <w:spacing w:val="14"/>
          <w:w w:val="105"/>
        </w:rPr>
        <w:t xml:space="preserve"> </w:t>
      </w:r>
      <w:r w:rsidRPr="00A40053">
        <w:rPr>
          <w:rFonts w:ascii="Calibri" w:hAnsi="Calibri"/>
          <w:color w:val="231F20"/>
          <w:w w:val="105"/>
        </w:rPr>
        <w:t>been</w:t>
      </w:r>
      <w:r w:rsidRPr="00A40053">
        <w:rPr>
          <w:rFonts w:ascii="Calibri" w:hAnsi="Calibri"/>
          <w:color w:val="231F20"/>
          <w:spacing w:val="14"/>
          <w:w w:val="105"/>
        </w:rPr>
        <w:t xml:space="preserve"> </w:t>
      </w:r>
      <w:r w:rsidRPr="00A40053">
        <w:rPr>
          <w:rFonts w:ascii="Calibri" w:hAnsi="Calibri"/>
          <w:color w:val="231F20"/>
          <w:w w:val="105"/>
        </w:rPr>
        <w:t>declining</w:t>
      </w:r>
      <w:r w:rsidRPr="00A40053">
        <w:rPr>
          <w:rFonts w:ascii="Calibri" w:hAnsi="Calibri"/>
          <w:color w:val="231F20"/>
          <w:spacing w:val="14"/>
          <w:w w:val="105"/>
        </w:rPr>
        <w:t xml:space="preserve"> </w:t>
      </w:r>
      <w:r w:rsidRPr="00A40053">
        <w:rPr>
          <w:rFonts w:ascii="Calibri" w:hAnsi="Calibri"/>
          <w:color w:val="231F20"/>
          <w:w w:val="105"/>
        </w:rPr>
        <w:t>since</w:t>
      </w:r>
      <w:r w:rsidRPr="00A40053">
        <w:rPr>
          <w:rFonts w:ascii="Calibri" w:hAnsi="Calibri"/>
          <w:color w:val="231F20"/>
          <w:spacing w:val="14"/>
          <w:w w:val="105"/>
        </w:rPr>
        <w:t xml:space="preserve"> </w:t>
      </w:r>
      <w:r w:rsidRPr="00A40053">
        <w:rPr>
          <w:rFonts w:ascii="Calibri" w:hAnsi="Calibri"/>
          <w:color w:val="231F20"/>
          <w:w w:val="105"/>
        </w:rPr>
        <w:t>reaching a peak in January 2010</w:t>
      </w:r>
      <w:r w:rsidRPr="00A40053">
        <w:rPr>
          <w:rFonts w:ascii="Calibri" w:hAnsi="Calibri"/>
          <w:color w:val="231F20"/>
          <w:spacing w:val="14"/>
          <w:w w:val="105"/>
        </w:rPr>
        <w:t xml:space="preserve"> </w:t>
      </w:r>
      <w:r w:rsidRPr="00A40053">
        <w:rPr>
          <w:rFonts w:ascii="Calibri" w:hAnsi="Calibri"/>
          <w:color w:val="231F20"/>
          <w:w w:val="105"/>
        </w:rPr>
        <w:t>(November 2017</w:t>
      </w:r>
      <w:r w:rsidRPr="00A40053">
        <w:rPr>
          <w:rFonts w:ascii="Calibri" w:hAnsi="Calibri"/>
          <w:color w:val="231F20"/>
          <w:spacing w:val="8"/>
          <w:w w:val="105"/>
        </w:rPr>
        <w:t xml:space="preserve"> </w:t>
      </w:r>
      <w:r w:rsidRPr="00A40053">
        <w:rPr>
          <w:rFonts w:ascii="Calibri" w:hAnsi="Calibri"/>
          <w:color w:val="231F20"/>
          <w:w w:val="105"/>
        </w:rPr>
        <w:t>unemployed</w:t>
      </w:r>
      <w:r w:rsidRPr="00A40053">
        <w:rPr>
          <w:rFonts w:ascii="Calibri" w:hAnsi="Calibri"/>
          <w:color w:val="231F20"/>
          <w:spacing w:val="24"/>
          <w:w w:val="105"/>
        </w:rPr>
        <w:t xml:space="preserve"> </w:t>
      </w:r>
      <w:r w:rsidRPr="00A40053">
        <w:rPr>
          <w:rFonts w:ascii="Calibri" w:hAnsi="Calibri"/>
          <w:color w:val="231F20"/>
          <w:w w:val="105"/>
        </w:rPr>
        <w:t>persons</w:t>
      </w:r>
      <w:r w:rsidRPr="00A40053">
        <w:rPr>
          <w:rFonts w:ascii="Calibri" w:hAnsi="Calibri"/>
          <w:color w:val="231F20"/>
          <w:spacing w:val="24"/>
          <w:w w:val="105"/>
        </w:rPr>
        <w:t xml:space="preserve"> </w:t>
      </w:r>
      <w:r w:rsidRPr="00A40053">
        <w:rPr>
          <w:rFonts w:ascii="Calibri" w:hAnsi="Calibri"/>
          <w:color w:val="231F20"/>
          <w:w w:val="105"/>
        </w:rPr>
        <w:t>=</w:t>
      </w:r>
      <w:r w:rsidRPr="00A40053">
        <w:rPr>
          <w:rFonts w:ascii="Calibri" w:hAnsi="Calibri"/>
          <w:color w:val="231F20"/>
          <w:spacing w:val="24"/>
          <w:w w:val="105"/>
        </w:rPr>
        <w:t xml:space="preserve"> </w:t>
      </w:r>
      <w:r w:rsidRPr="00A40053">
        <w:rPr>
          <w:rFonts w:ascii="Calibri" w:hAnsi="Calibri"/>
          <w:color w:val="231F20"/>
          <w:spacing w:val="-4"/>
          <w:w w:val="105"/>
        </w:rPr>
        <w:t>368,578)</w:t>
      </w:r>
      <w:r w:rsidR="005E7C49">
        <w:rPr>
          <w:rFonts w:ascii="Calibri" w:hAnsi="Calibri"/>
          <w:color w:val="231F20"/>
          <w:spacing w:val="-4"/>
          <w:w w:val="105"/>
        </w:rPr>
        <w:t xml:space="preserve">. </w:t>
      </w:r>
      <w:r w:rsidRPr="00A40053">
        <w:rPr>
          <w:rFonts w:ascii="Calibri" w:hAnsi="Calibri"/>
          <w:color w:val="231F20"/>
          <w:w w:val="105"/>
        </w:rPr>
        <w:t>The</w:t>
      </w:r>
      <w:r w:rsidRPr="00A40053">
        <w:rPr>
          <w:rFonts w:ascii="Calibri" w:hAnsi="Calibri"/>
          <w:color w:val="231F20"/>
          <w:spacing w:val="24"/>
          <w:w w:val="105"/>
        </w:rPr>
        <w:t xml:space="preserve"> </w:t>
      </w:r>
      <w:r w:rsidRPr="00A40053">
        <w:rPr>
          <w:rFonts w:ascii="Calibri" w:hAnsi="Calibri"/>
          <w:color w:val="231F20"/>
          <w:w w:val="105"/>
        </w:rPr>
        <w:t>number</w:t>
      </w:r>
      <w:r w:rsidRPr="00A40053">
        <w:rPr>
          <w:rFonts w:ascii="Calibri" w:hAnsi="Calibri"/>
          <w:color w:val="231F20"/>
          <w:spacing w:val="24"/>
          <w:w w:val="105"/>
        </w:rPr>
        <w:t xml:space="preserve"> </w:t>
      </w:r>
      <w:r w:rsidRPr="00A40053">
        <w:rPr>
          <w:rFonts w:ascii="Calibri" w:hAnsi="Calibri"/>
          <w:color w:val="231F20"/>
          <w:w w:val="105"/>
        </w:rPr>
        <w:t>of</w:t>
      </w:r>
      <w:r w:rsidRPr="00A40053">
        <w:rPr>
          <w:rFonts w:ascii="Calibri" w:hAnsi="Calibri"/>
          <w:color w:val="231F20"/>
          <w:spacing w:val="24"/>
          <w:w w:val="105"/>
        </w:rPr>
        <w:t xml:space="preserve"> </w:t>
      </w:r>
      <w:r w:rsidRPr="00CB2B82">
        <w:rPr>
          <w:rFonts w:ascii="Calibri" w:hAnsi="Calibri"/>
          <w:color w:val="231F20"/>
          <w:w w:val="105"/>
        </w:rPr>
        <w:t>employed</w:t>
      </w:r>
      <w:r w:rsidRPr="00CB2B82">
        <w:rPr>
          <w:rFonts w:ascii="Calibri" w:hAnsi="Calibri"/>
          <w:color w:val="231F20"/>
          <w:spacing w:val="24"/>
          <w:w w:val="105"/>
        </w:rPr>
        <w:t xml:space="preserve"> </w:t>
      </w:r>
      <w:r w:rsidRPr="000279AC">
        <w:rPr>
          <w:rFonts w:ascii="Calibri" w:hAnsi="Calibri"/>
          <w:color w:val="231F20"/>
          <w:w w:val="105"/>
        </w:rPr>
        <w:t>persons</w:t>
      </w:r>
      <w:r w:rsidRPr="000279AC">
        <w:rPr>
          <w:rFonts w:ascii="Calibri" w:hAnsi="Calibri"/>
          <w:color w:val="231F20"/>
          <w:spacing w:val="24"/>
          <w:w w:val="105"/>
        </w:rPr>
        <w:t xml:space="preserve"> </w:t>
      </w:r>
      <w:r w:rsidRPr="000279AC">
        <w:rPr>
          <w:rFonts w:ascii="Calibri" w:hAnsi="Calibri"/>
          <w:color w:val="231F20"/>
          <w:w w:val="105"/>
        </w:rPr>
        <w:t>has</w:t>
      </w:r>
      <w:r w:rsidRPr="000279AC">
        <w:rPr>
          <w:rFonts w:ascii="Calibri" w:hAnsi="Calibri"/>
          <w:color w:val="231F20"/>
          <w:spacing w:val="24"/>
          <w:w w:val="105"/>
        </w:rPr>
        <w:t xml:space="preserve"> </w:t>
      </w:r>
      <w:r w:rsidRPr="000279AC">
        <w:rPr>
          <w:rFonts w:ascii="Calibri" w:hAnsi="Calibri"/>
          <w:color w:val="231F20"/>
          <w:w w:val="105"/>
        </w:rPr>
        <w:t>been</w:t>
      </w:r>
      <w:r w:rsidRPr="000279AC">
        <w:rPr>
          <w:rFonts w:ascii="Calibri" w:hAnsi="Calibri"/>
          <w:color w:val="231F20"/>
          <w:spacing w:val="24"/>
          <w:w w:val="105"/>
        </w:rPr>
        <w:t xml:space="preserve"> </w:t>
      </w:r>
      <w:r w:rsidRPr="000279AC">
        <w:rPr>
          <w:rFonts w:ascii="Calibri" w:hAnsi="Calibri"/>
          <w:color w:val="231F20"/>
          <w:w w:val="105"/>
        </w:rPr>
        <w:t>increasing</w:t>
      </w:r>
      <w:r w:rsidRPr="000279AC">
        <w:rPr>
          <w:rFonts w:ascii="Calibri" w:hAnsi="Calibri"/>
          <w:color w:val="231F20"/>
          <w:spacing w:val="24"/>
          <w:w w:val="105"/>
        </w:rPr>
        <w:t xml:space="preserve"> </w:t>
      </w:r>
      <w:r w:rsidRPr="000279AC">
        <w:rPr>
          <w:rFonts w:ascii="Calibri" w:hAnsi="Calibri"/>
          <w:color w:val="231F20"/>
          <w:w w:val="105"/>
        </w:rPr>
        <w:t>since</w:t>
      </w:r>
      <w:r w:rsidRPr="000279AC">
        <w:rPr>
          <w:rFonts w:ascii="Calibri" w:hAnsi="Calibri"/>
          <w:color w:val="231F20"/>
          <w:spacing w:val="24"/>
          <w:w w:val="105"/>
        </w:rPr>
        <w:t xml:space="preserve"> </w:t>
      </w:r>
      <w:r w:rsidRPr="000279AC">
        <w:rPr>
          <w:rFonts w:ascii="Calibri" w:hAnsi="Calibri"/>
          <w:color w:val="231F20"/>
          <w:w w:val="105"/>
        </w:rPr>
        <w:t>November</w:t>
      </w:r>
      <w:r w:rsidRPr="000279AC">
        <w:rPr>
          <w:rFonts w:ascii="Calibri" w:hAnsi="Calibri"/>
          <w:color w:val="231F20"/>
          <w:spacing w:val="-37"/>
          <w:w w:val="105"/>
        </w:rPr>
        <w:t xml:space="preserve"> </w:t>
      </w:r>
      <w:r w:rsidRPr="000279AC">
        <w:rPr>
          <w:rFonts w:ascii="Calibri" w:hAnsi="Calibri"/>
          <w:color w:val="231F20"/>
          <w:w w:val="105"/>
        </w:rPr>
        <w:t>2009,</w:t>
      </w:r>
      <w:r w:rsidRPr="000279AC">
        <w:rPr>
          <w:rFonts w:ascii="Calibri" w:hAnsi="Calibri"/>
          <w:color w:val="231F20"/>
          <w:spacing w:val="13"/>
          <w:w w:val="105"/>
        </w:rPr>
        <w:t xml:space="preserve"> </w:t>
      </w:r>
      <w:r w:rsidRPr="000279AC">
        <w:rPr>
          <w:rFonts w:ascii="Calibri" w:hAnsi="Calibri"/>
          <w:color w:val="231F20"/>
          <w:w w:val="105"/>
        </w:rPr>
        <w:t>although</w:t>
      </w:r>
      <w:r w:rsidRPr="000279AC">
        <w:rPr>
          <w:rFonts w:ascii="Calibri" w:hAnsi="Calibri"/>
          <w:color w:val="231F20"/>
          <w:spacing w:val="13"/>
          <w:w w:val="105"/>
        </w:rPr>
        <w:t xml:space="preserve"> </w:t>
      </w:r>
      <w:r w:rsidRPr="000279AC">
        <w:rPr>
          <w:rFonts w:ascii="Calibri" w:hAnsi="Calibri"/>
          <w:color w:val="231F20"/>
          <w:w w:val="105"/>
        </w:rPr>
        <w:t>there</w:t>
      </w:r>
      <w:r w:rsidRPr="000279AC">
        <w:rPr>
          <w:rFonts w:ascii="Calibri" w:hAnsi="Calibri"/>
          <w:color w:val="231F20"/>
          <w:spacing w:val="13"/>
          <w:w w:val="105"/>
        </w:rPr>
        <w:t xml:space="preserve"> </w:t>
      </w:r>
      <w:r w:rsidRPr="000279AC">
        <w:rPr>
          <w:rFonts w:ascii="Calibri" w:hAnsi="Calibri"/>
          <w:color w:val="231F20"/>
          <w:w w:val="105"/>
        </w:rPr>
        <w:t>was</w:t>
      </w:r>
      <w:r w:rsidRPr="000279AC">
        <w:rPr>
          <w:rFonts w:ascii="Calibri" w:hAnsi="Calibri"/>
          <w:color w:val="231F20"/>
          <w:spacing w:val="13"/>
          <w:w w:val="105"/>
        </w:rPr>
        <w:t xml:space="preserve"> </w:t>
      </w:r>
      <w:r w:rsidRPr="000279AC">
        <w:rPr>
          <w:rFonts w:ascii="Calibri" w:hAnsi="Calibri"/>
          <w:color w:val="231F20"/>
          <w:w w:val="105"/>
        </w:rPr>
        <w:t>a</w:t>
      </w:r>
      <w:r w:rsidRPr="000279AC">
        <w:rPr>
          <w:rFonts w:ascii="Calibri" w:hAnsi="Calibri"/>
          <w:color w:val="231F20"/>
          <w:spacing w:val="13"/>
          <w:w w:val="105"/>
        </w:rPr>
        <w:t xml:space="preserve"> </w:t>
      </w:r>
      <w:r w:rsidRPr="000279AC">
        <w:rPr>
          <w:rFonts w:ascii="Calibri" w:hAnsi="Calibri"/>
          <w:color w:val="231F20"/>
          <w:w w:val="105"/>
        </w:rPr>
        <w:t>dip</w:t>
      </w:r>
      <w:r w:rsidRPr="000279AC">
        <w:rPr>
          <w:rFonts w:ascii="Calibri" w:hAnsi="Calibri"/>
          <w:color w:val="231F20"/>
          <w:spacing w:val="13"/>
          <w:w w:val="105"/>
        </w:rPr>
        <w:t xml:space="preserve"> </w:t>
      </w:r>
      <w:r w:rsidRPr="000279AC">
        <w:rPr>
          <w:rFonts w:ascii="Calibri" w:hAnsi="Calibri"/>
          <w:color w:val="231F20"/>
          <w:w w:val="105"/>
        </w:rPr>
        <w:t>in</w:t>
      </w:r>
      <w:r w:rsidRPr="000279AC">
        <w:rPr>
          <w:rFonts w:ascii="Calibri" w:hAnsi="Calibri"/>
          <w:color w:val="231F20"/>
          <w:spacing w:val="13"/>
          <w:w w:val="105"/>
        </w:rPr>
        <w:t xml:space="preserve"> July </w:t>
      </w:r>
      <w:r w:rsidR="000D077A">
        <w:rPr>
          <w:rFonts w:ascii="Calibri" w:hAnsi="Calibri"/>
          <w:color w:val="231F20"/>
          <w:spacing w:val="13"/>
          <w:w w:val="105"/>
        </w:rPr>
        <w:t>–</w:t>
      </w:r>
      <w:r w:rsidRPr="000279AC">
        <w:rPr>
          <w:rFonts w:ascii="Calibri" w:hAnsi="Calibri"/>
          <w:color w:val="231F20"/>
          <w:spacing w:val="13"/>
          <w:w w:val="105"/>
        </w:rPr>
        <w:t xml:space="preserve"> </w:t>
      </w:r>
      <w:r w:rsidRPr="000279AC">
        <w:rPr>
          <w:rFonts w:ascii="Calibri" w:hAnsi="Calibri"/>
          <w:color w:val="231F20"/>
          <w:w w:val="105"/>
        </w:rPr>
        <w:t>August 2017</w:t>
      </w:r>
      <w:r w:rsidR="005E7C49">
        <w:rPr>
          <w:rFonts w:ascii="Calibri" w:hAnsi="Calibri"/>
          <w:color w:val="231F20"/>
          <w:w w:val="105"/>
        </w:rPr>
        <w:t xml:space="preserve">. </w:t>
      </w:r>
      <w:r w:rsidR="00C1443D">
        <w:rPr>
          <w:rFonts w:ascii="Calibri" w:hAnsi="Calibri"/>
          <w:color w:val="231F20"/>
          <w:w w:val="105"/>
        </w:rPr>
        <w:t xml:space="preserve">There were </w:t>
      </w:r>
      <w:r w:rsidR="00C1443D" w:rsidRPr="000279AC">
        <w:rPr>
          <w:rFonts w:ascii="Calibri" w:hAnsi="Calibri"/>
          <w:color w:val="231F20"/>
          <w:w w:val="105"/>
        </w:rPr>
        <w:t>9,754,183</w:t>
      </w:r>
      <w:r w:rsidR="00B204D1">
        <w:rPr>
          <w:rFonts w:ascii="Calibri" w:hAnsi="Calibri"/>
          <w:color w:val="231F20"/>
          <w:w w:val="105"/>
        </w:rPr>
        <w:t xml:space="preserve"> </w:t>
      </w:r>
      <w:r w:rsidRPr="000279AC">
        <w:rPr>
          <w:rFonts w:ascii="Calibri" w:hAnsi="Calibri"/>
          <w:color w:val="231F20"/>
          <w:w w:val="105"/>
        </w:rPr>
        <w:t xml:space="preserve">employed persons </w:t>
      </w:r>
      <w:r w:rsidR="00B204D1">
        <w:rPr>
          <w:rFonts w:ascii="Calibri" w:hAnsi="Calibri"/>
          <w:color w:val="231F20"/>
          <w:w w:val="105"/>
        </w:rPr>
        <w:t>in November 2017.</w:t>
      </w:r>
    </w:p>
    <w:p w14:paraId="62D27C4D" w14:textId="0E3A6961" w:rsidR="00002D76" w:rsidRPr="000279AC" w:rsidRDefault="00002D76" w:rsidP="00D63204">
      <w:pPr>
        <w:widowControl w:val="0"/>
        <w:spacing w:before="58" w:after="0" w:line="264" w:lineRule="exact"/>
        <w:ind w:left="107" w:right="128"/>
        <w:rPr>
          <w:rFonts w:ascii="Calibri" w:hAnsi="Calibri"/>
        </w:rPr>
      </w:pPr>
      <w:r w:rsidRPr="000279AC">
        <w:rPr>
          <w:rFonts w:ascii="Calibri" w:hAnsi="Calibri"/>
          <w:color w:val="231F20"/>
          <w:w w:val="105"/>
        </w:rPr>
        <w:t>The lower unemployment rates as of November 2017 have</w:t>
      </w:r>
      <w:r w:rsidRPr="000279AC">
        <w:rPr>
          <w:rFonts w:ascii="Calibri" w:hAnsi="Calibri"/>
          <w:color w:val="231F20"/>
          <w:spacing w:val="11"/>
          <w:w w:val="105"/>
        </w:rPr>
        <w:t xml:space="preserve"> </w:t>
      </w:r>
      <w:r w:rsidRPr="000279AC">
        <w:rPr>
          <w:rFonts w:ascii="Calibri" w:hAnsi="Calibri"/>
          <w:color w:val="231F20"/>
          <w:w w:val="105"/>
        </w:rPr>
        <w:t>been</w:t>
      </w:r>
      <w:r w:rsidRPr="000279AC">
        <w:rPr>
          <w:rFonts w:ascii="Calibri" w:hAnsi="Calibri"/>
          <w:color w:val="231F20"/>
          <w:spacing w:val="11"/>
          <w:w w:val="105"/>
        </w:rPr>
        <w:t xml:space="preserve"> </w:t>
      </w:r>
      <w:r w:rsidRPr="000279AC">
        <w:rPr>
          <w:rFonts w:ascii="Calibri" w:hAnsi="Calibri"/>
          <w:color w:val="231F20"/>
          <w:w w:val="105"/>
        </w:rPr>
        <w:t>in</w:t>
      </w:r>
      <w:r w:rsidRPr="000279AC">
        <w:rPr>
          <w:rFonts w:ascii="Calibri" w:hAnsi="Calibri"/>
          <w:color w:val="231F20"/>
          <w:spacing w:val="11"/>
          <w:w w:val="105"/>
        </w:rPr>
        <w:t xml:space="preserve"> </w:t>
      </w:r>
      <w:r w:rsidRPr="000279AC">
        <w:rPr>
          <w:rFonts w:ascii="Calibri" w:hAnsi="Calibri"/>
          <w:color w:val="231F20"/>
          <w:w w:val="105"/>
        </w:rPr>
        <w:t>counties</w:t>
      </w:r>
      <w:r w:rsidRPr="000279AC">
        <w:rPr>
          <w:rFonts w:ascii="Calibri" w:hAnsi="Calibri"/>
          <w:color w:val="231F20"/>
          <w:spacing w:val="11"/>
          <w:w w:val="105"/>
        </w:rPr>
        <w:t xml:space="preserve"> </w:t>
      </w:r>
      <w:r w:rsidRPr="000279AC">
        <w:rPr>
          <w:rFonts w:ascii="Calibri" w:hAnsi="Calibri"/>
          <w:color w:val="231F20"/>
          <w:w w:val="105"/>
        </w:rPr>
        <w:t>with</w:t>
      </w:r>
      <w:r w:rsidRPr="000279AC">
        <w:rPr>
          <w:rFonts w:ascii="Calibri" w:hAnsi="Calibri"/>
          <w:color w:val="231F20"/>
          <w:spacing w:val="11"/>
          <w:w w:val="105"/>
        </w:rPr>
        <w:t xml:space="preserve"> </w:t>
      </w:r>
      <w:r w:rsidRPr="000279AC">
        <w:rPr>
          <w:rFonts w:ascii="Calibri" w:hAnsi="Calibri"/>
          <w:color w:val="231F20"/>
          <w:w w:val="105"/>
        </w:rPr>
        <w:t>large</w:t>
      </w:r>
      <w:r w:rsidRPr="000279AC">
        <w:rPr>
          <w:rFonts w:ascii="Calibri" w:hAnsi="Calibri"/>
          <w:color w:val="231F20"/>
          <w:spacing w:val="11"/>
          <w:w w:val="105"/>
        </w:rPr>
        <w:t xml:space="preserve"> </w:t>
      </w:r>
      <w:r w:rsidRPr="000279AC">
        <w:rPr>
          <w:rFonts w:ascii="Calibri" w:hAnsi="Calibri"/>
          <w:color w:val="231F20"/>
          <w:w w:val="105"/>
        </w:rPr>
        <w:t>government</w:t>
      </w:r>
      <w:r w:rsidRPr="000279AC">
        <w:rPr>
          <w:rFonts w:ascii="Calibri" w:hAnsi="Calibri"/>
          <w:color w:val="231F20"/>
          <w:spacing w:val="11"/>
          <w:w w:val="105"/>
        </w:rPr>
        <w:t xml:space="preserve"> </w:t>
      </w:r>
      <w:r w:rsidRPr="000279AC">
        <w:rPr>
          <w:rFonts w:ascii="Calibri" w:hAnsi="Calibri"/>
          <w:color w:val="231F20"/>
          <w:w w:val="105"/>
        </w:rPr>
        <w:t>employment</w:t>
      </w:r>
      <w:r w:rsidRPr="000279AC">
        <w:rPr>
          <w:rFonts w:ascii="Calibri" w:hAnsi="Calibri"/>
          <w:color w:val="231F20"/>
          <w:spacing w:val="11"/>
          <w:w w:val="105"/>
        </w:rPr>
        <w:t xml:space="preserve"> </w:t>
      </w:r>
      <w:r w:rsidRPr="000279AC">
        <w:rPr>
          <w:rFonts w:ascii="Calibri" w:hAnsi="Calibri"/>
          <w:color w:val="231F20"/>
          <w:w w:val="105"/>
        </w:rPr>
        <w:t>sectors or stable tourism sectors:  St. Johns County at 3.0 percent; Okaloosa County at 3.1 percent; and Monroe, Wakulla</w:t>
      </w:r>
      <w:r w:rsidR="00D5537E">
        <w:rPr>
          <w:rFonts w:ascii="Calibri" w:hAnsi="Calibri"/>
          <w:color w:val="231F20"/>
          <w:w w:val="105"/>
        </w:rPr>
        <w:t xml:space="preserve"> and</w:t>
      </w:r>
      <w:r w:rsidRPr="000279AC">
        <w:rPr>
          <w:rFonts w:ascii="Calibri" w:hAnsi="Calibri"/>
          <w:color w:val="231F20"/>
          <w:w w:val="105"/>
        </w:rPr>
        <w:t xml:space="preserve"> Walton counties at 3.2 percent</w:t>
      </w:r>
      <w:r>
        <w:rPr>
          <w:rFonts w:ascii="Calibri" w:hAnsi="Calibri"/>
          <w:color w:val="231F20"/>
          <w:w w:val="105"/>
        </w:rPr>
        <w:t xml:space="preserve"> each</w:t>
      </w:r>
      <w:r w:rsidR="005E7C49">
        <w:rPr>
          <w:rFonts w:ascii="Calibri" w:hAnsi="Calibri"/>
          <w:color w:val="231F20"/>
          <w:w w:val="105"/>
        </w:rPr>
        <w:t xml:space="preserve">. </w:t>
      </w:r>
      <w:r w:rsidRPr="000279AC">
        <w:rPr>
          <w:rFonts w:ascii="Calibri" w:hAnsi="Calibri"/>
          <w:color w:val="231F20"/>
          <w:w w:val="105"/>
        </w:rPr>
        <w:t>Higher unemployment</w:t>
      </w:r>
      <w:r w:rsidRPr="000279AC">
        <w:rPr>
          <w:rFonts w:ascii="Calibri" w:hAnsi="Calibri"/>
          <w:color w:val="231F20"/>
          <w:spacing w:val="12"/>
          <w:w w:val="105"/>
        </w:rPr>
        <w:t xml:space="preserve"> </w:t>
      </w:r>
      <w:r w:rsidRPr="000279AC">
        <w:rPr>
          <w:rFonts w:ascii="Calibri" w:hAnsi="Calibri"/>
          <w:color w:val="231F20"/>
          <w:w w:val="105"/>
        </w:rPr>
        <w:t>rates</w:t>
      </w:r>
      <w:r w:rsidRPr="000279AC">
        <w:rPr>
          <w:rFonts w:ascii="Calibri" w:hAnsi="Calibri"/>
          <w:color w:val="231F20"/>
          <w:spacing w:val="12"/>
          <w:w w:val="105"/>
        </w:rPr>
        <w:t xml:space="preserve"> </w:t>
      </w:r>
      <w:r w:rsidRPr="000279AC">
        <w:rPr>
          <w:rFonts w:ascii="Calibri" w:hAnsi="Calibri"/>
          <w:color w:val="231F20"/>
          <w:w w:val="105"/>
        </w:rPr>
        <w:t>are</w:t>
      </w:r>
      <w:r w:rsidRPr="000279AC">
        <w:rPr>
          <w:rFonts w:ascii="Calibri" w:hAnsi="Calibri"/>
          <w:color w:val="231F20"/>
          <w:spacing w:val="-11"/>
          <w:w w:val="105"/>
        </w:rPr>
        <w:t xml:space="preserve"> </w:t>
      </w:r>
      <w:r w:rsidRPr="000279AC">
        <w:rPr>
          <w:rFonts w:ascii="Calibri" w:hAnsi="Calibri"/>
          <w:color w:val="231F20"/>
          <w:w w:val="105"/>
        </w:rPr>
        <w:t>found</w:t>
      </w:r>
      <w:r w:rsidRPr="000279AC">
        <w:rPr>
          <w:rFonts w:ascii="Calibri" w:hAnsi="Calibri"/>
          <w:color w:val="231F20"/>
          <w:spacing w:val="7"/>
          <w:w w:val="105"/>
        </w:rPr>
        <w:t xml:space="preserve"> </w:t>
      </w:r>
      <w:r w:rsidRPr="000279AC">
        <w:rPr>
          <w:rFonts w:ascii="Calibri" w:hAnsi="Calibri"/>
          <w:color w:val="231F20"/>
          <w:w w:val="105"/>
        </w:rPr>
        <w:t>in</w:t>
      </w:r>
      <w:r w:rsidRPr="000279AC">
        <w:rPr>
          <w:rFonts w:ascii="Calibri" w:hAnsi="Calibri"/>
          <w:color w:val="231F20"/>
          <w:spacing w:val="7"/>
          <w:w w:val="105"/>
        </w:rPr>
        <w:t xml:space="preserve"> </w:t>
      </w:r>
      <w:r w:rsidRPr="000279AC">
        <w:rPr>
          <w:rFonts w:ascii="Calibri" w:hAnsi="Calibri"/>
          <w:color w:val="231F20"/>
          <w:w w:val="105"/>
        </w:rPr>
        <w:t>counties</w:t>
      </w:r>
      <w:r w:rsidRPr="000279AC">
        <w:rPr>
          <w:rFonts w:ascii="Calibri" w:hAnsi="Calibri"/>
          <w:color w:val="231F20"/>
          <w:spacing w:val="7"/>
          <w:w w:val="105"/>
        </w:rPr>
        <w:t xml:space="preserve"> </w:t>
      </w:r>
      <w:r w:rsidRPr="000279AC">
        <w:rPr>
          <w:rFonts w:ascii="Calibri" w:hAnsi="Calibri"/>
          <w:color w:val="231F20"/>
          <w:w w:val="105"/>
        </w:rPr>
        <w:t>with</w:t>
      </w:r>
      <w:r w:rsidRPr="000279AC">
        <w:rPr>
          <w:rFonts w:ascii="Calibri" w:hAnsi="Calibri"/>
          <w:color w:val="231F20"/>
          <w:spacing w:val="7"/>
          <w:w w:val="105"/>
        </w:rPr>
        <w:t xml:space="preserve"> </w:t>
      </w:r>
      <w:r w:rsidRPr="000279AC">
        <w:rPr>
          <w:rFonts w:ascii="Calibri" w:hAnsi="Calibri"/>
          <w:color w:val="231F20"/>
          <w:w w:val="105"/>
        </w:rPr>
        <w:t>large</w:t>
      </w:r>
      <w:r w:rsidRPr="000279AC">
        <w:rPr>
          <w:rFonts w:ascii="Calibri" w:hAnsi="Calibri"/>
          <w:color w:val="231F20"/>
          <w:spacing w:val="7"/>
          <w:w w:val="105"/>
        </w:rPr>
        <w:t xml:space="preserve"> </w:t>
      </w:r>
      <w:r w:rsidRPr="000279AC">
        <w:rPr>
          <w:rFonts w:ascii="Calibri" w:hAnsi="Calibri"/>
          <w:color w:val="231F20"/>
          <w:w w:val="105"/>
        </w:rPr>
        <w:t>agricultural</w:t>
      </w:r>
      <w:r w:rsidRPr="000279AC">
        <w:rPr>
          <w:rFonts w:ascii="Calibri" w:hAnsi="Calibri"/>
          <w:color w:val="231F20"/>
          <w:spacing w:val="7"/>
          <w:w w:val="105"/>
        </w:rPr>
        <w:t xml:space="preserve"> </w:t>
      </w:r>
      <w:r w:rsidRPr="000279AC">
        <w:rPr>
          <w:rFonts w:ascii="Calibri" w:hAnsi="Calibri"/>
          <w:color w:val="231F20"/>
          <w:w w:val="105"/>
        </w:rPr>
        <w:t xml:space="preserve">sectors: </w:t>
      </w:r>
      <w:r w:rsidRPr="000279AC">
        <w:rPr>
          <w:rFonts w:ascii="Calibri" w:hAnsi="Calibri"/>
          <w:color w:val="231F20"/>
          <w:spacing w:val="7"/>
          <w:w w:val="105"/>
        </w:rPr>
        <w:t xml:space="preserve"> </w:t>
      </w:r>
      <w:r w:rsidRPr="000279AC">
        <w:rPr>
          <w:rFonts w:ascii="Calibri" w:hAnsi="Calibri"/>
          <w:color w:val="231F20"/>
          <w:w w:val="105"/>
        </w:rPr>
        <w:t>Hendry</w:t>
      </w:r>
      <w:r w:rsidRPr="000279AC">
        <w:rPr>
          <w:rFonts w:ascii="Calibri" w:hAnsi="Calibri"/>
          <w:color w:val="231F20"/>
          <w:spacing w:val="7"/>
          <w:w w:val="105"/>
        </w:rPr>
        <w:t xml:space="preserve"> </w:t>
      </w:r>
      <w:r w:rsidRPr="000279AC">
        <w:rPr>
          <w:rFonts w:ascii="Calibri" w:hAnsi="Calibri"/>
          <w:color w:val="231F20"/>
          <w:w w:val="105"/>
        </w:rPr>
        <w:t>County</w:t>
      </w:r>
      <w:r w:rsidRPr="000279AC">
        <w:rPr>
          <w:rFonts w:ascii="Calibri" w:hAnsi="Calibri"/>
          <w:color w:val="231F20"/>
          <w:spacing w:val="7"/>
          <w:w w:val="105"/>
        </w:rPr>
        <w:t xml:space="preserve"> </w:t>
      </w:r>
      <w:r w:rsidRPr="000279AC">
        <w:rPr>
          <w:rFonts w:ascii="Calibri" w:hAnsi="Calibri"/>
          <w:color w:val="231F20"/>
          <w:w w:val="105"/>
        </w:rPr>
        <w:t>at</w:t>
      </w:r>
      <w:r w:rsidRPr="000279AC">
        <w:rPr>
          <w:rFonts w:ascii="Calibri" w:hAnsi="Calibri"/>
          <w:color w:val="231F20"/>
          <w:spacing w:val="7"/>
          <w:w w:val="105"/>
        </w:rPr>
        <w:t xml:space="preserve"> </w:t>
      </w:r>
      <w:r w:rsidRPr="000279AC">
        <w:rPr>
          <w:rFonts w:ascii="Calibri" w:hAnsi="Calibri"/>
          <w:color w:val="231F20"/>
          <w:w w:val="105"/>
        </w:rPr>
        <w:t>7.3</w:t>
      </w:r>
      <w:r w:rsidRPr="000279AC">
        <w:rPr>
          <w:rFonts w:ascii="Calibri" w:hAnsi="Calibri"/>
          <w:color w:val="231F20"/>
          <w:spacing w:val="7"/>
          <w:w w:val="105"/>
        </w:rPr>
        <w:t xml:space="preserve"> </w:t>
      </w:r>
      <w:r w:rsidRPr="000279AC">
        <w:rPr>
          <w:rFonts w:ascii="Calibri" w:hAnsi="Calibri"/>
          <w:color w:val="231F20"/>
          <w:w w:val="105"/>
        </w:rPr>
        <w:t>percent; Hardee</w:t>
      </w:r>
      <w:r w:rsidRPr="000279AC">
        <w:rPr>
          <w:rFonts w:ascii="Calibri" w:hAnsi="Calibri"/>
          <w:color w:val="231F20"/>
          <w:spacing w:val="7"/>
          <w:w w:val="105"/>
        </w:rPr>
        <w:t xml:space="preserve"> </w:t>
      </w:r>
      <w:r w:rsidRPr="000279AC">
        <w:rPr>
          <w:rFonts w:ascii="Calibri" w:hAnsi="Calibri"/>
          <w:color w:val="231F20"/>
          <w:w w:val="105"/>
        </w:rPr>
        <w:t>County</w:t>
      </w:r>
      <w:r w:rsidRPr="000279AC">
        <w:rPr>
          <w:rFonts w:ascii="Calibri" w:hAnsi="Calibri"/>
          <w:color w:val="231F20"/>
          <w:spacing w:val="7"/>
          <w:w w:val="105"/>
        </w:rPr>
        <w:t xml:space="preserve"> </w:t>
      </w:r>
      <w:r w:rsidRPr="000279AC">
        <w:rPr>
          <w:rFonts w:ascii="Calibri" w:hAnsi="Calibri"/>
          <w:color w:val="231F20"/>
          <w:w w:val="105"/>
        </w:rPr>
        <w:t>at</w:t>
      </w:r>
      <w:r w:rsidRPr="000279AC">
        <w:rPr>
          <w:rFonts w:ascii="Calibri" w:hAnsi="Calibri"/>
          <w:color w:val="231F20"/>
          <w:spacing w:val="7"/>
          <w:w w:val="105"/>
        </w:rPr>
        <w:t xml:space="preserve"> </w:t>
      </w:r>
      <w:r w:rsidRPr="000279AC">
        <w:rPr>
          <w:rFonts w:ascii="Calibri" w:hAnsi="Calibri"/>
          <w:color w:val="231F20"/>
          <w:w w:val="105"/>
        </w:rPr>
        <w:t>6.1 percent; and Citrus County at 5.3 percent</w:t>
      </w:r>
      <w:r w:rsidR="005E7C49">
        <w:rPr>
          <w:rFonts w:ascii="Calibri" w:hAnsi="Calibri"/>
          <w:color w:val="231F20"/>
          <w:w w:val="105"/>
        </w:rPr>
        <w:t xml:space="preserve">. </w:t>
      </w:r>
      <w:r w:rsidRPr="000279AC">
        <w:rPr>
          <w:rFonts w:ascii="Calibri" w:hAnsi="Calibri"/>
          <w:color w:val="231F20"/>
          <w:w w:val="105"/>
        </w:rPr>
        <w:t>County unemployment rates are not seasonally adjusted.</w:t>
      </w:r>
    </w:p>
    <w:p w14:paraId="3FF77F06" w14:textId="77777777" w:rsidR="00002D76" w:rsidRPr="00EA7458" w:rsidRDefault="00002D76" w:rsidP="00002D76">
      <w:pPr>
        <w:widowControl w:val="0"/>
        <w:spacing w:before="6" w:after="0" w:line="240" w:lineRule="auto"/>
        <w:rPr>
          <w:rFonts w:ascii="Calibri" w:hAnsi="Calibri" w:cs="Calibri"/>
          <w:sz w:val="16"/>
          <w:szCs w:val="16"/>
        </w:rPr>
      </w:pPr>
    </w:p>
    <w:p w14:paraId="14D0D5FC" w14:textId="77777777" w:rsidR="00002D76" w:rsidRPr="00EA7458" w:rsidRDefault="00002D76" w:rsidP="00D63204">
      <w:pPr>
        <w:widowControl w:val="0"/>
        <w:spacing w:after="0" w:line="266" w:lineRule="exact"/>
        <w:ind w:left="468" w:right="468"/>
        <w:outlineLvl w:val="2"/>
        <w:rPr>
          <w:rFonts w:ascii="Calibri" w:hAnsi="Calibri"/>
        </w:rPr>
      </w:pPr>
      <w:r w:rsidRPr="00EA7458">
        <w:rPr>
          <w:rFonts w:ascii="Calibri" w:hAnsi="Calibri"/>
          <w:b/>
          <w:bCs/>
          <w:color w:val="231F20"/>
          <w:w w:val="110"/>
        </w:rPr>
        <w:t>Figure</w:t>
      </w:r>
      <w:r w:rsidRPr="00EA7458">
        <w:rPr>
          <w:rFonts w:ascii="Calibri" w:hAnsi="Calibri"/>
          <w:b/>
          <w:bCs/>
          <w:color w:val="231F20"/>
          <w:spacing w:val="-2"/>
          <w:w w:val="110"/>
        </w:rPr>
        <w:t xml:space="preserve"> </w:t>
      </w:r>
      <w:r w:rsidRPr="00EA7458">
        <w:rPr>
          <w:rFonts w:ascii="Calibri" w:hAnsi="Calibri"/>
          <w:b/>
          <w:bCs/>
          <w:color w:val="231F20"/>
          <w:spacing w:val="-6"/>
          <w:w w:val="110"/>
        </w:rPr>
        <w:t>2.15</w:t>
      </w:r>
    </w:p>
    <w:p w14:paraId="2AADDEFE" w14:textId="5CF36372" w:rsidR="00002D76" w:rsidRPr="00EA7458" w:rsidRDefault="00633F73" w:rsidP="00D63204">
      <w:pPr>
        <w:widowControl w:val="0"/>
        <w:spacing w:after="0" w:line="264" w:lineRule="exact"/>
        <w:ind w:left="468" w:right="412"/>
        <w:rPr>
          <w:rFonts w:ascii="Calibri" w:hAnsi="Calibri" w:cs="Calibri"/>
        </w:rPr>
      </w:pPr>
      <w:r w:rsidRPr="00EA7458">
        <w:rPr>
          <w:rFonts w:ascii="Calibri" w:hAnsi="Calibri" w:cs="Calibri"/>
          <w:b/>
          <w:bCs/>
          <w:color w:val="231F20"/>
          <w:spacing w:val="-4"/>
          <w:w w:val="115"/>
        </w:rPr>
        <w:t xml:space="preserve">Florida’s </w:t>
      </w:r>
      <w:r w:rsidRPr="00EA7458">
        <w:rPr>
          <w:rFonts w:ascii="Calibri" w:hAnsi="Calibri" w:cs="Calibri"/>
          <w:b/>
          <w:bCs/>
          <w:color w:val="231F20"/>
          <w:w w:val="115"/>
        </w:rPr>
        <w:t xml:space="preserve">Labor Force </w:t>
      </w:r>
      <w:r>
        <w:rPr>
          <w:rFonts w:ascii="Calibri" w:hAnsi="Calibri" w:cs="Calibri"/>
          <w:b/>
          <w:bCs/>
          <w:color w:val="231F20"/>
          <w:w w:val="115"/>
        </w:rPr>
        <w:t>a</w:t>
      </w:r>
      <w:r w:rsidRPr="00EA7458">
        <w:rPr>
          <w:rFonts w:ascii="Calibri" w:hAnsi="Calibri" w:cs="Calibri"/>
          <w:b/>
          <w:bCs/>
          <w:color w:val="231F20"/>
          <w:w w:val="115"/>
        </w:rPr>
        <w:t>nd</w:t>
      </w:r>
      <w:r w:rsidRPr="00EA7458">
        <w:rPr>
          <w:rFonts w:ascii="Calibri" w:hAnsi="Calibri" w:cs="Calibri"/>
          <w:b/>
          <w:bCs/>
          <w:color w:val="231F20"/>
          <w:spacing w:val="-30"/>
          <w:w w:val="115"/>
        </w:rPr>
        <w:t xml:space="preserve"> </w:t>
      </w:r>
      <w:r w:rsidRPr="00EA7458">
        <w:rPr>
          <w:rFonts w:ascii="Calibri" w:hAnsi="Calibri" w:cs="Calibri"/>
          <w:b/>
          <w:bCs/>
          <w:color w:val="231F20"/>
          <w:w w:val="115"/>
        </w:rPr>
        <w:t>Employment</w:t>
      </w:r>
    </w:p>
    <w:p w14:paraId="6B5083D2" w14:textId="77777777" w:rsidR="00002D76" w:rsidRPr="00EA7458" w:rsidRDefault="00002D76" w:rsidP="00D63204">
      <w:pPr>
        <w:widowControl w:val="0"/>
        <w:spacing w:after="0" w:line="266" w:lineRule="exact"/>
        <w:ind w:left="468" w:right="468"/>
        <w:rPr>
          <w:rFonts w:ascii="Calibri" w:hAnsi="Calibri"/>
        </w:rPr>
      </w:pPr>
      <w:r w:rsidRPr="00EA7458">
        <w:rPr>
          <w:rFonts w:ascii="Calibri" w:hAnsi="Calibri"/>
          <w:color w:val="231F20"/>
          <w:w w:val="105"/>
        </w:rPr>
        <w:t>(Seasonally</w:t>
      </w:r>
      <w:r w:rsidRPr="00EA7458">
        <w:rPr>
          <w:rFonts w:ascii="Calibri" w:hAnsi="Calibri"/>
          <w:color w:val="231F20"/>
          <w:spacing w:val="52"/>
          <w:w w:val="105"/>
        </w:rPr>
        <w:t xml:space="preserve"> </w:t>
      </w:r>
      <w:r w:rsidRPr="00EA7458">
        <w:rPr>
          <w:rFonts w:ascii="Calibri" w:hAnsi="Calibri"/>
          <w:color w:val="231F20"/>
          <w:w w:val="105"/>
        </w:rPr>
        <w:t>Adjusted)</w:t>
      </w:r>
    </w:p>
    <w:p w14:paraId="0ADE0F6C" w14:textId="77777777" w:rsidR="00002D76" w:rsidRDefault="00002D76" w:rsidP="00002D76">
      <w:pPr>
        <w:widowControl w:val="0"/>
        <w:spacing w:before="5" w:after="0" w:line="240" w:lineRule="auto"/>
        <w:rPr>
          <w:rFonts w:ascii="Calibri" w:hAnsi="Calibri" w:cs="Calibri"/>
          <w:sz w:val="20"/>
          <w:szCs w:val="20"/>
        </w:rPr>
      </w:pPr>
    </w:p>
    <w:p w14:paraId="040246BA" w14:textId="77777777" w:rsidR="00002D76" w:rsidRDefault="00002D76" w:rsidP="00002D76">
      <w:pPr>
        <w:widowControl w:val="0"/>
        <w:spacing w:before="5" w:after="0" w:line="240" w:lineRule="auto"/>
        <w:rPr>
          <w:rFonts w:ascii="Calibri" w:hAnsi="Calibri" w:cs="Calibri"/>
          <w:sz w:val="20"/>
          <w:szCs w:val="20"/>
        </w:rPr>
      </w:pPr>
      <w:r>
        <w:rPr>
          <w:noProof/>
        </w:rPr>
        <w:drawing>
          <wp:anchor distT="0" distB="0" distL="114300" distR="114300" simplePos="0" relativeHeight="251658247" behindDoc="0" locked="0" layoutInCell="1" allowOverlap="1" wp14:anchorId="244A7F90" wp14:editId="4DC95AAE">
            <wp:simplePos x="0" y="0"/>
            <wp:positionH relativeFrom="column">
              <wp:posOffset>190500</wp:posOffset>
            </wp:positionH>
            <wp:positionV relativeFrom="paragraph">
              <wp:posOffset>8889</wp:posOffset>
            </wp:positionV>
            <wp:extent cx="6067425" cy="3571875"/>
            <wp:effectExtent l="0" t="0" r="0" b="0"/>
            <wp:wrapNone/>
            <wp:docPr id="14" name="Chart 14" descr="The line graph shows Florida's labor force increased steadily since reaching its low point in November 2009. The labor force declined some after reaching a peak in May 2017. The number of unemployed persons generally has been declining since reaching a peak in January 2010 (November 2017 unemployed persons = 368,578). The number of employed persons has been increasing since November 2009. There was a dip in July - August 2017. November 2017 employed persons was 9,754,183. " title="Figure 2.15 Florida's Labor Force and Employment (Seasonally Adjusted)"/>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14:sizeRelV relativeFrom="margin">
              <wp14:pctHeight>0</wp14:pctHeight>
            </wp14:sizeRelV>
          </wp:anchor>
        </w:drawing>
      </w:r>
    </w:p>
    <w:p w14:paraId="666012A7" w14:textId="77777777" w:rsidR="00002D76" w:rsidRPr="00EA7458" w:rsidRDefault="00002D76" w:rsidP="00002D76">
      <w:pPr>
        <w:widowControl w:val="0"/>
        <w:spacing w:before="5" w:after="0" w:line="240" w:lineRule="auto"/>
        <w:rPr>
          <w:rFonts w:ascii="Calibri" w:hAnsi="Calibri" w:cs="Calibri"/>
          <w:sz w:val="20"/>
          <w:szCs w:val="20"/>
        </w:rPr>
      </w:pPr>
    </w:p>
    <w:p w14:paraId="0EB87CA5" w14:textId="77777777" w:rsidR="00002D76" w:rsidRPr="00EA7458" w:rsidRDefault="00002D76" w:rsidP="00002D76">
      <w:pPr>
        <w:widowControl w:val="0"/>
        <w:spacing w:after="0" w:line="4450" w:lineRule="exact"/>
        <w:ind w:left="298"/>
        <w:rPr>
          <w:rFonts w:ascii="Calibri" w:hAnsi="Calibri" w:cs="Calibri"/>
          <w:sz w:val="20"/>
          <w:szCs w:val="20"/>
        </w:rPr>
      </w:pPr>
    </w:p>
    <w:p w14:paraId="56926F9A" w14:textId="77777777" w:rsidR="00002D76" w:rsidRDefault="00002D76" w:rsidP="00002D76">
      <w:pPr>
        <w:widowControl w:val="0"/>
        <w:spacing w:before="53" w:after="0" w:line="216" w:lineRule="exact"/>
        <w:ind w:left="107" w:right="281"/>
        <w:rPr>
          <w:rFonts w:ascii="Calibri" w:hAnsi="Calibri"/>
          <w:w w:val="105"/>
          <w:sz w:val="18"/>
        </w:rPr>
      </w:pPr>
    </w:p>
    <w:p w14:paraId="4AD0407C" w14:textId="77777777" w:rsidR="00002D76" w:rsidRDefault="00002D76" w:rsidP="00002D76">
      <w:pPr>
        <w:widowControl w:val="0"/>
        <w:spacing w:before="53" w:after="0" w:line="216" w:lineRule="exact"/>
        <w:ind w:left="107" w:right="281"/>
        <w:rPr>
          <w:rFonts w:ascii="Calibri" w:hAnsi="Calibri"/>
          <w:w w:val="105"/>
          <w:sz w:val="18"/>
        </w:rPr>
      </w:pPr>
    </w:p>
    <w:p w14:paraId="3246B136" w14:textId="77777777" w:rsidR="00002D76" w:rsidRDefault="00002D76" w:rsidP="00002D76">
      <w:pPr>
        <w:widowControl w:val="0"/>
        <w:spacing w:before="53" w:after="0" w:line="216" w:lineRule="exact"/>
        <w:ind w:left="107" w:right="281"/>
        <w:rPr>
          <w:rFonts w:ascii="Calibri" w:hAnsi="Calibri"/>
          <w:w w:val="105"/>
          <w:sz w:val="18"/>
        </w:rPr>
      </w:pPr>
    </w:p>
    <w:p w14:paraId="5D092820" w14:textId="77777777" w:rsidR="00002D76" w:rsidRPr="00041D0F" w:rsidRDefault="00002D76" w:rsidP="00002D76">
      <w:pPr>
        <w:widowControl w:val="0"/>
        <w:spacing w:before="53" w:after="0" w:line="216" w:lineRule="exact"/>
        <w:ind w:left="630" w:right="281"/>
        <w:rPr>
          <w:rFonts w:ascii="Calibri" w:hAnsi="Calibri" w:cs="Calibri"/>
          <w:sz w:val="18"/>
          <w:szCs w:val="18"/>
        </w:rPr>
      </w:pPr>
      <w:r w:rsidRPr="00041D0F">
        <w:rPr>
          <w:rFonts w:ascii="Calibri" w:hAnsi="Calibri"/>
          <w:w w:val="105"/>
          <w:sz w:val="18"/>
        </w:rPr>
        <w:t>Source:</w:t>
      </w:r>
      <w:r w:rsidRPr="00041D0F">
        <w:rPr>
          <w:rFonts w:ascii="Calibri" w:hAnsi="Calibri"/>
          <w:spacing w:val="10"/>
          <w:w w:val="105"/>
          <w:sz w:val="18"/>
        </w:rPr>
        <w:t xml:space="preserve"> </w:t>
      </w:r>
      <w:r>
        <w:rPr>
          <w:rFonts w:ascii="Calibri" w:hAnsi="Calibri"/>
          <w:spacing w:val="10"/>
          <w:w w:val="105"/>
          <w:sz w:val="18"/>
        </w:rPr>
        <w:t xml:space="preserve"> </w:t>
      </w:r>
      <w:r w:rsidRPr="00041D0F">
        <w:rPr>
          <w:rFonts w:ascii="Calibri" w:hAnsi="Calibri"/>
          <w:w w:val="105"/>
          <w:sz w:val="18"/>
        </w:rPr>
        <w:t>U.S.</w:t>
      </w:r>
      <w:r w:rsidRPr="00041D0F">
        <w:rPr>
          <w:rFonts w:ascii="Calibri" w:hAnsi="Calibri"/>
          <w:spacing w:val="10"/>
          <w:w w:val="105"/>
          <w:sz w:val="18"/>
        </w:rPr>
        <w:t xml:space="preserve"> </w:t>
      </w:r>
      <w:r w:rsidRPr="00041D0F">
        <w:rPr>
          <w:rFonts w:ascii="Calibri" w:hAnsi="Calibri"/>
          <w:w w:val="105"/>
          <w:sz w:val="18"/>
        </w:rPr>
        <w:t>Department</w:t>
      </w:r>
      <w:r w:rsidRPr="00041D0F">
        <w:rPr>
          <w:rFonts w:ascii="Calibri" w:hAnsi="Calibri"/>
          <w:spacing w:val="10"/>
          <w:w w:val="105"/>
          <w:sz w:val="18"/>
        </w:rPr>
        <w:t xml:space="preserve"> </w:t>
      </w:r>
      <w:r w:rsidRPr="00041D0F">
        <w:rPr>
          <w:rFonts w:ascii="Calibri" w:hAnsi="Calibri"/>
          <w:w w:val="105"/>
          <w:sz w:val="18"/>
        </w:rPr>
        <w:t>of</w:t>
      </w:r>
      <w:r w:rsidRPr="00041D0F">
        <w:rPr>
          <w:rFonts w:ascii="Calibri" w:hAnsi="Calibri"/>
          <w:spacing w:val="10"/>
          <w:w w:val="105"/>
          <w:sz w:val="18"/>
        </w:rPr>
        <w:t xml:space="preserve"> </w:t>
      </w:r>
      <w:r w:rsidRPr="00041D0F">
        <w:rPr>
          <w:rFonts w:ascii="Calibri" w:hAnsi="Calibri"/>
          <w:spacing w:val="-3"/>
          <w:w w:val="105"/>
          <w:sz w:val="18"/>
        </w:rPr>
        <w:t>Labor,</w:t>
      </w:r>
      <w:r w:rsidRPr="00041D0F">
        <w:rPr>
          <w:rFonts w:ascii="Calibri" w:hAnsi="Calibri"/>
          <w:spacing w:val="10"/>
          <w:w w:val="105"/>
          <w:sz w:val="18"/>
        </w:rPr>
        <w:t xml:space="preserve"> </w:t>
      </w:r>
      <w:r w:rsidRPr="00041D0F">
        <w:rPr>
          <w:rFonts w:ascii="Calibri" w:hAnsi="Calibri"/>
          <w:w w:val="105"/>
          <w:sz w:val="18"/>
        </w:rPr>
        <w:t>Bureau</w:t>
      </w:r>
      <w:r w:rsidRPr="00041D0F">
        <w:rPr>
          <w:rFonts w:ascii="Calibri" w:hAnsi="Calibri"/>
          <w:spacing w:val="10"/>
          <w:w w:val="105"/>
          <w:sz w:val="18"/>
        </w:rPr>
        <w:t xml:space="preserve"> </w:t>
      </w:r>
      <w:r w:rsidRPr="00041D0F">
        <w:rPr>
          <w:rFonts w:ascii="Calibri" w:hAnsi="Calibri"/>
          <w:w w:val="105"/>
          <w:sz w:val="18"/>
        </w:rPr>
        <w:t>of</w:t>
      </w:r>
      <w:r w:rsidRPr="00041D0F">
        <w:rPr>
          <w:rFonts w:ascii="Calibri" w:hAnsi="Calibri"/>
          <w:spacing w:val="10"/>
          <w:w w:val="105"/>
          <w:sz w:val="18"/>
        </w:rPr>
        <w:t xml:space="preserve"> </w:t>
      </w:r>
      <w:r w:rsidRPr="00041D0F">
        <w:rPr>
          <w:rFonts w:ascii="Calibri" w:hAnsi="Calibri"/>
          <w:w w:val="105"/>
          <w:sz w:val="18"/>
        </w:rPr>
        <w:t>Labor</w:t>
      </w:r>
      <w:r w:rsidRPr="00041D0F">
        <w:rPr>
          <w:rFonts w:ascii="Calibri" w:hAnsi="Calibri"/>
          <w:spacing w:val="10"/>
          <w:w w:val="105"/>
          <w:sz w:val="18"/>
        </w:rPr>
        <w:t xml:space="preserve"> </w:t>
      </w:r>
      <w:r w:rsidRPr="00041D0F">
        <w:rPr>
          <w:rFonts w:ascii="Calibri" w:hAnsi="Calibri"/>
          <w:w w:val="105"/>
          <w:sz w:val="18"/>
        </w:rPr>
        <w:t>Statistics,</w:t>
      </w:r>
      <w:r w:rsidRPr="00041D0F">
        <w:rPr>
          <w:rFonts w:ascii="Calibri" w:hAnsi="Calibri"/>
          <w:spacing w:val="10"/>
          <w:w w:val="105"/>
          <w:sz w:val="18"/>
        </w:rPr>
        <w:t xml:space="preserve"> </w:t>
      </w:r>
      <w:r w:rsidRPr="00041D0F">
        <w:rPr>
          <w:rFonts w:ascii="Calibri" w:hAnsi="Calibri"/>
          <w:w w:val="105"/>
          <w:sz w:val="18"/>
        </w:rPr>
        <w:t>Local</w:t>
      </w:r>
      <w:r w:rsidRPr="00041D0F">
        <w:rPr>
          <w:rFonts w:ascii="Calibri" w:hAnsi="Calibri"/>
          <w:spacing w:val="10"/>
          <w:w w:val="105"/>
          <w:sz w:val="18"/>
        </w:rPr>
        <w:t xml:space="preserve"> </w:t>
      </w:r>
      <w:r w:rsidRPr="00041D0F">
        <w:rPr>
          <w:rFonts w:ascii="Calibri" w:hAnsi="Calibri"/>
          <w:w w:val="105"/>
          <w:sz w:val="18"/>
        </w:rPr>
        <w:t>Area</w:t>
      </w:r>
      <w:r w:rsidRPr="00041D0F">
        <w:rPr>
          <w:rFonts w:ascii="Calibri" w:hAnsi="Calibri"/>
          <w:spacing w:val="10"/>
          <w:w w:val="105"/>
          <w:sz w:val="18"/>
        </w:rPr>
        <w:t xml:space="preserve"> </w:t>
      </w:r>
      <w:r w:rsidRPr="00041D0F">
        <w:rPr>
          <w:rFonts w:ascii="Calibri" w:hAnsi="Calibri"/>
          <w:w w:val="105"/>
          <w:sz w:val="18"/>
        </w:rPr>
        <w:t>Unemployment</w:t>
      </w:r>
      <w:r w:rsidRPr="00041D0F">
        <w:rPr>
          <w:rFonts w:ascii="Calibri" w:hAnsi="Calibri"/>
          <w:spacing w:val="10"/>
          <w:w w:val="105"/>
          <w:sz w:val="18"/>
        </w:rPr>
        <w:t xml:space="preserve"> </w:t>
      </w:r>
      <w:r w:rsidRPr="00041D0F">
        <w:rPr>
          <w:rFonts w:ascii="Calibri" w:hAnsi="Calibri"/>
          <w:w w:val="105"/>
          <w:sz w:val="18"/>
        </w:rPr>
        <w:t>Statistics</w:t>
      </w:r>
      <w:r w:rsidRPr="00041D0F">
        <w:rPr>
          <w:rFonts w:ascii="Calibri" w:hAnsi="Calibri"/>
          <w:spacing w:val="10"/>
          <w:w w:val="105"/>
          <w:sz w:val="18"/>
        </w:rPr>
        <w:t xml:space="preserve"> </w:t>
      </w:r>
      <w:r w:rsidRPr="00041D0F">
        <w:rPr>
          <w:rFonts w:ascii="Calibri" w:hAnsi="Calibri"/>
          <w:w w:val="105"/>
          <w:sz w:val="18"/>
        </w:rPr>
        <w:t>Program,</w:t>
      </w:r>
      <w:r w:rsidRPr="00041D0F">
        <w:rPr>
          <w:rFonts w:ascii="Calibri" w:hAnsi="Calibri"/>
          <w:spacing w:val="10"/>
          <w:w w:val="105"/>
          <w:sz w:val="18"/>
        </w:rPr>
        <w:t xml:space="preserve"> </w:t>
      </w:r>
      <w:r w:rsidRPr="00041D0F">
        <w:rPr>
          <w:rFonts w:ascii="Calibri" w:hAnsi="Calibri"/>
          <w:w w:val="105"/>
          <w:sz w:val="18"/>
        </w:rPr>
        <w:t>in</w:t>
      </w:r>
      <w:r w:rsidRPr="00041D0F">
        <w:rPr>
          <w:rFonts w:ascii="Calibri" w:hAnsi="Calibri"/>
          <w:spacing w:val="10"/>
          <w:w w:val="105"/>
          <w:sz w:val="18"/>
        </w:rPr>
        <w:t xml:space="preserve"> </w:t>
      </w:r>
      <w:r w:rsidRPr="00041D0F">
        <w:rPr>
          <w:rFonts w:ascii="Calibri" w:hAnsi="Calibri"/>
          <w:w w:val="105"/>
          <w:sz w:val="18"/>
        </w:rPr>
        <w:t>cooperation</w:t>
      </w:r>
      <w:r w:rsidRPr="00041D0F">
        <w:rPr>
          <w:rFonts w:ascii="Calibri" w:hAnsi="Calibri"/>
          <w:spacing w:val="10"/>
          <w:w w:val="105"/>
          <w:sz w:val="18"/>
        </w:rPr>
        <w:t xml:space="preserve"> </w:t>
      </w:r>
      <w:r w:rsidRPr="00041D0F">
        <w:rPr>
          <w:rFonts w:ascii="Calibri" w:hAnsi="Calibri"/>
          <w:w w:val="105"/>
          <w:sz w:val="18"/>
        </w:rPr>
        <w:t>with</w:t>
      </w:r>
      <w:r w:rsidRPr="00041D0F">
        <w:rPr>
          <w:rFonts w:ascii="Calibri" w:hAnsi="Calibri"/>
          <w:spacing w:val="-40"/>
          <w:w w:val="105"/>
          <w:sz w:val="18"/>
        </w:rPr>
        <w:t xml:space="preserve"> </w:t>
      </w:r>
      <w:r w:rsidRPr="00041D0F">
        <w:rPr>
          <w:rFonts w:ascii="Calibri" w:hAnsi="Calibri"/>
          <w:w w:val="105"/>
          <w:sz w:val="18"/>
        </w:rPr>
        <w:t xml:space="preserve">the Florida Department of Economic Opportunity, Bureau </w:t>
      </w:r>
      <w:r>
        <w:rPr>
          <w:rFonts w:ascii="Calibri" w:hAnsi="Calibri"/>
          <w:w w:val="105"/>
          <w:sz w:val="18"/>
        </w:rPr>
        <w:t>of Labor Market Statistics, Decem</w:t>
      </w:r>
      <w:r w:rsidRPr="00041D0F">
        <w:rPr>
          <w:rFonts w:ascii="Calibri" w:hAnsi="Calibri"/>
          <w:w w:val="105"/>
          <w:sz w:val="18"/>
        </w:rPr>
        <w:t>ber</w:t>
      </w:r>
      <w:r w:rsidRPr="00041D0F">
        <w:rPr>
          <w:rFonts w:ascii="Calibri" w:hAnsi="Calibri"/>
          <w:spacing w:val="39"/>
          <w:w w:val="105"/>
          <w:sz w:val="18"/>
        </w:rPr>
        <w:t xml:space="preserve"> </w:t>
      </w:r>
      <w:r>
        <w:rPr>
          <w:rFonts w:ascii="Calibri" w:hAnsi="Calibri"/>
          <w:w w:val="105"/>
          <w:sz w:val="18"/>
        </w:rPr>
        <w:t>2017.</w:t>
      </w:r>
    </w:p>
    <w:p w14:paraId="435546B7" w14:textId="77777777" w:rsidR="00002D76" w:rsidRPr="00EA7458" w:rsidRDefault="00002D76" w:rsidP="00002D76">
      <w:pPr>
        <w:widowControl w:val="0"/>
        <w:spacing w:after="0" w:line="216" w:lineRule="exact"/>
        <w:rPr>
          <w:rFonts w:ascii="Calibri" w:hAnsi="Calibri" w:cs="Calibri"/>
          <w:sz w:val="18"/>
          <w:szCs w:val="18"/>
        </w:rPr>
        <w:sectPr w:rsidR="00002D76" w:rsidRPr="00EA7458">
          <w:pgSz w:w="12240" w:h="15840"/>
          <w:pgMar w:top="1620" w:right="900" w:bottom="820" w:left="900" w:header="812" w:footer="624" w:gutter="0"/>
          <w:cols w:space="720"/>
        </w:sectPr>
      </w:pPr>
    </w:p>
    <w:p w14:paraId="7FC07F75" w14:textId="0A35D389" w:rsidR="00002D76" w:rsidRPr="005855C7" w:rsidRDefault="00002D76" w:rsidP="00D63204">
      <w:pPr>
        <w:widowControl w:val="0"/>
        <w:spacing w:before="58" w:after="0" w:line="264" w:lineRule="exact"/>
        <w:ind w:left="107" w:right="105"/>
        <w:rPr>
          <w:rFonts w:ascii="Calibri" w:hAnsi="Calibri"/>
        </w:rPr>
      </w:pPr>
      <w:bookmarkStart w:id="27" w:name="_bookmark16"/>
      <w:bookmarkEnd w:id="27"/>
      <w:r w:rsidRPr="00382BBA">
        <w:rPr>
          <w:rFonts w:ascii="Calibri" w:hAnsi="Calibri"/>
          <w:color w:val="231F20"/>
          <w:w w:val="105"/>
        </w:rPr>
        <w:lastRenderedPageBreak/>
        <w:t>Florida’s</w:t>
      </w:r>
      <w:r w:rsidRPr="00382BBA">
        <w:rPr>
          <w:rFonts w:ascii="Calibri" w:hAnsi="Calibri"/>
          <w:color w:val="231F20"/>
          <w:spacing w:val="9"/>
          <w:w w:val="105"/>
        </w:rPr>
        <w:t xml:space="preserve"> </w:t>
      </w:r>
      <w:r w:rsidRPr="00382BBA">
        <w:rPr>
          <w:rFonts w:ascii="Calibri" w:hAnsi="Calibri"/>
          <w:color w:val="231F20"/>
          <w:w w:val="105"/>
        </w:rPr>
        <w:t>unemployment</w:t>
      </w:r>
      <w:r w:rsidRPr="00382BBA">
        <w:rPr>
          <w:rFonts w:ascii="Calibri" w:hAnsi="Calibri"/>
          <w:color w:val="231F20"/>
          <w:spacing w:val="9"/>
          <w:w w:val="105"/>
        </w:rPr>
        <w:t xml:space="preserve"> </w:t>
      </w:r>
      <w:r w:rsidRPr="00382BBA">
        <w:rPr>
          <w:rFonts w:ascii="Calibri" w:hAnsi="Calibri"/>
          <w:color w:val="231F20"/>
          <w:w w:val="105"/>
        </w:rPr>
        <w:t>rate</w:t>
      </w:r>
      <w:r w:rsidRPr="00382BBA">
        <w:rPr>
          <w:rFonts w:ascii="Calibri" w:hAnsi="Calibri"/>
          <w:color w:val="231F20"/>
          <w:spacing w:val="9"/>
          <w:w w:val="105"/>
        </w:rPr>
        <w:t xml:space="preserve"> </w:t>
      </w:r>
      <w:r w:rsidRPr="00382BBA">
        <w:rPr>
          <w:rFonts w:ascii="Calibri" w:hAnsi="Calibri"/>
          <w:color w:val="231F20"/>
          <w:w w:val="105"/>
        </w:rPr>
        <w:t>was</w:t>
      </w:r>
      <w:r w:rsidRPr="00382BBA">
        <w:rPr>
          <w:rFonts w:ascii="Calibri" w:hAnsi="Calibri"/>
          <w:color w:val="231F20"/>
          <w:spacing w:val="9"/>
          <w:w w:val="105"/>
        </w:rPr>
        <w:t xml:space="preserve"> </w:t>
      </w:r>
      <w:r w:rsidRPr="00382BBA">
        <w:rPr>
          <w:rFonts w:ascii="Calibri" w:hAnsi="Calibri"/>
          <w:color w:val="231F20"/>
          <w:w w:val="105"/>
        </w:rPr>
        <w:t>the</w:t>
      </w:r>
      <w:r w:rsidRPr="00382BBA">
        <w:rPr>
          <w:rFonts w:ascii="Calibri" w:hAnsi="Calibri"/>
          <w:color w:val="231F20"/>
          <w:spacing w:val="9"/>
          <w:w w:val="105"/>
        </w:rPr>
        <w:t xml:space="preserve"> </w:t>
      </w:r>
      <w:r w:rsidRPr="00382BBA">
        <w:rPr>
          <w:rFonts w:ascii="Calibri" w:hAnsi="Calibri"/>
          <w:color w:val="231F20"/>
          <w:w w:val="105"/>
        </w:rPr>
        <w:t>same</w:t>
      </w:r>
      <w:r w:rsidRPr="00382BBA">
        <w:rPr>
          <w:rFonts w:ascii="Calibri" w:hAnsi="Calibri"/>
          <w:color w:val="231F20"/>
          <w:spacing w:val="9"/>
          <w:w w:val="105"/>
        </w:rPr>
        <w:t xml:space="preserve"> </w:t>
      </w:r>
      <w:r w:rsidRPr="00382BBA">
        <w:rPr>
          <w:rFonts w:ascii="Calibri" w:hAnsi="Calibri"/>
          <w:color w:val="231F20"/>
          <w:w w:val="105"/>
        </w:rPr>
        <w:t>as</w:t>
      </w:r>
      <w:r w:rsidRPr="00382BBA">
        <w:rPr>
          <w:rFonts w:ascii="Calibri" w:hAnsi="Calibri"/>
          <w:color w:val="231F20"/>
          <w:spacing w:val="9"/>
          <w:w w:val="105"/>
        </w:rPr>
        <w:t xml:space="preserve"> </w:t>
      </w:r>
      <w:r w:rsidRPr="00382BBA">
        <w:rPr>
          <w:rFonts w:ascii="Calibri" w:hAnsi="Calibri"/>
          <w:color w:val="231F20"/>
          <w:w w:val="105"/>
        </w:rPr>
        <w:t>the</w:t>
      </w:r>
      <w:r w:rsidRPr="00382BBA">
        <w:rPr>
          <w:rFonts w:ascii="Calibri" w:hAnsi="Calibri"/>
          <w:color w:val="231F20"/>
          <w:spacing w:val="9"/>
          <w:w w:val="105"/>
        </w:rPr>
        <w:t xml:space="preserve"> </w:t>
      </w:r>
      <w:r w:rsidRPr="00382BBA">
        <w:rPr>
          <w:rFonts w:ascii="Calibri" w:hAnsi="Calibri"/>
          <w:color w:val="231F20"/>
          <w:w w:val="105"/>
        </w:rPr>
        <w:t>national</w:t>
      </w:r>
      <w:r w:rsidRPr="00382BBA">
        <w:rPr>
          <w:rFonts w:ascii="Calibri" w:hAnsi="Calibri"/>
          <w:color w:val="231F20"/>
          <w:spacing w:val="9"/>
          <w:w w:val="105"/>
        </w:rPr>
        <w:t xml:space="preserve"> </w:t>
      </w:r>
      <w:r w:rsidRPr="00382BBA">
        <w:rPr>
          <w:rFonts w:ascii="Calibri" w:hAnsi="Calibri"/>
          <w:color w:val="231F20"/>
          <w:w w:val="105"/>
        </w:rPr>
        <w:t>rate</w:t>
      </w:r>
      <w:r w:rsidRPr="00382BBA">
        <w:rPr>
          <w:rFonts w:ascii="Calibri" w:hAnsi="Calibri"/>
          <w:color w:val="231F20"/>
          <w:spacing w:val="9"/>
          <w:w w:val="105"/>
        </w:rPr>
        <w:t xml:space="preserve"> </w:t>
      </w:r>
      <w:r w:rsidRPr="00382BBA">
        <w:rPr>
          <w:rFonts w:ascii="Calibri" w:hAnsi="Calibri"/>
          <w:color w:val="231F20"/>
          <w:w w:val="105"/>
        </w:rPr>
        <w:t>in</w:t>
      </w:r>
      <w:r w:rsidRPr="00382BBA">
        <w:rPr>
          <w:rFonts w:ascii="Calibri" w:hAnsi="Calibri"/>
          <w:color w:val="231F20"/>
          <w:spacing w:val="9"/>
          <w:w w:val="105"/>
        </w:rPr>
        <w:t xml:space="preserve"> </w:t>
      </w:r>
      <w:r w:rsidRPr="00382BBA">
        <w:rPr>
          <w:rFonts w:ascii="Calibri" w:hAnsi="Calibri"/>
          <w:color w:val="231F20"/>
          <w:w w:val="105"/>
        </w:rPr>
        <w:t>January</w:t>
      </w:r>
      <w:r w:rsidRPr="00382BBA">
        <w:rPr>
          <w:rFonts w:ascii="Calibri" w:hAnsi="Calibri"/>
          <w:color w:val="231F20"/>
          <w:spacing w:val="9"/>
          <w:w w:val="105"/>
        </w:rPr>
        <w:t xml:space="preserve"> </w:t>
      </w:r>
      <w:r w:rsidRPr="00382BBA">
        <w:rPr>
          <w:rFonts w:ascii="Calibri" w:hAnsi="Calibri"/>
          <w:color w:val="231F20"/>
          <w:w w:val="105"/>
        </w:rPr>
        <w:t>2008</w:t>
      </w:r>
      <w:r w:rsidRPr="00382BBA">
        <w:rPr>
          <w:rFonts w:ascii="Calibri" w:hAnsi="Calibri"/>
          <w:color w:val="231F20"/>
          <w:spacing w:val="9"/>
          <w:w w:val="105"/>
        </w:rPr>
        <w:t xml:space="preserve"> </w:t>
      </w:r>
      <w:r w:rsidRPr="00382BBA">
        <w:rPr>
          <w:rFonts w:ascii="Calibri" w:hAnsi="Calibri"/>
          <w:color w:val="231F20"/>
          <w:w w:val="105"/>
        </w:rPr>
        <w:t>(both</w:t>
      </w:r>
      <w:r w:rsidRPr="00382BBA">
        <w:rPr>
          <w:rFonts w:ascii="Calibri" w:hAnsi="Calibri"/>
          <w:color w:val="231F20"/>
          <w:spacing w:val="9"/>
          <w:w w:val="105"/>
        </w:rPr>
        <w:t xml:space="preserve"> </w:t>
      </w:r>
      <w:r w:rsidRPr="00382BBA">
        <w:rPr>
          <w:rFonts w:ascii="Calibri" w:hAnsi="Calibri"/>
          <w:color w:val="231F20"/>
          <w:w w:val="105"/>
        </w:rPr>
        <w:t>at</w:t>
      </w:r>
      <w:r w:rsidRPr="00382BBA">
        <w:rPr>
          <w:rFonts w:ascii="Calibri" w:hAnsi="Calibri"/>
          <w:color w:val="231F20"/>
          <w:spacing w:val="9"/>
          <w:w w:val="105"/>
        </w:rPr>
        <w:t xml:space="preserve"> </w:t>
      </w:r>
      <w:r w:rsidRPr="00382BBA">
        <w:rPr>
          <w:rFonts w:ascii="Calibri" w:hAnsi="Calibri"/>
          <w:color w:val="231F20"/>
          <w:spacing w:val="-3"/>
          <w:w w:val="105"/>
        </w:rPr>
        <w:t>5.0</w:t>
      </w:r>
      <w:r w:rsidRPr="00382BBA">
        <w:rPr>
          <w:rFonts w:ascii="Calibri" w:hAnsi="Calibri"/>
          <w:color w:val="231F20"/>
          <w:spacing w:val="9"/>
          <w:w w:val="105"/>
        </w:rPr>
        <w:t xml:space="preserve"> </w:t>
      </w:r>
      <w:r w:rsidRPr="00382BBA">
        <w:rPr>
          <w:rFonts w:ascii="Calibri" w:hAnsi="Calibri"/>
          <w:color w:val="231F20"/>
          <w:w w:val="105"/>
        </w:rPr>
        <w:t>percent</w:t>
      </w:r>
      <w:r w:rsidRPr="00382BBA">
        <w:rPr>
          <w:rFonts w:ascii="Calibri" w:hAnsi="Calibri"/>
          <w:color w:val="231F20"/>
          <w:spacing w:val="4"/>
          <w:w w:val="105"/>
        </w:rPr>
        <w:t xml:space="preserve"> </w:t>
      </w:r>
      <w:r w:rsidRPr="00382BBA">
        <w:rPr>
          <w:rFonts w:ascii="Calibri" w:hAnsi="Calibri"/>
          <w:color w:val="231F20"/>
          <w:w w:val="105"/>
        </w:rPr>
        <w:t>seasonally</w:t>
      </w:r>
      <w:r w:rsidRPr="00382BBA">
        <w:rPr>
          <w:rFonts w:ascii="Calibri" w:hAnsi="Calibri"/>
          <w:color w:val="231F20"/>
          <w:spacing w:val="11"/>
          <w:w w:val="105"/>
        </w:rPr>
        <w:t xml:space="preserve"> </w:t>
      </w:r>
      <w:r w:rsidRPr="00382BBA">
        <w:rPr>
          <w:rFonts w:ascii="Calibri" w:hAnsi="Calibri"/>
          <w:color w:val="231F20"/>
          <w:w w:val="105"/>
        </w:rPr>
        <w:t>adjusted),</w:t>
      </w:r>
      <w:r w:rsidRPr="00382BBA">
        <w:rPr>
          <w:rFonts w:ascii="Calibri" w:hAnsi="Calibri"/>
          <w:color w:val="231F20"/>
          <w:spacing w:val="11"/>
          <w:w w:val="105"/>
        </w:rPr>
        <w:t xml:space="preserve"> </w:t>
      </w:r>
      <w:r w:rsidRPr="00382BBA">
        <w:rPr>
          <w:rFonts w:ascii="Calibri" w:hAnsi="Calibri"/>
          <w:color w:val="231F20"/>
          <w:w w:val="105"/>
        </w:rPr>
        <w:t>but</w:t>
      </w:r>
      <w:r w:rsidRPr="00382BBA">
        <w:rPr>
          <w:rFonts w:ascii="Calibri" w:hAnsi="Calibri"/>
          <w:color w:val="231F20"/>
          <w:spacing w:val="11"/>
          <w:w w:val="105"/>
        </w:rPr>
        <w:t xml:space="preserve"> </w:t>
      </w:r>
      <w:r w:rsidRPr="00382BBA">
        <w:rPr>
          <w:rFonts w:ascii="Calibri" w:hAnsi="Calibri"/>
          <w:color w:val="231F20"/>
          <w:w w:val="105"/>
        </w:rPr>
        <w:t>Florida’s</w:t>
      </w:r>
      <w:r w:rsidRPr="00382BBA">
        <w:rPr>
          <w:rFonts w:ascii="Calibri" w:hAnsi="Calibri"/>
          <w:color w:val="231F20"/>
          <w:spacing w:val="11"/>
          <w:w w:val="105"/>
        </w:rPr>
        <w:t xml:space="preserve"> </w:t>
      </w:r>
      <w:r w:rsidRPr="00382BBA">
        <w:rPr>
          <w:rFonts w:ascii="Calibri" w:hAnsi="Calibri"/>
          <w:color w:val="231F20"/>
          <w:w w:val="105"/>
        </w:rPr>
        <w:t>rate</w:t>
      </w:r>
      <w:r w:rsidRPr="00382BBA">
        <w:rPr>
          <w:rFonts w:ascii="Calibri" w:hAnsi="Calibri"/>
          <w:color w:val="231F20"/>
          <w:spacing w:val="11"/>
          <w:w w:val="105"/>
        </w:rPr>
        <w:t xml:space="preserve"> </w:t>
      </w:r>
      <w:r w:rsidRPr="00382BBA">
        <w:rPr>
          <w:rFonts w:ascii="Calibri" w:hAnsi="Calibri"/>
          <w:color w:val="231F20"/>
          <w:w w:val="105"/>
        </w:rPr>
        <w:t>began</w:t>
      </w:r>
      <w:r w:rsidRPr="00382BBA">
        <w:rPr>
          <w:rFonts w:ascii="Calibri" w:hAnsi="Calibri"/>
          <w:color w:val="231F20"/>
          <w:spacing w:val="11"/>
          <w:w w:val="105"/>
        </w:rPr>
        <w:t xml:space="preserve"> </w:t>
      </w:r>
      <w:r w:rsidRPr="00382BBA">
        <w:rPr>
          <w:rFonts w:ascii="Calibri" w:hAnsi="Calibri"/>
          <w:color w:val="231F20"/>
          <w:w w:val="105"/>
        </w:rPr>
        <w:t>to</w:t>
      </w:r>
      <w:r w:rsidRPr="00382BBA">
        <w:rPr>
          <w:rFonts w:ascii="Calibri" w:hAnsi="Calibri"/>
          <w:color w:val="231F20"/>
          <w:spacing w:val="11"/>
          <w:w w:val="105"/>
        </w:rPr>
        <w:t xml:space="preserve"> </w:t>
      </w:r>
      <w:r w:rsidRPr="00382BBA">
        <w:rPr>
          <w:rFonts w:ascii="Calibri" w:hAnsi="Calibri"/>
          <w:color w:val="231F20"/>
          <w:w w:val="105"/>
        </w:rPr>
        <w:t>exceed</w:t>
      </w:r>
      <w:r w:rsidRPr="00382BBA">
        <w:rPr>
          <w:rFonts w:ascii="Calibri" w:hAnsi="Calibri"/>
          <w:color w:val="231F20"/>
          <w:spacing w:val="11"/>
          <w:w w:val="105"/>
        </w:rPr>
        <w:t xml:space="preserve"> </w:t>
      </w:r>
      <w:r w:rsidRPr="00382BBA">
        <w:rPr>
          <w:rFonts w:ascii="Calibri" w:hAnsi="Calibri"/>
          <w:color w:val="231F20"/>
          <w:w w:val="105"/>
        </w:rPr>
        <w:t>the</w:t>
      </w:r>
      <w:r w:rsidRPr="00382BBA">
        <w:rPr>
          <w:rFonts w:ascii="Calibri" w:hAnsi="Calibri"/>
          <w:color w:val="231F20"/>
          <w:spacing w:val="11"/>
          <w:w w:val="105"/>
        </w:rPr>
        <w:t xml:space="preserve"> </w:t>
      </w:r>
      <w:r w:rsidRPr="00382BBA">
        <w:rPr>
          <w:rFonts w:ascii="Calibri" w:hAnsi="Calibri"/>
          <w:color w:val="231F20"/>
          <w:w w:val="105"/>
        </w:rPr>
        <w:t>national</w:t>
      </w:r>
      <w:r w:rsidRPr="00382BBA">
        <w:rPr>
          <w:rFonts w:ascii="Calibri" w:hAnsi="Calibri"/>
          <w:color w:val="231F20"/>
          <w:spacing w:val="11"/>
          <w:w w:val="105"/>
        </w:rPr>
        <w:t xml:space="preserve"> </w:t>
      </w:r>
      <w:r w:rsidRPr="00382BBA">
        <w:rPr>
          <w:rFonts w:ascii="Calibri" w:hAnsi="Calibri"/>
          <w:color w:val="231F20"/>
          <w:w w:val="105"/>
        </w:rPr>
        <w:t>rate</w:t>
      </w:r>
      <w:r w:rsidRPr="00382BBA">
        <w:rPr>
          <w:rFonts w:ascii="Calibri" w:hAnsi="Calibri"/>
          <w:color w:val="231F20"/>
          <w:spacing w:val="11"/>
          <w:w w:val="105"/>
        </w:rPr>
        <w:t xml:space="preserve"> </w:t>
      </w:r>
      <w:r w:rsidRPr="00382BBA">
        <w:rPr>
          <w:rFonts w:ascii="Calibri" w:hAnsi="Calibri"/>
          <w:color w:val="231F20"/>
          <w:w w:val="105"/>
        </w:rPr>
        <w:t>as</w:t>
      </w:r>
      <w:r w:rsidRPr="00382BBA">
        <w:rPr>
          <w:rFonts w:ascii="Calibri" w:hAnsi="Calibri"/>
          <w:color w:val="231F20"/>
          <w:spacing w:val="11"/>
          <w:w w:val="105"/>
        </w:rPr>
        <w:t xml:space="preserve"> </w:t>
      </w:r>
      <w:r w:rsidRPr="00382BBA">
        <w:rPr>
          <w:rFonts w:ascii="Calibri" w:hAnsi="Calibri"/>
          <w:color w:val="231F20"/>
          <w:w w:val="105"/>
        </w:rPr>
        <w:t>the</w:t>
      </w:r>
      <w:r w:rsidRPr="00382BBA">
        <w:rPr>
          <w:rFonts w:ascii="Calibri" w:hAnsi="Calibri"/>
          <w:color w:val="231F20"/>
          <w:spacing w:val="11"/>
          <w:w w:val="105"/>
        </w:rPr>
        <w:t xml:space="preserve"> </w:t>
      </w:r>
      <w:r w:rsidRPr="00382BBA">
        <w:rPr>
          <w:rFonts w:ascii="Calibri" w:hAnsi="Calibri"/>
          <w:color w:val="231F20"/>
          <w:w w:val="105"/>
        </w:rPr>
        <w:t>recession</w:t>
      </w:r>
      <w:r w:rsidRPr="00382BBA">
        <w:rPr>
          <w:rFonts w:ascii="Calibri" w:hAnsi="Calibri"/>
          <w:color w:val="231F20"/>
          <w:spacing w:val="11"/>
          <w:w w:val="105"/>
        </w:rPr>
        <w:t xml:space="preserve"> </w:t>
      </w:r>
      <w:r w:rsidRPr="00382BBA">
        <w:rPr>
          <w:rFonts w:ascii="Calibri" w:hAnsi="Calibri"/>
          <w:color w:val="231F20"/>
          <w:w w:val="105"/>
        </w:rPr>
        <w:t>continued</w:t>
      </w:r>
      <w:r w:rsidRPr="00382BBA">
        <w:rPr>
          <w:rFonts w:ascii="Calibri" w:hAnsi="Calibri"/>
          <w:color w:val="231F20"/>
          <w:spacing w:val="11"/>
          <w:w w:val="105"/>
        </w:rPr>
        <w:t xml:space="preserve"> </w:t>
      </w:r>
      <w:r w:rsidRPr="00382BBA">
        <w:rPr>
          <w:rFonts w:ascii="Calibri" w:hAnsi="Calibri"/>
          <w:color w:val="231F20"/>
          <w:w w:val="105"/>
        </w:rPr>
        <w:t>to</w:t>
      </w:r>
      <w:r w:rsidRPr="00382BBA">
        <w:rPr>
          <w:rFonts w:ascii="Calibri" w:hAnsi="Calibri"/>
          <w:color w:val="231F20"/>
          <w:spacing w:val="-7"/>
          <w:w w:val="105"/>
        </w:rPr>
        <w:t xml:space="preserve"> </w:t>
      </w:r>
      <w:r w:rsidRPr="00382BBA">
        <w:rPr>
          <w:rFonts w:ascii="Calibri" w:hAnsi="Calibri"/>
          <w:color w:val="231F20"/>
          <w:w w:val="105"/>
        </w:rPr>
        <w:t>develop</w:t>
      </w:r>
      <w:r w:rsidR="005E7C49">
        <w:rPr>
          <w:rFonts w:ascii="Calibri" w:hAnsi="Calibri"/>
          <w:color w:val="231F20"/>
          <w:w w:val="105"/>
        </w:rPr>
        <w:t xml:space="preserve">. </w:t>
      </w:r>
      <w:r w:rsidRPr="00382BBA">
        <w:rPr>
          <w:rFonts w:ascii="Calibri" w:hAnsi="Calibri"/>
          <w:color w:val="231F20"/>
          <w:w w:val="105"/>
        </w:rPr>
        <w:t>By January 2010, Florida’s rate was 11.2 compared to 9.8 for the nation</w:t>
      </w:r>
      <w:r w:rsidR="005E7C49">
        <w:rPr>
          <w:rFonts w:ascii="Calibri" w:hAnsi="Calibri"/>
          <w:color w:val="231F20"/>
          <w:w w:val="105"/>
        </w:rPr>
        <w:t xml:space="preserve">. </w:t>
      </w:r>
      <w:r w:rsidRPr="00382BBA">
        <w:rPr>
          <w:rFonts w:ascii="Calibri" w:hAnsi="Calibri"/>
          <w:color w:val="231F20"/>
          <w:w w:val="105"/>
        </w:rPr>
        <w:t>The unemployment</w:t>
      </w:r>
      <w:r w:rsidRPr="00382BBA">
        <w:rPr>
          <w:rFonts w:ascii="Calibri" w:hAnsi="Calibri"/>
          <w:color w:val="231F20"/>
          <w:w w:val="104"/>
        </w:rPr>
        <w:t xml:space="preserve"> </w:t>
      </w:r>
      <w:r w:rsidRPr="00382BBA">
        <w:rPr>
          <w:rFonts w:ascii="Calibri" w:hAnsi="Calibri"/>
          <w:color w:val="231F20"/>
          <w:w w:val="105"/>
        </w:rPr>
        <w:t>rates</w:t>
      </w:r>
      <w:r w:rsidRPr="00382BBA">
        <w:rPr>
          <w:rFonts w:ascii="Calibri" w:hAnsi="Calibri"/>
          <w:color w:val="231F20"/>
          <w:spacing w:val="11"/>
          <w:w w:val="105"/>
        </w:rPr>
        <w:t xml:space="preserve"> </w:t>
      </w:r>
      <w:r w:rsidRPr="00382BBA">
        <w:rPr>
          <w:rFonts w:ascii="Calibri" w:hAnsi="Calibri"/>
          <w:color w:val="231F20"/>
          <w:w w:val="105"/>
        </w:rPr>
        <w:t>for</w:t>
      </w:r>
      <w:r w:rsidRPr="00382BBA">
        <w:rPr>
          <w:rFonts w:ascii="Calibri" w:hAnsi="Calibri"/>
          <w:color w:val="231F20"/>
          <w:spacing w:val="11"/>
          <w:w w:val="105"/>
        </w:rPr>
        <w:t xml:space="preserve"> </w:t>
      </w:r>
      <w:r w:rsidRPr="00382BBA">
        <w:rPr>
          <w:rFonts w:ascii="Calibri" w:hAnsi="Calibri"/>
          <w:color w:val="231F20"/>
          <w:w w:val="105"/>
        </w:rPr>
        <w:t>Florida</w:t>
      </w:r>
      <w:r w:rsidRPr="00382BBA">
        <w:rPr>
          <w:rFonts w:ascii="Calibri" w:hAnsi="Calibri"/>
          <w:color w:val="231F20"/>
          <w:spacing w:val="11"/>
          <w:w w:val="105"/>
        </w:rPr>
        <w:t xml:space="preserve"> </w:t>
      </w:r>
      <w:r w:rsidRPr="00382BBA">
        <w:rPr>
          <w:rFonts w:ascii="Calibri" w:hAnsi="Calibri"/>
          <w:color w:val="231F20"/>
          <w:w w:val="105"/>
        </w:rPr>
        <w:t>and</w:t>
      </w:r>
      <w:r w:rsidRPr="00382BBA">
        <w:rPr>
          <w:rFonts w:ascii="Calibri" w:hAnsi="Calibri"/>
          <w:color w:val="231F20"/>
          <w:spacing w:val="11"/>
          <w:w w:val="105"/>
        </w:rPr>
        <w:t xml:space="preserve"> </w:t>
      </w:r>
      <w:r w:rsidRPr="00382BBA">
        <w:rPr>
          <w:rFonts w:ascii="Calibri" w:hAnsi="Calibri"/>
          <w:color w:val="231F20"/>
          <w:w w:val="105"/>
        </w:rPr>
        <w:t>the</w:t>
      </w:r>
      <w:r w:rsidRPr="00382BBA">
        <w:rPr>
          <w:rFonts w:ascii="Calibri" w:hAnsi="Calibri"/>
          <w:color w:val="231F20"/>
          <w:spacing w:val="11"/>
          <w:w w:val="105"/>
        </w:rPr>
        <w:t xml:space="preserve"> </w:t>
      </w:r>
      <w:r w:rsidRPr="00382BBA">
        <w:rPr>
          <w:rFonts w:ascii="Calibri" w:hAnsi="Calibri"/>
          <w:color w:val="231F20"/>
          <w:w w:val="105"/>
        </w:rPr>
        <w:t>nation</w:t>
      </w:r>
      <w:r w:rsidRPr="00382BBA">
        <w:rPr>
          <w:rFonts w:ascii="Calibri" w:hAnsi="Calibri"/>
          <w:color w:val="231F20"/>
          <w:spacing w:val="11"/>
          <w:w w:val="105"/>
        </w:rPr>
        <w:t xml:space="preserve"> </w:t>
      </w:r>
      <w:r w:rsidRPr="00382BBA">
        <w:rPr>
          <w:rFonts w:ascii="Calibri" w:hAnsi="Calibri"/>
          <w:color w:val="231F20"/>
          <w:w w:val="105"/>
        </w:rPr>
        <w:t>have</w:t>
      </w:r>
      <w:r w:rsidRPr="00382BBA">
        <w:rPr>
          <w:rFonts w:ascii="Calibri" w:hAnsi="Calibri"/>
          <w:color w:val="231F20"/>
          <w:spacing w:val="11"/>
          <w:w w:val="105"/>
        </w:rPr>
        <w:t xml:space="preserve"> </w:t>
      </w:r>
      <w:r w:rsidRPr="00382BBA">
        <w:rPr>
          <w:rFonts w:ascii="Calibri" w:hAnsi="Calibri"/>
          <w:color w:val="231F20"/>
          <w:w w:val="105"/>
        </w:rPr>
        <w:t>been</w:t>
      </w:r>
      <w:r w:rsidRPr="00382BBA">
        <w:rPr>
          <w:rFonts w:ascii="Calibri" w:hAnsi="Calibri"/>
          <w:color w:val="231F20"/>
          <w:spacing w:val="11"/>
          <w:w w:val="105"/>
        </w:rPr>
        <w:t xml:space="preserve"> </w:t>
      </w:r>
      <w:r w:rsidRPr="00382BBA">
        <w:rPr>
          <w:rFonts w:ascii="Calibri" w:hAnsi="Calibri"/>
          <w:color w:val="231F20"/>
          <w:w w:val="105"/>
        </w:rPr>
        <w:t>close</w:t>
      </w:r>
      <w:r w:rsidRPr="00382BBA">
        <w:rPr>
          <w:rFonts w:ascii="Calibri" w:hAnsi="Calibri"/>
          <w:color w:val="231F20"/>
          <w:spacing w:val="11"/>
          <w:w w:val="105"/>
        </w:rPr>
        <w:t xml:space="preserve"> </w:t>
      </w:r>
      <w:r w:rsidRPr="00382BBA">
        <w:rPr>
          <w:rFonts w:ascii="Calibri" w:hAnsi="Calibri"/>
          <w:color w:val="231F20"/>
          <w:w w:val="105"/>
        </w:rPr>
        <w:t>in</w:t>
      </w:r>
      <w:r w:rsidRPr="00382BBA">
        <w:rPr>
          <w:rFonts w:ascii="Calibri" w:hAnsi="Calibri"/>
          <w:color w:val="231F20"/>
          <w:spacing w:val="11"/>
          <w:w w:val="105"/>
        </w:rPr>
        <w:t xml:space="preserve"> </w:t>
      </w:r>
      <w:r w:rsidRPr="00382BBA">
        <w:rPr>
          <w:rFonts w:ascii="Calibri" w:hAnsi="Calibri"/>
          <w:color w:val="231F20"/>
          <w:w w:val="105"/>
        </w:rPr>
        <w:t>the</w:t>
      </w:r>
      <w:r w:rsidRPr="00382BBA">
        <w:rPr>
          <w:rFonts w:ascii="Calibri" w:hAnsi="Calibri"/>
          <w:color w:val="231F20"/>
          <w:spacing w:val="11"/>
          <w:w w:val="105"/>
        </w:rPr>
        <w:t xml:space="preserve"> </w:t>
      </w:r>
      <w:r w:rsidRPr="00382BBA">
        <w:rPr>
          <w:rFonts w:ascii="Calibri" w:hAnsi="Calibri"/>
          <w:color w:val="231F20"/>
          <w:w w:val="105"/>
        </w:rPr>
        <w:t>current</w:t>
      </w:r>
      <w:r w:rsidRPr="00382BBA">
        <w:rPr>
          <w:rFonts w:ascii="Calibri" w:hAnsi="Calibri"/>
          <w:color w:val="231F20"/>
          <w:spacing w:val="11"/>
          <w:w w:val="105"/>
        </w:rPr>
        <w:t xml:space="preserve"> </w:t>
      </w:r>
      <w:r w:rsidRPr="00382BBA">
        <w:rPr>
          <w:rFonts w:ascii="Calibri" w:hAnsi="Calibri"/>
          <w:color w:val="231F20"/>
          <w:w w:val="105"/>
        </w:rPr>
        <w:t>stage</w:t>
      </w:r>
      <w:r w:rsidRPr="00382BBA">
        <w:rPr>
          <w:rFonts w:ascii="Calibri" w:hAnsi="Calibri"/>
          <w:color w:val="231F20"/>
          <w:spacing w:val="11"/>
          <w:w w:val="105"/>
        </w:rPr>
        <w:t xml:space="preserve"> </w:t>
      </w:r>
      <w:r w:rsidRPr="00382BBA">
        <w:rPr>
          <w:rFonts w:ascii="Calibri" w:hAnsi="Calibri"/>
          <w:color w:val="231F20"/>
          <w:w w:val="105"/>
        </w:rPr>
        <w:t>of</w:t>
      </w:r>
      <w:r w:rsidRPr="00382BBA">
        <w:rPr>
          <w:rFonts w:ascii="Calibri" w:hAnsi="Calibri"/>
          <w:color w:val="231F20"/>
          <w:spacing w:val="11"/>
          <w:w w:val="105"/>
        </w:rPr>
        <w:t xml:space="preserve"> </w:t>
      </w:r>
      <w:r w:rsidRPr="00382BBA">
        <w:rPr>
          <w:rFonts w:ascii="Calibri" w:hAnsi="Calibri"/>
          <w:color w:val="231F20"/>
          <w:w w:val="105"/>
        </w:rPr>
        <w:t>the</w:t>
      </w:r>
      <w:r w:rsidRPr="00382BBA">
        <w:rPr>
          <w:rFonts w:ascii="Calibri" w:hAnsi="Calibri"/>
          <w:color w:val="231F20"/>
          <w:spacing w:val="11"/>
          <w:w w:val="105"/>
        </w:rPr>
        <w:t xml:space="preserve"> </w:t>
      </w:r>
      <w:r w:rsidRPr="00382BBA">
        <w:rPr>
          <w:rFonts w:ascii="Calibri" w:hAnsi="Calibri"/>
          <w:color w:val="231F20"/>
          <w:w w:val="105"/>
        </w:rPr>
        <w:t>recovery,</w:t>
      </w:r>
      <w:r w:rsidRPr="00382BBA">
        <w:rPr>
          <w:rFonts w:ascii="Calibri" w:hAnsi="Calibri"/>
          <w:color w:val="231F20"/>
          <w:spacing w:val="11"/>
          <w:w w:val="105"/>
        </w:rPr>
        <w:t xml:space="preserve"> </w:t>
      </w:r>
      <w:r w:rsidRPr="00382BBA">
        <w:rPr>
          <w:rFonts w:ascii="Calibri" w:hAnsi="Calibri"/>
          <w:color w:val="231F20"/>
          <w:w w:val="105"/>
        </w:rPr>
        <w:t>although</w:t>
      </w:r>
      <w:r w:rsidRPr="00382BBA">
        <w:rPr>
          <w:rFonts w:ascii="Calibri" w:hAnsi="Calibri"/>
          <w:color w:val="231F20"/>
          <w:spacing w:val="11"/>
          <w:w w:val="105"/>
        </w:rPr>
        <w:t xml:space="preserve"> </w:t>
      </w:r>
      <w:r w:rsidRPr="00382BBA">
        <w:rPr>
          <w:rFonts w:ascii="Calibri" w:hAnsi="Calibri"/>
          <w:color w:val="231F20"/>
          <w:w w:val="105"/>
        </w:rPr>
        <w:t>Florida has been</w:t>
      </w:r>
      <w:r w:rsidRPr="00382BBA">
        <w:rPr>
          <w:rFonts w:ascii="Calibri" w:hAnsi="Calibri"/>
          <w:color w:val="231F20"/>
          <w:spacing w:val="9"/>
          <w:w w:val="105"/>
        </w:rPr>
        <w:t xml:space="preserve"> </w:t>
      </w:r>
      <w:r w:rsidRPr="00382BBA">
        <w:rPr>
          <w:rFonts w:ascii="Calibri" w:hAnsi="Calibri"/>
          <w:color w:val="231F20"/>
          <w:w w:val="105"/>
        </w:rPr>
        <w:t>below the nation</w:t>
      </w:r>
      <w:r w:rsidR="00C10825">
        <w:rPr>
          <w:rFonts w:ascii="Calibri" w:hAnsi="Calibri"/>
          <w:color w:val="231F20"/>
          <w:w w:val="105"/>
        </w:rPr>
        <w:t>al rate</w:t>
      </w:r>
      <w:r w:rsidRPr="00382BBA">
        <w:rPr>
          <w:rFonts w:ascii="Calibri" w:hAnsi="Calibri"/>
          <w:color w:val="231F20"/>
          <w:w w:val="105"/>
        </w:rPr>
        <w:t xml:space="preserve"> since </w:t>
      </w:r>
      <w:r>
        <w:rPr>
          <w:rFonts w:ascii="Calibri" w:hAnsi="Calibri"/>
          <w:color w:val="231F20"/>
          <w:w w:val="105"/>
        </w:rPr>
        <w:t xml:space="preserve">June </w:t>
      </w:r>
      <w:r w:rsidRPr="00382BBA">
        <w:rPr>
          <w:rFonts w:ascii="Calibri" w:hAnsi="Calibri"/>
          <w:color w:val="231F20"/>
          <w:w w:val="105"/>
        </w:rPr>
        <w:t>2017</w:t>
      </w:r>
      <w:r w:rsidR="005E7C49">
        <w:rPr>
          <w:rFonts w:ascii="Calibri" w:hAnsi="Calibri"/>
          <w:color w:val="231F20"/>
          <w:w w:val="105"/>
        </w:rPr>
        <w:t xml:space="preserve">. </w:t>
      </w:r>
      <w:r w:rsidRPr="00382BBA">
        <w:rPr>
          <w:rFonts w:ascii="Calibri" w:hAnsi="Calibri"/>
          <w:color w:val="231F20"/>
          <w:w w:val="105"/>
        </w:rPr>
        <w:t>Below</w:t>
      </w:r>
      <w:r w:rsidRPr="00382BBA">
        <w:rPr>
          <w:rFonts w:ascii="Calibri" w:hAnsi="Calibri"/>
          <w:color w:val="231F20"/>
          <w:spacing w:val="9"/>
          <w:w w:val="105"/>
        </w:rPr>
        <w:t xml:space="preserve"> </w:t>
      </w:r>
      <w:r w:rsidRPr="00382BBA">
        <w:rPr>
          <w:rFonts w:ascii="Calibri" w:hAnsi="Calibri"/>
          <w:color w:val="231F20"/>
          <w:w w:val="105"/>
        </w:rPr>
        <w:t>are</w:t>
      </w:r>
      <w:r w:rsidRPr="00382BBA">
        <w:rPr>
          <w:rFonts w:ascii="Calibri" w:hAnsi="Calibri"/>
          <w:color w:val="231F20"/>
          <w:spacing w:val="9"/>
          <w:w w:val="105"/>
        </w:rPr>
        <w:t xml:space="preserve"> </w:t>
      </w:r>
      <w:r w:rsidRPr="00382BBA">
        <w:rPr>
          <w:rFonts w:ascii="Calibri" w:hAnsi="Calibri"/>
          <w:color w:val="231F20"/>
          <w:w w:val="105"/>
        </w:rPr>
        <w:t>national</w:t>
      </w:r>
      <w:r w:rsidRPr="00382BBA">
        <w:rPr>
          <w:rFonts w:ascii="Calibri" w:hAnsi="Calibri"/>
          <w:color w:val="231F20"/>
          <w:spacing w:val="9"/>
          <w:w w:val="105"/>
        </w:rPr>
        <w:t xml:space="preserve"> </w:t>
      </w:r>
      <w:r w:rsidRPr="00382BBA">
        <w:rPr>
          <w:rFonts w:ascii="Calibri" w:hAnsi="Calibri"/>
          <w:color w:val="231F20"/>
          <w:w w:val="105"/>
        </w:rPr>
        <w:t>and</w:t>
      </w:r>
      <w:r w:rsidRPr="00382BBA">
        <w:rPr>
          <w:rFonts w:ascii="Calibri" w:hAnsi="Calibri"/>
          <w:color w:val="231F20"/>
          <w:spacing w:val="9"/>
          <w:w w:val="105"/>
        </w:rPr>
        <w:t xml:space="preserve"> </w:t>
      </w:r>
      <w:r w:rsidRPr="00382BBA">
        <w:rPr>
          <w:rFonts w:ascii="Calibri" w:hAnsi="Calibri"/>
          <w:color w:val="231F20"/>
          <w:w w:val="105"/>
        </w:rPr>
        <w:t>Florida</w:t>
      </w:r>
      <w:r w:rsidRPr="00382BBA">
        <w:rPr>
          <w:rFonts w:ascii="Calibri" w:hAnsi="Calibri"/>
          <w:color w:val="231F20"/>
          <w:spacing w:val="9"/>
          <w:w w:val="105"/>
        </w:rPr>
        <w:t xml:space="preserve"> </w:t>
      </w:r>
      <w:r w:rsidRPr="00382BBA">
        <w:rPr>
          <w:rFonts w:ascii="Calibri" w:hAnsi="Calibri"/>
          <w:color w:val="231F20"/>
          <w:w w:val="105"/>
        </w:rPr>
        <w:t>statistics</w:t>
      </w:r>
      <w:r w:rsidRPr="00382BBA">
        <w:rPr>
          <w:rFonts w:ascii="Calibri" w:hAnsi="Calibri"/>
          <w:color w:val="231F20"/>
          <w:spacing w:val="9"/>
          <w:w w:val="105"/>
        </w:rPr>
        <w:t xml:space="preserve"> </w:t>
      </w:r>
      <w:r w:rsidRPr="00382BBA">
        <w:rPr>
          <w:rFonts w:ascii="Calibri" w:hAnsi="Calibri"/>
          <w:color w:val="231F20"/>
          <w:w w:val="105"/>
        </w:rPr>
        <w:t>on</w:t>
      </w:r>
      <w:r w:rsidRPr="00382BBA">
        <w:rPr>
          <w:rFonts w:ascii="Calibri" w:hAnsi="Calibri"/>
          <w:color w:val="231F20"/>
          <w:spacing w:val="9"/>
          <w:w w:val="105"/>
        </w:rPr>
        <w:t xml:space="preserve"> </w:t>
      </w:r>
      <w:r w:rsidRPr="00382BBA">
        <w:rPr>
          <w:rFonts w:ascii="Calibri" w:hAnsi="Calibri"/>
          <w:color w:val="231F20"/>
          <w:w w:val="105"/>
        </w:rPr>
        <w:t>full-term</w:t>
      </w:r>
      <w:r w:rsidRPr="00382BBA">
        <w:rPr>
          <w:rFonts w:ascii="Calibri" w:hAnsi="Calibri"/>
          <w:color w:val="231F20"/>
          <w:spacing w:val="9"/>
          <w:w w:val="105"/>
        </w:rPr>
        <w:t xml:space="preserve"> </w:t>
      </w:r>
      <w:r w:rsidRPr="00382BBA">
        <w:rPr>
          <w:rFonts w:ascii="Calibri" w:hAnsi="Calibri"/>
          <w:color w:val="231F20"/>
          <w:w w:val="105"/>
        </w:rPr>
        <w:t>and</w:t>
      </w:r>
      <w:r w:rsidRPr="00382BBA">
        <w:rPr>
          <w:rFonts w:ascii="Calibri" w:hAnsi="Calibri"/>
          <w:color w:val="231F20"/>
          <w:w w:val="108"/>
        </w:rPr>
        <w:t xml:space="preserve"> </w:t>
      </w:r>
      <w:r w:rsidRPr="00382BBA">
        <w:rPr>
          <w:rFonts w:ascii="Calibri" w:hAnsi="Calibri"/>
          <w:color w:val="231F20"/>
          <w:w w:val="105"/>
        </w:rPr>
        <w:t xml:space="preserve">part-time </w:t>
      </w:r>
      <w:r w:rsidRPr="005855C7">
        <w:rPr>
          <w:rFonts w:ascii="Calibri" w:hAnsi="Calibri"/>
          <w:color w:val="231F20"/>
          <w:w w:val="105"/>
        </w:rPr>
        <w:t>status of the employed</w:t>
      </w:r>
      <w:r w:rsidR="005E7C49">
        <w:rPr>
          <w:rFonts w:ascii="Calibri" w:hAnsi="Calibri"/>
          <w:color w:val="231F20"/>
          <w:w w:val="105"/>
        </w:rPr>
        <w:t xml:space="preserve">. </w:t>
      </w:r>
    </w:p>
    <w:p w14:paraId="16E6AB42" w14:textId="77777777" w:rsidR="00002D76" w:rsidRPr="00EA7458" w:rsidRDefault="00002D76" w:rsidP="00002D76">
      <w:pPr>
        <w:widowControl w:val="0"/>
        <w:spacing w:before="6" w:after="0" w:line="240" w:lineRule="auto"/>
        <w:rPr>
          <w:rFonts w:ascii="Calibri" w:hAnsi="Calibri" w:cs="Calibri"/>
          <w:sz w:val="16"/>
          <w:szCs w:val="16"/>
        </w:rPr>
      </w:pPr>
    </w:p>
    <w:p w14:paraId="2A44D147" w14:textId="77777777" w:rsidR="00002D76" w:rsidRPr="00EA7458" w:rsidRDefault="00002D76" w:rsidP="00D63204">
      <w:pPr>
        <w:widowControl w:val="0"/>
        <w:spacing w:after="0" w:line="266" w:lineRule="exact"/>
        <w:ind w:left="468" w:right="468"/>
        <w:outlineLvl w:val="2"/>
        <w:rPr>
          <w:rFonts w:ascii="Calibri" w:hAnsi="Calibri"/>
        </w:rPr>
      </w:pPr>
      <w:r w:rsidRPr="00EA7458">
        <w:rPr>
          <w:rFonts w:ascii="Calibri" w:hAnsi="Calibri"/>
          <w:b/>
          <w:bCs/>
          <w:color w:val="231F20"/>
          <w:w w:val="110"/>
        </w:rPr>
        <w:t>Figure</w:t>
      </w:r>
      <w:r w:rsidRPr="00EA7458">
        <w:rPr>
          <w:rFonts w:ascii="Calibri" w:hAnsi="Calibri"/>
          <w:b/>
          <w:bCs/>
          <w:color w:val="231F20"/>
          <w:spacing w:val="-2"/>
          <w:w w:val="110"/>
        </w:rPr>
        <w:t xml:space="preserve"> </w:t>
      </w:r>
      <w:r w:rsidRPr="00EA7458">
        <w:rPr>
          <w:rFonts w:ascii="Calibri" w:hAnsi="Calibri"/>
          <w:b/>
          <w:bCs/>
          <w:color w:val="231F20"/>
          <w:spacing w:val="-6"/>
          <w:w w:val="110"/>
        </w:rPr>
        <w:t>2.16</w:t>
      </w:r>
    </w:p>
    <w:p w14:paraId="2D1D6384" w14:textId="5F0D80E0" w:rsidR="00002D76" w:rsidRDefault="00633F73" w:rsidP="00D63204">
      <w:pPr>
        <w:widowControl w:val="0"/>
        <w:spacing w:before="2" w:after="0" w:line="235" w:lineRule="auto"/>
        <w:ind w:left="2673" w:right="2671"/>
        <w:rPr>
          <w:rFonts w:ascii="Calibri" w:hAnsi="Calibri"/>
          <w:b/>
          <w:color w:val="231F20"/>
          <w:w w:val="115"/>
        </w:rPr>
      </w:pPr>
      <w:r w:rsidRPr="00EA7458">
        <w:rPr>
          <w:rFonts w:ascii="Calibri" w:hAnsi="Calibri"/>
          <w:b/>
          <w:color w:val="231F20"/>
          <w:w w:val="115"/>
        </w:rPr>
        <w:t>Employment</w:t>
      </w:r>
      <w:r w:rsidRPr="00EA7458">
        <w:rPr>
          <w:rFonts w:ascii="Calibri" w:hAnsi="Calibri"/>
          <w:b/>
          <w:color w:val="231F20"/>
          <w:spacing w:val="-14"/>
          <w:w w:val="115"/>
        </w:rPr>
        <w:t xml:space="preserve"> </w:t>
      </w:r>
      <w:r w:rsidRPr="00EA7458">
        <w:rPr>
          <w:rFonts w:ascii="Calibri" w:hAnsi="Calibri"/>
          <w:b/>
          <w:color w:val="231F20"/>
          <w:spacing w:val="-5"/>
          <w:w w:val="115"/>
        </w:rPr>
        <w:t>Status-</w:t>
      </w:r>
      <w:r w:rsidRPr="00EA7458">
        <w:rPr>
          <w:rFonts w:ascii="Calibri" w:hAnsi="Calibri"/>
          <w:b/>
          <w:color w:val="231F20"/>
          <w:spacing w:val="-14"/>
          <w:w w:val="115"/>
        </w:rPr>
        <w:t xml:space="preserve"> </w:t>
      </w:r>
      <w:r w:rsidRPr="00EA7458">
        <w:rPr>
          <w:rFonts w:ascii="Calibri" w:hAnsi="Calibri"/>
          <w:b/>
          <w:color w:val="231F20"/>
          <w:w w:val="115"/>
        </w:rPr>
        <w:t>U.S.</w:t>
      </w:r>
      <w:r w:rsidRPr="00EA7458">
        <w:rPr>
          <w:rFonts w:ascii="Calibri" w:hAnsi="Calibri"/>
          <w:b/>
          <w:color w:val="231F20"/>
          <w:spacing w:val="-14"/>
          <w:w w:val="115"/>
        </w:rPr>
        <w:t xml:space="preserve"> </w:t>
      </w:r>
      <w:r w:rsidRPr="00EA7458">
        <w:rPr>
          <w:rFonts w:ascii="Calibri" w:hAnsi="Calibri"/>
          <w:b/>
          <w:color w:val="231F20"/>
          <w:w w:val="115"/>
        </w:rPr>
        <w:t>Versus</w:t>
      </w:r>
      <w:r w:rsidRPr="00EA7458">
        <w:rPr>
          <w:rFonts w:ascii="Calibri" w:hAnsi="Calibri"/>
          <w:b/>
          <w:color w:val="231F20"/>
          <w:spacing w:val="-14"/>
          <w:w w:val="115"/>
        </w:rPr>
        <w:t xml:space="preserve"> </w:t>
      </w:r>
      <w:r w:rsidRPr="00EA7458">
        <w:rPr>
          <w:rFonts w:ascii="Calibri" w:hAnsi="Calibri"/>
          <w:b/>
          <w:color w:val="231F20"/>
          <w:w w:val="115"/>
        </w:rPr>
        <w:t>Florida</w:t>
      </w:r>
      <w:r w:rsidRPr="00EA7458">
        <w:rPr>
          <w:rFonts w:ascii="Calibri" w:hAnsi="Calibri"/>
          <w:b/>
          <w:color w:val="231F20"/>
          <w:w w:val="112"/>
        </w:rPr>
        <w:t xml:space="preserve"> </w:t>
      </w:r>
      <w:r w:rsidRPr="00263716">
        <w:rPr>
          <w:rFonts w:ascii="Calibri" w:hAnsi="Calibri"/>
          <w:b/>
          <w:color w:val="231F20"/>
          <w:w w:val="115"/>
        </w:rPr>
        <w:t xml:space="preserve"> </w:t>
      </w:r>
      <w:r w:rsidRPr="005855C7">
        <w:rPr>
          <w:rFonts w:ascii="Calibri" w:hAnsi="Calibri"/>
          <w:b/>
          <w:color w:val="231F20"/>
          <w:w w:val="115"/>
        </w:rPr>
        <w:t>November</w:t>
      </w:r>
      <w:r w:rsidRPr="005855C7">
        <w:rPr>
          <w:rFonts w:ascii="Calibri" w:hAnsi="Calibri"/>
          <w:b/>
          <w:color w:val="231F20"/>
          <w:spacing w:val="-20"/>
          <w:w w:val="115"/>
        </w:rPr>
        <w:t xml:space="preserve"> </w:t>
      </w:r>
      <w:r w:rsidRPr="005855C7">
        <w:rPr>
          <w:rFonts w:ascii="Calibri" w:hAnsi="Calibri"/>
          <w:b/>
          <w:color w:val="231F20"/>
          <w:w w:val="115"/>
        </w:rPr>
        <w:t>2017</w:t>
      </w:r>
    </w:p>
    <w:p w14:paraId="5B7F86CF" w14:textId="77777777" w:rsidR="00002D76" w:rsidRPr="00EA7458" w:rsidRDefault="00002D76" w:rsidP="00D63204">
      <w:pPr>
        <w:widowControl w:val="0"/>
        <w:spacing w:before="2" w:after="0" w:line="235" w:lineRule="auto"/>
        <w:ind w:left="2673" w:right="2671"/>
        <w:rPr>
          <w:rFonts w:ascii="Calibri" w:hAnsi="Calibri" w:cs="Calibri"/>
        </w:rPr>
      </w:pPr>
    </w:p>
    <w:tbl>
      <w:tblPr>
        <w:tblW w:w="0" w:type="auto"/>
        <w:tblInd w:w="108" w:type="dxa"/>
        <w:tblLayout w:type="fixed"/>
        <w:tblCellMar>
          <w:left w:w="0" w:type="dxa"/>
          <w:right w:w="0" w:type="dxa"/>
        </w:tblCellMar>
        <w:tblLook w:val="01E0" w:firstRow="1" w:lastRow="1" w:firstColumn="1" w:lastColumn="1" w:noHBand="0" w:noVBand="0"/>
      </w:tblPr>
      <w:tblGrid>
        <w:gridCol w:w="2769"/>
        <w:gridCol w:w="1800"/>
        <w:gridCol w:w="1933"/>
        <w:gridCol w:w="1785"/>
        <w:gridCol w:w="1866"/>
      </w:tblGrid>
      <w:tr w:rsidR="00002D76" w:rsidRPr="005855C7" w14:paraId="300E63F3" w14:textId="77777777" w:rsidTr="001429C7">
        <w:trPr>
          <w:trHeight w:hRule="exact" w:val="1213"/>
        </w:trPr>
        <w:tc>
          <w:tcPr>
            <w:tcW w:w="2769" w:type="dxa"/>
            <w:tcBorders>
              <w:top w:val="single" w:sz="2" w:space="0" w:color="231F20"/>
              <w:left w:val="single" w:sz="2" w:space="0" w:color="231F20"/>
              <w:bottom w:val="single" w:sz="2" w:space="0" w:color="231F20"/>
              <w:right w:val="single" w:sz="2" w:space="0" w:color="231F20"/>
            </w:tcBorders>
          </w:tcPr>
          <w:p w14:paraId="46639475" w14:textId="77777777" w:rsidR="00002D76" w:rsidRPr="005855C7" w:rsidRDefault="00002D76" w:rsidP="001429C7">
            <w:pPr>
              <w:widowControl w:val="0"/>
              <w:spacing w:after="0" w:line="240" w:lineRule="auto"/>
              <w:rPr>
                <w:rFonts w:ascii="Calibri" w:hAnsi="Calibri" w:cs="Calibri"/>
                <w:b/>
                <w:bCs/>
                <w:sz w:val="20"/>
                <w:szCs w:val="20"/>
              </w:rPr>
            </w:pPr>
          </w:p>
          <w:p w14:paraId="75431D80" w14:textId="77777777" w:rsidR="00002D76" w:rsidRPr="005855C7" w:rsidRDefault="00002D76" w:rsidP="00D63204">
            <w:pPr>
              <w:widowControl w:val="0"/>
              <w:spacing w:before="128" w:after="0" w:line="240" w:lineRule="auto"/>
              <w:ind w:left="522"/>
              <w:rPr>
                <w:rFonts w:ascii="Calibri" w:hAnsi="Calibri" w:cs="Calibri"/>
                <w:sz w:val="20"/>
                <w:szCs w:val="20"/>
              </w:rPr>
            </w:pPr>
            <w:r w:rsidRPr="005855C7">
              <w:rPr>
                <w:rFonts w:ascii="Calibri" w:hAnsi="Calibri"/>
                <w:b/>
                <w:color w:val="231F20"/>
                <w:w w:val="110"/>
                <w:sz w:val="20"/>
              </w:rPr>
              <w:t>Employment</w:t>
            </w:r>
            <w:r w:rsidRPr="005855C7">
              <w:rPr>
                <w:rFonts w:ascii="Calibri" w:hAnsi="Calibri"/>
                <w:b/>
                <w:color w:val="231F20"/>
                <w:spacing w:val="-27"/>
                <w:w w:val="110"/>
                <w:sz w:val="20"/>
              </w:rPr>
              <w:t xml:space="preserve"> </w:t>
            </w:r>
            <w:r w:rsidRPr="005855C7">
              <w:rPr>
                <w:rFonts w:ascii="Calibri" w:hAnsi="Calibri"/>
                <w:b/>
                <w:color w:val="231F20"/>
                <w:w w:val="110"/>
                <w:sz w:val="20"/>
              </w:rPr>
              <w:t>Status</w:t>
            </w:r>
          </w:p>
        </w:tc>
        <w:tc>
          <w:tcPr>
            <w:tcW w:w="1800" w:type="dxa"/>
            <w:tcBorders>
              <w:top w:val="single" w:sz="2" w:space="0" w:color="231F20"/>
              <w:left w:val="single" w:sz="2" w:space="0" w:color="231F20"/>
              <w:bottom w:val="single" w:sz="2" w:space="0" w:color="231F20"/>
              <w:right w:val="single" w:sz="2" w:space="0" w:color="231F20"/>
            </w:tcBorders>
          </w:tcPr>
          <w:p w14:paraId="2ACF9EE7" w14:textId="77777777" w:rsidR="00002D76" w:rsidRPr="005855C7" w:rsidRDefault="00002D76" w:rsidP="00D63204">
            <w:pPr>
              <w:widowControl w:val="0"/>
              <w:spacing w:before="7" w:after="0" w:line="240" w:lineRule="auto"/>
              <w:rPr>
                <w:rFonts w:ascii="Calibri" w:hAnsi="Calibri" w:cs="Calibri"/>
                <w:b/>
                <w:bCs/>
                <w:sz w:val="20"/>
                <w:szCs w:val="20"/>
              </w:rPr>
            </w:pPr>
          </w:p>
          <w:p w14:paraId="7A0FD0DE" w14:textId="77777777" w:rsidR="00002D76" w:rsidRPr="005855C7" w:rsidRDefault="00002D76" w:rsidP="00D63204">
            <w:pPr>
              <w:widowControl w:val="0"/>
              <w:spacing w:after="0" w:line="240" w:lineRule="exact"/>
              <w:ind w:left="153" w:right="75" w:firstLine="732"/>
              <w:rPr>
                <w:rFonts w:ascii="Calibri" w:hAnsi="Calibri" w:cs="Calibri"/>
                <w:sz w:val="20"/>
                <w:szCs w:val="20"/>
              </w:rPr>
            </w:pPr>
            <w:r w:rsidRPr="005855C7">
              <w:rPr>
                <w:rFonts w:ascii="Calibri" w:hAnsi="Calibri"/>
                <w:b/>
                <w:color w:val="231F20"/>
                <w:w w:val="105"/>
                <w:sz w:val="20"/>
              </w:rPr>
              <w:t>National</w:t>
            </w:r>
            <w:r w:rsidRPr="005855C7">
              <w:rPr>
                <w:rFonts w:ascii="Calibri" w:hAnsi="Calibri"/>
                <w:b/>
                <w:color w:val="231F20"/>
                <w:w w:val="107"/>
                <w:sz w:val="20"/>
              </w:rPr>
              <w:t xml:space="preserve"> </w:t>
            </w:r>
            <w:r w:rsidRPr="005855C7">
              <w:rPr>
                <w:rFonts w:ascii="Calibri" w:hAnsi="Calibri"/>
                <w:b/>
                <w:color w:val="231F20"/>
                <w:w w:val="110"/>
                <w:sz w:val="20"/>
              </w:rPr>
              <w:t>November 2017</w:t>
            </w:r>
          </w:p>
          <w:p w14:paraId="4BCCC364" w14:textId="77777777" w:rsidR="00002D76" w:rsidRPr="005855C7" w:rsidRDefault="00002D76" w:rsidP="00D63204">
            <w:pPr>
              <w:widowControl w:val="0"/>
              <w:spacing w:before="1" w:after="0" w:line="240" w:lineRule="auto"/>
              <w:ind w:left="791"/>
              <w:rPr>
                <w:rFonts w:ascii="Calibri" w:hAnsi="Calibri" w:cs="Calibri"/>
                <w:sz w:val="20"/>
                <w:szCs w:val="20"/>
              </w:rPr>
            </w:pPr>
            <w:r w:rsidRPr="005855C7">
              <w:rPr>
                <w:rFonts w:ascii="Calibri" w:hAnsi="Calibri"/>
                <w:b/>
                <w:color w:val="231F20"/>
                <w:w w:val="105"/>
                <w:sz w:val="20"/>
              </w:rPr>
              <w:t>(monthly)</w:t>
            </w:r>
          </w:p>
        </w:tc>
        <w:tc>
          <w:tcPr>
            <w:tcW w:w="1933" w:type="dxa"/>
            <w:tcBorders>
              <w:top w:val="single" w:sz="2" w:space="0" w:color="231F20"/>
              <w:left w:val="single" w:sz="2" w:space="0" w:color="231F20"/>
              <w:bottom w:val="single" w:sz="2" w:space="0" w:color="231F20"/>
              <w:right w:val="single" w:sz="2" w:space="0" w:color="231F20"/>
            </w:tcBorders>
          </w:tcPr>
          <w:p w14:paraId="0970BF27" w14:textId="77777777" w:rsidR="00002D76" w:rsidRPr="005855C7" w:rsidRDefault="00002D76" w:rsidP="00D63204">
            <w:pPr>
              <w:widowControl w:val="0"/>
              <w:spacing w:before="8" w:after="0" w:line="240" w:lineRule="auto"/>
              <w:rPr>
                <w:rFonts w:ascii="Calibri" w:hAnsi="Calibri" w:cs="Calibri"/>
                <w:b/>
                <w:bCs/>
                <w:sz w:val="20"/>
                <w:szCs w:val="20"/>
              </w:rPr>
            </w:pPr>
          </w:p>
          <w:p w14:paraId="4561FD41" w14:textId="77777777" w:rsidR="00002D76" w:rsidRPr="005855C7" w:rsidRDefault="00002D76" w:rsidP="00D63204">
            <w:pPr>
              <w:widowControl w:val="0"/>
              <w:spacing w:after="0" w:line="242" w:lineRule="exact"/>
              <w:ind w:left="213"/>
              <w:rPr>
                <w:rFonts w:ascii="Calibri" w:hAnsi="Calibri" w:cs="Calibri"/>
                <w:sz w:val="20"/>
                <w:szCs w:val="20"/>
              </w:rPr>
            </w:pPr>
            <w:r w:rsidRPr="005855C7">
              <w:rPr>
                <w:rFonts w:ascii="Calibri" w:hAnsi="Calibri"/>
                <w:b/>
                <w:color w:val="231F20"/>
                <w:w w:val="105"/>
                <w:sz w:val="20"/>
              </w:rPr>
              <w:t>National</w:t>
            </w:r>
            <w:r w:rsidRPr="005855C7">
              <w:rPr>
                <w:rFonts w:ascii="Calibri" w:hAnsi="Calibri"/>
                <w:b/>
                <w:color w:val="231F20"/>
                <w:spacing w:val="29"/>
                <w:w w:val="105"/>
                <w:sz w:val="20"/>
              </w:rPr>
              <w:t xml:space="preserve"> </w:t>
            </w:r>
            <w:r w:rsidRPr="005855C7">
              <w:rPr>
                <w:rFonts w:ascii="Calibri" w:hAnsi="Calibri"/>
                <w:b/>
                <w:color w:val="231F20"/>
                <w:w w:val="105"/>
                <w:sz w:val="20"/>
              </w:rPr>
              <w:t>Over-the-</w:t>
            </w:r>
          </w:p>
          <w:p w14:paraId="5B3D8865" w14:textId="77777777" w:rsidR="00002D76" w:rsidRPr="005855C7" w:rsidRDefault="00002D76" w:rsidP="00D63204">
            <w:pPr>
              <w:widowControl w:val="0"/>
              <w:spacing w:before="1" w:after="0" w:line="235" w:lineRule="auto"/>
              <w:ind w:left="1022" w:right="75" w:hanging="296"/>
              <w:rPr>
                <w:rFonts w:ascii="Calibri" w:hAnsi="Calibri" w:cs="Calibri"/>
                <w:sz w:val="20"/>
                <w:szCs w:val="20"/>
              </w:rPr>
            </w:pPr>
            <w:r w:rsidRPr="005855C7">
              <w:rPr>
                <w:rFonts w:ascii="Calibri" w:hAnsi="Calibri"/>
                <w:b/>
                <w:color w:val="231F20"/>
                <w:spacing w:val="-6"/>
                <w:w w:val="105"/>
                <w:sz w:val="20"/>
              </w:rPr>
              <w:t xml:space="preserve">Year </w:t>
            </w:r>
            <w:r w:rsidRPr="005855C7">
              <w:rPr>
                <w:rFonts w:ascii="Calibri" w:hAnsi="Calibri"/>
                <w:b/>
                <w:color w:val="231F20"/>
                <w:w w:val="105"/>
                <w:sz w:val="20"/>
              </w:rPr>
              <w:t>Change</w:t>
            </w:r>
            <w:r w:rsidRPr="005855C7">
              <w:rPr>
                <w:rFonts w:ascii="Calibri" w:hAnsi="Calibri"/>
                <w:b/>
                <w:color w:val="231F20"/>
                <w:spacing w:val="-35"/>
                <w:w w:val="105"/>
                <w:sz w:val="20"/>
              </w:rPr>
              <w:t xml:space="preserve"> </w:t>
            </w:r>
            <w:r w:rsidRPr="005855C7">
              <w:rPr>
                <w:rFonts w:ascii="Calibri" w:hAnsi="Calibri"/>
                <w:b/>
                <w:color w:val="231F20"/>
                <w:sz w:val="20"/>
              </w:rPr>
              <w:t>(monthly)</w:t>
            </w:r>
          </w:p>
        </w:tc>
        <w:tc>
          <w:tcPr>
            <w:tcW w:w="1785" w:type="dxa"/>
            <w:tcBorders>
              <w:top w:val="single" w:sz="2" w:space="0" w:color="231F20"/>
              <w:left w:val="single" w:sz="2" w:space="0" w:color="231F20"/>
              <w:bottom w:val="single" w:sz="2" w:space="0" w:color="231F20"/>
              <w:right w:val="single" w:sz="2" w:space="0" w:color="231F20"/>
            </w:tcBorders>
          </w:tcPr>
          <w:p w14:paraId="62A6661A" w14:textId="77777777" w:rsidR="00002D76" w:rsidRPr="005855C7" w:rsidRDefault="00002D76" w:rsidP="00D63204">
            <w:pPr>
              <w:widowControl w:val="0"/>
              <w:spacing w:before="131" w:after="0" w:line="240" w:lineRule="exact"/>
              <w:ind w:left="77" w:right="75" w:firstLine="997"/>
              <w:rPr>
                <w:rFonts w:ascii="Calibri" w:hAnsi="Calibri" w:cs="Calibri"/>
                <w:sz w:val="20"/>
                <w:szCs w:val="20"/>
              </w:rPr>
            </w:pPr>
            <w:r w:rsidRPr="005855C7">
              <w:rPr>
                <w:rFonts w:ascii="Calibri" w:hAnsi="Calibri"/>
                <w:b/>
                <w:color w:val="231F20"/>
                <w:w w:val="105"/>
                <w:sz w:val="20"/>
              </w:rPr>
              <w:t>Florida</w:t>
            </w:r>
            <w:r w:rsidRPr="005855C7">
              <w:rPr>
                <w:rFonts w:ascii="Calibri" w:hAnsi="Calibri"/>
                <w:b/>
                <w:color w:val="231F20"/>
                <w:w w:val="109"/>
                <w:sz w:val="20"/>
              </w:rPr>
              <w:t xml:space="preserve"> </w:t>
            </w:r>
            <w:r w:rsidRPr="005855C7">
              <w:rPr>
                <w:rFonts w:ascii="Calibri" w:hAnsi="Calibri"/>
                <w:b/>
                <w:color w:val="231F20"/>
                <w:w w:val="110"/>
                <w:sz w:val="20"/>
              </w:rPr>
              <w:t xml:space="preserve">November 2017 </w:t>
            </w:r>
            <w:r w:rsidRPr="005855C7">
              <w:rPr>
                <w:rFonts w:ascii="Calibri" w:hAnsi="Calibri"/>
                <w:b/>
                <w:color w:val="231F20"/>
                <w:w w:val="105"/>
                <w:sz w:val="20"/>
              </w:rPr>
              <w:t>(12-month</w:t>
            </w:r>
            <w:r w:rsidRPr="005855C7">
              <w:rPr>
                <w:rFonts w:ascii="Calibri" w:hAnsi="Calibri"/>
                <w:b/>
                <w:color w:val="231F20"/>
                <w:spacing w:val="5"/>
                <w:w w:val="105"/>
                <w:sz w:val="20"/>
              </w:rPr>
              <w:t xml:space="preserve"> </w:t>
            </w:r>
            <w:r w:rsidRPr="005855C7">
              <w:rPr>
                <w:rFonts w:ascii="Calibri" w:hAnsi="Calibri"/>
                <w:b/>
                <w:color w:val="231F20"/>
                <w:w w:val="105"/>
                <w:sz w:val="20"/>
              </w:rPr>
              <w:t>moving</w:t>
            </w:r>
          </w:p>
          <w:p w14:paraId="24A7E45D" w14:textId="77777777" w:rsidR="00002D76" w:rsidRPr="005855C7" w:rsidRDefault="00002D76" w:rsidP="00D63204">
            <w:pPr>
              <w:widowControl w:val="0"/>
              <w:spacing w:before="1" w:after="0" w:line="240" w:lineRule="auto"/>
              <w:ind w:right="75"/>
              <w:rPr>
                <w:rFonts w:ascii="Calibri" w:hAnsi="Calibri" w:cs="Calibri"/>
                <w:sz w:val="20"/>
                <w:szCs w:val="20"/>
              </w:rPr>
            </w:pPr>
            <w:r w:rsidRPr="005855C7">
              <w:rPr>
                <w:rFonts w:ascii="Calibri" w:hAnsi="Calibri"/>
                <w:b/>
                <w:color w:val="231F20"/>
                <w:w w:val="105"/>
                <w:sz w:val="20"/>
              </w:rPr>
              <w:t>average)</w:t>
            </w:r>
          </w:p>
        </w:tc>
        <w:tc>
          <w:tcPr>
            <w:tcW w:w="1866" w:type="dxa"/>
            <w:tcBorders>
              <w:top w:val="single" w:sz="2" w:space="0" w:color="231F20"/>
              <w:left w:val="single" w:sz="2" w:space="0" w:color="231F20"/>
              <w:bottom w:val="single" w:sz="2" w:space="0" w:color="231F20"/>
              <w:right w:val="single" w:sz="2" w:space="0" w:color="231F20"/>
            </w:tcBorders>
          </w:tcPr>
          <w:p w14:paraId="57F0935C" w14:textId="77777777" w:rsidR="00002D76" w:rsidRPr="005855C7" w:rsidRDefault="00002D76" w:rsidP="00D63204">
            <w:pPr>
              <w:widowControl w:val="0"/>
              <w:spacing w:before="132" w:after="0" w:line="242" w:lineRule="exact"/>
              <w:ind w:left="631" w:hanging="380"/>
              <w:rPr>
                <w:rFonts w:ascii="Calibri" w:hAnsi="Calibri" w:cs="Calibri"/>
                <w:sz w:val="20"/>
                <w:szCs w:val="20"/>
              </w:rPr>
            </w:pPr>
            <w:r w:rsidRPr="005855C7">
              <w:rPr>
                <w:rFonts w:ascii="Calibri" w:hAnsi="Calibri"/>
                <w:b/>
                <w:color w:val="231F20"/>
                <w:w w:val="110"/>
                <w:sz w:val="20"/>
              </w:rPr>
              <w:t>Florida</w:t>
            </w:r>
            <w:r w:rsidRPr="005855C7">
              <w:rPr>
                <w:rFonts w:ascii="Calibri" w:hAnsi="Calibri"/>
                <w:b/>
                <w:color w:val="231F20"/>
                <w:spacing w:val="-32"/>
                <w:w w:val="110"/>
                <w:sz w:val="20"/>
              </w:rPr>
              <w:t xml:space="preserve"> </w:t>
            </w:r>
            <w:r w:rsidRPr="005855C7">
              <w:rPr>
                <w:rFonts w:ascii="Calibri" w:hAnsi="Calibri"/>
                <w:b/>
                <w:color w:val="231F20"/>
                <w:w w:val="110"/>
                <w:sz w:val="20"/>
              </w:rPr>
              <w:t>Over-the-</w:t>
            </w:r>
          </w:p>
          <w:p w14:paraId="43520684" w14:textId="77777777" w:rsidR="00002D76" w:rsidRPr="005855C7" w:rsidRDefault="00002D76" w:rsidP="00D63204">
            <w:pPr>
              <w:widowControl w:val="0"/>
              <w:spacing w:before="1" w:after="0" w:line="235" w:lineRule="auto"/>
              <w:ind w:left="154" w:right="75" w:firstLine="476"/>
              <w:rPr>
                <w:rFonts w:ascii="Calibri" w:hAnsi="Calibri" w:cs="Calibri"/>
                <w:sz w:val="20"/>
                <w:szCs w:val="20"/>
              </w:rPr>
            </w:pPr>
            <w:r w:rsidRPr="005855C7">
              <w:rPr>
                <w:rFonts w:ascii="Calibri" w:hAnsi="Calibri"/>
                <w:b/>
                <w:color w:val="231F20"/>
                <w:spacing w:val="-6"/>
                <w:w w:val="110"/>
                <w:sz w:val="20"/>
              </w:rPr>
              <w:t>Year</w:t>
            </w:r>
            <w:r w:rsidRPr="005855C7">
              <w:rPr>
                <w:rFonts w:ascii="Calibri" w:hAnsi="Calibri"/>
                <w:b/>
                <w:color w:val="231F20"/>
                <w:spacing w:val="32"/>
                <w:w w:val="110"/>
                <w:sz w:val="20"/>
              </w:rPr>
              <w:t xml:space="preserve"> </w:t>
            </w:r>
            <w:r w:rsidRPr="005855C7">
              <w:rPr>
                <w:rFonts w:ascii="Calibri" w:hAnsi="Calibri"/>
                <w:b/>
                <w:color w:val="231F20"/>
                <w:w w:val="110"/>
                <w:sz w:val="20"/>
              </w:rPr>
              <w:t>Change</w:t>
            </w:r>
            <w:r w:rsidRPr="005855C7">
              <w:rPr>
                <w:rFonts w:ascii="Calibri" w:hAnsi="Calibri"/>
                <w:b/>
                <w:color w:val="231F20"/>
                <w:w w:val="114"/>
                <w:sz w:val="20"/>
              </w:rPr>
              <w:t xml:space="preserve"> </w:t>
            </w:r>
            <w:r w:rsidRPr="005855C7">
              <w:rPr>
                <w:rFonts w:ascii="Calibri" w:hAnsi="Calibri"/>
                <w:b/>
                <w:color w:val="231F20"/>
                <w:w w:val="105"/>
                <w:sz w:val="20"/>
              </w:rPr>
              <w:t>(12-month</w:t>
            </w:r>
            <w:r w:rsidRPr="005855C7">
              <w:rPr>
                <w:rFonts w:ascii="Calibri" w:hAnsi="Calibri"/>
                <w:b/>
                <w:color w:val="231F20"/>
                <w:spacing w:val="9"/>
                <w:w w:val="105"/>
                <w:sz w:val="20"/>
              </w:rPr>
              <w:t xml:space="preserve"> </w:t>
            </w:r>
            <w:r w:rsidRPr="005855C7">
              <w:rPr>
                <w:rFonts w:ascii="Calibri" w:hAnsi="Calibri"/>
                <w:b/>
                <w:color w:val="231F20"/>
                <w:w w:val="105"/>
                <w:sz w:val="20"/>
              </w:rPr>
              <w:t>moving</w:t>
            </w:r>
          </w:p>
          <w:p w14:paraId="3CD0C47A" w14:textId="77777777" w:rsidR="00002D76" w:rsidRPr="005855C7" w:rsidRDefault="00002D76" w:rsidP="00D63204">
            <w:pPr>
              <w:widowControl w:val="0"/>
              <w:spacing w:after="0" w:line="241" w:lineRule="exact"/>
              <w:ind w:left="994"/>
              <w:rPr>
                <w:rFonts w:ascii="Calibri" w:hAnsi="Calibri" w:cs="Calibri"/>
                <w:sz w:val="20"/>
                <w:szCs w:val="20"/>
              </w:rPr>
            </w:pPr>
            <w:r w:rsidRPr="005855C7">
              <w:rPr>
                <w:rFonts w:ascii="Calibri" w:hAnsi="Calibri"/>
                <w:b/>
                <w:color w:val="231F20"/>
                <w:w w:val="110"/>
                <w:sz w:val="20"/>
              </w:rPr>
              <w:t>average)</w:t>
            </w:r>
          </w:p>
        </w:tc>
      </w:tr>
      <w:tr w:rsidR="00002D76" w:rsidRPr="005855C7" w14:paraId="6971DEAB" w14:textId="77777777" w:rsidTr="001429C7">
        <w:trPr>
          <w:trHeight w:hRule="exact" w:val="318"/>
        </w:trPr>
        <w:tc>
          <w:tcPr>
            <w:tcW w:w="2769" w:type="dxa"/>
            <w:tcBorders>
              <w:top w:val="single" w:sz="2" w:space="0" w:color="231F20"/>
              <w:left w:val="single" w:sz="2" w:space="0" w:color="231F20"/>
              <w:bottom w:val="single" w:sz="2" w:space="0" w:color="231F20"/>
              <w:right w:val="single" w:sz="2" w:space="0" w:color="231F20"/>
            </w:tcBorders>
            <w:shd w:val="clear" w:color="auto" w:fill="E6E7E8"/>
          </w:tcPr>
          <w:p w14:paraId="331D1CC6" w14:textId="77777777" w:rsidR="00002D76" w:rsidRPr="005855C7" w:rsidRDefault="00002D76" w:rsidP="001429C7">
            <w:pPr>
              <w:widowControl w:val="0"/>
              <w:spacing w:before="45" w:after="0" w:line="240" w:lineRule="auto"/>
              <w:ind w:left="77"/>
              <w:rPr>
                <w:rFonts w:ascii="Calibri" w:hAnsi="Calibri" w:cs="Calibri"/>
                <w:sz w:val="20"/>
                <w:szCs w:val="20"/>
              </w:rPr>
            </w:pPr>
            <w:r w:rsidRPr="005855C7">
              <w:rPr>
                <w:rFonts w:ascii="Calibri" w:hAnsi="Calibri"/>
                <w:color w:val="231F20"/>
                <w:w w:val="105"/>
                <w:sz w:val="20"/>
              </w:rPr>
              <w:t>Full-time</w:t>
            </w:r>
          </w:p>
        </w:tc>
        <w:tc>
          <w:tcPr>
            <w:tcW w:w="1800" w:type="dxa"/>
            <w:tcBorders>
              <w:top w:val="single" w:sz="2" w:space="0" w:color="231F20"/>
              <w:left w:val="single" w:sz="2" w:space="0" w:color="231F20"/>
              <w:bottom w:val="single" w:sz="2" w:space="0" w:color="231F20"/>
              <w:right w:val="single" w:sz="2" w:space="0" w:color="231F20"/>
            </w:tcBorders>
            <w:shd w:val="clear" w:color="auto" w:fill="E6E7E8"/>
          </w:tcPr>
          <w:p w14:paraId="7EE593F2" w14:textId="77777777" w:rsidR="00002D76" w:rsidRPr="005855C7" w:rsidRDefault="00002D76" w:rsidP="004D4948">
            <w:pPr>
              <w:widowControl w:val="0"/>
              <w:spacing w:before="45" w:after="0" w:line="240" w:lineRule="auto"/>
              <w:ind w:left="1031"/>
              <w:rPr>
                <w:rFonts w:ascii="Calibri" w:hAnsi="Calibri" w:cs="Calibri"/>
                <w:sz w:val="20"/>
                <w:szCs w:val="20"/>
              </w:rPr>
            </w:pPr>
            <w:r w:rsidRPr="005855C7">
              <w:rPr>
                <w:rFonts w:ascii="Calibri" w:hAnsi="Calibri"/>
                <w:color w:val="231F20"/>
                <w:w w:val="105"/>
                <w:sz w:val="20"/>
              </w:rPr>
              <w:t>82.4%</w:t>
            </w:r>
          </w:p>
        </w:tc>
        <w:tc>
          <w:tcPr>
            <w:tcW w:w="1933" w:type="dxa"/>
            <w:tcBorders>
              <w:top w:val="single" w:sz="2" w:space="0" w:color="231F20"/>
              <w:left w:val="single" w:sz="2" w:space="0" w:color="231F20"/>
              <w:bottom w:val="single" w:sz="2" w:space="0" w:color="231F20"/>
              <w:right w:val="single" w:sz="2" w:space="0" w:color="231F20"/>
            </w:tcBorders>
            <w:shd w:val="clear" w:color="auto" w:fill="E6E7E8"/>
          </w:tcPr>
          <w:p w14:paraId="486997B6" w14:textId="64383EA9" w:rsidR="00002D76" w:rsidRPr="005855C7" w:rsidRDefault="00002D76" w:rsidP="004D4948">
            <w:pPr>
              <w:widowControl w:val="0"/>
              <w:spacing w:before="45" w:after="0" w:line="240" w:lineRule="auto"/>
              <w:ind w:left="1298"/>
              <w:rPr>
                <w:rFonts w:ascii="Calibri" w:hAnsi="Calibri"/>
                <w:color w:val="231F20"/>
                <w:spacing w:val="-4"/>
                <w:w w:val="105"/>
                <w:sz w:val="20"/>
              </w:rPr>
            </w:pPr>
            <w:r w:rsidRPr="005855C7">
              <w:rPr>
                <w:rFonts w:ascii="Calibri" w:hAnsi="Calibri"/>
                <w:color w:val="231F20"/>
                <w:spacing w:val="-4"/>
                <w:w w:val="105"/>
                <w:sz w:val="20"/>
              </w:rPr>
              <w:t>0.7%</w:t>
            </w:r>
          </w:p>
        </w:tc>
        <w:tc>
          <w:tcPr>
            <w:tcW w:w="1785" w:type="dxa"/>
            <w:tcBorders>
              <w:top w:val="single" w:sz="2" w:space="0" w:color="231F20"/>
              <w:left w:val="single" w:sz="2" w:space="0" w:color="231F20"/>
              <w:bottom w:val="single" w:sz="2" w:space="0" w:color="231F20"/>
              <w:right w:val="single" w:sz="2" w:space="0" w:color="231F20"/>
            </w:tcBorders>
            <w:shd w:val="clear" w:color="auto" w:fill="E6E7E8"/>
          </w:tcPr>
          <w:p w14:paraId="15EDF112" w14:textId="77777777" w:rsidR="00002D76" w:rsidRPr="005855C7" w:rsidRDefault="00002D76" w:rsidP="004D4948">
            <w:pPr>
              <w:widowControl w:val="0"/>
              <w:spacing w:before="45" w:after="0" w:line="240" w:lineRule="auto"/>
              <w:ind w:left="1042"/>
              <w:rPr>
                <w:rFonts w:ascii="Calibri" w:hAnsi="Calibri" w:cs="Calibri"/>
                <w:sz w:val="20"/>
                <w:szCs w:val="20"/>
              </w:rPr>
            </w:pPr>
            <w:r w:rsidRPr="005855C7">
              <w:rPr>
                <w:rFonts w:ascii="Calibri" w:hAnsi="Calibri"/>
                <w:color w:val="231F20"/>
                <w:w w:val="110"/>
                <w:sz w:val="20"/>
              </w:rPr>
              <w:t>82.9%</w:t>
            </w:r>
          </w:p>
        </w:tc>
        <w:tc>
          <w:tcPr>
            <w:tcW w:w="1866" w:type="dxa"/>
            <w:tcBorders>
              <w:top w:val="single" w:sz="2" w:space="0" w:color="231F20"/>
              <w:left w:val="single" w:sz="2" w:space="0" w:color="231F20"/>
              <w:bottom w:val="single" w:sz="2" w:space="0" w:color="231F20"/>
              <w:right w:val="single" w:sz="2" w:space="0" w:color="231F20"/>
            </w:tcBorders>
            <w:shd w:val="clear" w:color="auto" w:fill="E6E7E8"/>
          </w:tcPr>
          <w:p w14:paraId="6445EBBF" w14:textId="77777777" w:rsidR="00002D76" w:rsidRPr="005855C7" w:rsidRDefault="00002D76" w:rsidP="004D4948">
            <w:pPr>
              <w:widowControl w:val="0"/>
              <w:spacing w:before="45" w:after="0" w:line="240" w:lineRule="auto"/>
              <w:ind w:left="1175"/>
              <w:rPr>
                <w:rFonts w:ascii="Calibri" w:hAnsi="Calibri" w:cs="Calibri"/>
                <w:sz w:val="20"/>
                <w:szCs w:val="20"/>
              </w:rPr>
            </w:pPr>
            <w:r w:rsidRPr="005855C7">
              <w:rPr>
                <w:rFonts w:ascii="Calibri" w:hAnsi="Calibri"/>
                <w:color w:val="231F20"/>
                <w:w w:val="110"/>
                <w:sz w:val="20"/>
              </w:rPr>
              <w:t>-0.5%</w:t>
            </w:r>
          </w:p>
        </w:tc>
      </w:tr>
      <w:tr w:rsidR="00002D76" w:rsidRPr="005855C7" w14:paraId="5EBAD331" w14:textId="77777777" w:rsidTr="001429C7">
        <w:trPr>
          <w:trHeight w:hRule="exact" w:val="365"/>
        </w:trPr>
        <w:tc>
          <w:tcPr>
            <w:tcW w:w="2769" w:type="dxa"/>
            <w:tcBorders>
              <w:top w:val="single" w:sz="2" w:space="0" w:color="231F20"/>
              <w:left w:val="single" w:sz="2" w:space="0" w:color="231F20"/>
              <w:bottom w:val="single" w:sz="2" w:space="0" w:color="231F20"/>
              <w:right w:val="single" w:sz="2" w:space="0" w:color="231F20"/>
            </w:tcBorders>
          </w:tcPr>
          <w:p w14:paraId="50782F9F" w14:textId="77777777" w:rsidR="00002D76" w:rsidRPr="005855C7" w:rsidRDefault="00002D76" w:rsidP="001429C7">
            <w:pPr>
              <w:widowControl w:val="0"/>
              <w:spacing w:before="45" w:after="0" w:line="240" w:lineRule="auto"/>
              <w:ind w:left="77"/>
              <w:rPr>
                <w:rFonts w:ascii="Calibri" w:hAnsi="Calibri" w:cs="Calibri"/>
                <w:sz w:val="20"/>
                <w:szCs w:val="20"/>
              </w:rPr>
            </w:pPr>
            <w:r w:rsidRPr="005855C7">
              <w:rPr>
                <w:rFonts w:ascii="Calibri" w:hAnsi="Calibri"/>
                <w:color w:val="231F20"/>
                <w:sz w:val="20"/>
                <w:szCs w:val="20"/>
              </w:rPr>
              <w:t xml:space="preserve">Voluntary </w:t>
            </w:r>
            <w:r w:rsidRPr="005855C7">
              <w:rPr>
                <w:rFonts w:ascii="Calibri" w:hAnsi="Calibri"/>
                <w:color w:val="231F20"/>
                <w:spacing w:val="2"/>
                <w:sz w:val="20"/>
                <w:szCs w:val="20"/>
              </w:rPr>
              <w:t>part</w:t>
            </w:r>
            <w:r w:rsidRPr="005855C7">
              <w:rPr>
                <w:rFonts w:ascii="Calibri" w:hAnsi="Calibri"/>
                <w:color w:val="231F20"/>
                <w:sz w:val="20"/>
                <w:szCs w:val="20"/>
              </w:rPr>
              <w:t>-time</w:t>
            </w:r>
          </w:p>
        </w:tc>
        <w:tc>
          <w:tcPr>
            <w:tcW w:w="1800" w:type="dxa"/>
            <w:tcBorders>
              <w:top w:val="single" w:sz="2" w:space="0" w:color="231F20"/>
              <w:left w:val="single" w:sz="2" w:space="0" w:color="231F20"/>
              <w:bottom w:val="single" w:sz="2" w:space="0" w:color="231F20"/>
              <w:right w:val="single" w:sz="2" w:space="0" w:color="231F20"/>
            </w:tcBorders>
          </w:tcPr>
          <w:p w14:paraId="2DC7B703" w14:textId="77777777" w:rsidR="00002D76" w:rsidRPr="005855C7" w:rsidRDefault="00002D76" w:rsidP="004D4948">
            <w:pPr>
              <w:widowControl w:val="0"/>
              <w:spacing w:before="45" w:after="0" w:line="240" w:lineRule="auto"/>
              <w:ind w:left="1043"/>
              <w:rPr>
                <w:rFonts w:ascii="Calibri" w:hAnsi="Calibri" w:cs="Calibri"/>
                <w:sz w:val="20"/>
                <w:szCs w:val="20"/>
              </w:rPr>
            </w:pPr>
            <w:r w:rsidRPr="005855C7">
              <w:rPr>
                <w:rFonts w:ascii="Calibri" w:hAnsi="Calibri"/>
                <w:color w:val="231F20"/>
                <w:sz w:val="20"/>
              </w:rPr>
              <w:t>13.7%</w:t>
            </w:r>
          </w:p>
        </w:tc>
        <w:tc>
          <w:tcPr>
            <w:tcW w:w="1933" w:type="dxa"/>
            <w:tcBorders>
              <w:top w:val="single" w:sz="2" w:space="0" w:color="231F20"/>
              <w:left w:val="single" w:sz="2" w:space="0" w:color="231F20"/>
              <w:bottom w:val="single" w:sz="2" w:space="0" w:color="231F20"/>
              <w:right w:val="single" w:sz="2" w:space="0" w:color="231F20"/>
            </w:tcBorders>
          </w:tcPr>
          <w:p w14:paraId="61C4B62B" w14:textId="77777777" w:rsidR="00002D76" w:rsidRPr="005855C7" w:rsidRDefault="00002D76" w:rsidP="004D4948">
            <w:pPr>
              <w:widowControl w:val="0"/>
              <w:spacing w:before="45" w:after="0" w:line="240" w:lineRule="auto"/>
              <w:ind w:left="1298"/>
              <w:rPr>
                <w:rFonts w:ascii="Calibri" w:hAnsi="Calibri"/>
                <w:color w:val="231F20"/>
                <w:spacing w:val="-4"/>
                <w:w w:val="105"/>
                <w:sz w:val="20"/>
              </w:rPr>
            </w:pPr>
            <w:r w:rsidRPr="005855C7">
              <w:rPr>
                <w:rFonts w:ascii="Calibri" w:hAnsi="Calibri"/>
                <w:color w:val="231F20"/>
                <w:spacing w:val="-4"/>
                <w:w w:val="105"/>
                <w:sz w:val="20"/>
              </w:rPr>
              <w:t>-0.</w:t>
            </w:r>
            <w:r>
              <w:rPr>
                <w:rFonts w:ascii="Calibri" w:hAnsi="Calibri"/>
                <w:color w:val="231F20"/>
                <w:spacing w:val="-4"/>
                <w:w w:val="105"/>
                <w:sz w:val="20"/>
              </w:rPr>
              <w:t>1</w:t>
            </w:r>
            <w:r w:rsidRPr="005855C7">
              <w:rPr>
                <w:rFonts w:ascii="Calibri" w:hAnsi="Calibri"/>
                <w:color w:val="231F20"/>
                <w:spacing w:val="-4"/>
                <w:w w:val="105"/>
                <w:sz w:val="20"/>
              </w:rPr>
              <w:t>%</w:t>
            </w:r>
          </w:p>
        </w:tc>
        <w:tc>
          <w:tcPr>
            <w:tcW w:w="1785" w:type="dxa"/>
            <w:tcBorders>
              <w:top w:val="single" w:sz="2" w:space="0" w:color="231F20"/>
              <w:left w:val="single" w:sz="2" w:space="0" w:color="231F20"/>
              <w:bottom w:val="single" w:sz="2" w:space="0" w:color="231F20"/>
              <w:right w:val="single" w:sz="2" w:space="0" w:color="231F20"/>
            </w:tcBorders>
          </w:tcPr>
          <w:p w14:paraId="528D85C8" w14:textId="77777777" w:rsidR="00002D76" w:rsidRPr="005855C7" w:rsidRDefault="00002D76" w:rsidP="004D4948">
            <w:pPr>
              <w:widowControl w:val="0"/>
              <w:spacing w:before="45" w:after="0" w:line="240" w:lineRule="auto"/>
              <w:ind w:left="1084"/>
              <w:rPr>
                <w:rFonts w:ascii="Calibri" w:hAnsi="Calibri" w:cs="Calibri"/>
                <w:sz w:val="20"/>
                <w:szCs w:val="20"/>
              </w:rPr>
            </w:pPr>
            <w:r w:rsidRPr="005855C7">
              <w:rPr>
                <w:rFonts w:ascii="Calibri" w:hAnsi="Calibri"/>
                <w:color w:val="231F20"/>
                <w:w w:val="105"/>
                <w:sz w:val="20"/>
              </w:rPr>
              <w:t>12.5%</w:t>
            </w:r>
          </w:p>
        </w:tc>
        <w:tc>
          <w:tcPr>
            <w:tcW w:w="1866" w:type="dxa"/>
            <w:tcBorders>
              <w:top w:val="single" w:sz="2" w:space="0" w:color="231F20"/>
              <w:left w:val="single" w:sz="2" w:space="0" w:color="231F20"/>
              <w:bottom w:val="single" w:sz="2" w:space="0" w:color="231F20"/>
              <w:right w:val="single" w:sz="2" w:space="0" w:color="231F20"/>
            </w:tcBorders>
          </w:tcPr>
          <w:p w14:paraId="1A5234A8" w14:textId="5CC8B5A1" w:rsidR="00002D76" w:rsidRPr="005855C7" w:rsidRDefault="00002D76" w:rsidP="004D4948">
            <w:pPr>
              <w:widowControl w:val="0"/>
              <w:spacing w:before="45" w:after="0" w:line="240" w:lineRule="auto"/>
              <w:ind w:left="1175"/>
              <w:rPr>
                <w:rFonts w:ascii="Calibri" w:hAnsi="Calibri"/>
                <w:color w:val="231F20"/>
                <w:w w:val="110"/>
                <w:sz w:val="20"/>
              </w:rPr>
            </w:pPr>
            <w:r w:rsidRPr="005855C7">
              <w:rPr>
                <w:rFonts w:ascii="Calibri" w:hAnsi="Calibri"/>
                <w:color w:val="231F20"/>
                <w:w w:val="110"/>
                <w:sz w:val="20"/>
              </w:rPr>
              <w:t>0.5%</w:t>
            </w:r>
          </w:p>
        </w:tc>
      </w:tr>
      <w:tr w:rsidR="00002D76" w:rsidRPr="005855C7" w14:paraId="1726F738" w14:textId="77777777" w:rsidTr="001429C7">
        <w:trPr>
          <w:trHeight w:hRule="exact" w:val="558"/>
        </w:trPr>
        <w:tc>
          <w:tcPr>
            <w:tcW w:w="2769" w:type="dxa"/>
            <w:tcBorders>
              <w:top w:val="single" w:sz="2" w:space="0" w:color="231F20"/>
              <w:left w:val="single" w:sz="2" w:space="0" w:color="231F20"/>
              <w:bottom w:val="single" w:sz="2" w:space="0" w:color="231F20"/>
              <w:right w:val="single" w:sz="2" w:space="0" w:color="231F20"/>
            </w:tcBorders>
            <w:shd w:val="clear" w:color="auto" w:fill="E6E7E8"/>
          </w:tcPr>
          <w:p w14:paraId="4044E78D" w14:textId="77777777" w:rsidR="00002D76" w:rsidRPr="005855C7" w:rsidRDefault="00002D76" w:rsidP="001429C7">
            <w:pPr>
              <w:widowControl w:val="0"/>
              <w:spacing w:before="43" w:after="0" w:line="240" w:lineRule="exact"/>
              <w:ind w:left="77" w:right="746"/>
              <w:rPr>
                <w:rFonts w:ascii="Calibri" w:hAnsi="Calibri" w:cs="Calibri"/>
                <w:sz w:val="20"/>
                <w:szCs w:val="20"/>
              </w:rPr>
            </w:pPr>
            <w:r w:rsidRPr="005855C7">
              <w:rPr>
                <w:rFonts w:ascii="Calibri" w:hAnsi="Calibri"/>
                <w:color w:val="231F20"/>
                <w:w w:val="105"/>
                <w:sz w:val="20"/>
              </w:rPr>
              <w:t>Part-time for</w:t>
            </w:r>
            <w:r w:rsidRPr="005855C7">
              <w:rPr>
                <w:rFonts w:ascii="Calibri" w:hAnsi="Calibri"/>
                <w:color w:val="231F20"/>
                <w:spacing w:val="-3"/>
                <w:w w:val="105"/>
                <w:sz w:val="20"/>
              </w:rPr>
              <w:t xml:space="preserve"> </w:t>
            </w:r>
            <w:r w:rsidRPr="005855C7">
              <w:rPr>
                <w:rFonts w:ascii="Calibri" w:hAnsi="Calibri"/>
                <w:color w:val="231F20"/>
                <w:w w:val="105"/>
                <w:sz w:val="20"/>
              </w:rPr>
              <w:t>economic</w:t>
            </w:r>
            <w:r w:rsidRPr="005855C7">
              <w:rPr>
                <w:rFonts w:ascii="Calibri" w:hAnsi="Calibri"/>
                <w:color w:val="231F20"/>
                <w:w w:val="108"/>
                <w:sz w:val="20"/>
              </w:rPr>
              <w:t xml:space="preserve"> </w:t>
            </w:r>
            <w:r w:rsidRPr="005855C7">
              <w:rPr>
                <w:rFonts w:ascii="Calibri" w:hAnsi="Calibri"/>
                <w:color w:val="231F20"/>
                <w:w w:val="105"/>
                <w:sz w:val="20"/>
              </w:rPr>
              <w:t>reasons</w:t>
            </w:r>
          </w:p>
        </w:tc>
        <w:tc>
          <w:tcPr>
            <w:tcW w:w="1800" w:type="dxa"/>
            <w:tcBorders>
              <w:top w:val="single" w:sz="2" w:space="0" w:color="231F20"/>
              <w:left w:val="single" w:sz="2" w:space="0" w:color="231F20"/>
              <w:bottom w:val="single" w:sz="2" w:space="0" w:color="231F20"/>
              <w:right w:val="single" w:sz="2" w:space="0" w:color="231F20"/>
            </w:tcBorders>
            <w:shd w:val="clear" w:color="auto" w:fill="E6E7E8"/>
          </w:tcPr>
          <w:p w14:paraId="2E73E384" w14:textId="1AECD255" w:rsidR="00002D76" w:rsidRPr="005855C7" w:rsidRDefault="00002D76" w:rsidP="004D4948">
            <w:pPr>
              <w:widowControl w:val="0"/>
              <w:spacing w:before="45" w:after="0" w:line="240" w:lineRule="auto"/>
              <w:ind w:left="1031"/>
              <w:rPr>
                <w:rFonts w:ascii="Calibri" w:hAnsi="Calibri"/>
                <w:color w:val="231F20"/>
                <w:w w:val="105"/>
                <w:sz w:val="20"/>
              </w:rPr>
            </w:pPr>
            <w:r w:rsidRPr="005855C7">
              <w:rPr>
                <w:rFonts w:ascii="Calibri" w:hAnsi="Calibri"/>
                <w:color w:val="231F20"/>
                <w:w w:val="105"/>
                <w:sz w:val="20"/>
              </w:rPr>
              <w:t>3.1%</w:t>
            </w:r>
          </w:p>
        </w:tc>
        <w:tc>
          <w:tcPr>
            <w:tcW w:w="1933" w:type="dxa"/>
            <w:tcBorders>
              <w:top w:val="single" w:sz="2" w:space="0" w:color="231F20"/>
              <w:left w:val="single" w:sz="2" w:space="0" w:color="231F20"/>
              <w:bottom w:val="single" w:sz="2" w:space="0" w:color="231F20"/>
              <w:right w:val="single" w:sz="2" w:space="0" w:color="231F20"/>
            </w:tcBorders>
            <w:shd w:val="clear" w:color="auto" w:fill="E6E7E8"/>
          </w:tcPr>
          <w:p w14:paraId="2EEC09E2" w14:textId="77777777" w:rsidR="00002D76" w:rsidRPr="005855C7" w:rsidRDefault="00002D76" w:rsidP="004D4948">
            <w:pPr>
              <w:widowControl w:val="0"/>
              <w:spacing w:before="45" w:after="0" w:line="240" w:lineRule="auto"/>
              <w:ind w:left="1298"/>
              <w:rPr>
                <w:rFonts w:ascii="Calibri" w:hAnsi="Calibri" w:cs="Calibri"/>
                <w:sz w:val="20"/>
                <w:szCs w:val="20"/>
              </w:rPr>
            </w:pPr>
            <w:r w:rsidRPr="005855C7">
              <w:rPr>
                <w:rFonts w:ascii="Calibri" w:hAnsi="Calibri"/>
                <w:color w:val="231F20"/>
                <w:spacing w:val="-4"/>
                <w:w w:val="105"/>
                <w:sz w:val="20"/>
              </w:rPr>
              <w:t>-0.6%</w:t>
            </w:r>
          </w:p>
        </w:tc>
        <w:tc>
          <w:tcPr>
            <w:tcW w:w="1785" w:type="dxa"/>
            <w:tcBorders>
              <w:top w:val="single" w:sz="2" w:space="0" w:color="231F20"/>
              <w:left w:val="single" w:sz="2" w:space="0" w:color="231F20"/>
              <w:bottom w:val="single" w:sz="2" w:space="0" w:color="231F20"/>
              <w:right w:val="single" w:sz="2" w:space="0" w:color="231F20"/>
            </w:tcBorders>
            <w:shd w:val="clear" w:color="auto" w:fill="E6E7E8"/>
          </w:tcPr>
          <w:p w14:paraId="3043EF28" w14:textId="77777777" w:rsidR="00002D76" w:rsidRPr="005855C7" w:rsidRDefault="00002D76" w:rsidP="004D4948">
            <w:pPr>
              <w:widowControl w:val="0"/>
              <w:spacing w:before="45" w:after="0" w:line="240" w:lineRule="auto"/>
              <w:ind w:left="1164"/>
              <w:rPr>
                <w:rFonts w:ascii="Calibri" w:hAnsi="Calibri" w:cs="Calibri"/>
                <w:sz w:val="20"/>
                <w:szCs w:val="20"/>
              </w:rPr>
            </w:pPr>
            <w:r w:rsidRPr="005855C7">
              <w:rPr>
                <w:rFonts w:ascii="Calibri" w:hAnsi="Calibri"/>
                <w:color w:val="231F20"/>
                <w:w w:val="110"/>
                <w:sz w:val="20"/>
              </w:rPr>
              <w:t>3.6%</w:t>
            </w:r>
          </w:p>
        </w:tc>
        <w:tc>
          <w:tcPr>
            <w:tcW w:w="1866" w:type="dxa"/>
            <w:tcBorders>
              <w:top w:val="single" w:sz="2" w:space="0" w:color="231F20"/>
              <w:left w:val="single" w:sz="2" w:space="0" w:color="231F20"/>
              <w:bottom w:val="single" w:sz="2" w:space="0" w:color="231F20"/>
              <w:right w:val="single" w:sz="2" w:space="0" w:color="231F20"/>
            </w:tcBorders>
            <w:shd w:val="clear" w:color="auto" w:fill="E6E7E8"/>
          </w:tcPr>
          <w:p w14:paraId="393A9305" w14:textId="77777777" w:rsidR="00002D76" w:rsidRPr="005855C7" w:rsidRDefault="00002D76" w:rsidP="004D4948">
            <w:pPr>
              <w:widowControl w:val="0"/>
              <w:spacing w:before="45" w:after="0" w:line="240" w:lineRule="auto"/>
              <w:ind w:left="1175"/>
              <w:rPr>
                <w:rFonts w:ascii="Calibri" w:hAnsi="Calibri"/>
                <w:color w:val="231F20"/>
                <w:w w:val="110"/>
                <w:sz w:val="20"/>
              </w:rPr>
            </w:pPr>
            <w:r w:rsidRPr="005855C7">
              <w:rPr>
                <w:rFonts w:ascii="Calibri" w:hAnsi="Calibri"/>
                <w:color w:val="231F20"/>
                <w:w w:val="110"/>
                <w:sz w:val="20"/>
              </w:rPr>
              <w:t>-0.3%</w:t>
            </w:r>
          </w:p>
        </w:tc>
      </w:tr>
      <w:tr w:rsidR="00002D76" w:rsidRPr="005855C7" w14:paraId="423C0531" w14:textId="77777777" w:rsidTr="001429C7">
        <w:trPr>
          <w:trHeight w:hRule="exact" w:val="338"/>
        </w:trPr>
        <w:tc>
          <w:tcPr>
            <w:tcW w:w="2769" w:type="dxa"/>
            <w:tcBorders>
              <w:top w:val="single" w:sz="2" w:space="0" w:color="231F20"/>
              <w:left w:val="single" w:sz="2" w:space="0" w:color="231F20"/>
              <w:bottom w:val="single" w:sz="2" w:space="0" w:color="231F20"/>
              <w:right w:val="single" w:sz="2" w:space="0" w:color="231F20"/>
            </w:tcBorders>
          </w:tcPr>
          <w:p w14:paraId="4CE6CEFF" w14:textId="77777777" w:rsidR="00002D76" w:rsidRPr="005855C7" w:rsidRDefault="00002D76" w:rsidP="001429C7">
            <w:pPr>
              <w:widowControl w:val="0"/>
              <w:spacing w:before="45" w:after="0" w:line="240" w:lineRule="auto"/>
              <w:ind w:left="77"/>
              <w:rPr>
                <w:rFonts w:ascii="Calibri" w:hAnsi="Calibri" w:cs="Calibri"/>
                <w:sz w:val="20"/>
                <w:szCs w:val="20"/>
              </w:rPr>
            </w:pPr>
            <w:r w:rsidRPr="005855C7">
              <w:rPr>
                <w:rFonts w:ascii="Calibri" w:hAnsi="Calibri"/>
                <w:color w:val="231F20"/>
                <w:sz w:val="20"/>
                <w:szCs w:val="20"/>
              </w:rPr>
              <w:t xml:space="preserve">Part-time but not at </w:t>
            </w:r>
            <w:r w:rsidRPr="005855C7">
              <w:rPr>
                <w:rFonts w:ascii="Calibri" w:hAnsi="Calibri"/>
                <w:color w:val="231F20"/>
                <w:spacing w:val="26"/>
                <w:sz w:val="20"/>
                <w:szCs w:val="20"/>
              </w:rPr>
              <w:t>work</w:t>
            </w:r>
          </w:p>
        </w:tc>
        <w:tc>
          <w:tcPr>
            <w:tcW w:w="1800" w:type="dxa"/>
            <w:tcBorders>
              <w:top w:val="single" w:sz="2" w:space="0" w:color="231F20"/>
              <w:left w:val="single" w:sz="2" w:space="0" w:color="231F20"/>
              <w:bottom w:val="single" w:sz="2" w:space="0" w:color="231F20"/>
              <w:right w:val="single" w:sz="2" w:space="0" w:color="231F20"/>
            </w:tcBorders>
          </w:tcPr>
          <w:p w14:paraId="4D9FFA8E" w14:textId="0A4DCF7D" w:rsidR="00002D76" w:rsidRPr="005855C7" w:rsidRDefault="00002D76" w:rsidP="004D4948">
            <w:pPr>
              <w:widowControl w:val="0"/>
              <w:spacing w:before="45" w:after="0" w:line="240" w:lineRule="auto"/>
              <w:ind w:left="1031"/>
              <w:rPr>
                <w:rFonts w:ascii="Calibri" w:hAnsi="Calibri"/>
                <w:color w:val="231F20"/>
                <w:w w:val="105"/>
                <w:sz w:val="20"/>
              </w:rPr>
            </w:pPr>
            <w:r w:rsidRPr="005855C7">
              <w:rPr>
                <w:rFonts w:ascii="Calibri" w:hAnsi="Calibri"/>
                <w:color w:val="231F20"/>
                <w:w w:val="105"/>
                <w:sz w:val="20"/>
              </w:rPr>
              <w:t>0.8%</w:t>
            </w:r>
          </w:p>
        </w:tc>
        <w:tc>
          <w:tcPr>
            <w:tcW w:w="1933" w:type="dxa"/>
            <w:tcBorders>
              <w:top w:val="single" w:sz="2" w:space="0" w:color="231F20"/>
              <w:left w:val="single" w:sz="2" w:space="0" w:color="231F20"/>
              <w:bottom w:val="single" w:sz="2" w:space="0" w:color="231F20"/>
              <w:right w:val="single" w:sz="2" w:space="0" w:color="231F20"/>
            </w:tcBorders>
          </w:tcPr>
          <w:p w14:paraId="0D5C0556" w14:textId="661DA242" w:rsidR="00002D76" w:rsidRPr="005855C7" w:rsidRDefault="00002D76" w:rsidP="004D4948">
            <w:pPr>
              <w:widowControl w:val="0"/>
              <w:spacing w:before="45" w:after="0" w:line="240" w:lineRule="auto"/>
              <w:ind w:left="1298"/>
              <w:rPr>
                <w:rFonts w:ascii="Calibri" w:hAnsi="Calibri"/>
                <w:color w:val="231F20"/>
                <w:spacing w:val="-4"/>
                <w:w w:val="105"/>
                <w:sz w:val="20"/>
              </w:rPr>
            </w:pPr>
            <w:r w:rsidRPr="005855C7">
              <w:rPr>
                <w:rFonts w:ascii="Calibri" w:hAnsi="Calibri"/>
                <w:color w:val="231F20"/>
                <w:spacing w:val="-4"/>
                <w:w w:val="105"/>
                <w:sz w:val="20"/>
              </w:rPr>
              <w:t>0.0%</w:t>
            </w:r>
          </w:p>
        </w:tc>
        <w:tc>
          <w:tcPr>
            <w:tcW w:w="1785" w:type="dxa"/>
            <w:tcBorders>
              <w:top w:val="single" w:sz="2" w:space="0" w:color="231F20"/>
              <w:left w:val="single" w:sz="2" w:space="0" w:color="231F20"/>
              <w:bottom w:val="single" w:sz="2" w:space="0" w:color="231F20"/>
              <w:right w:val="single" w:sz="2" w:space="0" w:color="231F20"/>
            </w:tcBorders>
          </w:tcPr>
          <w:p w14:paraId="1E456F5D" w14:textId="77777777" w:rsidR="00002D76" w:rsidRPr="005855C7" w:rsidRDefault="00002D76" w:rsidP="004D4948">
            <w:pPr>
              <w:widowControl w:val="0"/>
              <w:spacing w:before="45" w:after="0" w:line="240" w:lineRule="auto"/>
              <w:ind w:left="1155"/>
              <w:rPr>
                <w:rFonts w:ascii="Calibri" w:hAnsi="Calibri" w:cs="Calibri"/>
                <w:sz w:val="20"/>
                <w:szCs w:val="20"/>
              </w:rPr>
            </w:pPr>
            <w:r w:rsidRPr="005855C7">
              <w:rPr>
                <w:rFonts w:ascii="Calibri" w:hAnsi="Calibri"/>
                <w:color w:val="231F20"/>
                <w:w w:val="110"/>
                <w:sz w:val="20"/>
              </w:rPr>
              <w:t>1.1%</w:t>
            </w:r>
          </w:p>
        </w:tc>
        <w:tc>
          <w:tcPr>
            <w:tcW w:w="1866" w:type="dxa"/>
            <w:tcBorders>
              <w:top w:val="single" w:sz="2" w:space="0" w:color="231F20"/>
              <w:left w:val="single" w:sz="2" w:space="0" w:color="231F20"/>
              <w:bottom w:val="single" w:sz="2" w:space="0" w:color="231F20"/>
              <w:right w:val="single" w:sz="2" w:space="0" w:color="231F20"/>
            </w:tcBorders>
          </w:tcPr>
          <w:p w14:paraId="68CE0252" w14:textId="19E6B27E" w:rsidR="00002D76" w:rsidRPr="005855C7" w:rsidRDefault="00002D76" w:rsidP="004D4948">
            <w:pPr>
              <w:widowControl w:val="0"/>
              <w:spacing w:before="45" w:after="0" w:line="240" w:lineRule="auto"/>
              <w:ind w:left="1175"/>
              <w:rPr>
                <w:rFonts w:ascii="Calibri" w:hAnsi="Calibri"/>
                <w:color w:val="231F20"/>
                <w:w w:val="110"/>
                <w:sz w:val="20"/>
              </w:rPr>
            </w:pPr>
            <w:r w:rsidRPr="005855C7">
              <w:rPr>
                <w:rFonts w:ascii="Calibri" w:hAnsi="Calibri"/>
                <w:color w:val="231F20"/>
                <w:w w:val="110"/>
                <w:sz w:val="20"/>
              </w:rPr>
              <w:t>0.3%</w:t>
            </w:r>
          </w:p>
        </w:tc>
      </w:tr>
    </w:tbl>
    <w:p w14:paraId="139FF6E1" w14:textId="77777777" w:rsidR="00002D76" w:rsidRPr="005855C7" w:rsidRDefault="00002D76" w:rsidP="00002D76">
      <w:pPr>
        <w:widowControl w:val="0"/>
        <w:spacing w:before="54" w:after="0" w:line="240" w:lineRule="auto"/>
        <w:ind w:left="107"/>
        <w:rPr>
          <w:rFonts w:ascii="Calibri" w:hAnsi="Calibri" w:cs="Calibri"/>
          <w:sz w:val="18"/>
          <w:szCs w:val="18"/>
        </w:rPr>
      </w:pPr>
      <w:r w:rsidRPr="005855C7">
        <w:rPr>
          <w:rFonts w:ascii="Calibri" w:hAnsi="Calibri"/>
          <w:color w:val="231F20"/>
          <w:w w:val="105"/>
          <w:sz w:val="18"/>
        </w:rPr>
        <w:t xml:space="preserve">Source:  U.S. Department of </w:t>
      </w:r>
      <w:r w:rsidRPr="005855C7">
        <w:rPr>
          <w:rFonts w:ascii="Calibri" w:hAnsi="Calibri"/>
          <w:color w:val="231F20"/>
          <w:spacing w:val="-3"/>
          <w:w w:val="105"/>
          <w:sz w:val="18"/>
        </w:rPr>
        <w:t xml:space="preserve">Labor, </w:t>
      </w:r>
      <w:r w:rsidRPr="005855C7">
        <w:rPr>
          <w:rFonts w:ascii="Calibri" w:hAnsi="Calibri"/>
          <w:color w:val="231F20"/>
          <w:w w:val="105"/>
          <w:sz w:val="18"/>
        </w:rPr>
        <w:t>Bureau of Labor Statistics, Current Population Survey, December 2017.</w:t>
      </w:r>
    </w:p>
    <w:p w14:paraId="7ACED38D" w14:textId="77777777" w:rsidR="00002D76" w:rsidRPr="00EA7458" w:rsidRDefault="00002D76" w:rsidP="00002D76">
      <w:pPr>
        <w:widowControl w:val="0"/>
        <w:spacing w:after="0" w:line="240" w:lineRule="auto"/>
        <w:rPr>
          <w:rFonts w:ascii="Calibri" w:hAnsi="Calibri" w:cs="Calibri"/>
          <w:sz w:val="18"/>
          <w:szCs w:val="18"/>
        </w:rPr>
      </w:pPr>
    </w:p>
    <w:p w14:paraId="2504068C" w14:textId="37DAB8FD" w:rsidR="00D10A79" w:rsidRDefault="00002D76" w:rsidP="00D10A79">
      <w:pPr>
        <w:widowControl w:val="0"/>
        <w:spacing w:after="0" w:line="240" w:lineRule="auto"/>
        <w:ind w:left="107"/>
        <w:outlineLvl w:val="2"/>
        <w:rPr>
          <w:rFonts w:ascii="Calibri" w:hAnsi="Calibri"/>
          <w:b/>
          <w:bCs/>
          <w:color w:val="231F20"/>
          <w:w w:val="105"/>
        </w:rPr>
      </w:pPr>
      <w:r w:rsidRPr="00EA7458">
        <w:rPr>
          <w:rFonts w:ascii="Calibri" w:hAnsi="Calibri"/>
          <w:b/>
          <w:bCs/>
          <w:color w:val="231F20"/>
          <w:w w:val="105"/>
        </w:rPr>
        <w:t>Other positive economic indicators are:</w:t>
      </w:r>
      <w:r w:rsidR="00D10A79">
        <w:rPr>
          <w:rFonts w:ascii="Calibri" w:hAnsi="Calibri"/>
          <w:b/>
          <w:bCs/>
          <w:color w:val="231F20"/>
          <w:w w:val="105"/>
        </w:rPr>
        <w:br/>
      </w:r>
    </w:p>
    <w:p w14:paraId="4BBEC1D6" w14:textId="3C9F5C65" w:rsidR="00582A27" w:rsidRDefault="00002D76" w:rsidP="00D63204">
      <w:pPr>
        <w:pStyle w:val="ListParagraph"/>
        <w:widowControl w:val="0"/>
        <w:numPr>
          <w:ilvl w:val="0"/>
          <w:numId w:val="78"/>
        </w:numPr>
        <w:spacing w:after="0" w:line="240" w:lineRule="auto"/>
        <w:outlineLvl w:val="2"/>
        <w:rPr>
          <w:rFonts w:ascii="Calibri" w:hAnsi="Calibri"/>
          <w:color w:val="231F20"/>
          <w:w w:val="105"/>
        </w:rPr>
      </w:pPr>
      <w:r w:rsidRPr="00D10A79">
        <w:rPr>
          <w:rFonts w:ascii="Calibri" w:hAnsi="Calibri"/>
          <w:color w:val="231F20"/>
          <w:w w:val="105"/>
        </w:rPr>
        <w:t>Florida housing foreclosures were 2,201 in September 2017 (latest data available)</w:t>
      </w:r>
      <w:r w:rsidR="005E7C49">
        <w:rPr>
          <w:rFonts w:ascii="Calibri" w:hAnsi="Calibri"/>
          <w:color w:val="231F20"/>
          <w:w w:val="105"/>
        </w:rPr>
        <w:t xml:space="preserve">. </w:t>
      </w:r>
      <w:r w:rsidRPr="00D10A79">
        <w:rPr>
          <w:rFonts w:ascii="Calibri" w:hAnsi="Calibri"/>
          <w:color w:val="231F20"/>
          <w:w w:val="105"/>
        </w:rPr>
        <w:t>Foreclosures were down 2,547 (-53.6 percent) over the year.</w:t>
      </w:r>
    </w:p>
    <w:p w14:paraId="4FD6963E" w14:textId="701F194A" w:rsidR="00D10A79" w:rsidRPr="00D10A79" w:rsidRDefault="00D10A79" w:rsidP="00D63204">
      <w:pPr>
        <w:pStyle w:val="ListParagraph"/>
        <w:widowControl w:val="0"/>
        <w:spacing w:after="0" w:line="240" w:lineRule="auto"/>
        <w:ind w:left="827"/>
        <w:outlineLvl w:val="2"/>
        <w:rPr>
          <w:rFonts w:ascii="Calibri" w:hAnsi="Calibri"/>
          <w:color w:val="231F20"/>
          <w:w w:val="105"/>
        </w:rPr>
      </w:pPr>
    </w:p>
    <w:p w14:paraId="2C21BABE" w14:textId="69D66F9F" w:rsidR="00D10A79" w:rsidRDefault="00002D76" w:rsidP="00D63204">
      <w:pPr>
        <w:pStyle w:val="ListParagraph"/>
        <w:widowControl w:val="0"/>
        <w:numPr>
          <w:ilvl w:val="0"/>
          <w:numId w:val="78"/>
        </w:numPr>
        <w:spacing w:after="0" w:line="240" w:lineRule="auto"/>
        <w:outlineLvl w:val="2"/>
        <w:rPr>
          <w:rFonts w:ascii="Calibri" w:hAnsi="Calibri"/>
          <w:color w:val="231F20"/>
          <w:w w:val="105"/>
        </w:rPr>
      </w:pPr>
      <w:r w:rsidRPr="00D10A79">
        <w:rPr>
          <w:rFonts w:ascii="Calibri" w:hAnsi="Calibri"/>
          <w:color w:val="231F20"/>
          <w:w w:val="105"/>
        </w:rPr>
        <w:t>Florida building permits for one-unit structures were up 1,418 (+25.3 percent) compared to the same month a year ago in October 2017 (latest data available)</w:t>
      </w:r>
      <w:r w:rsidR="005E7C49">
        <w:rPr>
          <w:rFonts w:ascii="Calibri" w:hAnsi="Calibri"/>
          <w:color w:val="231F20"/>
          <w:w w:val="105"/>
        </w:rPr>
        <w:t xml:space="preserve">. </w:t>
      </w:r>
    </w:p>
    <w:p w14:paraId="2AC72DE4" w14:textId="77777777" w:rsidR="00D10A79" w:rsidRDefault="00D10A79" w:rsidP="00D63204">
      <w:pPr>
        <w:pStyle w:val="ListParagraph"/>
        <w:widowControl w:val="0"/>
        <w:spacing w:after="0" w:line="240" w:lineRule="auto"/>
        <w:ind w:left="827"/>
        <w:outlineLvl w:val="2"/>
        <w:rPr>
          <w:rFonts w:ascii="Calibri" w:hAnsi="Calibri"/>
          <w:color w:val="231F20"/>
          <w:w w:val="105"/>
        </w:rPr>
      </w:pPr>
    </w:p>
    <w:p w14:paraId="3630A853" w14:textId="3C98E5B4" w:rsidR="00D10A79" w:rsidRDefault="00002D76" w:rsidP="00D63204">
      <w:pPr>
        <w:pStyle w:val="ListParagraph"/>
        <w:widowControl w:val="0"/>
        <w:numPr>
          <w:ilvl w:val="0"/>
          <w:numId w:val="78"/>
        </w:numPr>
        <w:spacing w:after="0" w:line="240" w:lineRule="auto"/>
        <w:outlineLvl w:val="2"/>
        <w:rPr>
          <w:rFonts w:ascii="Calibri" w:hAnsi="Calibri"/>
          <w:color w:val="231F20"/>
          <w:w w:val="105"/>
        </w:rPr>
      </w:pPr>
      <w:r w:rsidRPr="00D10A79">
        <w:rPr>
          <w:rFonts w:ascii="Calibri" w:hAnsi="Calibri"/>
          <w:color w:val="231F20"/>
          <w:w w:val="105"/>
        </w:rPr>
        <w:t>Florida’s median home price was up 9.1 percent over the year in November 2017.</w:t>
      </w:r>
    </w:p>
    <w:p w14:paraId="50B10BDF" w14:textId="77777777" w:rsidR="00D10A79" w:rsidRPr="00D10A79" w:rsidRDefault="00D10A79" w:rsidP="00D63204">
      <w:pPr>
        <w:pStyle w:val="ListParagraph"/>
        <w:widowControl w:val="0"/>
        <w:spacing w:after="0" w:line="240" w:lineRule="auto"/>
        <w:ind w:left="827"/>
        <w:outlineLvl w:val="2"/>
        <w:rPr>
          <w:rFonts w:ascii="Calibri" w:hAnsi="Calibri"/>
          <w:color w:val="231F20"/>
          <w:w w:val="105"/>
        </w:rPr>
      </w:pPr>
    </w:p>
    <w:p w14:paraId="2C0A2369" w14:textId="03C7E88C" w:rsidR="00D10A79" w:rsidRDefault="00002D76" w:rsidP="00D63204">
      <w:pPr>
        <w:pStyle w:val="ListParagraph"/>
        <w:widowControl w:val="0"/>
        <w:numPr>
          <w:ilvl w:val="0"/>
          <w:numId w:val="78"/>
        </w:numPr>
        <w:spacing w:after="0" w:line="240" w:lineRule="auto"/>
        <w:outlineLvl w:val="2"/>
        <w:rPr>
          <w:rFonts w:ascii="Calibri" w:hAnsi="Calibri"/>
          <w:color w:val="231F20"/>
          <w:w w:val="105"/>
        </w:rPr>
      </w:pPr>
      <w:r w:rsidRPr="00D10A79">
        <w:rPr>
          <w:rFonts w:ascii="Calibri" w:hAnsi="Calibri"/>
          <w:color w:val="231F20"/>
          <w:w w:val="105"/>
        </w:rPr>
        <w:t>November 2017 sales tax collections were up 12.7 percent compared to a year ago</w:t>
      </w:r>
      <w:r w:rsidR="005E7C49">
        <w:rPr>
          <w:rFonts w:ascii="Calibri" w:hAnsi="Calibri"/>
          <w:color w:val="231F20"/>
          <w:w w:val="105"/>
        </w:rPr>
        <w:t xml:space="preserve">. </w:t>
      </w:r>
      <w:r w:rsidRPr="00D10A79">
        <w:rPr>
          <w:rFonts w:ascii="Calibri" w:hAnsi="Calibri"/>
          <w:color w:val="231F20"/>
          <w:w w:val="105"/>
        </w:rPr>
        <w:t>Sales tax collections have been above the previous peak (June 2006) since June 2014.</w:t>
      </w:r>
    </w:p>
    <w:p w14:paraId="76A646E7" w14:textId="77777777" w:rsidR="00D10A79" w:rsidRPr="00D10A79" w:rsidRDefault="00D10A79" w:rsidP="00D63204">
      <w:pPr>
        <w:pStyle w:val="ListParagraph"/>
        <w:widowControl w:val="0"/>
        <w:spacing w:after="0" w:line="240" w:lineRule="auto"/>
        <w:ind w:left="827"/>
        <w:outlineLvl w:val="2"/>
        <w:rPr>
          <w:rFonts w:ascii="Calibri" w:hAnsi="Calibri"/>
          <w:color w:val="231F20"/>
          <w:w w:val="105"/>
        </w:rPr>
      </w:pPr>
    </w:p>
    <w:p w14:paraId="4A5A8A7F" w14:textId="52552979" w:rsidR="00D10A79" w:rsidRDefault="00002D76" w:rsidP="00D63204">
      <w:pPr>
        <w:pStyle w:val="ListParagraph"/>
        <w:widowControl w:val="0"/>
        <w:numPr>
          <w:ilvl w:val="0"/>
          <w:numId w:val="78"/>
        </w:numPr>
        <w:spacing w:after="0" w:line="240" w:lineRule="auto"/>
        <w:outlineLvl w:val="2"/>
        <w:rPr>
          <w:rFonts w:ascii="Calibri" w:hAnsi="Calibri"/>
          <w:color w:val="231F20"/>
          <w:w w:val="105"/>
        </w:rPr>
      </w:pPr>
      <w:r w:rsidRPr="00D10A79">
        <w:rPr>
          <w:rFonts w:ascii="Calibri" w:hAnsi="Calibri"/>
          <w:color w:val="231F20"/>
          <w:w w:val="105"/>
        </w:rPr>
        <w:t>An estimated 112.4 million visitors came to Florida in 2016, an increase of 5.5 percent over 2015</w:t>
      </w:r>
      <w:r w:rsidR="005E7C49">
        <w:rPr>
          <w:rFonts w:ascii="Calibri" w:hAnsi="Calibri"/>
          <w:color w:val="231F20"/>
          <w:w w:val="105"/>
        </w:rPr>
        <w:t xml:space="preserve">. </w:t>
      </w:r>
      <w:r w:rsidRPr="00D10A79">
        <w:rPr>
          <w:rFonts w:ascii="Calibri" w:hAnsi="Calibri"/>
          <w:color w:val="231F20"/>
          <w:w w:val="105"/>
        </w:rPr>
        <w:t>During the third quarter of 2017, 27.9 million (3.4 percent increase over the year) tourists visited Florida.</w:t>
      </w:r>
    </w:p>
    <w:p w14:paraId="67093F75" w14:textId="77777777" w:rsidR="00D10A79" w:rsidRPr="00D10A79" w:rsidRDefault="00D10A79" w:rsidP="00D63204">
      <w:pPr>
        <w:pStyle w:val="ListParagraph"/>
        <w:rPr>
          <w:rFonts w:ascii="Calibri" w:hAnsi="Calibri"/>
          <w:color w:val="231F20"/>
          <w:w w:val="105"/>
        </w:rPr>
      </w:pPr>
    </w:p>
    <w:p w14:paraId="6C43C45E" w14:textId="77777777" w:rsidR="00D10A79" w:rsidRDefault="00002D76" w:rsidP="00D63204">
      <w:pPr>
        <w:pStyle w:val="ListParagraph"/>
        <w:widowControl w:val="0"/>
        <w:numPr>
          <w:ilvl w:val="0"/>
          <w:numId w:val="78"/>
        </w:numPr>
        <w:spacing w:after="0" w:line="240" w:lineRule="auto"/>
        <w:outlineLvl w:val="2"/>
        <w:rPr>
          <w:rFonts w:ascii="Calibri" w:hAnsi="Calibri"/>
          <w:color w:val="231F20"/>
          <w:w w:val="105"/>
        </w:rPr>
      </w:pPr>
      <w:r w:rsidRPr="00D10A79">
        <w:rPr>
          <w:rFonts w:ascii="Calibri" w:hAnsi="Calibri"/>
          <w:color w:val="231F20"/>
          <w:w w:val="105"/>
        </w:rPr>
        <w:t>The Florida Consumer Sentiment Index level was 96.7 in November 2017, up 6.4 points from November 2016.</w:t>
      </w:r>
    </w:p>
    <w:p w14:paraId="6893C0EF" w14:textId="77777777" w:rsidR="00D10A79" w:rsidRPr="00D10A79" w:rsidRDefault="00D10A79" w:rsidP="00D63204">
      <w:pPr>
        <w:pStyle w:val="ListParagraph"/>
        <w:rPr>
          <w:rFonts w:ascii="Calibri" w:hAnsi="Calibri"/>
          <w:color w:val="231F20"/>
          <w:w w:val="105"/>
        </w:rPr>
      </w:pPr>
    </w:p>
    <w:p w14:paraId="194CF3DE" w14:textId="24423514" w:rsidR="00D10A79" w:rsidRPr="00176F64" w:rsidRDefault="00002D76" w:rsidP="00D63204">
      <w:pPr>
        <w:pStyle w:val="ListParagraph"/>
        <w:widowControl w:val="0"/>
        <w:numPr>
          <w:ilvl w:val="0"/>
          <w:numId w:val="78"/>
        </w:numPr>
        <w:spacing w:after="0" w:line="240" w:lineRule="auto"/>
        <w:outlineLvl w:val="2"/>
        <w:rPr>
          <w:rFonts w:ascii="Calibri" w:hAnsi="Calibri"/>
          <w:color w:val="231F20"/>
          <w:w w:val="105"/>
        </w:rPr>
      </w:pPr>
      <w:r w:rsidRPr="00176F64">
        <w:rPr>
          <w:rFonts w:ascii="Calibri" w:hAnsi="Calibri"/>
          <w:color w:val="231F20"/>
          <w:w w:val="105"/>
        </w:rPr>
        <w:t>Florida job postings compiled by the Help Wanted OnLine data series totaled 254,611 openings (seasonally adjusted) in November 2017</w:t>
      </w:r>
      <w:r w:rsidR="005E7C49">
        <w:rPr>
          <w:rFonts w:ascii="Calibri" w:hAnsi="Calibri"/>
          <w:color w:val="231F20"/>
          <w:w w:val="105"/>
        </w:rPr>
        <w:t xml:space="preserve">. </w:t>
      </w:r>
      <w:r w:rsidRPr="00176F64">
        <w:rPr>
          <w:rFonts w:ascii="Calibri" w:hAnsi="Calibri"/>
          <w:color w:val="231F20"/>
          <w:w w:val="105"/>
        </w:rPr>
        <w:t>November job demand represented an increase of 1,202 openings (+0.5 percent) over the year.</w:t>
      </w:r>
    </w:p>
    <w:p w14:paraId="35BDAB69" w14:textId="77777777" w:rsidR="00D10A79" w:rsidRPr="00D10A79" w:rsidRDefault="00D10A79" w:rsidP="00D63204">
      <w:pPr>
        <w:pStyle w:val="ListParagraph"/>
        <w:rPr>
          <w:rFonts w:ascii="Calibri" w:hAnsi="Calibri"/>
          <w:color w:val="231F20"/>
          <w:w w:val="105"/>
        </w:rPr>
      </w:pPr>
    </w:p>
    <w:p w14:paraId="4BA5407B" w14:textId="5C490A1D" w:rsidR="00002D76" w:rsidRPr="00D10A79" w:rsidRDefault="00002D76" w:rsidP="00D63204">
      <w:pPr>
        <w:pStyle w:val="ListParagraph"/>
        <w:widowControl w:val="0"/>
        <w:numPr>
          <w:ilvl w:val="0"/>
          <w:numId w:val="78"/>
        </w:numPr>
        <w:spacing w:after="0" w:line="240" w:lineRule="auto"/>
        <w:outlineLvl w:val="2"/>
        <w:rPr>
          <w:rFonts w:ascii="Calibri" w:hAnsi="Calibri"/>
          <w:color w:val="231F20"/>
          <w:w w:val="105"/>
        </w:rPr>
      </w:pPr>
      <w:r w:rsidRPr="00D10A79">
        <w:rPr>
          <w:rFonts w:ascii="Calibri" w:hAnsi="Calibri"/>
          <w:color w:val="231F20"/>
          <w:w w:val="105"/>
        </w:rPr>
        <w:lastRenderedPageBreak/>
        <w:t>Florida’s real Gross Domestic Product (GDP) in 2016 was up 2.4 percent from 2015.</w:t>
      </w:r>
    </w:p>
    <w:p w14:paraId="1DA78557" w14:textId="77777777" w:rsidR="00002D76" w:rsidRPr="00EA7458" w:rsidRDefault="00002D76" w:rsidP="00002D76">
      <w:pPr>
        <w:widowControl w:val="0"/>
        <w:spacing w:after="0" w:line="240" w:lineRule="auto"/>
        <w:rPr>
          <w:rFonts w:ascii="Calibri" w:hAnsi="Calibri" w:cs="Calibri"/>
        </w:rPr>
        <w:sectPr w:rsidR="00002D76" w:rsidRPr="00EA7458">
          <w:pgSz w:w="12240" w:h="15840"/>
          <w:pgMar w:top="1620" w:right="900" w:bottom="820" w:left="900" w:header="812" w:footer="624" w:gutter="0"/>
          <w:cols w:space="720"/>
        </w:sectPr>
      </w:pPr>
    </w:p>
    <w:p w14:paraId="797487AA" w14:textId="783C27C6" w:rsidR="00002D76" w:rsidRPr="006A27F2" w:rsidRDefault="00002D76" w:rsidP="00D63204">
      <w:pPr>
        <w:widowControl w:val="0"/>
        <w:spacing w:before="58" w:after="0" w:line="264" w:lineRule="exact"/>
        <w:ind w:left="107" w:right="104"/>
        <w:rPr>
          <w:rFonts w:ascii="Calibri" w:hAnsi="Calibri"/>
        </w:rPr>
      </w:pPr>
      <w:r w:rsidRPr="00FA3548">
        <w:rPr>
          <w:rFonts w:ascii="Calibri" w:hAnsi="Calibri"/>
          <w:color w:val="231F20"/>
          <w:w w:val="105"/>
        </w:rPr>
        <w:lastRenderedPageBreak/>
        <w:t>In</w:t>
      </w:r>
      <w:r w:rsidRPr="00FA3548">
        <w:rPr>
          <w:rFonts w:ascii="Calibri" w:hAnsi="Calibri"/>
          <w:color w:val="231F20"/>
          <w:spacing w:val="35"/>
          <w:w w:val="105"/>
        </w:rPr>
        <w:t xml:space="preserve"> </w:t>
      </w:r>
      <w:r w:rsidRPr="00FA3548">
        <w:rPr>
          <w:rFonts w:ascii="Calibri" w:hAnsi="Calibri"/>
          <w:color w:val="231F20"/>
          <w:w w:val="105"/>
        </w:rPr>
        <w:t>conclusion,</w:t>
      </w:r>
      <w:r w:rsidRPr="00FA3548">
        <w:rPr>
          <w:rFonts w:ascii="Calibri" w:hAnsi="Calibri"/>
          <w:color w:val="231F20"/>
          <w:spacing w:val="35"/>
          <w:w w:val="105"/>
        </w:rPr>
        <w:t xml:space="preserve"> </w:t>
      </w:r>
      <w:r w:rsidRPr="00FA3548">
        <w:rPr>
          <w:rFonts w:ascii="Calibri" w:hAnsi="Calibri"/>
          <w:color w:val="231F20"/>
          <w:w w:val="105"/>
        </w:rPr>
        <w:t>Florida’s</w:t>
      </w:r>
      <w:r w:rsidRPr="00FA3548">
        <w:rPr>
          <w:rFonts w:ascii="Calibri" w:hAnsi="Calibri"/>
          <w:color w:val="231F20"/>
          <w:spacing w:val="35"/>
          <w:w w:val="105"/>
        </w:rPr>
        <w:t xml:space="preserve"> </w:t>
      </w:r>
      <w:r w:rsidRPr="00FA3548">
        <w:rPr>
          <w:rFonts w:ascii="Calibri" w:hAnsi="Calibri"/>
          <w:color w:val="231F20"/>
          <w:w w:val="105"/>
        </w:rPr>
        <w:t>recovery</w:t>
      </w:r>
      <w:r w:rsidRPr="00FA3548">
        <w:rPr>
          <w:rFonts w:ascii="Calibri" w:hAnsi="Calibri"/>
          <w:color w:val="231F20"/>
          <w:spacing w:val="35"/>
          <w:w w:val="105"/>
        </w:rPr>
        <w:t xml:space="preserve"> </w:t>
      </w:r>
      <w:r w:rsidRPr="00FA3548">
        <w:rPr>
          <w:rFonts w:ascii="Calibri" w:hAnsi="Calibri"/>
          <w:color w:val="231F20"/>
          <w:w w:val="105"/>
        </w:rPr>
        <w:t>is</w:t>
      </w:r>
      <w:r w:rsidRPr="00FA3548">
        <w:rPr>
          <w:rFonts w:ascii="Calibri" w:hAnsi="Calibri"/>
          <w:color w:val="231F20"/>
          <w:spacing w:val="35"/>
          <w:w w:val="105"/>
        </w:rPr>
        <w:t xml:space="preserve"> </w:t>
      </w:r>
      <w:r w:rsidRPr="00FA3548">
        <w:rPr>
          <w:rFonts w:ascii="Calibri" w:hAnsi="Calibri"/>
          <w:color w:val="231F20"/>
          <w:w w:val="105"/>
        </w:rPr>
        <w:t>strong</w:t>
      </w:r>
      <w:r w:rsidR="005E7C49">
        <w:rPr>
          <w:rFonts w:ascii="Calibri" w:hAnsi="Calibri"/>
          <w:color w:val="231F20"/>
          <w:w w:val="105"/>
        </w:rPr>
        <w:t xml:space="preserve">. </w:t>
      </w:r>
      <w:r w:rsidRPr="00FA3548">
        <w:rPr>
          <w:rFonts w:ascii="Calibri" w:hAnsi="Calibri"/>
          <w:color w:val="231F20"/>
          <w:w w:val="105"/>
        </w:rPr>
        <w:t>Most</w:t>
      </w:r>
      <w:r w:rsidRPr="00FA3548">
        <w:rPr>
          <w:rFonts w:ascii="Calibri" w:hAnsi="Calibri"/>
          <w:color w:val="231F20"/>
          <w:spacing w:val="35"/>
          <w:w w:val="105"/>
        </w:rPr>
        <w:t xml:space="preserve"> </w:t>
      </w:r>
      <w:r w:rsidRPr="00FA3548">
        <w:rPr>
          <w:rFonts w:ascii="Calibri" w:hAnsi="Calibri"/>
          <w:color w:val="231F20"/>
          <w:w w:val="105"/>
        </w:rPr>
        <w:t>of</w:t>
      </w:r>
      <w:r w:rsidRPr="00FA3548">
        <w:rPr>
          <w:rFonts w:ascii="Calibri" w:hAnsi="Calibri"/>
          <w:color w:val="231F20"/>
          <w:spacing w:val="35"/>
          <w:w w:val="105"/>
        </w:rPr>
        <w:t xml:space="preserve"> </w:t>
      </w:r>
      <w:r w:rsidRPr="00FA3548">
        <w:rPr>
          <w:rFonts w:ascii="Calibri" w:hAnsi="Calibri"/>
          <w:color w:val="231F20"/>
          <w:w w:val="105"/>
        </w:rPr>
        <w:t>the</w:t>
      </w:r>
      <w:r w:rsidRPr="00FA3548">
        <w:rPr>
          <w:rFonts w:ascii="Calibri" w:hAnsi="Calibri"/>
          <w:color w:val="231F20"/>
          <w:spacing w:val="35"/>
          <w:w w:val="105"/>
        </w:rPr>
        <w:t xml:space="preserve"> </w:t>
      </w:r>
      <w:r w:rsidRPr="00FA3548">
        <w:rPr>
          <w:rFonts w:ascii="Calibri" w:hAnsi="Calibri"/>
          <w:color w:val="231F20"/>
          <w:w w:val="105"/>
        </w:rPr>
        <w:t>major</w:t>
      </w:r>
      <w:r w:rsidRPr="00FA3548">
        <w:rPr>
          <w:rFonts w:ascii="Calibri" w:hAnsi="Calibri"/>
          <w:color w:val="231F20"/>
          <w:spacing w:val="35"/>
          <w:w w:val="105"/>
        </w:rPr>
        <w:t xml:space="preserve"> </w:t>
      </w:r>
      <w:r w:rsidRPr="00FA3548">
        <w:rPr>
          <w:rFonts w:ascii="Calibri" w:hAnsi="Calibri"/>
          <w:color w:val="231F20"/>
          <w:w w:val="105"/>
        </w:rPr>
        <w:t>industry</w:t>
      </w:r>
      <w:r w:rsidRPr="00FA3548">
        <w:rPr>
          <w:rFonts w:ascii="Calibri" w:hAnsi="Calibri"/>
          <w:color w:val="231F20"/>
          <w:spacing w:val="35"/>
          <w:w w:val="105"/>
        </w:rPr>
        <w:t xml:space="preserve"> </w:t>
      </w:r>
      <w:r w:rsidRPr="00FA3548">
        <w:rPr>
          <w:rFonts w:ascii="Calibri" w:hAnsi="Calibri"/>
          <w:color w:val="231F20"/>
          <w:w w:val="105"/>
        </w:rPr>
        <w:t>sectors</w:t>
      </w:r>
      <w:r w:rsidRPr="00FA3548">
        <w:rPr>
          <w:rFonts w:ascii="Calibri" w:hAnsi="Calibri"/>
          <w:color w:val="231F20"/>
          <w:spacing w:val="35"/>
          <w:w w:val="105"/>
        </w:rPr>
        <w:t xml:space="preserve"> </w:t>
      </w:r>
      <w:r w:rsidRPr="00FA3548">
        <w:rPr>
          <w:rFonts w:ascii="Calibri" w:hAnsi="Calibri"/>
          <w:color w:val="231F20"/>
          <w:w w:val="105"/>
        </w:rPr>
        <w:t>have</w:t>
      </w:r>
      <w:r w:rsidRPr="00FA3548">
        <w:rPr>
          <w:rFonts w:ascii="Calibri" w:hAnsi="Calibri"/>
          <w:color w:val="231F20"/>
          <w:spacing w:val="35"/>
          <w:w w:val="105"/>
        </w:rPr>
        <w:t xml:space="preserve"> </w:t>
      </w:r>
      <w:r w:rsidRPr="00FA3548">
        <w:rPr>
          <w:rFonts w:ascii="Calibri" w:hAnsi="Calibri"/>
          <w:color w:val="231F20"/>
          <w:w w:val="105"/>
        </w:rPr>
        <w:t>returned</w:t>
      </w:r>
      <w:r w:rsidRPr="00FA3548">
        <w:rPr>
          <w:rFonts w:ascii="Calibri" w:hAnsi="Calibri"/>
          <w:color w:val="231F20"/>
          <w:spacing w:val="35"/>
          <w:w w:val="105"/>
        </w:rPr>
        <w:t xml:space="preserve"> </w:t>
      </w:r>
      <w:r w:rsidRPr="00FA3548">
        <w:rPr>
          <w:rFonts w:ascii="Calibri" w:hAnsi="Calibri"/>
          <w:color w:val="231F20"/>
          <w:w w:val="105"/>
        </w:rPr>
        <w:t>to</w:t>
      </w:r>
      <w:r w:rsidRPr="00FA3548">
        <w:rPr>
          <w:rFonts w:ascii="Calibri" w:hAnsi="Calibri"/>
          <w:color w:val="231F20"/>
          <w:spacing w:val="35"/>
          <w:w w:val="105"/>
        </w:rPr>
        <w:t xml:space="preserve"> </w:t>
      </w:r>
      <w:r w:rsidRPr="00FA3548">
        <w:rPr>
          <w:rFonts w:ascii="Calibri" w:hAnsi="Calibri"/>
          <w:color w:val="231F20"/>
          <w:w w:val="105"/>
        </w:rPr>
        <w:t>growth</w:t>
      </w:r>
      <w:r w:rsidRPr="00FA3548">
        <w:rPr>
          <w:rFonts w:ascii="Calibri" w:hAnsi="Calibri"/>
          <w:color w:val="231F20"/>
          <w:w w:val="104"/>
        </w:rPr>
        <w:t xml:space="preserve"> </w:t>
      </w:r>
      <w:r w:rsidRPr="00FA3548">
        <w:rPr>
          <w:rFonts w:ascii="Calibri" w:hAnsi="Calibri"/>
          <w:color w:val="231F20"/>
          <w:w w:val="105"/>
        </w:rPr>
        <w:t>patterns</w:t>
      </w:r>
      <w:r w:rsidRPr="00FA3548">
        <w:rPr>
          <w:rFonts w:ascii="Calibri" w:hAnsi="Calibri"/>
          <w:color w:val="231F20"/>
          <w:spacing w:val="34"/>
          <w:w w:val="105"/>
        </w:rPr>
        <w:t xml:space="preserve"> </w:t>
      </w:r>
      <w:r w:rsidRPr="00FA3548">
        <w:rPr>
          <w:rFonts w:ascii="Calibri" w:hAnsi="Calibri"/>
          <w:color w:val="231F20"/>
          <w:w w:val="105"/>
        </w:rPr>
        <w:t>in</w:t>
      </w:r>
      <w:r w:rsidRPr="00FA3548">
        <w:rPr>
          <w:rFonts w:ascii="Calibri" w:hAnsi="Calibri"/>
          <w:color w:val="231F20"/>
          <w:spacing w:val="34"/>
          <w:w w:val="105"/>
        </w:rPr>
        <w:t xml:space="preserve"> </w:t>
      </w:r>
      <w:r w:rsidRPr="00FA3548">
        <w:rPr>
          <w:rFonts w:ascii="Calibri" w:hAnsi="Calibri"/>
          <w:color w:val="231F20"/>
          <w:w w:val="105"/>
        </w:rPr>
        <w:t>evidence</w:t>
      </w:r>
      <w:r w:rsidRPr="00FA3548">
        <w:rPr>
          <w:rFonts w:ascii="Calibri" w:hAnsi="Calibri"/>
          <w:color w:val="231F20"/>
          <w:spacing w:val="34"/>
          <w:w w:val="105"/>
        </w:rPr>
        <w:t xml:space="preserve"> </w:t>
      </w:r>
      <w:r w:rsidRPr="002D31CE">
        <w:rPr>
          <w:rFonts w:ascii="Calibri" w:hAnsi="Calibri"/>
          <w:color w:val="231F20"/>
          <w:w w:val="105"/>
        </w:rPr>
        <w:t>before</w:t>
      </w:r>
      <w:r w:rsidRPr="002D31CE">
        <w:rPr>
          <w:rFonts w:ascii="Calibri" w:hAnsi="Calibri"/>
          <w:color w:val="231F20"/>
          <w:spacing w:val="34"/>
          <w:w w:val="105"/>
        </w:rPr>
        <w:t xml:space="preserve"> </w:t>
      </w:r>
      <w:r w:rsidRPr="002D31CE">
        <w:rPr>
          <w:rFonts w:ascii="Calibri" w:hAnsi="Calibri"/>
          <w:color w:val="231F20"/>
          <w:w w:val="105"/>
        </w:rPr>
        <w:t>the</w:t>
      </w:r>
      <w:r w:rsidRPr="002D31CE">
        <w:rPr>
          <w:rFonts w:ascii="Calibri" w:hAnsi="Calibri"/>
          <w:color w:val="231F20"/>
          <w:spacing w:val="34"/>
          <w:w w:val="105"/>
        </w:rPr>
        <w:t xml:space="preserve"> </w:t>
      </w:r>
      <w:r w:rsidRPr="002D31CE">
        <w:rPr>
          <w:rFonts w:ascii="Calibri" w:hAnsi="Calibri"/>
          <w:color w:val="231F20"/>
          <w:w w:val="105"/>
        </w:rPr>
        <w:t>recession</w:t>
      </w:r>
      <w:r w:rsidR="00D5537E">
        <w:rPr>
          <w:rFonts w:ascii="Calibri" w:hAnsi="Calibri"/>
          <w:color w:val="231F20"/>
          <w:w w:val="105"/>
        </w:rPr>
        <w:t xml:space="preserve"> and</w:t>
      </w:r>
      <w:r w:rsidRPr="002D31CE">
        <w:rPr>
          <w:rFonts w:ascii="Calibri" w:hAnsi="Calibri"/>
          <w:color w:val="231F20"/>
          <w:spacing w:val="34"/>
          <w:w w:val="105"/>
        </w:rPr>
        <w:t xml:space="preserve"> </w:t>
      </w:r>
      <w:r w:rsidRPr="002D31CE">
        <w:rPr>
          <w:rFonts w:ascii="Calibri" w:hAnsi="Calibri"/>
          <w:color w:val="231F20"/>
          <w:w w:val="105"/>
        </w:rPr>
        <w:t>many</w:t>
      </w:r>
      <w:r w:rsidRPr="002D31CE">
        <w:rPr>
          <w:rFonts w:ascii="Calibri" w:hAnsi="Calibri"/>
          <w:color w:val="231F20"/>
          <w:spacing w:val="34"/>
          <w:w w:val="105"/>
        </w:rPr>
        <w:t xml:space="preserve"> </w:t>
      </w:r>
      <w:r w:rsidRPr="002D31CE">
        <w:rPr>
          <w:rFonts w:ascii="Calibri" w:hAnsi="Calibri"/>
          <w:color w:val="231F20"/>
          <w:w w:val="105"/>
        </w:rPr>
        <w:t>of</w:t>
      </w:r>
      <w:r w:rsidRPr="002D31CE">
        <w:rPr>
          <w:rFonts w:ascii="Calibri" w:hAnsi="Calibri"/>
          <w:color w:val="231F20"/>
          <w:spacing w:val="34"/>
          <w:w w:val="105"/>
        </w:rPr>
        <w:t xml:space="preserve"> </w:t>
      </w:r>
      <w:r w:rsidRPr="002D31CE">
        <w:rPr>
          <w:rFonts w:ascii="Calibri" w:hAnsi="Calibri"/>
          <w:color w:val="231F20"/>
          <w:w w:val="105"/>
        </w:rPr>
        <w:t>these</w:t>
      </w:r>
      <w:r w:rsidRPr="002D31CE">
        <w:rPr>
          <w:rFonts w:ascii="Calibri" w:hAnsi="Calibri"/>
          <w:color w:val="231F20"/>
          <w:spacing w:val="34"/>
          <w:w w:val="105"/>
        </w:rPr>
        <w:t xml:space="preserve"> </w:t>
      </w:r>
      <w:r w:rsidRPr="002D31CE">
        <w:rPr>
          <w:rFonts w:ascii="Calibri" w:hAnsi="Calibri"/>
          <w:color w:val="231F20"/>
          <w:w w:val="105"/>
        </w:rPr>
        <w:t>have</w:t>
      </w:r>
      <w:r w:rsidRPr="002D31CE">
        <w:rPr>
          <w:rFonts w:ascii="Calibri" w:hAnsi="Calibri"/>
          <w:color w:val="231F20"/>
          <w:spacing w:val="34"/>
          <w:w w:val="105"/>
        </w:rPr>
        <w:t xml:space="preserve"> </w:t>
      </w:r>
      <w:r w:rsidRPr="002D31CE">
        <w:rPr>
          <w:rFonts w:ascii="Calibri" w:hAnsi="Calibri"/>
          <w:color w:val="231F20"/>
          <w:w w:val="105"/>
        </w:rPr>
        <w:t>higher</w:t>
      </w:r>
      <w:r w:rsidRPr="002D31CE">
        <w:rPr>
          <w:rFonts w:ascii="Calibri" w:hAnsi="Calibri"/>
          <w:color w:val="231F20"/>
          <w:spacing w:val="34"/>
          <w:w w:val="105"/>
        </w:rPr>
        <w:t xml:space="preserve"> </w:t>
      </w:r>
      <w:r w:rsidRPr="002D31CE">
        <w:rPr>
          <w:rFonts w:ascii="Calibri" w:hAnsi="Calibri"/>
          <w:color w:val="231F20"/>
          <w:w w:val="105"/>
        </w:rPr>
        <w:t>rates</w:t>
      </w:r>
      <w:r w:rsidRPr="002D31CE">
        <w:rPr>
          <w:rFonts w:ascii="Calibri" w:hAnsi="Calibri"/>
          <w:color w:val="231F20"/>
          <w:spacing w:val="34"/>
          <w:w w:val="105"/>
        </w:rPr>
        <w:t xml:space="preserve"> </w:t>
      </w:r>
      <w:r w:rsidRPr="002D31CE">
        <w:rPr>
          <w:rFonts w:ascii="Calibri" w:hAnsi="Calibri"/>
          <w:color w:val="231F20"/>
          <w:w w:val="105"/>
        </w:rPr>
        <w:t>of</w:t>
      </w:r>
      <w:r w:rsidRPr="002D31CE">
        <w:rPr>
          <w:rFonts w:ascii="Calibri" w:hAnsi="Calibri"/>
          <w:color w:val="231F20"/>
          <w:spacing w:val="34"/>
          <w:w w:val="105"/>
        </w:rPr>
        <w:t xml:space="preserve"> </w:t>
      </w:r>
      <w:r w:rsidRPr="002D31CE">
        <w:rPr>
          <w:rFonts w:ascii="Calibri" w:hAnsi="Calibri"/>
          <w:color w:val="231F20"/>
          <w:w w:val="105"/>
        </w:rPr>
        <w:t>growth</w:t>
      </w:r>
      <w:r w:rsidRPr="002D31CE">
        <w:rPr>
          <w:rFonts w:ascii="Calibri" w:hAnsi="Calibri"/>
          <w:color w:val="231F20"/>
          <w:spacing w:val="34"/>
          <w:w w:val="105"/>
        </w:rPr>
        <w:t xml:space="preserve"> </w:t>
      </w:r>
      <w:r w:rsidRPr="002D31CE">
        <w:rPr>
          <w:rFonts w:ascii="Calibri" w:hAnsi="Calibri"/>
          <w:color w:val="231F20"/>
          <w:w w:val="105"/>
        </w:rPr>
        <w:t>compared</w:t>
      </w:r>
      <w:r w:rsidRPr="002D31CE">
        <w:rPr>
          <w:rFonts w:ascii="Calibri" w:hAnsi="Calibri"/>
          <w:color w:val="231F20"/>
          <w:spacing w:val="34"/>
          <w:w w:val="105"/>
        </w:rPr>
        <w:t xml:space="preserve"> </w:t>
      </w:r>
      <w:r w:rsidRPr="002D31CE">
        <w:rPr>
          <w:rFonts w:ascii="Calibri" w:hAnsi="Calibri"/>
          <w:color w:val="231F20"/>
          <w:w w:val="105"/>
        </w:rPr>
        <w:t>to</w:t>
      </w:r>
      <w:r w:rsidRPr="002D31CE">
        <w:rPr>
          <w:rFonts w:ascii="Calibri" w:hAnsi="Calibri"/>
          <w:color w:val="231F20"/>
        </w:rPr>
        <w:t xml:space="preserve"> </w:t>
      </w:r>
      <w:r w:rsidRPr="002D31CE">
        <w:rPr>
          <w:rFonts w:ascii="Calibri" w:hAnsi="Calibri"/>
          <w:color w:val="231F20"/>
          <w:w w:val="105"/>
        </w:rPr>
        <w:t>the</w:t>
      </w:r>
      <w:r w:rsidRPr="002D31CE">
        <w:rPr>
          <w:rFonts w:ascii="Calibri" w:hAnsi="Calibri"/>
          <w:color w:val="231F20"/>
          <w:spacing w:val="21"/>
          <w:w w:val="105"/>
        </w:rPr>
        <w:t xml:space="preserve"> </w:t>
      </w:r>
      <w:r w:rsidRPr="002D31CE">
        <w:rPr>
          <w:rFonts w:ascii="Calibri" w:hAnsi="Calibri"/>
          <w:color w:val="231F20"/>
          <w:w w:val="105"/>
        </w:rPr>
        <w:t>previous major expansion</w:t>
      </w:r>
      <w:r w:rsidR="005E7C49">
        <w:rPr>
          <w:rFonts w:ascii="Calibri" w:hAnsi="Calibri"/>
          <w:color w:val="231F20"/>
          <w:w w:val="105"/>
        </w:rPr>
        <w:t xml:space="preserve">. </w:t>
      </w:r>
      <w:r w:rsidRPr="002D31CE">
        <w:rPr>
          <w:rFonts w:ascii="Calibri" w:hAnsi="Calibri"/>
          <w:color w:val="231F20"/>
          <w:w w:val="105"/>
        </w:rPr>
        <w:t>While construction has not returned to the previous peak number of jobs, current growth rates (November 2017, +8.</w:t>
      </w:r>
      <w:r>
        <w:rPr>
          <w:rFonts w:ascii="Calibri" w:hAnsi="Calibri"/>
          <w:color w:val="231F20"/>
          <w:w w:val="105"/>
        </w:rPr>
        <w:t>7</w:t>
      </w:r>
      <w:r w:rsidRPr="002D31CE">
        <w:rPr>
          <w:rFonts w:ascii="Calibri" w:hAnsi="Calibri"/>
          <w:color w:val="231F20"/>
          <w:w w:val="105"/>
        </w:rPr>
        <w:t xml:space="preserve"> percent) are healthy and construction is the fastest growing industry in the state</w:t>
      </w:r>
      <w:r w:rsidR="005E7C49">
        <w:rPr>
          <w:rFonts w:ascii="Calibri" w:hAnsi="Calibri"/>
          <w:color w:val="231F20"/>
          <w:w w:val="105"/>
        </w:rPr>
        <w:t xml:space="preserve">. </w:t>
      </w:r>
      <w:r w:rsidRPr="002D31CE">
        <w:rPr>
          <w:rFonts w:ascii="Calibri" w:hAnsi="Calibri"/>
          <w:color w:val="231F20"/>
          <w:w w:val="105"/>
        </w:rPr>
        <w:t>There are no indicators of</w:t>
      </w:r>
      <w:r w:rsidRPr="002D31CE">
        <w:rPr>
          <w:rFonts w:ascii="Calibri" w:hAnsi="Calibri"/>
          <w:color w:val="231F20"/>
          <w:w w:val="102"/>
        </w:rPr>
        <w:t xml:space="preserve"> </w:t>
      </w:r>
      <w:r w:rsidRPr="002D31CE">
        <w:rPr>
          <w:rFonts w:ascii="Calibri" w:hAnsi="Calibri"/>
          <w:color w:val="231F20"/>
          <w:w w:val="105"/>
        </w:rPr>
        <w:t>overbuilding</w:t>
      </w:r>
      <w:r w:rsidRPr="002D31CE">
        <w:rPr>
          <w:rFonts w:ascii="Calibri" w:hAnsi="Calibri"/>
          <w:color w:val="231F20"/>
          <w:spacing w:val="10"/>
          <w:w w:val="105"/>
        </w:rPr>
        <w:t xml:space="preserve"> </w:t>
      </w:r>
      <w:r w:rsidRPr="002D31CE">
        <w:rPr>
          <w:rFonts w:ascii="Calibri" w:hAnsi="Calibri"/>
          <w:color w:val="231F20"/>
          <w:w w:val="105"/>
        </w:rPr>
        <w:t>or</w:t>
      </w:r>
      <w:r w:rsidRPr="002D31CE">
        <w:rPr>
          <w:rFonts w:ascii="Calibri" w:hAnsi="Calibri"/>
          <w:color w:val="231F20"/>
          <w:spacing w:val="10"/>
          <w:w w:val="105"/>
        </w:rPr>
        <w:t xml:space="preserve"> </w:t>
      </w:r>
      <w:r w:rsidRPr="002D31CE">
        <w:rPr>
          <w:rFonts w:ascii="Calibri" w:hAnsi="Calibri"/>
          <w:color w:val="231F20"/>
          <w:w w:val="105"/>
        </w:rPr>
        <w:t>bubbles</w:t>
      </w:r>
      <w:r w:rsidRPr="002D31CE">
        <w:rPr>
          <w:rFonts w:ascii="Calibri" w:hAnsi="Calibri"/>
          <w:color w:val="231F20"/>
          <w:spacing w:val="10"/>
          <w:w w:val="105"/>
        </w:rPr>
        <w:t xml:space="preserve"> </w:t>
      </w:r>
      <w:r w:rsidRPr="002D31CE">
        <w:rPr>
          <w:rFonts w:ascii="Calibri" w:hAnsi="Calibri"/>
          <w:color w:val="231F20"/>
          <w:w w:val="105"/>
        </w:rPr>
        <w:t>in</w:t>
      </w:r>
      <w:r w:rsidRPr="002D31CE">
        <w:rPr>
          <w:rFonts w:ascii="Calibri" w:hAnsi="Calibri"/>
          <w:color w:val="231F20"/>
          <w:spacing w:val="10"/>
          <w:w w:val="105"/>
        </w:rPr>
        <w:t xml:space="preserve"> </w:t>
      </w:r>
      <w:r w:rsidRPr="002D31CE">
        <w:rPr>
          <w:rFonts w:ascii="Calibri" w:hAnsi="Calibri"/>
          <w:color w:val="231F20"/>
          <w:w w:val="105"/>
        </w:rPr>
        <w:t>the</w:t>
      </w:r>
      <w:r w:rsidRPr="002D31CE">
        <w:rPr>
          <w:rFonts w:ascii="Calibri" w:hAnsi="Calibri"/>
          <w:color w:val="231F20"/>
          <w:spacing w:val="10"/>
          <w:w w:val="105"/>
        </w:rPr>
        <w:t xml:space="preserve"> </w:t>
      </w:r>
      <w:r w:rsidRPr="002D31CE">
        <w:rPr>
          <w:rFonts w:ascii="Calibri" w:hAnsi="Calibri"/>
          <w:color w:val="231F20"/>
          <w:w w:val="105"/>
        </w:rPr>
        <w:t>current</w:t>
      </w:r>
      <w:r w:rsidRPr="002D31CE">
        <w:rPr>
          <w:rFonts w:ascii="Calibri" w:hAnsi="Calibri"/>
          <w:color w:val="231F20"/>
          <w:spacing w:val="10"/>
          <w:w w:val="105"/>
        </w:rPr>
        <w:t xml:space="preserve"> </w:t>
      </w:r>
      <w:r w:rsidRPr="002D31CE">
        <w:rPr>
          <w:rFonts w:ascii="Calibri" w:hAnsi="Calibri"/>
          <w:color w:val="231F20"/>
          <w:w w:val="105"/>
        </w:rPr>
        <w:t>housing</w:t>
      </w:r>
      <w:r w:rsidRPr="002D31CE">
        <w:rPr>
          <w:rFonts w:ascii="Calibri" w:hAnsi="Calibri"/>
          <w:color w:val="231F20"/>
          <w:spacing w:val="10"/>
          <w:w w:val="105"/>
        </w:rPr>
        <w:t xml:space="preserve"> </w:t>
      </w:r>
      <w:r w:rsidRPr="002D31CE">
        <w:rPr>
          <w:rFonts w:ascii="Calibri" w:hAnsi="Calibri"/>
          <w:color w:val="231F20"/>
          <w:w w:val="105"/>
        </w:rPr>
        <w:t>market</w:t>
      </w:r>
      <w:r w:rsidR="005E7C49">
        <w:rPr>
          <w:rFonts w:ascii="Calibri" w:hAnsi="Calibri"/>
          <w:color w:val="231F20"/>
          <w:w w:val="105"/>
        </w:rPr>
        <w:t xml:space="preserve">. </w:t>
      </w:r>
      <w:r w:rsidRPr="002D31CE">
        <w:rPr>
          <w:rFonts w:ascii="Calibri" w:hAnsi="Calibri"/>
          <w:color w:val="231F20"/>
          <w:spacing w:val="-4"/>
          <w:w w:val="105"/>
        </w:rPr>
        <w:t>Tourism</w:t>
      </w:r>
      <w:r w:rsidRPr="002D31CE">
        <w:rPr>
          <w:rFonts w:ascii="Calibri" w:hAnsi="Calibri"/>
          <w:color w:val="231F20"/>
          <w:spacing w:val="10"/>
          <w:w w:val="105"/>
        </w:rPr>
        <w:t xml:space="preserve"> </w:t>
      </w:r>
      <w:r w:rsidRPr="002D31CE">
        <w:rPr>
          <w:rFonts w:ascii="Calibri" w:hAnsi="Calibri"/>
          <w:color w:val="231F20"/>
          <w:w w:val="105"/>
        </w:rPr>
        <w:t>looks</w:t>
      </w:r>
      <w:r w:rsidRPr="002D31CE">
        <w:rPr>
          <w:rFonts w:ascii="Calibri" w:hAnsi="Calibri"/>
          <w:color w:val="231F20"/>
          <w:spacing w:val="10"/>
          <w:w w:val="105"/>
        </w:rPr>
        <w:t xml:space="preserve"> </w:t>
      </w:r>
      <w:r w:rsidRPr="002D31CE">
        <w:rPr>
          <w:rFonts w:ascii="Calibri" w:hAnsi="Calibri"/>
          <w:color w:val="231F20"/>
          <w:w w:val="105"/>
        </w:rPr>
        <w:t>healthy</w:t>
      </w:r>
      <w:r w:rsidRPr="002D31CE">
        <w:rPr>
          <w:rFonts w:ascii="Calibri" w:hAnsi="Calibri"/>
          <w:color w:val="231F20"/>
          <w:spacing w:val="10"/>
          <w:w w:val="105"/>
        </w:rPr>
        <w:t xml:space="preserve"> </w:t>
      </w:r>
      <w:r w:rsidRPr="002D31CE">
        <w:rPr>
          <w:rFonts w:ascii="Calibri" w:hAnsi="Calibri"/>
          <w:color w:val="231F20"/>
          <w:w w:val="105"/>
        </w:rPr>
        <w:t>as</w:t>
      </w:r>
      <w:r w:rsidRPr="002D31CE">
        <w:rPr>
          <w:rFonts w:ascii="Calibri" w:hAnsi="Calibri"/>
          <w:color w:val="231F20"/>
          <w:spacing w:val="10"/>
          <w:w w:val="105"/>
        </w:rPr>
        <w:t xml:space="preserve"> </w:t>
      </w:r>
      <w:r w:rsidRPr="002D31CE">
        <w:rPr>
          <w:rFonts w:ascii="Calibri" w:hAnsi="Calibri"/>
          <w:color w:val="231F20"/>
          <w:w w:val="105"/>
        </w:rPr>
        <w:t>reflected</w:t>
      </w:r>
      <w:r w:rsidRPr="002D31CE">
        <w:rPr>
          <w:rFonts w:ascii="Calibri" w:hAnsi="Calibri"/>
          <w:color w:val="231F20"/>
          <w:spacing w:val="10"/>
          <w:w w:val="105"/>
        </w:rPr>
        <w:t xml:space="preserve"> </w:t>
      </w:r>
      <w:r w:rsidRPr="002D31CE">
        <w:rPr>
          <w:rFonts w:ascii="Calibri" w:hAnsi="Calibri"/>
          <w:color w:val="231F20"/>
          <w:w w:val="105"/>
        </w:rPr>
        <w:t>in</w:t>
      </w:r>
      <w:r w:rsidRPr="002D31CE">
        <w:rPr>
          <w:rFonts w:ascii="Calibri" w:hAnsi="Calibri"/>
          <w:color w:val="231F20"/>
          <w:spacing w:val="10"/>
          <w:w w:val="105"/>
        </w:rPr>
        <w:t xml:space="preserve"> </w:t>
      </w:r>
      <w:r w:rsidRPr="002D31CE">
        <w:rPr>
          <w:rFonts w:ascii="Calibri" w:hAnsi="Calibri"/>
          <w:color w:val="231F20"/>
          <w:w w:val="105"/>
        </w:rPr>
        <w:t>the</w:t>
      </w:r>
      <w:r w:rsidRPr="002D31CE">
        <w:rPr>
          <w:rFonts w:ascii="Calibri" w:hAnsi="Calibri"/>
          <w:color w:val="231F20"/>
          <w:spacing w:val="10"/>
          <w:w w:val="105"/>
        </w:rPr>
        <w:t xml:space="preserve"> </w:t>
      </w:r>
      <w:r w:rsidRPr="002D31CE">
        <w:rPr>
          <w:rFonts w:ascii="Calibri" w:hAnsi="Calibri"/>
          <w:color w:val="231F20"/>
          <w:w w:val="105"/>
        </w:rPr>
        <w:t xml:space="preserve">increased number of visitors (+5.5 percent in 2016; +3.4 percent in </w:t>
      </w:r>
      <w:r w:rsidRPr="006A27F2">
        <w:rPr>
          <w:rFonts w:ascii="Calibri" w:hAnsi="Calibri"/>
          <w:color w:val="231F20"/>
          <w:w w:val="105"/>
        </w:rPr>
        <w:t>2017</w:t>
      </w:r>
      <w:r w:rsidR="00FB4F48">
        <w:rPr>
          <w:rFonts w:ascii="Calibri" w:hAnsi="Calibri"/>
          <w:color w:val="231F20"/>
          <w:w w:val="105"/>
        </w:rPr>
        <w:t xml:space="preserve">, </w:t>
      </w:r>
      <w:r w:rsidRPr="006A27F2">
        <w:rPr>
          <w:rFonts w:ascii="Calibri" w:hAnsi="Calibri"/>
          <w:color w:val="231F20"/>
          <w:w w:val="105"/>
        </w:rPr>
        <w:t>Q</w:t>
      </w:r>
      <w:r>
        <w:rPr>
          <w:rFonts w:ascii="Calibri" w:hAnsi="Calibri"/>
          <w:color w:val="231F20"/>
          <w:w w:val="105"/>
        </w:rPr>
        <w:t>3</w:t>
      </w:r>
      <w:r w:rsidRPr="006A27F2">
        <w:rPr>
          <w:rFonts w:ascii="Calibri" w:hAnsi="Calibri"/>
          <w:color w:val="231F20"/>
          <w:w w:val="105"/>
        </w:rPr>
        <w:t>)</w:t>
      </w:r>
      <w:r w:rsidR="005E7C49">
        <w:rPr>
          <w:rFonts w:ascii="Calibri" w:hAnsi="Calibri"/>
          <w:color w:val="231F20"/>
          <w:w w:val="105"/>
        </w:rPr>
        <w:t xml:space="preserve">. </w:t>
      </w:r>
      <w:r w:rsidRPr="006A27F2">
        <w:rPr>
          <w:rFonts w:ascii="Calibri" w:hAnsi="Calibri"/>
          <w:color w:val="231F20"/>
          <w:w w:val="105"/>
        </w:rPr>
        <w:t>Higher-paying industry sectors are experiencing healthy and sustainable expansion: manufacturing (+3.9 percent); professional and business services (+3.1 percent); financial activities (+2.8 percent); and information (+2.2 percent).</w:t>
      </w:r>
    </w:p>
    <w:p w14:paraId="06857A8D" w14:textId="77777777" w:rsidR="00002D76" w:rsidRPr="006A27F2" w:rsidRDefault="00002D76" w:rsidP="00D63204">
      <w:pPr>
        <w:widowControl w:val="0"/>
        <w:spacing w:before="8" w:after="0" w:line="240" w:lineRule="auto"/>
        <w:rPr>
          <w:rFonts w:ascii="Calibri" w:hAnsi="Calibri" w:cs="Calibri"/>
          <w:sz w:val="19"/>
          <w:szCs w:val="19"/>
        </w:rPr>
      </w:pPr>
    </w:p>
    <w:p w14:paraId="49BB1504" w14:textId="153E0143" w:rsidR="00002D76" w:rsidRPr="00D50B71" w:rsidRDefault="00A63B86" w:rsidP="00D63204">
      <w:pPr>
        <w:widowControl w:val="0"/>
        <w:spacing w:before="58" w:after="0" w:line="264" w:lineRule="exact"/>
        <w:ind w:left="107" w:right="104"/>
        <w:rPr>
          <w:rFonts w:ascii="Calibri" w:hAnsi="Calibri"/>
          <w:color w:val="231F20"/>
          <w:w w:val="105"/>
        </w:rPr>
      </w:pPr>
      <w:bookmarkStart w:id="28" w:name="_Hlk505095184"/>
      <w:r w:rsidRPr="00A63B86">
        <w:rPr>
          <w:rFonts w:ascii="Calibri" w:hAnsi="Calibri"/>
          <w:color w:val="231F20"/>
          <w:w w:val="105"/>
        </w:rPr>
        <w:t>Over the past two years, the unemployment rate has continued to decline</w:t>
      </w:r>
      <w:r w:rsidR="00002D76" w:rsidRPr="006A27F2">
        <w:rPr>
          <w:rFonts w:ascii="Calibri" w:hAnsi="Calibri"/>
          <w:color w:val="231F20"/>
          <w:w w:val="105"/>
        </w:rPr>
        <w:t>.</w:t>
      </w:r>
      <w:bookmarkEnd w:id="28"/>
      <w:r w:rsidR="00002D76" w:rsidRPr="006A27F2">
        <w:rPr>
          <w:rFonts w:ascii="Calibri" w:hAnsi="Calibri"/>
          <w:color w:val="231F20"/>
          <w:w w:val="105"/>
        </w:rPr>
        <w:t xml:space="preserve"> Employment as measured in the household survey</w:t>
      </w:r>
      <w:r w:rsidR="00002D76" w:rsidRPr="00D50B71">
        <w:rPr>
          <w:rFonts w:ascii="Calibri" w:hAnsi="Calibri"/>
          <w:color w:val="231F20"/>
          <w:w w:val="105"/>
        </w:rPr>
        <w:t xml:space="preserve"> </w:t>
      </w:r>
      <w:r w:rsidR="00002D76" w:rsidRPr="006A27F2">
        <w:rPr>
          <w:rFonts w:ascii="Calibri" w:hAnsi="Calibri"/>
          <w:color w:val="231F20"/>
          <w:w w:val="105"/>
        </w:rPr>
        <w:t>continues</w:t>
      </w:r>
      <w:r w:rsidR="00002D76" w:rsidRPr="00D50B71">
        <w:rPr>
          <w:rFonts w:ascii="Calibri" w:hAnsi="Calibri"/>
          <w:color w:val="231F20"/>
          <w:w w:val="105"/>
        </w:rPr>
        <w:t xml:space="preserve"> </w:t>
      </w:r>
      <w:r w:rsidR="00002D76" w:rsidRPr="006A27F2">
        <w:rPr>
          <w:rFonts w:ascii="Calibri" w:hAnsi="Calibri"/>
          <w:color w:val="231F20"/>
          <w:w w:val="105"/>
        </w:rPr>
        <w:t>to</w:t>
      </w:r>
      <w:r w:rsidR="00002D76" w:rsidRPr="00D50B71">
        <w:rPr>
          <w:rFonts w:ascii="Calibri" w:hAnsi="Calibri"/>
          <w:color w:val="231F20"/>
          <w:w w:val="105"/>
        </w:rPr>
        <w:t xml:space="preserve"> </w:t>
      </w:r>
      <w:r w:rsidR="00002D76" w:rsidRPr="006A27F2">
        <w:rPr>
          <w:rFonts w:ascii="Calibri" w:hAnsi="Calibri"/>
          <w:color w:val="231F20"/>
          <w:w w:val="105"/>
        </w:rPr>
        <w:t>expand</w:t>
      </w:r>
      <w:r w:rsidR="00D5537E">
        <w:rPr>
          <w:rFonts w:ascii="Calibri" w:hAnsi="Calibri"/>
          <w:color w:val="231F20"/>
          <w:w w:val="105"/>
        </w:rPr>
        <w:t xml:space="preserve"> and</w:t>
      </w:r>
      <w:r w:rsidR="00002D76" w:rsidRPr="00D50B71">
        <w:rPr>
          <w:rFonts w:ascii="Calibri" w:hAnsi="Calibri"/>
          <w:color w:val="231F20"/>
          <w:w w:val="105"/>
        </w:rPr>
        <w:t xml:space="preserve"> </w:t>
      </w:r>
      <w:r w:rsidR="00002D76" w:rsidRPr="006A27F2">
        <w:rPr>
          <w:rFonts w:ascii="Calibri" w:hAnsi="Calibri"/>
          <w:color w:val="231F20"/>
          <w:w w:val="105"/>
        </w:rPr>
        <w:t>has</w:t>
      </w:r>
      <w:r w:rsidR="00002D76" w:rsidRPr="00D50B71">
        <w:rPr>
          <w:rFonts w:ascii="Calibri" w:hAnsi="Calibri"/>
          <w:color w:val="231F20"/>
          <w:w w:val="105"/>
        </w:rPr>
        <w:t xml:space="preserve"> </w:t>
      </w:r>
      <w:r w:rsidR="00002D76" w:rsidRPr="006A27F2">
        <w:rPr>
          <w:rFonts w:ascii="Calibri" w:hAnsi="Calibri"/>
          <w:color w:val="231F20"/>
          <w:w w:val="105"/>
        </w:rPr>
        <w:t>exhibited</w:t>
      </w:r>
      <w:r w:rsidR="00002D76" w:rsidRPr="00D50B71">
        <w:rPr>
          <w:rFonts w:ascii="Calibri" w:hAnsi="Calibri"/>
          <w:color w:val="231F20"/>
          <w:w w:val="105"/>
        </w:rPr>
        <w:t xml:space="preserve"> </w:t>
      </w:r>
      <w:r w:rsidR="00002D76" w:rsidRPr="006A27F2">
        <w:rPr>
          <w:rFonts w:ascii="Calibri" w:hAnsi="Calibri"/>
          <w:color w:val="231F20"/>
          <w:w w:val="105"/>
        </w:rPr>
        <w:t>a</w:t>
      </w:r>
      <w:r w:rsidR="00002D76" w:rsidRPr="00D50B71">
        <w:rPr>
          <w:rFonts w:ascii="Calibri" w:hAnsi="Calibri"/>
          <w:color w:val="231F20"/>
          <w:w w:val="105"/>
        </w:rPr>
        <w:t xml:space="preserve"> </w:t>
      </w:r>
      <w:r w:rsidR="00002D76" w:rsidRPr="006A27F2">
        <w:rPr>
          <w:rFonts w:ascii="Calibri" w:hAnsi="Calibri"/>
          <w:color w:val="231F20"/>
          <w:w w:val="105"/>
        </w:rPr>
        <w:t>recent</w:t>
      </w:r>
      <w:r w:rsidR="00002D76" w:rsidRPr="00D50B71">
        <w:rPr>
          <w:rFonts w:ascii="Calibri" w:hAnsi="Calibri"/>
          <w:color w:val="231F20"/>
          <w:w w:val="105"/>
        </w:rPr>
        <w:t xml:space="preserve"> </w:t>
      </w:r>
      <w:r w:rsidR="00002D76" w:rsidRPr="006A27F2">
        <w:rPr>
          <w:rFonts w:ascii="Calibri" w:hAnsi="Calibri"/>
          <w:color w:val="231F20"/>
          <w:w w:val="105"/>
        </w:rPr>
        <w:t>strengthening.</w:t>
      </w:r>
      <w:r w:rsidR="00002D76" w:rsidRPr="00D50B71">
        <w:rPr>
          <w:rFonts w:ascii="Calibri" w:hAnsi="Calibri"/>
          <w:color w:val="231F20"/>
          <w:w w:val="105"/>
        </w:rPr>
        <w:t xml:space="preserve"> </w:t>
      </w:r>
      <w:r w:rsidR="00002D76" w:rsidRPr="006A27F2">
        <w:rPr>
          <w:rFonts w:ascii="Calibri" w:hAnsi="Calibri"/>
          <w:color w:val="231F20"/>
          <w:w w:val="105"/>
        </w:rPr>
        <w:t>Other</w:t>
      </w:r>
      <w:r w:rsidR="00002D76" w:rsidRPr="00D50B71">
        <w:rPr>
          <w:rFonts w:ascii="Calibri" w:hAnsi="Calibri"/>
          <w:color w:val="231F20"/>
          <w:w w:val="105"/>
        </w:rPr>
        <w:t xml:space="preserve"> </w:t>
      </w:r>
      <w:r w:rsidR="00002D76" w:rsidRPr="006A27F2">
        <w:rPr>
          <w:rFonts w:ascii="Calibri" w:hAnsi="Calibri"/>
          <w:color w:val="231F20"/>
          <w:w w:val="105"/>
        </w:rPr>
        <w:t>indicators</w:t>
      </w:r>
      <w:r w:rsidR="00002D76" w:rsidRPr="00D50B71">
        <w:rPr>
          <w:rFonts w:ascii="Calibri" w:hAnsi="Calibri"/>
          <w:color w:val="231F20"/>
          <w:w w:val="105"/>
        </w:rPr>
        <w:t xml:space="preserve"> </w:t>
      </w:r>
      <w:r w:rsidR="00002D76" w:rsidRPr="006A27F2">
        <w:rPr>
          <w:rFonts w:ascii="Calibri" w:hAnsi="Calibri"/>
          <w:color w:val="231F20"/>
          <w:w w:val="105"/>
        </w:rPr>
        <w:t>back</w:t>
      </w:r>
      <w:r w:rsidR="00002D76" w:rsidRPr="00D50B71">
        <w:rPr>
          <w:rFonts w:ascii="Calibri" w:hAnsi="Calibri"/>
          <w:color w:val="231F20"/>
          <w:w w:val="105"/>
        </w:rPr>
        <w:t xml:space="preserve"> </w:t>
      </w:r>
      <w:r w:rsidR="00002D76" w:rsidRPr="006A27F2">
        <w:rPr>
          <w:rFonts w:ascii="Calibri" w:hAnsi="Calibri"/>
          <w:color w:val="231F20"/>
          <w:w w:val="105"/>
        </w:rPr>
        <w:t>up</w:t>
      </w:r>
      <w:r w:rsidR="00002D76" w:rsidRPr="00D50B71">
        <w:rPr>
          <w:rFonts w:ascii="Calibri" w:hAnsi="Calibri"/>
          <w:color w:val="231F20"/>
          <w:w w:val="105"/>
        </w:rPr>
        <w:t xml:space="preserve"> </w:t>
      </w:r>
      <w:r w:rsidR="00002D76" w:rsidRPr="006A27F2">
        <w:rPr>
          <w:rFonts w:ascii="Calibri" w:hAnsi="Calibri"/>
          <w:color w:val="231F20"/>
          <w:w w:val="105"/>
        </w:rPr>
        <w:t>the</w:t>
      </w:r>
      <w:r w:rsidR="00002D76" w:rsidRPr="00D50B71">
        <w:rPr>
          <w:rFonts w:ascii="Calibri" w:hAnsi="Calibri"/>
          <w:color w:val="231F20"/>
          <w:w w:val="105"/>
        </w:rPr>
        <w:t xml:space="preserve"> </w:t>
      </w:r>
      <w:r w:rsidR="00002D76" w:rsidRPr="006A27F2">
        <w:rPr>
          <w:rFonts w:ascii="Calibri" w:hAnsi="Calibri"/>
          <w:color w:val="231F20"/>
          <w:w w:val="105"/>
        </w:rPr>
        <w:t>overall</w:t>
      </w:r>
      <w:r w:rsidR="00002D76" w:rsidRPr="00D50B71">
        <w:rPr>
          <w:rFonts w:ascii="Calibri" w:hAnsi="Calibri"/>
          <w:color w:val="231F20"/>
          <w:w w:val="105"/>
        </w:rPr>
        <w:t xml:space="preserve"> </w:t>
      </w:r>
      <w:r w:rsidR="00002D76" w:rsidRPr="006A27F2">
        <w:rPr>
          <w:rFonts w:ascii="Calibri" w:hAnsi="Calibri"/>
          <w:color w:val="231F20"/>
          <w:w w:val="105"/>
        </w:rPr>
        <w:t>conclusion</w:t>
      </w:r>
      <w:r w:rsidR="00002D76" w:rsidRPr="00D50B71">
        <w:rPr>
          <w:rFonts w:ascii="Calibri" w:hAnsi="Calibri"/>
          <w:color w:val="231F20"/>
          <w:w w:val="105"/>
        </w:rPr>
        <w:t xml:space="preserve"> </w:t>
      </w:r>
      <w:r w:rsidR="00002D76" w:rsidRPr="006A27F2">
        <w:rPr>
          <w:rFonts w:ascii="Calibri" w:hAnsi="Calibri"/>
          <w:color w:val="231F20"/>
          <w:w w:val="105"/>
        </w:rPr>
        <w:t>about</w:t>
      </w:r>
      <w:r w:rsidR="00002D76" w:rsidRPr="00D50B71">
        <w:rPr>
          <w:rFonts w:ascii="Calibri" w:hAnsi="Calibri"/>
          <w:color w:val="231F20"/>
          <w:w w:val="105"/>
        </w:rPr>
        <w:t xml:space="preserve"> </w:t>
      </w:r>
      <w:r w:rsidR="00002D76" w:rsidRPr="006A27F2">
        <w:rPr>
          <w:rFonts w:ascii="Calibri" w:hAnsi="Calibri"/>
          <w:color w:val="231F20"/>
          <w:w w:val="105"/>
        </w:rPr>
        <w:t>the</w:t>
      </w:r>
      <w:r w:rsidR="00002D76" w:rsidRPr="00D50B71">
        <w:rPr>
          <w:rFonts w:ascii="Calibri" w:hAnsi="Calibri"/>
          <w:color w:val="231F20"/>
          <w:w w:val="105"/>
        </w:rPr>
        <w:t xml:space="preserve"> </w:t>
      </w:r>
      <w:r w:rsidR="00002D76" w:rsidRPr="006A27F2">
        <w:rPr>
          <w:rFonts w:ascii="Calibri" w:hAnsi="Calibri"/>
          <w:color w:val="231F20"/>
          <w:w w:val="105"/>
        </w:rPr>
        <w:t>strength</w:t>
      </w:r>
      <w:r w:rsidR="00002D76" w:rsidRPr="00D50B71">
        <w:rPr>
          <w:rFonts w:ascii="Calibri" w:hAnsi="Calibri"/>
          <w:color w:val="231F20"/>
          <w:w w:val="105"/>
        </w:rPr>
        <w:t xml:space="preserve"> </w:t>
      </w:r>
      <w:r w:rsidR="00002D76" w:rsidRPr="006A27F2">
        <w:rPr>
          <w:rFonts w:ascii="Calibri" w:hAnsi="Calibri"/>
          <w:color w:val="231F20"/>
          <w:w w:val="105"/>
        </w:rPr>
        <w:t>and</w:t>
      </w:r>
      <w:r w:rsidR="00002D76" w:rsidRPr="00D50B71">
        <w:rPr>
          <w:rFonts w:ascii="Calibri" w:hAnsi="Calibri"/>
          <w:color w:val="231F20"/>
          <w:w w:val="105"/>
        </w:rPr>
        <w:t xml:space="preserve"> </w:t>
      </w:r>
      <w:r w:rsidR="00002D76" w:rsidRPr="006A27F2">
        <w:rPr>
          <w:rFonts w:ascii="Calibri" w:hAnsi="Calibri"/>
          <w:color w:val="231F20"/>
          <w:w w:val="105"/>
        </w:rPr>
        <w:t>sustainability</w:t>
      </w:r>
      <w:r w:rsidR="00002D76" w:rsidRPr="00D50B71">
        <w:rPr>
          <w:rFonts w:ascii="Calibri" w:hAnsi="Calibri"/>
          <w:color w:val="231F20"/>
          <w:w w:val="105"/>
        </w:rPr>
        <w:t xml:space="preserve"> </w:t>
      </w:r>
      <w:r w:rsidR="00002D76" w:rsidRPr="006A27F2">
        <w:rPr>
          <w:rFonts w:ascii="Calibri" w:hAnsi="Calibri"/>
          <w:color w:val="231F20"/>
          <w:w w:val="105"/>
        </w:rPr>
        <w:t>of</w:t>
      </w:r>
      <w:r w:rsidR="00002D76" w:rsidRPr="00D50B71">
        <w:rPr>
          <w:rFonts w:ascii="Calibri" w:hAnsi="Calibri"/>
          <w:color w:val="231F20"/>
          <w:w w:val="105"/>
        </w:rPr>
        <w:t xml:space="preserve"> </w:t>
      </w:r>
      <w:r w:rsidR="00002D76" w:rsidRPr="006A27F2">
        <w:rPr>
          <w:rFonts w:ascii="Calibri" w:hAnsi="Calibri"/>
          <w:color w:val="231F20"/>
          <w:w w:val="105"/>
        </w:rPr>
        <w:t>the</w:t>
      </w:r>
      <w:r w:rsidR="00002D76" w:rsidRPr="00D50B71">
        <w:rPr>
          <w:rFonts w:ascii="Calibri" w:hAnsi="Calibri"/>
          <w:color w:val="231F20"/>
          <w:w w:val="105"/>
        </w:rPr>
        <w:t xml:space="preserve"> </w:t>
      </w:r>
      <w:r w:rsidR="00002D76" w:rsidRPr="006A27F2">
        <w:rPr>
          <w:rFonts w:ascii="Calibri" w:hAnsi="Calibri"/>
          <w:color w:val="231F20"/>
          <w:w w:val="105"/>
        </w:rPr>
        <w:t>recovery</w:t>
      </w:r>
      <w:r w:rsidR="00002D76" w:rsidRPr="00D50B71">
        <w:rPr>
          <w:rFonts w:ascii="Calibri" w:hAnsi="Calibri"/>
          <w:color w:val="231F20"/>
          <w:w w:val="105"/>
        </w:rPr>
        <w:t xml:space="preserve"> </w:t>
      </w:r>
      <w:r w:rsidR="00002D76" w:rsidRPr="006A27F2">
        <w:rPr>
          <w:rFonts w:ascii="Calibri" w:hAnsi="Calibri"/>
          <w:color w:val="231F20"/>
          <w:w w:val="105"/>
        </w:rPr>
        <w:t>over</w:t>
      </w:r>
      <w:r w:rsidR="00002D76" w:rsidRPr="00D50B71">
        <w:rPr>
          <w:rFonts w:ascii="Calibri" w:hAnsi="Calibri"/>
          <w:color w:val="231F20"/>
          <w:w w:val="105"/>
        </w:rPr>
        <w:t xml:space="preserve"> </w:t>
      </w:r>
      <w:r w:rsidR="00002D76" w:rsidRPr="006A27F2">
        <w:rPr>
          <w:rFonts w:ascii="Calibri" w:hAnsi="Calibri"/>
          <w:color w:val="231F20"/>
          <w:w w:val="105"/>
        </w:rPr>
        <w:t>the</w:t>
      </w:r>
      <w:r w:rsidR="00002D76" w:rsidRPr="00D50B71">
        <w:rPr>
          <w:rFonts w:ascii="Calibri" w:hAnsi="Calibri"/>
          <w:color w:val="231F20"/>
          <w:w w:val="105"/>
        </w:rPr>
        <w:t xml:space="preserve"> </w:t>
      </w:r>
      <w:r w:rsidR="00002D76" w:rsidRPr="006A27F2">
        <w:rPr>
          <w:rFonts w:ascii="Calibri" w:hAnsi="Calibri"/>
          <w:color w:val="231F20"/>
          <w:w w:val="105"/>
        </w:rPr>
        <w:t>near-term</w:t>
      </w:r>
      <w:r w:rsidR="005E7C49">
        <w:rPr>
          <w:rFonts w:ascii="Calibri" w:hAnsi="Calibri"/>
          <w:color w:val="231F20"/>
          <w:w w:val="105"/>
        </w:rPr>
        <w:t xml:space="preserve">. </w:t>
      </w:r>
      <w:r w:rsidR="00002D76" w:rsidRPr="006A27F2">
        <w:rPr>
          <w:rFonts w:ascii="Calibri" w:hAnsi="Calibri"/>
          <w:color w:val="231F20"/>
          <w:w w:val="105"/>
        </w:rPr>
        <w:t>Florida</w:t>
      </w:r>
      <w:r w:rsidR="00002D76" w:rsidRPr="00D50B71">
        <w:rPr>
          <w:rFonts w:ascii="Calibri" w:hAnsi="Calibri"/>
          <w:color w:val="231F20"/>
          <w:w w:val="105"/>
        </w:rPr>
        <w:t xml:space="preserve"> </w:t>
      </w:r>
      <w:r w:rsidR="00002D76" w:rsidRPr="006A27F2">
        <w:rPr>
          <w:rFonts w:ascii="Calibri" w:hAnsi="Calibri"/>
          <w:color w:val="231F20"/>
          <w:w w:val="105"/>
        </w:rPr>
        <w:t>has</w:t>
      </w:r>
      <w:r w:rsidR="00002D76" w:rsidRPr="00D50B71">
        <w:rPr>
          <w:rFonts w:ascii="Calibri" w:hAnsi="Calibri"/>
          <w:color w:val="231F20"/>
          <w:w w:val="105"/>
        </w:rPr>
        <w:t xml:space="preserve"> </w:t>
      </w:r>
      <w:r w:rsidR="00002D76" w:rsidRPr="006A27F2">
        <w:rPr>
          <w:rFonts w:ascii="Calibri" w:hAnsi="Calibri"/>
          <w:color w:val="231F20"/>
          <w:w w:val="105"/>
        </w:rPr>
        <w:t>a</w:t>
      </w:r>
      <w:r w:rsidR="00002D76" w:rsidRPr="00D50B71">
        <w:rPr>
          <w:rFonts w:ascii="Calibri" w:hAnsi="Calibri"/>
          <w:color w:val="231F20"/>
          <w:w w:val="105"/>
        </w:rPr>
        <w:t xml:space="preserve"> </w:t>
      </w:r>
      <w:r w:rsidR="00002D76" w:rsidRPr="006A27F2">
        <w:rPr>
          <w:rFonts w:ascii="Calibri" w:hAnsi="Calibri"/>
          <w:color w:val="231F20"/>
          <w:w w:val="105"/>
        </w:rPr>
        <w:t>healthy</w:t>
      </w:r>
      <w:r w:rsidR="00002D76" w:rsidRPr="00D50B71">
        <w:rPr>
          <w:rFonts w:ascii="Calibri" w:hAnsi="Calibri"/>
          <w:color w:val="231F20"/>
          <w:w w:val="105"/>
        </w:rPr>
        <w:t xml:space="preserve"> </w:t>
      </w:r>
      <w:r w:rsidR="00002D76" w:rsidRPr="006A27F2">
        <w:rPr>
          <w:rFonts w:ascii="Calibri" w:hAnsi="Calibri"/>
          <w:color w:val="231F20"/>
          <w:w w:val="105"/>
        </w:rPr>
        <w:t>labor</w:t>
      </w:r>
      <w:r w:rsidR="00002D76" w:rsidRPr="00D50B71">
        <w:rPr>
          <w:rFonts w:ascii="Calibri" w:hAnsi="Calibri"/>
          <w:color w:val="231F20"/>
          <w:w w:val="105"/>
        </w:rPr>
        <w:t xml:space="preserve"> </w:t>
      </w:r>
      <w:r w:rsidR="00002D76" w:rsidRPr="006A27F2">
        <w:rPr>
          <w:rFonts w:ascii="Calibri" w:hAnsi="Calibri"/>
          <w:color w:val="231F20"/>
          <w:w w:val="105"/>
        </w:rPr>
        <w:t>market</w:t>
      </w:r>
      <w:r w:rsidR="00002D76" w:rsidRPr="00D50B71">
        <w:rPr>
          <w:rFonts w:ascii="Calibri" w:hAnsi="Calibri"/>
          <w:color w:val="231F20"/>
          <w:w w:val="105"/>
        </w:rPr>
        <w:t xml:space="preserve"> </w:t>
      </w:r>
      <w:r w:rsidR="00002D76" w:rsidRPr="006A27F2">
        <w:rPr>
          <w:rFonts w:ascii="Calibri" w:hAnsi="Calibri"/>
          <w:color w:val="231F20"/>
          <w:w w:val="105"/>
        </w:rPr>
        <w:t>as</w:t>
      </w:r>
      <w:r w:rsidR="00002D76" w:rsidRPr="00D50B71">
        <w:rPr>
          <w:rFonts w:ascii="Calibri" w:hAnsi="Calibri"/>
          <w:color w:val="231F20"/>
          <w:w w:val="105"/>
        </w:rPr>
        <w:t xml:space="preserve"> </w:t>
      </w:r>
      <w:r w:rsidR="00002D76" w:rsidRPr="006A27F2">
        <w:rPr>
          <w:rFonts w:ascii="Calibri" w:hAnsi="Calibri"/>
          <w:color w:val="231F20"/>
          <w:w w:val="105"/>
        </w:rPr>
        <w:t>of</w:t>
      </w:r>
      <w:r w:rsidR="00002D76" w:rsidRPr="00D50B71">
        <w:rPr>
          <w:rFonts w:ascii="Calibri" w:hAnsi="Calibri"/>
          <w:color w:val="231F20"/>
          <w:w w:val="105"/>
        </w:rPr>
        <w:t xml:space="preserve"> </w:t>
      </w:r>
      <w:r w:rsidR="00002D76" w:rsidRPr="006A27F2">
        <w:rPr>
          <w:rFonts w:ascii="Calibri" w:hAnsi="Calibri"/>
          <w:color w:val="231F20"/>
          <w:w w:val="105"/>
        </w:rPr>
        <w:t>November</w:t>
      </w:r>
      <w:r w:rsidR="00002D76" w:rsidRPr="00D50B71">
        <w:rPr>
          <w:rFonts w:ascii="Calibri" w:hAnsi="Calibri"/>
          <w:color w:val="231F20"/>
          <w:w w:val="105"/>
        </w:rPr>
        <w:t xml:space="preserve"> </w:t>
      </w:r>
      <w:r w:rsidR="00002D76" w:rsidRPr="006A27F2">
        <w:rPr>
          <w:rFonts w:ascii="Calibri" w:hAnsi="Calibri"/>
          <w:color w:val="231F20"/>
          <w:w w:val="105"/>
        </w:rPr>
        <w:t>2017,</w:t>
      </w:r>
      <w:r w:rsidR="00002D76" w:rsidRPr="00D50B71">
        <w:rPr>
          <w:rFonts w:ascii="Calibri" w:hAnsi="Calibri"/>
          <w:color w:val="231F20"/>
          <w:w w:val="105"/>
        </w:rPr>
        <w:t xml:space="preserve"> </w:t>
      </w:r>
      <w:r w:rsidR="00535F6F">
        <w:rPr>
          <w:rFonts w:ascii="Calibri" w:hAnsi="Calibri"/>
          <w:color w:val="231F20"/>
          <w:w w:val="105"/>
        </w:rPr>
        <w:t>which</w:t>
      </w:r>
      <w:r w:rsidR="00002D76" w:rsidRPr="00D50B71">
        <w:rPr>
          <w:rFonts w:ascii="Calibri" w:hAnsi="Calibri"/>
          <w:color w:val="231F20"/>
          <w:w w:val="105"/>
        </w:rPr>
        <w:t xml:space="preserve"> </w:t>
      </w:r>
      <w:r w:rsidR="00002D76" w:rsidRPr="006A27F2">
        <w:rPr>
          <w:rFonts w:ascii="Calibri" w:hAnsi="Calibri"/>
          <w:color w:val="231F20"/>
          <w:w w:val="105"/>
        </w:rPr>
        <w:t>challenges</w:t>
      </w:r>
      <w:r w:rsidR="00002D76" w:rsidRPr="00D50B71">
        <w:rPr>
          <w:rFonts w:ascii="Calibri" w:hAnsi="Calibri"/>
          <w:color w:val="231F20"/>
          <w:w w:val="105"/>
        </w:rPr>
        <w:t xml:space="preserve"> </w:t>
      </w:r>
      <w:r w:rsidR="00002D76" w:rsidRPr="006A27F2">
        <w:rPr>
          <w:rFonts w:ascii="Calibri" w:hAnsi="Calibri"/>
          <w:color w:val="231F20"/>
          <w:w w:val="105"/>
        </w:rPr>
        <w:t>Florida’s</w:t>
      </w:r>
      <w:r w:rsidR="00002D76" w:rsidRPr="00D50B71">
        <w:rPr>
          <w:rFonts w:ascii="Calibri" w:hAnsi="Calibri"/>
          <w:color w:val="231F20"/>
          <w:w w:val="105"/>
        </w:rPr>
        <w:t xml:space="preserve"> </w:t>
      </w:r>
      <w:r w:rsidR="00002D76" w:rsidRPr="006A27F2">
        <w:rPr>
          <w:rFonts w:ascii="Calibri" w:hAnsi="Calibri"/>
          <w:color w:val="231F20"/>
          <w:w w:val="105"/>
        </w:rPr>
        <w:t>workforce</w:t>
      </w:r>
      <w:r w:rsidR="00002D76" w:rsidRPr="00D50B71">
        <w:rPr>
          <w:rFonts w:ascii="Calibri" w:hAnsi="Calibri"/>
          <w:color w:val="231F20"/>
          <w:w w:val="105"/>
        </w:rPr>
        <w:t xml:space="preserve"> </w:t>
      </w:r>
      <w:r w:rsidR="00002D76" w:rsidRPr="006A27F2">
        <w:rPr>
          <w:rFonts w:ascii="Calibri" w:hAnsi="Calibri"/>
          <w:color w:val="231F20"/>
          <w:w w:val="105"/>
        </w:rPr>
        <w:t>system</w:t>
      </w:r>
      <w:r w:rsidR="00665271">
        <w:rPr>
          <w:rFonts w:ascii="Calibri" w:hAnsi="Calibri"/>
          <w:color w:val="231F20"/>
          <w:w w:val="105"/>
        </w:rPr>
        <w:t xml:space="preserve"> on how</w:t>
      </w:r>
      <w:r w:rsidR="00002D76" w:rsidRPr="00D50B71">
        <w:rPr>
          <w:rFonts w:ascii="Calibri" w:hAnsi="Calibri"/>
          <w:color w:val="231F20"/>
          <w:w w:val="105"/>
        </w:rPr>
        <w:t xml:space="preserve"> </w:t>
      </w:r>
      <w:r w:rsidR="00002D76" w:rsidRPr="006A27F2">
        <w:rPr>
          <w:rFonts w:ascii="Calibri" w:hAnsi="Calibri"/>
          <w:color w:val="231F20"/>
          <w:w w:val="105"/>
        </w:rPr>
        <w:t>to</w:t>
      </w:r>
      <w:r w:rsidR="00002D76" w:rsidRPr="00D50B71">
        <w:rPr>
          <w:rFonts w:ascii="Calibri" w:hAnsi="Calibri"/>
          <w:color w:val="231F20"/>
          <w:w w:val="105"/>
        </w:rPr>
        <w:t xml:space="preserve"> </w:t>
      </w:r>
      <w:r w:rsidR="00002D76" w:rsidRPr="006A27F2">
        <w:rPr>
          <w:rFonts w:ascii="Calibri" w:hAnsi="Calibri"/>
          <w:color w:val="231F20"/>
          <w:w w:val="105"/>
        </w:rPr>
        <w:t>best</w:t>
      </w:r>
      <w:r w:rsidR="00002D76" w:rsidRPr="00D50B71">
        <w:rPr>
          <w:rFonts w:ascii="Calibri" w:hAnsi="Calibri"/>
          <w:color w:val="231F20"/>
          <w:w w:val="105"/>
        </w:rPr>
        <w:t xml:space="preserve"> </w:t>
      </w:r>
      <w:r w:rsidR="00002D76" w:rsidRPr="006A27F2">
        <w:rPr>
          <w:rFonts w:ascii="Calibri" w:hAnsi="Calibri"/>
          <w:color w:val="231F20"/>
          <w:w w:val="105"/>
        </w:rPr>
        <w:t>mold</w:t>
      </w:r>
      <w:r w:rsidR="00002D76" w:rsidRPr="00D50B71">
        <w:rPr>
          <w:rFonts w:ascii="Calibri" w:hAnsi="Calibri"/>
          <w:color w:val="231F20"/>
          <w:w w:val="105"/>
        </w:rPr>
        <w:t xml:space="preserve"> </w:t>
      </w:r>
      <w:r w:rsidR="00002D76" w:rsidRPr="006A27F2">
        <w:rPr>
          <w:rFonts w:ascii="Calibri" w:hAnsi="Calibri"/>
          <w:color w:val="231F20"/>
          <w:w w:val="105"/>
        </w:rPr>
        <w:t>and</w:t>
      </w:r>
      <w:r w:rsidR="00002D76" w:rsidRPr="00D50B71">
        <w:rPr>
          <w:rFonts w:ascii="Calibri" w:hAnsi="Calibri"/>
          <w:color w:val="231F20"/>
          <w:w w:val="105"/>
        </w:rPr>
        <w:t xml:space="preserve"> </w:t>
      </w:r>
      <w:r w:rsidR="00002D76" w:rsidRPr="006A27F2">
        <w:rPr>
          <w:rFonts w:ascii="Calibri" w:hAnsi="Calibri"/>
          <w:color w:val="231F20"/>
          <w:w w:val="105"/>
        </w:rPr>
        <w:t>sustain</w:t>
      </w:r>
      <w:r w:rsidR="00002D76" w:rsidRPr="00D50B71">
        <w:rPr>
          <w:rFonts w:ascii="Calibri" w:hAnsi="Calibri"/>
          <w:color w:val="231F20"/>
          <w:w w:val="105"/>
        </w:rPr>
        <w:t xml:space="preserve"> </w:t>
      </w:r>
      <w:r w:rsidR="00002D76" w:rsidRPr="006A27F2">
        <w:rPr>
          <w:rFonts w:ascii="Calibri" w:hAnsi="Calibri"/>
          <w:color w:val="231F20"/>
          <w:w w:val="105"/>
        </w:rPr>
        <w:t>this</w:t>
      </w:r>
      <w:r w:rsidR="00002D76" w:rsidRPr="00D50B71">
        <w:rPr>
          <w:rFonts w:ascii="Calibri" w:hAnsi="Calibri"/>
          <w:color w:val="231F20"/>
          <w:w w:val="105"/>
        </w:rPr>
        <w:t xml:space="preserve"> </w:t>
      </w:r>
      <w:r w:rsidR="00002D76" w:rsidRPr="006A27F2">
        <w:rPr>
          <w:rFonts w:ascii="Calibri" w:hAnsi="Calibri"/>
          <w:color w:val="231F20"/>
          <w:w w:val="105"/>
        </w:rPr>
        <w:t>expansion</w:t>
      </w:r>
      <w:r w:rsidR="00002D76" w:rsidRPr="00D50B71">
        <w:rPr>
          <w:rFonts w:ascii="Calibri" w:hAnsi="Calibri"/>
          <w:color w:val="231F20"/>
          <w:w w:val="105"/>
        </w:rPr>
        <w:t xml:space="preserve"> </w:t>
      </w:r>
      <w:r w:rsidR="00002D76" w:rsidRPr="006A27F2">
        <w:rPr>
          <w:rFonts w:ascii="Calibri" w:hAnsi="Calibri"/>
          <w:color w:val="231F20"/>
          <w:w w:val="105"/>
        </w:rPr>
        <w:t>and</w:t>
      </w:r>
      <w:r w:rsidR="00002D76" w:rsidRPr="00D50B71">
        <w:rPr>
          <w:rFonts w:ascii="Calibri" w:hAnsi="Calibri"/>
          <w:color w:val="231F20"/>
          <w:w w:val="105"/>
        </w:rPr>
        <w:t xml:space="preserve"> </w:t>
      </w:r>
      <w:r w:rsidR="00002D76" w:rsidRPr="006A27F2">
        <w:rPr>
          <w:rFonts w:ascii="Calibri" w:hAnsi="Calibri"/>
          <w:color w:val="231F20"/>
          <w:w w:val="105"/>
        </w:rPr>
        <w:t>provide</w:t>
      </w:r>
      <w:r w:rsidR="00002D76" w:rsidRPr="00D50B71">
        <w:rPr>
          <w:rFonts w:ascii="Calibri" w:hAnsi="Calibri"/>
          <w:color w:val="231F20"/>
          <w:w w:val="105"/>
        </w:rPr>
        <w:t xml:space="preserve"> </w:t>
      </w:r>
      <w:r w:rsidR="00002D76" w:rsidRPr="006A27F2">
        <w:rPr>
          <w:rFonts w:ascii="Calibri" w:hAnsi="Calibri"/>
          <w:color w:val="231F20"/>
          <w:w w:val="105"/>
        </w:rPr>
        <w:t>better</w:t>
      </w:r>
      <w:r w:rsidR="00002D76" w:rsidRPr="00D50B71">
        <w:rPr>
          <w:rFonts w:ascii="Calibri" w:hAnsi="Calibri"/>
          <w:color w:val="231F20"/>
          <w:w w:val="105"/>
        </w:rPr>
        <w:t xml:space="preserve"> </w:t>
      </w:r>
      <w:r w:rsidR="00002D76" w:rsidRPr="006A27F2">
        <w:rPr>
          <w:rFonts w:ascii="Calibri" w:hAnsi="Calibri"/>
          <w:color w:val="231F20"/>
          <w:w w:val="105"/>
        </w:rPr>
        <w:t>economic</w:t>
      </w:r>
      <w:r w:rsidR="00002D76" w:rsidRPr="00D50B71">
        <w:rPr>
          <w:rFonts w:ascii="Calibri" w:hAnsi="Calibri"/>
          <w:color w:val="231F20"/>
          <w:w w:val="105"/>
        </w:rPr>
        <w:t xml:space="preserve"> </w:t>
      </w:r>
      <w:r w:rsidR="00002D76" w:rsidRPr="006A27F2">
        <w:rPr>
          <w:rFonts w:ascii="Calibri" w:hAnsi="Calibri"/>
          <w:color w:val="231F20"/>
          <w:w w:val="105"/>
        </w:rPr>
        <w:t>opportunities</w:t>
      </w:r>
      <w:r w:rsidR="00002D76" w:rsidRPr="00D50B71">
        <w:rPr>
          <w:rFonts w:ascii="Calibri" w:hAnsi="Calibri"/>
          <w:color w:val="231F20"/>
          <w:w w:val="105"/>
        </w:rPr>
        <w:t xml:space="preserve"> </w:t>
      </w:r>
      <w:r w:rsidR="00002D76" w:rsidRPr="006A27F2">
        <w:rPr>
          <w:rFonts w:ascii="Calibri" w:hAnsi="Calibri"/>
          <w:color w:val="231F20"/>
          <w:w w:val="105"/>
        </w:rPr>
        <w:t>for</w:t>
      </w:r>
      <w:r w:rsidR="00002D76" w:rsidRPr="00D50B71">
        <w:rPr>
          <w:rFonts w:ascii="Calibri" w:hAnsi="Calibri"/>
          <w:color w:val="231F20"/>
          <w:w w:val="105"/>
        </w:rPr>
        <w:t xml:space="preserve"> </w:t>
      </w:r>
      <w:r w:rsidR="00002D76" w:rsidRPr="006A27F2">
        <w:rPr>
          <w:rFonts w:ascii="Calibri" w:hAnsi="Calibri"/>
          <w:color w:val="231F20"/>
          <w:w w:val="105"/>
        </w:rPr>
        <w:t>Florida’s</w:t>
      </w:r>
      <w:r w:rsidR="00002D76" w:rsidRPr="00D50B71">
        <w:rPr>
          <w:rFonts w:ascii="Calibri" w:hAnsi="Calibri"/>
          <w:color w:val="231F20"/>
          <w:w w:val="105"/>
        </w:rPr>
        <w:t xml:space="preserve"> </w:t>
      </w:r>
      <w:r w:rsidR="00002D76" w:rsidRPr="006A27F2">
        <w:rPr>
          <w:rFonts w:ascii="Calibri" w:hAnsi="Calibri"/>
          <w:color w:val="231F20"/>
          <w:w w:val="105"/>
        </w:rPr>
        <w:t>citizens.</w:t>
      </w:r>
    </w:p>
    <w:p w14:paraId="29221139" w14:textId="77777777" w:rsidR="00002D76" w:rsidRPr="00EA7458" w:rsidRDefault="00002D76" w:rsidP="00D63204">
      <w:pPr>
        <w:widowControl w:val="0"/>
        <w:spacing w:after="0" w:line="240" w:lineRule="auto"/>
        <w:rPr>
          <w:rFonts w:ascii="Calibri" w:hAnsi="Calibri" w:cs="Calibri"/>
        </w:rPr>
      </w:pPr>
    </w:p>
    <w:p w14:paraId="1AFB7839" w14:textId="77777777" w:rsidR="00002D76" w:rsidRPr="005B62C9" w:rsidRDefault="00002D76" w:rsidP="00D63204">
      <w:pPr>
        <w:widowControl w:val="0"/>
        <w:spacing w:before="58" w:after="0" w:line="264" w:lineRule="exact"/>
        <w:ind w:left="107" w:right="104"/>
        <w:rPr>
          <w:rFonts w:ascii="Calibri" w:hAnsi="Calibri"/>
          <w:b/>
          <w:color w:val="231F20"/>
          <w:w w:val="105"/>
        </w:rPr>
      </w:pPr>
      <w:r w:rsidRPr="005B62C9">
        <w:rPr>
          <w:rFonts w:ascii="Calibri" w:hAnsi="Calibri"/>
          <w:b/>
          <w:color w:val="231F20"/>
          <w:w w:val="105"/>
        </w:rPr>
        <w:t>Individuals with Barriers to Employment</w:t>
      </w:r>
    </w:p>
    <w:p w14:paraId="4955EEA0" w14:textId="77777777" w:rsidR="007C0EC2" w:rsidRDefault="00002D76" w:rsidP="00D63204">
      <w:pPr>
        <w:widowControl w:val="0"/>
        <w:spacing w:after="0" w:line="264" w:lineRule="exact"/>
        <w:ind w:left="107" w:right="104"/>
        <w:rPr>
          <w:rFonts w:ascii="Calibri" w:hAnsi="Calibri"/>
          <w:color w:val="231F20"/>
          <w:w w:val="105"/>
        </w:rPr>
      </w:pPr>
      <w:r w:rsidRPr="005B62C9">
        <w:rPr>
          <w:rFonts w:ascii="Calibri" w:hAnsi="Calibri"/>
          <w:color w:val="231F20"/>
          <w:w w:val="105"/>
        </w:rPr>
        <w:t>Most persons with a disability who reside in Florida are not in the labor force (788,187 not in labor force; 467,081 in labor force)</w:t>
      </w:r>
      <w:r w:rsidR="005E7C49" w:rsidRPr="005B62C9">
        <w:rPr>
          <w:rFonts w:ascii="Calibri" w:hAnsi="Calibri"/>
          <w:color w:val="231F20"/>
          <w:w w:val="105"/>
        </w:rPr>
        <w:t xml:space="preserve">. </w:t>
      </w:r>
      <w:r w:rsidRPr="005B62C9">
        <w:rPr>
          <w:rFonts w:ascii="Calibri" w:hAnsi="Calibri"/>
          <w:color w:val="231F20"/>
          <w:w w:val="105"/>
        </w:rPr>
        <w:t>The Florida unemployment rate for persons with a disability was 13.4 percent in 2016 compared to 5.9 percent for all labor force participants</w:t>
      </w:r>
      <w:r w:rsidR="005E7C49" w:rsidRPr="005B62C9">
        <w:rPr>
          <w:rFonts w:ascii="Calibri" w:hAnsi="Calibri"/>
          <w:color w:val="231F20"/>
          <w:w w:val="105"/>
        </w:rPr>
        <w:t xml:space="preserve">. </w:t>
      </w:r>
      <w:r w:rsidRPr="005B62C9">
        <w:rPr>
          <w:rFonts w:ascii="Calibri" w:hAnsi="Calibri"/>
          <w:color w:val="231F20"/>
          <w:w w:val="105"/>
        </w:rPr>
        <w:t>The unemployment rate in this population decreased 3.9 percentage points from 2015 to 2016 (the most recent year for which data are available) while the overall unemployment decreased 1.1 percentage points during that period</w:t>
      </w:r>
      <w:r w:rsidR="005E7C49" w:rsidRPr="005B62C9">
        <w:rPr>
          <w:rFonts w:ascii="Calibri" w:hAnsi="Calibri"/>
          <w:color w:val="231F20"/>
          <w:w w:val="105"/>
        </w:rPr>
        <w:t xml:space="preserve">. </w:t>
      </w:r>
    </w:p>
    <w:p w14:paraId="08963D70" w14:textId="77777777" w:rsidR="007C0EC2" w:rsidRDefault="007C0EC2" w:rsidP="00D63204">
      <w:pPr>
        <w:widowControl w:val="0"/>
        <w:spacing w:after="0" w:line="264" w:lineRule="exact"/>
        <w:ind w:left="107" w:right="104"/>
        <w:rPr>
          <w:rFonts w:ascii="Calibri" w:hAnsi="Calibri"/>
          <w:color w:val="231F20"/>
          <w:w w:val="105"/>
        </w:rPr>
      </w:pPr>
    </w:p>
    <w:p w14:paraId="00C2DE5A" w14:textId="77777777" w:rsidR="007C0EC2" w:rsidRDefault="00002D76" w:rsidP="00D63204">
      <w:pPr>
        <w:widowControl w:val="0"/>
        <w:spacing w:after="0" w:line="264" w:lineRule="exact"/>
        <w:ind w:left="107" w:right="104"/>
        <w:rPr>
          <w:rFonts w:ascii="Calibri" w:hAnsi="Calibri"/>
          <w:color w:val="231F20"/>
          <w:w w:val="105"/>
        </w:rPr>
      </w:pPr>
      <w:r w:rsidRPr="005B62C9">
        <w:rPr>
          <w:rFonts w:ascii="Calibri" w:hAnsi="Calibri"/>
          <w:color w:val="231F20"/>
          <w:w w:val="105"/>
        </w:rPr>
        <w:t>Most American Indians and Alaska Natives who reside in Florida are part of the labor force (26,658 in labor force; 18,367 not in labor force) and the Florida unemployment rate for such persons was 9.6 percent in 2016, an increase of 2.0 percentage points from 2015</w:t>
      </w:r>
      <w:r w:rsidR="005E7C49" w:rsidRPr="005B62C9">
        <w:rPr>
          <w:rFonts w:ascii="Calibri" w:hAnsi="Calibri"/>
          <w:color w:val="231F20"/>
          <w:w w:val="105"/>
        </w:rPr>
        <w:t xml:space="preserve">. </w:t>
      </w:r>
      <w:r w:rsidRPr="005B62C9">
        <w:rPr>
          <w:rFonts w:ascii="Calibri" w:hAnsi="Calibri"/>
          <w:color w:val="231F20"/>
          <w:w w:val="105"/>
        </w:rPr>
        <w:t>Most Native Hawaiians and Other Pacific Islanders who reside in Florida are part of the labor force (6,295 in labor force; 2,782 not in labor force) and the Florida unemployment rate for such persons was 12.0 percent in 2016, a decrease of 4.3 percentage points from 2015</w:t>
      </w:r>
      <w:r w:rsidR="005E7C49" w:rsidRPr="005B62C9">
        <w:rPr>
          <w:rFonts w:ascii="Calibri" w:hAnsi="Calibri"/>
          <w:color w:val="231F20"/>
          <w:w w:val="105"/>
        </w:rPr>
        <w:t xml:space="preserve">. </w:t>
      </w:r>
    </w:p>
    <w:p w14:paraId="6C76DBEE" w14:textId="77777777" w:rsidR="007C0EC2" w:rsidRDefault="007C0EC2" w:rsidP="00D63204">
      <w:pPr>
        <w:widowControl w:val="0"/>
        <w:spacing w:after="0" w:line="264" w:lineRule="exact"/>
        <w:ind w:left="107" w:right="104"/>
        <w:rPr>
          <w:rFonts w:ascii="Calibri" w:hAnsi="Calibri"/>
          <w:color w:val="231F20"/>
          <w:w w:val="105"/>
        </w:rPr>
      </w:pPr>
    </w:p>
    <w:p w14:paraId="3C3FE53E" w14:textId="4ED8C127" w:rsidR="00002D76" w:rsidRPr="005B62C9" w:rsidRDefault="00002D76" w:rsidP="00D63204">
      <w:pPr>
        <w:widowControl w:val="0"/>
        <w:spacing w:after="0" w:line="264" w:lineRule="exact"/>
        <w:ind w:left="107" w:right="104"/>
        <w:rPr>
          <w:rFonts w:ascii="Calibri" w:hAnsi="Calibri"/>
          <w:color w:val="231F20"/>
          <w:w w:val="105"/>
        </w:rPr>
      </w:pPr>
      <w:r w:rsidRPr="005B62C9">
        <w:rPr>
          <w:rFonts w:ascii="Calibri" w:hAnsi="Calibri"/>
          <w:color w:val="231F20"/>
          <w:w w:val="105"/>
        </w:rPr>
        <w:t>Most persons age 55 and older who reside in Florida are not in the labor force (4,558,479 not in labor force; 2,261,701 in labor force) and the Florida unemployment rate for such persons was 4.3 percent in 2016, a decrease of 0.7 percentage point from 2015.</w:t>
      </w:r>
    </w:p>
    <w:p w14:paraId="029B25E3" w14:textId="77777777" w:rsidR="007C0EC2" w:rsidRDefault="007C0EC2" w:rsidP="00D63204">
      <w:pPr>
        <w:widowControl w:val="0"/>
        <w:spacing w:after="0" w:line="264" w:lineRule="exact"/>
        <w:ind w:left="107" w:right="104"/>
        <w:rPr>
          <w:rFonts w:ascii="Calibri" w:hAnsi="Calibri"/>
          <w:color w:val="231F20"/>
          <w:w w:val="105"/>
        </w:rPr>
      </w:pPr>
    </w:p>
    <w:p w14:paraId="7A4A60C0" w14:textId="26E03698" w:rsidR="00002D76" w:rsidRPr="00582A27" w:rsidRDefault="00002D76" w:rsidP="00D63204">
      <w:pPr>
        <w:widowControl w:val="0"/>
        <w:spacing w:after="0" w:line="264" w:lineRule="exact"/>
        <w:ind w:left="107" w:right="104"/>
        <w:rPr>
          <w:rFonts w:ascii="Calibri" w:hAnsi="Calibri"/>
          <w:color w:val="231F20"/>
          <w:w w:val="105"/>
        </w:rPr>
      </w:pPr>
      <w:r w:rsidRPr="005B62C9">
        <w:rPr>
          <w:rFonts w:ascii="Calibri" w:hAnsi="Calibri"/>
          <w:color w:val="231F20"/>
          <w:w w:val="105"/>
        </w:rPr>
        <w:t>The American Community Survey (ACS) estimates for 2016 indicate that approximately 13.6 percent (2.8 million) of Florida’s total population (20.3 million) has a disability</w:t>
      </w:r>
      <w:r w:rsidR="005E7C49" w:rsidRPr="005B62C9">
        <w:rPr>
          <w:rFonts w:ascii="Calibri" w:hAnsi="Calibri"/>
          <w:color w:val="231F20"/>
          <w:w w:val="105"/>
        </w:rPr>
        <w:t xml:space="preserve">. </w:t>
      </w:r>
      <w:r w:rsidRPr="005B62C9">
        <w:rPr>
          <w:rFonts w:ascii="Calibri" w:hAnsi="Calibri"/>
          <w:color w:val="231F20"/>
          <w:w w:val="105"/>
        </w:rPr>
        <w:t>Of those, it is estimated that almost 1.3 million are of working age –age 18 to 64—and an estimated 404,685 of working age Floridians with disabilities are employed.</w:t>
      </w:r>
    </w:p>
    <w:p w14:paraId="126E8ECD" w14:textId="77777777" w:rsidR="00002D76" w:rsidRPr="00582A27" w:rsidRDefault="00002D76" w:rsidP="00D63204">
      <w:pPr>
        <w:widowControl w:val="0"/>
        <w:spacing w:before="58" w:after="0" w:line="264" w:lineRule="exact"/>
        <w:ind w:left="107" w:right="104"/>
        <w:rPr>
          <w:rFonts w:ascii="Calibri" w:hAnsi="Calibri"/>
          <w:color w:val="231F20"/>
          <w:w w:val="105"/>
        </w:rPr>
      </w:pPr>
    </w:p>
    <w:p w14:paraId="794DECFA" w14:textId="50DEEF2B" w:rsidR="00002D76" w:rsidRPr="00582A27" w:rsidRDefault="00002D76" w:rsidP="00D63204">
      <w:pPr>
        <w:widowControl w:val="0"/>
        <w:spacing w:before="58" w:after="0" w:line="264" w:lineRule="exact"/>
        <w:ind w:left="107" w:right="104"/>
        <w:rPr>
          <w:rFonts w:ascii="Calibri" w:hAnsi="Calibri"/>
          <w:color w:val="231F20"/>
          <w:w w:val="105"/>
        </w:rPr>
      </w:pPr>
      <w:r w:rsidRPr="00582A27">
        <w:rPr>
          <w:rFonts w:ascii="Calibri" w:hAnsi="Calibri"/>
          <w:color w:val="231F20"/>
          <w:w w:val="105"/>
        </w:rPr>
        <w:t>During FFY (Federal Fiscal Year) 2014-15, the Florida Division of Vocational Rehabilitation (VR), in partnership with the Florida Rehabilitation Council, conducted a comprehensive statewide needs assessment (CSNA) to identify factors that affect the ability of job seekers with disabilities to get and keep jobs</w:t>
      </w:r>
      <w:r w:rsidR="00D5537E">
        <w:rPr>
          <w:rFonts w:ascii="Calibri" w:hAnsi="Calibri"/>
          <w:color w:val="231F20"/>
          <w:w w:val="105"/>
        </w:rPr>
        <w:t xml:space="preserve"> and</w:t>
      </w:r>
      <w:r w:rsidRPr="00582A27">
        <w:rPr>
          <w:rFonts w:ascii="Calibri" w:hAnsi="Calibri"/>
          <w:color w:val="231F20"/>
          <w:w w:val="105"/>
        </w:rPr>
        <w:t xml:space="preserve"> any barriers or limitations they may experience. The CSNA consisted of the following</w:t>
      </w:r>
      <w:r w:rsidR="00582A27">
        <w:rPr>
          <w:rFonts w:ascii="Calibri" w:hAnsi="Calibri"/>
          <w:color w:val="231F20"/>
          <w:w w:val="105"/>
        </w:rPr>
        <w:t xml:space="preserve"> </w:t>
      </w:r>
      <w:r w:rsidRPr="00EA7458">
        <w:rPr>
          <w:rFonts w:ascii="Calibri" w:hAnsi="Calibri"/>
          <w:color w:val="231F20"/>
          <w:w w:val="105"/>
        </w:rPr>
        <w:t>components: state demographic profiles, a statewide public survey, stakeholder interviews</w:t>
      </w:r>
      <w:r w:rsidR="00D5537E">
        <w:rPr>
          <w:rFonts w:ascii="Calibri" w:hAnsi="Calibri"/>
          <w:color w:val="231F20"/>
          <w:w w:val="105"/>
        </w:rPr>
        <w:t xml:space="preserve"> and</w:t>
      </w:r>
      <w:r w:rsidRPr="00582A27">
        <w:rPr>
          <w:rFonts w:ascii="Calibri" w:hAnsi="Calibri"/>
          <w:color w:val="231F20"/>
          <w:w w:val="105"/>
        </w:rPr>
        <w:t xml:space="preserve"> </w:t>
      </w:r>
      <w:r w:rsidRPr="00EA7458">
        <w:rPr>
          <w:rFonts w:ascii="Calibri" w:hAnsi="Calibri"/>
          <w:color w:val="231F20"/>
          <w:w w:val="105"/>
        </w:rPr>
        <w:t>additional information</w:t>
      </w:r>
      <w:r w:rsidRPr="00582A27">
        <w:rPr>
          <w:rFonts w:ascii="Calibri" w:hAnsi="Calibri"/>
          <w:color w:val="231F20"/>
          <w:w w:val="105"/>
        </w:rPr>
        <w:t xml:space="preserve"> </w:t>
      </w:r>
      <w:r w:rsidRPr="00EA7458">
        <w:rPr>
          <w:rFonts w:ascii="Calibri" w:hAnsi="Calibri"/>
          <w:color w:val="231F20"/>
          <w:w w:val="105"/>
        </w:rPr>
        <w:t>from</w:t>
      </w:r>
      <w:r w:rsidRPr="00582A27">
        <w:rPr>
          <w:rFonts w:ascii="Calibri" w:hAnsi="Calibri"/>
          <w:color w:val="231F20"/>
          <w:w w:val="105"/>
        </w:rPr>
        <w:t xml:space="preserve"> </w:t>
      </w:r>
      <w:r w:rsidRPr="00EA7458">
        <w:rPr>
          <w:rFonts w:ascii="Calibri" w:hAnsi="Calibri"/>
          <w:color w:val="231F20"/>
          <w:w w:val="105"/>
        </w:rPr>
        <w:t>agency</w:t>
      </w:r>
      <w:r w:rsidRPr="00582A27">
        <w:rPr>
          <w:rFonts w:ascii="Calibri" w:hAnsi="Calibri"/>
          <w:color w:val="231F20"/>
          <w:w w:val="105"/>
        </w:rPr>
        <w:t xml:space="preserve"> </w:t>
      </w:r>
      <w:r w:rsidRPr="00EA7458">
        <w:rPr>
          <w:rFonts w:ascii="Calibri" w:hAnsi="Calibri"/>
          <w:color w:val="231F20"/>
          <w:w w:val="105"/>
        </w:rPr>
        <w:t>performance</w:t>
      </w:r>
      <w:r w:rsidRPr="00582A27">
        <w:rPr>
          <w:rFonts w:ascii="Calibri" w:hAnsi="Calibri"/>
          <w:color w:val="231F20"/>
          <w:w w:val="105"/>
        </w:rPr>
        <w:t xml:space="preserve"> </w:t>
      </w:r>
      <w:r w:rsidRPr="00EA7458">
        <w:rPr>
          <w:rFonts w:ascii="Calibri" w:hAnsi="Calibri"/>
          <w:color w:val="231F20"/>
          <w:w w:val="105"/>
        </w:rPr>
        <w:t>data,</w:t>
      </w:r>
      <w:r w:rsidRPr="00582A27">
        <w:rPr>
          <w:rFonts w:ascii="Calibri" w:hAnsi="Calibri"/>
          <w:color w:val="231F20"/>
          <w:w w:val="105"/>
        </w:rPr>
        <w:t xml:space="preserve"> </w:t>
      </w:r>
      <w:r w:rsidRPr="00EA7458">
        <w:rPr>
          <w:rFonts w:ascii="Calibri" w:hAnsi="Calibri"/>
          <w:color w:val="231F20"/>
          <w:w w:val="105"/>
        </w:rPr>
        <w:t>customer</w:t>
      </w:r>
      <w:r w:rsidRPr="00582A27">
        <w:rPr>
          <w:rFonts w:ascii="Calibri" w:hAnsi="Calibri"/>
          <w:color w:val="231F20"/>
          <w:w w:val="105"/>
        </w:rPr>
        <w:t xml:space="preserve"> </w:t>
      </w:r>
      <w:r w:rsidRPr="00EA7458">
        <w:rPr>
          <w:rFonts w:ascii="Calibri" w:hAnsi="Calibri"/>
          <w:color w:val="231F20"/>
          <w:w w:val="105"/>
        </w:rPr>
        <w:t>satisfaction</w:t>
      </w:r>
      <w:r w:rsidRPr="00582A27">
        <w:rPr>
          <w:rFonts w:ascii="Calibri" w:hAnsi="Calibri"/>
          <w:color w:val="231F20"/>
          <w:w w:val="105"/>
        </w:rPr>
        <w:t xml:space="preserve"> </w:t>
      </w:r>
      <w:r w:rsidRPr="00EA7458">
        <w:rPr>
          <w:rFonts w:ascii="Calibri" w:hAnsi="Calibri"/>
          <w:color w:val="231F20"/>
          <w:w w:val="105"/>
        </w:rPr>
        <w:t>surveys</w:t>
      </w:r>
      <w:r w:rsidRPr="00582A27">
        <w:rPr>
          <w:rFonts w:ascii="Calibri" w:hAnsi="Calibri"/>
          <w:color w:val="231F20"/>
          <w:w w:val="105"/>
        </w:rPr>
        <w:t xml:space="preserve"> </w:t>
      </w:r>
      <w:r w:rsidRPr="00EA7458">
        <w:rPr>
          <w:rFonts w:ascii="Calibri" w:hAnsi="Calibri"/>
          <w:color w:val="231F20"/>
          <w:w w:val="105"/>
        </w:rPr>
        <w:t>and</w:t>
      </w:r>
      <w:r w:rsidRPr="00582A27">
        <w:rPr>
          <w:rFonts w:ascii="Calibri" w:hAnsi="Calibri"/>
          <w:color w:val="231F20"/>
          <w:w w:val="105"/>
        </w:rPr>
        <w:t xml:space="preserve"> </w:t>
      </w:r>
      <w:r w:rsidRPr="00EA7458">
        <w:rPr>
          <w:rFonts w:ascii="Calibri" w:hAnsi="Calibri"/>
          <w:color w:val="231F20"/>
          <w:w w:val="105"/>
        </w:rPr>
        <w:t>public</w:t>
      </w:r>
      <w:r w:rsidRPr="00582A27">
        <w:rPr>
          <w:rFonts w:ascii="Calibri" w:hAnsi="Calibri"/>
          <w:color w:val="231F20"/>
          <w:w w:val="105"/>
        </w:rPr>
        <w:t xml:space="preserve"> </w:t>
      </w:r>
      <w:r w:rsidRPr="00EA7458">
        <w:rPr>
          <w:rFonts w:ascii="Calibri" w:hAnsi="Calibri"/>
          <w:color w:val="231F20"/>
          <w:w w:val="105"/>
        </w:rPr>
        <w:t>input.</w:t>
      </w:r>
      <w:r w:rsidRPr="00582A27">
        <w:rPr>
          <w:rFonts w:ascii="Calibri" w:hAnsi="Calibri"/>
          <w:color w:val="231F20"/>
          <w:w w:val="105"/>
        </w:rPr>
        <w:t xml:space="preserve"> </w:t>
      </w:r>
      <w:r w:rsidRPr="00EA7458">
        <w:rPr>
          <w:rFonts w:ascii="Calibri" w:hAnsi="Calibri"/>
          <w:color w:val="231F20"/>
          <w:w w:val="105"/>
        </w:rPr>
        <w:t>Findings</w:t>
      </w:r>
      <w:r w:rsidRPr="00582A27">
        <w:rPr>
          <w:rFonts w:ascii="Calibri" w:hAnsi="Calibri"/>
          <w:color w:val="231F20"/>
          <w:w w:val="105"/>
        </w:rPr>
        <w:t xml:space="preserve"> </w:t>
      </w:r>
      <w:r w:rsidRPr="00EA7458">
        <w:rPr>
          <w:rFonts w:ascii="Calibri" w:hAnsi="Calibri"/>
          <w:color w:val="231F20"/>
          <w:w w:val="105"/>
        </w:rPr>
        <w:t>and</w:t>
      </w:r>
      <w:r w:rsidRPr="00582A27">
        <w:rPr>
          <w:rFonts w:ascii="Calibri" w:hAnsi="Calibri"/>
          <w:color w:val="231F20"/>
          <w:w w:val="105"/>
        </w:rPr>
        <w:t xml:space="preserve"> </w:t>
      </w:r>
      <w:r w:rsidRPr="00EA7458">
        <w:rPr>
          <w:rFonts w:ascii="Calibri" w:hAnsi="Calibri"/>
          <w:color w:val="231F20"/>
          <w:w w:val="105"/>
        </w:rPr>
        <w:t>recommendations</w:t>
      </w:r>
      <w:r w:rsidRPr="00582A27">
        <w:rPr>
          <w:rFonts w:ascii="Calibri" w:hAnsi="Calibri"/>
          <w:color w:val="231F20"/>
          <w:w w:val="105"/>
        </w:rPr>
        <w:t xml:space="preserve"> </w:t>
      </w:r>
      <w:r w:rsidRPr="00EA7458">
        <w:rPr>
          <w:rFonts w:ascii="Calibri" w:hAnsi="Calibri"/>
          <w:color w:val="231F20"/>
          <w:w w:val="105"/>
        </w:rPr>
        <w:t>from</w:t>
      </w:r>
      <w:r w:rsidRPr="00582A27">
        <w:rPr>
          <w:rFonts w:ascii="Calibri" w:hAnsi="Calibri"/>
          <w:color w:val="231F20"/>
          <w:w w:val="105"/>
        </w:rPr>
        <w:t xml:space="preserve"> </w:t>
      </w:r>
      <w:r w:rsidRPr="00EA7458">
        <w:rPr>
          <w:rFonts w:ascii="Calibri" w:hAnsi="Calibri"/>
          <w:color w:val="231F20"/>
          <w:w w:val="105"/>
        </w:rPr>
        <w:t>the</w:t>
      </w:r>
      <w:r w:rsidRPr="00582A27">
        <w:rPr>
          <w:rFonts w:ascii="Calibri" w:hAnsi="Calibri"/>
          <w:color w:val="231F20"/>
          <w:w w:val="105"/>
        </w:rPr>
        <w:t xml:space="preserve"> </w:t>
      </w:r>
      <w:r w:rsidRPr="00EA7458">
        <w:rPr>
          <w:rFonts w:ascii="Calibri" w:hAnsi="Calibri"/>
          <w:color w:val="231F20"/>
          <w:w w:val="105"/>
        </w:rPr>
        <w:t>CSNA</w:t>
      </w:r>
      <w:r w:rsidRPr="00582A27">
        <w:rPr>
          <w:rFonts w:ascii="Calibri" w:hAnsi="Calibri"/>
          <w:color w:val="231F20"/>
          <w:w w:val="105"/>
        </w:rPr>
        <w:t xml:space="preserve"> </w:t>
      </w:r>
      <w:r w:rsidRPr="00EA7458">
        <w:rPr>
          <w:rFonts w:ascii="Calibri" w:hAnsi="Calibri"/>
          <w:color w:val="231F20"/>
          <w:w w:val="105"/>
        </w:rPr>
        <w:t>guided</w:t>
      </w:r>
      <w:r w:rsidRPr="00582A27">
        <w:rPr>
          <w:rFonts w:ascii="Calibri" w:hAnsi="Calibri"/>
          <w:color w:val="231F20"/>
          <w:w w:val="105"/>
        </w:rPr>
        <w:t xml:space="preserve"> </w:t>
      </w:r>
      <w:r w:rsidRPr="00EA7458">
        <w:rPr>
          <w:rFonts w:ascii="Calibri" w:hAnsi="Calibri"/>
          <w:color w:val="231F20"/>
          <w:w w:val="105"/>
        </w:rPr>
        <w:t>agency</w:t>
      </w:r>
      <w:r w:rsidRPr="00582A27">
        <w:rPr>
          <w:rFonts w:ascii="Calibri" w:hAnsi="Calibri"/>
          <w:color w:val="231F20"/>
          <w:w w:val="105"/>
        </w:rPr>
        <w:t xml:space="preserve"> </w:t>
      </w:r>
      <w:r w:rsidRPr="00EA7458">
        <w:rPr>
          <w:rFonts w:ascii="Calibri" w:hAnsi="Calibri"/>
          <w:color w:val="231F20"/>
          <w:w w:val="105"/>
        </w:rPr>
        <w:t>planning</w:t>
      </w:r>
      <w:r w:rsidRPr="00582A27">
        <w:rPr>
          <w:rFonts w:ascii="Calibri" w:hAnsi="Calibri"/>
          <w:color w:val="231F20"/>
          <w:w w:val="105"/>
        </w:rPr>
        <w:t xml:space="preserve"> </w:t>
      </w:r>
      <w:r w:rsidRPr="00EA7458">
        <w:rPr>
          <w:rFonts w:ascii="Calibri" w:hAnsi="Calibri"/>
          <w:color w:val="231F20"/>
          <w:w w:val="105"/>
        </w:rPr>
        <w:t>and</w:t>
      </w:r>
      <w:r w:rsidRPr="00582A27">
        <w:rPr>
          <w:rFonts w:ascii="Calibri" w:hAnsi="Calibri"/>
          <w:color w:val="231F20"/>
          <w:w w:val="105"/>
        </w:rPr>
        <w:t xml:space="preserve"> </w:t>
      </w:r>
      <w:r w:rsidRPr="00EA7458">
        <w:rPr>
          <w:rFonts w:ascii="Calibri" w:hAnsi="Calibri"/>
          <w:color w:val="231F20"/>
          <w:w w:val="105"/>
        </w:rPr>
        <w:t>development</w:t>
      </w:r>
      <w:r w:rsidRPr="00582A27">
        <w:rPr>
          <w:rFonts w:ascii="Calibri" w:hAnsi="Calibri"/>
          <w:color w:val="231F20"/>
          <w:w w:val="105"/>
        </w:rPr>
        <w:t xml:space="preserve"> </w:t>
      </w:r>
      <w:r w:rsidRPr="00EA7458">
        <w:rPr>
          <w:rFonts w:ascii="Calibri" w:hAnsi="Calibri"/>
          <w:color w:val="231F20"/>
          <w:w w:val="105"/>
        </w:rPr>
        <w:t>of</w:t>
      </w:r>
      <w:r w:rsidRPr="00582A27">
        <w:rPr>
          <w:rFonts w:ascii="Calibri" w:hAnsi="Calibri"/>
          <w:color w:val="231F20"/>
          <w:w w:val="105"/>
        </w:rPr>
        <w:t xml:space="preserve"> </w:t>
      </w:r>
      <w:r w:rsidRPr="00EA7458">
        <w:rPr>
          <w:rFonts w:ascii="Calibri" w:hAnsi="Calibri"/>
          <w:color w:val="231F20"/>
          <w:w w:val="105"/>
        </w:rPr>
        <w:t>the</w:t>
      </w:r>
      <w:r w:rsidRPr="00582A27">
        <w:rPr>
          <w:rFonts w:ascii="Calibri" w:hAnsi="Calibri"/>
          <w:color w:val="231F20"/>
          <w:w w:val="105"/>
        </w:rPr>
        <w:t xml:space="preserve"> </w:t>
      </w:r>
      <w:r w:rsidRPr="00EA7458">
        <w:rPr>
          <w:rFonts w:ascii="Calibri" w:hAnsi="Calibri"/>
          <w:color w:val="231F20"/>
          <w:w w:val="105"/>
        </w:rPr>
        <w:t>VR</w:t>
      </w:r>
      <w:r w:rsidRPr="00582A27">
        <w:rPr>
          <w:rFonts w:ascii="Calibri" w:hAnsi="Calibri"/>
          <w:color w:val="231F20"/>
          <w:w w:val="105"/>
        </w:rPr>
        <w:t xml:space="preserve"> </w:t>
      </w:r>
      <w:r w:rsidRPr="00EA7458">
        <w:rPr>
          <w:rFonts w:ascii="Calibri" w:hAnsi="Calibri"/>
          <w:color w:val="231F20"/>
          <w:w w:val="105"/>
        </w:rPr>
        <w:t>state</w:t>
      </w:r>
      <w:r w:rsidRPr="00582A27">
        <w:rPr>
          <w:rFonts w:ascii="Calibri" w:hAnsi="Calibri"/>
          <w:color w:val="231F20"/>
          <w:w w:val="105"/>
        </w:rPr>
        <w:t xml:space="preserve"> </w:t>
      </w:r>
      <w:r w:rsidRPr="00EA7458">
        <w:rPr>
          <w:rFonts w:ascii="Calibri" w:hAnsi="Calibri"/>
          <w:color w:val="231F20"/>
          <w:w w:val="105"/>
        </w:rPr>
        <w:t>plan</w:t>
      </w:r>
      <w:r w:rsidRPr="00582A27">
        <w:rPr>
          <w:rFonts w:ascii="Calibri" w:hAnsi="Calibri"/>
          <w:color w:val="231F20"/>
          <w:w w:val="105"/>
        </w:rPr>
        <w:t xml:space="preserve"> </w:t>
      </w:r>
      <w:r w:rsidRPr="00EA7458">
        <w:rPr>
          <w:rFonts w:ascii="Calibri" w:hAnsi="Calibri"/>
          <w:color w:val="231F20"/>
          <w:w w:val="105"/>
        </w:rPr>
        <w:t>portion</w:t>
      </w:r>
      <w:r w:rsidRPr="00582A27">
        <w:rPr>
          <w:rFonts w:ascii="Calibri" w:hAnsi="Calibri"/>
          <w:color w:val="231F20"/>
          <w:w w:val="105"/>
        </w:rPr>
        <w:t xml:space="preserve"> </w:t>
      </w:r>
      <w:r w:rsidRPr="00EA7458">
        <w:rPr>
          <w:rFonts w:ascii="Calibri" w:hAnsi="Calibri"/>
          <w:color w:val="231F20"/>
          <w:w w:val="105"/>
        </w:rPr>
        <w:t>for</w:t>
      </w:r>
      <w:r w:rsidRPr="00582A27">
        <w:rPr>
          <w:rFonts w:ascii="Calibri" w:hAnsi="Calibri"/>
          <w:color w:val="231F20"/>
          <w:w w:val="105"/>
        </w:rPr>
        <w:t xml:space="preserve"> </w:t>
      </w:r>
      <w:r w:rsidRPr="00EA7458">
        <w:rPr>
          <w:rFonts w:ascii="Calibri" w:hAnsi="Calibri"/>
          <w:color w:val="231F20"/>
          <w:w w:val="105"/>
        </w:rPr>
        <w:t>federal</w:t>
      </w:r>
      <w:r w:rsidRPr="00582A27">
        <w:rPr>
          <w:rFonts w:ascii="Calibri" w:hAnsi="Calibri"/>
          <w:color w:val="231F20"/>
          <w:w w:val="105"/>
        </w:rPr>
        <w:t xml:space="preserve"> </w:t>
      </w:r>
      <w:r w:rsidRPr="00EA7458">
        <w:rPr>
          <w:rFonts w:ascii="Calibri" w:hAnsi="Calibri"/>
          <w:color w:val="231F20"/>
          <w:w w:val="105"/>
        </w:rPr>
        <w:t>fiscal</w:t>
      </w:r>
      <w:r w:rsidRPr="00582A27">
        <w:rPr>
          <w:rFonts w:ascii="Calibri" w:hAnsi="Calibri"/>
          <w:color w:val="231F20"/>
          <w:w w:val="105"/>
        </w:rPr>
        <w:t xml:space="preserve"> </w:t>
      </w:r>
      <w:r w:rsidRPr="00EA7458">
        <w:rPr>
          <w:rFonts w:ascii="Calibri" w:hAnsi="Calibri"/>
          <w:color w:val="231F20"/>
          <w:w w:val="105"/>
        </w:rPr>
        <w:t>years</w:t>
      </w:r>
      <w:r w:rsidRPr="00582A27">
        <w:rPr>
          <w:rFonts w:ascii="Calibri" w:hAnsi="Calibri"/>
          <w:color w:val="231F20"/>
          <w:w w:val="105"/>
        </w:rPr>
        <w:t xml:space="preserve"> </w:t>
      </w:r>
      <w:r w:rsidRPr="00EA7458">
        <w:rPr>
          <w:rFonts w:ascii="Calibri" w:hAnsi="Calibri"/>
          <w:color w:val="231F20"/>
          <w:w w:val="105"/>
        </w:rPr>
        <w:t>2017-20.</w:t>
      </w:r>
      <w:r w:rsidRPr="00582A27">
        <w:rPr>
          <w:rFonts w:ascii="Calibri" w:hAnsi="Calibri"/>
          <w:color w:val="231F20"/>
          <w:w w:val="105"/>
        </w:rPr>
        <w:t xml:space="preserve"> </w:t>
      </w:r>
      <w:r w:rsidRPr="00EA7458">
        <w:rPr>
          <w:rFonts w:ascii="Calibri" w:hAnsi="Calibri"/>
          <w:color w:val="231F20"/>
          <w:w w:val="105"/>
        </w:rPr>
        <w:t>VR</w:t>
      </w:r>
      <w:r w:rsidRPr="00582A27">
        <w:rPr>
          <w:rFonts w:ascii="Calibri" w:hAnsi="Calibri"/>
          <w:color w:val="231F20"/>
          <w:w w:val="105"/>
        </w:rPr>
        <w:t xml:space="preserve"> </w:t>
      </w:r>
      <w:r w:rsidRPr="00EA7458">
        <w:rPr>
          <w:rFonts w:ascii="Calibri" w:hAnsi="Calibri"/>
          <w:color w:val="231F20"/>
          <w:w w:val="105"/>
        </w:rPr>
        <w:t>use</w:t>
      </w:r>
      <w:r w:rsidR="00C442E2">
        <w:rPr>
          <w:rFonts w:ascii="Calibri" w:hAnsi="Calibri"/>
          <w:color w:val="231F20"/>
          <w:w w:val="105"/>
        </w:rPr>
        <w:t>s</w:t>
      </w:r>
      <w:r w:rsidRPr="00582A27">
        <w:rPr>
          <w:rFonts w:ascii="Calibri" w:hAnsi="Calibri"/>
          <w:color w:val="231F20"/>
          <w:w w:val="105"/>
        </w:rPr>
        <w:t xml:space="preserve"> </w:t>
      </w:r>
      <w:r w:rsidRPr="00EA7458">
        <w:rPr>
          <w:rFonts w:ascii="Calibri" w:hAnsi="Calibri"/>
          <w:color w:val="231F20"/>
          <w:w w:val="105"/>
        </w:rPr>
        <w:t>this</w:t>
      </w:r>
      <w:r w:rsidRPr="00582A27">
        <w:rPr>
          <w:rFonts w:ascii="Calibri" w:hAnsi="Calibri"/>
          <w:color w:val="231F20"/>
          <w:w w:val="105"/>
        </w:rPr>
        <w:t xml:space="preserve"> </w:t>
      </w:r>
      <w:r w:rsidRPr="00EA7458">
        <w:rPr>
          <w:rFonts w:ascii="Calibri" w:hAnsi="Calibri"/>
          <w:color w:val="231F20"/>
          <w:w w:val="105"/>
        </w:rPr>
        <w:t>information</w:t>
      </w:r>
      <w:r w:rsidRPr="00582A27">
        <w:rPr>
          <w:rFonts w:ascii="Calibri" w:hAnsi="Calibri"/>
          <w:color w:val="231F20"/>
          <w:w w:val="105"/>
        </w:rPr>
        <w:t xml:space="preserve"> </w:t>
      </w:r>
      <w:r w:rsidRPr="00EA7458">
        <w:rPr>
          <w:rFonts w:ascii="Calibri" w:hAnsi="Calibri"/>
          <w:color w:val="231F20"/>
          <w:w w:val="105"/>
        </w:rPr>
        <w:t>to</w:t>
      </w:r>
      <w:r w:rsidRPr="00582A27">
        <w:rPr>
          <w:rFonts w:ascii="Calibri" w:hAnsi="Calibri"/>
          <w:color w:val="231F20"/>
          <w:w w:val="105"/>
        </w:rPr>
        <w:t xml:space="preserve"> </w:t>
      </w:r>
      <w:r w:rsidRPr="00EA7458">
        <w:rPr>
          <w:rFonts w:ascii="Calibri" w:hAnsi="Calibri"/>
          <w:color w:val="231F20"/>
          <w:w w:val="105"/>
        </w:rPr>
        <w:t>guide</w:t>
      </w:r>
      <w:r w:rsidRPr="00582A27">
        <w:rPr>
          <w:rFonts w:ascii="Calibri" w:hAnsi="Calibri"/>
          <w:color w:val="231F20"/>
          <w:w w:val="105"/>
        </w:rPr>
        <w:t xml:space="preserve"> </w:t>
      </w:r>
      <w:r w:rsidRPr="00EA7458">
        <w:rPr>
          <w:rFonts w:ascii="Calibri" w:hAnsi="Calibri"/>
          <w:color w:val="231F20"/>
          <w:w w:val="105"/>
        </w:rPr>
        <w:t>statewide</w:t>
      </w:r>
      <w:r w:rsidRPr="00582A27">
        <w:rPr>
          <w:rFonts w:ascii="Calibri" w:hAnsi="Calibri"/>
          <w:color w:val="231F20"/>
          <w:w w:val="105"/>
        </w:rPr>
        <w:t xml:space="preserve"> </w:t>
      </w:r>
      <w:r w:rsidRPr="00EA7458">
        <w:rPr>
          <w:rFonts w:ascii="Calibri" w:hAnsi="Calibri"/>
          <w:color w:val="231F20"/>
          <w:w w:val="105"/>
        </w:rPr>
        <w:t>and</w:t>
      </w:r>
      <w:r w:rsidRPr="00582A27">
        <w:rPr>
          <w:rFonts w:ascii="Calibri" w:hAnsi="Calibri"/>
          <w:color w:val="231F20"/>
          <w:w w:val="105"/>
        </w:rPr>
        <w:t xml:space="preserve"> </w:t>
      </w:r>
      <w:r w:rsidRPr="00EA7458">
        <w:rPr>
          <w:rFonts w:ascii="Calibri" w:hAnsi="Calibri"/>
          <w:color w:val="231F20"/>
          <w:w w:val="105"/>
        </w:rPr>
        <w:t>agency</w:t>
      </w:r>
      <w:r w:rsidRPr="00582A27">
        <w:rPr>
          <w:rFonts w:ascii="Calibri" w:hAnsi="Calibri"/>
          <w:color w:val="231F20"/>
          <w:w w:val="105"/>
        </w:rPr>
        <w:t xml:space="preserve"> </w:t>
      </w:r>
      <w:r w:rsidRPr="00EA7458">
        <w:rPr>
          <w:rFonts w:ascii="Calibri" w:hAnsi="Calibri"/>
          <w:color w:val="231F20"/>
          <w:w w:val="105"/>
        </w:rPr>
        <w:t>planning,</w:t>
      </w:r>
      <w:r w:rsidRPr="00582A27">
        <w:rPr>
          <w:rFonts w:ascii="Calibri" w:hAnsi="Calibri"/>
          <w:color w:val="231F20"/>
          <w:w w:val="105"/>
        </w:rPr>
        <w:t xml:space="preserve"> </w:t>
      </w:r>
      <w:r w:rsidRPr="00EA7458">
        <w:rPr>
          <w:rFonts w:ascii="Calibri" w:hAnsi="Calibri"/>
          <w:color w:val="231F20"/>
          <w:w w:val="105"/>
        </w:rPr>
        <w:t>as</w:t>
      </w:r>
      <w:r w:rsidRPr="00582A27">
        <w:rPr>
          <w:rFonts w:ascii="Calibri" w:hAnsi="Calibri"/>
          <w:color w:val="231F20"/>
          <w:w w:val="105"/>
        </w:rPr>
        <w:t xml:space="preserve"> </w:t>
      </w:r>
      <w:r w:rsidRPr="00EA7458">
        <w:rPr>
          <w:rFonts w:ascii="Calibri" w:hAnsi="Calibri"/>
          <w:color w:val="231F20"/>
          <w:w w:val="105"/>
        </w:rPr>
        <w:t>well</w:t>
      </w:r>
      <w:r w:rsidRPr="00582A27">
        <w:rPr>
          <w:rFonts w:ascii="Calibri" w:hAnsi="Calibri"/>
          <w:color w:val="231F20"/>
          <w:w w:val="105"/>
        </w:rPr>
        <w:t xml:space="preserve"> </w:t>
      </w:r>
      <w:r w:rsidRPr="00EA7458">
        <w:rPr>
          <w:rFonts w:ascii="Calibri" w:hAnsi="Calibri"/>
          <w:color w:val="231F20"/>
          <w:w w:val="105"/>
        </w:rPr>
        <w:t>as</w:t>
      </w:r>
      <w:r w:rsidRPr="00582A27">
        <w:rPr>
          <w:rFonts w:ascii="Calibri" w:hAnsi="Calibri"/>
          <w:color w:val="231F20"/>
          <w:w w:val="105"/>
        </w:rPr>
        <w:t xml:space="preserve"> </w:t>
      </w:r>
      <w:r w:rsidRPr="00EA7458">
        <w:rPr>
          <w:rFonts w:ascii="Calibri" w:hAnsi="Calibri"/>
          <w:color w:val="231F20"/>
          <w:w w:val="105"/>
        </w:rPr>
        <w:t>future</w:t>
      </w:r>
      <w:r w:rsidRPr="00582A27">
        <w:rPr>
          <w:rFonts w:ascii="Calibri" w:hAnsi="Calibri"/>
          <w:color w:val="231F20"/>
          <w:w w:val="105"/>
        </w:rPr>
        <w:t xml:space="preserve"> </w:t>
      </w:r>
      <w:r w:rsidRPr="00EA7458">
        <w:rPr>
          <w:rFonts w:ascii="Calibri" w:hAnsi="Calibri"/>
          <w:color w:val="231F20"/>
          <w:w w:val="105"/>
        </w:rPr>
        <w:t>collaborations</w:t>
      </w:r>
      <w:r w:rsidRPr="00582A27">
        <w:rPr>
          <w:rFonts w:ascii="Calibri" w:hAnsi="Calibri"/>
          <w:color w:val="231F20"/>
          <w:w w:val="105"/>
        </w:rPr>
        <w:t xml:space="preserve"> </w:t>
      </w:r>
      <w:r w:rsidRPr="00EA7458">
        <w:rPr>
          <w:rFonts w:ascii="Calibri" w:hAnsi="Calibri"/>
          <w:color w:val="231F20"/>
          <w:w w:val="105"/>
        </w:rPr>
        <w:t>with</w:t>
      </w:r>
      <w:r w:rsidRPr="00582A27">
        <w:rPr>
          <w:rFonts w:ascii="Calibri" w:hAnsi="Calibri"/>
          <w:color w:val="231F20"/>
          <w:w w:val="105"/>
        </w:rPr>
        <w:t xml:space="preserve"> </w:t>
      </w:r>
      <w:r w:rsidRPr="00EA7458">
        <w:rPr>
          <w:rFonts w:ascii="Calibri" w:hAnsi="Calibri"/>
          <w:color w:val="231F20"/>
          <w:w w:val="105"/>
        </w:rPr>
        <w:t>Workforce</w:t>
      </w:r>
      <w:r w:rsidRPr="00582A27">
        <w:rPr>
          <w:rFonts w:ascii="Calibri" w:hAnsi="Calibri"/>
          <w:color w:val="231F20"/>
          <w:w w:val="105"/>
        </w:rPr>
        <w:t xml:space="preserve"> </w:t>
      </w:r>
      <w:r w:rsidRPr="00EA7458">
        <w:rPr>
          <w:rFonts w:ascii="Calibri" w:hAnsi="Calibri"/>
          <w:color w:val="231F20"/>
          <w:w w:val="105"/>
        </w:rPr>
        <w:t>Innovation</w:t>
      </w:r>
      <w:r w:rsidRPr="00582A27">
        <w:rPr>
          <w:rFonts w:ascii="Calibri" w:hAnsi="Calibri"/>
          <w:color w:val="231F20"/>
          <w:w w:val="105"/>
        </w:rPr>
        <w:t xml:space="preserve"> </w:t>
      </w:r>
      <w:r w:rsidRPr="00EA7458">
        <w:rPr>
          <w:rFonts w:ascii="Calibri" w:hAnsi="Calibri"/>
          <w:color w:val="231F20"/>
          <w:w w:val="105"/>
        </w:rPr>
        <w:t>and</w:t>
      </w:r>
      <w:r w:rsidRPr="00582A27">
        <w:rPr>
          <w:rFonts w:ascii="Calibri" w:hAnsi="Calibri"/>
          <w:color w:val="231F20"/>
          <w:w w:val="105"/>
        </w:rPr>
        <w:t xml:space="preserve"> </w:t>
      </w:r>
      <w:r w:rsidRPr="00EA7458">
        <w:rPr>
          <w:rFonts w:ascii="Calibri" w:hAnsi="Calibri"/>
          <w:color w:val="231F20"/>
          <w:w w:val="105"/>
        </w:rPr>
        <w:t>Opportunity</w:t>
      </w:r>
      <w:r w:rsidRPr="00582A27">
        <w:rPr>
          <w:rFonts w:ascii="Calibri" w:hAnsi="Calibri"/>
          <w:color w:val="231F20"/>
          <w:w w:val="105"/>
        </w:rPr>
        <w:t xml:space="preserve"> </w:t>
      </w:r>
      <w:r w:rsidRPr="00EA7458">
        <w:rPr>
          <w:rFonts w:ascii="Calibri" w:hAnsi="Calibri"/>
          <w:color w:val="231F20"/>
          <w:w w:val="105"/>
        </w:rPr>
        <w:t>Act</w:t>
      </w:r>
      <w:r w:rsidRPr="00582A27">
        <w:rPr>
          <w:rFonts w:ascii="Calibri" w:hAnsi="Calibri"/>
          <w:color w:val="231F20"/>
          <w:w w:val="105"/>
        </w:rPr>
        <w:t xml:space="preserve"> </w:t>
      </w:r>
      <w:r w:rsidRPr="00EA7458">
        <w:rPr>
          <w:rFonts w:ascii="Calibri" w:hAnsi="Calibri"/>
          <w:color w:val="231F20"/>
          <w:w w:val="105"/>
        </w:rPr>
        <w:t>(WIOA)</w:t>
      </w:r>
      <w:r w:rsidRPr="00582A27">
        <w:rPr>
          <w:rFonts w:ascii="Calibri" w:hAnsi="Calibri"/>
          <w:color w:val="231F20"/>
          <w:w w:val="105"/>
        </w:rPr>
        <w:t xml:space="preserve"> </w:t>
      </w:r>
      <w:r w:rsidRPr="00EA7458">
        <w:rPr>
          <w:rFonts w:ascii="Calibri" w:hAnsi="Calibri"/>
          <w:color w:val="231F20"/>
          <w:w w:val="105"/>
        </w:rPr>
        <w:t>core</w:t>
      </w:r>
      <w:r w:rsidRPr="00582A27">
        <w:rPr>
          <w:rFonts w:ascii="Calibri" w:hAnsi="Calibri"/>
          <w:color w:val="231F20"/>
          <w:w w:val="105"/>
        </w:rPr>
        <w:t xml:space="preserve"> </w:t>
      </w:r>
      <w:r w:rsidRPr="00EA7458">
        <w:rPr>
          <w:rFonts w:ascii="Calibri" w:hAnsi="Calibri"/>
          <w:color w:val="231F20"/>
          <w:w w:val="105"/>
        </w:rPr>
        <w:t>programs and other stakeholders.</w:t>
      </w:r>
    </w:p>
    <w:p w14:paraId="3D891E7E" w14:textId="77777777" w:rsidR="00002D76" w:rsidRPr="00EA7458" w:rsidRDefault="00002D76" w:rsidP="00D63204">
      <w:pPr>
        <w:widowControl w:val="0"/>
        <w:spacing w:after="0" w:line="264" w:lineRule="exact"/>
        <w:rPr>
          <w:rFonts w:ascii="Calibri" w:hAnsi="Calibri"/>
        </w:rPr>
        <w:sectPr w:rsidR="00002D76" w:rsidRPr="00EA7458">
          <w:pgSz w:w="12240" w:h="15840"/>
          <w:pgMar w:top="1620" w:right="900" w:bottom="820" w:left="900" w:header="812" w:footer="624" w:gutter="0"/>
          <w:cols w:space="720"/>
        </w:sectPr>
      </w:pPr>
    </w:p>
    <w:p w14:paraId="5063A25C" w14:textId="77777777" w:rsidR="00002D76" w:rsidRPr="00EA7458" w:rsidRDefault="00002D76" w:rsidP="00D63204">
      <w:pPr>
        <w:widowControl w:val="0"/>
        <w:spacing w:before="2" w:after="0" w:line="240" w:lineRule="auto"/>
        <w:rPr>
          <w:rFonts w:ascii="Calibri" w:hAnsi="Calibri" w:cs="Calibri"/>
          <w:sz w:val="14"/>
          <w:szCs w:val="14"/>
        </w:rPr>
      </w:pPr>
    </w:p>
    <w:p w14:paraId="3DA7EED0" w14:textId="77777777" w:rsidR="00CD1C1C" w:rsidRPr="00CD1C1C" w:rsidRDefault="00CD1C1C" w:rsidP="00D63204">
      <w:pPr>
        <w:widowControl w:val="0"/>
        <w:spacing w:before="58" w:after="0" w:line="264" w:lineRule="exact"/>
        <w:ind w:left="107" w:right="281"/>
        <w:rPr>
          <w:rFonts w:ascii="Calibri" w:hAnsi="Calibri"/>
        </w:rPr>
      </w:pPr>
      <w:r w:rsidRPr="00CD1C1C">
        <w:rPr>
          <w:rFonts w:ascii="Calibri" w:hAnsi="Calibri"/>
          <w:color w:val="231F20"/>
          <w:w w:val="105"/>
        </w:rPr>
        <w:t>CSNA</w:t>
      </w:r>
      <w:r w:rsidRPr="00CD1C1C">
        <w:rPr>
          <w:rFonts w:ascii="Calibri" w:hAnsi="Calibri"/>
          <w:color w:val="231F20"/>
          <w:spacing w:val="12"/>
          <w:w w:val="105"/>
        </w:rPr>
        <w:t xml:space="preserve"> </w:t>
      </w:r>
      <w:r w:rsidRPr="00CD1C1C">
        <w:rPr>
          <w:rFonts w:ascii="Calibri" w:hAnsi="Calibri"/>
          <w:color w:val="231F20"/>
          <w:w w:val="105"/>
        </w:rPr>
        <w:t>survey</w:t>
      </w:r>
      <w:r w:rsidRPr="00CD1C1C">
        <w:rPr>
          <w:rFonts w:ascii="Calibri" w:hAnsi="Calibri"/>
          <w:color w:val="231F20"/>
          <w:spacing w:val="12"/>
          <w:w w:val="105"/>
        </w:rPr>
        <w:t xml:space="preserve"> </w:t>
      </w:r>
      <w:r w:rsidRPr="00CD1C1C">
        <w:rPr>
          <w:rFonts w:ascii="Calibri" w:hAnsi="Calibri"/>
          <w:color w:val="231F20"/>
          <w:w w:val="105"/>
        </w:rPr>
        <w:t>results</w:t>
      </w:r>
      <w:r w:rsidRPr="00CD1C1C">
        <w:rPr>
          <w:rFonts w:ascii="Calibri" w:hAnsi="Calibri"/>
          <w:color w:val="231F20"/>
          <w:spacing w:val="12"/>
          <w:w w:val="105"/>
        </w:rPr>
        <w:t xml:space="preserve"> </w:t>
      </w:r>
      <w:r w:rsidRPr="00CD1C1C">
        <w:rPr>
          <w:rFonts w:ascii="Calibri" w:hAnsi="Calibri"/>
          <w:color w:val="231F20"/>
          <w:w w:val="105"/>
        </w:rPr>
        <w:t>indicated</w:t>
      </w:r>
      <w:r w:rsidRPr="00CD1C1C">
        <w:rPr>
          <w:rFonts w:ascii="Calibri" w:hAnsi="Calibri"/>
          <w:color w:val="231F20"/>
          <w:spacing w:val="12"/>
          <w:w w:val="105"/>
        </w:rPr>
        <w:t xml:space="preserve"> </w:t>
      </w:r>
      <w:r w:rsidRPr="00CD1C1C">
        <w:rPr>
          <w:rFonts w:ascii="Calibri" w:hAnsi="Calibri"/>
          <w:color w:val="231F20"/>
          <w:w w:val="105"/>
        </w:rPr>
        <w:t>factors</w:t>
      </w:r>
      <w:r w:rsidRPr="00CD1C1C">
        <w:rPr>
          <w:rFonts w:ascii="Calibri" w:hAnsi="Calibri"/>
          <w:color w:val="231F20"/>
          <w:spacing w:val="12"/>
          <w:w w:val="105"/>
        </w:rPr>
        <w:t xml:space="preserve"> </w:t>
      </w:r>
      <w:r w:rsidRPr="00CD1C1C">
        <w:rPr>
          <w:rFonts w:ascii="Calibri" w:hAnsi="Calibri"/>
          <w:color w:val="231F20"/>
          <w:w w:val="105"/>
        </w:rPr>
        <w:t>rated</w:t>
      </w:r>
      <w:r w:rsidRPr="00CD1C1C">
        <w:rPr>
          <w:rFonts w:ascii="Calibri" w:hAnsi="Calibri"/>
          <w:color w:val="231F20"/>
          <w:spacing w:val="12"/>
          <w:w w:val="105"/>
        </w:rPr>
        <w:t xml:space="preserve"> </w:t>
      </w:r>
      <w:r w:rsidRPr="00CD1C1C">
        <w:rPr>
          <w:rFonts w:ascii="Calibri" w:hAnsi="Calibri"/>
          <w:color w:val="231F20"/>
          <w:w w:val="105"/>
        </w:rPr>
        <w:t>most</w:t>
      </w:r>
      <w:r w:rsidRPr="00CD1C1C">
        <w:rPr>
          <w:rFonts w:ascii="Calibri" w:hAnsi="Calibri"/>
          <w:color w:val="231F20"/>
          <w:spacing w:val="12"/>
          <w:w w:val="105"/>
        </w:rPr>
        <w:t xml:space="preserve"> </w:t>
      </w:r>
      <w:r w:rsidRPr="00CD1C1C">
        <w:rPr>
          <w:rFonts w:ascii="Calibri" w:hAnsi="Calibri"/>
          <w:color w:val="231F20"/>
          <w:w w:val="105"/>
        </w:rPr>
        <w:t>important</w:t>
      </w:r>
      <w:r w:rsidRPr="00CD1C1C">
        <w:rPr>
          <w:rFonts w:ascii="Calibri" w:hAnsi="Calibri"/>
          <w:color w:val="231F20"/>
          <w:spacing w:val="12"/>
          <w:w w:val="105"/>
        </w:rPr>
        <w:t xml:space="preserve"> </w:t>
      </w:r>
      <w:r w:rsidRPr="00CD1C1C">
        <w:rPr>
          <w:rFonts w:ascii="Calibri" w:hAnsi="Calibri"/>
          <w:color w:val="231F20"/>
          <w:w w:val="105"/>
        </w:rPr>
        <w:t>to</w:t>
      </w:r>
      <w:r w:rsidRPr="00CD1C1C">
        <w:rPr>
          <w:rFonts w:ascii="Calibri" w:hAnsi="Calibri"/>
          <w:color w:val="231F20"/>
          <w:spacing w:val="12"/>
          <w:w w:val="105"/>
        </w:rPr>
        <w:t xml:space="preserve"> </w:t>
      </w:r>
      <w:r w:rsidRPr="00CD1C1C">
        <w:rPr>
          <w:rFonts w:ascii="Calibri" w:hAnsi="Calibri"/>
          <w:color w:val="231F20"/>
          <w:w w:val="105"/>
        </w:rPr>
        <w:t>job</w:t>
      </w:r>
      <w:r w:rsidRPr="00CD1C1C">
        <w:rPr>
          <w:rFonts w:ascii="Calibri" w:hAnsi="Calibri"/>
          <w:color w:val="231F20"/>
          <w:spacing w:val="12"/>
          <w:w w:val="105"/>
        </w:rPr>
        <w:t xml:space="preserve"> </w:t>
      </w:r>
      <w:r w:rsidRPr="00CD1C1C">
        <w:rPr>
          <w:rFonts w:ascii="Calibri" w:hAnsi="Calibri"/>
          <w:color w:val="231F20"/>
          <w:w w:val="105"/>
        </w:rPr>
        <w:t>seekers</w:t>
      </w:r>
      <w:r w:rsidRPr="00CD1C1C">
        <w:rPr>
          <w:rFonts w:ascii="Calibri" w:hAnsi="Calibri"/>
          <w:color w:val="231F20"/>
          <w:spacing w:val="12"/>
          <w:w w:val="105"/>
        </w:rPr>
        <w:t xml:space="preserve"> </w:t>
      </w:r>
      <w:r w:rsidRPr="00CD1C1C">
        <w:rPr>
          <w:rFonts w:ascii="Calibri" w:hAnsi="Calibri"/>
          <w:color w:val="231F20"/>
          <w:w w:val="105"/>
        </w:rPr>
        <w:t>with</w:t>
      </w:r>
      <w:r w:rsidRPr="00CD1C1C">
        <w:rPr>
          <w:rFonts w:ascii="Calibri" w:hAnsi="Calibri"/>
          <w:color w:val="231F20"/>
          <w:spacing w:val="12"/>
          <w:w w:val="105"/>
        </w:rPr>
        <w:t xml:space="preserve"> </w:t>
      </w:r>
      <w:r w:rsidRPr="00CD1C1C">
        <w:rPr>
          <w:rFonts w:ascii="Calibri" w:hAnsi="Calibri"/>
          <w:color w:val="231F20"/>
          <w:w w:val="105"/>
        </w:rPr>
        <w:t>disabilities.</w:t>
      </w:r>
      <w:r w:rsidRPr="00CD1C1C">
        <w:rPr>
          <w:rFonts w:ascii="Calibri" w:hAnsi="Calibri"/>
          <w:color w:val="231F20"/>
          <w:spacing w:val="12"/>
          <w:w w:val="105"/>
        </w:rPr>
        <w:t xml:space="preserve"> </w:t>
      </w:r>
      <w:r w:rsidRPr="00CD1C1C">
        <w:rPr>
          <w:rFonts w:ascii="Calibri" w:hAnsi="Calibri"/>
          <w:color w:val="231F20"/>
          <w:w w:val="105"/>
        </w:rPr>
        <w:t>Percent</w:t>
      </w:r>
      <w:r w:rsidRPr="00CD1C1C">
        <w:rPr>
          <w:rFonts w:ascii="Calibri" w:hAnsi="Calibri"/>
          <w:color w:val="231F20"/>
          <w:spacing w:val="12"/>
          <w:w w:val="105"/>
        </w:rPr>
        <w:t xml:space="preserve"> </w:t>
      </w:r>
      <w:r w:rsidRPr="00CD1C1C">
        <w:rPr>
          <w:rFonts w:ascii="Calibri" w:hAnsi="Calibri"/>
          <w:color w:val="231F20"/>
          <w:w w:val="105"/>
        </w:rPr>
        <w:t>for</w:t>
      </w:r>
      <w:r w:rsidRPr="00CD1C1C">
        <w:rPr>
          <w:rFonts w:ascii="Calibri" w:hAnsi="Calibri"/>
          <w:color w:val="231F20"/>
        </w:rPr>
        <w:t xml:space="preserve"> </w:t>
      </w:r>
      <w:r w:rsidRPr="00CD1C1C">
        <w:rPr>
          <w:rFonts w:ascii="Calibri" w:hAnsi="Calibri"/>
          <w:color w:val="231F20"/>
          <w:spacing w:val="-4"/>
          <w:w w:val="105"/>
        </w:rPr>
        <w:t xml:space="preserve">Very </w:t>
      </w:r>
      <w:r w:rsidRPr="00CD1C1C">
        <w:rPr>
          <w:rFonts w:ascii="Calibri" w:hAnsi="Calibri"/>
          <w:color w:val="231F20"/>
          <w:w w:val="105"/>
        </w:rPr>
        <w:t>Important ratings are as</w:t>
      </w:r>
      <w:r w:rsidRPr="00CD1C1C">
        <w:rPr>
          <w:rFonts w:ascii="Calibri" w:hAnsi="Calibri"/>
          <w:color w:val="231F20"/>
          <w:spacing w:val="49"/>
          <w:w w:val="105"/>
        </w:rPr>
        <w:t xml:space="preserve"> </w:t>
      </w:r>
      <w:r w:rsidRPr="00CD1C1C">
        <w:rPr>
          <w:rFonts w:ascii="Calibri" w:hAnsi="Calibri"/>
          <w:color w:val="231F20"/>
          <w:w w:val="105"/>
        </w:rPr>
        <w:t>follows:</w:t>
      </w:r>
    </w:p>
    <w:p w14:paraId="6E817F38" w14:textId="77777777" w:rsidR="00CD1C1C" w:rsidRPr="00CD1C1C" w:rsidRDefault="00CD1C1C" w:rsidP="00D63204">
      <w:pPr>
        <w:widowControl w:val="0"/>
        <w:spacing w:before="58" w:after="0" w:line="264" w:lineRule="exact"/>
        <w:ind w:left="107" w:right="281"/>
        <w:rPr>
          <w:rFonts w:ascii="Calibri" w:hAnsi="Calibri"/>
        </w:rPr>
      </w:pPr>
    </w:p>
    <w:p w14:paraId="78FA897E" w14:textId="77777777" w:rsidR="00CD1C1C" w:rsidRPr="00CD1C1C" w:rsidRDefault="00CD1C1C" w:rsidP="00D63204">
      <w:pPr>
        <w:pStyle w:val="ListParagraph"/>
        <w:widowControl w:val="0"/>
        <w:numPr>
          <w:ilvl w:val="0"/>
          <w:numId w:val="79"/>
        </w:numPr>
        <w:spacing w:after="0" w:line="264" w:lineRule="exact"/>
        <w:ind w:right="281"/>
        <w:rPr>
          <w:rFonts w:ascii="Calibri" w:hAnsi="Calibri"/>
          <w:color w:val="231F20"/>
          <w:w w:val="105"/>
        </w:rPr>
      </w:pPr>
      <w:r w:rsidRPr="00CD1C1C">
        <w:rPr>
          <w:rFonts w:ascii="Calibri" w:hAnsi="Calibri"/>
          <w:color w:val="231F20"/>
          <w:spacing w:val="-3"/>
          <w:w w:val="105"/>
        </w:rPr>
        <w:t xml:space="preserve">Type </w:t>
      </w:r>
      <w:r w:rsidRPr="00CD1C1C">
        <w:rPr>
          <w:rFonts w:ascii="Calibri" w:hAnsi="Calibri"/>
          <w:color w:val="231F20"/>
          <w:w w:val="105"/>
        </w:rPr>
        <w:t>of job matches personal abilities: 82.88</w:t>
      </w:r>
      <w:r w:rsidRPr="00CD1C1C">
        <w:rPr>
          <w:rFonts w:ascii="Calibri" w:hAnsi="Calibri"/>
          <w:color w:val="231F20"/>
          <w:spacing w:val="43"/>
          <w:w w:val="105"/>
        </w:rPr>
        <w:t xml:space="preserve"> </w:t>
      </w:r>
      <w:r w:rsidRPr="00CD1C1C">
        <w:rPr>
          <w:rFonts w:ascii="Calibri" w:hAnsi="Calibri"/>
          <w:color w:val="231F20"/>
          <w:w w:val="105"/>
        </w:rPr>
        <w:t>percent</w:t>
      </w:r>
    </w:p>
    <w:p w14:paraId="3E79943E" w14:textId="77777777" w:rsidR="00CD1C1C" w:rsidRPr="00CD1C1C" w:rsidRDefault="00CD1C1C" w:rsidP="00D63204">
      <w:pPr>
        <w:pStyle w:val="ListParagraph"/>
        <w:widowControl w:val="0"/>
        <w:spacing w:after="0" w:line="264" w:lineRule="exact"/>
        <w:ind w:left="827" w:right="281"/>
        <w:rPr>
          <w:rFonts w:ascii="Calibri" w:hAnsi="Calibri"/>
          <w:color w:val="231F20"/>
          <w:w w:val="105"/>
        </w:rPr>
      </w:pPr>
    </w:p>
    <w:p w14:paraId="5938F6E6" w14:textId="77777777" w:rsidR="00CD1C1C" w:rsidRPr="00CD1C1C" w:rsidRDefault="00CD1C1C" w:rsidP="00D63204">
      <w:pPr>
        <w:pStyle w:val="ListParagraph"/>
        <w:widowControl w:val="0"/>
        <w:numPr>
          <w:ilvl w:val="0"/>
          <w:numId w:val="79"/>
        </w:numPr>
        <w:spacing w:before="58" w:after="0" w:line="264" w:lineRule="exact"/>
        <w:ind w:right="281"/>
        <w:rPr>
          <w:rFonts w:ascii="Calibri" w:hAnsi="Calibri"/>
          <w:color w:val="231F20"/>
          <w:w w:val="105"/>
        </w:rPr>
      </w:pPr>
      <w:r w:rsidRPr="00CD1C1C">
        <w:rPr>
          <w:rFonts w:ascii="Calibri" w:hAnsi="Calibri"/>
          <w:color w:val="231F20"/>
          <w:spacing w:val="-3"/>
          <w:w w:val="105"/>
        </w:rPr>
        <w:t xml:space="preserve">Work </w:t>
      </w:r>
      <w:r w:rsidRPr="00CD1C1C">
        <w:rPr>
          <w:rFonts w:ascii="Calibri" w:hAnsi="Calibri"/>
          <w:color w:val="231F20"/>
          <w:w w:val="105"/>
        </w:rPr>
        <w:t>location/available transportation: 78.31</w:t>
      </w:r>
      <w:r w:rsidRPr="00CD1C1C">
        <w:rPr>
          <w:rFonts w:ascii="Calibri" w:hAnsi="Calibri"/>
          <w:color w:val="231F20"/>
          <w:spacing w:val="22"/>
          <w:w w:val="105"/>
        </w:rPr>
        <w:t xml:space="preserve"> </w:t>
      </w:r>
      <w:r w:rsidRPr="00CD1C1C">
        <w:rPr>
          <w:rFonts w:ascii="Calibri" w:hAnsi="Calibri"/>
          <w:color w:val="231F20"/>
          <w:w w:val="105"/>
        </w:rPr>
        <w:t>percent</w:t>
      </w:r>
    </w:p>
    <w:p w14:paraId="7964B05D" w14:textId="77777777" w:rsidR="00CD1C1C" w:rsidRPr="00CD1C1C" w:rsidRDefault="00CD1C1C" w:rsidP="00D63204">
      <w:pPr>
        <w:pStyle w:val="ListParagraph"/>
        <w:widowControl w:val="0"/>
        <w:spacing w:before="58" w:after="0" w:line="264" w:lineRule="exact"/>
        <w:ind w:left="827" w:right="281"/>
        <w:rPr>
          <w:rFonts w:ascii="Calibri" w:hAnsi="Calibri"/>
          <w:color w:val="231F20"/>
          <w:w w:val="105"/>
        </w:rPr>
      </w:pPr>
    </w:p>
    <w:p w14:paraId="26CEE5AF" w14:textId="77777777" w:rsidR="00CD1C1C" w:rsidRPr="00CD1C1C" w:rsidRDefault="00CD1C1C" w:rsidP="00D63204">
      <w:pPr>
        <w:pStyle w:val="ListParagraph"/>
        <w:widowControl w:val="0"/>
        <w:numPr>
          <w:ilvl w:val="0"/>
          <w:numId w:val="79"/>
        </w:numPr>
        <w:spacing w:before="58" w:after="0" w:line="264" w:lineRule="exact"/>
        <w:ind w:right="281"/>
        <w:rPr>
          <w:rFonts w:ascii="Calibri" w:hAnsi="Calibri"/>
          <w:color w:val="231F20"/>
          <w:w w:val="105"/>
        </w:rPr>
      </w:pPr>
      <w:r w:rsidRPr="00CD1C1C">
        <w:rPr>
          <w:rFonts w:ascii="Calibri" w:hAnsi="Calibri"/>
          <w:color w:val="231F20"/>
          <w:spacing w:val="-3"/>
          <w:w w:val="105"/>
        </w:rPr>
        <w:t xml:space="preserve">Work </w:t>
      </w:r>
      <w:r w:rsidRPr="00CD1C1C">
        <w:rPr>
          <w:rFonts w:ascii="Calibri" w:hAnsi="Calibri"/>
          <w:color w:val="231F20"/>
          <w:w w:val="105"/>
        </w:rPr>
        <w:t>environment (culture): 72.67</w:t>
      </w:r>
      <w:r w:rsidRPr="00CD1C1C">
        <w:rPr>
          <w:rFonts w:ascii="Calibri" w:hAnsi="Calibri"/>
          <w:color w:val="231F20"/>
          <w:spacing w:val="19"/>
          <w:w w:val="105"/>
        </w:rPr>
        <w:t xml:space="preserve"> </w:t>
      </w:r>
      <w:r w:rsidRPr="00CD1C1C">
        <w:rPr>
          <w:rFonts w:ascii="Calibri" w:hAnsi="Calibri"/>
          <w:color w:val="231F20"/>
          <w:w w:val="105"/>
        </w:rPr>
        <w:t>percent</w:t>
      </w:r>
    </w:p>
    <w:p w14:paraId="6A4E34D3" w14:textId="77777777" w:rsidR="00CD1C1C" w:rsidRPr="00CD1C1C" w:rsidRDefault="00CD1C1C" w:rsidP="00D63204">
      <w:pPr>
        <w:pStyle w:val="ListParagraph"/>
        <w:widowControl w:val="0"/>
        <w:spacing w:before="58" w:after="0" w:line="264" w:lineRule="exact"/>
        <w:ind w:left="827" w:right="281"/>
        <w:rPr>
          <w:rFonts w:ascii="Calibri" w:hAnsi="Calibri"/>
          <w:color w:val="231F20"/>
          <w:w w:val="105"/>
        </w:rPr>
      </w:pPr>
    </w:p>
    <w:p w14:paraId="554D8314" w14:textId="77777777" w:rsidR="00CD1C1C" w:rsidRPr="00CD1C1C" w:rsidRDefault="00CD1C1C" w:rsidP="00D63204">
      <w:pPr>
        <w:pStyle w:val="ListParagraph"/>
        <w:widowControl w:val="0"/>
        <w:numPr>
          <w:ilvl w:val="0"/>
          <w:numId w:val="79"/>
        </w:numPr>
        <w:spacing w:before="58" w:after="0" w:line="264" w:lineRule="exact"/>
        <w:ind w:right="281"/>
        <w:rPr>
          <w:rFonts w:ascii="Calibri" w:hAnsi="Calibri" w:cs="Calibri"/>
          <w:color w:val="231F20"/>
        </w:rPr>
      </w:pPr>
      <w:r w:rsidRPr="00CD1C1C">
        <w:rPr>
          <w:rFonts w:ascii="Calibri" w:hAnsi="Calibri"/>
          <w:color w:val="231F20"/>
          <w:w w:val="110"/>
        </w:rPr>
        <w:t>Wages or salary: 63.96</w:t>
      </w:r>
      <w:r w:rsidRPr="00CD1C1C">
        <w:rPr>
          <w:rFonts w:ascii="Calibri" w:hAnsi="Calibri"/>
          <w:color w:val="231F20"/>
          <w:spacing w:val="6"/>
          <w:w w:val="110"/>
        </w:rPr>
        <w:t xml:space="preserve"> </w:t>
      </w:r>
      <w:r w:rsidRPr="00CD1C1C">
        <w:rPr>
          <w:rFonts w:ascii="Calibri" w:hAnsi="Calibri"/>
          <w:color w:val="231F20"/>
          <w:w w:val="110"/>
        </w:rPr>
        <w:t>percent</w:t>
      </w:r>
    </w:p>
    <w:p w14:paraId="19AA7CD8" w14:textId="77777777" w:rsidR="00CD1C1C" w:rsidRPr="00CD1C1C" w:rsidRDefault="00CD1C1C" w:rsidP="00D63204">
      <w:pPr>
        <w:pStyle w:val="ListParagraph"/>
        <w:widowControl w:val="0"/>
        <w:spacing w:before="58" w:after="0" w:line="264" w:lineRule="exact"/>
        <w:ind w:left="827" w:right="281"/>
        <w:rPr>
          <w:rFonts w:ascii="Calibri" w:hAnsi="Calibri" w:cs="Calibri"/>
          <w:color w:val="231F20"/>
        </w:rPr>
      </w:pPr>
    </w:p>
    <w:p w14:paraId="3C84377F" w14:textId="77777777" w:rsidR="00CD1C1C" w:rsidRDefault="00CD1C1C" w:rsidP="00D63204">
      <w:pPr>
        <w:widowControl w:val="0"/>
        <w:spacing w:before="83" w:after="0" w:line="264" w:lineRule="exact"/>
        <w:ind w:left="107" w:right="281"/>
        <w:rPr>
          <w:rFonts w:ascii="Calibri" w:hAnsi="Calibri"/>
        </w:rPr>
      </w:pPr>
      <w:r w:rsidRPr="00CD1C1C">
        <w:rPr>
          <w:rFonts w:ascii="Calibri" w:hAnsi="Calibri"/>
          <w:color w:val="231F20"/>
          <w:w w:val="105"/>
        </w:rPr>
        <w:t>Highest</w:t>
      </w:r>
      <w:r w:rsidRPr="00CD1C1C">
        <w:rPr>
          <w:rFonts w:ascii="Calibri" w:hAnsi="Calibri"/>
          <w:color w:val="231F20"/>
          <w:spacing w:val="15"/>
          <w:w w:val="105"/>
        </w:rPr>
        <w:t xml:space="preserve"> </w:t>
      </w:r>
      <w:r w:rsidRPr="00CD1C1C">
        <w:rPr>
          <w:rFonts w:ascii="Calibri" w:hAnsi="Calibri"/>
          <w:color w:val="231F20"/>
          <w:w w:val="105"/>
        </w:rPr>
        <w:t>rated</w:t>
      </w:r>
      <w:r w:rsidRPr="00CD1C1C">
        <w:rPr>
          <w:rFonts w:ascii="Calibri" w:hAnsi="Calibri"/>
          <w:color w:val="231F20"/>
          <w:spacing w:val="15"/>
          <w:w w:val="105"/>
        </w:rPr>
        <w:t xml:space="preserve"> </w:t>
      </w:r>
      <w:r w:rsidRPr="00CD1C1C">
        <w:rPr>
          <w:rFonts w:ascii="Calibri" w:hAnsi="Calibri"/>
          <w:color w:val="231F20"/>
          <w:w w:val="105"/>
        </w:rPr>
        <w:t>services</w:t>
      </w:r>
      <w:r w:rsidRPr="00CD1C1C">
        <w:rPr>
          <w:rFonts w:ascii="Calibri" w:hAnsi="Calibri"/>
          <w:color w:val="231F20"/>
          <w:spacing w:val="15"/>
          <w:w w:val="105"/>
        </w:rPr>
        <w:t xml:space="preserve"> </w:t>
      </w:r>
      <w:r w:rsidRPr="00CD1C1C">
        <w:rPr>
          <w:rFonts w:ascii="Calibri" w:hAnsi="Calibri"/>
          <w:color w:val="231F20"/>
          <w:w w:val="105"/>
        </w:rPr>
        <w:t>in</w:t>
      </w:r>
      <w:r w:rsidRPr="00CD1C1C">
        <w:rPr>
          <w:rFonts w:ascii="Calibri" w:hAnsi="Calibri"/>
          <w:color w:val="231F20"/>
          <w:spacing w:val="15"/>
          <w:w w:val="105"/>
        </w:rPr>
        <w:t xml:space="preserve"> </w:t>
      </w:r>
      <w:r w:rsidRPr="00CD1C1C">
        <w:rPr>
          <w:rFonts w:ascii="Calibri" w:hAnsi="Calibri"/>
          <w:color w:val="231F20"/>
          <w:w w:val="105"/>
        </w:rPr>
        <w:t>the</w:t>
      </w:r>
      <w:r w:rsidRPr="00CD1C1C">
        <w:rPr>
          <w:rFonts w:ascii="Calibri" w:hAnsi="Calibri"/>
          <w:color w:val="231F20"/>
          <w:spacing w:val="15"/>
          <w:w w:val="105"/>
        </w:rPr>
        <w:t xml:space="preserve"> </w:t>
      </w:r>
      <w:r w:rsidRPr="00CD1C1C">
        <w:rPr>
          <w:rFonts w:ascii="Calibri" w:hAnsi="Calibri"/>
          <w:color w:val="231F20"/>
          <w:w w:val="105"/>
        </w:rPr>
        <w:t>survey</w:t>
      </w:r>
      <w:r w:rsidRPr="00CD1C1C">
        <w:rPr>
          <w:rFonts w:ascii="Calibri" w:hAnsi="Calibri"/>
          <w:color w:val="231F20"/>
          <w:spacing w:val="15"/>
          <w:w w:val="105"/>
        </w:rPr>
        <w:t xml:space="preserve"> </w:t>
      </w:r>
      <w:r w:rsidRPr="00CD1C1C">
        <w:rPr>
          <w:rFonts w:ascii="Calibri" w:hAnsi="Calibri"/>
          <w:color w:val="231F20"/>
          <w:w w:val="105"/>
        </w:rPr>
        <w:t>item</w:t>
      </w:r>
      <w:r w:rsidRPr="00CD1C1C">
        <w:rPr>
          <w:rFonts w:ascii="Calibri" w:hAnsi="Calibri"/>
          <w:color w:val="231F20"/>
          <w:spacing w:val="15"/>
          <w:w w:val="105"/>
        </w:rPr>
        <w:t xml:space="preserve"> </w:t>
      </w:r>
      <w:r w:rsidRPr="00CD1C1C">
        <w:rPr>
          <w:rFonts w:ascii="Calibri" w:hAnsi="Calibri"/>
          <w:color w:val="231F20"/>
          <w:w w:val="105"/>
        </w:rPr>
        <w:t>addressing</w:t>
      </w:r>
      <w:r w:rsidRPr="00CD1C1C">
        <w:rPr>
          <w:rFonts w:ascii="Calibri" w:hAnsi="Calibri"/>
          <w:color w:val="231F20"/>
          <w:spacing w:val="14"/>
          <w:w w:val="105"/>
        </w:rPr>
        <w:t xml:space="preserve"> the </w:t>
      </w:r>
      <w:r w:rsidRPr="00F55C20">
        <w:rPr>
          <w:rFonts w:ascii="Calibri" w:hAnsi="Calibri"/>
          <w:color w:val="231F20"/>
          <w:w w:val="105"/>
        </w:rPr>
        <w:t>Importance</w:t>
      </w:r>
      <w:r w:rsidRPr="00F55C20">
        <w:rPr>
          <w:rFonts w:ascii="Calibri" w:hAnsi="Calibri"/>
          <w:color w:val="231F20"/>
          <w:spacing w:val="15"/>
          <w:w w:val="105"/>
        </w:rPr>
        <w:t xml:space="preserve"> </w:t>
      </w:r>
      <w:r w:rsidRPr="00F55C20">
        <w:rPr>
          <w:rFonts w:ascii="Calibri" w:hAnsi="Calibri"/>
          <w:color w:val="231F20"/>
          <w:w w:val="105"/>
        </w:rPr>
        <w:t>of</w:t>
      </w:r>
      <w:r w:rsidRPr="00F55C20">
        <w:rPr>
          <w:rFonts w:ascii="Calibri" w:hAnsi="Calibri"/>
          <w:color w:val="231F20"/>
          <w:spacing w:val="15"/>
          <w:w w:val="105"/>
        </w:rPr>
        <w:t xml:space="preserve"> </w:t>
      </w:r>
      <w:r w:rsidRPr="00F55C20">
        <w:rPr>
          <w:rFonts w:ascii="Calibri" w:hAnsi="Calibri"/>
          <w:color w:val="231F20"/>
          <w:w w:val="105"/>
        </w:rPr>
        <w:t>VR</w:t>
      </w:r>
      <w:r w:rsidRPr="00F55C20">
        <w:rPr>
          <w:rFonts w:ascii="Calibri" w:hAnsi="Calibri"/>
          <w:color w:val="231F20"/>
          <w:spacing w:val="15"/>
          <w:w w:val="105"/>
        </w:rPr>
        <w:t xml:space="preserve"> </w:t>
      </w:r>
      <w:r w:rsidRPr="00F55C20">
        <w:rPr>
          <w:rFonts w:ascii="Calibri" w:hAnsi="Calibri"/>
          <w:color w:val="231F20"/>
          <w:w w:val="105"/>
        </w:rPr>
        <w:t>services</w:t>
      </w:r>
      <w:r w:rsidRPr="00CD1C1C">
        <w:rPr>
          <w:rFonts w:ascii="Calibri" w:hAnsi="Calibri"/>
          <w:color w:val="231F20"/>
          <w:w w:val="105"/>
        </w:rPr>
        <w:t xml:space="preserve"> to</w:t>
      </w:r>
      <w:r w:rsidRPr="00CD1C1C">
        <w:rPr>
          <w:rFonts w:ascii="Calibri" w:hAnsi="Calibri"/>
          <w:color w:val="231F20"/>
          <w:spacing w:val="15"/>
          <w:w w:val="105"/>
        </w:rPr>
        <w:t xml:space="preserve"> </w:t>
      </w:r>
      <w:r w:rsidRPr="00CD1C1C">
        <w:rPr>
          <w:rFonts w:ascii="Calibri" w:hAnsi="Calibri"/>
          <w:color w:val="231F20"/>
          <w:w w:val="105"/>
        </w:rPr>
        <w:t>job</w:t>
      </w:r>
      <w:r w:rsidRPr="00CD1C1C">
        <w:rPr>
          <w:rFonts w:ascii="Calibri" w:hAnsi="Calibri"/>
          <w:color w:val="231F20"/>
          <w:spacing w:val="15"/>
          <w:w w:val="105"/>
        </w:rPr>
        <w:t xml:space="preserve"> </w:t>
      </w:r>
      <w:r w:rsidRPr="00CD1C1C">
        <w:rPr>
          <w:rFonts w:ascii="Calibri" w:hAnsi="Calibri"/>
          <w:color w:val="231F20"/>
          <w:w w:val="105"/>
        </w:rPr>
        <w:t>seekers</w:t>
      </w:r>
      <w:r w:rsidRPr="00CD1C1C">
        <w:rPr>
          <w:rFonts w:ascii="Calibri" w:hAnsi="Calibri"/>
          <w:color w:val="231F20"/>
          <w:spacing w:val="15"/>
          <w:w w:val="105"/>
        </w:rPr>
        <w:t xml:space="preserve"> </w:t>
      </w:r>
      <w:r w:rsidRPr="00CD1C1C">
        <w:rPr>
          <w:rFonts w:ascii="Calibri" w:hAnsi="Calibri"/>
          <w:color w:val="231F20"/>
          <w:w w:val="105"/>
        </w:rPr>
        <w:t>with</w:t>
      </w:r>
      <w:r w:rsidRPr="00CD1C1C">
        <w:rPr>
          <w:rFonts w:ascii="Calibri" w:hAnsi="Calibri"/>
          <w:color w:val="231F20"/>
          <w:spacing w:val="41"/>
          <w:w w:val="105"/>
        </w:rPr>
        <w:t xml:space="preserve"> </w:t>
      </w:r>
      <w:r w:rsidRPr="00CD1C1C">
        <w:rPr>
          <w:rFonts w:ascii="Calibri" w:hAnsi="Calibri"/>
          <w:color w:val="231F20"/>
          <w:w w:val="105"/>
        </w:rPr>
        <w:t>disabilities</w:t>
      </w:r>
      <w:r w:rsidRPr="00CD1C1C">
        <w:rPr>
          <w:rFonts w:ascii="Calibri" w:hAnsi="Calibri"/>
          <w:color w:val="231F20"/>
          <w:spacing w:val="14"/>
          <w:w w:val="105"/>
        </w:rPr>
        <w:t xml:space="preserve"> </w:t>
      </w:r>
      <w:r w:rsidRPr="00CD1C1C">
        <w:rPr>
          <w:rFonts w:ascii="Calibri" w:hAnsi="Calibri"/>
          <w:color w:val="231F20"/>
          <w:w w:val="105"/>
        </w:rPr>
        <w:t>(percent</w:t>
      </w:r>
      <w:r w:rsidRPr="00CD1C1C">
        <w:rPr>
          <w:rFonts w:ascii="Calibri" w:hAnsi="Calibri"/>
          <w:color w:val="231F20"/>
          <w:spacing w:val="14"/>
          <w:w w:val="105"/>
        </w:rPr>
        <w:t xml:space="preserve"> </w:t>
      </w:r>
      <w:r w:rsidRPr="00CD1C1C">
        <w:rPr>
          <w:rFonts w:ascii="Calibri" w:hAnsi="Calibri"/>
          <w:color w:val="231F20"/>
          <w:w w:val="105"/>
        </w:rPr>
        <w:t>out</w:t>
      </w:r>
      <w:r w:rsidRPr="00CD1C1C">
        <w:rPr>
          <w:rFonts w:ascii="Calibri" w:hAnsi="Calibri"/>
          <w:color w:val="231F20"/>
          <w:spacing w:val="14"/>
          <w:w w:val="105"/>
        </w:rPr>
        <w:t xml:space="preserve"> </w:t>
      </w:r>
      <w:r w:rsidRPr="00CD1C1C">
        <w:rPr>
          <w:rFonts w:ascii="Calibri" w:hAnsi="Calibri"/>
          <w:color w:val="231F20"/>
          <w:w w:val="105"/>
        </w:rPr>
        <w:t>of</w:t>
      </w:r>
      <w:r w:rsidRPr="00CD1C1C">
        <w:rPr>
          <w:rFonts w:ascii="Calibri" w:hAnsi="Calibri"/>
          <w:color w:val="231F20"/>
          <w:spacing w:val="14"/>
          <w:w w:val="105"/>
        </w:rPr>
        <w:t xml:space="preserve"> </w:t>
      </w:r>
      <w:r w:rsidRPr="00CD1C1C">
        <w:rPr>
          <w:rFonts w:ascii="Calibri" w:hAnsi="Calibri"/>
          <w:color w:val="231F20"/>
          <w:w w:val="105"/>
        </w:rPr>
        <w:t>total</w:t>
      </w:r>
      <w:r w:rsidRPr="00CD1C1C">
        <w:rPr>
          <w:rFonts w:ascii="Calibri" w:hAnsi="Calibri"/>
          <w:color w:val="231F20"/>
          <w:spacing w:val="14"/>
          <w:w w:val="105"/>
        </w:rPr>
        <w:t xml:space="preserve"> </w:t>
      </w:r>
      <w:r w:rsidRPr="00CD1C1C">
        <w:rPr>
          <w:rFonts w:ascii="Calibri" w:hAnsi="Calibri"/>
          <w:color w:val="231F20"/>
          <w:w w:val="105"/>
        </w:rPr>
        <w:t>responses)</w:t>
      </w:r>
      <w:r w:rsidRPr="00CD1C1C">
        <w:rPr>
          <w:rFonts w:ascii="Calibri" w:hAnsi="Calibri"/>
          <w:color w:val="231F20"/>
          <w:spacing w:val="14"/>
          <w:w w:val="105"/>
        </w:rPr>
        <w:t xml:space="preserve"> </w:t>
      </w:r>
      <w:r w:rsidRPr="00CD1C1C">
        <w:rPr>
          <w:rFonts w:ascii="Calibri" w:hAnsi="Calibri"/>
          <w:color w:val="231F20"/>
          <w:w w:val="105"/>
        </w:rPr>
        <w:t>included</w:t>
      </w:r>
      <w:r w:rsidRPr="00CD1C1C">
        <w:rPr>
          <w:rFonts w:ascii="Calibri" w:hAnsi="Calibri"/>
          <w:color w:val="231F20"/>
          <w:spacing w:val="14"/>
          <w:w w:val="105"/>
        </w:rPr>
        <w:t xml:space="preserve"> </w:t>
      </w:r>
      <w:r w:rsidRPr="00CD1C1C">
        <w:rPr>
          <w:rFonts w:ascii="Calibri" w:hAnsi="Calibri"/>
          <w:color w:val="231F20"/>
          <w:w w:val="105"/>
        </w:rPr>
        <w:t>the</w:t>
      </w:r>
      <w:r w:rsidRPr="00CD1C1C">
        <w:rPr>
          <w:rFonts w:ascii="Calibri" w:hAnsi="Calibri"/>
          <w:color w:val="231F20"/>
          <w:spacing w:val="14"/>
          <w:w w:val="105"/>
        </w:rPr>
        <w:t xml:space="preserve"> </w:t>
      </w:r>
      <w:r w:rsidRPr="00CD1C1C">
        <w:rPr>
          <w:rFonts w:ascii="Calibri" w:hAnsi="Calibri"/>
          <w:color w:val="231F20"/>
          <w:w w:val="105"/>
        </w:rPr>
        <w:t>following</w:t>
      </w:r>
      <w:r w:rsidRPr="00CD1C1C">
        <w:rPr>
          <w:rFonts w:ascii="Calibri" w:hAnsi="Calibri"/>
          <w:color w:val="231F20"/>
          <w:spacing w:val="14"/>
          <w:w w:val="105"/>
        </w:rPr>
        <w:t xml:space="preserve"> </w:t>
      </w:r>
      <w:r w:rsidRPr="00CD1C1C">
        <w:rPr>
          <w:rFonts w:ascii="Calibri" w:hAnsi="Calibri"/>
          <w:color w:val="231F20"/>
          <w:w w:val="105"/>
        </w:rPr>
        <w:t>three</w:t>
      </w:r>
      <w:r w:rsidRPr="00CD1C1C">
        <w:rPr>
          <w:rFonts w:ascii="Calibri" w:hAnsi="Calibri"/>
          <w:color w:val="231F20"/>
          <w:spacing w:val="14"/>
          <w:w w:val="105"/>
        </w:rPr>
        <w:t xml:space="preserve"> </w:t>
      </w:r>
      <w:r w:rsidRPr="00CD1C1C">
        <w:rPr>
          <w:rFonts w:ascii="Calibri" w:hAnsi="Calibri"/>
          <w:color w:val="231F20"/>
          <w:w w:val="105"/>
        </w:rPr>
        <w:t>services.</w:t>
      </w:r>
      <w:r w:rsidRPr="00CD1C1C">
        <w:rPr>
          <w:rFonts w:ascii="Calibri" w:hAnsi="Calibri"/>
          <w:color w:val="231F20"/>
          <w:spacing w:val="28"/>
          <w:w w:val="105"/>
        </w:rPr>
        <w:t xml:space="preserve"> </w:t>
      </w:r>
      <w:r w:rsidRPr="00CD1C1C">
        <w:rPr>
          <w:rFonts w:ascii="Calibri" w:hAnsi="Calibri"/>
          <w:color w:val="231F20"/>
          <w:w w:val="105"/>
        </w:rPr>
        <w:t>These</w:t>
      </w:r>
      <w:r w:rsidRPr="00CD1C1C">
        <w:rPr>
          <w:rFonts w:ascii="Calibri" w:hAnsi="Calibri"/>
          <w:color w:val="231F20"/>
          <w:spacing w:val="14"/>
          <w:w w:val="105"/>
        </w:rPr>
        <w:t xml:space="preserve"> </w:t>
      </w:r>
      <w:r w:rsidRPr="00CD1C1C">
        <w:rPr>
          <w:rFonts w:ascii="Calibri" w:hAnsi="Calibri"/>
          <w:color w:val="231F20"/>
          <w:w w:val="105"/>
        </w:rPr>
        <w:t>three</w:t>
      </w:r>
      <w:r w:rsidRPr="00CD1C1C">
        <w:rPr>
          <w:rFonts w:ascii="Calibri" w:hAnsi="Calibri"/>
          <w:color w:val="231F20"/>
          <w:spacing w:val="14"/>
          <w:w w:val="105"/>
        </w:rPr>
        <w:t xml:space="preserve"> </w:t>
      </w:r>
      <w:r w:rsidRPr="00CD1C1C">
        <w:rPr>
          <w:rFonts w:ascii="Calibri" w:hAnsi="Calibri"/>
          <w:color w:val="231F20"/>
          <w:w w:val="105"/>
        </w:rPr>
        <w:t>services</w:t>
      </w:r>
      <w:r w:rsidRPr="00CD1C1C">
        <w:rPr>
          <w:rFonts w:ascii="Calibri" w:hAnsi="Calibri"/>
          <w:color w:val="231F20"/>
          <w:spacing w:val="-26"/>
          <w:w w:val="105"/>
        </w:rPr>
        <w:t xml:space="preserve"> </w:t>
      </w:r>
      <w:r w:rsidRPr="00CD1C1C">
        <w:rPr>
          <w:rFonts w:ascii="Calibri" w:hAnsi="Calibri"/>
          <w:color w:val="231F20"/>
          <w:w w:val="105"/>
        </w:rPr>
        <w:t>were</w:t>
      </w:r>
      <w:r w:rsidRPr="00CD1C1C">
        <w:rPr>
          <w:rFonts w:ascii="Calibri" w:hAnsi="Calibri"/>
          <w:color w:val="231F20"/>
          <w:spacing w:val="18"/>
          <w:w w:val="105"/>
        </w:rPr>
        <w:t xml:space="preserve"> </w:t>
      </w:r>
      <w:r w:rsidRPr="00CD1C1C">
        <w:rPr>
          <w:rFonts w:ascii="Calibri" w:hAnsi="Calibri"/>
          <w:color w:val="231F20"/>
          <w:w w:val="105"/>
        </w:rPr>
        <w:t>consistently</w:t>
      </w:r>
      <w:r w:rsidRPr="00CD1C1C">
        <w:rPr>
          <w:rFonts w:ascii="Calibri" w:hAnsi="Calibri"/>
          <w:color w:val="231F20"/>
          <w:spacing w:val="18"/>
          <w:w w:val="105"/>
        </w:rPr>
        <w:t xml:space="preserve"> </w:t>
      </w:r>
      <w:r w:rsidRPr="00CD1C1C">
        <w:rPr>
          <w:rFonts w:ascii="Calibri" w:hAnsi="Calibri"/>
          <w:color w:val="231F20"/>
          <w:w w:val="105"/>
        </w:rPr>
        <w:t>rated</w:t>
      </w:r>
      <w:r w:rsidRPr="00CD1C1C">
        <w:rPr>
          <w:rFonts w:ascii="Calibri" w:hAnsi="Calibri"/>
          <w:color w:val="231F20"/>
          <w:spacing w:val="18"/>
          <w:w w:val="105"/>
        </w:rPr>
        <w:t xml:space="preserve"> </w:t>
      </w:r>
      <w:r w:rsidRPr="00CD1C1C">
        <w:rPr>
          <w:rFonts w:ascii="Calibri" w:hAnsi="Calibri"/>
          <w:color w:val="231F20"/>
          <w:w w:val="105"/>
        </w:rPr>
        <w:t>highest</w:t>
      </w:r>
      <w:r w:rsidRPr="00CD1C1C">
        <w:rPr>
          <w:rFonts w:ascii="Calibri" w:hAnsi="Calibri"/>
          <w:color w:val="231F20"/>
          <w:spacing w:val="18"/>
          <w:w w:val="105"/>
        </w:rPr>
        <w:t xml:space="preserve"> </w:t>
      </w:r>
      <w:r w:rsidRPr="00CD1C1C">
        <w:rPr>
          <w:rFonts w:ascii="Calibri" w:hAnsi="Calibri"/>
          <w:color w:val="231F20"/>
          <w:w w:val="105"/>
        </w:rPr>
        <w:t>across</w:t>
      </w:r>
      <w:r w:rsidRPr="00CD1C1C">
        <w:rPr>
          <w:rFonts w:ascii="Calibri" w:hAnsi="Calibri"/>
          <w:color w:val="231F20"/>
          <w:spacing w:val="18"/>
          <w:w w:val="105"/>
        </w:rPr>
        <w:t xml:space="preserve"> </w:t>
      </w:r>
      <w:r w:rsidRPr="00CD1C1C">
        <w:rPr>
          <w:rFonts w:ascii="Calibri" w:hAnsi="Calibri"/>
          <w:color w:val="231F20"/>
          <w:w w:val="105"/>
        </w:rPr>
        <w:t>items</w:t>
      </w:r>
      <w:r w:rsidRPr="00CD1C1C">
        <w:rPr>
          <w:rFonts w:ascii="Calibri" w:hAnsi="Calibri"/>
          <w:color w:val="231F20"/>
          <w:spacing w:val="18"/>
          <w:w w:val="105"/>
        </w:rPr>
        <w:t xml:space="preserve"> </w:t>
      </w:r>
      <w:r w:rsidRPr="00CD1C1C">
        <w:rPr>
          <w:rFonts w:ascii="Calibri" w:hAnsi="Calibri"/>
          <w:color w:val="231F20"/>
          <w:w w:val="105"/>
        </w:rPr>
        <w:t>polling</w:t>
      </w:r>
      <w:r w:rsidRPr="00CD1C1C">
        <w:rPr>
          <w:rFonts w:ascii="Calibri" w:hAnsi="Calibri"/>
          <w:color w:val="231F20"/>
          <w:spacing w:val="17"/>
          <w:w w:val="105"/>
        </w:rPr>
        <w:t xml:space="preserve"> </w:t>
      </w:r>
      <w:r w:rsidRPr="00CD1C1C">
        <w:rPr>
          <w:rFonts w:ascii="Calibri" w:hAnsi="Calibri"/>
          <w:i/>
          <w:color w:val="231F20"/>
          <w:w w:val="105"/>
        </w:rPr>
        <w:t>current</w:t>
      </w:r>
      <w:r w:rsidRPr="00CD1C1C">
        <w:rPr>
          <w:rFonts w:ascii="Calibri" w:hAnsi="Calibri"/>
          <w:i/>
          <w:color w:val="231F20"/>
          <w:spacing w:val="18"/>
          <w:w w:val="105"/>
        </w:rPr>
        <w:t xml:space="preserve"> </w:t>
      </w:r>
      <w:r w:rsidRPr="00CD1C1C">
        <w:rPr>
          <w:rFonts w:ascii="Calibri" w:hAnsi="Calibri"/>
          <w:i/>
          <w:color w:val="231F20"/>
          <w:w w:val="105"/>
        </w:rPr>
        <w:t>need</w:t>
      </w:r>
      <w:r w:rsidRPr="00CD1C1C">
        <w:rPr>
          <w:rFonts w:ascii="Calibri" w:hAnsi="Calibri"/>
          <w:i/>
          <w:color w:val="231F20"/>
          <w:spacing w:val="18"/>
          <w:w w:val="105"/>
        </w:rPr>
        <w:t xml:space="preserve"> </w:t>
      </w:r>
      <w:r w:rsidRPr="00CD1C1C">
        <w:rPr>
          <w:rFonts w:ascii="Calibri" w:hAnsi="Calibri"/>
          <w:color w:val="231F20"/>
          <w:w w:val="105"/>
        </w:rPr>
        <w:t>and</w:t>
      </w:r>
      <w:r w:rsidRPr="00CD1C1C">
        <w:rPr>
          <w:rFonts w:ascii="Calibri" w:hAnsi="Calibri"/>
          <w:color w:val="231F20"/>
          <w:spacing w:val="18"/>
          <w:w w:val="105"/>
        </w:rPr>
        <w:t xml:space="preserve"> </w:t>
      </w:r>
      <w:r w:rsidRPr="00CD1C1C">
        <w:rPr>
          <w:rFonts w:ascii="Calibri" w:hAnsi="Calibri"/>
          <w:i/>
          <w:color w:val="231F20"/>
          <w:w w:val="105"/>
        </w:rPr>
        <w:t>future</w:t>
      </w:r>
      <w:r w:rsidRPr="00CD1C1C">
        <w:rPr>
          <w:rFonts w:ascii="Calibri" w:hAnsi="Calibri"/>
          <w:i/>
          <w:color w:val="231F20"/>
          <w:spacing w:val="18"/>
          <w:w w:val="105"/>
        </w:rPr>
        <w:t xml:space="preserve"> </w:t>
      </w:r>
      <w:r w:rsidRPr="00CD1C1C">
        <w:rPr>
          <w:rFonts w:ascii="Calibri" w:hAnsi="Calibri"/>
          <w:i/>
          <w:color w:val="231F20"/>
          <w:w w:val="105"/>
        </w:rPr>
        <w:t>demand</w:t>
      </w:r>
      <w:r w:rsidRPr="00CD1C1C">
        <w:rPr>
          <w:rFonts w:ascii="Calibri" w:hAnsi="Calibri"/>
          <w:i/>
          <w:color w:val="231F20"/>
          <w:spacing w:val="18"/>
          <w:w w:val="105"/>
        </w:rPr>
        <w:t xml:space="preserve"> </w:t>
      </w:r>
      <w:r w:rsidRPr="00CD1C1C">
        <w:rPr>
          <w:rFonts w:ascii="Calibri" w:hAnsi="Calibri"/>
          <w:color w:val="231F20"/>
          <w:w w:val="105"/>
        </w:rPr>
        <w:t>for</w:t>
      </w:r>
      <w:r w:rsidRPr="00CD1C1C">
        <w:rPr>
          <w:rFonts w:ascii="Calibri" w:hAnsi="Calibri"/>
          <w:color w:val="231F20"/>
          <w:spacing w:val="18"/>
          <w:w w:val="105"/>
        </w:rPr>
        <w:t xml:space="preserve"> </w:t>
      </w:r>
      <w:r w:rsidRPr="00CD1C1C">
        <w:rPr>
          <w:rFonts w:ascii="Calibri" w:hAnsi="Calibri"/>
          <w:color w:val="231F20"/>
          <w:w w:val="105"/>
        </w:rPr>
        <w:t>vocational</w:t>
      </w:r>
      <w:r w:rsidRPr="00CD1C1C">
        <w:rPr>
          <w:rFonts w:ascii="Calibri" w:hAnsi="Calibri"/>
          <w:color w:val="231F20"/>
          <w:w w:val="106"/>
        </w:rPr>
        <w:t xml:space="preserve"> </w:t>
      </w:r>
      <w:r w:rsidRPr="00CD1C1C">
        <w:rPr>
          <w:rFonts w:ascii="Calibri" w:hAnsi="Calibri"/>
          <w:color w:val="231F20"/>
          <w:w w:val="105"/>
        </w:rPr>
        <w:t>rehabilitation</w:t>
      </w:r>
      <w:r w:rsidRPr="00CD1C1C">
        <w:rPr>
          <w:rFonts w:ascii="Calibri" w:hAnsi="Calibri"/>
          <w:color w:val="231F20"/>
          <w:spacing w:val="23"/>
          <w:w w:val="105"/>
        </w:rPr>
        <w:t xml:space="preserve"> </w:t>
      </w:r>
      <w:r w:rsidRPr="00CD1C1C">
        <w:rPr>
          <w:rFonts w:ascii="Calibri" w:hAnsi="Calibri"/>
          <w:color w:val="231F20"/>
          <w:w w:val="105"/>
        </w:rPr>
        <w:t>services.</w:t>
      </w:r>
    </w:p>
    <w:p w14:paraId="006CD4FD" w14:textId="77777777" w:rsidR="00176F64" w:rsidRDefault="00176F64" w:rsidP="00D63204">
      <w:pPr>
        <w:widowControl w:val="0"/>
        <w:spacing w:before="83" w:after="0" w:line="264" w:lineRule="exact"/>
        <w:ind w:left="107" w:right="281"/>
        <w:rPr>
          <w:rFonts w:ascii="Calibri" w:hAnsi="Calibri"/>
        </w:rPr>
      </w:pPr>
    </w:p>
    <w:p w14:paraId="02EBD30C" w14:textId="2C85F0CA" w:rsidR="00176F64" w:rsidRDefault="00002D76" w:rsidP="00D63204">
      <w:pPr>
        <w:pStyle w:val="ListParagraph"/>
        <w:widowControl w:val="0"/>
        <w:numPr>
          <w:ilvl w:val="0"/>
          <w:numId w:val="80"/>
        </w:numPr>
        <w:spacing w:before="83" w:after="0" w:line="264" w:lineRule="exact"/>
        <w:ind w:right="281"/>
        <w:rPr>
          <w:rFonts w:ascii="Calibri" w:hAnsi="Calibri"/>
          <w:color w:val="231F20"/>
          <w:w w:val="105"/>
        </w:rPr>
      </w:pPr>
      <w:r w:rsidRPr="00176F64">
        <w:rPr>
          <w:rFonts w:ascii="Calibri" w:hAnsi="Calibri"/>
          <w:color w:val="231F20"/>
          <w:w w:val="105"/>
        </w:rPr>
        <w:t>Job</w:t>
      </w:r>
      <w:r w:rsidRPr="00176F64">
        <w:rPr>
          <w:rFonts w:ascii="Calibri" w:hAnsi="Calibri"/>
          <w:color w:val="231F20"/>
          <w:spacing w:val="22"/>
          <w:w w:val="105"/>
        </w:rPr>
        <w:t xml:space="preserve"> </w:t>
      </w:r>
      <w:r w:rsidRPr="00176F64">
        <w:rPr>
          <w:rFonts w:ascii="Calibri" w:hAnsi="Calibri"/>
          <w:color w:val="231F20"/>
          <w:w w:val="105"/>
        </w:rPr>
        <w:t>Search,</w:t>
      </w:r>
      <w:r w:rsidRPr="00176F64">
        <w:rPr>
          <w:rFonts w:ascii="Calibri" w:hAnsi="Calibri"/>
          <w:color w:val="231F20"/>
          <w:spacing w:val="22"/>
          <w:w w:val="105"/>
        </w:rPr>
        <w:t xml:space="preserve"> </w:t>
      </w:r>
      <w:r w:rsidRPr="00176F64">
        <w:rPr>
          <w:rFonts w:ascii="Calibri" w:hAnsi="Calibri"/>
          <w:color w:val="231F20"/>
          <w:w w:val="105"/>
        </w:rPr>
        <w:t>Job</w:t>
      </w:r>
      <w:r w:rsidRPr="00176F64">
        <w:rPr>
          <w:rFonts w:ascii="Calibri" w:hAnsi="Calibri"/>
          <w:color w:val="231F20"/>
          <w:spacing w:val="22"/>
          <w:w w:val="105"/>
        </w:rPr>
        <w:t xml:space="preserve"> </w:t>
      </w:r>
      <w:r w:rsidRPr="00176F64">
        <w:rPr>
          <w:rFonts w:ascii="Calibri" w:hAnsi="Calibri"/>
          <w:color w:val="231F20"/>
          <w:w w:val="105"/>
        </w:rPr>
        <w:t>Placement</w:t>
      </w:r>
      <w:r w:rsidRPr="00176F64">
        <w:rPr>
          <w:rFonts w:ascii="Calibri" w:hAnsi="Calibri"/>
          <w:color w:val="231F20"/>
          <w:spacing w:val="22"/>
          <w:w w:val="105"/>
        </w:rPr>
        <w:t xml:space="preserve"> </w:t>
      </w:r>
      <w:r w:rsidRPr="00176F64">
        <w:rPr>
          <w:rFonts w:ascii="Calibri" w:hAnsi="Calibri"/>
          <w:color w:val="231F20"/>
          <w:w w:val="105"/>
        </w:rPr>
        <w:t>or</w:t>
      </w:r>
      <w:r w:rsidRPr="00176F64">
        <w:rPr>
          <w:rFonts w:ascii="Calibri" w:hAnsi="Calibri"/>
          <w:color w:val="231F20"/>
          <w:spacing w:val="22"/>
          <w:w w:val="105"/>
        </w:rPr>
        <w:t xml:space="preserve"> </w:t>
      </w:r>
      <w:r w:rsidRPr="00176F64">
        <w:rPr>
          <w:rFonts w:ascii="Calibri" w:hAnsi="Calibri"/>
          <w:color w:val="231F20"/>
          <w:w w:val="105"/>
        </w:rPr>
        <w:t>Job</w:t>
      </w:r>
      <w:r w:rsidRPr="00176F64">
        <w:rPr>
          <w:rFonts w:ascii="Calibri" w:hAnsi="Calibri"/>
          <w:color w:val="231F20"/>
          <w:spacing w:val="22"/>
          <w:w w:val="105"/>
        </w:rPr>
        <w:t xml:space="preserve"> </w:t>
      </w:r>
      <w:r w:rsidRPr="00176F64">
        <w:rPr>
          <w:rFonts w:ascii="Calibri" w:hAnsi="Calibri"/>
          <w:color w:val="231F20"/>
          <w:w w:val="105"/>
        </w:rPr>
        <w:t>Coaching</w:t>
      </w:r>
      <w:r w:rsidRPr="00176F64">
        <w:rPr>
          <w:rFonts w:ascii="Calibri" w:hAnsi="Calibri"/>
          <w:color w:val="231F20"/>
          <w:spacing w:val="22"/>
          <w:w w:val="105"/>
        </w:rPr>
        <w:t xml:space="preserve"> </w:t>
      </w:r>
      <w:r w:rsidRPr="00176F64">
        <w:rPr>
          <w:rFonts w:ascii="Calibri" w:hAnsi="Calibri"/>
          <w:color w:val="231F20"/>
          <w:w w:val="105"/>
        </w:rPr>
        <w:t>(e.g.,</w:t>
      </w:r>
      <w:r w:rsidRPr="00176F64">
        <w:rPr>
          <w:rFonts w:ascii="Calibri" w:hAnsi="Calibri"/>
          <w:color w:val="231F20"/>
          <w:spacing w:val="22"/>
          <w:w w:val="105"/>
        </w:rPr>
        <w:t xml:space="preserve"> </w:t>
      </w:r>
      <w:r w:rsidRPr="00176F64">
        <w:rPr>
          <w:rFonts w:ascii="Calibri" w:hAnsi="Calibri"/>
          <w:color w:val="231F20"/>
          <w:w w:val="105"/>
        </w:rPr>
        <w:t>help</w:t>
      </w:r>
      <w:r w:rsidRPr="00176F64">
        <w:rPr>
          <w:rFonts w:ascii="Calibri" w:hAnsi="Calibri"/>
          <w:color w:val="231F20"/>
          <w:spacing w:val="22"/>
          <w:w w:val="105"/>
        </w:rPr>
        <w:t xml:space="preserve"> </w:t>
      </w:r>
      <w:r w:rsidRPr="00176F64">
        <w:rPr>
          <w:rFonts w:ascii="Calibri" w:hAnsi="Calibri"/>
          <w:color w:val="231F20"/>
          <w:w w:val="105"/>
        </w:rPr>
        <w:t>with</w:t>
      </w:r>
      <w:r w:rsidRPr="00176F64">
        <w:rPr>
          <w:rFonts w:ascii="Calibri" w:hAnsi="Calibri"/>
          <w:color w:val="231F20"/>
          <w:spacing w:val="22"/>
          <w:w w:val="105"/>
        </w:rPr>
        <w:t xml:space="preserve"> </w:t>
      </w:r>
      <w:r w:rsidRPr="00176F64">
        <w:rPr>
          <w:rFonts w:ascii="Calibri" w:hAnsi="Calibri"/>
          <w:color w:val="231F20"/>
          <w:w w:val="105"/>
        </w:rPr>
        <w:t>resumes,</w:t>
      </w:r>
      <w:r w:rsidRPr="00176F64">
        <w:rPr>
          <w:rFonts w:ascii="Calibri" w:hAnsi="Calibri"/>
          <w:color w:val="231F20"/>
          <w:spacing w:val="22"/>
          <w:w w:val="105"/>
        </w:rPr>
        <w:t xml:space="preserve"> </w:t>
      </w:r>
      <w:r w:rsidRPr="00176F64">
        <w:rPr>
          <w:rFonts w:ascii="Calibri" w:hAnsi="Calibri"/>
          <w:color w:val="231F20"/>
          <w:w w:val="105"/>
        </w:rPr>
        <w:t>interviews,</w:t>
      </w:r>
      <w:r w:rsidRPr="00176F64">
        <w:rPr>
          <w:rFonts w:ascii="Calibri" w:hAnsi="Calibri"/>
          <w:color w:val="231F20"/>
          <w:spacing w:val="22"/>
          <w:w w:val="105"/>
        </w:rPr>
        <w:t xml:space="preserve"> </w:t>
      </w:r>
      <w:r w:rsidRPr="00176F64">
        <w:rPr>
          <w:rFonts w:ascii="Calibri" w:hAnsi="Calibri"/>
          <w:color w:val="231F20"/>
          <w:w w:val="105"/>
        </w:rPr>
        <w:t>job</w:t>
      </w:r>
      <w:r w:rsidRPr="00176F64">
        <w:rPr>
          <w:rFonts w:ascii="Calibri" w:hAnsi="Calibri"/>
          <w:color w:val="231F20"/>
          <w:spacing w:val="22"/>
          <w:w w:val="105"/>
        </w:rPr>
        <w:t xml:space="preserve"> </w:t>
      </w:r>
      <w:r w:rsidRPr="00176F64">
        <w:rPr>
          <w:rFonts w:ascii="Calibri" w:hAnsi="Calibri"/>
          <w:color w:val="231F20"/>
          <w:w w:val="105"/>
        </w:rPr>
        <w:t>development,</w:t>
      </w:r>
      <w:r w:rsidRPr="00176F64">
        <w:rPr>
          <w:rFonts w:ascii="Calibri" w:hAnsi="Calibri"/>
          <w:color w:val="231F20"/>
          <w:w w:val="106"/>
        </w:rPr>
        <w:t xml:space="preserve"> </w:t>
      </w:r>
      <w:r w:rsidRPr="00176F64">
        <w:rPr>
          <w:rFonts w:ascii="Calibri" w:hAnsi="Calibri"/>
          <w:color w:val="231F20"/>
          <w:w w:val="105"/>
        </w:rPr>
        <w:t>accommodations): 61.25</w:t>
      </w:r>
      <w:r w:rsidRPr="00176F64">
        <w:rPr>
          <w:rFonts w:ascii="Calibri" w:hAnsi="Calibri"/>
          <w:color w:val="231F20"/>
          <w:spacing w:val="9"/>
          <w:w w:val="105"/>
        </w:rPr>
        <w:t xml:space="preserve"> </w:t>
      </w:r>
      <w:r w:rsidRPr="00176F64">
        <w:rPr>
          <w:rFonts w:ascii="Calibri" w:hAnsi="Calibri"/>
          <w:color w:val="231F20"/>
          <w:w w:val="105"/>
        </w:rPr>
        <w:t>percent</w:t>
      </w:r>
    </w:p>
    <w:p w14:paraId="29732E7B" w14:textId="77777777" w:rsidR="00176F64" w:rsidRPr="00176F64" w:rsidRDefault="00176F64" w:rsidP="00D63204">
      <w:pPr>
        <w:pStyle w:val="ListParagraph"/>
        <w:widowControl w:val="0"/>
        <w:spacing w:before="83" w:after="0" w:line="264" w:lineRule="exact"/>
        <w:ind w:left="827" w:right="281"/>
        <w:rPr>
          <w:rFonts w:ascii="Calibri" w:hAnsi="Calibri"/>
          <w:color w:val="231F20"/>
          <w:w w:val="105"/>
        </w:rPr>
      </w:pPr>
    </w:p>
    <w:p w14:paraId="5DC4106D" w14:textId="0FB419B6" w:rsidR="00176F64" w:rsidRDefault="00002D76" w:rsidP="00D63204">
      <w:pPr>
        <w:pStyle w:val="ListParagraph"/>
        <w:widowControl w:val="0"/>
        <w:numPr>
          <w:ilvl w:val="0"/>
          <w:numId w:val="80"/>
        </w:numPr>
        <w:spacing w:before="83" w:after="0" w:line="264" w:lineRule="exact"/>
        <w:ind w:right="281"/>
        <w:rPr>
          <w:rFonts w:ascii="Calibri" w:hAnsi="Calibri"/>
          <w:color w:val="231F20"/>
        </w:rPr>
      </w:pPr>
      <w:r w:rsidRPr="00176F64">
        <w:rPr>
          <w:rFonts w:ascii="Calibri" w:hAnsi="Calibri"/>
          <w:color w:val="231F20"/>
          <w:spacing w:val="-3"/>
          <w:w w:val="105"/>
        </w:rPr>
        <w:t xml:space="preserve">Training </w:t>
      </w:r>
      <w:r w:rsidRPr="00176F64">
        <w:rPr>
          <w:rFonts w:ascii="Calibri" w:hAnsi="Calibri"/>
          <w:color w:val="231F20"/>
          <w:w w:val="105"/>
        </w:rPr>
        <w:t>(e.g., college tuition, vocational, apprenticeship, on-the-job training, job</w:t>
      </w:r>
      <w:r w:rsidRPr="00176F64">
        <w:rPr>
          <w:rFonts w:ascii="Calibri" w:hAnsi="Calibri"/>
          <w:color w:val="231F20"/>
          <w:spacing w:val="7"/>
          <w:w w:val="105"/>
        </w:rPr>
        <w:t xml:space="preserve"> </w:t>
      </w:r>
      <w:r w:rsidRPr="00176F64">
        <w:rPr>
          <w:rFonts w:ascii="Calibri" w:hAnsi="Calibri"/>
          <w:color w:val="231F20"/>
          <w:w w:val="105"/>
        </w:rPr>
        <w:t>readiness):</w:t>
      </w:r>
      <w:r w:rsidR="00176F64" w:rsidRPr="00176F64">
        <w:rPr>
          <w:rFonts w:ascii="Calibri" w:hAnsi="Calibri"/>
          <w:color w:val="231F20"/>
          <w:w w:val="105"/>
        </w:rPr>
        <w:t xml:space="preserve"> </w:t>
      </w:r>
      <w:r w:rsidRPr="00176F64">
        <w:rPr>
          <w:rFonts w:ascii="Calibri" w:hAnsi="Calibri"/>
          <w:color w:val="231F20"/>
        </w:rPr>
        <w:t>61.01</w:t>
      </w:r>
      <w:r w:rsidRPr="00176F64">
        <w:rPr>
          <w:rFonts w:ascii="Calibri" w:hAnsi="Calibri"/>
          <w:color w:val="231F20"/>
          <w:spacing w:val="10"/>
        </w:rPr>
        <w:t xml:space="preserve"> </w:t>
      </w:r>
      <w:r w:rsidRPr="00176F64">
        <w:rPr>
          <w:rFonts w:ascii="Calibri" w:hAnsi="Calibri"/>
          <w:color w:val="231F20"/>
        </w:rPr>
        <w:t>percent</w:t>
      </w:r>
    </w:p>
    <w:p w14:paraId="0B4B0D79" w14:textId="77777777" w:rsidR="00176F64" w:rsidRPr="00176F64" w:rsidRDefault="00176F64" w:rsidP="00D63204">
      <w:pPr>
        <w:pStyle w:val="ListParagraph"/>
        <w:widowControl w:val="0"/>
        <w:spacing w:before="83" w:after="0" w:line="264" w:lineRule="exact"/>
        <w:ind w:left="827" w:right="281"/>
        <w:rPr>
          <w:rFonts w:ascii="Calibri" w:hAnsi="Calibri"/>
          <w:color w:val="231F20"/>
        </w:rPr>
      </w:pPr>
    </w:p>
    <w:p w14:paraId="72A37075" w14:textId="61F9782C" w:rsidR="00002D76" w:rsidRPr="00176F64" w:rsidRDefault="00002D76" w:rsidP="00D63204">
      <w:pPr>
        <w:pStyle w:val="ListParagraph"/>
        <w:widowControl w:val="0"/>
        <w:numPr>
          <w:ilvl w:val="0"/>
          <w:numId w:val="80"/>
        </w:numPr>
        <w:spacing w:before="83" w:after="0" w:line="264" w:lineRule="exact"/>
        <w:ind w:right="281"/>
        <w:rPr>
          <w:rFonts w:ascii="Calibri" w:hAnsi="Calibri"/>
        </w:rPr>
      </w:pPr>
      <w:r w:rsidRPr="00176F64">
        <w:rPr>
          <w:rFonts w:ascii="Calibri" w:hAnsi="Calibri"/>
          <w:color w:val="231F20"/>
          <w:w w:val="105"/>
        </w:rPr>
        <w:t>Supported</w:t>
      </w:r>
      <w:r w:rsidRPr="00176F64">
        <w:rPr>
          <w:rFonts w:ascii="Calibri" w:hAnsi="Calibri"/>
          <w:color w:val="231F20"/>
          <w:spacing w:val="16"/>
          <w:w w:val="105"/>
        </w:rPr>
        <w:t xml:space="preserve"> </w:t>
      </w:r>
      <w:r w:rsidRPr="00176F64">
        <w:rPr>
          <w:rFonts w:ascii="Calibri" w:hAnsi="Calibri"/>
          <w:color w:val="231F20"/>
          <w:w w:val="105"/>
        </w:rPr>
        <w:t>Employment</w:t>
      </w:r>
      <w:r w:rsidRPr="00176F64">
        <w:rPr>
          <w:rFonts w:ascii="Calibri" w:hAnsi="Calibri"/>
          <w:color w:val="231F20"/>
          <w:spacing w:val="16"/>
          <w:w w:val="105"/>
        </w:rPr>
        <w:t xml:space="preserve"> </w:t>
      </w:r>
      <w:r w:rsidRPr="00176F64">
        <w:rPr>
          <w:rFonts w:ascii="Calibri" w:hAnsi="Calibri"/>
          <w:color w:val="231F20"/>
          <w:w w:val="105"/>
        </w:rPr>
        <w:t>Services</w:t>
      </w:r>
      <w:r w:rsidRPr="00176F64">
        <w:rPr>
          <w:rFonts w:ascii="Calibri" w:hAnsi="Calibri"/>
          <w:color w:val="231F20"/>
          <w:spacing w:val="16"/>
          <w:w w:val="105"/>
        </w:rPr>
        <w:t xml:space="preserve"> </w:t>
      </w:r>
      <w:r w:rsidRPr="00176F64">
        <w:rPr>
          <w:rFonts w:ascii="Calibri" w:hAnsi="Calibri"/>
          <w:color w:val="231F20"/>
          <w:w w:val="105"/>
        </w:rPr>
        <w:t>(e.g.,</w:t>
      </w:r>
      <w:r w:rsidRPr="00176F64">
        <w:rPr>
          <w:rFonts w:ascii="Calibri" w:hAnsi="Calibri"/>
          <w:color w:val="231F20"/>
          <w:spacing w:val="16"/>
          <w:w w:val="105"/>
        </w:rPr>
        <w:t xml:space="preserve"> </w:t>
      </w:r>
      <w:r w:rsidRPr="00176F64">
        <w:rPr>
          <w:rFonts w:ascii="Calibri" w:hAnsi="Calibri"/>
          <w:color w:val="231F20"/>
          <w:w w:val="105"/>
        </w:rPr>
        <w:t>job</w:t>
      </w:r>
      <w:r w:rsidRPr="00176F64">
        <w:rPr>
          <w:rFonts w:ascii="Calibri" w:hAnsi="Calibri"/>
          <w:color w:val="231F20"/>
          <w:spacing w:val="16"/>
          <w:w w:val="105"/>
        </w:rPr>
        <w:t xml:space="preserve"> </w:t>
      </w:r>
      <w:r w:rsidRPr="00176F64">
        <w:rPr>
          <w:rFonts w:ascii="Calibri" w:hAnsi="Calibri"/>
          <w:color w:val="231F20"/>
          <w:w w:val="105"/>
        </w:rPr>
        <w:t>placement,</w:t>
      </w:r>
      <w:r w:rsidRPr="00176F64">
        <w:rPr>
          <w:rFonts w:ascii="Calibri" w:hAnsi="Calibri"/>
          <w:color w:val="231F20"/>
          <w:spacing w:val="16"/>
          <w:w w:val="105"/>
        </w:rPr>
        <w:t xml:space="preserve"> </w:t>
      </w:r>
      <w:r w:rsidRPr="00176F64">
        <w:rPr>
          <w:rFonts w:ascii="Calibri" w:hAnsi="Calibri"/>
          <w:color w:val="231F20"/>
          <w:w w:val="105"/>
        </w:rPr>
        <w:t>job</w:t>
      </w:r>
      <w:r w:rsidRPr="00176F64">
        <w:rPr>
          <w:rFonts w:ascii="Calibri" w:hAnsi="Calibri"/>
          <w:color w:val="231F20"/>
          <w:spacing w:val="16"/>
          <w:w w:val="105"/>
        </w:rPr>
        <w:t xml:space="preserve"> </w:t>
      </w:r>
      <w:r w:rsidRPr="00176F64">
        <w:rPr>
          <w:rFonts w:ascii="Calibri" w:hAnsi="Calibri"/>
          <w:color w:val="231F20"/>
          <w:w w:val="105"/>
        </w:rPr>
        <w:t>coaching,</w:t>
      </w:r>
      <w:r w:rsidRPr="00176F64">
        <w:rPr>
          <w:rFonts w:ascii="Calibri" w:hAnsi="Calibri"/>
          <w:color w:val="231F20"/>
          <w:spacing w:val="16"/>
          <w:w w:val="105"/>
        </w:rPr>
        <w:t xml:space="preserve"> </w:t>
      </w:r>
      <w:r w:rsidRPr="00176F64">
        <w:rPr>
          <w:rFonts w:ascii="Calibri" w:hAnsi="Calibri"/>
          <w:color w:val="231F20"/>
          <w:w w:val="105"/>
        </w:rPr>
        <w:t>planning</w:t>
      </w:r>
      <w:r w:rsidRPr="00176F64">
        <w:rPr>
          <w:rFonts w:ascii="Calibri" w:hAnsi="Calibri"/>
          <w:color w:val="231F20"/>
          <w:spacing w:val="16"/>
          <w:w w:val="105"/>
        </w:rPr>
        <w:t xml:space="preserve"> </w:t>
      </w:r>
      <w:r w:rsidRPr="00176F64">
        <w:rPr>
          <w:rFonts w:ascii="Calibri" w:hAnsi="Calibri"/>
          <w:color w:val="231F20"/>
          <w:w w:val="105"/>
        </w:rPr>
        <w:t>for</w:t>
      </w:r>
      <w:r w:rsidRPr="00176F64">
        <w:rPr>
          <w:rFonts w:ascii="Calibri" w:hAnsi="Calibri"/>
          <w:color w:val="231F20"/>
          <w:spacing w:val="16"/>
          <w:w w:val="105"/>
        </w:rPr>
        <w:t xml:space="preserve"> </w:t>
      </w:r>
      <w:r w:rsidRPr="00176F64">
        <w:rPr>
          <w:rFonts w:ascii="Calibri" w:hAnsi="Calibri"/>
          <w:color w:val="231F20"/>
          <w:w w:val="105"/>
        </w:rPr>
        <w:t>extended</w:t>
      </w:r>
      <w:r w:rsidRPr="00176F64">
        <w:rPr>
          <w:rFonts w:ascii="Calibri" w:hAnsi="Calibri"/>
          <w:color w:val="231F20"/>
          <w:spacing w:val="16"/>
          <w:w w:val="105"/>
        </w:rPr>
        <w:t xml:space="preserve"> </w:t>
      </w:r>
      <w:r w:rsidRPr="00176F64">
        <w:rPr>
          <w:rFonts w:ascii="Calibri" w:hAnsi="Calibri"/>
          <w:color w:val="231F20"/>
          <w:w w:val="105"/>
        </w:rPr>
        <w:t>supports):</w:t>
      </w:r>
      <w:r w:rsidR="00176F64" w:rsidRPr="00176F64">
        <w:rPr>
          <w:rFonts w:ascii="Calibri" w:hAnsi="Calibri"/>
          <w:color w:val="231F20"/>
          <w:w w:val="105"/>
        </w:rPr>
        <w:t xml:space="preserve"> </w:t>
      </w:r>
      <w:r w:rsidRPr="00176F64">
        <w:rPr>
          <w:rFonts w:ascii="Calibri" w:hAnsi="Calibri"/>
          <w:color w:val="231F20"/>
          <w:w w:val="105"/>
        </w:rPr>
        <w:t>51.36</w:t>
      </w:r>
      <w:r w:rsidRPr="00176F64">
        <w:rPr>
          <w:rFonts w:ascii="Calibri" w:hAnsi="Calibri"/>
          <w:color w:val="231F20"/>
          <w:spacing w:val="-3"/>
          <w:w w:val="105"/>
        </w:rPr>
        <w:t xml:space="preserve"> </w:t>
      </w:r>
      <w:r w:rsidRPr="00176F64">
        <w:rPr>
          <w:rFonts w:ascii="Calibri" w:hAnsi="Calibri"/>
          <w:color w:val="231F20"/>
          <w:w w:val="105"/>
        </w:rPr>
        <w:t>percent</w:t>
      </w:r>
    </w:p>
    <w:p w14:paraId="031E3EEE" w14:textId="77777777" w:rsidR="00002D76" w:rsidRPr="00EA7458" w:rsidRDefault="00002D76" w:rsidP="00002D76">
      <w:pPr>
        <w:widowControl w:val="0"/>
        <w:spacing w:after="0" w:line="266" w:lineRule="exact"/>
        <w:rPr>
          <w:rFonts w:ascii="Calibri" w:hAnsi="Calibri"/>
        </w:rPr>
        <w:sectPr w:rsidR="00002D76" w:rsidRPr="00EA7458">
          <w:pgSz w:w="12240" w:h="15840"/>
          <w:pgMar w:top="1620" w:right="900" w:bottom="820" w:left="900" w:header="812" w:footer="624" w:gutter="0"/>
          <w:cols w:space="720"/>
        </w:sectPr>
      </w:pPr>
    </w:p>
    <w:p w14:paraId="3A60DED8" w14:textId="77777777" w:rsidR="00002D76" w:rsidRPr="00EA7458" w:rsidRDefault="00002D76" w:rsidP="00002D76">
      <w:pPr>
        <w:widowControl w:val="0"/>
        <w:spacing w:before="2" w:after="0" w:line="240" w:lineRule="auto"/>
        <w:rPr>
          <w:rFonts w:ascii="Calibri" w:hAnsi="Calibri" w:cs="Calibri"/>
          <w:sz w:val="14"/>
          <w:szCs w:val="14"/>
        </w:rPr>
      </w:pPr>
    </w:p>
    <w:p w14:paraId="3151C8A8" w14:textId="77777777" w:rsidR="00002D76" w:rsidRPr="00EA7458" w:rsidRDefault="00002D76" w:rsidP="00664EFD">
      <w:pPr>
        <w:widowControl w:val="0"/>
        <w:numPr>
          <w:ilvl w:val="3"/>
          <w:numId w:val="7"/>
        </w:numPr>
        <w:tabs>
          <w:tab w:val="left" w:pos="3132"/>
        </w:tabs>
        <w:spacing w:before="59" w:after="0" w:line="240" w:lineRule="auto"/>
        <w:rPr>
          <w:rFonts w:ascii="Calibri" w:hAnsi="Calibri" w:cs="Calibri"/>
        </w:rPr>
      </w:pPr>
      <w:bookmarkStart w:id="29" w:name="_bookmark17"/>
      <w:bookmarkEnd w:id="29"/>
      <w:r w:rsidRPr="00EA7458">
        <w:rPr>
          <w:rFonts w:ascii="Calibri" w:hAnsi="Calibri"/>
          <w:color w:val="295CA3"/>
          <w:w w:val="110"/>
        </w:rPr>
        <w:t>Labor Market</w:t>
      </w:r>
      <w:r w:rsidRPr="00EA7458">
        <w:rPr>
          <w:rFonts w:ascii="Calibri" w:hAnsi="Calibri"/>
          <w:color w:val="295CA3"/>
          <w:spacing w:val="2"/>
          <w:w w:val="110"/>
        </w:rPr>
        <w:t xml:space="preserve"> </w:t>
      </w:r>
      <w:r w:rsidRPr="00EA7458">
        <w:rPr>
          <w:rFonts w:ascii="Calibri" w:hAnsi="Calibri"/>
          <w:color w:val="295CA3"/>
          <w:spacing w:val="-3"/>
          <w:w w:val="110"/>
        </w:rPr>
        <w:t>Trends</w:t>
      </w:r>
    </w:p>
    <w:p w14:paraId="298BAAC0" w14:textId="77777777" w:rsidR="00002D76" w:rsidRPr="00EA7458" w:rsidRDefault="00002D76" w:rsidP="00D63204">
      <w:pPr>
        <w:widowControl w:val="0"/>
        <w:spacing w:before="195" w:after="0" w:line="266" w:lineRule="exact"/>
        <w:ind w:left="107"/>
        <w:outlineLvl w:val="2"/>
        <w:rPr>
          <w:rFonts w:ascii="Calibri" w:hAnsi="Calibri"/>
        </w:rPr>
      </w:pPr>
      <w:r w:rsidRPr="00EA7458">
        <w:rPr>
          <w:rFonts w:ascii="Calibri" w:hAnsi="Calibri"/>
          <w:b/>
          <w:bCs/>
          <w:color w:val="231F20"/>
          <w:w w:val="110"/>
        </w:rPr>
        <w:t>Demand Occupations and Occupational</w:t>
      </w:r>
      <w:r w:rsidRPr="00EA7458">
        <w:rPr>
          <w:rFonts w:ascii="Calibri" w:hAnsi="Calibri"/>
          <w:b/>
          <w:bCs/>
          <w:color w:val="231F20"/>
          <w:spacing w:val="-10"/>
          <w:w w:val="110"/>
        </w:rPr>
        <w:t xml:space="preserve"> </w:t>
      </w:r>
      <w:r w:rsidRPr="00EA7458">
        <w:rPr>
          <w:rFonts w:ascii="Calibri" w:hAnsi="Calibri"/>
          <w:b/>
          <w:bCs/>
          <w:color w:val="231F20"/>
          <w:w w:val="110"/>
        </w:rPr>
        <w:t>Groups</w:t>
      </w:r>
    </w:p>
    <w:p w14:paraId="6E2259CB" w14:textId="4915E2C3" w:rsidR="00002D76" w:rsidRPr="00EA7458" w:rsidRDefault="00002D76" w:rsidP="00D63204">
      <w:pPr>
        <w:widowControl w:val="0"/>
        <w:spacing w:before="2" w:after="0" w:line="235" w:lineRule="auto"/>
        <w:ind w:left="107"/>
        <w:rPr>
          <w:rFonts w:ascii="Calibri" w:hAnsi="Calibri"/>
        </w:rPr>
      </w:pPr>
      <w:r w:rsidRPr="0006623F">
        <w:rPr>
          <w:rFonts w:ascii="Calibri" w:hAnsi="Calibri"/>
          <w:color w:val="231F20"/>
          <w:w w:val="105"/>
        </w:rPr>
        <w:t>The</w:t>
      </w:r>
      <w:r w:rsidRPr="0006623F">
        <w:rPr>
          <w:rFonts w:ascii="Calibri" w:hAnsi="Calibri"/>
          <w:color w:val="231F20"/>
          <w:spacing w:val="12"/>
          <w:w w:val="105"/>
        </w:rPr>
        <w:t xml:space="preserve"> </w:t>
      </w:r>
      <w:r w:rsidRPr="0006623F">
        <w:rPr>
          <w:rFonts w:ascii="Calibri" w:hAnsi="Calibri"/>
          <w:color w:val="231F20"/>
          <w:w w:val="105"/>
        </w:rPr>
        <w:t>three</w:t>
      </w:r>
      <w:r w:rsidRPr="0006623F">
        <w:rPr>
          <w:rFonts w:ascii="Calibri" w:hAnsi="Calibri"/>
          <w:color w:val="231F20"/>
          <w:spacing w:val="12"/>
          <w:w w:val="105"/>
        </w:rPr>
        <w:t xml:space="preserve"> </w:t>
      </w:r>
      <w:r w:rsidRPr="0006623F">
        <w:rPr>
          <w:rFonts w:ascii="Calibri" w:hAnsi="Calibri"/>
          <w:color w:val="231F20"/>
          <w:w w:val="105"/>
        </w:rPr>
        <w:t>largest</w:t>
      </w:r>
      <w:r w:rsidRPr="0006623F">
        <w:rPr>
          <w:rFonts w:ascii="Calibri" w:hAnsi="Calibri"/>
          <w:color w:val="231F20"/>
          <w:spacing w:val="12"/>
          <w:w w:val="105"/>
        </w:rPr>
        <w:t xml:space="preserve"> </w:t>
      </w:r>
      <w:r w:rsidRPr="0006623F">
        <w:rPr>
          <w:rFonts w:ascii="Calibri" w:hAnsi="Calibri"/>
          <w:color w:val="231F20"/>
          <w:w w:val="105"/>
        </w:rPr>
        <w:t>occupational</w:t>
      </w:r>
      <w:r w:rsidRPr="0006623F">
        <w:rPr>
          <w:rFonts w:ascii="Calibri" w:hAnsi="Calibri"/>
          <w:color w:val="231F20"/>
          <w:spacing w:val="12"/>
          <w:w w:val="105"/>
        </w:rPr>
        <w:t xml:space="preserve"> </w:t>
      </w:r>
      <w:r w:rsidRPr="0006623F">
        <w:rPr>
          <w:rFonts w:ascii="Calibri" w:hAnsi="Calibri"/>
          <w:color w:val="231F20"/>
          <w:w w:val="105"/>
        </w:rPr>
        <w:t>groups</w:t>
      </w:r>
      <w:r w:rsidRPr="0006623F">
        <w:rPr>
          <w:rFonts w:ascii="Calibri" w:hAnsi="Calibri"/>
          <w:color w:val="231F20"/>
          <w:spacing w:val="12"/>
          <w:w w:val="105"/>
        </w:rPr>
        <w:t xml:space="preserve"> </w:t>
      </w:r>
      <w:r w:rsidRPr="0006623F">
        <w:rPr>
          <w:rFonts w:ascii="Calibri" w:hAnsi="Calibri"/>
          <w:color w:val="231F20"/>
          <w:w w:val="105"/>
        </w:rPr>
        <w:t>in</w:t>
      </w:r>
      <w:r w:rsidRPr="0006623F">
        <w:rPr>
          <w:rFonts w:ascii="Calibri" w:hAnsi="Calibri"/>
          <w:color w:val="231F20"/>
          <w:spacing w:val="12"/>
          <w:w w:val="105"/>
        </w:rPr>
        <w:t xml:space="preserve"> </w:t>
      </w:r>
      <w:r w:rsidRPr="0006623F">
        <w:rPr>
          <w:rFonts w:ascii="Calibri" w:hAnsi="Calibri"/>
          <w:color w:val="231F20"/>
          <w:w w:val="105"/>
        </w:rPr>
        <w:t>Florida</w:t>
      </w:r>
      <w:r w:rsidRPr="0006623F">
        <w:rPr>
          <w:rFonts w:ascii="Calibri" w:hAnsi="Calibri"/>
          <w:color w:val="231F20"/>
          <w:spacing w:val="12"/>
          <w:w w:val="105"/>
        </w:rPr>
        <w:t xml:space="preserve"> </w:t>
      </w:r>
      <w:r w:rsidRPr="0006623F">
        <w:rPr>
          <w:rFonts w:ascii="Calibri" w:hAnsi="Calibri"/>
          <w:color w:val="231F20"/>
          <w:w w:val="105"/>
        </w:rPr>
        <w:t>are</w:t>
      </w:r>
      <w:r w:rsidRPr="0006623F">
        <w:rPr>
          <w:rFonts w:ascii="Calibri" w:hAnsi="Calibri"/>
          <w:color w:val="231F20"/>
          <w:spacing w:val="12"/>
          <w:w w:val="105"/>
        </w:rPr>
        <w:t xml:space="preserve"> </w:t>
      </w:r>
      <w:r w:rsidRPr="0006623F">
        <w:rPr>
          <w:rFonts w:ascii="Calibri" w:hAnsi="Calibri"/>
          <w:color w:val="231F20"/>
          <w:w w:val="105"/>
        </w:rPr>
        <w:t>office</w:t>
      </w:r>
      <w:r w:rsidRPr="0006623F">
        <w:rPr>
          <w:rFonts w:ascii="Calibri" w:hAnsi="Calibri"/>
          <w:color w:val="231F20"/>
          <w:spacing w:val="12"/>
          <w:w w:val="105"/>
        </w:rPr>
        <w:t xml:space="preserve"> </w:t>
      </w:r>
      <w:r w:rsidRPr="0006623F">
        <w:rPr>
          <w:rFonts w:ascii="Calibri" w:hAnsi="Calibri"/>
          <w:color w:val="231F20"/>
          <w:w w:val="105"/>
        </w:rPr>
        <w:t>and</w:t>
      </w:r>
      <w:r w:rsidRPr="0006623F">
        <w:rPr>
          <w:rFonts w:ascii="Calibri" w:hAnsi="Calibri"/>
          <w:color w:val="231F20"/>
          <w:spacing w:val="12"/>
          <w:w w:val="105"/>
        </w:rPr>
        <w:t xml:space="preserve"> </w:t>
      </w:r>
      <w:r w:rsidRPr="0006623F">
        <w:rPr>
          <w:rFonts w:ascii="Calibri" w:hAnsi="Calibri"/>
          <w:color w:val="231F20"/>
          <w:w w:val="105"/>
        </w:rPr>
        <w:t>administrative</w:t>
      </w:r>
      <w:r w:rsidRPr="0006623F">
        <w:rPr>
          <w:rFonts w:ascii="Calibri" w:hAnsi="Calibri"/>
          <w:color w:val="231F20"/>
          <w:spacing w:val="12"/>
          <w:w w:val="105"/>
        </w:rPr>
        <w:t xml:space="preserve"> </w:t>
      </w:r>
      <w:r w:rsidRPr="0006623F">
        <w:rPr>
          <w:rFonts w:ascii="Calibri" w:hAnsi="Calibri"/>
          <w:color w:val="231F20"/>
          <w:w w:val="105"/>
        </w:rPr>
        <w:t>support</w:t>
      </w:r>
      <w:r w:rsidRPr="0006623F">
        <w:rPr>
          <w:rFonts w:ascii="Calibri" w:hAnsi="Calibri"/>
          <w:color w:val="231F20"/>
          <w:spacing w:val="12"/>
          <w:w w:val="105"/>
        </w:rPr>
        <w:t xml:space="preserve"> </w:t>
      </w:r>
      <w:r w:rsidRPr="0006623F">
        <w:rPr>
          <w:rFonts w:ascii="Calibri" w:hAnsi="Calibri"/>
          <w:color w:val="231F20"/>
          <w:w w:val="105"/>
        </w:rPr>
        <w:t>occupations,</w:t>
      </w:r>
      <w:r w:rsidRPr="0006623F">
        <w:rPr>
          <w:rFonts w:ascii="Calibri" w:hAnsi="Calibri"/>
          <w:color w:val="231F20"/>
          <w:spacing w:val="12"/>
          <w:w w:val="105"/>
        </w:rPr>
        <w:t xml:space="preserve"> </w:t>
      </w:r>
      <w:r w:rsidRPr="0006623F">
        <w:rPr>
          <w:rFonts w:ascii="Calibri" w:hAnsi="Calibri"/>
          <w:color w:val="231F20"/>
          <w:w w:val="105"/>
        </w:rPr>
        <w:t>with</w:t>
      </w:r>
      <w:r w:rsidRPr="0006623F">
        <w:rPr>
          <w:rFonts w:ascii="Calibri" w:hAnsi="Calibri"/>
          <w:color w:val="231F20"/>
          <w:spacing w:val="-28"/>
          <w:w w:val="105"/>
        </w:rPr>
        <w:t xml:space="preserve"> </w:t>
      </w:r>
      <w:r w:rsidRPr="0006623F">
        <w:rPr>
          <w:rFonts w:ascii="Calibri" w:hAnsi="Calibri"/>
          <w:color w:val="231F20"/>
          <w:w w:val="105"/>
        </w:rPr>
        <w:t xml:space="preserve">1,544,493 jobs </w:t>
      </w:r>
      <w:r w:rsidRPr="0006623F">
        <w:rPr>
          <w:rFonts w:ascii="Calibri" w:hAnsi="Calibri"/>
          <w:color w:val="231F20"/>
          <w:spacing w:val="-5"/>
          <w:w w:val="105"/>
        </w:rPr>
        <w:t>(</w:t>
      </w:r>
      <w:r>
        <w:rPr>
          <w:rFonts w:ascii="Calibri" w:hAnsi="Calibri"/>
          <w:color w:val="231F20"/>
          <w:spacing w:val="-5"/>
          <w:w w:val="105"/>
        </w:rPr>
        <w:t>16.6</w:t>
      </w:r>
      <w:r w:rsidRPr="0006623F">
        <w:rPr>
          <w:rFonts w:ascii="Calibri" w:hAnsi="Calibri"/>
          <w:color w:val="231F20"/>
          <w:spacing w:val="-5"/>
          <w:w w:val="105"/>
        </w:rPr>
        <w:t xml:space="preserve"> </w:t>
      </w:r>
      <w:r w:rsidRPr="0006623F">
        <w:rPr>
          <w:rFonts w:ascii="Calibri" w:hAnsi="Calibri"/>
          <w:color w:val="231F20"/>
          <w:w w:val="105"/>
        </w:rPr>
        <w:t>percent of total jobs)</w:t>
      </w:r>
      <w:r w:rsidR="009834DC">
        <w:rPr>
          <w:rFonts w:ascii="Calibri" w:hAnsi="Calibri"/>
          <w:color w:val="231F20"/>
          <w:w w:val="105"/>
        </w:rPr>
        <w:t>,</w:t>
      </w:r>
      <w:r w:rsidRPr="0006623F">
        <w:rPr>
          <w:rFonts w:ascii="Calibri" w:hAnsi="Calibri"/>
          <w:color w:val="231F20"/>
          <w:w w:val="105"/>
        </w:rPr>
        <w:t xml:space="preserve"> sales and related </w:t>
      </w:r>
      <w:r w:rsidRPr="0006623F">
        <w:rPr>
          <w:rFonts w:ascii="Calibri" w:hAnsi="Calibri"/>
          <w:color w:val="231F20"/>
          <w:spacing w:val="-3"/>
          <w:w w:val="105"/>
        </w:rPr>
        <w:t xml:space="preserve">(1,190,169 </w:t>
      </w:r>
      <w:r w:rsidRPr="0006623F">
        <w:rPr>
          <w:rFonts w:ascii="Calibri" w:hAnsi="Calibri"/>
          <w:color w:val="231F20"/>
          <w:w w:val="105"/>
        </w:rPr>
        <w:t xml:space="preserve">jobs, </w:t>
      </w:r>
      <w:r>
        <w:rPr>
          <w:rFonts w:ascii="Calibri" w:hAnsi="Calibri"/>
          <w:color w:val="231F20"/>
          <w:w w:val="105"/>
        </w:rPr>
        <w:t>12.8</w:t>
      </w:r>
      <w:r w:rsidRPr="0006623F">
        <w:rPr>
          <w:rFonts w:ascii="Calibri" w:hAnsi="Calibri"/>
          <w:color w:val="231F20"/>
          <w:w w:val="105"/>
        </w:rPr>
        <w:t xml:space="preserve"> percent) and</w:t>
      </w:r>
      <w:r w:rsidRPr="0006623F">
        <w:rPr>
          <w:rFonts w:ascii="Calibri" w:hAnsi="Calibri"/>
          <w:color w:val="231F20"/>
          <w:spacing w:val="6"/>
          <w:w w:val="105"/>
        </w:rPr>
        <w:t xml:space="preserve"> </w:t>
      </w:r>
      <w:r w:rsidRPr="0006623F">
        <w:rPr>
          <w:rFonts w:ascii="Calibri" w:hAnsi="Calibri"/>
          <w:color w:val="231F20"/>
          <w:w w:val="105"/>
        </w:rPr>
        <w:t>food</w:t>
      </w:r>
      <w:r w:rsidRPr="0006623F">
        <w:rPr>
          <w:rFonts w:ascii="Calibri" w:hAnsi="Calibri"/>
          <w:color w:val="231F20"/>
          <w:w w:val="106"/>
        </w:rPr>
        <w:t xml:space="preserve"> </w:t>
      </w:r>
      <w:r w:rsidRPr="0006623F">
        <w:rPr>
          <w:rFonts w:ascii="Calibri" w:hAnsi="Calibri"/>
          <w:color w:val="231F20"/>
          <w:w w:val="105"/>
        </w:rPr>
        <w:t>preparation</w:t>
      </w:r>
      <w:r w:rsidRPr="0006623F">
        <w:rPr>
          <w:rFonts w:ascii="Calibri" w:hAnsi="Calibri"/>
          <w:color w:val="231F20"/>
          <w:spacing w:val="8"/>
          <w:w w:val="105"/>
        </w:rPr>
        <w:t xml:space="preserve"> </w:t>
      </w:r>
      <w:r w:rsidRPr="0006623F">
        <w:rPr>
          <w:rFonts w:ascii="Calibri" w:hAnsi="Calibri"/>
          <w:color w:val="231F20"/>
          <w:w w:val="105"/>
        </w:rPr>
        <w:t>and</w:t>
      </w:r>
      <w:r w:rsidRPr="0006623F">
        <w:rPr>
          <w:rFonts w:ascii="Calibri" w:hAnsi="Calibri"/>
          <w:color w:val="231F20"/>
          <w:spacing w:val="8"/>
          <w:w w:val="105"/>
        </w:rPr>
        <w:t xml:space="preserve"> </w:t>
      </w:r>
      <w:r w:rsidRPr="0006623F">
        <w:rPr>
          <w:rFonts w:ascii="Calibri" w:hAnsi="Calibri"/>
          <w:color w:val="231F20"/>
          <w:w w:val="105"/>
        </w:rPr>
        <w:t>serving</w:t>
      </w:r>
      <w:r w:rsidRPr="0006623F">
        <w:rPr>
          <w:rFonts w:ascii="Calibri" w:hAnsi="Calibri"/>
          <w:color w:val="231F20"/>
          <w:spacing w:val="8"/>
          <w:w w:val="105"/>
        </w:rPr>
        <w:t xml:space="preserve"> </w:t>
      </w:r>
      <w:r w:rsidRPr="0006623F">
        <w:rPr>
          <w:rFonts w:ascii="Calibri" w:hAnsi="Calibri"/>
          <w:color w:val="231F20"/>
          <w:w w:val="105"/>
        </w:rPr>
        <w:t>(946,674</w:t>
      </w:r>
      <w:r w:rsidRPr="0006623F">
        <w:rPr>
          <w:rFonts w:ascii="Calibri" w:hAnsi="Calibri"/>
          <w:color w:val="231F20"/>
          <w:spacing w:val="8"/>
          <w:w w:val="105"/>
        </w:rPr>
        <w:t xml:space="preserve"> </w:t>
      </w:r>
      <w:r w:rsidRPr="0006623F">
        <w:rPr>
          <w:rFonts w:ascii="Calibri" w:hAnsi="Calibri"/>
          <w:color w:val="231F20"/>
          <w:w w:val="105"/>
        </w:rPr>
        <w:t>jobs,</w:t>
      </w:r>
      <w:r w:rsidRPr="0006623F">
        <w:rPr>
          <w:rFonts w:ascii="Calibri" w:hAnsi="Calibri"/>
          <w:color w:val="231F20"/>
          <w:spacing w:val="8"/>
          <w:w w:val="105"/>
        </w:rPr>
        <w:t xml:space="preserve"> </w:t>
      </w:r>
      <w:r>
        <w:rPr>
          <w:rFonts w:ascii="Calibri" w:hAnsi="Calibri"/>
          <w:color w:val="231F20"/>
          <w:w w:val="105"/>
        </w:rPr>
        <w:t>10.2</w:t>
      </w:r>
      <w:r w:rsidRPr="0006623F">
        <w:rPr>
          <w:rFonts w:ascii="Calibri" w:hAnsi="Calibri"/>
          <w:color w:val="231F20"/>
          <w:spacing w:val="8"/>
          <w:w w:val="105"/>
        </w:rPr>
        <w:t xml:space="preserve"> </w:t>
      </w:r>
      <w:r w:rsidRPr="0006623F">
        <w:rPr>
          <w:rFonts w:ascii="Calibri" w:hAnsi="Calibri"/>
          <w:color w:val="231F20"/>
          <w:w w:val="105"/>
        </w:rPr>
        <w:t>percent)</w:t>
      </w:r>
      <w:r w:rsidRPr="0006623F">
        <w:rPr>
          <w:rFonts w:ascii="Calibri" w:hAnsi="Calibri"/>
          <w:color w:val="231F20"/>
          <w:spacing w:val="8"/>
          <w:w w:val="105"/>
        </w:rPr>
        <w:t xml:space="preserve"> </w:t>
      </w:r>
      <w:r w:rsidRPr="0006623F">
        <w:rPr>
          <w:rFonts w:ascii="Calibri" w:hAnsi="Calibri"/>
          <w:color w:val="231F20"/>
          <w:w w:val="105"/>
        </w:rPr>
        <w:t>occupations.</w:t>
      </w:r>
      <w:r w:rsidRPr="0006623F">
        <w:rPr>
          <w:rFonts w:ascii="Calibri" w:hAnsi="Calibri"/>
          <w:color w:val="231F20"/>
          <w:spacing w:val="17"/>
          <w:w w:val="105"/>
        </w:rPr>
        <w:t xml:space="preserve"> </w:t>
      </w:r>
      <w:r w:rsidRPr="0006623F">
        <w:rPr>
          <w:rFonts w:ascii="Calibri" w:hAnsi="Calibri"/>
          <w:color w:val="231F20"/>
          <w:w w:val="105"/>
        </w:rPr>
        <w:t>The</w:t>
      </w:r>
      <w:r w:rsidRPr="0006623F">
        <w:rPr>
          <w:rFonts w:ascii="Calibri" w:hAnsi="Calibri"/>
          <w:color w:val="231F20"/>
          <w:spacing w:val="8"/>
          <w:w w:val="105"/>
        </w:rPr>
        <w:t xml:space="preserve"> </w:t>
      </w:r>
      <w:r w:rsidRPr="0006623F">
        <w:rPr>
          <w:rFonts w:ascii="Calibri" w:hAnsi="Calibri"/>
          <w:color w:val="231F20"/>
          <w:w w:val="105"/>
        </w:rPr>
        <w:t>last</w:t>
      </w:r>
      <w:r w:rsidRPr="0006623F">
        <w:rPr>
          <w:rFonts w:ascii="Calibri" w:hAnsi="Calibri"/>
          <w:color w:val="231F20"/>
          <w:spacing w:val="8"/>
          <w:w w:val="105"/>
        </w:rPr>
        <w:t xml:space="preserve"> </w:t>
      </w:r>
      <w:r w:rsidRPr="0006623F">
        <w:rPr>
          <w:rFonts w:ascii="Calibri" w:hAnsi="Calibri"/>
          <w:color w:val="231F20"/>
          <w:w w:val="105"/>
        </w:rPr>
        <w:t>two</w:t>
      </w:r>
      <w:r w:rsidRPr="0006623F">
        <w:rPr>
          <w:rFonts w:ascii="Calibri" w:hAnsi="Calibri"/>
          <w:color w:val="231F20"/>
          <w:spacing w:val="8"/>
          <w:w w:val="105"/>
        </w:rPr>
        <w:t xml:space="preserve"> </w:t>
      </w:r>
      <w:r w:rsidRPr="0006623F">
        <w:rPr>
          <w:rFonts w:ascii="Calibri" w:hAnsi="Calibri"/>
          <w:color w:val="231F20"/>
          <w:w w:val="105"/>
        </w:rPr>
        <w:t>groups</w:t>
      </w:r>
      <w:r w:rsidRPr="0006623F">
        <w:rPr>
          <w:rFonts w:ascii="Calibri" w:hAnsi="Calibri"/>
          <w:color w:val="231F20"/>
          <w:spacing w:val="8"/>
          <w:w w:val="105"/>
        </w:rPr>
        <w:t xml:space="preserve"> </w:t>
      </w:r>
      <w:r w:rsidRPr="0006623F">
        <w:rPr>
          <w:rFonts w:ascii="Calibri" w:hAnsi="Calibri"/>
          <w:color w:val="231F20"/>
          <w:w w:val="105"/>
        </w:rPr>
        <w:t>are</w:t>
      </w:r>
      <w:r w:rsidRPr="0006623F">
        <w:rPr>
          <w:rFonts w:ascii="Calibri" w:hAnsi="Calibri"/>
          <w:color w:val="231F20"/>
          <w:spacing w:val="8"/>
          <w:w w:val="105"/>
        </w:rPr>
        <w:t xml:space="preserve"> </w:t>
      </w:r>
      <w:r w:rsidRPr="0006623F">
        <w:rPr>
          <w:rFonts w:ascii="Calibri" w:hAnsi="Calibri"/>
          <w:color w:val="231F20"/>
          <w:w w:val="105"/>
        </w:rPr>
        <w:t>important</w:t>
      </w:r>
      <w:r w:rsidRPr="0006623F">
        <w:rPr>
          <w:rFonts w:ascii="Calibri" w:hAnsi="Calibri"/>
          <w:color w:val="231F20"/>
          <w:spacing w:val="8"/>
          <w:w w:val="105"/>
        </w:rPr>
        <w:t xml:space="preserve"> </w:t>
      </w:r>
      <w:r w:rsidR="00CD1C1C">
        <w:rPr>
          <w:rFonts w:ascii="Calibri" w:hAnsi="Calibri"/>
          <w:color w:val="231F20"/>
          <w:w w:val="105"/>
        </w:rPr>
        <w:t xml:space="preserve">to Florida </w:t>
      </w:r>
      <w:r w:rsidRPr="0006623F">
        <w:rPr>
          <w:rFonts w:ascii="Calibri" w:hAnsi="Calibri"/>
          <w:color w:val="231F20"/>
          <w:w w:val="105"/>
        </w:rPr>
        <w:t>tourism</w:t>
      </w:r>
      <w:r w:rsidRPr="00FD5B67">
        <w:rPr>
          <w:rFonts w:ascii="Calibri" w:hAnsi="Calibri"/>
          <w:color w:val="231F20"/>
          <w:w w:val="105"/>
        </w:rPr>
        <w:t>.</w:t>
      </w:r>
      <w:r w:rsidRPr="00FD5B67">
        <w:rPr>
          <w:rFonts w:ascii="Calibri" w:hAnsi="Calibri"/>
          <w:color w:val="231F20"/>
          <w:spacing w:val="19"/>
          <w:w w:val="105"/>
        </w:rPr>
        <w:t xml:space="preserve"> </w:t>
      </w:r>
      <w:r w:rsidRPr="00FD5B67">
        <w:rPr>
          <w:rFonts w:ascii="Calibri" w:hAnsi="Calibri"/>
          <w:color w:val="231F20"/>
          <w:w w:val="105"/>
        </w:rPr>
        <w:t>A</w:t>
      </w:r>
      <w:r w:rsidRPr="00FD5B67">
        <w:rPr>
          <w:rFonts w:ascii="Calibri" w:hAnsi="Calibri"/>
          <w:color w:val="231F20"/>
          <w:spacing w:val="9"/>
          <w:w w:val="105"/>
        </w:rPr>
        <w:t xml:space="preserve"> </w:t>
      </w:r>
      <w:r w:rsidRPr="00FD5B67">
        <w:rPr>
          <w:rFonts w:ascii="Calibri" w:hAnsi="Calibri"/>
          <w:color w:val="231F20"/>
          <w:w w:val="105"/>
        </w:rPr>
        <w:t>total</w:t>
      </w:r>
      <w:r w:rsidRPr="00FD5B67">
        <w:rPr>
          <w:rFonts w:ascii="Calibri" w:hAnsi="Calibri"/>
          <w:color w:val="231F20"/>
          <w:spacing w:val="9"/>
          <w:w w:val="105"/>
        </w:rPr>
        <w:t xml:space="preserve"> </w:t>
      </w:r>
      <w:r w:rsidRPr="00FD5B67">
        <w:rPr>
          <w:rFonts w:ascii="Calibri" w:hAnsi="Calibri"/>
          <w:color w:val="231F20"/>
          <w:w w:val="105"/>
        </w:rPr>
        <w:t>of</w:t>
      </w:r>
      <w:r w:rsidRPr="00FD5B67">
        <w:rPr>
          <w:rFonts w:ascii="Calibri" w:hAnsi="Calibri"/>
          <w:color w:val="231F20"/>
          <w:spacing w:val="9"/>
          <w:w w:val="105"/>
        </w:rPr>
        <w:t xml:space="preserve"> </w:t>
      </w:r>
      <w:r w:rsidRPr="00FD5B67">
        <w:rPr>
          <w:rFonts w:ascii="Calibri" w:hAnsi="Calibri"/>
          <w:color w:val="231F20"/>
          <w:w w:val="105"/>
        </w:rPr>
        <w:t>2,906,177</w:t>
      </w:r>
      <w:r w:rsidRPr="00FD5B67">
        <w:rPr>
          <w:rFonts w:ascii="Calibri" w:hAnsi="Calibri"/>
          <w:color w:val="231F20"/>
          <w:spacing w:val="9"/>
          <w:w w:val="105"/>
        </w:rPr>
        <w:t xml:space="preserve"> </w:t>
      </w:r>
      <w:r w:rsidRPr="00FD5B67">
        <w:rPr>
          <w:rFonts w:ascii="Calibri" w:hAnsi="Calibri"/>
          <w:color w:val="231F20"/>
          <w:w w:val="105"/>
        </w:rPr>
        <w:t>jobs</w:t>
      </w:r>
      <w:r w:rsidRPr="00FD5B67">
        <w:rPr>
          <w:rFonts w:ascii="Calibri" w:hAnsi="Calibri"/>
          <w:color w:val="231F20"/>
          <w:spacing w:val="9"/>
          <w:w w:val="105"/>
        </w:rPr>
        <w:t xml:space="preserve"> </w:t>
      </w:r>
      <w:r w:rsidRPr="00FD5B67">
        <w:rPr>
          <w:rFonts w:ascii="Calibri" w:hAnsi="Calibri"/>
          <w:color w:val="231F20"/>
          <w:w w:val="105"/>
        </w:rPr>
        <w:t>are</w:t>
      </w:r>
      <w:r w:rsidRPr="00FD5B67">
        <w:rPr>
          <w:rFonts w:ascii="Calibri" w:hAnsi="Calibri"/>
          <w:color w:val="231F20"/>
          <w:spacing w:val="9"/>
          <w:w w:val="105"/>
        </w:rPr>
        <w:t xml:space="preserve"> </w:t>
      </w:r>
      <w:r w:rsidRPr="00FD5B67">
        <w:rPr>
          <w:rFonts w:ascii="Calibri" w:hAnsi="Calibri"/>
          <w:color w:val="231F20"/>
          <w:w w:val="105"/>
        </w:rPr>
        <w:t>in</w:t>
      </w:r>
      <w:r w:rsidRPr="00FD5B67">
        <w:rPr>
          <w:rFonts w:ascii="Calibri" w:hAnsi="Calibri"/>
          <w:color w:val="231F20"/>
          <w:spacing w:val="9"/>
          <w:w w:val="105"/>
        </w:rPr>
        <w:t xml:space="preserve"> </w:t>
      </w:r>
      <w:r w:rsidRPr="00FD5B67">
        <w:rPr>
          <w:rFonts w:ascii="Calibri" w:hAnsi="Calibri"/>
          <w:color w:val="231F20"/>
          <w:w w:val="105"/>
        </w:rPr>
        <w:t>the</w:t>
      </w:r>
      <w:r w:rsidRPr="00FD5B67">
        <w:rPr>
          <w:rFonts w:ascii="Calibri" w:hAnsi="Calibri"/>
          <w:color w:val="231F20"/>
          <w:spacing w:val="9"/>
          <w:w w:val="105"/>
        </w:rPr>
        <w:t xml:space="preserve"> </w:t>
      </w:r>
      <w:r w:rsidRPr="00FD5B67">
        <w:rPr>
          <w:rFonts w:ascii="Calibri" w:hAnsi="Calibri"/>
          <w:color w:val="231F20"/>
          <w:w w:val="105"/>
        </w:rPr>
        <w:t>eleven</w:t>
      </w:r>
      <w:r w:rsidRPr="00FD5B67">
        <w:rPr>
          <w:rFonts w:ascii="Calibri" w:hAnsi="Calibri"/>
          <w:color w:val="231F20"/>
          <w:spacing w:val="9"/>
          <w:w w:val="105"/>
        </w:rPr>
        <w:t xml:space="preserve"> </w:t>
      </w:r>
      <w:r w:rsidRPr="00FD5B67">
        <w:rPr>
          <w:rFonts w:ascii="Calibri" w:hAnsi="Calibri"/>
          <w:color w:val="231F20"/>
          <w:w w:val="105"/>
        </w:rPr>
        <w:t>occupation</w:t>
      </w:r>
      <w:r w:rsidRPr="00FD5B67">
        <w:rPr>
          <w:rFonts w:ascii="Calibri" w:hAnsi="Calibri"/>
          <w:color w:val="231F20"/>
          <w:spacing w:val="9"/>
          <w:w w:val="105"/>
        </w:rPr>
        <w:t xml:space="preserve"> </w:t>
      </w:r>
      <w:r w:rsidRPr="00FD5B67">
        <w:rPr>
          <w:rFonts w:ascii="Calibri" w:hAnsi="Calibri"/>
          <w:color w:val="231F20"/>
          <w:w w:val="105"/>
        </w:rPr>
        <w:t>groups</w:t>
      </w:r>
      <w:r w:rsidRPr="00FD5B67">
        <w:rPr>
          <w:rFonts w:ascii="Calibri" w:hAnsi="Calibri"/>
          <w:color w:val="231F20"/>
          <w:spacing w:val="9"/>
          <w:w w:val="105"/>
        </w:rPr>
        <w:t xml:space="preserve"> </w:t>
      </w:r>
      <w:r w:rsidRPr="00FD5B67">
        <w:rPr>
          <w:rFonts w:ascii="Calibri" w:hAnsi="Calibri"/>
          <w:color w:val="231F20"/>
          <w:w w:val="105"/>
        </w:rPr>
        <w:t>that</w:t>
      </w:r>
      <w:r w:rsidRPr="00FD5B67">
        <w:rPr>
          <w:rFonts w:ascii="Calibri" w:hAnsi="Calibri"/>
          <w:color w:val="231F20"/>
          <w:spacing w:val="9"/>
          <w:w w:val="105"/>
        </w:rPr>
        <w:t xml:space="preserve"> </w:t>
      </w:r>
      <w:r w:rsidRPr="00FD5B67">
        <w:rPr>
          <w:rFonts w:ascii="Calibri" w:hAnsi="Calibri"/>
          <w:color w:val="231F20"/>
          <w:w w:val="105"/>
        </w:rPr>
        <w:t>contain</w:t>
      </w:r>
      <w:r w:rsidRPr="00FD5B67">
        <w:rPr>
          <w:rFonts w:ascii="Calibri" w:hAnsi="Calibri"/>
          <w:color w:val="231F20"/>
          <w:spacing w:val="9"/>
          <w:w w:val="105"/>
        </w:rPr>
        <w:t xml:space="preserve"> </w:t>
      </w:r>
      <w:r w:rsidRPr="00FD5B67">
        <w:rPr>
          <w:rFonts w:ascii="Calibri" w:hAnsi="Calibri"/>
          <w:color w:val="231F20"/>
          <w:w w:val="105"/>
        </w:rPr>
        <w:t>occupations</w:t>
      </w:r>
      <w:r w:rsidRPr="00FD5B67">
        <w:rPr>
          <w:rFonts w:ascii="Calibri" w:hAnsi="Calibri"/>
          <w:color w:val="231F20"/>
          <w:spacing w:val="-32"/>
          <w:w w:val="105"/>
        </w:rPr>
        <w:t xml:space="preserve"> </w:t>
      </w:r>
      <w:r w:rsidRPr="00FD5B67">
        <w:rPr>
          <w:rFonts w:ascii="Calibri" w:hAnsi="Calibri"/>
          <w:color w:val="231F20"/>
          <w:w w:val="105"/>
        </w:rPr>
        <w:t>requiring</w:t>
      </w:r>
      <w:r w:rsidRPr="00FD5B67">
        <w:rPr>
          <w:rFonts w:ascii="Calibri" w:hAnsi="Calibri"/>
          <w:color w:val="231F20"/>
          <w:spacing w:val="15"/>
          <w:w w:val="105"/>
        </w:rPr>
        <w:t xml:space="preserve"> </w:t>
      </w:r>
      <w:r w:rsidRPr="00FD5B67">
        <w:rPr>
          <w:rFonts w:ascii="Calibri" w:hAnsi="Calibri"/>
          <w:color w:val="231F20"/>
          <w:w w:val="105"/>
        </w:rPr>
        <w:t>higher</w:t>
      </w:r>
      <w:r w:rsidRPr="00FD5B67">
        <w:rPr>
          <w:rFonts w:ascii="Calibri" w:hAnsi="Calibri"/>
          <w:color w:val="231F20"/>
          <w:spacing w:val="15"/>
          <w:w w:val="105"/>
        </w:rPr>
        <w:t xml:space="preserve"> </w:t>
      </w:r>
      <w:r w:rsidRPr="00FD5B67">
        <w:rPr>
          <w:rFonts w:ascii="Calibri" w:hAnsi="Calibri"/>
          <w:color w:val="231F20"/>
          <w:w w:val="105"/>
        </w:rPr>
        <w:t>levels</w:t>
      </w:r>
      <w:r w:rsidRPr="00FD5B67">
        <w:rPr>
          <w:rFonts w:ascii="Calibri" w:hAnsi="Calibri"/>
          <w:color w:val="231F20"/>
          <w:spacing w:val="15"/>
          <w:w w:val="105"/>
        </w:rPr>
        <w:t xml:space="preserve"> </w:t>
      </w:r>
      <w:r w:rsidRPr="00FD5B67">
        <w:rPr>
          <w:rFonts w:ascii="Calibri" w:hAnsi="Calibri"/>
          <w:color w:val="231F20"/>
          <w:w w:val="105"/>
        </w:rPr>
        <w:t>of</w:t>
      </w:r>
      <w:r w:rsidRPr="00FD5B67">
        <w:rPr>
          <w:rFonts w:ascii="Calibri" w:hAnsi="Calibri"/>
          <w:color w:val="231F20"/>
          <w:spacing w:val="15"/>
          <w:w w:val="105"/>
        </w:rPr>
        <w:t xml:space="preserve"> </w:t>
      </w:r>
      <w:r w:rsidRPr="00FD5B67">
        <w:rPr>
          <w:rFonts w:ascii="Calibri" w:hAnsi="Calibri"/>
          <w:color w:val="231F20"/>
          <w:w w:val="105"/>
        </w:rPr>
        <w:t>education</w:t>
      </w:r>
      <w:r w:rsidRPr="00FD5B67">
        <w:rPr>
          <w:rFonts w:ascii="Calibri" w:hAnsi="Calibri"/>
          <w:color w:val="231F20"/>
          <w:spacing w:val="15"/>
          <w:w w:val="105"/>
        </w:rPr>
        <w:t xml:space="preserve"> </w:t>
      </w:r>
      <w:r w:rsidRPr="00FD5B67">
        <w:rPr>
          <w:rFonts w:ascii="Calibri" w:hAnsi="Calibri"/>
          <w:color w:val="231F20"/>
          <w:w w:val="105"/>
        </w:rPr>
        <w:t>and</w:t>
      </w:r>
      <w:r w:rsidRPr="00FD5B67">
        <w:rPr>
          <w:rFonts w:ascii="Calibri" w:hAnsi="Calibri"/>
          <w:color w:val="231F20"/>
          <w:spacing w:val="15"/>
          <w:w w:val="105"/>
        </w:rPr>
        <w:t xml:space="preserve"> </w:t>
      </w:r>
      <w:r w:rsidRPr="00FD5B67">
        <w:rPr>
          <w:rFonts w:ascii="Calibri" w:hAnsi="Calibri"/>
          <w:color w:val="231F20"/>
          <w:w w:val="105"/>
        </w:rPr>
        <w:t>training.</w:t>
      </w:r>
      <w:r w:rsidRPr="00FD5B67">
        <w:rPr>
          <w:rFonts w:ascii="Calibri" w:hAnsi="Calibri"/>
          <w:color w:val="231F20"/>
          <w:spacing w:val="31"/>
          <w:w w:val="105"/>
        </w:rPr>
        <w:t xml:space="preserve"> </w:t>
      </w:r>
      <w:r w:rsidRPr="00FD5B67">
        <w:rPr>
          <w:rFonts w:ascii="Calibri" w:hAnsi="Calibri"/>
          <w:color w:val="231F20"/>
          <w:w w:val="105"/>
        </w:rPr>
        <w:t>These</w:t>
      </w:r>
      <w:r w:rsidRPr="00FD5B67">
        <w:rPr>
          <w:rFonts w:ascii="Calibri" w:hAnsi="Calibri"/>
          <w:color w:val="231F20"/>
          <w:spacing w:val="15"/>
          <w:w w:val="105"/>
        </w:rPr>
        <w:t xml:space="preserve"> </w:t>
      </w:r>
      <w:r w:rsidRPr="00FD5B67">
        <w:rPr>
          <w:rFonts w:ascii="Calibri" w:hAnsi="Calibri"/>
          <w:color w:val="231F20"/>
          <w:w w:val="105"/>
        </w:rPr>
        <w:t>eleven</w:t>
      </w:r>
      <w:r w:rsidRPr="00FD5B67">
        <w:rPr>
          <w:rFonts w:ascii="Calibri" w:hAnsi="Calibri"/>
          <w:color w:val="231F20"/>
          <w:spacing w:val="15"/>
          <w:w w:val="105"/>
        </w:rPr>
        <w:t xml:space="preserve"> </w:t>
      </w:r>
      <w:r w:rsidRPr="00FD5B67">
        <w:rPr>
          <w:rFonts w:ascii="Calibri" w:hAnsi="Calibri"/>
          <w:color w:val="231F20"/>
          <w:w w:val="105"/>
        </w:rPr>
        <w:t>groups</w:t>
      </w:r>
      <w:r w:rsidRPr="00FD5B67">
        <w:rPr>
          <w:rFonts w:ascii="Calibri" w:hAnsi="Calibri"/>
          <w:color w:val="231F20"/>
          <w:spacing w:val="15"/>
          <w:w w:val="105"/>
        </w:rPr>
        <w:t xml:space="preserve"> </w:t>
      </w:r>
      <w:r w:rsidRPr="00FD5B67">
        <w:rPr>
          <w:rFonts w:ascii="Calibri" w:hAnsi="Calibri"/>
          <w:color w:val="231F20"/>
          <w:w w:val="105"/>
        </w:rPr>
        <w:t>comprise</w:t>
      </w:r>
      <w:r w:rsidRPr="00FD5B67">
        <w:rPr>
          <w:rFonts w:ascii="Calibri" w:hAnsi="Calibri"/>
          <w:color w:val="231F20"/>
          <w:spacing w:val="15"/>
          <w:w w:val="105"/>
        </w:rPr>
        <w:t xml:space="preserve"> </w:t>
      </w:r>
      <w:r w:rsidRPr="00FD5B67">
        <w:rPr>
          <w:rFonts w:ascii="Calibri" w:hAnsi="Calibri"/>
          <w:color w:val="231F20"/>
          <w:w w:val="105"/>
        </w:rPr>
        <w:t>31.2</w:t>
      </w:r>
      <w:r w:rsidRPr="00FD5B67">
        <w:rPr>
          <w:rFonts w:ascii="Calibri" w:hAnsi="Calibri"/>
          <w:color w:val="231F20"/>
          <w:spacing w:val="15"/>
          <w:w w:val="105"/>
        </w:rPr>
        <w:t xml:space="preserve"> </w:t>
      </w:r>
      <w:r w:rsidRPr="00FD5B67">
        <w:rPr>
          <w:rFonts w:ascii="Calibri" w:hAnsi="Calibri"/>
          <w:color w:val="231F20"/>
          <w:w w:val="105"/>
        </w:rPr>
        <w:t>percent</w:t>
      </w:r>
      <w:r w:rsidRPr="00FD5B67">
        <w:rPr>
          <w:rFonts w:ascii="Calibri" w:hAnsi="Calibri"/>
          <w:color w:val="231F20"/>
          <w:spacing w:val="15"/>
          <w:w w:val="105"/>
        </w:rPr>
        <w:t xml:space="preserve"> </w:t>
      </w:r>
      <w:r w:rsidRPr="00FD5B67">
        <w:rPr>
          <w:rFonts w:ascii="Calibri" w:hAnsi="Calibri"/>
          <w:color w:val="231F20"/>
          <w:w w:val="105"/>
        </w:rPr>
        <w:t>of</w:t>
      </w:r>
      <w:r w:rsidRPr="00FD5B67">
        <w:rPr>
          <w:rFonts w:ascii="Calibri" w:hAnsi="Calibri"/>
          <w:color w:val="231F20"/>
          <w:spacing w:val="15"/>
          <w:w w:val="105"/>
        </w:rPr>
        <w:t xml:space="preserve"> </w:t>
      </w:r>
      <w:r w:rsidRPr="00FD5B67">
        <w:rPr>
          <w:rFonts w:ascii="Calibri" w:hAnsi="Calibri"/>
          <w:color w:val="231F20"/>
          <w:w w:val="105"/>
        </w:rPr>
        <w:t>Florida’s</w:t>
      </w:r>
      <w:r w:rsidRPr="00FD5B67">
        <w:rPr>
          <w:rFonts w:ascii="Calibri" w:hAnsi="Calibri"/>
          <w:color w:val="231F20"/>
          <w:w w:val="118"/>
        </w:rPr>
        <w:t xml:space="preserve"> </w:t>
      </w:r>
      <w:r w:rsidRPr="00FD5B67">
        <w:rPr>
          <w:rFonts w:ascii="Calibri" w:hAnsi="Calibri"/>
          <w:color w:val="231F20"/>
          <w:w w:val="105"/>
        </w:rPr>
        <w:t>occupational jobs</w:t>
      </w:r>
      <w:r w:rsidRPr="00FD5B67">
        <w:rPr>
          <w:rFonts w:ascii="Calibri" w:hAnsi="Calibri"/>
          <w:color w:val="231F20"/>
          <w:spacing w:val="39"/>
          <w:w w:val="105"/>
        </w:rPr>
        <w:t xml:space="preserve"> </w:t>
      </w:r>
      <w:r w:rsidRPr="00FD5B67">
        <w:rPr>
          <w:rFonts w:ascii="Calibri" w:hAnsi="Calibri"/>
          <w:color w:val="231F20"/>
          <w:w w:val="105"/>
        </w:rPr>
        <w:t>mix.</w:t>
      </w:r>
    </w:p>
    <w:p w14:paraId="36DBBCFA" w14:textId="77777777" w:rsidR="00002D76" w:rsidRPr="00EA7458" w:rsidRDefault="00002D76" w:rsidP="00D63204">
      <w:pPr>
        <w:widowControl w:val="0"/>
        <w:spacing w:before="196" w:after="0" w:line="266" w:lineRule="exact"/>
        <w:ind w:left="468" w:right="468"/>
        <w:outlineLvl w:val="2"/>
        <w:rPr>
          <w:rFonts w:ascii="Calibri" w:hAnsi="Calibri"/>
        </w:rPr>
      </w:pPr>
      <w:r w:rsidRPr="00EA7458">
        <w:rPr>
          <w:rFonts w:ascii="Calibri" w:hAnsi="Calibri"/>
          <w:b/>
          <w:bCs/>
          <w:color w:val="231F20"/>
          <w:w w:val="110"/>
        </w:rPr>
        <w:t>Figure</w:t>
      </w:r>
      <w:r w:rsidRPr="00EA7458">
        <w:rPr>
          <w:rFonts w:ascii="Calibri" w:hAnsi="Calibri"/>
          <w:b/>
          <w:bCs/>
          <w:color w:val="231F20"/>
          <w:spacing w:val="-16"/>
          <w:w w:val="110"/>
        </w:rPr>
        <w:t xml:space="preserve"> </w:t>
      </w:r>
      <w:r w:rsidRPr="00EA7458">
        <w:rPr>
          <w:rFonts w:ascii="Calibri" w:hAnsi="Calibri"/>
          <w:b/>
          <w:bCs/>
          <w:color w:val="231F20"/>
          <w:spacing w:val="-6"/>
          <w:w w:val="110"/>
        </w:rPr>
        <w:t>2.17</w:t>
      </w:r>
    </w:p>
    <w:p w14:paraId="26EDA2F5" w14:textId="77777777" w:rsidR="00002D76" w:rsidRPr="00EA7458" w:rsidRDefault="00002D76" w:rsidP="00D63204">
      <w:pPr>
        <w:widowControl w:val="0"/>
        <w:spacing w:before="2" w:after="0" w:line="235" w:lineRule="auto"/>
        <w:ind w:left="1955" w:right="1953"/>
        <w:rPr>
          <w:rFonts w:ascii="Calibri" w:hAnsi="Calibri" w:cs="Calibri"/>
        </w:rPr>
      </w:pPr>
      <w:r w:rsidRPr="00EA7458">
        <w:rPr>
          <w:rFonts w:ascii="Calibri" w:hAnsi="Calibri"/>
          <w:b/>
          <w:color w:val="231F20"/>
          <w:w w:val="110"/>
        </w:rPr>
        <w:t>Percent</w:t>
      </w:r>
      <w:r w:rsidRPr="00EA7458">
        <w:rPr>
          <w:rFonts w:ascii="Calibri" w:hAnsi="Calibri"/>
          <w:b/>
          <w:color w:val="231F20"/>
          <w:spacing w:val="-19"/>
          <w:w w:val="110"/>
        </w:rPr>
        <w:t xml:space="preserve"> </w:t>
      </w:r>
      <w:r w:rsidRPr="00EA7458">
        <w:rPr>
          <w:rFonts w:ascii="Calibri" w:hAnsi="Calibri"/>
          <w:b/>
          <w:color w:val="231F20"/>
          <w:w w:val="110"/>
        </w:rPr>
        <w:t>Distribution</w:t>
      </w:r>
      <w:r w:rsidRPr="00EA7458">
        <w:rPr>
          <w:rFonts w:ascii="Calibri" w:hAnsi="Calibri"/>
          <w:b/>
          <w:color w:val="231F20"/>
          <w:spacing w:val="-19"/>
          <w:w w:val="110"/>
        </w:rPr>
        <w:t xml:space="preserve"> </w:t>
      </w:r>
      <w:r w:rsidRPr="00EA7458">
        <w:rPr>
          <w:rFonts w:ascii="Calibri" w:hAnsi="Calibri"/>
          <w:b/>
          <w:color w:val="231F20"/>
          <w:w w:val="110"/>
        </w:rPr>
        <w:t>of</w:t>
      </w:r>
      <w:r w:rsidRPr="00EA7458">
        <w:rPr>
          <w:rFonts w:ascii="Calibri" w:hAnsi="Calibri"/>
          <w:b/>
          <w:color w:val="231F20"/>
          <w:spacing w:val="-19"/>
          <w:w w:val="110"/>
        </w:rPr>
        <w:t xml:space="preserve"> </w:t>
      </w:r>
      <w:r w:rsidRPr="00EA7458">
        <w:rPr>
          <w:rFonts w:ascii="Calibri" w:hAnsi="Calibri"/>
          <w:b/>
          <w:color w:val="231F20"/>
          <w:w w:val="110"/>
        </w:rPr>
        <w:t>Employment</w:t>
      </w:r>
      <w:r w:rsidRPr="00EA7458">
        <w:rPr>
          <w:rFonts w:ascii="Calibri" w:hAnsi="Calibri"/>
          <w:b/>
          <w:color w:val="231F20"/>
          <w:spacing w:val="-19"/>
          <w:w w:val="110"/>
        </w:rPr>
        <w:t xml:space="preserve"> </w:t>
      </w:r>
      <w:r w:rsidRPr="00EA7458">
        <w:rPr>
          <w:rFonts w:ascii="Calibri" w:hAnsi="Calibri"/>
          <w:b/>
          <w:color w:val="231F20"/>
          <w:w w:val="110"/>
        </w:rPr>
        <w:t>by</w:t>
      </w:r>
      <w:r w:rsidRPr="00EA7458">
        <w:rPr>
          <w:rFonts w:ascii="Calibri" w:hAnsi="Calibri"/>
          <w:b/>
          <w:color w:val="231F20"/>
          <w:spacing w:val="-19"/>
          <w:w w:val="110"/>
        </w:rPr>
        <w:t xml:space="preserve"> </w:t>
      </w:r>
      <w:r w:rsidRPr="00EA7458">
        <w:rPr>
          <w:rFonts w:ascii="Calibri" w:hAnsi="Calibri"/>
          <w:b/>
          <w:color w:val="231F20"/>
          <w:w w:val="110"/>
        </w:rPr>
        <w:t>Major</w:t>
      </w:r>
      <w:r w:rsidRPr="00EA7458">
        <w:rPr>
          <w:rFonts w:ascii="Calibri" w:hAnsi="Calibri"/>
          <w:b/>
          <w:color w:val="231F20"/>
          <w:spacing w:val="-19"/>
          <w:w w:val="110"/>
        </w:rPr>
        <w:t xml:space="preserve"> </w:t>
      </w:r>
      <w:r w:rsidRPr="00EA7458">
        <w:rPr>
          <w:rFonts w:ascii="Calibri" w:hAnsi="Calibri"/>
          <w:b/>
          <w:color w:val="231F20"/>
          <w:w w:val="110"/>
        </w:rPr>
        <w:t>Occupational</w:t>
      </w:r>
      <w:r w:rsidRPr="00EA7458">
        <w:rPr>
          <w:rFonts w:ascii="Calibri" w:hAnsi="Calibri"/>
          <w:b/>
          <w:color w:val="231F20"/>
          <w:spacing w:val="-19"/>
          <w:w w:val="110"/>
        </w:rPr>
        <w:t xml:space="preserve"> </w:t>
      </w:r>
      <w:r w:rsidRPr="00EA7458">
        <w:rPr>
          <w:rFonts w:ascii="Calibri" w:hAnsi="Calibri"/>
          <w:b/>
          <w:color w:val="231F20"/>
          <w:w w:val="110"/>
        </w:rPr>
        <w:t>Group</w:t>
      </w:r>
      <w:r w:rsidRPr="00EA7458">
        <w:rPr>
          <w:rFonts w:ascii="Calibri" w:hAnsi="Calibri"/>
          <w:b/>
          <w:color w:val="231F20"/>
          <w:w w:val="108"/>
        </w:rPr>
        <w:t xml:space="preserve"> </w:t>
      </w:r>
      <w:r w:rsidRPr="00EA7458">
        <w:rPr>
          <w:rFonts w:ascii="Calibri" w:hAnsi="Calibri"/>
          <w:b/>
          <w:color w:val="231F20"/>
          <w:w w:val="110"/>
        </w:rPr>
        <w:t>Florida</w:t>
      </w:r>
      <w:r w:rsidRPr="00EA7458">
        <w:rPr>
          <w:rFonts w:ascii="Calibri" w:hAnsi="Calibri"/>
          <w:b/>
          <w:color w:val="231F20"/>
          <w:spacing w:val="-3"/>
          <w:w w:val="110"/>
        </w:rPr>
        <w:t xml:space="preserve"> </w:t>
      </w:r>
      <w:r w:rsidRPr="00EA7458">
        <w:rPr>
          <w:rFonts w:ascii="Calibri" w:hAnsi="Calibri"/>
          <w:b/>
          <w:color w:val="231F20"/>
          <w:w w:val="110"/>
        </w:rPr>
        <w:t>201</w:t>
      </w:r>
      <w:r>
        <w:rPr>
          <w:rFonts w:ascii="Calibri" w:hAnsi="Calibri"/>
          <w:b/>
          <w:color w:val="231F20"/>
          <w:w w:val="110"/>
        </w:rPr>
        <w:t>7</w:t>
      </w:r>
    </w:p>
    <w:tbl>
      <w:tblPr>
        <w:tblW w:w="7120" w:type="dxa"/>
        <w:jc w:val="center"/>
        <w:tblLook w:val="04A0" w:firstRow="1" w:lastRow="0" w:firstColumn="1" w:lastColumn="0" w:noHBand="0" w:noVBand="1"/>
      </w:tblPr>
      <w:tblGrid>
        <w:gridCol w:w="1259"/>
        <w:gridCol w:w="3614"/>
        <w:gridCol w:w="1519"/>
        <w:gridCol w:w="728"/>
      </w:tblGrid>
      <w:tr w:rsidR="00002D76" w:rsidRPr="00F616A2" w14:paraId="7AECB1DF" w14:textId="77777777" w:rsidTr="001429C7">
        <w:trPr>
          <w:trHeight w:hRule="exact" w:val="450"/>
          <w:jc w:val="center"/>
        </w:trPr>
        <w:tc>
          <w:tcPr>
            <w:tcW w:w="1260" w:type="dxa"/>
            <w:tcBorders>
              <w:top w:val="single" w:sz="4" w:space="0" w:color="auto"/>
              <w:left w:val="single" w:sz="4" w:space="0" w:color="auto"/>
              <w:bottom w:val="nil"/>
              <w:right w:val="single" w:sz="4" w:space="0" w:color="auto"/>
            </w:tcBorders>
            <w:shd w:val="clear" w:color="auto" w:fill="auto"/>
            <w:vAlign w:val="center"/>
            <w:hideMark/>
          </w:tcPr>
          <w:p w14:paraId="05914635" w14:textId="77777777" w:rsidR="00002D76" w:rsidRPr="00F616A2" w:rsidRDefault="00002D76" w:rsidP="00D63204">
            <w:pPr>
              <w:spacing w:after="0" w:line="240" w:lineRule="auto"/>
              <w:rPr>
                <w:rFonts w:ascii="Calibri" w:hAnsi="Calibri"/>
                <w:b/>
                <w:bCs/>
                <w:color w:val="231F20"/>
                <w:sz w:val="16"/>
                <w:szCs w:val="16"/>
              </w:rPr>
            </w:pPr>
            <w:r w:rsidRPr="00F616A2">
              <w:rPr>
                <w:rFonts w:ascii="Calibri" w:hAnsi="Calibri"/>
                <w:b/>
                <w:bCs/>
                <w:color w:val="231F20"/>
                <w:sz w:val="16"/>
                <w:szCs w:val="16"/>
              </w:rPr>
              <w:t>Occupational Group Code</w:t>
            </w:r>
          </w:p>
        </w:tc>
        <w:tc>
          <w:tcPr>
            <w:tcW w:w="3620" w:type="dxa"/>
            <w:tcBorders>
              <w:top w:val="single" w:sz="4" w:space="0" w:color="auto"/>
              <w:left w:val="nil"/>
              <w:bottom w:val="nil"/>
              <w:right w:val="single" w:sz="4" w:space="0" w:color="auto"/>
            </w:tcBorders>
            <w:shd w:val="clear" w:color="auto" w:fill="auto"/>
            <w:vAlign w:val="center"/>
            <w:hideMark/>
          </w:tcPr>
          <w:p w14:paraId="313F1162" w14:textId="77777777" w:rsidR="00002D76" w:rsidRPr="00F616A2" w:rsidRDefault="00002D76" w:rsidP="00D63204">
            <w:pPr>
              <w:spacing w:after="0" w:line="240" w:lineRule="auto"/>
              <w:rPr>
                <w:rFonts w:ascii="Calibri" w:hAnsi="Calibri"/>
                <w:b/>
                <w:bCs/>
                <w:color w:val="231F20"/>
                <w:sz w:val="16"/>
                <w:szCs w:val="16"/>
              </w:rPr>
            </w:pPr>
            <w:r w:rsidRPr="00F616A2">
              <w:rPr>
                <w:rFonts w:ascii="Calibri" w:hAnsi="Calibri"/>
                <w:b/>
                <w:bCs/>
                <w:color w:val="231F20"/>
                <w:sz w:val="16"/>
                <w:szCs w:val="16"/>
              </w:rPr>
              <w:t>Occupational Group Name</w:t>
            </w:r>
          </w:p>
        </w:tc>
        <w:tc>
          <w:tcPr>
            <w:tcW w:w="1520" w:type="dxa"/>
            <w:tcBorders>
              <w:top w:val="single" w:sz="4" w:space="0" w:color="auto"/>
              <w:left w:val="nil"/>
              <w:bottom w:val="nil"/>
              <w:right w:val="single" w:sz="4" w:space="0" w:color="auto"/>
            </w:tcBorders>
            <w:shd w:val="clear" w:color="auto" w:fill="auto"/>
            <w:vAlign w:val="center"/>
            <w:hideMark/>
          </w:tcPr>
          <w:p w14:paraId="5B8AA3EF" w14:textId="77777777" w:rsidR="00002D76" w:rsidRDefault="00002D76" w:rsidP="00D63204">
            <w:pPr>
              <w:rPr>
                <w:rFonts w:ascii="Calibri" w:hAnsi="Calibri"/>
                <w:b/>
                <w:bCs/>
                <w:color w:val="231F20"/>
                <w:sz w:val="16"/>
                <w:szCs w:val="16"/>
              </w:rPr>
            </w:pPr>
            <w:r>
              <w:rPr>
                <w:rFonts w:ascii="Calibri" w:hAnsi="Calibri"/>
                <w:b/>
                <w:bCs/>
                <w:color w:val="231F20"/>
                <w:sz w:val="16"/>
                <w:szCs w:val="16"/>
              </w:rPr>
              <w:t>Florida Employment</w:t>
            </w:r>
          </w:p>
          <w:p w14:paraId="70BFDEAA" w14:textId="77777777" w:rsidR="00002D76" w:rsidRPr="00F616A2" w:rsidRDefault="00002D76" w:rsidP="00D63204">
            <w:pPr>
              <w:spacing w:after="0" w:line="240" w:lineRule="auto"/>
              <w:rPr>
                <w:rFonts w:ascii="Calibri" w:hAnsi="Calibri"/>
                <w:b/>
                <w:bCs/>
                <w:color w:val="231F20"/>
                <w:sz w:val="16"/>
                <w:szCs w:val="16"/>
              </w:rPr>
            </w:pPr>
          </w:p>
        </w:tc>
        <w:tc>
          <w:tcPr>
            <w:tcW w:w="720" w:type="dxa"/>
            <w:tcBorders>
              <w:top w:val="single" w:sz="4" w:space="0" w:color="auto"/>
              <w:left w:val="nil"/>
              <w:bottom w:val="single" w:sz="4" w:space="0" w:color="auto"/>
              <w:right w:val="single" w:sz="4" w:space="0" w:color="auto"/>
            </w:tcBorders>
            <w:shd w:val="clear" w:color="auto" w:fill="auto"/>
            <w:vAlign w:val="center"/>
            <w:hideMark/>
          </w:tcPr>
          <w:p w14:paraId="0BCE0D9B" w14:textId="77777777" w:rsidR="00002D76" w:rsidRPr="00F616A2" w:rsidRDefault="00002D76" w:rsidP="00D63204">
            <w:pPr>
              <w:spacing w:after="0" w:line="240" w:lineRule="auto"/>
              <w:rPr>
                <w:rFonts w:ascii="Calibri" w:hAnsi="Calibri"/>
                <w:b/>
                <w:bCs/>
                <w:color w:val="231F20"/>
                <w:sz w:val="16"/>
                <w:szCs w:val="16"/>
              </w:rPr>
            </w:pPr>
            <w:r w:rsidRPr="00F616A2">
              <w:rPr>
                <w:rFonts w:ascii="Calibri" w:hAnsi="Calibri"/>
                <w:b/>
                <w:bCs/>
                <w:color w:val="231F20"/>
                <w:sz w:val="16"/>
                <w:szCs w:val="16"/>
              </w:rPr>
              <w:t>Percent</w:t>
            </w:r>
          </w:p>
        </w:tc>
      </w:tr>
      <w:tr w:rsidR="00002D76" w:rsidRPr="00F616A2" w14:paraId="3C4347B9" w14:textId="77777777" w:rsidTr="001429C7">
        <w:trPr>
          <w:trHeight w:val="300"/>
          <w:jc w:val="center"/>
        </w:trPr>
        <w:tc>
          <w:tcPr>
            <w:tcW w:w="1260" w:type="dxa"/>
            <w:tcBorders>
              <w:top w:val="single" w:sz="4" w:space="0" w:color="auto"/>
              <w:left w:val="single" w:sz="4" w:space="0" w:color="auto"/>
              <w:bottom w:val="single" w:sz="4" w:space="0" w:color="auto"/>
              <w:right w:val="single" w:sz="4" w:space="0" w:color="auto"/>
            </w:tcBorders>
            <w:shd w:val="clear" w:color="000000" w:fill="E6E7E8"/>
            <w:vAlign w:val="center"/>
            <w:hideMark/>
          </w:tcPr>
          <w:p w14:paraId="6570AB8D" w14:textId="77777777" w:rsidR="00002D76" w:rsidRPr="00F616A2" w:rsidRDefault="00002D76" w:rsidP="00D63204">
            <w:pPr>
              <w:spacing w:after="0" w:line="240" w:lineRule="auto"/>
              <w:rPr>
                <w:rFonts w:ascii="Calibri" w:hAnsi="Calibri"/>
                <w:color w:val="231F20"/>
                <w:sz w:val="16"/>
                <w:szCs w:val="16"/>
              </w:rPr>
            </w:pPr>
            <w:r w:rsidRPr="00F616A2">
              <w:rPr>
                <w:rFonts w:ascii="Calibri" w:hAnsi="Calibri"/>
                <w:color w:val="231F20"/>
                <w:sz w:val="16"/>
                <w:szCs w:val="16"/>
              </w:rPr>
              <w:t>110000</w:t>
            </w:r>
          </w:p>
        </w:tc>
        <w:tc>
          <w:tcPr>
            <w:tcW w:w="3620" w:type="dxa"/>
            <w:tcBorders>
              <w:top w:val="single" w:sz="4" w:space="0" w:color="auto"/>
              <w:left w:val="nil"/>
              <w:bottom w:val="single" w:sz="4" w:space="0" w:color="auto"/>
              <w:right w:val="single" w:sz="4" w:space="0" w:color="auto"/>
            </w:tcBorders>
            <w:shd w:val="clear" w:color="000000" w:fill="E6E7E8"/>
            <w:vAlign w:val="center"/>
            <w:hideMark/>
          </w:tcPr>
          <w:p w14:paraId="2E721DA9" w14:textId="77777777" w:rsidR="00002D76" w:rsidRPr="00F616A2" w:rsidRDefault="00002D76" w:rsidP="001429C7">
            <w:pPr>
              <w:spacing w:after="0" w:line="240" w:lineRule="auto"/>
              <w:rPr>
                <w:rFonts w:ascii="Calibri" w:hAnsi="Calibri"/>
                <w:color w:val="231F20"/>
                <w:sz w:val="16"/>
                <w:szCs w:val="16"/>
              </w:rPr>
            </w:pPr>
            <w:r w:rsidRPr="00F616A2">
              <w:rPr>
                <w:rFonts w:ascii="Calibri" w:hAnsi="Calibri"/>
                <w:color w:val="231F20"/>
                <w:sz w:val="16"/>
                <w:szCs w:val="16"/>
              </w:rPr>
              <w:t>Management</w:t>
            </w:r>
          </w:p>
        </w:tc>
        <w:tc>
          <w:tcPr>
            <w:tcW w:w="1520" w:type="dxa"/>
            <w:tcBorders>
              <w:top w:val="single" w:sz="4" w:space="0" w:color="auto"/>
              <w:left w:val="nil"/>
              <w:bottom w:val="single" w:sz="4" w:space="0" w:color="auto"/>
              <w:right w:val="single" w:sz="4" w:space="0" w:color="auto"/>
            </w:tcBorders>
            <w:shd w:val="clear" w:color="000000" w:fill="E6E7E8"/>
            <w:vAlign w:val="center"/>
            <w:hideMark/>
          </w:tcPr>
          <w:p w14:paraId="6AE8A346" w14:textId="77777777" w:rsidR="00002D76" w:rsidRPr="00F616A2" w:rsidRDefault="00002D76" w:rsidP="00D63204">
            <w:pPr>
              <w:spacing w:after="0" w:line="240" w:lineRule="auto"/>
              <w:rPr>
                <w:rFonts w:ascii="Calibri" w:hAnsi="Calibri"/>
                <w:color w:val="231F20"/>
                <w:sz w:val="16"/>
                <w:szCs w:val="16"/>
              </w:rPr>
            </w:pPr>
            <w:r w:rsidRPr="00F616A2">
              <w:rPr>
                <w:rFonts w:ascii="Calibri" w:hAnsi="Calibri"/>
                <w:color w:val="231F20"/>
                <w:sz w:val="16"/>
                <w:szCs w:val="16"/>
              </w:rPr>
              <w:t>413,213</w:t>
            </w:r>
          </w:p>
        </w:tc>
        <w:tc>
          <w:tcPr>
            <w:tcW w:w="720" w:type="dxa"/>
            <w:tcBorders>
              <w:top w:val="nil"/>
              <w:left w:val="nil"/>
              <w:bottom w:val="single" w:sz="4" w:space="0" w:color="auto"/>
              <w:right w:val="single" w:sz="4" w:space="0" w:color="auto"/>
            </w:tcBorders>
            <w:shd w:val="clear" w:color="000000" w:fill="E6E7E8"/>
            <w:vAlign w:val="center"/>
            <w:hideMark/>
          </w:tcPr>
          <w:p w14:paraId="79CCAE2F" w14:textId="77777777" w:rsidR="00002D76" w:rsidRPr="00F616A2" w:rsidRDefault="00002D76" w:rsidP="00D63204">
            <w:pPr>
              <w:spacing w:after="0" w:line="240" w:lineRule="auto"/>
              <w:rPr>
                <w:rFonts w:ascii="Calibri" w:hAnsi="Calibri"/>
                <w:color w:val="231F20"/>
                <w:sz w:val="16"/>
                <w:szCs w:val="16"/>
              </w:rPr>
            </w:pPr>
            <w:r w:rsidRPr="00F616A2">
              <w:rPr>
                <w:rFonts w:ascii="Calibri" w:hAnsi="Calibri"/>
                <w:color w:val="231F20"/>
                <w:sz w:val="16"/>
                <w:szCs w:val="16"/>
              </w:rPr>
              <w:t>4.4%</w:t>
            </w:r>
          </w:p>
        </w:tc>
      </w:tr>
      <w:tr w:rsidR="00002D76" w:rsidRPr="00F616A2" w14:paraId="49CFB8EE" w14:textId="77777777" w:rsidTr="001429C7">
        <w:trPr>
          <w:trHeight w:hRule="exact" w:val="300"/>
          <w:jc w:val="center"/>
        </w:trPr>
        <w:tc>
          <w:tcPr>
            <w:tcW w:w="1260" w:type="dxa"/>
            <w:tcBorders>
              <w:top w:val="nil"/>
              <w:left w:val="single" w:sz="4" w:space="0" w:color="auto"/>
              <w:bottom w:val="single" w:sz="4" w:space="0" w:color="auto"/>
              <w:right w:val="single" w:sz="4" w:space="0" w:color="auto"/>
            </w:tcBorders>
            <w:shd w:val="clear" w:color="auto" w:fill="auto"/>
            <w:vAlign w:val="center"/>
            <w:hideMark/>
          </w:tcPr>
          <w:p w14:paraId="7C23476A" w14:textId="77777777" w:rsidR="00002D76" w:rsidRPr="00F616A2" w:rsidRDefault="00002D76" w:rsidP="00D63204">
            <w:pPr>
              <w:spacing w:after="0" w:line="240" w:lineRule="auto"/>
              <w:rPr>
                <w:rFonts w:ascii="Calibri" w:hAnsi="Calibri"/>
                <w:color w:val="231F20"/>
                <w:sz w:val="16"/>
                <w:szCs w:val="16"/>
              </w:rPr>
            </w:pPr>
            <w:r w:rsidRPr="00F616A2">
              <w:rPr>
                <w:rFonts w:ascii="Calibri" w:hAnsi="Calibri"/>
                <w:color w:val="231F20"/>
                <w:sz w:val="16"/>
                <w:szCs w:val="16"/>
              </w:rPr>
              <w:t>130000</w:t>
            </w:r>
          </w:p>
        </w:tc>
        <w:tc>
          <w:tcPr>
            <w:tcW w:w="3620" w:type="dxa"/>
            <w:tcBorders>
              <w:top w:val="nil"/>
              <w:left w:val="nil"/>
              <w:bottom w:val="single" w:sz="4" w:space="0" w:color="auto"/>
              <w:right w:val="single" w:sz="4" w:space="0" w:color="auto"/>
            </w:tcBorders>
            <w:shd w:val="clear" w:color="auto" w:fill="auto"/>
            <w:vAlign w:val="center"/>
            <w:hideMark/>
          </w:tcPr>
          <w:p w14:paraId="7077AB16" w14:textId="77777777" w:rsidR="00002D76" w:rsidRPr="00F616A2" w:rsidRDefault="00002D76" w:rsidP="001429C7">
            <w:pPr>
              <w:spacing w:after="0" w:line="240" w:lineRule="auto"/>
              <w:rPr>
                <w:rFonts w:ascii="Calibri" w:hAnsi="Calibri"/>
                <w:color w:val="231F20"/>
                <w:sz w:val="16"/>
                <w:szCs w:val="16"/>
              </w:rPr>
            </w:pPr>
            <w:r w:rsidRPr="00F616A2">
              <w:rPr>
                <w:rFonts w:ascii="Calibri" w:hAnsi="Calibri"/>
                <w:color w:val="231F20"/>
                <w:sz w:val="16"/>
                <w:szCs w:val="16"/>
              </w:rPr>
              <w:t>Business and Financial Operations</w:t>
            </w:r>
          </w:p>
        </w:tc>
        <w:tc>
          <w:tcPr>
            <w:tcW w:w="1520" w:type="dxa"/>
            <w:tcBorders>
              <w:top w:val="nil"/>
              <w:left w:val="nil"/>
              <w:bottom w:val="single" w:sz="4" w:space="0" w:color="auto"/>
              <w:right w:val="single" w:sz="4" w:space="0" w:color="auto"/>
            </w:tcBorders>
            <w:shd w:val="clear" w:color="auto" w:fill="auto"/>
            <w:vAlign w:val="center"/>
            <w:hideMark/>
          </w:tcPr>
          <w:p w14:paraId="39EB5551" w14:textId="77777777" w:rsidR="00002D76" w:rsidRPr="00F616A2" w:rsidRDefault="00002D76" w:rsidP="00D63204">
            <w:pPr>
              <w:spacing w:after="0" w:line="240" w:lineRule="auto"/>
              <w:rPr>
                <w:rFonts w:ascii="Calibri" w:hAnsi="Calibri"/>
                <w:color w:val="231F20"/>
                <w:sz w:val="16"/>
                <w:szCs w:val="16"/>
              </w:rPr>
            </w:pPr>
            <w:r w:rsidRPr="00F616A2">
              <w:rPr>
                <w:rFonts w:ascii="Calibri" w:hAnsi="Calibri"/>
                <w:color w:val="231F20"/>
                <w:sz w:val="16"/>
                <w:szCs w:val="16"/>
              </w:rPr>
              <w:t>499,904</w:t>
            </w:r>
          </w:p>
        </w:tc>
        <w:tc>
          <w:tcPr>
            <w:tcW w:w="720" w:type="dxa"/>
            <w:tcBorders>
              <w:top w:val="nil"/>
              <w:left w:val="nil"/>
              <w:bottom w:val="single" w:sz="4" w:space="0" w:color="auto"/>
              <w:right w:val="single" w:sz="4" w:space="0" w:color="auto"/>
            </w:tcBorders>
            <w:shd w:val="clear" w:color="auto" w:fill="auto"/>
            <w:vAlign w:val="center"/>
            <w:hideMark/>
          </w:tcPr>
          <w:p w14:paraId="1434D4AD" w14:textId="77777777" w:rsidR="00002D76" w:rsidRPr="00F616A2" w:rsidRDefault="00002D76" w:rsidP="00D63204">
            <w:pPr>
              <w:spacing w:after="0" w:line="240" w:lineRule="auto"/>
              <w:rPr>
                <w:rFonts w:ascii="Calibri" w:hAnsi="Calibri"/>
                <w:color w:val="231F20"/>
                <w:sz w:val="16"/>
                <w:szCs w:val="16"/>
              </w:rPr>
            </w:pPr>
            <w:r w:rsidRPr="00F616A2">
              <w:rPr>
                <w:rFonts w:ascii="Calibri" w:hAnsi="Calibri"/>
                <w:color w:val="231F20"/>
                <w:sz w:val="16"/>
                <w:szCs w:val="16"/>
              </w:rPr>
              <w:t>5.4%</w:t>
            </w:r>
          </w:p>
        </w:tc>
      </w:tr>
      <w:tr w:rsidR="00002D76" w:rsidRPr="00F616A2" w14:paraId="3887E91E" w14:textId="77777777" w:rsidTr="001429C7">
        <w:trPr>
          <w:trHeight w:hRule="exact" w:val="300"/>
          <w:jc w:val="center"/>
        </w:trPr>
        <w:tc>
          <w:tcPr>
            <w:tcW w:w="1260" w:type="dxa"/>
            <w:tcBorders>
              <w:top w:val="nil"/>
              <w:left w:val="single" w:sz="4" w:space="0" w:color="auto"/>
              <w:bottom w:val="single" w:sz="4" w:space="0" w:color="auto"/>
              <w:right w:val="single" w:sz="4" w:space="0" w:color="auto"/>
            </w:tcBorders>
            <w:shd w:val="clear" w:color="000000" w:fill="E6E7E8"/>
            <w:vAlign w:val="center"/>
            <w:hideMark/>
          </w:tcPr>
          <w:p w14:paraId="40F65243" w14:textId="77777777" w:rsidR="00002D76" w:rsidRPr="00F616A2" w:rsidRDefault="00002D76" w:rsidP="00D63204">
            <w:pPr>
              <w:spacing w:after="0" w:line="240" w:lineRule="auto"/>
              <w:rPr>
                <w:rFonts w:ascii="Calibri" w:hAnsi="Calibri"/>
                <w:color w:val="231F20"/>
                <w:sz w:val="16"/>
                <w:szCs w:val="16"/>
              </w:rPr>
            </w:pPr>
            <w:r w:rsidRPr="00F616A2">
              <w:rPr>
                <w:rFonts w:ascii="Calibri" w:hAnsi="Calibri"/>
                <w:color w:val="231F20"/>
                <w:sz w:val="16"/>
                <w:szCs w:val="16"/>
              </w:rPr>
              <w:t>150000</w:t>
            </w:r>
          </w:p>
        </w:tc>
        <w:tc>
          <w:tcPr>
            <w:tcW w:w="3620" w:type="dxa"/>
            <w:tcBorders>
              <w:top w:val="nil"/>
              <w:left w:val="nil"/>
              <w:bottom w:val="single" w:sz="4" w:space="0" w:color="auto"/>
              <w:right w:val="single" w:sz="4" w:space="0" w:color="auto"/>
            </w:tcBorders>
            <w:shd w:val="clear" w:color="000000" w:fill="E6E7E8"/>
            <w:vAlign w:val="center"/>
            <w:hideMark/>
          </w:tcPr>
          <w:p w14:paraId="44BE98F9" w14:textId="77777777" w:rsidR="00002D76" w:rsidRPr="00F616A2" w:rsidRDefault="00002D76" w:rsidP="001429C7">
            <w:pPr>
              <w:spacing w:after="0" w:line="240" w:lineRule="auto"/>
              <w:rPr>
                <w:rFonts w:ascii="Calibri" w:hAnsi="Calibri"/>
                <w:color w:val="231F20"/>
                <w:sz w:val="16"/>
                <w:szCs w:val="16"/>
              </w:rPr>
            </w:pPr>
            <w:r w:rsidRPr="00F616A2">
              <w:rPr>
                <w:rFonts w:ascii="Calibri" w:hAnsi="Calibri"/>
                <w:color w:val="231F20"/>
                <w:sz w:val="16"/>
                <w:szCs w:val="16"/>
              </w:rPr>
              <w:t>Computer and Mathematical</w:t>
            </w:r>
          </w:p>
        </w:tc>
        <w:tc>
          <w:tcPr>
            <w:tcW w:w="1520" w:type="dxa"/>
            <w:tcBorders>
              <w:top w:val="nil"/>
              <w:left w:val="nil"/>
              <w:bottom w:val="single" w:sz="4" w:space="0" w:color="auto"/>
              <w:right w:val="single" w:sz="4" w:space="0" w:color="auto"/>
            </w:tcBorders>
            <w:shd w:val="clear" w:color="000000" w:fill="E6E7E8"/>
            <w:vAlign w:val="center"/>
            <w:hideMark/>
          </w:tcPr>
          <w:p w14:paraId="5EFF70FB" w14:textId="77777777" w:rsidR="00002D76" w:rsidRPr="00F616A2" w:rsidRDefault="00002D76" w:rsidP="00D63204">
            <w:pPr>
              <w:spacing w:after="0" w:line="240" w:lineRule="auto"/>
              <w:rPr>
                <w:rFonts w:ascii="Calibri" w:hAnsi="Calibri"/>
                <w:color w:val="231F20"/>
                <w:sz w:val="16"/>
                <w:szCs w:val="16"/>
              </w:rPr>
            </w:pPr>
            <w:r w:rsidRPr="00F616A2">
              <w:rPr>
                <w:rFonts w:ascii="Calibri" w:hAnsi="Calibri"/>
                <w:color w:val="231F20"/>
                <w:sz w:val="16"/>
                <w:szCs w:val="16"/>
              </w:rPr>
              <w:t>210,670</w:t>
            </w:r>
          </w:p>
        </w:tc>
        <w:tc>
          <w:tcPr>
            <w:tcW w:w="720" w:type="dxa"/>
            <w:tcBorders>
              <w:top w:val="nil"/>
              <w:left w:val="nil"/>
              <w:bottom w:val="single" w:sz="4" w:space="0" w:color="auto"/>
              <w:right w:val="single" w:sz="4" w:space="0" w:color="auto"/>
            </w:tcBorders>
            <w:shd w:val="clear" w:color="000000" w:fill="E6E7E8"/>
            <w:vAlign w:val="center"/>
            <w:hideMark/>
          </w:tcPr>
          <w:p w14:paraId="089E35F0" w14:textId="77777777" w:rsidR="00002D76" w:rsidRPr="00F616A2" w:rsidRDefault="00002D76" w:rsidP="00D63204">
            <w:pPr>
              <w:spacing w:after="0" w:line="240" w:lineRule="auto"/>
              <w:rPr>
                <w:rFonts w:ascii="Calibri" w:hAnsi="Calibri"/>
                <w:color w:val="231F20"/>
                <w:sz w:val="16"/>
                <w:szCs w:val="16"/>
              </w:rPr>
            </w:pPr>
            <w:r w:rsidRPr="00F616A2">
              <w:rPr>
                <w:rFonts w:ascii="Calibri" w:hAnsi="Calibri"/>
                <w:color w:val="231F20"/>
                <w:sz w:val="16"/>
                <w:szCs w:val="16"/>
              </w:rPr>
              <w:t>2.3%</w:t>
            </w:r>
          </w:p>
        </w:tc>
      </w:tr>
      <w:tr w:rsidR="00002D76" w:rsidRPr="00F616A2" w14:paraId="3E391692" w14:textId="77777777" w:rsidTr="001429C7">
        <w:trPr>
          <w:trHeight w:hRule="exact" w:val="300"/>
          <w:jc w:val="center"/>
        </w:trPr>
        <w:tc>
          <w:tcPr>
            <w:tcW w:w="1260" w:type="dxa"/>
            <w:tcBorders>
              <w:top w:val="nil"/>
              <w:left w:val="single" w:sz="4" w:space="0" w:color="auto"/>
              <w:bottom w:val="single" w:sz="4" w:space="0" w:color="auto"/>
              <w:right w:val="single" w:sz="4" w:space="0" w:color="auto"/>
            </w:tcBorders>
            <w:shd w:val="clear" w:color="auto" w:fill="auto"/>
            <w:vAlign w:val="center"/>
            <w:hideMark/>
          </w:tcPr>
          <w:p w14:paraId="5106EED3" w14:textId="77777777" w:rsidR="00002D76" w:rsidRPr="00F616A2" w:rsidRDefault="00002D76" w:rsidP="00D63204">
            <w:pPr>
              <w:spacing w:after="0" w:line="240" w:lineRule="auto"/>
              <w:rPr>
                <w:rFonts w:ascii="Calibri" w:hAnsi="Calibri"/>
                <w:color w:val="231F20"/>
                <w:sz w:val="16"/>
                <w:szCs w:val="16"/>
              </w:rPr>
            </w:pPr>
            <w:r w:rsidRPr="00F616A2">
              <w:rPr>
                <w:rFonts w:ascii="Calibri" w:hAnsi="Calibri"/>
                <w:color w:val="231F20"/>
                <w:sz w:val="16"/>
                <w:szCs w:val="16"/>
              </w:rPr>
              <w:t>170000</w:t>
            </w:r>
          </w:p>
        </w:tc>
        <w:tc>
          <w:tcPr>
            <w:tcW w:w="3620" w:type="dxa"/>
            <w:tcBorders>
              <w:top w:val="nil"/>
              <w:left w:val="nil"/>
              <w:bottom w:val="single" w:sz="4" w:space="0" w:color="auto"/>
              <w:right w:val="single" w:sz="4" w:space="0" w:color="auto"/>
            </w:tcBorders>
            <w:shd w:val="clear" w:color="auto" w:fill="auto"/>
            <w:vAlign w:val="center"/>
            <w:hideMark/>
          </w:tcPr>
          <w:p w14:paraId="12050712" w14:textId="77777777" w:rsidR="00002D76" w:rsidRPr="00F616A2" w:rsidRDefault="00002D76" w:rsidP="001429C7">
            <w:pPr>
              <w:spacing w:after="0" w:line="240" w:lineRule="auto"/>
              <w:rPr>
                <w:rFonts w:ascii="Calibri" w:hAnsi="Calibri"/>
                <w:color w:val="231F20"/>
                <w:sz w:val="16"/>
                <w:szCs w:val="16"/>
              </w:rPr>
            </w:pPr>
            <w:r w:rsidRPr="00F616A2">
              <w:rPr>
                <w:rFonts w:ascii="Calibri" w:hAnsi="Calibri"/>
                <w:color w:val="231F20"/>
                <w:sz w:val="16"/>
                <w:szCs w:val="16"/>
              </w:rPr>
              <w:t>Architecture and Engineering</w:t>
            </w:r>
          </w:p>
        </w:tc>
        <w:tc>
          <w:tcPr>
            <w:tcW w:w="1520" w:type="dxa"/>
            <w:tcBorders>
              <w:top w:val="nil"/>
              <w:left w:val="nil"/>
              <w:bottom w:val="single" w:sz="4" w:space="0" w:color="auto"/>
              <w:right w:val="single" w:sz="4" w:space="0" w:color="auto"/>
            </w:tcBorders>
            <w:shd w:val="clear" w:color="auto" w:fill="auto"/>
            <w:vAlign w:val="center"/>
            <w:hideMark/>
          </w:tcPr>
          <w:p w14:paraId="65ECFF06" w14:textId="77777777" w:rsidR="00002D76" w:rsidRPr="00F616A2" w:rsidRDefault="00002D76" w:rsidP="00D63204">
            <w:pPr>
              <w:spacing w:after="0" w:line="240" w:lineRule="auto"/>
              <w:rPr>
                <w:rFonts w:ascii="Calibri" w:hAnsi="Calibri"/>
                <w:color w:val="231F20"/>
                <w:sz w:val="16"/>
                <w:szCs w:val="16"/>
              </w:rPr>
            </w:pPr>
            <w:r w:rsidRPr="00F616A2">
              <w:rPr>
                <w:rFonts w:ascii="Calibri" w:hAnsi="Calibri"/>
                <w:color w:val="231F20"/>
                <w:sz w:val="16"/>
                <w:szCs w:val="16"/>
              </w:rPr>
              <w:t>113,063</w:t>
            </w:r>
          </w:p>
        </w:tc>
        <w:tc>
          <w:tcPr>
            <w:tcW w:w="720" w:type="dxa"/>
            <w:tcBorders>
              <w:top w:val="nil"/>
              <w:left w:val="nil"/>
              <w:bottom w:val="single" w:sz="4" w:space="0" w:color="auto"/>
              <w:right w:val="single" w:sz="4" w:space="0" w:color="auto"/>
            </w:tcBorders>
            <w:shd w:val="clear" w:color="auto" w:fill="auto"/>
            <w:vAlign w:val="center"/>
            <w:hideMark/>
          </w:tcPr>
          <w:p w14:paraId="50007FF1" w14:textId="77777777" w:rsidR="00002D76" w:rsidRPr="00F616A2" w:rsidRDefault="00002D76" w:rsidP="00D63204">
            <w:pPr>
              <w:spacing w:after="0" w:line="240" w:lineRule="auto"/>
              <w:rPr>
                <w:rFonts w:ascii="Calibri" w:hAnsi="Calibri"/>
                <w:color w:val="231F20"/>
                <w:sz w:val="16"/>
                <w:szCs w:val="16"/>
              </w:rPr>
            </w:pPr>
            <w:r w:rsidRPr="00F616A2">
              <w:rPr>
                <w:rFonts w:ascii="Calibri" w:hAnsi="Calibri"/>
                <w:color w:val="231F20"/>
                <w:sz w:val="16"/>
                <w:szCs w:val="16"/>
              </w:rPr>
              <w:t>1.2%</w:t>
            </w:r>
          </w:p>
        </w:tc>
      </w:tr>
      <w:tr w:rsidR="00002D76" w:rsidRPr="00F616A2" w14:paraId="4F337F5B" w14:textId="77777777" w:rsidTr="001429C7">
        <w:trPr>
          <w:trHeight w:hRule="exact" w:val="300"/>
          <w:jc w:val="center"/>
        </w:trPr>
        <w:tc>
          <w:tcPr>
            <w:tcW w:w="1260" w:type="dxa"/>
            <w:tcBorders>
              <w:top w:val="nil"/>
              <w:left w:val="single" w:sz="4" w:space="0" w:color="auto"/>
              <w:bottom w:val="single" w:sz="4" w:space="0" w:color="auto"/>
              <w:right w:val="single" w:sz="4" w:space="0" w:color="auto"/>
            </w:tcBorders>
            <w:shd w:val="clear" w:color="000000" w:fill="E6E7E8"/>
            <w:vAlign w:val="center"/>
            <w:hideMark/>
          </w:tcPr>
          <w:p w14:paraId="2F23A699" w14:textId="77777777" w:rsidR="00002D76" w:rsidRPr="00F616A2" w:rsidRDefault="00002D76" w:rsidP="00D63204">
            <w:pPr>
              <w:spacing w:after="0" w:line="240" w:lineRule="auto"/>
              <w:rPr>
                <w:rFonts w:ascii="Calibri" w:hAnsi="Calibri"/>
                <w:color w:val="231F20"/>
                <w:sz w:val="16"/>
                <w:szCs w:val="16"/>
              </w:rPr>
            </w:pPr>
            <w:r w:rsidRPr="00F616A2">
              <w:rPr>
                <w:rFonts w:ascii="Calibri" w:hAnsi="Calibri"/>
                <w:color w:val="231F20"/>
                <w:sz w:val="16"/>
                <w:szCs w:val="16"/>
              </w:rPr>
              <w:t>190000</w:t>
            </w:r>
          </w:p>
        </w:tc>
        <w:tc>
          <w:tcPr>
            <w:tcW w:w="3620" w:type="dxa"/>
            <w:tcBorders>
              <w:top w:val="nil"/>
              <w:left w:val="nil"/>
              <w:bottom w:val="single" w:sz="4" w:space="0" w:color="auto"/>
              <w:right w:val="single" w:sz="4" w:space="0" w:color="auto"/>
            </w:tcBorders>
            <w:shd w:val="clear" w:color="000000" w:fill="E6E7E8"/>
            <w:vAlign w:val="center"/>
            <w:hideMark/>
          </w:tcPr>
          <w:p w14:paraId="05BB00F8" w14:textId="138A2A27" w:rsidR="00002D76" w:rsidRPr="00F616A2" w:rsidRDefault="00002D76" w:rsidP="001429C7">
            <w:pPr>
              <w:spacing w:after="0" w:line="240" w:lineRule="auto"/>
              <w:rPr>
                <w:rFonts w:ascii="Calibri" w:hAnsi="Calibri"/>
                <w:color w:val="231F20"/>
                <w:sz w:val="16"/>
                <w:szCs w:val="16"/>
              </w:rPr>
            </w:pPr>
            <w:r w:rsidRPr="00F616A2">
              <w:rPr>
                <w:rFonts w:ascii="Calibri" w:hAnsi="Calibri"/>
                <w:color w:val="231F20"/>
                <w:sz w:val="16"/>
                <w:szCs w:val="16"/>
              </w:rPr>
              <w:t>Life, Physical</w:t>
            </w:r>
            <w:r w:rsidR="00D5537E">
              <w:rPr>
                <w:rFonts w:ascii="Calibri" w:hAnsi="Calibri"/>
                <w:color w:val="231F20"/>
                <w:sz w:val="16"/>
                <w:szCs w:val="16"/>
              </w:rPr>
              <w:t xml:space="preserve"> and</w:t>
            </w:r>
            <w:r w:rsidRPr="00F616A2">
              <w:rPr>
                <w:rFonts w:ascii="Calibri" w:hAnsi="Calibri"/>
                <w:color w:val="231F20"/>
                <w:sz w:val="16"/>
                <w:szCs w:val="16"/>
              </w:rPr>
              <w:t xml:space="preserve"> Social Science</w:t>
            </w:r>
          </w:p>
        </w:tc>
        <w:tc>
          <w:tcPr>
            <w:tcW w:w="1520" w:type="dxa"/>
            <w:tcBorders>
              <w:top w:val="nil"/>
              <w:left w:val="nil"/>
              <w:bottom w:val="single" w:sz="4" w:space="0" w:color="auto"/>
              <w:right w:val="single" w:sz="4" w:space="0" w:color="auto"/>
            </w:tcBorders>
            <w:shd w:val="clear" w:color="000000" w:fill="E6E7E8"/>
            <w:vAlign w:val="center"/>
            <w:hideMark/>
          </w:tcPr>
          <w:p w14:paraId="7220E536" w14:textId="77777777" w:rsidR="00002D76" w:rsidRPr="00F616A2" w:rsidRDefault="00002D76" w:rsidP="00D63204">
            <w:pPr>
              <w:spacing w:after="0" w:line="240" w:lineRule="auto"/>
              <w:rPr>
                <w:rFonts w:ascii="Calibri" w:hAnsi="Calibri"/>
                <w:color w:val="231F20"/>
                <w:sz w:val="16"/>
                <w:szCs w:val="16"/>
              </w:rPr>
            </w:pPr>
            <w:r w:rsidRPr="00F616A2">
              <w:rPr>
                <w:rFonts w:ascii="Calibri" w:hAnsi="Calibri"/>
                <w:color w:val="231F20"/>
                <w:sz w:val="16"/>
                <w:szCs w:val="16"/>
              </w:rPr>
              <w:t>43,099</w:t>
            </w:r>
          </w:p>
        </w:tc>
        <w:tc>
          <w:tcPr>
            <w:tcW w:w="720" w:type="dxa"/>
            <w:tcBorders>
              <w:top w:val="nil"/>
              <w:left w:val="nil"/>
              <w:bottom w:val="single" w:sz="4" w:space="0" w:color="auto"/>
              <w:right w:val="single" w:sz="4" w:space="0" w:color="auto"/>
            </w:tcBorders>
            <w:shd w:val="clear" w:color="000000" w:fill="E6E7E8"/>
            <w:vAlign w:val="center"/>
            <w:hideMark/>
          </w:tcPr>
          <w:p w14:paraId="73062E84" w14:textId="77777777" w:rsidR="00002D76" w:rsidRPr="00F616A2" w:rsidRDefault="00002D76" w:rsidP="00D63204">
            <w:pPr>
              <w:spacing w:after="0" w:line="240" w:lineRule="auto"/>
              <w:rPr>
                <w:rFonts w:ascii="Calibri" w:hAnsi="Calibri"/>
                <w:color w:val="231F20"/>
                <w:sz w:val="16"/>
                <w:szCs w:val="16"/>
              </w:rPr>
            </w:pPr>
            <w:r w:rsidRPr="00F616A2">
              <w:rPr>
                <w:rFonts w:ascii="Calibri" w:hAnsi="Calibri"/>
                <w:color w:val="231F20"/>
                <w:sz w:val="16"/>
                <w:szCs w:val="16"/>
              </w:rPr>
              <w:t>0.5%</w:t>
            </w:r>
          </w:p>
        </w:tc>
      </w:tr>
      <w:tr w:rsidR="00002D76" w:rsidRPr="00F616A2" w14:paraId="74E225E8" w14:textId="77777777" w:rsidTr="001429C7">
        <w:trPr>
          <w:trHeight w:hRule="exact" w:val="300"/>
          <w:jc w:val="center"/>
        </w:trPr>
        <w:tc>
          <w:tcPr>
            <w:tcW w:w="1260" w:type="dxa"/>
            <w:tcBorders>
              <w:top w:val="nil"/>
              <w:left w:val="single" w:sz="4" w:space="0" w:color="auto"/>
              <w:bottom w:val="single" w:sz="4" w:space="0" w:color="auto"/>
              <w:right w:val="single" w:sz="4" w:space="0" w:color="auto"/>
            </w:tcBorders>
            <w:shd w:val="clear" w:color="auto" w:fill="auto"/>
            <w:vAlign w:val="center"/>
            <w:hideMark/>
          </w:tcPr>
          <w:p w14:paraId="05A99436" w14:textId="77777777" w:rsidR="00002D76" w:rsidRPr="00F616A2" w:rsidRDefault="00002D76" w:rsidP="00D63204">
            <w:pPr>
              <w:spacing w:after="0" w:line="240" w:lineRule="auto"/>
              <w:rPr>
                <w:rFonts w:ascii="Calibri" w:hAnsi="Calibri"/>
                <w:color w:val="231F20"/>
                <w:sz w:val="16"/>
                <w:szCs w:val="16"/>
              </w:rPr>
            </w:pPr>
            <w:r w:rsidRPr="00F616A2">
              <w:rPr>
                <w:rFonts w:ascii="Calibri" w:hAnsi="Calibri"/>
                <w:color w:val="231F20"/>
                <w:sz w:val="16"/>
                <w:szCs w:val="16"/>
              </w:rPr>
              <w:t>210000</w:t>
            </w:r>
          </w:p>
        </w:tc>
        <w:tc>
          <w:tcPr>
            <w:tcW w:w="3620" w:type="dxa"/>
            <w:tcBorders>
              <w:top w:val="nil"/>
              <w:left w:val="nil"/>
              <w:bottom w:val="single" w:sz="4" w:space="0" w:color="auto"/>
              <w:right w:val="single" w:sz="4" w:space="0" w:color="auto"/>
            </w:tcBorders>
            <w:shd w:val="clear" w:color="auto" w:fill="auto"/>
            <w:vAlign w:val="center"/>
            <w:hideMark/>
          </w:tcPr>
          <w:p w14:paraId="55A7A066" w14:textId="77777777" w:rsidR="00002D76" w:rsidRPr="00F616A2" w:rsidRDefault="00002D76" w:rsidP="001429C7">
            <w:pPr>
              <w:spacing w:after="0" w:line="240" w:lineRule="auto"/>
              <w:rPr>
                <w:rFonts w:ascii="Calibri" w:hAnsi="Calibri"/>
                <w:color w:val="231F20"/>
                <w:sz w:val="16"/>
                <w:szCs w:val="16"/>
              </w:rPr>
            </w:pPr>
            <w:r w:rsidRPr="00F616A2">
              <w:rPr>
                <w:rFonts w:ascii="Calibri" w:hAnsi="Calibri"/>
                <w:color w:val="231F20"/>
                <w:sz w:val="16"/>
                <w:szCs w:val="16"/>
              </w:rPr>
              <w:t>Community and Social Service</w:t>
            </w:r>
          </w:p>
        </w:tc>
        <w:tc>
          <w:tcPr>
            <w:tcW w:w="1520" w:type="dxa"/>
            <w:tcBorders>
              <w:top w:val="nil"/>
              <w:left w:val="nil"/>
              <w:bottom w:val="single" w:sz="4" w:space="0" w:color="auto"/>
              <w:right w:val="single" w:sz="4" w:space="0" w:color="auto"/>
            </w:tcBorders>
            <w:shd w:val="clear" w:color="auto" w:fill="auto"/>
            <w:vAlign w:val="center"/>
            <w:hideMark/>
          </w:tcPr>
          <w:p w14:paraId="1AC15F85" w14:textId="77777777" w:rsidR="00002D76" w:rsidRPr="00F616A2" w:rsidRDefault="00002D76" w:rsidP="00D63204">
            <w:pPr>
              <w:spacing w:after="0" w:line="240" w:lineRule="auto"/>
              <w:rPr>
                <w:rFonts w:ascii="Calibri" w:hAnsi="Calibri"/>
                <w:color w:val="231F20"/>
                <w:sz w:val="16"/>
                <w:szCs w:val="16"/>
              </w:rPr>
            </w:pPr>
            <w:r w:rsidRPr="00F616A2">
              <w:rPr>
                <w:rFonts w:ascii="Calibri" w:hAnsi="Calibri"/>
                <w:color w:val="231F20"/>
                <w:sz w:val="16"/>
                <w:szCs w:val="16"/>
              </w:rPr>
              <w:t>111,120</w:t>
            </w:r>
          </w:p>
        </w:tc>
        <w:tc>
          <w:tcPr>
            <w:tcW w:w="720" w:type="dxa"/>
            <w:tcBorders>
              <w:top w:val="nil"/>
              <w:left w:val="nil"/>
              <w:bottom w:val="single" w:sz="4" w:space="0" w:color="auto"/>
              <w:right w:val="single" w:sz="4" w:space="0" w:color="auto"/>
            </w:tcBorders>
            <w:shd w:val="clear" w:color="auto" w:fill="auto"/>
            <w:vAlign w:val="center"/>
            <w:hideMark/>
          </w:tcPr>
          <w:p w14:paraId="077A2B77" w14:textId="77777777" w:rsidR="00002D76" w:rsidRPr="00F616A2" w:rsidRDefault="00002D76" w:rsidP="00D63204">
            <w:pPr>
              <w:spacing w:after="0" w:line="240" w:lineRule="auto"/>
              <w:rPr>
                <w:rFonts w:ascii="Calibri" w:hAnsi="Calibri"/>
                <w:color w:val="231F20"/>
                <w:sz w:val="16"/>
                <w:szCs w:val="16"/>
              </w:rPr>
            </w:pPr>
            <w:r w:rsidRPr="00F616A2">
              <w:rPr>
                <w:rFonts w:ascii="Calibri" w:hAnsi="Calibri"/>
                <w:color w:val="231F20"/>
                <w:sz w:val="16"/>
                <w:szCs w:val="16"/>
              </w:rPr>
              <w:t>1.2%</w:t>
            </w:r>
          </w:p>
        </w:tc>
      </w:tr>
      <w:tr w:rsidR="00002D76" w:rsidRPr="00F616A2" w14:paraId="56EBFE39" w14:textId="77777777" w:rsidTr="001429C7">
        <w:trPr>
          <w:trHeight w:hRule="exact" w:val="300"/>
          <w:jc w:val="center"/>
        </w:trPr>
        <w:tc>
          <w:tcPr>
            <w:tcW w:w="1260" w:type="dxa"/>
            <w:tcBorders>
              <w:top w:val="nil"/>
              <w:left w:val="single" w:sz="4" w:space="0" w:color="auto"/>
              <w:bottom w:val="single" w:sz="4" w:space="0" w:color="auto"/>
              <w:right w:val="single" w:sz="4" w:space="0" w:color="auto"/>
            </w:tcBorders>
            <w:shd w:val="clear" w:color="000000" w:fill="E6E7E8"/>
            <w:vAlign w:val="center"/>
            <w:hideMark/>
          </w:tcPr>
          <w:p w14:paraId="22D51F88" w14:textId="77777777" w:rsidR="00002D76" w:rsidRPr="00F616A2" w:rsidRDefault="00002D76" w:rsidP="00D63204">
            <w:pPr>
              <w:spacing w:after="0" w:line="240" w:lineRule="auto"/>
              <w:rPr>
                <w:rFonts w:ascii="Calibri" w:hAnsi="Calibri"/>
                <w:color w:val="231F20"/>
                <w:sz w:val="16"/>
                <w:szCs w:val="16"/>
              </w:rPr>
            </w:pPr>
            <w:r w:rsidRPr="00F616A2">
              <w:rPr>
                <w:rFonts w:ascii="Calibri" w:hAnsi="Calibri"/>
                <w:color w:val="231F20"/>
                <w:sz w:val="16"/>
                <w:szCs w:val="16"/>
              </w:rPr>
              <w:t>230000</w:t>
            </w:r>
          </w:p>
        </w:tc>
        <w:tc>
          <w:tcPr>
            <w:tcW w:w="3620" w:type="dxa"/>
            <w:tcBorders>
              <w:top w:val="nil"/>
              <w:left w:val="nil"/>
              <w:bottom w:val="single" w:sz="4" w:space="0" w:color="auto"/>
              <w:right w:val="single" w:sz="4" w:space="0" w:color="auto"/>
            </w:tcBorders>
            <w:shd w:val="clear" w:color="000000" w:fill="E6E7E8"/>
            <w:vAlign w:val="center"/>
            <w:hideMark/>
          </w:tcPr>
          <w:p w14:paraId="65276DC2" w14:textId="77777777" w:rsidR="00002D76" w:rsidRPr="00F616A2" w:rsidRDefault="00002D76" w:rsidP="001429C7">
            <w:pPr>
              <w:spacing w:after="0" w:line="240" w:lineRule="auto"/>
              <w:rPr>
                <w:rFonts w:ascii="Calibri" w:hAnsi="Calibri"/>
                <w:color w:val="231F20"/>
                <w:sz w:val="16"/>
                <w:szCs w:val="16"/>
              </w:rPr>
            </w:pPr>
            <w:r w:rsidRPr="00F616A2">
              <w:rPr>
                <w:rFonts w:ascii="Calibri" w:hAnsi="Calibri"/>
                <w:color w:val="231F20"/>
                <w:sz w:val="16"/>
                <w:szCs w:val="16"/>
              </w:rPr>
              <w:t>Legal</w:t>
            </w:r>
          </w:p>
        </w:tc>
        <w:tc>
          <w:tcPr>
            <w:tcW w:w="1520" w:type="dxa"/>
            <w:tcBorders>
              <w:top w:val="nil"/>
              <w:left w:val="nil"/>
              <w:bottom w:val="single" w:sz="4" w:space="0" w:color="auto"/>
              <w:right w:val="single" w:sz="4" w:space="0" w:color="auto"/>
            </w:tcBorders>
            <w:shd w:val="clear" w:color="000000" w:fill="E6E7E8"/>
            <w:vAlign w:val="center"/>
            <w:hideMark/>
          </w:tcPr>
          <w:p w14:paraId="34AAA503" w14:textId="77777777" w:rsidR="00002D76" w:rsidRPr="00F616A2" w:rsidRDefault="00002D76" w:rsidP="00D63204">
            <w:pPr>
              <w:spacing w:after="0" w:line="240" w:lineRule="auto"/>
              <w:rPr>
                <w:rFonts w:ascii="Calibri" w:hAnsi="Calibri"/>
                <w:color w:val="231F20"/>
                <w:sz w:val="16"/>
                <w:szCs w:val="16"/>
              </w:rPr>
            </w:pPr>
            <w:r w:rsidRPr="00F616A2">
              <w:rPr>
                <w:rFonts w:ascii="Calibri" w:hAnsi="Calibri"/>
                <w:color w:val="231F20"/>
                <w:sz w:val="16"/>
                <w:szCs w:val="16"/>
              </w:rPr>
              <w:t>100,104</w:t>
            </w:r>
          </w:p>
        </w:tc>
        <w:tc>
          <w:tcPr>
            <w:tcW w:w="720" w:type="dxa"/>
            <w:tcBorders>
              <w:top w:val="nil"/>
              <w:left w:val="nil"/>
              <w:bottom w:val="single" w:sz="4" w:space="0" w:color="auto"/>
              <w:right w:val="single" w:sz="4" w:space="0" w:color="auto"/>
            </w:tcBorders>
            <w:shd w:val="clear" w:color="000000" w:fill="E6E7E8"/>
            <w:vAlign w:val="center"/>
            <w:hideMark/>
          </w:tcPr>
          <w:p w14:paraId="11892F65" w14:textId="77777777" w:rsidR="00002D76" w:rsidRPr="00F616A2" w:rsidRDefault="00002D76" w:rsidP="00D63204">
            <w:pPr>
              <w:spacing w:after="0" w:line="240" w:lineRule="auto"/>
              <w:rPr>
                <w:rFonts w:ascii="Calibri" w:hAnsi="Calibri"/>
                <w:color w:val="231F20"/>
                <w:sz w:val="16"/>
                <w:szCs w:val="16"/>
              </w:rPr>
            </w:pPr>
            <w:r w:rsidRPr="00F616A2">
              <w:rPr>
                <w:rFonts w:ascii="Calibri" w:hAnsi="Calibri"/>
                <w:color w:val="231F20"/>
                <w:sz w:val="16"/>
                <w:szCs w:val="16"/>
              </w:rPr>
              <w:t>1.1%</w:t>
            </w:r>
          </w:p>
        </w:tc>
      </w:tr>
      <w:tr w:rsidR="00002D76" w:rsidRPr="00F616A2" w14:paraId="7377D685" w14:textId="77777777" w:rsidTr="001429C7">
        <w:trPr>
          <w:trHeight w:hRule="exact" w:val="300"/>
          <w:jc w:val="center"/>
        </w:trPr>
        <w:tc>
          <w:tcPr>
            <w:tcW w:w="1260" w:type="dxa"/>
            <w:tcBorders>
              <w:top w:val="nil"/>
              <w:left w:val="single" w:sz="4" w:space="0" w:color="auto"/>
              <w:bottom w:val="single" w:sz="4" w:space="0" w:color="auto"/>
              <w:right w:val="single" w:sz="4" w:space="0" w:color="auto"/>
            </w:tcBorders>
            <w:shd w:val="clear" w:color="auto" w:fill="auto"/>
            <w:vAlign w:val="center"/>
            <w:hideMark/>
          </w:tcPr>
          <w:p w14:paraId="3684A3F4" w14:textId="77777777" w:rsidR="00002D76" w:rsidRPr="00F616A2" w:rsidRDefault="00002D76" w:rsidP="00D63204">
            <w:pPr>
              <w:spacing w:after="0" w:line="240" w:lineRule="auto"/>
              <w:rPr>
                <w:rFonts w:ascii="Calibri" w:hAnsi="Calibri"/>
                <w:color w:val="231F20"/>
                <w:sz w:val="16"/>
                <w:szCs w:val="16"/>
              </w:rPr>
            </w:pPr>
            <w:r w:rsidRPr="00F616A2">
              <w:rPr>
                <w:rFonts w:ascii="Calibri" w:hAnsi="Calibri"/>
                <w:color w:val="231F20"/>
                <w:sz w:val="16"/>
                <w:szCs w:val="16"/>
              </w:rPr>
              <w:t>250000</w:t>
            </w:r>
          </w:p>
        </w:tc>
        <w:tc>
          <w:tcPr>
            <w:tcW w:w="3620" w:type="dxa"/>
            <w:tcBorders>
              <w:top w:val="nil"/>
              <w:left w:val="nil"/>
              <w:bottom w:val="single" w:sz="4" w:space="0" w:color="auto"/>
              <w:right w:val="single" w:sz="4" w:space="0" w:color="auto"/>
            </w:tcBorders>
            <w:shd w:val="clear" w:color="auto" w:fill="auto"/>
            <w:vAlign w:val="center"/>
            <w:hideMark/>
          </w:tcPr>
          <w:p w14:paraId="199299EA" w14:textId="367FD25D" w:rsidR="00002D76" w:rsidRPr="00F616A2" w:rsidRDefault="00002D76" w:rsidP="001429C7">
            <w:pPr>
              <w:spacing w:after="0" w:line="240" w:lineRule="auto"/>
              <w:rPr>
                <w:rFonts w:ascii="Calibri" w:hAnsi="Calibri"/>
                <w:color w:val="231F20"/>
                <w:sz w:val="16"/>
                <w:szCs w:val="16"/>
              </w:rPr>
            </w:pPr>
            <w:r w:rsidRPr="00F616A2">
              <w:rPr>
                <w:rFonts w:ascii="Calibri" w:hAnsi="Calibri"/>
                <w:color w:val="231F20"/>
                <w:sz w:val="16"/>
                <w:szCs w:val="16"/>
              </w:rPr>
              <w:t>Education, Training</w:t>
            </w:r>
            <w:r w:rsidR="00D5537E">
              <w:rPr>
                <w:rFonts w:ascii="Calibri" w:hAnsi="Calibri"/>
                <w:color w:val="231F20"/>
                <w:sz w:val="16"/>
                <w:szCs w:val="16"/>
              </w:rPr>
              <w:t xml:space="preserve"> and</w:t>
            </w:r>
            <w:r w:rsidRPr="00F616A2">
              <w:rPr>
                <w:rFonts w:ascii="Calibri" w:hAnsi="Calibri"/>
                <w:color w:val="231F20"/>
                <w:sz w:val="16"/>
                <w:szCs w:val="16"/>
              </w:rPr>
              <w:t xml:space="preserve"> Library</w:t>
            </w:r>
          </w:p>
        </w:tc>
        <w:tc>
          <w:tcPr>
            <w:tcW w:w="1520" w:type="dxa"/>
            <w:tcBorders>
              <w:top w:val="nil"/>
              <w:left w:val="nil"/>
              <w:bottom w:val="single" w:sz="4" w:space="0" w:color="auto"/>
              <w:right w:val="single" w:sz="4" w:space="0" w:color="auto"/>
            </w:tcBorders>
            <w:shd w:val="clear" w:color="auto" w:fill="auto"/>
            <w:vAlign w:val="center"/>
            <w:hideMark/>
          </w:tcPr>
          <w:p w14:paraId="28276A6B" w14:textId="77777777" w:rsidR="00002D76" w:rsidRPr="00F616A2" w:rsidRDefault="00002D76" w:rsidP="00D63204">
            <w:pPr>
              <w:spacing w:after="0" w:line="240" w:lineRule="auto"/>
              <w:rPr>
                <w:rFonts w:ascii="Calibri" w:hAnsi="Calibri"/>
                <w:color w:val="231F20"/>
                <w:sz w:val="16"/>
                <w:szCs w:val="16"/>
              </w:rPr>
            </w:pPr>
            <w:r w:rsidRPr="00F616A2">
              <w:rPr>
                <w:rFonts w:ascii="Calibri" w:hAnsi="Calibri"/>
                <w:color w:val="231F20"/>
                <w:sz w:val="16"/>
                <w:szCs w:val="16"/>
              </w:rPr>
              <w:t>448,660</w:t>
            </w:r>
          </w:p>
        </w:tc>
        <w:tc>
          <w:tcPr>
            <w:tcW w:w="720" w:type="dxa"/>
            <w:tcBorders>
              <w:top w:val="nil"/>
              <w:left w:val="nil"/>
              <w:bottom w:val="single" w:sz="4" w:space="0" w:color="auto"/>
              <w:right w:val="single" w:sz="4" w:space="0" w:color="auto"/>
            </w:tcBorders>
            <w:shd w:val="clear" w:color="auto" w:fill="auto"/>
            <w:vAlign w:val="center"/>
            <w:hideMark/>
          </w:tcPr>
          <w:p w14:paraId="0B2A5E7F" w14:textId="77777777" w:rsidR="00002D76" w:rsidRPr="00F616A2" w:rsidRDefault="00002D76" w:rsidP="00D63204">
            <w:pPr>
              <w:spacing w:after="0" w:line="240" w:lineRule="auto"/>
              <w:rPr>
                <w:rFonts w:ascii="Calibri" w:hAnsi="Calibri"/>
                <w:color w:val="231F20"/>
                <w:sz w:val="16"/>
                <w:szCs w:val="16"/>
              </w:rPr>
            </w:pPr>
            <w:r w:rsidRPr="00F616A2">
              <w:rPr>
                <w:rFonts w:ascii="Calibri" w:hAnsi="Calibri"/>
                <w:color w:val="231F20"/>
                <w:sz w:val="16"/>
                <w:szCs w:val="16"/>
              </w:rPr>
              <w:t>4.8%</w:t>
            </w:r>
          </w:p>
        </w:tc>
      </w:tr>
      <w:tr w:rsidR="00002D76" w:rsidRPr="00F616A2" w14:paraId="2E37119B" w14:textId="77777777" w:rsidTr="001429C7">
        <w:trPr>
          <w:trHeight w:hRule="exact" w:val="300"/>
          <w:jc w:val="center"/>
        </w:trPr>
        <w:tc>
          <w:tcPr>
            <w:tcW w:w="1260" w:type="dxa"/>
            <w:tcBorders>
              <w:top w:val="nil"/>
              <w:left w:val="single" w:sz="4" w:space="0" w:color="auto"/>
              <w:bottom w:val="single" w:sz="4" w:space="0" w:color="auto"/>
              <w:right w:val="single" w:sz="4" w:space="0" w:color="auto"/>
            </w:tcBorders>
            <w:shd w:val="clear" w:color="000000" w:fill="E6E7E8"/>
            <w:vAlign w:val="center"/>
            <w:hideMark/>
          </w:tcPr>
          <w:p w14:paraId="576DA8D9" w14:textId="77777777" w:rsidR="00002D76" w:rsidRPr="00F616A2" w:rsidRDefault="00002D76" w:rsidP="00D63204">
            <w:pPr>
              <w:spacing w:after="0" w:line="240" w:lineRule="auto"/>
              <w:rPr>
                <w:rFonts w:ascii="Calibri" w:hAnsi="Calibri"/>
                <w:color w:val="231F20"/>
                <w:sz w:val="16"/>
                <w:szCs w:val="16"/>
              </w:rPr>
            </w:pPr>
            <w:r w:rsidRPr="00F616A2">
              <w:rPr>
                <w:rFonts w:ascii="Calibri" w:hAnsi="Calibri"/>
                <w:color w:val="231F20"/>
                <w:sz w:val="16"/>
                <w:szCs w:val="16"/>
              </w:rPr>
              <w:t>270000</w:t>
            </w:r>
          </w:p>
        </w:tc>
        <w:tc>
          <w:tcPr>
            <w:tcW w:w="3620" w:type="dxa"/>
            <w:tcBorders>
              <w:top w:val="nil"/>
              <w:left w:val="nil"/>
              <w:bottom w:val="single" w:sz="4" w:space="0" w:color="auto"/>
              <w:right w:val="single" w:sz="4" w:space="0" w:color="auto"/>
            </w:tcBorders>
            <w:shd w:val="clear" w:color="000000" w:fill="E6E7E8"/>
            <w:vAlign w:val="center"/>
            <w:hideMark/>
          </w:tcPr>
          <w:p w14:paraId="24F3627A" w14:textId="60B61C77" w:rsidR="00002D76" w:rsidRPr="00F616A2" w:rsidRDefault="00002D76" w:rsidP="001429C7">
            <w:pPr>
              <w:spacing w:after="0" w:line="240" w:lineRule="auto"/>
              <w:rPr>
                <w:rFonts w:ascii="Calibri" w:hAnsi="Calibri"/>
                <w:color w:val="231F20"/>
                <w:sz w:val="16"/>
                <w:szCs w:val="16"/>
              </w:rPr>
            </w:pPr>
            <w:r w:rsidRPr="00F616A2">
              <w:rPr>
                <w:rFonts w:ascii="Calibri" w:hAnsi="Calibri"/>
                <w:color w:val="231F20"/>
                <w:sz w:val="16"/>
                <w:szCs w:val="16"/>
              </w:rPr>
              <w:t>Arts, Design, Entertainment, Sports</w:t>
            </w:r>
            <w:r w:rsidR="00D5537E">
              <w:rPr>
                <w:rFonts w:ascii="Calibri" w:hAnsi="Calibri"/>
                <w:color w:val="231F20"/>
                <w:sz w:val="16"/>
                <w:szCs w:val="16"/>
              </w:rPr>
              <w:t xml:space="preserve"> and</w:t>
            </w:r>
            <w:r w:rsidRPr="00F616A2">
              <w:rPr>
                <w:rFonts w:ascii="Calibri" w:hAnsi="Calibri"/>
                <w:color w:val="231F20"/>
                <w:sz w:val="16"/>
                <w:szCs w:val="16"/>
              </w:rPr>
              <w:t xml:space="preserve"> Media</w:t>
            </w:r>
          </w:p>
        </w:tc>
        <w:tc>
          <w:tcPr>
            <w:tcW w:w="1520" w:type="dxa"/>
            <w:tcBorders>
              <w:top w:val="nil"/>
              <w:left w:val="nil"/>
              <w:bottom w:val="single" w:sz="4" w:space="0" w:color="auto"/>
              <w:right w:val="single" w:sz="4" w:space="0" w:color="auto"/>
            </w:tcBorders>
            <w:shd w:val="clear" w:color="000000" w:fill="E6E7E8"/>
            <w:vAlign w:val="center"/>
            <w:hideMark/>
          </w:tcPr>
          <w:p w14:paraId="2815AD66" w14:textId="77777777" w:rsidR="00002D76" w:rsidRPr="00F616A2" w:rsidRDefault="00002D76" w:rsidP="00D63204">
            <w:pPr>
              <w:spacing w:after="0" w:line="240" w:lineRule="auto"/>
              <w:rPr>
                <w:rFonts w:ascii="Calibri" w:hAnsi="Calibri"/>
                <w:color w:val="231F20"/>
                <w:sz w:val="16"/>
                <w:szCs w:val="16"/>
              </w:rPr>
            </w:pPr>
            <w:r w:rsidRPr="00F616A2">
              <w:rPr>
                <w:rFonts w:ascii="Calibri" w:hAnsi="Calibri"/>
                <w:color w:val="231F20"/>
                <w:sz w:val="16"/>
                <w:szCs w:val="16"/>
              </w:rPr>
              <w:t>147,010</w:t>
            </w:r>
          </w:p>
        </w:tc>
        <w:tc>
          <w:tcPr>
            <w:tcW w:w="720" w:type="dxa"/>
            <w:tcBorders>
              <w:top w:val="nil"/>
              <w:left w:val="nil"/>
              <w:bottom w:val="single" w:sz="4" w:space="0" w:color="auto"/>
              <w:right w:val="single" w:sz="4" w:space="0" w:color="auto"/>
            </w:tcBorders>
            <w:shd w:val="clear" w:color="000000" w:fill="E6E7E8"/>
            <w:vAlign w:val="center"/>
            <w:hideMark/>
          </w:tcPr>
          <w:p w14:paraId="62A9FC0B" w14:textId="77777777" w:rsidR="00002D76" w:rsidRPr="00F616A2" w:rsidRDefault="00002D76" w:rsidP="00D63204">
            <w:pPr>
              <w:spacing w:after="0" w:line="240" w:lineRule="auto"/>
              <w:rPr>
                <w:rFonts w:ascii="Calibri" w:hAnsi="Calibri"/>
                <w:color w:val="231F20"/>
                <w:sz w:val="16"/>
                <w:szCs w:val="16"/>
              </w:rPr>
            </w:pPr>
            <w:r w:rsidRPr="00F616A2">
              <w:rPr>
                <w:rFonts w:ascii="Calibri" w:hAnsi="Calibri"/>
                <w:color w:val="231F20"/>
                <w:sz w:val="16"/>
                <w:szCs w:val="16"/>
              </w:rPr>
              <w:t>1.6%</w:t>
            </w:r>
          </w:p>
        </w:tc>
      </w:tr>
      <w:tr w:rsidR="00002D76" w:rsidRPr="00F616A2" w14:paraId="3B3C11CA" w14:textId="77777777" w:rsidTr="001429C7">
        <w:trPr>
          <w:trHeight w:hRule="exact" w:val="300"/>
          <w:jc w:val="center"/>
        </w:trPr>
        <w:tc>
          <w:tcPr>
            <w:tcW w:w="1260" w:type="dxa"/>
            <w:tcBorders>
              <w:top w:val="nil"/>
              <w:left w:val="single" w:sz="4" w:space="0" w:color="auto"/>
              <w:bottom w:val="single" w:sz="4" w:space="0" w:color="auto"/>
              <w:right w:val="single" w:sz="4" w:space="0" w:color="auto"/>
            </w:tcBorders>
            <w:shd w:val="clear" w:color="auto" w:fill="auto"/>
            <w:vAlign w:val="center"/>
            <w:hideMark/>
          </w:tcPr>
          <w:p w14:paraId="11AB3876" w14:textId="77777777" w:rsidR="00002D76" w:rsidRPr="00F616A2" w:rsidRDefault="00002D76" w:rsidP="00D63204">
            <w:pPr>
              <w:spacing w:after="0" w:line="240" w:lineRule="auto"/>
              <w:rPr>
                <w:rFonts w:ascii="Calibri" w:hAnsi="Calibri"/>
                <w:color w:val="231F20"/>
                <w:sz w:val="16"/>
                <w:szCs w:val="16"/>
              </w:rPr>
            </w:pPr>
            <w:r w:rsidRPr="00F616A2">
              <w:rPr>
                <w:rFonts w:ascii="Calibri" w:hAnsi="Calibri"/>
                <w:color w:val="231F20"/>
                <w:sz w:val="16"/>
                <w:szCs w:val="16"/>
              </w:rPr>
              <w:t>290000</w:t>
            </w:r>
          </w:p>
        </w:tc>
        <w:tc>
          <w:tcPr>
            <w:tcW w:w="3620" w:type="dxa"/>
            <w:tcBorders>
              <w:top w:val="nil"/>
              <w:left w:val="nil"/>
              <w:bottom w:val="single" w:sz="4" w:space="0" w:color="auto"/>
              <w:right w:val="single" w:sz="4" w:space="0" w:color="auto"/>
            </w:tcBorders>
            <w:shd w:val="clear" w:color="auto" w:fill="auto"/>
            <w:vAlign w:val="center"/>
            <w:hideMark/>
          </w:tcPr>
          <w:p w14:paraId="70A1AF7A" w14:textId="77777777" w:rsidR="00002D76" w:rsidRPr="00F616A2" w:rsidRDefault="00002D76" w:rsidP="001429C7">
            <w:pPr>
              <w:spacing w:after="0" w:line="240" w:lineRule="auto"/>
              <w:rPr>
                <w:rFonts w:ascii="Calibri" w:hAnsi="Calibri"/>
                <w:color w:val="231F20"/>
                <w:sz w:val="16"/>
                <w:szCs w:val="16"/>
              </w:rPr>
            </w:pPr>
            <w:r w:rsidRPr="00F616A2">
              <w:rPr>
                <w:rFonts w:ascii="Calibri" w:hAnsi="Calibri"/>
                <w:color w:val="231F20"/>
                <w:sz w:val="16"/>
                <w:szCs w:val="16"/>
              </w:rPr>
              <w:t>Healthcare Practitioners and Technical</w:t>
            </w:r>
          </w:p>
        </w:tc>
        <w:tc>
          <w:tcPr>
            <w:tcW w:w="1520" w:type="dxa"/>
            <w:tcBorders>
              <w:top w:val="nil"/>
              <w:left w:val="nil"/>
              <w:bottom w:val="single" w:sz="4" w:space="0" w:color="auto"/>
              <w:right w:val="single" w:sz="4" w:space="0" w:color="auto"/>
            </w:tcBorders>
            <w:shd w:val="clear" w:color="auto" w:fill="auto"/>
            <w:vAlign w:val="center"/>
            <w:hideMark/>
          </w:tcPr>
          <w:p w14:paraId="05D5C666" w14:textId="77777777" w:rsidR="00002D76" w:rsidRPr="00F616A2" w:rsidRDefault="00002D76" w:rsidP="00D63204">
            <w:pPr>
              <w:spacing w:after="0" w:line="240" w:lineRule="auto"/>
              <w:rPr>
                <w:rFonts w:ascii="Calibri" w:hAnsi="Calibri"/>
                <w:color w:val="231F20"/>
                <w:sz w:val="16"/>
                <w:szCs w:val="16"/>
              </w:rPr>
            </w:pPr>
            <w:r w:rsidRPr="00F616A2">
              <w:rPr>
                <w:rFonts w:ascii="Calibri" w:hAnsi="Calibri"/>
                <w:color w:val="231F20"/>
                <w:sz w:val="16"/>
                <w:szCs w:val="16"/>
              </w:rPr>
              <w:t>560,499</w:t>
            </w:r>
          </w:p>
        </w:tc>
        <w:tc>
          <w:tcPr>
            <w:tcW w:w="720" w:type="dxa"/>
            <w:tcBorders>
              <w:top w:val="nil"/>
              <w:left w:val="nil"/>
              <w:bottom w:val="single" w:sz="4" w:space="0" w:color="auto"/>
              <w:right w:val="single" w:sz="4" w:space="0" w:color="auto"/>
            </w:tcBorders>
            <w:shd w:val="clear" w:color="auto" w:fill="auto"/>
            <w:vAlign w:val="center"/>
            <w:hideMark/>
          </w:tcPr>
          <w:p w14:paraId="7528D9E5" w14:textId="77777777" w:rsidR="00002D76" w:rsidRPr="00F616A2" w:rsidRDefault="00002D76" w:rsidP="00D63204">
            <w:pPr>
              <w:spacing w:after="0" w:line="240" w:lineRule="auto"/>
              <w:rPr>
                <w:rFonts w:ascii="Calibri" w:hAnsi="Calibri"/>
                <w:color w:val="231F20"/>
                <w:sz w:val="16"/>
                <w:szCs w:val="16"/>
              </w:rPr>
            </w:pPr>
            <w:r w:rsidRPr="00F616A2">
              <w:rPr>
                <w:rFonts w:ascii="Calibri" w:hAnsi="Calibri"/>
                <w:color w:val="231F20"/>
                <w:sz w:val="16"/>
                <w:szCs w:val="16"/>
              </w:rPr>
              <w:t>6.0%</w:t>
            </w:r>
          </w:p>
        </w:tc>
      </w:tr>
      <w:tr w:rsidR="00002D76" w:rsidRPr="00F616A2" w14:paraId="5809CD3C" w14:textId="77777777" w:rsidTr="001429C7">
        <w:trPr>
          <w:trHeight w:hRule="exact" w:val="300"/>
          <w:jc w:val="center"/>
        </w:trPr>
        <w:tc>
          <w:tcPr>
            <w:tcW w:w="1260" w:type="dxa"/>
            <w:tcBorders>
              <w:top w:val="nil"/>
              <w:left w:val="single" w:sz="4" w:space="0" w:color="auto"/>
              <w:bottom w:val="single" w:sz="4" w:space="0" w:color="auto"/>
              <w:right w:val="single" w:sz="4" w:space="0" w:color="auto"/>
            </w:tcBorders>
            <w:shd w:val="clear" w:color="000000" w:fill="E6E7E8"/>
            <w:vAlign w:val="center"/>
            <w:hideMark/>
          </w:tcPr>
          <w:p w14:paraId="0A8345EE" w14:textId="77777777" w:rsidR="00002D76" w:rsidRPr="00F616A2" w:rsidRDefault="00002D76" w:rsidP="00D63204">
            <w:pPr>
              <w:spacing w:after="0" w:line="240" w:lineRule="auto"/>
              <w:rPr>
                <w:rFonts w:ascii="Calibri" w:hAnsi="Calibri"/>
                <w:color w:val="231F20"/>
                <w:sz w:val="16"/>
                <w:szCs w:val="16"/>
              </w:rPr>
            </w:pPr>
            <w:r w:rsidRPr="00F616A2">
              <w:rPr>
                <w:rFonts w:ascii="Calibri" w:hAnsi="Calibri"/>
                <w:color w:val="231F20"/>
                <w:sz w:val="16"/>
                <w:szCs w:val="16"/>
              </w:rPr>
              <w:t>310000</w:t>
            </w:r>
          </w:p>
        </w:tc>
        <w:tc>
          <w:tcPr>
            <w:tcW w:w="3620" w:type="dxa"/>
            <w:tcBorders>
              <w:top w:val="nil"/>
              <w:left w:val="nil"/>
              <w:bottom w:val="single" w:sz="4" w:space="0" w:color="auto"/>
              <w:right w:val="single" w:sz="4" w:space="0" w:color="auto"/>
            </w:tcBorders>
            <w:shd w:val="clear" w:color="000000" w:fill="E6E7E8"/>
            <w:vAlign w:val="center"/>
            <w:hideMark/>
          </w:tcPr>
          <w:p w14:paraId="691E833D" w14:textId="77777777" w:rsidR="00002D76" w:rsidRPr="00F616A2" w:rsidRDefault="00002D76" w:rsidP="001429C7">
            <w:pPr>
              <w:spacing w:after="0" w:line="240" w:lineRule="auto"/>
              <w:rPr>
                <w:rFonts w:ascii="Calibri" w:hAnsi="Calibri"/>
                <w:color w:val="231F20"/>
                <w:sz w:val="16"/>
                <w:szCs w:val="16"/>
              </w:rPr>
            </w:pPr>
            <w:r w:rsidRPr="00F616A2">
              <w:rPr>
                <w:rFonts w:ascii="Calibri" w:hAnsi="Calibri"/>
                <w:color w:val="231F20"/>
                <w:sz w:val="16"/>
                <w:szCs w:val="16"/>
              </w:rPr>
              <w:t>Healthcare Support</w:t>
            </w:r>
          </w:p>
        </w:tc>
        <w:tc>
          <w:tcPr>
            <w:tcW w:w="1520" w:type="dxa"/>
            <w:tcBorders>
              <w:top w:val="nil"/>
              <w:left w:val="nil"/>
              <w:bottom w:val="single" w:sz="4" w:space="0" w:color="auto"/>
              <w:right w:val="single" w:sz="4" w:space="0" w:color="auto"/>
            </w:tcBorders>
            <w:shd w:val="clear" w:color="000000" w:fill="E6E7E8"/>
            <w:vAlign w:val="center"/>
            <w:hideMark/>
          </w:tcPr>
          <w:p w14:paraId="529DBBD0" w14:textId="77777777" w:rsidR="00002D76" w:rsidRPr="00F616A2" w:rsidRDefault="00002D76" w:rsidP="00D63204">
            <w:pPr>
              <w:spacing w:after="0" w:line="240" w:lineRule="auto"/>
              <w:rPr>
                <w:rFonts w:ascii="Calibri" w:hAnsi="Calibri"/>
                <w:color w:val="231F20"/>
                <w:sz w:val="16"/>
                <w:szCs w:val="16"/>
              </w:rPr>
            </w:pPr>
            <w:r w:rsidRPr="00F616A2">
              <w:rPr>
                <w:rFonts w:ascii="Calibri" w:hAnsi="Calibri"/>
                <w:color w:val="231F20"/>
                <w:sz w:val="16"/>
                <w:szCs w:val="16"/>
              </w:rPr>
              <w:t>258,835</w:t>
            </w:r>
          </w:p>
        </w:tc>
        <w:tc>
          <w:tcPr>
            <w:tcW w:w="720" w:type="dxa"/>
            <w:tcBorders>
              <w:top w:val="nil"/>
              <w:left w:val="nil"/>
              <w:bottom w:val="single" w:sz="4" w:space="0" w:color="auto"/>
              <w:right w:val="single" w:sz="4" w:space="0" w:color="auto"/>
            </w:tcBorders>
            <w:shd w:val="clear" w:color="000000" w:fill="E6E7E8"/>
            <w:vAlign w:val="center"/>
            <w:hideMark/>
          </w:tcPr>
          <w:p w14:paraId="083AEFAF" w14:textId="77777777" w:rsidR="00002D76" w:rsidRPr="00F616A2" w:rsidRDefault="00002D76" w:rsidP="00D63204">
            <w:pPr>
              <w:spacing w:after="0" w:line="240" w:lineRule="auto"/>
              <w:rPr>
                <w:rFonts w:ascii="Calibri" w:hAnsi="Calibri"/>
                <w:color w:val="231F20"/>
                <w:sz w:val="16"/>
                <w:szCs w:val="16"/>
              </w:rPr>
            </w:pPr>
            <w:r w:rsidRPr="00F616A2">
              <w:rPr>
                <w:rFonts w:ascii="Calibri" w:hAnsi="Calibri"/>
                <w:color w:val="231F20"/>
                <w:sz w:val="16"/>
                <w:szCs w:val="16"/>
              </w:rPr>
              <w:t>2.8%</w:t>
            </w:r>
          </w:p>
        </w:tc>
      </w:tr>
      <w:tr w:rsidR="00002D76" w:rsidRPr="00F616A2" w14:paraId="23904C93" w14:textId="77777777" w:rsidTr="001429C7">
        <w:trPr>
          <w:trHeight w:hRule="exact" w:val="300"/>
          <w:jc w:val="center"/>
        </w:trPr>
        <w:tc>
          <w:tcPr>
            <w:tcW w:w="1260" w:type="dxa"/>
            <w:tcBorders>
              <w:top w:val="nil"/>
              <w:left w:val="single" w:sz="4" w:space="0" w:color="auto"/>
              <w:bottom w:val="single" w:sz="4" w:space="0" w:color="auto"/>
              <w:right w:val="single" w:sz="4" w:space="0" w:color="auto"/>
            </w:tcBorders>
            <w:shd w:val="clear" w:color="auto" w:fill="auto"/>
            <w:vAlign w:val="center"/>
            <w:hideMark/>
          </w:tcPr>
          <w:p w14:paraId="0B136DA3" w14:textId="77777777" w:rsidR="00002D76" w:rsidRPr="00F616A2" w:rsidRDefault="00002D76" w:rsidP="00D63204">
            <w:pPr>
              <w:spacing w:after="0" w:line="240" w:lineRule="auto"/>
              <w:rPr>
                <w:rFonts w:ascii="Calibri" w:hAnsi="Calibri"/>
                <w:color w:val="231F20"/>
                <w:sz w:val="16"/>
                <w:szCs w:val="16"/>
              </w:rPr>
            </w:pPr>
            <w:r w:rsidRPr="00F616A2">
              <w:rPr>
                <w:rFonts w:ascii="Calibri" w:hAnsi="Calibri"/>
                <w:color w:val="231F20"/>
                <w:sz w:val="16"/>
                <w:szCs w:val="16"/>
              </w:rPr>
              <w:t>330000</w:t>
            </w:r>
          </w:p>
        </w:tc>
        <w:tc>
          <w:tcPr>
            <w:tcW w:w="3620" w:type="dxa"/>
            <w:tcBorders>
              <w:top w:val="nil"/>
              <w:left w:val="nil"/>
              <w:bottom w:val="single" w:sz="4" w:space="0" w:color="auto"/>
              <w:right w:val="single" w:sz="4" w:space="0" w:color="auto"/>
            </w:tcBorders>
            <w:shd w:val="clear" w:color="auto" w:fill="auto"/>
            <w:vAlign w:val="center"/>
            <w:hideMark/>
          </w:tcPr>
          <w:p w14:paraId="0361BCD7" w14:textId="77777777" w:rsidR="00002D76" w:rsidRPr="00F616A2" w:rsidRDefault="00002D76" w:rsidP="001429C7">
            <w:pPr>
              <w:spacing w:after="0" w:line="240" w:lineRule="auto"/>
              <w:rPr>
                <w:rFonts w:ascii="Calibri" w:hAnsi="Calibri"/>
                <w:color w:val="231F20"/>
                <w:sz w:val="16"/>
                <w:szCs w:val="16"/>
              </w:rPr>
            </w:pPr>
            <w:r w:rsidRPr="00F616A2">
              <w:rPr>
                <w:rFonts w:ascii="Calibri" w:hAnsi="Calibri"/>
                <w:color w:val="231F20"/>
                <w:sz w:val="16"/>
                <w:szCs w:val="16"/>
              </w:rPr>
              <w:t>Protective Service</w:t>
            </w:r>
          </w:p>
        </w:tc>
        <w:tc>
          <w:tcPr>
            <w:tcW w:w="1520" w:type="dxa"/>
            <w:tcBorders>
              <w:top w:val="nil"/>
              <w:left w:val="nil"/>
              <w:bottom w:val="single" w:sz="4" w:space="0" w:color="auto"/>
              <w:right w:val="single" w:sz="4" w:space="0" w:color="auto"/>
            </w:tcBorders>
            <w:shd w:val="clear" w:color="auto" w:fill="auto"/>
            <w:vAlign w:val="center"/>
            <w:hideMark/>
          </w:tcPr>
          <w:p w14:paraId="5796478A" w14:textId="77777777" w:rsidR="00002D76" w:rsidRPr="00F616A2" w:rsidRDefault="00002D76" w:rsidP="00D63204">
            <w:pPr>
              <w:spacing w:after="0" w:line="240" w:lineRule="auto"/>
              <w:rPr>
                <w:rFonts w:ascii="Calibri" w:hAnsi="Calibri"/>
                <w:color w:val="231F20"/>
                <w:sz w:val="16"/>
                <w:szCs w:val="16"/>
              </w:rPr>
            </w:pPr>
            <w:r w:rsidRPr="00F616A2">
              <w:rPr>
                <w:rFonts w:ascii="Calibri" w:hAnsi="Calibri"/>
                <w:color w:val="231F20"/>
                <w:sz w:val="16"/>
                <w:szCs w:val="16"/>
              </w:rPr>
              <w:t>244,726</w:t>
            </w:r>
          </w:p>
        </w:tc>
        <w:tc>
          <w:tcPr>
            <w:tcW w:w="720" w:type="dxa"/>
            <w:tcBorders>
              <w:top w:val="nil"/>
              <w:left w:val="nil"/>
              <w:bottom w:val="single" w:sz="4" w:space="0" w:color="auto"/>
              <w:right w:val="single" w:sz="4" w:space="0" w:color="auto"/>
            </w:tcBorders>
            <w:shd w:val="clear" w:color="auto" w:fill="auto"/>
            <w:vAlign w:val="center"/>
            <w:hideMark/>
          </w:tcPr>
          <w:p w14:paraId="3B436541" w14:textId="77777777" w:rsidR="00002D76" w:rsidRPr="00F616A2" w:rsidRDefault="00002D76" w:rsidP="00D63204">
            <w:pPr>
              <w:spacing w:after="0" w:line="240" w:lineRule="auto"/>
              <w:rPr>
                <w:rFonts w:ascii="Calibri" w:hAnsi="Calibri"/>
                <w:color w:val="231F20"/>
                <w:sz w:val="16"/>
                <w:szCs w:val="16"/>
              </w:rPr>
            </w:pPr>
            <w:r w:rsidRPr="00F616A2">
              <w:rPr>
                <w:rFonts w:ascii="Calibri" w:hAnsi="Calibri"/>
                <w:color w:val="231F20"/>
                <w:sz w:val="16"/>
                <w:szCs w:val="16"/>
              </w:rPr>
              <w:t>2.6%</w:t>
            </w:r>
          </w:p>
        </w:tc>
      </w:tr>
      <w:tr w:rsidR="00002D76" w:rsidRPr="00F616A2" w14:paraId="7FF4983F" w14:textId="77777777" w:rsidTr="001429C7">
        <w:trPr>
          <w:trHeight w:hRule="exact" w:val="300"/>
          <w:jc w:val="center"/>
        </w:trPr>
        <w:tc>
          <w:tcPr>
            <w:tcW w:w="1260" w:type="dxa"/>
            <w:tcBorders>
              <w:top w:val="nil"/>
              <w:left w:val="single" w:sz="4" w:space="0" w:color="auto"/>
              <w:bottom w:val="single" w:sz="4" w:space="0" w:color="auto"/>
              <w:right w:val="single" w:sz="4" w:space="0" w:color="auto"/>
            </w:tcBorders>
            <w:shd w:val="clear" w:color="auto" w:fill="auto"/>
            <w:vAlign w:val="center"/>
            <w:hideMark/>
          </w:tcPr>
          <w:p w14:paraId="71D674B2" w14:textId="77777777" w:rsidR="00002D76" w:rsidRPr="00F616A2" w:rsidRDefault="00002D76" w:rsidP="00D63204">
            <w:pPr>
              <w:spacing w:after="0" w:line="240" w:lineRule="auto"/>
              <w:rPr>
                <w:rFonts w:ascii="Calibri" w:hAnsi="Calibri"/>
                <w:color w:val="231F20"/>
                <w:sz w:val="16"/>
                <w:szCs w:val="16"/>
              </w:rPr>
            </w:pPr>
            <w:r w:rsidRPr="00F616A2">
              <w:rPr>
                <w:rFonts w:ascii="Calibri" w:hAnsi="Calibri"/>
                <w:color w:val="231F20"/>
                <w:sz w:val="16"/>
                <w:szCs w:val="16"/>
              </w:rPr>
              <w:t>350000</w:t>
            </w:r>
          </w:p>
        </w:tc>
        <w:tc>
          <w:tcPr>
            <w:tcW w:w="3620" w:type="dxa"/>
            <w:tcBorders>
              <w:top w:val="nil"/>
              <w:left w:val="nil"/>
              <w:bottom w:val="single" w:sz="4" w:space="0" w:color="auto"/>
              <w:right w:val="single" w:sz="4" w:space="0" w:color="auto"/>
            </w:tcBorders>
            <w:shd w:val="clear" w:color="000000" w:fill="E6E7E8"/>
            <w:vAlign w:val="center"/>
            <w:hideMark/>
          </w:tcPr>
          <w:p w14:paraId="4B47D3F0" w14:textId="77777777" w:rsidR="00002D76" w:rsidRPr="00F616A2" w:rsidRDefault="00002D76" w:rsidP="001429C7">
            <w:pPr>
              <w:spacing w:after="0" w:line="240" w:lineRule="auto"/>
              <w:rPr>
                <w:rFonts w:ascii="Calibri" w:hAnsi="Calibri"/>
                <w:color w:val="231F20"/>
                <w:sz w:val="16"/>
                <w:szCs w:val="16"/>
              </w:rPr>
            </w:pPr>
            <w:r w:rsidRPr="00F616A2">
              <w:rPr>
                <w:rFonts w:ascii="Calibri" w:hAnsi="Calibri"/>
                <w:color w:val="231F20"/>
                <w:sz w:val="16"/>
                <w:szCs w:val="16"/>
              </w:rPr>
              <w:t>Food Preparation and Serving Related</w:t>
            </w:r>
          </w:p>
        </w:tc>
        <w:tc>
          <w:tcPr>
            <w:tcW w:w="1520" w:type="dxa"/>
            <w:tcBorders>
              <w:top w:val="nil"/>
              <w:left w:val="nil"/>
              <w:bottom w:val="single" w:sz="4" w:space="0" w:color="auto"/>
              <w:right w:val="single" w:sz="4" w:space="0" w:color="auto"/>
            </w:tcBorders>
            <w:shd w:val="clear" w:color="000000" w:fill="E6E7E8"/>
            <w:vAlign w:val="center"/>
            <w:hideMark/>
          </w:tcPr>
          <w:p w14:paraId="1D9A8105" w14:textId="77777777" w:rsidR="00002D76" w:rsidRPr="00F616A2" w:rsidRDefault="00002D76" w:rsidP="00D63204">
            <w:pPr>
              <w:spacing w:after="0" w:line="240" w:lineRule="auto"/>
              <w:rPr>
                <w:rFonts w:ascii="Calibri" w:hAnsi="Calibri"/>
                <w:color w:val="231F20"/>
                <w:sz w:val="16"/>
                <w:szCs w:val="16"/>
              </w:rPr>
            </w:pPr>
            <w:r w:rsidRPr="00F616A2">
              <w:rPr>
                <w:rFonts w:ascii="Calibri" w:hAnsi="Calibri"/>
                <w:color w:val="231F20"/>
                <w:sz w:val="16"/>
                <w:szCs w:val="16"/>
              </w:rPr>
              <w:t>946,674</w:t>
            </w:r>
          </w:p>
        </w:tc>
        <w:tc>
          <w:tcPr>
            <w:tcW w:w="720" w:type="dxa"/>
            <w:tcBorders>
              <w:top w:val="nil"/>
              <w:left w:val="nil"/>
              <w:bottom w:val="single" w:sz="4" w:space="0" w:color="auto"/>
              <w:right w:val="single" w:sz="4" w:space="0" w:color="auto"/>
            </w:tcBorders>
            <w:shd w:val="clear" w:color="000000" w:fill="E6E7E8"/>
            <w:vAlign w:val="center"/>
            <w:hideMark/>
          </w:tcPr>
          <w:p w14:paraId="4B5466B2" w14:textId="77777777" w:rsidR="00002D76" w:rsidRPr="00F616A2" w:rsidRDefault="00002D76" w:rsidP="00D63204">
            <w:pPr>
              <w:spacing w:after="0" w:line="240" w:lineRule="auto"/>
              <w:rPr>
                <w:rFonts w:ascii="Calibri" w:hAnsi="Calibri"/>
                <w:color w:val="231F20"/>
                <w:sz w:val="16"/>
                <w:szCs w:val="16"/>
              </w:rPr>
            </w:pPr>
            <w:r w:rsidRPr="00F616A2">
              <w:rPr>
                <w:rFonts w:ascii="Calibri" w:hAnsi="Calibri"/>
                <w:color w:val="231F20"/>
                <w:sz w:val="16"/>
                <w:szCs w:val="16"/>
              </w:rPr>
              <w:t>10.2%</w:t>
            </w:r>
          </w:p>
        </w:tc>
      </w:tr>
      <w:tr w:rsidR="00002D76" w:rsidRPr="00F616A2" w14:paraId="447F3DC1" w14:textId="77777777" w:rsidTr="001429C7">
        <w:trPr>
          <w:trHeight w:hRule="exact" w:val="300"/>
          <w:jc w:val="center"/>
        </w:trPr>
        <w:tc>
          <w:tcPr>
            <w:tcW w:w="1260" w:type="dxa"/>
            <w:tcBorders>
              <w:top w:val="nil"/>
              <w:left w:val="single" w:sz="4" w:space="0" w:color="auto"/>
              <w:bottom w:val="single" w:sz="4" w:space="0" w:color="auto"/>
              <w:right w:val="single" w:sz="4" w:space="0" w:color="auto"/>
            </w:tcBorders>
            <w:shd w:val="clear" w:color="auto" w:fill="auto"/>
            <w:vAlign w:val="center"/>
            <w:hideMark/>
          </w:tcPr>
          <w:p w14:paraId="6581A411" w14:textId="77777777" w:rsidR="00002D76" w:rsidRPr="00F616A2" w:rsidRDefault="00002D76" w:rsidP="00D63204">
            <w:pPr>
              <w:spacing w:after="0" w:line="240" w:lineRule="auto"/>
              <w:rPr>
                <w:rFonts w:ascii="Calibri" w:hAnsi="Calibri"/>
                <w:color w:val="231F20"/>
                <w:sz w:val="16"/>
                <w:szCs w:val="16"/>
              </w:rPr>
            </w:pPr>
            <w:r w:rsidRPr="00F616A2">
              <w:rPr>
                <w:rFonts w:ascii="Calibri" w:hAnsi="Calibri"/>
                <w:color w:val="231F20"/>
                <w:sz w:val="16"/>
                <w:szCs w:val="16"/>
              </w:rPr>
              <w:t>370000</w:t>
            </w:r>
          </w:p>
        </w:tc>
        <w:tc>
          <w:tcPr>
            <w:tcW w:w="3620" w:type="dxa"/>
            <w:tcBorders>
              <w:top w:val="nil"/>
              <w:left w:val="nil"/>
              <w:bottom w:val="single" w:sz="4" w:space="0" w:color="auto"/>
              <w:right w:val="single" w:sz="4" w:space="0" w:color="auto"/>
            </w:tcBorders>
            <w:shd w:val="clear" w:color="auto" w:fill="auto"/>
            <w:vAlign w:val="center"/>
            <w:hideMark/>
          </w:tcPr>
          <w:p w14:paraId="398011B1" w14:textId="77777777" w:rsidR="00002D76" w:rsidRPr="00F616A2" w:rsidRDefault="00002D76" w:rsidP="001429C7">
            <w:pPr>
              <w:spacing w:after="0" w:line="240" w:lineRule="auto"/>
              <w:rPr>
                <w:rFonts w:ascii="Calibri" w:hAnsi="Calibri"/>
                <w:color w:val="231F20"/>
                <w:sz w:val="16"/>
                <w:szCs w:val="16"/>
              </w:rPr>
            </w:pPr>
            <w:r w:rsidRPr="00F616A2">
              <w:rPr>
                <w:rFonts w:ascii="Calibri" w:hAnsi="Calibri"/>
                <w:color w:val="231F20"/>
                <w:sz w:val="16"/>
                <w:szCs w:val="16"/>
              </w:rPr>
              <w:t>Building and Grounds Cleaning and Maintenance</w:t>
            </w:r>
          </w:p>
        </w:tc>
        <w:tc>
          <w:tcPr>
            <w:tcW w:w="1520" w:type="dxa"/>
            <w:tcBorders>
              <w:top w:val="nil"/>
              <w:left w:val="nil"/>
              <w:bottom w:val="single" w:sz="4" w:space="0" w:color="auto"/>
              <w:right w:val="single" w:sz="4" w:space="0" w:color="auto"/>
            </w:tcBorders>
            <w:shd w:val="clear" w:color="auto" w:fill="auto"/>
            <w:vAlign w:val="center"/>
            <w:hideMark/>
          </w:tcPr>
          <w:p w14:paraId="01339443" w14:textId="77777777" w:rsidR="00002D76" w:rsidRPr="00F616A2" w:rsidRDefault="00002D76" w:rsidP="00D63204">
            <w:pPr>
              <w:spacing w:after="0" w:line="240" w:lineRule="auto"/>
              <w:rPr>
                <w:rFonts w:ascii="Calibri" w:hAnsi="Calibri"/>
                <w:color w:val="231F20"/>
                <w:sz w:val="16"/>
                <w:szCs w:val="16"/>
              </w:rPr>
            </w:pPr>
            <w:r w:rsidRPr="00F616A2">
              <w:rPr>
                <w:rFonts w:ascii="Calibri" w:hAnsi="Calibri"/>
                <w:color w:val="231F20"/>
                <w:sz w:val="16"/>
                <w:szCs w:val="16"/>
              </w:rPr>
              <w:t>393,692</w:t>
            </w:r>
          </w:p>
        </w:tc>
        <w:tc>
          <w:tcPr>
            <w:tcW w:w="720" w:type="dxa"/>
            <w:tcBorders>
              <w:top w:val="nil"/>
              <w:left w:val="nil"/>
              <w:bottom w:val="single" w:sz="4" w:space="0" w:color="auto"/>
              <w:right w:val="single" w:sz="4" w:space="0" w:color="auto"/>
            </w:tcBorders>
            <w:shd w:val="clear" w:color="auto" w:fill="auto"/>
            <w:vAlign w:val="center"/>
            <w:hideMark/>
          </w:tcPr>
          <w:p w14:paraId="32CB8377" w14:textId="77777777" w:rsidR="00002D76" w:rsidRPr="00F616A2" w:rsidRDefault="00002D76" w:rsidP="00D63204">
            <w:pPr>
              <w:spacing w:after="0" w:line="240" w:lineRule="auto"/>
              <w:rPr>
                <w:rFonts w:ascii="Calibri" w:hAnsi="Calibri"/>
                <w:color w:val="231F20"/>
                <w:sz w:val="16"/>
                <w:szCs w:val="16"/>
              </w:rPr>
            </w:pPr>
            <w:r w:rsidRPr="00F616A2">
              <w:rPr>
                <w:rFonts w:ascii="Calibri" w:hAnsi="Calibri"/>
                <w:color w:val="231F20"/>
                <w:sz w:val="16"/>
                <w:szCs w:val="16"/>
              </w:rPr>
              <w:t>4.2%</w:t>
            </w:r>
          </w:p>
        </w:tc>
      </w:tr>
      <w:tr w:rsidR="00002D76" w:rsidRPr="00F616A2" w14:paraId="47A1544C" w14:textId="77777777" w:rsidTr="001429C7">
        <w:trPr>
          <w:trHeight w:hRule="exact" w:val="300"/>
          <w:jc w:val="center"/>
        </w:trPr>
        <w:tc>
          <w:tcPr>
            <w:tcW w:w="1260" w:type="dxa"/>
            <w:tcBorders>
              <w:top w:val="nil"/>
              <w:left w:val="single" w:sz="4" w:space="0" w:color="auto"/>
              <w:bottom w:val="single" w:sz="4" w:space="0" w:color="auto"/>
              <w:right w:val="single" w:sz="4" w:space="0" w:color="auto"/>
            </w:tcBorders>
            <w:shd w:val="clear" w:color="000000" w:fill="E6E7E8"/>
            <w:vAlign w:val="center"/>
            <w:hideMark/>
          </w:tcPr>
          <w:p w14:paraId="6070EC11" w14:textId="77777777" w:rsidR="00002D76" w:rsidRPr="00F616A2" w:rsidRDefault="00002D76" w:rsidP="00D63204">
            <w:pPr>
              <w:spacing w:after="0" w:line="240" w:lineRule="auto"/>
              <w:rPr>
                <w:rFonts w:ascii="Calibri" w:hAnsi="Calibri"/>
                <w:color w:val="231F20"/>
                <w:sz w:val="16"/>
                <w:szCs w:val="16"/>
              </w:rPr>
            </w:pPr>
            <w:r w:rsidRPr="00F616A2">
              <w:rPr>
                <w:rFonts w:ascii="Calibri" w:hAnsi="Calibri"/>
                <w:color w:val="231F20"/>
                <w:sz w:val="16"/>
                <w:szCs w:val="16"/>
              </w:rPr>
              <w:t>390000</w:t>
            </w:r>
          </w:p>
        </w:tc>
        <w:tc>
          <w:tcPr>
            <w:tcW w:w="3620" w:type="dxa"/>
            <w:tcBorders>
              <w:top w:val="nil"/>
              <w:left w:val="nil"/>
              <w:bottom w:val="single" w:sz="4" w:space="0" w:color="auto"/>
              <w:right w:val="single" w:sz="4" w:space="0" w:color="auto"/>
            </w:tcBorders>
            <w:shd w:val="clear" w:color="000000" w:fill="E6E7E8"/>
            <w:vAlign w:val="center"/>
            <w:hideMark/>
          </w:tcPr>
          <w:p w14:paraId="671D2D54" w14:textId="77777777" w:rsidR="00002D76" w:rsidRPr="00F616A2" w:rsidRDefault="00002D76" w:rsidP="001429C7">
            <w:pPr>
              <w:spacing w:after="0" w:line="240" w:lineRule="auto"/>
              <w:rPr>
                <w:rFonts w:ascii="Calibri" w:hAnsi="Calibri"/>
                <w:color w:val="231F20"/>
                <w:sz w:val="16"/>
                <w:szCs w:val="16"/>
              </w:rPr>
            </w:pPr>
            <w:r w:rsidRPr="00F616A2">
              <w:rPr>
                <w:rFonts w:ascii="Calibri" w:hAnsi="Calibri"/>
                <w:color w:val="231F20"/>
                <w:sz w:val="16"/>
                <w:szCs w:val="16"/>
              </w:rPr>
              <w:t>Personal Care and Service</w:t>
            </w:r>
          </w:p>
        </w:tc>
        <w:tc>
          <w:tcPr>
            <w:tcW w:w="1520" w:type="dxa"/>
            <w:tcBorders>
              <w:top w:val="nil"/>
              <w:left w:val="nil"/>
              <w:bottom w:val="single" w:sz="4" w:space="0" w:color="auto"/>
              <w:right w:val="single" w:sz="4" w:space="0" w:color="auto"/>
            </w:tcBorders>
            <w:shd w:val="clear" w:color="000000" w:fill="E6E7E8"/>
            <w:vAlign w:val="center"/>
            <w:hideMark/>
          </w:tcPr>
          <w:p w14:paraId="6560D198" w14:textId="77777777" w:rsidR="00002D76" w:rsidRPr="00F616A2" w:rsidRDefault="00002D76" w:rsidP="00D63204">
            <w:pPr>
              <w:spacing w:after="0" w:line="240" w:lineRule="auto"/>
              <w:rPr>
                <w:rFonts w:ascii="Calibri" w:hAnsi="Calibri"/>
                <w:color w:val="231F20"/>
                <w:sz w:val="16"/>
                <w:szCs w:val="16"/>
              </w:rPr>
            </w:pPr>
            <w:r w:rsidRPr="00F616A2">
              <w:rPr>
                <w:rFonts w:ascii="Calibri" w:hAnsi="Calibri"/>
                <w:color w:val="231F20"/>
                <w:sz w:val="16"/>
                <w:szCs w:val="16"/>
              </w:rPr>
              <w:t>307,475</w:t>
            </w:r>
          </w:p>
        </w:tc>
        <w:tc>
          <w:tcPr>
            <w:tcW w:w="720" w:type="dxa"/>
            <w:tcBorders>
              <w:top w:val="nil"/>
              <w:left w:val="nil"/>
              <w:bottom w:val="single" w:sz="4" w:space="0" w:color="auto"/>
              <w:right w:val="single" w:sz="4" w:space="0" w:color="auto"/>
            </w:tcBorders>
            <w:shd w:val="clear" w:color="000000" w:fill="E6E7E8"/>
            <w:vAlign w:val="center"/>
            <w:hideMark/>
          </w:tcPr>
          <w:p w14:paraId="4E55AB81" w14:textId="77777777" w:rsidR="00002D76" w:rsidRPr="00F616A2" w:rsidRDefault="00002D76" w:rsidP="00D63204">
            <w:pPr>
              <w:spacing w:after="0" w:line="240" w:lineRule="auto"/>
              <w:rPr>
                <w:rFonts w:ascii="Calibri" w:hAnsi="Calibri"/>
                <w:color w:val="231F20"/>
                <w:sz w:val="16"/>
                <w:szCs w:val="16"/>
              </w:rPr>
            </w:pPr>
            <w:r w:rsidRPr="00F616A2">
              <w:rPr>
                <w:rFonts w:ascii="Calibri" w:hAnsi="Calibri"/>
                <w:color w:val="231F20"/>
                <w:sz w:val="16"/>
                <w:szCs w:val="16"/>
              </w:rPr>
              <w:t>3.3%</w:t>
            </w:r>
          </w:p>
        </w:tc>
      </w:tr>
      <w:tr w:rsidR="00002D76" w:rsidRPr="00F616A2" w14:paraId="0A40146A" w14:textId="77777777" w:rsidTr="001429C7">
        <w:trPr>
          <w:trHeight w:hRule="exact" w:val="300"/>
          <w:jc w:val="center"/>
        </w:trPr>
        <w:tc>
          <w:tcPr>
            <w:tcW w:w="1260" w:type="dxa"/>
            <w:tcBorders>
              <w:top w:val="nil"/>
              <w:left w:val="single" w:sz="4" w:space="0" w:color="auto"/>
              <w:bottom w:val="single" w:sz="4" w:space="0" w:color="auto"/>
              <w:right w:val="single" w:sz="4" w:space="0" w:color="auto"/>
            </w:tcBorders>
            <w:shd w:val="clear" w:color="auto" w:fill="auto"/>
            <w:vAlign w:val="center"/>
            <w:hideMark/>
          </w:tcPr>
          <w:p w14:paraId="132BB8AF" w14:textId="77777777" w:rsidR="00002D76" w:rsidRPr="00F616A2" w:rsidRDefault="00002D76" w:rsidP="00D63204">
            <w:pPr>
              <w:spacing w:after="0" w:line="240" w:lineRule="auto"/>
              <w:rPr>
                <w:rFonts w:ascii="Calibri" w:hAnsi="Calibri"/>
                <w:color w:val="231F20"/>
                <w:sz w:val="16"/>
                <w:szCs w:val="16"/>
              </w:rPr>
            </w:pPr>
            <w:r w:rsidRPr="00F616A2">
              <w:rPr>
                <w:rFonts w:ascii="Calibri" w:hAnsi="Calibri"/>
                <w:color w:val="231F20"/>
                <w:sz w:val="16"/>
                <w:szCs w:val="16"/>
              </w:rPr>
              <w:t>410000</w:t>
            </w:r>
          </w:p>
        </w:tc>
        <w:tc>
          <w:tcPr>
            <w:tcW w:w="3620" w:type="dxa"/>
            <w:tcBorders>
              <w:top w:val="nil"/>
              <w:left w:val="nil"/>
              <w:bottom w:val="single" w:sz="4" w:space="0" w:color="auto"/>
              <w:right w:val="single" w:sz="4" w:space="0" w:color="auto"/>
            </w:tcBorders>
            <w:shd w:val="clear" w:color="auto" w:fill="auto"/>
            <w:vAlign w:val="center"/>
            <w:hideMark/>
          </w:tcPr>
          <w:p w14:paraId="0F58D995" w14:textId="77777777" w:rsidR="00002D76" w:rsidRPr="00F616A2" w:rsidRDefault="00002D76" w:rsidP="001429C7">
            <w:pPr>
              <w:spacing w:after="0" w:line="240" w:lineRule="auto"/>
              <w:rPr>
                <w:rFonts w:ascii="Calibri" w:hAnsi="Calibri"/>
                <w:color w:val="231F20"/>
                <w:sz w:val="16"/>
                <w:szCs w:val="16"/>
              </w:rPr>
            </w:pPr>
            <w:r w:rsidRPr="00F616A2">
              <w:rPr>
                <w:rFonts w:ascii="Calibri" w:hAnsi="Calibri"/>
                <w:color w:val="231F20"/>
                <w:sz w:val="16"/>
                <w:szCs w:val="16"/>
              </w:rPr>
              <w:t>Sales and Related</w:t>
            </w:r>
          </w:p>
        </w:tc>
        <w:tc>
          <w:tcPr>
            <w:tcW w:w="1520" w:type="dxa"/>
            <w:tcBorders>
              <w:top w:val="nil"/>
              <w:left w:val="nil"/>
              <w:bottom w:val="single" w:sz="4" w:space="0" w:color="auto"/>
              <w:right w:val="single" w:sz="4" w:space="0" w:color="auto"/>
            </w:tcBorders>
            <w:shd w:val="clear" w:color="auto" w:fill="auto"/>
            <w:vAlign w:val="center"/>
            <w:hideMark/>
          </w:tcPr>
          <w:p w14:paraId="5E9FF1F5" w14:textId="77777777" w:rsidR="00002D76" w:rsidRPr="00F616A2" w:rsidRDefault="00002D76" w:rsidP="00D63204">
            <w:pPr>
              <w:spacing w:after="0" w:line="240" w:lineRule="auto"/>
              <w:rPr>
                <w:rFonts w:ascii="Calibri" w:hAnsi="Calibri"/>
                <w:color w:val="231F20"/>
                <w:sz w:val="16"/>
                <w:szCs w:val="16"/>
              </w:rPr>
            </w:pPr>
            <w:r w:rsidRPr="00F616A2">
              <w:rPr>
                <w:rFonts w:ascii="Calibri" w:hAnsi="Calibri"/>
                <w:color w:val="231F20"/>
                <w:sz w:val="16"/>
                <w:szCs w:val="16"/>
              </w:rPr>
              <w:t>1,190,169</w:t>
            </w:r>
          </w:p>
        </w:tc>
        <w:tc>
          <w:tcPr>
            <w:tcW w:w="720" w:type="dxa"/>
            <w:tcBorders>
              <w:top w:val="nil"/>
              <w:left w:val="nil"/>
              <w:bottom w:val="single" w:sz="4" w:space="0" w:color="auto"/>
              <w:right w:val="single" w:sz="4" w:space="0" w:color="auto"/>
            </w:tcBorders>
            <w:shd w:val="clear" w:color="auto" w:fill="auto"/>
            <w:vAlign w:val="center"/>
            <w:hideMark/>
          </w:tcPr>
          <w:p w14:paraId="39123320" w14:textId="77777777" w:rsidR="00002D76" w:rsidRPr="00F616A2" w:rsidRDefault="00002D76" w:rsidP="00D63204">
            <w:pPr>
              <w:spacing w:after="0" w:line="240" w:lineRule="auto"/>
              <w:rPr>
                <w:rFonts w:ascii="Calibri" w:hAnsi="Calibri"/>
                <w:color w:val="231F20"/>
                <w:sz w:val="16"/>
                <w:szCs w:val="16"/>
              </w:rPr>
            </w:pPr>
            <w:r w:rsidRPr="00F616A2">
              <w:rPr>
                <w:rFonts w:ascii="Calibri" w:hAnsi="Calibri"/>
                <w:color w:val="231F20"/>
                <w:sz w:val="16"/>
                <w:szCs w:val="16"/>
              </w:rPr>
              <w:t>12.8%</w:t>
            </w:r>
          </w:p>
        </w:tc>
      </w:tr>
      <w:tr w:rsidR="00002D76" w:rsidRPr="00F616A2" w14:paraId="23177E14" w14:textId="77777777" w:rsidTr="001429C7">
        <w:trPr>
          <w:trHeight w:hRule="exact" w:val="300"/>
          <w:jc w:val="center"/>
        </w:trPr>
        <w:tc>
          <w:tcPr>
            <w:tcW w:w="1260" w:type="dxa"/>
            <w:tcBorders>
              <w:top w:val="nil"/>
              <w:left w:val="single" w:sz="4" w:space="0" w:color="auto"/>
              <w:bottom w:val="single" w:sz="4" w:space="0" w:color="auto"/>
              <w:right w:val="single" w:sz="4" w:space="0" w:color="auto"/>
            </w:tcBorders>
            <w:shd w:val="clear" w:color="000000" w:fill="E6E7E8"/>
            <w:vAlign w:val="center"/>
            <w:hideMark/>
          </w:tcPr>
          <w:p w14:paraId="575BEC6A" w14:textId="77777777" w:rsidR="00002D76" w:rsidRPr="00F616A2" w:rsidRDefault="00002D76" w:rsidP="00D63204">
            <w:pPr>
              <w:spacing w:after="0" w:line="240" w:lineRule="auto"/>
              <w:rPr>
                <w:rFonts w:ascii="Calibri" w:hAnsi="Calibri"/>
                <w:color w:val="231F20"/>
                <w:sz w:val="16"/>
                <w:szCs w:val="16"/>
              </w:rPr>
            </w:pPr>
            <w:r w:rsidRPr="00F616A2">
              <w:rPr>
                <w:rFonts w:ascii="Calibri" w:hAnsi="Calibri"/>
                <w:color w:val="231F20"/>
                <w:sz w:val="16"/>
                <w:szCs w:val="16"/>
              </w:rPr>
              <w:t>430000</w:t>
            </w:r>
          </w:p>
        </w:tc>
        <w:tc>
          <w:tcPr>
            <w:tcW w:w="3620" w:type="dxa"/>
            <w:tcBorders>
              <w:top w:val="nil"/>
              <w:left w:val="nil"/>
              <w:bottom w:val="single" w:sz="4" w:space="0" w:color="auto"/>
              <w:right w:val="single" w:sz="4" w:space="0" w:color="auto"/>
            </w:tcBorders>
            <w:shd w:val="clear" w:color="000000" w:fill="E6E7E8"/>
            <w:vAlign w:val="center"/>
            <w:hideMark/>
          </w:tcPr>
          <w:p w14:paraId="7C898A67" w14:textId="77777777" w:rsidR="00002D76" w:rsidRPr="00F616A2" w:rsidRDefault="00002D76" w:rsidP="001429C7">
            <w:pPr>
              <w:spacing w:after="0" w:line="240" w:lineRule="auto"/>
              <w:rPr>
                <w:rFonts w:ascii="Calibri" w:hAnsi="Calibri"/>
                <w:color w:val="231F20"/>
                <w:sz w:val="16"/>
                <w:szCs w:val="16"/>
              </w:rPr>
            </w:pPr>
            <w:r w:rsidRPr="00F616A2">
              <w:rPr>
                <w:rFonts w:ascii="Calibri" w:hAnsi="Calibri"/>
                <w:color w:val="231F20"/>
                <w:sz w:val="16"/>
                <w:szCs w:val="16"/>
              </w:rPr>
              <w:t>Office and Administrative Support</w:t>
            </w:r>
          </w:p>
        </w:tc>
        <w:tc>
          <w:tcPr>
            <w:tcW w:w="1520" w:type="dxa"/>
            <w:tcBorders>
              <w:top w:val="nil"/>
              <w:left w:val="nil"/>
              <w:bottom w:val="single" w:sz="4" w:space="0" w:color="auto"/>
              <w:right w:val="single" w:sz="4" w:space="0" w:color="auto"/>
            </w:tcBorders>
            <w:shd w:val="clear" w:color="000000" w:fill="E6E7E8"/>
            <w:vAlign w:val="center"/>
            <w:hideMark/>
          </w:tcPr>
          <w:p w14:paraId="438F80D6" w14:textId="77777777" w:rsidR="00002D76" w:rsidRPr="00F616A2" w:rsidRDefault="00002D76" w:rsidP="00D63204">
            <w:pPr>
              <w:spacing w:after="0" w:line="240" w:lineRule="auto"/>
              <w:rPr>
                <w:rFonts w:ascii="Calibri" w:hAnsi="Calibri"/>
                <w:color w:val="231F20"/>
                <w:sz w:val="16"/>
                <w:szCs w:val="16"/>
              </w:rPr>
            </w:pPr>
            <w:r w:rsidRPr="00F616A2">
              <w:rPr>
                <w:rFonts w:ascii="Calibri" w:hAnsi="Calibri"/>
                <w:color w:val="231F20"/>
                <w:sz w:val="16"/>
                <w:szCs w:val="16"/>
              </w:rPr>
              <w:t>1,544,493</w:t>
            </w:r>
          </w:p>
        </w:tc>
        <w:tc>
          <w:tcPr>
            <w:tcW w:w="720" w:type="dxa"/>
            <w:tcBorders>
              <w:top w:val="nil"/>
              <w:left w:val="nil"/>
              <w:bottom w:val="single" w:sz="4" w:space="0" w:color="auto"/>
              <w:right w:val="single" w:sz="4" w:space="0" w:color="auto"/>
            </w:tcBorders>
            <w:shd w:val="clear" w:color="000000" w:fill="E6E7E8"/>
            <w:vAlign w:val="center"/>
            <w:hideMark/>
          </w:tcPr>
          <w:p w14:paraId="734E6F7A" w14:textId="77777777" w:rsidR="00002D76" w:rsidRPr="00F616A2" w:rsidRDefault="00002D76" w:rsidP="00D63204">
            <w:pPr>
              <w:spacing w:after="0" w:line="240" w:lineRule="auto"/>
              <w:rPr>
                <w:rFonts w:ascii="Calibri" w:hAnsi="Calibri"/>
                <w:color w:val="231F20"/>
                <w:sz w:val="16"/>
                <w:szCs w:val="16"/>
              </w:rPr>
            </w:pPr>
            <w:r w:rsidRPr="00F616A2">
              <w:rPr>
                <w:rFonts w:ascii="Calibri" w:hAnsi="Calibri"/>
                <w:color w:val="231F20"/>
                <w:sz w:val="16"/>
                <w:szCs w:val="16"/>
              </w:rPr>
              <w:t>16.6%</w:t>
            </w:r>
          </w:p>
        </w:tc>
      </w:tr>
      <w:tr w:rsidR="00002D76" w:rsidRPr="00F616A2" w14:paraId="53C65091" w14:textId="77777777" w:rsidTr="001429C7">
        <w:trPr>
          <w:trHeight w:hRule="exact" w:val="300"/>
          <w:jc w:val="center"/>
        </w:trPr>
        <w:tc>
          <w:tcPr>
            <w:tcW w:w="1260" w:type="dxa"/>
            <w:tcBorders>
              <w:top w:val="nil"/>
              <w:left w:val="single" w:sz="4" w:space="0" w:color="auto"/>
              <w:bottom w:val="single" w:sz="4" w:space="0" w:color="auto"/>
              <w:right w:val="single" w:sz="4" w:space="0" w:color="auto"/>
            </w:tcBorders>
            <w:shd w:val="clear" w:color="auto" w:fill="auto"/>
            <w:vAlign w:val="center"/>
            <w:hideMark/>
          </w:tcPr>
          <w:p w14:paraId="574C8853" w14:textId="77777777" w:rsidR="00002D76" w:rsidRPr="00F616A2" w:rsidRDefault="00002D76" w:rsidP="00D63204">
            <w:pPr>
              <w:spacing w:after="0" w:line="240" w:lineRule="auto"/>
              <w:rPr>
                <w:rFonts w:ascii="Calibri" w:hAnsi="Calibri"/>
                <w:color w:val="231F20"/>
                <w:sz w:val="16"/>
                <w:szCs w:val="16"/>
              </w:rPr>
            </w:pPr>
            <w:r w:rsidRPr="00F616A2">
              <w:rPr>
                <w:rFonts w:ascii="Calibri" w:hAnsi="Calibri"/>
                <w:color w:val="231F20"/>
                <w:sz w:val="16"/>
                <w:szCs w:val="16"/>
              </w:rPr>
              <w:t>450000</w:t>
            </w:r>
          </w:p>
        </w:tc>
        <w:tc>
          <w:tcPr>
            <w:tcW w:w="3620" w:type="dxa"/>
            <w:tcBorders>
              <w:top w:val="nil"/>
              <w:left w:val="nil"/>
              <w:bottom w:val="single" w:sz="4" w:space="0" w:color="auto"/>
              <w:right w:val="single" w:sz="4" w:space="0" w:color="auto"/>
            </w:tcBorders>
            <w:shd w:val="clear" w:color="auto" w:fill="auto"/>
            <w:vAlign w:val="center"/>
            <w:hideMark/>
          </w:tcPr>
          <w:p w14:paraId="2E16C7CC" w14:textId="456EE389" w:rsidR="00002D76" w:rsidRPr="00F616A2" w:rsidRDefault="00002D76" w:rsidP="001429C7">
            <w:pPr>
              <w:spacing w:after="0" w:line="240" w:lineRule="auto"/>
              <w:rPr>
                <w:rFonts w:ascii="Calibri" w:hAnsi="Calibri"/>
                <w:color w:val="231F20"/>
                <w:sz w:val="16"/>
                <w:szCs w:val="16"/>
              </w:rPr>
            </w:pPr>
            <w:r w:rsidRPr="00F616A2">
              <w:rPr>
                <w:rFonts w:ascii="Calibri" w:hAnsi="Calibri"/>
                <w:color w:val="231F20"/>
                <w:sz w:val="16"/>
                <w:szCs w:val="16"/>
              </w:rPr>
              <w:t>Farming, Fishing</w:t>
            </w:r>
            <w:r w:rsidR="00D5537E">
              <w:rPr>
                <w:rFonts w:ascii="Calibri" w:hAnsi="Calibri"/>
                <w:color w:val="231F20"/>
                <w:sz w:val="16"/>
                <w:szCs w:val="16"/>
              </w:rPr>
              <w:t xml:space="preserve"> and</w:t>
            </w:r>
            <w:r w:rsidRPr="00F616A2">
              <w:rPr>
                <w:rFonts w:ascii="Calibri" w:hAnsi="Calibri"/>
                <w:color w:val="231F20"/>
                <w:sz w:val="16"/>
                <w:szCs w:val="16"/>
              </w:rPr>
              <w:t xml:space="preserve"> Forestry</w:t>
            </w:r>
          </w:p>
        </w:tc>
        <w:tc>
          <w:tcPr>
            <w:tcW w:w="1520" w:type="dxa"/>
            <w:tcBorders>
              <w:top w:val="nil"/>
              <w:left w:val="nil"/>
              <w:bottom w:val="single" w:sz="4" w:space="0" w:color="auto"/>
              <w:right w:val="single" w:sz="4" w:space="0" w:color="auto"/>
            </w:tcBorders>
            <w:shd w:val="clear" w:color="auto" w:fill="auto"/>
            <w:vAlign w:val="center"/>
            <w:hideMark/>
          </w:tcPr>
          <w:p w14:paraId="3AFBA950" w14:textId="77777777" w:rsidR="00002D76" w:rsidRPr="00F616A2" w:rsidRDefault="00002D76" w:rsidP="00D63204">
            <w:pPr>
              <w:spacing w:after="0" w:line="240" w:lineRule="auto"/>
              <w:rPr>
                <w:rFonts w:ascii="Calibri" w:hAnsi="Calibri"/>
                <w:color w:val="231F20"/>
                <w:sz w:val="16"/>
                <w:szCs w:val="16"/>
              </w:rPr>
            </w:pPr>
            <w:r w:rsidRPr="00F616A2">
              <w:rPr>
                <w:rFonts w:ascii="Calibri" w:hAnsi="Calibri"/>
                <w:color w:val="231F20"/>
                <w:sz w:val="16"/>
                <w:szCs w:val="16"/>
              </w:rPr>
              <w:t>53,770</w:t>
            </w:r>
          </w:p>
        </w:tc>
        <w:tc>
          <w:tcPr>
            <w:tcW w:w="720" w:type="dxa"/>
            <w:tcBorders>
              <w:top w:val="nil"/>
              <w:left w:val="nil"/>
              <w:bottom w:val="single" w:sz="4" w:space="0" w:color="auto"/>
              <w:right w:val="single" w:sz="4" w:space="0" w:color="auto"/>
            </w:tcBorders>
            <w:shd w:val="clear" w:color="auto" w:fill="auto"/>
            <w:vAlign w:val="center"/>
            <w:hideMark/>
          </w:tcPr>
          <w:p w14:paraId="639B317C" w14:textId="77777777" w:rsidR="00002D76" w:rsidRPr="00F616A2" w:rsidRDefault="00002D76" w:rsidP="00D63204">
            <w:pPr>
              <w:spacing w:after="0" w:line="240" w:lineRule="auto"/>
              <w:rPr>
                <w:rFonts w:ascii="Calibri" w:hAnsi="Calibri"/>
                <w:color w:val="231F20"/>
                <w:sz w:val="16"/>
                <w:szCs w:val="16"/>
              </w:rPr>
            </w:pPr>
            <w:r w:rsidRPr="00F616A2">
              <w:rPr>
                <w:rFonts w:ascii="Calibri" w:hAnsi="Calibri"/>
                <w:color w:val="231F20"/>
                <w:sz w:val="16"/>
                <w:szCs w:val="16"/>
              </w:rPr>
              <w:t>0.6%</w:t>
            </w:r>
          </w:p>
        </w:tc>
      </w:tr>
      <w:tr w:rsidR="00002D76" w:rsidRPr="00F616A2" w14:paraId="53AF8618" w14:textId="77777777" w:rsidTr="001429C7">
        <w:trPr>
          <w:trHeight w:hRule="exact" w:val="300"/>
          <w:jc w:val="center"/>
        </w:trPr>
        <w:tc>
          <w:tcPr>
            <w:tcW w:w="1260" w:type="dxa"/>
            <w:tcBorders>
              <w:top w:val="nil"/>
              <w:left w:val="single" w:sz="4" w:space="0" w:color="auto"/>
              <w:bottom w:val="single" w:sz="4" w:space="0" w:color="auto"/>
              <w:right w:val="single" w:sz="4" w:space="0" w:color="auto"/>
            </w:tcBorders>
            <w:shd w:val="clear" w:color="000000" w:fill="E6E7E8"/>
            <w:vAlign w:val="center"/>
            <w:hideMark/>
          </w:tcPr>
          <w:p w14:paraId="7A0DA171" w14:textId="77777777" w:rsidR="00002D76" w:rsidRPr="00F616A2" w:rsidRDefault="00002D76" w:rsidP="00D63204">
            <w:pPr>
              <w:spacing w:after="0" w:line="240" w:lineRule="auto"/>
              <w:rPr>
                <w:rFonts w:ascii="Calibri" w:hAnsi="Calibri"/>
                <w:color w:val="231F20"/>
                <w:sz w:val="16"/>
                <w:szCs w:val="16"/>
              </w:rPr>
            </w:pPr>
            <w:r w:rsidRPr="00F616A2">
              <w:rPr>
                <w:rFonts w:ascii="Calibri" w:hAnsi="Calibri"/>
                <w:color w:val="231F20"/>
                <w:sz w:val="16"/>
                <w:szCs w:val="16"/>
              </w:rPr>
              <w:t>470000</w:t>
            </w:r>
          </w:p>
        </w:tc>
        <w:tc>
          <w:tcPr>
            <w:tcW w:w="3620" w:type="dxa"/>
            <w:tcBorders>
              <w:top w:val="nil"/>
              <w:left w:val="nil"/>
              <w:bottom w:val="single" w:sz="4" w:space="0" w:color="auto"/>
              <w:right w:val="single" w:sz="4" w:space="0" w:color="auto"/>
            </w:tcBorders>
            <w:shd w:val="clear" w:color="000000" w:fill="E6E7E8"/>
            <w:vAlign w:val="center"/>
            <w:hideMark/>
          </w:tcPr>
          <w:p w14:paraId="77F752ED" w14:textId="77777777" w:rsidR="00002D76" w:rsidRPr="00F616A2" w:rsidRDefault="00002D76" w:rsidP="001429C7">
            <w:pPr>
              <w:spacing w:after="0" w:line="240" w:lineRule="auto"/>
              <w:rPr>
                <w:rFonts w:ascii="Calibri" w:hAnsi="Calibri"/>
                <w:color w:val="231F20"/>
                <w:sz w:val="16"/>
                <w:szCs w:val="16"/>
              </w:rPr>
            </w:pPr>
            <w:r w:rsidRPr="00F616A2">
              <w:rPr>
                <w:rFonts w:ascii="Calibri" w:hAnsi="Calibri"/>
                <w:color w:val="231F20"/>
                <w:sz w:val="16"/>
                <w:szCs w:val="16"/>
              </w:rPr>
              <w:t>Construction and Extraction</w:t>
            </w:r>
          </w:p>
        </w:tc>
        <w:tc>
          <w:tcPr>
            <w:tcW w:w="1520" w:type="dxa"/>
            <w:tcBorders>
              <w:top w:val="nil"/>
              <w:left w:val="nil"/>
              <w:bottom w:val="single" w:sz="4" w:space="0" w:color="auto"/>
              <w:right w:val="single" w:sz="4" w:space="0" w:color="auto"/>
            </w:tcBorders>
            <w:shd w:val="clear" w:color="000000" w:fill="E6E7E8"/>
            <w:vAlign w:val="center"/>
            <w:hideMark/>
          </w:tcPr>
          <w:p w14:paraId="66353712" w14:textId="77777777" w:rsidR="00002D76" w:rsidRPr="00F616A2" w:rsidRDefault="00002D76" w:rsidP="00D63204">
            <w:pPr>
              <w:spacing w:after="0" w:line="240" w:lineRule="auto"/>
              <w:rPr>
                <w:rFonts w:ascii="Calibri" w:hAnsi="Calibri"/>
                <w:color w:val="231F20"/>
                <w:sz w:val="16"/>
                <w:szCs w:val="16"/>
              </w:rPr>
            </w:pPr>
            <w:r w:rsidRPr="00F616A2">
              <w:rPr>
                <w:rFonts w:ascii="Calibri" w:hAnsi="Calibri"/>
                <w:color w:val="231F20"/>
                <w:sz w:val="16"/>
                <w:szCs w:val="16"/>
              </w:rPr>
              <w:t>469,933</w:t>
            </w:r>
          </w:p>
        </w:tc>
        <w:tc>
          <w:tcPr>
            <w:tcW w:w="720" w:type="dxa"/>
            <w:tcBorders>
              <w:top w:val="nil"/>
              <w:left w:val="nil"/>
              <w:bottom w:val="single" w:sz="4" w:space="0" w:color="auto"/>
              <w:right w:val="single" w:sz="4" w:space="0" w:color="auto"/>
            </w:tcBorders>
            <w:shd w:val="clear" w:color="000000" w:fill="E6E7E8"/>
            <w:vAlign w:val="center"/>
            <w:hideMark/>
          </w:tcPr>
          <w:p w14:paraId="228E99D0" w14:textId="77777777" w:rsidR="00002D76" w:rsidRPr="00F616A2" w:rsidRDefault="00002D76" w:rsidP="00D63204">
            <w:pPr>
              <w:spacing w:after="0" w:line="240" w:lineRule="auto"/>
              <w:rPr>
                <w:rFonts w:ascii="Calibri" w:hAnsi="Calibri"/>
                <w:color w:val="231F20"/>
                <w:sz w:val="16"/>
                <w:szCs w:val="16"/>
              </w:rPr>
            </w:pPr>
            <w:r w:rsidRPr="00F616A2">
              <w:rPr>
                <w:rFonts w:ascii="Calibri" w:hAnsi="Calibri"/>
                <w:color w:val="231F20"/>
                <w:sz w:val="16"/>
                <w:szCs w:val="16"/>
              </w:rPr>
              <w:t>5.0%</w:t>
            </w:r>
          </w:p>
        </w:tc>
      </w:tr>
      <w:tr w:rsidR="00002D76" w:rsidRPr="00F616A2" w14:paraId="4112B6B7" w14:textId="77777777" w:rsidTr="001429C7">
        <w:trPr>
          <w:trHeight w:hRule="exact" w:val="300"/>
          <w:jc w:val="center"/>
        </w:trPr>
        <w:tc>
          <w:tcPr>
            <w:tcW w:w="1260" w:type="dxa"/>
            <w:tcBorders>
              <w:top w:val="nil"/>
              <w:left w:val="single" w:sz="4" w:space="0" w:color="auto"/>
              <w:bottom w:val="single" w:sz="4" w:space="0" w:color="auto"/>
              <w:right w:val="single" w:sz="4" w:space="0" w:color="auto"/>
            </w:tcBorders>
            <w:shd w:val="clear" w:color="auto" w:fill="auto"/>
            <w:vAlign w:val="center"/>
            <w:hideMark/>
          </w:tcPr>
          <w:p w14:paraId="0FB83624" w14:textId="77777777" w:rsidR="00002D76" w:rsidRPr="00F616A2" w:rsidRDefault="00002D76" w:rsidP="00D63204">
            <w:pPr>
              <w:spacing w:after="0" w:line="240" w:lineRule="auto"/>
              <w:rPr>
                <w:rFonts w:ascii="Calibri" w:hAnsi="Calibri"/>
                <w:color w:val="231F20"/>
                <w:sz w:val="16"/>
                <w:szCs w:val="16"/>
              </w:rPr>
            </w:pPr>
            <w:r w:rsidRPr="00F616A2">
              <w:rPr>
                <w:rFonts w:ascii="Calibri" w:hAnsi="Calibri"/>
                <w:color w:val="231F20"/>
                <w:sz w:val="16"/>
                <w:szCs w:val="16"/>
              </w:rPr>
              <w:t>490000</w:t>
            </w:r>
          </w:p>
        </w:tc>
        <w:tc>
          <w:tcPr>
            <w:tcW w:w="3620" w:type="dxa"/>
            <w:tcBorders>
              <w:top w:val="nil"/>
              <w:left w:val="nil"/>
              <w:bottom w:val="single" w:sz="4" w:space="0" w:color="auto"/>
              <w:right w:val="single" w:sz="4" w:space="0" w:color="auto"/>
            </w:tcBorders>
            <w:shd w:val="clear" w:color="auto" w:fill="auto"/>
            <w:vAlign w:val="center"/>
            <w:hideMark/>
          </w:tcPr>
          <w:p w14:paraId="2901BA60" w14:textId="4A1BE499" w:rsidR="00002D76" w:rsidRPr="00F616A2" w:rsidRDefault="00002D76" w:rsidP="001429C7">
            <w:pPr>
              <w:spacing w:after="0" w:line="240" w:lineRule="auto"/>
              <w:rPr>
                <w:rFonts w:ascii="Calibri" w:hAnsi="Calibri"/>
                <w:color w:val="231F20"/>
                <w:sz w:val="16"/>
                <w:szCs w:val="16"/>
              </w:rPr>
            </w:pPr>
            <w:r w:rsidRPr="00F616A2">
              <w:rPr>
                <w:rFonts w:ascii="Calibri" w:hAnsi="Calibri"/>
                <w:color w:val="231F20"/>
                <w:sz w:val="16"/>
                <w:szCs w:val="16"/>
              </w:rPr>
              <w:t>Installation, Maintenance</w:t>
            </w:r>
            <w:r w:rsidR="00D5537E">
              <w:rPr>
                <w:rFonts w:ascii="Calibri" w:hAnsi="Calibri"/>
                <w:color w:val="231F20"/>
                <w:sz w:val="16"/>
                <w:szCs w:val="16"/>
              </w:rPr>
              <w:t xml:space="preserve"> and</w:t>
            </w:r>
            <w:r w:rsidRPr="00F616A2">
              <w:rPr>
                <w:rFonts w:ascii="Calibri" w:hAnsi="Calibri"/>
                <w:color w:val="231F20"/>
                <w:sz w:val="16"/>
                <w:szCs w:val="16"/>
              </w:rPr>
              <w:t xml:space="preserve"> Repair</w:t>
            </w:r>
          </w:p>
        </w:tc>
        <w:tc>
          <w:tcPr>
            <w:tcW w:w="1520" w:type="dxa"/>
            <w:tcBorders>
              <w:top w:val="nil"/>
              <w:left w:val="nil"/>
              <w:bottom w:val="single" w:sz="4" w:space="0" w:color="auto"/>
              <w:right w:val="single" w:sz="4" w:space="0" w:color="auto"/>
            </w:tcBorders>
            <w:shd w:val="clear" w:color="auto" w:fill="auto"/>
            <w:vAlign w:val="center"/>
            <w:hideMark/>
          </w:tcPr>
          <w:p w14:paraId="4257D0AA" w14:textId="77777777" w:rsidR="00002D76" w:rsidRPr="00F616A2" w:rsidRDefault="00002D76" w:rsidP="00D63204">
            <w:pPr>
              <w:spacing w:after="0" w:line="240" w:lineRule="auto"/>
              <w:rPr>
                <w:rFonts w:ascii="Calibri" w:hAnsi="Calibri"/>
                <w:color w:val="231F20"/>
                <w:sz w:val="16"/>
                <w:szCs w:val="16"/>
              </w:rPr>
            </w:pPr>
            <w:r w:rsidRPr="00F616A2">
              <w:rPr>
                <w:rFonts w:ascii="Calibri" w:hAnsi="Calibri"/>
                <w:color w:val="231F20"/>
                <w:sz w:val="16"/>
                <w:szCs w:val="16"/>
              </w:rPr>
              <w:t>389,505</w:t>
            </w:r>
          </w:p>
        </w:tc>
        <w:tc>
          <w:tcPr>
            <w:tcW w:w="720" w:type="dxa"/>
            <w:tcBorders>
              <w:top w:val="nil"/>
              <w:left w:val="nil"/>
              <w:bottom w:val="single" w:sz="4" w:space="0" w:color="auto"/>
              <w:right w:val="single" w:sz="4" w:space="0" w:color="auto"/>
            </w:tcBorders>
            <w:shd w:val="clear" w:color="auto" w:fill="auto"/>
            <w:vAlign w:val="center"/>
            <w:hideMark/>
          </w:tcPr>
          <w:p w14:paraId="3DECD0CA" w14:textId="77777777" w:rsidR="00002D76" w:rsidRPr="00F616A2" w:rsidRDefault="00002D76" w:rsidP="00D63204">
            <w:pPr>
              <w:spacing w:after="0" w:line="240" w:lineRule="auto"/>
              <w:rPr>
                <w:rFonts w:ascii="Calibri" w:hAnsi="Calibri"/>
                <w:color w:val="231F20"/>
                <w:sz w:val="16"/>
                <w:szCs w:val="16"/>
              </w:rPr>
            </w:pPr>
            <w:r w:rsidRPr="00F616A2">
              <w:rPr>
                <w:rFonts w:ascii="Calibri" w:hAnsi="Calibri"/>
                <w:color w:val="231F20"/>
                <w:sz w:val="16"/>
                <w:szCs w:val="16"/>
              </w:rPr>
              <w:t>4.2%</w:t>
            </w:r>
          </w:p>
        </w:tc>
      </w:tr>
      <w:tr w:rsidR="00002D76" w:rsidRPr="00F616A2" w14:paraId="2E062B6B" w14:textId="77777777" w:rsidTr="001429C7">
        <w:trPr>
          <w:trHeight w:hRule="exact" w:val="300"/>
          <w:jc w:val="center"/>
        </w:trPr>
        <w:tc>
          <w:tcPr>
            <w:tcW w:w="1260" w:type="dxa"/>
            <w:tcBorders>
              <w:top w:val="nil"/>
              <w:left w:val="single" w:sz="4" w:space="0" w:color="auto"/>
              <w:bottom w:val="single" w:sz="4" w:space="0" w:color="auto"/>
              <w:right w:val="single" w:sz="4" w:space="0" w:color="auto"/>
            </w:tcBorders>
            <w:shd w:val="clear" w:color="000000" w:fill="E6E7E8"/>
            <w:vAlign w:val="center"/>
            <w:hideMark/>
          </w:tcPr>
          <w:p w14:paraId="05F86273" w14:textId="77777777" w:rsidR="00002D76" w:rsidRPr="00F616A2" w:rsidRDefault="00002D76" w:rsidP="00D63204">
            <w:pPr>
              <w:spacing w:after="0" w:line="240" w:lineRule="auto"/>
              <w:rPr>
                <w:rFonts w:ascii="Calibri" w:hAnsi="Calibri"/>
                <w:color w:val="231F20"/>
                <w:sz w:val="16"/>
                <w:szCs w:val="16"/>
              </w:rPr>
            </w:pPr>
            <w:r w:rsidRPr="00F616A2">
              <w:rPr>
                <w:rFonts w:ascii="Calibri" w:hAnsi="Calibri"/>
                <w:color w:val="231F20"/>
                <w:sz w:val="16"/>
                <w:szCs w:val="16"/>
              </w:rPr>
              <w:t>510000</w:t>
            </w:r>
          </w:p>
        </w:tc>
        <w:tc>
          <w:tcPr>
            <w:tcW w:w="3620" w:type="dxa"/>
            <w:tcBorders>
              <w:top w:val="nil"/>
              <w:left w:val="nil"/>
              <w:bottom w:val="single" w:sz="4" w:space="0" w:color="auto"/>
              <w:right w:val="single" w:sz="4" w:space="0" w:color="auto"/>
            </w:tcBorders>
            <w:shd w:val="clear" w:color="000000" w:fill="E6E7E8"/>
            <w:vAlign w:val="center"/>
            <w:hideMark/>
          </w:tcPr>
          <w:p w14:paraId="24E592B2" w14:textId="77777777" w:rsidR="00002D76" w:rsidRPr="00F616A2" w:rsidRDefault="00002D76" w:rsidP="001429C7">
            <w:pPr>
              <w:spacing w:after="0" w:line="240" w:lineRule="auto"/>
              <w:rPr>
                <w:rFonts w:ascii="Calibri" w:hAnsi="Calibri"/>
                <w:color w:val="231F20"/>
                <w:sz w:val="16"/>
                <w:szCs w:val="16"/>
              </w:rPr>
            </w:pPr>
            <w:r w:rsidRPr="00F616A2">
              <w:rPr>
                <w:rFonts w:ascii="Calibri" w:hAnsi="Calibri"/>
                <w:color w:val="231F20"/>
                <w:sz w:val="16"/>
                <w:szCs w:val="16"/>
              </w:rPr>
              <w:t>Production</w:t>
            </w:r>
          </w:p>
        </w:tc>
        <w:tc>
          <w:tcPr>
            <w:tcW w:w="1520" w:type="dxa"/>
            <w:tcBorders>
              <w:top w:val="nil"/>
              <w:left w:val="nil"/>
              <w:bottom w:val="single" w:sz="4" w:space="0" w:color="auto"/>
              <w:right w:val="single" w:sz="4" w:space="0" w:color="auto"/>
            </w:tcBorders>
            <w:shd w:val="clear" w:color="000000" w:fill="E6E7E8"/>
            <w:vAlign w:val="center"/>
            <w:hideMark/>
          </w:tcPr>
          <w:p w14:paraId="163983FE" w14:textId="77777777" w:rsidR="00002D76" w:rsidRPr="00F616A2" w:rsidRDefault="00002D76" w:rsidP="00D63204">
            <w:pPr>
              <w:spacing w:after="0" w:line="240" w:lineRule="auto"/>
              <w:rPr>
                <w:rFonts w:ascii="Calibri" w:hAnsi="Calibri"/>
                <w:color w:val="231F20"/>
                <w:sz w:val="16"/>
                <w:szCs w:val="16"/>
              </w:rPr>
            </w:pPr>
            <w:r w:rsidRPr="00F616A2">
              <w:rPr>
                <w:rFonts w:ascii="Calibri" w:hAnsi="Calibri"/>
                <w:color w:val="231F20"/>
                <w:sz w:val="16"/>
                <w:szCs w:val="16"/>
              </w:rPr>
              <w:t>328,953</w:t>
            </w:r>
          </w:p>
        </w:tc>
        <w:tc>
          <w:tcPr>
            <w:tcW w:w="720" w:type="dxa"/>
            <w:tcBorders>
              <w:top w:val="nil"/>
              <w:left w:val="nil"/>
              <w:bottom w:val="single" w:sz="4" w:space="0" w:color="auto"/>
              <w:right w:val="single" w:sz="4" w:space="0" w:color="auto"/>
            </w:tcBorders>
            <w:shd w:val="clear" w:color="000000" w:fill="E6E7E8"/>
            <w:vAlign w:val="center"/>
            <w:hideMark/>
          </w:tcPr>
          <w:p w14:paraId="37896C22" w14:textId="77777777" w:rsidR="00002D76" w:rsidRPr="00F616A2" w:rsidRDefault="00002D76" w:rsidP="00D63204">
            <w:pPr>
              <w:spacing w:after="0" w:line="240" w:lineRule="auto"/>
              <w:rPr>
                <w:rFonts w:ascii="Calibri" w:hAnsi="Calibri"/>
                <w:color w:val="231F20"/>
                <w:sz w:val="16"/>
                <w:szCs w:val="16"/>
              </w:rPr>
            </w:pPr>
            <w:r w:rsidRPr="00F616A2">
              <w:rPr>
                <w:rFonts w:ascii="Calibri" w:hAnsi="Calibri"/>
                <w:color w:val="231F20"/>
                <w:sz w:val="16"/>
                <w:szCs w:val="16"/>
              </w:rPr>
              <w:t>3.5%</w:t>
            </w:r>
          </w:p>
        </w:tc>
      </w:tr>
      <w:tr w:rsidR="00002D76" w:rsidRPr="00F616A2" w14:paraId="628708FA" w14:textId="77777777" w:rsidTr="001429C7">
        <w:trPr>
          <w:trHeight w:hRule="exact" w:val="300"/>
          <w:jc w:val="center"/>
        </w:trPr>
        <w:tc>
          <w:tcPr>
            <w:tcW w:w="1260" w:type="dxa"/>
            <w:tcBorders>
              <w:top w:val="nil"/>
              <w:left w:val="single" w:sz="4" w:space="0" w:color="auto"/>
              <w:bottom w:val="single" w:sz="4" w:space="0" w:color="auto"/>
              <w:right w:val="single" w:sz="4" w:space="0" w:color="auto"/>
            </w:tcBorders>
            <w:shd w:val="clear" w:color="auto" w:fill="auto"/>
            <w:vAlign w:val="center"/>
            <w:hideMark/>
          </w:tcPr>
          <w:p w14:paraId="3DBC8442" w14:textId="77777777" w:rsidR="00002D76" w:rsidRPr="00F616A2" w:rsidRDefault="00002D76" w:rsidP="00D63204">
            <w:pPr>
              <w:spacing w:after="0" w:line="240" w:lineRule="auto"/>
              <w:rPr>
                <w:rFonts w:ascii="Calibri" w:hAnsi="Calibri"/>
                <w:color w:val="231F20"/>
                <w:sz w:val="16"/>
                <w:szCs w:val="16"/>
              </w:rPr>
            </w:pPr>
            <w:r w:rsidRPr="00F616A2">
              <w:rPr>
                <w:rFonts w:ascii="Calibri" w:hAnsi="Calibri"/>
                <w:color w:val="231F20"/>
                <w:sz w:val="16"/>
                <w:szCs w:val="16"/>
              </w:rPr>
              <w:t>530000</w:t>
            </w:r>
          </w:p>
        </w:tc>
        <w:tc>
          <w:tcPr>
            <w:tcW w:w="3620" w:type="dxa"/>
            <w:tcBorders>
              <w:top w:val="nil"/>
              <w:left w:val="nil"/>
              <w:bottom w:val="single" w:sz="4" w:space="0" w:color="auto"/>
              <w:right w:val="single" w:sz="4" w:space="0" w:color="auto"/>
            </w:tcBorders>
            <w:shd w:val="clear" w:color="auto" w:fill="auto"/>
            <w:vAlign w:val="center"/>
            <w:hideMark/>
          </w:tcPr>
          <w:p w14:paraId="042AB065" w14:textId="77777777" w:rsidR="00002D76" w:rsidRPr="00F616A2" w:rsidRDefault="00002D76" w:rsidP="001429C7">
            <w:pPr>
              <w:spacing w:after="0" w:line="240" w:lineRule="auto"/>
              <w:rPr>
                <w:rFonts w:ascii="Calibri" w:hAnsi="Calibri"/>
                <w:color w:val="231F20"/>
                <w:sz w:val="16"/>
                <w:szCs w:val="16"/>
              </w:rPr>
            </w:pPr>
            <w:r w:rsidRPr="00F616A2">
              <w:rPr>
                <w:rFonts w:ascii="Calibri" w:hAnsi="Calibri"/>
                <w:color w:val="231F20"/>
                <w:sz w:val="16"/>
                <w:szCs w:val="16"/>
              </w:rPr>
              <w:t>Transportation and Material Moving</w:t>
            </w:r>
          </w:p>
        </w:tc>
        <w:tc>
          <w:tcPr>
            <w:tcW w:w="1520" w:type="dxa"/>
            <w:tcBorders>
              <w:top w:val="nil"/>
              <w:left w:val="nil"/>
              <w:bottom w:val="single" w:sz="4" w:space="0" w:color="auto"/>
              <w:right w:val="single" w:sz="4" w:space="0" w:color="auto"/>
            </w:tcBorders>
            <w:shd w:val="clear" w:color="auto" w:fill="auto"/>
            <w:vAlign w:val="center"/>
            <w:hideMark/>
          </w:tcPr>
          <w:p w14:paraId="74BDD30D" w14:textId="77777777" w:rsidR="00002D76" w:rsidRPr="00F616A2" w:rsidRDefault="00002D76" w:rsidP="00D63204">
            <w:pPr>
              <w:spacing w:after="0" w:line="240" w:lineRule="auto"/>
              <w:rPr>
                <w:rFonts w:ascii="Calibri" w:hAnsi="Calibri"/>
                <w:color w:val="231F20"/>
                <w:sz w:val="16"/>
                <w:szCs w:val="16"/>
              </w:rPr>
            </w:pPr>
            <w:r w:rsidRPr="00F616A2">
              <w:rPr>
                <w:rFonts w:ascii="Calibri" w:hAnsi="Calibri"/>
                <w:color w:val="231F20"/>
                <w:sz w:val="16"/>
                <w:szCs w:val="16"/>
              </w:rPr>
              <w:t>540,653</w:t>
            </w:r>
          </w:p>
        </w:tc>
        <w:tc>
          <w:tcPr>
            <w:tcW w:w="720" w:type="dxa"/>
            <w:tcBorders>
              <w:top w:val="nil"/>
              <w:left w:val="nil"/>
              <w:bottom w:val="single" w:sz="4" w:space="0" w:color="auto"/>
              <w:right w:val="single" w:sz="4" w:space="0" w:color="auto"/>
            </w:tcBorders>
            <w:shd w:val="clear" w:color="auto" w:fill="auto"/>
            <w:vAlign w:val="center"/>
            <w:hideMark/>
          </w:tcPr>
          <w:p w14:paraId="31569B0D" w14:textId="77777777" w:rsidR="00002D76" w:rsidRPr="00F616A2" w:rsidRDefault="00002D76" w:rsidP="00D63204">
            <w:pPr>
              <w:spacing w:after="0" w:line="240" w:lineRule="auto"/>
              <w:rPr>
                <w:rFonts w:ascii="Calibri" w:hAnsi="Calibri"/>
                <w:color w:val="231F20"/>
                <w:sz w:val="16"/>
                <w:szCs w:val="16"/>
              </w:rPr>
            </w:pPr>
            <w:r w:rsidRPr="00F616A2">
              <w:rPr>
                <w:rFonts w:ascii="Calibri" w:hAnsi="Calibri"/>
                <w:color w:val="231F20"/>
                <w:sz w:val="16"/>
                <w:szCs w:val="16"/>
              </w:rPr>
              <w:t>5.8%</w:t>
            </w:r>
          </w:p>
        </w:tc>
      </w:tr>
    </w:tbl>
    <w:p w14:paraId="161B9334" w14:textId="77777777" w:rsidR="00002D76" w:rsidRPr="00EA7458" w:rsidRDefault="00002D76" w:rsidP="00002D76">
      <w:pPr>
        <w:widowControl w:val="0"/>
        <w:spacing w:before="65" w:after="0" w:line="216" w:lineRule="exact"/>
        <w:ind w:left="107"/>
        <w:rPr>
          <w:rFonts w:ascii="Calibri" w:hAnsi="Calibri" w:cs="Calibri"/>
          <w:sz w:val="18"/>
          <w:szCs w:val="18"/>
        </w:rPr>
      </w:pPr>
      <w:r w:rsidRPr="00EA7458">
        <w:rPr>
          <w:rFonts w:ascii="Calibri" w:hAnsi="Calibri"/>
          <w:color w:val="231F20"/>
          <w:w w:val="105"/>
          <w:sz w:val="18"/>
        </w:rPr>
        <w:t>Source:</w:t>
      </w:r>
      <w:r w:rsidRPr="00EA7458">
        <w:rPr>
          <w:rFonts w:ascii="Calibri" w:hAnsi="Calibri"/>
          <w:color w:val="231F20"/>
          <w:spacing w:val="19"/>
          <w:w w:val="105"/>
          <w:sz w:val="18"/>
        </w:rPr>
        <w:t xml:space="preserve"> </w:t>
      </w:r>
      <w:r w:rsidRPr="00EA7458">
        <w:rPr>
          <w:rFonts w:ascii="Calibri" w:hAnsi="Calibri"/>
          <w:color w:val="231F20"/>
          <w:w w:val="105"/>
          <w:sz w:val="18"/>
        </w:rPr>
        <w:t>Florida</w:t>
      </w:r>
      <w:r w:rsidRPr="00EA7458">
        <w:rPr>
          <w:rFonts w:ascii="Calibri" w:hAnsi="Calibri"/>
          <w:color w:val="231F20"/>
          <w:spacing w:val="9"/>
          <w:w w:val="105"/>
          <w:sz w:val="18"/>
        </w:rPr>
        <w:t xml:space="preserve"> </w:t>
      </w:r>
      <w:r w:rsidRPr="00EA7458">
        <w:rPr>
          <w:rFonts w:ascii="Calibri" w:hAnsi="Calibri"/>
          <w:color w:val="231F20"/>
          <w:w w:val="105"/>
          <w:sz w:val="18"/>
        </w:rPr>
        <w:t>Department</w:t>
      </w:r>
      <w:r w:rsidRPr="00EA7458">
        <w:rPr>
          <w:rFonts w:ascii="Calibri" w:hAnsi="Calibri"/>
          <w:color w:val="231F20"/>
          <w:spacing w:val="9"/>
          <w:w w:val="105"/>
          <w:sz w:val="18"/>
        </w:rPr>
        <w:t xml:space="preserve"> </w:t>
      </w:r>
      <w:r w:rsidRPr="00EA7458">
        <w:rPr>
          <w:rFonts w:ascii="Calibri" w:hAnsi="Calibri"/>
          <w:color w:val="231F20"/>
          <w:w w:val="105"/>
          <w:sz w:val="18"/>
        </w:rPr>
        <w:t>of</w:t>
      </w:r>
      <w:r w:rsidRPr="00EA7458">
        <w:rPr>
          <w:rFonts w:ascii="Calibri" w:hAnsi="Calibri"/>
          <w:color w:val="231F20"/>
          <w:spacing w:val="9"/>
          <w:w w:val="105"/>
          <w:sz w:val="18"/>
        </w:rPr>
        <w:t xml:space="preserve"> </w:t>
      </w:r>
      <w:r w:rsidRPr="00EA7458">
        <w:rPr>
          <w:rFonts w:ascii="Calibri" w:hAnsi="Calibri"/>
          <w:color w:val="231F20"/>
          <w:w w:val="105"/>
          <w:sz w:val="18"/>
        </w:rPr>
        <w:t>Economic</w:t>
      </w:r>
      <w:r w:rsidRPr="00EA7458">
        <w:rPr>
          <w:rFonts w:ascii="Calibri" w:hAnsi="Calibri"/>
          <w:color w:val="231F20"/>
          <w:spacing w:val="9"/>
          <w:w w:val="105"/>
          <w:sz w:val="18"/>
        </w:rPr>
        <w:t xml:space="preserve"> </w:t>
      </w:r>
      <w:r w:rsidRPr="00EA7458">
        <w:rPr>
          <w:rFonts w:ascii="Calibri" w:hAnsi="Calibri"/>
          <w:color w:val="231F20"/>
          <w:w w:val="105"/>
          <w:sz w:val="18"/>
        </w:rPr>
        <w:t>Opportunity,</w:t>
      </w:r>
      <w:r w:rsidRPr="00EA7458">
        <w:rPr>
          <w:rFonts w:ascii="Calibri" w:hAnsi="Calibri"/>
          <w:color w:val="231F20"/>
          <w:spacing w:val="9"/>
          <w:w w:val="105"/>
          <w:sz w:val="18"/>
        </w:rPr>
        <w:t xml:space="preserve"> </w:t>
      </w:r>
      <w:r w:rsidRPr="00EA7458">
        <w:rPr>
          <w:rFonts w:ascii="Calibri" w:hAnsi="Calibri"/>
          <w:color w:val="231F20"/>
          <w:w w:val="105"/>
          <w:sz w:val="18"/>
        </w:rPr>
        <w:t>Bureau</w:t>
      </w:r>
      <w:r w:rsidRPr="00EA7458">
        <w:rPr>
          <w:rFonts w:ascii="Calibri" w:hAnsi="Calibri"/>
          <w:color w:val="231F20"/>
          <w:spacing w:val="9"/>
          <w:w w:val="105"/>
          <w:sz w:val="18"/>
        </w:rPr>
        <w:t xml:space="preserve"> </w:t>
      </w:r>
      <w:r w:rsidRPr="00EA7458">
        <w:rPr>
          <w:rFonts w:ascii="Calibri" w:hAnsi="Calibri"/>
          <w:color w:val="231F20"/>
          <w:w w:val="105"/>
          <w:sz w:val="18"/>
        </w:rPr>
        <w:t>of</w:t>
      </w:r>
      <w:r w:rsidRPr="00EA7458">
        <w:rPr>
          <w:rFonts w:ascii="Calibri" w:hAnsi="Calibri"/>
          <w:color w:val="231F20"/>
          <w:spacing w:val="9"/>
          <w:w w:val="105"/>
          <w:sz w:val="18"/>
        </w:rPr>
        <w:t xml:space="preserve"> </w:t>
      </w:r>
      <w:r w:rsidRPr="00EA7458">
        <w:rPr>
          <w:rFonts w:ascii="Calibri" w:hAnsi="Calibri"/>
          <w:color w:val="231F20"/>
          <w:w w:val="105"/>
          <w:sz w:val="18"/>
        </w:rPr>
        <w:t>Labor</w:t>
      </w:r>
      <w:r w:rsidRPr="00EA7458">
        <w:rPr>
          <w:rFonts w:ascii="Calibri" w:hAnsi="Calibri"/>
          <w:color w:val="231F20"/>
          <w:spacing w:val="9"/>
          <w:w w:val="105"/>
          <w:sz w:val="18"/>
        </w:rPr>
        <w:t xml:space="preserve"> </w:t>
      </w:r>
      <w:r w:rsidRPr="00EA7458">
        <w:rPr>
          <w:rFonts w:ascii="Calibri" w:hAnsi="Calibri"/>
          <w:color w:val="231F20"/>
          <w:w w:val="105"/>
          <w:sz w:val="18"/>
        </w:rPr>
        <w:t>Market</w:t>
      </w:r>
      <w:r w:rsidRPr="00EA7458">
        <w:rPr>
          <w:rFonts w:ascii="Calibri" w:hAnsi="Calibri"/>
          <w:color w:val="231F20"/>
          <w:spacing w:val="9"/>
          <w:w w:val="105"/>
          <w:sz w:val="18"/>
        </w:rPr>
        <w:t xml:space="preserve"> </w:t>
      </w:r>
      <w:r w:rsidRPr="00EA7458">
        <w:rPr>
          <w:rFonts w:ascii="Calibri" w:hAnsi="Calibri"/>
          <w:color w:val="231F20"/>
          <w:w w:val="105"/>
          <w:sz w:val="18"/>
        </w:rPr>
        <w:t>Statistics,</w:t>
      </w:r>
      <w:r w:rsidRPr="00EA7458">
        <w:rPr>
          <w:rFonts w:ascii="Calibri" w:hAnsi="Calibri"/>
          <w:color w:val="231F20"/>
          <w:spacing w:val="9"/>
          <w:w w:val="105"/>
          <w:sz w:val="18"/>
        </w:rPr>
        <w:t xml:space="preserve"> </w:t>
      </w:r>
      <w:r w:rsidRPr="00EA7458">
        <w:rPr>
          <w:rFonts w:ascii="Calibri" w:hAnsi="Calibri"/>
          <w:color w:val="231F20"/>
          <w:w w:val="105"/>
          <w:sz w:val="18"/>
        </w:rPr>
        <w:t>Occupational</w:t>
      </w:r>
      <w:r w:rsidRPr="00EA7458">
        <w:rPr>
          <w:rFonts w:ascii="Calibri" w:hAnsi="Calibri"/>
          <w:color w:val="231F20"/>
          <w:spacing w:val="9"/>
          <w:w w:val="105"/>
          <w:sz w:val="18"/>
        </w:rPr>
        <w:t xml:space="preserve"> </w:t>
      </w:r>
      <w:r w:rsidRPr="00EA7458">
        <w:rPr>
          <w:rFonts w:ascii="Calibri" w:hAnsi="Calibri"/>
          <w:color w:val="231F20"/>
          <w:w w:val="105"/>
          <w:sz w:val="18"/>
        </w:rPr>
        <w:t>Employment</w:t>
      </w:r>
      <w:r w:rsidRPr="00EA7458">
        <w:rPr>
          <w:rFonts w:ascii="Calibri" w:hAnsi="Calibri"/>
          <w:color w:val="231F20"/>
          <w:spacing w:val="9"/>
          <w:w w:val="105"/>
          <w:sz w:val="18"/>
        </w:rPr>
        <w:t xml:space="preserve"> </w:t>
      </w:r>
      <w:r w:rsidRPr="00EA7458">
        <w:rPr>
          <w:rFonts w:ascii="Calibri" w:hAnsi="Calibri"/>
          <w:color w:val="231F20"/>
          <w:w w:val="105"/>
          <w:sz w:val="18"/>
        </w:rPr>
        <w:t>Statistics,</w:t>
      </w:r>
      <w:r w:rsidRPr="00EA7458">
        <w:rPr>
          <w:rFonts w:ascii="Calibri" w:hAnsi="Calibri"/>
          <w:color w:val="231F20"/>
          <w:spacing w:val="-41"/>
          <w:w w:val="105"/>
          <w:sz w:val="18"/>
        </w:rPr>
        <w:t xml:space="preserve"> </w:t>
      </w:r>
      <w:r>
        <w:rPr>
          <w:rFonts w:ascii="Calibri" w:hAnsi="Calibri"/>
          <w:color w:val="231F20"/>
          <w:w w:val="105"/>
          <w:sz w:val="18"/>
        </w:rPr>
        <w:t>December 2017</w:t>
      </w:r>
    </w:p>
    <w:p w14:paraId="3AEAFBB2" w14:textId="77777777" w:rsidR="00002D76" w:rsidRPr="00EA7458" w:rsidRDefault="00002D76" w:rsidP="00002D76">
      <w:pPr>
        <w:widowControl w:val="0"/>
        <w:spacing w:after="0" w:line="216" w:lineRule="exact"/>
        <w:rPr>
          <w:rFonts w:ascii="Calibri" w:hAnsi="Calibri" w:cs="Calibri"/>
          <w:sz w:val="18"/>
          <w:szCs w:val="18"/>
        </w:rPr>
        <w:sectPr w:rsidR="00002D76" w:rsidRPr="00EA7458">
          <w:footerReference w:type="default" r:id="rId78"/>
          <w:pgSz w:w="12240" w:h="15840"/>
          <w:pgMar w:top="1620" w:right="900" w:bottom="820" w:left="900" w:header="812" w:footer="624" w:gutter="0"/>
          <w:cols w:space="720"/>
        </w:sectPr>
      </w:pPr>
    </w:p>
    <w:p w14:paraId="1E5D1667" w14:textId="2B1D95A7" w:rsidR="00002D76" w:rsidRPr="00176F64" w:rsidRDefault="00002D76" w:rsidP="00D63204">
      <w:pPr>
        <w:widowControl w:val="0"/>
        <w:spacing w:before="58" w:after="0" w:line="264" w:lineRule="exact"/>
        <w:ind w:left="107"/>
        <w:rPr>
          <w:rFonts w:ascii="Calibri" w:hAnsi="Calibri"/>
          <w:color w:val="231F20"/>
          <w:w w:val="105"/>
        </w:rPr>
      </w:pPr>
      <w:r w:rsidRPr="00141257">
        <w:rPr>
          <w:rFonts w:ascii="Calibri" w:hAnsi="Calibri"/>
          <w:color w:val="231F20"/>
          <w:w w:val="105"/>
        </w:rPr>
        <w:lastRenderedPageBreak/>
        <w:t>Local</w:t>
      </w:r>
      <w:r w:rsidRPr="00176F64">
        <w:rPr>
          <w:rFonts w:ascii="Calibri" w:hAnsi="Calibri"/>
          <w:color w:val="231F20"/>
          <w:w w:val="105"/>
        </w:rPr>
        <w:t xml:space="preserve"> </w:t>
      </w:r>
      <w:r w:rsidRPr="00141257">
        <w:rPr>
          <w:rFonts w:ascii="Calibri" w:hAnsi="Calibri"/>
          <w:color w:val="231F20"/>
          <w:w w:val="105"/>
        </w:rPr>
        <w:t>area</w:t>
      </w:r>
      <w:r w:rsidRPr="00176F64">
        <w:rPr>
          <w:rFonts w:ascii="Calibri" w:hAnsi="Calibri"/>
          <w:color w:val="231F20"/>
          <w:w w:val="105"/>
        </w:rPr>
        <w:t xml:space="preserve"> </w:t>
      </w:r>
      <w:r w:rsidRPr="00141257">
        <w:rPr>
          <w:rFonts w:ascii="Calibri" w:hAnsi="Calibri"/>
          <w:color w:val="231F20"/>
          <w:w w:val="105"/>
        </w:rPr>
        <w:t>employment</w:t>
      </w:r>
      <w:r w:rsidRPr="00176F64">
        <w:rPr>
          <w:rFonts w:ascii="Calibri" w:hAnsi="Calibri"/>
          <w:color w:val="231F20"/>
          <w:w w:val="105"/>
        </w:rPr>
        <w:t xml:space="preserve"> </w:t>
      </w:r>
      <w:r w:rsidRPr="00141257">
        <w:rPr>
          <w:rFonts w:ascii="Calibri" w:hAnsi="Calibri"/>
          <w:color w:val="231F20"/>
          <w:w w:val="105"/>
        </w:rPr>
        <w:t>by</w:t>
      </w:r>
      <w:r w:rsidRPr="00176F64">
        <w:rPr>
          <w:rFonts w:ascii="Calibri" w:hAnsi="Calibri"/>
          <w:color w:val="231F20"/>
          <w:w w:val="105"/>
        </w:rPr>
        <w:t xml:space="preserve"> </w:t>
      </w:r>
      <w:r w:rsidRPr="00141257">
        <w:rPr>
          <w:rFonts w:ascii="Calibri" w:hAnsi="Calibri"/>
          <w:color w:val="231F20"/>
          <w:w w:val="105"/>
        </w:rPr>
        <w:t>major</w:t>
      </w:r>
      <w:r w:rsidRPr="00176F64">
        <w:rPr>
          <w:rFonts w:ascii="Calibri" w:hAnsi="Calibri"/>
          <w:color w:val="231F20"/>
          <w:w w:val="105"/>
        </w:rPr>
        <w:t xml:space="preserve"> </w:t>
      </w:r>
      <w:r w:rsidRPr="00141257">
        <w:rPr>
          <w:rFonts w:ascii="Calibri" w:hAnsi="Calibri"/>
          <w:color w:val="231F20"/>
          <w:w w:val="105"/>
        </w:rPr>
        <w:t>occupational</w:t>
      </w:r>
      <w:r w:rsidRPr="00176F64">
        <w:rPr>
          <w:rFonts w:ascii="Calibri" w:hAnsi="Calibri"/>
          <w:color w:val="231F20"/>
          <w:w w:val="105"/>
        </w:rPr>
        <w:t xml:space="preserve"> </w:t>
      </w:r>
      <w:r w:rsidRPr="00141257">
        <w:rPr>
          <w:rFonts w:ascii="Calibri" w:hAnsi="Calibri"/>
          <w:color w:val="231F20"/>
          <w:w w:val="105"/>
        </w:rPr>
        <w:t>group</w:t>
      </w:r>
      <w:r w:rsidRPr="00176F64">
        <w:rPr>
          <w:rFonts w:ascii="Calibri" w:hAnsi="Calibri"/>
          <w:color w:val="231F20"/>
          <w:w w:val="105"/>
        </w:rPr>
        <w:t xml:space="preserve"> </w:t>
      </w:r>
      <w:r w:rsidRPr="00141257">
        <w:rPr>
          <w:rFonts w:ascii="Calibri" w:hAnsi="Calibri"/>
          <w:color w:val="231F20"/>
          <w:w w:val="105"/>
        </w:rPr>
        <w:t>is</w:t>
      </w:r>
      <w:r w:rsidRPr="00176F64">
        <w:rPr>
          <w:rFonts w:ascii="Calibri" w:hAnsi="Calibri"/>
          <w:color w:val="231F20"/>
          <w:w w:val="105"/>
        </w:rPr>
        <w:t xml:space="preserve"> </w:t>
      </w:r>
      <w:r w:rsidRPr="00141257">
        <w:rPr>
          <w:rFonts w:ascii="Calibri" w:hAnsi="Calibri"/>
          <w:color w:val="231F20"/>
          <w:w w:val="105"/>
        </w:rPr>
        <w:t>displayed</w:t>
      </w:r>
      <w:r w:rsidRPr="00176F64">
        <w:rPr>
          <w:rFonts w:ascii="Calibri" w:hAnsi="Calibri"/>
          <w:color w:val="231F20"/>
          <w:w w:val="105"/>
        </w:rPr>
        <w:t xml:space="preserve"> </w:t>
      </w:r>
      <w:r w:rsidRPr="00141257">
        <w:rPr>
          <w:rFonts w:ascii="Calibri" w:hAnsi="Calibri"/>
          <w:color w:val="231F20"/>
          <w:w w:val="105"/>
        </w:rPr>
        <w:t>in</w:t>
      </w:r>
      <w:r w:rsidRPr="00176F64">
        <w:rPr>
          <w:rFonts w:ascii="Calibri" w:hAnsi="Calibri"/>
          <w:color w:val="231F20"/>
          <w:w w:val="105"/>
        </w:rPr>
        <w:t xml:space="preserve"> </w:t>
      </w:r>
      <w:r w:rsidRPr="00141257">
        <w:rPr>
          <w:rFonts w:ascii="Calibri" w:hAnsi="Calibri"/>
          <w:color w:val="231F20"/>
          <w:w w:val="105"/>
        </w:rPr>
        <w:t>the</w:t>
      </w:r>
      <w:r w:rsidRPr="00176F64">
        <w:rPr>
          <w:rFonts w:ascii="Calibri" w:hAnsi="Calibri"/>
          <w:color w:val="231F20"/>
          <w:w w:val="105"/>
        </w:rPr>
        <w:t xml:space="preserve"> </w:t>
      </w:r>
      <w:r w:rsidRPr="00141257">
        <w:rPr>
          <w:rFonts w:ascii="Calibri" w:hAnsi="Calibri"/>
          <w:color w:val="231F20"/>
          <w:w w:val="105"/>
        </w:rPr>
        <w:t>following</w:t>
      </w:r>
      <w:r w:rsidRPr="00176F64">
        <w:rPr>
          <w:rFonts w:ascii="Calibri" w:hAnsi="Calibri"/>
          <w:color w:val="231F20"/>
          <w:w w:val="105"/>
        </w:rPr>
        <w:t xml:space="preserve"> </w:t>
      </w:r>
      <w:r w:rsidRPr="00141257">
        <w:rPr>
          <w:rFonts w:ascii="Calibri" w:hAnsi="Calibri"/>
          <w:color w:val="231F20"/>
          <w:w w:val="105"/>
        </w:rPr>
        <w:t>tables.</w:t>
      </w:r>
      <w:r w:rsidRPr="00176F64">
        <w:rPr>
          <w:rFonts w:ascii="Calibri" w:hAnsi="Calibri"/>
          <w:color w:val="231F20"/>
          <w:w w:val="105"/>
        </w:rPr>
        <w:t xml:space="preserve"> </w:t>
      </w:r>
      <w:r w:rsidRPr="00141257">
        <w:rPr>
          <w:rFonts w:ascii="Calibri" w:hAnsi="Calibri"/>
          <w:color w:val="231F20"/>
          <w:w w:val="105"/>
        </w:rPr>
        <w:t>Variation</w:t>
      </w:r>
      <w:r w:rsidRPr="00176F64">
        <w:rPr>
          <w:rFonts w:ascii="Calibri" w:hAnsi="Calibri"/>
          <w:color w:val="231F20"/>
          <w:w w:val="105"/>
        </w:rPr>
        <w:t xml:space="preserve"> </w:t>
      </w:r>
      <w:r w:rsidRPr="00141257">
        <w:rPr>
          <w:rFonts w:ascii="Calibri" w:hAnsi="Calibri"/>
          <w:color w:val="231F20"/>
          <w:w w:val="105"/>
        </w:rPr>
        <w:t>results</w:t>
      </w:r>
      <w:r w:rsidRPr="00176F64">
        <w:rPr>
          <w:rFonts w:ascii="Calibri" w:hAnsi="Calibri"/>
          <w:color w:val="231F20"/>
          <w:w w:val="105"/>
        </w:rPr>
        <w:t xml:space="preserve"> </w:t>
      </w:r>
      <w:r w:rsidRPr="00141257">
        <w:rPr>
          <w:rFonts w:ascii="Calibri" w:hAnsi="Calibri"/>
          <w:color w:val="231F20"/>
          <w:w w:val="105"/>
        </w:rPr>
        <w:t>from</w:t>
      </w:r>
      <w:r w:rsidRPr="00176F64">
        <w:rPr>
          <w:rFonts w:ascii="Calibri" w:hAnsi="Calibri"/>
          <w:color w:val="231F20"/>
          <w:w w:val="105"/>
        </w:rPr>
        <w:t xml:space="preserve"> </w:t>
      </w:r>
      <w:r w:rsidRPr="00141257">
        <w:rPr>
          <w:rFonts w:ascii="Calibri" w:hAnsi="Calibri"/>
          <w:color w:val="231F20"/>
          <w:w w:val="105"/>
        </w:rPr>
        <w:t>the</w:t>
      </w:r>
      <w:r w:rsidRPr="00176F64">
        <w:rPr>
          <w:rFonts w:ascii="Calibri" w:hAnsi="Calibri"/>
          <w:color w:val="231F20"/>
          <w:w w:val="105"/>
        </w:rPr>
        <w:t xml:space="preserve"> </w:t>
      </w:r>
      <w:r w:rsidRPr="00141257">
        <w:rPr>
          <w:rFonts w:ascii="Calibri" w:hAnsi="Calibri"/>
          <w:color w:val="231F20"/>
          <w:w w:val="105"/>
        </w:rPr>
        <w:t>dissimilarity</w:t>
      </w:r>
      <w:r w:rsidRPr="00176F64">
        <w:rPr>
          <w:rFonts w:ascii="Calibri" w:hAnsi="Calibri"/>
          <w:color w:val="231F20"/>
          <w:w w:val="105"/>
        </w:rPr>
        <w:t xml:space="preserve"> </w:t>
      </w:r>
      <w:r w:rsidRPr="00141257">
        <w:rPr>
          <w:rFonts w:ascii="Calibri" w:hAnsi="Calibri"/>
          <w:color w:val="231F20"/>
          <w:w w:val="105"/>
        </w:rPr>
        <w:t>of</w:t>
      </w:r>
      <w:r w:rsidRPr="00176F64">
        <w:rPr>
          <w:rFonts w:ascii="Calibri" w:hAnsi="Calibri"/>
          <w:color w:val="231F20"/>
          <w:w w:val="105"/>
        </w:rPr>
        <w:t xml:space="preserve"> </w:t>
      </w:r>
      <w:r w:rsidRPr="00141257">
        <w:rPr>
          <w:rFonts w:ascii="Calibri" w:hAnsi="Calibri"/>
          <w:color w:val="231F20"/>
          <w:w w:val="105"/>
        </w:rPr>
        <w:t>economic</w:t>
      </w:r>
      <w:r w:rsidRPr="00176F64">
        <w:rPr>
          <w:rFonts w:ascii="Calibri" w:hAnsi="Calibri"/>
          <w:color w:val="231F20"/>
          <w:w w:val="105"/>
        </w:rPr>
        <w:t xml:space="preserve"> </w:t>
      </w:r>
      <w:r w:rsidRPr="00141257">
        <w:rPr>
          <w:rFonts w:ascii="Calibri" w:hAnsi="Calibri"/>
          <w:color w:val="231F20"/>
          <w:w w:val="105"/>
        </w:rPr>
        <w:t>focus</w:t>
      </w:r>
      <w:r w:rsidRPr="00176F64">
        <w:rPr>
          <w:rFonts w:ascii="Calibri" w:hAnsi="Calibri"/>
          <w:color w:val="231F20"/>
          <w:w w:val="105"/>
        </w:rPr>
        <w:t xml:space="preserve"> </w:t>
      </w:r>
      <w:r w:rsidRPr="00141257">
        <w:rPr>
          <w:rFonts w:ascii="Calibri" w:hAnsi="Calibri"/>
          <w:color w:val="231F20"/>
          <w:w w:val="105"/>
        </w:rPr>
        <w:t>and</w:t>
      </w:r>
      <w:r w:rsidRPr="00176F64">
        <w:rPr>
          <w:rFonts w:ascii="Calibri" w:hAnsi="Calibri"/>
          <w:color w:val="231F20"/>
          <w:w w:val="105"/>
        </w:rPr>
        <w:t xml:space="preserve"> </w:t>
      </w:r>
      <w:r w:rsidRPr="00141257">
        <w:rPr>
          <w:rFonts w:ascii="Calibri" w:hAnsi="Calibri"/>
          <w:color w:val="231F20"/>
          <w:w w:val="105"/>
        </w:rPr>
        <w:t>industry</w:t>
      </w:r>
      <w:r w:rsidRPr="00176F64">
        <w:rPr>
          <w:rFonts w:ascii="Calibri" w:hAnsi="Calibri"/>
          <w:color w:val="231F20"/>
          <w:w w:val="105"/>
        </w:rPr>
        <w:t xml:space="preserve"> </w:t>
      </w:r>
      <w:r w:rsidRPr="00141257">
        <w:rPr>
          <w:rFonts w:ascii="Calibri" w:hAnsi="Calibri"/>
          <w:color w:val="231F20"/>
          <w:w w:val="105"/>
        </w:rPr>
        <w:t>mix</w:t>
      </w:r>
      <w:r w:rsidRPr="00176F64">
        <w:rPr>
          <w:rFonts w:ascii="Calibri" w:hAnsi="Calibri"/>
          <w:color w:val="231F20"/>
          <w:w w:val="105"/>
        </w:rPr>
        <w:t xml:space="preserve"> </w:t>
      </w:r>
      <w:r w:rsidRPr="00141257">
        <w:rPr>
          <w:rFonts w:ascii="Calibri" w:hAnsi="Calibri"/>
          <w:color w:val="231F20"/>
          <w:w w:val="105"/>
        </w:rPr>
        <w:t>of</w:t>
      </w:r>
      <w:r w:rsidRPr="00176F64">
        <w:rPr>
          <w:rFonts w:ascii="Calibri" w:hAnsi="Calibri"/>
          <w:color w:val="231F20"/>
          <w:w w:val="105"/>
        </w:rPr>
        <w:t xml:space="preserve"> </w:t>
      </w:r>
      <w:r w:rsidRPr="00141257">
        <w:rPr>
          <w:rFonts w:ascii="Calibri" w:hAnsi="Calibri"/>
          <w:color w:val="231F20"/>
          <w:w w:val="105"/>
        </w:rPr>
        <w:t>Florida’s</w:t>
      </w:r>
      <w:r w:rsidRPr="00176F64">
        <w:rPr>
          <w:rFonts w:ascii="Calibri" w:hAnsi="Calibri"/>
          <w:color w:val="231F20"/>
          <w:w w:val="105"/>
        </w:rPr>
        <w:t xml:space="preserve"> </w:t>
      </w:r>
      <w:r w:rsidRPr="00141257">
        <w:rPr>
          <w:rFonts w:ascii="Calibri" w:hAnsi="Calibri"/>
          <w:color w:val="231F20"/>
          <w:w w:val="105"/>
        </w:rPr>
        <w:t>geographic</w:t>
      </w:r>
      <w:r w:rsidRPr="00176F64">
        <w:rPr>
          <w:rFonts w:ascii="Calibri" w:hAnsi="Calibri"/>
          <w:color w:val="231F20"/>
          <w:w w:val="105"/>
        </w:rPr>
        <w:t xml:space="preserve"> </w:t>
      </w:r>
      <w:r w:rsidRPr="00141257">
        <w:rPr>
          <w:rFonts w:ascii="Calibri" w:hAnsi="Calibri"/>
          <w:color w:val="231F20"/>
          <w:w w:val="105"/>
        </w:rPr>
        <w:t>areas. For</w:t>
      </w:r>
      <w:r w:rsidRPr="00176F64">
        <w:rPr>
          <w:rFonts w:ascii="Calibri" w:hAnsi="Calibri"/>
          <w:color w:val="231F20"/>
          <w:w w:val="105"/>
        </w:rPr>
        <w:t xml:space="preserve"> </w:t>
      </w:r>
      <w:r w:rsidRPr="00141257">
        <w:rPr>
          <w:rFonts w:ascii="Calibri" w:hAnsi="Calibri"/>
          <w:color w:val="231F20"/>
          <w:w w:val="105"/>
        </w:rPr>
        <w:t>example,</w:t>
      </w:r>
      <w:r w:rsidR="00176F64">
        <w:rPr>
          <w:rFonts w:ascii="Calibri" w:hAnsi="Calibri"/>
          <w:color w:val="231F20"/>
          <w:w w:val="105"/>
        </w:rPr>
        <w:t xml:space="preserve"> </w:t>
      </w:r>
      <w:r w:rsidRPr="00141257">
        <w:rPr>
          <w:rFonts w:ascii="Calibri" w:hAnsi="Calibri"/>
          <w:color w:val="231F20"/>
          <w:w w:val="105"/>
        </w:rPr>
        <w:t>Local</w:t>
      </w:r>
      <w:r w:rsidRPr="00176F64">
        <w:rPr>
          <w:rFonts w:ascii="Calibri" w:hAnsi="Calibri"/>
          <w:color w:val="231F20"/>
          <w:w w:val="105"/>
        </w:rPr>
        <w:t xml:space="preserve"> </w:t>
      </w:r>
      <w:r w:rsidRPr="00141257">
        <w:rPr>
          <w:rFonts w:ascii="Calibri" w:hAnsi="Calibri"/>
          <w:color w:val="231F20"/>
          <w:w w:val="105"/>
        </w:rPr>
        <w:t>Workforce</w:t>
      </w:r>
      <w:r w:rsidRPr="00176F64">
        <w:rPr>
          <w:rFonts w:ascii="Calibri" w:hAnsi="Calibri"/>
          <w:color w:val="231F20"/>
          <w:w w:val="105"/>
        </w:rPr>
        <w:t xml:space="preserve"> </w:t>
      </w:r>
      <w:r w:rsidRPr="00141257">
        <w:rPr>
          <w:rFonts w:ascii="Calibri" w:hAnsi="Calibri"/>
          <w:color w:val="231F20"/>
          <w:w w:val="105"/>
        </w:rPr>
        <w:t>Development</w:t>
      </w:r>
      <w:r w:rsidRPr="00176F64">
        <w:rPr>
          <w:rFonts w:ascii="Calibri" w:hAnsi="Calibri"/>
          <w:color w:val="231F20"/>
          <w:w w:val="105"/>
        </w:rPr>
        <w:t xml:space="preserve"> </w:t>
      </w:r>
      <w:r w:rsidRPr="00141257">
        <w:rPr>
          <w:rFonts w:ascii="Calibri" w:hAnsi="Calibri"/>
          <w:color w:val="231F20"/>
          <w:w w:val="105"/>
        </w:rPr>
        <w:t>Area</w:t>
      </w:r>
      <w:r w:rsidRPr="00176F64">
        <w:rPr>
          <w:rFonts w:ascii="Calibri" w:hAnsi="Calibri"/>
          <w:color w:val="231F20"/>
          <w:w w:val="105"/>
        </w:rPr>
        <w:t xml:space="preserve"> (LWDA) 1 </w:t>
      </w:r>
      <w:r w:rsidRPr="00141257">
        <w:rPr>
          <w:rFonts w:ascii="Calibri" w:hAnsi="Calibri"/>
          <w:color w:val="231F20"/>
          <w:w w:val="105"/>
        </w:rPr>
        <w:t>(Escambia</w:t>
      </w:r>
      <w:r w:rsidRPr="00176F64">
        <w:rPr>
          <w:rFonts w:ascii="Calibri" w:hAnsi="Calibri"/>
          <w:color w:val="231F20"/>
          <w:w w:val="105"/>
        </w:rPr>
        <w:t xml:space="preserve"> </w:t>
      </w:r>
      <w:r w:rsidRPr="00141257">
        <w:rPr>
          <w:rFonts w:ascii="Calibri" w:hAnsi="Calibri"/>
          <w:color w:val="231F20"/>
          <w:w w:val="105"/>
        </w:rPr>
        <w:t>and</w:t>
      </w:r>
      <w:r w:rsidRPr="00176F64">
        <w:rPr>
          <w:rFonts w:ascii="Calibri" w:hAnsi="Calibri"/>
          <w:color w:val="231F20"/>
          <w:w w:val="105"/>
        </w:rPr>
        <w:t xml:space="preserve"> </w:t>
      </w:r>
      <w:r w:rsidRPr="00141257">
        <w:rPr>
          <w:rFonts w:ascii="Calibri" w:hAnsi="Calibri"/>
          <w:color w:val="231F20"/>
          <w:w w:val="105"/>
        </w:rPr>
        <w:t>Santa</w:t>
      </w:r>
      <w:r w:rsidRPr="00176F64">
        <w:rPr>
          <w:rFonts w:ascii="Calibri" w:hAnsi="Calibri"/>
          <w:color w:val="231F20"/>
          <w:w w:val="105"/>
        </w:rPr>
        <w:t xml:space="preserve"> </w:t>
      </w:r>
      <w:r w:rsidRPr="00141257">
        <w:rPr>
          <w:rFonts w:ascii="Calibri" w:hAnsi="Calibri"/>
          <w:color w:val="231F20"/>
          <w:w w:val="105"/>
        </w:rPr>
        <w:t>Rosa</w:t>
      </w:r>
      <w:r w:rsidRPr="00176F64">
        <w:rPr>
          <w:rFonts w:ascii="Calibri" w:hAnsi="Calibri"/>
          <w:color w:val="231F20"/>
          <w:w w:val="105"/>
        </w:rPr>
        <w:t xml:space="preserve"> </w:t>
      </w:r>
      <w:r w:rsidRPr="00141257">
        <w:rPr>
          <w:rFonts w:ascii="Calibri" w:hAnsi="Calibri"/>
          <w:color w:val="231F20"/>
          <w:w w:val="105"/>
        </w:rPr>
        <w:t>Counties)</w:t>
      </w:r>
      <w:r w:rsidRPr="00176F64">
        <w:rPr>
          <w:rFonts w:ascii="Calibri" w:hAnsi="Calibri"/>
          <w:color w:val="231F20"/>
          <w:w w:val="105"/>
        </w:rPr>
        <w:t xml:space="preserve"> </w:t>
      </w:r>
      <w:r w:rsidRPr="00141257">
        <w:rPr>
          <w:rFonts w:ascii="Calibri" w:hAnsi="Calibri"/>
          <w:color w:val="231F20"/>
          <w:w w:val="105"/>
        </w:rPr>
        <w:t>has</w:t>
      </w:r>
      <w:r w:rsidRPr="00176F64">
        <w:rPr>
          <w:rFonts w:ascii="Calibri" w:hAnsi="Calibri"/>
          <w:color w:val="231F20"/>
          <w:w w:val="105"/>
        </w:rPr>
        <w:t xml:space="preserve"> </w:t>
      </w:r>
      <w:r w:rsidRPr="00141257">
        <w:rPr>
          <w:rFonts w:ascii="Calibri" w:hAnsi="Calibri"/>
          <w:color w:val="231F20"/>
          <w:w w:val="105"/>
        </w:rPr>
        <w:t>a</w:t>
      </w:r>
      <w:r w:rsidRPr="00176F64">
        <w:rPr>
          <w:rFonts w:ascii="Calibri" w:hAnsi="Calibri"/>
          <w:color w:val="231F20"/>
          <w:w w:val="105"/>
        </w:rPr>
        <w:t xml:space="preserve"> </w:t>
      </w:r>
      <w:r w:rsidRPr="00141257">
        <w:rPr>
          <w:rFonts w:ascii="Calibri" w:hAnsi="Calibri"/>
          <w:color w:val="231F20"/>
          <w:w w:val="105"/>
        </w:rPr>
        <w:t>higher</w:t>
      </w:r>
      <w:r w:rsidRPr="00176F64">
        <w:rPr>
          <w:rFonts w:ascii="Calibri" w:hAnsi="Calibri"/>
          <w:color w:val="231F20"/>
          <w:w w:val="105"/>
        </w:rPr>
        <w:t xml:space="preserve"> </w:t>
      </w:r>
      <w:r w:rsidRPr="00141257">
        <w:rPr>
          <w:rFonts w:ascii="Calibri" w:hAnsi="Calibri"/>
          <w:color w:val="231F20"/>
          <w:w w:val="105"/>
        </w:rPr>
        <w:t>share</w:t>
      </w:r>
      <w:r w:rsidRPr="00176F64">
        <w:rPr>
          <w:rFonts w:ascii="Calibri" w:hAnsi="Calibri"/>
          <w:color w:val="231F20"/>
          <w:w w:val="105"/>
        </w:rPr>
        <w:t xml:space="preserve"> </w:t>
      </w:r>
      <w:r w:rsidRPr="00141257">
        <w:rPr>
          <w:rFonts w:ascii="Calibri" w:hAnsi="Calibri"/>
          <w:color w:val="231F20"/>
          <w:w w:val="105"/>
        </w:rPr>
        <w:t>of employment in food preparation and serving occupations and office and administrative support than</w:t>
      </w:r>
      <w:r w:rsidR="00176F64">
        <w:rPr>
          <w:rFonts w:ascii="Calibri" w:hAnsi="Calibri"/>
          <w:color w:val="231F20"/>
          <w:w w:val="105"/>
        </w:rPr>
        <w:t xml:space="preserve"> </w:t>
      </w:r>
      <w:r w:rsidRPr="00141257">
        <w:rPr>
          <w:rFonts w:ascii="Calibri" w:hAnsi="Calibri"/>
          <w:color w:val="231F20"/>
          <w:w w:val="105"/>
        </w:rPr>
        <w:t>the</w:t>
      </w:r>
      <w:r w:rsidRPr="00176F64">
        <w:rPr>
          <w:rFonts w:ascii="Calibri" w:hAnsi="Calibri"/>
          <w:color w:val="231F20"/>
          <w:w w:val="105"/>
        </w:rPr>
        <w:t xml:space="preserve"> </w:t>
      </w:r>
      <w:r w:rsidRPr="00141257">
        <w:rPr>
          <w:rFonts w:ascii="Calibri" w:hAnsi="Calibri"/>
          <w:color w:val="231F20"/>
          <w:w w:val="105"/>
        </w:rPr>
        <w:t>state</w:t>
      </w:r>
      <w:r w:rsidRPr="00176F64">
        <w:rPr>
          <w:rFonts w:ascii="Calibri" w:hAnsi="Calibri"/>
          <w:color w:val="231F20"/>
          <w:w w:val="105"/>
        </w:rPr>
        <w:t xml:space="preserve"> </w:t>
      </w:r>
      <w:r w:rsidRPr="00141257">
        <w:rPr>
          <w:rFonts w:ascii="Calibri" w:hAnsi="Calibri"/>
          <w:color w:val="231F20"/>
          <w:w w:val="105"/>
        </w:rPr>
        <w:t>due</w:t>
      </w:r>
      <w:r w:rsidRPr="00176F64">
        <w:rPr>
          <w:rFonts w:ascii="Calibri" w:hAnsi="Calibri"/>
          <w:color w:val="231F20"/>
          <w:w w:val="105"/>
        </w:rPr>
        <w:t xml:space="preserve"> </w:t>
      </w:r>
      <w:r w:rsidRPr="00141257">
        <w:rPr>
          <w:rFonts w:ascii="Calibri" w:hAnsi="Calibri"/>
          <w:color w:val="231F20"/>
          <w:w w:val="105"/>
        </w:rPr>
        <w:t>to</w:t>
      </w:r>
      <w:r w:rsidRPr="00176F64">
        <w:rPr>
          <w:rFonts w:ascii="Calibri" w:hAnsi="Calibri"/>
          <w:color w:val="231F20"/>
          <w:w w:val="105"/>
        </w:rPr>
        <w:t xml:space="preserve"> </w:t>
      </w:r>
      <w:r w:rsidRPr="00141257">
        <w:rPr>
          <w:rFonts w:ascii="Calibri" w:hAnsi="Calibri"/>
          <w:color w:val="231F20"/>
          <w:w w:val="105"/>
        </w:rPr>
        <w:t>tourism</w:t>
      </w:r>
      <w:r w:rsidRPr="00176F64">
        <w:rPr>
          <w:rFonts w:ascii="Calibri" w:hAnsi="Calibri"/>
          <w:color w:val="231F20"/>
          <w:w w:val="105"/>
        </w:rPr>
        <w:t xml:space="preserve"> </w:t>
      </w:r>
      <w:r w:rsidRPr="00141257">
        <w:rPr>
          <w:rFonts w:ascii="Calibri" w:hAnsi="Calibri"/>
          <w:color w:val="231F20"/>
          <w:w w:val="105"/>
        </w:rPr>
        <w:t>and</w:t>
      </w:r>
      <w:r w:rsidRPr="00176F64">
        <w:rPr>
          <w:rFonts w:ascii="Calibri" w:hAnsi="Calibri"/>
          <w:color w:val="231F20"/>
          <w:w w:val="105"/>
        </w:rPr>
        <w:t xml:space="preserve"> </w:t>
      </w:r>
      <w:r w:rsidRPr="00141257">
        <w:rPr>
          <w:rFonts w:ascii="Calibri" w:hAnsi="Calibri"/>
          <w:color w:val="231F20"/>
          <w:w w:val="105"/>
        </w:rPr>
        <w:t>government-related</w:t>
      </w:r>
      <w:r w:rsidRPr="00176F64">
        <w:rPr>
          <w:rFonts w:ascii="Calibri" w:hAnsi="Calibri"/>
          <w:color w:val="231F20"/>
          <w:w w:val="105"/>
        </w:rPr>
        <w:t xml:space="preserve"> </w:t>
      </w:r>
      <w:r w:rsidRPr="00141257">
        <w:rPr>
          <w:rFonts w:ascii="Calibri" w:hAnsi="Calibri"/>
          <w:color w:val="231F20"/>
          <w:w w:val="105"/>
        </w:rPr>
        <w:t>industries,</w:t>
      </w:r>
      <w:r w:rsidRPr="00176F64">
        <w:rPr>
          <w:rFonts w:ascii="Calibri" w:hAnsi="Calibri"/>
          <w:color w:val="231F20"/>
          <w:w w:val="105"/>
        </w:rPr>
        <w:t xml:space="preserve"> </w:t>
      </w:r>
      <w:r w:rsidRPr="00141257">
        <w:rPr>
          <w:rFonts w:ascii="Calibri" w:hAnsi="Calibri"/>
          <w:color w:val="231F20"/>
          <w:w w:val="105"/>
        </w:rPr>
        <w:t>respectively.</w:t>
      </w:r>
      <w:r w:rsidRPr="00176F64">
        <w:rPr>
          <w:rFonts w:ascii="Calibri" w:hAnsi="Calibri"/>
          <w:color w:val="231F20"/>
          <w:w w:val="105"/>
        </w:rPr>
        <w:t xml:space="preserve"> LWDA </w:t>
      </w:r>
      <w:r w:rsidRPr="00141257">
        <w:rPr>
          <w:rFonts w:ascii="Calibri" w:hAnsi="Calibri"/>
          <w:color w:val="231F20"/>
          <w:w w:val="105"/>
        </w:rPr>
        <w:t>2</w:t>
      </w:r>
      <w:r w:rsidRPr="00176F64">
        <w:rPr>
          <w:rFonts w:ascii="Calibri" w:hAnsi="Calibri"/>
          <w:color w:val="231F20"/>
          <w:w w:val="105"/>
        </w:rPr>
        <w:t xml:space="preserve"> </w:t>
      </w:r>
      <w:r w:rsidRPr="00141257">
        <w:rPr>
          <w:rFonts w:ascii="Calibri" w:hAnsi="Calibri"/>
          <w:color w:val="231F20"/>
          <w:w w:val="105"/>
        </w:rPr>
        <w:t>(Okaloosa</w:t>
      </w:r>
      <w:r w:rsidRPr="00176F64">
        <w:rPr>
          <w:rFonts w:ascii="Calibri" w:hAnsi="Calibri"/>
          <w:color w:val="231F20"/>
          <w:w w:val="105"/>
        </w:rPr>
        <w:t xml:space="preserve"> </w:t>
      </w:r>
      <w:r w:rsidRPr="00141257">
        <w:rPr>
          <w:rFonts w:ascii="Calibri" w:hAnsi="Calibri"/>
          <w:color w:val="231F20"/>
          <w:w w:val="105"/>
        </w:rPr>
        <w:t>and</w:t>
      </w:r>
      <w:r w:rsidRPr="00176F64">
        <w:rPr>
          <w:rFonts w:ascii="Calibri" w:hAnsi="Calibri"/>
          <w:color w:val="231F20"/>
          <w:w w:val="105"/>
        </w:rPr>
        <w:t xml:space="preserve"> </w:t>
      </w:r>
      <w:r w:rsidRPr="00141257">
        <w:rPr>
          <w:rFonts w:ascii="Calibri" w:hAnsi="Calibri"/>
          <w:color w:val="231F20"/>
          <w:w w:val="105"/>
        </w:rPr>
        <w:t>Walton</w:t>
      </w:r>
      <w:r w:rsidRPr="00176F64">
        <w:rPr>
          <w:rFonts w:ascii="Calibri" w:hAnsi="Calibri"/>
          <w:color w:val="231F20"/>
          <w:w w:val="105"/>
        </w:rPr>
        <w:t xml:space="preserve"> </w:t>
      </w:r>
      <w:r w:rsidRPr="00141257">
        <w:rPr>
          <w:rFonts w:ascii="Calibri" w:hAnsi="Calibri"/>
          <w:color w:val="231F20"/>
          <w:w w:val="105"/>
        </w:rPr>
        <w:t>Counties),</w:t>
      </w:r>
      <w:r w:rsidRPr="00176F64">
        <w:rPr>
          <w:rFonts w:ascii="Calibri" w:hAnsi="Calibri"/>
          <w:color w:val="231F20"/>
          <w:w w:val="105"/>
        </w:rPr>
        <w:t xml:space="preserve"> </w:t>
      </w:r>
      <w:r w:rsidRPr="00141257">
        <w:rPr>
          <w:rFonts w:ascii="Calibri" w:hAnsi="Calibri"/>
          <w:color w:val="231F20"/>
          <w:w w:val="105"/>
        </w:rPr>
        <w:t>with</w:t>
      </w:r>
      <w:r w:rsidRPr="00176F64">
        <w:rPr>
          <w:rFonts w:ascii="Calibri" w:hAnsi="Calibri"/>
          <w:color w:val="231F20"/>
          <w:w w:val="105"/>
        </w:rPr>
        <w:t xml:space="preserve"> </w:t>
      </w:r>
      <w:r w:rsidRPr="00141257">
        <w:rPr>
          <w:rFonts w:ascii="Calibri" w:hAnsi="Calibri"/>
          <w:color w:val="231F20"/>
          <w:w w:val="105"/>
        </w:rPr>
        <w:t>its</w:t>
      </w:r>
      <w:r w:rsidRPr="00176F64">
        <w:rPr>
          <w:rFonts w:ascii="Calibri" w:hAnsi="Calibri"/>
          <w:color w:val="231F20"/>
          <w:w w:val="105"/>
        </w:rPr>
        <w:t xml:space="preserve"> </w:t>
      </w:r>
      <w:r w:rsidRPr="00141257">
        <w:rPr>
          <w:rFonts w:ascii="Calibri" w:hAnsi="Calibri"/>
          <w:color w:val="231F20"/>
          <w:w w:val="105"/>
        </w:rPr>
        <w:t>emphasis</w:t>
      </w:r>
      <w:r w:rsidRPr="00176F64">
        <w:rPr>
          <w:rFonts w:ascii="Calibri" w:hAnsi="Calibri"/>
          <w:color w:val="231F20"/>
          <w:w w:val="105"/>
        </w:rPr>
        <w:t xml:space="preserve"> </w:t>
      </w:r>
      <w:r w:rsidRPr="00141257">
        <w:rPr>
          <w:rFonts w:ascii="Calibri" w:hAnsi="Calibri"/>
          <w:color w:val="231F20"/>
          <w:w w:val="105"/>
        </w:rPr>
        <w:t>on</w:t>
      </w:r>
      <w:r w:rsidRPr="00176F64">
        <w:rPr>
          <w:rFonts w:ascii="Calibri" w:hAnsi="Calibri"/>
          <w:color w:val="231F20"/>
          <w:w w:val="105"/>
        </w:rPr>
        <w:t xml:space="preserve"> </w:t>
      </w:r>
      <w:r w:rsidRPr="00141257">
        <w:rPr>
          <w:rFonts w:ascii="Calibri" w:hAnsi="Calibri"/>
          <w:color w:val="231F20"/>
          <w:w w:val="105"/>
        </w:rPr>
        <w:t>defense</w:t>
      </w:r>
      <w:r w:rsidRPr="00176F64">
        <w:rPr>
          <w:rFonts w:ascii="Calibri" w:hAnsi="Calibri"/>
          <w:color w:val="231F20"/>
          <w:w w:val="105"/>
        </w:rPr>
        <w:t xml:space="preserve"> </w:t>
      </w:r>
      <w:r w:rsidRPr="00141257">
        <w:rPr>
          <w:rFonts w:ascii="Calibri" w:hAnsi="Calibri"/>
          <w:color w:val="231F20"/>
          <w:w w:val="105"/>
        </w:rPr>
        <w:t>research,</w:t>
      </w:r>
      <w:r w:rsidRPr="00176F64">
        <w:rPr>
          <w:rFonts w:ascii="Calibri" w:hAnsi="Calibri"/>
          <w:color w:val="231F20"/>
          <w:w w:val="105"/>
        </w:rPr>
        <w:t xml:space="preserve"> </w:t>
      </w:r>
      <w:r w:rsidRPr="00141257">
        <w:rPr>
          <w:rFonts w:ascii="Calibri" w:hAnsi="Calibri"/>
          <w:color w:val="231F20"/>
          <w:w w:val="105"/>
        </w:rPr>
        <w:t>has</w:t>
      </w:r>
      <w:r w:rsidRPr="00176F64">
        <w:rPr>
          <w:rFonts w:ascii="Calibri" w:hAnsi="Calibri"/>
          <w:color w:val="231F20"/>
          <w:w w:val="105"/>
        </w:rPr>
        <w:t xml:space="preserve"> </w:t>
      </w:r>
      <w:r w:rsidRPr="00141257">
        <w:rPr>
          <w:rFonts w:ascii="Calibri" w:hAnsi="Calibri"/>
          <w:color w:val="231F20"/>
          <w:w w:val="105"/>
        </w:rPr>
        <w:t>3.2</w:t>
      </w:r>
      <w:r w:rsidRPr="00176F64">
        <w:rPr>
          <w:rFonts w:ascii="Calibri" w:hAnsi="Calibri"/>
          <w:color w:val="231F20"/>
          <w:w w:val="105"/>
        </w:rPr>
        <w:t xml:space="preserve"> </w:t>
      </w:r>
      <w:r w:rsidRPr="00141257">
        <w:rPr>
          <w:rFonts w:ascii="Calibri" w:hAnsi="Calibri"/>
          <w:color w:val="231F20"/>
          <w:w w:val="105"/>
        </w:rPr>
        <w:t>percent</w:t>
      </w:r>
      <w:r w:rsidRPr="00176F64">
        <w:rPr>
          <w:rFonts w:ascii="Calibri" w:hAnsi="Calibri"/>
          <w:color w:val="231F20"/>
          <w:w w:val="105"/>
        </w:rPr>
        <w:t xml:space="preserve"> </w:t>
      </w:r>
      <w:r w:rsidRPr="00141257">
        <w:rPr>
          <w:rFonts w:ascii="Calibri" w:hAnsi="Calibri"/>
          <w:color w:val="231F20"/>
          <w:w w:val="105"/>
        </w:rPr>
        <w:t>of</w:t>
      </w:r>
      <w:r w:rsidRPr="00176F64">
        <w:rPr>
          <w:rFonts w:ascii="Calibri" w:hAnsi="Calibri"/>
          <w:color w:val="231F20"/>
          <w:w w:val="105"/>
        </w:rPr>
        <w:t xml:space="preserve"> </w:t>
      </w:r>
      <w:r w:rsidRPr="00141257">
        <w:rPr>
          <w:rFonts w:ascii="Calibri" w:hAnsi="Calibri"/>
          <w:color w:val="231F20"/>
          <w:w w:val="105"/>
        </w:rPr>
        <w:t>total</w:t>
      </w:r>
      <w:r w:rsidRPr="00176F64">
        <w:rPr>
          <w:rFonts w:ascii="Calibri" w:hAnsi="Calibri"/>
          <w:color w:val="231F20"/>
          <w:w w:val="105"/>
        </w:rPr>
        <w:t xml:space="preserve"> </w:t>
      </w:r>
      <w:r w:rsidRPr="00141257">
        <w:rPr>
          <w:rFonts w:ascii="Calibri" w:hAnsi="Calibri"/>
          <w:color w:val="231F20"/>
          <w:w w:val="105"/>
        </w:rPr>
        <w:t>jobs</w:t>
      </w:r>
      <w:r w:rsidRPr="00176F64">
        <w:rPr>
          <w:rFonts w:ascii="Calibri" w:hAnsi="Calibri"/>
          <w:color w:val="231F20"/>
          <w:w w:val="105"/>
        </w:rPr>
        <w:t xml:space="preserve"> </w:t>
      </w:r>
      <w:r w:rsidRPr="00141257">
        <w:rPr>
          <w:rFonts w:ascii="Calibri" w:hAnsi="Calibri"/>
          <w:color w:val="231F20"/>
          <w:w w:val="105"/>
        </w:rPr>
        <w:t>by</w:t>
      </w:r>
      <w:r w:rsidRPr="00176F64">
        <w:rPr>
          <w:rFonts w:ascii="Calibri" w:hAnsi="Calibri"/>
          <w:color w:val="231F20"/>
          <w:w w:val="105"/>
        </w:rPr>
        <w:t xml:space="preserve"> </w:t>
      </w:r>
      <w:r w:rsidRPr="00141257">
        <w:rPr>
          <w:rFonts w:ascii="Calibri" w:hAnsi="Calibri"/>
          <w:color w:val="231F20"/>
          <w:w w:val="105"/>
        </w:rPr>
        <w:t>occupation</w:t>
      </w:r>
      <w:r w:rsidRPr="00176F64">
        <w:rPr>
          <w:rFonts w:ascii="Calibri" w:hAnsi="Calibri"/>
          <w:color w:val="231F20"/>
          <w:w w:val="105"/>
        </w:rPr>
        <w:t xml:space="preserve"> </w:t>
      </w:r>
      <w:r w:rsidRPr="00141257">
        <w:rPr>
          <w:rFonts w:ascii="Calibri" w:hAnsi="Calibri"/>
          <w:color w:val="231F20"/>
          <w:w w:val="105"/>
        </w:rPr>
        <w:t>in</w:t>
      </w:r>
      <w:r w:rsidRPr="00176F64">
        <w:rPr>
          <w:rFonts w:ascii="Calibri" w:hAnsi="Calibri"/>
          <w:color w:val="231F20"/>
          <w:w w:val="105"/>
        </w:rPr>
        <w:t xml:space="preserve"> </w:t>
      </w:r>
      <w:r w:rsidRPr="00141257">
        <w:rPr>
          <w:rFonts w:ascii="Calibri" w:hAnsi="Calibri"/>
          <w:color w:val="231F20"/>
          <w:w w:val="105"/>
        </w:rPr>
        <w:t>computer and</w:t>
      </w:r>
      <w:r w:rsidRPr="00176F64">
        <w:rPr>
          <w:rFonts w:ascii="Calibri" w:hAnsi="Calibri"/>
          <w:color w:val="231F20"/>
          <w:w w:val="105"/>
        </w:rPr>
        <w:t xml:space="preserve"> </w:t>
      </w:r>
      <w:r w:rsidRPr="00141257">
        <w:rPr>
          <w:rFonts w:ascii="Calibri" w:hAnsi="Calibri"/>
          <w:color w:val="231F20"/>
          <w:w w:val="105"/>
        </w:rPr>
        <w:t>mathematical</w:t>
      </w:r>
      <w:r w:rsidRPr="00176F64">
        <w:rPr>
          <w:rFonts w:ascii="Calibri" w:hAnsi="Calibri"/>
          <w:color w:val="231F20"/>
          <w:w w:val="105"/>
        </w:rPr>
        <w:t xml:space="preserve"> </w:t>
      </w:r>
      <w:r w:rsidRPr="00141257">
        <w:rPr>
          <w:rFonts w:ascii="Calibri" w:hAnsi="Calibri"/>
          <w:color w:val="231F20"/>
          <w:w w:val="105"/>
        </w:rPr>
        <w:t>occupations,</w:t>
      </w:r>
      <w:r w:rsidRPr="00176F64">
        <w:rPr>
          <w:rFonts w:ascii="Calibri" w:hAnsi="Calibri"/>
          <w:color w:val="231F20"/>
          <w:w w:val="105"/>
        </w:rPr>
        <w:t xml:space="preserve"> </w:t>
      </w:r>
      <w:r w:rsidRPr="00141257">
        <w:rPr>
          <w:rFonts w:ascii="Calibri" w:hAnsi="Calibri"/>
          <w:color w:val="231F20"/>
          <w:w w:val="105"/>
        </w:rPr>
        <w:t>while</w:t>
      </w:r>
      <w:r w:rsidRPr="00176F64">
        <w:rPr>
          <w:rFonts w:ascii="Calibri" w:hAnsi="Calibri"/>
          <w:color w:val="231F20"/>
          <w:w w:val="105"/>
        </w:rPr>
        <w:t xml:space="preserve"> LWDA </w:t>
      </w:r>
      <w:r w:rsidRPr="00141257">
        <w:rPr>
          <w:rFonts w:ascii="Calibri" w:hAnsi="Calibri"/>
          <w:color w:val="231F20"/>
          <w:w w:val="105"/>
        </w:rPr>
        <w:t>5</w:t>
      </w:r>
      <w:r w:rsidRPr="00176F64">
        <w:rPr>
          <w:rFonts w:ascii="Calibri" w:hAnsi="Calibri"/>
          <w:color w:val="231F20"/>
          <w:w w:val="105"/>
        </w:rPr>
        <w:t xml:space="preserve"> </w:t>
      </w:r>
      <w:r w:rsidRPr="00141257">
        <w:rPr>
          <w:rFonts w:ascii="Calibri" w:hAnsi="Calibri"/>
          <w:color w:val="231F20"/>
          <w:w w:val="105"/>
        </w:rPr>
        <w:t>(Gadsden,</w:t>
      </w:r>
      <w:r w:rsidRPr="00176F64">
        <w:rPr>
          <w:rFonts w:ascii="Calibri" w:hAnsi="Calibri"/>
          <w:color w:val="231F20"/>
          <w:w w:val="105"/>
        </w:rPr>
        <w:t xml:space="preserve"> </w:t>
      </w:r>
      <w:r w:rsidRPr="00141257">
        <w:rPr>
          <w:rFonts w:ascii="Calibri" w:hAnsi="Calibri"/>
          <w:color w:val="231F20"/>
          <w:w w:val="105"/>
        </w:rPr>
        <w:t>Leon</w:t>
      </w:r>
      <w:r w:rsidRPr="00176F64">
        <w:rPr>
          <w:rFonts w:ascii="Calibri" w:hAnsi="Calibri"/>
          <w:color w:val="231F20"/>
          <w:w w:val="105"/>
        </w:rPr>
        <w:t xml:space="preserve"> </w:t>
      </w:r>
      <w:r w:rsidRPr="00141257">
        <w:rPr>
          <w:rFonts w:ascii="Calibri" w:hAnsi="Calibri"/>
          <w:color w:val="231F20"/>
          <w:w w:val="105"/>
        </w:rPr>
        <w:t>and</w:t>
      </w:r>
      <w:r w:rsidRPr="00176F64">
        <w:rPr>
          <w:rFonts w:ascii="Calibri" w:hAnsi="Calibri"/>
          <w:color w:val="231F20"/>
          <w:w w:val="105"/>
        </w:rPr>
        <w:t xml:space="preserve"> </w:t>
      </w:r>
      <w:r w:rsidRPr="00141257">
        <w:rPr>
          <w:rFonts w:ascii="Calibri" w:hAnsi="Calibri"/>
          <w:color w:val="231F20"/>
          <w:w w:val="105"/>
        </w:rPr>
        <w:t>Wakulla</w:t>
      </w:r>
      <w:r w:rsidRPr="00176F64">
        <w:rPr>
          <w:rFonts w:ascii="Calibri" w:hAnsi="Calibri"/>
          <w:color w:val="231F20"/>
          <w:w w:val="105"/>
        </w:rPr>
        <w:t xml:space="preserve"> </w:t>
      </w:r>
      <w:r w:rsidRPr="00141257">
        <w:rPr>
          <w:rFonts w:ascii="Calibri" w:hAnsi="Calibri"/>
          <w:color w:val="231F20"/>
          <w:w w:val="105"/>
        </w:rPr>
        <w:t>Counties),</w:t>
      </w:r>
      <w:r w:rsidRPr="00176F64">
        <w:rPr>
          <w:rFonts w:ascii="Calibri" w:hAnsi="Calibri"/>
          <w:color w:val="231F20"/>
          <w:w w:val="105"/>
        </w:rPr>
        <w:t xml:space="preserve"> </w:t>
      </w:r>
      <w:r w:rsidRPr="00141257">
        <w:rPr>
          <w:rFonts w:ascii="Calibri" w:hAnsi="Calibri"/>
          <w:color w:val="231F20"/>
          <w:w w:val="105"/>
        </w:rPr>
        <w:t>which</w:t>
      </w:r>
      <w:r w:rsidRPr="00176F64">
        <w:rPr>
          <w:rFonts w:ascii="Calibri" w:hAnsi="Calibri"/>
          <w:color w:val="231F20"/>
          <w:w w:val="105"/>
        </w:rPr>
        <w:t xml:space="preserve"> </w:t>
      </w:r>
      <w:r w:rsidRPr="00141257">
        <w:rPr>
          <w:rFonts w:ascii="Calibri" w:hAnsi="Calibri"/>
          <w:color w:val="231F20"/>
          <w:w w:val="105"/>
        </w:rPr>
        <w:t>contains</w:t>
      </w:r>
      <w:r w:rsidRPr="00176F64">
        <w:rPr>
          <w:rFonts w:ascii="Calibri" w:hAnsi="Calibri"/>
          <w:color w:val="231F20"/>
          <w:w w:val="105"/>
        </w:rPr>
        <w:t xml:space="preserve"> </w:t>
      </w:r>
      <w:r w:rsidRPr="00141257">
        <w:rPr>
          <w:rFonts w:ascii="Calibri" w:hAnsi="Calibri"/>
          <w:color w:val="231F20"/>
          <w:w w:val="105"/>
        </w:rPr>
        <w:t xml:space="preserve">several higher educational institutions, has </w:t>
      </w:r>
      <w:r w:rsidRPr="00176F64">
        <w:rPr>
          <w:rFonts w:ascii="Calibri" w:hAnsi="Calibri"/>
          <w:color w:val="231F20"/>
          <w:w w:val="105"/>
        </w:rPr>
        <w:t xml:space="preserve">9.2 </w:t>
      </w:r>
      <w:r w:rsidRPr="00141257">
        <w:rPr>
          <w:rFonts w:ascii="Calibri" w:hAnsi="Calibri"/>
          <w:color w:val="231F20"/>
          <w:w w:val="105"/>
        </w:rPr>
        <w:t>percent of jobs in the Education, Training</w:t>
      </w:r>
      <w:r w:rsidR="00D5537E">
        <w:rPr>
          <w:rFonts w:ascii="Calibri" w:hAnsi="Calibri"/>
          <w:color w:val="231F20"/>
          <w:w w:val="105"/>
        </w:rPr>
        <w:t xml:space="preserve"> and</w:t>
      </w:r>
      <w:r w:rsidRPr="00141257">
        <w:rPr>
          <w:rFonts w:ascii="Calibri" w:hAnsi="Calibri"/>
          <w:color w:val="231F20"/>
          <w:w w:val="105"/>
        </w:rPr>
        <w:t xml:space="preserve"> Library </w:t>
      </w:r>
      <w:r w:rsidRPr="00176F64">
        <w:rPr>
          <w:rFonts w:ascii="Calibri" w:hAnsi="Calibri"/>
          <w:color w:val="231F20"/>
          <w:w w:val="105"/>
        </w:rPr>
        <w:t xml:space="preserve">occupational </w:t>
      </w:r>
      <w:r w:rsidRPr="00141257">
        <w:rPr>
          <w:rFonts w:ascii="Calibri" w:hAnsi="Calibri"/>
          <w:color w:val="231F20"/>
          <w:w w:val="105"/>
        </w:rPr>
        <w:t>group.</w:t>
      </w:r>
    </w:p>
    <w:p w14:paraId="74313725" w14:textId="77777777" w:rsidR="00002D76" w:rsidRPr="00EA7458" w:rsidRDefault="00002D76" w:rsidP="00D63204">
      <w:pPr>
        <w:widowControl w:val="0"/>
        <w:spacing w:before="5" w:after="0" w:line="240" w:lineRule="auto"/>
        <w:rPr>
          <w:rFonts w:ascii="Calibri" w:hAnsi="Calibri" w:cs="Calibri"/>
          <w:sz w:val="16"/>
          <w:szCs w:val="16"/>
        </w:rPr>
      </w:pPr>
    </w:p>
    <w:p w14:paraId="1F1D7C75" w14:textId="1F6C85B4" w:rsidR="00002D76" w:rsidRPr="00EA7458" w:rsidRDefault="00002D76" w:rsidP="00D63204">
      <w:pPr>
        <w:widowControl w:val="0"/>
        <w:spacing w:after="0" w:line="264" w:lineRule="exact"/>
        <w:ind w:left="107"/>
        <w:rPr>
          <w:rFonts w:ascii="Calibri" w:hAnsi="Calibri"/>
        </w:rPr>
      </w:pPr>
      <w:r w:rsidRPr="00EA7458">
        <w:rPr>
          <w:rFonts w:ascii="Calibri" w:hAnsi="Calibri"/>
          <w:color w:val="231F20"/>
          <w:w w:val="105"/>
        </w:rPr>
        <w:t>The following tables show the percent distribution of employment by major occupational group for</w:t>
      </w:r>
      <w:r w:rsidRPr="00EA7458">
        <w:rPr>
          <w:rFonts w:ascii="Calibri" w:hAnsi="Calibri"/>
          <w:color w:val="231F20"/>
          <w:spacing w:val="49"/>
          <w:w w:val="105"/>
        </w:rPr>
        <w:t xml:space="preserve"> </w:t>
      </w:r>
      <w:r w:rsidRPr="00EA7458">
        <w:rPr>
          <w:rFonts w:ascii="Calibri" w:hAnsi="Calibri"/>
          <w:color w:val="231F20"/>
          <w:w w:val="105"/>
        </w:rPr>
        <w:t>all</w:t>
      </w:r>
      <w:r w:rsidRPr="00EA7458">
        <w:rPr>
          <w:rFonts w:ascii="Calibri" w:hAnsi="Calibri"/>
          <w:color w:val="231F20"/>
          <w:w w:val="104"/>
        </w:rPr>
        <w:t xml:space="preserve"> </w:t>
      </w:r>
      <w:r w:rsidRPr="00EA7458">
        <w:rPr>
          <w:rFonts w:ascii="Calibri" w:hAnsi="Calibri"/>
          <w:color w:val="231F20"/>
          <w:w w:val="105"/>
        </w:rPr>
        <w:t>workforce local areas in Florida grouped by geography.</w:t>
      </w:r>
    </w:p>
    <w:p w14:paraId="493C4B47" w14:textId="77777777" w:rsidR="00002D76" w:rsidRPr="00EA7458" w:rsidRDefault="00002D76" w:rsidP="00D63204">
      <w:pPr>
        <w:widowControl w:val="0"/>
        <w:spacing w:before="6" w:after="0" w:line="240" w:lineRule="auto"/>
        <w:rPr>
          <w:rFonts w:ascii="Calibri" w:hAnsi="Calibri" w:cs="Calibri"/>
          <w:sz w:val="16"/>
          <w:szCs w:val="16"/>
        </w:rPr>
      </w:pPr>
    </w:p>
    <w:p w14:paraId="2920B42B" w14:textId="77777777" w:rsidR="00002D76" w:rsidRPr="00EA7458" w:rsidRDefault="00BC1D20" w:rsidP="00D63204">
      <w:pPr>
        <w:widowControl w:val="0"/>
        <w:spacing w:after="0" w:line="240" w:lineRule="auto"/>
        <w:ind w:left="107"/>
        <w:rPr>
          <w:rFonts w:ascii="Calibri" w:hAnsi="Calibri"/>
        </w:rPr>
      </w:pPr>
      <w:hyperlink w:anchor="_bookmark57" w:history="1">
        <w:r w:rsidR="00002D76" w:rsidRPr="00EA7458">
          <w:rPr>
            <w:rFonts w:ascii="Calibri" w:hAnsi="Calibri"/>
            <w:color w:val="5F5F5F"/>
            <w:w w:val="105"/>
            <w:u w:val="single" w:color="5F5F5F"/>
          </w:rPr>
          <w:t xml:space="preserve">For a graphic depicting each </w:t>
        </w:r>
        <w:r w:rsidR="00002D76" w:rsidRPr="00EA7458">
          <w:rPr>
            <w:rFonts w:ascii="Calibri" w:hAnsi="Calibri"/>
            <w:color w:val="5F5F5F"/>
            <w:spacing w:val="-5"/>
            <w:w w:val="105"/>
            <w:u w:val="single" w:color="5F5F5F"/>
          </w:rPr>
          <w:t xml:space="preserve">LWDA, </w:t>
        </w:r>
        <w:r w:rsidR="00002D76" w:rsidRPr="00EA7458">
          <w:rPr>
            <w:rFonts w:ascii="Calibri" w:hAnsi="Calibri"/>
            <w:color w:val="5F5F5F"/>
            <w:w w:val="105"/>
            <w:u w:val="single" w:color="5F5F5F"/>
          </w:rPr>
          <w:t>please refer to section VI(a)(1)(A).</w:t>
        </w:r>
      </w:hyperlink>
    </w:p>
    <w:p w14:paraId="0595846E" w14:textId="77777777" w:rsidR="00002D76" w:rsidRPr="00EA7458" w:rsidRDefault="00002D76" w:rsidP="00002D76">
      <w:pPr>
        <w:widowControl w:val="0"/>
        <w:spacing w:before="4" w:after="0" w:line="240" w:lineRule="auto"/>
        <w:rPr>
          <w:rFonts w:ascii="Calibri" w:hAnsi="Calibri" w:cs="Calibri"/>
          <w:sz w:val="14"/>
          <w:szCs w:val="14"/>
        </w:rPr>
      </w:pPr>
    </w:p>
    <w:p w14:paraId="540613DA" w14:textId="77777777" w:rsidR="00002D76" w:rsidRPr="00EA7458" w:rsidRDefault="00002D76" w:rsidP="00D63204">
      <w:pPr>
        <w:widowControl w:val="0"/>
        <w:spacing w:before="57" w:after="0" w:line="266" w:lineRule="exact"/>
        <w:ind w:left="468" w:right="468"/>
        <w:outlineLvl w:val="2"/>
        <w:rPr>
          <w:rFonts w:ascii="Calibri" w:hAnsi="Calibri"/>
        </w:rPr>
      </w:pPr>
      <w:bookmarkStart w:id="30" w:name="_bookmark18"/>
      <w:bookmarkEnd w:id="30"/>
      <w:r w:rsidRPr="00EA7458">
        <w:rPr>
          <w:rFonts w:ascii="Calibri" w:hAnsi="Calibri"/>
          <w:b/>
          <w:bCs/>
          <w:color w:val="231F20"/>
          <w:w w:val="110"/>
        </w:rPr>
        <w:t>Figure</w:t>
      </w:r>
      <w:r w:rsidRPr="00EA7458">
        <w:rPr>
          <w:rFonts w:ascii="Calibri" w:hAnsi="Calibri"/>
          <w:b/>
          <w:bCs/>
          <w:color w:val="231F20"/>
          <w:spacing w:val="-3"/>
          <w:w w:val="110"/>
        </w:rPr>
        <w:t xml:space="preserve"> </w:t>
      </w:r>
      <w:r w:rsidRPr="00EA7458">
        <w:rPr>
          <w:rFonts w:ascii="Calibri" w:hAnsi="Calibri"/>
          <w:b/>
          <w:bCs/>
          <w:color w:val="231F20"/>
          <w:spacing w:val="-6"/>
          <w:w w:val="110"/>
        </w:rPr>
        <w:t>2.18</w:t>
      </w:r>
    </w:p>
    <w:p w14:paraId="08346C43" w14:textId="77777777" w:rsidR="00002D76" w:rsidRPr="00EA7458" w:rsidRDefault="00002D76" w:rsidP="00D63204">
      <w:pPr>
        <w:widowControl w:val="0"/>
        <w:spacing w:before="2" w:after="0" w:line="235" w:lineRule="auto"/>
        <w:ind w:left="2673" w:right="2671"/>
        <w:rPr>
          <w:rFonts w:ascii="Calibri" w:hAnsi="Calibri" w:cs="Calibri"/>
        </w:rPr>
      </w:pPr>
      <w:r w:rsidRPr="0B52496C">
        <w:rPr>
          <w:rFonts w:ascii="Calibri" w:hAnsi="Calibri"/>
          <w:b/>
          <w:bCs/>
          <w:color w:val="231F20"/>
          <w:w w:val="105"/>
        </w:rPr>
        <w:t>Percent Distribution by Major Occupational</w:t>
      </w:r>
      <w:r w:rsidRPr="0B52496C">
        <w:rPr>
          <w:rFonts w:ascii="Calibri" w:hAnsi="Calibri"/>
          <w:b/>
          <w:bCs/>
          <w:color w:val="231F20"/>
          <w:spacing w:val="29"/>
          <w:w w:val="105"/>
        </w:rPr>
        <w:t xml:space="preserve"> </w:t>
      </w:r>
      <w:r w:rsidRPr="0B52496C">
        <w:rPr>
          <w:rFonts w:ascii="Calibri" w:hAnsi="Calibri"/>
          <w:b/>
          <w:bCs/>
          <w:color w:val="231F20"/>
          <w:w w:val="105"/>
        </w:rPr>
        <w:t>Group</w:t>
      </w:r>
      <w:r w:rsidRPr="0B52496C">
        <w:rPr>
          <w:rFonts w:ascii="Calibri" w:hAnsi="Calibri"/>
          <w:b/>
          <w:bCs/>
          <w:color w:val="231F20"/>
          <w:w w:val="108"/>
        </w:rPr>
        <w:t xml:space="preserve"> </w:t>
      </w:r>
      <w:r w:rsidRPr="0B52496C">
        <w:rPr>
          <w:rFonts w:ascii="Calibri" w:hAnsi="Calibri"/>
          <w:b/>
          <w:bCs/>
          <w:color w:val="231F20"/>
          <w:w w:val="105"/>
        </w:rPr>
        <w:t xml:space="preserve">Local Workforce Development Areas </w:t>
      </w:r>
      <w:r w:rsidRPr="0B52496C">
        <w:rPr>
          <w:rFonts w:ascii="Calibri" w:hAnsi="Calibri"/>
          <w:b/>
          <w:bCs/>
          <w:color w:val="231F20"/>
          <w:spacing w:val="39"/>
          <w:w w:val="105"/>
        </w:rPr>
        <w:t>1</w:t>
      </w:r>
      <w:r w:rsidRPr="0B52496C">
        <w:rPr>
          <w:rFonts w:ascii="Calibri" w:hAnsi="Calibri"/>
          <w:b/>
          <w:bCs/>
          <w:color w:val="231F20"/>
          <w:w w:val="105"/>
        </w:rPr>
        <w:t>-7</w:t>
      </w:r>
    </w:p>
    <w:p w14:paraId="5E2A068D" w14:textId="77777777" w:rsidR="00002D76" w:rsidRPr="00EA7458" w:rsidRDefault="00002D76" w:rsidP="00002D76">
      <w:pPr>
        <w:widowControl w:val="0"/>
        <w:spacing w:before="2" w:after="0" w:line="240" w:lineRule="auto"/>
        <w:rPr>
          <w:rFonts w:ascii="Calibri" w:hAnsi="Calibri" w:cs="Calibri"/>
          <w:b/>
          <w:bCs/>
          <w:sz w:val="18"/>
          <w:szCs w:val="18"/>
        </w:rPr>
      </w:pPr>
    </w:p>
    <w:tbl>
      <w:tblPr>
        <w:tblW w:w="0" w:type="auto"/>
        <w:tblInd w:w="-5" w:type="dxa"/>
        <w:tblLook w:val="04A0" w:firstRow="1" w:lastRow="0" w:firstColumn="1" w:lastColumn="0" w:noHBand="0" w:noVBand="1"/>
      </w:tblPr>
      <w:tblGrid>
        <w:gridCol w:w="1094"/>
        <w:gridCol w:w="3385"/>
        <w:gridCol w:w="676"/>
        <w:gridCol w:w="744"/>
        <w:gridCol w:w="744"/>
        <w:gridCol w:w="744"/>
        <w:gridCol w:w="744"/>
        <w:gridCol w:w="744"/>
        <w:gridCol w:w="744"/>
        <w:gridCol w:w="744"/>
      </w:tblGrid>
      <w:tr w:rsidR="00002D76" w:rsidRPr="00887181" w14:paraId="5412FB14" w14:textId="77777777" w:rsidTr="001429C7">
        <w:trPr>
          <w:trHeight w:hRule="exact" w:val="450"/>
        </w:trPr>
        <w:tc>
          <w:tcPr>
            <w:tcW w:w="0" w:type="auto"/>
            <w:tcBorders>
              <w:top w:val="single" w:sz="4" w:space="0" w:color="auto"/>
              <w:left w:val="single" w:sz="4" w:space="0" w:color="auto"/>
              <w:bottom w:val="nil"/>
              <w:right w:val="single" w:sz="4" w:space="0" w:color="auto"/>
            </w:tcBorders>
            <w:shd w:val="clear" w:color="auto" w:fill="auto"/>
            <w:vAlign w:val="center"/>
            <w:hideMark/>
          </w:tcPr>
          <w:p w14:paraId="1DD14E0D" w14:textId="77777777" w:rsidR="004D4948" w:rsidRDefault="00002D76" w:rsidP="00D63204">
            <w:pPr>
              <w:spacing w:after="0" w:line="240" w:lineRule="auto"/>
              <w:rPr>
                <w:rFonts w:ascii="Calibri" w:hAnsi="Calibri"/>
                <w:b/>
                <w:bCs/>
                <w:color w:val="231F20"/>
                <w:sz w:val="16"/>
                <w:szCs w:val="16"/>
              </w:rPr>
            </w:pPr>
            <w:r w:rsidRPr="00887181">
              <w:rPr>
                <w:rFonts w:ascii="Calibri" w:hAnsi="Calibri"/>
                <w:b/>
                <w:bCs/>
                <w:color w:val="231F20"/>
                <w:sz w:val="16"/>
                <w:szCs w:val="16"/>
              </w:rPr>
              <w:t xml:space="preserve">Occupational </w:t>
            </w:r>
          </w:p>
          <w:p w14:paraId="0D4A429E" w14:textId="425A508F" w:rsidR="00002D76" w:rsidRPr="00887181" w:rsidRDefault="00002D76" w:rsidP="00D63204">
            <w:pPr>
              <w:spacing w:after="0" w:line="240" w:lineRule="auto"/>
              <w:rPr>
                <w:rFonts w:ascii="Calibri" w:hAnsi="Calibri"/>
                <w:b/>
                <w:bCs/>
                <w:color w:val="231F20"/>
                <w:sz w:val="16"/>
                <w:szCs w:val="16"/>
              </w:rPr>
            </w:pPr>
            <w:r w:rsidRPr="00887181">
              <w:rPr>
                <w:rFonts w:ascii="Calibri" w:hAnsi="Calibri"/>
                <w:b/>
                <w:bCs/>
                <w:color w:val="231F20"/>
                <w:sz w:val="16"/>
                <w:szCs w:val="16"/>
              </w:rPr>
              <w:t>Group Code</w:t>
            </w:r>
          </w:p>
        </w:tc>
        <w:tc>
          <w:tcPr>
            <w:tcW w:w="0" w:type="auto"/>
            <w:tcBorders>
              <w:top w:val="single" w:sz="4" w:space="0" w:color="auto"/>
              <w:left w:val="nil"/>
              <w:bottom w:val="nil"/>
              <w:right w:val="single" w:sz="4" w:space="0" w:color="auto"/>
            </w:tcBorders>
            <w:shd w:val="clear" w:color="auto" w:fill="auto"/>
            <w:vAlign w:val="center"/>
            <w:hideMark/>
          </w:tcPr>
          <w:p w14:paraId="74EA5062" w14:textId="77777777" w:rsidR="00002D76" w:rsidRPr="00887181" w:rsidRDefault="00002D76" w:rsidP="004D4948">
            <w:pPr>
              <w:spacing w:after="0" w:line="240" w:lineRule="auto"/>
              <w:rPr>
                <w:rFonts w:ascii="Calibri" w:hAnsi="Calibri"/>
                <w:b/>
                <w:bCs/>
                <w:color w:val="231F20"/>
                <w:sz w:val="16"/>
                <w:szCs w:val="16"/>
              </w:rPr>
            </w:pPr>
            <w:r w:rsidRPr="00887181">
              <w:rPr>
                <w:rFonts w:ascii="Calibri" w:hAnsi="Calibri"/>
                <w:b/>
                <w:bCs/>
                <w:color w:val="231F20"/>
                <w:sz w:val="16"/>
                <w:szCs w:val="16"/>
              </w:rPr>
              <w:t>Occupational Group Name</w:t>
            </w:r>
          </w:p>
        </w:tc>
        <w:tc>
          <w:tcPr>
            <w:tcW w:w="0" w:type="auto"/>
            <w:tcBorders>
              <w:top w:val="single" w:sz="4" w:space="0" w:color="auto"/>
              <w:left w:val="nil"/>
              <w:bottom w:val="nil"/>
              <w:right w:val="single" w:sz="4" w:space="0" w:color="auto"/>
            </w:tcBorders>
            <w:shd w:val="clear" w:color="auto" w:fill="auto"/>
            <w:vAlign w:val="center"/>
            <w:hideMark/>
          </w:tcPr>
          <w:p w14:paraId="5C1AA727" w14:textId="77777777" w:rsidR="00002D76" w:rsidRPr="00887181" w:rsidRDefault="00002D76" w:rsidP="00D63204">
            <w:pPr>
              <w:spacing w:after="0" w:line="240" w:lineRule="auto"/>
              <w:rPr>
                <w:rFonts w:ascii="Calibri" w:hAnsi="Calibri"/>
                <w:b/>
                <w:bCs/>
                <w:color w:val="231F20"/>
                <w:sz w:val="16"/>
                <w:szCs w:val="16"/>
              </w:rPr>
            </w:pPr>
            <w:r>
              <w:rPr>
                <w:rFonts w:ascii="Calibri" w:hAnsi="Calibri"/>
                <w:b/>
                <w:bCs/>
                <w:color w:val="231F20"/>
                <w:sz w:val="16"/>
                <w:szCs w:val="16"/>
              </w:rPr>
              <w:t>Florida</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058B5E36" w14:textId="77777777" w:rsidR="00002D76" w:rsidRPr="00887181" w:rsidRDefault="00002D76" w:rsidP="00D63204">
            <w:pPr>
              <w:spacing w:after="0" w:line="240" w:lineRule="auto"/>
              <w:rPr>
                <w:rFonts w:ascii="Calibri" w:hAnsi="Calibri"/>
                <w:b/>
                <w:bCs/>
                <w:color w:val="231F20"/>
                <w:sz w:val="16"/>
                <w:szCs w:val="16"/>
              </w:rPr>
            </w:pPr>
            <w:r w:rsidRPr="00887181">
              <w:rPr>
                <w:rFonts w:ascii="Calibri" w:hAnsi="Calibri"/>
                <w:b/>
                <w:bCs/>
                <w:color w:val="231F20"/>
                <w:sz w:val="16"/>
                <w:szCs w:val="16"/>
              </w:rPr>
              <w:t>LWDA 1</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4EA9E554" w14:textId="77777777" w:rsidR="00002D76" w:rsidRPr="00887181" w:rsidRDefault="00002D76" w:rsidP="00D63204">
            <w:pPr>
              <w:spacing w:after="0" w:line="240" w:lineRule="auto"/>
              <w:rPr>
                <w:rFonts w:ascii="Calibri" w:hAnsi="Calibri"/>
                <w:b/>
                <w:bCs/>
                <w:color w:val="231F20"/>
                <w:sz w:val="16"/>
                <w:szCs w:val="16"/>
              </w:rPr>
            </w:pPr>
            <w:r w:rsidRPr="00887181">
              <w:rPr>
                <w:rFonts w:ascii="Calibri" w:hAnsi="Calibri"/>
                <w:b/>
                <w:bCs/>
                <w:color w:val="231F20"/>
                <w:sz w:val="16"/>
                <w:szCs w:val="16"/>
              </w:rPr>
              <w:t>LWDA 2</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66CFABB1" w14:textId="77777777" w:rsidR="00002D76" w:rsidRPr="00887181" w:rsidRDefault="00002D76" w:rsidP="00D63204">
            <w:pPr>
              <w:spacing w:after="0" w:line="240" w:lineRule="auto"/>
              <w:rPr>
                <w:rFonts w:ascii="Calibri" w:hAnsi="Calibri"/>
                <w:b/>
                <w:bCs/>
                <w:color w:val="231F20"/>
                <w:sz w:val="16"/>
                <w:szCs w:val="16"/>
              </w:rPr>
            </w:pPr>
            <w:r w:rsidRPr="00887181">
              <w:rPr>
                <w:rFonts w:ascii="Calibri" w:hAnsi="Calibri"/>
                <w:b/>
                <w:bCs/>
                <w:color w:val="231F20"/>
                <w:sz w:val="16"/>
                <w:szCs w:val="16"/>
              </w:rPr>
              <w:t>LWDA 3</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47FA9FE2" w14:textId="77777777" w:rsidR="00002D76" w:rsidRPr="00887181" w:rsidRDefault="00002D76" w:rsidP="00D63204">
            <w:pPr>
              <w:spacing w:after="0" w:line="240" w:lineRule="auto"/>
              <w:rPr>
                <w:rFonts w:ascii="Calibri" w:hAnsi="Calibri"/>
                <w:b/>
                <w:bCs/>
                <w:color w:val="231F20"/>
                <w:sz w:val="16"/>
                <w:szCs w:val="16"/>
              </w:rPr>
            </w:pPr>
            <w:r w:rsidRPr="00887181">
              <w:rPr>
                <w:rFonts w:ascii="Calibri" w:hAnsi="Calibri"/>
                <w:b/>
                <w:bCs/>
                <w:color w:val="231F20"/>
                <w:sz w:val="16"/>
                <w:szCs w:val="16"/>
              </w:rPr>
              <w:t>LWDA 4</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74D4813B" w14:textId="77777777" w:rsidR="00002D76" w:rsidRPr="00887181" w:rsidRDefault="00002D76" w:rsidP="00D63204">
            <w:pPr>
              <w:spacing w:after="0" w:line="240" w:lineRule="auto"/>
              <w:rPr>
                <w:rFonts w:ascii="Calibri" w:hAnsi="Calibri"/>
                <w:b/>
                <w:bCs/>
                <w:color w:val="231F20"/>
                <w:sz w:val="16"/>
                <w:szCs w:val="16"/>
              </w:rPr>
            </w:pPr>
            <w:r w:rsidRPr="00887181">
              <w:rPr>
                <w:rFonts w:ascii="Calibri" w:hAnsi="Calibri"/>
                <w:b/>
                <w:bCs/>
                <w:color w:val="231F20"/>
                <w:sz w:val="16"/>
                <w:szCs w:val="16"/>
              </w:rPr>
              <w:t>LWDA 5</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176EB65D" w14:textId="77777777" w:rsidR="00002D76" w:rsidRPr="00887181" w:rsidRDefault="00002D76" w:rsidP="00D63204">
            <w:pPr>
              <w:spacing w:after="0" w:line="240" w:lineRule="auto"/>
              <w:rPr>
                <w:rFonts w:ascii="Calibri" w:hAnsi="Calibri"/>
                <w:b/>
                <w:bCs/>
                <w:color w:val="231F20"/>
                <w:sz w:val="16"/>
                <w:szCs w:val="16"/>
              </w:rPr>
            </w:pPr>
            <w:r w:rsidRPr="00887181">
              <w:rPr>
                <w:rFonts w:ascii="Calibri" w:hAnsi="Calibri"/>
                <w:b/>
                <w:bCs/>
                <w:color w:val="231F20"/>
                <w:sz w:val="16"/>
                <w:szCs w:val="16"/>
              </w:rPr>
              <w:t>LWDA 6</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0D56C011" w14:textId="77777777" w:rsidR="00002D76" w:rsidRPr="00887181" w:rsidRDefault="00002D76" w:rsidP="00D63204">
            <w:pPr>
              <w:spacing w:after="0" w:line="240" w:lineRule="auto"/>
              <w:rPr>
                <w:rFonts w:ascii="Calibri" w:hAnsi="Calibri"/>
                <w:b/>
                <w:bCs/>
                <w:color w:val="231F20"/>
                <w:sz w:val="16"/>
                <w:szCs w:val="16"/>
              </w:rPr>
            </w:pPr>
            <w:r w:rsidRPr="00887181">
              <w:rPr>
                <w:rFonts w:ascii="Calibri" w:hAnsi="Calibri"/>
                <w:b/>
                <w:bCs/>
                <w:color w:val="231F20"/>
                <w:sz w:val="16"/>
                <w:szCs w:val="16"/>
              </w:rPr>
              <w:t>LWDA 7</w:t>
            </w:r>
          </w:p>
        </w:tc>
      </w:tr>
      <w:tr w:rsidR="00002D76" w:rsidRPr="00887181" w14:paraId="0A8B1B23" w14:textId="77777777" w:rsidTr="001429C7">
        <w:trPr>
          <w:trHeight w:val="300"/>
        </w:trPr>
        <w:tc>
          <w:tcPr>
            <w:tcW w:w="0" w:type="auto"/>
            <w:tcBorders>
              <w:top w:val="single" w:sz="4" w:space="0" w:color="auto"/>
              <w:left w:val="single" w:sz="4" w:space="0" w:color="auto"/>
              <w:bottom w:val="single" w:sz="4" w:space="0" w:color="auto"/>
              <w:right w:val="single" w:sz="4" w:space="0" w:color="auto"/>
            </w:tcBorders>
            <w:shd w:val="clear" w:color="000000" w:fill="E6E7E8"/>
            <w:vAlign w:val="center"/>
            <w:hideMark/>
          </w:tcPr>
          <w:p w14:paraId="7737233A" w14:textId="77777777" w:rsidR="00002D76" w:rsidRPr="00887181" w:rsidRDefault="00002D76" w:rsidP="00D63204">
            <w:pPr>
              <w:spacing w:after="0" w:line="240" w:lineRule="auto"/>
              <w:rPr>
                <w:rFonts w:ascii="Calibri" w:hAnsi="Calibri"/>
                <w:color w:val="231F20"/>
                <w:sz w:val="16"/>
                <w:szCs w:val="16"/>
              </w:rPr>
            </w:pPr>
            <w:r w:rsidRPr="00887181">
              <w:rPr>
                <w:rFonts w:ascii="Calibri" w:hAnsi="Calibri"/>
                <w:color w:val="231F20"/>
                <w:sz w:val="16"/>
                <w:szCs w:val="16"/>
              </w:rPr>
              <w:t>110000</w:t>
            </w:r>
          </w:p>
        </w:tc>
        <w:tc>
          <w:tcPr>
            <w:tcW w:w="0" w:type="auto"/>
            <w:tcBorders>
              <w:top w:val="single" w:sz="4" w:space="0" w:color="auto"/>
              <w:left w:val="nil"/>
              <w:bottom w:val="single" w:sz="4" w:space="0" w:color="auto"/>
              <w:right w:val="single" w:sz="4" w:space="0" w:color="auto"/>
            </w:tcBorders>
            <w:shd w:val="clear" w:color="000000" w:fill="E6E7E8"/>
            <w:vAlign w:val="center"/>
            <w:hideMark/>
          </w:tcPr>
          <w:p w14:paraId="194F56AB" w14:textId="77777777" w:rsidR="00002D76" w:rsidRPr="00887181" w:rsidRDefault="00002D76" w:rsidP="001429C7">
            <w:pPr>
              <w:spacing w:after="0" w:line="240" w:lineRule="auto"/>
              <w:rPr>
                <w:rFonts w:ascii="Calibri" w:hAnsi="Calibri"/>
                <w:color w:val="231F20"/>
                <w:sz w:val="16"/>
                <w:szCs w:val="16"/>
              </w:rPr>
            </w:pPr>
            <w:r w:rsidRPr="00887181">
              <w:rPr>
                <w:rFonts w:ascii="Calibri" w:hAnsi="Calibri"/>
                <w:color w:val="231F20"/>
                <w:sz w:val="16"/>
                <w:szCs w:val="16"/>
              </w:rPr>
              <w:t>Management</w:t>
            </w:r>
          </w:p>
        </w:tc>
        <w:tc>
          <w:tcPr>
            <w:tcW w:w="0" w:type="auto"/>
            <w:tcBorders>
              <w:top w:val="single" w:sz="4" w:space="0" w:color="auto"/>
              <w:left w:val="nil"/>
              <w:bottom w:val="single" w:sz="4" w:space="0" w:color="auto"/>
              <w:right w:val="single" w:sz="4" w:space="0" w:color="auto"/>
            </w:tcBorders>
            <w:shd w:val="clear" w:color="000000" w:fill="E6E7E8"/>
            <w:vAlign w:val="center"/>
            <w:hideMark/>
          </w:tcPr>
          <w:p w14:paraId="13BC957F" w14:textId="77777777" w:rsidR="00002D76" w:rsidRPr="00887181" w:rsidRDefault="00002D76" w:rsidP="00D63204">
            <w:pPr>
              <w:spacing w:after="0" w:line="240" w:lineRule="auto"/>
              <w:rPr>
                <w:rFonts w:ascii="Calibri" w:hAnsi="Calibri"/>
                <w:color w:val="231F20"/>
                <w:sz w:val="16"/>
                <w:szCs w:val="16"/>
              </w:rPr>
            </w:pPr>
            <w:r w:rsidRPr="00887181">
              <w:rPr>
                <w:rFonts w:ascii="Calibri" w:hAnsi="Calibri"/>
                <w:color w:val="231F20"/>
                <w:sz w:val="16"/>
                <w:szCs w:val="16"/>
              </w:rPr>
              <w:t>4.4%</w:t>
            </w:r>
          </w:p>
        </w:tc>
        <w:tc>
          <w:tcPr>
            <w:tcW w:w="0" w:type="auto"/>
            <w:tcBorders>
              <w:top w:val="nil"/>
              <w:left w:val="nil"/>
              <w:bottom w:val="single" w:sz="4" w:space="0" w:color="auto"/>
              <w:right w:val="single" w:sz="4" w:space="0" w:color="auto"/>
            </w:tcBorders>
            <w:shd w:val="clear" w:color="000000" w:fill="E6E7E8"/>
            <w:vAlign w:val="center"/>
            <w:hideMark/>
          </w:tcPr>
          <w:p w14:paraId="44BFE587" w14:textId="77777777" w:rsidR="00002D76" w:rsidRPr="00887181" w:rsidRDefault="00002D76" w:rsidP="00D63204">
            <w:pPr>
              <w:spacing w:after="0" w:line="240" w:lineRule="auto"/>
              <w:rPr>
                <w:rFonts w:ascii="Calibri" w:hAnsi="Calibri"/>
                <w:color w:val="231F20"/>
                <w:sz w:val="16"/>
                <w:szCs w:val="16"/>
              </w:rPr>
            </w:pPr>
            <w:r w:rsidRPr="00887181">
              <w:rPr>
                <w:rFonts w:ascii="Calibri" w:hAnsi="Calibri"/>
                <w:color w:val="231F20"/>
                <w:sz w:val="16"/>
                <w:szCs w:val="16"/>
              </w:rPr>
              <w:t>3.4%</w:t>
            </w:r>
          </w:p>
        </w:tc>
        <w:tc>
          <w:tcPr>
            <w:tcW w:w="0" w:type="auto"/>
            <w:tcBorders>
              <w:top w:val="nil"/>
              <w:left w:val="nil"/>
              <w:bottom w:val="single" w:sz="4" w:space="0" w:color="auto"/>
              <w:right w:val="single" w:sz="4" w:space="0" w:color="auto"/>
            </w:tcBorders>
            <w:shd w:val="clear" w:color="000000" w:fill="E6E7E8"/>
            <w:vAlign w:val="center"/>
            <w:hideMark/>
          </w:tcPr>
          <w:p w14:paraId="10D55552" w14:textId="77777777" w:rsidR="00002D76" w:rsidRPr="00887181" w:rsidRDefault="00002D76" w:rsidP="00D63204">
            <w:pPr>
              <w:spacing w:after="0" w:line="240" w:lineRule="auto"/>
              <w:rPr>
                <w:rFonts w:ascii="Calibri" w:hAnsi="Calibri"/>
                <w:color w:val="231F20"/>
                <w:sz w:val="16"/>
                <w:szCs w:val="16"/>
              </w:rPr>
            </w:pPr>
            <w:r w:rsidRPr="00887181">
              <w:rPr>
                <w:rFonts w:ascii="Calibri" w:hAnsi="Calibri"/>
                <w:color w:val="231F20"/>
                <w:sz w:val="16"/>
                <w:szCs w:val="16"/>
              </w:rPr>
              <w:t>3.8%</w:t>
            </w:r>
          </w:p>
        </w:tc>
        <w:tc>
          <w:tcPr>
            <w:tcW w:w="0" w:type="auto"/>
            <w:tcBorders>
              <w:top w:val="nil"/>
              <w:left w:val="nil"/>
              <w:bottom w:val="single" w:sz="4" w:space="0" w:color="auto"/>
              <w:right w:val="single" w:sz="4" w:space="0" w:color="auto"/>
            </w:tcBorders>
            <w:shd w:val="clear" w:color="000000" w:fill="E6E7E8"/>
            <w:vAlign w:val="center"/>
            <w:hideMark/>
          </w:tcPr>
          <w:p w14:paraId="6336E621" w14:textId="77777777" w:rsidR="00002D76" w:rsidRPr="00887181" w:rsidRDefault="00002D76" w:rsidP="00D63204">
            <w:pPr>
              <w:spacing w:after="0" w:line="240" w:lineRule="auto"/>
              <w:rPr>
                <w:rFonts w:ascii="Calibri" w:hAnsi="Calibri"/>
                <w:color w:val="231F20"/>
                <w:sz w:val="16"/>
                <w:szCs w:val="16"/>
              </w:rPr>
            </w:pPr>
            <w:r w:rsidRPr="00887181">
              <w:rPr>
                <w:rFonts w:ascii="Calibri" w:hAnsi="Calibri"/>
                <w:color w:val="231F20"/>
                <w:sz w:val="16"/>
                <w:szCs w:val="16"/>
              </w:rPr>
              <w:t>3.1%</w:t>
            </w:r>
          </w:p>
        </w:tc>
        <w:tc>
          <w:tcPr>
            <w:tcW w:w="0" w:type="auto"/>
            <w:tcBorders>
              <w:top w:val="nil"/>
              <w:left w:val="nil"/>
              <w:bottom w:val="single" w:sz="4" w:space="0" w:color="auto"/>
              <w:right w:val="single" w:sz="4" w:space="0" w:color="auto"/>
            </w:tcBorders>
            <w:shd w:val="clear" w:color="000000" w:fill="E6E7E8"/>
            <w:vAlign w:val="center"/>
            <w:hideMark/>
          </w:tcPr>
          <w:p w14:paraId="4C277ACC" w14:textId="77777777" w:rsidR="00002D76" w:rsidRPr="00887181" w:rsidRDefault="00002D76" w:rsidP="00D63204">
            <w:pPr>
              <w:spacing w:after="0" w:line="240" w:lineRule="auto"/>
              <w:rPr>
                <w:rFonts w:ascii="Calibri" w:hAnsi="Calibri"/>
                <w:color w:val="231F20"/>
                <w:sz w:val="16"/>
                <w:szCs w:val="16"/>
              </w:rPr>
            </w:pPr>
            <w:r w:rsidRPr="00887181">
              <w:rPr>
                <w:rFonts w:ascii="Calibri" w:hAnsi="Calibri"/>
                <w:color w:val="231F20"/>
                <w:sz w:val="16"/>
                <w:szCs w:val="16"/>
              </w:rPr>
              <w:t>3.4%</w:t>
            </w:r>
          </w:p>
        </w:tc>
        <w:tc>
          <w:tcPr>
            <w:tcW w:w="0" w:type="auto"/>
            <w:tcBorders>
              <w:top w:val="nil"/>
              <w:left w:val="nil"/>
              <w:bottom w:val="single" w:sz="4" w:space="0" w:color="auto"/>
              <w:right w:val="single" w:sz="4" w:space="0" w:color="auto"/>
            </w:tcBorders>
            <w:shd w:val="clear" w:color="000000" w:fill="E6E7E8"/>
            <w:vAlign w:val="center"/>
            <w:hideMark/>
          </w:tcPr>
          <w:p w14:paraId="219EB2C9" w14:textId="77777777" w:rsidR="00002D76" w:rsidRPr="00887181" w:rsidRDefault="00002D76" w:rsidP="00D63204">
            <w:pPr>
              <w:spacing w:after="0" w:line="240" w:lineRule="auto"/>
              <w:rPr>
                <w:rFonts w:ascii="Calibri" w:hAnsi="Calibri"/>
                <w:color w:val="231F20"/>
                <w:sz w:val="16"/>
                <w:szCs w:val="16"/>
              </w:rPr>
            </w:pPr>
            <w:r w:rsidRPr="00887181">
              <w:rPr>
                <w:rFonts w:ascii="Calibri" w:hAnsi="Calibri"/>
                <w:color w:val="231F20"/>
                <w:sz w:val="16"/>
                <w:szCs w:val="16"/>
              </w:rPr>
              <w:t>4.8%</w:t>
            </w:r>
          </w:p>
        </w:tc>
        <w:tc>
          <w:tcPr>
            <w:tcW w:w="0" w:type="auto"/>
            <w:tcBorders>
              <w:top w:val="nil"/>
              <w:left w:val="nil"/>
              <w:bottom w:val="single" w:sz="4" w:space="0" w:color="auto"/>
              <w:right w:val="single" w:sz="4" w:space="0" w:color="auto"/>
            </w:tcBorders>
            <w:shd w:val="clear" w:color="000000" w:fill="E6E7E8"/>
            <w:vAlign w:val="center"/>
            <w:hideMark/>
          </w:tcPr>
          <w:p w14:paraId="603D9838" w14:textId="77777777" w:rsidR="00002D76" w:rsidRPr="00887181" w:rsidRDefault="00002D76" w:rsidP="00D63204">
            <w:pPr>
              <w:spacing w:after="0" w:line="240" w:lineRule="auto"/>
              <w:rPr>
                <w:rFonts w:ascii="Calibri" w:hAnsi="Calibri"/>
                <w:color w:val="231F20"/>
                <w:sz w:val="16"/>
                <w:szCs w:val="16"/>
              </w:rPr>
            </w:pPr>
            <w:r w:rsidRPr="00887181">
              <w:rPr>
                <w:rFonts w:ascii="Calibri" w:hAnsi="Calibri"/>
                <w:color w:val="231F20"/>
                <w:sz w:val="16"/>
                <w:szCs w:val="16"/>
              </w:rPr>
              <w:t>5.6%</w:t>
            </w:r>
          </w:p>
        </w:tc>
        <w:tc>
          <w:tcPr>
            <w:tcW w:w="0" w:type="auto"/>
            <w:tcBorders>
              <w:top w:val="nil"/>
              <w:left w:val="nil"/>
              <w:bottom w:val="single" w:sz="4" w:space="0" w:color="auto"/>
              <w:right w:val="single" w:sz="4" w:space="0" w:color="auto"/>
            </w:tcBorders>
            <w:shd w:val="clear" w:color="000000" w:fill="E6E7E8"/>
            <w:vAlign w:val="center"/>
            <w:hideMark/>
          </w:tcPr>
          <w:p w14:paraId="360575F5" w14:textId="77777777" w:rsidR="00002D76" w:rsidRPr="00887181" w:rsidRDefault="00002D76" w:rsidP="00D63204">
            <w:pPr>
              <w:spacing w:after="0" w:line="240" w:lineRule="auto"/>
              <w:rPr>
                <w:rFonts w:ascii="Calibri" w:hAnsi="Calibri"/>
                <w:color w:val="231F20"/>
                <w:sz w:val="16"/>
                <w:szCs w:val="16"/>
              </w:rPr>
            </w:pPr>
            <w:r w:rsidRPr="00887181">
              <w:rPr>
                <w:rFonts w:ascii="Calibri" w:hAnsi="Calibri"/>
                <w:color w:val="231F20"/>
                <w:sz w:val="16"/>
                <w:szCs w:val="16"/>
              </w:rPr>
              <w:t>3.3%</w:t>
            </w:r>
          </w:p>
        </w:tc>
      </w:tr>
      <w:tr w:rsidR="00002D76" w:rsidRPr="00887181" w14:paraId="1C058F10" w14:textId="77777777" w:rsidTr="001429C7">
        <w:trPr>
          <w:trHeight w:hRule="exac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59CCD1B" w14:textId="77777777" w:rsidR="00002D76" w:rsidRPr="00887181" w:rsidRDefault="00002D76" w:rsidP="00D63204">
            <w:pPr>
              <w:spacing w:after="0" w:line="240" w:lineRule="auto"/>
              <w:rPr>
                <w:rFonts w:ascii="Calibri" w:hAnsi="Calibri"/>
                <w:color w:val="231F20"/>
                <w:sz w:val="16"/>
                <w:szCs w:val="16"/>
              </w:rPr>
            </w:pPr>
            <w:r w:rsidRPr="00887181">
              <w:rPr>
                <w:rFonts w:ascii="Calibri" w:hAnsi="Calibri"/>
                <w:color w:val="231F20"/>
                <w:sz w:val="16"/>
                <w:szCs w:val="16"/>
              </w:rPr>
              <w:t>130000</w:t>
            </w:r>
          </w:p>
        </w:tc>
        <w:tc>
          <w:tcPr>
            <w:tcW w:w="0" w:type="auto"/>
            <w:tcBorders>
              <w:top w:val="nil"/>
              <w:left w:val="nil"/>
              <w:bottom w:val="single" w:sz="4" w:space="0" w:color="auto"/>
              <w:right w:val="single" w:sz="4" w:space="0" w:color="auto"/>
            </w:tcBorders>
            <w:shd w:val="clear" w:color="auto" w:fill="auto"/>
            <w:vAlign w:val="center"/>
            <w:hideMark/>
          </w:tcPr>
          <w:p w14:paraId="3B7551E9" w14:textId="77777777" w:rsidR="00002D76" w:rsidRPr="00887181" w:rsidRDefault="00002D76" w:rsidP="001429C7">
            <w:pPr>
              <w:spacing w:after="0" w:line="240" w:lineRule="auto"/>
              <w:rPr>
                <w:rFonts w:ascii="Calibri" w:hAnsi="Calibri"/>
                <w:color w:val="231F20"/>
                <w:sz w:val="16"/>
                <w:szCs w:val="16"/>
              </w:rPr>
            </w:pPr>
            <w:r w:rsidRPr="00887181">
              <w:rPr>
                <w:rFonts w:ascii="Calibri" w:hAnsi="Calibri"/>
                <w:color w:val="231F20"/>
                <w:sz w:val="16"/>
                <w:szCs w:val="16"/>
              </w:rPr>
              <w:t>Business and Financial Operations</w:t>
            </w:r>
          </w:p>
        </w:tc>
        <w:tc>
          <w:tcPr>
            <w:tcW w:w="0" w:type="auto"/>
            <w:tcBorders>
              <w:top w:val="nil"/>
              <w:left w:val="nil"/>
              <w:bottom w:val="single" w:sz="4" w:space="0" w:color="auto"/>
              <w:right w:val="single" w:sz="4" w:space="0" w:color="auto"/>
            </w:tcBorders>
            <w:shd w:val="clear" w:color="auto" w:fill="auto"/>
            <w:vAlign w:val="center"/>
            <w:hideMark/>
          </w:tcPr>
          <w:p w14:paraId="1ED42DF7" w14:textId="77777777" w:rsidR="00002D76" w:rsidRPr="00887181" w:rsidRDefault="00002D76" w:rsidP="00D63204">
            <w:pPr>
              <w:spacing w:after="0" w:line="240" w:lineRule="auto"/>
              <w:rPr>
                <w:rFonts w:ascii="Calibri" w:hAnsi="Calibri"/>
                <w:color w:val="231F20"/>
                <w:sz w:val="16"/>
                <w:szCs w:val="16"/>
              </w:rPr>
            </w:pPr>
            <w:r w:rsidRPr="00887181">
              <w:rPr>
                <w:rFonts w:ascii="Calibri" w:hAnsi="Calibri"/>
                <w:color w:val="231F20"/>
                <w:sz w:val="16"/>
                <w:szCs w:val="16"/>
              </w:rPr>
              <w:t>5.4%</w:t>
            </w:r>
          </w:p>
        </w:tc>
        <w:tc>
          <w:tcPr>
            <w:tcW w:w="0" w:type="auto"/>
            <w:tcBorders>
              <w:top w:val="nil"/>
              <w:left w:val="nil"/>
              <w:bottom w:val="single" w:sz="4" w:space="0" w:color="auto"/>
              <w:right w:val="single" w:sz="4" w:space="0" w:color="auto"/>
            </w:tcBorders>
            <w:shd w:val="clear" w:color="auto" w:fill="auto"/>
            <w:vAlign w:val="center"/>
            <w:hideMark/>
          </w:tcPr>
          <w:p w14:paraId="4CF419CC" w14:textId="77777777" w:rsidR="00002D76" w:rsidRPr="00887181" w:rsidRDefault="00002D76" w:rsidP="00D63204">
            <w:pPr>
              <w:spacing w:after="0" w:line="240" w:lineRule="auto"/>
              <w:rPr>
                <w:rFonts w:ascii="Calibri" w:hAnsi="Calibri"/>
                <w:color w:val="231F20"/>
                <w:sz w:val="16"/>
                <w:szCs w:val="16"/>
              </w:rPr>
            </w:pPr>
            <w:r w:rsidRPr="00887181">
              <w:rPr>
                <w:rFonts w:ascii="Calibri" w:hAnsi="Calibri"/>
                <w:color w:val="231F20"/>
                <w:sz w:val="16"/>
                <w:szCs w:val="16"/>
              </w:rPr>
              <w:t>4.5%</w:t>
            </w:r>
          </w:p>
        </w:tc>
        <w:tc>
          <w:tcPr>
            <w:tcW w:w="0" w:type="auto"/>
            <w:tcBorders>
              <w:top w:val="nil"/>
              <w:left w:val="nil"/>
              <w:bottom w:val="single" w:sz="4" w:space="0" w:color="auto"/>
              <w:right w:val="single" w:sz="4" w:space="0" w:color="auto"/>
            </w:tcBorders>
            <w:shd w:val="clear" w:color="auto" w:fill="auto"/>
            <w:vAlign w:val="center"/>
            <w:hideMark/>
          </w:tcPr>
          <w:p w14:paraId="4B8E825F" w14:textId="77777777" w:rsidR="00002D76" w:rsidRPr="00887181" w:rsidRDefault="00002D76" w:rsidP="00D63204">
            <w:pPr>
              <w:spacing w:after="0" w:line="240" w:lineRule="auto"/>
              <w:rPr>
                <w:rFonts w:ascii="Calibri" w:hAnsi="Calibri"/>
                <w:color w:val="231F20"/>
                <w:sz w:val="16"/>
                <w:szCs w:val="16"/>
              </w:rPr>
            </w:pPr>
            <w:r w:rsidRPr="00887181">
              <w:rPr>
                <w:rFonts w:ascii="Calibri" w:hAnsi="Calibri"/>
                <w:color w:val="231F20"/>
                <w:sz w:val="16"/>
                <w:szCs w:val="16"/>
              </w:rPr>
              <w:t>6.5%</w:t>
            </w:r>
          </w:p>
        </w:tc>
        <w:tc>
          <w:tcPr>
            <w:tcW w:w="0" w:type="auto"/>
            <w:tcBorders>
              <w:top w:val="nil"/>
              <w:left w:val="nil"/>
              <w:bottom w:val="single" w:sz="4" w:space="0" w:color="auto"/>
              <w:right w:val="single" w:sz="4" w:space="0" w:color="auto"/>
            </w:tcBorders>
            <w:shd w:val="clear" w:color="auto" w:fill="auto"/>
            <w:vAlign w:val="center"/>
            <w:hideMark/>
          </w:tcPr>
          <w:p w14:paraId="352C597E" w14:textId="77777777" w:rsidR="00002D76" w:rsidRPr="00887181" w:rsidRDefault="00002D76" w:rsidP="00D63204">
            <w:pPr>
              <w:spacing w:after="0" w:line="240" w:lineRule="auto"/>
              <w:rPr>
                <w:rFonts w:ascii="Calibri" w:hAnsi="Calibri"/>
                <w:color w:val="231F20"/>
                <w:sz w:val="16"/>
                <w:szCs w:val="16"/>
              </w:rPr>
            </w:pPr>
            <w:r w:rsidRPr="00887181">
              <w:rPr>
                <w:rFonts w:ascii="Calibri" w:hAnsi="Calibri"/>
                <w:color w:val="231F20"/>
                <w:sz w:val="16"/>
                <w:szCs w:val="16"/>
              </w:rPr>
              <w:t>2.9%</w:t>
            </w:r>
          </w:p>
        </w:tc>
        <w:tc>
          <w:tcPr>
            <w:tcW w:w="0" w:type="auto"/>
            <w:tcBorders>
              <w:top w:val="nil"/>
              <w:left w:val="nil"/>
              <w:bottom w:val="single" w:sz="4" w:space="0" w:color="auto"/>
              <w:right w:val="single" w:sz="4" w:space="0" w:color="auto"/>
            </w:tcBorders>
            <w:shd w:val="clear" w:color="auto" w:fill="auto"/>
            <w:vAlign w:val="center"/>
            <w:hideMark/>
          </w:tcPr>
          <w:p w14:paraId="01720E98" w14:textId="77777777" w:rsidR="00002D76" w:rsidRPr="00887181" w:rsidRDefault="00002D76" w:rsidP="00D63204">
            <w:pPr>
              <w:spacing w:after="0" w:line="240" w:lineRule="auto"/>
              <w:rPr>
                <w:rFonts w:ascii="Calibri" w:hAnsi="Calibri"/>
                <w:color w:val="231F20"/>
                <w:sz w:val="16"/>
                <w:szCs w:val="16"/>
              </w:rPr>
            </w:pPr>
            <w:r w:rsidRPr="00887181">
              <w:rPr>
                <w:rFonts w:ascii="Calibri" w:hAnsi="Calibri"/>
                <w:color w:val="231F20"/>
                <w:sz w:val="16"/>
                <w:szCs w:val="16"/>
              </w:rPr>
              <w:t>4.5%</w:t>
            </w:r>
          </w:p>
        </w:tc>
        <w:tc>
          <w:tcPr>
            <w:tcW w:w="0" w:type="auto"/>
            <w:tcBorders>
              <w:top w:val="nil"/>
              <w:left w:val="nil"/>
              <w:bottom w:val="single" w:sz="4" w:space="0" w:color="auto"/>
              <w:right w:val="single" w:sz="4" w:space="0" w:color="auto"/>
            </w:tcBorders>
            <w:shd w:val="clear" w:color="auto" w:fill="auto"/>
            <w:vAlign w:val="center"/>
            <w:hideMark/>
          </w:tcPr>
          <w:p w14:paraId="0FA68C34" w14:textId="77777777" w:rsidR="00002D76" w:rsidRPr="00887181" w:rsidRDefault="00002D76" w:rsidP="00D63204">
            <w:pPr>
              <w:spacing w:after="0" w:line="240" w:lineRule="auto"/>
              <w:rPr>
                <w:rFonts w:ascii="Calibri" w:hAnsi="Calibri"/>
                <w:color w:val="231F20"/>
                <w:sz w:val="16"/>
                <w:szCs w:val="16"/>
              </w:rPr>
            </w:pPr>
            <w:r w:rsidRPr="00887181">
              <w:rPr>
                <w:rFonts w:ascii="Calibri" w:hAnsi="Calibri"/>
                <w:color w:val="231F20"/>
                <w:sz w:val="16"/>
                <w:szCs w:val="16"/>
              </w:rPr>
              <w:t>10.6%</w:t>
            </w:r>
          </w:p>
        </w:tc>
        <w:tc>
          <w:tcPr>
            <w:tcW w:w="0" w:type="auto"/>
            <w:tcBorders>
              <w:top w:val="nil"/>
              <w:left w:val="nil"/>
              <w:bottom w:val="single" w:sz="4" w:space="0" w:color="auto"/>
              <w:right w:val="single" w:sz="4" w:space="0" w:color="auto"/>
            </w:tcBorders>
            <w:shd w:val="clear" w:color="auto" w:fill="auto"/>
            <w:vAlign w:val="center"/>
            <w:hideMark/>
          </w:tcPr>
          <w:p w14:paraId="035D561A" w14:textId="77777777" w:rsidR="00002D76" w:rsidRPr="00887181" w:rsidRDefault="00002D76" w:rsidP="00D63204">
            <w:pPr>
              <w:spacing w:after="0" w:line="240" w:lineRule="auto"/>
              <w:rPr>
                <w:rFonts w:ascii="Calibri" w:hAnsi="Calibri"/>
                <w:color w:val="231F20"/>
                <w:sz w:val="16"/>
                <w:szCs w:val="16"/>
              </w:rPr>
            </w:pPr>
            <w:r w:rsidRPr="00887181">
              <w:rPr>
                <w:rFonts w:ascii="Calibri" w:hAnsi="Calibri"/>
                <w:color w:val="231F20"/>
                <w:sz w:val="16"/>
                <w:szCs w:val="16"/>
              </w:rPr>
              <w:t>2.3%</w:t>
            </w:r>
          </w:p>
        </w:tc>
        <w:tc>
          <w:tcPr>
            <w:tcW w:w="0" w:type="auto"/>
            <w:tcBorders>
              <w:top w:val="nil"/>
              <w:left w:val="nil"/>
              <w:bottom w:val="single" w:sz="4" w:space="0" w:color="auto"/>
              <w:right w:val="single" w:sz="4" w:space="0" w:color="auto"/>
            </w:tcBorders>
            <w:shd w:val="clear" w:color="auto" w:fill="auto"/>
            <w:vAlign w:val="center"/>
            <w:hideMark/>
          </w:tcPr>
          <w:p w14:paraId="2EBCCCB2" w14:textId="77777777" w:rsidR="00002D76" w:rsidRPr="00887181" w:rsidRDefault="00002D76" w:rsidP="00D63204">
            <w:pPr>
              <w:spacing w:after="0" w:line="240" w:lineRule="auto"/>
              <w:rPr>
                <w:rFonts w:ascii="Calibri" w:hAnsi="Calibri"/>
                <w:color w:val="231F20"/>
                <w:sz w:val="16"/>
                <w:szCs w:val="16"/>
              </w:rPr>
            </w:pPr>
            <w:r w:rsidRPr="00887181">
              <w:rPr>
                <w:rFonts w:ascii="Calibri" w:hAnsi="Calibri"/>
                <w:color w:val="231F20"/>
                <w:sz w:val="16"/>
                <w:szCs w:val="16"/>
              </w:rPr>
              <w:t>3.0%</w:t>
            </w:r>
          </w:p>
        </w:tc>
      </w:tr>
      <w:tr w:rsidR="00002D76" w:rsidRPr="00887181" w14:paraId="4EE3888C" w14:textId="77777777" w:rsidTr="001429C7">
        <w:trPr>
          <w:trHeight w:hRule="exact" w:val="300"/>
        </w:trPr>
        <w:tc>
          <w:tcPr>
            <w:tcW w:w="0" w:type="auto"/>
            <w:tcBorders>
              <w:top w:val="nil"/>
              <w:left w:val="single" w:sz="4" w:space="0" w:color="auto"/>
              <w:bottom w:val="single" w:sz="4" w:space="0" w:color="auto"/>
              <w:right w:val="single" w:sz="4" w:space="0" w:color="auto"/>
            </w:tcBorders>
            <w:shd w:val="clear" w:color="000000" w:fill="E6E7E8"/>
            <w:vAlign w:val="center"/>
            <w:hideMark/>
          </w:tcPr>
          <w:p w14:paraId="1C4E1219" w14:textId="77777777" w:rsidR="00002D76" w:rsidRPr="00887181" w:rsidRDefault="00002D76" w:rsidP="00D63204">
            <w:pPr>
              <w:spacing w:after="0" w:line="240" w:lineRule="auto"/>
              <w:rPr>
                <w:rFonts w:ascii="Calibri" w:hAnsi="Calibri"/>
                <w:color w:val="231F20"/>
                <w:sz w:val="16"/>
                <w:szCs w:val="16"/>
              </w:rPr>
            </w:pPr>
            <w:r w:rsidRPr="00887181">
              <w:rPr>
                <w:rFonts w:ascii="Calibri" w:hAnsi="Calibri"/>
                <w:color w:val="231F20"/>
                <w:sz w:val="16"/>
                <w:szCs w:val="16"/>
              </w:rPr>
              <w:t>150000</w:t>
            </w:r>
          </w:p>
        </w:tc>
        <w:tc>
          <w:tcPr>
            <w:tcW w:w="0" w:type="auto"/>
            <w:tcBorders>
              <w:top w:val="nil"/>
              <w:left w:val="nil"/>
              <w:bottom w:val="single" w:sz="4" w:space="0" w:color="auto"/>
              <w:right w:val="single" w:sz="4" w:space="0" w:color="auto"/>
            </w:tcBorders>
            <w:shd w:val="clear" w:color="000000" w:fill="E6E7E8"/>
            <w:vAlign w:val="center"/>
            <w:hideMark/>
          </w:tcPr>
          <w:p w14:paraId="7A190A87" w14:textId="77777777" w:rsidR="00002D76" w:rsidRPr="00887181" w:rsidRDefault="00002D76" w:rsidP="001429C7">
            <w:pPr>
              <w:spacing w:after="0" w:line="240" w:lineRule="auto"/>
              <w:rPr>
                <w:rFonts w:ascii="Calibri" w:hAnsi="Calibri"/>
                <w:color w:val="231F20"/>
                <w:sz w:val="16"/>
                <w:szCs w:val="16"/>
              </w:rPr>
            </w:pPr>
            <w:r w:rsidRPr="00887181">
              <w:rPr>
                <w:rFonts w:ascii="Calibri" w:hAnsi="Calibri"/>
                <w:color w:val="231F20"/>
                <w:sz w:val="16"/>
                <w:szCs w:val="16"/>
              </w:rPr>
              <w:t>Computer and Mathematical</w:t>
            </w:r>
          </w:p>
        </w:tc>
        <w:tc>
          <w:tcPr>
            <w:tcW w:w="0" w:type="auto"/>
            <w:tcBorders>
              <w:top w:val="nil"/>
              <w:left w:val="nil"/>
              <w:bottom w:val="single" w:sz="4" w:space="0" w:color="auto"/>
              <w:right w:val="single" w:sz="4" w:space="0" w:color="auto"/>
            </w:tcBorders>
            <w:shd w:val="clear" w:color="000000" w:fill="E6E7E8"/>
            <w:vAlign w:val="center"/>
            <w:hideMark/>
          </w:tcPr>
          <w:p w14:paraId="2DB5E381" w14:textId="77777777" w:rsidR="00002D76" w:rsidRPr="00887181" w:rsidRDefault="00002D76" w:rsidP="00D63204">
            <w:pPr>
              <w:spacing w:after="0" w:line="240" w:lineRule="auto"/>
              <w:rPr>
                <w:rFonts w:ascii="Calibri" w:hAnsi="Calibri"/>
                <w:color w:val="231F20"/>
                <w:sz w:val="16"/>
                <w:szCs w:val="16"/>
              </w:rPr>
            </w:pPr>
            <w:r w:rsidRPr="00887181">
              <w:rPr>
                <w:rFonts w:ascii="Calibri" w:hAnsi="Calibri"/>
                <w:color w:val="231F20"/>
                <w:sz w:val="16"/>
                <w:szCs w:val="16"/>
              </w:rPr>
              <w:t>2.3%</w:t>
            </w:r>
          </w:p>
        </w:tc>
        <w:tc>
          <w:tcPr>
            <w:tcW w:w="0" w:type="auto"/>
            <w:tcBorders>
              <w:top w:val="nil"/>
              <w:left w:val="nil"/>
              <w:bottom w:val="single" w:sz="4" w:space="0" w:color="auto"/>
              <w:right w:val="single" w:sz="4" w:space="0" w:color="auto"/>
            </w:tcBorders>
            <w:shd w:val="clear" w:color="000000" w:fill="E6E7E8"/>
            <w:vAlign w:val="center"/>
            <w:hideMark/>
          </w:tcPr>
          <w:p w14:paraId="35E590E0" w14:textId="77777777" w:rsidR="00002D76" w:rsidRPr="00887181" w:rsidRDefault="00002D76" w:rsidP="00D63204">
            <w:pPr>
              <w:spacing w:after="0" w:line="240" w:lineRule="auto"/>
              <w:rPr>
                <w:rFonts w:ascii="Calibri" w:hAnsi="Calibri"/>
                <w:color w:val="231F20"/>
                <w:sz w:val="16"/>
                <w:szCs w:val="16"/>
              </w:rPr>
            </w:pPr>
            <w:r w:rsidRPr="00887181">
              <w:rPr>
                <w:rFonts w:ascii="Calibri" w:hAnsi="Calibri"/>
                <w:color w:val="231F20"/>
                <w:sz w:val="16"/>
                <w:szCs w:val="16"/>
              </w:rPr>
              <w:t>1.8%</w:t>
            </w:r>
          </w:p>
        </w:tc>
        <w:tc>
          <w:tcPr>
            <w:tcW w:w="0" w:type="auto"/>
            <w:tcBorders>
              <w:top w:val="nil"/>
              <w:left w:val="nil"/>
              <w:bottom w:val="single" w:sz="4" w:space="0" w:color="auto"/>
              <w:right w:val="single" w:sz="4" w:space="0" w:color="auto"/>
            </w:tcBorders>
            <w:shd w:val="clear" w:color="000000" w:fill="E6E7E8"/>
            <w:vAlign w:val="center"/>
            <w:hideMark/>
          </w:tcPr>
          <w:p w14:paraId="42F3A004" w14:textId="77777777" w:rsidR="00002D76" w:rsidRPr="00887181" w:rsidRDefault="00002D76" w:rsidP="00D63204">
            <w:pPr>
              <w:spacing w:after="0" w:line="240" w:lineRule="auto"/>
              <w:rPr>
                <w:rFonts w:ascii="Calibri" w:hAnsi="Calibri"/>
                <w:color w:val="231F20"/>
                <w:sz w:val="16"/>
                <w:szCs w:val="16"/>
              </w:rPr>
            </w:pPr>
            <w:r w:rsidRPr="00887181">
              <w:rPr>
                <w:rFonts w:ascii="Calibri" w:hAnsi="Calibri"/>
                <w:color w:val="231F20"/>
                <w:sz w:val="16"/>
                <w:szCs w:val="16"/>
              </w:rPr>
              <w:t>3.2%</w:t>
            </w:r>
          </w:p>
        </w:tc>
        <w:tc>
          <w:tcPr>
            <w:tcW w:w="0" w:type="auto"/>
            <w:tcBorders>
              <w:top w:val="nil"/>
              <w:left w:val="nil"/>
              <w:bottom w:val="single" w:sz="4" w:space="0" w:color="auto"/>
              <w:right w:val="single" w:sz="4" w:space="0" w:color="auto"/>
            </w:tcBorders>
            <w:shd w:val="clear" w:color="000000" w:fill="E6E7E8"/>
            <w:vAlign w:val="center"/>
            <w:hideMark/>
          </w:tcPr>
          <w:p w14:paraId="174E8D9A" w14:textId="77777777" w:rsidR="00002D76" w:rsidRPr="00887181" w:rsidRDefault="00002D76" w:rsidP="00D63204">
            <w:pPr>
              <w:spacing w:after="0" w:line="240" w:lineRule="auto"/>
              <w:rPr>
                <w:rFonts w:ascii="Calibri" w:hAnsi="Calibri"/>
                <w:color w:val="231F20"/>
                <w:sz w:val="16"/>
                <w:szCs w:val="16"/>
              </w:rPr>
            </w:pPr>
            <w:r w:rsidRPr="00887181">
              <w:rPr>
                <w:rFonts w:ascii="Calibri" w:hAnsi="Calibri"/>
                <w:color w:val="231F20"/>
                <w:sz w:val="16"/>
                <w:szCs w:val="16"/>
              </w:rPr>
              <w:t>0.7%</w:t>
            </w:r>
          </w:p>
        </w:tc>
        <w:tc>
          <w:tcPr>
            <w:tcW w:w="0" w:type="auto"/>
            <w:tcBorders>
              <w:top w:val="nil"/>
              <w:left w:val="nil"/>
              <w:bottom w:val="single" w:sz="4" w:space="0" w:color="auto"/>
              <w:right w:val="single" w:sz="4" w:space="0" w:color="auto"/>
            </w:tcBorders>
            <w:shd w:val="clear" w:color="000000" w:fill="E6E7E8"/>
            <w:vAlign w:val="center"/>
            <w:hideMark/>
          </w:tcPr>
          <w:p w14:paraId="3B9AFFBF" w14:textId="77777777" w:rsidR="00002D76" w:rsidRPr="00887181" w:rsidRDefault="00002D76" w:rsidP="00D63204">
            <w:pPr>
              <w:spacing w:after="0" w:line="240" w:lineRule="auto"/>
              <w:rPr>
                <w:rFonts w:ascii="Calibri" w:hAnsi="Calibri"/>
                <w:color w:val="231F20"/>
                <w:sz w:val="16"/>
                <w:szCs w:val="16"/>
              </w:rPr>
            </w:pPr>
            <w:r w:rsidRPr="00887181">
              <w:rPr>
                <w:rFonts w:ascii="Calibri" w:hAnsi="Calibri"/>
                <w:color w:val="231F20"/>
                <w:sz w:val="16"/>
                <w:szCs w:val="16"/>
              </w:rPr>
              <w:t>1.3%</w:t>
            </w:r>
          </w:p>
        </w:tc>
        <w:tc>
          <w:tcPr>
            <w:tcW w:w="0" w:type="auto"/>
            <w:tcBorders>
              <w:top w:val="nil"/>
              <w:left w:val="nil"/>
              <w:bottom w:val="single" w:sz="4" w:space="0" w:color="auto"/>
              <w:right w:val="single" w:sz="4" w:space="0" w:color="auto"/>
            </w:tcBorders>
            <w:shd w:val="clear" w:color="000000" w:fill="E6E7E8"/>
            <w:vAlign w:val="center"/>
            <w:hideMark/>
          </w:tcPr>
          <w:p w14:paraId="44522212" w14:textId="77777777" w:rsidR="00002D76" w:rsidRPr="00887181" w:rsidRDefault="00002D76" w:rsidP="00D63204">
            <w:pPr>
              <w:spacing w:after="0" w:line="240" w:lineRule="auto"/>
              <w:rPr>
                <w:rFonts w:ascii="Calibri" w:hAnsi="Calibri"/>
                <w:color w:val="231F20"/>
                <w:sz w:val="16"/>
                <w:szCs w:val="16"/>
              </w:rPr>
            </w:pPr>
            <w:r w:rsidRPr="00887181">
              <w:rPr>
                <w:rFonts w:ascii="Calibri" w:hAnsi="Calibri"/>
                <w:color w:val="231F20"/>
                <w:sz w:val="16"/>
                <w:szCs w:val="16"/>
              </w:rPr>
              <w:t>3.7%</w:t>
            </w:r>
          </w:p>
        </w:tc>
        <w:tc>
          <w:tcPr>
            <w:tcW w:w="0" w:type="auto"/>
            <w:tcBorders>
              <w:top w:val="nil"/>
              <w:left w:val="nil"/>
              <w:bottom w:val="single" w:sz="4" w:space="0" w:color="auto"/>
              <w:right w:val="single" w:sz="4" w:space="0" w:color="auto"/>
            </w:tcBorders>
            <w:shd w:val="clear" w:color="000000" w:fill="E6E7E8"/>
            <w:vAlign w:val="center"/>
            <w:hideMark/>
          </w:tcPr>
          <w:p w14:paraId="1DF1E4A8" w14:textId="77777777" w:rsidR="00002D76" w:rsidRPr="00887181" w:rsidRDefault="00002D76" w:rsidP="00D63204">
            <w:pPr>
              <w:spacing w:after="0" w:line="240" w:lineRule="auto"/>
              <w:rPr>
                <w:rFonts w:ascii="Calibri" w:hAnsi="Calibri"/>
                <w:color w:val="231F20"/>
                <w:sz w:val="16"/>
                <w:szCs w:val="16"/>
              </w:rPr>
            </w:pPr>
            <w:r w:rsidRPr="00887181">
              <w:rPr>
                <w:rFonts w:ascii="Calibri" w:hAnsi="Calibri"/>
                <w:color w:val="231F20"/>
                <w:sz w:val="16"/>
                <w:szCs w:val="16"/>
              </w:rPr>
              <w:t>0.5%</w:t>
            </w:r>
          </w:p>
        </w:tc>
        <w:tc>
          <w:tcPr>
            <w:tcW w:w="0" w:type="auto"/>
            <w:tcBorders>
              <w:top w:val="nil"/>
              <w:left w:val="nil"/>
              <w:bottom w:val="single" w:sz="4" w:space="0" w:color="auto"/>
              <w:right w:val="single" w:sz="4" w:space="0" w:color="auto"/>
            </w:tcBorders>
            <w:shd w:val="clear" w:color="000000" w:fill="E6E7E8"/>
            <w:vAlign w:val="center"/>
            <w:hideMark/>
          </w:tcPr>
          <w:p w14:paraId="63DDCBE2" w14:textId="77777777" w:rsidR="00002D76" w:rsidRPr="00887181" w:rsidRDefault="00002D76" w:rsidP="00D63204">
            <w:pPr>
              <w:spacing w:after="0" w:line="240" w:lineRule="auto"/>
              <w:rPr>
                <w:rFonts w:ascii="Calibri" w:hAnsi="Calibri"/>
                <w:color w:val="231F20"/>
                <w:sz w:val="16"/>
                <w:szCs w:val="16"/>
              </w:rPr>
            </w:pPr>
            <w:r w:rsidRPr="00887181">
              <w:rPr>
                <w:rFonts w:ascii="Calibri" w:hAnsi="Calibri"/>
                <w:color w:val="231F20"/>
                <w:sz w:val="16"/>
                <w:szCs w:val="16"/>
              </w:rPr>
              <w:t>0.7%</w:t>
            </w:r>
          </w:p>
        </w:tc>
      </w:tr>
      <w:tr w:rsidR="00002D76" w:rsidRPr="00887181" w14:paraId="0D216BCB" w14:textId="77777777" w:rsidTr="001429C7">
        <w:trPr>
          <w:trHeight w:hRule="exac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9FA4ED6" w14:textId="77777777" w:rsidR="00002D76" w:rsidRPr="00887181" w:rsidRDefault="00002D76" w:rsidP="00D63204">
            <w:pPr>
              <w:spacing w:after="0" w:line="240" w:lineRule="auto"/>
              <w:rPr>
                <w:rFonts w:ascii="Calibri" w:hAnsi="Calibri"/>
                <w:color w:val="231F20"/>
                <w:sz w:val="16"/>
                <w:szCs w:val="16"/>
              </w:rPr>
            </w:pPr>
            <w:r w:rsidRPr="00887181">
              <w:rPr>
                <w:rFonts w:ascii="Calibri" w:hAnsi="Calibri"/>
                <w:color w:val="231F20"/>
                <w:sz w:val="16"/>
                <w:szCs w:val="16"/>
              </w:rPr>
              <w:t>170000</w:t>
            </w:r>
          </w:p>
        </w:tc>
        <w:tc>
          <w:tcPr>
            <w:tcW w:w="0" w:type="auto"/>
            <w:tcBorders>
              <w:top w:val="nil"/>
              <w:left w:val="nil"/>
              <w:bottom w:val="single" w:sz="4" w:space="0" w:color="auto"/>
              <w:right w:val="single" w:sz="4" w:space="0" w:color="auto"/>
            </w:tcBorders>
            <w:shd w:val="clear" w:color="auto" w:fill="auto"/>
            <w:vAlign w:val="center"/>
            <w:hideMark/>
          </w:tcPr>
          <w:p w14:paraId="62AF1167" w14:textId="77777777" w:rsidR="00002D76" w:rsidRPr="00887181" w:rsidRDefault="00002D76" w:rsidP="001429C7">
            <w:pPr>
              <w:spacing w:after="0" w:line="240" w:lineRule="auto"/>
              <w:rPr>
                <w:rFonts w:ascii="Calibri" w:hAnsi="Calibri"/>
                <w:color w:val="231F20"/>
                <w:sz w:val="16"/>
                <w:szCs w:val="16"/>
              </w:rPr>
            </w:pPr>
            <w:r w:rsidRPr="00887181">
              <w:rPr>
                <w:rFonts w:ascii="Calibri" w:hAnsi="Calibri"/>
                <w:color w:val="231F20"/>
                <w:sz w:val="16"/>
                <w:szCs w:val="16"/>
              </w:rPr>
              <w:t>Architecture and Engineering</w:t>
            </w:r>
          </w:p>
        </w:tc>
        <w:tc>
          <w:tcPr>
            <w:tcW w:w="0" w:type="auto"/>
            <w:tcBorders>
              <w:top w:val="nil"/>
              <w:left w:val="nil"/>
              <w:bottom w:val="single" w:sz="4" w:space="0" w:color="auto"/>
              <w:right w:val="single" w:sz="4" w:space="0" w:color="auto"/>
            </w:tcBorders>
            <w:shd w:val="clear" w:color="auto" w:fill="auto"/>
            <w:vAlign w:val="center"/>
            <w:hideMark/>
          </w:tcPr>
          <w:p w14:paraId="713B75F4" w14:textId="77777777" w:rsidR="00002D76" w:rsidRPr="00887181" w:rsidRDefault="00002D76" w:rsidP="00D63204">
            <w:pPr>
              <w:spacing w:after="0" w:line="240" w:lineRule="auto"/>
              <w:rPr>
                <w:rFonts w:ascii="Calibri" w:hAnsi="Calibri"/>
                <w:color w:val="231F20"/>
                <w:sz w:val="16"/>
                <w:szCs w:val="16"/>
              </w:rPr>
            </w:pPr>
            <w:r w:rsidRPr="00887181">
              <w:rPr>
                <w:rFonts w:ascii="Calibri" w:hAnsi="Calibri"/>
                <w:color w:val="231F20"/>
                <w:sz w:val="16"/>
                <w:szCs w:val="16"/>
              </w:rPr>
              <w:t>1.2%</w:t>
            </w:r>
          </w:p>
        </w:tc>
        <w:tc>
          <w:tcPr>
            <w:tcW w:w="0" w:type="auto"/>
            <w:tcBorders>
              <w:top w:val="nil"/>
              <w:left w:val="nil"/>
              <w:bottom w:val="single" w:sz="4" w:space="0" w:color="auto"/>
              <w:right w:val="single" w:sz="4" w:space="0" w:color="auto"/>
            </w:tcBorders>
            <w:shd w:val="clear" w:color="auto" w:fill="auto"/>
            <w:vAlign w:val="center"/>
            <w:hideMark/>
          </w:tcPr>
          <w:p w14:paraId="1129142B" w14:textId="77777777" w:rsidR="00002D76" w:rsidRPr="00887181" w:rsidRDefault="00002D76" w:rsidP="00D63204">
            <w:pPr>
              <w:spacing w:after="0" w:line="240" w:lineRule="auto"/>
              <w:rPr>
                <w:rFonts w:ascii="Calibri" w:hAnsi="Calibri"/>
                <w:color w:val="231F20"/>
                <w:sz w:val="16"/>
                <w:szCs w:val="16"/>
              </w:rPr>
            </w:pPr>
            <w:r w:rsidRPr="00887181">
              <w:rPr>
                <w:rFonts w:ascii="Calibri" w:hAnsi="Calibri"/>
                <w:color w:val="231F20"/>
                <w:sz w:val="16"/>
                <w:szCs w:val="16"/>
              </w:rPr>
              <w:t>1.1%</w:t>
            </w:r>
          </w:p>
        </w:tc>
        <w:tc>
          <w:tcPr>
            <w:tcW w:w="0" w:type="auto"/>
            <w:tcBorders>
              <w:top w:val="nil"/>
              <w:left w:val="nil"/>
              <w:bottom w:val="single" w:sz="4" w:space="0" w:color="auto"/>
              <w:right w:val="single" w:sz="4" w:space="0" w:color="auto"/>
            </w:tcBorders>
            <w:shd w:val="clear" w:color="auto" w:fill="auto"/>
            <w:vAlign w:val="center"/>
            <w:hideMark/>
          </w:tcPr>
          <w:p w14:paraId="6FF77947" w14:textId="77777777" w:rsidR="00002D76" w:rsidRPr="00887181" w:rsidRDefault="00002D76" w:rsidP="00D63204">
            <w:pPr>
              <w:spacing w:after="0" w:line="240" w:lineRule="auto"/>
              <w:rPr>
                <w:rFonts w:ascii="Calibri" w:hAnsi="Calibri"/>
                <w:color w:val="231F20"/>
                <w:sz w:val="16"/>
                <w:szCs w:val="16"/>
              </w:rPr>
            </w:pPr>
            <w:r w:rsidRPr="00887181">
              <w:rPr>
                <w:rFonts w:ascii="Calibri" w:hAnsi="Calibri"/>
                <w:color w:val="231F20"/>
                <w:sz w:val="16"/>
                <w:szCs w:val="16"/>
              </w:rPr>
              <w:t>3.2%</w:t>
            </w:r>
          </w:p>
        </w:tc>
        <w:tc>
          <w:tcPr>
            <w:tcW w:w="0" w:type="auto"/>
            <w:tcBorders>
              <w:top w:val="nil"/>
              <w:left w:val="nil"/>
              <w:bottom w:val="single" w:sz="4" w:space="0" w:color="auto"/>
              <w:right w:val="single" w:sz="4" w:space="0" w:color="auto"/>
            </w:tcBorders>
            <w:shd w:val="clear" w:color="auto" w:fill="auto"/>
            <w:vAlign w:val="center"/>
            <w:hideMark/>
          </w:tcPr>
          <w:p w14:paraId="03F499D3" w14:textId="77777777" w:rsidR="00002D76" w:rsidRPr="00887181" w:rsidRDefault="00002D76" w:rsidP="00D63204">
            <w:pPr>
              <w:spacing w:after="0" w:line="240" w:lineRule="auto"/>
              <w:rPr>
                <w:rFonts w:ascii="Calibri" w:hAnsi="Calibri"/>
                <w:color w:val="231F20"/>
                <w:sz w:val="16"/>
                <w:szCs w:val="16"/>
              </w:rPr>
            </w:pPr>
            <w:r w:rsidRPr="00887181">
              <w:rPr>
                <w:rFonts w:ascii="Calibri" w:hAnsi="Calibri"/>
                <w:color w:val="231F20"/>
                <w:sz w:val="16"/>
                <w:szCs w:val="16"/>
              </w:rPr>
              <w:t>1.6%</w:t>
            </w:r>
          </w:p>
        </w:tc>
        <w:tc>
          <w:tcPr>
            <w:tcW w:w="0" w:type="auto"/>
            <w:tcBorders>
              <w:top w:val="nil"/>
              <w:left w:val="nil"/>
              <w:bottom w:val="single" w:sz="4" w:space="0" w:color="auto"/>
              <w:right w:val="single" w:sz="4" w:space="0" w:color="auto"/>
            </w:tcBorders>
            <w:shd w:val="clear" w:color="auto" w:fill="auto"/>
            <w:vAlign w:val="center"/>
            <w:hideMark/>
          </w:tcPr>
          <w:p w14:paraId="59BDDF09" w14:textId="77777777" w:rsidR="00002D76" w:rsidRPr="00887181" w:rsidRDefault="00002D76" w:rsidP="00D63204">
            <w:pPr>
              <w:spacing w:after="0" w:line="240" w:lineRule="auto"/>
              <w:rPr>
                <w:rFonts w:ascii="Calibri" w:hAnsi="Calibri"/>
                <w:color w:val="231F20"/>
                <w:sz w:val="16"/>
                <w:szCs w:val="16"/>
              </w:rPr>
            </w:pPr>
            <w:r w:rsidRPr="00887181">
              <w:rPr>
                <w:rFonts w:ascii="Calibri" w:hAnsi="Calibri"/>
                <w:color w:val="231F20"/>
                <w:sz w:val="16"/>
                <w:szCs w:val="16"/>
              </w:rPr>
              <w:t>2.4%</w:t>
            </w:r>
          </w:p>
        </w:tc>
        <w:tc>
          <w:tcPr>
            <w:tcW w:w="0" w:type="auto"/>
            <w:tcBorders>
              <w:top w:val="nil"/>
              <w:left w:val="nil"/>
              <w:bottom w:val="single" w:sz="4" w:space="0" w:color="auto"/>
              <w:right w:val="single" w:sz="4" w:space="0" w:color="auto"/>
            </w:tcBorders>
            <w:shd w:val="clear" w:color="auto" w:fill="auto"/>
            <w:vAlign w:val="center"/>
            <w:hideMark/>
          </w:tcPr>
          <w:p w14:paraId="64223CA0" w14:textId="77777777" w:rsidR="00002D76" w:rsidRPr="00887181" w:rsidRDefault="00002D76" w:rsidP="00D63204">
            <w:pPr>
              <w:spacing w:after="0" w:line="240" w:lineRule="auto"/>
              <w:rPr>
                <w:rFonts w:ascii="Calibri" w:hAnsi="Calibri"/>
                <w:color w:val="231F20"/>
                <w:sz w:val="16"/>
                <w:szCs w:val="16"/>
              </w:rPr>
            </w:pPr>
            <w:r w:rsidRPr="00887181">
              <w:rPr>
                <w:rFonts w:ascii="Calibri" w:hAnsi="Calibri"/>
                <w:color w:val="231F20"/>
                <w:sz w:val="16"/>
                <w:szCs w:val="16"/>
              </w:rPr>
              <w:t>1.1%</w:t>
            </w:r>
          </w:p>
        </w:tc>
        <w:tc>
          <w:tcPr>
            <w:tcW w:w="0" w:type="auto"/>
            <w:tcBorders>
              <w:top w:val="nil"/>
              <w:left w:val="nil"/>
              <w:bottom w:val="single" w:sz="4" w:space="0" w:color="auto"/>
              <w:right w:val="single" w:sz="4" w:space="0" w:color="auto"/>
            </w:tcBorders>
            <w:shd w:val="clear" w:color="auto" w:fill="auto"/>
            <w:vAlign w:val="center"/>
            <w:hideMark/>
          </w:tcPr>
          <w:p w14:paraId="107CB698" w14:textId="77777777" w:rsidR="00002D76" w:rsidRPr="00887181" w:rsidRDefault="00002D76" w:rsidP="00D63204">
            <w:pPr>
              <w:spacing w:after="0" w:line="240" w:lineRule="auto"/>
              <w:rPr>
                <w:rFonts w:ascii="Calibri" w:hAnsi="Calibri"/>
                <w:color w:val="231F20"/>
                <w:sz w:val="16"/>
                <w:szCs w:val="16"/>
              </w:rPr>
            </w:pPr>
            <w:r w:rsidRPr="00887181">
              <w:rPr>
                <w:rFonts w:ascii="Calibri" w:hAnsi="Calibri"/>
                <w:color w:val="231F20"/>
                <w:sz w:val="16"/>
                <w:szCs w:val="16"/>
              </w:rPr>
              <w:t>1.1%</w:t>
            </w:r>
          </w:p>
        </w:tc>
        <w:tc>
          <w:tcPr>
            <w:tcW w:w="0" w:type="auto"/>
            <w:tcBorders>
              <w:top w:val="nil"/>
              <w:left w:val="nil"/>
              <w:bottom w:val="single" w:sz="4" w:space="0" w:color="auto"/>
              <w:right w:val="single" w:sz="4" w:space="0" w:color="auto"/>
            </w:tcBorders>
            <w:shd w:val="clear" w:color="auto" w:fill="auto"/>
            <w:vAlign w:val="center"/>
            <w:hideMark/>
          </w:tcPr>
          <w:p w14:paraId="1B75B159" w14:textId="77777777" w:rsidR="00002D76" w:rsidRPr="00887181" w:rsidRDefault="00002D76" w:rsidP="00D63204">
            <w:pPr>
              <w:spacing w:after="0" w:line="240" w:lineRule="auto"/>
              <w:rPr>
                <w:rFonts w:ascii="Calibri" w:hAnsi="Calibri"/>
                <w:color w:val="231F20"/>
                <w:sz w:val="16"/>
                <w:szCs w:val="16"/>
              </w:rPr>
            </w:pPr>
            <w:r w:rsidRPr="00887181">
              <w:rPr>
                <w:rFonts w:ascii="Calibri" w:hAnsi="Calibri"/>
                <w:color w:val="231F20"/>
                <w:sz w:val="16"/>
                <w:szCs w:val="16"/>
              </w:rPr>
              <w:t>0.9%</w:t>
            </w:r>
          </w:p>
        </w:tc>
      </w:tr>
      <w:tr w:rsidR="00002D76" w:rsidRPr="00887181" w14:paraId="2CAA7D42" w14:textId="77777777" w:rsidTr="001429C7">
        <w:trPr>
          <w:trHeight w:hRule="exact" w:val="300"/>
        </w:trPr>
        <w:tc>
          <w:tcPr>
            <w:tcW w:w="0" w:type="auto"/>
            <w:tcBorders>
              <w:top w:val="nil"/>
              <w:left w:val="single" w:sz="4" w:space="0" w:color="auto"/>
              <w:bottom w:val="single" w:sz="4" w:space="0" w:color="auto"/>
              <w:right w:val="single" w:sz="4" w:space="0" w:color="auto"/>
            </w:tcBorders>
            <w:shd w:val="clear" w:color="000000" w:fill="E6E7E8"/>
            <w:vAlign w:val="center"/>
            <w:hideMark/>
          </w:tcPr>
          <w:p w14:paraId="5630F0A9" w14:textId="77777777" w:rsidR="00002D76" w:rsidRPr="00887181" w:rsidRDefault="00002D76" w:rsidP="00D63204">
            <w:pPr>
              <w:spacing w:after="0" w:line="240" w:lineRule="auto"/>
              <w:rPr>
                <w:rFonts w:ascii="Calibri" w:hAnsi="Calibri"/>
                <w:color w:val="231F20"/>
                <w:sz w:val="16"/>
                <w:szCs w:val="16"/>
              </w:rPr>
            </w:pPr>
            <w:r w:rsidRPr="00887181">
              <w:rPr>
                <w:rFonts w:ascii="Calibri" w:hAnsi="Calibri"/>
                <w:color w:val="231F20"/>
                <w:sz w:val="16"/>
                <w:szCs w:val="16"/>
              </w:rPr>
              <w:t>190000</w:t>
            </w:r>
          </w:p>
        </w:tc>
        <w:tc>
          <w:tcPr>
            <w:tcW w:w="0" w:type="auto"/>
            <w:tcBorders>
              <w:top w:val="nil"/>
              <w:left w:val="nil"/>
              <w:bottom w:val="single" w:sz="4" w:space="0" w:color="auto"/>
              <w:right w:val="single" w:sz="4" w:space="0" w:color="auto"/>
            </w:tcBorders>
            <w:shd w:val="clear" w:color="000000" w:fill="E6E7E8"/>
            <w:vAlign w:val="center"/>
            <w:hideMark/>
          </w:tcPr>
          <w:p w14:paraId="2E8D59CA" w14:textId="2902F9DE" w:rsidR="00002D76" w:rsidRPr="00887181" w:rsidRDefault="00002D76" w:rsidP="001429C7">
            <w:pPr>
              <w:spacing w:after="0" w:line="240" w:lineRule="auto"/>
              <w:rPr>
                <w:rFonts w:ascii="Calibri" w:hAnsi="Calibri"/>
                <w:color w:val="231F20"/>
                <w:sz w:val="16"/>
                <w:szCs w:val="16"/>
              </w:rPr>
            </w:pPr>
            <w:r w:rsidRPr="00887181">
              <w:rPr>
                <w:rFonts w:ascii="Calibri" w:hAnsi="Calibri"/>
                <w:color w:val="231F20"/>
                <w:sz w:val="16"/>
                <w:szCs w:val="16"/>
              </w:rPr>
              <w:t>Life, Physical</w:t>
            </w:r>
            <w:r w:rsidR="00D5537E">
              <w:rPr>
                <w:rFonts w:ascii="Calibri" w:hAnsi="Calibri"/>
                <w:color w:val="231F20"/>
                <w:sz w:val="16"/>
                <w:szCs w:val="16"/>
              </w:rPr>
              <w:t xml:space="preserve"> and</w:t>
            </w:r>
            <w:r w:rsidRPr="00887181">
              <w:rPr>
                <w:rFonts w:ascii="Calibri" w:hAnsi="Calibri"/>
                <w:color w:val="231F20"/>
                <w:sz w:val="16"/>
                <w:szCs w:val="16"/>
              </w:rPr>
              <w:t xml:space="preserve"> Social Science</w:t>
            </w:r>
          </w:p>
        </w:tc>
        <w:tc>
          <w:tcPr>
            <w:tcW w:w="0" w:type="auto"/>
            <w:tcBorders>
              <w:top w:val="nil"/>
              <w:left w:val="nil"/>
              <w:bottom w:val="single" w:sz="4" w:space="0" w:color="auto"/>
              <w:right w:val="single" w:sz="4" w:space="0" w:color="auto"/>
            </w:tcBorders>
            <w:shd w:val="clear" w:color="000000" w:fill="E6E7E8"/>
            <w:vAlign w:val="center"/>
            <w:hideMark/>
          </w:tcPr>
          <w:p w14:paraId="7FBA5E6A" w14:textId="77777777" w:rsidR="00002D76" w:rsidRPr="00887181" w:rsidRDefault="00002D76" w:rsidP="00D63204">
            <w:pPr>
              <w:spacing w:after="0" w:line="240" w:lineRule="auto"/>
              <w:rPr>
                <w:rFonts w:ascii="Calibri" w:hAnsi="Calibri"/>
                <w:color w:val="231F20"/>
                <w:sz w:val="16"/>
                <w:szCs w:val="16"/>
              </w:rPr>
            </w:pPr>
            <w:r w:rsidRPr="00887181">
              <w:rPr>
                <w:rFonts w:ascii="Calibri" w:hAnsi="Calibri"/>
                <w:color w:val="231F20"/>
                <w:sz w:val="16"/>
                <w:szCs w:val="16"/>
              </w:rPr>
              <w:t>0.5%</w:t>
            </w:r>
          </w:p>
        </w:tc>
        <w:tc>
          <w:tcPr>
            <w:tcW w:w="0" w:type="auto"/>
            <w:tcBorders>
              <w:top w:val="nil"/>
              <w:left w:val="nil"/>
              <w:bottom w:val="single" w:sz="4" w:space="0" w:color="auto"/>
              <w:right w:val="single" w:sz="4" w:space="0" w:color="auto"/>
            </w:tcBorders>
            <w:shd w:val="clear" w:color="000000" w:fill="E6E7E8"/>
            <w:vAlign w:val="center"/>
            <w:hideMark/>
          </w:tcPr>
          <w:p w14:paraId="2BC50604" w14:textId="77777777" w:rsidR="00002D76" w:rsidRPr="00887181" w:rsidRDefault="00002D76" w:rsidP="00D63204">
            <w:pPr>
              <w:spacing w:after="0" w:line="240" w:lineRule="auto"/>
              <w:rPr>
                <w:rFonts w:ascii="Calibri" w:hAnsi="Calibri"/>
                <w:color w:val="231F20"/>
                <w:sz w:val="16"/>
                <w:szCs w:val="16"/>
              </w:rPr>
            </w:pPr>
            <w:r w:rsidRPr="00887181">
              <w:rPr>
                <w:rFonts w:ascii="Calibri" w:hAnsi="Calibri"/>
                <w:color w:val="231F20"/>
                <w:sz w:val="16"/>
                <w:szCs w:val="16"/>
              </w:rPr>
              <w:t>0.5%</w:t>
            </w:r>
          </w:p>
        </w:tc>
        <w:tc>
          <w:tcPr>
            <w:tcW w:w="0" w:type="auto"/>
            <w:tcBorders>
              <w:top w:val="nil"/>
              <w:left w:val="nil"/>
              <w:bottom w:val="single" w:sz="4" w:space="0" w:color="auto"/>
              <w:right w:val="single" w:sz="4" w:space="0" w:color="auto"/>
            </w:tcBorders>
            <w:shd w:val="clear" w:color="000000" w:fill="E6E7E8"/>
            <w:vAlign w:val="center"/>
            <w:hideMark/>
          </w:tcPr>
          <w:p w14:paraId="40848485" w14:textId="77777777" w:rsidR="00002D76" w:rsidRPr="00887181" w:rsidRDefault="00002D76" w:rsidP="00D63204">
            <w:pPr>
              <w:spacing w:after="0" w:line="240" w:lineRule="auto"/>
              <w:rPr>
                <w:rFonts w:ascii="Calibri" w:hAnsi="Calibri"/>
                <w:color w:val="231F20"/>
                <w:sz w:val="16"/>
                <w:szCs w:val="16"/>
              </w:rPr>
            </w:pPr>
            <w:r w:rsidRPr="00887181">
              <w:rPr>
                <w:rFonts w:ascii="Calibri" w:hAnsi="Calibri"/>
                <w:color w:val="231F20"/>
                <w:sz w:val="16"/>
                <w:szCs w:val="16"/>
              </w:rPr>
              <w:t>0.4%</w:t>
            </w:r>
          </w:p>
        </w:tc>
        <w:tc>
          <w:tcPr>
            <w:tcW w:w="0" w:type="auto"/>
            <w:tcBorders>
              <w:top w:val="nil"/>
              <w:left w:val="nil"/>
              <w:bottom w:val="single" w:sz="4" w:space="0" w:color="auto"/>
              <w:right w:val="single" w:sz="4" w:space="0" w:color="auto"/>
            </w:tcBorders>
            <w:shd w:val="clear" w:color="000000" w:fill="E6E7E8"/>
            <w:vAlign w:val="center"/>
            <w:hideMark/>
          </w:tcPr>
          <w:p w14:paraId="36DCBD94" w14:textId="77777777" w:rsidR="00002D76" w:rsidRPr="00887181" w:rsidRDefault="00002D76" w:rsidP="00D63204">
            <w:pPr>
              <w:spacing w:after="0" w:line="240" w:lineRule="auto"/>
              <w:rPr>
                <w:rFonts w:ascii="Calibri" w:hAnsi="Calibri"/>
                <w:color w:val="231F20"/>
                <w:sz w:val="16"/>
                <w:szCs w:val="16"/>
              </w:rPr>
            </w:pPr>
            <w:r w:rsidRPr="00887181">
              <w:rPr>
                <w:rFonts w:ascii="Calibri" w:hAnsi="Calibri"/>
                <w:color w:val="231F20"/>
                <w:sz w:val="16"/>
                <w:szCs w:val="16"/>
              </w:rPr>
              <w:t>0.5%</w:t>
            </w:r>
          </w:p>
        </w:tc>
        <w:tc>
          <w:tcPr>
            <w:tcW w:w="0" w:type="auto"/>
            <w:tcBorders>
              <w:top w:val="nil"/>
              <w:left w:val="nil"/>
              <w:bottom w:val="single" w:sz="4" w:space="0" w:color="auto"/>
              <w:right w:val="single" w:sz="4" w:space="0" w:color="auto"/>
            </w:tcBorders>
            <w:shd w:val="clear" w:color="000000" w:fill="E6E7E8"/>
            <w:vAlign w:val="center"/>
            <w:hideMark/>
          </w:tcPr>
          <w:p w14:paraId="4D61B9BF" w14:textId="77777777" w:rsidR="00002D76" w:rsidRPr="00887181" w:rsidRDefault="00002D76" w:rsidP="00D63204">
            <w:pPr>
              <w:spacing w:after="0" w:line="240" w:lineRule="auto"/>
              <w:rPr>
                <w:rFonts w:ascii="Calibri" w:hAnsi="Calibri"/>
                <w:color w:val="231F20"/>
                <w:sz w:val="16"/>
                <w:szCs w:val="16"/>
              </w:rPr>
            </w:pPr>
            <w:r w:rsidRPr="00887181">
              <w:rPr>
                <w:rFonts w:ascii="Calibri" w:hAnsi="Calibri"/>
                <w:color w:val="231F20"/>
                <w:sz w:val="16"/>
                <w:szCs w:val="16"/>
              </w:rPr>
              <w:t>0.7%</w:t>
            </w:r>
          </w:p>
        </w:tc>
        <w:tc>
          <w:tcPr>
            <w:tcW w:w="0" w:type="auto"/>
            <w:tcBorders>
              <w:top w:val="nil"/>
              <w:left w:val="nil"/>
              <w:bottom w:val="single" w:sz="4" w:space="0" w:color="auto"/>
              <w:right w:val="single" w:sz="4" w:space="0" w:color="auto"/>
            </w:tcBorders>
            <w:shd w:val="clear" w:color="000000" w:fill="E6E7E8"/>
            <w:vAlign w:val="center"/>
            <w:hideMark/>
          </w:tcPr>
          <w:p w14:paraId="391FAC34" w14:textId="77777777" w:rsidR="00002D76" w:rsidRPr="00887181" w:rsidRDefault="00002D76" w:rsidP="00D63204">
            <w:pPr>
              <w:spacing w:after="0" w:line="240" w:lineRule="auto"/>
              <w:rPr>
                <w:rFonts w:ascii="Calibri" w:hAnsi="Calibri"/>
                <w:color w:val="231F20"/>
                <w:sz w:val="16"/>
                <w:szCs w:val="16"/>
              </w:rPr>
            </w:pPr>
            <w:r w:rsidRPr="00887181">
              <w:rPr>
                <w:rFonts w:ascii="Calibri" w:hAnsi="Calibri"/>
                <w:color w:val="231F20"/>
                <w:sz w:val="16"/>
                <w:szCs w:val="16"/>
              </w:rPr>
              <w:t>1.3%</w:t>
            </w:r>
          </w:p>
        </w:tc>
        <w:tc>
          <w:tcPr>
            <w:tcW w:w="0" w:type="auto"/>
            <w:tcBorders>
              <w:top w:val="nil"/>
              <w:left w:val="nil"/>
              <w:bottom w:val="single" w:sz="4" w:space="0" w:color="auto"/>
              <w:right w:val="single" w:sz="4" w:space="0" w:color="auto"/>
            </w:tcBorders>
            <w:shd w:val="clear" w:color="000000" w:fill="E6E7E8"/>
            <w:vAlign w:val="center"/>
            <w:hideMark/>
          </w:tcPr>
          <w:p w14:paraId="0F1E1C3D" w14:textId="77777777" w:rsidR="00002D76" w:rsidRPr="00887181" w:rsidRDefault="00002D76" w:rsidP="00D63204">
            <w:pPr>
              <w:spacing w:after="0" w:line="240" w:lineRule="auto"/>
              <w:rPr>
                <w:rFonts w:ascii="Calibri" w:hAnsi="Calibri"/>
                <w:color w:val="231F20"/>
                <w:sz w:val="16"/>
                <w:szCs w:val="16"/>
              </w:rPr>
            </w:pPr>
            <w:r w:rsidRPr="00887181">
              <w:rPr>
                <w:rFonts w:ascii="Calibri" w:hAnsi="Calibri"/>
                <w:color w:val="231F20"/>
                <w:sz w:val="16"/>
                <w:szCs w:val="16"/>
              </w:rPr>
              <w:t>0.4%</w:t>
            </w:r>
          </w:p>
        </w:tc>
        <w:tc>
          <w:tcPr>
            <w:tcW w:w="0" w:type="auto"/>
            <w:tcBorders>
              <w:top w:val="nil"/>
              <w:left w:val="nil"/>
              <w:bottom w:val="single" w:sz="4" w:space="0" w:color="auto"/>
              <w:right w:val="single" w:sz="4" w:space="0" w:color="auto"/>
            </w:tcBorders>
            <w:shd w:val="clear" w:color="000000" w:fill="E6E7E8"/>
            <w:vAlign w:val="center"/>
            <w:hideMark/>
          </w:tcPr>
          <w:p w14:paraId="112DFF5E" w14:textId="77777777" w:rsidR="00002D76" w:rsidRPr="00887181" w:rsidRDefault="00002D76" w:rsidP="00D63204">
            <w:pPr>
              <w:spacing w:after="0" w:line="240" w:lineRule="auto"/>
              <w:rPr>
                <w:rFonts w:ascii="Calibri" w:hAnsi="Calibri"/>
                <w:color w:val="231F20"/>
                <w:sz w:val="16"/>
                <w:szCs w:val="16"/>
              </w:rPr>
            </w:pPr>
            <w:r w:rsidRPr="00887181">
              <w:rPr>
                <w:rFonts w:ascii="Calibri" w:hAnsi="Calibri"/>
                <w:color w:val="231F20"/>
                <w:sz w:val="16"/>
                <w:szCs w:val="16"/>
              </w:rPr>
              <w:t>0.4%</w:t>
            </w:r>
          </w:p>
        </w:tc>
      </w:tr>
      <w:tr w:rsidR="00002D76" w:rsidRPr="00887181" w14:paraId="42C66AE9" w14:textId="77777777" w:rsidTr="001429C7">
        <w:trPr>
          <w:trHeight w:hRule="exac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3942B17" w14:textId="77777777" w:rsidR="00002D76" w:rsidRPr="00887181" w:rsidRDefault="00002D76" w:rsidP="00D63204">
            <w:pPr>
              <w:spacing w:after="0" w:line="240" w:lineRule="auto"/>
              <w:rPr>
                <w:rFonts w:ascii="Calibri" w:hAnsi="Calibri"/>
                <w:color w:val="231F20"/>
                <w:sz w:val="16"/>
                <w:szCs w:val="16"/>
              </w:rPr>
            </w:pPr>
            <w:r w:rsidRPr="00887181">
              <w:rPr>
                <w:rFonts w:ascii="Calibri" w:hAnsi="Calibri"/>
                <w:color w:val="231F20"/>
                <w:sz w:val="16"/>
                <w:szCs w:val="16"/>
              </w:rPr>
              <w:t>210000</w:t>
            </w:r>
          </w:p>
        </w:tc>
        <w:tc>
          <w:tcPr>
            <w:tcW w:w="0" w:type="auto"/>
            <w:tcBorders>
              <w:top w:val="nil"/>
              <w:left w:val="nil"/>
              <w:bottom w:val="single" w:sz="4" w:space="0" w:color="auto"/>
              <w:right w:val="single" w:sz="4" w:space="0" w:color="auto"/>
            </w:tcBorders>
            <w:shd w:val="clear" w:color="auto" w:fill="auto"/>
            <w:vAlign w:val="center"/>
            <w:hideMark/>
          </w:tcPr>
          <w:p w14:paraId="0645CA3B" w14:textId="77777777" w:rsidR="00002D76" w:rsidRPr="00887181" w:rsidRDefault="00002D76" w:rsidP="001429C7">
            <w:pPr>
              <w:spacing w:after="0" w:line="240" w:lineRule="auto"/>
              <w:rPr>
                <w:rFonts w:ascii="Calibri" w:hAnsi="Calibri"/>
                <w:color w:val="231F20"/>
                <w:sz w:val="16"/>
                <w:szCs w:val="16"/>
              </w:rPr>
            </w:pPr>
            <w:r w:rsidRPr="00887181">
              <w:rPr>
                <w:rFonts w:ascii="Calibri" w:hAnsi="Calibri"/>
                <w:color w:val="231F20"/>
                <w:sz w:val="16"/>
                <w:szCs w:val="16"/>
              </w:rPr>
              <w:t>Community and Social Service</w:t>
            </w:r>
          </w:p>
        </w:tc>
        <w:tc>
          <w:tcPr>
            <w:tcW w:w="0" w:type="auto"/>
            <w:tcBorders>
              <w:top w:val="nil"/>
              <w:left w:val="nil"/>
              <w:bottom w:val="single" w:sz="4" w:space="0" w:color="auto"/>
              <w:right w:val="single" w:sz="4" w:space="0" w:color="auto"/>
            </w:tcBorders>
            <w:shd w:val="clear" w:color="auto" w:fill="auto"/>
            <w:vAlign w:val="center"/>
            <w:hideMark/>
          </w:tcPr>
          <w:p w14:paraId="3E6BE7BD" w14:textId="77777777" w:rsidR="00002D76" w:rsidRPr="00887181" w:rsidRDefault="00002D76" w:rsidP="00D63204">
            <w:pPr>
              <w:spacing w:after="0" w:line="240" w:lineRule="auto"/>
              <w:rPr>
                <w:rFonts w:ascii="Calibri" w:hAnsi="Calibri"/>
                <w:color w:val="231F20"/>
                <w:sz w:val="16"/>
                <w:szCs w:val="16"/>
              </w:rPr>
            </w:pPr>
            <w:r w:rsidRPr="00887181">
              <w:rPr>
                <w:rFonts w:ascii="Calibri" w:hAnsi="Calibri"/>
                <w:color w:val="231F20"/>
                <w:sz w:val="16"/>
                <w:szCs w:val="16"/>
              </w:rPr>
              <w:t>1.2%</w:t>
            </w:r>
          </w:p>
        </w:tc>
        <w:tc>
          <w:tcPr>
            <w:tcW w:w="0" w:type="auto"/>
            <w:tcBorders>
              <w:top w:val="nil"/>
              <w:left w:val="nil"/>
              <w:bottom w:val="single" w:sz="4" w:space="0" w:color="auto"/>
              <w:right w:val="single" w:sz="4" w:space="0" w:color="auto"/>
            </w:tcBorders>
            <w:shd w:val="clear" w:color="auto" w:fill="auto"/>
            <w:vAlign w:val="center"/>
            <w:hideMark/>
          </w:tcPr>
          <w:p w14:paraId="4CA6213D" w14:textId="77777777" w:rsidR="00002D76" w:rsidRPr="00887181" w:rsidRDefault="00002D76" w:rsidP="00D63204">
            <w:pPr>
              <w:spacing w:after="0" w:line="240" w:lineRule="auto"/>
              <w:rPr>
                <w:rFonts w:ascii="Calibri" w:hAnsi="Calibri"/>
                <w:color w:val="231F20"/>
                <w:sz w:val="16"/>
                <w:szCs w:val="16"/>
              </w:rPr>
            </w:pPr>
            <w:r w:rsidRPr="00887181">
              <w:rPr>
                <w:rFonts w:ascii="Calibri" w:hAnsi="Calibri"/>
                <w:color w:val="231F20"/>
                <w:sz w:val="16"/>
                <w:szCs w:val="16"/>
              </w:rPr>
              <w:t>1.5%</w:t>
            </w:r>
          </w:p>
        </w:tc>
        <w:tc>
          <w:tcPr>
            <w:tcW w:w="0" w:type="auto"/>
            <w:tcBorders>
              <w:top w:val="nil"/>
              <w:left w:val="nil"/>
              <w:bottom w:val="single" w:sz="4" w:space="0" w:color="auto"/>
              <w:right w:val="single" w:sz="4" w:space="0" w:color="auto"/>
            </w:tcBorders>
            <w:shd w:val="clear" w:color="auto" w:fill="auto"/>
            <w:vAlign w:val="center"/>
            <w:hideMark/>
          </w:tcPr>
          <w:p w14:paraId="1C560A5D" w14:textId="77777777" w:rsidR="00002D76" w:rsidRPr="00887181" w:rsidRDefault="00002D76" w:rsidP="00D63204">
            <w:pPr>
              <w:spacing w:after="0" w:line="240" w:lineRule="auto"/>
              <w:rPr>
                <w:rFonts w:ascii="Calibri" w:hAnsi="Calibri"/>
                <w:color w:val="231F20"/>
                <w:sz w:val="16"/>
                <w:szCs w:val="16"/>
              </w:rPr>
            </w:pPr>
            <w:r w:rsidRPr="00887181">
              <w:rPr>
                <w:rFonts w:ascii="Calibri" w:hAnsi="Calibri"/>
                <w:color w:val="231F20"/>
                <w:sz w:val="16"/>
                <w:szCs w:val="16"/>
              </w:rPr>
              <w:t>1.2%</w:t>
            </w:r>
          </w:p>
        </w:tc>
        <w:tc>
          <w:tcPr>
            <w:tcW w:w="0" w:type="auto"/>
            <w:tcBorders>
              <w:top w:val="nil"/>
              <w:left w:val="nil"/>
              <w:bottom w:val="single" w:sz="4" w:space="0" w:color="auto"/>
              <w:right w:val="single" w:sz="4" w:space="0" w:color="auto"/>
            </w:tcBorders>
            <w:shd w:val="clear" w:color="auto" w:fill="auto"/>
            <w:vAlign w:val="center"/>
            <w:hideMark/>
          </w:tcPr>
          <w:p w14:paraId="2BD84629" w14:textId="77777777" w:rsidR="00002D76" w:rsidRPr="00887181" w:rsidRDefault="00002D76" w:rsidP="00D63204">
            <w:pPr>
              <w:spacing w:after="0" w:line="240" w:lineRule="auto"/>
              <w:rPr>
                <w:rFonts w:ascii="Calibri" w:hAnsi="Calibri"/>
                <w:color w:val="231F20"/>
                <w:sz w:val="16"/>
                <w:szCs w:val="16"/>
              </w:rPr>
            </w:pPr>
            <w:r w:rsidRPr="00887181">
              <w:rPr>
                <w:rFonts w:ascii="Calibri" w:hAnsi="Calibri"/>
                <w:color w:val="231F20"/>
                <w:sz w:val="16"/>
                <w:szCs w:val="16"/>
              </w:rPr>
              <w:t>3.2%</w:t>
            </w:r>
          </w:p>
        </w:tc>
        <w:tc>
          <w:tcPr>
            <w:tcW w:w="0" w:type="auto"/>
            <w:tcBorders>
              <w:top w:val="nil"/>
              <w:left w:val="nil"/>
              <w:bottom w:val="single" w:sz="4" w:space="0" w:color="auto"/>
              <w:right w:val="single" w:sz="4" w:space="0" w:color="auto"/>
            </w:tcBorders>
            <w:shd w:val="clear" w:color="auto" w:fill="auto"/>
            <w:vAlign w:val="center"/>
            <w:hideMark/>
          </w:tcPr>
          <w:p w14:paraId="23086B76" w14:textId="77777777" w:rsidR="00002D76" w:rsidRPr="00887181" w:rsidRDefault="00002D76" w:rsidP="00D63204">
            <w:pPr>
              <w:spacing w:after="0" w:line="240" w:lineRule="auto"/>
              <w:rPr>
                <w:rFonts w:ascii="Calibri" w:hAnsi="Calibri"/>
                <w:color w:val="231F20"/>
                <w:sz w:val="16"/>
                <w:szCs w:val="16"/>
              </w:rPr>
            </w:pPr>
            <w:r w:rsidRPr="00887181">
              <w:rPr>
                <w:rFonts w:ascii="Calibri" w:hAnsi="Calibri"/>
                <w:color w:val="231F20"/>
                <w:sz w:val="16"/>
                <w:szCs w:val="16"/>
              </w:rPr>
              <w:t>1.4%</w:t>
            </w:r>
          </w:p>
        </w:tc>
        <w:tc>
          <w:tcPr>
            <w:tcW w:w="0" w:type="auto"/>
            <w:tcBorders>
              <w:top w:val="nil"/>
              <w:left w:val="nil"/>
              <w:bottom w:val="single" w:sz="4" w:space="0" w:color="auto"/>
              <w:right w:val="single" w:sz="4" w:space="0" w:color="auto"/>
            </w:tcBorders>
            <w:shd w:val="clear" w:color="auto" w:fill="auto"/>
            <w:vAlign w:val="center"/>
            <w:hideMark/>
          </w:tcPr>
          <w:p w14:paraId="150F5C2C" w14:textId="77777777" w:rsidR="00002D76" w:rsidRPr="00887181" w:rsidRDefault="00002D76" w:rsidP="00D63204">
            <w:pPr>
              <w:spacing w:after="0" w:line="240" w:lineRule="auto"/>
              <w:rPr>
                <w:rFonts w:ascii="Calibri" w:hAnsi="Calibri"/>
                <w:color w:val="231F20"/>
                <w:sz w:val="16"/>
                <w:szCs w:val="16"/>
              </w:rPr>
            </w:pPr>
            <w:r w:rsidRPr="00887181">
              <w:rPr>
                <w:rFonts w:ascii="Calibri" w:hAnsi="Calibri"/>
                <w:color w:val="231F20"/>
                <w:sz w:val="16"/>
                <w:szCs w:val="16"/>
              </w:rPr>
              <w:t>1.6%</w:t>
            </w:r>
          </w:p>
        </w:tc>
        <w:tc>
          <w:tcPr>
            <w:tcW w:w="0" w:type="auto"/>
            <w:tcBorders>
              <w:top w:val="nil"/>
              <w:left w:val="nil"/>
              <w:bottom w:val="single" w:sz="4" w:space="0" w:color="auto"/>
              <w:right w:val="single" w:sz="4" w:space="0" w:color="auto"/>
            </w:tcBorders>
            <w:shd w:val="clear" w:color="auto" w:fill="auto"/>
            <w:vAlign w:val="center"/>
            <w:hideMark/>
          </w:tcPr>
          <w:p w14:paraId="094FB058" w14:textId="77777777" w:rsidR="00002D76" w:rsidRPr="00887181" w:rsidRDefault="00002D76" w:rsidP="00D63204">
            <w:pPr>
              <w:spacing w:after="0" w:line="240" w:lineRule="auto"/>
              <w:rPr>
                <w:rFonts w:ascii="Calibri" w:hAnsi="Calibri"/>
                <w:color w:val="231F20"/>
                <w:sz w:val="16"/>
                <w:szCs w:val="16"/>
              </w:rPr>
            </w:pPr>
            <w:r w:rsidRPr="00887181">
              <w:rPr>
                <w:rFonts w:ascii="Calibri" w:hAnsi="Calibri"/>
                <w:color w:val="231F20"/>
                <w:sz w:val="16"/>
                <w:szCs w:val="16"/>
              </w:rPr>
              <w:t>1.5%</w:t>
            </w:r>
          </w:p>
        </w:tc>
        <w:tc>
          <w:tcPr>
            <w:tcW w:w="0" w:type="auto"/>
            <w:tcBorders>
              <w:top w:val="nil"/>
              <w:left w:val="nil"/>
              <w:bottom w:val="single" w:sz="4" w:space="0" w:color="auto"/>
              <w:right w:val="single" w:sz="4" w:space="0" w:color="auto"/>
            </w:tcBorders>
            <w:shd w:val="clear" w:color="auto" w:fill="auto"/>
            <w:vAlign w:val="center"/>
            <w:hideMark/>
          </w:tcPr>
          <w:p w14:paraId="512CE7D3" w14:textId="77777777" w:rsidR="00002D76" w:rsidRPr="00887181" w:rsidRDefault="00002D76" w:rsidP="00D63204">
            <w:pPr>
              <w:spacing w:after="0" w:line="240" w:lineRule="auto"/>
              <w:rPr>
                <w:rFonts w:ascii="Calibri" w:hAnsi="Calibri"/>
                <w:color w:val="231F20"/>
                <w:sz w:val="16"/>
                <w:szCs w:val="16"/>
              </w:rPr>
            </w:pPr>
            <w:r w:rsidRPr="00887181">
              <w:rPr>
                <w:rFonts w:ascii="Calibri" w:hAnsi="Calibri"/>
                <w:color w:val="231F20"/>
                <w:sz w:val="16"/>
                <w:szCs w:val="16"/>
              </w:rPr>
              <w:t>1.7%</w:t>
            </w:r>
          </w:p>
        </w:tc>
      </w:tr>
      <w:tr w:rsidR="00002D76" w:rsidRPr="00887181" w14:paraId="46561D15" w14:textId="77777777" w:rsidTr="001429C7">
        <w:trPr>
          <w:trHeight w:hRule="exact" w:val="300"/>
        </w:trPr>
        <w:tc>
          <w:tcPr>
            <w:tcW w:w="0" w:type="auto"/>
            <w:tcBorders>
              <w:top w:val="nil"/>
              <w:left w:val="single" w:sz="4" w:space="0" w:color="auto"/>
              <w:bottom w:val="single" w:sz="4" w:space="0" w:color="auto"/>
              <w:right w:val="single" w:sz="4" w:space="0" w:color="auto"/>
            </w:tcBorders>
            <w:shd w:val="clear" w:color="000000" w:fill="E6E7E8"/>
            <w:vAlign w:val="center"/>
            <w:hideMark/>
          </w:tcPr>
          <w:p w14:paraId="51003DA4" w14:textId="77777777" w:rsidR="00002D76" w:rsidRPr="00887181" w:rsidRDefault="00002D76" w:rsidP="00D63204">
            <w:pPr>
              <w:spacing w:after="0" w:line="240" w:lineRule="auto"/>
              <w:rPr>
                <w:rFonts w:ascii="Calibri" w:hAnsi="Calibri"/>
                <w:color w:val="231F20"/>
                <w:sz w:val="16"/>
                <w:szCs w:val="16"/>
              </w:rPr>
            </w:pPr>
            <w:r w:rsidRPr="00887181">
              <w:rPr>
                <w:rFonts w:ascii="Calibri" w:hAnsi="Calibri"/>
                <w:color w:val="231F20"/>
                <w:sz w:val="16"/>
                <w:szCs w:val="16"/>
              </w:rPr>
              <w:t>230000</w:t>
            </w:r>
          </w:p>
        </w:tc>
        <w:tc>
          <w:tcPr>
            <w:tcW w:w="0" w:type="auto"/>
            <w:tcBorders>
              <w:top w:val="nil"/>
              <w:left w:val="nil"/>
              <w:bottom w:val="single" w:sz="4" w:space="0" w:color="auto"/>
              <w:right w:val="single" w:sz="4" w:space="0" w:color="auto"/>
            </w:tcBorders>
            <w:shd w:val="clear" w:color="000000" w:fill="E6E7E8"/>
            <w:vAlign w:val="center"/>
            <w:hideMark/>
          </w:tcPr>
          <w:p w14:paraId="1149A3FB" w14:textId="77777777" w:rsidR="00002D76" w:rsidRPr="00887181" w:rsidRDefault="00002D76" w:rsidP="001429C7">
            <w:pPr>
              <w:spacing w:after="0" w:line="240" w:lineRule="auto"/>
              <w:rPr>
                <w:rFonts w:ascii="Calibri" w:hAnsi="Calibri"/>
                <w:color w:val="231F20"/>
                <w:sz w:val="16"/>
                <w:szCs w:val="16"/>
              </w:rPr>
            </w:pPr>
            <w:r w:rsidRPr="00887181">
              <w:rPr>
                <w:rFonts w:ascii="Calibri" w:hAnsi="Calibri"/>
                <w:color w:val="231F20"/>
                <w:sz w:val="16"/>
                <w:szCs w:val="16"/>
              </w:rPr>
              <w:t>Legal</w:t>
            </w:r>
          </w:p>
        </w:tc>
        <w:tc>
          <w:tcPr>
            <w:tcW w:w="0" w:type="auto"/>
            <w:tcBorders>
              <w:top w:val="nil"/>
              <w:left w:val="nil"/>
              <w:bottom w:val="single" w:sz="4" w:space="0" w:color="auto"/>
              <w:right w:val="single" w:sz="4" w:space="0" w:color="auto"/>
            </w:tcBorders>
            <w:shd w:val="clear" w:color="000000" w:fill="E6E7E8"/>
            <w:vAlign w:val="center"/>
            <w:hideMark/>
          </w:tcPr>
          <w:p w14:paraId="5124A122" w14:textId="77777777" w:rsidR="00002D76" w:rsidRPr="00887181" w:rsidRDefault="00002D76" w:rsidP="00D63204">
            <w:pPr>
              <w:spacing w:after="0" w:line="240" w:lineRule="auto"/>
              <w:rPr>
                <w:rFonts w:ascii="Calibri" w:hAnsi="Calibri"/>
                <w:color w:val="231F20"/>
                <w:sz w:val="16"/>
                <w:szCs w:val="16"/>
              </w:rPr>
            </w:pPr>
            <w:r w:rsidRPr="00887181">
              <w:rPr>
                <w:rFonts w:ascii="Calibri" w:hAnsi="Calibri"/>
                <w:color w:val="231F20"/>
                <w:sz w:val="16"/>
                <w:szCs w:val="16"/>
              </w:rPr>
              <w:t>1.1%</w:t>
            </w:r>
          </w:p>
        </w:tc>
        <w:tc>
          <w:tcPr>
            <w:tcW w:w="0" w:type="auto"/>
            <w:tcBorders>
              <w:top w:val="nil"/>
              <w:left w:val="nil"/>
              <w:bottom w:val="single" w:sz="4" w:space="0" w:color="auto"/>
              <w:right w:val="single" w:sz="4" w:space="0" w:color="auto"/>
            </w:tcBorders>
            <w:shd w:val="clear" w:color="000000" w:fill="E6E7E8"/>
            <w:vAlign w:val="center"/>
            <w:hideMark/>
          </w:tcPr>
          <w:p w14:paraId="05468419" w14:textId="77777777" w:rsidR="00002D76" w:rsidRPr="00887181" w:rsidRDefault="00002D76" w:rsidP="00D63204">
            <w:pPr>
              <w:spacing w:after="0" w:line="240" w:lineRule="auto"/>
              <w:rPr>
                <w:rFonts w:ascii="Calibri" w:hAnsi="Calibri"/>
                <w:color w:val="231F20"/>
                <w:sz w:val="16"/>
                <w:szCs w:val="16"/>
              </w:rPr>
            </w:pPr>
            <w:r w:rsidRPr="00887181">
              <w:rPr>
                <w:rFonts w:ascii="Calibri" w:hAnsi="Calibri"/>
                <w:color w:val="231F20"/>
                <w:sz w:val="16"/>
                <w:szCs w:val="16"/>
              </w:rPr>
              <w:t>1.0%</w:t>
            </w:r>
          </w:p>
        </w:tc>
        <w:tc>
          <w:tcPr>
            <w:tcW w:w="0" w:type="auto"/>
            <w:tcBorders>
              <w:top w:val="nil"/>
              <w:left w:val="nil"/>
              <w:bottom w:val="single" w:sz="4" w:space="0" w:color="auto"/>
              <w:right w:val="single" w:sz="4" w:space="0" w:color="auto"/>
            </w:tcBorders>
            <w:shd w:val="clear" w:color="000000" w:fill="E6E7E8"/>
            <w:vAlign w:val="center"/>
            <w:hideMark/>
          </w:tcPr>
          <w:p w14:paraId="7D467863" w14:textId="77777777" w:rsidR="00002D76" w:rsidRPr="00887181" w:rsidRDefault="00002D76" w:rsidP="00D63204">
            <w:pPr>
              <w:spacing w:after="0" w:line="240" w:lineRule="auto"/>
              <w:rPr>
                <w:rFonts w:ascii="Calibri" w:hAnsi="Calibri"/>
                <w:color w:val="231F20"/>
                <w:sz w:val="16"/>
                <w:szCs w:val="16"/>
              </w:rPr>
            </w:pPr>
            <w:r w:rsidRPr="00887181">
              <w:rPr>
                <w:rFonts w:ascii="Calibri" w:hAnsi="Calibri"/>
                <w:color w:val="231F20"/>
                <w:sz w:val="16"/>
                <w:szCs w:val="16"/>
              </w:rPr>
              <w:t>0.5%</w:t>
            </w:r>
          </w:p>
        </w:tc>
        <w:tc>
          <w:tcPr>
            <w:tcW w:w="0" w:type="auto"/>
            <w:tcBorders>
              <w:top w:val="nil"/>
              <w:left w:val="nil"/>
              <w:bottom w:val="single" w:sz="4" w:space="0" w:color="auto"/>
              <w:right w:val="single" w:sz="4" w:space="0" w:color="auto"/>
            </w:tcBorders>
            <w:shd w:val="clear" w:color="000000" w:fill="E6E7E8"/>
            <w:vAlign w:val="center"/>
            <w:hideMark/>
          </w:tcPr>
          <w:p w14:paraId="13856ED8" w14:textId="77777777" w:rsidR="00002D76" w:rsidRPr="00887181" w:rsidRDefault="00002D76" w:rsidP="00D63204">
            <w:pPr>
              <w:spacing w:after="0" w:line="240" w:lineRule="auto"/>
              <w:rPr>
                <w:rFonts w:ascii="Calibri" w:hAnsi="Calibri"/>
                <w:color w:val="231F20"/>
                <w:sz w:val="16"/>
                <w:szCs w:val="16"/>
              </w:rPr>
            </w:pPr>
            <w:r w:rsidRPr="00887181">
              <w:rPr>
                <w:rFonts w:ascii="Calibri" w:hAnsi="Calibri"/>
                <w:color w:val="231F20"/>
                <w:sz w:val="16"/>
                <w:szCs w:val="16"/>
              </w:rPr>
              <w:t>0.4%</w:t>
            </w:r>
          </w:p>
        </w:tc>
        <w:tc>
          <w:tcPr>
            <w:tcW w:w="0" w:type="auto"/>
            <w:tcBorders>
              <w:top w:val="nil"/>
              <w:left w:val="nil"/>
              <w:bottom w:val="single" w:sz="4" w:space="0" w:color="auto"/>
              <w:right w:val="single" w:sz="4" w:space="0" w:color="auto"/>
            </w:tcBorders>
            <w:shd w:val="clear" w:color="000000" w:fill="E6E7E8"/>
            <w:vAlign w:val="center"/>
            <w:hideMark/>
          </w:tcPr>
          <w:p w14:paraId="00FA1822" w14:textId="77777777" w:rsidR="00002D76" w:rsidRPr="00887181" w:rsidRDefault="00002D76" w:rsidP="00D63204">
            <w:pPr>
              <w:spacing w:after="0" w:line="240" w:lineRule="auto"/>
              <w:rPr>
                <w:rFonts w:ascii="Calibri" w:hAnsi="Calibri"/>
                <w:color w:val="231F20"/>
                <w:sz w:val="16"/>
                <w:szCs w:val="16"/>
              </w:rPr>
            </w:pPr>
            <w:r w:rsidRPr="00887181">
              <w:rPr>
                <w:rFonts w:ascii="Calibri" w:hAnsi="Calibri"/>
                <w:color w:val="231F20"/>
                <w:sz w:val="16"/>
                <w:szCs w:val="16"/>
              </w:rPr>
              <w:t>0.5%</w:t>
            </w:r>
          </w:p>
        </w:tc>
        <w:tc>
          <w:tcPr>
            <w:tcW w:w="0" w:type="auto"/>
            <w:tcBorders>
              <w:top w:val="nil"/>
              <w:left w:val="nil"/>
              <w:bottom w:val="single" w:sz="4" w:space="0" w:color="auto"/>
              <w:right w:val="single" w:sz="4" w:space="0" w:color="auto"/>
            </w:tcBorders>
            <w:shd w:val="clear" w:color="000000" w:fill="E6E7E8"/>
            <w:vAlign w:val="center"/>
            <w:hideMark/>
          </w:tcPr>
          <w:p w14:paraId="157C84A8" w14:textId="77777777" w:rsidR="00002D76" w:rsidRPr="00887181" w:rsidRDefault="00002D76" w:rsidP="00D63204">
            <w:pPr>
              <w:spacing w:after="0" w:line="240" w:lineRule="auto"/>
              <w:rPr>
                <w:rFonts w:ascii="Calibri" w:hAnsi="Calibri"/>
                <w:color w:val="231F20"/>
                <w:sz w:val="16"/>
                <w:szCs w:val="16"/>
              </w:rPr>
            </w:pPr>
            <w:r w:rsidRPr="00887181">
              <w:rPr>
                <w:rFonts w:ascii="Calibri" w:hAnsi="Calibri"/>
                <w:color w:val="231F20"/>
                <w:sz w:val="16"/>
                <w:szCs w:val="16"/>
              </w:rPr>
              <w:t>2.1%</w:t>
            </w:r>
          </w:p>
        </w:tc>
        <w:tc>
          <w:tcPr>
            <w:tcW w:w="0" w:type="auto"/>
            <w:tcBorders>
              <w:top w:val="nil"/>
              <w:left w:val="nil"/>
              <w:bottom w:val="single" w:sz="4" w:space="0" w:color="auto"/>
              <w:right w:val="single" w:sz="4" w:space="0" w:color="auto"/>
            </w:tcBorders>
            <w:shd w:val="clear" w:color="000000" w:fill="E6E7E8"/>
            <w:vAlign w:val="center"/>
            <w:hideMark/>
          </w:tcPr>
          <w:p w14:paraId="64F9CC44" w14:textId="77777777" w:rsidR="00002D76" w:rsidRPr="00887181" w:rsidRDefault="00002D76" w:rsidP="00D63204">
            <w:pPr>
              <w:spacing w:after="0" w:line="240" w:lineRule="auto"/>
              <w:rPr>
                <w:rFonts w:ascii="Calibri" w:hAnsi="Calibri"/>
                <w:color w:val="231F20"/>
                <w:sz w:val="16"/>
                <w:szCs w:val="16"/>
              </w:rPr>
            </w:pPr>
            <w:r w:rsidRPr="00887181">
              <w:rPr>
                <w:rFonts w:ascii="Calibri" w:hAnsi="Calibri"/>
                <w:color w:val="231F20"/>
                <w:sz w:val="16"/>
                <w:szCs w:val="16"/>
              </w:rPr>
              <w:t>0.4%</w:t>
            </w:r>
          </w:p>
        </w:tc>
        <w:tc>
          <w:tcPr>
            <w:tcW w:w="0" w:type="auto"/>
            <w:tcBorders>
              <w:top w:val="nil"/>
              <w:left w:val="nil"/>
              <w:bottom w:val="single" w:sz="4" w:space="0" w:color="auto"/>
              <w:right w:val="single" w:sz="4" w:space="0" w:color="auto"/>
            </w:tcBorders>
            <w:shd w:val="clear" w:color="000000" w:fill="E6E7E8"/>
            <w:vAlign w:val="center"/>
            <w:hideMark/>
          </w:tcPr>
          <w:p w14:paraId="5E1E2AA0" w14:textId="77777777" w:rsidR="00002D76" w:rsidRPr="00887181" w:rsidRDefault="00002D76" w:rsidP="00D63204">
            <w:pPr>
              <w:spacing w:after="0" w:line="240" w:lineRule="auto"/>
              <w:rPr>
                <w:rFonts w:ascii="Calibri" w:hAnsi="Calibri"/>
                <w:color w:val="231F20"/>
                <w:sz w:val="16"/>
                <w:szCs w:val="16"/>
              </w:rPr>
            </w:pPr>
            <w:r w:rsidRPr="00887181">
              <w:rPr>
                <w:rFonts w:ascii="Calibri" w:hAnsi="Calibri"/>
                <w:color w:val="231F20"/>
                <w:sz w:val="16"/>
                <w:szCs w:val="16"/>
              </w:rPr>
              <w:t>0.5%</w:t>
            </w:r>
          </w:p>
        </w:tc>
      </w:tr>
      <w:tr w:rsidR="00002D76" w:rsidRPr="00887181" w14:paraId="5224D231" w14:textId="77777777" w:rsidTr="001429C7">
        <w:trPr>
          <w:trHeight w:hRule="exac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0A68A1D" w14:textId="77777777" w:rsidR="00002D76" w:rsidRPr="00887181" w:rsidRDefault="00002D76" w:rsidP="00D63204">
            <w:pPr>
              <w:spacing w:after="0" w:line="240" w:lineRule="auto"/>
              <w:rPr>
                <w:rFonts w:ascii="Calibri" w:hAnsi="Calibri"/>
                <w:color w:val="231F20"/>
                <w:sz w:val="16"/>
                <w:szCs w:val="16"/>
              </w:rPr>
            </w:pPr>
            <w:r w:rsidRPr="00887181">
              <w:rPr>
                <w:rFonts w:ascii="Calibri" w:hAnsi="Calibri"/>
                <w:color w:val="231F20"/>
                <w:sz w:val="16"/>
                <w:szCs w:val="16"/>
              </w:rPr>
              <w:t>250000</w:t>
            </w:r>
          </w:p>
        </w:tc>
        <w:tc>
          <w:tcPr>
            <w:tcW w:w="0" w:type="auto"/>
            <w:tcBorders>
              <w:top w:val="nil"/>
              <w:left w:val="nil"/>
              <w:bottom w:val="single" w:sz="4" w:space="0" w:color="auto"/>
              <w:right w:val="single" w:sz="4" w:space="0" w:color="auto"/>
            </w:tcBorders>
            <w:shd w:val="clear" w:color="auto" w:fill="auto"/>
            <w:vAlign w:val="center"/>
            <w:hideMark/>
          </w:tcPr>
          <w:p w14:paraId="400D726C" w14:textId="72387716" w:rsidR="00002D76" w:rsidRPr="00887181" w:rsidRDefault="00002D76" w:rsidP="001429C7">
            <w:pPr>
              <w:spacing w:after="0" w:line="240" w:lineRule="auto"/>
              <w:rPr>
                <w:rFonts w:ascii="Calibri" w:hAnsi="Calibri"/>
                <w:color w:val="231F20"/>
                <w:sz w:val="16"/>
                <w:szCs w:val="16"/>
              </w:rPr>
            </w:pPr>
            <w:r w:rsidRPr="00887181">
              <w:rPr>
                <w:rFonts w:ascii="Calibri" w:hAnsi="Calibri"/>
                <w:color w:val="231F20"/>
                <w:sz w:val="16"/>
                <w:szCs w:val="16"/>
              </w:rPr>
              <w:t>Education, Training</w:t>
            </w:r>
            <w:r w:rsidR="00D5537E">
              <w:rPr>
                <w:rFonts w:ascii="Calibri" w:hAnsi="Calibri"/>
                <w:color w:val="231F20"/>
                <w:sz w:val="16"/>
                <w:szCs w:val="16"/>
              </w:rPr>
              <w:t xml:space="preserve"> and</w:t>
            </w:r>
            <w:r w:rsidRPr="00887181">
              <w:rPr>
                <w:rFonts w:ascii="Calibri" w:hAnsi="Calibri"/>
                <w:color w:val="231F20"/>
                <w:sz w:val="16"/>
                <w:szCs w:val="16"/>
              </w:rPr>
              <w:t xml:space="preserve"> Library</w:t>
            </w:r>
          </w:p>
        </w:tc>
        <w:tc>
          <w:tcPr>
            <w:tcW w:w="0" w:type="auto"/>
            <w:tcBorders>
              <w:top w:val="nil"/>
              <w:left w:val="nil"/>
              <w:bottom w:val="single" w:sz="4" w:space="0" w:color="auto"/>
              <w:right w:val="single" w:sz="4" w:space="0" w:color="auto"/>
            </w:tcBorders>
            <w:shd w:val="clear" w:color="auto" w:fill="auto"/>
            <w:vAlign w:val="center"/>
            <w:hideMark/>
          </w:tcPr>
          <w:p w14:paraId="5EEB64B0" w14:textId="77777777" w:rsidR="00002D76" w:rsidRPr="00887181" w:rsidRDefault="00002D76" w:rsidP="00D63204">
            <w:pPr>
              <w:spacing w:after="0" w:line="240" w:lineRule="auto"/>
              <w:rPr>
                <w:rFonts w:ascii="Calibri" w:hAnsi="Calibri"/>
                <w:color w:val="231F20"/>
                <w:sz w:val="16"/>
                <w:szCs w:val="16"/>
              </w:rPr>
            </w:pPr>
            <w:r w:rsidRPr="00887181">
              <w:rPr>
                <w:rFonts w:ascii="Calibri" w:hAnsi="Calibri"/>
                <w:color w:val="231F20"/>
                <w:sz w:val="16"/>
                <w:szCs w:val="16"/>
              </w:rPr>
              <w:t>4.8%</w:t>
            </w:r>
          </w:p>
        </w:tc>
        <w:tc>
          <w:tcPr>
            <w:tcW w:w="0" w:type="auto"/>
            <w:tcBorders>
              <w:top w:val="nil"/>
              <w:left w:val="nil"/>
              <w:bottom w:val="single" w:sz="4" w:space="0" w:color="auto"/>
              <w:right w:val="single" w:sz="4" w:space="0" w:color="auto"/>
            </w:tcBorders>
            <w:shd w:val="clear" w:color="auto" w:fill="auto"/>
            <w:vAlign w:val="center"/>
            <w:hideMark/>
          </w:tcPr>
          <w:p w14:paraId="07828A69" w14:textId="77777777" w:rsidR="00002D76" w:rsidRPr="00887181" w:rsidRDefault="00002D76" w:rsidP="00D63204">
            <w:pPr>
              <w:spacing w:after="0" w:line="240" w:lineRule="auto"/>
              <w:rPr>
                <w:rFonts w:ascii="Calibri" w:hAnsi="Calibri"/>
                <w:color w:val="231F20"/>
                <w:sz w:val="16"/>
                <w:szCs w:val="16"/>
              </w:rPr>
            </w:pPr>
            <w:r w:rsidRPr="00887181">
              <w:rPr>
                <w:rFonts w:ascii="Calibri" w:hAnsi="Calibri"/>
                <w:color w:val="231F20"/>
                <w:sz w:val="16"/>
                <w:szCs w:val="16"/>
              </w:rPr>
              <w:t>6.9%</w:t>
            </w:r>
          </w:p>
        </w:tc>
        <w:tc>
          <w:tcPr>
            <w:tcW w:w="0" w:type="auto"/>
            <w:tcBorders>
              <w:top w:val="nil"/>
              <w:left w:val="nil"/>
              <w:bottom w:val="single" w:sz="4" w:space="0" w:color="auto"/>
              <w:right w:val="single" w:sz="4" w:space="0" w:color="auto"/>
            </w:tcBorders>
            <w:shd w:val="clear" w:color="auto" w:fill="auto"/>
            <w:vAlign w:val="center"/>
            <w:hideMark/>
          </w:tcPr>
          <w:p w14:paraId="360482C9" w14:textId="77777777" w:rsidR="00002D76" w:rsidRPr="00887181" w:rsidRDefault="00002D76" w:rsidP="00D63204">
            <w:pPr>
              <w:spacing w:after="0" w:line="240" w:lineRule="auto"/>
              <w:rPr>
                <w:rFonts w:ascii="Calibri" w:hAnsi="Calibri"/>
                <w:color w:val="231F20"/>
                <w:sz w:val="16"/>
                <w:szCs w:val="16"/>
              </w:rPr>
            </w:pPr>
            <w:r w:rsidRPr="00887181">
              <w:rPr>
                <w:rFonts w:ascii="Calibri" w:hAnsi="Calibri"/>
                <w:color w:val="231F20"/>
                <w:sz w:val="16"/>
                <w:szCs w:val="16"/>
              </w:rPr>
              <w:t>4.7%</w:t>
            </w:r>
          </w:p>
        </w:tc>
        <w:tc>
          <w:tcPr>
            <w:tcW w:w="0" w:type="auto"/>
            <w:tcBorders>
              <w:top w:val="nil"/>
              <w:left w:val="nil"/>
              <w:bottom w:val="single" w:sz="4" w:space="0" w:color="auto"/>
              <w:right w:val="single" w:sz="4" w:space="0" w:color="auto"/>
            </w:tcBorders>
            <w:shd w:val="clear" w:color="auto" w:fill="auto"/>
            <w:vAlign w:val="center"/>
            <w:hideMark/>
          </w:tcPr>
          <w:p w14:paraId="661A2C0A" w14:textId="77777777" w:rsidR="00002D76" w:rsidRPr="00887181" w:rsidRDefault="00002D76" w:rsidP="00D63204">
            <w:pPr>
              <w:spacing w:after="0" w:line="240" w:lineRule="auto"/>
              <w:rPr>
                <w:rFonts w:ascii="Calibri" w:hAnsi="Calibri"/>
                <w:color w:val="231F20"/>
                <w:sz w:val="16"/>
                <w:szCs w:val="16"/>
              </w:rPr>
            </w:pPr>
            <w:r w:rsidRPr="00887181">
              <w:rPr>
                <w:rFonts w:ascii="Calibri" w:hAnsi="Calibri"/>
                <w:color w:val="231F20"/>
                <w:sz w:val="16"/>
                <w:szCs w:val="16"/>
              </w:rPr>
              <w:t>8.3%</w:t>
            </w:r>
          </w:p>
        </w:tc>
        <w:tc>
          <w:tcPr>
            <w:tcW w:w="0" w:type="auto"/>
            <w:tcBorders>
              <w:top w:val="nil"/>
              <w:left w:val="nil"/>
              <w:bottom w:val="single" w:sz="4" w:space="0" w:color="auto"/>
              <w:right w:val="single" w:sz="4" w:space="0" w:color="auto"/>
            </w:tcBorders>
            <w:shd w:val="clear" w:color="auto" w:fill="auto"/>
            <w:vAlign w:val="center"/>
            <w:hideMark/>
          </w:tcPr>
          <w:p w14:paraId="15185F5E" w14:textId="77777777" w:rsidR="00002D76" w:rsidRPr="00887181" w:rsidRDefault="00002D76" w:rsidP="00D63204">
            <w:pPr>
              <w:spacing w:after="0" w:line="240" w:lineRule="auto"/>
              <w:rPr>
                <w:rFonts w:ascii="Calibri" w:hAnsi="Calibri"/>
                <w:color w:val="231F20"/>
                <w:sz w:val="16"/>
                <w:szCs w:val="16"/>
              </w:rPr>
            </w:pPr>
            <w:r w:rsidRPr="00887181">
              <w:rPr>
                <w:rFonts w:ascii="Calibri" w:hAnsi="Calibri"/>
                <w:color w:val="231F20"/>
                <w:sz w:val="16"/>
                <w:szCs w:val="16"/>
              </w:rPr>
              <w:t>5.3%</w:t>
            </w:r>
          </w:p>
        </w:tc>
        <w:tc>
          <w:tcPr>
            <w:tcW w:w="0" w:type="auto"/>
            <w:tcBorders>
              <w:top w:val="nil"/>
              <w:left w:val="nil"/>
              <w:bottom w:val="single" w:sz="4" w:space="0" w:color="auto"/>
              <w:right w:val="single" w:sz="4" w:space="0" w:color="auto"/>
            </w:tcBorders>
            <w:shd w:val="clear" w:color="auto" w:fill="auto"/>
            <w:vAlign w:val="center"/>
            <w:hideMark/>
          </w:tcPr>
          <w:p w14:paraId="630F438E" w14:textId="77777777" w:rsidR="00002D76" w:rsidRPr="00887181" w:rsidRDefault="00002D76" w:rsidP="00D63204">
            <w:pPr>
              <w:spacing w:after="0" w:line="240" w:lineRule="auto"/>
              <w:rPr>
                <w:rFonts w:ascii="Calibri" w:hAnsi="Calibri"/>
                <w:color w:val="231F20"/>
                <w:sz w:val="16"/>
                <w:szCs w:val="16"/>
              </w:rPr>
            </w:pPr>
            <w:r w:rsidRPr="00887181">
              <w:rPr>
                <w:rFonts w:ascii="Calibri" w:hAnsi="Calibri"/>
                <w:color w:val="231F20"/>
                <w:sz w:val="16"/>
                <w:szCs w:val="16"/>
              </w:rPr>
              <w:t>9.2%</w:t>
            </w:r>
          </w:p>
        </w:tc>
        <w:tc>
          <w:tcPr>
            <w:tcW w:w="0" w:type="auto"/>
            <w:tcBorders>
              <w:top w:val="nil"/>
              <w:left w:val="nil"/>
              <w:bottom w:val="single" w:sz="4" w:space="0" w:color="auto"/>
              <w:right w:val="single" w:sz="4" w:space="0" w:color="auto"/>
            </w:tcBorders>
            <w:shd w:val="clear" w:color="auto" w:fill="auto"/>
            <w:vAlign w:val="center"/>
            <w:hideMark/>
          </w:tcPr>
          <w:p w14:paraId="5B9F9772" w14:textId="77777777" w:rsidR="00002D76" w:rsidRPr="00887181" w:rsidRDefault="00002D76" w:rsidP="00D63204">
            <w:pPr>
              <w:spacing w:after="0" w:line="240" w:lineRule="auto"/>
              <w:rPr>
                <w:rFonts w:ascii="Calibri" w:hAnsi="Calibri"/>
                <w:color w:val="231F20"/>
                <w:sz w:val="16"/>
                <w:szCs w:val="16"/>
              </w:rPr>
            </w:pPr>
            <w:r w:rsidRPr="00887181">
              <w:rPr>
                <w:rFonts w:ascii="Calibri" w:hAnsi="Calibri"/>
                <w:color w:val="231F20"/>
                <w:sz w:val="16"/>
                <w:szCs w:val="16"/>
              </w:rPr>
              <w:t>6.8%</w:t>
            </w:r>
          </w:p>
        </w:tc>
        <w:tc>
          <w:tcPr>
            <w:tcW w:w="0" w:type="auto"/>
            <w:tcBorders>
              <w:top w:val="nil"/>
              <w:left w:val="nil"/>
              <w:bottom w:val="single" w:sz="4" w:space="0" w:color="auto"/>
              <w:right w:val="single" w:sz="4" w:space="0" w:color="auto"/>
            </w:tcBorders>
            <w:shd w:val="clear" w:color="auto" w:fill="auto"/>
            <w:vAlign w:val="center"/>
            <w:hideMark/>
          </w:tcPr>
          <w:p w14:paraId="1481C9BB" w14:textId="77777777" w:rsidR="00002D76" w:rsidRPr="00887181" w:rsidRDefault="00002D76" w:rsidP="00D63204">
            <w:pPr>
              <w:spacing w:after="0" w:line="240" w:lineRule="auto"/>
              <w:rPr>
                <w:rFonts w:ascii="Calibri" w:hAnsi="Calibri"/>
                <w:color w:val="231F20"/>
                <w:sz w:val="16"/>
                <w:szCs w:val="16"/>
              </w:rPr>
            </w:pPr>
            <w:r w:rsidRPr="00887181">
              <w:rPr>
                <w:rFonts w:ascii="Calibri" w:hAnsi="Calibri"/>
                <w:color w:val="231F20"/>
                <w:sz w:val="16"/>
                <w:szCs w:val="16"/>
              </w:rPr>
              <w:t>6.9%</w:t>
            </w:r>
          </w:p>
        </w:tc>
      </w:tr>
      <w:tr w:rsidR="00002D76" w:rsidRPr="00887181" w14:paraId="4C856F5C" w14:textId="77777777" w:rsidTr="001429C7">
        <w:trPr>
          <w:trHeight w:hRule="exact" w:val="415"/>
        </w:trPr>
        <w:tc>
          <w:tcPr>
            <w:tcW w:w="0" w:type="auto"/>
            <w:tcBorders>
              <w:top w:val="nil"/>
              <w:left w:val="single" w:sz="4" w:space="0" w:color="auto"/>
              <w:bottom w:val="single" w:sz="4" w:space="0" w:color="auto"/>
              <w:right w:val="single" w:sz="4" w:space="0" w:color="auto"/>
            </w:tcBorders>
            <w:shd w:val="clear" w:color="000000" w:fill="E6E7E8"/>
            <w:vAlign w:val="center"/>
            <w:hideMark/>
          </w:tcPr>
          <w:p w14:paraId="69A071AC" w14:textId="77777777" w:rsidR="00002D76" w:rsidRPr="00887181" w:rsidRDefault="00002D76" w:rsidP="00D63204">
            <w:pPr>
              <w:spacing w:after="0" w:line="240" w:lineRule="auto"/>
              <w:rPr>
                <w:rFonts w:ascii="Calibri" w:hAnsi="Calibri"/>
                <w:color w:val="231F20"/>
                <w:sz w:val="16"/>
                <w:szCs w:val="16"/>
              </w:rPr>
            </w:pPr>
            <w:r w:rsidRPr="00887181">
              <w:rPr>
                <w:rFonts w:ascii="Calibri" w:hAnsi="Calibri"/>
                <w:color w:val="231F20"/>
                <w:sz w:val="16"/>
                <w:szCs w:val="16"/>
              </w:rPr>
              <w:t>270000</w:t>
            </w:r>
          </w:p>
        </w:tc>
        <w:tc>
          <w:tcPr>
            <w:tcW w:w="0" w:type="auto"/>
            <w:tcBorders>
              <w:top w:val="nil"/>
              <w:left w:val="nil"/>
              <w:bottom w:val="single" w:sz="4" w:space="0" w:color="auto"/>
              <w:right w:val="single" w:sz="4" w:space="0" w:color="auto"/>
            </w:tcBorders>
            <w:shd w:val="clear" w:color="000000" w:fill="E6E7E8"/>
            <w:vAlign w:val="center"/>
            <w:hideMark/>
          </w:tcPr>
          <w:p w14:paraId="4B35C573" w14:textId="7B3D8518" w:rsidR="00002D76" w:rsidRPr="00887181" w:rsidRDefault="00002D76" w:rsidP="001429C7">
            <w:pPr>
              <w:spacing w:after="0" w:line="240" w:lineRule="auto"/>
              <w:rPr>
                <w:rFonts w:ascii="Calibri" w:hAnsi="Calibri"/>
                <w:color w:val="231F20"/>
                <w:sz w:val="16"/>
                <w:szCs w:val="16"/>
              </w:rPr>
            </w:pPr>
            <w:r w:rsidRPr="00887181">
              <w:rPr>
                <w:rFonts w:ascii="Calibri" w:hAnsi="Calibri"/>
                <w:color w:val="231F20"/>
                <w:sz w:val="16"/>
                <w:szCs w:val="16"/>
              </w:rPr>
              <w:t>Arts, Design, Entertainment, Sports</w:t>
            </w:r>
            <w:r w:rsidR="00D5537E">
              <w:rPr>
                <w:rFonts w:ascii="Calibri" w:hAnsi="Calibri"/>
                <w:color w:val="231F20"/>
                <w:sz w:val="16"/>
                <w:szCs w:val="16"/>
              </w:rPr>
              <w:t xml:space="preserve"> and</w:t>
            </w:r>
            <w:r w:rsidRPr="00887181">
              <w:rPr>
                <w:rFonts w:ascii="Calibri" w:hAnsi="Calibri"/>
                <w:color w:val="231F20"/>
                <w:sz w:val="16"/>
                <w:szCs w:val="16"/>
              </w:rPr>
              <w:t xml:space="preserve"> Media</w:t>
            </w:r>
          </w:p>
        </w:tc>
        <w:tc>
          <w:tcPr>
            <w:tcW w:w="0" w:type="auto"/>
            <w:tcBorders>
              <w:top w:val="nil"/>
              <w:left w:val="nil"/>
              <w:bottom w:val="single" w:sz="4" w:space="0" w:color="auto"/>
              <w:right w:val="single" w:sz="4" w:space="0" w:color="auto"/>
            </w:tcBorders>
            <w:shd w:val="clear" w:color="000000" w:fill="E6E7E8"/>
            <w:vAlign w:val="center"/>
            <w:hideMark/>
          </w:tcPr>
          <w:p w14:paraId="68E4B12E" w14:textId="77777777" w:rsidR="00002D76" w:rsidRPr="00887181" w:rsidRDefault="00002D76" w:rsidP="00D63204">
            <w:pPr>
              <w:spacing w:after="0" w:line="240" w:lineRule="auto"/>
              <w:rPr>
                <w:rFonts w:ascii="Calibri" w:hAnsi="Calibri"/>
                <w:color w:val="231F20"/>
                <w:sz w:val="16"/>
                <w:szCs w:val="16"/>
              </w:rPr>
            </w:pPr>
            <w:r w:rsidRPr="00887181">
              <w:rPr>
                <w:rFonts w:ascii="Calibri" w:hAnsi="Calibri"/>
                <w:color w:val="231F20"/>
                <w:sz w:val="16"/>
                <w:szCs w:val="16"/>
              </w:rPr>
              <w:t>1.6%</w:t>
            </w:r>
          </w:p>
        </w:tc>
        <w:tc>
          <w:tcPr>
            <w:tcW w:w="0" w:type="auto"/>
            <w:tcBorders>
              <w:top w:val="nil"/>
              <w:left w:val="nil"/>
              <w:bottom w:val="single" w:sz="4" w:space="0" w:color="auto"/>
              <w:right w:val="single" w:sz="4" w:space="0" w:color="auto"/>
            </w:tcBorders>
            <w:shd w:val="clear" w:color="000000" w:fill="E6E7E8"/>
            <w:vAlign w:val="center"/>
            <w:hideMark/>
          </w:tcPr>
          <w:p w14:paraId="286E1AD6" w14:textId="77777777" w:rsidR="00002D76" w:rsidRPr="00887181" w:rsidRDefault="00002D76" w:rsidP="00D63204">
            <w:pPr>
              <w:spacing w:after="0" w:line="240" w:lineRule="auto"/>
              <w:rPr>
                <w:rFonts w:ascii="Calibri" w:hAnsi="Calibri"/>
                <w:color w:val="231F20"/>
                <w:sz w:val="16"/>
                <w:szCs w:val="16"/>
              </w:rPr>
            </w:pPr>
            <w:r w:rsidRPr="00887181">
              <w:rPr>
                <w:rFonts w:ascii="Calibri" w:hAnsi="Calibri"/>
                <w:color w:val="231F20"/>
                <w:sz w:val="16"/>
                <w:szCs w:val="16"/>
              </w:rPr>
              <w:t>1.2%</w:t>
            </w:r>
          </w:p>
        </w:tc>
        <w:tc>
          <w:tcPr>
            <w:tcW w:w="0" w:type="auto"/>
            <w:tcBorders>
              <w:top w:val="nil"/>
              <w:left w:val="nil"/>
              <w:bottom w:val="single" w:sz="4" w:space="0" w:color="auto"/>
              <w:right w:val="single" w:sz="4" w:space="0" w:color="auto"/>
            </w:tcBorders>
            <w:shd w:val="clear" w:color="000000" w:fill="E6E7E8"/>
            <w:vAlign w:val="center"/>
            <w:hideMark/>
          </w:tcPr>
          <w:p w14:paraId="23085784" w14:textId="77777777" w:rsidR="00002D76" w:rsidRPr="00887181" w:rsidRDefault="00002D76" w:rsidP="00D63204">
            <w:pPr>
              <w:spacing w:after="0" w:line="240" w:lineRule="auto"/>
              <w:rPr>
                <w:rFonts w:ascii="Calibri" w:hAnsi="Calibri"/>
                <w:color w:val="231F20"/>
                <w:sz w:val="16"/>
                <w:szCs w:val="16"/>
              </w:rPr>
            </w:pPr>
            <w:r w:rsidRPr="00887181">
              <w:rPr>
                <w:rFonts w:ascii="Calibri" w:hAnsi="Calibri"/>
                <w:color w:val="231F20"/>
                <w:sz w:val="16"/>
                <w:szCs w:val="16"/>
              </w:rPr>
              <w:t>1.4%</w:t>
            </w:r>
          </w:p>
        </w:tc>
        <w:tc>
          <w:tcPr>
            <w:tcW w:w="0" w:type="auto"/>
            <w:tcBorders>
              <w:top w:val="nil"/>
              <w:left w:val="nil"/>
              <w:bottom w:val="single" w:sz="4" w:space="0" w:color="auto"/>
              <w:right w:val="single" w:sz="4" w:space="0" w:color="auto"/>
            </w:tcBorders>
            <w:shd w:val="clear" w:color="000000" w:fill="E6E7E8"/>
            <w:vAlign w:val="center"/>
            <w:hideMark/>
          </w:tcPr>
          <w:p w14:paraId="12121947" w14:textId="77777777" w:rsidR="00002D76" w:rsidRPr="00887181" w:rsidRDefault="00002D76" w:rsidP="00D63204">
            <w:pPr>
              <w:spacing w:after="0" w:line="240" w:lineRule="auto"/>
              <w:rPr>
                <w:rFonts w:ascii="Calibri" w:hAnsi="Calibri"/>
                <w:color w:val="231F20"/>
                <w:sz w:val="16"/>
                <w:szCs w:val="16"/>
              </w:rPr>
            </w:pPr>
            <w:r w:rsidRPr="00887181">
              <w:rPr>
                <w:rFonts w:ascii="Calibri" w:hAnsi="Calibri"/>
                <w:color w:val="231F20"/>
                <w:sz w:val="16"/>
                <w:szCs w:val="16"/>
              </w:rPr>
              <w:t>0.5%</w:t>
            </w:r>
          </w:p>
        </w:tc>
        <w:tc>
          <w:tcPr>
            <w:tcW w:w="0" w:type="auto"/>
            <w:tcBorders>
              <w:top w:val="nil"/>
              <w:left w:val="nil"/>
              <w:bottom w:val="single" w:sz="4" w:space="0" w:color="auto"/>
              <w:right w:val="single" w:sz="4" w:space="0" w:color="auto"/>
            </w:tcBorders>
            <w:shd w:val="clear" w:color="000000" w:fill="E6E7E8"/>
            <w:vAlign w:val="center"/>
            <w:hideMark/>
          </w:tcPr>
          <w:p w14:paraId="5B6086B8" w14:textId="77777777" w:rsidR="00002D76" w:rsidRPr="00887181" w:rsidRDefault="00002D76" w:rsidP="00D63204">
            <w:pPr>
              <w:spacing w:after="0" w:line="240" w:lineRule="auto"/>
              <w:rPr>
                <w:rFonts w:ascii="Calibri" w:hAnsi="Calibri"/>
                <w:color w:val="231F20"/>
                <w:sz w:val="16"/>
                <w:szCs w:val="16"/>
              </w:rPr>
            </w:pPr>
            <w:r w:rsidRPr="00887181">
              <w:rPr>
                <w:rFonts w:ascii="Calibri" w:hAnsi="Calibri"/>
                <w:color w:val="231F20"/>
                <w:sz w:val="16"/>
                <w:szCs w:val="16"/>
              </w:rPr>
              <w:t>0.9%</w:t>
            </w:r>
          </w:p>
        </w:tc>
        <w:tc>
          <w:tcPr>
            <w:tcW w:w="0" w:type="auto"/>
            <w:tcBorders>
              <w:top w:val="nil"/>
              <w:left w:val="nil"/>
              <w:bottom w:val="single" w:sz="4" w:space="0" w:color="auto"/>
              <w:right w:val="single" w:sz="4" w:space="0" w:color="auto"/>
            </w:tcBorders>
            <w:shd w:val="clear" w:color="000000" w:fill="E6E7E8"/>
            <w:vAlign w:val="center"/>
            <w:hideMark/>
          </w:tcPr>
          <w:p w14:paraId="211D1717" w14:textId="77777777" w:rsidR="00002D76" w:rsidRPr="00887181" w:rsidRDefault="00002D76" w:rsidP="00D63204">
            <w:pPr>
              <w:spacing w:after="0" w:line="240" w:lineRule="auto"/>
              <w:rPr>
                <w:rFonts w:ascii="Calibri" w:hAnsi="Calibri"/>
                <w:color w:val="231F20"/>
                <w:sz w:val="16"/>
                <w:szCs w:val="16"/>
              </w:rPr>
            </w:pPr>
            <w:r w:rsidRPr="00887181">
              <w:rPr>
                <w:rFonts w:ascii="Calibri" w:hAnsi="Calibri"/>
                <w:color w:val="231F20"/>
                <w:sz w:val="16"/>
                <w:szCs w:val="16"/>
              </w:rPr>
              <w:t>2.4%</w:t>
            </w:r>
          </w:p>
        </w:tc>
        <w:tc>
          <w:tcPr>
            <w:tcW w:w="0" w:type="auto"/>
            <w:tcBorders>
              <w:top w:val="nil"/>
              <w:left w:val="nil"/>
              <w:bottom w:val="single" w:sz="4" w:space="0" w:color="auto"/>
              <w:right w:val="single" w:sz="4" w:space="0" w:color="auto"/>
            </w:tcBorders>
            <w:shd w:val="clear" w:color="000000" w:fill="E6E7E8"/>
            <w:vAlign w:val="center"/>
            <w:hideMark/>
          </w:tcPr>
          <w:p w14:paraId="740B8373" w14:textId="77777777" w:rsidR="00002D76" w:rsidRPr="00887181" w:rsidRDefault="00002D76" w:rsidP="00D63204">
            <w:pPr>
              <w:spacing w:after="0" w:line="240" w:lineRule="auto"/>
              <w:rPr>
                <w:rFonts w:ascii="Calibri" w:hAnsi="Calibri"/>
                <w:color w:val="231F20"/>
                <w:sz w:val="16"/>
                <w:szCs w:val="16"/>
              </w:rPr>
            </w:pPr>
            <w:r w:rsidRPr="00887181">
              <w:rPr>
                <w:rFonts w:ascii="Calibri" w:hAnsi="Calibri"/>
                <w:color w:val="231F20"/>
                <w:sz w:val="16"/>
                <w:szCs w:val="16"/>
              </w:rPr>
              <w:t>0.7%</w:t>
            </w:r>
          </w:p>
        </w:tc>
        <w:tc>
          <w:tcPr>
            <w:tcW w:w="0" w:type="auto"/>
            <w:tcBorders>
              <w:top w:val="nil"/>
              <w:left w:val="nil"/>
              <w:bottom w:val="single" w:sz="4" w:space="0" w:color="auto"/>
              <w:right w:val="single" w:sz="4" w:space="0" w:color="auto"/>
            </w:tcBorders>
            <w:shd w:val="clear" w:color="000000" w:fill="E6E7E8"/>
            <w:vAlign w:val="center"/>
            <w:hideMark/>
          </w:tcPr>
          <w:p w14:paraId="78BED885" w14:textId="77777777" w:rsidR="00002D76" w:rsidRPr="00887181" w:rsidRDefault="00002D76" w:rsidP="00D63204">
            <w:pPr>
              <w:spacing w:after="0" w:line="240" w:lineRule="auto"/>
              <w:rPr>
                <w:rFonts w:ascii="Calibri" w:hAnsi="Calibri"/>
                <w:color w:val="231F20"/>
                <w:sz w:val="16"/>
                <w:szCs w:val="16"/>
              </w:rPr>
            </w:pPr>
            <w:r w:rsidRPr="00887181">
              <w:rPr>
                <w:rFonts w:ascii="Calibri" w:hAnsi="Calibri"/>
                <w:color w:val="231F20"/>
                <w:sz w:val="16"/>
                <w:szCs w:val="16"/>
              </w:rPr>
              <w:t>0.5%</w:t>
            </w:r>
          </w:p>
        </w:tc>
      </w:tr>
      <w:tr w:rsidR="00002D76" w:rsidRPr="00887181" w14:paraId="37515BCD" w14:textId="77777777" w:rsidTr="001429C7">
        <w:trPr>
          <w:trHeight w:hRule="exac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60DFECE" w14:textId="77777777" w:rsidR="00002D76" w:rsidRPr="00887181" w:rsidRDefault="00002D76" w:rsidP="00D63204">
            <w:pPr>
              <w:spacing w:after="0" w:line="240" w:lineRule="auto"/>
              <w:rPr>
                <w:rFonts w:ascii="Calibri" w:hAnsi="Calibri"/>
                <w:color w:val="231F20"/>
                <w:sz w:val="16"/>
                <w:szCs w:val="16"/>
              </w:rPr>
            </w:pPr>
            <w:r w:rsidRPr="00887181">
              <w:rPr>
                <w:rFonts w:ascii="Calibri" w:hAnsi="Calibri"/>
                <w:color w:val="231F20"/>
                <w:sz w:val="16"/>
                <w:szCs w:val="16"/>
              </w:rPr>
              <w:t>290000</w:t>
            </w:r>
          </w:p>
        </w:tc>
        <w:tc>
          <w:tcPr>
            <w:tcW w:w="0" w:type="auto"/>
            <w:tcBorders>
              <w:top w:val="nil"/>
              <w:left w:val="nil"/>
              <w:bottom w:val="single" w:sz="4" w:space="0" w:color="auto"/>
              <w:right w:val="single" w:sz="4" w:space="0" w:color="auto"/>
            </w:tcBorders>
            <w:shd w:val="clear" w:color="auto" w:fill="auto"/>
            <w:vAlign w:val="center"/>
            <w:hideMark/>
          </w:tcPr>
          <w:p w14:paraId="51F4EB45" w14:textId="77777777" w:rsidR="00002D76" w:rsidRPr="00887181" w:rsidRDefault="00002D76" w:rsidP="001429C7">
            <w:pPr>
              <w:spacing w:after="0" w:line="240" w:lineRule="auto"/>
              <w:rPr>
                <w:rFonts w:ascii="Calibri" w:hAnsi="Calibri"/>
                <w:color w:val="231F20"/>
                <w:sz w:val="16"/>
                <w:szCs w:val="16"/>
              </w:rPr>
            </w:pPr>
            <w:r w:rsidRPr="00887181">
              <w:rPr>
                <w:rFonts w:ascii="Calibri" w:hAnsi="Calibri"/>
                <w:color w:val="231F20"/>
                <w:sz w:val="16"/>
                <w:szCs w:val="16"/>
              </w:rPr>
              <w:t>Healthcare Practitioners and Technical</w:t>
            </w:r>
          </w:p>
        </w:tc>
        <w:tc>
          <w:tcPr>
            <w:tcW w:w="0" w:type="auto"/>
            <w:tcBorders>
              <w:top w:val="nil"/>
              <w:left w:val="nil"/>
              <w:bottom w:val="single" w:sz="4" w:space="0" w:color="auto"/>
              <w:right w:val="single" w:sz="4" w:space="0" w:color="auto"/>
            </w:tcBorders>
            <w:shd w:val="clear" w:color="auto" w:fill="auto"/>
            <w:vAlign w:val="center"/>
            <w:hideMark/>
          </w:tcPr>
          <w:p w14:paraId="3BF28604" w14:textId="77777777" w:rsidR="00002D76" w:rsidRPr="00887181" w:rsidRDefault="00002D76" w:rsidP="00D63204">
            <w:pPr>
              <w:spacing w:after="0" w:line="240" w:lineRule="auto"/>
              <w:rPr>
                <w:rFonts w:ascii="Calibri" w:hAnsi="Calibri"/>
                <w:color w:val="231F20"/>
                <w:sz w:val="16"/>
                <w:szCs w:val="16"/>
              </w:rPr>
            </w:pPr>
            <w:r w:rsidRPr="00887181">
              <w:rPr>
                <w:rFonts w:ascii="Calibri" w:hAnsi="Calibri"/>
                <w:color w:val="231F20"/>
                <w:sz w:val="16"/>
                <w:szCs w:val="16"/>
              </w:rPr>
              <w:t>6.0%</w:t>
            </w:r>
          </w:p>
        </w:tc>
        <w:tc>
          <w:tcPr>
            <w:tcW w:w="0" w:type="auto"/>
            <w:tcBorders>
              <w:top w:val="nil"/>
              <w:left w:val="nil"/>
              <w:bottom w:val="single" w:sz="4" w:space="0" w:color="auto"/>
              <w:right w:val="single" w:sz="4" w:space="0" w:color="auto"/>
            </w:tcBorders>
            <w:shd w:val="clear" w:color="auto" w:fill="auto"/>
            <w:vAlign w:val="center"/>
            <w:hideMark/>
          </w:tcPr>
          <w:p w14:paraId="620C1A06" w14:textId="77777777" w:rsidR="00002D76" w:rsidRPr="00887181" w:rsidRDefault="00002D76" w:rsidP="00D63204">
            <w:pPr>
              <w:spacing w:after="0" w:line="240" w:lineRule="auto"/>
              <w:rPr>
                <w:rFonts w:ascii="Calibri" w:hAnsi="Calibri"/>
                <w:color w:val="231F20"/>
                <w:sz w:val="16"/>
                <w:szCs w:val="16"/>
              </w:rPr>
            </w:pPr>
            <w:r w:rsidRPr="00887181">
              <w:rPr>
                <w:rFonts w:ascii="Calibri" w:hAnsi="Calibri"/>
                <w:color w:val="231F20"/>
                <w:sz w:val="16"/>
                <w:szCs w:val="16"/>
              </w:rPr>
              <w:t>7.1%</w:t>
            </w:r>
          </w:p>
        </w:tc>
        <w:tc>
          <w:tcPr>
            <w:tcW w:w="0" w:type="auto"/>
            <w:tcBorders>
              <w:top w:val="nil"/>
              <w:left w:val="nil"/>
              <w:bottom w:val="single" w:sz="4" w:space="0" w:color="auto"/>
              <w:right w:val="single" w:sz="4" w:space="0" w:color="auto"/>
            </w:tcBorders>
            <w:shd w:val="clear" w:color="auto" w:fill="auto"/>
            <w:vAlign w:val="center"/>
            <w:hideMark/>
          </w:tcPr>
          <w:p w14:paraId="054F3877" w14:textId="77777777" w:rsidR="00002D76" w:rsidRPr="00887181" w:rsidRDefault="00002D76" w:rsidP="00D63204">
            <w:pPr>
              <w:spacing w:after="0" w:line="240" w:lineRule="auto"/>
              <w:rPr>
                <w:rFonts w:ascii="Calibri" w:hAnsi="Calibri"/>
                <w:color w:val="231F20"/>
                <w:sz w:val="16"/>
                <w:szCs w:val="16"/>
              </w:rPr>
            </w:pPr>
            <w:r w:rsidRPr="00887181">
              <w:rPr>
                <w:rFonts w:ascii="Calibri" w:hAnsi="Calibri"/>
                <w:color w:val="231F20"/>
                <w:sz w:val="16"/>
                <w:szCs w:val="16"/>
              </w:rPr>
              <w:t>5.1%</w:t>
            </w:r>
          </w:p>
        </w:tc>
        <w:tc>
          <w:tcPr>
            <w:tcW w:w="0" w:type="auto"/>
            <w:tcBorders>
              <w:top w:val="nil"/>
              <w:left w:val="nil"/>
              <w:bottom w:val="single" w:sz="4" w:space="0" w:color="auto"/>
              <w:right w:val="single" w:sz="4" w:space="0" w:color="auto"/>
            </w:tcBorders>
            <w:shd w:val="clear" w:color="auto" w:fill="auto"/>
            <w:vAlign w:val="center"/>
            <w:hideMark/>
          </w:tcPr>
          <w:p w14:paraId="4B35F05E" w14:textId="77777777" w:rsidR="00002D76" w:rsidRPr="00887181" w:rsidRDefault="00002D76" w:rsidP="00D63204">
            <w:pPr>
              <w:spacing w:after="0" w:line="240" w:lineRule="auto"/>
              <w:rPr>
                <w:rFonts w:ascii="Calibri" w:hAnsi="Calibri"/>
                <w:color w:val="231F20"/>
                <w:sz w:val="16"/>
                <w:szCs w:val="16"/>
              </w:rPr>
            </w:pPr>
            <w:r w:rsidRPr="00887181">
              <w:rPr>
                <w:rFonts w:ascii="Calibri" w:hAnsi="Calibri"/>
                <w:color w:val="231F20"/>
                <w:sz w:val="16"/>
                <w:szCs w:val="16"/>
              </w:rPr>
              <w:t>6.4%</w:t>
            </w:r>
          </w:p>
        </w:tc>
        <w:tc>
          <w:tcPr>
            <w:tcW w:w="0" w:type="auto"/>
            <w:tcBorders>
              <w:top w:val="nil"/>
              <w:left w:val="nil"/>
              <w:bottom w:val="single" w:sz="4" w:space="0" w:color="auto"/>
              <w:right w:val="single" w:sz="4" w:space="0" w:color="auto"/>
            </w:tcBorders>
            <w:shd w:val="clear" w:color="auto" w:fill="auto"/>
            <w:vAlign w:val="center"/>
            <w:hideMark/>
          </w:tcPr>
          <w:p w14:paraId="6F531665" w14:textId="77777777" w:rsidR="00002D76" w:rsidRPr="00887181" w:rsidRDefault="00002D76" w:rsidP="00D63204">
            <w:pPr>
              <w:spacing w:after="0" w:line="240" w:lineRule="auto"/>
              <w:rPr>
                <w:rFonts w:ascii="Calibri" w:hAnsi="Calibri"/>
                <w:color w:val="231F20"/>
                <w:sz w:val="16"/>
                <w:szCs w:val="16"/>
              </w:rPr>
            </w:pPr>
            <w:r w:rsidRPr="00887181">
              <w:rPr>
                <w:rFonts w:ascii="Calibri" w:hAnsi="Calibri"/>
                <w:color w:val="231F20"/>
                <w:sz w:val="16"/>
                <w:szCs w:val="16"/>
              </w:rPr>
              <w:t>5.6%</w:t>
            </w:r>
          </w:p>
        </w:tc>
        <w:tc>
          <w:tcPr>
            <w:tcW w:w="0" w:type="auto"/>
            <w:tcBorders>
              <w:top w:val="nil"/>
              <w:left w:val="nil"/>
              <w:bottom w:val="single" w:sz="4" w:space="0" w:color="auto"/>
              <w:right w:val="single" w:sz="4" w:space="0" w:color="auto"/>
            </w:tcBorders>
            <w:shd w:val="clear" w:color="auto" w:fill="auto"/>
            <w:vAlign w:val="center"/>
            <w:hideMark/>
          </w:tcPr>
          <w:p w14:paraId="618F0F22" w14:textId="77777777" w:rsidR="00002D76" w:rsidRPr="00887181" w:rsidRDefault="00002D76" w:rsidP="00D63204">
            <w:pPr>
              <w:spacing w:after="0" w:line="240" w:lineRule="auto"/>
              <w:rPr>
                <w:rFonts w:ascii="Calibri" w:hAnsi="Calibri"/>
                <w:color w:val="231F20"/>
                <w:sz w:val="16"/>
                <w:szCs w:val="16"/>
              </w:rPr>
            </w:pPr>
            <w:r w:rsidRPr="00887181">
              <w:rPr>
                <w:rFonts w:ascii="Calibri" w:hAnsi="Calibri"/>
                <w:color w:val="231F20"/>
                <w:sz w:val="16"/>
                <w:szCs w:val="16"/>
              </w:rPr>
              <w:t>5.2%</w:t>
            </w:r>
          </w:p>
        </w:tc>
        <w:tc>
          <w:tcPr>
            <w:tcW w:w="0" w:type="auto"/>
            <w:tcBorders>
              <w:top w:val="nil"/>
              <w:left w:val="nil"/>
              <w:bottom w:val="single" w:sz="4" w:space="0" w:color="auto"/>
              <w:right w:val="single" w:sz="4" w:space="0" w:color="auto"/>
            </w:tcBorders>
            <w:shd w:val="clear" w:color="auto" w:fill="auto"/>
            <w:vAlign w:val="center"/>
            <w:hideMark/>
          </w:tcPr>
          <w:p w14:paraId="484481AA" w14:textId="77777777" w:rsidR="00002D76" w:rsidRPr="00887181" w:rsidRDefault="00002D76" w:rsidP="00D63204">
            <w:pPr>
              <w:spacing w:after="0" w:line="240" w:lineRule="auto"/>
              <w:rPr>
                <w:rFonts w:ascii="Calibri" w:hAnsi="Calibri"/>
                <w:color w:val="231F20"/>
                <w:sz w:val="16"/>
                <w:szCs w:val="16"/>
              </w:rPr>
            </w:pPr>
            <w:r w:rsidRPr="00887181">
              <w:rPr>
                <w:rFonts w:ascii="Calibri" w:hAnsi="Calibri"/>
                <w:color w:val="231F20"/>
                <w:sz w:val="16"/>
                <w:szCs w:val="16"/>
              </w:rPr>
              <w:t>3.9%</w:t>
            </w:r>
          </w:p>
        </w:tc>
        <w:tc>
          <w:tcPr>
            <w:tcW w:w="0" w:type="auto"/>
            <w:tcBorders>
              <w:top w:val="nil"/>
              <w:left w:val="nil"/>
              <w:bottom w:val="single" w:sz="4" w:space="0" w:color="auto"/>
              <w:right w:val="single" w:sz="4" w:space="0" w:color="auto"/>
            </w:tcBorders>
            <w:shd w:val="clear" w:color="auto" w:fill="auto"/>
            <w:vAlign w:val="center"/>
            <w:hideMark/>
          </w:tcPr>
          <w:p w14:paraId="072F2955" w14:textId="77777777" w:rsidR="00002D76" w:rsidRPr="00887181" w:rsidRDefault="00002D76" w:rsidP="00D63204">
            <w:pPr>
              <w:spacing w:after="0" w:line="240" w:lineRule="auto"/>
              <w:rPr>
                <w:rFonts w:ascii="Calibri" w:hAnsi="Calibri"/>
                <w:color w:val="231F20"/>
                <w:sz w:val="16"/>
                <w:szCs w:val="16"/>
              </w:rPr>
            </w:pPr>
            <w:r w:rsidRPr="00887181">
              <w:rPr>
                <w:rFonts w:ascii="Calibri" w:hAnsi="Calibri"/>
                <w:color w:val="231F20"/>
                <w:sz w:val="16"/>
                <w:szCs w:val="16"/>
              </w:rPr>
              <w:t>7.4%</w:t>
            </w:r>
          </w:p>
        </w:tc>
      </w:tr>
      <w:tr w:rsidR="00002D76" w:rsidRPr="00887181" w14:paraId="2E3775AE" w14:textId="77777777" w:rsidTr="001429C7">
        <w:trPr>
          <w:trHeight w:hRule="exact" w:val="300"/>
        </w:trPr>
        <w:tc>
          <w:tcPr>
            <w:tcW w:w="0" w:type="auto"/>
            <w:tcBorders>
              <w:top w:val="nil"/>
              <w:left w:val="single" w:sz="4" w:space="0" w:color="auto"/>
              <w:bottom w:val="single" w:sz="4" w:space="0" w:color="auto"/>
              <w:right w:val="single" w:sz="4" w:space="0" w:color="auto"/>
            </w:tcBorders>
            <w:shd w:val="clear" w:color="000000" w:fill="E6E7E8"/>
            <w:vAlign w:val="center"/>
            <w:hideMark/>
          </w:tcPr>
          <w:p w14:paraId="473B8A9C" w14:textId="77777777" w:rsidR="00002D76" w:rsidRPr="00887181" w:rsidRDefault="00002D76" w:rsidP="00D63204">
            <w:pPr>
              <w:spacing w:after="0" w:line="240" w:lineRule="auto"/>
              <w:rPr>
                <w:rFonts w:ascii="Calibri" w:hAnsi="Calibri"/>
                <w:color w:val="231F20"/>
                <w:sz w:val="16"/>
                <w:szCs w:val="16"/>
              </w:rPr>
            </w:pPr>
            <w:r w:rsidRPr="00887181">
              <w:rPr>
                <w:rFonts w:ascii="Calibri" w:hAnsi="Calibri"/>
                <w:color w:val="231F20"/>
                <w:sz w:val="16"/>
                <w:szCs w:val="16"/>
              </w:rPr>
              <w:t>310000</w:t>
            </w:r>
          </w:p>
        </w:tc>
        <w:tc>
          <w:tcPr>
            <w:tcW w:w="0" w:type="auto"/>
            <w:tcBorders>
              <w:top w:val="nil"/>
              <w:left w:val="nil"/>
              <w:bottom w:val="single" w:sz="4" w:space="0" w:color="auto"/>
              <w:right w:val="single" w:sz="4" w:space="0" w:color="auto"/>
            </w:tcBorders>
            <w:shd w:val="clear" w:color="000000" w:fill="E6E7E8"/>
            <w:vAlign w:val="center"/>
            <w:hideMark/>
          </w:tcPr>
          <w:p w14:paraId="524152EB" w14:textId="77777777" w:rsidR="00002D76" w:rsidRPr="00887181" w:rsidRDefault="00002D76" w:rsidP="001429C7">
            <w:pPr>
              <w:spacing w:after="0" w:line="240" w:lineRule="auto"/>
              <w:rPr>
                <w:rFonts w:ascii="Calibri" w:hAnsi="Calibri"/>
                <w:color w:val="231F20"/>
                <w:sz w:val="16"/>
                <w:szCs w:val="16"/>
              </w:rPr>
            </w:pPr>
            <w:r w:rsidRPr="00887181">
              <w:rPr>
                <w:rFonts w:ascii="Calibri" w:hAnsi="Calibri"/>
                <w:color w:val="231F20"/>
                <w:sz w:val="16"/>
                <w:szCs w:val="16"/>
              </w:rPr>
              <w:t>Healthcare Support</w:t>
            </w:r>
          </w:p>
        </w:tc>
        <w:tc>
          <w:tcPr>
            <w:tcW w:w="0" w:type="auto"/>
            <w:tcBorders>
              <w:top w:val="nil"/>
              <w:left w:val="nil"/>
              <w:bottom w:val="single" w:sz="4" w:space="0" w:color="auto"/>
              <w:right w:val="single" w:sz="4" w:space="0" w:color="auto"/>
            </w:tcBorders>
            <w:shd w:val="clear" w:color="000000" w:fill="E6E7E8"/>
            <w:vAlign w:val="center"/>
            <w:hideMark/>
          </w:tcPr>
          <w:p w14:paraId="2F16EFD1" w14:textId="77777777" w:rsidR="00002D76" w:rsidRPr="00887181" w:rsidRDefault="00002D76" w:rsidP="00D63204">
            <w:pPr>
              <w:spacing w:after="0" w:line="240" w:lineRule="auto"/>
              <w:rPr>
                <w:rFonts w:ascii="Calibri" w:hAnsi="Calibri"/>
                <w:color w:val="231F20"/>
                <w:sz w:val="16"/>
                <w:szCs w:val="16"/>
              </w:rPr>
            </w:pPr>
            <w:r w:rsidRPr="00887181">
              <w:rPr>
                <w:rFonts w:ascii="Calibri" w:hAnsi="Calibri"/>
                <w:color w:val="231F20"/>
                <w:sz w:val="16"/>
                <w:szCs w:val="16"/>
              </w:rPr>
              <w:t>2.8%</w:t>
            </w:r>
          </w:p>
        </w:tc>
        <w:tc>
          <w:tcPr>
            <w:tcW w:w="0" w:type="auto"/>
            <w:tcBorders>
              <w:top w:val="nil"/>
              <w:left w:val="nil"/>
              <w:bottom w:val="single" w:sz="4" w:space="0" w:color="auto"/>
              <w:right w:val="single" w:sz="4" w:space="0" w:color="auto"/>
            </w:tcBorders>
            <w:shd w:val="clear" w:color="000000" w:fill="E6E7E8"/>
            <w:vAlign w:val="center"/>
            <w:hideMark/>
          </w:tcPr>
          <w:p w14:paraId="1DFAF4BA" w14:textId="77777777" w:rsidR="00002D76" w:rsidRPr="00887181" w:rsidRDefault="00002D76" w:rsidP="00D63204">
            <w:pPr>
              <w:spacing w:after="0" w:line="240" w:lineRule="auto"/>
              <w:rPr>
                <w:rFonts w:ascii="Calibri" w:hAnsi="Calibri"/>
                <w:color w:val="231F20"/>
                <w:sz w:val="16"/>
                <w:szCs w:val="16"/>
              </w:rPr>
            </w:pPr>
            <w:r w:rsidRPr="00887181">
              <w:rPr>
                <w:rFonts w:ascii="Calibri" w:hAnsi="Calibri"/>
                <w:color w:val="231F20"/>
                <w:sz w:val="16"/>
                <w:szCs w:val="16"/>
              </w:rPr>
              <w:t>3.1%</w:t>
            </w:r>
          </w:p>
        </w:tc>
        <w:tc>
          <w:tcPr>
            <w:tcW w:w="0" w:type="auto"/>
            <w:tcBorders>
              <w:top w:val="nil"/>
              <w:left w:val="nil"/>
              <w:bottom w:val="single" w:sz="4" w:space="0" w:color="auto"/>
              <w:right w:val="single" w:sz="4" w:space="0" w:color="auto"/>
            </w:tcBorders>
            <w:shd w:val="clear" w:color="000000" w:fill="E6E7E8"/>
            <w:vAlign w:val="center"/>
            <w:hideMark/>
          </w:tcPr>
          <w:p w14:paraId="3F8B4834" w14:textId="77777777" w:rsidR="00002D76" w:rsidRPr="00887181" w:rsidRDefault="00002D76" w:rsidP="00D63204">
            <w:pPr>
              <w:spacing w:after="0" w:line="240" w:lineRule="auto"/>
              <w:rPr>
                <w:rFonts w:ascii="Calibri" w:hAnsi="Calibri"/>
                <w:color w:val="231F20"/>
                <w:sz w:val="16"/>
                <w:szCs w:val="16"/>
              </w:rPr>
            </w:pPr>
            <w:r w:rsidRPr="00887181">
              <w:rPr>
                <w:rFonts w:ascii="Calibri" w:hAnsi="Calibri"/>
                <w:color w:val="231F20"/>
                <w:sz w:val="16"/>
                <w:szCs w:val="16"/>
              </w:rPr>
              <w:t>1.8%</w:t>
            </w:r>
          </w:p>
        </w:tc>
        <w:tc>
          <w:tcPr>
            <w:tcW w:w="0" w:type="auto"/>
            <w:tcBorders>
              <w:top w:val="nil"/>
              <w:left w:val="nil"/>
              <w:bottom w:val="single" w:sz="4" w:space="0" w:color="auto"/>
              <w:right w:val="single" w:sz="4" w:space="0" w:color="auto"/>
            </w:tcBorders>
            <w:shd w:val="clear" w:color="000000" w:fill="E6E7E8"/>
            <w:vAlign w:val="center"/>
            <w:hideMark/>
          </w:tcPr>
          <w:p w14:paraId="5D5DDB6A" w14:textId="77777777" w:rsidR="00002D76" w:rsidRPr="00887181" w:rsidRDefault="00002D76" w:rsidP="00D63204">
            <w:pPr>
              <w:spacing w:after="0" w:line="240" w:lineRule="auto"/>
              <w:rPr>
                <w:rFonts w:ascii="Calibri" w:hAnsi="Calibri"/>
                <w:color w:val="231F20"/>
                <w:sz w:val="16"/>
                <w:szCs w:val="16"/>
              </w:rPr>
            </w:pPr>
            <w:r w:rsidRPr="00887181">
              <w:rPr>
                <w:rFonts w:ascii="Calibri" w:hAnsi="Calibri"/>
                <w:color w:val="231F20"/>
                <w:sz w:val="16"/>
                <w:szCs w:val="16"/>
              </w:rPr>
              <w:t>3.6%</w:t>
            </w:r>
          </w:p>
        </w:tc>
        <w:tc>
          <w:tcPr>
            <w:tcW w:w="0" w:type="auto"/>
            <w:tcBorders>
              <w:top w:val="nil"/>
              <w:left w:val="nil"/>
              <w:bottom w:val="single" w:sz="4" w:space="0" w:color="auto"/>
              <w:right w:val="single" w:sz="4" w:space="0" w:color="auto"/>
            </w:tcBorders>
            <w:shd w:val="clear" w:color="000000" w:fill="E6E7E8"/>
            <w:vAlign w:val="center"/>
            <w:hideMark/>
          </w:tcPr>
          <w:p w14:paraId="74B75A41" w14:textId="77777777" w:rsidR="00002D76" w:rsidRPr="00887181" w:rsidRDefault="00002D76" w:rsidP="00D63204">
            <w:pPr>
              <w:spacing w:after="0" w:line="240" w:lineRule="auto"/>
              <w:rPr>
                <w:rFonts w:ascii="Calibri" w:hAnsi="Calibri"/>
                <w:color w:val="231F20"/>
                <w:sz w:val="16"/>
                <w:szCs w:val="16"/>
              </w:rPr>
            </w:pPr>
            <w:r w:rsidRPr="00887181">
              <w:rPr>
                <w:rFonts w:ascii="Calibri" w:hAnsi="Calibri"/>
                <w:color w:val="231F20"/>
                <w:sz w:val="16"/>
                <w:szCs w:val="16"/>
              </w:rPr>
              <w:t>2.5%</w:t>
            </w:r>
          </w:p>
        </w:tc>
        <w:tc>
          <w:tcPr>
            <w:tcW w:w="0" w:type="auto"/>
            <w:tcBorders>
              <w:top w:val="nil"/>
              <w:left w:val="nil"/>
              <w:bottom w:val="single" w:sz="4" w:space="0" w:color="auto"/>
              <w:right w:val="single" w:sz="4" w:space="0" w:color="auto"/>
            </w:tcBorders>
            <w:shd w:val="clear" w:color="000000" w:fill="E6E7E8"/>
            <w:vAlign w:val="center"/>
            <w:hideMark/>
          </w:tcPr>
          <w:p w14:paraId="390E6D45" w14:textId="77777777" w:rsidR="00002D76" w:rsidRPr="00887181" w:rsidRDefault="00002D76" w:rsidP="00D63204">
            <w:pPr>
              <w:spacing w:after="0" w:line="240" w:lineRule="auto"/>
              <w:rPr>
                <w:rFonts w:ascii="Calibri" w:hAnsi="Calibri"/>
                <w:color w:val="231F20"/>
                <w:sz w:val="16"/>
                <w:szCs w:val="16"/>
              </w:rPr>
            </w:pPr>
            <w:r w:rsidRPr="00887181">
              <w:rPr>
                <w:rFonts w:ascii="Calibri" w:hAnsi="Calibri"/>
                <w:color w:val="231F20"/>
                <w:sz w:val="16"/>
                <w:szCs w:val="16"/>
              </w:rPr>
              <w:t>2.4%</w:t>
            </w:r>
          </w:p>
        </w:tc>
        <w:tc>
          <w:tcPr>
            <w:tcW w:w="0" w:type="auto"/>
            <w:tcBorders>
              <w:top w:val="nil"/>
              <w:left w:val="nil"/>
              <w:bottom w:val="single" w:sz="4" w:space="0" w:color="auto"/>
              <w:right w:val="single" w:sz="4" w:space="0" w:color="auto"/>
            </w:tcBorders>
            <w:shd w:val="clear" w:color="000000" w:fill="E6E7E8"/>
            <w:vAlign w:val="center"/>
            <w:hideMark/>
          </w:tcPr>
          <w:p w14:paraId="7982BB11" w14:textId="77777777" w:rsidR="00002D76" w:rsidRPr="00887181" w:rsidRDefault="00002D76" w:rsidP="00D63204">
            <w:pPr>
              <w:spacing w:after="0" w:line="240" w:lineRule="auto"/>
              <w:rPr>
                <w:rFonts w:ascii="Calibri" w:hAnsi="Calibri"/>
                <w:color w:val="231F20"/>
                <w:sz w:val="16"/>
                <w:szCs w:val="16"/>
              </w:rPr>
            </w:pPr>
            <w:r w:rsidRPr="00887181">
              <w:rPr>
                <w:rFonts w:ascii="Calibri" w:hAnsi="Calibri"/>
                <w:color w:val="231F20"/>
                <w:sz w:val="16"/>
                <w:szCs w:val="16"/>
              </w:rPr>
              <w:t>2.8%</w:t>
            </w:r>
          </w:p>
        </w:tc>
        <w:tc>
          <w:tcPr>
            <w:tcW w:w="0" w:type="auto"/>
            <w:tcBorders>
              <w:top w:val="nil"/>
              <w:left w:val="nil"/>
              <w:bottom w:val="single" w:sz="4" w:space="0" w:color="auto"/>
              <w:right w:val="single" w:sz="4" w:space="0" w:color="auto"/>
            </w:tcBorders>
            <w:shd w:val="clear" w:color="000000" w:fill="E6E7E8"/>
            <w:vAlign w:val="center"/>
            <w:hideMark/>
          </w:tcPr>
          <w:p w14:paraId="274F7490" w14:textId="77777777" w:rsidR="00002D76" w:rsidRPr="00887181" w:rsidRDefault="00002D76" w:rsidP="00D63204">
            <w:pPr>
              <w:spacing w:after="0" w:line="240" w:lineRule="auto"/>
              <w:rPr>
                <w:rFonts w:ascii="Calibri" w:hAnsi="Calibri"/>
                <w:color w:val="231F20"/>
                <w:sz w:val="16"/>
                <w:szCs w:val="16"/>
              </w:rPr>
            </w:pPr>
            <w:r w:rsidRPr="00887181">
              <w:rPr>
                <w:rFonts w:ascii="Calibri" w:hAnsi="Calibri"/>
                <w:color w:val="231F20"/>
                <w:sz w:val="16"/>
                <w:szCs w:val="16"/>
              </w:rPr>
              <w:t>3.5%</w:t>
            </w:r>
          </w:p>
        </w:tc>
      </w:tr>
      <w:tr w:rsidR="00002D76" w:rsidRPr="00887181" w14:paraId="2473B36D" w14:textId="77777777" w:rsidTr="001429C7">
        <w:trPr>
          <w:trHeight w:hRule="exac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0AA64FC" w14:textId="77777777" w:rsidR="00002D76" w:rsidRPr="00887181" w:rsidRDefault="00002D76" w:rsidP="00D63204">
            <w:pPr>
              <w:spacing w:after="0" w:line="240" w:lineRule="auto"/>
              <w:rPr>
                <w:rFonts w:ascii="Calibri" w:hAnsi="Calibri"/>
                <w:color w:val="231F20"/>
                <w:sz w:val="16"/>
                <w:szCs w:val="16"/>
              </w:rPr>
            </w:pPr>
            <w:r w:rsidRPr="00887181">
              <w:rPr>
                <w:rFonts w:ascii="Calibri" w:hAnsi="Calibri"/>
                <w:color w:val="231F20"/>
                <w:sz w:val="16"/>
                <w:szCs w:val="16"/>
              </w:rPr>
              <w:t>330000</w:t>
            </w:r>
          </w:p>
        </w:tc>
        <w:tc>
          <w:tcPr>
            <w:tcW w:w="0" w:type="auto"/>
            <w:tcBorders>
              <w:top w:val="nil"/>
              <w:left w:val="nil"/>
              <w:bottom w:val="single" w:sz="4" w:space="0" w:color="auto"/>
              <w:right w:val="single" w:sz="4" w:space="0" w:color="auto"/>
            </w:tcBorders>
            <w:shd w:val="clear" w:color="auto" w:fill="auto"/>
            <w:vAlign w:val="center"/>
            <w:hideMark/>
          </w:tcPr>
          <w:p w14:paraId="43F0EA0B" w14:textId="77777777" w:rsidR="00002D76" w:rsidRPr="00887181" w:rsidRDefault="00002D76" w:rsidP="001429C7">
            <w:pPr>
              <w:spacing w:after="0" w:line="240" w:lineRule="auto"/>
              <w:rPr>
                <w:rFonts w:ascii="Calibri" w:hAnsi="Calibri"/>
                <w:color w:val="231F20"/>
                <w:sz w:val="16"/>
                <w:szCs w:val="16"/>
              </w:rPr>
            </w:pPr>
            <w:r w:rsidRPr="00887181">
              <w:rPr>
                <w:rFonts w:ascii="Calibri" w:hAnsi="Calibri"/>
                <w:color w:val="231F20"/>
                <w:sz w:val="16"/>
                <w:szCs w:val="16"/>
              </w:rPr>
              <w:t>Protective Service</w:t>
            </w:r>
          </w:p>
        </w:tc>
        <w:tc>
          <w:tcPr>
            <w:tcW w:w="0" w:type="auto"/>
            <w:tcBorders>
              <w:top w:val="nil"/>
              <w:left w:val="nil"/>
              <w:bottom w:val="single" w:sz="4" w:space="0" w:color="auto"/>
              <w:right w:val="single" w:sz="4" w:space="0" w:color="auto"/>
            </w:tcBorders>
            <w:shd w:val="clear" w:color="auto" w:fill="auto"/>
            <w:vAlign w:val="center"/>
            <w:hideMark/>
          </w:tcPr>
          <w:p w14:paraId="0C4F8150" w14:textId="77777777" w:rsidR="00002D76" w:rsidRPr="00887181" w:rsidRDefault="00002D76" w:rsidP="00D63204">
            <w:pPr>
              <w:spacing w:after="0" w:line="240" w:lineRule="auto"/>
              <w:rPr>
                <w:rFonts w:ascii="Calibri" w:hAnsi="Calibri"/>
                <w:color w:val="231F20"/>
                <w:sz w:val="16"/>
                <w:szCs w:val="16"/>
              </w:rPr>
            </w:pPr>
            <w:r w:rsidRPr="00887181">
              <w:rPr>
                <w:rFonts w:ascii="Calibri" w:hAnsi="Calibri"/>
                <w:color w:val="231F20"/>
                <w:sz w:val="16"/>
                <w:szCs w:val="16"/>
              </w:rPr>
              <w:t>2.6%</w:t>
            </w:r>
          </w:p>
        </w:tc>
        <w:tc>
          <w:tcPr>
            <w:tcW w:w="0" w:type="auto"/>
            <w:tcBorders>
              <w:top w:val="nil"/>
              <w:left w:val="nil"/>
              <w:bottom w:val="single" w:sz="4" w:space="0" w:color="auto"/>
              <w:right w:val="single" w:sz="4" w:space="0" w:color="auto"/>
            </w:tcBorders>
            <w:shd w:val="clear" w:color="auto" w:fill="auto"/>
            <w:vAlign w:val="center"/>
            <w:hideMark/>
          </w:tcPr>
          <w:p w14:paraId="6120A151" w14:textId="77777777" w:rsidR="00002D76" w:rsidRPr="00887181" w:rsidRDefault="00002D76" w:rsidP="00D63204">
            <w:pPr>
              <w:spacing w:after="0" w:line="240" w:lineRule="auto"/>
              <w:rPr>
                <w:rFonts w:ascii="Calibri" w:hAnsi="Calibri"/>
                <w:color w:val="231F20"/>
                <w:sz w:val="16"/>
                <w:szCs w:val="16"/>
              </w:rPr>
            </w:pPr>
            <w:r w:rsidRPr="00887181">
              <w:rPr>
                <w:rFonts w:ascii="Calibri" w:hAnsi="Calibri"/>
                <w:color w:val="231F20"/>
                <w:sz w:val="16"/>
                <w:szCs w:val="16"/>
              </w:rPr>
              <w:t>2.8%</w:t>
            </w:r>
          </w:p>
        </w:tc>
        <w:tc>
          <w:tcPr>
            <w:tcW w:w="0" w:type="auto"/>
            <w:tcBorders>
              <w:top w:val="nil"/>
              <w:left w:val="nil"/>
              <w:bottom w:val="single" w:sz="4" w:space="0" w:color="auto"/>
              <w:right w:val="single" w:sz="4" w:space="0" w:color="auto"/>
            </w:tcBorders>
            <w:shd w:val="clear" w:color="auto" w:fill="auto"/>
            <w:vAlign w:val="center"/>
            <w:hideMark/>
          </w:tcPr>
          <w:p w14:paraId="3BD996AA" w14:textId="77777777" w:rsidR="00002D76" w:rsidRPr="00887181" w:rsidRDefault="00002D76" w:rsidP="00D63204">
            <w:pPr>
              <w:spacing w:after="0" w:line="240" w:lineRule="auto"/>
              <w:rPr>
                <w:rFonts w:ascii="Calibri" w:hAnsi="Calibri"/>
                <w:color w:val="231F20"/>
                <w:sz w:val="16"/>
                <w:szCs w:val="16"/>
              </w:rPr>
            </w:pPr>
            <w:r w:rsidRPr="00887181">
              <w:rPr>
                <w:rFonts w:ascii="Calibri" w:hAnsi="Calibri"/>
                <w:color w:val="231F20"/>
                <w:sz w:val="16"/>
                <w:szCs w:val="16"/>
              </w:rPr>
              <w:t>2.0%</w:t>
            </w:r>
          </w:p>
        </w:tc>
        <w:tc>
          <w:tcPr>
            <w:tcW w:w="0" w:type="auto"/>
            <w:tcBorders>
              <w:top w:val="nil"/>
              <w:left w:val="nil"/>
              <w:bottom w:val="single" w:sz="4" w:space="0" w:color="auto"/>
              <w:right w:val="single" w:sz="4" w:space="0" w:color="auto"/>
            </w:tcBorders>
            <w:shd w:val="clear" w:color="auto" w:fill="auto"/>
            <w:vAlign w:val="center"/>
            <w:hideMark/>
          </w:tcPr>
          <w:p w14:paraId="2575C35D" w14:textId="77777777" w:rsidR="00002D76" w:rsidRPr="00887181" w:rsidRDefault="00002D76" w:rsidP="00D63204">
            <w:pPr>
              <w:spacing w:after="0" w:line="240" w:lineRule="auto"/>
              <w:rPr>
                <w:rFonts w:ascii="Calibri" w:hAnsi="Calibri"/>
                <w:color w:val="231F20"/>
                <w:sz w:val="16"/>
                <w:szCs w:val="16"/>
              </w:rPr>
            </w:pPr>
            <w:r w:rsidRPr="00887181">
              <w:rPr>
                <w:rFonts w:ascii="Calibri" w:hAnsi="Calibri"/>
                <w:color w:val="231F20"/>
                <w:sz w:val="16"/>
                <w:szCs w:val="16"/>
              </w:rPr>
              <w:t>8.9%</w:t>
            </w:r>
          </w:p>
        </w:tc>
        <w:tc>
          <w:tcPr>
            <w:tcW w:w="0" w:type="auto"/>
            <w:tcBorders>
              <w:top w:val="nil"/>
              <w:left w:val="nil"/>
              <w:bottom w:val="single" w:sz="4" w:space="0" w:color="auto"/>
              <w:right w:val="single" w:sz="4" w:space="0" w:color="auto"/>
            </w:tcBorders>
            <w:shd w:val="clear" w:color="auto" w:fill="auto"/>
            <w:vAlign w:val="center"/>
            <w:hideMark/>
          </w:tcPr>
          <w:p w14:paraId="31D484D4" w14:textId="77777777" w:rsidR="00002D76" w:rsidRPr="00887181" w:rsidRDefault="00002D76" w:rsidP="00D63204">
            <w:pPr>
              <w:spacing w:after="0" w:line="240" w:lineRule="auto"/>
              <w:rPr>
                <w:rFonts w:ascii="Calibri" w:hAnsi="Calibri"/>
                <w:color w:val="231F20"/>
                <w:sz w:val="16"/>
                <w:szCs w:val="16"/>
              </w:rPr>
            </w:pPr>
            <w:r w:rsidRPr="00887181">
              <w:rPr>
                <w:rFonts w:ascii="Calibri" w:hAnsi="Calibri"/>
                <w:color w:val="231F20"/>
                <w:sz w:val="16"/>
                <w:szCs w:val="16"/>
              </w:rPr>
              <w:t>3.2%</w:t>
            </w:r>
          </w:p>
        </w:tc>
        <w:tc>
          <w:tcPr>
            <w:tcW w:w="0" w:type="auto"/>
            <w:tcBorders>
              <w:top w:val="nil"/>
              <w:left w:val="nil"/>
              <w:bottom w:val="single" w:sz="4" w:space="0" w:color="auto"/>
              <w:right w:val="single" w:sz="4" w:space="0" w:color="auto"/>
            </w:tcBorders>
            <w:shd w:val="clear" w:color="auto" w:fill="auto"/>
            <w:vAlign w:val="center"/>
            <w:hideMark/>
          </w:tcPr>
          <w:p w14:paraId="40F87BC7" w14:textId="77777777" w:rsidR="00002D76" w:rsidRPr="00887181" w:rsidRDefault="00002D76" w:rsidP="00D63204">
            <w:pPr>
              <w:spacing w:after="0" w:line="240" w:lineRule="auto"/>
              <w:rPr>
                <w:rFonts w:ascii="Calibri" w:hAnsi="Calibri"/>
                <w:color w:val="231F20"/>
                <w:sz w:val="16"/>
                <w:szCs w:val="16"/>
              </w:rPr>
            </w:pPr>
            <w:r w:rsidRPr="00887181">
              <w:rPr>
                <w:rFonts w:ascii="Calibri" w:hAnsi="Calibri"/>
                <w:color w:val="231F20"/>
                <w:sz w:val="16"/>
                <w:szCs w:val="16"/>
              </w:rPr>
              <w:t>2.6%</w:t>
            </w:r>
          </w:p>
        </w:tc>
        <w:tc>
          <w:tcPr>
            <w:tcW w:w="0" w:type="auto"/>
            <w:tcBorders>
              <w:top w:val="nil"/>
              <w:left w:val="nil"/>
              <w:bottom w:val="single" w:sz="4" w:space="0" w:color="auto"/>
              <w:right w:val="single" w:sz="4" w:space="0" w:color="auto"/>
            </w:tcBorders>
            <w:shd w:val="clear" w:color="auto" w:fill="auto"/>
            <w:vAlign w:val="center"/>
            <w:hideMark/>
          </w:tcPr>
          <w:p w14:paraId="17B15511" w14:textId="77777777" w:rsidR="00002D76" w:rsidRPr="00887181" w:rsidRDefault="00002D76" w:rsidP="00D63204">
            <w:pPr>
              <w:spacing w:after="0" w:line="240" w:lineRule="auto"/>
              <w:rPr>
                <w:rFonts w:ascii="Calibri" w:hAnsi="Calibri"/>
                <w:color w:val="231F20"/>
                <w:sz w:val="16"/>
                <w:szCs w:val="16"/>
              </w:rPr>
            </w:pPr>
            <w:r w:rsidRPr="00887181">
              <w:rPr>
                <w:rFonts w:ascii="Calibri" w:hAnsi="Calibri"/>
                <w:color w:val="231F20"/>
                <w:sz w:val="16"/>
                <w:szCs w:val="16"/>
              </w:rPr>
              <w:t>8.1%</w:t>
            </w:r>
          </w:p>
        </w:tc>
        <w:tc>
          <w:tcPr>
            <w:tcW w:w="0" w:type="auto"/>
            <w:tcBorders>
              <w:top w:val="nil"/>
              <w:left w:val="nil"/>
              <w:bottom w:val="single" w:sz="4" w:space="0" w:color="auto"/>
              <w:right w:val="single" w:sz="4" w:space="0" w:color="auto"/>
            </w:tcBorders>
            <w:shd w:val="clear" w:color="auto" w:fill="auto"/>
            <w:vAlign w:val="center"/>
            <w:hideMark/>
          </w:tcPr>
          <w:p w14:paraId="09192381" w14:textId="77777777" w:rsidR="00002D76" w:rsidRPr="00887181" w:rsidRDefault="00002D76" w:rsidP="00D63204">
            <w:pPr>
              <w:spacing w:after="0" w:line="240" w:lineRule="auto"/>
              <w:rPr>
                <w:rFonts w:ascii="Calibri" w:hAnsi="Calibri"/>
                <w:color w:val="231F20"/>
                <w:sz w:val="16"/>
                <w:szCs w:val="16"/>
              </w:rPr>
            </w:pPr>
            <w:r w:rsidRPr="00887181">
              <w:rPr>
                <w:rFonts w:ascii="Calibri" w:hAnsi="Calibri"/>
                <w:color w:val="231F20"/>
                <w:sz w:val="16"/>
                <w:szCs w:val="16"/>
              </w:rPr>
              <w:t>8.6%</w:t>
            </w:r>
          </w:p>
        </w:tc>
      </w:tr>
      <w:tr w:rsidR="00002D76" w:rsidRPr="00887181" w14:paraId="26571E5A" w14:textId="77777777" w:rsidTr="001429C7">
        <w:trPr>
          <w:trHeight w:hRule="exac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5B732D8" w14:textId="77777777" w:rsidR="00002D76" w:rsidRPr="00887181" w:rsidRDefault="00002D76" w:rsidP="00D63204">
            <w:pPr>
              <w:spacing w:after="0" w:line="240" w:lineRule="auto"/>
              <w:rPr>
                <w:rFonts w:ascii="Calibri" w:hAnsi="Calibri"/>
                <w:color w:val="231F20"/>
                <w:sz w:val="16"/>
                <w:szCs w:val="16"/>
              </w:rPr>
            </w:pPr>
            <w:r w:rsidRPr="00887181">
              <w:rPr>
                <w:rFonts w:ascii="Calibri" w:hAnsi="Calibri"/>
                <w:color w:val="231F20"/>
                <w:sz w:val="16"/>
                <w:szCs w:val="16"/>
              </w:rPr>
              <w:t>350000</w:t>
            </w:r>
          </w:p>
        </w:tc>
        <w:tc>
          <w:tcPr>
            <w:tcW w:w="0" w:type="auto"/>
            <w:tcBorders>
              <w:top w:val="nil"/>
              <w:left w:val="nil"/>
              <w:bottom w:val="single" w:sz="4" w:space="0" w:color="auto"/>
              <w:right w:val="single" w:sz="4" w:space="0" w:color="auto"/>
            </w:tcBorders>
            <w:shd w:val="clear" w:color="000000" w:fill="E6E7E8"/>
            <w:vAlign w:val="center"/>
            <w:hideMark/>
          </w:tcPr>
          <w:p w14:paraId="60263E91" w14:textId="77777777" w:rsidR="00002D76" w:rsidRPr="00887181" w:rsidRDefault="00002D76" w:rsidP="001429C7">
            <w:pPr>
              <w:spacing w:after="0" w:line="240" w:lineRule="auto"/>
              <w:rPr>
                <w:rFonts w:ascii="Calibri" w:hAnsi="Calibri"/>
                <w:color w:val="231F20"/>
                <w:sz w:val="16"/>
                <w:szCs w:val="16"/>
              </w:rPr>
            </w:pPr>
            <w:r w:rsidRPr="00887181">
              <w:rPr>
                <w:rFonts w:ascii="Calibri" w:hAnsi="Calibri"/>
                <w:color w:val="231F20"/>
                <w:sz w:val="16"/>
                <w:szCs w:val="16"/>
              </w:rPr>
              <w:t>Food Preparation and Serving Related</w:t>
            </w:r>
          </w:p>
        </w:tc>
        <w:tc>
          <w:tcPr>
            <w:tcW w:w="0" w:type="auto"/>
            <w:tcBorders>
              <w:top w:val="nil"/>
              <w:left w:val="nil"/>
              <w:bottom w:val="single" w:sz="4" w:space="0" w:color="auto"/>
              <w:right w:val="single" w:sz="4" w:space="0" w:color="auto"/>
            </w:tcBorders>
            <w:shd w:val="clear" w:color="000000" w:fill="E6E7E8"/>
            <w:vAlign w:val="center"/>
            <w:hideMark/>
          </w:tcPr>
          <w:p w14:paraId="363B200F" w14:textId="77777777" w:rsidR="00002D76" w:rsidRPr="00887181" w:rsidRDefault="00002D76" w:rsidP="00D63204">
            <w:pPr>
              <w:spacing w:after="0" w:line="240" w:lineRule="auto"/>
              <w:rPr>
                <w:rFonts w:ascii="Calibri" w:hAnsi="Calibri"/>
                <w:color w:val="231F20"/>
                <w:sz w:val="16"/>
                <w:szCs w:val="16"/>
              </w:rPr>
            </w:pPr>
            <w:r w:rsidRPr="00887181">
              <w:rPr>
                <w:rFonts w:ascii="Calibri" w:hAnsi="Calibri"/>
                <w:color w:val="231F20"/>
                <w:sz w:val="16"/>
                <w:szCs w:val="16"/>
              </w:rPr>
              <w:t>10.2%</w:t>
            </w:r>
          </w:p>
        </w:tc>
        <w:tc>
          <w:tcPr>
            <w:tcW w:w="0" w:type="auto"/>
            <w:tcBorders>
              <w:top w:val="nil"/>
              <w:left w:val="nil"/>
              <w:bottom w:val="single" w:sz="4" w:space="0" w:color="auto"/>
              <w:right w:val="single" w:sz="4" w:space="0" w:color="auto"/>
            </w:tcBorders>
            <w:shd w:val="clear" w:color="000000" w:fill="E6E7E8"/>
            <w:vAlign w:val="center"/>
            <w:hideMark/>
          </w:tcPr>
          <w:p w14:paraId="1549C20F" w14:textId="77777777" w:rsidR="00002D76" w:rsidRPr="00887181" w:rsidRDefault="00002D76" w:rsidP="00D63204">
            <w:pPr>
              <w:spacing w:after="0" w:line="240" w:lineRule="auto"/>
              <w:rPr>
                <w:rFonts w:ascii="Calibri" w:hAnsi="Calibri"/>
                <w:color w:val="231F20"/>
                <w:sz w:val="16"/>
                <w:szCs w:val="16"/>
              </w:rPr>
            </w:pPr>
            <w:r w:rsidRPr="00887181">
              <w:rPr>
                <w:rFonts w:ascii="Calibri" w:hAnsi="Calibri"/>
                <w:color w:val="231F20"/>
                <w:sz w:val="16"/>
                <w:szCs w:val="16"/>
              </w:rPr>
              <w:t>11.1%</w:t>
            </w:r>
          </w:p>
        </w:tc>
        <w:tc>
          <w:tcPr>
            <w:tcW w:w="0" w:type="auto"/>
            <w:tcBorders>
              <w:top w:val="nil"/>
              <w:left w:val="nil"/>
              <w:bottom w:val="single" w:sz="4" w:space="0" w:color="auto"/>
              <w:right w:val="single" w:sz="4" w:space="0" w:color="auto"/>
            </w:tcBorders>
            <w:shd w:val="clear" w:color="000000" w:fill="E6E7E8"/>
            <w:vAlign w:val="center"/>
            <w:hideMark/>
          </w:tcPr>
          <w:p w14:paraId="49A66E6C" w14:textId="77777777" w:rsidR="00002D76" w:rsidRPr="00887181" w:rsidRDefault="00002D76" w:rsidP="00D63204">
            <w:pPr>
              <w:spacing w:after="0" w:line="240" w:lineRule="auto"/>
              <w:rPr>
                <w:rFonts w:ascii="Calibri" w:hAnsi="Calibri"/>
                <w:color w:val="231F20"/>
                <w:sz w:val="16"/>
                <w:szCs w:val="16"/>
              </w:rPr>
            </w:pPr>
            <w:r w:rsidRPr="00887181">
              <w:rPr>
                <w:rFonts w:ascii="Calibri" w:hAnsi="Calibri"/>
                <w:color w:val="231F20"/>
                <w:sz w:val="16"/>
                <w:szCs w:val="16"/>
              </w:rPr>
              <w:t>14.3%</w:t>
            </w:r>
          </w:p>
        </w:tc>
        <w:tc>
          <w:tcPr>
            <w:tcW w:w="0" w:type="auto"/>
            <w:tcBorders>
              <w:top w:val="nil"/>
              <w:left w:val="nil"/>
              <w:bottom w:val="single" w:sz="4" w:space="0" w:color="auto"/>
              <w:right w:val="single" w:sz="4" w:space="0" w:color="auto"/>
            </w:tcBorders>
            <w:shd w:val="clear" w:color="000000" w:fill="E6E7E8"/>
            <w:vAlign w:val="center"/>
            <w:hideMark/>
          </w:tcPr>
          <w:p w14:paraId="10E70F30" w14:textId="77777777" w:rsidR="00002D76" w:rsidRPr="00887181" w:rsidRDefault="00002D76" w:rsidP="00D63204">
            <w:pPr>
              <w:spacing w:after="0" w:line="240" w:lineRule="auto"/>
              <w:rPr>
                <w:rFonts w:ascii="Calibri" w:hAnsi="Calibri"/>
                <w:color w:val="231F20"/>
                <w:sz w:val="16"/>
                <w:szCs w:val="16"/>
              </w:rPr>
            </w:pPr>
            <w:r w:rsidRPr="00887181">
              <w:rPr>
                <w:rFonts w:ascii="Calibri" w:hAnsi="Calibri"/>
                <w:color w:val="231F20"/>
                <w:sz w:val="16"/>
                <w:szCs w:val="16"/>
              </w:rPr>
              <w:t>7.3%</w:t>
            </w:r>
          </w:p>
        </w:tc>
        <w:tc>
          <w:tcPr>
            <w:tcW w:w="0" w:type="auto"/>
            <w:tcBorders>
              <w:top w:val="nil"/>
              <w:left w:val="nil"/>
              <w:bottom w:val="single" w:sz="4" w:space="0" w:color="auto"/>
              <w:right w:val="single" w:sz="4" w:space="0" w:color="auto"/>
            </w:tcBorders>
            <w:shd w:val="clear" w:color="000000" w:fill="E6E7E8"/>
            <w:vAlign w:val="center"/>
            <w:hideMark/>
          </w:tcPr>
          <w:p w14:paraId="0B3E51C6" w14:textId="77777777" w:rsidR="00002D76" w:rsidRPr="00887181" w:rsidRDefault="00002D76" w:rsidP="00D63204">
            <w:pPr>
              <w:spacing w:after="0" w:line="240" w:lineRule="auto"/>
              <w:rPr>
                <w:rFonts w:ascii="Calibri" w:hAnsi="Calibri"/>
                <w:color w:val="231F20"/>
                <w:sz w:val="16"/>
                <w:szCs w:val="16"/>
              </w:rPr>
            </w:pPr>
            <w:r w:rsidRPr="00887181">
              <w:rPr>
                <w:rFonts w:ascii="Calibri" w:hAnsi="Calibri"/>
                <w:color w:val="231F20"/>
                <w:sz w:val="16"/>
                <w:szCs w:val="16"/>
              </w:rPr>
              <w:t>12.8%</w:t>
            </w:r>
          </w:p>
        </w:tc>
        <w:tc>
          <w:tcPr>
            <w:tcW w:w="0" w:type="auto"/>
            <w:tcBorders>
              <w:top w:val="nil"/>
              <w:left w:val="nil"/>
              <w:bottom w:val="single" w:sz="4" w:space="0" w:color="auto"/>
              <w:right w:val="single" w:sz="4" w:space="0" w:color="auto"/>
            </w:tcBorders>
            <w:shd w:val="clear" w:color="000000" w:fill="E6E7E8"/>
            <w:vAlign w:val="center"/>
            <w:hideMark/>
          </w:tcPr>
          <w:p w14:paraId="70D3C848" w14:textId="77777777" w:rsidR="00002D76" w:rsidRPr="00887181" w:rsidRDefault="00002D76" w:rsidP="00D63204">
            <w:pPr>
              <w:spacing w:after="0" w:line="240" w:lineRule="auto"/>
              <w:rPr>
                <w:rFonts w:ascii="Calibri" w:hAnsi="Calibri"/>
                <w:color w:val="231F20"/>
                <w:sz w:val="16"/>
                <w:szCs w:val="16"/>
              </w:rPr>
            </w:pPr>
            <w:r w:rsidRPr="00887181">
              <w:rPr>
                <w:rFonts w:ascii="Calibri" w:hAnsi="Calibri"/>
                <w:color w:val="231F20"/>
                <w:sz w:val="16"/>
                <w:szCs w:val="16"/>
              </w:rPr>
              <w:t>9.1%</w:t>
            </w:r>
          </w:p>
        </w:tc>
        <w:tc>
          <w:tcPr>
            <w:tcW w:w="0" w:type="auto"/>
            <w:tcBorders>
              <w:top w:val="nil"/>
              <w:left w:val="nil"/>
              <w:bottom w:val="single" w:sz="4" w:space="0" w:color="auto"/>
              <w:right w:val="single" w:sz="4" w:space="0" w:color="auto"/>
            </w:tcBorders>
            <w:shd w:val="clear" w:color="000000" w:fill="E6E7E8"/>
            <w:vAlign w:val="center"/>
            <w:hideMark/>
          </w:tcPr>
          <w:p w14:paraId="07B76A92" w14:textId="77777777" w:rsidR="00002D76" w:rsidRPr="00887181" w:rsidRDefault="00002D76" w:rsidP="00D63204">
            <w:pPr>
              <w:spacing w:after="0" w:line="240" w:lineRule="auto"/>
              <w:rPr>
                <w:rFonts w:ascii="Calibri" w:hAnsi="Calibri"/>
                <w:color w:val="231F20"/>
                <w:sz w:val="16"/>
                <w:szCs w:val="16"/>
              </w:rPr>
            </w:pPr>
            <w:r w:rsidRPr="00887181">
              <w:rPr>
                <w:rFonts w:ascii="Calibri" w:hAnsi="Calibri"/>
                <w:color w:val="231F20"/>
                <w:sz w:val="16"/>
                <w:szCs w:val="16"/>
              </w:rPr>
              <w:t>6.6%</w:t>
            </w:r>
          </w:p>
        </w:tc>
        <w:tc>
          <w:tcPr>
            <w:tcW w:w="0" w:type="auto"/>
            <w:tcBorders>
              <w:top w:val="nil"/>
              <w:left w:val="nil"/>
              <w:bottom w:val="single" w:sz="4" w:space="0" w:color="auto"/>
              <w:right w:val="single" w:sz="4" w:space="0" w:color="auto"/>
            </w:tcBorders>
            <w:shd w:val="clear" w:color="000000" w:fill="E6E7E8"/>
            <w:vAlign w:val="center"/>
            <w:hideMark/>
          </w:tcPr>
          <w:p w14:paraId="2280129F" w14:textId="77777777" w:rsidR="00002D76" w:rsidRPr="00887181" w:rsidRDefault="00002D76" w:rsidP="00D63204">
            <w:pPr>
              <w:spacing w:after="0" w:line="240" w:lineRule="auto"/>
              <w:rPr>
                <w:rFonts w:ascii="Calibri" w:hAnsi="Calibri"/>
                <w:color w:val="231F20"/>
                <w:sz w:val="16"/>
                <w:szCs w:val="16"/>
              </w:rPr>
            </w:pPr>
            <w:r w:rsidRPr="00887181">
              <w:rPr>
                <w:rFonts w:ascii="Calibri" w:hAnsi="Calibri"/>
                <w:color w:val="231F20"/>
                <w:sz w:val="16"/>
                <w:szCs w:val="16"/>
              </w:rPr>
              <w:t>8.4%</w:t>
            </w:r>
          </w:p>
        </w:tc>
      </w:tr>
      <w:tr w:rsidR="00002D76" w:rsidRPr="00887181" w14:paraId="76E4ACEC" w14:textId="77777777" w:rsidTr="001429C7">
        <w:trPr>
          <w:trHeight w:hRule="exact" w:val="442"/>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7342C32" w14:textId="77777777" w:rsidR="00002D76" w:rsidRPr="00887181" w:rsidRDefault="00002D76" w:rsidP="00D63204">
            <w:pPr>
              <w:spacing w:after="0" w:line="240" w:lineRule="auto"/>
              <w:rPr>
                <w:rFonts w:ascii="Calibri" w:hAnsi="Calibri"/>
                <w:color w:val="231F20"/>
                <w:sz w:val="16"/>
                <w:szCs w:val="16"/>
              </w:rPr>
            </w:pPr>
            <w:r w:rsidRPr="00887181">
              <w:rPr>
                <w:rFonts w:ascii="Calibri" w:hAnsi="Calibri"/>
                <w:color w:val="231F20"/>
                <w:sz w:val="16"/>
                <w:szCs w:val="16"/>
              </w:rPr>
              <w:t>370000</w:t>
            </w:r>
          </w:p>
        </w:tc>
        <w:tc>
          <w:tcPr>
            <w:tcW w:w="0" w:type="auto"/>
            <w:tcBorders>
              <w:top w:val="nil"/>
              <w:left w:val="nil"/>
              <w:bottom w:val="single" w:sz="4" w:space="0" w:color="auto"/>
              <w:right w:val="single" w:sz="4" w:space="0" w:color="auto"/>
            </w:tcBorders>
            <w:shd w:val="clear" w:color="auto" w:fill="auto"/>
            <w:vAlign w:val="center"/>
            <w:hideMark/>
          </w:tcPr>
          <w:p w14:paraId="279081A3" w14:textId="77777777" w:rsidR="00002D76" w:rsidRPr="00887181" w:rsidRDefault="00002D76" w:rsidP="001429C7">
            <w:pPr>
              <w:spacing w:after="0" w:line="240" w:lineRule="auto"/>
              <w:rPr>
                <w:rFonts w:ascii="Calibri" w:hAnsi="Calibri"/>
                <w:color w:val="231F20"/>
                <w:sz w:val="16"/>
                <w:szCs w:val="16"/>
              </w:rPr>
            </w:pPr>
            <w:r w:rsidRPr="00887181">
              <w:rPr>
                <w:rFonts w:ascii="Calibri" w:hAnsi="Calibri"/>
                <w:color w:val="231F20"/>
                <w:sz w:val="16"/>
                <w:szCs w:val="16"/>
              </w:rPr>
              <w:t>Building and Grounds Cleaning and Maintenance</w:t>
            </w:r>
          </w:p>
        </w:tc>
        <w:tc>
          <w:tcPr>
            <w:tcW w:w="0" w:type="auto"/>
            <w:tcBorders>
              <w:top w:val="nil"/>
              <w:left w:val="nil"/>
              <w:bottom w:val="single" w:sz="4" w:space="0" w:color="auto"/>
              <w:right w:val="single" w:sz="4" w:space="0" w:color="auto"/>
            </w:tcBorders>
            <w:shd w:val="clear" w:color="auto" w:fill="auto"/>
            <w:vAlign w:val="center"/>
            <w:hideMark/>
          </w:tcPr>
          <w:p w14:paraId="6DCA0D46" w14:textId="77777777" w:rsidR="00002D76" w:rsidRPr="00887181" w:rsidRDefault="00002D76" w:rsidP="00D63204">
            <w:pPr>
              <w:spacing w:after="0" w:line="240" w:lineRule="auto"/>
              <w:rPr>
                <w:rFonts w:ascii="Calibri" w:hAnsi="Calibri"/>
                <w:color w:val="231F20"/>
                <w:sz w:val="16"/>
                <w:szCs w:val="16"/>
              </w:rPr>
            </w:pPr>
            <w:r w:rsidRPr="00887181">
              <w:rPr>
                <w:rFonts w:ascii="Calibri" w:hAnsi="Calibri"/>
                <w:color w:val="231F20"/>
                <w:sz w:val="16"/>
                <w:szCs w:val="16"/>
              </w:rPr>
              <w:t>4.2%</w:t>
            </w:r>
          </w:p>
        </w:tc>
        <w:tc>
          <w:tcPr>
            <w:tcW w:w="0" w:type="auto"/>
            <w:tcBorders>
              <w:top w:val="nil"/>
              <w:left w:val="nil"/>
              <w:bottom w:val="single" w:sz="4" w:space="0" w:color="auto"/>
              <w:right w:val="single" w:sz="4" w:space="0" w:color="auto"/>
            </w:tcBorders>
            <w:shd w:val="clear" w:color="auto" w:fill="auto"/>
            <w:vAlign w:val="center"/>
            <w:hideMark/>
          </w:tcPr>
          <w:p w14:paraId="7B6C2612" w14:textId="77777777" w:rsidR="00002D76" w:rsidRPr="00887181" w:rsidRDefault="00002D76" w:rsidP="00D63204">
            <w:pPr>
              <w:spacing w:after="0" w:line="240" w:lineRule="auto"/>
              <w:rPr>
                <w:rFonts w:ascii="Calibri" w:hAnsi="Calibri"/>
                <w:color w:val="231F20"/>
                <w:sz w:val="16"/>
                <w:szCs w:val="16"/>
              </w:rPr>
            </w:pPr>
            <w:r w:rsidRPr="00887181">
              <w:rPr>
                <w:rFonts w:ascii="Calibri" w:hAnsi="Calibri"/>
                <w:color w:val="231F20"/>
                <w:sz w:val="16"/>
                <w:szCs w:val="16"/>
              </w:rPr>
              <w:t>3.8%</w:t>
            </w:r>
          </w:p>
        </w:tc>
        <w:tc>
          <w:tcPr>
            <w:tcW w:w="0" w:type="auto"/>
            <w:tcBorders>
              <w:top w:val="nil"/>
              <w:left w:val="nil"/>
              <w:bottom w:val="single" w:sz="4" w:space="0" w:color="auto"/>
              <w:right w:val="single" w:sz="4" w:space="0" w:color="auto"/>
            </w:tcBorders>
            <w:shd w:val="clear" w:color="auto" w:fill="auto"/>
            <w:vAlign w:val="center"/>
            <w:hideMark/>
          </w:tcPr>
          <w:p w14:paraId="7EFD7340" w14:textId="77777777" w:rsidR="00002D76" w:rsidRPr="00887181" w:rsidRDefault="00002D76" w:rsidP="00D63204">
            <w:pPr>
              <w:spacing w:after="0" w:line="240" w:lineRule="auto"/>
              <w:rPr>
                <w:rFonts w:ascii="Calibri" w:hAnsi="Calibri"/>
                <w:color w:val="231F20"/>
                <w:sz w:val="16"/>
                <w:szCs w:val="16"/>
              </w:rPr>
            </w:pPr>
            <w:r w:rsidRPr="00887181">
              <w:rPr>
                <w:rFonts w:ascii="Calibri" w:hAnsi="Calibri"/>
                <w:color w:val="231F20"/>
                <w:sz w:val="16"/>
                <w:szCs w:val="16"/>
              </w:rPr>
              <w:t>4.2%</w:t>
            </w:r>
          </w:p>
        </w:tc>
        <w:tc>
          <w:tcPr>
            <w:tcW w:w="0" w:type="auto"/>
            <w:tcBorders>
              <w:top w:val="nil"/>
              <w:left w:val="nil"/>
              <w:bottom w:val="single" w:sz="4" w:space="0" w:color="auto"/>
              <w:right w:val="single" w:sz="4" w:space="0" w:color="auto"/>
            </w:tcBorders>
            <w:shd w:val="clear" w:color="auto" w:fill="auto"/>
            <w:vAlign w:val="center"/>
            <w:hideMark/>
          </w:tcPr>
          <w:p w14:paraId="5C3B620C" w14:textId="77777777" w:rsidR="00002D76" w:rsidRPr="00887181" w:rsidRDefault="00002D76" w:rsidP="00D63204">
            <w:pPr>
              <w:spacing w:after="0" w:line="240" w:lineRule="auto"/>
              <w:rPr>
                <w:rFonts w:ascii="Calibri" w:hAnsi="Calibri"/>
                <w:color w:val="231F20"/>
                <w:sz w:val="16"/>
                <w:szCs w:val="16"/>
              </w:rPr>
            </w:pPr>
            <w:r w:rsidRPr="00887181">
              <w:rPr>
                <w:rFonts w:ascii="Calibri" w:hAnsi="Calibri"/>
                <w:color w:val="231F20"/>
                <w:sz w:val="16"/>
                <w:szCs w:val="16"/>
              </w:rPr>
              <w:t>2.5%</w:t>
            </w:r>
          </w:p>
        </w:tc>
        <w:tc>
          <w:tcPr>
            <w:tcW w:w="0" w:type="auto"/>
            <w:tcBorders>
              <w:top w:val="nil"/>
              <w:left w:val="nil"/>
              <w:bottom w:val="single" w:sz="4" w:space="0" w:color="auto"/>
              <w:right w:val="single" w:sz="4" w:space="0" w:color="auto"/>
            </w:tcBorders>
            <w:shd w:val="clear" w:color="auto" w:fill="auto"/>
            <w:vAlign w:val="center"/>
            <w:hideMark/>
          </w:tcPr>
          <w:p w14:paraId="6D2D53AD" w14:textId="77777777" w:rsidR="00002D76" w:rsidRPr="00887181" w:rsidRDefault="00002D76" w:rsidP="00D63204">
            <w:pPr>
              <w:spacing w:after="0" w:line="240" w:lineRule="auto"/>
              <w:rPr>
                <w:rFonts w:ascii="Calibri" w:hAnsi="Calibri"/>
                <w:color w:val="231F20"/>
                <w:sz w:val="16"/>
                <w:szCs w:val="16"/>
              </w:rPr>
            </w:pPr>
            <w:r w:rsidRPr="00887181">
              <w:rPr>
                <w:rFonts w:ascii="Calibri" w:hAnsi="Calibri"/>
                <w:color w:val="231F20"/>
                <w:sz w:val="16"/>
                <w:szCs w:val="16"/>
              </w:rPr>
              <w:t>4.1%</w:t>
            </w:r>
          </w:p>
        </w:tc>
        <w:tc>
          <w:tcPr>
            <w:tcW w:w="0" w:type="auto"/>
            <w:tcBorders>
              <w:top w:val="nil"/>
              <w:left w:val="nil"/>
              <w:bottom w:val="single" w:sz="4" w:space="0" w:color="auto"/>
              <w:right w:val="single" w:sz="4" w:space="0" w:color="auto"/>
            </w:tcBorders>
            <w:shd w:val="clear" w:color="auto" w:fill="auto"/>
            <w:vAlign w:val="center"/>
            <w:hideMark/>
          </w:tcPr>
          <w:p w14:paraId="7EF01492" w14:textId="77777777" w:rsidR="00002D76" w:rsidRPr="00887181" w:rsidRDefault="00002D76" w:rsidP="00D63204">
            <w:pPr>
              <w:spacing w:after="0" w:line="240" w:lineRule="auto"/>
              <w:rPr>
                <w:rFonts w:ascii="Calibri" w:hAnsi="Calibri"/>
                <w:color w:val="231F20"/>
                <w:sz w:val="16"/>
                <w:szCs w:val="16"/>
              </w:rPr>
            </w:pPr>
            <w:r w:rsidRPr="00887181">
              <w:rPr>
                <w:rFonts w:ascii="Calibri" w:hAnsi="Calibri"/>
                <w:color w:val="231F20"/>
                <w:sz w:val="16"/>
                <w:szCs w:val="16"/>
              </w:rPr>
              <w:t>3.4%</w:t>
            </w:r>
          </w:p>
        </w:tc>
        <w:tc>
          <w:tcPr>
            <w:tcW w:w="0" w:type="auto"/>
            <w:tcBorders>
              <w:top w:val="nil"/>
              <w:left w:val="nil"/>
              <w:bottom w:val="single" w:sz="4" w:space="0" w:color="auto"/>
              <w:right w:val="single" w:sz="4" w:space="0" w:color="auto"/>
            </w:tcBorders>
            <w:shd w:val="clear" w:color="auto" w:fill="auto"/>
            <w:vAlign w:val="center"/>
            <w:hideMark/>
          </w:tcPr>
          <w:p w14:paraId="5B5227A3" w14:textId="77777777" w:rsidR="00002D76" w:rsidRPr="00887181" w:rsidRDefault="00002D76" w:rsidP="00D63204">
            <w:pPr>
              <w:spacing w:after="0" w:line="240" w:lineRule="auto"/>
              <w:rPr>
                <w:rFonts w:ascii="Calibri" w:hAnsi="Calibri"/>
                <w:color w:val="231F20"/>
                <w:sz w:val="16"/>
                <w:szCs w:val="16"/>
              </w:rPr>
            </w:pPr>
            <w:r w:rsidRPr="00887181">
              <w:rPr>
                <w:rFonts w:ascii="Calibri" w:hAnsi="Calibri"/>
                <w:color w:val="231F20"/>
                <w:sz w:val="16"/>
                <w:szCs w:val="16"/>
              </w:rPr>
              <w:t>4.0%</w:t>
            </w:r>
          </w:p>
        </w:tc>
        <w:tc>
          <w:tcPr>
            <w:tcW w:w="0" w:type="auto"/>
            <w:tcBorders>
              <w:top w:val="nil"/>
              <w:left w:val="nil"/>
              <w:bottom w:val="single" w:sz="4" w:space="0" w:color="auto"/>
              <w:right w:val="single" w:sz="4" w:space="0" w:color="auto"/>
            </w:tcBorders>
            <w:shd w:val="clear" w:color="auto" w:fill="auto"/>
            <w:vAlign w:val="center"/>
            <w:hideMark/>
          </w:tcPr>
          <w:p w14:paraId="79C78921" w14:textId="77777777" w:rsidR="00002D76" w:rsidRPr="00887181" w:rsidRDefault="00002D76" w:rsidP="00D63204">
            <w:pPr>
              <w:spacing w:after="0" w:line="240" w:lineRule="auto"/>
              <w:rPr>
                <w:rFonts w:ascii="Calibri" w:hAnsi="Calibri"/>
                <w:color w:val="231F20"/>
                <w:sz w:val="16"/>
                <w:szCs w:val="16"/>
              </w:rPr>
            </w:pPr>
            <w:r w:rsidRPr="00887181">
              <w:rPr>
                <w:rFonts w:ascii="Calibri" w:hAnsi="Calibri"/>
                <w:color w:val="231F20"/>
                <w:sz w:val="16"/>
                <w:szCs w:val="16"/>
              </w:rPr>
              <w:t>3.9%</w:t>
            </w:r>
          </w:p>
        </w:tc>
      </w:tr>
      <w:tr w:rsidR="00002D76" w:rsidRPr="00887181" w14:paraId="02709A76" w14:textId="77777777" w:rsidTr="001429C7">
        <w:trPr>
          <w:trHeight w:hRule="exact" w:val="300"/>
        </w:trPr>
        <w:tc>
          <w:tcPr>
            <w:tcW w:w="0" w:type="auto"/>
            <w:tcBorders>
              <w:top w:val="nil"/>
              <w:left w:val="single" w:sz="4" w:space="0" w:color="auto"/>
              <w:bottom w:val="single" w:sz="4" w:space="0" w:color="auto"/>
              <w:right w:val="single" w:sz="4" w:space="0" w:color="auto"/>
            </w:tcBorders>
            <w:shd w:val="clear" w:color="000000" w:fill="E6E7E8"/>
            <w:vAlign w:val="center"/>
            <w:hideMark/>
          </w:tcPr>
          <w:p w14:paraId="3DCAD657" w14:textId="77777777" w:rsidR="00002D76" w:rsidRPr="00887181" w:rsidRDefault="00002D76" w:rsidP="00D63204">
            <w:pPr>
              <w:spacing w:after="0" w:line="240" w:lineRule="auto"/>
              <w:rPr>
                <w:rFonts w:ascii="Calibri" w:hAnsi="Calibri"/>
                <w:color w:val="231F20"/>
                <w:sz w:val="16"/>
                <w:szCs w:val="16"/>
              </w:rPr>
            </w:pPr>
            <w:r w:rsidRPr="00887181">
              <w:rPr>
                <w:rFonts w:ascii="Calibri" w:hAnsi="Calibri"/>
                <w:color w:val="231F20"/>
                <w:sz w:val="16"/>
                <w:szCs w:val="16"/>
              </w:rPr>
              <w:t>390000</w:t>
            </w:r>
          </w:p>
        </w:tc>
        <w:tc>
          <w:tcPr>
            <w:tcW w:w="0" w:type="auto"/>
            <w:tcBorders>
              <w:top w:val="nil"/>
              <w:left w:val="nil"/>
              <w:bottom w:val="single" w:sz="4" w:space="0" w:color="auto"/>
              <w:right w:val="single" w:sz="4" w:space="0" w:color="auto"/>
            </w:tcBorders>
            <w:shd w:val="clear" w:color="000000" w:fill="E6E7E8"/>
            <w:vAlign w:val="center"/>
            <w:hideMark/>
          </w:tcPr>
          <w:p w14:paraId="298DA425" w14:textId="77777777" w:rsidR="00002D76" w:rsidRPr="00887181" w:rsidRDefault="00002D76" w:rsidP="001429C7">
            <w:pPr>
              <w:spacing w:after="0" w:line="240" w:lineRule="auto"/>
              <w:rPr>
                <w:rFonts w:ascii="Calibri" w:hAnsi="Calibri"/>
                <w:color w:val="231F20"/>
                <w:sz w:val="16"/>
                <w:szCs w:val="16"/>
              </w:rPr>
            </w:pPr>
            <w:r w:rsidRPr="00887181">
              <w:rPr>
                <w:rFonts w:ascii="Calibri" w:hAnsi="Calibri"/>
                <w:color w:val="231F20"/>
                <w:sz w:val="16"/>
                <w:szCs w:val="16"/>
              </w:rPr>
              <w:t>Personal Care and Service</w:t>
            </w:r>
          </w:p>
        </w:tc>
        <w:tc>
          <w:tcPr>
            <w:tcW w:w="0" w:type="auto"/>
            <w:tcBorders>
              <w:top w:val="nil"/>
              <w:left w:val="nil"/>
              <w:bottom w:val="single" w:sz="4" w:space="0" w:color="auto"/>
              <w:right w:val="single" w:sz="4" w:space="0" w:color="auto"/>
            </w:tcBorders>
            <w:shd w:val="clear" w:color="000000" w:fill="E6E7E8"/>
            <w:vAlign w:val="center"/>
            <w:hideMark/>
          </w:tcPr>
          <w:p w14:paraId="39DEDF6E" w14:textId="77777777" w:rsidR="00002D76" w:rsidRPr="00887181" w:rsidRDefault="00002D76" w:rsidP="00D63204">
            <w:pPr>
              <w:spacing w:after="0" w:line="240" w:lineRule="auto"/>
              <w:rPr>
                <w:rFonts w:ascii="Calibri" w:hAnsi="Calibri"/>
                <w:color w:val="231F20"/>
                <w:sz w:val="16"/>
                <w:szCs w:val="16"/>
              </w:rPr>
            </w:pPr>
            <w:r w:rsidRPr="00887181">
              <w:rPr>
                <w:rFonts w:ascii="Calibri" w:hAnsi="Calibri"/>
                <w:color w:val="231F20"/>
                <w:sz w:val="16"/>
                <w:szCs w:val="16"/>
              </w:rPr>
              <w:t>3.3%</w:t>
            </w:r>
          </w:p>
        </w:tc>
        <w:tc>
          <w:tcPr>
            <w:tcW w:w="0" w:type="auto"/>
            <w:tcBorders>
              <w:top w:val="nil"/>
              <w:left w:val="nil"/>
              <w:bottom w:val="single" w:sz="4" w:space="0" w:color="auto"/>
              <w:right w:val="single" w:sz="4" w:space="0" w:color="auto"/>
            </w:tcBorders>
            <w:shd w:val="clear" w:color="000000" w:fill="E6E7E8"/>
            <w:vAlign w:val="center"/>
            <w:hideMark/>
          </w:tcPr>
          <w:p w14:paraId="362E5D72" w14:textId="77777777" w:rsidR="00002D76" w:rsidRPr="00887181" w:rsidRDefault="00002D76" w:rsidP="00D63204">
            <w:pPr>
              <w:spacing w:after="0" w:line="240" w:lineRule="auto"/>
              <w:rPr>
                <w:rFonts w:ascii="Calibri" w:hAnsi="Calibri"/>
                <w:color w:val="231F20"/>
                <w:sz w:val="16"/>
                <w:szCs w:val="16"/>
              </w:rPr>
            </w:pPr>
            <w:r w:rsidRPr="00887181">
              <w:rPr>
                <w:rFonts w:ascii="Calibri" w:hAnsi="Calibri"/>
                <w:color w:val="231F20"/>
                <w:sz w:val="16"/>
                <w:szCs w:val="16"/>
              </w:rPr>
              <w:t>3.0%</w:t>
            </w:r>
          </w:p>
        </w:tc>
        <w:tc>
          <w:tcPr>
            <w:tcW w:w="0" w:type="auto"/>
            <w:tcBorders>
              <w:top w:val="nil"/>
              <w:left w:val="nil"/>
              <w:bottom w:val="single" w:sz="4" w:space="0" w:color="auto"/>
              <w:right w:val="single" w:sz="4" w:space="0" w:color="auto"/>
            </w:tcBorders>
            <w:shd w:val="clear" w:color="000000" w:fill="E6E7E8"/>
            <w:vAlign w:val="center"/>
            <w:hideMark/>
          </w:tcPr>
          <w:p w14:paraId="2BC3BA21" w14:textId="77777777" w:rsidR="00002D76" w:rsidRPr="00887181" w:rsidRDefault="00002D76" w:rsidP="00D63204">
            <w:pPr>
              <w:spacing w:after="0" w:line="240" w:lineRule="auto"/>
              <w:rPr>
                <w:rFonts w:ascii="Calibri" w:hAnsi="Calibri"/>
                <w:color w:val="231F20"/>
                <w:sz w:val="16"/>
                <w:szCs w:val="16"/>
              </w:rPr>
            </w:pPr>
            <w:r w:rsidRPr="00887181">
              <w:rPr>
                <w:rFonts w:ascii="Calibri" w:hAnsi="Calibri"/>
                <w:color w:val="231F20"/>
                <w:sz w:val="16"/>
                <w:szCs w:val="16"/>
              </w:rPr>
              <w:t>3.1%</w:t>
            </w:r>
          </w:p>
        </w:tc>
        <w:tc>
          <w:tcPr>
            <w:tcW w:w="0" w:type="auto"/>
            <w:tcBorders>
              <w:top w:val="nil"/>
              <w:left w:val="nil"/>
              <w:bottom w:val="single" w:sz="4" w:space="0" w:color="auto"/>
              <w:right w:val="single" w:sz="4" w:space="0" w:color="auto"/>
            </w:tcBorders>
            <w:shd w:val="clear" w:color="000000" w:fill="E6E7E8"/>
            <w:vAlign w:val="center"/>
            <w:hideMark/>
          </w:tcPr>
          <w:p w14:paraId="0EC8440E" w14:textId="77777777" w:rsidR="00002D76" w:rsidRPr="00887181" w:rsidRDefault="00002D76" w:rsidP="00D63204">
            <w:pPr>
              <w:spacing w:after="0" w:line="240" w:lineRule="auto"/>
              <w:rPr>
                <w:rFonts w:ascii="Calibri" w:hAnsi="Calibri"/>
                <w:color w:val="231F20"/>
                <w:sz w:val="16"/>
                <w:szCs w:val="16"/>
              </w:rPr>
            </w:pPr>
            <w:r w:rsidRPr="00887181">
              <w:rPr>
                <w:rFonts w:ascii="Calibri" w:hAnsi="Calibri"/>
                <w:color w:val="231F20"/>
                <w:sz w:val="16"/>
                <w:szCs w:val="16"/>
              </w:rPr>
              <w:t>4.0%</w:t>
            </w:r>
          </w:p>
        </w:tc>
        <w:tc>
          <w:tcPr>
            <w:tcW w:w="0" w:type="auto"/>
            <w:tcBorders>
              <w:top w:val="nil"/>
              <w:left w:val="nil"/>
              <w:bottom w:val="single" w:sz="4" w:space="0" w:color="auto"/>
              <w:right w:val="single" w:sz="4" w:space="0" w:color="auto"/>
            </w:tcBorders>
            <w:shd w:val="clear" w:color="000000" w:fill="E6E7E8"/>
            <w:vAlign w:val="center"/>
            <w:hideMark/>
          </w:tcPr>
          <w:p w14:paraId="33E78C2D" w14:textId="77777777" w:rsidR="00002D76" w:rsidRPr="00887181" w:rsidRDefault="00002D76" w:rsidP="00D63204">
            <w:pPr>
              <w:spacing w:after="0" w:line="240" w:lineRule="auto"/>
              <w:rPr>
                <w:rFonts w:ascii="Calibri" w:hAnsi="Calibri"/>
                <w:color w:val="231F20"/>
                <w:sz w:val="16"/>
                <w:szCs w:val="16"/>
              </w:rPr>
            </w:pPr>
            <w:r w:rsidRPr="00887181">
              <w:rPr>
                <w:rFonts w:ascii="Calibri" w:hAnsi="Calibri"/>
                <w:color w:val="231F20"/>
                <w:sz w:val="16"/>
                <w:szCs w:val="16"/>
              </w:rPr>
              <w:t>2.3%</w:t>
            </w:r>
          </w:p>
        </w:tc>
        <w:tc>
          <w:tcPr>
            <w:tcW w:w="0" w:type="auto"/>
            <w:tcBorders>
              <w:top w:val="nil"/>
              <w:left w:val="nil"/>
              <w:bottom w:val="single" w:sz="4" w:space="0" w:color="auto"/>
              <w:right w:val="single" w:sz="4" w:space="0" w:color="auto"/>
            </w:tcBorders>
            <w:shd w:val="clear" w:color="000000" w:fill="E6E7E8"/>
            <w:vAlign w:val="center"/>
            <w:hideMark/>
          </w:tcPr>
          <w:p w14:paraId="54F971F0" w14:textId="77777777" w:rsidR="00002D76" w:rsidRPr="00887181" w:rsidRDefault="00002D76" w:rsidP="00D63204">
            <w:pPr>
              <w:spacing w:after="0" w:line="240" w:lineRule="auto"/>
              <w:rPr>
                <w:rFonts w:ascii="Calibri" w:hAnsi="Calibri"/>
                <w:color w:val="231F20"/>
                <w:sz w:val="16"/>
                <w:szCs w:val="16"/>
              </w:rPr>
            </w:pPr>
            <w:r w:rsidRPr="00887181">
              <w:rPr>
                <w:rFonts w:ascii="Calibri" w:hAnsi="Calibri"/>
                <w:color w:val="231F20"/>
                <w:sz w:val="16"/>
                <w:szCs w:val="16"/>
              </w:rPr>
              <w:t>2.6%</w:t>
            </w:r>
          </w:p>
        </w:tc>
        <w:tc>
          <w:tcPr>
            <w:tcW w:w="0" w:type="auto"/>
            <w:tcBorders>
              <w:top w:val="nil"/>
              <w:left w:val="nil"/>
              <w:bottom w:val="single" w:sz="4" w:space="0" w:color="auto"/>
              <w:right w:val="single" w:sz="4" w:space="0" w:color="auto"/>
            </w:tcBorders>
            <w:shd w:val="clear" w:color="000000" w:fill="E6E7E8"/>
            <w:vAlign w:val="center"/>
            <w:hideMark/>
          </w:tcPr>
          <w:p w14:paraId="0094EAFE" w14:textId="77777777" w:rsidR="00002D76" w:rsidRPr="00887181" w:rsidRDefault="00002D76" w:rsidP="00D63204">
            <w:pPr>
              <w:spacing w:after="0" w:line="240" w:lineRule="auto"/>
              <w:rPr>
                <w:rFonts w:ascii="Calibri" w:hAnsi="Calibri"/>
                <w:color w:val="231F20"/>
                <w:sz w:val="16"/>
                <w:szCs w:val="16"/>
              </w:rPr>
            </w:pPr>
            <w:r w:rsidRPr="00887181">
              <w:rPr>
                <w:rFonts w:ascii="Calibri" w:hAnsi="Calibri"/>
                <w:color w:val="231F20"/>
                <w:sz w:val="16"/>
                <w:szCs w:val="16"/>
              </w:rPr>
              <w:t>1.9%</w:t>
            </w:r>
          </w:p>
        </w:tc>
        <w:tc>
          <w:tcPr>
            <w:tcW w:w="0" w:type="auto"/>
            <w:tcBorders>
              <w:top w:val="nil"/>
              <w:left w:val="nil"/>
              <w:bottom w:val="single" w:sz="4" w:space="0" w:color="auto"/>
              <w:right w:val="single" w:sz="4" w:space="0" w:color="auto"/>
            </w:tcBorders>
            <w:shd w:val="clear" w:color="000000" w:fill="E6E7E8"/>
            <w:vAlign w:val="center"/>
            <w:hideMark/>
          </w:tcPr>
          <w:p w14:paraId="6C07CDD7" w14:textId="77777777" w:rsidR="00002D76" w:rsidRPr="00887181" w:rsidRDefault="00002D76" w:rsidP="00D63204">
            <w:pPr>
              <w:spacing w:after="0" w:line="240" w:lineRule="auto"/>
              <w:rPr>
                <w:rFonts w:ascii="Calibri" w:hAnsi="Calibri"/>
                <w:color w:val="231F20"/>
                <w:sz w:val="16"/>
                <w:szCs w:val="16"/>
              </w:rPr>
            </w:pPr>
            <w:r w:rsidRPr="00887181">
              <w:rPr>
                <w:rFonts w:ascii="Calibri" w:hAnsi="Calibri"/>
                <w:color w:val="231F20"/>
                <w:sz w:val="16"/>
                <w:szCs w:val="16"/>
              </w:rPr>
              <w:t>1.4%</w:t>
            </w:r>
          </w:p>
        </w:tc>
      </w:tr>
      <w:tr w:rsidR="00002D76" w:rsidRPr="00887181" w14:paraId="1DB83567" w14:textId="77777777" w:rsidTr="001429C7">
        <w:trPr>
          <w:trHeight w:hRule="exac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4E2485B" w14:textId="77777777" w:rsidR="00002D76" w:rsidRPr="00887181" w:rsidRDefault="00002D76" w:rsidP="00D63204">
            <w:pPr>
              <w:spacing w:after="0" w:line="240" w:lineRule="auto"/>
              <w:rPr>
                <w:rFonts w:ascii="Calibri" w:hAnsi="Calibri"/>
                <w:color w:val="231F20"/>
                <w:sz w:val="16"/>
                <w:szCs w:val="16"/>
              </w:rPr>
            </w:pPr>
            <w:r w:rsidRPr="00887181">
              <w:rPr>
                <w:rFonts w:ascii="Calibri" w:hAnsi="Calibri"/>
                <w:color w:val="231F20"/>
                <w:sz w:val="16"/>
                <w:szCs w:val="16"/>
              </w:rPr>
              <w:t>410000</w:t>
            </w:r>
          </w:p>
        </w:tc>
        <w:tc>
          <w:tcPr>
            <w:tcW w:w="0" w:type="auto"/>
            <w:tcBorders>
              <w:top w:val="nil"/>
              <w:left w:val="nil"/>
              <w:bottom w:val="single" w:sz="4" w:space="0" w:color="auto"/>
              <w:right w:val="single" w:sz="4" w:space="0" w:color="auto"/>
            </w:tcBorders>
            <w:shd w:val="clear" w:color="auto" w:fill="auto"/>
            <w:vAlign w:val="center"/>
            <w:hideMark/>
          </w:tcPr>
          <w:p w14:paraId="67FE9A55" w14:textId="77777777" w:rsidR="00002D76" w:rsidRPr="00887181" w:rsidRDefault="00002D76" w:rsidP="001429C7">
            <w:pPr>
              <w:spacing w:after="0" w:line="240" w:lineRule="auto"/>
              <w:rPr>
                <w:rFonts w:ascii="Calibri" w:hAnsi="Calibri"/>
                <w:color w:val="231F20"/>
                <w:sz w:val="16"/>
                <w:szCs w:val="16"/>
              </w:rPr>
            </w:pPr>
            <w:r w:rsidRPr="00887181">
              <w:rPr>
                <w:rFonts w:ascii="Calibri" w:hAnsi="Calibri"/>
                <w:color w:val="231F20"/>
                <w:sz w:val="16"/>
                <w:szCs w:val="16"/>
              </w:rPr>
              <w:t>Sales and Related</w:t>
            </w:r>
          </w:p>
        </w:tc>
        <w:tc>
          <w:tcPr>
            <w:tcW w:w="0" w:type="auto"/>
            <w:tcBorders>
              <w:top w:val="nil"/>
              <w:left w:val="nil"/>
              <w:bottom w:val="single" w:sz="4" w:space="0" w:color="auto"/>
              <w:right w:val="single" w:sz="4" w:space="0" w:color="auto"/>
            </w:tcBorders>
            <w:shd w:val="clear" w:color="auto" w:fill="auto"/>
            <w:vAlign w:val="center"/>
            <w:hideMark/>
          </w:tcPr>
          <w:p w14:paraId="2D73A677" w14:textId="77777777" w:rsidR="00002D76" w:rsidRPr="00887181" w:rsidRDefault="00002D76" w:rsidP="00D63204">
            <w:pPr>
              <w:spacing w:after="0" w:line="240" w:lineRule="auto"/>
              <w:rPr>
                <w:rFonts w:ascii="Calibri" w:hAnsi="Calibri"/>
                <w:color w:val="231F20"/>
                <w:sz w:val="16"/>
                <w:szCs w:val="16"/>
              </w:rPr>
            </w:pPr>
            <w:r w:rsidRPr="00887181">
              <w:rPr>
                <w:rFonts w:ascii="Calibri" w:hAnsi="Calibri"/>
                <w:color w:val="231F20"/>
                <w:sz w:val="16"/>
                <w:szCs w:val="16"/>
              </w:rPr>
              <w:t>12.8%</w:t>
            </w:r>
          </w:p>
        </w:tc>
        <w:tc>
          <w:tcPr>
            <w:tcW w:w="0" w:type="auto"/>
            <w:tcBorders>
              <w:top w:val="nil"/>
              <w:left w:val="nil"/>
              <w:bottom w:val="single" w:sz="4" w:space="0" w:color="auto"/>
              <w:right w:val="single" w:sz="4" w:space="0" w:color="auto"/>
            </w:tcBorders>
            <w:shd w:val="clear" w:color="auto" w:fill="auto"/>
            <w:vAlign w:val="center"/>
            <w:hideMark/>
          </w:tcPr>
          <w:p w14:paraId="48C5F92C" w14:textId="77777777" w:rsidR="00002D76" w:rsidRPr="00887181" w:rsidRDefault="00002D76" w:rsidP="00D63204">
            <w:pPr>
              <w:spacing w:after="0" w:line="240" w:lineRule="auto"/>
              <w:rPr>
                <w:rFonts w:ascii="Calibri" w:hAnsi="Calibri"/>
                <w:color w:val="231F20"/>
                <w:sz w:val="16"/>
                <w:szCs w:val="16"/>
              </w:rPr>
            </w:pPr>
            <w:r w:rsidRPr="00887181">
              <w:rPr>
                <w:rFonts w:ascii="Calibri" w:hAnsi="Calibri"/>
                <w:color w:val="231F20"/>
                <w:sz w:val="16"/>
                <w:szCs w:val="16"/>
              </w:rPr>
              <w:t>11.6%</w:t>
            </w:r>
          </w:p>
        </w:tc>
        <w:tc>
          <w:tcPr>
            <w:tcW w:w="0" w:type="auto"/>
            <w:tcBorders>
              <w:top w:val="nil"/>
              <w:left w:val="nil"/>
              <w:bottom w:val="single" w:sz="4" w:space="0" w:color="auto"/>
              <w:right w:val="single" w:sz="4" w:space="0" w:color="auto"/>
            </w:tcBorders>
            <w:shd w:val="clear" w:color="auto" w:fill="auto"/>
            <w:vAlign w:val="center"/>
            <w:hideMark/>
          </w:tcPr>
          <w:p w14:paraId="6DF4F3EF" w14:textId="77777777" w:rsidR="00002D76" w:rsidRPr="00887181" w:rsidRDefault="00002D76" w:rsidP="00D63204">
            <w:pPr>
              <w:spacing w:after="0" w:line="240" w:lineRule="auto"/>
              <w:rPr>
                <w:rFonts w:ascii="Calibri" w:hAnsi="Calibri"/>
                <w:color w:val="231F20"/>
                <w:sz w:val="16"/>
                <w:szCs w:val="16"/>
              </w:rPr>
            </w:pPr>
            <w:r w:rsidRPr="00887181">
              <w:rPr>
                <w:rFonts w:ascii="Calibri" w:hAnsi="Calibri"/>
                <w:color w:val="231F20"/>
                <w:sz w:val="16"/>
                <w:szCs w:val="16"/>
              </w:rPr>
              <w:t>13.8%</w:t>
            </w:r>
          </w:p>
        </w:tc>
        <w:tc>
          <w:tcPr>
            <w:tcW w:w="0" w:type="auto"/>
            <w:tcBorders>
              <w:top w:val="nil"/>
              <w:left w:val="nil"/>
              <w:bottom w:val="single" w:sz="4" w:space="0" w:color="auto"/>
              <w:right w:val="single" w:sz="4" w:space="0" w:color="auto"/>
            </w:tcBorders>
            <w:shd w:val="clear" w:color="auto" w:fill="auto"/>
            <w:vAlign w:val="center"/>
            <w:hideMark/>
          </w:tcPr>
          <w:p w14:paraId="693F07B1" w14:textId="77777777" w:rsidR="00002D76" w:rsidRPr="00887181" w:rsidRDefault="00002D76" w:rsidP="00D63204">
            <w:pPr>
              <w:spacing w:after="0" w:line="240" w:lineRule="auto"/>
              <w:rPr>
                <w:rFonts w:ascii="Calibri" w:hAnsi="Calibri"/>
                <w:color w:val="231F20"/>
                <w:sz w:val="16"/>
                <w:szCs w:val="16"/>
              </w:rPr>
            </w:pPr>
            <w:r w:rsidRPr="00887181">
              <w:rPr>
                <w:rFonts w:ascii="Calibri" w:hAnsi="Calibri"/>
                <w:color w:val="231F20"/>
                <w:sz w:val="16"/>
                <w:szCs w:val="16"/>
              </w:rPr>
              <w:t>10.1%</w:t>
            </w:r>
          </w:p>
        </w:tc>
        <w:tc>
          <w:tcPr>
            <w:tcW w:w="0" w:type="auto"/>
            <w:tcBorders>
              <w:top w:val="nil"/>
              <w:left w:val="nil"/>
              <w:bottom w:val="single" w:sz="4" w:space="0" w:color="auto"/>
              <w:right w:val="single" w:sz="4" w:space="0" w:color="auto"/>
            </w:tcBorders>
            <w:shd w:val="clear" w:color="auto" w:fill="auto"/>
            <w:vAlign w:val="center"/>
            <w:hideMark/>
          </w:tcPr>
          <w:p w14:paraId="3216F27C" w14:textId="77777777" w:rsidR="00002D76" w:rsidRPr="00887181" w:rsidRDefault="00002D76" w:rsidP="00D63204">
            <w:pPr>
              <w:spacing w:after="0" w:line="240" w:lineRule="auto"/>
              <w:rPr>
                <w:rFonts w:ascii="Calibri" w:hAnsi="Calibri"/>
                <w:color w:val="231F20"/>
                <w:sz w:val="16"/>
                <w:szCs w:val="16"/>
              </w:rPr>
            </w:pPr>
            <w:r w:rsidRPr="00887181">
              <w:rPr>
                <w:rFonts w:ascii="Calibri" w:hAnsi="Calibri"/>
                <w:color w:val="231F20"/>
                <w:sz w:val="16"/>
                <w:szCs w:val="16"/>
              </w:rPr>
              <w:t>12.7%</w:t>
            </w:r>
          </w:p>
        </w:tc>
        <w:tc>
          <w:tcPr>
            <w:tcW w:w="0" w:type="auto"/>
            <w:tcBorders>
              <w:top w:val="nil"/>
              <w:left w:val="nil"/>
              <w:bottom w:val="single" w:sz="4" w:space="0" w:color="auto"/>
              <w:right w:val="single" w:sz="4" w:space="0" w:color="auto"/>
            </w:tcBorders>
            <w:shd w:val="clear" w:color="auto" w:fill="auto"/>
            <w:vAlign w:val="center"/>
            <w:hideMark/>
          </w:tcPr>
          <w:p w14:paraId="35614914" w14:textId="77777777" w:rsidR="00002D76" w:rsidRPr="00887181" w:rsidRDefault="00002D76" w:rsidP="00D63204">
            <w:pPr>
              <w:spacing w:after="0" w:line="240" w:lineRule="auto"/>
              <w:rPr>
                <w:rFonts w:ascii="Calibri" w:hAnsi="Calibri"/>
                <w:color w:val="231F20"/>
                <w:sz w:val="16"/>
                <w:szCs w:val="16"/>
              </w:rPr>
            </w:pPr>
            <w:r w:rsidRPr="00887181">
              <w:rPr>
                <w:rFonts w:ascii="Calibri" w:hAnsi="Calibri"/>
                <w:color w:val="231F20"/>
                <w:sz w:val="16"/>
                <w:szCs w:val="16"/>
              </w:rPr>
              <w:t>9.6%</w:t>
            </w:r>
          </w:p>
        </w:tc>
        <w:tc>
          <w:tcPr>
            <w:tcW w:w="0" w:type="auto"/>
            <w:tcBorders>
              <w:top w:val="nil"/>
              <w:left w:val="nil"/>
              <w:bottom w:val="single" w:sz="4" w:space="0" w:color="auto"/>
              <w:right w:val="single" w:sz="4" w:space="0" w:color="auto"/>
            </w:tcBorders>
            <w:shd w:val="clear" w:color="auto" w:fill="auto"/>
            <w:vAlign w:val="center"/>
            <w:hideMark/>
          </w:tcPr>
          <w:p w14:paraId="703D496C" w14:textId="77777777" w:rsidR="00002D76" w:rsidRPr="00887181" w:rsidRDefault="00002D76" w:rsidP="00D63204">
            <w:pPr>
              <w:spacing w:after="0" w:line="240" w:lineRule="auto"/>
              <w:rPr>
                <w:rFonts w:ascii="Calibri" w:hAnsi="Calibri"/>
                <w:color w:val="231F20"/>
                <w:sz w:val="16"/>
                <w:szCs w:val="16"/>
              </w:rPr>
            </w:pPr>
            <w:r w:rsidRPr="00887181">
              <w:rPr>
                <w:rFonts w:ascii="Calibri" w:hAnsi="Calibri"/>
                <w:color w:val="231F20"/>
                <w:sz w:val="16"/>
                <w:szCs w:val="16"/>
              </w:rPr>
              <w:t>9.4%</w:t>
            </w:r>
          </w:p>
        </w:tc>
        <w:tc>
          <w:tcPr>
            <w:tcW w:w="0" w:type="auto"/>
            <w:tcBorders>
              <w:top w:val="nil"/>
              <w:left w:val="nil"/>
              <w:bottom w:val="single" w:sz="4" w:space="0" w:color="auto"/>
              <w:right w:val="single" w:sz="4" w:space="0" w:color="auto"/>
            </w:tcBorders>
            <w:shd w:val="clear" w:color="auto" w:fill="auto"/>
            <w:vAlign w:val="center"/>
            <w:hideMark/>
          </w:tcPr>
          <w:p w14:paraId="7A36A72C" w14:textId="77777777" w:rsidR="00002D76" w:rsidRPr="00887181" w:rsidRDefault="00002D76" w:rsidP="00D63204">
            <w:pPr>
              <w:spacing w:after="0" w:line="240" w:lineRule="auto"/>
              <w:rPr>
                <w:rFonts w:ascii="Calibri" w:hAnsi="Calibri"/>
                <w:color w:val="231F20"/>
                <w:sz w:val="16"/>
                <w:szCs w:val="16"/>
              </w:rPr>
            </w:pPr>
            <w:r w:rsidRPr="00887181">
              <w:rPr>
                <w:rFonts w:ascii="Calibri" w:hAnsi="Calibri"/>
                <w:color w:val="231F20"/>
                <w:sz w:val="16"/>
                <w:szCs w:val="16"/>
              </w:rPr>
              <w:t>12.5%</w:t>
            </w:r>
          </w:p>
        </w:tc>
      </w:tr>
      <w:tr w:rsidR="00002D76" w:rsidRPr="00887181" w14:paraId="4D1B7DB9" w14:textId="77777777" w:rsidTr="001429C7">
        <w:trPr>
          <w:trHeight w:hRule="exact" w:val="300"/>
        </w:trPr>
        <w:tc>
          <w:tcPr>
            <w:tcW w:w="0" w:type="auto"/>
            <w:tcBorders>
              <w:top w:val="nil"/>
              <w:left w:val="single" w:sz="4" w:space="0" w:color="auto"/>
              <w:bottom w:val="single" w:sz="4" w:space="0" w:color="auto"/>
              <w:right w:val="single" w:sz="4" w:space="0" w:color="auto"/>
            </w:tcBorders>
            <w:shd w:val="clear" w:color="000000" w:fill="E6E7E8"/>
            <w:vAlign w:val="center"/>
            <w:hideMark/>
          </w:tcPr>
          <w:p w14:paraId="3EE571FB" w14:textId="77777777" w:rsidR="00002D76" w:rsidRPr="00887181" w:rsidRDefault="00002D76" w:rsidP="00D63204">
            <w:pPr>
              <w:spacing w:after="0" w:line="240" w:lineRule="auto"/>
              <w:rPr>
                <w:rFonts w:ascii="Calibri" w:hAnsi="Calibri"/>
                <w:color w:val="231F20"/>
                <w:sz w:val="16"/>
                <w:szCs w:val="16"/>
              </w:rPr>
            </w:pPr>
            <w:r w:rsidRPr="00887181">
              <w:rPr>
                <w:rFonts w:ascii="Calibri" w:hAnsi="Calibri"/>
                <w:color w:val="231F20"/>
                <w:sz w:val="16"/>
                <w:szCs w:val="16"/>
              </w:rPr>
              <w:t>430000</w:t>
            </w:r>
          </w:p>
        </w:tc>
        <w:tc>
          <w:tcPr>
            <w:tcW w:w="0" w:type="auto"/>
            <w:tcBorders>
              <w:top w:val="nil"/>
              <w:left w:val="nil"/>
              <w:bottom w:val="single" w:sz="4" w:space="0" w:color="auto"/>
              <w:right w:val="single" w:sz="4" w:space="0" w:color="auto"/>
            </w:tcBorders>
            <w:shd w:val="clear" w:color="000000" w:fill="E6E7E8"/>
            <w:vAlign w:val="center"/>
            <w:hideMark/>
          </w:tcPr>
          <w:p w14:paraId="0352818E" w14:textId="77777777" w:rsidR="00002D76" w:rsidRPr="00887181" w:rsidRDefault="00002D76" w:rsidP="001429C7">
            <w:pPr>
              <w:spacing w:after="0" w:line="240" w:lineRule="auto"/>
              <w:rPr>
                <w:rFonts w:ascii="Calibri" w:hAnsi="Calibri"/>
                <w:color w:val="231F20"/>
                <w:sz w:val="16"/>
                <w:szCs w:val="16"/>
              </w:rPr>
            </w:pPr>
            <w:r w:rsidRPr="00887181">
              <w:rPr>
                <w:rFonts w:ascii="Calibri" w:hAnsi="Calibri"/>
                <w:color w:val="231F20"/>
                <w:sz w:val="16"/>
                <w:szCs w:val="16"/>
              </w:rPr>
              <w:t>Office and Administrative Support</w:t>
            </w:r>
          </w:p>
        </w:tc>
        <w:tc>
          <w:tcPr>
            <w:tcW w:w="0" w:type="auto"/>
            <w:tcBorders>
              <w:top w:val="nil"/>
              <w:left w:val="nil"/>
              <w:bottom w:val="single" w:sz="4" w:space="0" w:color="auto"/>
              <w:right w:val="single" w:sz="4" w:space="0" w:color="auto"/>
            </w:tcBorders>
            <w:shd w:val="clear" w:color="000000" w:fill="E6E7E8"/>
            <w:vAlign w:val="center"/>
            <w:hideMark/>
          </w:tcPr>
          <w:p w14:paraId="0F40D01F" w14:textId="77777777" w:rsidR="00002D76" w:rsidRPr="00887181" w:rsidRDefault="00002D76" w:rsidP="00D63204">
            <w:pPr>
              <w:spacing w:after="0" w:line="240" w:lineRule="auto"/>
              <w:rPr>
                <w:rFonts w:ascii="Calibri" w:hAnsi="Calibri"/>
                <w:color w:val="231F20"/>
                <w:sz w:val="16"/>
                <w:szCs w:val="16"/>
              </w:rPr>
            </w:pPr>
            <w:r w:rsidRPr="00887181">
              <w:rPr>
                <w:rFonts w:ascii="Calibri" w:hAnsi="Calibri"/>
                <w:color w:val="231F20"/>
                <w:sz w:val="16"/>
                <w:szCs w:val="16"/>
              </w:rPr>
              <w:t>16.6%</w:t>
            </w:r>
          </w:p>
        </w:tc>
        <w:tc>
          <w:tcPr>
            <w:tcW w:w="0" w:type="auto"/>
            <w:tcBorders>
              <w:top w:val="nil"/>
              <w:left w:val="nil"/>
              <w:bottom w:val="single" w:sz="4" w:space="0" w:color="auto"/>
              <w:right w:val="single" w:sz="4" w:space="0" w:color="auto"/>
            </w:tcBorders>
            <w:shd w:val="clear" w:color="000000" w:fill="E6E7E8"/>
            <w:vAlign w:val="center"/>
            <w:hideMark/>
          </w:tcPr>
          <w:p w14:paraId="447CFD32" w14:textId="77777777" w:rsidR="00002D76" w:rsidRPr="00887181" w:rsidRDefault="00002D76" w:rsidP="00D63204">
            <w:pPr>
              <w:spacing w:after="0" w:line="240" w:lineRule="auto"/>
              <w:rPr>
                <w:rFonts w:ascii="Calibri" w:hAnsi="Calibri"/>
                <w:color w:val="231F20"/>
                <w:sz w:val="16"/>
                <w:szCs w:val="16"/>
              </w:rPr>
            </w:pPr>
            <w:r w:rsidRPr="00887181">
              <w:rPr>
                <w:rFonts w:ascii="Calibri" w:hAnsi="Calibri"/>
                <w:color w:val="231F20"/>
                <w:sz w:val="16"/>
                <w:szCs w:val="16"/>
              </w:rPr>
              <w:t>17.9%</w:t>
            </w:r>
          </w:p>
        </w:tc>
        <w:tc>
          <w:tcPr>
            <w:tcW w:w="0" w:type="auto"/>
            <w:tcBorders>
              <w:top w:val="nil"/>
              <w:left w:val="nil"/>
              <w:bottom w:val="single" w:sz="4" w:space="0" w:color="auto"/>
              <w:right w:val="single" w:sz="4" w:space="0" w:color="auto"/>
            </w:tcBorders>
            <w:shd w:val="clear" w:color="000000" w:fill="E6E7E8"/>
            <w:vAlign w:val="center"/>
            <w:hideMark/>
          </w:tcPr>
          <w:p w14:paraId="0A0A4008" w14:textId="77777777" w:rsidR="00002D76" w:rsidRPr="00887181" w:rsidRDefault="00002D76" w:rsidP="00D63204">
            <w:pPr>
              <w:spacing w:after="0" w:line="240" w:lineRule="auto"/>
              <w:rPr>
                <w:rFonts w:ascii="Calibri" w:hAnsi="Calibri"/>
                <w:color w:val="231F20"/>
                <w:sz w:val="16"/>
                <w:szCs w:val="16"/>
              </w:rPr>
            </w:pPr>
            <w:r w:rsidRPr="00887181">
              <w:rPr>
                <w:rFonts w:ascii="Calibri" w:hAnsi="Calibri"/>
                <w:color w:val="231F20"/>
                <w:sz w:val="16"/>
                <w:szCs w:val="16"/>
              </w:rPr>
              <w:t>13.9%</w:t>
            </w:r>
          </w:p>
        </w:tc>
        <w:tc>
          <w:tcPr>
            <w:tcW w:w="0" w:type="auto"/>
            <w:tcBorders>
              <w:top w:val="nil"/>
              <w:left w:val="nil"/>
              <w:bottom w:val="single" w:sz="4" w:space="0" w:color="auto"/>
              <w:right w:val="single" w:sz="4" w:space="0" w:color="auto"/>
            </w:tcBorders>
            <w:shd w:val="clear" w:color="000000" w:fill="E6E7E8"/>
            <w:vAlign w:val="center"/>
            <w:hideMark/>
          </w:tcPr>
          <w:p w14:paraId="464736B7" w14:textId="77777777" w:rsidR="00002D76" w:rsidRPr="00887181" w:rsidRDefault="00002D76" w:rsidP="00D63204">
            <w:pPr>
              <w:spacing w:after="0" w:line="240" w:lineRule="auto"/>
              <w:rPr>
                <w:rFonts w:ascii="Calibri" w:hAnsi="Calibri"/>
                <w:color w:val="231F20"/>
                <w:sz w:val="16"/>
                <w:szCs w:val="16"/>
              </w:rPr>
            </w:pPr>
            <w:r w:rsidRPr="00887181">
              <w:rPr>
                <w:rFonts w:ascii="Calibri" w:hAnsi="Calibri"/>
                <w:color w:val="231F20"/>
                <w:sz w:val="16"/>
                <w:szCs w:val="16"/>
              </w:rPr>
              <w:t>12.4%</w:t>
            </w:r>
          </w:p>
        </w:tc>
        <w:tc>
          <w:tcPr>
            <w:tcW w:w="0" w:type="auto"/>
            <w:tcBorders>
              <w:top w:val="nil"/>
              <w:left w:val="nil"/>
              <w:bottom w:val="single" w:sz="4" w:space="0" w:color="auto"/>
              <w:right w:val="single" w:sz="4" w:space="0" w:color="auto"/>
            </w:tcBorders>
            <w:shd w:val="clear" w:color="000000" w:fill="E6E7E8"/>
            <w:vAlign w:val="center"/>
            <w:hideMark/>
          </w:tcPr>
          <w:p w14:paraId="350AF315" w14:textId="77777777" w:rsidR="00002D76" w:rsidRPr="00887181" w:rsidRDefault="00002D76" w:rsidP="00D63204">
            <w:pPr>
              <w:spacing w:after="0" w:line="240" w:lineRule="auto"/>
              <w:rPr>
                <w:rFonts w:ascii="Calibri" w:hAnsi="Calibri"/>
                <w:color w:val="231F20"/>
                <w:sz w:val="16"/>
                <w:szCs w:val="16"/>
              </w:rPr>
            </w:pPr>
            <w:r w:rsidRPr="00887181">
              <w:rPr>
                <w:rFonts w:ascii="Calibri" w:hAnsi="Calibri"/>
                <w:color w:val="231F20"/>
                <w:sz w:val="16"/>
                <w:szCs w:val="16"/>
              </w:rPr>
              <w:t>16.3%</w:t>
            </w:r>
          </w:p>
        </w:tc>
        <w:tc>
          <w:tcPr>
            <w:tcW w:w="0" w:type="auto"/>
            <w:tcBorders>
              <w:top w:val="nil"/>
              <w:left w:val="nil"/>
              <w:bottom w:val="single" w:sz="4" w:space="0" w:color="auto"/>
              <w:right w:val="single" w:sz="4" w:space="0" w:color="auto"/>
            </w:tcBorders>
            <w:shd w:val="clear" w:color="000000" w:fill="E6E7E8"/>
            <w:vAlign w:val="center"/>
            <w:hideMark/>
          </w:tcPr>
          <w:p w14:paraId="001C35FD" w14:textId="77777777" w:rsidR="00002D76" w:rsidRPr="00887181" w:rsidRDefault="00002D76" w:rsidP="00D63204">
            <w:pPr>
              <w:spacing w:after="0" w:line="240" w:lineRule="auto"/>
              <w:rPr>
                <w:rFonts w:ascii="Calibri" w:hAnsi="Calibri"/>
                <w:color w:val="231F20"/>
                <w:sz w:val="16"/>
                <w:szCs w:val="16"/>
              </w:rPr>
            </w:pPr>
            <w:r w:rsidRPr="00887181">
              <w:rPr>
                <w:rFonts w:ascii="Calibri" w:hAnsi="Calibri"/>
                <w:color w:val="231F20"/>
                <w:sz w:val="16"/>
                <w:szCs w:val="16"/>
              </w:rPr>
              <w:t>14.6%</w:t>
            </w:r>
          </w:p>
        </w:tc>
        <w:tc>
          <w:tcPr>
            <w:tcW w:w="0" w:type="auto"/>
            <w:tcBorders>
              <w:top w:val="nil"/>
              <w:left w:val="nil"/>
              <w:bottom w:val="single" w:sz="4" w:space="0" w:color="auto"/>
              <w:right w:val="single" w:sz="4" w:space="0" w:color="auto"/>
            </w:tcBorders>
            <w:shd w:val="clear" w:color="000000" w:fill="E6E7E8"/>
            <w:vAlign w:val="center"/>
            <w:hideMark/>
          </w:tcPr>
          <w:p w14:paraId="554FD7B7" w14:textId="77777777" w:rsidR="00002D76" w:rsidRPr="00887181" w:rsidRDefault="00002D76" w:rsidP="00D63204">
            <w:pPr>
              <w:spacing w:after="0" w:line="240" w:lineRule="auto"/>
              <w:rPr>
                <w:rFonts w:ascii="Calibri" w:hAnsi="Calibri"/>
                <w:color w:val="231F20"/>
                <w:sz w:val="16"/>
                <w:szCs w:val="16"/>
              </w:rPr>
            </w:pPr>
            <w:r w:rsidRPr="00887181">
              <w:rPr>
                <w:rFonts w:ascii="Calibri" w:hAnsi="Calibri"/>
                <w:color w:val="231F20"/>
                <w:sz w:val="16"/>
                <w:szCs w:val="16"/>
              </w:rPr>
              <w:t>13.0%</w:t>
            </w:r>
          </w:p>
        </w:tc>
        <w:tc>
          <w:tcPr>
            <w:tcW w:w="0" w:type="auto"/>
            <w:tcBorders>
              <w:top w:val="nil"/>
              <w:left w:val="nil"/>
              <w:bottom w:val="single" w:sz="4" w:space="0" w:color="auto"/>
              <w:right w:val="single" w:sz="4" w:space="0" w:color="auto"/>
            </w:tcBorders>
            <w:shd w:val="clear" w:color="000000" w:fill="E6E7E8"/>
            <w:vAlign w:val="center"/>
            <w:hideMark/>
          </w:tcPr>
          <w:p w14:paraId="73137925" w14:textId="77777777" w:rsidR="00002D76" w:rsidRPr="00887181" w:rsidRDefault="00002D76" w:rsidP="00D63204">
            <w:pPr>
              <w:spacing w:after="0" w:line="240" w:lineRule="auto"/>
              <w:rPr>
                <w:rFonts w:ascii="Calibri" w:hAnsi="Calibri"/>
                <w:color w:val="231F20"/>
                <w:sz w:val="16"/>
                <w:szCs w:val="16"/>
              </w:rPr>
            </w:pPr>
            <w:r w:rsidRPr="00887181">
              <w:rPr>
                <w:rFonts w:ascii="Calibri" w:hAnsi="Calibri"/>
                <w:color w:val="231F20"/>
                <w:sz w:val="16"/>
                <w:szCs w:val="16"/>
              </w:rPr>
              <w:t>14.6%</w:t>
            </w:r>
          </w:p>
        </w:tc>
      </w:tr>
      <w:tr w:rsidR="00002D76" w:rsidRPr="00887181" w14:paraId="6656582B" w14:textId="77777777" w:rsidTr="001429C7">
        <w:trPr>
          <w:trHeight w:hRule="exac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2B2F0A8" w14:textId="77777777" w:rsidR="00002D76" w:rsidRPr="00887181" w:rsidRDefault="00002D76" w:rsidP="00D63204">
            <w:pPr>
              <w:spacing w:after="0" w:line="240" w:lineRule="auto"/>
              <w:rPr>
                <w:rFonts w:ascii="Calibri" w:hAnsi="Calibri"/>
                <w:color w:val="231F20"/>
                <w:sz w:val="16"/>
                <w:szCs w:val="16"/>
              </w:rPr>
            </w:pPr>
            <w:r w:rsidRPr="00887181">
              <w:rPr>
                <w:rFonts w:ascii="Calibri" w:hAnsi="Calibri"/>
                <w:color w:val="231F20"/>
                <w:sz w:val="16"/>
                <w:szCs w:val="16"/>
              </w:rPr>
              <w:t>450000</w:t>
            </w:r>
          </w:p>
        </w:tc>
        <w:tc>
          <w:tcPr>
            <w:tcW w:w="0" w:type="auto"/>
            <w:tcBorders>
              <w:top w:val="nil"/>
              <w:left w:val="nil"/>
              <w:bottom w:val="single" w:sz="4" w:space="0" w:color="auto"/>
              <w:right w:val="single" w:sz="4" w:space="0" w:color="auto"/>
            </w:tcBorders>
            <w:shd w:val="clear" w:color="auto" w:fill="auto"/>
            <w:vAlign w:val="center"/>
            <w:hideMark/>
          </w:tcPr>
          <w:p w14:paraId="15C73DB1" w14:textId="4E90E823" w:rsidR="00002D76" w:rsidRPr="00887181" w:rsidRDefault="00002D76" w:rsidP="001429C7">
            <w:pPr>
              <w:spacing w:after="0" w:line="240" w:lineRule="auto"/>
              <w:rPr>
                <w:rFonts w:ascii="Calibri" w:hAnsi="Calibri"/>
                <w:color w:val="231F20"/>
                <w:sz w:val="16"/>
                <w:szCs w:val="16"/>
              </w:rPr>
            </w:pPr>
            <w:r w:rsidRPr="00887181">
              <w:rPr>
                <w:rFonts w:ascii="Calibri" w:hAnsi="Calibri"/>
                <w:color w:val="231F20"/>
                <w:sz w:val="16"/>
                <w:szCs w:val="16"/>
              </w:rPr>
              <w:t>Farming, Fishing</w:t>
            </w:r>
            <w:r w:rsidR="00D5537E">
              <w:rPr>
                <w:rFonts w:ascii="Calibri" w:hAnsi="Calibri"/>
                <w:color w:val="231F20"/>
                <w:sz w:val="16"/>
                <w:szCs w:val="16"/>
              </w:rPr>
              <w:t xml:space="preserve"> and</w:t>
            </w:r>
            <w:r w:rsidRPr="00887181">
              <w:rPr>
                <w:rFonts w:ascii="Calibri" w:hAnsi="Calibri"/>
                <w:color w:val="231F20"/>
                <w:sz w:val="16"/>
                <w:szCs w:val="16"/>
              </w:rPr>
              <w:t xml:space="preserve"> Forestry</w:t>
            </w:r>
          </w:p>
        </w:tc>
        <w:tc>
          <w:tcPr>
            <w:tcW w:w="0" w:type="auto"/>
            <w:tcBorders>
              <w:top w:val="nil"/>
              <w:left w:val="nil"/>
              <w:bottom w:val="single" w:sz="4" w:space="0" w:color="auto"/>
              <w:right w:val="single" w:sz="4" w:space="0" w:color="auto"/>
            </w:tcBorders>
            <w:shd w:val="clear" w:color="auto" w:fill="auto"/>
            <w:vAlign w:val="center"/>
            <w:hideMark/>
          </w:tcPr>
          <w:p w14:paraId="17966EEB" w14:textId="77777777" w:rsidR="00002D76" w:rsidRPr="00887181" w:rsidRDefault="00002D76" w:rsidP="00D63204">
            <w:pPr>
              <w:spacing w:after="0" w:line="240" w:lineRule="auto"/>
              <w:rPr>
                <w:rFonts w:ascii="Calibri" w:hAnsi="Calibri"/>
                <w:color w:val="231F20"/>
                <w:sz w:val="16"/>
                <w:szCs w:val="16"/>
              </w:rPr>
            </w:pPr>
            <w:r w:rsidRPr="00887181">
              <w:rPr>
                <w:rFonts w:ascii="Calibri" w:hAnsi="Calibri"/>
                <w:color w:val="231F20"/>
                <w:sz w:val="16"/>
                <w:szCs w:val="16"/>
              </w:rPr>
              <w:t>0.6%</w:t>
            </w:r>
          </w:p>
        </w:tc>
        <w:tc>
          <w:tcPr>
            <w:tcW w:w="0" w:type="auto"/>
            <w:tcBorders>
              <w:top w:val="nil"/>
              <w:left w:val="nil"/>
              <w:bottom w:val="single" w:sz="4" w:space="0" w:color="auto"/>
              <w:right w:val="single" w:sz="4" w:space="0" w:color="auto"/>
            </w:tcBorders>
            <w:shd w:val="clear" w:color="auto" w:fill="auto"/>
            <w:vAlign w:val="center"/>
            <w:hideMark/>
          </w:tcPr>
          <w:p w14:paraId="0129E905" w14:textId="77777777" w:rsidR="00002D76" w:rsidRPr="00887181" w:rsidRDefault="00002D76" w:rsidP="00D63204">
            <w:pPr>
              <w:spacing w:after="0" w:line="240" w:lineRule="auto"/>
              <w:rPr>
                <w:rFonts w:ascii="Calibri" w:hAnsi="Calibri"/>
                <w:color w:val="231F20"/>
                <w:sz w:val="16"/>
                <w:szCs w:val="16"/>
              </w:rPr>
            </w:pPr>
            <w:r w:rsidRPr="00887181">
              <w:rPr>
                <w:rFonts w:ascii="Calibri" w:hAnsi="Calibri"/>
                <w:color w:val="231F20"/>
                <w:sz w:val="16"/>
                <w:szCs w:val="16"/>
              </w:rPr>
              <w:t>0.2%</w:t>
            </w:r>
          </w:p>
        </w:tc>
        <w:tc>
          <w:tcPr>
            <w:tcW w:w="0" w:type="auto"/>
            <w:tcBorders>
              <w:top w:val="nil"/>
              <w:left w:val="nil"/>
              <w:bottom w:val="single" w:sz="4" w:space="0" w:color="auto"/>
              <w:right w:val="single" w:sz="4" w:space="0" w:color="auto"/>
            </w:tcBorders>
            <w:shd w:val="clear" w:color="auto" w:fill="auto"/>
            <w:vAlign w:val="center"/>
            <w:hideMark/>
          </w:tcPr>
          <w:p w14:paraId="3FDD0868" w14:textId="77777777" w:rsidR="00002D76" w:rsidRPr="00887181" w:rsidRDefault="00002D76" w:rsidP="00D63204">
            <w:pPr>
              <w:spacing w:after="0" w:line="240" w:lineRule="auto"/>
              <w:rPr>
                <w:rFonts w:ascii="Calibri" w:hAnsi="Calibri"/>
                <w:color w:val="231F20"/>
                <w:sz w:val="16"/>
                <w:szCs w:val="16"/>
              </w:rPr>
            </w:pPr>
            <w:r w:rsidRPr="00887181">
              <w:rPr>
                <w:rFonts w:ascii="Calibri" w:hAnsi="Calibri"/>
                <w:color w:val="231F20"/>
                <w:sz w:val="16"/>
                <w:szCs w:val="16"/>
              </w:rPr>
              <w:t>0.1%</w:t>
            </w:r>
          </w:p>
        </w:tc>
        <w:tc>
          <w:tcPr>
            <w:tcW w:w="0" w:type="auto"/>
            <w:tcBorders>
              <w:top w:val="nil"/>
              <w:left w:val="nil"/>
              <w:bottom w:val="single" w:sz="4" w:space="0" w:color="auto"/>
              <w:right w:val="single" w:sz="4" w:space="0" w:color="auto"/>
            </w:tcBorders>
            <w:shd w:val="clear" w:color="auto" w:fill="auto"/>
            <w:vAlign w:val="center"/>
            <w:hideMark/>
          </w:tcPr>
          <w:p w14:paraId="1D986257" w14:textId="77777777" w:rsidR="00002D76" w:rsidRPr="00887181" w:rsidRDefault="00002D76" w:rsidP="00D63204">
            <w:pPr>
              <w:spacing w:after="0" w:line="240" w:lineRule="auto"/>
              <w:rPr>
                <w:rFonts w:ascii="Calibri" w:hAnsi="Calibri"/>
                <w:color w:val="231F20"/>
                <w:sz w:val="16"/>
                <w:szCs w:val="16"/>
              </w:rPr>
            </w:pPr>
            <w:r w:rsidRPr="00887181">
              <w:rPr>
                <w:rFonts w:ascii="Calibri" w:hAnsi="Calibri"/>
                <w:color w:val="231F20"/>
                <w:sz w:val="16"/>
                <w:szCs w:val="16"/>
              </w:rPr>
              <w:t>1.8%</w:t>
            </w:r>
          </w:p>
        </w:tc>
        <w:tc>
          <w:tcPr>
            <w:tcW w:w="0" w:type="auto"/>
            <w:tcBorders>
              <w:top w:val="nil"/>
              <w:left w:val="nil"/>
              <w:bottom w:val="single" w:sz="4" w:space="0" w:color="auto"/>
              <w:right w:val="single" w:sz="4" w:space="0" w:color="auto"/>
            </w:tcBorders>
            <w:shd w:val="clear" w:color="auto" w:fill="auto"/>
            <w:vAlign w:val="center"/>
            <w:hideMark/>
          </w:tcPr>
          <w:p w14:paraId="7A015967" w14:textId="77777777" w:rsidR="00002D76" w:rsidRPr="00887181" w:rsidRDefault="00002D76" w:rsidP="00D63204">
            <w:pPr>
              <w:spacing w:after="0" w:line="240" w:lineRule="auto"/>
              <w:rPr>
                <w:rFonts w:ascii="Calibri" w:hAnsi="Calibri"/>
                <w:color w:val="231F20"/>
                <w:sz w:val="16"/>
                <w:szCs w:val="16"/>
              </w:rPr>
            </w:pPr>
            <w:r w:rsidRPr="00887181">
              <w:rPr>
                <w:rFonts w:ascii="Calibri" w:hAnsi="Calibri"/>
                <w:color w:val="231F20"/>
                <w:sz w:val="16"/>
                <w:szCs w:val="16"/>
              </w:rPr>
              <w:t>0.3%</w:t>
            </w:r>
          </w:p>
        </w:tc>
        <w:tc>
          <w:tcPr>
            <w:tcW w:w="0" w:type="auto"/>
            <w:tcBorders>
              <w:top w:val="nil"/>
              <w:left w:val="nil"/>
              <w:bottom w:val="single" w:sz="4" w:space="0" w:color="auto"/>
              <w:right w:val="single" w:sz="4" w:space="0" w:color="auto"/>
            </w:tcBorders>
            <w:shd w:val="clear" w:color="auto" w:fill="auto"/>
            <w:vAlign w:val="center"/>
            <w:hideMark/>
          </w:tcPr>
          <w:p w14:paraId="20CFAE4B" w14:textId="77777777" w:rsidR="00002D76" w:rsidRPr="00887181" w:rsidRDefault="00002D76" w:rsidP="00D63204">
            <w:pPr>
              <w:spacing w:after="0" w:line="240" w:lineRule="auto"/>
              <w:rPr>
                <w:rFonts w:ascii="Calibri" w:hAnsi="Calibri"/>
                <w:color w:val="231F20"/>
                <w:sz w:val="16"/>
                <w:szCs w:val="16"/>
              </w:rPr>
            </w:pPr>
            <w:r w:rsidRPr="00887181">
              <w:rPr>
                <w:rFonts w:ascii="Calibri" w:hAnsi="Calibri"/>
                <w:color w:val="231F20"/>
                <w:sz w:val="16"/>
                <w:szCs w:val="16"/>
              </w:rPr>
              <w:t>0.6%</w:t>
            </w:r>
          </w:p>
        </w:tc>
        <w:tc>
          <w:tcPr>
            <w:tcW w:w="0" w:type="auto"/>
            <w:tcBorders>
              <w:top w:val="nil"/>
              <w:left w:val="nil"/>
              <w:bottom w:val="single" w:sz="4" w:space="0" w:color="auto"/>
              <w:right w:val="single" w:sz="4" w:space="0" w:color="auto"/>
            </w:tcBorders>
            <w:shd w:val="clear" w:color="auto" w:fill="auto"/>
            <w:vAlign w:val="center"/>
            <w:hideMark/>
          </w:tcPr>
          <w:p w14:paraId="5A5E400C" w14:textId="77777777" w:rsidR="00002D76" w:rsidRPr="00887181" w:rsidRDefault="00002D76" w:rsidP="00D63204">
            <w:pPr>
              <w:spacing w:after="0" w:line="240" w:lineRule="auto"/>
              <w:rPr>
                <w:rFonts w:ascii="Calibri" w:hAnsi="Calibri"/>
                <w:color w:val="231F20"/>
                <w:sz w:val="16"/>
                <w:szCs w:val="16"/>
              </w:rPr>
            </w:pPr>
            <w:r w:rsidRPr="00887181">
              <w:rPr>
                <w:rFonts w:ascii="Calibri" w:hAnsi="Calibri"/>
                <w:color w:val="231F20"/>
                <w:sz w:val="16"/>
                <w:szCs w:val="16"/>
              </w:rPr>
              <w:t>5.0%</w:t>
            </w:r>
          </w:p>
        </w:tc>
        <w:tc>
          <w:tcPr>
            <w:tcW w:w="0" w:type="auto"/>
            <w:tcBorders>
              <w:top w:val="nil"/>
              <w:left w:val="nil"/>
              <w:bottom w:val="single" w:sz="4" w:space="0" w:color="auto"/>
              <w:right w:val="single" w:sz="4" w:space="0" w:color="auto"/>
            </w:tcBorders>
            <w:shd w:val="clear" w:color="auto" w:fill="auto"/>
            <w:vAlign w:val="center"/>
            <w:hideMark/>
          </w:tcPr>
          <w:p w14:paraId="6CCBED2A" w14:textId="77777777" w:rsidR="00002D76" w:rsidRPr="00887181" w:rsidRDefault="00002D76" w:rsidP="00D63204">
            <w:pPr>
              <w:spacing w:after="0" w:line="240" w:lineRule="auto"/>
              <w:rPr>
                <w:rFonts w:ascii="Calibri" w:hAnsi="Calibri"/>
                <w:color w:val="231F20"/>
                <w:sz w:val="16"/>
                <w:szCs w:val="16"/>
              </w:rPr>
            </w:pPr>
            <w:r w:rsidRPr="00887181">
              <w:rPr>
                <w:rFonts w:ascii="Calibri" w:hAnsi="Calibri"/>
                <w:color w:val="231F20"/>
                <w:sz w:val="16"/>
                <w:szCs w:val="16"/>
              </w:rPr>
              <w:t>2.2%</w:t>
            </w:r>
          </w:p>
        </w:tc>
      </w:tr>
      <w:tr w:rsidR="00002D76" w:rsidRPr="00887181" w14:paraId="3E417DE6" w14:textId="77777777" w:rsidTr="001429C7">
        <w:trPr>
          <w:trHeight w:hRule="exact" w:val="300"/>
        </w:trPr>
        <w:tc>
          <w:tcPr>
            <w:tcW w:w="0" w:type="auto"/>
            <w:tcBorders>
              <w:top w:val="nil"/>
              <w:left w:val="single" w:sz="4" w:space="0" w:color="auto"/>
              <w:bottom w:val="single" w:sz="4" w:space="0" w:color="auto"/>
              <w:right w:val="single" w:sz="4" w:space="0" w:color="auto"/>
            </w:tcBorders>
            <w:shd w:val="clear" w:color="000000" w:fill="E6E7E8"/>
            <w:vAlign w:val="center"/>
            <w:hideMark/>
          </w:tcPr>
          <w:p w14:paraId="198169D3" w14:textId="77777777" w:rsidR="00002D76" w:rsidRPr="00887181" w:rsidRDefault="00002D76" w:rsidP="00D63204">
            <w:pPr>
              <w:spacing w:after="0" w:line="240" w:lineRule="auto"/>
              <w:rPr>
                <w:rFonts w:ascii="Calibri" w:hAnsi="Calibri"/>
                <w:color w:val="231F20"/>
                <w:sz w:val="16"/>
                <w:szCs w:val="16"/>
              </w:rPr>
            </w:pPr>
            <w:r w:rsidRPr="00887181">
              <w:rPr>
                <w:rFonts w:ascii="Calibri" w:hAnsi="Calibri"/>
                <w:color w:val="231F20"/>
                <w:sz w:val="16"/>
                <w:szCs w:val="16"/>
              </w:rPr>
              <w:t>470000</w:t>
            </w:r>
          </w:p>
        </w:tc>
        <w:tc>
          <w:tcPr>
            <w:tcW w:w="0" w:type="auto"/>
            <w:tcBorders>
              <w:top w:val="nil"/>
              <w:left w:val="nil"/>
              <w:bottom w:val="single" w:sz="4" w:space="0" w:color="auto"/>
              <w:right w:val="single" w:sz="4" w:space="0" w:color="auto"/>
            </w:tcBorders>
            <w:shd w:val="clear" w:color="000000" w:fill="E6E7E8"/>
            <w:vAlign w:val="center"/>
            <w:hideMark/>
          </w:tcPr>
          <w:p w14:paraId="14C59554" w14:textId="77777777" w:rsidR="00002D76" w:rsidRPr="00887181" w:rsidRDefault="00002D76" w:rsidP="001429C7">
            <w:pPr>
              <w:spacing w:after="0" w:line="240" w:lineRule="auto"/>
              <w:rPr>
                <w:rFonts w:ascii="Calibri" w:hAnsi="Calibri"/>
                <w:color w:val="231F20"/>
                <w:sz w:val="16"/>
                <w:szCs w:val="16"/>
              </w:rPr>
            </w:pPr>
            <w:r w:rsidRPr="00887181">
              <w:rPr>
                <w:rFonts w:ascii="Calibri" w:hAnsi="Calibri"/>
                <w:color w:val="231F20"/>
                <w:sz w:val="16"/>
                <w:szCs w:val="16"/>
              </w:rPr>
              <w:t>Construction and Extraction</w:t>
            </w:r>
          </w:p>
        </w:tc>
        <w:tc>
          <w:tcPr>
            <w:tcW w:w="0" w:type="auto"/>
            <w:tcBorders>
              <w:top w:val="nil"/>
              <w:left w:val="nil"/>
              <w:bottom w:val="single" w:sz="4" w:space="0" w:color="auto"/>
              <w:right w:val="single" w:sz="4" w:space="0" w:color="auto"/>
            </w:tcBorders>
            <w:shd w:val="clear" w:color="000000" w:fill="E6E7E8"/>
            <w:vAlign w:val="center"/>
            <w:hideMark/>
          </w:tcPr>
          <w:p w14:paraId="7AFE6A8A" w14:textId="77777777" w:rsidR="00002D76" w:rsidRPr="00887181" w:rsidRDefault="00002D76" w:rsidP="00D63204">
            <w:pPr>
              <w:spacing w:after="0" w:line="240" w:lineRule="auto"/>
              <w:rPr>
                <w:rFonts w:ascii="Calibri" w:hAnsi="Calibri"/>
                <w:color w:val="231F20"/>
                <w:sz w:val="16"/>
                <w:szCs w:val="16"/>
              </w:rPr>
            </w:pPr>
            <w:r w:rsidRPr="00887181">
              <w:rPr>
                <w:rFonts w:ascii="Calibri" w:hAnsi="Calibri"/>
                <w:color w:val="231F20"/>
                <w:sz w:val="16"/>
                <w:szCs w:val="16"/>
              </w:rPr>
              <w:t>5.0%</w:t>
            </w:r>
          </w:p>
        </w:tc>
        <w:tc>
          <w:tcPr>
            <w:tcW w:w="0" w:type="auto"/>
            <w:tcBorders>
              <w:top w:val="nil"/>
              <w:left w:val="nil"/>
              <w:bottom w:val="single" w:sz="4" w:space="0" w:color="auto"/>
              <w:right w:val="single" w:sz="4" w:space="0" w:color="auto"/>
            </w:tcBorders>
            <w:shd w:val="clear" w:color="000000" w:fill="E6E7E8"/>
            <w:vAlign w:val="center"/>
            <w:hideMark/>
          </w:tcPr>
          <w:p w14:paraId="0D4A24BA" w14:textId="77777777" w:rsidR="00002D76" w:rsidRPr="00887181" w:rsidRDefault="00002D76" w:rsidP="00D63204">
            <w:pPr>
              <w:spacing w:after="0" w:line="240" w:lineRule="auto"/>
              <w:rPr>
                <w:rFonts w:ascii="Calibri" w:hAnsi="Calibri"/>
                <w:color w:val="231F20"/>
                <w:sz w:val="16"/>
                <w:szCs w:val="16"/>
              </w:rPr>
            </w:pPr>
            <w:r w:rsidRPr="00887181">
              <w:rPr>
                <w:rFonts w:ascii="Calibri" w:hAnsi="Calibri"/>
                <w:color w:val="231F20"/>
                <w:sz w:val="16"/>
                <w:szCs w:val="16"/>
              </w:rPr>
              <w:t>5.2%</w:t>
            </w:r>
          </w:p>
        </w:tc>
        <w:tc>
          <w:tcPr>
            <w:tcW w:w="0" w:type="auto"/>
            <w:tcBorders>
              <w:top w:val="nil"/>
              <w:left w:val="nil"/>
              <w:bottom w:val="single" w:sz="4" w:space="0" w:color="auto"/>
              <w:right w:val="single" w:sz="4" w:space="0" w:color="auto"/>
            </w:tcBorders>
            <w:shd w:val="clear" w:color="000000" w:fill="E6E7E8"/>
            <w:vAlign w:val="center"/>
            <w:hideMark/>
          </w:tcPr>
          <w:p w14:paraId="706F98F5" w14:textId="77777777" w:rsidR="00002D76" w:rsidRPr="00887181" w:rsidRDefault="00002D76" w:rsidP="00D63204">
            <w:pPr>
              <w:spacing w:after="0" w:line="240" w:lineRule="auto"/>
              <w:rPr>
                <w:rFonts w:ascii="Calibri" w:hAnsi="Calibri"/>
                <w:color w:val="231F20"/>
                <w:sz w:val="16"/>
                <w:szCs w:val="16"/>
              </w:rPr>
            </w:pPr>
            <w:r w:rsidRPr="00887181">
              <w:rPr>
                <w:rFonts w:ascii="Calibri" w:hAnsi="Calibri"/>
                <w:color w:val="231F20"/>
                <w:sz w:val="16"/>
                <w:szCs w:val="16"/>
              </w:rPr>
              <w:t>4.9%</w:t>
            </w:r>
          </w:p>
        </w:tc>
        <w:tc>
          <w:tcPr>
            <w:tcW w:w="0" w:type="auto"/>
            <w:tcBorders>
              <w:top w:val="nil"/>
              <w:left w:val="nil"/>
              <w:bottom w:val="single" w:sz="4" w:space="0" w:color="auto"/>
              <w:right w:val="single" w:sz="4" w:space="0" w:color="auto"/>
            </w:tcBorders>
            <w:shd w:val="clear" w:color="000000" w:fill="E6E7E8"/>
            <w:vAlign w:val="center"/>
            <w:hideMark/>
          </w:tcPr>
          <w:p w14:paraId="044BE159" w14:textId="77777777" w:rsidR="00002D76" w:rsidRPr="00887181" w:rsidRDefault="00002D76" w:rsidP="00D63204">
            <w:pPr>
              <w:spacing w:after="0" w:line="240" w:lineRule="auto"/>
              <w:rPr>
                <w:rFonts w:ascii="Calibri" w:hAnsi="Calibri"/>
                <w:color w:val="231F20"/>
                <w:sz w:val="16"/>
                <w:szCs w:val="16"/>
              </w:rPr>
            </w:pPr>
            <w:r w:rsidRPr="00887181">
              <w:rPr>
                <w:rFonts w:ascii="Calibri" w:hAnsi="Calibri"/>
                <w:color w:val="231F20"/>
                <w:sz w:val="16"/>
                <w:szCs w:val="16"/>
              </w:rPr>
              <w:t>6.7%</w:t>
            </w:r>
          </w:p>
        </w:tc>
        <w:tc>
          <w:tcPr>
            <w:tcW w:w="0" w:type="auto"/>
            <w:tcBorders>
              <w:top w:val="nil"/>
              <w:left w:val="nil"/>
              <w:bottom w:val="single" w:sz="4" w:space="0" w:color="auto"/>
              <w:right w:val="single" w:sz="4" w:space="0" w:color="auto"/>
            </w:tcBorders>
            <w:shd w:val="clear" w:color="000000" w:fill="E6E7E8"/>
            <w:vAlign w:val="center"/>
            <w:hideMark/>
          </w:tcPr>
          <w:p w14:paraId="6E10CE00" w14:textId="77777777" w:rsidR="00002D76" w:rsidRPr="00887181" w:rsidRDefault="00002D76" w:rsidP="00D63204">
            <w:pPr>
              <w:spacing w:after="0" w:line="240" w:lineRule="auto"/>
              <w:rPr>
                <w:rFonts w:ascii="Calibri" w:hAnsi="Calibri"/>
                <w:color w:val="231F20"/>
                <w:sz w:val="16"/>
                <w:szCs w:val="16"/>
              </w:rPr>
            </w:pPr>
            <w:r w:rsidRPr="00887181">
              <w:rPr>
                <w:rFonts w:ascii="Calibri" w:hAnsi="Calibri"/>
                <w:color w:val="231F20"/>
                <w:sz w:val="16"/>
                <w:szCs w:val="16"/>
              </w:rPr>
              <w:t>5.8%</w:t>
            </w:r>
          </w:p>
        </w:tc>
        <w:tc>
          <w:tcPr>
            <w:tcW w:w="0" w:type="auto"/>
            <w:tcBorders>
              <w:top w:val="nil"/>
              <w:left w:val="nil"/>
              <w:bottom w:val="single" w:sz="4" w:space="0" w:color="auto"/>
              <w:right w:val="single" w:sz="4" w:space="0" w:color="auto"/>
            </w:tcBorders>
            <w:shd w:val="clear" w:color="000000" w:fill="E6E7E8"/>
            <w:vAlign w:val="center"/>
            <w:hideMark/>
          </w:tcPr>
          <w:p w14:paraId="15BBB875" w14:textId="77777777" w:rsidR="00002D76" w:rsidRPr="00887181" w:rsidRDefault="00002D76" w:rsidP="00D63204">
            <w:pPr>
              <w:spacing w:after="0" w:line="240" w:lineRule="auto"/>
              <w:rPr>
                <w:rFonts w:ascii="Calibri" w:hAnsi="Calibri"/>
                <w:color w:val="231F20"/>
                <w:sz w:val="16"/>
                <w:szCs w:val="16"/>
              </w:rPr>
            </w:pPr>
            <w:r w:rsidRPr="00887181">
              <w:rPr>
                <w:rFonts w:ascii="Calibri" w:hAnsi="Calibri"/>
                <w:color w:val="231F20"/>
                <w:sz w:val="16"/>
                <w:szCs w:val="16"/>
              </w:rPr>
              <w:t>3.6%</w:t>
            </w:r>
          </w:p>
        </w:tc>
        <w:tc>
          <w:tcPr>
            <w:tcW w:w="0" w:type="auto"/>
            <w:tcBorders>
              <w:top w:val="nil"/>
              <w:left w:val="nil"/>
              <w:bottom w:val="single" w:sz="4" w:space="0" w:color="auto"/>
              <w:right w:val="single" w:sz="4" w:space="0" w:color="auto"/>
            </w:tcBorders>
            <w:shd w:val="clear" w:color="000000" w:fill="E6E7E8"/>
            <w:vAlign w:val="center"/>
            <w:hideMark/>
          </w:tcPr>
          <w:p w14:paraId="5DA02E0E" w14:textId="77777777" w:rsidR="00002D76" w:rsidRPr="00887181" w:rsidRDefault="00002D76" w:rsidP="00D63204">
            <w:pPr>
              <w:spacing w:after="0" w:line="240" w:lineRule="auto"/>
              <w:rPr>
                <w:rFonts w:ascii="Calibri" w:hAnsi="Calibri"/>
                <w:color w:val="231F20"/>
                <w:sz w:val="16"/>
                <w:szCs w:val="16"/>
              </w:rPr>
            </w:pPr>
            <w:r w:rsidRPr="00887181">
              <w:rPr>
                <w:rFonts w:ascii="Calibri" w:hAnsi="Calibri"/>
                <w:color w:val="231F20"/>
                <w:sz w:val="16"/>
                <w:szCs w:val="16"/>
              </w:rPr>
              <w:t>3.4%</w:t>
            </w:r>
          </w:p>
        </w:tc>
        <w:tc>
          <w:tcPr>
            <w:tcW w:w="0" w:type="auto"/>
            <w:tcBorders>
              <w:top w:val="nil"/>
              <w:left w:val="nil"/>
              <w:bottom w:val="single" w:sz="4" w:space="0" w:color="auto"/>
              <w:right w:val="single" w:sz="4" w:space="0" w:color="auto"/>
            </w:tcBorders>
            <w:shd w:val="clear" w:color="000000" w:fill="E6E7E8"/>
            <w:vAlign w:val="center"/>
            <w:hideMark/>
          </w:tcPr>
          <w:p w14:paraId="6513A8D9" w14:textId="77777777" w:rsidR="00002D76" w:rsidRPr="00887181" w:rsidRDefault="00002D76" w:rsidP="00D63204">
            <w:pPr>
              <w:spacing w:after="0" w:line="240" w:lineRule="auto"/>
              <w:rPr>
                <w:rFonts w:ascii="Calibri" w:hAnsi="Calibri"/>
                <w:color w:val="231F20"/>
                <w:sz w:val="16"/>
                <w:szCs w:val="16"/>
              </w:rPr>
            </w:pPr>
            <w:r w:rsidRPr="00887181">
              <w:rPr>
                <w:rFonts w:ascii="Calibri" w:hAnsi="Calibri"/>
                <w:color w:val="231F20"/>
                <w:sz w:val="16"/>
                <w:szCs w:val="16"/>
              </w:rPr>
              <w:t>3.3%</w:t>
            </w:r>
          </w:p>
        </w:tc>
      </w:tr>
      <w:tr w:rsidR="00002D76" w:rsidRPr="00887181" w14:paraId="74BBA32C" w14:textId="77777777" w:rsidTr="001429C7">
        <w:trPr>
          <w:trHeight w:hRule="exac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187BE10" w14:textId="77777777" w:rsidR="00002D76" w:rsidRPr="00887181" w:rsidRDefault="00002D76" w:rsidP="00D63204">
            <w:pPr>
              <w:spacing w:after="0" w:line="240" w:lineRule="auto"/>
              <w:rPr>
                <w:rFonts w:ascii="Calibri" w:hAnsi="Calibri"/>
                <w:color w:val="231F20"/>
                <w:sz w:val="16"/>
                <w:szCs w:val="16"/>
              </w:rPr>
            </w:pPr>
            <w:r w:rsidRPr="00887181">
              <w:rPr>
                <w:rFonts w:ascii="Calibri" w:hAnsi="Calibri"/>
                <w:color w:val="231F20"/>
                <w:sz w:val="16"/>
                <w:szCs w:val="16"/>
              </w:rPr>
              <w:t>490000</w:t>
            </w:r>
          </w:p>
        </w:tc>
        <w:tc>
          <w:tcPr>
            <w:tcW w:w="0" w:type="auto"/>
            <w:tcBorders>
              <w:top w:val="nil"/>
              <w:left w:val="nil"/>
              <w:bottom w:val="single" w:sz="4" w:space="0" w:color="auto"/>
              <w:right w:val="single" w:sz="4" w:space="0" w:color="auto"/>
            </w:tcBorders>
            <w:shd w:val="clear" w:color="auto" w:fill="auto"/>
            <w:vAlign w:val="center"/>
            <w:hideMark/>
          </w:tcPr>
          <w:p w14:paraId="7F936006" w14:textId="282673AA" w:rsidR="00002D76" w:rsidRPr="00887181" w:rsidRDefault="00002D76" w:rsidP="001429C7">
            <w:pPr>
              <w:spacing w:after="0" w:line="240" w:lineRule="auto"/>
              <w:rPr>
                <w:rFonts w:ascii="Calibri" w:hAnsi="Calibri"/>
                <w:color w:val="231F20"/>
                <w:sz w:val="16"/>
                <w:szCs w:val="16"/>
              </w:rPr>
            </w:pPr>
            <w:r w:rsidRPr="00887181">
              <w:rPr>
                <w:rFonts w:ascii="Calibri" w:hAnsi="Calibri"/>
                <w:color w:val="231F20"/>
                <w:sz w:val="16"/>
                <w:szCs w:val="16"/>
              </w:rPr>
              <w:t>Installation, Maintenance</w:t>
            </w:r>
            <w:r w:rsidR="00D5537E">
              <w:rPr>
                <w:rFonts w:ascii="Calibri" w:hAnsi="Calibri"/>
                <w:color w:val="231F20"/>
                <w:sz w:val="16"/>
                <w:szCs w:val="16"/>
              </w:rPr>
              <w:t xml:space="preserve"> and</w:t>
            </w:r>
            <w:r w:rsidRPr="00887181">
              <w:rPr>
                <w:rFonts w:ascii="Calibri" w:hAnsi="Calibri"/>
                <w:color w:val="231F20"/>
                <w:sz w:val="16"/>
                <w:szCs w:val="16"/>
              </w:rPr>
              <w:t xml:space="preserve"> Repair</w:t>
            </w:r>
          </w:p>
        </w:tc>
        <w:tc>
          <w:tcPr>
            <w:tcW w:w="0" w:type="auto"/>
            <w:tcBorders>
              <w:top w:val="nil"/>
              <w:left w:val="nil"/>
              <w:bottom w:val="single" w:sz="4" w:space="0" w:color="auto"/>
              <w:right w:val="single" w:sz="4" w:space="0" w:color="auto"/>
            </w:tcBorders>
            <w:shd w:val="clear" w:color="auto" w:fill="auto"/>
            <w:vAlign w:val="center"/>
            <w:hideMark/>
          </w:tcPr>
          <w:p w14:paraId="53D7BBE4" w14:textId="77777777" w:rsidR="00002D76" w:rsidRPr="00887181" w:rsidRDefault="00002D76" w:rsidP="00D63204">
            <w:pPr>
              <w:spacing w:after="0" w:line="240" w:lineRule="auto"/>
              <w:rPr>
                <w:rFonts w:ascii="Calibri" w:hAnsi="Calibri"/>
                <w:color w:val="231F20"/>
                <w:sz w:val="16"/>
                <w:szCs w:val="16"/>
              </w:rPr>
            </w:pPr>
            <w:r w:rsidRPr="00887181">
              <w:rPr>
                <w:rFonts w:ascii="Calibri" w:hAnsi="Calibri"/>
                <w:color w:val="231F20"/>
                <w:sz w:val="16"/>
                <w:szCs w:val="16"/>
              </w:rPr>
              <w:t>4.2%</w:t>
            </w:r>
          </w:p>
        </w:tc>
        <w:tc>
          <w:tcPr>
            <w:tcW w:w="0" w:type="auto"/>
            <w:tcBorders>
              <w:top w:val="nil"/>
              <w:left w:val="nil"/>
              <w:bottom w:val="single" w:sz="4" w:space="0" w:color="auto"/>
              <w:right w:val="single" w:sz="4" w:space="0" w:color="auto"/>
            </w:tcBorders>
            <w:shd w:val="clear" w:color="auto" w:fill="auto"/>
            <w:vAlign w:val="center"/>
            <w:hideMark/>
          </w:tcPr>
          <w:p w14:paraId="16500175" w14:textId="77777777" w:rsidR="00002D76" w:rsidRPr="00887181" w:rsidRDefault="00002D76" w:rsidP="00D63204">
            <w:pPr>
              <w:spacing w:after="0" w:line="240" w:lineRule="auto"/>
              <w:rPr>
                <w:rFonts w:ascii="Calibri" w:hAnsi="Calibri"/>
                <w:color w:val="231F20"/>
                <w:sz w:val="16"/>
                <w:szCs w:val="16"/>
              </w:rPr>
            </w:pPr>
            <w:r w:rsidRPr="00887181">
              <w:rPr>
                <w:rFonts w:ascii="Calibri" w:hAnsi="Calibri"/>
                <w:color w:val="231F20"/>
                <w:sz w:val="16"/>
                <w:szCs w:val="16"/>
              </w:rPr>
              <w:t>4.4%</w:t>
            </w:r>
          </w:p>
        </w:tc>
        <w:tc>
          <w:tcPr>
            <w:tcW w:w="0" w:type="auto"/>
            <w:tcBorders>
              <w:top w:val="nil"/>
              <w:left w:val="nil"/>
              <w:bottom w:val="single" w:sz="4" w:space="0" w:color="auto"/>
              <w:right w:val="single" w:sz="4" w:space="0" w:color="auto"/>
            </w:tcBorders>
            <w:shd w:val="clear" w:color="auto" w:fill="auto"/>
            <w:vAlign w:val="center"/>
            <w:hideMark/>
          </w:tcPr>
          <w:p w14:paraId="1654A100" w14:textId="77777777" w:rsidR="00002D76" w:rsidRPr="00887181" w:rsidRDefault="00002D76" w:rsidP="00D63204">
            <w:pPr>
              <w:spacing w:after="0" w:line="240" w:lineRule="auto"/>
              <w:rPr>
                <w:rFonts w:ascii="Calibri" w:hAnsi="Calibri"/>
                <w:color w:val="231F20"/>
                <w:sz w:val="16"/>
                <w:szCs w:val="16"/>
              </w:rPr>
            </w:pPr>
            <w:r w:rsidRPr="00887181">
              <w:rPr>
                <w:rFonts w:ascii="Calibri" w:hAnsi="Calibri"/>
                <w:color w:val="231F20"/>
                <w:sz w:val="16"/>
                <w:szCs w:val="16"/>
              </w:rPr>
              <w:t>5.3%</w:t>
            </w:r>
          </w:p>
        </w:tc>
        <w:tc>
          <w:tcPr>
            <w:tcW w:w="0" w:type="auto"/>
            <w:tcBorders>
              <w:top w:val="nil"/>
              <w:left w:val="nil"/>
              <w:bottom w:val="single" w:sz="4" w:space="0" w:color="auto"/>
              <w:right w:val="single" w:sz="4" w:space="0" w:color="auto"/>
            </w:tcBorders>
            <w:shd w:val="clear" w:color="auto" w:fill="auto"/>
            <w:vAlign w:val="center"/>
            <w:hideMark/>
          </w:tcPr>
          <w:p w14:paraId="47B13904" w14:textId="77777777" w:rsidR="00002D76" w:rsidRPr="00887181" w:rsidRDefault="00002D76" w:rsidP="00D63204">
            <w:pPr>
              <w:spacing w:after="0" w:line="240" w:lineRule="auto"/>
              <w:rPr>
                <w:rFonts w:ascii="Calibri" w:hAnsi="Calibri"/>
                <w:color w:val="231F20"/>
                <w:sz w:val="16"/>
                <w:szCs w:val="16"/>
              </w:rPr>
            </w:pPr>
            <w:r w:rsidRPr="00887181">
              <w:rPr>
                <w:rFonts w:ascii="Calibri" w:hAnsi="Calibri"/>
                <w:color w:val="231F20"/>
                <w:sz w:val="16"/>
                <w:szCs w:val="16"/>
              </w:rPr>
              <w:t>3.7%</w:t>
            </w:r>
          </w:p>
        </w:tc>
        <w:tc>
          <w:tcPr>
            <w:tcW w:w="0" w:type="auto"/>
            <w:tcBorders>
              <w:top w:val="nil"/>
              <w:left w:val="nil"/>
              <w:bottom w:val="single" w:sz="4" w:space="0" w:color="auto"/>
              <w:right w:val="single" w:sz="4" w:space="0" w:color="auto"/>
            </w:tcBorders>
            <w:shd w:val="clear" w:color="auto" w:fill="auto"/>
            <w:vAlign w:val="center"/>
            <w:hideMark/>
          </w:tcPr>
          <w:p w14:paraId="74E53B3F" w14:textId="77777777" w:rsidR="00002D76" w:rsidRPr="00887181" w:rsidRDefault="00002D76" w:rsidP="00D63204">
            <w:pPr>
              <w:spacing w:after="0" w:line="240" w:lineRule="auto"/>
              <w:rPr>
                <w:rFonts w:ascii="Calibri" w:hAnsi="Calibri"/>
                <w:color w:val="231F20"/>
                <w:sz w:val="16"/>
                <w:szCs w:val="16"/>
              </w:rPr>
            </w:pPr>
            <w:r w:rsidRPr="00887181">
              <w:rPr>
                <w:rFonts w:ascii="Calibri" w:hAnsi="Calibri"/>
                <w:color w:val="231F20"/>
                <w:sz w:val="16"/>
                <w:szCs w:val="16"/>
              </w:rPr>
              <w:t>5.0%</w:t>
            </w:r>
          </w:p>
        </w:tc>
        <w:tc>
          <w:tcPr>
            <w:tcW w:w="0" w:type="auto"/>
            <w:tcBorders>
              <w:top w:val="nil"/>
              <w:left w:val="nil"/>
              <w:bottom w:val="single" w:sz="4" w:space="0" w:color="auto"/>
              <w:right w:val="single" w:sz="4" w:space="0" w:color="auto"/>
            </w:tcBorders>
            <w:shd w:val="clear" w:color="auto" w:fill="auto"/>
            <w:vAlign w:val="center"/>
            <w:hideMark/>
          </w:tcPr>
          <w:p w14:paraId="191ED634" w14:textId="77777777" w:rsidR="00002D76" w:rsidRPr="00887181" w:rsidRDefault="00002D76" w:rsidP="00D63204">
            <w:pPr>
              <w:spacing w:after="0" w:line="240" w:lineRule="auto"/>
              <w:rPr>
                <w:rFonts w:ascii="Calibri" w:hAnsi="Calibri"/>
                <w:color w:val="231F20"/>
                <w:sz w:val="16"/>
                <w:szCs w:val="16"/>
              </w:rPr>
            </w:pPr>
            <w:r w:rsidRPr="00887181">
              <w:rPr>
                <w:rFonts w:ascii="Calibri" w:hAnsi="Calibri"/>
                <w:color w:val="231F20"/>
                <w:sz w:val="16"/>
                <w:szCs w:val="16"/>
              </w:rPr>
              <w:t>3.6%</w:t>
            </w:r>
          </w:p>
        </w:tc>
        <w:tc>
          <w:tcPr>
            <w:tcW w:w="0" w:type="auto"/>
            <w:tcBorders>
              <w:top w:val="nil"/>
              <w:left w:val="nil"/>
              <w:bottom w:val="single" w:sz="4" w:space="0" w:color="auto"/>
              <w:right w:val="single" w:sz="4" w:space="0" w:color="auto"/>
            </w:tcBorders>
            <w:shd w:val="clear" w:color="auto" w:fill="auto"/>
            <w:vAlign w:val="center"/>
            <w:hideMark/>
          </w:tcPr>
          <w:p w14:paraId="4F0C352C" w14:textId="77777777" w:rsidR="00002D76" w:rsidRPr="00887181" w:rsidRDefault="00002D76" w:rsidP="00D63204">
            <w:pPr>
              <w:spacing w:after="0" w:line="240" w:lineRule="auto"/>
              <w:rPr>
                <w:rFonts w:ascii="Calibri" w:hAnsi="Calibri"/>
                <w:color w:val="231F20"/>
                <w:sz w:val="16"/>
                <w:szCs w:val="16"/>
              </w:rPr>
            </w:pPr>
            <w:r w:rsidRPr="00887181">
              <w:rPr>
                <w:rFonts w:ascii="Calibri" w:hAnsi="Calibri"/>
                <w:color w:val="231F20"/>
                <w:sz w:val="16"/>
                <w:szCs w:val="16"/>
              </w:rPr>
              <w:t>4.7%</w:t>
            </w:r>
          </w:p>
        </w:tc>
        <w:tc>
          <w:tcPr>
            <w:tcW w:w="0" w:type="auto"/>
            <w:tcBorders>
              <w:top w:val="nil"/>
              <w:left w:val="nil"/>
              <w:bottom w:val="single" w:sz="4" w:space="0" w:color="auto"/>
              <w:right w:val="single" w:sz="4" w:space="0" w:color="auto"/>
            </w:tcBorders>
            <w:shd w:val="clear" w:color="auto" w:fill="auto"/>
            <w:vAlign w:val="center"/>
            <w:hideMark/>
          </w:tcPr>
          <w:p w14:paraId="2260C03D" w14:textId="77777777" w:rsidR="00002D76" w:rsidRPr="00887181" w:rsidRDefault="00002D76" w:rsidP="00D63204">
            <w:pPr>
              <w:spacing w:after="0" w:line="240" w:lineRule="auto"/>
              <w:rPr>
                <w:rFonts w:ascii="Calibri" w:hAnsi="Calibri"/>
                <w:color w:val="231F20"/>
                <w:sz w:val="16"/>
                <w:szCs w:val="16"/>
              </w:rPr>
            </w:pPr>
            <w:r w:rsidRPr="00887181">
              <w:rPr>
                <w:rFonts w:ascii="Calibri" w:hAnsi="Calibri"/>
                <w:color w:val="231F20"/>
                <w:sz w:val="16"/>
                <w:szCs w:val="16"/>
              </w:rPr>
              <w:t>3.9%</w:t>
            </w:r>
          </w:p>
        </w:tc>
      </w:tr>
      <w:tr w:rsidR="00002D76" w:rsidRPr="00887181" w14:paraId="4FFE11C5" w14:textId="77777777" w:rsidTr="001429C7">
        <w:trPr>
          <w:trHeight w:hRule="exact" w:val="300"/>
        </w:trPr>
        <w:tc>
          <w:tcPr>
            <w:tcW w:w="0" w:type="auto"/>
            <w:tcBorders>
              <w:top w:val="nil"/>
              <w:left w:val="single" w:sz="4" w:space="0" w:color="auto"/>
              <w:bottom w:val="single" w:sz="4" w:space="0" w:color="auto"/>
              <w:right w:val="single" w:sz="4" w:space="0" w:color="auto"/>
            </w:tcBorders>
            <w:shd w:val="clear" w:color="000000" w:fill="E6E7E8"/>
            <w:vAlign w:val="center"/>
            <w:hideMark/>
          </w:tcPr>
          <w:p w14:paraId="5D6FC5F8" w14:textId="77777777" w:rsidR="00002D76" w:rsidRPr="00887181" w:rsidRDefault="00002D76" w:rsidP="00D63204">
            <w:pPr>
              <w:spacing w:after="0" w:line="240" w:lineRule="auto"/>
              <w:rPr>
                <w:rFonts w:ascii="Calibri" w:hAnsi="Calibri"/>
                <w:color w:val="231F20"/>
                <w:sz w:val="16"/>
                <w:szCs w:val="16"/>
              </w:rPr>
            </w:pPr>
            <w:r w:rsidRPr="00887181">
              <w:rPr>
                <w:rFonts w:ascii="Calibri" w:hAnsi="Calibri"/>
                <w:color w:val="231F20"/>
                <w:sz w:val="16"/>
                <w:szCs w:val="16"/>
              </w:rPr>
              <w:t>510000</w:t>
            </w:r>
          </w:p>
        </w:tc>
        <w:tc>
          <w:tcPr>
            <w:tcW w:w="0" w:type="auto"/>
            <w:tcBorders>
              <w:top w:val="nil"/>
              <w:left w:val="nil"/>
              <w:bottom w:val="single" w:sz="4" w:space="0" w:color="auto"/>
              <w:right w:val="single" w:sz="4" w:space="0" w:color="auto"/>
            </w:tcBorders>
            <w:shd w:val="clear" w:color="000000" w:fill="E6E7E8"/>
            <w:vAlign w:val="center"/>
            <w:hideMark/>
          </w:tcPr>
          <w:p w14:paraId="240AA605" w14:textId="77777777" w:rsidR="00002D76" w:rsidRPr="00887181" w:rsidRDefault="00002D76" w:rsidP="001429C7">
            <w:pPr>
              <w:spacing w:after="0" w:line="240" w:lineRule="auto"/>
              <w:rPr>
                <w:rFonts w:ascii="Calibri" w:hAnsi="Calibri"/>
                <w:color w:val="231F20"/>
                <w:sz w:val="16"/>
                <w:szCs w:val="16"/>
              </w:rPr>
            </w:pPr>
            <w:r w:rsidRPr="00887181">
              <w:rPr>
                <w:rFonts w:ascii="Calibri" w:hAnsi="Calibri"/>
                <w:color w:val="231F20"/>
                <w:sz w:val="16"/>
                <w:szCs w:val="16"/>
              </w:rPr>
              <w:t>Production</w:t>
            </w:r>
          </w:p>
        </w:tc>
        <w:tc>
          <w:tcPr>
            <w:tcW w:w="0" w:type="auto"/>
            <w:tcBorders>
              <w:top w:val="nil"/>
              <w:left w:val="nil"/>
              <w:bottom w:val="single" w:sz="4" w:space="0" w:color="auto"/>
              <w:right w:val="single" w:sz="4" w:space="0" w:color="auto"/>
            </w:tcBorders>
            <w:shd w:val="clear" w:color="000000" w:fill="E6E7E8"/>
            <w:vAlign w:val="center"/>
            <w:hideMark/>
          </w:tcPr>
          <w:p w14:paraId="478FC902" w14:textId="77777777" w:rsidR="00002D76" w:rsidRPr="00887181" w:rsidRDefault="00002D76" w:rsidP="00D63204">
            <w:pPr>
              <w:spacing w:after="0" w:line="240" w:lineRule="auto"/>
              <w:rPr>
                <w:rFonts w:ascii="Calibri" w:hAnsi="Calibri"/>
                <w:color w:val="231F20"/>
                <w:sz w:val="16"/>
                <w:szCs w:val="16"/>
              </w:rPr>
            </w:pPr>
            <w:r w:rsidRPr="00887181">
              <w:rPr>
                <w:rFonts w:ascii="Calibri" w:hAnsi="Calibri"/>
                <w:color w:val="231F20"/>
                <w:sz w:val="16"/>
                <w:szCs w:val="16"/>
              </w:rPr>
              <w:t>3.5%</w:t>
            </w:r>
          </w:p>
        </w:tc>
        <w:tc>
          <w:tcPr>
            <w:tcW w:w="0" w:type="auto"/>
            <w:tcBorders>
              <w:top w:val="nil"/>
              <w:left w:val="nil"/>
              <w:bottom w:val="single" w:sz="4" w:space="0" w:color="auto"/>
              <w:right w:val="single" w:sz="4" w:space="0" w:color="auto"/>
            </w:tcBorders>
            <w:shd w:val="clear" w:color="000000" w:fill="E6E7E8"/>
            <w:vAlign w:val="center"/>
            <w:hideMark/>
          </w:tcPr>
          <w:p w14:paraId="721F3E98" w14:textId="77777777" w:rsidR="00002D76" w:rsidRPr="00887181" w:rsidRDefault="00002D76" w:rsidP="00D63204">
            <w:pPr>
              <w:spacing w:after="0" w:line="240" w:lineRule="auto"/>
              <w:rPr>
                <w:rFonts w:ascii="Calibri" w:hAnsi="Calibri"/>
                <w:color w:val="231F20"/>
                <w:sz w:val="16"/>
                <w:szCs w:val="16"/>
              </w:rPr>
            </w:pPr>
            <w:r w:rsidRPr="00887181">
              <w:rPr>
                <w:rFonts w:ascii="Calibri" w:hAnsi="Calibri"/>
                <w:color w:val="231F20"/>
                <w:sz w:val="16"/>
                <w:szCs w:val="16"/>
              </w:rPr>
              <w:t>3.5%</w:t>
            </w:r>
          </w:p>
        </w:tc>
        <w:tc>
          <w:tcPr>
            <w:tcW w:w="0" w:type="auto"/>
            <w:tcBorders>
              <w:top w:val="nil"/>
              <w:left w:val="nil"/>
              <w:bottom w:val="single" w:sz="4" w:space="0" w:color="auto"/>
              <w:right w:val="single" w:sz="4" w:space="0" w:color="auto"/>
            </w:tcBorders>
            <w:shd w:val="clear" w:color="000000" w:fill="E6E7E8"/>
            <w:vAlign w:val="center"/>
            <w:hideMark/>
          </w:tcPr>
          <w:p w14:paraId="33B14A80" w14:textId="77777777" w:rsidR="00002D76" w:rsidRPr="00887181" w:rsidRDefault="00002D76" w:rsidP="00D63204">
            <w:pPr>
              <w:spacing w:after="0" w:line="240" w:lineRule="auto"/>
              <w:rPr>
                <w:rFonts w:ascii="Calibri" w:hAnsi="Calibri"/>
                <w:color w:val="231F20"/>
                <w:sz w:val="16"/>
                <w:szCs w:val="16"/>
              </w:rPr>
            </w:pPr>
            <w:r w:rsidRPr="00887181">
              <w:rPr>
                <w:rFonts w:ascii="Calibri" w:hAnsi="Calibri"/>
                <w:color w:val="231F20"/>
                <w:sz w:val="16"/>
                <w:szCs w:val="16"/>
              </w:rPr>
              <w:t>2.5%</w:t>
            </w:r>
          </w:p>
        </w:tc>
        <w:tc>
          <w:tcPr>
            <w:tcW w:w="0" w:type="auto"/>
            <w:tcBorders>
              <w:top w:val="nil"/>
              <w:left w:val="nil"/>
              <w:bottom w:val="single" w:sz="4" w:space="0" w:color="auto"/>
              <w:right w:val="single" w:sz="4" w:space="0" w:color="auto"/>
            </w:tcBorders>
            <w:shd w:val="clear" w:color="000000" w:fill="E6E7E8"/>
            <w:vAlign w:val="center"/>
            <w:hideMark/>
          </w:tcPr>
          <w:p w14:paraId="3383DEF3" w14:textId="77777777" w:rsidR="00002D76" w:rsidRPr="00887181" w:rsidRDefault="00002D76" w:rsidP="00D63204">
            <w:pPr>
              <w:spacing w:after="0" w:line="240" w:lineRule="auto"/>
              <w:rPr>
                <w:rFonts w:ascii="Calibri" w:hAnsi="Calibri"/>
                <w:color w:val="231F20"/>
                <w:sz w:val="16"/>
                <w:szCs w:val="16"/>
              </w:rPr>
            </w:pPr>
            <w:r w:rsidRPr="00887181">
              <w:rPr>
                <w:rFonts w:ascii="Calibri" w:hAnsi="Calibri"/>
                <w:color w:val="231F20"/>
                <w:sz w:val="16"/>
                <w:szCs w:val="16"/>
              </w:rPr>
              <w:t>4.2%</w:t>
            </w:r>
          </w:p>
        </w:tc>
        <w:tc>
          <w:tcPr>
            <w:tcW w:w="0" w:type="auto"/>
            <w:tcBorders>
              <w:top w:val="nil"/>
              <w:left w:val="nil"/>
              <w:bottom w:val="single" w:sz="4" w:space="0" w:color="auto"/>
              <w:right w:val="single" w:sz="4" w:space="0" w:color="auto"/>
            </w:tcBorders>
            <w:shd w:val="clear" w:color="000000" w:fill="E6E7E8"/>
            <w:vAlign w:val="center"/>
            <w:hideMark/>
          </w:tcPr>
          <w:p w14:paraId="650CF0EF" w14:textId="77777777" w:rsidR="00002D76" w:rsidRPr="00887181" w:rsidRDefault="00002D76" w:rsidP="00D63204">
            <w:pPr>
              <w:spacing w:after="0" w:line="240" w:lineRule="auto"/>
              <w:rPr>
                <w:rFonts w:ascii="Calibri" w:hAnsi="Calibri"/>
                <w:color w:val="231F20"/>
                <w:sz w:val="16"/>
                <w:szCs w:val="16"/>
              </w:rPr>
            </w:pPr>
            <w:r w:rsidRPr="00887181">
              <w:rPr>
                <w:rFonts w:ascii="Calibri" w:hAnsi="Calibri"/>
                <w:color w:val="231F20"/>
                <w:sz w:val="16"/>
                <w:szCs w:val="16"/>
              </w:rPr>
              <w:t>3.9%</w:t>
            </w:r>
          </w:p>
        </w:tc>
        <w:tc>
          <w:tcPr>
            <w:tcW w:w="0" w:type="auto"/>
            <w:tcBorders>
              <w:top w:val="nil"/>
              <w:left w:val="nil"/>
              <w:bottom w:val="single" w:sz="4" w:space="0" w:color="auto"/>
              <w:right w:val="single" w:sz="4" w:space="0" w:color="auto"/>
            </w:tcBorders>
            <w:shd w:val="clear" w:color="000000" w:fill="E6E7E8"/>
            <w:vAlign w:val="center"/>
            <w:hideMark/>
          </w:tcPr>
          <w:p w14:paraId="3C83E6CD" w14:textId="77777777" w:rsidR="00002D76" w:rsidRPr="00887181" w:rsidRDefault="00002D76" w:rsidP="00D63204">
            <w:pPr>
              <w:spacing w:after="0" w:line="240" w:lineRule="auto"/>
              <w:rPr>
                <w:rFonts w:ascii="Calibri" w:hAnsi="Calibri"/>
                <w:color w:val="231F20"/>
                <w:sz w:val="16"/>
                <w:szCs w:val="16"/>
              </w:rPr>
            </w:pPr>
            <w:r w:rsidRPr="00887181">
              <w:rPr>
                <w:rFonts w:ascii="Calibri" w:hAnsi="Calibri"/>
                <w:color w:val="231F20"/>
                <w:sz w:val="16"/>
                <w:szCs w:val="16"/>
              </w:rPr>
              <w:t>2.1%</w:t>
            </w:r>
          </w:p>
        </w:tc>
        <w:tc>
          <w:tcPr>
            <w:tcW w:w="0" w:type="auto"/>
            <w:tcBorders>
              <w:top w:val="nil"/>
              <w:left w:val="nil"/>
              <w:bottom w:val="single" w:sz="4" w:space="0" w:color="auto"/>
              <w:right w:val="single" w:sz="4" w:space="0" w:color="auto"/>
            </w:tcBorders>
            <w:shd w:val="clear" w:color="000000" w:fill="E6E7E8"/>
            <w:vAlign w:val="center"/>
            <w:hideMark/>
          </w:tcPr>
          <w:p w14:paraId="2B3A287B" w14:textId="77777777" w:rsidR="00002D76" w:rsidRPr="00887181" w:rsidRDefault="00002D76" w:rsidP="00D63204">
            <w:pPr>
              <w:spacing w:after="0" w:line="240" w:lineRule="auto"/>
              <w:rPr>
                <w:rFonts w:ascii="Calibri" w:hAnsi="Calibri"/>
                <w:color w:val="231F20"/>
                <w:sz w:val="16"/>
                <w:szCs w:val="16"/>
              </w:rPr>
            </w:pPr>
            <w:r w:rsidRPr="00887181">
              <w:rPr>
                <w:rFonts w:ascii="Calibri" w:hAnsi="Calibri"/>
                <w:color w:val="231F20"/>
                <w:sz w:val="16"/>
                <w:szCs w:val="16"/>
              </w:rPr>
              <w:t>10.3%</w:t>
            </w:r>
          </w:p>
        </w:tc>
        <w:tc>
          <w:tcPr>
            <w:tcW w:w="0" w:type="auto"/>
            <w:tcBorders>
              <w:top w:val="nil"/>
              <w:left w:val="nil"/>
              <w:bottom w:val="single" w:sz="4" w:space="0" w:color="auto"/>
              <w:right w:val="single" w:sz="4" w:space="0" w:color="auto"/>
            </w:tcBorders>
            <w:shd w:val="clear" w:color="000000" w:fill="E6E7E8"/>
            <w:vAlign w:val="center"/>
            <w:hideMark/>
          </w:tcPr>
          <w:p w14:paraId="712FC0A3" w14:textId="77777777" w:rsidR="00002D76" w:rsidRPr="00887181" w:rsidRDefault="00002D76" w:rsidP="00D63204">
            <w:pPr>
              <w:spacing w:after="0" w:line="240" w:lineRule="auto"/>
              <w:rPr>
                <w:rFonts w:ascii="Calibri" w:hAnsi="Calibri"/>
                <w:color w:val="231F20"/>
                <w:sz w:val="16"/>
                <w:szCs w:val="16"/>
              </w:rPr>
            </w:pPr>
            <w:r w:rsidRPr="00887181">
              <w:rPr>
                <w:rFonts w:ascii="Calibri" w:hAnsi="Calibri"/>
                <w:color w:val="231F20"/>
                <w:sz w:val="16"/>
                <w:szCs w:val="16"/>
              </w:rPr>
              <w:t>4.9%</w:t>
            </w:r>
          </w:p>
        </w:tc>
      </w:tr>
      <w:tr w:rsidR="00002D76" w:rsidRPr="00887181" w14:paraId="332DE0E8" w14:textId="77777777" w:rsidTr="001429C7">
        <w:trPr>
          <w:trHeight w:hRule="exac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0FC836A" w14:textId="77777777" w:rsidR="00002D76" w:rsidRPr="00887181" w:rsidRDefault="00002D76" w:rsidP="00D63204">
            <w:pPr>
              <w:spacing w:after="0" w:line="240" w:lineRule="auto"/>
              <w:rPr>
                <w:rFonts w:ascii="Calibri" w:hAnsi="Calibri"/>
                <w:color w:val="231F20"/>
                <w:sz w:val="16"/>
                <w:szCs w:val="16"/>
              </w:rPr>
            </w:pPr>
            <w:r w:rsidRPr="00887181">
              <w:rPr>
                <w:rFonts w:ascii="Calibri" w:hAnsi="Calibri"/>
                <w:color w:val="231F20"/>
                <w:sz w:val="16"/>
                <w:szCs w:val="16"/>
              </w:rPr>
              <w:t>530000</w:t>
            </w:r>
          </w:p>
        </w:tc>
        <w:tc>
          <w:tcPr>
            <w:tcW w:w="0" w:type="auto"/>
            <w:tcBorders>
              <w:top w:val="nil"/>
              <w:left w:val="nil"/>
              <w:bottom w:val="single" w:sz="4" w:space="0" w:color="auto"/>
              <w:right w:val="single" w:sz="4" w:space="0" w:color="auto"/>
            </w:tcBorders>
            <w:shd w:val="clear" w:color="auto" w:fill="auto"/>
            <w:vAlign w:val="center"/>
            <w:hideMark/>
          </w:tcPr>
          <w:p w14:paraId="524A52F9" w14:textId="77777777" w:rsidR="00002D76" w:rsidRPr="00887181" w:rsidRDefault="00002D76" w:rsidP="001429C7">
            <w:pPr>
              <w:spacing w:after="0" w:line="240" w:lineRule="auto"/>
              <w:rPr>
                <w:rFonts w:ascii="Calibri" w:hAnsi="Calibri"/>
                <w:color w:val="231F20"/>
                <w:sz w:val="16"/>
                <w:szCs w:val="16"/>
              </w:rPr>
            </w:pPr>
            <w:r w:rsidRPr="00887181">
              <w:rPr>
                <w:rFonts w:ascii="Calibri" w:hAnsi="Calibri"/>
                <w:color w:val="231F20"/>
                <w:sz w:val="16"/>
                <w:szCs w:val="16"/>
              </w:rPr>
              <w:t>Transportation and Material Moving</w:t>
            </w:r>
          </w:p>
        </w:tc>
        <w:tc>
          <w:tcPr>
            <w:tcW w:w="0" w:type="auto"/>
            <w:tcBorders>
              <w:top w:val="nil"/>
              <w:left w:val="nil"/>
              <w:bottom w:val="single" w:sz="4" w:space="0" w:color="auto"/>
              <w:right w:val="single" w:sz="4" w:space="0" w:color="auto"/>
            </w:tcBorders>
            <w:shd w:val="clear" w:color="auto" w:fill="auto"/>
            <w:vAlign w:val="center"/>
            <w:hideMark/>
          </w:tcPr>
          <w:p w14:paraId="085DEFA7" w14:textId="77777777" w:rsidR="00002D76" w:rsidRPr="00887181" w:rsidRDefault="00002D76" w:rsidP="00D63204">
            <w:pPr>
              <w:spacing w:after="0" w:line="240" w:lineRule="auto"/>
              <w:rPr>
                <w:rFonts w:ascii="Calibri" w:hAnsi="Calibri"/>
                <w:color w:val="231F20"/>
                <w:sz w:val="16"/>
                <w:szCs w:val="16"/>
              </w:rPr>
            </w:pPr>
            <w:r w:rsidRPr="00887181">
              <w:rPr>
                <w:rFonts w:ascii="Calibri" w:hAnsi="Calibri"/>
                <w:color w:val="231F20"/>
                <w:sz w:val="16"/>
                <w:szCs w:val="16"/>
              </w:rPr>
              <w:t>5.8%</w:t>
            </w:r>
          </w:p>
        </w:tc>
        <w:tc>
          <w:tcPr>
            <w:tcW w:w="0" w:type="auto"/>
            <w:tcBorders>
              <w:top w:val="nil"/>
              <w:left w:val="nil"/>
              <w:bottom w:val="single" w:sz="4" w:space="0" w:color="auto"/>
              <w:right w:val="single" w:sz="4" w:space="0" w:color="auto"/>
            </w:tcBorders>
            <w:shd w:val="clear" w:color="auto" w:fill="auto"/>
            <w:vAlign w:val="center"/>
            <w:hideMark/>
          </w:tcPr>
          <w:p w14:paraId="16BFA14D" w14:textId="77777777" w:rsidR="00002D76" w:rsidRPr="00887181" w:rsidRDefault="00002D76" w:rsidP="00D63204">
            <w:pPr>
              <w:spacing w:after="0" w:line="240" w:lineRule="auto"/>
              <w:rPr>
                <w:rFonts w:ascii="Calibri" w:hAnsi="Calibri"/>
                <w:color w:val="231F20"/>
                <w:sz w:val="16"/>
                <w:szCs w:val="16"/>
              </w:rPr>
            </w:pPr>
            <w:r w:rsidRPr="00887181">
              <w:rPr>
                <w:rFonts w:ascii="Calibri" w:hAnsi="Calibri"/>
                <w:color w:val="231F20"/>
                <w:sz w:val="16"/>
                <w:szCs w:val="16"/>
              </w:rPr>
              <w:t>4.5%</w:t>
            </w:r>
          </w:p>
        </w:tc>
        <w:tc>
          <w:tcPr>
            <w:tcW w:w="0" w:type="auto"/>
            <w:tcBorders>
              <w:top w:val="nil"/>
              <w:left w:val="nil"/>
              <w:bottom w:val="single" w:sz="4" w:space="0" w:color="auto"/>
              <w:right w:val="single" w:sz="4" w:space="0" w:color="auto"/>
            </w:tcBorders>
            <w:shd w:val="clear" w:color="auto" w:fill="auto"/>
            <w:vAlign w:val="center"/>
            <w:hideMark/>
          </w:tcPr>
          <w:p w14:paraId="509BD353" w14:textId="77777777" w:rsidR="00002D76" w:rsidRPr="00887181" w:rsidRDefault="00002D76" w:rsidP="00D63204">
            <w:pPr>
              <w:spacing w:after="0" w:line="240" w:lineRule="auto"/>
              <w:rPr>
                <w:rFonts w:ascii="Calibri" w:hAnsi="Calibri"/>
                <w:color w:val="231F20"/>
                <w:sz w:val="16"/>
                <w:szCs w:val="16"/>
              </w:rPr>
            </w:pPr>
            <w:r w:rsidRPr="00887181">
              <w:rPr>
                <w:rFonts w:ascii="Calibri" w:hAnsi="Calibri"/>
                <w:color w:val="231F20"/>
                <w:sz w:val="16"/>
                <w:szCs w:val="16"/>
              </w:rPr>
              <w:t>4.2%</w:t>
            </w:r>
          </w:p>
        </w:tc>
        <w:tc>
          <w:tcPr>
            <w:tcW w:w="0" w:type="auto"/>
            <w:tcBorders>
              <w:top w:val="nil"/>
              <w:left w:val="nil"/>
              <w:bottom w:val="single" w:sz="4" w:space="0" w:color="auto"/>
              <w:right w:val="single" w:sz="4" w:space="0" w:color="auto"/>
            </w:tcBorders>
            <w:shd w:val="clear" w:color="auto" w:fill="auto"/>
            <w:vAlign w:val="center"/>
            <w:hideMark/>
          </w:tcPr>
          <w:p w14:paraId="0506F484" w14:textId="77777777" w:rsidR="00002D76" w:rsidRPr="00887181" w:rsidRDefault="00002D76" w:rsidP="00D63204">
            <w:pPr>
              <w:spacing w:after="0" w:line="240" w:lineRule="auto"/>
              <w:rPr>
                <w:rFonts w:ascii="Calibri" w:hAnsi="Calibri"/>
                <w:color w:val="231F20"/>
                <w:sz w:val="16"/>
                <w:szCs w:val="16"/>
              </w:rPr>
            </w:pPr>
            <w:r w:rsidRPr="00887181">
              <w:rPr>
                <w:rFonts w:ascii="Calibri" w:hAnsi="Calibri"/>
                <w:color w:val="231F20"/>
                <w:sz w:val="16"/>
                <w:szCs w:val="16"/>
              </w:rPr>
              <w:t>7.2%</w:t>
            </w:r>
          </w:p>
        </w:tc>
        <w:tc>
          <w:tcPr>
            <w:tcW w:w="0" w:type="auto"/>
            <w:tcBorders>
              <w:top w:val="nil"/>
              <w:left w:val="nil"/>
              <w:bottom w:val="single" w:sz="4" w:space="0" w:color="auto"/>
              <w:right w:val="single" w:sz="4" w:space="0" w:color="auto"/>
            </w:tcBorders>
            <w:shd w:val="clear" w:color="auto" w:fill="auto"/>
            <w:vAlign w:val="center"/>
            <w:hideMark/>
          </w:tcPr>
          <w:p w14:paraId="76DF2BDD" w14:textId="77777777" w:rsidR="00002D76" w:rsidRPr="00887181" w:rsidRDefault="00002D76" w:rsidP="00D63204">
            <w:pPr>
              <w:spacing w:after="0" w:line="240" w:lineRule="auto"/>
              <w:rPr>
                <w:rFonts w:ascii="Calibri" w:hAnsi="Calibri"/>
                <w:color w:val="231F20"/>
                <w:sz w:val="16"/>
                <w:szCs w:val="16"/>
              </w:rPr>
            </w:pPr>
            <w:r w:rsidRPr="00887181">
              <w:rPr>
                <w:rFonts w:ascii="Calibri" w:hAnsi="Calibri"/>
                <w:color w:val="231F20"/>
                <w:sz w:val="16"/>
                <w:szCs w:val="16"/>
              </w:rPr>
              <w:t>4.9%</w:t>
            </w:r>
          </w:p>
        </w:tc>
        <w:tc>
          <w:tcPr>
            <w:tcW w:w="0" w:type="auto"/>
            <w:tcBorders>
              <w:top w:val="nil"/>
              <w:left w:val="nil"/>
              <w:bottom w:val="single" w:sz="4" w:space="0" w:color="auto"/>
              <w:right w:val="single" w:sz="4" w:space="0" w:color="auto"/>
            </w:tcBorders>
            <w:shd w:val="clear" w:color="auto" w:fill="auto"/>
            <w:vAlign w:val="center"/>
            <w:hideMark/>
          </w:tcPr>
          <w:p w14:paraId="6AA2BB2A" w14:textId="77777777" w:rsidR="00002D76" w:rsidRPr="00887181" w:rsidRDefault="00002D76" w:rsidP="00D63204">
            <w:pPr>
              <w:spacing w:after="0" w:line="240" w:lineRule="auto"/>
              <w:rPr>
                <w:rFonts w:ascii="Calibri" w:hAnsi="Calibri"/>
                <w:color w:val="231F20"/>
                <w:sz w:val="16"/>
                <w:szCs w:val="16"/>
              </w:rPr>
            </w:pPr>
            <w:r w:rsidRPr="00887181">
              <w:rPr>
                <w:rFonts w:ascii="Calibri" w:hAnsi="Calibri"/>
                <w:color w:val="231F20"/>
                <w:sz w:val="16"/>
                <w:szCs w:val="16"/>
              </w:rPr>
              <w:t>3.7%</w:t>
            </w:r>
          </w:p>
        </w:tc>
        <w:tc>
          <w:tcPr>
            <w:tcW w:w="0" w:type="auto"/>
            <w:tcBorders>
              <w:top w:val="nil"/>
              <w:left w:val="nil"/>
              <w:bottom w:val="single" w:sz="4" w:space="0" w:color="auto"/>
              <w:right w:val="single" w:sz="4" w:space="0" w:color="auto"/>
            </w:tcBorders>
            <w:shd w:val="clear" w:color="auto" w:fill="auto"/>
            <w:vAlign w:val="center"/>
            <w:hideMark/>
          </w:tcPr>
          <w:p w14:paraId="7FF31A16" w14:textId="77777777" w:rsidR="00002D76" w:rsidRPr="00887181" w:rsidRDefault="00002D76" w:rsidP="00D63204">
            <w:pPr>
              <w:spacing w:after="0" w:line="240" w:lineRule="auto"/>
              <w:rPr>
                <w:rFonts w:ascii="Calibri" w:hAnsi="Calibri"/>
                <w:color w:val="231F20"/>
                <w:sz w:val="16"/>
                <w:szCs w:val="16"/>
              </w:rPr>
            </w:pPr>
            <w:r w:rsidRPr="00887181">
              <w:rPr>
                <w:rFonts w:ascii="Calibri" w:hAnsi="Calibri"/>
                <w:color w:val="231F20"/>
                <w:sz w:val="16"/>
                <w:szCs w:val="16"/>
              </w:rPr>
              <w:t>7.5%</w:t>
            </w:r>
          </w:p>
        </w:tc>
        <w:tc>
          <w:tcPr>
            <w:tcW w:w="0" w:type="auto"/>
            <w:tcBorders>
              <w:top w:val="nil"/>
              <w:left w:val="nil"/>
              <w:bottom w:val="single" w:sz="4" w:space="0" w:color="auto"/>
              <w:right w:val="single" w:sz="4" w:space="0" w:color="auto"/>
            </w:tcBorders>
            <w:shd w:val="clear" w:color="auto" w:fill="auto"/>
            <w:vAlign w:val="center"/>
            <w:hideMark/>
          </w:tcPr>
          <w:p w14:paraId="2C3CCA69" w14:textId="77777777" w:rsidR="00002D76" w:rsidRPr="00887181" w:rsidRDefault="00002D76" w:rsidP="00D63204">
            <w:pPr>
              <w:spacing w:after="0" w:line="240" w:lineRule="auto"/>
              <w:rPr>
                <w:rFonts w:ascii="Calibri" w:hAnsi="Calibri"/>
                <w:color w:val="231F20"/>
                <w:sz w:val="16"/>
                <w:szCs w:val="16"/>
              </w:rPr>
            </w:pPr>
            <w:r w:rsidRPr="00887181">
              <w:rPr>
                <w:rFonts w:ascii="Calibri" w:hAnsi="Calibri"/>
                <w:color w:val="231F20"/>
                <w:sz w:val="16"/>
                <w:szCs w:val="16"/>
              </w:rPr>
              <w:t>7.5%</w:t>
            </w:r>
          </w:p>
        </w:tc>
      </w:tr>
    </w:tbl>
    <w:p w14:paraId="0219F80E" w14:textId="77777777" w:rsidR="00002D76" w:rsidRPr="00EA7458" w:rsidRDefault="00002D76" w:rsidP="00002D76">
      <w:pPr>
        <w:widowControl w:val="0"/>
        <w:spacing w:before="12" w:after="0" w:line="240" w:lineRule="auto"/>
        <w:rPr>
          <w:rFonts w:ascii="Calibri" w:hAnsi="Calibri" w:cs="Calibri"/>
          <w:b/>
          <w:bCs/>
          <w:sz w:val="7"/>
          <w:szCs w:val="7"/>
        </w:rPr>
      </w:pPr>
    </w:p>
    <w:p w14:paraId="394DE769" w14:textId="77777777" w:rsidR="00002D76" w:rsidRPr="00EA7458" w:rsidRDefault="00002D76" w:rsidP="00002D76">
      <w:pPr>
        <w:widowControl w:val="0"/>
        <w:spacing w:before="65" w:after="0" w:line="216" w:lineRule="exact"/>
        <w:ind w:left="107"/>
        <w:rPr>
          <w:rFonts w:ascii="Calibri" w:hAnsi="Calibri" w:cs="Calibri"/>
          <w:sz w:val="18"/>
          <w:szCs w:val="18"/>
        </w:rPr>
      </w:pPr>
      <w:r w:rsidRPr="00EA7458">
        <w:rPr>
          <w:rFonts w:ascii="Calibri" w:hAnsi="Calibri"/>
          <w:color w:val="231F20"/>
          <w:w w:val="105"/>
          <w:sz w:val="18"/>
        </w:rPr>
        <w:t>Source:</w:t>
      </w:r>
      <w:r w:rsidRPr="00EA7458">
        <w:rPr>
          <w:rFonts w:ascii="Calibri" w:hAnsi="Calibri"/>
          <w:color w:val="231F20"/>
          <w:spacing w:val="19"/>
          <w:w w:val="105"/>
          <w:sz w:val="18"/>
        </w:rPr>
        <w:t xml:space="preserve"> </w:t>
      </w:r>
      <w:r w:rsidRPr="00EA7458">
        <w:rPr>
          <w:rFonts w:ascii="Calibri" w:hAnsi="Calibri"/>
          <w:color w:val="231F20"/>
          <w:w w:val="105"/>
          <w:sz w:val="18"/>
        </w:rPr>
        <w:t>Florida</w:t>
      </w:r>
      <w:r w:rsidRPr="00EA7458">
        <w:rPr>
          <w:rFonts w:ascii="Calibri" w:hAnsi="Calibri"/>
          <w:color w:val="231F20"/>
          <w:spacing w:val="9"/>
          <w:w w:val="105"/>
          <w:sz w:val="18"/>
        </w:rPr>
        <w:t xml:space="preserve"> </w:t>
      </w:r>
      <w:r w:rsidRPr="00EA7458">
        <w:rPr>
          <w:rFonts w:ascii="Calibri" w:hAnsi="Calibri"/>
          <w:color w:val="231F20"/>
          <w:w w:val="105"/>
          <w:sz w:val="18"/>
        </w:rPr>
        <w:t>Department</w:t>
      </w:r>
      <w:r w:rsidRPr="00EA7458">
        <w:rPr>
          <w:rFonts w:ascii="Calibri" w:hAnsi="Calibri"/>
          <w:color w:val="231F20"/>
          <w:spacing w:val="9"/>
          <w:w w:val="105"/>
          <w:sz w:val="18"/>
        </w:rPr>
        <w:t xml:space="preserve"> </w:t>
      </w:r>
      <w:r w:rsidRPr="00EA7458">
        <w:rPr>
          <w:rFonts w:ascii="Calibri" w:hAnsi="Calibri"/>
          <w:color w:val="231F20"/>
          <w:w w:val="105"/>
          <w:sz w:val="18"/>
        </w:rPr>
        <w:t>of</w:t>
      </w:r>
      <w:r w:rsidRPr="00EA7458">
        <w:rPr>
          <w:rFonts w:ascii="Calibri" w:hAnsi="Calibri"/>
          <w:color w:val="231F20"/>
          <w:spacing w:val="9"/>
          <w:w w:val="105"/>
          <w:sz w:val="18"/>
        </w:rPr>
        <w:t xml:space="preserve"> </w:t>
      </w:r>
      <w:r w:rsidRPr="00EA7458">
        <w:rPr>
          <w:rFonts w:ascii="Calibri" w:hAnsi="Calibri"/>
          <w:color w:val="231F20"/>
          <w:w w:val="105"/>
          <w:sz w:val="18"/>
        </w:rPr>
        <w:t>Economic</w:t>
      </w:r>
      <w:r w:rsidRPr="00EA7458">
        <w:rPr>
          <w:rFonts w:ascii="Calibri" w:hAnsi="Calibri"/>
          <w:color w:val="231F20"/>
          <w:spacing w:val="9"/>
          <w:w w:val="105"/>
          <w:sz w:val="18"/>
        </w:rPr>
        <w:t xml:space="preserve"> </w:t>
      </w:r>
      <w:r w:rsidRPr="00EA7458">
        <w:rPr>
          <w:rFonts w:ascii="Calibri" w:hAnsi="Calibri"/>
          <w:color w:val="231F20"/>
          <w:w w:val="105"/>
          <w:sz w:val="18"/>
        </w:rPr>
        <w:t>Opportunity,</w:t>
      </w:r>
      <w:r w:rsidRPr="00EA7458">
        <w:rPr>
          <w:rFonts w:ascii="Calibri" w:hAnsi="Calibri"/>
          <w:color w:val="231F20"/>
          <w:spacing w:val="9"/>
          <w:w w:val="105"/>
          <w:sz w:val="18"/>
        </w:rPr>
        <w:t xml:space="preserve"> </w:t>
      </w:r>
      <w:r w:rsidRPr="00EA7458">
        <w:rPr>
          <w:rFonts w:ascii="Calibri" w:hAnsi="Calibri"/>
          <w:color w:val="231F20"/>
          <w:w w:val="105"/>
          <w:sz w:val="18"/>
        </w:rPr>
        <w:t>Bureau</w:t>
      </w:r>
      <w:r w:rsidRPr="00EA7458">
        <w:rPr>
          <w:rFonts w:ascii="Calibri" w:hAnsi="Calibri"/>
          <w:color w:val="231F20"/>
          <w:spacing w:val="9"/>
          <w:w w:val="105"/>
          <w:sz w:val="18"/>
        </w:rPr>
        <w:t xml:space="preserve"> </w:t>
      </w:r>
      <w:r w:rsidRPr="00EA7458">
        <w:rPr>
          <w:rFonts w:ascii="Calibri" w:hAnsi="Calibri"/>
          <w:color w:val="231F20"/>
          <w:w w:val="105"/>
          <w:sz w:val="18"/>
        </w:rPr>
        <w:t>of</w:t>
      </w:r>
      <w:r w:rsidRPr="00EA7458">
        <w:rPr>
          <w:rFonts w:ascii="Calibri" w:hAnsi="Calibri"/>
          <w:color w:val="231F20"/>
          <w:spacing w:val="9"/>
          <w:w w:val="105"/>
          <w:sz w:val="18"/>
        </w:rPr>
        <w:t xml:space="preserve"> </w:t>
      </w:r>
      <w:r w:rsidRPr="00EA7458">
        <w:rPr>
          <w:rFonts w:ascii="Calibri" w:hAnsi="Calibri"/>
          <w:color w:val="231F20"/>
          <w:w w:val="105"/>
          <w:sz w:val="18"/>
        </w:rPr>
        <w:t>Labor</w:t>
      </w:r>
      <w:r w:rsidRPr="00EA7458">
        <w:rPr>
          <w:rFonts w:ascii="Calibri" w:hAnsi="Calibri"/>
          <w:color w:val="231F20"/>
          <w:spacing w:val="9"/>
          <w:w w:val="105"/>
          <w:sz w:val="18"/>
        </w:rPr>
        <w:t xml:space="preserve"> </w:t>
      </w:r>
      <w:r w:rsidRPr="00EA7458">
        <w:rPr>
          <w:rFonts w:ascii="Calibri" w:hAnsi="Calibri"/>
          <w:color w:val="231F20"/>
          <w:w w:val="105"/>
          <w:sz w:val="18"/>
        </w:rPr>
        <w:t>Market</w:t>
      </w:r>
      <w:r w:rsidRPr="00EA7458">
        <w:rPr>
          <w:rFonts w:ascii="Calibri" w:hAnsi="Calibri"/>
          <w:color w:val="231F20"/>
          <w:spacing w:val="9"/>
          <w:w w:val="105"/>
          <w:sz w:val="18"/>
        </w:rPr>
        <w:t xml:space="preserve"> </w:t>
      </w:r>
      <w:r w:rsidRPr="00EA7458">
        <w:rPr>
          <w:rFonts w:ascii="Calibri" w:hAnsi="Calibri"/>
          <w:color w:val="231F20"/>
          <w:w w:val="105"/>
          <w:sz w:val="18"/>
        </w:rPr>
        <w:t>Statistics,</w:t>
      </w:r>
      <w:r w:rsidRPr="00EA7458">
        <w:rPr>
          <w:rFonts w:ascii="Calibri" w:hAnsi="Calibri"/>
          <w:color w:val="231F20"/>
          <w:spacing w:val="9"/>
          <w:w w:val="105"/>
          <w:sz w:val="18"/>
        </w:rPr>
        <w:t xml:space="preserve"> </w:t>
      </w:r>
      <w:r w:rsidRPr="00EA7458">
        <w:rPr>
          <w:rFonts w:ascii="Calibri" w:hAnsi="Calibri"/>
          <w:color w:val="231F20"/>
          <w:w w:val="105"/>
          <w:sz w:val="18"/>
        </w:rPr>
        <w:t>Occupational</w:t>
      </w:r>
      <w:r w:rsidRPr="00EA7458">
        <w:rPr>
          <w:rFonts w:ascii="Calibri" w:hAnsi="Calibri"/>
          <w:color w:val="231F20"/>
          <w:spacing w:val="9"/>
          <w:w w:val="105"/>
          <w:sz w:val="18"/>
        </w:rPr>
        <w:t xml:space="preserve"> </w:t>
      </w:r>
      <w:r w:rsidRPr="00EA7458">
        <w:rPr>
          <w:rFonts w:ascii="Calibri" w:hAnsi="Calibri"/>
          <w:color w:val="231F20"/>
          <w:w w:val="105"/>
          <w:sz w:val="18"/>
        </w:rPr>
        <w:t>Employment</w:t>
      </w:r>
      <w:r w:rsidRPr="00EA7458">
        <w:rPr>
          <w:rFonts w:ascii="Calibri" w:hAnsi="Calibri"/>
          <w:color w:val="231F20"/>
          <w:spacing w:val="9"/>
          <w:w w:val="105"/>
          <w:sz w:val="18"/>
        </w:rPr>
        <w:t xml:space="preserve"> </w:t>
      </w:r>
      <w:r w:rsidRPr="00EA7458">
        <w:rPr>
          <w:rFonts w:ascii="Calibri" w:hAnsi="Calibri"/>
          <w:color w:val="231F20"/>
          <w:w w:val="105"/>
          <w:sz w:val="18"/>
        </w:rPr>
        <w:t>Statistics,</w:t>
      </w:r>
      <w:r w:rsidRPr="00EA7458">
        <w:rPr>
          <w:rFonts w:ascii="Calibri" w:hAnsi="Calibri"/>
          <w:color w:val="231F20"/>
          <w:spacing w:val="-41"/>
          <w:w w:val="105"/>
          <w:sz w:val="18"/>
        </w:rPr>
        <w:t xml:space="preserve"> </w:t>
      </w:r>
      <w:r>
        <w:rPr>
          <w:rFonts w:ascii="Calibri" w:hAnsi="Calibri"/>
          <w:color w:val="231F20"/>
          <w:w w:val="105"/>
          <w:sz w:val="18"/>
        </w:rPr>
        <w:t>December 2017</w:t>
      </w:r>
    </w:p>
    <w:p w14:paraId="0B9F20CA" w14:textId="77777777" w:rsidR="00002D76" w:rsidRPr="00EA7458" w:rsidRDefault="00002D76" w:rsidP="00002D76">
      <w:pPr>
        <w:widowControl w:val="0"/>
        <w:spacing w:after="0" w:line="216" w:lineRule="exact"/>
        <w:rPr>
          <w:rFonts w:ascii="Calibri" w:hAnsi="Calibri" w:cs="Calibri"/>
          <w:sz w:val="18"/>
          <w:szCs w:val="18"/>
        </w:rPr>
        <w:sectPr w:rsidR="00002D76" w:rsidRPr="00EA7458">
          <w:footerReference w:type="default" r:id="rId79"/>
          <w:pgSz w:w="12240" w:h="15840"/>
          <w:pgMar w:top="1620" w:right="900" w:bottom="820" w:left="900" w:header="812" w:footer="624" w:gutter="0"/>
          <w:cols w:space="720"/>
        </w:sectPr>
      </w:pPr>
    </w:p>
    <w:p w14:paraId="72B99290" w14:textId="77777777" w:rsidR="00002D76" w:rsidRPr="00EA7458" w:rsidRDefault="00002D76" w:rsidP="00002D76">
      <w:pPr>
        <w:widowControl w:val="0"/>
        <w:spacing w:before="2" w:after="0" w:line="240" w:lineRule="auto"/>
        <w:rPr>
          <w:rFonts w:ascii="Calibri" w:hAnsi="Calibri" w:cs="Calibri"/>
          <w:sz w:val="14"/>
          <w:szCs w:val="14"/>
        </w:rPr>
      </w:pPr>
    </w:p>
    <w:p w14:paraId="5F752EB5" w14:textId="5EDAEE83" w:rsidR="00CD1C1C" w:rsidRPr="00EA7458" w:rsidRDefault="00CD1C1C" w:rsidP="00D63204">
      <w:pPr>
        <w:widowControl w:val="0"/>
        <w:spacing w:before="58" w:after="0" w:line="264" w:lineRule="exact"/>
        <w:ind w:left="107" w:right="281"/>
        <w:rPr>
          <w:rFonts w:ascii="Calibri" w:hAnsi="Calibri"/>
        </w:rPr>
      </w:pPr>
      <w:bookmarkStart w:id="31" w:name="_bookmark19"/>
      <w:bookmarkEnd w:id="31"/>
      <w:r w:rsidRPr="00CD1C1C">
        <w:rPr>
          <w:rFonts w:ascii="Calibri" w:hAnsi="Calibri"/>
          <w:color w:val="231F20"/>
          <w:spacing w:val="-5"/>
          <w:w w:val="110"/>
        </w:rPr>
        <w:t>LWDAs</w:t>
      </w:r>
      <w:r w:rsidRPr="00CD1C1C">
        <w:rPr>
          <w:rFonts w:ascii="Calibri" w:hAnsi="Calibri"/>
          <w:color w:val="231F20"/>
          <w:spacing w:val="-11"/>
          <w:w w:val="110"/>
        </w:rPr>
        <w:t xml:space="preserve"> </w:t>
      </w:r>
      <w:r w:rsidRPr="00CD1C1C">
        <w:rPr>
          <w:rFonts w:ascii="Calibri" w:hAnsi="Calibri"/>
          <w:color w:val="231F20"/>
          <w:w w:val="110"/>
        </w:rPr>
        <w:t>8,</w:t>
      </w:r>
      <w:r w:rsidRPr="00CD1C1C">
        <w:rPr>
          <w:rFonts w:ascii="Calibri" w:hAnsi="Calibri"/>
          <w:color w:val="231F20"/>
          <w:spacing w:val="-11"/>
          <w:w w:val="110"/>
        </w:rPr>
        <w:t xml:space="preserve"> </w:t>
      </w:r>
      <w:r w:rsidRPr="00CD1C1C">
        <w:rPr>
          <w:rFonts w:ascii="Calibri" w:hAnsi="Calibri"/>
          <w:color w:val="231F20"/>
          <w:w w:val="110"/>
        </w:rPr>
        <w:t>14</w:t>
      </w:r>
      <w:r w:rsidR="00D5537E">
        <w:rPr>
          <w:rFonts w:ascii="Calibri" w:hAnsi="Calibri"/>
          <w:color w:val="231F20"/>
          <w:w w:val="110"/>
        </w:rPr>
        <w:t xml:space="preserve"> and</w:t>
      </w:r>
      <w:r w:rsidRPr="00CD1C1C">
        <w:rPr>
          <w:rFonts w:ascii="Calibri" w:hAnsi="Calibri"/>
          <w:color w:val="231F20"/>
          <w:spacing w:val="-11"/>
          <w:w w:val="110"/>
        </w:rPr>
        <w:t xml:space="preserve"> </w:t>
      </w:r>
      <w:r w:rsidRPr="00CD1C1C">
        <w:rPr>
          <w:rFonts w:ascii="Calibri" w:hAnsi="Calibri"/>
          <w:color w:val="231F20"/>
          <w:w w:val="110"/>
        </w:rPr>
        <w:t>especially</w:t>
      </w:r>
      <w:r w:rsidRPr="00CD1C1C">
        <w:rPr>
          <w:rFonts w:ascii="Calibri" w:hAnsi="Calibri"/>
          <w:color w:val="231F20"/>
          <w:spacing w:val="-11"/>
          <w:w w:val="110"/>
        </w:rPr>
        <w:t xml:space="preserve"> </w:t>
      </w:r>
      <w:r w:rsidRPr="00CD1C1C">
        <w:rPr>
          <w:rFonts w:ascii="Calibri" w:hAnsi="Calibri"/>
          <w:color w:val="231F20"/>
          <w:w w:val="110"/>
        </w:rPr>
        <w:t>15,</w:t>
      </w:r>
      <w:r w:rsidRPr="00CD1C1C">
        <w:rPr>
          <w:rFonts w:ascii="Calibri" w:hAnsi="Calibri"/>
          <w:color w:val="231F20"/>
          <w:spacing w:val="-11"/>
          <w:w w:val="110"/>
        </w:rPr>
        <w:t xml:space="preserve"> </w:t>
      </w:r>
      <w:r w:rsidRPr="00CD1C1C">
        <w:rPr>
          <w:rFonts w:ascii="Calibri" w:hAnsi="Calibri"/>
          <w:color w:val="231F20"/>
          <w:w w:val="110"/>
        </w:rPr>
        <w:t>have</w:t>
      </w:r>
      <w:r w:rsidRPr="00CD1C1C">
        <w:rPr>
          <w:rFonts w:ascii="Calibri" w:hAnsi="Calibri"/>
          <w:color w:val="231F20"/>
          <w:spacing w:val="-11"/>
          <w:w w:val="110"/>
        </w:rPr>
        <w:t xml:space="preserve"> </w:t>
      </w:r>
      <w:r w:rsidRPr="00CD1C1C">
        <w:rPr>
          <w:rFonts w:ascii="Calibri" w:hAnsi="Calibri"/>
          <w:color w:val="231F20"/>
          <w:w w:val="110"/>
        </w:rPr>
        <w:t>a</w:t>
      </w:r>
      <w:r w:rsidRPr="00CD1C1C">
        <w:rPr>
          <w:rFonts w:ascii="Calibri" w:hAnsi="Calibri"/>
          <w:color w:val="231F20"/>
          <w:spacing w:val="-11"/>
          <w:w w:val="110"/>
        </w:rPr>
        <w:t xml:space="preserve"> </w:t>
      </w:r>
      <w:r w:rsidRPr="00CD1C1C">
        <w:rPr>
          <w:rFonts w:ascii="Calibri" w:hAnsi="Calibri"/>
          <w:color w:val="231F20"/>
          <w:w w:val="110"/>
        </w:rPr>
        <w:t>high</w:t>
      </w:r>
      <w:r w:rsidRPr="00CD1C1C">
        <w:rPr>
          <w:rFonts w:ascii="Calibri" w:hAnsi="Calibri"/>
          <w:color w:val="231F20"/>
          <w:spacing w:val="-11"/>
          <w:w w:val="110"/>
        </w:rPr>
        <w:t xml:space="preserve"> </w:t>
      </w:r>
      <w:r w:rsidRPr="00CD1C1C">
        <w:rPr>
          <w:rFonts w:ascii="Calibri" w:hAnsi="Calibri"/>
          <w:color w:val="231F20"/>
          <w:w w:val="110"/>
        </w:rPr>
        <w:t>percentage</w:t>
      </w:r>
      <w:r w:rsidRPr="00CD1C1C">
        <w:rPr>
          <w:rFonts w:ascii="Calibri" w:hAnsi="Calibri"/>
          <w:color w:val="231F20"/>
          <w:spacing w:val="-11"/>
          <w:w w:val="110"/>
        </w:rPr>
        <w:t xml:space="preserve"> </w:t>
      </w:r>
      <w:r w:rsidRPr="00CD1C1C">
        <w:rPr>
          <w:rFonts w:ascii="Calibri" w:hAnsi="Calibri"/>
          <w:color w:val="231F20"/>
          <w:w w:val="110"/>
        </w:rPr>
        <w:t>of</w:t>
      </w:r>
      <w:r w:rsidRPr="00CD1C1C">
        <w:rPr>
          <w:rFonts w:ascii="Calibri" w:hAnsi="Calibri"/>
          <w:color w:val="231F20"/>
          <w:spacing w:val="-11"/>
          <w:w w:val="110"/>
        </w:rPr>
        <w:t xml:space="preserve"> </w:t>
      </w:r>
      <w:r w:rsidRPr="00CD1C1C">
        <w:rPr>
          <w:rFonts w:ascii="Calibri" w:hAnsi="Calibri"/>
          <w:color w:val="231F20"/>
          <w:w w:val="110"/>
        </w:rPr>
        <w:t>jobs</w:t>
      </w:r>
      <w:r w:rsidRPr="00CD1C1C">
        <w:rPr>
          <w:rFonts w:ascii="Calibri" w:hAnsi="Calibri"/>
          <w:color w:val="231F20"/>
          <w:spacing w:val="-11"/>
          <w:w w:val="110"/>
        </w:rPr>
        <w:t xml:space="preserve"> </w:t>
      </w:r>
      <w:r w:rsidRPr="00CD1C1C">
        <w:rPr>
          <w:rFonts w:ascii="Calibri" w:hAnsi="Calibri"/>
          <w:color w:val="231F20"/>
          <w:w w:val="110"/>
        </w:rPr>
        <w:t>in</w:t>
      </w:r>
      <w:r w:rsidRPr="00CD1C1C">
        <w:rPr>
          <w:rFonts w:ascii="Calibri" w:hAnsi="Calibri"/>
          <w:color w:val="231F20"/>
          <w:spacing w:val="-11"/>
          <w:w w:val="110"/>
        </w:rPr>
        <w:t xml:space="preserve"> </w:t>
      </w:r>
      <w:r w:rsidRPr="00CD1C1C">
        <w:rPr>
          <w:rFonts w:ascii="Calibri" w:hAnsi="Calibri"/>
          <w:color w:val="231F20"/>
          <w:w w:val="110"/>
        </w:rPr>
        <w:t>more</w:t>
      </w:r>
      <w:r w:rsidRPr="00CD1C1C">
        <w:rPr>
          <w:rFonts w:ascii="Calibri" w:hAnsi="Calibri"/>
          <w:color w:val="231F20"/>
          <w:spacing w:val="-11"/>
          <w:w w:val="110"/>
        </w:rPr>
        <w:t xml:space="preserve"> </w:t>
      </w:r>
      <w:r w:rsidRPr="00CD1C1C">
        <w:rPr>
          <w:rFonts w:ascii="Calibri" w:hAnsi="Calibri"/>
          <w:color w:val="231F20"/>
          <w:w w:val="110"/>
        </w:rPr>
        <w:t>skilled</w:t>
      </w:r>
      <w:r w:rsidRPr="00CD1C1C">
        <w:rPr>
          <w:rFonts w:ascii="Calibri" w:hAnsi="Calibri"/>
          <w:color w:val="231F20"/>
          <w:spacing w:val="-11"/>
          <w:w w:val="110"/>
        </w:rPr>
        <w:t xml:space="preserve"> </w:t>
      </w:r>
      <w:r w:rsidRPr="00CD1C1C">
        <w:rPr>
          <w:rFonts w:ascii="Calibri" w:hAnsi="Calibri"/>
          <w:color w:val="231F20"/>
          <w:w w:val="110"/>
        </w:rPr>
        <w:t>occupational</w:t>
      </w:r>
      <w:r w:rsidRPr="00CD1C1C">
        <w:rPr>
          <w:rFonts w:ascii="Calibri" w:hAnsi="Calibri"/>
          <w:color w:val="231F20"/>
          <w:spacing w:val="-11"/>
          <w:w w:val="110"/>
        </w:rPr>
        <w:t xml:space="preserve"> </w:t>
      </w:r>
      <w:r w:rsidRPr="00CD1C1C">
        <w:rPr>
          <w:rFonts w:ascii="Calibri" w:hAnsi="Calibri"/>
          <w:color w:val="231F20"/>
          <w:w w:val="110"/>
        </w:rPr>
        <w:t>groups</w:t>
      </w:r>
      <w:r w:rsidRPr="00CD1C1C">
        <w:rPr>
          <w:rFonts w:ascii="Calibri" w:hAnsi="Calibri"/>
          <w:color w:val="231F20"/>
          <w:spacing w:val="-11"/>
          <w:w w:val="110"/>
        </w:rPr>
        <w:t xml:space="preserve"> </w:t>
      </w:r>
      <w:r w:rsidRPr="00CD1C1C">
        <w:rPr>
          <w:rFonts w:ascii="Calibri" w:hAnsi="Calibri"/>
          <w:color w:val="231F20"/>
          <w:w w:val="110"/>
        </w:rPr>
        <w:t>with</w:t>
      </w:r>
      <w:r w:rsidRPr="00CD1C1C">
        <w:rPr>
          <w:rFonts w:ascii="Calibri" w:hAnsi="Calibri"/>
          <w:color w:val="231F20"/>
        </w:rPr>
        <w:t xml:space="preserve"> </w:t>
      </w:r>
      <w:r w:rsidRPr="00CD1C1C">
        <w:rPr>
          <w:rFonts w:ascii="Calibri" w:hAnsi="Calibri"/>
          <w:color w:val="231F20"/>
          <w:w w:val="110"/>
        </w:rPr>
        <w:t>business</w:t>
      </w:r>
      <w:r w:rsidRPr="00CD1C1C">
        <w:rPr>
          <w:rFonts w:ascii="Calibri" w:hAnsi="Calibri"/>
          <w:color w:val="231F20"/>
          <w:spacing w:val="-11"/>
          <w:w w:val="110"/>
        </w:rPr>
        <w:t xml:space="preserve"> </w:t>
      </w:r>
      <w:r w:rsidRPr="00CD1C1C">
        <w:rPr>
          <w:rFonts w:ascii="Calibri" w:hAnsi="Calibri"/>
          <w:color w:val="231F20"/>
          <w:w w:val="110"/>
        </w:rPr>
        <w:t>and</w:t>
      </w:r>
      <w:r w:rsidRPr="00CD1C1C">
        <w:rPr>
          <w:rFonts w:ascii="Calibri" w:hAnsi="Calibri"/>
          <w:color w:val="231F20"/>
          <w:spacing w:val="-11"/>
          <w:w w:val="110"/>
        </w:rPr>
        <w:t xml:space="preserve"> </w:t>
      </w:r>
      <w:r w:rsidRPr="00CD1C1C">
        <w:rPr>
          <w:rFonts w:ascii="Calibri" w:hAnsi="Calibri"/>
          <w:color w:val="231F20"/>
          <w:w w:val="110"/>
        </w:rPr>
        <w:t>financial</w:t>
      </w:r>
      <w:r w:rsidRPr="00CD1C1C">
        <w:rPr>
          <w:rFonts w:ascii="Calibri" w:hAnsi="Calibri"/>
          <w:color w:val="231F20"/>
          <w:spacing w:val="-11"/>
          <w:w w:val="110"/>
        </w:rPr>
        <w:t xml:space="preserve"> </w:t>
      </w:r>
      <w:r w:rsidRPr="00CD1C1C">
        <w:rPr>
          <w:rFonts w:ascii="Calibri" w:hAnsi="Calibri"/>
          <w:color w:val="231F20"/>
          <w:w w:val="110"/>
        </w:rPr>
        <w:t>occupations,</w:t>
      </w:r>
      <w:r w:rsidRPr="00CD1C1C">
        <w:rPr>
          <w:rFonts w:ascii="Calibri" w:hAnsi="Calibri"/>
          <w:color w:val="231F20"/>
          <w:spacing w:val="-11"/>
          <w:w w:val="110"/>
        </w:rPr>
        <w:t xml:space="preserve"> </w:t>
      </w:r>
      <w:r w:rsidRPr="00CD1C1C">
        <w:rPr>
          <w:rFonts w:ascii="Calibri" w:hAnsi="Calibri"/>
          <w:color w:val="231F20"/>
          <w:w w:val="110"/>
        </w:rPr>
        <w:t>exceeding</w:t>
      </w:r>
      <w:r w:rsidRPr="00CD1C1C">
        <w:rPr>
          <w:rFonts w:ascii="Calibri" w:hAnsi="Calibri"/>
          <w:color w:val="231F20"/>
          <w:spacing w:val="-11"/>
          <w:w w:val="110"/>
        </w:rPr>
        <w:t xml:space="preserve"> </w:t>
      </w:r>
      <w:r w:rsidRPr="00CD1C1C">
        <w:rPr>
          <w:rFonts w:ascii="Calibri" w:hAnsi="Calibri"/>
          <w:color w:val="231F20"/>
          <w:w w:val="110"/>
        </w:rPr>
        <w:t>the</w:t>
      </w:r>
      <w:r w:rsidRPr="00CD1C1C">
        <w:rPr>
          <w:rFonts w:ascii="Calibri" w:hAnsi="Calibri"/>
          <w:color w:val="231F20"/>
          <w:spacing w:val="-11"/>
          <w:w w:val="110"/>
        </w:rPr>
        <w:t xml:space="preserve"> </w:t>
      </w:r>
      <w:r w:rsidRPr="00CD1C1C">
        <w:rPr>
          <w:rFonts w:ascii="Calibri" w:hAnsi="Calibri"/>
          <w:color w:val="231F20"/>
          <w:w w:val="110"/>
        </w:rPr>
        <w:t>state’s</w:t>
      </w:r>
      <w:r w:rsidRPr="00CD1C1C">
        <w:rPr>
          <w:rFonts w:ascii="Calibri" w:hAnsi="Calibri"/>
          <w:color w:val="231F20"/>
          <w:spacing w:val="-11"/>
          <w:w w:val="110"/>
        </w:rPr>
        <w:t xml:space="preserve"> </w:t>
      </w:r>
      <w:r w:rsidRPr="00CD1C1C">
        <w:rPr>
          <w:rFonts w:ascii="Calibri" w:hAnsi="Calibri"/>
          <w:color w:val="231F20"/>
          <w:w w:val="110"/>
        </w:rPr>
        <w:t>share. Computer jobs</w:t>
      </w:r>
      <w:r w:rsidRPr="00CD1C1C">
        <w:rPr>
          <w:rFonts w:ascii="Calibri" w:hAnsi="Calibri"/>
          <w:color w:val="231F20"/>
          <w:w w:val="106"/>
        </w:rPr>
        <w:t xml:space="preserve"> </w:t>
      </w:r>
      <w:r w:rsidRPr="00CD1C1C">
        <w:rPr>
          <w:rFonts w:ascii="Calibri" w:hAnsi="Calibri"/>
          <w:color w:val="231F20"/>
          <w:w w:val="110"/>
        </w:rPr>
        <w:t>and</w:t>
      </w:r>
      <w:r w:rsidRPr="00CD1C1C">
        <w:rPr>
          <w:rFonts w:ascii="Calibri" w:hAnsi="Calibri"/>
          <w:color w:val="231F20"/>
          <w:spacing w:val="-11"/>
          <w:w w:val="110"/>
        </w:rPr>
        <w:t xml:space="preserve"> </w:t>
      </w:r>
      <w:r w:rsidRPr="00CD1C1C">
        <w:rPr>
          <w:rFonts w:ascii="Calibri" w:hAnsi="Calibri"/>
          <w:color w:val="231F20"/>
          <w:w w:val="110"/>
        </w:rPr>
        <w:t>mathematical</w:t>
      </w:r>
      <w:r w:rsidRPr="00CD1C1C">
        <w:rPr>
          <w:rFonts w:ascii="Calibri" w:hAnsi="Calibri"/>
          <w:color w:val="231F20"/>
          <w:spacing w:val="-11"/>
          <w:w w:val="110"/>
        </w:rPr>
        <w:t xml:space="preserve"> </w:t>
      </w:r>
      <w:r w:rsidRPr="00CD1C1C">
        <w:rPr>
          <w:rFonts w:ascii="Calibri" w:hAnsi="Calibri"/>
          <w:color w:val="231F20"/>
          <w:w w:val="110"/>
        </w:rPr>
        <w:t>and</w:t>
      </w:r>
      <w:r w:rsidRPr="00CD1C1C">
        <w:rPr>
          <w:rFonts w:ascii="Calibri" w:hAnsi="Calibri"/>
          <w:color w:val="231F20"/>
          <w:spacing w:val="-11"/>
          <w:w w:val="110"/>
        </w:rPr>
        <w:t xml:space="preserve"> </w:t>
      </w:r>
      <w:r w:rsidRPr="00CD1C1C">
        <w:rPr>
          <w:rFonts w:ascii="Calibri" w:hAnsi="Calibri"/>
          <w:color w:val="231F20"/>
          <w:w w:val="110"/>
        </w:rPr>
        <w:t>engineering</w:t>
      </w:r>
      <w:r w:rsidRPr="00CD1C1C">
        <w:rPr>
          <w:rFonts w:ascii="Calibri" w:hAnsi="Calibri"/>
          <w:color w:val="231F20"/>
          <w:spacing w:val="-11"/>
          <w:w w:val="110"/>
        </w:rPr>
        <w:t xml:space="preserve"> </w:t>
      </w:r>
      <w:r w:rsidRPr="00CD1C1C">
        <w:rPr>
          <w:rFonts w:ascii="Calibri" w:hAnsi="Calibri"/>
          <w:color w:val="231F20"/>
          <w:w w:val="110"/>
        </w:rPr>
        <w:t>jobs</w:t>
      </w:r>
      <w:r w:rsidRPr="00CD1C1C">
        <w:rPr>
          <w:rFonts w:ascii="Calibri" w:hAnsi="Calibri"/>
          <w:color w:val="231F20"/>
          <w:spacing w:val="-11"/>
          <w:w w:val="110"/>
        </w:rPr>
        <w:t xml:space="preserve"> </w:t>
      </w:r>
      <w:r w:rsidRPr="00CD1C1C">
        <w:rPr>
          <w:rFonts w:ascii="Calibri" w:hAnsi="Calibri"/>
          <w:color w:val="231F20"/>
          <w:w w:val="110"/>
        </w:rPr>
        <w:t>are</w:t>
      </w:r>
      <w:r w:rsidRPr="00CD1C1C">
        <w:rPr>
          <w:rFonts w:ascii="Calibri" w:hAnsi="Calibri"/>
          <w:color w:val="231F20"/>
          <w:spacing w:val="-11"/>
          <w:w w:val="110"/>
        </w:rPr>
        <w:t xml:space="preserve"> </w:t>
      </w:r>
      <w:r w:rsidRPr="00CD1C1C">
        <w:rPr>
          <w:rFonts w:ascii="Calibri" w:hAnsi="Calibri"/>
          <w:color w:val="231F20"/>
          <w:w w:val="110"/>
        </w:rPr>
        <w:t>prevalent</w:t>
      </w:r>
      <w:r w:rsidRPr="00CD1C1C">
        <w:rPr>
          <w:rFonts w:ascii="Calibri" w:hAnsi="Calibri"/>
          <w:color w:val="231F20"/>
          <w:spacing w:val="-11"/>
          <w:w w:val="110"/>
        </w:rPr>
        <w:t xml:space="preserve"> </w:t>
      </w:r>
      <w:r w:rsidRPr="00CD1C1C">
        <w:rPr>
          <w:rFonts w:ascii="Calibri" w:hAnsi="Calibri"/>
          <w:color w:val="231F20"/>
          <w:w w:val="110"/>
        </w:rPr>
        <w:t>in</w:t>
      </w:r>
      <w:r w:rsidRPr="00CD1C1C">
        <w:rPr>
          <w:rFonts w:ascii="Calibri" w:hAnsi="Calibri"/>
          <w:color w:val="231F20"/>
          <w:spacing w:val="-11"/>
          <w:w w:val="110"/>
        </w:rPr>
        <w:t xml:space="preserve"> </w:t>
      </w:r>
      <w:r w:rsidRPr="00CD1C1C">
        <w:rPr>
          <w:rFonts w:ascii="Calibri" w:hAnsi="Calibri"/>
          <w:color w:val="231F20"/>
          <w:w w:val="110"/>
        </w:rPr>
        <w:t>LWDA</w:t>
      </w:r>
      <w:r w:rsidRPr="00CD1C1C">
        <w:rPr>
          <w:rFonts w:ascii="Calibri" w:hAnsi="Calibri"/>
          <w:color w:val="231F20"/>
          <w:spacing w:val="-11"/>
          <w:w w:val="110"/>
        </w:rPr>
        <w:t xml:space="preserve"> </w:t>
      </w:r>
      <w:r w:rsidRPr="00CD1C1C">
        <w:rPr>
          <w:rFonts w:ascii="Calibri" w:hAnsi="Calibri"/>
          <w:color w:val="231F20"/>
          <w:w w:val="110"/>
        </w:rPr>
        <w:t>13</w:t>
      </w:r>
      <w:r w:rsidRPr="00CD1C1C">
        <w:rPr>
          <w:rFonts w:ascii="Calibri" w:hAnsi="Calibri"/>
          <w:color w:val="231F20"/>
          <w:spacing w:val="-11"/>
          <w:w w:val="110"/>
        </w:rPr>
        <w:t xml:space="preserve"> </w:t>
      </w:r>
      <w:r w:rsidRPr="00CD1C1C">
        <w:rPr>
          <w:rFonts w:ascii="Calibri" w:hAnsi="Calibri"/>
          <w:color w:val="231F20"/>
          <w:w w:val="110"/>
        </w:rPr>
        <w:t>(the</w:t>
      </w:r>
      <w:r w:rsidRPr="00CD1C1C">
        <w:rPr>
          <w:rFonts w:ascii="Calibri" w:hAnsi="Calibri"/>
          <w:color w:val="231F20"/>
          <w:spacing w:val="-11"/>
          <w:w w:val="110"/>
        </w:rPr>
        <w:t xml:space="preserve"> </w:t>
      </w:r>
      <w:r w:rsidRPr="00CD1C1C">
        <w:rPr>
          <w:rFonts w:ascii="Calibri" w:hAnsi="Calibri"/>
          <w:color w:val="231F20"/>
          <w:w w:val="110"/>
        </w:rPr>
        <w:t>Space</w:t>
      </w:r>
      <w:r w:rsidRPr="00CD1C1C">
        <w:rPr>
          <w:rFonts w:ascii="Calibri" w:hAnsi="Calibri"/>
          <w:color w:val="231F20"/>
          <w:spacing w:val="-11"/>
          <w:w w:val="110"/>
        </w:rPr>
        <w:t xml:space="preserve"> </w:t>
      </w:r>
      <w:r w:rsidRPr="00CD1C1C">
        <w:rPr>
          <w:rFonts w:ascii="Calibri" w:hAnsi="Calibri"/>
          <w:color w:val="231F20"/>
          <w:w w:val="110"/>
        </w:rPr>
        <w:t>Coast).</w:t>
      </w:r>
      <w:r w:rsidRPr="00CD1C1C">
        <w:rPr>
          <w:rFonts w:ascii="Calibri" w:hAnsi="Calibri"/>
          <w:color w:val="231F20"/>
          <w:spacing w:val="34"/>
          <w:w w:val="110"/>
        </w:rPr>
        <w:t xml:space="preserve"> </w:t>
      </w:r>
      <w:r w:rsidRPr="00CD1C1C">
        <w:rPr>
          <w:rFonts w:ascii="Calibri" w:hAnsi="Calibri"/>
          <w:color w:val="231F20"/>
          <w:spacing w:val="-6"/>
          <w:w w:val="110"/>
        </w:rPr>
        <w:t>LWDA</w:t>
      </w:r>
      <w:r w:rsidRPr="00CD1C1C">
        <w:rPr>
          <w:rFonts w:ascii="Calibri" w:hAnsi="Calibri"/>
          <w:color w:val="231F20"/>
          <w:spacing w:val="-11"/>
          <w:w w:val="110"/>
        </w:rPr>
        <w:t xml:space="preserve"> </w:t>
      </w:r>
      <w:r w:rsidRPr="00CD1C1C">
        <w:rPr>
          <w:rFonts w:ascii="Calibri" w:hAnsi="Calibri"/>
          <w:color w:val="231F20"/>
          <w:w w:val="110"/>
        </w:rPr>
        <w:t>8 (Northeast Florida which includes Jacksonville)</w:t>
      </w:r>
      <w:r w:rsidRPr="00CD1C1C">
        <w:rPr>
          <w:rFonts w:ascii="Calibri" w:hAnsi="Calibri"/>
          <w:color w:val="231F20"/>
          <w:spacing w:val="-11"/>
          <w:w w:val="110"/>
        </w:rPr>
        <w:t xml:space="preserve"> </w:t>
      </w:r>
      <w:r w:rsidRPr="00CD1C1C">
        <w:rPr>
          <w:rFonts w:ascii="Calibri" w:hAnsi="Calibri"/>
          <w:color w:val="231F20"/>
          <w:w w:val="110"/>
        </w:rPr>
        <w:t>has</w:t>
      </w:r>
      <w:r w:rsidRPr="00CD1C1C">
        <w:rPr>
          <w:rFonts w:ascii="Calibri" w:hAnsi="Calibri"/>
          <w:color w:val="231F20"/>
          <w:spacing w:val="-11"/>
          <w:w w:val="110"/>
        </w:rPr>
        <w:t xml:space="preserve"> </w:t>
      </w:r>
      <w:r w:rsidRPr="00CD1C1C">
        <w:rPr>
          <w:rFonts w:ascii="Calibri" w:hAnsi="Calibri"/>
          <w:color w:val="231F20"/>
          <w:w w:val="110"/>
        </w:rPr>
        <w:t>a greater</w:t>
      </w:r>
      <w:r w:rsidRPr="00CD1C1C">
        <w:rPr>
          <w:rFonts w:ascii="Calibri" w:hAnsi="Calibri"/>
          <w:color w:val="231F20"/>
          <w:spacing w:val="-25"/>
          <w:w w:val="110"/>
        </w:rPr>
        <w:t xml:space="preserve"> </w:t>
      </w:r>
      <w:r w:rsidRPr="00CD1C1C">
        <w:rPr>
          <w:rFonts w:ascii="Calibri" w:hAnsi="Calibri"/>
          <w:color w:val="231F20"/>
          <w:w w:val="110"/>
        </w:rPr>
        <w:t>share</w:t>
      </w:r>
      <w:r w:rsidRPr="00CD1C1C">
        <w:rPr>
          <w:rFonts w:ascii="Calibri" w:hAnsi="Calibri"/>
          <w:color w:val="231F20"/>
          <w:spacing w:val="-25"/>
          <w:w w:val="110"/>
        </w:rPr>
        <w:t xml:space="preserve"> </w:t>
      </w:r>
      <w:r w:rsidRPr="00CD1C1C">
        <w:rPr>
          <w:rFonts w:ascii="Calibri" w:hAnsi="Calibri"/>
          <w:color w:val="231F20"/>
          <w:w w:val="110"/>
        </w:rPr>
        <w:t>of</w:t>
      </w:r>
      <w:r w:rsidRPr="00CD1C1C">
        <w:rPr>
          <w:rFonts w:ascii="Calibri" w:hAnsi="Calibri"/>
          <w:color w:val="231F20"/>
          <w:spacing w:val="-25"/>
          <w:w w:val="110"/>
        </w:rPr>
        <w:t xml:space="preserve"> </w:t>
      </w:r>
      <w:r w:rsidRPr="00CD1C1C">
        <w:rPr>
          <w:rFonts w:ascii="Calibri" w:hAnsi="Calibri"/>
          <w:color w:val="231F20"/>
          <w:w w:val="110"/>
        </w:rPr>
        <w:t>production</w:t>
      </w:r>
      <w:r w:rsidRPr="00CD1C1C">
        <w:rPr>
          <w:rFonts w:ascii="Calibri" w:hAnsi="Calibri"/>
          <w:color w:val="231F20"/>
          <w:spacing w:val="-25"/>
          <w:w w:val="110"/>
        </w:rPr>
        <w:t xml:space="preserve"> </w:t>
      </w:r>
      <w:r w:rsidRPr="00CD1C1C">
        <w:rPr>
          <w:rFonts w:ascii="Calibri" w:hAnsi="Calibri"/>
          <w:color w:val="231F20"/>
          <w:w w:val="110"/>
        </w:rPr>
        <w:t>and</w:t>
      </w:r>
      <w:r w:rsidRPr="00CD1C1C">
        <w:rPr>
          <w:rFonts w:ascii="Calibri" w:hAnsi="Calibri"/>
          <w:color w:val="231F20"/>
          <w:spacing w:val="-25"/>
          <w:w w:val="110"/>
        </w:rPr>
        <w:t xml:space="preserve"> </w:t>
      </w:r>
      <w:r w:rsidRPr="00CD1C1C">
        <w:rPr>
          <w:rFonts w:ascii="Calibri" w:hAnsi="Calibri"/>
          <w:color w:val="231F20"/>
          <w:w w:val="110"/>
        </w:rPr>
        <w:t>installation</w:t>
      </w:r>
      <w:r w:rsidRPr="00CD1C1C">
        <w:rPr>
          <w:rFonts w:ascii="Calibri" w:hAnsi="Calibri"/>
          <w:color w:val="231F20"/>
          <w:spacing w:val="-25"/>
          <w:w w:val="110"/>
        </w:rPr>
        <w:t xml:space="preserve"> </w:t>
      </w:r>
      <w:r w:rsidRPr="00CD1C1C">
        <w:rPr>
          <w:rFonts w:ascii="Calibri" w:hAnsi="Calibri"/>
          <w:color w:val="231F20"/>
          <w:w w:val="110"/>
        </w:rPr>
        <w:t>occupations</w:t>
      </w:r>
      <w:r w:rsidRPr="00CD1C1C">
        <w:rPr>
          <w:rFonts w:ascii="Calibri" w:hAnsi="Calibri"/>
          <w:color w:val="231F20"/>
          <w:spacing w:val="-25"/>
          <w:w w:val="110"/>
        </w:rPr>
        <w:t xml:space="preserve"> </w:t>
      </w:r>
      <w:r w:rsidRPr="00CD1C1C">
        <w:rPr>
          <w:rFonts w:ascii="Calibri" w:hAnsi="Calibri"/>
          <w:color w:val="231F20"/>
          <w:w w:val="110"/>
        </w:rPr>
        <w:t>compared</w:t>
      </w:r>
      <w:r w:rsidRPr="00CD1C1C">
        <w:rPr>
          <w:rFonts w:ascii="Calibri" w:hAnsi="Calibri"/>
          <w:color w:val="231F20"/>
          <w:spacing w:val="-25"/>
          <w:w w:val="110"/>
        </w:rPr>
        <w:t xml:space="preserve"> </w:t>
      </w:r>
      <w:r w:rsidRPr="00CD1C1C">
        <w:rPr>
          <w:rFonts w:ascii="Calibri" w:hAnsi="Calibri"/>
          <w:color w:val="231F20"/>
          <w:w w:val="110"/>
        </w:rPr>
        <w:t>to</w:t>
      </w:r>
      <w:r w:rsidRPr="00CD1C1C">
        <w:rPr>
          <w:rFonts w:ascii="Calibri" w:hAnsi="Calibri"/>
          <w:color w:val="231F20"/>
          <w:spacing w:val="-25"/>
          <w:w w:val="110"/>
        </w:rPr>
        <w:t xml:space="preserve"> </w:t>
      </w:r>
      <w:r w:rsidRPr="00CD1C1C">
        <w:rPr>
          <w:rFonts w:ascii="Calibri" w:hAnsi="Calibri"/>
          <w:color w:val="231F20"/>
          <w:w w:val="110"/>
        </w:rPr>
        <w:t>the</w:t>
      </w:r>
      <w:r w:rsidRPr="00CD1C1C">
        <w:rPr>
          <w:rFonts w:ascii="Calibri" w:hAnsi="Calibri"/>
          <w:color w:val="231F20"/>
          <w:spacing w:val="-25"/>
          <w:w w:val="110"/>
        </w:rPr>
        <w:t xml:space="preserve"> </w:t>
      </w:r>
      <w:r w:rsidRPr="00CD1C1C">
        <w:rPr>
          <w:rFonts w:ascii="Calibri" w:hAnsi="Calibri"/>
          <w:color w:val="231F20"/>
          <w:w w:val="110"/>
        </w:rPr>
        <w:t>statewide</w:t>
      </w:r>
      <w:r w:rsidRPr="00CD1C1C">
        <w:rPr>
          <w:rFonts w:ascii="Calibri" w:hAnsi="Calibri"/>
          <w:color w:val="231F20"/>
          <w:spacing w:val="-25"/>
          <w:w w:val="110"/>
        </w:rPr>
        <w:t xml:space="preserve"> </w:t>
      </w:r>
      <w:r w:rsidRPr="00CD1C1C">
        <w:rPr>
          <w:rFonts w:ascii="Calibri" w:hAnsi="Calibri"/>
          <w:color w:val="231F20"/>
          <w:w w:val="110"/>
        </w:rPr>
        <w:t>shares.</w:t>
      </w:r>
      <w:r w:rsidRPr="00CD1C1C">
        <w:rPr>
          <w:rFonts w:ascii="Calibri" w:hAnsi="Calibri"/>
          <w:color w:val="231F20"/>
          <w:w w:val="108"/>
        </w:rPr>
        <w:t xml:space="preserve"> </w:t>
      </w:r>
      <w:r w:rsidRPr="00CD1C1C">
        <w:rPr>
          <w:rFonts w:ascii="Calibri" w:hAnsi="Calibri"/>
          <w:color w:val="231F20"/>
          <w:spacing w:val="-6"/>
          <w:w w:val="110"/>
        </w:rPr>
        <w:t>LWDA</w:t>
      </w:r>
      <w:r w:rsidRPr="00CD1C1C">
        <w:rPr>
          <w:rFonts w:ascii="Calibri" w:hAnsi="Calibri"/>
          <w:color w:val="231F20"/>
          <w:spacing w:val="-11"/>
          <w:w w:val="110"/>
        </w:rPr>
        <w:t xml:space="preserve"> </w:t>
      </w:r>
      <w:r w:rsidRPr="00CD1C1C">
        <w:rPr>
          <w:rFonts w:ascii="Calibri" w:hAnsi="Calibri"/>
          <w:color w:val="231F20"/>
          <w:w w:val="110"/>
        </w:rPr>
        <w:t>9</w:t>
      </w:r>
      <w:r w:rsidRPr="00CD1C1C">
        <w:rPr>
          <w:rFonts w:ascii="Calibri" w:hAnsi="Calibri"/>
          <w:color w:val="231F20"/>
          <w:spacing w:val="-11"/>
          <w:w w:val="110"/>
        </w:rPr>
        <w:t xml:space="preserve"> </w:t>
      </w:r>
      <w:r w:rsidRPr="00CD1C1C">
        <w:rPr>
          <w:rFonts w:ascii="Calibri" w:hAnsi="Calibri"/>
          <w:color w:val="231F20"/>
          <w:w w:val="110"/>
        </w:rPr>
        <w:t>(Alachua,</w:t>
      </w:r>
      <w:r w:rsidRPr="00CD1C1C">
        <w:rPr>
          <w:rFonts w:ascii="Calibri" w:hAnsi="Calibri"/>
          <w:color w:val="231F20"/>
          <w:spacing w:val="-11"/>
          <w:w w:val="110"/>
        </w:rPr>
        <w:t xml:space="preserve"> </w:t>
      </w:r>
      <w:r w:rsidRPr="00CD1C1C">
        <w:rPr>
          <w:rFonts w:ascii="Calibri" w:hAnsi="Calibri"/>
          <w:color w:val="231F20"/>
          <w:w w:val="110"/>
        </w:rPr>
        <w:t>Bradford)</w:t>
      </w:r>
      <w:r w:rsidRPr="00CD1C1C">
        <w:rPr>
          <w:rFonts w:ascii="Calibri" w:hAnsi="Calibri"/>
          <w:color w:val="231F20"/>
          <w:spacing w:val="-11"/>
          <w:w w:val="110"/>
        </w:rPr>
        <w:t xml:space="preserve"> </w:t>
      </w:r>
      <w:r w:rsidRPr="00CD1C1C">
        <w:rPr>
          <w:rFonts w:ascii="Calibri" w:hAnsi="Calibri"/>
          <w:color w:val="231F20"/>
          <w:w w:val="110"/>
        </w:rPr>
        <w:t>has</w:t>
      </w:r>
      <w:r w:rsidRPr="00CD1C1C">
        <w:rPr>
          <w:rFonts w:ascii="Calibri" w:hAnsi="Calibri"/>
          <w:color w:val="231F20"/>
          <w:spacing w:val="-11"/>
          <w:w w:val="110"/>
        </w:rPr>
        <w:t xml:space="preserve"> </w:t>
      </w:r>
      <w:r w:rsidRPr="00CD1C1C">
        <w:rPr>
          <w:rFonts w:ascii="Calibri" w:hAnsi="Calibri"/>
          <w:color w:val="231F20"/>
          <w:w w:val="110"/>
        </w:rPr>
        <w:t>the</w:t>
      </w:r>
      <w:r w:rsidRPr="00CD1C1C">
        <w:rPr>
          <w:rFonts w:ascii="Calibri" w:hAnsi="Calibri"/>
          <w:color w:val="231F20"/>
          <w:spacing w:val="-11"/>
          <w:w w:val="110"/>
        </w:rPr>
        <w:t xml:space="preserve"> </w:t>
      </w:r>
      <w:r w:rsidRPr="00CD1C1C">
        <w:rPr>
          <w:rFonts w:ascii="Calibri" w:hAnsi="Calibri"/>
          <w:color w:val="231F20"/>
          <w:w w:val="110"/>
        </w:rPr>
        <w:t>greatest</w:t>
      </w:r>
      <w:r w:rsidRPr="00CD1C1C">
        <w:rPr>
          <w:rFonts w:ascii="Calibri" w:hAnsi="Calibri"/>
          <w:color w:val="231F20"/>
          <w:spacing w:val="-11"/>
          <w:w w:val="110"/>
        </w:rPr>
        <w:t xml:space="preserve"> </w:t>
      </w:r>
      <w:r w:rsidRPr="00CD1C1C">
        <w:rPr>
          <w:rFonts w:ascii="Calibri" w:hAnsi="Calibri"/>
          <w:color w:val="231F20"/>
          <w:w w:val="110"/>
        </w:rPr>
        <w:t>share</w:t>
      </w:r>
      <w:r w:rsidRPr="00CD1C1C">
        <w:rPr>
          <w:rFonts w:ascii="Calibri" w:hAnsi="Calibri"/>
          <w:color w:val="231F20"/>
          <w:spacing w:val="-11"/>
          <w:w w:val="110"/>
        </w:rPr>
        <w:t xml:space="preserve"> </w:t>
      </w:r>
      <w:r w:rsidRPr="00CD1C1C">
        <w:rPr>
          <w:rFonts w:ascii="Calibri" w:hAnsi="Calibri"/>
          <w:color w:val="231F20"/>
          <w:w w:val="110"/>
        </w:rPr>
        <w:t>of</w:t>
      </w:r>
      <w:r w:rsidRPr="00CD1C1C">
        <w:rPr>
          <w:rFonts w:ascii="Calibri" w:hAnsi="Calibri"/>
          <w:color w:val="231F20"/>
          <w:spacing w:val="-11"/>
          <w:w w:val="110"/>
        </w:rPr>
        <w:t xml:space="preserve"> </w:t>
      </w:r>
      <w:r w:rsidRPr="00CD1C1C">
        <w:rPr>
          <w:rFonts w:ascii="Calibri" w:hAnsi="Calibri"/>
          <w:color w:val="231F20"/>
          <w:w w:val="110"/>
        </w:rPr>
        <w:t>education</w:t>
      </w:r>
      <w:r w:rsidRPr="00CD1C1C">
        <w:rPr>
          <w:rFonts w:ascii="Calibri" w:hAnsi="Calibri"/>
          <w:color w:val="231F20"/>
          <w:spacing w:val="-11"/>
          <w:w w:val="110"/>
        </w:rPr>
        <w:t xml:space="preserve"> </w:t>
      </w:r>
      <w:r w:rsidRPr="00CD1C1C">
        <w:rPr>
          <w:rFonts w:ascii="Calibri" w:hAnsi="Calibri"/>
          <w:color w:val="231F20"/>
          <w:w w:val="110"/>
        </w:rPr>
        <w:t>and</w:t>
      </w:r>
      <w:r w:rsidRPr="00CD1C1C">
        <w:rPr>
          <w:rFonts w:ascii="Calibri" w:hAnsi="Calibri"/>
          <w:color w:val="231F20"/>
          <w:spacing w:val="-11"/>
          <w:w w:val="110"/>
        </w:rPr>
        <w:t xml:space="preserve"> </w:t>
      </w:r>
      <w:r w:rsidRPr="00CD1C1C">
        <w:rPr>
          <w:rFonts w:ascii="Calibri" w:hAnsi="Calibri"/>
          <w:color w:val="231F20"/>
          <w:w w:val="110"/>
        </w:rPr>
        <w:t>training</w:t>
      </w:r>
      <w:r w:rsidRPr="00CD1C1C">
        <w:rPr>
          <w:rFonts w:ascii="Calibri" w:hAnsi="Calibri"/>
          <w:color w:val="231F20"/>
          <w:spacing w:val="-11"/>
          <w:w w:val="110"/>
        </w:rPr>
        <w:t xml:space="preserve"> </w:t>
      </w:r>
      <w:r w:rsidRPr="00CD1C1C">
        <w:rPr>
          <w:rFonts w:ascii="Calibri" w:hAnsi="Calibri"/>
          <w:color w:val="231F20"/>
          <w:w w:val="110"/>
        </w:rPr>
        <w:t>occupations</w:t>
      </w:r>
      <w:r w:rsidRPr="00CD1C1C">
        <w:rPr>
          <w:rFonts w:ascii="Calibri" w:hAnsi="Calibri"/>
          <w:color w:val="231F20"/>
          <w:spacing w:val="-11"/>
          <w:w w:val="110"/>
        </w:rPr>
        <w:t xml:space="preserve"> </w:t>
      </w:r>
      <w:r w:rsidRPr="00CD1C1C">
        <w:rPr>
          <w:rFonts w:ascii="Calibri" w:hAnsi="Calibri"/>
          <w:color w:val="231F20"/>
          <w:w w:val="110"/>
        </w:rPr>
        <w:t>of</w:t>
      </w:r>
      <w:r w:rsidRPr="00CD1C1C">
        <w:rPr>
          <w:rFonts w:ascii="Calibri" w:hAnsi="Calibri"/>
          <w:color w:val="231F20"/>
          <w:spacing w:val="-11"/>
          <w:w w:val="110"/>
        </w:rPr>
        <w:t xml:space="preserve"> </w:t>
      </w:r>
      <w:r w:rsidRPr="00CD1C1C">
        <w:rPr>
          <w:rFonts w:ascii="Calibri" w:hAnsi="Calibri"/>
          <w:color w:val="231F20"/>
          <w:w w:val="110"/>
        </w:rPr>
        <w:t>any</w:t>
      </w:r>
      <w:r w:rsidRPr="00CD1C1C">
        <w:rPr>
          <w:rFonts w:ascii="Calibri" w:hAnsi="Calibri"/>
          <w:color w:val="231F20"/>
          <w:spacing w:val="-11"/>
          <w:w w:val="110"/>
        </w:rPr>
        <w:t xml:space="preserve"> </w:t>
      </w:r>
      <w:r w:rsidRPr="00CD1C1C">
        <w:rPr>
          <w:rFonts w:ascii="Calibri" w:hAnsi="Calibri"/>
          <w:color w:val="231F20"/>
          <w:w w:val="110"/>
        </w:rPr>
        <w:t>local</w:t>
      </w:r>
      <w:r w:rsidRPr="00CD1C1C">
        <w:rPr>
          <w:rFonts w:ascii="Calibri" w:hAnsi="Calibri"/>
          <w:color w:val="231F20"/>
          <w:w w:val="108"/>
        </w:rPr>
        <w:t xml:space="preserve"> </w:t>
      </w:r>
      <w:r w:rsidRPr="00CD1C1C">
        <w:rPr>
          <w:rFonts w:ascii="Calibri" w:hAnsi="Calibri"/>
          <w:color w:val="231F20"/>
          <w:w w:val="110"/>
        </w:rPr>
        <w:t>area.</w:t>
      </w:r>
    </w:p>
    <w:p w14:paraId="18713EF2" w14:textId="77777777" w:rsidR="00002D76" w:rsidRPr="00EA7458" w:rsidRDefault="00002D76" w:rsidP="00002D76">
      <w:pPr>
        <w:widowControl w:val="0"/>
        <w:spacing w:before="6" w:after="0" w:line="240" w:lineRule="auto"/>
        <w:rPr>
          <w:rFonts w:ascii="Calibri" w:hAnsi="Calibri" w:cs="Calibri"/>
          <w:sz w:val="16"/>
          <w:szCs w:val="16"/>
        </w:rPr>
      </w:pPr>
    </w:p>
    <w:p w14:paraId="4B88869B" w14:textId="77777777" w:rsidR="00002D76" w:rsidRPr="00EA7458" w:rsidRDefault="00002D76" w:rsidP="00D63204">
      <w:pPr>
        <w:widowControl w:val="0"/>
        <w:spacing w:after="0" w:line="266" w:lineRule="exact"/>
        <w:ind w:left="468" w:right="468"/>
        <w:outlineLvl w:val="2"/>
        <w:rPr>
          <w:rFonts w:ascii="Calibri" w:hAnsi="Calibri"/>
        </w:rPr>
      </w:pPr>
      <w:r w:rsidRPr="00EA7458">
        <w:rPr>
          <w:rFonts w:ascii="Calibri" w:hAnsi="Calibri"/>
          <w:b/>
          <w:bCs/>
          <w:color w:val="231F20"/>
          <w:w w:val="110"/>
        </w:rPr>
        <w:t>Figure</w:t>
      </w:r>
      <w:r w:rsidRPr="00EA7458">
        <w:rPr>
          <w:rFonts w:ascii="Calibri" w:hAnsi="Calibri"/>
          <w:b/>
          <w:bCs/>
          <w:color w:val="231F20"/>
          <w:spacing w:val="-2"/>
          <w:w w:val="110"/>
        </w:rPr>
        <w:t xml:space="preserve"> </w:t>
      </w:r>
      <w:r w:rsidRPr="00EA7458">
        <w:rPr>
          <w:rFonts w:ascii="Calibri" w:hAnsi="Calibri"/>
          <w:b/>
          <w:bCs/>
          <w:color w:val="231F20"/>
          <w:spacing w:val="-6"/>
          <w:w w:val="110"/>
        </w:rPr>
        <w:t>2.19</w:t>
      </w:r>
    </w:p>
    <w:p w14:paraId="4FA0C718" w14:textId="77777777" w:rsidR="00002D76" w:rsidRPr="00EA7458" w:rsidRDefault="00002D76" w:rsidP="00D63204">
      <w:pPr>
        <w:widowControl w:val="0"/>
        <w:spacing w:before="2" w:after="0" w:line="235" w:lineRule="auto"/>
        <w:ind w:left="2673" w:right="2671"/>
        <w:rPr>
          <w:rFonts w:ascii="Calibri" w:hAnsi="Calibri" w:cs="Calibri"/>
        </w:rPr>
      </w:pPr>
      <w:r w:rsidRPr="00EA7458">
        <w:rPr>
          <w:rFonts w:ascii="Calibri" w:hAnsi="Calibri"/>
          <w:b/>
          <w:color w:val="231F20"/>
          <w:w w:val="110"/>
        </w:rPr>
        <w:t>Percent</w:t>
      </w:r>
      <w:r w:rsidRPr="00EA7458">
        <w:rPr>
          <w:rFonts w:ascii="Calibri" w:hAnsi="Calibri"/>
          <w:b/>
          <w:color w:val="231F20"/>
          <w:spacing w:val="-19"/>
          <w:w w:val="110"/>
        </w:rPr>
        <w:t xml:space="preserve"> </w:t>
      </w:r>
      <w:r w:rsidRPr="00EA7458">
        <w:rPr>
          <w:rFonts w:ascii="Calibri" w:hAnsi="Calibri"/>
          <w:b/>
          <w:color w:val="231F20"/>
          <w:w w:val="110"/>
        </w:rPr>
        <w:t>Distribution</w:t>
      </w:r>
      <w:r w:rsidRPr="00EA7458">
        <w:rPr>
          <w:rFonts w:ascii="Calibri" w:hAnsi="Calibri"/>
          <w:b/>
          <w:color w:val="231F20"/>
          <w:spacing w:val="-19"/>
          <w:w w:val="110"/>
        </w:rPr>
        <w:t xml:space="preserve"> </w:t>
      </w:r>
      <w:r w:rsidRPr="00EA7458">
        <w:rPr>
          <w:rFonts w:ascii="Calibri" w:hAnsi="Calibri"/>
          <w:b/>
          <w:color w:val="231F20"/>
          <w:w w:val="110"/>
        </w:rPr>
        <w:t>by</w:t>
      </w:r>
      <w:r w:rsidRPr="00EA7458">
        <w:rPr>
          <w:rFonts w:ascii="Calibri" w:hAnsi="Calibri"/>
          <w:b/>
          <w:color w:val="231F20"/>
          <w:spacing w:val="-19"/>
          <w:w w:val="110"/>
        </w:rPr>
        <w:t xml:space="preserve"> </w:t>
      </w:r>
      <w:r w:rsidRPr="00EA7458">
        <w:rPr>
          <w:rFonts w:ascii="Calibri" w:hAnsi="Calibri"/>
          <w:b/>
          <w:color w:val="231F20"/>
          <w:w w:val="110"/>
        </w:rPr>
        <w:t>Major</w:t>
      </w:r>
      <w:r w:rsidRPr="00EA7458">
        <w:rPr>
          <w:rFonts w:ascii="Calibri" w:hAnsi="Calibri"/>
          <w:b/>
          <w:color w:val="231F20"/>
          <w:spacing w:val="-19"/>
          <w:w w:val="110"/>
        </w:rPr>
        <w:t xml:space="preserve"> </w:t>
      </w:r>
      <w:r w:rsidRPr="00EA7458">
        <w:rPr>
          <w:rFonts w:ascii="Calibri" w:hAnsi="Calibri"/>
          <w:b/>
          <w:color w:val="231F20"/>
          <w:w w:val="110"/>
        </w:rPr>
        <w:t>Occupational</w:t>
      </w:r>
      <w:r w:rsidRPr="00EA7458">
        <w:rPr>
          <w:rFonts w:ascii="Calibri" w:hAnsi="Calibri"/>
          <w:b/>
          <w:color w:val="231F20"/>
          <w:spacing w:val="-19"/>
          <w:w w:val="110"/>
        </w:rPr>
        <w:t xml:space="preserve"> </w:t>
      </w:r>
      <w:r w:rsidRPr="00EA7458">
        <w:rPr>
          <w:rFonts w:ascii="Calibri" w:hAnsi="Calibri"/>
          <w:b/>
          <w:color w:val="231F20"/>
          <w:w w:val="110"/>
        </w:rPr>
        <w:t>Group</w:t>
      </w:r>
      <w:r w:rsidRPr="00EA7458">
        <w:rPr>
          <w:rFonts w:ascii="Calibri" w:hAnsi="Calibri"/>
          <w:b/>
          <w:color w:val="231F20"/>
          <w:w w:val="108"/>
        </w:rPr>
        <w:t xml:space="preserve"> </w:t>
      </w:r>
      <w:r w:rsidRPr="00EA7458">
        <w:rPr>
          <w:rFonts w:ascii="Calibri" w:hAnsi="Calibri"/>
          <w:b/>
          <w:color w:val="231F20"/>
          <w:w w:val="110"/>
        </w:rPr>
        <w:t>Local</w:t>
      </w:r>
      <w:r w:rsidRPr="00EA7458">
        <w:rPr>
          <w:rFonts w:ascii="Calibri" w:hAnsi="Calibri"/>
          <w:b/>
          <w:color w:val="231F20"/>
          <w:spacing w:val="-17"/>
          <w:w w:val="110"/>
        </w:rPr>
        <w:t xml:space="preserve"> </w:t>
      </w:r>
      <w:r w:rsidRPr="00EA7458">
        <w:rPr>
          <w:rFonts w:ascii="Calibri" w:hAnsi="Calibri"/>
          <w:b/>
          <w:color w:val="231F20"/>
          <w:w w:val="110"/>
        </w:rPr>
        <w:t>Workforce</w:t>
      </w:r>
      <w:r w:rsidRPr="00EA7458">
        <w:rPr>
          <w:rFonts w:ascii="Calibri" w:hAnsi="Calibri"/>
          <w:b/>
          <w:color w:val="231F20"/>
          <w:spacing w:val="-17"/>
          <w:w w:val="110"/>
        </w:rPr>
        <w:t xml:space="preserve"> </w:t>
      </w:r>
      <w:r w:rsidRPr="00EA7458">
        <w:rPr>
          <w:rFonts w:ascii="Calibri" w:hAnsi="Calibri"/>
          <w:b/>
          <w:color w:val="231F20"/>
          <w:w w:val="110"/>
        </w:rPr>
        <w:t>Development</w:t>
      </w:r>
      <w:r w:rsidRPr="00EA7458">
        <w:rPr>
          <w:rFonts w:ascii="Calibri" w:hAnsi="Calibri"/>
          <w:b/>
          <w:color w:val="231F20"/>
          <w:spacing w:val="-17"/>
          <w:w w:val="110"/>
        </w:rPr>
        <w:t xml:space="preserve"> </w:t>
      </w:r>
      <w:r w:rsidRPr="00EA7458">
        <w:rPr>
          <w:rFonts w:ascii="Calibri" w:hAnsi="Calibri"/>
          <w:b/>
          <w:color w:val="231F20"/>
          <w:w w:val="110"/>
        </w:rPr>
        <w:t>Areas</w:t>
      </w:r>
      <w:r w:rsidRPr="00EA7458">
        <w:rPr>
          <w:rFonts w:ascii="Calibri" w:hAnsi="Calibri"/>
          <w:b/>
          <w:color w:val="231F20"/>
          <w:spacing w:val="-17"/>
          <w:w w:val="110"/>
        </w:rPr>
        <w:t xml:space="preserve"> </w:t>
      </w:r>
      <w:r w:rsidRPr="00EA7458">
        <w:rPr>
          <w:rFonts w:ascii="Calibri" w:hAnsi="Calibri"/>
          <w:b/>
          <w:color w:val="231F20"/>
          <w:w w:val="110"/>
        </w:rPr>
        <w:t>8-16</w:t>
      </w:r>
    </w:p>
    <w:p w14:paraId="6602B4F0" w14:textId="77777777" w:rsidR="00002D76" w:rsidRPr="00EA7458" w:rsidRDefault="00002D76" w:rsidP="00002D76">
      <w:pPr>
        <w:widowControl w:val="0"/>
        <w:spacing w:before="2" w:after="0" w:line="240" w:lineRule="auto"/>
        <w:rPr>
          <w:rFonts w:ascii="Calibri" w:hAnsi="Calibri" w:cs="Calibri"/>
          <w:b/>
          <w:bCs/>
          <w:sz w:val="18"/>
          <w:szCs w:val="18"/>
        </w:rPr>
      </w:pPr>
    </w:p>
    <w:tbl>
      <w:tblPr>
        <w:tblW w:w="10757" w:type="dxa"/>
        <w:tblInd w:w="-95" w:type="dxa"/>
        <w:tblLook w:val="04A0" w:firstRow="1" w:lastRow="0" w:firstColumn="1" w:lastColumn="0" w:noHBand="0" w:noVBand="1"/>
      </w:tblPr>
      <w:tblGrid>
        <w:gridCol w:w="1095"/>
        <w:gridCol w:w="2355"/>
        <w:gridCol w:w="702"/>
        <w:gridCol w:w="733"/>
        <w:gridCol w:w="734"/>
        <w:gridCol w:w="734"/>
        <w:gridCol w:w="734"/>
        <w:gridCol w:w="734"/>
        <w:gridCol w:w="734"/>
        <w:gridCol w:w="734"/>
        <w:gridCol w:w="734"/>
        <w:gridCol w:w="734"/>
      </w:tblGrid>
      <w:tr w:rsidR="00002D76" w:rsidRPr="008648E5" w14:paraId="385B78D3" w14:textId="77777777" w:rsidTr="001429C7">
        <w:trPr>
          <w:trHeight w:val="445"/>
        </w:trPr>
        <w:tc>
          <w:tcPr>
            <w:tcW w:w="1095" w:type="dxa"/>
            <w:tcBorders>
              <w:top w:val="single" w:sz="4" w:space="0" w:color="auto"/>
              <w:left w:val="single" w:sz="4" w:space="0" w:color="auto"/>
              <w:bottom w:val="nil"/>
              <w:right w:val="single" w:sz="4" w:space="0" w:color="auto"/>
            </w:tcBorders>
            <w:shd w:val="clear" w:color="auto" w:fill="auto"/>
            <w:noWrap/>
            <w:vAlign w:val="center"/>
            <w:hideMark/>
          </w:tcPr>
          <w:p w14:paraId="10E4577F" w14:textId="77777777" w:rsidR="00002D76" w:rsidRPr="008648E5" w:rsidRDefault="00002D76" w:rsidP="00D63204">
            <w:pPr>
              <w:spacing w:after="0" w:line="240" w:lineRule="auto"/>
              <w:rPr>
                <w:rFonts w:ascii="Calibri" w:hAnsi="Calibri"/>
                <w:b/>
                <w:bCs/>
                <w:color w:val="231F20"/>
                <w:sz w:val="16"/>
                <w:szCs w:val="16"/>
              </w:rPr>
            </w:pPr>
            <w:r w:rsidRPr="008648E5">
              <w:rPr>
                <w:rFonts w:ascii="Calibri" w:hAnsi="Calibri"/>
                <w:b/>
                <w:bCs/>
                <w:color w:val="231F20"/>
                <w:sz w:val="16"/>
                <w:szCs w:val="16"/>
              </w:rPr>
              <w:t>Occupational Group Code</w:t>
            </w:r>
          </w:p>
        </w:tc>
        <w:tc>
          <w:tcPr>
            <w:tcW w:w="2355" w:type="dxa"/>
            <w:tcBorders>
              <w:top w:val="single" w:sz="4" w:space="0" w:color="auto"/>
              <w:left w:val="nil"/>
              <w:bottom w:val="nil"/>
              <w:right w:val="single" w:sz="4" w:space="0" w:color="auto"/>
            </w:tcBorders>
            <w:shd w:val="clear" w:color="auto" w:fill="auto"/>
            <w:noWrap/>
            <w:vAlign w:val="center"/>
            <w:hideMark/>
          </w:tcPr>
          <w:p w14:paraId="22FD63BA" w14:textId="77777777" w:rsidR="00002D76" w:rsidRPr="008648E5" w:rsidRDefault="00002D76" w:rsidP="004D4948">
            <w:pPr>
              <w:spacing w:after="0" w:line="240" w:lineRule="auto"/>
              <w:rPr>
                <w:rFonts w:ascii="Calibri" w:hAnsi="Calibri"/>
                <w:b/>
                <w:bCs/>
                <w:color w:val="231F20"/>
                <w:sz w:val="16"/>
                <w:szCs w:val="16"/>
              </w:rPr>
            </w:pPr>
            <w:r w:rsidRPr="008648E5">
              <w:rPr>
                <w:rFonts w:ascii="Calibri" w:hAnsi="Calibri"/>
                <w:b/>
                <w:bCs/>
                <w:color w:val="231F20"/>
                <w:sz w:val="16"/>
                <w:szCs w:val="16"/>
              </w:rPr>
              <w:t>Occupational Group Name</w:t>
            </w:r>
          </w:p>
        </w:tc>
        <w:tc>
          <w:tcPr>
            <w:tcW w:w="702" w:type="dxa"/>
            <w:tcBorders>
              <w:top w:val="single" w:sz="4" w:space="0" w:color="auto"/>
              <w:left w:val="nil"/>
              <w:bottom w:val="nil"/>
              <w:right w:val="single" w:sz="4" w:space="0" w:color="auto"/>
            </w:tcBorders>
            <w:shd w:val="clear" w:color="auto" w:fill="auto"/>
            <w:vAlign w:val="center"/>
            <w:hideMark/>
          </w:tcPr>
          <w:p w14:paraId="6DE7A013" w14:textId="77777777" w:rsidR="00002D76" w:rsidRPr="008648E5" w:rsidRDefault="00002D76" w:rsidP="00D63204">
            <w:pPr>
              <w:spacing w:after="0" w:line="240" w:lineRule="auto"/>
              <w:rPr>
                <w:rFonts w:ascii="Calibri" w:hAnsi="Calibri"/>
                <w:b/>
                <w:bCs/>
                <w:color w:val="231F20"/>
                <w:sz w:val="16"/>
                <w:szCs w:val="16"/>
              </w:rPr>
            </w:pPr>
            <w:r w:rsidRPr="008648E5">
              <w:rPr>
                <w:rFonts w:ascii="Calibri" w:hAnsi="Calibri"/>
                <w:b/>
                <w:bCs/>
                <w:color w:val="231F20"/>
                <w:sz w:val="16"/>
                <w:szCs w:val="16"/>
              </w:rPr>
              <w:t>Florida</w:t>
            </w:r>
          </w:p>
        </w:tc>
        <w:tc>
          <w:tcPr>
            <w:tcW w:w="733" w:type="dxa"/>
            <w:tcBorders>
              <w:top w:val="single" w:sz="4" w:space="0" w:color="auto"/>
              <w:left w:val="nil"/>
              <w:bottom w:val="single" w:sz="4" w:space="0" w:color="auto"/>
              <w:right w:val="single" w:sz="4" w:space="0" w:color="auto"/>
            </w:tcBorders>
            <w:shd w:val="clear" w:color="auto" w:fill="auto"/>
            <w:vAlign w:val="center"/>
            <w:hideMark/>
          </w:tcPr>
          <w:p w14:paraId="69F4DA02" w14:textId="77777777" w:rsidR="00002D76" w:rsidRPr="008648E5" w:rsidRDefault="00002D76" w:rsidP="00D63204">
            <w:pPr>
              <w:spacing w:after="0" w:line="240" w:lineRule="auto"/>
              <w:rPr>
                <w:rFonts w:ascii="Calibri" w:hAnsi="Calibri"/>
                <w:b/>
                <w:bCs/>
                <w:color w:val="231F20"/>
                <w:sz w:val="16"/>
                <w:szCs w:val="16"/>
              </w:rPr>
            </w:pPr>
            <w:r w:rsidRPr="008648E5">
              <w:rPr>
                <w:rFonts w:ascii="Calibri" w:hAnsi="Calibri"/>
                <w:b/>
                <w:bCs/>
                <w:color w:val="231F20"/>
                <w:sz w:val="16"/>
                <w:szCs w:val="16"/>
              </w:rPr>
              <w:t>LWDA 8</w:t>
            </w:r>
          </w:p>
        </w:tc>
        <w:tc>
          <w:tcPr>
            <w:tcW w:w="734" w:type="dxa"/>
            <w:tcBorders>
              <w:top w:val="single" w:sz="4" w:space="0" w:color="auto"/>
              <w:left w:val="nil"/>
              <w:bottom w:val="single" w:sz="4" w:space="0" w:color="auto"/>
              <w:right w:val="single" w:sz="4" w:space="0" w:color="auto"/>
            </w:tcBorders>
            <w:shd w:val="clear" w:color="auto" w:fill="auto"/>
            <w:vAlign w:val="center"/>
            <w:hideMark/>
          </w:tcPr>
          <w:p w14:paraId="715C6826" w14:textId="77777777" w:rsidR="00002D76" w:rsidRPr="008648E5" w:rsidRDefault="00002D76" w:rsidP="00D63204">
            <w:pPr>
              <w:spacing w:after="0" w:line="240" w:lineRule="auto"/>
              <w:rPr>
                <w:rFonts w:ascii="Calibri" w:hAnsi="Calibri"/>
                <w:b/>
                <w:bCs/>
                <w:color w:val="231F20"/>
                <w:sz w:val="16"/>
                <w:szCs w:val="16"/>
              </w:rPr>
            </w:pPr>
            <w:r w:rsidRPr="008648E5">
              <w:rPr>
                <w:rFonts w:ascii="Calibri" w:hAnsi="Calibri"/>
                <w:b/>
                <w:bCs/>
                <w:color w:val="231F20"/>
                <w:sz w:val="16"/>
                <w:szCs w:val="16"/>
              </w:rPr>
              <w:t>LWDA 9</w:t>
            </w:r>
          </w:p>
        </w:tc>
        <w:tc>
          <w:tcPr>
            <w:tcW w:w="734" w:type="dxa"/>
            <w:tcBorders>
              <w:top w:val="single" w:sz="4" w:space="0" w:color="auto"/>
              <w:left w:val="nil"/>
              <w:bottom w:val="single" w:sz="4" w:space="0" w:color="auto"/>
              <w:right w:val="single" w:sz="4" w:space="0" w:color="auto"/>
            </w:tcBorders>
            <w:shd w:val="clear" w:color="auto" w:fill="auto"/>
            <w:vAlign w:val="center"/>
            <w:hideMark/>
          </w:tcPr>
          <w:p w14:paraId="01146974" w14:textId="77777777" w:rsidR="00002D76" w:rsidRPr="008648E5" w:rsidRDefault="00002D76" w:rsidP="00D63204">
            <w:pPr>
              <w:spacing w:after="0" w:line="240" w:lineRule="auto"/>
              <w:rPr>
                <w:rFonts w:ascii="Calibri" w:hAnsi="Calibri"/>
                <w:b/>
                <w:bCs/>
                <w:color w:val="231F20"/>
                <w:sz w:val="16"/>
                <w:szCs w:val="16"/>
              </w:rPr>
            </w:pPr>
            <w:r w:rsidRPr="008648E5">
              <w:rPr>
                <w:rFonts w:ascii="Calibri" w:hAnsi="Calibri"/>
                <w:b/>
                <w:bCs/>
                <w:color w:val="231F20"/>
                <w:sz w:val="16"/>
                <w:szCs w:val="16"/>
              </w:rPr>
              <w:t>LWDA 10</w:t>
            </w:r>
          </w:p>
        </w:tc>
        <w:tc>
          <w:tcPr>
            <w:tcW w:w="734" w:type="dxa"/>
            <w:tcBorders>
              <w:top w:val="single" w:sz="4" w:space="0" w:color="auto"/>
              <w:left w:val="nil"/>
              <w:bottom w:val="single" w:sz="4" w:space="0" w:color="auto"/>
              <w:right w:val="single" w:sz="4" w:space="0" w:color="auto"/>
            </w:tcBorders>
            <w:shd w:val="clear" w:color="auto" w:fill="auto"/>
            <w:vAlign w:val="center"/>
            <w:hideMark/>
          </w:tcPr>
          <w:p w14:paraId="071E2D22" w14:textId="77777777" w:rsidR="00002D76" w:rsidRPr="008648E5" w:rsidRDefault="00002D76" w:rsidP="00D63204">
            <w:pPr>
              <w:spacing w:after="0" w:line="240" w:lineRule="auto"/>
              <w:rPr>
                <w:rFonts w:ascii="Calibri" w:hAnsi="Calibri"/>
                <w:b/>
                <w:bCs/>
                <w:color w:val="231F20"/>
                <w:sz w:val="16"/>
                <w:szCs w:val="16"/>
              </w:rPr>
            </w:pPr>
            <w:r w:rsidRPr="008648E5">
              <w:rPr>
                <w:rFonts w:ascii="Calibri" w:hAnsi="Calibri"/>
                <w:b/>
                <w:bCs/>
                <w:color w:val="231F20"/>
                <w:sz w:val="16"/>
                <w:szCs w:val="16"/>
              </w:rPr>
              <w:t>LWDA 11</w:t>
            </w:r>
          </w:p>
        </w:tc>
        <w:tc>
          <w:tcPr>
            <w:tcW w:w="734" w:type="dxa"/>
            <w:tcBorders>
              <w:top w:val="single" w:sz="4" w:space="0" w:color="auto"/>
              <w:left w:val="nil"/>
              <w:bottom w:val="single" w:sz="4" w:space="0" w:color="auto"/>
              <w:right w:val="single" w:sz="4" w:space="0" w:color="auto"/>
            </w:tcBorders>
            <w:shd w:val="clear" w:color="auto" w:fill="auto"/>
            <w:vAlign w:val="center"/>
            <w:hideMark/>
          </w:tcPr>
          <w:p w14:paraId="2BB6285A" w14:textId="77777777" w:rsidR="00002D76" w:rsidRPr="008648E5" w:rsidRDefault="00002D76" w:rsidP="00D63204">
            <w:pPr>
              <w:spacing w:after="0" w:line="240" w:lineRule="auto"/>
              <w:rPr>
                <w:rFonts w:ascii="Calibri" w:hAnsi="Calibri"/>
                <w:b/>
                <w:bCs/>
                <w:color w:val="231F20"/>
                <w:sz w:val="16"/>
                <w:szCs w:val="16"/>
              </w:rPr>
            </w:pPr>
            <w:r w:rsidRPr="008648E5">
              <w:rPr>
                <w:rFonts w:ascii="Calibri" w:hAnsi="Calibri"/>
                <w:b/>
                <w:bCs/>
                <w:color w:val="231F20"/>
                <w:sz w:val="16"/>
                <w:szCs w:val="16"/>
              </w:rPr>
              <w:t>LWDA 12</w:t>
            </w:r>
          </w:p>
        </w:tc>
        <w:tc>
          <w:tcPr>
            <w:tcW w:w="734" w:type="dxa"/>
            <w:tcBorders>
              <w:top w:val="single" w:sz="4" w:space="0" w:color="auto"/>
              <w:left w:val="nil"/>
              <w:bottom w:val="single" w:sz="4" w:space="0" w:color="auto"/>
              <w:right w:val="single" w:sz="4" w:space="0" w:color="auto"/>
            </w:tcBorders>
            <w:shd w:val="clear" w:color="auto" w:fill="auto"/>
            <w:vAlign w:val="center"/>
            <w:hideMark/>
          </w:tcPr>
          <w:p w14:paraId="0636D01D" w14:textId="77777777" w:rsidR="00002D76" w:rsidRPr="008648E5" w:rsidRDefault="00002D76" w:rsidP="00D63204">
            <w:pPr>
              <w:spacing w:after="0" w:line="240" w:lineRule="auto"/>
              <w:rPr>
                <w:rFonts w:ascii="Calibri" w:hAnsi="Calibri"/>
                <w:b/>
                <w:bCs/>
                <w:color w:val="231F20"/>
                <w:sz w:val="16"/>
                <w:szCs w:val="16"/>
              </w:rPr>
            </w:pPr>
            <w:r w:rsidRPr="008648E5">
              <w:rPr>
                <w:rFonts w:ascii="Calibri" w:hAnsi="Calibri"/>
                <w:b/>
                <w:bCs/>
                <w:color w:val="231F20"/>
                <w:sz w:val="16"/>
                <w:szCs w:val="16"/>
              </w:rPr>
              <w:t>LWDA 13</w:t>
            </w:r>
          </w:p>
        </w:tc>
        <w:tc>
          <w:tcPr>
            <w:tcW w:w="734" w:type="dxa"/>
            <w:tcBorders>
              <w:top w:val="single" w:sz="4" w:space="0" w:color="auto"/>
              <w:left w:val="nil"/>
              <w:bottom w:val="single" w:sz="4" w:space="0" w:color="auto"/>
              <w:right w:val="single" w:sz="4" w:space="0" w:color="auto"/>
            </w:tcBorders>
            <w:shd w:val="clear" w:color="auto" w:fill="auto"/>
            <w:vAlign w:val="center"/>
            <w:hideMark/>
          </w:tcPr>
          <w:p w14:paraId="7FDAA855" w14:textId="77777777" w:rsidR="00002D76" w:rsidRPr="008648E5" w:rsidRDefault="00002D76" w:rsidP="00D63204">
            <w:pPr>
              <w:spacing w:after="0" w:line="240" w:lineRule="auto"/>
              <w:rPr>
                <w:rFonts w:ascii="Calibri" w:hAnsi="Calibri"/>
                <w:b/>
                <w:bCs/>
                <w:color w:val="231F20"/>
                <w:sz w:val="16"/>
                <w:szCs w:val="16"/>
              </w:rPr>
            </w:pPr>
            <w:r w:rsidRPr="008648E5">
              <w:rPr>
                <w:rFonts w:ascii="Calibri" w:hAnsi="Calibri"/>
                <w:b/>
                <w:bCs/>
                <w:color w:val="231F20"/>
                <w:sz w:val="16"/>
                <w:szCs w:val="16"/>
              </w:rPr>
              <w:t>LWDA 14</w:t>
            </w:r>
          </w:p>
        </w:tc>
        <w:tc>
          <w:tcPr>
            <w:tcW w:w="734" w:type="dxa"/>
            <w:tcBorders>
              <w:top w:val="single" w:sz="4" w:space="0" w:color="auto"/>
              <w:left w:val="nil"/>
              <w:bottom w:val="single" w:sz="4" w:space="0" w:color="auto"/>
              <w:right w:val="single" w:sz="4" w:space="0" w:color="auto"/>
            </w:tcBorders>
            <w:shd w:val="clear" w:color="auto" w:fill="auto"/>
            <w:vAlign w:val="center"/>
            <w:hideMark/>
          </w:tcPr>
          <w:p w14:paraId="0278CB7E" w14:textId="77777777" w:rsidR="00002D76" w:rsidRPr="008648E5" w:rsidRDefault="00002D76" w:rsidP="00D63204">
            <w:pPr>
              <w:spacing w:after="0" w:line="240" w:lineRule="auto"/>
              <w:rPr>
                <w:rFonts w:ascii="Calibri" w:hAnsi="Calibri"/>
                <w:b/>
                <w:bCs/>
                <w:color w:val="231F20"/>
                <w:sz w:val="16"/>
                <w:szCs w:val="16"/>
              </w:rPr>
            </w:pPr>
            <w:r w:rsidRPr="008648E5">
              <w:rPr>
                <w:rFonts w:ascii="Calibri" w:hAnsi="Calibri"/>
                <w:b/>
                <w:bCs/>
                <w:color w:val="231F20"/>
                <w:sz w:val="16"/>
                <w:szCs w:val="16"/>
              </w:rPr>
              <w:t>LWDA 15</w:t>
            </w:r>
          </w:p>
        </w:tc>
        <w:tc>
          <w:tcPr>
            <w:tcW w:w="734" w:type="dxa"/>
            <w:tcBorders>
              <w:top w:val="single" w:sz="4" w:space="0" w:color="auto"/>
              <w:left w:val="nil"/>
              <w:bottom w:val="single" w:sz="4" w:space="0" w:color="auto"/>
              <w:right w:val="single" w:sz="4" w:space="0" w:color="auto"/>
            </w:tcBorders>
            <w:shd w:val="clear" w:color="auto" w:fill="auto"/>
            <w:vAlign w:val="center"/>
            <w:hideMark/>
          </w:tcPr>
          <w:p w14:paraId="6F234D5A" w14:textId="77777777" w:rsidR="00002D76" w:rsidRPr="008648E5" w:rsidRDefault="00002D76" w:rsidP="00D63204">
            <w:pPr>
              <w:spacing w:after="0" w:line="240" w:lineRule="auto"/>
              <w:rPr>
                <w:rFonts w:ascii="Calibri" w:hAnsi="Calibri"/>
                <w:b/>
                <w:bCs/>
                <w:color w:val="231F20"/>
                <w:sz w:val="16"/>
                <w:szCs w:val="16"/>
              </w:rPr>
            </w:pPr>
            <w:r w:rsidRPr="008648E5">
              <w:rPr>
                <w:rFonts w:ascii="Calibri" w:hAnsi="Calibri"/>
                <w:b/>
                <w:bCs/>
                <w:color w:val="231F20"/>
                <w:sz w:val="16"/>
                <w:szCs w:val="16"/>
              </w:rPr>
              <w:t>LWDA 16</w:t>
            </w:r>
          </w:p>
        </w:tc>
      </w:tr>
      <w:tr w:rsidR="00002D76" w:rsidRPr="008648E5" w14:paraId="220A5E5F" w14:textId="77777777" w:rsidTr="001429C7">
        <w:trPr>
          <w:trHeight w:hRule="exact" w:val="296"/>
        </w:trPr>
        <w:tc>
          <w:tcPr>
            <w:tcW w:w="1095" w:type="dxa"/>
            <w:tcBorders>
              <w:top w:val="single" w:sz="4" w:space="0" w:color="auto"/>
              <w:left w:val="single" w:sz="4" w:space="0" w:color="auto"/>
              <w:bottom w:val="single" w:sz="4" w:space="0" w:color="auto"/>
              <w:right w:val="single" w:sz="4" w:space="0" w:color="auto"/>
            </w:tcBorders>
            <w:shd w:val="clear" w:color="000000" w:fill="E6E7E8"/>
            <w:noWrap/>
            <w:vAlign w:val="center"/>
            <w:hideMark/>
          </w:tcPr>
          <w:p w14:paraId="2836FC43"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110000</w:t>
            </w:r>
          </w:p>
        </w:tc>
        <w:tc>
          <w:tcPr>
            <w:tcW w:w="2355" w:type="dxa"/>
            <w:tcBorders>
              <w:top w:val="single" w:sz="4" w:space="0" w:color="auto"/>
              <w:left w:val="nil"/>
              <w:bottom w:val="single" w:sz="4" w:space="0" w:color="auto"/>
              <w:right w:val="single" w:sz="4" w:space="0" w:color="auto"/>
            </w:tcBorders>
            <w:shd w:val="clear" w:color="000000" w:fill="E6E7E8"/>
            <w:noWrap/>
            <w:vAlign w:val="center"/>
            <w:hideMark/>
          </w:tcPr>
          <w:p w14:paraId="6078665D" w14:textId="77777777" w:rsidR="00002D76" w:rsidRPr="008648E5" w:rsidRDefault="00002D76" w:rsidP="001429C7">
            <w:pPr>
              <w:spacing w:after="0" w:line="240" w:lineRule="auto"/>
              <w:rPr>
                <w:rFonts w:ascii="Calibri" w:hAnsi="Calibri"/>
                <w:color w:val="231F20"/>
                <w:sz w:val="16"/>
                <w:szCs w:val="16"/>
              </w:rPr>
            </w:pPr>
            <w:r w:rsidRPr="008648E5">
              <w:rPr>
                <w:rFonts w:ascii="Calibri" w:hAnsi="Calibri"/>
                <w:color w:val="231F20"/>
                <w:sz w:val="16"/>
                <w:szCs w:val="16"/>
              </w:rPr>
              <w:t>Management</w:t>
            </w:r>
          </w:p>
        </w:tc>
        <w:tc>
          <w:tcPr>
            <w:tcW w:w="702" w:type="dxa"/>
            <w:tcBorders>
              <w:top w:val="single" w:sz="4" w:space="0" w:color="auto"/>
              <w:left w:val="nil"/>
              <w:bottom w:val="single" w:sz="4" w:space="0" w:color="auto"/>
              <w:right w:val="single" w:sz="4" w:space="0" w:color="auto"/>
            </w:tcBorders>
            <w:shd w:val="clear" w:color="000000" w:fill="E6E7E8"/>
            <w:vAlign w:val="center"/>
            <w:hideMark/>
          </w:tcPr>
          <w:p w14:paraId="05FBD754"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4.4%</w:t>
            </w:r>
          </w:p>
        </w:tc>
        <w:tc>
          <w:tcPr>
            <w:tcW w:w="733" w:type="dxa"/>
            <w:tcBorders>
              <w:top w:val="nil"/>
              <w:left w:val="nil"/>
              <w:bottom w:val="single" w:sz="4" w:space="0" w:color="auto"/>
              <w:right w:val="single" w:sz="4" w:space="0" w:color="auto"/>
            </w:tcBorders>
            <w:shd w:val="clear" w:color="000000" w:fill="E6E7E8"/>
            <w:vAlign w:val="center"/>
            <w:hideMark/>
          </w:tcPr>
          <w:p w14:paraId="29806751"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4.0%</w:t>
            </w:r>
          </w:p>
        </w:tc>
        <w:tc>
          <w:tcPr>
            <w:tcW w:w="734" w:type="dxa"/>
            <w:tcBorders>
              <w:top w:val="nil"/>
              <w:left w:val="nil"/>
              <w:bottom w:val="single" w:sz="4" w:space="0" w:color="auto"/>
              <w:right w:val="single" w:sz="4" w:space="0" w:color="auto"/>
            </w:tcBorders>
            <w:shd w:val="clear" w:color="000000" w:fill="E6E7E8"/>
            <w:vAlign w:val="center"/>
            <w:hideMark/>
          </w:tcPr>
          <w:p w14:paraId="3E0851F0"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3.5%</w:t>
            </w:r>
          </w:p>
        </w:tc>
        <w:tc>
          <w:tcPr>
            <w:tcW w:w="734" w:type="dxa"/>
            <w:tcBorders>
              <w:top w:val="nil"/>
              <w:left w:val="nil"/>
              <w:bottom w:val="single" w:sz="4" w:space="0" w:color="auto"/>
              <w:right w:val="single" w:sz="4" w:space="0" w:color="auto"/>
            </w:tcBorders>
            <w:shd w:val="clear" w:color="000000" w:fill="E6E7E8"/>
            <w:vAlign w:val="center"/>
            <w:hideMark/>
          </w:tcPr>
          <w:p w14:paraId="603C30EA"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3.3%</w:t>
            </w:r>
          </w:p>
        </w:tc>
        <w:tc>
          <w:tcPr>
            <w:tcW w:w="734" w:type="dxa"/>
            <w:tcBorders>
              <w:top w:val="nil"/>
              <w:left w:val="nil"/>
              <w:bottom w:val="single" w:sz="4" w:space="0" w:color="auto"/>
              <w:right w:val="single" w:sz="4" w:space="0" w:color="auto"/>
            </w:tcBorders>
            <w:shd w:val="clear" w:color="000000" w:fill="E6E7E8"/>
            <w:vAlign w:val="center"/>
            <w:hideMark/>
          </w:tcPr>
          <w:p w14:paraId="002D5ADA"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3.6%</w:t>
            </w:r>
          </w:p>
        </w:tc>
        <w:tc>
          <w:tcPr>
            <w:tcW w:w="734" w:type="dxa"/>
            <w:tcBorders>
              <w:top w:val="nil"/>
              <w:left w:val="nil"/>
              <w:bottom w:val="single" w:sz="4" w:space="0" w:color="auto"/>
              <w:right w:val="single" w:sz="4" w:space="0" w:color="auto"/>
            </w:tcBorders>
            <w:shd w:val="clear" w:color="000000" w:fill="E6E7E8"/>
            <w:vAlign w:val="center"/>
            <w:hideMark/>
          </w:tcPr>
          <w:p w14:paraId="67030880"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4.5%</w:t>
            </w:r>
          </w:p>
        </w:tc>
        <w:tc>
          <w:tcPr>
            <w:tcW w:w="734" w:type="dxa"/>
            <w:tcBorders>
              <w:top w:val="nil"/>
              <w:left w:val="nil"/>
              <w:bottom w:val="single" w:sz="4" w:space="0" w:color="auto"/>
              <w:right w:val="single" w:sz="4" w:space="0" w:color="auto"/>
            </w:tcBorders>
            <w:shd w:val="clear" w:color="000000" w:fill="E6E7E8"/>
            <w:vAlign w:val="center"/>
            <w:hideMark/>
          </w:tcPr>
          <w:p w14:paraId="7A6A1640"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3.9%</w:t>
            </w:r>
          </w:p>
        </w:tc>
        <w:tc>
          <w:tcPr>
            <w:tcW w:w="734" w:type="dxa"/>
            <w:tcBorders>
              <w:top w:val="nil"/>
              <w:left w:val="nil"/>
              <w:bottom w:val="single" w:sz="4" w:space="0" w:color="auto"/>
              <w:right w:val="single" w:sz="4" w:space="0" w:color="auto"/>
            </w:tcBorders>
            <w:shd w:val="clear" w:color="000000" w:fill="E6E7E8"/>
            <w:vAlign w:val="center"/>
            <w:hideMark/>
          </w:tcPr>
          <w:p w14:paraId="52E49839"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4.4%</w:t>
            </w:r>
          </w:p>
        </w:tc>
        <w:tc>
          <w:tcPr>
            <w:tcW w:w="734" w:type="dxa"/>
            <w:tcBorders>
              <w:top w:val="nil"/>
              <w:left w:val="nil"/>
              <w:bottom w:val="single" w:sz="4" w:space="0" w:color="auto"/>
              <w:right w:val="single" w:sz="4" w:space="0" w:color="auto"/>
            </w:tcBorders>
            <w:shd w:val="clear" w:color="000000" w:fill="E6E7E8"/>
            <w:vAlign w:val="center"/>
            <w:hideMark/>
          </w:tcPr>
          <w:p w14:paraId="26B0B007"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5.1%</w:t>
            </w:r>
          </w:p>
        </w:tc>
        <w:tc>
          <w:tcPr>
            <w:tcW w:w="734" w:type="dxa"/>
            <w:tcBorders>
              <w:top w:val="nil"/>
              <w:left w:val="nil"/>
              <w:bottom w:val="single" w:sz="4" w:space="0" w:color="auto"/>
              <w:right w:val="single" w:sz="4" w:space="0" w:color="auto"/>
            </w:tcBorders>
            <w:shd w:val="clear" w:color="000000" w:fill="E6E7E8"/>
            <w:vAlign w:val="center"/>
            <w:hideMark/>
          </w:tcPr>
          <w:p w14:paraId="635DD6E8"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3.3%</w:t>
            </w:r>
          </w:p>
        </w:tc>
      </w:tr>
      <w:tr w:rsidR="00002D76" w:rsidRPr="008648E5" w14:paraId="7AC00A1C" w14:textId="77777777" w:rsidTr="001429C7">
        <w:trPr>
          <w:trHeight w:hRule="exact" w:val="478"/>
        </w:trPr>
        <w:tc>
          <w:tcPr>
            <w:tcW w:w="1095" w:type="dxa"/>
            <w:tcBorders>
              <w:top w:val="nil"/>
              <w:left w:val="single" w:sz="4" w:space="0" w:color="auto"/>
              <w:bottom w:val="single" w:sz="4" w:space="0" w:color="auto"/>
              <w:right w:val="single" w:sz="4" w:space="0" w:color="auto"/>
            </w:tcBorders>
            <w:shd w:val="clear" w:color="auto" w:fill="auto"/>
            <w:noWrap/>
            <w:vAlign w:val="center"/>
            <w:hideMark/>
          </w:tcPr>
          <w:p w14:paraId="02D31F0F"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130000</w:t>
            </w:r>
          </w:p>
        </w:tc>
        <w:tc>
          <w:tcPr>
            <w:tcW w:w="2355" w:type="dxa"/>
            <w:tcBorders>
              <w:top w:val="nil"/>
              <w:left w:val="nil"/>
              <w:bottom w:val="single" w:sz="4" w:space="0" w:color="auto"/>
              <w:right w:val="single" w:sz="4" w:space="0" w:color="auto"/>
            </w:tcBorders>
            <w:shd w:val="clear" w:color="auto" w:fill="auto"/>
            <w:noWrap/>
            <w:vAlign w:val="center"/>
            <w:hideMark/>
          </w:tcPr>
          <w:p w14:paraId="785B2CEE" w14:textId="77777777" w:rsidR="00002D76" w:rsidRPr="008648E5" w:rsidRDefault="00002D76" w:rsidP="001429C7">
            <w:pPr>
              <w:spacing w:after="0" w:line="240" w:lineRule="auto"/>
              <w:rPr>
                <w:rFonts w:ascii="Calibri" w:hAnsi="Calibri"/>
                <w:color w:val="231F20"/>
                <w:sz w:val="16"/>
                <w:szCs w:val="16"/>
              </w:rPr>
            </w:pPr>
            <w:r w:rsidRPr="008648E5">
              <w:rPr>
                <w:rFonts w:ascii="Calibri" w:hAnsi="Calibri"/>
                <w:color w:val="231F20"/>
                <w:sz w:val="16"/>
                <w:szCs w:val="16"/>
              </w:rPr>
              <w:t>Business and Financial Operations</w:t>
            </w:r>
          </w:p>
        </w:tc>
        <w:tc>
          <w:tcPr>
            <w:tcW w:w="702" w:type="dxa"/>
            <w:tcBorders>
              <w:top w:val="nil"/>
              <w:left w:val="nil"/>
              <w:bottom w:val="single" w:sz="4" w:space="0" w:color="auto"/>
              <w:right w:val="single" w:sz="4" w:space="0" w:color="auto"/>
            </w:tcBorders>
            <w:shd w:val="clear" w:color="auto" w:fill="auto"/>
            <w:vAlign w:val="center"/>
            <w:hideMark/>
          </w:tcPr>
          <w:p w14:paraId="5CD7A64A"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5.4%</w:t>
            </w:r>
          </w:p>
        </w:tc>
        <w:tc>
          <w:tcPr>
            <w:tcW w:w="733" w:type="dxa"/>
            <w:tcBorders>
              <w:top w:val="nil"/>
              <w:left w:val="nil"/>
              <w:bottom w:val="single" w:sz="4" w:space="0" w:color="auto"/>
              <w:right w:val="single" w:sz="4" w:space="0" w:color="auto"/>
            </w:tcBorders>
            <w:shd w:val="clear" w:color="auto" w:fill="auto"/>
            <w:vAlign w:val="center"/>
            <w:hideMark/>
          </w:tcPr>
          <w:p w14:paraId="58135127"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6.4%</w:t>
            </w:r>
          </w:p>
        </w:tc>
        <w:tc>
          <w:tcPr>
            <w:tcW w:w="734" w:type="dxa"/>
            <w:tcBorders>
              <w:top w:val="nil"/>
              <w:left w:val="nil"/>
              <w:bottom w:val="single" w:sz="4" w:space="0" w:color="auto"/>
              <w:right w:val="single" w:sz="4" w:space="0" w:color="auto"/>
            </w:tcBorders>
            <w:shd w:val="clear" w:color="auto" w:fill="auto"/>
            <w:vAlign w:val="center"/>
            <w:hideMark/>
          </w:tcPr>
          <w:p w14:paraId="781D3110"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5.5%</w:t>
            </w:r>
          </w:p>
        </w:tc>
        <w:tc>
          <w:tcPr>
            <w:tcW w:w="734" w:type="dxa"/>
            <w:tcBorders>
              <w:top w:val="nil"/>
              <w:left w:val="nil"/>
              <w:bottom w:val="single" w:sz="4" w:space="0" w:color="auto"/>
              <w:right w:val="single" w:sz="4" w:space="0" w:color="auto"/>
            </w:tcBorders>
            <w:shd w:val="clear" w:color="auto" w:fill="auto"/>
            <w:vAlign w:val="center"/>
            <w:hideMark/>
          </w:tcPr>
          <w:p w14:paraId="12F0223C"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2.9%</w:t>
            </w:r>
          </w:p>
        </w:tc>
        <w:tc>
          <w:tcPr>
            <w:tcW w:w="734" w:type="dxa"/>
            <w:tcBorders>
              <w:top w:val="nil"/>
              <w:left w:val="nil"/>
              <w:bottom w:val="single" w:sz="4" w:space="0" w:color="auto"/>
              <w:right w:val="single" w:sz="4" w:space="0" w:color="auto"/>
            </w:tcBorders>
            <w:shd w:val="clear" w:color="auto" w:fill="auto"/>
            <w:vAlign w:val="center"/>
            <w:hideMark/>
          </w:tcPr>
          <w:p w14:paraId="215E0F2C"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3.5%</w:t>
            </w:r>
          </w:p>
        </w:tc>
        <w:tc>
          <w:tcPr>
            <w:tcW w:w="734" w:type="dxa"/>
            <w:tcBorders>
              <w:top w:val="nil"/>
              <w:left w:val="nil"/>
              <w:bottom w:val="single" w:sz="4" w:space="0" w:color="auto"/>
              <w:right w:val="single" w:sz="4" w:space="0" w:color="auto"/>
            </w:tcBorders>
            <w:shd w:val="clear" w:color="auto" w:fill="auto"/>
            <w:vAlign w:val="center"/>
            <w:hideMark/>
          </w:tcPr>
          <w:p w14:paraId="3078C761"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5.5%</w:t>
            </w:r>
          </w:p>
        </w:tc>
        <w:tc>
          <w:tcPr>
            <w:tcW w:w="734" w:type="dxa"/>
            <w:tcBorders>
              <w:top w:val="nil"/>
              <w:left w:val="nil"/>
              <w:bottom w:val="single" w:sz="4" w:space="0" w:color="auto"/>
              <w:right w:val="single" w:sz="4" w:space="0" w:color="auto"/>
            </w:tcBorders>
            <w:shd w:val="clear" w:color="auto" w:fill="auto"/>
            <w:vAlign w:val="center"/>
            <w:hideMark/>
          </w:tcPr>
          <w:p w14:paraId="24859727"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5.0%</w:t>
            </w:r>
          </w:p>
        </w:tc>
        <w:tc>
          <w:tcPr>
            <w:tcW w:w="734" w:type="dxa"/>
            <w:tcBorders>
              <w:top w:val="nil"/>
              <w:left w:val="nil"/>
              <w:bottom w:val="single" w:sz="4" w:space="0" w:color="auto"/>
              <w:right w:val="single" w:sz="4" w:space="0" w:color="auto"/>
            </w:tcBorders>
            <w:shd w:val="clear" w:color="auto" w:fill="auto"/>
            <w:vAlign w:val="center"/>
            <w:hideMark/>
          </w:tcPr>
          <w:p w14:paraId="34046E83"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6.2%</w:t>
            </w:r>
          </w:p>
        </w:tc>
        <w:tc>
          <w:tcPr>
            <w:tcW w:w="734" w:type="dxa"/>
            <w:tcBorders>
              <w:top w:val="nil"/>
              <w:left w:val="nil"/>
              <w:bottom w:val="single" w:sz="4" w:space="0" w:color="auto"/>
              <w:right w:val="single" w:sz="4" w:space="0" w:color="auto"/>
            </w:tcBorders>
            <w:shd w:val="clear" w:color="auto" w:fill="auto"/>
            <w:vAlign w:val="center"/>
            <w:hideMark/>
          </w:tcPr>
          <w:p w14:paraId="29106C09"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7.0%</w:t>
            </w:r>
          </w:p>
        </w:tc>
        <w:tc>
          <w:tcPr>
            <w:tcW w:w="734" w:type="dxa"/>
            <w:tcBorders>
              <w:top w:val="nil"/>
              <w:left w:val="nil"/>
              <w:bottom w:val="single" w:sz="4" w:space="0" w:color="auto"/>
              <w:right w:val="single" w:sz="4" w:space="0" w:color="auto"/>
            </w:tcBorders>
            <w:shd w:val="clear" w:color="auto" w:fill="auto"/>
            <w:vAlign w:val="center"/>
            <w:hideMark/>
          </w:tcPr>
          <w:p w14:paraId="760D63F1"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3.8%</w:t>
            </w:r>
          </w:p>
        </w:tc>
      </w:tr>
      <w:tr w:rsidR="00002D76" w:rsidRPr="008648E5" w14:paraId="6BBAAC98" w14:textId="77777777" w:rsidTr="001429C7">
        <w:trPr>
          <w:trHeight w:hRule="exact" w:val="296"/>
        </w:trPr>
        <w:tc>
          <w:tcPr>
            <w:tcW w:w="1095" w:type="dxa"/>
            <w:tcBorders>
              <w:top w:val="nil"/>
              <w:left w:val="single" w:sz="4" w:space="0" w:color="auto"/>
              <w:bottom w:val="single" w:sz="4" w:space="0" w:color="auto"/>
              <w:right w:val="single" w:sz="4" w:space="0" w:color="auto"/>
            </w:tcBorders>
            <w:shd w:val="clear" w:color="000000" w:fill="E6E7E8"/>
            <w:noWrap/>
            <w:vAlign w:val="center"/>
            <w:hideMark/>
          </w:tcPr>
          <w:p w14:paraId="3450D43A"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150000</w:t>
            </w:r>
          </w:p>
        </w:tc>
        <w:tc>
          <w:tcPr>
            <w:tcW w:w="2355" w:type="dxa"/>
            <w:tcBorders>
              <w:top w:val="nil"/>
              <w:left w:val="nil"/>
              <w:bottom w:val="single" w:sz="4" w:space="0" w:color="auto"/>
              <w:right w:val="single" w:sz="4" w:space="0" w:color="auto"/>
            </w:tcBorders>
            <w:shd w:val="clear" w:color="000000" w:fill="E6E7E8"/>
            <w:noWrap/>
            <w:vAlign w:val="center"/>
            <w:hideMark/>
          </w:tcPr>
          <w:p w14:paraId="1BEA78E2" w14:textId="77777777" w:rsidR="00002D76" w:rsidRPr="008648E5" w:rsidRDefault="00002D76" w:rsidP="001429C7">
            <w:pPr>
              <w:spacing w:after="0" w:line="240" w:lineRule="auto"/>
              <w:rPr>
                <w:rFonts w:ascii="Calibri" w:hAnsi="Calibri"/>
                <w:color w:val="231F20"/>
                <w:sz w:val="16"/>
                <w:szCs w:val="16"/>
              </w:rPr>
            </w:pPr>
            <w:r w:rsidRPr="008648E5">
              <w:rPr>
                <w:rFonts w:ascii="Calibri" w:hAnsi="Calibri"/>
                <w:color w:val="231F20"/>
                <w:sz w:val="16"/>
                <w:szCs w:val="16"/>
              </w:rPr>
              <w:t>Computer and Mathematical</w:t>
            </w:r>
          </w:p>
        </w:tc>
        <w:tc>
          <w:tcPr>
            <w:tcW w:w="702" w:type="dxa"/>
            <w:tcBorders>
              <w:top w:val="nil"/>
              <w:left w:val="nil"/>
              <w:bottom w:val="single" w:sz="4" w:space="0" w:color="auto"/>
              <w:right w:val="single" w:sz="4" w:space="0" w:color="auto"/>
            </w:tcBorders>
            <w:shd w:val="clear" w:color="000000" w:fill="E6E7E8"/>
            <w:vAlign w:val="center"/>
            <w:hideMark/>
          </w:tcPr>
          <w:p w14:paraId="0D2C3857"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2.3%</w:t>
            </w:r>
          </w:p>
        </w:tc>
        <w:tc>
          <w:tcPr>
            <w:tcW w:w="733" w:type="dxa"/>
            <w:tcBorders>
              <w:top w:val="nil"/>
              <w:left w:val="nil"/>
              <w:bottom w:val="single" w:sz="4" w:space="0" w:color="auto"/>
              <w:right w:val="single" w:sz="4" w:space="0" w:color="auto"/>
            </w:tcBorders>
            <w:shd w:val="clear" w:color="000000" w:fill="E6E7E8"/>
            <w:vAlign w:val="center"/>
            <w:hideMark/>
          </w:tcPr>
          <w:p w14:paraId="747A2AF5"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2.6%</w:t>
            </w:r>
          </w:p>
        </w:tc>
        <w:tc>
          <w:tcPr>
            <w:tcW w:w="734" w:type="dxa"/>
            <w:tcBorders>
              <w:top w:val="nil"/>
              <w:left w:val="nil"/>
              <w:bottom w:val="single" w:sz="4" w:space="0" w:color="auto"/>
              <w:right w:val="single" w:sz="4" w:space="0" w:color="auto"/>
            </w:tcBorders>
            <w:shd w:val="clear" w:color="000000" w:fill="E6E7E8"/>
            <w:vAlign w:val="center"/>
            <w:hideMark/>
          </w:tcPr>
          <w:p w14:paraId="0DCEF28A"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2.5%</w:t>
            </w:r>
          </w:p>
        </w:tc>
        <w:tc>
          <w:tcPr>
            <w:tcW w:w="734" w:type="dxa"/>
            <w:tcBorders>
              <w:top w:val="nil"/>
              <w:left w:val="nil"/>
              <w:bottom w:val="single" w:sz="4" w:space="0" w:color="auto"/>
              <w:right w:val="single" w:sz="4" w:space="0" w:color="auto"/>
            </w:tcBorders>
            <w:shd w:val="clear" w:color="000000" w:fill="E6E7E8"/>
            <w:vAlign w:val="center"/>
            <w:hideMark/>
          </w:tcPr>
          <w:p w14:paraId="573B6396"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0.6%</w:t>
            </w:r>
          </w:p>
        </w:tc>
        <w:tc>
          <w:tcPr>
            <w:tcW w:w="734" w:type="dxa"/>
            <w:tcBorders>
              <w:top w:val="nil"/>
              <w:left w:val="nil"/>
              <w:bottom w:val="single" w:sz="4" w:space="0" w:color="auto"/>
              <w:right w:val="single" w:sz="4" w:space="0" w:color="auto"/>
            </w:tcBorders>
            <w:shd w:val="clear" w:color="000000" w:fill="E6E7E8"/>
            <w:vAlign w:val="center"/>
            <w:hideMark/>
          </w:tcPr>
          <w:p w14:paraId="1C6847F6"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1.2%</w:t>
            </w:r>
          </w:p>
        </w:tc>
        <w:tc>
          <w:tcPr>
            <w:tcW w:w="734" w:type="dxa"/>
            <w:tcBorders>
              <w:top w:val="nil"/>
              <w:left w:val="nil"/>
              <w:bottom w:val="single" w:sz="4" w:space="0" w:color="auto"/>
              <w:right w:val="single" w:sz="4" w:space="0" w:color="auto"/>
            </w:tcBorders>
            <w:shd w:val="clear" w:color="000000" w:fill="E6E7E8"/>
            <w:vAlign w:val="center"/>
            <w:hideMark/>
          </w:tcPr>
          <w:p w14:paraId="679D735E"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2.5%</w:t>
            </w:r>
          </w:p>
        </w:tc>
        <w:tc>
          <w:tcPr>
            <w:tcW w:w="734" w:type="dxa"/>
            <w:tcBorders>
              <w:top w:val="nil"/>
              <w:left w:val="nil"/>
              <w:bottom w:val="single" w:sz="4" w:space="0" w:color="auto"/>
              <w:right w:val="single" w:sz="4" w:space="0" w:color="auto"/>
            </w:tcBorders>
            <w:shd w:val="clear" w:color="000000" w:fill="E6E7E8"/>
            <w:vAlign w:val="center"/>
            <w:hideMark/>
          </w:tcPr>
          <w:p w14:paraId="1E5FD689"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4.4%</w:t>
            </w:r>
          </w:p>
        </w:tc>
        <w:tc>
          <w:tcPr>
            <w:tcW w:w="734" w:type="dxa"/>
            <w:tcBorders>
              <w:top w:val="nil"/>
              <w:left w:val="nil"/>
              <w:bottom w:val="single" w:sz="4" w:space="0" w:color="auto"/>
              <w:right w:val="single" w:sz="4" w:space="0" w:color="auto"/>
            </w:tcBorders>
            <w:shd w:val="clear" w:color="000000" w:fill="E6E7E8"/>
            <w:vAlign w:val="center"/>
            <w:hideMark/>
          </w:tcPr>
          <w:p w14:paraId="5DB60322"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3.1%</w:t>
            </w:r>
          </w:p>
        </w:tc>
        <w:tc>
          <w:tcPr>
            <w:tcW w:w="734" w:type="dxa"/>
            <w:tcBorders>
              <w:top w:val="nil"/>
              <w:left w:val="nil"/>
              <w:bottom w:val="single" w:sz="4" w:space="0" w:color="auto"/>
              <w:right w:val="single" w:sz="4" w:space="0" w:color="auto"/>
            </w:tcBorders>
            <w:shd w:val="clear" w:color="000000" w:fill="E6E7E8"/>
            <w:vAlign w:val="center"/>
            <w:hideMark/>
          </w:tcPr>
          <w:p w14:paraId="2AA3267D"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3.7%</w:t>
            </w:r>
          </w:p>
        </w:tc>
        <w:tc>
          <w:tcPr>
            <w:tcW w:w="734" w:type="dxa"/>
            <w:tcBorders>
              <w:top w:val="nil"/>
              <w:left w:val="nil"/>
              <w:bottom w:val="single" w:sz="4" w:space="0" w:color="auto"/>
              <w:right w:val="single" w:sz="4" w:space="0" w:color="auto"/>
            </w:tcBorders>
            <w:shd w:val="clear" w:color="000000" w:fill="E6E7E8"/>
            <w:vAlign w:val="center"/>
            <w:hideMark/>
          </w:tcPr>
          <w:p w14:paraId="50085BE8"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1.4%</w:t>
            </w:r>
          </w:p>
        </w:tc>
      </w:tr>
      <w:tr w:rsidR="00002D76" w:rsidRPr="008648E5" w14:paraId="3379A901" w14:textId="77777777" w:rsidTr="001429C7">
        <w:trPr>
          <w:trHeight w:hRule="exact" w:val="296"/>
        </w:trPr>
        <w:tc>
          <w:tcPr>
            <w:tcW w:w="1095" w:type="dxa"/>
            <w:tcBorders>
              <w:top w:val="nil"/>
              <w:left w:val="single" w:sz="4" w:space="0" w:color="auto"/>
              <w:bottom w:val="single" w:sz="4" w:space="0" w:color="auto"/>
              <w:right w:val="single" w:sz="4" w:space="0" w:color="auto"/>
            </w:tcBorders>
            <w:shd w:val="clear" w:color="auto" w:fill="auto"/>
            <w:noWrap/>
            <w:vAlign w:val="center"/>
            <w:hideMark/>
          </w:tcPr>
          <w:p w14:paraId="737C30D6"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170000</w:t>
            </w:r>
          </w:p>
        </w:tc>
        <w:tc>
          <w:tcPr>
            <w:tcW w:w="2355" w:type="dxa"/>
            <w:tcBorders>
              <w:top w:val="nil"/>
              <w:left w:val="nil"/>
              <w:bottom w:val="single" w:sz="4" w:space="0" w:color="auto"/>
              <w:right w:val="single" w:sz="4" w:space="0" w:color="auto"/>
            </w:tcBorders>
            <w:shd w:val="clear" w:color="auto" w:fill="auto"/>
            <w:noWrap/>
            <w:vAlign w:val="center"/>
            <w:hideMark/>
          </w:tcPr>
          <w:p w14:paraId="7E6A780D" w14:textId="77777777" w:rsidR="00002D76" w:rsidRPr="008648E5" w:rsidRDefault="00002D76" w:rsidP="001429C7">
            <w:pPr>
              <w:spacing w:after="0" w:line="240" w:lineRule="auto"/>
              <w:rPr>
                <w:rFonts w:ascii="Calibri" w:hAnsi="Calibri"/>
                <w:color w:val="231F20"/>
                <w:sz w:val="16"/>
                <w:szCs w:val="16"/>
              </w:rPr>
            </w:pPr>
            <w:r w:rsidRPr="008648E5">
              <w:rPr>
                <w:rFonts w:ascii="Calibri" w:hAnsi="Calibri"/>
                <w:color w:val="231F20"/>
                <w:sz w:val="16"/>
                <w:szCs w:val="16"/>
              </w:rPr>
              <w:t>Architecture and Engineering</w:t>
            </w:r>
          </w:p>
        </w:tc>
        <w:tc>
          <w:tcPr>
            <w:tcW w:w="702" w:type="dxa"/>
            <w:tcBorders>
              <w:top w:val="nil"/>
              <w:left w:val="nil"/>
              <w:bottom w:val="single" w:sz="4" w:space="0" w:color="auto"/>
              <w:right w:val="single" w:sz="4" w:space="0" w:color="auto"/>
            </w:tcBorders>
            <w:shd w:val="clear" w:color="auto" w:fill="auto"/>
            <w:vAlign w:val="center"/>
            <w:hideMark/>
          </w:tcPr>
          <w:p w14:paraId="558C83BB"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1.2%</w:t>
            </w:r>
          </w:p>
        </w:tc>
        <w:tc>
          <w:tcPr>
            <w:tcW w:w="733" w:type="dxa"/>
            <w:tcBorders>
              <w:top w:val="nil"/>
              <w:left w:val="nil"/>
              <w:bottom w:val="single" w:sz="4" w:space="0" w:color="auto"/>
              <w:right w:val="single" w:sz="4" w:space="0" w:color="auto"/>
            </w:tcBorders>
            <w:shd w:val="clear" w:color="auto" w:fill="auto"/>
            <w:vAlign w:val="center"/>
            <w:hideMark/>
          </w:tcPr>
          <w:p w14:paraId="0AA68443"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1.4%</w:t>
            </w:r>
          </w:p>
        </w:tc>
        <w:tc>
          <w:tcPr>
            <w:tcW w:w="734" w:type="dxa"/>
            <w:tcBorders>
              <w:top w:val="nil"/>
              <w:left w:val="nil"/>
              <w:bottom w:val="single" w:sz="4" w:space="0" w:color="auto"/>
              <w:right w:val="single" w:sz="4" w:space="0" w:color="auto"/>
            </w:tcBorders>
            <w:shd w:val="clear" w:color="auto" w:fill="auto"/>
            <w:vAlign w:val="center"/>
            <w:hideMark/>
          </w:tcPr>
          <w:p w14:paraId="312CC453"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1.1%</w:t>
            </w:r>
          </w:p>
        </w:tc>
        <w:tc>
          <w:tcPr>
            <w:tcW w:w="734" w:type="dxa"/>
            <w:tcBorders>
              <w:top w:val="nil"/>
              <w:left w:val="nil"/>
              <w:bottom w:val="single" w:sz="4" w:space="0" w:color="auto"/>
              <w:right w:val="single" w:sz="4" w:space="0" w:color="auto"/>
            </w:tcBorders>
            <w:shd w:val="clear" w:color="auto" w:fill="auto"/>
            <w:vAlign w:val="center"/>
            <w:hideMark/>
          </w:tcPr>
          <w:p w14:paraId="1D7470A8"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0.9%</w:t>
            </w:r>
          </w:p>
        </w:tc>
        <w:tc>
          <w:tcPr>
            <w:tcW w:w="734" w:type="dxa"/>
            <w:tcBorders>
              <w:top w:val="nil"/>
              <w:left w:val="nil"/>
              <w:bottom w:val="single" w:sz="4" w:space="0" w:color="auto"/>
              <w:right w:val="single" w:sz="4" w:space="0" w:color="auto"/>
            </w:tcBorders>
            <w:shd w:val="clear" w:color="auto" w:fill="auto"/>
            <w:vAlign w:val="center"/>
            <w:hideMark/>
          </w:tcPr>
          <w:p w14:paraId="1712A1F8"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1.0%</w:t>
            </w:r>
          </w:p>
        </w:tc>
        <w:tc>
          <w:tcPr>
            <w:tcW w:w="734" w:type="dxa"/>
            <w:tcBorders>
              <w:top w:val="nil"/>
              <w:left w:val="nil"/>
              <w:bottom w:val="single" w:sz="4" w:space="0" w:color="auto"/>
              <w:right w:val="single" w:sz="4" w:space="0" w:color="auto"/>
            </w:tcBorders>
            <w:shd w:val="clear" w:color="auto" w:fill="auto"/>
            <w:vAlign w:val="center"/>
            <w:hideMark/>
          </w:tcPr>
          <w:p w14:paraId="40DC5EC4"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1.2%</w:t>
            </w:r>
          </w:p>
        </w:tc>
        <w:tc>
          <w:tcPr>
            <w:tcW w:w="734" w:type="dxa"/>
            <w:tcBorders>
              <w:top w:val="nil"/>
              <w:left w:val="nil"/>
              <w:bottom w:val="single" w:sz="4" w:space="0" w:color="auto"/>
              <w:right w:val="single" w:sz="4" w:space="0" w:color="auto"/>
            </w:tcBorders>
            <w:shd w:val="clear" w:color="auto" w:fill="auto"/>
            <w:vAlign w:val="center"/>
            <w:hideMark/>
          </w:tcPr>
          <w:p w14:paraId="612C5D78"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3.9%</w:t>
            </w:r>
          </w:p>
        </w:tc>
        <w:tc>
          <w:tcPr>
            <w:tcW w:w="734" w:type="dxa"/>
            <w:tcBorders>
              <w:top w:val="nil"/>
              <w:left w:val="nil"/>
              <w:bottom w:val="single" w:sz="4" w:space="0" w:color="auto"/>
              <w:right w:val="single" w:sz="4" w:space="0" w:color="auto"/>
            </w:tcBorders>
            <w:shd w:val="clear" w:color="auto" w:fill="auto"/>
            <w:vAlign w:val="center"/>
            <w:hideMark/>
          </w:tcPr>
          <w:p w14:paraId="7E0A9D61"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1.3%</w:t>
            </w:r>
          </w:p>
        </w:tc>
        <w:tc>
          <w:tcPr>
            <w:tcW w:w="734" w:type="dxa"/>
            <w:tcBorders>
              <w:top w:val="nil"/>
              <w:left w:val="nil"/>
              <w:bottom w:val="single" w:sz="4" w:space="0" w:color="auto"/>
              <w:right w:val="single" w:sz="4" w:space="0" w:color="auto"/>
            </w:tcBorders>
            <w:shd w:val="clear" w:color="auto" w:fill="auto"/>
            <w:vAlign w:val="center"/>
            <w:hideMark/>
          </w:tcPr>
          <w:p w14:paraId="78449BCE"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1.4%</w:t>
            </w:r>
          </w:p>
        </w:tc>
        <w:tc>
          <w:tcPr>
            <w:tcW w:w="734" w:type="dxa"/>
            <w:tcBorders>
              <w:top w:val="nil"/>
              <w:left w:val="nil"/>
              <w:bottom w:val="single" w:sz="4" w:space="0" w:color="auto"/>
              <w:right w:val="single" w:sz="4" w:space="0" w:color="auto"/>
            </w:tcBorders>
            <w:shd w:val="clear" w:color="auto" w:fill="auto"/>
            <w:vAlign w:val="center"/>
            <w:hideMark/>
          </w:tcPr>
          <w:p w14:paraId="7B1A1A8E"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0.8%</w:t>
            </w:r>
          </w:p>
        </w:tc>
      </w:tr>
      <w:tr w:rsidR="00002D76" w:rsidRPr="008648E5" w14:paraId="52E79737" w14:textId="77777777" w:rsidTr="001429C7">
        <w:trPr>
          <w:trHeight w:hRule="exact" w:val="296"/>
        </w:trPr>
        <w:tc>
          <w:tcPr>
            <w:tcW w:w="1095" w:type="dxa"/>
            <w:tcBorders>
              <w:top w:val="nil"/>
              <w:left w:val="single" w:sz="4" w:space="0" w:color="auto"/>
              <w:bottom w:val="single" w:sz="4" w:space="0" w:color="auto"/>
              <w:right w:val="single" w:sz="4" w:space="0" w:color="auto"/>
            </w:tcBorders>
            <w:shd w:val="clear" w:color="000000" w:fill="E6E7E8"/>
            <w:noWrap/>
            <w:vAlign w:val="center"/>
            <w:hideMark/>
          </w:tcPr>
          <w:p w14:paraId="5D556919"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190000</w:t>
            </w:r>
          </w:p>
        </w:tc>
        <w:tc>
          <w:tcPr>
            <w:tcW w:w="2355" w:type="dxa"/>
            <w:tcBorders>
              <w:top w:val="nil"/>
              <w:left w:val="nil"/>
              <w:bottom w:val="single" w:sz="4" w:space="0" w:color="auto"/>
              <w:right w:val="single" w:sz="4" w:space="0" w:color="auto"/>
            </w:tcBorders>
            <w:shd w:val="clear" w:color="000000" w:fill="E6E7E8"/>
            <w:noWrap/>
            <w:vAlign w:val="center"/>
            <w:hideMark/>
          </w:tcPr>
          <w:p w14:paraId="30ADC6D7" w14:textId="0FFCF9F9" w:rsidR="00002D76" w:rsidRPr="008648E5" w:rsidRDefault="00002D76" w:rsidP="001429C7">
            <w:pPr>
              <w:spacing w:after="0" w:line="240" w:lineRule="auto"/>
              <w:rPr>
                <w:rFonts w:ascii="Calibri" w:hAnsi="Calibri"/>
                <w:color w:val="231F20"/>
                <w:sz w:val="16"/>
                <w:szCs w:val="16"/>
              </w:rPr>
            </w:pPr>
            <w:r w:rsidRPr="008648E5">
              <w:rPr>
                <w:rFonts w:ascii="Calibri" w:hAnsi="Calibri"/>
                <w:color w:val="231F20"/>
                <w:sz w:val="16"/>
                <w:szCs w:val="16"/>
              </w:rPr>
              <w:t>Life, Physical</w:t>
            </w:r>
            <w:r w:rsidR="00D5537E">
              <w:rPr>
                <w:rFonts w:ascii="Calibri" w:hAnsi="Calibri"/>
                <w:color w:val="231F20"/>
                <w:sz w:val="16"/>
                <w:szCs w:val="16"/>
              </w:rPr>
              <w:t xml:space="preserve"> and</w:t>
            </w:r>
            <w:r w:rsidRPr="008648E5">
              <w:rPr>
                <w:rFonts w:ascii="Calibri" w:hAnsi="Calibri"/>
                <w:color w:val="231F20"/>
                <w:sz w:val="16"/>
                <w:szCs w:val="16"/>
              </w:rPr>
              <w:t xml:space="preserve"> Social Science</w:t>
            </w:r>
          </w:p>
        </w:tc>
        <w:tc>
          <w:tcPr>
            <w:tcW w:w="702" w:type="dxa"/>
            <w:tcBorders>
              <w:top w:val="nil"/>
              <w:left w:val="nil"/>
              <w:bottom w:val="single" w:sz="4" w:space="0" w:color="auto"/>
              <w:right w:val="single" w:sz="4" w:space="0" w:color="auto"/>
            </w:tcBorders>
            <w:shd w:val="clear" w:color="000000" w:fill="E6E7E8"/>
            <w:vAlign w:val="center"/>
            <w:hideMark/>
          </w:tcPr>
          <w:p w14:paraId="15B1E905"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0.5%</w:t>
            </w:r>
          </w:p>
        </w:tc>
        <w:tc>
          <w:tcPr>
            <w:tcW w:w="733" w:type="dxa"/>
            <w:tcBorders>
              <w:top w:val="nil"/>
              <w:left w:val="nil"/>
              <w:bottom w:val="single" w:sz="4" w:space="0" w:color="auto"/>
              <w:right w:val="single" w:sz="4" w:space="0" w:color="auto"/>
            </w:tcBorders>
            <w:shd w:val="clear" w:color="000000" w:fill="E6E7E8"/>
            <w:vAlign w:val="center"/>
            <w:hideMark/>
          </w:tcPr>
          <w:p w14:paraId="65452028"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0.4%</w:t>
            </w:r>
          </w:p>
        </w:tc>
        <w:tc>
          <w:tcPr>
            <w:tcW w:w="734" w:type="dxa"/>
            <w:tcBorders>
              <w:top w:val="nil"/>
              <w:left w:val="nil"/>
              <w:bottom w:val="single" w:sz="4" w:space="0" w:color="auto"/>
              <w:right w:val="single" w:sz="4" w:space="0" w:color="auto"/>
            </w:tcBorders>
            <w:shd w:val="clear" w:color="000000" w:fill="E6E7E8"/>
            <w:vAlign w:val="center"/>
            <w:hideMark/>
          </w:tcPr>
          <w:p w14:paraId="27EF9957"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1.2%</w:t>
            </w:r>
          </w:p>
        </w:tc>
        <w:tc>
          <w:tcPr>
            <w:tcW w:w="734" w:type="dxa"/>
            <w:tcBorders>
              <w:top w:val="nil"/>
              <w:left w:val="nil"/>
              <w:bottom w:val="single" w:sz="4" w:space="0" w:color="auto"/>
              <w:right w:val="single" w:sz="4" w:space="0" w:color="auto"/>
            </w:tcBorders>
            <w:shd w:val="clear" w:color="000000" w:fill="E6E7E8"/>
            <w:vAlign w:val="center"/>
            <w:hideMark/>
          </w:tcPr>
          <w:p w14:paraId="2DDA6D48"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0.3%</w:t>
            </w:r>
          </w:p>
        </w:tc>
        <w:tc>
          <w:tcPr>
            <w:tcW w:w="734" w:type="dxa"/>
            <w:tcBorders>
              <w:top w:val="nil"/>
              <w:left w:val="nil"/>
              <w:bottom w:val="single" w:sz="4" w:space="0" w:color="auto"/>
              <w:right w:val="single" w:sz="4" w:space="0" w:color="auto"/>
            </w:tcBorders>
            <w:shd w:val="clear" w:color="000000" w:fill="E6E7E8"/>
            <w:vAlign w:val="center"/>
            <w:hideMark/>
          </w:tcPr>
          <w:p w14:paraId="2F9F325B"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0.3%</w:t>
            </w:r>
          </w:p>
        </w:tc>
        <w:tc>
          <w:tcPr>
            <w:tcW w:w="734" w:type="dxa"/>
            <w:tcBorders>
              <w:top w:val="nil"/>
              <w:left w:val="nil"/>
              <w:bottom w:val="single" w:sz="4" w:space="0" w:color="auto"/>
              <w:right w:val="single" w:sz="4" w:space="0" w:color="auto"/>
            </w:tcBorders>
            <w:shd w:val="clear" w:color="000000" w:fill="E6E7E8"/>
            <w:vAlign w:val="center"/>
            <w:hideMark/>
          </w:tcPr>
          <w:p w14:paraId="095BA6AD"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0.4%</w:t>
            </w:r>
          </w:p>
        </w:tc>
        <w:tc>
          <w:tcPr>
            <w:tcW w:w="734" w:type="dxa"/>
            <w:tcBorders>
              <w:top w:val="nil"/>
              <w:left w:val="nil"/>
              <w:bottom w:val="single" w:sz="4" w:space="0" w:color="auto"/>
              <w:right w:val="single" w:sz="4" w:space="0" w:color="auto"/>
            </w:tcBorders>
            <w:shd w:val="clear" w:color="000000" w:fill="E6E7E8"/>
            <w:vAlign w:val="center"/>
            <w:hideMark/>
          </w:tcPr>
          <w:p w14:paraId="1C15F79E"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0.4%</w:t>
            </w:r>
          </w:p>
        </w:tc>
        <w:tc>
          <w:tcPr>
            <w:tcW w:w="734" w:type="dxa"/>
            <w:tcBorders>
              <w:top w:val="nil"/>
              <w:left w:val="nil"/>
              <w:bottom w:val="single" w:sz="4" w:space="0" w:color="auto"/>
              <w:right w:val="single" w:sz="4" w:space="0" w:color="auto"/>
            </w:tcBorders>
            <w:shd w:val="clear" w:color="000000" w:fill="E6E7E8"/>
            <w:vAlign w:val="center"/>
            <w:hideMark/>
          </w:tcPr>
          <w:p w14:paraId="11C927CA"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0.5%</w:t>
            </w:r>
          </w:p>
        </w:tc>
        <w:tc>
          <w:tcPr>
            <w:tcW w:w="734" w:type="dxa"/>
            <w:tcBorders>
              <w:top w:val="nil"/>
              <w:left w:val="nil"/>
              <w:bottom w:val="single" w:sz="4" w:space="0" w:color="auto"/>
              <w:right w:val="single" w:sz="4" w:space="0" w:color="auto"/>
            </w:tcBorders>
            <w:shd w:val="clear" w:color="000000" w:fill="E6E7E8"/>
            <w:vAlign w:val="center"/>
            <w:hideMark/>
          </w:tcPr>
          <w:p w14:paraId="6D083D7B"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0.6%</w:t>
            </w:r>
          </w:p>
        </w:tc>
        <w:tc>
          <w:tcPr>
            <w:tcW w:w="734" w:type="dxa"/>
            <w:tcBorders>
              <w:top w:val="nil"/>
              <w:left w:val="nil"/>
              <w:bottom w:val="single" w:sz="4" w:space="0" w:color="auto"/>
              <w:right w:val="single" w:sz="4" w:space="0" w:color="auto"/>
            </w:tcBorders>
            <w:shd w:val="clear" w:color="000000" w:fill="E6E7E8"/>
            <w:vAlign w:val="center"/>
            <w:hideMark/>
          </w:tcPr>
          <w:p w14:paraId="702B945D"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0.5%</w:t>
            </w:r>
          </w:p>
        </w:tc>
      </w:tr>
      <w:tr w:rsidR="00002D76" w:rsidRPr="008648E5" w14:paraId="76DFF964" w14:textId="77777777" w:rsidTr="001429C7">
        <w:trPr>
          <w:trHeight w:hRule="exact" w:val="296"/>
        </w:trPr>
        <w:tc>
          <w:tcPr>
            <w:tcW w:w="1095" w:type="dxa"/>
            <w:tcBorders>
              <w:top w:val="nil"/>
              <w:left w:val="single" w:sz="4" w:space="0" w:color="auto"/>
              <w:bottom w:val="single" w:sz="4" w:space="0" w:color="auto"/>
              <w:right w:val="single" w:sz="4" w:space="0" w:color="auto"/>
            </w:tcBorders>
            <w:shd w:val="clear" w:color="auto" w:fill="auto"/>
            <w:noWrap/>
            <w:vAlign w:val="center"/>
            <w:hideMark/>
          </w:tcPr>
          <w:p w14:paraId="19A0F452"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210000</w:t>
            </w:r>
          </w:p>
        </w:tc>
        <w:tc>
          <w:tcPr>
            <w:tcW w:w="2355" w:type="dxa"/>
            <w:tcBorders>
              <w:top w:val="nil"/>
              <w:left w:val="nil"/>
              <w:bottom w:val="single" w:sz="4" w:space="0" w:color="auto"/>
              <w:right w:val="single" w:sz="4" w:space="0" w:color="auto"/>
            </w:tcBorders>
            <w:shd w:val="clear" w:color="auto" w:fill="auto"/>
            <w:noWrap/>
            <w:vAlign w:val="center"/>
            <w:hideMark/>
          </w:tcPr>
          <w:p w14:paraId="4EC9B160" w14:textId="77777777" w:rsidR="00002D76" w:rsidRPr="008648E5" w:rsidRDefault="00002D76" w:rsidP="001429C7">
            <w:pPr>
              <w:spacing w:after="0" w:line="240" w:lineRule="auto"/>
              <w:rPr>
                <w:rFonts w:ascii="Calibri" w:hAnsi="Calibri"/>
                <w:color w:val="231F20"/>
                <w:sz w:val="16"/>
                <w:szCs w:val="16"/>
              </w:rPr>
            </w:pPr>
            <w:r w:rsidRPr="008648E5">
              <w:rPr>
                <w:rFonts w:ascii="Calibri" w:hAnsi="Calibri"/>
                <w:color w:val="231F20"/>
                <w:sz w:val="16"/>
                <w:szCs w:val="16"/>
              </w:rPr>
              <w:t>Community and Social Service</w:t>
            </w:r>
          </w:p>
        </w:tc>
        <w:tc>
          <w:tcPr>
            <w:tcW w:w="702" w:type="dxa"/>
            <w:tcBorders>
              <w:top w:val="nil"/>
              <w:left w:val="nil"/>
              <w:bottom w:val="single" w:sz="4" w:space="0" w:color="auto"/>
              <w:right w:val="single" w:sz="4" w:space="0" w:color="auto"/>
            </w:tcBorders>
            <w:shd w:val="clear" w:color="auto" w:fill="auto"/>
            <w:vAlign w:val="center"/>
            <w:hideMark/>
          </w:tcPr>
          <w:p w14:paraId="2AA68392"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1.2%</w:t>
            </w:r>
          </w:p>
        </w:tc>
        <w:tc>
          <w:tcPr>
            <w:tcW w:w="733" w:type="dxa"/>
            <w:tcBorders>
              <w:top w:val="nil"/>
              <w:left w:val="nil"/>
              <w:bottom w:val="single" w:sz="4" w:space="0" w:color="auto"/>
              <w:right w:val="single" w:sz="4" w:space="0" w:color="auto"/>
            </w:tcBorders>
            <w:shd w:val="clear" w:color="auto" w:fill="auto"/>
            <w:vAlign w:val="center"/>
            <w:hideMark/>
          </w:tcPr>
          <w:p w14:paraId="51124DC2"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1.2%</w:t>
            </w:r>
          </w:p>
        </w:tc>
        <w:tc>
          <w:tcPr>
            <w:tcW w:w="734" w:type="dxa"/>
            <w:tcBorders>
              <w:top w:val="nil"/>
              <w:left w:val="nil"/>
              <w:bottom w:val="single" w:sz="4" w:space="0" w:color="auto"/>
              <w:right w:val="single" w:sz="4" w:space="0" w:color="auto"/>
            </w:tcBorders>
            <w:shd w:val="clear" w:color="auto" w:fill="auto"/>
            <w:vAlign w:val="center"/>
            <w:hideMark/>
          </w:tcPr>
          <w:p w14:paraId="463DDD86"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1.9%</w:t>
            </w:r>
          </w:p>
        </w:tc>
        <w:tc>
          <w:tcPr>
            <w:tcW w:w="734" w:type="dxa"/>
            <w:tcBorders>
              <w:top w:val="nil"/>
              <w:left w:val="nil"/>
              <w:bottom w:val="single" w:sz="4" w:space="0" w:color="auto"/>
              <w:right w:val="single" w:sz="4" w:space="0" w:color="auto"/>
            </w:tcBorders>
            <w:shd w:val="clear" w:color="auto" w:fill="auto"/>
            <w:vAlign w:val="center"/>
            <w:hideMark/>
          </w:tcPr>
          <w:p w14:paraId="4E68338C"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1.3%</w:t>
            </w:r>
          </w:p>
        </w:tc>
        <w:tc>
          <w:tcPr>
            <w:tcW w:w="734" w:type="dxa"/>
            <w:tcBorders>
              <w:top w:val="nil"/>
              <w:left w:val="nil"/>
              <w:bottom w:val="single" w:sz="4" w:space="0" w:color="auto"/>
              <w:right w:val="single" w:sz="4" w:space="0" w:color="auto"/>
            </w:tcBorders>
            <w:shd w:val="clear" w:color="auto" w:fill="auto"/>
            <w:vAlign w:val="center"/>
            <w:hideMark/>
          </w:tcPr>
          <w:p w14:paraId="0E8E61D9"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1.4%</w:t>
            </w:r>
          </w:p>
        </w:tc>
        <w:tc>
          <w:tcPr>
            <w:tcW w:w="734" w:type="dxa"/>
            <w:tcBorders>
              <w:top w:val="nil"/>
              <w:left w:val="nil"/>
              <w:bottom w:val="single" w:sz="4" w:space="0" w:color="auto"/>
              <w:right w:val="single" w:sz="4" w:space="0" w:color="auto"/>
            </w:tcBorders>
            <w:shd w:val="clear" w:color="auto" w:fill="auto"/>
            <w:vAlign w:val="center"/>
            <w:hideMark/>
          </w:tcPr>
          <w:p w14:paraId="074C6919"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1.0%</w:t>
            </w:r>
          </w:p>
        </w:tc>
        <w:tc>
          <w:tcPr>
            <w:tcW w:w="734" w:type="dxa"/>
            <w:tcBorders>
              <w:top w:val="nil"/>
              <w:left w:val="nil"/>
              <w:bottom w:val="single" w:sz="4" w:space="0" w:color="auto"/>
              <w:right w:val="single" w:sz="4" w:space="0" w:color="auto"/>
            </w:tcBorders>
            <w:shd w:val="clear" w:color="auto" w:fill="auto"/>
            <w:vAlign w:val="center"/>
            <w:hideMark/>
          </w:tcPr>
          <w:p w14:paraId="19689E74"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1.2%</w:t>
            </w:r>
          </w:p>
        </w:tc>
        <w:tc>
          <w:tcPr>
            <w:tcW w:w="734" w:type="dxa"/>
            <w:tcBorders>
              <w:top w:val="nil"/>
              <w:left w:val="nil"/>
              <w:bottom w:val="single" w:sz="4" w:space="0" w:color="auto"/>
              <w:right w:val="single" w:sz="4" w:space="0" w:color="auto"/>
            </w:tcBorders>
            <w:shd w:val="clear" w:color="auto" w:fill="auto"/>
            <w:vAlign w:val="center"/>
            <w:hideMark/>
          </w:tcPr>
          <w:p w14:paraId="5D938EB9"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1.4%</w:t>
            </w:r>
          </w:p>
        </w:tc>
        <w:tc>
          <w:tcPr>
            <w:tcW w:w="734" w:type="dxa"/>
            <w:tcBorders>
              <w:top w:val="nil"/>
              <w:left w:val="nil"/>
              <w:bottom w:val="single" w:sz="4" w:space="0" w:color="auto"/>
              <w:right w:val="single" w:sz="4" w:space="0" w:color="auto"/>
            </w:tcBorders>
            <w:shd w:val="clear" w:color="auto" w:fill="auto"/>
            <w:vAlign w:val="center"/>
            <w:hideMark/>
          </w:tcPr>
          <w:p w14:paraId="00D72D19"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1.1%</w:t>
            </w:r>
          </w:p>
        </w:tc>
        <w:tc>
          <w:tcPr>
            <w:tcW w:w="734" w:type="dxa"/>
            <w:tcBorders>
              <w:top w:val="nil"/>
              <w:left w:val="nil"/>
              <w:bottom w:val="single" w:sz="4" w:space="0" w:color="auto"/>
              <w:right w:val="single" w:sz="4" w:space="0" w:color="auto"/>
            </w:tcBorders>
            <w:shd w:val="clear" w:color="auto" w:fill="auto"/>
            <w:vAlign w:val="center"/>
            <w:hideMark/>
          </w:tcPr>
          <w:p w14:paraId="59E9BC0C"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1.7%</w:t>
            </w:r>
          </w:p>
        </w:tc>
      </w:tr>
      <w:tr w:rsidR="00002D76" w:rsidRPr="008648E5" w14:paraId="4B573BC1" w14:textId="77777777" w:rsidTr="001429C7">
        <w:trPr>
          <w:trHeight w:hRule="exact" w:val="296"/>
        </w:trPr>
        <w:tc>
          <w:tcPr>
            <w:tcW w:w="1095" w:type="dxa"/>
            <w:tcBorders>
              <w:top w:val="nil"/>
              <w:left w:val="single" w:sz="4" w:space="0" w:color="auto"/>
              <w:bottom w:val="single" w:sz="4" w:space="0" w:color="auto"/>
              <w:right w:val="single" w:sz="4" w:space="0" w:color="auto"/>
            </w:tcBorders>
            <w:shd w:val="clear" w:color="000000" w:fill="E6E7E8"/>
            <w:noWrap/>
            <w:vAlign w:val="center"/>
            <w:hideMark/>
          </w:tcPr>
          <w:p w14:paraId="096F5F40"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230000</w:t>
            </w:r>
          </w:p>
        </w:tc>
        <w:tc>
          <w:tcPr>
            <w:tcW w:w="2355" w:type="dxa"/>
            <w:tcBorders>
              <w:top w:val="nil"/>
              <w:left w:val="nil"/>
              <w:bottom w:val="single" w:sz="4" w:space="0" w:color="auto"/>
              <w:right w:val="single" w:sz="4" w:space="0" w:color="auto"/>
            </w:tcBorders>
            <w:shd w:val="clear" w:color="000000" w:fill="E6E7E8"/>
            <w:noWrap/>
            <w:vAlign w:val="center"/>
            <w:hideMark/>
          </w:tcPr>
          <w:p w14:paraId="10A5DFB6" w14:textId="77777777" w:rsidR="00002D76" w:rsidRPr="008648E5" w:rsidRDefault="00002D76" w:rsidP="001429C7">
            <w:pPr>
              <w:spacing w:after="0" w:line="240" w:lineRule="auto"/>
              <w:rPr>
                <w:rFonts w:ascii="Calibri" w:hAnsi="Calibri"/>
                <w:color w:val="231F20"/>
                <w:sz w:val="16"/>
                <w:szCs w:val="16"/>
              </w:rPr>
            </w:pPr>
            <w:r w:rsidRPr="008648E5">
              <w:rPr>
                <w:rFonts w:ascii="Calibri" w:hAnsi="Calibri"/>
                <w:color w:val="231F20"/>
                <w:sz w:val="16"/>
                <w:szCs w:val="16"/>
              </w:rPr>
              <w:t>Legal</w:t>
            </w:r>
          </w:p>
        </w:tc>
        <w:tc>
          <w:tcPr>
            <w:tcW w:w="702" w:type="dxa"/>
            <w:tcBorders>
              <w:top w:val="nil"/>
              <w:left w:val="nil"/>
              <w:bottom w:val="single" w:sz="4" w:space="0" w:color="auto"/>
              <w:right w:val="single" w:sz="4" w:space="0" w:color="auto"/>
            </w:tcBorders>
            <w:shd w:val="clear" w:color="000000" w:fill="E6E7E8"/>
            <w:vAlign w:val="center"/>
            <w:hideMark/>
          </w:tcPr>
          <w:p w14:paraId="46840B34"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1.1%</w:t>
            </w:r>
          </w:p>
        </w:tc>
        <w:tc>
          <w:tcPr>
            <w:tcW w:w="733" w:type="dxa"/>
            <w:tcBorders>
              <w:top w:val="nil"/>
              <w:left w:val="nil"/>
              <w:bottom w:val="single" w:sz="4" w:space="0" w:color="auto"/>
              <w:right w:val="single" w:sz="4" w:space="0" w:color="auto"/>
            </w:tcBorders>
            <w:shd w:val="clear" w:color="000000" w:fill="E6E7E8"/>
            <w:vAlign w:val="center"/>
            <w:hideMark/>
          </w:tcPr>
          <w:p w14:paraId="52AEABAC"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0.8%</w:t>
            </w:r>
          </w:p>
        </w:tc>
        <w:tc>
          <w:tcPr>
            <w:tcW w:w="734" w:type="dxa"/>
            <w:tcBorders>
              <w:top w:val="nil"/>
              <w:left w:val="nil"/>
              <w:bottom w:val="single" w:sz="4" w:space="0" w:color="auto"/>
              <w:right w:val="single" w:sz="4" w:space="0" w:color="auto"/>
            </w:tcBorders>
            <w:shd w:val="clear" w:color="000000" w:fill="E6E7E8"/>
            <w:vAlign w:val="center"/>
            <w:hideMark/>
          </w:tcPr>
          <w:p w14:paraId="11FCC0E6"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0.8%</w:t>
            </w:r>
          </w:p>
        </w:tc>
        <w:tc>
          <w:tcPr>
            <w:tcW w:w="734" w:type="dxa"/>
            <w:tcBorders>
              <w:top w:val="nil"/>
              <w:left w:val="nil"/>
              <w:bottom w:val="single" w:sz="4" w:space="0" w:color="auto"/>
              <w:right w:val="single" w:sz="4" w:space="0" w:color="auto"/>
            </w:tcBorders>
            <w:shd w:val="clear" w:color="000000" w:fill="E6E7E8"/>
            <w:vAlign w:val="center"/>
            <w:hideMark/>
          </w:tcPr>
          <w:p w14:paraId="2881021C"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0.5%</w:t>
            </w:r>
          </w:p>
        </w:tc>
        <w:tc>
          <w:tcPr>
            <w:tcW w:w="734" w:type="dxa"/>
            <w:tcBorders>
              <w:top w:val="nil"/>
              <w:left w:val="nil"/>
              <w:bottom w:val="single" w:sz="4" w:space="0" w:color="auto"/>
              <w:right w:val="single" w:sz="4" w:space="0" w:color="auto"/>
            </w:tcBorders>
            <w:shd w:val="clear" w:color="000000" w:fill="E6E7E8"/>
            <w:vAlign w:val="center"/>
            <w:hideMark/>
          </w:tcPr>
          <w:p w14:paraId="783ABBBE"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0.8%</w:t>
            </w:r>
          </w:p>
        </w:tc>
        <w:tc>
          <w:tcPr>
            <w:tcW w:w="734" w:type="dxa"/>
            <w:tcBorders>
              <w:top w:val="nil"/>
              <w:left w:val="nil"/>
              <w:bottom w:val="single" w:sz="4" w:space="0" w:color="auto"/>
              <w:right w:val="single" w:sz="4" w:space="0" w:color="auto"/>
            </w:tcBorders>
            <w:shd w:val="clear" w:color="000000" w:fill="E6E7E8"/>
            <w:vAlign w:val="center"/>
            <w:hideMark/>
          </w:tcPr>
          <w:p w14:paraId="0041647C"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0.9%</w:t>
            </w:r>
          </w:p>
        </w:tc>
        <w:tc>
          <w:tcPr>
            <w:tcW w:w="734" w:type="dxa"/>
            <w:tcBorders>
              <w:top w:val="nil"/>
              <w:left w:val="nil"/>
              <w:bottom w:val="single" w:sz="4" w:space="0" w:color="auto"/>
              <w:right w:val="single" w:sz="4" w:space="0" w:color="auto"/>
            </w:tcBorders>
            <w:shd w:val="clear" w:color="000000" w:fill="E6E7E8"/>
            <w:vAlign w:val="center"/>
            <w:hideMark/>
          </w:tcPr>
          <w:p w14:paraId="67B89148"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0.5%</w:t>
            </w:r>
          </w:p>
        </w:tc>
        <w:tc>
          <w:tcPr>
            <w:tcW w:w="734" w:type="dxa"/>
            <w:tcBorders>
              <w:top w:val="nil"/>
              <w:left w:val="nil"/>
              <w:bottom w:val="single" w:sz="4" w:space="0" w:color="auto"/>
              <w:right w:val="single" w:sz="4" w:space="0" w:color="auto"/>
            </w:tcBorders>
            <w:shd w:val="clear" w:color="000000" w:fill="E6E7E8"/>
            <w:vAlign w:val="center"/>
            <w:hideMark/>
          </w:tcPr>
          <w:p w14:paraId="2EAA65C1"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1.1%</w:t>
            </w:r>
          </w:p>
        </w:tc>
        <w:tc>
          <w:tcPr>
            <w:tcW w:w="734" w:type="dxa"/>
            <w:tcBorders>
              <w:top w:val="nil"/>
              <w:left w:val="nil"/>
              <w:bottom w:val="single" w:sz="4" w:space="0" w:color="auto"/>
              <w:right w:val="single" w:sz="4" w:space="0" w:color="auto"/>
            </w:tcBorders>
            <w:shd w:val="clear" w:color="000000" w:fill="E6E7E8"/>
            <w:vAlign w:val="center"/>
            <w:hideMark/>
          </w:tcPr>
          <w:p w14:paraId="5A0E62DF"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1.3%</w:t>
            </w:r>
          </w:p>
        </w:tc>
        <w:tc>
          <w:tcPr>
            <w:tcW w:w="734" w:type="dxa"/>
            <w:tcBorders>
              <w:top w:val="nil"/>
              <w:left w:val="nil"/>
              <w:bottom w:val="single" w:sz="4" w:space="0" w:color="auto"/>
              <w:right w:val="single" w:sz="4" w:space="0" w:color="auto"/>
            </w:tcBorders>
            <w:shd w:val="clear" w:color="000000" w:fill="E6E7E8"/>
            <w:vAlign w:val="center"/>
            <w:hideMark/>
          </w:tcPr>
          <w:p w14:paraId="74F3E2F8"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0.7%</w:t>
            </w:r>
          </w:p>
        </w:tc>
      </w:tr>
      <w:tr w:rsidR="00002D76" w:rsidRPr="008648E5" w14:paraId="2E2EFED6" w14:textId="77777777" w:rsidTr="001429C7">
        <w:trPr>
          <w:trHeight w:hRule="exact" w:val="296"/>
        </w:trPr>
        <w:tc>
          <w:tcPr>
            <w:tcW w:w="1095" w:type="dxa"/>
            <w:tcBorders>
              <w:top w:val="nil"/>
              <w:left w:val="single" w:sz="4" w:space="0" w:color="auto"/>
              <w:bottom w:val="single" w:sz="4" w:space="0" w:color="auto"/>
              <w:right w:val="single" w:sz="4" w:space="0" w:color="auto"/>
            </w:tcBorders>
            <w:shd w:val="clear" w:color="auto" w:fill="auto"/>
            <w:noWrap/>
            <w:vAlign w:val="center"/>
            <w:hideMark/>
          </w:tcPr>
          <w:p w14:paraId="6C9C3819"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250000</w:t>
            </w:r>
          </w:p>
        </w:tc>
        <w:tc>
          <w:tcPr>
            <w:tcW w:w="2355" w:type="dxa"/>
            <w:tcBorders>
              <w:top w:val="nil"/>
              <w:left w:val="nil"/>
              <w:bottom w:val="single" w:sz="4" w:space="0" w:color="auto"/>
              <w:right w:val="single" w:sz="4" w:space="0" w:color="auto"/>
            </w:tcBorders>
            <w:shd w:val="clear" w:color="auto" w:fill="auto"/>
            <w:noWrap/>
            <w:vAlign w:val="center"/>
            <w:hideMark/>
          </w:tcPr>
          <w:p w14:paraId="402100E2" w14:textId="770E8BE3" w:rsidR="00002D76" w:rsidRPr="008648E5" w:rsidRDefault="00002D76" w:rsidP="001429C7">
            <w:pPr>
              <w:spacing w:after="0" w:line="240" w:lineRule="auto"/>
              <w:rPr>
                <w:rFonts w:ascii="Calibri" w:hAnsi="Calibri"/>
                <w:color w:val="231F20"/>
                <w:sz w:val="16"/>
                <w:szCs w:val="16"/>
              </w:rPr>
            </w:pPr>
            <w:r w:rsidRPr="008648E5">
              <w:rPr>
                <w:rFonts w:ascii="Calibri" w:hAnsi="Calibri"/>
                <w:color w:val="231F20"/>
                <w:sz w:val="16"/>
                <w:szCs w:val="16"/>
              </w:rPr>
              <w:t>Education, Training</w:t>
            </w:r>
            <w:r w:rsidR="00D5537E">
              <w:rPr>
                <w:rFonts w:ascii="Calibri" w:hAnsi="Calibri"/>
                <w:color w:val="231F20"/>
                <w:sz w:val="16"/>
                <w:szCs w:val="16"/>
              </w:rPr>
              <w:t xml:space="preserve"> and</w:t>
            </w:r>
            <w:r w:rsidRPr="008648E5">
              <w:rPr>
                <w:rFonts w:ascii="Calibri" w:hAnsi="Calibri"/>
                <w:color w:val="231F20"/>
                <w:sz w:val="16"/>
                <w:szCs w:val="16"/>
              </w:rPr>
              <w:t xml:space="preserve"> Library</w:t>
            </w:r>
          </w:p>
        </w:tc>
        <w:tc>
          <w:tcPr>
            <w:tcW w:w="702" w:type="dxa"/>
            <w:tcBorders>
              <w:top w:val="nil"/>
              <w:left w:val="nil"/>
              <w:bottom w:val="single" w:sz="4" w:space="0" w:color="auto"/>
              <w:right w:val="single" w:sz="4" w:space="0" w:color="auto"/>
            </w:tcBorders>
            <w:shd w:val="clear" w:color="auto" w:fill="auto"/>
            <w:vAlign w:val="center"/>
            <w:hideMark/>
          </w:tcPr>
          <w:p w14:paraId="4D2BA3DC"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4.8%</w:t>
            </w:r>
          </w:p>
        </w:tc>
        <w:tc>
          <w:tcPr>
            <w:tcW w:w="733" w:type="dxa"/>
            <w:tcBorders>
              <w:top w:val="nil"/>
              <w:left w:val="nil"/>
              <w:bottom w:val="single" w:sz="4" w:space="0" w:color="auto"/>
              <w:right w:val="single" w:sz="4" w:space="0" w:color="auto"/>
            </w:tcBorders>
            <w:shd w:val="clear" w:color="auto" w:fill="auto"/>
            <w:vAlign w:val="center"/>
            <w:hideMark/>
          </w:tcPr>
          <w:p w14:paraId="1E3A0CE2"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4.5%</w:t>
            </w:r>
          </w:p>
        </w:tc>
        <w:tc>
          <w:tcPr>
            <w:tcW w:w="734" w:type="dxa"/>
            <w:tcBorders>
              <w:top w:val="nil"/>
              <w:left w:val="nil"/>
              <w:bottom w:val="single" w:sz="4" w:space="0" w:color="auto"/>
              <w:right w:val="single" w:sz="4" w:space="0" w:color="auto"/>
            </w:tcBorders>
            <w:shd w:val="clear" w:color="auto" w:fill="auto"/>
            <w:vAlign w:val="center"/>
            <w:hideMark/>
          </w:tcPr>
          <w:p w14:paraId="340D0B66"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13.0%</w:t>
            </w:r>
          </w:p>
        </w:tc>
        <w:tc>
          <w:tcPr>
            <w:tcW w:w="734" w:type="dxa"/>
            <w:tcBorders>
              <w:top w:val="nil"/>
              <w:left w:val="nil"/>
              <w:bottom w:val="single" w:sz="4" w:space="0" w:color="auto"/>
              <w:right w:val="single" w:sz="4" w:space="0" w:color="auto"/>
            </w:tcBorders>
            <w:shd w:val="clear" w:color="auto" w:fill="auto"/>
            <w:vAlign w:val="center"/>
            <w:hideMark/>
          </w:tcPr>
          <w:p w14:paraId="737B24F7"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5.6%</w:t>
            </w:r>
          </w:p>
        </w:tc>
        <w:tc>
          <w:tcPr>
            <w:tcW w:w="734" w:type="dxa"/>
            <w:tcBorders>
              <w:top w:val="nil"/>
              <w:left w:val="nil"/>
              <w:bottom w:val="single" w:sz="4" w:space="0" w:color="auto"/>
              <w:right w:val="single" w:sz="4" w:space="0" w:color="auto"/>
            </w:tcBorders>
            <w:shd w:val="clear" w:color="auto" w:fill="auto"/>
            <w:vAlign w:val="center"/>
            <w:hideMark/>
          </w:tcPr>
          <w:p w14:paraId="5645FA8F"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5.3%</w:t>
            </w:r>
          </w:p>
        </w:tc>
        <w:tc>
          <w:tcPr>
            <w:tcW w:w="734" w:type="dxa"/>
            <w:tcBorders>
              <w:top w:val="nil"/>
              <w:left w:val="nil"/>
              <w:bottom w:val="single" w:sz="4" w:space="0" w:color="auto"/>
              <w:right w:val="single" w:sz="4" w:space="0" w:color="auto"/>
            </w:tcBorders>
            <w:shd w:val="clear" w:color="auto" w:fill="auto"/>
            <w:vAlign w:val="center"/>
            <w:hideMark/>
          </w:tcPr>
          <w:p w14:paraId="55AA3044"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4.4%</w:t>
            </w:r>
          </w:p>
        </w:tc>
        <w:tc>
          <w:tcPr>
            <w:tcW w:w="734" w:type="dxa"/>
            <w:tcBorders>
              <w:top w:val="nil"/>
              <w:left w:val="nil"/>
              <w:bottom w:val="single" w:sz="4" w:space="0" w:color="auto"/>
              <w:right w:val="single" w:sz="4" w:space="0" w:color="auto"/>
            </w:tcBorders>
            <w:shd w:val="clear" w:color="auto" w:fill="auto"/>
            <w:vAlign w:val="center"/>
            <w:hideMark/>
          </w:tcPr>
          <w:p w14:paraId="7D0A8541"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4.2%</w:t>
            </w:r>
          </w:p>
        </w:tc>
        <w:tc>
          <w:tcPr>
            <w:tcW w:w="734" w:type="dxa"/>
            <w:tcBorders>
              <w:top w:val="nil"/>
              <w:left w:val="nil"/>
              <w:bottom w:val="single" w:sz="4" w:space="0" w:color="auto"/>
              <w:right w:val="single" w:sz="4" w:space="0" w:color="auto"/>
            </w:tcBorders>
            <w:shd w:val="clear" w:color="auto" w:fill="auto"/>
            <w:vAlign w:val="center"/>
            <w:hideMark/>
          </w:tcPr>
          <w:p w14:paraId="17A705AD"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3.8%</w:t>
            </w:r>
          </w:p>
        </w:tc>
        <w:tc>
          <w:tcPr>
            <w:tcW w:w="734" w:type="dxa"/>
            <w:tcBorders>
              <w:top w:val="nil"/>
              <w:left w:val="nil"/>
              <w:bottom w:val="single" w:sz="4" w:space="0" w:color="auto"/>
              <w:right w:val="single" w:sz="4" w:space="0" w:color="auto"/>
            </w:tcBorders>
            <w:shd w:val="clear" w:color="auto" w:fill="auto"/>
            <w:vAlign w:val="center"/>
            <w:hideMark/>
          </w:tcPr>
          <w:p w14:paraId="7D918972"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4.7%</w:t>
            </w:r>
          </w:p>
        </w:tc>
        <w:tc>
          <w:tcPr>
            <w:tcW w:w="734" w:type="dxa"/>
            <w:tcBorders>
              <w:top w:val="nil"/>
              <w:left w:val="nil"/>
              <w:bottom w:val="single" w:sz="4" w:space="0" w:color="auto"/>
              <w:right w:val="single" w:sz="4" w:space="0" w:color="auto"/>
            </w:tcBorders>
            <w:shd w:val="clear" w:color="auto" w:fill="auto"/>
            <w:vAlign w:val="center"/>
            <w:hideMark/>
          </w:tcPr>
          <w:p w14:paraId="5352E52E"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6.6%</w:t>
            </w:r>
          </w:p>
        </w:tc>
      </w:tr>
      <w:tr w:rsidR="00002D76" w:rsidRPr="008648E5" w14:paraId="7FA9DB26" w14:textId="77777777" w:rsidTr="001429C7">
        <w:trPr>
          <w:trHeight w:hRule="exact" w:val="478"/>
        </w:trPr>
        <w:tc>
          <w:tcPr>
            <w:tcW w:w="1095" w:type="dxa"/>
            <w:tcBorders>
              <w:top w:val="nil"/>
              <w:left w:val="single" w:sz="4" w:space="0" w:color="auto"/>
              <w:bottom w:val="single" w:sz="4" w:space="0" w:color="auto"/>
              <w:right w:val="single" w:sz="4" w:space="0" w:color="auto"/>
            </w:tcBorders>
            <w:shd w:val="clear" w:color="000000" w:fill="E6E7E8"/>
            <w:noWrap/>
            <w:vAlign w:val="center"/>
            <w:hideMark/>
          </w:tcPr>
          <w:p w14:paraId="5BF32B83"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270000</w:t>
            </w:r>
          </w:p>
        </w:tc>
        <w:tc>
          <w:tcPr>
            <w:tcW w:w="2355" w:type="dxa"/>
            <w:tcBorders>
              <w:top w:val="nil"/>
              <w:left w:val="nil"/>
              <w:bottom w:val="single" w:sz="4" w:space="0" w:color="auto"/>
              <w:right w:val="single" w:sz="4" w:space="0" w:color="auto"/>
            </w:tcBorders>
            <w:shd w:val="clear" w:color="000000" w:fill="E6E7E8"/>
            <w:noWrap/>
            <w:vAlign w:val="center"/>
            <w:hideMark/>
          </w:tcPr>
          <w:p w14:paraId="1AD91D47" w14:textId="041979C8" w:rsidR="00002D76" w:rsidRPr="008648E5" w:rsidRDefault="00002D76" w:rsidP="001429C7">
            <w:pPr>
              <w:spacing w:after="0" w:line="240" w:lineRule="auto"/>
              <w:rPr>
                <w:rFonts w:ascii="Calibri" w:hAnsi="Calibri"/>
                <w:color w:val="231F20"/>
                <w:sz w:val="16"/>
                <w:szCs w:val="16"/>
              </w:rPr>
            </w:pPr>
            <w:r w:rsidRPr="008648E5">
              <w:rPr>
                <w:rFonts w:ascii="Calibri" w:hAnsi="Calibri"/>
                <w:color w:val="231F20"/>
                <w:sz w:val="16"/>
                <w:szCs w:val="16"/>
              </w:rPr>
              <w:t>Arts, Design, Entertainment, Sports</w:t>
            </w:r>
            <w:r w:rsidR="00D5537E">
              <w:rPr>
                <w:rFonts w:ascii="Calibri" w:hAnsi="Calibri"/>
                <w:color w:val="231F20"/>
                <w:sz w:val="16"/>
                <w:szCs w:val="16"/>
              </w:rPr>
              <w:t xml:space="preserve"> and</w:t>
            </w:r>
            <w:r w:rsidRPr="008648E5">
              <w:rPr>
                <w:rFonts w:ascii="Calibri" w:hAnsi="Calibri"/>
                <w:color w:val="231F20"/>
                <w:sz w:val="16"/>
                <w:szCs w:val="16"/>
              </w:rPr>
              <w:t xml:space="preserve"> Media</w:t>
            </w:r>
          </w:p>
        </w:tc>
        <w:tc>
          <w:tcPr>
            <w:tcW w:w="702" w:type="dxa"/>
            <w:tcBorders>
              <w:top w:val="nil"/>
              <w:left w:val="nil"/>
              <w:bottom w:val="single" w:sz="4" w:space="0" w:color="auto"/>
              <w:right w:val="single" w:sz="4" w:space="0" w:color="auto"/>
            </w:tcBorders>
            <w:shd w:val="clear" w:color="000000" w:fill="E6E7E8"/>
            <w:vAlign w:val="center"/>
            <w:hideMark/>
          </w:tcPr>
          <w:p w14:paraId="1644FAB9"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1.6%</w:t>
            </w:r>
          </w:p>
        </w:tc>
        <w:tc>
          <w:tcPr>
            <w:tcW w:w="733" w:type="dxa"/>
            <w:tcBorders>
              <w:top w:val="nil"/>
              <w:left w:val="nil"/>
              <w:bottom w:val="single" w:sz="4" w:space="0" w:color="auto"/>
              <w:right w:val="single" w:sz="4" w:space="0" w:color="auto"/>
            </w:tcBorders>
            <w:shd w:val="clear" w:color="000000" w:fill="E6E7E8"/>
            <w:vAlign w:val="center"/>
            <w:hideMark/>
          </w:tcPr>
          <w:p w14:paraId="6F533B15"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1.4%</w:t>
            </w:r>
          </w:p>
        </w:tc>
        <w:tc>
          <w:tcPr>
            <w:tcW w:w="734" w:type="dxa"/>
            <w:tcBorders>
              <w:top w:val="nil"/>
              <w:left w:val="nil"/>
              <w:bottom w:val="single" w:sz="4" w:space="0" w:color="auto"/>
              <w:right w:val="single" w:sz="4" w:space="0" w:color="auto"/>
            </w:tcBorders>
            <w:shd w:val="clear" w:color="000000" w:fill="E6E7E8"/>
            <w:vAlign w:val="center"/>
            <w:hideMark/>
          </w:tcPr>
          <w:p w14:paraId="670E9774"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1.5%</w:t>
            </w:r>
          </w:p>
        </w:tc>
        <w:tc>
          <w:tcPr>
            <w:tcW w:w="734" w:type="dxa"/>
            <w:tcBorders>
              <w:top w:val="nil"/>
              <w:left w:val="nil"/>
              <w:bottom w:val="single" w:sz="4" w:space="0" w:color="auto"/>
              <w:right w:val="single" w:sz="4" w:space="0" w:color="auto"/>
            </w:tcBorders>
            <w:shd w:val="clear" w:color="000000" w:fill="E6E7E8"/>
            <w:vAlign w:val="center"/>
            <w:hideMark/>
          </w:tcPr>
          <w:p w14:paraId="35D51CAD"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0.9%</w:t>
            </w:r>
          </w:p>
        </w:tc>
        <w:tc>
          <w:tcPr>
            <w:tcW w:w="734" w:type="dxa"/>
            <w:tcBorders>
              <w:top w:val="nil"/>
              <w:left w:val="nil"/>
              <w:bottom w:val="single" w:sz="4" w:space="0" w:color="auto"/>
              <w:right w:val="single" w:sz="4" w:space="0" w:color="auto"/>
            </w:tcBorders>
            <w:shd w:val="clear" w:color="000000" w:fill="E6E7E8"/>
            <w:vAlign w:val="center"/>
            <w:hideMark/>
          </w:tcPr>
          <w:p w14:paraId="4BB9E307"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1.0%</w:t>
            </w:r>
          </w:p>
        </w:tc>
        <w:tc>
          <w:tcPr>
            <w:tcW w:w="734" w:type="dxa"/>
            <w:tcBorders>
              <w:top w:val="nil"/>
              <w:left w:val="nil"/>
              <w:bottom w:val="single" w:sz="4" w:space="0" w:color="auto"/>
              <w:right w:val="single" w:sz="4" w:space="0" w:color="auto"/>
            </w:tcBorders>
            <w:shd w:val="clear" w:color="000000" w:fill="E6E7E8"/>
            <w:vAlign w:val="center"/>
            <w:hideMark/>
          </w:tcPr>
          <w:p w14:paraId="354756A4"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2.1%</w:t>
            </w:r>
          </w:p>
        </w:tc>
        <w:tc>
          <w:tcPr>
            <w:tcW w:w="734" w:type="dxa"/>
            <w:tcBorders>
              <w:top w:val="nil"/>
              <w:left w:val="nil"/>
              <w:bottom w:val="single" w:sz="4" w:space="0" w:color="auto"/>
              <w:right w:val="single" w:sz="4" w:space="0" w:color="auto"/>
            </w:tcBorders>
            <w:shd w:val="clear" w:color="000000" w:fill="E6E7E8"/>
            <w:vAlign w:val="center"/>
            <w:hideMark/>
          </w:tcPr>
          <w:p w14:paraId="0CD395EB"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1.3%</w:t>
            </w:r>
          </w:p>
        </w:tc>
        <w:tc>
          <w:tcPr>
            <w:tcW w:w="734" w:type="dxa"/>
            <w:tcBorders>
              <w:top w:val="nil"/>
              <w:left w:val="nil"/>
              <w:bottom w:val="single" w:sz="4" w:space="0" w:color="auto"/>
              <w:right w:val="single" w:sz="4" w:space="0" w:color="auto"/>
            </w:tcBorders>
            <w:shd w:val="clear" w:color="000000" w:fill="E6E7E8"/>
            <w:vAlign w:val="center"/>
            <w:hideMark/>
          </w:tcPr>
          <w:p w14:paraId="2C2AFEA9"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1.7%</w:t>
            </w:r>
          </w:p>
        </w:tc>
        <w:tc>
          <w:tcPr>
            <w:tcW w:w="734" w:type="dxa"/>
            <w:tcBorders>
              <w:top w:val="nil"/>
              <w:left w:val="nil"/>
              <w:bottom w:val="single" w:sz="4" w:space="0" w:color="auto"/>
              <w:right w:val="single" w:sz="4" w:space="0" w:color="auto"/>
            </w:tcBorders>
            <w:shd w:val="clear" w:color="000000" w:fill="E6E7E8"/>
            <w:vAlign w:val="center"/>
            <w:hideMark/>
          </w:tcPr>
          <w:p w14:paraId="08786C45"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1.6%</w:t>
            </w:r>
          </w:p>
        </w:tc>
        <w:tc>
          <w:tcPr>
            <w:tcW w:w="734" w:type="dxa"/>
            <w:tcBorders>
              <w:top w:val="nil"/>
              <w:left w:val="nil"/>
              <w:bottom w:val="single" w:sz="4" w:space="0" w:color="auto"/>
              <w:right w:val="single" w:sz="4" w:space="0" w:color="auto"/>
            </w:tcBorders>
            <w:shd w:val="clear" w:color="000000" w:fill="E6E7E8"/>
            <w:vAlign w:val="center"/>
            <w:hideMark/>
          </w:tcPr>
          <w:p w14:paraId="0EDE4280"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1.0%</w:t>
            </w:r>
          </w:p>
        </w:tc>
      </w:tr>
      <w:tr w:rsidR="00002D76" w:rsidRPr="008648E5" w14:paraId="3A55C14E" w14:textId="77777777" w:rsidTr="001429C7">
        <w:trPr>
          <w:trHeight w:hRule="exact" w:val="442"/>
        </w:trPr>
        <w:tc>
          <w:tcPr>
            <w:tcW w:w="1095" w:type="dxa"/>
            <w:tcBorders>
              <w:top w:val="nil"/>
              <w:left w:val="single" w:sz="4" w:space="0" w:color="auto"/>
              <w:bottom w:val="single" w:sz="4" w:space="0" w:color="auto"/>
              <w:right w:val="single" w:sz="4" w:space="0" w:color="auto"/>
            </w:tcBorders>
            <w:shd w:val="clear" w:color="auto" w:fill="auto"/>
            <w:noWrap/>
            <w:vAlign w:val="center"/>
            <w:hideMark/>
          </w:tcPr>
          <w:p w14:paraId="324938EA"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290000</w:t>
            </w:r>
          </w:p>
        </w:tc>
        <w:tc>
          <w:tcPr>
            <w:tcW w:w="2355" w:type="dxa"/>
            <w:tcBorders>
              <w:top w:val="nil"/>
              <w:left w:val="nil"/>
              <w:bottom w:val="single" w:sz="4" w:space="0" w:color="auto"/>
              <w:right w:val="single" w:sz="4" w:space="0" w:color="auto"/>
            </w:tcBorders>
            <w:shd w:val="clear" w:color="auto" w:fill="auto"/>
            <w:noWrap/>
            <w:vAlign w:val="center"/>
            <w:hideMark/>
          </w:tcPr>
          <w:p w14:paraId="3E194971" w14:textId="77777777" w:rsidR="00002D76" w:rsidRPr="008648E5" w:rsidRDefault="00002D76" w:rsidP="001429C7">
            <w:pPr>
              <w:spacing w:after="0" w:line="240" w:lineRule="auto"/>
              <w:rPr>
                <w:rFonts w:ascii="Calibri" w:hAnsi="Calibri"/>
                <w:color w:val="231F20"/>
                <w:sz w:val="16"/>
                <w:szCs w:val="16"/>
              </w:rPr>
            </w:pPr>
            <w:r w:rsidRPr="008648E5">
              <w:rPr>
                <w:rFonts w:ascii="Calibri" w:hAnsi="Calibri"/>
                <w:color w:val="231F20"/>
                <w:sz w:val="16"/>
                <w:szCs w:val="16"/>
              </w:rPr>
              <w:t>Healthcare Practitioners and Technical</w:t>
            </w:r>
          </w:p>
        </w:tc>
        <w:tc>
          <w:tcPr>
            <w:tcW w:w="702" w:type="dxa"/>
            <w:tcBorders>
              <w:top w:val="nil"/>
              <w:left w:val="nil"/>
              <w:bottom w:val="single" w:sz="4" w:space="0" w:color="auto"/>
              <w:right w:val="single" w:sz="4" w:space="0" w:color="auto"/>
            </w:tcBorders>
            <w:shd w:val="clear" w:color="auto" w:fill="auto"/>
            <w:vAlign w:val="center"/>
            <w:hideMark/>
          </w:tcPr>
          <w:p w14:paraId="6B23451F"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6.0%</w:t>
            </w:r>
          </w:p>
        </w:tc>
        <w:tc>
          <w:tcPr>
            <w:tcW w:w="733" w:type="dxa"/>
            <w:tcBorders>
              <w:top w:val="nil"/>
              <w:left w:val="nil"/>
              <w:bottom w:val="single" w:sz="4" w:space="0" w:color="auto"/>
              <w:right w:val="single" w:sz="4" w:space="0" w:color="auto"/>
            </w:tcBorders>
            <w:shd w:val="clear" w:color="auto" w:fill="auto"/>
            <w:vAlign w:val="center"/>
            <w:hideMark/>
          </w:tcPr>
          <w:p w14:paraId="431FA4A2"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6.4%</w:t>
            </w:r>
          </w:p>
        </w:tc>
        <w:tc>
          <w:tcPr>
            <w:tcW w:w="734" w:type="dxa"/>
            <w:tcBorders>
              <w:top w:val="nil"/>
              <w:left w:val="nil"/>
              <w:bottom w:val="single" w:sz="4" w:space="0" w:color="auto"/>
              <w:right w:val="single" w:sz="4" w:space="0" w:color="auto"/>
            </w:tcBorders>
            <w:shd w:val="clear" w:color="auto" w:fill="auto"/>
            <w:vAlign w:val="center"/>
            <w:hideMark/>
          </w:tcPr>
          <w:p w14:paraId="2FFBA3C2"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10.2%</w:t>
            </w:r>
          </w:p>
        </w:tc>
        <w:tc>
          <w:tcPr>
            <w:tcW w:w="734" w:type="dxa"/>
            <w:tcBorders>
              <w:top w:val="nil"/>
              <w:left w:val="nil"/>
              <w:bottom w:val="single" w:sz="4" w:space="0" w:color="auto"/>
              <w:right w:val="single" w:sz="4" w:space="0" w:color="auto"/>
            </w:tcBorders>
            <w:shd w:val="clear" w:color="auto" w:fill="auto"/>
            <w:vAlign w:val="center"/>
            <w:hideMark/>
          </w:tcPr>
          <w:p w14:paraId="63C61933"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7.2%</w:t>
            </w:r>
          </w:p>
        </w:tc>
        <w:tc>
          <w:tcPr>
            <w:tcW w:w="734" w:type="dxa"/>
            <w:tcBorders>
              <w:top w:val="nil"/>
              <w:left w:val="nil"/>
              <w:bottom w:val="single" w:sz="4" w:space="0" w:color="auto"/>
              <w:right w:val="single" w:sz="4" w:space="0" w:color="auto"/>
            </w:tcBorders>
            <w:shd w:val="clear" w:color="auto" w:fill="auto"/>
            <w:vAlign w:val="center"/>
            <w:hideMark/>
          </w:tcPr>
          <w:p w14:paraId="41C19D8F"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6.6%</w:t>
            </w:r>
          </w:p>
        </w:tc>
        <w:tc>
          <w:tcPr>
            <w:tcW w:w="734" w:type="dxa"/>
            <w:tcBorders>
              <w:top w:val="nil"/>
              <w:left w:val="nil"/>
              <w:bottom w:val="single" w:sz="4" w:space="0" w:color="auto"/>
              <w:right w:val="single" w:sz="4" w:space="0" w:color="auto"/>
            </w:tcBorders>
            <w:shd w:val="clear" w:color="auto" w:fill="auto"/>
            <w:vAlign w:val="center"/>
            <w:hideMark/>
          </w:tcPr>
          <w:p w14:paraId="3BC63D3C"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5.0%</w:t>
            </w:r>
          </w:p>
        </w:tc>
        <w:tc>
          <w:tcPr>
            <w:tcW w:w="734" w:type="dxa"/>
            <w:tcBorders>
              <w:top w:val="nil"/>
              <w:left w:val="nil"/>
              <w:bottom w:val="single" w:sz="4" w:space="0" w:color="auto"/>
              <w:right w:val="single" w:sz="4" w:space="0" w:color="auto"/>
            </w:tcBorders>
            <w:shd w:val="clear" w:color="auto" w:fill="auto"/>
            <w:vAlign w:val="center"/>
            <w:hideMark/>
          </w:tcPr>
          <w:p w14:paraId="3F27E8CF"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6.8%</w:t>
            </w:r>
          </w:p>
        </w:tc>
        <w:tc>
          <w:tcPr>
            <w:tcW w:w="734" w:type="dxa"/>
            <w:tcBorders>
              <w:top w:val="nil"/>
              <w:left w:val="nil"/>
              <w:bottom w:val="single" w:sz="4" w:space="0" w:color="auto"/>
              <w:right w:val="single" w:sz="4" w:space="0" w:color="auto"/>
            </w:tcBorders>
            <w:shd w:val="clear" w:color="auto" w:fill="auto"/>
            <w:vAlign w:val="center"/>
            <w:hideMark/>
          </w:tcPr>
          <w:p w14:paraId="791B2802"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7.1%</w:t>
            </w:r>
          </w:p>
        </w:tc>
        <w:tc>
          <w:tcPr>
            <w:tcW w:w="734" w:type="dxa"/>
            <w:tcBorders>
              <w:top w:val="nil"/>
              <w:left w:val="nil"/>
              <w:bottom w:val="single" w:sz="4" w:space="0" w:color="auto"/>
              <w:right w:val="single" w:sz="4" w:space="0" w:color="auto"/>
            </w:tcBorders>
            <w:shd w:val="clear" w:color="auto" w:fill="auto"/>
            <w:vAlign w:val="center"/>
            <w:hideMark/>
          </w:tcPr>
          <w:p w14:paraId="21DADAA0"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5.7%</w:t>
            </w:r>
          </w:p>
        </w:tc>
        <w:tc>
          <w:tcPr>
            <w:tcW w:w="734" w:type="dxa"/>
            <w:tcBorders>
              <w:top w:val="nil"/>
              <w:left w:val="nil"/>
              <w:bottom w:val="single" w:sz="4" w:space="0" w:color="auto"/>
              <w:right w:val="single" w:sz="4" w:space="0" w:color="auto"/>
            </w:tcBorders>
            <w:shd w:val="clear" w:color="auto" w:fill="auto"/>
            <w:vAlign w:val="center"/>
            <w:hideMark/>
          </w:tcPr>
          <w:p w14:paraId="6401F661"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7.4%</w:t>
            </w:r>
          </w:p>
        </w:tc>
      </w:tr>
      <w:tr w:rsidR="00002D76" w:rsidRPr="008648E5" w14:paraId="08207519" w14:textId="77777777" w:rsidTr="001429C7">
        <w:trPr>
          <w:trHeight w:hRule="exact" w:val="296"/>
        </w:trPr>
        <w:tc>
          <w:tcPr>
            <w:tcW w:w="1095" w:type="dxa"/>
            <w:tcBorders>
              <w:top w:val="nil"/>
              <w:left w:val="single" w:sz="4" w:space="0" w:color="auto"/>
              <w:bottom w:val="single" w:sz="4" w:space="0" w:color="auto"/>
              <w:right w:val="single" w:sz="4" w:space="0" w:color="auto"/>
            </w:tcBorders>
            <w:shd w:val="clear" w:color="000000" w:fill="E6E7E8"/>
            <w:noWrap/>
            <w:vAlign w:val="center"/>
            <w:hideMark/>
          </w:tcPr>
          <w:p w14:paraId="06E58D8E"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310000</w:t>
            </w:r>
          </w:p>
        </w:tc>
        <w:tc>
          <w:tcPr>
            <w:tcW w:w="2355" w:type="dxa"/>
            <w:tcBorders>
              <w:top w:val="nil"/>
              <w:left w:val="nil"/>
              <w:bottom w:val="single" w:sz="4" w:space="0" w:color="auto"/>
              <w:right w:val="single" w:sz="4" w:space="0" w:color="auto"/>
            </w:tcBorders>
            <w:shd w:val="clear" w:color="000000" w:fill="E6E7E8"/>
            <w:noWrap/>
            <w:vAlign w:val="center"/>
            <w:hideMark/>
          </w:tcPr>
          <w:p w14:paraId="2F742740" w14:textId="77777777" w:rsidR="00002D76" w:rsidRPr="008648E5" w:rsidRDefault="00002D76" w:rsidP="001429C7">
            <w:pPr>
              <w:spacing w:after="0" w:line="240" w:lineRule="auto"/>
              <w:rPr>
                <w:rFonts w:ascii="Calibri" w:hAnsi="Calibri"/>
                <w:color w:val="231F20"/>
                <w:sz w:val="16"/>
                <w:szCs w:val="16"/>
              </w:rPr>
            </w:pPr>
            <w:r w:rsidRPr="008648E5">
              <w:rPr>
                <w:rFonts w:ascii="Calibri" w:hAnsi="Calibri"/>
                <w:color w:val="231F20"/>
                <w:sz w:val="16"/>
                <w:szCs w:val="16"/>
              </w:rPr>
              <w:t>Healthcare Support</w:t>
            </w:r>
          </w:p>
        </w:tc>
        <w:tc>
          <w:tcPr>
            <w:tcW w:w="702" w:type="dxa"/>
            <w:tcBorders>
              <w:top w:val="nil"/>
              <w:left w:val="nil"/>
              <w:bottom w:val="single" w:sz="4" w:space="0" w:color="auto"/>
              <w:right w:val="single" w:sz="4" w:space="0" w:color="auto"/>
            </w:tcBorders>
            <w:shd w:val="clear" w:color="000000" w:fill="E6E7E8"/>
            <w:vAlign w:val="center"/>
            <w:hideMark/>
          </w:tcPr>
          <w:p w14:paraId="1612919A"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2.8%</w:t>
            </w:r>
          </w:p>
        </w:tc>
        <w:tc>
          <w:tcPr>
            <w:tcW w:w="733" w:type="dxa"/>
            <w:tcBorders>
              <w:top w:val="nil"/>
              <w:left w:val="nil"/>
              <w:bottom w:val="single" w:sz="4" w:space="0" w:color="auto"/>
              <w:right w:val="single" w:sz="4" w:space="0" w:color="auto"/>
            </w:tcBorders>
            <w:shd w:val="clear" w:color="000000" w:fill="E6E7E8"/>
            <w:vAlign w:val="center"/>
            <w:hideMark/>
          </w:tcPr>
          <w:p w14:paraId="61688222"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2.7%</w:t>
            </w:r>
          </w:p>
        </w:tc>
        <w:tc>
          <w:tcPr>
            <w:tcW w:w="734" w:type="dxa"/>
            <w:tcBorders>
              <w:top w:val="nil"/>
              <w:left w:val="nil"/>
              <w:bottom w:val="single" w:sz="4" w:space="0" w:color="auto"/>
              <w:right w:val="single" w:sz="4" w:space="0" w:color="auto"/>
            </w:tcBorders>
            <w:shd w:val="clear" w:color="000000" w:fill="E6E7E8"/>
            <w:vAlign w:val="center"/>
            <w:hideMark/>
          </w:tcPr>
          <w:p w14:paraId="01552D3E"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3.2%</w:t>
            </w:r>
          </w:p>
        </w:tc>
        <w:tc>
          <w:tcPr>
            <w:tcW w:w="734" w:type="dxa"/>
            <w:tcBorders>
              <w:top w:val="nil"/>
              <w:left w:val="nil"/>
              <w:bottom w:val="single" w:sz="4" w:space="0" w:color="auto"/>
              <w:right w:val="single" w:sz="4" w:space="0" w:color="auto"/>
            </w:tcBorders>
            <w:shd w:val="clear" w:color="000000" w:fill="E6E7E8"/>
            <w:vAlign w:val="center"/>
            <w:hideMark/>
          </w:tcPr>
          <w:p w14:paraId="3BB563AA"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3.3%</w:t>
            </w:r>
          </w:p>
        </w:tc>
        <w:tc>
          <w:tcPr>
            <w:tcW w:w="734" w:type="dxa"/>
            <w:tcBorders>
              <w:top w:val="nil"/>
              <w:left w:val="nil"/>
              <w:bottom w:val="single" w:sz="4" w:space="0" w:color="auto"/>
              <w:right w:val="single" w:sz="4" w:space="0" w:color="auto"/>
            </w:tcBorders>
            <w:shd w:val="clear" w:color="000000" w:fill="E6E7E8"/>
            <w:vAlign w:val="center"/>
            <w:hideMark/>
          </w:tcPr>
          <w:p w14:paraId="38BD36D1"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3.6%</w:t>
            </w:r>
          </w:p>
        </w:tc>
        <w:tc>
          <w:tcPr>
            <w:tcW w:w="734" w:type="dxa"/>
            <w:tcBorders>
              <w:top w:val="nil"/>
              <w:left w:val="nil"/>
              <w:bottom w:val="single" w:sz="4" w:space="0" w:color="auto"/>
              <w:right w:val="single" w:sz="4" w:space="0" w:color="auto"/>
            </w:tcBorders>
            <w:shd w:val="clear" w:color="000000" w:fill="E6E7E8"/>
            <w:vAlign w:val="center"/>
            <w:hideMark/>
          </w:tcPr>
          <w:p w14:paraId="4DECCEDC"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2.2%</w:t>
            </w:r>
          </w:p>
        </w:tc>
        <w:tc>
          <w:tcPr>
            <w:tcW w:w="734" w:type="dxa"/>
            <w:tcBorders>
              <w:top w:val="nil"/>
              <w:left w:val="nil"/>
              <w:bottom w:val="single" w:sz="4" w:space="0" w:color="auto"/>
              <w:right w:val="single" w:sz="4" w:space="0" w:color="auto"/>
            </w:tcBorders>
            <w:shd w:val="clear" w:color="000000" w:fill="E6E7E8"/>
            <w:vAlign w:val="center"/>
            <w:hideMark/>
          </w:tcPr>
          <w:p w14:paraId="10C8AD16"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3.5%</w:t>
            </w:r>
          </w:p>
        </w:tc>
        <w:tc>
          <w:tcPr>
            <w:tcW w:w="734" w:type="dxa"/>
            <w:tcBorders>
              <w:top w:val="nil"/>
              <w:left w:val="nil"/>
              <w:bottom w:val="single" w:sz="4" w:space="0" w:color="auto"/>
              <w:right w:val="single" w:sz="4" w:space="0" w:color="auto"/>
            </w:tcBorders>
            <w:shd w:val="clear" w:color="000000" w:fill="E6E7E8"/>
            <w:vAlign w:val="center"/>
            <w:hideMark/>
          </w:tcPr>
          <w:p w14:paraId="7DA4CC53"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3.6%</w:t>
            </w:r>
          </w:p>
        </w:tc>
        <w:tc>
          <w:tcPr>
            <w:tcW w:w="734" w:type="dxa"/>
            <w:tcBorders>
              <w:top w:val="nil"/>
              <w:left w:val="nil"/>
              <w:bottom w:val="single" w:sz="4" w:space="0" w:color="auto"/>
              <w:right w:val="single" w:sz="4" w:space="0" w:color="auto"/>
            </w:tcBorders>
            <w:shd w:val="clear" w:color="000000" w:fill="E6E7E8"/>
            <w:vAlign w:val="center"/>
            <w:hideMark/>
          </w:tcPr>
          <w:p w14:paraId="363F9A38"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2.3%</w:t>
            </w:r>
          </w:p>
        </w:tc>
        <w:tc>
          <w:tcPr>
            <w:tcW w:w="734" w:type="dxa"/>
            <w:tcBorders>
              <w:top w:val="nil"/>
              <w:left w:val="nil"/>
              <w:bottom w:val="single" w:sz="4" w:space="0" w:color="auto"/>
              <w:right w:val="single" w:sz="4" w:space="0" w:color="auto"/>
            </w:tcBorders>
            <w:shd w:val="clear" w:color="000000" w:fill="E6E7E8"/>
            <w:vAlign w:val="center"/>
            <w:hideMark/>
          </w:tcPr>
          <w:p w14:paraId="410C18CE"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3.7%</w:t>
            </w:r>
          </w:p>
        </w:tc>
      </w:tr>
      <w:tr w:rsidR="00002D76" w:rsidRPr="008648E5" w14:paraId="12553834" w14:textId="77777777" w:rsidTr="001429C7">
        <w:trPr>
          <w:trHeight w:hRule="exact" w:val="296"/>
        </w:trPr>
        <w:tc>
          <w:tcPr>
            <w:tcW w:w="1095" w:type="dxa"/>
            <w:tcBorders>
              <w:top w:val="nil"/>
              <w:left w:val="single" w:sz="4" w:space="0" w:color="auto"/>
              <w:bottom w:val="single" w:sz="4" w:space="0" w:color="auto"/>
              <w:right w:val="single" w:sz="4" w:space="0" w:color="auto"/>
            </w:tcBorders>
            <w:shd w:val="clear" w:color="auto" w:fill="auto"/>
            <w:noWrap/>
            <w:vAlign w:val="center"/>
            <w:hideMark/>
          </w:tcPr>
          <w:p w14:paraId="603906E3"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330000</w:t>
            </w:r>
          </w:p>
        </w:tc>
        <w:tc>
          <w:tcPr>
            <w:tcW w:w="2355" w:type="dxa"/>
            <w:tcBorders>
              <w:top w:val="nil"/>
              <w:left w:val="nil"/>
              <w:bottom w:val="single" w:sz="4" w:space="0" w:color="auto"/>
              <w:right w:val="single" w:sz="4" w:space="0" w:color="auto"/>
            </w:tcBorders>
            <w:shd w:val="clear" w:color="auto" w:fill="auto"/>
            <w:noWrap/>
            <w:vAlign w:val="center"/>
            <w:hideMark/>
          </w:tcPr>
          <w:p w14:paraId="06CA2542" w14:textId="77777777" w:rsidR="00002D76" w:rsidRPr="008648E5" w:rsidRDefault="00002D76" w:rsidP="001429C7">
            <w:pPr>
              <w:spacing w:after="0" w:line="240" w:lineRule="auto"/>
              <w:rPr>
                <w:rFonts w:ascii="Calibri" w:hAnsi="Calibri"/>
                <w:color w:val="231F20"/>
                <w:sz w:val="16"/>
                <w:szCs w:val="16"/>
              </w:rPr>
            </w:pPr>
            <w:r w:rsidRPr="008648E5">
              <w:rPr>
                <w:rFonts w:ascii="Calibri" w:hAnsi="Calibri"/>
                <w:color w:val="231F20"/>
                <w:sz w:val="16"/>
                <w:szCs w:val="16"/>
              </w:rPr>
              <w:t>Protective Service</w:t>
            </w:r>
          </w:p>
        </w:tc>
        <w:tc>
          <w:tcPr>
            <w:tcW w:w="702" w:type="dxa"/>
            <w:tcBorders>
              <w:top w:val="nil"/>
              <w:left w:val="nil"/>
              <w:bottom w:val="single" w:sz="4" w:space="0" w:color="auto"/>
              <w:right w:val="single" w:sz="4" w:space="0" w:color="auto"/>
            </w:tcBorders>
            <w:shd w:val="clear" w:color="auto" w:fill="auto"/>
            <w:vAlign w:val="center"/>
            <w:hideMark/>
          </w:tcPr>
          <w:p w14:paraId="140412F2"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2.6%</w:t>
            </w:r>
          </w:p>
        </w:tc>
        <w:tc>
          <w:tcPr>
            <w:tcW w:w="733" w:type="dxa"/>
            <w:tcBorders>
              <w:top w:val="nil"/>
              <w:left w:val="nil"/>
              <w:bottom w:val="single" w:sz="4" w:space="0" w:color="auto"/>
              <w:right w:val="single" w:sz="4" w:space="0" w:color="auto"/>
            </w:tcBorders>
            <w:shd w:val="clear" w:color="auto" w:fill="auto"/>
            <w:vAlign w:val="center"/>
            <w:hideMark/>
          </w:tcPr>
          <w:p w14:paraId="7B5789B4"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2.4%</w:t>
            </w:r>
          </w:p>
        </w:tc>
        <w:tc>
          <w:tcPr>
            <w:tcW w:w="734" w:type="dxa"/>
            <w:tcBorders>
              <w:top w:val="nil"/>
              <w:left w:val="nil"/>
              <w:bottom w:val="single" w:sz="4" w:space="0" w:color="auto"/>
              <w:right w:val="single" w:sz="4" w:space="0" w:color="auto"/>
            </w:tcBorders>
            <w:shd w:val="clear" w:color="auto" w:fill="auto"/>
            <w:vAlign w:val="center"/>
            <w:hideMark/>
          </w:tcPr>
          <w:p w14:paraId="684ABCA5"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2.2%</w:t>
            </w:r>
          </w:p>
        </w:tc>
        <w:tc>
          <w:tcPr>
            <w:tcW w:w="734" w:type="dxa"/>
            <w:tcBorders>
              <w:top w:val="nil"/>
              <w:left w:val="nil"/>
              <w:bottom w:val="single" w:sz="4" w:space="0" w:color="auto"/>
              <w:right w:val="single" w:sz="4" w:space="0" w:color="auto"/>
            </w:tcBorders>
            <w:shd w:val="clear" w:color="auto" w:fill="auto"/>
            <w:vAlign w:val="center"/>
            <w:hideMark/>
          </w:tcPr>
          <w:p w14:paraId="1633E255"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2.7%</w:t>
            </w:r>
          </w:p>
        </w:tc>
        <w:tc>
          <w:tcPr>
            <w:tcW w:w="734" w:type="dxa"/>
            <w:tcBorders>
              <w:top w:val="nil"/>
              <w:left w:val="nil"/>
              <w:bottom w:val="single" w:sz="4" w:space="0" w:color="auto"/>
              <w:right w:val="single" w:sz="4" w:space="0" w:color="auto"/>
            </w:tcBorders>
            <w:shd w:val="clear" w:color="auto" w:fill="auto"/>
            <w:vAlign w:val="center"/>
            <w:hideMark/>
          </w:tcPr>
          <w:p w14:paraId="5F7E88EE"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1.9%</w:t>
            </w:r>
          </w:p>
        </w:tc>
        <w:tc>
          <w:tcPr>
            <w:tcW w:w="734" w:type="dxa"/>
            <w:tcBorders>
              <w:top w:val="nil"/>
              <w:left w:val="nil"/>
              <w:bottom w:val="single" w:sz="4" w:space="0" w:color="auto"/>
              <w:right w:val="single" w:sz="4" w:space="0" w:color="auto"/>
            </w:tcBorders>
            <w:shd w:val="clear" w:color="auto" w:fill="auto"/>
            <w:vAlign w:val="center"/>
            <w:hideMark/>
          </w:tcPr>
          <w:p w14:paraId="1457F931"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2.4%</w:t>
            </w:r>
          </w:p>
        </w:tc>
        <w:tc>
          <w:tcPr>
            <w:tcW w:w="734" w:type="dxa"/>
            <w:tcBorders>
              <w:top w:val="nil"/>
              <w:left w:val="nil"/>
              <w:bottom w:val="single" w:sz="4" w:space="0" w:color="auto"/>
              <w:right w:val="single" w:sz="4" w:space="0" w:color="auto"/>
            </w:tcBorders>
            <w:shd w:val="clear" w:color="auto" w:fill="auto"/>
            <w:vAlign w:val="center"/>
            <w:hideMark/>
          </w:tcPr>
          <w:p w14:paraId="0DFF8167"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2.2%</w:t>
            </w:r>
          </w:p>
        </w:tc>
        <w:tc>
          <w:tcPr>
            <w:tcW w:w="734" w:type="dxa"/>
            <w:tcBorders>
              <w:top w:val="nil"/>
              <w:left w:val="nil"/>
              <w:bottom w:val="single" w:sz="4" w:space="0" w:color="auto"/>
              <w:right w:val="single" w:sz="4" w:space="0" w:color="auto"/>
            </w:tcBorders>
            <w:shd w:val="clear" w:color="auto" w:fill="auto"/>
            <w:vAlign w:val="center"/>
            <w:hideMark/>
          </w:tcPr>
          <w:p w14:paraId="1E141387"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2.2%</w:t>
            </w:r>
          </w:p>
        </w:tc>
        <w:tc>
          <w:tcPr>
            <w:tcW w:w="734" w:type="dxa"/>
            <w:tcBorders>
              <w:top w:val="nil"/>
              <w:left w:val="nil"/>
              <w:bottom w:val="single" w:sz="4" w:space="0" w:color="auto"/>
              <w:right w:val="single" w:sz="4" w:space="0" w:color="auto"/>
            </w:tcBorders>
            <w:shd w:val="clear" w:color="auto" w:fill="auto"/>
            <w:vAlign w:val="center"/>
            <w:hideMark/>
          </w:tcPr>
          <w:p w14:paraId="033DE3FC"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2.4%</w:t>
            </w:r>
          </w:p>
        </w:tc>
        <w:tc>
          <w:tcPr>
            <w:tcW w:w="734" w:type="dxa"/>
            <w:tcBorders>
              <w:top w:val="nil"/>
              <w:left w:val="nil"/>
              <w:bottom w:val="single" w:sz="4" w:space="0" w:color="auto"/>
              <w:right w:val="single" w:sz="4" w:space="0" w:color="auto"/>
            </w:tcBorders>
            <w:shd w:val="clear" w:color="auto" w:fill="auto"/>
            <w:vAlign w:val="center"/>
            <w:hideMark/>
          </w:tcPr>
          <w:p w14:paraId="785FE806"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2.1%</w:t>
            </w:r>
          </w:p>
        </w:tc>
      </w:tr>
      <w:tr w:rsidR="00002D76" w:rsidRPr="008648E5" w14:paraId="52C7C2BF" w14:textId="77777777" w:rsidTr="001429C7">
        <w:trPr>
          <w:trHeight w:hRule="exact" w:val="397"/>
        </w:trPr>
        <w:tc>
          <w:tcPr>
            <w:tcW w:w="1095" w:type="dxa"/>
            <w:tcBorders>
              <w:top w:val="nil"/>
              <w:left w:val="single" w:sz="4" w:space="0" w:color="auto"/>
              <w:bottom w:val="single" w:sz="4" w:space="0" w:color="auto"/>
              <w:right w:val="single" w:sz="4" w:space="0" w:color="auto"/>
            </w:tcBorders>
            <w:shd w:val="clear" w:color="auto" w:fill="auto"/>
            <w:noWrap/>
            <w:vAlign w:val="center"/>
            <w:hideMark/>
          </w:tcPr>
          <w:p w14:paraId="6A59DD68"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350000</w:t>
            </w:r>
          </w:p>
        </w:tc>
        <w:tc>
          <w:tcPr>
            <w:tcW w:w="2355" w:type="dxa"/>
            <w:tcBorders>
              <w:top w:val="nil"/>
              <w:left w:val="nil"/>
              <w:bottom w:val="single" w:sz="4" w:space="0" w:color="auto"/>
              <w:right w:val="single" w:sz="4" w:space="0" w:color="auto"/>
            </w:tcBorders>
            <w:shd w:val="clear" w:color="000000" w:fill="E6E7E8"/>
            <w:noWrap/>
            <w:vAlign w:val="center"/>
            <w:hideMark/>
          </w:tcPr>
          <w:p w14:paraId="148FD9AB" w14:textId="77777777" w:rsidR="00002D76" w:rsidRPr="008648E5" w:rsidRDefault="00002D76" w:rsidP="001429C7">
            <w:pPr>
              <w:spacing w:after="0" w:line="240" w:lineRule="auto"/>
              <w:rPr>
                <w:rFonts w:ascii="Calibri" w:hAnsi="Calibri"/>
                <w:color w:val="231F20"/>
                <w:sz w:val="16"/>
                <w:szCs w:val="16"/>
              </w:rPr>
            </w:pPr>
            <w:r w:rsidRPr="008648E5">
              <w:rPr>
                <w:rFonts w:ascii="Calibri" w:hAnsi="Calibri"/>
                <w:color w:val="231F20"/>
                <w:sz w:val="16"/>
                <w:szCs w:val="16"/>
              </w:rPr>
              <w:t>Food Preparation and Serving Related</w:t>
            </w:r>
          </w:p>
        </w:tc>
        <w:tc>
          <w:tcPr>
            <w:tcW w:w="702" w:type="dxa"/>
            <w:tcBorders>
              <w:top w:val="nil"/>
              <w:left w:val="nil"/>
              <w:bottom w:val="single" w:sz="4" w:space="0" w:color="auto"/>
              <w:right w:val="single" w:sz="4" w:space="0" w:color="auto"/>
            </w:tcBorders>
            <w:shd w:val="clear" w:color="000000" w:fill="E6E7E8"/>
            <w:vAlign w:val="center"/>
            <w:hideMark/>
          </w:tcPr>
          <w:p w14:paraId="6D9E2466"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10.2%</w:t>
            </w:r>
          </w:p>
        </w:tc>
        <w:tc>
          <w:tcPr>
            <w:tcW w:w="733" w:type="dxa"/>
            <w:tcBorders>
              <w:top w:val="nil"/>
              <w:left w:val="nil"/>
              <w:bottom w:val="single" w:sz="4" w:space="0" w:color="auto"/>
              <w:right w:val="single" w:sz="4" w:space="0" w:color="auto"/>
            </w:tcBorders>
            <w:shd w:val="clear" w:color="000000" w:fill="E6E7E8"/>
            <w:vAlign w:val="center"/>
            <w:hideMark/>
          </w:tcPr>
          <w:p w14:paraId="66E74E7E"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9.3%</w:t>
            </w:r>
          </w:p>
        </w:tc>
        <w:tc>
          <w:tcPr>
            <w:tcW w:w="734" w:type="dxa"/>
            <w:tcBorders>
              <w:top w:val="nil"/>
              <w:left w:val="nil"/>
              <w:bottom w:val="single" w:sz="4" w:space="0" w:color="auto"/>
              <w:right w:val="single" w:sz="4" w:space="0" w:color="auto"/>
            </w:tcBorders>
            <w:shd w:val="clear" w:color="000000" w:fill="E6E7E8"/>
            <w:vAlign w:val="center"/>
            <w:hideMark/>
          </w:tcPr>
          <w:p w14:paraId="52BB3846"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9.2%</w:t>
            </w:r>
          </w:p>
        </w:tc>
        <w:tc>
          <w:tcPr>
            <w:tcW w:w="734" w:type="dxa"/>
            <w:tcBorders>
              <w:top w:val="nil"/>
              <w:left w:val="nil"/>
              <w:bottom w:val="single" w:sz="4" w:space="0" w:color="auto"/>
              <w:right w:val="single" w:sz="4" w:space="0" w:color="auto"/>
            </w:tcBorders>
            <w:shd w:val="clear" w:color="000000" w:fill="E6E7E8"/>
            <w:vAlign w:val="center"/>
            <w:hideMark/>
          </w:tcPr>
          <w:p w14:paraId="736AC2F9"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9.9%</w:t>
            </w:r>
          </w:p>
        </w:tc>
        <w:tc>
          <w:tcPr>
            <w:tcW w:w="734" w:type="dxa"/>
            <w:tcBorders>
              <w:top w:val="nil"/>
              <w:left w:val="nil"/>
              <w:bottom w:val="single" w:sz="4" w:space="0" w:color="auto"/>
              <w:right w:val="single" w:sz="4" w:space="0" w:color="auto"/>
            </w:tcBorders>
            <w:shd w:val="clear" w:color="000000" w:fill="E6E7E8"/>
            <w:vAlign w:val="center"/>
            <w:hideMark/>
          </w:tcPr>
          <w:p w14:paraId="61C6B9B9"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12.2%</w:t>
            </w:r>
          </w:p>
        </w:tc>
        <w:tc>
          <w:tcPr>
            <w:tcW w:w="734" w:type="dxa"/>
            <w:tcBorders>
              <w:top w:val="nil"/>
              <w:left w:val="nil"/>
              <w:bottom w:val="single" w:sz="4" w:space="0" w:color="auto"/>
              <w:right w:val="single" w:sz="4" w:space="0" w:color="auto"/>
            </w:tcBorders>
            <w:shd w:val="clear" w:color="000000" w:fill="E6E7E8"/>
            <w:vAlign w:val="center"/>
            <w:hideMark/>
          </w:tcPr>
          <w:p w14:paraId="1FCFE45F"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11.8%</w:t>
            </w:r>
          </w:p>
        </w:tc>
        <w:tc>
          <w:tcPr>
            <w:tcW w:w="734" w:type="dxa"/>
            <w:tcBorders>
              <w:top w:val="nil"/>
              <w:left w:val="nil"/>
              <w:bottom w:val="single" w:sz="4" w:space="0" w:color="auto"/>
              <w:right w:val="single" w:sz="4" w:space="0" w:color="auto"/>
            </w:tcBorders>
            <w:shd w:val="clear" w:color="000000" w:fill="E6E7E8"/>
            <w:vAlign w:val="center"/>
            <w:hideMark/>
          </w:tcPr>
          <w:p w14:paraId="0578D526"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10.5%</w:t>
            </w:r>
          </w:p>
        </w:tc>
        <w:tc>
          <w:tcPr>
            <w:tcW w:w="734" w:type="dxa"/>
            <w:tcBorders>
              <w:top w:val="nil"/>
              <w:left w:val="nil"/>
              <w:bottom w:val="single" w:sz="4" w:space="0" w:color="auto"/>
              <w:right w:val="single" w:sz="4" w:space="0" w:color="auto"/>
            </w:tcBorders>
            <w:shd w:val="clear" w:color="000000" w:fill="E6E7E8"/>
            <w:vAlign w:val="center"/>
            <w:hideMark/>
          </w:tcPr>
          <w:p w14:paraId="0795D4F8"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9.9%</w:t>
            </w:r>
          </w:p>
        </w:tc>
        <w:tc>
          <w:tcPr>
            <w:tcW w:w="734" w:type="dxa"/>
            <w:tcBorders>
              <w:top w:val="nil"/>
              <w:left w:val="nil"/>
              <w:bottom w:val="single" w:sz="4" w:space="0" w:color="auto"/>
              <w:right w:val="single" w:sz="4" w:space="0" w:color="auto"/>
            </w:tcBorders>
            <w:shd w:val="clear" w:color="000000" w:fill="E6E7E8"/>
            <w:vAlign w:val="center"/>
            <w:hideMark/>
          </w:tcPr>
          <w:p w14:paraId="1A17F07C"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8.1%</w:t>
            </w:r>
          </w:p>
        </w:tc>
        <w:tc>
          <w:tcPr>
            <w:tcW w:w="734" w:type="dxa"/>
            <w:tcBorders>
              <w:top w:val="nil"/>
              <w:left w:val="nil"/>
              <w:bottom w:val="single" w:sz="4" w:space="0" w:color="auto"/>
              <w:right w:val="single" w:sz="4" w:space="0" w:color="auto"/>
            </w:tcBorders>
            <w:shd w:val="clear" w:color="000000" w:fill="E6E7E8"/>
            <w:vAlign w:val="center"/>
            <w:hideMark/>
          </w:tcPr>
          <w:p w14:paraId="237175FA"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11.6%</w:t>
            </w:r>
          </w:p>
        </w:tc>
      </w:tr>
      <w:tr w:rsidR="00002D76" w:rsidRPr="008648E5" w14:paraId="039E3385" w14:textId="77777777" w:rsidTr="001429C7">
        <w:trPr>
          <w:trHeight w:hRule="exact" w:val="442"/>
        </w:trPr>
        <w:tc>
          <w:tcPr>
            <w:tcW w:w="1095" w:type="dxa"/>
            <w:tcBorders>
              <w:top w:val="nil"/>
              <w:left w:val="single" w:sz="4" w:space="0" w:color="auto"/>
              <w:bottom w:val="single" w:sz="4" w:space="0" w:color="auto"/>
              <w:right w:val="single" w:sz="4" w:space="0" w:color="auto"/>
            </w:tcBorders>
            <w:shd w:val="clear" w:color="auto" w:fill="auto"/>
            <w:noWrap/>
            <w:vAlign w:val="center"/>
            <w:hideMark/>
          </w:tcPr>
          <w:p w14:paraId="54870BCD"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370000</w:t>
            </w:r>
          </w:p>
        </w:tc>
        <w:tc>
          <w:tcPr>
            <w:tcW w:w="2355" w:type="dxa"/>
            <w:tcBorders>
              <w:top w:val="nil"/>
              <w:left w:val="nil"/>
              <w:bottom w:val="single" w:sz="4" w:space="0" w:color="auto"/>
              <w:right w:val="single" w:sz="4" w:space="0" w:color="auto"/>
            </w:tcBorders>
            <w:shd w:val="clear" w:color="auto" w:fill="auto"/>
            <w:noWrap/>
            <w:vAlign w:val="center"/>
            <w:hideMark/>
          </w:tcPr>
          <w:p w14:paraId="5BDC9F52" w14:textId="77777777" w:rsidR="00002D76" w:rsidRPr="008648E5" w:rsidRDefault="00002D76" w:rsidP="001429C7">
            <w:pPr>
              <w:spacing w:after="0" w:line="240" w:lineRule="auto"/>
              <w:rPr>
                <w:rFonts w:ascii="Calibri" w:hAnsi="Calibri"/>
                <w:color w:val="231F20"/>
                <w:sz w:val="16"/>
                <w:szCs w:val="16"/>
              </w:rPr>
            </w:pPr>
            <w:r w:rsidRPr="008648E5">
              <w:rPr>
                <w:rFonts w:ascii="Calibri" w:hAnsi="Calibri"/>
                <w:color w:val="231F20"/>
                <w:sz w:val="16"/>
                <w:szCs w:val="16"/>
              </w:rPr>
              <w:t>Building and Grounds Cleaning and Maintenance</w:t>
            </w:r>
          </w:p>
        </w:tc>
        <w:tc>
          <w:tcPr>
            <w:tcW w:w="702" w:type="dxa"/>
            <w:tcBorders>
              <w:top w:val="nil"/>
              <w:left w:val="nil"/>
              <w:bottom w:val="single" w:sz="4" w:space="0" w:color="auto"/>
              <w:right w:val="single" w:sz="4" w:space="0" w:color="auto"/>
            </w:tcBorders>
            <w:shd w:val="clear" w:color="auto" w:fill="auto"/>
            <w:vAlign w:val="center"/>
            <w:hideMark/>
          </w:tcPr>
          <w:p w14:paraId="39D9038D"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4.2%</w:t>
            </w:r>
          </w:p>
        </w:tc>
        <w:tc>
          <w:tcPr>
            <w:tcW w:w="733" w:type="dxa"/>
            <w:tcBorders>
              <w:top w:val="nil"/>
              <w:left w:val="nil"/>
              <w:bottom w:val="single" w:sz="4" w:space="0" w:color="auto"/>
              <w:right w:val="single" w:sz="4" w:space="0" w:color="auto"/>
            </w:tcBorders>
            <w:shd w:val="clear" w:color="auto" w:fill="auto"/>
            <w:vAlign w:val="center"/>
            <w:hideMark/>
          </w:tcPr>
          <w:p w14:paraId="556A0E3D"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3.4%</w:t>
            </w:r>
          </w:p>
        </w:tc>
        <w:tc>
          <w:tcPr>
            <w:tcW w:w="734" w:type="dxa"/>
            <w:tcBorders>
              <w:top w:val="nil"/>
              <w:left w:val="nil"/>
              <w:bottom w:val="single" w:sz="4" w:space="0" w:color="auto"/>
              <w:right w:val="single" w:sz="4" w:space="0" w:color="auto"/>
            </w:tcBorders>
            <w:shd w:val="clear" w:color="auto" w:fill="auto"/>
            <w:vAlign w:val="center"/>
            <w:hideMark/>
          </w:tcPr>
          <w:p w14:paraId="60B12814"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4.5%</w:t>
            </w:r>
          </w:p>
        </w:tc>
        <w:tc>
          <w:tcPr>
            <w:tcW w:w="734" w:type="dxa"/>
            <w:tcBorders>
              <w:top w:val="nil"/>
              <w:left w:val="nil"/>
              <w:bottom w:val="single" w:sz="4" w:space="0" w:color="auto"/>
              <w:right w:val="single" w:sz="4" w:space="0" w:color="auto"/>
            </w:tcBorders>
            <w:shd w:val="clear" w:color="auto" w:fill="auto"/>
            <w:vAlign w:val="center"/>
            <w:hideMark/>
          </w:tcPr>
          <w:p w14:paraId="075B7304"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4.3%</w:t>
            </w:r>
          </w:p>
        </w:tc>
        <w:tc>
          <w:tcPr>
            <w:tcW w:w="734" w:type="dxa"/>
            <w:tcBorders>
              <w:top w:val="nil"/>
              <w:left w:val="nil"/>
              <w:bottom w:val="single" w:sz="4" w:space="0" w:color="auto"/>
              <w:right w:val="single" w:sz="4" w:space="0" w:color="auto"/>
            </w:tcBorders>
            <w:shd w:val="clear" w:color="auto" w:fill="auto"/>
            <w:vAlign w:val="center"/>
            <w:hideMark/>
          </w:tcPr>
          <w:p w14:paraId="5A581B92"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5.4%</w:t>
            </w:r>
          </w:p>
        </w:tc>
        <w:tc>
          <w:tcPr>
            <w:tcW w:w="734" w:type="dxa"/>
            <w:tcBorders>
              <w:top w:val="nil"/>
              <w:left w:val="nil"/>
              <w:bottom w:val="single" w:sz="4" w:space="0" w:color="auto"/>
              <w:right w:val="single" w:sz="4" w:space="0" w:color="auto"/>
            </w:tcBorders>
            <w:shd w:val="clear" w:color="auto" w:fill="auto"/>
            <w:vAlign w:val="center"/>
            <w:hideMark/>
          </w:tcPr>
          <w:p w14:paraId="012695F2"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5.2%</w:t>
            </w:r>
          </w:p>
        </w:tc>
        <w:tc>
          <w:tcPr>
            <w:tcW w:w="734" w:type="dxa"/>
            <w:tcBorders>
              <w:top w:val="nil"/>
              <w:left w:val="nil"/>
              <w:bottom w:val="single" w:sz="4" w:space="0" w:color="auto"/>
              <w:right w:val="single" w:sz="4" w:space="0" w:color="auto"/>
            </w:tcBorders>
            <w:shd w:val="clear" w:color="auto" w:fill="auto"/>
            <w:vAlign w:val="center"/>
            <w:hideMark/>
          </w:tcPr>
          <w:p w14:paraId="40531997"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3.7%</w:t>
            </w:r>
          </w:p>
        </w:tc>
        <w:tc>
          <w:tcPr>
            <w:tcW w:w="734" w:type="dxa"/>
            <w:tcBorders>
              <w:top w:val="nil"/>
              <w:left w:val="nil"/>
              <w:bottom w:val="single" w:sz="4" w:space="0" w:color="auto"/>
              <w:right w:val="single" w:sz="4" w:space="0" w:color="auto"/>
            </w:tcBorders>
            <w:shd w:val="clear" w:color="auto" w:fill="auto"/>
            <w:vAlign w:val="center"/>
            <w:hideMark/>
          </w:tcPr>
          <w:p w14:paraId="4F0983EE"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3.2%</w:t>
            </w:r>
          </w:p>
        </w:tc>
        <w:tc>
          <w:tcPr>
            <w:tcW w:w="734" w:type="dxa"/>
            <w:tcBorders>
              <w:top w:val="nil"/>
              <w:left w:val="nil"/>
              <w:bottom w:val="single" w:sz="4" w:space="0" w:color="auto"/>
              <w:right w:val="single" w:sz="4" w:space="0" w:color="auto"/>
            </w:tcBorders>
            <w:shd w:val="clear" w:color="auto" w:fill="auto"/>
            <w:vAlign w:val="center"/>
            <w:hideMark/>
          </w:tcPr>
          <w:p w14:paraId="3B17311B"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2.8%</w:t>
            </w:r>
          </w:p>
        </w:tc>
        <w:tc>
          <w:tcPr>
            <w:tcW w:w="734" w:type="dxa"/>
            <w:tcBorders>
              <w:top w:val="nil"/>
              <w:left w:val="nil"/>
              <w:bottom w:val="single" w:sz="4" w:space="0" w:color="auto"/>
              <w:right w:val="single" w:sz="4" w:space="0" w:color="auto"/>
            </w:tcBorders>
            <w:shd w:val="clear" w:color="auto" w:fill="auto"/>
            <w:vAlign w:val="center"/>
            <w:hideMark/>
          </w:tcPr>
          <w:p w14:paraId="03C3A504"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3.7%</w:t>
            </w:r>
          </w:p>
        </w:tc>
      </w:tr>
      <w:tr w:rsidR="00002D76" w:rsidRPr="008648E5" w14:paraId="617E0BEB" w14:textId="77777777" w:rsidTr="001429C7">
        <w:trPr>
          <w:trHeight w:hRule="exact" w:val="296"/>
        </w:trPr>
        <w:tc>
          <w:tcPr>
            <w:tcW w:w="1095" w:type="dxa"/>
            <w:tcBorders>
              <w:top w:val="nil"/>
              <w:left w:val="single" w:sz="4" w:space="0" w:color="auto"/>
              <w:bottom w:val="single" w:sz="4" w:space="0" w:color="auto"/>
              <w:right w:val="single" w:sz="4" w:space="0" w:color="auto"/>
            </w:tcBorders>
            <w:shd w:val="clear" w:color="000000" w:fill="E6E7E8"/>
            <w:noWrap/>
            <w:vAlign w:val="center"/>
            <w:hideMark/>
          </w:tcPr>
          <w:p w14:paraId="672B171B"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390000</w:t>
            </w:r>
          </w:p>
        </w:tc>
        <w:tc>
          <w:tcPr>
            <w:tcW w:w="2355" w:type="dxa"/>
            <w:tcBorders>
              <w:top w:val="nil"/>
              <w:left w:val="nil"/>
              <w:bottom w:val="single" w:sz="4" w:space="0" w:color="auto"/>
              <w:right w:val="single" w:sz="4" w:space="0" w:color="auto"/>
            </w:tcBorders>
            <w:shd w:val="clear" w:color="000000" w:fill="E6E7E8"/>
            <w:noWrap/>
            <w:vAlign w:val="center"/>
            <w:hideMark/>
          </w:tcPr>
          <w:p w14:paraId="7B2263F0" w14:textId="77777777" w:rsidR="00002D76" w:rsidRPr="008648E5" w:rsidRDefault="00002D76" w:rsidP="001429C7">
            <w:pPr>
              <w:spacing w:after="0" w:line="240" w:lineRule="auto"/>
              <w:rPr>
                <w:rFonts w:ascii="Calibri" w:hAnsi="Calibri"/>
                <w:color w:val="231F20"/>
                <w:sz w:val="16"/>
                <w:szCs w:val="16"/>
              </w:rPr>
            </w:pPr>
            <w:r w:rsidRPr="008648E5">
              <w:rPr>
                <w:rFonts w:ascii="Calibri" w:hAnsi="Calibri"/>
                <w:color w:val="231F20"/>
                <w:sz w:val="16"/>
                <w:szCs w:val="16"/>
              </w:rPr>
              <w:t>Personal Care and Service</w:t>
            </w:r>
          </w:p>
        </w:tc>
        <w:tc>
          <w:tcPr>
            <w:tcW w:w="702" w:type="dxa"/>
            <w:tcBorders>
              <w:top w:val="nil"/>
              <w:left w:val="nil"/>
              <w:bottom w:val="single" w:sz="4" w:space="0" w:color="auto"/>
              <w:right w:val="single" w:sz="4" w:space="0" w:color="auto"/>
            </w:tcBorders>
            <w:shd w:val="clear" w:color="000000" w:fill="E6E7E8"/>
            <w:vAlign w:val="center"/>
            <w:hideMark/>
          </w:tcPr>
          <w:p w14:paraId="7160D510"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3.3%</w:t>
            </w:r>
          </w:p>
        </w:tc>
        <w:tc>
          <w:tcPr>
            <w:tcW w:w="733" w:type="dxa"/>
            <w:tcBorders>
              <w:top w:val="nil"/>
              <w:left w:val="nil"/>
              <w:bottom w:val="single" w:sz="4" w:space="0" w:color="auto"/>
              <w:right w:val="single" w:sz="4" w:space="0" w:color="auto"/>
            </w:tcBorders>
            <w:shd w:val="clear" w:color="000000" w:fill="E6E7E8"/>
            <w:vAlign w:val="center"/>
            <w:hideMark/>
          </w:tcPr>
          <w:p w14:paraId="2ADAAFCA"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3.3%</w:t>
            </w:r>
          </w:p>
        </w:tc>
        <w:tc>
          <w:tcPr>
            <w:tcW w:w="734" w:type="dxa"/>
            <w:tcBorders>
              <w:top w:val="nil"/>
              <w:left w:val="nil"/>
              <w:bottom w:val="single" w:sz="4" w:space="0" w:color="auto"/>
              <w:right w:val="single" w:sz="4" w:space="0" w:color="auto"/>
            </w:tcBorders>
            <w:shd w:val="clear" w:color="000000" w:fill="E6E7E8"/>
            <w:vAlign w:val="center"/>
            <w:hideMark/>
          </w:tcPr>
          <w:p w14:paraId="22969E4B"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2.6%</w:t>
            </w:r>
          </w:p>
        </w:tc>
        <w:tc>
          <w:tcPr>
            <w:tcW w:w="734" w:type="dxa"/>
            <w:tcBorders>
              <w:top w:val="nil"/>
              <w:left w:val="nil"/>
              <w:bottom w:val="single" w:sz="4" w:space="0" w:color="auto"/>
              <w:right w:val="single" w:sz="4" w:space="0" w:color="auto"/>
            </w:tcBorders>
            <w:shd w:val="clear" w:color="000000" w:fill="E6E7E8"/>
            <w:vAlign w:val="center"/>
            <w:hideMark/>
          </w:tcPr>
          <w:p w14:paraId="074368C9"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3.7%</w:t>
            </w:r>
          </w:p>
        </w:tc>
        <w:tc>
          <w:tcPr>
            <w:tcW w:w="734" w:type="dxa"/>
            <w:tcBorders>
              <w:top w:val="nil"/>
              <w:left w:val="nil"/>
              <w:bottom w:val="single" w:sz="4" w:space="0" w:color="auto"/>
              <w:right w:val="single" w:sz="4" w:space="0" w:color="auto"/>
            </w:tcBorders>
            <w:shd w:val="clear" w:color="000000" w:fill="E6E7E8"/>
            <w:vAlign w:val="center"/>
            <w:hideMark/>
          </w:tcPr>
          <w:p w14:paraId="401789B6"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3.3%</w:t>
            </w:r>
          </w:p>
        </w:tc>
        <w:tc>
          <w:tcPr>
            <w:tcW w:w="734" w:type="dxa"/>
            <w:tcBorders>
              <w:top w:val="nil"/>
              <w:left w:val="nil"/>
              <w:bottom w:val="single" w:sz="4" w:space="0" w:color="auto"/>
              <w:right w:val="single" w:sz="4" w:space="0" w:color="auto"/>
            </w:tcBorders>
            <w:shd w:val="clear" w:color="000000" w:fill="E6E7E8"/>
            <w:vAlign w:val="center"/>
            <w:hideMark/>
          </w:tcPr>
          <w:p w14:paraId="620AE8C7"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4.0%</w:t>
            </w:r>
          </w:p>
        </w:tc>
        <w:tc>
          <w:tcPr>
            <w:tcW w:w="734" w:type="dxa"/>
            <w:tcBorders>
              <w:top w:val="nil"/>
              <w:left w:val="nil"/>
              <w:bottom w:val="single" w:sz="4" w:space="0" w:color="auto"/>
              <w:right w:val="single" w:sz="4" w:space="0" w:color="auto"/>
            </w:tcBorders>
            <w:shd w:val="clear" w:color="000000" w:fill="E6E7E8"/>
            <w:vAlign w:val="center"/>
            <w:hideMark/>
          </w:tcPr>
          <w:p w14:paraId="5790F614"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3.3%</w:t>
            </w:r>
          </w:p>
        </w:tc>
        <w:tc>
          <w:tcPr>
            <w:tcW w:w="734" w:type="dxa"/>
            <w:tcBorders>
              <w:top w:val="nil"/>
              <w:left w:val="nil"/>
              <w:bottom w:val="single" w:sz="4" w:space="0" w:color="auto"/>
              <w:right w:val="single" w:sz="4" w:space="0" w:color="auto"/>
            </w:tcBorders>
            <w:shd w:val="clear" w:color="000000" w:fill="E6E7E8"/>
            <w:vAlign w:val="center"/>
            <w:hideMark/>
          </w:tcPr>
          <w:p w14:paraId="6F3D4AA9"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3.4%</w:t>
            </w:r>
          </w:p>
        </w:tc>
        <w:tc>
          <w:tcPr>
            <w:tcW w:w="734" w:type="dxa"/>
            <w:tcBorders>
              <w:top w:val="nil"/>
              <w:left w:val="nil"/>
              <w:bottom w:val="single" w:sz="4" w:space="0" w:color="auto"/>
              <w:right w:val="single" w:sz="4" w:space="0" w:color="auto"/>
            </w:tcBorders>
            <w:shd w:val="clear" w:color="000000" w:fill="E6E7E8"/>
            <w:vAlign w:val="center"/>
            <w:hideMark/>
          </w:tcPr>
          <w:p w14:paraId="1D6616BB"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2.9%</w:t>
            </w:r>
          </w:p>
        </w:tc>
        <w:tc>
          <w:tcPr>
            <w:tcW w:w="734" w:type="dxa"/>
            <w:tcBorders>
              <w:top w:val="nil"/>
              <w:left w:val="nil"/>
              <w:bottom w:val="single" w:sz="4" w:space="0" w:color="auto"/>
              <w:right w:val="single" w:sz="4" w:space="0" w:color="auto"/>
            </w:tcBorders>
            <w:shd w:val="clear" w:color="000000" w:fill="E6E7E8"/>
            <w:vAlign w:val="center"/>
            <w:hideMark/>
          </w:tcPr>
          <w:p w14:paraId="7082B59C"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3.8%</w:t>
            </w:r>
          </w:p>
        </w:tc>
      </w:tr>
      <w:tr w:rsidR="00002D76" w:rsidRPr="008648E5" w14:paraId="074B79D2" w14:textId="77777777" w:rsidTr="001429C7">
        <w:trPr>
          <w:trHeight w:hRule="exact" w:val="296"/>
        </w:trPr>
        <w:tc>
          <w:tcPr>
            <w:tcW w:w="1095" w:type="dxa"/>
            <w:tcBorders>
              <w:top w:val="nil"/>
              <w:left w:val="single" w:sz="4" w:space="0" w:color="auto"/>
              <w:bottom w:val="single" w:sz="4" w:space="0" w:color="auto"/>
              <w:right w:val="single" w:sz="4" w:space="0" w:color="auto"/>
            </w:tcBorders>
            <w:shd w:val="clear" w:color="auto" w:fill="auto"/>
            <w:noWrap/>
            <w:vAlign w:val="center"/>
            <w:hideMark/>
          </w:tcPr>
          <w:p w14:paraId="3B9C2617"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410000</w:t>
            </w:r>
          </w:p>
        </w:tc>
        <w:tc>
          <w:tcPr>
            <w:tcW w:w="2355" w:type="dxa"/>
            <w:tcBorders>
              <w:top w:val="nil"/>
              <w:left w:val="nil"/>
              <w:bottom w:val="single" w:sz="4" w:space="0" w:color="auto"/>
              <w:right w:val="single" w:sz="4" w:space="0" w:color="auto"/>
            </w:tcBorders>
            <w:shd w:val="clear" w:color="auto" w:fill="auto"/>
            <w:noWrap/>
            <w:vAlign w:val="center"/>
            <w:hideMark/>
          </w:tcPr>
          <w:p w14:paraId="706E1386" w14:textId="77777777" w:rsidR="00002D76" w:rsidRPr="008648E5" w:rsidRDefault="00002D76" w:rsidP="001429C7">
            <w:pPr>
              <w:spacing w:after="0" w:line="240" w:lineRule="auto"/>
              <w:rPr>
                <w:rFonts w:ascii="Calibri" w:hAnsi="Calibri"/>
                <w:color w:val="231F20"/>
                <w:sz w:val="16"/>
                <w:szCs w:val="16"/>
              </w:rPr>
            </w:pPr>
            <w:r w:rsidRPr="008648E5">
              <w:rPr>
                <w:rFonts w:ascii="Calibri" w:hAnsi="Calibri"/>
                <w:color w:val="231F20"/>
                <w:sz w:val="16"/>
                <w:szCs w:val="16"/>
              </w:rPr>
              <w:t>Sales and Related</w:t>
            </w:r>
          </w:p>
        </w:tc>
        <w:tc>
          <w:tcPr>
            <w:tcW w:w="702" w:type="dxa"/>
            <w:tcBorders>
              <w:top w:val="nil"/>
              <w:left w:val="nil"/>
              <w:bottom w:val="single" w:sz="4" w:space="0" w:color="auto"/>
              <w:right w:val="single" w:sz="4" w:space="0" w:color="auto"/>
            </w:tcBorders>
            <w:shd w:val="clear" w:color="auto" w:fill="auto"/>
            <w:vAlign w:val="center"/>
            <w:hideMark/>
          </w:tcPr>
          <w:p w14:paraId="49EFED58"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12.8%</w:t>
            </w:r>
          </w:p>
        </w:tc>
        <w:tc>
          <w:tcPr>
            <w:tcW w:w="733" w:type="dxa"/>
            <w:tcBorders>
              <w:top w:val="nil"/>
              <w:left w:val="nil"/>
              <w:bottom w:val="single" w:sz="4" w:space="0" w:color="auto"/>
              <w:right w:val="single" w:sz="4" w:space="0" w:color="auto"/>
            </w:tcBorders>
            <w:shd w:val="clear" w:color="auto" w:fill="auto"/>
            <w:vAlign w:val="center"/>
            <w:hideMark/>
          </w:tcPr>
          <w:p w14:paraId="147137F1"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11.7%</w:t>
            </w:r>
          </w:p>
        </w:tc>
        <w:tc>
          <w:tcPr>
            <w:tcW w:w="734" w:type="dxa"/>
            <w:tcBorders>
              <w:top w:val="nil"/>
              <w:left w:val="nil"/>
              <w:bottom w:val="single" w:sz="4" w:space="0" w:color="auto"/>
              <w:right w:val="single" w:sz="4" w:space="0" w:color="auto"/>
            </w:tcBorders>
            <w:shd w:val="clear" w:color="auto" w:fill="auto"/>
            <w:vAlign w:val="center"/>
            <w:hideMark/>
          </w:tcPr>
          <w:p w14:paraId="567BCC66"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9.4%</w:t>
            </w:r>
          </w:p>
        </w:tc>
        <w:tc>
          <w:tcPr>
            <w:tcW w:w="734" w:type="dxa"/>
            <w:tcBorders>
              <w:top w:val="nil"/>
              <w:left w:val="nil"/>
              <w:bottom w:val="single" w:sz="4" w:space="0" w:color="auto"/>
              <w:right w:val="single" w:sz="4" w:space="0" w:color="auto"/>
            </w:tcBorders>
            <w:shd w:val="clear" w:color="auto" w:fill="auto"/>
            <w:vAlign w:val="center"/>
            <w:hideMark/>
          </w:tcPr>
          <w:p w14:paraId="665D5991"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13.3%</w:t>
            </w:r>
          </w:p>
        </w:tc>
        <w:tc>
          <w:tcPr>
            <w:tcW w:w="734" w:type="dxa"/>
            <w:tcBorders>
              <w:top w:val="nil"/>
              <w:left w:val="nil"/>
              <w:bottom w:val="single" w:sz="4" w:space="0" w:color="auto"/>
              <w:right w:val="single" w:sz="4" w:space="0" w:color="auto"/>
            </w:tcBorders>
            <w:shd w:val="clear" w:color="auto" w:fill="auto"/>
            <w:vAlign w:val="center"/>
            <w:hideMark/>
          </w:tcPr>
          <w:p w14:paraId="2641FAD3"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14.5%</w:t>
            </w:r>
          </w:p>
        </w:tc>
        <w:tc>
          <w:tcPr>
            <w:tcW w:w="734" w:type="dxa"/>
            <w:tcBorders>
              <w:top w:val="nil"/>
              <w:left w:val="nil"/>
              <w:bottom w:val="single" w:sz="4" w:space="0" w:color="auto"/>
              <w:right w:val="single" w:sz="4" w:space="0" w:color="auto"/>
            </w:tcBorders>
            <w:shd w:val="clear" w:color="auto" w:fill="auto"/>
            <w:vAlign w:val="center"/>
            <w:hideMark/>
          </w:tcPr>
          <w:p w14:paraId="4C4040C0"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13.3%</w:t>
            </w:r>
          </w:p>
        </w:tc>
        <w:tc>
          <w:tcPr>
            <w:tcW w:w="734" w:type="dxa"/>
            <w:tcBorders>
              <w:top w:val="nil"/>
              <w:left w:val="nil"/>
              <w:bottom w:val="single" w:sz="4" w:space="0" w:color="auto"/>
              <w:right w:val="single" w:sz="4" w:space="0" w:color="auto"/>
            </w:tcBorders>
            <w:shd w:val="clear" w:color="auto" w:fill="auto"/>
            <w:vAlign w:val="center"/>
            <w:hideMark/>
          </w:tcPr>
          <w:p w14:paraId="5800E642"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11.2%</w:t>
            </w:r>
          </w:p>
        </w:tc>
        <w:tc>
          <w:tcPr>
            <w:tcW w:w="734" w:type="dxa"/>
            <w:tcBorders>
              <w:top w:val="nil"/>
              <w:left w:val="nil"/>
              <w:bottom w:val="single" w:sz="4" w:space="0" w:color="auto"/>
              <w:right w:val="single" w:sz="4" w:space="0" w:color="auto"/>
            </w:tcBorders>
            <w:shd w:val="clear" w:color="auto" w:fill="auto"/>
            <w:vAlign w:val="center"/>
            <w:hideMark/>
          </w:tcPr>
          <w:p w14:paraId="358E4A05"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11.7%</w:t>
            </w:r>
          </w:p>
        </w:tc>
        <w:tc>
          <w:tcPr>
            <w:tcW w:w="734" w:type="dxa"/>
            <w:tcBorders>
              <w:top w:val="nil"/>
              <w:left w:val="nil"/>
              <w:bottom w:val="single" w:sz="4" w:space="0" w:color="auto"/>
              <w:right w:val="single" w:sz="4" w:space="0" w:color="auto"/>
            </w:tcBorders>
            <w:shd w:val="clear" w:color="auto" w:fill="auto"/>
            <w:vAlign w:val="center"/>
            <w:hideMark/>
          </w:tcPr>
          <w:p w14:paraId="2EBA65B4"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12.1%</w:t>
            </w:r>
          </w:p>
        </w:tc>
        <w:tc>
          <w:tcPr>
            <w:tcW w:w="734" w:type="dxa"/>
            <w:tcBorders>
              <w:top w:val="nil"/>
              <w:left w:val="nil"/>
              <w:bottom w:val="single" w:sz="4" w:space="0" w:color="auto"/>
              <w:right w:val="single" w:sz="4" w:space="0" w:color="auto"/>
            </w:tcBorders>
            <w:shd w:val="clear" w:color="auto" w:fill="auto"/>
            <w:vAlign w:val="center"/>
            <w:hideMark/>
          </w:tcPr>
          <w:p w14:paraId="3FDC7399"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13.3%</w:t>
            </w:r>
          </w:p>
        </w:tc>
      </w:tr>
      <w:tr w:rsidR="00002D76" w:rsidRPr="008648E5" w14:paraId="1E3816CF" w14:textId="77777777" w:rsidTr="001429C7">
        <w:trPr>
          <w:trHeight w:hRule="exact" w:val="397"/>
        </w:trPr>
        <w:tc>
          <w:tcPr>
            <w:tcW w:w="1095" w:type="dxa"/>
            <w:tcBorders>
              <w:top w:val="nil"/>
              <w:left w:val="single" w:sz="4" w:space="0" w:color="auto"/>
              <w:bottom w:val="single" w:sz="4" w:space="0" w:color="auto"/>
              <w:right w:val="single" w:sz="4" w:space="0" w:color="auto"/>
            </w:tcBorders>
            <w:shd w:val="clear" w:color="000000" w:fill="E6E7E8"/>
            <w:noWrap/>
            <w:vAlign w:val="center"/>
            <w:hideMark/>
          </w:tcPr>
          <w:p w14:paraId="758D1A78"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430000</w:t>
            </w:r>
          </w:p>
        </w:tc>
        <w:tc>
          <w:tcPr>
            <w:tcW w:w="2355" w:type="dxa"/>
            <w:tcBorders>
              <w:top w:val="nil"/>
              <w:left w:val="nil"/>
              <w:bottom w:val="single" w:sz="4" w:space="0" w:color="auto"/>
              <w:right w:val="single" w:sz="4" w:space="0" w:color="auto"/>
            </w:tcBorders>
            <w:shd w:val="clear" w:color="000000" w:fill="E6E7E8"/>
            <w:noWrap/>
            <w:vAlign w:val="center"/>
            <w:hideMark/>
          </w:tcPr>
          <w:p w14:paraId="413D5BBD" w14:textId="77777777" w:rsidR="00002D76" w:rsidRPr="008648E5" w:rsidRDefault="00002D76" w:rsidP="001429C7">
            <w:pPr>
              <w:spacing w:after="0" w:line="240" w:lineRule="auto"/>
              <w:rPr>
                <w:rFonts w:ascii="Calibri" w:hAnsi="Calibri"/>
                <w:color w:val="231F20"/>
                <w:sz w:val="16"/>
                <w:szCs w:val="16"/>
              </w:rPr>
            </w:pPr>
            <w:r w:rsidRPr="008648E5">
              <w:rPr>
                <w:rFonts w:ascii="Calibri" w:hAnsi="Calibri"/>
                <w:color w:val="231F20"/>
                <w:sz w:val="16"/>
                <w:szCs w:val="16"/>
              </w:rPr>
              <w:t>Office and Administrative Support</w:t>
            </w:r>
          </w:p>
        </w:tc>
        <w:tc>
          <w:tcPr>
            <w:tcW w:w="702" w:type="dxa"/>
            <w:tcBorders>
              <w:top w:val="nil"/>
              <w:left w:val="nil"/>
              <w:bottom w:val="single" w:sz="4" w:space="0" w:color="auto"/>
              <w:right w:val="single" w:sz="4" w:space="0" w:color="auto"/>
            </w:tcBorders>
            <w:shd w:val="clear" w:color="000000" w:fill="E6E7E8"/>
            <w:vAlign w:val="center"/>
            <w:hideMark/>
          </w:tcPr>
          <w:p w14:paraId="69F53C19"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16.6%</w:t>
            </w:r>
          </w:p>
        </w:tc>
        <w:tc>
          <w:tcPr>
            <w:tcW w:w="733" w:type="dxa"/>
            <w:tcBorders>
              <w:top w:val="nil"/>
              <w:left w:val="nil"/>
              <w:bottom w:val="single" w:sz="4" w:space="0" w:color="auto"/>
              <w:right w:val="single" w:sz="4" w:space="0" w:color="auto"/>
            </w:tcBorders>
            <w:shd w:val="clear" w:color="000000" w:fill="E6E7E8"/>
            <w:vAlign w:val="center"/>
            <w:hideMark/>
          </w:tcPr>
          <w:p w14:paraId="000F6E24"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17.4%</w:t>
            </w:r>
          </w:p>
        </w:tc>
        <w:tc>
          <w:tcPr>
            <w:tcW w:w="734" w:type="dxa"/>
            <w:tcBorders>
              <w:top w:val="nil"/>
              <w:left w:val="nil"/>
              <w:bottom w:val="single" w:sz="4" w:space="0" w:color="auto"/>
              <w:right w:val="single" w:sz="4" w:space="0" w:color="auto"/>
            </w:tcBorders>
            <w:shd w:val="clear" w:color="000000" w:fill="E6E7E8"/>
            <w:vAlign w:val="center"/>
            <w:hideMark/>
          </w:tcPr>
          <w:p w14:paraId="6B01137F"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13.3%</w:t>
            </w:r>
          </w:p>
        </w:tc>
        <w:tc>
          <w:tcPr>
            <w:tcW w:w="734" w:type="dxa"/>
            <w:tcBorders>
              <w:top w:val="nil"/>
              <w:left w:val="nil"/>
              <w:bottom w:val="single" w:sz="4" w:space="0" w:color="auto"/>
              <w:right w:val="single" w:sz="4" w:space="0" w:color="auto"/>
            </w:tcBorders>
            <w:shd w:val="clear" w:color="000000" w:fill="E6E7E8"/>
            <w:vAlign w:val="center"/>
            <w:hideMark/>
          </w:tcPr>
          <w:p w14:paraId="2355E6BA"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15.8%</w:t>
            </w:r>
          </w:p>
        </w:tc>
        <w:tc>
          <w:tcPr>
            <w:tcW w:w="734" w:type="dxa"/>
            <w:tcBorders>
              <w:top w:val="nil"/>
              <w:left w:val="nil"/>
              <w:bottom w:val="single" w:sz="4" w:space="0" w:color="auto"/>
              <w:right w:val="single" w:sz="4" w:space="0" w:color="auto"/>
            </w:tcBorders>
            <w:shd w:val="clear" w:color="000000" w:fill="E6E7E8"/>
            <w:vAlign w:val="center"/>
            <w:hideMark/>
          </w:tcPr>
          <w:p w14:paraId="31812AF0"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15.3%</w:t>
            </w:r>
          </w:p>
        </w:tc>
        <w:tc>
          <w:tcPr>
            <w:tcW w:w="734" w:type="dxa"/>
            <w:tcBorders>
              <w:top w:val="nil"/>
              <w:left w:val="nil"/>
              <w:bottom w:val="single" w:sz="4" w:space="0" w:color="auto"/>
              <w:right w:val="single" w:sz="4" w:space="0" w:color="auto"/>
            </w:tcBorders>
            <w:shd w:val="clear" w:color="000000" w:fill="E6E7E8"/>
            <w:vAlign w:val="center"/>
            <w:hideMark/>
          </w:tcPr>
          <w:p w14:paraId="435909F6"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15.7%</w:t>
            </w:r>
          </w:p>
        </w:tc>
        <w:tc>
          <w:tcPr>
            <w:tcW w:w="734" w:type="dxa"/>
            <w:tcBorders>
              <w:top w:val="nil"/>
              <w:left w:val="nil"/>
              <w:bottom w:val="single" w:sz="4" w:space="0" w:color="auto"/>
              <w:right w:val="single" w:sz="4" w:space="0" w:color="auto"/>
            </w:tcBorders>
            <w:shd w:val="clear" w:color="000000" w:fill="E6E7E8"/>
            <w:vAlign w:val="center"/>
            <w:hideMark/>
          </w:tcPr>
          <w:p w14:paraId="49DFF4DD"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15.4%</w:t>
            </w:r>
          </w:p>
        </w:tc>
        <w:tc>
          <w:tcPr>
            <w:tcW w:w="734" w:type="dxa"/>
            <w:tcBorders>
              <w:top w:val="nil"/>
              <w:left w:val="nil"/>
              <w:bottom w:val="single" w:sz="4" w:space="0" w:color="auto"/>
              <w:right w:val="single" w:sz="4" w:space="0" w:color="auto"/>
            </w:tcBorders>
            <w:shd w:val="clear" w:color="000000" w:fill="E6E7E8"/>
            <w:vAlign w:val="center"/>
            <w:hideMark/>
          </w:tcPr>
          <w:p w14:paraId="2FC19B9A"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17.9%</w:t>
            </w:r>
          </w:p>
        </w:tc>
        <w:tc>
          <w:tcPr>
            <w:tcW w:w="734" w:type="dxa"/>
            <w:tcBorders>
              <w:top w:val="nil"/>
              <w:left w:val="nil"/>
              <w:bottom w:val="single" w:sz="4" w:space="0" w:color="auto"/>
              <w:right w:val="single" w:sz="4" w:space="0" w:color="auto"/>
            </w:tcBorders>
            <w:shd w:val="clear" w:color="000000" w:fill="E6E7E8"/>
            <w:vAlign w:val="center"/>
            <w:hideMark/>
          </w:tcPr>
          <w:p w14:paraId="317B2A34"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19.1%</w:t>
            </w:r>
          </w:p>
        </w:tc>
        <w:tc>
          <w:tcPr>
            <w:tcW w:w="734" w:type="dxa"/>
            <w:tcBorders>
              <w:top w:val="nil"/>
              <w:left w:val="nil"/>
              <w:bottom w:val="single" w:sz="4" w:space="0" w:color="auto"/>
              <w:right w:val="single" w:sz="4" w:space="0" w:color="auto"/>
            </w:tcBorders>
            <w:shd w:val="clear" w:color="000000" w:fill="E6E7E8"/>
            <w:vAlign w:val="center"/>
            <w:hideMark/>
          </w:tcPr>
          <w:p w14:paraId="5D0EDCC3"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15.3%</w:t>
            </w:r>
          </w:p>
        </w:tc>
      </w:tr>
      <w:tr w:rsidR="00002D76" w:rsidRPr="008648E5" w14:paraId="144EF0F8" w14:textId="77777777" w:rsidTr="001429C7">
        <w:trPr>
          <w:trHeight w:hRule="exact" w:val="296"/>
        </w:trPr>
        <w:tc>
          <w:tcPr>
            <w:tcW w:w="1095" w:type="dxa"/>
            <w:tcBorders>
              <w:top w:val="nil"/>
              <w:left w:val="single" w:sz="4" w:space="0" w:color="auto"/>
              <w:bottom w:val="single" w:sz="4" w:space="0" w:color="auto"/>
              <w:right w:val="single" w:sz="4" w:space="0" w:color="auto"/>
            </w:tcBorders>
            <w:shd w:val="clear" w:color="auto" w:fill="auto"/>
            <w:noWrap/>
            <w:vAlign w:val="center"/>
            <w:hideMark/>
          </w:tcPr>
          <w:p w14:paraId="68CFC13D"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450000</w:t>
            </w:r>
          </w:p>
        </w:tc>
        <w:tc>
          <w:tcPr>
            <w:tcW w:w="2355" w:type="dxa"/>
            <w:tcBorders>
              <w:top w:val="nil"/>
              <w:left w:val="nil"/>
              <w:bottom w:val="single" w:sz="4" w:space="0" w:color="auto"/>
              <w:right w:val="single" w:sz="4" w:space="0" w:color="auto"/>
            </w:tcBorders>
            <w:shd w:val="clear" w:color="auto" w:fill="auto"/>
            <w:noWrap/>
            <w:vAlign w:val="center"/>
            <w:hideMark/>
          </w:tcPr>
          <w:p w14:paraId="05352A4A" w14:textId="606199F0" w:rsidR="00002D76" w:rsidRPr="008648E5" w:rsidRDefault="00002D76" w:rsidP="001429C7">
            <w:pPr>
              <w:spacing w:after="0" w:line="240" w:lineRule="auto"/>
              <w:rPr>
                <w:rFonts w:ascii="Calibri" w:hAnsi="Calibri"/>
                <w:color w:val="231F20"/>
                <w:sz w:val="16"/>
                <w:szCs w:val="16"/>
              </w:rPr>
            </w:pPr>
            <w:r w:rsidRPr="008648E5">
              <w:rPr>
                <w:rFonts w:ascii="Calibri" w:hAnsi="Calibri"/>
                <w:color w:val="231F20"/>
                <w:sz w:val="16"/>
                <w:szCs w:val="16"/>
              </w:rPr>
              <w:t>Farming, Fishing</w:t>
            </w:r>
            <w:r w:rsidR="00D5537E">
              <w:rPr>
                <w:rFonts w:ascii="Calibri" w:hAnsi="Calibri"/>
                <w:color w:val="231F20"/>
                <w:sz w:val="16"/>
                <w:szCs w:val="16"/>
              </w:rPr>
              <w:t xml:space="preserve"> and</w:t>
            </w:r>
            <w:r w:rsidRPr="008648E5">
              <w:rPr>
                <w:rFonts w:ascii="Calibri" w:hAnsi="Calibri"/>
                <w:color w:val="231F20"/>
                <w:sz w:val="16"/>
                <w:szCs w:val="16"/>
              </w:rPr>
              <w:t xml:space="preserve"> Forestry</w:t>
            </w:r>
          </w:p>
        </w:tc>
        <w:tc>
          <w:tcPr>
            <w:tcW w:w="702" w:type="dxa"/>
            <w:tcBorders>
              <w:top w:val="nil"/>
              <w:left w:val="nil"/>
              <w:bottom w:val="single" w:sz="4" w:space="0" w:color="auto"/>
              <w:right w:val="single" w:sz="4" w:space="0" w:color="auto"/>
            </w:tcBorders>
            <w:shd w:val="clear" w:color="auto" w:fill="auto"/>
            <w:vAlign w:val="center"/>
            <w:hideMark/>
          </w:tcPr>
          <w:p w14:paraId="63A4064A"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0.6%</w:t>
            </w:r>
          </w:p>
        </w:tc>
        <w:tc>
          <w:tcPr>
            <w:tcW w:w="733" w:type="dxa"/>
            <w:tcBorders>
              <w:top w:val="nil"/>
              <w:left w:val="nil"/>
              <w:bottom w:val="single" w:sz="4" w:space="0" w:color="auto"/>
              <w:right w:val="single" w:sz="4" w:space="0" w:color="auto"/>
            </w:tcBorders>
            <w:shd w:val="clear" w:color="auto" w:fill="auto"/>
            <w:vAlign w:val="center"/>
            <w:hideMark/>
          </w:tcPr>
          <w:p w14:paraId="26922192"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0.2%</w:t>
            </w:r>
          </w:p>
        </w:tc>
        <w:tc>
          <w:tcPr>
            <w:tcW w:w="734" w:type="dxa"/>
            <w:tcBorders>
              <w:top w:val="nil"/>
              <w:left w:val="nil"/>
              <w:bottom w:val="single" w:sz="4" w:space="0" w:color="auto"/>
              <w:right w:val="single" w:sz="4" w:space="0" w:color="auto"/>
            </w:tcBorders>
            <w:shd w:val="clear" w:color="auto" w:fill="auto"/>
            <w:vAlign w:val="center"/>
            <w:hideMark/>
          </w:tcPr>
          <w:p w14:paraId="4F1EABF7"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0.5%</w:t>
            </w:r>
          </w:p>
        </w:tc>
        <w:tc>
          <w:tcPr>
            <w:tcW w:w="734" w:type="dxa"/>
            <w:tcBorders>
              <w:top w:val="nil"/>
              <w:left w:val="nil"/>
              <w:bottom w:val="single" w:sz="4" w:space="0" w:color="auto"/>
              <w:right w:val="single" w:sz="4" w:space="0" w:color="auto"/>
            </w:tcBorders>
            <w:shd w:val="clear" w:color="auto" w:fill="auto"/>
            <w:vAlign w:val="center"/>
            <w:hideMark/>
          </w:tcPr>
          <w:p w14:paraId="66B7F8F9"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1.2%</w:t>
            </w:r>
          </w:p>
        </w:tc>
        <w:tc>
          <w:tcPr>
            <w:tcW w:w="734" w:type="dxa"/>
            <w:tcBorders>
              <w:top w:val="nil"/>
              <w:left w:val="nil"/>
              <w:bottom w:val="single" w:sz="4" w:space="0" w:color="auto"/>
              <w:right w:val="single" w:sz="4" w:space="0" w:color="auto"/>
            </w:tcBorders>
            <w:shd w:val="clear" w:color="auto" w:fill="auto"/>
            <w:vAlign w:val="center"/>
            <w:hideMark/>
          </w:tcPr>
          <w:p w14:paraId="3AD744EB"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0.6%</w:t>
            </w:r>
          </w:p>
        </w:tc>
        <w:tc>
          <w:tcPr>
            <w:tcW w:w="734" w:type="dxa"/>
            <w:tcBorders>
              <w:top w:val="nil"/>
              <w:left w:val="nil"/>
              <w:bottom w:val="single" w:sz="4" w:space="0" w:color="auto"/>
              <w:right w:val="single" w:sz="4" w:space="0" w:color="auto"/>
            </w:tcBorders>
            <w:shd w:val="clear" w:color="auto" w:fill="auto"/>
            <w:vAlign w:val="center"/>
            <w:hideMark/>
          </w:tcPr>
          <w:p w14:paraId="6F7BCAC1"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0.3%</w:t>
            </w:r>
          </w:p>
        </w:tc>
        <w:tc>
          <w:tcPr>
            <w:tcW w:w="734" w:type="dxa"/>
            <w:tcBorders>
              <w:top w:val="nil"/>
              <w:left w:val="nil"/>
              <w:bottom w:val="single" w:sz="4" w:space="0" w:color="auto"/>
              <w:right w:val="single" w:sz="4" w:space="0" w:color="auto"/>
            </w:tcBorders>
            <w:shd w:val="clear" w:color="auto" w:fill="auto"/>
            <w:vAlign w:val="center"/>
            <w:hideMark/>
          </w:tcPr>
          <w:p w14:paraId="7B1E30B7"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0.1%</w:t>
            </w:r>
          </w:p>
        </w:tc>
        <w:tc>
          <w:tcPr>
            <w:tcW w:w="734" w:type="dxa"/>
            <w:tcBorders>
              <w:top w:val="nil"/>
              <w:left w:val="nil"/>
              <w:bottom w:val="single" w:sz="4" w:space="0" w:color="auto"/>
              <w:right w:val="single" w:sz="4" w:space="0" w:color="auto"/>
            </w:tcBorders>
            <w:shd w:val="clear" w:color="auto" w:fill="auto"/>
            <w:vAlign w:val="center"/>
            <w:hideMark/>
          </w:tcPr>
          <w:p w14:paraId="503FDE2E"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0.1%</w:t>
            </w:r>
          </w:p>
        </w:tc>
        <w:tc>
          <w:tcPr>
            <w:tcW w:w="734" w:type="dxa"/>
            <w:tcBorders>
              <w:top w:val="nil"/>
              <w:left w:val="nil"/>
              <w:bottom w:val="single" w:sz="4" w:space="0" w:color="auto"/>
              <w:right w:val="single" w:sz="4" w:space="0" w:color="auto"/>
            </w:tcBorders>
            <w:shd w:val="clear" w:color="auto" w:fill="auto"/>
            <w:vAlign w:val="center"/>
            <w:hideMark/>
          </w:tcPr>
          <w:p w14:paraId="3D3B74BC"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0.7%</w:t>
            </w:r>
          </w:p>
        </w:tc>
        <w:tc>
          <w:tcPr>
            <w:tcW w:w="734" w:type="dxa"/>
            <w:tcBorders>
              <w:top w:val="nil"/>
              <w:left w:val="nil"/>
              <w:bottom w:val="single" w:sz="4" w:space="0" w:color="auto"/>
              <w:right w:val="single" w:sz="4" w:space="0" w:color="auto"/>
            </w:tcBorders>
            <w:shd w:val="clear" w:color="auto" w:fill="auto"/>
            <w:vAlign w:val="center"/>
            <w:hideMark/>
          </w:tcPr>
          <w:p w14:paraId="2CFA2AF6"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0.3%</w:t>
            </w:r>
          </w:p>
        </w:tc>
      </w:tr>
      <w:tr w:rsidR="00002D76" w:rsidRPr="008648E5" w14:paraId="433FDFCE" w14:textId="77777777" w:rsidTr="001429C7">
        <w:trPr>
          <w:trHeight w:hRule="exact" w:val="296"/>
        </w:trPr>
        <w:tc>
          <w:tcPr>
            <w:tcW w:w="1095" w:type="dxa"/>
            <w:tcBorders>
              <w:top w:val="nil"/>
              <w:left w:val="single" w:sz="4" w:space="0" w:color="auto"/>
              <w:bottom w:val="single" w:sz="4" w:space="0" w:color="auto"/>
              <w:right w:val="single" w:sz="4" w:space="0" w:color="auto"/>
            </w:tcBorders>
            <w:shd w:val="clear" w:color="000000" w:fill="E6E7E8"/>
            <w:noWrap/>
            <w:vAlign w:val="center"/>
            <w:hideMark/>
          </w:tcPr>
          <w:p w14:paraId="337F0627"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470000</w:t>
            </w:r>
          </w:p>
        </w:tc>
        <w:tc>
          <w:tcPr>
            <w:tcW w:w="2355" w:type="dxa"/>
            <w:tcBorders>
              <w:top w:val="nil"/>
              <w:left w:val="nil"/>
              <w:bottom w:val="single" w:sz="4" w:space="0" w:color="auto"/>
              <w:right w:val="single" w:sz="4" w:space="0" w:color="auto"/>
            </w:tcBorders>
            <w:shd w:val="clear" w:color="000000" w:fill="E6E7E8"/>
            <w:noWrap/>
            <w:vAlign w:val="center"/>
            <w:hideMark/>
          </w:tcPr>
          <w:p w14:paraId="2B1BD884" w14:textId="77777777" w:rsidR="00002D76" w:rsidRPr="008648E5" w:rsidRDefault="00002D76" w:rsidP="001429C7">
            <w:pPr>
              <w:spacing w:after="0" w:line="240" w:lineRule="auto"/>
              <w:rPr>
                <w:rFonts w:ascii="Calibri" w:hAnsi="Calibri"/>
                <w:color w:val="231F20"/>
                <w:sz w:val="16"/>
                <w:szCs w:val="16"/>
              </w:rPr>
            </w:pPr>
            <w:r w:rsidRPr="008648E5">
              <w:rPr>
                <w:rFonts w:ascii="Calibri" w:hAnsi="Calibri"/>
                <w:color w:val="231F20"/>
                <w:sz w:val="16"/>
                <w:szCs w:val="16"/>
              </w:rPr>
              <w:t>Construction and Extraction</w:t>
            </w:r>
          </w:p>
        </w:tc>
        <w:tc>
          <w:tcPr>
            <w:tcW w:w="702" w:type="dxa"/>
            <w:tcBorders>
              <w:top w:val="nil"/>
              <w:left w:val="nil"/>
              <w:bottom w:val="single" w:sz="4" w:space="0" w:color="auto"/>
              <w:right w:val="single" w:sz="4" w:space="0" w:color="auto"/>
            </w:tcBorders>
            <w:shd w:val="clear" w:color="000000" w:fill="E6E7E8"/>
            <w:vAlign w:val="center"/>
            <w:hideMark/>
          </w:tcPr>
          <w:p w14:paraId="664E0B54"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5.0%</w:t>
            </w:r>
          </w:p>
        </w:tc>
        <w:tc>
          <w:tcPr>
            <w:tcW w:w="733" w:type="dxa"/>
            <w:tcBorders>
              <w:top w:val="nil"/>
              <w:left w:val="nil"/>
              <w:bottom w:val="single" w:sz="4" w:space="0" w:color="auto"/>
              <w:right w:val="single" w:sz="4" w:space="0" w:color="auto"/>
            </w:tcBorders>
            <w:shd w:val="clear" w:color="000000" w:fill="E6E7E8"/>
            <w:vAlign w:val="center"/>
            <w:hideMark/>
          </w:tcPr>
          <w:p w14:paraId="5B158B60"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5.2%</w:t>
            </w:r>
          </w:p>
        </w:tc>
        <w:tc>
          <w:tcPr>
            <w:tcW w:w="734" w:type="dxa"/>
            <w:tcBorders>
              <w:top w:val="nil"/>
              <w:left w:val="nil"/>
              <w:bottom w:val="single" w:sz="4" w:space="0" w:color="auto"/>
              <w:right w:val="single" w:sz="4" w:space="0" w:color="auto"/>
            </w:tcBorders>
            <w:shd w:val="clear" w:color="000000" w:fill="E6E7E8"/>
            <w:vAlign w:val="center"/>
            <w:hideMark/>
          </w:tcPr>
          <w:p w14:paraId="6490D75C"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3.5%</w:t>
            </w:r>
          </w:p>
        </w:tc>
        <w:tc>
          <w:tcPr>
            <w:tcW w:w="734" w:type="dxa"/>
            <w:tcBorders>
              <w:top w:val="nil"/>
              <w:left w:val="nil"/>
              <w:bottom w:val="single" w:sz="4" w:space="0" w:color="auto"/>
              <w:right w:val="single" w:sz="4" w:space="0" w:color="auto"/>
            </w:tcBorders>
            <w:shd w:val="clear" w:color="000000" w:fill="E6E7E8"/>
            <w:vAlign w:val="center"/>
            <w:hideMark/>
          </w:tcPr>
          <w:p w14:paraId="23A2DD6F"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6.5%</w:t>
            </w:r>
          </w:p>
        </w:tc>
        <w:tc>
          <w:tcPr>
            <w:tcW w:w="734" w:type="dxa"/>
            <w:tcBorders>
              <w:top w:val="nil"/>
              <w:left w:val="nil"/>
              <w:bottom w:val="single" w:sz="4" w:space="0" w:color="auto"/>
              <w:right w:val="single" w:sz="4" w:space="0" w:color="auto"/>
            </w:tcBorders>
            <w:shd w:val="clear" w:color="000000" w:fill="E6E7E8"/>
            <w:vAlign w:val="center"/>
            <w:hideMark/>
          </w:tcPr>
          <w:p w14:paraId="3A15AC36"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5.8%</w:t>
            </w:r>
          </w:p>
        </w:tc>
        <w:tc>
          <w:tcPr>
            <w:tcW w:w="734" w:type="dxa"/>
            <w:tcBorders>
              <w:top w:val="nil"/>
              <w:left w:val="nil"/>
              <w:bottom w:val="single" w:sz="4" w:space="0" w:color="auto"/>
              <w:right w:val="single" w:sz="4" w:space="0" w:color="auto"/>
            </w:tcBorders>
            <w:shd w:val="clear" w:color="000000" w:fill="E6E7E8"/>
            <w:vAlign w:val="center"/>
            <w:hideMark/>
          </w:tcPr>
          <w:p w14:paraId="6C7C78FE"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4.9%</w:t>
            </w:r>
          </w:p>
        </w:tc>
        <w:tc>
          <w:tcPr>
            <w:tcW w:w="734" w:type="dxa"/>
            <w:tcBorders>
              <w:top w:val="nil"/>
              <w:left w:val="nil"/>
              <w:bottom w:val="single" w:sz="4" w:space="0" w:color="auto"/>
              <w:right w:val="single" w:sz="4" w:space="0" w:color="auto"/>
            </w:tcBorders>
            <w:shd w:val="clear" w:color="000000" w:fill="E6E7E8"/>
            <w:vAlign w:val="center"/>
            <w:hideMark/>
          </w:tcPr>
          <w:p w14:paraId="7E3A9F42"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5.2%</w:t>
            </w:r>
          </w:p>
        </w:tc>
        <w:tc>
          <w:tcPr>
            <w:tcW w:w="734" w:type="dxa"/>
            <w:tcBorders>
              <w:top w:val="nil"/>
              <w:left w:val="nil"/>
              <w:bottom w:val="single" w:sz="4" w:space="0" w:color="auto"/>
              <w:right w:val="single" w:sz="4" w:space="0" w:color="auto"/>
            </w:tcBorders>
            <w:shd w:val="clear" w:color="000000" w:fill="E6E7E8"/>
            <w:vAlign w:val="center"/>
            <w:hideMark/>
          </w:tcPr>
          <w:p w14:paraId="29FC91E7"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4.3%</w:t>
            </w:r>
          </w:p>
        </w:tc>
        <w:tc>
          <w:tcPr>
            <w:tcW w:w="734" w:type="dxa"/>
            <w:tcBorders>
              <w:top w:val="nil"/>
              <w:left w:val="nil"/>
              <w:bottom w:val="single" w:sz="4" w:space="0" w:color="auto"/>
              <w:right w:val="single" w:sz="4" w:space="0" w:color="auto"/>
            </w:tcBorders>
            <w:shd w:val="clear" w:color="000000" w:fill="E6E7E8"/>
            <w:vAlign w:val="center"/>
            <w:hideMark/>
          </w:tcPr>
          <w:p w14:paraId="5976062F"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4.6%</w:t>
            </w:r>
          </w:p>
        </w:tc>
        <w:tc>
          <w:tcPr>
            <w:tcW w:w="734" w:type="dxa"/>
            <w:tcBorders>
              <w:top w:val="nil"/>
              <w:left w:val="nil"/>
              <w:bottom w:val="single" w:sz="4" w:space="0" w:color="auto"/>
              <w:right w:val="single" w:sz="4" w:space="0" w:color="auto"/>
            </w:tcBorders>
            <w:shd w:val="clear" w:color="000000" w:fill="E6E7E8"/>
            <w:vAlign w:val="center"/>
            <w:hideMark/>
          </w:tcPr>
          <w:p w14:paraId="1FD82CEA"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6.0%</w:t>
            </w:r>
          </w:p>
        </w:tc>
      </w:tr>
      <w:tr w:rsidR="00002D76" w:rsidRPr="008648E5" w14:paraId="067F7B24" w14:textId="77777777" w:rsidTr="001429C7">
        <w:trPr>
          <w:trHeight w:hRule="exact" w:val="505"/>
        </w:trPr>
        <w:tc>
          <w:tcPr>
            <w:tcW w:w="1095" w:type="dxa"/>
            <w:tcBorders>
              <w:top w:val="nil"/>
              <w:left w:val="single" w:sz="4" w:space="0" w:color="auto"/>
              <w:bottom w:val="single" w:sz="4" w:space="0" w:color="auto"/>
              <w:right w:val="single" w:sz="4" w:space="0" w:color="auto"/>
            </w:tcBorders>
            <w:shd w:val="clear" w:color="auto" w:fill="auto"/>
            <w:noWrap/>
            <w:vAlign w:val="center"/>
            <w:hideMark/>
          </w:tcPr>
          <w:p w14:paraId="0479B0AA"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490000</w:t>
            </w:r>
          </w:p>
        </w:tc>
        <w:tc>
          <w:tcPr>
            <w:tcW w:w="2355" w:type="dxa"/>
            <w:tcBorders>
              <w:top w:val="nil"/>
              <w:left w:val="nil"/>
              <w:bottom w:val="single" w:sz="4" w:space="0" w:color="auto"/>
              <w:right w:val="single" w:sz="4" w:space="0" w:color="auto"/>
            </w:tcBorders>
            <w:shd w:val="clear" w:color="auto" w:fill="auto"/>
            <w:noWrap/>
            <w:vAlign w:val="center"/>
            <w:hideMark/>
          </w:tcPr>
          <w:p w14:paraId="4B7B2088" w14:textId="1B5B7371" w:rsidR="00002D76" w:rsidRPr="008648E5" w:rsidRDefault="00002D76" w:rsidP="001429C7">
            <w:pPr>
              <w:spacing w:after="0" w:line="240" w:lineRule="auto"/>
              <w:rPr>
                <w:rFonts w:ascii="Calibri" w:hAnsi="Calibri"/>
                <w:color w:val="231F20"/>
                <w:sz w:val="16"/>
                <w:szCs w:val="16"/>
              </w:rPr>
            </w:pPr>
            <w:r w:rsidRPr="008648E5">
              <w:rPr>
                <w:rFonts w:ascii="Calibri" w:hAnsi="Calibri"/>
                <w:color w:val="231F20"/>
                <w:sz w:val="16"/>
                <w:szCs w:val="16"/>
              </w:rPr>
              <w:t>Installation, Maintenance</w:t>
            </w:r>
            <w:r w:rsidR="00D5537E">
              <w:rPr>
                <w:rFonts w:ascii="Calibri" w:hAnsi="Calibri"/>
                <w:color w:val="231F20"/>
                <w:sz w:val="16"/>
                <w:szCs w:val="16"/>
              </w:rPr>
              <w:t xml:space="preserve"> and</w:t>
            </w:r>
            <w:r w:rsidRPr="008648E5">
              <w:rPr>
                <w:rFonts w:ascii="Calibri" w:hAnsi="Calibri"/>
                <w:color w:val="231F20"/>
                <w:sz w:val="16"/>
                <w:szCs w:val="16"/>
              </w:rPr>
              <w:t xml:space="preserve"> Repair</w:t>
            </w:r>
          </w:p>
        </w:tc>
        <w:tc>
          <w:tcPr>
            <w:tcW w:w="702" w:type="dxa"/>
            <w:tcBorders>
              <w:top w:val="nil"/>
              <w:left w:val="nil"/>
              <w:bottom w:val="single" w:sz="4" w:space="0" w:color="auto"/>
              <w:right w:val="single" w:sz="4" w:space="0" w:color="auto"/>
            </w:tcBorders>
            <w:shd w:val="clear" w:color="auto" w:fill="auto"/>
            <w:vAlign w:val="center"/>
            <w:hideMark/>
          </w:tcPr>
          <w:p w14:paraId="4D9BD2C7"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4.2%</w:t>
            </w:r>
          </w:p>
        </w:tc>
        <w:tc>
          <w:tcPr>
            <w:tcW w:w="733" w:type="dxa"/>
            <w:tcBorders>
              <w:top w:val="nil"/>
              <w:left w:val="nil"/>
              <w:bottom w:val="single" w:sz="4" w:space="0" w:color="auto"/>
              <w:right w:val="single" w:sz="4" w:space="0" w:color="auto"/>
            </w:tcBorders>
            <w:shd w:val="clear" w:color="auto" w:fill="auto"/>
            <w:vAlign w:val="center"/>
            <w:hideMark/>
          </w:tcPr>
          <w:p w14:paraId="6DF2002B"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4.5%</w:t>
            </w:r>
          </w:p>
        </w:tc>
        <w:tc>
          <w:tcPr>
            <w:tcW w:w="734" w:type="dxa"/>
            <w:tcBorders>
              <w:top w:val="nil"/>
              <w:left w:val="nil"/>
              <w:bottom w:val="single" w:sz="4" w:space="0" w:color="auto"/>
              <w:right w:val="single" w:sz="4" w:space="0" w:color="auto"/>
            </w:tcBorders>
            <w:shd w:val="clear" w:color="auto" w:fill="auto"/>
            <w:vAlign w:val="center"/>
            <w:hideMark/>
          </w:tcPr>
          <w:p w14:paraId="77FD76B1"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3.4%</w:t>
            </w:r>
          </w:p>
        </w:tc>
        <w:tc>
          <w:tcPr>
            <w:tcW w:w="734" w:type="dxa"/>
            <w:tcBorders>
              <w:top w:val="nil"/>
              <w:left w:val="nil"/>
              <w:bottom w:val="single" w:sz="4" w:space="0" w:color="auto"/>
              <w:right w:val="single" w:sz="4" w:space="0" w:color="auto"/>
            </w:tcBorders>
            <w:shd w:val="clear" w:color="auto" w:fill="auto"/>
            <w:vAlign w:val="center"/>
            <w:hideMark/>
          </w:tcPr>
          <w:p w14:paraId="51BF54EB"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4.5%</w:t>
            </w:r>
          </w:p>
        </w:tc>
        <w:tc>
          <w:tcPr>
            <w:tcW w:w="734" w:type="dxa"/>
            <w:tcBorders>
              <w:top w:val="nil"/>
              <w:left w:val="nil"/>
              <w:bottom w:val="single" w:sz="4" w:space="0" w:color="auto"/>
              <w:right w:val="single" w:sz="4" w:space="0" w:color="auto"/>
            </w:tcBorders>
            <w:shd w:val="clear" w:color="auto" w:fill="auto"/>
            <w:vAlign w:val="center"/>
            <w:hideMark/>
          </w:tcPr>
          <w:p w14:paraId="34299583"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4.0%</w:t>
            </w:r>
          </w:p>
        </w:tc>
        <w:tc>
          <w:tcPr>
            <w:tcW w:w="734" w:type="dxa"/>
            <w:tcBorders>
              <w:top w:val="nil"/>
              <w:left w:val="nil"/>
              <w:bottom w:val="single" w:sz="4" w:space="0" w:color="auto"/>
              <w:right w:val="single" w:sz="4" w:space="0" w:color="auto"/>
            </w:tcBorders>
            <w:shd w:val="clear" w:color="auto" w:fill="auto"/>
            <w:vAlign w:val="center"/>
            <w:hideMark/>
          </w:tcPr>
          <w:p w14:paraId="3A5989C6"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3.8%</w:t>
            </w:r>
          </w:p>
        </w:tc>
        <w:tc>
          <w:tcPr>
            <w:tcW w:w="734" w:type="dxa"/>
            <w:tcBorders>
              <w:top w:val="nil"/>
              <w:left w:val="nil"/>
              <w:bottom w:val="single" w:sz="4" w:space="0" w:color="auto"/>
              <w:right w:val="single" w:sz="4" w:space="0" w:color="auto"/>
            </w:tcBorders>
            <w:shd w:val="clear" w:color="auto" w:fill="auto"/>
            <w:vAlign w:val="center"/>
            <w:hideMark/>
          </w:tcPr>
          <w:p w14:paraId="180739D6"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4.4%</w:t>
            </w:r>
          </w:p>
        </w:tc>
        <w:tc>
          <w:tcPr>
            <w:tcW w:w="734" w:type="dxa"/>
            <w:tcBorders>
              <w:top w:val="nil"/>
              <w:left w:val="nil"/>
              <w:bottom w:val="single" w:sz="4" w:space="0" w:color="auto"/>
              <w:right w:val="single" w:sz="4" w:space="0" w:color="auto"/>
            </w:tcBorders>
            <w:shd w:val="clear" w:color="auto" w:fill="auto"/>
            <w:vAlign w:val="center"/>
            <w:hideMark/>
          </w:tcPr>
          <w:p w14:paraId="68429677"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4.1%</w:t>
            </w:r>
          </w:p>
        </w:tc>
        <w:tc>
          <w:tcPr>
            <w:tcW w:w="734" w:type="dxa"/>
            <w:tcBorders>
              <w:top w:val="nil"/>
              <w:left w:val="nil"/>
              <w:bottom w:val="single" w:sz="4" w:space="0" w:color="auto"/>
              <w:right w:val="single" w:sz="4" w:space="0" w:color="auto"/>
            </w:tcBorders>
            <w:shd w:val="clear" w:color="auto" w:fill="auto"/>
            <w:vAlign w:val="center"/>
            <w:hideMark/>
          </w:tcPr>
          <w:p w14:paraId="5D933742"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3.9%</w:t>
            </w:r>
          </w:p>
        </w:tc>
        <w:tc>
          <w:tcPr>
            <w:tcW w:w="734" w:type="dxa"/>
            <w:tcBorders>
              <w:top w:val="nil"/>
              <w:left w:val="nil"/>
              <w:bottom w:val="single" w:sz="4" w:space="0" w:color="auto"/>
              <w:right w:val="single" w:sz="4" w:space="0" w:color="auto"/>
            </w:tcBorders>
            <w:shd w:val="clear" w:color="auto" w:fill="auto"/>
            <w:vAlign w:val="center"/>
            <w:hideMark/>
          </w:tcPr>
          <w:p w14:paraId="73BBCB9F"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4.3%</w:t>
            </w:r>
          </w:p>
        </w:tc>
      </w:tr>
      <w:tr w:rsidR="00002D76" w:rsidRPr="008648E5" w14:paraId="4157C305" w14:textId="77777777" w:rsidTr="001429C7">
        <w:trPr>
          <w:trHeight w:hRule="exact" w:val="296"/>
        </w:trPr>
        <w:tc>
          <w:tcPr>
            <w:tcW w:w="1095" w:type="dxa"/>
            <w:tcBorders>
              <w:top w:val="nil"/>
              <w:left w:val="single" w:sz="4" w:space="0" w:color="auto"/>
              <w:bottom w:val="single" w:sz="4" w:space="0" w:color="auto"/>
              <w:right w:val="single" w:sz="4" w:space="0" w:color="auto"/>
            </w:tcBorders>
            <w:shd w:val="clear" w:color="000000" w:fill="E6E7E8"/>
            <w:noWrap/>
            <w:vAlign w:val="center"/>
            <w:hideMark/>
          </w:tcPr>
          <w:p w14:paraId="63A3C89A"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510000</w:t>
            </w:r>
          </w:p>
        </w:tc>
        <w:tc>
          <w:tcPr>
            <w:tcW w:w="2355" w:type="dxa"/>
            <w:tcBorders>
              <w:top w:val="nil"/>
              <w:left w:val="nil"/>
              <w:bottom w:val="single" w:sz="4" w:space="0" w:color="auto"/>
              <w:right w:val="single" w:sz="4" w:space="0" w:color="auto"/>
            </w:tcBorders>
            <w:shd w:val="clear" w:color="000000" w:fill="E6E7E8"/>
            <w:noWrap/>
            <w:vAlign w:val="center"/>
            <w:hideMark/>
          </w:tcPr>
          <w:p w14:paraId="1D53A273" w14:textId="77777777" w:rsidR="00002D76" w:rsidRPr="008648E5" w:rsidRDefault="00002D76" w:rsidP="001429C7">
            <w:pPr>
              <w:spacing w:after="0" w:line="240" w:lineRule="auto"/>
              <w:rPr>
                <w:rFonts w:ascii="Calibri" w:hAnsi="Calibri"/>
                <w:color w:val="231F20"/>
                <w:sz w:val="16"/>
                <w:szCs w:val="16"/>
              </w:rPr>
            </w:pPr>
            <w:r w:rsidRPr="008648E5">
              <w:rPr>
                <w:rFonts w:ascii="Calibri" w:hAnsi="Calibri"/>
                <w:color w:val="231F20"/>
                <w:sz w:val="16"/>
                <w:szCs w:val="16"/>
              </w:rPr>
              <w:t>Production</w:t>
            </w:r>
          </w:p>
        </w:tc>
        <w:tc>
          <w:tcPr>
            <w:tcW w:w="702" w:type="dxa"/>
            <w:tcBorders>
              <w:top w:val="nil"/>
              <w:left w:val="nil"/>
              <w:bottom w:val="single" w:sz="4" w:space="0" w:color="auto"/>
              <w:right w:val="single" w:sz="4" w:space="0" w:color="auto"/>
            </w:tcBorders>
            <w:shd w:val="clear" w:color="000000" w:fill="E6E7E8"/>
            <w:vAlign w:val="center"/>
            <w:hideMark/>
          </w:tcPr>
          <w:p w14:paraId="2C8BDBD6"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3.5%</w:t>
            </w:r>
          </w:p>
        </w:tc>
        <w:tc>
          <w:tcPr>
            <w:tcW w:w="733" w:type="dxa"/>
            <w:tcBorders>
              <w:top w:val="nil"/>
              <w:left w:val="nil"/>
              <w:bottom w:val="single" w:sz="4" w:space="0" w:color="auto"/>
              <w:right w:val="single" w:sz="4" w:space="0" w:color="auto"/>
            </w:tcBorders>
            <w:shd w:val="clear" w:color="000000" w:fill="E6E7E8"/>
            <w:vAlign w:val="center"/>
            <w:hideMark/>
          </w:tcPr>
          <w:p w14:paraId="0C7D7437"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3.7%</w:t>
            </w:r>
          </w:p>
        </w:tc>
        <w:tc>
          <w:tcPr>
            <w:tcW w:w="734" w:type="dxa"/>
            <w:tcBorders>
              <w:top w:val="nil"/>
              <w:left w:val="nil"/>
              <w:bottom w:val="single" w:sz="4" w:space="0" w:color="auto"/>
              <w:right w:val="single" w:sz="4" w:space="0" w:color="auto"/>
            </w:tcBorders>
            <w:shd w:val="clear" w:color="000000" w:fill="E6E7E8"/>
            <w:vAlign w:val="center"/>
            <w:hideMark/>
          </w:tcPr>
          <w:p w14:paraId="43E022CB"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2.7%</w:t>
            </w:r>
          </w:p>
        </w:tc>
        <w:tc>
          <w:tcPr>
            <w:tcW w:w="734" w:type="dxa"/>
            <w:tcBorders>
              <w:top w:val="nil"/>
              <w:left w:val="nil"/>
              <w:bottom w:val="single" w:sz="4" w:space="0" w:color="auto"/>
              <w:right w:val="single" w:sz="4" w:space="0" w:color="auto"/>
            </w:tcBorders>
            <w:shd w:val="clear" w:color="000000" w:fill="E6E7E8"/>
            <w:vAlign w:val="center"/>
            <w:hideMark/>
          </w:tcPr>
          <w:p w14:paraId="08A3A429"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5.4%</w:t>
            </w:r>
          </w:p>
        </w:tc>
        <w:tc>
          <w:tcPr>
            <w:tcW w:w="734" w:type="dxa"/>
            <w:tcBorders>
              <w:top w:val="nil"/>
              <w:left w:val="nil"/>
              <w:bottom w:val="single" w:sz="4" w:space="0" w:color="auto"/>
              <w:right w:val="single" w:sz="4" w:space="0" w:color="auto"/>
            </w:tcBorders>
            <w:shd w:val="clear" w:color="000000" w:fill="E6E7E8"/>
            <w:vAlign w:val="center"/>
            <w:hideMark/>
          </w:tcPr>
          <w:p w14:paraId="08DD6747"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4.8%</w:t>
            </w:r>
          </w:p>
        </w:tc>
        <w:tc>
          <w:tcPr>
            <w:tcW w:w="734" w:type="dxa"/>
            <w:tcBorders>
              <w:top w:val="nil"/>
              <w:left w:val="nil"/>
              <w:bottom w:val="single" w:sz="4" w:space="0" w:color="auto"/>
              <w:right w:val="single" w:sz="4" w:space="0" w:color="auto"/>
            </w:tcBorders>
            <w:shd w:val="clear" w:color="000000" w:fill="E6E7E8"/>
            <w:vAlign w:val="center"/>
            <w:hideMark/>
          </w:tcPr>
          <w:p w14:paraId="30CFD2FB"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3.0%</w:t>
            </w:r>
          </w:p>
        </w:tc>
        <w:tc>
          <w:tcPr>
            <w:tcW w:w="734" w:type="dxa"/>
            <w:tcBorders>
              <w:top w:val="nil"/>
              <w:left w:val="nil"/>
              <w:bottom w:val="single" w:sz="4" w:space="0" w:color="auto"/>
              <w:right w:val="single" w:sz="4" w:space="0" w:color="auto"/>
            </w:tcBorders>
            <w:shd w:val="clear" w:color="000000" w:fill="E6E7E8"/>
            <w:vAlign w:val="center"/>
            <w:hideMark/>
          </w:tcPr>
          <w:p w14:paraId="2FDDA5E6"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4.4%</w:t>
            </w:r>
          </w:p>
        </w:tc>
        <w:tc>
          <w:tcPr>
            <w:tcW w:w="734" w:type="dxa"/>
            <w:tcBorders>
              <w:top w:val="nil"/>
              <w:left w:val="nil"/>
              <w:bottom w:val="single" w:sz="4" w:space="0" w:color="auto"/>
              <w:right w:val="single" w:sz="4" w:space="0" w:color="auto"/>
            </w:tcBorders>
            <w:shd w:val="clear" w:color="000000" w:fill="E6E7E8"/>
            <w:vAlign w:val="center"/>
            <w:hideMark/>
          </w:tcPr>
          <w:p w14:paraId="653243AA"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5.1%</w:t>
            </w:r>
          </w:p>
        </w:tc>
        <w:tc>
          <w:tcPr>
            <w:tcW w:w="734" w:type="dxa"/>
            <w:tcBorders>
              <w:top w:val="nil"/>
              <w:left w:val="nil"/>
              <w:bottom w:val="single" w:sz="4" w:space="0" w:color="auto"/>
              <w:right w:val="single" w:sz="4" w:space="0" w:color="auto"/>
            </w:tcBorders>
            <w:shd w:val="clear" w:color="000000" w:fill="E6E7E8"/>
            <w:vAlign w:val="center"/>
            <w:hideMark/>
          </w:tcPr>
          <w:p w14:paraId="545ACC2A"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3.3%</w:t>
            </w:r>
          </w:p>
        </w:tc>
        <w:tc>
          <w:tcPr>
            <w:tcW w:w="734" w:type="dxa"/>
            <w:tcBorders>
              <w:top w:val="nil"/>
              <w:left w:val="nil"/>
              <w:bottom w:val="single" w:sz="4" w:space="0" w:color="auto"/>
              <w:right w:val="single" w:sz="4" w:space="0" w:color="auto"/>
            </w:tcBorders>
            <w:shd w:val="clear" w:color="000000" w:fill="E6E7E8"/>
            <w:vAlign w:val="center"/>
            <w:hideMark/>
          </w:tcPr>
          <w:p w14:paraId="3A574751"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3.3%</w:t>
            </w:r>
          </w:p>
        </w:tc>
      </w:tr>
      <w:tr w:rsidR="00002D76" w:rsidRPr="008648E5" w14:paraId="123EDDEB" w14:textId="77777777" w:rsidTr="001429C7">
        <w:trPr>
          <w:trHeight w:hRule="exact" w:val="442"/>
        </w:trPr>
        <w:tc>
          <w:tcPr>
            <w:tcW w:w="1095" w:type="dxa"/>
            <w:tcBorders>
              <w:top w:val="nil"/>
              <w:left w:val="single" w:sz="4" w:space="0" w:color="auto"/>
              <w:bottom w:val="single" w:sz="4" w:space="0" w:color="auto"/>
              <w:right w:val="single" w:sz="4" w:space="0" w:color="auto"/>
            </w:tcBorders>
            <w:shd w:val="clear" w:color="auto" w:fill="auto"/>
            <w:noWrap/>
            <w:vAlign w:val="center"/>
            <w:hideMark/>
          </w:tcPr>
          <w:p w14:paraId="5EE1736D"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530000</w:t>
            </w:r>
          </w:p>
        </w:tc>
        <w:tc>
          <w:tcPr>
            <w:tcW w:w="2355" w:type="dxa"/>
            <w:tcBorders>
              <w:top w:val="nil"/>
              <w:left w:val="nil"/>
              <w:bottom w:val="single" w:sz="4" w:space="0" w:color="auto"/>
              <w:right w:val="single" w:sz="4" w:space="0" w:color="auto"/>
            </w:tcBorders>
            <w:shd w:val="clear" w:color="auto" w:fill="auto"/>
            <w:noWrap/>
            <w:vAlign w:val="center"/>
            <w:hideMark/>
          </w:tcPr>
          <w:p w14:paraId="0A1609EC" w14:textId="77777777" w:rsidR="00002D76" w:rsidRPr="008648E5" w:rsidRDefault="00002D76" w:rsidP="001429C7">
            <w:pPr>
              <w:spacing w:after="0" w:line="240" w:lineRule="auto"/>
              <w:rPr>
                <w:rFonts w:ascii="Calibri" w:hAnsi="Calibri"/>
                <w:color w:val="231F20"/>
                <w:sz w:val="16"/>
                <w:szCs w:val="16"/>
              </w:rPr>
            </w:pPr>
            <w:r w:rsidRPr="008648E5">
              <w:rPr>
                <w:rFonts w:ascii="Calibri" w:hAnsi="Calibri"/>
                <w:color w:val="231F20"/>
                <w:sz w:val="16"/>
                <w:szCs w:val="16"/>
              </w:rPr>
              <w:t>Transportation and Material Moving</w:t>
            </w:r>
          </w:p>
        </w:tc>
        <w:tc>
          <w:tcPr>
            <w:tcW w:w="702" w:type="dxa"/>
            <w:tcBorders>
              <w:top w:val="nil"/>
              <w:left w:val="nil"/>
              <w:bottom w:val="single" w:sz="4" w:space="0" w:color="auto"/>
              <w:right w:val="single" w:sz="4" w:space="0" w:color="auto"/>
            </w:tcBorders>
            <w:shd w:val="clear" w:color="auto" w:fill="auto"/>
            <w:vAlign w:val="center"/>
            <w:hideMark/>
          </w:tcPr>
          <w:p w14:paraId="0A8756BD"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5.8%</w:t>
            </w:r>
          </w:p>
        </w:tc>
        <w:tc>
          <w:tcPr>
            <w:tcW w:w="733" w:type="dxa"/>
            <w:tcBorders>
              <w:top w:val="nil"/>
              <w:left w:val="nil"/>
              <w:bottom w:val="single" w:sz="4" w:space="0" w:color="auto"/>
              <w:right w:val="single" w:sz="4" w:space="0" w:color="auto"/>
            </w:tcBorders>
            <w:shd w:val="clear" w:color="auto" w:fill="auto"/>
            <w:vAlign w:val="center"/>
            <w:hideMark/>
          </w:tcPr>
          <w:p w14:paraId="05174663"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7.1%</w:t>
            </w:r>
          </w:p>
        </w:tc>
        <w:tc>
          <w:tcPr>
            <w:tcW w:w="734" w:type="dxa"/>
            <w:tcBorders>
              <w:top w:val="nil"/>
              <w:left w:val="nil"/>
              <w:bottom w:val="single" w:sz="4" w:space="0" w:color="auto"/>
              <w:right w:val="single" w:sz="4" w:space="0" w:color="auto"/>
            </w:tcBorders>
            <w:shd w:val="clear" w:color="auto" w:fill="auto"/>
            <w:vAlign w:val="center"/>
            <w:hideMark/>
          </w:tcPr>
          <w:p w14:paraId="68F40081"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4.4%</w:t>
            </w:r>
          </w:p>
        </w:tc>
        <w:tc>
          <w:tcPr>
            <w:tcW w:w="734" w:type="dxa"/>
            <w:tcBorders>
              <w:top w:val="nil"/>
              <w:left w:val="nil"/>
              <w:bottom w:val="single" w:sz="4" w:space="0" w:color="auto"/>
              <w:right w:val="single" w:sz="4" w:space="0" w:color="auto"/>
            </w:tcBorders>
            <w:shd w:val="clear" w:color="auto" w:fill="auto"/>
            <w:vAlign w:val="center"/>
            <w:hideMark/>
          </w:tcPr>
          <w:p w14:paraId="73C44C12"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5.8%</w:t>
            </w:r>
          </w:p>
        </w:tc>
        <w:tc>
          <w:tcPr>
            <w:tcW w:w="734" w:type="dxa"/>
            <w:tcBorders>
              <w:top w:val="nil"/>
              <w:left w:val="nil"/>
              <w:bottom w:val="single" w:sz="4" w:space="0" w:color="auto"/>
              <w:right w:val="single" w:sz="4" w:space="0" w:color="auto"/>
            </w:tcBorders>
            <w:shd w:val="clear" w:color="auto" w:fill="auto"/>
            <w:vAlign w:val="center"/>
            <w:hideMark/>
          </w:tcPr>
          <w:p w14:paraId="4CA74E5E"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3.9%</w:t>
            </w:r>
          </w:p>
        </w:tc>
        <w:tc>
          <w:tcPr>
            <w:tcW w:w="734" w:type="dxa"/>
            <w:tcBorders>
              <w:top w:val="nil"/>
              <w:left w:val="nil"/>
              <w:bottom w:val="single" w:sz="4" w:space="0" w:color="auto"/>
              <w:right w:val="single" w:sz="4" w:space="0" w:color="auto"/>
            </w:tcBorders>
            <w:shd w:val="clear" w:color="auto" w:fill="auto"/>
            <w:vAlign w:val="center"/>
            <w:hideMark/>
          </w:tcPr>
          <w:p w14:paraId="4976417E"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5.8%</w:t>
            </w:r>
          </w:p>
        </w:tc>
        <w:tc>
          <w:tcPr>
            <w:tcW w:w="734" w:type="dxa"/>
            <w:tcBorders>
              <w:top w:val="nil"/>
              <w:left w:val="nil"/>
              <w:bottom w:val="single" w:sz="4" w:space="0" w:color="auto"/>
              <w:right w:val="single" w:sz="4" w:space="0" w:color="auto"/>
            </w:tcBorders>
            <w:shd w:val="clear" w:color="auto" w:fill="auto"/>
            <w:vAlign w:val="center"/>
            <w:hideMark/>
          </w:tcPr>
          <w:p w14:paraId="58BB5457"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4.3%</w:t>
            </w:r>
          </w:p>
        </w:tc>
        <w:tc>
          <w:tcPr>
            <w:tcW w:w="734" w:type="dxa"/>
            <w:tcBorders>
              <w:top w:val="nil"/>
              <w:left w:val="nil"/>
              <w:bottom w:val="single" w:sz="4" w:space="0" w:color="auto"/>
              <w:right w:val="single" w:sz="4" w:space="0" w:color="auto"/>
            </w:tcBorders>
            <w:shd w:val="clear" w:color="auto" w:fill="auto"/>
            <w:vAlign w:val="center"/>
            <w:hideMark/>
          </w:tcPr>
          <w:p w14:paraId="259F7815"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4.1%</w:t>
            </w:r>
          </w:p>
        </w:tc>
        <w:tc>
          <w:tcPr>
            <w:tcW w:w="734" w:type="dxa"/>
            <w:tcBorders>
              <w:top w:val="nil"/>
              <w:left w:val="nil"/>
              <w:bottom w:val="single" w:sz="4" w:space="0" w:color="auto"/>
              <w:right w:val="single" w:sz="4" w:space="0" w:color="auto"/>
            </w:tcBorders>
            <w:shd w:val="clear" w:color="auto" w:fill="auto"/>
            <w:vAlign w:val="center"/>
            <w:hideMark/>
          </w:tcPr>
          <w:p w14:paraId="71CE755F"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5.5%</w:t>
            </w:r>
          </w:p>
        </w:tc>
        <w:tc>
          <w:tcPr>
            <w:tcW w:w="734" w:type="dxa"/>
            <w:tcBorders>
              <w:top w:val="nil"/>
              <w:left w:val="nil"/>
              <w:bottom w:val="single" w:sz="4" w:space="0" w:color="auto"/>
              <w:right w:val="single" w:sz="4" w:space="0" w:color="auto"/>
            </w:tcBorders>
            <w:shd w:val="clear" w:color="auto" w:fill="auto"/>
            <w:vAlign w:val="center"/>
            <w:hideMark/>
          </w:tcPr>
          <w:p w14:paraId="1879C31D"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5.5%</w:t>
            </w:r>
          </w:p>
        </w:tc>
      </w:tr>
    </w:tbl>
    <w:p w14:paraId="10D4448F" w14:textId="77777777" w:rsidR="00002D76" w:rsidRPr="00EA7458" w:rsidRDefault="00002D76" w:rsidP="00002D76">
      <w:pPr>
        <w:widowControl w:val="0"/>
        <w:spacing w:before="65" w:after="0" w:line="216" w:lineRule="exact"/>
        <w:rPr>
          <w:rFonts w:ascii="Calibri" w:hAnsi="Calibri" w:cs="Calibri"/>
          <w:sz w:val="18"/>
          <w:szCs w:val="18"/>
        </w:rPr>
        <w:sectPr w:rsidR="00002D76" w:rsidRPr="00EA7458">
          <w:pgSz w:w="12240" w:h="15840"/>
          <w:pgMar w:top="1620" w:right="900" w:bottom="820" w:left="900" w:header="812" w:footer="624" w:gutter="0"/>
          <w:cols w:space="720"/>
        </w:sectPr>
      </w:pPr>
      <w:r w:rsidRPr="00EA7458">
        <w:rPr>
          <w:rFonts w:ascii="Calibri" w:hAnsi="Calibri"/>
          <w:color w:val="231F20"/>
          <w:w w:val="105"/>
          <w:sz w:val="18"/>
        </w:rPr>
        <w:t>Source:</w:t>
      </w:r>
      <w:r w:rsidRPr="00EA7458">
        <w:rPr>
          <w:rFonts w:ascii="Calibri" w:hAnsi="Calibri"/>
          <w:color w:val="231F20"/>
          <w:spacing w:val="19"/>
          <w:w w:val="105"/>
          <w:sz w:val="18"/>
        </w:rPr>
        <w:t xml:space="preserve"> </w:t>
      </w:r>
      <w:r w:rsidRPr="00EA7458">
        <w:rPr>
          <w:rFonts w:ascii="Calibri" w:hAnsi="Calibri"/>
          <w:color w:val="231F20"/>
          <w:w w:val="105"/>
          <w:sz w:val="18"/>
        </w:rPr>
        <w:t>Florida</w:t>
      </w:r>
      <w:r w:rsidRPr="00EA7458">
        <w:rPr>
          <w:rFonts w:ascii="Calibri" w:hAnsi="Calibri"/>
          <w:color w:val="231F20"/>
          <w:spacing w:val="9"/>
          <w:w w:val="105"/>
          <w:sz w:val="18"/>
        </w:rPr>
        <w:t xml:space="preserve"> </w:t>
      </w:r>
      <w:r w:rsidRPr="00EA7458">
        <w:rPr>
          <w:rFonts w:ascii="Calibri" w:hAnsi="Calibri"/>
          <w:color w:val="231F20"/>
          <w:w w:val="105"/>
          <w:sz w:val="18"/>
        </w:rPr>
        <w:t>Department</w:t>
      </w:r>
      <w:r w:rsidRPr="00EA7458">
        <w:rPr>
          <w:rFonts w:ascii="Calibri" w:hAnsi="Calibri"/>
          <w:color w:val="231F20"/>
          <w:spacing w:val="9"/>
          <w:w w:val="105"/>
          <w:sz w:val="18"/>
        </w:rPr>
        <w:t xml:space="preserve"> </w:t>
      </w:r>
      <w:r w:rsidRPr="00EA7458">
        <w:rPr>
          <w:rFonts w:ascii="Calibri" w:hAnsi="Calibri"/>
          <w:color w:val="231F20"/>
          <w:w w:val="105"/>
          <w:sz w:val="18"/>
        </w:rPr>
        <w:t>of</w:t>
      </w:r>
      <w:r w:rsidRPr="00EA7458">
        <w:rPr>
          <w:rFonts w:ascii="Calibri" w:hAnsi="Calibri"/>
          <w:color w:val="231F20"/>
          <w:spacing w:val="9"/>
          <w:w w:val="105"/>
          <w:sz w:val="18"/>
        </w:rPr>
        <w:t xml:space="preserve"> </w:t>
      </w:r>
      <w:r w:rsidRPr="00EA7458">
        <w:rPr>
          <w:rFonts w:ascii="Calibri" w:hAnsi="Calibri"/>
          <w:color w:val="231F20"/>
          <w:w w:val="105"/>
          <w:sz w:val="18"/>
        </w:rPr>
        <w:t>Economic</w:t>
      </w:r>
      <w:r w:rsidRPr="00EA7458">
        <w:rPr>
          <w:rFonts w:ascii="Calibri" w:hAnsi="Calibri"/>
          <w:color w:val="231F20"/>
          <w:spacing w:val="9"/>
          <w:w w:val="105"/>
          <w:sz w:val="18"/>
        </w:rPr>
        <w:t xml:space="preserve"> </w:t>
      </w:r>
      <w:r w:rsidRPr="00EA7458">
        <w:rPr>
          <w:rFonts w:ascii="Calibri" w:hAnsi="Calibri"/>
          <w:color w:val="231F20"/>
          <w:w w:val="105"/>
          <w:sz w:val="18"/>
        </w:rPr>
        <w:t>Opportunity,</w:t>
      </w:r>
      <w:r w:rsidRPr="00EA7458">
        <w:rPr>
          <w:rFonts w:ascii="Calibri" w:hAnsi="Calibri"/>
          <w:color w:val="231F20"/>
          <w:spacing w:val="9"/>
          <w:w w:val="105"/>
          <w:sz w:val="18"/>
        </w:rPr>
        <w:t xml:space="preserve"> </w:t>
      </w:r>
      <w:r w:rsidRPr="00EA7458">
        <w:rPr>
          <w:rFonts w:ascii="Calibri" w:hAnsi="Calibri"/>
          <w:color w:val="231F20"/>
          <w:w w:val="105"/>
          <w:sz w:val="18"/>
        </w:rPr>
        <w:t>Bureau</w:t>
      </w:r>
      <w:r w:rsidRPr="00EA7458">
        <w:rPr>
          <w:rFonts w:ascii="Calibri" w:hAnsi="Calibri"/>
          <w:color w:val="231F20"/>
          <w:spacing w:val="9"/>
          <w:w w:val="105"/>
          <w:sz w:val="18"/>
        </w:rPr>
        <w:t xml:space="preserve"> </w:t>
      </w:r>
      <w:r w:rsidRPr="00EA7458">
        <w:rPr>
          <w:rFonts w:ascii="Calibri" w:hAnsi="Calibri"/>
          <w:color w:val="231F20"/>
          <w:w w:val="105"/>
          <w:sz w:val="18"/>
        </w:rPr>
        <w:t>of</w:t>
      </w:r>
      <w:r w:rsidRPr="00EA7458">
        <w:rPr>
          <w:rFonts w:ascii="Calibri" w:hAnsi="Calibri"/>
          <w:color w:val="231F20"/>
          <w:spacing w:val="9"/>
          <w:w w:val="105"/>
          <w:sz w:val="18"/>
        </w:rPr>
        <w:t xml:space="preserve"> </w:t>
      </w:r>
      <w:r w:rsidRPr="00EA7458">
        <w:rPr>
          <w:rFonts w:ascii="Calibri" w:hAnsi="Calibri"/>
          <w:color w:val="231F20"/>
          <w:w w:val="105"/>
          <w:sz w:val="18"/>
        </w:rPr>
        <w:t>Labor</w:t>
      </w:r>
      <w:r w:rsidRPr="00EA7458">
        <w:rPr>
          <w:rFonts w:ascii="Calibri" w:hAnsi="Calibri"/>
          <w:color w:val="231F20"/>
          <w:spacing w:val="9"/>
          <w:w w:val="105"/>
          <w:sz w:val="18"/>
        </w:rPr>
        <w:t xml:space="preserve"> </w:t>
      </w:r>
      <w:r w:rsidRPr="00EA7458">
        <w:rPr>
          <w:rFonts w:ascii="Calibri" w:hAnsi="Calibri"/>
          <w:color w:val="231F20"/>
          <w:w w:val="105"/>
          <w:sz w:val="18"/>
        </w:rPr>
        <w:t>Market</w:t>
      </w:r>
      <w:r w:rsidRPr="00EA7458">
        <w:rPr>
          <w:rFonts w:ascii="Calibri" w:hAnsi="Calibri"/>
          <w:color w:val="231F20"/>
          <w:spacing w:val="9"/>
          <w:w w:val="105"/>
          <w:sz w:val="18"/>
        </w:rPr>
        <w:t xml:space="preserve"> </w:t>
      </w:r>
      <w:r w:rsidRPr="00EA7458">
        <w:rPr>
          <w:rFonts w:ascii="Calibri" w:hAnsi="Calibri"/>
          <w:color w:val="231F20"/>
          <w:w w:val="105"/>
          <w:sz w:val="18"/>
        </w:rPr>
        <w:t>Statistics,</w:t>
      </w:r>
      <w:r w:rsidRPr="00EA7458">
        <w:rPr>
          <w:rFonts w:ascii="Calibri" w:hAnsi="Calibri"/>
          <w:color w:val="231F20"/>
          <w:spacing w:val="9"/>
          <w:w w:val="105"/>
          <w:sz w:val="18"/>
        </w:rPr>
        <w:t xml:space="preserve"> </w:t>
      </w:r>
      <w:r w:rsidRPr="00EA7458">
        <w:rPr>
          <w:rFonts w:ascii="Calibri" w:hAnsi="Calibri"/>
          <w:color w:val="231F20"/>
          <w:w w:val="105"/>
          <w:sz w:val="18"/>
        </w:rPr>
        <w:t>Occupational</w:t>
      </w:r>
      <w:r w:rsidRPr="00EA7458">
        <w:rPr>
          <w:rFonts w:ascii="Calibri" w:hAnsi="Calibri"/>
          <w:color w:val="231F20"/>
          <w:spacing w:val="9"/>
          <w:w w:val="105"/>
          <w:sz w:val="18"/>
        </w:rPr>
        <w:t xml:space="preserve"> </w:t>
      </w:r>
      <w:r w:rsidRPr="00EA7458">
        <w:rPr>
          <w:rFonts w:ascii="Calibri" w:hAnsi="Calibri"/>
          <w:color w:val="231F20"/>
          <w:w w:val="105"/>
          <w:sz w:val="18"/>
        </w:rPr>
        <w:t>Employment</w:t>
      </w:r>
      <w:r w:rsidRPr="00EA7458">
        <w:rPr>
          <w:rFonts w:ascii="Calibri" w:hAnsi="Calibri"/>
          <w:color w:val="231F20"/>
          <w:spacing w:val="9"/>
          <w:w w:val="105"/>
          <w:sz w:val="18"/>
        </w:rPr>
        <w:t xml:space="preserve"> </w:t>
      </w:r>
      <w:r w:rsidRPr="00EA7458">
        <w:rPr>
          <w:rFonts w:ascii="Calibri" w:hAnsi="Calibri"/>
          <w:color w:val="231F20"/>
          <w:w w:val="105"/>
          <w:sz w:val="18"/>
        </w:rPr>
        <w:t>Statistics</w:t>
      </w:r>
      <w:r w:rsidRPr="00EA7458">
        <w:rPr>
          <w:rFonts w:ascii="Calibri" w:hAnsi="Calibri"/>
          <w:w w:val="105"/>
          <w:sz w:val="18"/>
        </w:rPr>
        <w:t>,</w:t>
      </w:r>
      <w:r w:rsidRPr="00EA7458">
        <w:rPr>
          <w:rFonts w:ascii="Calibri" w:hAnsi="Calibri"/>
          <w:spacing w:val="-41"/>
          <w:w w:val="105"/>
          <w:sz w:val="18"/>
        </w:rPr>
        <w:t xml:space="preserve"> </w:t>
      </w:r>
      <w:r>
        <w:rPr>
          <w:rFonts w:ascii="Calibri" w:hAnsi="Calibri"/>
          <w:color w:val="231F20"/>
          <w:w w:val="105"/>
          <w:sz w:val="18"/>
        </w:rPr>
        <w:t>December 2017</w:t>
      </w:r>
    </w:p>
    <w:p w14:paraId="61CF5BA4" w14:textId="77777777" w:rsidR="00176F64" w:rsidRDefault="00176F64" w:rsidP="00002D76">
      <w:pPr>
        <w:widowControl w:val="0"/>
        <w:spacing w:before="58" w:after="0" w:line="264" w:lineRule="exact"/>
        <w:ind w:right="178"/>
        <w:rPr>
          <w:rFonts w:ascii="Calibri" w:hAnsi="Calibri"/>
          <w:color w:val="231F20"/>
          <w:spacing w:val="-6"/>
          <w:w w:val="105"/>
        </w:rPr>
      </w:pPr>
    </w:p>
    <w:p w14:paraId="4CA141E2" w14:textId="2CF7378F" w:rsidR="00CD1C1C" w:rsidRPr="00EA7458" w:rsidRDefault="00CD1C1C" w:rsidP="00D63204">
      <w:pPr>
        <w:widowControl w:val="0"/>
        <w:spacing w:before="58" w:after="0" w:line="264" w:lineRule="exact"/>
        <w:ind w:right="178"/>
        <w:rPr>
          <w:rFonts w:ascii="Calibri" w:hAnsi="Calibri"/>
        </w:rPr>
      </w:pPr>
      <w:r w:rsidRPr="00CD1C1C">
        <w:rPr>
          <w:rFonts w:ascii="Calibri" w:hAnsi="Calibri"/>
          <w:color w:val="231F20"/>
          <w:spacing w:val="-6"/>
          <w:w w:val="105"/>
        </w:rPr>
        <w:t>LWDA</w:t>
      </w:r>
      <w:r w:rsidRPr="00CD1C1C">
        <w:rPr>
          <w:rFonts w:ascii="Calibri" w:hAnsi="Calibri"/>
          <w:color w:val="231F20"/>
          <w:spacing w:val="10"/>
          <w:w w:val="105"/>
        </w:rPr>
        <w:t xml:space="preserve"> </w:t>
      </w:r>
      <w:r w:rsidRPr="00CD1C1C">
        <w:rPr>
          <w:rFonts w:ascii="Calibri" w:hAnsi="Calibri"/>
          <w:color w:val="231F20"/>
          <w:w w:val="105"/>
        </w:rPr>
        <w:t>21</w:t>
      </w:r>
      <w:r w:rsidRPr="00CD1C1C">
        <w:rPr>
          <w:rFonts w:ascii="Calibri" w:hAnsi="Calibri"/>
          <w:color w:val="231F20"/>
          <w:spacing w:val="10"/>
          <w:w w:val="105"/>
        </w:rPr>
        <w:t xml:space="preserve"> </w:t>
      </w:r>
      <w:r w:rsidRPr="00CD1C1C">
        <w:rPr>
          <w:rFonts w:ascii="Calibri" w:hAnsi="Calibri"/>
          <w:color w:val="231F20"/>
          <w:w w:val="105"/>
        </w:rPr>
        <w:t>(Palm</w:t>
      </w:r>
      <w:r w:rsidRPr="00CD1C1C">
        <w:rPr>
          <w:rFonts w:ascii="Calibri" w:hAnsi="Calibri"/>
          <w:color w:val="231F20"/>
          <w:spacing w:val="10"/>
          <w:w w:val="105"/>
        </w:rPr>
        <w:t xml:space="preserve"> </w:t>
      </w:r>
      <w:r w:rsidRPr="00CD1C1C">
        <w:rPr>
          <w:rFonts w:ascii="Calibri" w:hAnsi="Calibri"/>
          <w:color w:val="231F20"/>
          <w:w w:val="105"/>
        </w:rPr>
        <w:t>Beach</w:t>
      </w:r>
      <w:r w:rsidRPr="00CD1C1C">
        <w:rPr>
          <w:rFonts w:ascii="Calibri" w:hAnsi="Calibri"/>
          <w:color w:val="231F20"/>
          <w:spacing w:val="10"/>
          <w:w w:val="105"/>
        </w:rPr>
        <w:t xml:space="preserve"> </w:t>
      </w:r>
      <w:r w:rsidRPr="00CD1C1C">
        <w:rPr>
          <w:rFonts w:ascii="Calibri" w:hAnsi="Calibri"/>
          <w:color w:val="231F20"/>
          <w:w w:val="105"/>
        </w:rPr>
        <w:t>County)</w:t>
      </w:r>
      <w:r w:rsidRPr="00CD1C1C">
        <w:rPr>
          <w:rFonts w:ascii="Calibri" w:hAnsi="Calibri"/>
          <w:color w:val="231F20"/>
          <w:spacing w:val="10"/>
          <w:w w:val="105"/>
        </w:rPr>
        <w:t xml:space="preserve"> </w:t>
      </w:r>
      <w:r w:rsidRPr="00CD1C1C">
        <w:rPr>
          <w:rFonts w:ascii="Calibri" w:hAnsi="Calibri"/>
          <w:color w:val="231F20"/>
          <w:w w:val="105"/>
        </w:rPr>
        <w:t>has</w:t>
      </w:r>
      <w:r w:rsidRPr="00CD1C1C">
        <w:rPr>
          <w:rFonts w:ascii="Calibri" w:hAnsi="Calibri"/>
          <w:color w:val="231F20"/>
          <w:spacing w:val="10"/>
          <w:w w:val="105"/>
        </w:rPr>
        <w:t xml:space="preserve"> </w:t>
      </w:r>
      <w:r w:rsidRPr="00CD1C1C">
        <w:rPr>
          <w:rFonts w:ascii="Calibri" w:hAnsi="Calibri"/>
          <w:color w:val="231F20"/>
          <w:w w:val="105"/>
        </w:rPr>
        <w:t>12</w:t>
      </w:r>
      <w:r w:rsidRPr="00CD1C1C">
        <w:rPr>
          <w:rFonts w:ascii="Calibri" w:hAnsi="Calibri"/>
          <w:color w:val="231F20"/>
          <w:spacing w:val="10"/>
          <w:w w:val="105"/>
        </w:rPr>
        <w:t xml:space="preserve"> </w:t>
      </w:r>
      <w:r w:rsidRPr="00CD1C1C">
        <w:rPr>
          <w:rFonts w:ascii="Calibri" w:hAnsi="Calibri"/>
          <w:color w:val="231F20"/>
          <w:w w:val="105"/>
        </w:rPr>
        <w:t>of</w:t>
      </w:r>
      <w:r w:rsidRPr="00CD1C1C">
        <w:rPr>
          <w:rFonts w:ascii="Calibri" w:hAnsi="Calibri"/>
          <w:color w:val="231F20"/>
          <w:spacing w:val="10"/>
          <w:w w:val="105"/>
        </w:rPr>
        <w:t xml:space="preserve"> </w:t>
      </w:r>
      <w:r w:rsidRPr="00CD1C1C">
        <w:rPr>
          <w:rFonts w:ascii="Calibri" w:hAnsi="Calibri"/>
          <w:color w:val="231F20"/>
          <w:w w:val="105"/>
        </w:rPr>
        <w:t>22</w:t>
      </w:r>
      <w:r w:rsidRPr="00CD1C1C">
        <w:rPr>
          <w:rFonts w:ascii="Calibri" w:hAnsi="Calibri"/>
          <w:color w:val="231F20"/>
          <w:spacing w:val="10"/>
          <w:w w:val="105"/>
        </w:rPr>
        <w:t xml:space="preserve"> </w:t>
      </w:r>
      <w:r w:rsidRPr="00CD1C1C">
        <w:rPr>
          <w:rFonts w:ascii="Calibri" w:hAnsi="Calibri"/>
          <w:color w:val="231F20"/>
          <w:w w:val="105"/>
        </w:rPr>
        <w:t>major</w:t>
      </w:r>
      <w:r w:rsidRPr="00CD1C1C">
        <w:rPr>
          <w:rFonts w:ascii="Calibri" w:hAnsi="Calibri"/>
          <w:color w:val="231F20"/>
          <w:spacing w:val="10"/>
          <w:w w:val="105"/>
        </w:rPr>
        <w:t xml:space="preserve"> </w:t>
      </w:r>
      <w:r w:rsidRPr="00CD1C1C">
        <w:rPr>
          <w:rFonts w:ascii="Calibri" w:hAnsi="Calibri"/>
          <w:color w:val="231F20"/>
          <w:w w:val="105"/>
        </w:rPr>
        <w:t>occupational</w:t>
      </w:r>
      <w:r w:rsidRPr="00CD1C1C">
        <w:rPr>
          <w:rFonts w:ascii="Calibri" w:hAnsi="Calibri"/>
          <w:color w:val="231F20"/>
          <w:spacing w:val="10"/>
          <w:w w:val="105"/>
        </w:rPr>
        <w:t xml:space="preserve"> </w:t>
      </w:r>
      <w:r w:rsidRPr="00CD1C1C">
        <w:rPr>
          <w:rFonts w:ascii="Calibri" w:hAnsi="Calibri"/>
          <w:color w:val="231F20"/>
          <w:w w:val="105"/>
        </w:rPr>
        <w:t>groups</w:t>
      </w:r>
      <w:r w:rsidRPr="00CD1C1C">
        <w:rPr>
          <w:rFonts w:ascii="Calibri" w:hAnsi="Calibri"/>
          <w:color w:val="231F20"/>
          <w:spacing w:val="10"/>
          <w:w w:val="105"/>
        </w:rPr>
        <w:t xml:space="preserve"> </w:t>
      </w:r>
      <w:r w:rsidRPr="00CD1C1C">
        <w:rPr>
          <w:rFonts w:ascii="Calibri" w:hAnsi="Calibri"/>
          <w:color w:val="231F20"/>
          <w:w w:val="105"/>
        </w:rPr>
        <w:t>exceeding</w:t>
      </w:r>
      <w:r w:rsidRPr="00CD1C1C">
        <w:rPr>
          <w:rFonts w:ascii="Calibri" w:hAnsi="Calibri"/>
          <w:color w:val="231F20"/>
          <w:spacing w:val="10"/>
          <w:w w:val="105"/>
        </w:rPr>
        <w:t xml:space="preserve"> </w:t>
      </w:r>
      <w:r w:rsidRPr="00CD1C1C">
        <w:rPr>
          <w:rFonts w:ascii="Calibri" w:hAnsi="Calibri"/>
          <w:color w:val="231F20"/>
          <w:w w:val="105"/>
        </w:rPr>
        <w:t>the</w:t>
      </w:r>
      <w:r w:rsidRPr="00CD1C1C">
        <w:rPr>
          <w:rFonts w:ascii="Calibri" w:hAnsi="Calibri"/>
          <w:color w:val="231F20"/>
          <w:spacing w:val="10"/>
          <w:w w:val="105"/>
        </w:rPr>
        <w:t xml:space="preserve"> </w:t>
      </w:r>
      <w:r w:rsidRPr="00CD1C1C">
        <w:rPr>
          <w:rFonts w:ascii="Calibri" w:hAnsi="Calibri"/>
          <w:color w:val="231F20"/>
          <w:w w:val="105"/>
        </w:rPr>
        <w:t>state’s</w:t>
      </w:r>
      <w:r w:rsidRPr="00CD1C1C">
        <w:rPr>
          <w:rFonts w:ascii="Calibri" w:hAnsi="Calibri"/>
          <w:color w:val="231F20"/>
          <w:spacing w:val="10"/>
          <w:w w:val="105"/>
        </w:rPr>
        <w:t xml:space="preserve"> </w:t>
      </w:r>
      <w:r w:rsidRPr="00CD1C1C">
        <w:rPr>
          <w:rFonts w:ascii="Calibri" w:hAnsi="Calibri"/>
          <w:color w:val="231F20"/>
          <w:w w:val="105"/>
        </w:rPr>
        <w:t>share</w:t>
      </w:r>
      <w:r w:rsidRPr="00CD1C1C">
        <w:rPr>
          <w:rFonts w:ascii="Calibri" w:hAnsi="Calibri"/>
          <w:color w:val="231F20"/>
          <w:spacing w:val="10"/>
          <w:w w:val="105"/>
        </w:rPr>
        <w:t xml:space="preserve"> </w:t>
      </w:r>
      <w:r w:rsidRPr="00CD1C1C">
        <w:rPr>
          <w:rFonts w:ascii="Calibri" w:hAnsi="Calibri"/>
          <w:color w:val="231F20"/>
          <w:w w:val="105"/>
        </w:rPr>
        <w:t>of</w:t>
      </w:r>
      <w:r w:rsidRPr="00CD1C1C">
        <w:rPr>
          <w:rFonts w:ascii="Calibri" w:hAnsi="Calibri"/>
          <w:color w:val="231F20"/>
          <w:spacing w:val="10"/>
          <w:w w:val="105"/>
        </w:rPr>
        <w:t xml:space="preserve"> </w:t>
      </w:r>
      <w:r w:rsidRPr="00CD1C1C">
        <w:rPr>
          <w:rFonts w:ascii="Calibri" w:hAnsi="Calibri"/>
          <w:color w:val="231F20"/>
          <w:w w:val="105"/>
        </w:rPr>
        <w:t>jobs.</w:t>
      </w:r>
      <w:r w:rsidRPr="00CD1C1C">
        <w:rPr>
          <w:rFonts w:ascii="Calibri" w:hAnsi="Calibri"/>
          <w:color w:val="231F20"/>
          <w:spacing w:val="-22"/>
          <w:w w:val="105"/>
        </w:rPr>
        <w:t xml:space="preserve"> </w:t>
      </w:r>
      <w:r w:rsidRPr="00CD1C1C">
        <w:rPr>
          <w:rFonts w:ascii="Calibri" w:hAnsi="Calibri"/>
          <w:color w:val="231F20"/>
          <w:w w:val="105"/>
        </w:rPr>
        <w:t>The</w:t>
      </w:r>
      <w:r w:rsidRPr="00CD1C1C">
        <w:rPr>
          <w:rFonts w:ascii="Calibri" w:hAnsi="Calibri"/>
          <w:color w:val="231F20"/>
          <w:spacing w:val="16"/>
          <w:w w:val="105"/>
        </w:rPr>
        <w:t xml:space="preserve"> </w:t>
      </w:r>
      <w:r w:rsidRPr="00CD1C1C">
        <w:rPr>
          <w:rFonts w:ascii="Calibri" w:hAnsi="Calibri"/>
          <w:color w:val="231F20"/>
          <w:w w:val="105"/>
        </w:rPr>
        <w:t>higher</w:t>
      </w:r>
      <w:r w:rsidRPr="00CD1C1C">
        <w:rPr>
          <w:rFonts w:ascii="Calibri" w:hAnsi="Calibri"/>
          <w:color w:val="231F20"/>
          <w:spacing w:val="16"/>
          <w:w w:val="105"/>
        </w:rPr>
        <w:t xml:space="preserve"> </w:t>
      </w:r>
      <w:r w:rsidRPr="00CD1C1C">
        <w:rPr>
          <w:rFonts w:ascii="Calibri" w:hAnsi="Calibri"/>
          <w:color w:val="231F20"/>
          <w:w w:val="105"/>
        </w:rPr>
        <w:t>skills</w:t>
      </w:r>
      <w:r w:rsidRPr="00CD1C1C">
        <w:rPr>
          <w:rFonts w:ascii="Calibri" w:hAnsi="Calibri"/>
          <w:color w:val="231F20"/>
          <w:spacing w:val="16"/>
          <w:w w:val="105"/>
        </w:rPr>
        <w:t xml:space="preserve"> </w:t>
      </w:r>
      <w:r w:rsidRPr="00CD1C1C">
        <w:rPr>
          <w:rFonts w:ascii="Calibri" w:hAnsi="Calibri"/>
          <w:color w:val="231F20"/>
          <w:w w:val="105"/>
        </w:rPr>
        <w:t>occupational</w:t>
      </w:r>
      <w:r w:rsidRPr="00CD1C1C">
        <w:rPr>
          <w:rFonts w:ascii="Calibri" w:hAnsi="Calibri"/>
          <w:color w:val="231F20"/>
          <w:spacing w:val="16"/>
          <w:w w:val="105"/>
        </w:rPr>
        <w:t xml:space="preserve"> </w:t>
      </w:r>
      <w:r w:rsidRPr="00CD1C1C">
        <w:rPr>
          <w:rFonts w:ascii="Calibri" w:hAnsi="Calibri"/>
          <w:color w:val="231F20"/>
          <w:w w:val="105"/>
        </w:rPr>
        <w:t>groups</w:t>
      </w:r>
      <w:r w:rsidRPr="00CD1C1C">
        <w:rPr>
          <w:rFonts w:ascii="Calibri" w:hAnsi="Calibri"/>
          <w:color w:val="231F20"/>
          <w:spacing w:val="16"/>
          <w:w w:val="105"/>
        </w:rPr>
        <w:t xml:space="preserve"> </w:t>
      </w:r>
      <w:r w:rsidRPr="00CD1C1C">
        <w:rPr>
          <w:rFonts w:ascii="Calibri" w:hAnsi="Calibri"/>
          <w:color w:val="231F20"/>
          <w:w w:val="105"/>
        </w:rPr>
        <w:t>of</w:t>
      </w:r>
      <w:r w:rsidRPr="00CD1C1C">
        <w:rPr>
          <w:rFonts w:ascii="Calibri" w:hAnsi="Calibri"/>
          <w:color w:val="231F20"/>
          <w:spacing w:val="16"/>
          <w:w w:val="105"/>
        </w:rPr>
        <w:t xml:space="preserve"> </w:t>
      </w:r>
      <w:r w:rsidRPr="00CD1C1C">
        <w:rPr>
          <w:rFonts w:ascii="Calibri" w:hAnsi="Calibri"/>
          <w:color w:val="231F20"/>
          <w:w w:val="105"/>
        </w:rPr>
        <w:t>management and</w:t>
      </w:r>
      <w:r w:rsidRPr="00CD1C1C">
        <w:rPr>
          <w:rFonts w:ascii="Calibri" w:hAnsi="Calibri"/>
          <w:color w:val="231F20"/>
          <w:spacing w:val="16"/>
          <w:w w:val="105"/>
        </w:rPr>
        <w:t xml:space="preserve"> </w:t>
      </w:r>
      <w:r w:rsidRPr="00CD1C1C">
        <w:rPr>
          <w:rFonts w:ascii="Calibri" w:hAnsi="Calibri"/>
          <w:color w:val="231F20"/>
          <w:w w:val="105"/>
        </w:rPr>
        <w:t>business</w:t>
      </w:r>
      <w:r w:rsidRPr="00CD1C1C">
        <w:rPr>
          <w:rFonts w:ascii="Calibri" w:hAnsi="Calibri"/>
          <w:color w:val="231F20"/>
          <w:spacing w:val="16"/>
          <w:w w:val="105"/>
        </w:rPr>
        <w:t xml:space="preserve"> </w:t>
      </w:r>
      <w:r w:rsidRPr="00CD1C1C">
        <w:rPr>
          <w:rFonts w:ascii="Calibri" w:hAnsi="Calibri"/>
          <w:color w:val="231F20"/>
          <w:w w:val="105"/>
        </w:rPr>
        <w:t>and</w:t>
      </w:r>
      <w:r w:rsidRPr="00CD1C1C">
        <w:rPr>
          <w:rFonts w:ascii="Calibri" w:hAnsi="Calibri"/>
          <w:color w:val="231F20"/>
          <w:spacing w:val="16"/>
          <w:w w:val="105"/>
        </w:rPr>
        <w:t xml:space="preserve"> </w:t>
      </w:r>
      <w:r w:rsidRPr="00CD1C1C">
        <w:rPr>
          <w:rFonts w:ascii="Calibri" w:hAnsi="Calibri"/>
          <w:color w:val="231F20"/>
          <w:w w:val="105"/>
        </w:rPr>
        <w:t>financial</w:t>
      </w:r>
      <w:r w:rsidRPr="00CD1C1C">
        <w:rPr>
          <w:rFonts w:ascii="Calibri" w:hAnsi="Calibri"/>
          <w:color w:val="231F20"/>
          <w:spacing w:val="16"/>
          <w:w w:val="105"/>
        </w:rPr>
        <w:t xml:space="preserve"> </w:t>
      </w:r>
      <w:r w:rsidRPr="00CD1C1C">
        <w:rPr>
          <w:rFonts w:ascii="Calibri" w:hAnsi="Calibri"/>
          <w:color w:val="231F20"/>
          <w:w w:val="105"/>
        </w:rPr>
        <w:t>operations exceed</w:t>
      </w:r>
      <w:r w:rsidRPr="00CD1C1C">
        <w:rPr>
          <w:rFonts w:ascii="Calibri" w:hAnsi="Calibri"/>
          <w:color w:val="231F20"/>
          <w:spacing w:val="8"/>
          <w:w w:val="105"/>
        </w:rPr>
        <w:t xml:space="preserve"> </w:t>
      </w:r>
      <w:r w:rsidRPr="00CD1C1C">
        <w:rPr>
          <w:rFonts w:ascii="Calibri" w:hAnsi="Calibri"/>
          <w:color w:val="231F20"/>
          <w:w w:val="105"/>
        </w:rPr>
        <w:t>the</w:t>
      </w:r>
      <w:r w:rsidRPr="00CD1C1C">
        <w:rPr>
          <w:rFonts w:ascii="Calibri" w:hAnsi="Calibri"/>
          <w:color w:val="231F20"/>
          <w:spacing w:val="8"/>
          <w:w w:val="105"/>
        </w:rPr>
        <w:t xml:space="preserve"> </w:t>
      </w:r>
      <w:r w:rsidRPr="00CD1C1C">
        <w:rPr>
          <w:rFonts w:ascii="Calibri" w:hAnsi="Calibri"/>
          <w:color w:val="231F20"/>
          <w:w w:val="105"/>
        </w:rPr>
        <w:t>Florida</w:t>
      </w:r>
      <w:r w:rsidRPr="00CD1C1C">
        <w:rPr>
          <w:rFonts w:ascii="Calibri" w:hAnsi="Calibri"/>
          <w:color w:val="231F20"/>
          <w:spacing w:val="8"/>
          <w:w w:val="105"/>
        </w:rPr>
        <w:t xml:space="preserve"> </w:t>
      </w:r>
      <w:r w:rsidRPr="00CD1C1C">
        <w:rPr>
          <w:rFonts w:ascii="Calibri" w:hAnsi="Calibri"/>
          <w:color w:val="231F20"/>
          <w:w w:val="105"/>
        </w:rPr>
        <w:t>percent</w:t>
      </w:r>
      <w:r w:rsidRPr="00CD1C1C">
        <w:rPr>
          <w:rFonts w:ascii="Calibri" w:hAnsi="Calibri"/>
          <w:color w:val="231F20"/>
          <w:spacing w:val="8"/>
          <w:w w:val="105"/>
        </w:rPr>
        <w:t xml:space="preserve"> </w:t>
      </w:r>
      <w:r w:rsidRPr="00CD1C1C">
        <w:rPr>
          <w:rFonts w:ascii="Calibri" w:hAnsi="Calibri"/>
          <w:color w:val="231F20"/>
          <w:w w:val="105"/>
        </w:rPr>
        <w:t>distributions</w:t>
      </w:r>
      <w:r w:rsidRPr="00CD1C1C">
        <w:rPr>
          <w:rFonts w:ascii="Calibri" w:hAnsi="Calibri"/>
          <w:color w:val="231F20"/>
          <w:spacing w:val="8"/>
          <w:w w:val="105"/>
        </w:rPr>
        <w:t xml:space="preserve"> </w:t>
      </w:r>
      <w:r w:rsidRPr="00CD1C1C">
        <w:rPr>
          <w:rFonts w:ascii="Calibri" w:hAnsi="Calibri"/>
          <w:color w:val="231F20"/>
          <w:w w:val="105"/>
        </w:rPr>
        <w:t>for</w:t>
      </w:r>
      <w:r w:rsidRPr="00CD1C1C">
        <w:rPr>
          <w:rFonts w:ascii="Calibri" w:hAnsi="Calibri"/>
          <w:color w:val="231F20"/>
          <w:spacing w:val="8"/>
          <w:w w:val="105"/>
        </w:rPr>
        <w:t xml:space="preserve"> </w:t>
      </w:r>
      <w:r w:rsidRPr="00CD1C1C">
        <w:rPr>
          <w:rFonts w:ascii="Calibri" w:hAnsi="Calibri"/>
          <w:color w:val="231F20"/>
          <w:w w:val="105"/>
        </w:rPr>
        <w:t>the</w:t>
      </w:r>
      <w:r w:rsidRPr="00CD1C1C">
        <w:rPr>
          <w:rFonts w:ascii="Calibri" w:hAnsi="Calibri"/>
          <w:color w:val="231F20"/>
          <w:spacing w:val="8"/>
          <w:w w:val="105"/>
        </w:rPr>
        <w:t xml:space="preserve"> </w:t>
      </w:r>
      <w:r w:rsidRPr="00CD1C1C">
        <w:rPr>
          <w:rFonts w:ascii="Calibri" w:hAnsi="Calibri"/>
          <w:color w:val="231F20"/>
          <w:w w:val="105"/>
        </w:rPr>
        <w:t>groups.</w:t>
      </w:r>
      <w:r w:rsidRPr="00CD1C1C">
        <w:rPr>
          <w:rFonts w:ascii="Calibri" w:hAnsi="Calibri"/>
          <w:color w:val="231F20"/>
          <w:spacing w:val="17"/>
          <w:w w:val="105"/>
        </w:rPr>
        <w:t xml:space="preserve"> </w:t>
      </w:r>
      <w:r w:rsidRPr="00CD1C1C">
        <w:rPr>
          <w:rFonts w:ascii="Calibri" w:hAnsi="Calibri"/>
          <w:color w:val="231F20"/>
          <w:spacing w:val="-6"/>
          <w:w w:val="105"/>
        </w:rPr>
        <w:t>LWDA</w:t>
      </w:r>
      <w:r w:rsidRPr="00CD1C1C">
        <w:rPr>
          <w:rFonts w:ascii="Calibri" w:hAnsi="Calibri"/>
          <w:color w:val="231F20"/>
          <w:spacing w:val="8"/>
          <w:w w:val="105"/>
        </w:rPr>
        <w:t xml:space="preserve"> </w:t>
      </w:r>
      <w:r w:rsidRPr="00CD1C1C">
        <w:rPr>
          <w:rFonts w:ascii="Calibri" w:hAnsi="Calibri"/>
          <w:color w:val="231F20"/>
          <w:w w:val="105"/>
        </w:rPr>
        <w:t>17</w:t>
      </w:r>
      <w:r w:rsidRPr="00CD1C1C">
        <w:rPr>
          <w:rFonts w:ascii="Calibri" w:hAnsi="Calibri"/>
          <w:color w:val="231F20"/>
          <w:spacing w:val="8"/>
          <w:w w:val="105"/>
        </w:rPr>
        <w:t xml:space="preserve"> </w:t>
      </w:r>
      <w:r w:rsidRPr="00CD1C1C">
        <w:rPr>
          <w:rFonts w:ascii="Calibri" w:hAnsi="Calibri"/>
          <w:color w:val="231F20"/>
          <w:w w:val="105"/>
        </w:rPr>
        <w:t>(Polk</w:t>
      </w:r>
      <w:r w:rsidRPr="00CD1C1C">
        <w:rPr>
          <w:rFonts w:ascii="Calibri" w:hAnsi="Calibri"/>
          <w:color w:val="231F20"/>
          <w:spacing w:val="8"/>
          <w:w w:val="105"/>
        </w:rPr>
        <w:t xml:space="preserve"> </w:t>
      </w:r>
      <w:r w:rsidRPr="00CD1C1C">
        <w:rPr>
          <w:rFonts w:ascii="Calibri" w:hAnsi="Calibri"/>
          <w:color w:val="231F20"/>
          <w:w w:val="105"/>
        </w:rPr>
        <w:t>County)</w:t>
      </w:r>
      <w:r w:rsidRPr="00CD1C1C">
        <w:rPr>
          <w:rFonts w:ascii="Calibri" w:hAnsi="Calibri"/>
          <w:color w:val="231F20"/>
          <w:spacing w:val="8"/>
          <w:w w:val="105"/>
        </w:rPr>
        <w:t xml:space="preserve"> </w:t>
      </w:r>
      <w:r w:rsidRPr="00CD1C1C">
        <w:rPr>
          <w:rFonts w:ascii="Calibri" w:hAnsi="Calibri"/>
          <w:color w:val="231F20"/>
          <w:w w:val="105"/>
        </w:rPr>
        <w:t>has</w:t>
      </w:r>
      <w:r w:rsidRPr="00CD1C1C">
        <w:rPr>
          <w:rFonts w:ascii="Calibri" w:hAnsi="Calibri"/>
          <w:color w:val="231F20"/>
          <w:spacing w:val="8"/>
          <w:w w:val="105"/>
        </w:rPr>
        <w:t xml:space="preserve"> </w:t>
      </w:r>
      <w:r w:rsidRPr="00CD1C1C">
        <w:rPr>
          <w:rFonts w:ascii="Calibri" w:hAnsi="Calibri"/>
          <w:color w:val="231F20"/>
          <w:w w:val="105"/>
        </w:rPr>
        <w:t>a</w:t>
      </w:r>
      <w:r w:rsidRPr="00CD1C1C">
        <w:rPr>
          <w:rFonts w:ascii="Calibri" w:hAnsi="Calibri"/>
          <w:color w:val="231F20"/>
          <w:w w:val="110"/>
        </w:rPr>
        <w:t xml:space="preserve"> </w:t>
      </w:r>
      <w:r w:rsidRPr="00CD1C1C">
        <w:rPr>
          <w:rFonts w:ascii="Calibri" w:hAnsi="Calibri"/>
          <w:color w:val="231F20"/>
          <w:w w:val="105"/>
        </w:rPr>
        <w:t>greater</w:t>
      </w:r>
      <w:r w:rsidRPr="00CD1C1C">
        <w:rPr>
          <w:rFonts w:ascii="Calibri" w:hAnsi="Calibri"/>
          <w:color w:val="231F20"/>
          <w:spacing w:val="6"/>
          <w:w w:val="105"/>
        </w:rPr>
        <w:t xml:space="preserve"> </w:t>
      </w:r>
      <w:r w:rsidRPr="00CD1C1C">
        <w:rPr>
          <w:rFonts w:ascii="Calibri" w:hAnsi="Calibri"/>
          <w:color w:val="231F20"/>
          <w:w w:val="105"/>
        </w:rPr>
        <w:t>share</w:t>
      </w:r>
      <w:r w:rsidRPr="00CD1C1C">
        <w:rPr>
          <w:rFonts w:ascii="Calibri" w:hAnsi="Calibri"/>
          <w:color w:val="231F20"/>
          <w:spacing w:val="6"/>
          <w:w w:val="105"/>
        </w:rPr>
        <w:t xml:space="preserve"> </w:t>
      </w:r>
      <w:r w:rsidRPr="00CD1C1C">
        <w:rPr>
          <w:rFonts w:ascii="Calibri" w:hAnsi="Calibri"/>
          <w:color w:val="231F20"/>
          <w:w w:val="105"/>
        </w:rPr>
        <w:t>in</w:t>
      </w:r>
      <w:r w:rsidRPr="00CD1C1C">
        <w:rPr>
          <w:rFonts w:ascii="Calibri" w:hAnsi="Calibri"/>
          <w:color w:val="231F20"/>
          <w:spacing w:val="6"/>
          <w:w w:val="105"/>
        </w:rPr>
        <w:t xml:space="preserve"> </w:t>
      </w:r>
      <w:r w:rsidRPr="00CD1C1C">
        <w:rPr>
          <w:rFonts w:ascii="Calibri" w:hAnsi="Calibri"/>
          <w:color w:val="231F20"/>
          <w:w w:val="105"/>
        </w:rPr>
        <w:t>construction,</w:t>
      </w:r>
      <w:r w:rsidRPr="00CD1C1C">
        <w:rPr>
          <w:rFonts w:ascii="Calibri" w:hAnsi="Calibri"/>
          <w:color w:val="231F20"/>
          <w:spacing w:val="6"/>
          <w:w w:val="105"/>
        </w:rPr>
        <w:t xml:space="preserve"> </w:t>
      </w:r>
      <w:r w:rsidRPr="00CD1C1C">
        <w:rPr>
          <w:rFonts w:ascii="Calibri" w:hAnsi="Calibri"/>
          <w:color w:val="231F20"/>
          <w:w w:val="105"/>
        </w:rPr>
        <w:t>installation,</w:t>
      </w:r>
      <w:r w:rsidRPr="00CD1C1C">
        <w:rPr>
          <w:rFonts w:ascii="Calibri" w:hAnsi="Calibri"/>
          <w:color w:val="231F20"/>
          <w:spacing w:val="6"/>
          <w:w w:val="105"/>
        </w:rPr>
        <w:t xml:space="preserve"> </w:t>
      </w:r>
      <w:r w:rsidRPr="00CD1C1C">
        <w:rPr>
          <w:rFonts w:ascii="Calibri" w:hAnsi="Calibri"/>
          <w:color w:val="231F20"/>
          <w:w w:val="105"/>
        </w:rPr>
        <w:t>production</w:t>
      </w:r>
      <w:r w:rsidRPr="00CD1C1C">
        <w:rPr>
          <w:rFonts w:ascii="Calibri" w:hAnsi="Calibri"/>
          <w:color w:val="231F20"/>
          <w:spacing w:val="6"/>
          <w:w w:val="105"/>
        </w:rPr>
        <w:t xml:space="preserve"> </w:t>
      </w:r>
      <w:r w:rsidRPr="00CD1C1C">
        <w:rPr>
          <w:rFonts w:ascii="Calibri" w:hAnsi="Calibri"/>
          <w:color w:val="231F20"/>
          <w:w w:val="105"/>
        </w:rPr>
        <w:t>and</w:t>
      </w:r>
      <w:r w:rsidRPr="00CD1C1C">
        <w:rPr>
          <w:rFonts w:ascii="Calibri" w:hAnsi="Calibri"/>
          <w:color w:val="231F20"/>
          <w:spacing w:val="6"/>
          <w:w w:val="105"/>
        </w:rPr>
        <w:t xml:space="preserve"> </w:t>
      </w:r>
      <w:r w:rsidRPr="00CD1C1C">
        <w:rPr>
          <w:rFonts w:ascii="Calibri" w:hAnsi="Calibri"/>
          <w:color w:val="231F20"/>
          <w:w w:val="105"/>
        </w:rPr>
        <w:t>transportation</w:t>
      </w:r>
      <w:r w:rsidRPr="00CD1C1C">
        <w:rPr>
          <w:rFonts w:ascii="Calibri" w:hAnsi="Calibri"/>
          <w:color w:val="231F20"/>
          <w:spacing w:val="6"/>
          <w:w w:val="105"/>
        </w:rPr>
        <w:t xml:space="preserve"> </w:t>
      </w:r>
      <w:r w:rsidRPr="00CD1C1C">
        <w:rPr>
          <w:rFonts w:ascii="Calibri" w:hAnsi="Calibri"/>
          <w:color w:val="231F20"/>
          <w:w w:val="105"/>
        </w:rPr>
        <w:t>occupations.</w:t>
      </w:r>
      <w:r w:rsidRPr="00CD1C1C">
        <w:rPr>
          <w:rFonts w:ascii="Calibri" w:hAnsi="Calibri"/>
          <w:color w:val="231F20"/>
          <w:spacing w:val="12"/>
          <w:w w:val="105"/>
        </w:rPr>
        <w:t xml:space="preserve"> </w:t>
      </w:r>
      <w:r w:rsidRPr="00545BFE">
        <w:rPr>
          <w:rFonts w:ascii="Calibri" w:hAnsi="Calibri"/>
          <w:color w:val="231F20"/>
          <w:w w:val="105"/>
        </w:rPr>
        <w:t>Transportation</w:t>
      </w:r>
      <w:r w:rsidRPr="00545BFE">
        <w:rPr>
          <w:rFonts w:ascii="Calibri" w:hAnsi="Calibri"/>
          <w:color w:val="231F20"/>
          <w:spacing w:val="6"/>
          <w:w w:val="105"/>
        </w:rPr>
        <w:t xml:space="preserve"> </w:t>
      </w:r>
      <w:r w:rsidRPr="00545BFE">
        <w:rPr>
          <w:rFonts w:ascii="Calibri" w:hAnsi="Calibri"/>
          <w:color w:val="231F20"/>
          <w:w w:val="105"/>
        </w:rPr>
        <w:t>and</w:t>
      </w:r>
      <w:r w:rsidRPr="00545BFE">
        <w:rPr>
          <w:rFonts w:ascii="Calibri" w:hAnsi="Calibri"/>
          <w:color w:val="231F20"/>
          <w:spacing w:val="-50"/>
          <w:w w:val="105"/>
        </w:rPr>
        <w:t xml:space="preserve">   </w:t>
      </w:r>
      <w:r w:rsidRPr="00545BFE">
        <w:rPr>
          <w:rFonts w:ascii="Calibri" w:hAnsi="Calibri"/>
          <w:color w:val="231F20"/>
          <w:w w:val="105"/>
        </w:rPr>
        <w:t>material</w:t>
      </w:r>
      <w:r w:rsidRPr="00545BFE">
        <w:rPr>
          <w:rFonts w:ascii="Calibri" w:hAnsi="Calibri"/>
          <w:color w:val="231F20"/>
          <w:spacing w:val="9"/>
          <w:w w:val="105"/>
        </w:rPr>
        <w:t xml:space="preserve"> </w:t>
      </w:r>
      <w:r w:rsidRPr="00545BFE">
        <w:rPr>
          <w:rFonts w:ascii="Calibri" w:hAnsi="Calibri"/>
          <w:color w:val="231F20"/>
          <w:w w:val="105"/>
        </w:rPr>
        <w:t>moving</w:t>
      </w:r>
      <w:r w:rsidRPr="00545BFE">
        <w:rPr>
          <w:rFonts w:ascii="Calibri" w:hAnsi="Calibri"/>
          <w:color w:val="231F20"/>
          <w:spacing w:val="9"/>
          <w:w w:val="105"/>
        </w:rPr>
        <w:t xml:space="preserve"> </w:t>
      </w:r>
      <w:r w:rsidRPr="00545BFE">
        <w:rPr>
          <w:rFonts w:ascii="Calibri" w:hAnsi="Calibri"/>
          <w:color w:val="231F20"/>
          <w:w w:val="105"/>
        </w:rPr>
        <w:t>occupations</w:t>
      </w:r>
      <w:r w:rsidRPr="00545BFE">
        <w:rPr>
          <w:rFonts w:ascii="Calibri" w:hAnsi="Calibri"/>
          <w:color w:val="231F20"/>
          <w:spacing w:val="9"/>
          <w:w w:val="105"/>
        </w:rPr>
        <w:t xml:space="preserve"> </w:t>
      </w:r>
      <w:r w:rsidRPr="00545BFE">
        <w:rPr>
          <w:rFonts w:ascii="Calibri" w:hAnsi="Calibri"/>
          <w:color w:val="231F20"/>
          <w:w w:val="105"/>
        </w:rPr>
        <w:t>was</w:t>
      </w:r>
      <w:r w:rsidRPr="00545BFE">
        <w:rPr>
          <w:rFonts w:ascii="Calibri" w:hAnsi="Calibri"/>
          <w:color w:val="231F20"/>
          <w:spacing w:val="9"/>
          <w:w w:val="105"/>
        </w:rPr>
        <w:t xml:space="preserve"> </w:t>
      </w:r>
      <w:r w:rsidRPr="00545BFE">
        <w:rPr>
          <w:rFonts w:ascii="Calibri" w:hAnsi="Calibri"/>
          <w:color w:val="231F20"/>
          <w:w w:val="105"/>
        </w:rPr>
        <w:t>much</w:t>
      </w:r>
      <w:r w:rsidRPr="00545BFE">
        <w:rPr>
          <w:rFonts w:ascii="Calibri" w:hAnsi="Calibri"/>
          <w:color w:val="231F20"/>
          <w:spacing w:val="9"/>
          <w:w w:val="105"/>
        </w:rPr>
        <w:t xml:space="preserve"> </w:t>
      </w:r>
      <w:r w:rsidRPr="00545BFE">
        <w:rPr>
          <w:rFonts w:ascii="Calibri" w:hAnsi="Calibri"/>
          <w:color w:val="231F20"/>
          <w:w w:val="105"/>
        </w:rPr>
        <w:t>higher</w:t>
      </w:r>
      <w:r w:rsidRPr="00545BFE">
        <w:rPr>
          <w:rFonts w:ascii="Calibri" w:hAnsi="Calibri"/>
          <w:color w:val="231F20"/>
          <w:spacing w:val="9"/>
          <w:w w:val="105"/>
        </w:rPr>
        <w:t xml:space="preserve"> </w:t>
      </w:r>
      <w:r w:rsidRPr="00545BFE">
        <w:rPr>
          <w:rFonts w:ascii="Calibri" w:hAnsi="Calibri"/>
          <w:color w:val="231F20"/>
          <w:w w:val="105"/>
        </w:rPr>
        <w:t>than</w:t>
      </w:r>
      <w:r w:rsidRPr="00545BFE">
        <w:rPr>
          <w:rFonts w:ascii="Calibri" w:hAnsi="Calibri"/>
          <w:color w:val="231F20"/>
          <w:spacing w:val="9"/>
          <w:w w:val="105"/>
        </w:rPr>
        <w:t xml:space="preserve"> </w:t>
      </w:r>
      <w:r w:rsidRPr="00545BFE">
        <w:rPr>
          <w:rFonts w:ascii="Calibri" w:hAnsi="Calibri"/>
          <w:color w:val="231F20"/>
          <w:w w:val="105"/>
        </w:rPr>
        <w:t>the</w:t>
      </w:r>
      <w:r w:rsidRPr="00545BFE">
        <w:rPr>
          <w:rFonts w:ascii="Calibri" w:hAnsi="Calibri"/>
          <w:color w:val="231F20"/>
          <w:spacing w:val="9"/>
          <w:w w:val="105"/>
        </w:rPr>
        <w:t xml:space="preserve"> </w:t>
      </w:r>
      <w:r w:rsidRPr="00545BFE">
        <w:rPr>
          <w:rFonts w:ascii="Calibri" w:hAnsi="Calibri"/>
          <w:color w:val="231F20"/>
          <w:w w:val="105"/>
        </w:rPr>
        <w:t>state</w:t>
      </w:r>
      <w:r w:rsidR="00FF7D7A">
        <w:rPr>
          <w:rFonts w:ascii="Calibri" w:hAnsi="Calibri"/>
          <w:color w:val="231F20"/>
          <w:w w:val="105"/>
        </w:rPr>
        <w:t>’s</w:t>
      </w:r>
      <w:r w:rsidRPr="00545BFE">
        <w:rPr>
          <w:rFonts w:ascii="Calibri" w:hAnsi="Calibri"/>
          <w:color w:val="231F20"/>
          <w:spacing w:val="9"/>
          <w:w w:val="105"/>
        </w:rPr>
        <w:t xml:space="preserve"> </w:t>
      </w:r>
      <w:r w:rsidRPr="00545BFE">
        <w:rPr>
          <w:rFonts w:ascii="Calibri" w:hAnsi="Calibri"/>
          <w:color w:val="231F20"/>
          <w:w w:val="105"/>
        </w:rPr>
        <w:t>(9.2</w:t>
      </w:r>
      <w:r w:rsidRPr="00545BFE">
        <w:rPr>
          <w:rFonts w:ascii="Calibri" w:hAnsi="Calibri"/>
          <w:color w:val="231F20"/>
          <w:spacing w:val="9"/>
          <w:w w:val="105"/>
        </w:rPr>
        <w:t xml:space="preserve"> </w:t>
      </w:r>
      <w:r w:rsidRPr="00545BFE">
        <w:rPr>
          <w:rFonts w:ascii="Calibri" w:hAnsi="Calibri"/>
          <w:color w:val="231F20"/>
          <w:w w:val="105"/>
        </w:rPr>
        <w:t>percent</w:t>
      </w:r>
      <w:r w:rsidRPr="00545BFE">
        <w:rPr>
          <w:rFonts w:ascii="Calibri" w:hAnsi="Calibri"/>
          <w:color w:val="231F20"/>
          <w:spacing w:val="9"/>
          <w:w w:val="105"/>
        </w:rPr>
        <w:t xml:space="preserve"> </w:t>
      </w:r>
      <w:r w:rsidRPr="00545BFE">
        <w:rPr>
          <w:rFonts w:ascii="Calibri" w:hAnsi="Calibri"/>
          <w:color w:val="231F20"/>
          <w:w w:val="105"/>
        </w:rPr>
        <w:t>vs.</w:t>
      </w:r>
      <w:r w:rsidRPr="00545BFE">
        <w:rPr>
          <w:rFonts w:ascii="Calibri" w:hAnsi="Calibri"/>
          <w:color w:val="231F20"/>
          <w:spacing w:val="9"/>
          <w:w w:val="105"/>
        </w:rPr>
        <w:t xml:space="preserve"> </w:t>
      </w:r>
      <w:r w:rsidRPr="00545BFE">
        <w:rPr>
          <w:rFonts w:ascii="Calibri" w:hAnsi="Calibri"/>
          <w:color w:val="231F20"/>
          <w:w w:val="105"/>
        </w:rPr>
        <w:t>5.9</w:t>
      </w:r>
      <w:r w:rsidRPr="00545BFE">
        <w:rPr>
          <w:rFonts w:ascii="Calibri" w:hAnsi="Calibri"/>
          <w:color w:val="231F20"/>
          <w:spacing w:val="9"/>
          <w:w w:val="105"/>
        </w:rPr>
        <w:t xml:space="preserve"> </w:t>
      </w:r>
      <w:r w:rsidRPr="00545BFE">
        <w:rPr>
          <w:rFonts w:ascii="Calibri" w:hAnsi="Calibri"/>
          <w:color w:val="231F20"/>
          <w:w w:val="105"/>
        </w:rPr>
        <w:t>percent),</w:t>
      </w:r>
      <w:r w:rsidRPr="00545BFE">
        <w:rPr>
          <w:rFonts w:ascii="Calibri" w:hAnsi="Calibri"/>
          <w:color w:val="231F20"/>
          <w:spacing w:val="9"/>
          <w:w w:val="105"/>
        </w:rPr>
        <w:t xml:space="preserve"> </w:t>
      </w:r>
      <w:r w:rsidRPr="00545BFE">
        <w:rPr>
          <w:rFonts w:ascii="Calibri" w:hAnsi="Calibri"/>
          <w:color w:val="231F20"/>
          <w:w w:val="105"/>
        </w:rPr>
        <w:t>reflecting</w:t>
      </w:r>
      <w:r w:rsidRPr="00545BFE">
        <w:rPr>
          <w:rFonts w:ascii="Calibri" w:hAnsi="Calibri"/>
          <w:color w:val="231F20"/>
          <w:spacing w:val="9"/>
          <w:w w:val="105"/>
        </w:rPr>
        <w:t xml:space="preserve"> </w:t>
      </w:r>
      <w:r w:rsidRPr="00545BFE">
        <w:rPr>
          <w:rFonts w:ascii="Calibri" w:hAnsi="Calibri"/>
          <w:color w:val="231F20"/>
          <w:w w:val="105"/>
        </w:rPr>
        <w:t>the</w:t>
      </w:r>
      <w:r w:rsidRPr="00545BFE">
        <w:rPr>
          <w:rFonts w:ascii="Calibri" w:hAnsi="Calibri"/>
          <w:color w:val="231F20"/>
          <w:spacing w:val="-35"/>
          <w:w w:val="105"/>
        </w:rPr>
        <w:t xml:space="preserve"> </w:t>
      </w:r>
      <w:r w:rsidRPr="00545BFE">
        <w:rPr>
          <w:rFonts w:ascii="Calibri" w:hAnsi="Calibri"/>
          <w:color w:val="231F20"/>
          <w:w w:val="105"/>
        </w:rPr>
        <w:t>local</w:t>
      </w:r>
      <w:r w:rsidRPr="00545BFE">
        <w:rPr>
          <w:rFonts w:ascii="Calibri" w:hAnsi="Calibri"/>
          <w:color w:val="231F20"/>
          <w:spacing w:val="14"/>
          <w:w w:val="105"/>
        </w:rPr>
        <w:t xml:space="preserve"> </w:t>
      </w:r>
      <w:r w:rsidR="00545BFE" w:rsidRPr="00545BFE">
        <w:rPr>
          <w:rFonts w:ascii="Calibri" w:hAnsi="Calibri"/>
          <w:color w:val="231F20"/>
          <w:w w:val="105"/>
        </w:rPr>
        <w:t>a</w:t>
      </w:r>
      <w:r w:rsidRPr="00545BFE">
        <w:rPr>
          <w:rFonts w:ascii="Calibri" w:hAnsi="Calibri"/>
          <w:color w:val="231F20"/>
          <w:w w:val="105"/>
        </w:rPr>
        <w:t>rea’s</w:t>
      </w:r>
      <w:r w:rsidRPr="00545BFE">
        <w:rPr>
          <w:rFonts w:ascii="Calibri" w:hAnsi="Calibri"/>
          <w:color w:val="231F20"/>
          <w:spacing w:val="14"/>
          <w:w w:val="105"/>
        </w:rPr>
        <w:t xml:space="preserve"> </w:t>
      </w:r>
      <w:r w:rsidRPr="00545BFE">
        <w:rPr>
          <w:rFonts w:ascii="Calibri" w:hAnsi="Calibri"/>
          <w:color w:val="231F20"/>
          <w:w w:val="105"/>
        </w:rPr>
        <w:t>significance</w:t>
      </w:r>
      <w:r w:rsidRPr="00545BFE">
        <w:rPr>
          <w:rFonts w:ascii="Calibri" w:hAnsi="Calibri"/>
          <w:color w:val="231F20"/>
          <w:spacing w:val="14"/>
          <w:w w:val="105"/>
        </w:rPr>
        <w:t xml:space="preserve"> </w:t>
      </w:r>
      <w:r w:rsidRPr="00545BFE">
        <w:rPr>
          <w:rFonts w:ascii="Calibri" w:hAnsi="Calibri"/>
          <w:color w:val="231F20"/>
          <w:w w:val="105"/>
        </w:rPr>
        <w:t>in</w:t>
      </w:r>
      <w:r w:rsidRPr="00545BFE">
        <w:rPr>
          <w:rFonts w:ascii="Calibri" w:hAnsi="Calibri"/>
          <w:color w:val="231F20"/>
          <w:spacing w:val="14"/>
          <w:w w:val="105"/>
        </w:rPr>
        <w:t xml:space="preserve"> </w:t>
      </w:r>
      <w:r w:rsidRPr="00545BFE">
        <w:rPr>
          <w:rFonts w:ascii="Calibri" w:hAnsi="Calibri"/>
          <w:color w:val="231F20"/>
          <w:w w:val="105"/>
        </w:rPr>
        <w:t>moving</w:t>
      </w:r>
      <w:r w:rsidRPr="00545BFE">
        <w:rPr>
          <w:rFonts w:ascii="Calibri" w:hAnsi="Calibri"/>
          <w:color w:val="231F20"/>
          <w:spacing w:val="14"/>
          <w:w w:val="105"/>
        </w:rPr>
        <w:t xml:space="preserve"> </w:t>
      </w:r>
      <w:r w:rsidR="00545BFE" w:rsidRPr="00545BFE">
        <w:rPr>
          <w:rFonts w:ascii="Calibri" w:hAnsi="Calibri"/>
          <w:color w:val="231F20"/>
          <w:spacing w:val="14"/>
          <w:w w:val="105"/>
        </w:rPr>
        <w:t>Florida’s</w:t>
      </w:r>
      <w:r w:rsidRPr="00545BFE">
        <w:rPr>
          <w:rFonts w:ascii="Calibri" w:hAnsi="Calibri"/>
          <w:color w:val="231F20"/>
          <w:spacing w:val="14"/>
          <w:w w:val="105"/>
        </w:rPr>
        <w:t xml:space="preserve"> </w:t>
      </w:r>
      <w:r w:rsidRPr="00545BFE">
        <w:rPr>
          <w:rFonts w:ascii="Calibri" w:hAnsi="Calibri"/>
          <w:color w:val="231F20"/>
          <w:w w:val="105"/>
        </w:rPr>
        <w:t>products</w:t>
      </w:r>
      <w:r w:rsidRPr="00545BFE">
        <w:rPr>
          <w:rFonts w:ascii="Calibri" w:hAnsi="Calibri"/>
          <w:color w:val="231F20"/>
          <w:spacing w:val="14"/>
          <w:w w:val="105"/>
        </w:rPr>
        <w:t xml:space="preserve"> </w:t>
      </w:r>
      <w:r w:rsidRPr="00545BFE">
        <w:rPr>
          <w:rFonts w:ascii="Calibri" w:hAnsi="Calibri"/>
          <w:color w:val="231F20"/>
          <w:w w:val="105"/>
        </w:rPr>
        <w:t>to</w:t>
      </w:r>
      <w:r w:rsidRPr="00545BFE">
        <w:rPr>
          <w:rFonts w:ascii="Calibri" w:hAnsi="Calibri"/>
          <w:color w:val="231F20"/>
          <w:spacing w:val="14"/>
          <w:w w:val="105"/>
        </w:rPr>
        <w:t xml:space="preserve"> </w:t>
      </w:r>
      <w:r w:rsidRPr="00545BFE">
        <w:rPr>
          <w:rFonts w:ascii="Calibri" w:hAnsi="Calibri"/>
          <w:color w:val="231F20"/>
          <w:w w:val="105"/>
        </w:rPr>
        <w:t>local</w:t>
      </w:r>
      <w:r w:rsidRPr="00545BFE">
        <w:rPr>
          <w:rFonts w:ascii="Calibri" w:hAnsi="Calibri"/>
          <w:color w:val="231F20"/>
          <w:spacing w:val="14"/>
          <w:w w:val="105"/>
        </w:rPr>
        <w:t xml:space="preserve"> </w:t>
      </w:r>
      <w:r w:rsidRPr="00545BFE">
        <w:rPr>
          <w:rFonts w:ascii="Calibri" w:hAnsi="Calibri"/>
          <w:color w:val="231F20"/>
          <w:w w:val="105"/>
        </w:rPr>
        <w:t>and</w:t>
      </w:r>
      <w:r w:rsidRPr="00545BFE">
        <w:rPr>
          <w:rFonts w:ascii="Calibri" w:hAnsi="Calibri"/>
          <w:color w:val="231F20"/>
          <w:spacing w:val="14"/>
          <w:w w:val="105"/>
        </w:rPr>
        <w:t xml:space="preserve"> </w:t>
      </w:r>
      <w:r w:rsidR="00545BFE" w:rsidRPr="00545BFE">
        <w:rPr>
          <w:rFonts w:ascii="Calibri" w:hAnsi="Calibri"/>
          <w:color w:val="231F20"/>
          <w:w w:val="105"/>
        </w:rPr>
        <w:t>state</w:t>
      </w:r>
      <w:r w:rsidRPr="00545BFE">
        <w:rPr>
          <w:rFonts w:ascii="Calibri" w:hAnsi="Calibri"/>
          <w:color w:val="231F20"/>
          <w:spacing w:val="14"/>
          <w:w w:val="105"/>
        </w:rPr>
        <w:t xml:space="preserve"> </w:t>
      </w:r>
      <w:r w:rsidRPr="00545BFE">
        <w:rPr>
          <w:rFonts w:ascii="Calibri" w:hAnsi="Calibri"/>
          <w:color w:val="231F20"/>
          <w:w w:val="105"/>
        </w:rPr>
        <w:t>markets.</w:t>
      </w:r>
    </w:p>
    <w:p w14:paraId="31F5B4DF" w14:textId="77777777" w:rsidR="00002D76" w:rsidRPr="00EA7458" w:rsidRDefault="00002D76" w:rsidP="00002D76">
      <w:pPr>
        <w:widowControl w:val="0"/>
        <w:spacing w:before="6" w:after="0" w:line="240" w:lineRule="auto"/>
        <w:rPr>
          <w:rFonts w:ascii="Calibri" w:hAnsi="Calibri" w:cs="Calibri"/>
          <w:sz w:val="16"/>
          <w:szCs w:val="16"/>
        </w:rPr>
      </w:pPr>
    </w:p>
    <w:p w14:paraId="3A28A40E" w14:textId="77777777" w:rsidR="00002D76" w:rsidRPr="00EA7458" w:rsidRDefault="00002D76" w:rsidP="00D63204">
      <w:pPr>
        <w:widowControl w:val="0"/>
        <w:spacing w:after="0" w:line="266" w:lineRule="exact"/>
        <w:ind w:left="468" w:right="468"/>
        <w:outlineLvl w:val="2"/>
        <w:rPr>
          <w:rFonts w:ascii="Calibri" w:hAnsi="Calibri"/>
        </w:rPr>
      </w:pPr>
      <w:r w:rsidRPr="00EA7458">
        <w:rPr>
          <w:rFonts w:ascii="Calibri" w:hAnsi="Calibri"/>
          <w:b/>
          <w:bCs/>
          <w:color w:val="231F20"/>
          <w:w w:val="115"/>
        </w:rPr>
        <w:t>Figure</w:t>
      </w:r>
      <w:r w:rsidRPr="00EA7458">
        <w:rPr>
          <w:rFonts w:ascii="Calibri" w:hAnsi="Calibri"/>
          <w:b/>
          <w:bCs/>
          <w:color w:val="231F20"/>
          <w:spacing w:val="-11"/>
          <w:w w:val="115"/>
        </w:rPr>
        <w:t xml:space="preserve"> </w:t>
      </w:r>
      <w:r w:rsidRPr="00EA7458">
        <w:rPr>
          <w:rFonts w:ascii="Calibri" w:hAnsi="Calibri"/>
          <w:b/>
          <w:bCs/>
          <w:color w:val="231F20"/>
          <w:w w:val="115"/>
        </w:rPr>
        <w:t>2.20</w:t>
      </w:r>
    </w:p>
    <w:p w14:paraId="442A8D25" w14:textId="77777777" w:rsidR="00002D76" w:rsidRPr="00EA7458" w:rsidRDefault="00002D76" w:rsidP="00D63204">
      <w:pPr>
        <w:widowControl w:val="0"/>
        <w:spacing w:before="2" w:after="0" w:line="235" w:lineRule="auto"/>
        <w:ind w:left="2673" w:right="2671"/>
        <w:rPr>
          <w:rFonts w:ascii="Calibri" w:hAnsi="Calibri" w:cs="Calibri"/>
        </w:rPr>
      </w:pPr>
      <w:r w:rsidRPr="00EA7458">
        <w:rPr>
          <w:rFonts w:ascii="Calibri" w:hAnsi="Calibri"/>
          <w:b/>
          <w:color w:val="231F20"/>
          <w:w w:val="110"/>
        </w:rPr>
        <w:t>Percent</w:t>
      </w:r>
      <w:r w:rsidRPr="00EA7458">
        <w:rPr>
          <w:rFonts w:ascii="Calibri" w:hAnsi="Calibri"/>
          <w:b/>
          <w:color w:val="231F20"/>
          <w:spacing w:val="-19"/>
          <w:w w:val="110"/>
        </w:rPr>
        <w:t xml:space="preserve"> </w:t>
      </w:r>
      <w:r w:rsidRPr="00EA7458">
        <w:rPr>
          <w:rFonts w:ascii="Calibri" w:hAnsi="Calibri"/>
          <w:b/>
          <w:color w:val="231F20"/>
          <w:w w:val="110"/>
        </w:rPr>
        <w:t>Distribution</w:t>
      </w:r>
      <w:r w:rsidRPr="00EA7458">
        <w:rPr>
          <w:rFonts w:ascii="Calibri" w:hAnsi="Calibri"/>
          <w:b/>
          <w:color w:val="231F20"/>
          <w:spacing w:val="-19"/>
          <w:w w:val="110"/>
        </w:rPr>
        <w:t xml:space="preserve"> </w:t>
      </w:r>
      <w:r w:rsidRPr="00EA7458">
        <w:rPr>
          <w:rFonts w:ascii="Calibri" w:hAnsi="Calibri"/>
          <w:b/>
          <w:color w:val="231F20"/>
          <w:w w:val="110"/>
        </w:rPr>
        <w:t>by</w:t>
      </w:r>
      <w:r w:rsidRPr="00EA7458">
        <w:rPr>
          <w:rFonts w:ascii="Calibri" w:hAnsi="Calibri"/>
          <w:b/>
          <w:color w:val="231F20"/>
          <w:spacing w:val="-19"/>
          <w:w w:val="110"/>
        </w:rPr>
        <w:t xml:space="preserve"> </w:t>
      </w:r>
      <w:r w:rsidRPr="00EA7458">
        <w:rPr>
          <w:rFonts w:ascii="Calibri" w:hAnsi="Calibri"/>
          <w:b/>
          <w:color w:val="231F20"/>
          <w:w w:val="110"/>
        </w:rPr>
        <w:t>Major</w:t>
      </w:r>
      <w:r w:rsidRPr="00EA7458">
        <w:rPr>
          <w:rFonts w:ascii="Calibri" w:hAnsi="Calibri"/>
          <w:b/>
          <w:color w:val="231F20"/>
          <w:spacing w:val="-19"/>
          <w:w w:val="110"/>
        </w:rPr>
        <w:t xml:space="preserve"> </w:t>
      </w:r>
      <w:r w:rsidRPr="00EA7458">
        <w:rPr>
          <w:rFonts w:ascii="Calibri" w:hAnsi="Calibri"/>
          <w:b/>
          <w:color w:val="231F20"/>
          <w:w w:val="110"/>
        </w:rPr>
        <w:t>Occupational</w:t>
      </w:r>
      <w:r w:rsidRPr="00EA7458">
        <w:rPr>
          <w:rFonts w:ascii="Calibri" w:hAnsi="Calibri"/>
          <w:b/>
          <w:color w:val="231F20"/>
          <w:spacing w:val="-19"/>
          <w:w w:val="110"/>
        </w:rPr>
        <w:t xml:space="preserve"> </w:t>
      </w:r>
      <w:r w:rsidRPr="00EA7458">
        <w:rPr>
          <w:rFonts w:ascii="Calibri" w:hAnsi="Calibri"/>
          <w:b/>
          <w:color w:val="231F20"/>
          <w:w w:val="110"/>
        </w:rPr>
        <w:t>Group</w:t>
      </w:r>
      <w:r w:rsidRPr="00EA7458">
        <w:rPr>
          <w:rFonts w:ascii="Calibri" w:hAnsi="Calibri"/>
          <w:b/>
          <w:color w:val="231F20"/>
          <w:w w:val="108"/>
        </w:rPr>
        <w:t xml:space="preserve"> </w:t>
      </w:r>
      <w:r w:rsidRPr="00EA7458">
        <w:rPr>
          <w:rFonts w:ascii="Calibri" w:hAnsi="Calibri"/>
          <w:b/>
          <w:color w:val="231F20"/>
          <w:w w:val="110"/>
        </w:rPr>
        <w:t>Local</w:t>
      </w:r>
      <w:r w:rsidRPr="00EA7458">
        <w:rPr>
          <w:rFonts w:ascii="Calibri" w:hAnsi="Calibri"/>
          <w:b/>
          <w:color w:val="231F20"/>
          <w:spacing w:val="-19"/>
          <w:w w:val="110"/>
        </w:rPr>
        <w:t xml:space="preserve"> </w:t>
      </w:r>
      <w:r w:rsidRPr="00EA7458">
        <w:rPr>
          <w:rFonts w:ascii="Calibri" w:hAnsi="Calibri"/>
          <w:b/>
          <w:color w:val="231F20"/>
          <w:w w:val="110"/>
        </w:rPr>
        <w:t>Workforce</w:t>
      </w:r>
      <w:r w:rsidRPr="00EA7458">
        <w:rPr>
          <w:rFonts w:ascii="Calibri" w:hAnsi="Calibri"/>
          <w:b/>
          <w:color w:val="231F20"/>
          <w:spacing w:val="-19"/>
          <w:w w:val="110"/>
        </w:rPr>
        <w:t xml:space="preserve"> </w:t>
      </w:r>
      <w:r w:rsidRPr="00EA7458">
        <w:rPr>
          <w:rFonts w:ascii="Calibri" w:hAnsi="Calibri"/>
          <w:b/>
          <w:color w:val="231F20"/>
          <w:w w:val="110"/>
        </w:rPr>
        <w:t>Development</w:t>
      </w:r>
      <w:r w:rsidRPr="00EA7458">
        <w:rPr>
          <w:rFonts w:ascii="Calibri" w:hAnsi="Calibri"/>
          <w:b/>
          <w:color w:val="231F20"/>
          <w:spacing w:val="-19"/>
          <w:w w:val="110"/>
        </w:rPr>
        <w:t xml:space="preserve"> </w:t>
      </w:r>
      <w:r w:rsidRPr="00EA7458">
        <w:rPr>
          <w:rFonts w:ascii="Calibri" w:hAnsi="Calibri"/>
          <w:b/>
          <w:color w:val="231F20"/>
          <w:w w:val="110"/>
        </w:rPr>
        <w:t>Areas</w:t>
      </w:r>
      <w:r w:rsidRPr="00EA7458">
        <w:rPr>
          <w:rFonts w:ascii="Calibri" w:hAnsi="Calibri"/>
          <w:b/>
          <w:color w:val="231F20"/>
          <w:spacing w:val="-19"/>
          <w:w w:val="110"/>
        </w:rPr>
        <w:t xml:space="preserve"> </w:t>
      </w:r>
      <w:r w:rsidRPr="00EA7458">
        <w:rPr>
          <w:rFonts w:ascii="Calibri" w:hAnsi="Calibri"/>
          <w:b/>
          <w:color w:val="231F20"/>
          <w:w w:val="110"/>
        </w:rPr>
        <w:t>17-24</w:t>
      </w:r>
    </w:p>
    <w:p w14:paraId="2F759909" w14:textId="77777777" w:rsidR="00002D76" w:rsidRPr="00EA7458" w:rsidRDefault="00002D76" w:rsidP="00002D76">
      <w:pPr>
        <w:widowControl w:val="0"/>
        <w:spacing w:before="2" w:after="0" w:line="240" w:lineRule="auto"/>
        <w:rPr>
          <w:rFonts w:ascii="Calibri" w:hAnsi="Calibri" w:cs="Calibri"/>
          <w:b/>
          <w:bCs/>
          <w:sz w:val="18"/>
          <w:szCs w:val="18"/>
        </w:rPr>
      </w:pPr>
    </w:p>
    <w:tbl>
      <w:tblPr>
        <w:tblW w:w="10188" w:type="dxa"/>
        <w:tblInd w:w="-5" w:type="dxa"/>
        <w:tblLook w:val="04A0" w:firstRow="1" w:lastRow="0" w:firstColumn="1" w:lastColumn="0" w:noHBand="0" w:noVBand="1"/>
      </w:tblPr>
      <w:tblGrid>
        <w:gridCol w:w="1094"/>
        <w:gridCol w:w="2173"/>
        <w:gridCol w:w="764"/>
        <w:gridCol w:w="769"/>
        <w:gridCol w:w="769"/>
        <w:gridCol w:w="769"/>
        <w:gridCol w:w="770"/>
        <w:gridCol w:w="770"/>
        <w:gridCol w:w="770"/>
        <w:gridCol w:w="770"/>
        <w:gridCol w:w="770"/>
      </w:tblGrid>
      <w:tr w:rsidR="00002D76" w:rsidRPr="008648E5" w14:paraId="605CF401" w14:textId="77777777" w:rsidTr="001429C7">
        <w:trPr>
          <w:trHeight w:hRule="exact" w:val="453"/>
        </w:trPr>
        <w:tc>
          <w:tcPr>
            <w:tcW w:w="1094" w:type="dxa"/>
            <w:tcBorders>
              <w:top w:val="single" w:sz="4" w:space="0" w:color="auto"/>
              <w:left w:val="single" w:sz="4" w:space="0" w:color="auto"/>
              <w:bottom w:val="nil"/>
              <w:right w:val="single" w:sz="4" w:space="0" w:color="auto"/>
            </w:tcBorders>
            <w:shd w:val="clear" w:color="auto" w:fill="auto"/>
            <w:noWrap/>
            <w:vAlign w:val="center"/>
            <w:hideMark/>
          </w:tcPr>
          <w:p w14:paraId="4D7CCAE1" w14:textId="77777777" w:rsidR="00002D76" w:rsidRPr="008648E5" w:rsidRDefault="00002D76" w:rsidP="00D63204">
            <w:pPr>
              <w:spacing w:after="0" w:line="240" w:lineRule="auto"/>
              <w:rPr>
                <w:rFonts w:ascii="Calibri" w:hAnsi="Calibri"/>
                <w:b/>
                <w:bCs/>
                <w:color w:val="231F20"/>
                <w:sz w:val="16"/>
                <w:szCs w:val="16"/>
              </w:rPr>
            </w:pPr>
            <w:r w:rsidRPr="008648E5">
              <w:rPr>
                <w:rFonts w:ascii="Calibri" w:hAnsi="Calibri"/>
                <w:b/>
                <w:bCs/>
                <w:color w:val="231F20"/>
                <w:sz w:val="16"/>
                <w:szCs w:val="16"/>
              </w:rPr>
              <w:t>Occupational Group Code</w:t>
            </w:r>
          </w:p>
        </w:tc>
        <w:tc>
          <w:tcPr>
            <w:tcW w:w="2173" w:type="dxa"/>
            <w:tcBorders>
              <w:top w:val="single" w:sz="4" w:space="0" w:color="auto"/>
              <w:left w:val="nil"/>
              <w:bottom w:val="nil"/>
              <w:right w:val="single" w:sz="4" w:space="0" w:color="auto"/>
            </w:tcBorders>
            <w:shd w:val="clear" w:color="auto" w:fill="auto"/>
            <w:noWrap/>
            <w:vAlign w:val="center"/>
            <w:hideMark/>
          </w:tcPr>
          <w:p w14:paraId="4780070F" w14:textId="77777777" w:rsidR="00002D76" w:rsidRPr="008648E5" w:rsidRDefault="00002D76" w:rsidP="004D6183">
            <w:pPr>
              <w:spacing w:after="0" w:line="240" w:lineRule="auto"/>
              <w:rPr>
                <w:rFonts w:ascii="Calibri" w:hAnsi="Calibri"/>
                <w:b/>
                <w:bCs/>
                <w:color w:val="231F20"/>
                <w:sz w:val="16"/>
                <w:szCs w:val="16"/>
              </w:rPr>
            </w:pPr>
            <w:r w:rsidRPr="008648E5">
              <w:rPr>
                <w:rFonts w:ascii="Calibri" w:hAnsi="Calibri"/>
                <w:b/>
                <w:bCs/>
                <w:color w:val="231F20"/>
                <w:sz w:val="16"/>
                <w:szCs w:val="16"/>
              </w:rPr>
              <w:t>Occupational Group Name</w:t>
            </w:r>
          </w:p>
        </w:tc>
        <w:tc>
          <w:tcPr>
            <w:tcW w:w="764" w:type="dxa"/>
            <w:tcBorders>
              <w:top w:val="single" w:sz="4" w:space="0" w:color="auto"/>
              <w:left w:val="nil"/>
              <w:bottom w:val="nil"/>
              <w:right w:val="single" w:sz="4" w:space="0" w:color="auto"/>
            </w:tcBorders>
            <w:shd w:val="clear" w:color="auto" w:fill="auto"/>
            <w:vAlign w:val="center"/>
            <w:hideMark/>
          </w:tcPr>
          <w:p w14:paraId="159BA4D1" w14:textId="77777777" w:rsidR="00002D76" w:rsidRPr="008648E5" w:rsidRDefault="00002D76" w:rsidP="00D63204">
            <w:pPr>
              <w:spacing w:after="0" w:line="240" w:lineRule="auto"/>
              <w:rPr>
                <w:rFonts w:ascii="Calibri" w:hAnsi="Calibri"/>
                <w:b/>
                <w:bCs/>
                <w:color w:val="231F20"/>
                <w:sz w:val="16"/>
                <w:szCs w:val="16"/>
              </w:rPr>
            </w:pPr>
            <w:r w:rsidRPr="008648E5">
              <w:rPr>
                <w:rFonts w:ascii="Calibri" w:hAnsi="Calibri"/>
                <w:b/>
                <w:bCs/>
                <w:color w:val="231F20"/>
                <w:sz w:val="16"/>
                <w:szCs w:val="16"/>
              </w:rPr>
              <w:t>Florida</w:t>
            </w:r>
          </w:p>
        </w:tc>
        <w:tc>
          <w:tcPr>
            <w:tcW w:w="769" w:type="dxa"/>
            <w:tcBorders>
              <w:top w:val="single" w:sz="4" w:space="0" w:color="auto"/>
              <w:left w:val="nil"/>
              <w:bottom w:val="single" w:sz="4" w:space="0" w:color="auto"/>
              <w:right w:val="single" w:sz="4" w:space="0" w:color="auto"/>
            </w:tcBorders>
            <w:shd w:val="clear" w:color="auto" w:fill="auto"/>
            <w:vAlign w:val="center"/>
            <w:hideMark/>
          </w:tcPr>
          <w:p w14:paraId="0F0E9BA7" w14:textId="77777777" w:rsidR="00002D76" w:rsidRPr="008648E5" w:rsidRDefault="00002D76" w:rsidP="00D63204">
            <w:pPr>
              <w:spacing w:after="0" w:line="240" w:lineRule="auto"/>
              <w:rPr>
                <w:rFonts w:ascii="Calibri" w:hAnsi="Calibri"/>
                <w:b/>
                <w:bCs/>
                <w:color w:val="231F20"/>
                <w:sz w:val="16"/>
                <w:szCs w:val="16"/>
              </w:rPr>
            </w:pPr>
            <w:r w:rsidRPr="008648E5">
              <w:rPr>
                <w:rFonts w:ascii="Calibri" w:hAnsi="Calibri"/>
                <w:b/>
                <w:bCs/>
                <w:color w:val="231F20"/>
                <w:sz w:val="16"/>
                <w:szCs w:val="16"/>
              </w:rPr>
              <w:t>LWDA 17</w:t>
            </w:r>
          </w:p>
        </w:tc>
        <w:tc>
          <w:tcPr>
            <w:tcW w:w="769" w:type="dxa"/>
            <w:tcBorders>
              <w:top w:val="single" w:sz="4" w:space="0" w:color="auto"/>
              <w:left w:val="nil"/>
              <w:bottom w:val="single" w:sz="4" w:space="0" w:color="auto"/>
              <w:right w:val="single" w:sz="4" w:space="0" w:color="auto"/>
            </w:tcBorders>
            <w:shd w:val="clear" w:color="auto" w:fill="auto"/>
            <w:vAlign w:val="center"/>
            <w:hideMark/>
          </w:tcPr>
          <w:p w14:paraId="3E761236" w14:textId="77777777" w:rsidR="00002D76" w:rsidRPr="008648E5" w:rsidRDefault="00002D76" w:rsidP="00D63204">
            <w:pPr>
              <w:spacing w:after="0" w:line="240" w:lineRule="auto"/>
              <w:rPr>
                <w:rFonts w:ascii="Calibri" w:hAnsi="Calibri"/>
                <w:b/>
                <w:bCs/>
                <w:color w:val="231F20"/>
                <w:sz w:val="16"/>
                <w:szCs w:val="16"/>
              </w:rPr>
            </w:pPr>
            <w:r w:rsidRPr="008648E5">
              <w:rPr>
                <w:rFonts w:ascii="Calibri" w:hAnsi="Calibri"/>
                <w:b/>
                <w:bCs/>
                <w:color w:val="231F20"/>
                <w:sz w:val="16"/>
                <w:szCs w:val="16"/>
              </w:rPr>
              <w:t>LWDA 18</w:t>
            </w:r>
          </w:p>
        </w:tc>
        <w:tc>
          <w:tcPr>
            <w:tcW w:w="769" w:type="dxa"/>
            <w:tcBorders>
              <w:top w:val="single" w:sz="4" w:space="0" w:color="auto"/>
              <w:left w:val="nil"/>
              <w:bottom w:val="single" w:sz="4" w:space="0" w:color="auto"/>
              <w:right w:val="single" w:sz="4" w:space="0" w:color="auto"/>
            </w:tcBorders>
            <w:shd w:val="clear" w:color="auto" w:fill="auto"/>
            <w:vAlign w:val="center"/>
            <w:hideMark/>
          </w:tcPr>
          <w:p w14:paraId="52A57277" w14:textId="77777777" w:rsidR="00002D76" w:rsidRPr="008648E5" w:rsidRDefault="00002D76" w:rsidP="00D63204">
            <w:pPr>
              <w:spacing w:after="0" w:line="240" w:lineRule="auto"/>
              <w:rPr>
                <w:rFonts w:ascii="Calibri" w:hAnsi="Calibri"/>
                <w:b/>
                <w:bCs/>
                <w:color w:val="231F20"/>
                <w:sz w:val="16"/>
                <w:szCs w:val="16"/>
              </w:rPr>
            </w:pPr>
            <w:r w:rsidRPr="008648E5">
              <w:rPr>
                <w:rFonts w:ascii="Calibri" w:hAnsi="Calibri"/>
                <w:b/>
                <w:bCs/>
                <w:color w:val="231F20"/>
                <w:sz w:val="16"/>
                <w:szCs w:val="16"/>
              </w:rPr>
              <w:t>LWDA 19</w:t>
            </w:r>
          </w:p>
        </w:tc>
        <w:tc>
          <w:tcPr>
            <w:tcW w:w="770" w:type="dxa"/>
            <w:tcBorders>
              <w:top w:val="single" w:sz="4" w:space="0" w:color="auto"/>
              <w:left w:val="nil"/>
              <w:bottom w:val="single" w:sz="4" w:space="0" w:color="auto"/>
              <w:right w:val="single" w:sz="4" w:space="0" w:color="auto"/>
            </w:tcBorders>
            <w:shd w:val="clear" w:color="auto" w:fill="auto"/>
            <w:vAlign w:val="center"/>
            <w:hideMark/>
          </w:tcPr>
          <w:p w14:paraId="302518B2" w14:textId="77777777" w:rsidR="00002D76" w:rsidRPr="008648E5" w:rsidRDefault="00002D76" w:rsidP="00D63204">
            <w:pPr>
              <w:spacing w:after="0" w:line="240" w:lineRule="auto"/>
              <w:rPr>
                <w:rFonts w:ascii="Calibri" w:hAnsi="Calibri"/>
                <w:b/>
                <w:bCs/>
                <w:color w:val="231F20"/>
                <w:sz w:val="16"/>
                <w:szCs w:val="16"/>
              </w:rPr>
            </w:pPr>
            <w:r w:rsidRPr="008648E5">
              <w:rPr>
                <w:rFonts w:ascii="Calibri" w:hAnsi="Calibri"/>
                <w:b/>
                <w:bCs/>
                <w:color w:val="231F20"/>
                <w:sz w:val="16"/>
                <w:szCs w:val="16"/>
              </w:rPr>
              <w:t>LWDA 20</w:t>
            </w:r>
          </w:p>
        </w:tc>
        <w:tc>
          <w:tcPr>
            <w:tcW w:w="770" w:type="dxa"/>
            <w:tcBorders>
              <w:top w:val="single" w:sz="4" w:space="0" w:color="auto"/>
              <w:left w:val="nil"/>
              <w:bottom w:val="single" w:sz="4" w:space="0" w:color="auto"/>
              <w:right w:val="single" w:sz="4" w:space="0" w:color="auto"/>
            </w:tcBorders>
            <w:shd w:val="clear" w:color="auto" w:fill="auto"/>
            <w:vAlign w:val="center"/>
            <w:hideMark/>
          </w:tcPr>
          <w:p w14:paraId="1A3139DC" w14:textId="77777777" w:rsidR="00002D76" w:rsidRPr="008648E5" w:rsidRDefault="00002D76" w:rsidP="00D63204">
            <w:pPr>
              <w:spacing w:after="0" w:line="240" w:lineRule="auto"/>
              <w:rPr>
                <w:rFonts w:ascii="Calibri" w:hAnsi="Calibri"/>
                <w:b/>
                <w:bCs/>
                <w:color w:val="231F20"/>
                <w:sz w:val="16"/>
                <w:szCs w:val="16"/>
              </w:rPr>
            </w:pPr>
            <w:r w:rsidRPr="008648E5">
              <w:rPr>
                <w:rFonts w:ascii="Calibri" w:hAnsi="Calibri"/>
                <w:b/>
                <w:bCs/>
                <w:color w:val="231F20"/>
                <w:sz w:val="16"/>
                <w:szCs w:val="16"/>
              </w:rPr>
              <w:t>LWDA 21</w:t>
            </w:r>
          </w:p>
        </w:tc>
        <w:tc>
          <w:tcPr>
            <w:tcW w:w="770" w:type="dxa"/>
            <w:tcBorders>
              <w:top w:val="single" w:sz="4" w:space="0" w:color="auto"/>
              <w:left w:val="nil"/>
              <w:bottom w:val="single" w:sz="4" w:space="0" w:color="auto"/>
              <w:right w:val="single" w:sz="4" w:space="0" w:color="auto"/>
            </w:tcBorders>
            <w:shd w:val="clear" w:color="auto" w:fill="auto"/>
            <w:vAlign w:val="center"/>
            <w:hideMark/>
          </w:tcPr>
          <w:p w14:paraId="6D85748D" w14:textId="77777777" w:rsidR="00002D76" w:rsidRPr="008648E5" w:rsidRDefault="00002D76" w:rsidP="00D63204">
            <w:pPr>
              <w:spacing w:after="0" w:line="240" w:lineRule="auto"/>
              <w:rPr>
                <w:rFonts w:ascii="Calibri" w:hAnsi="Calibri"/>
                <w:b/>
                <w:bCs/>
                <w:color w:val="231F20"/>
                <w:sz w:val="16"/>
                <w:szCs w:val="16"/>
              </w:rPr>
            </w:pPr>
            <w:r w:rsidRPr="008648E5">
              <w:rPr>
                <w:rFonts w:ascii="Calibri" w:hAnsi="Calibri"/>
                <w:b/>
                <w:bCs/>
                <w:color w:val="231F20"/>
                <w:sz w:val="16"/>
                <w:szCs w:val="16"/>
              </w:rPr>
              <w:t>LWDA 22</w:t>
            </w:r>
          </w:p>
        </w:tc>
        <w:tc>
          <w:tcPr>
            <w:tcW w:w="770" w:type="dxa"/>
            <w:tcBorders>
              <w:top w:val="single" w:sz="4" w:space="0" w:color="auto"/>
              <w:left w:val="nil"/>
              <w:bottom w:val="single" w:sz="4" w:space="0" w:color="auto"/>
              <w:right w:val="single" w:sz="4" w:space="0" w:color="auto"/>
            </w:tcBorders>
            <w:shd w:val="clear" w:color="auto" w:fill="auto"/>
            <w:vAlign w:val="center"/>
            <w:hideMark/>
          </w:tcPr>
          <w:p w14:paraId="33D537F0" w14:textId="77777777" w:rsidR="00002D76" w:rsidRPr="008648E5" w:rsidRDefault="00002D76" w:rsidP="00D63204">
            <w:pPr>
              <w:spacing w:after="0" w:line="240" w:lineRule="auto"/>
              <w:rPr>
                <w:rFonts w:ascii="Calibri" w:hAnsi="Calibri"/>
                <w:b/>
                <w:bCs/>
                <w:color w:val="231F20"/>
                <w:sz w:val="16"/>
                <w:szCs w:val="16"/>
              </w:rPr>
            </w:pPr>
            <w:r w:rsidRPr="008648E5">
              <w:rPr>
                <w:rFonts w:ascii="Calibri" w:hAnsi="Calibri"/>
                <w:b/>
                <w:bCs/>
                <w:color w:val="231F20"/>
                <w:sz w:val="16"/>
                <w:szCs w:val="16"/>
              </w:rPr>
              <w:t>LWDA 23</w:t>
            </w:r>
          </w:p>
        </w:tc>
        <w:tc>
          <w:tcPr>
            <w:tcW w:w="770" w:type="dxa"/>
            <w:tcBorders>
              <w:top w:val="single" w:sz="4" w:space="0" w:color="auto"/>
              <w:left w:val="nil"/>
              <w:bottom w:val="single" w:sz="4" w:space="0" w:color="auto"/>
              <w:right w:val="single" w:sz="4" w:space="0" w:color="auto"/>
            </w:tcBorders>
            <w:shd w:val="clear" w:color="auto" w:fill="auto"/>
            <w:vAlign w:val="center"/>
            <w:hideMark/>
          </w:tcPr>
          <w:p w14:paraId="15CFCFA0" w14:textId="77777777" w:rsidR="00002D76" w:rsidRPr="008648E5" w:rsidRDefault="00002D76" w:rsidP="00D63204">
            <w:pPr>
              <w:spacing w:after="0" w:line="240" w:lineRule="auto"/>
              <w:rPr>
                <w:rFonts w:ascii="Calibri" w:hAnsi="Calibri"/>
                <w:b/>
                <w:bCs/>
                <w:color w:val="231F20"/>
                <w:sz w:val="16"/>
                <w:szCs w:val="16"/>
              </w:rPr>
            </w:pPr>
            <w:r w:rsidRPr="008648E5">
              <w:rPr>
                <w:rFonts w:ascii="Calibri" w:hAnsi="Calibri"/>
                <w:b/>
                <w:bCs/>
                <w:color w:val="231F20"/>
                <w:sz w:val="16"/>
                <w:szCs w:val="16"/>
              </w:rPr>
              <w:t>LWDA 24</w:t>
            </w:r>
          </w:p>
        </w:tc>
      </w:tr>
      <w:tr w:rsidR="00002D76" w:rsidRPr="008648E5" w14:paraId="54682D3D" w14:textId="77777777" w:rsidTr="001429C7">
        <w:trPr>
          <w:trHeight w:val="302"/>
        </w:trPr>
        <w:tc>
          <w:tcPr>
            <w:tcW w:w="1094" w:type="dxa"/>
            <w:tcBorders>
              <w:top w:val="single" w:sz="4" w:space="0" w:color="auto"/>
              <w:left w:val="single" w:sz="4" w:space="0" w:color="auto"/>
              <w:bottom w:val="single" w:sz="4" w:space="0" w:color="auto"/>
              <w:right w:val="single" w:sz="4" w:space="0" w:color="auto"/>
            </w:tcBorders>
            <w:shd w:val="clear" w:color="000000" w:fill="E6E7E8"/>
            <w:noWrap/>
            <w:vAlign w:val="center"/>
            <w:hideMark/>
          </w:tcPr>
          <w:p w14:paraId="6909C41F"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110000</w:t>
            </w:r>
          </w:p>
        </w:tc>
        <w:tc>
          <w:tcPr>
            <w:tcW w:w="2173" w:type="dxa"/>
            <w:tcBorders>
              <w:top w:val="single" w:sz="4" w:space="0" w:color="auto"/>
              <w:left w:val="nil"/>
              <w:bottom w:val="single" w:sz="4" w:space="0" w:color="auto"/>
              <w:right w:val="single" w:sz="4" w:space="0" w:color="auto"/>
            </w:tcBorders>
            <w:shd w:val="clear" w:color="000000" w:fill="E6E7E8"/>
            <w:noWrap/>
            <w:vAlign w:val="center"/>
            <w:hideMark/>
          </w:tcPr>
          <w:p w14:paraId="36B5B978" w14:textId="77777777" w:rsidR="00002D76" w:rsidRPr="008648E5" w:rsidRDefault="00002D76" w:rsidP="001429C7">
            <w:pPr>
              <w:spacing w:after="0" w:line="240" w:lineRule="auto"/>
              <w:rPr>
                <w:rFonts w:ascii="Calibri" w:hAnsi="Calibri"/>
                <w:color w:val="231F20"/>
                <w:sz w:val="16"/>
                <w:szCs w:val="16"/>
              </w:rPr>
            </w:pPr>
            <w:r w:rsidRPr="008648E5">
              <w:rPr>
                <w:rFonts w:ascii="Calibri" w:hAnsi="Calibri"/>
                <w:color w:val="231F20"/>
                <w:sz w:val="16"/>
                <w:szCs w:val="16"/>
              </w:rPr>
              <w:t>Management</w:t>
            </w:r>
          </w:p>
        </w:tc>
        <w:tc>
          <w:tcPr>
            <w:tcW w:w="764" w:type="dxa"/>
            <w:tcBorders>
              <w:top w:val="single" w:sz="4" w:space="0" w:color="auto"/>
              <w:left w:val="nil"/>
              <w:bottom w:val="single" w:sz="4" w:space="0" w:color="auto"/>
              <w:right w:val="single" w:sz="4" w:space="0" w:color="auto"/>
            </w:tcBorders>
            <w:shd w:val="clear" w:color="000000" w:fill="E6E7E8"/>
            <w:vAlign w:val="center"/>
            <w:hideMark/>
          </w:tcPr>
          <w:p w14:paraId="7499131F"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4.4%</w:t>
            </w:r>
          </w:p>
        </w:tc>
        <w:tc>
          <w:tcPr>
            <w:tcW w:w="769" w:type="dxa"/>
            <w:tcBorders>
              <w:top w:val="nil"/>
              <w:left w:val="nil"/>
              <w:bottom w:val="single" w:sz="4" w:space="0" w:color="auto"/>
              <w:right w:val="single" w:sz="4" w:space="0" w:color="auto"/>
            </w:tcBorders>
            <w:shd w:val="clear" w:color="000000" w:fill="E6E7E8"/>
            <w:vAlign w:val="center"/>
            <w:hideMark/>
          </w:tcPr>
          <w:p w14:paraId="2F7F86FF"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3.9%</w:t>
            </w:r>
          </w:p>
        </w:tc>
        <w:tc>
          <w:tcPr>
            <w:tcW w:w="769" w:type="dxa"/>
            <w:tcBorders>
              <w:top w:val="nil"/>
              <w:left w:val="nil"/>
              <w:bottom w:val="single" w:sz="4" w:space="0" w:color="auto"/>
              <w:right w:val="single" w:sz="4" w:space="0" w:color="auto"/>
            </w:tcBorders>
            <w:shd w:val="clear" w:color="000000" w:fill="E6E7E8"/>
            <w:vAlign w:val="center"/>
            <w:hideMark/>
          </w:tcPr>
          <w:p w14:paraId="4A6AAC7E"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4.8%</w:t>
            </w:r>
          </w:p>
        </w:tc>
        <w:tc>
          <w:tcPr>
            <w:tcW w:w="769" w:type="dxa"/>
            <w:tcBorders>
              <w:top w:val="nil"/>
              <w:left w:val="nil"/>
              <w:bottom w:val="single" w:sz="4" w:space="0" w:color="auto"/>
              <w:right w:val="single" w:sz="4" w:space="0" w:color="auto"/>
            </w:tcBorders>
            <w:shd w:val="clear" w:color="000000" w:fill="E6E7E8"/>
            <w:vAlign w:val="center"/>
            <w:hideMark/>
          </w:tcPr>
          <w:p w14:paraId="79683F07"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7.2%</w:t>
            </w:r>
          </w:p>
        </w:tc>
        <w:tc>
          <w:tcPr>
            <w:tcW w:w="770" w:type="dxa"/>
            <w:tcBorders>
              <w:top w:val="nil"/>
              <w:left w:val="nil"/>
              <w:bottom w:val="single" w:sz="4" w:space="0" w:color="auto"/>
              <w:right w:val="single" w:sz="4" w:space="0" w:color="auto"/>
            </w:tcBorders>
            <w:shd w:val="clear" w:color="000000" w:fill="E6E7E8"/>
            <w:vAlign w:val="center"/>
            <w:hideMark/>
          </w:tcPr>
          <w:p w14:paraId="2F46E6E8"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3.9%</w:t>
            </w:r>
          </w:p>
        </w:tc>
        <w:tc>
          <w:tcPr>
            <w:tcW w:w="770" w:type="dxa"/>
            <w:tcBorders>
              <w:top w:val="nil"/>
              <w:left w:val="nil"/>
              <w:bottom w:val="single" w:sz="4" w:space="0" w:color="auto"/>
              <w:right w:val="single" w:sz="4" w:space="0" w:color="auto"/>
            </w:tcBorders>
            <w:shd w:val="clear" w:color="000000" w:fill="E6E7E8"/>
            <w:vAlign w:val="center"/>
            <w:hideMark/>
          </w:tcPr>
          <w:p w14:paraId="4E151365"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5.0%</w:t>
            </w:r>
          </w:p>
        </w:tc>
        <w:tc>
          <w:tcPr>
            <w:tcW w:w="770" w:type="dxa"/>
            <w:tcBorders>
              <w:top w:val="nil"/>
              <w:left w:val="nil"/>
              <w:bottom w:val="single" w:sz="4" w:space="0" w:color="auto"/>
              <w:right w:val="single" w:sz="4" w:space="0" w:color="auto"/>
            </w:tcBorders>
            <w:shd w:val="clear" w:color="000000" w:fill="E6E7E8"/>
            <w:vAlign w:val="center"/>
            <w:hideMark/>
          </w:tcPr>
          <w:p w14:paraId="1995DD9D"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4.4%</w:t>
            </w:r>
          </w:p>
        </w:tc>
        <w:tc>
          <w:tcPr>
            <w:tcW w:w="770" w:type="dxa"/>
            <w:tcBorders>
              <w:top w:val="nil"/>
              <w:left w:val="nil"/>
              <w:bottom w:val="single" w:sz="4" w:space="0" w:color="auto"/>
              <w:right w:val="single" w:sz="4" w:space="0" w:color="auto"/>
            </w:tcBorders>
            <w:shd w:val="clear" w:color="000000" w:fill="E6E7E8"/>
            <w:vAlign w:val="center"/>
            <w:hideMark/>
          </w:tcPr>
          <w:p w14:paraId="2563944C"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4.6%</w:t>
            </w:r>
          </w:p>
        </w:tc>
        <w:tc>
          <w:tcPr>
            <w:tcW w:w="770" w:type="dxa"/>
            <w:tcBorders>
              <w:top w:val="nil"/>
              <w:left w:val="nil"/>
              <w:bottom w:val="single" w:sz="4" w:space="0" w:color="auto"/>
              <w:right w:val="single" w:sz="4" w:space="0" w:color="auto"/>
            </w:tcBorders>
            <w:shd w:val="clear" w:color="000000" w:fill="E6E7E8"/>
            <w:vAlign w:val="center"/>
            <w:hideMark/>
          </w:tcPr>
          <w:p w14:paraId="783CED4A"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4.8%</w:t>
            </w:r>
          </w:p>
        </w:tc>
      </w:tr>
      <w:tr w:rsidR="00002D76" w:rsidRPr="008648E5" w14:paraId="49520CAB" w14:textId="77777777" w:rsidTr="001429C7">
        <w:trPr>
          <w:trHeight w:hRule="exact" w:val="442"/>
        </w:trPr>
        <w:tc>
          <w:tcPr>
            <w:tcW w:w="1094" w:type="dxa"/>
            <w:tcBorders>
              <w:top w:val="nil"/>
              <w:left w:val="single" w:sz="4" w:space="0" w:color="auto"/>
              <w:bottom w:val="single" w:sz="4" w:space="0" w:color="auto"/>
              <w:right w:val="single" w:sz="4" w:space="0" w:color="auto"/>
            </w:tcBorders>
            <w:shd w:val="clear" w:color="auto" w:fill="auto"/>
            <w:noWrap/>
            <w:vAlign w:val="center"/>
            <w:hideMark/>
          </w:tcPr>
          <w:p w14:paraId="3B9C52A7"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130000</w:t>
            </w:r>
          </w:p>
        </w:tc>
        <w:tc>
          <w:tcPr>
            <w:tcW w:w="2173" w:type="dxa"/>
            <w:tcBorders>
              <w:top w:val="nil"/>
              <w:left w:val="nil"/>
              <w:bottom w:val="single" w:sz="4" w:space="0" w:color="auto"/>
              <w:right w:val="single" w:sz="4" w:space="0" w:color="auto"/>
            </w:tcBorders>
            <w:shd w:val="clear" w:color="auto" w:fill="auto"/>
            <w:noWrap/>
            <w:vAlign w:val="center"/>
            <w:hideMark/>
          </w:tcPr>
          <w:p w14:paraId="771BB42B" w14:textId="77777777" w:rsidR="00002D76" w:rsidRPr="008648E5" w:rsidRDefault="00002D76" w:rsidP="001429C7">
            <w:pPr>
              <w:spacing w:after="0" w:line="240" w:lineRule="auto"/>
              <w:rPr>
                <w:rFonts w:ascii="Calibri" w:hAnsi="Calibri"/>
                <w:color w:val="231F20"/>
                <w:sz w:val="16"/>
                <w:szCs w:val="16"/>
              </w:rPr>
            </w:pPr>
            <w:r w:rsidRPr="008648E5">
              <w:rPr>
                <w:rFonts w:ascii="Calibri" w:hAnsi="Calibri"/>
                <w:color w:val="231F20"/>
                <w:sz w:val="16"/>
                <w:szCs w:val="16"/>
              </w:rPr>
              <w:t>Business and Financial Operations</w:t>
            </w:r>
          </w:p>
        </w:tc>
        <w:tc>
          <w:tcPr>
            <w:tcW w:w="764" w:type="dxa"/>
            <w:tcBorders>
              <w:top w:val="nil"/>
              <w:left w:val="nil"/>
              <w:bottom w:val="single" w:sz="4" w:space="0" w:color="auto"/>
              <w:right w:val="single" w:sz="4" w:space="0" w:color="auto"/>
            </w:tcBorders>
            <w:shd w:val="clear" w:color="auto" w:fill="auto"/>
            <w:vAlign w:val="center"/>
            <w:hideMark/>
          </w:tcPr>
          <w:p w14:paraId="7CDBDE36"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5.4%</w:t>
            </w:r>
          </w:p>
        </w:tc>
        <w:tc>
          <w:tcPr>
            <w:tcW w:w="769" w:type="dxa"/>
            <w:tcBorders>
              <w:top w:val="nil"/>
              <w:left w:val="nil"/>
              <w:bottom w:val="single" w:sz="4" w:space="0" w:color="auto"/>
              <w:right w:val="single" w:sz="4" w:space="0" w:color="auto"/>
            </w:tcBorders>
            <w:shd w:val="clear" w:color="auto" w:fill="auto"/>
            <w:vAlign w:val="center"/>
            <w:hideMark/>
          </w:tcPr>
          <w:p w14:paraId="19E8C2EB"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4.0%</w:t>
            </w:r>
          </w:p>
        </w:tc>
        <w:tc>
          <w:tcPr>
            <w:tcW w:w="769" w:type="dxa"/>
            <w:tcBorders>
              <w:top w:val="nil"/>
              <w:left w:val="nil"/>
              <w:bottom w:val="single" w:sz="4" w:space="0" w:color="auto"/>
              <w:right w:val="single" w:sz="4" w:space="0" w:color="auto"/>
            </w:tcBorders>
            <w:shd w:val="clear" w:color="auto" w:fill="auto"/>
            <w:vAlign w:val="center"/>
            <w:hideMark/>
          </w:tcPr>
          <w:p w14:paraId="118A6A3F"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4.1%</w:t>
            </w:r>
          </w:p>
        </w:tc>
        <w:tc>
          <w:tcPr>
            <w:tcW w:w="769" w:type="dxa"/>
            <w:tcBorders>
              <w:top w:val="nil"/>
              <w:left w:val="nil"/>
              <w:bottom w:val="single" w:sz="4" w:space="0" w:color="auto"/>
              <w:right w:val="single" w:sz="4" w:space="0" w:color="auto"/>
            </w:tcBorders>
            <w:shd w:val="clear" w:color="auto" w:fill="auto"/>
            <w:vAlign w:val="center"/>
            <w:hideMark/>
          </w:tcPr>
          <w:p w14:paraId="061AA132"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2.1%</w:t>
            </w:r>
          </w:p>
        </w:tc>
        <w:tc>
          <w:tcPr>
            <w:tcW w:w="770" w:type="dxa"/>
            <w:tcBorders>
              <w:top w:val="nil"/>
              <w:left w:val="nil"/>
              <w:bottom w:val="single" w:sz="4" w:space="0" w:color="auto"/>
              <w:right w:val="single" w:sz="4" w:space="0" w:color="auto"/>
            </w:tcBorders>
            <w:shd w:val="clear" w:color="auto" w:fill="auto"/>
            <w:vAlign w:val="center"/>
            <w:hideMark/>
          </w:tcPr>
          <w:p w14:paraId="46A6B861"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3.5%</w:t>
            </w:r>
          </w:p>
        </w:tc>
        <w:tc>
          <w:tcPr>
            <w:tcW w:w="770" w:type="dxa"/>
            <w:tcBorders>
              <w:top w:val="nil"/>
              <w:left w:val="nil"/>
              <w:bottom w:val="single" w:sz="4" w:space="0" w:color="auto"/>
              <w:right w:val="single" w:sz="4" w:space="0" w:color="auto"/>
            </w:tcBorders>
            <w:shd w:val="clear" w:color="auto" w:fill="auto"/>
            <w:vAlign w:val="center"/>
            <w:hideMark/>
          </w:tcPr>
          <w:p w14:paraId="04FC4A71"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5.5%</w:t>
            </w:r>
          </w:p>
        </w:tc>
        <w:tc>
          <w:tcPr>
            <w:tcW w:w="770" w:type="dxa"/>
            <w:tcBorders>
              <w:top w:val="nil"/>
              <w:left w:val="nil"/>
              <w:bottom w:val="single" w:sz="4" w:space="0" w:color="auto"/>
              <w:right w:val="single" w:sz="4" w:space="0" w:color="auto"/>
            </w:tcBorders>
            <w:shd w:val="clear" w:color="auto" w:fill="auto"/>
            <w:vAlign w:val="center"/>
            <w:hideMark/>
          </w:tcPr>
          <w:p w14:paraId="5DC0856D"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5.5%</w:t>
            </w:r>
          </w:p>
        </w:tc>
        <w:tc>
          <w:tcPr>
            <w:tcW w:w="770" w:type="dxa"/>
            <w:tcBorders>
              <w:top w:val="nil"/>
              <w:left w:val="nil"/>
              <w:bottom w:val="single" w:sz="4" w:space="0" w:color="auto"/>
              <w:right w:val="single" w:sz="4" w:space="0" w:color="auto"/>
            </w:tcBorders>
            <w:shd w:val="clear" w:color="auto" w:fill="auto"/>
            <w:vAlign w:val="center"/>
            <w:hideMark/>
          </w:tcPr>
          <w:p w14:paraId="3DCB7F2A"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5.4%</w:t>
            </w:r>
          </w:p>
        </w:tc>
        <w:tc>
          <w:tcPr>
            <w:tcW w:w="770" w:type="dxa"/>
            <w:tcBorders>
              <w:top w:val="nil"/>
              <w:left w:val="nil"/>
              <w:bottom w:val="single" w:sz="4" w:space="0" w:color="auto"/>
              <w:right w:val="single" w:sz="4" w:space="0" w:color="auto"/>
            </w:tcBorders>
            <w:shd w:val="clear" w:color="auto" w:fill="auto"/>
            <w:vAlign w:val="center"/>
            <w:hideMark/>
          </w:tcPr>
          <w:p w14:paraId="42DA3C8F"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3.4%</w:t>
            </w:r>
          </w:p>
        </w:tc>
      </w:tr>
      <w:tr w:rsidR="00002D76" w:rsidRPr="008648E5" w14:paraId="1A94FB01" w14:textId="77777777" w:rsidTr="001429C7">
        <w:trPr>
          <w:trHeight w:hRule="exact" w:val="280"/>
        </w:trPr>
        <w:tc>
          <w:tcPr>
            <w:tcW w:w="1094" w:type="dxa"/>
            <w:tcBorders>
              <w:top w:val="nil"/>
              <w:left w:val="single" w:sz="4" w:space="0" w:color="auto"/>
              <w:bottom w:val="single" w:sz="4" w:space="0" w:color="auto"/>
              <w:right w:val="single" w:sz="4" w:space="0" w:color="auto"/>
            </w:tcBorders>
            <w:shd w:val="clear" w:color="000000" w:fill="E6E7E8"/>
            <w:noWrap/>
            <w:vAlign w:val="center"/>
            <w:hideMark/>
          </w:tcPr>
          <w:p w14:paraId="6BBCEA57"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150000</w:t>
            </w:r>
          </w:p>
        </w:tc>
        <w:tc>
          <w:tcPr>
            <w:tcW w:w="2173" w:type="dxa"/>
            <w:tcBorders>
              <w:top w:val="nil"/>
              <w:left w:val="nil"/>
              <w:bottom w:val="single" w:sz="4" w:space="0" w:color="auto"/>
              <w:right w:val="single" w:sz="4" w:space="0" w:color="auto"/>
            </w:tcBorders>
            <w:shd w:val="clear" w:color="000000" w:fill="E6E7E8"/>
            <w:noWrap/>
            <w:vAlign w:val="center"/>
            <w:hideMark/>
          </w:tcPr>
          <w:p w14:paraId="4976ECDD" w14:textId="77777777" w:rsidR="00002D76" w:rsidRPr="008648E5" w:rsidRDefault="00002D76" w:rsidP="001429C7">
            <w:pPr>
              <w:spacing w:after="0" w:line="240" w:lineRule="auto"/>
              <w:rPr>
                <w:rFonts w:ascii="Calibri" w:hAnsi="Calibri"/>
                <w:color w:val="231F20"/>
                <w:sz w:val="16"/>
                <w:szCs w:val="16"/>
              </w:rPr>
            </w:pPr>
            <w:r w:rsidRPr="008648E5">
              <w:rPr>
                <w:rFonts w:ascii="Calibri" w:hAnsi="Calibri"/>
                <w:color w:val="231F20"/>
                <w:sz w:val="16"/>
                <w:szCs w:val="16"/>
              </w:rPr>
              <w:t>Computer and Mathematical</w:t>
            </w:r>
          </w:p>
        </w:tc>
        <w:tc>
          <w:tcPr>
            <w:tcW w:w="764" w:type="dxa"/>
            <w:tcBorders>
              <w:top w:val="nil"/>
              <w:left w:val="nil"/>
              <w:bottom w:val="single" w:sz="4" w:space="0" w:color="auto"/>
              <w:right w:val="single" w:sz="4" w:space="0" w:color="auto"/>
            </w:tcBorders>
            <w:shd w:val="clear" w:color="000000" w:fill="E6E7E8"/>
            <w:vAlign w:val="center"/>
            <w:hideMark/>
          </w:tcPr>
          <w:p w14:paraId="7269AB6E"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2.3%</w:t>
            </w:r>
          </w:p>
        </w:tc>
        <w:tc>
          <w:tcPr>
            <w:tcW w:w="769" w:type="dxa"/>
            <w:tcBorders>
              <w:top w:val="nil"/>
              <w:left w:val="nil"/>
              <w:bottom w:val="single" w:sz="4" w:space="0" w:color="auto"/>
              <w:right w:val="single" w:sz="4" w:space="0" w:color="auto"/>
            </w:tcBorders>
            <w:shd w:val="clear" w:color="000000" w:fill="E6E7E8"/>
            <w:vAlign w:val="center"/>
            <w:hideMark/>
          </w:tcPr>
          <w:p w14:paraId="5AE2904C"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1.5%</w:t>
            </w:r>
          </w:p>
        </w:tc>
        <w:tc>
          <w:tcPr>
            <w:tcW w:w="769" w:type="dxa"/>
            <w:tcBorders>
              <w:top w:val="nil"/>
              <w:left w:val="nil"/>
              <w:bottom w:val="single" w:sz="4" w:space="0" w:color="auto"/>
              <w:right w:val="single" w:sz="4" w:space="0" w:color="auto"/>
            </w:tcBorders>
            <w:shd w:val="clear" w:color="000000" w:fill="E6E7E8"/>
            <w:vAlign w:val="center"/>
            <w:hideMark/>
          </w:tcPr>
          <w:p w14:paraId="40C69ED5"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1.2%</w:t>
            </w:r>
          </w:p>
        </w:tc>
        <w:tc>
          <w:tcPr>
            <w:tcW w:w="769" w:type="dxa"/>
            <w:tcBorders>
              <w:top w:val="nil"/>
              <w:left w:val="nil"/>
              <w:bottom w:val="single" w:sz="4" w:space="0" w:color="auto"/>
              <w:right w:val="single" w:sz="4" w:space="0" w:color="auto"/>
            </w:tcBorders>
            <w:shd w:val="clear" w:color="000000" w:fill="E6E7E8"/>
            <w:vAlign w:val="center"/>
            <w:hideMark/>
          </w:tcPr>
          <w:p w14:paraId="1EC82873"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0.6%</w:t>
            </w:r>
          </w:p>
        </w:tc>
        <w:tc>
          <w:tcPr>
            <w:tcW w:w="770" w:type="dxa"/>
            <w:tcBorders>
              <w:top w:val="nil"/>
              <w:left w:val="nil"/>
              <w:bottom w:val="single" w:sz="4" w:space="0" w:color="auto"/>
              <w:right w:val="single" w:sz="4" w:space="0" w:color="auto"/>
            </w:tcBorders>
            <w:shd w:val="clear" w:color="000000" w:fill="E6E7E8"/>
            <w:vAlign w:val="center"/>
            <w:hideMark/>
          </w:tcPr>
          <w:p w14:paraId="7FC479CC"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0.8%</w:t>
            </w:r>
          </w:p>
        </w:tc>
        <w:tc>
          <w:tcPr>
            <w:tcW w:w="770" w:type="dxa"/>
            <w:tcBorders>
              <w:top w:val="nil"/>
              <w:left w:val="nil"/>
              <w:bottom w:val="single" w:sz="4" w:space="0" w:color="auto"/>
              <w:right w:val="single" w:sz="4" w:space="0" w:color="auto"/>
            </w:tcBorders>
            <w:shd w:val="clear" w:color="000000" w:fill="E6E7E8"/>
            <w:vAlign w:val="center"/>
            <w:hideMark/>
          </w:tcPr>
          <w:p w14:paraId="2F8185E4"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2.0%</w:t>
            </w:r>
          </w:p>
        </w:tc>
        <w:tc>
          <w:tcPr>
            <w:tcW w:w="770" w:type="dxa"/>
            <w:tcBorders>
              <w:top w:val="nil"/>
              <w:left w:val="nil"/>
              <w:bottom w:val="single" w:sz="4" w:space="0" w:color="auto"/>
              <w:right w:val="single" w:sz="4" w:space="0" w:color="auto"/>
            </w:tcBorders>
            <w:shd w:val="clear" w:color="000000" w:fill="E6E7E8"/>
            <w:vAlign w:val="center"/>
            <w:hideMark/>
          </w:tcPr>
          <w:p w14:paraId="16FA3C32"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2.5%</w:t>
            </w:r>
          </w:p>
        </w:tc>
        <w:tc>
          <w:tcPr>
            <w:tcW w:w="770" w:type="dxa"/>
            <w:tcBorders>
              <w:top w:val="nil"/>
              <w:left w:val="nil"/>
              <w:bottom w:val="single" w:sz="4" w:space="0" w:color="auto"/>
              <w:right w:val="single" w:sz="4" w:space="0" w:color="auto"/>
            </w:tcBorders>
            <w:shd w:val="clear" w:color="000000" w:fill="E6E7E8"/>
            <w:vAlign w:val="center"/>
            <w:hideMark/>
          </w:tcPr>
          <w:p w14:paraId="18E3FEC4"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1.9%</w:t>
            </w:r>
          </w:p>
        </w:tc>
        <w:tc>
          <w:tcPr>
            <w:tcW w:w="770" w:type="dxa"/>
            <w:tcBorders>
              <w:top w:val="nil"/>
              <w:left w:val="nil"/>
              <w:bottom w:val="single" w:sz="4" w:space="0" w:color="auto"/>
              <w:right w:val="single" w:sz="4" w:space="0" w:color="auto"/>
            </w:tcBorders>
            <w:shd w:val="clear" w:color="000000" w:fill="E6E7E8"/>
            <w:vAlign w:val="center"/>
            <w:hideMark/>
          </w:tcPr>
          <w:p w14:paraId="7DB16C4E"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1.0%</w:t>
            </w:r>
          </w:p>
        </w:tc>
      </w:tr>
      <w:tr w:rsidR="00002D76" w:rsidRPr="008648E5" w14:paraId="1F666C0C" w14:textId="77777777" w:rsidTr="001429C7">
        <w:trPr>
          <w:trHeight w:hRule="exact" w:val="262"/>
        </w:trPr>
        <w:tc>
          <w:tcPr>
            <w:tcW w:w="1094" w:type="dxa"/>
            <w:tcBorders>
              <w:top w:val="nil"/>
              <w:left w:val="single" w:sz="4" w:space="0" w:color="auto"/>
              <w:bottom w:val="single" w:sz="4" w:space="0" w:color="auto"/>
              <w:right w:val="single" w:sz="4" w:space="0" w:color="auto"/>
            </w:tcBorders>
            <w:shd w:val="clear" w:color="auto" w:fill="auto"/>
            <w:noWrap/>
            <w:vAlign w:val="center"/>
            <w:hideMark/>
          </w:tcPr>
          <w:p w14:paraId="606E02D8"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170000</w:t>
            </w:r>
          </w:p>
        </w:tc>
        <w:tc>
          <w:tcPr>
            <w:tcW w:w="2173" w:type="dxa"/>
            <w:tcBorders>
              <w:top w:val="nil"/>
              <w:left w:val="nil"/>
              <w:bottom w:val="single" w:sz="4" w:space="0" w:color="auto"/>
              <w:right w:val="single" w:sz="4" w:space="0" w:color="auto"/>
            </w:tcBorders>
            <w:shd w:val="clear" w:color="auto" w:fill="auto"/>
            <w:noWrap/>
            <w:vAlign w:val="center"/>
            <w:hideMark/>
          </w:tcPr>
          <w:p w14:paraId="776FFC1F" w14:textId="77777777" w:rsidR="00002D76" w:rsidRPr="008648E5" w:rsidRDefault="00002D76" w:rsidP="001429C7">
            <w:pPr>
              <w:spacing w:after="0" w:line="240" w:lineRule="auto"/>
              <w:rPr>
                <w:rFonts w:ascii="Calibri" w:hAnsi="Calibri"/>
                <w:color w:val="231F20"/>
                <w:sz w:val="16"/>
                <w:szCs w:val="16"/>
              </w:rPr>
            </w:pPr>
            <w:r w:rsidRPr="008648E5">
              <w:rPr>
                <w:rFonts w:ascii="Calibri" w:hAnsi="Calibri"/>
                <w:color w:val="231F20"/>
                <w:sz w:val="16"/>
                <w:szCs w:val="16"/>
              </w:rPr>
              <w:t>Architecture and Engineering</w:t>
            </w:r>
          </w:p>
        </w:tc>
        <w:tc>
          <w:tcPr>
            <w:tcW w:w="764" w:type="dxa"/>
            <w:tcBorders>
              <w:top w:val="nil"/>
              <w:left w:val="nil"/>
              <w:bottom w:val="single" w:sz="4" w:space="0" w:color="auto"/>
              <w:right w:val="single" w:sz="4" w:space="0" w:color="auto"/>
            </w:tcBorders>
            <w:shd w:val="clear" w:color="auto" w:fill="auto"/>
            <w:vAlign w:val="center"/>
            <w:hideMark/>
          </w:tcPr>
          <w:p w14:paraId="1E28216F"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1.2%</w:t>
            </w:r>
          </w:p>
        </w:tc>
        <w:tc>
          <w:tcPr>
            <w:tcW w:w="769" w:type="dxa"/>
            <w:tcBorders>
              <w:top w:val="nil"/>
              <w:left w:val="nil"/>
              <w:bottom w:val="single" w:sz="4" w:space="0" w:color="auto"/>
              <w:right w:val="single" w:sz="4" w:space="0" w:color="auto"/>
            </w:tcBorders>
            <w:shd w:val="clear" w:color="auto" w:fill="auto"/>
            <w:vAlign w:val="center"/>
            <w:hideMark/>
          </w:tcPr>
          <w:p w14:paraId="04974FA8"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1.0%</w:t>
            </w:r>
          </w:p>
        </w:tc>
        <w:tc>
          <w:tcPr>
            <w:tcW w:w="769" w:type="dxa"/>
            <w:tcBorders>
              <w:top w:val="nil"/>
              <w:left w:val="nil"/>
              <w:bottom w:val="single" w:sz="4" w:space="0" w:color="auto"/>
              <w:right w:val="single" w:sz="4" w:space="0" w:color="auto"/>
            </w:tcBorders>
            <w:shd w:val="clear" w:color="auto" w:fill="auto"/>
            <w:vAlign w:val="center"/>
            <w:hideMark/>
          </w:tcPr>
          <w:p w14:paraId="3BD79994"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0.9%</w:t>
            </w:r>
          </w:p>
        </w:tc>
        <w:tc>
          <w:tcPr>
            <w:tcW w:w="769" w:type="dxa"/>
            <w:tcBorders>
              <w:top w:val="nil"/>
              <w:left w:val="nil"/>
              <w:bottom w:val="single" w:sz="4" w:space="0" w:color="auto"/>
              <w:right w:val="single" w:sz="4" w:space="0" w:color="auto"/>
            </w:tcBorders>
            <w:shd w:val="clear" w:color="auto" w:fill="auto"/>
            <w:vAlign w:val="center"/>
            <w:hideMark/>
          </w:tcPr>
          <w:p w14:paraId="592B896C"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0.8%</w:t>
            </w:r>
          </w:p>
        </w:tc>
        <w:tc>
          <w:tcPr>
            <w:tcW w:w="770" w:type="dxa"/>
            <w:tcBorders>
              <w:top w:val="nil"/>
              <w:left w:val="nil"/>
              <w:bottom w:val="single" w:sz="4" w:space="0" w:color="auto"/>
              <w:right w:val="single" w:sz="4" w:space="0" w:color="auto"/>
            </w:tcBorders>
            <w:shd w:val="clear" w:color="auto" w:fill="auto"/>
            <w:vAlign w:val="center"/>
            <w:hideMark/>
          </w:tcPr>
          <w:p w14:paraId="7643D916"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1.0%</w:t>
            </w:r>
          </w:p>
        </w:tc>
        <w:tc>
          <w:tcPr>
            <w:tcW w:w="770" w:type="dxa"/>
            <w:tcBorders>
              <w:top w:val="nil"/>
              <w:left w:val="nil"/>
              <w:bottom w:val="single" w:sz="4" w:space="0" w:color="auto"/>
              <w:right w:val="single" w:sz="4" w:space="0" w:color="auto"/>
            </w:tcBorders>
            <w:shd w:val="clear" w:color="auto" w:fill="auto"/>
            <w:vAlign w:val="center"/>
            <w:hideMark/>
          </w:tcPr>
          <w:p w14:paraId="23EC0D91"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1.2%</w:t>
            </w:r>
          </w:p>
        </w:tc>
        <w:tc>
          <w:tcPr>
            <w:tcW w:w="770" w:type="dxa"/>
            <w:tcBorders>
              <w:top w:val="nil"/>
              <w:left w:val="nil"/>
              <w:bottom w:val="single" w:sz="4" w:space="0" w:color="auto"/>
              <w:right w:val="single" w:sz="4" w:space="0" w:color="auto"/>
            </w:tcBorders>
            <w:shd w:val="clear" w:color="auto" w:fill="auto"/>
            <w:vAlign w:val="center"/>
            <w:hideMark/>
          </w:tcPr>
          <w:p w14:paraId="31D12ECC"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0.9%</w:t>
            </w:r>
          </w:p>
        </w:tc>
        <w:tc>
          <w:tcPr>
            <w:tcW w:w="770" w:type="dxa"/>
            <w:tcBorders>
              <w:top w:val="nil"/>
              <w:left w:val="nil"/>
              <w:bottom w:val="single" w:sz="4" w:space="0" w:color="auto"/>
              <w:right w:val="single" w:sz="4" w:space="0" w:color="auto"/>
            </w:tcBorders>
            <w:shd w:val="clear" w:color="auto" w:fill="auto"/>
            <w:vAlign w:val="center"/>
            <w:hideMark/>
          </w:tcPr>
          <w:p w14:paraId="40FD07A6"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0.9%</w:t>
            </w:r>
          </w:p>
        </w:tc>
        <w:tc>
          <w:tcPr>
            <w:tcW w:w="770" w:type="dxa"/>
            <w:tcBorders>
              <w:top w:val="nil"/>
              <w:left w:val="nil"/>
              <w:bottom w:val="single" w:sz="4" w:space="0" w:color="auto"/>
              <w:right w:val="single" w:sz="4" w:space="0" w:color="auto"/>
            </w:tcBorders>
            <w:shd w:val="clear" w:color="auto" w:fill="auto"/>
            <w:vAlign w:val="center"/>
            <w:hideMark/>
          </w:tcPr>
          <w:p w14:paraId="461B4658"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0.7%</w:t>
            </w:r>
          </w:p>
        </w:tc>
      </w:tr>
      <w:tr w:rsidR="00002D76" w:rsidRPr="008648E5" w14:paraId="208FCDAD" w14:textId="77777777" w:rsidTr="001429C7">
        <w:trPr>
          <w:trHeight w:hRule="exact" w:val="442"/>
        </w:trPr>
        <w:tc>
          <w:tcPr>
            <w:tcW w:w="1094" w:type="dxa"/>
            <w:tcBorders>
              <w:top w:val="nil"/>
              <w:left w:val="single" w:sz="4" w:space="0" w:color="auto"/>
              <w:bottom w:val="single" w:sz="4" w:space="0" w:color="auto"/>
              <w:right w:val="single" w:sz="4" w:space="0" w:color="auto"/>
            </w:tcBorders>
            <w:shd w:val="clear" w:color="000000" w:fill="E6E7E8"/>
            <w:noWrap/>
            <w:vAlign w:val="center"/>
            <w:hideMark/>
          </w:tcPr>
          <w:p w14:paraId="374BC62D"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190000</w:t>
            </w:r>
          </w:p>
        </w:tc>
        <w:tc>
          <w:tcPr>
            <w:tcW w:w="2173" w:type="dxa"/>
            <w:tcBorders>
              <w:top w:val="nil"/>
              <w:left w:val="nil"/>
              <w:bottom w:val="single" w:sz="4" w:space="0" w:color="auto"/>
              <w:right w:val="single" w:sz="4" w:space="0" w:color="auto"/>
            </w:tcBorders>
            <w:shd w:val="clear" w:color="000000" w:fill="E6E7E8"/>
            <w:noWrap/>
            <w:vAlign w:val="center"/>
            <w:hideMark/>
          </w:tcPr>
          <w:p w14:paraId="70FE8090" w14:textId="1E687511" w:rsidR="00002D76" w:rsidRPr="008648E5" w:rsidRDefault="00002D76" w:rsidP="001429C7">
            <w:pPr>
              <w:spacing w:after="0" w:line="240" w:lineRule="auto"/>
              <w:rPr>
                <w:rFonts w:ascii="Calibri" w:hAnsi="Calibri"/>
                <w:color w:val="231F20"/>
                <w:sz w:val="16"/>
                <w:szCs w:val="16"/>
              </w:rPr>
            </w:pPr>
            <w:r w:rsidRPr="008648E5">
              <w:rPr>
                <w:rFonts w:ascii="Calibri" w:hAnsi="Calibri"/>
                <w:color w:val="231F20"/>
                <w:sz w:val="16"/>
                <w:szCs w:val="16"/>
              </w:rPr>
              <w:t>Life, Physical</w:t>
            </w:r>
            <w:r w:rsidR="00D5537E">
              <w:rPr>
                <w:rFonts w:ascii="Calibri" w:hAnsi="Calibri"/>
                <w:color w:val="231F20"/>
                <w:sz w:val="16"/>
                <w:szCs w:val="16"/>
              </w:rPr>
              <w:t xml:space="preserve"> and</w:t>
            </w:r>
            <w:r w:rsidRPr="008648E5">
              <w:rPr>
                <w:rFonts w:ascii="Calibri" w:hAnsi="Calibri"/>
                <w:color w:val="231F20"/>
                <w:sz w:val="16"/>
                <w:szCs w:val="16"/>
              </w:rPr>
              <w:t xml:space="preserve"> Social Science</w:t>
            </w:r>
          </w:p>
        </w:tc>
        <w:tc>
          <w:tcPr>
            <w:tcW w:w="764" w:type="dxa"/>
            <w:tcBorders>
              <w:top w:val="nil"/>
              <w:left w:val="nil"/>
              <w:bottom w:val="single" w:sz="4" w:space="0" w:color="auto"/>
              <w:right w:val="single" w:sz="4" w:space="0" w:color="auto"/>
            </w:tcBorders>
            <w:shd w:val="clear" w:color="000000" w:fill="E6E7E8"/>
            <w:vAlign w:val="center"/>
            <w:hideMark/>
          </w:tcPr>
          <w:p w14:paraId="6E971ACE"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0.5%</w:t>
            </w:r>
          </w:p>
        </w:tc>
        <w:tc>
          <w:tcPr>
            <w:tcW w:w="769" w:type="dxa"/>
            <w:tcBorders>
              <w:top w:val="nil"/>
              <w:left w:val="nil"/>
              <w:bottom w:val="single" w:sz="4" w:space="0" w:color="auto"/>
              <w:right w:val="single" w:sz="4" w:space="0" w:color="auto"/>
            </w:tcBorders>
            <w:shd w:val="clear" w:color="000000" w:fill="E6E7E8"/>
            <w:vAlign w:val="center"/>
            <w:hideMark/>
          </w:tcPr>
          <w:p w14:paraId="35EC52D6"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0.4%</w:t>
            </w:r>
          </w:p>
        </w:tc>
        <w:tc>
          <w:tcPr>
            <w:tcW w:w="769" w:type="dxa"/>
            <w:tcBorders>
              <w:top w:val="nil"/>
              <w:left w:val="nil"/>
              <w:bottom w:val="single" w:sz="4" w:space="0" w:color="auto"/>
              <w:right w:val="single" w:sz="4" w:space="0" w:color="auto"/>
            </w:tcBorders>
            <w:shd w:val="clear" w:color="000000" w:fill="E6E7E8"/>
            <w:vAlign w:val="center"/>
            <w:hideMark/>
          </w:tcPr>
          <w:p w14:paraId="4632BB47"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0.3%</w:t>
            </w:r>
          </w:p>
        </w:tc>
        <w:tc>
          <w:tcPr>
            <w:tcW w:w="769" w:type="dxa"/>
            <w:tcBorders>
              <w:top w:val="nil"/>
              <w:left w:val="nil"/>
              <w:bottom w:val="single" w:sz="4" w:space="0" w:color="auto"/>
              <w:right w:val="single" w:sz="4" w:space="0" w:color="auto"/>
            </w:tcBorders>
            <w:shd w:val="clear" w:color="000000" w:fill="E6E7E8"/>
            <w:vAlign w:val="center"/>
            <w:hideMark/>
          </w:tcPr>
          <w:p w14:paraId="23475CF9"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0.4%</w:t>
            </w:r>
          </w:p>
        </w:tc>
        <w:tc>
          <w:tcPr>
            <w:tcW w:w="770" w:type="dxa"/>
            <w:tcBorders>
              <w:top w:val="nil"/>
              <w:left w:val="nil"/>
              <w:bottom w:val="single" w:sz="4" w:space="0" w:color="auto"/>
              <w:right w:val="single" w:sz="4" w:space="0" w:color="auto"/>
            </w:tcBorders>
            <w:shd w:val="clear" w:color="000000" w:fill="E6E7E8"/>
            <w:vAlign w:val="center"/>
            <w:hideMark/>
          </w:tcPr>
          <w:p w14:paraId="03C68F8E"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0.5%</w:t>
            </w:r>
          </w:p>
        </w:tc>
        <w:tc>
          <w:tcPr>
            <w:tcW w:w="770" w:type="dxa"/>
            <w:tcBorders>
              <w:top w:val="nil"/>
              <w:left w:val="nil"/>
              <w:bottom w:val="single" w:sz="4" w:space="0" w:color="auto"/>
              <w:right w:val="single" w:sz="4" w:space="0" w:color="auto"/>
            </w:tcBorders>
            <w:shd w:val="clear" w:color="000000" w:fill="E6E7E8"/>
            <w:vAlign w:val="center"/>
            <w:hideMark/>
          </w:tcPr>
          <w:p w14:paraId="737DFEEB"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0.4%</w:t>
            </w:r>
          </w:p>
        </w:tc>
        <w:tc>
          <w:tcPr>
            <w:tcW w:w="770" w:type="dxa"/>
            <w:tcBorders>
              <w:top w:val="nil"/>
              <w:left w:val="nil"/>
              <w:bottom w:val="single" w:sz="4" w:space="0" w:color="auto"/>
              <w:right w:val="single" w:sz="4" w:space="0" w:color="auto"/>
            </w:tcBorders>
            <w:shd w:val="clear" w:color="000000" w:fill="E6E7E8"/>
            <w:vAlign w:val="center"/>
            <w:hideMark/>
          </w:tcPr>
          <w:p w14:paraId="43A97063"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0.4%</w:t>
            </w:r>
          </w:p>
        </w:tc>
        <w:tc>
          <w:tcPr>
            <w:tcW w:w="770" w:type="dxa"/>
            <w:tcBorders>
              <w:top w:val="nil"/>
              <w:left w:val="nil"/>
              <w:bottom w:val="single" w:sz="4" w:space="0" w:color="auto"/>
              <w:right w:val="single" w:sz="4" w:space="0" w:color="auto"/>
            </w:tcBorders>
            <w:shd w:val="clear" w:color="000000" w:fill="E6E7E8"/>
            <w:vAlign w:val="center"/>
            <w:hideMark/>
          </w:tcPr>
          <w:p w14:paraId="564958E9"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0.4%</w:t>
            </w:r>
          </w:p>
        </w:tc>
        <w:tc>
          <w:tcPr>
            <w:tcW w:w="770" w:type="dxa"/>
            <w:tcBorders>
              <w:top w:val="nil"/>
              <w:left w:val="nil"/>
              <w:bottom w:val="single" w:sz="4" w:space="0" w:color="auto"/>
              <w:right w:val="single" w:sz="4" w:space="0" w:color="auto"/>
            </w:tcBorders>
            <w:shd w:val="clear" w:color="000000" w:fill="E6E7E8"/>
            <w:vAlign w:val="center"/>
            <w:hideMark/>
          </w:tcPr>
          <w:p w14:paraId="56E4BF68"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0.4%</w:t>
            </w:r>
          </w:p>
        </w:tc>
      </w:tr>
      <w:tr w:rsidR="00002D76" w:rsidRPr="008648E5" w14:paraId="19844CE9" w14:textId="77777777" w:rsidTr="001429C7">
        <w:trPr>
          <w:trHeight w:hRule="exact" w:val="280"/>
        </w:trPr>
        <w:tc>
          <w:tcPr>
            <w:tcW w:w="1094" w:type="dxa"/>
            <w:tcBorders>
              <w:top w:val="nil"/>
              <w:left w:val="single" w:sz="4" w:space="0" w:color="auto"/>
              <w:bottom w:val="single" w:sz="4" w:space="0" w:color="auto"/>
              <w:right w:val="single" w:sz="4" w:space="0" w:color="auto"/>
            </w:tcBorders>
            <w:shd w:val="clear" w:color="auto" w:fill="auto"/>
            <w:noWrap/>
            <w:vAlign w:val="center"/>
            <w:hideMark/>
          </w:tcPr>
          <w:p w14:paraId="47D237F8"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210000</w:t>
            </w:r>
          </w:p>
        </w:tc>
        <w:tc>
          <w:tcPr>
            <w:tcW w:w="2173" w:type="dxa"/>
            <w:tcBorders>
              <w:top w:val="nil"/>
              <w:left w:val="nil"/>
              <w:bottom w:val="single" w:sz="4" w:space="0" w:color="auto"/>
              <w:right w:val="single" w:sz="4" w:space="0" w:color="auto"/>
            </w:tcBorders>
            <w:shd w:val="clear" w:color="auto" w:fill="auto"/>
            <w:noWrap/>
            <w:vAlign w:val="center"/>
            <w:hideMark/>
          </w:tcPr>
          <w:p w14:paraId="66BA01EE" w14:textId="77777777" w:rsidR="00002D76" w:rsidRPr="008648E5" w:rsidRDefault="00002D76" w:rsidP="001429C7">
            <w:pPr>
              <w:spacing w:after="0" w:line="240" w:lineRule="auto"/>
              <w:rPr>
                <w:rFonts w:ascii="Calibri" w:hAnsi="Calibri"/>
                <w:color w:val="231F20"/>
                <w:sz w:val="16"/>
                <w:szCs w:val="16"/>
              </w:rPr>
            </w:pPr>
            <w:r w:rsidRPr="008648E5">
              <w:rPr>
                <w:rFonts w:ascii="Calibri" w:hAnsi="Calibri"/>
                <w:color w:val="231F20"/>
                <w:sz w:val="16"/>
                <w:szCs w:val="16"/>
              </w:rPr>
              <w:t>Community and Social Service</w:t>
            </w:r>
          </w:p>
        </w:tc>
        <w:tc>
          <w:tcPr>
            <w:tcW w:w="764" w:type="dxa"/>
            <w:tcBorders>
              <w:top w:val="nil"/>
              <w:left w:val="nil"/>
              <w:bottom w:val="single" w:sz="4" w:space="0" w:color="auto"/>
              <w:right w:val="single" w:sz="4" w:space="0" w:color="auto"/>
            </w:tcBorders>
            <w:shd w:val="clear" w:color="auto" w:fill="auto"/>
            <w:vAlign w:val="center"/>
            <w:hideMark/>
          </w:tcPr>
          <w:p w14:paraId="08E8E354"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1.2%</w:t>
            </w:r>
          </w:p>
        </w:tc>
        <w:tc>
          <w:tcPr>
            <w:tcW w:w="769" w:type="dxa"/>
            <w:tcBorders>
              <w:top w:val="nil"/>
              <w:left w:val="nil"/>
              <w:bottom w:val="single" w:sz="4" w:space="0" w:color="auto"/>
              <w:right w:val="single" w:sz="4" w:space="0" w:color="auto"/>
            </w:tcBorders>
            <w:shd w:val="clear" w:color="auto" w:fill="auto"/>
            <w:vAlign w:val="center"/>
            <w:hideMark/>
          </w:tcPr>
          <w:p w14:paraId="6965B527"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1.3%</w:t>
            </w:r>
          </w:p>
        </w:tc>
        <w:tc>
          <w:tcPr>
            <w:tcW w:w="769" w:type="dxa"/>
            <w:tcBorders>
              <w:top w:val="nil"/>
              <w:left w:val="nil"/>
              <w:bottom w:val="single" w:sz="4" w:space="0" w:color="auto"/>
              <w:right w:val="single" w:sz="4" w:space="0" w:color="auto"/>
            </w:tcBorders>
            <w:shd w:val="clear" w:color="auto" w:fill="auto"/>
            <w:vAlign w:val="center"/>
            <w:hideMark/>
          </w:tcPr>
          <w:p w14:paraId="7DE37660"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1.1%</w:t>
            </w:r>
          </w:p>
        </w:tc>
        <w:tc>
          <w:tcPr>
            <w:tcW w:w="769" w:type="dxa"/>
            <w:tcBorders>
              <w:top w:val="nil"/>
              <w:left w:val="nil"/>
              <w:bottom w:val="single" w:sz="4" w:space="0" w:color="auto"/>
              <w:right w:val="single" w:sz="4" w:space="0" w:color="auto"/>
            </w:tcBorders>
            <w:shd w:val="clear" w:color="auto" w:fill="auto"/>
            <w:vAlign w:val="center"/>
            <w:hideMark/>
          </w:tcPr>
          <w:p w14:paraId="1A413F95"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1.6%</w:t>
            </w:r>
          </w:p>
        </w:tc>
        <w:tc>
          <w:tcPr>
            <w:tcW w:w="770" w:type="dxa"/>
            <w:tcBorders>
              <w:top w:val="nil"/>
              <w:left w:val="nil"/>
              <w:bottom w:val="single" w:sz="4" w:space="0" w:color="auto"/>
              <w:right w:val="single" w:sz="4" w:space="0" w:color="auto"/>
            </w:tcBorders>
            <w:shd w:val="clear" w:color="auto" w:fill="auto"/>
            <w:vAlign w:val="center"/>
            <w:hideMark/>
          </w:tcPr>
          <w:p w14:paraId="5430F099"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1.6%</w:t>
            </w:r>
          </w:p>
        </w:tc>
        <w:tc>
          <w:tcPr>
            <w:tcW w:w="770" w:type="dxa"/>
            <w:tcBorders>
              <w:top w:val="nil"/>
              <w:left w:val="nil"/>
              <w:bottom w:val="single" w:sz="4" w:space="0" w:color="auto"/>
              <w:right w:val="single" w:sz="4" w:space="0" w:color="auto"/>
            </w:tcBorders>
            <w:shd w:val="clear" w:color="auto" w:fill="auto"/>
            <w:vAlign w:val="center"/>
            <w:hideMark/>
          </w:tcPr>
          <w:p w14:paraId="748B03A2"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1.1%</w:t>
            </w:r>
          </w:p>
        </w:tc>
        <w:tc>
          <w:tcPr>
            <w:tcW w:w="770" w:type="dxa"/>
            <w:tcBorders>
              <w:top w:val="nil"/>
              <w:left w:val="nil"/>
              <w:bottom w:val="single" w:sz="4" w:space="0" w:color="auto"/>
              <w:right w:val="single" w:sz="4" w:space="0" w:color="auto"/>
            </w:tcBorders>
            <w:shd w:val="clear" w:color="auto" w:fill="auto"/>
            <w:vAlign w:val="center"/>
            <w:hideMark/>
          </w:tcPr>
          <w:p w14:paraId="141746D4"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1.3%</w:t>
            </w:r>
          </w:p>
        </w:tc>
        <w:tc>
          <w:tcPr>
            <w:tcW w:w="770" w:type="dxa"/>
            <w:tcBorders>
              <w:top w:val="nil"/>
              <w:left w:val="nil"/>
              <w:bottom w:val="single" w:sz="4" w:space="0" w:color="auto"/>
              <w:right w:val="single" w:sz="4" w:space="0" w:color="auto"/>
            </w:tcBorders>
            <w:shd w:val="clear" w:color="auto" w:fill="auto"/>
            <w:vAlign w:val="center"/>
            <w:hideMark/>
          </w:tcPr>
          <w:p w14:paraId="5C04F8EC"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1.0%</w:t>
            </w:r>
          </w:p>
        </w:tc>
        <w:tc>
          <w:tcPr>
            <w:tcW w:w="770" w:type="dxa"/>
            <w:tcBorders>
              <w:top w:val="nil"/>
              <w:left w:val="nil"/>
              <w:bottom w:val="single" w:sz="4" w:space="0" w:color="auto"/>
              <w:right w:val="single" w:sz="4" w:space="0" w:color="auto"/>
            </w:tcBorders>
            <w:shd w:val="clear" w:color="auto" w:fill="auto"/>
            <w:vAlign w:val="center"/>
            <w:hideMark/>
          </w:tcPr>
          <w:p w14:paraId="45CE61A2"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1.0%</w:t>
            </w:r>
          </w:p>
        </w:tc>
      </w:tr>
      <w:tr w:rsidR="00002D76" w:rsidRPr="008648E5" w14:paraId="23D28CA9" w14:textId="77777777" w:rsidTr="001429C7">
        <w:trPr>
          <w:trHeight w:hRule="exact" w:val="302"/>
        </w:trPr>
        <w:tc>
          <w:tcPr>
            <w:tcW w:w="1094" w:type="dxa"/>
            <w:tcBorders>
              <w:top w:val="nil"/>
              <w:left w:val="single" w:sz="4" w:space="0" w:color="auto"/>
              <w:bottom w:val="single" w:sz="4" w:space="0" w:color="auto"/>
              <w:right w:val="single" w:sz="4" w:space="0" w:color="auto"/>
            </w:tcBorders>
            <w:shd w:val="clear" w:color="000000" w:fill="E6E7E8"/>
            <w:noWrap/>
            <w:vAlign w:val="center"/>
            <w:hideMark/>
          </w:tcPr>
          <w:p w14:paraId="03873DF2"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230000</w:t>
            </w:r>
          </w:p>
        </w:tc>
        <w:tc>
          <w:tcPr>
            <w:tcW w:w="2173" w:type="dxa"/>
            <w:tcBorders>
              <w:top w:val="nil"/>
              <w:left w:val="nil"/>
              <w:bottom w:val="single" w:sz="4" w:space="0" w:color="auto"/>
              <w:right w:val="single" w:sz="4" w:space="0" w:color="auto"/>
            </w:tcBorders>
            <w:shd w:val="clear" w:color="000000" w:fill="E6E7E8"/>
            <w:noWrap/>
            <w:vAlign w:val="center"/>
            <w:hideMark/>
          </w:tcPr>
          <w:p w14:paraId="76602256" w14:textId="77777777" w:rsidR="00002D76" w:rsidRPr="008648E5" w:rsidRDefault="00002D76" w:rsidP="001429C7">
            <w:pPr>
              <w:spacing w:after="0" w:line="240" w:lineRule="auto"/>
              <w:rPr>
                <w:rFonts w:ascii="Calibri" w:hAnsi="Calibri"/>
                <w:color w:val="231F20"/>
                <w:sz w:val="16"/>
                <w:szCs w:val="16"/>
              </w:rPr>
            </w:pPr>
            <w:r w:rsidRPr="008648E5">
              <w:rPr>
                <w:rFonts w:ascii="Calibri" w:hAnsi="Calibri"/>
                <w:color w:val="231F20"/>
                <w:sz w:val="16"/>
                <w:szCs w:val="16"/>
              </w:rPr>
              <w:t>Legal</w:t>
            </w:r>
          </w:p>
        </w:tc>
        <w:tc>
          <w:tcPr>
            <w:tcW w:w="764" w:type="dxa"/>
            <w:tcBorders>
              <w:top w:val="nil"/>
              <w:left w:val="nil"/>
              <w:bottom w:val="single" w:sz="4" w:space="0" w:color="auto"/>
              <w:right w:val="single" w:sz="4" w:space="0" w:color="auto"/>
            </w:tcBorders>
            <w:shd w:val="clear" w:color="000000" w:fill="E6E7E8"/>
            <w:vAlign w:val="center"/>
            <w:hideMark/>
          </w:tcPr>
          <w:p w14:paraId="61122AA3"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1.1%</w:t>
            </w:r>
          </w:p>
        </w:tc>
        <w:tc>
          <w:tcPr>
            <w:tcW w:w="769" w:type="dxa"/>
            <w:tcBorders>
              <w:top w:val="nil"/>
              <w:left w:val="nil"/>
              <w:bottom w:val="single" w:sz="4" w:space="0" w:color="auto"/>
              <w:right w:val="single" w:sz="4" w:space="0" w:color="auto"/>
            </w:tcBorders>
            <w:shd w:val="clear" w:color="000000" w:fill="E6E7E8"/>
            <w:vAlign w:val="center"/>
            <w:hideMark/>
          </w:tcPr>
          <w:p w14:paraId="10FA908D"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0.6%</w:t>
            </w:r>
          </w:p>
        </w:tc>
        <w:tc>
          <w:tcPr>
            <w:tcW w:w="769" w:type="dxa"/>
            <w:tcBorders>
              <w:top w:val="nil"/>
              <w:left w:val="nil"/>
              <w:bottom w:val="single" w:sz="4" w:space="0" w:color="auto"/>
              <w:right w:val="single" w:sz="4" w:space="0" w:color="auto"/>
            </w:tcBorders>
            <w:shd w:val="clear" w:color="000000" w:fill="E6E7E8"/>
            <w:vAlign w:val="center"/>
            <w:hideMark/>
          </w:tcPr>
          <w:p w14:paraId="778822D2"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0.9%</w:t>
            </w:r>
          </w:p>
        </w:tc>
        <w:tc>
          <w:tcPr>
            <w:tcW w:w="769" w:type="dxa"/>
            <w:tcBorders>
              <w:top w:val="nil"/>
              <w:left w:val="nil"/>
              <w:bottom w:val="single" w:sz="4" w:space="0" w:color="auto"/>
              <w:right w:val="single" w:sz="4" w:space="0" w:color="auto"/>
            </w:tcBorders>
            <w:shd w:val="clear" w:color="000000" w:fill="E6E7E8"/>
            <w:vAlign w:val="center"/>
            <w:hideMark/>
          </w:tcPr>
          <w:p w14:paraId="3CACDBEF"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0.3%</w:t>
            </w:r>
          </w:p>
        </w:tc>
        <w:tc>
          <w:tcPr>
            <w:tcW w:w="770" w:type="dxa"/>
            <w:tcBorders>
              <w:top w:val="nil"/>
              <w:left w:val="nil"/>
              <w:bottom w:val="single" w:sz="4" w:space="0" w:color="auto"/>
              <w:right w:val="single" w:sz="4" w:space="0" w:color="auto"/>
            </w:tcBorders>
            <w:shd w:val="clear" w:color="000000" w:fill="E6E7E8"/>
            <w:vAlign w:val="center"/>
            <w:hideMark/>
          </w:tcPr>
          <w:p w14:paraId="4E7E2D39"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0.8%</w:t>
            </w:r>
          </w:p>
        </w:tc>
        <w:tc>
          <w:tcPr>
            <w:tcW w:w="770" w:type="dxa"/>
            <w:tcBorders>
              <w:top w:val="nil"/>
              <w:left w:val="nil"/>
              <w:bottom w:val="single" w:sz="4" w:space="0" w:color="auto"/>
              <w:right w:val="single" w:sz="4" w:space="0" w:color="auto"/>
            </w:tcBorders>
            <w:shd w:val="clear" w:color="000000" w:fill="E6E7E8"/>
            <w:vAlign w:val="center"/>
            <w:hideMark/>
          </w:tcPr>
          <w:p w14:paraId="5999D5E6"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1.5%</w:t>
            </w:r>
          </w:p>
        </w:tc>
        <w:tc>
          <w:tcPr>
            <w:tcW w:w="770" w:type="dxa"/>
            <w:tcBorders>
              <w:top w:val="nil"/>
              <w:left w:val="nil"/>
              <w:bottom w:val="single" w:sz="4" w:space="0" w:color="auto"/>
              <w:right w:val="single" w:sz="4" w:space="0" w:color="auto"/>
            </w:tcBorders>
            <w:shd w:val="clear" w:color="000000" w:fill="E6E7E8"/>
            <w:vAlign w:val="center"/>
            <w:hideMark/>
          </w:tcPr>
          <w:p w14:paraId="7DAFAB7F"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1.3%</w:t>
            </w:r>
          </w:p>
        </w:tc>
        <w:tc>
          <w:tcPr>
            <w:tcW w:w="770" w:type="dxa"/>
            <w:tcBorders>
              <w:top w:val="nil"/>
              <w:left w:val="nil"/>
              <w:bottom w:val="single" w:sz="4" w:space="0" w:color="auto"/>
              <w:right w:val="single" w:sz="4" w:space="0" w:color="auto"/>
            </w:tcBorders>
            <w:shd w:val="clear" w:color="000000" w:fill="E6E7E8"/>
            <w:vAlign w:val="center"/>
            <w:hideMark/>
          </w:tcPr>
          <w:p w14:paraId="57532A43"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1.6%</w:t>
            </w:r>
          </w:p>
        </w:tc>
        <w:tc>
          <w:tcPr>
            <w:tcW w:w="770" w:type="dxa"/>
            <w:tcBorders>
              <w:top w:val="nil"/>
              <w:left w:val="nil"/>
              <w:bottom w:val="single" w:sz="4" w:space="0" w:color="auto"/>
              <w:right w:val="single" w:sz="4" w:space="0" w:color="auto"/>
            </w:tcBorders>
            <w:shd w:val="clear" w:color="000000" w:fill="E6E7E8"/>
            <w:vAlign w:val="center"/>
            <w:hideMark/>
          </w:tcPr>
          <w:p w14:paraId="2C892163"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0.7%</w:t>
            </w:r>
          </w:p>
        </w:tc>
      </w:tr>
      <w:tr w:rsidR="00002D76" w:rsidRPr="008648E5" w14:paraId="7A3120D0" w14:textId="77777777" w:rsidTr="001429C7">
        <w:trPr>
          <w:trHeight w:hRule="exact" w:val="505"/>
        </w:trPr>
        <w:tc>
          <w:tcPr>
            <w:tcW w:w="1094" w:type="dxa"/>
            <w:tcBorders>
              <w:top w:val="nil"/>
              <w:left w:val="single" w:sz="4" w:space="0" w:color="auto"/>
              <w:bottom w:val="single" w:sz="4" w:space="0" w:color="auto"/>
              <w:right w:val="single" w:sz="4" w:space="0" w:color="auto"/>
            </w:tcBorders>
            <w:shd w:val="clear" w:color="auto" w:fill="auto"/>
            <w:noWrap/>
            <w:vAlign w:val="center"/>
            <w:hideMark/>
          </w:tcPr>
          <w:p w14:paraId="5F6B03FD"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250000</w:t>
            </w:r>
          </w:p>
        </w:tc>
        <w:tc>
          <w:tcPr>
            <w:tcW w:w="2173" w:type="dxa"/>
            <w:tcBorders>
              <w:top w:val="nil"/>
              <w:left w:val="nil"/>
              <w:bottom w:val="single" w:sz="4" w:space="0" w:color="auto"/>
              <w:right w:val="single" w:sz="4" w:space="0" w:color="auto"/>
            </w:tcBorders>
            <w:shd w:val="clear" w:color="auto" w:fill="auto"/>
            <w:noWrap/>
            <w:vAlign w:val="center"/>
            <w:hideMark/>
          </w:tcPr>
          <w:p w14:paraId="2784DD86" w14:textId="285FDDCD" w:rsidR="00002D76" w:rsidRPr="008648E5" w:rsidRDefault="00002D76" w:rsidP="001429C7">
            <w:pPr>
              <w:spacing w:after="0" w:line="240" w:lineRule="auto"/>
              <w:rPr>
                <w:rFonts w:ascii="Calibri" w:hAnsi="Calibri"/>
                <w:color w:val="231F20"/>
                <w:sz w:val="16"/>
                <w:szCs w:val="16"/>
              </w:rPr>
            </w:pPr>
            <w:r w:rsidRPr="008648E5">
              <w:rPr>
                <w:rFonts w:ascii="Calibri" w:hAnsi="Calibri"/>
                <w:color w:val="231F20"/>
                <w:sz w:val="16"/>
                <w:szCs w:val="16"/>
              </w:rPr>
              <w:t>Education, Training</w:t>
            </w:r>
            <w:r w:rsidR="00D5537E">
              <w:rPr>
                <w:rFonts w:ascii="Calibri" w:hAnsi="Calibri"/>
                <w:color w:val="231F20"/>
                <w:sz w:val="16"/>
                <w:szCs w:val="16"/>
              </w:rPr>
              <w:t xml:space="preserve"> and</w:t>
            </w:r>
            <w:r w:rsidRPr="008648E5">
              <w:rPr>
                <w:rFonts w:ascii="Calibri" w:hAnsi="Calibri"/>
                <w:color w:val="231F20"/>
                <w:sz w:val="16"/>
                <w:szCs w:val="16"/>
              </w:rPr>
              <w:t xml:space="preserve"> Library</w:t>
            </w:r>
          </w:p>
        </w:tc>
        <w:tc>
          <w:tcPr>
            <w:tcW w:w="764" w:type="dxa"/>
            <w:tcBorders>
              <w:top w:val="nil"/>
              <w:left w:val="nil"/>
              <w:bottom w:val="single" w:sz="4" w:space="0" w:color="auto"/>
              <w:right w:val="single" w:sz="4" w:space="0" w:color="auto"/>
            </w:tcBorders>
            <w:shd w:val="clear" w:color="auto" w:fill="auto"/>
            <w:vAlign w:val="center"/>
            <w:hideMark/>
          </w:tcPr>
          <w:p w14:paraId="2F3324A3"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4.8%</w:t>
            </w:r>
          </w:p>
        </w:tc>
        <w:tc>
          <w:tcPr>
            <w:tcW w:w="769" w:type="dxa"/>
            <w:tcBorders>
              <w:top w:val="nil"/>
              <w:left w:val="nil"/>
              <w:bottom w:val="single" w:sz="4" w:space="0" w:color="auto"/>
              <w:right w:val="single" w:sz="4" w:space="0" w:color="auto"/>
            </w:tcBorders>
            <w:shd w:val="clear" w:color="auto" w:fill="auto"/>
            <w:vAlign w:val="center"/>
            <w:hideMark/>
          </w:tcPr>
          <w:p w14:paraId="58115B94"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5.0%</w:t>
            </w:r>
          </w:p>
        </w:tc>
        <w:tc>
          <w:tcPr>
            <w:tcW w:w="769" w:type="dxa"/>
            <w:tcBorders>
              <w:top w:val="nil"/>
              <w:left w:val="nil"/>
              <w:bottom w:val="single" w:sz="4" w:space="0" w:color="auto"/>
              <w:right w:val="single" w:sz="4" w:space="0" w:color="auto"/>
            </w:tcBorders>
            <w:shd w:val="clear" w:color="auto" w:fill="auto"/>
            <w:vAlign w:val="center"/>
            <w:hideMark/>
          </w:tcPr>
          <w:p w14:paraId="2CF318DB"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3.9%</w:t>
            </w:r>
          </w:p>
        </w:tc>
        <w:tc>
          <w:tcPr>
            <w:tcW w:w="769" w:type="dxa"/>
            <w:tcBorders>
              <w:top w:val="nil"/>
              <w:left w:val="nil"/>
              <w:bottom w:val="single" w:sz="4" w:space="0" w:color="auto"/>
              <w:right w:val="single" w:sz="4" w:space="0" w:color="auto"/>
            </w:tcBorders>
            <w:shd w:val="clear" w:color="auto" w:fill="auto"/>
            <w:vAlign w:val="center"/>
            <w:hideMark/>
          </w:tcPr>
          <w:p w14:paraId="050D461B"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5.7%</w:t>
            </w:r>
          </w:p>
        </w:tc>
        <w:tc>
          <w:tcPr>
            <w:tcW w:w="770" w:type="dxa"/>
            <w:tcBorders>
              <w:top w:val="nil"/>
              <w:left w:val="nil"/>
              <w:bottom w:val="single" w:sz="4" w:space="0" w:color="auto"/>
              <w:right w:val="single" w:sz="4" w:space="0" w:color="auto"/>
            </w:tcBorders>
            <w:shd w:val="clear" w:color="auto" w:fill="auto"/>
            <w:vAlign w:val="center"/>
            <w:hideMark/>
          </w:tcPr>
          <w:p w14:paraId="6947244A"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4.7%</w:t>
            </w:r>
          </w:p>
        </w:tc>
        <w:tc>
          <w:tcPr>
            <w:tcW w:w="770" w:type="dxa"/>
            <w:tcBorders>
              <w:top w:val="nil"/>
              <w:left w:val="nil"/>
              <w:bottom w:val="single" w:sz="4" w:space="0" w:color="auto"/>
              <w:right w:val="single" w:sz="4" w:space="0" w:color="auto"/>
            </w:tcBorders>
            <w:shd w:val="clear" w:color="auto" w:fill="auto"/>
            <w:vAlign w:val="center"/>
            <w:hideMark/>
          </w:tcPr>
          <w:p w14:paraId="69482AB5"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4.2%</w:t>
            </w:r>
          </w:p>
        </w:tc>
        <w:tc>
          <w:tcPr>
            <w:tcW w:w="770" w:type="dxa"/>
            <w:tcBorders>
              <w:top w:val="nil"/>
              <w:left w:val="nil"/>
              <w:bottom w:val="single" w:sz="4" w:space="0" w:color="auto"/>
              <w:right w:val="single" w:sz="4" w:space="0" w:color="auto"/>
            </w:tcBorders>
            <w:shd w:val="clear" w:color="auto" w:fill="auto"/>
            <w:vAlign w:val="center"/>
            <w:hideMark/>
          </w:tcPr>
          <w:p w14:paraId="109B5D50"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4.4%</w:t>
            </w:r>
          </w:p>
        </w:tc>
        <w:tc>
          <w:tcPr>
            <w:tcW w:w="770" w:type="dxa"/>
            <w:tcBorders>
              <w:top w:val="nil"/>
              <w:left w:val="nil"/>
              <w:bottom w:val="single" w:sz="4" w:space="0" w:color="auto"/>
              <w:right w:val="single" w:sz="4" w:space="0" w:color="auto"/>
            </w:tcBorders>
            <w:shd w:val="clear" w:color="auto" w:fill="auto"/>
            <w:vAlign w:val="center"/>
            <w:hideMark/>
          </w:tcPr>
          <w:p w14:paraId="33578DB2"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4.5%</w:t>
            </w:r>
          </w:p>
        </w:tc>
        <w:tc>
          <w:tcPr>
            <w:tcW w:w="770" w:type="dxa"/>
            <w:tcBorders>
              <w:top w:val="nil"/>
              <w:left w:val="nil"/>
              <w:bottom w:val="single" w:sz="4" w:space="0" w:color="auto"/>
              <w:right w:val="single" w:sz="4" w:space="0" w:color="auto"/>
            </w:tcBorders>
            <w:shd w:val="clear" w:color="auto" w:fill="auto"/>
            <w:vAlign w:val="center"/>
            <w:hideMark/>
          </w:tcPr>
          <w:p w14:paraId="40E3B204"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3.9%</w:t>
            </w:r>
          </w:p>
        </w:tc>
      </w:tr>
      <w:tr w:rsidR="00002D76" w:rsidRPr="008648E5" w14:paraId="3DE157B1" w14:textId="77777777" w:rsidTr="001429C7">
        <w:trPr>
          <w:trHeight w:hRule="exact" w:val="622"/>
        </w:trPr>
        <w:tc>
          <w:tcPr>
            <w:tcW w:w="1094" w:type="dxa"/>
            <w:tcBorders>
              <w:top w:val="nil"/>
              <w:left w:val="single" w:sz="4" w:space="0" w:color="auto"/>
              <w:bottom w:val="single" w:sz="4" w:space="0" w:color="auto"/>
              <w:right w:val="single" w:sz="4" w:space="0" w:color="auto"/>
            </w:tcBorders>
            <w:shd w:val="clear" w:color="000000" w:fill="E6E7E8"/>
            <w:noWrap/>
            <w:vAlign w:val="center"/>
            <w:hideMark/>
          </w:tcPr>
          <w:p w14:paraId="49C4B1D7"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270000</w:t>
            </w:r>
          </w:p>
        </w:tc>
        <w:tc>
          <w:tcPr>
            <w:tcW w:w="2173" w:type="dxa"/>
            <w:tcBorders>
              <w:top w:val="nil"/>
              <w:left w:val="nil"/>
              <w:bottom w:val="single" w:sz="4" w:space="0" w:color="auto"/>
              <w:right w:val="single" w:sz="4" w:space="0" w:color="auto"/>
            </w:tcBorders>
            <w:shd w:val="clear" w:color="000000" w:fill="E6E7E8"/>
            <w:noWrap/>
            <w:vAlign w:val="center"/>
            <w:hideMark/>
          </w:tcPr>
          <w:p w14:paraId="19E75CB3" w14:textId="00CCC609" w:rsidR="00002D76" w:rsidRPr="008648E5" w:rsidRDefault="00002D76" w:rsidP="001429C7">
            <w:pPr>
              <w:spacing w:after="0" w:line="240" w:lineRule="auto"/>
              <w:rPr>
                <w:rFonts w:ascii="Calibri" w:hAnsi="Calibri"/>
                <w:color w:val="231F20"/>
                <w:sz w:val="16"/>
                <w:szCs w:val="16"/>
              </w:rPr>
            </w:pPr>
            <w:r w:rsidRPr="008648E5">
              <w:rPr>
                <w:rFonts w:ascii="Calibri" w:hAnsi="Calibri"/>
                <w:color w:val="231F20"/>
                <w:sz w:val="16"/>
                <w:szCs w:val="16"/>
              </w:rPr>
              <w:t>Arts, Design, Entertainment, Sports</w:t>
            </w:r>
            <w:r w:rsidR="00D5537E">
              <w:rPr>
                <w:rFonts w:ascii="Calibri" w:hAnsi="Calibri"/>
                <w:color w:val="231F20"/>
                <w:sz w:val="16"/>
                <w:szCs w:val="16"/>
              </w:rPr>
              <w:t xml:space="preserve"> and</w:t>
            </w:r>
            <w:r w:rsidRPr="008648E5">
              <w:rPr>
                <w:rFonts w:ascii="Calibri" w:hAnsi="Calibri"/>
                <w:color w:val="231F20"/>
                <w:sz w:val="16"/>
                <w:szCs w:val="16"/>
              </w:rPr>
              <w:t xml:space="preserve"> Media</w:t>
            </w:r>
          </w:p>
        </w:tc>
        <w:tc>
          <w:tcPr>
            <w:tcW w:w="764" w:type="dxa"/>
            <w:tcBorders>
              <w:top w:val="nil"/>
              <w:left w:val="nil"/>
              <w:bottom w:val="single" w:sz="4" w:space="0" w:color="auto"/>
              <w:right w:val="single" w:sz="4" w:space="0" w:color="auto"/>
            </w:tcBorders>
            <w:shd w:val="clear" w:color="000000" w:fill="E6E7E8"/>
            <w:vAlign w:val="center"/>
            <w:hideMark/>
          </w:tcPr>
          <w:p w14:paraId="5BDBFF77"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1.6%</w:t>
            </w:r>
          </w:p>
        </w:tc>
        <w:tc>
          <w:tcPr>
            <w:tcW w:w="769" w:type="dxa"/>
            <w:tcBorders>
              <w:top w:val="nil"/>
              <w:left w:val="nil"/>
              <w:bottom w:val="single" w:sz="4" w:space="0" w:color="auto"/>
              <w:right w:val="single" w:sz="4" w:space="0" w:color="auto"/>
            </w:tcBorders>
            <w:shd w:val="clear" w:color="000000" w:fill="E6E7E8"/>
            <w:vAlign w:val="center"/>
            <w:hideMark/>
          </w:tcPr>
          <w:p w14:paraId="21E45A2A"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1.0%</w:t>
            </w:r>
          </w:p>
        </w:tc>
        <w:tc>
          <w:tcPr>
            <w:tcW w:w="769" w:type="dxa"/>
            <w:tcBorders>
              <w:top w:val="nil"/>
              <w:left w:val="nil"/>
              <w:bottom w:val="single" w:sz="4" w:space="0" w:color="auto"/>
              <w:right w:val="single" w:sz="4" w:space="0" w:color="auto"/>
            </w:tcBorders>
            <w:shd w:val="clear" w:color="000000" w:fill="E6E7E8"/>
            <w:vAlign w:val="center"/>
            <w:hideMark/>
          </w:tcPr>
          <w:p w14:paraId="5063C03E"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1.6%</w:t>
            </w:r>
          </w:p>
        </w:tc>
        <w:tc>
          <w:tcPr>
            <w:tcW w:w="769" w:type="dxa"/>
            <w:tcBorders>
              <w:top w:val="nil"/>
              <w:left w:val="nil"/>
              <w:bottom w:val="single" w:sz="4" w:space="0" w:color="auto"/>
              <w:right w:val="single" w:sz="4" w:space="0" w:color="auto"/>
            </w:tcBorders>
            <w:shd w:val="clear" w:color="000000" w:fill="E6E7E8"/>
            <w:vAlign w:val="center"/>
            <w:hideMark/>
          </w:tcPr>
          <w:p w14:paraId="1DD2F333"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0.7%</w:t>
            </w:r>
          </w:p>
        </w:tc>
        <w:tc>
          <w:tcPr>
            <w:tcW w:w="770" w:type="dxa"/>
            <w:tcBorders>
              <w:top w:val="nil"/>
              <w:left w:val="nil"/>
              <w:bottom w:val="single" w:sz="4" w:space="0" w:color="auto"/>
              <w:right w:val="single" w:sz="4" w:space="0" w:color="auto"/>
            </w:tcBorders>
            <w:shd w:val="clear" w:color="000000" w:fill="E6E7E8"/>
            <w:vAlign w:val="center"/>
            <w:hideMark/>
          </w:tcPr>
          <w:p w14:paraId="40C8BBDA"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1.2%</w:t>
            </w:r>
          </w:p>
        </w:tc>
        <w:tc>
          <w:tcPr>
            <w:tcW w:w="770" w:type="dxa"/>
            <w:tcBorders>
              <w:top w:val="nil"/>
              <w:left w:val="nil"/>
              <w:bottom w:val="single" w:sz="4" w:space="0" w:color="auto"/>
              <w:right w:val="single" w:sz="4" w:space="0" w:color="auto"/>
            </w:tcBorders>
            <w:shd w:val="clear" w:color="000000" w:fill="E6E7E8"/>
            <w:vAlign w:val="center"/>
            <w:hideMark/>
          </w:tcPr>
          <w:p w14:paraId="6FDB693E"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1.6%</w:t>
            </w:r>
          </w:p>
        </w:tc>
        <w:tc>
          <w:tcPr>
            <w:tcW w:w="770" w:type="dxa"/>
            <w:tcBorders>
              <w:top w:val="nil"/>
              <w:left w:val="nil"/>
              <w:bottom w:val="single" w:sz="4" w:space="0" w:color="auto"/>
              <w:right w:val="single" w:sz="4" w:space="0" w:color="auto"/>
            </w:tcBorders>
            <w:shd w:val="clear" w:color="000000" w:fill="E6E7E8"/>
            <w:vAlign w:val="center"/>
            <w:hideMark/>
          </w:tcPr>
          <w:p w14:paraId="4F616190"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1.4%</w:t>
            </w:r>
          </w:p>
        </w:tc>
        <w:tc>
          <w:tcPr>
            <w:tcW w:w="770" w:type="dxa"/>
            <w:tcBorders>
              <w:top w:val="nil"/>
              <w:left w:val="nil"/>
              <w:bottom w:val="single" w:sz="4" w:space="0" w:color="auto"/>
              <w:right w:val="single" w:sz="4" w:space="0" w:color="auto"/>
            </w:tcBorders>
            <w:shd w:val="clear" w:color="000000" w:fill="E6E7E8"/>
            <w:vAlign w:val="center"/>
            <w:hideMark/>
          </w:tcPr>
          <w:p w14:paraId="65E8BCD5"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1.7%</w:t>
            </w:r>
          </w:p>
        </w:tc>
        <w:tc>
          <w:tcPr>
            <w:tcW w:w="770" w:type="dxa"/>
            <w:tcBorders>
              <w:top w:val="nil"/>
              <w:left w:val="nil"/>
              <w:bottom w:val="single" w:sz="4" w:space="0" w:color="auto"/>
              <w:right w:val="single" w:sz="4" w:space="0" w:color="auto"/>
            </w:tcBorders>
            <w:shd w:val="clear" w:color="000000" w:fill="E6E7E8"/>
            <w:vAlign w:val="center"/>
            <w:hideMark/>
          </w:tcPr>
          <w:p w14:paraId="2CA12A52"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1.4%</w:t>
            </w:r>
          </w:p>
        </w:tc>
      </w:tr>
      <w:tr w:rsidR="00002D76" w:rsidRPr="008648E5" w14:paraId="67B71CDE" w14:textId="77777777" w:rsidTr="001429C7">
        <w:trPr>
          <w:trHeight w:hRule="exact" w:val="460"/>
        </w:trPr>
        <w:tc>
          <w:tcPr>
            <w:tcW w:w="1094" w:type="dxa"/>
            <w:tcBorders>
              <w:top w:val="nil"/>
              <w:left w:val="single" w:sz="4" w:space="0" w:color="auto"/>
              <w:bottom w:val="single" w:sz="4" w:space="0" w:color="auto"/>
              <w:right w:val="single" w:sz="4" w:space="0" w:color="auto"/>
            </w:tcBorders>
            <w:shd w:val="clear" w:color="auto" w:fill="auto"/>
            <w:noWrap/>
            <w:vAlign w:val="center"/>
            <w:hideMark/>
          </w:tcPr>
          <w:p w14:paraId="08EDFB38"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290000</w:t>
            </w:r>
          </w:p>
        </w:tc>
        <w:tc>
          <w:tcPr>
            <w:tcW w:w="2173" w:type="dxa"/>
            <w:tcBorders>
              <w:top w:val="nil"/>
              <w:left w:val="nil"/>
              <w:bottom w:val="single" w:sz="4" w:space="0" w:color="auto"/>
              <w:right w:val="single" w:sz="4" w:space="0" w:color="auto"/>
            </w:tcBorders>
            <w:shd w:val="clear" w:color="auto" w:fill="auto"/>
            <w:noWrap/>
            <w:vAlign w:val="center"/>
            <w:hideMark/>
          </w:tcPr>
          <w:p w14:paraId="2CCB459F" w14:textId="77777777" w:rsidR="00002D76" w:rsidRPr="008648E5" w:rsidRDefault="00002D76" w:rsidP="001429C7">
            <w:pPr>
              <w:spacing w:after="0" w:line="240" w:lineRule="auto"/>
              <w:rPr>
                <w:rFonts w:ascii="Calibri" w:hAnsi="Calibri"/>
                <w:color w:val="231F20"/>
                <w:sz w:val="16"/>
                <w:szCs w:val="16"/>
              </w:rPr>
            </w:pPr>
            <w:r w:rsidRPr="008648E5">
              <w:rPr>
                <w:rFonts w:ascii="Calibri" w:hAnsi="Calibri"/>
                <w:color w:val="231F20"/>
                <w:sz w:val="16"/>
                <w:szCs w:val="16"/>
              </w:rPr>
              <w:t>Healthcare Practitioners and Technical</w:t>
            </w:r>
          </w:p>
        </w:tc>
        <w:tc>
          <w:tcPr>
            <w:tcW w:w="764" w:type="dxa"/>
            <w:tcBorders>
              <w:top w:val="nil"/>
              <w:left w:val="nil"/>
              <w:bottom w:val="single" w:sz="4" w:space="0" w:color="auto"/>
              <w:right w:val="single" w:sz="4" w:space="0" w:color="auto"/>
            </w:tcBorders>
            <w:shd w:val="clear" w:color="auto" w:fill="auto"/>
            <w:vAlign w:val="center"/>
            <w:hideMark/>
          </w:tcPr>
          <w:p w14:paraId="0D3ABA09"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6.0%</w:t>
            </w:r>
          </w:p>
        </w:tc>
        <w:tc>
          <w:tcPr>
            <w:tcW w:w="769" w:type="dxa"/>
            <w:tcBorders>
              <w:top w:val="nil"/>
              <w:left w:val="nil"/>
              <w:bottom w:val="single" w:sz="4" w:space="0" w:color="auto"/>
              <w:right w:val="single" w:sz="4" w:space="0" w:color="auto"/>
            </w:tcBorders>
            <w:shd w:val="clear" w:color="auto" w:fill="auto"/>
            <w:vAlign w:val="center"/>
            <w:hideMark/>
          </w:tcPr>
          <w:p w14:paraId="20FF9382"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5.3%</w:t>
            </w:r>
          </w:p>
        </w:tc>
        <w:tc>
          <w:tcPr>
            <w:tcW w:w="769" w:type="dxa"/>
            <w:tcBorders>
              <w:top w:val="nil"/>
              <w:left w:val="nil"/>
              <w:bottom w:val="single" w:sz="4" w:space="0" w:color="auto"/>
              <w:right w:val="single" w:sz="4" w:space="0" w:color="auto"/>
            </w:tcBorders>
            <w:shd w:val="clear" w:color="auto" w:fill="auto"/>
            <w:vAlign w:val="center"/>
            <w:hideMark/>
          </w:tcPr>
          <w:p w14:paraId="07CAAA76"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6.2%</w:t>
            </w:r>
          </w:p>
        </w:tc>
        <w:tc>
          <w:tcPr>
            <w:tcW w:w="769" w:type="dxa"/>
            <w:tcBorders>
              <w:top w:val="nil"/>
              <w:left w:val="nil"/>
              <w:bottom w:val="single" w:sz="4" w:space="0" w:color="auto"/>
              <w:right w:val="single" w:sz="4" w:space="0" w:color="auto"/>
            </w:tcBorders>
            <w:shd w:val="clear" w:color="auto" w:fill="auto"/>
            <w:vAlign w:val="center"/>
            <w:hideMark/>
          </w:tcPr>
          <w:p w14:paraId="04FA283E"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5.8%</w:t>
            </w:r>
          </w:p>
        </w:tc>
        <w:tc>
          <w:tcPr>
            <w:tcW w:w="770" w:type="dxa"/>
            <w:tcBorders>
              <w:top w:val="nil"/>
              <w:left w:val="nil"/>
              <w:bottom w:val="single" w:sz="4" w:space="0" w:color="auto"/>
              <w:right w:val="single" w:sz="4" w:space="0" w:color="auto"/>
            </w:tcBorders>
            <w:shd w:val="clear" w:color="auto" w:fill="auto"/>
            <w:vAlign w:val="center"/>
            <w:hideMark/>
          </w:tcPr>
          <w:p w14:paraId="0BE68EEB"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7.2%</w:t>
            </w:r>
          </w:p>
        </w:tc>
        <w:tc>
          <w:tcPr>
            <w:tcW w:w="770" w:type="dxa"/>
            <w:tcBorders>
              <w:top w:val="nil"/>
              <w:left w:val="nil"/>
              <w:bottom w:val="single" w:sz="4" w:space="0" w:color="auto"/>
              <w:right w:val="single" w:sz="4" w:space="0" w:color="auto"/>
            </w:tcBorders>
            <w:shd w:val="clear" w:color="auto" w:fill="auto"/>
            <w:vAlign w:val="center"/>
            <w:hideMark/>
          </w:tcPr>
          <w:p w14:paraId="27059049"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5.7%</w:t>
            </w:r>
          </w:p>
        </w:tc>
        <w:tc>
          <w:tcPr>
            <w:tcW w:w="770" w:type="dxa"/>
            <w:tcBorders>
              <w:top w:val="nil"/>
              <w:left w:val="nil"/>
              <w:bottom w:val="single" w:sz="4" w:space="0" w:color="auto"/>
              <w:right w:val="single" w:sz="4" w:space="0" w:color="auto"/>
            </w:tcBorders>
            <w:shd w:val="clear" w:color="auto" w:fill="auto"/>
            <w:vAlign w:val="center"/>
            <w:hideMark/>
          </w:tcPr>
          <w:p w14:paraId="1B7CFBDE"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5.8%</w:t>
            </w:r>
          </w:p>
        </w:tc>
        <w:tc>
          <w:tcPr>
            <w:tcW w:w="770" w:type="dxa"/>
            <w:tcBorders>
              <w:top w:val="nil"/>
              <w:left w:val="nil"/>
              <w:bottom w:val="single" w:sz="4" w:space="0" w:color="auto"/>
              <w:right w:val="single" w:sz="4" w:space="0" w:color="auto"/>
            </w:tcBorders>
            <w:shd w:val="clear" w:color="auto" w:fill="auto"/>
            <w:vAlign w:val="center"/>
            <w:hideMark/>
          </w:tcPr>
          <w:p w14:paraId="24D721BB"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5.8%</w:t>
            </w:r>
          </w:p>
        </w:tc>
        <w:tc>
          <w:tcPr>
            <w:tcW w:w="770" w:type="dxa"/>
            <w:tcBorders>
              <w:top w:val="nil"/>
              <w:left w:val="nil"/>
              <w:bottom w:val="single" w:sz="4" w:space="0" w:color="auto"/>
              <w:right w:val="single" w:sz="4" w:space="0" w:color="auto"/>
            </w:tcBorders>
            <w:shd w:val="clear" w:color="auto" w:fill="auto"/>
            <w:vAlign w:val="center"/>
            <w:hideMark/>
          </w:tcPr>
          <w:p w14:paraId="6C35D19B"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6.0%</w:t>
            </w:r>
          </w:p>
        </w:tc>
      </w:tr>
      <w:tr w:rsidR="00002D76" w:rsidRPr="008648E5" w14:paraId="5FF62EA1" w14:textId="77777777" w:rsidTr="001429C7">
        <w:trPr>
          <w:trHeight w:hRule="exact" w:val="302"/>
        </w:trPr>
        <w:tc>
          <w:tcPr>
            <w:tcW w:w="1094" w:type="dxa"/>
            <w:tcBorders>
              <w:top w:val="nil"/>
              <w:left w:val="single" w:sz="4" w:space="0" w:color="auto"/>
              <w:bottom w:val="single" w:sz="4" w:space="0" w:color="auto"/>
              <w:right w:val="single" w:sz="4" w:space="0" w:color="auto"/>
            </w:tcBorders>
            <w:shd w:val="clear" w:color="000000" w:fill="E6E7E8"/>
            <w:noWrap/>
            <w:vAlign w:val="center"/>
            <w:hideMark/>
          </w:tcPr>
          <w:p w14:paraId="76DB70B3"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310000</w:t>
            </w:r>
          </w:p>
        </w:tc>
        <w:tc>
          <w:tcPr>
            <w:tcW w:w="2173" w:type="dxa"/>
            <w:tcBorders>
              <w:top w:val="nil"/>
              <w:left w:val="nil"/>
              <w:bottom w:val="single" w:sz="4" w:space="0" w:color="auto"/>
              <w:right w:val="single" w:sz="4" w:space="0" w:color="auto"/>
            </w:tcBorders>
            <w:shd w:val="clear" w:color="000000" w:fill="E6E7E8"/>
            <w:noWrap/>
            <w:vAlign w:val="center"/>
            <w:hideMark/>
          </w:tcPr>
          <w:p w14:paraId="5B7F6D20" w14:textId="77777777" w:rsidR="00002D76" w:rsidRPr="008648E5" w:rsidRDefault="00002D76" w:rsidP="001429C7">
            <w:pPr>
              <w:spacing w:after="0" w:line="240" w:lineRule="auto"/>
              <w:rPr>
                <w:rFonts w:ascii="Calibri" w:hAnsi="Calibri"/>
                <w:color w:val="231F20"/>
                <w:sz w:val="16"/>
                <w:szCs w:val="16"/>
              </w:rPr>
            </w:pPr>
            <w:r w:rsidRPr="008648E5">
              <w:rPr>
                <w:rFonts w:ascii="Calibri" w:hAnsi="Calibri"/>
                <w:color w:val="231F20"/>
                <w:sz w:val="16"/>
                <w:szCs w:val="16"/>
              </w:rPr>
              <w:t>Healthcare Support</w:t>
            </w:r>
          </w:p>
        </w:tc>
        <w:tc>
          <w:tcPr>
            <w:tcW w:w="764" w:type="dxa"/>
            <w:tcBorders>
              <w:top w:val="nil"/>
              <w:left w:val="nil"/>
              <w:bottom w:val="single" w:sz="4" w:space="0" w:color="auto"/>
              <w:right w:val="single" w:sz="4" w:space="0" w:color="auto"/>
            </w:tcBorders>
            <w:shd w:val="clear" w:color="000000" w:fill="E6E7E8"/>
            <w:vAlign w:val="center"/>
            <w:hideMark/>
          </w:tcPr>
          <w:p w14:paraId="428A4642"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2.8%</w:t>
            </w:r>
          </w:p>
        </w:tc>
        <w:tc>
          <w:tcPr>
            <w:tcW w:w="769" w:type="dxa"/>
            <w:tcBorders>
              <w:top w:val="nil"/>
              <w:left w:val="nil"/>
              <w:bottom w:val="single" w:sz="4" w:space="0" w:color="auto"/>
              <w:right w:val="single" w:sz="4" w:space="0" w:color="auto"/>
            </w:tcBorders>
            <w:shd w:val="clear" w:color="000000" w:fill="E6E7E8"/>
            <w:vAlign w:val="center"/>
            <w:hideMark/>
          </w:tcPr>
          <w:p w14:paraId="4DB61F74"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2.4%</w:t>
            </w:r>
          </w:p>
        </w:tc>
        <w:tc>
          <w:tcPr>
            <w:tcW w:w="769" w:type="dxa"/>
            <w:tcBorders>
              <w:top w:val="nil"/>
              <w:left w:val="nil"/>
              <w:bottom w:val="single" w:sz="4" w:space="0" w:color="auto"/>
              <w:right w:val="single" w:sz="4" w:space="0" w:color="auto"/>
            </w:tcBorders>
            <w:shd w:val="clear" w:color="000000" w:fill="E6E7E8"/>
            <w:vAlign w:val="center"/>
            <w:hideMark/>
          </w:tcPr>
          <w:p w14:paraId="5EE177EF"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4.0%</w:t>
            </w:r>
          </w:p>
        </w:tc>
        <w:tc>
          <w:tcPr>
            <w:tcW w:w="769" w:type="dxa"/>
            <w:tcBorders>
              <w:top w:val="nil"/>
              <w:left w:val="nil"/>
              <w:bottom w:val="single" w:sz="4" w:space="0" w:color="auto"/>
              <w:right w:val="single" w:sz="4" w:space="0" w:color="auto"/>
            </w:tcBorders>
            <w:shd w:val="clear" w:color="000000" w:fill="E6E7E8"/>
            <w:vAlign w:val="center"/>
            <w:hideMark/>
          </w:tcPr>
          <w:p w14:paraId="0AC30104"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3.4%</w:t>
            </w:r>
          </w:p>
        </w:tc>
        <w:tc>
          <w:tcPr>
            <w:tcW w:w="770" w:type="dxa"/>
            <w:tcBorders>
              <w:top w:val="nil"/>
              <w:left w:val="nil"/>
              <w:bottom w:val="single" w:sz="4" w:space="0" w:color="auto"/>
              <w:right w:val="single" w:sz="4" w:space="0" w:color="auto"/>
            </w:tcBorders>
            <w:shd w:val="clear" w:color="000000" w:fill="E6E7E8"/>
            <w:vAlign w:val="center"/>
            <w:hideMark/>
          </w:tcPr>
          <w:p w14:paraId="760AAD39"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3.3%</w:t>
            </w:r>
          </w:p>
        </w:tc>
        <w:tc>
          <w:tcPr>
            <w:tcW w:w="770" w:type="dxa"/>
            <w:tcBorders>
              <w:top w:val="nil"/>
              <w:left w:val="nil"/>
              <w:bottom w:val="single" w:sz="4" w:space="0" w:color="auto"/>
              <w:right w:val="single" w:sz="4" w:space="0" w:color="auto"/>
            </w:tcBorders>
            <w:shd w:val="clear" w:color="000000" w:fill="E6E7E8"/>
            <w:vAlign w:val="center"/>
            <w:hideMark/>
          </w:tcPr>
          <w:p w14:paraId="12A45B72"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3.1%</w:t>
            </w:r>
          </w:p>
        </w:tc>
        <w:tc>
          <w:tcPr>
            <w:tcW w:w="770" w:type="dxa"/>
            <w:tcBorders>
              <w:top w:val="nil"/>
              <w:left w:val="nil"/>
              <w:bottom w:val="single" w:sz="4" w:space="0" w:color="auto"/>
              <w:right w:val="single" w:sz="4" w:space="0" w:color="auto"/>
            </w:tcBorders>
            <w:shd w:val="clear" w:color="000000" w:fill="E6E7E8"/>
            <w:vAlign w:val="center"/>
            <w:hideMark/>
          </w:tcPr>
          <w:p w14:paraId="4654E214"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2.4%</w:t>
            </w:r>
          </w:p>
        </w:tc>
        <w:tc>
          <w:tcPr>
            <w:tcW w:w="770" w:type="dxa"/>
            <w:tcBorders>
              <w:top w:val="nil"/>
              <w:left w:val="nil"/>
              <w:bottom w:val="single" w:sz="4" w:space="0" w:color="auto"/>
              <w:right w:val="single" w:sz="4" w:space="0" w:color="auto"/>
            </w:tcBorders>
            <w:shd w:val="clear" w:color="000000" w:fill="E6E7E8"/>
            <w:vAlign w:val="center"/>
            <w:hideMark/>
          </w:tcPr>
          <w:p w14:paraId="417205E9"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2.6%</w:t>
            </w:r>
          </w:p>
        </w:tc>
        <w:tc>
          <w:tcPr>
            <w:tcW w:w="770" w:type="dxa"/>
            <w:tcBorders>
              <w:top w:val="nil"/>
              <w:left w:val="nil"/>
              <w:bottom w:val="single" w:sz="4" w:space="0" w:color="auto"/>
              <w:right w:val="single" w:sz="4" w:space="0" w:color="auto"/>
            </w:tcBorders>
            <w:shd w:val="clear" w:color="000000" w:fill="E6E7E8"/>
            <w:vAlign w:val="center"/>
            <w:hideMark/>
          </w:tcPr>
          <w:p w14:paraId="4E59A405"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3.0%</w:t>
            </w:r>
          </w:p>
        </w:tc>
      </w:tr>
      <w:tr w:rsidR="00002D76" w:rsidRPr="008648E5" w14:paraId="6B21E368" w14:textId="77777777" w:rsidTr="001429C7">
        <w:trPr>
          <w:trHeight w:hRule="exact" w:val="302"/>
        </w:trPr>
        <w:tc>
          <w:tcPr>
            <w:tcW w:w="1094" w:type="dxa"/>
            <w:tcBorders>
              <w:top w:val="nil"/>
              <w:left w:val="single" w:sz="4" w:space="0" w:color="auto"/>
              <w:bottom w:val="single" w:sz="4" w:space="0" w:color="auto"/>
              <w:right w:val="single" w:sz="4" w:space="0" w:color="auto"/>
            </w:tcBorders>
            <w:shd w:val="clear" w:color="auto" w:fill="auto"/>
            <w:noWrap/>
            <w:vAlign w:val="center"/>
            <w:hideMark/>
          </w:tcPr>
          <w:p w14:paraId="0267B607"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330000</w:t>
            </w:r>
          </w:p>
        </w:tc>
        <w:tc>
          <w:tcPr>
            <w:tcW w:w="2173" w:type="dxa"/>
            <w:tcBorders>
              <w:top w:val="nil"/>
              <w:left w:val="nil"/>
              <w:bottom w:val="single" w:sz="4" w:space="0" w:color="auto"/>
              <w:right w:val="single" w:sz="4" w:space="0" w:color="auto"/>
            </w:tcBorders>
            <w:shd w:val="clear" w:color="auto" w:fill="auto"/>
            <w:noWrap/>
            <w:vAlign w:val="center"/>
            <w:hideMark/>
          </w:tcPr>
          <w:p w14:paraId="5FBECE5B" w14:textId="77777777" w:rsidR="00002D76" w:rsidRPr="008648E5" w:rsidRDefault="00002D76" w:rsidP="001429C7">
            <w:pPr>
              <w:spacing w:after="0" w:line="240" w:lineRule="auto"/>
              <w:rPr>
                <w:rFonts w:ascii="Calibri" w:hAnsi="Calibri"/>
                <w:color w:val="231F20"/>
                <w:sz w:val="16"/>
                <w:szCs w:val="16"/>
              </w:rPr>
            </w:pPr>
            <w:r w:rsidRPr="008648E5">
              <w:rPr>
                <w:rFonts w:ascii="Calibri" w:hAnsi="Calibri"/>
                <w:color w:val="231F20"/>
                <w:sz w:val="16"/>
                <w:szCs w:val="16"/>
              </w:rPr>
              <w:t>Protective Service</w:t>
            </w:r>
          </w:p>
        </w:tc>
        <w:tc>
          <w:tcPr>
            <w:tcW w:w="764" w:type="dxa"/>
            <w:tcBorders>
              <w:top w:val="nil"/>
              <w:left w:val="nil"/>
              <w:bottom w:val="single" w:sz="4" w:space="0" w:color="auto"/>
              <w:right w:val="single" w:sz="4" w:space="0" w:color="auto"/>
            </w:tcBorders>
            <w:shd w:val="clear" w:color="auto" w:fill="auto"/>
            <w:vAlign w:val="center"/>
            <w:hideMark/>
          </w:tcPr>
          <w:p w14:paraId="35FF7285"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2.6%</w:t>
            </w:r>
          </w:p>
        </w:tc>
        <w:tc>
          <w:tcPr>
            <w:tcW w:w="769" w:type="dxa"/>
            <w:tcBorders>
              <w:top w:val="nil"/>
              <w:left w:val="nil"/>
              <w:bottom w:val="single" w:sz="4" w:space="0" w:color="auto"/>
              <w:right w:val="single" w:sz="4" w:space="0" w:color="auto"/>
            </w:tcBorders>
            <w:shd w:val="clear" w:color="auto" w:fill="auto"/>
            <w:vAlign w:val="center"/>
            <w:hideMark/>
          </w:tcPr>
          <w:p w14:paraId="23D933A8"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1.9%</w:t>
            </w:r>
          </w:p>
        </w:tc>
        <w:tc>
          <w:tcPr>
            <w:tcW w:w="769" w:type="dxa"/>
            <w:tcBorders>
              <w:top w:val="nil"/>
              <w:left w:val="nil"/>
              <w:bottom w:val="single" w:sz="4" w:space="0" w:color="auto"/>
              <w:right w:val="single" w:sz="4" w:space="0" w:color="auto"/>
            </w:tcBorders>
            <w:shd w:val="clear" w:color="auto" w:fill="auto"/>
            <w:vAlign w:val="center"/>
            <w:hideMark/>
          </w:tcPr>
          <w:p w14:paraId="5E9F779D"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1.8%</w:t>
            </w:r>
          </w:p>
        </w:tc>
        <w:tc>
          <w:tcPr>
            <w:tcW w:w="769" w:type="dxa"/>
            <w:tcBorders>
              <w:top w:val="nil"/>
              <w:left w:val="nil"/>
              <w:bottom w:val="single" w:sz="4" w:space="0" w:color="auto"/>
              <w:right w:val="single" w:sz="4" w:space="0" w:color="auto"/>
            </w:tcBorders>
            <w:shd w:val="clear" w:color="auto" w:fill="auto"/>
            <w:vAlign w:val="center"/>
            <w:hideMark/>
          </w:tcPr>
          <w:p w14:paraId="26BCBC18"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3.7%</w:t>
            </w:r>
          </w:p>
        </w:tc>
        <w:tc>
          <w:tcPr>
            <w:tcW w:w="770" w:type="dxa"/>
            <w:tcBorders>
              <w:top w:val="nil"/>
              <w:left w:val="nil"/>
              <w:bottom w:val="single" w:sz="4" w:space="0" w:color="auto"/>
              <w:right w:val="single" w:sz="4" w:space="0" w:color="auto"/>
            </w:tcBorders>
            <w:shd w:val="clear" w:color="auto" w:fill="auto"/>
            <w:vAlign w:val="center"/>
            <w:hideMark/>
          </w:tcPr>
          <w:p w14:paraId="3188BA70"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1.8%</w:t>
            </w:r>
          </w:p>
        </w:tc>
        <w:tc>
          <w:tcPr>
            <w:tcW w:w="770" w:type="dxa"/>
            <w:tcBorders>
              <w:top w:val="nil"/>
              <w:left w:val="nil"/>
              <w:bottom w:val="single" w:sz="4" w:space="0" w:color="auto"/>
              <w:right w:val="single" w:sz="4" w:space="0" w:color="auto"/>
            </w:tcBorders>
            <w:shd w:val="clear" w:color="auto" w:fill="auto"/>
            <w:vAlign w:val="center"/>
            <w:hideMark/>
          </w:tcPr>
          <w:p w14:paraId="65652CBB"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2.9%</w:t>
            </w:r>
          </w:p>
        </w:tc>
        <w:tc>
          <w:tcPr>
            <w:tcW w:w="770" w:type="dxa"/>
            <w:tcBorders>
              <w:top w:val="nil"/>
              <w:left w:val="nil"/>
              <w:bottom w:val="single" w:sz="4" w:space="0" w:color="auto"/>
              <w:right w:val="single" w:sz="4" w:space="0" w:color="auto"/>
            </w:tcBorders>
            <w:shd w:val="clear" w:color="auto" w:fill="auto"/>
            <w:vAlign w:val="center"/>
            <w:hideMark/>
          </w:tcPr>
          <w:p w14:paraId="7571FE29"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2.7%</w:t>
            </w:r>
          </w:p>
        </w:tc>
        <w:tc>
          <w:tcPr>
            <w:tcW w:w="770" w:type="dxa"/>
            <w:tcBorders>
              <w:top w:val="nil"/>
              <w:left w:val="nil"/>
              <w:bottom w:val="single" w:sz="4" w:space="0" w:color="auto"/>
              <w:right w:val="single" w:sz="4" w:space="0" w:color="auto"/>
            </w:tcBorders>
            <w:shd w:val="clear" w:color="auto" w:fill="auto"/>
            <w:vAlign w:val="center"/>
            <w:hideMark/>
          </w:tcPr>
          <w:p w14:paraId="3130713E"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3.5%</w:t>
            </w:r>
          </w:p>
        </w:tc>
        <w:tc>
          <w:tcPr>
            <w:tcW w:w="770" w:type="dxa"/>
            <w:tcBorders>
              <w:top w:val="nil"/>
              <w:left w:val="nil"/>
              <w:bottom w:val="single" w:sz="4" w:space="0" w:color="auto"/>
              <w:right w:val="single" w:sz="4" w:space="0" w:color="auto"/>
            </w:tcBorders>
            <w:shd w:val="clear" w:color="auto" w:fill="auto"/>
            <w:vAlign w:val="center"/>
            <w:hideMark/>
          </w:tcPr>
          <w:p w14:paraId="2A75253A"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2.1%</w:t>
            </w:r>
          </w:p>
        </w:tc>
      </w:tr>
      <w:tr w:rsidR="00002D76" w:rsidRPr="008648E5" w14:paraId="14C228B3" w14:textId="77777777" w:rsidTr="001429C7">
        <w:trPr>
          <w:trHeight w:hRule="exact" w:val="478"/>
        </w:trPr>
        <w:tc>
          <w:tcPr>
            <w:tcW w:w="1094" w:type="dxa"/>
            <w:tcBorders>
              <w:top w:val="nil"/>
              <w:left w:val="single" w:sz="4" w:space="0" w:color="auto"/>
              <w:bottom w:val="single" w:sz="4" w:space="0" w:color="auto"/>
              <w:right w:val="single" w:sz="4" w:space="0" w:color="auto"/>
            </w:tcBorders>
            <w:shd w:val="clear" w:color="auto" w:fill="auto"/>
            <w:noWrap/>
            <w:vAlign w:val="center"/>
            <w:hideMark/>
          </w:tcPr>
          <w:p w14:paraId="0E1DF59C"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350000</w:t>
            </w:r>
          </w:p>
        </w:tc>
        <w:tc>
          <w:tcPr>
            <w:tcW w:w="2173" w:type="dxa"/>
            <w:tcBorders>
              <w:top w:val="nil"/>
              <w:left w:val="nil"/>
              <w:bottom w:val="single" w:sz="4" w:space="0" w:color="auto"/>
              <w:right w:val="single" w:sz="4" w:space="0" w:color="auto"/>
            </w:tcBorders>
            <w:shd w:val="clear" w:color="000000" w:fill="E6E7E8"/>
            <w:noWrap/>
            <w:vAlign w:val="center"/>
            <w:hideMark/>
          </w:tcPr>
          <w:p w14:paraId="2E6419A5" w14:textId="77777777" w:rsidR="00002D76" w:rsidRPr="008648E5" w:rsidRDefault="00002D76" w:rsidP="001429C7">
            <w:pPr>
              <w:spacing w:after="0" w:line="240" w:lineRule="auto"/>
              <w:rPr>
                <w:rFonts w:ascii="Calibri" w:hAnsi="Calibri"/>
                <w:color w:val="231F20"/>
                <w:sz w:val="16"/>
                <w:szCs w:val="16"/>
              </w:rPr>
            </w:pPr>
            <w:r w:rsidRPr="008648E5">
              <w:rPr>
                <w:rFonts w:ascii="Calibri" w:hAnsi="Calibri"/>
                <w:color w:val="231F20"/>
                <w:sz w:val="16"/>
                <w:szCs w:val="16"/>
              </w:rPr>
              <w:t>Food Preparation and Serving Related</w:t>
            </w:r>
          </w:p>
        </w:tc>
        <w:tc>
          <w:tcPr>
            <w:tcW w:w="764" w:type="dxa"/>
            <w:tcBorders>
              <w:top w:val="nil"/>
              <w:left w:val="nil"/>
              <w:bottom w:val="single" w:sz="4" w:space="0" w:color="auto"/>
              <w:right w:val="single" w:sz="4" w:space="0" w:color="auto"/>
            </w:tcBorders>
            <w:shd w:val="clear" w:color="000000" w:fill="E6E7E8"/>
            <w:vAlign w:val="center"/>
            <w:hideMark/>
          </w:tcPr>
          <w:p w14:paraId="51389CB7"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10.2%</w:t>
            </w:r>
          </w:p>
        </w:tc>
        <w:tc>
          <w:tcPr>
            <w:tcW w:w="769" w:type="dxa"/>
            <w:tcBorders>
              <w:top w:val="nil"/>
              <w:left w:val="nil"/>
              <w:bottom w:val="single" w:sz="4" w:space="0" w:color="auto"/>
              <w:right w:val="single" w:sz="4" w:space="0" w:color="auto"/>
            </w:tcBorders>
            <w:shd w:val="clear" w:color="000000" w:fill="E6E7E8"/>
            <w:vAlign w:val="center"/>
            <w:hideMark/>
          </w:tcPr>
          <w:p w14:paraId="03E10727"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8.5%</w:t>
            </w:r>
          </w:p>
        </w:tc>
        <w:tc>
          <w:tcPr>
            <w:tcW w:w="769" w:type="dxa"/>
            <w:tcBorders>
              <w:top w:val="nil"/>
              <w:left w:val="nil"/>
              <w:bottom w:val="single" w:sz="4" w:space="0" w:color="auto"/>
              <w:right w:val="single" w:sz="4" w:space="0" w:color="auto"/>
            </w:tcBorders>
            <w:shd w:val="clear" w:color="000000" w:fill="E6E7E8"/>
            <w:vAlign w:val="center"/>
            <w:hideMark/>
          </w:tcPr>
          <w:p w14:paraId="6ADC2182"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11.0%</w:t>
            </w:r>
          </w:p>
        </w:tc>
        <w:tc>
          <w:tcPr>
            <w:tcW w:w="769" w:type="dxa"/>
            <w:tcBorders>
              <w:top w:val="nil"/>
              <w:left w:val="nil"/>
              <w:bottom w:val="single" w:sz="4" w:space="0" w:color="auto"/>
              <w:right w:val="single" w:sz="4" w:space="0" w:color="auto"/>
            </w:tcBorders>
            <w:shd w:val="clear" w:color="000000" w:fill="E6E7E8"/>
            <w:vAlign w:val="center"/>
            <w:hideMark/>
          </w:tcPr>
          <w:p w14:paraId="19FE56DD"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8.8%</w:t>
            </w:r>
          </w:p>
        </w:tc>
        <w:tc>
          <w:tcPr>
            <w:tcW w:w="770" w:type="dxa"/>
            <w:tcBorders>
              <w:top w:val="nil"/>
              <w:left w:val="nil"/>
              <w:bottom w:val="single" w:sz="4" w:space="0" w:color="auto"/>
              <w:right w:val="single" w:sz="4" w:space="0" w:color="auto"/>
            </w:tcBorders>
            <w:shd w:val="clear" w:color="000000" w:fill="E6E7E8"/>
            <w:vAlign w:val="center"/>
            <w:hideMark/>
          </w:tcPr>
          <w:p w14:paraId="4D571FA5"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10.9%</w:t>
            </w:r>
          </w:p>
        </w:tc>
        <w:tc>
          <w:tcPr>
            <w:tcW w:w="770" w:type="dxa"/>
            <w:tcBorders>
              <w:top w:val="nil"/>
              <w:left w:val="nil"/>
              <w:bottom w:val="single" w:sz="4" w:space="0" w:color="auto"/>
              <w:right w:val="single" w:sz="4" w:space="0" w:color="auto"/>
            </w:tcBorders>
            <w:shd w:val="clear" w:color="000000" w:fill="E6E7E8"/>
            <w:vAlign w:val="center"/>
            <w:hideMark/>
          </w:tcPr>
          <w:p w14:paraId="2265E219"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10.6%</w:t>
            </w:r>
          </w:p>
        </w:tc>
        <w:tc>
          <w:tcPr>
            <w:tcW w:w="770" w:type="dxa"/>
            <w:tcBorders>
              <w:top w:val="nil"/>
              <w:left w:val="nil"/>
              <w:bottom w:val="single" w:sz="4" w:space="0" w:color="auto"/>
              <w:right w:val="single" w:sz="4" w:space="0" w:color="auto"/>
            </w:tcBorders>
            <w:shd w:val="clear" w:color="000000" w:fill="E6E7E8"/>
            <w:vAlign w:val="center"/>
            <w:hideMark/>
          </w:tcPr>
          <w:p w14:paraId="399F94CD"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9.0%</w:t>
            </w:r>
          </w:p>
        </w:tc>
        <w:tc>
          <w:tcPr>
            <w:tcW w:w="770" w:type="dxa"/>
            <w:tcBorders>
              <w:top w:val="nil"/>
              <w:left w:val="nil"/>
              <w:bottom w:val="single" w:sz="4" w:space="0" w:color="auto"/>
              <w:right w:val="single" w:sz="4" w:space="0" w:color="auto"/>
            </w:tcBorders>
            <w:shd w:val="clear" w:color="000000" w:fill="E6E7E8"/>
            <w:vAlign w:val="center"/>
            <w:hideMark/>
          </w:tcPr>
          <w:p w14:paraId="3A1C4D65"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9.3%</w:t>
            </w:r>
          </w:p>
        </w:tc>
        <w:tc>
          <w:tcPr>
            <w:tcW w:w="770" w:type="dxa"/>
            <w:tcBorders>
              <w:top w:val="nil"/>
              <w:left w:val="nil"/>
              <w:bottom w:val="single" w:sz="4" w:space="0" w:color="auto"/>
              <w:right w:val="single" w:sz="4" w:space="0" w:color="auto"/>
            </w:tcBorders>
            <w:shd w:val="clear" w:color="000000" w:fill="E6E7E8"/>
            <w:vAlign w:val="center"/>
            <w:hideMark/>
          </w:tcPr>
          <w:p w14:paraId="6AD1FC1F"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12.1%</w:t>
            </w:r>
          </w:p>
        </w:tc>
      </w:tr>
      <w:tr w:rsidR="00002D76" w:rsidRPr="008648E5" w14:paraId="00F1BDD0" w14:textId="77777777" w:rsidTr="001429C7">
        <w:trPr>
          <w:trHeight w:hRule="exact" w:val="442"/>
        </w:trPr>
        <w:tc>
          <w:tcPr>
            <w:tcW w:w="1094" w:type="dxa"/>
            <w:tcBorders>
              <w:top w:val="nil"/>
              <w:left w:val="single" w:sz="4" w:space="0" w:color="auto"/>
              <w:bottom w:val="single" w:sz="4" w:space="0" w:color="auto"/>
              <w:right w:val="single" w:sz="4" w:space="0" w:color="auto"/>
            </w:tcBorders>
            <w:shd w:val="clear" w:color="auto" w:fill="auto"/>
            <w:noWrap/>
            <w:vAlign w:val="center"/>
            <w:hideMark/>
          </w:tcPr>
          <w:p w14:paraId="77A0232E"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370000</w:t>
            </w:r>
          </w:p>
        </w:tc>
        <w:tc>
          <w:tcPr>
            <w:tcW w:w="2173" w:type="dxa"/>
            <w:tcBorders>
              <w:top w:val="nil"/>
              <w:left w:val="nil"/>
              <w:bottom w:val="single" w:sz="4" w:space="0" w:color="auto"/>
              <w:right w:val="single" w:sz="4" w:space="0" w:color="auto"/>
            </w:tcBorders>
            <w:shd w:val="clear" w:color="auto" w:fill="auto"/>
            <w:noWrap/>
            <w:vAlign w:val="center"/>
            <w:hideMark/>
          </w:tcPr>
          <w:p w14:paraId="557298D7" w14:textId="77777777" w:rsidR="00002D76" w:rsidRPr="008648E5" w:rsidRDefault="00002D76" w:rsidP="001429C7">
            <w:pPr>
              <w:spacing w:after="0" w:line="240" w:lineRule="auto"/>
              <w:rPr>
                <w:rFonts w:ascii="Calibri" w:hAnsi="Calibri"/>
                <w:color w:val="231F20"/>
                <w:sz w:val="16"/>
                <w:szCs w:val="16"/>
              </w:rPr>
            </w:pPr>
            <w:r w:rsidRPr="008648E5">
              <w:rPr>
                <w:rFonts w:ascii="Calibri" w:hAnsi="Calibri"/>
                <w:color w:val="231F20"/>
                <w:sz w:val="16"/>
                <w:szCs w:val="16"/>
              </w:rPr>
              <w:t>Building and Grounds Cleaning and Maintenance</w:t>
            </w:r>
          </w:p>
        </w:tc>
        <w:tc>
          <w:tcPr>
            <w:tcW w:w="764" w:type="dxa"/>
            <w:tcBorders>
              <w:top w:val="nil"/>
              <w:left w:val="nil"/>
              <w:bottom w:val="single" w:sz="4" w:space="0" w:color="auto"/>
              <w:right w:val="single" w:sz="4" w:space="0" w:color="auto"/>
            </w:tcBorders>
            <w:shd w:val="clear" w:color="auto" w:fill="auto"/>
            <w:vAlign w:val="center"/>
            <w:hideMark/>
          </w:tcPr>
          <w:p w14:paraId="285E5722"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4.2%</w:t>
            </w:r>
          </w:p>
        </w:tc>
        <w:tc>
          <w:tcPr>
            <w:tcW w:w="769" w:type="dxa"/>
            <w:tcBorders>
              <w:top w:val="nil"/>
              <w:left w:val="nil"/>
              <w:bottom w:val="single" w:sz="4" w:space="0" w:color="auto"/>
              <w:right w:val="single" w:sz="4" w:space="0" w:color="auto"/>
            </w:tcBorders>
            <w:shd w:val="clear" w:color="auto" w:fill="auto"/>
            <w:vAlign w:val="center"/>
            <w:hideMark/>
          </w:tcPr>
          <w:p w14:paraId="464183D3"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3.8%</w:t>
            </w:r>
          </w:p>
        </w:tc>
        <w:tc>
          <w:tcPr>
            <w:tcW w:w="769" w:type="dxa"/>
            <w:tcBorders>
              <w:top w:val="nil"/>
              <w:left w:val="nil"/>
              <w:bottom w:val="single" w:sz="4" w:space="0" w:color="auto"/>
              <w:right w:val="single" w:sz="4" w:space="0" w:color="auto"/>
            </w:tcBorders>
            <w:shd w:val="clear" w:color="auto" w:fill="auto"/>
            <w:vAlign w:val="center"/>
            <w:hideMark/>
          </w:tcPr>
          <w:p w14:paraId="5A6B12A3"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4.9%</w:t>
            </w:r>
          </w:p>
        </w:tc>
        <w:tc>
          <w:tcPr>
            <w:tcW w:w="769" w:type="dxa"/>
            <w:tcBorders>
              <w:top w:val="nil"/>
              <w:left w:val="nil"/>
              <w:bottom w:val="single" w:sz="4" w:space="0" w:color="auto"/>
              <w:right w:val="single" w:sz="4" w:space="0" w:color="auto"/>
            </w:tcBorders>
            <w:shd w:val="clear" w:color="auto" w:fill="auto"/>
            <w:vAlign w:val="center"/>
            <w:hideMark/>
          </w:tcPr>
          <w:p w14:paraId="58B6E103"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3.9%</w:t>
            </w:r>
          </w:p>
        </w:tc>
        <w:tc>
          <w:tcPr>
            <w:tcW w:w="770" w:type="dxa"/>
            <w:tcBorders>
              <w:top w:val="nil"/>
              <w:left w:val="nil"/>
              <w:bottom w:val="single" w:sz="4" w:space="0" w:color="auto"/>
              <w:right w:val="single" w:sz="4" w:space="0" w:color="auto"/>
            </w:tcBorders>
            <w:shd w:val="clear" w:color="auto" w:fill="auto"/>
            <w:vAlign w:val="center"/>
            <w:hideMark/>
          </w:tcPr>
          <w:p w14:paraId="7AE31C35"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6.5%</w:t>
            </w:r>
          </w:p>
        </w:tc>
        <w:tc>
          <w:tcPr>
            <w:tcW w:w="770" w:type="dxa"/>
            <w:tcBorders>
              <w:top w:val="nil"/>
              <w:left w:val="nil"/>
              <w:bottom w:val="single" w:sz="4" w:space="0" w:color="auto"/>
              <w:right w:val="single" w:sz="4" w:space="0" w:color="auto"/>
            </w:tcBorders>
            <w:shd w:val="clear" w:color="auto" w:fill="auto"/>
            <w:vAlign w:val="center"/>
            <w:hideMark/>
          </w:tcPr>
          <w:p w14:paraId="75BE2193"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5.3%</w:t>
            </w:r>
          </w:p>
        </w:tc>
        <w:tc>
          <w:tcPr>
            <w:tcW w:w="770" w:type="dxa"/>
            <w:tcBorders>
              <w:top w:val="nil"/>
              <w:left w:val="nil"/>
              <w:bottom w:val="single" w:sz="4" w:space="0" w:color="auto"/>
              <w:right w:val="single" w:sz="4" w:space="0" w:color="auto"/>
            </w:tcBorders>
            <w:shd w:val="clear" w:color="auto" w:fill="auto"/>
            <w:vAlign w:val="center"/>
            <w:hideMark/>
          </w:tcPr>
          <w:p w14:paraId="1A1AFC37"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3.7%</w:t>
            </w:r>
          </w:p>
        </w:tc>
        <w:tc>
          <w:tcPr>
            <w:tcW w:w="770" w:type="dxa"/>
            <w:tcBorders>
              <w:top w:val="nil"/>
              <w:left w:val="nil"/>
              <w:bottom w:val="single" w:sz="4" w:space="0" w:color="auto"/>
              <w:right w:val="single" w:sz="4" w:space="0" w:color="auto"/>
            </w:tcBorders>
            <w:shd w:val="clear" w:color="auto" w:fill="auto"/>
            <w:vAlign w:val="center"/>
            <w:hideMark/>
          </w:tcPr>
          <w:p w14:paraId="184A8E8B"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3.8%</w:t>
            </w:r>
          </w:p>
        </w:tc>
        <w:tc>
          <w:tcPr>
            <w:tcW w:w="770" w:type="dxa"/>
            <w:tcBorders>
              <w:top w:val="nil"/>
              <w:left w:val="nil"/>
              <w:bottom w:val="single" w:sz="4" w:space="0" w:color="auto"/>
              <w:right w:val="single" w:sz="4" w:space="0" w:color="auto"/>
            </w:tcBorders>
            <w:shd w:val="clear" w:color="auto" w:fill="auto"/>
            <w:vAlign w:val="center"/>
            <w:hideMark/>
          </w:tcPr>
          <w:p w14:paraId="7F4B25B0"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6.1%</w:t>
            </w:r>
          </w:p>
        </w:tc>
      </w:tr>
      <w:tr w:rsidR="00002D76" w:rsidRPr="008648E5" w14:paraId="703AEA79" w14:textId="77777777" w:rsidTr="001429C7">
        <w:trPr>
          <w:trHeight w:hRule="exact" w:val="302"/>
        </w:trPr>
        <w:tc>
          <w:tcPr>
            <w:tcW w:w="1094" w:type="dxa"/>
            <w:tcBorders>
              <w:top w:val="nil"/>
              <w:left w:val="single" w:sz="4" w:space="0" w:color="auto"/>
              <w:bottom w:val="single" w:sz="4" w:space="0" w:color="auto"/>
              <w:right w:val="single" w:sz="4" w:space="0" w:color="auto"/>
            </w:tcBorders>
            <w:shd w:val="clear" w:color="000000" w:fill="E6E7E8"/>
            <w:noWrap/>
            <w:vAlign w:val="center"/>
            <w:hideMark/>
          </w:tcPr>
          <w:p w14:paraId="550B8531"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390000</w:t>
            </w:r>
          </w:p>
        </w:tc>
        <w:tc>
          <w:tcPr>
            <w:tcW w:w="2173" w:type="dxa"/>
            <w:tcBorders>
              <w:top w:val="nil"/>
              <w:left w:val="nil"/>
              <w:bottom w:val="single" w:sz="4" w:space="0" w:color="auto"/>
              <w:right w:val="single" w:sz="4" w:space="0" w:color="auto"/>
            </w:tcBorders>
            <w:shd w:val="clear" w:color="000000" w:fill="E6E7E8"/>
            <w:noWrap/>
            <w:vAlign w:val="center"/>
            <w:hideMark/>
          </w:tcPr>
          <w:p w14:paraId="36017E39" w14:textId="77777777" w:rsidR="00002D76" w:rsidRPr="008648E5" w:rsidRDefault="00002D76" w:rsidP="001429C7">
            <w:pPr>
              <w:spacing w:after="0" w:line="240" w:lineRule="auto"/>
              <w:rPr>
                <w:rFonts w:ascii="Calibri" w:hAnsi="Calibri"/>
                <w:color w:val="231F20"/>
                <w:sz w:val="16"/>
                <w:szCs w:val="16"/>
              </w:rPr>
            </w:pPr>
            <w:r w:rsidRPr="008648E5">
              <w:rPr>
                <w:rFonts w:ascii="Calibri" w:hAnsi="Calibri"/>
                <w:color w:val="231F20"/>
                <w:sz w:val="16"/>
                <w:szCs w:val="16"/>
              </w:rPr>
              <w:t>Personal Care and Service</w:t>
            </w:r>
          </w:p>
        </w:tc>
        <w:tc>
          <w:tcPr>
            <w:tcW w:w="764" w:type="dxa"/>
            <w:tcBorders>
              <w:top w:val="nil"/>
              <w:left w:val="nil"/>
              <w:bottom w:val="single" w:sz="4" w:space="0" w:color="auto"/>
              <w:right w:val="single" w:sz="4" w:space="0" w:color="auto"/>
            </w:tcBorders>
            <w:shd w:val="clear" w:color="000000" w:fill="E6E7E8"/>
            <w:vAlign w:val="center"/>
            <w:hideMark/>
          </w:tcPr>
          <w:p w14:paraId="72541257"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3.3%</w:t>
            </w:r>
          </w:p>
        </w:tc>
        <w:tc>
          <w:tcPr>
            <w:tcW w:w="769" w:type="dxa"/>
            <w:tcBorders>
              <w:top w:val="nil"/>
              <w:left w:val="nil"/>
              <w:bottom w:val="single" w:sz="4" w:space="0" w:color="auto"/>
              <w:right w:val="single" w:sz="4" w:space="0" w:color="auto"/>
            </w:tcBorders>
            <w:shd w:val="clear" w:color="000000" w:fill="E6E7E8"/>
            <w:vAlign w:val="center"/>
            <w:hideMark/>
          </w:tcPr>
          <w:p w14:paraId="1E50984E"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2.6%</w:t>
            </w:r>
          </w:p>
        </w:tc>
        <w:tc>
          <w:tcPr>
            <w:tcW w:w="769" w:type="dxa"/>
            <w:tcBorders>
              <w:top w:val="nil"/>
              <w:left w:val="nil"/>
              <w:bottom w:val="single" w:sz="4" w:space="0" w:color="auto"/>
              <w:right w:val="single" w:sz="4" w:space="0" w:color="auto"/>
            </w:tcBorders>
            <w:shd w:val="clear" w:color="000000" w:fill="E6E7E8"/>
            <w:vAlign w:val="center"/>
            <w:hideMark/>
          </w:tcPr>
          <w:p w14:paraId="14EFB630"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3.6%</w:t>
            </w:r>
          </w:p>
        </w:tc>
        <w:tc>
          <w:tcPr>
            <w:tcW w:w="769" w:type="dxa"/>
            <w:tcBorders>
              <w:top w:val="nil"/>
              <w:left w:val="nil"/>
              <w:bottom w:val="single" w:sz="4" w:space="0" w:color="auto"/>
              <w:right w:val="single" w:sz="4" w:space="0" w:color="auto"/>
            </w:tcBorders>
            <w:shd w:val="clear" w:color="000000" w:fill="E6E7E8"/>
            <w:vAlign w:val="center"/>
            <w:hideMark/>
          </w:tcPr>
          <w:p w14:paraId="4B2D1EB6"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3.2%</w:t>
            </w:r>
          </w:p>
        </w:tc>
        <w:tc>
          <w:tcPr>
            <w:tcW w:w="770" w:type="dxa"/>
            <w:tcBorders>
              <w:top w:val="nil"/>
              <w:left w:val="nil"/>
              <w:bottom w:val="single" w:sz="4" w:space="0" w:color="auto"/>
              <w:right w:val="single" w:sz="4" w:space="0" w:color="auto"/>
            </w:tcBorders>
            <w:shd w:val="clear" w:color="000000" w:fill="E6E7E8"/>
            <w:vAlign w:val="center"/>
            <w:hideMark/>
          </w:tcPr>
          <w:p w14:paraId="1D000CB4"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3.6%</w:t>
            </w:r>
          </w:p>
        </w:tc>
        <w:tc>
          <w:tcPr>
            <w:tcW w:w="770" w:type="dxa"/>
            <w:tcBorders>
              <w:top w:val="nil"/>
              <w:left w:val="nil"/>
              <w:bottom w:val="single" w:sz="4" w:space="0" w:color="auto"/>
              <w:right w:val="single" w:sz="4" w:space="0" w:color="auto"/>
            </w:tcBorders>
            <w:shd w:val="clear" w:color="000000" w:fill="E6E7E8"/>
            <w:vAlign w:val="center"/>
            <w:hideMark/>
          </w:tcPr>
          <w:p w14:paraId="25F40E0A"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3.1%</w:t>
            </w:r>
          </w:p>
        </w:tc>
        <w:tc>
          <w:tcPr>
            <w:tcW w:w="770" w:type="dxa"/>
            <w:tcBorders>
              <w:top w:val="nil"/>
              <w:left w:val="nil"/>
              <w:bottom w:val="single" w:sz="4" w:space="0" w:color="auto"/>
              <w:right w:val="single" w:sz="4" w:space="0" w:color="auto"/>
            </w:tcBorders>
            <w:shd w:val="clear" w:color="000000" w:fill="E6E7E8"/>
            <w:vAlign w:val="center"/>
            <w:hideMark/>
          </w:tcPr>
          <w:p w14:paraId="1ECB5566"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3.4%</w:t>
            </w:r>
          </w:p>
        </w:tc>
        <w:tc>
          <w:tcPr>
            <w:tcW w:w="770" w:type="dxa"/>
            <w:tcBorders>
              <w:top w:val="nil"/>
              <w:left w:val="nil"/>
              <w:bottom w:val="single" w:sz="4" w:space="0" w:color="auto"/>
              <w:right w:val="single" w:sz="4" w:space="0" w:color="auto"/>
            </w:tcBorders>
            <w:shd w:val="clear" w:color="000000" w:fill="E6E7E8"/>
            <w:vAlign w:val="center"/>
            <w:hideMark/>
          </w:tcPr>
          <w:p w14:paraId="7997F3A2"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3.0%</w:t>
            </w:r>
          </w:p>
        </w:tc>
        <w:tc>
          <w:tcPr>
            <w:tcW w:w="770" w:type="dxa"/>
            <w:tcBorders>
              <w:top w:val="nil"/>
              <w:left w:val="nil"/>
              <w:bottom w:val="single" w:sz="4" w:space="0" w:color="auto"/>
              <w:right w:val="single" w:sz="4" w:space="0" w:color="auto"/>
            </w:tcBorders>
            <w:shd w:val="clear" w:color="000000" w:fill="E6E7E8"/>
            <w:vAlign w:val="center"/>
            <w:hideMark/>
          </w:tcPr>
          <w:p w14:paraId="556A75ED"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3.6%</w:t>
            </w:r>
          </w:p>
        </w:tc>
      </w:tr>
      <w:tr w:rsidR="00002D76" w:rsidRPr="008648E5" w14:paraId="35EA8DE3" w14:textId="77777777" w:rsidTr="001429C7">
        <w:trPr>
          <w:trHeight w:hRule="exact" w:val="302"/>
        </w:trPr>
        <w:tc>
          <w:tcPr>
            <w:tcW w:w="1094" w:type="dxa"/>
            <w:tcBorders>
              <w:top w:val="nil"/>
              <w:left w:val="single" w:sz="4" w:space="0" w:color="auto"/>
              <w:bottom w:val="single" w:sz="4" w:space="0" w:color="auto"/>
              <w:right w:val="single" w:sz="4" w:space="0" w:color="auto"/>
            </w:tcBorders>
            <w:shd w:val="clear" w:color="auto" w:fill="auto"/>
            <w:noWrap/>
            <w:vAlign w:val="center"/>
            <w:hideMark/>
          </w:tcPr>
          <w:p w14:paraId="1F421AF2"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410000</w:t>
            </w:r>
          </w:p>
        </w:tc>
        <w:tc>
          <w:tcPr>
            <w:tcW w:w="2173" w:type="dxa"/>
            <w:tcBorders>
              <w:top w:val="nil"/>
              <w:left w:val="nil"/>
              <w:bottom w:val="single" w:sz="4" w:space="0" w:color="auto"/>
              <w:right w:val="single" w:sz="4" w:space="0" w:color="auto"/>
            </w:tcBorders>
            <w:shd w:val="clear" w:color="auto" w:fill="auto"/>
            <w:noWrap/>
            <w:vAlign w:val="center"/>
            <w:hideMark/>
          </w:tcPr>
          <w:p w14:paraId="46107A79" w14:textId="77777777" w:rsidR="00002D76" w:rsidRPr="008648E5" w:rsidRDefault="00002D76" w:rsidP="001429C7">
            <w:pPr>
              <w:spacing w:after="0" w:line="240" w:lineRule="auto"/>
              <w:rPr>
                <w:rFonts w:ascii="Calibri" w:hAnsi="Calibri"/>
                <w:color w:val="231F20"/>
                <w:sz w:val="16"/>
                <w:szCs w:val="16"/>
              </w:rPr>
            </w:pPr>
            <w:r w:rsidRPr="008648E5">
              <w:rPr>
                <w:rFonts w:ascii="Calibri" w:hAnsi="Calibri"/>
                <w:color w:val="231F20"/>
                <w:sz w:val="16"/>
                <w:szCs w:val="16"/>
              </w:rPr>
              <w:t>Sales and Related</w:t>
            </w:r>
          </w:p>
        </w:tc>
        <w:tc>
          <w:tcPr>
            <w:tcW w:w="764" w:type="dxa"/>
            <w:tcBorders>
              <w:top w:val="nil"/>
              <w:left w:val="nil"/>
              <w:bottom w:val="single" w:sz="4" w:space="0" w:color="auto"/>
              <w:right w:val="single" w:sz="4" w:space="0" w:color="auto"/>
            </w:tcBorders>
            <w:shd w:val="clear" w:color="auto" w:fill="auto"/>
            <w:vAlign w:val="center"/>
            <w:hideMark/>
          </w:tcPr>
          <w:p w14:paraId="01375585"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12.8%</w:t>
            </w:r>
          </w:p>
        </w:tc>
        <w:tc>
          <w:tcPr>
            <w:tcW w:w="769" w:type="dxa"/>
            <w:tcBorders>
              <w:top w:val="nil"/>
              <w:left w:val="nil"/>
              <w:bottom w:val="single" w:sz="4" w:space="0" w:color="auto"/>
              <w:right w:val="single" w:sz="4" w:space="0" w:color="auto"/>
            </w:tcBorders>
            <w:shd w:val="clear" w:color="auto" w:fill="auto"/>
            <w:vAlign w:val="center"/>
            <w:hideMark/>
          </w:tcPr>
          <w:p w14:paraId="42D86F76"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12.7%</w:t>
            </w:r>
          </w:p>
        </w:tc>
        <w:tc>
          <w:tcPr>
            <w:tcW w:w="769" w:type="dxa"/>
            <w:tcBorders>
              <w:top w:val="nil"/>
              <w:left w:val="nil"/>
              <w:bottom w:val="single" w:sz="4" w:space="0" w:color="auto"/>
              <w:right w:val="single" w:sz="4" w:space="0" w:color="auto"/>
            </w:tcBorders>
            <w:shd w:val="clear" w:color="auto" w:fill="auto"/>
            <w:vAlign w:val="center"/>
            <w:hideMark/>
          </w:tcPr>
          <w:p w14:paraId="0438D8CA"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13.6%</w:t>
            </w:r>
          </w:p>
        </w:tc>
        <w:tc>
          <w:tcPr>
            <w:tcW w:w="769" w:type="dxa"/>
            <w:tcBorders>
              <w:top w:val="nil"/>
              <w:left w:val="nil"/>
              <w:bottom w:val="single" w:sz="4" w:space="0" w:color="auto"/>
              <w:right w:val="single" w:sz="4" w:space="0" w:color="auto"/>
            </w:tcBorders>
            <w:shd w:val="clear" w:color="auto" w:fill="auto"/>
            <w:vAlign w:val="center"/>
            <w:hideMark/>
          </w:tcPr>
          <w:p w14:paraId="13E170F0"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10.7%</w:t>
            </w:r>
          </w:p>
        </w:tc>
        <w:tc>
          <w:tcPr>
            <w:tcW w:w="770" w:type="dxa"/>
            <w:tcBorders>
              <w:top w:val="nil"/>
              <w:left w:val="nil"/>
              <w:bottom w:val="single" w:sz="4" w:space="0" w:color="auto"/>
              <w:right w:val="single" w:sz="4" w:space="0" w:color="auto"/>
            </w:tcBorders>
            <w:shd w:val="clear" w:color="auto" w:fill="auto"/>
            <w:vAlign w:val="center"/>
            <w:hideMark/>
          </w:tcPr>
          <w:p w14:paraId="4AB65977"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12.9%</w:t>
            </w:r>
          </w:p>
        </w:tc>
        <w:tc>
          <w:tcPr>
            <w:tcW w:w="770" w:type="dxa"/>
            <w:tcBorders>
              <w:top w:val="nil"/>
              <w:left w:val="nil"/>
              <w:bottom w:val="single" w:sz="4" w:space="0" w:color="auto"/>
              <w:right w:val="single" w:sz="4" w:space="0" w:color="auto"/>
            </w:tcBorders>
            <w:shd w:val="clear" w:color="auto" w:fill="auto"/>
            <w:vAlign w:val="center"/>
            <w:hideMark/>
          </w:tcPr>
          <w:p w14:paraId="5092FF80"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12.8%</w:t>
            </w:r>
          </w:p>
        </w:tc>
        <w:tc>
          <w:tcPr>
            <w:tcW w:w="770" w:type="dxa"/>
            <w:tcBorders>
              <w:top w:val="nil"/>
              <w:left w:val="nil"/>
              <w:bottom w:val="single" w:sz="4" w:space="0" w:color="auto"/>
              <w:right w:val="single" w:sz="4" w:space="0" w:color="auto"/>
            </w:tcBorders>
            <w:shd w:val="clear" w:color="auto" w:fill="auto"/>
            <w:vAlign w:val="center"/>
            <w:hideMark/>
          </w:tcPr>
          <w:p w14:paraId="3260A01A"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14.2%</w:t>
            </w:r>
          </w:p>
        </w:tc>
        <w:tc>
          <w:tcPr>
            <w:tcW w:w="770" w:type="dxa"/>
            <w:tcBorders>
              <w:top w:val="nil"/>
              <w:left w:val="nil"/>
              <w:bottom w:val="single" w:sz="4" w:space="0" w:color="auto"/>
              <w:right w:val="single" w:sz="4" w:space="0" w:color="auto"/>
            </w:tcBorders>
            <w:shd w:val="clear" w:color="auto" w:fill="auto"/>
            <w:vAlign w:val="center"/>
            <w:hideMark/>
          </w:tcPr>
          <w:p w14:paraId="3FEACDAD"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13.2%</w:t>
            </w:r>
          </w:p>
        </w:tc>
        <w:tc>
          <w:tcPr>
            <w:tcW w:w="770" w:type="dxa"/>
            <w:tcBorders>
              <w:top w:val="nil"/>
              <w:left w:val="nil"/>
              <w:bottom w:val="single" w:sz="4" w:space="0" w:color="auto"/>
              <w:right w:val="single" w:sz="4" w:space="0" w:color="auto"/>
            </w:tcBorders>
            <w:shd w:val="clear" w:color="auto" w:fill="auto"/>
            <w:vAlign w:val="center"/>
            <w:hideMark/>
          </w:tcPr>
          <w:p w14:paraId="2DE14396"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13.7%</w:t>
            </w:r>
          </w:p>
        </w:tc>
      </w:tr>
      <w:tr w:rsidR="00002D76" w:rsidRPr="008648E5" w14:paraId="4A69FC79" w14:textId="77777777" w:rsidTr="001429C7">
        <w:trPr>
          <w:trHeight w:hRule="exact" w:val="478"/>
        </w:trPr>
        <w:tc>
          <w:tcPr>
            <w:tcW w:w="1094" w:type="dxa"/>
            <w:tcBorders>
              <w:top w:val="nil"/>
              <w:left w:val="single" w:sz="4" w:space="0" w:color="auto"/>
              <w:bottom w:val="single" w:sz="4" w:space="0" w:color="auto"/>
              <w:right w:val="single" w:sz="4" w:space="0" w:color="auto"/>
            </w:tcBorders>
            <w:shd w:val="clear" w:color="000000" w:fill="E6E7E8"/>
            <w:noWrap/>
            <w:vAlign w:val="center"/>
            <w:hideMark/>
          </w:tcPr>
          <w:p w14:paraId="02520061"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430000</w:t>
            </w:r>
          </w:p>
        </w:tc>
        <w:tc>
          <w:tcPr>
            <w:tcW w:w="2173" w:type="dxa"/>
            <w:tcBorders>
              <w:top w:val="nil"/>
              <w:left w:val="nil"/>
              <w:bottom w:val="single" w:sz="4" w:space="0" w:color="auto"/>
              <w:right w:val="single" w:sz="4" w:space="0" w:color="auto"/>
            </w:tcBorders>
            <w:shd w:val="clear" w:color="000000" w:fill="E6E7E8"/>
            <w:noWrap/>
            <w:vAlign w:val="center"/>
            <w:hideMark/>
          </w:tcPr>
          <w:p w14:paraId="1EE54495" w14:textId="77777777" w:rsidR="00002D76" w:rsidRPr="008648E5" w:rsidRDefault="00002D76" w:rsidP="001429C7">
            <w:pPr>
              <w:spacing w:after="0" w:line="240" w:lineRule="auto"/>
              <w:rPr>
                <w:rFonts w:ascii="Calibri" w:hAnsi="Calibri"/>
                <w:color w:val="231F20"/>
                <w:sz w:val="16"/>
                <w:szCs w:val="16"/>
              </w:rPr>
            </w:pPr>
            <w:r w:rsidRPr="008648E5">
              <w:rPr>
                <w:rFonts w:ascii="Calibri" w:hAnsi="Calibri"/>
                <w:color w:val="231F20"/>
                <w:sz w:val="16"/>
                <w:szCs w:val="16"/>
              </w:rPr>
              <w:t>Office and Administrative Support</w:t>
            </w:r>
          </w:p>
        </w:tc>
        <w:tc>
          <w:tcPr>
            <w:tcW w:w="764" w:type="dxa"/>
            <w:tcBorders>
              <w:top w:val="nil"/>
              <w:left w:val="nil"/>
              <w:bottom w:val="single" w:sz="4" w:space="0" w:color="auto"/>
              <w:right w:val="single" w:sz="4" w:space="0" w:color="auto"/>
            </w:tcBorders>
            <w:shd w:val="clear" w:color="000000" w:fill="E6E7E8"/>
            <w:vAlign w:val="center"/>
            <w:hideMark/>
          </w:tcPr>
          <w:p w14:paraId="5C84DC93"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16.6%</w:t>
            </w:r>
          </w:p>
        </w:tc>
        <w:tc>
          <w:tcPr>
            <w:tcW w:w="769" w:type="dxa"/>
            <w:tcBorders>
              <w:top w:val="nil"/>
              <w:left w:val="nil"/>
              <w:bottom w:val="single" w:sz="4" w:space="0" w:color="auto"/>
              <w:right w:val="single" w:sz="4" w:space="0" w:color="auto"/>
            </w:tcBorders>
            <w:shd w:val="clear" w:color="000000" w:fill="E6E7E8"/>
            <w:vAlign w:val="center"/>
            <w:hideMark/>
          </w:tcPr>
          <w:p w14:paraId="700ED914"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16.1%</w:t>
            </w:r>
          </w:p>
        </w:tc>
        <w:tc>
          <w:tcPr>
            <w:tcW w:w="769" w:type="dxa"/>
            <w:tcBorders>
              <w:top w:val="nil"/>
              <w:left w:val="nil"/>
              <w:bottom w:val="single" w:sz="4" w:space="0" w:color="auto"/>
              <w:right w:val="single" w:sz="4" w:space="0" w:color="auto"/>
            </w:tcBorders>
            <w:shd w:val="clear" w:color="000000" w:fill="E6E7E8"/>
            <w:vAlign w:val="center"/>
            <w:hideMark/>
          </w:tcPr>
          <w:p w14:paraId="04AAC0C4"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15.4%</w:t>
            </w:r>
          </w:p>
        </w:tc>
        <w:tc>
          <w:tcPr>
            <w:tcW w:w="769" w:type="dxa"/>
            <w:tcBorders>
              <w:top w:val="nil"/>
              <w:left w:val="nil"/>
              <w:bottom w:val="single" w:sz="4" w:space="0" w:color="auto"/>
              <w:right w:val="single" w:sz="4" w:space="0" w:color="auto"/>
            </w:tcBorders>
            <w:shd w:val="clear" w:color="000000" w:fill="E6E7E8"/>
            <w:vAlign w:val="center"/>
            <w:hideMark/>
          </w:tcPr>
          <w:p w14:paraId="25B1D348"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15.6%</w:t>
            </w:r>
          </w:p>
        </w:tc>
        <w:tc>
          <w:tcPr>
            <w:tcW w:w="770" w:type="dxa"/>
            <w:tcBorders>
              <w:top w:val="nil"/>
              <w:left w:val="nil"/>
              <w:bottom w:val="single" w:sz="4" w:space="0" w:color="auto"/>
              <w:right w:val="single" w:sz="4" w:space="0" w:color="auto"/>
            </w:tcBorders>
            <w:shd w:val="clear" w:color="000000" w:fill="E6E7E8"/>
            <w:vAlign w:val="center"/>
            <w:hideMark/>
          </w:tcPr>
          <w:p w14:paraId="32032DD9"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14.6%</w:t>
            </w:r>
          </w:p>
        </w:tc>
        <w:tc>
          <w:tcPr>
            <w:tcW w:w="770" w:type="dxa"/>
            <w:tcBorders>
              <w:top w:val="nil"/>
              <w:left w:val="nil"/>
              <w:bottom w:val="single" w:sz="4" w:space="0" w:color="auto"/>
              <w:right w:val="single" w:sz="4" w:space="0" w:color="auto"/>
            </w:tcBorders>
            <w:shd w:val="clear" w:color="000000" w:fill="E6E7E8"/>
            <w:vAlign w:val="center"/>
            <w:hideMark/>
          </w:tcPr>
          <w:p w14:paraId="3F02BC9E"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16.0%</w:t>
            </w:r>
          </w:p>
        </w:tc>
        <w:tc>
          <w:tcPr>
            <w:tcW w:w="770" w:type="dxa"/>
            <w:tcBorders>
              <w:top w:val="nil"/>
              <w:left w:val="nil"/>
              <w:bottom w:val="single" w:sz="4" w:space="0" w:color="auto"/>
              <w:right w:val="single" w:sz="4" w:space="0" w:color="auto"/>
            </w:tcBorders>
            <w:shd w:val="clear" w:color="000000" w:fill="E6E7E8"/>
            <w:vAlign w:val="center"/>
            <w:hideMark/>
          </w:tcPr>
          <w:p w14:paraId="670ACA9E"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18.2%</w:t>
            </w:r>
          </w:p>
        </w:tc>
        <w:tc>
          <w:tcPr>
            <w:tcW w:w="770" w:type="dxa"/>
            <w:tcBorders>
              <w:top w:val="nil"/>
              <w:left w:val="nil"/>
              <w:bottom w:val="single" w:sz="4" w:space="0" w:color="auto"/>
              <w:right w:val="single" w:sz="4" w:space="0" w:color="auto"/>
            </w:tcBorders>
            <w:shd w:val="clear" w:color="000000" w:fill="E6E7E8"/>
            <w:vAlign w:val="center"/>
            <w:hideMark/>
          </w:tcPr>
          <w:p w14:paraId="240C0BB5"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17.5%</w:t>
            </w:r>
          </w:p>
        </w:tc>
        <w:tc>
          <w:tcPr>
            <w:tcW w:w="770" w:type="dxa"/>
            <w:tcBorders>
              <w:top w:val="nil"/>
              <w:left w:val="nil"/>
              <w:bottom w:val="single" w:sz="4" w:space="0" w:color="auto"/>
              <w:right w:val="single" w:sz="4" w:space="0" w:color="auto"/>
            </w:tcBorders>
            <w:shd w:val="clear" w:color="000000" w:fill="E6E7E8"/>
            <w:vAlign w:val="center"/>
            <w:hideMark/>
          </w:tcPr>
          <w:p w14:paraId="7D29DF57"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14.2%</w:t>
            </w:r>
          </w:p>
        </w:tc>
      </w:tr>
      <w:tr w:rsidR="00002D76" w:rsidRPr="008648E5" w14:paraId="12D278EE" w14:textId="77777777" w:rsidTr="001429C7">
        <w:trPr>
          <w:trHeight w:hRule="exact" w:val="302"/>
        </w:trPr>
        <w:tc>
          <w:tcPr>
            <w:tcW w:w="1094" w:type="dxa"/>
            <w:tcBorders>
              <w:top w:val="nil"/>
              <w:left w:val="single" w:sz="4" w:space="0" w:color="auto"/>
              <w:bottom w:val="single" w:sz="4" w:space="0" w:color="auto"/>
              <w:right w:val="single" w:sz="4" w:space="0" w:color="auto"/>
            </w:tcBorders>
            <w:shd w:val="clear" w:color="auto" w:fill="auto"/>
            <w:noWrap/>
            <w:vAlign w:val="center"/>
            <w:hideMark/>
          </w:tcPr>
          <w:p w14:paraId="5F078F23"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450000</w:t>
            </w:r>
          </w:p>
        </w:tc>
        <w:tc>
          <w:tcPr>
            <w:tcW w:w="2173" w:type="dxa"/>
            <w:tcBorders>
              <w:top w:val="nil"/>
              <w:left w:val="nil"/>
              <w:bottom w:val="single" w:sz="4" w:space="0" w:color="auto"/>
              <w:right w:val="single" w:sz="4" w:space="0" w:color="auto"/>
            </w:tcBorders>
            <w:shd w:val="clear" w:color="auto" w:fill="auto"/>
            <w:noWrap/>
            <w:vAlign w:val="center"/>
            <w:hideMark/>
          </w:tcPr>
          <w:p w14:paraId="400B221C" w14:textId="4AD60276" w:rsidR="00002D76" w:rsidRPr="008648E5" w:rsidRDefault="00002D76" w:rsidP="001429C7">
            <w:pPr>
              <w:spacing w:after="0" w:line="240" w:lineRule="auto"/>
              <w:rPr>
                <w:rFonts w:ascii="Calibri" w:hAnsi="Calibri"/>
                <w:color w:val="231F20"/>
                <w:sz w:val="16"/>
                <w:szCs w:val="16"/>
              </w:rPr>
            </w:pPr>
            <w:r w:rsidRPr="008648E5">
              <w:rPr>
                <w:rFonts w:ascii="Calibri" w:hAnsi="Calibri"/>
                <w:color w:val="231F20"/>
                <w:sz w:val="16"/>
                <w:szCs w:val="16"/>
              </w:rPr>
              <w:t>Farming, Fishing</w:t>
            </w:r>
            <w:r w:rsidR="00D5537E">
              <w:rPr>
                <w:rFonts w:ascii="Calibri" w:hAnsi="Calibri"/>
                <w:color w:val="231F20"/>
                <w:sz w:val="16"/>
                <w:szCs w:val="16"/>
              </w:rPr>
              <w:t xml:space="preserve"> and</w:t>
            </w:r>
            <w:r w:rsidRPr="008648E5">
              <w:rPr>
                <w:rFonts w:ascii="Calibri" w:hAnsi="Calibri"/>
                <w:color w:val="231F20"/>
                <w:sz w:val="16"/>
                <w:szCs w:val="16"/>
              </w:rPr>
              <w:t xml:space="preserve"> Forestry</w:t>
            </w:r>
          </w:p>
        </w:tc>
        <w:tc>
          <w:tcPr>
            <w:tcW w:w="764" w:type="dxa"/>
            <w:tcBorders>
              <w:top w:val="nil"/>
              <w:left w:val="nil"/>
              <w:bottom w:val="single" w:sz="4" w:space="0" w:color="auto"/>
              <w:right w:val="single" w:sz="4" w:space="0" w:color="auto"/>
            </w:tcBorders>
            <w:shd w:val="clear" w:color="auto" w:fill="auto"/>
            <w:vAlign w:val="center"/>
            <w:hideMark/>
          </w:tcPr>
          <w:p w14:paraId="06285156"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0.6%</w:t>
            </w:r>
          </w:p>
        </w:tc>
        <w:tc>
          <w:tcPr>
            <w:tcW w:w="769" w:type="dxa"/>
            <w:tcBorders>
              <w:top w:val="nil"/>
              <w:left w:val="nil"/>
              <w:bottom w:val="single" w:sz="4" w:space="0" w:color="auto"/>
              <w:right w:val="single" w:sz="4" w:space="0" w:color="auto"/>
            </w:tcBorders>
            <w:shd w:val="clear" w:color="auto" w:fill="auto"/>
            <w:vAlign w:val="center"/>
            <w:hideMark/>
          </w:tcPr>
          <w:p w14:paraId="53C4F674"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1.1%</w:t>
            </w:r>
          </w:p>
        </w:tc>
        <w:tc>
          <w:tcPr>
            <w:tcW w:w="769" w:type="dxa"/>
            <w:tcBorders>
              <w:top w:val="nil"/>
              <w:left w:val="nil"/>
              <w:bottom w:val="single" w:sz="4" w:space="0" w:color="auto"/>
              <w:right w:val="single" w:sz="4" w:space="0" w:color="auto"/>
            </w:tcBorders>
            <w:shd w:val="clear" w:color="auto" w:fill="auto"/>
            <w:vAlign w:val="center"/>
            <w:hideMark/>
          </w:tcPr>
          <w:p w14:paraId="462FB268"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1.2%</w:t>
            </w:r>
          </w:p>
        </w:tc>
        <w:tc>
          <w:tcPr>
            <w:tcW w:w="769" w:type="dxa"/>
            <w:tcBorders>
              <w:top w:val="nil"/>
              <w:left w:val="nil"/>
              <w:bottom w:val="single" w:sz="4" w:space="0" w:color="auto"/>
              <w:right w:val="single" w:sz="4" w:space="0" w:color="auto"/>
            </w:tcBorders>
            <w:shd w:val="clear" w:color="auto" w:fill="auto"/>
            <w:vAlign w:val="center"/>
            <w:hideMark/>
          </w:tcPr>
          <w:p w14:paraId="2EDC19B2"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6.8%</w:t>
            </w:r>
          </w:p>
        </w:tc>
        <w:tc>
          <w:tcPr>
            <w:tcW w:w="770" w:type="dxa"/>
            <w:tcBorders>
              <w:top w:val="nil"/>
              <w:left w:val="nil"/>
              <w:bottom w:val="single" w:sz="4" w:space="0" w:color="auto"/>
              <w:right w:val="single" w:sz="4" w:space="0" w:color="auto"/>
            </w:tcBorders>
            <w:shd w:val="clear" w:color="auto" w:fill="auto"/>
            <w:vAlign w:val="center"/>
            <w:hideMark/>
          </w:tcPr>
          <w:p w14:paraId="4CD29A4E"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1.1%</w:t>
            </w:r>
          </w:p>
        </w:tc>
        <w:tc>
          <w:tcPr>
            <w:tcW w:w="770" w:type="dxa"/>
            <w:tcBorders>
              <w:top w:val="nil"/>
              <w:left w:val="nil"/>
              <w:bottom w:val="single" w:sz="4" w:space="0" w:color="auto"/>
              <w:right w:val="single" w:sz="4" w:space="0" w:color="auto"/>
            </w:tcBorders>
            <w:shd w:val="clear" w:color="auto" w:fill="auto"/>
            <w:vAlign w:val="center"/>
            <w:hideMark/>
          </w:tcPr>
          <w:p w14:paraId="4676779B"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0.9%</w:t>
            </w:r>
          </w:p>
        </w:tc>
        <w:tc>
          <w:tcPr>
            <w:tcW w:w="770" w:type="dxa"/>
            <w:tcBorders>
              <w:top w:val="nil"/>
              <w:left w:val="nil"/>
              <w:bottom w:val="single" w:sz="4" w:space="0" w:color="auto"/>
              <w:right w:val="single" w:sz="4" w:space="0" w:color="auto"/>
            </w:tcBorders>
            <w:shd w:val="clear" w:color="auto" w:fill="auto"/>
            <w:vAlign w:val="center"/>
            <w:hideMark/>
          </w:tcPr>
          <w:p w14:paraId="49D743E8"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0.1%</w:t>
            </w:r>
          </w:p>
        </w:tc>
        <w:tc>
          <w:tcPr>
            <w:tcW w:w="770" w:type="dxa"/>
            <w:tcBorders>
              <w:top w:val="nil"/>
              <w:left w:val="nil"/>
              <w:bottom w:val="single" w:sz="4" w:space="0" w:color="auto"/>
              <w:right w:val="single" w:sz="4" w:space="0" w:color="auto"/>
            </w:tcBorders>
            <w:shd w:val="clear" w:color="auto" w:fill="auto"/>
            <w:vAlign w:val="center"/>
            <w:hideMark/>
          </w:tcPr>
          <w:p w14:paraId="625509E0"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0.5%</w:t>
            </w:r>
          </w:p>
        </w:tc>
        <w:tc>
          <w:tcPr>
            <w:tcW w:w="770" w:type="dxa"/>
            <w:tcBorders>
              <w:top w:val="nil"/>
              <w:left w:val="nil"/>
              <w:bottom w:val="single" w:sz="4" w:space="0" w:color="auto"/>
              <w:right w:val="single" w:sz="4" w:space="0" w:color="auto"/>
            </w:tcBorders>
            <w:shd w:val="clear" w:color="auto" w:fill="auto"/>
            <w:vAlign w:val="center"/>
            <w:hideMark/>
          </w:tcPr>
          <w:p w14:paraId="7368B41C"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1.3%</w:t>
            </w:r>
          </w:p>
        </w:tc>
      </w:tr>
      <w:tr w:rsidR="00002D76" w:rsidRPr="008648E5" w14:paraId="631BC6D8" w14:textId="77777777" w:rsidTr="001429C7">
        <w:trPr>
          <w:trHeight w:hRule="exact" w:val="302"/>
        </w:trPr>
        <w:tc>
          <w:tcPr>
            <w:tcW w:w="1094" w:type="dxa"/>
            <w:tcBorders>
              <w:top w:val="nil"/>
              <w:left w:val="single" w:sz="4" w:space="0" w:color="auto"/>
              <w:bottom w:val="single" w:sz="4" w:space="0" w:color="auto"/>
              <w:right w:val="single" w:sz="4" w:space="0" w:color="auto"/>
            </w:tcBorders>
            <w:shd w:val="clear" w:color="000000" w:fill="E6E7E8"/>
            <w:noWrap/>
            <w:vAlign w:val="center"/>
            <w:hideMark/>
          </w:tcPr>
          <w:p w14:paraId="2F760586"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470000</w:t>
            </w:r>
          </w:p>
        </w:tc>
        <w:tc>
          <w:tcPr>
            <w:tcW w:w="2173" w:type="dxa"/>
            <w:tcBorders>
              <w:top w:val="nil"/>
              <w:left w:val="nil"/>
              <w:bottom w:val="single" w:sz="4" w:space="0" w:color="auto"/>
              <w:right w:val="single" w:sz="4" w:space="0" w:color="auto"/>
            </w:tcBorders>
            <w:shd w:val="clear" w:color="000000" w:fill="E6E7E8"/>
            <w:noWrap/>
            <w:vAlign w:val="center"/>
            <w:hideMark/>
          </w:tcPr>
          <w:p w14:paraId="5DBEAEF5" w14:textId="77777777" w:rsidR="00002D76" w:rsidRPr="008648E5" w:rsidRDefault="00002D76" w:rsidP="001429C7">
            <w:pPr>
              <w:spacing w:after="0" w:line="240" w:lineRule="auto"/>
              <w:rPr>
                <w:rFonts w:ascii="Calibri" w:hAnsi="Calibri"/>
                <w:color w:val="231F20"/>
                <w:sz w:val="16"/>
                <w:szCs w:val="16"/>
              </w:rPr>
            </w:pPr>
            <w:r w:rsidRPr="008648E5">
              <w:rPr>
                <w:rFonts w:ascii="Calibri" w:hAnsi="Calibri"/>
                <w:color w:val="231F20"/>
                <w:sz w:val="16"/>
                <w:szCs w:val="16"/>
              </w:rPr>
              <w:t>Construction and Extraction</w:t>
            </w:r>
          </w:p>
        </w:tc>
        <w:tc>
          <w:tcPr>
            <w:tcW w:w="764" w:type="dxa"/>
            <w:tcBorders>
              <w:top w:val="nil"/>
              <w:left w:val="nil"/>
              <w:bottom w:val="single" w:sz="4" w:space="0" w:color="auto"/>
              <w:right w:val="single" w:sz="4" w:space="0" w:color="auto"/>
            </w:tcBorders>
            <w:shd w:val="clear" w:color="000000" w:fill="E6E7E8"/>
            <w:vAlign w:val="center"/>
            <w:hideMark/>
          </w:tcPr>
          <w:p w14:paraId="774ADF91"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5.0%</w:t>
            </w:r>
          </w:p>
        </w:tc>
        <w:tc>
          <w:tcPr>
            <w:tcW w:w="769" w:type="dxa"/>
            <w:tcBorders>
              <w:top w:val="nil"/>
              <w:left w:val="nil"/>
              <w:bottom w:val="single" w:sz="4" w:space="0" w:color="auto"/>
              <w:right w:val="single" w:sz="4" w:space="0" w:color="auto"/>
            </w:tcBorders>
            <w:shd w:val="clear" w:color="000000" w:fill="E6E7E8"/>
            <w:vAlign w:val="center"/>
            <w:hideMark/>
          </w:tcPr>
          <w:p w14:paraId="0E6FB377"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5.5%</w:t>
            </w:r>
          </w:p>
        </w:tc>
        <w:tc>
          <w:tcPr>
            <w:tcW w:w="769" w:type="dxa"/>
            <w:tcBorders>
              <w:top w:val="nil"/>
              <w:left w:val="nil"/>
              <w:bottom w:val="single" w:sz="4" w:space="0" w:color="auto"/>
              <w:right w:val="single" w:sz="4" w:space="0" w:color="auto"/>
            </w:tcBorders>
            <w:shd w:val="clear" w:color="000000" w:fill="E6E7E8"/>
            <w:vAlign w:val="center"/>
            <w:hideMark/>
          </w:tcPr>
          <w:p w14:paraId="6E44A462"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6.4%</w:t>
            </w:r>
          </w:p>
        </w:tc>
        <w:tc>
          <w:tcPr>
            <w:tcW w:w="769" w:type="dxa"/>
            <w:tcBorders>
              <w:top w:val="nil"/>
              <w:left w:val="nil"/>
              <w:bottom w:val="single" w:sz="4" w:space="0" w:color="auto"/>
              <w:right w:val="single" w:sz="4" w:space="0" w:color="auto"/>
            </w:tcBorders>
            <w:shd w:val="clear" w:color="000000" w:fill="E6E7E8"/>
            <w:vAlign w:val="center"/>
            <w:hideMark/>
          </w:tcPr>
          <w:p w14:paraId="5A6340BB"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4.9%</w:t>
            </w:r>
          </w:p>
        </w:tc>
        <w:tc>
          <w:tcPr>
            <w:tcW w:w="770" w:type="dxa"/>
            <w:tcBorders>
              <w:top w:val="nil"/>
              <w:left w:val="nil"/>
              <w:bottom w:val="single" w:sz="4" w:space="0" w:color="auto"/>
              <w:right w:val="single" w:sz="4" w:space="0" w:color="auto"/>
            </w:tcBorders>
            <w:shd w:val="clear" w:color="000000" w:fill="E6E7E8"/>
            <w:vAlign w:val="center"/>
            <w:hideMark/>
          </w:tcPr>
          <w:p w14:paraId="2CB72CF6"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6.3%</w:t>
            </w:r>
          </w:p>
        </w:tc>
        <w:tc>
          <w:tcPr>
            <w:tcW w:w="770" w:type="dxa"/>
            <w:tcBorders>
              <w:top w:val="nil"/>
              <w:left w:val="nil"/>
              <w:bottom w:val="single" w:sz="4" w:space="0" w:color="auto"/>
              <w:right w:val="single" w:sz="4" w:space="0" w:color="auto"/>
            </w:tcBorders>
            <w:shd w:val="clear" w:color="000000" w:fill="E6E7E8"/>
            <w:vAlign w:val="center"/>
            <w:hideMark/>
          </w:tcPr>
          <w:p w14:paraId="0A44A9D8"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5.1%</w:t>
            </w:r>
          </w:p>
        </w:tc>
        <w:tc>
          <w:tcPr>
            <w:tcW w:w="770" w:type="dxa"/>
            <w:tcBorders>
              <w:top w:val="nil"/>
              <w:left w:val="nil"/>
              <w:bottom w:val="single" w:sz="4" w:space="0" w:color="auto"/>
              <w:right w:val="single" w:sz="4" w:space="0" w:color="auto"/>
            </w:tcBorders>
            <w:shd w:val="clear" w:color="000000" w:fill="E6E7E8"/>
            <w:vAlign w:val="center"/>
            <w:hideMark/>
          </w:tcPr>
          <w:p w14:paraId="07347A18"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4.9%</w:t>
            </w:r>
          </w:p>
        </w:tc>
        <w:tc>
          <w:tcPr>
            <w:tcW w:w="770" w:type="dxa"/>
            <w:tcBorders>
              <w:top w:val="nil"/>
              <w:left w:val="nil"/>
              <w:bottom w:val="single" w:sz="4" w:space="0" w:color="auto"/>
              <w:right w:val="single" w:sz="4" w:space="0" w:color="auto"/>
            </w:tcBorders>
            <w:shd w:val="clear" w:color="000000" w:fill="E6E7E8"/>
            <w:vAlign w:val="center"/>
            <w:hideMark/>
          </w:tcPr>
          <w:p w14:paraId="033CAE29"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3.7%</w:t>
            </w:r>
          </w:p>
        </w:tc>
        <w:tc>
          <w:tcPr>
            <w:tcW w:w="770" w:type="dxa"/>
            <w:tcBorders>
              <w:top w:val="nil"/>
              <w:left w:val="nil"/>
              <w:bottom w:val="single" w:sz="4" w:space="0" w:color="auto"/>
              <w:right w:val="single" w:sz="4" w:space="0" w:color="auto"/>
            </w:tcBorders>
            <w:shd w:val="clear" w:color="000000" w:fill="E6E7E8"/>
            <w:vAlign w:val="center"/>
            <w:hideMark/>
          </w:tcPr>
          <w:p w14:paraId="49F1FA4A"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8.5%</w:t>
            </w:r>
          </w:p>
        </w:tc>
      </w:tr>
      <w:tr w:rsidR="00002D76" w:rsidRPr="008648E5" w14:paraId="3733D801" w14:textId="77777777" w:rsidTr="001429C7">
        <w:trPr>
          <w:trHeight w:hRule="exact" w:val="478"/>
        </w:trPr>
        <w:tc>
          <w:tcPr>
            <w:tcW w:w="1094" w:type="dxa"/>
            <w:tcBorders>
              <w:top w:val="nil"/>
              <w:left w:val="single" w:sz="4" w:space="0" w:color="auto"/>
              <w:bottom w:val="single" w:sz="4" w:space="0" w:color="auto"/>
              <w:right w:val="single" w:sz="4" w:space="0" w:color="auto"/>
            </w:tcBorders>
            <w:shd w:val="clear" w:color="auto" w:fill="auto"/>
            <w:noWrap/>
            <w:vAlign w:val="center"/>
            <w:hideMark/>
          </w:tcPr>
          <w:p w14:paraId="3BA834C5"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490000</w:t>
            </w:r>
          </w:p>
        </w:tc>
        <w:tc>
          <w:tcPr>
            <w:tcW w:w="2173" w:type="dxa"/>
            <w:tcBorders>
              <w:top w:val="nil"/>
              <w:left w:val="nil"/>
              <w:bottom w:val="single" w:sz="4" w:space="0" w:color="auto"/>
              <w:right w:val="single" w:sz="4" w:space="0" w:color="auto"/>
            </w:tcBorders>
            <w:shd w:val="clear" w:color="auto" w:fill="auto"/>
            <w:noWrap/>
            <w:vAlign w:val="center"/>
            <w:hideMark/>
          </w:tcPr>
          <w:p w14:paraId="3EFD3D69" w14:textId="0F2955BE" w:rsidR="00002D76" w:rsidRPr="008648E5" w:rsidRDefault="00002D76" w:rsidP="001429C7">
            <w:pPr>
              <w:spacing w:after="0" w:line="240" w:lineRule="auto"/>
              <w:rPr>
                <w:rFonts w:ascii="Calibri" w:hAnsi="Calibri"/>
                <w:color w:val="231F20"/>
                <w:sz w:val="16"/>
                <w:szCs w:val="16"/>
              </w:rPr>
            </w:pPr>
            <w:r w:rsidRPr="008648E5">
              <w:rPr>
                <w:rFonts w:ascii="Calibri" w:hAnsi="Calibri"/>
                <w:color w:val="231F20"/>
                <w:sz w:val="16"/>
                <w:szCs w:val="16"/>
              </w:rPr>
              <w:t>Installation, Maintenance</w:t>
            </w:r>
            <w:r w:rsidR="00D5537E">
              <w:rPr>
                <w:rFonts w:ascii="Calibri" w:hAnsi="Calibri"/>
                <w:color w:val="231F20"/>
                <w:sz w:val="16"/>
                <w:szCs w:val="16"/>
              </w:rPr>
              <w:t xml:space="preserve"> and</w:t>
            </w:r>
            <w:r w:rsidRPr="008648E5">
              <w:rPr>
                <w:rFonts w:ascii="Calibri" w:hAnsi="Calibri"/>
                <w:color w:val="231F20"/>
                <w:sz w:val="16"/>
                <w:szCs w:val="16"/>
              </w:rPr>
              <w:t xml:space="preserve"> Repair</w:t>
            </w:r>
          </w:p>
        </w:tc>
        <w:tc>
          <w:tcPr>
            <w:tcW w:w="764" w:type="dxa"/>
            <w:tcBorders>
              <w:top w:val="nil"/>
              <w:left w:val="nil"/>
              <w:bottom w:val="single" w:sz="4" w:space="0" w:color="auto"/>
              <w:right w:val="single" w:sz="4" w:space="0" w:color="auto"/>
            </w:tcBorders>
            <w:shd w:val="clear" w:color="auto" w:fill="auto"/>
            <w:vAlign w:val="center"/>
            <w:hideMark/>
          </w:tcPr>
          <w:p w14:paraId="1429C8CD"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4.2%</w:t>
            </w:r>
          </w:p>
        </w:tc>
        <w:tc>
          <w:tcPr>
            <w:tcW w:w="769" w:type="dxa"/>
            <w:tcBorders>
              <w:top w:val="nil"/>
              <w:left w:val="nil"/>
              <w:bottom w:val="single" w:sz="4" w:space="0" w:color="auto"/>
              <w:right w:val="single" w:sz="4" w:space="0" w:color="auto"/>
            </w:tcBorders>
            <w:shd w:val="clear" w:color="auto" w:fill="auto"/>
            <w:vAlign w:val="center"/>
            <w:hideMark/>
          </w:tcPr>
          <w:p w14:paraId="22092A47"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5.1%</w:t>
            </w:r>
          </w:p>
        </w:tc>
        <w:tc>
          <w:tcPr>
            <w:tcW w:w="769" w:type="dxa"/>
            <w:tcBorders>
              <w:top w:val="nil"/>
              <w:left w:val="nil"/>
              <w:bottom w:val="single" w:sz="4" w:space="0" w:color="auto"/>
              <w:right w:val="single" w:sz="4" w:space="0" w:color="auto"/>
            </w:tcBorders>
            <w:shd w:val="clear" w:color="auto" w:fill="auto"/>
            <w:vAlign w:val="center"/>
            <w:hideMark/>
          </w:tcPr>
          <w:p w14:paraId="54A7BC69"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4.4%</w:t>
            </w:r>
          </w:p>
        </w:tc>
        <w:tc>
          <w:tcPr>
            <w:tcW w:w="769" w:type="dxa"/>
            <w:tcBorders>
              <w:top w:val="nil"/>
              <w:left w:val="nil"/>
              <w:bottom w:val="single" w:sz="4" w:space="0" w:color="auto"/>
              <w:right w:val="single" w:sz="4" w:space="0" w:color="auto"/>
            </w:tcBorders>
            <w:shd w:val="clear" w:color="auto" w:fill="auto"/>
            <w:vAlign w:val="center"/>
            <w:hideMark/>
          </w:tcPr>
          <w:p w14:paraId="41F3E116"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3.8%</w:t>
            </w:r>
          </w:p>
        </w:tc>
        <w:tc>
          <w:tcPr>
            <w:tcW w:w="770" w:type="dxa"/>
            <w:tcBorders>
              <w:top w:val="nil"/>
              <w:left w:val="nil"/>
              <w:bottom w:val="single" w:sz="4" w:space="0" w:color="auto"/>
              <w:right w:val="single" w:sz="4" w:space="0" w:color="auto"/>
            </w:tcBorders>
            <w:shd w:val="clear" w:color="auto" w:fill="auto"/>
            <w:vAlign w:val="center"/>
            <w:hideMark/>
          </w:tcPr>
          <w:p w14:paraId="440ED3C5"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4.7%</w:t>
            </w:r>
          </w:p>
        </w:tc>
        <w:tc>
          <w:tcPr>
            <w:tcW w:w="770" w:type="dxa"/>
            <w:tcBorders>
              <w:top w:val="nil"/>
              <w:left w:val="nil"/>
              <w:bottom w:val="single" w:sz="4" w:space="0" w:color="auto"/>
              <w:right w:val="single" w:sz="4" w:space="0" w:color="auto"/>
            </w:tcBorders>
            <w:shd w:val="clear" w:color="auto" w:fill="auto"/>
            <w:vAlign w:val="center"/>
            <w:hideMark/>
          </w:tcPr>
          <w:p w14:paraId="07DF110D"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4.1%</w:t>
            </w:r>
          </w:p>
        </w:tc>
        <w:tc>
          <w:tcPr>
            <w:tcW w:w="770" w:type="dxa"/>
            <w:tcBorders>
              <w:top w:val="nil"/>
              <w:left w:val="nil"/>
              <w:bottom w:val="single" w:sz="4" w:space="0" w:color="auto"/>
              <w:right w:val="single" w:sz="4" w:space="0" w:color="auto"/>
            </w:tcBorders>
            <w:shd w:val="clear" w:color="auto" w:fill="auto"/>
            <w:vAlign w:val="center"/>
            <w:hideMark/>
          </w:tcPr>
          <w:p w14:paraId="139DC318"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4.5%</w:t>
            </w:r>
          </w:p>
        </w:tc>
        <w:tc>
          <w:tcPr>
            <w:tcW w:w="770" w:type="dxa"/>
            <w:tcBorders>
              <w:top w:val="nil"/>
              <w:left w:val="nil"/>
              <w:bottom w:val="single" w:sz="4" w:space="0" w:color="auto"/>
              <w:right w:val="single" w:sz="4" w:space="0" w:color="auto"/>
            </w:tcBorders>
            <w:shd w:val="clear" w:color="auto" w:fill="auto"/>
            <w:vAlign w:val="center"/>
            <w:hideMark/>
          </w:tcPr>
          <w:p w14:paraId="26521902"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3.8%</w:t>
            </w:r>
          </w:p>
        </w:tc>
        <w:tc>
          <w:tcPr>
            <w:tcW w:w="770" w:type="dxa"/>
            <w:tcBorders>
              <w:top w:val="nil"/>
              <w:left w:val="nil"/>
              <w:bottom w:val="single" w:sz="4" w:space="0" w:color="auto"/>
              <w:right w:val="single" w:sz="4" w:space="0" w:color="auto"/>
            </w:tcBorders>
            <w:shd w:val="clear" w:color="auto" w:fill="auto"/>
            <w:vAlign w:val="center"/>
            <w:hideMark/>
          </w:tcPr>
          <w:p w14:paraId="3696186D"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4.4%</w:t>
            </w:r>
          </w:p>
        </w:tc>
      </w:tr>
      <w:tr w:rsidR="00002D76" w:rsidRPr="008648E5" w14:paraId="1C887564" w14:textId="77777777" w:rsidTr="001429C7">
        <w:trPr>
          <w:trHeight w:hRule="exact" w:val="302"/>
        </w:trPr>
        <w:tc>
          <w:tcPr>
            <w:tcW w:w="1094" w:type="dxa"/>
            <w:tcBorders>
              <w:top w:val="nil"/>
              <w:left w:val="single" w:sz="4" w:space="0" w:color="auto"/>
              <w:bottom w:val="single" w:sz="4" w:space="0" w:color="auto"/>
              <w:right w:val="single" w:sz="4" w:space="0" w:color="auto"/>
            </w:tcBorders>
            <w:shd w:val="clear" w:color="000000" w:fill="E6E7E8"/>
            <w:noWrap/>
            <w:vAlign w:val="center"/>
            <w:hideMark/>
          </w:tcPr>
          <w:p w14:paraId="5AF26000"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510000</w:t>
            </w:r>
          </w:p>
        </w:tc>
        <w:tc>
          <w:tcPr>
            <w:tcW w:w="2173" w:type="dxa"/>
            <w:tcBorders>
              <w:top w:val="nil"/>
              <w:left w:val="nil"/>
              <w:bottom w:val="single" w:sz="4" w:space="0" w:color="auto"/>
              <w:right w:val="single" w:sz="4" w:space="0" w:color="auto"/>
            </w:tcBorders>
            <w:shd w:val="clear" w:color="000000" w:fill="E6E7E8"/>
            <w:noWrap/>
            <w:vAlign w:val="center"/>
            <w:hideMark/>
          </w:tcPr>
          <w:p w14:paraId="1F59BE56" w14:textId="77777777" w:rsidR="00002D76" w:rsidRPr="008648E5" w:rsidRDefault="00002D76" w:rsidP="001429C7">
            <w:pPr>
              <w:spacing w:after="0" w:line="240" w:lineRule="auto"/>
              <w:rPr>
                <w:rFonts w:ascii="Calibri" w:hAnsi="Calibri"/>
                <w:color w:val="231F20"/>
                <w:sz w:val="16"/>
                <w:szCs w:val="16"/>
              </w:rPr>
            </w:pPr>
            <w:r w:rsidRPr="008648E5">
              <w:rPr>
                <w:rFonts w:ascii="Calibri" w:hAnsi="Calibri"/>
                <w:color w:val="231F20"/>
                <w:sz w:val="16"/>
                <w:szCs w:val="16"/>
              </w:rPr>
              <w:t>Production</w:t>
            </w:r>
          </w:p>
        </w:tc>
        <w:tc>
          <w:tcPr>
            <w:tcW w:w="764" w:type="dxa"/>
            <w:tcBorders>
              <w:top w:val="nil"/>
              <w:left w:val="nil"/>
              <w:bottom w:val="single" w:sz="4" w:space="0" w:color="auto"/>
              <w:right w:val="single" w:sz="4" w:space="0" w:color="auto"/>
            </w:tcBorders>
            <w:shd w:val="clear" w:color="000000" w:fill="E6E7E8"/>
            <w:vAlign w:val="center"/>
            <w:hideMark/>
          </w:tcPr>
          <w:p w14:paraId="50E7B704"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3.5%</w:t>
            </w:r>
          </w:p>
        </w:tc>
        <w:tc>
          <w:tcPr>
            <w:tcW w:w="769" w:type="dxa"/>
            <w:tcBorders>
              <w:top w:val="nil"/>
              <w:left w:val="nil"/>
              <w:bottom w:val="single" w:sz="4" w:space="0" w:color="auto"/>
              <w:right w:val="single" w:sz="4" w:space="0" w:color="auto"/>
            </w:tcBorders>
            <w:shd w:val="clear" w:color="000000" w:fill="E6E7E8"/>
            <w:vAlign w:val="center"/>
            <w:hideMark/>
          </w:tcPr>
          <w:p w14:paraId="6465031F"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6.3%</w:t>
            </w:r>
          </w:p>
        </w:tc>
        <w:tc>
          <w:tcPr>
            <w:tcW w:w="769" w:type="dxa"/>
            <w:tcBorders>
              <w:top w:val="nil"/>
              <w:left w:val="nil"/>
              <w:bottom w:val="single" w:sz="4" w:space="0" w:color="auto"/>
              <w:right w:val="single" w:sz="4" w:space="0" w:color="auto"/>
            </w:tcBorders>
            <w:shd w:val="clear" w:color="000000" w:fill="E6E7E8"/>
            <w:vAlign w:val="center"/>
            <w:hideMark/>
          </w:tcPr>
          <w:p w14:paraId="1235A0F8"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4.3%</w:t>
            </w:r>
          </w:p>
        </w:tc>
        <w:tc>
          <w:tcPr>
            <w:tcW w:w="769" w:type="dxa"/>
            <w:tcBorders>
              <w:top w:val="nil"/>
              <w:left w:val="nil"/>
              <w:bottom w:val="single" w:sz="4" w:space="0" w:color="auto"/>
              <w:right w:val="single" w:sz="4" w:space="0" w:color="auto"/>
            </w:tcBorders>
            <w:shd w:val="clear" w:color="000000" w:fill="E6E7E8"/>
            <w:vAlign w:val="center"/>
            <w:hideMark/>
          </w:tcPr>
          <w:p w14:paraId="2E6D025E"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3.3%</w:t>
            </w:r>
          </w:p>
        </w:tc>
        <w:tc>
          <w:tcPr>
            <w:tcW w:w="770" w:type="dxa"/>
            <w:tcBorders>
              <w:top w:val="nil"/>
              <w:left w:val="nil"/>
              <w:bottom w:val="single" w:sz="4" w:space="0" w:color="auto"/>
              <w:right w:val="single" w:sz="4" w:space="0" w:color="auto"/>
            </w:tcBorders>
            <w:shd w:val="clear" w:color="000000" w:fill="E6E7E8"/>
            <w:vAlign w:val="center"/>
            <w:hideMark/>
          </w:tcPr>
          <w:p w14:paraId="27009370"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3.9%</w:t>
            </w:r>
          </w:p>
        </w:tc>
        <w:tc>
          <w:tcPr>
            <w:tcW w:w="770" w:type="dxa"/>
            <w:tcBorders>
              <w:top w:val="nil"/>
              <w:left w:val="nil"/>
              <w:bottom w:val="single" w:sz="4" w:space="0" w:color="auto"/>
              <w:right w:val="single" w:sz="4" w:space="0" w:color="auto"/>
            </w:tcBorders>
            <w:shd w:val="clear" w:color="000000" w:fill="E6E7E8"/>
            <w:vAlign w:val="center"/>
            <w:hideMark/>
          </w:tcPr>
          <w:p w14:paraId="5C24E782"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2.9%</w:t>
            </w:r>
          </w:p>
        </w:tc>
        <w:tc>
          <w:tcPr>
            <w:tcW w:w="770" w:type="dxa"/>
            <w:tcBorders>
              <w:top w:val="nil"/>
              <w:left w:val="nil"/>
              <w:bottom w:val="single" w:sz="4" w:space="0" w:color="auto"/>
              <w:right w:val="single" w:sz="4" w:space="0" w:color="auto"/>
            </w:tcBorders>
            <w:shd w:val="clear" w:color="000000" w:fill="E6E7E8"/>
            <w:vAlign w:val="center"/>
            <w:hideMark/>
          </w:tcPr>
          <w:p w14:paraId="0ED24C6F"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3.0%</w:t>
            </w:r>
          </w:p>
        </w:tc>
        <w:tc>
          <w:tcPr>
            <w:tcW w:w="770" w:type="dxa"/>
            <w:tcBorders>
              <w:top w:val="nil"/>
              <w:left w:val="nil"/>
              <w:bottom w:val="single" w:sz="4" w:space="0" w:color="auto"/>
              <w:right w:val="single" w:sz="4" w:space="0" w:color="auto"/>
            </w:tcBorders>
            <w:shd w:val="clear" w:color="000000" w:fill="E6E7E8"/>
            <w:vAlign w:val="center"/>
            <w:hideMark/>
          </w:tcPr>
          <w:p w14:paraId="34CAE883"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3.5%</w:t>
            </w:r>
          </w:p>
        </w:tc>
        <w:tc>
          <w:tcPr>
            <w:tcW w:w="770" w:type="dxa"/>
            <w:tcBorders>
              <w:top w:val="nil"/>
              <w:left w:val="nil"/>
              <w:bottom w:val="single" w:sz="4" w:space="0" w:color="auto"/>
              <w:right w:val="single" w:sz="4" w:space="0" w:color="auto"/>
            </w:tcBorders>
            <w:shd w:val="clear" w:color="000000" w:fill="E6E7E8"/>
            <w:vAlign w:val="center"/>
            <w:hideMark/>
          </w:tcPr>
          <w:p w14:paraId="6746A72E"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2.7%</w:t>
            </w:r>
          </w:p>
        </w:tc>
      </w:tr>
      <w:tr w:rsidR="00002D76" w:rsidRPr="008648E5" w14:paraId="6F1CA210" w14:textId="77777777" w:rsidTr="001429C7">
        <w:trPr>
          <w:trHeight w:hRule="exact" w:val="505"/>
        </w:trPr>
        <w:tc>
          <w:tcPr>
            <w:tcW w:w="1094" w:type="dxa"/>
            <w:tcBorders>
              <w:top w:val="nil"/>
              <w:left w:val="single" w:sz="4" w:space="0" w:color="auto"/>
              <w:bottom w:val="single" w:sz="4" w:space="0" w:color="auto"/>
              <w:right w:val="single" w:sz="4" w:space="0" w:color="auto"/>
            </w:tcBorders>
            <w:shd w:val="clear" w:color="auto" w:fill="auto"/>
            <w:noWrap/>
            <w:vAlign w:val="center"/>
            <w:hideMark/>
          </w:tcPr>
          <w:p w14:paraId="3A0C4376"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530000</w:t>
            </w:r>
          </w:p>
        </w:tc>
        <w:tc>
          <w:tcPr>
            <w:tcW w:w="2173" w:type="dxa"/>
            <w:tcBorders>
              <w:top w:val="nil"/>
              <w:left w:val="nil"/>
              <w:bottom w:val="single" w:sz="4" w:space="0" w:color="auto"/>
              <w:right w:val="single" w:sz="4" w:space="0" w:color="auto"/>
            </w:tcBorders>
            <w:shd w:val="clear" w:color="auto" w:fill="auto"/>
            <w:noWrap/>
            <w:vAlign w:val="center"/>
            <w:hideMark/>
          </w:tcPr>
          <w:p w14:paraId="0384E04F" w14:textId="77777777" w:rsidR="00002D76" w:rsidRPr="008648E5" w:rsidRDefault="00002D76" w:rsidP="001429C7">
            <w:pPr>
              <w:spacing w:after="0" w:line="240" w:lineRule="auto"/>
              <w:rPr>
                <w:rFonts w:ascii="Calibri" w:hAnsi="Calibri"/>
                <w:color w:val="231F20"/>
                <w:sz w:val="16"/>
                <w:szCs w:val="16"/>
              </w:rPr>
            </w:pPr>
            <w:r w:rsidRPr="008648E5">
              <w:rPr>
                <w:rFonts w:ascii="Calibri" w:hAnsi="Calibri"/>
                <w:color w:val="231F20"/>
                <w:sz w:val="16"/>
                <w:szCs w:val="16"/>
              </w:rPr>
              <w:t>Transportation and Material Moving</w:t>
            </w:r>
          </w:p>
        </w:tc>
        <w:tc>
          <w:tcPr>
            <w:tcW w:w="764" w:type="dxa"/>
            <w:tcBorders>
              <w:top w:val="nil"/>
              <w:left w:val="nil"/>
              <w:bottom w:val="single" w:sz="4" w:space="0" w:color="auto"/>
              <w:right w:val="single" w:sz="4" w:space="0" w:color="auto"/>
            </w:tcBorders>
            <w:shd w:val="clear" w:color="auto" w:fill="auto"/>
            <w:vAlign w:val="center"/>
            <w:hideMark/>
          </w:tcPr>
          <w:p w14:paraId="1B9DF365"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5.8%</w:t>
            </w:r>
          </w:p>
        </w:tc>
        <w:tc>
          <w:tcPr>
            <w:tcW w:w="769" w:type="dxa"/>
            <w:tcBorders>
              <w:top w:val="nil"/>
              <w:left w:val="nil"/>
              <w:bottom w:val="single" w:sz="4" w:space="0" w:color="auto"/>
              <w:right w:val="single" w:sz="4" w:space="0" w:color="auto"/>
            </w:tcBorders>
            <w:shd w:val="clear" w:color="auto" w:fill="auto"/>
            <w:vAlign w:val="center"/>
            <w:hideMark/>
          </w:tcPr>
          <w:p w14:paraId="158F221E"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9.8%</w:t>
            </w:r>
          </w:p>
        </w:tc>
        <w:tc>
          <w:tcPr>
            <w:tcW w:w="769" w:type="dxa"/>
            <w:tcBorders>
              <w:top w:val="nil"/>
              <w:left w:val="nil"/>
              <w:bottom w:val="single" w:sz="4" w:space="0" w:color="auto"/>
              <w:right w:val="single" w:sz="4" w:space="0" w:color="auto"/>
            </w:tcBorders>
            <w:shd w:val="clear" w:color="auto" w:fill="auto"/>
            <w:vAlign w:val="center"/>
            <w:hideMark/>
          </w:tcPr>
          <w:p w14:paraId="2F1C83C2"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4.4%</w:t>
            </w:r>
          </w:p>
        </w:tc>
        <w:tc>
          <w:tcPr>
            <w:tcW w:w="769" w:type="dxa"/>
            <w:tcBorders>
              <w:top w:val="nil"/>
              <w:left w:val="nil"/>
              <w:bottom w:val="single" w:sz="4" w:space="0" w:color="auto"/>
              <w:right w:val="single" w:sz="4" w:space="0" w:color="auto"/>
            </w:tcBorders>
            <w:shd w:val="clear" w:color="auto" w:fill="auto"/>
            <w:vAlign w:val="center"/>
            <w:hideMark/>
          </w:tcPr>
          <w:p w14:paraId="73F77F6B"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6.6%</w:t>
            </w:r>
          </w:p>
        </w:tc>
        <w:tc>
          <w:tcPr>
            <w:tcW w:w="770" w:type="dxa"/>
            <w:tcBorders>
              <w:top w:val="nil"/>
              <w:left w:val="nil"/>
              <w:bottom w:val="single" w:sz="4" w:space="0" w:color="auto"/>
              <w:right w:val="single" w:sz="4" w:space="0" w:color="auto"/>
            </w:tcBorders>
            <w:shd w:val="clear" w:color="auto" w:fill="auto"/>
            <w:vAlign w:val="center"/>
            <w:hideMark/>
          </w:tcPr>
          <w:p w14:paraId="78E012D2"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5.4%</w:t>
            </w:r>
          </w:p>
        </w:tc>
        <w:tc>
          <w:tcPr>
            <w:tcW w:w="770" w:type="dxa"/>
            <w:tcBorders>
              <w:top w:val="nil"/>
              <w:left w:val="nil"/>
              <w:bottom w:val="single" w:sz="4" w:space="0" w:color="auto"/>
              <w:right w:val="single" w:sz="4" w:space="0" w:color="auto"/>
            </w:tcBorders>
            <w:shd w:val="clear" w:color="auto" w:fill="auto"/>
            <w:vAlign w:val="center"/>
            <w:hideMark/>
          </w:tcPr>
          <w:p w14:paraId="473EF24F"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4.8%</w:t>
            </w:r>
          </w:p>
        </w:tc>
        <w:tc>
          <w:tcPr>
            <w:tcW w:w="770" w:type="dxa"/>
            <w:tcBorders>
              <w:top w:val="nil"/>
              <w:left w:val="nil"/>
              <w:bottom w:val="single" w:sz="4" w:space="0" w:color="auto"/>
              <w:right w:val="single" w:sz="4" w:space="0" w:color="auto"/>
            </w:tcBorders>
            <w:shd w:val="clear" w:color="auto" w:fill="auto"/>
            <w:vAlign w:val="center"/>
            <w:hideMark/>
          </w:tcPr>
          <w:p w14:paraId="54E28974"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5.8%</w:t>
            </w:r>
          </w:p>
        </w:tc>
        <w:tc>
          <w:tcPr>
            <w:tcW w:w="770" w:type="dxa"/>
            <w:tcBorders>
              <w:top w:val="nil"/>
              <w:left w:val="nil"/>
              <w:bottom w:val="single" w:sz="4" w:space="0" w:color="auto"/>
              <w:right w:val="single" w:sz="4" w:space="0" w:color="auto"/>
            </w:tcBorders>
            <w:shd w:val="clear" w:color="auto" w:fill="auto"/>
            <w:vAlign w:val="center"/>
            <w:hideMark/>
          </w:tcPr>
          <w:p w14:paraId="11C00F4B"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7.7%</w:t>
            </w:r>
          </w:p>
        </w:tc>
        <w:tc>
          <w:tcPr>
            <w:tcW w:w="770" w:type="dxa"/>
            <w:tcBorders>
              <w:top w:val="nil"/>
              <w:left w:val="nil"/>
              <w:bottom w:val="single" w:sz="4" w:space="0" w:color="auto"/>
              <w:right w:val="single" w:sz="4" w:space="0" w:color="auto"/>
            </w:tcBorders>
            <w:shd w:val="clear" w:color="auto" w:fill="auto"/>
            <w:vAlign w:val="center"/>
            <w:hideMark/>
          </w:tcPr>
          <w:p w14:paraId="10177628" w14:textId="77777777" w:rsidR="00002D76" w:rsidRPr="008648E5" w:rsidRDefault="00002D76" w:rsidP="00D63204">
            <w:pPr>
              <w:spacing w:after="0" w:line="240" w:lineRule="auto"/>
              <w:rPr>
                <w:rFonts w:ascii="Calibri" w:hAnsi="Calibri"/>
                <w:color w:val="231F20"/>
                <w:sz w:val="16"/>
                <w:szCs w:val="16"/>
              </w:rPr>
            </w:pPr>
            <w:r w:rsidRPr="008648E5">
              <w:rPr>
                <w:rFonts w:ascii="Calibri" w:hAnsi="Calibri"/>
                <w:color w:val="231F20"/>
                <w:sz w:val="16"/>
                <w:szCs w:val="16"/>
              </w:rPr>
              <w:t>5.0%</w:t>
            </w:r>
          </w:p>
        </w:tc>
      </w:tr>
    </w:tbl>
    <w:p w14:paraId="38822F3B" w14:textId="77777777" w:rsidR="00002D76" w:rsidRPr="00EA7458" w:rsidRDefault="00002D76" w:rsidP="00002D76">
      <w:pPr>
        <w:widowControl w:val="0"/>
        <w:spacing w:before="65" w:after="0" w:line="216" w:lineRule="exact"/>
        <w:ind w:left="107"/>
        <w:rPr>
          <w:rFonts w:ascii="Calibri" w:hAnsi="Calibri" w:cs="Calibri"/>
          <w:sz w:val="18"/>
          <w:szCs w:val="18"/>
        </w:rPr>
      </w:pPr>
      <w:r w:rsidRPr="00EA7458">
        <w:rPr>
          <w:rFonts w:ascii="Calibri" w:hAnsi="Calibri"/>
          <w:color w:val="231F20"/>
          <w:w w:val="105"/>
          <w:sz w:val="18"/>
        </w:rPr>
        <w:t>Source:</w:t>
      </w:r>
      <w:r w:rsidRPr="00EA7458">
        <w:rPr>
          <w:rFonts w:ascii="Calibri" w:hAnsi="Calibri"/>
          <w:color w:val="231F20"/>
          <w:spacing w:val="19"/>
          <w:w w:val="105"/>
          <w:sz w:val="18"/>
        </w:rPr>
        <w:t xml:space="preserve"> </w:t>
      </w:r>
      <w:r w:rsidRPr="00EA7458">
        <w:rPr>
          <w:rFonts w:ascii="Calibri" w:hAnsi="Calibri"/>
          <w:color w:val="231F20"/>
          <w:w w:val="105"/>
          <w:sz w:val="18"/>
        </w:rPr>
        <w:t>Florida</w:t>
      </w:r>
      <w:r w:rsidRPr="00EA7458">
        <w:rPr>
          <w:rFonts w:ascii="Calibri" w:hAnsi="Calibri"/>
          <w:color w:val="231F20"/>
          <w:spacing w:val="9"/>
          <w:w w:val="105"/>
          <w:sz w:val="18"/>
        </w:rPr>
        <w:t xml:space="preserve"> </w:t>
      </w:r>
      <w:r w:rsidRPr="00EA7458">
        <w:rPr>
          <w:rFonts w:ascii="Calibri" w:hAnsi="Calibri"/>
          <w:color w:val="231F20"/>
          <w:w w:val="105"/>
          <w:sz w:val="18"/>
        </w:rPr>
        <w:t>Department</w:t>
      </w:r>
      <w:r w:rsidRPr="00EA7458">
        <w:rPr>
          <w:rFonts w:ascii="Calibri" w:hAnsi="Calibri"/>
          <w:color w:val="231F20"/>
          <w:spacing w:val="9"/>
          <w:w w:val="105"/>
          <w:sz w:val="18"/>
        </w:rPr>
        <w:t xml:space="preserve"> </w:t>
      </w:r>
      <w:r w:rsidRPr="00EA7458">
        <w:rPr>
          <w:rFonts w:ascii="Calibri" w:hAnsi="Calibri"/>
          <w:color w:val="231F20"/>
          <w:w w:val="105"/>
          <w:sz w:val="18"/>
        </w:rPr>
        <w:t>of</w:t>
      </w:r>
      <w:r w:rsidRPr="00EA7458">
        <w:rPr>
          <w:rFonts w:ascii="Calibri" w:hAnsi="Calibri"/>
          <w:color w:val="231F20"/>
          <w:spacing w:val="9"/>
          <w:w w:val="105"/>
          <w:sz w:val="18"/>
        </w:rPr>
        <w:t xml:space="preserve"> </w:t>
      </w:r>
      <w:r w:rsidRPr="00EA7458">
        <w:rPr>
          <w:rFonts w:ascii="Calibri" w:hAnsi="Calibri"/>
          <w:color w:val="231F20"/>
          <w:w w:val="105"/>
          <w:sz w:val="18"/>
        </w:rPr>
        <w:t>Economic</w:t>
      </w:r>
      <w:r w:rsidRPr="00EA7458">
        <w:rPr>
          <w:rFonts w:ascii="Calibri" w:hAnsi="Calibri"/>
          <w:color w:val="231F20"/>
          <w:spacing w:val="9"/>
          <w:w w:val="105"/>
          <w:sz w:val="18"/>
        </w:rPr>
        <w:t xml:space="preserve"> </w:t>
      </w:r>
      <w:r w:rsidRPr="00EA7458">
        <w:rPr>
          <w:rFonts w:ascii="Calibri" w:hAnsi="Calibri"/>
          <w:color w:val="231F20"/>
          <w:w w:val="105"/>
          <w:sz w:val="18"/>
        </w:rPr>
        <w:t>Opportunity,</w:t>
      </w:r>
      <w:r w:rsidRPr="00EA7458">
        <w:rPr>
          <w:rFonts w:ascii="Calibri" w:hAnsi="Calibri"/>
          <w:color w:val="231F20"/>
          <w:spacing w:val="9"/>
          <w:w w:val="105"/>
          <w:sz w:val="18"/>
        </w:rPr>
        <w:t xml:space="preserve"> </w:t>
      </w:r>
      <w:r w:rsidRPr="00EA7458">
        <w:rPr>
          <w:rFonts w:ascii="Calibri" w:hAnsi="Calibri"/>
          <w:color w:val="231F20"/>
          <w:w w:val="105"/>
          <w:sz w:val="18"/>
        </w:rPr>
        <w:t>Bureau</w:t>
      </w:r>
      <w:r w:rsidRPr="00EA7458">
        <w:rPr>
          <w:rFonts w:ascii="Calibri" w:hAnsi="Calibri"/>
          <w:color w:val="231F20"/>
          <w:spacing w:val="9"/>
          <w:w w:val="105"/>
          <w:sz w:val="18"/>
        </w:rPr>
        <w:t xml:space="preserve"> </w:t>
      </w:r>
      <w:r w:rsidRPr="00EA7458">
        <w:rPr>
          <w:rFonts w:ascii="Calibri" w:hAnsi="Calibri"/>
          <w:color w:val="231F20"/>
          <w:w w:val="105"/>
          <w:sz w:val="18"/>
        </w:rPr>
        <w:t>of</w:t>
      </w:r>
      <w:r w:rsidRPr="00EA7458">
        <w:rPr>
          <w:rFonts w:ascii="Calibri" w:hAnsi="Calibri"/>
          <w:color w:val="231F20"/>
          <w:spacing w:val="9"/>
          <w:w w:val="105"/>
          <w:sz w:val="18"/>
        </w:rPr>
        <w:t xml:space="preserve"> </w:t>
      </w:r>
      <w:r w:rsidRPr="00EA7458">
        <w:rPr>
          <w:rFonts w:ascii="Calibri" w:hAnsi="Calibri"/>
          <w:color w:val="231F20"/>
          <w:w w:val="105"/>
          <w:sz w:val="18"/>
        </w:rPr>
        <w:t>Labor</w:t>
      </w:r>
      <w:r w:rsidRPr="00EA7458">
        <w:rPr>
          <w:rFonts w:ascii="Calibri" w:hAnsi="Calibri"/>
          <w:color w:val="231F20"/>
          <w:spacing w:val="9"/>
          <w:w w:val="105"/>
          <w:sz w:val="18"/>
        </w:rPr>
        <w:t xml:space="preserve"> </w:t>
      </w:r>
      <w:r w:rsidRPr="00EA7458">
        <w:rPr>
          <w:rFonts w:ascii="Calibri" w:hAnsi="Calibri"/>
          <w:color w:val="231F20"/>
          <w:w w:val="105"/>
          <w:sz w:val="18"/>
        </w:rPr>
        <w:t>Market</w:t>
      </w:r>
      <w:r w:rsidRPr="00EA7458">
        <w:rPr>
          <w:rFonts w:ascii="Calibri" w:hAnsi="Calibri"/>
          <w:color w:val="231F20"/>
          <w:spacing w:val="9"/>
          <w:w w:val="105"/>
          <w:sz w:val="18"/>
        </w:rPr>
        <w:t xml:space="preserve"> </w:t>
      </w:r>
      <w:r w:rsidRPr="00EA7458">
        <w:rPr>
          <w:rFonts w:ascii="Calibri" w:hAnsi="Calibri"/>
          <w:color w:val="231F20"/>
          <w:w w:val="105"/>
          <w:sz w:val="18"/>
        </w:rPr>
        <w:t>Statistics,</w:t>
      </w:r>
      <w:r w:rsidRPr="00EA7458">
        <w:rPr>
          <w:rFonts w:ascii="Calibri" w:hAnsi="Calibri"/>
          <w:color w:val="231F20"/>
          <w:spacing w:val="9"/>
          <w:w w:val="105"/>
          <w:sz w:val="18"/>
        </w:rPr>
        <w:t xml:space="preserve"> </w:t>
      </w:r>
      <w:r w:rsidRPr="00EA7458">
        <w:rPr>
          <w:rFonts w:ascii="Calibri" w:hAnsi="Calibri"/>
          <w:color w:val="231F20"/>
          <w:w w:val="105"/>
          <w:sz w:val="18"/>
        </w:rPr>
        <w:t>Occupational</w:t>
      </w:r>
      <w:r w:rsidRPr="00EA7458">
        <w:rPr>
          <w:rFonts w:ascii="Calibri" w:hAnsi="Calibri"/>
          <w:color w:val="231F20"/>
          <w:spacing w:val="9"/>
          <w:w w:val="105"/>
          <w:sz w:val="18"/>
        </w:rPr>
        <w:t xml:space="preserve"> </w:t>
      </w:r>
      <w:r w:rsidRPr="00EA7458">
        <w:rPr>
          <w:rFonts w:ascii="Calibri" w:hAnsi="Calibri"/>
          <w:color w:val="231F20"/>
          <w:w w:val="105"/>
          <w:sz w:val="18"/>
        </w:rPr>
        <w:t>Employment</w:t>
      </w:r>
      <w:r w:rsidRPr="00EA7458">
        <w:rPr>
          <w:rFonts w:ascii="Calibri" w:hAnsi="Calibri"/>
          <w:color w:val="231F20"/>
          <w:spacing w:val="9"/>
          <w:w w:val="105"/>
          <w:sz w:val="18"/>
        </w:rPr>
        <w:t xml:space="preserve"> </w:t>
      </w:r>
      <w:r w:rsidRPr="00EA7458">
        <w:rPr>
          <w:rFonts w:ascii="Calibri" w:hAnsi="Calibri"/>
          <w:color w:val="231F20"/>
          <w:w w:val="105"/>
          <w:sz w:val="18"/>
        </w:rPr>
        <w:t>Statistics,</w:t>
      </w:r>
      <w:r w:rsidRPr="00EA7458">
        <w:rPr>
          <w:rFonts w:ascii="Calibri" w:hAnsi="Calibri"/>
          <w:color w:val="231F20"/>
          <w:spacing w:val="-41"/>
          <w:w w:val="105"/>
          <w:sz w:val="18"/>
        </w:rPr>
        <w:t xml:space="preserve"> </w:t>
      </w:r>
      <w:r>
        <w:rPr>
          <w:rFonts w:ascii="Calibri" w:hAnsi="Calibri"/>
          <w:color w:val="231F20"/>
          <w:w w:val="105"/>
          <w:sz w:val="18"/>
        </w:rPr>
        <w:t>December 2017</w:t>
      </w:r>
    </w:p>
    <w:p w14:paraId="755AC82A" w14:textId="77777777" w:rsidR="00002D76" w:rsidRPr="00EA7458" w:rsidRDefault="00002D76" w:rsidP="00002D76">
      <w:pPr>
        <w:widowControl w:val="0"/>
        <w:spacing w:after="0" w:line="216" w:lineRule="exact"/>
        <w:rPr>
          <w:rFonts w:ascii="Calibri" w:hAnsi="Calibri" w:cs="Calibri"/>
          <w:sz w:val="18"/>
          <w:szCs w:val="18"/>
        </w:rPr>
        <w:sectPr w:rsidR="00002D76" w:rsidRPr="00EA7458">
          <w:pgSz w:w="12240" w:h="15840"/>
          <w:pgMar w:top="1620" w:right="900" w:bottom="820" w:left="900" w:header="812" w:footer="624" w:gutter="0"/>
          <w:cols w:space="720"/>
        </w:sectPr>
      </w:pPr>
    </w:p>
    <w:p w14:paraId="36BDFC61" w14:textId="77777777" w:rsidR="00002D76" w:rsidRPr="00EA7458" w:rsidRDefault="00002D76" w:rsidP="00002D76">
      <w:pPr>
        <w:widowControl w:val="0"/>
        <w:spacing w:before="2" w:after="0" w:line="240" w:lineRule="auto"/>
        <w:rPr>
          <w:rFonts w:ascii="Calibri" w:hAnsi="Calibri" w:cs="Calibri"/>
          <w:sz w:val="14"/>
          <w:szCs w:val="14"/>
        </w:rPr>
      </w:pPr>
      <w:bookmarkStart w:id="32" w:name="_bookmark20"/>
      <w:bookmarkEnd w:id="32"/>
    </w:p>
    <w:p w14:paraId="3187D84D" w14:textId="4515DC2A" w:rsidR="00002D76" w:rsidRPr="00FC3331" w:rsidRDefault="00002D76" w:rsidP="00D63204">
      <w:pPr>
        <w:widowControl w:val="0"/>
        <w:spacing w:before="58" w:after="0" w:line="264" w:lineRule="exact"/>
        <w:ind w:left="107" w:right="141"/>
        <w:rPr>
          <w:rFonts w:ascii="Calibri" w:hAnsi="Calibri"/>
        </w:rPr>
      </w:pPr>
      <w:r w:rsidRPr="00EA7458">
        <w:rPr>
          <w:rFonts w:ascii="Calibri" w:hAnsi="Calibri"/>
          <w:color w:val="231F20"/>
          <w:w w:val="105"/>
        </w:rPr>
        <w:t>The</w:t>
      </w:r>
      <w:r w:rsidRPr="00EA7458">
        <w:rPr>
          <w:rFonts w:ascii="Calibri" w:hAnsi="Calibri"/>
          <w:color w:val="231F20"/>
          <w:spacing w:val="8"/>
          <w:w w:val="105"/>
        </w:rPr>
        <w:t xml:space="preserve"> </w:t>
      </w:r>
      <w:r w:rsidRPr="00EA7458">
        <w:rPr>
          <w:rFonts w:ascii="Calibri" w:hAnsi="Calibri"/>
          <w:color w:val="231F20"/>
          <w:w w:val="105"/>
        </w:rPr>
        <w:t>to</w:t>
      </w:r>
      <w:r w:rsidRPr="00AE4B9D">
        <w:rPr>
          <w:rFonts w:ascii="Calibri" w:hAnsi="Calibri"/>
          <w:color w:val="231F20"/>
          <w:w w:val="105"/>
        </w:rPr>
        <w:t>p</w:t>
      </w:r>
      <w:r w:rsidRPr="00AE4B9D">
        <w:rPr>
          <w:rFonts w:ascii="Calibri" w:hAnsi="Calibri"/>
          <w:color w:val="231F20"/>
          <w:spacing w:val="8"/>
          <w:w w:val="105"/>
        </w:rPr>
        <w:t xml:space="preserve"> </w:t>
      </w:r>
      <w:r w:rsidRPr="00AE4B9D">
        <w:rPr>
          <w:rFonts w:ascii="Calibri" w:hAnsi="Calibri"/>
          <w:color w:val="231F20"/>
          <w:w w:val="105"/>
        </w:rPr>
        <w:t>occupations</w:t>
      </w:r>
      <w:r w:rsidRPr="00AE4B9D">
        <w:rPr>
          <w:rFonts w:ascii="Calibri" w:hAnsi="Calibri"/>
          <w:color w:val="231F20"/>
          <w:spacing w:val="8"/>
          <w:w w:val="105"/>
        </w:rPr>
        <w:t xml:space="preserve"> </w:t>
      </w:r>
      <w:r w:rsidRPr="00AE4B9D">
        <w:rPr>
          <w:rFonts w:ascii="Calibri" w:hAnsi="Calibri"/>
          <w:color w:val="231F20"/>
          <w:w w:val="105"/>
        </w:rPr>
        <w:t>in</w:t>
      </w:r>
      <w:r w:rsidRPr="00AE4B9D">
        <w:rPr>
          <w:rFonts w:ascii="Calibri" w:hAnsi="Calibri"/>
          <w:color w:val="231F20"/>
          <w:spacing w:val="8"/>
          <w:w w:val="105"/>
        </w:rPr>
        <w:t xml:space="preserve"> </w:t>
      </w:r>
      <w:r w:rsidRPr="00AE4B9D">
        <w:rPr>
          <w:rFonts w:ascii="Calibri" w:hAnsi="Calibri"/>
          <w:color w:val="231F20"/>
          <w:w w:val="105"/>
        </w:rPr>
        <w:t>the</w:t>
      </w:r>
      <w:r w:rsidRPr="00AE4B9D">
        <w:rPr>
          <w:rFonts w:ascii="Calibri" w:hAnsi="Calibri"/>
          <w:color w:val="231F20"/>
          <w:spacing w:val="8"/>
          <w:w w:val="105"/>
        </w:rPr>
        <w:t xml:space="preserve"> </w:t>
      </w:r>
      <w:r w:rsidRPr="00AE4B9D">
        <w:rPr>
          <w:rFonts w:ascii="Calibri" w:hAnsi="Calibri"/>
          <w:color w:val="231F20"/>
          <w:w w:val="105"/>
        </w:rPr>
        <w:t>state’s</w:t>
      </w:r>
      <w:r w:rsidRPr="00AE4B9D">
        <w:rPr>
          <w:rFonts w:ascii="Calibri" w:hAnsi="Calibri"/>
          <w:color w:val="231F20"/>
          <w:spacing w:val="8"/>
          <w:w w:val="105"/>
        </w:rPr>
        <w:t xml:space="preserve"> </w:t>
      </w:r>
      <w:r w:rsidRPr="00AE4B9D">
        <w:rPr>
          <w:rFonts w:ascii="Calibri" w:hAnsi="Calibri"/>
          <w:color w:val="231F20"/>
          <w:w w:val="105"/>
        </w:rPr>
        <w:t>labor</w:t>
      </w:r>
      <w:r w:rsidRPr="00AE4B9D">
        <w:rPr>
          <w:rFonts w:ascii="Calibri" w:hAnsi="Calibri"/>
          <w:color w:val="231F20"/>
          <w:spacing w:val="8"/>
          <w:w w:val="105"/>
        </w:rPr>
        <w:t xml:space="preserve"> </w:t>
      </w:r>
      <w:r w:rsidRPr="00AE4B9D">
        <w:rPr>
          <w:rFonts w:ascii="Calibri" w:hAnsi="Calibri"/>
          <w:color w:val="231F20"/>
          <w:w w:val="105"/>
        </w:rPr>
        <w:t>market</w:t>
      </w:r>
      <w:r w:rsidRPr="00AE4B9D">
        <w:rPr>
          <w:rFonts w:ascii="Calibri" w:hAnsi="Calibri"/>
          <w:color w:val="231F20"/>
          <w:spacing w:val="8"/>
          <w:w w:val="105"/>
        </w:rPr>
        <w:t xml:space="preserve"> </w:t>
      </w:r>
      <w:r w:rsidRPr="00AE4B9D">
        <w:rPr>
          <w:rFonts w:ascii="Calibri" w:hAnsi="Calibri"/>
          <w:color w:val="231F20"/>
          <w:w w:val="105"/>
        </w:rPr>
        <w:t>can</w:t>
      </w:r>
      <w:r w:rsidRPr="00AE4B9D">
        <w:rPr>
          <w:rFonts w:ascii="Calibri" w:hAnsi="Calibri"/>
          <w:color w:val="231F20"/>
          <w:spacing w:val="8"/>
          <w:w w:val="105"/>
        </w:rPr>
        <w:t xml:space="preserve"> </w:t>
      </w:r>
      <w:r w:rsidRPr="00AE4B9D">
        <w:rPr>
          <w:rFonts w:ascii="Calibri" w:hAnsi="Calibri"/>
          <w:color w:val="231F20"/>
          <w:w w:val="105"/>
        </w:rPr>
        <w:t>be</w:t>
      </w:r>
      <w:r w:rsidRPr="00AE4B9D">
        <w:rPr>
          <w:rFonts w:ascii="Calibri" w:hAnsi="Calibri"/>
          <w:color w:val="231F20"/>
          <w:spacing w:val="8"/>
          <w:w w:val="105"/>
        </w:rPr>
        <w:t xml:space="preserve"> </w:t>
      </w:r>
      <w:r w:rsidRPr="00AE4B9D">
        <w:rPr>
          <w:rFonts w:ascii="Calibri" w:hAnsi="Calibri"/>
          <w:color w:val="231F20"/>
          <w:w w:val="105"/>
        </w:rPr>
        <w:t>represented</w:t>
      </w:r>
      <w:r w:rsidRPr="00AE4B9D">
        <w:rPr>
          <w:rFonts w:ascii="Calibri" w:hAnsi="Calibri"/>
          <w:color w:val="231F20"/>
          <w:spacing w:val="8"/>
          <w:w w:val="105"/>
        </w:rPr>
        <w:t xml:space="preserve"> </w:t>
      </w:r>
      <w:r w:rsidRPr="00AE4B9D">
        <w:rPr>
          <w:rFonts w:ascii="Calibri" w:hAnsi="Calibri"/>
          <w:color w:val="231F20"/>
          <w:w w:val="105"/>
        </w:rPr>
        <w:t>in</w:t>
      </w:r>
      <w:r w:rsidRPr="00AE4B9D">
        <w:rPr>
          <w:rFonts w:ascii="Calibri" w:hAnsi="Calibri"/>
          <w:color w:val="231F20"/>
          <w:spacing w:val="8"/>
          <w:w w:val="105"/>
        </w:rPr>
        <w:t xml:space="preserve"> </w:t>
      </w:r>
      <w:r w:rsidRPr="00AE4B9D">
        <w:rPr>
          <w:rFonts w:ascii="Calibri" w:hAnsi="Calibri"/>
          <w:color w:val="231F20"/>
          <w:w w:val="105"/>
        </w:rPr>
        <w:t>different</w:t>
      </w:r>
      <w:r w:rsidRPr="00AE4B9D">
        <w:rPr>
          <w:rFonts w:ascii="Calibri" w:hAnsi="Calibri"/>
          <w:color w:val="231F20"/>
          <w:spacing w:val="8"/>
          <w:w w:val="105"/>
        </w:rPr>
        <w:t xml:space="preserve"> </w:t>
      </w:r>
      <w:r w:rsidRPr="00AE4B9D">
        <w:rPr>
          <w:rFonts w:ascii="Calibri" w:hAnsi="Calibri"/>
          <w:color w:val="231F20"/>
          <w:w w:val="105"/>
        </w:rPr>
        <w:t>ways. Below</w:t>
      </w:r>
      <w:r w:rsidRPr="00AE4B9D">
        <w:rPr>
          <w:rFonts w:ascii="Calibri" w:hAnsi="Calibri"/>
          <w:color w:val="231F20"/>
          <w:spacing w:val="8"/>
          <w:w w:val="105"/>
        </w:rPr>
        <w:t xml:space="preserve"> </w:t>
      </w:r>
      <w:r w:rsidRPr="00AE4B9D">
        <w:rPr>
          <w:rFonts w:ascii="Calibri" w:hAnsi="Calibri"/>
          <w:color w:val="231F20"/>
          <w:w w:val="105"/>
        </w:rPr>
        <w:t>are</w:t>
      </w:r>
      <w:r w:rsidRPr="00AE4B9D">
        <w:rPr>
          <w:rFonts w:ascii="Calibri" w:hAnsi="Calibri"/>
          <w:color w:val="231F20"/>
          <w:spacing w:val="8"/>
          <w:w w:val="105"/>
        </w:rPr>
        <w:t xml:space="preserve"> </w:t>
      </w:r>
      <w:r w:rsidRPr="00AE4B9D">
        <w:rPr>
          <w:rFonts w:ascii="Calibri" w:hAnsi="Calibri"/>
          <w:color w:val="231F20"/>
          <w:w w:val="105"/>
        </w:rPr>
        <w:t>two</w:t>
      </w:r>
      <w:r w:rsidRPr="00AE4B9D">
        <w:rPr>
          <w:rFonts w:ascii="Calibri" w:hAnsi="Calibri"/>
          <w:color w:val="231F20"/>
          <w:spacing w:val="-15"/>
          <w:w w:val="105"/>
        </w:rPr>
        <w:t xml:space="preserve"> </w:t>
      </w:r>
      <w:r w:rsidRPr="00AE4B9D">
        <w:rPr>
          <w:rFonts w:ascii="Calibri" w:hAnsi="Calibri"/>
          <w:color w:val="231F20"/>
          <w:w w:val="105"/>
        </w:rPr>
        <w:t>tables,</w:t>
      </w:r>
      <w:r w:rsidRPr="00AE4B9D">
        <w:rPr>
          <w:rFonts w:ascii="Calibri" w:hAnsi="Calibri"/>
          <w:color w:val="231F20"/>
          <w:spacing w:val="7"/>
          <w:w w:val="105"/>
        </w:rPr>
        <w:t xml:space="preserve"> </w:t>
      </w:r>
      <w:r w:rsidRPr="00AE4B9D">
        <w:rPr>
          <w:rFonts w:ascii="Calibri" w:hAnsi="Calibri"/>
          <w:color w:val="231F20"/>
          <w:w w:val="105"/>
        </w:rPr>
        <w:t>the</w:t>
      </w:r>
      <w:r w:rsidRPr="00AE4B9D">
        <w:rPr>
          <w:rFonts w:ascii="Calibri" w:hAnsi="Calibri"/>
          <w:color w:val="231F20"/>
          <w:spacing w:val="7"/>
          <w:w w:val="105"/>
        </w:rPr>
        <w:t xml:space="preserve"> </w:t>
      </w:r>
      <w:r w:rsidRPr="00AE4B9D">
        <w:rPr>
          <w:rFonts w:ascii="Calibri" w:hAnsi="Calibri"/>
          <w:color w:val="231F20"/>
          <w:w w:val="105"/>
        </w:rPr>
        <w:t>first</w:t>
      </w:r>
      <w:r w:rsidRPr="00AE4B9D">
        <w:rPr>
          <w:rFonts w:ascii="Calibri" w:hAnsi="Calibri"/>
          <w:color w:val="231F20"/>
          <w:spacing w:val="7"/>
          <w:w w:val="105"/>
        </w:rPr>
        <w:t xml:space="preserve"> </w:t>
      </w:r>
      <w:r w:rsidRPr="00AE4B9D">
        <w:rPr>
          <w:rFonts w:ascii="Calibri" w:hAnsi="Calibri"/>
          <w:color w:val="231F20"/>
          <w:w w:val="105"/>
        </w:rPr>
        <w:t>showing</w:t>
      </w:r>
      <w:r w:rsidRPr="00AE4B9D">
        <w:rPr>
          <w:rFonts w:ascii="Calibri" w:hAnsi="Calibri"/>
          <w:color w:val="231F20"/>
          <w:spacing w:val="7"/>
          <w:w w:val="105"/>
        </w:rPr>
        <w:t xml:space="preserve"> </w:t>
      </w:r>
      <w:r w:rsidRPr="00AE4B9D">
        <w:rPr>
          <w:rFonts w:ascii="Calibri" w:hAnsi="Calibri"/>
          <w:color w:val="231F20"/>
          <w:w w:val="105"/>
        </w:rPr>
        <w:t>percent</w:t>
      </w:r>
      <w:r w:rsidRPr="00AE4B9D">
        <w:rPr>
          <w:rFonts w:ascii="Calibri" w:hAnsi="Calibri"/>
          <w:color w:val="231F20"/>
          <w:spacing w:val="7"/>
          <w:w w:val="105"/>
        </w:rPr>
        <w:t xml:space="preserve"> </w:t>
      </w:r>
      <w:r w:rsidRPr="00AE4B9D">
        <w:rPr>
          <w:rFonts w:ascii="Calibri" w:hAnsi="Calibri"/>
          <w:color w:val="231F20"/>
          <w:w w:val="105"/>
        </w:rPr>
        <w:t>change</w:t>
      </w:r>
      <w:r w:rsidRPr="00AE4B9D">
        <w:rPr>
          <w:rFonts w:ascii="Calibri" w:hAnsi="Calibri"/>
          <w:color w:val="231F20"/>
          <w:spacing w:val="7"/>
          <w:w w:val="105"/>
        </w:rPr>
        <w:t xml:space="preserve"> </w:t>
      </w:r>
      <w:r w:rsidRPr="00AE4B9D">
        <w:rPr>
          <w:rFonts w:ascii="Calibri" w:hAnsi="Calibri"/>
          <w:color w:val="231F20"/>
          <w:w w:val="105"/>
        </w:rPr>
        <w:t>over</w:t>
      </w:r>
      <w:r w:rsidRPr="00AE4B9D">
        <w:rPr>
          <w:rFonts w:ascii="Calibri" w:hAnsi="Calibri"/>
          <w:color w:val="231F20"/>
          <w:spacing w:val="7"/>
          <w:w w:val="105"/>
        </w:rPr>
        <w:t xml:space="preserve"> </w:t>
      </w:r>
      <w:r w:rsidRPr="00AE4B9D">
        <w:rPr>
          <w:rFonts w:ascii="Calibri" w:hAnsi="Calibri"/>
          <w:color w:val="231F20"/>
          <w:w w:val="105"/>
        </w:rPr>
        <w:t>the</w:t>
      </w:r>
      <w:r w:rsidRPr="00AE4B9D">
        <w:rPr>
          <w:rFonts w:ascii="Calibri" w:hAnsi="Calibri"/>
          <w:color w:val="231F20"/>
          <w:spacing w:val="7"/>
          <w:w w:val="105"/>
        </w:rPr>
        <w:t xml:space="preserve"> </w:t>
      </w:r>
      <w:r w:rsidRPr="00AE4B9D">
        <w:rPr>
          <w:rFonts w:ascii="Calibri" w:hAnsi="Calibri"/>
          <w:color w:val="231F20"/>
          <w:w w:val="105"/>
        </w:rPr>
        <w:t>timeframe</w:t>
      </w:r>
      <w:r w:rsidRPr="00AE4B9D">
        <w:rPr>
          <w:rFonts w:ascii="Calibri" w:hAnsi="Calibri"/>
          <w:color w:val="231F20"/>
          <w:spacing w:val="7"/>
          <w:w w:val="105"/>
        </w:rPr>
        <w:t xml:space="preserve"> </w:t>
      </w:r>
      <w:r w:rsidRPr="00AE4B9D">
        <w:rPr>
          <w:rFonts w:ascii="Calibri" w:hAnsi="Calibri"/>
          <w:color w:val="231F20"/>
          <w:w w:val="105"/>
        </w:rPr>
        <w:t>of</w:t>
      </w:r>
      <w:r w:rsidRPr="00AE4B9D">
        <w:rPr>
          <w:rFonts w:ascii="Calibri" w:hAnsi="Calibri"/>
          <w:color w:val="231F20"/>
          <w:spacing w:val="7"/>
          <w:w w:val="105"/>
        </w:rPr>
        <w:t xml:space="preserve"> </w:t>
      </w:r>
      <w:r w:rsidRPr="00AE4B9D">
        <w:rPr>
          <w:rFonts w:ascii="Calibri" w:hAnsi="Calibri"/>
          <w:color w:val="231F20"/>
          <w:w w:val="105"/>
        </w:rPr>
        <w:t>the</w:t>
      </w:r>
      <w:r w:rsidRPr="00AE4B9D">
        <w:rPr>
          <w:rFonts w:ascii="Calibri" w:hAnsi="Calibri"/>
          <w:color w:val="231F20"/>
          <w:spacing w:val="7"/>
          <w:w w:val="105"/>
        </w:rPr>
        <w:t xml:space="preserve"> </w:t>
      </w:r>
      <w:r w:rsidRPr="00AE4B9D">
        <w:rPr>
          <w:rFonts w:ascii="Calibri" w:hAnsi="Calibri"/>
          <w:color w:val="231F20"/>
          <w:w w:val="105"/>
        </w:rPr>
        <w:t>latest</w:t>
      </w:r>
      <w:r w:rsidRPr="00AE4B9D">
        <w:rPr>
          <w:rFonts w:ascii="Calibri" w:hAnsi="Calibri"/>
          <w:color w:val="231F20"/>
          <w:spacing w:val="7"/>
          <w:w w:val="105"/>
        </w:rPr>
        <w:t xml:space="preserve"> </w:t>
      </w:r>
      <w:r w:rsidRPr="00AE4B9D">
        <w:rPr>
          <w:rFonts w:ascii="Calibri" w:hAnsi="Calibri"/>
          <w:color w:val="231F20"/>
          <w:w w:val="105"/>
        </w:rPr>
        <w:t>occupational</w:t>
      </w:r>
      <w:r w:rsidRPr="00AE4B9D">
        <w:rPr>
          <w:rFonts w:ascii="Calibri" w:hAnsi="Calibri"/>
          <w:color w:val="231F20"/>
          <w:spacing w:val="7"/>
          <w:w w:val="105"/>
        </w:rPr>
        <w:t xml:space="preserve"> </w:t>
      </w:r>
      <w:r w:rsidRPr="00AE4B9D">
        <w:rPr>
          <w:rFonts w:ascii="Calibri" w:hAnsi="Calibri"/>
          <w:color w:val="231F20"/>
          <w:w w:val="105"/>
        </w:rPr>
        <w:t>projections</w:t>
      </w:r>
      <w:r w:rsidRPr="00AE4B9D">
        <w:rPr>
          <w:rFonts w:ascii="Calibri" w:hAnsi="Calibri"/>
          <w:color w:val="231F20"/>
          <w:spacing w:val="7"/>
          <w:w w:val="105"/>
        </w:rPr>
        <w:t xml:space="preserve"> </w:t>
      </w:r>
      <w:r w:rsidRPr="00AE4B9D">
        <w:rPr>
          <w:rFonts w:ascii="Calibri" w:hAnsi="Calibri"/>
          <w:color w:val="231F20"/>
          <w:w w:val="105"/>
        </w:rPr>
        <w:t>(2017-</w:t>
      </w:r>
      <w:r w:rsidRPr="00AE4B9D">
        <w:rPr>
          <w:rFonts w:ascii="Calibri" w:hAnsi="Calibri"/>
          <w:color w:val="231F20"/>
          <w:spacing w:val="-40"/>
          <w:w w:val="105"/>
        </w:rPr>
        <w:t xml:space="preserve"> </w:t>
      </w:r>
      <w:r w:rsidRPr="00AE4B9D">
        <w:rPr>
          <w:rFonts w:ascii="Calibri" w:hAnsi="Calibri"/>
          <w:color w:val="231F20"/>
          <w:w w:val="105"/>
        </w:rPr>
        <w:t>2025)</w:t>
      </w:r>
      <w:r w:rsidRPr="00AE4B9D">
        <w:rPr>
          <w:rFonts w:ascii="Calibri" w:hAnsi="Calibri"/>
          <w:color w:val="231F20"/>
          <w:spacing w:val="16"/>
          <w:w w:val="105"/>
        </w:rPr>
        <w:t xml:space="preserve"> </w:t>
      </w:r>
      <w:r w:rsidRPr="00AE4B9D">
        <w:rPr>
          <w:rFonts w:ascii="Calibri" w:hAnsi="Calibri"/>
          <w:color w:val="231F20"/>
          <w:w w:val="105"/>
        </w:rPr>
        <w:t>and</w:t>
      </w:r>
      <w:r w:rsidRPr="00AE4B9D">
        <w:rPr>
          <w:rFonts w:ascii="Calibri" w:hAnsi="Calibri"/>
          <w:color w:val="231F20"/>
          <w:spacing w:val="16"/>
          <w:w w:val="105"/>
        </w:rPr>
        <w:t xml:space="preserve"> </w:t>
      </w:r>
      <w:r w:rsidRPr="00AE4B9D">
        <w:rPr>
          <w:rFonts w:ascii="Calibri" w:hAnsi="Calibri"/>
          <w:color w:val="231F20"/>
          <w:w w:val="105"/>
        </w:rPr>
        <w:t>the</w:t>
      </w:r>
      <w:r w:rsidRPr="00AE4B9D">
        <w:rPr>
          <w:rFonts w:ascii="Calibri" w:hAnsi="Calibri"/>
          <w:color w:val="231F20"/>
          <w:spacing w:val="16"/>
          <w:w w:val="105"/>
        </w:rPr>
        <w:t xml:space="preserve"> </w:t>
      </w:r>
      <w:r w:rsidRPr="00AE4B9D">
        <w:rPr>
          <w:rFonts w:ascii="Calibri" w:hAnsi="Calibri"/>
          <w:color w:val="231F20"/>
          <w:w w:val="105"/>
        </w:rPr>
        <w:t>second</w:t>
      </w:r>
      <w:r w:rsidRPr="00AE4B9D">
        <w:rPr>
          <w:rFonts w:ascii="Calibri" w:hAnsi="Calibri"/>
          <w:color w:val="231F20"/>
          <w:spacing w:val="16"/>
          <w:w w:val="105"/>
        </w:rPr>
        <w:t xml:space="preserve"> </w:t>
      </w:r>
      <w:r w:rsidRPr="00AE4B9D">
        <w:rPr>
          <w:rFonts w:ascii="Calibri" w:hAnsi="Calibri"/>
          <w:color w:val="231F20"/>
          <w:w w:val="105"/>
        </w:rPr>
        <w:t>showing</w:t>
      </w:r>
      <w:r w:rsidRPr="00AE4B9D">
        <w:rPr>
          <w:rFonts w:ascii="Calibri" w:hAnsi="Calibri"/>
          <w:color w:val="231F20"/>
          <w:spacing w:val="16"/>
          <w:w w:val="105"/>
        </w:rPr>
        <w:t xml:space="preserve"> </w:t>
      </w:r>
      <w:r w:rsidRPr="00AE4B9D">
        <w:rPr>
          <w:rFonts w:ascii="Calibri" w:hAnsi="Calibri"/>
          <w:color w:val="231F20"/>
          <w:w w:val="105"/>
        </w:rPr>
        <w:t>the</w:t>
      </w:r>
      <w:r w:rsidRPr="00AE4B9D">
        <w:rPr>
          <w:rFonts w:ascii="Calibri" w:hAnsi="Calibri"/>
          <w:color w:val="231F20"/>
          <w:spacing w:val="16"/>
          <w:w w:val="105"/>
        </w:rPr>
        <w:t xml:space="preserve"> </w:t>
      </w:r>
      <w:r w:rsidRPr="00AE4B9D">
        <w:rPr>
          <w:rFonts w:ascii="Calibri" w:hAnsi="Calibri"/>
          <w:color w:val="231F20"/>
          <w:w w:val="105"/>
        </w:rPr>
        <w:t>level</w:t>
      </w:r>
      <w:r w:rsidRPr="00AE4B9D">
        <w:rPr>
          <w:rFonts w:ascii="Calibri" w:hAnsi="Calibri"/>
          <w:color w:val="231F20"/>
          <w:spacing w:val="16"/>
          <w:w w:val="105"/>
        </w:rPr>
        <w:t xml:space="preserve"> </w:t>
      </w:r>
      <w:r w:rsidRPr="00AE4B9D">
        <w:rPr>
          <w:rFonts w:ascii="Calibri" w:hAnsi="Calibri"/>
          <w:color w:val="231F20"/>
          <w:w w:val="105"/>
        </w:rPr>
        <w:t>of</w:t>
      </w:r>
      <w:r w:rsidRPr="00AE4B9D">
        <w:rPr>
          <w:rFonts w:ascii="Calibri" w:hAnsi="Calibri"/>
          <w:color w:val="231F20"/>
          <w:spacing w:val="16"/>
          <w:w w:val="105"/>
        </w:rPr>
        <w:t xml:space="preserve"> </w:t>
      </w:r>
      <w:r w:rsidRPr="00AE4B9D">
        <w:rPr>
          <w:rFonts w:ascii="Calibri" w:hAnsi="Calibri"/>
          <w:color w:val="231F20"/>
          <w:w w:val="105"/>
        </w:rPr>
        <w:t>change</w:t>
      </w:r>
      <w:r w:rsidRPr="00AE4B9D">
        <w:rPr>
          <w:rFonts w:ascii="Calibri" w:hAnsi="Calibri"/>
          <w:color w:val="231F20"/>
          <w:spacing w:val="16"/>
          <w:w w:val="105"/>
        </w:rPr>
        <w:t xml:space="preserve"> </w:t>
      </w:r>
      <w:r w:rsidRPr="00AE4B9D">
        <w:rPr>
          <w:rFonts w:ascii="Calibri" w:hAnsi="Calibri"/>
          <w:color w:val="231F20"/>
          <w:w w:val="105"/>
        </w:rPr>
        <w:t>(2017-2025).</w:t>
      </w:r>
      <w:r w:rsidRPr="00AE4B9D">
        <w:rPr>
          <w:rFonts w:ascii="Calibri" w:hAnsi="Calibri"/>
          <w:color w:val="231F20"/>
          <w:spacing w:val="32"/>
          <w:w w:val="105"/>
        </w:rPr>
        <w:t xml:space="preserve"> </w:t>
      </w:r>
      <w:r w:rsidRPr="00AE4B9D">
        <w:rPr>
          <w:rFonts w:ascii="Calibri" w:hAnsi="Calibri"/>
          <w:color w:val="231F20"/>
          <w:w w:val="105"/>
        </w:rPr>
        <w:t>Ten</w:t>
      </w:r>
      <w:r w:rsidRPr="00AE4B9D">
        <w:rPr>
          <w:rFonts w:ascii="Calibri" w:hAnsi="Calibri"/>
          <w:color w:val="231F20"/>
          <w:spacing w:val="16"/>
          <w:w w:val="105"/>
        </w:rPr>
        <w:t xml:space="preserve"> </w:t>
      </w:r>
      <w:r w:rsidRPr="00AE4B9D">
        <w:rPr>
          <w:rFonts w:ascii="Calibri" w:hAnsi="Calibri"/>
          <w:color w:val="231F20"/>
          <w:w w:val="105"/>
        </w:rPr>
        <w:t>of</w:t>
      </w:r>
      <w:r w:rsidRPr="00AE4B9D">
        <w:rPr>
          <w:rFonts w:ascii="Calibri" w:hAnsi="Calibri"/>
          <w:color w:val="231F20"/>
          <w:spacing w:val="16"/>
          <w:w w:val="105"/>
        </w:rPr>
        <w:t xml:space="preserve"> </w:t>
      </w:r>
      <w:r w:rsidRPr="00AE4B9D">
        <w:rPr>
          <w:rFonts w:ascii="Calibri" w:hAnsi="Calibri"/>
          <w:color w:val="231F20"/>
          <w:w w:val="105"/>
        </w:rPr>
        <w:t>the</w:t>
      </w:r>
      <w:r w:rsidRPr="00AE4B9D">
        <w:rPr>
          <w:rFonts w:ascii="Calibri" w:hAnsi="Calibri"/>
          <w:color w:val="231F20"/>
          <w:spacing w:val="16"/>
          <w:w w:val="105"/>
        </w:rPr>
        <w:t xml:space="preserve"> </w:t>
      </w:r>
      <w:r w:rsidRPr="00AE4B9D">
        <w:rPr>
          <w:rFonts w:ascii="Calibri" w:hAnsi="Calibri"/>
          <w:color w:val="231F20"/>
          <w:w w:val="105"/>
        </w:rPr>
        <w:t>top</w:t>
      </w:r>
      <w:r w:rsidRPr="00AE4B9D">
        <w:rPr>
          <w:rFonts w:ascii="Calibri" w:hAnsi="Calibri"/>
          <w:color w:val="231F20"/>
          <w:spacing w:val="16"/>
          <w:w w:val="105"/>
        </w:rPr>
        <w:t xml:space="preserve"> </w:t>
      </w:r>
      <w:r w:rsidRPr="00AE4B9D">
        <w:rPr>
          <w:rFonts w:ascii="Calibri" w:hAnsi="Calibri"/>
          <w:color w:val="231F20"/>
          <w:w w:val="105"/>
        </w:rPr>
        <w:t>20</w:t>
      </w:r>
      <w:r w:rsidRPr="00AE4B9D">
        <w:rPr>
          <w:rFonts w:ascii="Calibri" w:hAnsi="Calibri"/>
          <w:color w:val="231F20"/>
          <w:spacing w:val="16"/>
          <w:w w:val="105"/>
        </w:rPr>
        <w:t xml:space="preserve"> </w:t>
      </w:r>
      <w:r w:rsidRPr="00AE4B9D">
        <w:rPr>
          <w:rFonts w:ascii="Calibri" w:hAnsi="Calibri"/>
          <w:color w:val="231F20"/>
          <w:w w:val="105"/>
        </w:rPr>
        <w:t>occupations</w:t>
      </w:r>
      <w:r w:rsidRPr="00AE4B9D">
        <w:rPr>
          <w:rFonts w:ascii="Calibri" w:hAnsi="Calibri"/>
          <w:color w:val="231F20"/>
          <w:spacing w:val="21"/>
          <w:w w:val="105"/>
        </w:rPr>
        <w:t xml:space="preserve"> </w:t>
      </w:r>
      <w:r w:rsidRPr="00AE4B9D">
        <w:rPr>
          <w:rFonts w:ascii="Calibri" w:hAnsi="Calibri"/>
          <w:color w:val="231F20"/>
          <w:w w:val="105"/>
        </w:rPr>
        <w:t>ranked</w:t>
      </w:r>
      <w:r w:rsidRPr="00AE4B9D">
        <w:rPr>
          <w:rFonts w:ascii="Calibri" w:hAnsi="Calibri"/>
          <w:color w:val="231F20"/>
          <w:spacing w:val="11"/>
          <w:w w:val="105"/>
        </w:rPr>
        <w:t xml:space="preserve"> </w:t>
      </w:r>
      <w:r w:rsidRPr="00AE4B9D">
        <w:rPr>
          <w:rFonts w:ascii="Calibri" w:hAnsi="Calibri"/>
          <w:color w:val="231F20"/>
          <w:w w:val="105"/>
        </w:rPr>
        <w:t>by</w:t>
      </w:r>
      <w:r w:rsidRPr="00AE4B9D">
        <w:rPr>
          <w:rFonts w:ascii="Calibri" w:hAnsi="Calibri"/>
          <w:color w:val="231F20"/>
          <w:spacing w:val="11"/>
          <w:w w:val="105"/>
        </w:rPr>
        <w:t xml:space="preserve"> </w:t>
      </w:r>
      <w:r w:rsidRPr="00920E5A">
        <w:rPr>
          <w:rFonts w:ascii="Calibri" w:hAnsi="Calibri"/>
          <w:color w:val="231F20"/>
          <w:w w:val="105"/>
        </w:rPr>
        <w:t>percent</w:t>
      </w:r>
      <w:r w:rsidRPr="00920E5A">
        <w:rPr>
          <w:rFonts w:ascii="Calibri" w:hAnsi="Calibri"/>
          <w:color w:val="231F20"/>
          <w:spacing w:val="11"/>
          <w:w w:val="105"/>
        </w:rPr>
        <w:t xml:space="preserve"> </w:t>
      </w:r>
      <w:r w:rsidRPr="00920E5A">
        <w:rPr>
          <w:rFonts w:ascii="Calibri" w:hAnsi="Calibri"/>
          <w:color w:val="231F20"/>
          <w:w w:val="105"/>
        </w:rPr>
        <w:t>change</w:t>
      </w:r>
      <w:r w:rsidRPr="00920E5A">
        <w:rPr>
          <w:rFonts w:ascii="Calibri" w:hAnsi="Calibri"/>
          <w:color w:val="231F20"/>
          <w:spacing w:val="11"/>
          <w:w w:val="105"/>
        </w:rPr>
        <w:t xml:space="preserve"> </w:t>
      </w:r>
      <w:r w:rsidRPr="00920E5A">
        <w:rPr>
          <w:rFonts w:ascii="Calibri" w:hAnsi="Calibri"/>
          <w:color w:val="231F20"/>
          <w:w w:val="105"/>
        </w:rPr>
        <w:t>are</w:t>
      </w:r>
      <w:r w:rsidRPr="00920E5A">
        <w:rPr>
          <w:rFonts w:ascii="Calibri" w:hAnsi="Calibri"/>
          <w:color w:val="231F20"/>
          <w:spacing w:val="11"/>
          <w:w w:val="105"/>
        </w:rPr>
        <w:t xml:space="preserve"> </w:t>
      </w:r>
      <w:r w:rsidRPr="00920E5A">
        <w:rPr>
          <w:rFonts w:ascii="Calibri" w:hAnsi="Calibri"/>
          <w:color w:val="231F20"/>
          <w:w w:val="105"/>
        </w:rPr>
        <w:t>in</w:t>
      </w:r>
      <w:r w:rsidRPr="00920E5A">
        <w:rPr>
          <w:rFonts w:ascii="Calibri" w:hAnsi="Calibri"/>
          <w:color w:val="231F20"/>
          <w:spacing w:val="11"/>
          <w:w w:val="105"/>
        </w:rPr>
        <w:t xml:space="preserve"> </w:t>
      </w:r>
      <w:r w:rsidRPr="00920E5A">
        <w:rPr>
          <w:rFonts w:ascii="Calibri" w:hAnsi="Calibri"/>
          <w:color w:val="231F20"/>
          <w:w w:val="105"/>
        </w:rPr>
        <w:t>the</w:t>
      </w:r>
      <w:r w:rsidRPr="00920E5A">
        <w:rPr>
          <w:rFonts w:ascii="Calibri" w:hAnsi="Calibri"/>
          <w:color w:val="231F20"/>
          <w:spacing w:val="11"/>
          <w:w w:val="105"/>
        </w:rPr>
        <w:t xml:space="preserve"> </w:t>
      </w:r>
      <w:r w:rsidRPr="00920E5A">
        <w:rPr>
          <w:rFonts w:ascii="Calibri" w:hAnsi="Calibri"/>
          <w:color w:val="231F20"/>
          <w:w w:val="105"/>
        </w:rPr>
        <w:t>health</w:t>
      </w:r>
      <w:r w:rsidRPr="00920E5A">
        <w:rPr>
          <w:rFonts w:ascii="Calibri" w:hAnsi="Calibri"/>
          <w:color w:val="231F20"/>
          <w:spacing w:val="11"/>
          <w:w w:val="105"/>
        </w:rPr>
        <w:t xml:space="preserve"> </w:t>
      </w:r>
      <w:r w:rsidRPr="00920E5A">
        <w:rPr>
          <w:rFonts w:ascii="Calibri" w:hAnsi="Calibri"/>
          <w:color w:val="231F20"/>
          <w:w w:val="105"/>
        </w:rPr>
        <w:t>practitioner</w:t>
      </w:r>
      <w:r w:rsidRPr="00920E5A">
        <w:rPr>
          <w:rFonts w:ascii="Calibri" w:hAnsi="Calibri"/>
          <w:color w:val="231F20"/>
          <w:spacing w:val="11"/>
          <w:w w:val="105"/>
        </w:rPr>
        <w:t xml:space="preserve"> </w:t>
      </w:r>
      <w:r w:rsidRPr="00920E5A">
        <w:rPr>
          <w:rFonts w:ascii="Calibri" w:hAnsi="Calibri"/>
          <w:color w:val="231F20"/>
          <w:w w:val="105"/>
        </w:rPr>
        <w:t>or</w:t>
      </w:r>
      <w:r w:rsidRPr="00920E5A">
        <w:rPr>
          <w:rFonts w:ascii="Calibri" w:hAnsi="Calibri"/>
          <w:color w:val="231F20"/>
          <w:spacing w:val="11"/>
          <w:w w:val="105"/>
        </w:rPr>
        <w:t xml:space="preserve"> </w:t>
      </w:r>
      <w:r w:rsidRPr="00920E5A">
        <w:rPr>
          <w:rFonts w:ascii="Calibri" w:hAnsi="Calibri"/>
          <w:color w:val="231F20"/>
          <w:w w:val="105"/>
        </w:rPr>
        <w:t>healthcare</w:t>
      </w:r>
      <w:r w:rsidRPr="00920E5A">
        <w:rPr>
          <w:rFonts w:ascii="Calibri" w:hAnsi="Calibri"/>
          <w:color w:val="231F20"/>
          <w:spacing w:val="11"/>
          <w:w w:val="105"/>
        </w:rPr>
        <w:t xml:space="preserve"> </w:t>
      </w:r>
      <w:r w:rsidRPr="00920E5A">
        <w:rPr>
          <w:rFonts w:ascii="Calibri" w:hAnsi="Calibri"/>
          <w:color w:val="231F20"/>
          <w:w w:val="105"/>
        </w:rPr>
        <w:t>support</w:t>
      </w:r>
      <w:r w:rsidRPr="00920E5A">
        <w:rPr>
          <w:rFonts w:ascii="Calibri" w:hAnsi="Calibri"/>
          <w:color w:val="231F20"/>
          <w:spacing w:val="11"/>
          <w:w w:val="105"/>
        </w:rPr>
        <w:t xml:space="preserve"> </w:t>
      </w:r>
      <w:r w:rsidRPr="00920E5A">
        <w:rPr>
          <w:rFonts w:ascii="Calibri" w:hAnsi="Calibri"/>
          <w:color w:val="231F20"/>
          <w:w w:val="105"/>
        </w:rPr>
        <w:t>major</w:t>
      </w:r>
      <w:r w:rsidRPr="00920E5A">
        <w:rPr>
          <w:rFonts w:ascii="Calibri" w:hAnsi="Calibri"/>
          <w:color w:val="231F20"/>
          <w:spacing w:val="11"/>
          <w:w w:val="105"/>
        </w:rPr>
        <w:t xml:space="preserve"> </w:t>
      </w:r>
      <w:r w:rsidRPr="00920E5A">
        <w:rPr>
          <w:rFonts w:ascii="Calibri" w:hAnsi="Calibri"/>
          <w:color w:val="231F20"/>
          <w:w w:val="105"/>
        </w:rPr>
        <w:t>occupational</w:t>
      </w:r>
      <w:r w:rsidRPr="00920E5A">
        <w:rPr>
          <w:rFonts w:ascii="Calibri" w:hAnsi="Calibri"/>
          <w:color w:val="231F20"/>
          <w:spacing w:val="11"/>
          <w:w w:val="105"/>
        </w:rPr>
        <w:t xml:space="preserve"> </w:t>
      </w:r>
      <w:r w:rsidRPr="00920E5A">
        <w:rPr>
          <w:rFonts w:ascii="Calibri" w:hAnsi="Calibri"/>
          <w:color w:val="231F20"/>
          <w:w w:val="105"/>
        </w:rPr>
        <w:t>groups.</w:t>
      </w:r>
      <w:r w:rsidRPr="00920E5A">
        <w:rPr>
          <w:rFonts w:ascii="Calibri" w:hAnsi="Calibri"/>
          <w:color w:val="231F20"/>
          <w:spacing w:val="-39"/>
          <w:w w:val="105"/>
        </w:rPr>
        <w:t xml:space="preserve"> </w:t>
      </w:r>
      <w:r w:rsidRPr="00920E5A">
        <w:rPr>
          <w:rFonts w:ascii="Calibri" w:hAnsi="Calibri"/>
          <w:color w:val="231F20"/>
          <w:w w:val="105"/>
        </w:rPr>
        <w:t>The</w:t>
      </w:r>
      <w:r w:rsidRPr="00920E5A">
        <w:rPr>
          <w:rFonts w:ascii="Calibri" w:hAnsi="Calibri"/>
          <w:color w:val="231F20"/>
          <w:spacing w:val="16"/>
          <w:w w:val="105"/>
        </w:rPr>
        <w:t xml:space="preserve"> </w:t>
      </w:r>
      <w:r w:rsidRPr="00920E5A">
        <w:rPr>
          <w:rFonts w:ascii="Calibri" w:hAnsi="Calibri"/>
          <w:color w:val="231F20"/>
          <w:w w:val="105"/>
        </w:rPr>
        <w:t>fastest</w:t>
      </w:r>
      <w:r w:rsidR="00233CFC">
        <w:rPr>
          <w:rFonts w:ascii="Calibri" w:hAnsi="Calibri"/>
          <w:color w:val="231F20"/>
          <w:w w:val="105"/>
        </w:rPr>
        <w:t>-</w:t>
      </w:r>
      <w:r w:rsidRPr="00920E5A">
        <w:rPr>
          <w:rFonts w:ascii="Calibri" w:hAnsi="Calibri"/>
          <w:color w:val="231F20"/>
          <w:w w:val="105"/>
        </w:rPr>
        <w:t>growing</w:t>
      </w:r>
      <w:r w:rsidRPr="00920E5A">
        <w:rPr>
          <w:rFonts w:ascii="Calibri" w:hAnsi="Calibri"/>
          <w:color w:val="231F20"/>
          <w:spacing w:val="18"/>
          <w:w w:val="105"/>
        </w:rPr>
        <w:t xml:space="preserve"> </w:t>
      </w:r>
      <w:r w:rsidRPr="00920E5A">
        <w:rPr>
          <w:rFonts w:ascii="Calibri" w:hAnsi="Calibri"/>
          <w:color w:val="231F20"/>
          <w:w w:val="105"/>
        </w:rPr>
        <w:t>occupation</w:t>
      </w:r>
      <w:r w:rsidRPr="00920E5A">
        <w:rPr>
          <w:rFonts w:ascii="Calibri" w:hAnsi="Calibri"/>
          <w:color w:val="231F20"/>
          <w:spacing w:val="18"/>
          <w:w w:val="105"/>
        </w:rPr>
        <w:t xml:space="preserve"> </w:t>
      </w:r>
      <w:r w:rsidRPr="00920E5A">
        <w:rPr>
          <w:rFonts w:ascii="Calibri" w:hAnsi="Calibri"/>
          <w:color w:val="231F20"/>
          <w:w w:val="105"/>
        </w:rPr>
        <w:t>is</w:t>
      </w:r>
      <w:r w:rsidRPr="00920E5A">
        <w:rPr>
          <w:rFonts w:ascii="Calibri" w:hAnsi="Calibri"/>
          <w:color w:val="231F20"/>
          <w:spacing w:val="18"/>
          <w:w w:val="105"/>
        </w:rPr>
        <w:t xml:space="preserve"> </w:t>
      </w:r>
      <w:r w:rsidRPr="00920E5A">
        <w:rPr>
          <w:rFonts w:ascii="Calibri" w:hAnsi="Calibri"/>
          <w:color w:val="231F20"/>
          <w:w w:val="105"/>
        </w:rPr>
        <w:t>Nurse Practitioner (9,504</w:t>
      </w:r>
      <w:r w:rsidRPr="00920E5A">
        <w:rPr>
          <w:rFonts w:ascii="Calibri" w:hAnsi="Calibri"/>
          <w:color w:val="231F20"/>
          <w:spacing w:val="18"/>
          <w:w w:val="105"/>
        </w:rPr>
        <w:t xml:space="preserve"> </w:t>
      </w:r>
      <w:r w:rsidRPr="00920E5A">
        <w:rPr>
          <w:rFonts w:ascii="Calibri" w:hAnsi="Calibri"/>
          <w:color w:val="231F20"/>
          <w:w w:val="105"/>
        </w:rPr>
        <w:t>jobs</w:t>
      </w:r>
      <w:r w:rsidRPr="00920E5A">
        <w:rPr>
          <w:rFonts w:ascii="Calibri" w:hAnsi="Calibri"/>
          <w:color w:val="231F20"/>
          <w:spacing w:val="18"/>
          <w:w w:val="105"/>
        </w:rPr>
        <w:t xml:space="preserve"> </w:t>
      </w:r>
      <w:r w:rsidRPr="00920E5A">
        <w:rPr>
          <w:rFonts w:ascii="Calibri" w:hAnsi="Calibri"/>
          <w:color w:val="231F20"/>
          <w:w w:val="105"/>
        </w:rPr>
        <w:t>in</w:t>
      </w:r>
      <w:r w:rsidRPr="00920E5A">
        <w:rPr>
          <w:rFonts w:ascii="Calibri" w:hAnsi="Calibri"/>
          <w:color w:val="231F20"/>
          <w:spacing w:val="18"/>
          <w:w w:val="105"/>
        </w:rPr>
        <w:t xml:space="preserve"> </w:t>
      </w:r>
      <w:r w:rsidRPr="00920E5A">
        <w:rPr>
          <w:rFonts w:ascii="Calibri" w:hAnsi="Calibri"/>
          <w:color w:val="231F20"/>
          <w:w w:val="105"/>
        </w:rPr>
        <w:t>2017,</w:t>
      </w:r>
      <w:r w:rsidRPr="00920E5A">
        <w:rPr>
          <w:rFonts w:ascii="Calibri" w:hAnsi="Calibri"/>
          <w:color w:val="231F20"/>
          <w:spacing w:val="18"/>
          <w:w w:val="105"/>
        </w:rPr>
        <w:t xml:space="preserve"> </w:t>
      </w:r>
      <w:r w:rsidRPr="00920E5A">
        <w:rPr>
          <w:rFonts w:ascii="Calibri" w:hAnsi="Calibri"/>
          <w:color w:val="231F20"/>
          <w:w w:val="105"/>
        </w:rPr>
        <w:t>+34.7</w:t>
      </w:r>
      <w:r w:rsidRPr="00920E5A">
        <w:rPr>
          <w:rFonts w:ascii="Calibri" w:hAnsi="Calibri"/>
          <w:color w:val="231F20"/>
          <w:spacing w:val="18"/>
          <w:w w:val="105"/>
        </w:rPr>
        <w:t xml:space="preserve"> </w:t>
      </w:r>
      <w:r w:rsidRPr="00920E5A">
        <w:rPr>
          <w:rFonts w:ascii="Calibri" w:hAnsi="Calibri"/>
          <w:color w:val="231F20"/>
          <w:w w:val="105"/>
        </w:rPr>
        <w:t>percent</w:t>
      </w:r>
      <w:r w:rsidRPr="00920E5A">
        <w:rPr>
          <w:rFonts w:ascii="Calibri" w:hAnsi="Calibri"/>
          <w:color w:val="231F20"/>
          <w:spacing w:val="18"/>
          <w:w w:val="105"/>
        </w:rPr>
        <w:t xml:space="preserve"> </w:t>
      </w:r>
      <w:r w:rsidRPr="00920E5A">
        <w:rPr>
          <w:rFonts w:ascii="Calibri" w:hAnsi="Calibri"/>
          <w:color w:val="231F20"/>
          <w:w w:val="105"/>
        </w:rPr>
        <w:t>growth).</w:t>
      </w:r>
      <w:r w:rsidRPr="00920E5A">
        <w:rPr>
          <w:rFonts w:ascii="Calibri" w:hAnsi="Calibri"/>
        </w:rPr>
        <w:t xml:space="preserve"> </w:t>
      </w:r>
      <w:r w:rsidRPr="00920E5A">
        <w:rPr>
          <w:rFonts w:ascii="Calibri" w:hAnsi="Calibri"/>
          <w:color w:val="231F20"/>
          <w:w w:val="105"/>
        </w:rPr>
        <w:t>Several</w:t>
      </w:r>
      <w:r w:rsidRPr="00920E5A">
        <w:rPr>
          <w:rFonts w:ascii="Calibri" w:hAnsi="Calibri"/>
          <w:color w:val="231F20"/>
          <w:spacing w:val="13"/>
          <w:w w:val="105"/>
        </w:rPr>
        <w:t xml:space="preserve"> </w:t>
      </w:r>
      <w:r w:rsidRPr="00920E5A">
        <w:rPr>
          <w:rFonts w:ascii="Calibri" w:hAnsi="Calibri"/>
          <w:color w:val="231F20"/>
          <w:w w:val="105"/>
        </w:rPr>
        <w:t>computer and mathematical</w:t>
      </w:r>
      <w:r w:rsidRPr="00920E5A">
        <w:rPr>
          <w:rFonts w:ascii="Calibri" w:hAnsi="Calibri"/>
          <w:color w:val="231F20"/>
          <w:spacing w:val="13"/>
          <w:w w:val="105"/>
        </w:rPr>
        <w:t xml:space="preserve"> </w:t>
      </w:r>
      <w:r w:rsidRPr="00920E5A">
        <w:rPr>
          <w:rFonts w:ascii="Calibri" w:hAnsi="Calibri"/>
          <w:color w:val="231F20"/>
          <w:w w:val="105"/>
        </w:rPr>
        <w:t>occupations</w:t>
      </w:r>
      <w:r w:rsidRPr="00920E5A">
        <w:rPr>
          <w:rFonts w:ascii="Calibri" w:hAnsi="Calibri"/>
          <w:color w:val="231F20"/>
          <w:spacing w:val="13"/>
          <w:w w:val="105"/>
        </w:rPr>
        <w:t xml:space="preserve"> </w:t>
      </w:r>
      <w:r w:rsidRPr="00920E5A">
        <w:rPr>
          <w:rFonts w:ascii="Calibri" w:hAnsi="Calibri"/>
          <w:color w:val="231F20"/>
          <w:w w:val="105"/>
        </w:rPr>
        <w:t>are</w:t>
      </w:r>
      <w:r w:rsidRPr="00920E5A">
        <w:rPr>
          <w:rFonts w:ascii="Calibri" w:hAnsi="Calibri"/>
          <w:color w:val="231F20"/>
          <w:spacing w:val="13"/>
          <w:w w:val="105"/>
        </w:rPr>
        <w:t xml:space="preserve"> </w:t>
      </w:r>
      <w:r w:rsidRPr="00920E5A">
        <w:rPr>
          <w:rFonts w:ascii="Calibri" w:hAnsi="Calibri"/>
          <w:color w:val="231F20"/>
          <w:w w:val="105"/>
        </w:rPr>
        <w:t>prevalent</w:t>
      </w:r>
      <w:r w:rsidRPr="00920E5A">
        <w:rPr>
          <w:rFonts w:ascii="Calibri" w:hAnsi="Calibri"/>
          <w:color w:val="231F20"/>
          <w:spacing w:val="13"/>
          <w:w w:val="105"/>
        </w:rPr>
        <w:t xml:space="preserve"> </w:t>
      </w:r>
      <w:r w:rsidRPr="00920E5A">
        <w:rPr>
          <w:rFonts w:ascii="Calibri" w:hAnsi="Calibri"/>
          <w:color w:val="231F20"/>
          <w:w w:val="105"/>
        </w:rPr>
        <w:t>in</w:t>
      </w:r>
      <w:r w:rsidRPr="00920E5A">
        <w:rPr>
          <w:rFonts w:ascii="Calibri" w:hAnsi="Calibri"/>
          <w:color w:val="231F20"/>
          <w:spacing w:val="13"/>
          <w:w w:val="105"/>
        </w:rPr>
        <w:t xml:space="preserve"> </w:t>
      </w:r>
      <w:r w:rsidRPr="00920E5A">
        <w:rPr>
          <w:rFonts w:ascii="Calibri" w:hAnsi="Calibri"/>
          <w:color w:val="231F20"/>
          <w:w w:val="105"/>
        </w:rPr>
        <w:t>the</w:t>
      </w:r>
      <w:r w:rsidRPr="00920E5A">
        <w:rPr>
          <w:rFonts w:ascii="Calibri" w:hAnsi="Calibri"/>
          <w:color w:val="231F20"/>
          <w:spacing w:val="13"/>
          <w:w w:val="105"/>
        </w:rPr>
        <w:t xml:space="preserve"> </w:t>
      </w:r>
      <w:r w:rsidRPr="00920E5A">
        <w:rPr>
          <w:rFonts w:ascii="Calibri" w:hAnsi="Calibri"/>
          <w:color w:val="231F20"/>
          <w:w w:val="105"/>
        </w:rPr>
        <w:t>top</w:t>
      </w:r>
      <w:r w:rsidRPr="00920E5A">
        <w:rPr>
          <w:rFonts w:ascii="Calibri" w:hAnsi="Calibri"/>
          <w:color w:val="231F20"/>
          <w:spacing w:val="13"/>
          <w:w w:val="105"/>
        </w:rPr>
        <w:t xml:space="preserve"> </w:t>
      </w:r>
      <w:r w:rsidRPr="00920E5A">
        <w:rPr>
          <w:rFonts w:ascii="Calibri" w:hAnsi="Calibri"/>
          <w:color w:val="231F20"/>
          <w:w w:val="105"/>
        </w:rPr>
        <w:t>20</w:t>
      </w:r>
      <w:r w:rsidRPr="00920E5A">
        <w:rPr>
          <w:rFonts w:ascii="Calibri" w:hAnsi="Calibri"/>
          <w:color w:val="231F20"/>
          <w:spacing w:val="13"/>
          <w:w w:val="105"/>
        </w:rPr>
        <w:t xml:space="preserve"> </w:t>
      </w:r>
      <w:r w:rsidRPr="00920E5A">
        <w:rPr>
          <w:rFonts w:ascii="Calibri" w:hAnsi="Calibri"/>
          <w:color w:val="231F20"/>
          <w:w w:val="105"/>
        </w:rPr>
        <w:t>list.</w:t>
      </w:r>
      <w:r w:rsidRPr="00920E5A">
        <w:rPr>
          <w:rFonts w:ascii="Calibri" w:hAnsi="Calibri"/>
          <w:color w:val="231F20"/>
          <w:spacing w:val="13"/>
          <w:w w:val="105"/>
        </w:rPr>
        <w:t xml:space="preserve"> </w:t>
      </w:r>
      <w:r w:rsidRPr="00920E5A">
        <w:rPr>
          <w:rFonts w:ascii="Calibri" w:hAnsi="Calibri"/>
          <w:color w:val="231F20"/>
          <w:w w:val="105"/>
        </w:rPr>
        <w:t>Operations Research Analysts</w:t>
      </w:r>
      <w:r w:rsidRPr="00920E5A">
        <w:rPr>
          <w:rFonts w:ascii="Calibri" w:hAnsi="Calibri"/>
          <w:color w:val="231F20"/>
          <w:spacing w:val="13"/>
          <w:w w:val="105"/>
        </w:rPr>
        <w:t xml:space="preserve"> </w:t>
      </w:r>
      <w:r w:rsidRPr="00920E5A">
        <w:rPr>
          <w:rFonts w:ascii="Calibri" w:hAnsi="Calibri"/>
          <w:color w:val="231F20"/>
          <w:w w:val="105"/>
        </w:rPr>
        <w:t>(6,634</w:t>
      </w:r>
      <w:r w:rsidRPr="00920E5A">
        <w:rPr>
          <w:rFonts w:ascii="Calibri" w:hAnsi="Calibri"/>
          <w:color w:val="231F20"/>
          <w:spacing w:val="5"/>
          <w:w w:val="105"/>
        </w:rPr>
        <w:t xml:space="preserve"> </w:t>
      </w:r>
      <w:r w:rsidRPr="00920E5A">
        <w:rPr>
          <w:rFonts w:ascii="Calibri" w:hAnsi="Calibri"/>
          <w:color w:val="231F20"/>
          <w:w w:val="105"/>
        </w:rPr>
        <w:t>jobs in 2017,</w:t>
      </w:r>
      <w:r w:rsidRPr="00920E5A">
        <w:rPr>
          <w:rFonts w:ascii="Calibri" w:hAnsi="Calibri"/>
          <w:color w:val="231F20"/>
          <w:spacing w:val="5"/>
          <w:w w:val="105"/>
        </w:rPr>
        <w:t xml:space="preserve"> </w:t>
      </w:r>
      <w:r w:rsidRPr="00920E5A">
        <w:rPr>
          <w:rFonts w:ascii="Calibri" w:hAnsi="Calibri"/>
          <w:color w:val="231F20"/>
          <w:spacing w:val="-6"/>
          <w:w w:val="105"/>
        </w:rPr>
        <w:t>+26.1</w:t>
      </w:r>
      <w:r w:rsidRPr="00920E5A">
        <w:rPr>
          <w:rFonts w:ascii="Calibri" w:hAnsi="Calibri"/>
          <w:color w:val="231F20"/>
          <w:spacing w:val="5"/>
          <w:w w:val="105"/>
        </w:rPr>
        <w:t xml:space="preserve"> </w:t>
      </w:r>
      <w:r w:rsidRPr="00920E5A">
        <w:rPr>
          <w:rFonts w:ascii="Calibri" w:hAnsi="Calibri"/>
          <w:color w:val="231F20"/>
          <w:w w:val="105"/>
        </w:rPr>
        <w:t>percent</w:t>
      </w:r>
      <w:r w:rsidRPr="00920E5A">
        <w:rPr>
          <w:rFonts w:ascii="Calibri" w:hAnsi="Calibri"/>
          <w:color w:val="231F20"/>
          <w:spacing w:val="5"/>
          <w:w w:val="105"/>
        </w:rPr>
        <w:t xml:space="preserve"> </w:t>
      </w:r>
      <w:r w:rsidRPr="00920E5A">
        <w:rPr>
          <w:rFonts w:ascii="Calibri" w:hAnsi="Calibri"/>
          <w:color w:val="231F20"/>
          <w:w w:val="105"/>
        </w:rPr>
        <w:t>growth) is</w:t>
      </w:r>
      <w:r w:rsidRPr="00920E5A">
        <w:rPr>
          <w:rFonts w:ascii="Calibri" w:hAnsi="Calibri"/>
          <w:color w:val="231F20"/>
          <w:spacing w:val="13"/>
          <w:w w:val="105"/>
        </w:rPr>
        <w:t xml:space="preserve"> </w:t>
      </w:r>
      <w:r w:rsidRPr="00920E5A">
        <w:rPr>
          <w:rFonts w:ascii="Calibri" w:hAnsi="Calibri"/>
          <w:color w:val="231F20"/>
          <w:w w:val="105"/>
        </w:rPr>
        <w:t>the</w:t>
      </w:r>
      <w:r w:rsidRPr="00920E5A">
        <w:rPr>
          <w:rFonts w:ascii="Calibri" w:hAnsi="Calibri"/>
          <w:color w:val="231F20"/>
          <w:spacing w:val="13"/>
          <w:w w:val="105"/>
        </w:rPr>
        <w:t xml:space="preserve"> </w:t>
      </w:r>
      <w:r w:rsidRPr="00920E5A">
        <w:rPr>
          <w:rFonts w:ascii="Calibri" w:hAnsi="Calibri"/>
          <w:color w:val="231F20"/>
          <w:w w:val="105"/>
        </w:rPr>
        <w:t>top</w:t>
      </w:r>
      <w:r w:rsidRPr="00920E5A">
        <w:rPr>
          <w:rFonts w:ascii="Calibri" w:hAnsi="Calibri"/>
          <w:color w:val="231F20"/>
          <w:spacing w:val="13"/>
          <w:w w:val="105"/>
        </w:rPr>
        <w:t xml:space="preserve"> </w:t>
      </w:r>
      <w:r w:rsidRPr="00920E5A">
        <w:rPr>
          <w:rFonts w:ascii="Calibri" w:hAnsi="Calibri"/>
          <w:color w:val="231F20"/>
          <w:w w:val="105"/>
        </w:rPr>
        <w:t>growth</w:t>
      </w:r>
      <w:r w:rsidRPr="00920E5A">
        <w:rPr>
          <w:rFonts w:ascii="Calibri" w:hAnsi="Calibri"/>
          <w:color w:val="231F20"/>
          <w:w w:val="104"/>
        </w:rPr>
        <w:t xml:space="preserve"> </w:t>
      </w:r>
      <w:r w:rsidRPr="00920E5A">
        <w:rPr>
          <w:rFonts w:ascii="Calibri" w:hAnsi="Calibri"/>
          <w:color w:val="231F20"/>
          <w:w w:val="105"/>
        </w:rPr>
        <w:t>occupation in the computer and mathematical</w:t>
      </w:r>
      <w:r w:rsidRPr="00920E5A">
        <w:rPr>
          <w:rFonts w:ascii="Calibri" w:hAnsi="Calibri"/>
          <w:color w:val="231F20"/>
          <w:spacing w:val="13"/>
          <w:w w:val="105"/>
        </w:rPr>
        <w:t xml:space="preserve"> </w:t>
      </w:r>
      <w:r w:rsidRPr="00920E5A">
        <w:rPr>
          <w:rFonts w:ascii="Calibri" w:hAnsi="Calibri"/>
          <w:color w:val="231F20"/>
          <w:w w:val="105"/>
        </w:rPr>
        <w:t>occupation group.</w:t>
      </w:r>
      <w:r w:rsidRPr="00920E5A">
        <w:rPr>
          <w:rFonts w:ascii="Calibri" w:hAnsi="Calibri"/>
          <w:color w:val="231F20"/>
          <w:spacing w:val="10"/>
          <w:w w:val="105"/>
        </w:rPr>
        <w:t xml:space="preserve"> </w:t>
      </w:r>
      <w:r w:rsidRPr="00920E5A">
        <w:rPr>
          <w:rFonts w:ascii="Calibri" w:hAnsi="Calibri"/>
          <w:color w:val="231F20"/>
          <w:w w:val="105"/>
        </w:rPr>
        <w:t>The</w:t>
      </w:r>
      <w:r w:rsidRPr="00920E5A">
        <w:rPr>
          <w:rFonts w:ascii="Calibri" w:hAnsi="Calibri"/>
          <w:color w:val="231F20"/>
          <w:spacing w:val="-49"/>
          <w:w w:val="105"/>
        </w:rPr>
        <w:t xml:space="preserve"> </w:t>
      </w:r>
      <w:r w:rsidRPr="00920E5A">
        <w:rPr>
          <w:rFonts w:ascii="Calibri" w:hAnsi="Calibri"/>
          <w:color w:val="231F20"/>
          <w:w w:val="105"/>
        </w:rPr>
        <w:t>Medical Assistants</w:t>
      </w:r>
      <w:r w:rsidRPr="00920E5A">
        <w:rPr>
          <w:rFonts w:ascii="Calibri" w:hAnsi="Calibri"/>
          <w:color w:val="231F20"/>
          <w:spacing w:val="13"/>
          <w:w w:val="105"/>
        </w:rPr>
        <w:t xml:space="preserve"> </w:t>
      </w:r>
      <w:r w:rsidRPr="00920E5A">
        <w:rPr>
          <w:rFonts w:ascii="Calibri" w:hAnsi="Calibri"/>
          <w:color w:val="231F20"/>
          <w:w w:val="105"/>
        </w:rPr>
        <w:t>occupation</w:t>
      </w:r>
      <w:r w:rsidRPr="00920E5A">
        <w:rPr>
          <w:rFonts w:ascii="Calibri" w:hAnsi="Calibri"/>
          <w:color w:val="231F20"/>
          <w:spacing w:val="13"/>
          <w:w w:val="105"/>
        </w:rPr>
        <w:t xml:space="preserve"> </w:t>
      </w:r>
      <w:r w:rsidRPr="00920E5A">
        <w:rPr>
          <w:rFonts w:ascii="Calibri" w:hAnsi="Calibri"/>
          <w:color w:val="231F20"/>
          <w:w w:val="105"/>
        </w:rPr>
        <w:t>is</w:t>
      </w:r>
      <w:r w:rsidRPr="00920E5A">
        <w:rPr>
          <w:rFonts w:ascii="Calibri" w:hAnsi="Calibri"/>
          <w:color w:val="231F20"/>
          <w:spacing w:val="13"/>
          <w:w w:val="105"/>
        </w:rPr>
        <w:t xml:space="preserve"> </w:t>
      </w:r>
      <w:r w:rsidRPr="00920E5A">
        <w:rPr>
          <w:rFonts w:ascii="Calibri" w:hAnsi="Calibri"/>
          <w:color w:val="231F20"/>
          <w:w w:val="105"/>
        </w:rPr>
        <w:t>the</w:t>
      </w:r>
      <w:r w:rsidRPr="00920E5A">
        <w:rPr>
          <w:rFonts w:ascii="Calibri" w:hAnsi="Calibri"/>
          <w:color w:val="231F20"/>
          <w:spacing w:val="13"/>
          <w:w w:val="105"/>
        </w:rPr>
        <w:t xml:space="preserve"> </w:t>
      </w:r>
      <w:r w:rsidRPr="00920E5A">
        <w:rPr>
          <w:rFonts w:ascii="Calibri" w:hAnsi="Calibri"/>
          <w:color w:val="231F20"/>
          <w:w w:val="105"/>
        </w:rPr>
        <w:t>largest</w:t>
      </w:r>
      <w:r w:rsidRPr="00920E5A">
        <w:rPr>
          <w:rFonts w:ascii="Calibri" w:hAnsi="Calibri"/>
          <w:color w:val="231F20"/>
          <w:spacing w:val="13"/>
          <w:w w:val="105"/>
        </w:rPr>
        <w:t xml:space="preserve"> </w:t>
      </w:r>
      <w:r w:rsidRPr="00920E5A">
        <w:rPr>
          <w:rFonts w:ascii="Calibri" w:hAnsi="Calibri"/>
          <w:color w:val="231F20"/>
          <w:w w:val="105"/>
        </w:rPr>
        <w:t>on</w:t>
      </w:r>
      <w:r w:rsidRPr="00920E5A">
        <w:rPr>
          <w:rFonts w:ascii="Calibri" w:hAnsi="Calibri"/>
          <w:color w:val="231F20"/>
          <w:spacing w:val="13"/>
          <w:w w:val="105"/>
        </w:rPr>
        <w:t xml:space="preserve"> </w:t>
      </w:r>
      <w:r w:rsidRPr="00920E5A">
        <w:rPr>
          <w:rFonts w:ascii="Calibri" w:hAnsi="Calibri"/>
          <w:color w:val="231F20"/>
          <w:w w:val="105"/>
        </w:rPr>
        <w:t>the</w:t>
      </w:r>
      <w:r w:rsidRPr="00920E5A">
        <w:rPr>
          <w:rFonts w:ascii="Calibri" w:hAnsi="Calibri"/>
          <w:color w:val="231F20"/>
          <w:spacing w:val="13"/>
          <w:w w:val="105"/>
        </w:rPr>
        <w:t xml:space="preserve"> </w:t>
      </w:r>
      <w:r w:rsidRPr="00920E5A">
        <w:rPr>
          <w:rFonts w:ascii="Calibri" w:hAnsi="Calibri"/>
          <w:color w:val="231F20"/>
          <w:w w:val="105"/>
        </w:rPr>
        <w:t>top</w:t>
      </w:r>
      <w:r w:rsidRPr="00920E5A">
        <w:rPr>
          <w:rFonts w:ascii="Calibri" w:hAnsi="Calibri"/>
          <w:color w:val="231F20"/>
          <w:spacing w:val="13"/>
          <w:w w:val="105"/>
        </w:rPr>
        <w:t xml:space="preserve"> </w:t>
      </w:r>
      <w:r w:rsidRPr="00920E5A">
        <w:rPr>
          <w:rFonts w:ascii="Calibri" w:hAnsi="Calibri"/>
          <w:color w:val="231F20"/>
          <w:w w:val="105"/>
        </w:rPr>
        <w:t>20</w:t>
      </w:r>
      <w:r w:rsidRPr="00920E5A">
        <w:rPr>
          <w:rFonts w:ascii="Calibri" w:hAnsi="Calibri"/>
          <w:color w:val="231F20"/>
          <w:spacing w:val="13"/>
          <w:w w:val="105"/>
        </w:rPr>
        <w:t xml:space="preserve"> </w:t>
      </w:r>
      <w:r w:rsidRPr="00920E5A">
        <w:rPr>
          <w:rFonts w:ascii="Calibri" w:hAnsi="Calibri"/>
          <w:color w:val="231F20"/>
          <w:w w:val="105"/>
        </w:rPr>
        <w:t>list</w:t>
      </w:r>
      <w:r w:rsidRPr="00920E5A">
        <w:rPr>
          <w:rFonts w:ascii="Calibri" w:hAnsi="Calibri"/>
          <w:color w:val="231F20"/>
          <w:spacing w:val="13"/>
          <w:w w:val="105"/>
        </w:rPr>
        <w:t xml:space="preserve"> </w:t>
      </w:r>
      <w:r w:rsidRPr="00920E5A">
        <w:rPr>
          <w:rFonts w:ascii="Calibri" w:hAnsi="Calibri"/>
          <w:color w:val="231F20"/>
          <w:w w:val="105"/>
        </w:rPr>
        <w:t>with</w:t>
      </w:r>
      <w:r w:rsidRPr="00920E5A">
        <w:rPr>
          <w:rFonts w:ascii="Calibri" w:hAnsi="Calibri"/>
          <w:color w:val="231F20"/>
          <w:spacing w:val="13"/>
          <w:w w:val="105"/>
        </w:rPr>
        <w:t xml:space="preserve"> </w:t>
      </w:r>
      <w:r w:rsidRPr="00920E5A">
        <w:rPr>
          <w:rFonts w:ascii="Calibri" w:hAnsi="Calibri"/>
          <w:color w:val="231F20"/>
          <w:spacing w:val="-3"/>
          <w:w w:val="105"/>
        </w:rPr>
        <w:t>53,577</w:t>
      </w:r>
      <w:r w:rsidRPr="00920E5A">
        <w:rPr>
          <w:rFonts w:ascii="Calibri" w:hAnsi="Calibri"/>
          <w:color w:val="231F20"/>
          <w:spacing w:val="13"/>
          <w:w w:val="105"/>
        </w:rPr>
        <w:t xml:space="preserve"> </w:t>
      </w:r>
      <w:r w:rsidRPr="00920E5A">
        <w:rPr>
          <w:rFonts w:ascii="Calibri" w:hAnsi="Calibri"/>
          <w:color w:val="231F20"/>
          <w:w w:val="105"/>
        </w:rPr>
        <w:t>jobs</w:t>
      </w:r>
      <w:r w:rsidRPr="00920E5A">
        <w:rPr>
          <w:rFonts w:ascii="Calibri" w:hAnsi="Calibri"/>
          <w:color w:val="231F20"/>
          <w:spacing w:val="13"/>
          <w:w w:val="105"/>
        </w:rPr>
        <w:t xml:space="preserve"> </w:t>
      </w:r>
      <w:r w:rsidRPr="00920E5A">
        <w:rPr>
          <w:rFonts w:ascii="Calibri" w:hAnsi="Calibri"/>
          <w:color w:val="231F20"/>
          <w:w w:val="105"/>
        </w:rPr>
        <w:t>in</w:t>
      </w:r>
      <w:r w:rsidRPr="00920E5A">
        <w:rPr>
          <w:rFonts w:ascii="Calibri" w:hAnsi="Calibri"/>
          <w:color w:val="231F20"/>
          <w:spacing w:val="13"/>
          <w:w w:val="105"/>
        </w:rPr>
        <w:t xml:space="preserve"> </w:t>
      </w:r>
      <w:r w:rsidRPr="00920E5A">
        <w:rPr>
          <w:rFonts w:ascii="Calibri" w:hAnsi="Calibri"/>
          <w:color w:val="231F20"/>
          <w:w w:val="105"/>
        </w:rPr>
        <w:t>2017.</w:t>
      </w:r>
    </w:p>
    <w:p w14:paraId="4381CB41" w14:textId="77777777" w:rsidR="00002D76" w:rsidRPr="00FC3331" w:rsidRDefault="00002D76" w:rsidP="00D63204">
      <w:pPr>
        <w:widowControl w:val="0"/>
        <w:spacing w:before="5" w:after="0" w:line="240" w:lineRule="auto"/>
        <w:rPr>
          <w:rFonts w:ascii="Calibri" w:hAnsi="Calibri" w:cs="Calibri"/>
          <w:sz w:val="16"/>
          <w:szCs w:val="16"/>
        </w:rPr>
      </w:pPr>
    </w:p>
    <w:p w14:paraId="655F48D0" w14:textId="19904023" w:rsidR="00002D76" w:rsidRDefault="00002D76" w:rsidP="00D63204">
      <w:pPr>
        <w:widowControl w:val="0"/>
        <w:spacing w:after="0" w:line="264" w:lineRule="exact"/>
        <w:ind w:left="107" w:right="281"/>
        <w:rPr>
          <w:rFonts w:ascii="Calibri" w:hAnsi="Calibri"/>
          <w:color w:val="231F20"/>
          <w:spacing w:val="19"/>
          <w:w w:val="105"/>
        </w:rPr>
      </w:pPr>
      <w:r w:rsidRPr="00757B64">
        <w:rPr>
          <w:rFonts w:ascii="Calibri" w:hAnsi="Calibri"/>
          <w:color w:val="231F20"/>
          <w:w w:val="105"/>
        </w:rPr>
        <w:t>The</w:t>
      </w:r>
      <w:r w:rsidRPr="00757B64">
        <w:rPr>
          <w:rFonts w:ascii="Calibri" w:hAnsi="Calibri"/>
          <w:color w:val="231F20"/>
          <w:spacing w:val="14"/>
          <w:w w:val="105"/>
        </w:rPr>
        <w:t xml:space="preserve"> </w:t>
      </w:r>
      <w:r w:rsidRPr="00757B64">
        <w:rPr>
          <w:rFonts w:ascii="Calibri" w:hAnsi="Calibri"/>
          <w:color w:val="231F20"/>
          <w:w w:val="105"/>
        </w:rPr>
        <w:t>occupations</w:t>
      </w:r>
      <w:r w:rsidRPr="00757B64">
        <w:rPr>
          <w:rFonts w:ascii="Calibri" w:hAnsi="Calibri"/>
          <w:color w:val="231F20"/>
          <w:spacing w:val="14"/>
          <w:w w:val="105"/>
        </w:rPr>
        <w:t xml:space="preserve"> </w:t>
      </w:r>
      <w:r w:rsidRPr="00757B64">
        <w:rPr>
          <w:rFonts w:ascii="Calibri" w:hAnsi="Calibri"/>
          <w:color w:val="231F20"/>
          <w:w w:val="105"/>
        </w:rPr>
        <w:t>gaining</w:t>
      </w:r>
      <w:r w:rsidRPr="00757B64">
        <w:rPr>
          <w:rFonts w:ascii="Calibri" w:hAnsi="Calibri"/>
          <w:color w:val="231F20"/>
          <w:spacing w:val="14"/>
          <w:w w:val="105"/>
        </w:rPr>
        <w:t xml:space="preserve"> </w:t>
      </w:r>
      <w:r w:rsidRPr="00757B64">
        <w:rPr>
          <w:rFonts w:ascii="Calibri" w:hAnsi="Calibri"/>
          <w:color w:val="231F20"/>
          <w:w w:val="105"/>
        </w:rPr>
        <w:t>the</w:t>
      </w:r>
      <w:r w:rsidRPr="00757B64">
        <w:rPr>
          <w:rFonts w:ascii="Calibri" w:hAnsi="Calibri"/>
          <w:color w:val="231F20"/>
          <w:spacing w:val="14"/>
          <w:w w:val="105"/>
        </w:rPr>
        <w:t xml:space="preserve"> </w:t>
      </w:r>
      <w:r w:rsidRPr="00757B64">
        <w:rPr>
          <w:rFonts w:ascii="Calibri" w:hAnsi="Calibri"/>
          <w:color w:val="231F20"/>
          <w:w w:val="105"/>
        </w:rPr>
        <w:t>most</w:t>
      </w:r>
      <w:r w:rsidR="00176F64">
        <w:rPr>
          <w:rFonts w:ascii="Calibri" w:hAnsi="Calibri"/>
          <w:color w:val="231F20"/>
          <w:w w:val="105"/>
        </w:rPr>
        <w:t xml:space="preserve"> </w:t>
      </w:r>
      <w:r w:rsidRPr="00757B64">
        <w:rPr>
          <w:rFonts w:ascii="Calibri" w:hAnsi="Calibri"/>
          <w:color w:val="231F20"/>
          <w:w w:val="105"/>
        </w:rPr>
        <w:t>new</w:t>
      </w:r>
      <w:r w:rsidRPr="00757B64">
        <w:rPr>
          <w:rFonts w:ascii="Calibri" w:hAnsi="Calibri"/>
          <w:color w:val="231F20"/>
          <w:spacing w:val="14"/>
          <w:w w:val="105"/>
        </w:rPr>
        <w:t xml:space="preserve"> </w:t>
      </w:r>
      <w:r w:rsidRPr="00757B64">
        <w:rPr>
          <w:rFonts w:ascii="Calibri" w:hAnsi="Calibri"/>
          <w:color w:val="231F20"/>
          <w:w w:val="105"/>
        </w:rPr>
        <w:t>jobs</w:t>
      </w:r>
      <w:r w:rsidRPr="00757B64">
        <w:rPr>
          <w:rFonts w:ascii="Calibri" w:hAnsi="Calibri"/>
          <w:color w:val="231F20"/>
          <w:spacing w:val="14"/>
          <w:w w:val="105"/>
        </w:rPr>
        <w:t xml:space="preserve"> </w:t>
      </w:r>
      <w:r w:rsidRPr="00757B64">
        <w:rPr>
          <w:rFonts w:ascii="Calibri" w:hAnsi="Calibri"/>
          <w:color w:val="231F20"/>
          <w:w w:val="105"/>
        </w:rPr>
        <w:t>represent</w:t>
      </w:r>
      <w:r w:rsidRPr="00757B64">
        <w:rPr>
          <w:rFonts w:ascii="Calibri" w:hAnsi="Calibri"/>
          <w:color w:val="231F20"/>
          <w:spacing w:val="14"/>
          <w:w w:val="105"/>
        </w:rPr>
        <w:t xml:space="preserve"> </w:t>
      </w:r>
      <w:r w:rsidRPr="00757B64">
        <w:rPr>
          <w:rFonts w:ascii="Calibri" w:hAnsi="Calibri"/>
          <w:color w:val="231F20"/>
          <w:w w:val="105"/>
        </w:rPr>
        <w:t>a</w:t>
      </w:r>
      <w:r w:rsidRPr="00757B64">
        <w:rPr>
          <w:rFonts w:ascii="Calibri" w:hAnsi="Calibri"/>
          <w:color w:val="231F20"/>
          <w:spacing w:val="14"/>
          <w:w w:val="105"/>
        </w:rPr>
        <w:t xml:space="preserve"> </w:t>
      </w:r>
      <w:r w:rsidRPr="00757B64">
        <w:rPr>
          <w:rFonts w:ascii="Calibri" w:hAnsi="Calibri"/>
          <w:color w:val="231F20"/>
          <w:w w:val="105"/>
        </w:rPr>
        <w:t>mix</w:t>
      </w:r>
      <w:r w:rsidRPr="00757B64">
        <w:rPr>
          <w:rFonts w:ascii="Calibri" w:hAnsi="Calibri"/>
          <w:color w:val="231F20"/>
          <w:spacing w:val="14"/>
          <w:w w:val="105"/>
        </w:rPr>
        <w:t xml:space="preserve"> </w:t>
      </w:r>
      <w:r w:rsidRPr="00757B64">
        <w:rPr>
          <w:rFonts w:ascii="Calibri" w:hAnsi="Calibri"/>
          <w:color w:val="231F20"/>
          <w:w w:val="105"/>
        </w:rPr>
        <w:t>of</w:t>
      </w:r>
      <w:r w:rsidRPr="00757B64">
        <w:rPr>
          <w:rFonts w:ascii="Calibri" w:hAnsi="Calibri"/>
          <w:color w:val="231F20"/>
          <w:spacing w:val="14"/>
          <w:w w:val="105"/>
        </w:rPr>
        <w:t xml:space="preserve"> </w:t>
      </w:r>
      <w:r w:rsidRPr="00757B64">
        <w:rPr>
          <w:rFonts w:ascii="Calibri" w:hAnsi="Calibri"/>
          <w:color w:val="231F20"/>
          <w:w w:val="105"/>
        </w:rPr>
        <w:t>occupations</w:t>
      </w:r>
      <w:r w:rsidRPr="00757B64">
        <w:rPr>
          <w:rFonts w:ascii="Calibri" w:hAnsi="Calibri"/>
          <w:color w:val="231F20"/>
          <w:spacing w:val="14"/>
          <w:w w:val="105"/>
        </w:rPr>
        <w:t xml:space="preserve"> </w:t>
      </w:r>
      <w:r w:rsidRPr="00757B64">
        <w:rPr>
          <w:rFonts w:ascii="Calibri" w:hAnsi="Calibri"/>
          <w:color w:val="231F20"/>
          <w:w w:val="105"/>
        </w:rPr>
        <w:t>needed</w:t>
      </w:r>
      <w:r w:rsidRPr="00757B64">
        <w:rPr>
          <w:rFonts w:ascii="Calibri" w:hAnsi="Calibri"/>
          <w:color w:val="231F20"/>
          <w:spacing w:val="14"/>
          <w:w w:val="105"/>
        </w:rPr>
        <w:t xml:space="preserve"> </w:t>
      </w:r>
      <w:r w:rsidRPr="00757B64">
        <w:rPr>
          <w:rFonts w:ascii="Calibri" w:hAnsi="Calibri"/>
          <w:color w:val="231F20"/>
          <w:w w:val="105"/>
        </w:rPr>
        <w:t>by</w:t>
      </w:r>
      <w:r w:rsidRPr="00757B64">
        <w:rPr>
          <w:rFonts w:ascii="Calibri" w:hAnsi="Calibri"/>
          <w:color w:val="231F20"/>
          <w:spacing w:val="14"/>
          <w:w w:val="105"/>
        </w:rPr>
        <w:t xml:space="preserve"> </w:t>
      </w:r>
      <w:r w:rsidRPr="00757B64">
        <w:rPr>
          <w:rFonts w:ascii="Calibri" w:hAnsi="Calibri"/>
          <w:color w:val="231F20"/>
          <w:w w:val="105"/>
        </w:rPr>
        <w:t>tourism-related</w:t>
      </w:r>
      <w:r w:rsidRPr="00757B64">
        <w:rPr>
          <w:rFonts w:ascii="Calibri" w:hAnsi="Calibri"/>
          <w:color w:val="231F20"/>
          <w:spacing w:val="-5"/>
          <w:w w:val="105"/>
        </w:rPr>
        <w:t xml:space="preserve"> </w:t>
      </w:r>
      <w:r w:rsidRPr="00757B64">
        <w:rPr>
          <w:rFonts w:ascii="Calibri" w:hAnsi="Calibri"/>
          <w:color w:val="231F20"/>
          <w:w w:val="105"/>
        </w:rPr>
        <w:t>industries</w:t>
      </w:r>
      <w:r w:rsidRPr="00757B64">
        <w:rPr>
          <w:rFonts w:ascii="Calibri" w:hAnsi="Calibri"/>
          <w:color w:val="231F20"/>
          <w:spacing w:val="11"/>
          <w:w w:val="105"/>
        </w:rPr>
        <w:t xml:space="preserve"> </w:t>
      </w:r>
      <w:r w:rsidRPr="00757B64">
        <w:rPr>
          <w:rFonts w:ascii="Calibri" w:hAnsi="Calibri"/>
          <w:color w:val="231F20"/>
          <w:w w:val="105"/>
        </w:rPr>
        <w:t>along</w:t>
      </w:r>
      <w:r w:rsidRPr="00757B64">
        <w:rPr>
          <w:rFonts w:ascii="Calibri" w:hAnsi="Calibri"/>
          <w:color w:val="231F20"/>
          <w:spacing w:val="11"/>
          <w:w w:val="105"/>
        </w:rPr>
        <w:t xml:space="preserve"> </w:t>
      </w:r>
      <w:r w:rsidRPr="00757B64">
        <w:rPr>
          <w:rFonts w:ascii="Calibri" w:hAnsi="Calibri"/>
          <w:color w:val="231F20"/>
          <w:w w:val="105"/>
        </w:rPr>
        <w:t>with</w:t>
      </w:r>
      <w:r w:rsidRPr="00757B64">
        <w:rPr>
          <w:rFonts w:ascii="Calibri" w:hAnsi="Calibri"/>
          <w:color w:val="231F20"/>
          <w:spacing w:val="11"/>
          <w:w w:val="105"/>
        </w:rPr>
        <w:t xml:space="preserve"> </w:t>
      </w:r>
      <w:r w:rsidRPr="00757B64">
        <w:rPr>
          <w:rFonts w:ascii="Calibri" w:hAnsi="Calibri"/>
          <w:color w:val="231F20"/>
          <w:w w:val="105"/>
        </w:rPr>
        <w:t>healthcare</w:t>
      </w:r>
      <w:r w:rsidRPr="00757B64">
        <w:rPr>
          <w:rFonts w:ascii="Calibri" w:hAnsi="Calibri"/>
          <w:color w:val="231F20"/>
          <w:spacing w:val="11"/>
          <w:w w:val="105"/>
        </w:rPr>
        <w:t xml:space="preserve"> </w:t>
      </w:r>
      <w:r w:rsidRPr="00757B64">
        <w:rPr>
          <w:rFonts w:ascii="Calibri" w:hAnsi="Calibri"/>
          <w:color w:val="231F20"/>
          <w:w w:val="105"/>
        </w:rPr>
        <w:t>and</w:t>
      </w:r>
      <w:r w:rsidRPr="00757B64">
        <w:rPr>
          <w:rFonts w:ascii="Calibri" w:hAnsi="Calibri"/>
          <w:color w:val="231F20"/>
          <w:spacing w:val="11"/>
          <w:w w:val="105"/>
        </w:rPr>
        <w:t xml:space="preserve"> </w:t>
      </w:r>
      <w:r w:rsidRPr="00757B64">
        <w:rPr>
          <w:rFonts w:ascii="Calibri" w:hAnsi="Calibri"/>
          <w:color w:val="231F20"/>
          <w:w w:val="105"/>
        </w:rPr>
        <w:t>construction</w:t>
      </w:r>
      <w:r w:rsidRPr="00757B64">
        <w:rPr>
          <w:rFonts w:ascii="Calibri" w:hAnsi="Calibri"/>
          <w:color w:val="231F20"/>
          <w:spacing w:val="11"/>
          <w:w w:val="105"/>
        </w:rPr>
        <w:t xml:space="preserve"> </w:t>
      </w:r>
      <w:r w:rsidRPr="00757B64">
        <w:rPr>
          <w:rFonts w:ascii="Calibri" w:hAnsi="Calibri"/>
          <w:color w:val="231F20"/>
          <w:w w:val="105"/>
        </w:rPr>
        <w:t>occupations.</w:t>
      </w:r>
      <w:r w:rsidRPr="00757B64">
        <w:rPr>
          <w:rFonts w:ascii="Calibri" w:hAnsi="Calibri"/>
          <w:color w:val="231F20"/>
          <w:spacing w:val="23"/>
          <w:w w:val="105"/>
        </w:rPr>
        <w:t xml:space="preserve"> </w:t>
      </w:r>
      <w:r w:rsidRPr="00757B64">
        <w:rPr>
          <w:rFonts w:ascii="Calibri" w:hAnsi="Calibri"/>
          <w:color w:val="231F20"/>
          <w:w w:val="105"/>
        </w:rPr>
        <w:t>Both</w:t>
      </w:r>
      <w:r w:rsidRPr="00757B64">
        <w:rPr>
          <w:rFonts w:ascii="Calibri" w:hAnsi="Calibri"/>
          <w:color w:val="231F20"/>
          <w:spacing w:val="11"/>
          <w:w w:val="105"/>
        </w:rPr>
        <w:t xml:space="preserve"> </w:t>
      </w:r>
      <w:r w:rsidRPr="00757B64">
        <w:rPr>
          <w:rFonts w:ascii="Calibri" w:hAnsi="Calibri"/>
          <w:color w:val="231F20"/>
          <w:w w:val="105"/>
        </w:rPr>
        <w:t>registered</w:t>
      </w:r>
      <w:r w:rsidRPr="00757B64">
        <w:rPr>
          <w:rFonts w:ascii="Calibri" w:hAnsi="Calibri"/>
          <w:color w:val="231F20"/>
          <w:spacing w:val="11"/>
          <w:w w:val="105"/>
        </w:rPr>
        <w:t xml:space="preserve"> </w:t>
      </w:r>
      <w:r w:rsidRPr="00757B64">
        <w:rPr>
          <w:rFonts w:ascii="Calibri" w:hAnsi="Calibri"/>
          <w:color w:val="231F20"/>
          <w:w w:val="105"/>
        </w:rPr>
        <w:t>nurses</w:t>
      </w:r>
      <w:r w:rsidRPr="00757B64">
        <w:rPr>
          <w:rFonts w:ascii="Calibri" w:hAnsi="Calibri"/>
          <w:color w:val="231F20"/>
          <w:spacing w:val="11"/>
          <w:w w:val="105"/>
        </w:rPr>
        <w:t xml:space="preserve"> </w:t>
      </w:r>
      <w:r w:rsidRPr="00757B64">
        <w:rPr>
          <w:rFonts w:ascii="Calibri" w:hAnsi="Calibri"/>
          <w:color w:val="231F20"/>
          <w:spacing w:val="-5"/>
          <w:w w:val="105"/>
        </w:rPr>
        <w:t>(30,306</w:t>
      </w:r>
      <w:r w:rsidRPr="00757B64">
        <w:rPr>
          <w:rFonts w:ascii="Calibri" w:hAnsi="Calibri"/>
          <w:color w:val="231F20"/>
          <w:spacing w:val="11"/>
          <w:w w:val="105"/>
        </w:rPr>
        <w:t xml:space="preserve"> </w:t>
      </w:r>
      <w:r w:rsidRPr="00757B64">
        <w:rPr>
          <w:rFonts w:ascii="Calibri" w:hAnsi="Calibri"/>
          <w:color w:val="231F20"/>
          <w:w w:val="105"/>
        </w:rPr>
        <w:t>new</w:t>
      </w:r>
      <w:r w:rsidRPr="00757B64">
        <w:rPr>
          <w:rFonts w:ascii="Calibri" w:hAnsi="Calibri"/>
          <w:color w:val="231F20"/>
          <w:spacing w:val="11"/>
          <w:w w:val="105"/>
        </w:rPr>
        <w:t xml:space="preserve"> </w:t>
      </w:r>
      <w:r w:rsidRPr="00757B64">
        <w:rPr>
          <w:rFonts w:ascii="Calibri" w:hAnsi="Calibri"/>
          <w:color w:val="231F20"/>
          <w:w w:val="105"/>
        </w:rPr>
        <w:t>jobs)</w:t>
      </w:r>
      <w:r w:rsidRPr="00757B64">
        <w:rPr>
          <w:rFonts w:ascii="Calibri" w:hAnsi="Calibri"/>
          <w:color w:val="231F20"/>
          <w:spacing w:val="-39"/>
          <w:w w:val="105"/>
        </w:rPr>
        <w:t xml:space="preserve"> </w:t>
      </w:r>
      <w:r w:rsidRPr="00757B64">
        <w:rPr>
          <w:rFonts w:ascii="Calibri" w:hAnsi="Calibri"/>
          <w:color w:val="231F20"/>
          <w:w w:val="105"/>
        </w:rPr>
        <w:t>and nursing assistants (17,626</w:t>
      </w:r>
      <w:r w:rsidRPr="00757B64">
        <w:rPr>
          <w:rFonts w:ascii="Calibri" w:hAnsi="Calibri"/>
          <w:color w:val="231F20"/>
          <w:spacing w:val="11"/>
          <w:w w:val="105"/>
        </w:rPr>
        <w:t xml:space="preserve"> </w:t>
      </w:r>
      <w:r w:rsidRPr="00757B64">
        <w:rPr>
          <w:rFonts w:ascii="Calibri" w:hAnsi="Calibri"/>
          <w:color w:val="231F20"/>
          <w:w w:val="105"/>
        </w:rPr>
        <w:t>new</w:t>
      </w:r>
      <w:r w:rsidRPr="00757B64">
        <w:rPr>
          <w:rFonts w:ascii="Calibri" w:hAnsi="Calibri"/>
          <w:color w:val="231F20"/>
          <w:spacing w:val="11"/>
          <w:w w:val="105"/>
        </w:rPr>
        <w:t xml:space="preserve"> </w:t>
      </w:r>
      <w:r w:rsidRPr="00757B64">
        <w:rPr>
          <w:rFonts w:ascii="Calibri" w:hAnsi="Calibri"/>
          <w:color w:val="231F20"/>
          <w:w w:val="105"/>
        </w:rPr>
        <w:t>jobs) are in the top 20 list. Combined food workers (38,690 new</w:t>
      </w:r>
      <w:r w:rsidRPr="00757B64">
        <w:rPr>
          <w:rFonts w:ascii="Calibri" w:hAnsi="Calibri"/>
          <w:color w:val="231F20"/>
          <w:spacing w:val="44"/>
          <w:w w:val="105"/>
        </w:rPr>
        <w:t xml:space="preserve"> </w:t>
      </w:r>
      <w:r w:rsidRPr="00757B64">
        <w:rPr>
          <w:rFonts w:ascii="Calibri" w:hAnsi="Calibri"/>
          <w:color w:val="231F20"/>
          <w:w w:val="105"/>
        </w:rPr>
        <w:t>jobs),</w:t>
      </w:r>
      <w:r w:rsidRPr="00757B64">
        <w:rPr>
          <w:rFonts w:ascii="Calibri" w:hAnsi="Calibri"/>
          <w:color w:val="231F20"/>
          <w:w w:val="103"/>
        </w:rPr>
        <w:t xml:space="preserve"> </w:t>
      </w:r>
      <w:r w:rsidRPr="00757B64">
        <w:rPr>
          <w:rFonts w:ascii="Calibri" w:hAnsi="Calibri"/>
          <w:color w:val="231F20"/>
          <w:w w:val="105"/>
        </w:rPr>
        <w:t>waiters and waitresses (20,815</w:t>
      </w:r>
      <w:r w:rsidRPr="00757B64">
        <w:rPr>
          <w:rFonts w:ascii="Calibri" w:hAnsi="Calibri"/>
          <w:color w:val="231F20"/>
          <w:spacing w:val="11"/>
          <w:w w:val="105"/>
        </w:rPr>
        <w:t xml:space="preserve"> </w:t>
      </w:r>
      <w:r w:rsidRPr="00757B64">
        <w:rPr>
          <w:rFonts w:ascii="Calibri" w:hAnsi="Calibri"/>
          <w:color w:val="231F20"/>
          <w:w w:val="105"/>
        </w:rPr>
        <w:t>new</w:t>
      </w:r>
      <w:r w:rsidRPr="00757B64">
        <w:rPr>
          <w:rFonts w:ascii="Calibri" w:hAnsi="Calibri"/>
          <w:color w:val="231F20"/>
          <w:spacing w:val="11"/>
          <w:w w:val="105"/>
        </w:rPr>
        <w:t xml:space="preserve"> </w:t>
      </w:r>
      <w:r w:rsidRPr="00757B64">
        <w:rPr>
          <w:rFonts w:ascii="Calibri" w:hAnsi="Calibri"/>
          <w:color w:val="231F20"/>
          <w:w w:val="105"/>
        </w:rPr>
        <w:t xml:space="preserve">jobs) and restaurant cooks </w:t>
      </w:r>
      <w:r w:rsidRPr="00757B64">
        <w:rPr>
          <w:rFonts w:ascii="Calibri" w:hAnsi="Calibri"/>
          <w:color w:val="231F20"/>
          <w:spacing w:val="-3"/>
          <w:w w:val="105"/>
        </w:rPr>
        <w:t>(19,868</w:t>
      </w:r>
      <w:r w:rsidRPr="00757B64">
        <w:rPr>
          <w:rFonts w:ascii="Calibri" w:hAnsi="Calibri"/>
          <w:color w:val="231F20"/>
          <w:spacing w:val="11"/>
          <w:w w:val="105"/>
        </w:rPr>
        <w:t xml:space="preserve"> </w:t>
      </w:r>
      <w:r w:rsidRPr="00757B64">
        <w:rPr>
          <w:rFonts w:ascii="Calibri" w:hAnsi="Calibri"/>
          <w:color w:val="231F20"/>
          <w:w w:val="105"/>
        </w:rPr>
        <w:t>new</w:t>
      </w:r>
      <w:r w:rsidRPr="00757B64">
        <w:rPr>
          <w:rFonts w:ascii="Calibri" w:hAnsi="Calibri"/>
          <w:color w:val="231F20"/>
          <w:spacing w:val="11"/>
          <w:w w:val="105"/>
        </w:rPr>
        <w:t xml:space="preserve"> </w:t>
      </w:r>
      <w:r w:rsidRPr="00757B64">
        <w:rPr>
          <w:rFonts w:ascii="Calibri" w:hAnsi="Calibri"/>
          <w:color w:val="231F20"/>
          <w:w w:val="105"/>
        </w:rPr>
        <w:t>jobs</w:t>
      </w:r>
      <w:r w:rsidRPr="00757B64">
        <w:rPr>
          <w:rFonts w:ascii="Calibri" w:hAnsi="Calibri"/>
          <w:color w:val="231F20"/>
          <w:spacing w:val="-3"/>
          <w:w w:val="105"/>
        </w:rPr>
        <w:t xml:space="preserve">) </w:t>
      </w:r>
      <w:r w:rsidRPr="00757B64">
        <w:rPr>
          <w:rFonts w:ascii="Calibri" w:hAnsi="Calibri"/>
          <w:color w:val="231F20"/>
          <w:w w:val="105"/>
        </w:rPr>
        <w:t>are employed in tourism-related industries. Many</w:t>
      </w:r>
      <w:r w:rsidRPr="00757B64">
        <w:rPr>
          <w:rFonts w:ascii="Calibri" w:hAnsi="Calibri"/>
          <w:color w:val="231F20"/>
          <w:w w:val="102"/>
        </w:rPr>
        <w:t xml:space="preserve"> </w:t>
      </w:r>
      <w:r w:rsidRPr="00757B64">
        <w:rPr>
          <w:rFonts w:ascii="Calibri" w:hAnsi="Calibri"/>
          <w:color w:val="231F20"/>
          <w:w w:val="105"/>
        </w:rPr>
        <w:t>of</w:t>
      </w:r>
      <w:r w:rsidRPr="00757B64">
        <w:rPr>
          <w:rFonts w:ascii="Calibri" w:hAnsi="Calibri"/>
          <w:color w:val="231F20"/>
          <w:spacing w:val="8"/>
          <w:w w:val="105"/>
        </w:rPr>
        <w:t xml:space="preserve"> </w:t>
      </w:r>
      <w:r w:rsidRPr="00757B64">
        <w:rPr>
          <w:rFonts w:ascii="Calibri" w:hAnsi="Calibri"/>
          <w:color w:val="231F20"/>
          <w:w w:val="105"/>
        </w:rPr>
        <w:t>the</w:t>
      </w:r>
      <w:r w:rsidRPr="00757B64">
        <w:rPr>
          <w:rFonts w:ascii="Calibri" w:hAnsi="Calibri"/>
          <w:color w:val="231F20"/>
          <w:spacing w:val="8"/>
          <w:w w:val="105"/>
        </w:rPr>
        <w:t xml:space="preserve"> </w:t>
      </w:r>
      <w:r w:rsidRPr="00757B64">
        <w:rPr>
          <w:rFonts w:ascii="Calibri" w:hAnsi="Calibri"/>
          <w:color w:val="231F20"/>
          <w:w w:val="105"/>
        </w:rPr>
        <w:t>top</w:t>
      </w:r>
      <w:r w:rsidRPr="00757B64">
        <w:rPr>
          <w:rFonts w:ascii="Calibri" w:hAnsi="Calibri"/>
          <w:color w:val="231F20"/>
          <w:spacing w:val="8"/>
          <w:w w:val="105"/>
        </w:rPr>
        <w:t xml:space="preserve"> </w:t>
      </w:r>
      <w:r w:rsidRPr="00757B64">
        <w:rPr>
          <w:rFonts w:ascii="Calibri" w:hAnsi="Calibri"/>
          <w:color w:val="231F20"/>
          <w:w w:val="105"/>
        </w:rPr>
        <w:t>occupations</w:t>
      </w:r>
      <w:r w:rsidRPr="00757B64">
        <w:rPr>
          <w:rFonts w:ascii="Calibri" w:hAnsi="Calibri"/>
          <w:color w:val="231F20"/>
          <w:spacing w:val="8"/>
          <w:w w:val="105"/>
        </w:rPr>
        <w:t xml:space="preserve"> </w:t>
      </w:r>
      <w:r w:rsidRPr="00757B64">
        <w:rPr>
          <w:rFonts w:ascii="Calibri" w:hAnsi="Calibri"/>
          <w:color w:val="231F20"/>
          <w:w w:val="105"/>
        </w:rPr>
        <w:t>with</w:t>
      </w:r>
      <w:r w:rsidRPr="00757B64">
        <w:rPr>
          <w:rFonts w:ascii="Calibri" w:hAnsi="Calibri"/>
          <w:color w:val="231F20"/>
          <w:spacing w:val="8"/>
          <w:w w:val="105"/>
        </w:rPr>
        <w:t xml:space="preserve"> </w:t>
      </w:r>
      <w:r w:rsidRPr="00757B64">
        <w:rPr>
          <w:rFonts w:ascii="Calibri" w:hAnsi="Calibri"/>
          <w:color w:val="231F20"/>
          <w:w w:val="105"/>
        </w:rPr>
        <w:t>the</w:t>
      </w:r>
      <w:r w:rsidRPr="00757B64">
        <w:rPr>
          <w:rFonts w:ascii="Calibri" w:hAnsi="Calibri"/>
          <w:color w:val="231F20"/>
          <w:spacing w:val="8"/>
          <w:w w:val="105"/>
        </w:rPr>
        <w:t xml:space="preserve"> </w:t>
      </w:r>
      <w:r w:rsidRPr="00757B64">
        <w:rPr>
          <w:rFonts w:ascii="Calibri" w:hAnsi="Calibri"/>
          <w:color w:val="231F20"/>
          <w:w w:val="105"/>
        </w:rPr>
        <w:t>most</w:t>
      </w:r>
      <w:r w:rsidRPr="00757B64">
        <w:rPr>
          <w:rFonts w:ascii="Calibri" w:hAnsi="Calibri"/>
          <w:color w:val="231F20"/>
          <w:spacing w:val="8"/>
          <w:w w:val="105"/>
        </w:rPr>
        <w:t xml:space="preserve"> </w:t>
      </w:r>
      <w:r w:rsidRPr="00757B64">
        <w:rPr>
          <w:rFonts w:ascii="Calibri" w:hAnsi="Calibri"/>
          <w:color w:val="231F20"/>
          <w:w w:val="105"/>
        </w:rPr>
        <w:t>new</w:t>
      </w:r>
      <w:r w:rsidRPr="00757B64">
        <w:rPr>
          <w:rFonts w:ascii="Calibri" w:hAnsi="Calibri"/>
          <w:color w:val="231F20"/>
          <w:spacing w:val="8"/>
          <w:w w:val="105"/>
        </w:rPr>
        <w:t xml:space="preserve"> </w:t>
      </w:r>
      <w:r w:rsidRPr="00757B64">
        <w:rPr>
          <w:rFonts w:ascii="Calibri" w:hAnsi="Calibri"/>
          <w:color w:val="231F20"/>
          <w:w w:val="105"/>
        </w:rPr>
        <w:t>jobs</w:t>
      </w:r>
      <w:r w:rsidRPr="00757B64">
        <w:rPr>
          <w:rFonts w:ascii="Calibri" w:hAnsi="Calibri"/>
          <w:color w:val="231F20"/>
          <w:spacing w:val="8"/>
          <w:w w:val="105"/>
        </w:rPr>
        <w:t xml:space="preserve"> </w:t>
      </w:r>
      <w:r w:rsidRPr="00757B64">
        <w:rPr>
          <w:rFonts w:ascii="Calibri" w:hAnsi="Calibri"/>
          <w:color w:val="231F20"/>
          <w:w w:val="105"/>
        </w:rPr>
        <w:t>are</w:t>
      </w:r>
      <w:r w:rsidRPr="00757B64">
        <w:rPr>
          <w:rFonts w:ascii="Calibri" w:hAnsi="Calibri"/>
          <w:color w:val="231F20"/>
          <w:spacing w:val="8"/>
          <w:w w:val="105"/>
        </w:rPr>
        <w:t xml:space="preserve"> </w:t>
      </w:r>
      <w:r w:rsidRPr="00757B64">
        <w:rPr>
          <w:rFonts w:ascii="Calibri" w:hAnsi="Calibri"/>
          <w:color w:val="231F20"/>
          <w:w w:val="105"/>
        </w:rPr>
        <w:t>used</w:t>
      </w:r>
      <w:r w:rsidRPr="00757B64">
        <w:rPr>
          <w:rFonts w:ascii="Calibri" w:hAnsi="Calibri"/>
          <w:color w:val="231F20"/>
          <w:spacing w:val="8"/>
          <w:w w:val="105"/>
        </w:rPr>
        <w:t xml:space="preserve"> </w:t>
      </w:r>
      <w:r w:rsidRPr="00757B64">
        <w:rPr>
          <w:rFonts w:ascii="Calibri" w:hAnsi="Calibri"/>
          <w:color w:val="231F20"/>
          <w:w w:val="105"/>
        </w:rPr>
        <w:t>by</w:t>
      </w:r>
      <w:r w:rsidRPr="00757B64">
        <w:rPr>
          <w:rFonts w:ascii="Calibri" w:hAnsi="Calibri"/>
          <w:color w:val="231F20"/>
          <w:spacing w:val="8"/>
          <w:w w:val="105"/>
        </w:rPr>
        <w:t xml:space="preserve"> </w:t>
      </w:r>
      <w:r w:rsidRPr="00757B64">
        <w:rPr>
          <w:rFonts w:ascii="Calibri" w:hAnsi="Calibri"/>
          <w:color w:val="231F20"/>
          <w:w w:val="105"/>
        </w:rPr>
        <w:t>many</w:t>
      </w:r>
      <w:r w:rsidRPr="00757B64">
        <w:rPr>
          <w:rFonts w:ascii="Calibri" w:hAnsi="Calibri"/>
          <w:color w:val="231F20"/>
          <w:spacing w:val="8"/>
          <w:w w:val="105"/>
        </w:rPr>
        <w:t xml:space="preserve"> </w:t>
      </w:r>
      <w:r w:rsidRPr="00757B64">
        <w:rPr>
          <w:rFonts w:ascii="Calibri" w:hAnsi="Calibri"/>
          <w:color w:val="231F20"/>
          <w:w w:val="105"/>
        </w:rPr>
        <w:t>different</w:t>
      </w:r>
      <w:r w:rsidRPr="00757B64">
        <w:rPr>
          <w:rFonts w:ascii="Calibri" w:hAnsi="Calibri"/>
          <w:color w:val="231F20"/>
          <w:spacing w:val="8"/>
          <w:w w:val="105"/>
        </w:rPr>
        <w:t xml:space="preserve"> </w:t>
      </w:r>
      <w:r w:rsidRPr="00757B64">
        <w:rPr>
          <w:rFonts w:ascii="Calibri" w:hAnsi="Calibri"/>
          <w:color w:val="231F20"/>
          <w:w w:val="105"/>
        </w:rPr>
        <w:t>industries.</w:t>
      </w:r>
      <w:r w:rsidRPr="00757B64">
        <w:rPr>
          <w:rFonts w:ascii="Calibri" w:hAnsi="Calibri"/>
          <w:color w:val="231F20"/>
          <w:spacing w:val="17"/>
          <w:w w:val="105"/>
        </w:rPr>
        <w:t xml:space="preserve"> </w:t>
      </w:r>
      <w:r w:rsidRPr="00757B64">
        <w:rPr>
          <w:rFonts w:ascii="Calibri" w:hAnsi="Calibri"/>
          <w:color w:val="231F20"/>
          <w:w w:val="105"/>
        </w:rPr>
        <w:t>These</w:t>
      </w:r>
      <w:r w:rsidRPr="00757B64">
        <w:rPr>
          <w:rFonts w:ascii="Calibri" w:hAnsi="Calibri"/>
          <w:color w:val="231F20"/>
          <w:spacing w:val="8"/>
          <w:w w:val="105"/>
        </w:rPr>
        <w:t xml:space="preserve"> </w:t>
      </w:r>
      <w:r w:rsidRPr="00757B64">
        <w:rPr>
          <w:rFonts w:ascii="Calibri" w:hAnsi="Calibri"/>
          <w:color w:val="231F20"/>
          <w:w w:val="105"/>
        </w:rPr>
        <w:t>include</w:t>
      </w:r>
      <w:r w:rsidRPr="00757B64">
        <w:rPr>
          <w:rFonts w:ascii="Calibri" w:hAnsi="Calibri"/>
          <w:color w:val="231F20"/>
          <w:spacing w:val="-15"/>
          <w:w w:val="105"/>
        </w:rPr>
        <w:t xml:space="preserve"> </w:t>
      </w:r>
      <w:r w:rsidRPr="00757B64">
        <w:rPr>
          <w:rFonts w:ascii="Calibri" w:hAnsi="Calibri"/>
          <w:color w:val="231F20"/>
          <w:w w:val="105"/>
        </w:rPr>
        <w:t>secretaries</w:t>
      </w:r>
      <w:r w:rsidRPr="00757B64">
        <w:rPr>
          <w:rFonts w:ascii="Calibri" w:hAnsi="Calibri"/>
          <w:color w:val="231F20"/>
          <w:spacing w:val="8"/>
          <w:w w:val="105"/>
        </w:rPr>
        <w:t xml:space="preserve"> </w:t>
      </w:r>
      <w:r w:rsidRPr="00757B64">
        <w:rPr>
          <w:rFonts w:ascii="Calibri" w:hAnsi="Calibri"/>
          <w:color w:val="231F20"/>
          <w:w w:val="105"/>
        </w:rPr>
        <w:t>(17,367</w:t>
      </w:r>
      <w:r w:rsidRPr="00757B64">
        <w:rPr>
          <w:rFonts w:ascii="Calibri" w:hAnsi="Calibri"/>
          <w:color w:val="231F20"/>
          <w:spacing w:val="8"/>
          <w:w w:val="105"/>
        </w:rPr>
        <w:t xml:space="preserve"> </w:t>
      </w:r>
      <w:r w:rsidRPr="00757B64">
        <w:rPr>
          <w:rFonts w:ascii="Calibri" w:hAnsi="Calibri"/>
          <w:color w:val="231F20"/>
          <w:w w:val="105"/>
        </w:rPr>
        <w:t>new</w:t>
      </w:r>
      <w:r w:rsidRPr="00757B64">
        <w:rPr>
          <w:rFonts w:ascii="Calibri" w:hAnsi="Calibri"/>
          <w:color w:val="231F20"/>
          <w:spacing w:val="8"/>
          <w:w w:val="105"/>
        </w:rPr>
        <w:t xml:space="preserve"> </w:t>
      </w:r>
      <w:r w:rsidRPr="00757B64">
        <w:rPr>
          <w:rFonts w:ascii="Calibri" w:hAnsi="Calibri"/>
          <w:color w:val="231F20"/>
          <w:w w:val="105"/>
        </w:rPr>
        <w:t>jobs)</w:t>
      </w:r>
      <w:r w:rsidRPr="00757B64">
        <w:rPr>
          <w:rFonts w:ascii="Calibri" w:hAnsi="Calibri"/>
          <w:color w:val="231F20"/>
          <w:spacing w:val="8"/>
          <w:w w:val="105"/>
        </w:rPr>
        <w:t xml:space="preserve"> </w:t>
      </w:r>
      <w:r w:rsidRPr="00757B64">
        <w:rPr>
          <w:rFonts w:ascii="Calibri" w:hAnsi="Calibri"/>
          <w:color w:val="231F20"/>
          <w:w w:val="105"/>
        </w:rPr>
        <w:t>and</w:t>
      </w:r>
      <w:r w:rsidRPr="00757B64">
        <w:rPr>
          <w:rFonts w:ascii="Calibri" w:hAnsi="Calibri"/>
          <w:color w:val="231F20"/>
          <w:spacing w:val="8"/>
          <w:w w:val="105"/>
        </w:rPr>
        <w:t xml:space="preserve"> </w:t>
      </w:r>
      <w:r w:rsidRPr="00757B64">
        <w:rPr>
          <w:rFonts w:ascii="Calibri" w:hAnsi="Calibri"/>
          <w:color w:val="231F20"/>
          <w:w w:val="105"/>
        </w:rPr>
        <w:t>janitors</w:t>
      </w:r>
      <w:r w:rsidRPr="00757B64">
        <w:rPr>
          <w:rFonts w:ascii="Calibri" w:hAnsi="Calibri"/>
          <w:color w:val="231F20"/>
          <w:spacing w:val="8"/>
          <w:w w:val="105"/>
        </w:rPr>
        <w:t xml:space="preserve"> </w:t>
      </w:r>
      <w:r w:rsidRPr="00757B64">
        <w:rPr>
          <w:rFonts w:ascii="Calibri" w:hAnsi="Calibri"/>
          <w:color w:val="231F20"/>
          <w:spacing w:val="-3"/>
          <w:w w:val="105"/>
        </w:rPr>
        <w:t>(16,485</w:t>
      </w:r>
      <w:r w:rsidRPr="00757B64">
        <w:rPr>
          <w:rFonts w:ascii="Calibri" w:hAnsi="Calibri"/>
          <w:color w:val="231F20"/>
          <w:spacing w:val="11"/>
          <w:w w:val="105"/>
        </w:rPr>
        <w:t xml:space="preserve"> </w:t>
      </w:r>
      <w:r w:rsidRPr="00757B64">
        <w:rPr>
          <w:rFonts w:ascii="Calibri" w:hAnsi="Calibri"/>
          <w:color w:val="231F20"/>
          <w:w w:val="105"/>
        </w:rPr>
        <w:t>new</w:t>
      </w:r>
      <w:r w:rsidRPr="00757B64">
        <w:rPr>
          <w:rFonts w:ascii="Calibri" w:hAnsi="Calibri"/>
          <w:color w:val="231F20"/>
          <w:spacing w:val="11"/>
          <w:w w:val="105"/>
        </w:rPr>
        <w:t xml:space="preserve"> </w:t>
      </w:r>
      <w:r w:rsidRPr="00757B64">
        <w:rPr>
          <w:rFonts w:ascii="Calibri" w:hAnsi="Calibri"/>
          <w:color w:val="231F20"/>
          <w:w w:val="105"/>
        </w:rPr>
        <w:t>jobs</w:t>
      </w:r>
      <w:r w:rsidRPr="00757B64">
        <w:rPr>
          <w:rFonts w:ascii="Calibri" w:hAnsi="Calibri"/>
          <w:color w:val="231F20"/>
          <w:spacing w:val="-3"/>
          <w:w w:val="105"/>
        </w:rPr>
        <w:t>)</w:t>
      </w:r>
      <w:r w:rsidR="005E7C49">
        <w:rPr>
          <w:rFonts w:ascii="Calibri" w:hAnsi="Calibri"/>
          <w:color w:val="231F20"/>
          <w:spacing w:val="-3"/>
          <w:w w:val="105"/>
        </w:rPr>
        <w:t xml:space="preserve">. </w:t>
      </w:r>
    </w:p>
    <w:p w14:paraId="1379495A" w14:textId="77777777" w:rsidR="00002D76" w:rsidRDefault="00002D76" w:rsidP="00002D76">
      <w:pPr>
        <w:widowControl w:val="0"/>
        <w:spacing w:after="0" w:line="264" w:lineRule="exact"/>
        <w:ind w:left="107" w:right="281"/>
        <w:rPr>
          <w:rFonts w:ascii="Calibri" w:hAnsi="Calibri"/>
          <w:color w:val="231F20"/>
          <w:spacing w:val="19"/>
          <w:w w:val="105"/>
        </w:rPr>
      </w:pPr>
    </w:p>
    <w:p w14:paraId="2EFFC9DA" w14:textId="77777777" w:rsidR="00002D76" w:rsidRPr="00EA7458" w:rsidRDefault="00002D76" w:rsidP="00002D76">
      <w:pPr>
        <w:widowControl w:val="0"/>
        <w:spacing w:after="0" w:line="264" w:lineRule="exact"/>
        <w:rPr>
          <w:rFonts w:ascii="Calibri" w:hAnsi="Calibri"/>
        </w:rPr>
        <w:sectPr w:rsidR="00002D76" w:rsidRPr="00EA7458">
          <w:pgSz w:w="12240" w:h="15840"/>
          <w:pgMar w:top="1620" w:right="900" w:bottom="820" w:left="900" w:header="812" w:footer="624" w:gutter="0"/>
          <w:cols w:space="720"/>
        </w:sectPr>
      </w:pPr>
    </w:p>
    <w:p w14:paraId="25EF86F7" w14:textId="77777777" w:rsidR="00002D76" w:rsidRPr="00EA7458" w:rsidRDefault="00002D76" w:rsidP="00002D76">
      <w:pPr>
        <w:widowControl w:val="0"/>
        <w:spacing w:before="4" w:after="0" w:line="240" w:lineRule="auto"/>
        <w:rPr>
          <w:rFonts w:ascii="Calibri" w:hAnsi="Calibri" w:cs="Calibri"/>
          <w:sz w:val="14"/>
          <w:szCs w:val="14"/>
        </w:rPr>
      </w:pPr>
    </w:p>
    <w:p w14:paraId="7119723E" w14:textId="77777777" w:rsidR="00002D76" w:rsidRPr="00EA7458" w:rsidRDefault="00002D76" w:rsidP="00D63204">
      <w:pPr>
        <w:widowControl w:val="0"/>
        <w:spacing w:before="57" w:after="0" w:line="266" w:lineRule="exact"/>
        <w:ind w:left="468" w:right="468"/>
        <w:outlineLvl w:val="2"/>
        <w:rPr>
          <w:rFonts w:ascii="Calibri" w:hAnsi="Calibri"/>
        </w:rPr>
      </w:pPr>
      <w:bookmarkStart w:id="33" w:name="_bookmark21"/>
      <w:bookmarkEnd w:id="33"/>
      <w:r w:rsidRPr="00EA7458">
        <w:rPr>
          <w:rFonts w:ascii="Calibri" w:hAnsi="Calibri"/>
          <w:b/>
          <w:bCs/>
          <w:color w:val="231F20"/>
          <w:w w:val="110"/>
        </w:rPr>
        <w:t>Figure</w:t>
      </w:r>
      <w:r w:rsidRPr="00EA7458">
        <w:rPr>
          <w:rFonts w:ascii="Calibri" w:hAnsi="Calibri"/>
          <w:b/>
          <w:bCs/>
          <w:color w:val="231F20"/>
          <w:spacing w:val="-6"/>
          <w:w w:val="110"/>
        </w:rPr>
        <w:t xml:space="preserve"> </w:t>
      </w:r>
      <w:r w:rsidRPr="00EA7458">
        <w:rPr>
          <w:rFonts w:ascii="Calibri" w:hAnsi="Calibri"/>
          <w:b/>
          <w:bCs/>
          <w:color w:val="231F20"/>
          <w:w w:val="110"/>
        </w:rPr>
        <w:t>2.21</w:t>
      </w:r>
    </w:p>
    <w:p w14:paraId="78409D6C" w14:textId="13873E67" w:rsidR="00002D76" w:rsidRPr="00EA7458" w:rsidRDefault="00002D76" w:rsidP="00D63204">
      <w:pPr>
        <w:widowControl w:val="0"/>
        <w:spacing w:after="0" w:line="266" w:lineRule="exact"/>
        <w:ind w:left="468" w:right="468"/>
        <w:rPr>
          <w:rFonts w:ascii="Calibri" w:hAnsi="Calibri" w:cs="Calibri"/>
        </w:rPr>
      </w:pPr>
      <w:r w:rsidRPr="00EA7458">
        <w:rPr>
          <w:rFonts w:ascii="Calibri" w:hAnsi="Calibri"/>
          <w:b/>
          <w:color w:val="231F20"/>
          <w:w w:val="110"/>
        </w:rPr>
        <w:t>Fastest Growing Occupations</w:t>
      </w:r>
      <w:r w:rsidRPr="00EA7458">
        <w:rPr>
          <w:rFonts w:ascii="Calibri" w:hAnsi="Calibri"/>
          <w:b/>
          <w:color w:val="231F20"/>
          <w:spacing w:val="6"/>
          <w:w w:val="110"/>
        </w:rPr>
        <w:t xml:space="preserve"> </w:t>
      </w:r>
      <w:r w:rsidRPr="00EA7458">
        <w:rPr>
          <w:rFonts w:ascii="Calibri" w:hAnsi="Calibri"/>
          <w:b/>
          <w:color w:val="231F20"/>
          <w:w w:val="110"/>
        </w:rPr>
        <w:t>Florida</w:t>
      </w:r>
      <w:r w:rsidR="006F37A1">
        <w:rPr>
          <w:rFonts w:ascii="Calibri" w:hAnsi="Calibri"/>
          <w:b/>
          <w:color w:val="231F20"/>
          <w:w w:val="110"/>
        </w:rPr>
        <w:br/>
      </w:r>
    </w:p>
    <w:tbl>
      <w:tblPr>
        <w:tblW w:w="0" w:type="auto"/>
        <w:tblLook w:val="04A0" w:firstRow="1" w:lastRow="0" w:firstColumn="1" w:lastColumn="0" w:noHBand="0" w:noVBand="1"/>
      </w:tblPr>
      <w:tblGrid>
        <w:gridCol w:w="591"/>
        <w:gridCol w:w="764"/>
        <w:gridCol w:w="2398"/>
        <w:gridCol w:w="1365"/>
        <w:gridCol w:w="1365"/>
        <w:gridCol w:w="1286"/>
        <w:gridCol w:w="1396"/>
        <w:gridCol w:w="1265"/>
      </w:tblGrid>
      <w:tr w:rsidR="00002D76" w:rsidRPr="00AE4B9D" w14:paraId="458D48A4" w14:textId="77777777" w:rsidTr="001429C7">
        <w:trPr>
          <w:trHeight w:val="480"/>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61E41D76" w14:textId="77777777" w:rsidR="00002D76" w:rsidRPr="00AE4B9D" w:rsidRDefault="00002D76" w:rsidP="00D63204">
            <w:pPr>
              <w:spacing w:after="0" w:line="240" w:lineRule="auto"/>
              <w:rPr>
                <w:rFonts w:ascii="Calibri" w:hAnsi="Calibri"/>
                <w:b/>
                <w:bCs/>
                <w:color w:val="000000"/>
                <w:sz w:val="18"/>
                <w:szCs w:val="18"/>
              </w:rPr>
            </w:pPr>
            <w:r w:rsidRPr="00AE4B9D">
              <w:rPr>
                <w:rFonts w:ascii="Calibri" w:hAnsi="Calibri"/>
                <w:b/>
                <w:bCs/>
                <w:color w:val="000000"/>
                <w:sz w:val="18"/>
                <w:szCs w:val="18"/>
              </w:rPr>
              <w:t>Rank</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074B20FF" w14:textId="77777777" w:rsidR="00002D76" w:rsidRPr="00AE4B9D" w:rsidRDefault="00002D76" w:rsidP="00D63204">
            <w:pPr>
              <w:spacing w:after="0" w:line="240" w:lineRule="auto"/>
              <w:rPr>
                <w:rFonts w:ascii="Calibri" w:hAnsi="Calibri"/>
                <w:b/>
                <w:bCs/>
                <w:color w:val="000000"/>
                <w:sz w:val="18"/>
                <w:szCs w:val="18"/>
              </w:rPr>
            </w:pPr>
            <w:r w:rsidRPr="00AE4B9D">
              <w:rPr>
                <w:rFonts w:ascii="Calibri" w:hAnsi="Calibri"/>
                <w:b/>
                <w:bCs/>
                <w:color w:val="000000"/>
                <w:sz w:val="18"/>
                <w:szCs w:val="18"/>
              </w:rPr>
              <w:t>Code</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683D840B" w14:textId="77777777" w:rsidR="00002D76" w:rsidRPr="00AE4B9D" w:rsidRDefault="00002D76" w:rsidP="004D6183">
            <w:pPr>
              <w:spacing w:after="0" w:line="240" w:lineRule="auto"/>
              <w:rPr>
                <w:rFonts w:ascii="Calibri" w:hAnsi="Calibri"/>
                <w:b/>
                <w:bCs/>
                <w:color w:val="000000"/>
                <w:sz w:val="18"/>
                <w:szCs w:val="18"/>
              </w:rPr>
            </w:pPr>
            <w:r w:rsidRPr="00AE4B9D">
              <w:rPr>
                <w:rFonts w:ascii="Calibri" w:hAnsi="Calibri"/>
                <w:b/>
                <w:bCs/>
                <w:color w:val="000000"/>
                <w:sz w:val="18"/>
                <w:szCs w:val="18"/>
              </w:rPr>
              <w:t>Occupation</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1AFF76AF" w14:textId="77777777" w:rsidR="00002D76" w:rsidRPr="00AE4B9D" w:rsidRDefault="00002D76" w:rsidP="00D63204">
            <w:pPr>
              <w:spacing w:after="0" w:line="240" w:lineRule="auto"/>
              <w:rPr>
                <w:rFonts w:ascii="Calibri" w:hAnsi="Calibri"/>
                <w:b/>
                <w:bCs/>
                <w:color w:val="231F20"/>
                <w:sz w:val="18"/>
                <w:szCs w:val="18"/>
              </w:rPr>
            </w:pPr>
            <w:r w:rsidRPr="00AE4B9D">
              <w:rPr>
                <w:rFonts w:ascii="Calibri" w:hAnsi="Calibri"/>
                <w:b/>
                <w:bCs/>
                <w:color w:val="231F20"/>
                <w:sz w:val="18"/>
                <w:szCs w:val="18"/>
              </w:rPr>
              <w:t>2017 Employment</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5578E580" w14:textId="77777777" w:rsidR="00002D76" w:rsidRPr="00AE4B9D" w:rsidRDefault="00002D76" w:rsidP="00D63204">
            <w:pPr>
              <w:spacing w:after="0" w:line="240" w:lineRule="auto"/>
              <w:rPr>
                <w:rFonts w:ascii="Calibri" w:hAnsi="Calibri"/>
                <w:b/>
                <w:bCs/>
                <w:color w:val="231F20"/>
                <w:sz w:val="18"/>
                <w:szCs w:val="18"/>
              </w:rPr>
            </w:pPr>
            <w:r w:rsidRPr="00AE4B9D">
              <w:rPr>
                <w:rFonts w:ascii="Calibri" w:hAnsi="Calibri"/>
                <w:b/>
                <w:bCs/>
                <w:color w:val="231F20"/>
                <w:sz w:val="18"/>
                <w:szCs w:val="18"/>
              </w:rPr>
              <w:t>2025 Employment</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1A0935BF" w14:textId="77777777" w:rsidR="00002D76" w:rsidRPr="00AE4B9D" w:rsidRDefault="00002D76" w:rsidP="00D63204">
            <w:pPr>
              <w:spacing w:after="0" w:line="240" w:lineRule="auto"/>
              <w:rPr>
                <w:rFonts w:ascii="Calibri" w:hAnsi="Calibri"/>
                <w:b/>
                <w:bCs/>
                <w:color w:val="231F20"/>
                <w:sz w:val="18"/>
                <w:szCs w:val="18"/>
              </w:rPr>
            </w:pPr>
            <w:r w:rsidRPr="00AE4B9D">
              <w:rPr>
                <w:rFonts w:ascii="Calibri" w:hAnsi="Calibri"/>
                <w:b/>
                <w:bCs/>
                <w:color w:val="231F20"/>
                <w:sz w:val="18"/>
                <w:szCs w:val="18"/>
              </w:rPr>
              <w:t>2017-25 Level Change</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6E5F967C" w14:textId="77777777" w:rsidR="00002D76" w:rsidRPr="00AE4B9D" w:rsidRDefault="00002D76" w:rsidP="00D63204">
            <w:pPr>
              <w:spacing w:after="0" w:line="240" w:lineRule="auto"/>
              <w:rPr>
                <w:rFonts w:ascii="Calibri" w:hAnsi="Calibri"/>
                <w:b/>
                <w:bCs/>
                <w:color w:val="231F20"/>
                <w:sz w:val="18"/>
                <w:szCs w:val="18"/>
              </w:rPr>
            </w:pPr>
            <w:r w:rsidRPr="00AE4B9D">
              <w:rPr>
                <w:rFonts w:ascii="Calibri" w:hAnsi="Calibri"/>
                <w:b/>
                <w:bCs/>
                <w:color w:val="231F20"/>
                <w:sz w:val="18"/>
                <w:szCs w:val="18"/>
              </w:rPr>
              <w:t>2017-25 Percent Growth</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641CF26E" w14:textId="77777777" w:rsidR="00002D76" w:rsidRPr="00AE4B9D" w:rsidRDefault="00002D76" w:rsidP="00D63204">
            <w:pPr>
              <w:spacing w:after="0" w:line="240" w:lineRule="auto"/>
              <w:rPr>
                <w:rFonts w:ascii="Calibri" w:hAnsi="Calibri"/>
                <w:b/>
                <w:bCs/>
                <w:color w:val="231F20"/>
                <w:sz w:val="18"/>
                <w:szCs w:val="18"/>
              </w:rPr>
            </w:pPr>
            <w:r w:rsidRPr="00AE4B9D">
              <w:rPr>
                <w:rFonts w:ascii="Calibri" w:hAnsi="Calibri"/>
                <w:b/>
                <w:bCs/>
                <w:color w:val="231F20"/>
                <w:sz w:val="18"/>
                <w:szCs w:val="18"/>
              </w:rPr>
              <w:t>Total Job Openings</w:t>
            </w:r>
          </w:p>
        </w:tc>
      </w:tr>
      <w:tr w:rsidR="00002D76" w:rsidRPr="00AE4B9D" w14:paraId="45DD33B0" w14:textId="77777777" w:rsidTr="001429C7">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8289DE2" w14:textId="77777777" w:rsidR="00002D76" w:rsidRPr="00AE4B9D" w:rsidRDefault="00002D76" w:rsidP="00D63204">
            <w:pPr>
              <w:spacing w:after="0" w:line="240" w:lineRule="auto"/>
              <w:rPr>
                <w:rFonts w:ascii="Calibri" w:hAnsi="Calibri"/>
                <w:color w:val="231F20"/>
                <w:sz w:val="18"/>
                <w:szCs w:val="18"/>
              </w:rPr>
            </w:pPr>
            <w:r w:rsidRPr="00AE4B9D">
              <w:rPr>
                <w:rFonts w:ascii="Calibri" w:hAnsi="Calibri"/>
                <w:color w:val="231F20"/>
                <w:sz w:val="18"/>
                <w:szCs w:val="18"/>
              </w:rPr>
              <w:t>1</w:t>
            </w:r>
          </w:p>
        </w:tc>
        <w:tc>
          <w:tcPr>
            <w:tcW w:w="0" w:type="auto"/>
            <w:tcBorders>
              <w:top w:val="nil"/>
              <w:left w:val="nil"/>
              <w:bottom w:val="single" w:sz="4" w:space="0" w:color="auto"/>
              <w:right w:val="single" w:sz="4" w:space="0" w:color="auto"/>
            </w:tcBorders>
            <w:shd w:val="clear" w:color="auto" w:fill="auto"/>
            <w:vAlign w:val="center"/>
            <w:hideMark/>
          </w:tcPr>
          <w:p w14:paraId="293DCCEE" w14:textId="77777777" w:rsidR="00002D76" w:rsidRPr="00AE4B9D" w:rsidRDefault="00002D76" w:rsidP="00D63204">
            <w:pPr>
              <w:spacing w:after="0" w:line="240" w:lineRule="auto"/>
              <w:rPr>
                <w:rFonts w:ascii="Calibri" w:hAnsi="Calibri"/>
                <w:color w:val="231F20"/>
                <w:sz w:val="18"/>
                <w:szCs w:val="18"/>
              </w:rPr>
            </w:pPr>
            <w:r w:rsidRPr="00AE4B9D">
              <w:rPr>
                <w:rFonts w:ascii="Calibri" w:hAnsi="Calibri"/>
                <w:color w:val="231F20"/>
                <w:sz w:val="18"/>
                <w:szCs w:val="18"/>
              </w:rPr>
              <w:t>291171</w:t>
            </w:r>
          </w:p>
        </w:tc>
        <w:tc>
          <w:tcPr>
            <w:tcW w:w="0" w:type="auto"/>
            <w:tcBorders>
              <w:top w:val="nil"/>
              <w:left w:val="nil"/>
              <w:bottom w:val="single" w:sz="4" w:space="0" w:color="auto"/>
              <w:right w:val="single" w:sz="4" w:space="0" w:color="auto"/>
            </w:tcBorders>
            <w:shd w:val="clear" w:color="auto" w:fill="auto"/>
            <w:vAlign w:val="center"/>
            <w:hideMark/>
          </w:tcPr>
          <w:p w14:paraId="42EB9A88" w14:textId="77777777" w:rsidR="00002D76" w:rsidRPr="00AE4B9D" w:rsidRDefault="00002D76" w:rsidP="004D6183">
            <w:pPr>
              <w:spacing w:after="0" w:line="240" w:lineRule="auto"/>
              <w:rPr>
                <w:rFonts w:ascii="Calibri" w:hAnsi="Calibri"/>
                <w:color w:val="231F20"/>
                <w:sz w:val="18"/>
                <w:szCs w:val="18"/>
              </w:rPr>
            </w:pPr>
            <w:r w:rsidRPr="00AE4B9D">
              <w:rPr>
                <w:rFonts w:ascii="Calibri" w:hAnsi="Calibri"/>
                <w:color w:val="231F20"/>
                <w:sz w:val="18"/>
                <w:szCs w:val="18"/>
              </w:rPr>
              <w:t xml:space="preserve">Nurse Practitioners                                                             </w:t>
            </w:r>
          </w:p>
        </w:tc>
        <w:tc>
          <w:tcPr>
            <w:tcW w:w="0" w:type="auto"/>
            <w:tcBorders>
              <w:top w:val="nil"/>
              <w:left w:val="nil"/>
              <w:bottom w:val="single" w:sz="4" w:space="0" w:color="auto"/>
              <w:right w:val="single" w:sz="4" w:space="0" w:color="auto"/>
            </w:tcBorders>
            <w:shd w:val="clear" w:color="auto" w:fill="auto"/>
            <w:vAlign w:val="center"/>
            <w:hideMark/>
          </w:tcPr>
          <w:p w14:paraId="6394259A" w14:textId="77777777" w:rsidR="00002D76" w:rsidRPr="00AE4B9D" w:rsidRDefault="00002D76" w:rsidP="00D63204">
            <w:pPr>
              <w:spacing w:after="0" w:line="240" w:lineRule="auto"/>
              <w:rPr>
                <w:rFonts w:ascii="Calibri" w:hAnsi="Calibri"/>
                <w:color w:val="231F20"/>
                <w:sz w:val="18"/>
                <w:szCs w:val="18"/>
              </w:rPr>
            </w:pPr>
            <w:r w:rsidRPr="00AE4B9D">
              <w:rPr>
                <w:rFonts w:ascii="Calibri" w:hAnsi="Calibri"/>
                <w:color w:val="231F20"/>
                <w:sz w:val="18"/>
                <w:szCs w:val="18"/>
              </w:rPr>
              <w:t>9,504</w:t>
            </w:r>
          </w:p>
        </w:tc>
        <w:tc>
          <w:tcPr>
            <w:tcW w:w="0" w:type="auto"/>
            <w:tcBorders>
              <w:top w:val="nil"/>
              <w:left w:val="nil"/>
              <w:bottom w:val="single" w:sz="4" w:space="0" w:color="auto"/>
              <w:right w:val="single" w:sz="4" w:space="0" w:color="auto"/>
            </w:tcBorders>
            <w:shd w:val="clear" w:color="auto" w:fill="auto"/>
            <w:vAlign w:val="center"/>
            <w:hideMark/>
          </w:tcPr>
          <w:p w14:paraId="457368C0" w14:textId="77777777" w:rsidR="00002D76" w:rsidRPr="00AE4B9D" w:rsidRDefault="00002D76" w:rsidP="00D63204">
            <w:pPr>
              <w:spacing w:after="0" w:line="240" w:lineRule="auto"/>
              <w:rPr>
                <w:rFonts w:ascii="Calibri" w:hAnsi="Calibri"/>
                <w:color w:val="231F20"/>
                <w:sz w:val="18"/>
                <w:szCs w:val="18"/>
              </w:rPr>
            </w:pPr>
            <w:r w:rsidRPr="00AE4B9D">
              <w:rPr>
                <w:rFonts w:ascii="Calibri" w:hAnsi="Calibri"/>
                <w:color w:val="231F20"/>
                <w:sz w:val="18"/>
                <w:szCs w:val="18"/>
              </w:rPr>
              <w:t>12,801</w:t>
            </w:r>
          </w:p>
        </w:tc>
        <w:tc>
          <w:tcPr>
            <w:tcW w:w="0" w:type="auto"/>
            <w:tcBorders>
              <w:top w:val="nil"/>
              <w:left w:val="nil"/>
              <w:bottom w:val="single" w:sz="4" w:space="0" w:color="auto"/>
              <w:right w:val="single" w:sz="4" w:space="0" w:color="auto"/>
            </w:tcBorders>
            <w:shd w:val="clear" w:color="auto" w:fill="auto"/>
            <w:vAlign w:val="center"/>
            <w:hideMark/>
          </w:tcPr>
          <w:p w14:paraId="7786657D" w14:textId="77777777" w:rsidR="00002D76" w:rsidRPr="00AE4B9D" w:rsidRDefault="00002D76" w:rsidP="00D63204">
            <w:pPr>
              <w:spacing w:after="0" w:line="240" w:lineRule="auto"/>
              <w:rPr>
                <w:rFonts w:ascii="Calibri" w:hAnsi="Calibri"/>
                <w:color w:val="231F20"/>
                <w:sz w:val="18"/>
                <w:szCs w:val="18"/>
              </w:rPr>
            </w:pPr>
            <w:r w:rsidRPr="00AE4B9D">
              <w:rPr>
                <w:rFonts w:ascii="Calibri" w:hAnsi="Calibri"/>
                <w:color w:val="231F20"/>
                <w:sz w:val="18"/>
                <w:szCs w:val="18"/>
              </w:rPr>
              <w:t>3,297</w:t>
            </w:r>
          </w:p>
        </w:tc>
        <w:tc>
          <w:tcPr>
            <w:tcW w:w="0" w:type="auto"/>
            <w:tcBorders>
              <w:top w:val="nil"/>
              <w:left w:val="nil"/>
              <w:bottom w:val="single" w:sz="4" w:space="0" w:color="auto"/>
              <w:right w:val="single" w:sz="4" w:space="0" w:color="auto"/>
            </w:tcBorders>
            <w:shd w:val="clear" w:color="auto" w:fill="auto"/>
            <w:vAlign w:val="center"/>
            <w:hideMark/>
          </w:tcPr>
          <w:p w14:paraId="79F06125" w14:textId="77777777" w:rsidR="00002D76" w:rsidRPr="00AE4B9D" w:rsidRDefault="00002D76" w:rsidP="00D63204">
            <w:pPr>
              <w:spacing w:after="0" w:line="240" w:lineRule="auto"/>
              <w:rPr>
                <w:rFonts w:ascii="Calibri" w:hAnsi="Calibri"/>
                <w:color w:val="231F20"/>
                <w:sz w:val="18"/>
                <w:szCs w:val="18"/>
              </w:rPr>
            </w:pPr>
            <w:r w:rsidRPr="00AE4B9D">
              <w:rPr>
                <w:rFonts w:ascii="Calibri" w:hAnsi="Calibri"/>
                <w:color w:val="231F20"/>
                <w:sz w:val="18"/>
                <w:szCs w:val="18"/>
              </w:rPr>
              <w:t>34.69</w:t>
            </w:r>
          </w:p>
        </w:tc>
        <w:tc>
          <w:tcPr>
            <w:tcW w:w="0" w:type="auto"/>
            <w:tcBorders>
              <w:top w:val="nil"/>
              <w:left w:val="nil"/>
              <w:bottom w:val="single" w:sz="4" w:space="0" w:color="auto"/>
              <w:right w:val="single" w:sz="4" w:space="0" w:color="auto"/>
            </w:tcBorders>
            <w:shd w:val="clear" w:color="auto" w:fill="auto"/>
            <w:vAlign w:val="center"/>
            <w:hideMark/>
          </w:tcPr>
          <w:p w14:paraId="15CBC8A6" w14:textId="77777777" w:rsidR="00002D76" w:rsidRPr="00AE4B9D" w:rsidRDefault="00002D76" w:rsidP="00D63204">
            <w:pPr>
              <w:spacing w:after="0" w:line="240" w:lineRule="auto"/>
              <w:rPr>
                <w:rFonts w:ascii="Calibri" w:hAnsi="Calibri"/>
                <w:color w:val="231F20"/>
                <w:sz w:val="18"/>
                <w:szCs w:val="18"/>
              </w:rPr>
            </w:pPr>
            <w:r w:rsidRPr="00AE4B9D">
              <w:rPr>
                <w:rFonts w:ascii="Calibri" w:hAnsi="Calibri"/>
                <w:color w:val="231F20"/>
                <w:sz w:val="18"/>
                <w:szCs w:val="18"/>
              </w:rPr>
              <w:t>7,542</w:t>
            </w:r>
          </w:p>
        </w:tc>
      </w:tr>
      <w:tr w:rsidR="00002D76" w:rsidRPr="00AE4B9D" w14:paraId="6BAF9878" w14:textId="77777777" w:rsidTr="001429C7">
        <w:trPr>
          <w:trHeight w:val="300"/>
        </w:trPr>
        <w:tc>
          <w:tcPr>
            <w:tcW w:w="0" w:type="auto"/>
            <w:tcBorders>
              <w:top w:val="nil"/>
              <w:left w:val="single" w:sz="4" w:space="0" w:color="auto"/>
              <w:bottom w:val="single" w:sz="4" w:space="0" w:color="auto"/>
              <w:right w:val="single" w:sz="4" w:space="0" w:color="auto"/>
            </w:tcBorders>
            <w:shd w:val="clear" w:color="000000" w:fill="D1D3D4"/>
            <w:vAlign w:val="center"/>
            <w:hideMark/>
          </w:tcPr>
          <w:p w14:paraId="5214C74B" w14:textId="77777777" w:rsidR="00002D76" w:rsidRPr="00AE4B9D" w:rsidRDefault="00002D76" w:rsidP="00D63204">
            <w:pPr>
              <w:spacing w:after="0" w:line="240" w:lineRule="auto"/>
              <w:rPr>
                <w:rFonts w:ascii="Calibri" w:hAnsi="Calibri"/>
                <w:color w:val="231F20"/>
                <w:sz w:val="18"/>
                <w:szCs w:val="18"/>
              </w:rPr>
            </w:pPr>
            <w:r w:rsidRPr="00AE4B9D">
              <w:rPr>
                <w:rFonts w:ascii="Calibri" w:hAnsi="Calibri"/>
                <w:color w:val="231F20"/>
                <w:sz w:val="18"/>
                <w:szCs w:val="18"/>
              </w:rPr>
              <w:t>2</w:t>
            </w:r>
          </w:p>
        </w:tc>
        <w:tc>
          <w:tcPr>
            <w:tcW w:w="0" w:type="auto"/>
            <w:tcBorders>
              <w:top w:val="nil"/>
              <w:left w:val="nil"/>
              <w:bottom w:val="single" w:sz="4" w:space="0" w:color="auto"/>
              <w:right w:val="single" w:sz="4" w:space="0" w:color="auto"/>
            </w:tcBorders>
            <w:shd w:val="clear" w:color="000000" w:fill="D1D3D4"/>
            <w:vAlign w:val="center"/>
            <w:hideMark/>
          </w:tcPr>
          <w:p w14:paraId="022E78B8" w14:textId="77777777" w:rsidR="00002D76" w:rsidRPr="00AE4B9D" w:rsidRDefault="00002D76" w:rsidP="00D63204">
            <w:pPr>
              <w:spacing w:after="0" w:line="240" w:lineRule="auto"/>
              <w:rPr>
                <w:rFonts w:ascii="Calibri" w:hAnsi="Calibri"/>
                <w:color w:val="231F20"/>
                <w:sz w:val="18"/>
                <w:szCs w:val="18"/>
              </w:rPr>
            </w:pPr>
            <w:r w:rsidRPr="00AE4B9D">
              <w:rPr>
                <w:rFonts w:ascii="Calibri" w:hAnsi="Calibri"/>
                <w:color w:val="231F20"/>
                <w:sz w:val="18"/>
                <w:szCs w:val="18"/>
              </w:rPr>
              <w:t>291071</w:t>
            </w:r>
          </w:p>
        </w:tc>
        <w:tc>
          <w:tcPr>
            <w:tcW w:w="0" w:type="auto"/>
            <w:tcBorders>
              <w:top w:val="nil"/>
              <w:left w:val="nil"/>
              <w:bottom w:val="single" w:sz="4" w:space="0" w:color="auto"/>
              <w:right w:val="single" w:sz="4" w:space="0" w:color="auto"/>
            </w:tcBorders>
            <w:shd w:val="clear" w:color="000000" w:fill="D1D3D4"/>
            <w:vAlign w:val="center"/>
            <w:hideMark/>
          </w:tcPr>
          <w:p w14:paraId="4BD9D09B" w14:textId="77777777" w:rsidR="00002D76" w:rsidRPr="00AE4B9D" w:rsidRDefault="00002D76" w:rsidP="004D6183">
            <w:pPr>
              <w:spacing w:after="0" w:line="240" w:lineRule="auto"/>
              <w:rPr>
                <w:rFonts w:ascii="Calibri" w:hAnsi="Calibri"/>
                <w:color w:val="231F20"/>
                <w:sz w:val="18"/>
                <w:szCs w:val="18"/>
              </w:rPr>
            </w:pPr>
            <w:r w:rsidRPr="00AE4B9D">
              <w:rPr>
                <w:rFonts w:ascii="Calibri" w:hAnsi="Calibri"/>
                <w:color w:val="231F20"/>
                <w:sz w:val="18"/>
                <w:szCs w:val="18"/>
              </w:rPr>
              <w:t>Physician Assistants</w:t>
            </w:r>
          </w:p>
        </w:tc>
        <w:tc>
          <w:tcPr>
            <w:tcW w:w="0" w:type="auto"/>
            <w:tcBorders>
              <w:top w:val="nil"/>
              <w:left w:val="nil"/>
              <w:bottom w:val="single" w:sz="4" w:space="0" w:color="auto"/>
              <w:right w:val="single" w:sz="4" w:space="0" w:color="auto"/>
            </w:tcBorders>
            <w:shd w:val="clear" w:color="000000" w:fill="D1D3D4"/>
            <w:vAlign w:val="center"/>
            <w:hideMark/>
          </w:tcPr>
          <w:p w14:paraId="7E24B920" w14:textId="77777777" w:rsidR="00002D76" w:rsidRPr="00AE4B9D" w:rsidRDefault="00002D76" w:rsidP="00D63204">
            <w:pPr>
              <w:spacing w:after="0" w:line="240" w:lineRule="auto"/>
              <w:rPr>
                <w:rFonts w:ascii="Calibri" w:hAnsi="Calibri"/>
                <w:color w:val="231F20"/>
                <w:sz w:val="18"/>
                <w:szCs w:val="18"/>
              </w:rPr>
            </w:pPr>
            <w:r w:rsidRPr="00AE4B9D">
              <w:rPr>
                <w:rFonts w:ascii="Calibri" w:hAnsi="Calibri"/>
                <w:color w:val="231F20"/>
                <w:sz w:val="18"/>
                <w:szCs w:val="18"/>
              </w:rPr>
              <w:t>5,631</w:t>
            </w:r>
          </w:p>
        </w:tc>
        <w:tc>
          <w:tcPr>
            <w:tcW w:w="0" w:type="auto"/>
            <w:tcBorders>
              <w:top w:val="nil"/>
              <w:left w:val="nil"/>
              <w:bottom w:val="single" w:sz="4" w:space="0" w:color="auto"/>
              <w:right w:val="single" w:sz="4" w:space="0" w:color="auto"/>
            </w:tcBorders>
            <w:shd w:val="clear" w:color="000000" w:fill="D1D3D4"/>
            <w:vAlign w:val="center"/>
            <w:hideMark/>
          </w:tcPr>
          <w:p w14:paraId="61DF0A44" w14:textId="77777777" w:rsidR="00002D76" w:rsidRPr="00AE4B9D" w:rsidRDefault="00002D76" w:rsidP="00D63204">
            <w:pPr>
              <w:spacing w:after="0" w:line="240" w:lineRule="auto"/>
              <w:rPr>
                <w:rFonts w:ascii="Calibri" w:hAnsi="Calibri"/>
                <w:color w:val="231F20"/>
                <w:sz w:val="18"/>
                <w:szCs w:val="18"/>
              </w:rPr>
            </w:pPr>
            <w:r w:rsidRPr="00AE4B9D">
              <w:rPr>
                <w:rFonts w:ascii="Calibri" w:hAnsi="Calibri"/>
                <w:color w:val="231F20"/>
                <w:sz w:val="18"/>
                <w:szCs w:val="18"/>
              </w:rPr>
              <w:t>7,512</w:t>
            </w:r>
          </w:p>
        </w:tc>
        <w:tc>
          <w:tcPr>
            <w:tcW w:w="0" w:type="auto"/>
            <w:tcBorders>
              <w:top w:val="nil"/>
              <w:left w:val="nil"/>
              <w:bottom w:val="single" w:sz="4" w:space="0" w:color="auto"/>
              <w:right w:val="single" w:sz="4" w:space="0" w:color="auto"/>
            </w:tcBorders>
            <w:shd w:val="clear" w:color="000000" w:fill="D1D3D4"/>
            <w:vAlign w:val="center"/>
            <w:hideMark/>
          </w:tcPr>
          <w:p w14:paraId="4499C678" w14:textId="77777777" w:rsidR="00002D76" w:rsidRPr="00AE4B9D" w:rsidRDefault="00002D76" w:rsidP="00D63204">
            <w:pPr>
              <w:spacing w:after="0" w:line="240" w:lineRule="auto"/>
              <w:rPr>
                <w:rFonts w:ascii="Calibri" w:hAnsi="Calibri"/>
                <w:color w:val="231F20"/>
                <w:sz w:val="18"/>
                <w:szCs w:val="18"/>
              </w:rPr>
            </w:pPr>
            <w:r w:rsidRPr="00AE4B9D">
              <w:rPr>
                <w:rFonts w:ascii="Calibri" w:hAnsi="Calibri"/>
                <w:color w:val="231F20"/>
                <w:sz w:val="18"/>
                <w:szCs w:val="18"/>
              </w:rPr>
              <w:t>1,881</w:t>
            </w:r>
          </w:p>
        </w:tc>
        <w:tc>
          <w:tcPr>
            <w:tcW w:w="0" w:type="auto"/>
            <w:tcBorders>
              <w:top w:val="nil"/>
              <w:left w:val="nil"/>
              <w:bottom w:val="single" w:sz="4" w:space="0" w:color="auto"/>
              <w:right w:val="single" w:sz="4" w:space="0" w:color="auto"/>
            </w:tcBorders>
            <w:shd w:val="clear" w:color="000000" w:fill="D1D3D4"/>
            <w:vAlign w:val="center"/>
            <w:hideMark/>
          </w:tcPr>
          <w:p w14:paraId="5A5FB56B" w14:textId="77777777" w:rsidR="00002D76" w:rsidRPr="00AE4B9D" w:rsidRDefault="00002D76" w:rsidP="00D63204">
            <w:pPr>
              <w:spacing w:after="0" w:line="240" w:lineRule="auto"/>
              <w:rPr>
                <w:rFonts w:ascii="Calibri" w:hAnsi="Calibri"/>
                <w:color w:val="231F20"/>
                <w:sz w:val="18"/>
                <w:szCs w:val="18"/>
              </w:rPr>
            </w:pPr>
            <w:r w:rsidRPr="00AE4B9D">
              <w:rPr>
                <w:rFonts w:ascii="Calibri" w:hAnsi="Calibri"/>
                <w:color w:val="231F20"/>
                <w:sz w:val="18"/>
                <w:szCs w:val="18"/>
              </w:rPr>
              <w:t>33.4</w:t>
            </w:r>
          </w:p>
        </w:tc>
        <w:tc>
          <w:tcPr>
            <w:tcW w:w="0" w:type="auto"/>
            <w:tcBorders>
              <w:top w:val="nil"/>
              <w:left w:val="nil"/>
              <w:bottom w:val="single" w:sz="4" w:space="0" w:color="auto"/>
              <w:right w:val="single" w:sz="4" w:space="0" w:color="auto"/>
            </w:tcBorders>
            <w:shd w:val="clear" w:color="000000" w:fill="D1D3D4"/>
            <w:vAlign w:val="center"/>
            <w:hideMark/>
          </w:tcPr>
          <w:p w14:paraId="24BFC32F" w14:textId="77777777" w:rsidR="00002D76" w:rsidRPr="00AE4B9D" w:rsidRDefault="00002D76" w:rsidP="00D63204">
            <w:pPr>
              <w:spacing w:after="0" w:line="240" w:lineRule="auto"/>
              <w:rPr>
                <w:rFonts w:ascii="Calibri" w:hAnsi="Calibri"/>
                <w:color w:val="231F20"/>
                <w:sz w:val="18"/>
                <w:szCs w:val="18"/>
              </w:rPr>
            </w:pPr>
            <w:r w:rsidRPr="00AE4B9D">
              <w:rPr>
                <w:rFonts w:ascii="Calibri" w:hAnsi="Calibri"/>
                <w:color w:val="231F20"/>
                <w:sz w:val="18"/>
                <w:szCs w:val="18"/>
              </w:rPr>
              <w:t>4,426</w:t>
            </w:r>
          </w:p>
        </w:tc>
      </w:tr>
      <w:tr w:rsidR="00002D76" w:rsidRPr="00AE4B9D" w14:paraId="242E9124" w14:textId="77777777" w:rsidTr="001429C7">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A792EDA" w14:textId="77777777" w:rsidR="00002D76" w:rsidRPr="00AE4B9D" w:rsidRDefault="00002D76" w:rsidP="00D63204">
            <w:pPr>
              <w:spacing w:after="0" w:line="240" w:lineRule="auto"/>
              <w:rPr>
                <w:rFonts w:ascii="Calibri" w:hAnsi="Calibri"/>
                <w:color w:val="231F20"/>
                <w:sz w:val="18"/>
                <w:szCs w:val="18"/>
              </w:rPr>
            </w:pPr>
            <w:r w:rsidRPr="00AE4B9D">
              <w:rPr>
                <w:rFonts w:ascii="Calibri" w:hAnsi="Calibri"/>
                <w:color w:val="231F20"/>
                <w:sz w:val="18"/>
                <w:szCs w:val="18"/>
              </w:rPr>
              <w:t>3</w:t>
            </w:r>
          </w:p>
        </w:tc>
        <w:tc>
          <w:tcPr>
            <w:tcW w:w="0" w:type="auto"/>
            <w:tcBorders>
              <w:top w:val="nil"/>
              <w:left w:val="nil"/>
              <w:bottom w:val="single" w:sz="4" w:space="0" w:color="auto"/>
              <w:right w:val="single" w:sz="4" w:space="0" w:color="auto"/>
            </w:tcBorders>
            <w:shd w:val="clear" w:color="auto" w:fill="auto"/>
            <w:vAlign w:val="center"/>
            <w:hideMark/>
          </w:tcPr>
          <w:p w14:paraId="26073365" w14:textId="77777777" w:rsidR="00002D76" w:rsidRPr="00AE4B9D" w:rsidRDefault="00002D76" w:rsidP="00D63204">
            <w:pPr>
              <w:spacing w:after="0" w:line="240" w:lineRule="auto"/>
              <w:rPr>
                <w:rFonts w:ascii="Calibri" w:hAnsi="Calibri"/>
                <w:color w:val="231F20"/>
                <w:sz w:val="18"/>
                <w:szCs w:val="18"/>
              </w:rPr>
            </w:pPr>
            <w:r w:rsidRPr="00AE4B9D">
              <w:rPr>
                <w:rFonts w:ascii="Calibri" w:hAnsi="Calibri"/>
                <w:color w:val="231F20"/>
                <w:sz w:val="18"/>
                <w:szCs w:val="18"/>
              </w:rPr>
              <w:t>312021</w:t>
            </w:r>
          </w:p>
        </w:tc>
        <w:tc>
          <w:tcPr>
            <w:tcW w:w="0" w:type="auto"/>
            <w:tcBorders>
              <w:top w:val="nil"/>
              <w:left w:val="nil"/>
              <w:bottom w:val="single" w:sz="4" w:space="0" w:color="auto"/>
              <w:right w:val="single" w:sz="4" w:space="0" w:color="auto"/>
            </w:tcBorders>
            <w:shd w:val="clear" w:color="auto" w:fill="auto"/>
            <w:vAlign w:val="center"/>
            <w:hideMark/>
          </w:tcPr>
          <w:p w14:paraId="7D4B6721" w14:textId="77777777" w:rsidR="00002D76" w:rsidRPr="00AE4B9D" w:rsidRDefault="00002D76" w:rsidP="004D6183">
            <w:pPr>
              <w:spacing w:after="0" w:line="240" w:lineRule="auto"/>
              <w:rPr>
                <w:rFonts w:ascii="Calibri" w:hAnsi="Calibri"/>
                <w:color w:val="231F20"/>
                <w:sz w:val="18"/>
                <w:szCs w:val="18"/>
              </w:rPr>
            </w:pPr>
            <w:r w:rsidRPr="00AE4B9D">
              <w:rPr>
                <w:rFonts w:ascii="Calibri" w:hAnsi="Calibri"/>
                <w:color w:val="231F20"/>
                <w:sz w:val="18"/>
                <w:szCs w:val="18"/>
              </w:rPr>
              <w:t>Physical Therapist Assistants</w:t>
            </w:r>
          </w:p>
        </w:tc>
        <w:tc>
          <w:tcPr>
            <w:tcW w:w="0" w:type="auto"/>
            <w:tcBorders>
              <w:top w:val="nil"/>
              <w:left w:val="nil"/>
              <w:bottom w:val="single" w:sz="4" w:space="0" w:color="auto"/>
              <w:right w:val="single" w:sz="4" w:space="0" w:color="auto"/>
            </w:tcBorders>
            <w:shd w:val="clear" w:color="auto" w:fill="auto"/>
            <w:vAlign w:val="center"/>
            <w:hideMark/>
          </w:tcPr>
          <w:p w14:paraId="50C05B18" w14:textId="77777777" w:rsidR="00002D76" w:rsidRPr="00AE4B9D" w:rsidRDefault="00002D76" w:rsidP="00D63204">
            <w:pPr>
              <w:spacing w:after="0" w:line="240" w:lineRule="auto"/>
              <w:rPr>
                <w:rFonts w:ascii="Calibri" w:hAnsi="Calibri"/>
                <w:color w:val="231F20"/>
                <w:sz w:val="18"/>
                <w:szCs w:val="18"/>
              </w:rPr>
            </w:pPr>
            <w:r w:rsidRPr="00AE4B9D">
              <w:rPr>
                <w:rFonts w:ascii="Calibri" w:hAnsi="Calibri"/>
                <w:color w:val="231F20"/>
                <w:sz w:val="18"/>
                <w:szCs w:val="18"/>
              </w:rPr>
              <w:t>5,482</w:t>
            </w:r>
          </w:p>
        </w:tc>
        <w:tc>
          <w:tcPr>
            <w:tcW w:w="0" w:type="auto"/>
            <w:tcBorders>
              <w:top w:val="nil"/>
              <w:left w:val="nil"/>
              <w:bottom w:val="single" w:sz="4" w:space="0" w:color="auto"/>
              <w:right w:val="single" w:sz="4" w:space="0" w:color="auto"/>
            </w:tcBorders>
            <w:shd w:val="clear" w:color="auto" w:fill="auto"/>
            <w:vAlign w:val="center"/>
            <w:hideMark/>
          </w:tcPr>
          <w:p w14:paraId="7E73762A" w14:textId="77777777" w:rsidR="00002D76" w:rsidRPr="00AE4B9D" w:rsidRDefault="00002D76" w:rsidP="00D63204">
            <w:pPr>
              <w:spacing w:after="0" w:line="240" w:lineRule="auto"/>
              <w:rPr>
                <w:rFonts w:ascii="Calibri" w:hAnsi="Calibri"/>
                <w:color w:val="231F20"/>
                <w:sz w:val="18"/>
                <w:szCs w:val="18"/>
              </w:rPr>
            </w:pPr>
            <w:r w:rsidRPr="00AE4B9D">
              <w:rPr>
                <w:rFonts w:ascii="Calibri" w:hAnsi="Calibri"/>
                <w:color w:val="231F20"/>
                <w:sz w:val="18"/>
                <w:szCs w:val="18"/>
              </w:rPr>
              <w:t>7,208</w:t>
            </w:r>
          </w:p>
        </w:tc>
        <w:tc>
          <w:tcPr>
            <w:tcW w:w="0" w:type="auto"/>
            <w:tcBorders>
              <w:top w:val="nil"/>
              <w:left w:val="nil"/>
              <w:bottom w:val="single" w:sz="4" w:space="0" w:color="auto"/>
              <w:right w:val="single" w:sz="4" w:space="0" w:color="auto"/>
            </w:tcBorders>
            <w:shd w:val="clear" w:color="auto" w:fill="auto"/>
            <w:vAlign w:val="center"/>
            <w:hideMark/>
          </w:tcPr>
          <w:p w14:paraId="2E893048" w14:textId="77777777" w:rsidR="00002D76" w:rsidRPr="00AE4B9D" w:rsidRDefault="00002D76" w:rsidP="00D63204">
            <w:pPr>
              <w:spacing w:after="0" w:line="240" w:lineRule="auto"/>
              <w:rPr>
                <w:rFonts w:ascii="Calibri" w:hAnsi="Calibri"/>
                <w:color w:val="231F20"/>
                <w:sz w:val="18"/>
                <w:szCs w:val="18"/>
              </w:rPr>
            </w:pPr>
            <w:r w:rsidRPr="00AE4B9D">
              <w:rPr>
                <w:rFonts w:ascii="Calibri" w:hAnsi="Calibri"/>
                <w:color w:val="231F20"/>
                <w:sz w:val="18"/>
                <w:szCs w:val="18"/>
              </w:rPr>
              <w:t>1,726</w:t>
            </w:r>
          </w:p>
        </w:tc>
        <w:tc>
          <w:tcPr>
            <w:tcW w:w="0" w:type="auto"/>
            <w:tcBorders>
              <w:top w:val="nil"/>
              <w:left w:val="nil"/>
              <w:bottom w:val="single" w:sz="4" w:space="0" w:color="auto"/>
              <w:right w:val="single" w:sz="4" w:space="0" w:color="auto"/>
            </w:tcBorders>
            <w:shd w:val="clear" w:color="auto" w:fill="auto"/>
            <w:vAlign w:val="center"/>
            <w:hideMark/>
          </w:tcPr>
          <w:p w14:paraId="600DF9EB" w14:textId="77777777" w:rsidR="00002D76" w:rsidRPr="00AE4B9D" w:rsidRDefault="00002D76" w:rsidP="00D63204">
            <w:pPr>
              <w:spacing w:after="0" w:line="240" w:lineRule="auto"/>
              <w:rPr>
                <w:rFonts w:ascii="Calibri" w:hAnsi="Calibri"/>
                <w:color w:val="231F20"/>
                <w:sz w:val="18"/>
                <w:szCs w:val="18"/>
              </w:rPr>
            </w:pPr>
            <w:r w:rsidRPr="00AE4B9D">
              <w:rPr>
                <w:rFonts w:ascii="Calibri" w:hAnsi="Calibri"/>
                <w:color w:val="231F20"/>
                <w:sz w:val="18"/>
                <w:szCs w:val="18"/>
              </w:rPr>
              <w:t>31.48</w:t>
            </w:r>
          </w:p>
        </w:tc>
        <w:tc>
          <w:tcPr>
            <w:tcW w:w="0" w:type="auto"/>
            <w:tcBorders>
              <w:top w:val="nil"/>
              <w:left w:val="nil"/>
              <w:bottom w:val="single" w:sz="4" w:space="0" w:color="auto"/>
              <w:right w:val="single" w:sz="4" w:space="0" w:color="auto"/>
            </w:tcBorders>
            <w:shd w:val="clear" w:color="auto" w:fill="auto"/>
            <w:vAlign w:val="center"/>
            <w:hideMark/>
          </w:tcPr>
          <w:p w14:paraId="13399C51" w14:textId="77777777" w:rsidR="00002D76" w:rsidRPr="00AE4B9D" w:rsidRDefault="00002D76" w:rsidP="00D63204">
            <w:pPr>
              <w:spacing w:after="0" w:line="240" w:lineRule="auto"/>
              <w:rPr>
                <w:rFonts w:ascii="Calibri" w:hAnsi="Calibri"/>
                <w:color w:val="231F20"/>
                <w:sz w:val="18"/>
                <w:szCs w:val="18"/>
              </w:rPr>
            </w:pPr>
            <w:r w:rsidRPr="00AE4B9D">
              <w:rPr>
                <w:rFonts w:ascii="Calibri" w:hAnsi="Calibri"/>
                <w:color w:val="231F20"/>
                <w:sz w:val="18"/>
                <w:szCs w:val="18"/>
              </w:rPr>
              <w:t>7,195</w:t>
            </w:r>
          </w:p>
        </w:tc>
      </w:tr>
      <w:tr w:rsidR="00002D76" w:rsidRPr="00AE4B9D" w14:paraId="4FE1E98A" w14:textId="77777777" w:rsidTr="001429C7">
        <w:trPr>
          <w:trHeight w:val="300"/>
        </w:trPr>
        <w:tc>
          <w:tcPr>
            <w:tcW w:w="0" w:type="auto"/>
            <w:tcBorders>
              <w:top w:val="nil"/>
              <w:left w:val="single" w:sz="4" w:space="0" w:color="auto"/>
              <w:bottom w:val="single" w:sz="4" w:space="0" w:color="auto"/>
              <w:right w:val="single" w:sz="4" w:space="0" w:color="auto"/>
            </w:tcBorders>
            <w:shd w:val="clear" w:color="000000" w:fill="D1D3D4"/>
            <w:vAlign w:val="center"/>
            <w:hideMark/>
          </w:tcPr>
          <w:p w14:paraId="2982D105" w14:textId="77777777" w:rsidR="00002D76" w:rsidRPr="00AE4B9D" w:rsidRDefault="00002D76" w:rsidP="00D63204">
            <w:pPr>
              <w:spacing w:after="0" w:line="240" w:lineRule="auto"/>
              <w:rPr>
                <w:rFonts w:ascii="Calibri" w:hAnsi="Calibri"/>
                <w:color w:val="231F20"/>
                <w:sz w:val="18"/>
                <w:szCs w:val="18"/>
              </w:rPr>
            </w:pPr>
            <w:r w:rsidRPr="00AE4B9D">
              <w:rPr>
                <w:rFonts w:ascii="Calibri" w:hAnsi="Calibri"/>
                <w:color w:val="231F20"/>
                <w:sz w:val="18"/>
                <w:szCs w:val="18"/>
              </w:rPr>
              <w:t>4</w:t>
            </w:r>
          </w:p>
        </w:tc>
        <w:tc>
          <w:tcPr>
            <w:tcW w:w="0" w:type="auto"/>
            <w:tcBorders>
              <w:top w:val="nil"/>
              <w:left w:val="nil"/>
              <w:bottom w:val="single" w:sz="4" w:space="0" w:color="auto"/>
              <w:right w:val="single" w:sz="4" w:space="0" w:color="auto"/>
            </w:tcBorders>
            <w:shd w:val="clear" w:color="000000" w:fill="D1D3D4"/>
            <w:vAlign w:val="center"/>
            <w:hideMark/>
          </w:tcPr>
          <w:p w14:paraId="1A997679" w14:textId="77777777" w:rsidR="00002D76" w:rsidRPr="00AE4B9D" w:rsidRDefault="00002D76" w:rsidP="00D63204">
            <w:pPr>
              <w:spacing w:after="0" w:line="240" w:lineRule="auto"/>
              <w:rPr>
                <w:rFonts w:ascii="Calibri" w:hAnsi="Calibri"/>
                <w:color w:val="231F20"/>
                <w:sz w:val="18"/>
                <w:szCs w:val="18"/>
              </w:rPr>
            </w:pPr>
            <w:r w:rsidRPr="00AE4B9D">
              <w:rPr>
                <w:rFonts w:ascii="Calibri" w:hAnsi="Calibri"/>
                <w:color w:val="231F20"/>
                <w:sz w:val="18"/>
                <w:szCs w:val="18"/>
              </w:rPr>
              <w:t>311011</w:t>
            </w:r>
          </w:p>
        </w:tc>
        <w:tc>
          <w:tcPr>
            <w:tcW w:w="0" w:type="auto"/>
            <w:tcBorders>
              <w:top w:val="nil"/>
              <w:left w:val="nil"/>
              <w:bottom w:val="single" w:sz="4" w:space="0" w:color="auto"/>
              <w:right w:val="single" w:sz="4" w:space="0" w:color="auto"/>
            </w:tcBorders>
            <w:shd w:val="clear" w:color="000000" w:fill="D1D3D4"/>
            <w:vAlign w:val="center"/>
            <w:hideMark/>
          </w:tcPr>
          <w:p w14:paraId="0C62C8A4" w14:textId="77777777" w:rsidR="00002D76" w:rsidRPr="00AE4B9D" w:rsidRDefault="00002D76" w:rsidP="004D6183">
            <w:pPr>
              <w:spacing w:after="0" w:line="240" w:lineRule="auto"/>
              <w:rPr>
                <w:rFonts w:ascii="Calibri" w:hAnsi="Calibri"/>
                <w:color w:val="231F20"/>
                <w:sz w:val="18"/>
                <w:szCs w:val="18"/>
              </w:rPr>
            </w:pPr>
            <w:r w:rsidRPr="00AE4B9D">
              <w:rPr>
                <w:rFonts w:ascii="Calibri" w:hAnsi="Calibri"/>
                <w:color w:val="231F20"/>
                <w:sz w:val="18"/>
                <w:szCs w:val="18"/>
              </w:rPr>
              <w:t>Home Health Aides</w:t>
            </w:r>
          </w:p>
        </w:tc>
        <w:tc>
          <w:tcPr>
            <w:tcW w:w="0" w:type="auto"/>
            <w:tcBorders>
              <w:top w:val="nil"/>
              <w:left w:val="nil"/>
              <w:bottom w:val="single" w:sz="4" w:space="0" w:color="auto"/>
              <w:right w:val="single" w:sz="4" w:space="0" w:color="auto"/>
            </w:tcBorders>
            <w:shd w:val="clear" w:color="000000" w:fill="D1D3D4"/>
            <w:vAlign w:val="center"/>
            <w:hideMark/>
          </w:tcPr>
          <w:p w14:paraId="44B7F666" w14:textId="77777777" w:rsidR="00002D76" w:rsidRPr="00AE4B9D" w:rsidRDefault="00002D76" w:rsidP="00D63204">
            <w:pPr>
              <w:spacing w:after="0" w:line="240" w:lineRule="auto"/>
              <w:rPr>
                <w:rFonts w:ascii="Calibri" w:hAnsi="Calibri"/>
                <w:color w:val="231F20"/>
                <w:sz w:val="18"/>
                <w:szCs w:val="18"/>
              </w:rPr>
            </w:pPr>
            <w:r w:rsidRPr="00AE4B9D">
              <w:rPr>
                <w:rFonts w:ascii="Calibri" w:hAnsi="Calibri"/>
                <w:color w:val="231F20"/>
                <w:sz w:val="18"/>
                <w:szCs w:val="18"/>
              </w:rPr>
              <w:t>27,494</w:t>
            </w:r>
          </w:p>
        </w:tc>
        <w:tc>
          <w:tcPr>
            <w:tcW w:w="0" w:type="auto"/>
            <w:tcBorders>
              <w:top w:val="nil"/>
              <w:left w:val="nil"/>
              <w:bottom w:val="single" w:sz="4" w:space="0" w:color="auto"/>
              <w:right w:val="single" w:sz="4" w:space="0" w:color="auto"/>
            </w:tcBorders>
            <w:shd w:val="clear" w:color="000000" w:fill="D1D3D4"/>
            <w:vAlign w:val="center"/>
            <w:hideMark/>
          </w:tcPr>
          <w:p w14:paraId="60747115" w14:textId="77777777" w:rsidR="00002D76" w:rsidRPr="00AE4B9D" w:rsidRDefault="00002D76" w:rsidP="00D63204">
            <w:pPr>
              <w:spacing w:after="0" w:line="240" w:lineRule="auto"/>
              <w:rPr>
                <w:rFonts w:ascii="Calibri" w:hAnsi="Calibri"/>
                <w:color w:val="231F20"/>
                <w:sz w:val="18"/>
                <w:szCs w:val="18"/>
              </w:rPr>
            </w:pPr>
            <w:r w:rsidRPr="00AE4B9D">
              <w:rPr>
                <w:rFonts w:ascii="Calibri" w:hAnsi="Calibri"/>
                <w:color w:val="231F20"/>
                <w:sz w:val="18"/>
                <w:szCs w:val="18"/>
              </w:rPr>
              <w:t>35,955</w:t>
            </w:r>
          </w:p>
        </w:tc>
        <w:tc>
          <w:tcPr>
            <w:tcW w:w="0" w:type="auto"/>
            <w:tcBorders>
              <w:top w:val="nil"/>
              <w:left w:val="nil"/>
              <w:bottom w:val="single" w:sz="4" w:space="0" w:color="auto"/>
              <w:right w:val="single" w:sz="4" w:space="0" w:color="auto"/>
            </w:tcBorders>
            <w:shd w:val="clear" w:color="000000" w:fill="D1D3D4"/>
            <w:vAlign w:val="center"/>
            <w:hideMark/>
          </w:tcPr>
          <w:p w14:paraId="6E231E26" w14:textId="77777777" w:rsidR="00002D76" w:rsidRPr="00AE4B9D" w:rsidRDefault="00002D76" w:rsidP="00D63204">
            <w:pPr>
              <w:spacing w:after="0" w:line="240" w:lineRule="auto"/>
              <w:rPr>
                <w:rFonts w:ascii="Calibri" w:hAnsi="Calibri"/>
                <w:color w:val="231F20"/>
                <w:sz w:val="18"/>
                <w:szCs w:val="18"/>
              </w:rPr>
            </w:pPr>
            <w:r w:rsidRPr="00AE4B9D">
              <w:rPr>
                <w:rFonts w:ascii="Calibri" w:hAnsi="Calibri"/>
                <w:color w:val="231F20"/>
                <w:sz w:val="18"/>
                <w:szCs w:val="18"/>
              </w:rPr>
              <w:t>8,461</w:t>
            </w:r>
          </w:p>
        </w:tc>
        <w:tc>
          <w:tcPr>
            <w:tcW w:w="0" w:type="auto"/>
            <w:tcBorders>
              <w:top w:val="nil"/>
              <w:left w:val="nil"/>
              <w:bottom w:val="single" w:sz="4" w:space="0" w:color="auto"/>
              <w:right w:val="single" w:sz="4" w:space="0" w:color="auto"/>
            </w:tcBorders>
            <w:shd w:val="clear" w:color="000000" w:fill="D1D3D4"/>
            <w:vAlign w:val="center"/>
            <w:hideMark/>
          </w:tcPr>
          <w:p w14:paraId="54488ABE" w14:textId="77777777" w:rsidR="00002D76" w:rsidRPr="00AE4B9D" w:rsidRDefault="00002D76" w:rsidP="00D63204">
            <w:pPr>
              <w:spacing w:after="0" w:line="240" w:lineRule="auto"/>
              <w:rPr>
                <w:rFonts w:ascii="Calibri" w:hAnsi="Calibri"/>
                <w:color w:val="231F20"/>
                <w:sz w:val="18"/>
                <w:szCs w:val="18"/>
              </w:rPr>
            </w:pPr>
            <w:r w:rsidRPr="00AE4B9D">
              <w:rPr>
                <w:rFonts w:ascii="Calibri" w:hAnsi="Calibri"/>
                <w:color w:val="231F20"/>
                <w:sz w:val="18"/>
                <w:szCs w:val="18"/>
              </w:rPr>
              <w:t>30.77</w:t>
            </w:r>
          </w:p>
        </w:tc>
        <w:tc>
          <w:tcPr>
            <w:tcW w:w="0" w:type="auto"/>
            <w:tcBorders>
              <w:top w:val="nil"/>
              <w:left w:val="nil"/>
              <w:bottom w:val="single" w:sz="4" w:space="0" w:color="auto"/>
              <w:right w:val="single" w:sz="4" w:space="0" w:color="auto"/>
            </w:tcBorders>
            <w:shd w:val="clear" w:color="000000" w:fill="D1D3D4"/>
            <w:vAlign w:val="center"/>
            <w:hideMark/>
          </w:tcPr>
          <w:p w14:paraId="7DFF8D6F" w14:textId="77777777" w:rsidR="00002D76" w:rsidRPr="00AE4B9D" w:rsidRDefault="00002D76" w:rsidP="00D63204">
            <w:pPr>
              <w:spacing w:after="0" w:line="240" w:lineRule="auto"/>
              <w:rPr>
                <w:rFonts w:ascii="Calibri" w:hAnsi="Calibri"/>
                <w:color w:val="231F20"/>
                <w:sz w:val="18"/>
                <w:szCs w:val="18"/>
              </w:rPr>
            </w:pPr>
            <w:r w:rsidRPr="00AE4B9D">
              <w:rPr>
                <w:rFonts w:ascii="Calibri" w:hAnsi="Calibri"/>
                <w:color w:val="231F20"/>
                <w:sz w:val="18"/>
                <w:szCs w:val="18"/>
              </w:rPr>
              <w:t>37,952</w:t>
            </w:r>
          </w:p>
        </w:tc>
      </w:tr>
      <w:tr w:rsidR="00002D76" w:rsidRPr="00AE4B9D" w14:paraId="5260264B" w14:textId="77777777" w:rsidTr="001429C7">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8C923AF" w14:textId="77777777" w:rsidR="00002D76" w:rsidRPr="00AE4B9D" w:rsidRDefault="00002D76" w:rsidP="00D63204">
            <w:pPr>
              <w:spacing w:after="0" w:line="240" w:lineRule="auto"/>
              <w:rPr>
                <w:rFonts w:ascii="Calibri" w:hAnsi="Calibri"/>
                <w:color w:val="231F20"/>
                <w:sz w:val="18"/>
                <w:szCs w:val="18"/>
              </w:rPr>
            </w:pPr>
            <w:r w:rsidRPr="00AE4B9D">
              <w:rPr>
                <w:rFonts w:ascii="Calibri" w:hAnsi="Calibri"/>
                <w:color w:val="231F20"/>
                <w:sz w:val="18"/>
                <w:szCs w:val="18"/>
              </w:rPr>
              <w:t>5</w:t>
            </w:r>
          </w:p>
        </w:tc>
        <w:tc>
          <w:tcPr>
            <w:tcW w:w="0" w:type="auto"/>
            <w:tcBorders>
              <w:top w:val="nil"/>
              <w:left w:val="nil"/>
              <w:bottom w:val="single" w:sz="4" w:space="0" w:color="auto"/>
              <w:right w:val="single" w:sz="4" w:space="0" w:color="auto"/>
            </w:tcBorders>
            <w:shd w:val="clear" w:color="auto" w:fill="auto"/>
            <w:vAlign w:val="center"/>
            <w:hideMark/>
          </w:tcPr>
          <w:p w14:paraId="476AAE2A" w14:textId="77777777" w:rsidR="00002D76" w:rsidRPr="00AE4B9D" w:rsidRDefault="00002D76" w:rsidP="00D63204">
            <w:pPr>
              <w:spacing w:after="0" w:line="240" w:lineRule="auto"/>
              <w:rPr>
                <w:rFonts w:ascii="Calibri" w:hAnsi="Calibri"/>
                <w:color w:val="231F20"/>
                <w:sz w:val="18"/>
                <w:szCs w:val="18"/>
              </w:rPr>
            </w:pPr>
            <w:r w:rsidRPr="00AE4B9D">
              <w:rPr>
                <w:rFonts w:ascii="Calibri" w:hAnsi="Calibri"/>
                <w:color w:val="231F20"/>
                <w:sz w:val="18"/>
                <w:szCs w:val="18"/>
              </w:rPr>
              <w:t>152031</w:t>
            </w:r>
          </w:p>
        </w:tc>
        <w:tc>
          <w:tcPr>
            <w:tcW w:w="0" w:type="auto"/>
            <w:tcBorders>
              <w:top w:val="nil"/>
              <w:left w:val="nil"/>
              <w:bottom w:val="single" w:sz="4" w:space="0" w:color="auto"/>
              <w:right w:val="single" w:sz="4" w:space="0" w:color="auto"/>
            </w:tcBorders>
            <w:shd w:val="clear" w:color="auto" w:fill="auto"/>
            <w:vAlign w:val="center"/>
            <w:hideMark/>
          </w:tcPr>
          <w:p w14:paraId="62A866EF" w14:textId="77777777" w:rsidR="00002D76" w:rsidRPr="00AE4B9D" w:rsidRDefault="00002D76" w:rsidP="004D6183">
            <w:pPr>
              <w:spacing w:after="0" w:line="240" w:lineRule="auto"/>
              <w:rPr>
                <w:rFonts w:ascii="Calibri" w:hAnsi="Calibri"/>
                <w:color w:val="231F20"/>
                <w:sz w:val="18"/>
                <w:szCs w:val="18"/>
              </w:rPr>
            </w:pPr>
            <w:r w:rsidRPr="00AE4B9D">
              <w:rPr>
                <w:rFonts w:ascii="Calibri" w:hAnsi="Calibri"/>
                <w:color w:val="231F20"/>
                <w:sz w:val="18"/>
                <w:szCs w:val="18"/>
              </w:rPr>
              <w:t>Operations Research Analysts</w:t>
            </w:r>
          </w:p>
        </w:tc>
        <w:tc>
          <w:tcPr>
            <w:tcW w:w="0" w:type="auto"/>
            <w:tcBorders>
              <w:top w:val="nil"/>
              <w:left w:val="nil"/>
              <w:bottom w:val="single" w:sz="4" w:space="0" w:color="auto"/>
              <w:right w:val="single" w:sz="4" w:space="0" w:color="auto"/>
            </w:tcBorders>
            <w:shd w:val="clear" w:color="auto" w:fill="auto"/>
            <w:vAlign w:val="center"/>
            <w:hideMark/>
          </w:tcPr>
          <w:p w14:paraId="7181CB51" w14:textId="77777777" w:rsidR="00002D76" w:rsidRPr="00AE4B9D" w:rsidRDefault="00002D76" w:rsidP="00D63204">
            <w:pPr>
              <w:spacing w:after="0" w:line="240" w:lineRule="auto"/>
              <w:rPr>
                <w:rFonts w:ascii="Calibri" w:hAnsi="Calibri"/>
                <w:color w:val="231F20"/>
                <w:sz w:val="18"/>
                <w:szCs w:val="18"/>
              </w:rPr>
            </w:pPr>
            <w:r w:rsidRPr="00AE4B9D">
              <w:rPr>
                <w:rFonts w:ascii="Calibri" w:hAnsi="Calibri"/>
                <w:color w:val="231F20"/>
                <w:sz w:val="18"/>
                <w:szCs w:val="18"/>
              </w:rPr>
              <w:t>6,634</w:t>
            </w:r>
          </w:p>
        </w:tc>
        <w:tc>
          <w:tcPr>
            <w:tcW w:w="0" w:type="auto"/>
            <w:tcBorders>
              <w:top w:val="nil"/>
              <w:left w:val="nil"/>
              <w:bottom w:val="single" w:sz="4" w:space="0" w:color="auto"/>
              <w:right w:val="single" w:sz="4" w:space="0" w:color="auto"/>
            </w:tcBorders>
            <w:shd w:val="clear" w:color="auto" w:fill="auto"/>
            <w:vAlign w:val="center"/>
            <w:hideMark/>
          </w:tcPr>
          <w:p w14:paraId="1B61E33B" w14:textId="77777777" w:rsidR="00002D76" w:rsidRPr="00AE4B9D" w:rsidRDefault="00002D76" w:rsidP="00D63204">
            <w:pPr>
              <w:spacing w:after="0" w:line="240" w:lineRule="auto"/>
              <w:rPr>
                <w:rFonts w:ascii="Calibri" w:hAnsi="Calibri"/>
                <w:color w:val="231F20"/>
                <w:sz w:val="18"/>
                <w:szCs w:val="18"/>
              </w:rPr>
            </w:pPr>
            <w:r w:rsidRPr="00AE4B9D">
              <w:rPr>
                <w:rFonts w:ascii="Calibri" w:hAnsi="Calibri"/>
                <w:color w:val="231F20"/>
                <w:sz w:val="18"/>
                <w:szCs w:val="18"/>
              </w:rPr>
              <w:t>8,368</w:t>
            </w:r>
          </w:p>
        </w:tc>
        <w:tc>
          <w:tcPr>
            <w:tcW w:w="0" w:type="auto"/>
            <w:tcBorders>
              <w:top w:val="nil"/>
              <w:left w:val="nil"/>
              <w:bottom w:val="single" w:sz="4" w:space="0" w:color="auto"/>
              <w:right w:val="single" w:sz="4" w:space="0" w:color="auto"/>
            </w:tcBorders>
            <w:shd w:val="clear" w:color="auto" w:fill="auto"/>
            <w:vAlign w:val="center"/>
            <w:hideMark/>
          </w:tcPr>
          <w:p w14:paraId="15570B34" w14:textId="77777777" w:rsidR="00002D76" w:rsidRPr="00AE4B9D" w:rsidRDefault="00002D76" w:rsidP="00D63204">
            <w:pPr>
              <w:spacing w:after="0" w:line="240" w:lineRule="auto"/>
              <w:rPr>
                <w:rFonts w:ascii="Calibri" w:hAnsi="Calibri"/>
                <w:color w:val="231F20"/>
                <w:sz w:val="18"/>
                <w:szCs w:val="18"/>
              </w:rPr>
            </w:pPr>
            <w:r w:rsidRPr="00AE4B9D">
              <w:rPr>
                <w:rFonts w:ascii="Calibri" w:hAnsi="Calibri"/>
                <w:color w:val="231F20"/>
                <w:sz w:val="18"/>
                <w:szCs w:val="18"/>
              </w:rPr>
              <w:t>1,734</w:t>
            </w:r>
          </w:p>
        </w:tc>
        <w:tc>
          <w:tcPr>
            <w:tcW w:w="0" w:type="auto"/>
            <w:tcBorders>
              <w:top w:val="nil"/>
              <w:left w:val="nil"/>
              <w:bottom w:val="single" w:sz="4" w:space="0" w:color="auto"/>
              <w:right w:val="single" w:sz="4" w:space="0" w:color="auto"/>
            </w:tcBorders>
            <w:shd w:val="clear" w:color="auto" w:fill="auto"/>
            <w:vAlign w:val="center"/>
            <w:hideMark/>
          </w:tcPr>
          <w:p w14:paraId="47558948" w14:textId="77777777" w:rsidR="00002D76" w:rsidRPr="00AE4B9D" w:rsidRDefault="00002D76" w:rsidP="00D63204">
            <w:pPr>
              <w:spacing w:after="0" w:line="240" w:lineRule="auto"/>
              <w:rPr>
                <w:rFonts w:ascii="Calibri" w:hAnsi="Calibri"/>
                <w:color w:val="231F20"/>
                <w:sz w:val="18"/>
                <w:szCs w:val="18"/>
              </w:rPr>
            </w:pPr>
            <w:r w:rsidRPr="00AE4B9D">
              <w:rPr>
                <w:rFonts w:ascii="Calibri" w:hAnsi="Calibri"/>
                <w:color w:val="231F20"/>
                <w:sz w:val="18"/>
                <w:szCs w:val="18"/>
              </w:rPr>
              <w:t>26.14</w:t>
            </w:r>
          </w:p>
        </w:tc>
        <w:tc>
          <w:tcPr>
            <w:tcW w:w="0" w:type="auto"/>
            <w:tcBorders>
              <w:top w:val="nil"/>
              <w:left w:val="nil"/>
              <w:bottom w:val="single" w:sz="4" w:space="0" w:color="auto"/>
              <w:right w:val="single" w:sz="4" w:space="0" w:color="auto"/>
            </w:tcBorders>
            <w:shd w:val="clear" w:color="auto" w:fill="auto"/>
            <w:vAlign w:val="center"/>
            <w:hideMark/>
          </w:tcPr>
          <w:p w14:paraId="37805C42" w14:textId="77777777" w:rsidR="00002D76" w:rsidRPr="00AE4B9D" w:rsidRDefault="00002D76" w:rsidP="00D63204">
            <w:pPr>
              <w:spacing w:after="0" w:line="240" w:lineRule="auto"/>
              <w:rPr>
                <w:rFonts w:ascii="Calibri" w:hAnsi="Calibri"/>
                <w:color w:val="231F20"/>
                <w:sz w:val="18"/>
                <w:szCs w:val="18"/>
              </w:rPr>
            </w:pPr>
            <w:r w:rsidRPr="00AE4B9D">
              <w:rPr>
                <w:rFonts w:ascii="Calibri" w:hAnsi="Calibri"/>
                <w:color w:val="231F20"/>
                <w:sz w:val="18"/>
                <w:szCs w:val="18"/>
              </w:rPr>
              <w:t>5,098</w:t>
            </w:r>
          </w:p>
        </w:tc>
      </w:tr>
      <w:tr w:rsidR="00002D76" w:rsidRPr="00AE4B9D" w14:paraId="78D42129" w14:textId="77777777" w:rsidTr="001429C7">
        <w:trPr>
          <w:trHeight w:val="480"/>
        </w:trPr>
        <w:tc>
          <w:tcPr>
            <w:tcW w:w="0" w:type="auto"/>
            <w:tcBorders>
              <w:top w:val="nil"/>
              <w:left w:val="single" w:sz="4" w:space="0" w:color="auto"/>
              <w:bottom w:val="single" w:sz="4" w:space="0" w:color="auto"/>
              <w:right w:val="single" w:sz="4" w:space="0" w:color="auto"/>
            </w:tcBorders>
            <w:shd w:val="clear" w:color="000000" w:fill="D1D3D4"/>
            <w:vAlign w:val="center"/>
            <w:hideMark/>
          </w:tcPr>
          <w:p w14:paraId="4DA9EEAD" w14:textId="77777777" w:rsidR="00002D76" w:rsidRPr="00AE4B9D" w:rsidRDefault="00002D76" w:rsidP="00D63204">
            <w:pPr>
              <w:spacing w:after="0" w:line="240" w:lineRule="auto"/>
              <w:rPr>
                <w:rFonts w:ascii="Calibri" w:hAnsi="Calibri"/>
                <w:color w:val="231F20"/>
                <w:sz w:val="18"/>
                <w:szCs w:val="18"/>
              </w:rPr>
            </w:pPr>
            <w:r w:rsidRPr="00AE4B9D">
              <w:rPr>
                <w:rFonts w:ascii="Calibri" w:hAnsi="Calibri"/>
                <w:color w:val="231F20"/>
                <w:sz w:val="18"/>
                <w:szCs w:val="18"/>
              </w:rPr>
              <w:t>6</w:t>
            </w:r>
          </w:p>
        </w:tc>
        <w:tc>
          <w:tcPr>
            <w:tcW w:w="0" w:type="auto"/>
            <w:tcBorders>
              <w:top w:val="nil"/>
              <w:left w:val="nil"/>
              <w:bottom w:val="single" w:sz="4" w:space="0" w:color="auto"/>
              <w:right w:val="single" w:sz="4" w:space="0" w:color="auto"/>
            </w:tcBorders>
            <w:shd w:val="clear" w:color="000000" w:fill="D1D3D4"/>
            <w:vAlign w:val="center"/>
            <w:hideMark/>
          </w:tcPr>
          <w:p w14:paraId="0B363E1D" w14:textId="77777777" w:rsidR="00002D76" w:rsidRPr="00AE4B9D" w:rsidRDefault="00002D76" w:rsidP="00D63204">
            <w:pPr>
              <w:spacing w:after="0" w:line="240" w:lineRule="auto"/>
              <w:rPr>
                <w:rFonts w:ascii="Calibri" w:hAnsi="Calibri"/>
                <w:color w:val="231F20"/>
                <w:sz w:val="18"/>
                <w:szCs w:val="18"/>
              </w:rPr>
            </w:pPr>
            <w:r w:rsidRPr="00AE4B9D">
              <w:rPr>
                <w:rFonts w:ascii="Calibri" w:hAnsi="Calibri"/>
                <w:color w:val="231F20"/>
                <w:sz w:val="18"/>
                <w:szCs w:val="18"/>
              </w:rPr>
              <w:t>292032</w:t>
            </w:r>
          </w:p>
        </w:tc>
        <w:tc>
          <w:tcPr>
            <w:tcW w:w="0" w:type="auto"/>
            <w:tcBorders>
              <w:top w:val="nil"/>
              <w:left w:val="nil"/>
              <w:bottom w:val="single" w:sz="4" w:space="0" w:color="auto"/>
              <w:right w:val="single" w:sz="4" w:space="0" w:color="auto"/>
            </w:tcBorders>
            <w:shd w:val="clear" w:color="000000" w:fill="D1D3D4"/>
            <w:vAlign w:val="center"/>
            <w:hideMark/>
          </w:tcPr>
          <w:p w14:paraId="3AF99B27" w14:textId="77777777" w:rsidR="00002D76" w:rsidRPr="00AE4B9D" w:rsidRDefault="00002D76" w:rsidP="004D6183">
            <w:pPr>
              <w:spacing w:after="0" w:line="240" w:lineRule="auto"/>
              <w:rPr>
                <w:rFonts w:ascii="Calibri" w:hAnsi="Calibri"/>
                <w:color w:val="231F20"/>
                <w:sz w:val="18"/>
                <w:szCs w:val="18"/>
              </w:rPr>
            </w:pPr>
            <w:r w:rsidRPr="00AE4B9D">
              <w:rPr>
                <w:rFonts w:ascii="Calibri" w:hAnsi="Calibri"/>
                <w:color w:val="231F20"/>
                <w:sz w:val="18"/>
                <w:szCs w:val="18"/>
              </w:rPr>
              <w:t>Diagnostic Medical Sonographers</w:t>
            </w:r>
          </w:p>
        </w:tc>
        <w:tc>
          <w:tcPr>
            <w:tcW w:w="0" w:type="auto"/>
            <w:tcBorders>
              <w:top w:val="nil"/>
              <w:left w:val="nil"/>
              <w:bottom w:val="single" w:sz="4" w:space="0" w:color="auto"/>
              <w:right w:val="single" w:sz="4" w:space="0" w:color="auto"/>
            </w:tcBorders>
            <w:shd w:val="clear" w:color="000000" w:fill="D1D3D4"/>
            <w:vAlign w:val="center"/>
            <w:hideMark/>
          </w:tcPr>
          <w:p w14:paraId="14C1FEFD" w14:textId="77777777" w:rsidR="00002D76" w:rsidRPr="00AE4B9D" w:rsidRDefault="00002D76" w:rsidP="00D63204">
            <w:pPr>
              <w:spacing w:after="0" w:line="240" w:lineRule="auto"/>
              <w:rPr>
                <w:rFonts w:ascii="Calibri" w:hAnsi="Calibri"/>
                <w:color w:val="231F20"/>
                <w:sz w:val="18"/>
                <w:szCs w:val="18"/>
              </w:rPr>
            </w:pPr>
            <w:r w:rsidRPr="00AE4B9D">
              <w:rPr>
                <w:rFonts w:ascii="Calibri" w:hAnsi="Calibri"/>
                <w:color w:val="231F20"/>
                <w:sz w:val="18"/>
                <w:szCs w:val="18"/>
              </w:rPr>
              <w:t>5,723</w:t>
            </w:r>
          </w:p>
        </w:tc>
        <w:tc>
          <w:tcPr>
            <w:tcW w:w="0" w:type="auto"/>
            <w:tcBorders>
              <w:top w:val="nil"/>
              <w:left w:val="nil"/>
              <w:bottom w:val="single" w:sz="4" w:space="0" w:color="auto"/>
              <w:right w:val="single" w:sz="4" w:space="0" w:color="auto"/>
            </w:tcBorders>
            <w:shd w:val="clear" w:color="000000" w:fill="D1D3D4"/>
            <w:vAlign w:val="center"/>
            <w:hideMark/>
          </w:tcPr>
          <w:p w14:paraId="715FDEE3" w14:textId="77777777" w:rsidR="00002D76" w:rsidRPr="00AE4B9D" w:rsidRDefault="00002D76" w:rsidP="00D63204">
            <w:pPr>
              <w:spacing w:after="0" w:line="240" w:lineRule="auto"/>
              <w:rPr>
                <w:rFonts w:ascii="Calibri" w:hAnsi="Calibri"/>
                <w:color w:val="231F20"/>
                <w:sz w:val="18"/>
                <w:szCs w:val="18"/>
              </w:rPr>
            </w:pPr>
            <w:r w:rsidRPr="00AE4B9D">
              <w:rPr>
                <w:rFonts w:ascii="Calibri" w:hAnsi="Calibri"/>
                <w:color w:val="231F20"/>
                <w:sz w:val="18"/>
                <w:szCs w:val="18"/>
              </w:rPr>
              <w:t>7,205</w:t>
            </w:r>
          </w:p>
        </w:tc>
        <w:tc>
          <w:tcPr>
            <w:tcW w:w="0" w:type="auto"/>
            <w:tcBorders>
              <w:top w:val="nil"/>
              <w:left w:val="nil"/>
              <w:bottom w:val="single" w:sz="4" w:space="0" w:color="auto"/>
              <w:right w:val="single" w:sz="4" w:space="0" w:color="auto"/>
            </w:tcBorders>
            <w:shd w:val="clear" w:color="000000" w:fill="D1D3D4"/>
            <w:vAlign w:val="center"/>
            <w:hideMark/>
          </w:tcPr>
          <w:p w14:paraId="05F6A666" w14:textId="77777777" w:rsidR="00002D76" w:rsidRPr="00AE4B9D" w:rsidRDefault="00002D76" w:rsidP="00D63204">
            <w:pPr>
              <w:spacing w:after="0" w:line="240" w:lineRule="auto"/>
              <w:rPr>
                <w:rFonts w:ascii="Calibri" w:hAnsi="Calibri"/>
                <w:color w:val="231F20"/>
                <w:sz w:val="18"/>
                <w:szCs w:val="18"/>
              </w:rPr>
            </w:pPr>
            <w:r w:rsidRPr="00AE4B9D">
              <w:rPr>
                <w:rFonts w:ascii="Calibri" w:hAnsi="Calibri"/>
                <w:color w:val="231F20"/>
                <w:sz w:val="18"/>
                <w:szCs w:val="18"/>
              </w:rPr>
              <w:t>1,482</w:t>
            </w:r>
          </w:p>
        </w:tc>
        <w:tc>
          <w:tcPr>
            <w:tcW w:w="0" w:type="auto"/>
            <w:tcBorders>
              <w:top w:val="nil"/>
              <w:left w:val="nil"/>
              <w:bottom w:val="single" w:sz="4" w:space="0" w:color="auto"/>
              <w:right w:val="single" w:sz="4" w:space="0" w:color="auto"/>
            </w:tcBorders>
            <w:shd w:val="clear" w:color="000000" w:fill="D1D3D4"/>
            <w:vAlign w:val="center"/>
            <w:hideMark/>
          </w:tcPr>
          <w:p w14:paraId="625A5B50" w14:textId="77777777" w:rsidR="00002D76" w:rsidRPr="00AE4B9D" w:rsidRDefault="00002D76" w:rsidP="00D63204">
            <w:pPr>
              <w:spacing w:after="0" w:line="240" w:lineRule="auto"/>
              <w:rPr>
                <w:rFonts w:ascii="Calibri" w:hAnsi="Calibri"/>
                <w:color w:val="231F20"/>
                <w:sz w:val="18"/>
                <w:szCs w:val="18"/>
              </w:rPr>
            </w:pPr>
            <w:r w:rsidRPr="00AE4B9D">
              <w:rPr>
                <w:rFonts w:ascii="Calibri" w:hAnsi="Calibri"/>
                <w:color w:val="231F20"/>
                <w:sz w:val="18"/>
                <w:szCs w:val="18"/>
              </w:rPr>
              <w:t>25.9</w:t>
            </w:r>
          </w:p>
        </w:tc>
        <w:tc>
          <w:tcPr>
            <w:tcW w:w="0" w:type="auto"/>
            <w:tcBorders>
              <w:top w:val="nil"/>
              <w:left w:val="nil"/>
              <w:bottom w:val="single" w:sz="4" w:space="0" w:color="auto"/>
              <w:right w:val="single" w:sz="4" w:space="0" w:color="auto"/>
            </w:tcBorders>
            <w:shd w:val="clear" w:color="000000" w:fill="D1D3D4"/>
            <w:vAlign w:val="center"/>
            <w:hideMark/>
          </w:tcPr>
          <w:p w14:paraId="3F6DF81C" w14:textId="77777777" w:rsidR="00002D76" w:rsidRPr="00AE4B9D" w:rsidRDefault="00002D76" w:rsidP="00D63204">
            <w:pPr>
              <w:spacing w:after="0" w:line="240" w:lineRule="auto"/>
              <w:rPr>
                <w:rFonts w:ascii="Calibri" w:hAnsi="Calibri"/>
                <w:color w:val="231F20"/>
                <w:sz w:val="18"/>
                <w:szCs w:val="18"/>
              </w:rPr>
            </w:pPr>
            <w:r w:rsidRPr="00AE4B9D">
              <w:rPr>
                <w:rFonts w:ascii="Calibri" w:hAnsi="Calibri"/>
                <w:color w:val="231F20"/>
                <w:sz w:val="18"/>
                <w:szCs w:val="18"/>
              </w:rPr>
              <w:t>4,090</w:t>
            </w:r>
          </w:p>
        </w:tc>
      </w:tr>
      <w:tr w:rsidR="00002D76" w:rsidRPr="00AE4B9D" w14:paraId="767DD252" w14:textId="77777777" w:rsidTr="001429C7">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D091DAC" w14:textId="77777777" w:rsidR="00002D76" w:rsidRPr="00AE4B9D" w:rsidRDefault="00002D76" w:rsidP="00D63204">
            <w:pPr>
              <w:spacing w:after="0" w:line="240" w:lineRule="auto"/>
              <w:rPr>
                <w:rFonts w:ascii="Calibri" w:hAnsi="Calibri"/>
                <w:color w:val="231F20"/>
                <w:sz w:val="18"/>
                <w:szCs w:val="18"/>
              </w:rPr>
            </w:pPr>
            <w:r w:rsidRPr="00AE4B9D">
              <w:rPr>
                <w:rFonts w:ascii="Calibri" w:hAnsi="Calibri"/>
                <w:color w:val="231F20"/>
                <w:sz w:val="18"/>
                <w:szCs w:val="18"/>
              </w:rPr>
              <w:t>7</w:t>
            </w:r>
          </w:p>
        </w:tc>
        <w:tc>
          <w:tcPr>
            <w:tcW w:w="0" w:type="auto"/>
            <w:tcBorders>
              <w:top w:val="nil"/>
              <w:left w:val="nil"/>
              <w:bottom w:val="single" w:sz="4" w:space="0" w:color="auto"/>
              <w:right w:val="single" w:sz="4" w:space="0" w:color="auto"/>
            </w:tcBorders>
            <w:shd w:val="clear" w:color="auto" w:fill="auto"/>
            <w:vAlign w:val="center"/>
            <w:hideMark/>
          </w:tcPr>
          <w:p w14:paraId="61C45262" w14:textId="77777777" w:rsidR="00002D76" w:rsidRPr="00AE4B9D" w:rsidRDefault="00002D76" w:rsidP="00D63204">
            <w:pPr>
              <w:spacing w:after="0" w:line="240" w:lineRule="auto"/>
              <w:rPr>
                <w:rFonts w:ascii="Calibri" w:hAnsi="Calibri"/>
                <w:color w:val="231F20"/>
                <w:sz w:val="18"/>
                <w:szCs w:val="18"/>
              </w:rPr>
            </w:pPr>
            <w:r w:rsidRPr="00AE4B9D">
              <w:rPr>
                <w:rFonts w:ascii="Calibri" w:hAnsi="Calibri"/>
                <w:color w:val="231F20"/>
                <w:sz w:val="18"/>
                <w:szCs w:val="18"/>
              </w:rPr>
              <w:t>151134</w:t>
            </w:r>
          </w:p>
        </w:tc>
        <w:tc>
          <w:tcPr>
            <w:tcW w:w="0" w:type="auto"/>
            <w:tcBorders>
              <w:top w:val="nil"/>
              <w:left w:val="nil"/>
              <w:bottom w:val="single" w:sz="4" w:space="0" w:color="auto"/>
              <w:right w:val="single" w:sz="4" w:space="0" w:color="auto"/>
            </w:tcBorders>
            <w:shd w:val="clear" w:color="auto" w:fill="auto"/>
            <w:vAlign w:val="center"/>
            <w:hideMark/>
          </w:tcPr>
          <w:p w14:paraId="43996007" w14:textId="77777777" w:rsidR="00002D76" w:rsidRPr="00AE4B9D" w:rsidRDefault="00002D76" w:rsidP="004D6183">
            <w:pPr>
              <w:spacing w:after="0" w:line="240" w:lineRule="auto"/>
              <w:rPr>
                <w:rFonts w:ascii="Calibri" w:hAnsi="Calibri"/>
                <w:color w:val="231F20"/>
                <w:sz w:val="18"/>
                <w:szCs w:val="18"/>
              </w:rPr>
            </w:pPr>
            <w:r w:rsidRPr="00AE4B9D">
              <w:rPr>
                <w:rFonts w:ascii="Calibri" w:hAnsi="Calibri"/>
                <w:color w:val="231F20"/>
                <w:sz w:val="18"/>
                <w:szCs w:val="18"/>
              </w:rPr>
              <w:t xml:space="preserve">Web Developers                                                                  </w:t>
            </w:r>
          </w:p>
        </w:tc>
        <w:tc>
          <w:tcPr>
            <w:tcW w:w="0" w:type="auto"/>
            <w:tcBorders>
              <w:top w:val="nil"/>
              <w:left w:val="nil"/>
              <w:bottom w:val="single" w:sz="4" w:space="0" w:color="auto"/>
              <w:right w:val="single" w:sz="4" w:space="0" w:color="auto"/>
            </w:tcBorders>
            <w:shd w:val="clear" w:color="auto" w:fill="auto"/>
            <w:vAlign w:val="center"/>
            <w:hideMark/>
          </w:tcPr>
          <w:p w14:paraId="6E05D1FE" w14:textId="77777777" w:rsidR="00002D76" w:rsidRPr="00AE4B9D" w:rsidRDefault="00002D76" w:rsidP="00D63204">
            <w:pPr>
              <w:spacing w:after="0" w:line="240" w:lineRule="auto"/>
              <w:rPr>
                <w:rFonts w:ascii="Calibri" w:hAnsi="Calibri"/>
                <w:color w:val="231F20"/>
                <w:sz w:val="18"/>
                <w:szCs w:val="18"/>
              </w:rPr>
            </w:pPr>
            <w:r w:rsidRPr="00AE4B9D">
              <w:rPr>
                <w:rFonts w:ascii="Calibri" w:hAnsi="Calibri"/>
                <w:color w:val="231F20"/>
                <w:sz w:val="18"/>
                <w:szCs w:val="18"/>
              </w:rPr>
              <w:t>9,752</w:t>
            </w:r>
          </w:p>
        </w:tc>
        <w:tc>
          <w:tcPr>
            <w:tcW w:w="0" w:type="auto"/>
            <w:tcBorders>
              <w:top w:val="nil"/>
              <w:left w:val="nil"/>
              <w:bottom w:val="single" w:sz="4" w:space="0" w:color="auto"/>
              <w:right w:val="single" w:sz="4" w:space="0" w:color="auto"/>
            </w:tcBorders>
            <w:shd w:val="clear" w:color="auto" w:fill="auto"/>
            <w:vAlign w:val="center"/>
            <w:hideMark/>
          </w:tcPr>
          <w:p w14:paraId="7055FB3A" w14:textId="77777777" w:rsidR="00002D76" w:rsidRPr="00AE4B9D" w:rsidRDefault="00002D76" w:rsidP="00D63204">
            <w:pPr>
              <w:spacing w:after="0" w:line="240" w:lineRule="auto"/>
              <w:rPr>
                <w:rFonts w:ascii="Calibri" w:hAnsi="Calibri"/>
                <w:color w:val="231F20"/>
                <w:sz w:val="18"/>
                <w:szCs w:val="18"/>
              </w:rPr>
            </w:pPr>
            <w:r w:rsidRPr="00AE4B9D">
              <w:rPr>
                <w:rFonts w:ascii="Calibri" w:hAnsi="Calibri"/>
                <w:color w:val="231F20"/>
                <w:sz w:val="18"/>
                <w:szCs w:val="18"/>
              </w:rPr>
              <w:t>12,248</w:t>
            </w:r>
          </w:p>
        </w:tc>
        <w:tc>
          <w:tcPr>
            <w:tcW w:w="0" w:type="auto"/>
            <w:tcBorders>
              <w:top w:val="nil"/>
              <w:left w:val="nil"/>
              <w:bottom w:val="single" w:sz="4" w:space="0" w:color="auto"/>
              <w:right w:val="single" w:sz="4" w:space="0" w:color="auto"/>
            </w:tcBorders>
            <w:shd w:val="clear" w:color="auto" w:fill="auto"/>
            <w:vAlign w:val="center"/>
            <w:hideMark/>
          </w:tcPr>
          <w:p w14:paraId="2D93C6F3" w14:textId="77777777" w:rsidR="00002D76" w:rsidRPr="00AE4B9D" w:rsidRDefault="00002D76" w:rsidP="00D63204">
            <w:pPr>
              <w:spacing w:after="0" w:line="240" w:lineRule="auto"/>
              <w:rPr>
                <w:rFonts w:ascii="Calibri" w:hAnsi="Calibri"/>
                <w:color w:val="231F20"/>
                <w:sz w:val="18"/>
                <w:szCs w:val="18"/>
              </w:rPr>
            </w:pPr>
            <w:r w:rsidRPr="00AE4B9D">
              <w:rPr>
                <w:rFonts w:ascii="Calibri" w:hAnsi="Calibri"/>
                <w:color w:val="231F20"/>
                <w:sz w:val="18"/>
                <w:szCs w:val="18"/>
              </w:rPr>
              <w:t>2,496</w:t>
            </w:r>
          </w:p>
        </w:tc>
        <w:tc>
          <w:tcPr>
            <w:tcW w:w="0" w:type="auto"/>
            <w:tcBorders>
              <w:top w:val="nil"/>
              <w:left w:val="nil"/>
              <w:bottom w:val="single" w:sz="4" w:space="0" w:color="auto"/>
              <w:right w:val="single" w:sz="4" w:space="0" w:color="auto"/>
            </w:tcBorders>
            <w:shd w:val="clear" w:color="auto" w:fill="auto"/>
            <w:vAlign w:val="center"/>
            <w:hideMark/>
          </w:tcPr>
          <w:p w14:paraId="19441AE4" w14:textId="77777777" w:rsidR="00002D76" w:rsidRPr="00AE4B9D" w:rsidRDefault="00002D76" w:rsidP="00D63204">
            <w:pPr>
              <w:spacing w:after="0" w:line="240" w:lineRule="auto"/>
              <w:rPr>
                <w:rFonts w:ascii="Calibri" w:hAnsi="Calibri"/>
                <w:color w:val="231F20"/>
                <w:sz w:val="18"/>
                <w:szCs w:val="18"/>
              </w:rPr>
            </w:pPr>
            <w:r w:rsidRPr="00AE4B9D">
              <w:rPr>
                <w:rFonts w:ascii="Calibri" w:hAnsi="Calibri"/>
                <w:color w:val="231F20"/>
                <w:sz w:val="18"/>
                <w:szCs w:val="18"/>
              </w:rPr>
              <w:t>25.59</w:t>
            </w:r>
          </w:p>
        </w:tc>
        <w:tc>
          <w:tcPr>
            <w:tcW w:w="0" w:type="auto"/>
            <w:tcBorders>
              <w:top w:val="nil"/>
              <w:left w:val="nil"/>
              <w:bottom w:val="single" w:sz="4" w:space="0" w:color="auto"/>
              <w:right w:val="single" w:sz="4" w:space="0" w:color="auto"/>
            </w:tcBorders>
            <w:shd w:val="clear" w:color="auto" w:fill="auto"/>
            <w:vAlign w:val="center"/>
            <w:hideMark/>
          </w:tcPr>
          <w:p w14:paraId="64C862A9" w14:textId="77777777" w:rsidR="00002D76" w:rsidRPr="00AE4B9D" w:rsidRDefault="00002D76" w:rsidP="00D63204">
            <w:pPr>
              <w:spacing w:after="0" w:line="240" w:lineRule="auto"/>
              <w:rPr>
                <w:rFonts w:ascii="Calibri" w:hAnsi="Calibri"/>
                <w:color w:val="231F20"/>
                <w:sz w:val="18"/>
                <w:szCs w:val="18"/>
              </w:rPr>
            </w:pPr>
            <w:r w:rsidRPr="00AE4B9D">
              <w:rPr>
                <w:rFonts w:ascii="Calibri" w:hAnsi="Calibri"/>
                <w:color w:val="231F20"/>
                <w:sz w:val="18"/>
                <w:szCs w:val="18"/>
              </w:rPr>
              <w:t>8,817</w:t>
            </w:r>
          </w:p>
        </w:tc>
      </w:tr>
      <w:tr w:rsidR="00002D76" w:rsidRPr="00AE4B9D" w14:paraId="4FE316F1" w14:textId="77777777" w:rsidTr="001429C7">
        <w:trPr>
          <w:trHeight w:val="300"/>
        </w:trPr>
        <w:tc>
          <w:tcPr>
            <w:tcW w:w="0" w:type="auto"/>
            <w:tcBorders>
              <w:top w:val="nil"/>
              <w:left w:val="single" w:sz="4" w:space="0" w:color="auto"/>
              <w:bottom w:val="single" w:sz="4" w:space="0" w:color="auto"/>
              <w:right w:val="single" w:sz="4" w:space="0" w:color="auto"/>
            </w:tcBorders>
            <w:shd w:val="clear" w:color="000000" w:fill="D1D3D4"/>
            <w:vAlign w:val="center"/>
            <w:hideMark/>
          </w:tcPr>
          <w:p w14:paraId="53FA8754" w14:textId="77777777" w:rsidR="00002D76" w:rsidRPr="00AE4B9D" w:rsidRDefault="00002D76" w:rsidP="00D63204">
            <w:pPr>
              <w:spacing w:after="0" w:line="240" w:lineRule="auto"/>
              <w:rPr>
                <w:rFonts w:ascii="Calibri" w:hAnsi="Calibri"/>
                <w:color w:val="231F20"/>
                <w:sz w:val="18"/>
                <w:szCs w:val="18"/>
              </w:rPr>
            </w:pPr>
            <w:r w:rsidRPr="00AE4B9D">
              <w:rPr>
                <w:rFonts w:ascii="Calibri" w:hAnsi="Calibri"/>
                <w:color w:val="231F20"/>
                <w:sz w:val="18"/>
                <w:szCs w:val="18"/>
              </w:rPr>
              <w:t>8</w:t>
            </w:r>
          </w:p>
        </w:tc>
        <w:tc>
          <w:tcPr>
            <w:tcW w:w="0" w:type="auto"/>
            <w:tcBorders>
              <w:top w:val="nil"/>
              <w:left w:val="nil"/>
              <w:bottom w:val="single" w:sz="4" w:space="0" w:color="auto"/>
              <w:right w:val="single" w:sz="4" w:space="0" w:color="auto"/>
            </w:tcBorders>
            <w:shd w:val="clear" w:color="000000" w:fill="D1D3D4"/>
            <w:vAlign w:val="center"/>
            <w:hideMark/>
          </w:tcPr>
          <w:p w14:paraId="4D267EF3" w14:textId="77777777" w:rsidR="00002D76" w:rsidRPr="00AE4B9D" w:rsidRDefault="00002D76" w:rsidP="00D63204">
            <w:pPr>
              <w:spacing w:after="0" w:line="240" w:lineRule="auto"/>
              <w:rPr>
                <w:rFonts w:ascii="Calibri" w:hAnsi="Calibri"/>
                <w:color w:val="231F20"/>
                <w:sz w:val="18"/>
                <w:szCs w:val="18"/>
              </w:rPr>
            </w:pPr>
            <w:r w:rsidRPr="00AE4B9D">
              <w:rPr>
                <w:rFonts w:ascii="Calibri" w:hAnsi="Calibri"/>
                <w:color w:val="231F20"/>
                <w:sz w:val="18"/>
                <w:szCs w:val="18"/>
              </w:rPr>
              <w:t>291123</w:t>
            </w:r>
          </w:p>
        </w:tc>
        <w:tc>
          <w:tcPr>
            <w:tcW w:w="0" w:type="auto"/>
            <w:tcBorders>
              <w:top w:val="nil"/>
              <w:left w:val="nil"/>
              <w:bottom w:val="single" w:sz="4" w:space="0" w:color="auto"/>
              <w:right w:val="single" w:sz="4" w:space="0" w:color="auto"/>
            </w:tcBorders>
            <w:shd w:val="clear" w:color="000000" w:fill="D1D3D4"/>
            <w:vAlign w:val="center"/>
            <w:hideMark/>
          </w:tcPr>
          <w:p w14:paraId="58E11D86" w14:textId="77777777" w:rsidR="00002D76" w:rsidRPr="00AE4B9D" w:rsidRDefault="00002D76" w:rsidP="004D6183">
            <w:pPr>
              <w:spacing w:after="0" w:line="240" w:lineRule="auto"/>
              <w:rPr>
                <w:rFonts w:ascii="Calibri" w:hAnsi="Calibri"/>
                <w:color w:val="231F20"/>
                <w:sz w:val="18"/>
                <w:szCs w:val="18"/>
              </w:rPr>
            </w:pPr>
            <w:r w:rsidRPr="00AE4B9D">
              <w:rPr>
                <w:rFonts w:ascii="Calibri" w:hAnsi="Calibri"/>
                <w:color w:val="231F20"/>
                <w:sz w:val="18"/>
                <w:szCs w:val="18"/>
              </w:rPr>
              <w:t>Physical Therapists</w:t>
            </w:r>
          </w:p>
        </w:tc>
        <w:tc>
          <w:tcPr>
            <w:tcW w:w="0" w:type="auto"/>
            <w:tcBorders>
              <w:top w:val="nil"/>
              <w:left w:val="nil"/>
              <w:bottom w:val="single" w:sz="4" w:space="0" w:color="auto"/>
              <w:right w:val="single" w:sz="4" w:space="0" w:color="auto"/>
            </w:tcBorders>
            <w:shd w:val="clear" w:color="000000" w:fill="D1D3D4"/>
            <w:vAlign w:val="center"/>
            <w:hideMark/>
          </w:tcPr>
          <w:p w14:paraId="4F367113" w14:textId="77777777" w:rsidR="00002D76" w:rsidRPr="00AE4B9D" w:rsidRDefault="00002D76" w:rsidP="00D63204">
            <w:pPr>
              <w:spacing w:after="0" w:line="240" w:lineRule="auto"/>
              <w:rPr>
                <w:rFonts w:ascii="Calibri" w:hAnsi="Calibri"/>
                <w:color w:val="231F20"/>
                <w:sz w:val="18"/>
                <w:szCs w:val="18"/>
              </w:rPr>
            </w:pPr>
            <w:r w:rsidRPr="00AE4B9D">
              <w:rPr>
                <w:rFonts w:ascii="Calibri" w:hAnsi="Calibri"/>
                <w:color w:val="231F20"/>
                <w:sz w:val="18"/>
                <w:szCs w:val="18"/>
              </w:rPr>
              <w:t>13,533</w:t>
            </w:r>
          </w:p>
        </w:tc>
        <w:tc>
          <w:tcPr>
            <w:tcW w:w="0" w:type="auto"/>
            <w:tcBorders>
              <w:top w:val="nil"/>
              <w:left w:val="nil"/>
              <w:bottom w:val="single" w:sz="4" w:space="0" w:color="auto"/>
              <w:right w:val="single" w:sz="4" w:space="0" w:color="auto"/>
            </w:tcBorders>
            <w:shd w:val="clear" w:color="000000" w:fill="D1D3D4"/>
            <w:vAlign w:val="center"/>
            <w:hideMark/>
          </w:tcPr>
          <w:p w14:paraId="769CC61B" w14:textId="77777777" w:rsidR="00002D76" w:rsidRPr="00AE4B9D" w:rsidRDefault="00002D76" w:rsidP="00D63204">
            <w:pPr>
              <w:spacing w:after="0" w:line="240" w:lineRule="auto"/>
              <w:rPr>
                <w:rFonts w:ascii="Calibri" w:hAnsi="Calibri"/>
                <w:color w:val="231F20"/>
                <w:sz w:val="18"/>
                <w:szCs w:val="18"/>
              </w:rPr>
            </w:pPr>
            <w:r w:rsidRPr="00AE4B9D">
              <w:rPr>
                <w:rFonts w:ascii="Calibri" w:hAnsi="Calibri"/>
                <w:color w:val="231F20"/>
                <w:sz w:val="18"/>
                <w:szCs w:val="18"/>
              </w:rPr>
              <w:t>16,975</w:t>
            </w:r>
          </w:p>
        </w:tc>
        <w:tc>
          <w:tcPr>
            <w:tcW w:w="0" w:type="auto"/>
            <w:tcBorders>
              <w:top w:val="nil"/>
              <w:left w:val="nil"/>
              <w:bottom w:val="single" w:sz="4" w:space="0" w:color="auto"/>
              <w:right w:val="single" w:sz="4" w:space="0" w:color="auto"/>
            </w:tcBorders>
            <w:shd w:val="clear" w:color="000000" w:fill="D1D3D4"/>
            <w:vAlign w:val="center"/>
            <w:hideMark/>
          </w:tcPr>
          <w:p w14:paraId="776902B3" w14:textId="77777777" w:rsidR="00002D76" w:rsidRPr="00AE4B9D" w:rsidRDefault="00002D76" w:rsidP="00D63204">
            <w:pPr>
              <w:spacing w:after="0" w:line="240" w:lineRule="auto"/>
              <w:rPr>
                <w:rFonts w:ascii="Calibri" w:hAnsi="Calibri"/>
                <w:color w:val="231F20"/>
                <w:sz w:val="18"/>
                <w:szCs w:val="18"/>
              </w:rPr>
            </w:pPr>
            <w:r w:rsidRPr="00AE4B9D">
              <w:rPr>
                <w:rFonts w:ascii="Calibri" w:hAnsi="Calibri"/>
                <w:color w:val="231F20"/>
                <w:sz w:val="18"/>
                <w:szCs w:val="18"/>
              </w:rPr>
              <w:t>3,442</w:t>
            </w:r>
          </w:p>
        </w:tc>
        <w:tc>
          <w:tcPr>
            <w:tcW w:w="0" w:type="auto"/>
            <w:tcBorders>
              <w:top w:val="nil"/>
              <w:left w:val="nil"/>
              <w:bottom w:val="single" w:sz="4" w:space="0" w:color="auto"/>
              <w:right w:val="single" w:sz="4" w:space="0" w:color="auto"/>
            </w:tcBorders>
            <w:shd w:val="clear" w:color="000000" w:fill="D1D3D4"/>
            <w:vAlign w:val="center"/>
            <w:hideMark/>
          </w:tcPr>
          <w:p w14:paraId="129987D7" w14:textId="77777777" w:rsidR="00002D76" w:rsidRPr="00AE4B9D" w:rsidRDefault="00002D76" w:rsidP="00D63204">
            <w:pPr>
              <w:spacing w:after="0" w:line="240" w:lineRule="auto"/>
              <w:rPr>
                <w:rFonts w:ascii="Calibri" w:hAnsi="Calibri"/>
                <w:color w:val="231F20"/>
                <w:sz w:val="18"/>
                <w:szCs w:val="18"/>
              </w:rPr>
            </w:pPr>
            <w:r w:rsidRPr="00AE4B9D">
              <w:rPr>
                <w:rFonts w:ascii="Calibri" w:hAnsi="Calibri"/>
                <w:color w:val="231F20"/>
                <w:sz w:val="18"/>
                <w:szCs w:val="18"/>
              </w:rPr>
              <w:t>25.43</w:t>
            </w:r>
          </w:p>
        </w:tc>
        <w:tc>
          <w:tcPr>
            <w:tcW w:w="0" w:type="auto"/>
            <w:tcBorders>
              <w:top w:val="nil"/>
              <w:left w:val="nil"/>
              <w:bottom w:val="single" w:sz="4" w:space="0" w:color="auto"/>
              <w:right w:val="single" w:sz="4" w:space="0" w:color="auto"/>
            </w:tcBorders>
            <w:shd w:val="clear" w:color="000000" w:fill="D1D3D4"/>
            <w:vAlign w:val="center"/>
            <w:hideMark/>
          </w:tcPr>
          <w:p w14:paraId="26FCEB7E" w14:textId="77777777" w:rsidR="00002D76" w:rsidRPr="00AE4B9D" w:rsidRDefault="00002D76" w:rsidP="00D63204">
            <w:pPr>
              <w:spacing w:after="0" w:line="240" w:lineRule="auto"/>
              <w:rPr>
                <w:rFonts w:ascii="Calibri" w:hAnsi="Calibri"/>
                <w:color w:val="231F20"/>
                <w:sz w:val="18"/>
                <w:szCs w:val="18"/>
              </w:rPr>
            </w:pPr>
            <w:r w:rsidRPr="00AE4B9D">
              <w:rPr>
                <w:rFonts w:ascii="Calibri" w:hAnsi="Calibri"/>
                <w:color w:val="231F20"/>
                <w:sz w:val="18"/>
                <w:szCs w:val="18"/>
              </w:rPr>
              <w:t>8,641</w:t>
            </w:r>
          </w:p>
        </w:tc>
      </w:tr>
      <w:tr w:rsidR="00002D76" w:rsidRPr="00AE4B9D" w14:paraId="477E16C7" w14:textId="77777777" w:rsidTr="001429C7">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5F3F10B" w14:textId="77777777" w:rsidR="00002D76" w:rsidRPr="00AE4B9D" w:rsidRDefault="00002D76" w:rsidP="00D63204">
            <w:pPr>
              <w:spacing w:after="0" w:line="240" w:lineRule="auto"/>
              <w:rPr>
                <w:rFonts w:ascii="Calibri" w:hAnsi="Calibri"/>
                <w:color w:val="231F20"/>
                <w:sz w:val="18"/>
                <w:szCs w:val="18"/>
              </w:rPr>
            </w:pPr>
            <w:r w:rsidRPr="00AE4B9D">
              <w:rPr>
                <w:rFonts w:ascii="Calibri" w:hAnsi="Calibri"/>
                <w:color w:val="231F20"/>
                <w:sz w:val="18"/>
                <w:szCs w:val="18"/>
              </w:rPr>
              <w:t>9</w:t>
            </w:r>
          </w:p>
        </w:tc>
        <w:tc>
          <w:tcPr>
            <w:tcW w:w="0" w:type="auto"/>
            <w:tcBorders>
              <w:top w:val="nil"/>
              <w:left w:val="nil"/>
              <w:bottom w:val="single" w:sz="4" w:space="0" w:color="auto"/>
              <w:right w:val="single" w:sz="4" w:space="0" w:color="auto"/>
            </w:tcBorders>
            <w:shd w:val="clear" w:color="auto" w:fill="auto"/>
            <w:vAlign w:val="center"/>
            <w:hideMark/>
          </w:tcPr>
          <w:p w14:paraId="0A731681" w14:textId="77777777" w:rsidR="00002D76" w:rsidRPr="00AE4B9D" w:rsidRDefault="00002D76" w:rsidP="00D63204">
            <w:pPr>
              <w:spacing w:after="0" w:line="240" w:lineRule="auto"/>
              <w:rPr>
                <w:rFonts w:ascii="Calibri" w:hAnsi="Calibri"/>
                <w:color w:val="231F20"/>
                <w:sz w:val="18"/>
                <w:szCs w:val="18"/>
              </w:rPr>
            </w:pPr>
            <w:r w:rsidRPr="00AE4B9D">
              <w:rPr>
                <w:rFonts w:ascii="Calibri" w:hAnsi="Calibri"/>
                <w:color w:val="231F20"/>
                <w:sz w:val="18"/>
                <w:szCs w:val="18"/>
              </w:rPr>
              <w:t>472021</w:t>
            </w:r>
          </w:p>
        </w:tc>
        <w:tc>
          <w:tcPr>
            <w:tcW w:w="0" w:type="auto"/>
            <w:tcBorders>
              <w:top w:val="nil"/>
              <w:left w:val="nil"/>
              <w:bottom w:val="single" w:sz="4" w:space="0" w:color="auto"/>
              <w:right w:val="single" w:sz="4" w:space="0" w:color="auto"/>
            </w:tcBorders>
            <w:shd w:val="clear" w:color="auto" w:fill="auto"/>
            <w:vAlign w:val="center"/>
            <w:hideMark/>
          </w:tcPr>
          <w:p w14:paraId="7C330EBA" w14:textId="299A2A07" w:rsidR="00002D76" w:rsidRPr="00AE4B9D" w:rsidRDefault="00002D76" w:rsidP="004D6183">
            <w:pPr>
              <w:spacing w:after="0" w:line="240" w:lineRule="auto"/>
              <w:rPr>
                <w:rFonts w:ascii="Calibri" w:hAnsi="Calibri"/>
                <w:color w:val="231F20"/>
                <w:sz w:val="18"/>
                <w:szCs w:val="18"/>
              </w:rPr>
            </w:pPr>
            <w:r w:rsidRPr="00AE4B9D">
              <w:rPr>
                <w:rFonts w:ascii="Calibri" w:hAnsi="Calibri"/>
                <w:color w:val="231F20"/>
                <w:sz w:val="18"/>
                <w:szCs w:val="18"/>
              </w:rPr>
              <w:t xml:space="preserve">Brickmasons and </w:t>
            </w:r>
            <w:r w:rsidR="004D6183">
              <w:rPr>
                <w:rFonts w:ascii="Calibri" w:hAnsi="Calibri"/>
                <w:color w:val="231F20"/>
                <w:sz w:val="18"/>
                <w:szCs w:val="18"/>
              </w:rPr>
              <w:t>B</w:t>
            </w:r>
            <w:r w:rsidRPr="00AE4B9D">
              <w:rPr>
                <w:rFonts w:ascii="Calibri" w:hAnsi="Calibri"/>
                <w:color w:val="231F20"/>
                <w:sz w:val="18"/>
                <w:szCs w:val="18"/>
              </w:rPr>
              <w:t>lockmasons</w:t>
            </w:r>
          </w:p>
        </w:tc>
        <w:tc>
          <w:tcPr>
            <w:tcW w:w="0" w:type="auto"/>
            <w:tcBorders>
              <w:top w:val="nil"/>
              <w:left w:val="nil"/>
              <w:bottom w:val="single" w:sz="4" w:space="0" w:color="auto"/>
              <w:right w:val="single" w:sz="4" w:space="0" w:color="auto"/>
            </w:tcBorders>
            <w:shd w:val="clear" w:color="auto" w:fill="auto"/>
            <w:vAlign w:val="center"/>
            <w:hideMark/>
          </w:tcPr>
          <w:p w14:paraId="4DC8FACB" w14:textId="77777777" w:rsidR="00002D76" w:rsidRPr="00AE4B9D" w:rsidRDefault="00002D76" w:rsidP="00D63204">
            <w:pPr>
              <w:spacing w:after="0" w:line="240" w:lineRule="auto"/>
              <w:rPr>
                <w:rFonts w:ascii="Calibri" w:hAnsi="Calibri"/>
                <w:color w:val="231F20"/>
                <w:sz w:val="18"/>
                <w:szCs w:val="18"/>
              </w:rPr>
            </w:pPr>
            <w:r w:rsidRPr="00AE4B9D">
              <w:rPr>
                <w:rFonts w:ascii="Calibri" w:hAnsi="Calibri"/>
                <w:color w:val="231F20"/>
                <w:sz w:val="18"/>
                <w:szCs w:val="18"/>
              </w:rPr>
              <w:t>6,688</w:t>
            </w:r>
          </w:p>
        </w:tc>
        <w:tc>
          <w:tcPr>
            <w:tcW w:w="0" w:type="auto"/>
            <w:tcBorders>
              <w:top w:val="nil"/>
              <w:left w:val="nil"/>
              <w:bottom w:val="single" w:sz="4" w:space="0" w:color="auto"/>
              <w:right w:val="single" w:sz="4" w:space="0" w:color="auto"/>
            </w:tcBorders>
            <w:shd w:val="clear" w:color="auto" w:fill="auto"/>
            <w:vAlign w:val="center"/>
            <w:hideMark/>
          </w:tcPr>
          <w:p w14:paraId="324A1616" w14:textId="77777777" w:rsidR="00002D76" w:rsidRPr="00AE4B9D" w:rsidRDefault="00002D76" w:rsidP="00D63204">
            <w:pPr>
              <w:spacing w:after="0" w:line="240" w:lineRule="auto"/>
              <w:rPr>
                <w:rFonts w:ascii="Calibri" w:hAnsi="Calibri"/>
                <w:color w:val="231F20"/>
                <w:sz w:val="18"/>
                <w:szCs w:val="18"/>
              </w:rPr>
            </w:pPr>
            <w:r w:rsidRPr="00AE4B9D">
              <w:rPr>
                <w:rFonts w:ascii="Calibri" w:hAnsi="Calibri"/>
                <w:color w:val="231F20"/>
                <w:sz w:val="18"/>
                <w:szCs w:val="18"/>
              </w:rPr>
              <w:t>8,349</w:t>
            </w:r>
          </w:p>
        </w:tc>
        <w:tc>
          <w:tcPr>
            <w:tcW w:w="0" w:type="auto"/>
            <w:tcBorders>
              <w:top w:val="nil"/>
              <w:left w:val="nil"/>
              <w:bottom w:val="single" w:sz="4" w:space="0" w:color="auto"/>
              <w:right w:val="single" w:sz="4" w:space="0" w:color="auto"/>
            </w:tcBorders>
            <w:shd w:val="clear" w:color="auto" w:fill="auto"/>
            <w:vAlign w:val="center"/>
            <w:hideMark/>
          </w:tcPr>
          <w:p w14:paraId="5F3E29C0" w14:textId="77777777" w:rsidR="00002D76" w:rsidRPr="00AE4B9D" w:rsidRDefault="00002D76" w:rsidP="00D63204">
            <w:pPr>
              <w:spacing w:after="0" w:line="240" w:lineRule="auto"/>
              <w:rPr>
                <w:rFonts w:ascii="Calibri" w:hAnsi="Calibri"/>
                <w:color w:val="231F20"/>
                <w:sz w:val="18"/>
                <w:szCs w:val="18"/>
              </w:rPr>
            </w:pPr>
            <w:r w:rsidRPr="00AE4B9D">
              <w:rPr>
                <w:rFonts w:ascii="Calibri" w:hAnsi="Calibri"/>
                <w:color w:val="231F20"/>
                <w:sz w:val="18"/>
                <w:szCs w:val="18"/>
              </w:rPr>
              <w:t>1,661</w:t>
            </w:r>
          </w:p>
        </w:tc>
        <w:tc>
          <w:tcPr>
            <w:tcW w:w="0" w:type="auto"/>
            <w:tcBorders>
              <w:top w:val="nil"/>
              <w:left w:val="nil"/>
              <w:bottom w:val="single" w:sz="4" w:space="0" w:color="auto"/>
              <w:right w:val="single" w:sz="4" w:space="0" w:color="auto"/>
            </w:tcBorders>
            <w:shd w:val="clear" w:color="auto" w:fill="auto"/>
            <w:vAlign w:val="center"/>
            <w:hideMark/>
          </w:tcPr>
          <w:p w14:paraId="6ED489D5" w14:textId="77777777" w:rsidR="00002D76" w:rsidRPr="00AE4B9D" w:rsidRDefault="00002D76" w:rsidP="00D63204">
            <w:pPr>
              <w:spacing w:after="0" w:line="240" w:lineRule="auto"/>
              <w:rPr>
                <w:rFonts w:ascii="Calibri" w:hAnsi="Calibri"/>
                <w:color w:val="231F20"/>
                <w:sz w:val="18"/>
                <w:szCs w:val="18"/>
              </w:rPr>
            </w:pPr>
            <w:r w:rsidRPr="00AE4B9D">
              <w:rPr>
                <w:rFonts w:ascii="Calibri" w:hAnsi="Calibri"/>
                <w:color w:val="231F20"/>
                <w:sz w:val="18"/>
                <w:szCs w:val="18"/>
              </w:rPr>
              <w:t>24.84</w:t>
            </w:r>
          </w:p>
        </w:tc>
        <w:tc>
          <w:tcPr>
            <w:tcW w:w="0" w:type="auto"/>
            <w:tcBorders>
              <w:top w:val="nil"/>
              <w:left w:val="nil"/>
              <w:bottom w:val="single" w:sz="4" w:space="0" w:color="auto"/>
              <w:right w:val="single" w:sz="4" w:space="0" w:color="auto"/>
            </w:tcBorders>
            <w:shd w:val="clear" w:color="auto" w:fill="auto"/>
            <w:vAlign w:val="center"/>
            <w:hideMark/>
          </w:tcPr>
          <w:p w14:paraId="6AB89D79" w14:textId="77777777" w:rsidR="00002D76" w:rsidRPr="00AE4B9D" w:rsidRDefault="00002D76" w:rsidP="00D63204">
            <w:pPr>
              <w:spacing w:after="0" w:line="240" w:lineRule="auto"/>
              <w:rPr>
                <w:rFonts w:ascii="Calibri" w:hAnsi="Calibri"/>
                <w:color w:val="231F20"/>
                <w:sz w:val="18"/>
                <w:szCs w:val="18"/>
              </w:rPr>
            </w:pPr>
            <w:r w:rsidRPr="00AE4B9D">
              <w:rPr>
                <w:rFonts w:ascii="Calibri" w:hAnsi="Calibri"/>
                <w:color w:val="231F20"/>
                <w:sz w:val="18"/>
                <w:szCs w:val="18"/>
              </w:rPr>
              <w:t>7,251</w:t>
            </w:r>
          </w:p>
        </w:tc>
      </w:tr>
      <w:tr w:rsidR="00002D76" w:rsidRPr="00AE4B9D" w14:paraId="41537E62" w14:textId="77777777" w:rsidTr="001429C7">
        <w:trPr>
          <w:trHeight w:val="300"/>
        </w:trPr>
        <w:tc>
          <w:tcPr>
            <w:tcW w:w="0" w:type="auto"/>
            <w:tcBorders>
              <w:top w:val="nil"/>
              <w:left w:val="single" w:sz="4" w:space="0" w:color="auto"/>
              <w:bottom w:val="single" w:sz="4" w:space="0" w:color="auto"/>
              <w:right w:val="single" w:sz="4" w:space="0" w:color="auto"/>
            </w:tcBorders>
            <w:shd w:val="clear" w:color="000000" w:fill="D1D3D4"/>
            <w:vAlign w:val="center"/>
            <w:hideMark/>
          </w:tcPr>
          <w:p w14:paraId="4B3CB8BE" w14:textId="77777777" w:rsidR="00002D76" w:rsidRPr="00AE4B9D" w:rsidRDefault="00002D76" w:rsidP="00D63204">
            <w:pPr>
              <w:spacing w:after="0" w:line="240" w:lineRule="auto"/>
              <w:rPr>
                <w:rFonts w:ascii="Calibri" w:hAnsi="Calibri"/>
                <w:color w:val="231F20"/>
                <w:sz w:val="18"/>
                <w:szCs w:val="18"/>
              </w:rPr>
            </w:pPr>
            <w:r w:rsidRPr="00AE4B9D">
              <w:rPr>
                <w:rFonts w:ascii="Calibri" w:hAnsi="Calibri"/>
                <w:color w:val="231F20"/>
                <w:sz w:val="18"/>
                <w:szCs w:val="18"/>
              </w:rPr>
              <w:t>10</w:t>
            </w:r>
          </w:p>
        </w:tc>
        <w:tc>
          <w:tcPr>
            <w:tcW w:w="0" w:type="auto"/>
            <w:tcBorders>
              <w:top w:val="nil"/>
              <w:left w:val="nil"/>
              <w:bottom w:val="single" w:sz="4" w:space="0" w:color="auto"/>
              <w:right w:val="single" w:sz="4" w:space="0" w:color="auto"/>
            </w:tcBorders>
            <w:shd w:val="clear" w:color="000000" w:fill="D1D3D4"/>
            <w:vAlign w:val="center"/>
            <w:hideMark/>
          </w:tcPr>
          <w:p w14:paraId="738832CD" w14:textId="77777777" w:rsidR="00002D76" w:rsidRPr="00AE4B9D" w:rsidRDefault="00002D76" w:rsidP="00D63204">
            <w:pPr>
              <w:spacing w:after="0" w:line="240" w:lineRule="auto"/>
              <w:rPr>
                <w:rFonts w:ascii="Calibri" w:hAnsi="Calibri"/>
                <w:color w:val="231F20"/>
                <w:sz w:val="18"/>
                <w:szCs w:val="18"/>
              </w:rPr>
            </w:pPr>
            <w:r w:rsidRPr="00AE4B9D">
              <w:rPr>
                <w:rFonts w:ascii="Calibri" w:hAnsi="Calibri"/>
                <w:color w:val="231F20"/>
                <w:sz w:val="18"/>
                <w:szCs w:val="18"/>
              </w:rPr>
              <w:t>319092</w:t>
            </w:r>
          </w:p>
        </w:tc>
        <w:tc>
          <w:tcPr>
            <w:tcW w:w="0" w:type="auto"/>
            <w:tcBorders>
              <w:top w:val="nil"/>
              <w:left w:val="nil"/>
              <w:bottom w:val="single" w:sz="4" w:space="0" w:color="auto"/>
              <w:right w:val="single" w:sz="4" w:space="0" w:color="auto"/>
            </w:tcBorders>
            <w:shd w:val="clear" w:color="000000" w:fill="D1D3D4"/>
            <w:vAlign w:val="center"/>
            <w:hideMark/>
          </w:tcPr>
          <w:p w14:paraId="4B11E440" w14:textId="77777777" w:rsidR="00002D76" w:rsidRPr="00AE4B9D" w:rsidRDefault="00002D76" w:rsidP="004D6183">
            <w:pPr>
              <w:spacing w:after="0" w:line="240" w:lineRule="auto"/>
              <w:rPr>
                <w:rFonts w:ascii="Calibri" w:hAnsi="Calibri"/>
                <w:color w:val="231F20"/>
                <w:sz w:val="18"/>
                <w:szCs w:val="18"/>
              </w:rPr>
            </w:pPr>
            <w:r w:rsidRPr="00AE4B9D">
              <w:rPr>
                <w:rFonts w:ascii="Calibri" w:hAnsi="Calibri"/>
                <w:color w:val="231F20"/>
                <w:sz w:val="18"/>
                <w:szCs w:val="18"/>
              </w:rPr>
              <w:t>Medical Assistants</w:t>
            </w:r>
          </w:p>
        </w:tc>
        <w:tc>
          <w:tcPr>
            <w:tcW w:w="0" w:type="auto"/>
            <w:tcBorders>
              <w:top w:val="nil"/>
              <w:left w:val="nil"/>
              <w:bottom w:val="single" w:sz="4" w:space="0" w:color="auto"/>
              <w:right w:val="single" w:sz="4" w:space="0" w:color="auto"/>
            </w:tcBorders>
            <w:shd w:val="clear" w:color="000000" w:fill="D1D3D4"/>
            <w:vAlign w:val="center"/>
            <w:hideMark/>
          </w:tcPr>
          <w:p w14:paraId="086E35CF" w14:textId="77777777" w:rsidR="00002D76" w:rsidRPr="00AE4B9D" w:rsidRDefault="00002D76" w:rsidP="00D63204">
            <w:pPr>
              <w:spacing w:after="0" w:line="240" w:lineRule="auto"/>
              <w:rPr>
                <w:rFonts w:ascii="Calibri" w:hAnsi="Calibri"/>
                <w:color w:val="231F20"/>
                <w:sz w:val="18"/>
                <w:szCs w:val="18"/>
              </w:rPr>
            </w:pPr>
            <w:r w:rsidRPr="00AE4B9D">
              <w:rPr>
                <w:rFonts w:ascii="Calibri" w:hAnsi="Calibri"/>
                <w:color w:val="231F20"/>
                <w:sz w:val="18"/>
                <w:szCs w:val="18"/>
              </w:rPr>
              <w:t>53,577</w:t>
            </w:r>
          </w:p>
        </w:tc>
        <w:tc>
          <w:tcPr>
            <w:tcW w:w="0" w:type="auto"/>
            <w:tcBorders>
              <w:top w:val="nil"/>
              <w:left w:val="nil"/>
              <w:bottom w:val="single" w:sz="4" w:space="0" w:color="auto"/>
              <w:right w:val="single" w:sz="4" w:space="0" w:color="auto"/>
            </w:tcBorders>
            <w:shd w:val="clear" w:color="000000" w:fill="D1D3D4"/>
            <w:vAlign w:val="center"/>
            <w:hideMark/>
          </w:tcPr>
          <w:p w14:paraId="0712EF6A" w14:textId="77777777" w:rsidR="00002D76" w:rsidRPr="00AE4B9D" w:rsidRDefault="00002D76" w:rsidP="00D63204">
            <w:pPr>
              <w:spacing w:after="0" w:line="240" w:lineRule="auto"/>
              <w:rPr>
                <w:rFonts w:ascii="Calibri" w:hAnsi="Calibri"/>
                <w:color w:val="231F20"/>
                <w:sz w:val="18"/>
                <w:szCs w:val="18"/>
              </w:rPr>
            </w:pPr>
            <w:r w:rsidRPr="00AE4B9D">
              <w:rPr>
                <w:rFonts w:ascii="Calibri" w:hAnsi="Calibri"/>
                <w:color w:val="231F20"/>
                <w:sz w:val="18"/>
                <w:szCs w:val="18"/>
              </w:rPr>
              <w:t>66,676</w:t>
            </w:r>
          </w:p>
        </w:tc>
        <w:tc>
          <w:tcPr>
            <w:tcW w:w="0" w:type="auto"/>
            <w:tcBorders>
              <w:top w:val="nil"/>
              <w:left w:val="nil"/>
              <w:bottom w:val="single" w:sz="4" w:space="0" w:color="auto"/>
              <w:right w:val="single" w:sz="4" w:space="0" w:color="auto"/>
            </w:tcBorders>
            <w:shd w:val="clear" w:color="000000" w:fill="D1D3D4"/>
            <w:vAlign w:val="center"/>
            <w:hideMark/>
          </w:tcPr>
          <w:p w14:paraId="7C77653C" w14:textId="77777777" w:rsidR="00002D76" w:rsidRPr="00AE4B9D" w:rsidRDefault="00002D76" w:rsidP="00D63204">
            <w:pPr>
              <w:spacing w:after="0" w:line="240" w:lineRule="auto"/>
              <w:rPr>
                <w:rFonts w:ascii="Calibri" w:hAnsi="Calibri"/>
                <w:color w:val="231F20"/>
                <w:sz w:val="18"/>
                <w:szCs w:val="18"/>
              </w:rPr>
            </w:pPr>
            <w:r w:rsidRPr="00AE4B9D">
              <w:rPr>
                <w:rFonts w:ascii="Calibri" w:hAnsi="Calibri"/>
                <w:color w:val="231F20"/>
                <w:sz w:val="18"/>
                <w:szCs w:val="18"/>
              </w:rPr>
              <w:t>13,099</w:t>
            </w:r>
          </w:p>
        </w:tc>
        <w:tc>
          <w:tcPr>
            <w:tcW w:w="0" w:type="auto"/>
            <w:tcBorders>
              <w:top w:val="nil"/>
              <w:left w:val="nil"/>
              <w:bottom w:val="single" w:sz="4" w:space="0" w:color="auto"/>
              <w:right w:val="single" w:sz="4" w:space="0" w:color="auto"/>
            </w:tcBorders>
            <w:shd w:val="clear" w:color="000000" w:fill="D1D3D4"/>
            <w:vAlign w:val="center"/>
            <w:hideMark/>
          </w:tcPr>
          <w:p w14:paraId="0B73A3B0" w14:textId="77777777" w:rsidR="00002D76" w:rsidRPr="00AE4B9D" w:rsidRDefault="00002D76" w:rsidP="00D63204">
            <w:pPr>
              <w:spacing w:after="0" w:line="240" w:lineRule="auto"/>
              <w:rPr>
                <w:rFonts w:ascii="Calibri" w:hAnsi="Calibri"/>
                <w:color w:val="231F20"/>
                <w:sz w:val="18"/>
                <w:szCs w:val="18"/>
              </w:rPr>
            </w:pPr>
            <w:r w:rsidRPr="00AE4B9D">
              <w:rPr>
                <w:rFonts w:ascii="Calibri" w:hAnsi="Calibri"/>
                <w:color w:val="231F20"/>
                <w:sz w:val="18"/>
                <w:szCs w:val="18"/>
              </w:rPr>
              <w:t>24.45</w:t>
            </w:r>
          </w:p>
        </w:tc>
        <w:tc>
          <w:tcPr>
            <w:tcW w:w="0" w:type="auto"/>
            <w:tcBorders>
              <w:top w:val="nil"/>
              <w:left w:val="nil"/>
              <w:bottom w:val="single" w:sz="4" w:space="0" w:color="auto"/>
              <w:right w:val="single" w:sz="4" w:space="0" w:color="auto"/>
            </w:tcBorders>
            <w:shd w:val="clear" w:color="000000" w:fill="D1D3D4"/>
            <w:vAlign w:val="center"/>
            <w:hideMark/>
          </w:tcPr>
          <w:p w14:paraId="6E5B5833" w14:textId="77777777" w:rsidR="00002D76" w:rsidRPr="00AE4B9D" w:rsidRDefault="00002D76" w:rsidP="00D63204">
            <w:pPr>
              <w:spacing w:after="0" w:line="240" w:lineRule="auto"/>
              <w:rPr>
                <w:rFonts w:ascii="Calibri" w:hAnsi="Calibri"/>
                <w:color w:val="231F20"/>
                <w:sz w:val="18"/>
                <w:szCs w:val="18"/>
              </w:rPr>
            </w:pPr>
            <w:r w:rsidRPr="00AE4B9D">
              <w:rPr>
                <w:rFonts w:ascii="Calibri" w:hAnsi="Calibri"/>
                <w:color w:val="231F20"/>
                <w:sz w:val="18"/>
                <w:szCs w:val="18"/>
              </w:rPr>
              <w:t>66,164</w:t>
            </w:r>
          </w:p>
        </w:tc>
      </w:tr>
      <w:tr w:rsidR="00002D76" w:rsidRPr="00AE4B9D" w14:paraId="62AF75F2" w14:textId="77777777" w:rsidTr="001429C7">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B245822" w14:textId="77777777" w:rsidR="00002D76" w:rsidRPr="00AE4B9D" w:rsidRDefault="00002D76" w:rsidP="00D63204">
            <w:pPr>
              <w:spacing w:after="0" w:line="240" w:lineRule="auto"/>
              <w:rPr>
                <w:rFonts w:ascii="Calibri" w:hAnsi="Calibri"/>
                <w:color w:val="231F20"/>
                <w:sz w:val="18"/>
                <w:szCs w:val="18"/>
              </w:rPr>
            </w:pPr>
            <w:r w:rsidRPr="00AE4B9D">
              <w:rPr>
                <w:rFonts w:ascii="Calibri" w:hAnsi="Calibri"/>
                <w:color w:val="231F20"/>
                <w:sz w:val="18"/>
                <w:szCs w:val="18"/>
              </w:rPr>
              <w:t>11</w:t>
            </w:r>
          </w:p>
        </w:tc>
        <w:tc>
          <w:tcPr>
            <w:tcW w:w="0" w:type="auto"/>
            <w:tcBorders>
              <w:top w:val="nil"/>
              <w:left w:val="nil"/>
              <w:bottom w:val="single" w:sz="4" w:space="0" w:color="auto"/>
              <w:right w:val="single" w:sz="4" w:space="0" w:color="auto"/>
            </w:tcBorders>
            <w:shd w:val="clear" w:color="auto" w:fill="auto"/>
            <w:vAlign w:val="center"/>
            <w:hideMark/>
          </w:tcPr>
          <w:p w14:paraId="7C55E4B8" w14:textId="77777777" w:rsidR="00002D76" w:rsidRPr="00AE4B9D" w:rsidRDefault="00002D76" w:rsidP="00D63204">
            <w:pPr>
              <w:spacing w:after="0" w:line="240" w:lineRule="auto"/>
              <w:rPr>
                <w:rFonts w:ascii="Calibri" w:hAnsi="Calibri"/>
                <w:color w:val="231F20"/>
                <w:sz w:val="18"/>
                <w:szCs w:val="18"/>
              </w:rPr>
            </w:pPr>
            <w:r w:rsidRPr="00AE4B9D">
              <w:rPr>
                <w:rFonts w:ascii="Calibri" w:hAnsi="Calibri"/>
                <w:color w:val="231F20"/>
                <w:sz w:val="18"/>
                <w:szCs w:val="18"/>
              </w:rPr>
              <w:t>399021</w:t>
            </w:r>
          </w:p>
        </w:tc>
        <w:tc>
          <w:tcPr>
            <w:tcW w:w="0" w:type="auto"/>
            <w:tcBorders>
              <w:top w:val="nil"/>
              <w:left w:val="nil"/>
              <w:bottom w:val="single" w:sz="4" w:space="0" w:color="auto"/>
              <w:right w:val="single" w:sz="4" w:space="0" w:color="auto"/>
            </w:tcBorders>
            <w:shd w:val="clear" w:color="auto" w:fill="auto"/>
            <w:vAlign w:val="center"/>
            <w:hideMark/>
          </w:tcPr>
          <w:p w14:paraId="063454EB" w14:textId="77777777" w:rsidR="00002D76" w:rsidRPr="00AE4B9D" w:rsidRDefault="00002D76" w:rsidP="004D6183">
            <w:pPr>
              <w:spacing w:after="0" w:line="240" w:lineRule="auto"/>
              <w:rPr>
                <w:rFonts w:ascii="Calibri" w:hAnsi="Calibri"/>
                <w:color w:val="231F20"/>
                <w:sz w:val="18"/>
                <w:szCs w:val="18"/>
              </w:rPr>
            </w:pPr>
            <w:r w:rsidRPr="00AE4B9D">
              <w:rPr>
                <w:rFonts w:ascii="Calibri" w:hAnsi="Calibri"/>
                <w:color w:val="231F20"/>
                <w:sz w:val="18"/>
                <w:szCs w:val="18"/>
              </w:rPr>
              <w:t>Personal Care Aides</w:t>
            </w:r>
          </w:p>
        </w:tc>
        <w:tc>
          <w:tcPr>
            <w:tcW w:w="0" w:type="auto"/>
            <w:tcBorders>
              <w:top w:val="nil"/>
              <w:left w:val="nil"/>
              <w:bottom w:val="single" w:sz="4" w:space="0" w:color="auto"/>
              <w:right w:val="single" w:sz="4" w:space="0" w:color="auto"/>
            </w:tcBorders>
            <w:shd w:val="clear" w:color="auto" w:fill="auto"/>
            <w:vAlign w:val="center"/>
            <w:hideMark/>
          </w:tcPr>
          <w:p w14:paraId="20AA6868" w14:textId="77777777" w:rsidR="00002D76" w:rsidRPr="00AE4B9D" w:rsidRDefault="00002D76" w:rsidP="00D63204">
            <w:pPr>
              <w:spacing w:after="0" w:line="240" w:lineRule="auto"/>
              <w:rPr>
                <w:rFonts w:ascii="Calibri" w:hAnsi="Calibri"/>
                <w:color w:val="231F20"/>
                <w:sz w:val="18"/>
                <w:szCs w:val="18"/>
              </w:rPr>
            </w:pPr>
            <w:r w:rsidRPr="00AE4B9D">
              <w:rPr>
                <w:rFonts w:ascii="Calibri" w:hAnsi="Calibri"/>
                <w:color w:val="231F20"/>
                <w:sz w:val="18"/>
                <w:szCs w:val="18"/>
              </w:rPr>
              <w:t>27,420</w:t>
            </w:r>
          </w:p>
        </w:tc>
        <w:tc>
          <w:tcPr>
            <w:tcW w:w="0" w:type="auto"/>
            <w:tcBorders>
              <w:top w:val="nil"/>
              <w:left w:val="nil"/>
              <w:bottom w:val="single" w:sz="4" w:space="0" w:color="auto"/>
              <w:right w:val="single" w:sz="4" w:space="0" w:color="auto"/>
            </w:tcBorders>
            <w:shd w:val="clear" w:color="auto" w:fill="auto"/>
            <w:vAlign w:val="center"/>
            <w:hideMark/>
          </w:tcPr>
          <w:p w14:paraId="447417A0" w14:textId="77777777" w:rsidR="00002D76" w:rsidRPr="00AE4B9D" w:rsidRDefault="00002D76" w:rsidP="00D63204">
            <w:pPr>
              <w:spacing w:after="0" w:line="240" w:lineRule="auto"/>
              <w:rPr>
                <w:rFonts w:ascii="Calibri" w:hAnsi="Calibri"/>
                <w:color w:val="231F20"/>
                <w:sz w:val="18"/>
                <w:szCs w:val="18"/>
              </w:rPr>
            </w:pPr>
            <w:r w:rsidRPr="00AE4B9D">
              <w:rPr>
                <w:rFonts w:ascii="Calibri" w:hAnsi="Calibri"/>
                <w:color w:val="231F20"/>
                <w:sz w:val="18"/>
                <w:szCs w:val="18"/>
              </w:rPr>
              <w:t>34,097</w:t>
            </w:r>
          </w:p>
        </w:tc>
        <w:tc>
          <w:tcPr>
            <w:tcW w:w="0" w:type="auto"/>
            <w:tcBorders>
              <w:top w:val="nil"/>
              <w:left w:val="nil"/>
              <w:bottom w:val="single" w:sz="4" w:space="0" w:color="auto"/>
              <w:right w:val="single" w:sz="4" w:space="0" w:color="auto"/>
            </w:tcBorders>
            <w:shd w:val="clear" w:color="auto" w:fill="auto"/>
            <w:vAlign w:val="center"/>
            <w:hideMark/>
          </w:tcPr>
          <w:p w14:paraId="34BB37A8" w14:textId="77777777" w:rsidR="00002D76" w:rsidRPr="00AE4B9D" w:rsidRDefault="00002D76" w:rsidP="00D63204">
            <w:pPr>
              <w:spacing w:after="0" w:line="240" w:lineRule="auto"/>
              <w:rPr>
                <w:rFonts w:ascii="Calibri" w:hAnsi="Calibri"/>
                <w:color w:val="231F20"/>
                <w:sz w:val="18"/>
                <w:szCs w:val="18"/>
              </w:rPr>
            </w:pPr>
            <w:r w:rsidRPr="00AE4B9D">
              <w:rPr>
                <w:rFonts w:ascii="Calibri" w:hAnsi="Calibri"/>
                <w:color w:val="231F20"/>
                <w:sz w:val="18"/>
                <w:szCs w:val="18"/>
              </w:rPr>
              <w:t>6,677</w:t>
            </w:r>
          </w:p>
        </w:tc>
        <w:tc>
          <w:tcPr>
            <w:tcW w:w="0" w:type="auto"/>
            <w:tcBorders>
              <w:top w:val="nil"/>
              <w:left w:val="nil"/>
              <w:bottom w:val="single" w:sz="4" w:space="0" w:color="auto"/>
              <w:right w:val="single" w:sz="4" w:space="0" w:color="auto"/>
            </w:tcBorders>
            <w:shd w:val="clear" w:color="auto" w:fill="auto"/>
            <w:vAlign w:val="center"/>
            <w:hideMark/>
          </w:tcPr>
          <w:p w14:paraId="0D52FC67" w14:textId="77777777" w:rsidR="00002D76" w:rsidRPr="00AE4B9D" w:rsidRDefault="00002D76" w:rsidP="00D63204">
            <w:pPr>
              <w:spacing w:after="0" w:line="240" w:lineRule="auto"/>
              <w:rPr>
                <w:rFonts w:ascii="Calibri" w:hAnsi="Calibri"/>
                <w:color w:val="231F20"/>
                <w:sz w:val="18"/>
                <w:szCs w:val="18"/>
              </w:rPr>
            </w:pPr>
            <w:r w:rsidRPr="00AE4B9D">
              <w:rPr>
                <w:rFonts w:ascii="Calibri" w:hAnsi="Calibri"/>
                <w:color w:val="231F20"/>
                <w:sz w:val="18"/>
                <w:szCs w:val="18"/>
              </w:rPr>
              <w:t>24.35</w:t>
            </w:r>
          </w:p>
        </w:tc>
        <w:tc>
          <w:tcPr>
            <w:tcW w:w="0" w:type="auto"/>
            <w:tcBorders>
              <w:top w:val="nil"/>
              <w:left w:val="nil"/>
              <w:bottom w:val="single" w:sz="4" w:space="0" w:color="auto"/>
              <w:right w:val="single" w:sz="4" w:space="0" w:color="auto"/>
            </w:tcBorders>
            <w:shd w:val="clear" w:color="auto" w:fill="auto"/>
            <w:vAlign w:val="center"/>
            <w:hideMark/>
          </w:tcPr>
          <w:p w14:paraId="43A9C320" w14:textId="77777777" w:rsidR="00002D76" w:rsidRPr="00AE4B9D" w:rsidRDefault="00002D76" w:rsidP="00D63204">
            <w:pPr>
              <w:spacing w:after="0" w:line="240" w:lineRule="auto"/>
              <w:rPr>
                <w:rFonts w:ascii="Calibri" w:hAnsi="Calibri"/>
                <w:color w:val="231F20"/>
                <w:sz w:val="18"/>
                <w:szCs w:val="18"/>
              </w:rPr>
            </w:pPr>
            <w:r w:rsidRPr="00AE4B9D">
              <w:rPr>
                <w:rFonts w:ascii="Calibri" w:hAnsi="Calibri"/>
                <w:color w:val="231F20"/>
                <w:sz w:val="18"/>
                <w:szCs w:val="18"/>
              </w:rPr>
              <w:t>41,358</w:t>
            </w:r>
          </w:p>
        </w:tc>
      </w:tr>
      <w:tr w:rsidR="00002D76" w:rsidRPr="00AE4B9D" w14:paraId="4DA01893" w14:textId="77777777" w:rsidTr="001429C7">
        <w:trPr>
          <w:trHeight w:val="300"/>
        </w:trPr>
        <w:tc>
          <w:tcPr>
            <w:tcW w:w="0" w:type="auto"/>
            <w:tcBorders>
              <w:top w:val="nil"/>
              <w:left w:val="single" w:sz="4" w:space="0" w:color="auto"/>
              <w:bottom w:val="single" w:sz="4" w:space="0" w:color="auto"/>
              <w:right w:val="single" w:sz="4" w:space="0" w:color="auto"/>
            </w:tcBorders>
            <w:shd w:val="clear" w:color="000000" w:fill="D1D3D4"/>
            <w:vAlign w:val="center"/>
            <w:hideMark/>
          </w:tcPr>
          <w:p w14:paraId="004C9E28" w14:textId="77777777" w:rsidR="00002D76" w:rsidRPr="00AE4B9D" w:rsidRDefault="00002D76" w:rsidP="00D63204">
            <w:pPr>
              <w:spacing w:after="0" w:line="240" w:lineRule="auto"/>
              <w:rPr>
                <w:rFonts w:ascii="Calibri" w:hAnsi="Calibri"/>
                <w:color w:val="231F20"/>
                <w:sz w:val="18"/>
                <w:szCs w:val="18"/>
              </w:rPr>
            </w:pPr>
            <w:r w:rsidRPr="00AE4B9D">
              <w:rPr>
                <w:rFonts w:ascii="Calibri" w:hAnsi="Calibri"/>
                <w:color w:val="231F20"/>
                <w:sz w:val="18"/>
                <w:szCs w:val="18"/>
              </w:rPr>
              <w:t>12</w:t>
            </w:r>
          </w:p>
        </w:tc>
        <w:tc>
          <w:tcPr>
            <w:tcW w:w="0" w:type="auto"/>
            <w:tcBorders>
              <w:top w:val="nil"/>
              <w:left w:val="nil"/>
              <w:bottom w:val="single" w:sz="4" w:space="0" w:color="auto"/>
              <w:right w:val="single" w:sz="4" w:space="0" w:color="auto"/>
            </w:tcBorders>
            <w:shd w:val="clear" w:color="000000" w:fill="D1D3D4"/>
            <w:vAlign w:val="center"/>
            <w:hideMark/>
          </w:tcPr>
          <w:p w14:paraId="165C24D3" w14:textId="77777777" w:rsidR="00002D76" w:rsidRPr="00AE4B9D" w:rsidRDefault="00002D76" w:rsidP="00D63204">
            <w:pPr>
              <w:spacing w:after="0" w:line="240" w:lineRule="auto"/>
              <w:rPr>
                <w:rFonts w:ascii="Calibri" w:hAnsi="Calibri"/>
                <w:color w:val="231F20"/>
                <w:sz w:val="18"/>
                <w:szCs w:val="18"/>
              </w:rPr>
            </w:pPr>
            <w:r w:rsidRPr="00AE4B9D">
              <w:rPr>
                <w:rFonts w:ascii="Calibri" w:hAnsi="Calibri"/>
                <w:color w:val="231F20"/>
                <w:sz w:val="18"/>
                <w:szCs w:val="18"/>
              </w:rPr>
              <w:t>132052</w:t>
            </w:r>
          </w:p>
        </w:tc>
        <w:tc>
          <w:tcPr>
            <w:tcW w:w="0" w:type="auto"/>
            <w:tcBorders>
              <w:top w:val="nil"/>
              <w:left w:val="nil"/>
              <w:bottom w:val="single" w:sz="4" w:space="0" w:color="auto"/>
              <w:right w:val="single" w:sz="4" w:space="0" w:color="auto"/>
            </w:tcBorders>
            <w:shd w:val="clear" w:color="000000" w:fill="D1D3D4"/>
            <w:vAlign w:val="center"/>
            <w:hideMark/>
          </w:tcPr>
          <w:p w14:paraId="67FD6048" w14:textId="77777777" w:rsidR="00002D76" w:rsidRPr="00AE4B9D" w:rsidRDefault="00002D76" w:rsidP="004D6183">
            <w:pPr>
              <w:spacing w:after="0" w:line="240" w:lineRule="auto"/>
              <w:rPr>
                <w:rFonts w:ascii="Calibri" w:hAnsi="Calibri"/>
                <w:color w:val="231F20"/>
                <w:sz w:val="18"/>
                <w:szCs w:val="18"/>
              </w:rPr>
            </w:pPr>
            <w:r w:rsidRPr="00AE4B9D">
              <w:rPr>
                <w:rFonts w:ascii="Calibri" w:hAnsi="Calibri"/>
                <w:color w:val="231F20"/>
                <w:sz w:val="18"/>
                <w:szCs w:val="18"/>
              </w:rPr>
              <w:t>Personal Financial Advisors</w:t>
            </w:r>
          </w:p>
        </w:tc>
        <w:tc>
          <w:tcPr>
            <w:tcW w:w="0" w:type="auto"/>
            <w:tcBorders>
              <w:top w:val="nil"/>
              <w:left w:val="nil"/>
              <w:bottom w:val="single" w:sz="4" w:space="0" w:color="auto"/>
              <w:right w:val="single" w:sz="4" w:space="0" w:color="auto"/>
            </w:tcBorders>
            <w:shd w:val="clear" w:color="000000" w:fill="D1D3D4"/>
            <w:vAlign w:val="center"/>
            <w:hideMark/>
          </w:tcPr>
          <w:p w14:paraId="7E63AA1D" w14:textId="77777777" w:rsidR="00002D76" w:rsidRPr="00AE4B9D" w:rsidRDefault="00002D76" w:rsidP="00D63204">
            <w:pPr>
              <w:spacing w:after="0" w:line="240" w:lineRule="auto"/>
              <w:rPr>
                <w:rFonts w:ascii="Calibri" w:hAnsi="Calibri"/>
                <w:color w:val="231F20"/>
                <w:sz w:val="18"/>
                <w:szCs w:val="18"/>
              </w:rPr>
            </w:pPr>
            <w:r w:rsidRPr="00AE4B9D">
              <w:rPr>
                <w:rFonts w:ascii="Calibri" w:hAnsi="Calibri"/>
                <w:color w:val="231F20"/>
                <w:sz w:val="18"/>
                <w:szCs w:val="18"/>
              </w:rPr>
              <w:t>15,130</w:t>
            </w:r>
          </w:p>
        </w:tc>
        <w:tc>
          <w:tcPr>
            <w:tcW w:w="0" w:type="auto"/>
            <w:tcBorders>
              <w:top w:val="nil"/>
              <w:left w:val="nil"/>
              <w:bottom w:val="single" w:sz="4" w:space="0" w:color="auto"/>
              <w:right w:val="single" w:sz="4" w:space="0" w:color="auto"/>
            </w:tcBorders>
            <w:shd w:val="clear" w:color="000000" w:fill="D1D3D4"/>
            <w:vAlign w:val="center"/>
            <w:hideMark/>
          </w:tcPr>
          <w:p w14:paraId="50820588" w14:textId="77777777" w:rsidR="00002D76" w:rsidRPr="00AE4B9D" w:rsidRDefault="00002D76" w:rsidP="00D63204">
            <w:pPr>
              <w:spacing w:after="0" w:line="240" w:lineRule="auto"/>
              <w:rPr>
                <w:rFonts w:ascii="Calibri" w:hAnsi="Calibri"/>
                <w:color w:val="231F20"/>
                <w:sz w:val="18"/>
                <w:szCs w:val="18"/>
              </w:rPr>
            </w:pPr>
            <w:r w:rsidRPr="00AE4B9D">
              <w:rPr>
                <w:rFonts w:ascii="Calibri" w:hAnsi="Calibri"/>
                <w:color w:val="231F20"/>
                <w:sz w:val="18"/>
                <w:szCs w:val="18"/>
              </w:rPr>
              <w:t>18,622</w:t>
            </w:r>
          </w:p>
        </w:tc>
        <w:tc>
          <w:tcPr>
            <w:tcW w:w="0" w:type="auto"/>
            <w:tcBorders>
              <w:top w:val="nil"/>
              <w:left w:val="nil"/>
              <w:bottom w:val="single" w:sz="4" w:space="0" w:color="auto"/>
              <w:right w:val="single" w:sz="4" w:space="0" w:color="auto"/>
            </w:tcBorders>
            <w:shd w:val="clear" w:color="000000" w:fill="D1D3D4"/>
            <w:vAlign w:val="center"/>
            <w:hideMark/>
          </w:tcPr>
          <w:p w14:paraId="271B1AEF" w14:textId="77777777" w:rsidR="00002D76" w:rsidRPr="00AE4B9D" w:rsidRDefault="00002D76" w:rsidP="00D63204">
            <w:pPr>
              <w:spacing w:after="0" w:line="240" w:lineRule="auto"/>
              <w:rPr>
                <w:rFonts w:ascii="Calibri" w:hAnsi="Calibri"/>
                <w:color w:val="231F20"/>
                <w:sz w:val="18"/>
                <w:szCs w:val="18"/>
              </w:rPr>
            </w:pPr>
            <w:r w:rsidRPr="00AE4B9D">
              <w:rPr>
                <w:rFonts w:ascii="Calibri" w:hAnsi="Calibri"/>
                <w:color w:val="231F20"/>
                <w:sz w:val="18"/>
                <w:szCs w:val="18"/>
              </w:rPr>
              <w:t>3,492</w:t>
            </w:r>
          </w:p>
        </w:tc>
        <w:tc>
          <w:tcPr>
            <w:tcW w:w="0" w:type="auto"/>
            <w:tcBorders>
              <w:top w:val="nil"/>
              <w:left w:val="nil"/>
              <w:bottom w:val="single" w:sz="4" w:space="0" w:color="auto"/>
              <w:right w:val="single" w:sz="4" w:space="0" w:color="auto"/>
            </w:tcBorders>
            <w:shd w:val="clear" w:color="000000" w:fill="D1D3D4"/>
            <w:vAlign w:val="center"/>
            <w:hideMark/>
          </w:tcPr>
          <w:p w14:paraId="55E50536" w14:textId="77777777" w:rsidR="00002D76" w:rsidRPr="00AE4B9D" w:rsidRDefault="00002D76" w:rsidP="00D63204">
            <w:pPr>
              <w:spacing w:after="0" w:line="240" w:lineRule="auto"/>
              <w:rPr>
                <w:rFonts w:ascii="Calibri" w:hAnsi="Calibri"/>
                <w:color w:val="231F20"/>
                <w:sz w:val="18"/>
                <w:szCs w:val="18"/>
              </w:rPr>
            </w:pPr>
            <w:r w:rsidRPr="00AE4B9D">
              <w:rPr>
                <w:rFonts w:ascii="Calibri" w:hAnsi="Calibri"/>
                <w:color w:val="231F20"/>
                <w:sz w:val="18"/>
                <w:szCs w:val="18"/>
              </w:rPr>
              <w:t>23.08</w:t>
            </w:r>
          </w:p>
        </w:tc>
        <w:tc>
          <w:tcPr>
            <w:tcW w:w="0" w:type="auto"/>
            <w:tcBorders>
              <w:top w:val="nil"/>
              <w:left w:val="nil"/>
              <w:bottom w:val="single" w:sz="4" w:space="0" w:color="auto"/>
              <w:right w:val="single" w:sz="4" w:space="0" w:color="auto"/>
            </w:tcBorders>
            <w:shd w:val="clear" w:color="000000" w:fill="D1D3D4"/>
            <w:vAlign w:val="center"/>
            <w:hideMark/>
          </w:tcPr>
          <w:p w14:paraId="4E05BFE8" w14:textId="77777777" w:rsidR="00002D76" w:rsidRPr="00AE4B9D" w:rsidRDefault="00002D76" w:rsidP="00D63204">
            <w:pPr>
              <w:spacing w:after="0" w:line="240" w:lineRule="auto"/>
              <w:rPr>
                <w:rFonts w:ascii="Calibri" w:hAnsi="Calibri"/>
                <w:color w:val="231F20"/>
                <w:sz w:val="18"/>
                <w:szCs w:val="18"/>
              </w:rPr>
            </w:pPr>
            <w:r w:rsidRPr="00AE4B9D">
              <w:rPr>
                <w:rFonts w:ascii="Calibri" w:hAnsi="Calibri"/>
                <w:color w:val="231F20"/>
                <w:sz w:val="18"/>
                <w:szCs w:val="18"/>
              </w:rPr>
              <w:t>13,654</w:t>
            </w:r>
          </w:p>
        </w:tc>
      </w:tr>
      <w:tr w:rsidR="00002D76" w:rsidRPr="00AE4B9D" w14:paraId="383B499E" w14:textId="77777777" w:rsidTr="001429C7">
        <w:trPr>
          <w:trHeight w:val="45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1DB8B75" w14:textId="77777777" w:rsidR="00002D76" w:rsidRPr="00AE4B9D" w:rsidRDefault="00002D76" w:rsidP="00D63204">
            <w:pPr>
              <w:spacing w:after="0" w:line="240" w:lineRule="auto"/>
              <w:rPr>
                <w:rFonts w:ascii="Calibri" w:hAnsi="Calibri"/>
                <w:color w:val="231F20"/>
                <w:sz w:val="18"/>
                <w:szCs w:val="18"/>
              </w:rPr>
            </w:pPr>
            <w:r w:rsidRPr="00AE4B9D">
              <w:rPr>
                <w:rFonts w:ascii="Calibri" w:hAnsi="Calibri"/>
                <w:color w:val="231F20"/>
                <w:sz w:val="18"/>
                <w:szCs w:val="18"/>
              </w:rPr>
              <w:t>13</w:t>
            </w:r>
          </w:p>
        </w:tc>
        <w:tc>
          <w:tcPr>
            <w:tcW w:w="0" w:type="auto"/>
            <w:tcBorders>
              <w:top w:val="nil"/>
              <w:left w:val="nil"/>
              <w:bottom w:val="single" w:sz="4" w:space="0" w:color="auto"/>
              <w:right w:val="single" w:sz="4" w:space="0" w:color="auto"/>
            </w:tcBorders>
            <w:shd w:val="clear" w:color="auto" w:fill="auto"/>
            <w:vAlign w:val="center"/>
            <w:hideMark/>
          </w:tcPr>
          <w:p w14:paraId="2E81C8FE" w14:textId="77777777" w:rsidR="00002D76" w:rsidRPr="00AE4B9D" w:rsidRDefault="00002D76" w:rsidP="00D63204">
            <w:pPr>
              <w:spacing w:after="0" w:line="240" w:lineRule="auto"/>
              <w:rPr>
                <w:rFonts w:ascii="Calibri" w:hAnsi="Calibri"/>
                <w:color w:val="231F20"/>
                <w:sz w:val="18"/>
                <w:szCs w:val="18"/>
              </w:rPr>
            </w:pPr>
            <w:r w:rsidRPr="00AE4B9D">
              <w:rPr>
                <w:rFonts w:ascii="Calibri" w:hAnsi="Calibri"/>
                <w:color w:val="231F20"/>
                <w:sz w:val="18"/>
                <w:szCs w:val="18"/>
              </w:rPr>
              <w:t>131161</w:t>
            </w:r>
          </w:p>
        </w:tc>
        <w:tc>
          <w:tcPr>
            <w:tcW w:w="0" w:type="auto"/>
            <w:tcBorders>
              <w:top w:val="nil"/>
              <w:left w:val="nil"/>
              <w:bottom w:val="single" w:sz="4" w:space="0" w:color="auto"/>
              <w:right w:val="single" w:sz="4" w:space="0" w:color="auto"/>
            </w:tcBorders>
            <w:shd w:val="clear" w:color="auto" w:fill="auto"/>
            <w:vAlign w:val="center"/>
            <w:hideMark/>
          </w:tcPr>
          <w:p w14:paraId="440888AC" w14:textId="77777777" w:rsidR="00002D76" w:rsidRPr="00AE4B9D" w:rsidRDefault="00002D76" w:rsidP="004D6183">
            <w:pPr>
              <w:spacing w:after="0" w:line="240" w:lineRule="auto"/>
              <w:rPr>
                <w:rFonts w:ascii="Calibri" w:hAnsi="Calibri"/>
                <w:color w:val="231F20"/>
                <w:sz w:val="16"/>
                <w:szCs w:val="16"/>
              </w:rPr>
            </w:pPr>
            <w:r w:rsidRPr="00AE4B9D">
              <w:rPr>
                <w:rFonts w:ascii="Calibri" w:hAnsi="Calibri"/>
                <w:color w:val="231F20"/>
                <w:sz w:val="16"/>
                <w:szCs w:val="16"/>
              </w:rPr>
              <w:t>Market Research Analysts and Marketing Specialists</w:t>
            </w:r>
          </w:p>
        </w:tc>
        <w:tc>
          <w:tcPr>
            <w:tcW w:w="0" w:type="auto"/>
            <w:tcBorders>
              <w:top w:val="nil"/>
              <w:left w:val="nil"/>
              <w:bottom w:val="single" w:sz="4" w:space="0" w:color="auto"/>
              <w:right w:val="single" w:sz="4" w:space="0" w:color="auto"/>
            </w:tcBorders>
            <w:shd w:val="clear" w:color="auto" w:fill="auto"/>
            <w:vAlign w:val="center"/>
            <w:hideMark/>
          </w:tcPr>
          <w:p w14:paraId="16700481" w14:textId="77777777" w:rsidR="00002D76" w:rsidRPr="00AE4B9D" w:rsidRDefault="00002D76" w:rsidP="00D63204">
            <w:pPr>
              <w:spacing w:after="0" w:line="240" w:lineRule="auto"/>
              <w:rPr>
                <w:rFonts w:ascii="Calibri" w:hAnsi="Calibri"/>
                <w:color w:val="231F20"/>
                <w:sz w:val="18"/>
                <w:szCs w:val="18"/>
              </w:rPr>
            </w:pPr>
            <w:r w:rsidRPr="00AE4B9D">
              <w:rPr>
                <w:rFonts w:ascii="Calibri" w:hAnsi="Calibri"/>
                <w:color w:val="231F20"/>
                <w:sz w:val="18"/>
                <w:szCs w:val="18"/>
              </w:rPr>
              <w:t>29,609</w:t>
            </w:r>
          </w:p>
        </w:tc>
        <w:tc>
          <w:tcPr>
            <w:tcW w:w="0" w:type="auto"/>
            <w:tcBorders>
              <w:top w:val="nil"/>
              <w:left w:val="nil"/>
              <w:bottom w:val="single" w:sz="4" w:space="0" w:color="auto"/>
              <w:right w:val="single" w:sz="4" w:space="0" w:color="auto"/>
            </w:tcBorders>
            <w:shd w:val="clear" w:color="auto" w:fill="auto"/>
            <w:vAlign w:val="center"/>
            <w:hideMark/>
          </w:tcPr>
          <w:p w14:paraId="6269906B" w14:textId="77777777" w:rsidR="00002D76" w:rsidRPr="00AE4B9D" w:rsidRDefault="00002D76" w:rsidP="00D63204">
            <w:pPr>
              <w:spacing w:after="0" w:line="240" w:lineRule="auto"/>
              <w:rPr>
                <w:rFonts w:ascii="Calibri" w:hAnsi="Calibri"/>
                <w:color w:val="231F20"/>
                <w:sz w:val="18"/>
                <w:szCs w:val="18"/>
              </w:rPr>
            </w:pPr>
            <w:r w:rsidRPr="00AE4B9D">
              <w:rPr>
                <w:rFonts w:ascii="Calibri" w:hAnsi="Calibri"/>
                <w:color w:val="231F20"/>
                <w:sz w:val="18"/>
                <w:szCs w:val="18"/>
              </w:rPr>
              <w:t>36,279</w:t>
            </w:r>
          </w:p>
        </w:tc>
        <w:tc>
          <w:tcPr>
            <w:tcW w:w="0" w:type="auto"/>
            <w:tcBorders>
              <w:top w:val="nil"/>
              <w:left w:val="nil"/>
              <w:bottom w:val="single" w:sz="4" w:space="0" w:color="auto"/>
              <w:right w:val="single" w:sz="4" w:space="0" w:color="auto"/>
            </w:tcBorders>
            <w:shd w:val="clear" w:color="auto" w:fill="auto"/>
            <w:vAlign w:val="center"/>
            <w:hideMark/>
          </w:tcPr>
          <w:p w14:paraId="06D6449F" w14:textId="77777777" w:rsidR="00002D76" w:rsidRPr="00AE4B9D" w:rsidRDefault="00002D76" w:rsidP="00D63204">
            <w:pPr>
              <w:spacing w:after="0" w:line="240" w:lineRule="auto"/>
              <w:rPr>
                <w:rFonts w:ascii="Calibri" w:hAnsi="Calibri"/>
                <w:color w:val="231F20"/>
                <w:sz w:val="18"/>
                <w:szCs w:val="18"/>
              </w:rPr>
            </w:pPr>
            <w:r w:rsidRPr="00AE4B9D">
              <w:rPr>
                <w:rFonts w:ascii="Calibri" w:hAnsi="Calibri"/>
                <w:color w:val="231F20"/>
                <w:sz w:val="18"/>
                <w:szCs w:val="18"/>
              </w:rPr>
              <w:t>6,670</w:t>
            </w:r>
          </w:p>
        </w:tc>
        <w:tc>
          <w:tcPr>
            <w:tcW w:w="0" w:type="auto"/>
            <w:tcBorders>
              <w:top w:val="nil"/>
              <w:left w:val="nil"/>
              <w:bottom w:val="single" w:sz="4" w:space="0" w:color="auto"/>
              <w:right w:val="single" w:sz="4" w:space="0" w:color="auto"/>
            </w:tcBorders>
            <w:shd w:val="clear" w:color="auto" w:fill="auto"/>
            <w:vAlign w:val="center"/>
            <w:hideMark/>
          </w:tcPr>
          <w:p w14:paraId="651342E1" w14:textId="77777777" w:rsidR="00002D76" w:rsidRPr="00AE4B9D" w:rsidRDefault="00002D76" w:rsidP="00D63204">
            <w:pPr>
              <w:spacing w:after="0" w:line="240" w:lineRule="auto"/>
              <w:rPr>
                <w:rFonts w:ascii="Calibri" w:hAnsi="Calibri"/>
                <w:color w:val="231F20"/>
                <w:sz w:val="18"/>
                <w:szCs w:val="18"/>
              </w:rPr>
            </w:pPr>
            <w:r w:rsidRPr="00AE4B9D">
              <w:rPr>
                <w:rFonts w:ascii="Calibri" w:hAnsi="Calibri"/>
                <w:color w:val="231F20"/>
                <w:sz w:val="18"/>
                <w:szCs w:val="18"/>
              </w:rPr>
              <w:t>22.53</w:t>
            </w:r>
          </w:p>
        </w:tc>
        <w:tc>
          <w:tcPr>
            <w:tcW w:w="0" w:type="auto"/>
            <w:tcBorders>
              <w:top w:val="nil"/>
              <w:left w:val="nil"/>
              <w:bottom w:val="single" w:sz="4" w:space="0" w:color="auto"/>
              <w:right w:val="single" w:sz="4" w:space="0" w:color="auto"/>
            </w:tcBorders>
            <w:shd w:val="clear" w:color="auto" w:fill="auto"/>
            <w:vAlign w:val="center"/>
            <w:hideMark/>
          </w:tcPr>
          <w:p w14:paraId="2EF997A4" w14:textId="77777777" w:rsidR="00002D76" w:rsidRPr="00AE4B9D" w:rsidRDefault="00002D76" w:rsidP="00D63204">
            <w:pPr>
              <w:spacing w:after="0" w:line="240" w:lineRule="auto"/>
              <w:rPr>
                <w:rFonts w:ascii="Calibri" w:hAnsi="Calibri"/>
                <w:color w:val="231F20"/>
                <w:sz w:val="18"/>
                <w:szCs w:val="18"/>
              </w:rPr>
            </w:pPr>
            <w:r w:rsidRPr="00AE4B9D">
              <w:rPr>
                <w:rFonts w:ascii="Calibri" w:hAnsi="Calibri"/>
                <w:color w:val="231F20"/>
                <w:sz w:val="18"/>
                <w:szCs w:val="18"/>
              </w:rPr>
              <w:t>31,318</w:t>
            </w:r>
          </w:p>
        </w:tc>
      </w:tr>
      <w:tr w:rsidR="00002D76" w:rsidRPr="00AE4B9D" w14:paraId="53A60087" w14:textId="77777777" w:rsidTr="001429C7">
        <w:trPr>
          <w:trHeight w:val="300"/>
        </w:trPr>
        <w:tc>
          <w:tcPr>
            <w:tcW w:w="0" w:type="auto"/>
            <w:tcBorders>
              <w:top w:val="nil"/>
              <w:left w:val="single" w:sz="4" w:space="0" w:color="auto"/>
              <w:bottom w:val="single" w:sz="4" w:space="0" w:color="auto"/>
              <w:right w:val="single" w:sz="4" w:space="0" w:color="auto"/>
            </w:tcBorders>
            <w:shd w:val="clear" w:color="000000" w:fill="D1D3D4"/>
            <w:vAlign w:val="center"/>
            <w:hideMark/>
          </w:tcPr>
          <w:p w14:paraId="55840079" w14:textId="77777777" w:rsidR="00002D76" w:rsidRPr="00AE4B9D" w:rsidRDefault="00002D76" w:rsidP="00D63204">
            <w:pPr>
              <w:spacing w:after="0" w:line="240" w:lineRule="auto"/>
              <w:rPr>
                <w:rFonts w:ascii="Calibri" w:hAnsi="Calibri"/>
                <w:color w:val="231F20"/>
                <w:sz w:val="18"/>
                <w:szCs w:val="18"/>
              </w:rPr>
            </w:pPr>
            <w:r w:rsidRPr="00AE4B9D">
              <w:rPr>
                <w:rFonts w:ascii="Calibri" w:hAnsi="Calibri"/>
                <w:color w:val="231F20"/>
                <w:sz w:val="18"/>
                <w:szCs w:val="18"/>
              </w:rPr>
              <w:t>14</w:t>
            </w:r>
          </w:p>
        </w:tc>
        <w:tc>
          <w:tcPr>
            <w:tcW w:w="0" w:type="auto"/>
            <w:tcBorders>
              <w:top w:val="nil"/>
              <w:left w:val="nil"/>
              <w:bottom w:val="single" w:sz="4" w:space="0" w:color="auto"/>
              <w:right w:val="single" w:sz="4" w:space="0" w:color="auto"/>
            </w:tcBorders>
            <w:shd w:val="clear" w:color="000000" w:fill="D1D3D4"/>
            <w:vAlign w:val="center"/>
            <w:hideMark/>
          </w:tcPr>
          <w:p w14:paraId="44130623" w14:textId="77777777" w:rsidR="00002D76" w:rsidRPr="00AE4B9D" w:rsidRDefault="00002D76" w:rsidP="00D63204">
            <w:pPr>
              <w:spacing w:after="0" w:line="240" w:lineRule="auto"/>
              <w:rPr>
                <w:rFonts w:ascii="Calibri" w:hAnsi="Calibri"/>
                <w:color w:val="231F20"/>
                <w:sz w:val="18"/>
                <w:szCs w:val="18"/>
              </w:rPr>
            </w:pPr>
            <w:r w:rsidRPr="00AE4B9D">
              <w:rPr>
                <w:rFonts w:ascii="Calibri" w:hAnsi="Calibri"/>
                <w:color w:val="231F20"/>
                <w:sz w:val="18"/>
                <w:szCs w:val="18"/>
              </w:rPr>
              <w:t>533041</w:t>
            </w:r>
          </w:p>
        </w:tc>
        <w:tc>
          <w:tcPr>
            <w:tcW w:w="0" w:type="auto"/>
            <w:tcBorders>
              <w:top w:val="nil"/>
              <w:left w:val="nil"/>
              <w:bottom w:val="single" w:sz="4" w:space="0" w:color="auto"/>
              <w:right w:val="single" w:sz="4" w:space="0" w:color="auto"/>
            </w:tcBorders>
            <w:shd w:val="clear" w:color="000000" w:fill="D1D3D4"/>
            <w:vAlign w:val="center"/>
            <w:hideMark/>
          </w:tcPr>
          <w:p w14:paraId="28DF40F0" w14:textId="77777777" w:rsidR="00002D76" w:rsidRPr="00AE4B9D" w:rsidRDefault="00002D76" w:rsidP="004D6183">
            <w:pPr>
              <w:spacing w:after="0" w:line="240" w:lineRule="auto"/>
              <w:rPr>
                <w:rFonts w:ascii="Calibri" w:hAnsi="Calibri"/>
                <w:color w:val="231F20"/>
                <w:sz w:val="18"/>
                <w:szCs w:val="18"/>
              </w:rPr>
            </w:pPr>
            <w:r w:rsidRPr="00AE4B9D">
              <w:rPr>
                <w:rFonts w:ascii="Calibri" w:hAnsi="Calibri"/>
                <w:color w:val="231F20"/>
                <w:sz w:val="18"/>
                <w:szCs w:val="18"/>
              </w:rPr>
              <w:t>Taxi Drivers and Chauffeurs</w:t>
            </w:r>
          </w:p>
        </w:tc>
        <w:tc>
          <w:tcPr>
            <w:tcW w:w="0" w:type="auto"/>
            <w:tcBorders>
              <w:top w:val="nil"/>
              <w:left w:val="nil"/>
              <w:bottom w:val="single" w:sz="4" w:space="0" w:color="auto"/>
              <w:right w:val="single" w:sz="4" w:space="0" w:color="auto"/>
            </w:tcBorders>
            <w:shd w:val="clear" w:color="000000" w:fill="D1D3D4"/>
            <w:vAlign w:val="center"/>
            <w:hideMark/>
          </w:tcPr>
          <w:p w14:paraId="17CAF0F6" w14:textId="77777777" w:rsidR="00002D76" w:rsidRPr="00AE4B9D" w:rsidRDefault="00002D76" w:rsidP="00D63204">
            <w:pPr>
              <w:spacing w:after="0" w:line="240" w:lineRule="auto"/>
              <w:rPr>
                <w:rFonts w:ascii="Calibri" w:hAnsi="Calibri"/>
                <w:color w:val="231F20"/>
                <w:sz w:val="18"/>
                <w:szCs w:val="18"/>
              </w:rPr>
            </w:pPr>
            <w:r w:rsidRPr="00AE4B9D">
              <w:rPr>
                <w:rFonts w:ascii="Calibri" w:hAnsi="Calibri"/>
                <w:color w:val="231F20"/>
                <w:sz w:val="18"/>
                <w:szCs w:val="18"/>
              </w:rPr>
              <w:t>14,686</w:t>
            </w:r>
          </w:p>
        </w:tc>
        <w:tc>
          <w:tcPr>
            <w:tcW w:w="0" w:type="auto"/>
            <w:tcBorders>
              <w:top w:val="nil"/>
              <w:left w:val="nil"/>
              <w:bottom w:val="single" w:sz="4" w:space="0" w:color="auto"/>
              <w:right w:val="single" w:sz="4" w:space="0" w:color="auto"/>
            </w:tcBorders>
            <w:shd w:val="clear" w:color="000000" w:fill="D1D3D4"/>
            <w:vAlign w:val="center"/>
            <w:hideMark/>
          </w:tcPr>
          <w:p w14:paraId="5F8AC291" w14:textId="77777777" w:rsidR="00002D76" w:rsidRPr="00AE4B9D" w:rsidRDefault="00002D76" w:rsidP="00D63204">
            <w:pPr>
              <w:spacing w:after="0" w:line="240" w:lineRule="auto"/>
              <w:rPr>
                <w:rFonts w:ascii="Calibri" w:hAnsi="Calibri"/>
                <w:color w:val="231F20"/>
                <w:sz w:val="18"/>
                <w:szCs w:val="18"/>
              </w:rPr>
            </w:pPr>
            <w:r w:rsidRPr="00AE4B9D">
              <w:rPr>
                <w:rFonts w:ascii="Calibri" w:hAnsi="Calibri"/>
                <w:color w:val="231F20"/>
                <w:sz w:val="18"/>
                <w:szCs w:val="18"/>
              </w:rPr>
              <w:t>17,948</w:t>
            </w:r>
          </w:p>
        </w:tc>
        <w:tc>
          <w:tcPr>
            <w:tcW w:w="0" w:type="auto"/>
            <w:tcBorders>
              <w:top w:val="nil"/>
              <w:left w:val="nil"/>
              <w:bottom w:val="single" w:sz="4" w:space="0" w:color="auto"/>
              <w:right w:val="single" w:sz="4" w:space="0" w:color="auto"/>
            </w:tcBorders>
            <w:shd w:val="clear" w:color="000000" w:fill="D1D3D4"/>
            <w:vAlign w:val="center"/>
            <w:hideMark/>
          </w:tcPr>
          <w:p w14:paraId="69570D2A" w14:textId="77777777" w:rsidR="00002D76" w:rsidRPr="00AE4B9D" w:rsidRDefault="00002D76" w:rsidP="00D63204">
            <w:pPr>
              <w:spacing w:after="0" w:line="240" w:lineRule="auto"/>
              <w:rPr>
                <w:rFonts w:ascii="Calibri" w:hAnsi="Calibri"/>
                <w:color w:val="231F20"/>
                <w:sz w:val="18"/>
                <w:szCs w:val="18"/>
              </w:rPr>
            </w:pPr>
            <w:r w:rsidRPr="00AE4B9D">
              <w:rPr>
                <w:rFonts w:ascii="Calibri" w:hAnsi="Calibri"/>
                <w:color w:val="231F20"/>
                <w:sz w:val="18"/>
                <w:szCs w:val="18"/>
              </w:rPr>
              <w:t>3,262</w:t>
            </w:r>
          </w:p>
        </w:tc>
        <w:tc>
          <w:tcPr>
            <w:tcW w:w="0" w:type="auto"/>
            <w:tcBorders>
              <w:top w:val="nil"/>
              <w:left w:val="nil"/>
              <w:bottom w:val="single" w:sz="4" w:space="0" w:color="auto"/>
              <w:right w:val="single" w:sz="4" w:space="0" w:color="auto"/>
            </w:tcBorders>
            <w:shd w:val="clear" w:color="000000" w:fill="D1D3D4"/>
            <w:vAlign w:val="center"/>
            <w:hideMark/>
          </w:tcPr>
          <w:p w14:paraId="4BA0F1F4" w14:textId="77777777" w:rsidR="00002D76" w:rsidRPr="00AE4B9D" w:rsidRDefault="00002D76" w:rsidP="00D63204">
            <w:pPr>
              <w:spacing w:after="0" w:line="240" w:lineRule="auto"/>
              <w:rPr>
                <w:rFonts w:ascii="Calibri" w:hAnsi="Calibri"/>
                <w:color w:val="231F20"/>
                <w:sz w:val="18"/>
                <w:szCs w:val="18"/>
              </w:rPr>
            </w:pPr>
            <w:r w:rsidRPr="00AE4B9D">
              <w:rPr>
                <w:rFonts w:ascii="Calibri" w:hAnsi="Calibri"/>
                <w:color w:val="231F20"/>
                <w:sz w:val="18"/>
                <w:szCs w:val="18"/>
              </w:rPr>
              <w:t>22.21</w:t>
            </w:r>
          </w:p>
        </w:tc>
        <w:tc>
          <w:tcPr>
            <w:tcW w:w="0" w:type="auto"/>
            <w:tcBorders>
              <w:top w:val="nil"/>
              <w:left w:val="nil"/>
              <w:bottom w:val="single" w:sz="4" w:space="0" w:color="auto"/>
              <w:right w:val="single" w:sz="4" w:space="0" w:color="auto"/>
            </w:tcBorders>
            <w:shd w:val="clear" w:color="000000" w:fill="D1D3D4"/>
            <w:vAlign w:val="center"/>
            <w:hideMark/>
          </w:tcPr>
          <w:p w14:paraId="786EF47B" w14:textId="77777777" w:rsidR="00002D76" w:rsidRPr="00AE4B9D" w:rsidRDefault="00002D76" w:rsidP="00D63204">
            <w:pPr>
              <w:spacing w:after="0" w:line="240" w:lineRule="auto"/>
              <w:rPr>
                <w:rFonts w:ascii="Calibri" w:hAnsi="Calibri"/>
                <w:color w:val="231F20"/>
                <w:sz w:val="18"/>
                <w:szCs w:val="18"/>
              </w:rPr>
            </w:pPr>
            <w:r w:rsidRPr="00AE4B9D">
              <w:rPr>
                <w:rFonts w:ascii="Calibri" w:hAnsi="Calibri"/>
                <w:color w:val="231F20"/>
                <w:sz w:val="18"/>
                <w:szCs w:val="18"/>
              </w:rPr>
              <w:t>16,499</w:t>
            </w:r>
          </w:p>
        </w:tc>
      </w:tr>
      <w:tr w:rsidR="00002D76" w:rsidRPr="00AE4B9D" w14:paraId="2193E67E" w14:textId="77777777" w:rsidTr="001429C7">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26F1FF9" w14:textId="77777777" w:rsidR="00002D76" w:rsidRPr="00AE4B9D" w:rsidRDefault="00002D76" w:rsidP="00D63204">
            <w:pPr>
              <w:spacing w:after="0" w:line="240" w:lineRule="auto"/>
              <w:rPr>
                <w:rFonts w:ascii="Calibri" w:hAnsi="Calibri"/>
                <w:color w:val="231F20"/>
                <w:sz w:val="18"/>
                <w:szCs w:val="18"/>
              </w:rPr>
            </w:pPr>
            <w:r w:rsidRPr="00AE4B9D">
              <w:rPr>
                <w:rFonts w:ascii="Calibri" w:hAnsi="Calibri"/>
                <w:color w:val="231F20"/>
                <w:sz w:val="18"/>
                <w:szCs w:val="18"/>
              </w:rPr>
              <w:t>15</w:t>
            </w:r>
          </w:p>
        </w:tc>
        <w:tc>
          <w:tcPr>
            <w:tcW w:w="0" w:type="auto"/>
            <w:tcBorders>
              <w:top w:val="nil"/>
              <w:left w:val="nil"/>
              <w:bottom w:val="single" w:sz="4" w:space="0" w:color="auto"/>
              <w:right w:val="single" w:sz="4" w:space="0" w:color="auto"/>
            </w:tcBorders>
            <w:shd w:val="clear" w:color="auto" w:fill="auto"/>
            <w:vAlign w:val="center"/>
            <w:hideMark/>
          </w:tcPr>
          <w:p w14:paraId="1C2A60A3" w14:textId="77777777" w:rsidR="00002D76" w:rsidRPr="00AE4B9D" w:rsidRDefault="00002D76" w:rsidP="00D63204">
            <w:pPr>
              <w:spacing w:after="0" w:line="240" w:lineRule="auto"/>
              <w:rPr>
                <w:rFonts w:ascii="Calibri" w:hAnsi="Calibri"/>
                <w:color w:val="231F20"/>
                <w:sz w:val="18"/>
                <w:szCs w:val="18"/>
              </w:rPr>
            </w:pPr>
            <w:r w:rsidRPr="00AE4B9D">
              <w:rPr>
                <w:rFonts w:ascii="Calibri" w:hAnsi="Calibri"/>
                <w:color w:val="231F20"/>
                <w:sz w:val="18"/>
                <w:szCs w:val="18"/>
              </w:rPr>
              <w:t>291122</w:t>
            </w:r>
          </w:p>
        </w:tc>
        <w:tc>
          <w:tcPr>
            <w:tcW w:w="0" w:type="auto"/>
            <w:tcBorders>
              <w:top w:val="nil"/>
              <w:left w:val="nil"/>
              <w:bottom w:val="single" w:sz="4" w:space="0" w:color="auto"/>
              <w:right w:val="single" w:sz="4" w:space="0" w:color="auto"/>
            </w:tcBorders>
            <w:shd w:val="clear" w:color="auto" w:fill="auto"/>
            <w:vAlign w:val="center"/>
            <w:hideMark/>
          </w:tcPr>
          <w:p w14:paraId="20CA0424" w14:textId="77777777" w:rsidR="00002D76" w:rsidRPr="00AE4B9D" w:rsidRDefault="00002D76" w:rsidP="004D6183">
            <w:pPr>
              <w:spacing w:after="0" w:line="240" w:lineRule="auto"/>
              <w:rPr>
                <w:rFonts w:ascii="Calibri" w:hAnsi="Calibri"/>
                <w:color w:val="231F20"/>
                <w:sz w:val="18"/>
                <w:szCs w:val="18"/>
              </w:rPr>
            </w:pPr>
            <w:r w:rsidRPr="00AE4B9D">
              <w:rPr>
                <w:rFonts w:ascii="Calibri" w:hAnsi="Calibri"/>
                <w:color w:val="231F20"/>
                <w:sz w:val="18"/>
                <w:szCs w:val="18"/>
              </w:rPr>
              <w:t>Occupational Therapists</w:t>
            </w:r>
          </w:p>
        </w:tc>
        <w:tc>
          <w:tcPr>
            <w:tcW w:w="0" w:type="auto"/>
            <w:tcBorders>
              <w:top w:val="nil"/>
              <w:left w:val="nil"/>
              <w:bottom w:val="single" w:sz="4" w:space="0" w:color="auto"/>
              <w:right w:val="single" w:sz="4" w:space="0" w:color="auto"/>
            </w:tcBorders>
            <w:shd w:val="clear" w:color="auto" w:fill="auto"/>
            <w:vAlign w:val="center"/>
            <w:hideMark/>
          </w:tcPr>
          <w:p w14:paraId="010D9207" w14:textId="77777777" w:rsidR="00002D76" w:rsidRPr="00AE4B9D" w:rsidRDefault="00002D76" w:rsidP="00D63204">
            <w:pPr>
              <w:spacing w:after="0" w:line="240" w:lineRule="auto"/>
              <w:rPr>
                <w:rFonts w:ascii="Calibri" w:hAnsi="Calibri"/>
                <w:color w:val="231F20"/>
                <w:sz w:val="18"/>
                <w:szCs w:val="18"/>
              </w:rPr>
            </w:pPr>
            <w:r w:rsidRPr="00AE4B9D">
              <w:rPr>
                <w:rFonts w:ascii="Calibri" w:hAnsi="Calibri"/>
                <w:color w:val="231F20"/>
                <w:sz w:val="18"/>
                <w:szCs w:val="18"/>
              </w:rPr>
              <w:t>6,495</w:t>
            </w:r>
          </w:p>
        </w:tc>
        <w:tc>
          <w:tcPr>
            <w:tcW w:w="0" w:type="auto"/>
            <w:tcBorders>
              <w:top w:val="nil"/>
              <w:left w:val="nil"/>
              <w:bottom w:val="single" w:sz="4" w:space="0" w:color="auto"/>
              <w:right w:val="single" w:sz="4" w:space="0" w:color="auto"/>
            </w:tcBorders>
            <w:shd w:val="clear" w:color="auto" w:fill="auto"/>
            <w:vAlign w:val="center"/>
            <w:hideMark/>
          </w:tcPr>
          <w:p w14:paraId="00A7CBD2" w14:textId="77777777" w:rsidR="00002D76" w:rsidRPr="00AE4B9D" w:rsidRDefault="00002D76" w:rsidP="00D63204">
            <w:pPr>
              <w:spacing w:after="0" w:line="240" w:lineRule="auto"/>
              <w:rPr>
                <w:rFonts w:ascii="Calibri" w:hAnsi="Calibri"/>
                <w:color w:val="231F20"/>
                <w:sz w:val="18"/>
                <w:szCs w:val="18"/>
              </w:rPr>
            </w:pPr>
            <w:r w:rsidRPr="00AE4B9D">
              <w:rPr>
                <w:rFonts w:ascii="Calibri" w:hAnsi="Calibri"/>
                <w:color w:val="231F20"/>
                <w:sz w:val="18"/>
                <w:szCs w:val="18"/>
              </w:rPr>
              <w:t>7,927</w:t>
            </w:r>
          </w:p>
        </w:tc>
        <w:tc>
          <w:tcPr>
            <w:tcW w:w="0" w:type="auto"/>
            <w:tcBorders>
              <w:top w:val="nil"/>
              <w:left w:val="nil"/>
              <w:bottom w:val="single" w:sz="4" w:space="0" w:color="auto"/>
              <w:right w:val="single" w:sz="4" w:space="0" w:color="auto"/>
            </w:tcBorders>
            <w:shd w:val="clear" w:color="auto" w:fill="auto"/>
            <w:vAlign w:val="center"/>
            <w:hideMark/>
          </w:tcPr>
          <w:p w14:paraId="4042F063" w14:textId="77777777" w:rsidR="00002D76" w:rsidRPr="00AE4B9D" w:rsidRDefault="00002D76" w:rsidP="00D63204">
            <w:pPr>
              <w:spacing w:after="0" w:line="240" w:lineRule="auto"/>
              <w:rPr>
                <w:rFonts w:ascii="Calibri" w:hAnsi="Calibri"/>
                <w:color w:val="231F20"/>
                <w:sz w:val="18"/>
                <w:szCs w:val="18"/>
              </w:rPr>
            </w:pPr>
            <w:r w:rsidRPr="00AE4B9D">
              <w:rPr>
                <w:rFonts w:ascii="Calibri" w:hAnsi="Calibri"/>
                <w:color w:val="231F20"/>
                <w:sz w:val="18"/>
                <w:szCs w:val="18"/>
              </w:rPr>
              <w:t>1,432</w:t>
            </w:r>
          </w:p>
        </w:tc>
        <w:tc>
          <w:tcPr>
            <w:tcW w:w="0" w:type="auto"/>
            <w:tcBorders>
              <w:top w:val="nil"/>
              <w:left w:val="nil"/>
              <w:bottom w:val="single" w:sz="4" w:space="0" w:color="auto"/>
              <w:right w:val="single" w:sz="4" w:space="0" w:color="auto"/>
            </w:tcBorders>
            <w:shd w:val="clear" w:color="auto" w:fill="auto"/>
            <w:vAlign w:val="center"/>
            <w:hideMark/>
          </w:tcPr>
          <w:p w14:paraId="630CD4AC" w14:textId="77777777" w:rsidR="00002D76" w:rsidRPr="00AE4B9D" w:rsidRDefault="00002D76" w:rsidP="00D63204">
            <w:pPr>
              <w:spacing w:after="0" w:line="240" w:lineRule="auto"/>
              <w:rPr>
                <w:rFonts w:ascii="Calibri" w:hAnsi="Calibri"/>
                <w:color w:val="231F20"/>
                <w:sz w:val="18"/>
                <w:szCs w:val="18"/>
              </w:rPr>
            </w:pPr>
            <w:r w:rsidRPr="00AE4B9D">
              <w:rPr>
                <w:rFonts w:ascii="Calibri" w:hAnsi="Calibri"/>
                <w:color w:val="231F20"/>
                <w:sz w:val="18"/>
                <w:szCs w:val="18"/>
              </w:rPr>
              <w:t>22.05</w:t>
            </w:r>
          </w:p>
        </w:tc>
        <w:tc>
          <w:tcPr>
            <w:tcW w:w="0" w:type="auto"/>
            <w:tcBorders>
              <w:top w:val="nil"/>
              <w:left w:val="nil"/>
              <w:bottom w:val="single" w:sz="4" w:space="0" w:color="auto"/>
              <w:right w:val="single" w:sz="4" w:space="0" w:color="auto"/>
            </w:tcBorders>
            <w:shd w:val="clear" w:color="auto" w:fill="auto"/>
            <w:vAlign w:val="center"/>
            <w:hideMark/>
          </w:tcPr>
          <w:p w14:paraId="7E47BFBE" w14:textId="77777777" w:rsidR="00002D76" w:rsidRPr="00AE4B9D" w:rsidRDefault="00002D76" w:rsidP="00D63204">
            <w:pPr>
              <w:spacing w:after="0" w:line="240" w:lineRule="auto"/>
              <w:rPr>
                <w:rFonts w:ascii="Calibri" w:hAnsi="Calibri"/>
                <w:color w:val="231F20"/>
                <w:sz w:val="18"/>
                <w:szCs w:val="18"/>
              </w:rPr>
            </w:pPr>
            <w:r w:rsidRPr="00AE4B9D">
              <w:rPr>
                <w:rFonts w:ascii="Calibri" w:hAnsi="Calibri"/>
                <w:color w:val="231F20"/>
                <w:sz w:val="18"/>
                <w:szCs w:val="18"/>
              </w:rPr>
              <w:t>4,281</w:t>
            </w:r>
          </w:p>
        </w:tc>
      </w:tr>
      <w:tr w:rsidR="00002D76" w:rsidRPr="00AE4B9D" w14:paraId="0F35E861" w14:textId="77777777" w:rsidTr="001429C7">
        <w:trPr>
          <w:trHeight w:val="300"/>
        </w:trPr>
        <w:tc>
          <w:tcPr>
            <w:tcW w:w="0" w:type="auto"/>
            <w:tcBorders>
              <w:top w:val="nil"/>
              <w:left w:val="single" w:sz="4" w:space="0" w:color="auto"/>
              <w:bottom w:val="single" w:sz="4" w:space="0" w:color="auto"/>
              <w:right w:val="single" w:sz="4" w:space="0" w:color="auto"/>
            </w:tcBorders>
            <w:shd w:val="clear" w:color="000000" w:fill="D1D3D4"/>
            <w:vAlign w:val="center"/>
            <w:hideMark/>
          </w:tcPr>
          <w:p w14:paraId="41FE3D06" w14:textId="77777777" w:rsidR="00002D76" w:rsidRPr="00AE4B9D" w:rsidRDefault="00002D76" w:rsidP="00D63204">
            <w:pPr>
              <w:spacing w:after="0" w:line="240" w:lineRule="auto"/>
              <w:rPr>
                <w:rFonts w:ascii="Calibri" w:hAnsi="Calibri"/>
                <w:color w:val="231F20"/>
                <w:sz w:val="18"/>
                <w:szCs w:val="18"/>
              </w:rPr>
            </w:pPr>
            <w:r w:rsidRPr="00AE4B9D">
              <w:rPr>
                <w:rFonts w:ascii="Calibri" w:hAnsi="Calibri"/>
                <w:color w:val="231F20"/>
                <w:sz w:val="18"/>
                <w:szCs w:val="18"/>
              </w:rPr>
              <w:t>16</w:t>
            </w:r>
          </w:p>
        </w:tc>
        <w:tc>
          <w:tcPr>
            <w:tcW w:w="0" w:type="auto"/>
            <w:tcBorders>
              <w:top w:val="nil"/>
              <w:left w:val="nil"/>
              <w:bottom w:val="single" w:sz="4" w:space="0" w:color="auto"/>
              <w:right w:val="single" w:sz="4" w:space="0" w:color="auto"/>
            </w:tcBorders>
            <w:shd w:val="clear" w:color="000000" w:fill="D1D3D4"/>
            <w:vAlign w:val="center"/>
            <w:hideMark/>
          </w:tcPr>
          <w:p w14:paraId="5177F36F" w14:textId="77777777" w:rsidR="00002D76" w:rsidRPr="00AE4B9D" w:rsidRDefault="00002D76" w:rsidP="00D63204">
            <w:pPr>
              <w:spacing w:after="0" w:line="240" w:lineRule="auto"/>
              <w:rPr>
                <w:rFonts w:ascii="Calibri" w:hAnsi="Calibri"/>
                <w:color w:val="231F20"/>
                <w:sz w:val="18"/>
                <w:szCs w:val="18"/>
              </w:rPr>
            </w:pPr>
            <w:r w:rsidRPr="00AE4B9D">
              <w:rPr>
                <w:rFonts w:ascii="Calibri" w:hAnsi="Calibri"/>
                <w:color w:val="231F20"/>
                <w:sz w:val="18"/>
                <w:szCs w:val="18"/>
              </w:rPr>
              <w:t>151121</w:t>
            </w:r>
          </w:p>
        </w:tc>
        <w:tc>
          <w:tcPr>
            <w:tcW w:w="0" w:type="auto"/>
            <w:tcBorders>
              <w:top w:val="nil"/>
              <w:left w:val="nil"/>
              <w:bottom w:val="single" w:sz="4" w:space="0" w:color="auto"/>
              <w:right w:val="single" w:sz="4" w:space="0" w:color="auto"/>
            </w:tcBorders>
            <w:shd w:val="clear" w:color="000000" w:fill="D1D3D4"/>
            <w:vAlign w:val="center"/>
            <w:hideMark/>
          </w:tcPr>
          <w:p w14:paraId="01C2C484" w14:textId="77777777" w:rsidR="00002D76" w:rsidRPr="00AE4B9D" w:rsidRDefault="00002D76" w:rsidP="004D6183">
            <w:pPr>
              <w:spacing w:after="0" w:line="240" w:lineRule="auto"/>
              <w:rPr>
                <w:rFonts w:ascii="Calibri" w:hAnsi="Calibri"/>
                <w:color w:val="231F20"/>
                <w:sz w:val="18"/>
                <w:szCs w:val="18"/>
              </w:rPr>
            </w:pPr>
            <w:r w:rsidRPr="00AE4B9D">
              <w:rPr>
                <w:rFonts w:ascii="Calibri" w:hAnsi="Calibri"/>
                <w:color w:val="231F20"/>
                <w:sz w:val="18"/>
                <w:szCs w:val="18"/>
              </w:rPr>
              <w:t>Computer Systems Analysts</w:t>
            </w:r>
          </w:p>
        </w:tc>
        <w:tc>
          <w:tcPr>
            <w:tcW w:w="0" w:type="auto"/>
            <w:tcBorders>
              <w:top w:val="nil"/>
              <w:left w:val="nil"/>
              <w:bottom w:val="single" w:sz="4" w:space="0" w:color="auto"/>
              <w:right w:val="single" w:sz="4" w:space="0" w:color="auto"/>
            </w:tcBorders>
            <w:shd w:val="clear" w:color="000000" w:fill="D1D3D4"/>
            <w:vAlign w:val="center"/>
            <w:hideMark/>
          </w:tcPr>
          <w:p w14:paraId="27F9B19B" w14:textId="77777777" w:rsidR="00002D76" w:rsidRPr="00AE4B9D" w:rsidRDefault="00002D76" w:rsidP="00D63204">
            <w:pPr>
              <w:spacing w:after="0" w:line="240" w:lineRule="auto"/>
              <w:rPr>
                <w:rFonts w:ascii="Calibri" w:hAnsi="Calibri"/>
                <w:color w:val="231F20"/>
                <w:sz w:val="18"/>
                <w:szCs w:val="18"/>
              </w:rPr>
            </w:pPr>
            <w:r w:rsidRPr="00AE4B9D">
              <w:rPr>
                <w:rFonts w:ascii="Calibri" w:hAnsi="Calibri"/>
                <w:color w:val="231F20"/>
                <w:sz w:val="18"/>
                <w:szCs w:val="18"/>
              </w:rPr>
              <w:t>19,586</w:t>
            </w:r>
          </w:p>
        </w:tc>
        <w:tc>
          <w:tcPr>
            <w:tcW w:w="0" w:type="auto"/>
            <w:tcBorders>
              <w:top w:val="nil"/>
              <w:left w:val="nil"/>
              <w:bottom w:val="single" w:sz="4" w:space="0" w:color="auto"/>
              <w:right w:val="single" w:sz="4" w:space="0" w:color="auto"/>
            </w:tcBorders>
            <w:shd w:val="clear" w:color="000000" w:fill="D1D3D4"/>
            <w:vAlign w:val="center"/>
            <w:hideMark/>
          </w:tcPr>
          <w:p w14:paraId="311F3CE3" w14:textId="77777777" w:rsidR="00002D76" w:rsidRPr="00AE4B9D" w:rsidRDefault="00002D76" w:rsidP="00D63204">
            <w:pPr>
              <w:spacing w:after="0" w:line="240" w:lineRule="auto"/>
              <w:rPr>
                <w:rFonts w:ascii="Calibri" w:hAnsi="Calibri"/>
                <w:color w:val="231F20"/>
                <w:sz w:val="18"/>
                <w:szCs w:val="18"/>
              </w:rPr>
            </w:pPr>
            <w:r w:rsidRPr="00AE4B9D">
              <w:rPr>
                <w:rFonts w:ascii="Calibri" w:hAnsi="Calibri"/>
                <w:color w:val="231F20"/>
                <w:sz w:val="18"/>
                <w:szCs w:val="18"/>
              </w:rPr>
              <w:t>23,811</w:t>
            </w:r>
          </w:p>
        </w:tc>
        <w:tc>
          <w:tcPr>
            <w:tcW w:w="0" w:type="auto"/>
            <w:tcBorders>
              <w:top w:val="nil"/>
              <w:left w:val="nil"/>
              <w:bottom w:val="single" w:sz="4" w:space="0" w:color="auto"/>
              <w:right w:val="single" w:sz="4" w:space="0" w:color="auto"/>
            </w:tcBorders>
            <w:shd w:val="clear" w:color="000000" w:fill="D1D3D4"/>
            <w:vAlign w:val="center"/>
            <w:hideMark/>
          </w:tcPr>
          <w:p w14:paraId="166F9613" w14:textId="77777777" w:rsidR="00002D76" w:rsidRPr="00AE4B9D" w:rsidRDefault="00002D76" w:rsidP="00D63204">
            <w:pPr>
              <w:spacing w:after="0" w:line="240" w:lineRule="auto"/>
              <w:rPr>
                <w:rFonts w:ascii="Calibri" w:hAnsi="Calibri"/>
                <w:color w:val="231F20"/>
                <w:sz w:val="18"/>
                <w:szCs w:val="18"/>
              </w:rPr>
            </w:pPr>
            <w:r w:rsidRPr="00AE4B9D">
              <w:rPr>
                <w:rFonts w:ascii="Calibri" w:hAnsi="Calibri"/>
                <w:color w:val="231F20"/>
                <w:sz w:val="18"/>
                <w:szCs w:val="18"/>
              </w:rPr>
              <w:t>4,225</w:t>
            </w:r>
          </w:p>
        </w:tc>
        <w:tc>
          <w:tcPr>
            <w:tcW w:w="0" w:type="auto"/>
            <w:tcBorders>
              <w:top w:val="nil"/>
              <w:left w:val="nil"/>
              <w:bottom w:val="single" w:sz="4" w:space="0" w:color="auto"/>
              <w:right w:val="single" w:sz="4" w:space="0" w:color="auto"/>
            </w:tcBorders>
            <w:shd w:val="clear" w:color="000000" w:fill="D1D3D4"/>
            <w:vAlign w:val="center"/>
            <w:hideMark/>
          </w:tcPr>
          <w:p w14:paraId="51DD26ED" w14:textId="77777777" w:rsidR="00002D76" w:rsidRPr="00AE4B9D" w:rsidRDefault="00002D76" w:rsidP="00D63204">
            <w:pPr>
              <w:spacing w:after="0" w:line="240" w:lineRule="auto"/>
              <w:rPr>
                <w:rFonts w:ascii="Calibri" w:hAnsi="Calibri"/>
                <w:color w:val="231F20"/>
                <w:sz w:val="18"/>
                <w:szCs w:val="18"/>
              </w:rPr>
            </w:pPr>
            <w:r w:rsidRPr="00AE4B9D">
              <w:rPr>
                <w:rFonts w:ascii="Calibri" w:hAnsi="Calibri"/>
                <w:color w:val="231F20"/>
                <w:sz w:val="18"/>
                <w:szCs w:val="18"/>
              </w:rPr>
              <w:t>21.57</w:t>
            </w:r>
          </w:p>
        </w:tc>
        <w:tc>
          <w:tcPr>
            <w:tcW w:w="0" w:type="auto"/>
            <w:tcBorders>
              <w:top w:val="nil"/>
              <w:left w:val="nil"/>
              <w:bottom w:val="single" w:sz="4" w:space="0" w:color="auto"/>
              <w:right w:val="single" w:sz="4" w:space="0" w:color="auto"/>
            </w:tcBorders>
            <w:shd w:val="clear" w:color="000000" w:fill="D1D3D4"/>
            <w:vAlign w:val="center"/>
            <w:hideMark/>
          </w:tcPr>
          <w:p w14:paraId="2C2B2BA3" w14:textId="77777777" w:rsidR="00002D76" w:rsidRPr="00AE4B9D" w:rsidRDefault="00002D76" w:rsidP="00D63204">
            <w:pPr>
              <w:spacing w:after="0" w:line="240" w:lineRule="auto"/>
              <w:rPr>
                <w:rFonts w:ascii="Calibri" w:hAnsi="Calibri"/>
                <w:color w:val="231F20"/>
                <w:sz w:val="18"/>
                <w:szCs w:val="18"/>
              </w:rPr>
            </w:pPr>
            <w:r w:rsidRPr="00AE4B9D">
              <w:rPr>
                <w:rFonts w:ascii="Calibri" w:hAnsi="Calibri"/>
                <w:color w:val="231F20"/>
                <w:sz w:val="18"/>
                <w:szCs w:val="18"/>
              </w:rPr>
              <w:t>14,937</w:t>
            </w:r>
          </w:p>
        </w:tc>
      </w:tr>
      <w:tr w:rsidR="00002D76" w:rsidRPr="00AE4B9D" w14:paraId="7EBFBC3F" w14:textId="77777777" w:rsidTr="001429C7">
        <w:trPr>
          <w:trHeight w:val="48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22094C0" w14:textId="77777777" w:rsidR="00002D76" w:rsidRPr="00AE4B9D" w:rsidRDefault="00002D76" w:rsidP="00D63204">
            <w:pPr>
              <w:spacing w:after="0" w:line="240" w:lineRule="auto"/>
              <w:rPr>
                <w:rFonts w:ascii="Calibri" w:hAnsi="Calibri"/>
                <w:color w:val="231F20"/>
                <w:sz w:val="18"/>
                <w:szCs w:val="18"/>
              </w:rPr>
            </w:pPr>
            <w:r w:rsidRPr="00AE4B9D">
              <w:rPr>
                <w:rFonts w:ascii="Calibri" w:hAnsi="Calibri"/>
                <w:color w:val="231F20"/>
                <w:sz w:val="18"/>
                <w:szCs w:val="18"/>
              </w:rPr>
              <w:t>17</w:t>
            </w:r>
          </w:p>
        </w:tc>
        <w:tc>
          <w:tcPr>
            <w:tcW w:w="0" w:type="auto"/>
            <w:tcBorders>
              <w:top w:val="nil"/>
              <w:left w:val="nil"/>
              <w:bottom w:val="single" w:sz="4" w:space="0" w:color="auto"/>
              <w:right w:val="single" w:sz="4" w:space="0" w:color="auto"/>
            </w:tcBorders>
            <w:shd w:val="clear" w:color="auto" w:fill="auto"/>
            <w:vAlign w:val="center"/>
            <w:hideMark/>
          </w:tcPr>
          <w:p w14:paraId="56F7567A" w14:textId="77777777" w:rsidR="00002D76" w:rsidRPr="00AE4B9D" w:rsidRDefault="00002D76" w:rsidP="00D63204">
            <w:pPr>
              <w:spacing w:after="0" w:line="240" w:lineRule="auto"/>
              <w:rPr>
                <w:rFonts w:ascii="Calibri" w:hAnsi="Calibri"/>
                <w:color w:val="231F20"/>
                <w:sz w:val="18"/>
                <w:szCs w:val="18"/>
              </w:rPr>
            </w:pPr>
            <w:r w:rsidRPr="00AE4B9D">
              <w:rPr>
                <w:rFonts w:ascii="Calibri" w:hAnsi="Calibri"/>
                <w:color w:val="231F20"/>
                <w:sz w:val="18"/>
                <w:szCs w:val="18"/>
              </w:rPr>
              <w:t>292056</w:t>
            </w:r>
          </w:p>
        </w:tc>
        <w:tc>
          <w:tcPr>
            <w:tcW w:w="0" w:type="auto"/>
            <w:tcBorders>
              <w:top w:val="nil"/>
              <w:left w:val="nil"/>
              <w:bottom w:val="single" w:sz="4" w:space="0" w:color="auto"/>
              <w:right w:val="single" w:sz="4" w:space="0" w:color="auto"/>
            </w:tcBorders>
            <w:shd w:val="clear" w:color="auto" w:fill="auto"/>
            <w:vAlign w:val="center"/>
            <w:hideMark/>
          </w:tcPr>
          <w:p w14:paraId="69BD6028" w14:textId="77777777" w:rsidR="00002D76" w:rsidRPr="00AE4B9D" w:rsidRDefault="00002D76" w:rsidP="004D6183">
            <w:pPr>
              <w:spacing w:after="0" w:line="240" w:lineRule="auto"/>
              <w:rPr>
                <w:rFonts w:ascii="Calibri" w:hAnsi="Calibri"/>
                <w:color w:val="231F20"/>
                <w:sz w:val="18"/>
                <w:szCs w:val="18"/>
              </w:rPr>
            </w:pPr>
            <w:r w:rsidRPr="00AE4B9D">
              <w:rPr>
                <w:rFonts w:ascii="Calibri" w:hAnsi="Calibri"/>
                <w:color w:val="231F20"/>
                <w:sz w:val="18"/>
                <w:szCs w:val="18"/>
              </w:rPr>
              <w:t>Veterinary Technologists and Technicians</w:t>
            </w:r>
          </w:p>
        </w:tc>
        <w:tc>
          <w:tcPr>
            <w:tcW w:w="0" w:type="auto"/>
            <w:tcBorders>
              <w:top w:val="nil"/>
              <w:left w:val="nil"/>
              <w:bottom w:val="single" w:sz="4" w:space="0" w:color="auto"/>
              <w:right w:val="single" w:sz="4" w:space="0" w:color="auto"/>
            </w:tcBorders>
            <w:shd w:val="clear" w:color="auto" w:fill="auto"/>
            <w:vAlign w:val="center"/>
            <w:hideMark/>
          </w:tcPr>
          <w:p w14:paraId="211ED692" w14:textId="77777777" w:rsidR="00002D76" w:rsidRPr="00AE4B9D" w:rsidRDefault="00002D76" w:rsidP="00D63204">
            <w:pPr>
              <w:spacing w:after="0" w:line="240" w:lineRule="auto"/>
              <w:rPr>
                <w:rFonts w:ascii="Calibri" w:hAnsi="Calibri"/>
                <w:color w:val="231F20"/>
                <w:sz w:val="18"/>
                <w:szCs w:val="18"/>
              </w:rPr>
            </w:pPr>
            <w:r w:rsidRPr="00AE4B9D">
              <w:rPr>
                <w:rFonts w:ascii="Calibri" w:hAnsi="Calibri"/>
                <w:color w:val="231F20"/>
                <w:sz w:val="18"/>
                <w:szCs w:val="18"/>
              </w:rPr>
              <w:t>9,485</w:t>
            </w:r>
          </w:p>
        </w:tc>
        <w:tc>
          <w:tcPr>
            <w:tcW w:w="0" w:type="auto"/>
            <w:tcBorders>
              <w:top w:val="nil"/>
              <w:left w:val="nil"/>
              <w:bottom w:val="single" w:sz="4" w:space="0" w:color="auto"/>
              <w:right w:val="single" w:sz="4" w:space="0" w:color="auto"/>
            </w:tcBorders>
            <w:shd w:val="clear" w:color="auto" w:fill="auto"/>
            <w:vAlign w:val="center"/>
            <w:hideMark/>
          </w:tcPr>
          <w:p w14:paraId="371A5211" w14:textId="77777777" w:rsidR="00002D76" w:rsidRPr="00AE4B9D" w:rsidRDefault="00002D76" w:rsidP="00D63204">
            <w:pPr>
              <w:spacing w:after="0" w:line="240" w:lineRule="auto"/>
              <w:rPr>
                <w:rFonts w:ascii="Calibri" w:hAnsi="Calibri"/>
                <w:color w:val="231F20"/>
                <w:sz w:val="18"/>
                <w:szCs w:val="18"/>
              </w:rPr>
            </w:pPr>
            <w:r w:rsidRPr="00AE4B9D">
              <w:rPr>
                <w:rFonts w:ascii="Calibri" w:hAnsi="Calibri"/>
                <w:color w:val="231F20"/>
                <w:sz w:val="18"/>
                <w:szCs w:val="18"/>
              </w:rPr>
              <w:t>11,528</w:t>
            </w:r>
          </w:p>
        </w:tc>
        <w:tc>
          <w:tcPr>
            <w:tcW w:w="0" w:type="auto"/>
            <w:tcBorders>
              <w:top w:val="nil"/>
              <w:left w:val="nil"/>
              <w:bottom w:val="single" w:sz="4" w:space="0" w:color="auto"/>
              <w:right w:val="single" w:sz="4" w:space="0" w:color="auto"/>
            </w:tcBorders>
            <w:shd w:val="clear" w:color="auto" w:fill="auto"/>
            <w:vAlign w:val="center"/>
            <w:hideMark/>
          </w:tcPr>
          <w:p w14:paraId="07CB2468" w14:textId="77777777" w:rsidR="00002D76" w:rsidRPr="00AE4B9D" w:rsidRDefault="00002D76" w:rsidP="00D63204">
            <w:pPr>
              <w:spacing w:after="0" w:line="240" w:lineRule="auto"/>
              <w:rPr>
                <w:rFonts w:ascii="Calibri" w:hAnsi="Calibri"/>
                <w:color w:val="231F20"/>
                <w:sz w:val="18"/>
                <w:szCs w:val="18"/>
              </w:rPr>
            </w:pPr>
            <w:r w:rsidRPr="00AE4B9D">
              <w:rPr>
                <w:rFonts w:ascii="Calibri" w:hAnsi="Calibri"/>
                <w:color w:val="231F20"/>
                <w:sz w:val="18"/>
                <w:szCs w:val="18"/>
              </w:rPr>
              <w:t>2,043</w:t>
            </w:r>
          </w:p>
        </w:tc>
        <w:tc>
          <w:tcPr>
            <w:tcW w:w="0" w:type="auto"/>
            <w:tcBorders>
              <w:top w:val="nil"/>
              <w:left w:val="nil"/>
              <w:bottom w:val="single" w:sz="4" w:space="0" w:color="auto"/>
              <w:right w:val="single" w:sz="4" w:space="0" w:color="auto"/>
            </w:tcBorders>
            <w:shd w:val="clear" w:color="auto" w:fill="auto"/>
            <w:vAlign w:val="center"/>
            <w:hideMark/>
          </w:tcPr>
          <w:p w14:paraId="17404F2C" w14:textId="77777777" w:rsidR="00002D76" w:rsidRPr="00AE4B9D" w:rsidRDefault="00002D76" w:rsidP="00D63204">
            <w:pPr>
              <w:spacing w:after="0" w:line="240" w:lineRule="auto"/>
              <w:rPr>
                <w:rFonts w:ascii="Calibri" w:hAnsi="Calibri"/>
                <w:color w:val="231F20"/>
                <w:sz w:val="18"/>
                <w:szCs w:val="18"/>
              </w:rPr>
            </w:pPr>
            <w:r w:rsidRPr="00AE4B9D">
              <w:rPr>
                <w:rFonts w:ascii="Calibri" w:hAnsi="Calibri"/>
                <w:color w:val="231F20"/>
                <w:sz w:val="18"/>
                <w:szCs w:val="18"/>
              </w:rPr>
              <w:t>21.54</w:t>
            </w:r>
          </w:p>
        </w:tc>
        <w:tc>
          <w:tcPr>
            <w:tcW w:w="0" w:type="auto"/>
            <w:tcBorders>
              <w:top w:val="nil"/>
              <w:left w:val="nil"/>
              <w:bottom w:val="single" w:sz="4" w:space="0" w:color="auto"/>
              <w:right w:val="single" w:sz="4" w:space="0" w:color="auto"/>
            </w:tcBorders>
            <w:shd w:val="clear" w:color="auto" w:fill="auto"/>
            <w:vAlign w:val="center"/>
            <w:hideMark/>
          </w:tcPr>
          <w:p w14:paraId="192A16F7" w14:textId="77777777" w:rsidR="00002D76" w:rsidRPr="00AE4B9D" w:rsidRDefault="00002D76" w:rsidP="00D63204">
            <w:pPr>
              <w:spacing w:after="0" w:line="240" w:lineRule="auto"/>
              <w:rPr>
                <w:rFonts w:ascii="Calibri" w:hAnsi="Calibri"/>
                <w:color w:val="231F20"/>
                <w:sz w:val="18"/>
                <w:szCs w:val="18"/>
              </w:rPr>
            </w:pPr>
            <w:r w:rsidRPr="00AE4B9D">
              <w:rPr>
                <w:rFonts w:ascii="Calibri" w:hAnsi="Calibri"/>
                <w:color w:val="231F20"/>
                <w:sz w:val="18"/>
                <w:szCs w:val="18"/>
              </w:rPr>
              <w:t>7,690</w:t>
            </w:r>
          </w:p>
        </w:tc>
      </w:tr>
      <w:tr w:rsidR="00002D76" w:rsidRPr="00AE4B9D" w14:paraId="0E0D5C3F" w14:textId="77777777" w:rsidTr="001429C7">
        <w:trPr>
          <w:trHeight w:val="300"/>
        </w:trPr>
        <w:tc>
          <w:tcPr>
            <w:tcW w:w="0" w:type="auto"/>
            <w:tcBorders>
              <w:top w:val="nil"/>
              <w:left w:val="single" w:sz="4" w:space="0" w:color="auto"/>
              <w:bottom w:val="single" w:sz="4" w:space="0" w:color="auto"/>
              <w:right w:val="single" w:sz="4" w:space="0" w:color="auto"/>
            </w:tcBorders>
            <w:shd w:val="clear" w:color="000000" w:fill="D1D3D4"/>
            <w:vAlign w:val="center"/>
            <w:hideMark/>
          </w:tcPr>
          <w:p w14:paraId="1CA5B7C6" w14:textId="77777777" w:rsidR="00002D76" w:rsidRPr="00AE4B9D" w:rsidRDefault="00002D76" w:rsidP="00D63204">
            <w:pPr>
              <w:spacing w:after="0" w:line="240" w:lineRule="auto"/>
              <w:rPr>
                <w:rFonts w:ascii="Calibri" w:hAnsi="Calibri"/>
                <w:color w:val="231F20"/>
                <w:sz w:val="18"/>
                <w:szCs w:val="18"/>
              </w:rPr>
            </w:pPr>
            <w:r w:rsidRPr="00AE4B9D">
              <w:rPr>
                <w:rFonts w:ascii="Calibri" w:hAnsi="Calibri"/>
                <w:color w:val="231F20"/>
                <w:sz w:val="18"/>
                <w:szCs w:val="18"/>
              </w:rPr>
              <w:t>18</w:t>
            </w:r>
          </w:p>
        </w:tc>
        <w:tc>
          <w:tcPr>
            <w:tcW w:w="0" w:type="auto"/>
            <w:tcBorders>
              <w:top w:val="nil"/>
              <w:left w:val="nil"/>
              <w:bottom w:val="single" w:sz="4" w:space="0" w:color="auto"/>
              <w:right w:val="single" w:sz="4" w:space="0" w:color="auto"/>
            </w:tcBorders>
            <w:shd w:val="clear" w:color="000000" w:fill="D1D3D4"/>
            <w:vAlign w:val="center"/>
            <w:hideMark/>
          </w:tcPr>
          <w:p w14:paraId="1C87D636" w14:textId="77777777" w:rsidR="00002D76" w:rsidRPr="00AE4B9D" w:rsidRDefault="00002D76" w:rsidP="00D63204">
            <w:pPr>
              <w:spacing w:after="0" w:line="240" w:lineRule="auto"/>
              <w:rPr>
                <w:rFonts w:ascii="Calibri" w:hAnsi="Calibri"/>
                <w:color w:val="231F20"/>
                <w:sz w:val="18"/>
                <w:szCs w:val="18"/>
              </w:rPr>
            </w:pPr>
            <w:r w:rsidRPr="00AE4B9D">
              <w:rPr>
                <w:rFonts w:ascii="Calibri" w:hAnsi="Calibri"/>
                <w:color w:val="231F20"/>
                <w:sz w:val="18"/>
                <w:szCs w:val="18"/>
              </w:rPr>
              <w:t>292081</w:t>
            </w:r>
          </w:p>
        </w:tc>
        <w:tc>
          <w:tcPr>
            <w:tcW w:w="0" w:type="auto"/>
            <w:tcBorders>
              <w:top w:val="nil"/>
              <w:left w:val="nil"/>
              <w:bottom w:val="single" w:sz="4" w:space="0" w:color="auto"/>
              <w:right w:val="single" w:sz="4" w:space="0" w:color="auto"/>
            </w:tcBorders>
            <w:shd w:val="clear" w:color="000000" w:fill="D1D3D4"/>
            <w:vAlign w:val="center"/>
            <w:hideMark/>
          </w:tcPr>
          <w:p w14:paraId="2231A0B3" w14:textId="77777777" w:rsidR="00002D76" w:rsidRPr="00AE4B9D" w:rsidRDefault="00002D76" w:rsidP="004D6183">
            <w:pPr>
              <w:spacing w:after="0" w:line="240" w:lineRule="auto"/>
              <w:rPr>
                <w:rFonts w:ascii="Calibri" w:hAnsi="Calibri"/>
                <w:color w:val="231F20"/>
                <w:sz w:val="18"/>
                <w:szCs w:val="18"/>
              </w:rPr>
            </w:pPr>
            <w:r w:rsidRPr="00AE4B9D">
              <w:rPr>
                <w:rFonts w:ascii="Calibri" w:hAnsi="Calibri"/>
                <w:color w:val="231F20"/>
                <w:sz w:val="18"/>
                <w:szCs w:val="18"/>
              </w:rPr>
              <w:t>Opticians, Dispensing</w:t>
            </w:r>
          </w:p>
        </w:tc>
        <w:tc>
          <w:tcPr>
            <w:tcW w:w="0" w:type="auto"/>
            <w:tcBorders>
              <w:top w:val="nil"/>
              <w:left w:val="nil"/>
              <w:bottom w:val="single" w:sz="4" w:space="0" w:color="auto"/>
              <w:right w:val="single" w:sz="4" w:space="0" w:color="auto"/>
            </w:tcBorders>
            <w:shd w:val="clear" w:color="000000" w:fill="D1D3D4"/>
            <w:vAlign w:val="center"/>
            <w:hideMark/>
          </w:tcPr>
          <w:p w14:paraId="64EEA6A7" w14:textId="77777777" w:rsidR="00002D76" w:rsidRPr="00AE4B9D" w:rsidRDefault="00002D76" w:rsidP="00D63204">
            <w:pPr>
              <w:spacing w:after="0" w:line="240" w:lineRule="auto"/>
              <w:rPr>
                <w:rFonts w:ascii="Calibri" w:hAnsi="Calibri"/>
                <w:color w:val="231F20"/>
                <w:sz w:val="18"/>
                <w:szCs w:val="18"/>
              </w:rPr>
            </w:pPr>
            <w:r w:rsidRPr="00AE4B9D">
              <w:rPr>
                <w:rFonts w:ascii="Calibri" w:hAnsi="Calibri"/>
                <w:color w:val="231F20"/>
                <w:sz w:val="18"/>
                <w:szCs w:val="18"/>
              </w:rPr>
              <w:t>5,290</w:t>
            </w:r>
          </w:p>
        </w:tc>
        <w:tc>
          <w:tcPr>
            <w:tcW w:w="0" w:type="auto"/>
            <w:tcBorders>
              <w:top w:val="nil"/>
              <w:left w:val="nil"/>
              <w:bottom w:val="single" w:sz="4" w:space="0" w:color="auto"/>
              <w:right w:val="single" w:sz="4" w:space="0" w:color="auto"/>
            </w:tcBorders>
            <w:shd w:val="clear" w:color="000000" w:fill="D1D3D4"/>
            <w:vAlign w:val="center"/>
            <w:hideMark/>
          </w:tcPr>
          <w:p w14:paraId="327C3447" w14:textId="77777777" w:rsidR="00002D76" w:rsidRPr="00AE4B9D" w:rsidRDefault="00002D76" w:rsidP="00D63204">
            <w:pPr>
              <w:spacing w:after="0" w:line="240" w:lineRule="auto"/>
              <w:rPr>
                <w:rFonts w:ascii="Calibri" w:hAnsi="Calibri"/>
                <w:color w:val="231F20"/>
                <w:sz w:val="18"/>
                <w:szCs w:val="18"/>
              </w:rPr>
            </w:pPr>
            <w:r w:rsidRPr="00AE4B9D">
              <w:rPr>
                <w:rFonts w:ascii="Calibri" w:hAnsi="Calibri"/>
                <w:color w:val="231F20"/>
                <w:sz w:val="18"/>
                <w:szCs w:val="18"/>
              </w:rPr>
              <w:t>6,425</w:t>
            </w:r>
          </w:p>
        </w:tc>
        <w:tc>
          <w:tcPr>
            <w:tcW w:w="0" w:type="auto"/>
            <w:tcBorders>
              <w:top w:val="nil"/>
              <w:left w:val="nil"/>
              <w:bottom w:val="single" w:sz="4" w:space="0" w:color="auto"/>
              <w:right w:val="single" w:sz="4" w:space="0" w:color="auto"/>
            </w:tcBorders>
            <w:shd w:val="clear" w:color="000000" w:fill="D1D3D4"/>
            <w:vAlign w:val="center"/>
            <w:hideMark/>
          </w:tcPr>
          <w:p w14:paraId="61EE58F0" w14:textId="77777777" w:rsidR="00002D76" w:rsidRPr="00AE4B9D" w:rsidRDefault="00002D76" w:rsidP="00D63204">
            <w:pPr>
              <w:spacing w:after="0" w:line="240" w:lineRule="auto"/>
              <w:rPr>
                <w:rFonts w:ascii="Calibri" w:hAnsi="Calibri"/>
                <w:color w:val="231F20"/>
                <w:sz w:val="18"/>
                <w:szCs w:val="18"/>
              </w:rPr>
            </w:pPr>
            <w:r w:rsidRPr="00AE4B9D">
              <w:rPr>
                <w:rFonts w:ascii="Calibri" w:hAnsi="Calibri"/>
                <w:color w:val="231F20"/>
                <w:sz w:val="18"/>
                <w:szCs w:val="18"/>
              </w:rPr>
              <w:t>1,135</w:t>
            </w:r>
          </w:p>
        </w:tc>
        <w:tc>
          <w:tcPr>
            <w:tcW w:w="0" w:type="auto"/>
            <w:tcBorders>
              <w:top w:val="nil"/>
              <w:left w:val="nil"/>
              <w:bottom w:val="single" w:sz="4" w:space="0" w:color="auto"/>
              <w:right w:val="single" w:sz="4" w:space="0" w:color="auto"/>
            </w:tcBorders>
            <w:shd w:val="clear" w:color="000000" w:fill="D1D3D4"/>
            <w:vAlign w:val="center"/>
            <w:hideMark/>
          </w:tcPr>
          <w:p w14:paraId="0FD6E487" w14:textId="77777777" w:rsidR="00002D76" w:rsidRPr="00AE4B9D" w:rsidRDefault="00002D76" w:rsidP="00D63204">
            <w:pPr>
              <w:spacing w:after="0" w:line="240" w:lineRule="auto"/>
              <w:rPr>
                <w:rFonts w:ascii="Calibri" w:hAnsi="Calibri"/>
                <w:color w:val="231F20"/>
                <w:sz w:val="18"/>
                <w:szCs w:val="18"/>
              </w:rPr>
            </w:pPr>
            <w:r w:rsidRPr="00AE4B9D">
              <w:rPr>
                <w:rFonts w:ascii="Calibri" w:hAnsi="Calibri"/>
                <w:color w:val="231F20"/>
                <w:sz w:val="18"/>
                <w:szCs w:val="18"/>
              </w:rPr>
              <w:t>21.46</w:t>
            </w:r>
          </w:p>
        </w:tc>
        <w:tc>
          <w:tcPr>
            <w:tcW w:w="0" w:type="auto"/>
            <w:tcBorders>
              <w:top w:val="nil"/>
              <w:left w:val="nil"/>
              <w:bottom w:val="single" w:sz="4" w:space="0" w:color="auto"/>
              <w:right w:val="single" w:sz="4" w:space="0" w:color="auto"/>
            </w:tcBorders>
            <w:shd w:val="clear" w:color="000000" w:fill="D1D3D4"/>
            <w:vAlign w:val="center"/>
            <w:hideMark/>
          </w:tcPr>
          <w:p w14:paraId="4209D3C1" w14:textId="77777777" w:rsidR="00002D76" w:rsidRPr="00AE4B9D" w:rsidRDefault="00002D76" w:rsidP="00D63204">
            <w:pPr>
              <w:spacing w:after="0" w:line="240" w:lineRule="auto"/>
              <w:rPr>
                <w:rFonts w:ascii="Calibri" w:hAnsi="Calibri"/>
                <w:color w:val="231F20"/>
                <w:sz w:val="18"/>
                <w:szCs w:val="18"/>
              </w:rPr>
            </w:pPr>
            <w:r w:rsidRPr="00AE4B9D">
              <w:rPr>
                <w:rFonts w:ascii="Calibri" w:hAnsi="Calibri"/>
                <w:color w:val="231F20"/>
                <w:sz w:val="18"/>
                <w:szCs w:val="18"/>
              </w:rPr>
              <w:t>4,050</w:t>
            </w:r>
          </w:p>
        </w:tc>
      </w:tr>
      <w:tr w:rsidR="00002D76" w:rsidRPr="00AE4B9D" w14:paraId="006249CE" w14:textId="77777777" w:rsidTr="001429C7">
        <w:trPr>
          <w:trHeight w:val="48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1989B27" w14:textId="77777777" w:rsidR="00002D76" w:rsidRPr="00AE4B9D" w:rsidRDefault="00002D76" w:rsidP="00D63204">
            <w:pPr>
              <w:spacing w:after="0" w:line="240" w:lineRule="auto"/>
              <w:rPr>
                <w:rFonts w:ascii="Calibri" w:hAnsi="Calibri"/>
                <w:color w:val="231F20"/>
                <w:sz w:val="18"/>
                <w:szCs w:val="18"/>
              </w:rPr>
            </w:pPr>
            <w:r w:rsidRPr="00AE4B9D">
              <w:rPr>
                <w:rFonts w:ascii="Calibri" w:hAnsi="Calibri"/>
                <w:color w:val="231F20"/>
                <w:sz w:val="18"/>
                <w:szCs w:val="18"/>
              </w:rPr>
              <w:t>19</w:t>
            </w:r>
          </w:p>
        </w:tc>
        <w:tc>
          <w:tcPr>
            <w:tcW w:w="0" w:type="auto"/>
            <w:tcBorders>
              <w:top w:val="nil"/>
              <w:left w:val="nil"/>
              <w:bottom w:val="single" w:sz="4" w:space="0" w:color="auto"/>
              <w:right w:val="single" w:sz="4" w:space="0" w:color="auto"/>
            </w:tcBorders>
            <w:shd w:val="clear" w:color="auto" w:fill="auto"/>
            <w:vAlign w:val="center"/>
            <w:hideMark/>
          </w:tcPr>
          <w:p w14:paraId="4684FED6" w14:textId="77777777" w:rsidR="00002D76" w:rsidRPr="00AE4B9D" w:rsidRDefault="00002D76" w:rsidP="00D63204">
            <w:pPr>
              <w:spacing w:after="0" w:line="240" w:lineRule="auto"/>
              <w:rPr>
                <w:rFonts w:ascii="Calibri" w:hAnsi="Calibri"/>
                <w:color w:val="231F20"/>
                <w:sz w:val="18"/>
                <w:szCs w:val="18"/>
              </w:rPr>
            </w:pPr>
            <w:r w:rsidRPr="00AE4B9D">
              <w:rPr>
                <w:rFonts w:ascii="Calibri" w:hAnsi="Calibri"/>
                <w:color w:val="231F20"/>
                <w:sz w:val="18"/>
                <w:szCs w:val="18"/>
              </w:rPr>
              <w:t>251071</w:t>
            </w:r>
          </w:p>
        </w:tc>
        <w:tc>
          <w:tcPr>
            <w:tcW w:w="0" w:type="auto"/>
            <w:tcBorders>
              <w:top w:val="nil"/>
              <w:left w:val="nil"/>
              <w:bottom w:val="single" w:sz="4" w:space="0" w:color="auto"/>
              <w:right w:val="single" w:sz="4" w:space="0" w:color="auto"/>
            </w:tcBorders>
            <w:shd w:val="clear" w:color="auto" w:fill="auto"/>
            <w:vAlign w:val="center"/>
            <w:hideMark/>
          </w:tcPr>
          <w:p w14:paraId="77311F25" w14:textId="77777777" w:rsidR="00002D76" w:rsidRPr="00AE4B9D" w:rsidRDefault="00002D76" w:rsidP="004D6183">
            <w:pPr>
              <w:spacing w:after="0" w:line="240" w:lineRule="auto"/>
              <w:rPr>
                <w:rFonts w:ascii="Calibri" w:hAnsi="Calibri"/>
                <w:color w:val="231F20"/>
                <w:sz w:val="18"/>
                <w:szCs w:val="18"/>
              </w:rPr>
            </w:pPr>
            <w:r w:rsidRPr="00AE4B9D">
              <w:rPr>
                <w:rFonts w:ascii="Calibri" w:hAnsi="Calibri"/>
                <w:color w:val="231F20"/>
                <w:sz w:val="18"/>
                <w:szCs w:val="18"/>
              </w:rPr>
              <w:t>Health Specialties Teachers, Postsecondary</w:t>
            </w:r>
          </w:p>
        </w:tc>
        <w:tc>
          <w:tcPr>
            <w:tcW w:w="0" w:type="auto"/>
            <w:tcBorders>
              <w:top w:val="nil"/>
              <w:left w:val="nil"/>
              <w:bottom w:val="single" w:sz="4" w:space="0" w:color="auto"/>
              <w:right w:val="single" w:sz="4" w:space="0" w:color="auto"/>
            </w:tcBorders>
            <w:shd w:val="clear" w:color="auto" w:fill="auto"/>
            <w:vAlign w:val="center"/>
            <w:hideMark/>
          </w:tcPr>
          <w:p w14:paraId="3284D29E" w14:textId="77777777" w:rsidR="00002D76" w:rsidRPr="00AE4B9D" w:rsidRDefault="00002D76" w:rsidP="00D63204">
            <w:pPr>
              <w:spacing w:after="0" w:line="240" w:lineRule="auto"/>
              <w:rPr>
                <w:rFonts w:ascii="Calibri" w:hAnsi="Calibri"/>
                <w:color w:val="231F20"/>
                <w:sz w:val="18"/>
                <w:szCs w:val="18"/>
              </w:rPr>
            </w:pPr>
            <w:r w:rsidRPr="00AE4B9D">
              <w:rPr>
                <w:rFonts w:ascii="Calibri" w:hAnsi="Calibri"/>
                <w:color w:val="231F20"/>
                <w:sz w:val="18"/>
                <w:szCs w:val="18"/>
              </w:rPr>
              <w:t>10,991</w:t>
            </w:r>
          </w:p>
        </w:tc>
        <w:tc>
          <w:tcPr>
            <w:tcW w:w="0" w:type="auto"/>
            <w:tcBorders>
              <w:top w:val="nil"/>
              <w:left w:val="nil"/>
              <w:bottom w:val="single" w:sz="4" w:space="0" w:color="auto"/>
              <w:right w:val="single" w:sz="4" w:space="0" w:color="auto"/>
            </w:tcBorders>
            <w:shd w:val="clear" w:color="auto" w:fill="auto"/>
            <w:vAlign w:val="center"/>
            <w:hideMark/>
          </w:tcPr>
          <w:p w14:paraId="2C90BAC3" w14:textId="77777777" w:rsidR="00002D76" w:rsidRPr="00AE4B9D" w:rsidRDefault="00002D76" w:rsidP="00D63204">
            <w:pPr>
              <w:spacing w:after="0" w:line="240" w:lineRule="auto"/>
              <w:rPr>
                <w:rFonts w:ascii="Calibri" w:hAnsi="Calibri"/>
                <w:color w:val="231F20"/>
                <w:sz w:val="18"/>
                <w:szCs w:val="18"/>
              </w:rPr>
            </w:pPr>
            <w:r w:rsidRPr="00AE4B9D">
              <w:rPr>
                <w:rFonts w:ascii="Calibri" w:hAnsi="Calibri"/>
                <w:color w:val="231F20"/>
                <w:sz w:val="18"/>
                <w:szCs w:val="18"/>
              </w:rPr>
              <w:t>13,341</w:t>
            </w:r>
          </w:p>
        </w:tc>
        <w:tc>
          <w:tcPr>
            <w:tcW w:w="0" w:type="auto"/>
            <w:tcBorders>
              <w:top w:val="nil"/>
              <w:left w:val="nil"/>
              <w:bottom w:val="single" w:sz="4" w:space="0" w:color="auto"/>
              <w:right w:val="single" w:sz="4" w:space="0" w:color="auto"/>
            </w:tcBorders>
            <w:shd w:val="clear" w:color="auto" w:fill="auto"/>
            <w:vAlign w:val="center"/>
            <w:hideMark/>
          </w:tcPr>
          <w:p w14:paraId="475989A1" w14:textId="77777777" w:rsidR="00002D76" w:rsidRPr="00AE4B9D" w:rsidRDefault="00002D76" w:rsidP="00D63204">
            <w:pPr>
              <w:spacing w:after="0" w:line="240" w:lineRule="auto"/>
              <w:rPr>
                <w:rFonts w:ascii="Calibri" w:hAnsi="Calibri"/>
                <w:color w:val="231F20"/>
                <w:sz w:val="18"/>
                <w:szCs w:val="18"/>
              </w:rPr>
            </w:pPr>
            <w:r w:rsidRPr="00AE4B9D">
              <w:rPr>
                <w:rFonts w:ascii="Calibri" w:hAnsi="Calibri"/>
                <w:color w:val="231F20"/>
                <w:sz w:val="18"/>
                <w:szCs w:val="18"/>
              </w:rPr>
              <w:t>2,350</w:t>
            </w:r>
          </w:p>
        </w:tc>
        <w:tc>
          <w:tcPr>
            <w:tcW w:w="0" w:type="auto"/>
            <w:tcBorders>
              <w:top w:val="nil"/>
              <w:left w:val="nil"/>
              <w:bottom w:val="single" w:sz="4" w:space="0" w:color="auto"/>
              <w:right w:val="single" w:sz="4" w:space="0" w:color="auto"/>
            </w:tcBorders>
            <w:shd w:val="clear" w:color="auto" w:fill="auto"/>
            <w:vAlign w:val="center"/>
            <w:hideMark/>
          </w:tcPr>
          <w:p w14:paraId="5101C792" w14:textId="77777777" w:rsidR="00002D76" w:rsidRPr="00AE4B9D" w:rsidRDefault="00002D76" w:rsidP="00D63204">
            <w:pPr>
              <w:spacing w:after="0" w:line="240" w:lineRule="auto"/>
              <w:rPr>
                <w:rFonts w:ascii="Calibri" w:hAnsi="Calibri"/>
                <w:color w:val="231F20"/>
                <w:sz w:val="18"/>
                <w:szCs w:val="18"/>
              </w:rPr>
            </w:pPr>
            <w:r w:rsidRPr="00AE4B9D">
              <w:rPr>
                <w:rFonts w:ascii="Calibri" w:hAnsi="Calibri"/>
                <w:color w:val="231F20"/>
                <w:sz w:val="18"/>
                <w:szCs w:val="18"/>
              </w:rPr>
              <w:t>21.38</w:t>
            </w:r>
          </w:p>
        </w:tc>
        <w:tc>
          <w:tcPr>
            <w:tcW w:w="0" w:type="auto"/>
            <w:tcBorders>
              <w:top w:val="nil"/>
              <w:left w:val="nil"/>
              <w:bottom w:val="single" w:sz="4" w:space="0" w:color="auto"/>
              <w:right w:val="single" w:sz="4" w:space="0" w:color="auto"/>
            </w:tcBorders>
            <w:shd w:val="clear" w:color="auto" w:fill="auto"/>
            <w:vAlign w:val="center"/>
            <w:hideMark/>
          </w:tcPr>
          <w:p w14:paraId="4C51FCF6" w14:textId="77777777" w:rsidR="00002D76" w:rsidRPr="00AE4B9D" w:rsidRDefault="00002D76" w:rsidP="00D63204">
            <w:pPr>
              <w:spacing w:after="0" w:line="240" w:lineRule="auto"/>
              <w:rPr>
                <w:rFonts w:ascii="Calibri" w:hAnsi="Calibri"/>
                <w:color w:val="231F20"/>
                <w:sz w:val="18"/>
                <w:szCs w:val="18"/>
              </w:rPr>
            </w:pPr>
            <w:r w:rsidRPr="00AE4B9D">
              <w:rPr>
                <w:rFonts w:ascii="Calibri" w:hAnsi="Calibri"/>
                <w:color w:val="231F20"/>
                <w:sz w:val="18"/>
                <w:szCs w:val="18"/>
              </w:rPr>
              <w:t>9,971</w:t>
            </w:r>
          </w:p>
        </w:tc>
      </w:tr>
      <w:tr w:rsidR="00002D76" w:rsidRPr="00AE4B9D" w14:paraId="7126050B" w14:textId="77777777" w:rsidTr="001429C7">
        <w:trPr>
          <w:trHeight w:val="480"/>
        </w:trPr>
        <w:tc>
          <w:tcPr>
            <w:tcW w:w="0" w:type="auto"/>
            <w:tcBorders>
              <w:top w:val="nil"/>
              <w:left w:val="single" w:sz="4" w:space="0" w:color="auto"/>
              <w:bottom w:val="single" w:sz="4" w:space="0" w:color="auto"/>
              <w:right w:val="single" w:sz="4" w:space="0" w:color="auto"/>
            </w:tcBorders>
            <w:shd w:val="clear" w:color="000000" w:fill="D1D3D4"/>
            <w:vAlign w:val="center"/>
            <w:hideMark/>
          </w:tcPr>
          <w:p w14:paraId="55B60E8B" w14:textId="77777777" w:rsidR="00002D76" w:rsidRPr="00AE4B9D" w:rsidRDefault="00002D76" w:rsidP="00D63204">
            <w:pPr>
              <w:spacing w:after="0" w:line="240" w:lineRule="auto"/>
              <w:rPr>
                <w:rFonts w:ascii="Calibri" w:hAnsi="Calibri"/>
                <w:color w:val="231F20"/>
                <w:sz w:val="18"/>
                <w:szCs w:val="18"/>
              </w:rPr>
            </w:pPr>
            <w:r w:rsidRPr="00AE4B9D">
              <w:rPr>
                <w:rFonts w:ascii="Calibri" w:hAnsi="Calibri"/>
                <w:color w:val="231F20"/>
                <w:sz w:val="18"/>
                <w:szCs w:val="18"/>
              </w:rPr>
              <w:t>20</w:t>
            </w:r>
          </w:p>
        </w:tc>
        <w:tc>
          <w:tcPr>
            <w:tcW w:w="0" w:type="auto"/>
            <w:tcBorders>
              <w:top w:val="nil"/>
              <w:left w:val="nil"/>
              <w:bottom w:val="single" w:sz="4" w:space="0" w:color="auto"/>
              <w:right w:val="single" w:sz="4" w:space="0" w:color="auto"/>
            </w:tcBorders>
            <w:shd w:val="clear" w:color="000000" w:fill="D1D3D4"/>
            <w:vAlign w:val="center"/>
            <w:hideMark/>
          </w:tcPr>
          <w:p w14:paraId="4458D8DE" w14:textId="77777777" w:rsidR="00002D76" w:rsidRPr="00AE4B9D" w:rsidRDefault="00002D76" w:rsidP="00D63204">
            <w:pPr>
              <w:spacing w:after="0" w:line="240" w:lineRule="auto"/>
              <w:rPr>
                <w:rFonts w:ascii="Calibri" w:hAnsi="Calibri"/>
                <w:color w:val="231F20"/>
                <w:sz w:val="18"/>
                <w:szCs w:val="18"/>
              </w:rPr>
            </w:pPr>
            <w:r w:rsidRPr="00AE4B9D">
              <w:rPr>
                <w:rFonts w:ascii="Calibri" w:hAnsi="Calibri"/>
                <w:color w:val="231F20"/>
                <w:sz w:val="18"/>
                <w:szCs w:val="18"/>
              </w:rPr>
              <w:t>193031</w:t>
            </w:r>
          </w:p>
        </w:tc>
        <w:tc>
          <w:tcPr>
            <w:tcW w:w="0" w:type="auto"/>
            <w:tcBorders>
              <w:top w:val="nil"/>
              <w:left w:val="nil"/>
              <w:bottom w:val="single" w:sz="4" w:space="0" w:color="auto"/>
              <w:right w:val="single" w:sz="4" w:space="0" w:color="auto"/>
            </w:tcBorders>
            <w:shd w:val="clear" w:color="000000" w:fill="D1D3D4"/>
            <w:vAlign w:val="center"/>
            <w:hideMark/>
          </w:tcPr>
          <w:p w14:paraId="1F8493DE" w14:textId="6D196A6D" w:rsidR="00002D76" w:rsidRPr="00AE4B9D" w:rsidRDefault="00002D76" w:rsidP="004D6183">
            <w:pPr>
              <w:spacing w:after="0" w:line="240" w:lineRule="auto"/>
              <w:rPr>
                <w:rFonts w:ascii="Calibri" w:hAnsi="Calibri"/>
                <w:color w:val="231F20"/>
                <w:sz w:val="18"/>
                <w:szCs w:val="18"/>
              </w:rPr>
            </w:pPr>
            <w:r w:rsidRPr="00AE4B9D">
              <w:rPr>
                <w:rFonts w:ascii="Calibri" w:hAnsi="Calibri"/>
                <w:color w:val="231F20"/>
                <w:sz w:val="18"/>
                <w:szCs w:val="18"/>
              </w:rPr>
              <w:t>Clinical, Counseling</w:t>
            </w:r>
            <w:r w:rsidR="00D5537E">
              <w:rPr>
                <w:rFonts w:ascii="Calibri" w:hAnsi="Calibri"/>
                <w:color w:val="231F20"/>
                <w:sz w:val="18"/>
                <w:szCs w:val="18"/>
              </w:rPr>
              <w:t xml:space="preserve"> and</w:t>
            </w:r>
            <w:r w:rsidRPr="00AE4B9D">
              <w:rPr>
                <w:rFonts w:ascii="Calibri" w:hAnsi="Calibri"/>
                <w:color w:val="231F20"/>
                <w:sz w:val="18"/>
                <w:szCs w:val="18"/>
              </w:rPr>
              <w:t xml:space="preserve"> School Psychologists</w:t>
            </w:r>
          </w:p>
        </w:tc>
        <w:tc>
          <w:tcPr>
            <w:tcW w:w="0" w:type="auto"/>
            <w:tcBorders>
              <w:top w:val="nil"/>
              <w:left w:val="nil"/>
              <w:bottom w:val="single" w:sz="4" w:space="0" w:color="auto"/>
              <w:right w:val="single" w:sz="4" w:space="0" w:color="auto"/>
            </w:tcBorders>
            <w:shd w:val="clear" w:color="000000" w:fill="D1D3D4"/>
            <w:vAlign w:val="center"/>
            <w:hideMark/>
          </w:tcPr>
          <w:p w14:paraId="3C296F9C" w14:textId="77777777" w:rsidR="00002D76" w:rsidRPr="00AE4B9D" w:rsidRDefault="00002D76" w:rsidP="00D63204">
            <w:pPr>
              <w:spacing w:after="0" w:line="240" w:lineRule="auto"/>
              <w:rPr>
                <w:rFonts w:ascii="Calibri" w:hAnsi="Calibri"/>
                <w:color w:val="231F20"/>
                <w:sz w:val="18"/>
                <w:szCs w:val="18"/>
              </w:rPr>
            </w:pPr>
            <w:r w:rsidRPr="00AE4B9D">
              <w:rPr>
                <w:rFonts w:ascii="Calibri" w:hAnsi="Calibri"/>
                <w:color w:val="231F20"/>
                <w:sz w:val="18"/>
                <w:szCs w:val="18"/>
              </w:rPr>
              <w:t>4,053</w:t>
            </w:r>
          </w:p>
        </w:tc>
        <w:tc>
          <w:tcPr>
            <w:tcW w:w="0" w:type="auto"/>
            <w:tcBorders>
              <w:top w:val="nil"/>
              <w:left w:val="nil"/>
              <w:bottom w:val="single" w:sz="4" w:space="0" w:color="auto"/>
              <w:right w:val="single" w:sz="4" w:space="0" w:color="auto"/>
            </w:tcBorders>
            <w:shd w:val="clear" w:color="000000" w:fill="D1D3D4"/>
            <w:vAlign w:val="center"/>
            <w:hideMark/>
          </w:tcPr>
          <w:p w14:paraId="1CAB83D9" w14:textId="77777777" w:rsidR="00002D76" w:rsidRPr="00AE4B9D" w:rsidRDefault="00002D76" w:rsidP="00D63204">
            <w:pPr>
              <w:spacing w:after="0" w:line="240" w:lineRule="auto"/>
              <w:rPr>
                <w:rFonts w:ascii="Calibri" w:hAnsi="Calibri"/>
                <w:color w:val="231F20"/>
                <w:sz w:val="18"/>
                <w:szCs w:val="18"/>
              </w:rPr>
            </w:pPr>
            <w:r w:rsidRPr="00AE4B9D">
              <w:rPr>
                <w:rFonts w:ascii="Calibri" w:hAnsi="Calibri"/>
                <w:color w:val="231F20"/>
                <w:sz w:val="18"/>
                <w:szCs w:val="18"/>
              </w:rPr>
              <w:t>4,908</w:t>
            </w:r>
          </w:p>
        </w:tc>
        <w:tc>
          <w:tcPr>
            <w:tcW w:w="0" w:type="auto"/>
            <w:tcBorders>
              <w:top w:val="nil"/>
              <w:left w:val="nil"/>
              <w:bottom w:val="single" w:sz="4" w:space="0" w:color="auto"/>
              <w:right w:val="single" w:sz="4" w:space="0" w:color="auto"/>
            </w:tcBorders>
            <w:shd w:val="clear" w:color="000000" w:fill="D1D3D4"/>
            <w:vAlign w:val="center"/>
            <w:hideMark/>
          </w:tcPr>
          <w:p w14:paraId="7AEDDCF1" w14:textId="77777777" w:rsidR="00002D76" w:rsidRPr="00AE4B9D" w:rsidRDefault="00002D76" w:rsidP="00D63204">
            <w:pPr>
              <w:spacing w:after="0" w:line="240" w:lineRule="auto"/>
              <w:rPr>
                <w:rFonts w:ascii="Calibri" w:hAnsi="Calibri"/>
                <w:color w:val="231F20"/>
                <w:sz w:val="18"/>
                <w:szCs w:val="18"/>
              </w:rPr>
            </w:pPr>
            <w:r w:rsidRPr="00AE4B9D">
              <w:rPr>
                <w:rFonts w:ascii="Calibri" w:hAnsi="Calibri"/>
                <w:color w:val="231F20"/>
                <w:sz w:val="18"/>
                <w:szCs w:val="18"/>
              </w:rPr>
              <w:t>855</w:t>
            </w:r>
          </w:p>
        </w:tc>
        <w:tc>
          <w:tcPr>
            <w:tcW w:w="0" w:type="auto"/>
            <w:tcBorders>
              <w:top w:val="nil"/>
              <w:left w:val="nil"/>
              <w:bottom w:val="single" w:sz="4" w:space="0" w:color="auto"/>
              <w:right w:val="single" w:sz="4" w:space="0" w:color="auto"/>
            </w:tcBorders>
            <w:shd w:val="clear" w:color="000000" w:fill="D1D3D4"/>
            <w:vAlign w:val="center"/>
            <w:hideMark/>
          </w:tcPr>
          <w:p w14:paraId="124203D6" w14:textId="77777777" w:rsidR="00002D76" w:rsidRPr="00AE4B9D" w:rsidRDefault="00002D76" w:rsidP="00D63204">
            <w:pPr>
              <w:spacing w:after="0" w:line="240" w:lineRule="auto"/>
              <w:rPr>
                <w:rFonts w:ascii="Calibri" w:hAnsi="Calibri"/>
                <w:color w:val="231F20"/>
                <w:sz w:val="18"/>
                <w:szCs w:val="18"/>
              </w:rPr>
            </w:pPr>
            <w:r w:rsidRPr="00AE4B9D">
              <w:rPr>
                <w:rFonts w:ascii="Calibri" w:hAnsi="Calibri"/>
                <w:color w:val="231F20"/>
                <w:sz w:val="18"/>
                <w:szCs w:val="18"/>
              </w:rPr>
              <w:t>21.1</w:t>
            </w:r>
          </w:p>
        </w:tc>
        <w:tc>
          <w:tcPr>
            <w:tcW w:w="0" w:type="auto"/>
            <w:tcBorders>
              <w:top w:val="nil"/>
              <w:left w:val="nil"/>
              <w:bottom w:val="single" w:sz="4" w:space="0" w:color="auto"/>
              <w:right w:val="single" w:sz="4" w:space="0" w:color="auto"/>
            </w:tcBorders>
            <w:shd w:val="clear" w:color="000000" w:fill="D1D3D4"/>
            <w:vAlign w:val="center"/>
            <w:hideMark/>
          </w:tcPr>
          <w:p w14:paraId="0999ED01" w14:textId="77777777" w:rsidR="00002D76" w:rsidRPr="00AE4B9D" w:rsidRDefault="00002D76" w:rsidP="00D63204">
            <w:pPr>
              <w:spacing w:after="0" w:line="240" w:lineRule="auto"/>
              <w:rPr>
                <w:rFonts w:ascii="Calibri" w:hAnsi="Calibri"/>
                <w:color w:val="231F20"/>
                <w:sz w:val="18"/>
                <w:szCs w:val="18"/>
              </w:rPr>
            </w:pPr>
            <w:r w:rsidRPr="00AE4B9D">
              <w:rPr>
                <w:rFonts w:ascii="Calibri" w:hAnsi="Calibri"/>
                <w:color w:val="231F20"/>
                <w:sz w:val="18"/>
                <w:szCs w:val="18"/>
              </w:rPr>
              <w:t>3,486</w:t>
            </w:r>
          </w:p>
        </w:tc>
      </w:tr>
    </w:tbl>
    <w:p w14:paraId="0E4AF2F2" w14:textId="77777777" w:rsidR="00002D76" w:rsidRPr="00EA7458" w:rsidRDefault="00002D76" w:rsidP="00002D76">
      <w:pPr>
        <w:widowControl w:val="0"/>
        <w:spacing w:before="65" w:after="0" w:line="216" w:lineRule="exact"/>
        <w:ind w:left="107"/>
        <w:rPr>
          <w:rFonts w:ascii="Calibri" w:hAnsi="Calibri" w:cs="Calibri"/>
          <w:sz w:val="18"/>
          <w:szCs w:val="18"/>
        </w:rPr>
      </w:pPr>
      <w:r w:rsidRPr="00EA7458">
        <w:rPr>
          <w:rFonts w:ascii="Calibri" w:hAnsi="Calibri"/>
          <w:color w:val="231F20"/>
          <w:w w:val="105"/>
          <w:sz w:val="18"/>
        </w:rPr>
        <w:t xml:space="preserve">Source:  Florida Department of Economic Opportunity, Bureau of Labor Market Statistics, </w:t>
      </w:r>
      <w:r>
        <w:rPr>
          <w:rFonts w:ascii="Calibri" w:hAnsi="Calibri"/>
          <w:color w:val="231F20"/>
          <w:w w:val="105"/>
          <w:sz w:val="18"/>
        </w:rPr>
        <w:t>December 2017</w:t>
      </w:r>
    </w:p>
    <w:p w14:paraId="6C56E9C8" w14:textId="77777777" w:rsidR="00002D76" w:rsidRPr="00EA7458" w:rsidRDefault="00002D76" w:rsidP="00002D76">
      <w:pPr>
        <w:widowControl w:val="0"/>
        <w:spacing w:before="67" w:after="0" w:line="240" w:lineRule="auto"/>
        <w:ind w:left="107"/>
        <w:rPr>
          <w:rFonts w:ascii="Calibri" w:hAnsi="Calibri" w:cs="Calibri"/>
          <w:sz w:val="18"/>
          <w:szCs w:val="18"/>
        </w:rPr>
        <w:sectPr w:rsidR="00002D76" w:rsidRPr="00EA7458">
          <w:pgSz w:w="12240" w:h="15840"/>
          <w:pgMar w:top="1620" w:right="900" w:bottom="820" w:left="900" w:header="812" w:footer="624" w:gutter="0"/>
          <w:cols w:space="720"/>
        </w:sectPr>
      </w:pPr>
    </w:p>
    <w:p w14:paraId="5D537C84" w14:textId="77777777" w:rsidR="00002D76" w:rsidRPr="00EA7458" w:rsidRDefault="00002D76" w:rsidP="00002D76">
      <w:pPr>
        <w:widowControl w:val="0"/>
        <w:spacing w:before="4" w:after="0" w:line="240" w:lineRule="auto"/>
        <w:rPr>
          <w:rFonts w:ascii="Calibri" w:hAnsi="Calibri" w:cs="Calibri"/>
          <w:sz w:val="14"/>
          <w:szCs w:val="14"/>
        </w:rPr>
      </w:pPr>
    </w:p>
    <w:p w14:paraId="66DCAC4B" w14:textId="77777777" w:rsidR="00002D76" w:rsidRPr="00EA7458" w:rsidRDefault="00002D76" w:rsidP="00D63204">
      <w:pPr>
        <w:widowControl w:val="0"/>
        <w:spacing w:before="57" w:after="0" w:line="266" w:lineRule="exact"/>
        <w:ind w:left="468" w:right="468"/>
        <w:outlineLvl w:val="2"/>
        <w:rPr>
          <w:rFonts w:ascii="Calibri" w:hAnsi="Calibri"/>
        </w:rPr>
      </w:pPr>
      <w:bookmarkStart w:id="34" w:name="_bookmark22"/>
      <w:bookmarkEnd w:id="34"/>
      <w:r w:rsidRPr="00EA7458">
        <w:rPr>
          <w:rFonts w:ascii="Calibri" w:hAnsi="Calibri"/>
          <w:b/>
          <w:bCs/>
          <w:w w:val="115"/>
        </w:rPr>
        <w:t>Figure</w:t>
      </w:r>
      <w:r w:rsidRPr="00EA7458">
        <w:rPr>
          <w:rFonts w:ascii="Calibri" w:hAnsi="Calibri"/>
          <w:b/>
          <w:bCs/>
          <w:spacing w:val="-15"/>
          <w:w w:val="115"/>
        </w:rPr>
        <w:t xml:space="preserve"> </w:t>
      </w:r>
      <w:r w:rsidRPr="00EA7458">
        <w:rPr>
          <w:rFonts w:ascii="Calibri" w:hAnsi="Calibri"/>
          <w:b/>
          <w:bCs/>
          <w:w w:val="115"/>
        </w:rPr>
        <w:t>2.22</w:t>
      </w:r>
    </w:p>
    <w:p w14:paraId="3ACA9901" w14:textId="77777777" w:rsidR="00002D76" w:rsidRPr="00EA7458" w:rsidRDefault="00002D76" w:rsidP="00D63204">
      <w:pPr>
        <w:widowControl w:val="0"/>
        <w:spacing w:after="0" w:line="266" w:lineRule="exact"/>
        <w:ind w:left="468" w:right="468"/>
        <w:rPr>
          <w:rFonts w:ascii="Calibri" w:hAnsi="Calibri" w:cs="Calibri"/>
        </w:rPr>
      </w:pPr>
      <w:r w:rsidRPr="00EA7458">
        <w:rPr>
          <w:rFonts w:ascii="Calibri" w:hAnsi="Calibri"/>
          <w:b/>
          <w:color w:val="231F20"/>
          <w:w w:val="110"/>
        </w:rPr>
        <w:t>Occupations Gaining the Most New Jobs in</w:t>
      </w:r>
      <w:r w:rsidRPr="00EA7458">
        <w:rPr>
          <w:rFonts w:ascii="Calibri" w:hAnsi="Calibri"/>
          <w:b/>
          <w:color w:val="231F20"/>
          <w:spacing w:val="-14"/>
          <w:w w:val="110"/>
        </w:rPr>
        <w:t xml:space="preserve"> </w:t>
      </w:r>
      <w:r w:rsidRPr="00EA7458">
        <w:rPr>
          <w:rFonts w:ascii="Calibri" w:hAnsi="Calibri"/>
          <w:b/>
          <w:color w:val="231F20"/>
          <w:w w:val="110"/>
        </w:rPr>
        <w:t>Florida</w:t>
      </w:r>
    </w:p>
    <w:p w14:paraId="095C9A73" w14:textId="77777777" w:rsidR="00002D76" w:rsidRPr="00EA7458" w:rsidRDefault="00002D76" w:rsidP="00002D76">
      <w:pPr>
        <w:widowControl w:val="0"/>
        <w:spacing w:before="1" w:after="0" w:line="240" w:lineRule="auto"/>
        <w:rPr>
          <w:rFonts w:ascii="Calibri" w:hAnsi="Calibri" w:cs="Calibri"/>
          <w:b/>
          <w:bCs/>
          <w:sz w:val="18"/>
          <w:szCs w:val="18"/>
        </w:rPr>
      </w:pPr>
    </w:p>
    <w:tbl>
      <w:tblPr>
        <w:tblW w:w="0" w:type="auto"/>
        <w:tblLook w:val="04A0" w:firstRow="1" w:lastRow="0" w:firstColumn="1" w:lastColumn="0" w:noHBand="0" w:noVBand="1"/>
      </w:tblPr>
      <w:tblGrid>
        <w:gridCol w:w="590"/>
        <w:gridCol w:w="764"/>
        <w:gridCol w:w="2680"/>
        <w:gridCol w:w="1336"/>
        <w:gridCol w:w="1336"/>
        <w:gridCol w:w="1207"/>
        <w:gridCol w:w="1304"/>
        <w:gridCol w:w="1213"/>
      </w:tblGrid>
      <w:tr w:rsidR="00002D76" w:rsidRPr="00AE4B9D" w14:paraId="5989421B" w14:textId="77777777" w:rsidTr="001429C7">
        <w:trPr>
          <w:trHeight w:val="480"/>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409DF483" w14:textId="77777777" w:rsidR="00002D76" w:rsidRPr="00AE4B9D" w:rsidRDefault="00002D76" w:rsidP="00D63204">
            <w:pPr>
              <w:spacing w:after="0" w:line="240" w:lineRule="auto"/>
              <w:rPr>
                <w:rFonts w:ascii="Calibri" w:hAnsi="Calibri"/>
                <w:b/>
                <w:bCs/>
                <w:color w:val="000000"/>
                <w:sz w:val="18"/>
                <w:szCs w:val="18"/>
              </w:rPr>
            </w:pPr>
            <w:r w:rsidRPr="00AE4B9D">
              <w:rPr>
                <w:rFonts w:ascii="Calibri" w:hAnsi="Calibri"/>
                <w:b/>
                <w:bCs/>
                <w:color w:val="000000"/>
                <w:sz w:val="18"/>
                <w:szCs w:val="18"/>
              </w:rPr>
              <w:t>Rank</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06BA0B0D" w14:textId="77777777" w:rsidR="00002D76" w:rsidRPr="00AE4B9D" w:rsidRDefault="00002D76" w:rsidP="00D63204">
            <w:pPr>
              <w:spacing w:after="0" w:line="240" w:lineRule="auto"/>
              <w:rPr>
                <w:rFonts w:ascii="Calibri" w:hAnsi="Calibri"/>
                <w:b/>
                <w:bCs/>
                <w:color w:val="000000"/>
                <w:sz w:val="18"/>
                <w:szCs w:val="18"/>
              </w:rPr>
            </w:pPr>
            <w:r w:rsidRPr="00AE4B9D">
              <w:rPr>
                <w:rFonts w:ascii="Calibri" w:hAnsi="Calibri"/>
                <w:b/>
                <w:bCs/>
                <w:color w:val="000000"/>
                <w:sz w:val="18"/>
                <w:szCs w:val="18"/>
              </w:rPr>
              <w:t>Code</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2A46B3D0" w14:textId="77777777" w:rsidR="00002D76" w:rsidRPr="00AE4B9D" w:rsidRDefault="00002D76" w:rsidP="004D6183">
            <w:pPr>
              <w:spacing w:after="0" w:line="240" w:lineRule="auto"/>
              <w:rPr>
                <w:rFonts w:ascii="Calibri" w:hAnsi="Calibri"/>
                <w:b/>
                <w:bCs/>
                <w:color w:val="000000"/>
                <w:sz w:val="18"/>
                <w:szCs w:val="18"/>
              </w:rPr>
            </w:pPr>
            <w:r w:rsidRPr="00AE4B9D">
              <w:rPr>
                <w:rFonts w:ascii="Calibri" w:hAnsi="Calibri"/>
                <w:b/>
                <w:bCs/>
                <w:color w:val="000000"/>
                <w:sz w:val="18"/>
                <w:szCs w:val="18"/>
              </w:rPr>
              <w:t>Occupation</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756CEDFA" w14:textId="77777777" w:rsidR="00002D76" w:rsidRPr="00AE4B9D" w:rsidRDefault="00002D76" w:rsidP="00D63204">
            <w:pPr>
              <w:spacing w:after="0" w:line="240" w:lineRule="auto"/>
              <w:rPr>
                <w:rFonts w:ascii="Calibri" w:hAnsi="Calibri"/>
                <w:b/>
                <w:bCs/>
                <w:color w:val="231F20"/>
                <w:sz w:val="18"/>
                <w:szCs w:val="18"/>
              </w:rPr>
            </w:pPr>
            <w:r w:rsidRPr="00AE4B9D">
              <w:rPr>
                <w:rFonts w:ascii="Calibri" w:hAnsi="Calibri"/>
                <w:b/>
                <w:bCs/>
                <w:color w:val="231F20"/>
                <w:sz w:val="18"/>
                <w:szCs w:val="18"/>
              </w:rPr>
              <w:t>2017 Employment</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6EF29198" w14:textId="77777777" w:rsidR="00002D76" w:rsidRPr="00AE4B9D" w:rsidRDefault="00002D76" w:rsidP="00D63204">
            <w:pPr>
              <w:spacing w:after="0" w:line="240" w:lineRule="auto"/>
              <w:rPr>
                <w:rFonts w:ascii="Calibri" w:hAnsi="Calibri"/>
                <w:b/>
                <w:bCs/>
                <w:color w:val="231F20"/>
                <w:sz w:val="18"/>
                <w:szCs w:val="18"/>
              </w:rPr>
            </w:pPr>
            <w:r w:rsidRPr="00AE4B9D">
              <w:rPr>
                <w:rFonts w:ascii="Calibri" w:hAnsi="Calibri"/>
                <w:b/>
                <w:bCs/>
                <w:color w:val="231F20"/>
                <w:sz w:val="18"/>
                <w:szCs w:val="18"/>
              </w:rPr>
              <w:t>2025 Employment</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6AC86522" w14:textId="77777777" w:rsidR="00002D76" w:rsidRPr="00AE4B9D" w:rsidRDefault="00002D76" w:rsidP="00D63204">
            <w:pPr>
              <w:spacing w:after="0" w:line="240" w:lineRule="auto"/>
              <w:rPr>
                <w:rFonts w:ascii="Calibri" w:hAnsi="Calibri"/>
                <w:b/>
                <w:bCs/>
                <w:color w:val="231F20"/>
                <w:sz w:val="18"/>
                <w:szCs w:val="18"/>
              </w:rPr>
            </w:pPr>
            <w:r w:rsidRPr="00AE4B9D">
              <w:rPr>
                <w:rFonts w:ascii="Calibri" w:hAnsi="Calibri"/>
                <w:b/>
                <w:bCs/>
                <w:color w:val="231F20"/>
                <w:sz w:val="18"/>
                <w:szCs w:val="18"/>
              </w:rPr>
              <w:t>2017-25 Level Change</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24DCBF5E" w14:textId="77777777" w:rsidR="00002D76" w:rsidRPr="00AE4B9D" w:rsidRDefault="00002D76" w:rsidP="00D63204">
            <w:pPr>
              <w:spacing w:after="0" w:line="240" w:lineRule="auto"/>
              <w:rPr>
                <w:rFonts w:ascii="Calibri" w:hAnsi="Calibri"/>
                <w:b/>
                <w:bCs/>
                <w:color w:val="231F20"/>
                <w:sz w:val="18"/>
                <w:szCs w:val="18"/>
              </w:rPr>
            </w:pPr>
            <w:r w:rsidRPr="00AE4B9D">
              <w:rPr>
                <w:rFonts w:ascii="Calibri" w:hAnsi="Calibri"/>
                <w:b/>
                <w:bCs/>
                <w:color w:val="231F20"/>
                <w:sz w:val="18"/>
                <w:szCs w:val="18"/>
              </w:rPr>
              <w:t>2017-25 Percent Growth</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43A62FEC" w14:textId="77777777" w:rsidR="00002D76" w:rsidRPr="00AE4B9D" w:rsidRDefault="00002D76" w:rsidP="00D63204">
            <w:pPr>
              <w:spacing w:after="0" w:line="240" w:lineRule="auto"/>
              <w:rPr>
                <w:rFonts w:ascii="Calibri" w:hAnsi="Calibri"/>
                <w:b/>
                <w:bCs/>
                <w:color w:val="231F20"/>
                <w:sz w:val="18"/>
                <w:szCs w:val="18"/>
              </w:rPr>
            </w:pPr>
            <w:r w:rsidRPr="00AE4B9D">
              <w:rPr>
                <w:rFonts w:ascii="Calibri" w:hAnsi="Calibri"/>
                <w:b/>
                <w:bCs/>
                <w:color w:val="231F20"/>
                <w:sz w:val="18"/>
                <w:szCs w:val="18"/>
              </w:rPr>
              <w:t>Total Job Openings</w:t>
            </w:r>
          </w:p>
        </w:tc>
      </w:tr>
      <w:tr w:rsidR="00002D76" w:rsidRPr="00AE4B9D" w14:paraId="469D0102" w14:textId="77777777" w:rsidTr="001429C7">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1B9E9B1" w14:textId="77777777" w:rsidR="00002D76" w:rsidRPr="00AE4B9D" w:rsidRDefault="00002D76" w:rsidP="00D63204">
            <w:pPr>
              <w:spacing w:after="0" w:line="240" w:lineRule="auto"/>
              <w:rPr>
                <w:rFonts w:ascii="Calibri" w:hAnsi="Calibri"/>
                <w:color w:val="231F20"/>
                <w:sz w:val="18"/>
                <w:szCs w:val="18"/>
              </w:rPr>
            </w:pPr>
            <w:r w:rsidRPr="00AE4B9D">
              <w:rPr>
                <w:rFonts w:ascii="Calibri" w:hAnsi="Calibri"/>
                <w:color w:val="231F20"/>
                <w:sz w:val="18"/>
                <w:szCs w:val="18"/>
              </w:rPr>
              <w:t>1</w:t>
            </w:r>
          </w:p>
        </w:tc>
        <w:tc>
          <w:tcPr>
            <w:tcW w:w="0" w:type="auto"/>
            <w:tcBorders>
              <w:top w:val="nil"/>
              <w:left w:val="nil"/>
              <w:bottom w:val="single" w:sz="4" w:space="0" w:color="auto"/>
              <w:right w:val="single" w:sz="4" w:space="0" w:color="auto"/>
            </w:tcBorders>
            <w:shd w:val="clear" w:color="auto" w:fill="auto"/>
            <w:vAlign w:val="center"/>
            <w:hideMark/>
          </w:tcPr>
          <w:p w14:paraId="5446E3A5" w14:textId="77777777" w:rsidR="00002D76" w:rsidRPr="00AE4B9D" w:rsidRDefault="00002D76" w:rsidP="00D63204">
            <w:pPr>
              <w:spacing w:after="0" w:line="240" w:lineRule="auto"/>
              <w:rPr>
                <w:rFonts w:ascii="Calibri" w:hAnsi="Calibri"/>
                <w:color w:val="231F20"/>
                <w:sz w:val="18"/>
                <w:szCs w:val="18"/>
              </w:rPr>
            </w:pPr>
            <w:r w:rsidRPr="00AE4B9D">
              <w:rPr>
                <w:rFonts w:ascii="Calibri" w:hAnsi="Calibri"/>
                <w:color w:val="231F20"/>
                <w:sz w:val="18"/>
                <w:szCs w:val="18"/>
              </w:rPr>
              <w:t>412031</w:t>
            </w:r>
          </w:p>
        </w:tc>
        <w:tc>
          <w:tcPr>
            <w:tcW w:w="0" w:type="auto"/>
            <w:tcBorders>
              <w:top w:val="nil"/>
              <w:left w:val="nil"/>
              <w:bottom w:val="single" w:sz="4" w:space="0" w:color="auto"/>
              <w:right w:val="single" w:sz="4" w:space="0" w:color="auto"/>
            </w:tcBorders>
            <w:shd w:val="clear" w:color="auto" w:fill="auto"/>
            <w:vAlign w:val="center"/>
            <w:hideMark/>
          </w:tcPr>
          <w:p w14:paraId="3E982190" w14:textId="77777777" w:rsidR="00002D76" w:rsidRPr="00AE4B9D" w:rsidRDefault="00002D76" w:rsidP="004D6183">
            <w:pPr>
              <w:spacing w:after="0" w:line="240" w:lineRule="auto"/>
              <w:rPr>
                <w:rFonts w:ascii="Calibri" w:hAnsi="Calibri"/>
                <w:color w:val="231F20"/>
                <w:sz w:val="18"/>
                <w:szCs w:val="18"/>
              </w:rPr>
            </w:pPr>
            <w:r w:rsidRPr="00AE4B9D">
              <w:rPr>
                <w:rFonts w:ascii="Calibri" w:hAnsi="Calibri"/>
                <w:color w:val="231F20"/>
                <w:sz w:val="18"/>
                <w:szCs w:val="18"/>
              </w:rPr>
              <w:t>Retail Salespersons</w:t>
            </w:r>
          </w:p>
        </w:tc>
        <w:tc>
          <w:tcPr>
            <w:tcW w:w="0" w:type="auto"/>
            <w:tcBorders>
              <w:top w:val="nil"/>
              <w:left w:val="nil"/>
              <w:bottom w:val="single" w:sz="4" w:space="0" w:color="auto"/>
              <w:right w:val="single" w:sz="4" w:space="0" w:color="auto"/>
            </w:tcBorders>
            <w:shd w:val="clear" w:color="auto" w:fill="auto"/>
            <w:vAlign w:val="center"/>
            <w:hideMark/>
          </w:tcPr>
          <w:p w14:paraId="6D4C5C03" w14:textId="77777777" w:rsidR="00002D76" w:rsidRPr="00AE4B9D" w:rsidRDefault="00002D76" w:rsidP="00D63204">
            <w:pPr>
              <w:spacing w:after="0" w:line="240" w:lineRule="auto"/>
              <w:rPr>
                <w:rFonts w:ascii="Calibri" w:hAnsi="Calibri"/>
                <w:color w:val="231F20"/>
                <w:sz w:val="18"/>
                <w:szCs w:val="18"/>
              </w:rPr>
            </w:pPr>
            <w:r w:rsidRPr="00AE4B9D">
              <w:rPr>
                <w:rFonts w:ascii="Calibri" w:hAnsi="Calibri"/>
                <w:color w:val="231F20"/>
                <w:sz w:val="18"/>
                <w:szCs w:val="18"/>
              </w:rPr>
              <w:t>351,545</w:t>
            </w:r>
          </w:p>
        </w:tc>
        <w:tc>
          <w:tcPr>
            <w:tcW w:w="0" w:type="auto"/>
            <w:tcBorders>
              <w:top w:val="nil"/>
              <w:left w:val="nil"/>
              <w:bottom w:val="single" w:sz="4" w:space="0" w:color="auto"/>
              <w:right w:val="single" w:sz="4" w:space="0" w:color="auto"/>
            </w:tcBorders>
            <w:shd w:val="clear" w:color="auto" w:fill="auto"/>
            <w:vAlign w:val="center"/>
            <w:hideMark/>
          </w:tcPr>
          <w:p w14:paraId="2572E2F7" w14:textId="77777777" w:rsidR="00002D76" w:rsidRPr="00AE4B9D" w:rsidRDefault="00002D76" w:rsidP="00D63204">
            <w:pPr>
              <w:spacing w:after="0" w:line="240" w:lineRule="auto"/>
              <w:rPr>
                <w:rFonts w:ascii="Calibri" w:hAnsi="Calibri"/>
                <w:color w:val="231F20"/>
                <w:sz w:val="18"/>
                <w:szCs w:val="18"/>
              </w:rPr>
            </w:pPr>
            <w:r w:rsidRPr="00AE4B9D">
              <w:rPr>
                <w:rFonts w:ascii="Calibri" w:hAnsi="Calibri"/>
                <w:color w:val="231F20"/>
                <w:sz w:val="18"/>
                <w:szCs w:val="18"/>
              </w:rPr>
              <w:t>397,545</w:t>
            </w:r>
          </w:p>
        </w:tc>
        <w:tc>
          <w:tcPr>
            <w:tcW w:w="0" w:type="auto"/>
            <w:tcBorders>
              <w:top w:val="nil"/>
              <w:left w:val="nil"/>
              <w:bottom w:val="single" w:sz="4" w:space="0" w:color="auto"/>
              <w:right w:val="single" w:sz="4" w:space="0" w:color="auto"/>
            </w:tcBorders>
            <w:shd w:val="clear" w:color="auto" w:fill="auto"/>
            <w:vAlign w:val="center"/>
            <w:hideMark/>
          </w:tcPr>
          <w:p w14:paraId="4379EB95" w14:textId="77777777" w:rsidR="00002D76" w:rsidRPr="00AE4B9D" w:rsidRDefault="00002D76" w:rsidP="00D63204">
            <w:pPr>
              <w:spacing w:after="0" w:line="240" w:lineRule="auto"/>
              <w:rPr>
                <w:rFonts w:ascii="Calibri" w:hAnsi="Calibri"/>
                <w:color w:val="231F20"/>
                <w:sz w:val="18"/>
                <w:szCs w:val="18"/>
              </w:rPr>
            </w:pPr>
            <w:r w:rsidRPr="00AE4B9D">
              <w:rPr>
                <w:rFonts w:ascii="Calibri" w:hAnsi="Calibri"/>
                <w:color w:val="231F20"/>
                <w:sz w:val="18"/>
                <w:szCs w:val="18"/>
              </w:rPr>
              <w:t>46,000</w:t>
            </w:r>
          </w:p>
        </w:tc>
        <w:tc>
          <w:tcPr>
            <w:tcW w:w="0" w:type="auto"/>
            <w:tcBorders>
              <w:top w:val="nil"/>
              <w:left w:val="nil"/>
              <w:bottom w:val="single" w:sz="4" w:space="0" w:color="auto"/>
              <w:right w:val="single" w:sz="4" w:space="0" w:color="auto"/>
            </w:tcBorders>
            <w:shd w:val="clear" w:color="auto" w:fill="auto"/>
            <w:vAlign w:val="center"/>
            <w:hideMark/>
          </w:tcPr>
          <w:p w14:paraId="374F8267" w14:textId="77777777" w:rsidR="00002D76" w:rsidRPr="00AE4B9D" w:rsidRDefault="00002D76" w:rsidP="00D63204">
            <w:pPr>
              <w:spacing w:after="0" w:line="240" w:lineRule="auto"/>
              <w:rPr>
                <w:rFonts w:ascii="Calibri" w:hAnsi="Calibri"/>
                <w:color w:val="231F20"/>
                <w:sz w:val="18"/>
                <w:szCs w:val="18"/>
              </w:rPr>
            </w:pPr>
            <w:r w:rsidRPr="00AE4B9D">
              <w:rPr>
                <w:rFonts w:ascii="Calibri" w:hAnsi="Calibri"/>
                <w:color w:val="231F20"/>
                <w:sz w:val="18"/>
                <w:szCs w:val="18"/>
              </w:rPr>
              <w:t>13.09</w:t>
            </w:r>
          </w:p>
        </w:tc>
        <w:tc>
          <w:tcPr>
            <w:tcW w:w="0" w:type="auto"/>
            <w:tcBorders>
              <w:top w:val="nil"/>
              <w:left w:val="nil"/>
              <w:bottom w:val="single" w:sz="4" w:space="0" w:color="auto"/>
              <w:right w:val="single" w:sz="4" w:space="0" w:color="auto"/>
            </w:tcBorders>
            <w:shd w:val="clear" w:color="auto" w:fill="auto"/>
            <w:vAlign w:val="center"/>
            <w:hideMark/>
          </w:tcPr>
          <w:p w14:paraId="004A8A01" w14:textId="77777777" w:rsidR="00002D76" w:rsidRPr="00AE4B9D" w:rsidRDefault="00002D76" w:rsidP="00D63204">
            <w:pPr>
              <w:spacing w:after="0" w:line="240" w:lineRule="auto"/>
              <w:rPr>
                <w:rFonts w:ascii="Calibri" w:hAnsi="Calibri"/>
                <w:color w:val="231F20"/>
                <w:sz w:val="18"/>
                <w:szCs w:val="18"/>
              </w:rPr>
            </w:pPr>
            <w:r w:rsidRPr="00AE4B9D">
              <w:rPr>
                <w:rFonts w:ascii="Calibri" w:hAnsi="Calibri"/>
                <w:color w:val="231F20"/>
                <w:sz w:val="18"/>
                <w:szCs w:val="18"/>
              </w:rPr>
              <w:t>482,959</w:t>
            </w:r>
          </w:p>
        </w:tc>
      </w:tr>
      <w:tr w:rsidR="00002D76" w:rsidRPr="00AE4B9D" w14:paraId="2F3005AE" w14:textId="77777777" w:rsidTr="001429C7">
        <w:trPr>
          <w:trHeight w:val="720"/>
        </w:trPr>
        <w:tc>
          <w:tcPr>
            <w:tcW w:w="0" w:type="auto"/>
            <w:tcBorders>
              <w:top w:val="nil"/>
              <w:left w:val="single" w:sz="4" w:space="0" w:color="auto"/>
              <w:bottom w:val="single" w:sz="4" w:space="0" w:color="auto"/>
              <w:right w:val="single" w:sz="4" w:space="0" w:color="auto"/>
            </w:tcBorders>
            <w:shd w:val="clear" w:color="000000" w:fill="D1D3D4"/>
            <w:vAlign w:val="center"/>
            <w:hideMark/>
          </w:tcPr>
          <w:p w14:paraId="103C8FDC" w14:textId="77777777" w:rsidR="00002D76" w:rsidRPr="00AE4B9D" w:rsidRDefault="00002D76" w:rsidP="00D63204">
            <w:pPr>
              <w:spacing w:after="0" w:line="240" w:lineRule="auto"/>
              <w:rPr>
                <w:rFonts w:ascii="Calibri" w:hAnsi="Calibri"/>
                <w:color w:val="231F20"/>
                <w:sz w:val="18"/>
                <w:szCs w:val="18"/>
              </w:rPr>
            </w:pPr>
            <w:r w:rsidRPr="00AE4B9D">
              <w:rPr>
                <w:rFonts w:ascii="Calibri" w:hAnsi="Calibri"/>
                <w:color w:val="231F20"/>
                <w:sz w:val="18"/>
                <w:szCs w:val="18"/>
              </w:rPr>
              <w:t>2</w:t>
            </w:r>
          </w:p>
        </w:tc>
        <w:tc>
          <w:tcPr>
            <w:tcW w:w="0" w:type="auto"/>
            <w:tcBorders>
              <w:top w:val="nil"/>
              <w:left w:val="nil"/>
              <w:bottom w:val="single" w:sz="4" w:space="0" w:color="auto"/>
              <w:right w:val="single" w:sz="4" w:space="0" w:color="auto"/>
            </w:tcBorders>
            <w:shd w:val="clear" w:color="000000" w:fill="D1D3D4"/>
            <w:vAlign w:val="center"/>
            <w:hideMark/>
          </w:tcPr>
          <w:p w14:paraId="7E679C85" w14:textId="77777777" w:rsidR="00002D76" w:rsidRPr="00AE4B9D" w:rsidRDefault="00002D76" w:rsidP="00D63204">
            <w:pPr>
              <w:spacing w:after="0" w:line="240" w:lineRule="auto"/>
              <w:rPr>
                <w:rFonts w:ascii="Calibri" w:hAnsi="Calibri"/>
                <w:color w:val="231F20"/>
                <w:sz w:val="18"/>
                <w:szCs w:val="18"/>
              </w:rPr>
            </w:pPr>
            <w:r w:rsidRPr="00AE4B9D">
              <w:rPr>
                <w:rFonts w:ascii="Calibri" w:hAnsi="Calibri"/>
                <w:color w:val="231F20"/>
                <w:sz w:val="18"/>
                <w:szCs w:val="18"/>
              </w:rPr>
              <w:t>353021</w:t>
            </w:r>
          </w:p>
        </w:tc>
        <w:tc>
          <w:tcPr>
            <w:tcW w:w="0" w:type="auto"/>
            <w:tcBorders>
              <w:top w:val="nil"/>
              <w:left w:val="nil"/>
              <w:bottom w:val="single" w:sz="4" w:space="0" w:color="auto"/>
              <w:right w:val="single" w:sz="4" w:space="0" w:color="auto"/>
            </w:tcBorders>
            <w:shd w:val="clear" w:color="000000" w:fill="D1D3D4"/>
            <w:vAlign w:val="center"/>
            <w:hideMark/>
          </w:tcPr>
          <w:p w14:paraId="67ECA3F5" w14:textId="77777777" w:rsidR="00002D76" w:rsidRPr="00AE4B9D" w:rsidRDefault="00002D76" w:rsidP="004D6183">
            <w:pPr>
              <w:spacing w:after="0" w:line="240" w:lineRule="auto"/>
              <w:rPr>
                <w:rFonts w:ascii="Calibri" w:hAnsi="Calibri"/>
                <w:color w:val="231F20"/>
                <w:sz w:val="18"/>
                <w:szCs w:val="18"/>
              </w:rPr>
            </w:pPr>
            <w:r w:rsidRPr="00AE4B9D">
              <w:rPr>
                <w:rFonts w:ascii="Calibri" w:hAnsi="Calibri"/>
                <w:color w:val="231F20"/>
                <w:sz w:val="18"/>
                <w:szCs w:val="18"/>
              </w:rPr>
              <w:t>Combined Food Prep. and Serving Workers, Inc. Fast Food</w:t>
            </w:r>
          </w:p>
        </w:tc>
        <w:tc>
          <w:tcPr>
            <w:tcW w:w="0" w:type="auto"/>
            <w:tcBorders>
              <w:top w:val="nil"/>
              <w:left w:val="nil"/>
              <w:bottom w:val="single" w:sz="4" w:space="0" w:color="auto"/>
              <w:right w:val="single" w:sz="4" w:space="0" w:color="auto"/>
            </w:tcBorders>
            <w:shd w:val="clear" w:color="000000" w:fill="D1D3D4"/>
            <w:vAlign w:val="center"/>
            <w:hideMark/>
          </w:tcPr>
          <w:p w14:paraId="7C5AE1C4" w14:textId="77777777" w:rsidR="00002D76" w:rsidRPr="00AE4B9D" w:rsidRDefault="00002D76" w:rsidP="00D63204">
            <w:pPr>
              <w:spacing w:after="0" w:line="240" w:lineRule="auto"/>
              <w:rPr>
                <w:rFonts w:ascii="Calibri" w:hAnsi="Calibri"/>
                <w:color w:val="231F20"/>
                <w:sz w:val="18"/>
                <w:szCs w:val="18"/>
              </w:rPr>
            </w:pPr>
            <w:r w:rsidRPr="00AE4B9D">
              <w:rPr>
                <w:rFonts w:ascii="Calibri" w:hAnsi="Calibri"/>
                <w:color w:val="231F20"/>
                <w:sz w:val="18"/>
                <w:szCs w:val="18"/>
              </w:rPr>
              <w:t>238,814</w:t>
            </w:r>
          </w:p>
        </w:tc>
        <w:tc>
          <w:tcPr>
            <w:tcW w:w="0" w:type="auto"/>
            <w:tcBorders>
              <w:top w:val="nil"/>
              <w:left w:val="nil"/>
              <w:bottom w:val="single" w:sz="4" w:space="0" w:color="auto"/>
              <w:right w:val="single" w:sz="4" w:space="0" w:color="auto"/>
            </w:tcBorders>
            <w:shd w:val="clear" w:color="000000" w:fill="D1D3D4"/>
            <w:vAlign w:val="center"/>
            <w:hideMark/>
          </w:tcPr>
          <w:p w14:paraId="45940E65" w14:textId="77777777" w:rsidR="00002D76" w:rsidRPr="00AE4B9D" w:rsidRDefault="00002D76" w:rsidP="00D63204">
            <w:pPr>
              <w:spacing w:after="0" w:line="240" w:lineRule="auto"/>
              <w:rPr>
                <w:rFonts w:ascii="Calibri" w:hAnsi="Calibri"/>
                <w:color w:val="231F20"/>
                <w:sz w:val="18"/>
                <w:szCs w:val="18"/>
              </w:rPr>
            </w:pPr>
            <w:r w:rsidRPr="00AE4B9D">
              <w:rPr>
                <w:rFonts w:ascii="Calibri" w:hAnsi="Calibri"/>
                <w:color w:val="231F20"/>
                <w:sz w:val="18"/>
                <w:szCs w:val="18"/>
              </w:rPr>
              <w:t>277,504</w:t>
            </w:r>
          </w:p>
        </w:tc>
        <w:tc>
          <w:tcPr>
            <w:tcW w:w="0" w:type="auto"/>
            <w:tcBorders>
              <w:top w:val="nil"/>
              <w:left w:val="nil"/>
              <w:bottom w:val="single" w:sz="4" w:space="0" w:color="auto"/>
              <w:right w:val="single" w:sz="4" w:space="0" w:color="auto"/>
            </w:tcBorders>
            <w:shd w:val="clear" w:color="000000" w:fill="D1D3D4"/>
            <w:vAlign w:val="center"/>
            <w:hideMark/>
          </w:tcPr>
          <w:p w14:paraId="5BF90BA3" w14:textId="77777777" w:rsidR="00002D76" w:rsidRPr="00AE4B9D" w:rsidRDefault="00002D76" w:rsidP="00D63204">
            <w:pPr>
              <w:spacing w:after="0" w:line="240" w:lineRule="auto"/>
              <w:rPr>
                <w:rFonts w:ascii="Calibri" w:hAnsi="Calibri"/>
                <w:color w:val="231F20"/>
                <w:sz w:val="18"/>
                <w:szCs w:val="18"/>
              </w:rPr>
            </w:pPr>
            <w:r w:rsidRPr="00AE4B9D">
              <w:rPr>
                <w:rFonts w:ascii="Calibri" w:hAnsi="Calibri"/>
                <w:color w:val="231F20"/>
                <w:sz w:val="18"/>
                <w:szCs w:val="18"/>
              </w:rPr>
              <w:t>38,690</w:t>
            </w:r>
          </w:p>
        </w:tc>
        <w:tc>
          <w:tcPr>
            <w:tcW w:w="0" w:type="auto"/>
            <w:tcBorders>
              <w:top w:val="nil"/>
              <w:left w:val="nil"/>
              <w:bottom w:val="single" w:sz="4" w:space="0" w:color="auto"/>
              <w:right w:val="single" w:sz="4" w:space="0" w:color="auto"/>
            </w:tcBorders>
            <w:shd w:val="clear" w:color="000000" w:fill="D1D3D4"/>
            <w:vAlign w:val="center"/>
            <w:hideMark/>
          </w:tcPr>
          <w:p w14:paraId="7C4048F9" w14:textId="77777777" w:rsidR="00002D76" w:rsidRPr="00AE4B9D" w:rsidRDefault="00002D76" w:rsidP="00D63204">
            <w:pPr>
              <w:spacing w:after="0" w:line="240" w:lineRule="auto"/>
              <w:rPr>
                <w:rFonts w:ascii="Calibri" w:hAnsi="Calibri"/>
                <w:color w:val="231F20"/>
                <w:sz w:val="18"/>
                <w:szCs w:val="18"/>
              </w:rPr>
            </w:pPr>
            <w:r w:rsidRPr="00AE4B9D">
              <w:rPr>
                <w:rFonts w:ascii="Calibri" w:hAnsi="Calibri"/>
                <w:color w:val="231F20"/>
                <w:sz w:val="18"/>
                <w:szCs w:val="18"/>
              </w:rPr>
              <w:t>16.2</w:t>
            </w:r>
          </w:p>
        </w:tc>
        <w:tc>
          <w:tcPr>
            <w:tcW w:w="0" w:type="auto"/>
            <w:tcBorders>
              <w:top w:val="nil"/>
              <w:left w:val="nil"/>
              <w:bottom w:val="single" w:sz="4" w:space="0" w:color="auto"/>
              <w:right w:val="single" w:sz="4" w:space="0" w:color="auto"/>
            </w:tcBorders>
            <w:shd w:val="clear" w:color="000000" w:fill="D1D3D4"/>
            <w:vAlign w:val="center"/>
            <w:hideMark/>
          </w:tcPr>
          <w:p w14:paraId="493C73B7" w14:textId="77777777" w:rsidR="00002D76" w:rsidRPr="00AE4B9D" w:rsidRDefault="00002D76" w:rsidP="00D63204">
            <w:pPr>
              <w:spacing w:after="0" w:line="240" w:lineRule="auto"/>
              <w:rPr>
                <w:rFonts w:ascii="Calibri" w:hAnsi="Calibri"/>
                <w:color w:val="231F20"/>
                <w:sz w:val="18"/>
                <w:szCs w:val="18"/>
              </w:rPr>
            </w:pPr>
            <w:r w:rsidRPr="00AE4B9D">
              <w:rPr>
                <w:rFonts w:ascii="Calibri" w:hAnsi="Calibri"/>
                <w:color w:val="231F20"/>
                <w:sz w:val="18"/>
                <w:szCs w:val="18"/>
              </w:rPr>
              <w:t>417,337</w:t>
            </w:r>
          </w:p>
        </w:tc>
      </w:tr>
      <w:tr w:rsidR="00002D76" w:rsidRPr="00AE4B9D" w14:paraId="59BC931C" w14:textId="77777777" w:rsidTr="001429C7">
        <w:trPr>
          <w:trHeight w:val="48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056A1A7" w14:textId="77777777" w:rsidR="00002D76" w:rsidRPr="00AE4B9D" w:rsidRDefault="00002D76" w:rsidP="00D63204">
            <w:pPr>
              <w:spacing w:after="0" w:line="240" w:lineRule="auto"/>
              <w:rPr>
                <w:rFonts w:ascii="Calibri" w:hAnsi="Calibri"/>
                <w:color w:val="231F20"/>
                <w:sz w:val="18"/>
                <w:szCs w:val="18"/>
              </w:rPr>
            </w:pPr>
            <w:r w:rsidRPr="00AE4B9D">
              <w:rPr>
                <w:rFonts w:ascii="Calibri" w:hAnsi="Calibri"/>
                <w:color w:val="231F20"/>
                <w:sz w:val="18"/>
                <w:szCs w:val="18"/>
              </w:rPr>
              <w:t>3</w:t>
            </w:r>
          </w:p>
        </w:tc>
        <w:tc>
          <w:tcPr>
            <w:tcW w:w="0" w:type="auto"/>
            <w:tcBorders>
              <w:top w:val="nil"/>
              <w:left w:val="nil"/>
              <w:bottom w:val="single" w:sz="4" w:space="0" w:color="auto"/>
              <w:right w:val="single" w:sz="4" w:space="0" w:color="auto"/>
            </w:tcBorders>
            <w:shd w:val="clear" w:color="auto" w:fill="auto"/>
            <w:vAlign w:val="center"/>
            <w:hideMark/>
          </w:tcPr>
          <w:p w14:paraId="76845B68" w14:textId="77777777" w:rsidR="00002D76" w:rsidRPr="00AE4B9D" w:rsidRDefault="00002D76" w:rsidP="00D63204">
            <w:pPr>
              <w:spacing w:after="0" w:line="240" w:lineRule="auto"/>
              <w:rPr>
                <w:rFonts w:ascii="Calibri" w:hAnsi="Calibri"/>
                <w:color w:val="231F20"/>
                <w:sz w:val="18"/>
                <w:szCs w:val="18"/>
              </w:rPr>
            </w:pPr>
            <w:r w:rsidRPr="00AE4B9D">
              <w:rPr>
                <w:rFonts w:ascii="Calibri" w:hAnsi="Calibri"/>
                <w:color w:val="231F20"/>
                <w:sz w:val="18"/>
                <w:szCs w:val="18"/>
              </w:rPr>
              <w:t>434051</w:t>
            </w:r>
          </w:p>
        </w:tc>
        <w:tc>
          <w:tcPr>
            <w:tcW w:w="0" w:type="auto"/>
            <w:tcBorders>
              <w:top w:val="nil"/>
              <w:left w:val="nil"/>
              <w:bottom w:val="single" w:sz="4" w:space="0" w:color="auto"/>
              <w:right w:val="single" w:sz="4" w:space="0" w:color="auto"/>
            </w:tcBorders>
            <w:shd w:val="clear" w:color="auto" w:fill="auto"/>
            <w:vAlign w:val="center"/>
            <w:hideMark/>
          </w:tcPr>
          <w:p w14:paraId="4EB39985" w14:textId="77777777" w:rsidR="00002D76" w:rsidRPr="00AE4B9D" w:rsidRDefault="00002D76" w:rsidP="004D6183">
            <w:pPr>
              <w:spacing w:after="0" w:line="240" w:lineRule="auto"/>
              <w:rPr>
                <w:rFonts w:ascii="Calibri" w:hAnsi="Calibri"/>
                <w:color w:val="231F20"/>
                <w:sz w:val="18"/>
                <w:szCs w:val="18"/>
              </w:rPr>
            </w:pPr>
            <w:r w:rsidRPr="00AE4B9D">
              <w:rPr>
                <w:rFonts w:ascii="Calibri" w:hAnsi="Calibri"/>
                <w:color w:val="231F20"/>
                <w:sz w:val="18"/>
                <w:szCs w:val="18"/>
              </w:rPr>
              <w:t>Customer Service Representatives</w:t>
            </w:r>
          </w:p>
        </w:tc>
        <w:tc>
          <w:tcPr>
            <w:tcW w:w="0" w:type="auto"/>
            <w:tcBorders>
              <w:top w:val="nil"/>
              <w:left w:val="nil"/>
              <w:bottom w:val="single" w:sz="4" w:space="0" w:color="auto"/>
              <w:right w:val="single" w:sz="4" w:space="0" w:color="auto"/>
            </w:tcBorders>
            <w:shd w:val="clear" w:color="auto" w:fill="auto"/>
            <w:vAlign w:val="center"/>
            <w:hideMark/>
          </w:tcPr>
          <w:p w14:paraId="5B155D27" w14:textId="77777777" w:rsidR="00002D76" w:rsidRPr="00AE4B9D" w:rsidRDefault="00002D76" w:rsidP="00D63204">
            <w:pPr>
              <w:spacing w:after="0" w:line="240" w:lineRule="auto"/>
              <w:rPr>
                <w:rFonts w:ascii="Calibri" w:hAnsi="Calibri"/>
                <w:color w:val="231F20"/>
                <w:sz w:val="18"/>
                <w:szCs w:val="18"/>
              </w:rPr>
            </w:pPr>
            <w:r w:rsidRPr="00AE4B9D">
              <w:rPr>
                <w:rFonts w:ascii="Calibri" w:hAnsi="Calibri"/>
                <w:color w:val="231F20"/>
                <w:sz w:val="18"/>
                <w:szCs w:val="18"/>
              </w:rPr>
              <w:t>244,276</w:t>
            </w:r>
          </w:p>
        </w:tc>
        <w:tc>
          <w:tcPr>
            <w:tcW w:w="0" w:type="auto"/>
            <w:tcBorders>
              <w:top w:val="nil"/>
              <w:left w:val="nil"/>
              <w:bottom w:val="single" w:sz="4" w:space="0" w:color="auto"/>
              <w:right w:val="single" w:sz="4" w:space="0" w:color="auto"/>
            </w:tcBorders>
            <w:shd w:val="clear" w:color="auto" w:fill="auto"/>
            <w:vAlign w:val="center"/>
            <w:hideMark/>
          </w:tcPr>
          <w:p w14:paraId="5DA39934" w14:textId="77777777" w:rsidR="00002D76" w:rsidRPr="00AE4B9D" w:rsidRDefault="00002D76" w:rsidP="00D63204">
            <w:pPr>
              <w:spacing w:after="0" w:line="240" w:lineRule="auto"/>
              <w:rPr>
                <w:rFonts w:ascii="Calibri" w:hAnsi="Calibri"/>
                <w:color w:val="231F20"/>
                <w:sz w:val="18"/>
                <w:szCs w:val="18"/>
              </w:rPr>
            </w:pPr>
            <w:r w:rsidRPr="00AE4B9D">
              <w:rPr>
                <w:rFonts w:ascii="Calibri" w:hAnsi="Calibri"/>
                <w:color w:val="231F20"/>
                <w:sz w:val="18"/>
                <w:szCs w:val="18"/>
              </w:rPr>
              <w:t>278,142</w:t>
            </w:r>
          </w:p>
        </w:tc>
        <w:tc>
          <w:tcPr>
            <w:tcW w:w="0" w:type="auto"/>
            <w:tcBorders>
              <w:top w:val="nil"/>
              <w:left w:val="nil"/>
              <w:bottom w:val="single" w:sz="4" w:space="0" w:color="auto"/>
              <w:right w:val="single" w:sz="4" w:space="0" w:color="auto"/>
            </w:tcBorders>
            <w:shd w:val="clear" w:color="auto" w:fill="auto"/>
            <w:vAlign w:val="center"/>
            <w:hideMark/>
          </w:tcPr>
          <w:p w14:paraId="68393947" w14:textId="77777777" w:rsidR="00002D76" w:rsidRPr="00AE4B9D" w:rsidRDefault="00002D76" w:rsidP="00D63204">
            <w:pPr>
              <w:spacing w:after="0" w:line="240" w:lineRule="auto"/>
              <w:rPr>
                <w:rFonts w:ascii="Calibri" w:hAnsi="Calibri"/>
                <w:color w:val="231F20"/>
                <w:sz w:val="18"/>
                <w:szCs w:val="18"/>
              </w:rPr>
            </w:pPr>
            <w:r w:rsidRPr="00AE4B9D">
              <w:rPr>
                <w:rFonts w:ascii="Calibri" w:hAnsi="Calibri"/>
                <w:color w:val="231F20"/>
                <w:sz w:val="18"/>
                <w:szCs w:val="18"/>
              </w:rPr>
              <w:t>33,866</w:t>
            </w:r>
          </w:p>
        </w:tc>
        <w:tc>
          <w:tcPr>
            <w:tcW w:w="0" w:type="auto"/>
            <w:tcBorders>
              <w:top w:val="nil"/>
              <w:left w:val="nil"/>
              <w:bottom w:val="single" w:sz="4" w:space="0" w:color="auto"/>
              <w:right w:val="single" w:sz="4" w:space="0" w:color="auto"/>
            </w:tcBorders>
            <w:shd w:val="clear" w:color="auto" w:fill="auto"/>
            <w:vAlign w:val="center"/>
            <w:hideMark/>
          </w:tcPr>
          <w:p w14:paraId="76574D61" w14:textId="77777777" w:rsidR="00002D76" w:rsidRPr="00AE4B9D" w:rsidRDefault="00002D76" w:rsidP="00D63204">
            <w:pPr>
              <w:spacing w:after="0" w:line="240" w:lineRule="auto"/>
              <w:rPr>
                <w:rFonts w:ascii="Calibri" w:hAnsi="Calibri"/>
                <w:color w:val="231F20"/>
                <w:sz w:val="18"/>
                <w:szCs w:val="18"/>
              </w:rPr>
            </w:pPr>
            <w:r w:rsidRPr="00AE4B9D">
              <w:rPr>
                <w:rFonts w:ascii="Calibri" w:hAnsi="Calibri"/>
                <w:color w:val="231F20"/>
                <w:sz w:val="18"/>
                <w:szCs w:val="18"/>
              </w:rPr>
              <w:t>13.86</w:t>
            </w:r>
          </w:p>
        </w:tc>
        <w:tc>
          <w:tcPr>
            <w:tcW w:w="0" w:type="auto"/>
            <w:tcBorders>
              <w:top w:val="nil"/>
              <w:left w:val="nil"/>
              <w:bottom w:val="single" w:sz="4" w:space="0" w:color="auto"/>
              <w:right w:val="single" w:sz="4" w:space="0" w:color="auto"/>
            </w:tcBorders>
            <w:shd w:val="clear" w:color="auto" w:fill="auto"/>
            <w:vAlign w:val="center"/>
            <w:hideMark/>
          </w:tcPr>
          <w:p w14:paraId="0E40745C" w14:textId="77777777" w:rsidR="00002D76" w:rsidRPr="00AE4B9D" w:rsidRDefault="00002D76" w:rsidP="00D63204">
            <w:pPr>
              <w:spacing w:after="0" w:line="240" w:lineRule="auto"/>
              <w:rPr>
                <w:rFonts w:ascii="Calibri" w:hAnsi="Calibri"/>
                <w:color w:val="231F20"/>
                <w:sz w:val="18"/>
                <w:szCs w:val="18"/>
              </w:rPr>
            </w:pPr>
            <w:r w:rsidRPr="00AE4B9D">
              <w:rPr>
                <w:rFonts w:ascii="Calibri" w:hAnsi="Calibri"/>
                <w:color w:val="231F20"/>
                <w:sz w:val="18"/>
                <w:szCs w:val="18"/>
              </w:rPr>
              <w:t>289,913</w:t>
            </w:r>
          </w:p>
        </w:tc>
      </w:tr>
      <w:tr w:rsidR="00002D76" w:rsidRPr="00AE4B9D" w14:paraId="0BC954E1" w14:textId="77777777" w:rsidTr="001429C7">
        <w:trPr>
          <w:trHeight w:val="300"/>
        </w:trPr>
        <w:tc>
          <w:tcPr>
            <w:tcW w:w="0" w:type="auto"/>
            <w:tcBorders>
              <w:top w:val="nil"/>
              <w:left w:val="single" w:sz="4" w:space="0" w:color="auto"/>
              <w:bottom w:val="single" w:sz="4" w:space="0" w:color="auto"/>
              <w:right w:val="single" w:sz="4" w:space="0" w:color="auto"/>
            </w:tcBorders>
            <w:shd w:val="clear" w:color="000000" w:fill="D1D3D4"/>
            <w:vAlign w:val="center"/>
            <w:hideMark/>
          </w:tcPr>
          <w:p w14:paraId="32648106" w14:textId="77777777" w:rsidR="00002D76" w:rsidRPr="00AE4B9D" w:rsidRDefault="00002D76" w:rsidP="00D63204">
            <w:pPr>
              <w:spacing w:after="0" w:line="240" w:lineRule="auto"/>
              <w:rPr>
                <w:rFonts w:ascii="Calibri" w:hAnsi="Calibri"/>
                <w:color w:val="231F20"/>
                <w:sz w:val="18"/>
                <w:szCs w:val="18"/>
              </w:rPr>
            </w:pPr>
            <w:r w:rsidRPr="00AE4B9D">
              <w:rPr>
                <w:rFonts w:ascii="Calibri" w:hAnsi="Calibri"/>
                <w:color w:val="231F20"/>
                <w:sz w:val="18"/>
                <w:szCs w:val="18"/>
              </w:rPr>
              <w:t>4</w:t>
            </w:r>
          </w:p>
        </w:tc>
        <w:tc>
          <w:tcPr>
            <w:tcW w:w="0" w:type="auto"/>
            <w:tcBorders>
              <w:top w:val="nil"/>
              <w:left w:val="nil"/>
              <w:bottom w:val="single" w:sz="4" w:space="0" w:color="auto"/>
              <w:right w:val="single" w:sz="4" w:space="0" w:color="auto"/>
            </w:tcBorders>
            <w:shd w:val="clear" w:color="000000" w:fill="D1D3D4"/>
            <w:vAlign w:val="center"/>
            <w:hideMark/>
          </w:tcPr>
          <w:p w14:paraId="54B69394" w14:textId="77777777" w:rsidR="00002D76" w:rsidRPr="00AE4B9D" w:rsidRDefault="00002D76" w:rsidP="00D63204">
            <w:pPr>
              <w:spacing w:after="0" w:line="240" w:lineRule="auto"/>
              <w:rPr>
                <w:rFonts w:ascii="Calibri" w:hAnsi="Calibri"/>
                <w:color w:val="231F20"/>
                <w:sz w:val="18"/>
                <w:szCs w:val="18"/>
              </w:rPr>
            </w:pPr>
            <w:r w:rsidRPr="00AE4B9D">
              <w:rPr>
                <w:rFonts w:ascii="Calibri" w:hAnsi="Calibri"/>
                <w:color w:val="231F20"/>
                <w:sz w:val="18"/>
                <w:szCs w:val="18"/>
              </w:rPr>
              <w:t>291141</w:t>
            </w:r>
          </w:p>
        </w:tc>
        <w:tc>
          <w:tcPr>
            <w:tcW w:w="0" w:type="auto"/>
            <w:tcBorders>
              <w:top w:val="nil"/>
              <w:left w:val="nil"/>
              <w:bottom w:val="single" w:sz="4" w:space="0" w:color="auto"/>
              <w:right w:val="single" w:sz="4" w:space="0" w:color="auto"/>
            </w:tcBorders>
            <w:shd w:val="clear" w:color="000000" w:fill="D1D3D4"/>
            <w:vAlign w:val="center"/>
            <w:hideMark/>
          </w:tcPr>
          <w:p w14:paraId="7B486AC8" w14:textId="77777777" w:rsidR="00002D76" w:rsidRPr="00AE4B9D" w:rsidRDefault="00002D76" w:rsidP="004D6183">
            <w:pPr>
              <w:spacing w:after="0" w:line="240" w:lineRule="auto"/>
              <w:rPr>
                <w:rFonts w:ascii="Calibri" w:hAnsi="Calibri"/>
                <w:color w:val="231F20"/>
                <w:sz w:val="18"/>
                <w:szCs w:val="18"/>
              </w:rPr>
            </w:pPr>
            <w:r w:rsidRPr="00AE4B9D">
              <w:rPr>
                <w:rFonts w:ascii="Calibri" w:hAnsi="Calibri"/>
                <w:color w:val="231F20"/>
                <w:sz w:val="18"/>
                <w:szCs w:val="18"/>
              </w:rPr>
              <w:t xml:space="preserve">Registered Nurses                                                               </w:t>
            </w:r>
          </w:p>
        </w:tc>
        <w:tc>
          <w:tcPr>
            <w:tcW w:w="0" w:type="auto"/>
            <w:tcBorders>
              <w:top w:val="nil"/>
              <w:left w:val="nil"/>
              <w:bottom w:val="single" w:sz="4" w:space="0" w:color="auto"/>
              <w:right w:val="single" w:sz="4" w:space="0" w:color="auto"/>
            </w:tcBorders>
            <w:shd w:val="clear" w:color="000000" w:fill="D1D3D4"/>
            <w:vAlign w:val="center"/>
            <w:hideMark/>
          </w:tcPr>
          <w:p w14:paraId="24356894" w14:textId="77777777" w:rsidR="00002D76" w:rsidRPr="00AE4B9D" w:rsidRDefault="00002D76" w:rsidP="00D63204">
            <w:pPr>
              <w:spacing w:after="0" w:line="240" w:lineRule="auto"/>
              <w:rPr>
                <w:rFonts w:ascii="Calibri" w:hAnsi="Calibri"/>
                <w:color w:val="231F20"/>
                <w:sz w:val="18"/>
                <w:szCs w:val="18"/>
              </w:rPr>
            </w:pPr>
            <w:r w:rsidRPr="00AE4B9D">
              <w:rPr>
                <w:rFonts w:ascii="Calibri" w:hAnsi="Calibri"/>
                <w:color w:val="231F20"/>
                <w:sz w:val="18"/>
                <w:szCs w:val="18"/>
              </w:rPr>
              <w:t>188,202</w:t>
            </w:r>
          </w:p>
        </w:tc>
        <w:tc>
          <w:tcPr>
            <w:tcW w:w="0" w:type="auto"/>
            <w:tcBorders>
              <w:top w:val="nil"/>
              <w:left w:val="nil"/>
              <w:bottom w:val="single" w:sz="4" w:space="0" w:color="auto"/>
              <w:right w:val="single" w:sz="4" w:space="0" w:color="auto"/>
            </w:tcBorders>
            <w:shd w:val="clear" w:color="000000" w:fill="D1D3D4"/>
            <w:vAlign w:val="center"/>
            <w:hideMark/>
          </w:tcPr>
          <w:p w14:paraId="2FF9BB3A" w14:textId="77777777" w:rsidR="00002D76" w:rsidRPr="00AE4B9D" w:rsidRDefault="00002D76" w:rsidP="00D63204">
            <w:pPr>
              <w:spacing w:after="0" w:line="240" w:lineRule="auto"/>
              <w:rPr>
                <w:rFonts w:ascii="Calibri" w:hAnsi="Calibri"/>
                <w:color w:val="231F20"/>
                <w:sz w:val="18"/>
                <w:szCs w:val="18"/>
              </w:rPr>
            </w:pPr>
            <w:r w:rsidRPr="00AE4B9D">
              <w:rPr>
                <w:rFonts w:ascii="Calibri" w:hAnsi="Calibri"/>
                <w:color w:val="231F20"/>
                <w:sz w:val="18"/>
                <w:szCs w:val="18"/>
              </w:rPr>
              <w:t>218,508</w:t>
            </w:r>
          </w:p>
        </w:tc>
        <w:tc>
          <w:tcPr>
            <w:tcW w:w="0" w:type="auto"/>
            <w:tcBorders>
              <w:top w:val="nil"/>
              <w:left w:val="nil"/>
              <w:bottom w:val="single" w:sz="4" w:space="0" w:color="auto"/>
              <w:right w:val="single" w:sz="4" w:space="0" w:color="auto"/>
            </w:tcBorders>
            <w:shd w:val="clear" w:color="000000" w:fill="D1D3D4"/>
            <w:vAlign w:val="center"/>
            <w:hideMark/>
          </w:tcPr>
          <w:p w14:paraId="1A906229" w14:textId="77777777" w:rsidR="00002D76" w:rsidRPr="00AE4B9D" w:rsidRDefault="00002D76" w:rsidP="00D63204">
            <w:pPr>
              <w:spacing w:after="0" w:line="240" w:lineRule="auto"/>
              <w:rPr>
                <w:rFonts w:ascii="Calibri" w:hAnsi="Calibri"/>
                <w:color w:val="231F20"/>
                <w:sz w:val="18"/>
                <w:szCs w:val="18"/>
              </w:rPr>
            </w:pPr>
            <w:r w:rsidRPr="00AE4B9D">
              <w:rPr>
                <w:rFonts w:ascii="Calibri" w:hAnsi="Calibri"/>
                <w:color w:val="231F20"/>
                <w:sz w:val="18"/>
                <w:szCs w:val="18"/>
              </w:rPr>
              <w:t>30,306</w:t>
            </w:r>
          </w:p>
        </w:tc>
        <w:tc>
          <w:tcPr>
            <w:tcW w:w="0" w:type="auto"/>
            <w:tcBorders>
              <w:top w:val="nil"/>
              <w:left w:val="nil"/>
              <w:bottom w:val="single" w:sz="4" w:space="0" w:color="auto"/>
              <w:right w:val="single" w:sz="4" w:space="0" w:color="auto"/>
            </w:tcBorders>
            <w:shd w:val="clear" w:color="000000" w:fill="D1D3D4"/>
            <w:vAlign w:val="center"/>
            <w:hideMark/>
          </w:tcPr>
          <w:p w14:paraId="30127A50" w14:textId="77777777" w:rsidR="00002D76" w:rsidRPr="00AE4B9D" w:rsidRDefault="00002D76" w:rsidP="00D63204">
            <w:pPr>
              <w:spacing w:after="0" w:line="240" w:lineRule="auto"/>
              <w:rPr>
                <w:rFonts w:ascii="Calibri" w:hAnsi="Calibri"/>
                <w:color w:val="231F20"/>
                <w:sz w:val="18"/>
                <w:szCs w:val="18"/>
              </w:rPr>
            </w:pPr>
            <w:r w:rsidRPr="00AE4B9D">
              <w:rPr>
                <w:rFonts w:ascii="Calibri" w:hAnsi="Calibri"/>
                <w:color w:val="231F20"/>
                <w:sz w:val="18"/>
                <w:szCs w:val="18"/>
              </w:rPr>
              <w:t>16.1</w:t>
            </w:r>
          </w:p>
        </w:tc>
        <w:tc>
          <w:tcPr>
            <w:tcW w:w="0" w:type="auto"/>
            <w:tcBorders>
              <w:top w:val="nil"/>
              <w:left w:val="nil"/>
              <w:bottom w:val="single" w:sz="4" w:space="0" w:color="auto"/>
              <w:right w:val="single" w:sz="4" w:space="0" w:color="auto"/>
            </w:tcBorders>
            <w:shd w:val="clear" w:color="000000" w:fill="D1D3D4"/>
            <w:vAlign w:val="center"/>
            <w:hideMark/>
          </w:tcPr>
          <w:p w14:paraId="4FEB2A79" w14:textId="77777777" w:rsidR="00002D76" w:rsidRPr="00AE4B9D" w:rsidRDefault="00002D76" w:rsidP="00D63204">
            <w:pPr>
              <w:spacing w:after="0" w:line="240" w:lineRule="auto"/>
              <w:rPr>
                <w:rFonts w:ascii="Calibri" w:hAnsi="Calibri"/>
                <w:color w:val="231F20"/>
                <w:sz w:val="18"/>
                <w:szCs w:val="18"/>
              </w:rPr>
            </w:pPr>
            <w:r w:rsidRPr="00AE4B9D">
              <w:rPr>
                <w:rFonts w:ascii="Calibri" w:hAnsi="Calibri"/>
                <w:color w:val="231F20"/>
                <w:sz w:val="18"/>
                <w:szCs w:val="18"/>
              </w:rPr>
              <w:t>113,795</w:t>
            </w:r>
          </w:p>
        </w:tc>
      </w:tr>
      <w:tr w:rsidR="00002D76" w:rsidRPr="00AE4B9D" w14:paraId="7227AE01" w14:textId="77777777" w:rsidTr="001429C7">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5C9E4F3" w14:textId="77777777" w:rsidR="00002D76" w:rsidRPr="00AE4B9D" w:rsidRDefault="00002D76" w:rsidP="00D63204">
            <w:pPr>
              <w:spacing w:after="0" w:line="240" w:lineRule="auto"/>
              <w:rPr>
                <w:rFonts w:ascii="Calibri" w:hAnsi="Calibri"/>
                <w:color w:val="231F20"/>
                <w:sz w:val="18"/>
                <w:szCs w:val="18"/>
              </w:rPr>
            </w:pPr>
            <w:r w:rsidRPr="00AE4B9D">
              <w:rPr>
                <w:rFonts w:ascii="Calibri" w:hAnsi="Calibri"/>
                <w:color w:val="231F20"/>
                <w:sz w:val="18"/>
                <w:szCs w:val="18"/>
              </w:rPr>
              <w:t>5</w:t>
            </w:r>
          </w:p>
        </w:tc>
        <w:tc>
          <w:tcPr>
            <w:tcW w:w="0" w:type="auto"/>
            <w:tcBorders>
              <w:top w:val="nil"/>
              <w:left w:val="nil"/>
              <w:bottom w:val="single" w:sz="4" w:space="0" w:color="auto"/>
              <w:right w:val="single" w:sz="4" w:space="0" w:color="auto"/>
            </w:tcBorders>
            <w:shd w:val="clear" w:color="auto" w:fill="auto"/>
            <w:vAlign w:val="center"/>
            <w:hideMark/>
          </w:tcPr>
          <w:p w14:paraId="6D61145E" w14:textId="77777777" w:rsidR="00002D76" w:rsidRPr="00AE4B9D" w:rsidRDefault="00002D76" w:rsidP="00D63204">
            <w:pPr>
              <w:spacing w:after="0" w:line="240" w:lineRule="auto"/>
              <w:rPr>
                <w:rFonts w:ascii="Calibri" w:hAnsi="Calibri"/>
                <w:color w:val="231F20"/>
                <w:sz w:val="18"/>
                <w:szCs w:val="18"/>
              </w:rPr>
            </w:pPr>
            <w:r w:rsidRPr="00AE4B9D">
              <w:rPr>
                <w:rFonts w:ascii="Calibri" w:hAnsi="Calibri"/>
                <w:color w:val="231F20"/>
                <w:sz w:val="18"/>
                <w:szCs w:val="18"/>
              </w:rPr>
              <w:t>353031</w:t>
            </w:r>
          </w:p>
        </w:tc>
        <w:tc>
          <w:tcPr>
            <w:tcW w:w="0" w:type="auto"/>
            <w:tcBorders>
              <w:top w:val="nil"/>
              <w:left w:val="nil"/>
              <w:bottom w:val="single" w:sz="4" w:space="0" w:color="auto"/>
              <w:right w:val="single" w:sz="4" w:space="0" w:color="auto"/>
            </w:tcBorders>
            <w:shd w:val="clear" w:color="auto" w:fill="auto"/>
            <w:vAlign w:val="center"/>
            <w:hideMark/>
          </w:tcPr>
          <w:p w14:paraId="40574F09" w14:textId="77777777" w:rsidR="00002D76" w:rsidRPr="00AE4B9D" w:rsidRDefault="00002D76" w:rsidP="004D6183">
            <w:pPr>
              <w:spacing w:after="0" w:line="240" w:lineRule="auto"/>
              <w:rPr>
                <w:rFonts w:ascii="Calibri" w:hAnsi="Calibri"/>
                <w:color w:val="231F20"/>
                <w:sz w:val="18"/>
                <w:szCs w:val="18"/>
              </w:rPr>
            </w:pPr>
            <w:r w:rsidRPr="00AE4B9D">
              <w:rPr>
                <w:rFonts w:ascii="Calibri" w:hAnsi="Calibri"/>
                <w:color w:val="231F20"/>
                <w:sz w:val="18"/>
                <w:szCs w:val="18"/>
              </w:rPr>
              <w:t>Waiters and Waitresses</w:t>
            </w:r>
          </w:p>
        </w:tc>
        <w:tc>
          <w:tcPr>
            <w:tcW w:w="0" w:type="auto"/>
            <w:tcBorders>
              <w:top w:val="nil"/>
              <w:left w:val="nil"/>
              <w:bottom w:val="single" w:sz="4" w:space="0" w:color="auto"/>
              <w:right w:val="single" w:sz="4" w:space="0" w:color="auto"/>
            </w:tcBorders>
            <w:shd w:val="clear" w:color="auto" w:fill="auto"/>
            <w:vAlign w:val="center"/>
            <w:hideMark/>
          </w:tcPr>
          <w:p w14:paraId="707FF3E5" w14:textId="77777777" w:rsidR="00002D76" w:rsidRPr="00AE4B9D" w:rsidRDefault="00002D76" w:rsidP="00D63204">
            <w:pPr>
              <w:spacing w:after="0" w:line="240" w:lineRule="auto"/>
              <w:rPr>
                <w:rFonts w:ascii="Calibri" w:hAnsi="Calibri"/>
                <w:color w:val="231F20"/>
                <w:sz w:val="18"/>
                <w:szCs w:val="18"/>
              </w:rPr>
            </w:pPr>
            <w:r w:rsidRPr="00AE4B9D">
              <w:rPr>
                <w:rFonts w:ascii="Calibri" w:hAnsi="Calibri"/>
                <w:color w:val="231F20"/>
                <w:sz w:val="18"/>
                <w:szCs w:val="18"/>
              </w:rPr>
              <w:t>226,204</w:t>
            </w:r>
          </w:p>
        </w:tc>
        <w:tc>
          <w:tcPr>
            <w:tcW w:w="0" w:type="auto"/>
            <w:tcBorders>
              <w:top w:val="nil"/>
              <w:left w:val="nil"/>
              <w:bottom w:val="single" w:sz="4" w:space="0" w:color="auto"/>
              <w:right w:val="single" w:sz="4" w:space="0" w:color="auto"/>
            </w:tcBorders>
            <w:shd w:val="clear" w:color="auto" w:fill="auto"/>
            <w:vAlign w:val="center"/>
            <w:hideMark/>
          </w:tcPr>
          <w:p w14:paraId="77BC7A0B" w14:textId="77777777" w:rsidR="00002D76" w:rsidRPr="00AE4B9D" w:rsidRDefault="00002D76" w:rsidP="00D63204">
            <w:pPr>
              <w:spacing w:after="0" w:line="240" w:lineRule="auto"/>
              <w:rPr>
                <w:rFonts w:ascii="Calibri" w:hAnsi="Calibri"/>
                <w:color w:val="231F20"/>
                <w:sz w:val="18"/>
                <w:szCs w:val="18"/>
              </w:rPr>
            </w:pPr>
            <w:r w:rsidRPr="00AE4B9D">
              <w:rPr>
                <w:rFonts w:ascii="Calibri" w:hAnsi="Calibri"/>
                <w:color w:val="231F20"/>
                <w:sz w:val="18"/>
                <w:szCs w:val="18"/>
              </w:rPr>
              <w:t>247,019</w:t>
            </w:r>
          </w:p>
        </w:tc>
        <w:tc>
          <w:tcPr>
            <w:tcW w:w="0" w:type="auto"/>
            <w:tcBorders>
              <w:top w:val="nil"/>
              <w:left w:val="nil"/>
              <w:bottom w:val="single" w:sz="4" w:space="0" w:color="auto"/>
              <w:right w:val="single" w:sz="4" w:space="0" w:color="auto"/>
            </w:tcBorders>
            <w:shd w:val="clear" w:color="auto" w:fill="auto"/>
            <w:vAlign w:val="center"/>
            <w:hideMark/>
          </w:tcPr>
          <w:p w14:paraId="14A300E5" w14:textId="77777777" w:rsidR="00002D76" w:rsidRPr="00AE4B9D" w:rsidRDefault="00002D76" w:rsidP="00D63204">
            <w:pPr>
              <w:spacing w:after="0" w:line="240" w:lineRule="auto"/>
              <w:rPr>
                <w:rFonts w:ascii="Calibri" w:hAnsi="Calibri"/>
                <w:color w:val="231F20"/>
                <w:sz w:val="18"/>
                <w:szCs w:val="18"/>
              </w:rPr>
            </w:pPr>
            <w:r w:rsidRPr="00AE4B9D">
              <w:rPr>
                <w:rFonts w:ascii="Calibri" w:hAnsi="Calibri"/>
                <w:color w:val="231F20"/>
                <w:sz w:val="18"/>
                <w:szCs w:val="18"/>
              </w:rPr>
              <w:t>20,815</w:t>
            </w:r>
          </w:p>
        </w:tc>
        <w:tc>
          <w:tcPr>
            <w:tcW w:w="0" w:type="auto"/>
            <w:tcBorders>
              <w:top w:val="nil"/>
              <w:left w:val="nil"/>
              <w:bottom w:val="single" w:sz="4" w:space="0" w:color="auto"/>
              <w:right w:val="single" w:sz="4" w:space="0" w:color="auto"/>
            </w:tcBorders>
            <w:shd w:val="clear" w:color="auto" w:fill="auto"/>
            <w:vAlign w:val="center"/>
            <w:hideMark/>
          </w:tcPr>
          <w:p w14:paraId="4C65FF46" w14:textId="77777777" w:rsidR="00002D76" w:rsidRPr="00AE4B9D" w:rsidRDefault="00002D76" w:rsidP="00D63204">
            <w:pPr>
              <w:spacing w:after="0" w:line="240" w:lineRule="auto"/>
              <w:rPr>
                <w:rFonts w:ascii="Calibri" w:hAnsi="Calibri"/>
                <w:color w:val="231F20"/>
                <w:sz w:val="18"/>
                <w:szCs w:val="18"/>
              </w:rPr>
            </w:pPr>
            <w:r w:rsidRPr="00AE4B9D">
              <w:rPr>
                <w:rFonts w:ascii="Calibri" w:hAnsi="Calibri"/>
                <w:color w:val="231F20"/>
                <w:sz w:val="18"/>
                <w:szCs w:val="18"/>
              </w:rPr>
              <w:t>9.2</w:t>
            </w:r>
          </w:p>
        </w:tc>
        <w:tc>
          <w:tcPr>
            <w:tcW w:w="0" w:type="auto"/>
            <w:tcBorders>
              <w:top w:val="nil"/>
              <w:left w:val="nil"/>
              <w:bottom w:val="single" w:sz="4" w:space="0" w:color="auto"/>
              <w:right w:val="single" w:sz="4" w:space="0" w:color="auto"/>
            </w:tcBorders>
            <w:shd w:val="clear" w:color="auto" w:fill="auto"/>
            <w:vAlign w:val="center"/>
            <w:hideMark/>
          </w:tcPr>
          <w:p w14:paraId="7FFEEF1A" w14:textId="77777777" w:rsidR="00002D76" w:rsidRPr="00AE4B9D" w:rsidRDefault="00002D76" w:rsidP="00D63204">
            <w:pPr>
              <w:spacing w:after="0" w:line="240" w:lineRule="auto"/>
              <w:rPr>
                <w:rFonts w:ascii="Calibri" w:hAnsi="Calibri"/>
                <w:color w:val="231F20"/>
                <w:sz w:val="18"/>
                <w:szCs w:val="18"/>
              </w:rPr>
            </w:pPr>
            <w:r w:rsidRPr="00AE4B9D">
              <w:rPr>
                <w:rFonts w:ascii="Calibri" w:hAnsi="Calibri"/>
                <w:color w:val="231F20"/>
                <w:sz w:val="18"/>
                <w:szCs w:val="18"/>
              </w:rPr>
              <w:t>374,691</w:t>
            </w:r>
          </w:p>
        </w:tc>
      </w:tr>
      <w:tr w:rsidR="00002D76" w:rsidRPr="00AE4B9D" w14:paraId="5D5DF519" w14:textId="77777777" w:rsidTr="001429C7">
        <w:trPr>
          <w:trHeight w:val="300"/>
        </w:trPr>
        <w:tc>
          <w:tcPr>
            <w:tcW w:w="0" w:type="auto"/>
            <w:tcBorders>
              <w:top w:val="nil"/>
              <w:left w:val="single" w:sz="4" w:space="0" w:color="auto"/>
              <w:bottom w:val="single" w:sz="4" w:space="0" w:color="auto"/>
              <w:right w:val="single" w:sz="4" w:space="0" w:color="auto"/>
            </w:tcBorders>
            <w:shd w:val="clear" w:color="000000" w:fill="D1D3D4"/>
            <w:vAlign w:val="center"/>
            <w:hideMark/>
          </w:tcPr>
          <w:p w14:paraId="774B5C6A" w14:textId="77777777" w:rsidR="00002D76" w:rsidRPr="00AE4B9D" w:rsidRDefault="00002D76" w:rsidP="00D63204">
            <w:pPr>
              <w:spacing w:after="0" w:line="240" w:lineRule="auto"/>
              <w:rPr>
                <w:rFonts w:ascii="Calibri" w:hAnsi="Calibri"/>
                <w:color w:val="231F20"/>
                <w:sz w:val="18"/>
                <w:szCs w:val="18"/>
              </w:rPr>
            </w:pPr>
            <w:r w:rsidRPr="00AE4B9D">
              <w:rPr>
                <w:rFonts w:ascii="Calibri" w:hAnsi="Calibri"/>
                <w:color w:val="231F20"/>
                <w:sz w:val="18"/>
                <w:szCs w:val="18"/>
              </w:rPr>
              <w:t>6</w:t>
            </w:r>
          </w:p>
        </w:tc>
        <w:tc>
          <w:tcPr>
            <w:tcW w:w="0" w:type="auto"/>
            <w:tcBorders>
              <w:top w:val="nil"/>
              <w:left w:val="nil"/>
              <w:bottom w:val="single" w:sz="4" w:space="0" w:color="auto"/>
              <w:right w:val="single" w:sz="4" w:space="0" w:color="auto"/>
            </w:tcBorders>
            <w:shd w:val="clear" w:color="000000" w:fill="D1D3D4"/>
            <w:vAlign w:val="center"/>
            <w:hideMark/>
          </w:tcPr>
          <w:p w14:paraId="212538AF" w14:textId="77777777" w:rsidR="00002D76" w:rsidRPr="00AE4B9D" w:rsidRDefault="00002D76" w:rsidP="00D63204">
            <w:pPr>
              <w:spacing w:after="0" w:line="240" w:lineRule="auto"/>
              <w:rPr>
                <w:rFonts w:ascii="Calibri" w:hAnsi="Calibri"/>
                <w:color w:val="231F20"/>
                <w:sz w:val="18"/>
                <w:szCs w:val="18"/>
              </w:rPr>
            </w:pPr>
            <w:r w:rsidRPr="00AE4B9D">
              <w:rPr>
                <w:rFonts w:ascii="Calibri" w:hAnsi="Calibri"/>
                <w:color w:val="231F20"/>
                <w:sz w:val="18"/>
                <w:szCs w:val="18"/>
              </w:rPr>
              <w:t>352014</w:t>
            </w:r>
          </w:p>
        </w:tc>
        <w:tc>
          <w:tcPr>
            <w:tcW w:w="0" w:type="auto"/>
            <w:tcBorders>
              <w:top w:val="nil"/>
              <w:left w:val="nil"/>
              <w:bottom w:val="single" w:sz="4" w:space="0" w:color="auto"/>
              <w:right w:val="single" w:sz="4" w:space="0" w:color="auto"/>
            </w:tcBorders>
            <w:shd w:val="clear" w:color="000000" w:fill="D1D3D4"/>
            <w:vAlign w:val="center"/>
            <w:hideMark/>
          </w:tcPr>
          <w:p w14:paraId="2BFC53E3" w14:textId="77777777" w:rsidR="00002D76" w:rsidRPr="00AE4B9D" w:rsidRDefault="00002D76" w:rsidP="004D6183">
            <w:pPr>
              <w:spacing w:after="0" w:line="240" w:lineRule="auto"/>
              <w:rPr>
                <w:rFonts w:ascii="Calibri" w:hAnsi="Calibri"/>
                <w:color w:val="231F20"/>
                <w:sz w:val="18"/>
                <w:szCs w:val="18"/>
              </w:rPr>
            </w:pPr>
            <w:r w:rsidRPr="00AE4B9D">
              <w:rPr>
                <w:rFonts w:ascii="Calibri" w:hAnsi="Calibri"/>
                <w:color w:val="231F20"/>
                <w:sz w:val="18"/>
                <w:szCs w:val="18"/>
              </w:rPr>
              <w:t>Cooks, Restaurant</w:t>
            </w:r>
          </w:p>
        </w:tc>
        <w:tc>
          <w:tcPr>
            <w:tcW w:w="0" w:type="auto"/>
            <w:tcBorders>
              <w:top w:val="nil"/>
              <w:left w:val="nil"/>
              <w:bottom w:val="single" w:sz="4" w:space="0" w:color="auto"/>
              <w:right w:val="single" w:sz="4" w:space="0" w:color="auto"/>
            </w:tcBorders>
            <w:shd w:val="clear" w:color="000000" w:fill="D1D3D4"/>
            <w:vAlign w:val="center"/>
            <w:hideMark/>
          </w:tcPr>
          <w:p w14:paraId="0A2AFBCB" w14:textId="77777777" w:rsidR="00002D76" w:rsidRPr="00AE4B9D" w:rsidRDefault="00002D76" w:rsidP="00D63204">
            <w:pPr>
              <w:spacing w:after="0" w:line="240" w:lineRule="auto"/>
              <w:rPr>
                <w:rFonts w:ascii="Calibri" w:hAnsi="Calibri"/>
                <w:color w:val="231F20"/>
                <w:sz w:val="18"/>
                <w:szCs w:val="18"/>
              </w:rPr>
            </w:pPr>
            <w:r w:rsidRPr="00AE4B9D">
              <w:rPr>
                <w:rFonts w:ascii="Calibri" w:hAnsi="Calibri"/>
                <w:color w:val="231F20"/>
                <w:sz w:val="18"/>
                <w:szCs w:val="18"/>
              </w:rPr>
              <w:t>105,686</w:t>
            </w:r>
          </w:p>
        </w:tc>
        <w:tc>
          <w:tcPr>
            <w:tcW w:w="0" w:type="auto"/>
            <w:tcBorders>
              <w:top w:val="nil"/>
              <w:left w:val="nil"/>
              <w:bottom w:val="single" w:sz="4" w:space="0" w:color="auto"/>
              <w:right w:val="single" w:sz="4" w:space="0" w:color="auto"/>
            </w:tcBorders>
            <w:shd w:val="clear" w:color="000000" w:fill="D1D3D4"/>
            <w:vAlign w:val="center"/>
            <w:hideMark/>
          </w:tcPr>
          <w:p w14:paraId="2E0A436F" w14:textId="77777777" w:rsidR="00002D76" w:rsidRPr="00AE4B9D" w:rsidRDefault="00002D76" w:rsidP="00D63204">
            <w:pPr>
              <w:spacing w:after="0" w:line="240" w:lineRule="auto"/>
              <w:rPr>
                <w:rFonts w:ascii="Calibri" w:hAnsi="Calibri"/>
                <w:color w:val="231F20"/>
                <w:sz w:val="18"/>
                <w:szCs w:val="18"/>
              </w:rPr>
            </w:pPr>
            <w:r w:rsidRPr="00AE4B9D">
              <w:rPr>
                <w:rFonts w:ascii="Calibri" w:hAnsi="Calibri"/>
                <w:color w:val="231F20"/>
                <w:sz w:val="18"/>
                <w:szCs w:val="18"/>
              </w:rPr>
              <w:t>125,554</w:t>
            </w:r>
          </w:p>
        </w:tc>
        <w:tc>
          <w:tcPr>
            <w:tcW w:w="0" w:type="auto"/>
            <w:tcBorders>
              <w:top w:val="nil"/>
              <w:left w:val="nil"/>
              <w:bottom w:val="single" w:sz="4" w:space="0" w:color="auto"/>
              <w:right w:val="single" w:sz="4" w:space="0" w:color="auto"/>
            </w:tcBorders>
            <w:shd w:val="clear" w:color="000000" w:fill="D1D3D4"/>
            <w:vAlign w:val="center"/>
            <w:hideMark/>
          </w:tcPr>
          <w:p w14:paraId="5AC9C500" w14:textId="77777777" w:rsidR="00002D76" w:rsidRPr="00AE4B9D" w:rsidRDefault="00002D76" w:rsidP="00D63204">
            <w:pPr>
              <w:spacing w:after="0" w:line="240" w:lineRule="auto"/>
              <w:rPr>
                <w:rFonts w:ascii="Calibri" w:hAnsi="Calibri"/>
                <w:color w:val="231F20"/>
                <w:sz w:val="18"/>
                <w:szCs w:val="18"/>
              </w:rPr>
            </w:pPr>
            <w:r w:rsidRPr="00AE4B9D">
              <w:rPr>
                <w:rFonts w:ascii="Calibri" w:hAnsi="Calibri"/>
                <w:color w:val="231F20"/>
                <w:sz w:val="18"/>
                <w:szCs w:val="18"/>
              </w:rPr>
              <w:t>19,868</w:t>
            </w:r>
          </w:p>
        </w:tc>
        <w:tc>
          <w:tcPr>
            <w:tcW w:w="0" w:type="auto"/>
            <w:tcBorders>
              <w:top w:val="nil"/>
              <w:left w:val="nil"/>
              <w:bottom w:val="single" w:sz="4" w:space="0" w:color="auto"/>
              <w:right w:val="single" w:sz="4" w:space="0" w:color="auto"/>
            </w:tcBorders>
            <w:shd w:val="clear" w:color="000000" w:fill="D1D3D4"/>
            <w:vAlign w:val="center"/>
            <w:hideMark/>
          </w:tcPr>
          <w:p w14:paraId="09977C60" w14:textId="77777777" w:rsidR="00002D76" w:rsidRPr="00AE4B9D" w:rsidRDefault="00002D76" w:rsidP="00D63204">
            <w:pPr>
              <w:spacing w:after="0" w:line="240" w:lineRule="auto"/>
              <w:rPr>
                <w:rFonts w:ascii="Calibri" w:hAnsi="Calibri"/>
                <w:color w:val="231F20"/>
                <w:sz w:val="18"/>
                <w:szCs w:val="18"/>
              </w:rPr>
            </w:pPr>
            <w:r w:rsidRPr="00AE4B9D">
              <w:rPr>
                <w:rFonts w:ascii="Calibri" w:hAnsi="Calibri"/>
                <w:color w:val="231F20"/>
                <w:sz w:val="18"/>
                <w:szCs w:val="18"/>
              </w:rPr>
              <w:t>18.8</w:t>
            </w:r>
          </w:p>
        </w:tc>
        <w:tc>
          <w:tcPr>
            <w:tcW w:w="0" w:type="auto"/>
            <w:tcBorders>
              <w:top w:val="nil"/>
              <w:left w:val="nil"/>
              <w:bottom w:val="single" w:sz="4" w:space="0" w:color="auto"/>
              <w:right w:val="single" w:sz="4" w:space="0" w:color="auto"/>
            </w:tcBorders>
            <w:shd w:val="clear" w:color="000000" w:fill="D1D3D4"/>
            <w:vAlign w:val="center"/>
            <w:hideMark/>
          </w:tcPr>
          <w:p w14:paraId="138B2D85" w14:textId="77777777" w:rsidR="00002D76" w:rsidRPr="00AE4B9D" w:rsidRDefault="00002D76" w:rsidP="00D63204">
            <w:pPr>
              <w:spacing w:after="0" w:line="240" w:lineRule="auto"/>
              <w:rPr>
                <w:rFonts w:ascii="Calibri" w:hAnsi="Calibri"/>
                <w:color w:val="231F20"/>
                <w:sz w:val="18"/>
                <w:szCs w:val="18"/>
              </w:rPr>
            </w:pPr>
            <w:r w:rsidRPr="00AE4B9D">
              <w:rPr>
                <w:rFonts w:ascii="Calibri" w:hAnsi="Calibri"/>
                <w:color w:val="231F20"/>
                <w:sz w:val="18"/>
                <w:szCs w:val="18"/>
              </w:rPr>
              <w:t>151,110</w:t>
            </w:r>
          </w:p>
        </w:tc>
      </w:tr>
      <w:tr w:rsidR="00002D76" w:rsidRPr="00AE4B9D" w14:paraId="7D03AE05" w14:textId="77777777" w:rsidTr="001429C7">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890993E" w14:textId="77777777" w:rsidR="00002D76" w:rsidRPr="00AE4B9D" w:rsidRDefault="00002D76" w:rsidP="00D63204">
            <w:pPr>
              <w:spacing w:after="0" w:line="240" w:lineRule="auto"/>
              <w:rPr>
                <w:rFonts w:ascii="Calibri" w:hAnsi="Calibri"/>
                <w:color w:val="231F20"/>
                <w:sz w:val="18"/>
                <w:szCs w:val="18"/>
              </w:rPr>
            </w:pPr>
            <w:r w:rsidRPr="00AE4B9D">
              <w:rPr>
                <w:rFonts w:ascii="Calibri" w:hAnsi="Calibri"/>
                <w:color w:val="231F20"/>
                <w:sz w:val="18"/>
                <w:szCs w:val="18"/>
              </w:rPr>
              <w:t>7</w:t>
            </w:r>
          </w:p>
        </w:tc>
        <w:tc>
          <w:tcPr>
            <w:tcW w:w="0" w:type="auto"/>
            <w:tcBorders>
              <w:top w:val="nil"/>
              <w:left w:val="nil"/>
              <w:bottom w:val="single" w:sz="4" w:space="0" w:color="auto"/>
              <w:right w:val="single" w:sz="4" w:space="0" w:color="auto"/>
            </w:tcBorders>
            <w:shd w:val="clear" w:color="auto" w:fill="auto"/>
            <w:vAlign w:val="center"/>
            <w:hideMark/>
          </w:tcPr>
          <w:p w14:paraId="5E53E592" w14:textId="77777777" w:rsidR="00002D76" w:rsidRPr="00AE4B9D" w:rsidRDefault="00002D76" w:rsidP="00D63204">
            <w:pPr>
              <w:spacing w:after="0" w:line="240" w:lineRule="auto"/>
              <w:rPr>
                <w:rFonts w:ascii="Calibri" w:hAnsi="Calibri"/>
                <w:color w:val="231F20"/>
                <w:sz w:val="18"/>
                <w:szCs w:val="18"/>
              </w:rPr>
            </w:pPr>
            <w:r w:rsidRPr="00AE4B9D">
              <w:rPr>
                <w:rFonts w:ascii="Calibri" w:hAnsi="Calibri"/>
                <w:color w:val="231F20"/>
                <w:sz w:val="18"/>
                <w:szCs w:val="18"/>
              </w:rPr>
              <w:t>311014</w:t>
            </w:r>
          </w:p>
        </w:tc>
        <w:tc>
          <w:tcPr>
            <w:tcW w:w="0" w:type="auto"/>
            <w:tcBorders>
              <w:top w:val="nil"/>
              <w:left w:val="nil"/>
              <w:bottom w:val="single" w:sz="4" w:space="0" w:color="auto"/>
              <w:right w:val="single" w:sz="4" w:space="0" w:color="auto"/>
            </w:tcBorders>
            <w:shd w:val="clear" w:color="auto" w:fill="auto"/>
            <w:vAlign w:val="center"/>
            <w:hideMark/>
          </w:tcPr>
          <w:p w14:paraId="539AEA3B" w14:textId="77777777" w:rsidR="00002D76" w:rsidRPr="00AE4B9D" w:rsidRDefault="00002D76" w:rsidP="004D6183">
            <w:pPr>
              <w:spacing w:after="0" w:line="240" w:lineRule="auto"/>
              <w:rPr>
                <w:rFonts w:ascii="Calibri" w:hAnsi="Calibri"/>
                <w:color w:val="231F20"/>
                <w:sz w:val="18"/>
                <w:szCs w:val="18"/>
              </w:rPr>
            </w:pPr>
            <w:r w:rsidRPr="00AE4B9D">
              <w:rPr>
                <w:rFonts w:ascii="Calibri" w:hAnsi="Calibri"/>
                <w:color w:val="231F20"/>
                <w:sz w:val="18"/>
                <w:szCs w:val="18"/>
              </w:rPr>
              <w:t xml:space="preserve">Nursing Assistants                                                              </w:t>
            </w:r>
          </w:p>
        </w:tc>
        <w:tc>
          <w:tcPr>
            <w:tcW w:w="0" w:type="auto"/>
            <w:tcBorders>
              <w:top w:val="nil"/>
              <w:left w:val="nil"/>
              <w:bottom w:val="single" w:sz="4" w:space="0" w:color="auto"/>
              <w:right w:val="single" w:sz="4" w:space="0" w:color="auto"/>
            </w:tcBorders>
            <w:shd w:val="clear" w:color="auto" w:fill="auto"/>
            <w:vAlign w:val="center"/>
            <w:hideMark/>
          </w:tcPr>
          <w:p w14:paraId="7918AB41" w14:textId="77777777" w:rsidR="00002D76" w:rsidRPr="00AE4B9D" w:rsidRDefault="00002D76" w:rsidP="00D63204">
            <w:pPr>
              <w:spacing w:after="0" w:line="240" w:lineRule="auto"/>
              <w:rPr>
                <w:rFonts w:ascii="Calibri" w:hAnsi="Calibri"/>
                <w:color w:val="231F20"/>
                <w:sz w:val="18"/>
                <w:szCs w:val="18"/>
              </w:rPr>
            </w:pPr>
            <w:r w:rsidRPr="00AE4B9D">
              <w:rPr>
                <w:rFonts w:ascii="Calibri" w:hAnsi="Calibri"/>
                <w:color w:val="231F20"/>
                <w:sz w:val="18"/>
                <w:szCs w:val="18"/>
              </w:rPr>
              <w:t>96,804</w:t>
            </w:r>
          </w:p>
        </w:tc>
        <w:tc>
          <w:tcPr>
            <w:tcW w:w="0" w:type="auto"/>
            <w:tcBorders>
              <w:top w:val="nil"/>
              <w:left w:val="nil"/>
              <w:bottom w:val="single" w:sz="4" w:space="0" w:color="auto"/>
              <w:right w:val="single" w:sz="4" w:space="0" w:color="auto"/>
            </w:tcBorders>
            <w:shd w:val="clear" w:color="auto" w:fill="auto"/>
            <w:vAlign w:val="center"/>
            <w:hideMark/>
          </w:tcPr>
          <w:p w14:paraId="426EC3F1" w14:textId="77777777" w:rsidR="00002D76" w:rsidRPr="00AE4B9D" w:rsidRDefault="00002D76" w:rsidP="00D63204">
            <w:pPr>
              <w:spacing w:after="0" w:line="240" w:lineRule="auto"/>
              <w:rPr>
                <w:rFonts w:ascii="Calibri" w:hAnsi="Calibri"/>
                <w:color w:val="231F20"/>
                <w:sz w:val="18"/>
                <w:szCs w:val="18"/>
              </w:rPr>
            </w:pPr>
            <w:r w:rsidRPr="00AE4B9D">
              <w:rPr>
                <w:rFonts w:ascii="Calibri" w:hAnsi="Calibri"/>
                <w:color w:val="231F20"/>
                <w:sz w:val="18"/>
                <w:szCs w:val="18"/>
              </w:rPr>
              <w:t>114,430</w:t>
            </w:r>
          </w:p>
        </w:tc>
        <w:tc>
          <w:tcPr>
            <w:tcW w:w="0" w:type="auto"/>
            <w:tcBorders>
              <w:top w:val="nil"/>
              <w:left w:val="nil"/>
              <w:bottom w:val="single" w:sz="4" w:space="0" w:color="auto"/>
              <w:right w:val="single" w:sz="4" w:space="0" w:color="auto"/>
            </w:tcBorders>
            <w:shd w:val="clear" w:color="auto" w:fill="auto"/>
            <w:vAlign w:val="center"/>
            <w:hideMark/>
          </w:tcPr>
          <w:p w14:paraId="2E5FBA9C" w14:textId="77777777" w:rsidR="00002D76" w:rsidRPr="00AE4B9D" w:rsidRDefault="00002D76" w:rsidP="00D63204">
            <w:pPr>
              <w:spacing w:after="0" w:line="240" w:lineRule="auto"/>
              <w:rPr>
                <w:rFonts w:ascii="Calibri" w:hAnsi="Calibri"/>
                <w:color w:val="231F20"/>
                <w:sz w:val="18"/>
                <w:szCs w:val="18"/>
              </w:rPr>
            </w:pPr>
            <w:r w:rsidRPr="00AE4B9D">
              <w:rPr>
                <w:rFonts w:ascii="Calibri" w:hAnsi="Calibri"/>
                <w:color w:val="231F20"/>
                <w:sz w:val="18"/>
                <w:szCs w:val="18"/>
              </w:rPr>
              <w:t>17,626</w:t>
            </w:r>
          </w:p>
        </w:tc>
        <w:tc>
          <w:tcPr>
            <w:tcW w:w="0" w:type="auto"/>
            <w:tcBorders>
              <w:top w:val="nil"/>
              <w:left w:val="nil"/>
              <w:bottom w:val="single" w:sz="4" w:space="0" w:color="auto"/>
              <w:right w:val="single" w:sz="4" w:space="0" w:color="auto"/>
            </w:tcBorders>
            <w:shd w:val="clear" w:color="auto" w:fill="auto"/>
            <w:vAlign w:val="center"/>
            <w:hideMark/>
          </w:tcPr>
          <w:p w14:paraId="2986C625" w14:textId="77777777" w:rsidR="00002D76" w:rsidRPr="00AE4B9D" w:rsidRDefault="00002D76" w:rsidP="00D63204">
            <w:pPr>
              <w:spacing w:after="0" w:line="240" w:lineRule="auto"/>
              <w:rPr>
                <w:rFonts w:ascii="Calibri" w:hAnsi="Calibri"/>
                <w:color w:val="231F20"/>
                <w:sz w:val="18"/>
                <w:szCs w:val="18"/>
              </w:rPr>
            </w:pPr>
            <w:r w:rsidRPr="00AE4B9D">
              <w:rPr>
                <w:rFonts w:ascii="Calibri" w:hAnsi="Calibri"/>
                <w:color w:val="231F20"/>
                <w:sz w:val="18"/>
                <w:szCs w:val="18"/>
              </w:rPr>
              <w:t>18.21</w:t>
            </w:r>
          </w:p>
        </w:tc>
        <w:tc>
          <w:tcPr>
            <w:tcW w:w="0" w:type="auto"/>
            <w:tcBorders>
              <w:top w:val="nil"/>
              <w:left w:val="nil"/>
              <w:bottom w:val="single" w:sz="4" w:space="0" w:color="auto"/>
              <w:right w:val="single" w:sz="4" w:space="0" w:color="auto"/>
            </w:tcBorders>
            <w:shd w:val="clear" w:color="auto" w:fill="auto"/>
            <w:vAlign w:val="center"/>
            <w:hideMark/>
          </w:tcPr>
          <w:p w14:paraId="326C3A41" w14:textId="77777777" w:rsidR="00002D76" w:rsidRPr="00AE4B9D" w:rsidRDefault="00002D76" w:rsidP="00D63204">
            <w:pPr>
              <w:spacing w:after="0" w:line="240" w:lineRule="auto"/>
              <w:rPr>
                <w:rFonts w:ascii="Calibri" w:hAnsi="Calibri"/>
                <w:color w:val="231F20"/>
                <w:sz w:val="18"/>
                <w:szCs w:val="18"/>
              </w:rPr>
            </w:pPr>
            <w:r w:rsidRPr="00AE4B9D">
              <w:rPr>
                <w:rFonts w:ascii="Calibri" w:hAnsi="Calibri"/>
                <w:color w:val="231F20"/>
                <w:sz w:val="18"/>
                <w:szCs w:val="18"/>
              </w:rPr>
              <w:t>115,808</w:t>
            </w:r>
          </w:p>
        </w:tc>
      </w:tr>
      <w:tr w:rsidR="00002D76" w:rsidRPr="00AE4B9D" w14:paraId="6EF0583D" w14:textId="77777777" w:rsidTr="001429C7">
        <w:trPr>
          <w:trHeight w:val="480"/>
        </w:trPr>
        <w:tc>
          <w:tcPr>
            <w:tcW w:w="0" w:type="auto"/>
            <w:tcBorders>
              <w:top w:val="nil"/>
              <w:left w:val="single" w:sz="4" w:space="0" w:color="auto"/>
              <w:bottom w:val="single" w:sz="4" w:space="0" w:color="auto"/>
              <w:right w:val="single" w:sz="4" w:space="0" w:color="auto"/>
            </w:tcBorders>
            <w:shd w:val="clear" w:color="000000" w:fill="D1D3D4"/>
            <w:vAlign w:val="center"/>
            <w:hideMark/>
          </w:tcPr>
          <w:p w14:paraId="1137F0ED" w14:textId="77777777" w:rsidR="00002D76" w:rsidRPr="00AE4B9D" w:rsidRDefault="00002D76" w:rsidP="00D63204">
            <w:pPr>
              <w:spacing w:after="0" w:line="240" w:lineRule="auto"/>
              <w:rPr>
                <w:rFonts w:ascii="Calibri" w:hAnsi="Calibri"/>
                <w:color w:val="231F20"/>
                <w:sz w:val="18"/>
                <w:szCs w:val="18"/>
              </w:rPr>
            </w:pPr>
            <w:r w:rsidRPr="00AE4B9D">
              <w:rPr>
                <w:rFonts w:ascii="Calibri" w:hAnsi="Calibri"/>
                <w:color w:val="231F20"/>
                <w:sz w:val="18"/>
                <w:szCs w:val="18"/>
              </w:rPr>
              <w:t>8</w:t>
            </w:r>
          </w:p>
        </w:tc>
        <w:tc>
          <w:tcPr>
            <w:tcW w:w="0" w:type="auto"/>
            <w:tcBorders>
              <w:top w:val="nil"/>
              <w:left w:val="nil"/>
              <w:bottom w:val="single" w:sz="4" w:space="0" w:color="auto"/>
              <w:right w:val="single" w:sz="4" w:space="0" w:color="auto"/>
            </w:tcBorders>
            <w:shd w:val="clear" w:color="000000" w:fill="D1D3D4"/>
            <w:vAlign w:val="center"/>
            <w:hideMark/>
          </w:tcPr>
          <w:p w14:paraId="2A22785C" w14:textId="77777777" w:rsidR="00002D76" w:rsidRPr="00AE4B9D" w:rsidRDefault="00002D76" w:rsidP="00D63204">
            <w:pPr>
              <w:spacing w:after="0" w:line="240" w:lineRule="auto"/>
              <w:rPr>
                <w:rFonts w:ascii="Calibri" w:hAnsi="Calibri"/>
                <w:color w:val="231F20"/>
                <w:sz w:val="18"/>
                <w:szCs w:val="18"/>
              </w:rPr>
            </w:pPr>
            <w:r w:rsidRPr="00AE4B9D">
              <w:rPr>
                <w:rFonts w:ascii="Calibri" w:hAnsi="Calibri"/>
                <w:color w:val="231F20"/>
                <w:sz w:val="18"/>
                <w:szCs w:val="18"/>
              </w:rPr>
              <w:t>436014</w:t>
            </w:r>
          </w:p>
        </w:tc>
        <w:tc>
          <w:tcPr>
            <w:tcW w:w="0" w:type="auto"/>
            <w:tcBorders>
              <w:top w:val="nil"/>
              <w:left w:val="nil"/>
              <w:bottom w:val="single" w:sz="4" w:space="0" w:color="auto"/>
              <w:right w:val="single" w:sz="4" w:space="0" w:color="auto"/>
            </w:tcBorders>
            <w:shd w:val="clear" w:color="000000" w:fill="D1D3D4"/>
            <w:vAlign w:val="center"/>
            <w:hideMark/>
          </w:tcPr>
          <w:p w14:paraId="0770271C" w14:textId="0314CDEA" w:rsidR="00002D76" w:rsidRPr="00AE4B9D" w:rsidRDefault="00002D76" w:rsidP="004D6183">
            <w:pPr>
              <w:spacing w:after="0" w:line="240" w:lineRule="auto"/>
              <w:rPr>
                <w:rFonts w:ascii="Calibri" w:hAnsi="Calibri"/>
                <w:color w:val="231F20"/>
                <w:sz w:val="18"/>
                <w:szCs w:val="18"/>
              </w:rPr>
            </w:pPr>
            <w:r w:rsidRPr="00AE4B9D">
              <w:rPr>
                <w:rFonts w:ascii="Calibri" w:hAnsi="Calibri"/>
                <w:color w:val="231F20"/>
                <w:sz w:val="18"/>
                <w:szCs w:val="18"/>
              </w:rPr>
              <w:t>Secretaries, Except Legal, Medical</w:t>
            </w:r>
            <w:r w:rsidR="00D5537E">
              <w:rPr>
                <w:rFonts w:ascii="Calibri" w:hAnsi="Calibri"/>
                <w:color w:val="231F20"/>
                <w:sz w:val="18"/>
                <w:szCs w:val="18"/>
              </w:rPr>
              <w:t xml:space="preserve"> and</w:t>
            </w:r>
            <w:r w:rsidRPr="00AE4B9D">
              <w:rPr>
                <w:rFonts w:ascii="Calibri" w:hAnsi="Calibri"/>
                <w:color w:val="231F20"/>
                <w:sz w:val="18"/>
                <w:szCs w:val="18"/>
              </w:rPr>
              <w:t xml:space="preserve"> Executive</w:t>
            </w:r>
          </w:p>
        </w:tc>
        <w:tc>
          <w:tcPr>
            <w:tcW w:w="0" w:type="auto"/>
            <w:tcBorders>
              <w:top w:val="nil"/>
              <w:left w:val="nil"/>
              <w:bottom w:val="single" w:sz="4" w:space="0" w:color="auto"/>
              <w:right w:val="single" w:sz="4" w:space="0" w:color="auto"/>
            </w:tcBorders>
            <w:shd w:val="clear" w:color="000000" w:fill="D1D3D4"/>
            <w:vAlign w:val="center"/>
            <w:hideMark/>
          </w:tcPr>
          <w:p w14:paraId="74990DCC" w14:textId="77777777" w:rsidR="00002D76" w:rsidRPr="00AE4B9D" w:rsidRDefault="00002D76" w:rsidP="00D63204">
            <w:pPr>
              <w:spacing w:after="0" w:line="240" w:lineRule="auto"/>
              <w:rPr>
                <w:rFonts w:ascii="Calibri" w:hAnsi="Calibri"/>
                <w:color w:val="231F20"/>
                <w:sz w:val="18"/>
                <w:szCs w:val="18"/>
              </w:rPr>
            </w:pPr>
            <w:r w:rsidRPr="00AE4B9D">
              <w:rPr>
                <w:rFonts w:ascii="Calibri" w:hAnsi="Calibri"/>
                <w:color w:val="231F20"/>
                <w:sz w:val="18"/>
                <w:szCs w:val="18"/>
              </w:rPr>
              <w:t>194,145</w:t>
            </w:r>
          </w:p>
        </w:tc>
        <w:tc>
          <w:tcPr>
            <w:tcW w:w="0" w:type="auto"/>
            <w:tcBorders>
              <w:top w:val="nil"/>
              <w:left w:val="nil"/>
              <w:bottom w:val="single" w:sz="4" w:space="0" w:color="auto"/>
              <w:right w:val="single" w:sz="4" w:space="0" w:color="auto"/>
            </w:tcBorders>
            <w:shd w:val="clear" w:color="000000" w:fill="D1D3D4"/>
            <w:vAlign w:val="center"/>
            <w:hideMark/>
          </w:tcPr>
          <w:p w14:paraId="2EB346E4" w14:textId="77777777" w:rsidR="00002D76" w:rsidRPr="00AE4B9D" w:rsidRDefault="00002D76" w:rsidP="00D63204">
            <w:pPr>
              <w:spacing w:after="0" w:line="240" w:lineRule="auto"/>
              <w:rPr>
                <w:rFonts w:ascii="Calibri" w:hAnsi="Calibri"/>
                <w:color w:val="231F20"/>
                <w:sz w:val="18"/>
                <w:szCs w:val="18"/>
              </w:rPr>
            </w:pPr>
            <w:r w:rsidRPr="00AE4B9D">
              <w:rPr>
                <w:rFonts w:ascii="Calibri" w:hAnsi="Calibri"/>
                <w:color w:val="231F20"/>
                <w:sz w:val="18"/>
                <w:szCs w:val="18"/>
              </w:rPr>
              <w:t>211,512</w:t>
            </w:r>
          </w:p>
        </w:tc>
        <w:tc>
          <w:tcPr>
            <w:tcW w:w="0" w:type="auto"/>
            <w:tcBorders>
              <w:top w:val="nil"/>
              <w:left w:val="nil"/>
              <w:bottom w:val="single" w:sz="4" w:space="0" w:color="auto"/>
              <w:right w:val="single" w:sz="4" w:space="0" w:color="auto"/>
            </w:tcBorders>
            <w:shd w:val="clear" w:color="000000" w:fill="D1D3D4"/>
            <w:vAlign w:val="center"/>
            <w:hideMark/>
          </w:tcPr>
          <w:p w14:paraId="2EB3755E" w14:textId="77777777" w:rsidR="00002D76" w:rsidRPr="00AE4B9D" w:rsidRDefault="00002D76" w:rsidP="00D63204">
            <w:pPr>
              <w:spacing w:after="0" w:line="240" w:lineRule="auto"/>
              <w:rPr>
                <w:rFonts w:ascii="Calibri" w:hAnsi="Calibri"/>
                <w:color w:val="231F20"/>
                <w:sz w:val="18"/>
                <w:szCs w:val="18"/>
              </w:rPr>
            </w:pPr>
            <w:r w:rsidRPr="00AE4B9D">
              <w:rPr>
                <w:rFonts w:ascii="Calibri" w:hAnsi="Calibri"/>
                <w:color w:val="231F20"/>
                <w:sz w:val="18"/>
                <w:szCs w:val="18"/>
              </w:rPr>
              <w:t>17,367</w:t>
            </w:r>
          </w:p>
        </w:tc>
        <w:tc>
          <w:tcPr>
            <w:tcW w:w="0" w:type="auto"/>
            <w:tcBorders>
              <w:top w:val="nil"/>
              <w:left w:val="nil"/>
              <w:bottom w:val="single" w:sz="4" w:space="0" w:color="auto"/>
              <w:right w:val="single" w:sz="4" w:space="0" w:color="auto"/>
            </w:tcBorders>
            <w:shd w:val="clear" w:color="000000" w:fill="D1D3D4"/>
            <w:vAlign w:val="center"/>
            <w:hideMark/>
          </w:tcPr>
          <w:p w14:paraId="35AA5723" w14:textId="77777777" w:rsidR="00002D76" w:rsidRPr="00AE4B9D" w:rsidRDefault="00002D76" w:rsidP="00D63204">
            <w:pPr>
              <w:spacing w:after="0" w:line="240" w:lineRule="auto"/>
              <w:rPr>
                <w:rFonts w:ascii="Calibri" w:hAnsi="Calibri"/>
                <w:color w:val="231F20"/>
                <w:sz w:val="18"/>
                <w:szCs w:val="18"/>
              </w:rPr>
            </w:pPr>
            <w:r w:rsidRPr="00AE4B9D">
              <w:rPr>
                <w:rFonts w:ascii="Calibri" w:hAnsi="Calibri"/>
                <w:color w:val="231F20"/>
                <w:sz w:val="18"/>
                <w:szCs w:val="18"/>
              </w:rPr>
              <w:t>8.95</w:t>
            </w:r>
          </w:p>
        </w:tc>
        <w:tc>
          <w:tcPr>
            <w:tcW w:w="0" w:type="auto"/>
            <w:tcBorders>
              <w:top w:val="nil"/>
              <w:left w:val="nil"/>
              <w:bottom w:val="single" w:sz="4" w:space="0" w:color="auto"/>
              <w:right w:val="single" w:sz="4" w:space="0" w:color="auto"/>
            </w:tcBorders>
            <w:shd w:val="clear" w:color="000000" w:fill="D1D3D4"/>
            <w:vAlign w:val="center"/>
            <w:hideMark/>
          </w:tcPr>
          <w:p w14:paraId="62DDB833" w14:textId="77777777" w:rsidR="00002D76" w:rsidRPr="00AE4B9D" w:rsidRDefault="00002D76" w:rsidP="00D63204">
            <w:pPr>
              <w:spacing w:after="0" w:line="240" w:lineRule="auto"/>
              <w:rPr>
                <w:rFonts w:ascii="Calibri" w:hAnsi="Calibri"/>
                <w:color w:val="231F20"/>
                <w:sz w:val="18"/>
                <w:szCs w:val="18"/>
              </w:rPr>
            </w:pPr>
            <w:r w:rsidRPr="00AE4B9D">
              <w:rPr>
                <w:rFonts w:ascii="Calibri" w:hAnsi="Calibri"/>
                <w:color w:val="231F20"/>
                <w:sz w:val="18"/>
                <w:szCs w:val="18"/>
              </w:rPr>
              <w:t>182,226</w:t>
            </w:r>
          </w:p>
        </w:tc>
      </w:tr>
      <w:tr w:rsidR="00002D76" w:rsidRPr="00AE4B9D" w14:paraId="539D7B45" w14:textId="77777777" w:rsidTr="001429C7">
        <w:trPr>
          <w:trHeight w:val="485"/>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5760297" w14:textId="77777777" w:rsidR="00002D76" w:rsidRPr="00AE4B9D" w:rsidRDefault="00002D76" w:rsidP="00D63204">
            <w:pPr>
              <w:spacing w:after="0" w:line="240" w:lineRule="auto"/>
              <w:rPr>
                <w:rFonts w:ascii="Calibri" w:hAnsi="Calibri"/>
                <w:color w:val="231F20"/>
                <w:sz w:val="18"/>
                <w:szCs w:val="18"/>
              </w:rPr>
            </w:pPr>
            <w:r w:rsidRPr="00AE4B9D">
              <w:rPr>
                <w:rFonts w:ascii="Calibri" w:hAnsi="Calibri"/>
                <w:color w:val="231F20"/>
                <w:sz w:val="18"/>
                <w:szCs w:val="18"/>
              </w:rPr>
              <w:t>9</w:t>
            </w:r>
          </w:p>
        </w:tc>
        <w:tc>
          <w:tcPr>
            <w:tcW w:w="0" w:type="auto"/>
            <w:tcBorders>
              <w:top w:val="nil"/>
              <w:left w:val="nil"/>
              <w:bottom w:val="single" w:sz="4" w:space="0" w:color="auto"/>
              <w:right w:val="single" w:sz="4" w:space="0" w:color="auto"/>
            </w:tcBorders>
            <w:shd w:val="clear" w:color="auto" w:fill="auto"/>
            <w:vAlign w:val="center"/>
            <w:hideMark/>
          </w:tcPr>
          <w:p w14:paraId="6B4E1A05" w14:textId="77777777" w:rsidR="00002D76" w:rsidRPr="00AE4B9D" w:rsidRDefault="00002D76" w:rsidP="00D63204">
            <w:pPr>
              <w:spacing w:after="0" w:line="240" w:lineRule="auto"/>
              <w:rPr>
                <w:rFonts w:ascii="Calibri" w:hAnsi="Calibri"/>
                <w:color w:val="231F20"/>
                <w:sz w:val="18"/>
                <w:szCs w:val="18"/>
              </w:rPr>
            </w:pPr>
            <w:r w:rsidRPr="00AE4B9D">
              <w:rPr>
                <w:rFonts w:ascii="Calibri" w:hAnsi="Calibri"/>
                <w:color w:val="231F20"/>
                <w:sz w:val="18"/>
                <w:szCs w:val="18"/>
              </w:rPr>
              <w:t>372011</w:t>
            </w:r>
          </w:p>
        </w:tc>
        <w:tc>
          <w:tcPr>
            <w:tcW w:w="0" w:type="auto"/>
            <w:tcBorders>
              <w:top w:val="nil"/>
              <w:left w:val="nil"/>
              <w:bottom w:val="single" w:sz="4" w:space="0" w:color="auto"/>
              <w:right w:val="single" w:sz="4" w:space="0" w:color="auto"/>
            </w:tcBorders>
            <w:shd w:val="clear" w:color="auto" w:fill="auto"/>
            <w:vAlign w:val="center"/>
            <w:hideMark/>
          </w:tcPr>
          <w:p w14:paraId="2E491061" w14:textId="77777777" w:rsidR="00002D76" w:rsidRPr="00AE4B9D" w:rsidRDefault="00002D76" w:rsidP="004D6183">
            <w:pPr>
              <w:spacing w:after="0" w:line="240" w:lineRule="auto"/>
              <w:rPr>
                <w:rFonts w:ascii="Calibri" w:hAnsi="Calibri"/>
                <w:color w:val="231F20"/>
                <w:sz w:val="18"/>
                <w:szCs w:val="18"/>
              </w:rPr>
            </w:pPr>
            <w:r w:rsidRPr="00AE4B9D">
              <w:rPr>
                <w:rFonts w:ascii="Calibri" w:hAnsi="Calibri"/>
                <w:color w:val="231F20"/>
                <w:sz w:val="18"/>
                <w:szCs w:val="18"/>
              </w:rPr>
              <w:t>Janitors and Cleaners, Except Maids and Housekeeping</w:t>
            </w:r>
          </w:p>
        </w:tc>
        <w:tc>
          <w:tcPr>
            <w:tcW w:w="0" w:type="auto"/>
            <w:tcBorders>
              <w:top w:val="nil"/>
              <w:left w:val="nil"/>
              <w:bottom w:val="single" w:sz="4" w:space="0" w:color="auto"/>
              <w:right w:val="single" w:sz="4" w:space="0" w:color="auto"/>
            </w:tcBorders>
            <w:shd w:val="clear" w:color="auto" w:fill="auto"/>
            <w:vAlign w:val="center"/>
            <w:hideMark/>
          </w:tcPr>
          <w:p w14:paraId="440615B5" w14:textId="77777777" w:rsidR="00002D76" w:rsidRPr="00AE4B9D" w:rsidRDefault="00002D76" w:rsidP="00D63204">
            <w:pPr>
              <w:spacing w:after="0" w:line="240" w:lineRule="auto"/>
              <w:rPr>
                <w:rFonts w:ascii="Calibri" w:hAnsi="Calibri"/>
                <w:color w:val="231F20"/>
                <w:sz w:val="18"/>
                <w:szCs w:val="18"/>
              </w:rPr>
            </w:pPr>
            <w:r w:rsidRPr="00AE4B9D">
              <w:rPr>
                <w:rFonts w:ascii="Calibri" w:hAnsi="Calibri"/>
                <w:color w:val="231F20"/>
                <w:sz w:val="18"/>
                <w:szCs w:val="18"/>
              </w:rPr>
              <w:t>131,143</w:t>
            </w:r>
          </w:p>
        </w:tc>
        <w:tc>
          <w:tcPr>
            <w:tcW w:w="0" w:type="auto"/>
            <w:tcBorders>
              <w:top w:val="nil"/>
              <w:left w:val="nil"/>
              <w:bottom w:val="single" w:sz="4" w:space="0" w:color="auto"/>
              <w:right w:val="single" w:sz="4" w:space="0" w:color="auto"/>
            </w:tcBorders>
            <w:shd w:val="clear" w:color="auto" w:fill="auto"/>
            <w:vAlign w:val="center"/>
            <w:hideMark/>
          </w:tcPr>
          <w:p w14:paraId="387B8AA2" w14:textId="77777777" w:rsidR="00002D76" w:rsidRPr="00AE4B9D" w:rsidRDefault="00002D76" w:rsidP="00D63204">
            <w:pPr>
              <w:spacing w:after="0" w:line="240" w:lineRule="auto"/>
              <w:rPr>
                <w:rFonts w:ascii="Calibri" w:hAnsi="Calibri"/>
                <w:color w:val="231F20"/>
                <w:sz w:val="18"/>
                <w:szCs w:val="18"/>
              </w:rPr>
            </w:pPr>
            <w:r w:rsidRPr="00AE4B9D">
              <w:rPr>
                <w:rFonts w:ascii="Calibri" w:hAnsi="Calibri"/>
                <w:color w:val="231F20"/>
                <w:sz w:val="18"/>
                <w:szCs w:val="18"/>
              </w:rPr>
              <w:t>147,628</w:t>
            </w:r>
          </w:p>
        </w:tc>
        <w:tc>
          <w:tcPr>
            <w:tcW w:w="0" w:type="auto"/>
            <w:tcBorders>
              <w:top w:val="nil"/>
              <w:left w:val="nil"/>
              <w:bottom w:val="single" w:sz="4" w:space="0" w:color="auto"/>
              <w:right w:val="single" w:sz="4" w:space="0" w:color="auto"/>
            </w:tcBorders>
            <w:shd w:val="clear" w:color="auto" w:fill="auto"/>
            <w:vAlign w:val="center"/>
            <w:hideMark/>
          </w:tcPr>
          <w:p w14:paraId="7682466F" w14:textId="77777777" w:rsidR="00002D76" w:rsidRPr="00AE4B9D" w:rsidRDefault="00002D76" w:rsidP="00D63204">
            <w:pPr>
              <w:spacing w:after="0" w:line="240" w:lineRule="auto"/>
              <w:rPr>
                <w:rFonts w:ascii="Calibri" w:hAnsi="Calibri"/>
                <w:color w:val="231F20"/>
                <w:sz w:val="18"/>
                <w:szCs w:val="18"/>
              </w:rPr>
            </w:pPr>
            <w:r w:rsidRPr="00AE4B9D">
              <w:rPr>
                <w:rFonts w:ascii="Calibri" w:hAnsi="Calibri"/>
                <w:color w:val="231F20"/>
                <w:sz w:val="18"/>
                <w:szCs w:val="18"/>
              </w:rPr>
              <w:t>16,485</w:t>
            </w:r>
          </w:p>
        </w:tc>
        <w:tc>
          <w:tcPr>
            <w:tcW w:w="0" w:type="auto"/>
            <w:tcBorders>
              <w:top w:val="nil"/>
              <w:left w:val="nil"/>
              <w:bottom w:val="single" w:sz="4" w:space="0" w:color="auto"/>
              <w:right w:val="single" w:sz="4" w:space="0" w:color="auto"/>
            </w:tcBorders>
            <w:shd w:val="clear" w:color="auto" w:fill="auto"/>
            <w:vAlign w:val="center"/>
            <w:hideMark/>
          </w:tcPr>
          <w:p w14:paraId="7ED50B81" w14:textId="77777777" w:rsidR="00002D76" w:rsidRPr="00AE4B9D" w:rsidRDefault="00002D76" w:rsidP="00D63204">
            <w:pPr>
              <w:spacing w:after="0" w:line="240" w:lineRule="auto"/>
              <w:rPr>
                <w:rFonts w:ascii="Calibri" w:hAnsi="Calibri"/>
                <w:color w:val="231F20"/>
                <w:sz w:val="18"/>
                <w:szCs w:val="18"/>
              </w:rPr>
            </w:pPr>
            <w:r w:rsidRPr="00AE4B9D">
              <w:rPr>
                <w:rFonts w:ascii="Calibri" w:hAnsi="Calibri"/>
                <w:color w:val="231F20"/>
                <w:sz w:val="18"/>
                <w:szCs w:val="18"/>
              </w:rPr>
              <w:t>12.57</w:t>
            </w:r>
          </w:p>
        </w:tc>
        <w:tc>
          <w:tcPr>
            <w:tcW w:w="0" w:type="auto"/>
            <w:tcBorders>
              <w:top w:val="nil"/>
              <w:left w:val="nil"/>
              <w:bottom w:val="single" w:sz="4" w:space="0" w:color="auto"/>
              <w:right w:val="single" w:sz="4" w:space="0" w:color="auto"/>
            </w:tcBorders>
            <w:shd w:val="clear" w:color="auto" w:fill="auto"/>
            <w:vAlign w:val="center"/>
            <w:hideMark/>
          </w:tcPr>
          <w:p w14:paraId="4E274561" w14:textId="77777777" w:rsidR="00002D76" w:rsidRPr="00AE4B9D" w:rsidRDefault="00002D76" w:rsidP="00D63204">
            <w:pPr>
              <w:spacing w:after="0" w:line="240" w:lineRule="auto"/>
              <w:rPr>
                <w:rFonts w:ascii="Calibri" w:hAnsi="Calibri"/>
                <w:color w:val="231F20"/>
                <w:sz w:val="18"/>
                <w:szCs w:val="18"/>
              </w:rPr>
            </w:pPr>
            <w:r w:rsidRPr="00AE4B9D">
              <w:rPr>
                <w:rFonts w:ascii="Calibri" w:hAnsi="Calibri"/>
                <w:color w:val="231F20"/>
                <w:sz w:val="18"/>
                <w:szCs w:val="18"/>
              </w:rPr>
              <w:t>160,755</w:t>
            </w:r>
          </w:p>
        </w:tc>
      </w:tr>
      <w:tr w:rsidR="00002D76" w:rsidRPr="00AE4B9D" w14:paraId="71349014" w14:textId="77777777" w:rsidTr="001429C7">
        <w:trPr>
          <w:trHeight w:val="480"/>
        </w:trPr>
        <w:tc>
          <w:tcPr>
            <w:tcW w:w="0" w:type="auto"/>
            <w:tcBorders>
              <w:top w:val="nil"/>
              <w:left w:val="single" w:sz="4" w:space="0" w:color="auto"/>
              <w:bottom w:val="single" w:sz="4" w:space="0" w:color="auto"/>
              <w:right w:val="single" w:sz="4" w:space="0" w:color="auto"/>
            </w:tcBorders>
            <w:shd w:val="clear" w:color="000000" w:fill="D1D3D4"/>
            <w:vAlign w:val="center"/>
            <w:hideMark/>
          </w:tcPr>
          <w:p w14:paraId="5B8EE885" w14:textId="77777777" w:rsidR="00002D76" w:rsidRPr="00AE4B9D" w:rsidRDefault="00002D76" w:rsidP="00D63204">
            <w:pPr>
              <w:spacing w:after="0" w:line="240" w:lineRule="auto"/>
              <w:rPr>
                <w:rFonts w:ascii="Calibri" w:hAnsi="Calibri"/>
                <w:color w:val="231F20"/>
                <w:sz w:val="18"/>
                <w:szCs w:val="18"/>
              </w:rPr>
            </w:pPr>
            <w:r w:rsidRPr="00AE4B9D">
              <w:rPr>
                <w:rFonts w:ascii="Calibri" w:hAnsi="Calibri"/>
                <w:color w:val="231F20"/>
                <w:sz w:val="18"/>
                <w:szCs w:val="18"/>
              </w:rPr>
              <w:t>10</w:t>
            </w:r>
          </w:p>
        </w:tc>
        <w:tc>
          <w:tcPr>
            <w:tcW w:w="0" w:type="auto"/>
            <w:tcBorders>
              <w:top w:val="nil"/>
              <w:left w:val="nil"/>
              <w:bottom w:val="single" w:sz="4" w:space="0" w:color="auto"/>
              <w:right w:val="single" w:sz="4" w:space="0" w:color="auto"/>
            </w:tcBorders>
            <w:shd w:val="clear" w:color="000000" w:fill="D1D3D4"/>
            <w:vAlign w:val="center"/>
            <w:hideMark/>
          </w:tcPr>
          <w:p w14:paraId="147B2A15" w14:textId="77777777" w:rsidR="00002D76" w:rsidRPr="00AE4B9D" w:rsidRDefault="00002D76" w:rsidP="00D63204">
            <w:pPr>
              <w:spacing w:after="0" w:line="240" w:lineRule="auto"/>
              <w:rPr>
                <w:rFonts w:ascii="Calibri" w:hAnsi="Calibri"/>
                <w:color w:val="231F20"/>
                <w:sz w:val="18"/>
                <w:szCs w:val="18"/>
              </w:rPr>
            </w:pPr>
            <w:r w:rsidRPr="00AE4B9D">
              <w:rPr>
                <w:rFonts w:ascii="Calibri" w:hAnsi="Calibri"/>
                <w:color w:val="231F20"/>
                <w:sz w:val="18"/>
                <w:szCs w:val="18"/>
              </w:rPr>
              <w:t>373011</w:t>
            </w:r>
          </w:p>
        </w:tc>
        <w:tc>
          <w:tcPr>
            <w:tcW w:w="0" w:type="auto"/>
            <w:tcBorders>
              <w:top w:val="nil"/>
              <w:left w:val="nil"/>
              <w:bottom w:val="single" w:sz="4" w:space="0" w:color="auto"/>
              <w:right w:val="single" w:sz="4" w:space="0" w:color="auto"/>
            </w:tcBorders>
            <w:shd w:val="clear" w:color="000000" w:fill="D1D3D4"/>
            <w:vAlign w:val="center"/>
            <w:hideMark/>
          </w:tcPr>
          <w:p w14:paraId="540A3375" w14:textId="6EF4EB9F" w:rsidR="00002D76" w:rsidRPr="00AE4B9D" w:rsidRDefault="00002D76" w:rsidP="004D6183">
            <w:pPr>
              <w:spacing w:after="0" w:line="240" w:lineRule="auto"/>
              <w:rPr>
                <w:rFonts w:ascii="Calibri" w:hAnsi="Calibri"/>
                <w:color w:val="231F20"/>
                <w:sz w:val="18"/>
                <w:szCs w:val="18"/>
              </w:rPr>
            </w:pPr>
            <w:r w:rsidRPr="00AE4B9D">
              <w:rPr>
                <w:rFonts w:ascii="Calibri" w:hAnsi="Calibri"/>
                <w:color w:val="231F20"/>
                <w:sz w:val="18"/>
                <w:szCs w:val="18"/>
              </w:rPr>
              <w:t xml:space="preserve">Landscaping and </w:t>
            </w:r>
            <w:r w:rsidR="00432EC6" w:rsidRPr="00AE4B9D">
              <w:rPr>
                <w:rFonts w:ascii="Calibri" w:hAnsi="Calibri"/>
                <w:color w:val="231F20"/>
                <w:sz w:val="18"/>
                <w:szCs w:val="18"/>
              </w:rPr>
              <w:t>Grounds keeping</w:t>
            </w:r>
            <w:r w:rsidRPr="00AE4B9D">
              <w:rPr>
                <w:rFonts w:ascii="Calibri" w:hAnsi="Calibri"/>
                <w:color w:val="231F20"/>
                <w:sz w:val="18"/>
                <w:szCs w:val="18"/>
              </w:rPr>
              <w:t xml:space="preserve"> Workers</w:t>
            </w:r>
          </w:p>
        </w:tc>
        <w:tc>
          <w:tcPr>
            <w:tcW w:w="0" w:type="auto"/>
            <w:tcBorders>
              <w:top w:val="nil"/>
              <w:left w:val="nil"/>
              <w:bottom w:val="single" w:sz="4" w:space="0" w:color="auto"/>
              <w:right w:val="single" w:sz="4" w:space="0" w:color="auto"/>
            </w:tcBorders>
            <w:shd w:val="clear" w:color="000000" w:fill="D1D3D4"/>
            <w:vAlign w:val="center"/>
            <w:hideMark/>
          </w:tcPr>
          <w:p w14:paraId="2664E274" w14:textId="77777777" w:rsidR="00002D76" w:rsidRPr="00AE4B9D" w:rsidRDefault="00002D76" w:rsidP="00D63204">
            <w:pPr>
              <w:spacing w:after="0" w:line="240" w:lineRule="auto"/>
              <w:rPr>
                <w:rFonts w:ascii="Calibri" w:hAnsi="Calibri"/>
                <w:color w:val="231F20"/>
                <w:sz w:val="18"/>
                <w:szCs w:val="18"/>
              </w:rPr>
            </w:pPr>
            <w:r w:rsidRPr="00AE4B9D">
              <w:rPr>
                <w:rFonts w:ascii="Calibri" w:hAnsi="Calibri"/>
                <w:color w:val="231F20"/>
                <w:sz w:val="18"/>
                <w:szCs w:val="18"/>
              </w:rPr>
              <w:t>115,326</w:t>
            </w:r>
          </w:p>
        </w:tc>
        <w:tc>
          <w:tcPr>
            <w:tcW w:w="0" w:type="auto"/>
            <w:tcBorders>
              <w:top w:val="nil"/>
              <w:left w:val="nil"/>
              <w:bottom w:val="single" w:sz="4" w:space="0" w:color="auto"/>
              <w:right w:val="single" w:sz="4" w:space="0" w:color="auto"/>
            </w:tcBorders>
            <w:shd w:val="clear" w:color="000000" w:fill="D1D3D4"/>
            <w:vAlign w:val="center"/>
            <w:hideMark/>
          </w:tcPr>
          <w:p w14:paraId="0750328B" w14:textId="77777777" w:rsidR="00002D76" w:rsidRPr="00AE4B9D" w:rsidRDefault="00002D76" w:rsidP="00D63204">
            <w:pPr>
              <w:spacing w:after="0" w:line="240" w:lineRule="auto"/>
              <w:rPr>
                <w:rFonts w:ascii="Calibri" w:hAnsi="Calibri"/>
                <w:color w:val="231F20"/>
                <w:sz w:val="18"/>
                <w:szCs w:val="18"/>
              </w:rPr>
            </w:pPr>
            <w:r w:rsidRPr="00AE4B9D">
              <w:rPr>
                <w:rFonts w:ascii="Calibri" w:hAnsi="Calibri"/>
                <w:color w:val="231F20"/>
                <w:sz w:val="18"/>
                <w:szCs w:val="18"/>
              </w:rPr>
              <w:t>130,911</w:t>
            </w:r>
          </w:p>
        </w:tc>
        <w:tc>
          <w:tcPr>
            <w:tcW w:w="0" w:type="auto"/>
            <w:tcBorders>
              <w:top w:val="nil"/>
              <w:left w:val="nil"/>
              <w:bottom w:val="single" w:sz="4" w:space="0" w:color="auto"/>
              <w:right w:val="single" w:sz="4" w:space="0" w:color="auto"/>
            </w:tcBorders>
            <w:shd w:val="clear" w:color="000000" w:fill="D1D3D4"/>
            <w:vAlign w:val="center"/>
            <w:hideMark/>
          </w:tcPr>
          <w:p w14:paraId="2AAFAD07" w14:textId="77777777" w:rsidR="00002D76" w:rsidRPr="00AE4B9D" w:rsidRDefault="00002D76" w:rsidP="00D63204">
            <w:pPr>
              <w:spacing w:after="0" w:line="240" w:lineRule="auto"/>
              <w:rPr>
                <w:rFonts w:ascii="Calibri" w:hAnsi="Calibri"/>
                <w:color w:val="231F20"/>
                <w:sz w:val="18"/>
                <w:szCs w:val="18"/>
              </w:rPr>
            </w:pPr>
            <w:r w:rsidRPr="00AE4B9D">
              <w:rPr>
                <w:rFonts w:ascii="Calibri" w:hAnsi="Calibri"/>
                <w:color w:val="231F20"/>
                <w:sz w:val="18"/>
                <w:szCs w:val="18"/>
              </w:rPr>
              <w:t>15,585</w:t>
            </w:r>
          </w:p>
        </w:tc>
        <w:tc>
          <w:tcPr>
            <w:tcW w:w="0" w:type="auto"/>
            <w:tcBorders>
              <w:top w:val="nil"/>
              <w:left w:val="nil"/>
              <w:bottom w:val="single" w:sz="4" w:space="0" w:color="auto"/>
              <w:right w:val="single" w:sz="4" w:space="0" w:color="auto"/>
            </w:tcBorders>
            <w:shd w:val="clear" w:color="000000" w:fill="D1D3D4"/>
            <w:vAlign w:val="center"/>
            <w:hideMark/>
          </w:tcPr>
          <w:p w14:paraId="308DB7AA" w14:textId="77777777" w:rsidR="00002D76" w:rsidRPr="00AE4B9D" w:rsidRDefault="00002D76" w:rsidP="00D63204">
            <w:pPr>
              <w:spacing w:after="0" w:line="240" w:lineRule="auto"/>
              <w:rPr>
                <w:rFonts w:ascii="Calibri" w:hAnsi="Calibri"/>
                <w:color w:val="231F20"/>
                <w:sz w:val="18"/>
                <w:szCs w:val="18"/>
              </w:rPr>
            </w:pPr>
            <w:r w:rsidRPr="00AE4B9D">
              <w:rPr>
                <w:rFonts w:ascii="Calibri" w:hAnsi="Calibri"/>
                <w:color w:val="231F20"/>
                <w:sz w:val="18"/>
                <w:szCs w:val="18"/>
              </w:rPr>
              <w:t>13.51</w:t>
            </w:r>
          </w:p>
        </w:tc>
        <w:tc>
          <w:tcPr>
            <w:tcW w:w="0" w:type="auto"/>
            <w:tcBorders>
              <w:top w:val="nil"/>
              <w:left w:val="nil"/>
              <w:bottom w:val="single" w:sz="4" w:space="0" w:color="auto"/>
              <w:right w:val="single" w:sz="4" w:space="0" w:color="auto"/>
            </w:tcBorders>
            <w:shd w:val="clear" w:color="000000" w:fill="D1D3D4"/>
            <w:vAlign w:val="center"/>
            <w:hideMark/>
          </w:tcPr>
          <w:p w14:paraId="47CBD198" w14:textId="77777777" w:rsidR="00002D76" w:rsidRPr="00AE4B9D" w:rsidRDefault="00002D76" w:rsidP="00D63204">
            <w:pPr>
              <w:spacing w:after="0" w:line="240" w:lineRule="auto"/>
              <w:rPr>
                <w:rFonts w:ascii="Calibri" w:hAnsi="Calibri"/>
                <w:color w:val="231F20"/>
                <w:sz w:val="18"/>
                <w:szCs w:val="18"/>
              </w:rPr>
            </w:pPr>
            <w:r w:rsidRPr="00AE4B9D">
              <w:rPr>
                <w:rFonts w:ascii="Calibri" w:hAnsi="Calibri"/>
                <w:color w:val="231F20"/>
                <w:sz w:val="18"/>
                <w:szCs w:val="18"/>
              </w:rPr>
              <w:t>131,690</w:t>
            </w:r>
          </w:p>
        </w:tc>
      </w:tr>
      <w:tr w:rsidR="00002D76" w:rsidRPr="00AE4B9D" w14:paraId="3943D7D6" w14:textId="77777777" w:rsidTr="001429C7">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88843A2" w14:textId="77777777" w:rsidR="00002D76" w:rsidRPr="00AE4B9D" w:rsidRDefault="00002D76" w:rsidP="00D63204">
            <w:pPr>
              <w:spacing w:after="0" w:line="240" w:lineRule="auto"/>
              <w:rPr>
                <w:rFonts w:ascii="Calibri" w:hAnsi="Calibri"/>
                <w:color w:val="231F20"/>
                <w:sz w:val="18"/>
                <w:szCs w:val="18"/>
              </w:rPr>
            </w:pPr>
            <w:r w:rsidRPr="00AE4B9D">
              <w:rPr>
                <w:rFonts w:ascii="Calibri" w:hAnsi="Calibri"/>
                <w:color w:val="231F20"/>
                <w:sz w:val="18"/>
                <w:szCs w:val="18"/>
              </w:rPr>
              <w:t>11</w:t>
            </w:r>
          </w:p>
        </w:tc>
        <w:tc>
          <w:tcPr>
            <w:tcW w:w="0" w:type="auto"/>
            <w:tcBorders>
              <w:top w:val="nil"/>
              <w:left w:val="nil"/>
              <w:bottom w:val="single" w:sz="4" w:space="0" w:color="auto"/>
              <w:right w:val="single" w:sz="4" w:space="0" w:color="auto"/>
            </w:tcBorders>
            <w:shd w:val="clear" w:color="auto" w:fill="auto"/>
            <w:vAlign w:val="center"/>
            <w:hideMark/>
          </w:tcPr>
          <w:p w14:paraId="6E9754C6" w14:textId="77777777" w:rsidR="00002D76" w:rsidRPr="00AE4B9D" w:rsidRDefault="00002D76" w:rsidP="00D63204">
            <w:pPr>
              <w:spacing w:after="0" w:line="240" w:lineRule="auto"/>
              <w:rPr>
                <w:rFonts w:ascii="Calibri" w:hAnsi="Calibri"/>
                <w:color w:val="231F20"/>
                <w:sz w:val="18"/>
                <w:szCs w:val="18"/>
              </w:rPr>
            </w:pPr>
            <w:r w:rsidRPr="00AE4B9D">
              <w:rPr>
                <w:rFonts w:ascii="Calibri" w:hAnsi="Calibri"/>
                <w:color w:val="231F20"/>
                <w:sz w:val="18"/>
                <w:szCs w:val="18"/>
              </w:rPr>
              <w:t>439061</w:t>
            </w:r>
          </w:p>
        </w:tc>
        <w:tc>
          <w:tcPr>
            <w:tcW w:w="0" w:type="auto"/>
            <w:tcBorders>
              <w:top w:val="nil"/>
              <w:left w:val="nil"/>
              <w:bottom w:val="single" w:sz="4" w:space="0" w:color="auto"/>
              <w:right w:val="single" w:sz="4" w:space="0" w:color="auto"/>
            </w:tcBorders>
            <w:shd w:val="clear" w:color="auto" w:fill="auto"/>
            <w:vAlign w:val="center"/>
            <w:hideMark/>
          </w:tcPr>
          <w:p w14:paraId="3E9C0F3D" w14:textId="77777777" w:rsidR="00002D76" w:rsidRPr="00AE4B9D" w:rsidRDefault="00002D76" w:rsidP="004D6183">
            <w:pPr>
              <w:spacing w:after="0" w:line="240" w:lineRule="auto"/>
              <w:rPr>
                <w:rFonts w:ascii="Calibri" w:hAnsi="Calibri"/>
                <w:color w:val="231F20"/>
                <w:sz w:val="18"/>
                <w:szCs w:val="18"/>
              </w:rPr>
            </w:pPr>
            <w:r w:rsidRPr="00AE4B9D">
              <w:rPr>
                <w:rFonts w:ascii="Calibri" w:hAnsi="Calibri"/>
                <w:color w:val="231F20"/>
                <w:sz w:val="18"/>
                <w:szCs w:val="18"/>
              </w:rPr>
              <w:t>Office Clerks, General</w:t>
            </w:r>
          </w:p>
        </w:tc>
        <w:tc>
          <w:tcPr>
            <w:tcW w:w="0" w:type="auto"/>
            <w:tcBorders>
              <w:top w:val="nil"/>
              <w:left w:val="nil"/>
              <w:bottom w:val="single" w:sz="4" w:space="0" w:color="auto"/>
              <w:right w:val="single" w:sz="4" w:space="0" w:color="auto"/>
            </w:tcBorders>
            <w:shd w:val="clear" w:color="auto" w:fill="auto"/>
            <w:vAlign w:val="center"/>
            <w:hideMark/>
          </w:tcPr>
          <w:p w14:paraId="040172CD" w14:textId="77777777" w:rsidR="00002D76" w:rsidRPr="00AE4B9D" w:rsidRDefault="00002D76" w:rsidP="00D63204">
            <w:pPr>
              <w:spacing w:after="0" w:line="240" w:lineRule="auto"/>
              <w:rPr>
                <w:rFonts w:ascii="Calibri" w:hAnsi="Calibri"/>
                <w:color w:val="231F20"/>
                <w:sz w:val="18"/>
                <w:szCs w:val="18"/>
              </w:rPr>
            </w:pPr>
            <w:r w:rsidRPr="00AE4B9D">
              <w:rPr>
                <w:rFonts w:ascii="Calibri" w:hAnsi="Calibri"/>
                <w:color w:val="231F20"/>
                <w:sz w:val="18"/>
                <w:szCs w:val="18"/>
              </w:rPr>
              <w:t>173,867</w:t>
            </w:r>
          </w:p>
        </w:tc>
        <w:tc>
          <w:tcPr>
            <w:tcW w:w="0" w:type="auto"/>
            <w:tcBorders>
              <w:top w:val="nil"/>
              <w:left w:val="nil"/>
              <w:bottom w:val="single" w:sz="4" w:space="0" w:color="auto"/>
              <w:right w:val="single" w:sz="4" w:space="0" w:color="auto"/>
            </w:tcBorders>
            <w:shd w:val="clear" w:color="auto" w:fill="auto"/>
            <w:vAlign w:val="center"/>
            <w:hideMark/>
          </w:tcPr>
          <w:p w14:paraId="469DDB91" w14:textId="77777777" w:rsidR="00002D76" w:rsidRPr="00AE4B9D" w:rsidRDefault="00002D76" w:rsidP="00D63204">
            <w:pPr>
              <w:spacing w:after="0" w:line="240" w:lineRule="auto"/>
              <w:rPr>
                <w:rFonts w:ascii="Calibri" w:hAnsi="Calibri"/>
                <w:color w:val="231F20"/>
                <w:sz w:val="18"/>
                <w:szCs w:val="18"/>
              </w:rPr>
            </w:pPr>
            <w:r w:rsidRPr="00AE4B9D">
              <w:rPr>
                <w:rFonts w:ascii="Calibri" w:hAnsi="Calibri"/>
                <w:color w:val="231F20"/>
                <w:sz w:val="18"/>
                <w:szCs w:val="18"/>
              </w:rPr>
              <w:t>188,359</w:t>
            </w:r>
          </w:p>
        </w:tc>
        <w:tc>
          <w:tcPr>
            <w:tcW w:w="0" w:type="auto"/>
            <w:tcBorders>
              <w:top w:val="nil"/>
              <w:left w:val="nil"/>
              <w:bottom w:val="single" w:sz="4" w:space="0" w:color="auto"/>
              <w:right w:val="single" w:sz="4" w:space="0" w:color="auto"/>
            </w:tcBorders>
            <w:shd w:val="clear" w:color="auto" w:fill="auto"/>
            <w:vAlign w:val="center"/>
            <w:hideMark/>
          </w:tcPr>
          <w:p w14:paraId="30FD3340" w14:textId="77777777" w:rsidR="00002D76" w:rsidRPr="00AE4B9D" w:rsidRDefault="00002D76" w:rsidP="00D63204">
            <w:pPr>
              <w:spacing w:after="0" w:line="240" w:lineRule="auto"/>
              <w:rPr>
                <w:rFonts w:ascii="Calibri" w:hAnsi="Calibri"/>
                <w:color w:val="231F20"/>
                <w:sz w:val="18"/>
                <w:szCs w:val="18"/>
              </w:rPr>
            </w:pPr>
            <w:r w:rsidRPr="00AE4B9D">
              <w:rPr>
                <w:rFonts w:ascii="Calibri" w:hAnsi="Calibri"/>
                <w:color w:val="231F20"/>
                <w:sz w:val="18"/>
                <w:szCs w:val="18"/>
              </w:rPr>
              <w:t>14,492</w:t>
            </w:r>
          </w:p>
        </w:tc>
        <w:tc>
          <w:tcPr>
            <w:tcW w:w="0" w:type="auto"/>
            <w:tcBorders>
              <w:top w:val="nil"/>
              <w:left w:val="nil"/>
              <w:bottom w:val="single" w:sz="4" w:space="0" w:color="auto"/>
              <w:right w:val="single" w:sz="4" w:space="0" w:color="auto"/>
            </w:tcBorders>
            <w:shd w:val="clear" w:color="auto" w:fill="auto"/>
            <w:vAlign w:val="center"/>
            <w:hideMark/>
          </w:tcPr>
          <w:p w14:paraId="7CA3F577" w14:textId="77777777" w:rsidR="00002D76" w:rsidRPr="00AE4B9D" w:rsidRDefault="00002D76" w:rsidP="00D63204">
            <w:pPr>
              <w:spacing w:after="0" w:line="240" w:lineRule="auto"/>
              <w:rPr>
                <w:rFonts w:ascii="Calibri" w:hAnsi="Calibri"/>
                <w:color w:val="231F20"/>
                <w:sz w:val="18"/>
                <w:szCs w:val="18"/>
              </w:rPr>
            </w:pPr>
            <w:r w:rsidRPr="00AE4B9D">
              <w:rPr>
                <w:rFonts w:ascii="Calibri" w:hAnsi="Calibri"/>
                <w:color w:val="231F20"/>
                <w:sz w:val="18"/>
                <w:szCs w:val="18"/>
              </w:rPr>
              <w:t>8.34</w:t>
            </w:r>
          </w:p>
        </w:tc>
        <w:tc>
          <w:tcPr>
            <w:tcW w:w="0" w:type="auto"/>
            <w:tcBorders>
              <w:top w:val="nil"/>
              <w:left w:val="nil"/>
              <w:bottom w:val="single" w:sz="4" w:space="0" w:color="auto"/>
              <w:right w:val="single" w:sz="4" w:space="0" w:color="auto"/>
            </w:tcBorders>
            <w:shd w:val="clear" w:color="auto" w:fill="auto"/>
            <w:vAlign w:val="center"/>
            <w:hideMark/>
          </w:tcPr>
          <w:p w14:paraId="390CC08E" w14:textId="77777777" w:rsidR="00002D76" w:rsidRPr="00AE4B9D" w:rsidRDefault="00002D76" w:rsidP="00D63204">
            <w:pPr>
              <w:spacing w:after="0" w:line="240" w:lineRule="auto"/>
              <w:rPr>
                <w:rFonts w:ascii="Calibri" w:hAnsi="Calibri"/>
                <w:color w:val="231F20"/>
                <w:sz w:val="18"/>
                <w:szCs w:val="18"/>
              </w:rPr>
            </w:pPr>
            <w:r w:rsidRPr="00AE4B9D">
              <w:rPr>
                <w:rFonts w:ascii="Calibri" w:hAnsi="Calibri"/>
                <w:color w:val="231F20"/>
                <w:sz w:val="18"/>
                <w:szCs w:val="18"/>
              </w:rPr>
              <w:t>177,435</w:t>
            </w:r>
          </w:p>
        </w:tc>
      </w:tr>
      <w:tr w:rsidR="00002D76" w:rsidRPr="00AE4B9D" w14:paraId="0905F268" w14:textId="77777777" w:rsidTr="001429C7">
        <w:trPr>
          <w:trHeight w:val="300"/>
        </w:trPr>
        <w:tc>
          <w:tcPr>
            <w:tcW w:w="0" w:type="auto"/>
            <w:tcBorders>
              <w:top w:val="nil"/>
              <w:left w:val="single" w:sz="4" w:space="0" w:color="auto"/>
              <w:bottom w:val="single" w:sz="4" w:space="0" w:color="auto"/>
              <w:right w:val="single" w:sz="4" w:space="0" w:color="auto"/>
            </w:tcBorders>
            <w:shd w:val="clear" w:color="000000" w:fill="D1D3D4"/>
            <w:vAlign w:val="center"/>
            <w:hideMark/>
          </w:tcPr>
          <w:p w14:paraId="7ABBF4D2" w14:textId="77777777" w:rsidR="00002D76" w:rsidRPr="00AE4B9D" w:rsidRDefault="00002D76" w:rsidP="00D63204">
            <w:pPr>
              <w:spacing w:after="0" w:line="240" w:lineRule="auto"/>
              <w:rPr>
                <w:rFonts w:ascii="Calibri" w:hAnsi="Calibri"/>
                <w:color w:val="231F20"/>
                <w:sz w:val="18"/>
                <w:szCs w:val="18"/>
              </w:rPr>
            </w:pPr>
            <w:r w:rsidRPr="00AE4B9D">
              <w:rPr>
                <w:rFonts w:ascii="Calibri" w:hAnsi="Calibri"/>
                <w:color w:val="231F20"/>
                <w:sz w:val="18"/>
                <w:szCs w:val="18"/>
              </w:rPr>
              <w:t>12</w:t>
            </w:r>
          </w:p>
        </w:tc>
        <w:tc>
          <w:tcPr>
            <w:tcW w:w="0" w:type="auto"/>
            <w:tcBorders>
              <w:top w:val="nil"/>
              <w:left w:val="nil"/>
              <w:bottom w:val="single" w:sz="4" w:space="0" w:color="auto"/>
              <w:right w:val="single" w:sz="4" w:space="0" w:color="auto"/>
            </w:tcBorders>
            <w:shd w:val="clear" w:color="000000" w:fill="D1D3D4"/>
            <w:vAlign w:val="center"/>
            <w:hideMark/>
          </w:tcPr>
          <w:p w14:paraId="17AC1274" w14:textId="77777777" w:rsidR="00002D76" w:rsidRPr="00AE4B9D" w:rsidRDefault="00002D76" w:rsidP="00D63204">
            <w:pPr>
              <w:spacing w:after="0" w:line="240" w:lineRule="auto"/>
              <w:rPr>
                <w:rFonts w:ascii="Calibri" w:hAnsi="Calibri"/>
                <w:color w:val="231F20"/>
                <w:sz w:val="18"/>
                <w:szCs w:val="18"/>
              </w:rPr>
            </w:pPr>
            <w:r w:rsidRPr="00AE4B9D">
              <w:rPr>
                <w:rFonts w:ascii="Calibri" w:hAnsi="Calibri"/>
                <w:color w:val="231F20"/>
                <w:sz w:val="18"/>
                <w:szCs w:val="18"/>
              </w:rPr>
              <w:t>472061</w:t>
            </w:r>
          </w:p>
        </w:tc>
        <w:tc>
          <w:tcPr>
            <w:tcW w:w="0" w:type="auto"/>
            <w:tcBorders>
              <w:top w:val="nil"/>
              <w:left w:val="nil"/>
              <w:bottom w:val="single" w:sz="4" w:space="0" w:color="auto"/>
              <w:right w:val="single" w:sz="4" w:space="0" w:color="auto"/>
            </w:tcBorders>
            <w:shd w:val="clear" w:color="000000" w:fill="D1D3D4"/>
            <w:vAlign w:val="center"/>
            <w:hideMark/>
          </w:tcPr>
          <w:p w14:paraId="3F4CB0DA" w14:textId="77777777" w:rsidR="00002D76" w:rsidRPr="00AE4B9D" w:rsidRDefault="00002D76" w:rsidP="004D6183">
            <w:pPr>
              <w:spacing w:after="0" w:line="240" w:lineRule="auto"/>
              <w:rPr>
                <w:rFonts w:ascii="Calibri" w:hAnsi="Calibri"/>
                <w:color w:val="231F20"/>
                <w:sz w:val="18"/>
                <w:szCs w:val="18"/>
              </w:rPr>
            </w:pPr>
            <w:r w:rsidRPr="00AE4B9D">
              <w:rPr>
                <w:rFonts w:ascii="Calibri" w:hAnsi="Calibri"/>
                <w:color w:val="231F20"/>
                <w:sz w:val="18"/>
                <w:szCs w:val="18"/>
              </w:rPr>
              <w:t>Construction Laborers</w:t>
            </w:r>
          </w:p>
        </w:tc>
        <w:tc>
          <w:tcPr>
            <w:tcW w:w="0" w:type="auto"/>
            <w:tcBorders>
              <w:top w:val="nil"/>
              <w:left w:val="nil"/>
              <w:bottom w:val="single" w:sz="4" w:space="0" w:color="auto"/>
              <w:right w:val="single" w:sz="4" w:space="0" w:color="auto"/>
            </w:tcBorders>
            <w:shd w:val="clear" w:color="000000" w:fill="D1D3D4"/>
            <w:vAlign w:val="center"/>
            <w:hideMark/>
          </w:tcPr>
          <w:p w14:paraId="7C296452" w14:textId="77777777" w:rsidR="00002D76" w:rsidRPr="00AE4B9D" w:rsidRDefault="00002D76" w:rsidP="00D63204">
            <w:pPr>
              <w:spacing w:after="0" w:line="240" w:lineRule="auto"/>
              <w:rPr>
                <w:rFonts w:ascii="Calibri" w:hAnsi="Calibri"/>
                <w:color w:val="231F20"/>
                <w:sz w:val="18"/>
                <w:szCs w:val="18"/>
              </w:rPr>
            </w:pPr>
            <w:r w:rsidRPr="00AE4B9D">
              <w:rPr>
                <w:rFonts w:ascii="Calibri" w:hAnsi="Calibri"/>
                <w:color w:val="231F20"/>
                <w:sz w:val="18"/>
                <w:szCs w:val="18"/>
              </w:rPr>
              <w:t>83,289</w:t>
            </w:r>
          </w:p>
        </w:tc>
        <w:tc>
          <w:tcPr>
            <w:tcW w:w="0" w:type="auto"/>
            <w:tcBorders>
              <w:top w:val="nil"/>
              <w:left w:val="nil"/>
              <w:bottom w:val="single" w:sz="4" w:space="0" w:color="auto"/>
              <w:right w:val="single" w:sz="4" w:space="0" w:color="auto"/>
            </w:tcBorders>
            <w:shd w:val="clear" w:color="000000" w:fill="D1D3D4"/>
            <w:vAlign w:val="center"/>
            <w:hideMark/>
          </w:tcPr>
          <w:p w14:paraId="5AFAA8C8" w14:textId="77777777" w:rsidR="00002D76" w:rsidRPr="00AE4B9D" w:rsidRDefault="00002D76" w:rsidP="00D63204">
            <w:pPr>
              <w:spacing w:after="0" w:line="240" w:lineRule="auto"/>
              <w:rPr>
                <w:rFonts w:ascii="Calibri" w:hAnsi="Calibri"/>
                <w:color w:val="231F20"/>
                <w:sz w:val="18"/>
                <w:szCs w:val="18"/>
              </w:rPr>
            </w:pPr>
            <w:r w:rsidRPr="00AE4B9D">
              <w:rPr>
                <w:rFonts w:ascii="Calibri" w:hAnsi="Calibri"/>
                <w:color w:val="231F20"/>
                <w:sz w:val="18"/>
                <w:szCs w:val="18"/>
              </w:rPr>
              <w:t>97,474</w:t>
            </w:r>
          </w:p>
        </w:tc>
        <w:tc>
          <w:tcPr>
            <w:tcW w:w="0" w:type="auto"/>
            <w:tcBorders>
              <w:top w:val="nil"/>
              <w:left w:val="nil"/>
              <w:bottom w:val="single" w:sz="4" w:space="0" w:color="auto"/>
              <w:right w:val="single" w:sz="4" w:space="0" w:color="auto"/>
            </w:tcBorders>
            <w:shd w:val="clear" w:color="000000" w:fill="D1D3D4"/>
            <w:vAlign w:val="center"/>
            <w:hideMark/>
          </w:tcPr>
          <w:p w14:paraId="5D29D865" w14:textId="77777777" w:rsidR="00002D76" w:rsidRPr="00AE4B9D" w:rsidRDefault="00002D76" w:rsidP="00D63204">
            <w:pPr>
              <w:spacing w:after="0" w:line="240" w:lineRule="auto"/>
              <w:rPr>
                <w:rFonts w:ascii="Calibri" w:hAnsi="Calibri"/>
                <w:color w:val="231F20"/>
                <w:sz w:val="18"/>
                <w:szCs w:val="18"/>
              </w:rPr>
            </w:pPr>
            <w:r w:rsidRPr="00AE4B9D">
              <w:rPr>
                <w:rFonts w:ascii="Calibri" w:hAnsi="Calibri"/>
                <w:color w:val="231F20"/>
                <w:sz w:val="18"/>
                <w:szCs w:val="18"/>
              </w:rPr>
              <w:t>14,185</w:t>
            </w:r>
          </w:p>
        </w:tc>
        <w:tc>
          <w:tcPr>
            <w:tcW w:w="0" w:type="auto"/>
            <w:tcBorders>
              <w:top w:val="nil"/>
              <w:left w:val="nil"/>
              <w:bottom w:val="single" w:sz="4" w:space="0" w:color="auto"/>
              <w:right w:val="single" w:sz="4" w:space="0" w:color="auto"/>
            </w:tcBorders>
            <w:shd w:val="clear" w:color="000000" w:fill="D1D3D4"/>
            <w:vAlign w:val="center"/>
            <w:hideMark/>
          </w:tcPr>
          <w:p w14:paraId="295F8F6E" w14:textId="77777777" w:rsidR="00002D76" w:rsidRPr="00AE4B9D" w:rsidRDefault="00002D76" w:rsidP="00D63204">
            <w:pPr>
              <w:spacing w:after="0" w:line="240" w:lineRule="auto"/>
              <w:rPr>
                <w:rFonts w:ascii="Calibri" w:hAnsi="Calibri"/>
                <w:color w:val="231F20"/>
                <w:sz w:val="18"/>
                <w:szCs w:val="18"/>
              </w:rPr>
            </w:pPr>
            <w:r w:rsidRPr="00AE4B9D">
              <w:rPr>
                <w:rFonts w:ascii="Calibri" w:hAnsi="Calibri"/>
                <w:color w:val="231F20"/>
                <w:sz w:val="18"/>
                <w:szCs w:val="18"/>
              </w:rPr>
              <w:t>17.03</w:t>
            </w:r>
          </w:p>
        </w:tc>
        <w:tc>
          <w:tcPr>
            <w:tcW w:w="0" w:type="auto"/>
            <w:tcBorders>
              <w:top w:val="nil"/>
              <w:left w:val="nil"/>
              <w:bottom w:val="single" w:sz="4" w:space="0" w:color="auto"/>
              <w:right w:val="single" w:sz="4" w:space="0" w:color="auto"/>
            </w:tcBorders>
            <w:shd w:val="clear" w:color="000000" w:fill="D1D3D4"/>
            <w:vAlign w:val="center"/>
            <w:hideMark/>
          </w:tcPr>
          <w:p w14:paraId="520E48A6" w14:textId="77777777" w:rsidR="00002D76" w:rsidRPr="00AE4B9D" w:rsidRDefault="00002D76" w:rsidP="00D63204">
            <w:pPr>
              <w:spacing w:after="0" w:line="240" w:lineRule="auto"/>
              <w:rPr>
                <w:rFonts w:ascii="Calibri" w:hAnsi="Calibri"/>
                <w:color w:val="231F20"/>
                <w:sz w:val="18"/>
                <w:szCs w:val="18"/>
              </w:rPr>
            </w:pPr>
            <w:r w:rsidRPr="00AE4B9D">
              <w:rPr>
                <w:rFonts w:ascii="Calibri" w:hAnsi="Calibri"/>
                <w:color w:val="231F20"/>
                <w:sz w:val="18"/>
                <w:szCs w:val="18"/>
              </w:rPr>
              <w:t>87,430</w:t>
            </w:r>
          </w:p>
        </w:tc>
      </w:tr>
      <w:tr w:rsidR="00002D76" w:rsidRPr="00AE4B9D" w14:paraId="0D5D8435" w14:textId="77777777" w:rsidTr="001429C7">
        <w:trPr>
          <w:trHeight w:val="45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4313B0D" w14:textId="77777777" w:rsidR="00002D76" w:rsidRPr="00AE4B9D" w:rsidRDefault="00002D76" w:rsidP="00D63204">
            <w:pPr>
              <w:spacing w:after="0" w:line="240" w:lineRule="auto"/>
              <w:rPr>
                <w:rFonts w:ascii="Calibri" w:hAnsi="Calibri"/>
                <w:color w:val="231F20"/>
                <w:sz w:val="18"/>
                <w:szCs w:val="18"/>
              </w:rPr>
            </w:pPr>
            <w:r w:rsidRPr="00AE4B9D">
              <w:rPr>
                <w:rFonts w:ascii="Calibri" w:hAnsi="Calibri"/>
                <w:color w:val="231F20"/>
                <w:sz w:val="18"/>
                <w:szCs w:val="18"/>
              </w:rPr>
              <w:t>13</w:t>
            </w:r>
          </w:p>
        </w:tc>
        <w:tc>
          <w:tcPr>
            <w:tcW w:w="0" w:type="auto"/>
            <w:tcBorders>
              <w:top w:val="nil"/>
              <w:left w:val="nil"/>
              <w:bottom w:val="single" w:sz="4" w:space="0" w:color="auto"/>
              <w:right w:val="single" w:sz="4" w:space="0" w:color="auto"/>
            </w:tcBorders>
            <w:shd w:val="clear" w:color="auto" w:fill="auto"/>
            <w:vAlign w:val="center"/>
            <w:hideMark/>
          </w:tcPr>
          <w:p w14:paraId="2FB32F33" w14:textId="77777777" w:rsidR="00002D76" w:rsidRPr="00AE4B9D" w:rsidRDefault="00002D76" w:rsidP="00D63204">
            <w:pPr>
              <w:spacing w:after="0" w:line="240" w:lineRule="auto"/>
              <w:rPr>
                <w:rFonts w:ascii="Calibri" w:hAnsi="Calibri"/>
                <w:color w:val="231F20"/>
                <w:sz w:val="18"/>
                <w:szCs w:val="18"/>
              </w:rPr>
            </w:pPr>
            <w:r w:rsidRPr="00AE4B9D">
              <w:rPr>
                <w:rFonts w:ascii="Calibri" w:hAnsi="Calibri"/>
                <w:color w:val="231F20"/>
                <w:sz w:val="18"/>
                <w:szCs w:val="18"/>
              </w:rPr>
              <w:t>537062</w:t>
            </w:r>
          </w:p>
        </w:tc>
        <w:tc>
          <w:tcPr>
            <w:tcW w:w="0" w:type="auto"/>
            <w:tcBorders>
              <w:top w:val="nil"/>
              <w:left w:val="nil"/>
              <w:bottom w:val="single" w:sz="4" w:space="0" w:color="auto"/>
              <w:right w:val="single" w:sz="4" w:space="0" w:color="auto"/>
            </w:tcBorders>
            <w:shd w:val="clear" w:color="auto" w:fill="auto"/>
            <w:vAlign w:val="center"/>
            <w:hideMark/>
          </w:tcPr>
          <w:p w14:paraId="08268A54" w14:textId="502C364A" w:rsidR="00002D76" w:rsidRPr="00AE4B9D" w:rsidRDefault="00002D76" w:rsidP="004D6183">
            <w:pPr>
              <w:spacing w:after="0" w:line="240" w:lineRule="auto"/>
              <w:rPr>
                <w:rFonts w:ascii="Calibri" w:hAnsi="Calibri"/>
                <w:color w:val="231F20"/>
                <w:sz w:val="16"/>
                <w:szCs w:val="16"/>
              </w:rPr>
            </w:pPr>
            <w:r w:rsidRPr="00AE4B9D">
              <w:rPr>
                <w:rFonts w:ascii="Calibri" w:hAnsi="Calibri"/>
                <w:color w:val="231F20"/>
                <w:sz w:val="16"/>
                <w:szCs w:val="16"/>
              </w:rPr>
              <w:t>Laborers and Freight, Stock</w:t>
            </w:r>
            <w:r w:rsidR="00D5537E">
              <w:rPr>
                <w:rFonts w:ascii="Calibri" w:hAnsi="Calibri"/>
                <w:color w:val="231F20"/>
                <w:sz w:val="16"/>
                <w:szCs w:val="16"/>
              </w:rPr>
              <w:t xml:space="preserve"> and</w:t>
            </w:r>
            <w:r w:rsidRPr="00AE4B9D">
              <w:rPr>
                <w:rFonts w:ascii="Calibri" w:hAnsi="Calibri"/>
                <w:color w:val="231F20"/>
                <w:sz w:val="16"/>
                <w:szCs w:val="16"/>
              </w:rPr>
              <w:t xml:space="preserve"> Material Movers, Hand</w:t>
            </w:r>
          </w:p>
        </w:tc>
        <w:tc>
          <w:tcPr>
            <w:tcW w:w="0" w:type="auto"/>
            <w:tcBorders>
              <w:top w:val="nil"/>
              <w:left w:val="nil"/>
              <w:bottom w:val="single" w:sz="4" w:space="0" w:color="auto"/>
              <w:right w:val="single" w:sz="4" w:space="0" w:color="auto"/>
            </w:tcBorders>
            <w:shd w:val="clear" w:color="auto" w:fill="auto"/>
            <w:vAlign w:val="center"/>
            <w:hideMark/>
          </w:tcPr>
          <w:p w14:paraId="499560FA" w14:textId="77777777" w:rsidR="00002D76" w:rsidRPr="00AE4B9D" w:rsidRDefault="00002D76" w:rsidP="00D63204">
            <w:pPr>
              <w:spacing w:after="0" w:line="240" w:lineRule="auto"/>
              <w:rPr>
                <w:rFonts w:ascii="Calibri" w:hAnsi="Calibri"/>
                <w:color w:val="231F20"/>
                <w:sz w:val="18"/>
                <w:szCs w:val="18"/>
              </w:rPr>
            </w:pPr>
            <w:r w:rsidRPr="00AE4B9D">
              <w:rPr>
                <w:rFonts w:ascii="Calibri" w:hAnsi="Calibri"/>
                <w:color w:val="231F20"/>
                <w:sz w:val="18"/>
                <w:szCs w:val="18"/>
              </w:rPr>
              <w:t>132,364</w:t>
            </w:r>
          </w:p>
        </w:tc>
        <w:tc>
          <w:tcPr>
            <w:tcW w:w="0" w:type="auto"/>
            <w:tcBorders>
              <w:top w:val="nil"/>
              <w:left w:val="nil"/>
              <w:bottom w:val="single" w:sz="4" w:space="0" w:color="auto"/>
              <w:right w:val="single" w:sz="4" w:space="0" w:color="auto"/>
            </w:tcBorders>
            <w:shd w:val="clear" w:color="auto" w:fill="auto"/>
            <w:vAlign w:val="center"/>
            <w:hideMark/>
          </w:tcPr>
          <w:p w14:paraId="02B633F6" w14:textId="77777777" w:rsidR="00002D76" w:rsidRPr="00AE4B9D" w:rsidRDefault="00002D76" w:rsidP="00D63204">
            <w:pPr>
              <w:spacing w:after="0" w:line="240" w:lineRule="auto"/>
              <w:rPr>
                <w:rFonts w:ascii="Calibri" w:hAnsi="Calibri"/>
                <w:color w:val="231F20"/>
                <w:sz w:val="18"/>
                <w:szCs w:val="18"/>
              </w:rPr>
            </w:pPr>
            <w:r w:rsidRPr="00AE4B9D">
              <w:rPr>
                <w:rFonts w:ascii="Calibri" w:hAnsi="Calibri"/>
                <w:color w:val="231F20"/>
                <w:sz w:val="18"/>
                <w:szCs w:val="18"/>
              </w:rPr>
              <w:t>146,186</w:t>
            </w:r>
          </w:p>
        </w:tc>
        <w:tc>
          <w:tcPr>
            <w:tcW w:w="0" w:type="auto"/>
            <w:tcBorders>
              <w:top w:val="nil"/>
              <w:left w:val="nil"/>
              <w:bottom w:val="single" w:sz="4" w:space="0" w:color="auto"/>
              <w:right w:val="single" w:sz="4" w:space="0" w:color="auto"/>
            </w:tcBorders>
            <w:shd w:val="clear" w:color="auto" w:fill="auto"/>
            <w:vAlign w:val="center"/>
            <w:hideMark/>
          </w:tcPr>
          <w:p w14:paraId="22F40F61" w14:textId="77777777" w:rsidR="00002D76" w:rsidRPr="00AE4B9D" w:rsidRDefault="00002D76" w:rsidP="00D63204">
            <w:pPr>
              <w:spacing w:after="0" w:line="240" w:lineRule="auto"/>
              <w:rPr>
                <w:rFonts w:ascii="Calibri" w:hAnsi="Calibri"/>
                <w:color w:val="231F20"/>
                <w:sz w:val="18"/>
                <w:szCs w:val="18"/>
              </w:rPr>
            </w:pPr>
            <w:r w:rsidRPr="00AE4B9D">
              <w:rPr>
                <w:rFonts w:ascii="Calibri" w:hAnsi="Calibri"/>
                <w:color w:val="231F20"/>
                <w:sz w:val="18"/>
                <w:szCs w:val="18"/>
              </w:rPr>
              <w:t>13,822</w:t>
            </w:r>
          </w:p>
        </w:tc>
        <w:tc>
          <w:tcPr>
            <w:tcW w:w="0" w:type="auto"/>
            <w:tcBorders>
              <w:top w:val="nil"/>
              <w:left w:val="nil"/>
              <w:bottom w:val="single" w:sz="4" w:space="0" w:color="auto"/>
              <w:right w:val="single" w:sz="4" w:space="0" w:color="auto"/>
            </w:tcBorders>
            <w:shd w:val="clear" w:color="auto" w:fill="auto"/>
            <w:vAlign w:val="center"/>
            <w:hideMark/>
          </w:tcPr>
          <w:p w14:paraId="07FEB9C3" w14:textId="77777777" w:rsidR="00002D76" w:rsidRPr="00AE4B9D" w:rsidRDefault="00002D76" w:rsidP="00D63204">
            <w:pPr>
              <w:spacing w:after="0" w:line="240" w:lineRule="auto"/>
              <w:rPr>
                <w:rFonts w:ascii="Calibri" w:hAnsi="Calibri"/>
                <w:color w:val="231F20"/>
                <w:sz w:val="18"/>
                <w:szCs w:val="18"/>
              </w:rPr>
            </w:pPr>
            <w:r w:rsidRPr="00AE4B9D">
              <w:rPr>
                <w:rFonts w:ascii="Calibri" w:hAnsi="Calibri"/>
                <w:color w:val="231F20"/>
                <w:sz w:val="18"/>
                <w:szCs w:val="18"/>
              </w:rPr>
              <w:t>10.44</w:t>
            </w:r>
          </w:p>
        </w:tc>
        <w:tc>
          <w:tcPr>
            <w:tcW w:w="0" w:type="auto"/>
            <w:tcBorders>
              <w:top w:val="nil"/>
              <w:left w:val="nil"/>
              <w:bottom w:val="single" w:sz="4" w:space="0" w:color="auto"/>
              <w:right w:val="single" w:sz="4" w:space="0" w:color="auto"/>
            </w:tcBorders>
            <w:shd w:val="clear" w:color="auto" w:fill="auto"/>
            <w:vAlign w:val="center"/>
            <w:hideMark/>
          </w:tcPr>
          <w:p w14:paraId="522916D3" w14:textId="77777777" w:rsidR="00002D76" w:rsidRPr="00AE4B9D" w:rsidRDefault="00002D76" w:rsidP="00D63204">
            <w:pPr>
              <w:spacing w:after="0" w:line="240" w:lineRule="auto"/>
              <w:rPr>
                <w:rFonts w:ascii="Calibri" w:hAnsi="Calibri"/>
                <w:color w:val="231F20"/>
                <w:sz w:val="18"/>
                <w:szCs w:val="18"/>
              </w:rPr>
            </w:pPr>
            <w:r w:rsidRPr="00AE4B9D">
              <w:rPr>
                <w:rFonts w:ascii="Calibri" w:hAnsi="Calibri"/>
                <w:color w:val="231F20"/>
                <w:sz w:val="18"/>
                <w:szCs w:val="18"/>
              </w:rPr>
              <w:t>163,604</w:t>
            </w:r>
          </w:p>
        </w:tc>
      </w:tr>
      <w:tr w:rsidR="00002D76" w:rsidRPr="00AE4B9D" w14:paraId="59252B33" w14:textId="77777777" w:rsidTr="001429C7">
        <w:trPr>
          <w:trHeight w:val="300"/>
        </w:trPr>
        <w:tc>
          <w:tcPr>
            <w:tcW w:w="0" w:type="auto"/>
            <w:tcBorders>
              <w:top w:val="nil"/>
              <w:left w:val="single" w:sz="4" w:space="0" w:color="auto"/>
              <w:bottom w:val="single" w:sz="4" w:space="0" w:color="auto"/>
              <w:right w:val="single" w:sz="4" w:space="0" w:color="auto"/>
            </w:tcBorders>
            <w:shd w:val="clear" w:color="000000" w:fill="D1D3D4"/>
            <w:vAlign w:val="center"/>
            <w:hideMark/>
          </w:tcPr>
          <w:p w14:paraId="57A599C7" w14:textId="77777777" w:rsidR="00002D76" w:rsidRPr="00AE4B9D" w:rsidRDefault="00002D76" w:rsidP="00D63204">
            <w:pPr>
              <w:spacing w:after="0" w:line="240" w:lineRule="auto"/>
              <w:rPr>
                <w:rFonts w:ascii="Calibri" w:hAnsi="Calibri"/>
                <w:color w:val="231F20"/>
                <w:sz w:val="18"/>
                <w:szCs w:val="18"/>
              </w:rPr>
            </w:pPr>
            <w:r w:rsidRPr="00AE4B9D">
              <w:rPr>
                <w:rFonts w:ascii="Calibri" w:hAnsi="Calibri"/>
                <w:color w:val="231F20"/>
                <w:sz w:val="18"/>
                <w:szCs w:val="18"/>
              </w:rPr>
              <w:t>14</w:t>
            </w:r>
          </w:p>
        </w:tc>
        <w:tc>
          <w:tcPr>
            <w:tcW w:w="0" w:type="auto"/>
            <w:tcBorders>
              <w:top w:val="nil"/>
              <w:left w:val="nil"/>
              <w:bottom w:val="single" w:sz="4" w:space="0" w:color="auto"/>
              <w:right w:val="single" w:sz="4" w:space="0" w:color="auto"/>
            </w:tcBorders>
            <w:shd w:val="clear" w:color="000000" w:fill="D1D3D4"/>
            <w:vAlign w:val="center"/>
            <w:hideMark/>
          </w:tcPr>
          <w:p w14:paraId="07094DCC" w14:textId="77777777" w:rsidR="00002D76" w:rsidRPr="00AE4B9D" w:rsidRDefault="00002D76" w:rsidP="00D63204">
            <w:pPr>
              <w:spacing w:after="0" w:line="240" w:lineRule="auto"/>
              <w:rPr>
                <w:rFonts w:ascii="Calibri" w:hAnsi="Calibri"/>
                <w:color w:val="231F20"/>
                <w:sz w:val="18"/>
                <w:szCs w:val="18"/>
              </w:rPr>
            </w:pPr>
            <w:r w:rsidRPr="00AE4B9D">
              <w:rPr>
                <w:rFonts w:ascii="Calibri" w:hAnsi="Calibri"/>
                <w:color w:val="231F20"/>
                <w:sz w:val="18"/>
                <w:szCs w:val="18"/>
              </w:rPr>
              <w:t>412011</w:t>
            </w:r>
          </w:p>
        </w:tc>
        <w:tc>
          <w:tcPr>
            <w:tcW w:w="0" w:type="auto"/>
            <w:tcBorders>
              <w:top w:val="nil"/>
              <w:left w:val="nil"/>
              <w:bottom w:val="single" w:sz="4" w:space="0" w:color="auto"/>
              <w:right w:val="single" w:sz="4" w:space="0" w:color="auto"/>
            </w:tcBorders>
            <w:shd w:val="clear" w:color="000000" w:fill="D1D3D4"/>
            <w:vAlign w:val="center"/>
            <w:hideMark/>
          </w:tcPr>
          <w:p w14:paraId="0AFA512C" w14:textId="77777777" w:rsidR="00002D76" w:rsidRPr="00AE4B9D" w:rsidRDefault="00002D76" w:rsidP="004D6183">
            <w:pPr>
              <w:spacing w:after="0" w:line="240" w:lineRule="auto"/>
              <w:rPr>
                <w:rFonts w:ascii="Calibri" w:hAnsi="Calibri"/>
                <w:color w:val="231F20"/>
                <w:sz w:val="18"/>
                <w:szCs w:val="18"/>
              </w:rPr>
            </w:pPr>
            <w:r w:rsidRPr="00AE4B9D">
              <w:rPr>
                <w:rFonts w:ascii="Calibri" w:hAnsi="Calibri"/>
                <w:color w:val="231F20"/>
                <w:sz w:val="18"/>
                <w:szCs w:val="18"/>
              </w:rPr>
              <w:t>Cashiers</w:t>
            </w:r>
          </w:p>
        </w:tc>
        <w:tc>
          <w:tcPr>
            <w:tcW w:w="0" w:type="auto"/>
            <w:tcBorders>
              <w:top w:val="nil"/>
              <w:left w:val="nil"/>
              <w:bottom w:val="single" w:sz="4" w:space="0" w:color="auto"/>
              <w:right w:val="single" w:sz="4" w:space="0" w:color="auto"/>
            </w:tcBorders>
            <w:shd w:val="clear" w:color="000000" w:fill="D1D3D4"/>
            <w:vAlign w:val="center"/>
            <w:hideMark/>
          </w:tcPr>
          <w:p w14:paraId="4008B217" w14:textId="77777777" w:rsidR="00002D76" w:rsidRPr="00AE4B9D" w:rsidRDefault="00002D76" w:rsidP="00D63204">
            <w:pPr>
              <w:spacing w:after="0" w:line="240" w:lineRule="auto"/>
              <w:rPr>
                <w:rFonts w:ascii="Calibri" w:hAnsi="Calibri"/>
                <w:color w:val="231F20"/>
                <w:sz w:val="18"/>
                <w:szCs w:val="18"/>
              </w:rPr>
            </w:pPr>
            <w:r w:rsidRPr="00AE4B9D">
              <w:rPr>
                <w:rFonts w:ascii="Calibri" w:hAnsi="Calibri"/>
                <w:color w:val="231F20"/>
                <w:sz w:val="18"/>
                <w:szCs w:val="18"/>
              </w:rPr>
              <w:t>248,045</w:t>
            </w:r>
          </w:p>
        </w:tc>
        <w:tc>
          <w:tcPr>
            <w:tcW w:w="0" w:type="auto"/>
            <w:tcBorders>
              <w:top w:val="nil"/>
              <w:left w:val="nil"/>
              <w:bottom w:val="single" w:sz="4" w:space="0" w:color="auto"/>
              <w:right w:val="single" w:sz="4" w:space="0" w:color="auto"/>
            </w:tcBorders>
            <w:shd w:val="clear" w:color="000000" w:fill="D1D3D4"/>
            <w:vAlign w:val="center"/>
            <w:hideMark/>
          </w:tcPr>
          <w:p w14:paraId="28A50389" w14:textId="77777777" w:rsidR="00002D76" w:rsidRPr="00AE4B9D" w:rsidRDefault="00002D76" w:rsidP="00D63204">
            <w:pPr>
              <w:spacing w:after="0" w:line="240" w:lineRule="auto"/>
              <w:rPr>
                <w:rFonts w:ascii="Calibri" w:hAnsi="Calibri"/>
                <w:color w:val="231F20"/>
                <w:sz w:val="18"/>
                <w:szCs w:val="18"/>
              </w:rPr>
            </w:pPr>
            <w:r w:rsidRPr="00AE4B9D">
              <w:rPr>
                <w:rFonts w:ascii="Calibri" w:hAnsi="Calibri"/>
                <w:color w:val="231F20"/>
                <w:sz w:val="18"/>
                <w:szCs w:val="18"/>
              </w:rPr>
              <w:t>261,482</w:t>
            </w:r>
          </w:p>
        </w:tc>
        <w:tc>
          <w:tcPr>
            <w:tcW w:w="0" w:type="auto"/>
            <w:tcBorders>
              <w:top w:val="nil"/>
              <w:left w:val="nil"/>
              <w:bottom w:val="single" w:sz="4" w:space="0" w:color="auto"/>
              <w:right w:val="single" w:sz="4" w:space="0" w:color="auto"/>
            </w:tcBorders>
            <w:shd w:val="clear" w:color="000000" w:fill="D1D3D4"/>
            <w:vAlign w:val="center"/>
            <w:hideMark/>
          </w:tcPr>
          <w:p w14:paraId="5D8556D0" w14:textId="77777777" w:rsidR="00002D76" w:rsidRPr="00AE4B9D" w:rsidRDefault="00002D76" w:rsidP="00D63204">
            <w:pPr>
              <w:spacing w:after="0" w:line="240" w:lineRule="auto"/>
              <w:rPr>
                <w:rFonts w:ascii="Calibri" w:hAnsi="Calibri"/>
                <w:color w:val="231F20"/>
                <w:sz w:val="18"/>
                <w:szCs w:val="18"/>
              </w:rPr>
            </w:pPr>
            <w:r w:rsidRPr="00AE4B9D">
              <w:rPr>
                <w:rFonts w:ascii="Calibri" w:hAnsi="Calibri"/>
                <w:color w:val="231F20"/>
                <w:sz w:val="18"/>
                <w:szCs w:val="18"/>
              </w:rPr>
              <w:t>13,437</w:t>
            </w:r>
          </w:p>
        </w:tc>
        <w:tc>
          <w:tcPr>
            <w:tcW w:w="0" w:type="auto"/>
            <w:tcBorders>
              <w:top w:val="nil"/>
              <w:left w:val="nil"/>
              <w:bottom w:val="single" w:sz="4" w:space="0" w:color="auto"/>
              <w:right w:val="single" w:sz="4" w:space="0" w:color="auto"/>
            </w:tcBorders>
            <w:shd w:val="clear" w:color="000000" w:fill="D1D3D4"/>
            <w:vAlign w:val="center"/>
            <w:hideMark/>
          </w:tcPr>
          <w:p w14:paraId="5F6064AB" w14:textId="77777777" w:rsidR="00002D76" w:rsidRPr="00AE4B9D" w:rsidRDefault="00002D76" w:rsidP="00D63204">
            <w:pPr>
              <w:spacing w:after="0" w:line="240" w:lineRule="auto"/>
              <w:rPr>
                <w:rFonts w:ascii="Calibri" w:hAnsi="Calibri"/>
                <w:color w:val="231F20"/>
                <w:sz w:val="18"/>
                <w:szCs w:val="18"/>
              </w:rPr>
            </w:pPr>
            <w:r w:rsidRPr="00AE4B9D">
              <w:rPr>
                <w:rFonts w:ascii="Calibri" w:hAnsi="Calibri"/>
                <w:color w:val="231F20"/>
                <w:sz w:val="18"/>
                <w:szCs w:val="18"/>
              </w:rPr>
              <w:t>5.42</w:t>
            </w:r>
          </w:p>
        </w:tc>
        <w:tc>
          <w:tcPr>
            <w:tcW w:w="0" w:type="auto"/>
            <w:tcBorders>
              <w:top w:val="nil"/>
              <w:left w:val="nil"/>
              <w:bottom w:val="single" w:sz="4" w:space="0" w:color="auto"/>
              <w:right w:val="single" w:sz="4" w:space="0" w:color="auto"/>
            </w:tcBorders>
            <w:shd w:val="clear" w:color="000000" w:fill="D1D3D4"/>
            <w:vAlign w:val="center"/>
            <w:hideMark/>
          </w:tcPr>
          <w:p w14:paraId="1002DEAC" w14:textId="77777777" w:rsidR="00002D76" w:rsidRPr="00AE4B9D" w:rsidRDefault="00002D76" w:rsidP="00D63204">
            <w:pPr>
              <w:spacing w:after="0" w:line="240" w:lineRule="auto"/>
              <w:rPr>
                <w:rFonts w:ascii="Calibri" w:hAnsi="Calibri"/>
                <w:color w:val="231F20"/>
                <w:sz w:val="18"/>
                <w:szCs w:val="18"/>
              </w:rPr>
            </w:pPr>
            <w:r w:rsidRPr="00AE4B9D">
              <w:rPr>
                <w:rFonts w:ascii="Calibri" w:hAnsi="Calibri"/>
                <w:color w:val="231F20"/>
                <w:sz w:val="18"/>
                <w:szCs w:val="18"/>
              </w:rPr>
              <w:t>391,038</w:t>
            </w:r>
          </w:p>
        </w:tc>
      </w:tr>
      <w:tr w:rsidR="00002D76" w:rsidRPr="00AE4B9D" w14:paraId="53B1CAD9" w14:textId="77777777" w:rsidTr="001429C7">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1F71EA5" w14:textId="77777777" w:rsidR="00002D76" w:rsidRPr="00AE4B9D" w:rsidRDefault="00002D76" w:rsidP="00D63204">
            <w:pPr>
              <w:spacing w:after="0" w:line="240" w:lineRule="auto"/>
              <w:rPr>
                <w:rFonts w:ascii="Calibri" w:hAnsi="Calibri"/>
                <w:color w:val="231F20"/>
                <w:sz w:val="18"/>
                <w:szCs w:val="18"/>
              </w:rPr>
            </w:pPr>
            <w:r w:rsidRPr="00AE4B9D">
              <w:rPr>
                <w:rFonts w:ascii="Calibri" w:hAnsi="Calibri"/>
                <w:color w:val="231F20"/>
                <w:sz w:val="18"/>
                <w:szCs w:val="18"/>
              </w:rPr>
              <w:t>15</w:t>
            </w:r>
          </w:p>
        </w:tc>
        <w:tc>
          <w:tcPr>
            <w:tcW w:w="0" w:type="auto"/>
            <w:tcBorders>
              <w:top w:val="nil"/>
              <w:left w:val="nil"/>
              <w:bottom w:val="single" w:sz="4" w:space="0" w:color="auto"/>
              <w:right w:val="single" w:sz="4" w:space="0" w:color="auto"/>
            </w:tcBorders>
            <w:shd w:val="clear" w:color="auto" w:fill="auto"/>
            <w:vAlign w:val="center"/>
            <w:hideMark/>
          </w:tcPr>
          <w:p w14:paraId="005F4EA0" w14:textId="77777777" w:rsidR="00002D76" w:rsidRPr="00AE4B9D" w:rsidRDefault="00002D76" w:rsidP="00D63204">
            <w:pPr>
              <w:spacing w:after="0" w:line="240" w:lineRule="auto"/>
              <w:rPr>
                <w:rFonts w:ascii="Calibri" w:hAnsi="Calibri"/>
                <w:color w:val="231F20"/>
                <w:sz w:val="18"/>
                <w:szCs w:val="18"/>
              </w:rPr>
            </w:pPr>
            <w:r w:rsidRPr="00AE4B9D">
              <w:rPr>
                <w:rFonts w:ascii="Calibri" w:hAnsi="Calibri"/>
                <w:color w:val="231F20"/>
                <w:sz w:val="18"/>
                <w:szCs w:val="18"/>
              </w:rPr>
              <w:t>319092</w:t>
            </w:r>
          </w:p>
        </w:tc>
        <w:tc>
          <w:tcPr>
            <w:tcW w:w="0" w:type="auto"/>
            <w:tcBorders>
              <w:top w:val="nil"/>
              <w:left w:val="nil"/>
              <w:bottom w:val="single" w:sz="4" w:space="0" w:color="auto"/>
              <w:right w:val="single" w:sz="4" w:space="0" w:color="auto"/>
            </w:tcBorders>
            <w:shd w:val="clear" w:color="auto" w:fill="auto"/>
            <w:vAlign w:val="center"/>
            <w:hideMark/>
          </w:tcPr>
          <w:p w14:paraId="635809D2" w14:textId="77777777" w:rsidR="00002D76" w:rsidRPr="00AE4B9D" w:rsidRDefault="00002D76" w:rsidP="004D6183">
            <w:pPr>
              <w:spacing w:after="0" w:line="240" w:lineRule="auto"/>
              <w:rPr>
                <w:rFonts w:ascii="Calibri" w:hAnsi="Calibri"/>
                <w:color w:val="231F20"/>
                <w:sz w:val="18"/>
                <w:szCs w:val="18"/>
              </w:rPr>
            </w:pPr>
            <w:r w:rsidRPr="00AE4B9D">
              <w:rPr>
                <w:rFonts w:ascii="Calibri" w:hAnsi="Calibri"/>
                <w:color w:val="231F20"/>
                <w:sz w:val="18"/>
                <w:szCs w:val="18"/>
              </w:rPr>
              <w:t>Medical Assistants</w:t>
            </w:r>
          </w:p>
        </w:tc>
        <w:tc>
          <w:tcPr>
            <w:tcW w:w="0" w:type="auto"/>
            <w:tcBorders>
              <w:top w:val="nil"/>
              <w:left w:val="nil"/>
              <w:bottom w:val="single" w:sz="4" w:space="0" w:color="auto"/>
              <w:right w:val="single" w:sz="4" w:space="0" w:color="auto"/>
            </w:tcBorders>
            <w:shd w:val="clear" w:color="auto" w:fill="auto"/>
            <w:vAlign w:val="center"/>
            <w:hideMark/>
          </w:tcPr>
          <w:p w14:paraId="437DA8E1" w14:textId="77777777" w:rsidR="00002D76" w:rsidRPr="00AE4B9D" w:rsidRDefault="00002D76" w:rsidP="00D63204">
            <w:pPr>
              <w:spacing w:after="0" w:line="240" w:lineRule="auto"/>
              <w:rPr>
                <w:rFonts w:ascii="Calibri" w:hAnsi="Calibri"/>
                <w:color w:val="231F20"/>
                <w:sz w:val="18"/>
                <w:szCs w:val="18"/>
              </w:rPr>
            </w:pPr>
            <w:r w:rsidRPr="00AE4B9D">
              <w:rPr>
                <w:rFonts w:ascii="Calibri" w:hAnsi="Calibri"/>
                <w:color w:val="231F20"/>
                <w:sz w:val="18"/>
                <w:szCs w:val="18"/>
              </w:rPr>
              <w:t>53,577</w:t>
            </w:r>
          </w:p>
        </w:tc>
        <w:tc>
          <w:tcPr>
            <w:tcW w:w="0" w:type="auto"/>
            <w:tcBorders>
              <w:top w:val="nil"/>
              <w:left w:val="nil"/>
              <w:bottom w:val="single" w:sz="4" w:space="0" w:color="auto"/>
              <w:right w:val="single" w:sz="4" w:space="0" w:color="auto"/>
            </w:tcBorders>
            <w:shd w:val="clear" w:color="auto" w:fill="auto"/>
            <w:vAlign w:val="center"/>
            <w:hideMark/>
          </w:tcPr>
          <w:p w14:paraId="46C4A963" w14:textId="77777777" w:rsidR="00002D76" w:rsidRPr="00AE4B9D" w:rsidRDefault="00002D76" w:rsidP="00D63204">
            <w:pPr>
              <w:spacing w:after="0" w:line="240" w:lineRule="auto"/>
              <w:rPr>
                <w:rFonts w:ascii="Calibri" w:hAnsi="Calibri"/>
                <w:color w:val="231F20"/>
                <w:sz w:val="18"/>
                <w:szCs w:val="18"/>
              </w:rPr>
            </w:pPr>
            <w:r w:rsidRPr="00AE4B9D">
              <w:rPr>
                <w:rFonts w:ascii="Calibri" w:hAnsi="Calibri"/>
                <w:color w:val="231F20"/>
                <w:sz w:val="18"/>
                <w:szCs w:val="18"/>
              </w:rPr>
              <w:t>66,676</w:t>
            </w:r>
          </w:p>
        </w:tc>
        <w:tc>
          <w:tcPr>
            <w:tcW w:w="0" w:type="auto"/>
            <w:tcBorders>
              <w:top w:val="nil"/>
              <w:left w:val="nil"/>
              <w:bottom w:val="single" w:sz="4" w:space="0" w:color="auto"/>
              <w:right w:val="single" w:sz="4" w:space="0" w:color="auto"/>
            </w:tcBorders>
            <w:shd w:val="clear" w:color="auto" w:fill="auto"/>
            <w:vAlign w:val="center"/>
            <w:hideMark/>
          </w:tcPr>
          <w:p w14:paraId="01A31927" w14:textId="77777777" w:rsidR="00002D76" w:rsidRPr="00AE4B9D" w:rsidRDefault="00002D76" w:rsidP="00D63204">
            <w:pPr>
              <w:spacing w:after="0" w:line="240" w:lineRule="auto"/>
              <w:rPr>
                <w:rFonts w:ascii="Calibri" w:hAnsi="Calibri"/>
                <w:color w:val="231F20"/>
                <w:sz w:val="18"/>
                <w:szCs w:val="18"/>
              </w:rPr>
            </w:pPr>
            <w:r w:rsidRPr="00AE4B9D">
              <w:rPr>
                <w:rFonts w:ascii="Calibri" w:hAnsi="Calibri"/>
                <w:color w:val="231F20"/>
                <w:sz w:val="18"/>
                <w:szCs w:val="18"/>
              </w:rPr>
              <w:t>13,099</w:t>
            </w:r>
          </w:p>
        </w:tc>
        <w:tc>
          <w:tcPr>
            <w:tcW w:w="0" w:type="auto"/>
            <w:tcBorders>
              <w:top w:val="nil"/>
              <w:left w:val="nil"/>
              <w:bottom w:val="single" w:sz="4" w:space="0" w:color="auto"/>
              <w:right w:val="single" w:sz="4" w:space="0" w:color="auto"/>
            </w:tcBorders>
            <w:shd w:val="clear" w:color="auto" w:fill="auto"/>
            <w:vAlign w:val="center"/>
            <w:hideMark/>
          </w:tcPr>
          <w:p w14:paraId="6908AD01" w14:textId="77777777" w:rsidR="00002D76" w:rsidRPr="00AE4B9D" w:rsidRDefault="00002D76" w:rsidP="00D63204">
            <w:pPr>
              <w:spacing w:after="0" w:line="240" w:lineRule="auto"/>
              <w:rPr>
                <w:rFonts w:ascii="Calibri" w:hAnsi="Calibri"/>
                <w:color w:val="231F20"/>
                <w:sz w:val="18"/>
                <w:szCs w:val="18"/>
              </w:rPr>
            </w:pPr>
            <w:r w:rsidRPr="00AE4B9D">
              <w:rPr>
                <w:rFonts w:ascii="Calibri" w:hAnsi="Calibri"/>
                <w:color w:val="231F20"/>
                <w:sz w:val="18"/>
                <w:szCs w:val="18"/>
              </w:rPr>
              <w:t>24.45</w:t>
            </w:r>
          </w:p>
        </w:tc>
        <w:tc>
          <w:tcPr>
            <w:tcW w:w="0" w:type="auto"/>
            <w:tcBorders>
              <w:top w:val="nil"/>
              <w:left w:val="nil"/>
              <w:bottom w:val="single" w:sz="4" w:space="0" w:color="auto"/>
              <w:right w:val="single" w:sz="4" w:space="0" w:color="auto"/>
            </w:tcBorders>
            <w:shd w:val="clear" w:color="auto" w:fill="auto"/>
            <w:vAlign w:val="center"/>
            <w:hideMark/>
          </w:tcPr>
          <w:p w14:paraId="0CE1F647" w14:textId="77777777" w:rsidR="00002D76" w:rsidRPr="00AE4B9D" w:rsidRDefault="00002D76" w:rsidP="00D63204">
            <w:pPr>
              <w:spacing w:after="0" w:line="240" w:lineRule="auto"/>
              <w:rPr>
                <w:rFonts w:ascii="Calibri" w:hAnsi="Calibri"/>
                <w:color w:val="231F20"/>
                <w:sz w:val="18"/>
                <w:szCs w:val="18"/>
              </w:rPr>
            </w:pPr>
            <w:r w:rsidRPr="00AE4B9D">
              <w:rPr>
                <w:rFonts w:ascii="Calibri" w:hAnsi="Calibri"/>
                <w:color w:val="231F20"/>
                <w:sz w:val="18"/>
                <w:szCs w:val="18"/>
              </w:rPr>
              <w:t>66,164</w:t>
            </w:r>
          </w:p>
        </w:tc>
      </w:tr>
      <w:tr w:rsidR="00002D76" w:rsidRPr="00AE4B9D" w14:paraId="0181D84A" w14:textId="77777777" w:rsidTr="001429C7">
        <w:trPr>
          <w:trHeight w:val="300"/>
        </w:trPr>
        <w:tc>
          <w:tcPr>
            <w:tcW w:w="0" w:type="auto"/>
            <w:tcBorders>
              <w:top w:val="nil"/>
              <w:left w:val="single" w:sz="4" w:space="0" w:color="auto"/>
              <w:bottom w:val="single" w:sz="4" w:space="0" w:color="auto"/>
              <w:right w:val="single" w:sz="4" w:space="0" w:color="auto"/>
            </w:tcBorders>
            <w:shd w:val="clear" w:color="000000" w:fill="D1D3D4"/>
            <w:vAlign w:val="center"/>
            <w:hideMark/>
          </w:tcPr>
          <w:p w14:paraId="66BFC47E" w14:textId="77777777" w:rsidR="00002D76" w:rsidRPr="00AE4B9D" w:rsidRDefault="00002D76" w:rsidP="00D63204">
            <w:pPr>
              <w:spacing w:after="0" w:line="240" w:lineRule="auto"/>
              <w:rPr>
                <w:rFonts w:ascii="Calibri" w:hAnsi="Calibri"/>
                <w:color w:val="231F20"/>
                <w:sz w:val="18"/>
                <w:szCs w:val="18"/>
              </w:rPr>
            </w:pPr>
            <w:r w:rsidRPr="00AE4B9D">
              <w:rPr>
                <w:rFonts w:ascii="Calibri" w:hAnsi="Calibri"/>
                <w:color w:val="231F20"/>
                <w:sz w:val="18"/>
                <w:szCs w:val="18"/>
              </w:rPr>
              <w:t>16</w:t>
            </w:r>
          </w:p>
        </w:tc>
        <w:tc>
          <w:tcPr>
            <w:tcW w:w="0" w:type="auto"/>
            <w:tcBorders>
              <w:top w:val="nil"/>
              <w:left w:val="nil"/>
              <w:bottom w:val="single" w:sz="4" w:space="0" w:color="auto"/>
              <w:right w:val="single" w:sz="4" w:space="0" w:color="auto"/>
            </w:tcBorders>
            <w:shd w:val="clear" w:color="000000" w:fill="D1D3D4"/>
            <w:vAlign w:val="center"/>
            <w:hideMark/>
          </w:tcPr>
          <w:p w14:paraId="65E1F18F" w14:textId="77777777" w:rsidR="00002D76" w:rsidRPr="00AE4B9D" w:rsidRDefault="00002D76" w:rsidP="00D63204">
            <w:pPr>
              <w:spacing w:after="0" w:line="240" w:lineRule="auto"/>
              <w:rPr>
                <w:rFonts w:ascii="Calibri" w:hAnsi="Calibri"/>
                <w:color w:val="231F20"/>
                <w:sz w:val="18"/>
                <w:szCs w:val="18"/>
              </w:rPr>
            </w:pPr>
            <w:r w:rsidRPr="00AE4B9D">
              <w:rPr>
                <w:rFonts w:ascii="Calibri" w:hAnsi="Calibri"/>
                <w:color w:val="231F20"/>
                <w:sz w:val="18"/>
                <w:szCs w:val="18"/>
              </w:rPr>
              <w:t>132011</w:t>
            </w:r>
          </w:p>
        </w:tc>
        <w:tc>
          <w:tcPr>
            <w:tcW w:w="0" w:type="auto"/>
            <w:tcBorders>
              <w:top w:val="nil"/>
              <w:left w:val="nil"/>
              <w:bottom w:val="single" w:sz="4" w:space="0" w:color="auto"/>
              <w:right w:val="single" w:sz="4" w:space="0" w:color="auto"/>
            </w:tcBorders>
            <w:shd w:val="clear" w:color="000000" w:fill="D1D3D4"/>
            <w:vAlign w:val="center"/>
            <w:hideMark/>
          </w:tcPr>
          <w:p w14:paraId="27FCE859" w14:textId="77777777" w:rsidR="00002D76" w:rsidRPr="00AE4B9D" w:rsidRDefault="00002D76" w:rsidP="004D6183">
            <w:pPr>
              <w:spacing w:after="0" w:line="240" w:lineRule="auto"/>
              <w:rPr>
                <w:rFonts w:ascii="Calibri" w:hAnsi="Calibri"/>
                <w:color w:val="231F20"/>
                <w:sz w:val="18"/>
                <w:szCs w:val="18"/>
              </w:rPr>
            </w:pPr>
            <w:r w:rsidRPr="00AE4B9D">
              <w:rPr>
                <w:rFonts w:ascii="Calibri" w:hAnsi="Calibri"/>
                <w:color w:val="231F20"/>
                <w:sz w:val="18"/>
                <w:szCs w:val="18"/>
              </w:rPr>
              <w:t>Accountants and Auditors</w:t>
            </w:r>
          </w:p>
        </w:tc>
        <w:tc>
          <w:tcPr>
            <w:tcW w:w="0" w:type="auto"/>
            <w:tcBorders>
              <w:top w:val="nil"/>
              <w:left w:val="nil"/>
              <w:bottom w:val="single" w:sz="4" w:space="0" w:color="auto"/>
              <w:right w:val="single" w:sz="4" w:space="0" w:color="auto"/>
            </w:tcBorders>
            <w:shd w:val="clear" w:color="000000" w:fill="D1D3D4"/>
            <w:vAlign w:val="center"/>
            <w:hideMark/>
          </w:tcPr>
          <w:p w14:paraId="2C6A594D" w14:textId="77777777" w:rsidR="00002D76" w:rsidRPr="00AE4B9D" w:rsidRDefault="00002D76" w:rsidP="00D63204">
            <w:pPr>
              <w:spacing w:after="0" w:line="240" w:lineRule="auto"/>
              <w:rPr>
                <w:rFonts w:ascii="Calibri" w:hAnsi="Calibri"/>
                <w:color w:val="231F20"/>
                <w:sz w:val="18"/>
                <w:szCs w:val="18"/>
              </w:rPr>
            </w:pPr>
            <w:r w:rsidRPr="00AE4B9D">
              <w:rPr>
                <w:rFonts w:ascii="Calibri" w:hAnsi="Calibri"/>
                <w:color w:val="231F20"/>
                <w:sz w:val="18"/>
                <w:szCs w:val="18"/>
              </w:rPr>
              <w:t>86,098</w:t>
            </w:r>
          </w:p>
        </w:tc>
        <w:tc>
          <w:tcPr>
            <w:tcW w:w="0" w:type="auto"/>
            <w:tcBorders>
              <w:top w:val="nil"/>
              <w:left w:val="nil"/>
              <w:bottom w:val="single" w:sz="4" w:space="0" w:color="auto"/>
              <w:right w:val="single" w:sz="4" w:space="0" w:color="auto"/>
            </w:tcBorders>
            <w:shd w:val="clear" w:color="000000" w:fill="D1D3D4"/>
            <w:vAlign w:val="center"/>
            <w:hideMark/>
          </w:tcPr>
          <w:p w14:paraId="06F0B6F1" w14:textId="77777777" w:rsidR="00002D76" w:rsidRPr="00AE4B9D" w:rsidRDefault="00002D76" w:rsidP="00D63204">
            <w:pPr>
              <w:spacing w:after="0" w:line="240" w:lineRule="auto"/>
              <w:rPr>
                <w:rFonts w:ascii="Calibri" w:hAnsi="Calibri"/>
                <w:color w:val="231F20"/>
                <w:sz w:val="18"/>
                <w:szCs w:val="18"/>
              </w:rPr>
            </w:pPr>
            <w:r w:rsidRPr="00AE4B9D">
              <w:rPr>
                <w:rFonts w:ascii="Calibri" w:hAnsi="Calibri"/>
                <w:color w:val="231F20"/>
                <w:sz w:val="18"/>
                <w:szCs w:val="18"/>
              </w:rPr>
              <w:t>99,027</w:t>
            </w:r>
          </w:p>
        </w:tc>
        <w:tc>
          <w:tcPr>
            <w:tcW w:w="0" w:type="auto"/>
            <w:tcBorders>
              <w:top w:val="nil"/>
              <w:left w:val="nil"/>
              <w:bottom w:val="single" w:sz="4" w:space="0" w:color="auto"/>
              <w:right w:val="single" w:sz="4" w:space="0" w:color="auto"/>
            </w:tcBorders>
            <w:shd w:val="clear" w:color="000000" w:fill="D1D3D4"/>
            <w:vAlign w:val="center"/>
            <w:hideMark/>
          </w:tcPr>
          <w:p w14:paraId="5BA6F877" w14:textId="77777777" w:rsidR="00002D76" w:rsidRPr="00AE4B9D" w:rsidRDefault="00002D76" w:rsidP="00D63204">
            <w:pPr>
              <w:spacing w:after="0" w:line="240" w:lineRule="auto"/>
              <w:rPr>
                <w:rFonts w:ascii="Calibri" w:hAnsi="Calibri"/>
                <w:color w:val="231F20"/>
                <w:sz w:val="18"/>
                <w:szCs w:val="18"/>
              </w:rPr>
            </w:pPr>
            <w:r w:rsidRPr="00AE4B9D">
              <w:rPr>
                <w:rFonts w:ascii="Calibri" w:hAnsi="Calibri"/>
                <w:color w:val="231F20"/>
                <w:sz w:val="18"/>
                <w:szCs w:val="18"/>
              </w:rPr>
              <w:t>12,929</w:t>
            </w:r>
          </w:p>
        </w:tc>
        <w:tc>
          <w:tcPr>
            <w:tcW w:w="0" w:type="auto"/>
            <w:tcBorders>
              <w:top w:val="nil"/>
              <w:left w:val="nil"/>
              <w:bottom w:val="single" w:sz="4" w:space="0" w:color="auto"/>
              <w:right w:val="single" w:sz="4" w:space="0" w:color="auto"/>
            </w:tcBorders>
            <w:shd w:val="clear" w:color="000000" w:fill="D1D3D4"/>
            <w:vAlign w:val="center"/>
            <w:hideMark/>
          </w:tcPr>
          <w:p w14:paraId="2F96E0EC" w14:textId="77777777" w:rsidR="00002D76" w:rsidRPr="00AE4B9D" w:rsidRDefault="00002D76" w:rsidP="00D63204">
            <w:pPr>
              <w:spacing w:after="0" w:line="240" w:lineRule="auto"/>
              <w:rPr>
                <w:rFonts w:ascii="Calibri" w:hAnsi="Calibri"/>
                <w:color w:val="231F20"/>
                <w:sz w:val="18"/>
                <w:szCs w:val="18"/>
              </w:rPr>
            </w:pPr>
            <w:r w:rsidRPr="00AE4B9D">
              <w:rPr>
                <w:rFonts w:ascii="Calibri" w:hAnsi="Calibri"/>
                <w:color w:val="231F20"/>
                <w:sz w:val="18"/>
                <w:szCs w:val="18"/>
              </w:rPr>
              <w:t>15.02</w:t>
            </w:r>
          </w:p>
        </w:tc>
        <w:tc>
          <w:tcPr>
            <w:tcW w:w="0" w:type="auto"/>
            <w:tcBorders>
              <w:top w:val="nil"/>
              <w:left w:val="nil"/>
              <w:bottom w:val="single" w:sz="4" w:space="0" w:color="auto"/>
              <w:right w:val="single" w:sz="4" w:space="0" w:color="auto"/>
            </w:tcBorders>
            <w:shd w:val="clear" w:color="000000" w:fill="D1D3D4"/>
            <w:vAlign w:val="center"/>
            <w:hideMark/>
          </w:tcPr>
          <w:p w14:paraId="4A3F8298" w14:textId="77777777" w:rsidR="00002D76" w:rsidRPr="00AE4B9D" w:rsidRDefault="00002D76" w:rsidP="00D63204">
            <w:pPr>
              <w:spacing w:after="0" w:line="240" w:lineRule="auto"/>
              <w:rPr>
                <w:rFonts w:ascii="Calibri" w:hAnsi="Calibri"/>
                <w:color w:val="231F20"/>
                <w:sz w:val="18"/>
                <w:szCs w:val="18"/>
              </w:rPr>
            </w:pPr>
            <w:r w:rsidRPr="00AE4B9D">
              <w:rPr>
                <w:rFonts w:ascii="Calibri" w:hAnsi="Calibri"/>
                <w:color w:val="231F20"/>
                <w:sz w:val="18"/>
                <w:szCs w:val="18"/>
              </w:rPr>
              <w:t>76,220</w:t>
            </w:r>
          </w:p>
        </w:tc>
      </w:tr>
      <w:tr w:rsidR="00002D76" w:rsidRPr="00AE4B9D" w14:paraId="6F7F8D65" w14:textId="77777777" w:rsidTr="001429C7">
        <w:trPr>
          <w:trHeight w:val="48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D5344E7" w14:textId="77777777" w:rsidR="00002D76" w:rsidRPr="00AE4B9D" w:rsidRDefault="00002D76" w:rsidP="00D63204">
            <w:pPr>
              <w:spacing w:after="0" w:line="240" w:lineRule="auto"/>
              <w:rPr>
                <w:rFonts w:ascii="Calibri" w:hAnsi="Calibri"/>
                <w:color w:val="231F20"/>
                <w:sz w:val="18"/>
                <w:szCs w:val="18"/>
              </w:rPr>
            </w:pPr>
            <w:r w:rsidRPr="00AE4B9D">
              <w:rPr>
                <w:rFonts w:ascii="Calibri" w:hAnsi="Calibri"/>
                <w:color w:val="231F20"/>
                <w:sz w:val="18"/>
                <w:szCs w:val="18"/>
              </w:rPr>
              <w:t>17</w:t>
            </w:r>
          </w:p>
        </w:tc>
        <w:tc>
          <w:tcPr>
            <w:tcW w:w="0" w:type="auto"/>
            <w:tcBorders>
              <w:top w:val="nil"/>
              <w:left w:val="nil"/>
              <w:bottom w:val="single" w:sz="4" w:space="0" w:color="auto"/>
              <w:right w:val="single" w:sz="4" w:space="0" w:color="auto"/>
            </w:tcBorders>
            <w:shd w:val="clear" w:color="auto" w:fill="auto"/>
            <w:vAlign w:val="center"/>
            <w:hideMark/>
          </w:tcPr>
          <w:p w14:paraId="2E8750B3" w14:textId="77777777" w:rsidR="00002D76" w:rsidRPr="00AE4B9D" w:rsidRDefault="00002D76" w:rsidP="00D63204">
            <w:pPr>
              <w:spacing w:after="0" w:line="240" w:lineRule="auto"/>
              <w:rPr>
                <w:rFonts w:ascii="Calibri" w:hAnsi="Calibri"/>
                <w:color w:val="231F20"/>
                <w:sz w:val="18"/>
                <w:szCs w:val="18"/>
              </w:rPr>
            </w:pPr>
            <w:r w:rsidRPr="00AE4B9D">
              <w:rPr>
                <w:rFonts w:ascii="Calibri" w:hAnsi="Calibri"/>
                <w:color w:val="231F20"/>
                <w:sz w:val="18"/>
                <w:szCs w:val="18"/>
              </w:rPr>
              <w:t>434171</w:t>
            </w:r>
          </w:p>
        </w:tc>
        <w:tc>
          <w:tcPr>
            <w:tcW w:w="0" w:type="auto"/>
            <w:tcBorders>
              <w:top w:val="nil"/>
              <w:left w:val="nil"/>
              <w:bottom w:val="single" w:sz="4" w:space="0" w:color="auto"/>
              <w:right w:val="single" w:sz="4" w:space="0" w:color="auto"/>
            </w:tcBorders>
            <w:shd w:val="clear" w:color="auto" w:fill="auto"/>
            <w:vAlign w:val="center"/>
            <w:hideMark/>
          </w:tcPr>
          <w:p w14:paraId="182FAEEF" w14:textId="77777777" w:rsidR="00002D76" w:rsidRPr="00AE4B9D" w:rsidRDefault="00002D76" w:rsidP="004D6183">
            <w:pPr>
              <w:spacing w:after="0" w:line="240" w:lineRule="auto"/>
              <w:rPr>
                <w:rFonts w:ascii="Calibri" w:hAnsi="Calibri"/>
                <w:color w:val="231F20"/>
                <w:sz w:val="18"/>
                <w:szCs w:val="18"/>
              </w:rPr>
            </w:pPr>
            <w:r w:rsidRPr="00AE4B9D">
              <w:rPr>
                <w:rFonts w:ascii="Calibri" w:hAnsi="Calibri"/>
                <w:color w:val="231F20"/>
                <w:sz w:val="18"/>
                <w:szCs w:val="18"/>
              </w:rPr>
              <w:t>Receptionists and Information Clerks</w:t>
            </w:r>
          </w:p>
        </w:tc>
        <w:tc>
          <w:tcPr>
            <w:tcW w:w="0" w:type="auto"/>
            <w:tcBorders>
              <w:top w:val="nil"/>
              <w:left w:val="nil"/>
              <w:bottom w:val="single" w:sz="4" w:space="0" w:color="auto"/>
              <w:right w:val="single" w:sz="4" w:space="0" w:color="auto"/>
            </w:tcBorders>
            <w:shd w:val="clear" w:color="auto" w:fill="auto"/>
            <w:vAlign w:val="center"/>
            <w:hideMark/>
          </w:tcPr>
          <w:p w14:paraId="7856BA5F" w14:textId="77777777" w:rsidR="00002D76" w:rsidRPr="00AE4B9D" w:rsidRDefault="00002D76" w:rsidP="00D63204">
            <w:pPr>
              <w:spacing w:after="0" w:line="240" w:lineRule="auto"/>
              <w:rPr>
                <w:rFonts w:ascii="Calibri" w:hAnsi="Calibri"/>
                <w:color w:val="231F20"/>
                <w:sz w:val="18"/>
                <w:szCs w:val="18"/>
              </w:rPr>
            </w:pPr>
            <w:r w:rsidRPr="00AE4B9D">
              <w:rPr>
                <w:rFonts w:ascii="Calibri" w:hAnsi="Calibri"/>
                <w:color w:val="231F20"/>
                <w:sz w:val="18"/>
                <w:szCs w:val="18"/>
              </w:rPr>
              <w:t>86,701</w:t>
            </w:r>
          </w:p>
        </w:tc>
        <w:tc>
          <w:tcPr>
            <w:tcW w:w="0" w:type="auto"/>
            <w:tcBorders>
              <w:top w:val="nil"/>
              <w:left w:val="nil"/>
              <w:bottom w:val="single" w:sz="4" w:space="0" w:color="auto"/>
              <w:right w:val="single" w:sz="4" w:space="0" w:color="auto"/>
            </w:tcBorders>
            <w:shd w:val="clear" w:color="auto" w:fill="auto"/>
            <w:vAlign w:val="center"/>
            <w:hideMark/>
          </w:tcPr>
          <w:p w14:paraId="3238CD84" w14:textId="77777777" w:rsidR="00002D76" w:rsidRPr="00AE4B9D" w:rsidRDefault="00002D76" w:rsidP="00D63204">
            <w:pPr>
              <w:spacing w:after="0" w:line="240" w:lineRule="auto"/>
              <w:rPr>
                <w:rFonts w:ascii="Calibri" w:hAnsi="Calibri"/>
                <w:color w:val="231F20"/>
                <w:sz w:val="18"/>
                <w:szCs w:val="18"/>
              </w:rPr>
            </w:pPr>
            <w:r w:rsidRPr="00AE4B9D">
              <w:rPr>
                <w:rFonts w:ascii="Calibri" w:hAnsi="Calibri"/>
                <w:color w:val="231F20"/>
                <w:sz w:val="18"/>
                <w:szCs w:val="18"/>
              </w:rPr>
              <w:t>99,264</w:t>
            </w:r>
          </w:p>
        </w:tc>
        <w:tc>
          <w:tcPr>
            <w:tcW w:w="0" w:type="auto"/>
            <w:tcBorders>
              <w:top w:val="nil"/>
              <w:left w:val="nil"/>
              <w:bottom w:val="single" w:sz="4" w:space="0" w:color="auto"/>
              <w:right w:val="single" w:sz="4" w:space="0" w:color="auto"/>
            </w:tcBorders>
            <w:shd w:val="clear" w:color="auto" w:fill="auto"/>
            <w:vAlign w:val="center"/>
            <w:hideMark/>
          </w:tcPr>
          <w:p w14:paraId="4831164C" w14:textId="77777777" w:rsidR="00002D76" w:rsidRPr="00AE4B9D" w:rsidRDefault="00002D76" w:rsidP="00D63204">
            <w:pPr>
              <w:spacing w:after="0" w:line="240" w:lineRule="auto"/>
              <w:rPr>
                <w:rFonts w:ascii="Calibri" w:hAnsi="Calibri"/>
                <w:color w:val="231F20"/>
                <w:sz w:val="18"/>
                <w:szCs w:val="18"/>
              </w:rPr>
            </w:pPr>
            <w:r w:rsidRPr="00AE4B9D">
              <w:rPr>
                <w:rFonts w:ascii="Calibri" w:hAnsi="Calibri"/>
                <w:color w:val="231F20"/>
                <w:sz w:val="18"/>
                <w:szCs w:val="18"/>
              </w:rPr>
              <w:t>12,563</w:t>
            </w:r>
          </w:p>
        </w:tc>
        <w:tc>
          <w:tcPr>
            <w:tcW w:w="0" w:type="auto"/>
            <w:tcBorders>
              <w:top w:val="nil"/>
              <w:left w:val="nil"/>
              <w:bottom w:val="single" w:sz="4" w:space="0" w:color="auto"/>
              <w:right w:val="single" w:sz="4" w:space="0" w:color="auto"/>
            </w:tcBorders>
            <w:shd w:val="clear" w:color="auto" w:fill="auto"/>
            <w:vAlign w:val="center"/>
            <w:hideMark/>
          </w:tcPr>
          <w:p w14:paraId="1E31372E" w14:textId="77777777" w:rsidR="00002D76" w:rsidRPr="00AE4B9D" w:rsidRDefault="00002D76" w:rsidP="00D63204">
            <w:pPr>
              <w:spacing w:after="0" w:line="240" w:lineRule="auto"/>
              <w:rPr>
                <w:rFonts w:ascii="Calibri" w:hAnsi="Calibri"/>
                <w:color w:val="231F20"/>
                <w:sz w:val="18"/>
                <w:szCs w:val="18"/>
              </w:rPr>
            </w:pPr>
            <w:r w:rsidRPr="00AE4B9D">
              <w:rPr>
                <w:rFonts w:ascii="Calibri" w:hAnsi="Calibri"/>
                <w:color w:val="231F20"/>
                <w:sz w:val="18"/>
                <w:szCs w:val="18"/>
              </w:rPr>
              <w:t>14.49</w:t>
            </w:r>
          </w:p>
        </w:tc>
        <w:tc>
          <w:tcPr>
            <w:tcW w:w="0" w:type="auto"/>
            <w:tcBorders>
              <w:top w:val="nil"/>
              <w:left w:val="nil"/>
              <w:bottom w:val="single" w:sz="4" w:space="0" w:color="auto"/>
              <w:right w:val="single" w:sz="4" w:space="0" w:color="auto"/>
            </w:tcBorders>
            <w:shd w:val="clear" w:color="auto" w:fill="auto"/>
            <w:vAlign w:val="center"/>
            <w:hideMark/>
          </w:tcPr>
          <w:p w14:paraId="611EA3D2" w14:textId="77777777" w:rsidR="00002D76" w:rsidRPr="00AE4B9D" w:rsidRDefault="00002D76" w:rsidP="00D63204">
            <w:pPr>
              <w:spacing w:after="0" w:line="240" w:lineRule="auto"/>
              <w:rPr>
                <w:rFonts w:ascii="Calibri" w:hAnsi="Calibri"/>
                <w:color w:val="231F20"/>
                <w:sz w:val="18"/>
                <w:szCs w:val="18"/>
              </w:rPr>
            </w:pPr>
            <w:r w:rsidRPr="00AE4B9D">
              <w:rPr>
                <w:rFonts w:ascii="Calibri" w:hAnsi="Calibri"/>
                <w:color w:val="231F20"/>
                <w:sz w:val="18"/>
                <w:szCs w:val="18"/>
              </w:rPr>
              <w:t>107,457</w:t>
            </w:r>
          </w:p>
        </w:tc>
      </w:tr>
      <w:tr w:rsidR="00002D76" w:rsidRPr="00AE4B9D" w14:paraId="3C9BED2E" w14:textId="77777777" w:rsidTr="001429C7">
        <w:trPr>
          <w:trHeight w:val="480"/>
        </w:trPr>
        <w:tc>
          <w:tcPr>
            <w:tcW w:w="0" w:type="auto"/>
            <w:tcBorders>
              <w:top w:val="nil"/>
              <w:left w:val="single" w:sz="4" w:space="0" w:color="auto"/>
              <w:bottom w:val="single" w:sz="4" w:space="0" w:color="auto"/>
              <w:right w:val="single" w:sz="4" w:space="0" w:color="auto"/>
            </w:tcBorders>
            <w:shd w:val="clear" w:color="000000" w:fill="D1D3D4"/>
            <w:vAlign w:val="center"/>
            <w:hideMark/>
          </w:tcPr>
          <w:p w14:paraId="0B60614B" w14:textId="77777777" w:rsidR="00002D76" w:rsidRPr="00AE4B9D" w:rsidRDefault="00002D76" w:rsidP="00D63204">
            <w:pPr>
              <w:spacing w:after="0" w:line="240" w:lineRule="auto"/>
              <w:rPr>
                <w:rFonts w:ascii="Calibri" w:hAnsi="Calibri"/>
                <w:color w:val="231F20"/>
                <w:sz w:val="18"/>
                <w:szCs w:val="18"/>
              </w:rPr>
            </w:pPr>
            <w:r w:rsidRPr="00AE4B9D">
              <w:rPr>
                <w:rFonts w:ascii="Calibri" w:hAnsi="Calibri"/>
                <w:color w:val="231F20"/>
                <w:sz w:val="18"/>
                <w:szCs w:val="18"/>
              </w:rPr>
              <w:t>18</w:t>
            </w:r>
          </w:p>
        </w:tc>
        <w:tc>
          <w:tcPr>
            <w:tcW w:w="0" w:type="auto"/>
            <w:tcBorders>
              <w:top w:val="nil"/>
              <w:left w:val="nil"/>
              <w:bottom w:val="single" w:sz="4" w:space="0" w:color="auto"/>
              <w:right w:val="single" w:sz="4" w:space="0" w:color="auto"/>
            </w:tcBorders>
            <w:shd w:val="clear" w:color="000000" w:fill="D1D3D4"/>
            <w:vAlign w:val="center"/>
            <w:hideMark/>
          </w:tcPr>
          <w:p w14:paraId="0B8128A1" w14:textId="77777777" w:rsidR="00002D76" w:rsidRPr="00AE4B9D" w:rsidRDefault="00002D76" w:rsidP="00D63204">
            <w:pPr>
              <w:spacing w:after="0" w:line="240" w:lineRule="auto"/>
              <w:rPr>
                <w:rFonts w:ascii="Calibri" w:hAnsi="Calibri"/>
                <w:color w:val="231F20"/>
                <w:sz w:val="18"/>
                <w:szCs w:val="18"/>
              </w:rPr>
            </w:pPr>
            <w:r w:rsidRPr="00AE4B9D">
              <w:rPr>
                <w:rFonts w:ascii="Calibri" w:hAnsi="Calibri"/>
                <w:color w:val="231F20"/>
                <w:sz w:val="18"/>
                <w:szCs w:val="18"/>
              </w:rPr>
              <w:t>435081</w:t>
            </w:r>
          </w:p>
        </w:tc>
        <w:tc>
          <w:tcPr>
            <w:tcW w:w="0" w:type="auto"/>
            <w:tcBorders>
              <w:top w:val="nil"/>
              <w:left w:val="nil"/>
              <w:bottom w:val="single" w:sz="4" w:space="0" w:color="auto"/>
              <w:right w:val="single" w:sz="4" w:space="0" w:color="auto"/>
            </w:tcBorders>
            <w:shd w:val="clear" w:color="000000" w:fill="D1D3D4"/>
            <w:vAlign w:val="center"/>
            <w:hideMark/>
          </w:tcPr>
          <w:p w14:paraId="75006CAC" w14:textId="77777777" w:rsidR="00002D76" w:rsidRPr="00AE4B9D" w:rsidRDefault="00002D76" w:rsidP="004D6183">
            <w:pPr>
              <w:spacing w:after="0" w:line="240" w:lineRule="auto"/>
              <w:rPr>
                <w:rFonts w:ascii="Calibri" w:hAnsi="Calibri"/>
                <w:color w:val="231F20"/>
                <w:sz w:val="18"/>
                <w:szCs w:val="18"/>
              </w:rPr>
            </w:pPr>
            <w:r w:rsidRPr="00AE4B9D">
              <w:rPr>
                <w:rFonts w:ascii="Calibri" w:hAnsi="Calibri"/>
                <w:color w:val="231F20"/>
                <w:sz w:val="18"/>
                <w:szCs w:val="18"/>
              </w:rPr>
              <w:t>Stock Clerks and Order Fillers</w:t>
            </w:r>
          </w:p>
        </w:tc>
        <w:tc>
          <w:tcPr>
            <w:tcW w:w="0" w:type="auto"/>
            <w:tcBorders>
              <w:top w:val="nil"/>
              <w:left w:val="nil"/>
              <w:bottom w:val="single" w:sz="4" w:space="0" w:color="auto"/>
              <w:right w:val="single" w:sz="4" w:space="0" w:color="auto"/>
            </w:tcBorders>
            <w:shd w:val="clear" w:color="000000" w:fill="D1D3D4"/>
            <w:vAlign w:val="center"/>
            <w:hideMark/>
          </w:tcPr>
          <w:p w14:paraId="2C55E790" w14:textId="77777777" w:rsidR="00002D76" w:rsidRPr="00AE4B9D" w:rsidRDefault="00002D76" w:rsidP="00D63204">
            <w:pPr>
              <w:spacing w:after="0" w:line="240" w:lineRule="auto"/>
              <w:rPr>
                <w:rFonts w:ascii="Calibri" w:hAnsi="Calibri"/>
                <w:color w:val="231F20"/>
                <w:sz w:val="18"/>
                <w:szCs w:val="18"/>
              </w:rPr>
            </w:pPr>
            <w:r w:rsidRPr="00AE4B9D">
              <w:rPr>
                <w:rFonts w:ascii="Calibri" w:hAnsi="Calibri"/>
                <w:color w:val="231F20"/>
                <w:sz w:val="18"/>
                <w:szCs w:val="18"/>
              </w:rPr>
              <w:t>140,166</w:t>
            </w:r>
          </w:p>
        </w:tc>
        <w:tc>
          <w:tcPr>
            <w:tcW w:w="0" w:type="auto"/>
            <w:tcBorders>
              <w:top w:val="nil"/>
              <w:left w:val="nil"/>
              <w:bottom w:val="single" w:sz="4" w:space="0" w:color="auto"/>
              <w:right w:val="single" w:sz="4" w:space="0" w:color="auto"/>
            </w:tcBorders>
            <w:shd w:val="clear" w:color="000000" w:fill="D1D3D4"/>
            <w:vAlign w:val="center"/>
            <w:hideMark/>
          </w:tcPr>
          <w:p w14:paraId="76A15A7F" w14:textId="77777777" w:rsidR="00002D76" w:rsidRPr="00AE4B9D" w:rsidRDefault="00002D76" w:rsidP="00D63204">
            <w:pPr>
              <w:spacing w:after="0" w:line="240" w:lineRule="auto"/>
              <w:rPr>
                <w:rFonts w:ascii="Calibri" w:hAnsi="Calibri"/>
                <w:color w:val="231F20"/>
                <w:sz w:val="18"/>
                <w:szCs w:val="18"/>
              </w:rPr>
            </w:pPr>
            <w:r w:rsidRPr="00AE4B9D">
              <w:rPr>
                <w:rFonts w:ascii="Calibri" w:hAnsi="Calibri"/>
                <w:color w:val="231F20"/>
                <w:sz w:val="18"/>
                <w:szCs w:val="18"/>
              </w:rPr>
              <w:t>152,582</w:t>
            </w:r>
          </w:p>
        </w:tc>
        <w:tc>
          <w:tcPr>
            <w:tcW w:w="0" w:type="auto"/>
            <w:tcBorders>
              <w:top w:val="nil"/>
              <w:left w:val="nil"/>
              <w:bottom w:val="single" w:sz="4" w:space="0" w:color="auto"/>
              <w:right w:val="single" w:sz="4" w:space="0" w:color="auto"/>
            </w:tcBorders>
            <w:shd w:val="clear" w:color="000000" w:fill="D1D3D4"/>
            <w:vAlign w:val="center"/>
            <w:hideMark/>
          </w:tcPr>
          <w:p w14:paraId="2719BC84" w14:textId="77777777" w:rsidR="00002D76" w:rsidRPr="00AE4B9D" w:rsidRDefault="00002D76" w:rsidP="00D63204">
            <w:pPr>
              <w:spacing w:after="0" w:line="240" w:lineRule="auto"/>
              <w:rPr>
                <w:rFonts w:ascii="Calibri" w:hAnsi="Calibri"/>
                <w:color w:val="231F20"/>
                <w:sz w:val="18"/>
                <w:szCs w:val="18"/>
              </w:rPr>
            </w:pPr>
            <w:r w:rsidRPr="00AE4B9D">
              <w:rPr>
                <w:rFonts w:ascii="Calibri" w:hAnsi="Calibri"/>
                <w:color w:val="231F20"/>
                <w:sz w:val="18"/>
                <w:szCs w:val="18"/>
              </w:rPr>
              <w:t>12,416</w:t>
            </w:r>
          </w:p>
        </w:tc>
        <w:tc>
          <w:tcPr>
            <w:tcW w:w="0" w:type="auto"/>
            <w:tcBorders>
              <w:top w:val="nil"/>
              <w:left w:val="nil"/>
              <w:bottom w:val="single" w:sz="4" w:space="0" w:color="auto"/>
              <w:right w:val="single" w:sz="4" w:space="0" w:color="auto"/>
            </w:tcBorders>
            <w:shd w:val="clear" w:color="000000" w:fill="D1D3D4"/>
            <w:vAlign w:val="center"/>
            <w:hideMark/>
          </w:tcPr>
          <w:p w14:paraId="2161C987" w14:textId="77777777" w:rsidR="00002D76" w:rsidRPr="00AE4B9D" w:rsidRDefault="00002D76" w:rsidP="00D63204">
            <w:pPr>
              <w:spacing w:after="0" w:line="240" w:lineRule="auto"/>
              <w:rPr>
                <w:rFonts w:ascii="Calibri" w:hAnsi="Calibri"/>
                <w:color w:val="231F20"/>
                <w:sz w:val="18"/>
                <w:szCs w:val="18"/>
              </w:rPr>
            </w:pPr>
            <w:r w:rsidRPr="00AE4B9D">
              <w:rPr>
                <w:rFonts w:ascii="Calibri" w:hAnsi="Calibri"/>
                <w:color w:val="231F20"/>
                <w:sz w:val="18"/>
                <w:szCs w:val="18"/>
              </w:rPr>
              <w:t>8.86</w:t>
            </w:r>
          </w:p>
        </w:tc>
        <w:tc>
          <w:tcPr>
            <w:tcW w:w="0" w:type="auto"/>
            <w:tcBorders>
              <w:top w:val="nil"/>
              <w:left w:val="nil"/>
              <w:bottom w:val="single" w:sz="4" w:space="0" w:color="auto"/>
              <w:right w:val="single" w:sz="4" w:space="0" w:color="auto"/>
            </w:tcBorders>
            <w:shd w:val="clear" w:color="000000" w:fill="D1D3D4"/>
            <w:vAlign w:val="center"/>
            <w:hideMark/>
          </w:tcPr>
          <w:p w14:paraId="3F7D1503" w14:textId="77777777" w:rsidR="00002D76" w:rsidRPr="00AE4B9D" w:rsidRDefault="00002D76" w:rsidP="00D63204">
            <w:pPr>
              <w:spacing w:after="0" w:line="240" w:lineRule="auto"/>
              <w:rPr>
                <w:rFonts w:ascii="Calibri" w:hAnsi="Calibri"/>
                <w:color w:val="231F20"/>
                <w:sz w:val="18"/>
                <w:szCs w:val="18"/>
              </w:rPr>
            </w:pPr>
            <w:r w:rsidRPr="00AE4B9D">
              <w:rPr>
                <w:rFonts w:ascii="Calibri" w:hAnsi="Calibri"/>
                <w:color w:val="231F20"/>
                <w:sz w:val="18"/>
                <w:szCs w:val="18"/>
              </w:rPr>
              <w:t>161,332</w:t>
            </w:r>
          </w:p>
        </w:tc>
      </w:tr>
      <w:tr w:rsidR="00002D76" w:rsidRPr="00AE4B9D" w14:paraId="254BAC81" w14:textId="77777777" w:rsidTr="001429C7">
        <w:trPr>
          <w:trHeight w:val="48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4E6D66D" w14:textId="77777777" w:rsidR="00002D76" w:rsidRPr="00AE4B9D" w:rsidRDefault="00002D76" w:rsidP="00D63204">
            <w:pPr>
              <w:spacing w:after="0" w:line="240" w:lineRule="auto"/>
              <w:rPr>
                <w:rFonts w:ascii="Calibri" w:hAnsi="Calibri"/>
                <w:color w:val="231F20"/>
                <w:sz w:val="18"/>
                <w:szCs w:val="18"/>
              </w:rPr>
            </w:pPr>
            <w:r w:rsidRPr="00AE4B9D">
              <w:rPr>
                <w:rFonts w:ascii="Calibri" w:hAnsi="Calibri"/>
                <w:color w:val="231F20"/>
                <w:sz w:val="18"/>
                <w:szCs w:val="18"/>
              </w:rPr>
              <w:t>19</w:t>
            </w:r>
          </w:p>
        </w:tc>
        <w:tc>
          <w:tcPr>
            <w:tcW w:w="0" w:type="auto"/>
            <w:tcBorders>
              <w:top w:val="nil"/>
              <w:left w:val="nil"/>
              <w:bottom w:val="single" w:sz="4" w:space="0" w:color="auto"/>
              <w:right w:val="single" w:sz="4" w:space="0" w:color="auto"/>
            </w:tcBorders>
            <w:shd w:val="clear" w:color="auto" w:fill="auto"/>
            <w:vAlign w:val="center"/>
            <w:hideMark/>
          </w:tcPr>
          <w:p w14:paraId="66BCEFD5" w14:textId="77777777" w:rsidR="00002D76" w:rsidRPr="00AE4B9D" w:rsidRDefault="00002D76" w:rsidP="00D63204">
            <w:pPr>
              <w:spacing w:after="0" w:line="240" w:lineRule="auto"/>
              <w:rPr>
                <w:rFonts w:ascii="Calibri" w:hAnsi="Calibri"/>
                <w:color w:val="231F20"/>
                <w:sz w:val="18"/>
                <w:szCs w:val="18"/>
              </w:rPr>
            </w:pPr>
            <w:r w:rsidRPr="00AE4B9D">
              <w:rPr>
                <w:rFonts w:ascii="Calibri" w:hAnsi="Calibri"/>
                <w:color w:val="231F20"/>
                <w:sz w:val="18"/>
                <w:szCs w:val="18"/>
              </w:rPr>
              <w:t>431011</w:t>
            </w:r>
          </w:p>
        </w:tc>
        <w:tc>
          <w:tcPr>
            <w:tcW w:w="0" w:type="auto"/>
            <w:tcBorders>
              <w:top w:val="nil"/>
              <w:left w:val="nil"/>
              <w:bottom w:val="single" w:sz="4" w:space="0" w:color="auto"/>
              <w:right w:val="single" w:sz="4" w:space="0" w:color="auto"/>
            </w:tcBorders>
            <w:shd w:val="clear" w:color="auto" w:fill="auto"/>
            <w:vAlign w:val="center"/>
            <w:hideMark/>
          </w:tcPr>
          <w:p w14:paraId="7949AF38" w14:textId="77777777" w:rsidR="00002D76" w:rsidRPr="00AE4B9D" w:rsidRDefault="00002D76" w:rsidP="004D6183">
            <w:pPr>
              <w:spacing w:after="0" w:line="240" w:lineRule="auto"/>
              <w:rPr>
                <w:rFonts w:ascii="Calibri" w:hAnsi="Calibri"/>
                <w:color w:val="231F20"/>
                <w:sz w:val="18"/>
                <w:szCs w:val="18"/>
              </w:rPr>
            </w:pPr>
            <w:r w:rsidRPr="00AE4B9D">
              <w:rPr>
                <w:rFonts w:ascii="Calibri" w:hAnsi="Calibri"/>
                <w:color w:val="231F20"/>
                <w:sz w:val="18"/>
                <w:szCs w:val="18"/>
              </w:rPr>
              <w:t>First-Line Superv</w:t>
            </w:r>
            <w:r>
              <w:rPr>
                <w:rFonts w:ascii="Calibri" w:hAnsi="Calibri"/>
                <w:color w:val="231F20"/>
                <w:sz w:val="18"/>
                <w:szCs w:val="18"/>
              </w:rPr>
              <w:t>isor</w:t>
            </w:r>
            <w:r w:rsidRPr="00AE4B9D">
              <w:rPr>
                <w:rFonts w:ascii="Calibri" w:hAnsi="Calibri"/>
                <w:color w:val="231F20"/>
                <w:sz w:val="18"/>
                <w:szCs w:val="18"/>
              </w:rPr>
              <w:t xml:space="preserve"> of Office and Admin. Support Workers</w:t>
            </w:r>
          </w:p>
        </w:tc>
        <w:tc>
          <w:tcPr>
            <w:tcW w:w="0" w:type="auto"/>
            <w:tcBorders>
              <w:top w:val="nil"/>
              <w:left w:val="nil"/>
              <w:bottom w:val="single" w:sz="4" w:space="0" w:color="auto"/>
              <w:right w:val="single" w:sz="4" w:space="0" w:color="auto"/>
            </w:tcBorders>
            <w:shd w:val="clear" w:color="auto" w:fill="auto"/>
            <w:vAlign w:val="center"/>
            <w:hideMark/>
          </w:tcPr>
          <w:p w14:paraId="1AD3E651" w14:textId="77777777" w:rsidR="00002D76" w:rsidRPr="00AE4B9D" w:rsidRDefault="00002D76" w:rsidP="00D63204">
            <w:pPr>
              <w:spacing w:after="0" w:line="240" w:lineRule="auto"/>
              <w:rPr>
                <w:rFonts w:ascii="Calibri" w:hAnsi="Calibri"/>
                <w:color w:val="231F20"/>
                <w:sz w:val="18"/>
                <w:szCs w:val="18"/>
              </w:rPr>
            </w:pPr>
            <w:r w:rsidRPr="00AE4B9D">
              <w:rPr>
                <w:rFonts w:ascii="Calibri" w:hAnsi="Calibri"/>
                <w:color w:val="231F20"/>
                <w:sz w:val="18"/>
                <w:szCs w:val="18"/>
              </w:rPr>
              <w:t>102,164</w:t>
            </w:r>
          </w:p>
        </w:tc>
        <w:tc>
          <w:tcPr>
            <w:tcW w:w="0" w:type="auto"/>
            <w:tcBorders>
              <w:top w:val="nil"/>
              <w:left w:val="nil"/>
              <w:bottom w:val="single" w:sz="4" w:space="0" w:color="auto"/>
              <w:right w:val="single" w:sz="4" w:space="0" w:color="auto"/>
            </w:tcBorders>
            <w:shd w:val="clear" w:color="auto" w:fill="auto"/>
            <w:vAlign w:val="center"/>
            <w:hideMark/>
          </w:tcPr>
          <w:p w14:paraId="4E37655A" w14:textId="77777777" w:rsidR="00002D76" w:rsidRPr="00AE4B9D" w:rsidRDefault="00002D76" w:rsidP="00D63204">
            <w:pPr>
              <w:spacing w:after="0" w:line="240" w:lineRule="auto"/>
              <w:rPr>
                <w:rFonts w:ascii="Calibri" w:hAnsi="Calibri"/>
                <w:color w:val="231F20"/>
                <w:sz w:val="18"/>
                <w:szCs w:val="18"/>
              </w:rPr>
            </w:pPr>
            <w:r w:rsidRPr="00AE4B9D">
              <w:rPr>
                <w:rFonts w:ascii="Calibri" w:hAnsi="Calibri"/>
                <w:color w:val="231F20"/>
                <w:sz w:val="18"/>
                <w:szCs w:val="18"/>
              </w:rPr>
              <w:t>114,225</w:t>
            </w:r>
          </w:p>
        </w:tc>
        <w:tc>
          <w:tcPr>
            <w:tcW w:w="0" w:type="auto"/>
            <w:tcBorders>
              <w:top w:val="nil"/>
              <w:left w:val="nil"/>
              <w:bottom w:val="single" w:sz="4" w:space="0" w:color="auto"/>
              <w:right w:val="single" w:sz="4" w:space="0" w:color="auto"/>
            </w:tcBorders>
            <w:shd w:val="clear" w:color="auto" w:fill="auto"/>
            <w:vAlign w:val="center"/>
            <w:hideMark/>
          </w:tcPr>
          <w:p w14:paraId="3E3802D0" w14:textId="77777777" w:rsidR="00002D76" w:rsidRPr="00AE4B9D" w:rsidRDefault="00002D76" w:rsidP="00D63204">
            <w:pPr>
              <w:spacing w:after="0" w:line="240" w:lineRule="auto"/>
              <w:rPr>
                <w:rFonts w:ascii="Calibri" w:hAnsi="Calibri"/>
                <w:color w:val="231F20"/>
                <w:sz w:val="18"/>
                <w:szCs w:val="18"/>
              </w:rPr>
            </w:pPr>
            <w:r w:rsidRPr="00AE4B9D">
              <w:rPr>
                <w:rFonts w:ascii="Calibri" w:hAnsi="Calibri"/>
                <w:color w:val="231F20"/>
                <w:sz w:val="18"/>
                <w:szCs w:val="18"/>
              </w:rPr>
              <w:t>12,061</w:t>
            </w:r>
          </w:p>
        </w:tc>
        <w:tc>
          <w:tcPr>
            <w:tcW w:w="0" w:type="auto"/>
            <w:tcBorders>
              <w:top w:val="nil"/>
              <w:left w:val="nil"/>
              <w:bottom w:val="single" w:sz="4" w:space="0" w:color="auto"/>
              <w:right w:val="single" w:sz="4" w:space="0" w:color="auto"/>
            </w:tcBorders>
            <w:shd w:val="clear" w:color="auto" w:fill="auto"/>
            <w:vAlign w:val="center"/>
            <w:hideMark/>
          </w:tcPr>
          <w:p w14:paraId="05D0CC98" w14:textId="77777777" w:rsidR="00002D76" w:rsidRPr="00AE4B9D" w:rsidRDefault="00002D76" w:rsidP="00D63204">
            <w:pPr>
              <w:spacing w:after="0" w:line="240" w:lineRule="auto"/>
              <w:rPr>
                <w:rFonts w:ascii="Calibri" w:hAnsi="Calibri"/>
                <w:color w:val="231F20"/>
                <w:sz w:val="18"/>
                <w:szCs w:val="18"/>
              </w:rPr>
            </w:pPr>
            <w:r w:rsidRPr="00AE4B9D">
              <w:rPr>
                <w:rFonts w:ascii="Calibri" w:hAnsi="Calibri"/>
                <w:color w:val="231F20"/>
                <w:sz w:val="18"/>
                <w:szCs w:val="18"/>
              </w:rPr>
              <w:t>11.81</w:t>
            </w:r>
          </w:p>
        </w:tc>
        <w:tc>
          <w:tcPr>
            <w:tcW w:w="0" w:type="auto"/>
            <w:tcBorders>
              <w:top w:val="nil"/>
              <w:left w:val="nil"/>
              <w:bottom w:val="single" w:sz="4" w:space="0" w:color="auto"/>
              <w:right w:val="single" w:sz="4" w:space="0" w:color="auto"/>
            </w:tcBorders>
            <w:shd w:val="clear" w:color="auto" w:fill="auto"/>
            <w:vAlign w:val="center"/>
            <w:hideMark/>
          </w:tcPr>
          <w:p w14:paraId="36458D54" w14:textId="77777777" w:rsidR="00002D76" w:rsidRPr="00AE4B9D" w:rsidRDefault="00002D76" w:rsidP="00D63204">
            <w:pPr>
              <w:spacing w:after="0" w:line="240" w:lineRule="auto"/>
              <w:rPr>
                <w:rFonts w:ascii="Calibri" w:hAnsi="Calibri"/>
                <w:color w:val="231F20"/>
                <w:sz w:val="18"/>
                <w:szCs w:val="18"/>
              </w:rPr>
            </w:pPr>
            <w:r w:rsidRPr="00AE4B9D">
              <w:rPr>
                <w:rFonts w:ascii="Calibri" w:hAnsi="Calibri"/>
                <w:color w:val="231F20"/>
                <w:sz w:val="18"/>
                <w:szCs w:val="18"/>
              </w:rPr>
              <w:t>91,268</w:t>
            </w:r>
          </w:p>
        </w:tc>
      </w:tr>
      <w:tr w:rsidR="00002D76" w:rsidRPr="00AE4B9D" w14:paraId="40DC59D1" w14:textId="77777777" w:rsidTr="001429C7">
        <w:trPr>
          <w:trHeight w:val="480"/>
        </w:trPr>
        <w:tc>
          <w:tcPr>
            <w:tcW w:w="0" w:type="auto"/>
            <w:tcBorders>
              <w:top w:val="nil"/>
              <w:left w:val="single" w:sz="4" w:space="0" w:color="auto"/>
              <w:bottom w:val="single" w:sz="4" w:space="0" w:color="auto"/>
              <w:right w:val="single" w:sz="4" w:space="0" w:color="auto"/>
            </w:tcBorders>
            <w:shd w:val="clear" w:color="000000" w:fill="D1D3D4"/>
            <w:vAlign w:val="center"/>
            <w:hideMark/>
          </w:tcPr>
          <w:p w14:paraId="6325944C" w14:textId="77777777" w:rsidR="00002D76" w:rsidRPr="00AE4B9D" w:rsidRDefault="00002D76" w:rsidP="00D63204">
            <w:pPr>
              <w:spacing w:after="0" w:line="240" w:lineRule="auto"/>
              <w:rPr>
                <w:rFonts w:ascii="Calibri" w:hAnsi="Calibri"/>
                <w:color w:val="231F20"/>
                <w:sz w:val="18"/>
                <w:szCs w:val="18"/>
              </w:rPr>
            </w:pPr>
            <w:r w:rsidRPr="00AE4B9D">
              <w:rPr>
                <w:rFonts w:ascii="Calibri" w:hAnsi="Calibri"/>
                <w:color w:val="231F20"/>
                <w:sz w:val="18"/>
                <w:szCs w:val="18"/>
              </w:rPr>
              <w:t>20</w:t>
            </w:r>
          </w:p>
        </w:tc>
        <w:tc>
          <w:tcPr>
            <w:tcW w:w="0" w:type="auto"/>
            <w:tcBorders>
              <w:top w:val="nil"/>
              <w:left w:val="nil"/>
              <w:bottom w:val="single" w:sz="4" w:space="0" w:color="auto"/>
              <w:right w:val="single" w:sz="4" w:space="0" w:color="auto"/>
            </w:tcBorders>
            <w:shd w:val="clear" w:color="000000" w:fill="D1D3D4"/>
            <w:vAlign w:val="center"/>
            <w:hideMark/>
          </w:tcPr>
          <w:p w14:paraId="33B713BB" w14:textId="77777777" w:rsidR="00002D76" w:rsidRPr="00AE4B9D" w:rsidRDefault="00002D76" w:rsidP="00D63204">
            <w:pPr>
              <w:spacing w:after="0" w:line="240" w:lineRule="auto"/>
              <w:rPr>
                <w:rFonts w:ascii="Calibri" w:hAnsi="Calibri"/>
                <w:color w:val="231F20"/>
                <w:sz w:val="18"/>
                <w:szCs w:val="18"/>
              </w:rPr>
            </w:pPr>
            <w:r w:rsidRPr="00AE4B9D">
              <w:rPr>
                <w:rFonts w:ascii="Calibri" w:hAnsi="Calibri"/>
                <w:color w:val="231F20"/>
                <w:sz w:val="18"/>
                <w:szCs w:val="18"/>
              </w:rPr>
              <w:t>372012</w:t>
            </w:r>
          </w:p>
        </w:tc>
        <w:tc>
          <w:tcPr>
            <w:tcW w:w="0" w:type="auto"/>
            <w:tcBorders>
              <w:top w:val="nil"/>
              <w:left w:val="nil"/>
              <w:bottom w:val="single" w:sz="4" w:space="0" w:color="auto"/>
              <w:right w:val="single" w:sz="4" w:space="0" w:color="auto"/>
            </w:tcBorders>
            <w:shd w:val="clear" w:color="000000" w:fill="D1D3D4"/>
            <w:vAlign w:val="center"/>
            <w:hideMark/>
          </w:tcPr>
          <w:p w14:paraId="117CCAE6" w14:textId="77777777" w:rsidR="00002D76" w:rsidRPr="00AE4B9D" w:rsidRDefault="00002D76" w:rsidP="004D6183">
            <w:pPr>
              <w:spacing w:after="0" w:line="240" w:lineRule="auto"/>
              <w:rPr>
                <w:rFonts w:ascii="Calibri" w:hAnsi="Calibri"/>
                <w:color w:val="231F20"/>
                <w:sz w:val="18"/>
                <w:szCs w:val="18"/>
              </w:rPr>
            </w:pPr>
            <w:r w:rsidRPr="00AE4B9D">
              <w:rPr>
                <w:rFonts w:ascii="Calibri" w:hAnsi="Calibri"/>
                <w:color w:val="231F20"/>
                <w:sz w:val="18"/>
                <w:szCs w:val="18"/>
              </w:rPr>
              <w:t>Maids and Housekeeping Cleaners</w:t>
            </w:r>
          </w:p>
        </w:tc>
        <w:tc>
          <w:tcPr>
            <w:tcW w:w="0" w:type="auto"/>
            <w:tcBorders>
              <w:top w:val="nil"/>
              <w:left w:val="nil"/>
              <w:bottom w:val="single" w:sz="4" w:space="0" w:color="auto"/>
              <w:right w:val="single" w:sz="4" w:space="0" w:color="auto"/>
            </w:tcBorders>
            <w:shd w:val="clear" w:color="000000" w:fill="D1D3D4"/>
            <w:vAlign w:val="center"/>
            <w:hideMark/>
          </w:tcPr>
          <w:p w14:paraId="7B80847C" w14:textId="77777777" w:rsidR="00002D76" w:rsidRPr="00AE4B9D" w:rsidRDefault="00002D76" w:rsidP="00D63204">
            <w:pPr>
              <w:spacing w:after="0" w:line="240" w:lineRule="auto"/>
              <w:rPr>
                <w:rFonts w:ascii="Calibri" w:hAnsi="Calibri"/>
                <w:color w:val="231F20"/>
                <w:sz w:val="18"/>
                <w:szCs w:val="18"/>
              </w:rPr>
            </w:pPr>
            <w:r w:rsidRPr="00AE4B9D">
              <w:rPr>
                <w:rFonts w:ascii="Calibri" w:hAnsi="Calibri"/>
                <w:color w:val="231F20"/>
                <w:sz w:val="18"/>
                <w:szCs w:val="18"/>
              </w:rPr>
              <w:t>95,320</w:t>
            </w:r>
          </w:p>
        </w:tc>
        <w:tc>
          <w:tcPr>
            <w:tcW w:w="0" w:type="auto"/>
            <w:tcBorders>
              <w:top w:val="nil"/>
              <w:left w:val="nil"/>
              <w:bottom w:val="single" w:sz="4" w:space="0" w:color="auto"/>
              <w:right w:val="single" w:sz="4" w:space="0" w:color="auto"/>
            </w:tcBorders>
            <w:shd w:val="clear" w:color="000000" w:fill="D1D3D4"/>
            <w:vAlign w:val="center"/>
            <w:hideMark/>
          </w:tcPr>
          <w:p w14:paraId="0C678C53" w14:textId="77777777" w:rsidR="00002D76" w:rsidRPr="00AE4B9D" w:rsidRDefault="00002D76" w:rsidP="00D63204">
            <w:pPr>
              <w:spacing w:after="0" w:line="240" w:lineRule="auto"/>
              <w:rPr>
                <w:rFonts w:ascii="Calibri" w:hAnsi="Calibri"/>
                <w:color w:val="231F20"/>
                <w:sz w:val="18"/>
                <w:szCs w:val="18"/>
              </w:rPr>
            </w:pPr>
            <w:r w:rsidRPr="00AE4B9D">
              <w:rPr>
                <w:rFonts w:ascii="Calibri" w:hAnsi="Calibri"/>
                <w:color w:val="231F20"/>
                <w:sz w:val="18"/>
                <w:szCs w:val="18"/>
              </w:rPr>
              <w:t>107,252</w:t>
            </w:r>
          </w:p>
        </w:tc>
        <w:tc>
          <w:tcPr>
            <w:tcW w:w="0" w:type="auto"/>
            <w:tcBorders>
              <w:top w:val="nil"/>
              <w:left w:val="nil"/>
              <w:bottom w:val="single" w:sz="4" w:space="0" w:color="auto"/>
              <w:right w:val="single" w:sz="4" w:space="0" w:color="auto"/>
            </w:tcBorders>
            <w:shd w:val="clear" w:color="000000" w:fill="D1D3D4"/>
            <w:vAlign w:val="center"/>
            <w:hideMark/>
          </w:tcPr>
          <w:p w14:paraId="7B7F089E" w14:textId="77777777" w:rsidR="00002D76" w:rsidRPr="00AE4B9D" w:rsidRDefault="00002D76" w:rsidP="00D63204">
            <w:pPr>
              <w:spacing w:after="0" w:line="240" w:lineRule="auto"/>
              <w:rPr>
                <w:rFonts w:ascii="Calibri" w:hAnsi="Calibri"/>
                <w:color w:val="231F20"/>
                <w:sz w:val="18"/>
                <w:szCs w:val="18"/>
              </w:rPr>
            </w:pPr>
            <w:r w:rsidRPr="00AE4B9D">
              <w:rPr>
                <w:rFonts w:ascii="Calibri" w:hAnsi="Calibri"/>
                <w:color w:val="231F20"/>
                <w:sz w:val="18"/>
                <w:szCs w:val="18"/>
              </w:rPr>
              <w:t>11,932</w:t>
            </w:r>
          </w:p>
        </w:tc>
        <w:tc>
          <w:tcPr>
            <w:tcW w:w="0" w:type="auto"/>
            <w:tcBorders>
              <w:top w:val="nil"/>
              <w:left w:val="nil"/>
              <w:bottom w:val="single" w:sz="4" w:space="0" w:color="auto"/>
              <w:right w:val="single" w:sz="4" w:space="0" w:color="auto"/>
            </w:tcBorders>
            <w:shd w:val="clear" w:color="000000" w:fill="D1D3D4"/>
            <w:vAlign w:val="center"/>
            <w:hideMark/>
          </w:tcPr>
          <w:p w14:paraId="537A85A4" w14:textId="77777777" w:rsidR="00002D76" w:rsidRPr="00AE4B9D" w:rsidRDefault="00002D76" w:rsidP="00D63204">
            <w:pPr>
              <w:spacing w:after="0" w:line="240" w:lineRule="auto"/>
              <w:rPr>
                <w:rFonts w:ascii="Calibri" w:hAnsi="Calibri"/>
                <w:color w:val="231F20"/>
                <w:sz w:val="18"/>
                <w:szCs w:val="18"/>
              </w:rPr>
            </w:pPr>
            <w:r w:rsidRPr="00AE4B9D">
              <w:rPr>
                <w:rFonts w:ascii="Calibri" w:hAnsi="Calibri"/>
                <w:color w:val="231F20"/>
                <w:sz w:val="18"/>
                <w:szCs w:val="18"/>
              </w:rPr>
              <w:t>12.52</w:t>
            </w:r>
          </w:p>
        </w:tc>
        <w:tc>
          <w:tcPr>
            <w:tcW w:w="0" w:type="auto"/>
            <w:tcBorders>
              <w:top w:val="nil"/>
              <w:left w:val="nil"/>
              <w:bottom w:val="single" w:sz="4" w:space="0" w:color="auto"/>
              <w:right w:val="single" w:sz="4" w:space="0" w:color="auto"/>
            </w:tcBorders>
            <w:shd w:val="clear" w:color="000000" w:fill="D1D3D4"/>
            <w:vAlign w:val="center"/>
            <w:hideMark/>
          </w:tcPr>
          <w:p w14:paraId="1E65C251" w14:textId="77777777" w:rsidR="00002D76" w:rsidRPr="00AE4B9D" w:rsidRDefault="00002D76" w:rsidP="00D63204">
            <w:pPr>
              <w:spacing w:after="0" w:line="240" w:lineRule="auto"/>
              <w:rPr>
                <w:rFonts w:ascii="Calibri" w:hAnsi="Calibri"/>
                <w:color w:val="231F20"/>
                <w:sz w:val="18"/>
                <w:szCs w:val="18"/>
              </w:rPr>
            </w:pPr>
            <w:r w:rsidRPr="00AE4B9D">
              <w:rPr>
                <w:rFonts w:ascii="Calibri" w:hAnsi="Calibri"/>
                <w:color w:val="231F20"/>
                <w:sz w:val="18"/>
                <w:szCs w:val="18"/>
              </w:rPr>
              <w:t>121,572</w:t>
            </w:r>
          </w:p>
        </w:tc>
      </w:tr>
    </w:tbl>
    <w:p w14:paraId="606E9033" w14:textId="77777777" w:rsidR="00002D76" w:rsidRPr="00EA7458" w:rsidRDefault="00002D76" w:rsidP="00002D76">
      <w:pPr>
        <w:widowControl w:val="0"/>
        <w:spacing w:before="12" w:after="0" w:line="240" w:lineRule="auto"/>
        <w:rPr>
          <w:rFonts w:ascii="Calibri" w:hAnsi="Calibri" w:cs="Calibri"/>
          <w:b/>
          <w:bCs/>
          <w:sz w:val="7"/>
          <w:szCs w:val="7"/>
        </w:rPr>
      </w:pPr>
    </w:p>
    <w:p w14:paraId="0C9ED63D" w14:textId="77777777" w:rsidR="00002D76" w:rsidRDefault="00002D76" w:rsidP="00002D76">
      <w:pPr>
        <w:widowControl w:val="0"/>
        <w:spacing w:before="65" w:after="0" w:line="216" w:lineRule="exact"/>
        <w:ind w:left="107"/>
        <w:rPr>
          <w:rFonts w:ascii="Calibri" w:hAnsi="Calibri"/>
          <w:color w:val="231F20"/>
          <w:w w:val="105"/>
          <w:sz w:val="18"/>
        </w:rPr>
      </w:pPr>
      <w:r w:rsidRPr="00EA7458">
        <w:rPr>
          <w:rFonts w:ascii="Calibri" w:hAnsi="Calibri"/>
          <w:color w:val="231F20"/>
          <w:w w:val="105"/>
          <w:sz w:val="18"/>
        </w:rPr>
        <w:t>Source:</w:t>
      </w:r>
      <w:r w:rsidRPr="00EA7458">
        <w:rPr>
          <w:rFonts w:ascii="Calibri" w:hAnsi="Calibri"/>
          <w:color w:val="231F20"/>
          <w:spacing w:val="19"/>
          <w:w w:val="105"/>
          <w:sz w:val="18"/>
        </w:rPr>
        <w:t xml:space="preserve"> </w:t>
      </w:r>
      <w:r w:rsidRPr="00EA7458">
        <w:rPr>
          <w:rFonts w:ascii="Calibri" w:hAnsi="Calibri"/>
          <w:color w:val="231F20"/>
          <w:w w:val="105"/>
          <w:sz w:val="18"/>
        </w:rPr>
        <w:t>Florida</w:t>
      </w:r>
      <w:r w:rsidRPr="00EA7458">
        <w:rPr>
          <w:rFonts w:ascii="Calibri" w:hAnsi="Calibri"/>
          <w:color w:val="231F20"/>
          <w:spacing w:val="9"/>
          <w:w w:val="105"/>
          <w:sz w:val="18"/>
        </w:rPr>
        <w:t xml:space="preserve"> </w:t>
      </w:r>
      <w:r w:rsidRPr="00EA7458">
        <w:rPr>
          <w:rFonts w:ascii="Calibri" w:hAnsi="Calibri"/>
          <w:color w:val="231F20"/>
          <w:w w:val="105"/>
          <w:sz w:val="18"/>
        </w:rPr>
        <w:t>Department</w:t>
      </w:r>
      <w:r w:rsidRPr="00EA7458">
        <w:rPr>
          <w:rFonts w:ascii="Calibri" w:hAnsi="Calibri"/>
          <w:color w:val="231F20"/>
          <w:spacing w:val="9"/>
          <w:w w:val="105"/>
          <w:sz w:val="18"/>
        </w:rPr>
        <w:t xml:space="preserve"> </w:t>
      </w:r>
      <w:r w:rsidRPr="00EA7458">
        <w:rPr>
          <w:rFonts w:ascii="Calibri" w:hAnsi="Calibri"/>
          <w:color w:val="231F20"/>
          <w:w w:val="105"/>
          <w:sz w:val="18"/>
        </w:rPr>
        <w:t>of</w:t>
      </w:r>
      <w:r w:rsidRPr="00EA7458">
        <w:rPr>
          <w:rFonts w:ascii="Calibri" w:hAnsi="Calibri"/>
          <w:color w:val="231F20"/>
          <w:spacing w:val="9"/>
          <w:w w:val="105"/>
          <w:sz w:val="18"/>
        </w:rPr>
        <w:t xml:space="preserve"> </w:t>
      </w:r>
      <w:r w:rsidRPr="00EA7458">
        <w:rPr>
          <w:rFonts w:ascii="Calibri" w:hAnsi="Calibri"/>
          <w:color w:val="231F20"/>
          <w:w w:val="105"/>
          <w:sz w:val="18"/>
        </w:rPr>
        <w:t>Economic</w:t>
      </w:r>
      <w:r w:rsidRPr="00EA7458">
        <w:rPr>
          <w:rFonts w:ascii="Calibri" w:hAnsi="Calibri"/>
          <w:color w:val="231F20"/>
          <w:spacing w:val="9"/>
          <w:w w:val="105"/>
          <w:sz w:val="18"/>
        </w:rPr>
        <w:t xml:space="preserve"> </w:t>
      </w:r>
      <w:r w:rsidRPr="00EA7458">
        <w:rPr>
          <w:rFonts w:ascii="Calibri" w:hAnsi="Calibri"/>
          <w:color w:val="231F20"/>
          <w:w w:val="105"/>
          <w:sz w:val="18"/>
        </w:rPr>
        <w:t>Opportunity,</w:t>
      </w:r>
      <w:r w:rsidRPr="00EA7458">
        <w:rPr>
          <w:rFonts w:ascii="Calibri" w:hAnsi="Calibri"/>
          <w:color w:val="231F20"/>
          <w:spacing w:val="9"/>
          <w:w w:val="105"/>
          <w:sz w:val="18"/>
        </w:rPr>
        <w:t xml:space="preserve"> </w:t>
      </w:r>
      <w:r w:rsidRPr="00EA7458">
        <w:rPr>
          <w:rFonts w:ascii="Calibri" w:hAnsi="Calibri"/>
          <w:color w:val="231F20"/>
          <w:w w:val="105"/>
          <w:sz w:val="18"/>
        </w:rPr>
        <w:t>Bureau</w:t>
      </w:r>
      <w:r w:rsidRPr="00EA7458">
        <w:rPr>
          <w:rFonts w:ascii="Calibri" w:hAnsi="Calibri"/>
          <w:color w:val="231F20"/>
          <w:spacing w:val="9"/>
          <w:w w:val="105"/>
          <w:sz w:val="18"/>
        </w:rPr>
        <w:t xml:space="preserve"> </w:t>
      </w:r>
      <w:r w:rsidRPr="00EA7458">
        <w:rPr>
          <w:rFonts w:ascii="Calibri" w:hAnsi="Calibri"/>
          <w:color w:val="231F20"/>
          <w:w w:val="105"/>
          <w:sz w:val="18"/>
        </w:rPr>
        <w:t>of</w:t>
      </w:r>
      <w:r w:rsidRPr="00EA7458">
        <w:rPr>
          <w:rFonts w:ascii="Calibri" w:hAnsi="Calibri"/>
          <w:color w:val="231F20"/>
          <w:spacing w:val="9"/>
          <w:w w:val="105"/>
          <w:sz w:val="18"/>
        </w:rPr>
        <w:t xml:space="preserve"> </w:t>
      </w:r>
      <w:r w:rsidRPr="00EA7458">
        <w:rPr>
          <w:rFonts w:ascii="Calibri" w:hAnsi="Calibri"/>
          <w:color w:val="231F20"/>
          <w:w w:val="105"/>
          <w:sz w:val="18"/>
        </w:rPr>
        <w:t>Labor</w:t>
      </w:r>
      <w:r w:rsidRPr="00EA7458">
        <w:rPr>
          <w:rFonts w:ascii="Calibri" w:hAnsi="Calibri"/>
          <w:color w:val="231F20"/>
          <w:spacing w:val="9"/>
          <w:w w:val="105"/>
          <w:sz w:val="18"/>
        </w:rPr>
        <w:t xml:space="preserve"> </w:t>
      </w:r>
      <w:r w:rsidRPr="00EA7458">
        <w:rPr>
          <w:rFonts w:ascii="Calibri" w:hAnsi="Calibri"/>
          <w:color w:val="231F20"/>
          <w:w w:val="105"/>
          <w:sz w:val="18"/>
        </w:rPr>
        <w:t>Market</w:t>
      </w:r>
      <w:r w:rsidRPr="00EA7458">
        <w:rPr>
          <w:rFonts w:ascii="Calibri" w:hAnsi="Calibri"/>
          <w:color w:val="231F20"/>
          <w:spacing w:val="9"/>
          <w:w w:val="105"/>
          <w:sz w:val="18"/>
        </w:rPr>
        <w:t xml:space="preserve"> </w:t>
      </w:r>
      <w:r w:rsidRPr="00EA7458">
        <w:rPr>
          <w:rFonts w:ascii="Calibri" w:hAnsi="Calibri"/>
          <w:color w:val="231F20"/>
          <w:w w:val="105"/>
          <w:sz w:val="18"/>
        </w:rPr>
        <w:t>Statistics,</w:t>
      </w:r>
      <w:r w:rsidRPr="00EA7458">
        <w:rPr>
          <w:rFonts w:ascii="Calibri" w:hAnsi="Calibri"/>
          <w:color w:val="231F20"/>
          <w:spacing w:val="9"/>
          <w:w w:val="105"/>
          <w:sz w:val="18"/>
        </w:rPr>
        <w:t xml:space="preserve"> </w:t>
      </w:r>
      <w:r w:rsidRPr="00EA7458">
        <w:rPr>
          <w:rFonts w:ascii="Calibri" w:hAnsi="Calibri"/>
          <w:color w:val="231F20"/>
          <w:w w:val="105"/>
          <w:sz w:val="18"/>
        </w:rPr>
        <w:t>Occupational</w:t>
      </w:r>
      <w:r w:rsidRPr="00EA7458">
        <w:rPr>
          <w:rFonts w:ascii="Calibri" w:hAnsi="Calibri"/>
          <w:color w:val="231F20"/>
          <w:spacing w:val="9"/>
          <w:w w:val="105"/>
          <w:sz w:val="18"/>
        </w:rPr>
        <w:t xml:space="preserve"> </w:t>
      </w:r>
      <w:r w:rsidRPr="00EA7458">
        <w:rPr>
          <w:rFonts w:ascii="Calibri" w:hAnsi="Calibri"/>
          <w:color w:val="231F20"/>
          <w:w w:val="105"/>
          <w:sz w:val="18"/>
        </w:rPr>
        <w:t>Employment</w:t>
      </w:r>
      <w:r w:rsidRPr="00EA7458">
        <w:rPr>
          <w:rFonts w:ascii="Calibri" w:hAnsi="Calibri"/>
          <w:color w:val="231F20"/>
          <w:spacing w:val="9"/>
          <w:w w:val="105"/>
          <w:sz w:val="18"/>
        </w:rPr>
        <w:t xml:space="preserve"> </w:t>
      </w:r>
      <w:r w:rsidRPr="00EA7458">
        <w:rPr>
          <w:rFonts w:ascii="Calibri" w:hAnsi="Calibri"/>
          <w:color w:val="231F20"/>
          <w:w w:val="105"/>
          <w:sz w:val="18"/>
        </w:rPr>
        <w:t>Statistics,</w:t>
      </w:r>
      <w:r w:rsidRPr="00EA7458">
        <w:rPr>
          <w:rFonts w:ascii="Calibri" w:hAnsi="Calibri"/>
          <w:color w:val="231F20"/>
          <w:spacing w:val="-41"/>
          <w:w w:val="105"/>
          <w:sz w:val="18"/>
        </w:rPr>
        <w:t xml:space="preserve"> </w:t>
      </w:r>
      <w:r>
        <w:rPr>
          <w:rFonts w:ascii="Calibri" w:hAnsi="Calibri"/>
          <w:color w:val="231F20"/>
          <w:w w:val="105"/>
          <w:sz w:val="18"/>
        </w:rPr>
        <w:t>December 2017</w:t>
      </w:r>
      <w:bookmarkStart w:id="35" w:name="_bookmark23"/>
      <w:bookmarkEnd w:id="35"/>
    </w:p>
    <w:p w14:paraId="448D903E" w14:textId="77777777" w:rsidR="00002D76" w:rsidRDefault="00002D76" w:rsidP="00002D76">
      <w:pPr>
        <w:widowControl w:val="0"/>
        <w:spacing w:before="65" w:after="0" w:line="216" w:lineRule="exact"/>
        <w:ind w:left="107"/>
        <w:rPr>
          <w:rFonts w:ascii="Calibri" w:hAnsi="Calibri"/>
          <w:color w:val="231F20"/>
          <w:w w:val="105"/>
        </w:rPr>
      </w:pPr>
    </w:p>
    <w:p w14:paraId="6F1D81C0" w14:textId="77777777" w:rsidR="00176F64" w:rsidRDefault="00176F64">
      <w:pPr>
        <w:rPr>
          <w:rFonts w:ascii="Calibri" w:hAnsi="Calibri"/>
          <w:color w:val="231F20"/>
          <w:w w:val="105"/>
        </w:rPr>
      </w:pPr>
      <w:r>
        <w:rPr>
          <w:rFonts w:ascii="Calibri" w:hAnsi="Calibri"/>
          <w:color w:val="231F20"/>
          <w:w w:val="105"/>
        </w:rPr>
        <w:br w:type="page"/>
      </w:r>
    </w:p>
    <w:p w14:paraId="31DC9FB7" w14:textId="77777777" w:rsidR="00176F64" w:rsidRDefault="00176F64" w:rsidP="00002D76">
      <w:pPr>
        <w:widowControl w:val="0"/>
        <w:spacing w:before="65" w:after="0" w:line="216" w:lineRule="exact"/>
        <w:ind w:left="107"/>
        <w:rPr>
          <w:rFonts w:ascii="Calibri" w:hAnsi="Calibri"/>
          <w:color w:val="231F20"/>
          <w:w w:val="105"/>
        </w:rPr>
      </w:pPr>
    </w:p>
    <w:p w14:paraId="7B0740BA" w14:textId="3B1BB3DB" w:rsidR="00CD1C1C" w:rsidRDefault="00CD1C1C" w:rsidP="00D63204">
      <w:pPr>
        <w:widowControl w:val="0"/>
        <w:spacing w:before="65" w:after="0" w:line="216" w:lineRule="exact"/>
        <w:ind w:left="107"/>
        <w:rPr>
          <w:rFonts w:ascii="Calibri" w:hAnsi="Calibri"/>
          <w:color w:val="231F20"/>
          <w:w w:val="105"/>
        </w:rPr>
      </w:pPr>
      <w:r w:rsidRPr="00CD1C1C">
        <w:rPr>
          <w:rFonts w:ascii="Calibri" w:hAnsi="Calibri"/>
          <w:color w:val="231F20"/>
          <w:w w:val="105"/>
        </w:rPr>
        <w:t>Occupational</w:t>
      </w:r>
      <w:r w:rsidRPr="00CD1C1C">
        <w:rPr>
          <w:rFonts w:ascii="Calibri" w:hAnsi="Calibri"/>
          <w:color w:val="231F20"/>
          <w:spacing w:val="15"/>
          <w:w w:val="105"/>
        </w:rPr>
        <w:t xml:space="preserve"> </w:t>
      </w:r>
      <w:r w:rsidRPr="00CD1C1C">
        <w:rPr>
          <w:rFonts w:ascii="Calibri" w:hAnsi="Calibri"/>
          <w:color w:val="231F20"/>
          <w:w w:val="105"/>
        </w:rPr>
        <w:t>employment</w:t>
      </w:r>
      <w:r w:rsidRPr="00CD1C1C">
        <w:rPr>
          <w:rFonts w:ascii="Calibri" w:hAnsi="Calibri"/>
          <w:color w:val="231F20"/>
          <w:spacing w:val="15"/>
          <w:w w:val="105"/>
        </w:rPr>
        <w:t xml:space="preserve"> </w:t>
      </w:r>
      <w:r w:rsidRPr="00CD1C1C">
        <w:rPr>
          <w:rFonts w:ascii="Calibri" w:hAnsi="Calibri"/>
          <w:color w:val="231F20"/>
          <w:w w:val="105"/>
        </w:rPr>
        <w:t>projections</w:t>
      </w:r>
      <w:r w:rsidRPr="00CD1C1C">
        <w:rPr>
          <w:rFonts w:ascii="Calibri" w:hAnsi="Calibri"/>
          <w:color w:val="231F20"/>
          <w:spacing w:val="15"/>
          <w:w w:val="105"/>
        </w:rPr>
        <w:t xml:space="preserve"> </w:t>
      </w:r>
      <w:r w:rsidRPr="00CD1C1C">
        <w:rPr>
          <w:rFonts w:ascii="Calibri" w:hAnsi="Calibri"/>
          <w:color w:val="231F20"/>
          <w:w w:val="105"/>
        </w:rPr>
        <w:t>tables</w:t>
      </w:r>
      <w:r w:rsidRPr="00CD1C1C">
        <w:rPr>
          <w:rFonts w:ascii="Calibri" w:hAnsi="Calibri"/>
          <w:color w:val="231F20"/>
          <w:spacing w:val="15"/>
          <w:w w:val="105"/>
        </w:rPr>
        <w:t xml:space="preserve"> </w:t>
      </w:r>
      <w:r w:rsidRPr="00CD1C1C">
        <w:rPr>
          <w:rFonts w:ascii="Calibri" w:hAnsi="Calibri"/>
          <w:color w:val="231F20"/>
          <w:w w:val="105"/>
        </w:rPr>
        <w:t>for</w:t>
      </w:r>
      <w:r w:rsidRPr="00CD1C1C">
        <w:rPr>
          <w:rFonts w:ascii="Calibri" w:hAnsi="Calibri"/>
          <w:color w:val="231F20"/>
          <w:spacing w:val="15"/>
          <w:w w:val="105"/>
        </w:rPr>
        <w:t xml:space="preserve"> </w:t>
      </w:r>
      <w:r w:rsidRPr="00CD1C1C">
        <w:rPr>
          <w:rFonts w:ascii="Calibri" w:hAnsi="Calibri"/>
          <w:color w:val="231F20"/>
          <w:w w:val="105"/>
        </w:rPr>
        <w:t>all</w:t>
      </w:r>
      <w:r w:rsidRPr="00CD1C1C">
        <w:rPr>
          <w:rFonts w:ascii="Calibri" w:hAnsi="Calibri"/>
          <w:color w:val="231F20"/>
          <w:spacing w:val="15"/>
          <w:w w:val="105"/>
        </w:rPr>
        <w:t xml:space="preserve"> </w:t>
      </w:r>
      <w:r w:rsidRPr="00CD1C1C">
        <w:rPr>
          <w:rFonts w:ascii="Calibri" w:hAnsi="Calibri"/>
          <w:color w:val="231F20"/>
          <w:w w:val="105"/>
        </w:rPr>
        <w:t>Florida</w:t>
      </w:r>
      <w:r w:rsidRPr="00CD1C1C">
        <w:rPr>
          <w:rFonts w:ascii="Calibri" w:hAnsi="Calibri"/>
          <w:color w:val="231F20"/>
          <w:spacing w:val="15"/>
          <w:w w:val="105"/>
        </w:rPr>
        <w:t xml:space="preserve"> </w:t>
      </w:r>
      <w:r w:rsidRPr="00CD1C1C">
        <w:rPr>
          <w:rFonts w:ascii="Calibri" w:hAnsi="Calibri"/>
          <w:color w:val="231F20"/>
          <w:w w:val="105"/>
        </w:rPr>
        <w:t>geographic</w:t>
      </w:r>
      <w:r w:rsidRPr="00CD1C1C">
        <w:rPr>
          <w:rFonts w:ascii="Calibri" w:hAnsi="Calibri"/>
          <w:color w:val="231F20"/>
          <w:spacing w:val="15"/>
          <w:w w:val="105"/>
        </w:rPr>
        <w:t xml:space="preserve"> </w:t>
      </w:r>
      <w:r w:rsidRPr="00CD1C1C">
        <w:rPr>
          <w:rFonts w:ascii="Calibri" w:hAnsi="Calibri"/>
          <w:color w:val="231F20"/>
          <w:w w:val="105"/>
        </w:rPr>
        <w:t>areas</w:t>
      </w:r>
      <w:r w:rsidRPr="00CD1C1C">
        <w:rPr>
          <w:rFonts w:ascii="Calibri" w:hAnsi="Calibri"/>
          <w:color w:val="231F20"/>
          <w:spacing w:val="15"/>
          <w:w w:val="105"/>
        </w:rPr>
        <w:t xml:space="preserve"> </w:t>
      </w:r>
      <w:r w:rsidRPr="00CD1C1C">
        <w:rPr>
          <w:rFonts w:ascii="Calibri" w:hAnsi="Calibri"/>
          <w:color w:val="231F20"/>
          <w:w w:val="105"/>
        </w:rPr>
        <w:t>can</w:t>
      </w:r>
      <w:r w:rsidRPr="00CD1C1C">
        <w:rPr>
          <w:rFonts w:ascii="Calibri" w:hAnsi="Calibri"/>
          <w:color w:val="231F20"/>
          <w:spacing w:val="15"/>
          <w:w w:val="105"/>
        </w:rPr>
        <w:t xml:space="preserve"> </w:t>
      </w:r>
      <w:r w:rsidRPr="00CD1C1C">
        <w:rPr>
          <w:rFonts w:ascii="Calibri" w:hAnsi="Calibri"/>
          <w:color w:val="231F20"/>
          <w:w w:val="105"/>
        </w:rPr>
        <w:t>be</w:t>
      </w:r>
      <w:r w:rsidRPr="00CD1C1C">
        <w:rPr>
          <w:rFonts w:ascii="Calibri" w:hAnsi="Calibri"/>
          <w:color w:val="231F20"/>
          <w:spacing w:val="15"/>
          <w:w w:val="105"/>
        </w:rPr>
        <w:t xml:space="preserve"> </w:t>
      </w:r>
      <w:r w:rsidRPr="00CD1C1C">
        <w:rPr>
          <w:rFonts w:ascii="Calibri" w:hAnsi="Calibri"/>
          <w:color w:val="231F20"/>
          <w:w w:val="105"/>
        </w:rPr>
        <w:t>found</w:t>
      </w:r>
      <w:r w:rsidRPr="00CD1C1C">
        <w:rPr>
          <w:rFonts w:ascii="Calibri" w:hAnsi="Calibri"/>
          <w:color w:val="231F20"/>
          <w:spacing w:val="15"/>
          <w:w w:val="105"/>
        </w:rPr>
        <w:t xml:space="preserve"> </w:t>
      </w:r>
      <w:r w:rsidRPr="00CD1C1C">
        <w:rPr>
          <w:rFonts w:ascii="Calibri" w:hAnsi="Calibri"/>
          <w:color w:val="231F20"/>
          <w:w w:val="105"/>
        </w:rPr>
        <w:t>on</w:t>
      </w:r>
      <w:r w:rsidRPr="00CD1C1C">
        <w:rPr>
          <w:rFonts w:ascii="Calibri" w:hAnsi="Calibri"/>
          <w:color w:val="231F20"/>
          <w:spacing w:val="15"/>
          <w:w w:val="105"/>
        </w:rPr>
        <w:t xml:space="preserve"> </w:t>
      </w:r>
      <w:r w:rsidRPr="00CD1C1C">
        <w:rPr>
          <w:rFonts w:ascii="Calibri" w:hAnsi="Calibri"/>
          <w:color w:val="231F20"/>
          <w:w w:val="105"/>
        </w:rPr>
        <w:t>the</w:t>
      </w:r>
      <w:r w:rsidRPr="00CD1C1C">
        <w:rPr>
          <w:rFonts w:ascii="Calibri" w:hAnsi="Calibri"/>
          <w:color w:val="231F20"/>
          <w:spacing w:val="15"/>
          <w:w w:val="105"/>
        </w:rPr>
        <w:t xml:space="preserve"> </w:t>
      </w:r>
      <w:r w:rsidRPr="00CD1C1C">
        <w:rPr>
          <w:rFonts w:ascii="Calibri" w:hAnsi="Calibri"/>
          <w:color w:val="231F20"/>
          <w:w w:val="105"/>
        </w:rPr>
        <w:t>Labor</w:t>
      </w:r>
      <w:r w:rsidRPr="00CD1C1C">
        <w:rPr>
          <w:rFonts w:ascii="Calibri" w:hAnsi="Calibri"/>
          <w:color w:val="231F20"/>
          <w:spacing w:val="-14"/>
          <w:w w:val="105"/>
        </w:rPr>
        <w:t xml:space="preserve"> </w:t>
      </w:r>
      <w:r w:rsidRPr="00CD1C1C">
        <w:rPr>
          <w:rFonts w:ascii="Calibri" w:hAnsi="Calibri"/>
          <w:color w:val="231F20"/>
          <w:w w:val="105"/>
        </w:rPr>
        <w:t xml:space="preserve">Market Statistics Website at </w:t>
      </w:r>
      <w:hyperlink r:id="rId80">
        <w:r w:rsidRPr="00CD1C1C">
          <w:rPr>
            <w:rStyle w:val="Hyperlink"/>
            <w:rFonts w:cstheme="minorHAnsi"/>
          </w:rPr>
          <w:t>http://floridajobs.org/labor-market-information</w:t>
        </w:r>
      </w:hyperlink>
      <w:r w:rsidRPr="00CD1C1C">
        <w:rPr>
          <w:rStyle w:val="Hyperlink"/>
          <w:rFonts w:cstheme="minorHAnsi"/>
        </w:rPr>
        <w:t>.</w:t>
      </w:r>
      <w:r w:rsidRPr="00CD1C1C">
        <w:rPr>
          <w:rFonts w:ascii="Calibri" w:hAnsi="Calibri"/>
          <w:color w:val="231F20"/>
          <w:w w:val="105"/>
          <w:u w:val="single" w:color="5F5F5F"/>
        </w:rPr>
        <w:t xml:space="preserve"> </w:t>
      </w:r>
      <w:r w:rsidRPr="00CD1C1C">
        <w:rPr>
          <w:rFonts w:ascii="Calibri" w:hAnsi="Calibri"/>
          <w:color w:val="231F20"/>
          <w:spacing w:val="-3"/>
          <w:w w:val="105"/>
        </w:rPr>
        <w:t xml:space="preserve">Tables </w:t>
      </w:r>
      <w:r w:rsidRPr="00CD1C1C">
        <w:rPr>
          <w:rFonts w:ascii="Calibri" w:hAnsi="Calibri"/>
          <w:color w:val="231F20"/>
          <w:w w:val="105"/>
        </w:rPr>
        <w:t>for occupations</w:t>
      </w:r>
      <w:r w:rsidRPr="00CD1C1C">
        <w:rPr>
          <w:rFonts w:ascii="Calibri" w:hAnsi="Calibri"/>
          <w:color w:val="231F20"/>
          <w:spacing w:val="-21"/>
          <w:w w:val="105"/>
        </w:rPr>
        <w:t xml:space="preserve"> </w:t>
      </w:r>
      <w:r w:rsidRPr="00CD1C1C">
        <w:rPr>
          <w:rFonts w:ascii="Calibri" w:hAnsi="Calibri"/>
          <w:color w:val="231F20"/>
          <w:w w:val="105"/>
        </w:rPr>
        <w:t>adding</w:t>
      </w:r>
      <w:r w:rsidRPr="00CD1C1C">
        <w:rPr>
          <w:rFonts w:ascii="Calibri" w:hAnsi="Calibri"/>
          <w:color w:val="231F20"/>
          <w:w w:val="109"/>
        </w:rPr>
        <w:t xml:space="preserve"> </w:t>
      </w:r>
      <w:r w:rsidRPr="00CD1C1C">
        <w:rPr>
          <w:rFonts w:ascii="Calibri" w:hAnsi="Calibri"/>
          <w:color w:val="231F20"/>
          <w:w w:val="105"/>
        </w:rPr>
        <w:t>the</w:t>
      </w:r>
      <w:r w:rsidRPr="00CD1C1C">
        <w:rPr>
          <w:rFonts w:ascii="Calibri" w:hAnsi="Calibri"/>
          <w:color w:val="231F20"/>
          <w:spacing w:val="13"/>
          <w:w w:val="105"/>
        </w:rPr>
        <w:t xml:space="preserve"> </w:t>
      </w:r>
      <w:r w:rsidRPr="00CD1C1C">
        <w:rPr>
          <w:rFonts w:ascii="Calibri" w:hAnsi="Calibri"/>
          <w:color w:val="231F20"/>
          <w:w w:val="105"/>
        </w:rPr>
        <w:t>most</w:t>
      </w:r>
      <w:r w:rsidRPr="00CD1C1C">
        <w:rPr>
          <w:rFonts w:ascii="Calibri" w:hAnsi="Calibri"/>
          <w:color w:val="231F20"/>
          <w:spacing w:val="13"/>
          <w:w w:val="105"/>
        </w:rPr>
        <w:t xml:space="preserve"> </w:t>
      </w:r>
      <w:r w:rsidRPr="00CD1C1C">
        <w:rPr>
          <w:rFonts w:ascii="Calibri" w:hAnsi="Calibri"/>
          <w:color w:val="231F20"/>
          <w:w w:val="105"/>
        </w:rPr>
        <w:t>new</w:t>
      </w:r>
      <w:r w:rsidRPr="00CD1C1C">
        <w:rPr>
          <w:rFonts w:ascii="Calibri" w:hAnsi="Calibri"/>
          <w:color w:val="231F20"/>
          <w:spacing w:val="13"/>
          <w:w w:val="105"/>
        </w:rPr>
        <w:t xml:space="preserve"> </w:t>
      </w:r>
      <w:r w:rsidRPr="00CD1C1C">
        <w:rPr>
          <w:rFonts w:ascii="Calibri" w:hAnsi="Calibri"/>
          <w:color w:val="231F20"/>
          <w:w w:val="105"/>
        </w:rPr>
        <w:t>jobs,</w:t>
      </w:r>
      <w:r w:rsidRPr="00CD1C1C">
        <w:rPr>
          <w:rFonts w:ascii="Calibri" w:hAnsi="Calibri"/>
          <w:color w:val="231F20"/>
          <w:spacing w:val="13"/>
          <w:w w:val="105"/>
        </w:rPr>
        <w:t xml:space="preserve"> </w:t>
      </w:r>
      <w:r w:rsidRPr="00CD1C1C">
        <w:rPr>
          <w:rFonts w:ascii="Calibri" w:hAnsi="Calibri"/>
          <w:color w:val="231F20"/>
          <w:w w:val="105"/>
        </w:rPr>
        <w:t>occupations</w:t>
      </w:r>
      <w:r w:rsidRPr="00CD1C1C">
        <w:rPr>
          <w:rFonts w:ascii="Calibri" w:hAnsi="Calibri"/>
          <w:color w:val="231F20"/>
          <w:spacing w:val="13"/>
          <w:w w:val="105"/>
        </w:rPr>
        <w:t xml:space="preserve"> </w:t>
      </w:r>
      <w:r w:rsidRPr="00CD1C1C">
        <w:rPr>
          <w:rFonts w:ascii="Calibri" w:hAnsi="Calibri"/>
          <w:color w:val="231F20"/>
          <w:w w:val="105"/>
        </w:rPr>
        <w:t>with</w:t>
      </w:r>
      <w:r w:rsidRPr="00CD1C1C">
        <w:rPr>
          <w:rFonts w:ascii="Calibri" w:hAnsi="Calibri"/>
          <w:color w:val="231F20"/>
          <w:spacing w:val="13"/>
          <w:w w:val="105"/>
        </w:rPr>
        <w:t xml:space="preserve"> </w:t>
      </w:r>
      <w:r w:rsidRPr="00CD1C1C">
        <w:rPr>
          <w:rFonts w:ascii="Calibri" w:hAnsi="Calibri"/>
          <w:color w:val="231F20"/>
          <w:w w:val="105"/>
        </w:rPr>
        <w:t>the</w:t>
      </w:r>
      <w:r w:rsidRPr="00CD1C1C">
        <w:rPr>
          <w:rFonts w:ascii="Calibri" w:hAnsi="Calibri"/>
          <w:color w:val="231F20"/>
          <w:spacing w:val="13"/>
          <w:w w:val="105"/>
        </w:rPr>
        <w:t xml:space="preserve"> </w:t>
      </w:r>
      <w:r w:rsidRPr="00CD1C1C">
        <w:rPr>
          <w:rFonts w:ascii="Calibri" w:hAnsi="Calibri"/>
          <w:color w:val="231F20"/>
          <w:w w:val="105"/>
        </w:rPr>
        <w:t>fastest</w:t>
      </w:r>
      <w:r w:rsidRPr="00CD1C1C">
        <w:rPr>
          <w:rFonts w:ascii="Calibri" w:hAnsi="Calibri"/>
          <w:color w:val="231F20"/>
          <w:spacing w:val="13"/>
          <w:w w:val="105"/>
        </w:rPr>
        <w:t xml:space="preserve"> </w:t>
      </w:r>
      <w:r w:rsidRPr="00CD1C1C">
        <w:rPr>
          <w:rFonts w:ascii="Calibri" w:hAnsi="Calibri"/>
          <w:color w:val="231F20"/>
          <w:w w:val="105"/>
        </w:rPr>
        <w:t>growth</w:t>
      </w:r>
      <w:r w:rsidRPr="00CD1C1C">
        <w:rPr>
          <w:rFonts w:ascii="Calibri" w:hAnsi="Calibri"/>
          <w:color w:val="231F20"/>
          <w:spacing w:val="13"/>
          <w:w w:val="105"/>
        </w:rPr>
        <w:t xml:space="preserve"> </w:t>
      </w:r>
      <w:r w:rsidRPr="00CD1C1C">
        <w:rPr>
          <w:rFonts w:ascii="Calibri" w:hAnsi="Calibri"/>
          <w:color w:val="231F20"/>
          <w:w w:val="105"/>
        </w:rPr>
        <w:t>rates</w:t>
      </w:r>
      <w:r w:rsidR="00D5537E">
        <w:rPr>
          <w:rFonts w:ascii="Calibri" w:hAnsi="Calibri"/>
          <w:color w:val="231F20"/>
          <w:w w:val="105"/>
        </w:rPr>
        <w:t xml:space="preserve"> and</w:t>
      </w:r>
      <w:r w:rsidRPr="00CD1C1C">
        <w:rPr>
          <w:rFonts w:ascii="Calibri" w:hAnsi="Calibri"/>
          <w:color w:val="231F20"/>
          <w:spacing w:val="13"/>
          <w:w w:val="105"/>
        </w:rPr>
        <w:t xml:space="preserve"> </w:t>
      </w:r>
      <w:r w:rsidRPr="00CD1C1C">
        <w:rPr>
          <w:rFonts w:ascii="Calibri" w:hAnsi="Calibri"/>
          <w:color w:val="231F20"/>
          <w:w w:val="105"/>
        </w:rPr>
        <w:t>declining</w:t>
      </w:r>
      <w:r w:rsidRPr="00CD1C1C">
        <w:rPr>
          <w:rFonts w:ascii="Calibri" w:hAnsi="Calibri"/>
          <w:color w:val="231F20"/>
          <w:spacing w:val="13"/>
          <w:w w:val="105"/>
        </w:rPr>
        <w:t xml:space="preserve"> </w:t>
      </w:r>
      <w:r w:rsidRPr="00CD1C1C">
        <w:rPr>
          <w:rFonts w:ascii="Calibri" w:hAnsi="Calibri"/>
          <w:color w:val="231F20"/>
          <w:w w:val="105"/>
        </w:rPr>
        <w:t>occupations</w:t>
      </w:r>
      <w:r w:rsidRPr="00CD1C1C">
        <w:rPr>
          <w:rFonts w:ascii="Calibri" w:hAnsi="Calibri"/>
          <w:color w:val="231F20"/>
          <w:spacing w:val="13"/>
          <w:w w:val="105"/>
        </w:rPr>
        <w:t xml:space="preserve"> </w:t>
      </w:r>
      <w:r w:rsidRPr="00CD1C1C">
        <w:rPr>
          <w:rFonts w:ascii="Calibri" w:hAnsi="Calibri"/>
          <w:color w:val="231F20"/>
          <w:w w:val="105"/>
        </w:rPr>
        <w:t>are</w:t>
      </w:r>
      <w:r w:rsidRPr="00CD1C1C">
        <w:rPr>
          <w:rFonts w:ascii="Calibri" w:hAnsi="Calibri"/>
          <w:color w:val="231F20"/>
          <w:spacing w:val="13"/>
          <w:w w:val="105"/>
        </w:rPr>
        <w:t xml:space="preserve"> </w:t>
      </w:r>
      <w:r w:rsidRPr="00CD1C1C">
        <w:rPr>
          <w:rFonts w:ascii="Calibri" w:hAnsi="Calibri"/>
          <w:color w:val="231F20"/>
          <w:w w:val="105"/>
        </w:rPr>
        <w:t>available.</w:t>
      </w:r>
    </w:p>
    <w:p w14:paraId="0D32CBA4" w14:textId="77777777" w:rsidR="00176F64" w:rsidRDefault="00176F64" w:rsidP="00D63204">
      <w:pPr>
        <w:widowControl w:val="0"/>
        <w:spacing w:before="65" w:after="0" w:line="216" w:lineRule="exact"/>
        <w:ind w:left="107"/>
        <w:rPr>
          <w:rFonts w:ascii="Calibri" w:hAnsi="Calibri"/>
          <w:color w:val="231F20"/>
          <w:w w:val="105"/>
        </w:rPr>
      </w:pPr>
    </w:p>
    <w:p w14:paraId="2FA74910" w14:textId="0C254773" w:rsidR="00002D76" w:rsidRPr="00EA7458" w:rsidRDefault="00002D76" w:rsidP="00D63204">
      <w:pPr>
        <w:widowControl w:val="0"/>
        <w:spacing w:before="65" w:after="0" w:line="216" w:lineRule="exact"/>
        <w:ind w:left="107"/>
        <w:rPr>
          <w:rFonts w:ascii="Calibri" w:hAnsi="Calibri"/>
        </w:rPr>
      </w:pPr>
      <w:r w:rsidRPr="00EA7458">
        <w:rPr>
          <w:rFonts w:ascii="Calibri" w:hAnsi="Calibri"/>
          <w:b/>
          <w:bCs/>
          <w:color w:val="231F20"/>
          <w:w w:val="110"/>
        </w:rPr>
        <w:t>Florida</w:t>
      </w:r>
      <w:r w:rsidRPr="00EA7458">
        <w:rPr>
          <w:rFonts w:ascii="Calibri" w:hAnsi="Calibri"/>
          <w:b/>
          <w:bCs/>
          <w:color w:val="231F20"/>
          <w:spacing w:val="-18"/>
          <w:w w:val="110"/>
        </w:rPr>
        <w:t xml:space="preserve"> </w:t>
      </w:r>
      <w:r w:rsidRPr="00EA7458">
        <w:rPr>
          <w:rFonts w:ascii="Calibri" w:hAnsi="Calibri"/>
          <w:b/>
          <w:bCs/>
          <w:color w:val="231F20"/>
          <w:w w:val="110"/>
        </w:rPr>
        <w:t>Industries</w:t>
      </w:r>
    </w:p>
    <w:p w14:paraId="3FAAC15B" w14:textId="77777777" w:rsidR="00002D76" w:rsidRPr="001351CB" w:rsidRDefault="00002D76" w:rsidP="00D63204">
      <w:pPr>
        <w:widowControl w:val="0"/>
        <w:spacing w:after="0" w:line="240" w:lineRule="auto"/>
        <w:ind w:left="107"/>
        <w:outlineLvl w:val="3"/>
        <w:rPr>
          <w:rFonts w:ascii="Gill Sans MT" w:hAnsi="Gill Sans MT"/>
        </w:rPr>
      </w:pPr>
      <w:r w:rsidRPr="001351CB">
        <w:rPr>
          <w:rFonts w:ascii="Gill Sans MT" w:hAnsi="Gill Sans MT"/>
          <w:b/>
          <w:bCs/>
          <w:i/>
          <w:color w:val="231F20"/>
          <w:w w:val="105"/>
        </w:rPr>
        <w:t>Construction</w:t>
      </w:r>
    </w:p>
    <w:p w14:paraId="14C89208" w14:textId="5F5F26F4" w:rsidR="00002D76" w:rsidRPr="001351CB" w:rsidRDefault="00002D76" w:rsidP="00D63204">
      <w:pPr>
        <w:widowControl w:val="0"/>
        <w:spacing w:before="2" w:after="0" w:line="264" w:lineRule="exact"/>
        <w:ind w:left="107" w:right="178"/>
        <w:rPr>
          <w:rFonts w:ascii="Calibri" w:hAnsi="Calibri"/>
        </w:rPr>
      </w:pPr>
      <w:r w:rsidRPr="001351CB">
        <w:rPr>
          <w:rFonts w:ascii="Calibri" w:hAnsi="Calibri"/>
          <w:color w:val="231F20"/>
          <w:w w:val="105"/>
        </w:rPr>
        <w:t>Florida</w:t>
      </w:r>
      <w:r w:rsidRPr="001351CB">
        <w:rPr>
          <w:rFonts w:ascii="Calibri" w:hAnsi="Calibri"/>
          <w:color w:val="231F20"/>
          <w:spacing w:val="11"/>
          <w:w w:val="105"/>
        </w:rPr>
        <w:t xml:space="preserve"> </w:t>
      </w:r>
      <w:r w:rsidRPr="001351CB">
        <w:rPr>
          <w:rFonts w:ascii="Calibri" w:hAnsi="Calibri"/>
          <w:color w:val="231F20"/>
          <w:w w:val="105"/>
        </w:rPr>
        <w:t>experienced</w:t>
      </w:r>
      <w:r w:rsidRPr="001351CB">
        <w:rPr>
          <w:rFonts w:ascii="Calibri" w:hAnsi="Calibri"/>
          <w:color w:val="231F20"/>
          <w:spacing w:val="11"/>
          <w:w w:val="105"/>
        </w:rPr>
        <w:t xml:space="preserve"> </w:t>
      </w:r>
      <w:r w:rsidRPr="001351CB">
        <w:rPr>
          <w:rFonts w:ascii="Calibri" w:hAnsi="Calibri"/>
          <w:color w:val="231F20"/>
          <w:w w:val="105"/>
        </w:rPr>
        <w:t>large</w:t>
      </w:r>
      <w:r w:rsidRPr="001351CB">
        <w:rPr>
          <w:rFonts w:ascii="Calibri" w:hAnsi="Calibri"/>
          <w:color w:val="231F20"/>
          <w:spacing w:val="11"/>
          <w:w w:val="105"/>
        </w:rPr>
        <w:t xml:space="preserve"> </w:t>
      </w:r>
      <w:r w:rsidRPr="001351CB">
        <w:rPr>
          <w:rFonts w:ascii="Calibri" w:hAnsi="Calibri"/>
          <w:color w:val="231F20"/>
          <w:w w:val="105"/>
        </w:rPr>
        <w:t>declines</w:t>
      </w:r>
      <w:r w:rsidRPr="001351CB">
        <w:rPr>
          <w:rFonts w:ascii="Calibri" w:hAnsi="Calibri"/>
          <w:color w:val="231F20"/>
          <w:spacing w:val="11"/>
          <w:w w:val="105"/>
        </w:rPr>
        <w:t xml:space="preserve"> </w:t>
      </w:r>
      <w:r w:rsidRPr="001351CB">
        <w:rPr>
          <w:rFonts w:ascii="Calibri" w:hAnsi="Calibri"/>
          <w:color w:val="231F20"/>
          <w:w w:val="105"/>
        </w:rPr>
        <w:t>in</w:t>
      </w:r>
      <w:r w:rsidRPr="001351CB">
        <w:rPr>
          <w:rFonts w:ascii="Calibri" w:hAnsi="Calibri"/>
          <w:color w:val="231F20"/>
          <w:spacing w:val="11"/>
          <w:w w:val="105"/>
        </w:rPr>
        <w:t xml:space="preserve"> </w:t>
      </w:r>
      <w:r w:rsidRPr="001351CB">
        <w:rPr>
          <w:rFonts w:ascii="Calibri" w:hAnsi="Calibri"/>
          <w:color w:val="231F20"/>
          <w:w w:val="105"/>
        </w:rPr>
        <w:t>construction</w:t>
      </w:r>
      <w:r w:rsidRPr="001351CB">
        <w:rPr>
          <w:rFonts w:ascii="Calibri" w:hAnsi="Calibri"/>
          <w:color w:val="231F20"/>
          <w:spacing w:val="11"/>
          <w:w w:val="105"/>
        </w:rPr>
        <w:t xml:space="preserve"> </w:t>
      </w:r>
      <w:r w:rsidRPr="001351CB">
        <w:rPr>
          <w:rFonts w:ascii="Calibri" w:hAnsi="Calibri"/>
          <w:color w:val="231F20"/>
          <w:w w:val="105"/>
        </w:rPr>
        <w:t>employment</w:t>
      </w:r>
      <w:r w:rsidRPr="001351CB">
        <w:rPr>
          <w:rFonts w:ascii="Calibri" w:hAnsi="Calibri"/>
          <w:color w:val="231F20"/>
          <w:spacing w:val="11"/>
          <w:w w:val="105"/>
        </w:rPr>
        <w:t xml:space="preserve"> </w:t>
      </w:r>
      <w:r w:rsidRPr="001351CB">
        <w:rPr>
          <w:rFonts w:ascii="Calibri" w:hAnsi="Calibri"/>
          <w:color w:val="231F20"/>
          <w:w w:val="105"/>
        </w:rPr>
        <w:t>from</w:t>
      </w:r>
      <w:r w:rsidRPr="001351CB">
        <w:rPr>
          <w:rFonts w:ascii="Calibri" w:hAnsi="Calibri"/>
          <w:color w:val="231F20"/>
          <w:spacing w:val="11"/>
          <w:w w:val="105"/>
        </w:rPr>
        <w:t xml:space="preserve"> </w:t>
      </w:r>
      <w:r w:rsidRPr="001351CB">
        <w:rPr>
          <w:rFonts w:ascii="Calibri" w:hAnsi="Calibri"/>
          <w:color w:val="231F20"/>
          <w:w w:val="105"/>
        </w:rPr>
        <w:t>2006</w:t>
      </w:r>
      <w:r w:rsidRPr="001351CB">
        <w:rPr>
          <w:rFonts w:ascii="Calibri" w:hAnsi="Calibri"/>
          <w:color w:val="231F20"/>
          <w:spacing w:val="11"/>
          <w:w w:val="105"/>
        </w:rPr>
        <w:t xml:space="preserve"> </w:t>
      </w:r>
      <w:r w:rsidRPr="001351CB">
        <w:rPr>
          <w:rFonts w:ascii="Calibri" w:hAnsi="Calibri"/>
          <w:color w:val="231F20"/>
          <w:w w:val="105"/>
        </w:rPr>
        <w:t>to</w:t>
      </w:r>
      <w:r w:rsidRPr="001351CB">
        <w:rPr>
          <w:rFonts w:ascii="Calibri" w:hAnsi="Calibri"/>
          <w:color w:val="231F20"/>
          <w:spacing w:val="11"/>
          <w:w w:val="105"/>
        </w:rPr>
        <w:t xml:space="preserve"> </w:t>
      </w:r>
      <w:r w:rsidRPr="001351CB">
        <w:rPr>
          <w:rFonts w:ascii="Calibri" w:hAnsi="Calibri"/>
          <w:color w:val="231F20"/>
          <w:w w:val="105"/>
        </w:rPr>
        <w:t>2011</w:t>
      </w:r>
      <w:r w:rsidRPr="001351CB">
        <w:rPr>
          <w:rFonts w:ascii="Calibri" w:hAnsi="Calibri"/>
          <w:color w:val="231F20"/>
          <w:spacing w:val="11"/>
          <w:w w:val="105"/>
        </w:rPr>
        <w:t xml:space="preserve"> </w:t>
      </w:r>
      <w:r w:rsidRPr="001351CB">
        <w:rPr>
          <w:rFonts w:ascii="Calibri" w:hAnsi="Calibri"/>
          <w:color w:val="231F20"/>
          <w:w w:val="105"/>
        </w:rPr>
        <w:t>due</w:t>
      </w:r>
      <w:r w:rsidRPr="001351CB">
        <w:rPr>
          <w:rFonts w:ascii="Calibri" w:hAnsi="Calibri"/>
          <w:color w:val="231F20"/>
          <w:spacing w:val="11"/>
          <w:w w:val="105"/>
        </w:rPr>
        <w:t xml:space="preserve"> </w:t>
      </w:r>
      <w:r w:rsidRPr="001351CB">
        <w:rPr>
          <w:rFonts w:ascii="Calibri" w:hAnsi="Calibri"/>
          <w:color w:val="231F20"/>
          <w:w w:val="105"/>
        </w:rPr>
        <w:t>to</w:t>
      </w:r>
      <w:r w:rsidRPr="001351CB">
        <w:rPr>
          <w:rFonts w:ascii="Calibri" w:hAnsi="Calibri"/>
          <w:color w:val="231F20"/>
          <w:spacing w:val="11"/>
          <w:w w:val="105"/>
        </w:rPr>
        <w:t xml:space="preserve"> </w:t>
      </w:r>
      <w:r w:rsidRPr="001351CB">
        <w:rPr>
          <w:rFonts w:ascii="Calibri" w:hAnsi="Calibri"/>
          <w:color w:val="231F20"/>
          <w:w w:val="105"/>
        </w:rPr>
        <w:t>the</w:t>
      </w:r>
      <w:r w:rsidRPr="001351CB">
        <w:rPr>
          <w:rFonts w:ascii="Calibri" w:hAnsi="Calibri"/>
          <w:color w:val="231F20"/>
          <w:spacing w:val="11"/>
          <w:w w:val="105"/>
        </w:rPr>
        <w:t xml:space="preserve"> </w:t>
      </w:r>
      <w:r w:rsidRPr="001351CB">
        <w:rPr>
          <w:rFonts w:ascii="Calibri" w:hAnsi="Calibri"/>
          <w:color w:val="231F20"/>
          <w:w w:val="105"/>
        </w:rPr>
        <w:t>bursting</w:t>
      </w:r>
      <w:r w:rsidRPr="001351CB">
        <w:rPr>
          <w:rFonts w:ascii="Calibri" w:hAnsi="Calibri"/>
          <w:color w:val="231F20"/>
          <w:spacing w:val="11"/>
          <w:w w:val="105"/>
        </w:rPr>
        <w:t xml:space="preserve"> </w:t>
      </w:r>
      <w:r w:rsidRPr="001351CB">
        <w:rPr>
          <w:rFonts w:ascii="Calibri" w:hAnsi="Calibri"/>
          <w:color w:val="231F20"/>
          <w:w w:val="105"/>
        </w:rPr>
        <w:t>of</w:t>
      </w:r>
      <w:r w:rsidRPr="001351CB">
        <w:rPr>
          <w:rFonts w:ascii="Calibri" w:hAnsi="Calibri"/>
          <w:color w:val="231F20"/>
          <w:spacing w:val="-42"/>
          <w:w w:val="105"/>
        </w:rPr>
        <w:t xml:space="preserve"> </w:t>
      </w:r>
      <w:r w:rsidRPr="001351CB">
        <w:rPr>
          <w:rFonts w:ascii="Calibri" w:hAnsi="Calibri"/>
          <w:color w:val="231F20"/>
          <w:w w:val="105"/>
        </w:rPr>
        <w:t>the</w:t>
      </w:r>
      <w:r w:rsidRPr="001351CB">
        <w:rPr>
          <w:rFonts w:ascii="Calibri" w:hAnsi="Calibri"/>
          <w:color w:val="231F20"/>
          <w:spacing w:val="16"/>
          <w:w w:val="105"/>
        </w:rPr>
        <w:t xml:space="preserve"> </w:t>
      </w:r>
      <w:r w:rsidRPr="001351CB">
        <w:rPr>
          <w:rFonts w:ascii="Calibri" w:hAnsi="Calibri"/>
          <w:color w:val="231F20"/>
          <w:w w:val="105"/>
        </w:rPr>
        <w:t>housing</w:t>
      </w:r>
      <w:r w:rsidRPr="001351CB">
        <w:rPr>
          <w:rFonts w:ascii="Calibri" w:hAnsi="Calibri"/>
          <w:color w:val="231F20"/>
          <w:spacing w:val="16"/>
          <w:w w:val="105"/>
        </w:rPr>
        <w:t xml:space="preserve"> </w:t>
      </w:r>
      <w:r w:rsidRPr="001351CB">
        <w:rPr>
          <w:rFonts w:ascii="Calibri" w:hAnsi="Calibri"/>
          <w:color w:val="231F20"/>
          <w:w w:val="105"/>
        </w:rPr>
        <w:t>bubble</w:t>
      </w:r>
      <w:r w:rsidR="005E7C49">
        <w:rPr>
          <w:rFonts w:ascii="Calibri" w:hAnsi="Calibri"/>
          <w:color w:val="231F20"/>
          <w:w w:val="105"/>
        </w:rPr>
        <w:t xml:space="preserve">. </w:t>
      </w:r>
      <w:r w:rsidRPr="001351CB">
        <w:rPr>
          <w:rFonts w:ascii="Calibri" w:hAnsi="Calibri"/>
          <w:color w:val="231F20"/>
          <w:w w:val="105"/>
        </w:rPr>
        <w:t>Construction</w:t>
      </w:r>
      <w:r w:rsidRPr="001351CB">
        <w:rPr>
          <w:rFonts w:ascii="Calibri" w:hAnsi="Calibri"/>
          <w:color w:val="231F20"/>
          <w:spacing w:val="16"/>
          <w:w w:val="105"/>
        </w:rPr>
        <w:t xml:space="preserve"> </w:t>
      </w:r>
      <w:r w:rsidRPr="001351CB">
        <w:rPr>
          <w:rFonts w:ascii="Calibri" w:hAnsi="Calibri"/>
          <w:color w:val="231F20"/>
          <w:w w:val="105"/>
        </w:rPr>
        <w:t>employment</w:t>
      </w:r>
      <w:r w:rsidRPr="001351CB">
        <w:rPr>
          <w:rFonts w:ascii="Calibri" w:hAnsi="Calibri"/>
          <w:color w:val="231F20"/>
          <w:spacing w:val="16"/>
          <w:w w:val="105"/>
        </w:rPr>
        <w:t xml:space="preserve"> </w:t>
      </w:r>
      <w:r w:rsidRPr="001351CB">
        <w:rPr>
          <w:rFonts w:ascii="Calibri" w:hAnsi="Calibri"/>
          <w:color w:val="231F20"/>
          <w:w w:val="105"/>
        </w:rPr>
        <w:t>peaked</w:t>
      </w:r>
      <w:r w:rsidRPr="001351CB">
        <w:rPr>
          <w:rFonts w:ascii="Calibri" w:hAnsi="Calibri"/>
          <w:color w:val="231F20"/>
          <w:spacing w:val="16"/>
          <w:w w:val="105"/>
        </w:rPr>
        <w:t xml:space="preserve"> </w:t>
      </w:r>
      <w:r w:rsidRPr="001351CB">
        <w:rPr>
          <w:rFonts w:ascii="Calibri" w:hAnsi="Calibri"/>
          <w:color w:val="231F20"/>
          <w:w w:val="105"/>
        </w:rPr>
        <w:t>in</w:t>
      </w:r>
      <w:r w:rsidRPr="001351CB">
        <w:rPr>
          <w:rFonts w:ascii="Calibri" w:hAnsi="Calibri"/>
          <w:color w:val="231F20"/>
          <w:spacing w:val="16"/>
          <w:w w:val="105"/>
        </w:rPr>
        <w:t xml:space="preserve"> </w:t>
      </w:r>
      <w:r w:rsidRPr="001351CB">
        <w:rPr>
          <w:rFonts w:ascii="Calibri" w:hAnsi="Calibri"/>
          <w:color w:val="231F20"/>
          <w:w w:val="105"/>
        </w:rPr>
        <w:t>June</w:t>
      </w:r>
      <w:r w:rsidRPr="001351CB">
        <w:rPr>
          <w:rFonts w:ascii="Calibri" w:hAnsi="Calibri"/>
          <w:color w:val="231F20"/>
          <w:spacing w:val="16"/>
          <w:w w:val="105"/>
        </w:rPr>
        <w:t xml:space="preserve"> </w:t>
      </w:r>
      <w:r w:rsidRPr="001351CB">
        <w:rPr>
          <w:rFonts w:ascii="Calibri" w:hAnsi="Calibri"/>
          <w:color w:val="231F20"/>
          <w:w w:val="105"/>
        </w:rPr>
        <w:t>2006</w:t>
      </w:r>
      <w:r w:rsidRPr="001351CB">
        <w:rPr>
          <w:rFonts w:ascii="Calibri" w:hAnsi="Calibri"/>
          <w:color w:val="231F20"/>
          <w:spacing w:val="16"/>
          <w:w w:val="105"/>
        </w:rPr>
        <w:t xml:space="preserve"> </w:t>
      </w:r>
      <w:r w:rsidRPr="001351CB">
        <w:rPr>
          <w:rFonts w:ascii="Calibri" w:hAnsi="Calibri"/>
          <w:color w:val="231F20"/>
          <w:w w:val="105"/>
        </w:rPr>
        <w:t>at</w:t>
      </w:r>
      <w:r w:rsidRPr="001351CB">
        <w:rPr>
          <w:rFonts w:ascii="Calibri" w:hAnsi="Calibri"/>
          <w:color w:val="231F20"/>
          <w:spacing w:val="16"/>
          <w:w w:val="105"/>
        </w:rPr>
        <w:t xml:space="preserve"> </w:t>
      </w:r>
      <w:r w:rsidRPr="001351CB">
        <w:rPr>
          <w:rFonts w:ascii="Calibri" w:hAnsi="Calibri"/>
          <w:color w:val="231F20"/>
          <w:w w:val="105"/>
        </w:rPr>
        <w:t>691,900</w:t>
      </w:r>
      <w:r w:rsidRPr="001351CB">
        <w:rPr>
          <w:rFonts w:ascii="Calibri" w:hAnsi="Calibri"/>
          <w:color w:val="231F20"/>
          <w:spacing w:val="16"/>
          <w:w w:val="105"/>
        </w:rPr>
        <w:t xml:space="preserve"> </w:t>
      </w:r>
      <w:r w:rsidRPr="001351CB">
        <w:rPr>
          <w:rFonts w:ascii="Calibri" w:hAnsi="Calibri"/>
          <w:color w:val="231F20"/>
          <w:w w:val="105"/>
        </w:rPr>
        <w:t>jobs</w:t>
      </w:r>
      <w:r w:rsidRPr="001351CB">
        <w:rPr>
          <w:rFonts w:ascii="Calibri" w:hAnsi="Calibri"/>
          <w:color w:val="231F20"/>
          <w:spacing w:val="16"/>
          <w:w w:val="105"/>
        </w:rPr>
        <w:t xml:space="preserve"> </w:t>
      </w:r>
      <w:r w:rsidRPr="001351CB">
        <w:rPr>
          <w:rFonts w:ascii="Calibri" w:hAnsi="Calibri"/>
          <w:color w:val="231F20"/>
          <w:w w:val="105"/>
        </w:rPr>
        <w:t>and</w:t>
      </w:r>
      <w:r w:rsidRPr="001351CB">
        <w:rPr>
          <w:rFonts w:ascii="Calibri" w:hAnsi="Calibri"/>
          <w:color w:val="231F20"/>
          <w:spacing w:val="16"/>
          <w:w w:val="105"/>
        </w:rPr>
        <w:t xml:space="preserve"> </w:t>
      </w:r>
      <w:r w:rsidRPr="001351CB">
        <w:rPr>
          <w:rFonts w:ascii="Calibri" w:hAnsi="Calibri"/>
          <w:color w:val="231F20"/>
          <w:w w:val="105"/>
        </w:rPr>
        <w:t>is</w:t>
      </w:r>
      <w:r w:rsidRPr="001351CB">
        <w:rPr>
          <w:rFonts w:ascii="Calibri" w:hAnsi="Calibri"/>
          <w:color w:val="231F20"/>
          <w:spacing w:val="16"/>
          <w:w w:val="105"/>
        </w:rPr>
        <w:t xml:space="preserve"> </w:t>
      </w:r>
      <w:r w:rsidRPr="001351CB">
        <w:rPr>
          <w:rFonts w:ascii="Calibri" w:hAnsi="Calibri"/>
          <w:color w:val="231F20"/>
          <w:w w:val="105"/>
        </w:rPr>
        <w:t>currently</w:t>
      </w:r>
      <w:r w:rsidRPr="001351CB">
        <w:rPr>
          <w:rFonts w:ascii="Calibri" w:hAnsi="Calibri"/>
          <w:color w:val="231F20"/>
          <w:spacing w:val="16"/>
          <w:w w:val="105"/>
        </w:rPr>
        <w:t xml:space="preserve"> </w:t>
      </w:r>
      <w:r w:rsidRPr="001351CB">
        <w:rPr>
          <w:rFonts w:ascii="Calibri" w:hAnsi="Calibri"/>
          <w:color w:val="231F20"/>
          <w:w w:val="105"/>
        </w:rPr>
        <w:t>at</w:t>
      </w:r>
      <w:r w:rsidRPr="001351CB">
        <w:rPr>
          <w:rFonts w:ascii="Calibri" w:hAnsi="Calibri"/>
          <w:color w:val="231F20"/>
          <w:spacing w:val="-23"/>
          <w:w w:val="105"/>
        </w:rPr>
        <w:t xml:space="preserve"> </w:t>
      </w:r>
      <w:r w:rsidRPr="001351CB">
        <w:rPr>
          <w:rFonts w:ascii="Calibri" w:hAnsi="Calibri"/>
          <w:color w:val="231F20"/>
          <w:w w:val="105"/>
        </w:rPr>
        <w:t>524,600</w:t>
      </w:r>
      <w:r w:rsidRPr="001351CB">
        <w:rPr>
          <w:rFonts w:ascii="Calibri" w:hAnsi="Calibri"/>
          <w:color w:val="231F20"/>
          <w:spacing w:val="19"/>
          <w:w w:val="105"/>
        </w:rPr>
        <w:t xml:space="preserve"> </w:t>
      </w:r>
      <w:r w:rsidRPr="001351CB">
        <w:rPr>
          <w:rFonts w:ascii="Calibri" w:hAnsi="Calibri"/>
          <w:color w:val="231F20"/>
          <w:w w:val="105"/>
        </w:rPr>
        <w:t>jobs</w:t>
      </w:r>
      <w:r w:rsidRPr="001351CB">
        <w:rPr>
          <w:rFonts w:ascii="Calibri" w:hAnsi="Calibri"/>
          <w:color w:val="231F20"/>
          <w:spacing w:val="19"/>
          <w:w w:val="105"/>
        </w:rPr>
        <w:t xml:space="preserve"> </w:t>
      </w:r>
      <w:r w:rsidRPr="001351CB">
        <w:rPr>
          <w:rFonts w:ascii="Calibri" w:hAnsi="Calibri"/>
          <w:color w:val="231F20"/>
          <w:w w:val="105"/>
        </w:rPr>
        <w:t>(a</w:t>
      </w:r>
      <w:r w:rsidRPr="001351CB">
        <w:rPr>
          <w:rFonts w:ascii="Calibri" w:hAnsi="Calibri"/>
          <w:color w:val="231F20"/>
          <w:spacing w:val="19"/>
          <w:w w:val="105"/>
        </w:rPr>
        <w:t xml:space="preserve"> </w:t>
      </w:r>
      <w:r w:rsidRPr="001351CB">
        <w:rPr>
          <w:rFonts w:ascii="Calibri" w:hAnsi="Calibri"/>
          <w:color w:val="231F20"/>
          <w:w w:val="105"/>
        </w:rPr>
        <w:t>decrease</w:t>
      </w:r>
      <w:r w:rsidRPr="001351CB">
        <w:rPr>
          <w:rFonts w:ascii="Calibri" w:hAnsi="Calibri"/>
          <w:color w:val="231F20"/>
          <w:spacing w:val="19"/>
          <w:w w:val="105"/>
        </w:rPr>
        <w:t xml:space="preserve"> </w:t>
      </w:r>
      <w:r w:rsidRPr="001351CB">
        <w:rPr>
          <w:rFonts w:ascii="Calibri" w:hAnsi="Calibri"/>
          <w:color w:val="231F20"/>
          <w:w w:val="105"/>
        </w:rPr>
        <w:t>of</w:t>
      </w:r>
      <w:r w:rsidRPr="001351CB">
        <w:rPr>
          <w:rFonts w:ascii="Calibri" w:hAnsi="Calibri"/>
          <w:color w:val="231F20"/>
          <w:spacing w:val="19"/>
          <w:w w:val="105"/>
        </w:rPr>
        <w:t xml:space="preserve"> </w:t>
      </w:r>
      <w:r w:rsidRPr="001351CB">
        <w:rPr>
          <w:rFonts w:ascii="Calibri" w:hAnsi="Calibri"/>
          <w:color w:val="231F20"/>
          <w:w w:val="105"/>
        </w:rPr>
        <w:t>167,300</w:t>
      </w:r>
      <w:r w:rsidRPr="001351CB">
        <w:rPr>
          <w:rFonts w:ascii="Calibri" w:hAnsi="Calibri"/>
          <w:color w:val="231F20"/>
          <w:spacing w:val="19"/>
          <w:w w:val="105"/>
        </w:rPr>
        <w:t xml:space="preserve"> </w:t>
      </w:r>
      <w:r w:rsidRPr="001351CB">
        <w:rPr>
          <w:rFonts w:ascii="Calibri" w:hAnsi="Calibri"/>
          <w:color w:val="231F20"/>
          <w:w w:val="105"/>
        </w:rPr>
        <w:t>jobs)</w:t>
      </w:r>
      <w:r w:rsidR="005E7C49">
        <w:rPr>
          <w:rFonts w:ascii="Calibri" w:hAnsi="Calibri"/>
          <w:color w:val="231F20"/>
          <w:w w:val="105"/>
        </w:rPr>
        <w:t xml:space="preserve">. </w:t>
      </w:r>
      <w:r w:rsidRPr="001351CB">
        <w:rPr>
          <w:rFonts w:ascii="Calibri" w:hAnsi="Calibri"/>
          <w:color w:val="231F20"/>
          <w:w w:val="105"/>
        </w:rPr>
        <w:t>At</w:t>
      </w:r>
      <w:r w:rsidRPr="001351CB">
        <w:rPr>
          <w:rFonts w:ascii="Calibri" w:hAnsi="Calibri"/>
          <w:color w:val="231F20"/>
          <w:spacing w:val="19"/>
          <w:w w:val="105"/>
        </w:rPr>
        <w:t xml:space="preserve"> </w:t>
      </w:r>
      <w:r w:rsidRPr="001351CB">
        <w:rPr>
          <w:rFonts w:ascii="Calibri" w:hAnsi="Calibri"/>
          <w:color w:val="231F20"/>
          <w:w w:val="105"/>
        </w:rPr>
        <w:t>the</w:t>
      </w:r>
      <w:r w:rsidRPr="001351CB">
        <w:rPr>
          <w:rFonts w:ascii="Calibri" w:hAnsi="Calibri"/>
          <w:color w:val="231F20"/>
          <w:spacing w:val="19"/>
          <w:w w:val="105"/>
        </w:rPr>
        <w:t xml:space="preserve"> </w:t>
      </w:r>
      <w:r w:rsidRPr="001351CB">
        <w:rPr>
          <w:rFonts w:ascii="Calibri" w:hAnsi="Calibri"/>
          <w:color w:val="231F20"/>
          <w:w w:val="105"/>
        </w:rPr>
        <w:t>low point,</w:t>
      </w:r>
      <w:r w:rsidRPr="001351CB">
        <w:rPr>
          <w:rFonts w:ascii="Calibri" w:hAnsi="Calibri"/>
          <w:color w:val="231F20"/>
          <w:spacing w:val="19"/>
          <w:w w:val="105"/>
        </w:rPr>
        <w:t xml:space="preserve"> </w:t>
      </w:r>
      <w:r w:rsidRPr="001351CB">
        <w:rPr>
          <w:rFonts w:ascii="Calibri" w:hAnsi="Calibri"/>
          <w:color w:val="231F20"/>
          <w:w w:val="105"/>
        </w:rPr>
        <w:t>construction</w:t>
      </w:r>
      <w:r w:rsidRPr="001351CB">
        <w:rPr>
          <w:rFonts w:ascii="Calibri" w:hAnsi="Calibri"/>
          <w:color w:val="231F20"/>
          <w:spacing w:val="19"/>
          <w:w w:val="105"/>
        </w:rPr>
        <w:t xml:space="preserve"> </w:t>
      </w:r>
      <w:r w:rsidRPr="001351CB">
        <w:rPr>
          <w:rFonts w:ascii="Calibri" w:hAnsi="Calibri"/>
          <w:color w:val="231F20"/>
          <w:w w:val="105"/>
        </w:rPr>
        <w:t>employment</w:t>
      </w:r>
      <w:r w:rsidRPr="001351CB">
        <w:rPr>
          <w:rFonts w:ascii="Calibri" w:hAnsi="Calibri"/>
          <w:color w:val="231F20"/>
          <w:spacing w:val="19"/>
          <w:w w:val="105"/>
        </w:rPr>
        <w:t xml:space="preserve"> </w:t>
      </w:r>
      <w:r w:rsidRPr="001351CB">
        <w:rPr>
          <w:rFonts w:ascii="Calibri" w:hAnsi="Calibri"/>
          <w:color w:val="231F20"/>
          <w:w w:val="105"/>
        </w:rPr>
        <w:t>was</w:t>
      </w:r>
      <w:r w:rsidRPr="001351CB">
        <w:rPr>
          <w:rFonts w:ascii="Calibri" w:hAnsi="Calibri"/>
          <w:color w:val="231F20"/>
          <w:w w:val="108"/>
        </w:rPr>
        <w:t xml:space="preserve"> </w:t>
      </w:r>
      <w:r w:rsidRPr="001351CB">
        <w:rPr>
          <w:rFonts w:ascii="Calibri" w:hAnsi="Calibri"/>
          <w:color w:val="231F20"/>
          <w:w w:val="105"/>
        </w:rPr>
        <w:t>332,800 (June 2011)</w:t>
      </w:r>
      <w:r w:rsidR="005E7C49">
        <w:rPr>
          <w:rFonts w:ascii="Calibri" w:hAnsi="Calibri"/>
          <w:color w:val="231F20"/>
          <w:w w:val="105"/>
        </w:rPr>
        <w:t xml:space="preserve">. </w:t>
      </w:r>
      <w:r w:rsidRPr="001351CB">
        <w:rPr>
          <w:rFonts w:ascii="Calibri" w:hAnsi="Calibri"/>
          <w:color w:val="231F20"/>
          <w:w w:val="105"/>
        </w:rPr>
        <w:t>Since June 2011, 191,800</w:t>
      </w:r>
      <w:r w:rsidRPr="001351CB">
        <w:rPr>
          <w:rFonts w:ascii="Calibri" w:hAnsi="Calibri"/>
          <w:color w:val="231F20"/>
          <w:spacing w:val="-4"/>
          <w:w w:val="105"/>
        </w:rPr>
        <w:t xml:space="preserve"> </w:t>
      </w:r>
      <w:r w:rsidRPr="001351CB">
        <w:rPr>
          <w:rFonts w:ascii="Calibri" w:hAnsi="Calibri"/>
          <w:color w:val="231F20"/>
          <w:w w:val="105"/>
        </w:rPr>
        <w:t>jobs in the industry have been recovered.</w:t>
      </w:r>
    </w:p>
    <w:p w14:paraId="6D970BCE" w14:textId="77777777" w:rsidR="00002D76" w:rsidRPr="001351CB" w:rsidRDefault="00002D76" w:rsidP="00D63204">
      <w:pPr>
        <w:widowControl w:val="0"/>
        <w:spacing w:before="5" w:after="0" w:line="240" w:lineRule="auto"/>
        <w:rPr>
          <w:rFonts w:ascii="Calibri" w:hAnsi="Calibri" w:cs="Calibri"/>
          <w:sz w:val="16"/>
          <w:szCs w:val="16"/>
        </w:rPr>
      </w:pPr>
    </w:p>
    <w:p w14:paraId="56ACC1F0" w14:textId="0525A4ED" w:rsidR="00002D76" w:rsidRPr="00220AA1" w:rsidRDefault="0028596A" w:rsidP="00D63204">
      <w:pPr>
        <w:widowControl w:val="0"/>
        <w:spacing w:after="0" w:line="264" w:lineRule="exact"/>
        <w:ind w:left="107" w:right="412"/>
        <w:rPr>
          <w:rFonts w:ascii="Calibri" w:hAnsi="Calibri"/>
        </w:rPr>
      </w:pPr>
      <w:r>
        <w:rPr>
          <w:rFonts w:ascii="Calibri" w:hAnsi="Calibri"/>
          <w:color w:val="231F20"/>
          <w:w w:val="105"/>
        </w:rPr>
        <w:t>As noted, c</w:t>
      </w:r>
      <w:r w:rsidR="00002D76" w:rsidRPr="00220AA1">
        <w:rPr>
          <w:rFonts w:ascii="Calibri" w:hAnsi="Calibri"/>
          <w:color w:val="231F20"/>
          <w:w w:val="105"/>
        </w:rPr>
        <w:t>onstruction employment in November</w:t>
      </w:r>
      <w:r w:rsidR="00002D76" w:rsidRPr="00220AA1">
        <w:rPr>
          <w:rFonts w:ascii="Calibri" w:hAnsi="Calibri"/>
          <w:color w:val="231F20"/>
          <w:spacing w:val="13"/>
          <w:w w:val="105"/>
        </w:rPr>
        <w:t xml:space="preserve"> </w:t>
      </w:r>
      <w:r w:rsidR="00002D76" w:rsidRPr="00220AA1">
        <w:rPr>
          <w:rFonts w:ascii="Calibri" w:hAnsi="Calibri"/>
          <w:color w:val="231F20"/>
          <w:w w:val="105"/>
        </w:rPr>
        <w:t>2017</w:t>
      </w:r>
      <w:r w:rsidR="00002D76" w:rsidRPr="00220AA1">
        <w:rPr>
          <w:rFonts w:ascii="Calibri" w:hAnsi="Calibri"/>
          <w:color w:val="231F20"/>
          <w:spacing w:val="13"/>
          <w:w w:val="105"/>
        </w:rPr>
        <w:t xml:space="preserve"> </w:t>
      </w:r>
      <w:r w:rsidR="00002D76" w:rsidRPr="00220AA1">
        <w:rPr>
          <w:rFonts w:ascii="Calibri" w:hAnsi="Calibri"/>
          <w:color w:val="231F20"/>
          <w:w w:val="105"/>
        </w:rPr>
        <w:t>was</w:t>
      </w:r>
      <w:r w:rsidR="00002D76" w:rsidRPr="00220AA1">
        <w:rPr>
          <w:rFonts w:ascii="Calibri" w:hAnsi="Calibri"/>
          <w:color w:val="231F20"/>
          <w:spacing w:val="13"/>
          <w:w w:val="105"/>
        </w:rPr>
        <w:t xml:space="preserve"> </w:t>
      </w:r>
      <w:r w:rsidR="00002D76" w:rsidRPr="00220AA1">
        <w:rPr>
          <w:rFonts w:ascii="Calibri" w:hAnsi="Calibri"/>
          <w:color w:val="231F20"/>
          <w:w w:val="105"/>
        </w:rPr>
        <w:t>524,600</w:t>
      </w:r>
      <w:r w:rsidR="005E7C49">
        <w:rPr>
          <w:rFonts w:ascii="Calibri" w:hAnsi="Calibri"/>
          <w:color w:val="231F20"/>
          <w:w w:val="105"/>
        </w:rPr>
        <w:t xml:space="preserve">. </w:t>
      </w:r>
      <w:r w:rsidR="00002D76" w:rsidRPr="00220AA1">
        <w:rPr>
          <w:rFonts w:ascii="Calibri" w:hAnsi="Calibri"/>
          <w:color w:val="231F20"/>
          <w:w w:val="105"/>
        </w:rPr>
        <w:t>The</w:t>
      </w:r>
      <w:r w:rsidR="00002D76" w:rsidRPr="00220AA1">
        <w:rPr>
          <w:rFonts w:ascii="Calibri" w:hAnsi="Calibri"/>
          <w:color w:val="231F20"/>
          <w:spacing w:val="13"/>
          <w:w w:val="105"/>
        </w:rPr>
        <w:t xml:space="preserve"> </w:t>
      </w:r>
      <w:r w:rsidR="00002D76" w:rsidRPr="00220AA1">
        <w:rPr>
          <w:rFonts w:ascii="Calibri" w:hAnsi="Calibri"/>
          <w:color w:val="231F20"/>
          <w:w w:val="105"/>
        </w:rPr>
        <w:t>over</w:t>
      </w:r>
      <w:r w:rsidR="009164A5">
        <w:rPr>
          <w:rFonts w:ascii="Calibri" w:hAnsi="Calibri"/>
          <w:color w:val="231F20"/>
          <w:spacing w:val="13"/>
          <w:w w:val="105"/>
        </w:rPr>
        <w:t>-</w:t>
      </w:r>
      <w:r w:rsidR="00002D76" w:rsidRPr="00220AA1">
        <w:rPr>
          <w:rFonts w:ascii="Calibri" w:hAnsi="Calibri"/>
          <w:color w:val="231F20"/>
          <w:w w:val="105"/>
        </w:rPr>
        <w:t>the</w:t>
      </w:r>
      <w:r w:rsidR="009164A5">
        <w:rPr>
          <w:rFonts w:ascii="Calibri" w:hAnsi="Calibri"/>
          <w:color w:val="231F20"/>
          <w:spacing w:val="13"/>
          <w:w w:val="105"/>
        </w:rPr>
        <w:t>-</w:t>
      </w:r>
      <w:r w:rsidR="00002D76" w:rsidRPr="00220AA1">
        <w:rPr>
          <w:rFonts w:ascii="Calibri" w:hAnsi="Calibri"/>
          <w:color w:val="231F20"/>
          <w:w w:val="105"/>
        </w:rPr>
        <w:t>year</w:t>
      </w:r>
      <w:r w:rsidR="00002D76" w:rsidRPr="00220AA1">
        <w:rPr>
          <w:rFonts w:ascii="Calibri" w:hAnsi="Calibri"/>
          <w:color w:val="231F20"/>
          <w:spacing w:val="13"/>
          <w:w w:val="105"/>
        </w:rPr>
        <w:t xml:space="preserve"> </w:t>
      </w:r>
      <w:r w:rsidR="00002D76" w:rsidRPr="00220AA1">
        <w:rPr>
          <w:rFonts w:ascii="Calibri" w:hAnsi="Calibri"/>
          <w:color w:val="231F20"/>
          <w:w w:val="105"/>
        </w:rPr>
        <w:t>change</w:t>
      </w:r>
      <w:r w:rsidR="00002D76" w:rsidRPr="00220AA1">
        <w:rPr>
          <w:rFonts w:ascii="Calibri" w:hAnsi="Calibri"/>
          <w:color w:val="231F20"/>
          <w:spacing w:val="13"/>
          <w:w w:val="105"/>
        </w:rPr>
        <w:t xml:space="preserve"> </w:t>
      </w:r>
      <w:r w:rsidR="00002D76" w:rsidRPr="00220AA1">
        <w:rPr>
          <w:rFonts w:ascii="Calibri" w:hAnsi="Calibri"/>
          <w:color w:val="231F20"/>
          <w:w w:val="105"/>
        </w:rPr>
        <w:t>in November</w:t>
      </w:r>
      <w:r w:rsidR="00002D76" w:rsidRPr="00220AA1">
        <w:rPr>
          <w:rFonts w:ascii="Calibri" w:hAnsi="Calibri"/>
          <w:color w:val="231F20"/>
          <w:spacing w:val="13"/>
          <w:w w:val="105"/>
        </w:rPr>
        <w:t xml:space="preserve"> </w:t>
      </w:r>
      <w:r w:rsidR="00002D76" w:rsidRPr="00220AA1">
        <w:rPr>
          <w:rFonts w:ascii="Calibri" w:hAnsi="Calibri"/>
          <w:color w:val="231F20"/>
          <w:w w:val="105"/>
        </w:rPr>
        <w:t>2017</w:t>
      </w:r>
      <w:r w:rsidR="00002D76" w:rsidRPr="00220AA1">
        <w:rPr>
          <w:rFonts w:ascii="Calibri" w:hAnsi="Calibri"/>
          <w:color w:val="231F20"/>
          <w:spacing w:val="13"/>
          <w:w w:val="105"/>
        </w:rPr>
        <w:t xml:space="preserve"> </w:t>
      </w:r>
      <w:r w:rsidR="00002D76" w:rsidRPr="00220AA1">
        <w:rPr>
          <w:rFonts w:ascii="Calibri" w:hAnsi="Calibri"/>
          <w:color w:val="231F20"/>
          <w:w w:val="110"/>
        </w:rPr>
        <w:t>(+41,800</w:t>
      </w:r>
      <w:r w:rsidR="00002D76" w:rsidRPr="00220AA1">
        <w:rPr>
          <w:rFonts w:ascii="Calibri" w:hAnsi="Calibri"/>
          <w:color w:val="231F20"/>
          <w:spacing w:val="-15"/>
          <w:w w:val="110"/>
        </w:rPr>
        <w:t xml:space="preserve"> </w:t>
      </w:r>
      <w:r w:rsidR="00002D76" w:rsidRPr="00220AA1">
        <w:rPr>
          <w:rFonts w:ascii="Calibri" w:hAnsi="Calibri"/>
          <w:color w:val="231F20"/>
          <w:w w:val="110"/>
        </w:rPr>
        <w:t>jobs,</w:t>
      </w:r>
      <w:r w:rsidR="00002D76" w:rsidRPr="00220AA1">
        <w:rPr>
          <w:rFonts w:ascii="Calibri" w:hAnsi="Calibri"/>
          <w:color w:val="231F20"/>
          <w:spacing w:val="-15"/>
          <w:w w:val="110"/>
        </w:rPr>
        <w:t xml:space="preserve"> </w:t>
      </w:r>
      <w:r w:rsidR="00002D76" w:rsidRPr="00220AA1">
        <w:rPr>
          <w:rFonts w:ascii="Calibri" w:hAnsi="Calibri"/>
          <w:color w:val="231F20"/>
          <w:w w:val="110"/>
        </w:rPr>
        <w:t>+8.7</w:t>
      </w:r>
      <w:r w:rsidR="00002D76" w:rsidRPr="00220AA1">
        <w:rPr>
          <w:rFonts w:ascii="Calibri" w:hAnsi="Calibri"/>
          <w:color w:val="231F20"/>
          <w:spacing w:val="-15"/>
          <w:w w:val="110"/>
        </w:rPr>
        <w:t xml:space="preserve"> </w:t>
      </w:r>
      <w:r w:rsidR="00002D76" w:rsidRPr="00220AA1">
        <w:rPr>
          <w:rFonts w:ascii="Calibri" w:hAnsi="Calibri"/>
          <w:color w:val="231F20"/>
          <w:w w:val="110"/>
        </w:rPr>
        <w:t>percent)</w:t>
      </w:r>
      <w:r w:rsidR="00002D76" w:rsidRPr="00220AA1">
        <w:rPr>
          <w:rFonts w:ascii="Calibri" w:hAnsi="Calibri"/>
          <w:color w:val="231F20"/>
          <w:spacing w:val="-15"/>
          <w:w w:val="110"/>
        </w:rPr>
        <w:t xml:space="preserve"> </w:t>
      </w:r>
      <w:r w:rsidR="00002D76" w:rsidRPr="00220AA1">
        <w:rPr>
          <w:rFonts w:ascii="Calibri" w:hAnsi="Calibri"/>
          <w:color w:val="231F20"/>
          <w:w w:val="110"/>
        </w:rPr>
        <w:t>was</w:t>
      </w:r>
      <w:r w:rsidR="00002D76" w:rsidRPr="00220AA1">
        <w:rPr>
          <w:rFonts w:ascii="Calibri" w:hAnsi="Calibri"/>
          <w:color w:val="231F20"/>
          <w:spacing w:val="-15"/>
          <w:w w:val="110"/>
        </w:rPr>
        <w:t xml:space="preserve"> </w:t>
      </w:r>
      <w:r w:rsidR="00002D76" w:rsidRPr="00220AA1">
        <w:rPr>
          <w:rFonts w:ascii="Calibri" w:hAnsi="Calibri"/>
          <w:color w:val="231F20"/>
          <w:spacing w:val="-3"/>
          <w:w w:val="110"/>
        </w:rPr>
        <w:t>8,300</w:t>
      </w:r>
      <w:r w:rsidR="00002D76" w:rsidRPr="00220AA1">
        <w:rPr>
          <w:rFonts w:ascii="Calibri" w:hAnsi="Calibri"/>
          <w:color w:val="231F20"/>
          <w:spacing w:val="-15"/>
          <w:w w:val="110"/>
        </w:rPr>
        <w:t xml:space="preserve"> </w:t>
      </w:r>
      <w:r w:rsidR="00002D76" w:rsidRPr="00220AA1">
        <w:rPr>
          <w:rFonts w:ascii="Calibri" w:hAnsi="Calibri"/>
          <w:color w:val="231F20"/>
          <w:w w:val="110"/>
        </w:rPr>
        <w:t>greater</w:t>
      </w:r>
      <w:r w:rsidR="00002D76" w:rsidRPr="00220AA1">
        <w:rPr>
          <w:rFonts w:ascii="Calibri" w:hAnsi="Calibri"/>
          <w:color w:val="231F20"/>
          <w:spacing w:val="-15"/>
          <w:w w:val="110"/>
        </w:rPr>
        <w:t xml:space="preserve"> </w:t>
      </w:r>
      <w:r w:rsidR="00002D76" w:rsidRPr="00220AA1">
        <w:rPr>
          <w:rFonts w:ascii="Calibri" w:hAnsi="Calibri"/>
          <w:color w:val="231F20"/>
          <w:w w:val="110"/>
        </w:rPr>
        <w:t>when</w:t>
      </w:r>
      <w:r w:rsidR="00002D76" w:rsidRPr="00220AA1">
        <w:rPr>
          <w:rFonts w:ascii="Calibri" w:hAnsi="Calibri"/>
          <w:color w:val="231F20"/>
          <w:spacing w:val="-15"/>
          <w:w w:val="110"/>
        </w:rPr>
        <w:t xml:space="preserve"> </w:t>
      </w:r>
      <w:r w:rsidR="00002D76" w:rsidRPr="00220AA1">
        <w:rPr>
          <w:rFonts w:ascii="Calibri" w:hAnsi="Calibri"/>
          <w:color w:val="231F20"/>
          <w:w w:val="110"/>
        </w:rPr>
        <w:t>compared</w:t>
      </w:r>
      <w:r w:rsidR="00002D76" w:rsidRPr="00220AA1">
        <w:rPr>
          <w:rFonts w:ascii="Calibri" w:hAnsi="Calibri"/>
          <w:color w:val="231F20"/>
          <w:spacing w:val="-15"/>
          <w:w w:val="110"/>
        </w:rPr>
        <w:t xml:space="preserve"> </w:t>
      </w:r>
      <w:r w:rsidR="00002D76" w:rsidRPr="00220AA1">
        <w:rPr>
          <w:rFonts w:ascii="Calibri" w:hAnsi="Calibri"/>
          <w:color w:val="231F20"/>
          <w:w w:val="110"/>
        </w:rPr>
        <w:t>to</w:t>
      </w:r>
      <w:r w:rsidR="00002D76" w:rsidRPr="00220AA1">
        <w:rPr>
          <w:rFonts w:ascii="Calibri" w:hAnsi="Calibri"/>
          <w:color w:val="231F20"/>
          <w:spacing w:val="-15"/>
          <w:w w:val="110"/>
        </w:rPr>
        <w:t xml:space="preserve"> </w:t>
      </w:r>
      <w:r w:rsidR="00002D76" w:rsidRPr="00220AA1">
        <w:rPr>
          <w:rFonts w:ascii="Calibri" w:hAnsi="Calibri"/>
          <w:color w:val="231F20"/>
          <w:w w:val="105"/>
        </w:rPr>
        <w:t>November</w:t>
      </w:r>
      <w:r w:rsidR="00002D76" w:rsidRPr="00220AA1">
        <w:rPr>
          <w:rFonts w:ascii="Calibri" w:hAnsi="Calibri"/>
          <w:color w:val="231F20"/>
          <w:spacing w:val="13"/>
          <w:w w:val="105"/>
        </w:rPr>
        <w:t xml:space="preserve"> </w:t>
      </w:r>
      <w:r w:rsidR="00002D76" w:rsidRPr="00220AA1">
        <w:rPr>
          <w:rFonts w:ascii="Calibri" w:hAnsi="Calibri"/>
          <w:color w:val="231F20"/>
          <w:w w:val="105"/>
        </w:rPr>
        <w:t>2016</w:t>
      </w:r>
      <w:r w:rsidR="00002D76" w:rsidRPr="00220AA1">
        <w:rPr>
          <w:rFonts w:ascii="Calibri" w:hAnsi="Calibri"/>
          <w:color w:val="231F20"/>
          <w:spacing w:val="13"/>
          <w:w w:val="105"/>
        </w:rPr>
        <w:t xml:space="preserve"> </w:t>
      </w:r>
      <w:r w:rsidR="00002D76" w:rsidRPr="00220AA1">
        <w:rPr>
          <w:rFonts w:ascii="Calibri" w:hAnsi="Calibri"/>
          <w:color w:val="231F20"/>
          <w:w w:val="110"/>
        </w:rPr>
        <w:t>(+33,500</w:t>
      </w:r>
      <w:r w:rsidR="00002D76" w:rsidRPr="00220AA1">
        <w:rPr>
          <w:rFonts w:ascii="Calibri" w:hAnsi="Calibri"/>
          <w:color w:val="231F20"/>
          <w:w w:val="113"/>
        </w:rPr>
        <w:t xml:space="preserve"> </w:t>
      </w:r>
      <w:r w:rsidR="00002D76" w:rsidRPr="00220AA1">
        <w:rPr>
          <w:rFonts w:ascii="Calibri" w:hAnsi="Calibri"/>
          <w:color w:val="231F20"/>
          <w:w w:val="110"/>
        </w:rPr>
        <w:t>jobs,</w:t>
      </w:r>
      <w:r w:rsidR="00002D76" w:rsidRPr="00220AA1">
        <w:rPr>
          <w:rFonts w:ascii="Calibri" w:hAnsi="Calibri"/>
          <w:color w:val="231F20"/>
          <w:spacing w:val="-16"/>
          <w:w w:val="110"/>
        </w:rPr>
        <w:t xml:space="preserve"> </w:t>
      </w:r>
      <w:r w:rsidR="00002D76" w:rsidRPr="00220AA1">
        <w:rPr>
          <w:rFonts w:ascii="Calibri" w:hAnsi="Calibri"/>
          <w:color w:val="231F20"/>
          <w:w w:val="110"/>
        </w:rPr>
        <w:t>+7.5</w:t>
      </w:r>
      <w:r w:rsidR="00002D76" w:rsidRPr="00220AA1">
        <w:rPr>
          <w:rFonts w:ascii="Calibri" w:hAnsi="Calibri"/>
          <w:color w:val="231F20"/>
          <w:spacing w:val="-16"/>
          <w:w w:val="110"/>
        </w:rPr>
        <w:t xml:space="preserve"> </w:t>
      </w:r>
      <w:r w:rsidR="00002D76" w:rsidRPr="00220AA1">
        <w:rPr>
          <w:rFonts w:ascii="Calibri" w:hAnsi="Calibri"/>
          <w:color w:val="231F20"/>
          <w:w w:val="110"/>
        </w:rPr>
        <w:t>percent)</w:t>
      </w:r>
      <w:r w:rsidR="005E7C49">
        <w:rPr>
          <w:rFonts w:ascii="Calibri" w:hAnsi="Calibri"/>
          <w:color w:val="231F20"/>
          <w:w w:val="110"/>
        </w:rPr>
        <w:t xml:space="preserve">. </w:t>
      </w:r>
      <w:r w:rsidR="00002D76" w:rsidRPr="00220AA1">
        <w:rPr>
          <w:rFonts w:ascii="Calibri" w:hAnsi="Calibri"/>
          <w:color w:val="231F20"/>
          <w:w w:val="110"/>
        </w:rPr>
        <w:t>The</w:t>
      </w:r>
      <w:r w:rsidR="00002D76" w:rsidRPr="00220AA1">
        <w:rPr>
          <w:rFonts w:ascii="Calibri" w:hAnsi="Calibri"/>
          <w:color w:val="231F20"/>
          <w:spacing w:val="-16"/>
          <w:w w:val="110"/>
        </w:rPr>
        <w:t xml:space="preserve"> </w:t>
      </w:r>
      <w:r w:rsidR="00002D76" w:rsidRPr="00220AA1">
        <w:rPr>
          <w:rFonts w:ascii="Calibri" w:hAnsi="Calibri"/>
          <w:color w:val="231F20"/>
          <w:w w:val="110"/>
        </w:rPr>
        <w:t>number</w:t>
      </w:r>
      <w:r w:rsidR="00002D76" w:rsidRPr="00220AA1">
        <w:rPr>
          <w:rFonts w:ascii="Calibri" w:hAnsi="Calibri"/>
          <w:color w:val="231F20"/>
          <w:spacing w:val="-16"/>
          <w:w w:val="110"/>
        </w:rPr>
        <w:t xml:space="preserve"> </w:t>
      </w:r>
      <w:r w:rsidR="00002D76" w:rsidRPr="00220AA1">
        <w:rPr>
          <w:rFonts w:ascii="Calibri" w:hAnsi="Calibri"/>
          <w:color w:val="231F20"/>
          <w:w w:val="110"/>
        </w:rPr>
        <w:t>of</w:t>
      </w:r>
      <w:r w:rsidR="00002D76" w:rsidRPr="00220AA1">
        <w:rPr>
          <w:rFonts w:ascii="Calibri" w:hAnsi="Calibri"/>
          <w:color w:val="231F20"/>
          <w:spacing w:val="-16"/>
          <w:w w:val="110"/>
        </w:rPr>
        <w:t xml:space="preserve"> </w:t>
      </w:r>
      <w:r w:rsidR="00002D76" w:rsidRPr="00220AA1">
        <w:rPr>
          <w:rFonts w:ascii="Calibri" w:hAnsi="Calibri"/>
          <w:color w:val="231F20"/>
          <w:w w:val="110"/>
        </w:rPr>
        <w:t>jobs</w:t>
      </w:r>
      <w:r w:rsidR="00002D76" w:rsidRPr="00220AA1">
        <w:rPr>
          <w:rFonts w:ascii="Calibri" w:hAnsi="Calibri"/>
          <w:color w:val="231F20"/>
          <w:spacing w:val="-16"/>
          <w:w w:val="110"/>
        </w:rPr>
        <w:t xml:space="preserve"> </w:t>
      </w:r>
      <w:r w:rsidR="00002D76" w:rsidRPr="00220AA1">
        <w:rPr>
          <w:rFonts w:ascii="Calibri" w:hAnsi="Calibri"/>
          <w:color w:val="231F20"/>
          <w:w w:val="110"/>
        </w:rPr>
        <w:t>in</w:t>
      </w:r>
      <w:r w:rsidR="00002D76" w:rsidRPr="00220AA1">
        <w:rPr>
          <w:rFonts w:ascii="Calibri" w:hAnsi="Calibri"/>
          <w:color w:val="231F20"/>
          <w:spacing w:val="-16"/>
          <w:w w:val="110"/>
        </w:rPr>
        <w:t xml:space="preserve"> </w:t>
      </w:r>
      <w:r w:rsidR="00002D76" w:rsidRPr="00220AA1">
        <w:rPr>
          <w:rFonts w:ascii="Calibri" w:hAnsi="Calibri"/>
          <w:color w:val="231F20"/>
          <w:w w:val="110"/>
        </w:rPr>
        <w:t>this</w:t>
      </w:r>
      <w:r w:rsidR="00002D76" w:rsidRPr="00220AA1">
        <w:rPr>
          <w:rFonts w:ascii="Calibri" w:hAnsi="Calibri"/>
          <w:color w:val="231F20"/>
          <w:spacing w:val="-16"/>
          <w:w w:val="110"/>
        </w:rPr>
        <w:t xml:space="preserve"> </w:t>
      </w:r>
      <w:r w:rsidR="00002D76" w:rsidRPr="00220AA1">
        <w:rPr>
          <w:rFonts w:ascii="Calibri" w:hAnsi="Calibri"/>
          <w:color w:val="231F20"/>
          <w:w w:val="110"/>
        </w:rPr>
        <w:t>sector</w:t>
      </w:r>
      <w:r w:rsidR="00002D76" w:rsidRPr="00220AA1">
        <w:rPr>
          <w:rFonts w:ascii="Calibri" w:hAnsi="Calibri"/>
          <w:color w:val="231F20"/>
          <w:spacing w:val="-16"/>
          <w:w w:val="110"/>
        </w:rPr>
        <w:t xml:space="preserve"> </w:t>
      </w:r>
      <w:r w:rsidR="00002D76" w:rsidRPr="00220AA1">
        <w:rPr>
          <w:rFonts w:ascii="Calibri" w:hAnsi="Calibri"/>
          <w:color w:val="231F20"/>
          <w:w w:val="110"/>
        </w:rPr>
        <w:t>has</w:t>
      </w:r>
      <w:r w:rsidR="00002D76" w:rsidRPr="00220AA1">
        <w:rPr>
          <w:rFonts w:ascii="Calibri" w:hAnsi="Calibri"/>
          <w:color w:val="231F20"/>
          <w:spacing w:val="-16"/>
          <w:w w:val="110"/>
        </w:rPr>
        <w:t xml:space="preserve"> </w:t>
      </w:r>
      <w:r w:rsidR="00002D76" w:rsidRPr="00220AA1">
        <w:rPr>
          <w:rFonts w:ascii="Calibri" w:hAnsi="Calibri"/>
          <w:color w:val="231F20"/>
          <w:w w:val="110"/>
        </w:rPr>
        <w:t>been</w:t>
      </w:r>
      <w:r w:rsidR="00002D76" w:rsidRPr="00220AA1">
        <w:rPr>
          <w:rFonts w:ascii="Calibri" w:hAnsi="Calibri"/>
          <w:color w:val="231F20"/>
          <w:spacing w:val="-16"/>
          <w:w w:val="110"/>
        </w:rPr>
        <w:t xml:space="preserve"> </w:t>
      </w:r>
      <w:r w:rsidR="00002D76" w:rsidRPr="00220AA1">
        <w:rPr>
          <w:rFonts w:ascii="Calibri" w:hAnsi="Calibri"/>
          <w:color w:val="231F20"/>
          <w:w w:val="110"/>
        </w:rPr>
        <w:t>trending</w:t>
      </w:r>
      <w:r w:rsidR="00002D76" w:rsidRPr="00220AA1">
        <w:rPr>
          <w:rFonts w:ascii="Calibri" w:hAnsi="Calibri"/>
          <w:color w:val="231F20"/>
          <w:spacing w:val="-16"/>
          <w:w w:val="110"/>
        </w:rPr>
        <w:t xml:space="preserve"> </w:t>
      </w:r>
      <w:r w:rsidR="00002D76" w:rsidRPr="00220AA1">
        <w:rPr>
          <w:rFonts w:ascii="Calibri" w:hAnsi="Calibri"/>
          <w:color w:val="231F20"/>
          <w:w w:val="110"/>
        </w:rPr>
        <w:t>upward</w:t>
      </w:r>
      <w:r w:rsidR="00002D76" w:rsidRPr="00220AA1">
        <w:rPr>
          <w:rFonts w:ascii="Calibri" w:hAnsi="Calibri"/>
          <w:color w:val="231F20"/>
          <w:spacing w:val="-16"/>
          <w:w w:val="110"/>
        </w:rPr>
        <w:t xml:space="preserve"> </w:t>
      </w:r>
      <w:r w:rsidR="00002D76" w:rsidRPr="00220AA1">
        <w:rPr>
          <w:rFonts w:ascii="Calibri" w:hAnsi="Calibri"/>
          <w:color w:val="231F20"/>
          <w:w w:val="110"/>
        </w:rPr>
        <w:t>over</w:t>
      </w:r>
      <w:r w:rsidR="00002D76" w:rsidRPr="00220AA1">
        <w:rPr>
          <w:rFonts w:ascii="Calibri" w:hAnsi="Calibri"/>
          <w:color w:val="231F20"/>
          <w:spacing w:val="-16"/>
          <w:w w:val="110"/>
        </w:rPr>
        <w:t xml:space="preserve"> </w:t>
      </w:r>
      <w:r w:rsidR="00002D76" w:rsidRPr="00220AA1">
        <w:rPr>
          <w:rFonts w:ascii="Calibri" w:hAnsi="Calibri"/>
          <w:color w:val="231F20"/>
          <w:w w:val="110"/>
        </w:rPr>
        <w:t>the</w:t>
      </w:r>
      <w:r w:rsidR="00002D76" w:rsidRPr="00220AA1">
        <w:rPr>
          <w:rFonts w:ascii="Calibri" w:hAnsi="Calibri"/>
          <w:color w:val="231F20"/>
          <w:spacing w:val="-16"/>
          <w:w w:val="110"/>
        </w:rPr>
        <w:t xml:space="preserve"> </w:t>
      </w:r>
      <w:r w:rsidR="00002D76" w:rsidRPr="00220AA1">
        <w:rPr>
          <w:rFonts w:ascii="Calibri" w:hAnsi="Calibri"/>
          <w:color w:val="231F20"/>
          <w:w w:val="110"/>
        </w:rPr>
        <w:t>past</w:t>
      </w:r>
      <w:r w:rsidR="00002D76" w:rsidRPr="00220AA1">
        <w:rPr>
          <w:rFonts w:ascii="Calibri" w:hAnsi="Calibri"/>
          <w:color w:val="231F20"/>
          <w:spacing w:val="-16"/>
          <w:w w:val="110"/>
        </w:rPr>
        <w:t xml:space="preserve"> </w:t>
      </w:r>
      <w:r w:rsidR="00002D76">
        <w:rPr>
          <w:rFonts w:ascii="Calibri" w:hAnsi="Calibri"/>
          <w:color w:val="231F20"/>
          <w:w w:val="110"/>
        </w:rPr>
        <w:t>seven</w:t>
      </w:r>
      <w:r w:rsidR="00002D76" w:rsidRPr="00220AA1">
        <w:rPr>
          <w:rFonts w:ascii="Calibri" w:hAnsi="Calibri"/>
          <w:color w:val="231F20"/>
          <w:spacing w:val="-16"/>
          <w:w w:val="110"/>
        </w:rPr>
        <w:t xml:space="preserve"> </w:t>
      </w:r>
      <w:r w:rsidR="00002D76" w:rsidRPr="00220AA1">
        <w:rPr>
          <w:rFonts w:ascii="Calibri" w:hAnsi="Calibri"/>
          <w:color w:val="231F20"/>
          <w:w w:val="110"/>
        </w:rPr>
        <w:t>years.</w:t>
      </w:r>
    </w:p>
    <w:p w14:paraId="3C9907CD" w14:textId="77777777" w:rsidR="00002D76" w:rsidRPr="00EA7458" w:rsidRDefault="00002D76" w:rsidP="00002D76">
      <w:pPr>
        <w:widowControl w:val="0"/>
        <w:spacing w:before="6" w:after="0" w:line="240" w:lineRule="auto"/>
        <w:rPr>
          <w:rFonts w:ascii="Calibri" w:hAnsi="Calibri" w:cs="Calibri"/>
          <w:sz w:val="16"/>
          <w:szCs w:val="16"/>
        </w:rPr>
      </w:pPr>
    </w:p>
    <w:p w14:paraId="55CD27BA" w14:textId="77777777" w:rsidR="00002D76" w:rsidRPr="001B56F5" w:rsidRDefault="00002D76" w:rsidP="00002D76">
      <w:pPr>
        <w:widowControl w:val="0"/>
        <w:spacing w:before="6" w:after="0" w:line="240" w:lineRule="auto"/>
        <w:rPr>
          <w:rFonts w:ascii="Calibri" w:hAnsi="Calibri" w:cs="Calibri"/>
          <w:sz w:val="16"/>
          <w:szCs w:val="16"/>
        </w:rPr>
      </w:pPr>
    </w:p>
    <w:p w14:paraId="3A79E5C2" w14:textId="77777777" w:rsidR="00002D76" w:rsidRPr="00041D0F" w:rsidRDefault="00002D76" w:rsidP="00D63204">
      <w:pPr>
        <w:widowControl w:val="0"/>
        <w:spacing w:after="0" w:line="266" w:lineRule="exact"/>
        <w:ind w:left="468" w:right="468"/>
        <w:outlineLvl w:val="2"/>
        <w:rPr>
          <w:rFonts w:ascii="Calibri" w:hAnsi="Calibri"/>
        </w:rPr>
      </w:pPr>
      <w:r w:rsidRPr="00041D0F">
        <w:rPr>
          <w:rFonts w:ascii="Calibri" w:hAnsi="Calibri"/>
          <w:b/>
          <w:bCs/>
          <w:color w:val="231F20"/>
          <w:w w:val="115"/>
        </w:rPr>
        <w:t>Figure</w:t>
      </w:r>
      <w:r w:rsidRPr="00041D0F">
        <w:rPr>
          <w:rFonts w:ascii="Calibri" w:hAnsi="Calibri"/>
          <w:b/>
          <w:bCs/>
          <w:color w:val="231F20"/>
          <w:spacing w:val="-18"/>
          <w:w w:val="115"/>
        </w:rPr>
        <w:t xml:space="preserve"> </w:t>
      </w:r>
      <w:r w:rsidRPr="00041D0F">
        <w:rPr>
          <w:rFonts w:ascii="Calibri" w:hAnsi="Calibri"/>
          <w:b/>
          <w:bCs/>
          <w:color w:val="231F20"/>
          <w:w w:val="115"/>
        </w:rPr>
        <w:t>2.23</w:t>
      </w:r>
    </w:p>
    <w:p w14:paraId="71701F7C" w14:textId="77777777" w:rsidR="00002D76" w:rsidRPr="00041D0F" w:rsidRDefault="00002D76" w:rsidP="00D63204">
      <w:pPr>
        <w:widowControl w:val="0"/>
        <w:spacing w:after="0" w:line="266" w:lineRule="exact"/>
        <w:ind w:left="468" w:right="468"/>
        <w:rPr>
          <w:rFonts w:ascii="Calibri" w:hAnsi="Calibri" w:cs="Calibri"/>
        </w:rPr>
      </w:pPr>
      <w:r w:rsidRPr="00041D0F">
        <w:rPr>
          <w:noProof/>
        </w:rPr>
        <w:drawing>
          <wp:anchor distT="0" distB="0" distL="114300" distR="114300" simplePos="0" relativeHeight="251658248" behindDoc="0" locked="0" layoutInCell="1" allowOverlap="1" wp14:anchorId="4E9A1FD6" wp14:editId="2622F90B">
            <wp:simplePos x="0" y="0"/>
            <wp:positionH relativeFrom="margin">
              <wp:align>center</wp:align>
            </wp:positionH>
            <wp:positionV relativeFrom="paragraph">
              <wp:posOffset>192339</wp:posOffset>
            </wp:positionV>
            <wp:extent cx="6043930" cy="3562350"/>
            <wp:effectExtent l="0" t="0" r="0" b="0"/>
            <wp:wrapTopAndBottom/>
            <wp:docPr id="15" name="Chart 15" descr="The line graph shows Florida experienced large declines in construction employment from 2006 to 2011. Construction employment peaked in June 2006 at 691,900 jobs and is currently at 524,600 jobs (a decrease of 167,300 jobs). At the low point in June 2011, construction employment was 332,800. Since June 2011, 191,800 jobs in the industry have been recovered.&#10;Construction employment in November 2017 was 524,600. The over the year change in November 2017 (+41,800 jobs, +8.7 percent) was 8,300 greater compared to November 2016 (+33,500 jobs, +7.5 percent). The number of jobs in this sector trended upward over the past seven years." title="Figure 2.23 Florida Construction Employment (Seasonally Adjusted)"/>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14:sizeRelH relativeFrom="margin">
              <wp14:pctWidth>0</wp14:pctWidth>
            </wp14:sizeRelH>
          </wp:anchor>
        </w:drawing>
      </w:r>
      <w:r w:rsidRPr="00041D0F">
        <w:rPr>
          <w:rFonts w:ascii="Calibri" w:hAnsi="Calibri"/>
          <w:b/>
          <w:color w:val="231F20"/>
          <w:w w:val="110"/>
        </w:rPr>
        <w:t>Florida Construction Employment</w:t>
      </w:r>
      <w:r>
        <w:rPr>
          <w:rFonts w:ascii="Calibri" w:hAnsi="Calibri"/>
          <w:b/>
          <w:color w:val="231F20"/>
          <w:w w:val="110"/>
        </w:rPr>
        <w:t>,</w:t>
      </w:r>
      <w:r w:rsidRPr="00041D0F">
        <w:rPr>
          <w:rFonts w:ascii="Calibri" w:hAnsi="Calibri"/>
          <w:b/>
          <w:color w:val="231F20"/>
          <w:w w:val="110"/>
        </w:rPr>
        <w:t xml:space="preserve"> Seasonally</w:t>
      </w:r>
      <w:r w:rsidRPr="00041D0F">
        <w:rPr>
          <w:rFonts w:ascii="Calibri" w:hAnsi="Calibri"/>
          <w:b/>
          <w:color w:val="231F20"/>
          <w:spacing w:val="-37"/>
          <w:w w:val="110"/>
        </w:rPr>
        <w:t xml:space="preserve"> </w:t>
      </w:r>
      <w:r w:rsidRPr="00041D0F">
        <w:rPr>
          <w:rFonts w:ascii="Calibri" w:hAnsi="Calibri"/>
          <w:b/>
          <w:color w:val="231F20"/>
          <w:w w:val="110"/>
        </w:rPr>
        <w:t>Adjusted</w:t>
      </w:r>
    </w:p>
    <w:p w14:paraId="7574DA58" w14:textId="77777777" w:rsidR="00002D76" w:rsidRPr="00041D0F" w:rsidRDefault="00002D76" w:rsidP="00002D76">
      <w:pPr>
        <w:widowControl w:val="0"/>
        <w:spacing w:before="100" w:after="0" w:line="240" w:lineRule="auto"/>
        <w:ind w:left="630"/>
        <w:rPr>
          <w:rFonts w:ascii="Calibri" w:hAnsi="Calibri" w:cs="Calibri"/>
          <w:sz w:val="18"/>
          <w:szCs w:val="18"/>
        </w:rPr>
      </w:pPr>
      <w:r w:rsidRPr="00041D0F">
        <w:rPr>
          <w:rFonts w:ascii="Calibri" w:hAnsi="Calibri"/>
          <w:w w:val="105"/>
          <w:sz w:val="18"/>
        </w:rPr>
        <w:t>Source:</w:t>
      </w:r>
      <w:r w:rsidRPr="00041D0F">
        <w:rPr>
          <w:rFonts w:ascii="Calibri" w:hAnsi="Calibri"/>
          <w:spacing w:val="10"/>
          <w:w w:val="105"/>
          <w:sz w:val="18"/>
        </w:rPr>
        <w:t xml:space="preserve"> </w:t>
      </w:r>
      <w:r>
        <w:rPr>
          <w:rFonts w:ascii="Calibri" w:hAnsi="Calibri"/>
          <w:spacing w:val="10"/>
          <w:w w:val="105"/>
          <w:sz w:val="18"/>
        </w:rPr>
        <w:t xml:space="preserve"> </w:t>
      </w:r>
      <w:r w:rsidRPr="00041D0F">
        <w:rPr>
          <w:rFonts w:ascii="Calibri" w:hAnsi="Calibri"/>
          <w:w w:val="105"/>
          <w:sz w:val="18"/>
        </w:rPr>
        <w:t>U.S.</w:t>
      </w:r>
      <w:r w:rsidRPr="00041D0F">
        <w:rPr>
          <w:rFonts w:ascii="Calibri" w:hAnsi="Calibri"/>
          <w:spacing w:val="10"/>
          <w:w w:val="105"/>
          <w:sz w:val="18"/>
        </w:rPr>
        <w:t xml:space="preserve"> </w:t>
      </w:r>
      <w:r w:rsidRPr="00041D0F">
        <w:rPr>
          <w:rFonts w:ascii="Calibri" w:hAnsi="Calibri"/>
          <w:w w:val="105"/>
          <w:sz w:val="18"/>
        </w:rPr>
        <w:t>Department</w:t>
      </w:r>
      <w:r w:rsidRPr="00041D0F">
        <w:rPr>
          <w:rFonts w:ascii="Calibri" w:hAnsi="Calibri"/>
          <w:spacing w:val="10"/>
          <w:w w:val="105"/>
          <w:sz w:val="18"/>
        </w:rPr>
        <w:t xml:space="preserve"> </w:t>
      </w:r>
      <w:r w:rsidRPr="00041D0F">
        <w:rPr>
          <w:rFonts w:ascii="Calibri" w:hAnsi="Calibri"/>
          <w:w w:val="105"/>
          <w:sz w:val="18"/>
        </w:rPr>
        <w:t>of</w:t>
      </w:r>
      <w:r w:rsidRPr="00041D0F">
        <w:rPr>
          <w:rFonts w:ascii="Calibri" w:hAnsi="Calibri"/>
          <w:spacing w:val="10"/>
          <w:w w:val="105"/>
          <w:sz w:val="18"/>
        </w:rPr>
        <w:t xml:space="preserve"> </w:t>
      </w:r>
      <w:r w:rsidRPr="00041D0F">
        <w:rPr>
          <w:rFonts w:ascii="Calibri" w:hAnsi="Calibri"/>
          <w:spacing w:val="-3"/>
          <w:w w:val="105"/>
          <w:sz w:val="18"/>
        </w:rPr>
        <w:t>Labor,</w:t>
      </w:r>
      <w:r w:rsidRPr="00041D0F">
        <w:rPr>
          <w:rFonts w:ascii="Calibri" w:hAnsi="Calibri"/>
          <w:spacing w:val="10"/>
          <w:w w:val="105"/>
          <w:sz w:val="18"/>
        </w:rPr>
        <w:t xml:space="preserve"> </w:t>
      </w:r>
      <w:r w:rsidRPr="00041D0F">
        <w:rPr>
          <w:rFonts w:ascii="Calibri" w:hAnsi="Calibri"/>
          <w:w w:val="105"/>
          <w:sz w:val="18"/>
        </w:rPr>
        <w:t>Bureau</w:t>
      </w:r>
      <w:r w:rsidRPr="00041D0F">
        <w:rPr>
          <w:rFonts w:ascii="Calibri" w:hAnsi="Calibri"/>
          <w:spacing w:val="10"/>
          <w:w w:val="105"/>
          <w:sz w:val="18"/>
        </w:rPr>
        <w:t xml:space="preserve"> </w:t>
      </w:r>
      <w:r w:rsidRPr="00041D0F">
        <w:rPr>
          <w:rFonts w:ascii="Calibri" w:hAnsi="Calibri"/>
          <w:w w:val="105"/>
          <w:sz w:val="18"/>
        </w:rPr>
        <w:t>of</w:t>
      </w:r>
      <w:r w:rsidRPr="00041D0F">
        <w:rPr>
          <w:rFonts w:ascii="Calibri" w:hAnsi="Calibri"/>
          <w:spacing w:val="10"/>
          <w:w w:val="105"/>
          <w:sz w:val="18"/>
        </w:rPr>
        <w:t xml:space="preserve"> </w:t>
      </w:r>
      <w:r w:rsidRPr="00041D0F">
        <w:rPr>
          <w:rFonts w:ascii="Calibri" w:hAnsi="Calibri"/>
          <w:w w:val="105"/>
          <w:sz w:val="18"/>
        </w:rPr>
        <w:t>Labor</w:t>
      </w:r>
      <w:r w:rsidRPr="00041D0F">
        <w:rPr>
          <w:rFonts w:ascii="Calibri" w:hAnsi="Calibri"/>
          <w:spacing w:val="10"/>
          <w:w w:val="105"/>
          <w:sz w:val="18"/>
        </w:rPr>
        <w:t xml:space="preserve"> </w:t>
      </w:r>
      <w:r w:rsidRPr="00041D0F">
        <w:rPr>
          <w:rFonts w:ascii="Calibri" w:hAnsi="Calibri"/>
          <w:w w:val="105"/>
          <w:sz w:val="18"/>
        </w:rPr>
        <w:t>Statistics,</w:t>
      </w:r>
      <w:r w:rsidRPr="00041D0F">
        <w:rPr>
          <w:rFonts w:ascii="Calibri" w:hAnsi="Calibri"/>
          <w:spacing w:val="10"/>
          <w:w w:val="105"/>
          <w:sz w:val="18"/>
        </w:rPr>
        <w:t xml:space="preserve"> </w:t>
      </w:r>
      <w:r w:rsidRPr="00041D0F">
        <w:rPr>
          <w:rFonts w:ascii="Calibri" w:hAnsi="Calibri"/>
          <w:w w:val="105"/>
          <w:sz w:val="18"/>
        </w:rPr>
        <w:t>Current</w:t>
      </w:r>
      <w:r w:rsidRPr="00041D0F">
        <w:rPr>
          <w:rFonts w:ascii="Calibri" w:hAnsi="Calibri"/>
          <w:spacing w:val="10"/>
          <w:w w:val="105"/>
          <w:sz w:val="18"/>
        </w:rPr>
        <w:t xml:space="preserve"> </w:t>
      </w:r>
      <w:r w:rsidRPr="00041D0F">
        <w:rPr>
          <w:rFonts w:ascii="Calibri" w:hAnsi="Calibri"/>
          <w:w w:val="105"/>
          <w:sz w:val="18"/>
        </w:rPr>
        <w:t>Employment</w:t>
      </w:r>
      <w:r w:rsidRPr="00041D0F">
        <w:rPr>
          <w:rFonts w:ascii="Calibri" w:hAnsi="Calibri"/>
          <w:spacing w:val="10"/>
          <w:w w:val="105"/>
          <w:sz w:val="18"/>
        </w:rPr>
        <w:t xml:space="preserve"> </w:t>
      </w:r>
      <w:r w:rsidRPr="00041D0F">
        <w:rPr>
          <w:rFonts w:ascii="Calibri" w:hAnsi="Calibri"/>
          <w:w w:val="105"/>
          <w:sz w:val="18"/>
        </w:rPr>
        <w:t>Statistics</w:t>
      </w:r>
      <w:r w:rsidRPr="00041D0F">
        <w:rPr>
          <w:rFonts w:ascii="Calibri" w:hAnsi="Calibri"/>
          <w:spacing w:val="10"/>
          <w:w w:val="105"/>
          <w:sz w:val="18"/>
        </w:rPr>
        <w:t xml:space="preserve"> </w:t>
      </w:r>
      <w:r w:rsidRPr="00041D0F">
        <w:rPr>
          <w:rFonts w:ascii="Calibri" w:hAnsi="Calibri"/>
          <w:w w:val="105"/>
          <w:sz w:val="18"/>
        </w:rPr>
        <w:t>Program,</w:t>
      </w:r>
      <w:r w:rsidRPr="00041D0F">
        <w:rPr>
          <w:rFonts w:ascii="Calibri" w:hAnsi="Calibri"/>
          <w:spacing w:val="10"/>
          <w:w w:val="105"/>
          <w:sz w:val="18"/>
        </w:rPr>
        <w:t xml:space="preserve"> </w:t>
      </w:r>
      <w:r>
        <w:rPr>
          <w:rFonts w:ascii="Calibri" w:hAnsi="Calibri"/>
          <w:color w:val="231F20"/>
          <w:w w:val="105"/>
          <w:sz w:val="18"/>
        </w:rPr>
        <w:t>Decem</w:t>
      </w:r>
      <w:r w:rsidRPr="00041D0F">
        <w:rPr>
          <w:rFonts w:ascii="Calibri" w:hAnsi="Calibri"/>
          <w:color w:val="231F20"/>
          <w:w w:val="105"/>
          <w:sz w:val="18"/>
        </w:rPr>
        <w:t>ber</w:t>
      </w:r>
      <w:r w:rsidRPr="00041D0F">
        <w:rPr>
          <w:rFonts w:ascii="Calibri" w:hAnsi="Calibri"/>
          <w:color w:val="231F20"/>
          <w:spacing w:val="10"/>
          <w:w w:val="105"/>
          <w:sz w:val="18"/>
        </w:rPr>
        <w:t xml:space="preserve"> </w:t>
      </w:r>
      <w:r>
        <w:rPr>
          <w:rFonts w:ascii="Calibri" w:hAnsi="Calibri"/>
          <w:color w:val="231F20"/>
          <w:w w:val="105"/>
          <w:sz w:val="18"/>
        </w:rPr>
        <w:t>2017.</w:t>
      </w:r>
    </w:p>
    <w:p w14:paraId="1EE95D61" w14:textId="77777777" w:rsidR="00002D76" w:rsidRPr="00EA7458" w:rsidRDefault="00002D76" w:rsidP="00002D76">
      <w:pPr>
        <w:widowControl w:val="0"/>
        <w:spacing w:after="0" w:line="240" w:lineRule="auto"/>
        <w:rPr>
          <w:rFonts w:ascii="Calibri" w:hAnsi="Calibri" w:cs="Calibri"/>
          <w:sz w:val="18"/>
          <w:szCs w:val="18"/>
        </w:rPr>
        <w:sectPr w:rsidR="00002D76" w:rsidRPr="00EA7458">
          <w:footerReference w:type="default" r:id="rId82"/>
          <w:pgSz w:w="12240" w:h="15840"/>
          <w:pgMar w:top="1620" w:right="900" w:bottom="820" w:left="900" w:header="812" w:footer="624" w:gutter="0"/>
          <w:cols w:space="720"/>
        </w:sectPr>
      </w:pPr>
    </w:p>
    <w:p w14:paraId="79B00C01" w14:textId="77777777" w:rsidR="00002D76" w:rsidRPr="00EA7458" w:rsidRDefault="00002D76" w:rsidP="00002D76">
      <w:pPr>
        <w:widowControl w:val="0"/>
        <w:spacing w:before="4" w:after="0" w:line="240" w:lineRule="auto"/>
        <w:rPr>
          <w:rFonts w:ascii="Calibri" w:hAnsi="Calibri" w:cs="Calibri"/>
          <w:sz w:val="14"/>
          <w:szCs w:val="14"/>
        </w:rPr>
      </w:pPr>
    </w:p>
    <w:p w14:paraId="71C98449" w14:textId="77777777" w:rsidR="00002D76" w:rsidRPr="00B266B7" w:rsidRDefault="00002D76" w:rsidP="00D63204">
      <w:pPr>
        <w:widowControl w:val="0"/>
        <w:spacing w:before="63" w:after="0" w:line="240" w:lineRule="auto"/>
        <w:ind w:left="107"/>
        <w:outlineLvl w:val="3"/>
        <w:rPr>
          <w:rFonts w:ascii="Gill Sans MT" w:hAnsi="Gill Sans MT"/>
        </w:rPr>
      </w:pPr>
      <w:bookmarkStart w:id="36" w:name="_bookmark24"/>
      <w:bookmarkEnd w:id="36"/>
      <w:r w:rsidRPr="00307D66">
        <w:rPr>
          <w:rFonts w:ascii="Gill Sans MT" w:hAnsi="Gill Sans MT"/>
          <w:b/>
          <w:i/>
          <w:color w:val="231F20"/>
        </w:rPr>
        <w:t>Manufacturing</w:t>
      </w:r>
    </w:p>
    <w:p w14:paraId="5AE4E386" w14:textId="7BC920DB" w:rsidR="00002D76" w:rsidRPr="00984FA2" w:rsidRDefault="00002D76" w:rsidP="00D63204">
      <w:pPr>
        <w:widowControl w:val="0"/>
        <w:spacing w:before="2" w:after="0" w:line="264" w:lineRule="exact"/>
        <w:ind w:left="107" w:right="381"/>
        <w:rPr>
          <w:rFonts w:ascii="Calibri" w:hAnsi="Calibri"/>
        </w:rPr>
      </w:pPr>
      <w:r w:rsidRPr="00B266B7">
        <w:rPr>
          <w:rFonts w:ascii="Calibri" w:hAnsi="Calibri"/>
          <w:color w:val="231F20"/>
          <w:w w:val="105"/>
        </w:rPr>
        <w:t>Manufacturing</w:t>
      </w:r>
      <w:r w:rsidRPr="00B266B7">
        <w:rPr>
          <w:rFonts w:ascii="Calibri" w:hAnsi="Calibri"/>
          <w:color w:val="231F20"/>
          <w:spacing w:val="12"/>
          <w:w w:val="105"/>
        </w:rPr>
        <w:t xml:space="preserve"> </w:t>
      </w:r>
      <w:r w:rsidRPr="00B266B7">
        <w:rPr>
          <w:rFonts w:ascii="Calibri" w:hAnsi="Calibri"/>
          <w:color w:val="231F20"/>
          <w:w w:val="105"/>
        </w:rPr>
        <w:t>in</w:t>
      </w:r>
      <w:r w:rsidRPr="00B266B7">
        <w:rPr>
          <w:rFonts w:ascii="Calibri" w:hAnsi="Calibri"/>
          <w:color w:val="231F20"/>
          <w:spacing w:val="12"/>
          <w:w w:val="105"/>
        </w:rPr>
        <w:t xml:space="preserve"> </w:t>
      </w:r>
      <w:r w:rsidRPr="00B266B7">
        <w:rPr>
          <w:rFonts w:ascii="Calibri" w:hAnsi="Calibri"/>
          <w:color w:val="231F20"/>
          <w:w w:val="105"/>
        </w:rPr>
        <w:t>Florida</w:t>
      </w:r>
      <w:r w:rsidRPr="00B266B7">
        <w:rPr>
          <w:rFonts w:ascii="Calibri" w:hAnsi="Calibri"/>
          <w:color w:val="231F20"/>
          <w:spacing w:val="12"/>
          <w:w w:val="105"/>
        </w:rPr>
        <w:t xml:space="preserve"> </w:t>
      </w:r>
      <w:r w:rsidRPr="00B266B7">
        <w:rPr>
          <w:rFonts w:ascii="Calibri" w:hAnsi="Calibri"/>
          <w:color w:val="231F20"/>
          <w:w w:val="105"/>
        </w:rPr>
        <w:t>is</w:t>
      </w:r>
      <w:r w:rsidRPr="00B266B7">
        <w:rPr>
          <w:rFonts w:ascii="Calibri" w:hAnsi="Calibri"/>
          <w:color w:val="231F20"/>
          <w:spacing w:val="12"/>
          <w:w w:val="105"/>
        </w:rPr>
        <w:t xml:space="preserve"> </w:t>
      </w:r>
      <w:r w:rsidRPr="00B266B7">
        <w:rPr>
          <w:rFonts w:ascii="Calibri" w:hAnsi="Calibri"/>
          <w:color w:val="231F20"/>
          <w:w w:val="105"/>
        </w:rPr>
        <w:t>heavily</w:t>
      </w:r>
      <w:r w:rsidRPr="00B266B7">
        <w:rPr>
          <w:rFonts w:ascii="Calibri" w:hAnsi="Calibri"/>
          <w:color w:val="231F20"/>
          <w:spacing w:val="12"/>
          <w:w w:val="105"/>
        </w:rPr>
        <w:t xml:space="preserve"> </w:t>
      </w:r>
      <w:r w:rsidRPr="00B266B7">
        <w:rPr>
          <w:rFonts w:ascii="Calibri" w:hAnsi="Calibri"/>
          <w:color w:val="231F20"/>
          <w:w w:val="105"/>
        </w:rPr>
        <w:t>dependent</w:t>
      </w:r>
      <w:r w:rsidRPr="00B266B7">
        <w:rPr>
          <w:rFonts w:ascii="Calibri" w:hAnsi="Calibri"/>
          <w:color w:val="231F20"/>
          <w:spacing w:val="12"/>
          <w:w w:val="105"/>
        </w:rPr>
        <w:t xml:space="preserve"> </w:t>
      </w:r>
      <w:r w:rsidRPr="00B266B7">
        <w:rPr>
          <w:rFonts w:ascii="Calibri" w:hAnsi="Calibri"/>
          <w:color w:val="231F20"/>
          <w:w w:val="105"/>
        </w:rPr>
        <w:t>on</w:t>
      </w:r>
      <w:r w:rsidRPr="00B266B7">
        <w:rPr>
          <w:rFonts w:ascii="Calibri" w:hAnsi="Calibri"/>
          <w:color w:val="231F20"/>
          <w:spacing w:val="12"/>
          <w:w w:val="105"/>
        </w:rPr>
        <w:t xml:space="preserve"> </w:t>
      </w:r>
      <w:r w:rsidRPr="00B266B7">
        <w:rPr>
          <w:rFonts w:ascii="Calibri" w:hAnsi="Calibri"/>
          <w:color w:val="231F20"/>
          <w:w w:val="105"/>
        </w:rPr>
        <w:t>construction</w:t>
      </w:r>
      <w:r w:rsidR="00D5537E">
        <w:rPr>
          <w:rFonts w:ascii="Calibri" w:hAnsi="Calibri"/>
          <w:color w:val="231F20"/>
          <w:w w:val="105"/>
        </w:rPr>
        <w:t xml:space="preserve"> and</w:t>
      </w:r>
      <w:r w:rsidRPr="00B266B7">
        <w:rPr>
          <w:rFonts w:ascii="Calibri" w:hAnsi="Calibri"/>
          <w:color w:val="231F20"/>
          <w:spacing w:val="12"/>
          <w:w w:val="105"/>
        </w:rPr>
        <w:t xml:space="preserve"> </w:t>
      </w:r>
      <w:r w:rsidRPr="00B266B7">
        <w:rPr>
          <w:rFonts w:ascii="Calibri" w:hAnsi="Calibri"/>
          <w:color w:val="231F20"/>
          <w:w w:val="105"/>
        </w:rPr>
        <w:t>several</w:t>
      </w:r>
      <w:r w:rsidRPr="00B266B7">
        <w:rPr>
          <w:rFonts w:ascii="Calibri" w:hAnsi="Calibri"/>
          <w:color w:val="231F20"/>
          <w:spacing w:val="12"/>
          <w:w w:val="105"/>
        </w:rPr>
        <w:t xml:space="preserve"> </w:t>
      </w:r>
      <w:r w:rsidRPr="00B266B7">
        <w:rPr>
          <w:rFonts w:ascii="Calibri" w:hAnsi="Calibri"/>
          <w:color w:val="231F20"/>
          <w:w w:val="105"/>
        </w:rPr>
        <w:t>subsectors</w:t>
      </w:r>
      <w:r w:rsidRPr="00B266B7">
        <w:rPr>
          <w:rFonts w:ascii="Calibri" w:hAnsi="Calibri"/>
          <w:color w:val="231F20"/>
          <w:spacing w:val="12"/>
          <w:w w:val="105"/>
        </w:rPr>
        <w:t xml:space="preserve"> </w:t>
      </w:r>
      <w:r w:rsidRPr="00B266B7">
        <w:rPr>
          <w:rFonts w:ascii="Calibri" w:hAnsi="Calibri"/>
          <w:color w:val="231F20"/>
          <w:w w:val="105"/>
        </w:rPr>
        <w:t>of</w:t>
      </w:r>
      <w:r w:rsidRPr="00B266B7">
        <w:rPr>
          <w:rFonts w:ascii="Calibri" w:hAnsi="Calibri"/>
          <w:color w:val="231F20"/>
          <w:spacing w:val="12"/>
          <w:w w:val="105"/>
        </w:rPr>
        <w:t xml:space="preserve"> </w:t>
      </w:r>
      <w:r w:rsidRPr="00B266B7">
        <w:rPr>
          <w:rFonts w:ascii="Calibri" w:hAnsi="Calibri"/>
          <w:color w:val="231F20"/>
          <w:w w:val="105"/>
        </w:rPr>
        <w:t>the</w:t>
      </w:r>
      <w:r w:rsidRPr="00B266B7">
        <w:rPr>
          <w:rFonts w:ascii="Calibri" w:hAnsi="Calibri"/>
          <w:color w:val="231F20"/>
          <w:spacing w:val="12"/>
          <w:w w:val="105"/>
        </w:rPr>
        <w:t xml:space="preserve"> </w:t>
      </w:r>
      <w:r w:rsidRPr="00B266B7">
        <w:rPr>
          <w:rFonts w:ascii="Calibri" w:hAnsi="Calibri"/>
          <w:color w:val="231F20"/>
          <w:w w:val="105"/>
        </w:rPr>
        <w:t>industry</w:t>
      </w:r>
      <w:r w:rsidRPr="00B266B7">
        <w:rPr>
          <w:rFonts w:ascii="Calibri" w:hAnsi="Calibri"/>
          <w:color w:val="231F20"/>
          <w:spacing w:val="-22"/>
          <w:w w:val="105"/>
        </w:rPr>
        <w:t xml:space="preserve"> </w:t>
      </w:r>
      <w:r w:rsidRPr="00B266B7">
        <w:rPr>
          <w:rFonts w:ascii="Calibri" w:hAnsi="Calibri"/>
          <w:color w:val="231F20"/>
          <w:w w:val="105"/>
        </w:rPr>
        <w:t>lost</w:t>
      </w:r>
      <w:r w:rsidRPr="00B266B7">
        <w:rPr>
          <w:rFonts w:ascii="Calibri" w:hAnsi="Calibri"/>
          <w:color w:val="231F20"/>
          <w:spacing w:val="14"/>
          <w:w w:val="105"/>
        </w:rPr>
        <w:t xml:space="preserve"> </w:t>
      </w:r>
      <w:r w:rsidRPr="00B266B7">
        <w:rPr>
          <w:rFonts w:ascii="Calibri" w:hAnsi="Calibri"/>
          <w:color w:val="231F20"/>
          <w:w w:val="105"/>
        </w:rPr>
        <w:t>jobs</w:t>
      </w:r>
      <w:r w:rsidRPr="00B266B7">
        <w:rPr>
          <w:rFonts w:ascii="Calibri" w:hAnsi="Calibri"/>
          <w:color w:val="231F20"/>
          <w:spacing w:val="14"/>
          <w:w w:val="105"/>
        </w:rPr>
        <w:t xml:space="preserve"> </w:t>
      </w:r>
      <w:r w:rsidRPr="00B266B7">
        <w:rPr>
          <w:rFonts w:ascii="Calibri" w:hAnsi="Calibri"/>
          <w:color w:val="231F20"/>
          <w:w w:val="105"/>
        </w:rPr>
        <w:t>due</w:t>
      </w:r>
      <w:r w:rsidRPr="00B266B7">
        <w:rPr>
          <w:rFonts w:ascii="Calibri" w:hAnsi="Calibri"/>
          <w:color w:val="231F20"/>
          <w:spacing w:val="14"/>
          <w:w w:val="105"/>
        </w:rPr>
        <w:t xml:space="preserve"> </w:t>
      </w:r>
      <w:r w:rsidRPr="00B266B7">
        <w:rPr>
          <w:rFonts w:ascii="Calibri" w:hAnsi="Calibri"/>
          <w:color w:val="231F20"/>
          <w:w w:val="105"/>
        </w:rPr>
        <w:t>to</w:t>
      </w:r>
      <w:r w:rsidRPr="00B266B7">
        <w:rPr>
          <w:rFonts w:ascii="Calibri" w:hAnsi="Calibri"/>
          <w:color w:val="231F20"/>
          <w:spacing w:val="14"/>
          <w:w w:val="105"/>
        </w:rPr>
        <w:t xml:space="preserve"> </w:t>
      </w:r>
      <w:r w:rsidRPr="00B266B7">
        <w:rPr>
          <w:rFonts w:ascii="Calibri" w:hAnsi="Calibri"/>
          <w:color w:val="231F20"/>
          <w:w w:val="105"/>
        </w:rPr>
        <w:t>the</w:t>
      </w:r>
      <w:r w:rsidRPr="00B266B7">
        <w:rPr>
          <w:rFonts w:ascii="Calibri" w:hAnsi="Calibri"/>
          <w:color w:val="231F20"/>
          <w:spacing w:val="14"/>
          <w:w w:val="105"/>
        </w:rPr>
        <w:t xml:space="preserve"> </w:t>
      </w:r>
      <w:r w:rsidRPr="00B266B7">
        <w:rPr>
          <w:rFonts w:ascii="Calibri" w:hAnsi="Calibri"/>
          <w:color w:val="231F20"/>
          <w:w w:val="105"/>
        </w:rPr>
        <w:t>decline</w:t>
      </w:r>
      <w:r w:rsidRPr="00B266B7">
        <w:rPr>
          <w:rFonts w:ascii="Calibri" w:hAnsi="Calibri"/>
          <w:color w:val="231F20"/>
          <w:spacing w:val="14"/>
          <w:w w:val="105"/>
        </w:rPr>
        <w:t xml:space="preserve"> </w:t>
      </w:r>
      <w:r w:rsidRPr="00B266B7">
        <w:rPr>
          <w:rFonts w:ascii="Calibri" w:hAnsi="Calibri"/>
          <w:color w:val="231F20"/>
          <w:w w:val="105"/>
        </w:rPr>
        <w:t>in</w:t>
      </w:r>
      <w:r w:rsidRPr="00B266B7">
        <w:rPr>
          <w:rFonts w:ascii="Calibri" w:hAnsi="Calibri"/>
          <w:color w:val="231F20"/>
          <w:spacing w:val="14"/>
          <w:w w:val="105"/>
        </w:rPr>
        <w:t xml:space="preserve"> </w:t>
      </w:r>
      <w:r w:rsidRPr="00B266B7">
        <w:rPr>
          <w:rFonts w:ascii="Calibri" w:hAnsi="Calibri"/>
          <w:color w:val="231F20"/>
          <w:w w:val="105"/>
        </w:rPr>
        <w:t>housing</w:t>
      </w:r>
      <w:r w:rsidRPr="00B266B7">
        <w:rPr>
          <w:rFonts w:ascii="Calibri" w:hAnsi="Calibri"/>
          <w:color w:val="231F20"/>
          <w:spacing w:val="14"/>
          <w:w w:val="105"/>
        </w:rPr>
        <w:t xml:space="preserve"> </w:t>
      </w:r>
      <w:r w:rsidRPr="00B266B7">
        <w:rPr>
          <w:rFonts w:ascii="Calibri" w:hAnsi="Calibri"/>
          <w:color w:val="231F20"/>
          <w:w w:val="105"/>
        </w:rPr>
        <w:t>activity</w:t>
      </w:r>
      <w:r w:rsidR="005E7C49">
        <w:rPr>
          <w:rFonts w:ascii="Calibri" w:hAnsi="Calibri"/>
          <w:color w:val="231F20"/>
          <w:w w:val="105"/>
        </w:rPr>
        <w:t xml:space="preserve">. </w:t>
      </w:r>
      <w:r w:rsidRPr="00B266B7">
        <w:rPr>
          <w:rFonts w:ascii="Calibri" w:hAnsi="Calibri"/>
          <w:color w:val="231F20"/>
          <w:w w:val="105"/>
        </w:rPr>
        <w:t>From</w:t>
      </w:r>
      <w:r w:rsidRPr="00B266B7">
        <w:rPr>
          <w:rFonts w:ascii="Calibri" w:hAnsi="Calibri"/>
          <w:color w:val="231F20"/>
          <w:spacing w:val="14"/>
          <w:w w:val="105"/>
        </w:rPr>
        <w:t xml:space="preserve"> </w:t>
      </w:r>
      <w:r w:rsidRPr="00B266B7">
        <w:rPr>
          <w:rFonts w:ascii="Calibri" w:hAnsi="Calibri"/>
          <w:color w:val="231F20"/>
          <w:w w:val="105"/>
        </w:rPr>
        <w:t>2003</w:t>
      </w:r>
      <w:r w:rsidRPr="00B266B7">
        <w:rPr>
          <w:rFonts w:ascii="Calibri" w:hAnsi="Calibri"/>
          <w:color w:val="231F20"/>
          <w:spacing w:val="14"/>
          <w:w w:val="105"/>
        </w:rPr>
        <w:t xml:space="preserve"> </w:t>
      </w:r>
      <w:r w:rsidRPr="00B266B7">
        <w:rPr>
          <w:rFonts w:ascii="Calibri" w:hAnsi="Calibri"/>
          <w:color w:val="231F20"/>
          <w:w w:val="105"/>
        </w:rPr>
        <w:t>to</w:t>
      </w:r>
      <w:r w:rsidRPr="00B266B7">
        <w:rPr>
          <w:rFonts w:ascii="Calibri" w:hAnsi="Calibri"/>
          <w:color w:val="231F20"/>
          <w:spacing w:val="14"/>
          <w:w w:val="105"/>
        </w:rPr>
        <w:t xml:space="preserve"> </w:t>
      </w:r>
      <w:r w:rsidRPr="00B266B7">
        <w:rPr>
          <w:rFonts w:ascii="Calibri" w:hAnsi="Calibri"/>
          <w:color w:val="231F20"/>
          <w:w w:val="105"/>
        </w:rPr>
        <w:t>2006,</w:t>
      </w:r>
      <w:r w:rsidRPr="00B266B7">
        <w:rPr>
          <w:rFonts w:ascii="Calibri" w:hAnsi="Calibri"/>
          <w:color w:val="231F20"/>
          <w:spacing w:val="14"/>
          <w:w w:val="105"/>
        </w:rPr>
        <w:t xml:space="preserve"> </w:t>
      </w:r>
      <w:r w:rsidRPr="00B266B7">
        <w:rPr>
          <w:rFonts w:ascii="Calibri" w:hAnsi="Calibri"/>
          <w:color w:val="231F20"/>
          <w:w w:val="105"/>
        </w:rPr>
        <w:t>manufacturing</w:t>
      </w:r>
      <w:r w:rsidRPr="00B266B7">
        <w:rPr>
          <w:rFonts w:ascii="Calibri" w:hAnsi="Calibri"/>
          <w:color w:val="231F20"/>
          <w:spacing w:val="14"/>
          <w:w w:val="105"/>
        </w:rPr>
        <w:t xml:space="preserve"> </w:t>
      </w:r>
      <w:r w:rsidRPr="00B266B7">
        <w:rPr>
          <w:rFonts w:ascii="Calibri" w:hAnsi="Calibri"/>
          <w:color w:val="231F20"/>
          <w:w w:val="105"/>
        </w:rPr>
        <w:t>employment</w:t>
      </w:r>
      <w:r w:rsidRPr="00B266B7">
        <w:rPr>
          <w:rFonts w:ascii="Calibri" w:hAnsi="Calibri"/>
          <w:color w:val="231F20"/>
          <w:spacing w:val="14"/>
          <w:w w:val="105"/>
        </w:rPr>
        <w:t xml:space="preserve"> </w:t>
      </w:r>
      <w:r w:rsidRPr="00B266B7">
        <w:rPr>
          <w:rFonts w:ascii="Calibri" w:hAnsi="Calibri"/>
          <w:color w:val="231F20"/>
          <w:w w:val="105"/>
        </w:rPr>
        <w:t>began</w:t>
      </w:r>
      <w:r w:rsidRPr="00B266B7">
        <w:rPr>
          <w:rFonts w:ascii="Calibri" w:hAnsi="Calibri"/>
          <w:color w:val="231F20"/>
          <w:spacing w:val="-35"/>
          <w:w w:val="105"/>
        </w:rPr>
        <w:t xml:space="preserve"> </w:t>
      </w:r>
      <w:r w:rsidRPr="00B266B7">
        <w:rPr>
          <w:rFonts w:ascii="Calibri" w:hAnsi="Calibri"/>
          <w:color w:val="231F20"/>
          <w:w w:val="105"/>
        </w:rPr>
        <w:t>to</w:t>
      </w:r>
      <w:r w:rsidRPr="00B266B7">
        <w:rPr>
          <w:rFonts w:ascii="Calibri" w:hAnsi="Calibri"/>
          <w:color w:val="231F20"/>
          <w:spacing w:val="13"/>
          <w:w w:val="105"/>
        </w:rPr>
        <w:t xml:space="preserve"> </w:t>
      </w:r>
      <w:r w:rsidRPr="00B266B7">
        <w:rPr>
          <w:rFonts w:ascii="Calibri" w:hAnsi="Calibri"/>
          <w:color w:val="231F20"/>
          <w:w w:val="105"/>
        </w:rPr>
        <w:t>ramp</w:t>
      </w:r>
      <w:r w:rsidRPr="00B266B7">
        <w:rPr>
          <w:rFonts w:ascii="Calibri" w:hAnsi="Calibri"/>
          <w:color w:val="231F20"/>
          <w:spacing w:val="13"/>
          <w:w w:val="105"/>
        </w:rPr>
        <w:t xml:space="preserve"> </w:t>
      </w:r>
      <w:r w:rsidRPr="00B266B7">
        <w:rPr>
          <w:rFonts w:ascii="Calibri" w:hAnsi="Calibri"/>
          <w:color w:val="231F20"/>
          <w:w w:val="105"/>
        </w:rPr>
        <w:t>up</w:t>
      </w:r>
      <w:r w:rsidRPr="00B266B7">
        <w:rPr>
          <w:rFonts w:ascii="Calibri" w:hAnsi="Calibri"/>
          <w:color w:val="231F20"/>
          <w:spacing w:val="13"/>
          <w:w w:val="105"/>
        </w:rPr>
        <w:t xml:space="preserve"> </w:t>
      </w:r>
      <w:r w:rsidRPr="00B266B7">
        <w:rPr>
          <w:rFonts w:ascii="Calibri" w:hAnsi="Calibri"/>
          <w:color w:val="231F20"/>
          <w:w w:val="105"/>
        </w:rPr>
        <w:t>until</w:t>
      </w:r>
      <w:r w:rsidRPr="00B266B7">
        <w:rPr>
          <w:rFonts w:ascii="Calibri" w:hAnsi="Calibri"/>
          <w:color w:val="231F20"/>
          <w:spacing w:val="13"/>
          <w:w w:val="105"/>
        </w:rPr>
        <w:t xml:space="preserve"> </w:t>
      </w:r>
      <w:r w:rsidRPr="00B266B7">
        <w:rPr>
          <w:rFonts w:ascii="Calibri" w:hAnsi="Calibri"/>
          <w:color w:val="231F20"/>
          <w:w w:val="105"/>
        </w:rPr>
        <w:t>the</w:t>
      </w:r>
      <w:r w:rsidRPr="00B266B7">
        <w:rPr>
          <w:rFonts w:ascii="Calibri" w:hAnsi="Calibri"/>
          <w:color w:val="231F20"/>
          <w:spacing w:val="13"/>
          <w:w w:val="105"/>
        </w:rPr>
        <w:t xml:space="preserve"> </w:t>
      </w:r>
      <w:r w:rsidRPr="00B266B7">
        <w:rPr>
          <w:rFonts w:ascii="Calibri" w:hAnsi="Calibri"/>
          <w:color w:val="231F20"/>
          <w:w w:val="105"/>
        </w:rPr>
        <w:t>housing</w:t>
      </w:r>
      <w:r w:rsidRPr="00B266B7">
        <w:rPr>
          <w:rFonts w:ascii="Calibri" w:hAnsi="Calibri"/>
          <w:color w:val="231F20"/>
          <w:spacing w:val="13"/>
          <w:w w:val="105"/>
        </w:rPr>
        <w:t xml:space="preserve"> </w:t>
      </w:r>
      <w:r w:rsidRPr="00B266B7">
        <w:rPr>
          <w:rFonts w:ascii="Calibri" w:hAnsi="Calibri"/>
          <w:color w:val="231F20"/>
          <w:w w:val="105"/>
        </w:rPr>
        <w:t>bubble</w:t>
      </w:r>
      <w:r w:rsidRPr="00B266B7">
        <w:rPr>
          <w:rFonts w:ascii="Calibri" w:hAnsi="Calibri"/>
          <w:color w:val="231F20"/>
          <w:spacing w:val="13"/>
          <w:w w:val="105"/>
        </w:rPr>
        <w:t xml:space="preserve"> </w:t>
      </w:r>
      <w:r w:rsidRPr="00B266B7">
        <w:rPr>
          <w:rFonts w:ascii="Calibri" w:hAnsi="Calibri"/>
          <w:color w:val="231F20"/>
          <w:w w:val="105"/>
        </w:rPr>
        <w:t>burst</w:t>
      </w:r>
      <w:r w:rsidR="005E7C49">
        <w:rPr>
          <w:rFonts w:ascii="Calibri" w:hAnsi="Calibri"/>
          <w:color w:val="231F20"/>
          <w:w w:val="105"/>
        </w:rPr>
        <w:t xml:space="preserve">. </w:t>
      </w:r>
      <w:r w:rsidRPr="00B266B7">
        <w:rPr>
          <w:rFonts w:ascii="Calibri" w:hAnsi="Calibri"/>
          <w:color w:val="231F20"/>
          <w:w w:val="105"/>
        </w:rPr>
        <w:t>During</w:t>
      </w:r>
      <w:r w:rsidRPr="00B266B7">
        <w:rPr>
          <w:rFonts w:ascii="Calibri" w:hAnsi="Calibri"/>
          <w:color w:val="231F20"/>
          <w:spacing w:val="13"/>
          <w:w w:val="105"/>
        </w:rPr>
        <w:t xml:space="preserve"> </w:t>
      </w:r>
      <w:r w:rsidRPr="00B266B7">
        <w:rPr>
          <w:rFonts w:ascii="Calibri" w:hAnsi="Calibri"/>
          <w:color w:val="231F20"/>
          <w:w w:val="105"/>
        </w:rPr>
        <w:t>the</w:t>
      </w:r>
      <w:r w:rsidRPr="00B266B7">
        <w:rPr>
          <w:rFonts w:ascii="Calibri" w:hAnsi="Calibri"/>
          <w:color w:val="231F20"/>
          <w:spacing w:val="13"/>
          <w:w w:val="105"/>
        </w:rPr>
        <w:t xml:space="preserve"> </w:t>
      </w:r>
      <w:r w:rsidRPr="00B266B7">
        <w:rPr>
          <w:rFonts w:ascii="Calibri" w:hAnsi="Calibri"/>
          <w:color w:val="231F20"/>
          <w:w w:val="105"/>
        </w:rPr>
        <w:t>recession,</w:t>
      </w:r>
      <w:r w:rsidRPr="00B266B7">
        <w:rPr>
          <w:rFonts w:ascii="Calibri" w:hAnsi="Calibri"/>
          <w:color w:val="231F20"/>
          <w:spacing w:val="13"/>
          <w:w w:val="105"/>
        </w:rPr>
        <w:t xml:space="preserve"> </w:t>
      </w:r>
      <w:r w:rsidRPr="00B266B7">
        <w:rPr>
          <w:rFonts w:ascii="Calibri" w:hAnsi="Calibri"/>
          <w:color w:val="231F20"/>
          <w:w w:val="105"/>
        </w:rPr>
        <w:t>there</w:t>
      </w:r>
      <w:r w:rsidRPr="00B266B7">
        <w:rPr>
          <w:rFonts w:ascii="Calibri" w:hAnsi="Calibri"/>
          <w:color w:val="231F20"/>
          <w:spacing w:val="13"/>
          <w:w w:val="105"/>
        </w:rPr>
        <w:t xml:space="preserve"> </w:t>
      </w:r>
      <w:r w:rsidRPr="00B266B7">
        <w:rPr>
          <w:rFonts w:ascii="Calibri" w:hAnsi="Calibri"/>
          <w:color w:val="231F20"/>
          <w:w w:val="105"/>
        </w:rPr>
        <w:t>was</w:t>
      </w:r>
      <w:r w:rsidRPr="00B266B7">
        <w:rPr>
          <w:rFonts w:ascii="Calibri" w:hAnsi="Calibri"/>
          <w:color w:val="231F20"/>
          <w:spacing w:val="13"/>
          <w:w w:val="105"/>
        </w:rPr>
        <w:t xml:space="preserve"> </w:t>
      </w:r>
      <w:r w:rsidRPr="00B266B7">
        <w:rPr>
          <w:rFonts w:ascii="Calibri" w:hAnsi="Calibri"/>
          <w:color w:val="231F20"/>
          <w:w w:val="105"/>
        </w:rPr>
        <w:t>a</w:t>
      </w:r>
      <w:r w:rsidRPr="00B266B7">
        <w:rPr>
          <w:rFonts w:ascii="Calibri" w:hAnsi="Calibri"/>
          <w:color w:val="231F20"/>
          <w:spacing w:val="13"/>
          <w:w w:val="105"/>
        </w:rPr>
        <w:t xml:space="preserve"> </w:t>
      </w:r>
      <w:r w:rsidRPr="00B266B7">
        <w:rPr>
          <w:rFonts w:ascii="Calibri" w:hAnsi="Calibri"/>
          <w:color w:val="231F20"/>
          <w:w w:val="105"/>
        </w:rPr>
        <w:t>rapid</w:t>
      </w:r>
      <w:r w:rsidRPr="00B266B7">
        <w:rPr>
          <w:rFonts w:ascii="Calibri" w:hAnsi="Calibri"/>
          <w:color w:val="231F20"/>
          <w:spacing w:val="13"/>
          <w:w w:val="105"/>
        </w:rPr>
        <w:t xml:space="preserve"> </w:t>
      </w:r>
      <w:r w:rsidRPr="00B266B7">
        <w:rPr>
          <w:rFonts w:ascii="Calibri" w:hAnsi="Calibri"/>
          <w:color w:val="231F20"/>
          <w:w w:val="105"/>
        </w:rPr>
        <w:t>decrease</w:t>
      </w:r>
      <w:r w:rsidRPr="00B266B7">
        <w:rPr>
          <w:rFonts w:ascii="Calibri" w:hAnsi="Calibri"/>
          <w:color w:val="231F20"/>
          <w:spacing w:val="13"/>
          <w:w w:val="105"/>
        </w:rPr>
        <w:t xml:space="preserve"> </w:t>
      </w:r>
      <w:r w:rsidRPr="00B266B7">
        <w:rPr>
          <w:rFonts w:ascii="Calibri" w:hAnsi="Calibri"/>
          <w:color w:val="231F20"/>
          <w:w w:val="105"/>
        </w:rPr>
        <w:t>in</w:t>
      </w:r>
      <w:r w:rsidRPr="00B266B7">
        <w:rPr>
          <w:rFonts w:ascii="Calibri" w:hAnsi="Calibri"/>
          <w:color w:val="231F20"/>
          <w:w w:val="102"/>
        </w:rPr>
        <w:t xml:space="preserve"> </w:t>
      </w:r>
      <w:r w:rsidRPr="00984FA2">
        <w:rPr>
          <w:rFonts w:ascii="Calibri" w:hAnsi="Calibri"/>
          <w:color w:val="231F20"/>
          <w:w w:val="105"/>
        </w:rPr>
        <w:t>manufacturing employment until 2010</w:t>
      </w:r>
      <w:r w:rsidR="005E7C49">
        <w:rPr>
          <w:rFonts w:ascii="Calibri" w:hAnsi="Calibri"/>
          <w:color w:val="231F20"/>
          <w:w w:val="105"/>
        </w:rPr>
        <w:t xml:space="preserve">. </w:t>
      </w:r>
      <w:r w:rsidRPr="00984FA2">
        <w:rPr>
          <w:rFonts w:ascii="Calibri" w:hAnsi="Calibri"/>
          <w:color w:val="231F20"/>
          <w:w w:val="105"/>
        </w:rPr>
        <w:t>Since the low in March 2010 (308,000 employ</w:t>
      </w:r>
      <w:r w:rsidR="00E83597">
        <w:rPr>
          <w:rFonts w:ascii="Calibri" w:hAnsi="Calibri"/>
          <w:color w:val="231F20"/>
          <w:w w:val="105"/>
        </w:rPr>
        <w:t>ed</w:t>
      </w:r>
      <w:r w:rsidRPr="00984FA2">
        <w:rPr>
          <w:rFonts w:ascii="Calibri" w:hAnsi="Calibri"/>
          <w:color w:val="231F20"/>
          <w:w w:val="105"/>
        </w:rPr>
        <w:t>), 64,600 jobs in the industry have been recovered.</w:t>
      </w:r>
    </w:p>
    <w:p w14:paraId="19F96107" w14:textId="77777777" w:rsidR="00002D76" w:rsidRPr="00984FA2" w:rsidRDefault="00002D76" w:rsidP="00D63204">
      <w:pPr>
        <w:widowControl w:val="0"/>
        <w:spacing w:before="5" w:after="0" w:line="240" w:lineRule="auto"/>
        <w:rPr>
          <w:rFonts w:ascii="Calibri" w:hAnsi="Calibri" w:cs="Calibri"/>
          <w:sz w:val="16"/>
          <w:szCs w:val="16"/>
        </w:rPr>
      </w:pPr>
    </w:p>
    <w:p w14:paraId="0F0BF8C0" w14:textId="7068E80E" w:rsidR="00002D76" w:rsidRPr="00984FA2" w:rsidRDefault="00002D76" w:rsidP="00D63204">
      <w:pPr>
        <w:widowControl w:val="0"/>
        <w:spacing w:after="0" w:line="264" w:lineRule="exact"/>
        <w:ind w:left="107" w:right="229"/>
        <w:rPr>
          <w:rFonts w:ascii="Calibri" w:hAnsi="Calibri"/>
        </w:rPr>
      </w:pPr>
      <w:r w:rsidRPr="00984FA2">
        <w:rPr>
          <w:rFonts w:ascii="Calibri" w:hAnsi="Calibri"/>
          <w:color w:val="231F20"/>
          <w:w w:val="105"/>
        </w:rPr>
        <w:t>In</w:t>
      </w:r>
      <w:r w:rsidRPr="00984FA2">
        <w:rPr>
          <w:rFonts w:ascii="Calibri" w:hAnsi="Calibri"/>
          <w:color w:val="231F20"/>
          <w:spacing w:val="17"/>
          <w:w w:val="105"/>
        </w:rPr>
        <w:t xml:space="preserve"> </w:t>
      </w:r>
      <w:r w:rsidRPr="00984FA2">
        <w:rPr>
          <w:rFonts w:ascii="Calibri" w:hAnsi="Calibri"/>
          <w:color w:val="231F20"/>
          <w:w w:val="105"/>
        </w:rPr>
        <w:t>November 2017,</w:t>
      </w:r>
      <w:r w:rsidRPr="00984FA2">
        <w:rPr>
          <w:rFonts w:ascii="Calibri" w:hAnsi="Calibri"/>
          <w:color w:val="231F20"/>
          <w:spacing w:val="17"/>
          <w:w w:val="105"/>
        </w:rPr>
        <w:t xml:space="preserve"> </w:t>
      </w:r>
      <w:r w:rsidRPr="00984FA2">
        <w:rPr>
          <w:rFonts w:ascii="Calibri" w:hAnsi="Calibri"/>
          <w:color w:val="231F20"/>
          <w:w w:val="105"/>
        </w:rPr>
        <w:t>the</w:t>
      </w:r>
      <w:r w:rsidRPr="00984FA2">
        <w:rPr>
          <w:rFonts w:ascii="Calibri" w:hAnsi="Calibri"/>
          <w:color w:val="231F20"/>
          <w:spacing w:val="17"/>
          <w:w w:val="105"/>
        </w:rPr>
        <w:t xml:space="preserve"> </w:t>
      </w:r>
      <w:r w:rsidRPr="00984FA2">
        <w:rPr>
          <w:rFonts w:ascii="Calibri" w:hAnsi="Calibri"/>
          <w:color w:val="231F20"/>
          <w:w w:val="105"/>
        </w:rPr>
        <w:t>employment</w:t>
      </w:r>
      <w:r w:rsidRPr="00984FA2">
        <w:rPr>
          <w:rFonts w:ascii="Calibri" w:hAnsi="Calibri"/>
          <w:color w:val="231F20"/>
          <w:spacing w:val="17"/>
          <w:w w:val="105"/>
        </w:rPr>
        <w:t xml:space="preserve"> </w:t>
      </w:r>
      <w:r w:rsidRPr="00984FA2">
        <w:rPr>
          <w:rFonts w:ascii="Calibri" w:hAnsi="Calibri"/>
          <w:color w:val="231F20"/>
          <w:w w:val="105"/>
        </w:rPr>
        <w:t>was</w:t>
      </w:r>
      <w:r w:rsidRPr="00984FA2">
        <w:rPr>
          <w:rFonts w:ascii="Calibri" w:hAnsi="Calibri"/>
          <w:color w:val="231F20"/>
          <w:spacing w:val="17"/>
          <w:w w:val="105"/>
        </w:rPr>
        <w:t xml:space="preserve"> </w:t>
      </w:r>
      <w:r w:rsidRPr="00984FA2">
        <w:rPr>
          <w:rFonts w:ascii="Calibri" w:hAnsi="Calibri"/>
          <w:color w:val="231F20"/>
          <w:w w:val="105"/>
        </w:rPr>
        <w:t>372,600</w:t>
      </w:r>
      <w:r w:rsidR="005E7C49">
        <w:rPr>
          <w:rFonts w:ascii="Calibri" w:hAnsi="Calibri"/>
          <w:color w:val="231F20"/>
          <w:w w:val="105"/>
        </w:rPr>
        <w:t xml:space="preserve">. </w:t>
      </w:r>
      <w:r w:rsidRPr="00984FA2">
        <w:rPr>
          <w:rFonts w:ascii="Calibri" w:hAnsi="Calibri"/>
          <w:color w:val="231F20"/>
          <w:w w:val="105"/>
        </w:rPr>
        <w:t>The</w:t>
      </w:r>
      <w:r w:rsidRPr="00984FA2">
        <w:rPr>
          <w:rFonts w:ascii="Calibri" w:hAnsi="Calibri"/>
          <w:color w:val="231F20"/>
          <w:spacing w:val="17"/>
          <w:w w:val="105"/>
        </w:rPr>
        <w:t xml:space="preserve"> </w:t>
      </w:r>
      <w:r w:rsidRPr="00984FA2">
        <w:rPr>
          <w:rFonts w:ascii="Calibri" w:hAnsi="Calibri"/>
          <w:color w:val="231F20"/>
          <w:w w:val="105"/>
        </w:rPr>
        <w:t>over</w:t>
      </w:r>
      <w:r w:rsidR="000276DB">
        <w:rPr>
          <w:rFonts w:ascii="Calibri" w:hAnsi="Calibri"/>
          <w:color w:val="231F20"/>
          <w:spacing w:val="17"/>
          <w:w w:val="105"/>
        </w:rPr>
        <w:t>-</w:t>
      </w:r>
      <w:r w:rsidRPr="00984FA2">
        <w:rPr>
          <w:rFonts w:ascii="Calibri" w:hAnsi="Calibri"/>
          <w:color w:val="231F20"/>
          <w:w w:val="105"/>
        </w:rPr>
        <w:t>the</w:t>
      </w:r>
      <w:r w:rsidR="000276DB">
        <w:rPr>
          <w:rFonts w:ascii="Calibri" w:hAnsi="Calibri"/>
          <w:color w:val="231F20"/>
          <w:spacing w:val="17"/>
          <w:w w:val="105"/>
        </w:rPr>
        <w:t>-</w:t>
      </w:r>
      <w:r w:rsidRPr="00984FA2">
        <w:rPr>
          <w:rFonts w:ascii="Calibri" w:hAnsi="Calibri"/>
          <w:color w:val="231F20"/>
          <w:w w:val="105"/>
        </w:rPr>
        <w:t>year</w:t>
      </w:r>
      <w:r w:rsidRPr="00984FA2">
        <w:rPr>
          <w:rFonts w:ascii="Calibri" w:hAnsi="Calibri"/>
          <w:color w:val="231F20"/>
          <w:spacing w:val="17"/>
          <w:w w:val="105"/>
        </w:rPr>
        <w:t xml:space="preserve"> </w:t>
      </w:r>
      <w:r w:rsidRPr="00984FA2">
        <w:rPr>
          <w:rFonts w:ascii="Calibri" w:hAnsi="Calibri"/>
          <w:color w:val="231F20"/>
          <w:w w:val="105"/>
        </w:rPr>
        <w:t>change</w:t>
      </w:r>
      <w:r w:rsidRPr="00984FA2">
        <w:rPr>
          <w:rFonts w:ascii="Calibri" w:hAnsi="Calibri"/>
          <w:color w:val="231F20"/>
          <w:spacing w:val="17"/>
          <w:w w:val="105"/>
        </w:rPr>
        <w:t xml:space="preserve"> </w:t>
      </w:r>
      <w:r w:rsidRPr="00984FA2">
        <w:rPr>
          <w:rFonts w:ascii="Calibri" w:hAnsi="Calibri"/>
          <w:color w:val="231F20"/>
          <w:w w:val="105"/>
        </w:rPr>
        <w:t>in</w:t>
      </w:r>
      <w:r w:rsidRPr="00984FA2">
        <w:rPr>
          <w:rFonts w:ascii="Calibri" w:hAnsi="Calibri"/>
          <w:color w:val="231F20"/>
          <w:spacing w:val="17"/>
          <w:w w:val="105"/>
        </w:rPr>
        <w:t xml:space="preserve"> </w:t>
      </w:r>
      <w:r w:rsidRPr="00984FA2">
        <w:rPr>
          <w:rFonts w:ascii="Calibri" w:hAnsi="Calibri"/>
          <w:color w:val="231F20"/>
          <w:w w:val="105"/>
        </w:rPr>
        <w:t>November 2017 (+14,100</w:t>
      </w:r>
      <w:r w:rsidRPr="00984FA2">
        <w:rPr>
          <w:rFonts w:ascii="Calibri" w:hAnsi="Calibri"/>
          <w:color w:val="231F20"/>
          <w:spacing w:val="-41"/>
          <w:w w:val="105"/>
        </w:rPr>
        <w:t xml:space="preserve"> </w:t>
      </w:r>
      <w:r w:rsidRPr="00984FA2">
        <w:rPr>
          <w:rFonts w:ascii="Calibri" w:hAnsi="Calibri"/>
          <w:color w:val="231F20"/>
          <w:w w:val="105"/>
        </w:rPr>
        <w:t xml:space="preserve">jobs, </w:t>
      </w:r>
      <w:r w:rsidRPr="00984FA2">
        <w:rPr>
          <w:rFonts w:ascii="Calibri" w:hAnsi="Calibri"/>
          <w:color w:val="231F20"/>
          <w:spacing w:val="-6"/>
          <w:w w:val="105"/>
        </w:rPr>
        <w:t xml:space="preserve">+3.9 </w:t>
      </w:r>
      <w:r w:rsidRPr="00984FA2">
        <w:rPr>
          <w:rFonts w:ascii="Calibri" w:hAnsi="Calibri"/>
          <w:color w:val="231F20"/>
          <w:w w:val="105"/>
        </w:rPr>
        <w:t>percent) was 4,300 higher when compared to November 2016 (+9,800, +2.8 percent)</w:t>
      </w:r>
      <w:r w:rsidR="005E7C49">
        <w:rPr>
          <w:rFonts w:ascii="Calibri" w:hAnsi="Calibri"/>
          <w:color w:val="231F20"/>
          <w:w w:val="105"/>
        </w:rPr>
        <w:t xml:space="preserve">. </w:t>
      </w:r>
      <w:r w:rsidRPr="00984FA2">
        <w:rPr>
          <w:rFonts w:ascii="Calibri" w:hAnsi="Calibri"/>
          <w:color w:val="231F20"/>
          <w:w w:val="105"/>
        </w:rPr>
        <w:t>The</w:t>
      </w:r>
      <w:r w:rsidRPr="00984FA2">
        <w:rPr>
          <w:rFonts w:ascii="Calibri" w:hAnsi="Calibri"/>
          <w:color w:val="231F20"/>
          <w:spacing w:val="42"/>
          <w:w w:val="105"/>
        </w:rPr>
        <w:t xml:space="preserve"> </w:t>
      </w:r>
      <w:r w:rsidRPr="00984FA2">
        <w:rPr>
          <w:rFonts w:ascii="Calibri" w:hAnsi="Calibri"/>
          <w:color w:val="231F20"/>
          <w:w w:val="105"/>
        </w:rPr>
        <w:t>number</w:t>
      </w:r>
      <w:r w:rsidRPr="00984FA2">
        <w:rPr>
          <w:rFonts w:ascii="Calibri" w:hAnsi="Calibri"/>
          <w:color w:val="231F20"/>
          <w:w w:val="104"/>
        </w:rPr>
        <w:t xml:space="preserve"> </w:t>
      </w:r>
      <w:r w:rsidRPr="00984FA2">
        <w:rPr>
          <w:rFonts w:ascii="Calibri" w:hAnsi="Calibri"/>
          <w:color w:val="231F20"/>
          <w:w w:val="105"/>
        </w:rPr>
        <w:t>of jobs in this sector has been trending upward over the past seven years.</w:t>
      </w:r>
    </w:p>
    <w:p w14:paraId="5952A1DC" w14:textId="77777777" w:rsidR="00002D76" w:rsidRPr="00984FA2" w:rsidRDefault="00002D76" w:rsidP="00002D76">
      <w:pPr>
        <w:widowControl w:val="0"/>
        <w:spacing w:before="6" w:after="0" w:line="240" w:lineRule="auto"/>
        <w:rPr>
          <w:rFonts w:ascii="Calibri" w:hAnsi="Calibri" w:cs="Calibri"/>
          <w:sz w:val="16"/>
          <w:szCs w:val="16"/>
        </w:rPr>
      </w:pPr>
    </w:p>
    <w:p w14:paraId="52185308" w14:textId="77777777" w:rsidR="00002D76" w:rsidRPr="00041D0F" w:rsidRDefault="00002D76" w:rsidP="00D63204">
      <w:pPr>
        <w:widowControl w:val="0"/>
        <w:spacing w:after="0" w:line="266" w:lineRule="exact"/>
        <w:ind w:left="468" w:right="468"/>
        <w:outlineLvl w:val="2"/>
        <w:rPr>
          <w:rFonts w:ascii="Calibri" w:hAnsi="Calibri"/>
        </w:rPr>
      </w:pPr>
      <w:r w:rsidRPr="00041D0F">
        <w:rPr>
          <w:rFonts w:ascii="Calibri" w:hAnsi="Calibri"/>
          <w:b/>
          <w:bCs/>
          <w:color w:val="231F20"/>
          <w:w w:val="115"/>
        </w:rPr>
        <w:t>Figure</w:t>
      </w:r>
      <w:r w:rsidRPr="00041D0F">
        <w:rPr>
          <w:rFonts w:ascii="Calibri" w:hAnsi="Calibri"/>
          <w:b/>
          <w:bCs/>
          <w:color w:val="231F20"/>
          <w:spacing w:val="-16"/>
          <w:w w:val="115"/>
        </w:rPr>
        <w:t xml:space="preserve"> </w:t>
      </w:r>
      <w:r w:rsidRPr="00041D0F">
        <w:rPr>
          <w:rFonts w:ascii="Calibri" w:hAnsi="Calibri"/>
          <w:b/>
          <w:bCs/>
          <w:color w:val="231F20"/>
          <w:w w:val="115"/>
        </w:rPr>
        <w:t>2.24</w:t>
      </w:r>
    </w:p>
    <w:p w14:paraId="0A363925" w14:textId="77777777" w:rsidR="00002D76" w:rsidRPr="00041D0F" w:rsidRDefault="00002D76" w:rsidP="00D63204">
      <w:pPr>
        <w:widowControl w:val="0"/>
        <w:spacing w:after="0" w:line="266" w:lineRule="exact"/>
        <w:ind w:left="468" w:right="468"/>
        <w:rPr>
          <w:rFonts w:ascii="Calibri" w:hAnsi="Calibri"/>
          <w:b/>
          <w:color w:val="231F20"/>
          <w:w w:val="110"/>
        </w:rPr>
      </w:pPr>
      <w:r w:rsidRPr="00041D0F">
        <w:rPr>
          <w:noProof/>
        </w:rPr>
        <w:drawing>
          <wp:anchor distT="0" distB="0" distL="114300" distR="114300" simplePos="0" relativeHeight="251658249" behindDoc="0" locked="0" layoutInCell="1" allowOverlap="1" wp14:anchorId="46783916" wp14:editId="445D1D1B">
            <wp:simplePos x="0" y="0"/>
            <wp:positionH relativeFrom="margin">
              <wp:align>center</wp:align>
            </wp:positionH>
            <wp:positionV relativeFrom="paragraph">
              <wp:posOffset>244541</wp:posOffset>
            </wp:positionV>
            <wp:extent cx="5878286" cy="3162300"/>
            <wp:effectExtent l="0" t="0" r="8255" b="0"/>
            <wp:wrapTopAndBottom/>
            <wp:docPr id="16" name="Chart 16" descr="The line graph shows that from 2003 to 2006, manufacturing employment increased. From 2006 to 2010 there was a rapid decrease in manufacturing employment. Since the low in March 2010 (308,000 employment), 64,600 jobs in the industry have been recovered.&#10;In November 2017, the employment was 372,600. The over the year change in November 2017 (+14,100 jobs, +3.9 percent) was 4,300 higher compared to November 2016 (+9,800, +2.8 percent). Jobs in this sector have trended upward over the past seven years." title="Figure 2.24 Florida Manufacturing Employment, Seasonally Adjusted"/>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anchor>
        </w:drawing>
      </w:r>
      <w:r w:rsidRPr="00041D0F">
        <w:rPr>
          <w:rFonts w:ascii="Calibri" w:hAnsi="Calibri"/>
          <w:b/>
          <w:color w:val="231F20"/>
          <w:w w:val="110"/>
        </w:rPr>
        <w:t>Florida</w:t>
      </w:r>
      <w:r w:rsidRPr="00041D0F">
        <w:rPr>
          <w:rFonts w:ascii="Calibri" w:hAnsi="Calibri"/>
          <w:b/>
          <w:color w:val="231F20"/>
          <w:spacing w:val="-17"/>
          <w:w w:val="110"/>
        </w:rPr>
        <w:t xml:space="preserve"> </w:t>
      </w:r>
      <w:r w:rsidRPr="00041D0F">
        <w:rPr>
          <w:rFonts w:ascii="Calibri" w:hAnsi="Calibri"/>
          <w:b/>
          <w:color w:val="231F20"/>
          <w:w w:val="110"/>
        </w:rPr>
        <w:t>Manufacturing</w:t>
      </w:r>
      <w:r w:rsidRPr="00041D0F">
        <w:rPr>
          <w:rFonts w:ascii="Calibri" w:hAnsi="Calibri"/>
          <w:b/>
          <w:color w:val="231F20"/>
          <w:spacing w:val="-17"/>
          <w:w w:val="110"/>
        </w:rPr>
        <w:t xml:space="preserve"> </w:t>
      </w:r>
      <w:r w:rsidRPr="00041D0F">
        <w:rPr>
          <w:rFonts w:ascii="Calibri" w:hAnsi="Calibri"/>
          <w:b/>
          <w:color w:val="231F20"/>
          <w:w w:val="110"/>
        </w:rPr>
        <w:t>Employment</w:t>
      </w:r>
      <w:r>
        <w:rPr>
          <w:rFonts w:ascii="Calibri" w:hAnsi="Calibri"/>
          <w:b/>
          <w:color w:val="231F20"/>
          <w:w w:val="110"/>
        </w:rPr>
        <w:t>,</w:t>
      </w:r>
      <w:r w:rsidRPr="00041D0F">
        <w:rPr>
          <w:rFonts w:ascii="Calibri" w:hAnsi="Calibri"/>
          <w:b/>
          <w:color w:val="231F20"/>
          <w:spacing w:val="-17"/>
          <w:w w:val="110"/>
        </w:rPr>
        <w:t xml:space="preserve"> </w:t>
      </w:r>
      <w:r w:rsidRPr="00041D0F">
        <w:rPr>
          <w:rFonts w:ascii="Calibri" w:hAnsi="Calibri"/>
          <w:b/>
          <w:color w:val="231F20"/>
          <w:w w:val="110"/>
        </w:rPr>
        <w:t>Seasonally</w:t>
      </w:r>
      <w:r w:rsidRPr="00041D0F">
        <w:rPr>
          <w:rFonts w:ascii="Calibri" w:hAnsi="Calibri"/>
          <w:b/>
          <w:color w:val="231F20"/>
          <w:spacing w:val="-17"/>
          <w:w w:val="110"/>
        </w:rPr>
        <w:t xml:space="preserve"> </w:t>
      </w:r>
      <w:r w:rsidRPr="00041D0F">
        <w:rPr>
          <w:rFonts w:ascii="Calibri" w:hAnsi="Calibri"/>
          <w:b/>
          <w:color w:val="231F20"/>
          <w:w w:val="110"/>
        </w:rPr>
        <w:t>Adjusted</w:t>
      </w:r>
    </w:p>
    <w:p w14:paraId="5D3AEEBF" w14:textId="77777777" w:rsidR="00002D76" w:rsidRPr="00041D0F" w:rsidRDefault="00002D76" w:rsidP="00002D76">
      <w:pPr>
        <w:widowControl w:val="0"/>
        <w:spacing w:before="63" w:after="0" w:line="240" w:lineRule="auto"/>
        <w:ind w:left="720"/>
        <w:rPr>
          <w:rFonts w:ascii="Calibri" w:hAnsi="Calibri" w:cs="Calibri"/>
          <w:sz w:val="18"/>
          <w:szCs w:val="18"/>
        </w:rPr>
      </w:pPr>
      <w:r w:rsidRPr="00041D0F">
        <w:rPr>
          <w:rFonts w:ascii="Calibri" w:hAnsi="Calibri"/>
          <w:w w:val="105"/>
          <w:sz w:val="18"/>
        </w:rPr>
        <w:t>Source:</w:t>
      </w:r>
      <w:r w:rsidRPr="00041D0F">
        <w:rPr>
          <w:rFonts w:ascii="Calibri" w:hAnsi="Calibri"/>
          <w:spacing w:val="10"/>
          <w:w w:val="105"/>
          <w:sz w:val="18"/>
        </w:rPr>
        <w:t xml:space="preserve"> </w:t>
      </w:r>
      <w:r>
        <w:rPr>
          <w:rFonts w:ascii="Calibri" w:hAnsi="Calibri"/>
          <w:spacing w:val="10"/>
          <w:w w:val="105"/>
          <w:sz w:val="18"/>
        </w:rPr>
        <w:t xml:space="preserve"> </w:t>
      </w:r>
      <w:r w:rsidRPr="00041D0F">
        <w:rPr>
          <w:rFonts w:ascii="Calibri" w:hAnsi="Calibri"/>
          <w:w w:val="105"/>
          <w:sz w:val="18"/>
        </w:rPr>
        <w:t>U.S.</w:t>
      </w:r>
      <w:r w:rsidRPr="00041D0F">
        <w:rPr>
          <w:rFonts w:ascii="Calibri" w:hAnsi="Calibri"/>
          <w:spacing w:val="10"/>
          <w:w w:val="105"/>
          <w:sz w:val="18"/>
        </w:rPr>
        <w:t xml:space="preserve"> </w:t>
      </w:r>
      <w:r w:rsidRPr="00041D0F">
        <w:rPr>
          <w:rFonts w:ascii="Calibri" w:hAnsi="Calibri"/>
          <w:w w:val="105"/>
          <w:sz w:val="18"/>
        </w:rPr>
        <w:t>Department</w:t>
      </w:r>
      <w:r w:rsidRPr="00041D0F">
        <w:rPr>
          <w:rFonts w:ascii="Calibri" w:hAnsi="Calibri"/>
          <w:spacing w:val="10"/>
          <w:w w:val="105"/>
          <w:sz w:val="18"/>
        </w:rPr>
        <w:t xml:space="preserve"> </w:t>
      </w:r>
      <w:r w:rsidRPr="00041D0F">
        <w:rPr>
          <w:rFonts w:ascii="Calibri" w:hAnsi="Calibri"/>
          <w:w w:val="105"/>
          <w:sz w:val="18"/>
        </w:rPr>
        <w:t>of</w:t>
      </w:r>
      <w:r w:rsidRPr="00041D0F">
        <w:rPr>
          <w:rFonts w:ascii="Calibri" w:hAnsi="Calibri"/>
          <w:spacing w:val="10"/>
          <w:w w:val="105"/>
          <w:sz w:val="18"/>
        </w:rPr>
        <w:t xml:space="preserve"> </w:t>
      </w:r>
      <w:r w:rsidRPr="00041D0F">
        <w:rPr>
          <w:rFonts w:ascii="Calibri" w:hAnsi="Calibri"/>
          <w:spacing w:val="-3"/>
          <w:w w:val="105"/>
          <w:sz w:val="18"/>
        </w:rPr>
        <w:t>Labor,</w:t>
      </w:r>
      <w:r w:rsidRPr="00041D0F">
        <w:rPr>
          <w:rFonts w:ascii="Calibri" w:hAnsi="Calibri"/>
          <w:spacing w:val="10"/>
          <w:w w:val="105"/>
          <w:sz w:val="18"/>
        </w:rPr>
        <w:t xml:space="preserve"> </w:t>
      </w:r>
      <w:r w:rsidRPr="00041D0F">
        <w:rPr>
          <w:rFonts w:ascii="Calibri" w:hAnsi="Calibri"/>
          <w:w w:val="105"/>
          <w:sz w:val="18"/>
        </w:rPr>
        <w:t>Bureau</w:t>
      </w:r>
      <w:r w:rsidRPr="00041D0F">
        <w:rPr>
          <w:rFonts w:ascii="Calibri" w:hAnsi="Calibri"/>
          <w:spacing w:val="10"/>
          <w:w w:val="105"/>
          <w:sz w:val="18"/>
        </w:rPr>
        <w:t xml:space="preserve"> </w:t>
      </w:r>
      <w:r w:rsidRPr="00041D0F">
        <w:rPr>
          <w:rFonts w:ascii="Calibri" w:hAnsi="Calibri"/>
          <w:w w:val="105"/>
          <w:sz w:val="18"/>
        </w:rPr>
        <w:t>of</w:t>
      </w:r>
      <w:r w:rsidRPr="00041D0F">
        <w:rPr>
          <w:rFonts w:ascii="Calibri" w:hAnsi="Calibri"/>
          <w:spacing w:val="10"/>
          <w:w w:val="105"/>
          <w:sz w:val="18"/>
        </w:rPr>
        <w:t xml:space="preserve"> </w:t>
      </w:r>
      <w:r w:rsidRPr="00041D0F">
        <w:rPr>
          <w:rFonts w:ascii="Calibri" w:hAnsi="Calibri"/>
          <w:w w:val="105"/>
          <w:sz w:val="18"/>
        </w:rPr>
        <w:t>Labor</w:t>
      </w:r>
      <w:r w:rsidRPr="00041D0F">
        <w:rPr>
          <w:rFonts w:ascii="Calibri" w:hAnsi="Calibri"/>
          <w:spacing w:val="10"/>
          <w:w w:val="105"/>
          <w:sz w:val="18"/>
        </w:rPr>
        <w:t xml:space="preserve"> </w:t>
      </w:r>
      <w:r w:rsidRPr="00041D0F">
        <w:rPr>
          <w:rFonts w:ascii="Calibri" w:hAnsi="Calibri"/>
          <w:w w:val="105"/>
          <w:sz w:val="18"/>
        </w:rPr>
        <w:t>Statistics,</w:t>
      </w:r>
      <w:r w:rsidRPr="00041D0F">
        <w:rPr>
          <w:rFonts w:ascii="Calibri" w:hAnsi="Calibri"/>
          <w:spacing w:val="10"/>
          <w:w w:val="105"/>
          <w:sz w:val="18"/>
        </w:rPr>
        <w:t xml:space="preserve"> </w:t>
      </w:r>
      <w:r w:rsidRPr="00041D0F">
        <w:rPr>
          <w:rFonts w:ascii="Calibri" w:hAnsi="Calibri"/>
          <w:w w:val="105"/>
          <w:sz w:val="18"/>
        </w:rPr>
        <w:t>Current</w:t>
      </w:r>
      <w:r w:rsidRPr="00041D0F">
        <w:rPr>
          <w:rFonts w:ascii="Calibri" w:hAnsi="Calibri"/>
          <w:spacing w:val="10"/>
          <w:w w:val="105"/>
          <w:sz w:val="18"/>
        </w:rPr>
        <w:t xml:space="preserve"> </w:t>
      </w:r>
      <w:r w:rsidRPr="00041D0F">
        <w:rPr>
          <w:rFonts w:ascii="Calibri" w:hAnsi="Calibri"/>
          <w:w w:val="105"/>
          <w:sz w:val="18"/>
        </w:rPr>
        <w:t>Employment</w:t>
      </w:r>
      <w:r w:rsidRPr="00041D0F">
        <w:rPr>
          <w:rFonts w:ascii="Calibri" w:hAnsi="Calibri"/>
          <w:spacing w:val="10"/>
          <w:w w:val="105"/>
          <w:sz w:val="18"/>
        </w:rPr>
        <w:t xml:space="preserve"> </w:t>
      </w:r>
      <w:r w:rsidRPr="00041D0F">
        <w:rPr>
          <w:rFonts w:ascii="Calibri" w:hAnsi="Calibri"/>
          <w:w w:val="105"/>
          <w:sz w:val="18"/>
        </w:rPr>
        <w:t>Statistics</w:t>
      </w:r>
      <w:r w:rsidRPr="00041D0F">
        <w:rPr>
          <w:rFonts w:ascii="Calibri" w:hAnsi="Calibri"/>
          <w:spacing w:val="10"/>
          <w:w w:val="105"/>
          <w:sz w:val="18"/>
        </w:rPr>
        <w:t xml:space="preserve"> </w:t>
      </w:r>
      <w:r w:rsidRPr="00041D0F">
        <w:rPr>
          <w:rFonts w:ascii="Calibri" w:hAnsi="Calibri"/>
          <w:w w:val="105"/>
          <w:sz w:val="18"/>
        </w:rPr>
        <w:t>Program,</w:t>
      </w:r>
      <w:r w:rsidRPr="00041D0F">
        <w:rPr>
          <w:rFonts w:ascii="Calibri" w:hAnsi="Calibri"/>
          <w:spacing w:val="10"/>
          <w:w w:val="105"/>
          <w:sz w:val="18"/>
        </w:rPr>
        <w:t xml:space="preserve"> </w:t>
      </w:r>
      <w:r>
        <w:rPr>
          <w:rFonts w:ascii="Calibri" w:hAnsi="Calibri"/>
          <w:color w:val="231F20"/>
          <w:w w:val="105"/>
          <w:sz w:val="18"/>
        </w:rPr>
        <w:t>Decem</w:t>
      </w:r>
      <w:r w:rsidRPr="00041D0F">
        <w:rPr>
          <w:rFonts w:ascii="Calibri" w:hAnsi="Calibri"/>
          <w:color w:val="231F20"/>
          <w:w w:val="105"/>
          <w:sz w:val="18"/>
        </w:rPr>
        <w:t>ber</w:t>
      </w:r>
      <w:r w:rsidRPr="00041D0F">
        <w:rPr>
          <w:rFonts w:ascii="Calibri" w:hAnsi="Calibri"/>
          <w:color w:val="231F20"/>
          <w:spacing w:val="10"/>
          <w:w w:val="105"/>
          <w:sz w:val="18"/>
        </w:rPr>
        <w:t xml:space="preserve"> </w:t>
      </w:r>
      <w:r>
        <w:rPr>
          <w:rFonts w:ascii="Calibri" w:hAnsi="Calibri"/>
          <w:color w:val="231F20"/>
          <w:w w:val="105"/>
          <w:sz w:val="18"/>
        </w:rPr>
        <w:t>2017.</w:t>
      </w:r>
    </w:p>
    <w:p w14:paraId="38E5F8F8" w14:textId="77777777" w:rsidR="00002D76" w:rsidRPr="00EA7458" w:rsidRDefault="00002D76" w:rsidP="00002D76">
      <w:pPr>
        <w:widowControl w:val="0"/>
        <w:spacing w:after="0" w:line="240" w:lineRule="auto"/>
        <w:rPr>
          <w:rFonts w:ascii="Calibri" w:hAnsi="Calibri" w:cs="Calibri"/>
          <w:sz w:val="18"/>
          <w:szCs w:val="18"/>
        </w:rPr>
        <w:sectPr w:rsidR="00002D76" w:rsidRPr="00EA7458">
          <w:footerReference w:type="default" r:id="rId84"/>
          <w:pgSz w:w="12240" w:h="15840"/>
          <w:pgMar w:top="1620" w:right="900" w:bottom="820" w:left="900" w:header="812" w:footer="624" w:gutter="0"/>
          <w:pgNumType w:start="31"/>
          <w:cols w:space="720"/>
        </w:sectPr>
      </w:pPr>
    </w:p>
    <w:p w14:paraId="698D04ED" w14:textId="77777777" w:rsidR="00002D76" w:rsidRPr="00EA7458" w:rsidRDefault="00002D76" w:rsidP="00002D76">
      <w:pPr>
        <w:widowControl w:val="0"/>
        <w:spacing w:before="4" w:after="0" w:line="240" w:lineRule="auto"/>
        <w:rPr>
          <w:rFonts w:ascii="Calibri" w:hAnsi="Calibri" w:cs="Calibri"/>
          <w:sz w:val="14"/>
          <w:szCs w:val="14"/>
        </w:rPr>
      </w:pPr>
    </w:p>
    <w:p w14:paraId="6202F933" w14:textId="06F08BDA" w:rsidR="00002D76" w:rsidRPr="002B7D52" w:rsidRDefault="00002D76" w:rsidP="00D63204">
      <w:pPr>
        <w:widowControl w:val="0"/>
        <w:spacing w:before="63" w:after="0" w:line="240" w:lineRule="auto"/>
        <w:ind w:left="107"/>
        <w:outlineLvl w:val="3"/>
        <w:rPr>
          <w:rFonts w:ascii="Gill Sans MT" w:hAnsi="Gill Sans MT"/>
        </w:rPr>
      </w:pPr>
      <w:bookmarkStart w:id="37" w:name="_bookmark25"/>
      <w:bookmarkEnd w:id="37"/>
      <w:r w:rsidRPr="002B7D52">
        <w:rPr>
          <w:rFonts w:ascii="Gill Sans MT" w:hAnsi="Gill Sans MT"/>
          <w:b/>
          <w:bCs/>
          <w:i/>
          <w:color w:val="231F20"/>
          <w:spacing w:val="-3"/>
          <w:w w:val="105"/>
        </w:rPr>
        <w:t>Trade,</w:t>
      </w:r>
      <w:r w:rsidRPr="002B7D52">
        <w:rPr>
          <w:rFonts w:ascii="Gill Sans MT" w:hAnsi="Gill Sans MT"/>
          <w:b/>
          <w:bCs/>
          <w:i/>
          <w:color w:val="231F20"/>
          <w:spacing w:val="-41"/>
          <w:w w:val="105"/>
        </w:rPr>
        <w:t xml:space="preserve"> </w:t>
      </w:r>
      <w:r w:rsidRPr="002B7D52">
        <w:rPr>
          <w:rFonts w:ascii="Gill Sans MT" w:hAnsi="Gill Sans MT"/>
          <w:b/>
          <w:bCs/>
          <w:i/>
          <w:color w:val="231F20"/>
          <w:w w:val="105"/>
        </w:rPr>
        <w:t>Transportation</w:t>
      </w:r>
      <w:r w:rsidR="00D5537E">
        <w:rPr>
          <w:rFonts w:ascii="Gill Sans MT" w:hAnsi="Gill Sans MT"/>
          <w:b/>
          <w:bCs/>
          <w:i/>
          <w:color w:val="231F20"/>
          <w:w w:val="105"/>
        </w:rPr>
        <w:t xml:space="preserve"> and</w:t>
      </w:r>
      <w:r w:rsidRPr="002B7D52">
        <w:rPr>
          <w:rFonts w:ascii="Gill Sans MT" w:hAnsi="Gill Sans MT"/>
          <w:b/>
          <w:bCs/>
          <w:i/>
          <w:color w:val="231F20"/>
          <w:spacing w:val="-41"/>
          <w:w w:val="105"/>
        </w:rPr>
        <w:t xml:space="preserve"> </w:t>
      </w:r>
      <w:r w:rsidRPr="002B7D52">
        <w:rPr>
          <w:rFonts w:ascii="Gill Sans MT" w:hAnsi="Gill Sans MT"/>
          <w:b/>
          <w:bCs/>
          <w:i/>
          <w:color w:val="231F20"/>
          <w:w w:val="105"/>
        </w:rPr>
        <w:t>Utilities</w:t>
      </w:r>
    </w:p>
    <w:p w14:paraId="271EF218" w14:textId="166213B9" w:rsidR="00002D76" w:rsidRPr="00C1546B" w:rsidRDefault="00002D76" w:rsidP="00D63204">
      <w:pPr>
        <w:widowControl w:val="0"/>
        <w:spacing w:before="2" w:after="0" w:line="264" w:lineRule="exact"/>
        <w:ind w:left="107" w:right="281"/>
        <w:rPr>
          <w:rFonts w:ascii="Calibri" w:hAnsi="Calibri"/>
        </w:rPr>
      </w:pPr>
      <w:r w:rsidRPr="002B7D52">
        <w:rPr>
          <w:rFonts w:ascii="Calibri" w:hAnsi="Calibri"/>
          <w:color w:val="231F20"/>
          <w:w w:val="105"/>
        </w:rPr>
        <w:t>This</w:t>
      </w:r>
      <w:r w:rsidRPr="002B7D52">
        <w:rPr>
          <w:rFonts w:ascii="Calibri" w:hAnsi="Calibri"/>
          <w:color w:val="231F20"/>
          <w:spacing w:val="10"/>
          <w:w w:val="105"/>
        </w:rPr>
        <w:t xml:space="preserve"> </w:t>
      </w:r>
      <w:r w:rsidRPr="002B7D52">
        <w:rPr>
          <w:rFonts w:ascii="Calibri" w:hAnsi="Calibri"/>
          <w:color w:val="231F20"/>
          <w:w w:val="105"/>
        </w:rPr>
        <w:t>industry</w:t>
      </w:r>
      <w:r w:rsidRPr="002B7D52">
        <w:rPr>
          <w:rFonts w:ascii="Calibri" w:hAnsi="Calibri"/>
          <w:color w:val="231F20"/>
          <w:spacing w:val="10"/>
          <w:w w:val="105"/>
        </w:rPr>
        <w:t xml:space="preserve"> </w:t>
      </w:r>
      <w:r w:rsidRPr="002B7D52">
        <w:rPr>
          <w:rFonts w:ascii="Calibri" w:hAnsi="Calibri"/>
          <w:color w:val="231F20"/>
          <w:w w:val="105"/>
        </w:rPr>
        <w:t>is</w:t>
      </w:r>
      <w:r w:rsidRPr="002B7D52">
        <w:rPr>
          <w:rFonts w:ascii="Calibri" w:hAnsi="Calibri"/>
          <w:color w:val="231F20"/>
          <w:spacing w:val="10"/>
          <w:w w:val="105"/>
        </w:rPr>
        <w:t xml:space="preserve"> </w:t>
      </w:r>
      <w:r w:rsidRPr="002B7D52">
        <w:rPr>
          <w:rFonts w:ascii="Calibri" w:hAnsi="Calibri"/>
          <w:color w:val="231F20"/>
          <w:w w:val="105"/>
        </w:rPr>
        <w:t>heavily</w:t>
      </w:r>
      <w:r w:rsidRPr="002B7D52">
        <w:rPr>
          <w:rFonts w:ascii="Calibri" w:hAnsi="Calibri"/>
          <w:color w:val="231F20"/>
          <w:spacing w:val="10"/>
          <w:w w:val="105"/>
        </w:rPr>
        <w:t xml:space="preserve"> </w:t>
      </w:r>
      <w:r w:rsidRPr="002B7D52">
        <w:rPr>
          <w:rFonts w:ascii="Calibri" w:hAnsi="Calibri"/>
          <w:color w:val="231F20"/>
          <w:w w:val="105"/>
        </w:rPr>
        <w:t>dependent</w:t>
      </w:r>
      <w:r w:rsidRPr="002B7D52">
        <w:rPr>
          <w:rFonts w:ascii="Calibri" w:hAnsi="Calibri"/>
          <w:color w:val="231F20"/>
          <w:spacing w:val="10"/>
          <w:w w:val="105"/>
        </w:rPr>
        <w:t xml:space="preserve"> </w:t>
      </w:r>
      <w:r w:rsidRPr="002B7D52">
        <w:rPr>
          <w:rFonts w:ascii="Calibri" w:hAnsi="Calibri"/>
          <w:color w:val="231F20"/>
          <w:w w:val="105"/>
        </w:rPr>
        <w:t>on</w:t>
      </w:r>
      <w:r w:rsidRPr="002B7D52">
        <w:rPr>
          <w:rFonts w:ascii="Calibri" w:hAnsi="Calibri"/>
          <w:color w:val="231F20"/>
          <w:spacing w:val="10"/>
          <w:w w:val="105"/>
        </w:rPr>
        <w:t xml:space="preserve"> </w:t>
      </w:r>
      <w:r w:rsidRPr="002B7D52">
        <w:rPr>
          <w:rFonts w:ascii="Calibri" w:hAnsi="Calibri"/>
          <w:color w:val="231F20"/>
          <w:w w:val="105"/>
        </w:rPr>
        <w:t>tourism</w:t>
      </w:r>
      <w:r w:rsidRPr="002B7D52">
        <w:rPr>
          <w:rFonts w:ascii="Calibri" w:hAnsi="Calibri"/>
          <w:color w:val="231F20"/>
          <w:spacing w:val="10"/>
          <w:w w:val="105"/>
        </w:rPr>
        <w:t xml:space="preserve"> </w:t>
      </w:r>
      <w:r w:rsidRPr="002B7D52">
        <w:rPr>
          <w:rFonts w:ascii="Calibri" w:hAnsi="Calibri"/>
          <w:color w:val="231F20"/>
          <w:w w:val="105"/>
        </w:rPr>
        <w:t>and</w:t>
      </w:r>
      <w:r w:rsidRPr="002B7D52">
        <w:rPr>
          <w:rFonts w:ascii="Calibri" w:hAnsi="Calibri"/>
          <w:color w:val="231F20"/>
          <w:spacing w:val="10"/>
          <w:w w:val="105"/>
        </w:rPr>
        <w:t xml:space="preserve"> </w:t>
      </w:r>
      <w:r w:rsidRPr="002B7D52">
        <w:rPr>
          <w:rFonts w:ascii="Calibri" w:hAnsi="Calibri"/>
          <w:color w:val="231F20"/>
          <w:w w:val="105"/>
        </w:rPr>
        <w:t>the</w:t>
      </w:r>
      <w:r w:rsidRPr="002B7D52">
        <w:rPr>
          <w:rFonts w:ascii="Calibri" w:hAnsi="Calibri"/>
          <w:color w:val="231F20"/>
          <w:spacing w:val="10"/>
          <w:w w:val="105"/>
        </w:rPr>
        <w:t xml:space="preserve"> </w:t>
      </w:r>
      <w:r w:rsidRPr="002B7D52">
        <w:rPr>
          <w:rFonts w:ascii="Calibri" w:hAnsi="Calibri"/>
          <w:color w:val="231F20"/>
          <w:w w:val="105"/>
        </w:rPr>
        <w:t>general</w:t>
      </w:r>
      <w:r w:rsidRPr="002B7D52">
        <w:rPr>
          <w:rFonts w:ascii="Calibri" w:hAnsi="Calibri"/>
          <w:color w:val="231F20"/>
          <w:spacing w:val="10"/>
          <w:w w:val="105"/>
        </w:rPr>
        <w:t xml:space="preserve"> </w:t>
      </w:r>
      <w:r w:rsidRPr="002B7D52">
        <w:rPr>
          <w:rFonts w:ascii="Calibri" w:hAnsi="Calibri"/>
          <w:color w:val="231F20"/>
          <w:w w:val="105"/>
        </w:rPr>
        <w:t>economic</w:t>
      </w:r>
      <w:r w:rsidRPr="002B7D52">
        <w:rPr>
          <w:rFonts w:ascii="Calibri" w:hAnsi="Calibri"/>
          <w:color w:val="231F20"/>
          <w:spacing w:val="10"/>
          <w:w w:val="105"/>
        </w:rPr>
        <w:t xml:space="preserve"> </w:t>
      </w:r>
      <w:r w:rsidRPr="002B7D52">
        <w:rPr>
          <w:rFonts w:ascii="Calibri" w:hAnsi="Calibri"/>
          <w:color w:val="231F20"/>
          <w:w w:val="105"/>
        </w:rPr>
        <w:t>vitality</w:t>
      </w:r>
      <w:r w:rsidRPr="002B7D52">
        <w:rPr>
          <w:rFonts w:ascii="Calibri" w:hAnsi="Calibri"/>
          <w:color w:val="231F20"/>
          <w:spacing w:val="10"/>
          <w:w w:val="105"/>
        </w:rPr>
        <w:t xml:space="preserve"> </w:t>
      </w:r>
      <w:r w:rsidRPr="002B7D52">
        <w:rPr>
          <w:rFonts w:ascii="Calibri" w:hAnsi="Calibri"/>
          <w:color w:val="231F20"/>
          <w:w w:val="105"/>
        </w:rPr>
        <w:t>of</w:t>
      </w:r>
      <w:r w:rsidRPr="002B7D52">
        <w:rPr>
          <w:rFonts w:ascii="Calibri" w:hAnsi="Calibri"/>
          <w:color w:val="231F20"/>
          <w:spacing w:val="10"/>
          <w:w w:val="105"/>
        </w:rPr>
        <w:t xml:space="preserve"> </w:t>
      </w:r>
      <w:r w:rsidRPr="002B7D52">
        <w:rPr>
          <w:rFonts w:ascii="Calibri" w:hAnsi="Calibri"/>
          <w:color w:val="231F20"/>
          <w:w w:val="105"/>
        </w:rPr>
        <w:t>the</w:t>
      </w:r>
      <w:r w:rsidRPr="002B7D52">
        <w:rPr>
          <w:rFonts w:ascii="Calibri" w:hAnsi="Calibri"/>
          <w:color w:val="231F20"/>
          <w:spacing w:val="10"/>
          <w:w w:val="105"/>
        </w:rPr>
        <w:t xml:space="preserve"> </w:t>
      </w:r>
      <w:r w:rsidRPr="002B7D52">
        <w:rPr>
          <w:rFonts w:ascii="Calibri" w:hAnsi="Calibri"/>
          <w:color w:val="231F20"/>
          <w:w w:val="105"/>
        </w:rPr>
        <w:t>state’s</w:t>
      </w:r>
      <w:r w:rsidRPr="002B7D52">
        <w:rPr>
          <w:rFonts w:ascii="Calibri" w:hAnsi="Calibri"/>
          <w:color w:val="231F20"/>
          <w:spacing w:val="10"/>
          <w:w w:val="105"/>
        </w:rPr>
        <w:t xml:space="preserve"> </w:t>
      </w:r>
      <w:r w:rsidRPr="002B7D52">
        <w:rPr>
          <w:rFonts w:ascii="Calibri" w:hAnsi="Calibri"/>
          <w:color w:val="231F20"/>
          <w:w w:val="105"/>
        </w:rPr>
        <w:t>economy</w:t>
      </w:r>
      <w:r w:rsidR="005E7C49">
        <w:rPr>
          <w:rFonts w:ascii="Calibri" w:hAnsi="Calibri"/>
          <w:color w:val="231F20"/>
          <w:w w:val="105"/>
        </w:rPr>
        <w:t xml:space="preserve">. </w:t>
      </w:r>
      <w:r w:rsidRPr="002B7D52">
        <w:rPr>
          <w:rFonts w:ascii="Calibri" w:hAnsi="Calibri"/>
          <w:color w:val="231F20"/>
          <w:w w:val="105"/>
        </w:rPr>
        <w:t>The</w:t>
      </w:r>
      <w:r w:rsidRPr="002B7D52">
        <w:rPr>
          <w:rFonts w:ascii="Calibri" w:hAnsi="Calibri"/>
          <w:color w:val="231F20"/>
          <w:spacing w:val="11"/>
          <w:w w:val="105"/>
        </w:rPr>
        <w:t xml:space="preserve"> </w:t>
      </w:r>
      <w:r w:rsidRPr="002B7D52">
        <w:rPr>
          <w:rFonts w:ascii="Calibri" w:hAnsi="Calibri"/>
          <w:color w:val="231F20"/>
          <w:w w:val="105"/>
        </w:rPr>
        <w:t>industry</w:t>
      </w:r>
      <w:r w:rsidRPr="002B7D52">
        <w:rPr>
          <w:rFonts w:ascii="Calibri" w:hAnsi="Calibri"/>
          <w:color w:val="231F20"/>
          <w:spacing w:val="11"/>
          <w:w w:val="105"/>
        </w:rPr>
        <w:t xml:space="preserve"> </w:t>
      </w:r>
      <w:r w:rsidRPr="002B7D52">
        <w:rPr>
          <w:rFonts w:ascii="Calibri" w:hAnsi="Calibri"/>
          <w:color w:val="231F20"/>
          <w:w w:val="105"/>
        </w:rPr>
        <w:t>peaked</w:t>
      </w:r>
      <w:r w:rsidRPr="002B7D52">
        <w:rPr>
          <w:rFonts w:ascii="Calibri" w:hAnsi="Calibri"/>
          <w:color w:val="231F20"/>
          <w:spacing w:val="11"/>
          <w:w w:val="105"/>
        </w:rPr>
        <w:t xml:space="preserve"> </w:t>
      </w:r>
      <w:r w:rsidRPr="002B7D52">
        <w:rPr>
          <w:rFonts w:ascii="Calibri" w:hAnsi="Calibri"/>
          <w:color w:val="231F20"/>
          <w:w w:val="105"/>
        </w:rPr>
        <w:t>in</w:t>
      </w:r>
      <w:r w:rsidRPr="002B7D52">
        <w:rPr>
          <w:rFonts w:ascii="Calibri" w:hAnsi="Calibri"/>
          <w:color w:val="231F20"/>
          <w:spacing w:val="11"/>
          <w:w w:val="105"/>
        </w:rPr>
        <w:t xml:space="preserve"> </w:t>
      </w:r>
      <w:r w:rsidRPr="002B7D52">
        <w:rPr>
          <w:rFonts w:ascii="Calibri" w:hAnsi="Calibri"/>
          <w:color w:val="231F20"/>
          <w:w w:val="105"/>
        </w:rPr>
        <w:t>May</w:t>
      </w:r>
      <w:r w:rsidRPr="002B7D52">
        <w:rPr>
          <w:rFonts w:ascii="Calibri" w:hAnsi="Calibri"/>
          <w:color w:val="231F20"/>
          <w:spacing w:val="11"/>
          <w:w w:val="105"/>
        </w:rPr>
        <w:t xml:space="preserve"> </w:t>
      </w:r>
      <w:r w:rsidRPr="002B7D52">
        <w:rPr>
          <w:rFonts w:ascii="Calibri" w:hAnsi="Calibri"/>
          <w:color w:val="231F20"/>
          <w:w w:val="105"/>
        </w:rPr>
        <w:t>2007</w:t>
      </w:r>
      <w:r w:rsidRPr="002B7D52">
        <w:rPr>
          <w:rFonts w:ascii="Calibri" w:hAnsi="Calibri"/>
          <w:color w:val="231F20"/>
          <w:spacing w:val="11"/>
          <w:w w:val="105"/>
        </w:rPr>
        <w:t xml:space="preserve"> </w:t>
      </w:r>
      <w:r w:rsidRPr="002B7D52">
        <w:rPr>
          <w:rFonts w:ascii="Calibri" w:hAnsi="Calibri"/>
          <w:color w:val="231F20"/>
          <w:w w:val="105"/>
        </w:rPr>
        <w:t>at</w:t>
      </w:r>
      <w:r w:rsidRPr="002B7D52">
        <w:rPr>
          <w:rFonts w:ascii="Calibri" w:hAnsi="Calibri"/>
          <w:color w:val="231F20"/>
          <w:spacing w:val="11"/>
          <w:w w:val="105"/>
        </w:rPr>
        <w:t xml:space="preserve"> </w:t>
      </w:r>
      <w:r w:rsidRPr="002B7D52">
        <w:rPr>
          <w:rFonts w:ascii="Calibri" w:hAnsi="Calibri"/>
          <w:color w:val="231F20"/>
          <w:spacing w:val="-5"/>
          <w:w w:val="105"/>
        </w:rPr>
        <w:t>1,647,600</w:t>
      </w:r>
      <w:r w:rsidRPr="002B7D52">
        <w:rPr>
          <w:rFonts w:ascii="Calibri" w:hAnsi="Calibri"/>
          <w:color w:val="231F20"/>
          <w:spacing w:val="11"/>
          <w:w w:val="105"/>
        </w:rPr>
        <w:t xml:space="preserve"> </w:t>
      </w:r>
      <w:r w:rsidRPr="002B7D52">
        <w:rPr>
          <w:rFonts w:ascii="Calibri" w:hAnsi="Calibri"/>
          <w:color w:val="231F20"/>
          <w:w w:val="105"/>
        </w:rPr>
        <w:t>jobs</w:t>
      </w:r>
      <w:r w:rsidRPr="002B7D52">
        <w:rPr>
          <w:rFonts w:ascii="Calibri" w:hAnsi="Calibri"/>
          <w:color w:val="231F20"/>
          <w:spacing w:val="11"/>
          <w:w w:val="105"/>
        </w:rPr>
        <w:t xml:space="preserve"> </w:t>
      </w:r>
      <w:r w:rsidRPr="002B7D52">
        <w:rPr>
          <w:rFonts w:ascii="Calibri" w:hAnsi="Calibri"/>
          <w:color w:val="231F20"/>
          <w:w w:val="105"/>
        </w:rPr>
        <w:t>and</w:t>
      </w:r>
      <w:r w:rsidRPr="002B7D52">
        <w:rPr>
          <w:rFonts w:ascii="Calibri" w:hAnsi="Calibri"/>
          <w:color w:val="231F20"/>
          <w:spacing w:val="11"/>
          <w:w w:val="105"/>
        </w:rPr>
        <w:t xml:space="preserve"> </w:t>
      </w:r>
      <w:r w:rsidRPr="002B7D52">
        <w:rPr>
          <w:rFonts w:ascii="Calibri" w:hAnsi="Calibri"/>
          <w:color w:val="231F20"/>
          <w:w w:val="105"/>
        </w:rPr>
        <w:t>began</w:t>
      </w:r>
      <w:r w:rsidRPr="002B7D52">
        <w:rPr>
          <w:rFonts w:ascii="Calibri" w:hAnsi="Calibri"/>
          <w:color w:val="231F20"/>
          <w:spacing w:val="11"/>
          <w:w w:val="105"/>
        </w:rPr>
        <w:t xml:space="preserve"> </w:t>
      </w:r>
      <w:r w:rsidRPr="002B7D52">
        <w:rPr>
          <w:rFonts w:ascii="Calibri" w:hAnsi="Calibri"/>
          <w:color w:val="231F20"/>
          <w:w w:val="105"/>
        </w:rPr>
        <w:t>a</w:t>
      </w:r>
      <w:r w:rsidRPr="002B7D52">
        <w:rPr>
          <w:rFonts w:ascii="Calibri" w:hAnsi="Calibri"/>
          <w:color w:val="231F20"/>
          <w:spacing w:val="11"/>
          <w:w w:val="105"/>
        </w:rPr>
        <w:t xml:space="preserve"> </w:t>
      </w:r>
      <w:r w:rsidRPr="002B7D52">
        <w:rPr>
          <w:rFonts w:ascii="Calibri" w:hAnsi="Calibri"/>
          <w:color w:val="231F20"/>
          <w:w w:val="105"/>
        </w:rPr>
        <w:t>rapid</w:t>
      </w:r>
      <w:r w:rsidRPr="002B7D52">
        <w:rPr>
          <w:rFonts w:ascii="Calibri" w:hAnsi="Calibri"/>
          <w:color w:val="231F20"/>
          <w:spacing w:val="11"/>
          <w:w w:val="105"/>
        </w:rPr>
        <w:t xml:space="preserve"> </w:t>
      </w:r>
      <w:r w:rsidRPr="002B7D52">
        <w:rPr>
          <w:rFonts w:ascii="Calibri" w:hAnsi="Calibri"/>
          <w:color w:val="231F20"/>
          <w:w w:val="105"/>
        </w:rPr>
        <w:t>decline</w:t>
      </w:r>
      <w:r w:rsidRPr="002B7D52">
        <w:rPr>
          <w:rFonts w:ascii="Calibri" w:hAnsi="Calibri"/>
          <w:color w:val="231F20"/>
          <w:spacing w:val="11"/>
          <w:w w:val="105"/>
        </w:rPr>
        <w:t xml:space="preserve"> </w:t>
      </w:r>
      <w:r w:rsidRPr="002B7D52">
        <w:rPr>
          <w:rFonts w:ascii="Calibri" w:hAnsi="Calibri"/>
          <w:color w:val="231F20"/>
          <w:w w:val="105"/>
        </w:rPr>
        <w:t>until</w:t>
      </w:r>
      <w:r w:rsidRPr="002B7D52">
        <w:rPr>
          <w:rFonts w:ascii="Calibri" w:hAnsi="Calibri"/>
          <w:color w:val="231F20"/>
          <w:spacing w:val="11"/>
          <w:w w:val="105"/>
        </w:rPr>
        <w:t xml:space="preserve"> </w:t>
      </w:r>
      <w:r w:rsidRPr="002B7D52">
        <w:rPr>
          <w:rFonts w:ascii="Calibri" w:hAnsi="Calibri"/>
          <w:color w:val="231F20"/>
          <w:w w:val="105"/>
        </w:rPr>
        <w:t>2010</w:t>
      </w:r>
      <w:r w:rsidR="005E7C49">
        <w:rPr>
          <w:rFonts w:ascii="Calibri" w:hAnsi="Calibri"/>
          <w:color w:val="231F20"/>
          <w:w w:val="105"/>
        </w:rPr>
        <w:t xml:space="preserve">. </w:t>
      </w:r>
      <w:r w:rsidRPr="002B7D52">
        <w:rPr>
          <w:rFonts w:ascii="Calibri" w:hAnsi="Calibri"/>
          <w:color w:val="231F20"/>
          <w:w w:val="105"/>
        </w:rPr>
        <w:t>Currently,</w:t>
      </w:r>
      <w:r w:rsidRPr="002B7D52">
        <w:rPr>
          <w:rFonts w:ascii="Calibri" w:hAnsi="Calibri"/>
          <w:color w:val="231F20"/>
          <w:spacing w:val="-8"/>
          <w:w w:val="105"/>
        </w:rPr>
        <w:t xml:space="preserve"> </w:t>
      </w:r>
      <w:r w:rsidRPr="00C1546B">
        <w:rPr>
          <w:rFonts w:ascii="Calibri" w:hAnsi="Calibri"/>
          <w:color w:val="231F20"/>
          <w:w w:val="105"/>
        </w:rPr>
        <w:t>industry employment is 120,000 jobs above its 2007 peak.</w:t>
      </w:r>
    </w:p>
    <w:p w14:paraId="693A5104" w14:textId="77777777" w:rsidR="00002D76" w:rsidRPr="00C1546B" w:rsidRDefault="00002D76" w:rsidP="00D63204">
      <w:pPr>
        <w:widowControl w:val="0"/>
        <w:spacing w:before="5" w:after="0" w:line="240" w:lineRule="auto"/>
        <w:rPr>
          <w:rFonts w:ascii="Calibri" w:hAnsi="Calibri" w:cs="Calibri"/>
          <w:sz w:val="16"/>
          <w:szCs w:val="16"/>
        </w:rPr>
      </w:pPr>
    </w:p>
    <w:p w14:paraId="7D42FF89" w14:textId="4F123213" w:rsidR="00002D76" w:rsidRDefault="00002D76" w:rsidP="00D63204">
      <w:pPr>
        <w:widowControl w:val="0"/>
        <w:spacing w:after="0" w:line="264" w:lineRule="exact"/>
        <w:ind w:left="107" w:right="281"/>
        <w:rPr>
          <w:rFonts w:ascii="Calibri" w:hAnsi="Calibri"/>
          <w:color w:val="231F20"/>
          <w:w w:val="105"/>
        </w:rPr>
      </w:pPr>
      <w:r w:rsidRPr="00C1546B">
        <w:rPr>
          <w:rFonts w:ascii="Calibri" w:hAnsi="Calibri"/>
          <w:color w:val="231F20"/>
          <w:w w:val="105"/>
        </w:rPr>
        <w:t>In</w:t>
      </w:r>
      <w:r w:rsidRPr="00C1546B">
        <w:rPr>
          <w:rFonts w:ascii="Calibri" w:hAnsi="Calibri"/>
          <w:color w:val="231F20"/>
          <w:spacing w:val="10"/>
          <w:w w:val="105"/>
        </w:rPr>
        <w:t xml:space="preserve"> </w:t>
      </w:r>
      <w:r w:rsidRPr="00C1546B">
        <w:rPr>
          <w:rFonts w:ascii="Calibri" w:hAnsi="Calibri"/>
          <w:color w:val="231F20"/>
          <w:w w:val="105"/>
        </w:rPr>
        <w:t>November 2017,</w:t>
      </w:r>
      <w:r w:rsidRPr="00C1546B">
        <w:rPr>
          <w:rFonts w:ascii="Calibri" w:hAnsi="Calibri"/>
          <w:color w:val="231F20"/>
          <w:spacing w:val="10"/>
          <w:w w:val="105"/>
        </w:rPr>
        <w:t xml:space="preserve"> </w:t>
      </w:r>
      <w:r w:rsidRPr="00C1546B">
        <w:rPr>
          <w:rFonts w:ascii="Calibri" w:hAnsi="Calibri"/>
          <w:color w:val="231F20"/>
          <w:w w:val="105"/>
        </w:rPr>
        <w:t>employment</w:t>
      </w:r>
      <w:r w:rsidRPr="00C1546B">
        <w:rPr>
          <w:rFonts w:ascii="Calibri" w:hAnsi="Calibri"/>
          <w:color w:val="231F20"/>
          <w:spacing w:val="10"/>
          <w:w w:val="105"/>
        </w:rPr>
        <w:t xml:space="preserve"> </w:t>
      </w:r>
      <w:r w:rsidRPr="00C1546B">
        <w:rPr>
          <w:rFonts w:ascii="Calibri" w:hAnsi="Calibri"/>
          <w:color w:val="231F20"/>
          <w:w w:val="105"/>
        </w:rPr>
        <w:t>was</w:t>
      </w:r>
      <w:r w:rsidRPr="00C1546B">
        <w:rPr>
          <w:rFonts w:ascii="Calibri" w:hAnsi="Calibri"/>
          <w:color w:val="231F20"/>
          <w:spacing w:val="10"/>
          <w:w w:val="105"/>
        </w:rPr>
        <w:t xml:space="preserve"> </w:t>
      </w:r>
      <w:r w:rsidRPr="00C1546B">
        <w:rPr>
          <w:rFonts w:ascii="Calibri" w:hAnsi="Calibri"/>
          <w:color w:val="231F20"/>
          <w:spacing w:val="-3"/>
          <w:w w:val="105"/>
        </w:rPr>
        <w:t>1,767,600</w:t>
      </w:r>
      <w:r w:rsidR="005E7C49">
        <w:rPr>
          <w:rFonts w:ascii="Calibri" w:hAnsi="Calibri"/>
          <w:color w:val="231F20"/>
          <w:spacing w:val="-3"/>
          <w:w w:val="105"/>
        </w:rPr>
        <w:t xml:space="preserve">. </w:t>
      </w:r>
      <w:r w:rsidRPr="00C1546B">
        <w:rPr>
          <w:rFonts w:ascii="Calibri" w:hAnsi="Calibri"/>
          <w:color w:val="231F20"/>
          <w:w w:val="105"/>
        </w:rPr>
        <w:t>The</w:t>
      </w:r>
      <w:r w:rsidRPr="00C1546B">
        <w:rPr>
          <w:rFonts w:ascii="Calibri" w:hAnsi="Calibri"/>
          <w:color w:val="231F20"/>
          <w:spacing w:val="10"/>
          <w:w w:val="105"/>
        </w:rPr>
        <w:t xml:space="preserve"> </w:t>
      </w:r>
      <w:r w:rsidRPr="00C1546B">
        <w:rPr>
          <w:rFonts w:ascii="Calibri" w:hAnsi="Calibri"/>
          <w:color w:val="231F20"/>
          <w:w w:val="105"/>
        </w:rPr>
        <w:t>over</w:t>
      </w:r>
      <w:r w:rsidR="007B2DAD">
        <w:rPr>
          <w:rFonts w:ascii="Calibri" w:hAnsi="Calibri"/>
          <w:color w:val="231F20"/>
          <w:spacing w:val="10"/>
          <w:w w:val="105"/>
        </w:rPr>
        <w:t>-</w:t>
      </w:r>
      <w:r w:rsidRPr="00C1546B">
        <w:rPr>
          <w:rFonts w:ascii="Calibri" w:hAnsi="Calibri"/>
          <w:color w:val="231F20"/>
          <w:w w:val="105"/>
        </w:rPr>
        <w:t>the</w:t>
      </w:r>
      <w:r w:rsidR="007B2DAD">
        <w:rPr>
          <w:rFonts w:ascii="Calibri" w:hAnsi="Calibri"/>
          <w:color w:val="231F20"/>
          <w:spacing w:val="10"/>
          <w:w w:val="105"/>
        </w:rPr>
        <w:t>-</w:t>
      </w:r>
      <w:r w:rsidRPr="00C1546B">
        <w:rPr>
          <w:rFonts w:ascii="Calibri" w:hAnsi="Calibri"/>
          <w:color w:val="231F20"/>
          <w:w w:val="105"/>
        </w:rPr>
        <w:t>year</w:t>
      </w:r>
      <w:r w:rsidRPr="00C1546B">
        <w:rPr>
          <w:rFonts w:ascii="Calibri" w:hAnsi="Calibri"/>
          <w:color w:val="231F20"/>
          <w:spacing w:val="10"/>
          <w:w w:val="105"/>
        </w:rPr>
        <w:t xml:space="preserve"> </w:t>
      </w:r>
      <w:r w:rsidRPr="00C1546B">
        <w:rPr>
          <w:rFonts w:ascii="Calibri" w:hAnsi="Calibri"/>
          <w:color w:val="231F20"/>
          <w:w w:val="105"/>
        </w:rPr>
        <w:t>change</w:t>
      </w:r>
      <w:r w:rsidRPr="00C1546B">
        <w:rPr>
          <w:rFonts w:ascii="Calibri" w:hAnsi="Calibri"/>
          <w:color w:val="231F20"/>
          <w:spacing w:val="10"/>
          <w:w w:val="105"/>
        </w:rPr>
        <w:t xml:space="preserve"> </w:t>
      </w:r>
      <w:r w:rsidRPr="00C1546B">
        <w:rPr>
          <w:rFonts w:ascii="Calibri" w:hAnsi="Calibri"/>
          <w:color w:val="231F20"/>
          <w:w w:val="105"/>
        </w:rPr>
        <w:t>in</w:t>
      </w:r>
      <w:r w:rsidRPr="00C1546B">
        <w:rPr>
          <w:rFonts w:ascii="Calibri" w:hAnsi="Calibri"/>
          <w:color w:val="231F20"/>
          <w:spacing w:val="10"/>
          <w:w w:val="105"/>
        </w:rPr>
        <w:t xml:space="preserve"> </w:t>
      </w:r>
      <w:r w:rsidRPr="00C1546B">
        <w:rPr>
          <w:rFonts w:ascii="Calibri" w:hAnsi="Calibri"/>
          <w:color w:val="231F20"/>
          <w:w w:val="105"/>
        </w:rPr>
        <w:t>November 2017 (+33,500</w:t>
      </w:r>
      <w:r w:rsidRPr="00C1546B">
        <w:rPr>
          <w:rFonts w:ascii="Calibri" w:hAnsi="Calibri"/>
          <w:color w:val="231F20"/>
          <w:spacing w:val="13"/>
          <w:w w:val="105"/>
        </w:rPr>
        <w:t xml:space="preserve"> </w:t>
      </w:r>
      <w:r w:rsidRPr="00C1546B">
        <w:rPr>
          <w:rFonts w:ascii="Calibri" w:hAnsi="Calibri"/>
          <w:color w:val="231F20"/>
          <w:w w:val="105"/>
        </w:rPr>
        <w:t>jobs,</w:t>
      </w:r>
      <w:r w:rsidRPr="00C1546B">
        <w:rPr>
          <w:rFonts w:ascii="Calibri" w:hAnsi="Calibri"/>
          <w:color w:val="231F20"/>
          <w:spacing w:val="13"/>
          <w:w w:val="105"/>
        </w:rPr>
        <w:t xml:space="preserve"> </w:t>
      </w:r>
      <w:r w:rsidRPr="00C1546B">
        <w:rPr>
          <w:rFonts w:ascii="Calibri" w:hAnsi="Calibri"/>
          <w:color w:val="231F20"/>
          <w:spacing w:val="-4"/>
          <w:w w:val="105"/>
        </w:rPr>
        <w:t>+1.9</w:t>
      </w:r>
      <w:r w:rsidRPr="00C1546B">
        <w:rPr>
          <w:rFonts w:ascii="Calibri" w:hAnsi="Calibri"/>
          <w:color w:val="231F20"/>
          <w:spacing w:val="13"/>
          <w:w w:val="105"/>
        </w:rPr>
        <w:t xml:space="preserve"> </w:t>
      </w:r>
      <w:r w:rsidRPr="00C1546B">
        <w:rPr>
          <w:rFonts w:ascii="Calibri" w:hAnsi="Calibri"/>
          <w:color w:val="231F20"/>
          <w:w w:val="105"/>
        </w:rPr>
        <w:t>percent)</w:t>
      </w:r>
      <w:r w:rsidRPr="00C1546B">
        <w:rPr>
          <w:rFonts w:ascii="Calibri" w:hAnsi="Calibri"/>
          <w:color w:val="231F20"/>
          <w:spacing w:val="13"/>
          <w:w w:val="105"/>
        </w:rPr>
        <w:t xml:space="preserve"> </w:t>
      </w:r>
      <w:r w:rsidRPr="00C1546B">
        <w:rPr>
          <w:rFonts w:ascii="Calibri" w:hAnsi="Calibri"/>
          <w:color w:val="231F20"/>
          <w:w w:val="105"/>
        </w:rPr>
        <w:t>was</w:t>
      </w:r>
      <w:r w:rsidRPr="00C1546B">
        <w:rPr>
          <w:rFonts w:ascii="Calibri" w:hAnsi="Calibri"/>
          <w:color w:val="231F20"/>
          <w:spacing w:val="13"/>
          <w:w w:val="105"/>
        </w:rPr>
        <w:t xml:space="preserve"> </w:t>
      </w:r>
      <w:r w:rsidRPr="00C1546B">
        <w:rPr>
          <w:rFonts w:ascii="Calibri" w:hAnsi="Calibri"/>
          <w:color w:val="231F20"/>
          <w:spacing w:val="-6"/>
          <w:w w:val="105"/>
        </w:rPr>
        <w:t>1,400</w:t>
      </w:r>
      <w:r w:rsidRPr="00C1546B">
        <w:rPr>
          <w:rFonts w:ascii="Calibri" w:hAnsi="Calibri"/>
          <w:color w:val="231F20"/>
          <w:spacing w:val="13"/>
          <w:w w:val="105"/>
        </w:rPr>
        <w:t xml:space="preserve"> </w:t>
      </w:r>
      <w:r w:rsidRPr="00C1546B">
        <w:rPr>
          <w:rFonts w:ascii="Calibri" w:hAnsi="Calibri"/>
          <w:color w:val="231F20"/>
          <w:w w:val="105"/>
        </w:rPr>
        <w:t>less</w:t>
      </w:r>
      <w:r w:rsidRPr="00C1546B">
        <w:rPr>
          <w:rFonts w:ascii="Calibri" w:hAnsi="Calibri"/>
          <w:color w:val="231F20"/>
          <w:spacing w:val="13"/>
          <w:w w:val="105"/>
        </w:rPr>
        <w:t xml:space="preserve"> </w:t>
      </w:r>
      <w:r w:rsidRPr="00C1546B">
        <w:rPr>
          <w:rFonts w:ascii="Calibri" w:hAnsi="Calibri"/>
          <w:color w:val="231F20"/>
          <w:w w:val="105"/>
        </w:rPr>
        <w:t>when</w:t>
      </w:r>
      <w:r w:rsidRPr="00C1546B">
        <w:rPr>
          <w:rFonts w:ascii="Calibri" w:hAnsi="Calibri"/>
          <w:color w:val="231F20"/>
          <w:spacing w:val="13"/>
          <w:w w:val="105"/>
        </w:rPr>
        <w:t xml:space="preserve"> </w:t>
      </w:r>
      <w:r w:rsidRPr="00C1546B">
        <w:rPr>
          <w:rFonts w:ascii="Calibri" w:hAnsi="Calibri"/>
          <w:color w:val="231F20"/>
          <w:w w:val="105"/>
        </w:rPr>
        <w:t>compared</w:t>
      </w:r>
      <w:r w:rsidRPr="00C1546B">
        <w:rPr>
          <w:rFonts w:ascii="Calibri" w:hAnsi="Calibri"/>
          <w:color w:val="231F20"/>
          <w:spacing w:val="13"/>
          <w:w w:val="105"/>
        </w:rPr>
        <w:t xml:space="preserve"> </w:t>
      </w:r>
      <w:r w:rsidRPr="00C1546B">
        <w:rPr>
          <w:rFonts w:ascii="Calibri" w:hAnsi="Calibri"/>
          <w:color w:val="231F20"/>
          <w:w w:val="105"/>
        </w:rPr>
        <w:t>to</w:t>
      </w:r>
      <w:r w:rsidRPr="00C1546B">
        <w:rPr>
          <w:rFonts w:ascii="Calibri" w:hAnsi="Calibri"/>
          <w:color w:val="231F20"/>
          <w:spacing w:val="13"/>
          <w:w w:val="105"/>
        </w:rPr>
        <w:t xml:space="preserve"> </w:t>
      </w:r>
      <w:r w:rsidRPr="00C1546B">
        <w:rPr>
          <w:rFonts w:ascii="Calibri" w:hAnsi="Calibri"/>
          <w:color w:val="231F20"/>
          <w:w w:val="105"/>
        </w:rPr>
        <w:t>November 2016 (+34,900,</w:t>
      </w:r>
      <w:r w:rsidRPr="00C1546B">
        <w:rPr>
          <w:rFonts w:ascii="Calibri" w:hAnsi="Calibri"/>
          <w:color w:val="231F20"/>
          <w:spacing w:val="13"/>
          <w:w w:val="105"/>
        </w:rPr>
        <w:t xml:space="preserve"> </w:t>
      </w:r>
      <w:r w:rsidRPr="00C1546B">
        <w:rPr>
          <w:rFonts w:ascii="Calibri" w:hAnsi="Calibri"/>
          <w:color w:val="231F20"/>
          <w:w w:val="105"/>
        </w:rPr>
        <w:t>+2.1</w:t>
      </w:r>
      <w:r w:rsidRPr="00C1546B">
        <w:rPr>
          <w:rFonts w:ascii="Calibri" w:hAnsi="Calibri"/>
          <w:color w:val="231F20"/>
          <w:spacing w:val="13"/>
          <w:w w:val="105"/>
        </w:rPr>
        <w:t xml:space="preserve"> </w:t>
      </w:r>
      <w:r w:rsidRPr="00C1546B">
        <w:rPr>
          <w:rFonts w:ascii="Calibri" w:hAnsi="Calibri"/>
          <w:color w:val="231F20"/>
          <w:w w:val="105"/>
        </w:rPr>
        <w:t>percent)</w:t>
      </w:r>
      <w:r w:rsidR="005E7C49">
        <w:rPr>
          <w:rFonts w:ascii="Calibri" w:hAnsi="Calibri"/>
          <w:color w:val="231F20"/>
          <w:w w:val="105"/>
        </w:rPr>
        <w:t xml:space="preserve">. </w:t>
      </w:r>
      <w:r w:rsidRPr="00C1546B">
        <w:rPr>
          <w:rFonts w:ascii="Calibri" w:hAnsi="Calibri"/>
          <w:color w:val="231F20"/>
          <w:w w:val="105"/>
        </w:rPr>
        <w:t>The</w:t>
      </w:r>
      <w:r w:rsidRPr="00C1546B">
        <w:rPr>
          <w:rFonts w:ascii="Calibri" w:hAnsi="Calibri"/>
          <w:color w:val="231F20"/>
          <w:spacing w:val="13"/>
          <w:w w:val="105"/>
        </w:rPr>
        <w:t xml:space="preserve"> </w:t>
      </w:r>
      <w:r w:rsidRPr="00C1546B">
        <w:rPr>
          <w:rFonts w:ascii="Calibri" w:hAnsi="Calibri"/>
          <w:color w:val="231F20"/>
          <w:w w:val="105"/>
        </w:rPr>
        <w:t>number</w:t>
      </w:r>
      <w:r w:rsidRPr="00C1546B">
        <w:rPr>
          <w:rFonts w:ascii="Calibri" w:hAnsi="Calibri"/>
          <w:color w:val="231F20"/>
          <w:spacing w:val="13"/>
          <w:w w:val="105"/>
        </w:rPr>
        <w:t xml:space="preserve"> </w:t>
      </w:r>
      <w:r w:rsidRPr="00C1546B">
        <w:rPr>
          <w:rFonts w:ascii="Calibri" w:hAnsi="Calibri"/>
          <w:color w:val="231F20"/>
          <w:w w:val="105"/>
        </w:rPr>
        <w:t>of</w:t>
      </w:r>
      <w:r w:rsidRPr="00C1546B">
        <w:rPr>
          <w:rFonts w:ascii="Calibri" w:hAnsi="Calibri"/>
          <w:color w:val="231F20"/>
          <w:spacing w:val="13"/>
          <w:w w:val="105"/>
        </w:rPr>
        <w:t xml:space="preserve"> </w:t>
      </w:r>
      <w:r w:rsidRPr="00C1546B">
        <w:rPr>
          <w:rFonts w:ascii="Calibri" w:hAnsi="Calibri"/>
          <w:color w:val="231F20"/>
          <w:w w:val="105"/>
        </w:rPr>
        <w:t>jobs</w:t>
      </w:r>
      <w:r w:rsidRPr="00C1546B">
        <w:rPr>
          <w:rFonts w:ascii="Calibri" w:hAnsi="Calibri"/>
          <w:color w:val="231F20"/>
          <w:spacing w:val="13"/>
          <w:w w:val="105"/>
        </w:rPr>
        <w:t xml:space="preserve"> </w:t>
      </w:r>
      <w:r w:rsidRPr="00C1546B">
        <w:rPr>
          <w:rFonts w:ascii="Calibri" w:hAnsi="Calibri"/>
          <w:color w:val="231F20"/>
          <w:w w:val="105"/>
        </w:rPr>
        <w:t>in</w:t>
      </w:r>
      <w:r w:rsidRPr="00C1546B">
        <w:rPr>
          <w:rFonts w:ascii="Calibri" w:hAnsi="Calibri"/>
          <w:color w:val="231F20"/>
          <w:spacing w:val="13"/>
          <w:w w:val="105"/>
        </w:rPr>
        <w:t xml:space="preserve"> </w:t>
      </w:r>
      <w:r w:rsidRPr="00C1546B">
        <w:rPr>
          <w:rFonts w:ascii="Calibri" w:hAnsi="Calibri"/>
          <w:color w:val="231F20"/>
          <w:w w:val="105"/>
        </w:rPr>
        <w:t>this</w:t>
      </w:r>
      <w:r w:rsidRPr="00C1546B">
        <w:rPr>
          <w:rFonts w:ascii="Calibri" w:hAnsi="Calibri"/>
          <w:color w:val="231F20"/>
          <w:spacing w:val="13"/>
          <w:w w:val="105"/>
        </w:rPr>
        <w:t xml:space="preserve"> </w:t>
      </w:r>
      <w:r w:rsidRPr="00C1546B">
        <w:rPr>
          <w:rFonts w:ascii="Calibri" w:hAnsi="Calibri"/>
          <w:color w:val="231F20"/>
          <w:w w:val="105"/>
        </w:rPr>
        <w:t>sector</w:t>
      </w:r>
      <w:r w:rsidRPr="00C1546B">
        <w:rPr>
          <w:rFonts w:ascii="Calibri" w:hAnsi="Calibri"/>
          <w:color w:val="231F20"/>
          <w:spacing w:val="13"/>
          <w:w w:val="105"/>
        </w:rPr>
        <w:t xml:space="preserve"> </w:t>
      </w:r>
      <w:r w:rsidRPr="00C1546B">
        <w:rPr>
          <w:rFonts w:ascii="Calibri" w:hAnsi="Calibri"/>
          <w:color w:val="231F20"/>
          <w:w w:val="105"/>
        </w:rPr>
        <w:t>has</w:t>
      </w:r>
      <w:r w:rsidRPr="00C1546B">
        <w:rPr>
          <w:rFonts w:ascii="Calibri" w:hAnsi="Calibri"/>
          <w:color w:val="231F20"/>
          <w:spacing w:val="13"/>
          <w:w w:val="105"/>
        </w:rPr>
        <w:t xml:space="preserve"> </w:t>
      </w:r>
      <w:r w:rsidRPr="00C1546B">
        <w:rPr>
          <w:rFonts w:ascii="Calibri" w:hAnsi="Calibri"/>
          <w:color w:val="231F20"/>
          <w:w w:val="105"/>
        </w:rPr>
        <w:t>been</w:t>
      </w:r>
      <w:r w:rsidRPr="00C1546B">
        <w:rPr>
          <w:rFonts w:ascii="Calibri" w:hAnsi="Calibri"/>
          <w:color w:val="231F20"/>
          <w:spacing w:val="13"/>
          <w:w w:val="105"/>
        </w:rPr>
        <w:t xml:space="preserve"> </w:t>
      </w:r>
      <w:r w:rsidRPr="00C1546B">
        <w:rPr>
          <w:rFonts w:ascii="Calibri" w:hAnsi="Calibri"/>
          <w:color w:val="231F20"/>
          <w:w w:val="105"/>
        </w:rPr>
        <w:t>trending</w:t>
      </w:r>
      <w:r w:rsidRPr="00C1546B">
        <w:rPr>
          <w:rFonts w:ascii="Calibri" w:hAnsi="Calibri"/>
          <w:color w:val="231F20"/>
          <w:spacing w:val="13"/>
          <w:w w:val="105"/>
        </w:rPr>
        <w:t xml:space="preserve"> </w:t>
      </w:r>
      <w:r w:rsidRPr="00C1546B">
        <w:rPr>
          <w:rFonts w:ascii="Calibri" w:hAnsi="Calibri"/>
          <w:color w:val="231F20"/>
          <w:w w:val="105"/>
        </w:rPr>
        <w:t>upward</w:t>
      </w:r>
      <w:r w:rsidRPr="00C1546B">
        <w:rPr>
          <w:rFonts w:ascii="Calibri" w:hAnsi="Calibri"/>
          <w:color w:val="231F20"/>
          <w:spacing w:val="13"/>
          <w:w w:val="105"/>
        </w:rPr>
        <w:t xml:space="preserve"> </w:t>
      </w:r>
      <w:r w:rsidRPr="00C1546B">
        <w:rPr>
          <w:rFonts w:ascii="Calibri" w:hAnsi="Calibri"/>
          <w:color w:val="231F20"/>
          <w:w w:val="105"/>
        </w:rPr>
        <w:t>over</w:t>
      </w:r>
      <w:r w:rsidRPr="00C1546B">
        <w:rPr>
          <w:rFonts w:ascii="Calibri" w:hAnsi="Calibri"/>
          <w:color w:val="231F20"/>
          <w:spacing w:val="13"/>
          <w:w w:val="105"/>
        </w:rPr>
        <w:t xml:space="preserve"> </w:t>
      </w:r>
      <w:r w:rsidRPr="00C1546B">
        <w:rPr>
          <w:rFonts w:ascii="Calibri" w:hAnsi="Calibri"/>
          <w:color w:val="231F20"/>
          <w:w w:val="105"/>
        </w:rPr>
        <w:t>the</w:t>
      </w:r>
      <w:r w:rsidRPr="00C1546B">
        <w:rPr>
          <w:rFonts w:ascii="Calibri" w:hAnsi="Calibri"/>
          <w:color w:val="231F20"/>
          <w:spacing w:val="13"/>
          <w:w w:val="105"/>
        </w:rPr>
        <w:t xml:space="preserve"> </w:t>
      </w:r>
      <w:r w:rsidRPr="00C1546B">
        <w:rPr>
          <w:rFonts w:ascii="Calibri" w:hAnsi="Calibri"/>
          <w:color w:val="231F20"/>
          <w:w w:val="105"/>
        </w:rPr>
        <w:t>past</w:t>
      </w:r>
      <w:r w:rsidRPr="00C1546B">
        <w:rPr>
          <w:rFonts w:ascii="Calibri" w:hAnsi="Calibri"/>
          <w:color w:val="231F20"/>
          <w:spacing w:val="13"/>
          <w:w w:val="105"/>
        </w:rPr>
        <w:t xml:space="preserve"> </w:t>
      </w:r>
      <w:r w:rsidRPr="00C1546B">
        <w:rPr>
          <w:rFonts w:ascii="Calibri" w:hAnsi="Calibri"/>
          <w:color w:val="231F20"/>
          <w:w w:val="105"/>
        </w:rPr>
        <w:t>seven</w:t>
      </w:r>
      <w:r w:rsidRPr="00C1546B">
        <w:rPr>
          <w:rFonts w:ascii="Calibri" w:hAnsi="Calibri"/>
          <w:color w:val="231F20"/>
          <w:spacing w:val="13"/>
          <w:w w:val="105"/>
        </w:rPr>
        <w:t xml:space="preserve"> </w:t>
      </w:r>
      <w:r w:rsidRPr="00C1546B">
        <w:rPr>
          <w:rFonts w:ascii="Calibri" w:hAnsi="Calibri"/>
          <w:color w:val="231F20"/>
          <w:w w:val="105"/>
        </w:rPr>
        <w:t>years</w:t>
      </w:r>
      <w:r w:rsidR="005E7C49">
        <w:rPr>
          <w:rFonts w:ascii="Calibri" w:hAnsi="Calibri"/>
          <w:color w:val="231F20"/>
          <w:w w:val="105"/>
        </w:rPr>
        <w:t xml:space="preserve">. </w:t>
      </w:r>
    </w:p>
    <w:p w14:paraId="0E5218FE" w14:textId="77777777" w:rsidR="00002D76" w:rsidRDefault="00002D76" w:rsidP="00002D76">
      <w:pPr>
        <w:widowControl w:val="0"/>
        <w:spacing w:after="0" w:line="264" w:lineRule="exact"/>
        <w:ind w:left="107" w:right="281"/>
        <w:rPr>
          <w:rFonts w:ascii="Calibri" w:hAnsi="Calibri"/>
          <w:color w:val="231F20"/>
          <w:w w:val="105"/>
        </w:rPr>
      </w:pPr>
    </w:p>
    <w:p w14:paraId="7E95833D" w14:textId="77777777" w:rsidR="00002D76" w:rsidRPr="00041D0F" w:rsidRDefault="00002D76" w:rsidP="00D63204">
      <w:pPr>
        <w:widowControl w:val="0"/>
        <w:spacing w:after="0" w:line="264" w:lineRule="exact"/>
        <w:ind w:left="107" w:right="281"/>
        <w:rPr>
          <w:rFonts w:ascii="Calibri" w:hAnsi="Calibri"/>
          <w:b/>
          <w:color w:val="231F20"/>
          <w:w w:val="105"/>
        </w:rPr>
      </w:pPr>
      <w:r w:rsidRPr="00041D0F">
        <w:rPr>
          <w:rFonts w:ascii="Calibri" w:hAnsi="Calibri"/>
          <w:b/>
          <w:color w:val="231F20"/>
          <w:w w:val="105"/>
        </w:rPr>
        <w:t>Figure 2.25</w:t>
      </w:r>
    </w:p>
    <w:p w14:paraId="48D8B97D" w14:textId="5531D3EE" w:rsidR="00002D76" w:rsidRPr="00F10A18" w:rsidRDefault="00002D76" w:rsidP="00D63204">
      <w:pPr>
        <w:widowControl w:val="0"/>
        <w:spacing w:after="0" w:line="264" w:lineRule="exact"/>
        <w:ind w:left="107" w:right="281"/>
        <w:rPr>
          <w:rFonts w:ascii="Calibri" w:hAnsi="Calibri"/>
          <w:b/>
          <w:color w:val="231F20"/>
          <w:w w:val="105"/>
        </w:rPr>
      </w:pPr>
      <w:r w:rsidRPr="00041D0F">
        <w:rPr>
          <w:noProof/>
        </w:rPr>
        <w:drawing>
          <wp:anchor distT="0" distB="0" distL="114300" distR="114300" simplePos="0" relativeHeight="251658250" behindDoc="1" locked="0" layoutInCell="1" allowOverlap="1" wp14:anchorId="717820C4" wp14:editId="40D3241B">
            <wp:simplePos x="0" y="0"/>
            <wp:positionH relativeFrom="margin">
              <wp:align>center</wp:align>
            </wp:positionH>
            <wp:positionV relativeFrom="paragraph">
              <wp:posOffset>245044</wp:posOffset>
            </wp:positionV>
            <wp:extent cx="5949315" cy="3110865"/>
            <wp:effectExtent l="0" t="0" r="0" b="0"/>
            <wp:wrapTopAndBottom/>
            <wp:docPr id="1402719348" name="Chart 1402719348" descr="The line graph shows the trade, transportation and utilities industries peaked in May 2007 at 1,647,600 jobs and rapidly declined until 2010. Industry employment is 120,000 jobs above its 2007 peak. In November 2017, employment was 1,767,600. The over the year change in November 2017 (+33,500 jobs, +1.9 percent) was 1,400 less when compared to November 2016 (+34,900, +2.1 percent). Jobs in this sector trended upward over the past seven years. " title="Figure 2.25 Florida Trade, Transportation, and Utilities Employment, Seasonally Adjusted"/>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14:sizeRelH relativeFrom="margin">
              <wp14:pctWidth>0</wp14:pctWidth>
            </wp14:sizeRelH>
            <wp14:sizeRelV relativeFrom="margin">
              <wp14:pctHeight>0</wp14:pctHeight>
            </wp14:sizeRelV>
          </wp:anchor>
        </w:drawing>
      </w:r>
      <w:r w:rsidRPr="00041D0F">
        <w:rPr>
          <w:rFonts w:ascii="Calibri" w:hAnsi="Calibri"/>
          <w:b/>
          <w:color w:val="231F20"/>
          <w:w w:val="105"/>
        </w:rPr>
        <w:t>Florida Trade, Transportation</w:t>
      </w:r>
      <w:r w:rsidR="00D5537E">
        <w:rPr>
          <w:rFonts w:ascii="Calibri" w:hAnsi="Calibri"/>
          <w:b/>
          <w:color w:val="231F20"/>
          <w:w w:val="105"/>
        </w:rPr>
        <w:t xml:space="preserve"> and</w:t>
      </w:r>
      <w:r w:rsidRPr="00041D0F">
        <w:rPr>
          <w:rFonts w:ascii="Calibri" w:hAnsi="Calibri"/>
          <w:b/>
          <w:color w:val="231F20"/>
          <w:w w:val="105"/>
        </w:rPr>
        <w:t xml:space="preserve"> Utilities Employment</w:t>
      </w:r>
      <w:r>
        <w:rPr>
          <w:rFonts w:ascii="Calibri" w:hAnsi="Calibri"/>
          <w:b/>
          <w:color w:val="231F20"/>
          <w:w w:val="105"/>
        </w:rPr>
        <w:t>,</w:t>
      </w:r>
      <w:r w:rsidRPr="00041D0F">
        <w:rPr>
          <w:rFonts w:ascii="Calibri" w:hAnsi="Calibri"/>
          <w:b/>
          <w:color w:val="231F20"/>
          <w:w w:val="105"/>
        </w:rPr>
        <w:t xml:space="preserve"> Seasonally Adjusted</w:t>
      </w:r>
    </w:p>
    <w:p w14:paraId="3D50D3D7" w14:textId="77777777" w:rsidR="00002D76" w:rsidRPr="00283FC3" w:rsidRDefault="00002D76" w:rsidP="00002D76">
      <w:pPr>
        <w:widowControl w:val="0"/>
        <w:spacing w:after="0" w:line="264" w:lineRule="exact"/>
        <w:ind w:left="720" w:right="281"/>
        <w:rPr>
          <w:rFonts w:ascii="Calibri" w:hAnsi="Calibri"/>
          <w:color w:val="231F20"/>
          <w:w w:val="105"/>
        </w:rPr>
      </w:pPr>
      <w:r w:rsidRPr="00041D0F">
        <w:rPr>
          <w:rFonts w:ascii="Calibri" w:hAnsi="Calibri"/>
          <w:w w:val="105"/>
          <w:sz w:val="18"/>
        </w:rPr>
        <w:t xml:space="preserve">Source: </w:t>
      </w:r>
      <w:r>
        <w:rPr>
          <w:rFonts w:ascii="Calibri" w:hAnsi="Calibri"/>
          <w:w w:val="105"/>
          <w:sz w:val="18"/>
        </w:rPr>
        <w:t xml:space="preserve"> </w:t>
      </w:r>
      <w:r w:rsidRPr="00041D0F">
        <w:rPr>
          <w:rFonts w:ascii="Calibri" w:hAnsi="Calibri"/>
          <w:w w:val="105"/>
          <w:sz w:val="18"/>
        </w:rPr>
        <w:t xml:space="preserve">U.S. Department of </w:t>
      </w:r>
      <w:r w:rsidRPr="00041D0F">
        <w:rPr>
          <w:rFonts w:ascii="Calibri" w:hAnsi="Calibri"/>
          <w:spacing w:val="-3"/>
          <w:w w:val="105"/>
          <w:sz w:val="18"/>
        </w:rPr>
        <w:t xml:space="preserve">Labor, </w:t>
      </w:r>
      <w:r w:rsidRPr="00041D0F">
        <w:rPr>
          <w:rFonts w:ascii="Calibri" w:hAnsi="Calibri"/>
          <w:w w:val="105"/>
          <w:sz w:val="18"/>
        </w:rPr>
        <w:t xml:space="preserve">Bureau of Labor Statistics, Current Employment </w:t>
      </w:r>
      <w:r>
        <w:rPr>
          <w:rFonts w:ascii="Calibri" w:hAnsi="Calibri"/>
          <w:w w:val="105"/>
          <w:sz w:val="18"/>
        </w:rPr>
        <w:t xml:space="preserve">Statistics Program, </w:t>
      </w:r>
      <w:r>
        <w:rPr>
          <w:rFonts w:ascii="Calibri" w:hAnsi="Calibri"/>
          <w:color w:val="231F20"/>
          <w:w w:val="105"/>
          <w:sz w:val="18"/>
        </w:rPr>
        <w:t>December</w:t>
      </w:r>
      <w:r w:rsidRPr="00041D0F">
        <w:rPr>
          <w:rFonts w:ascii="Calibri" w:hAnsi="Calibri"/>
          <w:color w:val="231F20"/>
          <w:spacing w:val="25"/>
          <w:w w:val="105"/>
          <w:sz w:val="18"/>
        </w:rPr>
        <w:t xml:space="preserve"> </w:t>
      </w:r>
      <w:r>
        <w:rPr>
          <w:rFonts w:ascii="Calibri" w:hAnsi="Calibri"/>
          <w:color w:val="231F20"/>
          <w:w w:val="105"/>
          <w:sz w:val="18"/>
        </w:rPr>
        <w:t>2017.</w:t>
      </w:r>
    </w:p>
    <w:p w14:paraId="60DBBA5E" w14:textId="77777777" w:rsidR="00002D76" w:rsidRPr="00EA7458" w:rsidRDefault="00002D76" w:rsidP="00002D76">
      <w:pPr>
        <w:widowControl w:val="0"/>
        <w:spacing w:after="0" w:line="216" w:lineRule="exact"/>
        <w:rPr>
          <w:rFonts w:ascii="Calibri" w:hAnsi="Calibri" w:cs="Calibri"/>
          <w:sz w:val="18"/>
          <w:szCs w:val="18"/>
        </w:rPr>
        <w:sectPr w:rsidR="00002D76" w:rsidRPr="00EA7458">
          <w:pgSz w:w="12240" w:h="15840"/>
          <w:pgMar w:top="1620" w:right="900" w:bottom="820" w:left="900" w:header="812" w:footer="624" w:gutter="0"/>
          <w:cols w:space="720"/>
        </w:sectPr>
      </w:pPr>
    </w:p>
    <w:p w14:paraId="68898B20" w14:textId="77777777" w:rsidR="00002D76" w:rsidRPr="00EA7458" w:rsidRDefault="00002D76" w:rsidP="00002D76">
      <w:pPr>
        <w:widowControl w:val="0"/>
        <w:spacing w:before="4" w:after="0" w:line="240" w:lineRule="auto"/>
        <w:rPr>
          <w:rFonts w:ascii="Calibri" w:hAnsi="Calibri" w:cs="Calibri"/>
          <w:sz w:val="14"/>
          <w:szCs w:val="14"/>
        </w:rPr>
      </w:pPr>
    </w:p>
    <w:p w14:paraId="7FAB48CD" w14:textId="77777777" w:rsidR="00002D76" w:rsidRPr="00196B06" w:rsidRDefault="00002D76" w:rsidP="00D63204">
      <w:pPr>
        <w:widowControl w:val="0"/>
        <w:spacing w:before="63" w:after="0" w:line="240" w:lineRule="auto"/>
        <w:ind w:left="107"/>
        <w:outlineLvl w:val="3"/>
        <w:rPr>
          <w:rFonts w:ascii="Gill Sans MT" w:hAnsi="Gill Sans MT"/>
        </w:rPr>
      </w:pPr>
      <w:bookmarkStart w:id="38" w:name="_bookmark26"/>
      <w:bookmarkEnd w:id="38"/>
      <w:r w:rsidRPr="00196B06">
        <w:rPr>
          <w:rFonts w:ascii="Gill Sans MT" w:hAnsi="Gill Sans MT"/>
          <w:b/>
          <w:bCs/>
          <w:i/>
          <w:color w:val="231F20"/>
        </w:rPr>
        <w:t>Information</w:t>
      </w:r>
    </w:p>
    <w:p w14:paraId="6914DC2D" w14:textId="05DBF3F2" w:rsidR="00002D76" w:rsidRPr="00196B06" w:rsidRDefault="00002D76" w:rsidP="00D63204">
      <w:pPr>
        <w:widowControl w:val="0"/>
        <w:spacing w:before="2" w:after="0" w:line="264" w:lineRule="exact"/>
        <w:ind w:left="107" w:right="281"/>
        <w:rPr>
          <w:rFonts w:ascii="Calibri" w:hAnsi="Calibri"/>
        </w:rPr>
      </w:pPr>
      <w:r w:rsidRPr="00196B06">
        <w:rPr>
          <w:rFonts w:ascii="Calibri" w:hAnsi="Calibri"/>
          <w:color w:val="231F20"/>
          <w:w w:val="105"/>
        </w:rPr>
        <w:t>Florida</w:t>
      </w:r>
      <w:r w:rsidRPr="00196B06">
        <w:rPr>
          <w:rFonts w:ascii="Calibri" w:hAnsi="Calibri"/>
          <w:color w:val="231F20"/>
          <w:spacing w:val="12"/>
          <w:w w:val="105"/>
        </w:rPr>
        <w:t xml:space="preserve"> </w:t>
      </w:r>
      <w:r w:rsidRPr="00196B06">
        <w:rPr>
          <w:rFonts w:ascii="Calibri" w:hAnsi="Calibri"/>
          <w:color w:val="231F20"/>
          <w:w w:val="105"/>
        </w:rPr>
        <w:t>experienced</w:t>
      </w:r>
      <w:r w:rsidRPr="00196B06">
        <w:rPr>
          <w:rFonts w:ascii="Calibri" w:hAnsi="Calibri"/>
          <w:color w:val="231F20"/>
          <w:spacing w:val="12"/>
          <w:w w:val="105"/>
        </w:rPr>
        <w:t xml:space="preserve"> </w:t>
      </w:r>
      <w:r w:rsidRPr="00196B06">
        <w:rPr>
          <w:rFonts w:ascii="Calibri" w:hAnsi="Calibri"/>
          <w:color w:val="231F20"/>
          <w:w w:val="105"/>
        </w:rPr>
        <w:t>large</w:t>
      </w:r>
      <w:r w:rsidRPr="00196B06">
        <w:rPr>
          <w:rFonts w:ascii="Calibri" w:hAnsi="Calibri"/>
          <w:color w:val="231F20"/>
          <w:spacing w:val="12"/>
          <w:w w:val="105"/>
        </w:rPr>
        <w:t xml:space="preserve"> </w:t>
      </w:r>
      <w:r w:rsidRPr="00196B06">
        <w:rPr>
          <w:rFonts w:ascii="Calibri" w:hAnsi="Calibri"/>
          <w:color w:val="231F20"/>
          <w:w w:val="105"/>
        </w:rPr>
        <w:t>declines</w:t>
      </w:r>
      <w:r w:rsidRPr="00196B06">
        <w:rPr>
          <w:rFonts w:ascii="Calibri" w:hAnsi="Calibri"/>
          <w:color w:val="231F20"/>
          <w:spacing w:val="12"/>
          <w:w w:val="105"/>
        </w:rPr>
        <w:t xml:space="preserve"> </w:t>
      </w:r>
      <w:r w:rsidRPr="00196B06">
        <w:rPr>
          <w:rFonts w:ascii="Calibri" w:hAnsi="Calibri"/>
          <w:color w:val="231F20"/>
          <w:w w:val="105"/>
        </w:rPr>
        <w:t>in</w:t>
      </w:r>
      <w:r w:rsidRPr="00196B06">
        <w:rPr>
          <w:rFonts w:ascii="Calibri" w:hAnsi="Calibri"/>
          <w:color w:val="231F20"/>
          <w:spacing w:val="12"/>
          <w:w w:val="105"/>
        </w:rPr>
        <w:t xml:space="preserve"> </w:t>
      </w:r>
      <w:r w:rsidRPr="00196B06">
        <w:rPr>
          <w:rFonts w:ascii="Calibri" w:hAnsi="Calibri"/>
          <w:color w:val="231F20"/>
          <w:w w:val="105"/>
        </w:rPr>
        <w:t>information</w:t>
      </w:r>
      <w:r w:rsidRPr="00196B06">
        <w:rPr>
          <w:rFonts w:ascii="Calibri" w:hAnsi="Calibri"/>
          <w:color w:val="231F20"/>
          <w:spacing w:val="12"/>
          <w:w w:val="105"/>
        </w:rPr>
        <w:t xml:space="preserve"> </w:t>
      </w:r>
      <w:r w:rsidRPr="00196B06">
        <w:rPr>
          <w:rFonts w:ascii="Calibri" w:hAnsi="Calibri"/>
          <w:color w:val="231F20"/>
          <w:w w:val="105"/>
        </w:rPr>
        <w:t>employment</w:t>
      </w:r>
      <w:r w:rsidRPr="00196B06">
        <w:rPr>
          <w:rFonts w:ascii="Calibri" w:hAnsi="Calibri"/>
          <w:color w:val="231F20"/>
          <w:spacing w:val="12"/>
          <w:w w:val="105"/>
        </w:rPr>
        <w:t xml:space="preserve"> </w:t>
      </w:r>
      <w:r w:rsidRPr="00196B06">
        <w:rPr>
          <w:rFonts w:ascii="Calibri" w:hAnsi="Calibri"/>
          <w:color w:val="231F20"/>
          <w:w w:val="105"/>
        </w:rPr>
        <w:t>from</w:t>
      </w:r>
      <w:r w:rsidRPr="00196B06">
        <w:rPr>
          <w:rFonts w:ascii="Calibri" w:hAnsi="Calibri"/>
          <w:color w:val="231F20"/>
          <w:spacing w:val="12"/>
          <w:w w:val="105"/>
        </w:rPr>
        <w:t xml:space="preserve"> </w:t>
      </w:r>
      <w:r w:rsidRPr="00196B06">
        <w:rPr>
          <w:rFonts w:ascii="Calibri" w:hAnsi="Calibri"/>
          <w:color w:val="231F20"/>
          <w:w w:val="105"/>
        </w:rPr>
        <w:t>2001</w:t>
      </w:r>
      <w:r w:rsidRPr="00196B06">
        <w:rPr>
          <w:rFonts w:ascii="Calibri" w:hAnsi="Calibri"/>
          <w:color w:val="231F20"/>
          <w:spacing w:val="12"/>
          <w:w w:val="105"/>
        </w:rPr>
        <w:t xml:space="preserve"> </w:t>
      </w:r>
      <w:r w:rsidRPr="00196B06">
        <w:rPr>
          <w:rFonts w:ascii="Calibri" w:hAnsi="Calibri"/>
          <w:color w:val="231F20"/>
          <w:w w:val="105"/>
        </w:rPr>
        <w:t>to</w:t>
      </w:r>
      <w:r w:rsidRPr="00196B06">
        <w:rPr>
          <w:rFonts w:ascii="Calibri" w:hAnsi="Calibri"/>
          <w:color w:val="231F20"/>
          <w:spacing w:val="12"/>
          <w:w w:val="105"/>
        </w:rPr>
        <w:t xml:space="preserve"> </w:t>
      </w:r>
      <w:r w:rsidRPr="00196B06">
        <w:rPr>
          <w:rFonts w:ascii="Calibri" w:hAnsi="Calibri"/>
          <w:color w:val="231F20"/>
          <w:w w:val="105"/>
        </w:rPr>
        <w:t>2004</w:t>
      </w:r>
      <w:r w:rsidRPr="00196B06">
        <w:rPr>
          <w:rFonts w:ascii="Calibri" w:hAnsi="Calibri"/>
          <w:color w:val="231F20"/>
          <w:spacing w:val="12"/>
          <w:w w:val="105"/>
        </w:rPr>
        <w:t xml:space="preserve"> </w:t>
      </w:r>
      <w:r w:rsidRPr="00196B06">
        <w:rPr>
          <w:rFonts w:ascii="Calibri" w:hAnsi="Calibri"/>
          <w:color w:val="231F20"/>
          <w:w w:val="105"/>
        </w:rPr>
        <w:t>due</w:t>
      </w:r>
      <w:r w:rsidRPr="00196B06">
        <w:rPr>
          <w:rFonts w:ascii="Calibri" w:hAnsi="Calibri"/>
          <w:color w:val="231F20"/>
          <w:spacing w:val="12"/>
          <w:w w:val="105"/>
        </w:rPr>
        <w:t xml:space="preserve"> </w:t>
      </w:r>
      <w:r w:rsidRPr="00196B06">
        <w:rPr>
          <w:rFonts w:ascii="Calibri" w:hAnsi="Calibri"/>
          <w:color w:val="231F20"/>
          <w:w w:val="105"/>
        </w:rPr>
        <w:t>to</w:t>
      </w:r>
      <w:r w:rsidRPr="00196B06">
        <w:rPr>
          <w:rFonts w:ascii="Calibri" w:hAnsi="Calibri"/>
          <w:color w:val="231F20"/>
          <w:spacing w:val="12"/>
          <w:w w:val="105"/>
        </w:rPr>
        <w:t xml:space="preserve"> </w:t>
      </w:r>
      <w:r w:rsidRPr="00196B06">
        <w:rPr>
          <w:rFonts w:ascii="Calibri" w:hAnsi="Calibri"/>
          <w:color w:val="231F20"/>
          <w:w w:val="105"/>
        </w:rPr>
        <w:t>the</w:t>
      </w:r>
      <w:r w:rsidRPr="00196B06">
        <w:rPr>
          <w:rFonts w:ascii="Calibri" w:hAnsi="Calibri"/>
          <w:color w:val="231F20"/>
          <w:spacing w:val="12"/>
          <w:w w:val="105"/>
        </w:rPr>
        <w:t xml:space="preserve"> </w:t>
      </w:r>
      <w:r w:rsidRPr="00196B06">
        <w:rPr>
          <w:rFonts w:ascii="Calibri" w:hAnsi="Calibri"/>
          <w:color w:val="231F20"/>
          <w:w w:val="105"/>
        </w:rPr>
        <w:t>bursting</w:t>
      </w:r>
      <w:r w:rsidRPr="00196B06">
        <w:rPr>
          <w:rFonts w:ascii="Calibri" w:hAnsi="Calibri"/>
          <w:color w:val="231F20"/>
          <w:spacing w:val="12"/>
          <w:w w:val="105"/>
        </w:rPr>
        <w:t xml:space="preserve"> </w:t>
      </w:r>
      <w:r w:rsidRPr="00196B06">
        <w:rPr>
          <w:rFonts w:ascii="Calibri" w:hAnsi="Calibri"/>
          <w:color w:val="231F20"/>
          <w:w w:val="105"/>
        </w:rPr>
        <w:t>of</w:t>
      </w:r>
      <w:r w:rsidRPr="00196B06">
        <w:rPr>
          <w:rFonts w:ascii="Calibri" w:hAnsi="Calibri"/>
          <w:color w:val="231F20"/>
          <w:spacing w:val="-41"/>
          <w:w w:val="105"/>
        </w:rPr>
        <w:t xml:space="preserve"> </w:t>
      </w:r>
      <w:r w:rsidRPr="00196B06">
        <w:rPr>
          <w:rFonts w:ascii="Calibri" w:hAnsi="Calibri"/>
          <w:color w:val="231F20"/>
          <w:w w:val="105"/>
        </w:rPr>
        <w:t>the</w:t>
      </w:r>
      <w:r w:rsidRPr="00196B06">
        <w:rPr>
          <w:rFonts w:ascii="Calibri" w:hAnsi="Calibri"/>
          <w:color w:val="231F20"/>
          <w:spacing w:val="13"/>
          <w:w w:val="105"/>
        </w:rPr>
        <w:t xml:space="preserve"> </w:t>
      </w:r>
      <w:r w:rsidRPr="00196B06">
        <w:rPr>
          <w:rFonts w:ascii="Calibri" w:hAnsi="Calibri"/>
          <w:color w:val="231F20"/>
          <w:w w:val="105"/>
        </w:rPr>
        <w:t>tech</w:t>
      </w:r>
      <w:r w:rsidRPr="00196B06">
        <w:rPr>
          <w:rFonts w:ascii="Calibri" w:hAnsi="Calibri"/>
          <w:color w:val="231F20"/>
          <w:spacing w:val="13"/>
          <w:w w:val="105"/>
        </w:rPr>
        <w:t xml:space="preserve"> </w:t>
      </w:r>
      <w:r w:rsidRPr="00196B06">
        <w:rPr>
          <w:rFonts w:ascii="Calibri" w:hAnsi="Calibri"/>
          <w:color w:val="231F20"/>
          <w:w w:val="105"/>
        </w:rPr>
        <w:t>bubble</w:t>
      </w:r>
      <w:r w:rsidRPr="00196B06">
        <w:rPr>
          <w:rFonts w:ascii="Calibri" w:hAnsi="Calibri"/>
          <w:color w:val="231F20"/>
          <w:spacing w:val="13"/>
          <w:w w:val="105"/>
        </w:rPr>
        <w:t xml:space="preserve"> </w:t>
      </w:r>
      <w:r w:rsidRPr="00196B06">
        <w:rPr>
          <w:rFonts w:ascii="Calibri" w:hAnsi="Calibri"/>
          <w:color w:val="231F20"/>
          <w:w w:val="105"/>
        </w:rPr>
        <w:t>and</w:t>
      </w:r>
      <w:r w:rsidRPr="00196B06">
        <w:rPr>
          <w:rFonts w:ascii="Calibri" w:hAnsi="Calibri"/>
          <w:color w:val="231F20"/>
          <w:spacing w:val="13"/>
          <w:w w:val="105"/>
        </w:rPr>
        <w:t xml:space="preserve"> </w:t>
      </w:r>
      <w:r w:rsidRPr="00196B06">
        <w:rPr>
          <w:rFonts w:ascii="Calibri" w:hAnsi="Calibri"/>
          <w:color w:val="231F20"/>
          <w:w w:val="105"/>
        </w:rPr>
        <w:t>from</w:t>
      </w:r>
      <w:r w:rsidRPr="00196B06">
        <w:rPr>
          <w:rFonts w:ascii="Calibri" w:hAnsi="Calibri"/>
          <w:color w:val="231F20"/>
          <w:spacing w:val="13"/>
          <w:w w:val="105"/>
        </w:rPr>
        <w:t xml:space="preserve"> </w:t>
      </w:r>
      <w:r w:rsidRPr="00196B06">
        <w:rPr>
          <w:rFonts w:ascii="Calibri" w:hAnsi="Calibri"/>
          <w:color w:val="231F20"/>
          <w:w w:val="105"/>
        </w:rPr>
        <w:t>2007</w:t>
      </w:r>
      <w:r w:rsidRPr="00196B06">
        <w:rPr>
          <w:rFonts w:ascii="Calibri" w:hAnsi="Calibri"/>
          <w:color w:val="231F20"/>
          <w:spacing w:val="13"/>
          <w:w w:val="105"/>
        </w:rPr>
        <w:t xml:space="preserve"> </w:t>
      </w:r>
      <w:r w:rsidRPr="00196B06">
        <w:rPr>
          <w:rFonts w:ascii="Calibri" w:hAnsi="Calibri"/>
          <w:color w:val="231F20"/>
          <w:w w:val="105"/>
        </w:rPr>
        <w:t>to</w:t>
      </w:r>
      <w:r w:rsidRPr="00196B06">
        <w:rPr>
          <w:rFonts w:ascii="Calibri" w:hAnsi="Calibri"/>
          <w:color w:val="231F20"/>
          <w:spacing w:val="13"/>
          <w:w w:val="105"/>
        </w:rPr>
        <w:t xml:space="preserve"> </w:t>
      </w:r>
      <w:r w:rsidRPr="00196B06">
        <w:rPr>
          <w:rFonts w:ascii="Calibri" w:hAnsi="Calibri"/>
          <w:color w:val="231F20"/>
          <w:w w:val="105"/>
        </w:rPr>
        <w:t>2010</w:t>
      </w:r>
      <w:r w:rsidRPr="00196B06">
        <w:rPr>
          <w:rFonts w:ascii="Calibri" w:hAnsi="Calibri"/>
          <w:color w:val="231F20"/>
          <w:spacing w:val="13"/>
          <w:w w:val="105"/>
        </w:rPr>
        <w:t xml:space="preserve"> </w:t>
      </w:r>
      <w:r w:rsidRPr="00196B06">
        <w:rPr>
          <w:rFonts w:ascii="Calibri" w:hAnsi="Calibri"/>
          <w:color w:val="231F20"/>
          <w:w w:val="105"/>
        </w:rPr>
        <w:t>due</w:t>
      </w:r>
      <w:r w:rsidRPr="00196B06">
        <w:rPr>
          <w:rFonts w:ascii="Calibri" w:hAnsi="Calibri"/>
          <w:color w:val="231F20"/>
          <w:spacing w:val="13"/>
          <w:w w:val="105"/>
        </w:rPr>
        <w:t xml:space="preserve"> </w:t>
      </w:r>
      <w:r w:rsidRPr="00196B06">
        <w:rPr>
          <w:rFonts w:ascii="Calibri" w:hAnsi="Calibri"/>
          <w:color w:val="231F20"/>
          <w:w w:val="105"/>
        </w:rPr>
        <w:t>to</w:t>
      </w:r>
      <w:r w:rsidRPr="00196B06">
        <w:rPr>
          <w:rFonts w:ascii="Calibri" w:hAnsi="Calibri"/>
          <w:color w:val="231F20"/>
          <w:spacing w:val="13"/>
          <w:w w:val="105"/>
        </w:rPr>
        <w:t xml:space="preserve"> </w:t>
      </w:r>
      <w:r w:rsidRPr="00196B06">
        <w:rPr>
          <w:rFonts w:ascii="Calibri" w:hAnsi="Calibri"/>
          <w:color w:val="231F20"/>
          <w:w w:val="105"/>
        </w:rPr>
        <w:t>the</w:t>
      </w:r>
      <w:r w:rsidRPr="00196B06">
        <w:rPr>
          <w:rFonts w:ascii="Calibri" w:hAnsi="Calibri"/>
          <w:color w:val="231F20"/>
          <w:spacing w:val="13"/>
          <w:w w:val="105"/>
        </w:rPr>
        <w:t xml:space="preserve"> </w:t>
      </w:r>
      <w:r w:rsidRPr="00196B06">
        <w:rPr>
          <w:rFonts w:ascii="Calibri" w:hAnsi="Calibri"/>
          <w:color w:val="231F20"/>
          <w:w w:val="105"/>
        </w:rPr>
        <w:t>bursting</w:t>
      </w:r>
      <w:r w:rsidRPr="00196B06">
        <w:rPr>
          <w:rFonts w:ascii="Calibri" w:hAnsi="Calibri"/>
          <w:color w:val="231F20"/>
          <w:spacing w:val="13"/>
          <w:w w:val="105"/>
        </w:rPr>
        <w:t xml:space="preserve"> </w:t>
      </w:r>
      <w:r w:rsidRPr="00196B06">
        <w:rPr>
          <w:rFonts w:ascii="Calibri" w:hAnsi="Calibri"/>
          <w:color w:val="231F20"/>
          <w:w w:val="105"/>
        </w:rPr>
        <w:t>of</w:t>
      </w:r>
      <w:r w:rsidRPr="00196B06">
        <w:rPr>
          <w:rFonts w:ascii="Calibri" w:hAnsi="Calibri"/>
          <w:color w:val="231F20"/>
          <w:spacing w:val="13"/>
          <w:w w:val="105"/>
        </w:rPr>
        <w:t xml:space="preserve"> </w:t>
      </w:r>
      <w:r w:rsidRPr="00196B06">
        <w:rPr>
          <w:rFonts w:ascii="Calibri" w:hAnsi="Calibri"/>
          <w:color w:val="231F20"/>
          <w:w w:val="105"/>
        </w:rPr>
        <w:t>the</w:t>
      </w:r>
      <w:r w:rsidRPr="00196B06">
        <w:rPr>
          <w:rFonts w:ascii="Calibri" w:hAnsi="Calibri"/>
          <w:color w:val="231F20"/>
          <w:spacing w:val="13"/>
          <w:w w:val="105"/>
        </w:rPr>
        <w:t xml:space="preserve"> </w:t>
      </w:r>
      <w:r w:rsidRPr="00196B06">
        <w:rPr>
          <w:rFonts w:ascii="Calibri" w:hAnsi="Calibri"/>
          <w:color w:val="231F20"/>
          <w:w w:val="105"/>
        </w:rPr>
        <w:t>housing bubble</w:t>
      </w:r>
      <w:r w:rsidR="005E7C49">
        <w:rPr>
          <w:rFonts w:ascii="Calibri" w:hAnsi="Calibri"/>
          <w:color w:val="231F20"/>
          <w:w w:val="105"/>
        </w:rPr>
        <w:t xml:space="preserve">. </w:t>
      </w:r>
      <w:r w:rsidRPr="00196B06">
        <w:rPr>
          <w:rFonts w:ascii="Calibri" w:hAnsi="Calibri"/>
          <w:color w:val="231F20"/>
          <w:w w:val="105"/>
        </w:rPr>
        <w:t>Industry employment has remained steady since the trough of the Great Recession and is currently at 2009</w:t>
      </w:r>
      <w:r w:rsidRPr="00196B06">
        <w:rPr>
          <w:rFonts w:ascii="Calibri" w:hAnsi="Calibri"/>
          <w:color w:val="231F20"/>
          <w:spacing w:val="13"/>
          <w:w w:val="105"/>
        </w:rPr>
        <w:t xml:space="preserve"> </w:t>
      </w:r>
      <w:r w:rsidRPr="00196B06">
        <w:rPr>
          <w:rFonts w:ascii="Calibri" w:hAnsi="Calibri"/>
          <w:color w:val="231F20"/>
          <w:w w:val="105"/>
        </w:rPr>
        <w:t>levels.</w:t>
      </w:r>
    </w:p>
    <w:p w14:paraId="604FA65A" w14:textId="77777777" w:rsidR="00002D76" w:rsidRPr="00196B06" w:rsidRDefault="00002D76" w:rsidP="00D63204">
      <w:pPr>
        <w:widowControl w:val="0"/>
        <w:spacing w:before="5" w:after="0" w:line="240" w:lineRule="auto"/>
        <w:rPr>
          <w:rFonts w:ascii="Calibri" w:hAnsi="Calibri" w:cs="Calibri"/>
          <w:sz w:val="16"/>
          <w:szCs w:val="16"/>
        </w:rPr>
      </w:pPr>
    </w:p>
    <w:p w14:paraId="3E754AEB" w14:textId="0B280008" w:rsidR="00CD1C1C" w:rsidRPr="0074500E" w:rsidRDefault="00CD1C1C" w:rsidP="00D63204">
      <w:pPr>
        <w:widowControl w:val="0"/>
        <w:spacing w:after="0" w:line="264" w:lineRule="exact"/>
        <w:ind w:left="107" w:right="281"/>
        <w:rPr>
          <w:rFonts w:ascii="Calibri" w:hAnsi="Calibri"/>
        </w:rPr>
      </w:pPr>
      <w:r w:rsidRPr="00CD1C1C">
        <w:rPr>
          <w:rFonts w:ascii="Calibri" w:hAnsi="Calibri"/>
          <w:color w:val="231F20"/>
          <w:w w:val="105"/>
        </w:rPr>
        <w:t>In</w:t>
      </w:r>
      <w:r w:rsidRPr="00CD1C1C">
        <w:rPr>
          <w:rFonts w:ascii="Calibri" w:hAnsi="Calibri"/>
          <w:color w:val="231F20"/>
          <w:spacing w:val="10"/>
          <w:w w:val="105"/>
        </w:rPr>
        <w:t xml:space="preserve"> </w:t>
      </w:r>
      <w:r w:rsidRPr="00CD1C1C">
        <w:rPr>
          <w:rFonts w:ascii="Calibri" w:hAnsi="Calibri"/>
          <w:color w:val="231F20"/>
          <w:w w:val="105"/>
        </w:rPr>
        <w:t>November 2017,</w:t>
      </w:r>
      <w:r w:rsidRPr="00CD1C1C">
        <w:rPr>
          <w:rFonts w:ascii="Calibri" w:hAnsi="Calibri"/>
          <w:color w:val="231F20"/>
          <w:spacing w:val="10"/>
          <w:w w:val="105"/>
        </w:rPr>
        <w:t xml:space="preserve"> </w:t>
      </w:r>
      <w:r w:rsidRPr="00CD1C1C">
        <w:rPr>
          <w:rFonts w:ascii="Calibri" w:hAnsi="Calibri"/>
          <w:color w:val="231F20"/>
          <w:w w:val="105"/>
        </w:rPr>
        <w:t>employment</w:t>
      </w:r>
      <w:r w:rsidRPr="00CD1C1C">
        <w:rPr>
          <w:rFonts w:ascii="Calibri" w:hAnsi="Calibri"/>
          <w:color w:val="231F20"/>
          <w:spacing w:val="10"/>
          <w:w w:val="105"/>
        </w:rPr>
        <w:t xml:space="preserve"> </w:t>
      </w:r>
      <w:r w:rsidRPr="00CD1C1C">
        <w:rPr>
          <w:rFonts w:ascii="Calibri" w:hAnsi="Calibri"/>
          <w:color w:val="231F20"/>
          <w:w w:val="105"/>
        </w:rPr>
        <w:t>was</w:t>
      </w:r>
      <w:r w:rsidRPr="00CD1C1C">
        <w:rPr>
          <w:rFonts w:ascii="Calibri" w:hAnsi="Calibri"/>
          <w:color w:val="231F20"/>
          <w:spacing w:val="10"/>
          <w:w w:val="105"/>
        </w:rPr>
        <w:t xml:space="preserve"> </w:t>
      </w:r>
      <w:r w:rsidRPr="00CD1C1C">
        <w:rPr>
          <w:rFonts w:ascii="Calibri" w:hAnsi="Calibri"/>
          <w:color w:val="231F20"/>
          <w:w w:val="105"/>
        </w:rPr>
        <w:t>141,000. The</w:t>
      </w:r>
      <w:r w:rsidRPr="00CD1C1C">
        <w:rPr>
          <w:rFonts w:ascii="Calibri" w:hAnsi="Calibri"/>
          <w:color w:val="231F20"/>
          <w:spacing w:val="10"/>
          <w:w w:val="105"/>
        </w:rPr>
        <w:t xml:space="preserve"> </w:t>
      </w:r>
      <w:r w:rsidRPr="00CD1C1C">
        <w:rPr>
          <w:rFonts w:ascii="Calibri" w:hAnsi="Calibri"/>
          <w:color w:val="231F20"/>
          <w:w w:val="105"/>
        </w:rPr>
        <w:t>over</w:t>
      </w:r>
      <w:r w:rsidR="00A427F2">
        <w:rPr>
          <w:rFonts w:ascii="Calibri" w:hAnsi="Calibri"/>
          <w:color w:val="231F20"/>
          <w:w w:val="105"/>
        </w:rPr>
        <w:t>-</w:t>
      </w:r>
      <w:r w:rsidRPr="00CD1C1C">
        <w:rPr>
          <w:rFonts w:ascii="Calibri" w:hAnsi="Calibri"/>
          <w:color w:val="231F20"/>
          <w:w w:val="105"/>
        </w:rPr>
        <w:t>the</w:t>
      </w:r>
      <w:r w:rsidR="00A427F2">
        <w:rPr>
          <w:rFonts w:ascii="Calibri" w:hAnsi="Calibri"/>
          <w:color w:val="231F20"/>
          <w:spacing w:val="10"/>
          <w:w w:val="105"/>
        </w:rPr>
        <w:t>-</w:t>
      </w:r>
      <w:r w:rsidRPr="00CD1C1C">
        <w:rPr>
          <w:rFonts w:ascii="Calibri" w:hAnsi="Calibri"/>
          <w:color w:val="231F20"/>
          <w:w w:val="105"/>
        </w:rPr>
        <w:t>year</w:t>
      </w:r>
      <w:r w:rsidRPr="00CD1C1C">
        <w:rPr>
          <w:rFonts w:ascii="Calibri" w:hAnsi="Calibri"/>
          <w:color w:val="231F20"/>
          <w:spacing w:val="10"/>
          <w:w w:val="105"/>
        </w:rPr>
        <w:t xml:space="preserve"> </w:t>
      </w:r>
      <w:r w:rsidRPr="00CD1C1C">
        <w:rPr>
          <w:rFonts w:ascii="Calibri" w:hAnsi="Calibri"/>
          <w:color w:val="231F20"/>
          <w:w w:val="105"/>
        </w:rPr>
        <w:t>change</w:t>
      </w:r>
      <w:r w:rsidRPr="00CD1C1C">
        <w:rPr>
          <w:rFonts w:ascii="Calibri" w:hAnsi="Calibri"/>
          <w:color w:val="231F20"/>
          <w:spacing w:val="10"/>
          <w:w w:val="105"/>
        </w:rPr>
        <w:t xml:space="preserve"> </w:t>
      </w:r>
      <w:r w:rsidRPr="00CD1C1C">
        <w:rPr>
          <w:rFonts w:ascii="Calibri" w:hAnsi="Calibri"/>
          <w:color w:val="231F20"/>
          <w:w w:val="105"/>
        </w:rPr>
        <w:t>in</w:t>
      </w:r>
      <w:r w:rsidRPr="00CD1C1C">
        <w:rPr>
          <w:rFonts w:ascii="Calibri" w:hAnsi="Calibri"/>
          <w:color w:val="231F20"/>
          <w:spacing w:val="10"/>
          <w:w w:val="105"/>
        </w:rPr>
        <w:t xml:space="preserve"> </w:t>
      </w:r>
      <w:r w:rsidRPr="00CD1C1C">
        <w:rPr>
          <w:rFonts w:ascii="Calibri" w:hAnsi="Calibri"/>
          <w:color w:val="231F20"/>
          <w:w w:val="105"/>
        </w:rPr>
        <w:t>November 2017 (+3,000 jobs, +2.2 percent) was 2,500 greater when compared to November 2016 (+500, +0.4 percent). The</w:t>
      </w:r>
      <w:r w:rsidRPr="00CD1C1C">
        <w:rPr>
          <w:rFonts w:ascii="Calibri" w:hAnsi="Calibri"/>
          <w:color w:val="231F20"/>
          <w:spacing w:val="30"/>
          <w:w w:val="105"/>
        </w:rPr>
        <w:t xml:space="preserve"> </w:t>
      </w:r>
      <w:r w:rsidRPr="00CD1C1C">
        <w:rPr>
          <w:rFonts w:ascii="Calibri" w:hAnsi="Calibri"/>
          <w:color w:val="231F20"/>
          <w:w w:val="105"/>
        </w:rPr>
        <w:t>number</w:t>
      </w:r>
      <w:r w:rsidRPr="00CD1C1C">
        <w:rPr>
          <w:rFonts w:ascii="Calibri" w:hAnsi="Calibri"/>
          <w:color w:val="231F20"/>
          <w:w w:val="104"/>
        </w:rPr>
        <w:t xml:space="preserve"> </w:t>
      </w:r>
      <w:r w:rsidRPr="00CD1C1C">
        <w:rPr>
          <w:rFonts w:ascii="Calibri" w:hAnsi="Calibri"/>
          <w:color w:val="231F20"/>
          <w:w w:val="105"/>
        </w:rPr>
        <w:t>of jobs in this sector has remained constant over the past five years.</w:t>
      </w:r>
    </w:p>
    <w:p w14:paraId="261764B5" w14:textId="77777777" w:rsidR="00002D76" w:rsidRPr="0074500E" w:rsidRDefault="00002D76" w:rsidP="00002D76">
      <w:pPr>
        <w:widowControl w:val="0"/>
        <w:spacing w:before="6" w:after="0" w:line="240" w:lineRule="auto"/>
        <w:rPr>
          <w:rFonts w:ascii="Calibri" w:hAnsi="Calibri" w:cs="Calibri"/>
          <w:sz w:val="16"/>
          <w:szCs w:val="16"/>
        </w:rPr>
      </w:pPr>
    </w:p>
    <w:p w14:paraId="6A7F2CFF" w14:textId="77777777" w:rsidR="00002D76" w:rsidRPr="00041D0F" w:rsidRDefault="00002D76" w:rsidP="00D63204">
      <w:pPr>
        <w:widowControl w:val="0"/>
        <w:spacing w:after="0" w:line="266" w:lineRule="exact"/>
        <w:ind w:left="468" w:right="468"/>
        <w:outlineLvl w:val="2"/>
        <w:rPr>
          <w:rFonts w:ascii="Calibri" w:hAnsi="Calibri"/>
        </w:rPr>
      </w:pPr>
      <w:r w:rsidRPr="00041D0F">
        <w:rPr>
          <w:rFonts w:ascii="Calibri" w:hAnsi="Calibri"/>
          <w:b/>
          <w:bCs/>
          <w:color w:val="231F20"/>
          <w:w w:val="115"/>
        </w:rPr>
        <w:t>Figure</w:t>
      </w:r>
      <w:r w:rsidRPr="00041D0F">
        <w:rPr>
          <w:rFonts w:ascii="Calibri" w:hAnsi="Calibri"/>
          <w:b/>
          <w:bCs/>
          <w:color w:val="231F20"/>
          <w:spacing w:val="-13"/>
          <w:w w:val="115"/>
        </w:rPr>
        <w:t xml:space="preserve"> </w:t>
      </w:r>
      <w:r w:rsidRPr="00041D0F">
        <w:rPr>
          <w:rFonts w:ascii="Calibri" w:hAnsi="Calibri"/>
          <w:b/>
          <w:bCs/>
          <w:color w:val="231F20"/>
          <w:w w:val="115"/>
        </w:rPr>
        <w:t>2.26</w:t>
      </w:r>
    </w:p>
    <w:p w14:paraId="2BEE2A26" w14:textId="77777777" w:rsidR="00002D76" w:rsidRPr="00041D0F" w:rsidRDefault="00002D76" w:rsidP="00002D76">
      <w:pPr>
        <w:widowControl w:val="0"/>
        <w:spacing w:after="0" w:line="266" w:lineRule="exact"/>
        <w:ind w:left="107" w:firstLine="2467"/>
        <w:rPr>
          <w:rFonts w:ascii="Calibri" w:hAnsi="Calibri"/>
          <w:b/>
          <w:color w:val="231F20"/>
          <w:w w:val="110"/>
        </w:rPr>
      </w:pPr>
      <w:r w:rsidRPr="00041D0F">
        <w:rPr>
          <w:noProof/>
        </w:rPr>
        <w:drawing>
          <wp:anchor distT="0" distB="0" distL="114300" distR="114300" simplePos="0" relativeHeight="251658251" behindDoc="1" locked="0" layoutInCell="1" allowOverlap="1" wp14:anchorId="68D9FDFB" wp14:editId="1FB83AC7">
            <wp:simplePos x="0" y="0"/>
            <wp:positionH relativeFrom="margin">
              <wp:posOffset>333375</wp:posOffset>
            </wp:positionH>
            <wp:positionV relativeFrom="paragraph">
              <wp:posOffset>259014</wp:posOffset>
            </wp:positionV>
            <wp:extent cx="5961380" cy="3076575"/>
            <wp:effectExtent l="0" t="0" r="1270" b="0"/>
            <wp:wrapTopAndBottom/>
            <wp:docPr id="1402719349" name="Chart 1402719349" descr="The line graph shows Florida experienced large declines in information employment from 2001 to 2004 and from 2007 to 2010. Industry employment has remained steady and is currently at 2009 levels. In November 2017, employment was 141,000. The over the year change in November 2017 (+3,000 jobs, +2.2 percent) was 2,500 greater when compared to November 2016 (+500, +0.4 percent). The number of jobs in this sector has remained fairly constant over the past five years.&#10;" title="Figure 2.26 Florida Information Employment, Seasonally Adjusted"/>
            <wp:cNvGraphicFramePr/>
            <a:graphic xmlns:a="http://schemas.openxmlformats.org/drawingml/2006/main">
              <a:graphicData uri="http://schemas.openxmlformats.org/drawingml/2006/chart">
                <c:chart xmlns:c="http://schemas.openxmlformats.org/drawingml/2006/chart" xmlns:r="http://schemas.openxmlformats.org/officeDocument/2006/relationships" r:id="rId86"/>
              </a:graphicData>
            </a:graphic>
            <wp14:sizeRelH relativeFrom="margin">
              <wp14:pctWidth>0</wp14:pctWidth>
            </wp14:sizeRelH>
          </wp:anchor>
        </w:drawing>
      </w:r>
      <w:r w:rsidRPr="00041D0F">
        <w:rPr>
          <w:rFonts w:ascii="Calibri" w:hAnsi="Calibri"/>
          <w:b/>
          <w:color w:val="231F20"/>
          <w:w w:val="110"/>
        </w:rPr>
        <w:t>Florida</w:t>
      </w:r>
      <w:r w:rsidRPr="00041D0F">
        <w:rPr>
          <w:rFonts w:ascii="Calibri" w:hAnsi="Calibri"/>
          <w:b/>
          <w:color w:val="231F20"/>
          <w:spacing w:val="-21"/>
          <w:w w:val="110"/>
        </w:rPr>
        <w:t xml:space="preserve"> </w:t>
      </w:r>
      <w:r w:rsidRPr="00041D0F">
        <w:rPr>
          <w:rFonts w:ascii="Calibri" w:hAnsi="Calibri"/>
          <w:b/>
          <w:color w:val="231F20"/>
          <w:w w:val="110"/>
        </w:rPr>
        <w:t>Information</w:t>
      </w:r>
      <w:r w:rsidRPr="00041D0F">
        <w:rPr>
          <w:rFonts w:ascii="Calibri" w:hAnsi="Calibri"/>
          <w:b/>
          <w:color w:val="231F20"/>
          <w:spacing w:val="-21"/>
          <w:w w:val="110"/>
        </w:rPr>
        <w:t xml:space="preserve"> </w:t>
      </w:r>
      <w:r w:rsidRPr="00041D0F">
        <w:rPr>
          <w:rFonts w:ascii="Calibri" w:hAnsi="Calibri"/>
          <w:b/>
          <w:color w:val="231F20"/>
          <w:w w:val="110"/>
        </w:rPr>
        <w:t>Employment</w:t>
      </w:r>
      <w:r>
        <w:rPr>
          <w:rFonts w:ascii="Calibri" w:hAnsi="Calibri"/>
          <w:b/>
          <w:color w:val="231F20"/>
          <w:w w:val="110"/>
        </w:rPr>
        <w:t>,</w:t>
      </w:r>
      <w:r w:rsidRPr="00041D0F">
        <w:rPr>
          <w:rFonts w:ascii="Calibri" w:hAnsi="Calibri"/>
          <w:b/>
          <w:color w:val="231F20"/>
          <w:spacing w:val="-21"/>
          <w:w w:val="110"/>
        </w:rPr>
        <w:t xml:space="preserve"> </w:t>
      </w:r>
      <w:r w:rsidRPr="00041D0F">
        <w:rPr>
          <w:rFonts w:ascii="Calibri" w:hAnsi="Calibri"/>
          <w:b/>
          <w:color w:val="231F20"/>
          <w:w w:val="110"/>
        </w:rPr>
        <w:t>Seasonally</w:t>
      </w:r>
      <w:r w:rsidRPr="00041D0F">
        <w:rPr>
          <w:rFonts w:ascii="Calibri" w:hAnsi="Calibri"/>
          <w:b/>
          <w:color w:val="231F20"/>
          <w:spacing w:val="-21"/>
          <w:w w:val="110"/>
        </w:rPr>
        <w:t xml:space="preserve"> </w:t>
      </w:r>
      <w:r w:rsidRPr="00041D0F">
        <w:rPr>
          <w:rFonts w:ascii="Calibri" w:hAnsi="Calibri"/>
          <w:b/>
          <w:color w:val="231F20"/>
          <w:w w:val="110"/>
        </w:rPr>
        <w:t>Adjusted</w:t>
      </w:r>
    </w:p>
    <w:p w14:paraId="6AD3C2C7" w14:textId="77777777" w:rsidR="00002D76" w:rsidRPr="00041D0F" w:rsidRDefault="00002D76" w:rsidP="00002D76">
      <w:pPr>
        <w:widowControl w:val="0"/>
        <w:spacing w:before="42" w:after="0" w:line="216" w:lineRule="exact"/>
        <w:ind w:left="107" w:firstLine="613"/>
        <w:rPr>
          <w:rFonts w:ascii="Calibri" w:hAnsi="Calibri"/>
          <w:w w:val="105"/>
          <w:sz w:val="18"/>
        </w:rPr>
      </w:pPr>
      <w:r w:rsidRPr="00041D0F">
        <w:rPr>
          <w:rFonts w:ascii="Calibri" w:hAnsi="Calibri"/>
          <w:w w:val="105"/>
          <w:sz w:val="18"/>
        </w:rPr>
        <w:t xml:space="preserve">Source: </w:t>
      </w:r>
      <w:r>
        <w:rPr>
          <w:rFonts w:ascii="Calibri" w:hAnsi="Calibri"/>
          <w:w w:val="105"/>
          <w:sz w:val="18"/>
        </w:rPr>
        <w:t xml:space="preserve"> </w:t>
      </w:r>
      <w:r w:rsidRPr="00041D0F">
        <w:rPr>
          <w:rFonts w:ascii="Calibri" w:hAnsi="Calibri"/>
          <w:w w:val="105"/>
          <w:sz w:val="18"/>
        </w:rPr>
        <w:t xml:space="preserve">U.S. Department of </w:t>
      </w:r>
      <w:r w:rsidRPr="00041D0F">
        <w:rPr>
          <w:rFonts w:ascii="Calibri" w:hAnsi="Calibri"/>
          <w:spacing w:val="-3"/>
          <w:w w:val="105"/>
          <w:sz w:val="18"/>
        </w:rPr>
        <w:t xml:space="preserve">Labor, </w:t>
      </w:r>
      <w:r w:rsidRPr="00041D0F">
        <w:rPr>
          <w:rFonts w:ascii="Calibri" w:hAnsi="Calibri"/>
          <w:w w:val="105"/>
          <w:sz w:val="18"/>
        </w:rPr>
        <w:t>Bureau of Labor Statistics, Current Employment Statistics Program</w:t>
      </w:r>
      <w:r>
        <w:rPr>
          <w:rFonts w:ascii="Calibri" w:hAnsi="Calibri"/>
          <w:w w:val="105"/>
          <w:sz w:val="18"/>
        </w:rPr>
        <w:t>,</w:t>
      </w:r>
      <w:r w:rsidRPr="00041D0F">
        <w:rPr>
          <w:rFonts w:ascii="Calibri" w:hAnsi="Calibri"/>
          <w:w w:val="105"/>
          <w:sz w:val="18"/>
        </w:rPr>
        <w:t xml:space="preserve"> </w:t>
      </w:r>
      <w:r w:rsidRPr="00041D0F">
        <w:rPr>
          <w:rFonts w:ascii="Calibri" w:hAnsi="Calibri"/>
          <w:color w:val="231F20"/>
          <w:w w:val="105"/>
          <w:sz w:val="18"/>
        </w:rPr>
        <w:t>December 2017</w:t>
      </w:r>
      <w:r>
        <w:rPr>
          <w:rFonts w:ascii="Calibri" w:hAnsi="Calibri"/>
          <w:color w:val="231F20"/>
          <w:w w:val="105"/>
          <w:sz w:val="18"/>
        </w:rPr>
        <w:t>.</w:t>
      </w:r>
    </w:p>
    <w:p w14:paraId="58E4375D" w14:textId="77777777" w:rsidR="00002D76" w:rsidRPr="00EA7458" w:rsidRDefault="00002D76" w:rsidP="00002D76">
      <w:pPr>
        <w:widowControl w:val="0"/>
        <w:spacing w:after="0" w:line="216" w:lineRule="exact"/>
        <w:rPr>
          <w:rFonts w:ascii="Calibri" w:hAnsi="Calibri" w:cs="Calibri"/>
          <w:sz w:val="18"/>
          <w:szCs w:val="18"/>
        </w:rPr>
        <w:sectPr w:rsidR="00002D76" w:rsidRPr="00EA7458">
          <w:pgSz w:w="12240" w:h="15840"/>
          <w:pgMar w:top="1620" w:right="900" w:bottom="820" w:left="900" w:header="812" w:footer="624" w:gutter="0"/>
          <w:cols w:space="720"/>
        </w:sectPr>
      </w:pPr>
    </w:p>
    <w:p w14:paraId="462CDA5A" w14:textId="77777777" w:rsidR="00002D76" w:rsidRPr="00EA7458" w:rsidRDefault="00002D76" w:rsidP="00002D76">
      <w:pPr>
        <w:widowControl w:val="0"/>
        <w:spacing w:before="4" w:after="0" w:line="240" w:lineRule="auto"/>
        <w:rPr>
          <w:rFonts w:ascii="Calibri" w:hAnsi="Calibri" w:cs="Calibri"/>
          <w:sz w:val="14"/>
          <w:szCs w:val="14"/>
        </w:rPr>
      </w:pPr>
    </w:p>
    <w:p w14:paraId="41C19A4B" w14:textId="77777777" w:rsidR="00002D76" w:rsidRPr="00520648" w:rsidRDefault="00002D76" w:rsidP="00D63204">
      <w:pPr>
        <w:widowControl w:val="0"/>
        <w:spacing w:before="63" w:after="0" w:line="240" w:lineRule="auto"/>
        <w:ind w:left="107"/>
        <w:outlineLvl w:val="3"/>
        <w:rPr>
          <w:rFonts w:ascii="Gill Sans MT" w:hAnsi="Gill Sans MT"/>
        </w:rPr>
      </w:pPr>
      <w:bookmarkStart w:id="39" w:name="_bookmark27"/>
      <w:bookmarkEnd w:id="39"/>
      <w:r w:rsidRPr="00520648">
        <w:rPr>
          <w:rFonts w:ascii="Gill Sans MT" w:hAnsi="Gill Sans MT"/>
          <w:b/>
          <w:bCs/>
          <w:i/>
          <w:color w:val="231F20"/>
          <w:w w:val="105"/>
        </w:rPr>
        <w:t>Financial</w:t>
      </w:r>
      <w:r w:rsidRPr="00520648">
        <w:rPr>
          <w:rFonts w:ascii="Gill Sans MT" w:hAnsi="Gill Sans MT"/>
          <w:b/>
          <w:bCs/>
          <w:i/>
          <w:color w:val="231F20"/>
          <w:spacing w:val="-2"/>
          <w:w w:val="105"/>
        </w:rPr>
        <w:t xml:space="preserve"> </w:t>
      </w:r>
      <w:r w:rsidRPr="00520648">
        <w:rPr>
          <w:rFonts w:ascii="Gill Sans MT" w:hAnsi="Gill Sans MT"/>
          <w:b/>
          <w:bCs/>
          <w:i/>
          <w:color w:val="231F20"/>
          <w:w w:val="105"/>
        </w:rPr>
        <w:t>Activities</w:t>
      </w:r>
    </w:p>
    <w:p w14:paraId="3B4902CB" w14:textId="16EFA82E" w:rsidR="00002D76" w:rsidRPr="00414163" w:rsidRDefault="00002D76" w:rsidP="00D63204">
      <w:pPr>
        <w:widowControl w:val="0"/>
        <w:spacing w:before="2" w:after="0" w:line="264" w:lineRule="exact"/>
        <w:ind w:left="107" w:right="281"/>
        <w:rPr>
          <w:rFonts w:ascii="Calibri" w:hAnsi="Calibri"/>
        </w:rPr>
      </w:pPr>
      <w:r w:rsidRPr="00520648">
        <w:rPr>
          <w:rFonts w:ascii="Calibri" w:hAnsi="Calibri"/>
          <w:color w:val="231F20"/>
          <w:w w:val="110"/>
        </w:rPr>
        <w:t>Financial</w:t>
      </w:r>
      <w:r w:rsidRPr="00520648">
        <w:rPr>
          <w:rFonts w:ascii="Calibri" w:hAnsi="Calibri"/>
          <w:color w:val="231F20"/>
          <w:spacing w:val="-7"/>
          <w:w w:val="110"/>
        </w:rPr>
        <w:t xml:space="preserve"> </w:t>
      </w:r>
      <w:r w:rsidRPr="00520648">
        <w:rPr>
          <w:rFonts w:ascii="Calibri" w:hAnsi="Calibri"/>
          <w:color w:val="231F20"/>
          <w:w w:val="110"/>
        </w:rPr>
        <w:t>activities</w:t>
      </w:r>
      <w:r w:rsidRPr="00520648">
        <w:rPr>
          <w:rFonts w:ascii="Calibri" w:hAnsi="Calibri"/>
          <w:color w:val="231F20"/>
          <w:spacing w:val="-7"/>
          <w:w w:val="110"/>
        </w:rPr>
        <w:t xml:space="preserve"> </w:t>
      </w:r>
      <w:r w:rsidRPr="00520648">
        <w:rPr>
          <w:rFonts w:ascii="Calibri" w:hAnsi="Calibri"/>
          <w:color w:val="231F20"/>
          <w:w w:val="110"/>
        </w:rPr>
        <w:t>employment</w:t>
      </w:r>
      <w:r w:rsidRPr="00520648">
        <w:rPr>
          <w:rFonts w:ascii="Calibri" w:hAnsi="Calibri"/>
          <w:color w:val="231F20"/>
          <w:spacing w:val="-7"/>
          <w:w w:val="110"/>
        </w:rPr>
        <w:t xml:space="preserve"> </w:t>
      </w:r>
      <w:r w:rsidRPr="00520648">
        <w:rPr>
          <w:rFonts w:ascii="Calibri" w:hAnsi="Calibri"/>
          <w:color w:val="231F20"/>
          <w:w w:val="110"/>
        </w:rPr>
        <w:t>in</w:t>
      </w:r>
      <w:r w:rsidRPr="00520648">
        <w:rPr>
          <w:rFonts w:ascii="Calibri" w:hAnsi="Calibri"/>
          <w:color w:val="231F20"/>
          <w:spacing w:val="-7"/>
          <w:w w:val="110"/>
        </w:rPr>
        <w:t xml:space="preserve"> </w:t>
      </w:r>
      <w:r w:rsidRPr="00520648">
        <w:rPr>
          <w:rFonts w:ascii="Calibri" w:hAnsi="Calibri"/>
          <w:color w:val="231F20"/>
          <w:w w:val="110"/>
        </w:rPr>
        <w:t>Florida</w:t>
      </w:r>
      <w:r w:rsidRPr="00520648">
        <w:rPr>
          <w:rFonts w:ascii="Calibri" w:hAnsi="Calibri"/>
          <w:color w:val="231F20"/>
          <w:spacing w:val="-7"/>
          <w:w w:val="110"/>
        </w:rPr>
        <w:t xml:space="preserve"> </w:t>
      </w:r>
      <w:r w:rsidRPr="00520648">
        <w:rPr>
          <w:rFonts w:ascii="Calibri" w:hAnsi="Calibri"/>
          <w:color w:val="231F20"/>
          <w:w w:val="110"/>
        </w:rPr>
        <w:t>peaked</w:t>
      </w:r>
      <w:r w:rsidRPr="00520648">
        <w:rPr>
          <w:rFonts w:ascii="Calibri" w:hAnsi="Calibri"/>
          <w:color w:val="231F20"/>
          <w:spacing w:val="-7"/>
          <w:w w:val="110"/>
        </w:rPr>
        <w:t xml:space="preserve"> </w:t>
      </w:r>
      <w:r w:rsidRPr="00520648">
        <w:rPr>
          <w:rFonts w:ascii="Calibri" w:hAnsi="Calibri"/>
          <w:color w:val="231F20"/>
          <w:w w:val="110"/>
        </w:rPr>
        <w:t>at</w:t>
      </w:r>
      <w:r w:rsidRPr="00520648">
        <w:rPr>
          <w:rFonts w:ascii="Calibri" w:hAnsi="Calibri"/>
          <w:color w:val="231F20"/>
          <w:spacing w:val="-7"/>
          <w:w w:val="110"/>
        </w:rPr>
        <w:t xml:space="preserve"> </w:t>
      </w:r>
      <w:r w:rsidRPr="00520648">
        <w:rPr>
          <w:rFonts w:ascii="Calibri" w:hAnsi="Calibri"/>
          <w:color w:val="231F20"/>
          <w:w w:val="110"/>
        </w:rPr>
        <w:t>558,000</w:t>
      </w:r>
      <w:r w:rsidRPr="00520648">
        <w:rPr>
          <w:rFonts w:ascii="Calibri" w:hAnsi="Calibri"/>
          <w:color w:val="231F20"/>
          <w:spacing w:val="-7"/>
          <w:w w:val="110"/>
        </w:rPr>
        <w:t xml:space="preserve"> </w:t>
      </w:r>
      <w:r w:rsidRPr="00520648">
        <w:rPr>
          <w:rFonts w:ascii="Calibri" w:hAnsi="Calibri"/>
          <w:color w:val="231F20"/>
          <w:w w:val="110"/>
        </w:rPr>
        <w:t>jobs</w:t>
      </w:r>
      <w:r w:rsidRPr="00520648">
        <w:rPr>
          <w:rFonts w:ascii="Calibri" w:hAnsi="Calibri"/>
          <w:color w:val="231F20"/>
          <w:spacing w:val="-7"/>
          <w:w w:val="110"/>
        </w:rPr>
        <w:t xml:space="preserve"> </w:t>
      </w:r>
      <w:r w:rsidRPr="00520648">
        <w:rPr>
          <w:rFonts w:ascii="Calibri" w:hAnsi="Calibri"/>
          <w:color w:val="231F20"/>
          <w:w w:val="110"/>
        </w:rPr>
        <w:t>in</w:t>
      </w:r>
      <w:r w:rsidRPr="00520648">
        <w:rPr>
          <w:rFonts w:ascii="Calibri" w:hAnsi="Calibri"/>
          <w:color w:val="231F20"/>
          <w:spacing w:val="-7"/>
          <w:w w:val="110"/>
        </w:rPr>
        <w:t xml:space="preserve"> May </w:t>
      </w:r>
      <w:r w:rsidRPr="00520648">
        <w:rPr>
          <w:rFonts w:ascii="Calibri" w:hAnsi="Calibri"/>
          <w:color w:val="231F20"/>
          <w:w w:val="110"/>
        </w:rPr>
        <w:t>2006</w:t>
      </w:r>
      <w:r w:rsidRPr="00520648">
        <w:rPr>
          <w:rFonts w:ascii="Calibri" w:hAnsi="Calibri"/>
          <w:color w:val="231F20"/>
          <w:spacing w:val="-7"/>
          <w:w w:val="110"/>
        </w:rPr>
        <w:t xml:space="preserve"> </w:t>
      </w:r>
      <w:r w:rsidRPr="00520648">
        <w:rPr>
          <w:rFonts w:ascii="Calibri" w:hAnsi="Calibri"/>
          <w:color w:val="231F20"/>
          <w:w w:val="110"/>
        </w:rPr>
        <w:t>and</w:t>
      </w:r>
      <w:r w:rsidRPr="00520648">
        <w:rPr>
          <w:rFonts w:ascii="Calibri" w:hAnsi="Calibri"/>
          <w:color w:val="231F20"/>
          <w:spacing w:val="-7"/>
          <w:w w:val="110"/>
        </w:rPr>
        <w:t xml:space="preserve"> </w:t>
      </w:r>
      <w:r w:rsidRPr="00520648">
        <w:rPr>
          <w:rFonts w:ascii="Calibri" w:hAnsi="Calibri"/>
          <w:color w:val="231F20"/>
          <w:w w:val="110"/>
        </w:rPr>
        <w:t>experienced</w:t>
      </w:r>
      <w:r w:rsidRPr="00520648">
        <w:rPr>
          <w:rFonts w:ascii="Calibri" w:hAnsi="Calibri"/>
          <w:color w:val="231F20"/>
          <w:spacing w:val="-7"/>
          <w:w w:val="110"/>
        </w:rPr>
        <w:t xml:space="preserve"> </w:t>
      </w:r>
      <w:r w:rsidRPr="00520648">
        <w:rPr>
          <w:rFonts w:ascii="Calibri" w:hAnsi="Calibri"/>
          <w:color w:val="231F20"/>
          <w:w w:val="110"/>
        </w:rPr>
        <w:t>a</w:t>
      </w:r>
      <w:r w:rsidRPr="00520648">
        <w:rPr>
          <w:rFonts w:ascii="Calibri" w:hAnsi="Calibri"/>
          <w:color w:val="231F20"/>
          <w:spacing w:val="-7"/>
          <w:w w:val="110"/>
        </w:rPr>
        <w:t xml:space="preserve"> </w:t>
      </w:r>
      <w:r w:rsidRPr="00520648">
        <w:rPr>
          <w:rFonts w:ascii="Calibri" w:hAnsi="Calibri"/>
          <w:color w:val="231F20"/>
          <w:w w:val="110"/>
        </w:rPr>
        <w:t>rapid</w:t>
      </w:r>
      <w:r w:rsidRPr="00520648">
        <w:rPr>
          <w:rFonts w:ascii="Calibri" w:hAnsi="Calibri"/>
          <w:color w:val="231F20"/>
          <w:w w:val="105"/>
        </w:rPr>
        <w:t xml:space="preserve"> </w:t>
      </w:r>
      <w:r w:rsidRPr="00520648">
        <w:rPr>
          <w:rFonts w:ascii="Calibri" w:hAnsi="Calibri"/>
          <w:color w:val="231F20"/>
          <w:w w:val="110"/>
        </w:rPr>
        <w:t>decline</w:t>
      </w:r>
      <w:r w:rsidRPr="00520648">
        <w:rPr>
          <w:rFonts w:ascii="Calibri" w:hAnsi="Calibri"/>
          <w:color w:val="231F20"/>
          <w:spacing w:val="-11"/>
          <w:w w:val="110"/>
        </w:rPr>
        <w:t xml:space="preserve"> </w:t>
      </w:r>
      <w:r w:rsidRPr="00520648">
        <w:rPr>
          <w:rFonts w:ascii="Calibri" w:hAnsi="Calibri"/>
          <w:color w:val="231F20"/>
          <w:w w:val="110"/>
        </w:rPr>
        <w:t>until</w:t>
      </w:r>
      <w:r w:rsidRPr="00520648">
        <w:rPr>
          <w:rFonts w:ascii="Calibri" w:hAnsi="Calibri"/>
          <w:color w:val="231F20"/>
          <w:spacing w:val="-11"/>
          <w:w w:val="110"/>
        </w:rPr>
        <w:t xml:space="preserve"> </w:t>
      </w:r>
      <w:r w:rsidRPr="00520648">
        <w:rPr>
          <w:rFonts w:ascii="Calibri" w:hAnsi="Calibri"/>
          <w:color w:val="231F20"/>
          <w:w w:val="110"/>
        </w:rPr>
        <w:t>reaching</w:t>
      </w:r>
      <w:r w:rsidRPr="00520648">
        <w:rPr>
          <w:rFonts w:ascii="Calibri" w:hAnsi="Calibri"/>
          <w:color w:val="231F20"/>
          <w:spacing w:val="-11"/>
          <w:w w:val="110"/>
        </w:rPr>
        <w:t xml:space="preserve"> </w:t>
      </w:r>
      <w:r w:rsidRPr="00520648">
        <w:rPr>
          <w:rFonts w:ascii="Calibri" w:hAnsi="Calibri"/>
          <w:color w:val="231F20"/>
          <w:w w:val="110"/>
        </w:rPr>
        <w:t>476,000</w:t>
      </w:r>
      <w:r w:rsidRPr="00520648">
        <w:rPr>
          <w:rFonts w:ascii="Calibri" w:hAnsi="Calibri"/>
          <w:color w:val="231F20"/>
          <w:spacing w:val="-11"/>
          <w:w w:val="110"/>
        </w:rPr>
        <w:t xml:space="preserve"> </w:t>
      </w:r>
      <w:r w:rsidRPr="00520648">
        <w:rPr>
          <w:rFonts w:ascii="Calibri" w:hAnsi="Calibri"/>
          <w:color w:val="231F20"/>
          <w:w w:val="110"/>
        </w:rPr>
        <w:t>employed</w:t>
      </w:r>
      <w:r w:rsidRPr="00520648">
        <w:rPr>
          <w:rFonts w:ascii="Calibri" w:hAnsi="Calibri"/>
          <w:color w:val="231F20"/>
          <w:spacing w:val="-11"/>
          <w:w w:val="110"/>
        </w:rPr>
        <w:t xml:space="preserve"> </w:t>
      </w:r>
      <w:r w:rsidRPr="00520648">
        <w:rPr>
          <w:rFonts w:ascii="Calibri" w:hAnsi="Calibri"/>
          <w:color w:val="231F20"/>
          <w:w w:val="110"/>
        </w:rPr>
        <w:t>in</w:t>
      </w:r>
      <w:r w:rsidRPr="00520648">
        <w:rPr>
          <w:rFonts w:ascii="Calibri" w:hAnsi="Calibri"/>
          <w:color w:val="231F20"/>
          <w:spacing w:val="-11"/>
          <w:w w:val="110"/>
        </w:rPr>
        <w:t xml:space="preserve"> </w:t>
      </w:r>
      <w:r w:rsidRPr="00520648">
        <w:rPr>
          <w:rFonts w:ascii="Calibri" w:hAnsi="Calibri"/>
          <w:color w:val="231F20"/>
          <w:w w:val="110"/>
        </w:rPr>
        <w:t>April</w:t>
      </w:r>
      <w:r w:rsidRPr="00520648">
        <w:rPr>
          <w:rFonts w:ascii="Calibri" w:hAnsi="Calibri"/>
          <w:color w:val="231F20"/>
          <w:spacing w:val="-11"/>
          <w:w w:val="110"/>
        </w:rPr>
        <w:t xml:space="preserve"> </w:t>
      </w:r>
      <w:r w:rsidRPr="00520648">
        <w:rPr>
          <w:rFonts w:ascii="Calibri" w:hAnsi="Calibri"/>
          <w:color w:val="231F20"/>
          <w:w w:val="110"/>
        </w:rPr>
        <w:t>2010</w:t>
      </w:r>
      <w:r w:rsidR="005E7C49">
        <w:rPr>
          <w:rFonts w:ascii="Calibri" w:hAnsi="Calibri"/>
          <w:color w:val="231F20"/>
          <w:w w:val="110"/>
        </w:rPr>
        <w:t xml:space="preserve">. </w:t>
      </w:r>
      <w:r w:rsidRPr="00520648">
        <w:rPr>
          <w:rFonts w:ascii="Calibri" w:hAnsi="Calibri"/>
          <w:color w:val="231F20"/>
          <w:w w:val="110"/>
        </w:rPr>
        <w:t>Since the low,</w:t>
      </w:r>
      <w:r w:rsidRPr="00520648">
        <w:rPr>
          <w:rFonts w:ascii="Calibri" w:hAnsi="Calibri"/>
          <w:color w:val="231F20"/>
          <w:spacing w:val="-11"/>
          <w:w w:val="110"/>
        </w:rPr>
        <w:t xml:space="preserve"> 91,4</w:t>
      </w:r>
      <w:r w:rsidRPr="00520648">
        <w:rPr>
          <w:rFonts w:ascii="Calibri" w:hAnsi="Calibri"/>
          <w:color w:val="231F20"/>
          <w:w w:val="110"/>
        </w:rPr>
        <w:t>00</w:t>
      </w:r>
      <w:r w:rsidRPr="00520648">
        <w:rPr>
          <w:rFonts w:ascii="Calibri" w:hAnsi="Calibri"/>
          <w:color w:val="231F20"/>
          <w:spacing w:val="-11"/>
          <w:w w:val="110"/>
        </w:rPr>
        <w:t xml:space="preserve"> </w:t>
      </w:r>
      <w:r w:rsidRPr="00520648">
        <w:rPr>
          <w:rFonts w:ascii="Calibri" w:hAnsi="Calibri"/>
          <w:color w:val="231F20"/>
          <w:w w:val="110"/>
        </w:rPr>
        <w:t>jobs</w:t>
      </w:r>
      <w:r w:rsidRPr="00520648">
        <w:rPr>
          <w:rFonts w:ascii="Calibri" w:hAnsi="Calibri"/>
          <w:color w:val="231F20"/>
          <w:spacing w:val="-11"/>
          <w:w w:val="110"/>
        </w:rPr>
        <w:t xml:space="preserve"> </w:t>
      </w:r>
      <w:r w:rsidRPr="00520648">
        <w:rPr>
          <w:rFonts w:ascii="Calibri" w:hAnsi="Calibri"/>
          <w:color w:val="231F20"/>
          <w:w w:val="110"/>
        </w:rPr>
        <w:t>in</w:t>
      </w:r>
      <w:r w:rsidRPr="00520648">
        <w:rPr>
          <w:rFonts w:ascii="Calibri" w:hAnsi="Calibri"/>
          <w:color w:val="231F20"/>
          <w:spacing w:val="-11"/>
          <w:w w:val="110"/>
        </w:rPr>
        <w:t xml:space="preserve"> </w:t>
      </w:r>
      <w:r w:rsidRPr="00520648">
        <w:rPr>
          <w:rFonts w:ascii="Calibri" w:hAnsi="Calibri"/>
          <w:color w:val="231F20"/>
          <w:w w:val="110"/>
        </w:rPr>
        <w:t>the</w:t>
      </w:r>
      <w:r w:rsidRPr="00520648">
        <w:rPr>
          <w:rFonts w:ascii="Calibri" w:hAnsi="Calibri"/>
          <w:color w:val="231F20"/>
          <w:spacing w:val="-11"/>
          <w:w w:val="110"/>
        </w:rPr>
        <w:t xml:space="preserve"> </w:t>
      </w:r>
      <w:r w:rsidRPr="00520648">
        <w:rPr>
          <w:rFonts w:ascii="Calibri" w:hAnsi="Calibri"/>
          <w:color w:val="231F20"/>
          <w:w w:val="110"/>
        </w:rPr>
        <w:t>industry</w:t>
      </w:r>
      <w:r w:rsidRPr="00520648">
        <w:rPr>
          <w:rFonts w:ascii="Calibri" w:hAnsi="Calibri"/>
          <w:color w:val="231F20"/>
          <w:spacing w:val="-11"/>
          <w:w w:val="110"/>
        </w:rPr>
        <w:t xml:space="preserve"> </w:t>
      </w:r>
      <w:r w:rsidRPr="00520648">
        <w:rPr>
          <w:rFonts w:ascii="Calibri" w:hAnsi="Calibri"/>
          <w:color w:val="231F20"/>
          <w:w w:val="110"/>
        </w:rPr>
        <w:t>have</w:t>
      </w:r>
      <w:r w:rsidRPr="00520648">
        <w:rPr>
          <w:rFonts w:ascii="Calibri" w:hAnsi="Calibri"/>
          <w:color w:val="231F20"/>
          <w:spacing w:val="-11"/>
          <w:w w:val="110"/>
        </w:rPr>
        <w:t xml:space="preserve"> </w:t>
      </w:r>
      <w:r w:rsidRPr="00414163">
        <w:rPr>
          <w:rFonts w:ascii="Calibri" w:hAnsi="Calibri"/>
          <w:color w:val="231F20"/>
          <w:w w:val="110"/>
        </w:rPr>
        <w:t>been recovered.</w:t>
      </w:r>
    </w:p>
    <w:p w14:paraId="7AFCED86" w14:textId="77777777" w:rsidR="00002D76" w:rsidRPr="00414163" w:rsidRDefault="00002D76" w:rsidP="00D63204">
      <w:pPr>
        <w:widowControl w:val="0"/>
        <w:spacing w:before="5" w:after="0" w:line="240" w:lineRule="auto"/>
        <w:rPr>
          <w:rFonts w:ascii="Calibri" w:hAnsi="Calibri" w:cs="Calibri"/>
          <w:sz w:val="16"/>
          <w:szCs w:val="16"/>
        </w:rPr>
      </w:pPr>
    </w:p>
    <w:p w14:paraId="54312E55" w14:textId="100D8DE5" w:rsidR="00002D76" w:rsidRPr="00414163" w:rsidRDefault="00002D76" w:rsidP="00D63204">
      <w:pPr>
        <w:widowControl w:val="0"/>
        <w:spacing w:after="0" w:line="264" w:lineRule="exact"/>
        <w:ind w:left="107" w:right="178"/>
        <w:rPr>
          <w:rFonts w:ascii="Calibri" w:hAnsi="Calibri"/>
        </w:rPr>
      </w:pPr>
      <w:r w:rsidRPr="00414163">
        <w:rPr>
          <w:rFonts w:ascii="Calibri" w:hAnsi="Calibri"/>
          <w:color w:val="231F20"/>
          <w:w w:val="105"/>
        </w:rPr>
        <w:t>In</w:t>
      </w:r>
      <w:r w:rsidRPr="00414163">
        <w:rPr>
          <w:rFonts w:ascii="Calibri" w:hAnsi="Calibri"/>
          <w:color w:val="231F20"/>
          <w:spacing w:val="15"/>
          <w:w w:val="105"/>
        </w:rPr>
        <w:t xml:space="preserve"> </w:t>
      </w:r>
      <w:r w:rsidRPr="00414163">
        <w:rPr>
          <w:rFonts w:ascii="Calibri" w:hAnsi="Calibri"/>
          <w:color w:val="231F20"/>
          <w:w w:val="105"/>
        </w:rPr>
        <w:t>November 2017,</w:t>
      </w:r>
      <w:r w:rsidRPr="00414163">
        <w:rPr>
          <w:rFonts w:ascii="Calibri" w:hAnsi="Calibri"/>
          <w:color w:val="231F20"/>
          <w:spacing w:val="15"/>
          <w:w w:val="105"/>
        </w:rPr>
        <w:t xml:space="preserve"> </w:t>
      </w:r>
      <w:r w:rsidRPr="00414163">
        <w:rPr>
          <w:rFonts w:ascii="Calibri" w:hAnsi="Calibri"/>
          <w:color w:val="231F20"/>
          <w:w w:val="105"/>
        </w:rPr>
        <w:t>employment</w:t>
      </w:r>
      <w:r w:rsidRPr="00414163">
        <w:rPr>
          <w:rFonts w:ascii="Calibri" w:hAnsi="Calibri"/>
          <w:color w:val="231F20"/>
          <w:spacing w:val="15"/>
          <w:w w:val="105"/>
        </w:rPr>
        <w:t xml:space="preserve"> </w:t>
      </w:r>
      <w:r w:rsidRPr="00414163">
        <w:rPr>
          <w:rFonts w:ascii="Calibri" w:hAnsi="Calibri"/>
          <w:color w:val="231F20"/>
          <w:w w:val="105"/>
        </w:rPr>
        <w:t>was</w:t>
      </w:r>
      <w:r w:rsidRPr="00414163">
        <w:rPr>
          <w:rFonts w:ascii="Calibri" w:hAnsi="Calibri"/>
          <w:color w:val="231F20"/>
          <w:spacing w:val="15"/>
          <w:w w:val="105"/>
        </w:rPr>
        <w:t xml:space="preserve"> </w:t>
      </w:r>
      <w:r w:rsidRPr="00414163">
        <w:rPr>
          <w:rFonts w:ascii="Calibri" w:hAnsi="Calibri"/>
          <w:color w:val="231F20"/>
          <w:w w:val="105"/>
        </w:rPr>
        <w:t>567,400</w:t>
      </w:r>
      <w:r w:rsidR="005E7C49">
        <w:rPr>
          <w:rFonts w:ascii="Calibri" w:hAnsi="Calibri"/>
          <w:color w:val="231F20"/>
          <w:w w:val="105"/>
        </w:rPr>
        <w:t xml:space="preserve">. </w:t>
      </w:r>
      <w:r w:rsidRPr="00414163">
        <w:rPr>
          <w:rFonts w:ascii="Calibri" w:hAnsi="Calibri"/>
          <w:color w:val="231F20"/>
          <w:w w:val="105"/>
        </w:rPr>
        <w:t>The</w:t>
      </w:r>
      <w:r w:rsidRPr="00414163">
        <w:rPr>
          <w:rFonts w:ascii="Calibri" w:hAnsi="Calibri"/>
          <w:color w:val="231F20"/>
          <w:spacing w:val="15"/>
          <w:w w:val="105"/>
        </w:rPr>
        <w:t xml:space="preserve"> </w:t>
      </w:r>
      <w:r w:rsidRPr="00414163">
        <w:rPr>
          <w:rFonts w:ascii="Calibri" w:hAnsi="Calibri"/>
          <w:color w:val="231F20"/>
          <w:w w:val="105"/>
        </w:rPr>
        <w:t>over</w:t>
      </w:r>
      <w:r w:rsidR="00BE4F67">
        <w:rPr>
          <w:rFonts w:ascii="Calibri" w:hAnsi="Calibri"/>
          <w:color w:val="231F20"/>
          <w:spacing w:val="15"/>
          <w:w w:val="105"/>
        </w:rPr>
        <w:t>-</w:t>
      </w:r>
      <w:r w:rsidRPr="00414163">
        <w:rPr>
          <w:rFonts w:ascii="Calibri" w:hAnsi="Calibri"/>
          <w:color w:val="231F20"/>
          <w:w w:val="105"/>
        </w:rPr>
        <w:t>the</w:t>
      </w:r>
      <w:r w:rsidR="00BE4F67">
        <w:rPr>
          <w:rFonts w:ascii="Calibri" w:hAnsi="Calibri"/>
          <w:color w:val="231F20"/>
          <w:spacing w:val="15"/>
          <w:w w:val="105"/>
        </w:rPr>
        <w:t>-</w:t>
      </w:r>
      <w:r w:rsidRPr="00414163">
        <w:rPr>
          <w:rFonts w:ascii="Calibri" w:hAnsi="Calibri"/>
          <w:color w:val="231F20"/>
          <w:w w:val="105"/>
        </w:rPr>
        <w:t>year</w:t>
      </w:r>
      <w:r w:rsidRPr="00414163">
        <w:rPr>
          <w:rFonts w:ascii="Calibri" w:hAnsi="Calibri"/>
          <w:color w:val="231F20"/>
          <w:spacing w:val="15"/>
          <w:w w:val="105"/>
        </w:rPr>
        <w:t xml:space="preserve"> </w:t>
      </w:r>
      <w:r w:rsidRPr="00414163">
        <w:rPr>
          <w:rFonts w:ascii="Calibri" w:hAnsi="Calibri"/>
          <w:color w:val="231F20"/>
          <w:w w:val="105"/>
        </w:rPr>
        <w:t>change</w:t>
      </w:r>
      <w:r w:rsidRPr="00414163">
        <w:rPr>
          <w:rFonts w:ascii="Calibri" w:hAnsi="Calibri"/>
          <w:color w:val="231F20"/>
          <w:spacing w:val="15"/>
          <w:w w:val="105"/>
        </w:rPr>
        <w:t xml:space="preserve"> </w:t>
      </w:r>
      <w:r w:rsidRPr="00414163">
        <w:rPr>
          <w:rFonts w:ascii="Calibri" w:hAnsi="Calibri"/>
          <w:color w:val="231F20"/>
          <w:w w:val="105"/>
        </w:rPr>
        <w:t>in</w:t>
      </w:r>
      <w:r w:rsidRPr="00414163">
        <w:rPr>
          <w:rFonts w:ascii="Calibri" w:hAnsi="Calibri"/>
          <w:color w:val="231F20"/>
          <w:spacing w:val="15"/>
          <w:w w:val="105"/>
        </w:rPr>
        <w:t xml:space="preserve"> </w:t>
      </w:r>
      <w:r w:rsidRPr="00414163">
        <w:rPr>
          <w:rFonts w:ascii="Calibri" w:hAnsi="Calibri"/>
          <w:color w:val="231F20"/>
          <w:w w:val="105"/>
        </w:rPr>
        <w:t>November 2017 (+15,500</w:t>
      </w:r>
      <w:r w:rsidRPr="00414163">
        <w:rPr>
          <w:rFonts w:ascii="Calibri" w:hAnsi="Calibri"/>
          <w:color w:val="231F20"/>
          <w:w w:val="120"/>
        </w:rPr>
        <w:t xml:space="preserve"> </w:t>
      </w:r>
      <w:r w:rsidRPr="00414163">
        <w:rPr>
          <w:rFonts w:ascii="Calibri" w:hAnsi="Calibri"/>
          <w:color w:val="231F20"/>
          <w:w w:val="105"/>
        </w:rPr>
        <w:t>jobs,</w:t>
      </w:r>
      <w:r w:rsidRPr="00414163">
        <w:rPr>
          <w:rFonts w:ascii="Calibri" w:hAnsi="Calibri"/>
          <w:color w:val="231F20"/>
          <w:spacing w:val="8"/>
          <w:w w:val="105"/>
        </w:rPr>
        <w:t xml:space="preserve"> </w:t>
      </w:r>
      <w:r w:rsidRPr="00414163">
        <w:rPr>
          <w:rFonts w:ascii="Calibri" w:hAnsi="Calibri"/>
          <w:color w:val="231F20"/>
          <w:w w:val="105"/>
        </w:rPr>
        <w:t>+2.8</w:t>
      </w:r>
      <w:r w:rsidRPr="00414163">
        <w:rPr>
          <w:rFonts w:ascii="Calibri" w:hAnsi="Calibri"/>
          <w:color w:val="231F20"/>
          <w:spacing w:val="8"/>
          <w:w w:val="105"/>
        </w:rPr>
        <w:t xml:space="preserve"> </w:t>
      </w:r>
      <w:r w:rsidRPr="00414163">
        <w:rPr>
          <w:rFonts w:ascii="Calibri" w:hAnsi="Calibri"/>
          <w:color w:val="231F20"/>
          <w:w w:val="105"/>
        </w:rPr>
        <w:t>percent)</w:t>
      </w:r>
      <w:r w:rsidRPr="00414163">
        <w:rPr>
          <w:rFonts w:ascii="Calibri" w:hAnsi="Calibri"/>
          <w:color w:val="231F20"/>
          <w:spacing w:val="8"/>
          <w:w w:val="105"/>
        </w:rPr>
        <w:t xml:space="preserve"> </w:t>
      </w:r>
      <w:r w:rsidRPr="00414163">
        <w:rPr>
          <w:rFonts w:ascii="Calibri" w:hAnsi="Calibri"/>
          <w:color w:val="231F20"/>
          <w:w w:val="105"/>
        </w:rPr>
        <w:t>was</w:t>
      </w:r>
      <w:r w:rsidRPr="00414163">
        <w:rPr>
          <w:rFonts w:ascii="Calibri" w:hAnsi="Calibri"/>
          <w:color w:val="231F20"/>
          <w:spacing w:val="8"/>
          <w:w w:val="105"/>
        </w:rPr>
        <w:t xml:space="preserve"> </w:t>
      </w:r>
      <w:r w:rsidRPr="00414163">
        <w:rPr>
          <w:rFonts w:ascii="Calibri" w:hAnsi="Calibri"/>
          <w:color w:val="231F20"/>
          <w:w w:val="105"/>
        </w:rPr>
        <w:t>3,200</w:t>
      </w:r>
      <w:r w:rsidRPr="00414163">
        <w:rPr>
          <w:rFonts w:ascii="Calibri" w:hAnsi="Calibri"/>
          <w:color w:val="231F20"/>
          <w:spacing w:val="8"/>
          <w:w w:val="105"/>
        </w:rPr>
        <w:t xml:space="preserve"> </w:t>
      </w:r>
      <w:r w:rsidRPr="00414163">
        <w:rPr>
          <w:rFonts w:ascii="Calibri" w:hAnsi="Calibri"/>
          <w:color w:val="231F20"/>
          <w:w w:val="105"/>
        </w:rPr>
        <w:t>more</w:t>
      </w:r>
      <w:r w:rsidRPr="00414163">
        <w:rPr>
          <w:rFonts w:ascii="Calibri" w:hAnsi="Calibri"/>
          <w:color w:val="231F20"/>
          <w:spacing w:val="8"/>
          <w:w w:val="105"/>
        </w:rPr>
        <w:t xml:space="preserve"> </w:t>
      </w:r>
      <w:r w:rsidRPr="00414163">
        <w:rPr>
          <w:rFonts w:ascii="Calibri" w:hAnsi="Calibri"/>
          <w:color w:val="231F20"/>
          <w:w w:val="105"/>
        </w:rPr>
        <w:t>when</w:t>
      </w:r>
      <w:r w:rsidRPr="00414163">
        <w:rPr>
          <w:rFonts w:ascii="Calibri" w:hAnsi="Calibri"/>
          <w:color w:val="231F20"/>
          <w:spacing w:val="8"/>
          <w:w w:val="105"/>
        </w:rPr>
        <w:t xml:space="preserve"> </w:t>
      </w:r>
      <w:r w:rsidRPr="00414163">
        <w:rPr>
          <w:rFonts w:ascii="Calibri" w:hAnsi="Calibri"/>
          <w:color w:val="231F20"/>
          <w:w w:val="105"/>
        </w:rPr>
        <w:t>compared</w:t>
      </w:r>
      <w:r w:rsidRPr="00414163">
        <w:rPr>
          <w:rFonts w:ascii="Calibri" w:hAnsi="Calibri"/>
          <w:color w:val="231F20"/>
          <w:spacing w:val="8"/>
          <w:w w:val="105"/>
        </w:rPr>
        <w:t xml:space="preserve"> </w:t>
      </w:r>
      <w:r w:rsidRPr="00414163">
        <w:rPr>
          <w:rFonts w:ascii="Calibri" w:hAnsi="Calibri"/>
          <w:color w:val="231F20"/>
          <w:w w:val="105"/>
        </w:rPr>
        <w:t>to</w:t>
      </w:r>
      <w:r w:rsidRPr="00414163">
        <w:rPr>
          <w:rFonts w:ascii="Calibri" w:hAnsi="Calibri"/>
          <w:color w:val="231F20"/>
          <w:spacing w:val="8"/>
          <w:w w:val="105"/>
        </w:rPr>
        <w:t xml:space="preserve"> </w:t>
      </w:r>
      <w:r w:rsidRPr="00414163">
        <w:rPr>
          <w:rFonts w:ascii="Calibri" w:hAnsi="Calibri"/>
          <w:color w:val="231F20"/>
          <w:w w:val="105"/>
        </w:rPr>
        <w:t>November 2016 (+12,300,</w:t>
      </w:r>
      <w:r w:rsidRPr="00414163">
        <w:rPr>
          <w:rFonts w:ascii="Calibri" w:hAnsi="Calibri"/>
          <w:color w:val="231F20"/>
          <w:spacing w:val="8"/>
          <w:w w:val="105"/>
        </w:rPr>
        <w:t xml:space="preserve"> </w:t>
      </w:r>
      <w:r w:rsidRPr="00414163">
        <w:rPr>
          <w:rFonts w:ascii="Calibri" w:hAnsi="Calibri"/>
          <w:color w:val="231F20"/>
          <w:w w:val="105"/>
        </w:rPr>
        <w:t>+2.3</w:t>
      </w:r>
      <w:r w:rsidRPr="00414163">
        <w:rPr>
          <w:rFonts w:ascii="Calibri" w:hAnsi="Calibri"/>
          <w:color w:val="231F20"/>
          <w:spacing w:val="8"/>
          <w:w w:val="105"/>
        </w:rPr>
        <w:t xml:space="preserve"> </w:t>
      </w:r>
      <w:r w:rsidRPr="00414163">
        <w:rPr>
          <w:rFonts w:ascii="Calibri" w:hAnsi="Calibri"/>
          <w:color w:val="231F20"/>
          <w:w w:val="105"/>
        </w:rPr>
        <w:t>percent)</w:t>
      </w:r>
      <w:r w:rsidR="005E7C49">
        <w:rPr>
          <w:rFonts w:ascii="Calibri" w:hAnsi="Calibri"/>
          <w:color w:val="231F20"/>
          <w:w w:val="105"/>
        </w:rPr>
        <w:t xml:space="preserve">. </w:t>
      </w:r>
      <w:r w:rsidRPr="00414163">
        <w:rPr>
          <w:rFonts w:ascii="Calibri" w:hAnsi="Calibri"/>
          <w:color w:val="231F20"/>
          <w:w w:val="105"/>
        </w:rPr>
        <w:t>The</w:t>
      </w:r>
      <w:r w:rsidRPr="00414163">
        <w:rPr>
          <w:rFonts w:ascii="Calibri" w:hAnsi="Calibri"/>
          <w:color w:val="231F20"/>
          <w:spacing w:val="-5"/>
          <w:w w:val="105"/>
        </w:rPr>
        <w:t xml:space="preserve"> </w:t>
      </w:r>
      <w:r w:rsidRPr="00414163">
        <w:rPr>
          <w:rFonts w:ascii="Calibri" w:hAnsi="Calibri"/>
          <w:color w:val="231F20"/>
          <w:w w:val="105"/>
        </w:rPr>
        <w:t>number</w:t>
      </w:r>
      <w:r w:rsidRPr="00414163">
        <w:rPr>
          <w:rFonts w:ascii="Calibri" w:hAnsi="Calibri"/>
          <w:color w:val="231F20"/>
          <w:spacing w:val="11"/>
          <w:w w:val="105"/>
        </w:rPr>
        <w:t xml:space="preserve"> </w:t>
      </w:r>
      <w:r w:rsidRPr="00414163">
        <w:rPr>
          <w:rFonts w:ascii="Calibri" w:hAnsi="Calibri"/>
          <w:color w:val="231F20"/>
          <w:w w:val="105"/>
        </w:rPr>
        <w:t>of</w:t>
      </w:r>
      <w:r w:rsidRPr="00414163">
        <w:rPr>
          <w:rFonts w:ascii="Calibri" w:hAnsi="Calibri"/>
          <w:color w:val="231F20"/>
          <w:spacing w:val="11"/>
          <w:w w:val="105"/>
        </w:rPr>
        <w:t xml:space="preserve"> </w:t>
      </w:r>
      <w:r w:rsidRPr="00414163">
        <w:rPr>
          <w:rFonts w:ascii="Calibri" w:hAnsi="Calibri"/>
          <w:color w:val="231F20"/>
          <w:w w:val="105"/>
        </w:rPr>
        <w:t>jobs</w:t>
      </w:r>
      <w:r w:rsidRPr="00414163">
        <w:rPr>
          <w:rFonts w:ascii="Calibri" w:hAnsi="Calibri"/>
          <w:color w:val="231F20"/>
          <w:spacing w:val="11"/>
          <w:w w:val="105"/>
        </w:rPr>
        <w:t xml:space="preserve"> </w:t>
      </w:r>
      <w:r w:rsidRPr="00414163">
        <w:rPr>
          <w:rFonts w:ascii="Calibri" w:hAnsi="Calibri"/>
          <w:color w:val="231F20"/>
          <w:w w:val="105"/>
        </w:rPr>
        <w:t>in</w:t>
      </w:r>
      <w:r w:rsidRPr="00414163">
        <w:rPr>
          <w:rFonts w:ascii="Calibri" w:hAnsi="Calibri"/>
          <w:color w:val="231F20"/>
          <w:spacing w:val="11"/>
          <w:w w:val="105"/>
        </w:rPr>
        <w:t xml:space="preserve"> </w:t>
      </w:r>
      <w:r w:rsidRPr="00414163">
        <w:rPr>
          <w:rFonts w:ascii="Calibri" w:hAnsi="Calibri"/>
          <w:color w:val="231F20"/>
          <w:w w:val="105"/>
        </w:rPr>
        <w:t>this</w:t>
      </w:r>
      <w:r w:rsidRPr="00414163">
        <w:rPr>
          <w:rFonts w:ascii="Calibri" w:hAnsi="Calibri"/>
          <w:color w:val="231F20"/>
          <w:spacing w:val="11"/>
          <w:w w:val="105"/>
        </w:rPr>
        <w:t xml:space="preserve"> </w:t>
      </w:r>
      <w:r w:rsidRPr="00414163">
        <w:rPr>
          <w:rFonts w:ascii="Calibri" w:hAnsi="Calibri"/>
          <w:color w:val="231F20"/>
          <w:w w:val="105"/>
        </w:rPr>
        <w:t>sector</w:t>
      </w:r>
      <w:r w:rsidRPr="00414163">
        <w:rPr>
          <w:rFonts w:ascii="Calibri" w:hAnsi="Calibri"/>
          <w:color w:val="231F20"/>
          <w:spacing w:val="11"/>
          <w:w w:val="105"/>
        </w:rPr>
        <w:t xml:space="preserve"> </w:t>
      </w:r>
      <w:r w:rsidRPr="00414163">
        <w:rPr>
          <w:rFonts w:ascii="Calibri" w:hAnsi="Calibri"/>
          <w:color w:val="231F20"/>
          <w:w w:val="105"/>
        </w:rPr>
        <w:t>has</w:t>
      </w:r>
      <w:r w:rsidRPr="00414163">
        <w:rPr>
          <w:rFonts w:ascii="Calibri" w:hAnsi="Calibri"/>
          <w:color w:val="231F20"/>
          <w:spacing w:val="11"/>
          <w:w w:val="105"/>
        </w:rPr>
        <w:t xml:space="preserve"> </w:t>
      </w:r>
      <w:r w:rsidRPr="00414163">
        <w:rPr>
          <w:rFonts w:ascii="Calibri" w:hAnsi="Calibri"/>
          <w:color w:val="231F20"/>
          <w:w w:val="105"/>
        </w:rPr>
        <w:t>been</w:t>
      </w:r>
      <w:r w:rsidRPr="00414163">
        <w:rPr>
          <w:rFonts w:ascii="Calibri" w:hAnsi="Calibri"/>
          <w:color w:val="231F20"/>
          <w:spacing w:val="11"/>
          <w:w w:val="105"/>
        </w:rPr>
        <w:t xml:space="preserve"> </w:t>
      </w:r>
      <w:r w:rsidRPr="00414163">
        <w:rPr>
          <w:rFonts w:ascii="Calibri" w:hAnsi="Calibri"/>
          <w:color w:val="231F20"/>
          <w:w w:val="105"/>
        </w:rPr>
        <w:t>trending</w:t>
      </w:r>
      <w:r w:rsidRPr="00414163">
        <w:rPr>
          <w:rFonts w:ascii="Calibri" w:hAnsi="Calibri"/>
          <w:color w:val="231F20"/>
          <w:spacing w:val="11"/>
          <w:w w:val="105"/>
        </w:rPr>
        <w:t xml:space="preserve"> </w:t>
      </w:r>
      <w:r w:rsidRPr="00414163">
        <w:rPr>
          <w:rFonts w:ascii="Calibri" w:hAnsi="Calibri"/>
          <w:color w:val="231F20"/>
          <w:w w:val="105"/>
        </w:rPr>
        <w:t>upward</w:t>
      </w:r>
      <w:r w:rsidRPr="00414163">
        <w:rPr>
          <w:rFonts w:ascii="Calibri" w:hAnsi="Calibri"/>
          <w:color w:val="231F20"/>
          <w:spacing w:val="11"/>
          <w:w w:val="105"/>
        </w:rPr>
        <w:t xml:space="preserve"> </w:t>
      </w:r>
      <w:r w:rsidRPr="00414163">
        <w:rPr>
          <w:rFonts w:ascii="Calibri" w:hAnsi="Calibri"/>
          <w:color w:val="231F20"/>
          <w:w w:val="105"/>
        </w:rPr>
        <w:t>over</w:t>
      </w:r>
      <w:r w:rsidRPr="00414163">
        <w:rPr>
          <w:rFonts w:ascii="Calibri" w:hAnsi="Calibri"/>
          <w:color w:val="231F20"/>
          <w:spacing w:val="11"/>
          <w:w w:val="105"/>
        </w:rPr>
        <w:t xml:space="preserve"> </w:t>
      </w:r>
      <w:r w:rsidRPr="00414163">
        <w:rPr>
          <w:rFonts w:ascii="Calibri" w:hAnsi="Calibri"/>
          <w:color w:val="231F20"/>
          <w:w w:val="105"/>
        </w:rPr>
        <w:t>the</w:t>
      </w:r>
      <w:r w:rsidRPr="00414163">
        <w:rPr>
          <w:rFonts w:ascii="Calibri" w:hAnsi="Calibri"/>
          <w:color w:val="231F20"/>
          <w:spacing w:val="11"/>
          <w:w w:val="105"/>
        </w:rPr>
        <w:t xml:space="preserve"> </w:t>
      </w:r>
      <w:r w:rsidRPr="00414163">
        <w:rPr>
          <w:rFonts w:ascii="Calibri" w:hAnsi="Calibri"/>
          <w:color w:val="231F20"/>
          <w:w w:val="105"/>
        </w:rPr>
        <w:t>past</w:t>
      </w:r>
      <w:r w:rsidRPr="00414163">
        <w:rPr>
          <w:rFonts w:ascii="Calibri" w:hAnsi="Calibri"/>
          <w:color w:val="231F20"/>
          <w:spacing w:val="11"/>
          <w:w w:val="105"/>
        </w:rPr>
        <w:t xml:space="preserve"> </w:t>
      </w:r>
      <w:r w:rsidRPr="00414163">
        <w:rPr>
          <w:rFonts w:ascii="Calibri" w:hAnsi="Calibri"/>
          <w:color w:val="231F20"/>
          <w:w w:val="105"/>
        </w:rPr>
        <w:t>seven</w:t>
      </w:r>
      <w:r w:rsidRPr="00414163">
        <w:rPr>
          <w:rFonts w:ascii="Calibri" w:hAnsi="Calibri"/>
          <w:color w:val="231F20"/>
          <w:spacing w:val="11"/>
          <w:w w:val="105"/>
        </w:rPr>
        <w:t xml:space="preserve"> </w:t>
      </w:r>
      <w:r w:rsidRPr="00414163">
        <w:rPr>
          <w:rFonts w:ascii="Calibri" w:hAnsi="Calibri"/>
          <w:color w:val="231F20"/>
          <w:w w:val="105"/>
        </w:rPr>
        <w:t>years.</w:t>
      </w:r>
    </w:p>
    <w:p w14:paraId="7DCB4812" w14:textId="77777777" w:rsidR="00002D76" w:rsidRPr="00414163" w:rsidRDefault="00002D76" w:rsidP="00002D76">
      <w:pPr>
        <w:widowControl w:val="0"/>
        <w:spacing w:before="6" w:after="0" w:line="240" w:lineRule="auto"/>
        <w:rPr>
          <w:rFonts w:ascii="Calibri" w:hAnsi="Calibri" w:cs="Calibri"/>
          <w:sz w:val="16"/>
          <w:szCs w:val="16"/>
        </w:rPr>
      </w:pPr>
    </w:p>
    <w:p w14:paraId="7A98C888" w14:textId="77777777" w:rsidR="00002D76" w:rsidRPr="00041D0F" w:rsidRDefault="00002D76" w:rsidP="00D63204">
      <w:pPr>
        <w:widowControl w:val="0"/>
        <w:spacing w:after="0" w:line="266" w:lineRule="exact"/>
        <w:ind w:left="468" w:right="468"/>
        <w:outlineLvl w:val="2"/>
        <w:rPr>
          <w:rFonts w:ascii="Calibri" w:hAnsi="Calibri"/>
        </w:rPr>
      </w:pPr>
      <w:r w:rsidRPr="00041D0F">
        <w:rPr>
          <w:rFonts w:ascii="Calibri" w:hAnsi="Calibri"/>
          <w:b/>
          <w:bCs/>
          <w:color w:val="231F20"/>
          <w:w w:val="110"/>
        </w:rPr>
        <w:t>Figure</w:t>
      </w:r>
      <w:r w:rsidRPr="00041D0F">
        <w:rPr>
          <w:rFonts w:ascii="Calibri" w:hAnsi="Calibri"/>
          <w:b/>
          <w:bCs/>
          <w:color w:val="231F20"/>
          <w:spacing w:val="23"/>
          <w:w w:val="110"/>
        </w:rPr>
        <w:t xml:space="preserve"> </w:t>
      </w:r>
      <w:r w:rsidRPr="00041D0F">
        <w:rPr>
          <w:rFonts w:ascii="Calibri" w:hAnsi="Calibri"/>
          <w:b/>
          <w:bCs/>
          <w:color w:val="231F20"/>
          <w:w w:val="110"/>
        </w:rPr>
        <w:t>2.27</w:t>
      </w:r>
    </w:p>
    <w:p w14:paraId="5251FC1F" w14:textId="77777777" w:rsidR="00002D76" w:rsidRPr="00041D0F" w:rsidRDefault="00002D76" w:rsidP="00002D76">
      <w:pPr>
        <w:widowControl w:val="0"/>
        <w:spacing w:after="0" w:line="266" w:lineRule="exact"/>
        <w:ind w:left="107" w:firstLine="2111"/>
        <w:rPr>
          <w:rFonts w:ascii="Calibri" w:hAnsi="Calibri"/>
          <w:b/>
          <w:color w:val="231F20"/>
          <w:w w:val="110"/>
        </w:rPr>
      </w:pPr>
      <w:r w:rsidRPr="00041D0F">
        <w:rPr>
          <w:noProof/>
        </w:rPr>
        <w:drawing>
          <wp:anchor distT="0" distB="0" distL="114300" distR="114300" simplePos="0" relativeHeight="251658252" behindDoc="0" locked="0" layoutInCell="1" allowOverlap="1" wp14:anchorId="01312A05" wp14:editId="0414E918">
            <wp:simplePos x="0" y="0"/>
            <wp:positionH relativeFrom="margin">
              <wp:posOffset>186558</wp:posOffset>
            </wp:positionH>
            <wp:positionV relativeFrom="paragraph">
              <wp:posOffset>329763</wp:posOffset>
            </wp:positionV>
            <wp:extent cx="6162675" cy="3457575"/>
            <wp:effectExtent l="0" t="0" r="0" b="0"/>
            <wp:wrapTopAndBottom/>
            <wp:docPr id="1402719352" name="Chart 1402719352" descr="The line graph shows financial activities employment in Florida peaked at 558,000 jobs in May 2006 and declined, reaching 476,000 employed in April 2010. Since the low in 2010, 91,400 jobs in the industry have been recovered. In November 2017, employment was 567,400. The over the year change in November 2017 (+15,500 jobs, +2.8 percent) was 3,200 more when compared to November 2016 (+12,300, +2.3 percent). Jobs in this sector has trended upward over the past seven years." title="Figure 2.27 Florida Financial Activities Employment, Seasonally Adjusted"/>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14:sizeRelV relativeFrom="margin">
              <wp14:pctHeight>0</wp14:pctHeight>
            </wp14:sizeRelV>
          </wp:anchor>
        </w:drawing>
      </w:r>
      <w:r w:rsidRPr="00041D0F">
        <w:rPr>
          <w:rFonts w:ascii="Calibri" w:hAnsi="Calibri"/>
          <w:b/>
          <w:color w:val="231F20"/>
          <w:w w:val="110"/>
        </w:rPr>
        <w:t>Florida Financial Activities Employment</w:t>
      </w:r>
      <w:r>
        <w:rPr>
          <w:rFonts w:ascii="Calibri" w:hAnsi="Calibri"/>
          <w:b/>
          <w:color w:val="231F20"/>
          <w:w w:val="110"/>
        </w:rPr>
        <w:t>,</w:t>
      </w:r>
      <w:r w:rsidRPr="00041D0F">
        <w:rPr>
          <w:rFonts w:ascii="Calibri" w:hAnsi="Calibri"/>
          <w:b/>
          <w:color w:val="231F20"/>
          <w:w w:val="110"/>
        </w:rPr>
        <w:t xml:space="preserve"> Seasonally</w:t>
      </w:r>
      <w:r w:rsidRPr="00041D0F">
        <w:rPr>
          <w:rFonts w:ascii="Calibri" w:hAnsi="Calibri"/>
          <w:b/>
          <w:color w:val="231F20"/>
          <w:spacing w:val="-36"/>
          <w:w w:val="110"/>
        </w:rPr>
        <w:t xml:space="preserve"> </w:t>
      </w:r>
      <w:r w:rsidRPr="00041D0F">
        <w:rPr>
          <w:rFonts w:ascii="Calibri" w:hAnsi="Calibri"/>
          <w:b/>
          <w:color w:val="231F20"/>
          <w:w w:val="110"/>
        </w:rPr>
        <w:t>Adjusted</w:t>
      </w:r>
    </w:p>
    <w:p w14:paraId="2E420EB3" w14:textId="77777777" w:rsidR="00002D76" w:rsidRPr="00041D0F" w:rsidRDefault="00002D76" w:rsidP="00002D76">
      <w:pPr>
        <w:widowControl w:val="0"/>
        <w:spacing w:before="91" w:after="0" w:line="216" w:lineRule="exact"/>
        <w:ind w:left="720" w:right="90"/>
        <w:rPr>
          <w:rFonts w:ascii="Calibri" w:hAnsi="Calibri" w:cs="Calibri"/>
          <w:sz w:val="18"/>
          <w:szCs w:val="18"/>
        </w:rPr>
      </w:pPr>
      <w:r w:rsidRPr="00041D0F">
        <w:rPr>
          <w:rFonts w:ascii="Calibri" w:hAnsi="Calibri"/>
          <w:w w:val="105"/>
          <w:sz w:val="18"/>
        </w:rPr>
        <w:t xml:space="preserve">Source:  U.S. Department of </w:t>
      </w:r>
      <w:r w:rsidRPr="00041D0F">
        <w:rPr>
          <w:rFonts w:ascii="Calibri" w:hAnsi="Calibri"/>
          <w:spacing w:val="-3"/>
          <w:w w:val="105"/>
          <w:sz w:val="18"/>
        </w:rPr>
        <w:t xml:space="preserve">Labor, </w:t>
      </w:r>
      <w:r w:rsidRPr="00041D0F">
        <w:rPr>
          <w:rFonts w:ascii="Calibri" w:hAnsi="Calibri"/>
          <w:w w:val="105"/>
          <w:sz w:val="18"/>
        </w:rPr>
        <w:t>Bureau of Labor Statistics, Curren</w:t>
      </w:r>
      <w:r>
        <w:rPr>
          <w:rFonts w:ascii="Calibri" w:hAnsi="Calibri"/>
          <w:w w:val="105"/>
          <w:sz w:val="18"/>
        </w:rPr>
        <w:t>t Employment Statistics Program</w:t>
      </w:r>
      <w:r w:rsidRPr="00041D0F">
        <w:rPr>
          <w:rFonts w:ascii="Calibri" w:hAnsi="Calibri"/>
          <w:w w:val="105"/>
          <w:sz w:val="18"/>
        </w:rPr>
        <w:t xml:space="preserve">, </w:t>
      </w:r>
      <w:r w:rsidRPr="00041D0F">
        <w:rPr>
          <w:rFonts w:ascii="Calibri" w:hAnsi="Calibri"/>
          <w:color w:val="231F20"/>
          <w:w w:val="105"/>
          <w:sz w:val="18"/>
        </w:rPr>
        <w:t>December 2017</w:t>
      </w:r>
      <w:r>
        <w:rPr>
          <w:rFonts w:ascii="Calibri" w:hAnsi="Calibri"/>
          <w:color w:val="231F20"/>
          <w:w w:val="105"/>
          <w:sz w:val="18"/>
        </w:rPr>
        <w:t>.</w:t>
      </w:r>
    </w:p>
    <w:p w14:paraId="373AAFE9" w14:textId="77777777" w:rsidR="00002D76" w:rsidRPr="00EA7458" w:rsidRDefault="00002D76" w:rsidP="00002D76">
      <w:pPr>
        <w:widowControl w:val="0"/>
        <w:spacing w:after="0" w:line="216" w:lineRule="exact"/>
        <w:rPr>
          <w:rFonts w:ascii="Calibri" w:hAnsi="Calibri" w:cs="Calibri"/>
          <w:sz w:val="18"/>
          <w:szCs w:val="18"/>
        </w:rPr>
        <w:sectPr w:rsidR="00002D76" w:rsidRPr="00EA7458">
          <w:pgSz w:w="12240" w:h="15840"/>
          <w:pgMar w:top="1620" w:right="900" w:bottom="820" w:left="900" w:header="812" w:footer="624" w:gutter="0"/>
          <w:cols w:space="720"/>
        </w:sectPr>
      </w:pPr>
    </w:p>
    <w:p w14:paraId="617B510A" w14:textId="77777777" w:rsidR="00002D76" w:rsidRPr="00EA7458" w:rsidRDefault="00002D76" w:rsidP="00002D76">
      <w:pPr>
        <w:widowControl w:val="0"/>
        <w:spacing w:before="4" w:after="0" w:line="240" w:lineRule="auto"/>
        <w:rPr>
          <w:rFonts w:ascii="Calibri" w:hAnsi="Calibri" w:cs="Calibri"/>
          <w:sz w:val="14"/>
          <w:szCs w:val="14"/>
        </w:rPr>
      </w:pPr>
    </w:p>
    <w:p w14:paraId="52E0CCD7" w14:textId="77777777" w:rsidR="00002D76" w:rsidRPr="00D52350" w:rsidRDefault="00002D76" w:rsidP="00D63204">
      <w:pPr>
        <w:widowControl w:val="0"/>
        <w:spacing w:before="63" w:after="0" w:line="240" w:lineRule="auto"/>
        <w:ind w:left="107"/>
        <w:outlineLvl w:val="3"/>
        <w:rPr>
          <w:rFonts w:ascii="Gill Sans MT" w:hAnsi="Gill Sans MT"/>
        </w:rPr>
      </w:pPr>
      <w:bookmarkStart w:id="40" w:name="_bookmark28"/>
      <w:bookmarkEnd w:id="40"/>
      <w:r w:rsidRPr="00D52350">
        <w:rPr>
          <w:rFonts w:ascii="Gill Sans MT" w:hAnsi="Gill Sans MT"/>
          <w:b/>
          <w:bCs/>
          <w:i/>
          <w:color w:val="231F20"/>
          <w:w w:val="110"/>
        </w:rPr>
        <w:t>Professional</w:t>
      </w:r>
      <w:r w:rsidRPr="00D52350">
        <w:rPr>
          <w:rFonts w:ascii="Gill Sans MT" w:hAnsi="Gill Sans MT"/>
          <w:b/>
          <w:bCs/>
          <w:i/>
          <w:color w:val="231F20"/>
          <w:spacing w:val="-25"/>
          <w:w w:val="110"/>
        </w:rPr>
        <w:t xml:space="preserve"> </w:t>
      </w:r>
      <w:r w:rsidRPr="00D52350">
        <w:rPr>
          <w:rFonts w:ascii="Gill Sans MT" w:hAnsi="Gill Sans MT"/>
          <w:b/>
          <w:bCs/>
          <w:i/>
          <w:color w:val="231F20"/>
          <w:w w:val="110"/>
        </w:rPr>
        <w:t>and</w:t>
      </w:r>
      <w:r w:rsidRPr="00D52350">
        <w:rPr>
          <w:rFonts w:ascii="Gill Sans MT" w:hAnsi="Gill Sans MT"/>
          <w:b/>
          <w:bCs/>
          <w:i/>
          <w:color w:val="231F20"/>
          <w:spacing w:val="-25"/>
          <w:w w:val="110"/>
        </w:rPr>
        <w:t xml:space="preserve"> </w:t>
      </w:r>
      <w:r w:rsidRPr="00D52350">
        <w:rPr>
          <w:rFonts w:ascii="Gill Sans MT" w:hAnsi="Gill Sans MT"/>
          <w:b/>
          <w:bCs/>
          <w:i/>
          <w:color w:val="231F20"/>
          <w:w w:val="110"/>
        </w:rPr>
        <w:t>Business</w:t>
      </w:r>
      <w:r w:rsidRPr="00D52350">
        <w:rPr>
          <w:rFonts w:ascii="Gill Sans MT" w:hAnsi="Gill Sans MT"/>
          <w:b/>
          <w:bCs/>
          <w:i/>
          <w:color w:val="231F20"/>
          <w:spacing w:val="-25"/>
          <w:w w:val="110"/>
        </w:rPr>
        <w:t xml:space="preserve"> </w:t>
      </w:r>
      <w:r w:rsidRPr="00D52350">
        <w:rPr>
          <w:rFonts w:ascii="Gill Sans MT" w:hAnsi="Gill Sans MT"/>
          <w:b/>
          <w:bCs/>
          <w:i/>
          <w:color w:val="231F20"/>
          <w:w w:val="110"/>
        </w:rPr>
        <w:t>Services</w:t>
      </w:r>
    </w:p>
    <w:p w14:paraId="151F36A4" w14:textId="306B7535" w:rsidR="00002D76" w:rsidRPr="004C3EAD" w:rsidRDefault="00002D76" w:rsidP="00D63204">
      <w:pPr>
        <w:widowControl w:val="0"/>
        <w:spacing w:before="2" w:after="0" w:line="264" w:lineRule="exact"/>
        <w:ind w:left="107" w:right="178"/>
        <w:rPr>
          <w:rFonts w:ascii="Calibri" w:hAnsi="Calibri"/>
        </w:rPr>
      </w:pPr>
      <w:r w:rsidRPr="00D52350">
        <w:rPr>
          <w:rFonts w:ascii="Calibri" w:hAnsi="Calibri"/>
          <w:color w:val="231F20"/>
          <w:w w:val="105"/>
        </w:rPr>
        <w:t>Employment</w:t>
      </w:r>
      <w:r w:rsidRPr="00D52350">
        <w:rPr>
          <w:rFonts w:ascii="Calibri" w:hAnsi="Calibri"/>
          <w:color w:val="231F20"/>
          <w:spacing w:val="20"/>
          <w:w w:val="105"/>
        </w:rPr>
        <w:t xml:space="preserve"> </w:t>
      </w:r>
      <w:r w:rsidRPr="00D52350">
        <w:rPr>
          <w:rFonts w:ascii="Calibri" w:hAnsi="Calibri"/>
          <w:color w:val="231F20"/>
          <w:w w:val="105"/>
        </w:rPr>
        <w:t>in</w:t>
      </w:r>
      <w:r w:rsidRPr="00D52350">
        <w:rPr>
          <w:rFonts w:ascii="Calibri" w:hAnsi="Calibri"/>
          <w:color w:val="231F20"/>
          <w:spacing w:val="20"/>
          <w:w w:val="105"/>
        </w:rPr>
        <w:t xml:space="preserve"> </w:t>
      </w:r>
      <w:r w:rsidRPr="00D52350">
        <w:rPr>
          <w:rFonts w:ascii="Calibri" w:hAnsi="Calibri"/>
          <w:color w:val="231F20"/>
          <w:w w:val="105"/>
        </w:rPr>
        <w:t>Florida’s</w:t>
      </w:r>
      <w:r w:rsidRPr="00D52350">
        <w:rPr>
          <w:rFonts w:ascii="Calibri" w:hAnsi="Calibri"/>
          <w:color w:val="231F20"/>
          <w:spacing w:val="20"/>
          <w:w w:val="105"/>
        </w:rPr>
        <w:t xml:space="preserve"> </w:t>
      </w:r>
      <w:r w:rsidRPr="00D52350">
        <w:rPr>
          <w:rFonts w:ascii="Calibri" w:hAnsi="Calibri"/>
          <w:color w:val="231F20"/>
          <w:w w:val="105"/>
        </w:rPr>
        <w:t>professional</w:t>
      </w:r>
      <w:r w:rsidRPr="00D52350">
        <w:rPr>
          <w:rFonts w:ascii="Calibri" w:hAnsi="Calibri"/>
          <w:color w:val="231F20"/>
          <w:spacing w:val="20"/>
          <w:w w:val="105"/>
        </w:rPr>
        <w:t xml:space="preserve"> </w:t>
      </w:r>
      <w:r w:rsidRPr="00D52350">
        <w:rPr>
          <w:rFonts w:ascii="Calibri" w:hAnsi="Calibri"/>
          <w:color w:val="231F20"/>
          <w:w w:val="105"/>
        </w:rPr>
        <w:t>and</w:t>
      </w:r>
      <w:r w:rsidRPr="00D52350">
        <w:rPr>
          <w:rFonts w:ascii="Calibri" w:hAnsi="Calibri"/>
          <w:color w:val="231F20"/>
          <w:spacing w:val="20"/>
          <w:w w:val="105"/>
        </w:rPr>
        <w:t xml:space="preserve"> </w:t>
      </w:r>
      <w:r w:rsidRPr="00D52350">
        <w:rPr>
          <w:rFonts w:ascii="Calibri" w:hAnsi="Calibri"/>
          <w:color w:val="231F20"/>
          <w:w w:val="105"/>
        </w:rPr>
        <w:t>business</w:t>
      </w:r>
      <w:r w:rsidRPr="00D52350">
        <w:rPr>
          <w:rFonts w:ascii="Calibri" w:hAnsi="Calibri"/>
          <w:color w:val="231F20"/>
          <w:spacing w:val="20"/>
          <w:w w:val="105"/>
        </w:rPr>
        <w:t xml:space="preserve"> </w:t>
      </w:r>
      <w:r w:rsidRPr="00D52350">
        <w:rPr>
          <w:rFonts w:ascii="Calibri" w:hAnsi="Calibri"/>
          <w:color w:val="231F20"/>
          <w:w w:val="105"/>
        </w:rPr>
        <w:t>services</w:t>
      </w:r>
      <w:r w:rsidRPr="00D52350">
        <w:rPr>
          <w:rFonts w:ascii="Calibri" w:hAnsi="Calibri"/>
          <w:color w:val="231F20"/>
          <w:spacing w:val="20"/>
          <w:w w:val="105"/>
        </w:rPr>
        <w:t xml:space="preserve"> </w:t>
      </w:r>
      <w:r w:rsidRPr="00D52350">
        <w:rPr>
          <w:rFonts w:ascii="Calibri" w:hAnsi="Calibri"/>
          <w:color w:val="231F20"/>
          <w:w w:val="105"/>
        </w:rPr>
        <w:t>industry</w:t>
      </w:r>
      <w:r w:rsidRPr="00D52350">
        <w:rPr>
          <w:rFonts w:ascii="Calibri" w:hAnsi="Calibri"/>
          <w:color w:val="231F20"/>
          <w:spacing w:val="20"/>
          <w:w w:val="105"/>
        </w:rPr>
        <w:t xml:space="preserve"> </w:t>
      </w:r>
      <w:r w:rsidRPr="00D52350">
        <w:rPr>
          <w:rFonts w:ascii="Calibri" w:hAnsi="Calibri"/>
          <w:color w:val="231F20"/>
          <w:w w:val="105"/>
        </w:rPr>
        <w:t>experienced</w:t>
      </w:r>
      <w:r w:rsidRPr="00D52350">
        <w:rPr>
          <w:rFonts w:ascii="Calibri" w:hAnsi="Calibri"/>
          <w:color w:val="231F20"/>
          <w:spacing w:val="20"/>
          <w:w w:val="105"/>
        </w:rPr>
        <w:t xml:space="preserve"> </w:t>
      </w:r>
      <w:r w:rsidRPr="00D52350">
        <w:rPr>
          <w:rFonts w:ascii="Calibri" w:hAnsi="Calibri"/>
          <w:color w:val="231F20"/>
          <w:w w:val="105"/>
        </w:rPr>
        <w:t>a</w:t>
      </w:r>
      <w:r w:rsidRPr="00D52350">
        <w:rPr>
          <w:rFonts w:ascii="Calibri" w:hAnsi="Calibri"/>
          <w:color w:val="231F20"/>
          <w:spacing w:val="20"/>
          <w:w w:val="105"/>
        </w:rPr>
        <w:t xml:space="preserve"> </w:t>
      </w:r>
      <w:r w:rsidRPr="00D52350">
        <w:rPr>
          <w:rFonts w:ascii="Calibri" w:hAnsi="Calibri"/>
          <w:color w:val="231F20"/>
          <w:w w:val="105"/>
        </w:rPr>
        <w:t>rapid</w:t>
      </w:r>
      <w:r w:rsidRPr="00D52350">
        <w:rPr>
          <w:rFonts w:ascii="Calibri" w:hAnsi="Calibri"/>
          <w:color w:val="231F20"/>
          <w:spacing w:val="20"/>
          <w:w w:val="105"/>
        </w:rPr>
        <w:t xml:space="preserve"> </w:t>
      </w:r>
      <w:r w:rsidRPr="00D52350">
        <w:rPr>
          <w:rFonts w:ascii="Calibri" w:hAnsi="Calibri"/>
          <w:color w:val="231F20"/>
          <w:w w:val="105"/>
        </w:rPr>
        <w:t>decline</w:t>
      </w:r>
      <w:r w:rsidRPr="00D52350">
        <w:rPr>
          <w:rFonts w:ascii="Calibri" w:hAnsi="Calibri"/>
          <w:color w:val="231F20"/>
          <w:spacing w:val="20"/>
          <w:w w:val="105"/>
        </w:rPr>
        <w:t xml:space="preserve"> </w:t>
      </w:r>
      <w:r w:rsidRPr="00D52350">
        <w:rPr>
          <w:rFonts w:ascii="Calibri" w:hAnsi="Calibri"/>
          <w:color w:val="231F20"/>
          <w:w w:val="105"/>
        </w:rPr>
        <w:t>during</w:t>
      </w:r>
      <w:r w:rsidRPr="00D52350">
        <w:rPr>
          <w:rFonts w:ascii="Calibri" w:hAnsi="Calibri"/>
          <w:color w:val="231F20"/>
          <w:spacing w:val="-4"/>
          <w:w w:val="105"/>
        </w:rPr>
        <w:t xml:space="preserve"> </w:t>
      </w:r>
      <w:r w:rsidRPr="00D52350">
        <w:rPr>
          <w:rFonts w:ascii="Calibri" w:hAnsi="Calibri"/>
          <w:color w:val="231F20"/>
          <w:w w:val="105"/>
        </w:rPr>
        <w:t>the</w:t>
      </w:r>
      <w:r w:rsidRPr="00D52350">
        <w:rPr>
          <w:rFonts w:ascii="Calibri" w:hAnsi="Calibri"/>
          <w:color w:val="231F20"/>
          <w:spacing w:val="13"/>
          <w:w w:val="105"/>
        </w:rPr>
        <w:t xml:space="preserve"> </w:t>
      </w:r>
      <w:r w:rsidRPr="00D52350">
        <w:rPr>
          <w:rFonts w:ascii="Calibri" w:hAnsi="Calibri"/>
          <w:color w:val="231F20"/>
          <w:w w:val="105"/>
        </w:rPr>
        <w:t>Great</w:t>
      </w:r>
      <w:r w:rsidRPr="00D52350">
        <w:rPr>
          <w:rFonts w:ascii="Calibri" w:hAnsi="Calibri"/>
          <w:color w:val="231F20"/>
          <w:spacing w:val="13"/>
          <w:w w:val="105"/>
        </w:rPr>
        <w:t xml:space="preserve"> </w:t>
      </w:r>
      <w:r w:rsidRPr="00D52350">
        <w:rPr>
          <w:rFonts w:ascii="Calibri" w:hAnsi="Calibri"/>
          <w:color w:val="231F20"/>
          <w:w w:val="105"/>
        </w:rPr>
        <w:t>Recession,</w:t>
      </w:r>
      <w:r w:rsidRPr="00D52350">
        <w:rPr>
          <w:rFonts w:ascii="Calibri" w:hAnsi="Calibri"/>
          <w:color w:val="231F20"/>
          <w:spacing w:val="13"/>
          <w:w w:val="105"/>
        </w:rPr>
        <w:t xml:space="preserve"> </w:t>
      </w:r>
      <w:r w:rsidRPr="00D52350">
        <w:rPr>
          <w:rFonts w:ascii="Calibri" w:hAnsi="Calibri"/>
          <w:color w:val="231F20"/>
          <w:w w:val="105"/>
        </w:rPr>
        <w:t>bottoming</w:t>
      </w:r>
      <w:r w:rsidRPr="00D52350">
        <w:rPr>
          <w:rFonts w:ascii="Calibri" w:hAnsi="Calibri"/>
          <w:color w:val="231F20"/>
          <w:spacing w:val="13"/>
          <w:w w:val="105"/>
        </w:rPr>
        <w:t xml:space="preserve"> </w:t>
      </w:r>
      <w:r w:rsidRPr="00D52350">
        <w:rPr>
          <w:rFonts w:ascii="Calibri" w:hAnsi="Calibri"/>
          <w:color w:val="231F20"/>
          <w:w w:val="105"/>
        </w:rPr>
        <w:t>out</w:t>
      </w:r>
      <w:r w:rsidRPr="00D52350">
        <w:rPr>
          <w:rFonts w:ascii="Calibri" w:hAnsi="Calibri"/>
          <w:color w:val="231F20"/>
          <w:spacing w:val="13"/>
          <w:w w:val="105"/>
        </w:rPr>
        <w:t xml:space="preserve"> </w:t>
      </w:r>
      <w:r w:rsidRPr="00D52350">
        <w:rPr>
          <w:rFonts w:ascii="Calibri" w:hAnsi="Calibri"/>
          <w:color w:val="231F20"/>
          <w:w w:val="105"/>
        </w:rPr>
        <w:t>at</w:t>
      </w:r>
      <w:r w:rsidRPr="00D52350">
        <w:rPr>
          <w:rFonts w:ascii="Calibri" w:hAnsi="Calibri"/>
          <w:color w:val="231F20"/>
          <w:spacing w:val="13"/>
          <w:w w:val="105"/>
        </w:rPr>
        <w:t xml:space="preserve"> </w:t>
      </w:r>
      <w:r w:rsidRPr="00D52350">
        <w:rPr>
          <w:rFonts w:ascii="Calibri" w:hAnsi="Calibri"/>
          <w:color w:val="231F20"/>
          <w:w w:val="105"/>
        </w:rPr>
        <w:t>983,600</w:t>
      </w:r>
      <w:r w:rsidRPr="00D52350">
        <w:rPr>
          <w:rFonts w:ascii="Calibri" w:hAnsi="Calibri"/>
          <w:color w:val="231F20"/>
          <w:spacing w:val="13"/>
          <w:w w:val="105"/>
        </w:rPr>
        <w:t xml:space="preserve"> </w:t>
      </w:r>
      <w:r w:rsidRPr="00D52350">
        <w:rPr>
          <w:rFonts w:ascii="Calibri" w:hAnsi="Calibri"/>
          <w:color w:val="231F20"/>
          <w:w w:val="105"/>
        </w:rPr>
        <w:t>jobs in August 2009</w:t>
      </w:r>
      <w:r w:rsidR="005E7C49">
        <w:rPr>
          <w:rFonts w:ascii="Calibri" w:hAnsi="Calibri"/>
          <w:color w:val="231F20"/>
          <w:w w:val="105"/>
        </w:rPr>
        <w:t xml:space="preserve">. </w:t>
      </w:r>
      <w:r w:rsidRPr="00D52350">
        <w:rPr>
          <w:rFonts w:ascii="Calibri" w:hAnsi="Calibri"/>
          <w:color w:val="231F20"/>
          <w:w w:val="105"/>
        </w:rPr>
        <w:t>Currently,</w:t>
      </w:r>
      <w:r w:rsidRPr="00D52350">
        <w:rPr>
          <w:rFonts w:ascii="Calibri" w:hAnsi="Calibri"/>
          <w:color w:val="231F20"/>
          <w:spacing w:val="13"/>
          <w:w w:val="105"/>
        </w:rPr>
        <w:t xml:space="preserve"> </w:t>
      </w:r>
      <w:r w:rsidRPr="00D52350">
        <w:rPr>
          <w:rFonts w:ascii="Calibri" w:hAnsi="Calibri"/>
          <w:color w:val="231F20"/>
          <w:w w:val="105"/>
        </w:rPr>
        <w:t>industry</w:t>
      </w:r>
      <w:r w:rsidRPr="00D52350">
        <w:rPr>
          <w:rFonts w:ascii="Calibri" w:hAnsi="Calibri"/>
          <w:color w:val="231F20"/>
          <w:spacing w:val="13"/>
          <w:w w:val="105"/>
        </w:rPr>
        <w:t xml:space="preserve"> </w:t>
      </w:r>
      <w:r w:rsidRPr="00D52350">
        <w:rPr>
          <w:rFonts w:ascii="Calibri" w:hAnsi="Calibri"/>
          <w:color w:val="231F20"/>
          <w:w w:val="105"/>
        </w:rPr>
        <w:t>employment</w:t>
      </w:r>
      <w:r w:rsidRPr="00D52350">
        <w:rPr>
          <w:rFonts w:ascii="Calibri" w:hAnsi="Calibri"/>
          <w:color w:val="231F20"/>
          <w:spacing w:val="13"/>
          <w:w w:val="105"/>
        </w:rPr>
        <w:t xml:space="preserve"> </w:t>
      </w:r>
      <w:r w:rsidRPr="00D52350">
        <w:rPr>
          <w:rFonts w:ascii="Calibri" w:hAnsi="Calibri"/>
          <w:color w:val="231F20"/>
          <w:w w:val="105"/>
        </w:rPr>
        <w:t>is</w:t>
      </w:r>
      <w:r w:rsidRPr="00D52350">
        <w:rPr>
          <w:rFonts w:ascii="Calibri" w:hAnsi="Calibri"/>
          <w:color w:val="231F20"/>
          <w:spacing w:val="13"/>
          <w:w w:val="105"/>
        </w:rPr>
        <w:t xml:space="preserve"> </w:t>
      </w:r>
      <w:r w:rsidRPr="004C3EAD">
        <w:rPr>
          <w:rFonts w:ascii="Calibri" w:hAnsi="Calibri"/>
          <w:color w:val="231F20"/>
          <w:w w:val="105"/>
        </w:rPr>
        <w:t>above</w:t>
      </w:r>
      <w:r w:rsidRPr="004C3EAD">
        <w:rPr>
          <w:rFonts w:ascii="Calibri" w:hAnsi="Calibri"/>
          <w:color w:val="231F20"/>
          <w:spacing w:val="13"/>
          <w:w w:val="105"/>
        </w:rPr>
        <w:t xml:space="preserve"> </w:t>
      </w:r>
      <w:r w:rsidRPr="004C3EAD">
        <w:rPr>
          <w:rFonts w:ascii="Calibri" w:hAnsi="Calibri"/>
          <w:color w:val="231F20"/>
          <w:w w:val="105"/>
        </w:rPr>
        <w:t>its</w:t>
      </w:r>
      <w:r w:rsidRPr="004C3EAD">
        <w:rPr>
          <w:rFonts w:ascii="Calibri" w:hAnsi="Calibri"/>
          <w:color w:val="231F20"/>
          <w:spacing w:val="13"/>
          <w:w w:val="105"/>
        </w:rPr>
        <w:t xml:space="preserve"> </w:t>
      </w:r>
      <w:r w:rsidRPr="004C3EAD">
        <w:rPr>
          <w:rFonts w:ascii="Calibri" w:hAnsi="Calibri"/>
          <w:color w:val="231F20"/>
          <w:w w:val="105"/>
        </w:rPr>
        <w:t>previous</w:t>
      </w:r>
      <w:r w:rsidRPr="004C3EAD">
        <w:rPr>
          <w:rFonts w:ascii="Calibri" w:hAnsi="Calibri"/>
          <w:color w:val="231F20"/>
          <w:w w:val="107"/>
        </w:rPr>
        <w:t xml:space="preserve"> </w:t>
      </w:r>
      <w:r w:rsidRPr="004C3EAD">
        <w:rPr>
          <w:rFonts w:ascii="Calibri" w:hAnsi="Calibri"/>
          <w:color w:val="231F20"/>
          <w:w w:val="105"/>
        </w:rPr>
        <w:t>peak.</w:t>
      </w:r>
    </w:p>
    <w:p w14:paraId="697FDF95" w14:textId="77777777" w:rsidR="00002D76" w:rsidRPr="004C3EAD" w:rsidRDefault="00002D76" w:rsidP="00D63204">
      <w:pPr>
        <w:widowControl w:val="0"/>
        <w:spacing w:before="5" w:after="0" w:line="240" w:lineRule="auto"/>
        <w:rPr>
          <w:rFonts w:ascii="Calibri" w:hAnsi="Calibri" w:cs="Calibri"/>
          <w:sz w:val="16"/>
          <w:szCs w:val="16"/>
        </w:rPr>
      </w:pPr>
    </w:p>
    <w:p w14:paraId="69B14532" w14:textId="2DE1C6C5" w:rsidR="00002D76" w:rsidRPr="004C3EAD" w:rsidRDefault="00002D76" w:rsidP="00D63204">
      <w:pPr>
        <w:widowControl w:val="0"/>
        <w:spacing w:after="0" w:line="264" w:lineRule="exact"/>
        <w:ind w:left="107" w:right="203"/>
        <w:rPr>
          <w:rFonts w:ascii="Calibri" w:hAnsi="Calibri"/>
        </w:rPr>
      </w:pPr>
      <w:r w:rsidRPr="004C3EAD">
        <w:rPr>
          <w:rFonts w:ascii="Calibri" w:hAnsi="Calibri"/>
          <w:color w:val="231F20"/>
          <w:w w:val="105"/>
        </w:rPr>
        <w:t xml:space="preserve">In November 2017, the employment was </w:t>
      </w:r>
      <w:r w:rsidRPr="004C3EAD">
        <w:rPr>
          <w:rFonts w:ascii="Calibri" w:hAnsi="Calibri"/>
          <w:color w:val="231F20"/>
          <w:spacing w:val="-3"/>
          <w:w w:val="105"/>
        </w:rPr>
        <w:t>1,342,800</w:t>
      </w:r>
      <w:r w:rsidR="005E7C49">
        <w:rPr>
          <w:rFonts w:ascii="Calibri" w:hAnsi="Calibri"/>
          <w:color w:val="231F20"/>
          <w:spacing w:val="-3"/>
          <w:w w:val="105"/>
        </w:rPr>
        <w:t xml:space="preserve">. </w:t>
      </w:r>
      <w:r w:rsidRPr="004C3EAD">
        <w:rPr>
          <w:rFonts w:ascii="Calibri" w:hAnsi="Calibri"/>
          <w:color w:val="231F20"/>
          <w:w w:val="105"/>
        </w:rPr>
        <w:t>The over</w:t>
      </w:r>
      <w:r w:rsidR="00370734">
        <w:rPr>
          <w:rFonts w:ascii="Calibri" w:hAnsi="Calibri"/>
          <w:color w:val="231F20"/>
          <w:w w:val="105"/>
        </w:rPr>
        <w:t>-</w:t>
      </w:r>
      <w:r w:rsidRPr="004C3EAD">
        <w:rPr>
          <w:rFonts w:ascii="Calibri" w:hAnsi="Calibri"/>
          <w:color w:val="231F20"/>
          <w:w w:val="105"/>
        </w:rPr>
        <w:t>the</w:t>
      </w:r>
      <w:r w:rsidR="00370734">
        <w:rPr>
          <w:rFonts w:ascii="Calibri" w:hAnsi="Calibri"/>
          <w:color w:val="231F20"/>
          <w:w w:val="105"/>
        </w:rPr>
        <w:t>-</w:t>
      </w:r>
      <w:r w:rsidRPr="004C3EAD">
        <w:rPr>
          <w:rFonts w:ascii="Calibri" w:hAnsi="Calibri"/>
          <w:color w:val="231F20"/>
          <w:w w:val="105"/>
        </w:rPr>
        <w:t>year change in November 2017 (+41,000</w:t>
      </w:r>
      <w:r w:rsidRPr="004C3EAD">
        <w:rPr>
          <w:rFonts w:ascii="Calibri" w:hAnsi="Calibri"/>
          <w:color w:val="231F20"/>
          <w:spacing w:val="18"/>
          <w:w w:val="105"/>
        </w:rPr>
        <w:t xml:space="preserve"> </w:t>
      </w:r>
      <w:r w:rsidRPr="004C3EAD">
        <w:rPr>
          <w:rFonts w:ascii="Calibri" w:hAnsi="Calibri"/>
          <w:color w:val="231F20"/>
          <w:w w:val="105"/>
        </w:rPr>
        <w:t>jobs,</w:t>
      </w:r>
      <w:r w:rsidRPr="004C3EAD">
        <w:rPr>
          <w:rFonts w:ascii="Calibri" w:hAnsi="Calibri"/>
          <w:color w:val="231F20"/>
          <w:spacing w:val="18"/>
          <w:w w:val="105"/>
        </w:rPr>
        <w:t xml:space="preserve"> </w:t>
      </w:r>
      <w:r w:rsidRPr="004C3EAD">
        <w:rPr>
          <w:rFonts w:ascii="Calibri" w:hAnsi="Calibri"/>
          <w:color w:val="231F20"/>
          <w:w w:val="105"/>
        </w:rPr>
        <w:t>+3.1</w:t>
      </w:r>
      <w:r w:rsidRPr="004C3EAD">
        <w:rPr>
          <w:rFonts w:ascii="Calibri" w:hAnsi="Calibri"/>
          <w:color w:val="231F20"/>
          <w:spacing w:val="18"/>
          <w:w w:val="105"/>
        </w:rPr>
        <w:t xml:space="preserve"> </w:t>
      </w:r>
      <w:r w:rsidRPr="004C3EAD">
        <w:rPr>
          <w:rFonts w:ascii="Calibri" w:hAnsi="Calibri"/>
          <w:color w:val="231F20"/>
          <w:w w:val="105"/>
        </w:rPr>
        <w:t>percent)</w:t>
      </w:r>
      <w:r w:rsidRPr="004C3EAD">
        <w:rPr>
          <w:rFonts w:ascii="Calibri" w:hAnsi="Calibri"/>
          <w:color w:val="231F20"/>
          <w:spacing w:val="18"/>
          <w:w w:val="105"/>
        </w:rPr>
        <w:t xml:space="preserve"> </w:t>
      </w:r>
      <w:r w:rsidRPr="004C3EAD">
        <w:rPr>
          <w:rFonts w:ascii="Calibri" w:hAnsi="Calibri"/>
          <w:color w:val="231F20"/>
          <w:w w:val="105"/>
        </w:rPr>
        <w:t>was</w:t>
      </w:r>
      <w:r w:rsidRPr="004C3EAD">
        <w:rPr>
          <w:rFonts w:ascii="Calibri" w:hAnsi="Calibri"/>
          <w:color w:val="231F20"/>
          <w:spacing w:val="18"/>
          <w:w w:val="105"/>
        </w:rPr>
        <w:t xml:space="preserve"> </w:t>
      </w:r>
      <w:r w:rsidRPr="004C3EAD">
        <w:rPr>
          <w:rFonts w:ascii="Calibri" w:hAnsi="Calibri"/>
          <w:color w:val="231F20"/>
          <w:spacing w:val="-3"/>
          <w:w w:val="105"/>
        </w:rPr>
        <w:t>13,400</w:t>
      </w:r>
      <w:r w:rsidRPr="004C3EAD">
        <w:rPr>
          <w:rFonts w:ascii="Calibri" w:hAnsi="Calibri"/>
          <w:color w:val="231F20"/>
          <w:spacing w:val="18"/>
          <w:w w:val="105"/>
        </w:rPr>
        <w:t xml:space="preserve"> </w:t>
      </w:r>
      <w:r w:rsidRPr="004C3EAD">
        <w:rPr>
          <w:rFonts w:ascii="Calibri" w:hAnsi="Calibri"/>
          <w:color w:val="231F20"/>
          <w:w w:val="105"/>
        </w:rPr>
        <w:t>less</w:t>
      </w:r>
      <w:r w:rsidRPr="004C3EAD">
        <w:rPr>
          <w:rFonts w:ascii="Calibri" w:hAnsi="Calibri"/>
          <w:color w:val="231F20"/>
          <w:spacing w:val="18"/>
          <w:w w:val="105"/>
        </w:rPr>
        <w:t xml:space="preserve"> </w:t>
      </w:r>
      <w:r w:rsidRPr="004C3EAD">
        <w:rPr>
          <w:rFonts w:ascii="Calibri" w:hAnsi="Calibri"/>
          <w:color w:val="231F20"/>
          <w:w w:val="105"/>
        </w:rPr>
        <w:t>when</w:t>
      </w:r>
      <w:r w:rsidRPr="004C3EAD">
        <w:rPr>
          <w:rFonts w:ascii="Calibri" w:hAnsi="Calibri"/>
          <w:color w:val="231F20"/>
          <w:spacing w:val="18"/>
          <w:w w:val="105"/>
        </w:rPr>
        <w:t xml:space="preserve"> </w:t>
      </w:r>
      <w:r w:rsidRPr="004C3EAD">
        <w:rPr>
          <w:rFonts w:ascii="Calibri" w:hAnsi="Calibri"/>
          <w:color w:val="231F20"/>
          <w:w w:val="105"/>
        </w:rPr>
        <w:t>compared</w:t>
      </w:r>
      <w:r w:rsidRPr="004C3EAD">
        <w:rPr>
          <w:rFonts w:ascii="Calibri" w:hAnsi="Calibri"/>
          <w:color w:val="231F20"/>
          <w:spacing w:val="18"/>
          <w:w w:val="105"/>
        </w:rPr>
        <w:t xml:space="preserve"> </w:t>
      </w:r>
      <w:r w:rsidRPr="004C3EAD">
        <w:rPr>
          <w:rFonts w:ascii="Calibri" w:hAnsi="Calibri"/>
          <w:color w:val="231F20"/>
          <w:w w:val="105"/>
        </w:rPr>
        <w:t>to</w:t>
      </w:r>
      <w:r w:rsidRPr="004C3EAD">
        <w:rPr>
          <w:rFonts w:ascii="Calibri" w:hAnsi="Calibri"/>
          <w:color w:val="231F20"/>
          <w:spacing w:val="18"/>
          <w:w w:val="105"/>
        </w:rPr>
        <w:t xml:space="preserve"> </w:t>
      </w:r>
      <w:r w:rsidRPr="004C3EAD">
        <w:rPr>
          <w:rFonts w:ascii="Calibri" w:hAnsi="Calibri"/>
          <w:color w:val="231F20"/>
          <w:w w:val="105"/>
        </w:rPr>
        <w:t>November 2016 (+54,400,</w:t>
      </w:r>
      <w:r w:rsidRPr="004C3EAD">
        <w:rPr>
          <w:rFonts w:ascii="Calibri" w:hAnsi="Calibri"/>
          <w:color w:val="231F20"/>
          <w:spacing w:val="18"/>
          <w:w w:val="105"/>
        </w:rPr>
        <w:t xml:space="preserve"> </w:t>
      </w:r>
      <w:r w:rsidRPr="004C3EAD">
        <w:rPr>
          <w:rFonts w:ascii="Calibri" w:hAnsi="Calibri"/>
          <w:color w:val="231F20"/>
          <w:spacing w:val="-4"/>
          <w:w w:val="105"/>
        </w:rPr>
        <w:t>+4.4</w:t>
      </w:r>
      <w:r w:rsidRPr="004C3EAD">
        <w:rPr>
          <w:rFonts w:ascii="Calibri" w:hAnsi="Calibri"/>
          <w:color w:val="231F20"/>
          <w:spacing w:val="18"/>
          <w:w w:val="105"/>
        </w:rPr>
        <w:t xml:space="preserve"> </w:t>
      </w:r>
      <w:r w:rsidRPr="004C3EAD">
        <w:rPr>
          <w:rFonts w:ascii="Calibri" w:hAnsi="Calibri"/>
          <w:color w:val="231F20"/>
          <w:w w:val="105"/>
        </w:rPr>
        <w:t>percent)</w:t>
      </w:r>
      <w:r w:rsidR="005E7C49">
        <w:rPr>
          <w:rFonts w:ascii="Calibri" w:hAnsi="Calibri"/>
          <w:color w:val="231F20"/>
          <w:w w:val="105"/>
        </w:rPr>
        <w:t xml:space="preserve">. </w:t>
      </w:r>
      <w:r w:rsidRPr="004C3EAD">
        <w:rPr>
          <w:rFonts w:ascii="Calibri" w:hAnsi="Calibri"/>
          <w:color w:val="231F20"/>
          <w:w w:val="105"/>
        </w:rPr>
        <w:t>The</w:t>
      </w:r>
      <w:r w:rsidRPr="004C3EAD">
        <w:rPr>
          <w:rFonts w:ascii="Calibri" w:hAnsi="Calibri"/>
          <w:color w:val="231F20"/>
          <w:spacing w:val="12"/>
          <w:w w:val="105"/>
        </w:rPr>
        <w:t xml:space="preserve"> </w:t>
      </w:r>
      <w:r w:rsidRPr="004C3EAD">
        <w:rPr>
          <w:rFonts w:ascii="Calibri" w:hAnsi="Calibri"/>
          <w:color w:val="231F20"/>
          <w:w w:val="105"/>
        </w:rPr>
        <w:t>number</w:t>
      </w:r>
      <w:r w:rsidRPr="004C3EAD">
        <w:rPr>
          <w:rFonts w:ascii="Calibri" w:hAnsi="Calibri"/>
          <w:color w:val="231F20"/>
          <w:spacing w:val="12"/>
          <w:w w:val="105"/>
        </w:rPr>
        <w:t xml:space="preserve"> </w:t>
      </w:r>
      <w:r w:rsidRPr="004C3EAD">
        <w:rPr>
          <w:rFonts w:ascii="Calibri" w:hAnsi="Calibri"/>
          <w:color w:val="231F20"/>
          <w:w w:val="105"/>
        </w:rPr>
        <w:t>of</w:t>
      </w:r>
      <w:r w:rsidRPr="004C3EAD">
        <w:rPr>
          <w:rFonts w:ascii="Calibri" w:hAnsi="Calibri"/>
          <w:color w:val="231F20"/>
          <w:spacing w:val="12"/>
          <w:w w:val="105"/>
        </w:rPr>
        <w:t xml:space="preserve"> </w:t>
      </w:r>
      <w:r w:rsidRPr="004C3EAD">
        <w:rPr>
          <w:rFonts w:ascii="Calibri" w:hAnsi="Calibri"/>
          <w:color w:val="231F20"/>
          <w:w w:val="105"/>
        </w:rPr>
        <w:t>jobs</w:t>
      </w:r>
      <w:r w:rsidRPr="004C3EAD">
        <w:rPr>
          <w:rFonts w:ascii="Calibri" w:hAnsi="Calibri"/>
          <w:color w:val="231F20"/>
          <w:spacing w:val="12"/>
          <w:w w:val="105"/>
        </w:rPr>
        <w:t xml:space="preserve"> </w:t>
      </w:r>
      <w:r w:rsidRPr="004C3EAD">
        <w:rPr>
          <w:rFonts w:ascii="Calibri" w:hAnsi="Calibri"/>
          <w:color w:val="231F20"/>
          <w:w w:val="105"/>
        </w:rPr>
        <w:t>in</w:t>
      </w:r>
      <w:r w:rsidRPr="004C3EAD">
        <w:rPr>
          <w:rFonts w:ascii="Calibri" w:hAnsi="Calibri"/>
          <w:color w:val="231F20"/>
          <w:spacing w:val="12"/>
          <w:w w:val="105"/>
        </w:rPr>
        <w:t xml:space="preserve"> </w:t>
      </w:r>
      <w:r w:rsidRPr="004C3EAD">
        <w:rPr>
          <w:rFonts w:ascii="Calibri" w:hAnsi="Calibri"/>
          <w:color w:val="231F20"/>
          <w:w w:val="105"/>
        </w:rPr>
        <w:t>this</w:t>
      </w:r>
      <w:r w:rsidRPr="004C3EAD">
        <w:rPr>
          <w:rFonts w:ascii="Calibri" w:hAnsi="Calibri"/>
          <w:color w:val="231F20"/>
          <w:spacing w:val="12"/>
          <w:w w:val="105"/>
        </w:rPr>
        <w:t xml:space="preserve"> </w:t>
      </w:r>
      <w:r w:rsidRPr="004C3EAD">
        <w:rPr>
          <w:rFonts w:ascii="Calibri" w:hAnsi="Calibri"/>
          <w:color w:val="231F20"/>
          <w:w w:val="105"/>
        </w:rPr>
        <w:t>sector</w:t>
      </w:r>
      <w:r w:rsidRPr="004C3EAD">
        <w:rPr>
          <w:rFonts w:ascii="Calibri" w:hAnsi="Calibri"/>
          <w:color w:val="231F20"/>
          <w:spacing w:val="12"/>
          <w:w w:val="105"/>
        </w:rPr>
        <w:t xml:space="preserve"> </w:t>
      </w:r>
      <w:r w:rsidRPr="004C3EAD">
        <w:rPr>
          <w:rFonts w:ascii="Calibri" w:hAnsi="Calibri"/>
          <w:color w:val="231F20"/>
          <w:w w:val="105"/>
        </w:rPr>
        <w:t>has</w:t>
      </w:r>
      <w:r w:rsidRPr="004C3EAD">
        <w:rPr>
          <w:rFonts w:ascii="Calibri" w:hAnsi="Calibri"/>
          <w:color w:val="231F20"/>
          <w:spacing w:val="12"/>
          <w:w w:val="105"/>
        </w:rPr>
        <w:t xml:space="preserve"> </w:t>
      </w:r>
      <w:r w:rsidRPr="004C3EAD">
        <w:rPr>
          <w:rFonts w:ascii="Calibri" w:hAnsi="Calibri"/>
          <w:color w:val="231F20"/>
          <w:w w:val="105"/>
        </w:rPr>
        <w:t>been</w:t>
      </w:r>
      <w:r w:rsidRPr="004C3EAD">
        <w:rPr>
          <w:rFonts w:ascii="Calibri" w:hAnsi="Calibri"/>
          <w:color w:val="231F20"/>
          <w:spacing w:val="12"/>
          <w:w w:val="105"/>
        </w:rPr>
        <w:t xml:space="preserve"> </w:t>
      </w:r>
      <w:r w:rsidRPr="004C3EAD">
        <w:rPr>
          <w:rFonts w:ascii="Calibri" w:hAnsi="Calibri"/>
          <w:color w:val="231F20"/>
          <w:w w:val="105"/>
        </w:rPr>
        <w:t>trending</w:t>
      </w:r>
      <w:r w:rsidRPr="004C3EAD">
        <w:rPr>
          <w:rFonts w:ascii="Calibri" w:hAnsi="Calibri"/>
          <w:color w:val="231F20"/>
          <w:spacing w:val="12"/>
          <w:w w:val="105"/>
        </w:rPr>
        <w:t xml:space="preserve"> </w:t>
      </w:r>
      <w:r w:rsidRPr="004C3EAD">
        <w:rPr>
          <w:rFonts w:ascii="Calibri" w:hAnsi="Calibri"/>
          <w:color w:val="231F20"/>
          <w:w w:val="105"/>
        </w:rPr>
        <w:t>upward</w:t>
      </w:r>
      <w:r w:rsidRPr="004C3EAD">
        <w:rPr>
          <w:rFonts w:ascii="Calibri" w:hAnsi="Calibri"/>
          <w:color w:val="231F20"/>
          <w:spacing w:val="12"/>
          <w:w w:val="105"/>
        </w:rPr>
        <w:t xml:space="preserve"> </w:t>
      </w:r>
      <w:r w:rsidRPr="004C3EAD">
        <w:rPr>
          <w:rFonts w:ascii="Calibri" w:hAnsi="Calibri"/>
          <w:color w:val="231F20"/>
          <w:w w:val="105"/>
        </w:rPr>
        <w:t>over</w:t>
      </w:r>
      <w:r w:rsidRPr="004C3EAD">
        <w:rPr>
          <w:rFonts w:ascii="Calibri" w:hAnsi="Calibri"/>
          <w:color w:val="231F20"/>
          <w:spacing w:val="12"/>
          <w:w w:val="105"/>
        </w:rPr>
        <w:t xml:space="preserve"> </w:t>
      </w:r>
      <w:r w:rsidRPr="004C3EAD">
        <w:rPr>
          <w:rFonts w:ascii="Calibri" w:hAnsi="Calibri"/>
          <w:color w:val="231F20"/>
          <w:w w:val="105"/>
        </w:rPr>
        <w:t>the</w:t>
      </w:r>
      <w:r w:rsidRPr="004C3EAD">
        <w:rPr>
          <w:rFonts w:ascii="Calibri" w:hAnsi="Calibri"/>
          <w:color w:val="231F20"/>
          <w:spacing w:val="12"/>
          <w:w w:val="105"/>
        </w:rPr>
        <w:t xml:space="preserve"> </w:t>
      </w:r>
      <w:r w:rsidRPr="004C3EAD">
        <w:rPr>
          <w:rFonts w:ascii="Calibri" w:hAnsi="Calibri"/>
          <w:color w:val="231F20"/>
          <w:w w:val="105"/>
        </w:rPr>
        <w:t>past</w:t>
      </w:r>
      <w:r w:rsidRPr="004C3EAD">
        <w:rPr>
          <w:rFonts w:ascii="Calibri" w:hAnsi="Calibri"/>
          <w:color w:val="231F20"/>
          <w:spacing w:val="12"/>
          <w:w w:val="105"/>
        </w:rPr>
        <w:t xml:space="preserve"> </w:t>
      </w:r>
      <w:r w:rsidRPr="004C3EAD">
        <w:rPr>
          <w:rFonts w:ascii="Calibri" w:hAnsi="Calibri"/>
          <w:color w:val="231F20"/>
          <w:w w:val="105"/>
        </w:rPr>
        <w:t>seven</w:t>
      </w:r>
      <w:r w:rsidRPr="004C3EAD">
        <w:rPr>
          <w:rFonts w:ascii="Calibri" w:hAnsi="Calibri"/>
          <w:color w:val="231F20"/>
          <w:spacing w:val="12"/>
          <w:w w:val="105"/>
        </w:rPr>
        <w:t xml:space="preserve"> </w:t>
      </w:r>
      <w:r w:rsidRPr="004C3EAD">
        <w:rPr>
          <w:rFonts w:ascii="Calibri" w:hAnsi="Calibri"/>
          <w:color w:val="231F20"/>
          <w:w w:val="105"/>
        </w:rPr>
        <w:t>years.</w:t>
      </w:r>
    </w:p>
    <w:p w14:paraId="50B888D9" w14:textId="77777777" w:rsidR="00002D76" w:rsidRPr="004C3EAD" w:rsidRDefault="00002D76" w:rsidP="00002D76">
      <w:pPr>
        <w:widowControl w:val="0"/>
        <w:spacing w:before="6" w:after="0" w:line="240" w:lineRule="auto"/>
        <w:rPr>
          <w:rFonts w:ascii="Calibri" w:hAnsi="Calibri" w:cs="Calibri"/>
          <w:sz w:val="16"/>
          <w:szCs w:val="16"/>
        </w:rPr>
      </w:pPr>
    </w:p>
    <w:p w14:paraId="5266C612" w14:textId="77777777" w:rsidR="00002D76" w:rsidRPr="00041D0F" w:rsidRDefault="00002D76" w:rsidP="00D63204">
      <w:pPr>
        <w:widowControl w:val="0"/>
        <w:spacing w:after="0" w:line="266" w:lineRule="exact"/>
        <w:ind w:left="468" w:right="468"/>
        <w:outlineLvl w:val="2"/>
        <w:rPr>
          <w:rFonts w:ascii="Calibri" w:hAnsi="Calibri"/>
        </w:rPr>
      </w:pPr>
      <w:r w:rsidRPr="00041D0F">
        <w:rPr>
          <w:rFonts w:ascii="Calibri" w:hAnsi="Calibri"/>
          <w:b/>
          <w:bCs/>
          <w:color w:val="231F20"/>
          <w:w w:val="115"/>
        </w:rPr>
        <w:t>Figure</w:t>
      </w:r>
      <w:r w:rsidRPr="00041D0F">
        <w:rPr>
          <w:rFonts w:ascii="Calibri" w:hAnsi="Calibri"/>
          <w:b/>
          <w:bCs/>
          <w:color w:val="231F20"/>
          <w:spacing w:val="-14"/>
          <w:w w:val="115"/>
        </w:rPr>
        <w:t xml:space="preserve"> </w:t>
      </w:r>
      <w:r w:rsidRPr="00041D0F">
        <w:rPr>
          <w:rFonts w:ascii="Calibri" w:hAnsi="Calibri"/>
          <w:b/>
          <w:bCs/>
          <w:color w:val="231F20"/>
          <w:w w:val="115"/>
        </w:rPr>
        <w:t>2.28</w:t>
      </w:r>
    </w:p>
    <w:p w14:paraId="4BC98731" w14:textId="77777777" w:rsidR="00002D76" w:rsidRPr="00041D0F" w:rsidRDefault="00002D76" w:rsidP="00002D76">
      <w:pPr>
        <w:widowControl w:val="0"/>
        <w:spacing w:after="0" w:line="266" w:lineRule="exact"/>
        <w:ind w:left="107" w:firstLine="1292"/>
        <w:rPr>
          <w:rFonts w:ascii="Calibri" w:hAnsi="Calibri"/>
          <w:b/>
          <w:color w:val="231F20"/>
          <w:w w:val="110"/>
        </w:rPr>
      </w:pPr>
      <w:r w:rsidRPr="00041D0F">
        <w:rPr>
          <w:rFonts w:ascii="Calibri" w:hAnsi="Calibri"/>
          <w:b/>
          <w:color w:val="231F20"/>
          <w:w w:val="110"/>
        </w:rPr>
        <w:t>Florida Professional and Business Services Employment</w:t>
      </w:r>
      <w:r>
        <w:rPr>
          <w:rFonts w:ascii="Calibri" w:hAnsi="Calibri"/>
          <w:b/>
          <w:color w:val="231F20"/>
          <w:w w:val="110"/>
        </w:rPr>
        <w:t>,</w:t>
      </w:r>
      <w:r w:rsidRPr="00041D0F">
        <w:rPr>
          <w:rFonts w:ascii="Calibri" w:hAnsi="Calibri"/>
          <w:b/>
          <w:color w:val="231F20"/>
          <w:w w:val="110"/>
        </w:rPr>
        <w:t xml:space="preserve"> Seasonally</w:t>
      </w:r>
      <w:r w:rsidRPr="00041D0F">
        <w:rPr>
          <w:rFonts w:ascii="Calibri" w:hAnsi="Calibri"/>
          <w:b/>
          <w:color w:val="231F20"/>
          <w:spacing w:val="12"/>
          <w:w w:val="110"/>
        </w:rPr>
        <w:t xml:space="preserve"> </w:t>
      </w:r>
      <w:r w:rsidRPr="00041D0F">
        <w:rPr>
          <w:rFonts w:ascii="Calibri" w:hAnsi="Calibri"/>
          <w:b/>
          <w:color w:val="231F20"/>
          <w:w w:val="110"/>
        </w:rPr>
        <w:t>Adjusted</w:t>
      </w:r>
    </w:p>
    <w:p w14:paraId="0D5436CC" w14:textId="77777777" w:rsidR="00002D76" w:rsidRPr="00041D0F" w:rsidRDefault="00002D76" w:rsidP="00002D76">
      <w:pPr>
        <w:widowControl w:val="0"/>
        <w:spacing w:after="0" w:line="266" w:lineRule="exact"/>
        <w:ind w:left="720"/>
        <w:rPr>
          <w:rFonts w:ascii="Calibri" w:hAnsi="Calibri" w:cs="Calibri"/>
          <w:sz w:val="18"/>
          <w:szCs w:val="18"/>
        </w:rPr>
      </w:pPr>
      <w:r w:rsidRPr="00041D0F">
        <w:rPr>
          <w:noProof/>
        </w:rPr>
        <w:drawing>
          <wp:anchor distT="0" distB="0" distL="114300" distR="114300" simplePos="0" relativeHeight="251658253" behindDoc="0" locked="0" layoutInCell="1" allowOverlap="1" wp14:anchorId="7CC05169" wp14:editId="2D38A89E">
            <wp:simplePos x="0" y="0"/>
            <wp:positionH relativeFrom="margin">
              <wp:align>center</wp:align>
            </wp:positionH>
            <wp:positionV relativeFrom="paragraph">
              <wp:posOffset>149225</wp:posOffset>
            </wp:positionV>
            <wp:extent cx="6000750" cy="3238500"/>
            <wp:effectExtent l="0" t="0" r="0" b="0"/>
            <wp:wrapTopAndBottom/>
            <wp:docPr id="1402719353" name="Chart 1402719353" descr="The line graph shows employment in Florida’s professional and business services industry declined to 983,600 jobs in August 2009. In November 2017, the employment was 1,342,800. The over the year change in November 2017 (+41,000 jobs, +3.1 percent) was 13,400 less when compared to November 2016 (+54,400, +4.4 percent). Jobs in this sector has trended upward over the past seven years.&#10;" title="Figure 2.28 Florida Professional and Business Services Employment, Seasonally Adjusted"/>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anchor>
        </w:drawing>
      </w:r>
      <w:r w:rsidRPr="00041D0F">
        <w:rPr>
          <w:rFonts w:ascii="Calibri" w:hAnsi="Calibri"/>
          <w:w w:val="105"/>
          <w:sz w:val="18"/>
        </w:rPr>
        <w:t xml:space="preserve">Source: </w:t>
      </w:r>
      <w:r>
        <w:rPr>
          <w:rFonts w:ascii="Calibri" w:hAnsi="Calibri"/>
          <w:w w:val="105"/>
          <w:sz w:val="18"/>
        </w:rPr>
        <w:t xml:space="preserve"> </w:t>
      </w:r>
      <w:r w:rsidRPr="00041D0F">
        <w:rPr>
          <w:rFonts w:ascii="Calibri" w:hAnsi="Calibri"/>
          <w:w w:val="105"/>
          <w:sz w:val="18"/>
        </w:rPr>
        <w:t xml:space="preserve">U.S. Department of </w:t>
      </w:r>
      <w:r w:rsidRPr="00041D0F">
        <w:rPr>
          <w:rFonts w:ascii="Calibri" w:hAnsi="Calibri"/>
          <w:spacing w:val="-3"/>
          <w:w w:val="105"/>
          <w:sz w:val="18"/>
        </w:rPr>
        <w:t xml:space="preserve">Labor, </w:t>
      </w:r>
      <w:r w:rsidRPr="00041D0F">
        <w:rPr>
          <w:rFonts w:ascii="Calibri" w:hAnsi="Calibri"/>
          <w:w w:val="105"/>
          <w:sz w:val="18"/>
        </w:rPr>
        <w:t xml:space="preserve">Bureau of Labor Statistics, Current Employment Statistics Program, </w:t>
      </w:r>
      <w:r w:rsidRPr="00041D0F">
        <w:rPr>
          <w:rFonts w:ascii="Calibri" w:hAnsi="Calibri"/>
          <w:color w:val="231F20"/>
          <w:w w:val="105"/>
          <w:sz w:val="18"/>
        </w:rPr>
        <w:t>December</w:t>
      </w:r>
      <w:r w:rsidRPr="00041D0F">
        <w:rPr>
          <w:rFonts w:ascii="Calibri" w:hAnsi="Calibri"/>
          <w:color w:val="231F20"/>
          <w:spacing w:val="25"/>
          <w:w w:val="105"/>
          <w:sz w:val="18"/>
        </w:rPr>
        <w:t xml:space="preserve"> </w:t>
      </w:r>
      <w:r w:rsidRPr="00041D0F">
        <w:rPr>
          <w:rFonts w:ascii="Calibri" w:hAnsi="Calibri"/>
          <w:color w:val="231F20"/>
          <w:w w:val="105"/>
          <w:sz w:val="18"/>
        </w:rPr>
        <w:t>2017</w:t>
      </w:r>
      <w:r>
        <w:rPr>
          <w:rFonts w:ascii="Calibri" w:hAnsi="Calibri"/>
          <w:color w:val="231F20"/>
          <w:w w:val="105"/>
          <w:sz w:val="18"/>
        </w:rPr>
        <w:t>.</w:t>
      </w:r>
    </w:p>
    <w:p w14:paraId="72C6FB56" w14:textId="77777777" w:rsidR="00002D76" w:rsidRPr="001B56F5" w:rsidRDefault="00002D76" w:rsidP="00002D76">
      <w:pPr>
        <w:widowControl w:val="0"/>
        <w:spacing w:after="0" w:line="216" w:lineRule="exact"/>
        <w:rPr>
          <w:rFonts w:ascii="Calibri" w:hAnsi="Calibri" w:cs="Calibri"/>
          <w:sz w:val="18"/>
          <w:szCs w:val="18"/>
        </w:rPr>
        <w:sectPr w:rsidR="00002D76" w:rsidRPr="001B56F5">
          <w:pgSz w:w="12240" w:h="15840"/>
          <w:pgMar w:top="1620" w:right="900" w:bottom="820" w:left="900" w:header="812" w:footer="624" w:gutter="0"/>
          <w:cols w:space="720"/>
        </w:sectPr>
      </w:pPr>
    </w:p>
    <w:p w14:paraId="56A4FA2B" w14:textId="77777777" w:rsidR="00002D76" w:rsidRPr="00EA7458" w:rsidRDefault="00002D76" w:rsidP="00002D76">
      <w:pPr>
        <w:widowControl w:val="0"/>
        <w:spacing w:before="4" w:after="0" w:line="240" w:lineRule="auto"/>
        <w:rPr>
          <w:rFonts w:ascii="Calibri" w:hAnsi="Calibri" w:cs="Calibri"/>
          <w:sz w:val="14"/>
          <w:szCs w:val="14"/>
        </w:rPr>
      </w:pPr>
    </w:p>
    <w:p w14:paraId="121E1B11" w14:textId="77777777" w:rsidR="00002D76" w:rsidRPr="002823AA" w:rsidRDefault="00002D76" w:rsidP="00D63204">
      <w:pPr>
        <w:widowControl w:val="0"/>
        <w:spacing w:before="63" w:after="0" w:line="240" w:lineRule="auto"/>
        <w:ind w:left="107"/>
        <w:outlineLvl w:val="3"/>
        <w:rPr>
          <w:rFonts w:ascii="Gill Sans MT" w:hAnsi="Gill Sans MT"/>
        </w:rPr>
      </w:pPr>
      <w:bookmarkStart w:id="41" w:name="_bookmark29"/>
      <w:bookmarkEnd w:id="41"/>
      <w:r w:rsidRPr="002823AA">
        <w:rPr>
          <w:rFonts w:ascii="Gill Sans MT" w:hAnsi="Gill Sans MT"/>
          <w:b/>
          <w:bCs/>
          <w:i/>
          <w:color w:val="231F20"/>
          <w:w w:val="105"/>
        </w:rPr>
        <w:t>Education and Health</w:t>
      </w:r>
      <w:r w:rsidRPr="002823AA">
        <w:rPr>
          <w:rFonts w:ascii="Gill Sans MT" w:hAnsi="Gill Sans MT"/>
          <w:b/>
          <w:bCs/>
          <w:i/>
          <w:color w:val="231F20"/>
          <w:spacing w:val="-32"/>
          <w:w w:val="105"/>
        </w:rPr>
        <w:t xml:space="preserve"> </w:t>
      </w:r>
      <w:r w:rsidRPr="002823AA">
        <w:rPr>
          <w:rFonts w:ascii="Gill Sans MT" w:hAnsi="Gill Sans MT"/>
          <w:b/>
          <w:bCs/>
          <w:i/>
          <w:color w:val="231F20"/>
          <w:w w:val="105"/>
        </w:rPr>
        <w:t>Services</w:t>
      </w:r>
    </w:p>
    <w:p w14:paraId="28010DAE" w14:textId="31874A46" w:rsidR="00002D76" w:rsidRPr="002823AA" w:rsidRDefault="00002D76" w:rsidP="00D63204">
      <w:pPr>
        <w:widowControl w:val="0"/>
        <w:spacing w:before="2" w:after="0" w:line="264" w:lineRule="exact"/>
        <w:ind w:left="107"/>
        <w:rPr>
          <w:rFonts w:ascii="Calibri" w:hAnsi="Calibri"/>
        </w:rPr>
      </w:pPr>
      <w:r w:rsidRPr="002823AA">
        <w:rPr>
          <w:rFonts w:ascii="Calibri" w:hAnsi="Calibri"/>
          <w:color w:val="231F20"/>
          <w:w w:val="105"/>
        </w:rPr>
        <w:t>Florida</w:t>
      </w:r>
      <w:r w:rsidRPr="002823AA">
        <w:rPr>
          <w:rFonts w:ascii="Calibri" w:hAnsi="Calibri"/>
          <w:color w:val="231F20"/>
          <w:spacing w:val="17"/>
          <w:w w:val="105"/>
        </w:rPr>
        <w:t xml:space="preserve"> </w:t>
      </w:r>
      <w:r w:rsidRPr="002823AA">
        <w:rPr>
          <w:rFonts w:ascii="Calibri" w:hAnsi="Calibri"/>
          <w:color w:val="231F20"/>
          <w:w w:val="105"/>
        </w:rPr>
        <w:t>did</w:t>
      </w:r>
      <w:r w:rsidRPr="002823AA">
        <w:rPr>
          <w:rFonts w:ascii="Calibri" w:hAnsi="Calibri"/>
          <w:color w:val="231F20"/>
          <w:spacing w:val="17"/>
          <w:w w:val="105"/>
        </w:rPr>
        <w:t xml:space="preserve"> </w:t>
      </w:r>
      <w:r w:rsidRPr="002823AA">
        <w:rPr>
          <w:rFonts w:ascii="Calibri" w:hAnsi="Calibri"/>
          <w:color w:val="231F20"/>
          <w:w w:val="105"/>
        </w:rPr>
        <w:t>not</w:t>
      </w:r>
      <w:r w:rsidRPr="002823AA">
        <w:rPr>
          <w:rFonts w:ascii="Calibri" w:hAnsi="Calibri"/>
          <w:color w:val="231F20"/>
          <w:spacing w:val="17"/>
          <w:w w:val="105"/>
        </w:rPr>
        <w:t xml:space="preserve"> </w:t>
      </w:r>
      <w:r w:rsidRPr="002823AA">
        <w:rPr>
          <w:rFonts w:ascii="Calibri" w:hAnsi="Calibri"/>
          <w:color w:val="231F20"/>
          <w:w w:val="105"/>
        </w:rPr>
        <w:t>experience</w:t>
      </w:r>
      <w:r w:rsidRPr="002823AA">
        <w:rPr>
          <w:rFonts w:ascii="Calibri" w:hAnsi="Calibri"/>
          <w:color w:val="231F20"/>
          <w:spacing w:val="17"/>
          <w:w w:val="105"/>
        </w:rPr>
        <w:t xml:space="preserve"> </w:t>
      </w:r>
      <w:r w:rsidRPr="002823AA">
        <w:rPr>
          <w:rFonts w:ascii="Calibri" w:hAnsi="Calibri"/>
          <w:color w:val="231F20"/>
          <w:w w:val="105"/>
        </w:rPr>
        <w:t>a</w:t>
      </w:r>
      <w:r w:rsidRPr="002823AA">
        <w:rPr>
          <w:rFonts w:ascii="Calibri" w:hAnsi="Calibri"/>
          <w:color w:val="231F20"/>
          <w:spacing w:val="17"/>
          <w:w w:val="105"/>
        </w:rPr>
        <w:t xml:space="preserve"> </w:t>
      </w:r>
      <w:r w:rsidRPr="002823AA">
        <w:rPr>
          <w:rFonts w:ascii="Calibri" w:hAnsi="Calibri"/>
          <w:color w:val="231F20"/>
          <w:w w:val="105"/>
        </w:rPr>
        <w:t>decline</w:t>
      </w:r>
      <w:r w:rsidRPr="002823AA">
        <w:rPr>
          <w:rFonts w:ascii="Calibri" w:hAnsi="Calibri"/>
          <w:color w:val="231F20"/>
          <w:spacing w:val="17"/>
          <w:w w:val="105"/>
        </w:rPr>
        <w:t xml:space="preserve"> </w:t>
      </w:r>
      <w:r w:rsidRPr="002823AA">
        <w:rPr>
          <w:rFonts w:ascii="Calibri" w:hAnsi="Calibri"/>
          <w:color w:val="231F20"/>
          <w:w w:val="105"/>
        </w:rPr>
        <w:t>in</w:t>
      </w:r>
      <w:r w:rsidRPr="002823AA">
        <w:rPr>
          <w:rFonts w:ascii="Calibri" w:hAnsi="Calibri"/>
          <w:color w:val="231F20"/>
          <w:spacing w:val="17"/>
          <w:w w:val="105"/>
        </w:rPr>
        <w:t xml:space="preserve"> </w:t>
      </w:r>
      <w:r w:rsidRPr="002823AA">
        <w:rPr>
          <w:rFonts w:ascii="Calibri" w:hAnsi="Calibri"/>
          <w:color w:val="231F20"/>
          <w:w w:val="105"/>
        </w:rPr>
        <w:t>education</w:t>
      </w:r>
      <w:r w:rsidRPr="002823AA">
        <w:rPr>
          <w:rFonts w:ascii="Calibri" w:hAnsi="Calibri"/>
          <w:color w:val="231F20"/>
          <w:spacing w:val="17"/>
          <w:w w:val="105"/>
        </w:rPr>
        <w:t xml:space="preserve"> </w:t>
      </w:r>
      <w:r w:rsidRPr="002823AA">
        <w:rPr>
          <w:rFonts w:ascii="Calibri" w:hAnsi="Calibri"/>
          <w:color w:val="231F20"/>
          <w:w w:val="105"/>
        </w:rPr>
        <w:t>and</w:t>
      </w:r>
      <w:r w:rsidRPr="002823AA">
        <w:rPr>
          <w:rFonts w:ascii="Calibri" w:hAnsi="Calibri"/>
          <w:color w:val="231F20"/>
          <w:spacing w:val="17"/>
          <w:w w:val="105"/>
        </w:rPr>
        <w:t xml:space="preserve"> </w:t>
      </w:r>
      <w:r w:rsidRPr="002823AA">
        <w:rPr>
          <w:rFonts w:ascii="Calibri" w:hAnsi="Calibri"/>
          <w:color w:val="231F20"/>
          <w:w w:val="105"/>
        </w:rPr>
        <w:t>health</w:t>
      </w:r>
      <w:r w:rsidRPr="002823AA">
        <w:rPr>
          <w:rFonts w:ascii="Calibri" w:hAnsi="Calibri"/>
          <w:color w:val="231F20"/>
          <w:spacing w:val="17"/>
          <w:w w:val="105"/>
        </w:rPr>
        <w:t xml:space="preserve"> </w:t>
      </w:r>
      <w:r w:rsidRPr="002823AA">
        <w:rPr>
          <w:rFonts w:ascii="Calibri" w:hAnsi="Calibri"/>
          <w:color w:val="231F20"/>
          <w:w w:val="105"/>
        </w:rPr>
        <w:t>services</w:t>
      </w:r>
      <w:r w:rsidRPr="002823AA">
        <w:rPr>
          <w:rFonts w:ascii="Calibri" w:hAnsi="Calibri"/>
          <w:color w:val="231F20"/>
          <w:spacing w:val="17"/>
          <w:w w:val="105"/>
        </w:rPr>
        <w:t xml:space="preserve"> </w:t>
      </w:r>
      <w:r w:rsidRPr="002823AA">
        <w:rPr>
          <w:rFonts w:ascii="Calibri" w:hAnsi="Calibri"/>
          <w:color w:val="231F20"/>
          <w:w w:val="105"/>
        </w:rPr>
        <w:t>employment</w:t>
      </w:r>
      <w:r w:rsidRPr="002823AA">
        <w:rPr>
          <w:rFonts w:ascii="Calibri" w:hAnsi="Calibri"/>
          <w:color w:val="231F20"/>
          <w:spacing w:val="17"/>
          <w:w w:val="105"/>
        </w:rPr>
        <w:t xml:space="preserve"> </w:t>
      </w:r>
      <w:r w:rsidRPr="002823AA">
        <w:rPr>
          <w:rFonts w:ascii="Calibri" w:hAnsi="Calibri"/>
          <w:color w:val="231F20"/>
          <w:w w:val="105"/>
        </w:rPr>
        <w:t>during</w:t>
      </w:r>
      <w:r w:rsidRPr="002823AA">
        <w:rPr>
          <w:rFonts w:ascii="Calibri" w:hAnsi="Calibri"/>
          <w:color w:val="231F20"/>
          <w:spacing w:val="17"/>
          <w:w w:val="105"/>
        </w:rPr>
        <w:t xml:space="preserve"> </w:t>
      </w:r>
      <w:r w:rsidRPr="002823AA">
        <w:rPr>
          <w:rFonts w:ascii="Calibri" w:hAnsi="Calibri"/>
          <w:color w:val="231F20"/>
          <w:w w:val="105"/>
        </w:rPr>
        <w:t>the</w:t>
      </w:r>
      <w:r w:rsidRPr="002823AA">
        <w:rPr>
          <w:rFonts w:ascii="Calibri" w:hAnsi="Calibri"/>
          <w:color w:val="231F20"/>
          <w:spacing w:val="17"/>
          <w:w w:val="105"/>
        </w:rPr>
        <w:t xml:space="preserve"> </w:t>
      </w:r>
      <w:r w:rsidRPr="002823AA">
        <w:rPr>
          <w:rFonts w:ascii="Calibri" w:hAnsi="Calibri"/>
          <w:color w:val="231F20"/>
          <w:w w:val="105"/>
        </w:rPr>
        <w:t>recent</w:t>
      </w:r>
      <w:r w:rsidRPr="002823AA">
        <w:rPr>
          <w:rFonts w:ascii="Calibri" w:hAnsi="Calibri"/>
          <w:color w:val="231F20"/>
          <w:w w:val="106"/>
        </w:rPr>
        <w:t xml:space="preserve"> </w:t>
      </w:r>
      <w:r w:rsidRPr="002823AA">
        <w:rPr>
          <w:rFonts w:ascii="Calibri" w:hAnsi="Calibri"/>
          <w:color w:val="231F20"/>
          <w:w w:val="105"/>
        </w:rPr>
        <w:t>recession</w:t>
      </w:r>
      <w:r w:rsidR="005E7C49">
        <w:rPr>
          <w:rFonts w:ascii="Calibri" w:hAnsi="Calibri"/>
          <w:color w:val="231F20"/>
          <w:w w:val="105"/>
        </w:rPr>
        <w:t xml:space="preserve">. </w:t>
      </w:r>
      <w:r w:rsidRPr="002823AA">
        <w:rPr>
          <w:rFonts w:ascii="Calibri" w:hAnsi="Calibri"/>
          <w:color w:val="231F20"/>
          <w:spacing w:val="-3"/>
          <w:w w:val="105"/>
        </w:rPr>
        <w:t>However,</w:t>
      </w:r>
      <w:r w:rsidRPr="002823AA">
        <w:rPr>
          <w:rFonts w:ascii="Calibri" w:hAnsi="Calibri"/>
          <w:color w:val="231F20"/>
          <w:spacing w:val="14"/>
          <w:w w:val="105"/>
        </w:rPr>
        <w:t xml:space="preserve"> </w:t>
      </w:r>
      <w:r w:rsidRPr="002823AA">
        <w:rPr>
          <w:rFonts w:ascii="Calibri" w:hAnsi="Calibri"/>
          <w:color w:val="231F20"/>
          <w:w w:val="105"/>
        </w:rPr>
        <w:t>the</w:t>
      </w:r>
      <w:r w:rsidRPr="002823AA">
        <w:rPr>
          <w:rFonts w:ascii="Calibri" w:hAnsi="Calibri"/>
          <w:color w:val="231F20"/>
          <w:spacing w:val="14"/>
          <w:w w:val="105"/>
        </w:rPr>
        <w:t xml:space="preserve"> </w:t>
      </w:r>
      <w:r w:rsidRPr="002823AA">
        <w:rPr>
          <w:rFonts w:ascii="Calibri" w:hAnsi="Calibri"/>
          <w:color w:val="231F20"/>
          <w:w w:val="105"/>
        </w:rPr>
        <w:t>rate</w:t>
      </w:r>
      <w:r w:rsidRPr="002823AA">
        <w:rPr>
          <w:rFonts w:ascii="Calibri" w:hAnsi="Calibri"/>
          <w:color w:val="231F20"/>
          <w:spacing w:val="14"/>
          <w:w w:val="105"/>
        </w:rPr>
        <w:t xml:space="preserve"> </w:t>
      </w:r>
      <w:r w:rsidRPr="002823AA">
        <w:rPr>
          <w:rFonts w:ascii="Calibri" w:hAnsi="Calibri"/>
          <w:color w:val="231F20"/>
          <w:w w:val="105"/>
        </w:rPr>
        <w:t>of</w:t>
      </w:r>
      <w:r w:rsidRPr="002823AA">
        <w:rPr>
          <w:rFonts w:ascii="Calibri" w:hAnsi="Calibri"/>
          <w:color w:val="231F20"/>
          <w:spacing w:val="14"/>
          <w:w w:val="105"/>
        </w:rPr>
        <w:t xml:space="preserve"> </w:t>
      </w:r>
      <w:r w:rsidRPr="002823AA">
        <w:rPr>
          <w:rFonts w:ascii="Calibri" w:hAnsi="Calibri"/>
          <w:color w:val="231F20"/>
          <w:w w:val="105"/>
        </w:rPr>
        <w:t>job</w:t>
      </w:r>
      <w:r w:rsidRPr="002823AA">
        <w:rPr>
          <w:rFonts w:ascii="Calibri" w:hAnsi="Calibri"/>
          <w:color w:val="231F20"/>
          <w:spacing w:val="14"/>
          <w:w w:val="105"/>
        </w:rPr>
        <w:t xml:space="preserve"> </w:t>
      </w:r>
      <w:r w:rsidRPr="002823AA">
        <w:rPr>
          <w:rFonts w:ascii="Calibri" w:hAnsi="Calibri"/>
          <w:color w:val="231F20"/>
          <w:w w:val="105"/>
        </w:rPr>
        <w:t>growth</w:t>
      </w:r>
      <w:r w:rsidRPr="002823AA">
        <w:rPr>
          <w:rFonts w:ascii="Calibri" w:hAnsi="Calibri"/>
          <w:color w:val="231F20"/>
          <w:spacing w:val="14"/>
          <w:w w:val="105"/>
        </w:rPr>
        <w:t xml:space="preserve"> </w:t>
      </w:r>
      <w:r w:rsidRPr="002823AA">
        <w:rPr>
          <w:rFonts w:ascii="Calibri" w:hAnsi="Calibri"/>
          <w:color w:val="231F20"/>
          <w:w w:val="105"/>
        </w:rPr>
        <w:t>did</w:t>
      </w:r>
      <w:r w:rsidRPr="002823AA">
        <w:rPr>
          <w:rFonts w:ascii="Calibri" w:hAnsi="Calibri"/>
          <w:color w:val="231F20"/>
          <w:spacing w:val="14"/>
          <w:w w:val="105"/>
        </w:rPr>
        <w:t xml:space="preserve"> </w:t>
      </w:r>
      <w:r w:rsidRPr="002823AA">
        <w:rPr>
          <w:rFonts w:ascii="Calibri" w:hAnsi="Calibri"/>
          <w:color w:val="231F20"/>
          <w:w w:val="105"/>
        </w:rPr>
        <w:t>slow</w:t>
      </w:r>
      <w:r w:rsidRPr="002823AA">
        <w:rPr>
          <w:rFonts w:ascii="Calibri" w:hAnsi="Calibri"/>
          <w:color w:val="231F20"/>
          <w:spacing w:val="14"/>
          <w:w w:val="105"/>
        </w:rPr>
        <w:t xml:space="preserve"> </w:t>
      </w:r>
      <w:r w:rsidRPr="002823AA">
        <w:rPr>
          <w:rFonts w:ascii="Calibri" w:hAnsi="Calibri"/>
          <w:color w:val="231F20"/>
          <w:w w:val="105"/>
        </w:rPr>
        <w:t>down</w:t>
      </w:r>
      <w:r w:rsidRPr="002823AA">
        <w:rPr>
          <w:rFonts w:ascii="Calibri" w:hAnsi="Calibri"/>
          <w:color w:val="231F20"/>
          <w:spacing w:val="14"/>
          <w:w w:val="105"/>
        </w:rPr>
        <w:t xml:space="preserve"> </w:t>
      </w:r>
      <w:r w:rsidRPr="002823AA">
        <w:rPr>
          <w:rFonts w:ascii="Calibri" w:hAnsi="Calibri"/>
          <w:color w:val="231F20"/>
          <w:w w:val="105"/>
        </w:rPr>
        <w:t>during</w:t>
      </w:r>
      <w:r w:rsidRPr="002823AA">
        <w:rPr>
          <w:rFonts w:ascii="Calibri" w:hAnsi="Calibri"/>
          <w:color w:val="231F20"/>
          <w:spacing w:val="14"/>
          <w:w w:val="105"/>
        </w:rPr>
        <w:t xml:space="preserve"> </w:t>
      </w:r>
      <w:r w:rsidRPr="002823AA">
        <w:rPr>
          <w:rFonts w:ascii="Calibri" w:hAnsi="Calibri"/>
          <w:color w:val="231F20"/>
          <w:w w:val="105"/>
        </w:rPr>
        <w:t>the</w:t>
      </w:r>
      <w:r w:rsidRPr="002823AA">
        <w:rPr>
          <w:rFonts w:ascii="Calibri" w:hAnsi="Calibri"/>
          <w:color w:val="231F20"/>
          <w:spacing w:val="14"/>
          <w:w w:val="105"/>
        </w:rPr>
        <w:t xml:space="preserve"> </w:t>
      </w:r>
      <w:r w:rsidRPr="002823AA">
        <w:rPr>
          <w:rFonts w:ascii="Calibri" w:hAnsi="Calibri"/>
          <w:color w:val="231F20"/>
          <w:w w:val="105"/>
        </w:rPr>
        <w:t>recession.</w:t>
      </w:r>
    </w:p>
    <w:p w14:paraId="4B769005" w14:textId="77777777" w:rsidR="00002D76" w:rsidRPr="002823AA" w:rsidRDefault="00002D76" w:rsidP="00D63204">
      <w:pPr>
        <w:widowControl w:val="0"/>
        <w:spacing w:before="5" w:after="0" w:line="240" w:lineRule="auto"/>
        <w:rPr>
          <w:rFonts w:ascii="Calibri" w:hAnsi="Calibri" w:cs="Calibri"/>
          <w:sz w:val="16"/>
          <w:szCs w:val="16"/>
        </w:rPr>
      </w:pPr>
    </w:p>
    <w:p w14:paraId="1E7FF86B" w14:textId="26C2BA2D" w:rsidR="00002D76" w:rsidRPr="002823AA" w:rsidRDefault="00002D76" w:rsidP="00D63204">
      <w:pPr>
        <w:widowControl w:val="0"/>
        <w:spacing w:after="0" w:line="264" w:lineRule="exact"/>
        <w:ind w:left="107"/>
        <w:rPr>
          <w:rFonts w:ascii="Calibri" w:hAnsi="Calibri"/>
        </w:rPr>
      </w:pPr>
      <w:r w:rsidRPr="002823AA">
        <w:rPr>
          <w:rFonts w:ascii="Calibri" w:hAnsi="Calibri"/>
          <w:color w:val="231F20"/>
          <w:w w:val="105"/>
        </w:rPr>
        <w:t>In</w:t>
      </w:r>
      <w:r w:rsidRPr="002823AA">
        <w:rPr>
          <w:rFonts w:ascii="Calibri" w:hAnsi="Calibri"/>
          <w:color w:val="231F20"/>
          <w:spacing w:val="10"/>
          <w:w w:val="105"/>
        </w:rPr>
        <w:t xml:space="preserve"> </w:t>
      </w:r>
      <w:r w:rsidRPr="002823AA">
        <w:rPr>
          <w:rFonts w:ascii="Calibri" w:hAnsi="Calibri"/>
          <w:color w:val="231F20"/>
          <w:w w:val="105"/>
        </w:rPr>
        <w:t>November 2017,</w:t>
      </w:r>
      <w:r w:rsidRPr="002823AA">
        <w:rPr>
          <w:rFonts w:ascii="Calibri" w:hAnsi="Calibri"/>
          <w:color w:val="231F20"/>
          <w:spacing w:val="10"/>
          <w:w w:val="105"/>
        </w:rPr>
        <w:t xml:space="preserve"> </w:t>
      </w:r>
      <w:r w:rsidRPr="002823AA">
        <w:rPr>
          <w:rFonts w:ascii="Calibri" w:hAnsi="Calibri"/>
          <w:color w:val="231F20"/>
          <w:w w:val="105"/>
        </w:rPr>
        <w:t>employment</w:t>
      </w:r>
      <w:r w:rsidRPr="002823AA">
        <w:rPr>
          <w:rFonts w:ascii="Calibri" w:hAnsi="Calibri"/>
          <w:color w:val="231F20"/>
          <w:spacing w:val="10"/>
          <w:w w:val="105"/>
        </w:rPr>
        <w:t xml:space="preserve"> </w:t>
      </w:r>
      <w:r w:rsidRPr="002823AA">
        <w:rPr>
          <w:rFonts w:ascii="Calibri" w:hAnsi="Calibri"/>
          <w:color w:val="231F20"/>
          <w:w w:val="105"/>
        </w:rPr>
        <w:t>was</w:t>
      </w:r>
      <w:r w:rsidRPr="002823AA">
        <w:rPr>
          <w:rFonts w:ascii="Calibri" w:hAnsi="Calibri"/>
          <w:color w:val="231F20"/>
          <w:spacing w:val="10"/>
          <w:w w:val="105"/>
        </w:rPr>
        <w:t xml:space="preserve"> </w:t>
      </w:r>
      <w:r w:rsidRPr="002823AA">
        <w:rPr>
          <w:rFonts w:ascii="Calibri" w:hAnsi="Calibri"/>
          <w:color w:val="231F20"/>
          <w:spacing w:val="-3"/>
          <w:w w:val="105"/>
        </w:rPr>
        <w:t>1,276,900</w:t>
      </w:r>
      <w:r w:rsidR="005E7C49">
        <w:rPr>
          <w:rFonts w:ascii="Calibri" w:hAnsi="Calibri"/>
          <w:color w:val="231F20"/>
          <w:spacing w:val="-3"/>
          <w:w w:val="105"/>
        </w:rPr>
        <w:t xml:space="preserve">. </w:t>
      </w:r>
      <w:r w:rsidRPr="002823AA">
        <w:rPr>
          <w:rFonts w:ascii="Calibri" w:hAnsi="Calibri"/>
          <w:color w:val="231F20"/>
          <w:w w:val="105"/>
        </w:rPr>
        <w:t>The</w:t>
      </w:r>
      <w:r w:rsidRPr="002823AA">
        <w:rPr>
          <w:rFonts w:ascii="Calibri" w:hAnsi="Calibri"/>
          <w:color w:val="231F20"/>
          <w:spacing w:val="10"/>
          <w:w w:val="105"/>
        </w:rPr>
        <w:t xml:space="preserve"> </w:t>
      </w:r>
      <w:r w:rsidRPr="002823AA">
        <w:rPr>
          <w:rFonts w:ascii="Calibri" w:hAnsi="Calibri"/>
          <w:color w:val="231F20"/>
          <w:w w:val="105"/>
        </w:rPr>
        <w:t>over</w:t>
      </w:r>
      <w:r w:rsidR="00C2330B">
        <w:rPr>
          <w:rFonts w:ascii="Calibri" w:hAnsi="Calibri"/>
          <w:color w:val="231F20"/>
          <w:spacing w:val="10"/>
          <w:w w:val="105"/>
        </w:rPr>
        <w:t>-</w:t>
      </w:r>
      <w:r w:rsidRPr="002823AA">
        <w:rPr>
          <w:rFonts w:ascii="Calibri" w:hAnsi="Calibri"/>
          <w:color w:val="231F20"/>
          <w:w w:val="105"/>
        </w:rPr>
        <w:t>the</w:t>
      </w:r>
      <w:r w:rsidR="00C2330B">
        <w:rPr>
          <w:rFonts w:ascii="Calibri" w:hAnsi="Calibri"/>
          <w:color w:val="231F20"/>
          <w:spacing w:val="10"/>
          <w:w w:val="105"/>
        </w:rPr>
        <w:t>-</w:t>
      </w:r>
      <w:r w:rsidRPr="002823AA">
        <w:rPr>
          <w:rFonts w:ascii="Calibri" w:hAnsi="Calibri"/>
          <w:color w:val="231F20"/>
          <w:w w:val="105"/>
        </w:rPr>
        <w:t>year</w:t>
      </w:r>
      <w:r w:rsidRPr="002823AA">
        <w:rPr>
          <w:rFonts w:ascii="Calibri" w:hAnsi="Calibri"/>
          <w:color w:val="231F20"/>
          <w:spacing w:val="10"/>
          <w:w w:val="105"/>
        </w:rPr>
        <w:t xml:space="preserve"> </w:t>
      </w:r>
      <w:r w:rsidRPr="002823AA">
        <w:rPr>
          <w:rFonts w:ascii="Calibri" w:hAnsi="Calibri"/>
          <w:color w:val="231F20"/>
          <w:w w:val="105"/>
        </w:rPr>
        <w:t>change</w:t>
      </w:r>
      <w:r w:rsidRPr="002823AA">
        <w:rPr>
          <w:rFonts w:ascii="Calibri" w:hAnsi="Calibri"/>
          <w:color w:val="231F20"/>
          <w:spacing w:val="10"/>
          <w:w w:val="105"/>
        </w:rPr>
        <w:t xml:space="preserve"> </w:t>
      </w:r>
      <w:r w:rsidRPr="002823AA">
        <w:rPr>
          <w:rFonts w:ascii="Calibri" w:hAnsi="Calibri"/>
          <w:color w:val="231F20"/>
          <w:w w:val="105"/>
        </w:rPr>
        <w:t>in</w:t>
      </w:r>
      <w:r w:rsidRPr="002823AA">
        <w:rPr>
          <w:rFonts w:ascii="Calibri" w:hAnsi="Calibri"/>
          <w:color w:val="231F20"/>
          <w:spacing w:val="10"/>
          <w:w w:val="105"/>
        </w:rPr>
        <w:t xml:space="preserve"> </w:t>
      </w:r>
      <w:r w:rsidRPr="002823AA">
        <w:rPr>
          <w:rFonts w:ascii="Calibri" w:hAnsi="Calibri"/>
          <w:color w:val="231F20"/>
          <w:w w:val="105"/>
        </w:rPr>
        <w:t>November 2017</w:t>
      </w:r>
      <w:r w:rsidRPr="002823AA">
        <w:rPr>
          <w:rFonts w:ascii="Calibri" w:hAnsi="Calibri"/>
          <w:color w:val="231F20"/>
          <w:spacing w:val="10"/>
          <w:w w:val="105"/>
        </w:rPr>
        <w:t xml:space="preserve"> </w:t>
      </w:r>
      <w:r w:rsidRPr="002823AA">
        <w:rPr>
          <w:rFonts w:ascii="Calibri" w:hAnsi="Calibri"/>
          <w:color w:val="231F20"/>
          <w:w w:val="105"/>
        </w:rPr>
        <w:t>(+15,200</w:t>
      </w:r>
      <w:r w:rsidRPr="002823AA">
        <w:rPr>
          <w:rFonts w:ascii="Calibri" w:hAnsi="Calibri"/>
          <w:color w:val="231F20"/>
          <w:w w:val="115"/>
        </w:rPr>
        <w:t xml:space="preserve"> </w:t>
      </w:r>
      <w:r w:rsidRPr="002823AA">
        <w:rPr>
          <w:rFonts w:ascii="Calibri" w:hAnsi="Calibri"/>
          <w:color w:val="231F20"/>
          <w:w w:val="105"/>
        </w:rPr>
        <w:t>jobs,</w:t>
      </w:r>
      <w:r w:rsidRPr="002823AA">
        <w:rPr>
          <w:rFonts w:ascii="Calibri" w:hAnsi="Calibri"/>
          <w:color w:val="231F20"/>
          <w:spacing w:val="8"/>
          <w:w w:val="105"/>
        </w:rPr>
        <w:t xml:space="preserve"> </w:t>
      </w:r>
      <w:r w:rsidRPr="002823AA">
        <w:rPr>
          <w:rFonts w:ascii="Calibri" w:hAnsi="Calibri"/>
          <w:color w:val="231F20"/>
          <w:w w:val="105"/>
        </w:rPr>
        <w:t>+1.2</w:t>
      </w:r>
      <w:r w:rsidRPr="002823AA">
        <w:rPr>
          <w:rFonts w:ascii="Calibri" w:hAnsi="Calibri"/>
          <w:color w:val="231F20"/>
          <w:spacing w:val="8"/>
          <w:w w:val="105"/>
        </w:rPr>
        <w:t xml:space="preserve"> </w:t>
      </w:r>
      <w:r w:rsidRPr="002823AA">
        <w:rPr>
          <w:rFonts w:ascii="Calibri" w:hAnsi="Calibri"/>
          <w:color w:val="231F20"/>
          <w:w w:val="105"/>
        </w:rPr>
        <w:t>percent)</w:t>
      </w:r>
      <w:r w:rsidRPr="002823AA">
        <w:rPr>
          <w:rFonts w:ascii="Calibri" w:hAnsi="Calibri"/>
          <w:color w:val="231F20"/>
          <w:spacing w:val="8"/>
          <w:w w:val="105"/>
        </w:rPr>
        <w:t xml:space="preserve"> </w:t>
      </w:r>
      <w:r w:rsidRPr="002823AA">
        <w:rPr>
          <w:rFonts w:ascii="Calibri" w:hAnsi="Calibri"/>
          <w:color w:val="231F20"/>
          <w:w w:val="105"/>
        </w:rPr>
        <w:t>was</w:t>
      </w:r>
      <w:r w:rsidRPr="002823AA">
        <w:rPr>
          <w:rFonts w:ascii="Calibri" w:hAnsi="Calibri"/>
          <w:color w:val="231F20"/>
          <w:spacing w:val="8"/>
          <w:w w:val="105"/>
        </w:rPr>
        <w:t xml:space="preserve"> </w:t>
      </w:r>
      <w:r w:rsidRPr="002823AA">
        <w:rPr>
          <w:rFonts w:ascii="Calibri" w:hAnsi="Calibri"/>
          <w:color w:val="231F20"/>
          <w:w w:val="105"/>
        </w:rPr>
        <w:t>28,500</w:t>
      </w:r>
      <w:r w:rsidRPr="002823AA">
        <w:rPr>
          <w:rFonts w:ascii="Calibri" w:hAnsi="Calibri"/>
          <w:color w:val="231F20"/>
          <w:spacing w:val="8"/>
          <w:w w:val="105"/>
        </w:rPr>
        <w:t xml:space="preserve"> </w:t>
      </w:r>
      <w:r w:rsidRPr="002823AA">
        <w:rPr>
          <w:rFonts w:ascii="Calibri" w:hAnsi="Calibri"/>
          <w:color w:val="231F20"/>
          <w:w w:val="105"/>
        </w:rPr>
        <w:t>less</w:t>
      </w:r>
      <w:r w:rsidRPr="002823AA">
        <w:rPr>
          <w:rFonts w:ascii="Calibri" w:hAnsi="Calibri"/>
          <w:color w:val="231F20"/>
          <w:spacing w:val="8"/>
          <w:w w:val="105"/>
        </w:rPr>
        <w:t xml:space="preserve"> </w:t>
      </w:r>
      <w:r w:rsidRPr="002823AA">
        <w:rPr>
          <w:rFonts w:ascii="Calibri" w:hAnsi="Calibri"/>
          <w:color w:val="231F20"/>
          <w:w w:val="105"/>
        </w:rPr>
        <w:t>when</w:t>
      </w:r>
      <w:r w:rsidRPr="002823AA">
        <w:rPr>
          <w:rFonts w:ascii="Calibri" w:hAnsi="Calibri"/>
          <w:color w:val="231F20"/>
          <w:spacing w:val="8"/>
          <w:w w:val="105"/>
        </w:rPr>
        <w:t xml:space="preserve"> </w:t>
      </w:r>
      <w:r w:rsidRPr="002823AA">
        <w:rPr>
          <w:rFonts w:ascii="Calibri" w:hAnsi="Calibri"/>
          <w:color w:val="231F20"/>
          <w:w w:val="105"/>
        </w:rPr>
        <w:t>compared</w:t>
      </w:r>
      <w:r w:rsidRPr="002823AA">
        <w:rPr>
          <w:rFonts w:ascii="Calibri" w:hAnsi="Calibri"/>
          <w:color w:val="231F20"/>
          <w:spacing w:val="8"/>
          <w:w w:val="105"/>
        </w:rPr>
        <w:t xml:space="preserve"> </w:t>
      </w:r>
      <w:r w:rsidRPr="002823AA">
        <w:rPr>
          <w:rFonts w:ascii="Calibri" w:hAnsi="Calibri"/>
          <w:color w:val="231F20"/>
          <w:w w:val="105"/>
        </w:rPr>
        <w:t>to</w:t>
      </w:r>
      <w:r w:rsidRPr="002823AA">
        <w:rPr>
          <w:rFonts w:ascii="Calibri" w:hAnsi="Calibri"/>
          <w:color w:val="231F20"/>
          <w:spacing w:val="8"/>
          <w:w w:val="105"/>
        </w:rPr>
        <w:t xml:space="preserve"> </w:t>
      </w:r>
      <w:r w:rsidRPr="002823AA">
        <w:rPr>
          <w:rFonts w:ascii="Calibri" w:hAnsi="Calibri"/>
          <w:color w:val="231F20"/>
          <w:w w:val="105"/>
        </w:rPr>
        <w:t>November 2016</w:t>
      </w:r>
      <w:r w:rsidRPr="002823AA">
        <w:rPr>
          <w:rFonts w:ascii="Calibri" w:hAnsi="Calibri"/>
          <w:color w:val="231F20"/>
          <w:spacing w:val="-4"/>
          <w:w w:val="105"/>
        </w:rPr>
        <w:t xml:space="preserve"> (+43,700,</w:t>
      </w:r>
      <w:r w:rsidRPr="002823AA">
        <w:rPr>
          <w:rFonts w:ascii="Calibri" w:hAnsi="Calibri"/>
          <w:color w:val="231F20"/>
          <w:spacing w:val="8"/>
          <w:w w:val="105"/>
        </w:rPr>
        <w:t xml:space="preserve"> </w:t>
      </w:r>
      <w:r w:rsidRPr="002823AA">
        <w:rPr>
          <w:rFonts w:ascii="Calibri" w:hAnsi="Calibri"/>
          <w:color w:val="231F20"/>
          <w:w w:val="105"/>
        </w:rPr>
        <w:t>+3.6</w:t>
      </w:r>
      <w:r w:rsidRPr="002823AA">
        <w:rPr>
          <w:rFonts w:ascii="Calibri" w:hAnsi="Calibri"/>
          <w:color w:val="231F20"/>
          <w:spacing w:val="8"/>
          <w:w w:val="105"/>
        </w:rPr>
        <w:t xml:space="preserve"> </w:t>
      </w:r>
      <w:r w:rsidRPr="002823AA">
        <w:rPr>
          <w:rFonts w:ascii="Calibri" w:hAnsi="Calibri"/>
          <w:color w:val="231F20"/>
          <w:w w:val="105"/>
        </w:rPr>
        <w:t>percent)</w:t>
      </w:r>
      <w:r w:rsidR="005E7C49">
        <w:rPr>
          <w:rFonts w:ascii="Calibri" w:hAnsi="Calibri"/>
          <w:color w:val="231F20"/>
          <w:w w:val="105"/>
        </w:rPr>
        <w:t xml:space="preserve">. </w:t>
      </w:r>
      <w:r w:rsidRPr="002823AA">
        <w:rPr>
          <w:rFonts w:ascii="Calibri" w:hAnsi="Calibri"/>
          <w:color w:val="231F20"/>
          <w:w w:val="105"/>
        </w:rPr>
        <w:t>The</w:t>
      </w:r>
      <w:r w:rsidRPr="002823AA">
        <w:rPr>
          <w:rFonts w:ascii="Calibri" w:hAnsi="Calibri"/>
          <w:color w:val="231F20"/>
          <w:spacing w:val="-16"/>
          <w:w w:val="105"/>
        </w:rPr>
        <w:t xml:space="preserve"> </w:t>
      </w:r>
      <w:r w:rsidRPr="002823AA">
        <w:rPr>
          <w:rFonts w:ascii="Calibri" w:hAnsi="Calibri"/>
          <w:color w:val="231F20"/>
          <w:w w:val="105"/>
        </w:rPr>
        <w:t>number of jobs in this sector has been trending upward for over two decades.</w:t>
      </w:r>
    </w:p>
    <w:p w14:paraId="2E69EA3A" w14:textId="77777777" w:rsidR="00002D76" w:rsidRPr="002823AA" w:rsidRDefault="00002D76" w:rsidP="00002D76">
      <w:pPr>
        <w:widowControl w:val="0"/>
        <w:spacing w:before="6" w:after="0" w:line="240" w:lineRule="auto"/>
        <w:rPr>
          <w:rFonts w:ascii="Calibri" w:hAnsi="Calibri" w:cs="Calibri"/>
          <w:sz w:val="16"/>
          <w:szCs w:val="16"/>
        </w:rPr>
      </w:pPr>
    </w:p>
    <w:p w14:paraId="304B863E" w14:textId="77777777" w:rsidR="00002D76" w:rsidRPr="00041D0F" w:rsidRDefault="00002D76" w:rsidP="00D63204">
      <w:pPr>
        <w:widowControl w:val="0"/>
        <w:spacing w:after="0" w:line="266" w:lineRule="exact"/>
        <w:ind w:left="468" w:right="468"/>
        <w:outlineLvl w:val="2"/>
        <w:rPr>
          <w:rFonts w:ascii="Calibri" w:hAnsi="Calibri"/>
        </w:rPr>
      </w:pPr>
      <w:r w:rsidRPr="00041D0F">
        <w:rPr>
          <w:rFonts w:ascii="Calibri" w:hAnsi="Calibri"/>
          <w:b/>
          <w:bCs/>
          <w:color w:val="231F20"/>
          <w:w w:val="115"/>
        </w:rPr>
        <w:t>Figure</w:t>
      </w:r>
      <w:r w:rsidRPr="00041D0F">
        <w:rPr>
          <w:rFonts w:ascii="Calibri" w:hAnsi="Calibri"/>
          <w:b/>
          <w:bCs/>
          <w:color w:val="231F20"/>
          <w:spacing w:val="-13"/>
          <w:w w:val="115"/>
        </w:rPr>
        <w:t xml:space="preserve"> </w:t>
      </w:r>
      <w:r w:rsidRPr="00041D0F">
        <w:rPr>
          <w:rFonts w:ascii="Calibri" w:hAnsi="Calibri"/>
          <w:b/>
          <w:bCs/>
          <w:color w:val="231F20"/>
          <w:w w:val="115"/>
        </w:rPr>
        <w:t>2.29</w:t>
      </w:r>
    </w:p>
    <w:p w14:paraId="5C69C3D3" w14:textId="7F4A65A1" w:rsidR="00002D76" w:rsidRPr="000E0D3A" w:rsidRDefault="00002D76" w:rsidP="00D63204">
      <w:pPr>
        <w:widowControl w:val="0"/>
        <w:spacing w:before="2" w:after="0" w:line="235" w:lineRule="auto"/>
        <w:ind w:left="2673" w:right="2671"/>
        <w:rPr>
          <w:rFonts w:ascii="Calibri" w:hAnsi="Calibri"/>
          <w:color w:val="231F20"/>
          <w:w w:val="110"/>
        </w:rPr>
      </w:pPr>
      <w:r w:rsidRPr="00041D0F">
        <w:rPr>
          <w:noProof/>
        </w:rPr>
        <w:drawing>
          <wp:anchor distT="0" distB="0" distL="114300" distR="114300" simplePos="0" relativeHeight="251658254" behindDoc="0" locked="0" layoutInCell="1" allowOverlap="1" wp14:anchorId="16E005D7" wp14:editId="0CED5DF5">
            <wp:simplePos x="0" y="0"/>
            <wp:positionH relativeFrom="margin">
              <wp:align>center</wp:align>
            </wp:positionH>
            <wp:positionV relativeFrom="paragraph">
              <wp:posOffset>462849</wp:posOffset>
            </wp:positionV>
            <wp:extent cx="5800725" cy="3324225"/>
            <wp:effectExtent l="0" t="0" r="0" b="0"/>
            <wp:wrapTopAndBottom/>
            <wp:docPr id="1402719354" name="Chart 1402719354" descr="The line graph shows in November 2017, employment in the education and health services industries was 1,276,900. The over the year change in November 2017 (+15,200 jobs, +1.2 percent) was 28,500 less when compared to November 2016 (+43,700, +3.6 percent). The number of jobs in this sector has trended upward for over two decades.&#10;" title="Figure 2.29 Florida Education and Health Services Employment (Seasonally Adjusted)"/>
            <wp:cNvGraphicFramePr/>
            <a:graphic xmlns:a="http://schemas.openxmlformats.org/drawingml/2006/main">
              <a:graphicData uri="http://schemas.openxmlformats.org/drawingml/2006/chart">
                <c:chart xmlns:c="http://schemas.openxmlformats.org/drawingml/2006/chart" xmlns:r="http://schemas.openxmlformats.org/officeDocument/2006/relationships" r:id="rId89"/>
              </a:graphicData>
            </a:graphic>
          </wp:anchor>
        </w:drawing>
      </w:r>
      <w:r w:rsidRPr="00041D0F">
        <w:rPr>
          <w:rFonts w:ascii="Calibri" w:hAnsi="Calibri"/>
          <w:b/>
          <w:color w:val="231F20"/>
          <w:w w:val="110"/>
        </w:rPr>
        <w:t>Florida Education and Health Services</w:t>
      </w:r>
      <w:r w:rsidRPr="00041D0F">
        <w:rPr>
          <w:rFonts w:ascii="Calibri" w:hAnsi="Calibri"/>
          <w:b/>
          <w:color w:val="231F20"/>
          <w:spacing w:val="-26"/>
          <w:w w:val="110"/>
        </w:rPr>
        <w:t xml:space="preserve"> </w:t>
      </w:r>
      <w:r w:rsidRPr="00041D0F">
        <w:rPr>
          <w:rFonts w:ascii="Calibri" w:hAnsi="Calibri"/>
          <w:b/>
          <w:color w:val="231F20"/>
          <w:w w:val="110"/>
        </w:rPr>
        <w:t>Employment</w:t>
      </w:r>
      <w:r w:rsidRPr="00041D0F">
        <w:rPr>
          <w:rFonts w:ascii="Calibri" w:hAnsi="Calibri"/>
          <w:b/>
          <w:color w:val="231F20"/>
          <w:w w:val="107"/>
        </w:rPr>
        <w:t xml:space="preserve"> </w:t>
      </w:r>
      <w:r w:rsidR="000E0D3A" w:rsidRPr="000E0D3A">
        <w:rPr>
          <w:rFonts w:ascii="Calibri" w:hAnsi="Calibri"/>
          <w:color w:val="231F20"/>
          <w:w w:val="107"/>
        </w:rPr>
        <w:t>(</w:t>
      </w:r>
      <w:r w:rsidRPr="000E0D3A">
        <w:rPr>
          <w:rFonts w:ascii="Calibri" w:hAnsi="Calibri"/>
          <w:color w:val="231F20"/>
          <w:w w:val="110"/>
        </w:rPr>
        <w:t>Seasonally</w:t>
      </w:r>
      <w:r w:rsidRPr="000E0D3A">
        <w:rPr>
          <w:rFonts w:ascii="Calibri" w:hAnsi="Calibri"/>
          <w:color w:val="231F20"/>
          <w:spacing w:val="2"/>
          <w:w w:val="110"/>
        </w:rPr>
        <w:t xml:space="preserve"> </w:t>
      </w:r>
      <w:r w:rsidRPr="000E0D3A">
        <w:rPr>
          <w:rFonts w:ascii="Calibri" w:hAnsi="Calibri"/>
          <w:color w:val="231F20"/>
          <w:w w:val="110"/>
        </w:rPr>
        <w:t>Adjusted</w:t>
      </w:r>
      <w:r w:rsidR="000E0D3A">
        <w:rPr>
          <w:rFonts w:ascii="Calibri" w:hAnsi="Calibri"/>
          <w:color w:val="231F20"/>
          <w:w w:val="110"/>
        </w:rPr>
        <w:t>)</w:t>
      </w:r>
    </w:p>
    <w:p w14:paraId="608A648B" w14:textId="77777777" w:rsidR="00002D76" w:rsidRPr="00041D0F" w:rsidRDefault="00002D76" w:rsidP="00002D76">
      <w:pPr>
        <w:widowControl w:val="0"/>
        <w:spacing w:before="44" w:after="0" w:line="216" w:lineRule="exact"/>
        <w:ind w:left="810" w:right="90"/>
        <w:rPr>
          <w:rFonts w:ascii="Calibri" w:hAnsi="Calibri" w:cs="Calibri"/>
          <w:sz w:val="18"/>
          <w:szCs w:val="18"/>
        </w:rPr>
      </w:pPr>
      <w:r w:rsidRPr="00041D0F">
        <w:rPr>
          <w:rFonts w:ascii="Calibri" w:hAnsi="Calibri"/>
          <w:w w:val="105"/>
          <w:sz w:val="18"/>
        </w:rPr>
        <w:t xml:space="preserve">Source: </w:t>
      </w:r>
      <w:r>
        <w:rPr>
          <w:rFonts w:ascii="Calibri" w:hAnsi="Calibri"/>
          <w:w w:val="105"/>
          <w:sz w:val="18"/>
        </w:rPr>
        <w:t xml:space="preserve"> </w:t>
      </w:r>
      <w:r w:rsidRPr="00041D0F">
        <w:rPr>
          <w:rFonts w:ascii="Calibri" w:hAnsi="Calibri"/>
          <w:w w:val="105"/>
          <w:sz w:val="18"/>
        </w:rPr>
        <w:t xml:space="preserve">U.S. Department of </w:t>
      </w:r>
      <w:r w:rsidRPr="00041D0F">
        <w:rPr>
          <w:rFonts w:ascii="Calibri" w:hAnsi="Calibri"/>
          <w:spacing w:val="-3"/>
          <w:w w:val="105"/>
          <w:sz w:val="18"/>
        </w:rPr>
        <w:t xml:space="preserve">Labor, </w:t>
      </w:r>
      <w:r w:rsidRPr="00041D0F">
        <w:rPr>
          <w:rFonts w:ascii="Calibri" w:hAnsi="Calibri"/>
          <w:w w:val="105"/>
          <w:sz w:val="18"/>
        </w:rPr>
        <w:t>Bureau of Labor Statistics, Curren</w:t>
      </w:r>
      <w:r>
        <w:rPr>
          <w:rFonts w:ascii="Calibri" w:hAnsi="Calibri"/>
          <w:w w:val="105"/>
          <w:sz w:val="18"/>
        </w:rPr>
        <w:t>t Employment Statistics Program</w:t>
      </w:r>
      <w:r w:rsidRPr="00041D0F">
        <w:rPr>
          <w:rFonts w:ascii="Calibri" w:hAnsi="Calibri"/>
          <w:w w:val="105"/>
          <w:sz w:val="18"/>
        </w:rPr>
        <w:t xml:space="preserve">, </w:t>
      </w:r>
      <w:r w:rsidRPr="00041D0F">
        <w:rPr>
          <w:rFonts w:ascii="Calibri" w:hAnsi="Calibri"/>
          <w:color w:val="231F20"/>
          <w:w w:val="105"/>
          <w:sz w:val="18"/>
        </w:rPr>
        <w:t>December 2017</w:t>
      </w:r>
      <w:r>
        <w:rPr>
          <w:rFonts w:ascii="Calibri" w:hAnsi="Calibri"/>
          <w:color w:val="231F20"/>
          <w:w w:val="105"/>
          <w:sz w:val="18"/>
        </w:rPr>
        <w:t>.</w:t>
      </w:r>
    </w:p>
    <w:p w14:paraId="3840221B" w14:textId="77777777" w:rsidR="00002D76" w:rsidRPr="00EA7458" w:rsidRDefault="00002D76" w:rsidP="00002D76">
      <w:pPr>
        <w:widowControl w:val="0"/>
        <w:spacing w:after="0" w:line="216" w:lineRule="exact"/>
        <w:rPr>
          <w:rFonts w:ascii="Calibri" w:hAnsi="Calibri" w:cs="Calibri"/>
          <w:sz w:val="18"/>
          <w:szCs w:val="18"/>
        </w:rPr>
        <w:sectPr w:rsidR="00002D76" w:rsidRPr="00EA7458">
          <w:pgSz w:w="12240" w:h="15840"/>
          <w:pgMar w:top="1620" w:right="900" w:bottom="820" w:left="900" w:header="812" w:footer="624" w:gutter="0"/>
          <w:cols w:space="720"/>
        </w:sectPr>
      </w:pPr>
    </w:p>
    <w:p w14:paraId="0F693815" w14:textId="77777777" w:rsidR="00002D76" w:rsidRPr="00EA7458" w:rsidRDefault="00002D76" w:rsidP="00002D76">
      <w:pPr>
        <w:widowControl w:val="0"/>
        <w:spacing w:before="4" w:after="0" w:line="240" w:lineRule="auto"/>
        <w:rPr>
          <w:rFonts w:ascii="Calibri" w:hAnsi="Calibri" w:cs="Calibri"/>
          <w:sz w:val="14"/>
          <w:szCs w:val="14"/>
        </w:rPr>
      </w:pPr>
    </w:p>
    <w:p w14:paraId="5299420A" w14:textId="77777777" w:rsidR="00002D76" w:rsidRPr="005E681C" w:rsidRDefault="00002D76" w:rsidP="00D63204">
      <w:pPr>
        <w:widowControl w:val="0"/>
        <w:spacing w:before="63" w:after="0" w:line="240" w:lineRule="auto"/>
        <w:ind w:left="107"/>
        <w:outlineLvl w:val="3"/>
        <w:rPr>
          <w:rFonts w:ascii="Gill Sans MT" w:hAnsi="Gill Sans MT"/>
        </w:rPr>
      </w:pPr>
      <w:bookmarkStart w:id="42" w:name="_bookmark30"/>
      <w:bookmarkEnd w:id="42"/>
      <w:r w:rsidRPr="005E681C">
        <w:rPr>
          <w:rFonts w:ascii="Gill Sans MT" w:hAnsi="Gill Sans MT"/>
          <w:b/>
          <w:bCs/>
          <w:i/>
          <w:color w:val="231F20"/>
          <w:w w:val="105"/>
        </w:rPr>
        <w:t>Leisure</w:t>
      </w:r>
      <w:r w:rsidRPr="005E681C">
        <w:rPr>
          <w:rFonts w:ascii="Gill Sans MT" w:hAnsi="Gill Sans MT"/>
          <w:b/>
          <w:bCs/>
          <w:i/>
          <w:color w:val="231F20"/>
          <w:spacing w:val="-26"/>
          <w:w w:val="105"/>
        </w:rPr>
        <w:t xml:space="preserve"> </w:t>
      </w:r>
      <w:r w:rsidRPr="005E681C">
        <w:rPr>
          <w:rFonts w:ascii="Gill Sans MT" w:hAnsi="Gill Sans MT"/>
          <w:b/>
          <w:bCs/>
          <w:i/>
          <w:color w:val="231F20"/>
          <w:w w:val="105"/>
        </w:rPr>
        <w:t>and</w:t>
      </w:r>
      <w:r w:rsidRPr="005E681C">
        <w:rPr>
          <w:rFonts w:ascii="Gill Sans MT" w:hAnsi="Gill Sans MT"/>
          <w:b/>
          <w:bCs/>
          <w:i/>
          <w:color w:val="231F20"/>
          <w:spacing w:val="-26"/>
          <w:w w:val="105"/>
        </w:rPr>
        <w:t xml:space="preserve"> </w:t>
      </w:r>
      <w:r w:rsidRPr="005E681C">
        <w:rPr>
          <w:rFonts w:ascii="Gill Sans MT" w:hAnsi="Gill Sans MT"/>
          <w:b/>
          <w:bCs/>
          <w:i/>
          <w:color w:val="231F20"/>
          <w:w w:val="105"/>
        </w:rPr>
        <w:t>Hospitality</w:t>
      </w:r>
    </w:p>
    <w:p w14:paraId="5C874D40" w14:textId="4A973ED4" w:rsidR="00002D76" w:rsidRPr="005E681C" w:rsidRDefault="00002D76" w:rsidP="00D63204">
      <w:pPr>
        <w:widowControl w:val="0"/>
        <w:spacing w:before="2" w:after="0" w:line="264" w:lineRule="exact"/>
        <w:ind w:left="107"/>
        <w:rPr>
          <w:rFonts w:ascii="Calibri" w:hAnsi="Calibri"/>
        </w:rPr>
      </w:pPr>
      <w:r w:rsidRPr="005E681C">
        <w:rPr>
          <w:rFonts w:ascii="Calibri" w:hAnsi="Calibri"/>
          <w:color w:val="231F20"/>
          <w:w w:val="110"/>
        </w:rPr>
        <w:t>Leisure</w:t>
      </w:r>
      <w:r w:rsidRPr="005E681C">
        <w:rPr>
          <w:rFonts w:ascii="Calibri" w:hAnsi="Calibri"/>
          <w:color w:val="231F20"/>
          <w:spacing w:val="-14"/>
          <w:w w:val="110"/>
        </w:rPr>
        <w:t xml:space="preserve"> </w:t>
      </w:r>
      <w:r w:rsidRPr="005E681C">
        <w:rPr>
          <w:rFonts w:ascii="Calibri" w:hAnsi="Calibri"/>
          <w:color w:val="231F20"/>
          <w:w w:val="110"/>
        </w:rPr>
        <w:t>and</w:t>
      </w:r>
      <w:r w:rsidRPr="005E681C">
        <w:rPr>
          <w:rFonts w:ascii="Calibri" w:hAnsi="Calibri"/>
          <w:color w:val="231F20"/>
          <w:spacing w:val="-14"/>
          <w:w w:val="110"/>
        </w:rPr>
        <w:t xml:space="preserve"> </w:t>
      </w:r>
      <w:r w:rsidRPr="005E681C">
        <w:rPr>
          <w:rFonts w:ascii="Calibri" w:hAnsi="Calibri"/>
          <w:color w:val="231F20"/>
          <w:w w:val="110"/>
        </w:rPr>
        <w:t>hospitality</w:t>
      </w:r>
      <w:r w:rsidRPr="005E681C">
        <w:rPr>
          <w:rFonts w:ascii="Calibri" w:hAnsi="Calibri"/>
          <w:color w:val="231F20"/>
          <w:spacing w:val="-14"/>
          <w:w w:val="110"/>
        </w:rPr>
        <w:t xml:space="preserve"> </w:t>
      </w:r>
      <w:r w:rsidRPr="005E681C">
        <w:rPr>
          <w:rFonts w:ascii="Calibri" w:hAnsi="Calibri"/>
          <w:color w:val="231F20"/>
          <w:w w:val="110"/>
        </w:rPr>
        <w:t>employment</w:t>
      </w:r>
      <w:r w:rsidRPr="005E681C">
        <w:rPr>
          <w:rFonts w:ascii="Calibri" w:hAnsi="Calibri"/>
          <w:color w:val="231F20"/>
          <w:spacing w:val="-14"/>
          <w:w w:val="110"/>
        </w:rPr>
        <w:t xml:space="preserve"> </w:t>
      </w:r>
      <w:r w:rsidRPr="005E681C">
        <w:rPr>
          <w:rFonts w:ascii="Calibri" w:hAnsi="Calibri"/>
          <w:color w:val="231F20"/>
          <w:w w:val="110"/>
        </w:rPr>
        <w:t>in</w:t>
      </w:r>
      <w:r w:rsidRPr="005E681C">
        <w:rPr>
          <w:rFonts w:ascii="Calibri" w:hAnsi="Calibri"/>
          <w:color w:val="231F20"/>
          <w:spacing w:val="-14"/>
          <w:w w:val="110"/>
        </w:rPr>
        <w:t xml:space="preserve"> </w:t>
      </w:r>
      <w:r w:rsidRPr="005E681C">
        <w:rPr>
          <w:rFonts w:ascii="Calibri" w:hAnsi="Calibri"/>
          <w:color w:val="231F20"/>
          <w:w w:val="110"/>
        </w:rPr>
        <w:t>Florida</w:t>
      </w:r>
      <w:r w:rsidRPr="005E681C">
        <w:rPr>
          <w:rFonts w:ascii="Calibri" w:hAnsi="Calibri"/>
          <w:color w:val="231F20"/>
          <w:spacing w:val="-14"/>
          <w:w w:val="110"/>
        </w:rPr>
        <w:t xml:space="preserve"> </w:t>
      </w:r>
      <w:r w:rsidRPr="005E681C">
        <w:rPr>
          <w:rFonts w:ascii="Calibri" w:hAnsi="Calibri"/>
          <w:color w:val="231F20"/>
          <w:w w:val="110"/>
        </w:rPr>
        <w:t>experienced</w:t>
      </w:r>
      <w:r w:rsidRPr="005E681C">
        <w:rPr>
          <w:rFonts w:ascii="Calibri" w:hAnsi="Calibri"/>
          <w:color w:val="231F20"/>
          <w:spacing w:val="-14"/>
          <w:w w:val="110"/>
        </w:rPr>
        <w:t xml:space="preserve"> </w:t>
      </w:r>
      <w:r w:rsidRPr="005E681C">
        <w:rPr>
          <w:rFonts w:ascii="Calibri" w:hAnsi="Calibri"/>
          <w:color w:val="231F20"/>
          <w:w w:val="110"/>
        </w:rPr>
        <w:t>a</w:t>
      </w:r>
      <w:r w:rsidRPr="005E681C">
        <w:rPr>
          <w:rFonts w:ascii="Calibri" w:hAnsi="Calibri"/>
          <w:color w:val="231F20"/>
          <w:spacing w:val="-14"/>
          <w:w w:val="110"/>
        </w:rPr>
        <w:t xml:space="preserve"> </w:t>
      </w:r>
      <w:r w:rsidRPr="005E681C">
        <w:rPr>
          <w:rFonts w:ascii="Calibri" w:hAnsi="Calibri"/>
          <w:color w:val="231F20"/>
          <w:w w:val="110"/>
        </w:rPr>
        <w:t>large</w:t>
      </w:r>
      <w:r w:rsidRPr="005E681C">
        <w:rPr>
          <w:rFonts w:ascii="Calibri" w:hAnsi="Calibri"/>
          <w:color w:val="231F20"/>
          <w:spacing w:val="-14"/>
          <w:w w:val="110"/>
        </w:rPr>
        <w:t xml:space="preserve"> </w:t>
      </w:r>
      <w:r w:rsidRPr="005E681C">
        <w:rPr>
          <w:rFonts w:ascii="Calibri" w:hAnsi="Calibri"/>
          <w:color w:val="231F20"/>
          <w:w w:val="110"/>
        </w:rPr>
        <w:t>decrease</w:t>
      </w:r>
      <w:r w:rsidRPr="005E681C">
        <w:rPr>
          <w:rFonts w:ascii="Calibri" w:hAnsi="Calibri"/>
          <w:color w:val="231F20"/>
          <w:spacing w:val="-14"/>
          <w:w w:val="110"/>
        </w:rPr>
        <w:t xml:space="preserve"> </w:t>
      </w:r>
      <w:r w:rsidRPr="005E681C">
        <w:rPr>
          <w:rFonts w:ascii="Calibri" w:hAnsi="Calibri"/>
          <w:color w:val="231F20"/>
          <w:w w:val="110"/>
        </w:rPr>
        <w:t>during</w:t>
      </w:r>
      <w:r w:rsidRPr="005E681C">
        <w:rPr>
          <w:rFonts w:ascii="Calibri" w:hAnsi="Calibri"/>
          <w:color w:val="231F20"/>
          <w:spacing w:val="-14"/>
          <w:w w:val="110"/>
        </w:rPr>
        <w:t xml:space="preserve"> </w:t>
      </w:r>
      <w:r w:rsidRPr="005E681C">
        <w:rPr>
          <w:rFonts w:ascii="Calibri" w:hAnsi="Calibri"/>
          <w:color w:val="231F20"/>
          <w:w w:val="110"/>
        </w:rPr>
        <w:t>the</w:t>
      </w:r>
      <w:r w:rsidRPr="005E681C">
        <w:rPr>
          <w:rFonts w:ascii="Calibri" w:hAnsi="Calibri"/>
          <w:color w:val="231F20"/>
          <w:spacing w:val="-14"/>
          <w:w w:val="110"/>
        </w:rPr>
        <w:t xml:space="preserve"> </w:t>
      </w:r>
      <w:r w:rsidRPr="005E681C">
        <w:rPr>
          <w:rFonts w:ascii="Calibri" w:hAnsi="Calibri"/>
          <w:color w:val="231F20"/>
          <w:w w:val="110"/>
        </w:rPr>
        <w:t>Great</w:t>
      </w:r>
      <w:r w:rsidRPr="005E681C">
        <w:rPr>
          <w:rFonts w:ascii="Calibri" w:hAnsi="Calibri"/>
          <w:color w:val="231F20"/>
          <w:spacing w:val="-14"/>
          <w:w w:val="110"/>
        </w:rPr>
        <w:t xml:space="preserve"> </w:t>
      </w:r>
      <w:r w:rsidRPr="005E681C">
        <w:rPr>
          <w:rFonts w:ascii="Calibri" w:hAnsi="Calibri"/>
          <w:color w:val="231F20"/>
          <w:w w:val="110"/>
        </w:rPr>
        <w:t>Recession, reaching</w:t>
      </w:r>
      <w:r w:rsidRPr="005E681C">
        <w:rPr>
          <w:rFonts w:ascii="Calibri" w:hAnsi="Calibri"/>
          <w:color w:val="231F20"/>
          <w:spacing w:val="-24"/>
          <w:w w:val="110"/>
        </w:rPr>
        <w:t xml:space="preserve"> </w:t>
      </w:r>
      <w:r w:rsidRPr="005E681C">
        <w:rPr>
          <w:rFonts w:ascii="Calibri" w:hAnsi="Calibri"/>
          <w:color w:val="231F20"/>
          <w:w w:val="110"/>
        </w:rPr>
        <w:t>913,800</w:t>
      </w:r>
      <w:r w:rsidRPr="005E681C">
        <w:rPr>
          <w:rFonts w:ascii="Calibri" w:hAnsi="Calibri"/>
          <w:color w:val="231F20"/>
          <w:spacing w:val="-24"/>
          <w:w w:val="110"/>
        </w:rPr>
        <w:t xml:space="preserve"> </w:t>
      </w:r>
      <w:r w:rsidRPr="005E681C">
        <w:rPr>
          <w:rFonts w:ascii="Calibri" w:hAnsi="Calibri"/>
          <w:color w:val="231F20"/>
          <w:w w:val="110"/>
        </w:rPr>
        <w:t>employed in December 2009</w:t>
      </w:r>
      <w:r w:rsidR="005E7C49">
        <w:rPr>
          <w:rFonts w:ascii="Calibri" w:hAnsi="Calibri"/>
          <w:color w:val="231F20"/>
          <w:w w:val="110"/>
        </w:rPr>
        <w:t xml:space="preserve">. </w:t>
      </w:r>
      <w:r w:rsidRPr="005E681C">
        <w:rPr>
          <w:rFonts w:ascii="Calibri" w:hAnsi="Calibri"/>
          <w:color w:val="231F20"/>
          <w:w w:val="110"/>
        </w:rPr>
        <w:t>Currently,</w:t>
      </w:r>
      <w:r w:rsidRPr="005E681C">
        <w:rPr>
          <w:rFonts w:ascii="Calibri" w:hAnsi="Calibri"/>
          <w:color w:val="231F20"/>
          <w:spacing w:val="-24"/>
          <w:w w:val="110"/>
        </w:rPr>
        <w:t xml:space="preserve"> </w:t>
      </w:r>
      <w:r w:rsidRPr="005E681C">
        <w:rPr>
          <w:rFonts w:ascii="Calibri" w:hAnsi="Calibri"/>
          <w:color w:val="231F20"/>
          <w:w w:val="110"/>
        </w:rPr>
        <w:t>industry</w:t>
      </w:r>
      <w:r w:rsidRPr="005E681C">
        <w:rPr>
          <w:rFonts w:ascii="Calibri" w:hAnsi="Calibri"/>
          <w:color w:val="231F20"/>
          <w:spacing w:val="-24"/>
          <w:w w:val="110"/>
        </w:rPr>
        <w:t xml:space="preserve"> </w:t>
      </w:r>
      <w:r w:rsidRPr="005E681C">
        <w:rPr>
          <w:rFonts w:ascii="Calibri" w:hAnsi="Calibri"/>
          <w:color w:val="231F20"/>
          <w:w w:val="110"/>
        </w:rPr>
        <w:t>employment</w:t>
      </w:r>
      <w:r w:rsidRPr="005E681C">
        <w:rPr>
          <w:rFonts w:ascii="Calibri" w:hAnsi="Calibri"/>
          <w:color w:val="231F20"/>
          <w:spacing w:val="-24"/>
          <w:w w:val="110"/>
        </w:rPr>
        <w:t xml:space="preserve"> </w:t>
      </w:r>
      <w:r w:rsidRPr="005E681C">
        <w:rPr>
          <w:rFonts w:ascii="Calibri" w:hAnsi="Calibri"/>
          <w:color w:val="231F20"/>
          <w:w w:val="110"/>
        </w:rPr>
        <w:t>is</w:t>
      </w:r>
      <w:r w:rsidRPr="005E681C">
        <w:rPr>
          <w:rFonts w:ascii="Calibri" w:hAnsi="Calibri"/>
          <w:color w:val="231F20"/>
          <w:spacing w:val="-24"/>
          <w:w w:val="110"/>
        </w:rPr>
        <w:t xml:space="preserve"> </w:t>
      </w:r>
      <w:r w:rsidRPr="005E681C">
        <w:rPr>
          <w:rFonts w:ascii="Calibri" w:hAnsi="Calibri"/>
          <w:color w:val="231F20"/>
          <w:w w:val="110"/>
        </w:rPr>
        <w:t>above</w:t>
      </w:r>
      <w:r w:rsidRPr="005E681C">
        <w:rPr>
          <w:rFonts w:ascii="Calibri" w:hAnsi="Calibri"/>
          <w:color w:val="231F20"/>
          <w:spacing w:val="-24"/>
          <w:w w:val="110"/>
        </w:rPr>
        <w:t xml:space="preserve"> </w:t>
      </w:r>
      <w:r w:rsidRPr="005E681C">
        <w:rPr>
          <w:rFonts w:ascii="Calibri" w:hAnsi="Calibri"/>
          <w:color w:val="231F20"/>
          <w:w w:val="110"/>
        </w:rPr>
        <w:t>its</w:t>
      </w:r>
      <w:r w:rsidRPr="005E681C">
        <w:rPr>
          <w:rFonts w:ascii="Calibri" w:hAnsi="Calibri"/>
          <w:color w:val="231F20"/>
          <w:spacing w:val="-24"/>
          <w:w w:val="110"/>
        </w:rPr>
        <w:t xml:space="preserve"> </w:t>
      </w:r>
      <w:r w:rsidRPr="005E681C">
        <w:rPr>
          <w:rFonts w:ascii="Calibri" w:hAnsi="Calibri"/>
          <w:color w:val="231F20"/>
          <w:w w:val="110"/>
        </w:rPr>
        <w:t>previous</w:t>
      </w:r>
      <w:r w:rsidRPr="005E681C">
        <w:rPr>
          <w:rFonts w:ascii="Calibri" w:hAnsi="Calibri"/>
          <w:color w:val="231F20"/>
          <w:spacing w:val="-24"/>
          <w:w w:val="110"/>
        </w:rPr>
        <w:t xml:space="preserve"> </w:t>
      </w:r>
      <w:r w:rsidRPr="005E681C">
        <w:rPr>
          <w:rFonts w:ascii="Calibri" w:hAnsi="Calibri"/>
          <w:color w:val="231F20"/>
          <w:w w:val="110"/>
        </w:rPr>
        <w:t>peak.</w:t>
      </w:r>
    </w:p>
    <w:p w14:paraId="4DAB855D" w14:textId="77777777" w:rsidR="00002D76" w:rsidRPr="005E681C" w:rsidRDefault="00002D76" w:rsidP="00D63204">
      <w:pPr>
        <w:widowControl w:val="0"/>
        <w:spacing w:before="5" w:after="0" w:line="240" w:lineRule="auto"/>
        <w:rPr>
          <w:rFonts w:ascii="Calibri" w:hAnsi="Calibri" w:cs="Calibri"/>
          <w:sz w:val="16"/>
          <w:szCs w:val="16"/>
        </w:rPr>
      </w:pPr>
    </w:p>
    <w:p w14:paraId="482816F4" w14:textId="52ADE641" w:rsidR="00002D76" w:rsidRPr="00BB7F2A" w:rsidRDefault="00002D76" w:rsidP="00D63204">
      <w:pPr>
        <w:widowControl w:val="0"/>
        <w:spacing w:after="0" w:line="264" w:lineRule="exact"/>
        <w:ind w:left="107"/>
        <w:rPr>
          <w:rFonts w:ascii="Calibri" w:hAnsi="Calibri"/>
        </w:rPr>
      </w:pPr>
      <w:r w:rsidRPr="00BB7F2A">
        <w:rPr>
          <w:rFonts w:ascii="Calibri" w:hAnsi="Calibri"/>
          <w:color w:val="231F20"/>
          <w:w w:val="105"/>
        </w:rPr>
        <w:t>In</w:t>
      </w:r>
      <w:r w:rsidRPr="00BB7F2A">
        <w:rPr>
          <w:rFonts w:ascii="Calibri" w:hAnsi="Calibri"/>
          <w:color w:val="231F20"/>
          <w:spacing w:val="11"/>
          <w:w w:val="105"/>
        </w:rPr>
        <w:t xml:space="preserve"> </w:t>
      </w:r>
      <w:r w:rsidRPr="00BB7F2A">
        <w:rPr>
          <w:rFonts w:ascii="Calibri" w:hAnsi="Calibri"/>
          <w:color w:val="231F20"/>
          <w:w w:val="105"/>
        </w:rPr>
        <w:t>November 2017,</w:t>
      </w:r>
      <w:r w:rsidRPr="00BB7F2A">
        <w:rPr>
          <w:rFonts w:ascii="Calibri" w:hAnsi="Calibri"/>
          <w:color w:val="231F20"/>
          <w:spacing w:val="11"/>
          <w:w w:val="105"/>
        </w:rPr>
        <w:t xml:space="preserve"> </w:t>
      </w:r>
      <w:r w:rsidRPr="00BB7F2A">
        <w:rPr>
          <w:rFonts w:ascii="Calibri" w:hAnsi="Calibri"/>
          <w:color w:val="231F20"/>
          <w:w w:val="105"/>
        </w:rPr>
        <w:t>the</w:t>
      </w:r>
      <w:r w:rsidRPr="00BB7F2A">
        <w:rPr>
          <w:rFonts w:ascii="Calibri" w:hAnsi="Calibri"/>
          <w:color w:val="231F20"/>
          <w:spacing w:val="11"/>
          <w:w w:val="105"/>
        </w:rPr>
        <w:t xml:space="preserve"> </w:t>
      </w:r>
      <w:r w:rsidRPr="00BB7F2A">
        <w:rPr>
          <w:rFonts w:ascii="Calibri" w:hAnsi="Calibri"/>
          <w:color w:val="231F20"/>
          <w:w w:val="105"/>
        </w:rPr>
        <w:t>employment</w:t>
      </w:r>
      <w:r w:rsidRPr="00BB7F2A">
        <w:rPr>
          <w:rFonts w:ascii="Calibri" w:hAnsi="Calibri"/>
          <w:color w:val="231F20"/>
          <w:spacing w:val="11"/>
          <w:w w:val="105"/>
        </w:rPr>
        <w:t xml:space="preserve"> </w:t>
      </w:r>
      <w:r w:rsidRPr="00BB7F2A">
        <w:rPr>
          <w:rFonts w:ascii="Calibri" w:hAnsi="Calibri"/>
          <w:color w:val="231F20"/>
          <w:w w:val="105"/>
        </w:rPr>
        <w:t>was</w:t>
      </w:r>
      <w:r w:rsidRPr="00BB7F2A">
        <w:rPr>
          <w:rFonts w:ascii="Calibri" w:hAnsi="Calibri"/>
          <w:color w:val="231F20"/>
          <w:spacing w:val="11"/>
          <w:w w:val="105"/>
        </w:rPr>
        <w:t xml:space="preserve"> </w:t>
      </w:r>
      <w:r w:rsidRPr="00BB7F2A">
        <w:rPr>
          <w:rFonts w:ascii="Calibri" w:hAnsi="Calibri"/>
          <w:color w:val="231F20"/>
          <w:spacing w:val="-4"/>
          <w:w w:val="105"/>
        </w:rPr>
        <w:t>1,197,700</w:t>
      </w:r>
      <w:r w:rsidR="005E7C49">
        <w:rPr>
          <w:rFonts w:ascii="Calibri" w:hAnsi="Calibri"/>
          <w:color w:val="231F20"/>
          <w:spacing w:val="-4"/>
          <w:w w:val="105"/>
        </w:rPr>
        <w:t xml:space="preserve">. </w:t>
      </w:r>
      <w:r w:rsidRPr="00BB7F2A">
        <w:rPr>
          <w:rFonts w:ascii="Calibri" w:hAnsi="Calibri"/>
          <w:color w:val="231F20"/>
          <w:w w:val="105"/>
        </w:rPr>
        <w:t>The</w:t>
      </w:r>
      <w:r w:rsidRPr="00BB7F2A">
        <w:rPr>
          <w:rFonts w:ascii="Calibri" w:hAnsi="Calibri"/>
          <w:color w:val="231F20"/>
          <w:spacing w:val="11"/>
          <w:w w:val="105"/>
        </w:rPr>
        <w:t xml:space="preserve"> </w:t>
      </w:r>
      <w:r w:rsidRPr="00BB7F2A">
        <w:rPr>
          <w:rFonts w:ascii="Calibri" w:hAnsi="Calibri"/>
          <w:color w:val="231F20"/>
          <w:w w:val="105"/>
        </w:rPr>
        <w:t>over</w:t>
      </w:r>
      <w:r w:rsidR="00572476">
        <w:rPr>
          <w:rFonts w:ascii="Calibri" w:hAnsi="Calibri"/>
          <w:color w:val="231F20"/>
          <w:spacing w:val="11"/>
          <w:w w:val="105"/>
        </w:rPr>
        <w:t>-</w:t>
      </w:r>
      <w:r w:rsidRPr="00BB7F2A">
        <w:rPr>
          <w:rFonts w:ascii="Calibri" w:hAnsi="Calibri"/>
          <w:color w:val="231F20"/>
          <w:w w:val="105"/>
        </w:rPr>
        <w:t>the</w:t>
      </w:r>
      <w:r w:rsidR="00572476">
        <w:rPr>
          <w:rFonts w:ascii="Calibri" w:hAnsi="Calibri"/>
          <w:color w:val="231F20"/>
          <w:spacing w:val="11"/>
          <w:w w:val="105"/>
        </w:rPr>
        <w:t>-</w:t>
      </w:r>
      <w:r w:rsidRPr="00BB7F2A">
        <w:rPr>
          <w:rFonts w:ascii="Calibri" w:hAnsi="Calibri"/>
          <w:color w:val="231F20"/>
          <w:w w:val="105"/>
        </w:rPr>
        <w:t>year</w:t>
      </w:r>
      <w:r w:rsidRPr="00BB7F2A">
        <w:rPr>
          <w:rFonts w:ascii="Calibri" w:hAnsi="Calibri"/>
          <w:color w:val="231F20"/>
          <w:spacing w:val="11"/>
          <w:w w:val="105"/>
        </w:rPr>
        <w:t xml:space="preserve"> </w:t>
      </w:r>
      <w:r w:rsidRPr="00BB7F2A">
        <w:rPr>
          <w:rFonts w:ascii="Calibri" w:hAnsi="Calibri"/>
          <w:color w:val="231F20"/>
          <w:w w:val="105"/>
        </w:rPr>
        <w:t>change</w:t>
      </w:r>
      <w:r w:rsidRPr="00BB7F2A">
        <w:rPr>
          <w:rFonts w:ascii="Calibri" w:hAnsi="Calibri"/>
          <w:color w:val="231F20"/>
          <w:spacing w:val="11"/>
          <w:w w:val="105"/>
        </w:rPr>
        <w:t xml:space="preserve"> </w:t>
      </w:r>
      <w:r w:rsidRPr="00BB7F2A">
        <w:rPr>
          <w:rFonts w:ascii="Calibri" w:hAnsi="Calibri"/>
          <w:color w:val="231F20"/>
          <w:w w:val="105"/>
        </w:rPr>
        <w:t>in</w:t>
      </w:r>
      <w:r w:rsidRPr="00BB7F2A">
        <w:rPr>
          <w:rFonts w:ascii="Calibri" w:hAnsi="Calibri"/>
          <w:color w:val="231F20"/>
          <w:spacing w:val="11"/>
          <w:w w:val="105"/>
        </w:rPr>
        <w:t xml:space="preserve"> </w:t>
      </w:r>
      <w:r w:rsidRPr="00BB7F2A">
        <w:rPr>
          <w:rFonts w:ascii="Calibri" w:hAnsi="Calibri"/>
          <w:color w:val="231F20"/>
          <w:w w:val="105"/>
        </w:rPr>
        <w:t>November 2017</w:t>
      </w:r>
      <w:r w:rsidRPr="00BB7F2A">
        <w:rPr>
          <w:rFonts w:ascii="Calibri" w:hAnsi="Calibri"/>
          <w:color w:val="231F20"/>
          <w:spacing w:val="-3"/>
          <w:w w:val="105"/>
        </w:rPr>
        <w:t xml:space="preserve"> (+5,200</w:t>
      </w:r>
      <w:r w:rsidRPr="00BB7F2A">
        <w:rPr>
          <w:rFonts w:ascii="Calibri" w:hAnsi="Calibri"/>
          <w:color w:val="231F20"/>
          <w:w w:val="102"/>
        </w:rPr>
        <w:t xml:space="preserve"> </w:t>
      </w:r>
      <w:r w:rsidRPr="00BB7F2A">
        <w:rPr>
          <w:rFonts w:ascii="Calibri" w:hAnsi="Calibri"/>
          <w:color w:val="231F20"/>
          <w:w w:val="105"/>
        </w:rPr>
        <w:t>jobs,</w:t>
      </w:r>
      <w:r w:rsidRPr="00BB7F2A">
        <w:rPr>
          <w:rFonts w:ascii="Calibri" w:hAnsi="Calibri"/>
          <w:color w:val="231F20"/>
          <w:spacing w:val="9"/>
          <w:w w:val="105"/>
        </w:rPr>
        <w:t xml:space="preserve"> </w:t>
      </w:r>
      <w:r w:rsidRPr="00BB7F2A">
        <w:rPr>
          <w:rFonts w:ascii="Calibri" w:hAnsi="Calibri"/>
          <w:color w:val="231F20"/>
          <w:w w:val="105"/>
        </w:rPr>
        <w:t>+0.4</w:t>
      </w:r>
      <w:r w:rsidRPr="00BB7F2A">
        <w:rPr>
          <w:rFonts w:ascii="Calibri" w:hAnsi="Calibri"/>
          <w:color w:val="231F20"/>
          <w:spacing w:val="9"/>
          <w:w w:val="105"/>
        </w:rPr>
        <w:t xml:space="preserve"> </w:t>
      </w:r>
      <w:r w:rsidRPr="00BB7F2A">
        <w:rPr>
          <w:rFonts w:ascii="Calibri" w:hAnsi="Calibri"/>
          <w:color w:val="231F20"/>
          <w:w w:val="105"/>
        </w:rPr>
        <w:t>percent)</w:t>
      </w:r>
      <w:r w:rsidRPr="00BB7F2A">
        <w:rPr>
          <w:rFonts w:ascii="Calibri" w:hAnsi="Calibri"/>
          <w:color w:val="231F20"/>
          <w:spacing w:val="9"/>
          <w:w w:val="105"/>
        </w:rPr>
        <w:t xml:space="preserve"> </w:t>
      </w:r>
      <w:r w:rsidRPr="00BB7F2A">
        <w:rPr>
          <w:rFonts w:ascii="Calibri" w:hAnsi="Calibri"/>
          <w:color w:val="231F20"/>
          <w:w w:val="105"/>
        </w:rPr>
        <w:t>was</w:t>
      </w:r>
      <w:r w:rsidRPr="00BB7F2A">
        <w:rPr>
          <w:rFonts w:ascii="Calibri" w:hAnsi="Calibri"/>
          <w:color w:val="231F20"/>
          <w:spacing w:val="9"/>
          <w:w w:val="105"/>
        </w:rPr>
        <w:t xml:space="preserve"> </w:t>
      </w:r>
      <w:r w:rsidRPr="00BB7F2A">
        <w:rPr>
          <w:rFonts w:ascii="Calibri" w:hAnsi="Calibri"/>
          <w:color w:val="231F20"/>
          <w:w w:val="105"/>
        </w:rPr>
        <w:t>31,200</w:t>
      </w:r>
      <w:r w:rsidRPr="00BB7F2A">
        <w:rPr>
          <w:rFonts w:ascii="Calibri" w:hAnsi="Calibri"/>
          <w:color w:val="231F20"/>
          <w:spacing w:val="9"/>
          <w:w w:val="105"/>
        </w:rPr>
        <w:t xml:space="preserve"> </w:t>
      </w:r>
      <w:r w:rsidRPr="00BB7F2A">
        <w:rPr>
          <w:rFonts w:ascii="Calibri" w:hAnsi="Calibri"/>
          <w:color w:val="231F20"/>
          <w:w w:val="105"/>
        </w:rPr>
        <w:t>less</w:t>
      </w:r>
      <w:r w:rsidRPr="00BB7F2A">
        <w:rPr>
          <w:rFonts w:ascii="Calibri" w:hAnsi="Calibri"/>
          <w:color w:val="231F20"/>
          <w:spacing w:val="9"/>
          <w:w w:val="105"/>
        </w:rPr>
        <w:t xml:space="preserve"> </w:t>
      </w:r>
      <w:r w:rsidRPr="00BB7F2A">
        <w:rPr>
          <w:rFonts w:ascii="Calibri" w:hAnsi="Calibri"/>
          <w:color w:val="231F20"/>
          <w:w w:val="105"/>
        </w:rPr>
        <w:t>when</w:t>
      </w:r>
      <w:r w:rsidRPr="00BB7F2A">
        <w:rPr>
          <w:rFonts w:ascii="Calibri" w:hAnsi="Calibri"/>
          <w:color w:val="231F20"/>
          <w:spacing w:val="9"/>
          <w:w w:val="105"/>
        </w:rPr>
        <w:t xml:space="preserve"> </w:t>
      </w:r>
      <w:r w:rsidRPr="00BB7F2A">
        <w:rPr>
          <w:rFonts w:ascii="Calibri" w:hAnsi="Calibri"/>
          <w:color w:val="231F20"/>
          <w:w w:val="105"/>
        </w:rPr>
        <w:t>compared</w:t>
      </w:r>
      <w:r w:rsidRPr="00BB7F2A">
        <w:rPr>
          <w:rFonts w:ascii="Calibri" w:hAnsi="Calibri"/>
          <w:color w:val="231F20"/>
          <w:spacing w:val="9"/>
          <w:w w:val="105"/>
        </w:rPr>
        <w:t xml:space="preserve"> </w:t>
      </w:r>
      <w:r w:rsidRPr="00BB7F2A">
        <w:rPr>
          <w:rFonts w:ascii="Calibri" w:hAnsi="Calibri"/>
          <w:color w:val="231F20"/>
          <w:w w:val="105"/>
        </w:rPr>
        <w:t>to</w:t>
      </w:r>
      <w:r w:rsidRPr="00BB7F2A">
        <w:rPr>
          <w:rFonts w:ascii="Calibri" w:hAnsi="Calibri"/>
          <w:color w:val="231F20"/>
          <w:spacing w:val="9"/>
          <w:w w:val="105"/>
        </w:rPr>
        <w:t xml:space="preserve"> </w:t>
      </w:r>
      <w:r w:rsidRPr="00BB7F2A">
        <w:rPr>
          <w:rFonts w:ascii="Calibri" w:hAnsi="Calibri"/>
          <w:color w:val="231F20"/>
          <w:w w:val="105"/>
        </w:rPr>
        <w:t>November 2016</w:t>
      </w:r>
      <w:r w:rsidRPr="00BB7F2A">
        <w:rPr>
          <w:rFonts w:ascii="Calibri" w:hAnsi="Calibri"/>
          <w:color w:val="231F20"/>
          <w:spacing w:val="-4"/>
          <w:w w:val="105"/>
        </w:rPr>
        <w:t xml:space="preserve"> (+36,400,</w:t>
      </w:r>
      <w:r w:rsidRPr="00BB7F2A">
        <w:rPr>
          <w:rFonts w:ascii="Calibri" w:hAnsi="Calibri"/>
          <w:color w:val="231F20"/>
          <w:spacing w:val="9"/>
          <w:w w:val="105"/>
        </w:rPr>
        <w:t xml:space="preserve"> </w:t>
      </w:r>
      <w:r w:rsidRPr="00BB7F2A">
        <w:rPr>
          <w:rFonts w:ascii="Calibri" w:hAnsi="Calibri"/>
          <w:color w:val="231F20"/>
          <w:w w:val="105"/>
        </w:rPr>
        <w:t>+3.1</w:t>
      </w:r>
      <w:r w:rsidRPr="00BB7F2A">
        <w:rPr>
          <w:rFonts w:ascii="Calibri" w:hAnsi="Calibri"/>
          <w:color w:val="231F20"/>
          <w:spacing w:val="9"/>
          <w:w w:val="105"/>
        </w:rPr>
        <w:t xml:space="preserve"> </w:t>
      </w:r>
      <w:r w:rsidRPr="00BB7F2A">
        <w:rPr>
          <w:rFonts w:ascii="Calibri" w:hAnsi="Calibri"/>
          <w:color w:val="231F20"/>
          <w:w w:val="105"/>
        </w:rPr>
        <w:t>percent)</w:t>
      </w:r>
      <w:r w:rsidR="005E7C49">
        <w:rPr>
          <w:rFonts w:ascii="Calibri" w:hAnsi="Calibri"/>
          <w:color w:val="231F20"/>
          <w:w w:val="105"/>
        </w:rPr>
        <w:t xml:space="preserve">. </w:t>
      </w:r>
      <w:r w:rsidRPr="00BB7F2A">
        <w:rPr>
          <w:rFonts w:ascii="Calibri" w:hAnsi="Calibri"/>
          <w:color w:val="231F20"/>
          <w:w w:val="105"/>
        </w:rPr>
        <w:t>The</w:t>
      </w:r>
      <w:r w:rsidRPr="00BB7F2A">
        <w:rPr>
          <w:rFonts w:ascii="Calibri" w:hAnsi="Calibri"/>
          <w:color w:val="231F20"/>
          <w:spacing w:val="-12"/>
          <w:w w:val="105"/>
        </w:rPr>
        <w:t xml:space="preserve"> </w:t>
      </w:r>
      <w:r w:rsidRPr="00BB7F2A">
        <w:rPr>
          <w:rFonts w:ascii="Calibri" w:hAnsi="Calibri"/>
          <w:color w:val="231F20"/>
          <w:w w:val="105"/>
        </w:rPr>
        <w:t>number</w:t>
      </w:r>
      <w:r w:rsidRPr="00BB7F2A">
        <w:rPr>
          <w:rFonts w:ascii="Calibri" w:hAnsi="Calibri"/>
          <w:color w:val="231F20"/>
          <w:spacing w:val="12"/>
          <w:w w:val="105"/>
        </w:rPr>
        <w:t xml:space="preserve"> </w:t>
      </w:r>
      <w:r w:rsidRPr="00BB7F2A">
        <w:rPr>
          <w:rFonts w:ascii="Calibri" w:hAnsi="Calibri"/>
          <w:color w:val="231F20"/>
          <w:w w:val="105"/>
        </w:rPr>
        <w:t>of</w:t>
      </w:r>
      <w:r w:rsidRPr="00BB7F2A">
        <w:rPr>
          <w:rFonts w:ascii="Calibri" w:hAnsi="Calibri"/>
          <w:color w:val="231F20"/>
          <w:spacing w:val="12"/>
          <w:w w:val="105"/>
        </w:rPr>
        <w:t xml:space="preserve"> </w:t>
      </w:r>
      <w:r w:rsidRPr="00BB7F2A">
        <w:rPr>
          <w:rFonts w:ascii="Calibri" w:hAnsi="Calibri"/>
          <w:color w:val="231F20"/>
          <w:w w:val="105"/>
        </w:rPr>
        <w:t>jobs</w:t>
      </w:r>
      <w:r w:rsidRPr="00BB7F2A">
        <w:rPr>
          <w:rFonts w:ascii="Calibri" w:hAnsi="Calibri"/>
          <w:color w:val="231F20"/>
          <w:spacing w:val="12"/>
          <w:w w:val="105"/>
        </w:rPr>
        <w:t xml:space="preserve"> </w:t>
      </w:r>
      <w:r w:rsidRPr="00BB7F2A">
        <w:rPr>
          <w:rFonts w:ascii="Calibri" w:hAnsi="Calibri"/>
          <w:color w:val="231F20"/>
          <w:w w:val="105"/>
        </w:rPr>
        <w:t>in</w:t>
      </w:r>
      <w:r w:rsidRPr="00BB7F2A">
        <w:rPr>
          <w:rFonts w:ascii="Calibri" w:hAnsi="Calibri"/>
          <w:color w:val="231F20"/>
          <w:spacing w:val="12"/>
          <w:w w:val="105"/>
        </w:rPr>
        <w:t xml:space="preserve"> </w:t>
      </w:r>
      <w:r w:rsidRPr="00BB7F2A">
        <w:rPr>
          <w:rFonts w:ascii="Calibri" w:hAnsi="Calibri"/>
          <w:color w:val="231F20"/>
          <w:w w:val="105"/>
        </w:rPr>
        <w:t>this</w:t>
      </w:r>
      <w:r w:rsidRPr="00BB7F2A">
        <w:rPr>
          <w:rFonts w:ascii="Calibri" w:hAnsi="Calibri"/>
          <w:color w:val="231F20"/>
          <w:spacing w:val="12"/>
          <w:w w:val="105"/>
        </w:rPr>
        <w:t xml:space="preserve"> </w:t>
      </w:r>
      <w:r w:rsidRPr="00BB7F2A">
        <w:rPr>
          <w:rFonts w:ascii="Calibri" w:hAnsi="Calibri"/>
          <w:color w:val="231F20"/>
          <w:w w:val="105"/>
        </w:rPr>
        <w:t>sector</w:t>
      </w:r>
      <w:r w:rsidRPr="00BB7F2A">
        <w:rPr>
          <w:rFonts w:ascii="Calibri" w:hAnsi="Calibri"/>
          <w:color w:val="231F20"/>
          <w:spacing w:val="12"/>
          <w:w w:val="105"/>
        </w:rPr>
        <w:t xml:space="preserve"> </w:t>
      </w:r>
      <w:r w:rsidRPr="00BB7F2A">
        <w:rPr>
          <w:rFonts w:ascii="Calibri" w:hAnsi="Calibri"/>
          <w:color w:val="231F20"/>
          <w:w w:val="105"/>
        </w:rPr>
        <w:t>has</w:t>
      </w:r>
      <w:r w:rsidRPr="00BB7F2A">
        <w:rPr>
          <w:rFonts w:ascii="Calibri" w:hAnsi="Calibri"/>
          <w:color w:val="231F20"/>
          <w:spacing w:val="12"/>
          <w:w w:val="105"/>
        </w:rPr>
        <w:t xml:space="preserve"> </w:t>
      </w:r>
      <w:r w:rsidRPr="00BB7F2A">
        <w:rPr>
          <w:rFonts w:ascii="Calibri" w:hAnsi="Calibri"/>
          <w:color w:val="231F20"/>
          <w:w w:val="105"/>
        </w:rPr>
        <w:t>been</w:t>
      </w:r>
      <w:r w:rsidRPr="00BB7F2A">
        <w:rPr>
          <w:rFonts w:ascii="Calibri" w:hAnsi="Calibri"/>
          <w:color w:val="231F20"/>
          <w:spacing w:val="12"/>
          <w:w w:val="105"/>
        </w:rPr>
        <w:t xml:space="preserve"> </w:t>
      </w:r>
      <w:r w:rsidRPr="00BB7F2A">
        <w:rPr>
          <w:rFonts w:ascii="Calibri" w:hAnsi="Calibri"/>
          <w:color w:val="231F20"/>
          <w:w w:val="105"/>
        </w:rPr>
        <w:t>trending</w:t>
      </w:r>
      <w:r w:rsidRPr="00BB7F2A">
        <w:rPr>
          <w:rFonts w:ascii="Calibri" w:hAnsi="Calibri"/>
          <w:color w:val="231F20"/>
          <w:spacing w:val="12"/>
          <w:w w:val="105"/>
        </w:rPr>
        <w:t xml:space="preserve"> </w:t>
      </w:r>
      <w:r w:rsidRPr="00BB7F2A">
        <w:rPr>
          <w:rFonts w:ascii="Calibri" w:hAnsi="Calibri"/>
          <w:color w:val="231F20"/>
          <w:w w:val="105"/>
        </w:rPr>
        <w:t>upward</w:t>
      </w:r>
      <w:r w:rsidRPr="00BB7F2A">
        <w:rPr>
          <w:rFonts w:ascii="Calibri" w:hAnsi="Calibri"/>
          <w:color w:val="231F20"/>
          <w:spacing w:val="12"/>
          <w:w w:val="105"/>
        </w:rPr>
        <w:t xml:space="preserve"> </w:t>
      </w:r>
      <w:r w:rsidRPr="00BB7F2A">
        <w:rPr>
          <w:rFonts w:ascii="Calibri" w:hAnsi="Calibri"/>
          <w:color w:val="231F20"/>
          <w:w w:val="105"/>
        </w:rPr>
        <w:t>over</w:t>
      </w:r>
      <w:r w:rsidRPr="00BB7F2A">
        <w:rPr>
          <w:rFonts w:ascii="Calibri" w:hAnsi="Calibri"/>
          <w:color w:val="231F20"/>
          <w:spacing w:val="12"/>
          <w:w w:val="105"/>
        </w:rPr>
        <w:t xml:space="preserve"> </w:t>
      </w:r>
      <w:r w:rsidRPr="00BB7F2A">
        <w:rPr>
          <w:rFonts w:ascii="Calibri" w:hAnsi="Calibri"/>
          <w:color w:val="231F20"/>
          <w:w w:val="105"/>
        </w:rPr>
        <w:t>the</w:t>
      </w:r>
      <w:r w:rsidRPr="00BB7F2A">
        <w:rPr>
          <w:rFonts w:ascii="Calibri" w:hAnsi="Calibri"/>
          <w:color w:val="231F20"/>
          <w:spacing w:val="12"/>
          <w:w w:val="105"/>
        </w:rPr>
        <w:t xml:space="preserve"> </w:t>
      </w:r>
      <w:r w:rsidRPr="00BB7F2A">
        <w:rPr>
          <w:rFonts w:ascii="Calibri" w:hAnsi="Calibri"/>
          <w:color w:val="231F20"/>
          <w:w w:val="105"/>
        </w:rPr>
        <w:t>past</w:t>
      </w:r>
      <w:r w:rsidRPr="00BB7F2A">
        <w:rPr>
          <w:rFonts w:ascii="Calibri" w:hAnsi="Calibri"/>
          <w:color w:val="231F20"/>
          <w:spacing w:val="12"/>
          <w:w w:val="105"/>
        </w:rPr>
        <w:t xml:space="preserve"> </w:t>
      </w:r>
      <w:r w:rsidRPr="00BB7F2A">
        <w:rPr>
          <w:rFonts w:ascii="Calibri" w:hAnsi="Calibri"/>
          <w:color w:val="231F20"/>
          <w:w w:val="105"/>
        </w:rPr>
        <w:t>seven</w:t>
      </w:r>
      <w:r w:rsidRPr="00BB7F2A">
        <w:rPr>
          <w:rFonts w:ascii="Calibri" w:hAnsi="Calibri"/>
          <w:color w:val="231F20"/>
          <w:spacing w:val="12"/>
          <w:w w:val="105"/>
        </w:rPr>
        <w:t xml:space="preserve"> </w:t>
      </w:r>
      <w:r w:rsidRPr="00BB7F2A">
        <w:rPr>
          <w:rFonts w:ascii="Calibri" w:hAnsi="Calibri"/>
          <w:color w:val="231F20"/>
          <w:w w:val="105"/>
        </w:rPr>
        <w:t>years.</w:t>
      </w:r>
    </w:p>
    <w:p w14:paraId="45056422" w14:textId="77777777" w:rsidR="00002D76" w:rsidRPr="00BB7F2A" w:rsidRDefault="00002D76" w:rsidP="00002D76">
      <w:pPr>
        <w:widowControl w:val="0"/>
        <w:spacing w:before="6" w:after="0" w:line="240" w:lineRule="auto"/>
        <w:rPr>
          <w:rFonts w:ascii="Calibri" w:hAnsi="Calibri" w:cs="Calibri"/>
          <w:sz w:val="16"/>
          <w:szCs w:val="16"/>
        </w:rPr>
      </w:pPr>
    </w:p>
    <w:p w14:paraId="7ADF4FDA" w14:textId="77777777" w:rsidR="00002D76" w:rsidRPr="00041D0F" w:rsidRDefault="00002D76" w:rsidP="00D63204">
      <w:pPr>
        <w:widowControl w:val="0"/>
        <w:spacing w:after="0" w:line="266" w:lineRule="exact"/>
        <w:ind w:left="468" w:right="468"/>
        <w:outlineLvl w:val="2"/>
        <w:rPr>
          <w:rFonts w:ascii="Calibri" w:hAnsi="Calibri"/>
        </w:rPr>
      </w:pPr>
      <w:r w:rsidRPr="00041D0F">
        <w:rPr>
          <w:rFonts w:ascii="Calibri" w:hAnsi="Calibri"/>
          <w:b/>
          <w:bCs/>
          <w:color w:val="231F20"/>
          <w:w w:val="115"/>
        </w:rPr>
        <w:t>Figure</w:t>
      </w:r>
      <w:r w:rsidRPr="00041D0F">
        <w:rPr>
          <w:rFonts w:ascii="Calibri" w:hAnsi="Calibri"/>
          <w:b/>
          <w:bCs/>
          <w:color w:val="231F20"/>
          <w:spacing w:val="-13"/>
          <w:w w:val="115"/>
        </w:rPr>
        <w:t xml:space="preserve"> </w:t>
      </w:r>
      <w:r w:rsidRPr="00041D0F">
        <w:rPr>
          <w:rFonts w:ascii="Calibri" w:hAnsi="Calibri"/>
          <w:b/>
          <w:bCs/>
          <w:color w:val="231F20"/>
          <w:w w:val="115"/>
        </w:rPr>
        <w:t>2.30</w:t>
      </w:r>
    </w:p>
    <w:p w14:paraId="640766CA" w14:textId="19AD5DA9" w:rsidR="00002D76" w:rsidRPr="000E0D3A" w:rsidRDefault="00002D76" w:rsidP="00D63204">
      <w:pPr>
        <w:widowControl w:val="0"/>
        <w:spacing w:before="2" w:after="0" w:line="235" w:lineRule="auto"/>
        <w:ind w:left="2673" w:right="2671"/>
        <w:rPr>
          <w:rFonts w:ascii="Calibri" w:hAnsi="Calibri" w:cs="Calibri"/>
        </w:rPr>
      </w:pPr>
      <w:r w:rsidRPr="00041D0F">
        <w:rPr>
          <w:rFonts w:ascii="Calibri" w:hAnsi="Calibri"/>
          <w:b/>
          <w:color w:val="231F20"/>
          <w:w w:val="110"/>
        </w:rPr>
        <w:t>Florida</w:t>
      </w:r>
      <w:r w:rsidRPr="00041D0F">
        <w:rPr>
          <w:rFonts w:ascii="Calibri" w:hAnsi="Calibri"/>
          <w:b/>
          <w:color w:val="231F20"/>
          <w:spacing w:val="-14"/>
          <w:w w:val="110"/>
        </w:rPr>
        <w:t xml:space="preserve"> </w:t>
      </w:r>
      <w:r w:rsidRPr="00041D0F">
        <w:rPr>
          <w:rFonts w:ascii="Calibri" w:hAnsi="Calibri"/>
          <w:b/>
          <w:color w:val="231F20"/>
          <w:w w:val="110"/>
        </w:rPr>
        <w:t>Leisure</w:t>
      </w:r>
      <w:r w:rsidRPr="00041D0F">
        <w:rPr>
          <w:rFonts w:ascii="Calibri" w:hAnsi="Calibri"/>
          <w:b/>
          <w:color w:val="231F20"/>
          <w:spacing w:val="-14"/>
          <w:w w:val="110"/>
        </w:rPr>
        <w:t xml:space="preserve"> </w:t>
      </w:r>
      <w:r w:rsidRPr="00041D0F">
        <w:rPr>
          <w:rFonts w:ascii="Calibri" w:hAnsi="Calibri"/>
          <w:b/>
          <w:color w:val="231F20"/>
          <w:w w:val="110"/>
        </w:rPr>
        <w:t>and</w:t>
      </w:r>
      <w:r w:rsidRPr="00041D0F">
        <w:rPr>
          <w:rFonts w:ascii="Calibri" w:hAnsi="Calibri"/>
          <w:b/>
          <w:color w:val="231F20"/>
          <w:spacing w:val="-14"/>
          <w:w w:val="110"/>
        </w:rPr>
        <w:t xml:space="preserve"> </w:t>
      </w:r>
      <w:r w:rsidRPr="00041D0F">
        <w:rPr>
          <w:rFonts w:ascii="Calibri" w:hAnsi="Calibri"/>
          <w:b/>
          <w:color w:val="231F20"/>
          <w:w w:val="110"/>
        </w:rPr>
        <w:t>Hospitality</w:t>
      </w:r>
      <w:r w:rsidRPr="00041D0F">
        <w:rPr>
          <w:rFonts w:ascii="Calibri" w:hAnsi="Calibri"/>
          <w:b/>
          <w:color w:val="231F20"/>
          <w:spacing w:val="-14"/>
          <w:w w:val="110"/>
        </w:rPr>
        <w:t xml:space="preserve"> </w:t>
      </w:r>
      <w:r w:rsidRPr="00041D0F">
        <w:rPr>
          <w:rFonts w:ascii="Calibri" w:hAnsi="Calibri"/>
          <w:b/>
          <w:color w:val="231F20"/>
          <w:w w:val="110"/>
        </w:rPr>
        <w:t>Employment</w:t>
      </w:r>
      <w:r w:rsidRPr="00041D0F">
        <w:rPr>
          <w:rFonts w:ascii="Calibri" w:hAnsi="Calibri"/>
          <w:b/>
          <w:color w:val="231F20"/>
          <w:w w:val="107"/>
        </w:rPr>
        <w:t xml:space="preserve"> </w:t>
      </w:r>
      <w:r w:rsidR="000E0D3A" w:rsidRPr="000E0D3A">
        <w:rPr>
          <w:rFonts w:ascii="Calibri" w:hAnsi="Calibri"/>
          <w:color w:val="231F20"/>
          <w:w w:val="107"/>
        </w:rPr>
        <w:t>(</w:t>
      </w:r>
      <w:r w:rsidRPr="000E0D3A">
        <w:rPr>
          <w:rFonts w:ascii="Calibri" w:hAnsi="Calibri"/>
          <w:color w:val="231F20"/>
          <w:w w:val="110"/>
        </w:rPr>
        <w:t>Seasonally</w:t>
      </w:r>
      <w:r w:rsidRPr="000E0D3A">
        <w:rPr>
          <w:rFonts w:ascii="Calibri" w:hAnsi="Calibri"/>
          <w:color w:val="231F20"/>
          <w:spacing w:val="2"/>
          <w:w w:val="110"/>
        </w:rPr>
        <w:t xml:space="preserve"> </w:t>
      </w:r>
      <w:r w:rsidRPr="000E0D3A">
        <w:rPr>
          <w:rFonts w:ascii="Calibri" w:hAnsi="Calibri"/>
          <w:color w:val="231F20"/>
          <w:w w:val="110"/>
        </w:rPr>
        <w:t>Adjusted</w:t>
      </w:r>
      <w:r w:rsidR="000E0D3A">
        <w:rPr>
          <w:rFonts w:ascii="Calibri" w:hAnsi="Calibri"/>
          <w:color w:val="231F20"/>
          <w:w w:val="110"/>
        </w:rPr>
        <w:t>)</w:t>
      </w:r>
    </w:p>
    <w:p w14:paraId="0AFF3252" w14:textId="77777777" w:rsidR="00002D76" w:rsidRPr="00C94275" w:rsidRDefault="00002D76" w:rsidP="00D63204">
      <w:pPr>
        <w:widowControl w:val="0"/>
        <w:spacing w:before="2" w:after="0" w:line="235" w:lineRule="auto"/>
        <w:ind w:left="2673" w:right="2671"/>
        <w:rPr>
          <w:rFonts w:ascii="Calibri" w:hAnsi="Calibri" w:cs="Calibri"/>
        </w:rPr>
      </w:pPr>
      <w:r>
        <w:rPr>
          <w:noProof/>
        </w:rPr>
        <w:drawing>
          <wp:anchor distT="0" distB="0" distL="114300" distR="114300" simplePos="0" relativeHeight="251658255" behindDoc="0" locked="0" layoutInCell="1" allowOverlap="1" wp14:anchorId="3AD16775" wp14:editId="37DCA314">
            <wp:simplePos x="0" y="0"/>
            <wp:positionH relativeFrom="margin">
              <wp:align>center</wp:align>
            </wp:positionH>
            <wp:positionV relativeFrom="paragraph">
              <wp:posOffset>187061</wp:posOffset>
            </wp:positionV>
            <wp:extent cx="5905500" cy="3505200"/>
            <wp:effectExtent l="0" t="0" r="0" b="0"/>
            <wp:wrapTopAndBottom/>
            <wp:docPr id="1402719356" name="Chart 1402719356" descr="The line graph shows leisure and hospitality employment in Florida decreased until 913,800 employed in December 2009. In November 2017, employment in leisure and hospitality employment was 1,197,700. The over the year change in November 2017 (+5,200 jobs, +0.4 percent) was 31,200 less when compared to November 2016 (+36,400, +3.1 percent). Jobs in this sector trended upward over the past seven years.&#10;" title="Figure 2.30 Florida Leisure and Hospitality Employment (Seasonally Adjusted)"/>
            <wp:cNvGraphicFramePr/>
            <a:graphic xmlns:a="http://schemas.openxmlformats.org/drawingml/2006/main">
              <a:graphicData uri="http://schemas.openxmlformats.org/drawingml/2006/chart">
                <c:chart xmlns:c="http://schemas.openxmlformats.org/drawingml/2006/chart" xmlns:r="http://schemas.openxmlformats.org/officeDocument/2006/relationships" r:id="rId90"/>
              </a:graphicData>
            </a:graphic>
          </wp:anchor>
        </w:drawing>
      </w:r>
    </w:p>
    <w:p w14:paraId="7B3A2C95" w14:textId="77777777" w:rsidR="00002D76" w:rsidRPr="00041D0F" w:rsidRDefault="00002D76" w:rsidP="00002D76">
      <w:pPr>
        <w:widowControl w:val="0"/>
        <w:spacing w:before="41" w:after="0" w:line="216" w:lineRule="exact"/>
        <w:ind w:left="720"/>
        <w:rPr>
          <w:rFonts w:ascii="Calibri" w:hAnsi="Calibri" w:cs="Calibri"/>
          <w:sz w:val="18"/>
          <w:szCs w:val="18"/>
        </w:rPr>
      </w:pPr>
      <w:r w:rsidRPr="00041D0F">
        <w:rPr>
          <w:rFonts w:ascii="Calibri" w:hAnsi="Calibri"/>
          <w:w w:val="105"/>
          <w:sz w:val="18"/>
        </w:rPr>
        <w:t xml:space="preserve">Source: </w:t>
      </w:r>
      <w:r>
        <w:rPr>
          <w:rFonts w:ascii="Calibri" w:hAnsi="Calibri"/>
          <w:w w:val="105"/>
          <w:sz w:val="18"/>
        </w:rPr>
        <w:t xml:space="preserve"> </w:t>
      </w:r>
      <w:r w:rsidRPr="00041D0F">
        <w:rPr>
          <w:rFonts w:ascii="Calibri" w:hAnsi="Calibri"/>
          <w:w w:val="105"/>
          <w:sz w:val="18"/>
        </w:rPr>
        <w:t xml:space="preserve">U.S. Department of </w:t>
      </w:r>
      <w:r w:rsidRPr="00041D0F">
        <w:rPr>
          <w:rFonts w:ascii="Calibri" w:hAnsi="Calibri"/>
          <w:spacing w:val="-3"/>
          <w:w w:val="105"/>
          <w:sz w:val="18"/>
        </w:rPr>
        <w:t xml:space="preserve">Labor, </w:t>
      </w:r>
      <w:r w:rsidRPr="00041D0F">
        <w:rPr>
          <w:rFonts w:ascii="Calibri" w:hAnsi="Calibri"/>
          <w:w w:val="105"/>
          <w:sz w:val="18"/>
        </w:rPr>
        <w:t>Bureau of Labor Statistics, Curren</w:t>
      </w:r>
      <w:r>
        <w:rPr>
          <w:rFonts w:ascii="Calibri" w:hAnsi="Calibri"/>
          <w:w w:val="105"/>
          <w:sz w:val="18"/>
        </w:rPr>
        <w:t>t Employment Statistics Program</w:t>
      </w:r>
      <w:r w:rsidRPr="00041D0F">
        <w:rPr>
          <w:rFonts w:ascii="Calibri" w:hAnsi="Calibri"/>
          <w:w w:val="105"/>
          <w:sz w:val="18"/>
        </w:rPr>
        <w:t>, Decem</w:t>
      </w:r>
      <w:r w:rsidRPr="00041D0F">
        <w:rPr>
          <w:rFonts w:ascii="Calibri" w:hAnsi="Calibri"/>
          <w:color w:val="231F20"/>
          <w:w w:val="105"/>
          <w:sz w:val="18"/>
        </w:rPr>
        <w:t>ber 2017</w:t>
      </w:r>
      <w:r>
        <w:rPr>
          <w:rFonts w:ascii="Calibri" w:hAnsi="Calibri"/>
          <w:color w:val="231F20"/>
          <w:w w:val="105"/>
          <w:sz w:val="18"/>
        </w:rPr>
        <w:t>.</w:t>
      </w:r>
    </w:p>
    <w:p w14:paraId="01CD4432" w14:textId="77777777" w:rsidR="00002D76" w:rsidRPr="00EA7458" w:rsidRDefault="00002D76" w:rsidP="00002D76">
      <w:pPr>
        <w:widowControl w:val="0"/>
        <w:spacing w:after="0" w:line="216" w:lineRule="exact"/>
        <w:rPr>
          <w:rFonts w:ascii="Calibri" w:hAnsi="Calibri" w:cs="Calibri"/>
          <w:sz w:val="18"/>
          <w:szCs w:val="18"/>
        </w:rPr>
        <w:sectPr w:rsidR="00002D76" w:rsidRPr="00EA7458">
          <w:pgSz w:w="12240" w:h="15840"/>
          <w:pgMar w:top="1620" w:right="900" w:bottom="820" w:left="900" w:header="812" w:footer="624" w:gutter="0"/>
          <w:cols w:space="720"/>
        </w:sectPr>
      </w:pPr>
    </w:p>
    <w:p w14:paraId="3ABDF394" w14:textId="77777777" w:rsidR="00002D76" w:rsidRPr="00EA7458" w:rsidRDefault="00002D76" w:rsidP="00002D76">
      <w:pPr>
        <w:widowControl w:val="0"/>
        <w:spacing w:before="4" w:after="0" w:line="240" w:lineRule="auto"/>
        <w:rPr>
          <w:rFonts w:ascii="Calibri" w:hAnsi="Calibri" w:cs="Calibri"/>
          <w:sz w:val="14"/>
          <w:szCs w:val="14"/>
        </w:rPr>
      </w:pPr>
    </w:p>
    <w:p w14:paraId="24363E33" w14:textId="77777777" w:rsidR="00002D76" w:rsidRPr="003B4E55" w:rsidRDefault="00002D76" w:rsidP="00D63204">
      <w:pPr>
        <w:widowControl w:val="0"/>
        <w:spacing w:before="63" w:after="0" w:line="240" w:lineRule="auto"/>
        <w:ind w:left="107"/>
        <w:outlineLvl w:val="3"/>
        <w:rPr>
          <w:rFonts w:ascii="Gill Sans MT" w:hAnsi="Gill Sans MT"/>
        </w:rPr>
      </w:pPr>
      <w:bookmarkStart w:id="43" w:name="_bookmark31"/>
      <w:bookmarkEnd w:id="43"/>
      <w:r w:rsidRPr="003B4E55">
        <w:rPr>
          <w:rFonts w:ascii="Gill Sans MT" w:hAnsi="Gill Sans MT"/>
          <w:b/>
          <w:bCs/>
          <w:i/>
          <w:color w:val="231F20"/>
          <w:w w:val="105"/>
        </w:rPr>
        <w:t>Other</w:t>
      </w:r>
      <w:r w:rsidRPr="003B4E55">
        <w:rPr>
          <w:rFonts w:ascii="Gill Sans MT" w:hAnsi="Gill Sans MT"/>
          <w:b/>
          <w:bCs/>
          <w:i/>
          <w:color w:val="231F20"/>
          <w:spacing w:val="-7"/>
          <w:w w:val="105"/>
        </w:rPr>
        <w:t xml:space="preserve"> </w:t>
      </w:r>
      <w:r w:rsidRPr="003B4E55">
        <w:rPr>
          <w:rFonts w:ascii="Gill Sans MT" w:hAnsi="Gill Sans MT"/>
          <w:b/>
          <w:bCs/>
          <w:i/>
          <w:color w:val="231F20"/>
          <w:w w:val="105"/>
        </w:rPr>
        <w:t>Services</w:t>
      </w:r>
    </w:p>
    <w:p w14:paraId="096AF603" w14:textId="0D5835AE" w:rsidR="00CD1C1C" w:rsidRPr="003B4E55" w:rsidRDefault="00CD1C1C" w:rsidP="00D63204">
      <w:pPr>
        <w:widowControl w:val="0"/>
        <w:spacing w:before="2" w:after="0" w:line="264" w:lineRule="exact"/>
        <w:ind w:left="107" w:right="178"/>
        <w:rPr>
          <w:rFonts w:ascii="Calibri" w:hAnsi="Calibri"/>
        </w:rPr>
      </w:pPr>
      <w:r w:rsidRPr="00CD1C1C">
        <w:rPr>
          <w:rFonts w:ascii="Calibri" w:hAnsi="Calibri"/>
          <w:color w:val="231F20"/>
          <w:w w:val="105"/>
        </w:rPr>
        <w:t>The Other</w:t>
      </w:r>
      <w:r w:rsidRPr="00CD1C1C">
        <w:rPr>
          <w:rFonts w:ascii="Calibri" w:hAnsi="Calibri"/>
          <w:color w:val="231F20"/>
          <w:spacing w:val="19"/>
          <w:w w:val="105"/>
        </w:rPr>
        <w:t xml:space="preserve"> </w:t>
      </w:r>
      <w:r w:rsidRPr="00CD1C1C">
        <w:rPr>
          <w:rFonts w:ascii="Calibri" w:hAnsi="Calibri"/>
          <w:color w:val="231F20"/>
          <w:w w:val="105"/>
        </w:rPr>
        <w:t>Services</w:t>
      </w:r>
      <w:r w:rsidRPr="00CD1C1C">
        <w:rPr>
          <w:rFonts w:ascii="Calibri" w:hAnsi="Calibri"/>
          <w:color w:val="231F20"/>
          <w:spacing w:val="19"/>
          <w:w w:val="105"/>
        </w:rPr>
        <w:t xml:space="preserve"> </w:t>
      </w:r>
      <w:r w:rsidRPr="00CD1C1C">
        <w:rPr>
          <w:rFonts w:ascii="Calibri" w:hAnsi="Calibri"/>
          <w:color w:val="231F20"/>
          <w:w w:val="105"/>
        </w:rPr>
        <w:t>sector</w:t>
      </w:r>
      <w:r w:rsidRPr="00CD1C1C">
        <w:rPr>
          <w:rFonts w:ascii="Calibri" w:hAnsi="Calibri"/>
          <w:color w:val="231F20"/>
          <w:spacing w:val="19"/>
          <w:w w:val="105"/>
        </w:rPr>
        <w:t xml:space="preserve"> </w:t>
      </w:r>
      <w:r w:rsidRPr="00CD1C1C">
        <w:rPr>
          <w:rFonts w:ascii="Calibri" w:hAnsi="Calibri"/>
          <w:color w:val="231F20"/>
          <w:w w:val="105"/>
        </w:rPr>
        <w:t>comprises</w:t>
      </w:r>
      <w:r w:rsidRPr="00CD1C1C">
        <w:rPr>
          <w:rFonts w:ascii="Calibri" w:hAnsi="Calibri"/>
          <w:color w:val="231F20"/>
          <w:spacing w:val="19"/>
          <w:w w:val="105"/>
        </w:rPr>
        <w:t xml:space="preserve"> </w:t>
      </w:r>
      <w:r w:rsidRPr="00CD1C1C">
        <w:rPr>
          <w:rFonts w:ascii="Calibri" w:hAnsi="Calibri"/>
          <w:color w:val="231F20"/>
          <w:w w:val="105"/>
        </w:rPr>
        <w:t>establishments</w:t>
      </w:r>
      <w:r w:rsidRPr="00CD1C1C">
        <w:rPr>
          <w:rFonts w:ascii="Calibri" w:hAnsi="Calibri"/>
          <w:color w:val="231F20"/>
          <w:spacing w:val="19"/>
          <w:w w:val="105"/>
        </w:rPr>
        <w:t xml:space="preserve"> </w:t>
      </w:r>
      <w:r w:rsidRPr="00CD1C1C">
        <w:rPr>
          <w:rFonts w:ascii="Calibri" w:hAnsi="Calibri"/>
          <w:color w:val="231F20"/>
          <w:w w:val="105"/>
        </w:rPr>
        <w:t>engaged</w:t>
      </w:r>
      <w:r w:rsidRPr="00CD1C1C">
        <w:rPr>
          <w:rFonts w:ascii="Calibri" w:hAnsi="Calibri"/>
          <w:color w:val="231F20"/>
          <w:spacing w:val="19"/>
          <w:w w:val="105"/>
        </w:rPr>
        <w:t xml:space="preserve"> </w:t>
      </w:r>
      <w:r w:rsidRPr="00CD1C1C">
        <w:rPr>
          <w:rFonts w:ascii="Calibri" w:hAnsi="Calibri"/>
          <w:color w:val="231F20"/>
          <w:w w:val="105"/>
        </w:rPr>
        <w:t>in</w:t>
      </w:r>
      <w:r w:rsidRPr="00CD1C1C">
        <w:rPr>
          <w:rFonts w:ascii="Calibri" w:hAnsi="Calibri"/>
          <w:color w:val="231F20"/>
          <w:spacing w:val="19"/>
          <w:w w:val="105"/>
        </w:rPr>
        <w:t xml:space="preserve"> </w:t>
      </w:r>
      <w:r w:rsidRPr="00CD1C1C">
        <w:rPr>
          <w:rFonts w:ascii="Calibri" w:hAnsi="Calibri"/>
          <w:color w:val="231F20"/>
          <w:w w:val="105"/>
        </w:rPr>
        <w:t>providing</w:t>
      </w:r>
      <w:r w:rsidRPr="00CD1C1C">
        <w:rPr>
          <w:rFonts w:ascii="Calibri" w:hAnsi="Calibri"/>
          <w:color w:val="231F20"/>
          <w:spacing w:val="19"/>
          <w:w w:val="105"/>
        </w:rPr>
        <w:t xml:space="preserve"> </w:t>
      </w:r>
      <w:r w:rsidRPr="00CD1C1C">
        <w:rPr>
          <w:rFonts w:ascii="Calibri" w:hAnsi="Calibri"/>
          <w:color w:val="231F20"/>
          <w:w w:val="105"/>
        </w:rPr>
        <w:t>services</w:t>
      </w:r>
      <w:r w:rsidRPr="00CD1C1C">
        <w:rPr>
          <w:rFonts w:ascii="Calibri" w:hAnsi="Calibri"/>
          <w:color w:val="231F20"/>
          <w:spacing w:val="19"/>
          <w:w w:val="105"/>
        </w:rPr>
        <w:t xml:space="preserve"> </w:t>
      </w:r>
      <w:r w:rsidRPr="00CD1C1C">
        <w:rPr>
          <w:rFonts w:ascii="Calibri" w:hAnsi="Calibri"/>
          <w:color w:val="231F20"/>
          <w:w w:val="105"/>
        </w:rPr>
        <w:t>not</w:t>
      </w:r>
      <w:r w:rsidRPr="00CD1C1C">
        <w:rPr>
          <w:rFonts w:ascii="Calibri" w:hAnsi="Calibri"/>
          <w:color w:val="231F20"/>
          <w:spacing w:val="19"/>
          <w:w w:val="105"/>
        </w:rPr>
        <w:t xml:space="preserve"> </w:t>
      </w:r>
      <w:r w:rsidRPr="00CD1C1C">
        <w:rPr>
          <w:rFonts w:ascii="Calibri" w:hAnsi="Calibri"/>
          <w:color w:val="231F20"/>
          <w:w w:val="105"/>
        </w:rPr>
        <w:t>specifically</w:t>
      </w:r>
      <w:r w:rsidRPr="00CD1C1C">
        <w:rPr>
          <w:rFonts w:ascii="Calibri" w:hAnsi="Calibri"/>
          <w:color w:val="231F20"/>
          <w:spacing w:val="23"/>
          <w:w w:val="105"/>
        </w:rPr>
        <w:t xml:space="preserve"> </w:t>
      </w:r>
      <w:r w:rsidRPr="00CD1C1C">
        <w:rPr>
          <w:rFonts w:ascii="Calibri" w:hAnsi="Calibri"/>
          <w:color w:val="231F20"/>
          <w:w w:val="105"/>
        </w:rPr>
        <w:t>provided</w:t>
      </w:r>
      <w:r w:rsidRPr="00CD1C1C">
        <w:rPr>
          <w:rFonts w:ascii="Calibri" w:hAnsi="Calibri"/>
          <w:color w:val="231F20"/>
          <w:spacing w:val="11"/>
          <w:w w:val="105"/>
        </w:rPr>
        <w:t xml:space="preserve"> </w:t>
      </w:r>
      <w:r w:rsidRPr="00CD1C1C">
        <w:rPr>
          <w:rFonts w:ascii="Calibri" w:hAnsi="Calibri"/>
          <w:color w:val="231F20"/>
          <w:w w:val="105"/>
        </w:rPr>
        <w:t>for</w:t>
      </w:r>
      <w:r w:rsidRPr="00CD1C1C">
        <w:rPr>
          <w:rFonts w:ascii="Calibri" w:hAnsi="Calibri"/>
          <w:color w:val="231F20"/>
          <w:spacing w:val="11"/>
          <w:w w:val="105"/>
        </w:rPr>
        <w:t xml:space="preserve"> </w:t>
      </w:r>
      <w:r w:rsidRPr="00CD1C1C">
        <w:rPr>
          <w:rFonts w:ascii="Calibri" w:hAnsi="Calibri"/>
          <w:color w:val="231F20"/>
          <w:w w:val="105"/>
        </w:rPr>
        <w:t>elsewhere</w:t>
      </w:r>
      <w:r w:rsidRPr="00CD1C1C">
        <w:rPr>
          <w:rFonts w:ascii="Calibri" w:hAnsi="Calibri"/>
          <w:color w:val="231F20"/>
          <w:spacing w:val="11"/>
          <w:w w:val="105"/>
        </w:rPr>
        <w:t xml:space="preserve"> </w:t>
      </w:r>
      <w:r w:rsidRPr="00CD1C1C">
        <w:rPr>
          <w:rFonts w:ascii="Calibri" w:hAnsi="Calibri"/>
          <w:color w:val="231F20"/>
          <w:w w:val="105"/>
        </w:rPr>
        <w:t>in</w:t>
      </w:r>
      <w:r w:rsidRPr="00CD1C1C">
        <w:rPr>
          <w:rFonts w:ascii="Calibri" w:hAnsi="Calibri"/>
          <w:color w:val="231F20"/>
          <w:spacing w:val="11"/>
          <w:w w:val="105"/>
        </w:rPr>
        <w:t xml:space="preserve"> </w:t>
      </w:r>
      <w:r w:rsidRPr="00CD1C1C">
        <w:rPr>
          <w:rFonts w:ascii="Calibri" w:hAnsi="Calibri"/>
          <w:color w:val="231F20"/>
          <w:w w:val="105"/>
        </w:rPr>
        <w:t>the</w:t>
      </w:r>
      <w:r w:rsidRPr="00CD1C1C">
        <w:rPr>
          <w:rFonts w:ascii="Calibri" w:hAnsi="Calibri"/>
          <w:color w:val="231F20"/>
          <w:spacing w:val="11"/>
          <w:w w:val="105"/>
        </w:rPr>
        <w:t xml:space="preserve"> </w:t>
      </w:r>
      <w:r w:rsidRPr="00CD1C1C">
        <w:rPr>
          <w:rFonts w:ascii="Calibri" w:hAnsi="Calibri"/>
          <w:color w:val="231F20"/>
          <w:w w:val="105"/>
        </w:rPr>
        <w:t>industry</w:t>
      </w:r>
      <w:r w:rsidRPr="00CD1C1C">
        <w:rPr>
          <w:rFonts w:ascii="Calibri" w:hAnsi="Calibri"/>
          <w:color w:val="231F20"/>
          <w:spacing w:val="11"/>
          <w:w w:val="105"/>
        </w:rPr>
        <w:t xml:space="preserve"> </w:t>
      </w:r>
      <w:r w:rsidRPr="00CD1C1C">
        <w:rPr>
          <w:rFonts w:ascii="Calibri" w:hAnsi="Calibri"/>
          <w:color w:val="231F20"/>
          <w:w w:val="105"/>
        </w:rPr>
        <w:t>classification</w:t>
      </w:r>
      <w:r w:rsidRPr="00CD1C1C">
        <w:rPr>
          <w:rFonts w:ascii="Calibri" w:hAnsi="Calibri"/>
          <w:color w:val="231F20"/>
          <w:spacing w:val="11"/>
          <w:w w:val="105"/>
        </w:rPr>
        <w:t xml:space="preserve"> </w:t>
      </w:r>
      <w:r w:rsidRPr="00CD1C1C">
        <w:rPr>
          <w:rFonts w:ascii="Calibri" w:hAnsi="Calibri"/>
          <w:color w:val="231F20"/>
          <w:w w:val="105"/>
        </w:rPr>
        <w:t>system. Examples</w:t>
      </w:r>
      <w:r w:rsidRPr="00CD1C1C">
        <w:rPr>
          <w:rFonts w:ascii="Calibri" w:hAnsi="Calibri"/>
          <w:color w:val="231F20"/>
          <w:spacing w:val="11"/>
          <w:w w:val="105"/>
        </w:rPr>
        <w:t xml:space="preserve"> </w:t>
      </w:r>
      <w:r w:rsidRPr="00CD1C1C">
        <w:rPr>
          <w:rFonts w:ascii="Calibri" w:hAnsi="Calibri"/>
          <w:color w:val="231F20"/>
          <w:w w:val="105"/>
        </w:rPr>
        <w:t>range</w:t>
      </w:r>
      <w:r w:rsidRPr="00CD1C1C">
        <w:rPr>
          <w:rFonts w:ascii="Calibri" w:hAnsi="Calibri"/>
          <w:color w:val="231F20"/>
          <w:spacing w:val="11"/>
          <w:w w:val="105"/>
        </w:rPr>
        <w:t xml:space="preserve"> </w:t>
      </w:r>
      <w:r w:rsidRPr="00CD1C1C">
        <w:rPr>
          <w:rFonts w:ascii="Calibri" w:hAnsi="Calibri"/>
          <w:color w:val="231F20"/>
          <w:w w:val="105"/>
        </w:rPr>
        <w:t>from</w:t>
      </w:r>
      <w:r w:rsidRPr="00CD1C1C">
        <w:rPr>
          <w:rFonts w:ascii="Calibri" w:hAnsi="Calibri"/>
          <w:color w:val="231F20"/>
          <w:spacing w:val="11"/>
          <w:w w:val="105"/>
        </w:rPr>
        <w:t xml:space="preserve"> </w:t>
      </w:r>
      <w:r w:rsidRPr="00CD1C1C">
        <w:rPr>
          <w:rFonts w:ascii="Calibri" w:hAnsi="Calibri"/>
          <w:color w:val="231F20"/>
          <w:w w:val="105"/>
        </w:rPr>
        <w:t>automotive</w:t>
      </w:r>
      <w:r w:rsidRPr="00CD1C1C">
        <w:rPr>
          <w:rFonts w:ascii="Calibri" w:hAnsi="Calibri"/>
          <w:color w:val="231F20"/>
          <w:spacing w:val="11"/>
          <w:w w:val="105"/>
        </w:rPr>
        <w:t xml:space="preserve"> </w:t>
      </w:r>
      <w:r w:rsidRPr="00CD1C1C">
        <w:rPr>
          <w:rFonts w:ascii="Calibri" w:hAnsi="Calibri"/>
          <w:color w:val="231F20"/>
          <w:w w:val="105"/>
        </w:rPr>
        <w:t>repair</w:t>
      </w:r>
      <w:r w:rsidRPr="00CD1C1C">
        <w:rPr>
          <w:rFonts w:ascii="Calibri" w:hAnsi="Calibri"/>
          <w:color w:val="231F20"/>
          <w:spacing w:val="11"/>
          <w:w w:val="105"/>
        </w:rPr>
        <w:t xml:space="preserve"> </w:t>
      </w:r>
      <w:r w:rsidRPr="00CD1C1C">
        <w:rPr>
          <w:rFonts w:ascii="Calibri" w:hAnsi="Calibri"/>
          <w:color w:val="231F20"/>
          <w:w w:val="105"/>
        </w:rPr>
        <w:t>and</w:t>
      </w:r>
      <w:r w:rsidRPr="00CD1C1C">
        <w:rPr>
          <w:rFonts w:ascii="Calibri" w:hAnsi="Calibri"/>
          <w:color w:val="231F20"/>
          <w:spacing w:val="-35"/>
          <w:w w:val="105"/>
        </w:rPr>
        <w:t xml:space="preserve"> </w:t>
      </w:r>
      <w:r w:rsidRPr="00CD1C1C">
        <w:rPr>
          <w:rFonts w:ascii="Calibri" w:hAnsi="Calibri"/>
          <w:color w:val="231F20"/>
          <w:w w:val="105"/>
        </w:rPr>
        <w:t>maintenance</w:t>
      </w:r>
      <w:r w:rsidRPr="00CD1C1C">
        <w:rPr>
          <w:rFonts w:ascii="Calibri" w:hAnsi="Calibri"/>
          <w:color w:val="231F20"/>
          <w:spacing w:val="8"/>
          <w:w w:val="105"/>
        </w:rPr>
        <w:t xml:space="preserve"> </w:t>
      </w:r>
      <w:r w:rsidRPr="00CD1C1C">
        <w:rPr>
          <w:rFonts w:ascii="Calibri" w:hAnsi="Calibri"/>
          <w:color w:val="231F20"/>
          <w:w w:val="105"/>
        </w:rPr>
        <w:t>to</w:t>
      </w:r>
      <w:r w:rsidRPr="00CD1C1C">
        <w:rPr>
          <w:rFonts w:ascii="Calibri" w:hAnsi="Calibri"/>
          <w:color w:val="231F20"/>
          <w:spacing w:val="8"/>
          <w:w w:val="105"/>
        </w:rPr>
        <w:t xml:space="preserve"> </w:t>
      </w:r>
      <w:r w:rsidRPr="00CD1C1C">
        <w:rPr>
          <w:rFonts w:ascii="Calibri" w:hAnsi="Calibri"/>
          <w:color w:val="231F20"/>
          <w:w w:val="105"/>
        </w:rPr>
        <w:t>environment,</w:t>
      </w:r>
      <w:r w:rsidRPr="00CD1C1C">
        <w:rPr>
          <w:rFonts w:ascii="Calibri" w:hAnsi="Calibri"/>
          <w:color w:val="231F20"/>
          <w:spacing w:val="8"/>
          <w:w w:val="105"/>
        </w:rPr>
        <w:t xml:space="preserve"> </w:t>
      </w:r>
      <w:r w:rsidRPr="00CD1C1C">
        <w:rPr>
          <w:rFonts w:ascii="Calibri" w:hAnsi="Calibri"/>
          <w:color w:val="231F20"/>
          <w:w w:val="105"/>
        </w:rPr>
        <w:t>conservation</w:t>
      </w:r>
      <w:r w:rsidR="00D5537E">
        <w:rPr>
          <w:rFonts w:ascii="Calibri" w:hAnsi="Calibri"/>
          <w:color w:val="231F20"/>
          <w:w w:val="105"/>
        </w:rPr>
        <w:t xml:space="preserve"> and</w:t>
      </w:r>
      <w:r w:rsidRPr="00CD1C1C">
        <w:rPr>
          <w:rFonts w:ascii="Calibri" w:hAnsi="Calibri"/>
          <w:color w:val="231F20"/>
          <w:spacing w:val="8"/>
          <w:w w:val="105"/>
        </w:rPr>
        <w:t xml:space="preserve"> </w:t>
      </w:r>
      <w:r w:rsidRPr="00CD1C1C">
        <w:rPr>
          <w:rFonts w:ascii="Calibri" w:hAnsi="Calibri"/>
          <w:color w:val="231F20"/>
          <w:w w:val="105"/>
        </w:rPr>
        <w:t>wildlife</w:t>
      </w:r>
      <w:r w:rsidRPr="00CD1C1C">
        <w:rPr>
          <w:rFonts w:ascii="Calibri" w:hAnsi="Calibri"/>
          <w:color w:val="231F20"/>
          <w:spacing w:val="8"/>
          <w:w w:val="105"/>
        </w:rPr>
        <w:t xml:space="preserve"> </w:t>
      </w:r>
      <w:r w:rsidRPr="00CD1C1C">
        <w:rPr>
          <w:rFonts w:ascii="Calibri" w:hAnsi="Calibri"/>
          <w:color w:val="231F20"/>
          <w:w w:val="105"/>
        </w:rPr>
        <w:t>organizations. Other</w:t>
      </w:r>
      <w:r w:rsidRPr="00CD1C1C">
        <w:rPr>
          <w:rFonts w:ascii="Calibri" w:hAnsi="Calibri"/>
          <w:color w:val="231F20"/>
          <w:spacing w:val="8"/>
          <w:w w:val="105"/>
        </w:rPr>
        <w:t xml:space="preserve"> </w:t>
      </w:r>
      <w:r w:rsidRPr="00CD1C1C">
        <w:rPr>
          <w:rFonts w:ascii="Calibri" w:hAnsi="Calibri"/>
          <w:color w:val="231F20"/>
          <w:w w:val="105"/>
        </w:rPr>
        <w:t>services</w:t>
      </w:r>
      <w:r w:rsidRPr="00CD1C1C">
        <w:rPr>
          <w:rFonts w:ascii="Calibri" w:hAnsi="Calibri"/>
          <w:color w:val="231F20"/>
          <w:spacing w:val="8"/>
          <w:w w:val="105"/>
        </w:rPr>
        <w:t xml:space="preserve"> </w:t>
      </w:r>
      <w:r w:rsidRPr="00CD1C1C">
        <w:rPr>
          <w:rFonts w:ascii="Calibri" w:hAnsi="Calibri"/>
          <w:color w:val="231F20"/>
          <w:w w:val="105"/>
        </w:rPr>
        <w:t>employment</w:t>
      </w:r>
      <w:r w:rsidRPr="00CD1C1C">
        <w:rPr>
          <w:rFonts w:ascii="Calibri" w:hAnsi="Calibri"/>
          <w:color w:val="231F20"/>
          <w:spacing w:val="8"/>
          <w:w w:val="105"/>
        </w:rPr>
        <w:t xml:space="preserve"> </w:t>
      </w:r>
      <w:r w:rsidRPr="00CD1C1C">
        <w:rPr>
          <w:rFonts w:ascii="Calibri" w:hAnsi="Calibri"/>
          <w:color w:val="231F20"/>
          <w:w w:val="105"/>
        </w:rPr>
        <w:t>in</w:t>
      </w:r>
      <w:r w:rsidRPr="00CD1C1C">
        <w:rPr>
          <w:rFonts w:ascii="Calibri" w:hAnsi="Calibri"/>
          <w:color w:val="231F20"/>
          <w:spacing w:val="-15"/>
          <w:w w:val="105"/>
        </w:rPr>
        <w:t xml:space="preserve"> </w:t>
      </w:r>
      <w:r w:rsidRPr="00CD1C1C">
        <w:rPr>
          <w:rFonts w:ascii="Calibri" w:hAnsi="Calibri"/>
          <w:color w:val="231F20"/>
          <w:w w:val="105"/>
        </w:rPr>
        <w:t>Florida</w:t>
      </w:r>
      <w:r w:rsidRPr="00CD1C1C">
        <w:rPr>
          <w:rFonts w:ascii="Calibri" w:hAnsi="Calibri"/>
          <w:color w:val="231F20"/>
          <w:spacing w:val="19"/>
          <w:w w:val="105"/>
        </w:rPr>
        <w:t xml:space="preserve"> </w:t>
      </w:r>
      <w:r w:rsidRPr="00CD1C1C">
        <w:rPr>
          <w:rFonts w:ascii="Calibri" w:hAnsi="Calibri"/>
          <w:color w:val="231F20"/>
          <w:w w:val="105"/>
        </w:rPr>
        <w:t>experienced</w:t>
      </w:r>
      <w:r w:rsidRPr="00CD1C1C">
        <w:rPr>
          <w:rFonts w:ascii="Calibri" w:hAnsi="Calibri"/>
          <w:color w:val="231F20"/>
          <w:spacing w:val="19"/>
          <w:w w:val="105"/>
        </w:rPr>
        <w:t xml:space="preserve"> </w:t>
      </w:r>
      <w:r w:rsidRPr="00CD1C1C">
        <w:rPr>
          <w:rFonts w:ascii="Calibri" w:hAnsi="Calibri"/>
          <w:color w:val="231F20"/>
          <w:w w:val="105"/>
        </w:rPr>
        <w:t>large</w:t>
      </w:r>
      <w:r w:rsidRPr="00CD1C1C">
        <w:rPr>
          <w:rFonts w:ascii="Calibri" w:hAnsi="Calibri"/>
          <w:color w:val="231F20"/>
          <w:spacing w:val="19"/>
          <w:w w:val="105"/>
        </w:rPr>
        <w:t xml:space="preserve"> </w:t>
      </w:r>
      <w:r w:rsidRPr="00CD1C1C">
        <w:rPr>
          <w:rFonts w:ascii="Calibri" w:hAnsi="Calibri"/>
          <w:color w:val="231F20"/>
          <w:w w:val="105"/>
        </w:rPr>
        <w:t>declines</w:t>
      </w:r>
      <w:r w:rsidRPr="00CD1C1C">
        <w:rPr>
          <w:rFonts w:ascii="Calibri" w:hAnsi="Calibri"/>
          <w:color w:val="231F20"/>
          <w:spacing w:val="19"/>
          <w:w w:val="105"/>
        </w:rPr>
        <w:t xml:space="preserve"> </w:t>
      </w:r>
      <w:r w:rsidRPr="00CD1C1C">
        <w:rPr>
          <w:rFonts w:ascii="Calibri" w:hAnsi="Calibri"/>
          <w:color w:val="231F20"/>
          <w:w w:val="105"/>
        </w:rPr>
        <w:t>from</w:t>
      </w:r>
      <w:r w:rsidRPr="00CD1C1C">
        <w:rPr>
          <w:rFonts w:ascii="Calibri" w:hAnsi="Calibri"/>
          <w:color w:val="231F20"/>
          <w:spacing w:val="19"/>
          <w:w w:val="105"/>
        </w:rPr>
        <w:t xml:space="preserve"> </w:t>
      </w:r>
      <w:r w:rsidRPr="00CD1C1C">
        <w:rPr>
          <w:rFonts w:ascii="Calibri" w:hAnsi="Calibri"/>
          <w:color w:val="231F20"/>
          <w:w w:val="105"/>
        </w:rPr>
        <w:t>2007</w:t>
      </w:r>
      <w:r w:rsidRPr="00CD1C1C">
        <w:rPr>
          <w:rFonts w:ascii="Calibri" w:hAnsi="Calibri"/>
          <w:color w:val="231F20"/>
          <w:spacing w:val="19"/>
          <w:w w:val="105"/>
        </w:rPr>
        <w:t xml:space="preserve"> </w:t>
      </w:r>
      <w:r w:rsidRPr="00CD1C1C">
        <w:rPr>
          <w:rFonts w:ascii="Calibri" w:hAnsi="Calibri"/>
          <w:color w:val="231F20"/>
          <w:w w:val="105"/>
        </w:rPr>
        <w:t>to</w:t>
      </w:r>
      <w:r w:rsidRPr="00CD1C1C">
        <w:rPr>
          <w:rFonts w:ascii="Calibri" w:hAnsi="Calibri"/>
          <w:color w:val="231F20"/>
          <w:spacing w:val="19"/>
          <w:w w:val="105"/>
        </w:rPr>
        <w:t xml:space="preserve"> </w:t>
      </w:r>
      <w:r w:rsidRPr="00CD1C1C">
        <w:rPr>
          <w:rFonts w:ascii="Calibri" w:hAnsi="Calibri"/>
          <w:color w:val="231F20"/>
          <w:w w:val="105"/>
        </w:rPr>
        <w:t>around</w:t>
      </w:r>
      <w:r w:rsidRPr="00CD1C1C">
        <w:rPr>
          <w:rFonts w:ascii="Calibri" w:hAnsi="Calibri"/>
          <w:color w:val="231F20"/>
          <w:spacing w:val="19"/>
          <w:w w:val="105"/>
        </w:rPr>
        <w:t xml:space="preserve"> </w:t>
      </w:r>
      <w:r w:rsidRPr="00CD1C1C">
        <w:rPr>
          <w:rFonts w:ascii="Calibri" w:hAnsi="Calibri"/>
          <w:color w:val="231F20"/>
          <w:w w:val="105"/>
        </w:rPr>
        <w:t>2009. Industry</w:t>
      </w:r>
      <w:r w:rsidRPr="00CD1C1C">
        <w:rPr>
          <w:rFonts w:ascii="Calibri" w:hAnsi="Calibri"/>
          <w:color w:val="231F20"/>
          <w:spacing w:val="19"/>
          <w:w w:val="105"/>
        </w:rPr>
        <w:t xml:space="preserve"> </w:t>
      </w:r>
      <w:r w:rsidRPr="00CD1C1C">
        <w:rPr>
          <w:rFonts w:ascii="Calibri" w:hAnsi="Calibri"/>
          <w:color w:val="231F20"/>
          <w:w w:val="105"/>
        </w:rPr>
        <w:t>employment</w:t>
      </w:r>
      <w:r w:rsidRPr="00CD1C1C">
        <w:rPr>
          <w:rFonts w:ascii="Calibri" w:hAnsi="Calibri"/>
          <w:color w:val="231F20"/>
          <w:spacing w:val="19"/>
          <w:w w:val="105"/>
        </w:rPr>
        <w:t xml:space="preserve"> </w:t>
      </w:r>
      <w:r w:rsidRPr="00CD1C1C">
        <w:rPr>
          <w:rFonts w:ascii="Calibri" w:hAnsi="Calibri"/>
          <w:color w:val="231F20"/>
          <w:w w:val="105"/>
        </w:rPr>
        <w:t>is</w:t>
      </w:r>
      <w:r w:rsidRPr="00CD1C1C">
        <w:rPr>
          <w:rFonts w:ascii="Calibri" w:hAnsi="Calibri"/>
          <w:color w:val="231F20"/>
          <w:spacing w:val="19"/>
          <w:w w:val="105"/>
        </w:rPr>
        <w:t xml:space="preserve"> </w:t>
      </w:r>
      <w:r w:rsidRPr="00CD1C1C">
        <w:rPr>
          <w:rFonts w:ascii="Calibri" w:hAnsi="Calibri"/>
          <w:color w:val="231F20"/>
          <w:w w:val="105"/>
        </w:rPr>
        <w:t>currently</w:t>
      </w:r>
      <w:r w:rsidRPr="00CD1C1C">
        <w:rPr>
          <w:rFonts w:ascii="Calibri" w:hAnsi="Calibri"/>
          <w:color w:val="231F20"/>
          <w:spacing w:val="19"/>
          <w:w w:val="105"/>
        </w:rPr>
        <w:t xml:space="preserve"> </w:t>
      </w:r>
      <w:r w:rsidRPr="00CD1C1C">
        <w:rPr>
          <w:rFonts w:ascii="Calibri" w:hAnsi="Calibri"/>
          <w:color w:val="231F20"/>
          <w:w w:val="105"/>
        </w:rPr>
        <w:t>above</w:t>
      </w:r>
      <w:r w:rsidRPr="00CD1C1C">
        <w:rPr>
          <w:rFonts w:ascii="Calibri" w:hAnsi="Calibri"/>
          <w:color w:val="231F20"/>
          <w:spacing w:val="19"/>
          <w:w w:val="105"/>
        </w:rPr>
        <w:t xml:space="preserve"> </w:t>
      </w:r>
      <w:r w:rsidRPr="00CD1C1C">
        <w:rPr>
          <w:rFonts w:ascii="Calibri" w:hAnsi="Calibri"/>
          <w:color w:val="231F20"/>
          <w:w w:val="105"/>
        </w:rPr>
        <w:t>its</w:t>
      </w:r>
      <w:r w:rsidRPr="00CD1C1C">
        <w:rPr>
          <w:rFonts w:ascii="Calibri" w:hAnsi="Calibri"/>
          <w:color w:val="231F20"/>
          <w:w w:val="103"/>
        </w:rPr>
        <w:t xml:space="preserve"> </w:t>
      </w:r>
      <w:r w:rsidRPr="00CD1C1C">
        <w:rPr>
          <w:rFonts w:ascii="Calibri" w:hAnsi="Calibri"/>
          <w:color w:val="231F20"/>
          <w:w w:val="105"/>
        </w:rPr>
        <w:t>previous</w:t>
      </w:r>
      <w:r w:rsidRPr="00CD1C1C">
        <w:rPr>
          <w:rFonts w:ascii="Calibri" w:hAnsi="Calibri"/>
          <w:color w:val="231F20"/>
          <w:spacing w:val="44"/>
          <w:w w:val="105"/>
        </w:rPr>
        <w:t xml:space="preserve"> </w:t>
      </w:r>
      <w:r w:rsidRPr="00CD1C1C">
        <w:rPr>
          <w:rFonts w:ascii="Calibri" w:hAnsi="Calibri"/>
          <w:color w:val="231F20"/>
          <w:w w:val="105"/>
        </w:rPr>
        <w:t>peak.</w:t>
      </w:r>
    </w:p>
    <w:p w14:paraId="365B95D1" w14:textId="77777777" w:rsidR="00002D76" w:rsidRPr="003B4E55" w:rsidRDefault="00002D76" w:rsidP="00D63204">
      <w:pPr>
        <w:widowControl w:val="0"/>
        <w:spacing w:before="5" w:after="0" w:line="240" w:lineRule="auto"/>
        <w:rPr>
          <w:rFonts w:ascii="Calibri" w:hAnsi="Calibri" w:cs="Calibri"/>
          <w:sz w:val="16"/>
          <w:szCs w:val="16"/>
        </w:rPr>
      </w:pPr>
    </w:p>
    <w:p w14:paraId="728F3CA7" w14:textId="30990344" w:rsidR="00002D76" w:rsidRPr="006051C4" w:rsidRDefault="00002D76" w:rsidP="00D63204">
      <w:pPr>
        <w:widowControl w:val="0"/>
        <w:spacing w:after="0" w:line="264" w:lineRule="exact"/>
        <w:ind w:left="107" w:right="192"/>
        <w:rPr>
          <w:rFonts w:ascii="Calibri" w:hAnsi="Calibri"/>
        </w:rPr>
      </w:pPr>
      <w:r w:rsidRPr="003B4E55">
        <w:rPr>
          <w:rFonts w:ascii="Calibri" w:hAnsi="Calibri"/>
          <w:color w:val="231F20"/>
          <w:w w:val="105"/>
        </w:rPr>
        <w:t>In</w:t>
      </w:r>
      <w:r w:rsidRPr="003B4E55">
        <w:rPr>
          <w:rFonts w:ascii="Calibri" w:hAnsi="Calibri"/>
          <w:color w:val="231F20"/>
          <w:spacing w:val="15"/>
          <w:w w:val="105"/>
        </w:rPr>
        <w:t xml:space="preserve"> </w:t>
      </w:r>
      <w:r w:rsidRPr="003B4E55">
        <w:rPr>
          <w:rFonts w:ascii="Calibri" w:hAnsi="Calibri"/>
          <w:color w:val="231F20"/>
          <w:w w:val="105"/>
        </w:rPr>
        <w:t>November 2017,</w:t>
      </w:r>
      <w:r w:rsidRPr="003B4E55">
        <w:rPr>
          <w:rFonts w:ascii="Calibri" w:hAnsi="Calibri"/>
          <w:color w:val="231F20"/>
          <w:spacing w:val="15"/>
          <w:w w:val="105"/>
        </w:rPr>
        <w:t xml:space="preserve"> </w:t>
      </w:r>
      <w:r w:rsidRPr="003B4E55">
        <w:rPr>
          <w:rFonts w:ascii="Calibri" w:hAnsi="Calibri"/>
          <w:color w:val="231F20"/>
          <w:w w:val="105"/>
        </w:rPr>
        <w:t>employment</w:t>
      </w:r>
      <w:r w:rsidRPr="003B4E55">
        <w:rPr>
          <w:rFonts w:ascii="Calibri" w:hAnsi="Calibri"/>
          <w:color w:val="231F20"/>
          <w:spacing w:val="15"/>
          <w:w w:val="105"/>
        </w:rPr>
        <w:t xml:space="preserve"> </w:t>
      </w:r>
      <w:r w:rsidRPr="003B4E55">
        <w:rPr>
          <w:rFonts w:ascii="Calibri" w:hAnsi="Calibri"/>
          <w:color w:val="231F20"/>
          <w:w w:val="105"/>
        </w:rPr>
        <w:t>was</w:t>
      </w:r>
      <w:r w:rsidRPr="003B4E55">
        <w:rPr>
          <w:rFonts w:ascii="Calibri" w:hAnsi="Calibri"/>
          <w:color w:val="231F20"/>
          <w:spacing w:val="15"/>
          <w:w w:val="105"/>
        </w:rPr>
        <w:t xml:space="preserve"> </w:t>
      </w:r>
      <w:r w:rsidRPr="003B4E55">
        <w:rPr>
          <w:rFonts w:ascii="Calibri" w:hAnsi="Calibri"/>
          <w:color w:val="231F20"/>
          <w:w w:val="105"/>
        </w:rPr>
        <w:t>369,400</w:t>
      </w:r>
      <w:r w:rsidR="005E7C49">
        <w:rPr>
          <w:rFonts w:ascii="Calibri" w:hAnsi="Calibri"/>
          <w:color w:val="231F20"/>
          <w:w w:val="105"/>
        </w:rPr>
        <w:t xml:space="preserve">. </w:t>
      </w:r>
      <w:r w:rsidRPr="003B4E55">
        <w:rPr>
          <w:rFonts w:ascii="Calibri" w:hAnsi="Calibri"/>
          <w:color w:val="231F20"/>
          <w:w w:val="105"/>
        </w:rPr>
        <w:t>The</w:t>
      </w:r>
      <w:r w:rsidRPr="003B4E55">
        <w:rPr>
          <w:rFonts w:ascii="Calibri" w:hAnsi="Calibri"/>
          <w:color w:val="231F20"/>
          <w:spacing w:val="15"/>
          <w:w w:val="105"/>
        </w:rPr>
        <w:t xml:space="preserve"> </w:t>
      </w:r>
      <w:r w:rsidRPr="003B4E55">
        <w:rPr>
          <w:rFonts w:ascii="Calibri" w:hAnsi="Calibri"/>
          <w:color w:val="231F20"/>
          <w:w w:val="105"/>
        </w:rPr>
        <w:t>over</w:t>
      </w:r>
      <w:r w:rsidR="00D94B7F">
        <w:rPr>
          <w:rFonts w:ascii="Calibri" w:hAnsi="Calibri"/>
          <w:color w:val="231F20"/>
          <w:spacing w:val="15"/>
          <w:w w:val="105"/>
        </w:rPr>
        <w:t>-</w:t>
      </w:r>
      <w:r w:rsidRPr="003B4E55">
        <w:rPr>
          <w:rFonts w:ascii="Calibri" w:hAnsi="Calibri"/>
          <w:color w:val="231F20"/>
          <w:w w:val="105"/>
        </w:rPr>
        <w:t>the</w:t>
      </w:r>
      <w:r w:rsidR="00D94B7F">
        <w:rPr>
          <w:rFonts w:ascii="Calibri" w:hAnsi="Calibri"/>
          <w:color w:val="231F20"/>
          <w:spacing w:val="15"/>
          <w:w w:val="105"/>
        </w:rPr>
        <w:t>-</w:t>
      </w:r>
      <w:r w:rsidRPr="003B4E55">
        <w:rPr>
          <w:rFonts w:ascii="Calibri" w:hAnsi="Calibri"/>
          <w:color w:val="231F20"/>
          <w:w w:val="105"/>
        </w:rPr>
        <w:t>year</w:t>
      </w:r>
      <w:r w:rsidRPr="003B4E55">
        <w:rPr>
          <w:rFonts w:ascii="Calibri" w:hAnsi="Calibri"/>
          <w:color w:val="231F20"/>
          <w:spacing w:val="15"/>
          <w:w w:val="105"/>
        </w:rPr>
        <w:t xml:space="preserve"> </w:t>
      </w:r>
      <w:r w:rsidRPr="003B4E55">
        <w:rPr>
          <w:rFonts w:ascii="Calibri" w:hAnsi="Calibri"/>
          <w:color w:val="231F20"/>
          <w:w w:val="105"/>
        </w:rPr>
        <w:t>change</w:t>
      </w:r>
      <w:r w:rsidRPr="003B4E55">
        <w:rPr>
          <w:rFonts w:ascii="Calibri" w:hAnsi="Calibri"/>
          <w:color w:val="231F20"/>
          <w:spacing w:val="15"/>
          <w:w w:val="105"/>
        </w:rPr>
        <w:t xml:space="preserve"> </w:t>
      </w:r>
      <w:r w:rsidRPr="003B4E55">
        <w:rPr>
          <w:rFonts w:ascii="Calibri" w:hAnsi="Calibri"/>
          <w:color w:val="231F20"/>
          <w:w w:val="105"/>
        </w:rPr>
        <w:t>in</w:t>
      </w:r>
      <w:r w:rsidRPr="003B4E55">
        <w:rPr>
          <w:rFonts w:ascii="Calibri" w:hAnsi="Calibri"/>
          <w:color w:val="231F20"/>
          <w:spacing w:val="15"/>
          <w:w w:val="105"/>
        </w:rPr>
        <w:t xml:space="preserve"> </w:t>
      </w:r>
      <w:r w:rsidRPr="003B4E55">
        <w:rPr>
          <w:rFonts w:ascii="Calibri" w:hAnsi="Calibri"/>
          <w:color w:val="231F20"/>
          <w:w w:val="105"/>
        </w:rPr>
        <w:t>November 2017</w:t>
      </w:r>
      <w:r w:rsidRPr="003B4E55">
        <w:rPr>
          <w:rFonts w:ascii="Calibri" w:hAnsi="Calibri"/>
          <w:color w:val="231F20"/>
          <w:spacing w:val="15"/>
          <w:w w:val="105"/>
        </w:rPr>
        <w:t xml:space="preserve"> </w:t>
      </w:r>
      <w:r w:rsidRPr="003B4E55">
        <w:rPr>
          <w:rFonts w:ascii="Calibri" w:hAnsi="Calibri"/>
          <w:color w:val="231F20"/>
          <w:w w:val="105"/>
        </w:rPr>
        <w:t>(+13,500</w:t>
      </w:r>
      <w:r w:rsidRPr="006051C4">
        <w:rPr>
          <w:rFonts w:ascii="Calibri" w:hAnsi="Calibri"/>
          <w:color w:val="231F20"/>
          <w:w w:val="103"/>
        </w:rPr>
        <w:t xml:space="preserve"> </w:t>
      </w:r>
      <w:r w:rsidRPr="006051C4">
        <w:rPr>
          <w:rFonts w:ascii="Calibri" w:hAnsi="Calibri"/>
          <w:color w:val="231F20"/>
          <w:w w:val="105"/>
        </w:rPr>
        <w:t>jobs,</w:t>
      </w:r>
      <w:r w:rsidRPr="006051C4">
        <w:rPr>
          <w:rFonts w:ascii="Calibri" w:hAnsi="Calibri"/>
          <w:color w:val="231F20"/>
          <w:spacing w:val="8"/>
          <w:w w:val="105"/>
        </w:rPr>
        <w:t xml:space="preserve"> </w:t>
      </w:r>
      <w:r w:rsidRPr="006051C4">
        <w:rPr>
          <w:rFonts w:ascii="Calibri" w:hAnsi="Calibri"/>
          <w:color w:val="231F20"/>
          <w:spacing w:val="-4"/>
          <w:w w:val="105"/>
        </w:rPr>
        <w:t>+3.8</w:t>
      </w:r>
      <w:r w:rsidRPr="006051C4">
        <w:rPr>
          <w:rFonts w:ascii="Calibri" w:hAnsi="Calibri"/>
          <w:color w:val="231F20"/>
          <w:spacing w:val="8"/>
          <w:w w:val="105"/>
        </w:rPr>
        <w:t xml:space="preserve"> </w:t>
      </w:r>
      <w:r w:rsidRPr="006051C4">
        <w:rPr>
          <w:rFonts w:ascii="Calibri" w:hAnsi="Calibri"/>
          <w:color w:val="231F20"/>
          <w:w w:val="105"/>
        </w:rPr>
        <w:t>percent)</w:t>
      </w:r>
      <w:r w:rsidRPr="006051C4">
        <w:rPr>
          <w:rFonts w:ascii="Calibri" w:hAnsi="Calibri"/>
          <w:color w:val="231F20"/>
          <w:spacing w:val="8"/>
          <w:w w:val="105"/>
        </w:rPr>
        <w:t xml:space="preserve"> </w:t>
      </w:r>
      <w:r w:rsidRPr="006051C4">
        <w:rPr>
          <w:rFonts w:ascii="Calibri" w:hAnsi="Calibri"/>
          <w:color w:val="231F20"/>
          <w:w w:val="105"/>
        </w:rPr>
        <w:t>was</w:t>
      </w:r>
      <w:r w:rsidRPr="006051C4">
        <w:rPr>
          <w:rFonts w:ascii="Calibri" w:hAnsi="Calibri"/>
          <w:color w:val="231F20"/>
          <w:spacing w:val="8"/>
          <w:w w:val="105"/>
        </w:rPr>
        <w:t xml:space="preserve"> </w:t>
      </w:r>
      <w:r w:rsidRPr="006051C4">
        <w:rPr>
          <w:rFonts w:ascii="Calibri" w:hAnsi="Calibri"/>
          <w:color w:val="231F20"/>
          <w:w w:val="105"/>
        </w:rPr>
        <w:t>2,100</w:t>
      </w:r>
      <w:r w:rsidRPr="006051C4">
        <w:rPr>
          <w:rFonts w:ascii="Calibri" w:hAnsi="Calibri"/>
          <w:color w:val="231F20"/>
          <w:spacing w:val="8"/>
          <w:w w:val="105"/>
        </w:rPr>
        <w:t xml:space="preserve"> </w:t>
      </w:r>
      <w:r w:rsidRPr="006051C4">
        <w:rPr>
          <w:rFonts w:ascii="Calibri" w:hAnsi="Calibri"/>
          <w:color w:val="231F20"/>
          <w:w w:val="105"/>
        </w:rPr>
        <w:t>less</w:t>
      </w:r>
      <w:r w:rsidRPr="006051C4">
        <w:rPr>
          <w:rFonts w:ascii="Calibri" w:hAnsi="Calibri"/>
          <w:color w:val="231F20"/>
          <w:spacing w:val="8"/>
          <w:w w:val="105"/>
        </w:rPr>
        <w:t xml:space="preserve"> </w:t>
      </w:r>
      <w:r w:rsidRPr="006051C4">
        <w:rPr>
          <w:rFonts w:ascii="Calibri" w:hAnsi="Calibri"/>
          <w:color w:val="231F20"/>
          <w:w w:val="105"/>
        </w:rPr>
        <w:t>when</w:t>
      </w:r>
      <w:r w:rsidRPr="006051C4">
        <w:rPr>
          <w:rFonts w:ascii="Calibri" w:hAnsi="Calibri"/>
          <w:color w:val="231F20"/>
          <w:spacing w:val="8"/>
          <w:w w:val="105"/>
        </w:rPr>
        <w:t xml:space="preserve"> </w:t>
      </w:r>
      <w:r w:rsidRPr="006051C4">
        <w:rPr>
          <w:rFonts w:ascii="Calibri" w:hAnsi="Calibri"/>
          <w:color w:val="231F20"/>
          <w:w w:val="105"/>
        </w:rPr>
        <w:t>compared</w:t>
      </w:r>
      <w:r w:rsidRPr="006051C4">
        <w:rPr>
          <w:rFonts w:ascii="Calibri" w:hAnsi="Calibri"/>
          <w:color w:val="231F20"/>
          <w:spacing w:val="8"/>
          <w:w w:val="105"/>
        </w:rPr>
        <w:t xml:space="preserve"> </w:t>
      </w:r>
      <w:r w:rsidRPr="006051C4">
        <w:rPr>
          <w:rFonts w:ascii="Calibri" w:hAnsi="Calibri"/>
          <w:color w:val="231F20"/>
          <w:w w:val="105"/>
        </w:rPr>
        <w:t>to</w:t>
      </w:r>
      <w:r w:rsidRPr="006051C4">
        <w:rPr>
          <w:rFonts w:ascii="Calibri" w:hAnsi="Calibri"/>
          <w:color w:val="231F20"/>
          <w:spacing w:val="8"/>
          <w:w w:val="105"/>
        </w:rPr>
        <w:t xml:space="preserve"> </w:t>
      </w:r>
      <w:r w:rsidRPr="006051C4">
        <w:rPr>
          <w:rFonts w:ascii="Calibri" w:hAnsi="Calibri"/>
          <w:color w:val="231F20"/>
          <w:w w:val="105"/>
        </w:rPr>
        <w:t>November 2016 (+15,600,</w:t>
      </w:r>
      <w:r w:rsidRPr="006051C4">
        <w:rPr>
          <w:rFonts w:ascii="Calibri" w:hAnsi="Calibri"/>
          <w:color w:val="231F20"/>
          <w:spacing w:val="8"/>
          <w:w w:val="105"/>
        </w:rPr>
        <w:t xml:space="preserve"> </w:t>
      </w:r>
      <w:r w:rsidRPr="006051C4">
        <w:rPr>
          <w:rFonts w:ascii="Calibri" w:hAnsi="Calibri"/>
          <w:color w:val="231F20"/>
          <w:w w:val="105"/>
        </w:rPr>
        <w:t>+4.6</w:t>
      </w:r>
      <w:r w:rsidRPr="006051C4">
        <w:rPr>
          <w:rFonts w:ascii="Calibri" w:hAnsi="Calibri"/>
          <w:color w:val="231F20"/>
          <w:spacing w:val="8"/>
          <w:w w:val="105"/>
        </w:rPr>
        <w:t xml:space="preserve"> </w:t>
      </w:r>
      <w:r w:rsidRPr="006051C4">
        <w:rPr>
          <w:rFonts w:ascii="Calibri" w:hAnsi="Calibri"/>
          <w:color w:val="231F20"/>
          <w:w w:val="105"/>
        </w:rPr>
        <w:t>percent)</w:t>
      </w:r>
      <w:r w:rsidR="005E7C49">
        <w:rPr>
          <w:rFonts w:ascii="Calibri" w:hAnsi="Calibri"/>
          <w:color w:val="231F20"/>
          <w:w w:val="105"/>
        </w:rPr>
        <w:t xml:space="preserve">. </w:t>
      </w:r>
      <w:r w:rsidRPr="006051C4">
        <w:rPr>
          <w:rFonts w:ascii="Calibri" w:hAnsi="Calibri"/>
          <w:color w:val="231F20"/>
          <w:w w:val="105"/>
        </w:rPr>
        <w:t>The</w:t>
      </w:r>
      <w:r w:rsidRPr="006051C4">
        <w:rPr>
          <w:rFonts w:ascii="Calibri" w:hAnsi="Calibri"/>
          <w:color w:val="231F20"/>
          <w:spacing w:val="-3"/>
          <w:w w:val="105"/>
        </w:rPr>
        <w:t xml:space="preserve"> </w:t>
      </w:r>
      <w:r w:rsidRPr="006051C4">
        <w:rPr>
          <w:rFonts w:ascii="Calibri" w:hAnsi="Calibri"/>
          <w:color w:val="231F20"/>
          <w:w w:val="105"/>
        </w:rPr>
        <w:t>number of jobs in this sector has been trending upward over the past seven years.</w:t>
      </w:r>
    </w:p>
    <w:p w14:paraId="7C16C8AD" w14:textId="77777777" w:rsidR="00002D76" w:rsidRPr="006051C4" w:rsidRDefault="00002D76" w:rsidP="00002D76">
      <w:pPr>
        <w:widowControl w:val="0"/>
        <w:spacing w:before="6" w:after="0" w:line="240" w:lineRule="auto"/>
        <w:rPr>
          <w:rFonts w:ascii="Calibri" w:hAnsi="Calibri" w:cs="Calibri"/>
          <w:sz w:val="16"/>
          <w:szCs w:val="16"/>
        </w:rPr>
      </w:pPr>
    </w:p>
    <w:p w14:paraId="111D985A" w14:textId="77777777" w:rsidR="00002D76" w:rsidRPr="00041D0F" w:rsidRDefault="00002D76" w:rsidP="00D63204">
      <w:pPr>
        <w:widowControl w:val="0"/>
        <w:spacing w:after="0" w:line="266" w:lineRule="exact"/>
        <w:ind w:left="468" w:right="468"/>
        <w:outlineLvl w:val="2"/>
        <w:rPr>
          <w:rFonts w:ascii="Calibri" w:hAnsi="Calibri"/>
        </w:rPr>
      </w:pPr>
      <w:r w:rsidRPr="00041D0F">
        <w:rPr>
          <w:rFonts w:ascii="Calibri" w:hAnsi="Calibri"/>
          <w:b/>
          <w:bCs/>
          <w:color w:val="231F20"/>
          <w:w w:val="110"/>
        </w:rPr>
        <w:t>Figure</w:t>
      </w:r>
      <w:r w:rsidRPr="00041D0F">
        <w:rPr>
          <w:rFonts w:ascii="Calibri" w:hAnsi="Calibri"/>
          <w:b/>
          <w:bCs/>
          <w:color w:val="231F20"/>
          <w:spacing w:val="-9"/>
          <w:w w:val="110"/>
        </w:rPr>
        <w:t xml:space="preserve"> </w:t>
      </w:r>
      <w:r w:rsidRPr="00041D0F">
        <w:rPr>
          <w:rFonts w:ascii="Calibri" w:hAnsi="Calibri"/>
          <w:b/>
          <w:bCs/>
          <w:color w:val="231F20"/>
          <w:w w:val="110"/>
        </w:rPr>
        <w:t>2.31</w:t>
      </w:r>
    </w:p>
    <w:p w14:paraId="376A5FC8" w14:textId="77777777" w:rsidR="00002D76" w:rsidRPr="000E0D3A" w:rsidRDefault="00002D76" w:rsidP="00D63204">
      <w:pPr>
        <w:widowControl w:val="0"/>
        <w:spacing w:before="2" w:after="0" w:line="235" w:lineRule="auto"/>
        <w:ind w:left="3184" w:right="3182"/>
        <w:rPr>
          <w:rFonts w:ascii="Calibri" w:hAnsi="Calibri"/>
          <w:color w:val="231F20"/>
          <w:w w:val="110"/>
        </w:rPr>
      </w:pPr>
      <w:r w:rsidRPr="00041D0F">
        <w:rPr>
          <w:noProof/>
        </w:rPr>
        <w:drawing>
          <wp:anchor distT="0" distB="0" distL="114300" distR="114300" simplePos="0" relativeHeight="251658256" behindDoc="0" locked="0" layoutInCell="1" allowOverlap="1" wp14:anchorId="14A962BC" wp14:editId="3394D0F9">
            <wp:simplePos x="0" y="0"/>
            <wp:positionH relativeFrom="margin">
              <wp:align>center</wp:align>
            </wp:positionH>
            <wp:positionV relativeFrom="paragraph">
              <wp:posOffset>433705</wp:posOffset>
            </wp:positionV>
            <wp:extent cx="6076950" cy="3200400"/>
            <wp:effectExtent l="0" t="0" r="0" b="0"/>
            <wp:wrapTopAndBottom/>
            <wp:docPr id="1402719357" name="Chart 1402719357" descr="The line graph shows other services employment in Florida declined from 2007 to 2009. In November 2017, employment was 369,400. The over the year change in November 2017 (+13,500 jobs, +3.8 percent) was 2,100 less when compared to November 2016 (+15,600, +4.6 percent). Jobs in this sector trended upward over the past seven years.&#10;" title="Figure 2.31 Florida Other Services Employment (Seasonally Adjusted)"/>
            <wp:cNvGraphicFramePr/>
            <a:graphic xmlns:a="http://schemas.openxmlformats.org/drawingml/2006/main">
              <a:graphicData uri="http://schemas.openxmlformats.org/drawingml/2006/chart">
                <c:chart xmlns:c="http://schemas.openxmlformats.org/drawingml/2006/chart" xmlns:r="http://schemas.openxmlformats.org/officeDocument/2006/relationships" r:id="rId91"/>
              </a:graphicData>
            </a:graphic>
          </wp:anchor>
        </w:drawing>
      </w:r>
      <w:r w:rsidRPr="00041D0F">
        <w:rPr>
          <w:rFonts w:ascii="Calibri" w:hAnsi="Calibri"/>
          <w:b/>
          <w:color w:val="231F20"/>
          <w:w w:val="110"/>
        </w:rPr>
        <w:t>Florida Other Services</w:t>
      </w:r>
      <w:r w:rsidRPr="00041D0F">
        <w:rPr>
          <w:rFonts w:ascii="Calibri" w:hAnsi="Calibri"/>
          <w:b/>
          <w:color w:val="231F20"/>
          <w:spacing w:val="-26"/>
          <w:w w:val="110"/>
        </w:rPr>
        <w:t xml:space="preserve"> </w:t>
      </w:r>
      <w:r w:rsidRPr="00041D0F">
        <w:rPr>
          <w:rFonts w:ascii="Calibri" w:hAnsi="Calibri"/>
          <w:b/>
          <w:color w:val="231F20"/>
          <w:w w:val="110"/>
        </w:rPr>
        <w:t>Employment</w:t>
      </w:r>
      <w:r w:rsidRPr="00041D0F">
        <w:rPr>
          <w:rFonts w:ascii="Calibri" w:hAnsi="Calibri"/>
          <w:b/>
          <w:color w:val="231F20"/>
          <w:w w:val="107"/>
        </w:rPr>
        <w:t xml:space="preserve"> </w:t>
      </w:r>
      <w:r w:rsidRPr="000E0D3A">
        <w:rPr>
          <w:rFonts w:ascii="Calibri" w:hAnsi="Calibri"/>
          <w:color w:val="231F20"/>
          <w:w w:val="110"/>
        </w:rPr>
        <w:t>Seasonally</w:t>
      </w:r>
      <w:r w:rsidRPr="000E0D3A">
        <w:rPr>
          <w:rFonts w:ascii="Calibri" w:hAnsi="Calibri"/>
          <w:color w:val="231F20"/>
          <w:spacing w:val="2"/>
          <w:w w:val="110"/>
        </w:rPr>
        <w:t xml:space="preserve"> </w:t>
      </w:r>
      <w:r w:rsidRPr="000E0D3A">
        <w:rPr>
          <w:rFonts w:ascii="Calibri" w:hAnsi="Calibri"/>
          <w:color w:val="231F20"/>
          <w:w w:val="110"/>
        </w:rPr>
        <w:t>Adjusted</w:t>
      </w:r>
    </w:p>
    <w:p w14:paraId="06E94025" w14:textId="77777777" w:rsidR="00002D76" w:rsidRPr="00041D0F" w:rsidRDefault="00002D76" w:rsidP="00002D76">
      <w:pPr>
        <w:widowControl w:val="0"/>
        <w:spacing w:before="32" w:after="0" w:line="216" w:lineRule="exact"/>
        <w:ind w:left="540" w:right="90"/>
        <w:rPr>
          <w:rFonts w:ascii="Calibri" w:hAnsi="Calibri" w:cs="Calibri"/>
          <w:sz w:val="18"/>
          <w:szCs w:val="18"/>
        </w:rPr>
      </w:pPr>
      <w:r w:rsidRPr="00041D0F">
        <w:rPr>
          <w:rFonts w:ascii="Calibri" w:hAnsi="Calibri"/>
          <w:w w:val="105"/>
          <w:sz w:val="18"/>
        </w:rPr>
        <w:t xml:space="preserve">Source: </w:t>
      </w:r>
      <w:r>
        <w:rPr>
          <w:rFonts w:ascii="Calibri" w:hAnsi="Calibri"/>
          <w:w w:val="105"/>
          <w:sz w:val="18"/>
        </w:rPr>
        <w:t xml:space="preserve"> </w:t>
      </w:r>
      <w:r w:rsidRPr="00041D0F">
        <w:rPr>
          <w:rFonts w:ascii="Calibri" w:hAnsi="Calibri"/>
          <w:w w:val="105"/>
          <w:sz w:val="18"/>
        </w:rPr>
        <w:t xml:space="preserve">U.S. Department of </w:t>
      </w:r>
      <w:r w:rsidRPr="00041D0F">
        <w:rPr>
          <w:rFonts w:ascii="Calibri" w:hAnsi="Calibri"/>
          <w:spacing w:val="-3"/>
          <w:w w:val="105"/>
          <w:sz w:val="18"/>
        </w:rPr>
        <w:t xml:space="preserve">Labor, </w:t>
      </w:r>
      <w:r w:rsidRPr="00041D0F">
        <w:rPr>
          <w:rFonts w:ascii="Calibri" w:hAnsi="Calibri"/>
          <w:w w:val="105"/>
          <w:sz w:val="18"/>
        </w:rPr>
        <w:t>Bureau of Labor Statistics, Curren</w:t>
      </w:r>
      <w:r>
        <w:rPr>
          <w:rFonts w:ascii="Calibri" w:hAnsi="Calibri"/>
          <w:w w:val="105"/>
          <w:sz w:val="18"/>
        </w:rPr>
        <w:t>t Employment Statistics Program</w:t>
      </w:r>
      <w:r w:rsidRPr="00041D0F">
        <w:rPr>
          <w:rFonts w:ascii="Calibri" w:hAnsi="Calibri"/>
          <w:w w:val="105"/>
          <w:sz w:val="18"/>
        </w:rPr>
        <w:t xml:space="preserve">, </w:t>
      </w:r>
      <w:r w:rsidRPr="00041D0F">
        <w:rPr>
          <w:rFonts w:ascii="Calibri" w:hAnsi="Calibri"/>
          <w:color w:val="231F20"/>
          <w:w w:val="105"/>
          <w:sz w:val="18"/>
        </w:rPr>
        <w:t>December 2017</w:t>
      </w:r>
      <w:r>
        <w:rPr>
          <w:rFonts w:ascii="Calibri" w:hAnsi="Calibri"/>
          <w:color w:val="231F20"/>
          <w:w w:val="105"/>
          <w:sz w:val="18"/>
        </w:rPr>
        <w:t>.</w:t>
      </w:r>
    </w:p>
    <w:p w14:paraId="3D4E7FAB" w14:textId="77777777" w:rsidR="00002D76" w:rsidRPr="001B56F5" w:rsidRDefault="00002D76" w:rsidP="00002D76">
      <w:pPr>
        <w:widowControl w:val="0"/>
        <w:spacing w:after="0" w:line="216" w:lineRule="exact"/>
        <w:rPr>
          <w:rFonts w:ascii="Calibri" w:hAnsi="Calibri" w:cs="Calibri"/>
          <w:sz w:val="18"/>
          <w:szCs w:val="18"/>
        </w:rPr>
        <w:sectPr w:rsidR="00002D76" w:rsidRPr="001B56F5">
          <w:pgSz w:w="12240" w:h="15840"/>
          <w:pgMar w:top="1620" w:right="900" w:bottom="820" w:left="900" w:header="812" w:footer="624" w:gutter="0"/>
          <w:cols w:space="720"/>
        </w:sectPr>
      </w:pPr>
    </w:p>
    <w:p w14:paraId="07848DC1" w14:textId="77777777" w:rsidR="00002D76" w:rsidRPr="00EA7458" w:rsidRDefault="00002D76" w:rsidP="00002D76">
      <w:pPr>
        <w:widowControl w:val="0"/>
        <w:spacing w:before="4" w:after="0" w:line="240" w:lineRule="auto"/>
        <w:rPr>
          <w:rFonts w:ascii="Calibri" w:hAnsi="Calibri" w:cs="Calibri"/>
          <w:sz w:val="14"/>
          <w:szCs w:val="14"/>
        </w:rPr>
      </w:pPr>
    </w:p>
    <w:p w14:paraId="033ED54C" w14:textId="77777777" w:rsidR="00002D76" w:rsidRPr="00AC4623" w:rsidRDefault="00002D76" w:rsidP="00D63204">
      <w:pPr>
        <w:widowControl w:val="0"/>
        <w:spacing w:before="63" w:after="0" w:line="240" w:lineRule="auto"/>
        <w:ind w:left="107"/>
        <w:outlineLvl w:val="3"/>
        <w:rPr>
          <w:rFonts w:ascii="Gill Sans MT" w:hAnsi="Gill Sans MT"/>
        </w:rPr>
      </w:pPr>
      <w:bookmarkStart w:id="44" w:name="_bookmark32"/>
      <w:bookmarkEnd w:id="44"/>
      <w:r w:rsidRPr="00AC4623">
        <w:rPr>
          <w:rFonts w:ascii="Gill Sans MT" w:hAnsi="Gill Sans MT"/>
          <w:b/>
          <w:bCs/>
          <w:i/>
          <w:color w:val="231F20"/>
          <w:w w:val="105"/>
        </w:rPr>
        <w:t>Government</w:t>
      </w:r>
    </w:p>
    <w:p w14:paraId="1C897038" w14:textId="1B366A77" w:rsidR="00002D76" w:rsidRPr="00297B27" w:rsidRDefault="00002D76" w:rsidP="00D63204">
      <w:pPr>
        <w:widowControl w:val="0"/>
        <w:spacing w:before="2" w:after="0" w:line="264" w:lineRule="exact"/>
        <w:ind w:left="107"/>
        <w:rPr>
          <w:rFonts w:ascii="Calibri" w:hAnsi="Calibri"/>
        </w:rPr>
      </w:pPr>
      <w:r w:rsidRPr="00AC4623">
        <w:rPr>
          <w:rFonts w:ascii="Calibri" w:hAnsi="Calibri"/>
          <w:color w:val="231F20"/>
          <w:w w:val="105"/>
        </w:rPr>
        <w:t>Florida</w:t>
      </w:r>
      <w:r w:rsidRPr="00AC4623">
        <w:rPr>
          <w:rFonts w:ascii="Calibri" w:hAnsi="Calibri"/>
          <w:color w:val="231F20"/>
          <w:spacing w:val="17"/>
          <w:w w:val="105"/>
        </w:rPr>
        <w:t xml:space="preserve"> </w:t>
      </w:r>
      <w:r w:rsidRPr="00AC4623">
        <w:rPr>
          <w:rFonts w:ascii="Calibri" w:hAnsi="Calibri"/>
          <w:color w:val="231F20"/>
          <w:w w:val="105"/>
        </w:rPr>
        <w:t>experienced</w:t>
      </w:r>
      <w:r w:rsidRPr="00AC4623">
        <w:rPr>
          <w:rFonts w:ascii="Calibri" w:hAnsi="Calibri"/>
          <w:color w:val="231F20"/>
          <w:spacing w:val="17"/>
          <w:w w:val="105"/>
        </w:rPr>
        <w:t xml:space="preserve"> </w:t>
      </w:r>
      <w:r w:rsidRPr="00AC4623">
        <w:rPr>
          <w:rFonts w:ascii="Calibri" w:hAnsi="Calibri"/>
          <w:color w:val="231F20"/>
          <w:w w:val="105"/>
        </w:rPr>
        <w:t>declines</w:t>
      </w:r>
      <w:r w:rsidRPr="00AC4623">
        <w:rPr>
          <w:rFonts w:ascii="Calibri" w:hAnsi="Calibri"/>
          <w:color w:val="231F20"/>
          <w:spacing w:val="17"/>
          <w:w w:val="105"/>
        </w:rPr>
        <w:t xml:space="preserve"> </w:t>
      </w:r>
      <w:r w:rsidRPr="00AC4623">
        <w:rPr>
          <w:rFonts w:ascii="Calibri" w:hAnsi="Calibri"/>
          <w:color w:val="231F20"/>
          <w:w w:val="105"/>
        </w:rPr>
        <w:t>in</w:t>
      </w:r>
      <w:r w:rsidRPr="00AC4623">
        <w:rPr>
          <w:rFonts w:ascii="Calibri" w:hAnsi="Calibri"/>
          <w:color w:val="231F20"/>
          <w:spacing w:val="17"/>
          <w:w w:val="105"/>
        </w:rPr>
        <w:t xml:space="preserve"> </w:t>
      </w:r>
      <w:r w:rsidRPr="00AC4623">
        <w:rPr>
          <w:rFonts w:ascii="Calibri" w:hAnsi="Calibri"/>
          <w:color w:val="231F20"/>
          <w:w w:val="105"/>
        </w:rPr>
        <w:t>government</w:t>
      </w:r>
      <w:r w:rsidRPr="00AC4623">
        <w:rPr>
          <w:rFonts w:ascii="Calibri" w:hAnsi="Calibri"/>
          <w:color w:val="231F20"/>
          <w:spacing w:val="17"/>
          <w:w w:val="105"/>
        </w:rPr>
        <w:t xml:space="preserve"> </w:t>
      </w:r>
      <w:r w:rsidRPr="00AC4623">
        <w:rPr>
          <w:rFonts w:ascii="Calibri" w:hAnsi="Calibri"/>
          <w:color w:val="231F20"/>
          <w:w w:val="105"/>
        </w:rPr>
        <w:t>employment</w:t>
      </w:r>
      <w:r w:rsidRPr="00AC4623">
        <w:rPr>
          <w:rFonts w:ascii="Calibri" w:hAnsi="Calibri"/>
          <w:color w:val="231F20"/>
          <w:spacing w:val="17"/>
          <w:w w:val="105"/>
        </w:rPr>
        <w:t xml:space="preserve"> </w:t>
      </w:r>
      <w:r w:rsidRPr="00AC4623">
        <w:rPr>
          <w:rFonts w:ascii="Calibri" w:hAnsi="Calibri"/>
          <w:color w:val="231F20"/>
          <w:w w:val="105"/>
        </w:rPr>
        <w:t>from</w:t>
      </w:r>
      <w:r w:rsidRPr="00AC4623">
        <w:rPr>
          <w:rFonts w:ascii="Calibri" w:hAnsi="Calibri"/>
          <w:color w:val="231F20"/>
          <w:spacing w:val="17"/>
          <w:w w:val="105"/>
        </w:rPr>
        <w:t xml:space="preserve"> </w:t>
      </w:r>
      <w:r w:rsidRPr="00AC4623">
        <w:rPr>
          <w:rFonts w:ascii="Calibri" w:hAnsi="Calibri"/>
          <w:color w:val="231F20"/>
          <w:w w:val="105"/>
        </w:rPr>
        <w:t>2008</w:t>
      </w:r>
      <w:r w:rsidRPr="00AC4623">
        <w:rPr>
          <w:rFonts w:ascii="Calibri" w:hAnsi="Calibri"/>
          <w:color w:val="231F20"/>
          <w:spacing w:val="17"/>
          <w:w w:val="105"/>
        </w:rPr>
        <w:t xml:space="preserve"> </w:t>
      </w:r>
      <w:r w:rsidRPr="00AC4623">
        <w:rPr>
          <w:rFonts w:ascii="Calibri" w:hAnsi="Calibri"/>
          <w:color w:val="231F20"/>
          <w:w w:val="105"/>
        </w:rPr>
        <w:t>to</w:t>
      </w:r>
      <w:r w:rsidRPr="00AC4623">
        <w:rPr>
          <w:rFonts w:ascii="Calibri" w:hAnsi="Calibri"/>
          <w:color w:val="231F20"/>
          <w:spacing w:val="17"/>
          <w:w w:val="105"/>
        </w:rPr>
        <w:t xml:space="preserve"> </w:t>
      </w:r>
      <w:r w:rsidRPr="00AC4623">
        <w:rPr>
          <w:rFonts w:ascii="Calibri" w:hAnsi="Calibri"/>
          <w:color w:val="231F20"/>
          <w:w w:val="105"/>
        </w:rPr>
        <w:t>2012</w:t>
      </w:r>
      <w:r w:rsidR="005E7C49">
        <w:rPr>
          <w:rFonts w:ascii="Calibri" w:hAnsi="Calibri"/>
          <w:color w:val="231F20"/>
          <w:w w:val="105"/>
        </w:rPr>
        <w:t xml:space="preserve">. </w:t>
      </w:r>
      <w:r w:rsidRPr="00AC4623">
        <w:rPr>
          <w:rFonts w:ascii="Calibri" w:hAnsi="Calibri"/>
          <w:color w:val="231F20"/>
          <w:w w:val="105"/>
        </w:rPr>
        <w:t>Currently,</w:t>
      </w:r>
      <w:r w:rsidRPr="00AC4623">
        <w:rPr>
          <w:rFonts w:ascii="Calibri" w:hAnsi="Calibri"/>
          <w:color w:val="231F20"/>
          <w:spacing w:val="17"/>
          <w:w w:val="105"/>
        </w:rPr>
        <w:t xml:space="preserve"> </w:t>
      </w:r>
      <w:r w:rsidRPr="00AC4623">
        <w:rPr>
          <w:rFonts w:ascii="Calibri" w:hAnsi="Calibri"/>
          <w:color w:val="231F20"/>
          <w:w w:val="105"/>
        </w:rPr>
        <w:t>government</w:t>
      </w:r>
      <w:r w:rsidRPr="00AC4623">
        <w:rPr>
          <w:rFonts w:ascii="Calibri" w:hAnsi="Calibri"/>
          <w:color w:val="231F20"/>
          <w:w w:val="106"/>
        </w:rPr>
        <w:t xml:space="preserve"> </w:t>
      </w:r>
      <w:r w:rsidRPr="00297B27">
        <w:rPr>
          <w:rFonts w:ascii="Calibri" w:hAnsi="Calibri"/>
          <w:color w:val="231F20"/>
          <w:w w:val="105"/>
        </w:rPr>
        <w:t>employment is back to 20</w:t>
      </w:r>
      <w:r>
        <w:rPr>
          <w:rFonts w:ascii="Calibri" w:hAnsi="Calibri"/>
          <w:color w:val="231F20"/>
          <w:w w:val="105"/>
        </w:rPr>
        <w:t>10</w:t>
      </w:r>
      <w:r w:rsidRPr="00297B27">
        <w:rPr>
          <w:rFonts w:ascii="Calibri" w:hAnsi="Calibri"/>
          <w:color w:val="231F20"/>
          <w:w w:val="105"/>
        </w:rPr>
        <w:t xml:space="preserve"> levels.</w:t>
      </w:r>
    </w:p>
    <w:p w14:paraId="5FA2E33E" w14:textId="77777777" w:rsidR="00002D76" w:rsidRPr="00297B27" w:rsidRDefault="00002D76" w:rsidP="00D63204">
      <w:pPr>
        <w:widowControl w:val="0"/>
        <w:spacing w:before="5" w:after="0" w:line="240" w:lineRule="auto"/>
        <w:rPr>
          <w:rFonts w:ascii="Calibri" w:hAnsi="Calibri" w:cs="Calibri"/>
          <w:sz w:val="16"/>
          <w:szCs w:val="16"/>
        </w:rPr>
      </w:pPr>
    </w:p>
    <w:p w14:paraId="06F4BCA2" w14:textId="35A1FE0B" w:rsidR="00002D76" w:rsidRPr="00297B27" w:rsidRDefault="00002D76" w:rsidP="00D63204">
      <w:pPr>
        <w:widowControl w:val="0"/>
        <w:spacing w:after="0" w:line="264" w:lineRule="exact"/>
        <w:ind w:left="107" w:right="166"/>
        <w:rPr>
          <w:rFonts w:ascii="Calibri" w:hAnsi="Calibri"/>
        </w:rPr>
      </w:pPr>
      <w:r w:rsidRPr="00297B27">
        <w:rPr>
          <w:rFonts w:ascii="Calibri" w:hAnsi="Calibri"/>
          <w:color w:val="231F20"/>
          <w:w w:val="105"/>
        </w:rPr>
        <w:t>In</w:t>
      </w:r>
      <w:r w:rsidRPr="00297B27">
        <w:rPr>
          <w:rFonts w:ascii="Calibri" w:hAnsi="Calibri"/>
          <w:color w:val="231F20"/>
          <w:spacing w:val="12"/>
          <w:w w:val="105"/>
        </w:rPr>
        <w:t xml:space="preserve"> </w:t>
      </w:r>
      <w:r w:rsidRPr="00297B27">
        <w:rPr>
          <w:rFonts w:ascii="Calibri" w:hAnsi="Calibri"/>
          <w:color w:val="231F20"/>
          <w:w w:val="105"/>
        </w:rPr>
        <w:t>November 2017,</w:t>
      </w:r>
      <w:r w:rsidRPr="00297B27">
        <w:rPr>
          <w:rFonts w:ascii="Calibri" w:hAnsi="Calibri"/>
          <w:color w:val="231F20"/>
          <w:spacing w:val="12"/>
          <w:w w:val="105"/>
        </w:rPr>
        <w:t xml:space="preserve"> </w:t>
      </w:r>
      <w:r w:rsidRPr="00297B27">
        <w:rPr>
          <w:rFonts w:ascii="Calibri" w:hAnsi="Calibri"/>
          <w:color w:val="231F20"/>
          <w:w w:val="105"/>
        </w:rPr>
        <w:t>employment</w:t>
      </w:r>
      <w:r w:rsidRPr="00297B27">
        <w:rPr>
          <w:rFonts w:ascii="Calibri" w:hAnsi="Calibri"/>
          <w:color w:val="231F20"/>
          <w:spacing w:val="12"/>
          <w:w w:val="105"/>
        </w:rPr>
        <w:t xml:space="preserve"> </w:t>
      </w:r>
      <w:r w:rsidRPr="00297B27">
        <w:rPr>
          <w:rFonts w:ascii="Calibri" w:hAnsi="Calibri"/>
          <w:color w:val="231F20"/>
          <w:w w:val="105"/>
        </w:rPr>
        <w:t>was</w:t>
      </w:r>
      <w:r w:rsidRPr="00297B27">
        <w:rPr>
          <w:rFonts w:ascii="Calibri" w:hAnsi="Calibri"/>
          <w:color w:val="231F20"/>
          <w:spacing w:val="12"/>
          <w:w w:val="105"/>
        </w:rPr>
        <w:t xml:space="preserve"> </w:t>
      </w:r>
      <w:r w:rsidRPr="00297B27">
        <w:rPr>
          <w:rFonts w:ascii="Calibri" w:hAnsi="Calibri"/>
          <w:color w:val="231F20"/>
          <w:spacing w:val="-3"/>
          <w:w w:val="105"/>
        </w:rPr>
        <w:t>1,110,700</w:t>
      </w:r>
      <w:r w:rsidR="005E7C49">
        <w:rPr>
          <w:rFonts w:ascii="Calibri" w:hAnsi="Calibri"/>
          <w:color w:val="231F20"/>
          <w:spacing w:val="-3"/>
          <w:w w:val="105"/>
        </w:rPr>
        <w:t xml:space="preserve">. </w:t>
      </w:r>
      <w:r w:rsidRPr="00297B27">
        <w:rPr>
          <w:rFonts w:ascii="Calibri" w:hAnsi="Calibri"/>
          <w:color w:val="231F20"/>
          <w:w w:val="105"/>
        </w:rPr>
        <w:t>The</w:t>
      </w:r>
      <w:r w:rsidRPr="00297B27">
        <w:rPr>
          <w:rFonts w:ascii="Calibri" w:hAnsi="Calibri"/>
          <w:color w:val="231F20"/>
          <w:spacing w:val="12"/>
          <w:w w:val="105"/>
        </w:rPr>
        <w:t xml:space="preserve"> </w:t>
      </w:r>
      <w:r w:rsidRPr="00297B27">
        <w:rPr>
          <w:rFonts w:ascii="Calibri" w:hAnsi="Calibri"/>
          <w:color w:val="231F20"/>
          <w:w w:val="105"/>
        </w:rPr>
        <w:t>over</w:t>
      </w:r>
      <w:r w:rsidR="00D94B7F">
        <w:rPr>
          <w:rFonts w:ascii="Calibri" w:hAnsi="Calibri"/>
          <w:color w:val="231F20"/>
          <w:spacing w:val="12"/>
          <w:w w:val="105"/>
        </w:rPr>
        <w:t>-</w:t>
      </w:r>
      <w:r w:rsidRPr="00297B27">
        <w:rPr>
          <w:rFonts w:ascii="Calibri" w:hAnsi="Calibri"/>
          <w:color w:val="231F20"/>
          <w:w w:val="105"/>
        </w:rPr>
        <w:t>the</w:t>
      </w:r>
      <w:r w:rsidR="00D94B7F">
        <w:rPr>
          <w:rFonts w:ascii="Calibri" w:hAnsi="Calibri"/>
          <w:color w:val="231F20"/>
          <w:spacing w:val="12"/>
          <w:w w:val="105"/>
        </w:rPr>
        <w:t>-</w:t>
      </w:r>
      <w:r w:rsidRPr="00297B27">
        <w:rPr>
          <w:rFonts w:ascii="Calibri" w:hAnsi="Calibri"/>
          <w:color w:val="231F20"/>
          <w:w w:val="105"/>
        </w:rPr>
        <w:t>year</w:t>
      </w:r>
      <w:r w:rsidRPr="00297B27">
        <w:rPr>
          <w:rFonts w:ascii="Calibri" w:hAnsi="Calibri"/>
          <w:color w:val="231F20"/>
          <w:spacing w:val="12"/>
          <w:w w:val="105"/>
        </w:rPr>
        <w:t xml:space="preserve"> </w:t>
      </w:r>
      <w:r w:rsidRPr="00297B27">
        <w:rPr>
          <w:rFonts w:ascii="Calibri" w:hAnsi="Calibri"/>
          <w:color w:val="231F20"/>
          <w:w w:val="105"/>
        </w:rPr>
        <w:t>change</w:t>
      </w:r>
      <w:r w:rsidRPr="00297B27">
        <w:rPr>
          <w:rFonts w:ascii="Calibri" w:hAnsi="Calibri"/>
          <w:color w:val="231F20"/>
          <w:spacing w:val="12"/>
          <w:w w:val="105"/>
        </w:rPr>
        <w:t xml:space="preserve"> </w:t>
      </w:r>
      <w:r w:rsidRPr="00297B27">
        <w:rPr>
          <w:rFonts w:ascii="Calibri" w:hAnsi="Calibri"/>
          <w:color w:val="231F20"/>
          <w:w w:val="105"/>
        </w:rPr>
        <w:t>in</w:t>
      </w:r>
      <w:r w:rsidRPr="00297B27">
        <w:rPr>
          <w:rFonts w:ascii="Calibri" w:hAnsi="Calibri"/>
          <w:color w:val="231F20"/>
          <w:spacing w:val="12"/>
          <w:w w:val="105"/>
        </w:rPr>
        <w:t xml:space="preserve"> </w:t>
      </w:r>
      <w:r w:rsidRPr="00297B27">
        <w:rPr>
          <w:rFonts w:ascii="Calibri" w:hAnsi="Calibri"/>
          <w:color w:val="231F20"/>
          <w:w w:val="105"/>
        </w:rPr>
        <w:t>November 2017 (+12,200</w:t>
      </w:r>
      <w:r>
        <w:rPr>
          <w:rFonts w:ascii="Calibri" w:hAnsi="Calibri"/>
          <w:color w:val="231F20"/>
          <w:w w:val="105"/>
        </w:rPr>
        <w:t xml:space="preserve"> </w:t>
      </w:r>
      <w:r w:rsidRPr="00297B27">
        <w:rPr>
          <w:rFonts w:ascii="Calibri" w:hAnsi="Calibri"/>
          <w:color w:val="231F20"/>
          <w:spacing w:val="-46"/>
          <w:w w:val="105"/>
        </w:rPr>
        <w:t>jobs</w:t>
      </w:r>
      <w:r w:rsidRPr="00297B27">
        <w:rPr>
          <w:rFonts w:ascii="Calibri" w:hAnsi="Calibri"/>
          <w:color w:val="231F20"/>
          <w:w w:val="105"/>
        </w:rPr>
        <w:t>,</w:t>
      </w:r>
      <w:r w:rsidRPr="00297B27">
        <w:rPr>
          <w:rFonts w:ascii="Calibri" w:hAnsi="Calibri"/>
          <w:color w:val="231F20"/>
          <w:spacing w:val="10"/>
          <w:w w:val="105"/>
        </w:rPr>
        <w:t xml:space="preserve"> </w:t>
      </w:r>
      <w:r w:rsidRPr="00297B27">
        <w:rPr>
          <w:rFonts w:ascii="Calibri" w:hAnsi="Calibri"/>
          <w:color w:val="231F20"/>
          <w:spacing w:val="-7"/>
          <w:w w:val="105"/>
        </w:rPr>
        <w:t>+1.1</w:t>
      </w:r>
      <w:r w:rsidRPr="00297B27">
        <w:rPr>
          <w:rFonts w:ascii="Calibri" w:hAnsi="Calibri"/>
          <w:color w:val="231F20"/>
          <w:spacing w:val="10"/>
          <w:w w:val="105"/>
        </w:rPr>
        <w:t xml:space="preserve"> </w:t>
      </w:r>
      <w:r w:rsidRPr="00297B27">
        <w:rPr>
          <w:rFonts w:ascii="Calibri" w:hAnsi="Calibri"/>
          <w:color w:val="231F20"/>
          <w:w w:val="105"/>
        </w:rPr>
        <w:t>percent)</w:t>
      </w:r>
      <w:r w:rsidRPr="00297B27">
        <w:rPr>
          <w:rFonts w:ascii="Calibri" w:hAnsi="Calibri"/>
          <w:color w:val="231F20"/>
          <w:spacing w:val="10"/>
          <w:w w:val="105"/>
        </w:rPr>
        <w:t xml:space="preserve"> </w:t>
      </w:r>
      <w:r w:rsidRPr="00297B27">
        <w:rPr>
          <w:rFonts w:ascii="Calibri" w:hAnsi="Calibri"/>
          <w:color w:val="231F20"/>
          <w:w w:val="105"/>
        </w:rPr>
        <w:t>was</w:t>
      </w:r>
      <w:r w:rsidRPr="00297B27">
        <w:rPr>
          <w:rFonts w:ascii="Calibri" w:hAnsi="Calibri"/>
          <w:color w:val="231F20"/>
          <w:spacing w:val="10"/>
          <w:w w:val="105"/>
        </w:rPr>
        <w:t xml:space="preserve"> </w:t>
      </w:r>
      <w:r w:rsidRPr="00297B27">
        <w:rPr>
          <w:rFonts w:ascii="Calibri" w:hAnsi="Calibri"/>
          <w:color w:val="231F20"/>
          <w:spacing w:val="-3"/>
          <w:w w:val="105"/>
        </w:rPr>
        <w:t>1,700</w:t>
      </w:r>
      <w:r w:rsidRPr="00297B27">
        <w:rPr>
          <w:rFonts w:ascii="Calibri" w:hAnsi="Calibri"/>
          <w:color w:val="231F20"/>
          <w:spacing w:val="10"/>
          <w:w w:val="105"/>
        </w:rPr>
        <w:t xml:space="preserve"> </w:t>
      </w:r>
      <w:r w:rsidRPr="00297B27">
        <w:rPr>
          <w:rFonts w:ascii="Calibri" w:hAnsi="Calibri"/>
          <w:color w:val="231F20"/>
          <w:w w:val="105"/>
        </w:rPr>
        <w:t>less</w:t>
      </w:r>
      <w:r w:rsidRPr="00297B27">
        <w:rPr>
          <w:rFonts w:ascii="Calibri" w:hAnsi="Calibri"/>
          <w:color w:val="231F20"/>
          <w:spacing w:val="10"/>
          <w:w w:val="105"/>
        </w:rPr>
        <w:t xml:space="preserve"> </w:t>
      </w:r>
      <w:r w:rsidRPr="00297B27">
        <w:rPr>
          <w:rFonts w:ascii="Calibri" w:hAnsi="Calibri"/>
          <w:color w:val="231F20"/>
          <w:w w:val="105"/>
        </w:rPr>
        <w:t>when</w:t>
      </w:r>
      <w:r w:rsidRPr="00297B27">
        <w:rPr>
          <w:rFonts w:ascii="Calibri" w:hAnsi="Calibri"/>
          <w:color w:val="231F20"/>
          <w:spacing w:val="10"/>
          <w:w w:val="105"/>
        </w:rPr>
        <w:t xml:space="preserve"> </w:t>
      </w:r>
      <w:r w:rsidRPr="00297B27">
        <w:rPr>
          <w:rFonts w:ascii="Calibri" w:hAnsi="Calibri"/>
          <w:color w:val="231F20"/>
          <w:w w:val="105"/>
        </w:rPr>
        <w:t>compared</w:t>
      </w:r>
      <w:r w:rsidRPr="00297B27">
        <w:rPr>
          <w:rFonts w:ascii="Calibri" w:hAnsi="Calibri"/>
          <w:color w:val="231F20"/>
          <w:spacing w:val="10"/>
          <w:w w:val="105"/>
        </w:rPr>
        <w:t xml:space="preserve"> </w:t>
      </w:r>
      <w:r w:rsidRPr="00297B27">
        <w:rPr>
          <w:rFonts w:ascii="Calibri" w:hAnsi="Calibri"/>
          <w:color w:val="231F20"/>
          <w:w w:val="105"/>
        </w:rPr>
        <w:t>to</w:t>
      </w:r>
      <w:r w:rsidRPr="00297B27">
        <w:rPr>
          <w:rFonts w:ascii="Calibri" w:hAnsi="Calibri"/>
          <w:color w:val="231F20"/>
          <w:spacing w:val="10"/>
          <w:w w:val="105"/>
        </w:rPr>
        <w:t xml:space="preserve"> </w:t>
      </w:r>
      <w:r w:rsidRPr="00297B27">
        <w:rPr>
          <w:rFonts w:ascii="Calibri" w:hAnsi="Calibri"/>
          <w:color w:val="231F20"/>
          <w:w w:val="105"/>
        </w:rPr>
        <w:t>November 2016 (+13,900,</w:t>
      </w:r>
      <w:r w:rsidRPr="00297B27">
        <w:rPr>
          <w:rFonts w:ascii="Calibri" w:hAnsi="Calibri"/>
          <w:color w:val="231F20"/>
          <w:spacing w:val="10"/>
          <w:w w:val="105"/>
        </w:rPr>
        <w:t xml:space="preserve"> </w:t>
      </w:r>
      <w:r w:rsidRPr="00297B27">
        <w:rPr>
          <w:rFonts w:ascii="Calibri" w:hAnsi="Calibri"/>
          <w:color w:val="231F20"/>
          <w:w w:val="105"/>
        </w:rPr>
        <w:t>+1.3</w:t>
      </w:r>
      <w:r w:rsidRPr="00297B27">
        <w:rPr>
          <w:rFonts w:ascii="Calibri" w:hAnsi="Calibri"/>
          <w:color w:val="231F20"/>
          <w:spacing w:val="10"/>
          <w:w w:val="105"/>
        </w:rPr>
        <w:t xml:space="preserve"> </w:t>
      </w:r>
      <w:r w:rsidRPr="00297B27">
        <w:rPr>
          <w:rFonts w:ascii="Calibri" w:hAnsi="Calibri"/>
          <w:color w:val="231F20"/>
          <w:w w:val="105"/>
        </w:rPr>
        <w:t>percent)</w:t>
      </w:r>
      <w:r w:rsidR="005E7C49">
        <w:rPr>
          <w:rFonts w:ascii="Calibri" w:hAnsi="Calibri"/>
          <w:color w:val="231F20"/>
          <w:w w:val="105"/>
        </w:rPr>
        <w:t xml:space="preserve">. </w:t>
      </w:r>
      <w:r w:rsidRPr="00297B27">
        <w:rPr>
          <w:rFonts w:ascii="Calibri" w:hAnsi="Calibri"/>
          <w:color w:val="231F20"/>
          <w:w w:val="105"/>
        </w:rPr>
        <w:t>The</w:t>
      </w:r>
      <w:r w:rsidRPr="00297B27">
        <w:rPr>
          <w:rFonts w:ascii="Calibri" w:hAnsi="Calibri"/>
          <w:color w:val="231F20"/>
          <w:spacing w:val="10"/>
          <w:w w:val="105"/>
        </w:rPr>
        <w:t xml:space="preserve"> </w:t>
      </w:r>
      <w:r w:rsidRPr="00297B27">
        <w:rPr>
          <w:rFonts w:ascii="Calibri" w:hAnsi="Calibri"/>
          <w:color w:val="231F20"/>
          <w:w w:val="105"/>
        </w:rPr>
        <w:t>number</w:t>
      </w:r>
      <w:r w:rsidRPr="00297B27">
        <w:rPr>
          <w:rFonts w:ascii="Calibri" w:hAnsi="Calibri"/>
          <w:color w:val="231F20"/>
          <w:w w:val="104"/>
        </w:rPr>
        <w:t xml:space="preserve"> </w:t>
      </w:r>
      <w:r w:rsidRPr="00297B27">
        <w:rPr>
          <w:rFonts w:ascii="Calibri" w:hAnsi="Calibri"/>
          <w:color w:val="231F20"/>
          <w:w w:val="105"/>
        </w:rPr>
        <w:t>of jobs in this sector has increased over the past three years.</w:t>
      </w:r>
    </w:p>
    <w:p w14:paraId="75F55709" w14:textId="77777777" w:rsidR="00002D76" w:rsidRPr="00297B27" w:rsidRDefault="00002D76" w:rsidP="00002D76">
      <w:pPr>
        <w:widowControl w:val="0"/>
        <w:spacing w:before="6" w:after="0" w:line="240" w:lineRule="auto"/>
        <w:rPr>
          <w:rFonts w:ascii="Calibri" w:hAnsi="Calibri" w:cs="Calibri"/>
          <w:sz w:val="16"/>
          <w:szCs w:val="16"/>
        </w:rPr>
      </w:pPr>
    </w:p>
    <w:p w14:paraId="6018D959" w14:textId="77777777" w:rsidR="00002D76" w:rsidRPr="00041D0F" w:rsidRDefault="00002D76" w:rsidP="00D63204">
      <w:pPr>
        <w:widowControl w:val="0"/>
        <w:spacing w:after="0" w:line="266" w:lineRule="exact"/>
        <w:ind w:left="468" w:right="468"/>
        <w:outlineLvl w:val="2"/>
        <w:rPr>
          <w:rFonts w:ascii="Calibri" w:hAnsi="Calibri"/>
        </w:rPr>
      </w:pPr>
      <w:r w:rsidRPr="00041D0F">
        <w:rPr>
          <w:rFonts w:ascii="Calibri" w:hAnsi="Calibri"/>
          <w:b/>
          <w:bCs/>
          <w:color w:val="231F20"/>
          <w:w w:val="115"/>
        </w:rPr>
        <w:t>Figure</w:t>
      </w:r>
      <w:r w:rsidRPr="00041D0F">
        <w:rPr>
          <w:rFonts w:ascii="Calibri" w:hAnsi="Calibri"/>
          <w:b/>
          <w:bCs/>
          <w:color w:val="231F20"/>
          <w:spacing w:val="-18"/>
          <w:w w:val="115"/>
        </w:rPr>
        <w:t xml:space="preserve"> </w:t>
      </w:r>
      <w:r w:rsidRPr="00041D0F">
        <w:rPr>
          <w:rFonts w:ascii="Calibri" w:hAnsi="Calibri"/>
          <w:b/>
          <w:bCs/>
          <w:color w:val="231F20"/>
          <w:w w:val="115"/>
        </w:rPr>
        <w:t>2.32</w:t>
      </w:r>
    </w:p>
    <w:p w14:paraId="34570685" w14:textId="6CD24EE2" w:rsidR="00002D76" w:rsidRPr="00005BFC" w:rsidRDefault="00002D76" w:rsidP="00D63204">
      <w:pPr>
        <w:widowControl w:val="0"/>
        <w:spacing w:before="2" w:after="0" w:line="235" w:lineRule="auto"/>
        <w:ind w:left="3184" w:right="3182"/>
        <w:rPr>
          <w:rFonts w:ascii="Calibri" w:hAnsi="Calibri" w:cs="Calibri"/>
        </w:rPr>
      </w:pPr>
      <w:r w:rsidRPr="00041D0F">
        <w:rPr>
          <w:noProof/>
        </w:rPr>
        <w:drawing>
          <wp:anchor distT="0" distB="0" distL="114300" distR="114300" simplePos="0" relativeHeight="251658257" behindDoc="0" locked="0" layoutInCell="1" allowOverlap="1" wp14:anchorId="701EDF75" wp14:editId="102F948C">
            <wp:simplePos x="0" y="0"/>
            <wp:positionH relativeFrom="margin">
              <wp:align>center</wp:align>
            </wp:positionH>
            <wp:positionV relativeFrom="paragraph">
              <wp:posOffset>438365</wp:posOffset>
            </wp:positionV>
            <wp:extent cx="6191250" cy="2971800"/>
            <wp:effectExtent l="0" t="0" r="0" b="0"/>
            <wp:wrapTopAndBottom/>
            <wp:docPr id="1402719358" name="Chart 1402719358" descr="The line graph shows government employment in Florida declined from 2008 to 2012. Government employment is back to 2010 levels. In November 2017, employment was 1,110,700. The over the year change in November 2017 (+12,200 jobs, +1.1 percent) was 1,700 less when compared to November 2016 (+13,900, +1.3 percent). Jobs in this sector increased over the past three years.&#10;" title="Figure 2.32 Florida Government Employment (Seasonally Adjusted)"/>
            <wp:cNvGraphicFramePr/>
            <a:graphic xmlns:a="http://schemas.openxmlformats.org/drawingml/2006/main">
              <a:graphicData uri="http://schemas.openxmlformats.org/drawingml/2006/chart">
                <c:chart xmlns:c="http://schemas.openxmlformats.org/drawingml/2006/chart" xmlns:r="http://schemas.openxmlformats.org/officeDocument/2006/relationships" r:id="rId92"/>
              </a:graphicData>
            </a:graphic>
            <wp14:sizeRelV relativeFrom="margin">
              <wp14:pctHeight>0</wp14:pctHeight>
            </wp14:sizeRelV>
          </wp:anchor>
        </w:drawing>
      </w:r>
      <w:r w:rsidRPr="00041D0F">
        <w:rPr>
          <w:rFonts w:ascii="Calibri" w:hAnsi="Calibri"/>
          <w:b/>
          <w:color w:val="231F20"/>
          <w:w w:val="110"/>
        </w:rPr>
        <w:t>Florida</w:t>
      </w:r>
      <w:r w:rsidRPr="00041D0F">
        <w:rPr>
          <w:rFonts w:ascii="Calibri" w:hAnsi="Calibri"/>
          <w:b/>
          <w:color w:val="231F20"/>
          <w:spacing w:val="-34"/>
          <w:w w:val="110"/>
        </w:rPr>
        <w:t xml:space="preserve"> </w:t>
      </w:r>
      <w:r w:rsidRPr="00041D0F">
        <w:rPr>
          <w:rFonts w:ascii="Calibri" w:hAnsi="Calibri"/>
          <w:b/>
          <w:color w:val="231F20"/>
          <w:w w:val="110"/>
        </w:rPr>
        <w:t>Government</w:t>
      </w:r>
      <w:r w:rsidRPr="00041D0F">
        <w:rPr>
          <w:rFonts w:ascii="Calibri" w:hAnsi="Calibri"/>
          <w:b/>
          <w:color w:val="231F20"/>
          <w:spacing w:val="-34"/>
          <w:w w:val="110"/>
        </w:rPr>
        <w:t xml:space="preserve"> </w:t>
      </w:r>
      <w:r w:rsidRPr="00041D0F">
        <w:rPr>
          <w:rFonts w:ascii="Calibri" w:hAnsi="Calibri"/>
          <w:b/>
          <w:color w:val="231F20"/>
          <w:w w:val="110"/>
        </w:rPr>
        <w:t>Employment</w:t>
      </w:r>
      <w:r w:rsidRPr="00041D0F">
        <w:rPr>
          <w:rFonts w:ascii="Calibri" w:hAnsi="Calibri"/>
          <w:b/>
          <w:color w:val="231F20"/>
          <w:w w:val="107"/>
        </w:rPr>
        <w:t xml:space="preserve"> </w:t>
      </w:r>
      <w:r w:rsidR="00005BFC" w:rsidRPr="00005BFC">
        <w:rPr>
          <w:rFonts w:ascii="Calibri" w:hAnsi="Calibri"/>
          <w:color w:val="231F20"/>
          <w:w w:val="107"/>
        </w:rPr>
        <w:t>(</w:t>
      </w:r>
      <w:r w:rsidRPr="00005BFC">
        <w:rPr>
          <w:rFonts w:ascii="Calibri" w:hAnsi="Calibri"/>
          <w:color w:val="231F20"/>
          <w:w w:val="110"/>
        </w:rPr>
        <w:t>Seasonally</w:t>
      </w:r>
      <w:r w:rsidRPr="00005BFC">
        <w:rPr>
          <w:rFonts w:ascii="Calibri" w:hAnsi="Calibri"/>
          <w:color w:val="231F20"/>
          <w:spacing w:val="2"/>
          <w:w w:val="110"/>
        </w:rPr>
        <w:t xml:space="preserve"> </w:t>
      </w:r>
      <w:r w:rsidRPr="00005BFC">
        <w:rPr>
          <w:rFonts w:ascii="Calibri" w:hAnsi="Calibri"/>
          <w:color w:val="231F20"/>
          <w:w w:val="110"/>
        </w:rPr>
        <w:t>Adjusted</w:t>
      </w:r>
      <w:r w:rsidR="00005BFC">
        <w:rPr>
          <w:rFonts w:ascii="Calibri" w:hAnsi="Calibri"/>
          <w:color w:val="231F20"/>
          <w:w w:val="110"/>
        </w:rPr>
        <w:t>)</w:t>
      </w:r>
    </w:p>
    <w:p w14:paraId="09A1F855" w14:textId="77777777" w:rsidR="00002D76" w:rsidRPr="00041D0F" w:rsidRDefault="00002D76" w:rsidP="00002D76">
      <w:pPr>
        <w:widowControl w:val="0"/>
        <w:spacing w:before="30" w:after="0" w:line="218" w:lineRule="exact"/>
        <w:ind w:left="450"/>
        <w:rPr>
          <w:rFonts w:ascii="Calibri" w:hAnsi="Calibri" w:cs="Calibri"/>
          <w:sz w:val="18"/>
          <w:szCs w:val="18"/>
        </w:rPr>
      </w:pPr>
      <w:r w:rsidRPr="00041D0F">
        <w:rPr>
          <w:rFonts w:ascii="Calibri" w:hAnsi="Calibri"/>
          <w:w w:val="105"/>
          <w:sz w:val="18"/>
        </w:rPr>
        <w:t xml:space="preserve">Source: </w:t>
      </w:r>
      <w:r>
        <w:rPr>
          <w:rFonts w:ascii="Calibri" w:hAnsi="Calibri"/>
          <w:w w:val="105"/>
          <w:sz w:val="18"/>
        </w:rPr>
        <w:t xml:space="preserve"> </w:t>
      </w:r>
      <w:r w:rsidRPr="00041D0F">
        <w:rPr>
          <w:rFonts w:ascii="Calibri" w:hAnsi="Calibri"/>
          <w:w w:val="105"/>
          <w:sz w:val="18"/>
        </w:rPr>
        <w:t xml:space="preserve">U.S. Department of </w:t>
      </w:r>
      <w:r w:rsidRPr="00041D0F">
        <w:rPr>
          <w:rFonts w:ascii="Calibri" w:hAnsi="Calibri"/>
          <w:spacing w:val="-3"/>
          <w:w w:val="105"/>
          <w:sz w:val="18"/>
        </w:rPr>
        <w:t xml:space="preserve">Labor, </w:t>
      </w:r>
      <w:r w:rsidRPr="00041D0F">
        <w:rPr>
          <w:rFonts w:ascii="Calibri" w:hAnsi="Calibri"/>
          <w:w w:val="105"/>
          <w:sz w:val="18"/>
        </w:rPr>
        <w:t xml:space="preserve">Bureau of Labor Statistics, </w:t>
      </w:r>
      <w:r>
        <w:rPr>
          <w:rFonts w:ascii="Calibri" w:hAnsi="Calibri"/>
          <w:w w:val="105"/>
          <w:sz w:val="18"/>
        </w:rPr>
        <w:t>Current Employment Statistics</w:t>
      </w:r>
      <w:r w:rsidRPr="00041D0F">
        <w:rPr>
          <w:rFonts w:ascii="Calibri" w:hAnsi="Calibri"/>
          <w:spacing w:val="1"/>
          <w:w w:val="105"/>
          <w:sz w:val="18"/>
        </w:rPr>
        <w:t xml:space="preserve"> </w:t>
      </w:r>
      <w:r>
        <w:rPr>
          <w:rFonts w:ascii="Calibri" w:hAnsi="Calibri"/>
          <w:w w:val="105"/>
          <w:sz w:val="18"/>
        </w:rPr>
        <w:t>Program</w:t>
      </w:r>
      <w:r w:rsidRPr="00041D0F">
        <w:rPr>
          <w:rFonts w:ascii="Calibri" w:hAnsi="Calibri"/>
          <w:w w:val="105"/>
          <w:sz w:val="18"/>
        </w:rPr>
        <w:t xml:space="preserve">, </w:t>
      </w:r>
      <w:r>
        <w:rPr>
          <w:rFonts w:ascii="Calibri" w:hAnsi="Calibri"/>
          <w:color w:val="231F20"/>
          <w:w w:val="105"/>
          <w:sz w:val="18"/>
        </w:rPr>
        <w:t>December</w:t>
      </w:r>
      <w:r w:rsidRPr="00041D0F">
        <w:rPr>
          <w:rFonts w:ascii="Calibri" w:hAnsi="Calibri"/>
          <w:color w:val="231F20"/>
          <w:spacing w:val="25"/>
          <w:w w:val="105"/>
          <w:sz w:val="18"/>
        </w:rPr>
        <w:t xml:space="preserve"> </w:t>
      </w:r>
      <w:r>
        <w:rPr>
          <w:rFonts w:ascii="Calibri" w:hAnsi="Calibri"/>
          <w:color w:val="231F20"/>
          <w:w w:val="105"/>
          <w:sz w:val="18"/>
        </w:rPr>
        <w:t>2017.</w:t>
      </w:r>
    </w:p>
    <w:p w14:paraId="25C08A74" w14:textId="77777777" w:rsidR="00002D76" w:rsidRDefault="00002D76" w:rsidP="00002D76">
      <w:pPr>
        <w:widowControl w:val="0"/>
        <w:spacing w:before="6" w:after="0" w:line="240" w:lineRule="auto"/>
        <w:rPr>
          <w:rFonts w:ascii="Calibri" w:hAnsi="Calibri" w:cs="Calibri"/>
          <w:sz w:val="18"/>
          <w:szCs w:val="18"/>
        </w:rPr>
      </w:pPr>
    </w:p>
    <w:p w14:paraId="31436043" w14:textId="19D55A30" w:rsidR="00002D76" w:rsidRPr="006F37A1" w:rsidRDefault="00002D76" w:rsidP="00664EFD">
      <w:pPr>
        <w:widowControl w:val="0"/>
        <w:numPr>
          <w:ilvl w:val="3"/>
          <w:numId w:val="7"/>
        </w:numPr>
        <w:tabs>
          <w:tab w:val="left" w:pos="3132"/>
        </w:tabs>
        <w:spacing w:after="0" w:line="240" w:lineRule="auto"/>
        <w:rPr>
          <w:rFonts w:ascii="Calibri" w:hAnsi="Calibri" w:cs="Calibri"/>
        </w:rPr>
      </w:pPr>
      <w:r w:rsidRPr="00EA7458">
        <w:rPr>
          <w:rFonts w:ascii="Calibri" w:hAnsi="Calibri"/>
          <w:color w:val="295CA3"/>
          <w:w w:val="105"/>
        </w:rPr>
        <w:t>Education and Skill Levels of the</w:t>
      </w:r>
      <w:r w:rsidRPr="00EA7458">
        <w:rPr>
          <w:rFonts w:ascii="Calibri" w:hAnsi="Calibri"/>
          <w:color w:val="295CA3"/>
          <w:spacing w:val="34"/>
          <w:w w:val="105"/>
        </w:rPr>
        <w:t xml:space="preserve"> </w:t>
      </w:r>
      <w:r w:rsidRPr="00EA7458">
        <w:rPr>
          <w:rFonts w:ascii="Calibri" w:hAnsi="Calibri"/>
          <w:color w:val="295CA3"/>
          <w:w w:val="105"/>
        </w:rPr>
        <w:t>Workforce</w:t>
      </w:r>
    </w:p>
    <w:p w14:paraId="28F1AA79" w14:textId="77777777" w:rsidR="006F37A1" w:rsidRPr="00EA7458" w:rsidRDefault="006F37A1" w:rsidP="006F37A1">
      <w:pPr>
        <w:widowControl w:val="0"/>
        <w:tabs>
          <w:tab w:val="left" w:pos="3132"/>
        </w:tabs>
        <w:spacing w:after="0" w:line="240" w:lineRule="auto"/>
        <w:ind w:left="3132"/>
        <w:rPr>
          <w:rFonts w:ascii="Calibri" w:hAnsi="Calibri" w:cs="Calibri"/>
        </w:rPr>
      </w:pPr>
    </w:p>
    <w:p w14:paraId="13A99160" w14:textId="0C0FFE06" w:rsidR="00CD1C1C" w:rsidRDefault="00CD1C1C" w:rsidP="00D63204">
      <w:pPr>
        <w:widowControl w:val="0"/>
        <w:spacing w:after="0" w:line="264" w:lineRule="exact"/>
        <w:ind w:left="107" w:right="166"/>
        <w:rPr>
          <w:rFonts w:ascii="Calibri" w:hAnsi="Calibri"/>
          <w:color w:val="231F20"/>
          <w:w w:val="105"/>
        </w:rPr>
      </w:pPr>
      <w:r w:rsidRPr="00CD1C1C">
        <w:rPr>
          <w:rFonts w:ascii="Calibri" w:hAnsi="Calibri"/>
          <w:color w:val="231F20"/>
          <w:w w:val="105"/>
        </w:rPr>
        <w:t>In 2016, the most common educational attainment level of Florida workforce participants from 25 to 64 years old was bachelor’s degree or higher at 32.0 percent, followed by some college or associate degree at 32.0 percent</w:t>
      </w:r>
      <w:r w:rsidR="00D5537E">
        <w:rPr>
          <w:rFonts w:ascii="Calibri" w:hAnsi="Calibri"/>
          <w:color w:val="231F20"/>
          <w:w w:val="105"/>
        </w:rPr>
        <w:t xml:space="preserve"> and</w:t>
      </w:r>
      <w:r w:rsidRPr="00CD1C1C">
        <w:rPr>
          <w:rFonts w:ascii="Calibri" w:hAnsi="Calibri"/>
          <w:color w:val="231F20"/>
          <w:w w:val="105"/>
        </w:rPr>
        <w:t xml:space="preserve"> then high school diploma (including equivalency) at 26.8 percent. Only 9.2 percent of workforce participants had attained less than a high school diploma and this is down from 2013.</w:t>
      </w:r>
    </w:p>
    <w:p w14:paraId="68C656A1" w14:textId="23599875" w:rsidR="00002D76" w:rsidRPr="00EA7458" w:rsidRDefault="005E5B17" w:rsidP="00D63204">
      <w:pPr>
        <w:widowControl w:val="0"/>
        <w:spacing w:after="0" w:line="264" w:lineRule="exact"/>
        <w:ind w:left="107" w:right="166"/>
        <w:rPr>
          <w:rFonts w:ascii="Calibri" w:hAnsi="Calibri" w:cs="Calibri"/>
          <w:sz w:val="16"/>
          <w:szCs w:val="16"/>
        </w:rPr>
      </w:pPr>
      <w:r w:rsidRPr="00EA7458">
        <w:rPr>
          <w:rFonts w:ascii="Calibri" w:hAnsi="Calibri" w:cs="Calibri"/>
          <w:sz w:val="16"/>
          <w:szCs w:val="16"/>
        </w:rPr>
        <w:t xml:space="preserve"> </w:t>
      </w:r>
    </w:p>
    <w:p w14:paraId="1BF658EC" w14:textId="77777777" w:rsidR="00002D76" w:rsidRPr="00EA7458" w:rsidRDefault="00002D76" w:rsidP="00D63204">
      <w:pPr>
        <w:widowControl w:val="0"/>
        <w:spacing w:after="0" w:line="261" w:lineRule="exact"/>
        <w:ind w:left="468" w:right="468"/>
        <w:outlineLvl w:val="2"/>
        <w:rPr>
          <w:rFonts w:ascii="Calibri" w:hAnsi="Calibri"/>
        </w:rPr>
      </w:pPr>
      <w:r w:rsidRPr="00EA7458">
        <w:rPr>
          <w:rFonts w:ascii="Calibri" w:hAnsi="Calibri"/>
          <w:b/>
          <w:bCs/>
          <w:color w:val="231F20"/>
          <w:w w:val="115"/>
        </w:rPr>
        <w:t>Figure</w:t>
      </w:r>
      <w:r w:rsidRPr="00EA7458">
        <w:rPr>
          <w:rFonts w:ascii="Calibri" w:hAnsi="Calibri"/>
          <w:b/>
          <w:bCs/>
          <w:color w:val="231F20"/>
          <w:spacing w:val="-21"/>
          <w:w w:val="115"/>
        </w:rPr>
        <w:t xml:space="preserve"> </w:t>
      </w:r>
      <w:r w:rsidRPr="00EA7458">
        <w:rPr>
          <w:rFonts w:ascii="Calibri" w:hAnsi="Calibri"/>
          <w:b/>
          <w:bCs/>
          <w:color w:val="231F20"/>
          <w:w w:val="115"/>
        </w:rPr>
        <w:t>2.33</w:t>
      </w:r>
    </w:p>
    <w:p w14:paraId="54BE27EE" w14:textId="77777777" w:rsidR="00002D76" w:rsidRPr="008B5C34" w:rsidRDefault="00002D76" w:rsidP="00D63204">
      <w:pPr>
        <w:widowControl w:val="0"/>
        <w:spacing w:after="0" w:line="212" w:lineRule="exact"/>
        <w:ind w:left="468" w:right="468"/>
        <w:rPr>
          <w:rFonts w:ascii="Calibri" w:hAnsi="Calibri" w:cs="Calibri"/>
        </w:rPr>
      </w:pPr>
      <w:r w:rsidRPr="008B5C34">
        <w:rPr>
          <w:rFonts w:ascii="Calibri" w:hAnsi="Calibri"/>
          <w:b/>
          <w:color w:val="231F20"/>
          <w:w w:val="110"/>
        </w:rPr>
        <w:t>Florida</w:t>
      </w:r>
      <w:r w:rsidRPr="008B5C34">
        <w:rPr>
          <w:rFonts w:ascii="Calibri" w:hAnsi="Calibri"/>
          <w:b/>
          <w:color w:val="231F20"/>
          <w:spacing w:val="-4"/>
          <w:w w:val="110"/>
        </w:rPr>
        <w:t xml:space="preserve"> </w:t>
      </w:r>
      <w:r w:rsidRPr="008B5C34">
        <w:rPr>
          <w:rFonts w:ascii="Calibri" w:hAnsi="Calibri"/>
          <w:b/>
          <w:color w:val="231F20"/>
          <w:w w:val="110"/>
        </w:rPr>
        <w:t>Educational</w:t>
      </w:r>
      <w:r w:rsidRPr="008B5C34">
        <w:rPr>
          <w:rFonts w:ascii="Calibri" w:hAnsi="Calibri"/>
          <w:b/>
          <w:color w:val="231F20"/>
          <w:spacing w:val="-4"/>
          <w:w w:val="110"/>
        </w:rPr>
        <w:t xml:space="preserve"> </w:t>
      </w:r>
      <w:r w:rsidRPr="008B5C34">
        <w:rPr>
          <w:rFonts w:ascii="Calibri" w:hAnsi="Calibri"/>
          <w:b/>
          <w:color w:val="231F20"/>
          <w:w w:val="110"/>
        </w:rPr>
        <w:t>Attainment</w:t>
      </w:r>
      <w:r w:rsidRPr="008B5C34">
        <w:rPr>
          <w:rFonts w:ascii="Calibri" w:hAnsi="Calibri"/>
          <w:b/>
          <w:color w:val="231F20"/>
          <w:spacing w:val="-4"/>
          <w:w w:val="110"/>
        </w:rPr>
        <w:t xml:space="preserve"> </w:t>
      </w:r>
      <w:r w:rsidRPr="008B5C34">
        <w:rPr>
          <w:rFonts w:ascii="Calibri" w:hAnsi="Calibri"/>
          <w:b/>
          <w:color w:val="231F20"/>
          <w:w w:val="110"/>
        </w:rPr>
        <w:t>for</w:t>
      </w:r>
      <w:r w:rsidRPr="008B5C34">
        <w:rPr>
          <w:rFonts w:ascii="Calibri" w:hAnsi="Calibri"/>
          <w:b/>
          <w:color w:val="231F20"/>
          <w:spacing w:val="-4"/>
          <w:w w:val="110"/>
        </w:rPr>
        <w:t xml:space="preserve"> </w:t>
      </w:r>
      <w:r w:rsidRPr="008B5C34">
        <w:rPr>
          <w:rFonts w:ascii="Calibri" w:hAnsi="Calibri"/>
          <w:b/>
          <w:color w:val="231F20"/>
          <w:w w:val="110"/>
        </w:rPr>
        <w:t>the</w:t>
      </w:r>
      <w:r w:rsidRPr="008B5C34">
        <w:rPr>
          <w:rFonts w:ascii="Calibri" w:hAnsi="Calibri"/>
          <w:b/>
          <w:color w:val="231F20"/>
          <w:spacing w:val="-4"/>
          <w:w w:val="110"/>
        </w:rPr>
        <w:t xml:space="preserve"> </w:t>
      </w:r>
      <w:r w:rsidRPr="008B5C34">
        <w:rPr>
          <w:rFonts w:ascii="Calibri" w:hAnsi="Calibri"/>
          <w:b/>
          <w:color w:val="231F20"/>
          <w:w w:val="110"/>
        </w:rPr>
        <w:t>Civilian</w:t>
      </w:r>
      <w:r w:rsidRPr="008B5C34">
        <w:rPr>
          <w:rFonts w:ascii="Calibri" w:hAnsi="Calibri"/>
          <w:b/>
          <w:color w:val="231F20"/>
          <w:spacing w:val="-4"/>
          <w:w w:val="110"/>
        </w:rPr>
        <w:t xml:space="preserve"> </w:t>
      </w:r>
      <w:r w:rsidRPr="008B5C34">
        <w:rPr>
          <w:rFonts w:ascii="Calibri" w:hAnsi="Calibri"/>
          <w:b/>
          <w:color w:val="231F20"/>
          <w:w w:val="110"/>
        </w:rPr>
        <w:t>Labor</w:t>
      </w:r>
      <w:r w:rsidRPr="008B5C34">
        <w:rPr>
          <w:rFonts w:ascii="Calibri" w:hAnsi="Calibri"/>
          <w:b/>
          <w:color w:val="231F20"/>
          <w:spacing w:val="-4"/>
          <w:w w:val="110"/>
        </w:rPr>
        <w:t xml:space="preserve"> </w:t>
      </w:r>
      <w:r w:rsidRPr="008B5C34">
        <w:rPr>
          <w:rFonts w:ascii="Calibri" w:hAnsi="Calibri"/>
          <w:b/>
          <w:color w:val="231F20"/>
          <w:w w:val="110"/>
        </w:rPr>
        <w:t>Force,</w:t>
      </w:r>
      <w:r w:rsidRPr="008B5C34">
        <w:rPr>
          <w:rFonts w:ascii="Calibri" w:hAnsi="Calibri"/>
          <w:b/>
          <w:color w:val="231F20"/>
          <w:spacing w:val="-4"/>
          <w:w w:val="110"/>
        </w:rPr>
        <w:t xml:space="preserve"> </w:t>
      </w:r>
      <w:r w:rsidRPr="008B5C34">
        <w:rPr>
          <w:rFonts w:ascii="Calibri" w:hAnsi="Calibri"/>
          <w:b/>
          <w:color w:val="231F20"/>
          <w:w w:val="110"/>
        </w:rPr>
        <w:t>Age</w:t>
      </w:r>
      <w:r w:rsidRPr="008B5C34">
        <w:rPr>
          <w:rFonts w:ascii="Calibri" w:hAnsi="Calibri"/>
          <w:b/>
          <w:color w:val="231F20"/>
          <w:spacing w:val="-4"/>
          <w:w w:val="110"/>
        </w:rPr>
        <w:t xml:space="preserve"> </w:t>
      </w:r>
      <w:r w:rsidRPr="008B5C34">
        <w:rPr>
          <w:rFonts w:ascii="Calibri" w:hAnsi="Calibri"/>
          <w:b/>
          <w:color w:val="231F20"/>
          <w:w w:val="110"/>
        </w:rPr>
        <w:t>25-64</w:t>
      </w:r>
      <w:r w:rsidRPr="008B5C34">
        <w:rPr>
          <w:rFonts w:ascii="Calibri" w:hAnsi="Calibri"/>
          <w:b/>
          <w:color w:val="231F20"/>
          <w:spacing w:val="-4"/>
          <w:w w:val="110"/>
        </w:rPr>
        <w:t xml:space="preserve"> </w:t>
      </w:r>
      <w:r w:rsidRPr="008B5C34">
        <w:rPr>
          <w:rFonts w:ascii="Calibri" w:hAnsi="Calibri"/>
          <w:b/>
          <w:color w:val="231F20"/>
          <w:w w:val="110"/>
        </w:rPr>
        <w:t>(2016)</w:t>
      </w:r>
    </w:p>
    <w:p w14:paraId="1E0EB945" w14:textId="77777777" w:rsidR="00002D76" w:rsidRPr="00A06ACE" w:rsidRDefault="00002D76" w:rsidP="00002D76">
      <w:pPr>
        <w:widowControl w:val="0"/>
        <w:spacing w:before="12" w:after="0" w:line="240" w:lineRule="auto"/>
        <w:rPr>
          <w:rFonts w:ascii="Calibri" w:hAnsi="Calibri" w:cs="Calibri"/>
          <w:b/>
          <w:bCs/>
          <w:sz w:val="18"/>
          <w:szCs w:val="18"/>
        </w:rPr>
      </w:pPr>
    </w:p>
    <w:tbl>
      <w:tblPr>
        <w:tblW w:w="0" w:type="auto"/>
        <w:tblInd w:w="108" w:type="dxa"/>
        <w:tblLayout w:type="fixed"/>
        <w:tblCellMar>
          <w:left w:w="0" w:type="dxa"/>
          <w:right w:w="0" w:type="dxa"/>
        </w:tblCellMar>
        <w:tblLook w:val="01E0" w:firstRow="1" w:lastRow="1" w:firstColumn="1" w:lastColumn="1" w:noHBand="0" w:noVBand="0"/>
      </w:tblPr>
      <w:tblGrid>
        <w:gridCol w:w="2520"/>
        <w:gridCol w:w="2520"/>
        <w:gridCol w:w="2589"/>
        <w:gridCol w:w="2520"/>
      </w:tblGrid>
      <w:tr w:rsidR="00002D76" w:rsidRPr="00A06ACE" w14:paraId="6A798B4E" w14:textId="77777777" w:rsidTr="001429C7">
        <w:trPr>
          <w:trHeight w:hRule="exact" w:val="653"/>
        </w:trPr>
        <w:tc>
          <w:tcPr>
            <w:tcW w:w="2520" w:type="dxa"/>
            <w:tcBorders>
              <w:top w:val="single" w:sz="2" w:space="0" w:color="231F20"/>
              <w:left w:val="single" w:sz="2" w:space="0" w:color="231F20"/>
              <w:bottom w:val="single" w:sz="2" w:space="0" w:color="231F20"/>
              <w:right w:val="single" w:sz="2" w:space="0" w:color="231F20"/>
            </w:tcBorders>
          </w:tcPr>
          <w:p w14:paraId="35E63D72" w14:textId="4B6F9740" w:rsidR="00002D76" w:rsidRPr="00A06ACE" w:rsidRDefault="00002D76" w:rsidP="00D63204">
            <w:pPr>
              <w:widowControl w:val="0"/>
              <w:spacing w:before="151" w:after="0" w:line="240" w:lineRule="exact"/>
              <w:ind w:left="77" w:right="479"/>
              <w:rPr>
                <w:rFonts w:ascii="Calibri" w:hAnsi="Calibri" w:cs="Calibri"/>
                <w:sz w:val="20"/>
                <w:szCs w:val="20"/>
              </w:rPr>
            </w:pPr>
            <w:r w:rsidRPr="00A06ACE">
              <w:rPr>
                <w:rFonts w:ascii="Calibri" w:hAnsi="Calibri"/>
                <w:b/>
                <w:color w:val="231F20"/>
                <w:w w:val="110"/>
                <w:sz w:val="20"/>
              </w:rPr>
              <w:t xml:space="preserve">Less </w:t>
            </w:r>
            <w:r w:rsidR="004D6183" w:rsidRPr="00A06ACE">
              <w:rPr>
                <w:rFonts w:ascii="Calibri" w:hAnsi="Calibri"/>
                <w:b/>
                <w:color w:val="231F20"/>
                <w:w w:val="110"/>
                <w:sz w:val="20"/>
              </w:rPr>
              <w:t>Than High</w:t>
            </w:r>
            <w:r w:rsidR="004D6183" w:rsidRPr="00A06ACE">
              <w:rPr>
                <w:rFonts w:ascii="Calibri" w:hAnsi="Calibri"/>
                <w:b/>
                <w:color w:val="231F20"/>
                <w:spacing w:val="21"/>
                <w:w w:val="110"/>
                <w:sz w:val="20"/>
              </w:rPr>
              <w:t xml:space="preserve"> </w:t>
            </w:r>
            <w:r w:rsidR="004D6183" w:rsidRPr="00A06ACE">
              <w:rPr>
                <w:rFonts w:ascii="Calibri" w:hAnsi="Calibri"/>
                <w:b/>
                <w:color w:val="231F20"/>
                <w:w w:val="110"/>
                <w:sz w:val="20"/>
              </w:rPr>
              <w:t>School Graduate</w:t>
            </w:r>
          </w:p>
        </w:tc>
        <w:tc>
          <w:tcPr>
            <w:tcW w:w="2520" w:type="dxa"/>
            <w:tcBorders>
              <w:top w:val="single" w:sz="2" w:space="0" w:color="231F20"/>
              <w:left w:val="single" w:sz="2" w:space="0" w:color="231F20"/>
              <w:bottom w:val="single" w:sz="2" w:space="0" w:color="231F20"/>
              <w:right w:val="single" w:sz="2" w:space="0" w:color="231F20"/>
            </w:tcBorders>
          </w:tcPr>
          <w:p w14:paraId="5CD00CCA" w14:textId="577B1A0C" w:rsidR="00002D76" w:rsidRPr="00A06ACE" w:rsidRDefault="00002D76" w:rsidP="00BF491E">
            <w:pPr>
              <w:widowControl w:val="0"/>
              <w:spacing w:before="151" w:after="0" w:line="240" w:lineRule="exact"/>
              <w:ind w:left="255" w:right="75"/>
              <w:rPr>
                <w:rFonts w:ascii="Calibri" w:hAnsi="Calibri" w:cs="Calibri"/>
                <w:sz w:val="20"/>
                <w:szCs w:val="20"/>
              </w:rPr>
            </w:pPr>
            <w:r w:rsidRPr="00A06ACE">
              <w:rPr>
                <w:rFonts w:ascii="Calibri" w:hAnsi="Calibri"/>
                <w:b/>
                <w:color w:val="231F20"/>
                <w:w w:val="110"/>
                <w:sz w:val="20"/>
              </w:rPr>
              <w:t xml:space="preserve">High </w:t>
            </w:r>
            <w:r w:rsidR="004D6183" w:rsidRPr="00A06ACE">
              <w:rPr>
                <w:rFonts w:ascii="Calibri" w:hAnsi="Calibri"/>
                <w:b/>
                <w:color w:val="231F20"/>
                <w:w w:val="110"/>
                <w:sz w:val="20"/>
              </w:rPr>
              <w:t>School</w:t>
            </w:r>
            <w:r w:rsidR="004D6183" w:rsidRPr="00A06ACE">
              <w:rPr>
                <w:rFonts w:ascii="Calibri" w:hAnsi="Calibri"/>
                <w:b/>
                <w:color w:val="231F20"/>
                <w:spacing w:val="13"/>
                <w:w w:val="110"/>
                <w:sz w:val="20"/>
              </w:rPr>
              <w:t xml:space="preserve"> </w:t>
            </w:r>
            <w:r w:rsidR="00BF491E">
              <w:rPr>
                <w:rFonts w:ascii="Calibri" w:hAnsi="Calibri"/>
                <w:b/>
                <w:color w:val="231F20"/>
                <w:spacing w:val="13"/>
                <w:w w:val="110"/>
                <w:sz w:val="20"/>
              </w:rPr>
              <w:t>G</w:t>
            </w:r>
            <w:r w:rsidR="004D6183" w:rsidRPr="00A06ACE">
              <w:rPr>
                <w:rFonts w:ascii="Calibri" w:hAnsi="Calibri"/>
                <w:b/>
                <w:color w:val="231F20"/>
                <w:w w:val="110"/>
                <w:sz w:val="20"/>
              </w:rPr>
              <w:t>raduate</w:t>
            </w:r>
            <w:r w:rsidR="004D6183" w:rsidRPr="00A06ACE">
              <w:rPr>
                <w:rFonts w:ascii="Calibri" w:hAnsi="Calibri"/>
                <w:b/>
                <w:color w:val="231F20"/>
                <w:w w:val="109"/>
                <w:sz w:val="20"/>
              </w:rPr>
              <w:t xml:space="preserve"> </w:t>
            </w:r>
            <w:r w:rsidR="004D6183" w:rsidRPr="00A06ACE">
              <w:rPr>
                <w:rFonts w:ascii="Calibri" w:hAnsi="Calibri"/>
                <w:b/>
                <w:color w:val="231F20"/>
                <w:w w:val="110"/>
                <w:sz w:val="20"/>
              </w:rPr>
              <w:t>(Includes</w:t>
            </w:r>
            <w:r w:rsidR="004D6183" w:rsidRPr="00A06ACE">
              <w:rPr>
                <w:rFonts w:ascii="Calibri" w:hAnsi="Calibri"/>
                <w:b/>
                <w:color w:val="231F20"/>
                <w:spacing w:val="-24"/>
                <w:w w:val="110"/>
                <w:sz w:val="20"/>
              </w:rPr>
              <w:t xml:space="preserve"> </w:t>
            </w:r>
            <w:r w:rsidR="004D6183" w:rsidRPr="00A06ACE">
              <w:rPr>
                <w:rFonts w:ascii="Calibri" w:hAnsi="Calibri"/>
                <w:b/>
                <w:color w:val="231F20"/>
                <w:w w:val="110"/>
                <w:sz w:val="20"/>
              </w:rPr>
              <w:t>Equivalency)</w:t>
            </w:r>
          </w:p>
        </w:tc>
        <w:tc>
          <w:tcPr>
            <w:tcW w:w="2589" w:type="dxa"/>
            <w:tcBorders>
              <w:top w:val="single" w:sz="2" w:space="0" w:color="231F20"/>
              <w:left w:val="single" w:sz="2" w:space="0" w:color="231F20"/>
              <w:bottom w:val="single" w:sz="2" w:space="0" w:color="231F20"/>
              <w:right w:val="single" w:sz="2" w:space="0" w:color="231F20"/>
            </w:tcBorders>
          </w:tcPr>
          <w:p w14:paraId="34877B13" w14:textId="142A419C" w:rsidR="00002D76" w:rsidRPr="00A06ACE" w:rsidRDefault="00002D76" w:rsidP="00D63204">
            <w:pPr>
              <w:widowControl w:val="0"/>
              <w:spacing w:before="151" w:after="0" w:line="240" w:lineRule="exact"/>
              <w:ind w:left="75" w:right="75"/>
              <w:rPr>
                <w:rFonts w:ascii="Calibri" w:hAnsi="Calibri" w:cs="Calibri"/>
                <w:sz w:val="20"/>
                <w:szCs w:val="20"/>
              </w:rPr>
            </w:pPr>
            <w:r w:rsidRPr="00A06ACE">
              <w:rPr>
                <w:rFonts w:ascii="Calibri" w:hAnsi="Calibri" w:cs="Calibri"/>
                <w:b/>
                <w:bCs/>
                <w:color w:val="231F20"/>
                <w:w w:val="110"/>
                <w:sz w:val="20"/>
                <w:szCs w:val="20"/>
              </w:rPr>
              <w:t xml:space="preserve">Some </w:t>
            </w:r>
            <w:r w:rsidR="004D6183" w:rsidRPr="00A06ACE">
              <w:rPr>
                <w:rFonts w:ascii="Calibri" w:hAnsi="Calibri" w:cs="Calibri"/>
                <w:b/>
                <w:bCs/>
                <w:color w:val="231F20"/>
                <w:w w:val="110"/>
                <w:sz w:val="20"/>
                <w:szCs w:val="20"/>
              </w:rPr>
              <w:t>College</w:t>
            </w:r>
            <w:r w:rsidR="004D6183" w:rsidRPr="00A06ACE">
              <w:rPr>
                <w:rFonts w:ascii="Calibri" w:hAnsi="Calibri" w:cs="Calibri"/>
                <w:b/>
                <w:bCs/>
                <w:color w:val="231F20"/>
                <w:spacing w:val="6"/>
                <w:w w:val="110"/>
                <w:sz w:val="20"/>
                <w:szCs w:val="20"/>
              </w:rPr>
              <w:t xml:space="preserve"> </w:t>
            </w:r>
            <w:r w:rsidR="00BF491E">
              <w:rPr>
                <w:rFonts w:ascii="Calibri" w:hAnsi="Calibri" w:cs="Calibri"/>
                <w:b/>
                <w:bCs/>
                <w:color w:val="231F20"/>
                <w:w w:val="110"/>
                <w:sz w:val="20"/>
                <w:szCs w:val="20"/>
              </w:rPr>
              <w:t>o</w:t>
            </w:r>
            <w:r w:rsidR="004D6183" w:rsidRPr="00A06ACE">
              <w:rPr>
                <w:rFonts w:ascii="Calibri" w:hAnsi="Calibri" w:cs="Calibri"/>
                <w:b/>
                <w:bCs/>
                <w:color w:val="231F20"/>
                <w:w w:val="110"/>
                <w:sz w:val="20"/>
                <w:szCs w:val="20"/>
              </w:rPr>
              <w:t>r</w:t>
            </w:r>
            <w:r w:rsidR="004D6183" w:rsidRPr="00A06ACE">
              <w:rPr>
                <w:rFonts w:ascii="Calibri" w:hAnsi="Calibri" w:cs="Calibri"/>
                <w:b/>
                <w:bCs/>
                <w:color w:val="231F20"/>
                <w:w w:val="104"/>
                <w:sz w:val="20"/>
                <w:szCs w:val="20"/>
              </w:rPr>
              <w:t xml:space="preserve"> </w:t>
            </w:r>
            <w:r w:rsidR="004D6183" w:rsidRPr="00A06ACE">
              <w:rPr>
                <w:rFonts w:ascii="Calibri" w:hAnsi="Calibri" w:cs="Calibri"/>
                <w:b/>
                <w:bCs/>
                <w:color w:val="231F20"/>
                <w:w w:val="110"/>
                <w:sz w:val="20"/>
                <w:szCs w:val="20"/>
              </w:rPr>
              <w:t>Associate’s</w:t>
            </w:r>
            <w:r w:rsidR="004D6183" w:rsidRPr="00A06ACE">
              <w:rPr>
                <w:rFonts w:ascii="Calibri" w:hAnsi="Calibri" w:cs="Calibri"/>
                <w:b/>
                <w:bCs/>
                <w:color w:val="231F20"/>
                <w:spacing w:val="7"/>
                <w:w w:val="110"/>
                <w:sz w:val="20"/>
                <w:szCs w:val="20"/>
              </w:rPr>
              <w:t xml:space="preserve"> </w:t>
            </w:r>
            <w:r w:rsidR="004D6183" w:rsidRPr="00A06ACE">
              <w:rPr>
                <w:rFonts w:ascii="Calibri" w:hAnsi="Calibri" w:cs="Calibri"/>
                <w:b/>
                <w:bCs/>
                <w:color w:val="231F20"/>
                <w:w w:val="110"/>
                <w:sz w:val="20"/>
                <w:szCs w:val="20"/>
              </w:rPr>
              <w:t>Degree</w:t>
            </w:r>
          </w:p>
        </w:tc>
        <w:tc>
          <w:tcPr>
            <w:tcW w:w="2520" w:type="dxa"/>
            <w:tcBorders>
              <w:top w:val="single" w:sz="2" w:space="0" w:color="231F20"/>
              <w:left w:val="single" w:sz="2" w:space="0" w:color="231F20"/>
              <w:bottom w:val="single" w:sz="2" w:space="0" w:color="231F20"/>
              <w:right w:val="single" w:sz="2" w:space="0" w:color="231F20"/>
            </w:tcBorders>
          </w:tcPr>
          <w:p w14:paraId="69A34CB9" w14:textId="77777777" w:rsidR="00FA1A25" w:rsidRDefault="00002D76" w:rsidP="00D63204">
            <w:pPr>
              <w:widowControl w:val="0"/>
              <w:spacing w:before="152" w:after="0" w:line="242" w:lineRule="exact"/>
              <w:ind w:right="75"/>
              <w:rPr>
                <w:rFonts w:ascii="Calibri" w:hAnsi="Calibri" w:cs="Calibri"/>
                <w:b/>
                <w:bCs/>
                <w:color w:val="231F20"/>
                <w:spacing w:val="-4"/>
                <w:w w:val="110"/>
                <w:sz w:val="20"/>
                <w:szCs w:val="20"/>
              </w:rPr>
            </w:pPr>
            <w:r w:rsidRPr="00A06ACE">
              <w:rPr>
                <w:rFonts w:ascii="Calibri" w:hAnsi="Calibri" w:cs="Calibri"/>
                <w:b/>
                <w:bCs/>
                <w:color w:val="231F20"/>
                <w:w w:val="110"/>
                <w:sz w:val="20"/>
                <w:szCs w:val="20"/>
              </w:rPr>
              <w:t xml:space="preserve">Bachelor’s </w:t>
            </w:r>
            <w:r w:rsidR="004D6183" w:rsidRPr="00A06ACE">
              <w:rPr>
                <w:rFonts w:ascii="Calibri" w:hAnsi="Calibri" w:cs="Calibri"/>
                <w:b/>
                <w:bCs/>
                <w:color w:val="231F20"/>
                <w:w w:val="110"/>
                <w:sz w:val="20"/>
                <w:szCs w:val="20"/>
              </w:rPr>
              <w:t>Degree</w:t>
            </w:r>
            <w:r w:rsidR="004D6183" w:rsidRPr="00A06ACE">
              <w:rPr>
                <w:rFonts w:ascii="Calibri" w:hAnsi="Calibri" w:cs="Calibri"/>
                <w:b/>
                <w:bCs/>
                <w:color w:val="231F20"/>
                <w:spacing w:val="-4"/>
                <w:w w:val="110"/>
                <w:sz w:val="20"/>
                <w:szCs w:val="20"/>
              </w:rPr>
              <w:t xml:space="preserve"> </w:t>
            </w:r>
          </w:p>
          <w:p w14:paraId="4A278DD9" w14:textId="5282379E" w:rsidR="00002D76" w:rsidRPr="00A06ACE" w:rsidRDefault="00BF491E" w:rsidP="00D63204">
            <w:pPr>
              <w:widowControl w:val="0"/>
              <w:spacing w:after="0" w:line="240" w:lineRule="auto"/>
              <w:ind w:left="360" w:right="541"/>
              <w:rPr>
                <w:rFonts w:ascii="Calibri" w:hAnsi="Calibri" w:cs="Calibri"/>
                <w:sz w:val="20"/>
                <w:szCs w:val="20"/>
              </w:rPr>
            </w:pPr>
            <w:r>
              <w:rPr>
                <w:rFonts w:ascii="Calibri" w:hAnsi="Calibri" w:cs="Calibri"/>
                <w:b/>
                <w:bCs/>
                <w:color w:val="231F20"/>
                <w:w w:val="110"/>
                <w:sz w:val="20"/>
                <w:szCs w:val="20"/>
              </w:rPr>
              <w:t>o</w:t>
            </w:r>
            <w:r w:rsidR="004D6183" w:rsidRPr="00A06ACE">
              <w:rPr>
                <w:rFonts w:ascii="Calibri" w:hAnsi="Calibri" w:cs="Calibri"/>
                <w:b/>
                <w:bCs/>
                <w:color w:val="231F20"/>
                <w:w w:val="110"/>
                <w:sz w:val="20"/>
                <w:szCs w:val="20"/>
              </w:rPr>
              <w:t>r</w:t>
            </w:r>
            <w:r>
              <w:rPr>
                <w:rFonts w:ascii="Calibri" w:hAnsi="Calibri" w:cs="Calibri"/>
                <w:b/>
                <w:bCs/>
                <w:color w:val="231F20"/>
                <w:w w:val="110"/>
                <w:sz w:val="20"/>
                <w:szCs w:val="20"/>
              </w:rPr>
              <w:t xml:space="preserve"> </w:t>
            </w:r>
            <w:r w:rsidR="004D6183" w:rsidRPr="00A06ACE">
              <w:rPr>
                <w:rFonts w:ascii="Calibri" w:hAnsi="Calibri"/>
                <w:b/>
                <w:color w:val="231F20"/>
                <w:w w:val="105"/>
                <w:sz w:val="20"/>
              </w:rPr>
              <w:t>Higher</w:t>
            </w:r>
          </w:p>
        </w:tc>
      </w:tr>
      <w:tr w:rsidR="00002D76" w:rsidRPr="00FA1A25" w14:paraId="544E8FAD" w14:textId="77777777" w:rsidTr="001429C7">
        <w:trPr>
          <w:trHeight w:hRule="exact" w:val="367"/>
        </w:trPr>
        <w:tc>
          <w:tcPr>
            <w:tcW w:w="2520" w:type="dxa"/>
            <w:tcBorders>
              <w:top w:val="single" w:sz="2" w:space="0" w:color="231F20"/>
              <w:left w:val="single" w:sz="2" w:space="0" w:color="231F20"/>
              <w:bottom w:val="single" w:sz="2" w:space="0" w:color="000000"/>
              <w:right w:val="single" w:sz="2" w:space="0" w:color="231F20"/>
            </w:tcBorders>
            <w:shd w:val="clear" w:color="auto" w:fill="E6E7E8"/>
          </w:tcPr>
          <w:p w14:paraId="53E2287E" w14:textId="77777777" w:rsidR="00002D76" w:rsidRPr="00FA1A25" w:rsidRDefault="00002D76" w:rsidP="00D63204">
            <w:pPr>
              <w:widowControl w:val="0"/>
              <w:spacing w:before="94" w:after="0" w:line="240" w:lineRule="auto"/>
              <w:ind w:left="77"/>
              <w:rPr>
                <w:rFonts w:ascii="Calibri" w:hAnsi="Calibri" w:cs="Calibri"/>
                <w:sz w:val="20"/>
              </w:rPr>
            </w:pPr>
            <w:r w:rsidRPr="00FA1A25">
              <w:rPr>
                <w:sz w:val="20"/>
              </w:rPr>
              <w:t>734,094</w:t>
            </w:r>
          </w:p>
        </w:tc>
        <w:tc>
          <w:tcPr>
            <w:tcW w:w="2520" w:type="dxa"/>
            <w:tcBorders>
              <w:top w:val="single" w:sz="2" w:space="0" w:color="231F20"/>
              <w:left w:val="single" w:sz="2" w:space="0" w:color="231F20"/>
              <w:bottom w:val="single" w:sz="2" w:space="0" w:color="000000"/>
              <w:right w:val="single" w:sz="2" w:space="0" w:color="231F20"/>
            </w:tcBorders>
            <w:shd w:val="clear" w:color="auto" w:fill="E6E7E8"/>
          </w:tcPr>
          <w:p w14:paraId="26385EF7" w14:textId="77777777" w:rsidR="00002D76" w:rsidRPr="00FA1A25" w:rsidRDefault="00002D76" w:rsidP="00D63204">
            <w:pPr>
              <w:widowControl w:val="0"/>
              <w:spacing w:before="94" w:after="0" w:line="240" w:lineRule="auto"/>
              <w:rPr>
                <w:rFonts w:ascii="Calibri" w:hAnsi="Calibri" w:cs="Calibri"/>
                <w:sz w:val="20"/>
              </w:rPr>
            </w:pPr>
            <w:r w:rsidRPr="00FA1A25">
              <w:rPr>
                <w:sz w:val="20"/>
              </w:rPr>
              <w:t>2,152,788</w:t>
            </w:r>
          </w:p>
        </w:tc>
        <w:tc>
          <w:tcPr>
            <w:tcW w:w="2589" w:type="dxa"/>
            <w:tcBorders>
              <w:top w:val="single" w:sz="2" w:space="0" w:color="231F20"/>
              <w:left w:val="single" w:sz="2" w:space="0" w:color="231F20"/>
              <w:bottom w:val="single" w:sz="2" w:space="0" w:color="000000"/>
              <w:right w:val="single" w:sz="2" w:space="0" w:color="231F20"/>
            </w:tcBorders>
            <w:shd w:val="clear" w:color="auto" w:fill="E6E7E8"/>
          </w:tcPr>
          <w:p w14:paraId="5B9FE080" w14:textId="77777777" w:rsidR="00002D76" w:rsidRPr="00FA1A25" w:rsidRDefault="00002D76" w:rsidP="00D63204">
            <w:pPr>
              <w:widowControl w:val="0"/>
              <w:spacing w:before="94" w:after="0" w:line="240" w:lineRule="auto"/>
              <w:ind w:left="-15"/>
              <w:rPr>
                <w:rFonts w:ascii="Calibri" w:hAnsi="Calibri" w:cs="Calibri"/>
                <w:sz w:val="20"/>
              </w:rPr>
            </w:pPr>
            <w:r w:rsidRPr="00FA1A25">
              <w:rPr>
                <w:sz w:val="20"/>
              </w:rPr>
              <w:t>2,564,794</w:t>
            </w:r>
          </w:p>
        </w:tc>
        <w:tc>
          <w:tcPr>
            <w:tcW w:w="2520" w:type="dxa"/>
            <w:tcBorders>
              <w:top w:val="single" w:sz="2" w:space="0" w:color="231F20"/>
              <w:left w:val="single" w:sz="2" w:space="0" w:color="231F20"/>
              <w:bottom w:val="single" w:sz="2" w:space="0" w:color="000000"/>
              <w:right w:val="single" w:sz="2" w:space="0" w:color="231F20"/>
            </w:tcBorders>
            <w:shd w:val="clear" w:color="auto" w:fill="E6E7E8"/>
          </w:tcPr>
          <w:p w14:paraId="1F74863D" w14:textId="77777777" w:rsidR="00002D76" w:rsidRPr="00FA1A25" w:rsidRDefault="00002D76" w:rsidP="00D63204">
            <w:pPr>
              <w:widowControl w:val="0"/>
              <w:spacing w:before="94" w:after="0" w:line="240" w:lineRule="auto"/>
              <w:rPr>
                <w:rFonts w:ascii="Calibri" w:hAnsi="Calibri" w:cs="Calibri"/>
                <w:sz w:val="20"/>
              </w:rPr>
            </w:pPr>
            <w:r w:rsidRPr="00FA1A25">
              <w:rPr>
                <w:sz w:val="20"/>
              </w:rPr>
              <w:t>2,567,291</w:t>
            </w:r>
          </w:p>
        </w:tc>
      </w:tr>
      <w:tr w:rsidR="00002D76" w:rsidRPr="00FA1A25" w14:paraId="3182665F" w14:textId="77777777" w:rsidTr="001429C7">
        <w:trPr>
          <w:trHeight w:hRule="exact" w:val="393"/>
        </w:trPr>
        <w:tc>
          <w:tcPr>
            <w:tcW w:w="2520" w:type="dxa"/>
            <w:tcBorders>
              <w:top w:val="single" w:sz="2" w:space="0" w:color="000000"/>
              <w:left w:val="single" w:sz="2" w:space="0" w:color="231F20"/>
              <w:bottom w:val="single" w:sz="2" w:space="0" w:color="231F20"/>
              <w:right w:val="single" w:sz="2" w:space="0" w:color="231F20"/>
            </w:tcBorders>
          </w:tcPr>
          <w:p w14:paraId="64EABE8E" w14:textId="77777777" w:rsidR="00002D76" w:rsidRPr="00FA1A25" w:rsidRDefault="00002D76" w:rsidP="00D63204">
            <w:pPr>
              <w:widowControl w:val="0"/>
              <w:spacing w:before="120" w:after="0" w:line="240" w:lineRule="auto"/>
              <w:ind w:left="77"/>
              <w:rPr>
                <w:rFonts w:ascii="Calibri" w:hAnsi="Calibri" w:cs="Calibri"/>
                <w:sz w:val="20"/>
              </w:rPr>
            </w:pPr>
            <w:r w:rsidRPr="00FA1A25">
              <w:rPr>
                <w:sz w:val="20"/>
              </w:rPr>
              <w:t>9.2%</w:t>
            </w:r>
          </w:p>
        </w:tc>
        <w:tc>
          <w:tcPr>
            <w:tcW w:w="2520" w:type="dxa"/>
            <w:tcBorders>
              <w:top w:val="single" w:sz="2" w:space="0" w:color="000000"/>
              <w:left w:val="single" w:sz="2" w:space="0" w:color="231F20"/>
              <w:bottom w:val="single" w:sz="2" w:space="0" w:color="231F20"/>
              <w:right w:val="single" w:sz="2" w:space="0" w:color="231F20"/>
            </w:tcBorders>
          </w:tcPr>
          <w:p w14:paraId="1C9D3E35" w14:textId="77777777" w:rsidR="00002D76" w:rsidRPr="00FA1A25" w:rsidRDefault="00002D76" w:rsidP="00D63204">
            <w:pPr>
              <w:widowControl w:val="0"/>
              <w:spacing w:before="120" w:after="0" w:line="240" w:lineRule="auto"/>
              <w:ind w:right="75"/>
              <w:rPr>
                <w:rFonts w:ascii="Calibri" w:hAnsi="Calibri" w:cs="Calibri"/>
                <w:sz w:val="20"/>
              </w:rPr>
            </w:pPr>
            <w:r w:rsidRPr="00FA1A25">
              <w:rPr>
                <w:sz w:val="20"/>
              </w:rPr>
              <w:t>26.8%</w:t>
            </w:r>
          </w:p>
        </w:tc>
        <w:tc>
          <w:tcPr>
            <w:tcW w:w="2589" w:type="dxa"/>
            <w:tcBorders>
              <w:top w:val="single" w:sz="2" w:space="0" w:color="000000"/>
              <w:left w:val="single" w:sz="2" w:space="0" w:color="231F20"/>
              <w:bottom w:val="single" w:sz="2" w:space="0" w:color="231F20"/>
              <w:right w:val="single" w:sz="2" w:space="0" w:color="231F20"/>
            </w:tcBorders>
          </w:tcPr>
          <w:p w14:paraId="57682AF4" w14:textId="77777777" w:rsidR="00002D76" w:rsidRPr="00FA1A25" w:rsidRDefault="00002D76" w:rsidP="00D63204">
            <w:pPr>
              <w:widowControl w:val="0"/>
              <w:spacing w:before="120" w:after="0" w:line="240" w:lineRule="auto"/>
              <w:ind w:right="75"/>
              <w:rPr>
                <w:rFonts w:ascii="Calibri" w:hAnsi="Calibri" w:cs="Calibri"/>
                <w:sz w:val="20"/>
              </w:rPr>
            </w:pPr>
            <w:r w:rsidRPr="00FA1A25">
              <w:rPr>
                <w:sz w:val="20"/>
              </w:rPr>
              <w:t>32.0%</w:t>
            </w:r>
          </w:p>
        </w:tc>
        <w:tc>
          <w:tcPr>
            <w:tcW w:w="2520" w:type="dxa"/>
            <w:tcBorders>
              <w:top w:val="single" w:sz="2" w:space="0" w:color="000000"/>
              <w:left w:val="single" w:sz="2" w:space="0" w:color="231F20"/>
              <w:bottom w:val="single" w:sz="2" w:space="0" w:color="231F20"/>
              <w:right w:val="single" w:sz="2" w:space="0" w:color="231F20"/>
            </w:tcBorders>
          </w:tcPr>
          <w:p w14:paraId="5244B937" w14:textId="77777777" w:rsidR="00002D76" w:rsidRPr="00FA1A25" w:rsidRDefault="00002D76" w:rsidP="00D63204">
            <w:pPr>
              <w:widowControl w:val="0"/>
              <w:spacing w:before="120" w:after="0" w:line="240" w:lineRule="auto"/>
              <w:ind w:right="75"/>
              <w:rPr>
                <w:rFonts w:ascii="Calibri" w:hAnsi="Calibri" w:cs="Calibri"/>
                <w:sz w:val="20"/>
              </w:rPr>
            </w:pPr>
            <w:r w:rsidRPr="00FA1A25">
              <w:rPr>
                <w:sz w:val="20"/>
              </w:rPr>
              <w:t>32.0%</w:t>
            </w:r>
          </w:p>
        </w:tc>
      </w:tr>
    </w:tbl>
    <w:p w14:paraId="729E19DC" w14:textId="77777777" w:rsidR="00002D76" w:rsidRPr="00A06ACE" w:rsidRDefault="00002D76" w:rsidP="00002D76">
      <w:pPr>
        <w:widowControl w:val="0"/>
        <w:spacing w:before="30" w:after="0" w:line="218" w:lineRule="exact"/>
        <w:ind w:left="107"/>
        <w:rPr>
          <w:rFonts w:cs="Calibri"/>
          <w:sz w:val="18"/>
          <w:szCs w:val="18"/>
        </w:rPr>
      </w:pPr>
      <w:r w:rsidRPr="00A06ACE">
        <w:rPr>
          <w:w w:val="105"/>
          <w:sz w:val="18"/>
          <w:szCs w:val="18"/>
        </w:rPr>
        <w:t>Source:  U.S. Census Bureau, 2016 American Community Survey.</w:t>
      </w:r>
    </w:p>
    <w:p w14:paraId="3652F479" w14:textId="77777777" w:rsidR="00002D76" w:rsidRPr="00A06ACE" w:rsidRDefault="00002D76" w:rsidP="00002D76">
      <w:pPr>
        <w:widowControl w:val="0"/>
        <w:spacing w:after="0" w:line="218" w:lineRule="exact"/>
        <w:ind w:left="107"/>
        <w:rPr>
          <w:rFonts w:cs="Calibri"/>
          <w:sz w:val="18"/>
          <w:szCs w:val="18"/>
        </w:rPr>
      </w:pPr>
      <w:r w:rsidRPr="00A06ACE">
        <w:rPr>
          <w:w w:val="105"/>
          <w:sz w:val="18"/>
          <w:szCs w:val="18"/>
        </w:rPr>
        <w:t xml:space="preserve">Prepared by:  Florida Department of Economic Opportunity, Bureau of Labor Market Statistics, </w:t>
      </w:r>
      <w:r w:rsidRPr="00A06ACE">
        <w:rPr>
          <w:color w:val="231F20"/>
          <w:w w:val="105"/>
          <w:sz w:val="18"/>
          <w:szCs w:val="18"/>
        </w:rPr>
        <w:t>December 2017.</w:t>
      </w:r>
    </w:p>
    <w:p w14:paraId="2779A0FF" w14:textId="77777777" w:rsidR="00002D76" w:rsidRPr="00EA7458" w:rsidRDefault="00002D76" w:rsidP="00D63204">
      <w:pPr>
        <w:widowControl w:val="0"/>
        <w:spacing w:after="0" w:line="240" w:lineRule="auto"/>
        <w:rPr>
          <w:rFonts w:ascii="Calibri" w:hAnsi="Calibri" w:cs="Calibri"/>
          <w:sz w:val="20"/>
          <w:szCs w:val="20"/>
        </w:rPr>
        <w:sectPr w:rsidR="00002D76" w:rsidRPr="00EA7458">
          <w:pgSz w:w="12240" w:h="15840"/>
          <w:pgMar w:top="1620" w:right="900" w:bottom="820" w:left="900" w:header="812" w:footer="624" w:gutter="0"/>
          <w:cols w:space="720"/>
        </w:sectPr>
      </w:pPr>
    </w:p>
    <w:p w14:paraId="002224B7" w14:textId="77777777" w:rsidR="00002D76" w:rsidRPr="00EA7458" w:rsidRDefault="00002D76" w:rsidP="00002D76">
      <w:pPr>
        <w:widowControl w:val="0"/>
        <w:spacing w:before="4" w:after="0" w:line="240" w:lineRule="auto"/>
        <w:rPr>
          <w:rFonts w:ascii="Calibri" w:hAnsi="Calibri" w:cs="Calibri"/>
          <w:b/>
          <w:bCs/>
          <w:sz w:val="14"/>
          <w:szCs w:val="14"/>
        </w:rPr>
      </w:pPr>
    </w:p>
    <w:p w14:paraId="38E73E4C" w14:textId="77777777" w:rsidR="00002D76" w:rsidRPr="00EA7458" w:rsidRDefault="00002D76" w:rsidP="00D63204">
      <w:pPr>
        <w:widowControl w:val="0"/>
        <w:spacing w:before="57" w:after="0" w:line="266" w:lineRule="exact"/>
        <w:ind w:left="107"/>
        <w:outlineLvl w:val="2"/>
        <w:rPr>
          <w:rFonts w:ascii="Calibri" w:hAnsi="Calibri"/>
        </w:rPr>
      </w:pPr>
      <w:bookmarkStart w:id="45" w:name="_bookmark33"/>
      <w:bookmarkEnd w:id="45"/>
      <w:r w:rsidRPr="00EA7458">
        <w:rPr>
          <w:rFonts w:ascii="Calibri" w:hAnsi="Calibri"/>
          <w:b/>
          <w:bCs/>
          <w:color w:val="231F20"/>
          <w:w w:val="110"/>
        </w:rPr>
        <w:t>Analysis</w:t>
      </w:r>
      <w:r w:rsidRPr="00EA7458">
        <w:rPr>
          <w:rFonts w:ascii="Calibri" w:hAnsi="Calibri"/>
          <w:b/>
          <w:bCs/>
          <w:color w:val="231F20"/>
          <w:spacing w:val="-6"/>
          <w:w w:val="110"/>
        </w:rPr>
        <w:t xml:space="preserve"> </w:t>
      </w:r>
      <w:r w:rsidRPr="00EA7458">
        <w:rPr>
          <w:rFonts w:ascii="Calibri" w:hAnsi="Calibri"/>
          <w:b/>
          <w:bCs/>
          <w:color w:val="231F20"/>
          <w:w w:val="110"/>
        </w:rPr>
        <w:t>of</w:t>
      </w:r>
      <w:r w:rsidRPr="00EA7458">
        <w:rPr>
          <w:rFonts w:ascii="Calibri" w:hAnsi="Calibri"/>
          <w:b/>
          <w:bCs/>
          <w:color w:val="231F20"/>
          <w:spacing w:val="-6"/>
          <w:w w:val="110"/>
        </w:rPr>
        <w:t xml:space="preserve"> </w:t>
      </w:r>
      <w:r w:rsidRPr="00EA7458">
        <w:rPr>
          <w:rFonts w:ascii="Calibri" w:hAnsi="Calibri"/>
          <w:b/>
          <w:bCs/>
          <w:color w:val="231F20"/>
          <w:w w:val="110"/>
        </w:rPr>
        <w:t>Educational</w:t>
      </w:r>
      <w:r w:rsidRPr="00EA7458">
        <w:rPr>
          <w:rFonts w:ascii="Calibri" w:hAnsi="Calibri"/>
          <w:b/>
          <w:bCs/>
          <w:color w:val="231F20"/>
          <w:spacing w:val="-6"/>
          <w:w w:val="110"/>
        </w:rPr>
        <w:t xml:space="preserve"> </w:t>
      </w:r>
      <w:r w:rsidRPr="00EA7458">
        <w:rPr>
          <w:rFonts w:ascii="Calibri" w:hAnsi="Calibri"/>
          <w:b/>
          <w:bCs/>
          <w:color w:val="231F20"/>
          <w:w w:val="110"/>
        </w:rPr>
        <w:t>Attainment</w:t>
      </w:r>
      <w:r w:rsidRPr="00EA7458">
        <w:rPr>
          <w:rFonts w:ascii="Calibri" w:hAnsi="Calibri"/>
          <w:b/>
          <w:bCs/>
          <w:color w:val="231F20"/>
          <w:spacing w:val="-6"/>
          <w:w w:val="110"/>
        </w:rPr>
        <w:t xml:space="preserve"> </w:t>
      </w:r>
      <w:r w:rsidRPr="00EA7458">
        <w:rPr>
          <w:rFonts w:ascii="Calibri" w:hAnsi="Calibri"/>
          <w:b/>
          <w:bCs/>
          <w:color w:val="231F20"/>
          <w:w w:val="110"/>
        </w:rPr>
        <w:t>of</w:t>
      </w:r>
      <w:r w:rsidRPr="00EA7458">
        <w:rPr>
          <w:rFonts w:ascii="Calibri" w:hAnsi="Calibri"/>
          <w:b/>
          <w:bCs/>
          <w:color w:val="231F20"/>
          <w:spacing w:val="-6"/>
          <w:w w:val="110"/>
        </w:rPr>
        <w:t xml:space="preserve"> </w:t>
      </w:r>
      <w:r w:rsidRPr="00EA7458">
        <w:rPr>
          <w:rFonts w:ascii="Calibri" w:hAnsi="Calibri"/>
          <w:b/>
          <w:bCs/>
          <w:color w:val="231F20"/>
          <w:w w:val="110"/>
        </w:rPr>
        <w:t>Floridians</w:t>
      </w:r>
      <w:r w:rsidRPr="00EA7458">
        <w:rPr>
          <w:rFonts w:ascii="Calibri" w:hAnsi="Calibri"/>
          <w:b/>
          <w:bCs/>
          <w:color w:val="231F20"/>
          <w:spacing w:val="-6"/>
          <w:w w:val="110"/>
        </w:rPr>
        <w:t xml:space="preserve"> </w:t>
      </w:r>
      <w:r w:rsidRPr="00EA7458">
        <w:rPr>
          <w:rFonts w:ascii="Calibri" w:hAnsi="Calibri"/>
          <w:b/>
          <w:bCs/>
          <w:color w:val="231F20"/>
          <w:w w:val="110"/>
        </w:rPr>
        <w:t>and</w:t>
      </w:r>
      <w:r w:rsidRPr="00EA7458">
        <w:rPr>
          <w:rFonts w:ascii="Calibri" w:hAnsi="Calibri"/>
          <w:b/>
          <w:bCs/>
          <w:color w:val="231F20"/>
          <w:spacing w:val="-6"/>
          <w:w w:val="110"/>
        </w:rPr>
        <w:t xml:space="preserve"> </w:t>
      </w:r>
      <w:r w:rsidRPr="00EA7458">
        <w:rPr>
          <w:rFonts w:ascii="Calibri" w:hAnsi="Calibri"/>
          <w:b/>
          <w:bCs/>
          <w:color w:val="231F20"/>
          <w:w w:val="110"/>
        </w:rPr>
        <w:t>Ability</w:t>
      </w:r>
      <w:r w:rsidRPr="00EA7458">
        <w:rPr>
          <w:rFonts w:ascii="Calibri" w:hAnsi="Calibri"/>
          <w:b/>
          <w:bCs/>
          <w:color w:val="231F20"/>
          <w:spacing w:val="-6"/>
          <w:w w:val="110"/>
        </w:rPr>
        <w:t xml:space="preserve"> </w:t>
      </w:r>
      <w:r w:rsidRPr="00EA7458">
        <w:rPr>
          <w:rFonts w:ascii="Calibri" w:hAnsi="Calibri"/>
          <w:b/>
          <w:bCs/>
          <w:color w:val="231F20"/>
          <w:w w:val="110"/>
        </w:rPr>
        <w:t>to</w:t>
      </w:r>
      <w:r w:rsidRPr="00EA7458">
        <w:rPr>
          <w:rFonts w:ascii="Calibri" w:hAnsi="Calibri"/>
          <w:b/>
          <w:bCs/>
          <w:color w:val="231F20"/>
          <w:spacing w:val="-6"/>
          <w:w w:val="110"/>
        </w:rPr>
        <w:t xml:space="preserve"> </w:t>
      </w:r>
      <w:r w:rsidRPr="00EA7458">
        <w:rPr>
          <w:rFonts w:ascii="Calibri" w:hAnsi="Calibri"/>
          <w:b/>
          <w:bCs/>
          <w:color w:val="231F20"/>
          <w:w w:val="110"/>
        </w:rPr>
        <w:t>Speak</w:t>
      </w:r>
      <w:r w:rsidRPr="00EA7458">
        <w:rPr>
          <w:rFonts w:ascii="Calibri" w:hAnsi="Calibri"/>
          <w:b/>
          <w:bCs/>
          <w:color w:val="231F20"/>
          <w:spacing w:val="-6"/>
          <w:w w:val="110"/>
        </w:rPr>
        <w:t xml:space="preserve"> </w:t>
      </w:r>
      <w:r w:rsidRPr="00EA7458">
        <w:rPr>
          <w:rFonts w:ascii="Calibri" w:hAnsi="Calibri"/>
          <w:b/>
          <w:bCs/>
          <w:color w:val="231F20"/>
          <w:w w:val="110"/>
        </w:rPr>
        <w:t>English</w:t>
      </w:r>
    </w:p>
    <w:p w14:paraId="1A4DBDD5" w14:textId="300ABB39" w:rsidR="00002D76" w:rsidRPr="00EA7458" w:rsidRDefault="00002D76" w:rsidP="00D63204">
      <w:pPr>
        <w:widowControl w:val="0"/>
        <w:spacing w:before="2" w:after="0" w:line="235" w:lineRule="auto"/>
        <w:ind w:left="107" w:right="105"/>
        <w:rPr>
          <w:rFonts w:ascii="Calibri" w:hAnsi="Calibri"/>
        </w:rPr>
      </w:pPr>
      <w:r w:rsidRPr="00EA7458">
        <w:rPr>
          <w:rFonts w:ascii="Calibri" w:hAnsi="Calibri"/>
          <w:color w:val="231F20"/>
          <w:w w:val="110"/>
        </w:rPr>
        <w:t>Adult</w:t>
      </w:r>
      <w:r w:rsidRPr="00EA7458">
        <w:rPr>
          <w:rFonts w:ascii="Calibri" w:hAnsi="Calibri"/>
          <w:color w:val="231F20"/>
          <w:spacing w:val="-8"/>
          <w:w w:val="110"/>
        </w:rPr>
        <w:t xml:space="preserve"> </w:t>
      </w:r>
      <w:r w:rsidRPr="00EA7458">
        <w:rPr>
          <w:rFonts w:ascii="Calibri" w:hAnsi="Calibri"/>
          <w:color w:val="231F20"/>
          <w:w w:val="110"/>
        </w:rPr>
        <w:t>education</w:t>
      </w:r>
      <w:r w:rsidRPr="00EA7458">
        <w:rPr>
          <w:rFonts w:ascii="Calibri" w:hAnsi="Calibri"/>
          <w:color w:val="231F20"/>
          <w:spacing w:val="-8"/>
          <w:w w:val="110"/>
        </w:rPr>
        <w:t xml:space="preserve"> </w:t>
      </w:r>
      <w:r w:rsidRPr="00EA7458">
        <w:rPr>
          <w:rFonts w:ascii="Calibri" w:hAnsi="Calibri"/>
          <w:color w:val="231F20"/>
          <w:w w:val="110"/>
        </w:rPr>
        <w:t>programs</w:t>
      </w:r>
      <w:r w:rsidRPr="00EA7458">
        <w:rPr>
          <w:rFonts w:ascii="Calibri" w:hAnsi="Calibri"/>
          <w:color w:val="231F20"/>
          <w:spacing w:val="-8"/>
          <w:w w:val="110"/>
        </w:rPr>
        <w:t xml:space="preserve"> </w:t>
      </w:r>
      <w:r w:rsidRPr="00EA7458">
        <w:rPr>
          <w:rFonts w:ascii="Calibri" w:hAnsi="Calibri"/>
          <w:color w:val="231F20"/>
          <w:w w:val="110"/>
        </w:rPr>
        <w:t>offer</w:t>
      </w:r>
      <w:r w:rsidRPr="00EA7458">
        <w:rPr>
          <w:rFonts w:ascii="Calibri" w:hAnsi="Calibri"/>
          <w:color w:val="231F20"/>
          <w:spacing w:val="-8"/>
          <w:w w:val="110"/>
        </w:rPr>
        <w:t xml:space="preserve"> </w:t>
      </w:r>
      <w:r w:rsidRPr="00EA7458">
        <w:rPr>
          <w:rFonts w:ascii="Calibri" w:hAnsi="Calibri"/>
          <w:color w:val="231F20"/>
          <w:w w:val="110"/>
        </w:rPr>
        <w:t>Adult</w:t>
      </w:r>
      <w:r w:rsidRPr="00EA7458">
        <w:rPr>
          <w:rFonts w:ascii="Calibri" w:hAnsi="Calibri"/>
          <w:color w:val="231F20"/>
          <w:spacing w:val="-8"/>
          <w:w w:val="110"/>
        </w:rPr>
        <w:t xml:space="preserve"> </w:t>
      </w:r>
      <w:r w:rsidRPr="00EA7458">
        <w:rPr>
          <w:rFonts w:ascii="Calibri" w:hAnsi="Calibri"/>
          <w:color w:val="231F20"/>
          <w:w w:val="110"/>
        </w:rPr>
        <w:t>English</w:t>
      </w:r>
      <w:r w:rsidRPr="00EA7458">
        <w:rPr>
          <w:rFonts w:ascii="Calibri" w:hAnsi="Calibri"/>
          <w:color w:val="231F20"/>
          <w:spacing w:val="-8"/>
          <w:w w:val="110"/>
        </w:rPr>
        <w:t xml:space="preserve"> </w:t>
      </w:r>
      <w:r w:rsidRPr="00EA7458">
        <w:rPr>
          <w:rFonts w:ascii="Calibri" w:hAnsi="Calibri"/>
          <w:color w:val="231F20"/>
          <w:w w:val="110"/>
        </w:rPr>
        <w:t>for</w:t>
      </w:r>
      <w:r w:rsidRPr="00EA7458">
        <w:rPr>
          <w:rFonts w:ascii="Calibri" w:hAnsi="Calibri"/>
          <w:color w:val="231F20"/>
          <w:spacing w:val="-8"/>
          <w:w w:val="110"/>
        </w:rPr>
        <w:t xml:space="preserve"> </w:t>
      </w:r>
      <w:r w:rsidRPr="00EA7458">
        <w:rPr>
          <w:rFonts w:ascii="Calibri" w:hAnsi="Calibri"/>
          <w:color w:val="231F20"/>
          <w:w w:val="110"/>
        </w:rPr>
        <w:t>Speakers</w:t>
      </w:r>
      <w:r w:rsidRPr="00EA7458">
        <w:rPr>
          <w:rFonts w:ascii="Calibri" w:hAnsi="Calibri"/>
          <w:color w:val="231F20"/>
          <w:spacing w:val="-8"/>
          <w:w w:val="110"/>
        </w:rPr>
        <w:t xml:space="preserve"> </w:t>
      </w:r>
      <w:r w:rsidRPr="00EA7458">
        <w:rPr>
          <w:rFonts w:ascii="Calibri" w:hAnsi="Calibri"/>
          <w:color w:val="231F20"/>
          <w:w w:val="110"/>
        </w:rPr>
        <w:t>of</w:t>
      </w:r>
      <w:r w:rsidRPr="00EA7458">
        <w:rPr>
          <w:rFonts w:ascii="Calibri" w:hAnsi="Calibri"/>
          <w:color w:val="231F20"/>
          <w:spacing w:val="-8"/>
          <w:w w:val="110"/>
        </w:rPr>
        <w:t xml:space="preserve"> </w:t>
      </w:r>
      <w:r w:rsidRPr="00EA7458">
        <w:rPr>
          <w:rFonts w:ascii="Calibri" w:hAnsi="Calibri"/>
          <w:color w:val="231F20"/>
          <w:w w:val="110"/>
        </w:rPr>
        <w:t>Other</w:t>
      </w:r>
      <w:r w:rsidRPr="00EA7458">
        <w:rPr>
          <w:rFonts w:ascii="Calibri" w:hAnsi="Calibri"/>
          <w:color w:val="231F20"/>
          <w:spacing w:val="-8"/>
          <w:w w:val="110"/>
        </w:rPr>
        <w:t xml:space="preserve"> </w:t>
      </w:r>
      <w:r w:rsidRPr="00EA7458">
        <w:rPr>
          <w:rFonts w:ascii="Calibri" w:hAnsi="Calibri"/>
          <w:color w:val="231F20"/>
          <w:w w:val="110"/>
        </w:rPr>
        <w:t>Languages</w:t>
      </w:r>
      <w:r w:rsidRPr="00EA7458">
        <w:rPr>
          <w:rFonts w:ascii="Calibri" w:hAnsi="Calibri"/>
          <w:color w:val="231F20"/>
          <w:spacing w:val="-8"/>
          <w:w w:val="110"/>
        </w:rPr>
        <w:t xml:space="preserve"> </w:t>
      </w:r>
      <w:r w:rsidRPr="00EA7458">
        <w:rPr>
          <w:rFonts w:ascii="Calibri" w:hAnsi="Calibri"/>
          <w:color w:val="231F20"/>
          <w:w w:val="110"/>
        </w:rPr>
        <w:t>(ESOL)</w:t>
      </w:r>
      <w:r w:rsidRPr="00EA7458">
        <w:rPr>
          <w:rFonts w:ascii="Calibri" w:hAnsi="Calibri"/>
          <w:color w:val="231F20"/>
          <w:spacing w:val="-8"/>
          <w:w w:val="110"/>
        </w:rPr>
        <w:t xml:space="preserve"> </w:t>
      </w:r>
      <w:r w:rsidRPr="00EA7458">
        <w:rPr>
          <w:rFonts w:ascii="Calibri" w:hAnsi="Calibri"/>
          <w:color w:val="231F20"/>
          <w:w w:val="110"/>
        </w:rPr>
        <w:t>instruction</w:t>
      </w:r>
      <w:r w:rsidRPr="00EA7458">
        <w:rPr>
          <w:rFonts w:ascii="Calibri" w:hAnsi="Calibri"/>
          <w:color w:val="231F20"/>
          <w:spacing w:val="-8"/>
          <w:w w:val="110"/>
        </w:rPr>
        <w:t xml:space="preserve"> </w:t>
      </w:r>
      <w:r w:rsidRPr="00EA7458">
        <w:rPr>
          <w:rFonts w:ascii="Calibri" w:hAnsi="Calibri"/>
          <w:color w:val="231F20"/>
          <w:w w:val="110"/>
        </w:rPr>
        <w:t>for</w:t>
      </w:r>
      <w:r w:rsidRPr="00EA7458">
        <w:rPr>
          <w:rFonts w:ascii="Calibri" w:hAnsi="Calibri"/>
          <w:color w:val="231F20"/>
        </w:rPr>
        <w:t xml:space="preserve"> </w:t>
      </w:r>
      <w:r w:rsidRPr="00EA7458">
        <w:rPr>
          <w:rFonts w:ascii="Calibri" w:hAnsi="Calibri"/>
          <w:color w:val="231F20"/>
          <w:w w:val="110"/>
        </w:rPr>
        <w:t>adults</w:t>
      </w:r>
      <w:r w:rsidRPr="00EA7458">
        <w:rPr>
          <w:rFonts w:ascii="Calibri" w:hAnsi="Calibri"/>
          <w:color w:val="231F20"/>
          <w:spacing w:val="-14"/>
          <w:w w:val="110"/>
        </w:rPr>
        <w:t xml:space="preserve"> </w:t>
      </w:r>
      <w:r w:rsidRPr="00EA7458">
        <w:rPr>
          <w:rFonts w:ascii="Calibri" w:hAnsi="Calibri"/>
          <w:color w:val="231F20"/>
          <w:w w:val="110"/>
        </w:rPr>
        <w:t>to</w:t>
      </w:r>
      <w:r w:rsidRPr="00EA7458">
        <w:rPr>
          <w:rFonts w:ascii="Calibri" w:hAnsi="Calibri"/>
          <w:color w:val="231F20"/>
          <w:spacing w:val="-14"/>
          <w:w w:val="110"/>
        </w:rPr>
        <w:t xml:space="preserve"> </w:t>
      </w:r>
      <w:r w:rsidRPr="00EA7458">
        <w:rPr>
          <w:rFonts w:ascii="Calibri" w:hAnsi="Calibri"/>
          <w:color w:val="231F20"/>
          <w:w w:val="110"/>
        </w:rPr>
        <w:t>improve</w:t>
      </w:r>
      <w:r w:rsidRPr="00EA7458">
        <w:rPr>
          <w:rFonts w:ascii="Calibri" w:hAnsi="Calibri"/>
          <w:color w:val="231F20"/>
          <w:spacing w:val="-14"/>
          <w:w w:val="110"/>
        </w:rPr>
        <w:t xml:space="preserve"> </w:t>
      </w:r>
      <w:r w:rsidRPr="00EA7458">
        <w:rPr>
          <w:rFonts w:ascii="Calibri" w:hAnsi="Calibri"/>
          <w:color w:val="231F20"/>
          <w:w w:val="110"/>
        </w:rPr>
        <w:t>their</w:t>
      </w:r>
      <w:r w:rsidRPr="00EA7458">
        <w:rPr>
          <w:rFonts w:ascii="Calibri" w:hAnsi="Calibri"/>
          <w:color w:val="231F20"/>
          <w:spacing w:val="-14"/>
          <w:w w:val="110"/>
        </w:rPr>
        <w:t xml:space="preserve"> </w:t>
      </w:r>
      <w:r w:rsidRPr="00EA7458">
        <w:rPr>
          <w:rFonts w:ascii="Calibri" w:hAnsi="Calibri"/>
          <w:color w:val="231F20"/>
          <w:w w:val="110"/>
        </w:rPr>
        <w:t>English</w:t>
      </w:r>
      <w:r w:rsidRPr="00EA7458">
        <w:rPr>
          <w:rFonts w:ascii="Calibri" w:hAnsi="Calibri"/>
          <w:color w:val="231F20"/>
          <w:spacing w:val="-14"/>
          <w:w w:val="110"/>
        </w:rPr>
        <w:t xml:space="preserve"> </w:t>
      </w:r>
      <w:r w:rsidRPr="00EA7458">
        <w:rPr>
          <w:rFonts w:ascii="Calibri" w:hAnsi="Calibri"/>
          <w:color w:val="231F20"/>
          <w:w w:val="110"/>
        </w:rPr>
        <w:t>speaking</w:t>
      </w:r>
      <w:r w:rsidRPr="00EA7458">
        <w:rPr>
          <w:rFonts w:ascii="Calibri" w:hAnsi="Calibri"/>
          <w:color w:val="231F20"/>
          <w:spacing w:val="-14"/>
          <w:w w:val="110"/>
        </w:rPr>
        <w:t xml:space="preserve"> </w:t>
      </w:r>
      <w:r w:rsidRPr="00EA7458">
        <w:rPr>
          <w:rFonts w:ascii="Calibri" w:hAnsi="Calibri"/>
          <w:color w:val="231F20"/>
          <w:w w:val="110"/>
        </w:rPr>
        <w:t>and</w:t>
      </w:r>
      <w:r w:rsidRPr="00EA7458">
        <w:rPr>
          <w:rFonts w:ascii="Calibri" w:hAnsi="Calibri"/>
          <w:color w:val="231F20"/>
          <w:spacing w:val="-14"/>
          <w:w w:val="110"/>
        </w:rPr>
        <w:t xml:space="preserve"> </w:t>
      </w:r>
      <w:r w:rsidRPr="00EA7458">
        <w:rPr>
          <w:rFonts w:ascii="Calibri" w:hAnsi="Calibri"/>
          <w:color w:val="231F20"/>
          <w:w w:val="110"/>
        </w:rPr>
        <w:t>writing</w:t>
      </w:r>
      <w:r w:rsidRPr="00EA7458">
        <w:rPr>
          <w:rFonts w:ascii="Calibri" w:hAnsi="Calibri"/>
          <w:color w:val="231F20"/>
          <w:spacing w:val="-14"/>
          <w:w w:val="110"/>
        </w:rPr>
        <w:t xml:space="preserve"> </w:t>
      </w:r>
      <w:r w:rsidRPr="00EA7458">
        <w:rPr>
          <w:rFonts w:ascii="Calibri" w:hAnsi="Calibri"/>
          <w:color w:val="231F20"/>
          <w:w w:val="110"/>
        </w:rPr>
        <w:t>skills</w:t>
      </w:r>
      <w:r w:rsidRPr="00EA7458">
        <w:rPr>
          <w:rFonts w:ascii="Calibri" w:hAnsi="Calibri"/>
          <w:color w:val="231F20"/>
          <w:spacing w:val="-14"/>
          <w:w w:val="110"/>
        </w:rPr>
        <w:t xml:space="preserve"> </w:t>
      </w:r>
      <w:r w:rsidR="00170961">
        <w:rPr>
          <w:rFonts w:ascii="Calibri" w:hAnsi="Calibri"/>
          <w:color w:val="231F20"/>
          <w:w w:val="110"/>
        </w:rPr>
        <w:t>and</w:t>
      </w:r>
      <w:r w:rsidRPr="00EA7458">
        <w:rPr>
          <w:rFonts w:ascii="Calibri" w:hAnsi="Calibri"/>
          <w:color w:val="231F20"/>
          <w:spacing w:val="-14"/>
          <w:w w:val="110"/>
        </w:rPr>
        <w:t xml:space="preserve"> </w:t>
      </w:r>
      <w:r w:rsidRPr="00EA7458">
        <w:rPr>
          <w:rFonts w:ascii="Calibri" w:hAnsi="Calibri"/>
          <w:color w:val="231F20"/>
          <w:w w:val="110"/>
        </w:rPr>
        <w:t>also</w:t>
      </w:r>
      <w:r w:rsidRPr="00EA7458">
        <w:rPr>
          <w:rFonts w:ascii="Calibri" w:hAnsi="Calibri"/>
          <w:color w:val="231F20"/>
          <w:spacing w:val="-14"/>
          <w:w w:val="110"/>
        </w:rPr>
        <w:t xml:space="preserve"> </w:t>
      </w:r>
      <w:r w:rsidRPr="00EA7458">
        <w:rPr>
          <w:rFonts w:ascii="Calibri" w:hAnsi="Calibri"/>
          <w:color w:val="231F20"/>
          <w:w w:val="110"/>
        </w:rPr>
        <w:t>to</w:t>
      </w:r>
      <w:r w:rsidRPr="00EA7458">
        <w:rPr>
          <w:rFonts w:ascii="Calibri" w:hAnsi="Calibri"/>
          <w:color w:val="231F20"/>
          <w:spacing w:val="-14"/>
          <w:w w:val="110"/>
        </w:rPr>
        <w:t xml:space="preserve"> </w:t>
      </w:r>
      <w:r w:rsidRPr="00EA7458">
        <w:rPr>
          <w:rFonts w:ascii="Calibri" w:hAnsi="Calibri"/>
          <w:color w:val="231F20"/>
          <w:w w:val="110"/>
        </w:rPr>
        <w:t>improve</w:t>
      </w:r>
      <w:r w:rsidRPr="00EA7458">
        <w:rPr>
          <w:rFonts w:ascii="Calibri" w:hAnsi="Calibri"/>
          <w:color w:val="231F20"/>
          <w:spacing w:val="-14"/>
          <w:w w:val="110"/>
        </w:rPr>
        <w:t xml:space="preserve"> </w:t>
      </w:r>
      <w:r w:rsidRPr="00EA7458">
        <w:rPr>
          <w:rFonts w:ascii="Calibri" w:hAnsi="Calibri"/>
          <w:color w:val="231F20"/>
          <w:w w:val="110"/>
        </w:rPr>
        <w:t>their</w:t>
      </w:r>
      <w:r w:rsidRPr="00EA7458">
        <w:rPr>
          <w:rFonts w:ascii="Calibri" w:hAnsi="Calibri"/>
          <w:color w:val="231F20"/>
          <w:spacing w:val="-14"/>
          <w:w w:val="110"/>
        </w:rPr>
        <w:t xml:space="preserve"> </w:t>
      </w:r>
      <w:r w:rsidRPr="00EA7458">
        <w:rPr>
          <w:rFonts w:ascii="Calibri" w:hAnsi="Calibri"/>
          <w:color w:val="231F20"/>
          <w:w w:val="110"/>
        </w:rPr>
        <w:t>academic</w:t>
      </w:r>
      <w:r w:rsidRPr="00EA7458">
        <w:rPr>
          <w:rFonts w:ascii="Calibri" w:hAnsi="Calibri"/>
          <w:color w:val="231F20"/>
          <w:spacing w:val="-14"/>
          <w:w w:val="110"/>
        </w:rPr>
        <w:t xml:space="preserve"> </w:t>
      </w:r>
      <w:r w:rsidRPr="00EA7458">
        <w:rPr>
          <w:rFonts w:ascii="Calibri" w:hAnsi="Calibri"/>
          <w:color w:val="231F20"/>
          <w:w w:val="110"/>
        </w:rPr>
        <w:t>skills</w:t>
      </w:r>
      <w:r w:rsidRPr="00EA7458">
        <w:rPr>
          <w:rFonts w:ascii="Calibri" w:hAnsi="Calibri"/>
          <w:color w:val="231F20"/>
          <w:spacing w:val="-14"/>
          <w:w w:val="110"/>
        </w:rPr>
        <w:t xml:space="preserve"> </w:t>
      </w:r>
      <w:r w:rsidRPr="00EA7458">
        <w:rPr>
          <w:rFonts w:ascii="Calibri" w:hAnsi="Calibri"/>
          <w:color w:val="231F20"/>
          <w:w w:val="110"/>
        </w:rPr>
        <w:t>so</w:t>
      </w:r>
      <w:r w:rsidRPr="00EA7458">
        <w:rPr>
          <w:rFonts w:ascii="Calibri" w:hAnsi="Calibri"/>
          <w:color w:val="231F20"/>
          <w:spacing w:val="-14"/>
          <w:w w:val="110"/>
        </w:rPr>
        <w:t xml:space="preserve"> </w:t>
      </w:r>
      <w:r w:rsidRPr="00EA7458">
        <w:rPr>
          <w:rFonts w:ascii="Calibri" w:hAnsi="Calibri"/>
          <w:color w:val="231F20"/>
          <w:w w:val="110"/>
        </w:rPr>
        <w:t>that</w:t>
      </w:r>
      <w:r w:rsidRPr="00EA7458">
        <w:rPr>
          <w:rFonts w:ascii="Calibri" w:hAnsi="Calibri"/>
          <w:color w:val="231F20"/>
          <w:w w:val="99"/>
        </w:rPr>
        <w:t xml:space="preserve"> </w:t>
      </w:r>
      <w:r w:rsidRPr="00EA7458">
        <w:rPr>
          <w:rFonts w:ascii="Calibri" w:hAnsi="Calibri"/>
          <w:color w:val="231F20"/>
          <w:w w:val="110"/>
        </w:rPr>
        <w:t>they</w:t>
      </w:r>
      <w:r w:rsidRPr="00EA7458">
        <w:rPr>
          <w:rFonts w:ascii="Calibri" w:hAnsi="Calibri"/>
          <w:color w:val="231F20"/>
          <w:spacing w:val="-17"/>
          <w:w w:val="110"/>
        </w:rPr>
        <w:t xml:space="preserve"> </w:t>
      </w:r>
      <w:r w:rsidRPr="00EA7458">
        <w:rPr>
          <w:rFonts w:ascii="Calibri" w:hAnsi="Calibri"/>
          <w:color w:val="231F20"/>
          <w:w w:val="110"/>
        </w:rPr>
        <w:t>can</w:t>
      </w:r>
      <w:r w:rsidRPr="00EA7458">
        <w:rPr>
          <w:rFonts w:ascii="Calibri" w:hAnsi="Calibri"/>
          <w:color w:val="231F20"/>
          <w:spacing w:val="-17"/>
          <w:w w:val="110"/>
        </w:rPr>
        <w:t xml:space="preserve"> </w:t>
      </w:r>
      <w:r w:rsidRPr="00EA7458">
        <w:rPr>
          <w:rFonts w:ascii="Calibri" w:hAnsi="Calibri"/>
          <w:color w:val="231F20"/>
          <w:w w:val="110"/>
        </w:rPr>
        <w:t>earn</w:t>
      </w:r>
      <w:r w:rsidRPr="00EA7458">
        <w:rPr>
          <w:rFonts w:ascii="Calibri" w:hAnsi="Calibri"/>
          <w:color w:val="231F20"/>
          <w:spacing w:val="-17"/>
          <w:w w:val="110"/>
        </w:rPr>
        <w:t xml:space="preserve"> </w:t>
      </w:r>
      <w:r w:rsidRPr="00EA7458">
        <w:rPr>
          <w:rFonts w:ascii="Calibri" w:hAnsi="Calibri"/>
          <w:color w:val="231F20"/>
          <w:w w:val="110"/>
        </w:rPr>
        <w:t>a</w:t>
      </w:r>
      <w:r w:rsidRPr="00EA7458">
        <w:rPr>
          <w:rFonts w:ascii="Calibri" w:hAnsi="Calibri"/>
          <w:color w:val="231F20"/>
          <w:spacing w:val="-17"/>
          <w:w w:val="110"/>
        </w:rPr>
        <w:t xml:space="preserve"> </w:t>
      </w:r>
      <w:r w:rsidRPr="00EA7458">
        <w:rPr>
          <w:rFonts w:ascii="Calibri" w:hAnsi="Calibri"/>
          <w:color w:val="231F20"/>
          <w:w w:val="110"/>
        </w:rPr>
        <w:t>high</w:t>
      </w:r>
      <w:r w:rsidRPr="00EA7458">
        <w:rPr>
          <w:rFonts w:ascii="Calibri" w:hAnsi="Calibri"/>
          <w:color w:val="231F20"/>
          <w:spacing w:val="-17"/>
          <w:w w:val="110"/>
        </w:rPr>
        <w:t xml:space="preserve"> </w:t>
      </w:r>
      <w:r w:rsidRPr="00EA7458">
        <w:rPr>
          <w:rFonts w:ascii="Calibri" w:hAnsi="Calibri"/>
          <w:color w:val="231F20"/>
          <w:w w:val="110"/>
        </w:rPr>
        <w:t>school</w:t>
      </w:r>
      <w:r w:rsidRPr="00EA7458">
        <w:rPr>
          <w:rFonts w:ascii="Calibri" w:hAnsi="Calibri"/>
          <w:color w:val="231F20"/>
          <w:spacing w:val="-17"/>
          <w:w w:val="110"/>
        </w:rPr>
        <w:t xml:space="preserve"> </w:t>
      </w:r>
      <w:r w:rsidRPr="00EA7458">
        <w:rPr>
          <w:rFonts w:ascii="Calibri" w:hAnsi="Calibri"/>
          <w:color w:val="231F20"/>
          <w:w w:val="110"/>
        </w:rPr>
        <w:t>credential</w:t>
      </w:r>
      <w:r w:rsidRPr="00EA7458">
        <w:rPr>
          <w:rFonts w:ascii="Calibri" w:hAnsi="Calibri"/>
          <w:color w:val="231F20"/>
          <w:spacing w:val="-17"/>
          <w:w w:val="110"/>
        </w:rPr>
        <w:t xml:space="preserve"> </w:t>
      </w:r>
      <w:r w:rsidRPr="00EA7458">
        <w:rPr>
          <w:rFonts w:ascii="Calibri" w:hAnsi="Calibri"/>
          <w:color w:val="231F20"/>
          <w:w w:val="110"/>
        </w:rPr>
        <w:t>and</w:t>
      </w:r>
      <w:r w:rsidRPr="00EA7458">
        <w:rPr>
          <w:rFonts w:ascii="Calibri" w:hAnsi="Calibri"/>
          <w:color w:val="231F20"/>
          <w:spacing w:val="-17"/>
          <w:w w:val="110"/>
        </w:rPr>
        <w:t xml:space="preserve"> </w:t>
      </w:r>
      <w:r w:rsidRPr="00EA7458">
        <w:rPr>
          <w:rFonts w:ascii="Calibri" w:hAnsi="Calibri"/>
          <w:color w:val="231F20"/>
          <w:w w:val="110"/>
        </w:rPr>
        <w:t>enter</w:t>
      </w:r>
      <w:r w:rsidRPr="00EA7458">
        <w:rPr>
          <w:rFonts w:ascii="Calibri" w:hAnsi="Calibri"/>
          <w:color w:val="231F20"/>
          <w:spacing w:val="-17"/>
          <w:w w:val="110"/>
        </w:rPr>
        <w:t xml:space="preserve"> </w:t>
      </w:r>
      <w:r w:rsidRPr="00EA7458">
        <w:rPr>
          <w:rFonts w:ascii="Calibri" w:hAnsi="Calibri"/>
          <w:color w:val="231F20"/>
          <w:w w:val="110"/>
        </w:rPr>
        <w:t>postsecondary</w:t>
      </w:r>
      <w:r w:rsidRPr="00EA7458">
        <w:rPr>
          <w:rFonts w:ascii="Calibri" w:hAnsi="Calibri"/>
          <w:color w:val="231F20"/>
          <w:spacing w:val="-17"/>
          <w:w w:val="110"/>
        </w:rPr>
        <w:t xml:space="preserve"> </w:t>
      </w:r>
      <w:r w:rsidRPr="00EA7458">
        <w:rPr>
          <w:rFonts w:ascii="Calibri" w:hAnsi="Calibri"/>
          <w:color w:val="231F20"/>
          <w:w w:val="110"/>
        </w:rPr>
        <w:t>education</w:t>
      </w:r>
      <w:r w:rsidRPr="00EA7458">
        <w:rPr>
          <w:rFonts w:ascii="Calibri" w:hAnsi="Calibri"/>
          <w:color w:val="231F20"/>
          <w:spacing w:val="-17"/>
          <w:w w:val="110"/>
        </w:rPr>
        <w:t xml:space="preserve"> </w:t>
      </w:r>
      <w:r w:rsidRPr="00EA7458">
        <w:rPr>
          <w:rFonts w:ascii="Calibri" w:hAnsi="Calibri"/>
          <w:color w:val="231F20"/>
          <w:w w:val="110"/>
        </w:rPr>
        <w:t>to</w:t>
      </w:r>
      <w:r w:rsidRPr="00EA7458">
        <w:rPr>
          <w:rFonts w:ascii="Calibri" w:hAnsi="Calibri"/>
          <w:color w:val="231F20"/>
          <w:spacing w:val="-17"/>
          <w:w w:val="110"/>
        </w:rPr>
        <w:t xml:space="preserve"> </w:t>
      </w:r>
      <w:r w:rsidRPr="00EA7458">
        <w:rPr>
          <w:rFonts w:ascii="Calibri" w:hAnsi="Calibri"/>
          <w:color w:val="231F20"/>
          <w:w w:val="110"/>
        </w:rPr>
        <w:t>improve</w:t>
      </w:r>
      <w:r w:rsidRPr="00EA7458">
        <w:rPr>
          <w:rFonts w:ascii="Calibri" w:hAnsi="Calibri"/>
          <w:color w:val="231F20"/>
          <w:spacing w:val="-17"/>
          <w:w w:val="110"/>
        </w:rPr>
        <w:t xml:space="preserve"> </w:t>
      </w:r>
      <w:r w:rsidRPr="00EA7458">
        <w:rPr>
          <w:rFonts w:ascii="Calibri" w:hAnsi="Calibri"/>
          <w:color w:val="231F20"/>
          <w:w w:val="110"/>
        </w:rPr>
        <w:t>their</w:t>
      </w:r>
      <w:r w:rsidRPr="00EA7458">
        <w:rPr>
          <w:rFonts w:ascii="Calibri" w:hAnsi="Calibri"/>
          <w:color w:val="231F20"/>
          <w:spacing w:val="-17"/>
          <w:w w:val="110"/>
        </w:rPr>
        <w:t xml:space="preserve"> </w:t>
      </w:r>
      <w:r w:rsidRPr="00EA7458">
        <w:rPr>
          <w:rFonts w:ascii="Calibri" w:hAnsi="Calibri"/>
          <w:color w:val="231F20"/>
          <w:w w:val="110"/>
        </w:rPr>
        <w:t>career</w:t>
      </w:r>
      <w:r w:rsidRPr="00EA7458">
        <w:rPr>
          <w:rFonts w:ascii="Calibri" w:hAnsi="Calibri"/>
          <w:color w:val="231F20"/>
          <w:spacing w:val="-17"/>
          <w:w w:val="110"/>
        </w:rPr>
        <w:t xml:space="preserve"> </w:t>
      </w:r>
      <w:r w:rsidRPr="00EA7458">
        <w:rPr>
          <w:rFonts w:ascii="Calibri" w:hAnsi="Calibri"/>
          <w:color w:val="231F20"/>
          <w:w w:val="110"/>
        </w:rPr>
        <w:t>options.</w:t>
      </w:r>
      <w:r w:rsidRPr="00EA7458">
        <w:rPr>
          <w:rFonts w:ascii="Calibri" w:hAnsi="Calibri"/>
          <w:color w:val="231F20"/>
          <w:w w:val="105"/>
        </w:rPr>
        <w:t xml:space="preserve"> </w:t>
      </w:r>
      <w:r w:rsidRPr="00EA7458">
        <w:rPr>
          <w:rFonts w:ascii="Calibri" w:hAnsi="Calibri"/>
          <w:color w:val="231F20"/>
          <w:w w:val="110"/>
        </w:rPr>
        <w:t>Adults</w:t>
      </w:r>
      <w:r w:rsidRPr="00EA7458">
        <w:rPr>
          <w:rFonts w:ascii="Calibri" w:hAnsi="Calibri"/>
          <w:color w:val="231F20"/>
          <w:spacing w:val="-7"/>
          <w:w w:val="110"/>
        </w:rPr>
        <w:t xml:space="preserve"> </w:t>
      </w:r>
      <w:r w:rsidRPr="00EA7458">
        <w:rPr>
          <w:rFonts w:ascii="Calibri" w:hAnsi="Calibri"/>
          <w:color w:val="231F20"/>
          <w:w w:val="110"/>
        </w:rPr>
        <w:t>enrolling</w:t>
      </w:r>
      <w:r w:rsidRPr="00EA7458">
        <w:rPr>
          <w:rFonts w:ascii="Calibri" w:hAnsi="Calibri"/>
          <w:color w:val="231F20"/>
          <w:spacing w:val="-7"/>
          <w:w w:val="110"/>
        </w:rPr>
        <w:t xml:space="preserve"> </w:t>
      </w:r>
      <w:r w:rsidRPr="00EA7458">
        <w:rPr>
          <w:rFonts w:ascii="Calibri" w:hAnsi="Calibri"/>
          <w:color w:val="231F20"/>
          <w:w w:val="110"/>
        </w:rPr>
        <w:t>in</w:t>
      </w:r>
      <w:r w:rsidRPr="00EA7458">
        <w:rPr>
          <w:rFonts w:ascii="Calibri" w:hAnsi="Calibri"/>
          <w:color w:val="231F20"/>
          <w:spacing w:val="-7"/>
          <w:w w:val="110"/>
        </w:rPr>
        <w:t xml:space="preserve"> </w:t>
      </w:r>
      <w:r w:rsidRPr="00EA7458">
        <w:rPr>
          <w:rFonts w:ascii="Calibri" w:hAnsi="Calibri"/>
          <w:color w:val="231F20"/>
          <w:w w:val="110"/>
        </w:rPr>
        <w:t>ESOL</w:t>
      </w:r>
      <w:r w:rsidRPr="00EA7458">
        <w:rPr>
          <w:rFonts w:ascii="Calibri" w:hAnsi="Calibri"/>
          <w:color w:val="231F20"/>
          <w:spacing w:val="-7"/>
          <w:w w:val="110"/>
        </w:rPr>
        <w:t xml:space="preserve"> </w:t>
      </w:r>
      <w:r w:rsidRPr="00EA7458">
        <w:rPr>
          <w:rFonts w:ascii="Calibri" w:hAnsi="Calibri"/>
          <w:color w:val="231F20"/>
          <w:w w:val="110"/>
        </w:rPr>
        <w:t>programs</w:t>
      </w:r>
      <w:r w:rsidRPr="00EA7458">
        <w:rPr>
          <w:rFonts w:ascii="Calibri" w:hAnsi="Calibri"/>
          <w:color w:val="231F20"/>
          <w:spacing w:val="-7"/>
          <w:w w:val="110"/>
        </w:rPr>
        <w:t xml:space="preserve"> </w:t>
      </w:r>
      <w:r w:rsidRPr="00EA7458">
        <w:rPr>
          <w:rFonts w:ascii="Calibri" w:hAnsi="Calibri"/>
          <w:color w:val="231F20"/>
          <w:w w:val="110"/>
        </w:rPr>
        <w:t>fall</w:t>
      </w:r>
      <w:r w:rsidRPr="00EA7458">
        <w:rPr>
          <w:rFonts w:ascii="Calibri" w:hAnsi="Calibri"/>
          <w:color w:val="231F20"/>
          <w:spacing w:val="-7"/>
          <w:w w:val="110"/>
        </w:rPr>
        <w:t xml:space="preserve"> </w:t>
      </w:r>
      <w:r w:rsidRPr="00EA7458">
        <w:rPr>
          <w:rFonts w:ascii="Calibri" w:hAnsi="Calibri"/>
          <w:color w:val="231F20"/>
          <w:w w:val="110"/>
        </w:rPr>
        <w:t>in</w:t>
      </w:r>
      <w:r w:rsidRPr="00EA7458">
        <w:rPr>
          <w:rFonts w:ascii="Calibri" w:hAnsi="Calibri"/>
          <w:color w:val="231F20"/>
          <w:spacing w:val="-7"/>
          <w:w w:val="110"/>
        </w:rPr>
        <w:t xml:space="preserve"> </w:t>
      </w:r>
      <w:r w:rsidRPr="00EA7458">
        <w:rPr>
          <w:rFonts w:ascii="Calibri" w:hAnsi="Calibri"/>
          <w:color w:val="231F20"/>
          <w:w w:val="110"/>
        </w:rPr>
        <w:t>the</w:t>
      </w:r>
      <w:r w:rsidRPr="00EA7458">
        <w:rPr>
          <w:rFonts w:ascii="Calibri" w:hAnsi="Calibri"/>
          <w:color w:val="231F20"/>
          <w:spacing w:val="-7"/>
          <w:w w:val="110"/>
        </w:rPr>
        <w:t xml:space="preserve"> </w:t>
      </w:r>
      <w:r w:rsidRPr="00EA7458">
        <w:rPr>
          <w:rFonts w:ascii="Calibri" w:hAnsi="Calibri"/>
          <w:color w:val="231F20"/>
          <w:w w:val="110"/>
        </w:rPr>
        <w:t>age</w:t>
      </w:r>
      <w:r w:rsidRPr="00EA7458">
        <w:rPr>
          <w:rFonts w:ascii="Calibri" w:hAnsi="Calibri"/>
          <w:color w:val="231F20"/>
          <w:spacing w:val="-7"/>
          <w:w w:val="110"/>
        </w:rPr>
        <w:t xml:space="preserve"> </w:t>
      </w:r>
      <w:r w:rsidRPr="00EA7458">
        <w:rPr>
          <w:rFonts w:ascii="Calibri" w:hAnsi="Calibri"/>
          <w:color w:val="231F20"/>
          <w:w w:val="110"/>
        </w:rPr>
        <w:t>ranges</w:t>
      </w:r>
      <w:r w:rsidRPr="00EA7458">
        <w:rPr>
          <w:rFonts w:ascii="Calibri" w:hAnsi="Calibri"/>
          <w:color w:val="231F20"/>
          <w:spacing w:val="-7"/>
          <w:w w:val="110"/>
        </w:rPr>
        <w:t xml:space="preserve"> </w:t>
      </w:r>
      <w:r w:rsidRPr="00EA7458">
        <w:rPr>
          <w:rFonts w:ascii="Calibri" w:hAnsi="Calibri"/>
          <w:color w:val="231F20"/>
          <w:w w:val="110"/>
        </w:rPr>
        <w:t>of</w:t>
      </w:r>
      <w:r w:rsidRPr="00EA7458">
        <w:rPr>
          <w:rFonts w:ascii="Calibri" w:hAnsi="Calibri"/>
          <w:color w:val="231F20"/>
          <w:spacing w:val="-7"/>
          <w:w w:val="110"/>
        </w:rPr>
        <w:t xml:space="preserve"> </w:t>
      </w:r>
      <w:r w:rsidRPr="00EA7458">
        <w:rPr>
          <w:rFonts w:ascii="Calibri" w:hAnsi="Calibri"/>
          <w:color w:val="231F20"/>
          <w:w w:val="110"/>
        </w:rPr>
        <w:t>16</w:t>
      </w:r>
      <w:r w:rsidRPr="00EA7458">
        <w:rPr>
          <w:rFonts w:ascii="Calibri" w:hAnsi="Calibri"/>
          <w:color w:val="231F20"/>
          <w:spacing w:val="-8"/>
          <w:w w:val="110"/>
        </w:rPr>
        <w:t xml:space="preserve"> </w:t>
      </w:r>
      <w:r w:rsidRPr="00EA7458">
        <w:rPr>
          <w:rFonts w:ascii="Calibri" w:hAnsi="Calibri"/>
          <w:color w:val="231F20"/>
          <w:w w:val="110"/>
        </w:rPr>
        <w:t>to</w:t>
      </w:r>
      <w:r w:rsidRPr="00EA7458">
        <w:rPr>
          <w:rFonts w:ascii="Calibri" w:hAnsi="Calibri"/>
          <w:color w:val="231F20"/>
          <w:spacing w:val="-7"/>
          <w:w w:val="110"/>
        </w:rPr>
        <w:t xml:space="preserve"> </w:t>
      </w:r>
      <w:r w:rsidRPr="00EA7458">
        <w:rPr>
          <w:rFonts w:ascii="Calibri" w:hAnsi="Calibri"/>
          <w:color w:val="231F20"/>
          <w:w w:val="110"/>
        </w:rPr>
        <w:t>60+.</w:t>
      </w:r>
      <w:r w:rsidRPr="00EA7458">
        <w:rPr>
          <w:rFonts w:ascii="Calibri" w:hAnsi="Calibri"/>
          <w:color w:val="231F20"/>
          <w:spacing w:val="-7"/>
          <w:w w:val="110"/>
        </w:rPr>
        <w:t xml:space="preserve"> </w:t>
      </w:r>
      <w:r w:rsidRPr="00EA7458">
        <w:rPr>
          <w:rFonts w:ascii="Calibri" w:hAnsi="Calibri"/>
          <w:color w:val="231F20"/>
          <w:w w:val="110"/>
        </w:rPr>
        <w:t>During</w:t>
      </w:r>
      <w:r w:rsidRPr="00EA7458">
        <w:rPr>
          <w:rFonts w:ascii="Calibri" w:hAnsi="Calibri"/>
          <w:color w:val="231F20"/>
          <w:spacing w:val="-7"/>
          <w:w w:val="110"/>
        </w:rPr>
        <w:t xml:space="preserve"> </w:t>
      </w:r>
      <w:r w:rsidRPr="00EA7458">
        <w:rPr>
          <w:rFonts w:ascii="Calibri" w:hAnsi="Calibri"/>
          <w:color w:val="231F20"/>
          <w:w w:val="110"/>
        </w:rPr>
        <w:t>2014-2015,</w:t>
      </w:r>
      <w:r w:rsidRPr="00EA7458">
        <w:rPr>
          <w:rFonts w:ascii="Calibri" w:hAnsi="Calibri"/>
          <w:color w:val="231F20"/>
          <w:spacing w:val="-7"/>
          <w:w w:val="110"/>
        </w:rPr>
        <w:t xml:space="preserve"> </w:t>
      </w:r>
      <w:r w:rsidRPr="00EA7458">
        <w:rPr>
          <w:rFonts w:ascii="Calibri" w:hAnsi="Calibri"/>
          <w:color w:val="231F20"/>
          <w:w w:val="110"/>
        </w:rPr>
        <w:t>some</w:t>
      </w:r>
      <w:r w:rsidRPr="00EA7458">
        <w:rPr>
          <w:rFonts w:ascii="Calibri" w:hAnsi="Calibri"/>
          <w:color w:val="231F20"/>
          <w:spacing w:val="-7"/>
          <w:w w:val="110"/>
        </w:rPr>
        <w:t xml:space="preserve"> </w:t>
      </w:r>
      <w:r w:rsidRPr="00EA7458">
        <w:rPr>
          <w:rFonts w:ascii="Calibri" w:hAnsi="Calibri"/>
          <w:color w:val="231F20"/>
          <w:w w:val="110"/>
        </w:rPr>
        <w:t>205,355</w:t>
      </w:r>
      <w:r w:rsidRPr="00EA7458">
        <w:rPr>
          <w:rFonts w:ascii="Calibri" w:hAnsi="Calibri"/>
          <w:color w:val="231F20"/>
          <w:w w:val="114"/>
        </w:rPr>
        <w:t xml:space="preserve"> </w:t>
      </w:r>
      <w:r w:rsidRPr="00EA7458">
        <w:rPr>
          <w:rFonts w:ascii="Calibri" w:hAnsi="Calibri"/>
          <w:color w:val="231F20"/>
          <w:w w:val="110"/>
        </w:rPr>
        <w:t>adults</w:t>
      </w:r>
      <w:r w:rsidRPr="00EA7458">
        <w:rPr>
          <w:rFonts w:ascii="Calibri" w:hAnsi="Calibri"/>
          <w:color w:val="231F20"/>
          <w:spacing w:val="-10"/>
          <w:w w:val="110"/>
        </w:rPr>
        <w:t xml:space="preserve"> </w:t>
      </w:r>
      <w:r w:rsidRPr="00EA7458">
        <w:rPr>
          <w:rFonts w:ascii="Calibri" w:hAnsi="Calibri"/>
          <w:color w:val="231F20"/>
          <w:w w:val="110"/>
        </w:rPr>
        <w:t>were</w:t>
      </w:r>
      <w:r w:rsidRPr="00EA7458">
        <w:rPr>
          <w:rFonts w:ascii="Calibri" w:hAnsi="Calibri"/>
          <w:color w:val="231F20"/>
          <w:spacing w:val="-10"/>
          <w:w w:val="110"/>
        </w:rPr>
        <w:t xml:space="preserve"> </w:t>
      </w:r>
      <w:r w:rsidRPr="00EA7458">
        <w:rPr>
          <w:rFonts w:ascii="Calibri" w:hAnsi="Calibri"/>
          <w:color w:val="231F20"/>
          <w:w w:val="110"/>
        </w:rPr>
        <w:t>enrolled</w:t>
      </w:r>
      <w:r w:rsidRPr="00EA7458">
        <w:rPr>
          <w:rFonts w:ascii="Calibri" w:hAnsi="Calibri"/>
          <w:color w:val="231F20"/>
          <w:spacing w:val="-10"/>
          <w:w w:val="110"/>
        </w:rPr>
        <w:t xml:space="preserve"> </w:t>
      </w:r>
      <w:r w:rsidRPr="00EA7458">
        <w:rPr>
          <w:rFonts w:ascii="Calibri" w:hAnsi="Calibri"/>
          <w:color w:val="231F20"/>
          <w:w w:val="110"/>
        </w:rPr>
        <w:t>in</w:t>
      </w:r>
      <w:r w:rsidRPr="00EA7458">
        <w:rPr>
          <w:rFonts w:ascii="Calibri" w:hAnsi="Calibri"/>
          <w:color w:val="231F20"/>
          <w:spacing w:val="-10"/>
          <w:w w:val="110"/>
        </w:rPr>
        <w:t xml:space="preserve"> </w:t>
      </w:r>
      <w:r w:rsidRPr="00A1340E">
        <w:rPr>
          <w:rFonts w:ascii="Calibri" w:hAnsi="Calibri"/>
          <w:color w:val="231F20"/>
          <w:w w:val="110"/>
        </w:rPr>
        <w:t>A</w:t>
      </w:r>
      <w:r w:rsidR="00A1340E" w:rsidRPr="00A1340E">
        <w:rPr>
          <w:rFonts w:ascii="Calibri" w:hAnsi="Calibri"/>
          <w:color w:val="231F20"/>
          <w:w w:val="110"/>
        </w:rPr>
        <w:t xml:space="preserve">dult </w:t>
      </w:r>
      <w:r w:rsidRPr="00A1340E">
        <w:rPr>
          <w:rFonts w:ascii="Calibri" w:hAnsi="Calibri"/>
          <w:color w:val="231F20"/>
          <w:w w:val="110"/>
        </w:rPr>
        <w:t>B</w:t>
      </w:r>
      <w:r w:rsidR="00A1340E" w:rsidRPr="00A1340E">
        <w:rPr>
          <w:rFonts w:ascii="Calibri" w:hAnsi="Calibri"/>
          <w:color w:val="231F20"/>
          <w:w w:val="110"/>
        </w:rPr>
        <w:t xml:space="preserve">asic </w:t>
      </w:r>
      <w:r w:rsidRPr="00A1340E">
        <w:rPr>
          <w:rFonts w:ascii="Calibri" w:hAnsi="Calibri"/>
          <w:color w:val="231F20"/>
          <w:w w:val="110"/>
        </w:rPr>
        <w:t>E</w:t>
      </w:r>
      <w:r w:rsidR="00A1340E" w:rsidRPr="00A1340E">
        <w:rPr>
          <w:rFonts w:ascii="Calibri" w:hAnsi="Calibri"/>
          <w:color w:val="231F20"/>
          <w:w w:val="110"/>
        </w:rPr>
        <w:t>ducation</w:t>
      </w:r>
      <w:r w:rsidRPr="00A1340E">
        <w:rPr>
          <w:rFonts w:ascii="Calibri" w:hAnsi="Calibri"/>
          <w:color w:val="231F20"/>
          <w:w w:val="110"/>
        </w:rPr>
        <w:t>,</w:t>
      </w:r>
      <w:r w:rsidRPr="00A1340E">
        <w:rPr>
          <w:rFonts w:ascii="Calibri" w:hAnsi="Calibri"/>
          <w:color w:val="231F20"/>
          <w:spacing w:val="-10"/>
          <w:w w:val="110"/>
        </w:rPr>
        <w:t xml:space="preserve"> </w:t>
      </w:r>
      <w:r w:rsidRPr="00A1340E">
        <w:rPr>
          <w:rFonts w:ascii="Calibri" w:hAnsi="Calibri"/>
          <w:color w:val="231F20"/>
          <w:w w:val="110"/>
        </w:rPr>
        <w:t>ESOL</w:t>
      </w:r>
      <w:r w:rsidRPr="00A1340E">
        <w:rPr>
          <w:rFonts w:ascii="Calibri" w:hAnsi="Calibri"/>
          <w:color w:val="231F20"/>
          <w:spacing w:val="-10"/>
          <w:w w:val="110"/>
        </w:rPr>
        <w:t xml:space="preserve"> </w:t>
      </w:r>
      <w:r w:rsidRPr="00A1340E">
        <w:rPr>
          <w:rFonts w:ascii="Calibri" w:hAnsi="Calibri"/>
          <w:color w:val="231F20"/>
          <w:w w:val="110"/>
        </w:rPr>
        <w:t>and</w:t>
      </w:r>
      <w:r w:rsidRPr="00A1340E">
        <w:rPr>
          <w:rFonts w:ascii="Calibri" w:hAnsi="Calibri"/>
          <w:color w:val="231F20"/>
          <w:spacing w:val="-10"/>
          <w:w w:val="110"/>
        </w:rPr>
        <w:t xml:space="preserve"> </w:t>
      </w:r>
      <w:r w:rsidRPr="00A1340E">
        <w:rPr>
          <w:rFonts w:ascii="Calibri" w:hAnsi="Calibri"/>
          <w:color w:val="231F20"/>
          <w:w w:val="110"/>
        </w:rPr>
        <w:t>A</w:t>
      </w:r>
      <w:r w:rsidR="00A1340E" w:rsidRPr="00A1340E">
        <w:rPr>
          <w:rFonts w:ascii="Calibri" w:hAnsi="Calibri"/>
          <w:color w:val="231F20"/>
          <w:w w:val="110"/>
        </w:rPr>
        <w:t xml:space="preserve">dult </w:t>
      </w:r>
      <w:r w:rsidRPr="00A1340E">
        <w:rPr>
          <w:rFonts w:ascii="Calibri" w:hAnsi="Calibri"/>
          <w:color w:val="231F20"/>
          <w:w w:val="110"/>
        </w:rPr>
        <w:t>S</w:t>
      </w:r>
      <w:r w:rsidR="00A1340E" w:rsidRPr="00A1340E">
        <w:rPr>
          <w:rFonts w:ascii="Calibri" w:hAnsi="Calibri"/>
          <w:color w:val="231F20"/>
          <w:w w:val="110"/>
        </w:rPr>
        <w:t xml:space="preserve">econdary </w:t>
      </w:r>
      <w:r w:rsidRPr="00A1340E">
        <w:rPr>
          <w:rFonts w:ascii="Calibri" w:hAnsi="Calibri"/>
          <w:color w:val="231F20"/>
          <w:w w:val="110"/>
        </w:rPr>
        <w:t>E</w:t>
      </w:r>
      <w:r w:rsidR="00A1340E" w:rsidRPr="00A1340E">
        <w:rPr>
          <w:rFonts w:ascii="Calibri" w:hAnsi="Calibri"/>
          <w:color w:val="231F20"/>
          <w:w w:val="110"/>
        </w:rPr>
        <w:t>ducation</w:t>
      </w:r>
      <w:r w:rsidRPr="00EA7458">
        <w:rPr>
          <w:rFonts w:ascii="Calibri" w:hAnsi="Calibri"/>
          <w:color w:val="231F20"/>
          <w:spacing w:val="-10"/>
          <w:w w:val="110"/>
        </w:rPr>
        <w:t xml:space="preserve"> </w:t>
      </w:r>
      <w:r w:rsidRPr="00EA7458">
        <w:rPr>
          <w:rFonts w:ascii="Calibri" w:hAnsi="Calibri"/>
          <w:color w:val="231F20"/>
          <w:w w:val="110"/>
        </w:rPr>
        <w:t>(adult</w:t>
      </w:r>
      <w:r w:rsidRPr="00EA7458">
        <w:rPr>
          <w:rFonts w:ascii="Calibri" w:hAnsi="Calibri"/>
          <w:color w:val="231F20"/>
          <w:spacing w:val="-10"/>
          <w:w w:val="110"/>
        </w:rPr>
        <w:t xml:space="preserve"> </w:t>
      </w:r>
      <w:r w:rsidRPr="00EA7458">
        <w:rPr>
          <w:rFonts w:ascii="Calibri" w:hAnsi="Calibri"/>
          <w:color w:val="231F20"/>
          <w:w w:val="110"/>
        </w:rPr>
        <w:t>high</w:t>
      </w:r>
      <w:r w:rsidRPr="00EA7458">
        <w:rPr>
          <w:rFonts w:ascii="Calibri" w:hAnsi="Calibri"/>
          <w:color w:val="231F20"/>
          <w:spacing w:val="-10"/>
          <w:w w:val="110"/>
        </w:rPr>
        <w:t xml:space="preserve"> </w:t>
      </w:r>
      <w:r w:rsidRPr="00EA7458">
        <w:rPr>
          <w:rFonts w:ascii="Calibri" w:hAnsi="Calibri"/>
          <w:color w:val="231F20"/>
          <w:w w:val="110"/>
        </w:rPr>
        <w:t>school</w:t>
      </w:r>
      <w:r w:rsidRPr="00EA7458">
        <w:rPr>
          <w:rFonts w:ascii="Calibri" w:hAnsi="Calibri"/>
          <w:color w:val="231F20"/>
          <w:spacing w:val="-10"/>
          <w:w w:val="110"/>
        </w:rPr>
        <w:t xml:space="preserve"> </w:t>
      </w:r>
      <w:r w:rsidRPr="00EA7458">
        <w:rPr>
          <w:rFonts w:ascii="Calibri" w:hAnsi="Calibri"/>
          <w:color w:val="231F20"/>
          <w:w w:val="110"/>
        </w:rPr>
        <w:t>and</w:t>
      </w:r>
      <w:r w:rsidRPr="00EA7458">
        <w:rPr>
          <w:rFonts w:ascii="Calibri" w:hAnsi="Calibri"/>
          <w:color w:val="231F20"/>
          <w:spacing w:val="-10"/>
          <w:w w:val="110"/>
        </w:rPr>
        <w:t xml:space="preserve"> </w:t>
      </w:r>
      <w:r w:rsidRPr="00EA7458">
        <w:rPr>
          <w:rFonts w:ascii="Calibri" w:hAnsi="Calibri"/>
          <w:color w:val="231F20"/>
          <w:w w:val="110"/>
        </w:rPr>
        <w:t>GED®)</w:t>
      </w:r>
      <w:r w:rsidRPr="00EA7458">
        <w:rPr>
          <w:rFonts w:ascii="Calibri" w:hAnsi="Calibri"/>
          <w:color w:val="231F20"/>
          <w:spacing w:val="-10"/>
          <w:w w:val="110"/>
        </w:rPr>
        <w:t xml:space="preserve"> </w:t>
      </w:r>
      <w:r w:rsidRPr="00EA7458">
        <w:rPr>
          <w:rFonts w:ascii="Calibri" w:hAnsi="Calibri"/>
          <w:color w:val="231F20"/>
          <w:w w:val="110"/>
        </w:rPr>
        <w:t>courses.</w:t>
      </w:r>
      <w:r w:rsidRPr="00EA7458">
        <w:rPr>
          <w:rFonts w:ascii="Calibri" w:hAnsi="Calibri"/>
          <w:color w:val="231F20"/>
          <w:spacing w:val="-10"/>
          <w:w w:val="110"/>
        </w:rPr>
        <w:t xml:space="preserve"> </w:t>
      </w:r>
      <w:r w:rsidRPr="00EA7458">
        <w:rPr>
          <w:rFonts w:ascii="Calibri" w:hAnsi="Calibri"/>
          <w:color w:val="231F20"/>
          <w:w w:val="110"/>
        </w:rPr>
        <w:t>Of</w:t>
      </w:r>
      <w:r w:rsidRPr="00EA7458">
        <w:rPr>
          <w:rFonts w:ascii="Calibri" w:hAnsi="Calibri"/>
          <w:color w:val="231F20"/>
          <w:spacing w:val="-10"/>
          <w:w w:val="110"/>
        </w:rPr>
        <w:t xml:space="preserve"> </w:t>
      </w:r>
      <w:r w:rsidRPr="00EA7458">
        <w:rPr>
          <w:rFonts w:ascii="Calibri" w:hAnsi="Calibri"/>
          <w:color w:val="231F20"/>
          <w:w w:val="110"/>
        </w:rPr>
        <w:t>the</w:t>
      </w:r>
      <w:r w:rsidRPr="00EA7458">
        <w:rPr>
          <w:rFonts w:ascii="Calibri" w:hAnsi="Calibri"/>
          <w:color w:val="231F20"/>
          <w:spacing w:val="-10"/>
          <w:w w:val="110"/>
        </w:rPr>
        <w:t xml:space="preserve"> </w:t>
      </w:r>
      <w:r w:rsidRPr="00EA7458">
        <w:rPr>
          <w:rFonts w:ascii="Calibri" w:hAnsi="Calibri"/>
          <w:color w:val="231F20"/>
          <w:w w:val="110"/>
        </w:rPr>
        <w:t>total</w:t>
      </w:r>
      <w:r w:rsidRPr="00EA7458">
        <w:rPr>
          <w:rFonts w:ascii="Calibri" w:hAnsi="Calibri"/>
          <w:color w:val="231F20"/>
          <w:spacing w:val="-10"/>
          <w:w w:val="110"/>
        </w:rPr>
        <w:t xml:space="preserve"> </w:t>
      </w:r>
      <w:r w:rsidRPr="00EA7458">
        <w:rPr>
          <w:rFonts w:ascii="Calibri" w:hAnsi="Calibri"/>
          <w:color w:val="231F20"/>
          <w:w w:val="110"/>
        </w:rPr>
        <w:t>enrollment,</w:t>
      </w:r>
      <w:r w:rsidRPr="00EA7458">
        <w:rPr>
          <w:rFonts w:ascii="Calibri" w:hAnsi="Calibri"/>
          <w:color w:val="231F20"/>
          <w:w w:val="103"/>
        </w:rPr>
        <w:t xml:space="preserve"> </w:t>
      </w:r>
      <w:r w:rsidRPr="00EA7458">
        <w:rPr>
          <w:rFonts w:ascii="Calibri" w:hAnsi="Calibri"/>
          <w:color w:val="231F20"/>
          <w:w w:val="110"/>
        </w:rPr>
        <w:t>86,000 adults were enrolled in ESOL courses. The chart below provides an analysis of age ranges</w:t>
      </w:r>
      <w:r w:rsidRPr="00EA7458">
        <w:rPr>
          <w:rFonts w:ascii="Calibri" w:hAnsi="Calibri"/>
          <w:color w:val="231F20"/>
          <w:spacing w:val="-12"/>
          <w:w w:val="110"/>
        </w:rPr>
        <w:t xml:space="preserve"> </w:t>
      </w:r>
      <w:r w:rsidRPr="00EA7458">
        <w:rPr>
          <w:rFonts w:ascii="Calibri" w:hAnsi="Calibri"/>
          <w:color w:val="231F20"/>
          <w:w w:val="110"/>
        </w:rPr>
        <w:t>and</w:t>
      </w:r>
      <w:r w:rsidRPr="00EA7458">
        <w:rPr>
          <w:rFonts w:ascii="Calibri" w:hAnsi="Calibri"/>
          <w:color w:val="231F20"/>
          <w:w w:val="108"/>
        </w:rPr>
        <w:t xml:space="preserve"> </w:t>
      </w:r>
      <w:r w:rsidRPr="00EA7458">
        <w:rPr>
          <w:rFonts w:ascii="Calibri" w:hAnsi="Calibri"/>
          <w:color w:val="231F20"/>
          <w:w w:val="110"/>
        </w:rPr>
        <w:t>ability</w:t>
      </w:r>
      <w:r w:rsidRPr="00EA7458">
        <w:rPr>
          <w:rFonts w:ascii="Calibri" w:hAnsi="Calibri"/>
          <w:color w:val="231F20"/>
          <w:spacing w:val="-10"/>
          <w:w w:val="110"/>
        </w:rPr>
        <w:t xml:space="preserve"> </w:t>
      </w:r>
      <w:r w:rsidRPr="00EA7458">
        <w:rPr>
          <w:rFonts w:ascii="Calibri" w:hAnsi="Calibri"/>
          <w:color w:val="231F20"/>
          <w:w w:val="110"/>
        </w:rPr>
        <w:t>to</w:t>
      </w:r>
      <w:r w:rsidRPr="00EA7458">
        <w:rPr>
          <w:rFonts w:ascii="Calibri" w:hAnsi="Calibri"/>
          <w:color w:val="231F20"/>
          <w:spacing w:val="-10"/>
          <w:w w:val="110"/>
        </w:rPr>
        <w:t xml:space="preserve"> </w:t>
      </w:r>
      <w:r w:rsidRPr="00EA7458">
        <w:rPr>
          <w:rFonts w:ascii="Calibri" w:hAnsi="Calibri"/>
          <w:color w:val="231F20"/>
          <w:w w:val="110"/>
        </w:rPr>
        <w:t>speak</w:t>
      </w:r>
      <w:r w:rsidRPr="00EA7458">
        <w:rPr>
          <w:rFonts w:ascii="Calibri" w:hAnsi="Calibri"/>
          <w:color w:val="231F20"/>
          <w:spacing w:val="-10"/>
          <w:w w:val="110"/>
        </w:rPr>
        <w:t xml:space="preserve"> </w:t>
      </w:r>
      <w:r w:rsidRPr="00EA7458">
        <w:rPr>
          <w:rFonts w:ascii="Calibri" w:hAnsi="Calibri"/>
          <w:color w:val="231F20"/>
          <w:w w:val="110"/>
        </w:rPr>
        <w:t>English.</w:t>
      </w:r>
      <w:r w:rsidRPr="00EA7458">
        <w:rPr>
          <w:rFonts w:ascii="Calibri" w:hAnsi="Calibri"/>
          <w:color w:val="231F20"/>
          <w:spacing w:val="-10"/>
          <w:w w:val="110"/>
        </w:rPr>
        <w:t xml:space="preserve"> </w:t>
      </w:r>
      <w:r w:rsidRPr="00EA7458">
        <w:rPr>
          <w:rFonts w:ascii="Calibri" w:hAnsi="Calibri"/>
          <w:color w:val="231F20"/>
          <w:w w:val="110"/>
        </w:rPr>
        <w:t>This</w:t>
      </w:r>
      <w:r w:rsidRPr="00EA7458">
        <w:rPr>
          <w:rFonts w:ascii="Calibri" w:hAnsi="Calibri"/>
          <w:color w:val="231F20"/>
          <w:spacing w:val="-10"/>
          <w:w w:val="110"/>
        </w:rPr>
        <w:t xml:space="preserve"> </w:t>
      </w:r>
      <w:r w:rsidRPr="00EA7458">
        <w:rPr>
          <w:rFonts w:ascii="Calibri" w:hAnsi="Calibri"/>
          <w:color w:val="231F20"/>
          <w:w w:val="110"/>
        </w:rPr>
        <w:t>is</w:t>
      </w:r>
      <w:r w:rsidRPr="00EA7458">
        <w:rPr>
          <w:rFonts w:ascii="Calibri" w:hAnsi="Calibri"/>
          <w:color w:val="231F20"/>
          <w:spacing w:val="-10"/>
          <w:w w:val="110"/>
        </w:rPr>
        <w:t xml:space="preserve"> </w:t>
      </w:r>
      <w:r w:rsidRPr="00EA7458">
        <w:rPr>
          <w:rFonts w:ascii="Calibri" w:hAnsi="Calibri"/>
          <w:color w:val="231F20"/>
          <w:w w:val="110"/>
        </w:rPr>
        <w:t>a</w:t>
      </w:r>
      <w:r w:rsidRPr="00EA7458">
        <w:rPr>
          <w:rFonts w:ascii="Calibri" w:hAnsi="Calibri"/>
          <w:color w:val="231F20"/>
          <w:spacing w:val="-10"/>
          <w:w w:val="110"/>
        </w:rPr>
        <w:t xml:space="preserve"> </w:t>
      </w:r>
      <w:r w:rsidRPr="00EA7458">
        <w:rPr>
          <w:rFonts w:ascii="Calibri" w:hAnsi="Calibri"/>
          <w:color w:val="231F20"/>
          <w:w w:val="110"/>
        </w:rPr>
        <w:t>significant</w:t>
      </w:r>
      <w:r w:rsidRPr="00EA7458">
        <w:rPr>
          <w:rFonts w:ascii="Calibri" w:hAnsi="Calibri"/>
          <w:color w:val="231F20"/>
          <w:spacing w:val="-10"/>
          <w:w w:val="110"/>
        </w:rPr>
        <w:t xml:space="preserve"> </w:t>
      </w:r>
      <w:r w:rsidRPr="00EA7458">
        <w:rPr>
          <w:rFonts w:ascii="Calibri" w:hAnsi="Calibri"/>
          <w:color w:val="231F20"/>
          <w:w w:val="110"/>
        </w:rPr>
        <w:t>number</w:t>
      </w:r>
      <w:r w:rsidRPr="00EA7458">
        <w:rPr>
          <w:rFonts w:ascii="Calibri" w:hAnsi="Calibri"/>
          <w:color w:val="231F20"/>
          <w:spacing w:val="-10"/>
          <w:w w:val="110"/>
        </w:rPr>
        <w:t xml:space="preserve"> </w:t>
      </w:r>
      <w:r w:rsidRPr="00EA7458">
        <w:rPr>
          <w:rFonts w:ascii="Calibri" w:hAnsi="Calibri"/>
          <w:color w:val="231F20"/>
          <w:w w:val="110"/>
        </w:rPr>
        <w:t>of</w:t>
      </w:r>
      <w:r w:rsidRPr="00EA7458">
        <w:rPr>
          <w:rFonts w:ascii="Calibri" w:hAnsi="Calibri"/>
          <w:color w:val="231F20"/>
          <w:spacing w:val="-10"/>
          <w:w w:val="110"/>
        </w:rPr>
        <w:t xml:space="preserve"> </w:t>
      </w:r>
      <w:r w:rsidRPr="00EA7458">
        <w:rPr>
          <w:rFonts w:ascii="Calibri" w:hAnsi="Calibri"/>
          <w:color w:val="231F20"/>
          <w:w w:val="110"/>
        </w:rPr>
        <w:t>limited</w:t>
      </w:r>
      <w:r w:rsidRPr="00EA7458">
        <w:rPr>
          <w:rFonts w:ascii="Calibri" w:hAnsi="Calibri"/>
          <w:color w:val="231F20"/>
          <w:spacing w:val="-10"/>
          <w:w w:val="110"/>
        </w:rPr>
        <w:t xml:space="preserve"> </w:t>
      </w:r>
      <w:r w:rsidR="005E5B17" w:rsidRPr="00EA7458">
        <w:rPr>
          <w:rFonts w:ascii="Calibri" w:hAnsi="Calibri"/>
          <w:color w:val="231F20"/>
          <w:w w:val="110"/>
        </w:rPr>
        <w:t>English</w:t>
      </w:r>
      <w:r w:rsidR="005E5B17" w:rsidRPr="00EA7458">
        <w:rPr>
          <w:rFonts w:ascii="Calibri" w:hAnsi="Calibri"/>
          <w:color w:val="231F20"/>
          <w:spacing w:val="-10"/>
          <w:w w:val="110"/>
        </w:rPr>
        <w:t>-speaking</w:t>
      </w:r>
      <w:r w:rsidRPr="00EA7458">
        <w:rPr>
          <w:rFonts w:ascii="Calibri" w:hAnsi="Calibri"/>
          <w:color w:val="231F20"/>
          <w:spacing w:val="-10"/>
          <w:w w:val="110"/>
        </w:rPr>
        <w:t xml:space="preserve"> </w:t>
      </w:r>
      <w:r w:rsidRPr="00EA7458">
        <w:rPr>
          <w:rFonts w:ascii="Calibri" w:hAnsi="Calibri"/>
          <w:color w:val="231F20"/>
          <w:w w:val="110"/>
        </w:rPr>
        <w:t>adults</w:t>
      </w:r>
      <w:r w:rsidRPr="00EA7458">
        <w:rPr>
          <w:rFonts w:ascii="Calibri" w:hAnsi="Calibri"/>
          <w:color w:val="231F20"/>
          <w:spacing w:val="-10"/>
          <w:w w:val="110"/>
        </w:rPr>
        <w:t xml:space="preserve"> </w:t>
      </w:r>
      <w:r w:rsidRPr="00EA7458">
        <w:rPr>
          <w:rFonts w:ascii="Calibri" w:hAnsi="Calibri"/>
          <w:color w:val="231F20"/>
          <w:w w:val="110"/>
        </w:rPr>
        <w:t>who</w:t>
      </w:r>
      <w:r w:rsidRPr="00EA7458">
        <w:rPr>
          <w:rFonts w:ascii="Calibri" w:hAnsi="Calibri"/>
          <w:color w:val="231F20"/>
          <w:spacing w:val="-10"/>
          <w:w w:val="110"/>
        </w:rPr>
        <w:t xml:space="preserve"> </w:t>
      </w:r>
      <w:r w:rsidRPr="00EA7458">
        <w:rPr>
          <w:rFonts w:ascii="Calibri" w:hAnsi="Calibri"/>
          <w:color w:val="231F20"/>
          <w:w w:val="110"/>
        </w:rPr>
        <w:t>could</w:t>
      </w:r>
      <w:r w:rsidRPr="00EA7458">
        <w:rPr>
          <w:rFonts w:ascii="Calibri" w:hAnsi="Calibri"/>
          <w:color w:val="231F20"/>
          <w:spacing w:val="-10"/>
          <w:w w:val="110"/>
        </w:rPr>
        <w:t xml:space="preserve"> </w:t>
      </w:r>
      <w:r w:rsidRPr="00EA7458">
        <w:rPr>
          <w:rFonts w:ascii="Calibri" w:hAnsi="Calibri"/>
          <w:color w:val="231F20"/>
          <w:w w:val="110"/>
        </w:rPr>
        <w:t>benefit</w:t>
      </w:r>
      <w:r w:rsidRPr="00EA7458">
        <w:rPr>
          <w:rFonts w:ascii="Calibri" w:hAnsi="Calibri"/>
          <w:color w:val="231F20"/>
          <w:w w:val="104"/>
        </w:rPr>
        <w:t xml:space="preserve"> </w:t>
      </w:r>
      <w:r w:rsidRPr="00EA7458">
        <w:rPr>
          <w:rFonts w:ascii="Calibri" w:hAnsi="Calibri"/>
          <w:color w:val="231F20"/>
          <w:w w:val="110"/>
        </w:rPr>
        <w:t>from ESOL courses as well as building their basic skills. Many of these individuals</w:t>
      </w:r>
      <w:r w:rsidR="00C126A0">
        <w:rPr>
          <w:rFonts w:ascii="Calibri" w:hAnsi="Calibri"/>
          <w:color w:val="231F20"/>
          <w:w w:val="110"/>
        </w:rPr>
        <w:t xml:space="preserve"> </w:t>
      </w:r>
      <w:r w:rsidRPr="00EA7458">
        <w:rPr>
          <w:rFonts w:ascii="Calibri" w:hAnsi="Calibri"/>
          <w:color w:val="231F20"/>
          <w:w w:val="110"/>
        </w:rPr>
        <w:t>also</w:t>
      </w:r>
      <w:r w:rsidR="00C126A0">
        <w:rPr>
          <w:rFonts w:ascii="Calibri" w:hAnsi="Calibri"/>
          <w:color w:val="231F20"/>
          <w:w w:val="110"/>
        </w:rPr>
        <w:t xml:space="preserve"> are</w:t>
      </w:r>
      <w:r w:rsidRPr="00EA7458">
        <w:rPr>
          <w:rFonts w:ascii="Calibri" w:hAnsi="Calibri"/>
          <w:color w:val="231F20"/>
          <w:spacing w:val="15"/>
          <w:w w:val="110"/>
        </w:rPr>
        <w:t xml:space="preserve"> </w:t>
      </w:r>
      <w:r w:rsidRPr="00EA7458">
        <w:rPr>
          <w:rFonts w:ascii="Calibri" w:hAnsi="Calibri"/>
          <w:color w:val="231F20"/>
          <w:w w:val="110"/>
        </w:rPr>
        <w:t>seeking</w:t>
      </w:r>
      <w:r w:rsidRPr="00EA7458">
        <w:rPr>
          <w:rFonts w:ascii="Calibri" w:hAnsi="Calibri"/>
          <w:color w:val="231F20"/>
          <w:w w:val="112"/>
        </w:rPr>
        <w:t xml:space="preserve"> </w:t>
      </w:r>
      <w:r w:rsidRPr="00EA7458">
        <w:rPr>
          <w:rFonts w:ascii="Calibri" w:hAnsi="Calibri"/>
          <w:color w:val="231F20"/>
          <w:w w:val="110"/>
        </w:rPr>
        <w:t>employment</w:t>
      </w:r>
      <w:r w:rsidRPr="00EA7458">
        <w:rPr>
          <w:rFonts w:ascii="Calibri" w:hAnsi="Calibri"/>
          <w:color w:val="231F20"/>
          <w:spacing w:val="-19"/>
          <w:w w:val="110"/>
        </w:rPr>
        <w:t xml:space="preserve"> </w:t>
      </w:r>
      <w:r w:rsidR="00C126A0">
        <w:rPr>
          <w:rFonts w:ascii="Calibri" w:hAnsi="Calibri"/>
          <w:color w:val="231F20"/>
          <w:w w:val="110"/>
        </w:rPr>
        <w:t>in</w:t>
      </w:r>
      <w:r w:rsidRPr="00EA7458">
        <w:rPr>
          <w:rFonts w:ascii="Calibri" w:hAnsi="Calibri"/>
          <w:color w:val="231F20"/>
          <w:spacing w:val="-19"/>
          <w:w w:val="110"/>
        </w:rPr>
        <w:t xml:space="preserve"> </w:t>
      </w:r>
      <w:r w:rsidRPr="00EA7458">
        <w:rPr>
          <w:rFonts w:ascii="Calibri" w:hAnsi="Calibri"/>
          <w:color w:val="231F20"/>
          <w:w w:val="110"/>
        </w:rPr>
        <w:t>jobs</w:t>
      </w:r>
      <w:r w:rsidRPr="00EA7458">
        <w:rPr>
          <w:rFonts w:ascii="Calibri" w:hAnsi="Calibri"/>
          <w:color w:val="231F20"/>
          <w:spacing w:val="-19"/>
          <w:w w:val="110"/>
        </w:rPr>
        <w:t xml:space="preserve"> </w:t>
      </w:r>
      <w:r w:rsidRPr="00EA7458">
        <w:rPr>
          <w:rFonts w:ascii="Calibri" w:hAnsi="Calibri"/>
          <w:color w:val="231F20"/>
          <w:w w:val="110"/>
        </w:rPr>
        <w:t>that</w:t>
      </w:r>
      <w:r w:rsidRPr="00EA7458">
        <w:rPr>
          <w:rFonts w:ascii="Calibri" w:hAnsi="Calibri"/>
          <w:color w:val="231F20"/>
          <w:spacing w:val="-19"/>
          <w:w w:val="110"/>
        </w:rPr>
        <w:t xml:space="preserve"> </w:t>
      </w:r>
      <w:r w:rsidRPr="00EA7458">
        <w:rPr>
          <w:rFonts w:ascii="Calibri" w:hAnsi="Calibri"/>
          <w:color w:val="231F20"/>
          <w:w w:val="110"/>
        </w:rPr>
        <w:t>may</w:t>
      </w:r>
      <w:r w:rsidRPr="00EA7458">
        <w:rPr>
          <w:rFonts w:ascii="Calibri" w:hAnsi="Calibri"/>
          <w:color w:val="231F20"/>
          <w:spacing w:val="-19"/>
          <w:w w:val="110"/>
        </w:rPr>
        <w:t xml:space="preserve"> </w:t>
      </w:r>
      <w:r w:rsidRPr="00EA7458">
        <w:rPr>
          <w:rFonts w:ascii="Calibri" w:hAnsi="Calibri"/>
          <w:color w:val="231F20"/>
          <w:w w:val="110"/>
        </w:rPr>
        <w:t>not</w:t>
      </w:r>
      <w:r w:rsidRPr="00EA7458">
        <w:rPr>
          <w:rFonts w:ascii="Calibri" w:hAnsi="Calibri"/>
          <w:color w:val="231F20"/>
          <w:spacing w:val="-19"/>
          <w:w w:val="110"/>
        </w:rPr>
        <w:t xml:space="preserve"> </w:t>
      </w:r>
      <w:r w:rsidRPr="00EA7458">
        <w:rPr>
          <w:rFonts w:ascii="Calibri" w:hAnsi="Calibri"/>
          <w:color w:val="231F20"/>
          <w:w w:val="110"/>
        </w:rPr>
        <w:t>require</w:t>
      </w:r>
      <w:r w:rsidRPr="00EA7458">
        <w:rPr>
          <w:rFonts w:ascii="Calibri" w:hAnsi="Calibri"/>
          <w:color w:val="231F20"/>
          <w:spacing w:val="-19"/>
          <w:w w:val="110"/>
        </w:rPr>
        <w:t xml:space="preserve"> </w:t>
      </w:r>
      <w:r w:rsidRPr="00EA7458">
        <w:rPr>
          <w:rFonts w:ascii="Calibri" w:hAnsi="Calibri"/>
          <w:color w:val="231F20"/>
          <w:w w:val="110"/>
        </w:rPr>
        <w:t>an</w:t>
      </w:r>
      <w:r w:rsidRPr="00EA7458">
        <w:rPr>
          <w:rFonts w:ascii="Calibri" w:hAnsi="Calibri"/>
          <w:color w:val="231F20"/>
          <w:spacing w:val="-19"/>
          <w:w w:val="110"/>
        </w:rPr>
        <w:t xml:space="preserve"> </w:t>
      </w:r>
      <w:r w:rsidRPr="00EA7458">
        <w:rPr>
          <w:rFonts w:ascii="Calibri" w:hAnsi="Calibri"/>
          <w:color w:val="231F20"/>
          <w:w w:val="110"/>
        </w:rPr>
        <w:t>ability</w:t>
      </w:r>
      <w:r w:rsidRPr="00EA7458">
        <w:rPr>
          <w:rFonts w:ascii="Calibri" w:hAnsi="Calibri"/>
          <w:color w:val="231F20"/>
          <w:spacing w:val="-19"/>
          <w:w w:val="110"/>
        </w:rPr>
        <w:t xml:space="preserve"> </w:t>
      </w:r>
      <w:r w:rsidRPr="00EA7458">
        <w:rPr>
          <w:rFonts w:ascii="Calibri" w:hAnsi="Calibri"/>
          <w:color w:val="231F20"/>
          <w:w w:val="110"/>
        </w:rPr>
        <w:t>to</w:t>
      </w:r>
      <w:r w:rsidRPr="00EA7458">
        <w:rPr>
          <w:rFonts w:ascii="Calibri" w:hAnsi="Calibri"/>
          <w:color w:val="231F20"/>
          <w:spacing w:val="-19"/>
          <w:w w:val="110"/>
        </w:rPr>
        <w:t xml:space="preserve"> </w:t>
      </w:r>
      <w:r w:rsidRPr="00EA7458">
        <w:rPr>
          <w:rFonts w:ascii="Calibri" w:hAnsi="Calibri"/>
          <w:color w:val="231F20"/>
          <w:w w:val="110"/>
        </w:rPr>
        <w:t>speak</w:t>
      </w:r>
      <w:r w:rsidRPr="00EA7458">
        <w:rPr>
          <w:rFonts w:ascii="Calibri" w:hAnsi="Calibri"/>
          <w:color w:val="231F20"/>
          <w:spacing w:val="-19"/>
          <w:w w:val="110"/>
        </w:rPr>
        <w:t xml:space="preserve"> </w:t>
      </w:r>
      <w:r w:rsidRPr="00EA7458">
        <w:rPr>
          <w:rFonts w:ascii="Calibri" w:hAnsi="Calibri"/>
          <w:color w:val="231F20"/>
          <w:w w:val="110"/>
        </w:rPr>
        <w:t>English</w:t>
      </w:r>
      <w:r w:rsidRPr="00EA7458">
        <w:rPr>
          <w:rFonts w:ascii="Calibri" w:hAnsi="Calibri"/>
          <w:color w:val="231F20"/>
          <w:spacing w:val="-19"/>
          <w:w w:val="110"/>
        </w:rPr>
        <w:t xml:space="preserve"> </w:t>
      </w:r>
      <w:r w:rsidRPr="00EA7458">
        <w:rPr>
          <w:rFonts w:ascii="Calibri" w:hAnsi="Calibri"/>
          <w:color w:val="231F20"/>
          <w:w w:val="110"/>
        </w:rPr>
        <w:t>well</w:t>
      </w:r>
      <w:r w:rsidRPr="00EA7458">
        <w:rPr>
          <w:rFonts w:ascii="Calibri" w:hAnsi="Calibri"/>
          <w:color w:val="231F20"/>
          <w:spacing w:val="-19"/>
          <w:w w:val="110"/>
        </w:rPr>
        <w:t xml:space="preserve"> </w:t>
      </w:r>
      <w:r w:rsidRPr="00EA7458">
        <w:rPr>
          <w:rFonts w:ascii="Calibri" w:hAnsi="Calibri"/>
          <w:color w:val="231F20"/>
          <w:w w:val="110"/>
        </w:rPr>
        <w:t>or</w:t>
      </w:r>
      <w:r w:rsidRPr="00EA7458">
        <w:rPr>
          <w:rFonts w:ascii="Calibri" w:hAnsi="Calibri"/>
          <w:color w:val="231F20"/>
          <w:spacing w:val="-19"/>
          <w:w w:val="110"/>
        </w:rPr>
        <w:t xml:space="preserve"> </w:t>
      </w:r>
      <w:r w:rsidRPr="00EA7458">
        <w:rPr>
          <w:rFonts w:ascii="Calibri" w:hAnsi="Calibri"/>
          <w:color w:val="231F20"/>
          <w:w w:val="110"/>
        </w:rPr>
        <w:t>at</w:t>
      </w:r>
      <w:r w:rsidRPr="00EA7458">
        <w:rPr>
          <w:rFonts w:ascii="Calibri" w:hAnsi="Calibri"/>
          <w:color w:val="231F20"/>
          <w:spacing w:val="-19"/>
          <w:w w:val="110"/>
        </w:rPr>
        <w:t xml:space="preserve"> </w:t>
      </w:r>
      <w:r w:rsidRPr="00EA7458">
        <w:rPr>
          <w:rFonts w:ascii="Calibri" w:hAnsi="Calibri"/>
          <w:color w:val="231F20"/>
          <w:w w:val="110"/>
        </w:rPr>
        <w:t>all.</w:t>
      </w:r>
    </w:p>
    <w:p w14:paraId="33785C89" w14:textId="04170403" w:rsidR="00002D76" w:rsidRPr="00EA7458" w:rsidRDefault="00980FA2" w:rsidP="00D63204">
      <w:pPr>
        <w:widowControl w:val="0"/>
        <w:spacing w:before="195" w:after="0" w:line="264" w:lineRule="exact"/>
        <w:ind w:left="107"/>
        <w:rPr>
          <w:rFonts w:ascii="Calibri" w:hAnsi="Calibri"/>
        </w:rPr>
      </w:pPr>
      <w:r>
        <w:rPr>
          <w:rFonts w:ascii="Calibri" w:hAnsi="Calibri"/>
          <w:color w:val="231F20"/>
          <w:w w:val="105"/>
        </w:rPr>
        <w:t>O</w:t>
      </w:r>
      <w:r w:rsidR="00002D76" w:rsidRPr="00EA7458">
        <w:rPr>
          <w:rFonts w:ascii="Calibri" w:hAnsi="Calibri"/>
          <w:color w:val="231F20"/>
          <w:w w:val="105"/>
        </w:rPr>
        <w:t>ne-stop</w:t>
      </w:r>
      <w:r w:rsidR="00002D76" w:rsidRPr="00EA7458">
        <w:rPr>
          <w:rFonts w:ascii="Calibri" w:hAnsi="Calibri"/>
          <w:color w:val="231F20"/>
          <w:spacing w:val="14"/>
          <w:w w:val="105"/>
        </w:rPr>
        <w:t xml:space="preserve"> </w:t>
      </w:r>
      <w:r w:rsidR="00002D76" w:rsidRPr="00EA7458">
        <w:rPr>
          <w:rFonts w:ascii="Calibri" w:hAnsi="Calibri"/>
          <w:color w:val="231F20"/>
          <w:w w:val="105"/>
        </w:rPr>
        <w:t>career</w:t>
      </w:r>
      <w:r w:rsidR="00002D76" w:rsidRPr="00EA7458">
        <w:rPr>
          <w:rFonts w:ascii="Calibri" w:hAnsi="Calibri"/>
          <w:color w:val="231F20"/>
          <w:spacing w:val="14"/>
          <w:w w:val="105"/>
        </w:rPr>
        <w:t xml:space="preserve"> </w:t>
      </w:r>
      <w:r w:rsidR="00002D76" w:rsidRPr="00EA7458">
        <w:rPr>
          <w:rFonts w:ascii="Calibri" w:hAnsi="Calibri"/>
          <w:color w:val="231F20"/>
          <w:w w:val="105"/>
        </w:rPr>
        <w:t>center</w:t>
      </w:r>
      <w:r w:rsidR="00002D76" w:rsidRPr="00EA7458">
        <w:rPr>
          <w:rFonts w:ascii="Calibri" w:hAnsi="Calibri"/>
          <w:color w:val="231F20"/>
          <w:spacing w:val="14"/>
          <w:w w:val="105"/>
        </w:rPr>
        <w:t xml:space="preserve"> </w:t>
      </w:r>
      <w:r w:rsidR="00002D76" w:rsidRPr="00EA7458">
        <w:rPr>
          <w:rFonts w:ascii="Calibri" w:hAnsi="Calibri"/>
          <w:color w:val="231F20"/>
          <w:w w:val="105"/>
        </w:rPr>
        <w:t>partners</w:t>
      </w:r>
      <w:r w:rsidR="00002D76" w:rsidRPr="00EA7458">
        <w:rPr>
          <w:rFonts w:ascii="Calibri" w:hAnsi="Calibri"/>
          <w:color w:val="231F20"/>
          <w:spacing w:val="14"/>
          <w:w w:val="105"/>
        </w:rPr>
        <w:t xml:space="preserve"> </w:t>
      </w:r>
      <w:r w:rsidR="00002D76" w:rsidRPr="00EA7458">
        <w:rPr>
          <w:rFonts w:ascii="Calibri" w:hAnsi="Calibri"/>
          <w:color w:val="231F20"/>
          <w:w w:val="105"/>
        </w:rPr>
        <w:t>will</w:t>
      </w:r>
      <w:r w:rsidR="00002D76" w:rsidRPr="00EA7458">
        <w:rPr>
          <w:rFonts w:ascii="Calibri" w:hAnsi="Calibri"/>
          <w:color w:val="231F20"/>
          <w:spacing w:val="14"/>
          <w:w w:val="105"/>
        </w:rPr>
        <w:t xml:space="preserve"> </w:t>
      </w:r>
      <w:r w:rsidR="00002D76" w:rsidRPr="00EA7458">
        <w:rPr>
          <w:rFonts w:ascii="Calibri" w:hAnsi="Calibri"/>
          <w:color w:val="231F20"/>
          <w:w w:val="105"/>
        </w:rPr>
        <w:t>collaborate</w:t>
      </w:r>
      <w:r w:rsidR="00002D76" w:rsidRPr="00EA7458">
        <w:rPr>
          <w:rFonts w:ascii="Calibri" w:hAnsi="Calibri"/>
          <w:color w:val="231F20"/>
          <w:spacing w:val="14"/>
          <w:w w:val="105"/>
        </w:rPr>
        <w:t xml:space="preserve"> </w:t>
      </w:r>
      <w:r w:rsidR="00002D76" w:rsidRPr="00EA7458">
        <w:rPr>
          <w:rFonts w:ascii="Calibri" w:hAnsi="Calibri"/>
          <w:color w:val="231F20"/>
          <w:w w:val="105"/>
        </w:rPr>
        <w:t>to</w:t>
      </w:r>
      <w:r w:rsidR="00002D76" w:rsidRPr="00EA7458">
        <w:rPr>
          <w:rFonts w:ascii="Calibri" w:hAnsi="Calibri"/>
          <w:color w:val="231F20"/>
          <w:spacing w:val="14"/>
          <w:w w:val="105"/>
        </w:rPr>
        <w:t xml:space="preserve"> </w:t>
      </w:r>
      <w:r w:rsidR="00002D76" w:rsidRPr="00EA7458">
        <w:rPr>
          <w:rFonts w:ascii="Calibri" w:hAnsi="Calibri"/>
          <w:color w:val="231F20"/>
          <w:w w:val="105"/>
        </w:rPr>
        <w:t>provide</w:t>
      </w:r>
      <w:r w:rsidR="00002D76" w:rsidRPr="00EA7458">
        <w:rPr>
          <w:rFonts w:ascii="Calibri" w:hAnsi="Calibri"/>
          <w:color w:val="231F20"/>
          <w:spacing w:val="14"/>
          <w:w w:val="105"/>
        </w:rPr>
        <w:t xml:space="preserve"> </w:t>
      </w:r>
      <w:r w:rsidR="00002D76" w:rsidRPr="00EA7458">
        <w:rPr>
          <w:rFonts w:ascii="Calibri" w:hAnsi="Calibri"/>
          <w:color w:val="231F20"/>
          <w:w w:val="105"/>
        </w:rPr>
        <w:t>services,</w:t>
      </w:r>
      <w:r w:rsidR="00002D76" w:rsidRPr="00EA7458">
        <w:rPr>
          <w:rFonts w:ascii="Calibri" w:hAnsi="Calibri"/>
          <w:color w:val="231F20"/>
          <w:spacing w:val="14"/>
          <w:w w:val="105"/>
        </w:rPr>
        <w:t xml:space="preserve"> </w:t>
      </w:r>
      <w:r w:rsidR="00002D76" w:rsidRPr="00EA7458">
        <w:rPr>
          <w:rFonts w:ascii="Calibri" w:hAnsi="Calibri"/>
          <w:color w:val="231F20"/>
          <w:w w:val="105"/>
        </w:rPr>
        <w:t>resources</w:t>
      </w:r>
      <w:r w:rsidR="00002D76" w:rsidRPr="00EA7458">
        <w:rPr>
          <w:rFonts w:ascii="Calibri" w:hAnsi="Calibri"/>
          <w:color w:val="231F20"/>
          <w:spacing w:val="14"/>
          <w:w w:val="105"/>
        </w:rPr>
        <w:t xml:space="preserve"> </w:t>
      </w:r>
      <w:r w:rsidR="00002D76" w:rsidRPr="00EA7458">
        <w:rPr>
          <w:rFonts w:ascii="Calibri" w:hAnsi="Calibri"/>
          <w:color w:val="231F20"/>
          <w:w w:val="105"/>
        </w:rPr>
        <w:t>and</w:t>
      </w:r>
      <w:r w:rsidR="00002D76" w:rsidRPr="00EA7458">
        <w:rPr>
          <w:rFonts w:ascii="Calibri" w:hAnsi="Calibri"/>
          <w:color w:val="231F20"/>
          <w:spacing w:val="14"/>
          <w:w w:val="105"/>
        </w:rPr>
        <w:t xml:space="preserve"> </w:t>
      </w:r>
      <w:r w:rsidR="00002D76" w:rsidRPr="00EA7458">
        <w:rPr>
          <w:rFonts w:ascii="Calibri" w:hAnsi="Calibri"/>
          <w:color w:val="231F20"/>
          <w:w w:val="105"/>
        </w:rPr>
        <w:t>referrals</w:t>
      </w:r>
      <w:r w:rsidR="00002D76" w:rsidRPr="00EA7458">
        <w:rPr>
          <w:rFonts w:ascii="Calibri" w:hAnsi="Calibri"/>
          <w:color w:val="231F20"/>
          <w:spacing w:val="14"/>
          <w:w w:val="105"/>
        </w:rPr>
        <w:t xml:space="preserve"> </w:t>
      </w:r>
      <w:r w:rsidR="00002D76" w:rsidRPr="00EA7458">
        <w:rPr>
          <w:rFonts w:ascii="Calibri" w:hAnsi="Calibri"/>
          <w:color w:val="231F20"/>
          <w:w w:val="105"/>
        </w:rPr>
        <w:t>to</w:t>
      </w:r>
      <w:r w:rsidR="00002D76" w:rsidRPr="00EA7458">
        <w:rPr>
          <w:rFonts w:ascii="Calibri" w:hAnsi="Calibri"/>
          <w:color w:val="231F20"/>
          <w:spacing w:val="14"/>
          <w:w w:val="105"/>
        </w:rPr>
        <w:t xml:space="preserve"> </w:t>
      </w:r>
      <w:r w:rsidR="00002D76" w:rsidRPr="00EA7458">
        <w:rPr>
          <w:rFonts w:ascii="Calibri" w:hAnsi="Calibri"/>
          <w:color w:val="231F20"/>
          <w:w w:val="105"/>
        </w:rPr>
        <w:t>limited</w:t>
      </w:r>
      <w:r w:rsidR="00002D76" w:rsidRPr="00EA7458">
        <w:rPr>
          <w:rFonts w:ascii="Calibri" w:hAnsi="Calibri"/>
          <w:color w:val="231F20"/>
          <w:w w:val="102"/>
        </w:rPr>
        <w:t xml:space="preserve"> </w:t>
      </w:r>
      <w:r w:rsidR="00002D76" w:rsidRPr="00EA7458">
        <w:rPr>
          <w:rFonts w:ascii="Calibri" w:hAnsi="Calibri"/>
          <w:color w:val="231F20"/>
          <w:w w:val="105"/>
        </w:rPr>
        <w:t>English speaking</w:t>
      </w:r>
      <w:r w:rsidR="00002D76" w:rsidRPr="00EA7458">
        <w:rPr>
          <w:rFonts w:ascii="Calibri" w:hAnsi="Calibri"/>
          <w:color w:val="231F20"/>
          <w:spacing w:val="37"/>
          <w:w w:val="105"/>
        </w:rPr>
        <w:t xml:space="preserve"> </w:t>
      </w:r>
      <w:r w:rsidR="00002D76" w:rsidRPr="00D204CE">
        <w:rPr>
          <w:rFonts w:ascii="Calibri" w:hAnsi="Calibri"/>
          <w:color w:val="231F20"/>
          <w:w w:val="105"/>
        </w:rPr>
        <w:t>job</w:t>
      </w:r>
      <w:r w:rsidRPr="00D204CE">
        <w:rPr>
          <w:rFonts w:ascii="Calibri" w:hAnsi="Calibri"/>
          <w:color w:val="231F20"/>
          <w:w w:val="105"/>
        </w:rPr>
        <w:t xml:space="preserve"> </w:t>
      </w:r>
      <w:r w:rsidR="00002D76" w:rsidRPr="00D204CE">
        <w:rPr>
          <w:rFonts w:ascii="Calibri" w:hAnsi="Calibri"/>
          <w:color w:val="231F20"/>
          <w:w w:val="105"/>
        </w:rPr>
        <w:t>seekers.</w:t>
      </w:r>
    </w:p>
    <w:p w14:paraId="2B82CA8A" w14:textId="77777777" w:rsidR="00002D76" w:rsidRPr="00EA7458" w:rsidRDefault="00002D76" w:rsidP="00002D76">
      <w:pPr>
        <w:widowControl w:val="0"/>
        <w:spacing w:before="6" w:after="0" w:line="240" w:lineRule="auto"/>
        <w:rPr>
          <w:rFonts w:ascii="Calibri" w:hAnsi="Calibri" w:cs="Calibri"/>
          <w:sz w:val="16"/>
          <w:szCs w:val="16"/>
        </w:rPr>
      </w:pPr>
    </w:p>
    <w:p w14:paraId="53A0D0A5" w14:textId="77777777" w:rsidR="00002D76" w:rsidRPr="00EA7458" w:rsidRDefault="00002D76" w:rsidP="00D63204">
      <w:pPr>
        <w:widowControl w:val="0"/>
        <w:spacing w:after="0" w:line="266" w:lineRule="exact"/>
        <w:ind w:left="468" w:right="468"/>
        <w:outlineLvl w:val="2"/>
        <w:rPr>
          <w:rFonts w:ascii="Calibri" w:hAnsi="Calibri"/>
        </w:rPr>
      </w:pPr>
      <w:r w:rsidRPr="00EA7458">
        <w:rPr>
          <w:rFonts w:ascii="Calibri" w:hAnsi="Calibri"/>
          <w:b/>
          <w:bCs/>
          <w:color w:val="231F20"/>
          <w:w w:val="115"/>
        </w:rPr>
        <w:t>Figure</w:t>
      </w:r>
      <w:r w:rsidRPr="00EA7458">
        <w:rPr>
          <w:rFonts w:ascii="Calibri" w:hAnsi="Calibri"/>
          <w:b/>
          <w:bCs/>
          <w:color w:val="231F20"/>
          <w:spacing w:val="-19"/>
          <w:w w:val="115"/>
        </w:rPr>
        <w:t xml:space="preserve"> </w:t>
      </w:r>
      <w:r w:rsidRPr="00EA7458">
        <w:rPr>
          <w:rFonts w:ascii="Calibri" w:hAnsi="Calibri"/>
          <w:b/>
          <w:bCs/>
          <w:color w:val="231F20"/>
          <w:w w:val="115"/>
        </w:rPr>
        <w:t>2.34</w:t>
      </w:r>
    </w:p>
    <w:p w14:paraId="5B7132D7" w14:textId="77777777" w:rsidR="00002D76" w:rsidRPr="00EA7458" w:rsidRDefault="00002D76" w:rsidP="00D63204">
      <w:pPr>
        <w:widowControl w:val="0"/>
        <w:spacing w:after="0" w:line="266" w:lineRule="exact"/>
        <w:ind w:left="468" w:right="468"/>
        <w:rPr>
          <w:rFonts w:ascii="Calibri" w:hAnsi="Calibri" w:cs="Calibri"/>
        </w:rPr>
      </w:pPr>
      <w:r w:rsidRPr="00EA7458">
        <w:rPr>
          <w:rFonts w:ascii="Calibri" w:hAnsi="Calibri"/>
          <w:b/>
          <w:color w:val="231F20"/>
          <w:w w:val="110"/>
        </w:rPr>
        <w:t>Analysis of Age Range and Ability to Speak</w:t>
      </w:r>
      <w:r w:rsidRPr="00EA7458">
        <w:rPr>
          <w:rFonts w:ascii="Calibri" w:hAnsi="Calibri"/>
          <w:b/>
          <w:color w:val="231F20"/>
          <w:spacing w:val="36"/>
          <w:w w:val="110"/>
        </w:rPr>
        <w:t xml:space="preserve"> </w:t>
      </w:r>
      <w:r w:rsidRPr="00EA7458">
        <w:rPr>
          <w:rFonts w:ascii="Calibri" w:hAnsi="Calibri"/>
          <w:b/>
          <w:color w:val="231F20"/>
          <w:w w:val="110"/>
        </w:rPr>
        <w:t>English</w:t>
      </w:r>
    </w:p>
    <w:p w14:paraId="20B84756" w14:textId="77777777" w:rsidR="00002D76" w:rsidRPr="00EA7458" w:rsidRDefault="00002D76" w:rsidP="00002D76">
      <w:pPr>
        <w:widowControl w:val="0"/>
        <w:spacing w:before="1" w:after="0" w:line="240" w:lineRule="auto"/>
        <w:rPr>
          <w:rFonts w:ascii="Calibri" w:hAnsi="Calibri" w:cs="Calibri"/>
          <w:b/>
          <w:bCs/>
          <w:sz w:val="18"/>
          <w:szCs w:val="18"/>
        </w:rPr>
      </w:pPr>
    </w:p>
    <w:tbl>
      <w:tblPr>
        <w:tblW w:w="0" w:type="auto"/>
        <w:tblInd w:w="108" w:type="dxa"/>
        <w:tblLayout w:type="fixed"/>
        <w:tblCellMar>
          <w:left w:w="0" w:type="dxa"/>
          <w:right w:w="0" w:type="dxa"/>
        </w:tblCellMar>
        <w:tblLook w:val="01E0" w:firstRow="1" w:lastRow="1" w:firstColumn="1" w:lastColumn="1" w:noHBand="0" w:noVBand="0"/>
      </w:tblPr>
      <w:tblGrid>
        <w:gridCol w:w="3420"/>
        <w:gridCol w:w="3420"/>
        <w:gridCol w:w="3310"/>
      </w:tblGrid>
      <w:tr w:rsidR="00002D76" w:rsidRPr="009535C3" w14:paraId="0D9B7D5C" w14:textId="77777777" w:rsidTr="001429C7">
        <w:trPr>
          <w:trHeight w:hRule="exact" w:val="426"/>
        </w:trPr>
        <w:tc>
          <w:tcPr>
            <w:tcW w:w="3420" w:type="dxa"/>
            <w:tcBorders>
              <w:top w:val="single" w:sz="2" w:space="0" w:color="231F20"/>
              <w:left w:val="single" w:sz="2" w:space="0" w:color="231F20"/>
              <w:bottom w:val="single" w:sz="2" w:space="0" w:color="231F20"/>
              <w:right w:val="single" w:sz="2" w:space="0" w:color="231F20"/>
            </w:tcBorders>
          </w:tcPr>
          <w:p w14:paraId="589570ED" w14:textId="77777777" w:rsidR="00002D76" w:rsidRPr="009535C3" w:rsidRDefault="00002D76" w:rsidP="001429C7">
            <w:pPr>
              <w:widowControl w:val="0"/>
              <w:spacing w:before="99" w:after="0" w:line="240" w:lineRule="auto"/>
              <w:ind w:left="77"/>
              <w:rPr>
                <w:rFonts w:cs="Calibri"/>
              </w:rPr>
            </w:pPr>
            <w:r w:rsidRPr="009535C3">
              <w:rPr>
                <w:b/>
                <w:w w:val="110"/>
              </w:rPr>
              <w:t>English</w:t>
            </w:r>
            <w:r w:rsidRPr="009535C3">
              <w:rPr>
                <w:b/>
                <w:spacing w:val="1"/>
                <w:w w:val="110"/>
              </w:rPr>
              <w:t xml:space="preserve"> </w:t>
            </w:r>
            <w:r w:rsidRPr="009535C3">
              <w:rPr>
                <w:b/>
                <w:w w:val="110"/>
              </w:rPr>
              <w:t>Ability</w:t>
            </w:r>
          </w:p>
        </w:tc>
        <w:tc>
          <w:tcPr>
            <w:tcW w:w="3420" w:type="dxa"/>
            <w:tcBorders>
              <w:top w:val="single" w:sz="2" w:space="0" w:color="231F20"/>
              <w:left w:val="single" w:sz="2" w:space="0" w:color="231F20"/>
              <w:bottom w:val="single" w:sz="2" w:space="0" w:color="231F20"/>
              <w:right w:val="single" w:sz="2" w:space="0" w:color="231F20"/>
            </w:tcBorders>
          </w:tcPr>
          <w:p w14:paraId="781A2742" w14:textId="77777777" w:rsidR="00002D76" w:rsidRPr="009535C3" w:rsidRDefault="00002D76" w:rsidP="00D63204">
            <w:pPr>
              <w:widowControl w:val="0"/>
              <w:spacing w:before="99" w:after="0" w:line="240" w:lineRule="auto"/>
              <w:ind w:right="75"/>
              <w:rPr>
                <w:rFonts w:cs="Calibri"/>
              </w:rPr>
            </w:pPr>
            <w:r w:rsidRPr="009535C3">
              <w:rPr>
                <w:b/>
                <w:w w:val="115"/>
              </w:rPr>
              <w:t>Age</w:t>
            </w:r>
            <w:r w:rsidRPr="009535C3">
              <w:rPr>
                <w:b/>
                <w:spacing w:val="-20"/>
                <w:w w:val="115"/>
              </w:rPr>
              <w:t xml:space="preserve"> </w:t>
            </w:r>
            <w:r w:rsidRPr="009535C3">
              <w:rPr>
                <w:b/>
                <w:w w:val="115"/>
              </w:rPr>
              <w:t>range</w:t>
            </w:r>
          </w:p>
        </w:tc>
        <w:tc>
          <w:tcPr>
            <w:tcW w:w="3310" w:type="dxa"/>
            <w:tcBorders>
              <w:top w:val="single" w:sz="2" w:space="0" w:color="231F20"/>
              <w:left w:val="single" w:sz="2" w:space="0" w:color="231F20"/>
              <w:bottom w:val="single" w:sz="2" w:space="0" w:color="231F20"/>
              <w:right w:val="single" w:sz="2" w:space="0" w:color="231F20"/>
            </w:tcBorders>
          </w:tcPr>
          <w:p w14:paraId="1E611626" w14:textId="77777777" w:rsidR="00002D76" w:rsidRPr="009535C3" w:rsidRDefault="00002D76" w:rsidP="00D63204">
            <w:pPr>
              <w:widowControl w:val="0"/>
              <w:spacing w:before="99" w:after="0" w:line="240" w:lineRule="auto"/>
              <w:ind w:right="75"/>
              <w:rPr>
                <w:rFonts w:cs="Calibri"/>
              </w:rPr>
            </w:pPr>
            <w:r w:rsidRPr="009535C3">
              <w:rPr>
                <w:b/>
                <w:w w:val="105"/>
              </w:rPr>
              <w:t>Number</w:t>
            </w:r>
          </w:p>
        </w:tc>
      </w:tr>
      <w:tr w:rsidR="00002D76" w:rsidRPr="009535C3" w14:paraId="10C718E5" w14:textId="77777777" w:rsidTr="001429C7">
        <w:trPr>
          <w:trHeight w:hRule="exact" w:val="320"/>
        </w:trPr>
        <w:tc>
          <w:tcPr>
            <w:tcW w:w="3420" w:type="dxa"/>
            <w:tcBorders>
              <w:top w:val="single" w:sz="2" w:space="0" w:color="231F20"/>
              <w:left w:val="single" w:sz="2" w:space="0" w:color="231F20"/>
              <w:bottom w:val="single" w:sz="2" w:space="0" w:color="231F20"/>
              <w:right w:val="single" w:sz="2" w:space="0" w:color="231F20"/>
            </w:tcBorders>
            <w:shd w:val="clear" w:color="auto" w:fill="E6E7E8"/>
            <w:vAlign w:val="center"/>
          </w:tcPr>
          <w:p w14:paraId="2124E5D3" w14:textId="01D38C53" w:rsidR="00002D76" w:rsidRPr="009535C3" w:rsidRDefault="00002D76" w:rsidP="00B56A22">
            <w:pPr>
              <w:widowControl w:val="0"/>
              <w:spacing w:before="45" w:after="0" w:line="240" w:lineRule="auto"/>
              <w:rPr>
                <w:rFonts w:cs="Calibri"/>
              </w:rPr>
            </w:pPr>
            <w:r w:rsidRPr="009535C3">
              <w:rPr>
                <w:w w:val="110"/>
              </w:rPr>
              <w:t xml:space="preserve">Speaks English </w:t>
            </w:r>
            <w:r w:rsidR="00D204CE">
              <w:rPr>
                <w:w w:val="110"/>
              </w:rPr>
              <w:t xml:space="preserve">- </w:t>
            </w:r>
            <w:r w:rsidRPr="009535C3">
              <w:rPr>
                <w:w w:val="110"/>
              </w:rPr>
              <w:t>not</w:t>
            </w:r>
            <w:r w:rsidRPr="009535C3">
              <w:rPr>
                <w:spacing w:val="-5"/>
                <w:w w:val="110"/>
              </w:rPr>
              <w:t xml:space="preserve"> </w:t>
            </w:r>
            <w:r w:rsidRPr="009535C3">
              <w:rPr>
                <w:w w:val="110"/>
              </w:rPr>
              <w:t>well</w:t>
            </w:r>
          </w:p>
        </w:tc>
        <w:tc>
          <w:tcPr>
            <w:tcW w:w="3420" w:type="dxa"/>
            <w:tcBorders>
              <w:top w:val="single" w:sz="2" w:space="0" w:color="231F20"/>
              <w:left w:val="single" w:sz="2" w:space="0" w:color="231F20"/>
              <w:bottom w:val="single" w:sz="2" w:space="0" w:color="231F20"/>
              <w:right w:val="single" w:sz="2" w:space="0" w:color="231F20"/>
            </w:tcBorders>
            <w:shd w:val="clear" w:color="auto" w:fill="E6E7E8"/>
            <w:vAlign w:val="center"/>
          </w:tcPr>
          <w:p w14:paraId="1F919A5C" w14:textId="77777777" w:rsidR="00002D76" w:rsidRPr="009535C3" w:rsidRDefault="00002D76" w:rsidP="00D63204">
            <w:pPr>
              <w:widowControl w:val="0"/>
              <w:spacing w:before="45" w:after="0" w:line="240" w:lineRule="auto"/>
              <w:ind w:right="75"/>
              <w:rPr>
                <w:rFonts w:cs="Calibri"/>
              </w:rPr>
            </w:pPr>
            <w:r w:rsidRPr="009535C3">
              <w:rPr>
                <w:w w:val="90"/>
              </w:rPr>
              <w:t>16-19</w:t>
            </w:r>
          </w:p>
        </w:tc>
        <w:tc>
          <w:tcPr>
            <w:tcW w:w="3310" w:type="dxa"/>
            <w:tcBorders>
              <w:top w:val="single" w:sz="2" w:space="0" w:color="231F20"/>
              <w:left w:val="single" w:sz="2" w:space="0" w:color="231F20"/>
              <w:bottom w:val="single" w:sz="2" w:space="0" w:color="231F20"/>
              <w:right w:val="single" w:sz="2" w:space="0" w:color="231F20"/>
            </w:tcBorders>
            <w:shd w:val="clear" w:color="auto" w:fill="E6E7E8"/>
            <w:vAlign w:val="center"/>
          </w:tcPr>
          <w:p w14:paraId="2FDB7292" w14:textId="77777777" w:rsidR="00002D76" w:rsidRPr="009535C3" w:rsidRDefault="00002D76" w:rsidP="00D63204">
            <w:pPr>
              <w:widowControl w:val="0"/>
              <w:spacing w:before="45" w:after="0" w:line="240" w:lineRule="auto"/>
              <w:ind w:right="75"/>
              <w:rPr>
                <w:w w:val="90"/>
              </w:rPr>
            </w:pPr>
            <w:r w:rsidRPr="009535C3">
              <w:t>14,739</w:t>
            </w:r>
          </w:p>
        </w:tc>
      </w:tr>
      <w:tr w:rsidR="00002D76" w:rsidRPr="009535C3" w14:paraId="72D95659" w14:textId="77777777" w:rsidTr="001429C7">
        <w:trPr>
          <w:trHeight w:hRule="exact" w:val="334"/>
        </w:trPr>
        <w:tc>
          <w:tcPr>
            <w:tcW w:w="3420" w:type="dxa"/>
            <w:tcBorders>
              <w:top w:val="single" w:sz="2" w:space="0" w:color="231F20"/>
              <w:left w:val="single" w:sz="2" w:space="0" w:color="231F20"/>
              <w:bottom w:val="single" w:sz="2" w:space="0" w:color="231F20"/>
              <w:right w:val="single" w:sz="2" w:space="0" w:color="231F20"/>
            </w:tcBorders>
            <w:vAlign w:val="center"/>
          </w:tcPr>
          <w:p w14:paraId="4112B21A" w14:textId="41ED1435" w:rsidR="00002D76" w:rsidRPr="009535C3" w:rsidRDefault="00002D76" w:rsidP="001429C7">
            <w:pPr>
              <w:widowControl w:val="0"/>
              <w:spacing w:after="0" w:line="240" w:lineRule="auto"/>
            </w:pPr>
            <w:r w:rsidRPr="009535C3">
              <w:rPr>
                <w:w w:val="110"/>
              </w:rPr>
              <w:t xml:space="preserve">Speaks English </w:t>
            </w:r>
            <w:r w:rsidR="00D204CE">
              <w:rPr>
                <w:w w:val="110"/>
              </w:rPr>
              <w:t xml:space="preserve">- </w:t>
            </w:r>
            <w:r w:rsidRPr="009535C3">
              <w:rPr>
                <w:w w:val="110"/>
              </w:rPr>
              <w:t>not</w:t>
            </w:r>
            <w:r w:rsidRPr="009535C3">
              <w:rPr>
                <w:spacing w:val="-5"/>
                <w:w w:val="110"/>
              </w:rPr>
              <w:t xml:space="preserve"> </w:t>
            </w:r>
            <w:r w:rsidRPr="009535C3">
              <w:rPr>
                <w:w w:val="110"/>
              </w:rPr>
              <w:t>well</w:t>
            </w:r>
          </w:p>
        </w:tc>
        <w:tc>
          <w:tcPr>
            <w:tcW w:w="3420" w:type="dxa"/>
            <w:tcBorders>
              <w:top w:val="single" w:sz="2" w:space="0" w:color="231F20"/>
              <w:left w:val="single" w:sz="2" w:space="0" w:color="231F20"/>
              <w:bottom w:val="single" w:sz="2" w:space="0" w:color="231F20"/>
              <w:right w:val="single" w:sz="2" w:space="0" w:color="231F20"/>
            </w:tcBorders>
            <w:vAlign w:val="center"/>
          </w:tcPr>
          <w:p w14:paraId="05477008" w14:textId="77777777" w:rsidR="00002D76" w:rsidRPr="009535C3" w:rsidRDefault="00002D76" w:rsidP="00D63204">
            <w:pPr>
              <w:widowControl w:val="0"/>
              <w:spacing w:before="45" w:after="0" w:line="240" w:lineRule="auto"/>
              <w:ind w:right="75"/>
              <w:rPr>
                <w:rFonts w:cs="Calibri"/>
              </w:rPr>
            </w:pPr>
            <w:r w:rsidRPr="009535C3">
              <w:rPr>
                <w:w w:val="110"/>
              </w:rPr>
              <w:t>20-29</w:t>
            </w:r>
          </w:p>
        </w:tc>
        <w:tc>
          <w:tcPr>
            <w:tcW w:w="3310" w:type="dxa"/>
            <w:tcBorders>
              <w:top w:val="single" w:sz="2" w:space="0" w:color="231F20"/>
              <w:left w:val="single" w:sz="2" w:space="0" w:color="231F20"/>
              <w:bottom w:val="single" w:sz="2" w:space="0" w:color="231F20"/>
              <w:right w:val="single" w:sz="2" w:space="0" w:color="231F20"/>
            </w:tcBorders>
            <w:vAlign w:val="center"/>
          </w:tcPr>
          <w:p w14:paraId="20A19B8E" w14:textId="77777777" w:rsidR="00002D76" w:rsidRPr="009535C3" w:rsidRDefault="00002D76" w:rsidP="00D63204">
            <w:pPr>
              <w:widowControl w:val="0"/>
              <w:spacing w:before="45" w:after="0" w:line="240" w:lineRule="auto"/>
              <w:ind w:right="75"/>
              <w:rPr>
                <w:w w:val="90"/>
              </w:rPr>
            </w:pPr>
            <w:r w:rsidRPr="009535C3">
              <w:t>66,157</w:t>
            </w:r>
          </w:p>
        </w:tc>
      </w:tr>
      <w:tr w:rsidR="00002D76" w:rsidRPr="009535C3" w14:paraId="361D020F" w14:textId="77777777" w:rsidTr="001429C7">
        <w:trPr>
          <w:trHeight w:hRule="exact" w:val="334"/>
        </w:trPr>
        <w:tc>
          <w:tcPr>
            <w:tcW w:w="3420" w:type="dxa"/>
            <w:tcBorders>
              <w:top w:val="single" w:sz="2" w:space="0" w:color="231F20"/>
              <w:left w:val="single" w:sz="2" w:space="0" w:color="231F20"/>
              <w:bottom w:val="single" w:sz="2" w:space="0" w:color="231F20"/>
              <w:right w:val="single" w:sz="2" w:space="0" w:color="231F20"/>
            </w:tcBorders>
            <w:shd w:val="clear" w:color="auto" w:fill="E6E7E8"/>
            <w:vAlign w:val="center"/>
          </w:tcPr>
          <w:p w14:paraId="16D28447" w14:textId="4906C9BE" w:rsidR="00002D76" w:rsidRPr="009535C3" w:rsidRDefault="00002D76" w:rsidP="001429C7">
            <w:pPr>
              <w:widowControl w:val="0"/>
              <w:spacing w:after="0" w:line="240" w:lineRule="auto"/>
            </w:pPr>
            <w:r w:rsidRPr="009535C3">
              <w:rPr>
                <w:w w:val="110"/>
              </w:rPr>
              <w:t xml:space="preserve">Speaks English </w:t>
            </w:r>
            <w:r w:rsidR="00D204CE">
              <w:rPr>
                <w:w w:val="110"/>
              </w:rPr>
              <w:t xml:space="preserve">- </w:t>
            </w:r>
            <w:r w:rsidRPr="009535C3">
              <w:rPr>
                <w:w w:val="110"/>
              </w:rPr>
              <w:t>not</w:t>
            </w:r>
            <w:r w:rsidRPr="009535C3">
              <w:rPr>
                <w:spacing w:val="-5"/>
                <w:w w:val="110"/>
              </w:rPr>
              <w:t xml:space="preserve"> </w:t>
            </w:r>
            <w:r w:rsidRPr="009535C3">
              <w:rPr>
                <w:w w:val="110"/>
              </w:rPr>
              <w:t>well</w:t>
            </w:r>
          </w:p>
        </w:tc>
        <w:tc>
          <w:tcPr>
            <w:tcW w:w="3420" w:type="dxa"/>
            <w:tcBorders>
              <w:top w:val="single" w:sz="2" w:space="0" w:color="231F20"/>
              <w:left w:val="single" w:sz="2" w:space="0" w:color="231F20"/>
              <w:bottom w:val="single" w:sz="2" w:space="0" w:color="231F20"/>
              <w:right w:val="single" w:sz="2" w:space="0" w:color="231F20"/>
            </w:tcBorders>
            <w:shd w:val="clear" w:color="auto" w:fill="E6E7E8"/>
            <w:vAlign w:val="center"/>
          </w:tcPr>
          <w:p w14:paraId="252959A8" w14:textId="77777777" w:rsidR="00002D76" w:rsidRPr="009535C3" w:rsidRDefault="00002D76" w:rsidP="00D63204">
            <w:pPr>
              <w:widowControl w:val="0"/>
              <w:spacing w:before="45" w:after="0" w:line="240" w:lineRule="auto"/>
              <w:ind w:right="75"/>
              <w:rPr>
                <w:rFonts w:cs="Calibri"/>
              </w:rPr>
            </w:pPr>
            <w:r w:rsidRPr="009535C3">
              <w:rPr>
                <w:w w:val="110"/>
              </w:rPr>
              <w:t>30-39</w:t>
            </w:r>
          </w:p>
        </w:tc>
        <w:tc>
          <w:tcPr>
            <w:tcW w:w="3310" w:type="dxa"/>
            <w:tcBorders>
              <w:top w:val="single" w:sz="2" w:space="0" w:color="231F20"/>
              <w:left w:val="single" w:sz="2" w:space="0" w:color="231F20"/>
              <w:bottom w:val="single" w:sz="2" w:space="0" w:color="231F20"/>
              <w:right w:val="single" w:sz="2" w:space="0" w:color="231F20"/>
            </w:tcBorders>
            <w:shd w:val="clear" w:color="auto" w:fill="E6E7E8"/>
            <w:vAlign w:val="center"/>
          </w:tcPr>
          <w:p w14:paraId="3E614EE8" w14:textId="77777777" w:rsidR="00002D76" w:rsidRPr="009535C3" w:rsidRDefault="00002D76" w:rsidP="00D63204">
            <w:pPr>
              <w:widowControl w:val="0"/>
              <w:spacing w:before="45" w:after="0" w:line="240" w:lineRule="auto"/>
              <w:ind w:right="75"/>
              <w:rPr>
                <w:w w:val="90"/>
              </w:rPr>
            </w:pPr>
            <w:r w:rsidRPr="009535C3">
              <w:t>135,111</w:t>
            </w:r>
          </w:p>
        </w:tc>
      </w:tr>
      <w:tr w:rsidR="00002D76" w:rsidRPr="009535C3" w14:paraId="406C8FA4" w14:textId="77777777" w:rsidTr="001429C7">
        <w:trPr>
          <w:trHeight w:hRule="exact" w:val="334"/>
        </w:trPr>
        <w:tc>
          <w:tcPr>
            <w:tcW w:w="3420" w:type="dxa"/>
            <w:tcBorders>
              <w:top w:val="single" w:sz="2" w:space="0" w:color="231F20"/>
              <w:left w:val="single" w:sz="2" w:space="0" w:color="231F20"/>
              <w:bottom w:val="single" w:sz="2" w:space="0" w:color="231F20"/>
              <w:right w:val="single" w:sz="2" w:space="0" w:color="231F20"/>
            </w:tcBorders>
            <w:vAlign w:val="center"/>
          </w:tcPr>
          <w:p w14:paraId="11E4C2E2" w14:textId="13C74E48" w:rsidR="00002D76" w:rsidRPr="009535C3" w:rsidRDefault="00002D76" w:rsidP="001429C7">
            <w:pPr>
              <w:widowControl w:val="0"/>
              <w:spacing w:after="0" w:line="240" w:lineRule="auto"/>
            </w:pPr>
            <w:r w:rsidRPr="009535C3">
              <w:rPr>
                <w:w w:val="110"/>
              </w:rPr>
              <w:t xml:space="preserve">Speaks English </w:t>
            </w:r>
            <w:r w:rsidR="00D204CE">
              <w:rPr>
                <w:w w:val="110"/>
              </w:rPr>
              <w:t xml:space="preserve">- </w:t>
            </w:r>
            <w:r w:rsidRPr="009535C3">
              <w:rPr>
                <w:w w:val="110"/>
              </w:rPr>
              <w:t>not</w:t>
            </w:r>
            <w:r w:rsidRPr="009535C3">
              <w:rPr>
                <w:spacing w:val="-5"/>
                <w:w w:val="110"/>
              </w:rPr>
              <w:t xml:space="preserve"> </w:t>
            </w:r>
            <w:r w:rsidRPr="009535C3">
              <w:rPr>
                <w:w w:val="110"/>
              </w:rPr>
              <w:t>well</w:t>
            </w:r>
          </w:p>
        </w:tc>
        <w:tc>
          <w:tcPr>
            <w:tcW w:w="3420" w:type="dxa"/>
            <w:tcBorders>
              <w:top w:val="single" w:sz="2" w:space="0" w:color="231F20"/>
              <w:left w:val="single" w:sz="2" w:space="0" w:color="231F20"/>
              <w:bottom w:val="single" w:sz="2" w:space="0" w:color="231F20"/>
              <w:right w:val="single" w:sz="2" w:space="0" w:color="231F20"/>
            </w:tcBorders>
            <w:vAlign w:val="center"/>
          </w:tcPr>
          <w:p w14:paraId="10150BE1" w14:textId="77777777" w:rsidR="00002D76" w:rsidRPr="009535C3" w:rsidRDefault="00002D76" w:rsidP="00D63204">
            <w:pPr>
              <w:widowControl w:val="0"/>
              <w:spacing w:before="45" w:after="0" w:line="240" w:lineRule="auto"/>
              <w:ind w:right="75"/>
              <w:rPr>
                <w:rFonts w:cs="Calibri"/>
              </w:rPr>
            </w:pPr>
            <w:r w:rsidRPr="009535C3">
              <w:rPr>
                <w:w w:val="110"/>
              </w:rPr>
              <w:t>40-49</w:t>
            </w:r>
          </w:p>
        </w:tc>
        <w:tc>
          <w:tcPr>
            <w:tcW w:w="3310" w:type="dxa"/>
            <w:tcBorders>
              <w:top w:val="single" w:sz="2" w:space="0" w:color="231F20"/>
              <w:left w:val="single" w:sz="2" w:space="0" w:color="231F20"/>
              <w:bottom w:val="single" w:sz="2" w:space="0" w:color="231F20"/>
              <w:right w:val="single" w:sz="2" w:space="0" w:color="231F20"/>
            </w:tcBorders>
            <w:vAlign w:val="center"/>
          </w:tcPr>
          <w:p w14:paraId="12757DEC" w14:textId="77777777" w:rsidR="00002D76" w:rsidRPr="009535C3" w:rsidRDefault="00002D76" w:rsidP="00D63204">
            <w:pPr>
              <w:widowControl w:val="0"/>
              <w:spacing w:before="45" w:after="0" w:line="240" w:lineRule="auto"/>
              <w:ind w:right="75"/>
              <w:rPr>
                <w:w w:val="90"/>
              </w:rPr>
            </w:pPr>
            <w:r w:rsidRPr="009535C3">
              <w:t>162,007</w:t>
            </w:r>
          </w:p>
        </w:tc>
      </w:tr>
      <w:tr w:rsidR="00002D76" w:rsidRPr="00C30040" w14:paraId="37806A78" w14:textId="77777777" w:rsidTr="001429C7">
        <w:trPr>
          <w:trHeight w:hRule="exact" w:val="334"/>
        </w:trPr>
        <w:tc>
          <w:tcPr>
            <w:tcW w:w="3420" w:type="dxa"/>
            <w:tcBorders>
              <w:top w:val="single" w:sz="2" w:space="0" w:color="231F20"/>
              <w:left w:val="single" w:sz="2" w:space="0" w:color="231F20"/>
              <w:bottom w:val="single" w:sz="2" w:space="0" w:color="231F20"/>
              <w:right w:val="single" w:sz="2" w:space="0" w:color="231F20"/>
            </w:tcBorders>
            <w:shd w:val="clear" w:color="auto" w:fill="E6E7E8"/>
            <w:vAlign w:val="center"/>
          </w:tcPr>
          <w:p w14:paraId="1FCF564E" w14:textId="5AA0ACE2" w:rsidR="00002D76" w:rsidRPr="009535C3" w:rsidRDefault="00002D76" w:rsidP="001429C7">
            <w:pPr>
              <w:widowControl w:val="0"/>
              <w:spacing w:after="0" w:line="240" w:lineRule="auto"/>
            </w:pPr>
            <w:r w:rsidRPr="009535C3">
              <w:rPr>
                <w:w w:val="110"/>
              </w:rPr>
              <w:t xml:space="preserve">Speaks English </w:t>
            </w:r>
            <w:r w:rsidR="00D204CE">
              <w:rPr>
                <w:w w:val="110"/>
              </w:rPr>
              <w:t xml:space="preserve">- </w:t>
            </w:r>
            <w:r w:rsidRPr="009535C3">
              <w:rPr>
                <w:w w:val="110"/>
              </w:rPr>
              <w:t>not</w:t>
            </w:r>
            <w:r w:rsidRPr="009535C3">
              <w:rPr>
                <w:spacing w:val="-5"/>
                <w:w w:val="110"/>
              </w:rPr>
              <w:t xml:space="preserve"> </w:t>
            </w:r>
            <w:r w:rsidRPr="009535C3">
              <w:rPr>
                <w:w w:val="110"/>
              </w:rPr>
              <w:t>well</w:t>
            </w:r>
          </w:p>
        </w:tc>
        <w:tc>
          <w:tcPr>
            <w:tcW w:w="3420" w:type="dxa"/>
            <w:tcBorders>
              <w:top w:val="single" w:sz="2" w:space="0" w:color="231F20"/>
              <w:left w:val="single" w:sz="2" w:space="0" w:color="231F20"/>
              <w:bottom w:val="single" w:sz="2" w:space="0" w:color="231F20"/>
              <w:right w:val="single" w:sz="2" w:space="0" w:color="231F20"/>
            </w:tcBorders>
            <w:shd w:val="clear" w:color="auto" w:fill="E6E7E8"/>
            <w:vAlign w:val="center"/>
          </w:tcPr>
          <w:p w14:paraId="702EAC00" w14:textId="77777777" w:rsidR="00002D76" w:rsidRPr="009535C3" w:rsidRDefault="00002D76" w:rsidP="00D63204">
            <w:pPr>
              <w:widowControl w:val="0"/>
              <w:spacing w:before="45" w:after="0" w:line="240" w:lineRule="auto"/>
              <w:ind w:right="75"/>
              <w:rPr>
                <w:rFonts w:cs="Calibri"/>
              </w:rPr>
            </w:pPr>
            <w:r w:rsidRPr="009535C3">
              <w:rPr>
                <w:w w:val="110"/>
              </w:rPr>
              <w:t>50-59</w:t>
            </w:r>
          </w:p>
        </w:tc>
        <w:tc>
          <w:tcPr>
            <w:tcW w:w="3310" w:type="dxa"/>
            <w:tcBorders>
              <w:top w:val="single" w:sz="2" w:space="0" w:color="231F20"/>
              <w:left w:val="single" w:sz="2" w:space="0" w:color="231F20"/>
              <w:bottom w:val="single" w:sz="2" w:space="0" w:color="231F20"/>
              <w:right w:val="single" w:sz="2" w:space="0" w:color="231F20"/>
            </w:tcBorders>
            <w:shd w:val="clear" w:color="auto" w:fill="E6E7E8"/>
            <w:vAlign w:val="center"/>
          </w:tcPr>
          <w:p w14:paraId="498968A5" w14:textId="77777777" w:rsidR="00002D76" w:rsidRPr="00C30040" w:rsidRDefault="00002D76" w:rsidP="00D63204">
            <w:pPr>
              <w:widowControl w:val="0"/>
              <w:spacing w:before="45" w:after="0" w:line="240" w:lineRule="auto"/>
              <w:ind w:right="75"/>
              <w:rPr>
                <w:w w:val="90"/>
              </w:rPr>
            </w:pPr>
            <w:r w:rsidRPr="009535C3">
              <w:t>147,397</w:t>
            </w:r>
          </w:p>
        </w:tc>
      </w:tr>
      <w:tr w:rsidR="00002D76" w:rsidRPr="00C30040" w14:paraId="4531994D" w14:textId="77777777" w:rsidTr="001429C7">
        <w:trPr>
          <w:trHeight w:hRule="exact" w:val="334"/>
        </w:trPr>
        <w:tc>
          <w:tcPr>
            <w:tcW w:w="3420" w:type="dxa"/>
            <w:tcBorders>
              <w:top w:val="single" w:sz="2" w:space="0" w:color="231F20"/>
              <w:left w:val="single" w:sz="2" w:space="0" w:color="231F20"/>
              <w:bottom w:val="single" w:sz="2" w:space="0" w:color="231F20"/>
              <w:right w:val="single" w:sz="2" w:space="0" w:color="231F20"/>
            </w:tcBorders>
            <w:vAlign w:val="center"/>
          </w:tcPr>
          <w:p w14:paraId="54813FFB" w14:textId="7E70B5BE" w:rsidR="00002D76" w:rsidRPr="00C30040" w:rsidRDefault="00002D76" w:rsidP="001429C7">
            <w:pPr>
              <w:widowControl w:val="0"/>
              <w:spacing w:after="0" w:line="240" w:lineRule="auto"/>
            </w:pPr>
            <w:r w:rsidRPr="00C30040">
              <w:rPr>
                <w:w w:val="110"/>
              </w:rPr>
              <w:t xml:space="preserve">Speaks English </w:t>
            </w:r>
            <w:r w:rsidR="00D204CE">
              <w:rPr>
                <w:w w:val="110"/>
              </w:rPr>
              <w:t xml:space="preserve">- </w:t>
            </w:r>
            <w:r w:rsidRPr="00C30040">
              <w:rPr>
                <w:w w:val="110"/>
              </w:rPr>
              <w:t>not</w:t>
            </w:r>
            <w:r w:rsidRPr="00C30040">
              <w:rPr>
                <w:spacing w:val="-5"/>
                <w:w w:val="110"/>
              </w:rPr>
              <w:t xml:space="preserve"> </w:t>
            </w:r>
            <w:r w:rsidRPr="00C30040">
              <w:rPr>
                <w:w w:val="110"/>
              </w:rPr>
              <w:t>well</w:t>
            </w:r>
          </w:p>
        </w:tc>
        <w:tc>
          <w:tcPr>
            <w:tcW w:w="3420" w:type="dxa"/>
            <w:tcBorders>
              <w:top w:val="single" w:sz="2" w:space="0" w:color="231F20"/>
              <w:left w:val="single" w:sz="2" w:space="0" w:color="231F20"/>
              <w:bottom w:val="single" w:sz="2" w:space="0" w:color="231F20"/>
              <w:right w:val="single" w:sz="2" w:space="0" w:color="231F20"/>
            </w:tcBorders>
            <w:vAlign w:val="center"/>
          </w:tcPr>
          <w:p w14:paraId="7D805779" w14:textId="77777777" w:rsidR="00002D76" w:rsidRPr="00C30040" w:rsidRDefault="00002D76" w:rsidP="00D63204">
            <w:pPr>
              <w:widowControl w:val="0"/>
              <w:spacing w:before="45" w:after="0" w:line="240" w:lineRule="auto"/>
              <w:ind w:right="75"/>
              <w:rPr>
                <w:rFonts w:cs="Calibri"/>
              </w:rPr>
            </w:pPr>
            <w:r w:rsidRPr="00C30040">
              <w:rPr>
                <w:w w:val="115"/>
              </w:rPr>
              <w:t>60-69</w:t>
            </w:r>
          </w:p>
        </w:tc>
        <w:tc>
          <w:tcPr>
            <w:tcW w:w="3310" w:type="dxa"/>
            <w:tcBorders>
              <w:top w:val="single" w:sz="2" w:space="0" w:color="231F20"/>
              <w:left w:val="single" w:sz="2" w:space="0" w:color="231F20"/>
              <w:bottom w:val="single" w:sz="2" w:space="0" w:color="231F20"/>
              <w:right w:val="single" w:sz="2" w:space="0" w:color="231F20"/>
            </w:tcBorders>
            <w:vAlign w:val="center"/>
          </w:tcPr>
          <w:p w14:paraId="3FA8AE40" w14:textId="77777777" w:rsidR="00002D76" w:rsidRPr="00C30040" w:rsidRDefault="00002D76" w:rsidP="00D63204">
            <w:pPr>
              <w:widowControl w:val="0"/>
              <w:spacing w:before="45" w:after="0" w:line="240" w:lineRule="auto"/>
              <w:ind w:right="75"/>
              <w:rPr>
                <w:w w:val="90"/>
              </w:rPr>
            </w:pPr>
            <w:r w:rsidRPr="00A368CE">
              <w:t>119</w:t>
            </w:r>
            <w:r>
              <w:t>,</w:t>
            </w:r>
            <w:r w:rsidRPr="00A368CE">
              <w:t>513</w:t>
            </w:r>
          </w:p>
        </w:tc>
      </w:tr>
      <w:tr w:rsidR="00002D76" w:rsidRPr="00C30040" w14:paraId="6ADD2D94" w14:textId="77777777" w:rsidTr="001429C7">
        <w:trPr>
          <w:trHeight w:hRule="exact" w:val="334"/>
        </w:trPr>
        <w:tc>
          <w:tcPr>
            <w:tcW w:w="3420" w:type="dxa"/>
            <w:tcBorders>
              <w:top w:val="single" w:sz="2" w:space="0" w:color="231F20"/>
              <w:left w:val="single" w:sz="2" w:space="0" w:color="231F20"/>
              <w:bottom w:val="single" w:sz="2" w:space="0" w:color="231F20"/>
              <w:right w:val="single" w:sz="2" w:space="0" w:color="231F20"/>
            </w:tcBorders>
            <w:shd w:val="clear" w:color="auto" w:fill="E6E7E8"/>
            <w:vAlign w:val="center"/>
          </w:tcPr>
          <w:p w14:paraId="1AD306D3" w14:textId="21C486F5" w:rsidR="00002D76" w:rsidRPr="00C30040" w:rsidRDefault="00002D76" w:rsidP="001429C7">
            <w:pPr>
              <w:widowControl w:val="0"/>
              <w:spacing w:after="0" w:line="240" w:lineRule="auto"/>
              <w:ind w:left="339"/>
              <w:rPr>
                <w:b/>
              </w:rPr>
            </w:pPr>
            <w:r w:rsidRPr="00C30040">
              <w:rPr>
                <w:b/>
                <w:w w:val="110"/>
              </w:rPr>
              <w:t xml:space="preserve">Speaks English </w:t>
            </w:r>
            <w:r w:rsidR="00A54EC7">
              <w:rPr>
                <w:b/>
                <w:w w:val="110"/>
              </w:rPr>
              <w:t xml:space="preserve">- </w:t>
            </w:r>
            <w:r w:rsidRPr="00C30040">
              <w:rPr>
                <w:b/>
                <w:w w:val="110"/>
              </w:rPr>
              <w:t>not</w:t>
            </w:r>
            <w:r w:rsidRPr="00C30040">
              <w:rPr>
                <w:b/>
                <w:spacing w:val="-5"/>
                <w:w w:val="110"/>
              </w:rPr>
              <w:t xml:space="preserve"> </w:t>
            </w:r>
            <w:r w:rsidRPr="00C30040">
              <w:rPr>
                <w:b/>
                <w:w w:val="110"/>
              </w:rPr>
              <w:t>well</w:t>
            </w:r>
          </w:p>
        </w:tc>
        <w:tc>
          <w:tcPr>
            <w:tcW w:w="3420" w:type="dxa"/>
            <w:tcBorders>
              <w:top w:val="single" w:sz="2" w:space="0" w:color="231F20"/>
              <w:left w:val="single" w:sz="2" w:space="0" w:color="231F20"/>
              <w:bottom w:val="single" w:sz="2" w:space="0" w:color="231F20"/>
              <w:right w:val="single" w:sz="2" w:space="0" w:color="231F20"/>
            </w:tcBorders>
            <w:shd w:val="clear" w:color="auto" w:fill="E6E7E8"/>
            <w:vAlign w:val="center"/>
          </w:tcPr>
          <w:p w14:paraId="2CB99D0D" w14:textId="77777777" w:rsidR="00002D76" w:rsidRPr="00C30040" w:rsidRDefault="00002D76" w:rsidP="00882552">
            <w:pPr>
              <w:widowControl w:val="0"/>
              <w:spacing w:before="45" w:after="0" w:line="240" w:lineRule="auto"/>
              <w:ind w:right="75"/>
              <w:rPr>
                <w:rFonts w:cs="Calibri"/>
                <w:b/>
              </w:rPr>
            </w:pPr>
            <w:r w:rsidRPr="00C30040">
              <w:rPr>
                <w:b/>
                <w:spacing w:val="-4"/>
                <w:w w:val="105"/>
              </w:rPr>
              <w:t>Total</w:t>
            </w:r>
          </w:p>
        </w:tc>
        <w:tc>
          <w:tcPr>
            <w:tcW w:w="3310" w:type="dxa"/>
            <w:tcBorders>
              <w:top w:val="single" w:sz="2" w:space="0" w:color="231F20"/>
              <w:left w:val="single" w:sz="2" w:space="0" w:color="231F20"/>
              <w:bottom w:val="single" w:sz="2" w:space="0" w:color="231F20"/>
              <w:right w:val="single" w:sz="2" w:space="0" w:color="231F20"/>
            </w:tcBorders>
            <w:shd w:val="clear" w:color="auto" w:fill="E6E7E8"/>
            <w:vAlign w:val="center"/>
          </w:tcPr>
          <w:p w14:paraId="67CAD1BD" w14:textId="77777777" w:rsidR="00002D76" w:rsidRPr="00C30040" w:rsidRDefault="00002D76" w:rsidP="00D63204">
            <w:pPr>
              <w:widowControl w:val="0"/>
              <w:spacing w:before="45" w:after="0" w:line="240" w:lineRule="auto"/>
              <w:ind w:right="75"/>
              <w:rPr>
                <w:b/>
                <w:w w:val="90"/>
              </w:rPr>
            </w:pPr>
            <w:r w:rsidRPr="00C30040">
              <w:rPr>
                <w:b/>
              </w:rPr>
              <w:t>644,924</w:t>
            </w:r>
          </w:p>
        </w:tc>
      </w:tr>
      <w:tr w:rsidR="00002D76" w:rsidRPr="00C30040" w14:paraId="1106EB06" w14:textId="77777777" w:rsidTr="001429C7">
        <w:trPr>
          <w:trHeight w:hRule="exact" w:val="320"/>
        </w:trPr>
        <w:tc>
          <w:tcPr>
            <w:tcW w:w="3420" w:type="dxa"/>
            <w:tcBorders>
              <w:top w:val="single" w:sz="2" w:space="0" w:color="231F20"/>
              <w:left w:val="single" w:sz="2" w:space="0" w:color="231F20"/>
              <w:bottom w:val="single" w:sz="2" w:space="0" w:color="231F20"/>
              <w:right w:val="single" w:sz="2" w:space="0" w:color="231F20"/>
            </w:tcBorders>
            <w:vAlign w:val="center"/>
          </w:tcPr>
          <w:p w14:paraId="422A7283" w14:textId="77777777" w:rsidR="00002D76" w:rsidRPr="00C30040" w:rsidRDefault="00002D76" w:rsidP="001429C7">
            <w:pPr>
              <w:widowControl w:val="0"/>
              <w:spacing w:before="45" w:after="0" w:line="240" w:lineRule="auto"/>
              <w:rPr>
                <w:rFonts w:cs="Calibri"/>
              </w:rPr>
            </w:pPr>
            <w:r w:rsidRPr="00C30040">
              <w:rPr>
                <w:w w:val="110"/>
              </w:rPr>
              <w:t>Does not speak</w:t>
            </w:r>
            <w:r w:rsidRPr="00C30040">
              <w:rPr>
                <w:spacing w:val="10"/>
                <w:w w:val="110"/>
              </w:rPr>
              <w:t xml:space="preserve"> </w:t>
            </w:r>
            <w:r w:rsidRPr="00C30040">
              <w:rPr>
                <w:w w:val="110"/>
              </w:rPr>
              <w:t>English</w:t>
            </w:r>
          </w:p>
        </w:tc>
        <w:tc>
          <w:tcPr>
            <w:tcW w:w="3420" w:type="dxa"/>
            <w:tcBorders>
              <w:top w:val="single" w:sz="2" w:space="0" w:color="231F20"/>
              <w:left w:val="single" w:sz="2" w:space="0" w:color="231F20"/>
              <w:bottom w:val="single" w:sz="2" w:space="0" w:color="231F20"/>
              <w:right w:val="single" w:sz="2" w:space="0" w:color="231F20"/>
            </w:tcBorders>
            <w:vAlign w:val="center"/>
          </w:tcPr>
          <w:p w14:paraId="7177ED38" w14:textId="77777777" w:rsidR="00002D76" w:rsidRPr="00C30040" w:rsidRDefault="00002D76" w:rsidP="00D63204">
            <w:pPr>
              <w:widowControl w:val="0"/>
              <w:spacing w:before="45" w:after="0" w:line="240" w:lineRule="auto"/>
              <w:ind w:right="75"/>
              <w:rPr>
                <w:rFonts w:cs="Calibri"/>
              </w:rPr>
            </w:pPr>
            <w:r w:rsidRPr="00C30040">
              <w:rPr>
                <w:w w:val="90"/>
              </w:rPr>
              <w:t>16-19</w:t>
            </w:r>
          </w:p>
        </w:tc>
        <w:tc>
          <w:tcPr>
            <w:tcW w:w="3310" w:type="dxa"/>
            <w:tcBorders>
              <w:top w:val="single" w:sz="2" w:space="0" w:color="231F20"/>
              <w:left w:val="single" w:sz="2" w:space="0" w:color="231F20"/>
              <w:bottom w:val="single" w:sz="2" w:space="0" w:color="231F20"/>
              <w:right w:val="single" w:sz="2" w:space="0" w:color="231F20"/>
            </w:tcBorders>
            <w:vAlign w:val="center"/>
          </w:tcPr>
          <w:p w14:paraId="20D4712F" w14:textId="77777777" w:rsidR="00002D76" w:rsidRPr="00C30040" w:rsidRDefault="00002D76" w:rsidP="00D63204">
            <w:pPr>
              <w:widowControl w:val="0"/>
              <w:spacing w:before="45" w:after="0" w:line="240" w:lineRule="auto"/>
              <w:ind w:right="75"/>
              <w:rPr>
                <w:w w:val="90"/>
              </w:rPr>
            </w:pPr>
            <w:r w:rsidRPr="00A368CE">
              <w:t>7</w:t>
            </w:r>
            <w:r>
              <w:t>,</w:t>
            </w:r>
            <w:r w:rsidRPr="00A368CE">
              <w:t>619</w:t>
            </w:r>
          </w:p>
        </w:tc>
      </w:tr>
      <w:tr w:rsidR="00002D76" w:rsidRPr="00C30040" w14:paraId="12C78ECB" w14:textId="77777777" w:rsidTr="001429C7">
        <w:trPr>
          <w:trHeight w:hRule="exact" w:val="334"/>
        </w:trPr>
        <w:tc>
          <w:tcPr>
            <w:tcW w:w="3420" w:type="dxa"/>
            <w:tcBorders>
              <w:top w:val="single" w:sz="2" w:space="0" w:color="231F20"/>
              <w:left w:val="single" w:sz="2" w:space="0" w:color="231F20"/>
              <w:bottom w:val="single" w:sz="2" w:space="0" w:color="231F20"/>
              <w:right w:val="single" w:sz="2" w:space="0" w:color="231F20"/>
            </w:tcBorders>
            <w:shd w:val="clear" w:color="auto" w:fill="E6E7E8"/>
            <w:vAlign w:val="center"/>
          </w:tcPr>
          <w:p w14:paraId="5172FB94" w14:textId="77777777" w:rsidR="00002D76" w:rsidRPr="00C30040" w:rsidRDefault="00002D76" w:rsidP="001429C7">
            <w:pPr>
              <w:widowControl w:val="0"/>
              <w:spacing w:after="0" w:line="240" w:lineRule="auto"/>
            </w:pPr>
            <w:r w:rsidRPr="00C30040">
              <w:rPr>
                <w:w w:val="110"/>
              </w:rPr>
              <w:t>Does not speak</w:t>
            </w:r>
            <w:r w:rsidRPr="00C30040">
              <w:rPr>
                <w:spacing w:val="10"/>
                <w:w w:val="110"/>
              </w:rPr>
              <w:t xml:space="preserve"> </w:t>
            </w:r>
            <w:r w:rsidRPr="00C30040">
              <w:rPr>
                <w:w w:val="110"/>
              </w:rPr>
              <w:t>English</w:t>
            </w:r>
          </w:p>
        </w:tc>
        <w:tc>
          <w:tcPr>
            <w:tcW w:w="3420" w:type="dxa"/>
            <w:tcBorders>
              <w:top w:val="single" w:sz="2" w:space="0" w:color="231F20"/>
              <w:left w:val="single" w:sz="2" w:space="0" w:color="231F20"/>
              <w:bottom w:val="single" w:sz="2" w:space="0" w:color="231F20"/>
              <w:right w:val="single" w:sz="2" w:space="0" w:color="231F20"/>
            </w:tcBorders>
            <w:shd w:val="clear" w:color="auto" w:fill="E6E7E8"/>
            <w:vAlign w:val="center"/>
          </w:tcPr>
          <w:p w14:paraId="432A31A9" w14:textId="77777777" w:rsidR="00002D76" w:rsidRPr="00C30040" w:rsidRDefault="00002D76" w:rsidP="00D63204">
            <w:pPr>
              <w:widowControl w:val="0"/>
              <w:spacing w:before="45" w:after="0" w:line="240" w:lineRule="auto"/>
              <w:ind w:right="75"/>
              <w:rPr>
                <w:rFonts w:cs="Calibri"/>
              </w:rPr>
            </w:pPr>
            <w:r w:rsidRPr="00C30040">
              <w:rPr>
                <w:w w:val="110"/>
              </w:rPr>
              <w:t>20-29</w:t>
            </w:r>
          </w:p>
        </w:tc>
        <w:tc>
          <w:tcPr>
            <w:tcW w:w="3310" w:type="dxa"/>
            <w:tcBorders>
              <w:top w:val="single" w:sz="2" w:space="0" w:color="231F20"/>
              <w:left w:val="single" w:sz="2" w:space="0" w:color="231F20"/>
              <w:bottom w:val="single" w:sz="2" w:space="0" w:color="231F20"/>
              <w:right w:val="single" w:sz="2" w:space="0" w:color="231F20"/>
            </w:tcBorders>
            <w:shd w:val="clear" w:color="auto" w:fill="E6E7E8"/>
            <w:vAlign w:val="center"/>
          </w:tcPr>
          <w:p w14:paraId="44BFF284" w14:textId="77777777" w:rsidR="00002D76" w:rsidRPr="00C30040" w:rsidRDefault="00002D76" w:rsidP="00D63204">
            <w:pPr>
              <w:widowControl w:val="0"/>
              <w:spacing w:before="45" w:after="0" w:line="240" w:lineRule="auto"/>
              <w:ind w:right="75"/>
              <w:rPr>
                <w:w w:val="90"/>
              </w:rPr>
            </w:pPr>
            <w:r w:rsidRPr="00A368CE">
              <w:t>40</w:t>
            </w:r>
            <w:r>
              <w:t>,</w:t>
            </w:r>
            <w:r w:rsidRPr="00A368CE">
              <w:t>368</w:t>
            </w:r>
          </w:p>
        </w:tc>
      </w:tr>
      <w:tr w:rsidR="00002D76" w:rsidRPr="00C30040" w14:paraId="2E7DC331" w14:textId="77777777" w:rsidTr="001429C7">
        <w:trPr>
          <w:trHeight w:hRule="exact" w:val="334"/>
        </w:trPr>
        <w:tc>
          <w:tcPr>
            <w:tcW w:w="3420" w:type="dxa"/>
            <w:tcBorders>
              <w:top w:val="single" w:sz="2" w:space="0" w:color="231F20"/>
              <w:left w:val="single" w:sz="2" w:space="0" w:color="231F20"/>
              <w:bottom w:val="single" w:sz="2" w:space="0" w:color="231F20"/>
              <w:right w:val="single" w:sz="2" w:space="0" w:color="231F20"/>
            </w:tcBorders>
            <w:vAlign w:val="center"/>
          </w:tcPr>
          <w:p w14:paraId="0CBDB740" w14:textId="77777777" w:rsidR="00002D76" w:rsidRPr="00C30040" w:rsidRDefault="00002D76" w:rsidP="001429C7">
            <w:pPr>
              <w:widowControl w:val="0"/>
              <w:spacing w:after="0" w:line="240" w:lineRule="auto"/>
            </w:pPr>
            <w:r w:rsidRPr="00C30040">
              <w:rPr>
                <w:w w:val="110"/>
              </w:rPr>
              <w:t>Does not speak</w:t>
            </w:r>
            <w:r w:rsidRPr="00C30040">
              <w:rPr>
                <w:spacing w:val="10"/>
                <w:w w:val="110"/>
              </w:rPr>
              <w:t xml:space="preserve"> </w:t>
            </w:r>
            <w:r w:rsidRPr="00C30040">
              <w:rPr>
                <w:w w:val="110"/>
              </w:rPr>
              <w:t>English</w:t>
            </w:r>
          </w:p>
        </w:tc>
        <w:tc>
          <w:tcPr>
            <w:tcW w:w="3420" w:type="dxa"/>
            <w:tcBorders>
              <w:top w:val="single" w:sz="2" w:space="0" w:color="231F20"/>
              <w:left w:val="single" w:sz="2" w:space="0" w:color="231F20"/>
              <w:bottom w:val="single" w:sz="2" w:space="0" w:color="231F20"/>
              <w:right w:val="single" w:sz="2" w:space="0" w:color="231F20"/>
            </w:tcBorders>
            <w:vAlign w:val="center"/>
          </w:tcPr>
          <w:p w14:paraId="652BB9E3" w14:textId="77777777" w:rsidR="00002D76" w:rsidRPr="00C30040" w:rsidRDefault="00002D76" w:rsidP="00D63204">
            <w:pPr>
              <w:widowControl w:val="0"/>
              <w:spacing w:before="45" w:after="0" w:line="240" w:lineRule="auto"/>
              <w:ind w:right="75"/>
              <w:rPr>
                <w:rFonts w:cs="Calibri"/>
              </w:rPr>
            </w:pPr>
            <w:r w:rsidRPr="00C30040">
              <w:rPr>
                <w:w w:val="110"/>
              </w:rPr>
              <w:t>30-39</w:t>
            </w:r>
          </w:p>
        </w:tc>
        <w:tc>
          <w:tcPr>
            <w:tcW w:w="3310" w:type="dxa"/>
            <w:tcBorders>
              <w:top w:val="single" w:sz="2" w:space="0" w:color="231F20"/>
              <w:left w:val="single" w:sz="2" w:space="0" w:color="231F20"/>
              <w:bottom w:val="single" w:sz="2" w:space="0" w:color="231F20"/>
              <w:right w:val="single" w:sz="2" w:space="0" w:color="231F20"/>
            </w:tcBorders>
            <w:vAlign w:val="center"/>
          </w:tcPr>
          <w:p w14:paraId="598716AD" w14:textId="77777777" w:rsidR="00002D76" w:rsidRPr="00C30040" w:rsidRDefault="00002D76" w:rsidP="00D63204">
            <w:pPr>
              <w:widowControl w:val="0"/>
              <w:spacing w:before="45" w:after="0" w:line="240" w:lineRule="auto"/>
              <w:ind w:right="75"/>
              <w:rPr>
                <w:w w:val="90"/>
              </w:rPr>
            </w:pPr>
            <w:r w:rsidRPr="00A368CE">
              <w:t>73</w:t>
            </w:r>
            <w:r>
              <w:t>,</w:t>
            </w:r>
            <w:r w:rsidRPr="00A368CE">
              <w:t>069</w:t>
            </w:r>
          </w:p>
        </w:tc>
      </w:tr>
      <w:tr w:rsidR="00002D76" w:rsidRPr="00C30040" w14:paraId="1893DF02" w14:textId="77777777" w:rsidTr="001429C7">
        <w:trPr>
          <w:trHeight w:hRule="exact" w:val="334"/>
        </w:trPr>
        <w:tc>
          <w:tcPr>
            <w:tcW w:w="3420" w:type="dxa"/>
            <w:tcBorders>
              <w:top w:val="single" w:sz="2" w:space="0" w:color="231F20"/>
              <w:left w:val="single" w:sz="2" w:space="0" w:color="231F20"/>
              <w:bottom w:val="single" w:sz="2" w:space="0" w:color="231F20"/>
              <w:right w:val="single" w:sz="2" w:space="0" w:color="231F20"/>
            </w:tcBorders>
            <w:shd w:val="clear" w:color="auto" w:fill="E6E7E8"/>
            <w:vAlign w:val="center"/>
          </w:tcPr>
          <w:p w14:paraId="29B5E833" w14:textId="77777777" w:rsidR="00002D76" w:rsidRPr="00C30040" w:rsidRDefault="00002D76" w:rsidP="001429C7">
            <w:pPr>
              <w:widowControl w:val="0"/>
              <w:spacing w:after="0" w:line="240" w:lineRule="auto"/>
            </w:pPr>
            <w:r w:rsidRPr="00C30040">
              <w:rPr>
                <w:w w:val="110"/>
              </w:rPr>
              <w:t>Does not speak</w:t>
            </w:r>
            <w:r w:rsidRPr="00C30040">
              <w:rPr>
                <w:spacing w:val="10"/>
                <w:w w:val="110"/>
              </w:rPr>
              <w:t xml:space="preserve"> </w:t>
            </w:r>
            <w:r w:rsidRPr="00C30040">
              <w:rPr>
                <w:w w:val="110"/>
              </w:rPr>
              <w:t>English</w:t>
            </w:r>
          </w:p>
        </w:tc>
        <w:tc>
          <w:tcPr>
            <w:tcW w:w="3420" w:type="dxa"/>
            <w:tcBorders>
              <w:top w:val="single" w:sz="2" w:space="0" w:color="231F20"/>
              <w:left w:val="single" w:sz="2" w:space="0" w:color="231F20"/>
              <w:bottom w:val="single" w:sz="2" w:space="0" w:color="231F20"/>
              <w:right w:val="single" w:sz="2" w:space="0" w:color="231F20"/>
            </w:tcBorders>
            <w:shd w:val="clear" w:color="auto" w:fill="E6E7E8"/>
            <w:vAlign w:val="center"/>
          </w:tcPr>
          <w:p w14:paraId="4299A540" w14:textId="77777777" w:rsidR="00002D76" w:rsidRPr="00C30040" w:rsidRDefault="00002D76" w:rsidP="00D63204">
            <w:pPr>
              <w:widowControl w:val="0"/>
              <w:spacing w:before="45" w:after="0" w:line="240" w:lineRule="auto"/>
              <w:ind w:right="75"/>
              <w:rPr>
                <w:rFonts w:cs="Calibri"/>
              </w:rPr>
            </w:pPr>
            <w:r w:rsidRPr="00C30040">
              <w:rPr>
                <w:w w:val="110"/>
              </w:rPr>
              <w:t>40-49</w:t>
            </w:r>
          </w:p>
        </w:tc>
        <w:tc>
          <w:tcPr>
            <w:tcW w:w="3310" w:type="dxa"/>
            <w:tcBorders>
              <w:top w:val="single" w:sz="2" w:space="0" w:color="231F20"/>
              <w:left w:val="single" w:sz="2" w:space="0" w:color="231F20"/>
              <w:bottom w:val="single" w:sz="2" w:space="0" w:color="231F20"/>
              <w:right w:val="single" w:sz="2" w:space="0" w:color="231F20"/>
            </w:tcBorders>
            <w:shd w:val="clear" w:color="auto" w:fill="E6E7E8"/>
            <w:vAlign w:val="center"/>
          </w:tcPr>
          <w:p w14:paraId="1B654EFC" w14:textId="77777777" w:rsidR="00002D76" w:rsidRPr="00C30040" w:rsidRDefault="00002D76" w:rsidP="00D63204">
            <w:pPr>
              <w:widowControl w:val="0"/>
              <w:spacing w:before="45" w:after="0" w:line="240" w:lineRule="auto"/>
              <w:ind w:right="75"/>
              <w:rPr>
                <w:w w:val="90"/>
              </w:rPr>
            </w:pPr>
            <w:r w:rsidRPr="00A368CE">
              <w:t>80</w:t>
            </w:r>
            <w:r>
              <w:t>,</w:t>
            </w:r>
            <w:r w:rsidRPr="00A368CE">
              <w:t>170</w:t>
            </w:r>
          </w:p>
        </w:tc>
      </w:tr>
      <w:tr w:rsidR="00002D76" w:rsidRPr="00C30040" w14:paraId="1308E307" w14:textId="77777777" w:rsidTr="001429C7">
        <w:trPr>
          <w:trHeight w:hRule="exact" w:val="334"/>
        </w:trPr>
        <w:tc>
          <w:tcPr>
            <w:tcW w:w="3420" w:type="dxa"/>
            <w:tcBorders>
              <w:top w:val="single" w:sz="2" w:space="0" w:color="231F20"/>
              <w:left w:val="single" w:sz="2" w:space="0" w:color="231F20"/>
              <w:bottom w:val="single" w:sz="2" w:space="0" w:color="231F20"/>
              <w:right w:val="single" w:sz="2" w:space="0" w:color="231F20"/>
            </w:tcBorders>
            <w:vAlign w:val="center"/>
          </w:tcPr>
          <w:p w14:paraId="7BDF11CF" w14:textId="77777777" w:rsidR="00002D76" w:rsidRPr="00C30040" w:rsidRDefault="00002D76" w:rsidP="001429C7">
            <w:pPr>
              <w:widowControl w:val="0"/>
              <w:spacing w:after="0" w:line="240" w:lineRule="auto"/>
            </w:pPr>
            <w:r w:rsidRPr="00C30040">
              <w:rPr>
                <w:w w:val="110"/>
              </w:rPr>
              <w:t>Does not speak</w:t>
            </w:r>
            <w:r w:rsidRPr="00C30040">
              <w:rPr>
                <w:spacing w:val="10"/>
                <w:w w:val="110"/>
              </w:rPr>
              <w:t xml:space="preserve"> </w:t>
            </w:r>
            <w:r w:rsidRPr="00C30040">
              <w:rPr>
                <w:w w:val="110"/>
              </w:rPr>
              <w:t>English</w:t>
            </w:r>
          </w:p>
        </w:tc>
        <w:tc>
          <w:tcPr>
            <w:tcW w:w="3420" w:type="dxa"/>
            <w:tcBorders>
              <w:top w:val="single" w:sz="2" w:space="0" w:color="231F20"/>
              <w:left w:val="single" w:sz="2" w:space="0" w:color="231F20"/>
              <w:bottom w:val="single" w:sz="2" w:space="0" w:color="231F20"/>
              <w:right w:val="single" w:sz="2" w:space="0" w:color="231F20"/>
            </w:tcBorders>
            <w:vAlign w:val="center"/>
          </w:tcPr>
          <w:p w14:paraId="37BB3A58" w14:textId="77777777" w:rsidR="00002D76" w:rsidRPr="00C30040" w:rsidRDefault="00002D76" w:rsidP="00D63204">
            <w:pPr>
              <w:widowControl w:val="0"/>
              <w:spacing w:before="45" w:after="0" w:line="240" w:lineRule="auto"/>
              <w:ind w:right="75"/>
              <w:rPr>
                <w:rFonts w:cs="Calibri"/>
              </w:rPr>
            </w:pPr>
            <w:r w:rsidRPr="00C30040">
              <w:rPr>
                <w:w w:val="110"/>
              </w:rPr>
              <w:t>50-59</w:t>
            </w:r>
          </w:p>
        </w:tc>
        <w:tc>
          <w:tcPr>
            <w:tcW w:w="3310" w:type="dxa"/>
            <w:tcBorders>
              <w:top w:val="single" w:sz="2" w:space="0" w:color="231F20"/>
              <w:left w:val="single" w:sz="2" w:space="0" w:color="231F20"/>
              <w:bottom w:val="single" w:sz="2" w:space="0" w:color="231F20"/>
              <w:right w:val="single" w:sz="2" w:space="0" w:color="231F20"/>
            </w:tcBorders>
            <w:vAlign w:val="center"/>
          </w:tcPr>
          <w:p w14:paraId="24BA1D75" w14:textId="77777777" w:rsidR="00002D76" w:rsidRPr="00C30040" w:rsidRDefault="00002D76" w:rsidP="00D63204">
            <w:pPr>
              <w:widowControl w:val="0"/>
              <w:spacing w:before="45" w:after="0" w:line="240" w:lineRule="auto"/>
              <w:ind w:right="75"/>
              <w:rPr>
                <w:w w:val="90"/>
              </w:rPr>
            </w:pPr>
            <w:r w:rsidRPr="00A368CE">
              <w:t>89</w:t>
            </w:r>
            <w:r>
              <w:t>,</w:t>
            </w:r>
            <w:r w:rsidRPr="00A368CE">
              <w:t>059</w:t>
            </w:r>
          </w:p>
        </w:tc>
      </w:tr>
      <w:tr w:rsidR="00002D76" w:rsidRPr="00C30040" w14:paraId="388F7795" w14:textId="77777777" w:rsidTr="001429C7">
        <w:trPr>
          <w:trHeight w:hRule="exact" w:val="334"/>
        </w:trPr>
        <w:tc>
          <w:tcPr>
            <w:tcW w:w="3420" w:type="dxa"/>
            <w:tcBorders>
              <w:top w:val="single" w:sz="2" w:space="0" w:color="231F20"/>
              <w:left w:val="single" w:sz="2" w:space="0" w:color="231F20"/>
              <w:bottom w:val="single" w:sz="2" w:space="0" w:color="231F20"/>
              <w:right w:val="single" w:sz="2" w:space="0" w:color="231F20"/>
            </w:tcBorders>
            <w:shd w:val="clear" w:color="auto" w:fill="E6E7E8"/>
            <w:vAlign w:val="center"/>
          </w:tcPr>
          <w:p w14:paraId="56FA4EFF" w14:textId="77777777" w:rsidR="00002D76" w:rsidRPr="00C30040" w:rsidRDefault="00002D76" w:rsidP="001429C7">
            <w:pPr>
              <w:widowControl w:val="0"/>
              <w:spacing w:after="0" w:line="240" w:lineRule="auto"/>
            </w:pPr>
            <w:r w:rsidRPr="00C30040">
              <w:rPr>
                <w:w w:val="110"/>
              </w:rPr>
              <w:t>Does not speak</w:t>
            </w:r>
            <w:r w:rsidRPr="00C30040">
              <w:rPr>
                <w:spacing w:val="10"/>
                <w:w w:val="110"/>
              </w:rPr>
              <w:t xml:space="preserve"> </w:t>
            </w:r>
            <w:r w:rsidRPr="00C30040">
              <w:rPr>
                <w:w w:val="110"/>
              </w:rPr>
              <w:t>English</w:t>
            </w:r>
          </w:p>
        </w:tc>
        <w:tc>
          <w:tcPr>
            <w:tcW w:w="3420" w:type="dxa"/>
            <w:tcBorders>
              <w:top w:val="single" w:sz="2" w:space="0" w:color="231F20"/>
              <w:left w:val="single" w:sz="2" w:space="0" w:color="231F20"/>
              <w:bottom w:val="single" w:sz="2" w:space="0" w:color="231F20"/>
              <w:right w:val="single" w:sz="2" w:space="0" w:color="231F20"/>
            </w:tcBorders>
            <w:shd w:val="clear" w:color="auto" w:fill="E6E7E8"/>
            <w:vAlign w:val="center"/>
          </w:tcPr>
          <w:p w14:paraId="5BB5631A" w14:textId="77777777" w:rsidR="00002D76" w:rsidRPr="00C30040" w:rsidRDefault="00002D76" w:rsidP="00D63204">
            <w:pPr>
              <w:widowControl w:val="0"/>
              <w:spacing w:before="45" w:after="0" w:line="240" w:lineRule="auto"/>
              <w:ind w:right="75"/>
              <w:rPr>
                <w:rFonts w:cs="Calibri"/>
              </w:rPr>
            </w:pPr>
            <w:r w:rsidRPr="00C30040">
              <w:rPr>
                <w:w w:val="115"/>
              </w:rPr>
              <w:t>60-69</w:t>
            </w:r>
          </w:p>
        </w:tc>
        <w:tc>
          <w:tcPr>
            <w:tcW w:w="3310" w:type="dxa"/>
            <w:tcBorders>
              <w:top w:val="single" w:sz="2" w:space="0" w:color="231F20"/>
              <w:left w:val="single" w:sz="2" w:space="0" w:color="231F20"/>
              <w:bottom w:val="single" w:sz="2" w:space="0" w:color="231F20"/>
              <w:right w:val="single" w:sz="2" w:space="0" w:color="231F20"/>
            </w:tcBorders>
            <w:shd w:val="clear" w:color="auto" w:fill="E6E7E8"/>
            <w:vAlign w:val="center"/>
          </w:tcPr>
          <w:p w14:paraId="58A7CDD0" w14:textId="77777777" w:rsidR="00002D76" w:rsidRPr="00C30040" w:rsidRDefault="00002D76" w:rsidP="00D63204">
            <w:pPr>
              <w:widowControl w:val="0"/>
              <w:spacing w:before="45" w:after="0" w:line="240" w:lineRule="auto"/>
              <w:ind w:right="75"/>
              <w:rPr>
                <w:w w:val="90"/>
              </w:rPr>
            </w:pPr>
            <w:r w:rsidRPr="00A368CE">
              <w:t>85</w:t>
            </w:r>
            <w:r>
              <w:t>,</w:t>
            </w:r>
            <w:r w:rsidRPr="00A368CE">
              <w:t>386</w:t>
            </w:r>
          </w:p>
        </w:tc>
      </w:tr>
      <w:tr w:rsidR="00002D76" w:rsidRPr="00960911" w14:paraId="568F22F3" w14:textId="77777777" w:rsidTr="001429C7">
        <w:trPr>
          <w:trHeight w:hRule="exact" w:val="334"/>
        </w:trPr>
        <w:tc>
          <w:tcPr>
            <w:tcW w:w="3420" w:type="dxa"/>
            <w:tcBorders>
              <w:top w:val="single" w:sz="2" w:space="0" w:color="231F20"/>
              <w:left w:val="single" w:sz="2" w:space="0" w:color="231F20"/>
              <w:bottom w:val="single" w:sz="2" w:space="0" w:color="231F20"/>
              <w:right w:val="single" w:sz="2" w:space="0" w:color="231F20"/>
            </w:tcBorders>
            <w:vAlign w:val="center"/>
          </w:tcPr>
          <w:p w14:paraId="72EB72DB" w14:textId="77777777" w:rsidR="00002D76" w:rsidRPr="00960911" w:rsidRDefault="00002D76" w:rsidP="001429C7">
            <w:pPr>
              <w:widowControl w:val="0"/>
              <w:spacing w:after="0" w:line="240" w:lineRule="auto"/>
              <w:ind w:left="339"/>
              <w:rPr>
                <w:b/>
              </w:rPr>
            </w:pPr>
            <w:r w:rsidRPr="00960911">
              <w:rPr>
                <w:b/>
                <w:w w:val="110"/>
              </w:rPr>
              <w:t>Does not speak</w:t>
            </w:r>
            <w:r w:rsidRPr="00960911">
              <w:rPr>
                <w:b/>
                <w:spacing w:val="10"/>
                <w:w w:val="110"/>
              </w:rPr>
              <w:t xml:space="preserve"> </w:t>
            </w:r>
            <w:r w:rsidRPr="00960911">
              <w:rPr>
                <w:b/>
                <w:w w:val="110"/>
              </w:rPr>
              <w:t>English</w:t>
            </w:r>
          </w:p>
        </w:tc>
        <w:tc>
          <w:tcPr>
            <w:tcW w:w="3420" w:type="dxa"/>
            <w:tcBorders>
              <w:top w:val="single" w:sz="2" w:space="0" w:color="231F20"/>
              <w:left w:val="single" w:sz="2" w:space="0" w:color="231F20"/>
              <w:bottom w:val="single" w:sz="2" w:space="0" w:color="231F20"/>
              <w:right w:val="single" w:sz="2" w:space="0" w:color="231F20"/>
            </w:tcBorders>
            <w:vAlign w:val="center"/>
          </w:tcPr>
          <w:p w14:paraId="4DA232B2" w14:textId="1A4BB67E" w:rsidR="00002D76" w:rsidRPr="00960911" w:rsidRDefault="00B56A22" w:rsidP="00B56A22">
            <w:pPr>
              <w:widowControl w:val="0"/>
              <w:spacing w:before="45" w:after="0" w:line="240" w:lineRule="auto"/>
              <w:ind w:right="75"/>
              <w:rPr>
                <w:rFonts w:cs="Calibri"/>
                <w:b/>
              </w:rPr>
            </w:pPr>
            <w:r>
              <w:rPr>
                <w:b/>
                <w:spacing w:val="-4"/>
                <w:w w:val="105"/>
              </w:rPr>
              <w:t xml:space="preserve"> </w:t>
            </w:r>
            <w:r w:rsidR="00002D76" w:rsidRPr="00960911">
              <w:rPr>
                <w:b/>
                <w:spacing w:val="-4"/>
                <w:w w:val="105"/>
              </w:rPr>
              <w:t>Total</w:t>
            </w:r>
          </w:p>
        </w:tc>
        <w:tc>
          <w:tcPr>
            <w:tcW w:w="3310" w:type="dxa"/>
            <w:tcBorders>
              <w:top w:val="single" w:sz="2" w:space="0" w:color="231F20"/>
              <w:left w:val="single" w:sz="2" w:space="0" w:color="231F20"/>
              <w:bottom w:val="single" w:sz="2" w:space="0" w:color="231F20"/>
              <w:right w:val="single" w:sz="2" w:space="0" w:color="231F20"/>
            </w:tcBorders>
            <w:vAlign w:val="center"/>
          </w:tcPr>
          <w:p w14:paraId="627FA94F" w14:textId="77777777" w:rsidR="00002D76" w:rsidRPr="00960911" w:rsidRDefault="00002D76" w:rsidP="00D63204">
            <w:pPr>
              <w:widowControl w:val="0"/>
              <w:spacing w:before="45" w:after="0" w:line="240" w:lineRule="auto"/>
              <w:ind w:right="75"/>
              <w:rPr>
                <w:b/>
                <w:w w:val="90"/>
              </w:rPr>
            </w:pPr>
            <w:r w:rsidRPr="00960911">
              <w:rPr>
                <w:b/>
              </w:rPr>
              <w:t>375,671</w:t>
            </w:r>
          </w:p>
        </w:tc>
      </w:tr>
      <w:tr w:rsidR="00002D76" w:rsidRPr="00960911" w14:paraId="65860169" w14:textId="77777777" w:rsidTr="001429C7">
        <w:trPr>
          <w:trHeight w:hRule="exact" w:val="334"/>
        </w:trPr>
        <w:tc>
          <w:tcPr>
            <w:tcW w:w="3420" w:type="dxa"/>
            <w:tcBorders>
              <w:top w:val="single" w:sz="2" w:space="0" w:color="231F20"/>
              <w:left w:val="single" w:sz="2" w:space="0" w:color="231F20"/>
              <w:bottom w:val="single" w:sz="2" w:space="0" w:color="231F20"/>
              <w:right w:val="single" w:sz="2" w:space="0" w:color="231F20"/>
            </w:tcBorders>
            <w:shd w:val="clear" w:color="auto" w:fill="E6E7E8"/>
            <w:vAlign w:val="center"/>
          </w:tcPr>
          <w:p w14:paraId="4C3CA9A8" w14:textId="77777777" w:rsidR="00002D76" w:rsidRPr="00960911" w:rsidRDefault="00002D76" w:rsidP="001429C7">
            <w:pPr>
              <w:widowControl w:val="0"/>
              <w:spacing w:after="0" w:line="240" w:lineRule="auto"/>
              <w:ind w:left="339"/>
              <w:rPr>
                <w:b/>
              </w:rPr>
            </w:pPr>
            <w:r w:rsidRPr="00960911">
              <w:rPr>
                <w:b/>
              </w:rPr>
              <w:t>Total for both</w:t>
            </w:r>
          </w:p>
        </w:tc>
        <w:tc>
          <w:tcPr>
            <w:tcW w:w="3420" w:type="dxa"/>
            <w:tcBorders>
              <w:top w:val="single" w:sz="2" w:space="0" w:color="231F20"/>
              <w:left w:val="single" w:sz="2" w:space="0" w:color="231F20"/>
              <w:bottom w:val="single" w:sz="2" w:space="0" w:color="231F20"/>
              <w:right w:val="single" w:sz="2" w:space="0" w:color="231F20"/>
            </w:tcBorders>
            <w:shd w:val="clear" w:color="auto" w:fill="E6E7E8"/>
            <w:vAlign w:val="center"/>
          </w:tcPr>
          <w:p w14:paraId="4E4562A7" w14:textId="77777777" w:rsidR="00002D76" w:rsidRPr="00960911" w:rsidRDefault="00002D76" w:rsidP="00D63204">
            <w:pPr>
              <w:widowControl w:val="0"/>
              <w:spacing w:before="45" w:after="0" w:line="240" w:lineRule="auto"/>
              <w:ind w:left="2184"/>
              <w:rPr>
                <w:rFonts w:cs="Calibri"/>
                <w:b/>
              </w:rPr>
            </w:pPr>
          </w:p>
        </w:tc>
        <w:tc>
          <w:tcPr>
            <w:tcW w:w="3310" w:type="dxa"/>
            <w:tcBorders>
              <w:top w:val="single" w:sz="2" w:space="0" w:color="231F20"/>
              <w:left w:val="single" w:sz="2" w:space="0" w:color="231F20"/>
              <w:bottom w:val="single" w:sz="2" w:space="0" w:color="231F20"/>
              <w:right w:val="single" w:sz="2" w:space="0" w:color="231F20"/>
            </w:tcBorders>
            <w:shd w:val="clear" w:color="auto" w:fill="E6E7E8"/>
            <w:vAlign w:val="center"/>
          </w:tcPr>
          <w:p w14:paraId="56E68B97" w14:textId="77777777" w:rsidR="00002D76" w:rsidRPr="00960911" w:rsidRDefault="00002D76" w:rsidP="00D63204">
            <w:pPr>
              <w:widowControl w:val="0"/>
              <w:spacing w:before="45" w:after="0" w:line="240" w:lineRule="auto"/>
              <w:ind w:right="75"/>
              <w:rPr>
                <w:b/>
                <w:w w:val="90"/>
              </w:rPr>
            </w:pPr>
            <w:r w:rsidRPr="00960911">
              <w:rPr>
                <w:b/>
                <w:w w:val="90"/>
              </w:rPr>
              <w:t>1,020,595</w:t>
            </w:r>
          </w:p>
        </w:tc>
      </w:tr>
    </w:tbl>
    <w:p w14:paraId="60F10603" w14:textId="77777777" w:rsidR="00002D76" w:rsidRDefault="00002D76" w:rsidP="00002D76">
      <w:pPr>
        <w:widowControl w:val="0"/>
        <w:spacing w:after="0" w:line="240" w:lineRule="auto"/>
        <w:ind w:left="90"/>
        <w:rPr>
          <w:rFonts w:ascii="Calibri" w:hAnsi="Calibri" w:cs="Calibri"/>
          <w:sz w:val="18"/>
          <w:szCs w:val="18"/>
        </w:rPr>
      </w:pPr>
      <w:r w:rsidRPr="00960911">
        <w:rPr>
          <w:rFonts w:ascii="Calibri" w:hAnsi="Calibri" w:cs="Calibri"/>
          <w:sz w:val="18"/>
          <w:szCs w:val="18"/>
        </w:rPr>
        <w:t xml:space="preserve">Source:  IPUMS-USA, University of Minnesota, </w:t>
      </w:r>
      <w:hyperlink r:id="rId93" w:history="1">
        <w:r w:rsidRPr="00F60809">
          <w:rPr>
            <w:rStyle w:val="Hyperlink"/>
            <w:sz w:val="20"/>
            <w:szCs w:val="20"/>
          </w:rPr>
          <w:t>www.ipums.org</w:t>
        </w:r>
      </w:hyperlink>
      <w:r w:rsidRPr="00F60809">
        <w:rPr>
          <w:rStyle w:val="Hyperlink"/>
          <w:sz w:val="20"/>
          <w:szCs w:val="20"/>
        </w:rPr>
        <w:t xml:space="preserve">., </w:t>
      </w:r>
      <w:r>
        <w:rPr>
          <w:rFonts w:ascii="Calibri" w:hAnsi="Calibri" w:cs="Calibri"/>
          <w:sz w:val="18"/>
          <w:szCs w:val="18"/>
        </w:rPr>
        <w:t>2016 1-year survey.</w:t>
      </w:r>
    </w:p>
    <w:p w14:paraId="19809E5F" w14:textId="77777777" w:rsidR="00002D76" w:rsidRPr="009863CF" w:rsidRDefault="00002D76" w:rsidP="00002D76">
      <w:pPr>
        <w:widowControl w:val="0"/>
        <w:spacing w:after="0" w:line="240" w:lineRule="auto"/>
        <w:ind w:left="90"/>
        <w:rPr>
          <w:rFonts w:ascii="Calibri" w:hAnsi="Calibri" w:cs="Calibri"/>
          <w:sz w:val="18"/>
          <w:szCs w:val="18"/>
        </w:rPr>
      </w:pPr>
      <w:r w:rsidRPr="009863CF">
        <w:rPr>
          <w:rFonts w:ascii="Calibri" w:hAnsi="Calibri" w:cs="Calibri"/>
          <w:sz w:val="18"/>
          <w:szCs w:val="18"/>
        </w:rPr>
        <w:t>Prepared by:  Florida Department of Economic Opportunity, Bureau of Labor Market Statistics, December 2017.</w:t>
      </w:r>
    </w:p>
    <w:p w14:paraId="764870F5" w14:textId="77777777" w:rsidR="00002D76" w:rsidRPr="00EA7458" w:rsidRDefault="00002D76" w:rsidP="00D63204">
      <w:pPr>
        <w:widowControl w:val="0"/>
        <w:spacing w:after="0" w:line="240" w:lineRule="auto"/>
        <w:rPr>
          <w:rFonts w:ascii="Calibri" w:hAnsi="Calibri" w:cs="Calibri"/>
          <w:sz w:val="20"/>
          <w:szCs w:val="20"/>
        </w:rPr>
        <w:sectPr w:rsidR="00002D76" w:rsidRPr="00EA7458">
          <w:footerReference w:type="default" r:id="rId94"/>
          <w:pgSz w:w="12240" w:h="15840"/>
          <w:pgMar w:top="1620" w:right="900" w:bottom="820" w:left="900" w:header="812" w:footer="624" w:gutter="0"/>
          <w:cols w:space="720"/>
        </w:sectPr>
      </w:pPr>
    </w:p>
    <w:p w14:paraId="54226E06" w14:textId="77777777" w:rsidR="00002D76" w:rsidRPr="00EA7458" w:rsidRDefault="00002D76" w:rsidP="00002D76">
      <w:pPr>
        <w:widowControl w:val="0"/>
        <w:spacing w:before="4" w:after="0" w:line="240" w:lineRule="auto"/>
        <w:rPr>
          <w:rFonts w:ascii="Calibri" w:hAnsi="Calibri" w:cs="Calibri"/>
          <w:b/>
          <w:bCs/>
          <w:sz w:val="14"/>
          <w:szCs w:val="14"/>
        </w:rPr>
      </w:pPr>
    </w:p>
    <w:p w14:paraId="47E3C24F" w14:textId="77777777" w:rsidR="00002D76" w:rsidRPr="00EA7458" w:rsidRDefault="00002D76" w:rsidP="00D63204">
      <w:pPr>
        <w:widowControl w:val="0"/>
        <w:spacing w:before="57" w:after="0" w:line="266" w:lineRule="exact"/>
        <w:ind w:left="468" w:right="468"/>
        <w:outlineLvl w:val="2"/>
        <w:rPr>
          <w:rFonts w:ascii="Calibri" w:hAnsi="Calibri"/>
        </w:rPr>
      </w:pPr>
      <w:bookmarkStart w:id="46" w:name="_bookmark34"/>
      <w:bookmarkEnd w:id="46"/>
      <w:r w:rsidRPr="00EA7458">
        <w:rPr>
          <w:rFonts w:ascii="Calibri" w:hAnsi="Calibri"/>
          <w:b/>
          <w:bCs/>
          <w:w w:val="115"/>
        </w:rPr>
        <w:t>Figure</w:t>
      </w:r>
      <w:r w:rsidRPr="00EA7458">
        <w:rPr>
          <w:rFonts w:ascii="Calibri" w:hAnsi="Calibri"/>
          <w:b/>
          <w:bCs/>
          <w:spacing w:val="-16"/>
          <w:w w:val="115"/>
        </w:rPr>
        <w:t xml:space="preserve"> </w:t>
      </w:r>
      <w:r w:rsidRPr="00EA7458">
        <w:rPr>
          <w:rFonts w:ascii="Calibri" w:hAnsi="Calibri"/>
          <w:b/>
          <w:bCs/>
          <w:w w:val="115"/>
        </w:rPr>
        <w:t>2.35</w:t>
      </w:r>
    </w:p>
    <w:p w14:paraId="07A21A48" w14:textId="77777777" w:rsidR="00002D76" w:rsidRPr="00EA7458" w:rsidRDefault="00002D76" w:rsidP="00D63204">
      <w:pPr>
        <w:widowControl w:val="0"/>
        <w:spacing w:after="0" w:line="266" w:lineRule="exact"/>
        <w:ind w:left="468" w:right="412"/>
        <w:rPr>
          <w:rFonts w:ascii="Calibri" w:hAnsi="Calibri" w:cs="Calibri"/>
        </w:rPr>
      </w:pPr>
      <w:r w:rsidRPr="00EA7458">
        <w:rPr>
          <w:rFonts w:ascii="Calibri" w:hAnsi="Calibri"/>
          <w:b/>
          <w:color w:val="231F20"/>
          <w:w w:val="110"/>
        </w:rPr>
        <w:t>Educational</w:t>
      </w:r>
      <w:r w:rsidRPr="00EA7458">
        <w:rPr>
          <w:rFonts w:ascii="Calibri" w:hAnsi="Calibri"/>
          <w:b/>
          <w:color w:val="231F20"/>
          <w:spacing w:val="-9"/>
          <w:w w:val="110"/>
        </w:rPr>
        <w:t xml:space="preserve"> </w:t>
      </w:r>
      <w:r w:rsidRPr="00EA7458">
        <w:rPr>
          <w:rFonts w:ascii="Calibri" w:hAnsi="Calibri"/>
          <w:b/>
          <w:color w:val="231F20"/>
          <w:w w:val="110"/>
        </w:rPr>
        <w:t>Attainment</w:t>
      </w:r>
      <w:r w:rsidRPr="00EA7458">
        <w:rPr>
          <w:rFonts w:ascii="Calibri" w:hAnsi="Calibri"/>
          <w:b/>
          <w:color w:val="231F20"/>
          <w:spacing w:val="-9"/>
          <w:w w:val="110"/>
        </w:rPr>
        <w:t xml:space="preserve"> </w:t>
      </w:r>
      <w:r w:rsidRPr="00EA7458">
        <w:rPr>
          <w:rFonts w:ascii="Calibri" w:hAnsi="Calibri"/>
          <w:b/>
          <w:color w:val="231F20"/>
          <w:w w:val="110"/>
        </w:rPr>
        <w:t>and</w:t>
      </w:r>
      <w:r w:rsidRPr="00EA7458">
        <w:rPr>
          <w:rFonts w:ascii="Calibri" w:hAnsi="Calibri"/>
          <w:b/>
          <w:color w:val="231F20"/>
          <w:spacing w:val="-9"/>
          <w:w w:val="110"/>
        </w:rPr>
        <w:t xml:space="preserve"> </w:t>
      </w:r>
      <w:r w:rsidRPr="00EA7458">
        <w:rPr>
          <w:rFonts w:ascii="Calibri" w:hAnsi="Calibri"/>
          <w:b/>
          <w:color w:val="231F20"/>
          <w:w w:val="110"/>
        </w:rPr>
        <w:t>Ability</w:t>
      </w:r>
      <w:r w:rsidRPr="00EA7458">
        <w:rPr>
          <w:rFonts w:ascii="Calibri" w:hAnsi="Calibri"/>
          <w:b/>
          <w:color w:val="231F20"/>
          <w:spacing w:val="-9"/>
          <w:w w:val="110"/>
        </w:rPr>
        <w:t xml:space="preserve"> </w:t>
      </w:r>
      <w:r w:rsidRPr="00EA7458">
        <w:rPr>
          <w:rFonts w:ascii="Calibri" w:hAnsi="Calibri"/>
          <w:b/>
          <w:color w:val="231F20"/>
          <w:w w:val="110"/>
        </w:rPr>
        <w:t>to</w:t>
      </w:r>
      <w:r w:rsidRPr="00EA7458">
        <w:rPr>
          <w:rFonts w:ascii="Calibri" w:hAnsi="Calibri"/>
          <w:b/>
          <w:color w:val="231F20"/>
          <w:spacing w:val="-9"/>
          <w:w w:val="110"/>
        </w:rPr>
        <w:t xml:space="preserve"> </w:t>
      </w:r>
      <w:r w:rsidRPr="00EA7458">
        <w:rPr>
          <w:rFonts w:ascii="Calibri" w:hAnsi="Calibri"/>
          <w:b/>
          <w:color w:val="231F20"/>
          <w:w w:val="110"/>
        </w:rPr>
        <w:t>Speak</w:t>
      </w:r>
      <w:r w:rsidRPr="00EA7458">
        <w:rPr>
          <w:rFonts w:ascii="Calibri" w:hAnsi="Calibri"/>
          <w:b/>
          <w:color w:val="231F20"/>
          <w:spacing w:val="-9"/>
          <w:w w:val="110"/>
        </w:rPr>
        <w:t xml:space="preserve"> </w:t>
      </w:r>
      <w:r w:rsidRPr="00EA7458">
        <w:rPr>
          <w:rFonts w:ascii="Calibri" w:hAnsi="Calibri"/>
          <w:b/>
          <w:color w:val="231F20"/>
          <w:w w:val="110"/>
        </w:rPr>
        <w:t>English</w:t>
      </w:r>
    </w:p>
    <w:p w14:paraId="70D6FDDE" w14:textId="77777777" w:rsidR="00002D76" w:rsidRPr="00EA7458" w:rsidRDefault="00002D76" w:rsidP="00002D76">
      <w:pPr>
        <w:widowControl w:val="0"/>
        <w:spacing w:before="1" w:after="0" w:line="240" w:lineRule="auto"/>
        <w:rPr>
          <w:rFonts w:ascii="Calibri" w:hAnsi="Calibri" w:cs="Calibri"/>
          <w:b/>
          <w:bCs/>
          <w:sz w:val="18"/>
          <w:szCs w:val="18"/>
        </w:rPr>
      </w:pPr>
    </w:p>
    <w:tbl>
      <w:tblPr>
        <w:tblW w:w="10154" w:type="dxa"/>
        <w:tblInd w:w="108" w:type="dxa"/>
        <w:tblLayout w:type="fixed"/>
        <w:tblCellMar>
          <w:left w:w="0" w:type="dxa"/>
          <w:right w:w="0" w:type="dxa"/>
        </w:tblCellMar>
        <w:tblLook w:val="01E0" w:firstRow="1" w:lastRow="1" w:firstColumn="1" w:lastColumn="1" w:noHBand="0" w:noVBand="0"/>
      </w:tblPr>
      <w:tblGrid>
        <w:gridCol w:w="3113"/>
        <w:gridCol w:w="4621"/>
        <w:gridCol w:w="2420"/>
      </w:tblGrid>
      <w:tr w:rsidR="00002D76" w:rsidRPr="00960911" w14:paraId="1AD80F12" w14:textId="77777777" w:rsidTr="001429C7">
        <w:trPr>
          <w:trHeight w:hRule="exact" w:val="471"/>
        </w:trPr>
        <w:tc>
          <w:tcPr>
            <w:tcW w:w="3113" w:type="dxa"/>
            <w:tcBorders>
              <w:top w:val="single" w:sz="2" w:space="0" w:color="231F20"/>
              <w:left w:val="single" w:sz="2" w:space="0" w:color="231F20"/>
              <w:bottom w:val="single" w:sz="2" w:space="0" w:color="231F20"/>
              <w:right w:val="single" w:sz="2" w:space="0" w:color="231F20"/>
            </w:tcBorders>
          </w:tcPr>
          <w:p w14:paraId="02D612F5" w14:textId="6B234E03" w:rsidR="00002D76" w:rsidRPr="00960911" w:rsidRDefault="00002D76" w:rsidP="00D63204">
            <w:pPr>
              <w:widowControl w:val="0"/>
              <w:spacing w:before="121" w:after="0" w:line="240" w:lineRule="auto"/>
              <w:ind w:left="77"/>
              <w:rPr>
                <w:rFonts w:ascii="Calibri" w:hAnsi="Calibri" w:cs="Calibri"/>
                <w:sz w:val="20"/>
                <w:szCs w:val="20"/>
              </w:rPr>
            </w:pPr>
            <w:r w:rsidRPr="00960911">
              <w:rPr>
                <w:rFonts w:ascii="Calibri" w:hAnsi="Calibri"/>
                <w:b/>
                <w:w w:val="110"/>
                <w:sz w:val="20"/>
              </w:rPr>
              <w:t>English</w:t>
            </w:r>
            <w:r w:rsidRPr="00960911">
              <w:rPr>
                <w:rFonts w:ascii="Calibri" w:hAnsi="Calibri"/>
                <w:b/>
                <w:spacing w:val="-3"/>
                <w:w w:val="110"/>
                <w:sz w:val="20"/>
              </w:rPr>
              <w:t xml:space="preserve"> </w:t>
            </w:r>
            <w:r w:rsidR="00882552" w:rsidRPr="00960911">
              <w:rPr>
                <w:rFonts w:ascii="Calibri" w:hAnsi="Calibri"/>
                <w:b/>
                <w:w w:val="110"/>
                <w:sz w:val="20"/>
              </w:rPr>
              <w:t>Ability</w:t>
            </w:r>
          </w:p>
        </w:tc>
        <w:tc>
          <w:tcPr>
            <w:tcW w:w="4621" w:type="dxa"/>
            <w:tcBorders>
              <w:top w:val="single" w:sz="2" w:space="0" w:color="231F20"/>
              <w:left w:val="single" w:sz="2" w:space="0" w:color="231F20"/>
              <w:bottom w:val="single" w:sz="2" w:space="0" w:color="231F20"/>
              <w:right w:val="single" w:sz="2" w:space="0" w:color="231F20"/>
            </w:tcBorders>
          </w:tcPr>
          <w:p w14:paraId="69A1E44B" w14:textId="5501364D" w:rsidR="00002D76" w:rsidRPr="00960911" w:rsidRDefault="00002D76" w:rsidP="00D63204">
            <w:pPr>
              <w:widowControl w:val="0"/>
              <w:spacing w:before="121" w:after="0" w:line="240" w:lineRule="auto"/>
              <w:ind w:left="105"/>
              <w:rPr>
                <w:rFonts w:ascii="Calibri" w:hAnsi="Calibri" w:cs="Calibri"/>
                <w:sz w:val="20"/>
                <w:szCs w:val="20"/>
              </w:rPr>
            </w:pPr>
            <w:r w:rsidRPr="00960911">
              <w:rPr>
                <w:rFonts w:ascii="Calibri" w:hAnsi="Calibri"/>
                <w:b/>
                <w:w w:val="110"/>
                <w:sz w:val="20"/>
              </w:rPr>
              <w:t xml:space="preserve">Less </w:t>
            </w:r>
            <w:r w:rsidR="00882552" w:rsidRPr="00960911">
              <w:rPr>
                <w:rFonts w:ascii="Calibri" w:hAnsi="Calibri"/>
                <w:b/>
                <w:w w:val="110"/>
                <w:sz w:val="20"/>
              </w:rPr>
              <w:t>Than High School</w:t>
            </w:r>
            <w:r w:rsidR="00882552" w:rsidRPr="00960911">
              <w:rPr>
                <w:rFonts w:ascii="Calibri" w:hAnsi="Calibri"/>
                <w:b/>
                <w:spacing w:val="6"/>
                <w:w w:val="110"/>
                <w:sz w:val="20"/>
              </w:rPr>
              <w:t xml:space="preserve"> </w:t>
            </w:r>
            <w:r w:rsidR="00882552" w:rsidRPr="00960911">
              <w:rPr>
                <w:rFonts w:ascii="Calibri" w:hAnsi="Calibri"/>
                <w:b/>
                <w:w w:val="110"/>
                <w:sz w:val="20"/>
              </w:rPr>
              <w:t>Credential</w:t>
            </w:r>
          </w:p>
        </w:tc>
        <w:tc>
          <w:tcPr>
            <w:tcW w:w="2420" w:type="dxa"/>
            <w:tcBorders>
              <w:top w:val="single" w:sz="2" w:space="0" w:color="231F20"/>
              <w:left w:val="single" w:sz="2" w:space="0" w:color="231F20"/>
              <w:bottom w:val="single" w:sz="2" w:space="0" w:color="231F20"/>
              <w:right w:val="single" w:sz="2" w:space="0" w:color="231F20"/>
            </w:tcBorders>
          </w:tcPr>
          <w:p w14:paraId="02C0004C" w14:textId="77777777" w:rsidR="00002D76" w:rsidRPr="00960911" w:rsidRDefault="00002D76" w:rsidP="00D63204">
            <w:pPr>
              <w:widowControl w:val="0"/>
              <w:spacing w:before="121" w:after="0" w:line="240" w:lineRule="auto"/>
              <w:rPr>
                <w:rFonts w:ascii="Calibri" w:hAnsi="Calibri" w:cs="Calibri"/>
                <w:sz w:val="20"/>
                <w:szCs w:val="20"/>
              </w:rPr>
            </w:pPr>
            <w:r w:rsidRPr="00960911">
              <w:rPr>
                <w:rFonts w:ascii="Calibri" w:hAnsi="Calibri"/>
                <w:b/>
                <w:w w:val="105"/>
                <w:sz w:val="20"/>
              </w:rPr>
              <w:t>Number</w:t>
            </w:r>
          </w:p>
        </w:tc>
      </w:tr>
      <w:tr w:rsidR="00002D76" w:rsidRPr="00960911" w14:paraId="7302D97B" w14:textId="77777777" w:rsidTr="001429C7">
        <w:trPr>
          <w:trHeight w:hRule="exact" w:val="318"/>
        </w:trPr>
        <w:tc>
          <w:tcPr>
            <w:tcW w:w="3113" w:type="dxa"/>
            <w:tcBorders>
              <w:top w:val="single" w:sz="2" w:space="0" w:color="231F20"/>
              <w:left w:val="single" w:sz="2" w:space="0" w:color="231F20"/>
              <w:bottom w:val="single" w:sz="2" w:space="0" w:color="231F20"/>
              <w:right w:val="single" w:sz="2" w:space="0" w:color="231F20"/>
            </w:tcBorders>
            <w:shd w:val="clear" w:color="auto" w:fill="E6E7E8"/>
          </w:tcPr>
          <w:p w14:paraId="6DC6E680" w14:textId="42DE3C0C" w:rsidR="00002D76" w:rsidRPr="00960911" w:rsidRDefault="00002D76" w:rsidP="00D63204">
            <w:pPr>
              <w:widowControl w:val="0"/>
              <w:spacing w:before="45" w:after="0" w:line="240" w:lineRule="auto"/>
              <w:ind w:left="75"/>
              <w:rPr>
                <w:rFonts w:ascii="Calibri" w:hAnsi="Calibri" w:cs="Calibri"/>
                <w:sz w:val="20"/>
                <w:szCs w:val="20"/>
              </w:rPr>
            </w:pPr>
            <w:r w:rsidRPr="00960911">
              <w:rPr>
                <w:rFonts w:ascii="Calibri" w:hAnsi="Calibri"/>
                <w:w w:val="110"/>
                <w:sz w:val="20"/>
              </w:rPr>
              <w:t>Speaks English</w:t>
            </w:r>
            <w:r w:rsidR="00D64602">
              <w:rPr>
                <w:rFonts w:ascii="Calibri" w:hAnsi="Calibri"/>
                <w:w w:val="110"/>
                <w:sz w:val="20"/>
              </w:rPr>
              <w:t xml:space="preserve"> -</w:t>
            </w:r>
            <w:r w:rsidRPr="00960911">
              <w:rPr>
                <w:rFonts w:ascii="Calibri" w:hAnsi="Calibri"/>
                <w:w w:val="110"/>
                <w:sz w:val="20"/>
              </w:rPr>
              <w:t xml:space="preserve"> not</w:t>
            </w:r>
            <w:r w:rsidRPr="00960911">
              <w:rPr>
                <w:rFonts w:ascii="Calibri" w:hAnsi="Calibri"/>
                <w:spacing w:val="-5"/>
                <w:w w:val="110"/>
                <w:sz w:val="20"/>
              </w:rPr>
              <w:t xml:space="preserve"> </w:t>
            </w:r>
            <w:r w:rsidRPr="00960911">
              <w:rPr>
                <w:rFonts w:ascii="Calibri" w:hAnsi="Calibri"/>
                <w:w w:val="110"/>
                <w:sz w:val="20"/>
              </w:rPr>
              <w:t>well</w:t>
            </w:r>
          </w:p>
        </w:tc>
        <w:tc>
          <w:tcPr>
            <w:tcW w:w="4621" w:type="dxa"/>
            <w:tcBorders>
              <w:top w:val="single" w:sz="2" w:space="0" w:color="231F20"/>
              <w:left w:val="single" w:sz="2" w:space="0" w:color="231F20"/>
              <w:bottom w:val="single" w:sz="2" w:space="0" w:color="231F20"/>
              <w:right w:val="single" w:sz="2" w:space="0" w:color="231F20"/>
            </w:tcBorders>
            <w:shd w:val="clear" w:color="auto" w:fill="E6E7E8"/>
          </w:tcPr>
          <w:p w14:paraId="0285BFDA" w14:textId="77777777" w:rsidR="00002D76" w:rsidRPr="00960911" w:rsidRDefault="00002D76" w:rsidP="00D63204">
            <w:pPr>
              <w:widowControl w:val="0"/>
              <w:spacing w:before="45" w:after="0" w:line="240" w:lineRule="auto"/>
              <w:ind w:left="105" w:right="75"/>
              <w:rPr>
                <w:rFonts w:ascii="Calibri" w:hAnsi="Calibri" w:cs="Calibri"/>
                <w:sz w:val="20"/>
                <w:szCs w:val="20"/>
              </w:rPr>
            </w:pPr>
            <w:r w:rsidRPr="00960911">
              <w:rPr>
                <w:rFonts w:ascii="Calibri" w:hAnsi="Calibri"/>
                <w:w w:val="110"/>
                <w:sz w:val="20"/>
              </w:rPr>
              <w:t>Grade 8 or</w:t>
            </w:r>
            <w:r w:rsidRPr="00960911">
              <w:rPr>
                <w:rFonts w:ascii="Calibri" w:hAnsi="Calibri"/>
                <w:spacing w:val="3"/>
                <w:w w:val="110"/>
                <w:sz w:val="20"/>
              </w:rPr>
              <w:t xml:space="preserve"> </w:t>
            </w:r>
            <w:r w:rsidRPr="00960911">
              <w:rPr>
                <w:rFonts w:ascii="Calibri" w:hAnsi="Calibri"/>
                <w:w w:val="110"/>
                <w:sz w:val="20"/>
              </w:rPr>
              <w:t>less</w:t>
            </w:r>
          </w:p>
        </w:tc>
        <w:tc>
          <w:tcPr>
            <w:tcW w:w="2420" w:type="dxa"/>
            <w:tcBorders>
              <w:top w:val="single" w:sz="2" w:space="0" w:color="231F20"/>
              <w:left w:val="single" w:sz="2" w:space="0" w:color="231F20"/>
              <w:bottom w:val="single" w:sz="2" w:space="0" w:color="231F20"/>
              <w:right w:val="single" w:sz="2" w:space="0" w:color="231F20"/>
            </w:tcBorders>
            <w:shd w:val="clear" w:color="auto" w:fill="E6E7E8"/>
          </w:tcPr>
          <w:p w14:paraId="601DD1B4" w14:textId="77777777" w:rsidR="00002D76" w:rsidRPr="00960911" w:rsidRDefault="00002D76" w:rsidP="00D63204">
            <w:pPr>
              <w:widowControl w:val="0"/>
              <w:spacing w:before="45" w:after="0" w:line="240" w:lineRule="auto"/>
              <w:ind w:right="75"/>
              <w:rPr>
                <w:rFonts w:ascii="Calibri" w:hAnsi="Calibri" w:cs="Calibri"/>
                <w:sz w:val="20"/>
                <w:szCs w:val="20"/>
              </w:rPr>
            </w:pPr>
            <w:r w:rsidRPr="00960911">
              <w:rPr>
                <w:rFonts w:ascii="Calibri" w:hAnsi="Calibri"/>
                <w:w w:val="105"/>
                <w:sz w:val="20"/>
              </w:rPr>
              <w:t>199,875</w:t>
            </w:r>
          </w:p>
        </w:tc>
      </w:tr>
      <w:tr w:rsidR="00002D76" w:rsidRPr="00960911" w14:paraId="58978166" w14:textId="77777777" w:rsidTr="001429C7">
        <w:trPr>
          <w:trHeight w:hRule="exact" w:val="318"/>
        </w:trPr>
        <w:tc>
          <w:tcPr>
            <w:tcW w:w="3113" w:type="dxa"/>
            <w:tcBorders>
              <w:top w:val="single" w:sz="2" w:space="0" w:color="231F20"/>
              <w:left w:val="single" w:sz="2" w:space="0" w:color="231F20"/>
              <w:bottom w:val="single" w:sz="2" w:space="0" w:color="231F20"/>
              <w:right w:val="single" w:sz="2" w:space="0" w:color="231F20"/>
            </w:tcBorders>
          </w:tcPr>
          <w:p w14:paraId="4F5E3486" w14:textId="1F47D94F" w:rsidR="00002D76" w:rsidRPr="00960911" w:rsidRDefault="00002D76" w:rsidP="00D63204">
            <w:pPr>
              <w:widowControl w:val="0"/>
              <w:spacing w:after="0" w:line="240" w:lineRule="auto"/>
              <w:ind w:left="75"/>
              <w:rPr>
                <w:rFonts w:ascii="Calibri" w:hAnsi="Calibri"/>
              </w:rPr>
            </w:pPr>
            <w:r w:rsidRPr="00960911">
              <w:rPr>
                <w:rFonts w:ascii="Calibri" w:hAnsi="Calibri"/>
                <w:w w:val="110"/>
                <w:sz w:val="20"/>
              </w:rPr>
              <w:t xml:space="preserve">Speaks English </w:t>
            </w:r>
            <w:r w:rsidR="00D64602">
              <w:rPr>
                <w:rFonts w:ascii="Calibri" w:hAnsi="Calibri"/>
                <w:w w:val="110"/>
                <w:sz w:val="20"/>
              </w:rPr>
              <w:t xml:space="preserve">- </w:t>
            </w:r>
            <w:r w:rsidRPr="00960911">
              <w:rPr>
                <w:rFonts w:ascii="Calibri" w:hAnsi="Calibri"/>
                <w:w w:val="110"/>
                <w:sz w:val="20"/>
              </w:rPr>
              <w:t>not</w:t>
            </w:r>
            <w:r w:rsidRPr="00960911">
              <w:rPr>
                <w:rFonts w:ascii="Calibri" w:hAnsi="Calibri"/>
                <w:spacing w:val="-5"/>
                <w:w w:val="110"/>
                <w:sz w:val="20"/>
              </w:rPr>
              <w:t xml:space="preserve"> </w:t>
            </w:r>
            <w:r w:rsidRPr="00960911">
              <w:rPr>
                <w:rFonts w:ascii="Calibri" w:hAnsi="Calibri"/>
                <w:w w:val="110"/>
                <w:sz w:val="20"/>
              </w:rPr>
              <w:t>well</w:t>
            </w:r>
          </w:p>
        </w:tc>
        <w:tc>
          <w:tcPr>
            <w:tcW w:w="4621" w:type="dxa"/>
            <w:tcBorders>
              <w:top w:val="single" w:sz="2" w:space="0" w:color="231F20"/>
              <w:left w:val="single" w:sz="2" w:space="0" w:color="231F20"/>
              <w:bottom w:val="single" w:sz="2" w:space="0" w:color="231F20"/>
              <w:right w:val="single" w:sz="2" w:space="0" w:color="231F20"/>
            </w:tcBorders>
          </w:tcPr>
          <w:p w14:paraId="6C11E7CC" w14:textId="77777777" w:rsidR="00002D76" w:rsidRPr="00960911" w:rsidRDefault="00002D76" w:rsidP="00D63204">
            <w:pPr>
              <w:widowControl w:val="0"/>
              <w:spacing w:before="45" w:after="0" w:line="240" w:lineRule="auto"/>
              <w:ind w:left="105"/>
              <w:rPr>
                <w:rFonts w:ascii="Calibri" w:hAnsi="Calibri" w:cs="Calibri"/>
                <w:sz w:val="20"/>
                <w:szCs w:val="20"/>
              </w:rPr>
            </w:pPr>
            <w:r w:rsidRPr="00960911">
              <w:rPr>
                <w:rFonts w:ascii="Calibri" w:hAnsi="Calibri"/>
                <w:w w:val="105"/>
                <w:sz w:val="20"/>
                <w:szCs w:val="20"/>
              </w:rPr>
              <w:t xml:space="preserve">Grades 9 to 12 no </w:t>
            </w:r>
            <w:r w:rsidRPr="00960911">
              <w:rPr>
                <w:rFonts w:ascii="Calibri" w:hAnsi="Calibri"/>
                <w:spacing w:val="19"/>
                <w:w w:val="105"/>
                <w:sz w:val="20"/>
                <w:szCs w:val="20"/>
              </w:rPr>
              <w:t>degree</w:t>
            </w:r>
          </w:p>
        </w:tc>
        <w:tc>
          <w:tcPr>
            <w:tcW w:w="2420" w:type="dxa"/>
            <w:tcBorders>
              <w:top w:val="single" w:sz="2" w:space="0" w:color="231F20"/>
              <w:left w:val="single" w:sz="2" w:space="0" w:color="231F20"/>
              <w:bottom w:val="single" w:sz="2" w:space="0" w:color="231F20"/>
              <w:right w:val="single" w:sz="2" w:space="0" w:color="231F20"/>
            </w:tcBorders>
          </w:tcPr>
          <w:p w14:paraId="05F66543" w14:textId="77777777" w:rsidR="00002D76" w:rsidRPr="00960911" w:rsidRDefault="00002D76" w:rsidP="00D63204">
            <w:pPr>
              <w:widowControl w:val="0"/>
              <w:spacing w:before="45" w:after="0" w:line="240" w:lineRule="auto"/>
              <w:ind w:right="75"/>
              <w:rPr>
                <w:rFonts w:ascii="Calibri" w:hAnsi="Calibri" w:cs="Calibri"/>
                <w:sz w:val="20"/>
                <w:szCs w:val="20"/>
              </w:rPr>
            </w:pPr>
            <w:r w:rsidRPr="00960911">
              <w:rPr>
                <w:rFonts w:ascii="Calibri" w:hAnsi="Calibri"/>
                <w:spacing w:val="-3"/>
                <w:w w:val="95"/>
                <w:sz w:val="20"/>
              </w:rPr>
              <w:t>119,444</w:t>
            </w:r>
          </w:p>
        </w:tc>
      </w:tr>
      <w:tr w:rsidR="00002D76" w:rsidRPr="00960911" w14:paraId="27FC81D7" w14:textId="77777777" w:rsidTr="001429C7">
        <w:trPr>
          <w:trHeight w:hRule="exact" w:val="318"/>
        </w:trPr>
        <w:tc>
          <w:tcPr>
            <w:tcW w:w="3113" w:type="dxa"/>
            <w:tcBorders>
              <w:top w:val="single" w:sz="2" w:space="0" w:color="231F20"/>
              <w:left w:val="single" w:sz="2" w:space="0" w:color="231F20"/>
              <w:bottom w:val="single" w:sz="2" w:space="0" w:color="231F20"/>
              <w:right w:val="single" w:sz="2" w:space="0" w:color="231F20"/>
            </w:tcBorders>
            <w:shd w:val="clear" w:color="auto" w:fill="E6E7E8"/>
          </w:tcPr>
          <w:p w14:paraId="474BF986" w14:textId="77777777" w:rsidR="00002D76" w:rsidRPr="00960911" w:rsidRDefault="00002D76" w:rsidP="00D63204">
            <w:pPr>
              <w:widowControl w:val="0"/>
              <w:spacing w:before="45" w:after="0" w:line="240" w:lineRule="auto"/>
              <w:ind w:left="75"/>
              <w:rPr>
                <w:rFonts w:ascii="Calibri" w:hAnsi="Calibri" w:cs="Calibri"/>
                <w:sz w:val="20"/>
                <w:szCs w:val="20"/>
              </w:rPr>
            </w:pPr>
            <w:r w:rsidRPr="00960911">
              <w:rPr>
                <w:rFonts w:ascii="Calibri" w:hAnsi="Calibri"/>
                <w:w w:val="110"/>
                <w:sz w:val="20"/>
              </w:rPr>
              <w:t>Does not speak</w:t>
            </w:r>
            <w:r w:rsidRPr="00960911">
              <w:rPr>
                <w:rFonts w:ascii="Calibri" w:hAnsi="Calibri"/>
                <w:spacing w:val="10"/>
                <w:w w:val="110"/>
                <w:sz w:val="20"/>
              </w:rPr>
              <w:t xml:space="preserve"> </w:t>
            </w:r>
            <w:r w:rsidRPr="00960911">
              <w:rPr>
                <w:rFonts w:ascii="Calibri" w:hAnsi="Calibri"/>
                <w:w w:val="110"/>
                <w:sz w:val="20"/>
              </w:rPr>
              <w:t>English</w:t>
            </w:r>
          </w:p>
        </w:tc>
        <w:tc>
          <w:tcPr>
            <w:tcW w:w="4621" w:type="dxa"/>
            <w:tcBorders>
              <w:top w:val="single" w:sz="2" w:space="0" w:color="231F20"/>
              <w:left w:val="single" w:sz="2" w:space="0" w:color="231F20"/>
              <w:bottom w:val="single" w:sz="2" w:space="0" w:color="231F20"/>
              <w:right w:val="single" w:sz="2" w:space="0" w:color="231F20"/>
            </w:tcBorders>
            <w:shd w:val="clear" w:color="auto" w:fill="E6E7E8"/>
          </w:tcPr>
          <w:p w14:paraId="48B070DB" w14:textId="77777777" w:rsidR="00002D76" w:rsidRPr="00960911" w:rsidRDefault="00002D76" w:rsidP="00D63204">
            <w:pPr>
              <w:widowControl w:val="0"/>
              <w:spacing w:before="45" w:after="0" w:line="240" w:lineRule="auto"/>
              <w:ind w:left="105" w:right="75"/>
              <w:rPr>
                <w:rFonts w:ascii="Calibri" w:hAnsi="Calibri" w:cs="Calibri"/>
                <w:sz w:val="20"/>
                <w:szCs w:val="20"/>
              </w:rPr>
            </w:pPr>
            <w:r w:rsidRPr="00960911">
              <w:rPr>
                <w:rFonts w:ascii="Calibri" w:hAnsi="Calibri"/>
                <w:w w:val="110"/>
                <w:sz w:val="20"/>
              </w:rPr>
              <w:t>Grade 8 or</w:t>
            </w:r>
            <w:r w:rsidRPr="00960911">
              <w:rPr>
                <w:rFonts w:ascii="Calibri" w:hAnsi="Calibri"/>
                <w:spacing w:val="3"/>
                <w:w w:val="110"/>
                <w:sz w:val="20"/>
              </w:rPr>
              <w:t xml:space="preserve"> </w:t>
            </w:r>
            <w:r w:rsidRPr="00960911">
              <w:rPr>
                <w:rFonts w:ascii="Calibri" w:hAnsi="Calibri"/>
                <w:w w:val="110"/>
                <w:sz w:val="20"/>
              </w:rPr>
              <w:t>less</w:t>
            </w:r>
          </w:p>
        </w:tc>
        <w:tc>
          <w:tcPr>
            <w:tcW w:w="2420" w:type="dxa"/>
            <w:tcBorders>
              <w:top w:val="single" w:sz="2" w:space="0" w:color="231F20"/>
              <w:left w:val="single" w:sz="2" w:space="0" w:color="231F20"/>
              <w:bottom w:val="single" w:sz="2" w:space="0" w:color="231F20"/>
              <w:right w:val="single" w:sz="2" w:space="0" w:color="231F20"/>
            </w:tcBorders>
            <w:shd w:val="clear" w:color="auto" w:fill="E6E7E8"/>
          </w:tcPr>
          <w:p w14:paraId="33E65FF8" w14:textId="77777777" w:rsidR="00002D76" w:rsidRPr="00960911" w:rsidRDefault="00002D76" w:rsidP="00D63204">
            <w:pPr>
              <w:widowControl w:val="0"/>
              <w:spacing w:before="45" w:after="0" w:line="240" w:lineRule="auto"/>
              <w:ind w:right="75"/>
              <w:rPr>
                <w:rFonts w:ascii="Calibri" w:hAnsi="Calibri" w:cs="Calibri"/>
                <w:sz w:val="20"/>
                <w:szCs w:val="20"/>
              </w:rPr>
            </w:pPr>
            <w:r w:rsidRPr="00960911">
              <w:rPr>
                <w:rFonts w:ascii="Calibri" w:hAnsi="Calibri"/>
                <w:spacing w:val="-3"/>
                <w:w w:val="105"/>
                <w:sz w:val="20"/>
              </w:rPr>
              <w:t>190,888</w:t>
            </w:r>
          </w:p>
        </w:tc>
      </w:tr>
      <w:tr w:rsidR="00002D76" w:rsidRPr="00960911" w14:paraId="5A6F6BBA" w14:textId="77777777" w:rsidTr="001429C7">
        <w:trPr>
          <w:trHeight w:hRule="exact" w:val="318"/>
        </w:trPr>
        <w:tc>
          <w:tcPr>
            <w:tcW w:w="3113" w:type="dxa"/>
            <w:tcBorders>
              <w:top w:val="single" w:sz="2" w:space="0" w:color="231F20"/>
              <w:left w:val="single" w:sz="2" w:space="0" w:color="231F20"/>
              <w:bottom w:val="single" w:sz="2" w:space="0" w:color="231F20"/>
              <w:right w:val="single" w:sz="2" w:space="0" w:color="231F20"/>
            </w:tcBorders>
          </w:tcPr>
          <w:p w14:paraId="1D0DD94B" w14:textId="77777777" w:rsidR="00002D76" w:rsidRPr="00960911" w:rsidRDefault="00002D76" w:rsidP="00D63204">
            <w:pPr>
              <w:widowControl w:val="0"/>
              <w:spacing w:after="0" w:line="240" w:lineRule="auto"/>
              <w:ind w:left="75"/>
              <w:rPr>
                <w:rFonts w:ascii="Calibri" w:hAnsi="Calibri"/>
              </w:rPr>
            </w:pPr>
            <w:r w:rsidRPr="00960911">
              <w:rPr>
                <w:rFonts w:ascii="Calibri" w:hAnsi="Calibri"/>
                <w:w w:val="110"/>
                <w:sz w:val="20"/>
              </w:rPr>
              <w:t>Does not speak</w:t>
            </w:r>
            <w:r w:rsidRPr="00960911">
              <w:rPr>
                <w:rFonts w:ascii="Calibri" w:hAnsi="Calibri"/>
                <w:spacing w:val="10"/>
                <w:w w:val="110"/>
                <w:sz w:val="20"/>
              </w:rPr>
              <w:t xml:space="preserve"> </w:t>
            </w:r>
            <w:r w:rsidRPr="00960911">
              <w:rPr>
                <w:rFonts w:ascii="Calibri" w:hAnsi="Calibri"/>
                <w:w w:val="110"/>
                <w:sz w:val="20"/>
              </w:rPr>
              <w:t>English</w:t>
            </w:r>
          </w:p>
        </w:tc>
        <w:tc>
          <w:tcPr>
            <w:tcW w:w="4621" w:type="dxa"/>
            <w:tcBorders>
              <w:top w:val="single" w:sz="2" w:space="0" w:color="231F20"/>
              <w:left w:val="single" w:sz="2" w:space="0" w:color="231F20"/>
              <w:bottom w:val="single" w:sz="2" w:space="0" w:color="231F20"/>
              <w:right w:val="single" w:sz="2" w:space="0" w:color="231F20"/>
            </w:tcBorders>
          </w:tcPr>
          <w:p w14:paraId="3755D0F6" w14:textId="77777777" w:rsidR="00002D76" w:rsidRPr="00960911" w:rsidRDefault="00002D76" w:rsidP="00882552">
            <w:pPr>
              <w:widowControl w:val="0"/>
              <w:spacing w:before="45" w:after="0" w:line="240" w:lineRule="auto"/>
              <w:ind w:left="105"/>
              <w:rPr>
                <w:rFonts w:ascii="Calibri" w:hAnsi="Calibri" w:cs="Calibri"/>
                <w:sz w:val="20"/>
                <w:szCs w:val="20"/>
              </w:rPr>
            </w:pPr>
            <w:r w:rsidRPr="00960911">
              <w:rPr>
                <w:rFonts w:ascii="Calibri" w:hAnsi="Calibri"/>
                <w:w w:val="105"/>
                <w:sz w:val="20"/>
                <w:szCs w:val="20"/>
              </w:rPr>
              <w:t xml:space="preserve">Grades 9 to 12 no </w:t>
            </w:r>
            <w:r w:rsidRPr="00960911">
              <w:rPr>
                <w:rFonts w:ascii="Calibri" w:hAnsi="Calibri"/>
                <w:spacing w:val="19"/>
                <w:w w:val="105"/>
                <w:sz w:val="20"/>
                <w:szCs w:val="20"/>
              </w:rPr>
              <w:t>degree</w:t>
            </w:r>
          </w:p>
        </w:tc>
        <w:tc>
          <w:tcPr>
            <w:tcW w:w="2420" w:type="dxa"/>
            <w:tcBorders>
              <w:top w:val="single" w:sz="2" w:space="0" w:color="231F20"/>
              <w:left w:val="single" w:sz="2" w:space="0" w:color="231F20"/>
              <w:bottom w:val="single" w:sz="2" w:space="0" w:color="231F20"/>
              <w:right w:val="single" w:sz="2" w:space="0" w:color="231F20"/>
            </w:tcBorders>
          </w:tcPr>
          <w:p w14:paraId="723E487A" w14:textId="77777777" w:rsidR="00002D76" w:rsidRPr="00960911" w:rsidRDefault="00002D76" w:rsidP="00D63204">
            <w:pPr>
              <w:widowControl w:val="0"/>
              <w:spacing w:before="45" w:after="0" w:line="240" w:lineRule="auto"/>
              <w:ind w:right="75"/>
              <w:rPr>
                <w:rFonts w:ascii="Calibri" w:hAnsi="Calibri" w:cs="Calibri"/>
                <w:sz w:val="20"/>
                <w:szCs w:val="20"/>
              </w:rPr>
            </w:pPr>
            <w:r w:rsidRPr="00960911">
              <w:rPr>
                <w:rFonts w:ascii="Calibri" w:hAnsi="Calibri"/>
                <w:sz w:val="20"/>
              </w:rPr>
              <w:t>81,984</w:t>
            </w:r>
          </w:p>
        </w:tc>
      </w:tr>
      <w:tr w:rsidR="00002D76" w:rsidRPr="00960911" w14:paraId="0A714E6E" w14:textId="77777777" w:rsidTr="001429C7">
        <w:trPr>
          <w:trHeight w:hRule="exact" w:val="318"/>
        </w:trPr>
        <w:tc>
          <w:tcPr>
            <w:tcW w:w="3113" w:type="dxa"/>
            <w:tcBorders>
              <w:top w:val="single" w:sz="2" w:space="0" w:color="231F20"/>
              <w:left w:val="single" w:sz="2" w:space="0" w:color="231F20"/>
              <w:bottom w:val="single" w:sz="2" w:space="0" w:color="231F20"/>
              <w:right w:val="single" w:sz="2" w:space="0" w:color="231F20"/>
            </w:tcBorders>
            <w:shd w:val="clear" w:color="auto" w:fill="E6E7E8"/>
          </w:tcPr>
          <w:p w14:paraId="7F849EB3" w14:textId="77777777" w:rsidR="00002D76" w:rsidRPr="00882552" w:rsidRDefault="00002D76" w:rsidP="00D63204">
            <w:pPr>
              <w:widowControl w:val="0"/>
              <w:spacing w:after="0" w:line="240" w:lineRule="auto"/>
              <w:ind w:left="75"/>
              <w:rPr>
                <w:rFonts w:ascii="Calibri" w:hAnsi="Calibri"/>
                <w:sz w:val="20"/>
              </w:rPr>
            </w:pPr>
            <w:r w:rsidRPr="00882552">
              <w:rPr>
                <w:rFonts w:ascii="Calibri" w:hAnsi="Calibri"/>
                <w:sz w:val="20"/>
              </w:rPr>
              <w:t>Total</w:t>
            </w:r>
          </w:p>
        </w:tc>
        <w:tc>
          <w:tcPr>
            <w:tcW w:w="4621" w:type="dxa"/>
            <w:tcBorders>
              <w:top w:val="single" w:sz="2" w:space="0" w:color="231F20"/>
              <w:left w:val="single" w:sz="2" w:space="0" w:color="231F20"/>
              <w:bottom w:val="single" w:sz="2" w:space="0" w:color="231F20"/>
              <w:right w:val="single" w:sz="2" w:space="0" w:color="231F20"/>
            </w:tcBorders>
            <w:shd w:val="clear" w:color="auto" w:fill="E6E7E8"/>
          </w:tcPr>
          <w:p w14:paraId="1DC93AF5" w14:textId="77777777" w:rsidR="00002D76" w:rsidRPr="00960911" w:rsidRDefault="00002D76" w:rsidP="00D63204">
            <w:pPr>
              <w:widowControl w:val="0"/>
              <w:spacing w:before="45" w:after="0" w:line="240" w:lineRule="auto"/>
              <w:ind w:left="105" w:right="75"/>
              <w:rPr>
                <w:rFonts w:ascii="Calibri" w:hAnsi="Calibri" w:cs="Calibri"/>
                <w:sz w:val="20"/>
                <w:szCs w:val="20"/>
              </w:rPr>
            </w:pPr>
            <w:r w:rsidRPr="00960911">
              <w:rPr>
                <w:rFonts w:ascii="Calibri" w:hAnsi="Calibri"/>
                <w:spacing w:val="-4"/>
                <w:w w:val="105"/>
                <w:sz w:val="20"/>
              </w:rPr>
              <w:t>Total</w:t>
            </w:r>
          </w:p>
        </w:tc>
        <w:tc>
          <w:tcPr>
            <w:tcW w:w="2420" w:type="dxa"/>
            <w:tcBorders>
              <w:top w:val="single" w:sz="2" w:space="0" w:color="231F20"/>
              <w:left w:val="single" w:sz="2" w:space="0" w:color="231F20"/>
              <w:bottom w:val="single" w:sz="2" w:space="0" w:color="231F20"/>
              <w:right w:val="single" w:sz="2" w:space="0" w:color="231F20"/>
            </w:tcBorders>
            <w:shd w:val="clear" w:color="auto" w:fill="E6E7E8"/>
          </w:tcPr>
          <w:p w14:paraId="4BE77B48" w14:textId="77777777" w:rsidR="00002D76" w:rsidRPr="00960911" w:rsidRDefault="00002D76" w:rsidP="00D63204">
            <w:pPr>
              <w:widowControl w:val="0"/>
              <w:spacing w:before="45" w:after="0" w:line="240" w:lineRule="auto"/>
              <w:ind w:right="75"/>
              <w:rPr>
                <w:rFonts w:ascii="Calibri" w:hAnsi="Calibri" w:cs="Calibri"/>
                <w:sz w:val="20"/>
                <w:szCs w:val="20"/>
              </w:rPr>
            </w:pPr>
            <w:r w:rsidRPr="00960911">
              <w:rPr>
                <w:rFonts w:ascii="Calibri" w:hAnsi="Calibri"/>
                <w:spacing w:val="-2"/>
                <w:w w:val="105"/>
                <w:sz w:val="20"/>
              </w:rPr>
              <w:t>592,191</w:t>
            </w:r>
          </w:p>
        </w:tc>
      </w:tr>
    </w:tbl>
    <w:p w14:paraId="37DA7A33" w14:textId="77777777" w:rsidR="00002D76" w:rsidRDefault="00002D76" w:rsidP="00002D76">
      <w:pPr>
        <w:widowControl w:val="0"/>
        <w:spacing w:after="0" w:line="240" w:lineRule="auto"/>
        <w:ind w:left="90"/>
        <w:rPr>
          <w:rFonts w:ascii="Calibri" w:hAnsi="Calibri" w:cs="Calibri"/>
          <w:sz w:val="18"/>
          <w:szCs w:val="18"/>
        </w:rPr>
      </w:pPr>
      <w:r w:rsidRPr="00960911">
        <w:rPr>
          <w:rFonts w:ascii="Calibri" w:hAnsi="Calibri" w:cs="Calibri"/>
          <w:sz w:val="18"/>
          <w:szCs w:val="18"/>
        </w:rPr>
        <w:t>Source:  IPUMS-USA, Univers</w:t>
      </w:r>
      <w:r>
        <w:rPr>
          <w:rFonts w:ascii="Calibri" w:hAnsi="Calibri" w:cs="Calibri"/>
          <w:sz w:val="18"/>
          <w:szCs w:val="18"/>
        </w:rPr>
        <w:t xml:space="preserve">ity of Minnesota, </w:t>
      </w:r>
      <w:hyperlink r:id="rId95" w:history="1">
        <w:r w:rsidRPr="007A47BE">
          <w:rPr>
            <w:rStyle w:val="Hyperlink"/>
            <w:rFonts w:ascii="Calibri" w:hAnsi="Calibri" w:cs="Calibri"/>
            <w:sz w:val="18"/>
            <w:szCs w:val="18"/>
          </w:rPr>
          <w:t>www.ipums.org</w:t>
        </w:r>
      </w:hyperlink>
      <w:r>
        <w:rPr>
          <w:rFonts w:ascii="Calibri" w:hAnsi="Calibri" w:cs="Calibri"/>
          <w:sz w:val="18"/>
          <w:szCs w:val="18"/>
        </w:rPr>
        <w:t>, 2016 1-year survey.</w:t>
      </w:r>
    </w:p>
    <w:p w14:paraId="538EBEC2" w14:textId="77777777" w:rsidR="00002D76" w:rsidRPr="009863CF" w:rsidRDefault="00002D76" w:rsidP="00002D76">
      <w:pPr>
        <w:widowControl w:val="0"/>
        <w:spacing w:after="0" w:line="240" w:lineRule="auto"/>
        <w:ind w:left="90"/>
        <w:rPr>
          <w:rFonts w:ascii="Calibri" w:hAnsi="Calibri" w:cs="Calibri"/>
          <w:sz w:val="18"/>
          <w:szCs w:val="18"/>
        </w:rPr>
      </w:pPr>
      <w:r w:rsidRPr="009863CF">
        <w:rPr>
          <w:rFonts w:ascii="Calibri" w:hAnsi="Calibri" w:cs="Calibri"/>
          <w:sz w:val="18"/>
          <w:szCs w:val="18"/>
        </w:rPr>
        <w:t>Prepared by:  Florida Department of Economic Opportunity, Bureau of Labor Market Statistics, December 2017.</w:t>
      </w:r>
    </w:p>
    <w:p w14:paraId="2638F637" w14:textId="77777777" w:rsidR="00002D76" w:rsidRPr="00EA7458" w:rsidRDefault="00002D76" w:rsidP="00002D76">
      <w:pPr>
        <w:widowControl w:val="0"/>
        <w:spacing w:before="11" w:after="0" w:line="240" w:lineRule="auto"/>
        <w:rPr>
          <w:rFonts w:ascii="Calibri" w:hAnsi="Calibri" w:cs="Calibri"/>
          <w:b/>
          <w:bCs/>
          <w:sz w:val="11"/>
          <w:szCs w:val="11"/>
        </w:rPr>
      </w:pPr>
    </w:p>
    <w:p w14:paraId="1FC0CD96" w14:textId="77777777" w:rsidR="00176F64" w:rsidRDefault="00002D76" w:rsidP="00D63204">
      <w:pPr>
        <w:widowControl w:val="0"/>
        <w:spacing w:before="195" w:after="0" w:line="264" w:lineRule="exact"/>
        <w:ind w:left="107"/>
        <w:rPr>
          <w:rFonts w:ascii="Calibri" w:hAnsi="Calibri"/>
          <w:color w:val="231F20"/>
          <w:w w:val="105"/>
        </w:rPr>
      </w:pPr>
      <w:r w:rsidRPr="00514A96">
        <w:rPr>
          <w:rFonts w:ascii="Calibri" w:hAnsi="Calibri"/>
          <w:color w:val="231F20"/>
          <w:w w:val="105"/>
        </w:rPr>
        <w:t>For Florida’s population age 25 and over with disabilities (1,638,000), the U.S. Census Bureau provides the following educational attainment estimates:</w:t>
      </w:r>
    </w:p>
    <w:p w14:paraId="745C46EC" w14:textId="1A47A959" w:rsidR="00176F64" w:rsidRDefault="00002D76" w:rsidP="00D63204">
      <w:pPr>
        <w:pStyle w:val="ListParagraph"/>
        <w:widowControl w:val="0"/>
        <w:numPr>
          <w:ilvl w:val="0"/>
          <w:numId w:val="81"/>
        </w:numPr>
        <w:spacing w:before="195" w:after="0" w:line="264" w:lineRule="exact"/>
        <w:rPr>
          <w:rFonts w:ascii="Calibri" w:hAnsi="Calibri"/>
          <w:color w:val="231F20"/>
          <w:w w:val="110"/>
        </w:rPr>
      </w:pPr>
      <w:r w:rsidRPr="00176F64">
        <w:rPr>
          <w:rFonts w:ascii="Calibri" w:hAnsi="Calibri"/>
          <w:color w:val="231F20"/>
          <w:w w:val="110"/>
        </w:rPr>
        <w:t>Less than high school graduate</w:t>
      </w:r>
      <w:r w:rsidR="00D64602">
        <w:rPr>
          <w:rFonts w:ascii="Calibri" w:hAnsi="Calibri"/>
          <w:color w:val="231F20"/>
          <w:w w:val="110"/>
        </w:rPr>
        <w:t xml:space="preserve"> </w:t>
      </w:r>
      <w:r w:rsidRPr="00176F64">
        <w:rPr>
          <w:rFonts w:ascii="Calibri" w:hAnsi="Calibri"/>
          <w:color w:val="231F20"/>
          <w:w w:val="110"/>
        </w:rPr>
        <w:t>-</w:t>
      </w:r>
      <w:r w:rsidRPr="00176F64">
        <w:rPr>
          <w:rFonts w:ascii="Calibri" w:hAnsi="Calibri"/>
          <w:color w:val="231F20"/>
          <w:spacing w:val="8"/>
          <w:w w:val="110"/>
        </w:rPr>
        <w:t xml:space="preserve"> </w:t>
      </w:r>
      <w:r w:rsidRPr="00176F64">
        <w:rPr>
          <w:rFonts w:ascii="Calibri" w:hAnsi="Calibri"/>
          <w:color w:val="231F20"/>
          <w:w w:val="110"/>
        </w:rPr>
        <w:t>16.8%</w:t>
      </w:r>
    </w:p>
    <w:p w14:paraId="5660CADD" w14:textId="77777777" w:rsidR="00176F64" w:rsidRPr="00176F64" w:rsidRDefault="00176F64" w:rsidP="00D63204">
      <w:pPr>
        <w:pStyle w:val="ListParagraph"/>
        <w:widowControl w:val="0"/>
        <w:spacing w:before="195" w:after="0" w:line="264" w:lineRule="exact"/>
        <w:ind w:left="827"/>
        <w:rPr>
          <w:rFonts w:ascii="Calibri" w:hAnsi="Calibri"/>
          <w:color w:val="231F20"/>
          <w:w w:val="110"/>
        </w:rPr>
      </w:pPr>
    </w:p>
    <w:p w14:paraId="04E2AA18" w14:textId="28F99BD4" w:rsidR="00176F64" w:rsidRDefault="00002D76" w:rsidP="00D63204">
      <w:pPr>
        <w:pStyle w:val="ListParagraph"/>
        <w:widowControl w:val="0"/>
        <w:numPr>
          <w:ilvl w:val="0"/>
          <w:numId w:val="81"/>
        </w:numPr>
        <w:spacing w:before="195" w:after="0" w:line="264" w:lineRule="exact"/>
        <w:rPr>
          <w:rFonts w:ascii="Calibri" w:hAnsi="Calibri"/>
          <w:color w:val="231F20"/>
          <w:spacing w:val="-4"/>
          <w:w w:val="105"/>
        </w:rPr>
      </w:pPr>
      <w:r w:rsidRPr="00176F64">
        <w:rPr>
          <w:rFonts w:ascii="Calibri" w:hAnsi="Calibri"/>
          <w:color w:val="231F20"/>
          <w:w w:val="105"/>
        </w:rPr>
        <w:t>High school graduate (includes equivalency)</w:t>
      </w:r>
      <w:r w:rsidR="00D64602">
        <w:rPr>
          <w:rFonts w:ascii="Calibri" w:hAnsi="Calibri"/>
          <w:color w:val="231F20"/>
          <w:w w:val="105"/>
        </w:rPr>
        <w:t xml:space="preserve"> </w:t>
      </w:r>
      <w:r w:rsidRPr="00176F64">
        <w:rPr>
          <w:rFonts w:ascii="Calibri" w:hAnsi="Calibri"/>
          <w:color w:val="231F20"/>
          <w:w w:val="105"/>
        </w:rPr>
        <w:t>-</w:t>
      </w:r>
      <w:r w:rsidRPr="00176F64">
        <w:rPr>
          <w:rFonts w:ascii="Calibri" w:hAnsi="Calibri"/>
          <w:color w:val="231F20"/>
          <w:spacing w:val="26"/>
          <w:w w:val="105"/>
        </w:rPr>
        <w:t xml:space="preserve"> </w:t>
      </w:r>
      <w:r w:rsidRPr="00176F64">
        <w:rPr>
          <w:rFonts w:ascii="Calibri" w:hAnsi="Calibri"/>
          <w:color w:val="231F20"/>
          <w:spacing w:val="-4"/>
          <w:w w:val="105"/>
        </w:rPr>
        <w:t>39.3%</w:t>
      </w:r>
    </w:p>
    <w:p w14:paraId="6C1B1603" w14:textId="77777777" w:rsidR="00176F64" w:rsidRPr="00176F64" w:rsidRDefault="00176F64" w:rsidP="00D63204">
      <w:pPr>
        <w:pStyle w:val="ListParagraph"/>
        <w:widowControl w:val="0"/>
        <w:spacing w:before="195" w:after="0" w:line="264" w:lineRule="exact"/>
        <w:ind w:left="827"/>
        <w:rPr>
          <w:rFonts w:ascii="Calibri" w:hAnsi="Calibri"/>
          <w:color w:val="231F20"/>
          <w:spacing w:val="-4"/>
          <w:w w:val="105"/>
        </w:rPr>
      </w:pPr>
    </w:p>
    <w:p w14:paraId="2298458F" w14:textId="5CF4FB3A" w:rsidR="00176F64" w:rsidRDefault="00002D76" w:rsidP="00D63204">
      <w:pPr>
        <w:pStyle w:val="ListParagraph"/>
        <w:widowControl w:val="0"/>
        <w:numPr>
          <w:ilvl w:val="0"/>
          <w:numId w:val="81"/>
        </w:numPr>
        <w:spacing w:before="195" w:after="0" w:line="264" w:lineRule="exact"/>
        <w:rPr>
          <w:rFonts w:ascii="Calibri" w:hAnsi="Calibri" w:cs="Calibri"/>
          <w:color w:val="231F20"/>
          <w:w w:val="110"/>
        </w:rPr>
      </w:pPr>
      <w:r w:rsidRPr="00176F64">
        <w:rPr>
          <w:rFonts w:ascii="Calibri" w:hAnsi="Calibri" w:cs="Calibri"/>
          <w:color w:val="231F20"/>
          <w:w w:val="110"/>
        </w:rPr>
        <w:t>Some college or associate’s degree</w:t>
      </w:r>
      <w:r w:rsidR="00D64602">
        <w:rPr>
          <w:rFonts w:ascii="Calibri" w:hAnsi="Calibri" w:cs="Calibri"/>
          <w:color w:val="231F20"/>
          <w:w w:val="110"/>
        </w:rPr>
        <w:t xml:space="preserve"> </w:t>
      </w:r>
      <w:r w:rsidRPr="00176F64">
        <w:rPr>
          <w:rFonts w:ascii="Calibri" w:hAnsi="Calibri" w:cs="Calibri"/>
          <w:color w:val="231F20"/>
          <w:w w:val="110"/>
        </w:rPr>
        <w:t>-</w:t>
      </w:r>
      <w:r w:rsidRPr="00176F64">
        <w:rPr>
          <w:rFonts w:ascii="Calibri" w:hAnsi="Calibri" w:cs="Calibri"/>
          <w:color w:val="231F20"/>
          <w:spacing w:val="9"/>
          <w:w w:val="110"/>
        </w:rPr>
        <w:t xml:space="preserve"> </w:t>
      </w:r>
      <w:r w:rsidRPr="00176F64">
        <w:rPr>
          <w:rFonts w:ascii="Calibri" w:hAnsi="Calibri" w:cs="Calibri"/>
          <w:color w:val="231F20"/>
          <w:w w:val="110"/>
        </w:rPr>
        <w:t>26.4%</w:t>
      </w:r>
    </w:p>
    <w:p w14:paraId="6BE03387" w14:textId="77777777" w:rsidR="00176F64" w:rsidRPr="00176F64" w:rsidRDefault="00176F64" w:rsidP="00D63204">
      <w:pPr>
        <w:pStyle w:val="ListParagraph"/>
        <w:widowControl w:val="0"/>
        <w:spacing w:before="195" w:after="0" w:line="264" w:lineRule="exact"/>
        <w:ind w:left="827"/>
        <w:rPr>
          <w:rFonts w:ascii="Calibri" w:hAnsi="Calibri" w:cs="Calibri"/>
          <w:color w:val="231F20"/>
          <w:w w:val="110"/>
        </w:rPr>
      </w:pPr>
    </w:p>
    <w:p w14:paraId="76B30491" w14:textId="10E047D3" w:rsidR="00002D76" w:rsidRPr="00176F64" w:rsidRDefault="00002D76" w:rsidP="00D63204">
      <w:pPr>
        <w:pStyle w:val="ListParagraph"/>
        <w:widowControl w:val="0"/>
        <w:numPr>
          <w:ilvl w:val="0"/>
          <w:numId w:val="81"/>
        </w:numPr>
        <w:spacing w:before="195" w:after="0" w:line="264" w:lineRule="exact"/>
        <w:rPr>
          <w:rFonts w:ascii="Calibri" w:hAnsi="Calibri" w:cs="Calibri"/>
          <w:color w:val="231F20"/>
        </w:rPr>
      </w:pPr>
      <w:r w:rsidRPr="00176F64">
        <w:rPr>
          <w:rFonts w:ascii="Calibri" w:hAnsi="Calibri" w:cs="Calibri"/>
          <w:color w:val="231F20"/>
          <w:w w:val="110"/>
        </w:rPr>
        <w:t>Bachelor’s degree or higher</w:t>
      </w:r>
      <w:r w:rsidR="00D64602">
        <w:rPr>
          <w:rFonts w:ascii="Calibri" w:hAnsi="Calibri" w:cs="Calibri"/>
          <w:color w:val="231F20"/>
          <w:w w:val="110"/>
        </w:rPr>
        <w:t xml:space="preserve"> </w:t>
      </w:r>
      <w:r w:rsidRPr="00176F64">
        <w:rPr>
          <w:rFonts w:ascii="Calibri" w:hAnsi="Calibri" w:cs="Calibri"/>
          <w:color w:val="231F20"/>
          <w:w w:val="110"/>
        </w:rPr>
        <w:t>-</w:t>
      </w:r>
      <w:r w:rsidRPr="00176F64">
        <w:rPr>
          <w:rFonts w:ascii="Calibri" w:hAnsi="Calibri" w:cs="Calibri"/>
          <w:color w:val="231F20"/>
          <w:spacing w:val="4"/>
          <w:w w:val="110"/>
        </w:rPr>
        <w:t xml:space="preserve"> </w:t>
      </w:r>
      <w:r w:rsidRPr="00176F64">
        <w:rPr>
          <w:rFonts w:ascii="Calibri" w:hAnsi="Calibri" w:cs="Calibri"/>
          <w:color w:val="231F20"/>
          <w:spacing w:val="-4"/>
          <w:w w:val="110"/>
        </w:rPr>
        <w:t>17.4%</w:t>
      </w:r>
    </w:p>
    <w:p w14:paraId="4CC33180" w14:textId="77777777" w:rsidR="00002D76" w:rsidRPr="00276CD8" w:rsidRDefault="00002D76" w:rsidP="00002D76">
      <w:pPr>
        <w:widowControl w:val="0"/>
        <w:tabs>
          <w:tab w:val="left" w:pos="668"/>
        </w:tabs>
        <w:spacing w:before="85" w:after="0" w:line="240" w:lineRule="auto"/>
        <w:ind w:left="668"/>
        <w:rPr>
          <w:rFonts w:ascii="Calibri" w:hAnsi="Calibri" w:cs="Calibri"/>
          <w:color w:val="231F20"/>
        </w:rPr>
      </w:pPr>
    </w:p>
    <w:p w14:paraId="774EDB08" w14:textId="77777777" w:rsidR="00002D76" w:rsidRPr="00276CD8" w:rsidRDefault="00002D76" w:rsidP="00002D76">
      <w:pPr>
        <w:pStyle w:val="ListParagraph"/>
        <w:ind w:left="108"/>
        <w:rPr>
          <w:sz w:val="18"/>
          <w:szCs w:val="18"/>
        </w:rPr>
      </w:pPr>
      <w:r w:rsidRPr="00276CD8">
        <w:rPr>
          <w:sz w:val="18"/>
          <w:szCs w:val="18"/>
        </w:rPr>
        <w:t>Source:  U.S. Census Bureau, Current Population Survey, Annual Social and Economic Supplement, 2016.</w:t>
      </w:r>
    </w:p>
    <w:p w14:paraId="7FC8C694" w14:textId="77777777" w:rsidR="00EA7458" w:rsidRPr="00EA7458" w:rsidRDefault="00EA7458" w:rsidP="00664EFD">
      <w:pPr>
        <w:widowControl w:val="0"/>
        <w:numPr>
          <w:ilvl w:val="3"/>
          <w:numId w:val="7"/>
        </w:numPr>
        <w:tabs>
          <w:tab w:val="left" w:pos="3132"/>
        </w:tabs>
        <w:spacing w:before="195" w:after="0" w:line="240" w:lineRule="auto"/>
        <w:rPr>
          <w:rFonts w:ascii="Calibri" w:hAnsi="Calibri" w:cs="Calibri"/>
        </w:rPr>
      </w:pPr>
      <w:r w:rsidRPr="00EA7458">
        <w:rPr>
          <w:rFonts w:ascii="Calibri" w:hAnsi="Calibri" w:cs="Calibri"/>
          <w:color w:val="295CA3"/>
          <w:w w:val="110"/>
        </w:rPr>
        <w:t>Describe apparent ‘skill</w:t>
      </w:r>
      <w:r w:rsidRPr="00EA7458">
        <w:rPr>
          <w:rFonts w:ascii="Calibri" w:hAnsi="Calibri" w:cs="Calibri"/>
          <w:color w:val="295CA3"/>
          <w:spacing w:val="4"/>
          <w:w w:val="110"/>
        </w:rPr>
        <w:t xml:space="preserve"> </w:t>
      </w:r>
      <w:r w:rsidRPr="00EA7458">
        <w:rPr>
          <w:rFonts w:ascii="Calibri" w:hAnsi="Calibri" w:cs="Calibri"/>
          <w:color w:val="295CA3"/>
          <w:w w:val="110"/>
        </w:rPr>
        <w:t>gaps’</w:t>
      </w:r>
    </w:p>
    <w:p w14:paraId="796CA59E" w14:textId="26A2BAB0" w:rsidR="0080688E" w:rsidRDefault="0080688E" w:rsidP="00D63204">
      <w:pPr>
        <w:widowControl w:val="0"/>
        <w:spacing w:before="193" w:after="0" w:line="264" w:lineRule="exact"/>
        <w:ind w:left="107" w:right="136"/>
        <w:rPr>
          <w:rFonts w:ascii="Calibri" w:hAnsi="Calibri"/>
          <w:color w:val="231F20"/>
          <w:spacing w:val="-12"/>
          <w:w w:val="105"/>
        </w:rPr>
      </w:pPr>
      <w:r w:rsidRPr="0080688E">
        <w:rPr>
          <w:rFonts w:ascii="Calibri" w:hAnsi="Calibri"/>
          <w:b/>
          <w:bCs/>
          <w:color w:val="231F20"/>
          <w:spacing w:val="-12"/>
          <w:w w:val="105"/>
          <w:u w:val="single"/>
        </w:rPr>
        <w:t>Skills Gap and Job Vacancy Survey</w:t>
      </w:r>
    </w:p>
    <w:p w14:paraId="0AFB2273" w14:textId="1D7286C3" w:rsidR="00DD5459" w:rsidRDefault="007540F7" w:rsidP="00D63204">
      <w:pPr>
        <w:widowControl w:val="0"/>
        <w:spacing w:after="0" w:line="264" w:lineRule="exact"/>
        <w:ind w:left="107"/>
        <w:rPr>
          <w:rFonts w:ascii="Calibri" w:hAnsi="Calibri"/>
          <w:color w:val="231F20"/>
          <w:spacing w:val="-12"/>
          <w:w w:val="105"/>
        </w:rPr>
      </w:pPr>
      <w:r w:rsidRPr="007540F7">
        <w:rPr>
          <w:rFonts w:ascii="Calibri" w:hAnsi="Calibri"/>
          <w:color w:val="231F20"/>
          <w:spacing w:val="-12"/>
          <w:w w:val="105"/>
        </w:rPr>
        <w:t>In 2016, the Florida Department of Economic Opportunity, Bureau of Labor Market Statistics (LMS), in cooperation with CareerSource Florida and CareerSource Broward, conducted a pilot study to collect employer-identified skills gaps, hiring practices</w:t>
      </w:r>
      <w:r w:rsidR="00D5537E">
        <w:rPr>
          <w:rFonts w:ascii="Calibri" w:hAnsi="Calibri"/>
          <w:color w:val="231F20"/>
          <w:spacing w:val="-12"/>
          <w:w w:val="105"/>
        </w:rPr>
        <w:t xml:space="preserve"> and</w:t>
      </w:r>
      <w:r w:rsidRPr="007540F7">
        <w:rPr>
          <w:rFonts w:ascii="Calibri" w:hAnsi="Calibri"/>
          <w:color w:val="231F20"/>
          <w:spacing w:val="-12"/>
          <w:w w:val="105"/>
        </w:rPr>
        <w:t xml:space="preserve"> job vacancies. The </w:t>
      </w:r>
      <w:r w:rsidR="00DD5459">
        <w:rPr>
          <w:rFonts w:ascii="Calibri" w:hAnsi="Calibri"/>
          <w:color w:val="231F20"/>
          <w:spacing w:val="-12"/>
          <w:w w:val="105"/>
        </w:rPr>
        <w:t xml:space="preserve">successful </w:t>
      </w:r>
      <w:r w:rsidRPr="007540F7">
        <w:rPr>
          <w:rFonts w:ascii="Calibri" w:hAnsi="Calibri"/>
          <w:color w:val="231F20"/>
          <w:spacing w:val="-12"/>
          <w:w w:val="105"/>
        </w:rPr>
        <w:t xml:space="preserve">pilot study proved the viability of collecting skills gaps </w:t>
      </w:r>
      <w:r w:rsidR="00892259">
        <w:rPr>
          <w:rFonts w:ascii="Calibri" w:hAnsi="Calibri"/>
          <w:color w:val="231F20"/>
          <w:spacing w:val="-12"/>
          <w:w w:val="105"/>
        </w:rPr>
        <w:t xml:space="preserve">data </w:t>
      </w:r>
      <w:r w:rsidRPr="007540F7">
        <w:rPr>
          <w:rFonts w:ascii="Calibri" w:hAnsi="Calibri"/>
          <w:color w:val="231F20"/>
          <w:spacing w:val="-12"/>
          <w:w w:val="105"/>
        </w:rPr>
        <w:t xml:space="preserve">by occupation and industry for several types of soft and hard skills in a Local Workforce Development Area (LWDA). </w:t>
      </w:r>
    </w:p>
    <w:p w14:paraId="4C3F2E35" w14:textId="77777777" w:rsidR="00DD5459" w:rsidRDefault="00DD5459" w:rsidP="00D63204">
      <w:pPr>
        <w:widowControl w:val="0"/>
        <w:spacing w:after="0" w:line="264" w:lineRule="exact"/>
        <w:ind w:left="107"/>
        <w:rPr>
          <w:rFonts w:ascii="Calibri" w:hAnsi="Calibri"/>
          <w:color w:val="231F20"/>
          <w:spacing w:val="-12"/>
          <w:w w:val="105"/>
        </w:rPr>
      </w:pPr>
    </w:p>
    <w:p w14:paraId="13B1F881" w14:textId="1B01CC4C" w:rsidR="00DD5459" w:rsidRDefault="007540F7" w:rsidP="00D63204">
      <w:pPr>
        <w:widowControl w:val="0"/>
        <w:spacing w:after="0" w:line="264" w:lineRule="exact"/>
        <w:ind w:left="107"/>
        <w:rPr>
          <w:rFonts w:ascii="Calibri" w:hAnsi="Calibri"/>
          <w:color w:val="231F20"/>
          <w:spacing w:val="-12"/>
          <w:w w:val="105"/>
        </w:rPr>
      </w:pPr>
      <w:r w:rsidRPr="007540F7">
        <w:rPr>
          <w:rFonts w:ascii="Calibri" w:hAnsi="Calibri"/>
          <w:color w:val="231F20"/>
          <w:spacing w:val="-12"/>
          <w:w w:val="105"/>
        </w:rPr>
        <w:t xml:space="preserve">Due to the success of this pilot effort, </w:t>
      </w:r>
      <w:r w:rsidR="00DD5459">
        <w:rPr>
          <w:rFonts w:ascii="Calibri" w:hAnsi="Calibri"/>
          <w:color w:val="231F20"/>
          <w:spacing w:val="-12"/>
          <w:w w:val="105"/>
        </w:rPr>
        <w:t xml:space="preserve">LMS conducted </w:t>
      </w:r>
      <w:r w:rsidRPr="007540F7">
        <w:rPr>
          <w:rFonts w:ascii="Calibri" w:hAnsi="Calibri"/>
          <w:color w:val="231F20"/>
          <w:spacing w:val="-12"/>
          <w:w w:val="105"/>
        </w:rPr>
        <w:t xml:space="preserve">a statewide Skills Gap/Job Vacancy survey for each of Florida’s 24 LWDAs in April </w:t>
      </w:r>
      <w:r w:rsidR="00DD5459">
        <w:rPr>
          <w:rFonts w:ascii="Calibri" w:hAnsi="Calibri"/>
          <w:color w:val="231F20"/>
          <w:spacing w:val="-12"/>
          <w:w w:val="105"/>
        </w:rPr>
        <w:t>2017</w:t>
      </w:r>
      <w:r w:rsidRPr="007540F7">
        <w:rPr>
          <w:rFonts w:ascii="Calibri" w:hAnsi="Calibri"/>
          <w:color w:val="231F20"/>
          <w:spacing w:val="-12"/>
          <w:w w:val="105"/>
        </w:rPr>
        <w:t>. A total of 53,988 private-sector employers are in the sample. The samples were selected by LWDA to provide statistically</w:t>
      </w:r>
      <w:r w:rsidR="0076173C">
        <w:rPr>
          <w:rFonts w:ascii="Calibri" w:hAnsi="Calibri"/>
          <w:color w:val="231F20"/>
          <w:spacing w:val="-12"/>
          <w:w w:val="105"/>
        </w:rPr>
        <w:t xml:space="preserve"> </w:t>
      </w:r>
      <w:r w:rsidRPr="007540F7">
        <w:rPr>
          <w:rFonts w:ascii="Calibri" w:hAnsi="Calibri"/>
          <w:color w:val="231F20"/>
          <w:spacing w:val="-12"/>
          <w:w w:val="105"/>
        </w:rPr>
        <w:t>reliable estimates of skills gaps, job vacancies</w:t>
      </w:r>
      <w:r w:rsidR="00D5537E">
        <w:rPr>
          <w:rFonts w:ascii="Calibri" w:hAnsi="Calibri"/>
          <w:color w:val="231F20"/>
          <w:spacing w:val="-12"/>
          <w:w w:val="105"/>
        </w:rPr>
        <w:t xml:space="preserve"> and</w:t>
      </w:r>
      <w:r w:rsidRPr="007540F7">
        <w:rPr>
          <w:rFonts w:ascii="Calibri" w:hAnsi="Calibri"/>
          <w:color w:val="231F20"/>
          <w:spacing w:val="-12"/>
          <w:w w:val="105"/>
        </w:rPr>
        <w:t xml:space="preserve"> employer hiring practices in each local area. Oppenheim Research, a Tallahassee-based survey research firm, is the contractor for the survey and </w:t>
      </w:r>
      <w:r w:rsidR="00DD5459">
        <w:rPr>
          <w:rFonts w:ascii="Calibri" w:hAnsi="Calibri"/>
          <w:color w:val="231F20"/>
          <w:spacing w:val="-12"/>
          <w:w w:val="105"/>
        </w:rPr>
        <w:t xml:space="preserve">made </w:t>
      </w:r>
      <w:r w:rsidRPr="007540F7">
        <w:rPr>
          <w:rFonts w:ascii="Calibri" w:hAnsi="Calibri"/>
          <w:color w:val="231F20"/>
          <w:spacing w:val="-12"/>
          <w:w w:val="105"/>
        </w:rPr>
        <w:t>the data collection calls.</w:t>
      </w:r>
      <w:r w:rsidR="00DD5459">
        <w:rPr>
          <w:rFonts w:ascii="Calibri" w:hAnsi="Calibri"/>
          <w:color w:val="231F20"/>
          <w:spacing w:val="-12"/>
          <w:w w:val="105"/>
        </w:rPr>
        <w:t xml:space="preserve"> </w:t>
      </w:r>
      <w:r w:rsidRPr="007540F7">
        <w:rPr>
          <w:rFonts w:ascii="Calibri" w:hAnsi="Calibri"/>
          <w:color w:val="231F20"/>
          <w:spacing w:val="-12"/>
          <w:w w:val="105"/>
        </w:rPr>
        <w:t xml:space="preserve">To achieve a successful outcome, Florida employers </w:t>
      </w:r>
      <w:r w:rsidR="00DD5459">
        <w:rPr>
          <w:rFonts w:ascii="Calibri" w:hAnsi="Calibri"/>
          <w:color w:val="231F20"/>
          <w:spacing w:val="-12"/>
          <w:w w:val="105"/>
        </w:rPr>
        <w:t xml:space="preserve">were informed </w:t>
      </w:r>
      <w:r w:rsidRPr="007540F7">
        <w:rPr>
          <w:rFonts w:ascii="Calibri" w:hAnsi="Calibri"/>
          <w:color w:val="231F20"/>
          <w:spacing w:val="-12"/>
          <w:w w:val="105"/>
        </w:rPr>
        <w:t xml:space="preserve">this is a valid survey conducted under the direction and approval of CareerSource Florida. </w:t>
      </w:r>
    </w:p>
    <w:p w14:paraId="1AFCAD0E" w14:textId="77777777" w:rsidR="00DD5459" w:rsidRDefault="00DD5459" w:rsidP="00D63204">
      <w:pPr>
        <w:widowControl w:val="0"/>
        <w:spacing w:after="0" w:line="264" w:lineRule="exact"/>
        <w:ind w:left="107"/>
        <w:rPr>
          <w:rFonts w:ascii="Calibri" w:hAnsi="Calibri"/>
          <w:color w:val="231F20"/>
          <w:spacing w:val="-12"/>
          <w:w w:val="105"/>
        </w:rPr>
      </w:pPr>
    </w:p>
    <w:p w14:paraId="07ADAB1C" w14:textId="4EF93D40" w:rsidR="007540F7" w:rsidRDefault="007540F7" w:rsidP="00D63204">
      <w:pPr>
        <w:widowControl w:val="0"/>
        <w:spacing w:after="0" w:line="264" w:lineRule="exact"/>
        <w:ind w:left="107"/>
        <w:rPr>
          <w:rFonts w:ascii="Calibri" w:hAnsi="Calibri"/>
          <w:color w:val="231F20"/>
          <w:spacing w:val="-12"/>
          <w:w w:val="105"/>
        </w:rPr>
      </w:pPr>
      <w:r w:rsidRPr="007540F7">
        <w:rPr>
          <w:rFonts w:ascii="Calibri" w:hAnsi="Calibri"/>
          <w:color w:val="231F20"/>
          <w:spacing w:val="-12"/>
          <w:w w:val="105"/>
        </w:rPr>
        <w:t>The sole purpose of the survey is to identify the skills needs of business and to provide the results to workforce, education, economic development</w:t>
      </w:r>
      <w:r w:rsidR="00D5537E">
        <w:rPr>
          <w:rFonts w:ascii="Calibri" w:hAnsi="Calibri"/>
          <w:color w:val="231F20"/>
          <w:spacing w:val="-12"/>
          <w:w w:val="105"/>
        </w:rPr>
        <w:t xml:space="preserve"> and</w:t>
      </w:r>
      <w:r w:rsidRPr="007540F7">
        <w:rPr>
          <w:rFonts w:ascii="Calibri" w:hAnsi="Calibri"/>
          <w:color w:val="231F20"/>
          <w:spacing w:val="-12"/>
          <w:w w:val="105"/>
        </w:rPr>
        <w:t xml:space="preserve"> labor market research partners. Skills-based education, training</w:t>
      </w:r>
      <w:r w:rsidR="00D5537E">
        <w:rPr>
          <w:rFonts w:ascii="Calibri" w:hAnsi="Calibri"/>
          <w:color w:val="231F20"/>
          <w:spacing w:val="-12"/>
          <w:w w:val="105"/>
        </w:rPr>
        <w:t xml:space="preserve"> and</w:t>
      </w:r>
      <w:r w:rsidRPr="007540F7">
        <w:rPr>
          <w:rFonts w:ascii="Calibri" w:hAnsi="Calibri"/>
          <w:color w:val="231F20"/>
          <w:spacing w:val="-12"/>
          <w:w w:val="105"/>
        </w:rPr>
        <w:t xml:space="preserve"> placement services will help employers hire workers who are better prepared for the demands of their jobs. This means more competitive employers who are better able to deliver the types of goods and services needed by the consumers in Florida’s growing economy. For the workforce system, the data can directly link employer-based skills needs to the capabilities of </w:t>
      </w:r>
      <w:r w:rsidR="00EB646F">
        <w:rPr>
          <w:rFonts w:ascii="Calibri" w:hAnsi="Calibri"/>
          <w:color w:val="231F20"/>
          <w:spacing w:val="-12"/>
          <w:w w:val="105"/>
        </w:rPr>
        <w:t>job seeker</w:t>
      </w:r>
      <w:r w:rsidRPr="007540F7">
        <w:rPr>
          <w:rFonts w:ascii="Calibri" w:hAnsi="Calibri"/>
          <w:color w:val="231F20"/>
          <w:spacing w:val="-12"/>
          <w:w w:val="105"/>
        </w:rPr>
        <w:t>s, students and the unemployed.</w:t>
      </w:r>
    </w:p>
    <w:p w14:paraId="71E44B9A" w14:textId="77777777" w:rsidR="00DD5459" w:rsidRPr="007540F7" w:rsidRDefault="00DD5459" w:rsidP="00D63204">
      <w:pPr>
        <w:widowControl w:val="0"/>
        <w:spacing w:after="0" w:line="264" w:lineRule="exact"/>
        <w:ind w:left="107"/>
        <w:rPr>
          <w:rFonts w:ascii="Calibri" w:hAnsi="Calibri"/>
          <w:color w:val="231F20"/>
          <w:spacing w:val="-12"/>
          <w:w w:val="105"/>
        </w:rPr>
      </w:pPr>
    </w:p>
    <w:p w14:paraId="2C8A0D6A" w14:textId="77777777" w:rsidR="007540F7" w:rsidRPr="007540F7" w:rsidRDefault="007540F7" w:rsidP="00D63204">
      <w:pPr>
        <w:widowControl w:val="0"/>
        <w:spacing w:after="0" w:line="264" w:lineRule="exact"/>
        <w:ind w:left="107"/>
        <w:rPr>
          <w:rFonts w:ascii="Calibri" w:hAnsi="Calibri"/>
          <w:color w:val="231F20"/>
          <w:spacing w:val="-12"/>
          <w:w w:val="105"/>
        </w:rPr>
      </w:pPr>
    </w:p>
    <w:p w14:paraId="644070BE" w14:textId="7BD158CB" w:rsidR="00DD5459" w:rsidRDefault="00DD5459" w:rsidP="00D63204">
      <w:pPr>
        <w:widowControl w:val="0"/>
        <w:spacing w:after="0" w:line="264" w:lineRule="exact"/>
        <w:ind w:left="107"/>
        <w:rPr>
          <w:rFonts w:ascii="Calibri" w:hAnsi="Calibri"/>
          <w:color w:val="231F20"/>
          <w:spacing w:val="-12"/>
          <w:w w:val="105"/>
        </w:rPr>
      </w:pPr>
    </w:p>
    <w:p w14:paraId="5920D3BF" w14:textId="7289D2FB" w:rsidR="00CD1C1C" w:rsidRDefault="00CD1C1C" w:rsidP="00D63204">
      <w:pPr>
        <w:widowControl w:val="0"/>
        <w:spacing w:after="0" w:line="264" w:lineRule="exact"/>
        <w:ind w:left="107"/>
        <w:rPr>
          <w:rFonts w:ascii="Calibri" w:hAnsi="Calibri"/>
          <w:color w:val="231F20"/>
          <w:spacing w:val="-12"/>
          <w:w w:val="105"/>
        </w:rPr>
      </w:pPr>
      <w:r w:rsidRPr="00C86743">
        <w:rPr>
          <w:rFonts w:ascii="Calibri" w:hAnsi="Calibri"/>
          <w:color w:val="231F20"/>
          <w:spacing w:val="-12"/>
          <w:w w:val="105"/>
        </w:rPr>
        <w:t>Surveys were conducted by LWDA from April until late October 2017.  The analysis and draft comprehensive report is complete and under review by CareerSource Florida. Preliminary results were presented to the CareerSource Florida Board in February 2018. It is estimated that the final statewide report and local area reports will be finalized and available in early March 2018. The final report can be viewed online at</w:t>
      </w:r>
      <w:r w:rsidR="007344C9" w:rsidRPr="00C86743">
        <w:rPr>
          <w:rFonts w:ascii="Calibri" w:hAnsi="Calibri"/>
          <w:color w:val="231F20"/>
          <w:spacing w:val="-12"/>
          <w:w w:val="105"/>
        </w:rPr>
        <w:t xml:space="preserve"> </w:t>
      </w:r>
      <w:hyperlink r:id="rId96" w:history="1">
        <w:r w:rsidR="000B221C" w:rsidRPr="00C86743">
          <w:rPr>
            <w:rStyle w:val="Hyperlink"/>
            <w:rFonts w:ascii="Calibri" w:hAnsi="Calibri"/>
            <w:spacing w:val="-12"/>
            <w:w w:val="105"/>
          </w:rPr>
          <w:t>c</w:t>
        </w:r>
        <w:r w:rsidR="007344C9" w:rsidRPr="00C86743">
          <w:rPr>
            <w:rStyle w:val="Hyperlink"/>
            <w:rFonts w:ascii="Calibri" w:hAnsi="Calibri"/>
            <w:spacing w:val="-12"/>
            <w:w w:val="105"/>
          </w:rPr>
          <w:t>areersourceflorida.com</w:t>
        </w:r>
      </w:hyperlink>
      <w:r w:rsidR="007344C9" w:rsidRPr="00C86743">
        <w:rPr>
          <w:rFonts w:ascii="Calibri" w:hAnsi="Calibri"/>
          <w:color w:val="231F20"/>
          <w:spacing w:val="-12"/>
          <w:w w:val="105"/>
        </w:rPr>
        <w:t>.</w:t>
      </w:r>
    </w:p>
    <w:p w14:paraId="29486393" w14:textId="77777777" w:rsidR="00CD1C1C" w:rsidRPr="00EA7458" w:rsidRDefault="00CD1C1C" w:rsidP="00D63204">
      <w:pPr>
        <w:widowControl w:val="0"/>
        <w:spacing w:after="0" w:line="264" w:lineRule="exact"/>
        <w:ind w:left="107"/>
        <w:rPr>
          <w:rFonts w:ascii="Calibri" w:hAnsi="Calibri" w:cs="Calibri"/>
          <w:sz w:val="12"/>
          <w:szCs w:val="12"/>
        </w:rPr>
      </w:pPr>
    </w:p>
    <w:p w14:paraId="165DCAF0" w14:textId="77777777" w:rsidR="00EA7458" w:rsidRPr="00EA7458" w:rsidRDefault="00EA7458" w:rsidP="00DD5459">
      <w:pPr>
        <w:widowControl w:val="0"/>
        <w:numPr>
          <w:ilvl w:val="1"/>
          <w:numId w:val="7"/>
        </w:numPr>
        <w:tabs>
          <w:tab w:val="left" w:pos="1278"/>
        </w:tabs>
        <w:spacing w:after="0" w:line="240" w:lineRule="auto"/>
        <w:outlineLvl w:val="2"/>
        <w:rPr>
          <w:rFonts w:ascii="Calibri" w:hAnsi="Calibri"/>
        </w:rPr>
      </w:pPr>
      <w:r w:rsidRPr="00EA7458">
        <w:rPr>
          <w:rFonts w:ascii="Calibri" w:hAnsi="Calibri"/>
          <w:b/>
          <w:bCs/>
          <w:color w:val="295CA3"/>
          <w:w w:val="110"/>
        </w:rPr>
        <w:t>Workforce Development, Education and Training Activities</w:t>
      </w:r>
      <w:r w:rsidRPr="00EA7458">
        <w:rPr>
          <w:rFonts w:ascii="Calibri" w:hAnsi="Calibri"/>
          <w:b/>
          <w:bCs/>
          <w:color w:val="295CA3"/>
          <w:spacing w:val="-6"/>
          <w:w w:val="110"/>
        </w:rPr>
        <w:t xml:space="preserve"> </w:t>
      </w:r>
      <w:r w:rsidRPr="00EA7458">
        <w:rPr>
          <w:rFonts w:ascii="Calibri" w:hAnsi="Calibri"/>
          <w:b/>
          <w:bCs/>
          <w:color w:val="295CA3"/>
          <w:w w:val="110"/>
        </w:rPr>
        <w:t>Analysis</w:t>
      </w:r>
    </w:p>
    <w:p w14:paraId="273F217F" w14:textId="77777777" w:rsidR="00EA7458" w:rsidRPr="00EA7458" w:rsidRDefault="00EA7458" w:rsidP="00664EFD">
      <w:pPr>
        <w:widowControl w:val="0"/>
        <w:numPr>
          <w:ilvl w:val="2"/>
          <w:numId w:val="7"/>
        </w:numPr>
        <w:tabs>
          <w:tab w:val="left" w:pos="1998"/>
        </w:tabs>
        <w:spacing w:before="190" w:after="0" w:line="240" w:lineRule="auto"/>
        <w:rPr>
          <w:rFonts w:ascii="Calibri" w:hAnsi="Calibri" w:cs="Calibri"/>
        </w:rPr>
      </w:pPr>
      <w:r w:rsidRPr="00EA7458">
        <w:rPr>
          <w:rFonts w:ascii="Calibri" w:hAnsi="Calibri" w:cs="Calibri"/>
          <w:color w:val="295CA3"/>
          <w:w w:val="105"/>
        </w:rPr>
        <w:t>The State’s Workforce Development</w:t>
      </w:r>
      <w:r w:rsidRPr="00EA7458">
        <w:rPr>
          <w:rFonts w:ascii="Calibri" w:hAnsi="Calibri" w:cs="Calibri"/>
          <w:color w:val="295CA3"/>
          <w:spacing w:val="21"/>
          <w:w w:val="105"/>
        </w:rPr>
        <w:t xml:space="preserve"> </w:t>
      </w:r>
      <w:r w:rsidRPr="00EA7458">
        <w:rPr>
          <w:rFonts w:ascii="Calibri" w:hAnsi="Calibri" w:cs="Calibri"/>
          <w:color w:val="295CA3"/>
          <w:w w:val="105"/>
        </w:rPr>
        <w:t>Activities</w:t>
      </w:r>
    </w:p>
    <w:p w14:paraId="18ED6AEA" w14:textId="4E546D23" w:rsidR="00CD1C1C" w:rsidRPr="00CD1C1C" w:rsidRDefault="00CD1C1C" w:rsidP="00D63204">
      <w:pPr>
        <w:widowControl w:val="0"/>
        <w:spacing w:before="193" w:after="0" w:line="240" w:lineRule="auto"/>
        <w:ind w:left="107"/>
      </w:pPr>
      <w:r w:rsidRPr="00CD1C1C">
        <w:t xml:space="preserve">An analysis of Florida’s workforce development activities demonstrates a broad range of services offered to Florida residents. The state’s WIOA core partners of </w:t>
      </w:r>
      <w:r w:rsidRPr="00CD1C1C">
        <w:rPr>
          <w:b/>
        </w:rPr>
        <w:t>CareerSource Florida</w:t>
      </w:r>
      <w:r w:rsidR="00C660EA">
        <w:rPr>
          <w:b/>
        </w:rPr>
        <w:t>;</w:t>
      </w:r>
      <w:r w:rsidRPr="00CD1C1C">
        <w:rPr>
          <w:b/>
        </w:rPr>
        <w:t xml:space="preserve"> </w:t>
      </w:r>
      <w:r w:rsidR="00C660EA">
        <w:rPr>
          <w:b/>
        </w:rPr>
        <w:t xml:space="preserve">the </w:t>
      </w:r>
      <w:r w:rsidR="00473B91">
        <w:rPr>
          <w:b/>
        </w:rPr>
        <w:t xml:space="preserve">Florida </w:t>
      </w:r>
      <w:r w:rsidRPr="00CD1C1C">
        <w:rPr>
          <w:b/>
        </w:rPr>
        <w:t>Department of Economic Opportunity (DEO)</w:t>
      </w:r>
      <w:r w:rsidR="00C660EA">
        <w:rPr>
          <w:b/>
        </w:rPr>
        <w:t xml:space="preserve">; </w:t>
      </w:r>
      <w:r w:rsidR="00474DC2">
        <w:rPr>
          <w:b/>
        </w:rPr>
        <w:t xml:space="preserve">and the Florida Department of Education’s </w:t>
      </w:r>
      <w:r w:rsidRPr="00CD1C1C">
        <w:rPr>
          <w:b/>
        </w:rPr>
        <w:t>Division</w:t>
      </w:r>
      <w:r w:rsidR="00473B91">
        <w:rPr>
          <w:b/>
        </w:rPr>
        <w:t>s</w:t>
      </w:r>
      <w:r w:rsidRPr="00CD1C1C">
        <w:rPr>
          <w:b/>
        </w:rPr>
        <w:t xml:space="preserve"> of Blind Services (FDBS), Vocational Rehabilitation (VR)</w:t>
      </w:r>
      <w:r w:rsidR="00D5537E">
        <w:rPr>
          <w:b/>
        </w:rPr>
        <w:t xml:space="preserve"> and</w:t>
      </w:r>
      <w:r w:rsidRPr="00CD1C1C">
        <w:rPr>
          <w:b/>
        </w:rPr>
        <w:t xml:space="preserve"> Career and Adult Education (DCAE)</w:t>
      </w:r>
      <w:r w:rsidRPr="00CD1C1C">
        <w:t xml:space="preserve"> provide services that assist the state</w:t>
      </w:r>
      <w:r w:rsidRPr="00CD1C1C">
        <w:rPr>
          <w:rFonts w:ascii="Calibri" w:hAnsi="Calibri"/>
          <w:color w:val="231F20"/>
          <w:spacing w:val="17"/>
          <w:w w:val="105"/>
        </w:rPr>
        <w:t xml:space="preserve"> </w:t>
      </w:r>
      <w:r w:rsidRPr="00CD1C1C">
        <w:t>in delivering workforce, education and training activities in a cohesive manner.</w:t>
      </w:r>
    </w:p>
    <w:p w14:paraId="01F9B7B3" w14:textId="77777777" w:rsidR="00CD1C1C" w:rsidRPr="00CD1C1C" w:rsidRDefault="00CD1C1C" w:rsidP="00D63204">
      <w:pPr>
        <w:pStyle w:val="ListParagraph"/>
        <w:widowControl w:val="0"/>
        <w:spacing w:after="0" w:line="264" w:lineRule="exact"/>
        <w:ind w:left="107"/>
        <w:rPr>
          <w:b/>
        </w:rPr>
      </w:pPr>
      <w:r w:rsidRPr="00CD1C1C">
        <w:br/>
      </w:r>
      <w:r w:rsidRPr="00CD1C1C">
        <w:rPr>
          <w:b/>
        </w:rPr>
        <w:t>Career Centers</w:t>
      </w:r>
    </w:p>
    <w:p w14:paraId="6408ECBF" w14:textId="62A2A884" w:rsidR="00CD1C1C" w:rsidRPr="00CD1C1C" w:rsidRDefault="00C70C65" w:rsidP="00D63204">
      <w:pPr>
        <w:pStyle w:val="CommentText"/>
        <w:ind w:left="107"/>
        <w:rPr>
          <w:sz w:val="22"/>
          <w:szCs w:val="22"/>
        </w:rPr>
      </w:pPr>
      <w:r>
        <w:rPr>
          <w:sz w:val="22"/>
          <w:szCs w:val="22"/>
        </w:rPr>
        <w:t xml:space="preserve">Within the CareerSource Florida network, </w:t>
      </w:r>
      <w:r w:rsidR="00CD1C1C" w:rsidRPr="00CD1C1C">
        <w:rPr>
          <w:sz w:val="22"/>
          <w:szCs w:val="22"/>
        </w:rPr>
        <w:t>Florida</w:t>
      </w:r>
      <w:r w:rsidR="00CD1C1C" w:rsidRPr="00CD1C1C">
        <w:t>’</w:t>
      </w:r>
      <w:r w:rsidR="00CD1C1C" w:rsidRPr="00CD1C1C">
        <w:rPr>
          <w:sz w:val="22"/>
          <w:szCs w:val="22"/>
        </w:rPr>
        <w:t>s career centers are designed to deliver and provide access to services for employers seeking qualified workers</w:t>
      </w:r>
      <w:r w:rsidR="00C379B5">
        <w:rPr>
          <w:sz w:val="22"/>
          <w:szCs w:val="22"/>
        </w:rPr>
        <w:t xml:space="preserve"> as well as</w:t>
      </w:r>
      <w:r w:rsidR="00CD1C1C" w:rsidRPr="00CD1C1C">
        <w:rPr>
          <w:sz w:val="22"/>
          <w:szCs w:val="22"/>
        </w:rPr>
        <w:t xml:space="preserve"> training for new and existing employees</w:t>
      </w:r>
      <w:r w:rsidR="00D5537E">
        <w:rPr>
          <w:sz w:val="22"/>
          <w:szCs w:val="22"/>
        </w:rPr>
        <w:t xml:space="preserve"> and</w:t>
      </w:r>
      <w:r w:rsidR="00CD1C1C" w:rsidRPr="00CD1C1C">
        <w:rPr>
          <w:sz w:val="22"/>
          <w:szCs w:val="22"/>
        </w:rPr>
        <w:t xml:space="preserve"> all job seekers. </w:t>
      </w:r>
    </w:p>
    <w:p w14:paraId="456F475C" w14:textId="4D508C6F" w:rsidR="00CD1C1C" w:rsidRPr="00C067A5" w:rsidRDefault="00CD1C1C" w:rsidP="00D63204">
      <w:pPr>
        <w:widowControl w:val="0"/>
        <w:spacing w:after="0" w:line="264" w:lineRule="exact"/>
        <w:ind w:left="107"/>
        <w:rPr>
          <w:rFonts w:ascii="Calibri" w:hAnsi="Calibri"/>
        </w:rPr>
      </w:pPr>
      <w:r w:rsidRPr="00CD1C1C">
        <w:t>Florida’s comprehensive career centers provide expanded services and access to core and required partner programs</w:t>
      </w:r>
      <w:r w:rsidRPr="00CD1C1C">
        <w:rPr>
          <w:rFonts w:ascii="Calibri" w:hAnsi="Calibri"/>
        </w:rPr>
        <w:t xml:space="preserve"> either through colocation of partners or </w:t>
      </w:r>
      <w:r w:rsidRPr="00CD1C1C">
        <w:t xml:space="preserve">linkages to </w:t>
      </w:r>
      <w:r w:rsidRPr="00CD1C1C">
        <w:rPr>
          <w:rFonts w:ascii="Calibri" w:hAnsi="Calibri"/>
        </w:rPr>
        <w:t xml:space="preserve">partner </w:t>
      </w:r>
      <w:r w:rsidRPr="00CD1C1C">
        <w:t>se</w:t>
      </w:r>
      <w:r w:rsidRPr="00CD1C1C">
        <w:rPr>
          <w:rFonts w:ascii="Calibri" w:hAnsi="Calibri"/>
        </w:rPr>
        <w:t>rvices.</w:t>
      </w:r>
      <w:r w:rsidRPr="00CD1C1C">
        <w:t xml:space="preserve"> Florida’s career centers provide access to all, including veterans, TANF recipients, SNAP recipients</w:t>
      </w:r>
      <w:r w:rsidR="00D5537E">
        <w:t xml:space="preserve"> and</w:t>
      </w:r>
      <w:r w:rsidRPr="00CD1C1C">
        <w:t xml:space="preserve"> persons with disabilities.</w:t>
      </w:r>
    </w:p>
    <w:p w14:paraId="5F944928" w14:textId="6003B916" w:rsidR="00BF3E1F" w:rsidRPr="00C067A5" w:rsidRDefault="00BF3E1F" w:rsidP="00D63204">
      <w:pPr>
        <w:widowControl w:val="0"/>
        <w:spacing w:before="193" w:after="0" w:line="240" w:lineRule="auto"/>
        <w:ind w:left="107"/>
        <w:rPr>
          <w:rFonts w:ascii="Calibri" w:hAnsi="Calibri"/>
        </w:rPr>
      </w:pPr>
      <w:r w:rsidRPr="00C067A5">
        <w:rPr>
          <w:rFonts w:ascii="Calibri" w:hAnsi="Calibri"/>
        </w:rPr>
        <w:t>Services are available to Florida</w:t>
      </w:r>
      <w:r w:rsidRPr="00B446E9">
        <w:rPr>
          <w:rFonts w:ascii="Calibri" w:hAnsi="Calibri"/>
        </w:rPr>
        <w:t>’</w:t>
      </w:r>
      <w:r w:rsidRPr="00C067A5">
        <w:rPr>
          <w:rFonts w:ascii="Calibri" w:hAnsi="Calibri"/>
        </w:rPr>
        <w:t>s citizens and business</w:t>
      </w:r>
      <w:r>
        <w:rPr>
          <w:rFonts w:ascii="Calibri" w:hAnsi="Calibri"/>
        </w:rPr>
        <w:t>es</w:t>
      </w:r>
      <w:r w:rsidRPr="00C067A5">
        <w:rPr>
          <w:rFonts w:ascii="Calibri" w:hAnsi="Calibri"/>
        </w:rPr>
        <w:t xml:space="preserve"> through satellite and/or affiliate sites in areas strategically located within other community </w:t>
      </w:r>
      <w:r w:rsidR="000535E2" w:rsidRPr="00C067A5">
        <w:rPr>
          <w:rFonts w:ascii="Calibri" w:hAnsi="Calibri"/>
        </w:rPr>
        <w:t>partners’</w:t>
      </w:r>
      <w:r w:rsidRPr="00C067A5">
        <w:rPr>
          <w:rFonts w:ascii="Calibri" w:hAnsi="Calibri"/>
        </w:rPr>
        <w:t xml:space="preserve"> facilities such as local chambers, libraries and community-based organizations</w:t>
      </w:r>
      <w:r w:rsidR="005E7C49">
        <w:rPr>
          <w:rFonts w:ascii="Calibri" w:hAnsi="Calibri"/>
        </w:rPr>
        <w:t xml:space="preserve">. </w:t>
      </w:r>
      <w:r w:rsidRPr="00C067A5">
        <w:rPr>
          <w:rFonts w:ascii="Calibri" w:hAnsi="Calibri"/>
        </w:rPr>
        <w:t>All of Florida</w:t>
      </w:r>
      <w:r w:rsidRPr="00B446E9">
        <w:rPr>
          <w:rFonts w:ascii="Calibri" w:hAnsi="Calibri"/>
        </w:rPr>
        <w:t>’</w:t>
      </w:r>
      <w:r w:rsidRPr="00C067A5">
        <w:rPr>
          <w:rFonts w:ascii="Calibri" w:hAnsi="Calibri"/>
        </w:rPr>
        <w:t>s career centers are easily identified using the CareerSource Florida</w:t>
      </w:r>
      <w:r>
        <w:rPr>
          <w:rFonts w:ascii="Calibri" w:hAnsi="Calibri"/>
        </w:rPr>
        <w:t xml:space="preserve"> network</w:t>
      </w:r>
      <w:r w:rsidRPr="00C067A5">
        <w:rPr>
          <w:rFonts w:ascii="Calibri" w:hAnsi="Calibri"/>
        </w:rPr>
        <w:t xml:space="preserve"> brand</w:t>
      </w:r>
      <w:r>
        <w:rPr>
          <w:rFonts w:ascii="Calibri" w:hAnsi="Calibri"/>
        </w:rPr>
        <w:t xml:space="preserve"> and </w:t>
      </w:r>
      <w:r w:rsidRPr="00C067A5">
        <w:rPr>
          <w:rFonts w:ascii="Calibri" w:hAnsi="Calibri"/>
        </w:rPr>
        <w:t>the “A proud partner of the American Job Center network.</w:t>
      </w:r>
      <w:r w:rsidR="00741D03">
        <w:rPr>
          <w:rFonts w:ascii="Calibri" w:hAnsi="Calibri"/>
        </w:rPr>
        <w:t>”</w:t>
      </w:r>
      <w:r w:rsidR="00A35FEC">
        <w:rPr>
          <w:rFonts w:ascii="Calibri" w:hAnsi="Calibri"/>
        </w:rPr>
        <w:t xml:space="preserve"> </w:t>
      </w:r>
    </w:p>
    <w:p w14:paraId="56C77FE9" w14:textId="77777777" w:rsidR="00BF3E1F" w:rsidRDefault="00BF3E1F" w:rsidP="00D63204">
      <w:pPr>
        <w:widowControl w:val="0"/>
        <w:spacing w:after="0" w:line="264" w:lineRule="exact"/>
        <w:ind w:left="107"/>
        <w:rPr>
          <w:rFonts w:ascii="Calibri" w:hAnsi="Calibri"/>
        </w:rPr>
      </w:pPr>
    </w:p>
    <w:p w14:paraId="3E82FB91" w14:textId="5F0B834F" w:rsidR="00BF3E1F" w:rsidRPr="00C067A5" w:rsidRDefault="00BF3E1F" w:rsidP="00D63204">
      <w:pPr>
        <w:widowControl w:val="0"/>
        <w:spacing w:after="0" w:line="264" w:lineRule="exact"/>
        <w:ind w:left="107"/>
        <w:rPr>
          <w:rFonts w:ascii="Calibri" w:hAnsi="Calibri"/>
        </w:rPr>
      </w:pPr>
      <w:r w:rsidRPr="00C067A5">
        <w:rPr>
          <w:rFonts w:ascii="Calibri" w:hAnsi="Calibri"/>
        </w:rPr>
        <w:t xml:space="preserve">In addition to services offered through comprehensive </w:t>
      </w:r>
      <w:r w:rsidR="005D6F4A">
        <w:rPr>
          <w:rFonts w:ascii="Calibri" w:hAnsi="Calibri"/>
        </w:rPr>
        <w:t>career</w:t>
      </w:r>
      <w:r w:rsidRPr="00C067A5">
        <w:rPr>
          <w:rFonts w:ascii="Calibri" w:hAnsi="Calibri"/>
        </w:rPr>
        <w:t xml:space="preserve"> centers and affiliate sites, several </w:t>
      </w:r>
      <w:r w:rsidR="00A35FEC">
        <w:rPr>
          <w:rFonts w:ascii="Calibri" w:hAnsi="Calibri"/>
        </w:rPr>
        <w:t xml:space="preserve">local </w:t>
      </w:r>
      <w:r w:rsidRPr="00C067A5">
        <w:rPr>
          <w:rFonts w:ascii="Calibri" w:hAnsi="Calibri"/>
        </w:rPr>
        <w:t>workforce development boards deploy mobile centers to provide services to Florida</w:t>
      </w:r>
      <w:r w:rsidRPr="00B446E9">
        <w:rPr>
          <w:rFonts w:ascii="Calibri" w:hAnsi="Calibri"/>
        </w:rPr>
        <w:t>’</w:t>
      </w:r>
      <w:r w:rsidRPr="00C067A5">
        <w:rPr>
          <w:rFonts w:ascii="Calibri" w:hAnsi="Calibri"/>
        </w:rPr>
        <w:t>s businesses and workers to support special events and in areas where access to services may be challenging</w:t>
      </w:r>
      <w:r w:rsidR="005E7C49">
        <w:rPr>
          <w:rFonts w:ascii="Calibri" w:hAnsi="Calibri"/>
        </w:rPr>
        <w:t xml:space="preserve">. </w:t>
      </w:r>
      <w:r w:rsidRPr="00C067A5">
        <w:rPr>
          <w:rFonts w:ascii="Calibri" w:hAnsi="Calibri"/>
        </w:rPr>
        <w:t>Major emphasis is placed on providing services directly at employer sites and direct service delivery in rural communities</w:t>
      </w:r>
      <w:r w:rsidR="005E7C49">
        <w:rPr>
          <w:rFonts w:ascii="Calibri" w:hAnsi="Calibri"/>
        </w:rPr>
        <w:t xml:space="preserve">. </w:t>
      </w:r>
      <w:r w:rsidRPr="00C067A5">
        <w:rPr>
          <w:rFonts w:ascii="Calibri" w:hAnsi="Calibri"/>
        </w:rPr>
        <w:t>Mobile centers are a cost-effective and customer-friendly service solution. Mobile centers play an integral role in providing services and assistance after hurricanes and other disaster events.</w:t>
      </w:r>
    </w:p>
    <w:p w14:paraId="41F9AF0F" w14:textId="77777777" w:rsidR="00BF3E1F" w:rsidRDefault="00BF3E1F" w:rsidP="00D63204">
      <w:pPr>
        <w:widowControl w:val="0"/>
        <w:spacing w:after="0" w:line="264" w:lineRule="exact"/>
        <w:ind w:left="107"/>
        <w:rPr>
          <w:rFonts w:ascii="Calibri" w:hAnsi="Calibri"/>
        </w:rPr>
      </w:pPr>
    </w:p>
    <w:p w14:paraId="19EE56C9" w14:textId="237F4925" w:rsidR="00EA7458" w:rsidRDefault="00BF3E1F" w:rsidP="00D63204">
      <w:pPr>
        <w:widowControl w:val="0"/>
        <w:spacing w:before="4" w:after="0" w:line="240" w:lineRule="auto"/>
        <w:ind w:left="107"/>
        <w:rPr>
          <w:rFonts w:ascii="Calibri" w:hAnsi="Calibri"/>
        </w:rPr>
      </w:pPr>
      <w:r w:rsidRPr="00C067A5">
        <w:rPr>
          <w:rFonts w:ascii="Calibri" w:hAnsi="Calibri"/>
        </w:rPr>
        <w:t xml:space="preserve">WIOA emphasizes the importance of serving the business customer. The CareerSource Florida network is a key resource for businesses seeking qualified workers and grants for customized training for new or existing employees. All 24 LWDBs have established dedicated business services teams </w:t>
      </w:r>
      <w:r w:rsidR="00357D14">
        <w:rPr>
          <w:rFonts w:ascii="Calibri" w:hAnsi="Calibri"/>
        </w:rPr>
        <w:t>who</w:t>
      </w:r>
      <w:r w:rsidRPr="00C067A5">
        <w:rPr>
          <w:rFonts w:ascii="Calibri" w:hAnsi="Calibri"/>
        </w:rPr>
        <w:t xml:space="preserve"> partner closely with Florida</w:t>
      </w:r>
      <w:r w:rsidRPr="00B446E9">
        <w:rPr>
          <w:rFonts w:ascii="Calibri" w:hAnsi="Calibri"/>
        </w:rPr>
        <w:t>’</w:t>
      </w:r>
      <w:r w:rsidRPr="00C067A5">
        <w:rPr>
          <w:rFonts w:ascii="Calibri" w:hAnsi="Calibri"/>
        </w:rPr>
        <w:t xml:space="preserve">s VR business relations teams. In several cases, designated career centers </w:t>
      </w:r>
      <w:r w:rsidR="00357D14">
        <w:rPr>
          <w:rFonts w:ascii="Calibri" w:hAnsi="Calibri"/>
        </w:rPr>
        <w:t>are</w:t>
      </w:r>
      <w:r w:rsidRPr="00C067A5">
        <w:rPr>
          <w:rFonts w:ascii="Calibri" w:hAnsi="Calibri"/>
        </w:rPr>
        <w:t xml:space="preserve"> in business districts to help local employers recruit,</w:t>
      </w:r>
      <w:r w:rsidRPr="009C27BC">
        <w:rPr>
          <w:rFonts w:ascii="Calibri" w:hAnsi="Calibri"/>
        </w:rPr>
        <w:t xml:space="preserve"> </w:t>
      </w:r>
      <w:r w:rsidRPr="00C067A5">
        <w:rPr>
          <w:rFonts w:ascii="Calibri" w:hAnsi="Calibri"/>
        </w:rPr>
        <w:t>train and retain workers.</w:t>
      </w:r>
    </w:p>
    <w:p w14:paraId="67842B64" w14:textId="08881310" w:rsidR="00EA7458" w:rsidRPr="00EA7458" w:rsidRDefault="00DB7914" w:rsidP="00D63204">
      <w:pPr>
        <w:widowControl w:val="0"/>
        <w:spacing w:before="4" w:after="0" w:line="240" w:lineRule="auto"/>
        <w:ind w:left="107"/>
        <w:rPr>
          <w:rFonts w:ascii="Calibri" w:hAnsi="Calibri"/>
        </w:rPr>
      </w:pPr>
      <w:r>
        <w:rPr>
          <w:rFonts w:ascii="Calibri" w:hAnsi="Calibri" w:cs="Calibri"/>
          <w:sz w:val="14"/>
          <w:szCs w:val="14"/>
        </w:rPr>
        <w:br/>
      </w:r>
      <w:r w:rsidR="00EA7458" w:rsidRPr="00EA7458">
        <w:rPr>
          <w:rFonts w:ascii="Calibri" w:hAnsi="Calibri"/>
          <w:b/>
          <w:bCs/>
          <w:color w:val="231F20"/>
          <w:w w:val="110"/>
        </w:rPr>
        <w:t>Communications</w:t>
      </w:r>
      <w:r w:rsidR="00EA7458" w:rsidRPr="00EA7458">
        <w:rPr>
          <w:rFonts w:ascii="Calibri" w:hAnsi="Calibri"/>
          <w:b/>
          <w:bCs/>
          <w:color w:val="231F20"/>
          <w:spacing w:val="-8"/>
          <w:w w:val="110"/>
        </w:rPr>
        <w:t xml:space="preserve"> </w:t>
      </w:r>
      <w:r w:rsidR="00EA7458" w:rsidRPr="00EA7458">
        <w:rPr>
          <w:rFonts w:ascii="Calibri" w:hAnsi="Calibri"/>
          <w:b/>
          <w:bCs/>
          <w:color w:val="231F20"/>
          <w:spacing w:val="-4"/>
          <w:w w:val="110"/>
        </w:rPr>
        <w:t>Tools</w:t>
      </w:r>
    </w:p>
    <w:p w14:paraId="3FE93025" w14:textId="16C76C4C" w:rsidR="00FD55EA" w:rsidRDefault="00605C36" w:rsidP="00D63204">
      <w:pPr>
        <w:widowControl w:val="0"/>
        <w:spacing w:before="4" w:after="0" w:line="240" w:lineRule="auto"/>
        <w:ind w:left="107"/>
        <w:rPr>
          <w:rFonts w:ascii="Calibri" w:hAnsi="Calibri"/>
        </w:rPr>
      </w:pPr>
      <w:r w:rsidRPr="00FD55EA">
        <w:rPr>
          <w:rFonts w:ascii="Calibri" w:hAnsi="Calibri"/>
        </w:rPr>
        <w:t xml:space="preserve">Digital </w:t>
      </w:r>
      <w:r w:rsidR="00EA7458" w:rsidRPr="00FD55EA">
        <w:rPr>
          <w:rFonts w:ascii="Calibri" w:hAnsi="Calibri"/>
        </w:rPr>
        <w:t xml:space="preserve">communication and social media are replacing traditional outreach tools and media as effective and efficient methods of educating and informing current and potential customers and partners. While still employing tactics such as print and radio </w:t>
      </w:r>
      <w:r w:rsidR="00E233AD" w:rsidRPr="00FD55EA">
        <w:rPr>
          <w:rFonts w:ascii="Calibri" w:hAnsi="Calibri"/>
        </w:rPr>
        <w:t>communications and outreach</w:t>
      </w:r>
      <w:r w:rsidR="00EA7458" w:rsidRPr="00FD55EA">
        <w:rPr>
          <w:rFonts w:ascii="Calibri" w:hAnsi="Calibri"/>
        </w:rPr>
        <w:t>, CareerSource Florida</w:t>
      </w:r>
      <w:r w:rsidR="00851ADD" w:rsidRPr="00FD55EA">
        <w:rPr>
          <w:rFonts w:ascii="Calibri" w:hAnsi="Calibri"/>
        </w:rPr>
        <w:t xml:space="preserve">’s strategic use of digital </w:t>
      </w:r>
      <w:r w:rsidR="00851ADD" w:rsidRPr="00FD55EA">
        <w:rPr>
          <w:rFonts w:ascii="Calibri" w:hAnsi="Calibri"/>
        </w:rPr>
        <w:lastRenderedPageBreak/>
        <w:t>outreach to raise awareness and use of business and career services among targeted audiences has grown significantly, in alignment with increasing use of digital resources among all customer populations.</w:t>
      </w:r>
    </w:p>
    <w:p w14:paraId="760BD5CE" w14:textId="5FBCC9D1" w:rsidR="00DB7914" w:rsidRDefault="00DB7914" w:rsidP="00D63204">
      <w:pPr>
        <w:widowControl w:val="0"/>
        <w:spacing w:before="4" w:after="0" w:line="240" w:lineRule="auto"/>
        <w:ind w:left="107"/>
        <w:rPr>
          <w:rFonts w:ascii="Calibri" w:hAnsi="Calibri"/>
          <w:color w:val="231F20"/>
          <w:w w:val="105"/>
        </w:rPr>
      </w:pPr>
      <w:r>
        <w:rPr>
          <w:rFonts w:ascii="Calibri" w:hAnsi="Calibri"/>
          <w:color w:val="231F20"/>
          <w:w w:val="105"/>
        </w:rPr>
        <w:br/>
      </w:r>
      <w:r w:rsidR="00EA7458" w:rsidRPr="00EA7458">
        <w:rPr>
          <w:rFonts w:ascii="Calibri" w:hAnsi="Calibri"/>
          <w:color w:val="231F20"/>
          <w:w w:val="105"/>
        </w:rPr>
        <w:t>The</w:t>
      </w:r>
      <w:r w:rsidR="00EA7458" w:rsidRPr="00EA7458">
        <w:rPr>
          <w:rFonts w:ascii="Calibri" w:hAnsi="Calibri"/>
          <w:color w:val="231F20"/>
          <w:spacing w:val="20"/>
          <w:w w:val="105"/>
        </w:rPr>
        <w:t xml:space="preserve"> </w:t>
      </w:r>
      <w:r w:rsidR="00EA7458" w:rsidRPr="00EA7458">
        <w:rPr>
          <w:rFonts w:ascii="Calibri" w:hAnsi="Calibri"/>
          <w:color w:val="231F20"/>
          <w:w w:val="105"/>
        </w:rPr>
        <w:t>CareerSource</w:t>
      </w:r>
      <w:r w:rsidR="00EA7458" w:rsidRPr="00EA7458">
        <w:rPr>
          <w:rFonts w:ascii="Calibri" w:hAnsi="Calibri"/>
          <w:color w:val="231F20"/>
          <w:spacing w:val="20"/>
          <w:w w:val="105"/>
        </w:rPr>
        <w:t xml:space="preserve"> </w:t>
      </w:r>
      <w:r w:rsidR="00EA7458" w:rsidRPr="00EA7458">
        <w:rPr>
          <w:rFonts w:ascii="Calibri" w:hAnsi="Calibri"/>
          <w:color w:val="231F20"/>
          <w:w w:val="105"/>
        </w:rPr>
        <w:t>Florida</w:t>
      </w:r>
      <w:r w:rsidR="00EA7458" w:rsidRPr="00EA7458">
        <w:rPr>
          <w:rFonts w:ascii="Calibri" w:hAnsi="Calibri"/>
          <w:color w:val="231F20"/>
          <w:spacing w:val="20"/>
          <w:w w:val="105"/>
        </w:rPr>
        <w:t xml:space="preserve"> </w:t>
      </w:r>
      <w:r w:rsidR="00EA7458" w:rsidRPr="00EA7458">
        <w:rPr>
          <w:rFonts w:ascii="Calibri" w:hAnsi="Calibri"/>
          <w:color w:val="231F20"/>
          <w:w w:val="105"/>
        </w:rPr>
        <w:t>website</w:t>
      </w:r>
      <w:r w:rsidR="00EA7458" w:rsidRPr="00EA7458">
        <w:rPr>
          <w:rFonts w:ascii="Calibri" w:hAnsi="Calibri"/>
          <w:color w:val="231F20"/>
          <w:spacing w:val="20"/>
          <w:w w:val="105"/>
        </w:rPr>
        <w:t xml:space="preserve"> </w:t>
      </w:r>
      <w:r w:rsidR="00EA7458" w:rsidRPr="00EA7458">
        <w:rPr>
          <w:rFonts w:ascii="Calibri" w:hAnsi="Calibri"/>
          <w:color w:val="231F20"/>
          <w:w w:val="105"/>
        </w:rPr>
        <w:t>serves</w:t>
      </w:r>
      <w:r w:rsidR="00EA7458" w:rsidRPr="00EA7458">
        <w:rPr>
          <w:rFonts w:ascii="Calibri" w:hAnsi="Calibri"/>
          <w:color w:val="231F20"/>
          <w:spacing w:val="20"/>
          <w:w w:val="105"/>
        </w:rPr>
        <w:t xml:space="preserve"> </w:t>
      </w:r>
      <w:r w:rsidR="00EA7458" w:rsidRPr="00EA7458">
        <w:rPr>
          <w:rFonts w:ascii="Calibri" w:hAnsi="Calibri"/>
          <w:color w:val="231F20"/>
          <w:w w:val="105"/>
        </w:rPr>
        <w:t>as</w:t>
      </w:r>
      <w:r w:rsidR="00EA7458" w:rsidRPr="00EA7458">
        <w:rPr>
          <w:rFonts w:ascii="Calibri" w:hAnsi="Calibri"/>
          <w:color w:val="231F20"/>
          <w:spacing w:val="20"/>
          <w:w w:val="105"/>
        </w:rPr>
        <w:t xml:space="preserve"> </w:t>
      </w:r>
      <w:r w:rsidR="00EA7458" w:rsidRPr="00EA7458">
        <w:rPr>
          <w:rFonts w:ascii="Calibri" w:hAnsi="Calibri"/>
          <w:color w:val="231F20"/>
          <w:w w:val="105"/>
        </w:rPr>
        <w:t>an</w:t>
      </w:r>
      <w:r w:rsidR="00EA7458" w:rsidRPr="00EA7458">
        <w:rPr>
          <w:rFonts w:ascii="Calibri" w:hAnsi="Calibri"/>
          <w:color w:val="231F20"/>
          <w:spacing w:val="20"/>
          <w:w w:val="105"/>
        </w:rPr>
        <w:t xml:space="preserve"> </w:t>
      </w:r>
      <w:r w:rsidR="00EA7458" w:rsidRPr="00EA7458">
        <w:rPr>
          <w:rFonts w:ascii="Calibri" w:hAnsi="Calibri"/>
          <w:color w:val="231F20"/>
          <w:w w:val="105"/>
        </w:rPr>
        <w:t>important</w:t>
      </w:r>
      <w:r w:rsidR="00EA7458" w:rsidRPr="00EA7458">
        <w:rPr>
          <w:rFonts w:ascii="Calibri" w:hAnsi="Calibri"/>
          <w:color w:val="231F20"/>
          <w:spacing w:val="20"/>
          <w:w w:val="105"/>
        </w:rPr>
        <w:t xml:space="preserve"> </w:t>
      </w:r>
      <w:r w:rsidR="00EA7458" w:rsidRPr="00EA7458">
        <w:rPr>
          <w:rFonts w:ascii="Calibri" w:hAnsi="Calibri"/>
          <w:color w:val="231F20"/>
          <w:w w:val="105"/>
        </w:rPr>
        <w:t>communications</w:t>
      </w:r>
      <w:r w:rsidR="00EA7458" w:rsidRPr="00EA7458">
        <w:rPr>
          <w:rFonts w:ascii="Calibri" w:hAnsi="Calibri"/>
          <w:color w:val="231F20"/>
          <w:spacing w:val="20"/>
          <w:w w:val="105"/>
        </w:rPr>
        <w:t xml:space="preserve"> </w:t>
      </w:r>
      <w:r w:rsidR="00EA7458" w:rsidRPr="00EA7458">
        <w:rPr>
          <w:rFonts w:ascii="Calibri" w:hAnsi="Calibri"/>
          <w:color w:val="231F20"/>
          <w:w w:val="105"/>
        </w:rPr>
        <w:t>tool</w:t>
      </w:r>
      <w:r w:rsidR="00EA7458" w:rsidRPr="00EA7458">
        <w:rPr>
          <w:rFonts w:ascii="Calibri" w:hAnsi="Calibri"/>
          <w:color w:val="231F20"/>
          <w:spacing w:val="20"/>
          <w:w w:val="105"/>
        </w:rPr>
        <w:t xml:space="preserve"> </w:t>
      </w:r>
      <w:r w:rsidR="00EA7458" w:rsidRPr="00EA7458">
        <w:rPr>
          <w:rFonts w:ascii="Calibri" w:hAnsi="Calibri"/>
          <w:color w:val="231F20"/>
          <w:w w:val="105"/>
        </w:rPr>
        <w:t>for</w:t>
      </w:r>
      <w:r w:rsidR="00EA7458" w:rsidRPr="00EA7458">
        <w:rPr>
          <w:rFonts w:ascii="Calibri" w:hAnsi="Calibri"/>
          <w:color w:val="231F20"/>
          <w:spacing w:val="20"/>
          <w:w w:val="105"/>
        </w:rPr>
        <w:t xml:space="preserve"> </w:t>
      </w:r>
      <w:r w:rsidR="00EA7458" w:rsidRPr="00EA7458">
        <w:rPr>
          <w:rFonts w:ascii="Calibri" w:hAnsi="Calibri"/>
          <w:color w:val="231F20"/>
          <w:w w:val="105"/>
        </w:rPr>
        <w:t>accessing</w:t>
      </w:r>
      <w:r w:rsidR="00EA7458" w:rsidRPr="00EA7458">
        <w:rPr>
          <w:rFonts w:ascii="Calibri" w:hAnsi="Calibri"/>
          <w:color w:val="231F20"/>
          <w:spacing w:val="20"/>
          <w:w w:val="105"/>
        </w:rPr>
        <w:t xml:space="preserve"> </w:t>
      </w:r>
      <w:r w:rsidR="00EA7458" w:rsidRPr="00EA7458">
        <w:rPr>
          <w:rFonts w:ascii="Calibri" w:hAnsi="Calibri"/>
          <w:color w:val="231F20"/>
          <w:w w:val="105"/>
        </w:rPr>
        <w:t>information</w:t>
      </w:r>
      <w:r w:rsidR="00EA7458" w:rsidRPr="00EA7458">
        <w:rPr>
          <w:rFonts w:ascii="Calibri" w:hAnsi="Calibri"/>
          <w:color w:val="231F20"/>
          <w:w w:val="102"/>
        </w:rPr>
        <w:t xml:space="preserve"> </w:t>
      </w:r>
      <w:r w:rsidR="00EA7458" w:rsidRPr="00EA7458">
        <w:rPr>
          <w:rFonts w:ascii="Calibri" w:hAnsi="Calibri"/>
          <w:color w:val="231F20"/>
          <w:w w:val="105"/>
        </w:rPr>
        <w:t>about</w:t>
      </w:r>
      <w:r w:rsidR="00EA7458" w:rsidRPr="00EA7458">
        <w:rPr>
          <w:rFonts w:ascii="Calibri" w:hAnsi="Calibri"/>
          <w:color w:val="231F20"/>
          <w:spacing w:val="11"/>
          <w:w w:val="105"/>
        </w:rPr>
        <w:t xml:space="preserve"> </w:t>
      </w:r>
      <w:r w:rsidR="00EA7458" w:rsidRPr="00EA7458">
        <w:rPr>
          <w:rFonts w:ascii="Calibri" w:hAnsi="Calibri"/>
          <w:color w:val="231F20"/>
          <w:w w:val="105"/>
        </w:rPr>
        <w:t>statewide</w:t>
      </w:r>
      <w:r w:rsidR="00EA7458" w:rsidRPr="00EA7458">
        <w:rPr>
          <w:rFonts w:ascii="Calibri" w:hAnsi="Calibri"/>
          <w:color w:val="231F20"/>
          <w:spacing w:val="11"/>
          <w:w w:val="105"/>
        </w:rPr>
        <w:t xml:space="preserve"> </w:t>
      </w:r>
      <w:r w:rsidR="00EA7458" w:rsidRPr="00EA7458">
        <w:rPr>
          <w:rFonts w:ascii="Calibri" w:hAnsi="Calibri"/>
          <w:color w:val="231F20"/>
          <w:w w:val="105"/>
        </w:rPr>
        <w:t>initiatives,</w:t>
      </w:r>
      <w:r w:rsidR="00EA7458" w:rsidRPr="00EA7458">
        <w:rPr>
          <w:rFonts w:ascii="Calibri" w:hAnsi="Calibri"/>
          <w:color w:val="231F20"/>
          <w:spacing w:val="11"/>
          <w:w w:val="105"/>
        </w:rPr>
        <w:t xml:space="preserve"> </w:t>
      </w:r>
      <w:r w:rsidR="00EA7458" w:rsidRPr="00EA7458">
        <w:rPr>
          <w:rFonts w:ascii="Calibri" w:hAnsi="Calibri"/>
          <w:color w:val="231F20"/>
          <w:w w:val="105"/>
        </w:rPr>
        <w:t>the</w:t>
      </w:r>
      <w:r w:rsidR="00EA7458" w:rsidRPr="00EA7458">
        <w:rPr>
          <w:rFonts w:ascii="Calibri" w:hAnsi="Calibri"/>
          <w:color w:val="231F20"/>
          <w:spacing w:val="11"/>
          <w:w w:val="105"/>
        </w:rPr>
        <w:t xml:space="preserve"> </w:t>
      </w:r>
      <w:r w:rsidR="00EA7458" w:rsidRPr="00EA7458">
        <w:rPr>
          <w:rFonts w:ascii="Calibri" w:hAnsi="Calibri"/>
          <w:color w:val="231F20"/>
          <w:w w:val="105"/>
        </w:rPr>
        <w:t>latest</w:t>
      </w:r>
      <w:r w:rsidR="00EA7458" w:rsidRPr="00EA7458">
        <w:rPr>
          <w:rFonts w:ascii="Calibri" w:hAnsi="Calibri"/>
          <w:color w:val="231F20"/>
          <w:spacing w:val="11"/>
          <w:w w:val="105"/>
        </w:rPr>
        <w:t xml:space="preserve"> </w:t>
      </w:r>
      <w:r w:rsidR="00851ADD">
        <w:rPr>
          <w:rFonts w:ascii="Calibri" w:hAnsi="Calibri"/>
          <w:color w:val="231F20"/>
          <w:spacing w:val="11"/>
          <w:w w:val="105"/>
        </w:rPr>
        <w:t xml:space="preserve">workforce development and economic </w:t>
      </w:r>
      <w:r w:rsidR="00EA7458" w:rsidRPr="00EA7458">
        <w:rPr>
          <w:rFonts w:ascii="Calibri" w:hAnsi="Calibri"/>
          <w:color w:val="231F20"/>
          <w:w w:val="105"/>
        </w:rPr>
        <w:t>news,</w:t>
      </w:r>
      <w:r w:rsidR="00EA7458" w:rsidRPr="00EA7458">
        <w:rPr>
          <w:rFonts w:ascii="Calibri" w:hAnsi="Calibri"/>
          <w:color w:val="231F20"/>
          <w:spacing w:val="11"/>
          <w:w w:val="105"/>
        </w:rPr>
        <w:t xml:space="preserve"> </w:t>
      </w:r>
      <w:r w:rsidR="00EA7458" w:rsidRPr="00EA7458">
        <w:rPr>
          <w:rFonts w:ascii="Calibri" w:hAnsi="Calibri"/>
          <w:color w:val="231F20"/>
          <w:w w:val="105"/>
        </w:rPr>
        <w:t>policy</w:t>
      </w:r>
      <w:r w:rsidR="00EA7458" w:rsidRPr="00EA7458">
        <w:rPr>
          <w:rFonts w:ascii="Calibri" w:hAnsi="Calibri"/>
          <w:color w:val="231F20"/>
          <w:spacing w:val="11"/>
          <w:w w:val="105"/>
        </w:rPr>
        <w:t xml:space="preserve"> </w:t>
      </w:r>
      <w:r w:rsidR="00EA7458" w:rsidRPr="00EA7458">
        <w:rPr>
          <w:rFonts w:ascii="Calibri" w:hAnsi="Calibri"/>
          <w:color w:val="231F20"/>
          <w:w w:val="105"/>
        </w:rPr>
        <w:t>updates</w:t>
      </w:r>
      <w:r w:rsidR="00EA7458" w:rsidRPr="00EA7458">
        <w:rPr>
          <w:rFonts w:ascii="Calibri" w:hAnsi="Calibri"/>
          <w:color w:val="231F20"/>
          <w:spacing w:val="11"/>
          <w:w w:val="105"/>
        </w:rPr>
        <w:t xml:space="preserve"> </w:t>
      </w:r>
      <w:r w:rsidR="00EA7458" w:rsidRPr="00EA7458">
        <w:rPr>
          <w:rFonts w:ascii="Calibri" w:hAnsi="Calibri"/>
          <w:color w:val="231F20"/>
          <w:w w:val="105"/>
        </w:rPr>
        <w:t>and</w:t>
      </w:r>
      <w:r w:rsidR="00EA7458" w:rsidRPr="00EA7458">
        <w:rPr>
          <w:rFonts w:ascii="Calibri" w:hAnsi="Calibri"/>
          <w:color w:val="231F20"/>
          <w:spacing w:val="11"/>
          <w:w w:val="105"/>
        </w:rPr>
        <w:t xml:space="preserve"> </w:t>
      </w:r>
      <w:r w:rsidR="00EA7458" w:rsidRPr="00EA7458">
        <w:rPr>
          <w:rFonts w:ascii="Calibri" w:hAnsi="Calibri"/>
          <w:color w:val="231F20"/>
          <w:w w:val="105"/>
        </w:rPr>
        <w:t>board</w:t>
      </w:r>
      <w:r w:rsidR="00EA7458" w:rsidRPr="00EA7458">
        <w:rPr>
          <w:rFonts w:ascii="Calibri" w:hAnsi="Calibri"/>
          <w:color w:val="231F20"/>
          <w:spacing w:val="11"/>
          <w:w w:val="105"/>
        </w:rPr>
        <w:t xml:space="preserve"> </w:t>
      </w:r>
      <w:r w:rsidR="00EA7458" w:rsidRPr="00EA7458">
        <w:rPr>
          <w:rFonts w:ascii="Calibri" w:hAnsi="Calibri"/>
          <w:color w:val="231F20"/>
          <w:w w:val="105"/>
        </w:rPr>
        <w:t>actions,</w:t>
      </w:r>
      <w:r w:rsidR="00EA7458" w:rsidRPr="00EA7458">
        <w:rPr>
          <w:rFonts w:ascii="Calibri" w:hAnsi="Calibri"/>
          <w:color w:val="231F20"/>
          <w:spacing w:val="11"/>
          <w:w w:val="105"/>
        </w:rPr>
        <w:t xml:space="preserve"> </w:t>
      </w:r>
      <w:r w:rsidR="00EA7458" w:rsidRPr="00EA7458">
        <w:rPr>
          <w:rFonts w:ascii="Calibri" w:hAnsi="Calibri"/>
          <w:color w:val="231F20"/>
          <w:w w:val="105"/>
        </w:rPr>
        <w:t>state</w:t>
      </w:r>
      <w:r w:rsidR="00EA7458" w:rsidRPr="00EA7458">
        <w:rPr>
          <w:rFonts w:ascii="Calibri" w:hAnsi="Calibri"/>
          <w:color w:val="231F20"/>
          <w:spacing w:val="11"/>
          <w:w w:val="105"/>
        </w:rPr>
        <w:t xml:space="preserve"> </w:t>
      </w:r>
      <w:r w:rsidR="00EA7458" w:rsidRPr="00EA7458">
        <w:rPr>
          <w:rFonts w:ascii="Calibri" w:hAnsi="Calibri"/>
          <w:color w:val="231F20"/>
          <w:w w:val="105"/>
        </w:rPr>
        <w:t>board</w:t>
      </w:r>
      <w:r w:rsidR="00EA7458" w:rsidRPr="00EA7458">
        <w:rPr>
          <w:rFonts w:ascii="Calibri" w:hAnsi="Calibri"/>
          <w:color w:val="231F20"/>
          <w:spacing w:val="11"/>
          <w:w w:val="105"/>
        </w:rPr>
        <w:t xml:space="preserve"> </w:t>
      </w:r>
      <w:r w:rsidR="00EA7458" w:rsidRPr="00EA7458">
        <w:rPr>
          <w:rFonts w:ascii="Calibri" w:hAnsi="Calibri"/>
          <w:color w:val="231F20"/>
          <w:w w:val="105"/>
        </w:rPr>
        <w:t>meetings</w:t>
      </w:r>
      <w:r w:rsidR="00EA7458" w:rsidRPr="00EA7458">
        <w:rPr>
          <w:rFonts w:ascii="Calibri" w:hAnsi="Calibri"/>
          <w:color w:val="231F20"/>
          <w:spacing w:val="11"/>
          <w:w w:val="105"/>
        </w:rPr>
        <w:t xml:space="preserve"> </w:t>
      </w:r>
      <w:r w:rsidR="00EA7458" w:rsidRPr="00EA7458">
        <w:rPr>
          <w:rFonts w:ascii="Calibri" w:hAnsi="Calibri"/>
          <w:color w:val="231F20"/>
          <w:w w:val="105"/>
        </w:rPr>
        <w:t>and</w:t>
      </w:r>
      <w:r w:rsidR="00EA7458" w:rsidRPr="00EA7458">
        <w:rPr>
          <w:rFonts w:ascii="Calibri" w:hAnsi="Calibri"/>
          <w:color w:val="231F20"/>
          <w:spacing w:val="-37"/>
          <w:w w:val="105"/>
        </w:rPr>
        <w:t xml:space="preserve"> </w:t>
      </w:r>
      <w:r w:rsidR="00EA7458" w:rsidRPr="00EA7458">
        <w:rPr>
          <w:rFonts w:ascii="Calibri" w:hAnsi="Calibri"/>
          <w:color w:val="231F20"/>
          <w:w w:val="105"/>
        </w:rPr>
        <w:t xml:space="preserve">workforce system </w:t>
      </w:r>
      <w:r w:rsidR="00605C36">
        <w:rPr>
          <w:rFonts w:ascii="Calibri" w:hAnsi="Calibri"/>
          <w:color w:val="231F20"/>
          <w:w w:val="105"/>
        </w:rPr>
        <w:t>accomplishments</w:t>
      </w:r>
      <w:r w:rsidR="00EA7458" w:rsidRPr="00EA7458">
        <w:rPr>
          <w:rFonts w:ascii="Calibri" w:hAnsi="Calibri"/>
          <w:color w:val="231F20"/>
          <w:w w:val="105"/>
        </w:rPr>
        <w:t xml:space="preserve">. </w:t>
      </w:r>
    </w:p>
    <w:p w14:paraId="5DF8FF80" w14:textId="3B8015DD" w:rsidR="00DF0574" w:rsidRPr="00DF0574" w:rsidRDefault="00EA7458" w:rsidP="00D63204">
      <w:pPr>
        <w:widowControl w:val="0"/>
        <w:spacing w:before="195" w:after="0" w:line="264" w:lineRule="exact"/>
        <w:ind w:left="107"/>
        <w:rPr>
          <w:rFonts w:ascii="Calibri" w:hAnsi="Calibri"/>
          <w:color w:val="231F20"/>
          <w:w w:val="105"/>
        </w:rPr>
      </w:pPr>
      <w:r w:rsidRPr="00EA7458">
        <w:rPr>
          <w:rFonts w:ascii="Calibri" w:hAnsi="Calibri"/>
          <w:color w:val="231F20"/>
          <w:w w:val="105"/>
        </w:rPr>
        <w:t xml:space="preserve">CareerSource Florida </w:t>
      </w:r>
      <w:r w:rsidR="00415828">
        <w:rPr>
          <w:rFonts w:ascii="Calibri" w:hAnsi="Calibri"/>
          <w:color w:val="231F20"/>
          <w:w w:val="105"/>
        </w:rPr>
        <w:t>also</w:t>
      </w:r>
      <w:r w:rsidRPr="00EA7458">
        <w:rPr>
          <w:rFonts w:ascii="Calibri" w:hAnsi="Calibri"/>
          <w:color w:val="231F20"/>
          <w:w w:val="105"/>
        </w:rPr>
        <w:t xml:space="preserve"> employs integrated communications tactics</w:t>
      </w:r>
      <w:r w:rsidRPr="00F008D7">
        <w:rPr>
          <w:rFonts w:ascii="Calibri" w:hAnsi="Calibri"/>
          <w:color w:val="231F20"/>
          <w:w w:val="105"/>
        </w:rPr>
        <w:t xml:space="preserve"> </w:t>
      </w:r>
      <w:r w:rsidRPr="00EA7458">
        <w:rPr>
          <w:rFonts w:ascii="Calibri" w:hAnsi="Calibri"/>
          <w:color w:val="231F20"/>
          <w:w w:val="105"/>
        </w:rPr>
        <w:t>including social</w:t>
      </w:r>
      <w:r w:rsidR="00380C3A">
        <w:rPr>
          <w:rFonts w:ascii="Calibri" w:hAnsi="Calibri"/>
          <w:color w:val="231F20"/>
          <w:w w:val="105"/>
        </w:rPr>
        <w:t xml:space="preserve">, </w:t>
      </w:r>
      <w:r w:rsidRPr="00EA7458">
        <w:rPr>
          <w:rFonts w:ascii="Calibri" w:hAnsi="Calibri"/>
          <w:color w:val="231F20"/>
          <w:w w:val="105"/>
        </w:rPr>
        <w:t>paid and earned media to inform Florida’s job seekers, workers</w:t>
      </w:r>
      <w:r w:rsidRPr="00F008D7">
        <w:rPr>
          <w:rFonts w:ascii="Calibri" w:hAnsi="Calibri"/>
          <w:color w:val="231F20"/>
          <w:w w:val="105"/>
        </w:rPr>
        <w:t xml:space="preserve"> </w:t>
      </w:r>
      <w:r w:rsidRPr="00EA7458">
        <w:rPr>
          <w:rFonts w:ascii="Calibri" w:hAnsi="Calibri"/>
          <w:color w:val="231F20"/>
          <w:w w:val="105"/>
        </w:rPr>
        <w:t>and</w:t>
      </w:r>
      <w:r w:rsidRPr="00F008D7">
        <w:rPr>
          <w:rFonts w:ascii="Calibri" w:hAnsi="Calibri"/>
          <w:color w:val="231F20"/>
          <w:w w:val="105"/>
        </w:rPr>
        <w:t xml:space="preserve"> </w:t>
      </w:r>
      <w:r w:rsidRPr="00EA7458">
        <w:rPr>
          <w:rFonts w:ascii="Calibri" w:hAnsi="Calibri"/>
          <w:color w:val="231F20"/>
          <w:w w:val="105"/>
        </w:rPr>
        <w:t>businesses</w:t>
      </w:r>
      <w:r w:rsidRPr="00F008D7">
        <w:rPr>
          <w:rFonts w:ascii="Calibri" w:hAnsi="Calibri"/>
          <w:color w:val="231F20"/>
          <w:w w:val="105"/>
        </w:rPr>
        <w:t xml:space="preserve"> </w:t>
      </w:r>
      <w:r w:rsidRPr="00EA7458">
        <w:rPr>
          <w:rFonts w:ascii="Calibri" w:hAnsi="Calibri"/>
          <w:color w:val="231F20"/>
          <w:w w:val="105"/>
        </w:rPr>
        <w:t>as</w:t>
      </w:r>
      <w:r w:rsidRPr="00F008D7">
        <w:rPr>
          <w:rFonts w:ascii="Calibri" w:hAnsi="Calibri"/>
          <w:color w:val="231F20"/>
          <w:w w:val="105"/>
        </w:rPr>
        <w:t xml:space="preserve"> </w:t>
      </w:r>
      <w:r w:rsidRPr="00EA7458">
        <w:rPr>
          <w:rFonts w:ascii="Calibri" w:hAnsi="Calibri"/>
          <w:color w:val="231F20"/>
          <w:w w:val="105"/>
        </w:rPr>
        <w:t>well</w:t>
      </w:r>
      <w:r w:rsidRPr="00F008D7">
        <w:rPr>
          <w:rFonts w:ascii="Calibri" w:hAnsi="Calibri"/>
          <w:color w:val="231F20"/>
          <w:w w:val="105"/>
        </w:rPr>
        <w:t xml:space="preserve"> </w:t>
      </w:r>
      <w:r w:rsidRPr="00EA7458">
        <w:rPr>
          <w:rFonts w:ascii="Calibri" w:hAnsi="Calibri"/>
          <w:color w:val="231F20"/>
          <w:w w:val="105"/>
        </w:rPr>
        <w:t>as</w:t>
      </w:r>
      <w:r w:rsidRPr="00F008D7">
        <w:rPr>
          <w:rFonts w:ascii="Calibri" w:hAnsi="Calibri"/>
          <w:color w:val="231F20"/>
          <w:w w:val="105"/>
        </w:rPr>
        <w:t xml:space="preserve"> </w:t>
      </w:r>
      <w:r w:rsidRPr="00EA7458">
        <w:rPr>
          <w:rFonts w:ascii="Calibri" w:hAnsi="Calibri"/>
          <w:color w:val="231F20"/>
          <w:w w:val="105"/>
        </w:rPr>
        <w:t>board</w:t>
      </w:r>
      <w:r w:rsidRPr="00F008D7">
        <w:rPr>
          <w:rFonts w:ascii="Calibri" w:hAnsi="Calibri"/>
          <w:color w:val="231F20"/>
          <w:w w:val="105"/>
        </w:rPr>
        <w:t xml:space="preserve"> </w:t>
      </w:r>
      <w:r w:rsidRPr="00EA7458">
        <w:rPr>
          <w:rFonts w:ascii="Calibri" w:hAnsi="Calibri"/>
          <w:color w:val="231F20"/>
          <w:w w:val="105"/>
        </w:rPr>
        <w:t>members,</w:t>
      </w:r>
      <w:r w:rsidRPr="00F008D7">
        <w:rPr>
          <w:rFonts w:ascii="Calibri" w:hAnsi="Calibri"/>
          <w:color w:val="231F20"/>
          <w:w w:val="105"/>
        </w:rPr>
        <w:t xml:space="preserve"> </w:t>
      </w:r>
      <w:r w:rsidRPr="00EA7458">
        <w:rPr>
          <w:rFonts w:ascii="Calibri" w:hAnsi="Calibri"/>
          <w:color w:val="231F20"/>
          <w:w w:val="105"/>
        </w:rPr>
        <w:t>state</w:t>
      </w:r>
      <w:r w:rsidRPr="00F008D7">
        <w:rPr>
          <w:rFonts w:ascii="Calibri" w:hAnsi="Calibri"/>
          <w:color w:val="231F20"/>
          <w:w w:val="105"/>
        </w:rPr>
        <w:t xml:space="preserve"> </w:t>
      </w:r>
      <w:r w:rsidRPr="00EA7458">
        <w:rPr>
          <w:rFonts w:ascii="Calibri" w:hAnsi="Calibri"/>
          <w:color w:val="231F20"/>
          <w:w w:val="105"/>
        </w:rPr>
        <w:t>and</w:t>
      </w:r>
      <w:r w:rsidRPr="00F008D7">
        <w:rPr>
          <w:rFonts w:ascii="Calibri" w:hAnsi="Calibri"/>
          <w:color w:val="231F20"/>
          <w:w w:val="105"/>
        </w:rPr>
        <w:t xml:space="preserve"> </w:t>
      </w:r>
      <w:r w:rsidRPr="00EA7458">
        <w:rPr>
          <w:rFonts w:ascii="Calibri" w:hAnsi="Calibri"/>
          <w:color w:val="231F20"/>
          <w:w w:val="105"/>
        </w:rPr>
        <w:t>local</w:t>
      </w:r>
      <w:r w:rsidRPr="00F008D7">
        <w:rPr>
          <w:rFonts w:ascii="Calibri" w:hAnsi="Calibri"/>
          <w:color w:val="231F20"/>
          <w:w w:val="105"/>
        </w:rPr>
        <w:t xml:space="preserve"> </w:t>
      </w:r>
      <w:r w:rsidRPr="00EA7458">
        <w:rPr>
          <w:rFonts w:ascii="Calibri" w:hAnsi="Calibri"/>
          <w:color w:val="231F20"/>
          <w:w w:val="105"/>
        </w:rPr>
        <w:t>partners</w:t>
      </w:r>
      <w:r w:rsidRPr="00F008D7">
        <w:rPr>
          <w:rFonts w:ascii="Calibri" w:hAnsi="Calibri"/>
          <w:color w:val="231F20"/>
          <w:w w:val="105"/>
        </w:rPr>
        <w:t xml:space="preserve"> </w:t>
      </w:r>
      <w:r w:rsidRPr="00EA7458">
        <w:rPr>
          <w:rFonts w:ascii="Calibri" w:hAnsi="Calibri"/>
          <w:color w:val="231F20"/>
          <w:w w:val="105"/>
        </w:rPr>
        <w:t>and</w:t>
      </w:r>
      <w:r w:rsidRPr="00F008D7">
        <w:rPr>
          <w:rFonts w:ascii="Calibri" w:hAnsi="Calibri"/>
          <w:color w:val="231F20"/>
          <w:w w:val="105"/>
        </w:rPr>
        <w:t xml:space="preserve"> </w:t>
      </w:r>
      <w:r w:rsidRPr="00EA7458">
        <w:rPr>
          <w:rFonts w:ascii="Calibri" w:hAnsi="Calibri"/>
          <w:color w:val="231F20"/>
          <w:w w:val="105"/>
        </w:rPr>
        <w:t>various</w:t>
      </w:r>
      <w:r w:rsidRPr="00F008D7">
        <w:rPr>
          <w:rFonts w:ascii="Calibri" w:hAnsi="Calibri"/>
          <w:color w:val="231F20"/>
          <w:w w:val="105"/>
        </w:rPr>
        <w:t xml:space="preserve"> </w:t>
      </w:r>
      <w:r w:rsidRPr="00EA7458">
        <w:rPr>
          <w:rFonts w:ascii="Calibri" w:hAnsi="Calibri"/>
          <w:color w:val="231F20"/>
          <w:w w:val="105"/>
        </w:rPr>
        <w:t>stakeholders.</w:t>
      </w:r>
      <w:r w:rsidR="00605C36">
        <w:rPr>
          <w:rFonts w:ascii="Calibri" w:hAnsi="Calibri"/>
          <w:color w:val="231F20"/>
          <w:w w:val="105"/>
        </w:rPr>
        <w:t xml:space="preserve"> </w:t>
      </w:r>
      <w:r w:rsidR="007A1C0D" w:rsidRPr="00DB7914">
        <w:rPr>
          <w:rFonts w:ascii="Calibri" w:hAnsi="Calibri"/>
          <w:color w:val="231F20"/>
          <w:w w:val="105"/>
        </w:rPr>
        <w:t xml:space="preserve">CareerSource Florida </w:t>
      </w:r>
      <w:r w:rsidR="00367D8A">
        <w:rPr>
          <w:rFonts w:ascii="Calibri" w:hAnsi="Calibri"/>
          <w:color w:val="231F20"/>
          <w:w w:val="105"/>
        </w:rPr>
        <w:t>also</w:t>
      </w:r>
      <w:r w:rsidR="007A1C0D" w:rsidRPr="00DB7914">
        <w:rPr>
          <w:rFonts w:ascii="Calibri" w:hAnsi="Calibri"/>
          <w:color w:val="231F20"/>
          <w:w w:val="105"/>
        </w:rPr>
        <w:t xml:space="preserve"> leverages social media, digital placements and traditional placements to support partners’ outreach, including to specific populations such as military veterans and people with disabilities served by partner organizations. </w:t>
      </w:r>
      <w:r w:rsidR="00564B28" w:rsidRPr="00EA7458">
        <w:rPr>
          <w:rFonts w:ascii="Calibri" w:hAnsi="Calibri"/>
          <w:color w:val="231F20"/>
          <w:w w:val="105"/>
        </w:rPr>
        <w:t xml:space="preserve">CareerSource Florida’s social media presence on platforms including Facebook and Twitter </w:t>
      </w:r>
      <w:r w:rsidR="00564B28">
        <w:rPr>
          <w:rFonts w:ascii="Calibri" w:hAnsi="Calibri"/>
          <w:color w:val="231F20"/>
          <w:w w:val="105"/>
        </w:rPr>
        <w:t xml:space="preserve">to elevate awareness and use of available services </w:t>
      </w:r>
      <w:r w:rsidR="00564B28" w:rsidRPr="00EA7458">
        <w:rPr>
          <w:rFonts w:ascii="Calibri" w:hAnsi="Calibri"/>
          <w:color w:val="231F20"/>
          <w:w w:val="105"/>
        </w:rPr>
        <w:t>has been</w:t>
      </w:r>
      <w:r w:rsidR="00564B28" w:rsidRPr="00F008D7">
        <w:rPr>
          <w:rFonts w:ascii="Calibri" w:hAnsi="Calibri"/>
          <w:color w:val="231F20"/>
          <w:w w:val="105"/>
        </w:rPr>
        <w:t xml:space="preserve"> </w:t>
      </w:r>
      <w:r w:rsidR="00564B28" w:rsidRPr="00EA7458">
        <w:rPr>
          <w:rFonts w:ascii="Calibri" w:hAnsi="Calibri"/>
          <w:color w:val="231F20"/>
          <w:w w:val="105"/>
        </w:rPr>
        <w:t>recognized</w:t>
      </w:r>
      <w:r w:rsidR="00564B28" w:rsidRPr="00F008D7">
        <w:rPr>
          <w:rFonts w:ascii="Calibri" w:hAnsi="Calibri"/>
          <w:color w:val="231F20"/>
          <w:w w:val="105"/>
        </w:rPr>
        <w:t xml:space="preserve"> </w:t>
      </w:r>
      <w:r w:rsidR="00564B28" w:rsidRPr="00EA7458">
        <w:rPr>
          <w:rFonts w:ascii="Calibri" w:hAnsi="Calibri"/>
          <w:color w:val="231F20"/>
          <w:w w:val="105"/>
        </w:rPr>
        <w:t>by</w:t>
      </w:r>
      <w:r w:rsidR="00564B28" w:rsidRPr="00F008D7">
        <w:rPr>
          <w:rFonts w:ascii="Calibri" w:hAnsi="Calibri"/>
          <w:color w:val="231F20"/>
          <w:w w:val="105"/>
        </w:rPr>
        <w:t xml:space="preserve"> </w:t>
      </w:r>
      <w:r w:rsidR="00564B28" w:rsidRPr="00EA7458">
        <w:rPr>
          <w:rFonts w:ascii="Calibri" w:hAnsi="Calibri"/>
          <w:color w:val="231F20"/>
          <w:w w:val="105"/>
        </w:rPr>
        <w:t>local</w:t>
      </w:r>
      <w:r w:rsidR="00564B28" w:rsidRPr="00F008D7">
        <w:rPr>
          <w:rFonts w:ascii="Calibri" w:hAnsi="Calibri"/>
          <w:color w:val="231F20"/>
          <w:w w:val="105"/>
        </w:rPr>
        <w:t xml:space="preserve"> </w:t>
      </w:r>
      <w:r w:rsidR="00564B28" w:rsidRPr="00EA7458">
        <w:rPr>
          <w:rFonts w:ascii="Calibri" w:hAnsi="Calibri"/>
          <w:color w:val="231F20"/>
          <w:w w:val="105"/>
        </w:rPr>
        <w:t>area</w:t>
      </w:r>
      <w:r w:rsidR="00564B28" w:rsidRPr="00F008D7">
        <w:rPr>
          <w:rFonts w:ascii="Calibri" w:hAnsi="Calibri"/>
          <w:color w:val="231F20"/>
          <w:w w:val="105"/>
        </w:rPr>
        <w:t xml:space="preserve"> </w:t>
      </w:r>
      <w:r w:rsidR="00564B28" w:rsidRPr="00EA7458">
        <w:rPr>
          <w:rFonts w:ascii="Calibri" w:hAnsi="Calibri"/>
          <w:color w:val="231F20"/>
          <w:w w:val="105"/>
        </w:rPr>
        <w:t>offices</w:t>
      </w:r>
      <w:r w:rsidR="00564B28" w:rsidRPr="00F008D7">
        <w:rPr>
          <w:rFonts w:ascii="Calibri" w:hAnsi="Calibri"/>
          <w:color w:val="231F20"/>
          <w:w w:val="105"/>
        </w:rPr>
        <w:t xml:space="preserve"> </w:t>
      </w:r>
      <w:r w:rsidR="00564B28" w:rsidRPr="00EA7458">
        <w:rPr>
          <w:rFonts w:ascii="Calibri" w:hAnsi="Calibri"/>
          <w:color w:val="231F20"/>
          <w:w w:val="105"/>
        </w:rPr>
        <w:t>of</w:t>
      </w:r>
      <w:r w:rsidR="00564B28" w:rsidRPr="00F008D7">
        <w:rPr>
          <w:rFonts w:ascii="Calibri" w:hAnsi="Calibri"/>
          <w:color w:val="231F20"/>
          <w:w w:val="105"/>
        </w:rPr>
        <w:t xml:space="preserve"> </w:t>
      </w:r>
      <w:r w:rsidR="00564B28" w:rsidRPr="00EA7458">
        <w:rPr>
          <w:rFonts w:ascii="Calibri" w:hAnsi="Calibri"/>
          <w:color w:val="231F20"/>
          <w:w w:val="105"/>
        </w:rPr>
        <w:t>the</w:t>
      </w:r>
      <w:r w:rsidR="00564B28" w:rsidRPr="00F008D7">
        <w:rPr>
          <w:rFonts w:ascii="Calibri" w:hAnsi="Calibri"/>
          <w:color w:val="231F20"/>
          <w:w w:val="105"/>
        </w:rPr>
        <w:t xml:space="preserve"> </w:t>
      </w:r>
      <w:r w:rsidR="00564B28" w:rsidRPr="00EA7458">
        <w:rPr>
          <w:rFonts w:ascii="Calibri" w:hAnsi="Calibri"/>
          <w:color w:val="231F20"/>
          <w:w w:val="105"/>
        </w:rPr>
        <w:t>United</w:t>
      </w:r>
      <w:r w:rsidR="00564B28" w:rsidRPr="00F008D7">
        <w:rPr>
          <w:rFonts w:ascii="Calibri" w:hAnsi="Calibri"/>
          <w:color w:val="231F20"/>
          <w:w w:val="105"/>
        </w:rPr>
        <w:t xml:space="preserve"> </w:t>
      </w:r>
      <w:r w:rsidR="00564B28" w:rsidRPr="00EA7458">
        <w:rPr>
          <w:rFonts w:ascii="Calibri" w:hAnsi="Calibri"/>
          <w:color w:val="231F20"/>
          <w:w w:val="105"/>
        </w:rPr>
        <w:t>States</w:t>
      </w:r>
      <w:r w:rsidR="00564B28" w:rsidRPr="00F008D7">
        <w:rPr>
          <w:rFonts w:ascii="Calibri" w:hAnsi="Calibri"/>
          <w:color w:val="231F20"/>
          <w:w w:val="105"/>
        </w:rPr>
        <w:t xml:space="preserve"> </w:t>
      </w:r>
      <w:r w:rsidR="00564B28" w:rsidRPr="00EA7458">
        <w:rPr>
          <w:rFonts w:ascii="Calibri" w:hAnsi="Calibri"/>
          <w:color w:val="231F20"/>
          <w:w w:val="105"/>
        </w:rPr>
        <w:t>Department</w:t>
      </w:r>
      <w:r w:rsidR="00564B28" w:rsidRPr="00F008D7">
        <w:rPr>
          <w:rFonts w:ascii="Calibri" w:hAnsi="Calibri"/>
          <w:color w:val="231F20"/>
          <w:w w:val="105"/>
        </w:rPr>
        <w:t xml:space="preserve"> </w:t>
      </w:r>
      <w:r w:rsidR="00564B28" w:rsidRPr="00EA7458">
        <w:rPr>
          <w:rFonts w:ascii="Calibri" w:hAnsi="Calibri"/>
          <w:color w:val="231F20"/>
          <w:w w:val="105"/>
        </w:rPr>
        <w:t>of</w:t>
      </w:r>
      <w:r w:rsidR="00564B28" w:rsidRPr="00F008D7">
        <w:rPr>
          <w:rFonts w:ascii="Calibri" w:hAnsi="Calibri"/>
          <w:color w:val="231F20"/>
          <w:w w:val="105"/>
        </w:rPr>
        <w:t xml:space="preserve"> </w:t>
      </w:r>
      <w:r w:rsidR="00564B28" w:rsidRPr="00EA7458">
        <w:rPr>
          <w:rFonts w:ascii="Calibri" w:hAnsi="Calibri"/>
          <w:color w:val="231F20"/>
          <w:w w:val="105"/>
        </w:rPr>
        <w:t>Labor</w:t>
      </w:r>
      <w:r w:rsidR="00564B28" w:rsidRPr="00F008D7">
        <w:rPr>
          <w:rFonts w:ascii="Calibri" w:hAnsi="Calibri"/>
          <w:color w:val="231F20"/>
          <w:w w:val="105"/>
        </w:rPr>
        <w:t xml:space="preserve"> </w:t>
      </w:r>
      <w:r w:rsidR="00564B28" w:rsidRPr="00EA7458">
        <w:rPr>
          <w:rFonts w:ascii="Calibri" w:hAnsi="Calibri"/>
          <w:color w:val="231F20"/>
          <w:w w:val="105"/>
        </w:rPr>
        <w:t>(USDOL)</w:t>
      </w:r>
      <w:r w:rsidR="00564B28" w:rsidRPr="00F008D7">
        <w:rPr>
          <w:rFonts w:ascii="Calibri" w:hAnsi="Calibri"/>
          <w:color w:val="231F20"/>
          <w:w w:val="105"/>
        </w:rPr>
        <w:t xml:space="preserve"> </w:t>
      </w:r>
      <w:r w:rsidR="00564B28" w:rsidRPr="00EA7458">
        <w:rPr>
          <w:rFonts w:ascii="Calibri" w:hAnsi="Calibri"/>
          <w:color w:val="231F20"/>
          <w:w w:val="105"/>
        </w:rPr>
        <w:t>Employment</w:t>
      </w:r>
      <w:r w:rsidR="00564B28" w:rsidRPr="00F008D7">
        <w:rPr>
          <w:rFonts w:ascii="Calibri" w:hAnsi="Calibri"/>
          <w:color w:val="231F20"/>
          <w:w w:val="105"/>
        </w:rPr>
        <w:t xml:space="preserve"> </w:t>
      </w:r>
      <w:r w:rsidR="00564B28" w:rsidRPr="00EA7458">
        <w:rPr>
          <w:rFonts w:ascii="Calibri" w:hAnsi="Calibri"/>
          <w:color w:val="231F20"/>
          <w:w w:val="105"/>
        </w:rPr>
        <w:t>&amp;</w:t>
      </w:r>
      <w:r w:rsidR="00564B28" w:rsidRPr="00F008D7">
        <w:rPr>
          <w:rFonts w:ascii="Calibri" w:hAnsi="Calibri"/>
          <w:color w:val="231F20"/>
          <w:w w:val="105"/>
        </w:rPr>
        <w:t xml:space="preserve"> Training </w:t>
      </w:r>
      <w:r w:rsidR="00564B28" w:rsidRPr="00EA7458">
        <w:rPr>
          <w:rFonts w:ascii="Calibri" w:hAnsi="Calibri"/>
          <w:color w:val="231F20"/>
          <w:w w:val="105"/>
        </w:rPr>
        <w:t>Administration as a best</w:t>
      </w:r>
      <w:r w:rsidR="00564B28" w:rsidRPr="00F008D7">
        <w:rPr>
          <w:rFonts w:ascii="Calibri" w:hAnsi="Calibri"/>
          <w:color w:val="231F20"/>
          <w:w w:val="105"/>
        </w:rPr>
        <w:t xml:space="preserve"> </w:t>
      </w:r>
      <w:r w:rsidR="00564B28" w:rsidRPr="00EA7458">
        <w:rPr>
          <w:rFonts w:ascii="Calibri" w:hAnsi="Calibri"/>
          <w:color w:val="231F20"/>
          <w:w w:val="105"/>
        </w:rPr>
        <w:t>practice.</w:t>
      </w:r>
    </w:p>
    <w:p w14:paraId="322AD365" w14:textId="77777777" w:rsidR="00042E91" w:rsidRPr="00E5375B" w:rsidRDefault="00042E91" w:rsidP="00D63204">
      <w:pPr>
        <w:widowControl w:val="0"/>
        <w:spacing w:before="195" w:after="0" w:line="264" w:lineRule="exact"/>
        <w:ind w:left="107"/>
        <w:rPr>
          <w:rFonts w:ascii="Calibri" w:hAnsi="Calibri"/>
          <w:color w:val="231F20"/>
          <w:w w:val="105"/>
        </w:rPr>
      </w:pPr>
      <w:r w:rsidRPr="00F008D7">
        <w:rPr>
          <w:rFonts w:ascii="Calibri" w:hAnsi="Calibri"/>
          <w:color w:val="231F20"/>
          <w:w w:val="105"/>
        </w:rPr>
        <w:t>Additional CareerSource Florida communication</w:t>
      </w:r>
      <w:r>
        <w:rPr>
          <w:rFonts w:ascii="Calibri" w:hAnsi="Calibri"/>
          <w:color w:val="231F20"/>
          <w:w w:val="105"/>
        </w:rPr>
        <w:t>s</w:t>
      </w:r>
      <w:r w:rsidRPr="00F008D7">
        <w:rPr>
          <w:rFonts w:ascii="Calibri" w:hAnsi="Calibri"/>
          <w:color w:val="231F20"/>
          <w:w w:val="105"/>
        </w:rPr>
        <w:t xml:space="preserve"> tools include timely and relevant updates on workforce</w:t>
      </w:r>
      <w:r w:rsidRPr="00EA7458">
        <w:rPr>
          <w:rFonts w:ascii="Calibri" w:hAnsi="Calibri"/>
          <w:color w:val="231F20"/>
          <w:w w:val="105"/>
        </w:rPr>
        <w:t xml:space="preserve"> </w:t>
      </w:r>
      <w:r w:rsidRPr="00F008D7">
        <w:rPr>
          <w:rFonts w:ascii="Calibri" w:hAnsi="Calibri"/>
          <w:color w:val="231F20"/>
          <w:w w:val="105"/>
        </w:rPr>
        <w:t>system issues and news, frequent electronic messages from the President</w:t>
      </w:r>
      <w:r>
        <w:rPr>
          <w:rFonts w:ascii="Calibri" w:hAnsi="Calibri"/>
          <w:color w:val="231F20"/>
          <w:w w:val="105"/>
        </w:rPr>
        <w:t xml:space="preserve"> and </w:t>
      </w:r>
      <w:r w:rsidRPr="00F008D7">
        <w:rPr>
          <w:rFonts w:ascii="Calibri" w:hAnsi="Calibri"/>
          <w:color w:val="231F20"/>
          <w:w w:val="105"/>
        </w:rPr>
        <w:t>CEO of CareerSource Florida to the CareerSource Florida Board, DEO and LWDBs; regularly scheduled and special legislative updates; and news releases and special alerts as necessary.</w:t>
      </w:r>
    </w:p>
    <w:p w14:paraId="5F88B0FE" w14:textId="77777777" w:rsidR="00380C3A" w:rsidRDefault="00380C3A" w:rsidP="00D63204">
      <w:pPr>
        <w:widowControl w:val="0"/>
        <w:spacing w:after="0" w:line="264" w:lineRule="exact"/>
        <w:ind w:left="107"/>
        <w:rPr>
          <w:rStyle w:val="CommentReference"/>
        </w:rPr>
      </w:pPr>
    </w:p>
    <w:p w14:paraId="2C12B8CD" w14:textId="1084A804" w:rsidR="00CD1C1C" w:rsidRPr="00CD1C1C" w:rsidRDefault="00CD1C1C" w:rsidP="00D63204">
      <w:pPr>
        <w:widowControl w:val="0"/>
        <w:spacing w:after="0" w:line="264" w:lineRule="exact"/>
        <w:ind w:left="107"/>
        <w:rPr>
          <w:rFonts w:ascii="Calibri" w:hAnsi="Calibri"/>
          <w:color w:val="231F20"/>
          <w:w w:val="105"/>
        </w:rPr>
      </w:pPr>
      <w:r w:rsidRPr="00CD1C1C">
        <w:rPr>
          <w:rFonts w:ascii="Calibri" w:hAnsi="Calibri"/>
          <w:color w:val="231F20"/>
          <w:w w:val="105"/>
        </w:rPr>
        <w:t>In Fiscal Year 2015-2016, CareerSource Florida launched its statewide Cooperative Outreach Program, an investment in brand</w:t>
      </w:r>
      <w:r w:rsidR="003A60BB">
        <w:rPr>
          <w:rFonts w:ascii="Calibri" w:hAnsi="Calibri"/>
          <w:color w:val="231F20"/>
          <w:w w:val="105"/>
        </w:rPr>
        <w:t xml:space="preserve"> </w:t>
      </w:r>
      <w:r w:rsidRPr="00CD1C1C">
        <w:rPr>
          <w:rFonts w:ascii="Calibri" w:hAnsi="Calibri"/>
          <w:color w:val="231F20"/>
          <w:w w:val="105"/>
        </w:rPr>
        <w:t>compliant, strategic outreach tools and tactics that could be leveraged by local workforce development boards to augment existing local outreach strategies. The initiative supports local boards’ efforts to reach job-seeking customers, reconnect with previously served customers</w:t>
      </w:r>
      <w:r w:rsidR="00D5537E">
        <w:rPr>
          <w:rFonts w:ascii="Calibri" w:hAnsi="Calibri"/>
          <w:color w:val="231F20"/>
          <w:w w:val="105"/>
        </w:rPr>
        <w:t xml:space="preserve"> and</w:t>
      </w:r>
      <w:r w:rsidRPr="00CD1C1C">
        <w:rPr>
          <w:rFonts w:ascii="Calibri" w:hAnsi="Calibri"/>
          <w:color w:val="231F20"/>
          <w:w w:val="105"/>
        </w:rPr>
        <w:t xml:space="preserve"> connect with new business.</w:t>
      </w:r>
      <w:r w:rsidRPr="00CD1C1C" w:rsidDel="00C3309C">
        <w:rPr>
          <w:rFonts w:ascii="Calibri" w:hAnsi="Calibri"/>
          <w:color w:val="231F20"/>
          <w:w w:val="105"/>
        </w:rPr>
        <w:t xml:space="preserve"> </w:t>
      </w:r>
    </w:p>
    <w:p w14:paraId="65484EF6" w14:textId="77777777" w:rsidR="00CD1C1C" w:rsidRPr="00CD1C1C" w:rsidRDefault="00CD1C1C" w:rsidP="00D63204">
      <w:pPr>
        <w:widowControl w:val="0"/>
        <w:spacing w:after="0" w:line="264" w:lineRule="exact"/>
        <w:ind w:left="107"/>
        <w:rPr>
          <w:rFonts w:ascii="Calibri" w:hAnsi="Calibri"/>
          <w:color w:val="231F20"/>
          <w:w w:val="105"/>
        </w:rPr>
      </w:pPr>
    </w:p>
    <w:p w14:paraId="220A1FF1" w14:textId="4C2D731A" w:rsidR="00CD1C1C" w:rsidRPr="00CD1C1C" w:rsidRDefault="00CD1C1C" w:rsidP="00D63204">
      <w:pPr>
        <w:widowControl w:val="0"/>
        <w:spacing w:after="0" w:line="264" w:lineRule="exact"/>
        <w:ind w:left="107"/>
        <w:rPr>
          <w:rFonts w:ascii="Calibri" w:hAnsi="Calibri"/>
          <w:color w:val="231F20"/>
          <w:w w:val="105"/>
        </w:rPr>
      </w:pPr>
      <w:r w:rsidRPr="00CD1C1C">
        <w:rPr>
          <w:rFonts w:ascii="Calibri" w:hAnsi="Calibri"/>
          <w:color w:val="231F20"/>
          <w:w w:val="105"/>
        </w:rPr>
        <w:t xml:space="preserve">CareerSource Florida’s statewide Cooperative Outreach Program has had strong results since its inception. All 24 local workforce development boards participated in in the second year of the program. In Fiscal Year 2016-17, nearly 33 million overall advertising impressions (the total number of people reached, multiplied by how frequently they may see the ad placement) were reported based on local campaigns launched within the statewide program, including more than 20 million digital impressions. </w:t>
      </w:r>
      <w:r w:rsidR="00FC6D2D">
        <w:rPr>
          <w:rFonts w:ascii="Calibri" w:hAnsi="Calibri"/>
          <w:color w:val="231F20"/>
          <w:w w:val="105"/>
        </w:rPr>
        <w:t xml:space="preserve">Of note is the </w:t>
      </w:r>
      <w:r w:rsidR="00024D51">
        <w:rPr>
          <w:rFonts w:ascii="Calibri" w:hAnsi="Calibri"/>
          <w:color w:val="231F20"/>
          <w:w w:val="105"/>
        </w:rPr>
        <w:t>number of</w:t>
      </w:r>
      <w:r w:rsidR="00FC6D2D">
        <w:rPr>
          <w:rFonts w:ascii="Calibri" w:hAnsi="Calibri"/>
          <w:color w:val="231F20"/>
          <w:w w:val="105"/>
        </w:rPr>
        <w:t xml:space="preserve"> new leads generated by the </w:t>
      </w:r>
      <w:r w:rsidR="009731B4">
        <w:rPr>
          <w:rFonts w:ascii="Calibri" w:hAnsi="Calibri"/>
          <w:color w:val="231F20"/>
          <w:w w:val="105"/>
        </w:rPr>
        <w:t>additional</w:t>
      </w:r>
      <w:r w:rsidR="00FC6D2D">
        <w:rPr>
          <w:rFonts w:ascii="Calibri" w:hAnsi="Calibri"/>
          <w:color w:val="231F20"/>
          <w:w w:val="105"/>
        </w:rPr>
        <w:t xml:space="preserve"> </w:t>
      </w:r>
      <w:r w:rsidR="009731B4">
        <w:rPr>
          <w:rFonts w:ascii="Calibri" w:hAnsi="Calibri"/>
          <w:color w:val="231F20"/>
          <w:w w:val="105"/>
        </w:rPr>
        <w:t xml:space="preserve">outreach efforts – more than 2,300 </w:t>
      </w:r>
      <w:r w:rsidR="007C2218">
        <w:rPr>
          <w:rFonts w:ascii="Calibri" w:hAnsi="Calibri"/>
          <w:color w:val="231F20"/>
          <w:w w:val="105"/>
        </w:rPr>
        <w:t xml:space="preserve">new employers and job seeking customers were engaged through these campaigns. </w:t>
      </w:r>
    </w:p>
    <w:p w14:paraId="79781B97" w14:textId="77777777" w:rsidR="00CD1C1C" w:rsidRPr="00E5375B" w:rsidRDefault="00CD1C1C" w:rsidP="00D63204">
      <w:pPr>
        <w:widowControl w:val="0"/>
        <w:spacing w:before="195" w:after="0" w:line="264" w:lineRule="exact"/>
        <w:ind w:left="107"/>
        <w:rPr>
          <w:rFonts w:ascii="Calibri" w:hAnsi="Calibri"/>
          <w:color w:val="231F20"/>
          <w:w w:val="105"/>
        </w:rPr>
      </w:pPr>
      <w:r w:rsidRPr="00CD1C1C">
        <w:rPr>
          <w:rFonts w:ascii="Calibri" w:hAnsi="Calibri"/>
          <w:color w:val="231F20"/>
          <w:w w:val="105"/>
        </w:rPr>
        <w:t>The 2017-2018 statewide communications and outreach plan aligns with CareerSource Florida’s three corporate goals: communicate the CareerSource Florida network vision to enhance thought leadership, strategies and policies that strengthen excellence to Florida businesses, job seekers and workers; leverage strategic partnerships to cultivate local, regional and state capacity building that increases economic opportunity; and emphasize data-driven decisions to keep Florida’s workforce system accountable by encouraging performance achievement and boosting talent pipeline alignment.</w:t>
      </w:r>
      <w:r>
        <w:rPr>
          <w:rFonts w:ascii="Calibri" w:hAnsi="Calibri"/>
          <w:color w:val="231F20"/>
          <w:w w:val="105"/>
        </w:rPr>
        <w:t xml:space="preserve"> </w:t>
      </w:r>
    </w:p>
    <w:p w14:paraId="4F17547A" w14:textId="60BCD743" w:rsidR="006068D1" w:rsidRDefault="00012144" w:rsidP="00D63204">
      <w:pPr>
        <w:widowControl w:val="0"/>
        <w:spacing w:before="195" w:after="0" w:line="264" w:lineRule="exact"/>
        <w:ind w:left="107"/>
        <w:rPr>
          <w:rFonts w:ascii="Calibri" w:hAnsi="Calibri"/>
          <w:color w:val="231F20"/>
          <w:w w:val="105"/>
        </w:rPr>
      </w:pPr>
      <w:r>
        <w:rPr>
          <w:rFonts w:ascii="Calibri" w:hAnsi="Calibri"/>
          <w:color w:val="231F20"/>
          <w:w w:val="105"/>
        </w:rPr>
        <w:t xml:space="preserve">CareerSource Florida’s strategic, integrated outreach, including the Cooperative Outreach Program with local workforce development boards, has </w:t>
      </w:r>
      <w:r w:rsidR="00176605">
        <w:rPr>
          <w:rFonts w:ascii="Calibri" w:hAnsi="Calibri"/>
          <w:color w:val="231F20"/>
          <w:w w:val="105"/>
        </w:rPr>
        <w:t>contributed to</w:t>
      </w:r>
      <w:r>
        <w:rPr>
          <w:rFonts w:ascii="Calibri" w:hAnsi="Calibri"/>
          <w:color w:val="231F20"/>
          <w:w w:val="105"/>
        </w:rPr>
        <w:t xml:space="preserve"> significant increases</w:t>
      </w:r>
      <w:r w:rsidR="003A2732">
        <w:rPr>
          <w:rFonts w:ascii="Calibri" w:hAnsi="Calibri"/>
          <w:color w:val="231F20"/>
          <w:w w:val="105"/>
        </w:rPr>
        <w:t xml:space="preserve"> in</w:t>
      </w:r>
      <w:r>
        <w:rPr>
          <w:rFonts w:ascii="Calibri" w:hAnsi="Calibri"/>
          <w:color w:val="231F20"/>
          <w:w w:val="105"/>
        </w:rPr>
        <w:t xml:space="preserve"> employer awareness of the state workforce system. </w:t>
      </w:r>
      <w:r w:rsidR="00CE662F">
        <w:rPr>
          <w:rFonts w:ascii="Calibri" w:hAnsi="Calibri"/>
          <w:color w:val="231F20"/>
          <w:w w:val="105"/>
        </w:rPr>
        <w:t xml:space="preserve">According to market surveys conducted in the spring of 2017, </w:t>
      </w:r>
      <w:r w:rsidR="001841DA">
        <w:rPr>
          <w:rFonts w:ascii="Calibri" w:hAnsi="Calibri"/>
          <w:color w:val="231F20"/>
          <w:w w:val="105"/>
        </w:rPr>
        <w:t xml:space="preserve">more than half of those </w:t>
      </w:r>
      <w:r w:rsidR="003A2732">
        <w:rPr>
          <w:rFonts w:ascii="Calibri" w:hAnsi="Calibri"/>
          <w:color w:val="231F20"/>
          <w:w w:val="105"/>
        </w:rPr>
        <w:t>surveyed</w:t>
      </w:r>
      <w:r w:rsidR="001841DA">
        <w:rPr>
          <w:rFonts w:ascii="Calibri" w:hAnsi="Calibri"/>
          <w:color w:val="231F20"/>
          <w:w w:val="105"/>
        </w:rPr>
        <w:t xml:space="preserve"> report being</w:t>
      </w:r>
      <w:r w:rsidR="003A2732">
        <w:rPr>
          <w:rFonts w:ascii="Calibri" w:hAnsi="Calibri"/>
          <w:color w:val="231F20"/>
          <w:w w:val="105"/>
        </w:rPr>
        <w:t xml:space="preserve"> aware and knowledgeable of their local workforce development board or career center, nearly double the 26 percent who reported awareness and knowledge in 2013. </w:t>
      </w:r>
      <w:r w:rsidR="001841DA">
        <w:rPr>
          <w:rFonts w:ascii="Calibri" w:hAnsi="Calibri"/>
          <w:color w:val="231F20"/>
          <w:w w:val="105"/>
        </w:rPr>
        <w:t xml:space="preserve"> </w:t>
      </w:r>
    </w:p>
    <w:p w14:paraId="750C9EEA" w14:textId="75C0A50D" w:rsidR="00DB7914" w:rsidRDefault="00DB7914" w:rsidP="00D63204">
      <w:pPr>
        <w:widowControl w:val="0"/>
        <w:spacing w:after="0" w:line="264" w:lineRule="exact"/>
        <w:ind w:left="107"/>
        <w:rPr>
          <w:rFonts w:ascii="Calibri" w:hAnsi="Calibri"/>
          <w:color w:val="231F20"/>
          <w:w w:val="105"/>
        </w:rPr>
      </w:pPr>
    </w:p>
    <w:p w14:paraId="2A0B8CBD" w14:textId="77777777" w:rsidR="00CD1C1C" w:rsidRDefault="00CD1C1C" w:rsidP="00D63204">
      <w:pPr>
        <w:widowControl w:val="0"/>
        <w:spacing w:after="0" w:line="264" w:lineRule="exact"/>
        <w:ind w:left="107"/>
        <w:rPr>
          <w:rFonts w:ascii="Calibri" w:hAnsi="Calibri"/>
          <w:b/>
          <w:bCs/>
          <w:color w:val="231F20"/>
          <w:w w:val="110"/>
        </w:rPr>
      </w:pPr>
    </w:p>
    <w:p w14:paraId="10F6201A" w14:textId="77777777" w:rsidR="00CD1C1C" w:rsidRDefault="00CD1C1C" w:rsidP="00D63204">
      <w:pPr>
        <w:widowControl w:val="0"/>
        <w:spacing w:after="0" w:line="264" w:lineRule="exact"/>
        <w:ind w:left="107"/>
        <w:rPr>
          <w:rFonts w:ascii="Calibri" w:hAnsi="Calibri"/>
          <w:b/>
          <w:bCs/>
          <w:color w:val="231F20"/>
          <w:w w:val="110"/>
        </w:rPr>
      </w:pPr>
    </w:p>
    <w:p w14:paraId="4CDA7097" w14:textId="77777777" w:rsidR="00CD1C1C" w:rsidRDefault="00CD1C1C" w:rsidP="00D63204">
      <w:pPr>
        <w:widowControl w:val="0"/>
        <w:spacing w:after="0" w:line="264" w:lineRule="exact"/>
        <w:ind w:left="107"/>
        <w:rPr>
          <w:rFonts w:ascii="Calibri" w:hAnsi="Calibri"/>
          <w:b/>
          <w:bCs/>
          <w:color w:val="231F20"/>
          <w:w w:val="110"/>
        </w:rPr>
      </w:pPr>
    </w:p>
    <w:p w14:paraId="337BB313" w14:textId="384D6D3B" w:rsidR="00CD1C1C" w:rsidRPr="00CD1C1C" w:rsidRDefault="00CD1C1C" w:rsidP="00D63204">
      <w:pPr>
        <w:widowControl w:val="0"/>
        <w:spacing w:after="0" w:line="264" w:lineRule="exact"/>
        <w:ind w:left="107"/>
        <w:rPr>
          <w:rFonts w:ascii="Calibri" w:hAnsi="Calibri"/>
        </w:rPr>
      </w:pPr>
      <w:r w:rsidRPr="00CD1C1C">
        <w:rPr>
          <w:rFonts w:ascii="Calibri" w:hAnsi="Calibri"/>
          <w:b/>
          <w:bCs/>
          <w:color w:val="231F20"/>
          <w:w w:val="110"/>
        </w:rPr>
        <w:t xml:space="preserve">Employ Florida: Online Workforce Services and Virtual </w:t>
      </w:r>
      <w:r w:rsidR="00287825" w:rsidRPr="00CD1C1C">
        <w:rPr>
          <w:rFonts w:ascii="Calibri" w:hAnsi="Calibri"/>
          <w:b/>
          <w:bCs/>
          <w:color w:val="231F20"/>
          <w:w w:val="110"/>
        </w:rPr>
        <w:t>Career</w:t>
      </w:r>
      <w:r w:rsidR="00287825" w:rsidRPr="00CD1C1C">
        <w:rPr>
          <w:rFonts w:ascii="Calibri" w:hAnsi="Calibri"/>
          <w:b/>
          <w:bCs/>
          <w:color w:val="231F20"/>
          <w:spacing w:val="-36"/>
          <w:w w:val="110"/>
        </w:rPr>
        <w:t xml:space="preserve"> </w:t>
      </w:r>
      <w:r w:rsidR="00287825">
        <w:rPr>
          <w:rFonts w:ascii="Calibri" w:hAnsi="Calibri"/>
          <w:b/>
          <w:bCs/>
          <w:color w:val="231F20"/>
          <w:spacing w:val="-36"/>
          <w:w w:val="110"/>
        </w:rPr>
        <w:t>Center</w:t>
      </w:r>
    </w:p>
    <w:p w14:paraId="7777CDD9" w14:textId="77777777" w:rsidR="00C9013C" w:rsidRDefault="00CD1C1C" w:rsidP="00D63204">
      <w:pPr>
        <w:widowControl w:val="0"/>
        <w:spacing w:after="0" w:line="264" w:lineRule="exact"/>
        <w:ind w:left="107"/>
        <w:rPr>
          <w:rFonts w:ascii="Calibri" w:hAnsi="Calibri"/>
          <w:color w:val="231F20"/>
          <w:w w:val="105"/>
        </w:rPr>
      </w:pPr>
      <w:r w:rsidRPr="00CD1C1C">
        <w:rPr>
          <w:rFonts w:ascii="Calibri" w:hAnsi="Calibri"/>
          <w:color w:val="231F20"/>
          <w:w w:val="105"/>
        </w:rPr>
        <w:t>Today’s job</w:t>
      </w:r>
      <w:r w:rsidRPr="00BA1FDB">
        <w:rPr>
          <w:rFonts w:ascii="Calibri" w:hAnsi="Calibri"/>
          <w:color w:val="231F20"/>
          <w:w w:val="105"/>
        </w:rPr>
        <w:t xml:space="preserve"> </w:t>
      </w:r>
      <w:r w:rsidRPr="00CD1C1C">
        <w:rPr>
          <w:rFonts w:ascii="Calibri" w:hAnsi="Calibri"/>
          <w:color w:val="231F20"/>
          <w:w w:val="105"/>
        </w:rPr>
        <w:t>seekers</w:t>
      </w:r>
      <w:r w:rsidRPr="00BA1FDB">
        <w:rPr>
          <w:rFonts w:ascii="Calibri" w:hAnsi="Calibri"/>
          <w:color w:val="231F20"/>
          <w:w w:val="105"/>
        </w:rPr>
        <w:t xml:space="preserve"> </w:t>
      </w:r>
      <w:r w:rsidRPr="00CD1C1C">
        <w:rPr>
          <w:rFonts w:ascii="Calibri" w:hAnsi="Calibri"/>
          <w:color w:val="231F20"/>
          <w:w w:val="105"/>
        </w:rPr>
        <w:t>and</w:t>
      </w:r>
      <w:r w:rsidRPr="00BA1FDB">
        <w:rPr>
          <w:rFonts w:ascii="Calibri" w:hAnsi="Calibri"/>
          <w:color w:val="231F20"/>
          <w:w w:val="105"/>
        </w:rPr>
        <w:t xml:space="preserve"> </w:t>
      </w:r>
      <w:r w:rsidRPr="00CD1C1C">
        <w:rPr>
          <w:rFonts w:ascii="Calibri" w:hAnsi="Calibri"/>
          <w:color w:val="231F20"/>
          <w:w w:val="105"/>
        </w:rPr>
        <w:t>businesses</w:t>
      </w:r>
      <w:r w:rsidRPr="00BA1FDB">
        <w:rPr>
          <w:rFonts w:ascii="Calibri" w:hAnsi="Calibri"/>
          <w:color w:val="231F20"/>
          <w:w w:val="105"/>
        </w:rPr>
        <w:t xml:space="preserve"> expect and </w:t>
      </w:r>
      <w:r w:rsidRPr="00CD1C1C">
        <w:rPr>
          <w:rFonts w:ascii="Calibri" w:hAnsi="Calibri"/>
          <w:color w:val="231F20"/>
          <w:w w:val="105"/>
        </w:rPr>
        <w:t>need</w:t>
      </w:r>
      <w:r w:rsidRPr="00BA1FDB">
        <w:rPr>
          <w:rFonts w:ascii="Calibri" w:hAnsi="Calibri"/>
          <w:color w:val="231F20"/>
          <w:w w:val="105"/>
        </w:rPr>
        <w:t xml:space="preserve"> </w:t>
      </w:r>
      <w:r w:rsidRPr="00CD1C1C">
        <w:rPr>
          <w:rFonts w:ascii="Calibri" w:hAnsi="Calibri"/>
          <w:color w:val="231F20"/>
          <w:w w:val="105"/>
        </w:rPr>
        <w:t>access</w:t>
      </w:r>
      <w:r w:rsidRPr="00BA1FDB">
        <w:rPr>
          <w:rFonts w:ascii="Calibri" w:hAnsi="Calibri"/>
          <w:color w:val="231F20"/>
          <w:w w:val="105"/>
        </w:rPr>
        <w:t xml:space="preserve"> </w:t>
      </w:r>
      <w:r w:rsidRPr="00CD1C1C">
        <w:rPr>
          <w:rFonts w:ascii="Calibri" w:hAnsi="Calibri"/>
          <w:color w:val="231F20"/>
          <w:w w:val="105"/>
        </w:rPr>
        <w:t>to</w:t>
      </w:r>
      <w:r w:rsidRPr="00BA1FDB">
        <w:rPr>
          <w:rFonts w:ascii="Calibri" w:hAnsi="Calibri"/>
          <w:color w:val="231F20"/>
          <w:w w:val="105"/>
        </w:rPr>
        <w:t xml:space="preserve"> </w:t>
      </w:r>
      <w:r w:rsidRPr="00CD1C1C">
        <w:rPr>
          <w:rFonts w:ascii="Calibri" w:hAnsi="Calibri"/>
          <w:color w:val="231F20"/>
          <w:w w:val="105"/>
        </w:rPr>
        <w:t>workforce</w:t>
      </w:r>
      <w:r w:rsidRPr="00BA1FDB">
        <w:rPr>
          <w:rFonts w:ascii="Calibri" w:hAnsi="Calibri"/>
          <w:color w:val="231F20"/>
          <w:w w:val="105"/>
        </w:rPr>
        <w:t xml:space="preserve"> </w:t>
      </w:r>
      <w:r w:rsidRPr="00CD1C1C">
        <w:rPr>
          <w:rFonts w:ascii="Calibri" w:hAnsi="Calibri"/>
          <w:color w:val="231F20"/>
          <w:w w:val="105"/>
        </w:rPr>
        <w:t>services 24 hours a day</w:t>
      </w:r>
      <w:r w:rsidRPr="00BA1FDB">
        <w:rPr>
          <w:rFonts w:ascii="Calibri" w:hAnsi="Calibri"/>
          <w:color w:val="231F20"/>
          <w:w w:val="105"/>
        </w:rPr>
        <w:t xml:space="preserve">, </w:t>
      </w:r>
      <w:r w:rsidRPr="00CD1C1C">
        <w:rPr>
          <w:rFonts w:ascii="Calibri" w:hAnsi="Calibri"/>
          <w:color w:val="231F20"/>
          <w:w w:val="105"/>
        </w:rPr>
        <w:t>seven</w:t>
      </w:r>
      <w:r w:rsidRPr="00BA1FDB">
        <w:rPr>
          <w:rFonts w:ascii="Calibri" w:hAnsi="Calibri"/>
          <w:color w:val="231F20"/>
          <w:w w:val="105"/>
        </w:rPr>
        <w:t xml:space="preserve"> </w:t>
      </w:r>
      <w:r w:rsidRPr="00CD1C1C">
        <w:rPr>
          <w:rFonts w:ascii="Calibri" w:hAnsi="Calibri"/>
          <w:color w:val="231F20"/>
          <w:w w:val="105"/>
        </w:rPr>
        <w:t>days</w:t>
      </w:r>
      <w:r w:rsidRPr="00BA1FDB">
        <w:rPr>
          <w:rFonts w:ascii="Calibri" w:hAnsi="Calibri"/>
          <w:color w:val="231F20"/>
          <w:w w:val="105"/>
        </w:rPr>
        <w:t xml:space="preserve"> </w:t>
      </w:r>
      <w:r w:rsidRPr="00CD1C1C">
        <w:rPr>
          <w:rFonts w:ascii="Calibri" w:hAnsi="Calibri"/>
          <w:color w:val="231F20"/>
          <w:w w:val="105"/>
        </w:rPr>
        <w:t>a</w:t>
      </w:r>
      <w:r w:rsidRPr="00BA1FDB">
        <w:rPr>
          <w:rFonts w:ascii="Calibri" w:hAnsi="Calibri"/>
          <w:color w:val="231F20"/>
          <w:w w:val="105"/>
        </w:rPr>
        <w:t xml:space="preserve"> </w:t>
      </w:r>
      <w:r w:rsidRPr="00CD1C1C">
        <w:rPr>
          <w:rFonts w:ascii="Calibri" w:hAnsi="Calibri"/>
          <w:color w:val="231F20"/>
          <w:w w:val="105"/>
        </w:rPr>
        <w:t>week.</w:t>
      </w:r>
      <w:r w:rsidRPr="00BA1FDB">
        <w:rPr>
          <w:rFonts w:ascii="Calibri" w:hAnsi="Calibri"/>
          <w:color w:val="231F20"/>
          <w:w w:val="105"/>
        </w:rPr>
        <w:t xml:space="preserve"> </w:t>
      </w:r>
      <w:r w:rsidRPr="00CD1C1C">
        <w:rPr>
          <w:rFonts w:ascii="Calibri" w:hAnsi="Calibri"/>
          <w:color w:val="231F20"/>
          <w:w w:val="105"/>
        </w:rPr>
        <w:t>The</w:t>
      </w:r>
      <w:r w:rsidRPr="00BA1FDB">
        <w:rPr>
          <w:rFonts w:ascii="Calibri" w:hAnsi="Calibri"/>
          <w:color w:val="231F20"/>
          <w:w w:val="105"/>
        </w:rPr>
        <w:t xml:space="preserve"> </w:t>
      </w:r>
      <w:hyperlink w:anchor="_bookmark98" w:history="1">
        <w:r w:rsidRPr="00CD1C1C">
          <w:rPr>
            <w:rFonts w:ascii="Calibri" w:hAnsi="Calibri"/>
            <w:color w:val="231F20"/>
            <w:w w:val="105"/>
          </w:rPr>
          <w:t>Employ</w:t>
        </w:r>
        <w:r w:rsidRPr="00BA1FDB">
          <w:rPr>
            <w:rFonts w:ascii="Calibri" w:hAnsi="Calibri"/>
            <w:color w:val="231F20"/>
            <w:w w:val="105"/>
          </w:rPr>
          <w:t xml:space="preserve"> </w:t>
        </w:r>
        <w:r w:rsidRPr="00CD1C1C">
          <w:rPr>
            <w:rFonts w:ascii="Calibri" w:hAnsi="Calibri"/>
            <w:color w:val="231F20"/>
            <w:w w:val="105"/>
          </w:rPr>
          <w:t>Florida</w:t>
        </w:r>
        <w:r w:rsidRPr="00BA1FDB">
          <w:rPr>
            <w:rFonts w:ascii="Calibri" w:hAnsi="Calibri"/>
            <w:color w:val="231F20"/>
            <w:w w:val="105"/>
          </w:rPr>
          <w:t xml:space="preserve"> </w:t>
        </w:r>
      </w:hyperlink>
      <w:r w:rsidRPr="00CD1C1C">
        <w:rPr>
          <w:rFonts w:ascii="Calibri" w:hAnsi="Calibri"/>
          <w:color w:val="231F20"/>
          <w:w w:val="105"/>
        </w:rPr>
        <w:t>website</w:t>
      </w:r>
      <w:r w:rsidRPr="00CD1C1C">
        <w:rPr>
          <w:rFonts w:ascii="Calibri" w:hAnsi="Calibri"/>
          <w:color w:val="231F20"/>
          <w:spacing w:val="16"/>
          <w:w w:val="105"/>
        </w:rPr>
        <w:t xml:space="preserve"> </w:t>
      </w:r>
      <w:r w:rsidRPr="00CD1C1C">
        <w:rPr>
          <w:rFonts w:ascii="Calibri" w:hAnsi="Calibri"/>
          <w:color w:val="231F20"/>
          <w:w w:val="105"/>
        </w:rPr>
        <w:t>at</w:t>
      </w:r>
      <w:r w:rsidRPr="00CD1C1C">
        <w:rPr>
          <w:rFonts w:ascii="Calibri" w:hAnsi="Calibri"/>
          <w:color w:val="231F20"/>
          <w:spacing w:val="16"/>
          <w:w w:val="105"/>
        </w:rPr>
        <w:t xml:space="preserve"> </w:t>
      </w:r>
      <w:hyperlink r:id="rId97" w:history="1">
        <w:r w:rsidRPr="00CD1C1C">
          <w:rPr>
            <w:rStyle w:val="Hyperlink"/>
            <w:rFonts w:ascii="Calibri" w:hAnsi="Calibri"/>
            <w:spacing w:val="16"/>
            <w:w w:val="105"/>
          </w:rPr>
          <w:t>www.</w:t>
        </w:r>
        <w:r w:rsidRPr="00CD1C1C">
          <w:rPr>
            <w:rStyle w:val="Hyperlink"/>
            <w:rFonts w:ascii="Calibri" w:hAnsi="Calibri"/>
            <w:w w:val="105"/>
            <w:u w:color="5F5F5F"/>
          </w:rPr>
          <w:t>employflorida.com</w:t>
        </w:r>
      </w:hyperlink>
      <w:r w:rsidRPr="00CD1C1C">
        <w:rPr>
          <w:rFonts w:ascii="Calibri" w:hAnsi="Calibri"/>
          <w:color w:val="5F5F5F"/>
          <w:w w:val="105"/>
        </w:rPr>
        <w:t xml:space="preserve"> is </w:t>
      </w:r>
      <w:r w:rsidRPr="00CD1C1C">
        <w:rPr>
          <w:rFonts w:ascii="Calibri" w:hAnsi="Calibri"/>
          <w:color w:val="231F20"/>
          <w:w w:val="105"/>
        </w:rPr>
        <w:t>Florida’s</w:t>
      </w:r>
      <w:r w:rsidRPr="00CD1C1C">
        <w:rPr>
          <w:rFonts w:ascii="Calibri" w:hAnsi="Calibri"/>
          <w:color w:val="231F20"/>
          <w:spacing w:val="10"/>
          <w:w w:val="105"/>
        </w:rPr>
        <w:t xml:space="preserve"> </w:t>
      </w:r>
      <w:r w:rsidRPr="00CD1C1C">
        <w:rPr>
          <w:rFonts w:ascii="Calibri" w:hAnsi="Calibri"/>
          <w:color w:val="231F20"/>
          <w:w w:val="105"/>
        </w:rPr>
        <w:t>virtual</w:t>
      </w:r>
      <w:r w:rsidRPr="00CD1C1C">
        <w:rPr>
          <w:rFonts w:ascii="Calibri" w:hAnsi="Calibri"/>
          <w:color w:val="231F20"/>
          <w:spacing w:val="10"/>
          <w:w w:val="105"/>
        </w:rPr>
        <w:t xml:space="preserve"> </w:t>
      </w:r>
      <w:r w:rsidRPr="00CD1C1C">
        <w:rPr>
          <w:rFonts w:ascii="Calibri" w:hAnsi="Calibri"/>
          <w:color w:val="231F20"/>
          <w:w w:val="105"/>
        </w:rPr>
        <w:t>job-matching</w:t>
      </w:r>
      <w:r w:rsidRPr="00CD1C1C">
        <w:rPr>
          <w:rFonts w:ascii="Calibri" w:hAnsi="Calibri"/>
          <w:color w:val="231F20"/>
          <w:spacing w:val="10"/>
          <w:w w:val="105"/>
        </w:rPr>
        <w:t xml:space="preserve"> </w:t>
      </w:r>
      <w:r w:rsidRPr="00CD1C1C">
        <w:rPr>
          <w:rFonts w:ascii="Calibri" w:hAnsi="Calibri"/>
          <w:color w:val="231F20"/>
          <w:w w:val="105"/>
        </w:rPr>
        <w:t>tool,</w:t>
      </w:r>
      <w:r w:rsidRPr="00CD1C1C">
        <w:rPr>
          <w:rFonts w:ascii="Calibri" w:hAnsi="Calibri"/>
          <w:color w:val="231F20"/>
          <w:spacing w:val="10"/>
          <w:w w:val="105"/>
        </w:rPr>
        <w:t xml:space="preserve"> </w:t>
      </w:r>
      <w:r w:rsidRPr="00CD1C1C">
        <w:rPr>
          <w:rFonts w:ascii="Calibri" w:hAnsi="Calibri"/>
          <w:color w:val="231F20"/>
          <w:w w:val="105"/>
        </w:rPr>
        <w:t>providing</w:t>
      </w:r>
      <w:r w:rsidRPr="00CD1C1C">
        <w:rPr>
          <w:rFonts w:ascii="Calibri" w:hAnsi="Calibri"/>
          <w:color w:val="231F20"/>
          <w:spacing w:val="10"/>
          <w:w w:val="105"/>
        </w:rPr>
        <w:t xml:space="preserve"> </w:t>
      </w:r>
      <w:r w:rsidRPr="00CD1C1C">
        <w:rPr>
          <w:rFonts w:ascii="Calibri" w:hAnsi="Calibri"/>
          <w:color w:val="231F20"/>
          <w:w w:val="105"/>
        </w:rPr>
        <w:t>access</w:t>
      </w:r>
      <w:r w:rsidRPr="00CD1C1C">
        <w:rPr>
          <w:rFonts w:ascii="Calibri" w:hAnsi="Calibri"/>
          <w:color w:val="231F20"/>
          <w:spacing w:val="10"/>
          <w:w w:val="105"/>
        </w:rPr>
        <w:t xml:space="preserve"> </w:t>
      </w:r>
      <w:r w:rsidRPr="00CD1C1C">
        <w:rPr>
          <w:rFonts w:ascii="Calibri" w:hAnsi="Calibri"/>
          <w:color w:val="231F20"/>
          <w:w w:val="105"/>
        </w:rPr>
        <w:t>at</w:t>
      </w:r>
      <w:r w:rsidRPr="00CD1C1C">
        <w:rPr>
          <w:rFonts w:ascii="Calibri" w:hAnsi="Calibri"/>
          <w:color w:val="231F20"/>
          <w:spacing w:val="9"/>
          <w:w w:val="105"/>
        </w:rPr>
        <w:t xml:space="preserve"> </w:t>
      </w:r>
      <w:r w:rsidRPr="00CD1C1C">
        <w:rPr>
          <w:rFonts w:ascii="Calibri" w:hAnsi="Calibri" w:cs="Calibri"/>
          <w:i/>
          <w:color w:val="231F20"/>
          <w:w w:val="105"/>
        </w:rPr>
        <w:t>no</w:t>
      </w:r>
      <w:r w:rsidRPr="00CD1C1C">
        <w:rPr>
          <w:rFonts w:ascii="Calibri" w:hAnsi="Calibri" w:cs="Calibri"/>
          <w:i/>
          <w:color w:val="231F20"/>
          <w:spacing w:val="10"/>
          <w:w w:val="105"/>
        </w:rPr>
        <w:t xml:space="preserve"> </w:t>
      </w:r>
      <w:r w:rsidRPr="00CD1C1C">
        <w:rPr>
          <w:rFonts w:ascii="Calibri" w:hAnsi="Calibri" w:cs="Calibri"/>
          <w:i/>
          <w:color w:val="231F20"/>
          <w:w w:val="105"/>
        </w:rPr>
        <w:t>charge</w:t>
      </w:r>
      <w:r w:rsidRPr="00CD1C1C">
        <w:rPr>
          <w:rFonts w:ascii="Calibri" w:hAnsi="Calibri" w:cs="Calibri"/>
          <w:i/>
          <w:color w:val="231F20"/>
          <w:spacing w:val="10"/>
          <w:w w:val="105"/>
        </w:rPr>
        <w:t xml:space="preserve"> </w:t>
      </w:r>
      <w:r w:rsidRPr="00CD1C1C">
        <w:rPr>
          <w:rFonts w:ascii="Calibri" w:hAnsi="Calibri"/>
          <w:color w:val="231F20"/>
          <w:w w:val="105"/>
        </w:rPr>
        <w:t>to</w:t>
      </w:r>
      <w:r w:rsidRPr="00CD1C1C">
        <w:rPr>
          <w:rFonts w:ascii="Calibri" w:hAnsi="Calibri"/>
          <w:color w:val="231F20"/>
          <w:spacing w:val="10"/>
          <w:w w:val="105"/>
        </w:rPr>
        <w:t xml:space="preserve"> </w:t>
      </w:r>
      <w:r w:rsidRPr="00CD1C1C">
        <w:rPr>
          <w:rFonts w:ascii="Calibri" w:hAnsi="Calibri"/>
          <w:color w:val="231F20"/>
          <w:w w:val="105"/>
        </w:rPr>
        <w:t>employment</w:t>
      </w:r>
      <w:r w:rsidRPr="00CD1C1C">
        <w:rPr>
          <w:rFonts w:ascii="Calibri" w:hAnsi="Calibri"/>
          <w:color w:val="231F20"/>
          <w:spacing w:val="10"/>
          <w:w w:val="105"/>
        </w:rPr>
        <w:t xml:space="preserve"> </w:t>
      </w:r>
      <w:r w:rsidRPr="00CD1C1C">
        <w:rPr>
          <w:rFonts w:ascii="Calibri" w:hAnsi="Calibri"/>
          <w:color w:val="231F20"/>
          <w:w w:val="105"/>
        </w:rPr>
        <w:t>opportunities,</w:t>
      </w:r>
      <w:r w:rsidRPr="00CD1C1C">
        <w:rPr>
          <w:rFonts w:ascii="Calibri" w:hAnsi="Calibri"/>
          <w:color w:val="231F20"/>
          <w:spacing w:val="-21"/>
          <w:w w:val="105"/>
        </w:rPr>
        <w:t xml:space="preserve"> </w:t>
      </w:r>
      <w:r w:rsidRPr="00CD1C1C">
        <w:rPr>
          <w:rFonts w:ascii="Calibri" w:hAnsi="Calibri"/>
          <w:color w:val="231F20"/>
          <w:w w:val="105"/>
        </w:rPr>
        <w:t>resume-building</w:t>
      </w:r>
      <w:r w:rsidRPr="00CD1C1C">
        <w:rPr>
          <w:rFonts w:ascii="Calibri" w:hAnsi="Calibri"/>
          <w:color w:val="231F20"/>
          <w:spacing w:val="19"/>
          <w:w w:val="105"/>
        </w:rPr>
        <w:t xml:space="preserve"> </w:t>
      </w:r>
      <w:r w:rsidRPr="00CD1C1C">
        <w:rPr>
          <w:rFonts w:ascii="Calibri" w:hAnsi="Calibri"/>
          <w:color w:val="231F20"/>
          <w:w w:val="105"/>
        </w:rPr>
        <w:t>resources</w:t>
      </w:r>
      <w:r w:rsidR="00D5537E">
        <w:rPr>
          <w:rFonts w:ascii="Calibri" w:hAnsi="Calibri"/>
          <w:color w:val="231F20"/>
          <w:w w:val="105"/>
        </w:rPr>
        <w:t xml:space="preserve"> and</w:t>
      </w:r>
      <w:r w:rsidRPr="00CD1C1C">
        <w:rPr>
          <w:rFonts w:ascii="Calibri" w:hAnsi="Calibri"/>
          <w:color w:val="231F20"/>
          <w:spacing w:val="19"/>
          <w:w w:val="105"/>
        </w:rPr>
        <w:t xml:space="preserve"> </w:t>
      </w:r>
      <w:r w:rsidRPr="00CD1C1C">
        <w:rPr>
          <w:rFonts w:ascii="Calibri" w:hAnsi="Calibri"/>
          <w:color w:val="231F20"/>
          <w:w w:val="105"/>
        </w:rPr>
        <w:t>other</w:t>
      </w:r>
      <w:r w:rsidRPr="00CD1C1C">
        <w:rPr>
          <w:rFonts w:ascii="Calibri" w:hAnsi="Calibri"/>
          <w:color w:val="231F20"/>
          <w:spacing w:val="19"/>
          <w:w w:val="105"/>
        </w:rPr>
        <w:t xml:space="preserve"> </w:t>
      </w:r>
      <w:r w:rsidRPr="00CD1C1C">
        <w:rPr>
          <w:rFonts w:ascii="Calibri" w:hAnsi="Calibri"/>
          <w:color w:val="231F20"/>
          <w:w w:val="105"/>
        </w:rPr>
        <w:t xml:space="preserve">services. Employ Florida helps connect businesses, job seekers and Floridians looking to grow in their careers. </w:t>
      </w:r>
    </w:p>
    <w:p w14:paraId="13422573" w14:textId="77777777" w:rsidR="00C9013C" w:rsidRDefault="00C9013C" w:rsidP="00D63204">
      <w:pPr>
        <w:widowControl w:val="0"/>
        <w:spacing w:after="0" w:line="264" w:lineRule="exact"/>
        <w:ind w:left="107"/>
        <w:rPr>
          <w:rFonts w:ascii="Calibri" w:hAnsi="Calibri"/>
          <w:color w:val="231F20"/>
          <w:w w:val="105"/>
        </w:rPr>
      </w:pPr>
    </w:p>
    <w:p w14:paraId="2B91B133" w14:textId="1D346778" w:rsidR="00CD1C1C" w:rsidRPr="00CD1C1C" w:rsidRDefault="00CD1C1C" w:rsidP="00D63204">
      <w:pPr>
        <w:widowControl w:val="0"/>
        <w:spacing w:after="0" w:line="264" w:lineRule="exact"/>
        <w:ind w:left="107"/>
        <w:rPr>
          <w:rFonts w:ascii="Calibri" w:hAnsi="Calibri"/>
          <w:color w:val="231F20"/>
          <w:w w:val="105"/>
        </w:rPr>
      </w:pPr>
      <w:r w:rsidRPr="00CD1C1C">
        <w:rPr>
          <w:rFonts w:ascii="Calibri" w:hAnsi="Calibri"/>
          <w:color w:val="231F20"/>
          <w:w w:val="105"/>
        </w:rPr>
        <w:t>Employ Florida is the state’s most comprehensive source for current Florida job openings. Employ Florida launched in 2005 and since its inception</w:t>
      </w:r>
      <w:r w:rsidR="00C9013C">
        <w:rPr>
          <w:rFonts w:ascii="Calibri" w:hAnsi="Calibri"/>
          <w:color w:val="231F20"/>
          <w:w w:val="105"/>
        </w:rPr>
        <w:t>,</w:t>
      </w:r>
      <w:r w:rsidR="00483AA8" w:rsidRPr="00CD1C1C">
        <w:rPr>
          <w:rFonts w:ascii="Calibri" w:hAnsi="Calibri"/>
          <w:color w:val="231F20"/>
          <w:w w:val="105"/>
        </w:rPr>
        <w:t xml:space="preserve"> </w:t>
      </w:r>
      <w:r w:rsidRPr="00CD1C1C">
        <w:rPr>
          <w:rFonts w:ascii="Calibri" w:hAnsi="Calibri"/>
          <w:color w:val="231F20"/>
          <w:w w:val="105"/>
        </w:rPr>
        <w:t>254,563 employers have registered on the site and nearly three million resumes have been posted. Employ Florida provides businesses access to thousands of current resumes, recruiting and hiring resources, valuable information on training options and links to labor market information at both the state and local levels. Florida’s job seekers can search for employment opportunities from numerous job and corporate websites as well as those placed directly on Employ Florida by businesses or through LWDBs and/or career centers. Employers and job seekers can locate Florida’s workforce services and resources anywhere in the state via Employ Florida or by calling the toll-free Employ Florida Helpdesk, staffed by DEO.</w:t>
      </w:r>
    </w:p>
    <w:p w14:paraId="0F47CE71" w14:textId="77777777" w:rsidR="00CD1C1C" w:rsidRPr="00CD1C1C" w:rsidRDefault="00CD1C1C" w:rsidP="00D63204">
      <w:pPr>
        <w:widowControl w:val="0"/>
        <w:spacing w:before="5" w:after="0" w:line="240" w:lineRule="auto"/>
        <w:ind w:left="107"/>
        <w:rPr>
          <w:rFonts w:ascii="Calibri" w:hAnsi="Calibri" w:cs="Calibri"/>
          <w:sz w:val="16"/>
          <w:szCs w:val="16"/>
        </w:rPr>
      </w:pPr>
    </w:p>
    <w:p w14:paraId="50C78184" w14:textId="44C20430" w:rsidR="00CD1C1C" w:rsidRPr="00CD1C1C" w:rsidRDefault="00CD1C1C" w:rsidP="00D63204">
      <w:pPr>
        <w:widowControl w:val="0"/>
        <w:spacing w:after="0" w:line="240" w:lineRule="auto"/>
        <w:ind w:left="107"/>
        <w:rPr>
          <w:rFonts w:ascii="Calibri" w:hAnsi="Calibri"/>
        </w:rPr>
      </w:pPr>
      <w:r w:rsidRPr="00CD1C1C">
        <w:rPr>
          <w:rFonts w:ascii="Calibri" w:hAnsi="Calibri"/>
          <w:color w:val="231F20"/>
          <w:w w:val="105"/>
        </w:rPr>
        <w:t>Employ</w:t>
      </w:r>
      <w:r w:rsidRPr="00CD1C1C">
        <w:rPr>
          <w:rFonts w:ascii="Calibri" w:hAnsi="Calibri"/>
          <w:color w:val="231F20"/>
          <w:spacing w:val="28"/>
          <w:w w:val="105"/>
        </w:rPr>
        <w:t xml:space="preserve"> </w:t>
      </w:r>
      <w:r w:rsidRPr="00CD1C1C">
        <w:rPr>
          <w:rFonts w:ascii="Calibri" w:hAnsi="Calibri"/>
          <w:color w:val="231F20"/>
          <w:w w:val="105"/>
        </w:rPr>
        <w:t>Florida</w:t>
      </w:r>
      <w:r w:rsidRPr="00CD1C1C">
        <w:rPr>
          <w:rFonts w:ascii="Calibri" w:hAnsi="Calibri"/>
          <w:color w:val="231F20"/>
          <w:spacing w:val="28"/>
          <w:w w:val="105"/>
        </w:rPr>
        <w:t xml:space="preserve"> </w:t>
      </w:r>
      <w:r w:rsidRPr="00CD1C1C">
        <w:rPr>
          <w:rFonts w:ascii="Calibri" w:hAnsi="Calibri"/>
          <w:color w:val="231F20"/>
          <w:w w:val="105"/>
        </w:rPr>
        <w:t>is</w:t>
      </w:r>
      <w:r w:rsidRPr="00CD1C1C">
        <w:rPr>
          <w:rFonts w:ascii="Calibri" w:hAnsi="Calibri"/>
          <w:color w:val="231F20"/>
          <w:spacing w:val="28"/>
          <w:w w:val="105"/>
        </w:rPr>
        <w:t xml:space="preserve"> </w:t>
      </w:r>
      <w:r w:rsidRPr="00CD1C1C">
        <w:rPr>
          <w:rFonts w:ascii="Calibri" w:hAnsi="Calibri"/>
          <w:color w:val="231F20"/>
          <w:w w:val="105"/>
        </w:rPr>
        <w:t>consistently upgraded</w:t>
      </w:r>
      <w:r w:rsidRPr="00CD1C1C">
        <w:rPr>
          <w:rFonts w:ascii="Calibri" w:hAnsi="Calibri"/>
          <w:color w:val="231F20"/>
          <w:spacing w:val="28"/>
          <w:w w:val="105"/>
        </w:rPr>
        <w:t xml:space="preserve"> </w:t>
      </w:r>
      <w:r w:rsidRPr="00CD1C1C">
        <w:rPr>
          <w:rFonts w:ascii="Calibri" w:hAnsi="Calibri"/>
          <w:color w:val="231F20"/>
          <w:w w:val="105"/>
        </w:rPr>
        <w:t>to</w:t>
      </w:r>
      <w:r w:rsidRPr="00CD1C1C">
        <w:rPr>
          <w:rFonts w:ascii="Calibri" w:hAnsi="Calibri"/>
          <w:color w:val="231F20"/>
          <w:spacing w:val="28"/>
          <w:w w:val="105"/>
        </w:rPr>
        <w:t xml:space="preserve"> </w:t>
      </w:r>
      <w:r w:rsidRPr="00CD1C1C">
        <w:rPr>
          <w:rFonts w:ascii="Calibri" w:hAnsi="Calibri"/>
          <w:color w:val="231F20"/>
          <w:w w:val="105"/>
        </w:rPr>
        <w:t>maintain</w:t>
      </w:r>
      <w:r w:rsidRPr="00CD1C1C">
        <w:rPr>
          <w:rFonts w:ascii="Calibri" w:hAnsi="Calibri"/>
          <w:color w:val="231F20"/>
          <w:spacing w:val="28"/>
          <w:w w:val="105"/>
        </w:rPr>
        <w:t xml:space="preserve"> </w:t>
      </w:r>
      <w:r w:rsidRPr="00CD1C1C">
        <w:rPr>
          <w:rFonts w:ascii="Calibri" w:hAnsi="Calibri"/>
          <w:color w:val="231F20"/>
          <w:w w:val="105"/>
        </w:rPr>
        <w:t>relevancy</w:t>
      </w:r>
      <w:r w:rsidRPr="00CD1C1C">
        <w:rPr>
          <w:rFonts w:ascii="Calibri" w:hAnsi="Calibri"/>
          <w:color w:val="231F20"/>
          <w:spacing w:val="28"/>
          <w:w w:val="105"/>
        </w:rPr>
        <w:t xml:space="preserve"> </w:t>
      </w:r>
      <w:r w:rsidRPr="00CD1C1C">
        <w:rPr>
          <w:rFonts w:ascii="Calibri" w:hAnsi="Calibri"/>
          <w:color w:val="231F20"/>
          <w:w w:val="105"/>
        </w:rPr>
        <w:t>and</w:t>
      </w:r>
      <w:r w:rsidRPr="00CD1C1C">
        <w:rPr>
          <w:rFonts w:ascii="Calibri" w:hAnsi="Calibri"/>
          <w:color w:val="231F20"/>
          <w:spacing w:val="28"/>
          <w:w w:val="105"/>
        </w:rPr>
        <w:t xml:space="preserve"> </w:t>
      </w:r>
      <w:r w:rsidRPr="00CD1C1C">
        <w:rPr>
          <w:rFonts w:ascii="Calibri" w:hAnsi="Calibri"/>
          <w:color w:val="231F20"/>
          <w:w w:val="105"/>
        </w:rPr>
        <w:t>incorporate</w:t>
      </w:r>
      <w:r w:rsidRPr="00CD1C1C">
        <w:rPr>
          <w:rFonts w:ascii="Calibri" w:hAnsi="Calibri"/>
          <w:color w:val="231F20"/>
          <w:spacing w:val="28"/>
          <w:w w:val="105"/>
        </w:rPr>
        <w:t xml:space="preserve"> </w:t>
      </w:r>
      <w:r w:rsidRPr="00CD1C1C">
        <w:rPr>
          <w:rFonts w:ascii="Calibri" w:hAnsi="Calibri"/>
          <w:color w:val="231F20"/>
          <w:w w:val="105"/>
        </w:rPr>
        <w:t>improved</w:t>
      </w:r>
      <w:r w:rsidRPr="00CD1C1C">
        <w:rPr>
          <w:rFonts w:ascii="Calibri" w:hAnsi="Calibri"/>
          <w:color w:val="231F20"/>
          <w:spacing w:val="28"/>
          <w:w w:val="105"/>
        </w:rPr>
        <w:t xml:space="preserve"> </w:t>
      </w:r>
      <w:r w:rsidRPr="00CD1C1C">
        <w:rPr>
          <w:rFonts w:ascii="Calibri" w:hAnsi="Calibri"/>
          <w:color w:val="231F20"/>
          <w:w w:val="105"/>
        </w:rPr>
        <w:t>technology.</w:t>
      </w:r>
      <w:r w:rsidRPr="00CD1C1C">
        <w:rPr>
          <w:rFonts w:ascii="Calibri" w:hAnsi="Calibri"/>
          <w:color w:val="231F20"/>
          <w:spacing w:val="28"/>
          <w:w w:val="105"/>
        </w:rPr>
        <w:t xml:space="preserve"> </w:t>
      </w:r>
      <w:r w:rsidRPr="00CD1C1C">
        <w:rPr>
          <w:rFonts w:ascii="Calibri" w:hAnsi="Calibri"/>
          <w:color w:val="231F20"/>
          <w:w w:val="105"/>
        </w:rPr>
        <w:t>The</w:t>
      </w:r>
      <w:r w:rsidRPr="00CD1C1C">
        <w:rPr>
          <w:rFonts w:ascii="Calibri" w:hAnsi="Calibri"/>
          <w:color w:val="231F20"/>
          <w:w w:val="111"/>
        </w:rPr>
        <w:t xml:space="preserve"> </w:t>
      </w:r>
      <w:r w:rsidRPr="00CD1C1C">
        <w:rPr>
          <w:rFonts w:ascii="Calibri" w:hAnsi="Calibri"/>
          <w:color w:val="231F20"/>
          <w:w w:val="105"/>
        </w:rPr>
        <w:t>use</w:t>
      </w:r>
      <w:r w:rsidRPr="00CD1C1C">
        <w:rPr>
          <w:rFonts w:ascii="Calibri" w:hAnsi="Calibri"/>
          <w:color w:val="231F20"/>
          <w:spacing w:val="19"/>
          <w:w w:val="105"/>
        </w:rPr>
        <w:t xml:space="preserve"> </w:t>
      </w:r>
      <w:r w:rsidRPr="00CD1C1C">
        <w:rPr>
          <w:rFonts w:ascii="Calibri" w:hAnsi="Calibri"/>
          <w:color w:val="231F20"/>
          <w:w w:val="105"/>
        </w:rPr>
        <w:t>of</w:t>
      </w:r>
      <w:r w:rsidRPr="00CD1C1C">
        <w:rPr>
          <w:rFonts w:ascii="Calibri" w:hAnsi="Calibri"/>
          <w:color w:val="231F20"/>
          <w:spacing w:val="19"/>
          <w:w w:val="105"/>
        </w:rPr>
        <w:t xml:space="preserve"> </w:t>
      </w:r>
      <w:r w:rsidRPr="00CD1C1C">
        <w:rPr>
          <w:rFonts w:ascii="Calibri" w:hAnsi="Calibri"/>
          <w:color w:val="231F20"/>
          <w:w w:val="105"/>
        </w:rPr>
        <w:t>micro-portals,</w:t>
      </w:r>
      <w:r w:rsidRPr="00CD1C1C">
        <w:rPr>
          <w:rFonts w:ascii="Calibri" w:hAnsi="Calibri"/>
          <w:color w:val="231F20"/>
          <w:spacing w:val="19"/>
          <w:w w:val="105"/>
        </w:rPr>
        <w:t xml:space="preserve"> </w:t>
      </w:r>
      <w:r w:rsidRPr="00CD1C1C">
        <w:rPr>
          <w:rFonts w:ascii="Calibri" w:hAnsi="Calibri"/>
          <w:color w:val="231F20"/>
          <w:w w:val="105"/>
        </w:rPr>
        <w:t>powered</w:t>
      </w:r>
      <w:r w:rsidRPr="00CD1C1C">
        <w:rPr>
          <w:rFonts w:ascii="Calibri" w:hAnsi="Calibri"/>
          <w:color w:val="231F20"/>
          <w:spacing w:val="19"/>
          <w:w w:val="105"/>
        </w:rPr>
        <w:t xml:space="preserve"> </w:t>
      </w:r>
      <w:r w:rsidRPr="00CD1C1C">
        <w:rPr>
          <w:rFonts w:ascii="Calibri" w:hAnsi="Calibri"/>
          <w:color w:val="231F20"/>
          <w:w w:val="105"/>
        </w:rPr>
        <w:t>by</w:t>
      </w:r>
      <w:r w:rsidRPr="00CD1C1C">
        <w:rPr>
          <w:rFonts w:ascii="Calibri" w:hAnsi="Calibri"/>
          <w:color w:val="231F20"/>
          <w:spacing w:val="19"/>
          <w:w w:val="105"/>
        </w:rPr>
        <w:t xml:space="preserve"> </w:t>
      </w:r>
      <w:r w:rsidRPr="00CD1C1C">
        <w:rPr>
          <w:rFonts w:ascii="Calibri" w:hAnsi="Calibri"/>
          <w:color w:val="231F20"/>
          <w:w w:val="105"/>
        </w:rPr>
        <w:t>Employ</w:t>
      </w:r>
      <w:r w:rsidRPr="00CD1C1C">
        <w:rPr>
          <w:rFonts w:ascii="Calibri" w:hAnsi="Calibri"/>
          <w:color w:val="231F20"/>
          <w:spacing w:val="19"/>
          <w:w w:val="105"/>
        </w:rPr>
        <w:t xml:space="preserve"> </w:t>
      </w:r>
      <w:r w:rsidRPr="00CD1C1C">
        <w:rPr>
          <w:rFonts w:ascii="Calibri" w:hAnsi="Calibri"/>
          <w:color w:val="231F20"/>
          <w:w w:val="105"/>
        </w:rPr>
        <w:t>Florida,</w:t>
      </w:r>
      <w:r w:rsidRPr="00CD1C1C">
        <w:rPr>
          <w:rFonts w:ascii="Calibri" w:hAnsi="Calibri"/>
          <w:color w:val="231F20"/>
          <w:spacing w:val="19"/>
          <w:w w:val="105"/>
        </w:rPr>
        <w:t xml:space="preserve"> </w:t>
      </w:r>
      <w:r w:rsidRPr="00CD1C1C">
        <w:rPr>
          <w:rFonts w:ascii="Calibri" w:hAnsi="Calibri"/>
          <w:color w:val="231F20"/>
          <w:w w:val="105"/>
        </w:rPr>
        <w:t>provide</w:t>
      </w:r>
      <w:r w:rsidRPr="00CD1C1C">
        <w:rPr>
          <w:rFonts w:ascii="Calibri" w:hAnsi="Calibri"/>
          <w:color w:val="231F20"/>
          <w:spacing w:val="19"/>
          <w:w w:val="105"/>
        </w:rPr>
        <w:t xml:space="preserve"> </w:t>
      </w:r>
      <w:r w:rsidRPr="00CD1C1C">
        <w:rPr>
          <w:rFonts w:ascii="Calibri" w:hAnsi="Calibri"/>
          <w:color w:val="231F20"/>
          <w:w w:val="105"/>
        </w:rPr>
        <w:t>specialized</w:t>
      </w:r>
      <w:r w:rsidRPr="00CD1C1C">
        <w:rPr>
          <w:rFonts w:ascii="Calibri" w:hAnsi="Calibri"/>
          <w:color w:val="231F20"/>
          <w:spacing w:val="19"/>
          <w:w w:val="105"/>
        </w:rPr>
        <w:t xml:space="preserve"> </w:t>
      </w:r>
      <w:r w:rsidRPr="00CD1C1C">
        <w:rPr>
          <w:rFonts w:ascii="Calibri" w:hAnsi="Calibri"/>
          <w:color w:val="231F20"/>
          <w:w w:val="105"/>
        </w:rPr>
        <w:t>and</w:t>
      </w:r>
      <w:r w:rsidRPr="00CD1C1C">
        <w:rPr>
          <w:rFonts w:ascii="Calibri" w:hAnsi="Calibri"/>
          <w:color w:val="231F20"/>
          <w:spacing w:val="19"/>
          <w:w w:val="105"/>
        </w:rPr>
        <w:t xml:space="preserve"> </w:t>
      </w:r>
      <w:r w:rsidRPr="00CD1C1C">
        <w:rPr>
          <w:rFonts w:ascii="Calibri" w:hAnsi="Calibri"/>
          <w:color w:val="231F20"/>
          <w:w w:val="105"/>
        </w:rPr>
        <w:t>targeted</w:t>
      </w:r>
      <w:r w:rsidRPr="00CD1C1C">
        <w:rPr>
          <w:rFonts w:ascii="Calibri" w:hAnsi="Calibri"/>
          <w:color w:val="231F20"/>
          <w:spacing w:val="19"/>
          <w:w w:val="105"/>
        </w:rPr>
        <w:t xml:space="preserve"> </w:t>
      </w:r>
      <w:r w:rsidRPr="00CD1C1C">
        <w:rPr>
          <w:rFonts w:ascii="Calibri" w:hAnsi="Calibri"/>
          <w:color w:val="231F20"/>
          <w:w w:val="105"/>
        </w:rPr>
        <w:t>job</w:t>
      </w:r>
      <w:r w:rsidRPr="00CD1C1C">
        <w:rPr>
          <w:rFonts w:ascii="Calibri" w:hAnsi="Calibri"/>
          <w:color w:val="231F20"/>
          <w:spacing w:val="19"/>
          <w:w w:val="105"/>
        </w:rPr>
        <w:t xml:space="preserve"> </w:t>
      </w:r>
      <w:r w:rsidRPr="00CD1C1C">
        <w:rPr>
          <w:rFonts w:ascii="Calibri" w:hAnsi="Calibri"/>
          <w:color w:val="231F20"/>
          <w:w w:val="105"/>
        </w:rPr>
        <w:t>matching</w:t>
      </w:r>
      <w:r>
        <w:rPr>
          <w:rFonts w:ascii="Calibri" w:hAnsi="Calibri"/>
          <w:color w:val="231F20"/>
          <w:w w:val="105"/>
        </w:rPr>
        <w:t xml:space="preserve"> </w:t>
      </w:r>
      <w:r w:rsidR="00882E7B">
        <w:rPr>
          <w:rFonts w:ascii="Calibri" w:hAnsi="Calibri"/>
          <w:color w:val="231F20"/>
          <w:w w:val="105"/>
        </w:rPr>
        <w:t>to</w:t>
      </w:r>
      <w:r w:rsidRPr="00CD1C1C">
        <w:rPr>
          <w:rFonts w:ascii="Calibri" w:hAnsi="Calibri"/>
          <w:color w:val="231F20"/>
          <w:spacing w:val="19"/>
          <w:w w:val="105"/>
        </w:rPr>
        <w:t xml:space="preserve"> </w:t>
      </w:r>
      <w:r w:rsidRPr="00CD1C1C">
        <w:rPr>
          <w:rFonts w:ascii="Calibri" w:hAnsi="Calibri"/>
          <w:color w:val="231F20"/>
          <w:w w:val="105"/>
        </w:rPr>
        <w:t>add</w:t>
      </w:r>
      <w:r>
        <w:rPr>
          <w:rFonts w:ascii="Calibri" w:hAnsi="Calibri"/>
          <w:color w:val="231F20"/>
          <w:w w:val="105"/>
        </w:rPr>
        <w:t xml:space="preserve"> </w:t>
      </w:r>
      <w:r w:rsidRPr="00CD1C1C">
        <w:rPr>
          <w:rFonts w:ascii="Calibri" w:hAnsi="Calibri"/>
          <w:color w:val="231F20"/>
          <w:w w:val="105"/>
        </w:rPr>
        <w:t>value</w:t>
      </w:r>
      <w:r w:rsidRPr="00CD1C1C">
        <w:rPr>
          <w:rFonts w:ascii="Calibri" w:hAnsi="Calibri"/>
          <w:color w:val="231F20"/>
          <w:spacing w:val="23"/>
          <w:w w:val="105"/>
        </w:rPr>
        <w:t xml:space="preserve"> </w:t>
      </w:r>
      <w:r w:rsidRPr="00CD1C1C">
        <w:rPr>
          <w:rFonts w:ascii="Calibri" w:hAnsi="Calibri"/>
          <w:color w:val="231F20"/>
          <w:w w:val="105"/>
        </w:rPr>
        <w:t>for</w:t>
      </w:r>
      <w:r w:rsidRPr="00CD1C1C">
        <w:rPr>
          <w:rFonts w:ascii="Calibri" w:hAnsi="Calibri"/>
          <w:color w:val="231F20"/>
          <w:spacing w:val="23"/>
          <w:w w:val="105"/>
        </w:rPr>
        <w:t xml:space="preserve"> </w:t>
      </w:r>
      <w:r w:rsidRPr="00CD1C1C">
        <w:rPr>
          <w:rFonts w:ascii="Calibri" w:hAnsi="Calibri"/>
          <w:color w:val="231F20"/>
          <w:w w:val="105"/>
        </w:rPr>
        <w:t>both</w:t>
      </w:r>
      <w:r w:rsidRPr="00CD1C1C">
        <w:rPr>
          <w:rFonts w:ascii="Calibri" w:hAnsi="Calibri"/>
          <w:color w:val="231F20"/>
          <w:spacing w:val="23"/>
          <w:w w:val="105"/>
        </w:rPr>
        <w:t xml:space="preserve"> </w:t>
      </w:r>
      <w:r w:rsidRPr="00CD1C1C">
        <w:rPr>
          <w:rFonts w:ascii="Calibri" w:hAnsi="Calibri"/>
          <w:color w:val="231F20"/>
          <w:w w:val="105"/>
        </w:rPr>
        <w:t>employers</w:t>
      </w:r>
      <w:r w:rsidRPr="00CD1C1C">
        <w:rPr>
          <w:rFonts w:ascii="Calibri" w:hAnsi="Calibri"/>
          <w:color w:val="231F20"/>
          <w:spacing w:val="23"/>
          <w:w w:val="105"/>
        </w:rPr>
        <w:t xml:space="preserve"> </w:t>
      </w:r>
      <w:r w:rsidRPr="00CD1C1C">
        <w:rPr>
          <w:rFonts w:ascii="Calibri" w:hAnsi="Calibri"/>
          <w:color w:val="231F20"/>
          <w:w w:val="105"/>
        </w:rPr>
        <w:t>and</w:t>
      </w:r>
      <w:r w:rsidRPr="00CD1C1C">
        <w:rPr>
          <w:rFonts w:ascii="Calibri" w:hAnsi="Calibri"/>
          <w:color w:val="231F20"/>
          <w:spacing w:val="23"/>
          <w:w w:val="105"/>
        </w:rPr>
        <w:t xml:space="preserve"> </w:t>
      </w:r>
      <w:r w:rsidRPr="00CD1C1C">
        <w:rPr>
          <w:rFonts w:ascii="Calibri" w:hAnsi="Calibri"/>
          <w:color w:val="231F20"/>
          <w:w w:val="105"/>
        </w:rPr>
        <w:t>job</w:t>
      </w:r>
      <w:r w:rsidRPr="00CD1C1C">
        <w:rPr>
          <w:rFonts w:ascii="Calibri" w:hAnsi="Calibri"/>
          <w:color w:val="231F20"/>
          <w:spacing w:val="23"/>
          <w:w w:val="105"/>
        </w:rPr>
        <w:t xml:space="preserve"> </w:t>
      </w:r>
      <w:r w:rsidRPr="00CD1C1C">
        <w:rPr>
          <w:rFonts w:ascii="Calibri" w:hAnsi="Calibri"/>
          <w:color w:val="231F20"/>
          <w:w w:val="105"/>
        </w:rPr>
        <w:t>seekers</w:t>
      </w:r>
      <w:r w:rsidRPr="00CD1C1C">
        <w:rPr>
          <w:rFonts w:ascii="Calibri" w:hAnsi="Calibri"/>
          <w:color w:val="231F20"/>
          <w:spacing w:val="23"/>
          <w:w w:val="105"/>
        </w:rPr>
        <w:t xml:space="preserve"> </w:t>
      </w:r>
      <w:r w:rsidRPr="00CD1C1C">
        <w:rPr>
          <w:rFonts w:ascii="Calibri" w:hAnsi="Calibri"/>
          <w:color w:val="231F20"/>
          <w:w w:val="105"/>
        </w:rPr>
        <w:t>with</w:t>
      </w:r>
      <w:r w:rsidRPr="00CD1C1C">
        <w:rPr>
          <w:rFonts w:ascii="Calibri" w:hAnsi="Calibri"/>
          <w:color w:val="231F20"/>
          <w:spacing w:val="23"/>
          <w:w w:val="105"/>
        </w:rPr>
        <w:t xml:space="preserve"> </w:t>
      </w:r>
      <w:r w:rsidRPr="00CD1C1C">
        <w:rPr>
          <w:rFonts w:ascii="Calibri" w:hAnsi="Calibri"/>
          <w:color w:val="231F20"/>
          <w:w w:val="105"/>
        </w:rPr>
        <w:t>specific</w:t>
      </w:r>
      <w:r w:rsidRPr="00CD1C1C">
        <w:rPr>
          <w:rFonts w:ascii="Calibri" w:hAnsi="Calibri"/>
          <w:color w:val="231F20"/>
          <w:spacing w:val="23"/>
          <w:w w:val="105"/>
        </w:rPr>
        <w:t xml:space="preserve"> </w:t>
      </w:r>
      <w:r w:rsidRPr="00CD1C1C">
        <w:rPr>
          <w:rFonts w:ascii="Calibri" w:hAnsi="Calibri"/>
          <w:color w:val="231F20"/>
          <w:w w:val="105"/>
        </w:rPr>
        <w:t>interests</w:t>
      </w:r>
      <w:r w:rsidRPr="00CD1C1C">
        <w:rPr>
          <w:rFonts w:ascii="Calibri" w:hAnsi="Calibri"/>
          <w:color w:val="231F20"/>
          <w:spacing w:val="23"/>
          <w:w w:val="105"/>
        </w:rPr>
        <w:t xml:space="preserve"> </w:t>
      </w:r>
      <w:r w:rsidRPr="00CD1C1C">
        <w:rPr>
          <w:rFonts w:ascii="Calibri" w:hAnsi="Calibri"/>
          <w:color w:val="231F20"/>
          <w:w w:val="105"/>
        </w:rPr>
        <w:t>and</w:t>
      </w:r>
      <w:r w:rsidRPr="00CD1C1C">
        <w:rPr>
          <w:rFonts w:ascii="Calibri" w:hAnsi="Calibri"/>
          <w:color w:val="231F20"/>
          <w:spacing w:val="23"/>
          <w:w w:val="105"/>
        </w:rPr>
        <w:t xml:space="preserve"> </w:t>
      </w:r>
      <w:r w:rsidRPr="00CD1C1C">
        <w:rPr>
          <w:rFonts w:ascii="Calibri" w:hAnsi="Calibri"/>
          <w:color w:val="231F20"/>
          <w:w w:val="105"/>
        </w:rPr>
        <w:t>needs.</w:t>
      </w:r>
      <w:r w:rsidRPr="00CD1C1C">
        <w:rPr>
          <w:rFonts w:ascii="Calibri" w:hAnsi="Calibri"/>
          <w:color w:val="231F20"/>
          <w:spacing w:val="23"/>
          <w:w w:val="105"/>
        </w:rPr>
        <w:t xml:space="preserve"> </w:t>
      </w:r>
      <w:r w:rsidRPr="00CD1C1C">
        <w:rPr>
          <w:rFonts w:ascii="Calibri" w:hAnsi="Calibri"/>
          <w:color w:val="231F20"/>
          <w:w w:val="105"/>
        </w:rPr>
        <w:t>CareerSource</w:t>
      </w:r>
      <w:r w:rsidRPr="00CD1C1C">
        <w:rPr>
          <w:rFonts w:ascii="Calibri" w:hAnsi="Calibri"/>
          <w:color w:val="231F20"/>
          <w:spacing w:val="23"/>
          <w:w w:val="105"/>
        </w:rPr>
        <w:t xml:space="preserve"> </w:t>
      </w:r>
      <w:r w:rsidRPr="00CD1C1C">
        <w:rPr>
          <w:rFonts w:ascii="Calibri" w:hAnsi="Calibri"/>
          <w:color w:val="231F20"/>
          <w:w w:val="105"/>
        </w:rPr>
        <w:t xml:space="preserve">Florida and DEO, in collaboration with </w:t>
      </w:r>
      <w:r w:rsidRPr="00CD1C1C">
        <w:rPr>
          <w:rFonts w:ascii="Calibri" w:hAnsi="Calibri"/>
          <w:color w:val="231F20"/>
          <w:spacing w:val="-3"/>
          <w:w w:val="105"/>
        </w:rPr>
        <w:t xml:space="preserve">LWDBs </w:t>
      </w:r>
      <w:r w:rsidRPr="00CD1C1C">
        <w:rPr>
          <w:rFonts w:ascii="Calibri" w:hAnsi="Calibri"/>
          <w:color w:val="231F20"/>
          <w:w w:val="105"/>
        </w:rPr>
        <w:t>and other partners, maintain dedicated entry points with</w:t>
      </w:r>
      <w:r w:rsidRPr="00CD1C1C">
        <w:rPr>
          <w:rFonts w:ascii="Calibri" w:hAnsi="Calibri"/>
          <w:color w:val="231F20"/>
          <w:spacing w:val="17"/>
          <w:w w:val="105"/>
        </w:rPr>
        <w:t xml:space="preserve"> </w:t>
      </w:r>
      <w:r w:rsidRPr="00CD1C1C">
        <w:rPr>
          <w:rFonts w:ascii="Calibri" w:hAnsi="Calibri"/>
          <w:color w:val="231F20"/>
          <w:w w:val="105"/>
        </w:rPr>
        <w:t>customized</w:t>
      </w:r>
      <w:r w:rsidRPr="00CD1C1C">
        <w:rPr>
          <w:rFonts w:ascii="Calibri" w:hAnsi="Calibri"/>
          <w:color w:val="231F20"/>
          <w:w w:val="108"/>
        </w:rPr>
        <w:t xml:space="preserve"> </w:t>
      </w:r>
      <w:r w:rsidRPr="00CD1C1C">
        <w:rPr>
          <w:rFonts w:ascii="Calibri" w:hAnsi="Calibri"/>
          <w:color w:val="231F20"/>
          <w:w w:val="105"/>
        </w:rPr>
        <w:t>job</w:t>
      </w:r>
      <w:r w:rsidR="001F1991">
        <w:rPr>
          <w:rFonts w:ascii="Calibri" w:hAnsi="Calibri"/>
          <w:color w:val="231F20"/>
          <w:w w:val="105"/>
        </w:rPr>
        <w:t xml:space="preserve"> </w:t>
      </w:r>
      <w:r w:rsidRPr="00CD1C1C">
        <w:rPr>
          <w:rFonts w:ascii="Calibri" w:hAnsi="Calibri"/>
          <w:color w:val="231F20"/>
          <w:w w:val="105"/>
        </w:rPr>
        <w:t>search</w:t>
      </w:r>
      <w:r w:rsidRPr="00CD1C1C">
        <w:rPr>
          <w:rFonts w:ascii="Calibri" w:hAnsi="Calibri"/>
          <w:color w:val="231F20"/>
          <w:spacing w:val="25"/>
          <w:w w:val="105"/>
        </w:rPr>
        <w:t xml:space="preserve"> </w:t>
      </w:r>
      <w:r w:rsidRPr="00CD1C1C">
        <w:rPr>
          <w:rFonts w:ascii="Calibri" w:hAnsi="Calibri"/>
          <w:color w:val="231F20"/>
          <w:w w:val="105"/>
        </w:rPr>
        <w:t>information</w:t>
      </w:r>
      <w:r w:rsidRPr="00CD1C1C">
        <w:rPr>
          <w:rFonts w:ascii="Calibri" w:hAnsi="Calibri"/>
          <w:color w:val="231F20"/>
          <w:spacing w:val="25"/>
          <w:w w:val="105"/>
        </w:rPr>
        <w:t xml:space="preserve"> </w:t>
      </w:r>
      <w:r w:rsidRPr="00CD1C1C">
        <w:rPr>
          <w:rFonts w:ascii="Calibri" w:hAnsi="Calibri"/>
          <w:color w:val="231F20"/>
          <w:w w:val="105"/>
        </w:rPr>
        <w:t>and</w:t>
      </w:r>
      <w:r w:rsidRPr="00CD1C1C">
        <w:rPr>
          <w:rFonts w:ascii="Calibri" w:hAnsi="Calibri"/>
          <w:color w:val="231F20"/>
          <w:spacing w:val="25"/>
          <w:w w:val="105"/>
        </w:rPr>
        <w:t xml:space="preserve"> </w:t>
      </w:r>
      <w:r w:rsidRPr="00CD1C1C">
        <w:rPr>
          <w:rFonts w:ascii="Calibri" w:hAnsi="Calibri"/>
          <w:color w:val="231F20"/>
          <w:w w:val="105"/>
        </w:rPr>
        <w:t>resources. These resources are for</w:t>
      </w:r>
      <w:r w:rsidRPr="00CD1C1C">
        <w:rPr>
          <w:rFonts w:ascii="Calibri" w:hAnsi="Calibri"/>
          <w:color w:val="231F20"/>
          <w:spacing w:val="25"/>
          <w:w w:val="105"/>
        </w:rPr>
        <w:t xml:space="preserve"> </w:t>
      </w:r>
      <w:r w:rsidRPr="00CD1C1C">
        <w:rPr>
          <w:rFonts w:ascii="Calibri" w:hAnsi="Calibri"/>
          <w:color w:val="231F20"/>
          <w:w w:val="105"/>
        </w:rPr>
        <w:t>Florida</w:t>
      </w:r>
      <w:r w:rsidRPr="00CD1C1C">
        <w:rPr>
          <w:rFonts w:ascii="Calibri" w:hAnsi="Calibri"/>
          <w:color w:val="231F20"/>
          <w:spacing w:val="25"/>
          <w:w w:val="105"/>
        </w:rPr>
        <w:t xml:space="preserve"> </w:t>
      </w:r>
      <w:r w:rsidRPr="00CD1C1C">
        <w:rPr>
          <w:rFonts w:ascii="Calibri" w:hAnsi="Calibri"/>
          <w:color w:val="231F20"/>
          <w:w w:val="105"/>
        </w:rPr>
        <w:t>veterans,</w:t>
      </w:r>
      <w:r w:rsidRPr="00CD1C1C">
        <w:rPr>
          <w:rFonts w:ascii="Calibri" w:hAnsi="Calibri"/>
          <w:color w:val="231F20"/>
          <w:spacing w:val="25"/>
          <w:w w:val="105"/>
        </w:rPr>
        <w:t xml:space="preserve"> </w:t>
      </w:r>
      <w:r w:rsidRPr="00CD1C1C">
        <w:rPr>
          <w:rFonts w:ascii="Calibri" w:hAnsi="Calibri"/>
          <w:color w:val="231F20"/>
          <w:w w:val="105"/>
        </w:rPr>
        <w:t>job</w:t>
      </w:r>
      <w:r w:rsidRPr="00CD1C1C">
        <w:rPr>
          <w:rFonts w:ascii="Calibri" w:hAnsi="Calibri"/>
          <w:color w:val="231F20"/>
          <w:spacing w:val="25"/>
          <w:w w:val="105"/>
        </w:rPr>
        <w:t xml:space="preserve"> </w:t>
      </w:r>
      <w:r w:rsidRPr="00CD1C1C">
        <w:rPr>
          <w:rFonts w:ascii="Calibri" w:hAnsi="Calibri"/>
          <w:color w:val="231F20"/>
          <w:w w:val="105"/>
        </w:rPr>
        <w:t>seekers</w:t>
      </w:r>
      <w:r w:rsidRPr="00CD1C1C">
        <w:rPr>
          <w:rFonts w:ascii="Calibri" w:hAnsi="Calibri"/>
          <w:color w:val="231F20"/>
          <w:spacing w:val="25"/>
          <w:w w:val="105"/>
        </w:rPr>
        <w:t xml:space="preserve"> </w:t>
      </w:r>
      <w:r w:rsidRPr="00CD1C1C">
        <w:rPr>
          <w:rFonts w:ascii="Calibri" w:hAnsi="Calibri"/>
          <w:color w:val="231F20"/>
          <w:w w:val="105"/>
        </w:rPr>
        <w:t>age</w:t>
      </w:r>
      <w:r w:rsidRPr="00CD1C1C">
        <w:rPr>
          <w:rFonts w:ascii="Calibri" w:hAnsi="Calibri"/>
          <w:color w:val="231F20"/>
          <w:spacing w:val="25"/>
          <w:w w:val="105"/>
        </w:rPr>
        <w:t xml:space="preserve"> </w:t>
      </w:r>
      <w:r w:rsidRPr="00CD1C1C">
        <w:rPr>
          <w:rFonts w:ascii="Calibri" w:hAnsi="Calibri"/>
          <w:color w:val="231F20"/>
          <w:w w:val="105"/>
        </w:rPr>
        <w:t>50</w:t>
      </w:r>
      <w:r w:rsidRPr="00CD1C1C">
        <w:rPr>
          <w:rFonts w:ascii="Calibri" w:hAnsi="Calibri"/>
          <w:color w:val="231F20"/>
          <w:spacing w:val="25"/>
          <w:w w:val="105"/>
        </w:rPr>
        <w:t xml:space="preserve"> </w:t>
      </w:r>
      <w:r w:rsidRPr="00CD1C1C">
        <w:rPr>
          <w:rFonts w:ascii="Calibri" w:hAnsi="Calibri"/>
          <w:color w:val="231F20"/>
          <w:w w:val="105"/>
        </w:rPr>
        <w:t>and</w:t>
      </w:r>
      <w:r w:rsidRPr="00CD1C1C">
        <w:rPr>
          <w:rFonts w:ascii="Calibri" w:hAnsi="Calibri"/>
          <w:color w:val="231F20"/>
          <w:spacing w:val="25"/>
          <w:w w:val="105"/>
        </w:rPr>
        <w:t xml:space="preserve"> </w:t>
      </w:r>
      <w:r w:rsidRPr="00CD1C1C">
        <w:rPr>
          <w:rFonts w:ascii="Calibri" w:hAnsi="Calibri"/>
          <w:color w:val="231F20"/>
          <w:spacing w:val="-3"/>
          <w:w w:val="105"/>
        </w:rPr>
        <w:t>older,</w:t>
      </w:r>
      <w:r w:rsidRPr="00CD1C1C">
        <w:rPr>
          <w:rFonts w:ascii="Calibri" w:hAnsi="Calibri"/>
          <w:color w:val="231F20"/>
          <w:spacing w:val="25"/>
          <w:w w:val="105"/>
        </w:rPr>
        <w:t xml:space="preserve"> </w:t>
      </w:r>
      <w:r w:rsidRPr="00CD1C1C">
        <w:rPr>
          <w:rFonts w:ascii="Calibri" w:hAnsi="Calibri"/>
          <w:color w:val="231F20"/>
          <w:w w:val="105"/>
        </w:rPr>
        <w:t>those</w:t>
      </w:r>
      <w:r w:rsidRPr="00CD1C1C">
        <w:rPr>
          <w:rFonts w:ascii="Calibri" w:hAnsi="Calibri"/>
          <w:color w:val="231F20"/>
          <w:spacing w:val="25"/>
          <w:w w:val="105"/>
        </w:rPr>
        <w:t xml:space="preserve"> </w:t>
      </w:r>
      <w:r w:rsidRPr="00CD1C1C">
        <w:rPr>
          <w:rFonts w:ascii="Calibri" w:hAnsi="Calibri"/>
          <w:color w:val="231F20"/>
          <w:w w:val="105"/>
        </w:rPr>
        <w:t>interested in green jobs, people with disabilities, recent college graduates</w:t>
      </w:r>
      <w:r w:rsidR="00D5537E">
        <w:rPr>
          <w:rFonts w:ascii="Calibri" w:hAnsi="Calibri"/>
          <w:color w:val="231F20"/>
          <w:w w:val="105"/>
        </w:rPr>
        <w:t xml:space="preserve"> and</w:t>
      </w:r>
      <w:r w:rsidRPr="00CD1C1C">
        <w:rPr>
          <w:rFonts w:ascii="Calibri" w:hAnsi="Calibri"/>
          <w:color w:val="231F20"/>
          <w:w w:val="105"/>
        </w:rPr>
        <w:t xml:space="preserve"> people and businesses impacted by specific events such as hurricanes.</w:t>
      </w:r>
    </w:p>
    <w:p w14:paraId="10C09533" w14:textId="69448DA6" w:rsidR="00CD1C1C" w:rsidRPr="00DB7914" w:rsidRDefault="00CD1C1C" w:rsidP="00D63204">
      <w:pPr>
        <w:widowControl w:val="0"/>
        <w:spacing w:before="195" w:after="0" w:line="240" w:lineRule="auto"/>
        <w:ind w:left="107"/>
        <w:rPr>
          <w:rFonts w:ascii="Calibri" w:hAnsi="Calibri"/>
          <w:color w:val="231F20"/>
          <w:w w:val="110"/>
        </w:rPr>
      </w:pPr>
      <w:r w:rsidRPr="00BA1FDB">
        <w:rPr>
          <w:rFonts w:ascii="Calibri" w:hAnsi="Calibri"/>
          <w:color w:val="231F20"/>
          <w:w w:val="105"/>
        </w:rPr>
        <w:t>The Florida Abilities Work portal at</w:t>
      </w:r>
      <w:r w:rsidRPr="00CD1C1C">
        <w:rPr>
          <w:rFonts w:ascii="Calibri" w:hAnsi="Calibri"/>
          <w:color w:val="231F20"/>
          <w:w w:val="110"/>
        </w:rPr>
        <w:t xml:space="preserve"> </w:t>
      </w:r>
      <w:r w:rsidRPr="00CD1C1C">
        <w:rPr>
          <w:rStyle w:val="Hyperlink"/>
          <w:rFonts w:cs="Calibri"/>
        </w:rPr>
        <w:t>www.</w:t>
      </w:r>
      <w:hyperlink r:id="rId98" w:history="1">
        <w:r w:rsidRPr="00CD1C1C">
          <w:rPr>
            <w:rStyle w:val="Hyperlink"/>
            <w:rFonts w:cs="Calibri"/>
          </w:rPr>
          <w:t>abilitieswork.employflorida.com</w:t>
        </w:r>
      </w:hyperlink>
      <w:r w:rsidRPr="00CD1C1C">
        <w:rPr>
          <w:rFonts w:ascii="Calibri" w:hAnsi="Calibri"/>
          <w:color w:val="231F20"/>
          <w:w w:val="110"/>
        </w:rPr>
        <w:t xml:space="preserve"> </w:t>
      </w:r>
      <w:r w:rsidRPr="00BA1FDB">
        <w:rPr>
          <w:rFonts w:ascii="Calibri" w:hAnsi="Calibri"/>
          <w:color w:val="231F20"/>
          <w:w w:val="105"/>
        </w:rPr>
        <w:t>is a tool for employers and job seekers with disabilities. The micro-portal is housed on the Employ Florida website with a logo button for ease of access. The portal was specifically designed to provide resources to people with disabilities and to assist employers who are interested in hiring. The 2014 Florida Legislature appropriated funding for a help desk that is staffed by Vocational Rehabilitation. The portal was developed in response to the Governor’s Commission on Jobs for Floridians with Disabilities collaboratively with input from several partners including the Agency for Persons with Disabilities, VR</w:t>
      </w:r>
      <w:r w:rsidR="00D5537E" w:rsidRPr="00BA1FDB">
        <w:rPr>
          <w:rFonts w:ascii="Calibri" w:hAnsi="Calibri"/>
          <w:color w:val="231F20"/>
          <w:w w:val="105"/>
        </w:rPr>
        <w:t xml:space="preserve"> and</w:t>
      </w:r>
      <w:r w:rsidRPr="00BA1FDB">
        <w:rPr>
          <w:rFonts w:ascii="Calibri" w:hAnsi="Calibri"/>
          <w:color w:val="231F20"/>
          <w:w w:val="105"/>
        </w:rPr>
        <w:t xml:space="preserve"> Division of Blind Services (FDBS)</w:t>
      </w:r>
      <w:r w:rsidR="00D5537E" w:rsidRPr="00BA1FDB">
        <w:rPr>
          <w:rFonts w:ascii="Calibri" w:hAnsi="Calibri"/>
          <w:color w:val="231F20"/>
          <w:w w:val="105"/>
        </w:rPr>
        <w:t xml:space="preserve"> and</w:t>
      </w:r>
      <w:r w:rsidRPr="00BA1FDB">
        <w:rPr>
          <w:rFonts w:ascii="Calibri" w:hAnsi="Calibri"/>
          <w:color w:val="231F20"/>
          <w:w w:val="105"/>
        </w:rPr>
        <w:t xml:space="preserve"> the Florida Developmental Disabilities Council. Focus groups convened around the state, allowing input from stakeholders including employers, field staff, customers and family members. A communications group of representatives from partner agencies met during development to ensure a consistent message.</w:t>
      </w:r>
    </w:p>
    <w:p w14:paraId="1639022E" w14:textId="77777777" w:rsidR="00EA7458" w:rsidRPr="00EA7458" w:rsidRDefault="00EA7458" w:rsidP="00D63204">
      <w:pPr>
        <w:widowControl w:val="0"/>
        <w:spacing w:before="5" w:after="0" w:line="240" w:lineRule="auto"/>
        <w:ind w:left="107"/>
        <w:rPr>
          <w:rFonts w:ascii="Calibri" w:hAnsi="Calibri" w:cs="Calibri"/>
          <w:sz w:val="16"/>
          <w:szCs w:val="16"/>
        </w:rPr>
      </w:pPr>
    </w:p>
    <w:p w14:paraId="40292151" w14:textId="7DC5B6FD" w:rsidR="00075E5D" w:rsidRDefault="00EA7458" w:rsidP="00D63204">
      <w:pPr>
        <w:widowControl w:val="0"/>
        <w:spacing w:after="0" w:line="240" w:lineRule="auto"/>
        <w:ind w:left="107"/>
        <w:rPr>
          <w:rFonts w:ascii="Calibri" w:hAnsi="Calibri"/>
          <w:b/>
          <w:bCs/>
          <w:color w:val="231F20"/>
          <w:w w:val="110"/>
        </w:rPr>
      </w:pPr>
      <w:r w:rsidRPr="00EA7458">
        <w:rPr>
          <w:rFonts w:ascii="Calibri" w:hAnsi="Calibri"/>
          <w:color w:val="231F20"/>
          <w:w w:val="105"/>
        </w:rPr>
        <w:t>Florida’s</w:t>
      </w:r>
      <w:r w:rsidRPr="00774583">
        <w:rPr>
          <w:rFonts w:ascii="Calibri" w:hAnsi="Calibri"/>
          <w:color w:val="231F20"/>
          <w:w w:val="105"/>
        </w:rPr>
        <w:t xml:space="preserve"> </w:t>
      </w:r>
      <w:r w:rsidRPr="00EA7458">
        <w:rPr>
          <w:rFonts w:ascii="Calibri" w:hAnsi="Calibri"/>
          <w:color w:val="231F20"/>
          <w:w w:val="105"/>
        </w:rPr>
        <w:t>partners</w:t>
      </w:r>
      <w:r w:rsidRPr="00774583">
        <w:rPr>
          <w:rFonts w:ascii="Calibri" w:hAnsi="Calibri"/>
          <w:color w:val="231F20"/>
          <w:w w:val="105"/>
        </w:rPr>
        <w:t xml:space="preserve"> </w:t>
      </w:r>
      <w:r w:rsidRPr="00EA7458">
        <w:rPr>
          <w:rFonts w:ascii="Calibri" w:hAnsi="Calibri"/>
          <w:color w:val="231F20"/>
          <w:w w:val="105"/>
        </w:rPr>
        <w:t>who</w:t>
      </w:r>
      <w:r w:rsidRPr="00774583">
        <w:rPr>
          <w:rFonts w:ascii="Calibri" w:hAnsi="Calibri"/>
          <w:color w:val="231F20"/>
          <w:w w:val="105"/>
        </w:rPr>
        <w:t xml:space="preserve"> </w:t>
      </w:r>
      <w:r w:rsidRPr="00EA7458">
        <w:rPr>
          <w:rFonts w:ascii="Calibri" w:hAnsi="Calibri"/>
          <w:color w:val="231F20"/>
          <w:w w:val="105"/>
        </w:rPr>
        <w:t>serve</w:t>
      </w:r>
      <w:r w:rsidRPr="00774583">
        <w:rPr>
          <w:rFonts w:ascii="Calibri" w:hAnsi="Calibri"/>
          <w:color w:val="231F20"/>
          <w:w w:val="105"/>
        </w:rPr>
        <w:t xml:space="preserve"> </w:t>
      </w:r>
      <w:r w:rsidRPr="00EA7458">
        <w:rPr>
          <w:rFonts w:ascii="Calibri" w:hAnsi="Calibri"/>
          <w:color w:val="231F20"/>
          <w:w w:val="105"/>
        </w:rPr>
        <w:t>specific</w:t>
      </w:r>
      <w:r w:rsidRPr="00774583">
        <w:rPr>
          <w:rFonts w:ascii="Calibri" w:hAnsi="Calibri"/>
          <w:color w:val="231F20"/>
          <w:w w:val="105"/>
        </w:rPr>
        <w:t xml:space="preserve"> </w:t>
      </w:r>
      <w:r w:rsidRPr="00EA7458">
        <w:rPr>
          <w:rFonts w:ascii="Calibri" w:hAnsi="Calibri"/>
          <w:color w:val="231F20"/>
          <w:w w:val="105"/>
        </w:rPr>
        <w:t>population</w:t>
      </w:r>
      <w:r w:rsidR="00777DFC">
        <w:rPr>
          <w:rFonts w:ascii="Calibri" w:hAnsi="Calibri"/>
          <w:color w:val="231F20"/>
          <w:w w:val="105"/>
        </w:rPr>
        <w:t>s</w:t>
      </w:r>
      <w:r w:rsidRPr="00774583">
        <w:rPr>
          <w:rFonts w:ascii="Calibri" w:hAnsi="Calibri"/>
          <w:color w:val="231F20"/>
          <w:w w:val="105"/>
        </w:rPr>
        <w:t xml:space="preserve"> </w:t>
      </w:r>
      <w:r w:rsidRPr="00EA7458">
        <w:rPr>
          <w:rFonts w:ascii="Calibri" w:hAnsi="Calibri"/>
          <w:color w:val="231F20"/>
          <w:w w:val="105"/>
        </w:rPr>
        <w:t>engage</w:t>
      </w:r>
      <w:r w:rsidRPr="00774583">
        <w:rPr>
          <w:rFonts w:ascii="Calibri" w:hAnsi="Calibri"/>
          <w:color w:val="231F20"/>
          <w:w w:val="105"/>
        </w:rPr>
        <w:t xml:space="preserve"> </w:t>
      </w:r>
      <w:r w:rsidRPr="00EA7458">
        <w:rPr>
          <w:rFonts w:ascii="Calibri" w:hAnsi="Calibri"/>
          <w:color w:val="231F20"/>
          <w:w w:val="105"/>
        </w:rPr>
        <w:t>in activities critical to Florida’s workforce development</w:t>
      </w:r>
      <w:r w:rsidRPr="00774583">
        <w:rPr>
          <w:rFonts w:ascii="Calibri" w:hAnsi="Calibri"/>
          <w:color w:val="231F20"/>
          <w:w w:val="105"/>
        </w:rPr>
        <w:t xml:space="preserve"> </w:t>
      </w:r>
      <w:r w:rsidRPr="00EA7458">
        <w:rPr>
          <w:rFonts w:ascii="Calibri" w:hAnsi="Calibri"/>
          <w:color w:val="231F20"/>
          <w:w w:val="105"/>
        </w:rPr>
        <w:t>network.</w:t>
      </w:r>
      <w:r w:rsidR="001429C7">
        <w:rPr>
          <w:rFonts w:ascii="Calibri" w:hAnsi="Calibri"/>
          <w:color w:val="231F20"/>
          <w:w w:val="105"/>
        </w:rPr>
        <w:br/>
      </w:r>
      <w:bookmarkStart w:id="47" w:name="_Hlk505119659"/>
    </w:p>
    <w:p w14:paraId="5400F32B" w14:textId="19BE9A10" w:rsidR="00213C9E" w:rsidRDefault="00EA7458" w:rsidP="00D63204">
      <w:pPr>
        <w:widowControl w:val="0"/>
        <w:spacing w:after="0" w:line="240" w:lineRule="auto"/>
        <w:ind w:left="107"/>
        <w:rPr>
          <w:rFonts w:ascii="Calibri" w:hAnsi="Calibri"/>
          <w:b/>
          <w:bCs/>
          <w:color w:val="231F20"/>
          <w:w w:val="110"/>
        </w:rPr>
      </w:pPr>
      <w:r w:rsidRPr="00EA7458">
        <w:rPr>
          <w:rFonts w:ascii="Calibri" w:hAnsi="Calibri"/>
          <w:b/>
          <w:bCs/>
          <w:color w:val="231F20"/>
          <w:w w:val="110"/>
        </w:rPr>
        <w:t>Florida</w:t>
      </w:r>
      <w:r w:rsidRPr="00EA7458">
        <w:rPr>
          <w:rFonts w:ascii="Calibri" w:hAnsi="Calibri"/>
          <w:b/>
          <w:bCs/>
          <w:color w:val="231F20"/>
          <w:spacing w:val="-22"/>
          <w:w w:val="110"/>
        </w:rPr>
        <w:t xml:space="preserve"> </w:t>
      </w:r>
      <w:r w:rsidRPr="00EA7458">
        <w:rPr>
          <w:rFonts w:ascii="Calibri" w:hAnsi="Calibri"/>
          <w:b/>
          <w:bCs/>
          <w:color w:val="231F20"/>
          <w:w w:val="110"/>
        </w:rPr>
        <w:t>Division</w:t>
      </w:r>
      <w:r w:rsidRPr="00EA7458">
        <w:rPr>
          <w:rFonts w:ascii="Calibri" w:hAnsi="Calibri"/>
          <w:b/>
          <w:bCs/>
          <w:color w:val="231F20"/>
          <w:spacing w:val="-22"/>
          <w:w w:val="110"/>
        </w:rPr>
        <w:t xml:space="preserve"> </w:t>
      </w:r>
      <w:r w:rsidRPr="00EA7458">
        <w:rPr>
          <w:rFonts w:ascii="Calibri" w:hAnsi="Calibri"/>
          <w:b/>
          <w:bCs/>
          <w:color w:val="231F20"/>
          <w:w w:val="110"/>
        </w:rPr>
        <w:t>of</w:t>
      </w:r>
      <w:r w:rsidRPr="00EA7458">
        <w:rPr>
          <w:rFonts w:ascii="Calibri" w:hAnsi="Calibri"/>
          <w:b/>
          <w:bCs/>
          <w:color w:val="231F20"/>
          <w:spacing w:val="-22"/>
          <w:w w:val="110"/>
        </w:rPr>
        <w:t xml:space="preserve"> </w:t>
      </w:r>
      <w:r w:rsidRPr="00EA7458">
        <w:rPr>
          <w:rFonts w:ascii="Calibri" w:hAnsi="Calibri"/>
          <w:b/>
          <w:bCs/>
          <w:color w:val="231F20"/>
          <w:w w:val="110"/>
        </w:rPr>
        <w:t>Vocational</w:t>
      </w:r>
      <w:r w:rsidRPr="00EA7458">
        <w:rPr>
          <w:rFonts w:ascii="Calibri" w:hAnsi="Calibri"/>
          <w:b/>
          <w:bCs/>
          <w:color w:val="231F20"/>
          <w:spacing w:val="-22"/>
          <w:w w:val="110"/>
        </w:rPr>
        <w:t xml:space="preserve"> </w:t>
      </w:r>
      <w:r w:rsidRPr="00EA7458">
        <w:rPr>
          <w:rFonts w:ascii="Calibri" w:hAnsi="Calibri"/>
          <w:b/>
          <w:bCs/>
          <w:color w:val="231F20"/>
          <w:w w:val="110"/>
        </w:rPr>
        <w:t>Rehabilitation</w:t>
      </w:r>
      <w:r w:rsidRPr="00EA7458">
        <w:rPr>
          <w:rFonts w:ascii="Calibri" w:hAnsi="Calibri"/>
          <w:b/>
          <w:bCs/>
          <w:color w:val="231F20"/>
          <w:spacing w:val="-22"/>
          <w:w w:val="110"/>
        </w:rPr>
        <w:t xml:space="preserve"> </w:t>
      </w:r>
      <w:r w:rsidRPr="00EA7458">
        <w:rPr>
          <w:rFonts w:ascii="Calibri" w:hAnsi="Calibri"/>
          <w:b/>
          <w:bCs/>
          <w:color w:val="231F20"/>
          <w:w w:val="110"/>
        </w:rPr>
        <w:t>(VR)</w:t>
      </w:r>
      <w:r w:rsidRPr="00EA7458">
        <w:rPr>
          <w:rFonts w:ascii="Calibri" w:hAnsi="Calibri"/>
          <w:b/>
          <w:bCs/>
          <w:color w:val="231F20"/>
          <w:spacing w:val="-22"/>
          <w:w w:val="110"/>
        </w:rPr>
        <w:t xml:space="preserve"> </w:t>
      </w:r>
      <w:r w:rsidRPr="00EA7458">
        <w:rPr>
          <w:rFonts w:ascii="Calibri" w:hAnsi="Calibri"/>
          <w:b/>
          <w:bCs/>
          <w:color w:val="231F20"/>
          <w:w w:val="110"/>
        </w:rPr>
        <w:t>Workforce</w:t>
      </w:r>
      <w:r w:rsidRPr="00EA7458">
        <w:rPr>
          <w:rFonts w:ascii="Calibri" w:hAnsi="Calibri"/>
          <w:b/>
          <w:bCs/>
          <w:color w:val="231F20"/>
          <w:spacing w:val="-22"/>
          <w:w w:val="110"/>
        </w:rPr>
        <w:t xml:space="preserve"> </w:t>
      </w:r>
      <w:r w:rsidRPr="00EA7458">
        <w:rPr>
          <w:rFonts w:ascii="Calibri" w:hAnsi="Calibri"/>
          <w:b/>
          <w:bCs/>
          <w:color w:val="231F20"/>
          <w:w w:val="110"/>
        </w:rPr>
        <w:t>Development</w:t>
      </w:r>
      <w:r w:rsidRPr="00EA7458">
        <w:rPr>
          <w:rFonts w:ascii="Calibri" w:hAnsi="Calibri"/>
          <w:b/>
          <w:bCs/>
          <w:color w:val="231F20"/>
          <w:spacing w:val="-22"/>
          <w:w w:val="110"/>
        </w:rPr>
        <w:t xml:space="preserve"> </w:t>
      </w:r>
      <w:r w:rsidRPr="00EA7458">
        <w:rPr>
          <w:rFonts w:ascii="Calibri" w:hAnsi="Calibri"/>
          <w:b/>
          <w:bCs/>
          <w:color w:val="231F20"/>
          <w:w w:val="110"/>
        </w:rPr>
        <w:t>Activities</w:t>
      </w:r>
      <w:bookmarkEnd w:id="47"/>
    </w:p>
    <w:p w14:paraId="4246DD05" w14:textId="73302063" w:rsidR="00EA7458" w:rsidRPr="00A85ED4" w:rsidRDefault="00EA7458" w:rsidP="00D63204">
      <w:pPr>
        <w:widowControl w:val="0"/>
        <w:spacing w:before="57" w:after="0" w:line="240" w:lineRule="auto"/>
        <w:ind w:left="107"/>
        <w:outlineLvl w:val="2"/>
        <w:rPr>
          <w:rFonts w:ascii="Calibri" w:hAnsi="Calibri"/>
          <w:color w:val="231F20"/>
          <w:w w:val="105"/>
        </w:rPr>
      </w:pPr>
      <w:r w:rsidRPr="00EA7458">
        <w:rPr>
          <w:rFonts w:ascii="Calibri" w:hAnsi="Calibri"/>
          <w:color w:val="231F20"/>
          <w:w w:val="105"/>
        </w:rPr>
        <w:t>Activities</w:t>
      </w:r>
      <w:r w:rsidRPr="00A85ED4">
        <w:rPr>
          <w:rFonts w:ascii="Calibri" w:hAnsi="Calibri"/>
          <w:color w:val="231F20"/>
          <w:w w:val="105"/>
        </w:rPr>
        <w:t xml:space="preserve"> </w:t>
      </w:r>
      <w:r w:rsidRPr="00EA7458">
        <w:rPr>
          <w:rFonts w:ascii="Calibri" w:hAnsi="Calibri"/>
          <w:color w:val="231F20"/>
          <w:w w:val="105"/>
        </w:rPr>
        <w:t>for</w:t>
      </w:r>
      <w:r w:rsidRPr="00A85ED4">
        <w:rPr>
          <w:rFonts w:ascii="Calibri" w:hAnsi="Calibri"/>
          <w:color w:val="231F20"/>
          <w:w w:val="105"/>
        </w:rPr>
        <w:t xml:space="preserve"> </w:t>
      </w:r>
      <w:r w:rsidRPr="00EA7458">
        <w:rPr>
          <w:rFonts w:ascii="Calibri" w:hAnsi="Calibri"/>
          <w:color w:val="231F20"/>
          <w:w w:val="105"/>
        </w:rPr>
        <w:t>youth</w:t>
      </w:r>
      <w:r w:rsidRPr="00A85ED4">
        <w:rPr>
          <w:rFonts w:ascii="Calibri" w:hAnsi="Calibri"/>
          <w:color w:val="231F20"/>
          <w:w w:val="105"/>
        </w:rPr>
        <w:t xml:space="preserve"> </w:t>
      </w:r>
      <w:r w:rsidRPr="00EA7458">
        <w:rPr>
          <w:rFonts w:ascii="Calibri" w:hAnsi="Calibri"/>
          <w:color w:val="231F20"/>
          <w:w w:val="105"/>
        </w:rPr>
        <w:t>and</w:t>
      </w:r>
      <w:r w:rsidRPr="00A85ED4">
        <w:rPr>
          <w:rFonts w:ascii="Calibri" w:hAnsi="Calibri"/>
          <w:color w:val="231F20"/>
          <w:w w:val="105"/>
        </w:rPr>
        <w:t xml:space="preserve"> </w:t>
      </w:r>
      <w:r w:rsidRPr="00EA7458">
        <w:rPr>
          <w:rFonts w:ascii="Calibri" w:hAnsi="Calibri"/>
          <w:color w:val="231F20"/>
          <w:w w:val="105"/>
        </w:rPr>
        <w:t>students</w:t>
      </w:r>
      <w:r w:rsidRPr="00A85ED4">
        <w:rPr>
          <w:rFonts w:ascii="Calibri" w:hAnsi="Calibri"/>
          <w:color w:val="231F20"/>
          <w:w w:val="105"/>
        </w:rPr>
        <w:t xml:space="preserve"> </w:t>
      </w:r>
      <w:r w:rsidRPr="00EA7458">
        <w:rPr>
          <w:rFonts w:ascii="Calibri" w:hAnsi="Calibri"/>
          <w:color w:val="231F20"/>
          <w:w w:val="105"/>
        </w:rPr>
        <w:t>are</w:t>
      </w:r>
      <w:r w:rsidRPr="00A85ED4">
        <w:rPr>
          <w:rFonts w:ascii="Calibri" w:hAnsi="Calibri"/>
          <w:color w:val="231F20"/>
          <w:w w:val="105"/>
        </w:rPr>
        <w:t xml:space="preserve"> </w:t>
      </w:r>
      <w:r w:rsidRPr="00EA7458">
        <w:rPr>
          <w:rFonts w:ascii="Calibri" w:hAnsi="Calibri"/>
          <w:color w:val="231F20"/>
          <w:w w:val="105"/>
        </w:rPr>
        <w:t>designed</w:t>
      </w:r>
      <w:r w:rsidRPr="00A85ED4">
        <w:rPr>
          <w:rFonts w:ascii="Calibri" w:hAnsi="Calibri"/>
          <w:color w:val="231F20"/>
          <w:w w:val="105"/>
        </w:rPr>
        <w:t xml:space="preserve"> </w:t>
      </w:r>
      <w:r w:rsidRPr="00EA7458">
        <w:rPr>
          <w:rFonts w:ascii="Calibri" w:hAnsi="Calibri"/>
          <w:color w:val="231F20"/>
          <w:w w:val="105"/>
        </w:rPr>
        <w:t>to</w:t>
      </w:r>
      <w:r w:rsidRPr="00A85ED4">
        <w:rPr>
          <w:rFonts w:ascii="Calibri" w:hAnsi="Calibri"/>
          <w:color w:val="231F20"/>
          <w:w w:val="105"/>
        </w:rPr>
        <w:t xml:space="preserve"> </w:t>
      </w:r>
      <w:r w:rsidRPr="00EA7458">
        <w:rPr>
          <w:rFonts w:ascii="Calibri" w:hAnsi="Calibri"/>
          <w:color w:val="231F20"/>
          <w:w w:val="105"/>
        </w:rPr>
        <w:t>assist</w:t>
      </w:r>
      <w:r w:rsidRPr="00A85ED4">
        <w:rPr>
          <w:rFonts w:ascii="Calibri" w:hAnsi="Calibri"/>
          <w:color w:val="231F20"/>
          <w:w w:val="105"/>
        </w:rPr>
        <w:t xml:space="preserve"> </w:t>
      </w:r>
      <w:r w:rsidRPr="00EA7458">
        <w:rPr>
          <w:rFonts w:ascii="Calibri" w:hAnsi="Calibri"/>
          <w:color w:val="231F20"/>
          <w:w w:val="105"/>
        </w:rPr>
        <w:t>in</w:t>
      </w:r>
      <w:r w:rsidRPr="00A85ED4">
        <w:rPr>
          <w:rFonts w:ascii="Calibri" w:hAnsi="Calibri"/>
          <w:color w:val="231F20"/>
          <w:w w:val="105"/>
        </w:rPr>
        <w:t xml:space="preserve"> </w:t>
      </w:r>
      <w:r w:rsidRPr="00EA7458">
        <w:rPr>
          <w:rFonts w:ascii="Calibri" w:hAnsi="Calibri"/>
          <w:color w:val="231F20"/>
          <w:w w:val="105"/>
        </w:rPr>
        <w:t>developing</w:t>
      </w:r>
      <w:r w:rsidRPr="00A85ED4">
        <w:rPr>
          <w:rFonts w:ascii="Calibri" w:hAnsi="Calibri"/>
          <w:color w:val="231F20"/>
          <w:w w:val="105"/>
        </w:rPr>
        <w:t xml:space="preserve"> </w:t>
      </w:r>
      <w:r w:rsidRPr="00EA7458">
        <w:rPr>
          <w:rFonts w:ascii="Calibri" w:hAnsi="Calibri"/>
          <w:color w:val="231F20"/>
          <w:w w:val="105"/>
        </w:rPr>
        <w:t>a</w:t>
      </w:r>
      <w:r w:rsidRPr="00A85ED4">
        <w:rPr>
          <w:rFonts w:ascii="Calibri" w:hAnsi="Calibri"/>
          <w:color w:val="231F20"/>
          <w:w w:val="105"/>
        </w:rPr>
        <w:t xml:space="preserve"> </w:t>
      </w:r>
      <w:r w:rsidRPr="00EA7458">
        <w:rPr>
          <w:rFonts w:ascii="Calibri" w:hAnsi="Calibri"/>
          <w:color w:val="231F20"/>
          <w:w w:val="105"/>
        </w:rPr>
        <w:t>concept</w:t>
      </w:r>
      <w:r w:rsidRPr="00A85ED4">
        <w:rPr>
          <w:rFonts w:ascii="Calibri" w:hAnsi="Calibri"/>
          <w:color w:val="231F20"/>
          <w:w w:val="105"/>
        </w:rPr>
        <w:t xml:space="preserve"> </w:t>
      </w:r>
      <w:r w:rsidRPr="00EA7458">
        <w:rPr>
          <w:rFonts w:ascii="Calibri" w:hAnsi="Calibri"/>
          <w:color w:val="231F20"/>
          <w:w w:val="105"/>
        </w:rPr>
        <w:t>of</w:t>
      </w:r>
      <w:r w:rsidRPr="00A85ED4">
        <w:rPr>
          <w:rFonts w:ascii="Calibri" w:hAnsi="Calibri"/>
          <w:color w:val="231F20"/>
          <w:w w:val="105"/>
        </w:rPr>
        <w:t xml:space="preserve"> </w:t>
      </w:r>
      <w:r w:rsidRPr="00EA7458">
        <w:rPr>
          <w:rFonts w:ascii="Calibri" w:hAnsi="Calibri"/>
          <w:color w:val="231F20"/>
          <w:w w:val="105"/>
        </w:rPr>
        <w:t>work,</w:t>
      </w:r>
      <w:r w:rsidRPr="00A85ED4">
        <w:rPr>
          <w:rFonts w:ascii="Calibri" w:hAnsi="Calibri"/>
          <w:color w:val="231F20"/>
          <w:w w:val="105"/>
        </w:rPr>
        <w:t xml:space="preserve"> </w:t>
      </w:r>
      <w:r w:rsidRPr="00EA7458">
        <w:rPr>
          <w:rFonts w:ascii="Calibri" w:hAnsi="Calibri"/>
          <w:color w:val="231F20"/>
          <w:w w:val="105"/>
        </w:rPr>
        <w:t>navigating</w:t>
      </w:r>
      <w:r w:rsidRPr="00A85ED4">
        <w:rPr>
          <w:rFonts w:ascii="Calibri" w:hAnsi="Calibri"/>
          <w:color w:val="231F20"/>
          <w:w w:val="105"/>
        </w:rPr>
        <w:t xml:space="preserve"> </w:t>
      </w:r>
      <w:r w:rsidRPr="00EA7458">
        <w:rPr>
          <w:rFonts w:ascii="Calibri" w:hAnsi="Calibri"/>
          <w:color w:val="231F20"/>
          <w:w w:val="105"/>
        </w:rPr>
        <w:t>the</w:t>
      </w:r>
      <w:r w:rsidRPr="00A85ED4">
        <w:rPr>
          <w:rFonts w:ascii="Calibri" w:hAnsi="Calibri"/>
          <w:color w:val="231F20"/>
          <w:w w:val="105"/>
        </w:rPr>
        <w:t xml:space="preserve"> </w:t>
      </w:r>
      <w:r w:rsidRPr="00EA7458">
        <w:rPr>
          <w:rFonts w:ascii="Calibri" w:hAnsi="Calibri"/>
          <w:color w:val="231F20"/>
          <w:w w:val="105"/>
        </w:rPr>
        <w:t>community</w:t>
      </w:r>
      <w:r w:rsidR="00D5537E">
        <w:rPr>
          <w:rFonts w:ascii="Calibri" w:hAnsi="Calibri"/>
          <w:color w:val="231F20"/>
          <w:w w:val="105"/>
        </w:rPr>
        <w:t xml:space="preserve"> and</w:t>
      </w:r>
      <w:r w:rsidRPr="00EA7458">
        <w:rPr>
          <w:rFonts w:ascii="Calibri" w:hAnsi="Calibri"/>
          <w:color w:val="231F20"/>
          <w:w w:val="105"/>
        </w:rPr>
        <w:t xml:space="preserve"> obtaining work experience during high school. Pre-Employment Transition Services</w:t>
      </w:r>
      <w:r w:rsidRPr="00A85ED4">
        <w:rPr>
          <w:rFonts w:ascii="Calibri" w:hAnsi="Calibri"/>
          <w:color w:val="231F20"/>
          <w:w w:val="105"/>
        </w:rPr>
        <w:t xml:space="preserve"> </w:t>
      </w:r>
      <w:r w:rsidR="00213C9E" w:rsidRPr="00A85ED4">
        <w:rPr>
          <w:rFonts w:ascii="Calibri" w:hAnsi="Calibri"/>
          <w:color w:val="231F20"/>
          <w:w w:val="105"/>
        </w:rPr>
        <w:t xml:space="preserve">for students with disabilities or potentially eligible students </w:t>
      </w:r>
      <w:r w:rsidRPr="00EA7458">
        <w:rPr>
          <w:rFonts w:ascii="Calibri" w:hAnsi="Calibri"/>
          <w:color w:val="231F20"/>
          <w:w w:val="105"/>
        </w:rPr>
        <w:t>include</w:t>
      </w:r>
      <w:r w:rsidRPr="00A85ED4">
        <w:rPr>
          <w:rFonts w:ascii="Calibri" w:hAnsi="Calibri"/>
          <w:color w:val="231F20"/>
          <w:w w:val="105"/>
        </w:rPr>
        <w:t xml:space="preserve"> </w:t>
      </w:r>
      <w:r w:rsidR="00213C9E">
        <w:rPr>
          <w:rFonts w:ascii="Calibri" w:hAnsi="Calibri"/>
          <w:color w:val="231F20"/>
          <w:w w:val="105"/>
        </w:rPr>
        <w:t xml:space="preserve">career exploration </w:t>
      </w:r>
      <w:r w:rsidRPr="00EA7458">
        <w:rPr>
          <w:rFonts w:ascii="Calibri" w:hAnsi="Calibri"/>
          <w:color w:val="231F20"/>
          <w:w w:val="105"/>
        </w:rPr>
        <w:t>counseling,</w:t>
      </w:r>
      <w:r w:rsidRPr="00A85ED4">
        <w:rPr>
          <w:rFonts w:ascii="Calibri" w:hAnsi="Calibri"/>
          <w:color w:val="231F20"/>
          <w:w w:val="105"/>
        </w:rPr>
        <w:t xml:space="preserve"> </w:t>
      </w:r>
      <w:r w:rsidRPr="00EA7458">
        <w:rPr>
          <w:rFonts w:ascii="Calibri" w:hAnsi="Calibri"/>
          <w:color w:val="231F20"/>
          <w:w w:val="105"/>
        </w:rPr>
        <w:t>work</w:t>
      </w:r>
      <w:r w:rsidRPr="00A85ED4">
        <w:rPr>
          <w:rFonts w:ascii="Calibri" w:hAnsi="Calibri"/>
          <w:color w:val="231F20"/>
          <w:w w:val="105"/>
        </w:rPr>
        <w:t xml:space="preserve"> </w:t>
      </w:r>
      <w:r w:rsidRPr="00EA7458">
        <w:rPr>
          <w:rFonts w:ascii="Calibri" w:hAnsi="Calibri"/>
          <w:color w:val="231F20"/>
          <w:w w:val="105"/>
        </w:rPr>
        <w:t>readiness</w:t>
      </w:r>
      <w:r w:rsidRPr="00A85ED4">
        <w:rPr>
          <w:rFonts w:ascii="Calibri" w:hAnsi="Calibri"/>
          <w:color w:val="231F20"/>
          <w:w w:val="105"/>
        </w:rPr>
        <w:t xml:space="preserve"> </w:t>
      </w:r>
      <w:r w:rsidR="00213C9E">
        <w:rPr>
          <w:rFonts w:ascii="Calibri" w:hAnsi="Calibri"/>
          <w:color w:val="231F20"/>
          <w:w w:val="105"/>
        </w:rPr>
        <w:t>and self-advocacy training</w:t>
      </w:r>
      <w:r w:rsidR="00D5537E">
        <w:rPr>
          <w:rFonts w:ascii="Calibri" w:hAnsi="Calibri"/>
          <w:color w:val="231F20"/>
          <w:w w:val="105"/>
        </w:rPr>
        <w:t xml:space="preserve"> and</w:t>
      </w:r>
      <w:r w:rsidR="00213C9E">
        <w:rPr>
          <w:rFonts w:ascii="Calibri" w:hAnsi="Calibri"/>
          <w:color w:val="231F20"/>
          <w:w w:val="105"/>
        </w:rPr>
        <w:t xml:space="preserve"> </w:t>
      </w:r>
      <w:r w:rsidRPr="00EA7458">
        <w:rPr>
          <w:rFonts w:ascii="Calibri" w:hAnsi="Calibri"/>
          <w:color w:val="231F20"/>
          <w:w w:val="105"/>
        </w:rPr>
        <w:t>experiential</w:t>
      </w:r>
      <w:r w:rsidRPr="00A85ED4">
        <w:rPr>
          <w:rFonts w:ascii="Calibri" w:hAnsi="Calibri"/>
          <w:color w:val="231F20"/>
          <w:w w:val="105"/>
        </w:rPr>
        <w:t xml:space="preserve"> </w:t>
      </w:r>
      <w:r w:rsidRPr="00EA7458">
        <w:rPr>
          <w:rFonts w:ascii="Calibri" w:hAnsi="Calibri"/>
          <w:color w:val="231F20"/>
          <w:w w:val="105"/>
        </w:rPr>
        <w:t>activities</w:t>
      </w:r>
      <w:r w:rsidRPr="00A85ED4">
        <w:rPr>
          <w:rFonts w:ascii="Calibri" w:hAnsi="Calibri"/>
          <w:color w:val="231F20"/>
          <w:w w:val="105"/>
        </w:rPr>
        <w:t xml:space="preserve"> </w:t>
      </w:r>
      <w:r w:rsidRPr="00EA7458">
        <w:rPr>
          <w:rFonts w:ascii="Calibri" w:hAnsi="Calibri"/>
          <w:color w:val="231F20"/>
          <w:w w:val="105"/>
        </w:rPr>
        <w:t>such</w:t>
      </w:r>
      <w:r w:rsidRPr="00A85ED4">
        <w:rPr>
          <w:rFonts w:ascii="Calibri" w:hAnsi="Calibri"/>
          <w:color w:val="231F20"/>
          <w:w w:val="105"/>
        </w:rPr>
        <w:t xml:space="preserve"> </w:t>
      </w:r>
      <w:r w:rsidRPr="00EA7458">
        <w:rPr>
          <w:rFonts w:ascii="Calibri" w:hAnsi="Calibri"/>
          <w:color w:val="231F20"/>
          <w:w w:val="105"/>
        </w:rPr>
        <w:t>as</w:t>
      </w:r>
      <w:r w:rsidRPr="00A85ED4">
        <w:rPr>
          <w:rFonts w:ascii="Calibri" w:hAnsi="Calibri"/>
          <w:color w:val="231F20"/>
          <w:w w:val="105"/>
        </w:rPr>
        <w:t xml:space="preserve"> </w:t>
      </w:r>
      <w:r w:rsidRPr="00EA7458">
        <w:rPr>
          <w:rFonts w:ascii="Calibri" w:hAnsi="Calibri"/>
          <w:color w:val="231F20"/>
          <w:w w:val="105"/>
        </w:rPr>
        <w:t>community-based</w:t>
      </w:r>
      <w:r w:rsidRPr="00A85ED4">
        <w:rPr>
          <w:rFonts w:ascii="Calibri" w:hAnsi="Calibri"/>
          <w:color w:val="231F20"/>
          <w:w w:val="105"/>
        </w:rPr>
        <w:t xml:space="preserve"> </w:t>
      </w:r>
      <w:r w:rsidRPr="00EA7458">
        <w:rPr>
          <w:rFonts w:ascii="Calibri" w:hAnsi="Calibri"/>
          <w:color w:val="231F20"/>
          <w:w w:val="105"/>
        </w:rPr>
        <w:t>work</w:t>
      </w:r>
      <w:r w:rsidRPr="00A85ED4">
        <w:rPr>
          <w:rFonts w:ascii="Calibri" w:hAnsi="Calibri"/>
          <w:color w:val="231F20"/>
          <w:w w:val="105"/>
        </w:rPr>
        <w:t xml:space="preserve"> </w:t>
      </w:r>
      <w:r w:rsidRPr="00EA7458">
        <w:rPr>
          <w:rFonts w:ascii="Calibri" w:hAnsi="Calibri"/>
          <w:color w:val="231F20"/>
          <w:w w:val="105"/>
        </w:rPr>
        <w:t>experience</w:t>
      </w:r>
      <w:r w:rsidRPr="00A85ED4">
        <w:rPr>
          <w:rFonts w:ascii="Calibri" w:hAnsi="Calibri"/>
          <w:color w:val="231F20"/>
          <w:w w:val="105"/>
        </w:rPr>
        <w:t xml:space="preserve"> </w:t>
      </w:r>
      <w:r w:rsidRPr="00EA7458">
        <w:rPr>
          <w:rFonts w:ascii="Calibri" w:hAnsi="Calibri"/>
          <w:color w:val="231F20"/>
          <w:w w:val="105"/>
        </w:rPr>
        <w:t>and</w:t>
      </w:r>
      <w:r w:rsidRPr="00A85ED4">
        <w:rPr>
          <w:rFonts w:ascii="Calibri" w:hAnsi="Calibri"/>
          <w:color w:val="231F20"/>
          <w:w w:val="105"/>
        </w:rPr>
        <w:t xml:space="preserve"> </w:t>
      </w:r>
      <w:r w:rsidRPr="00EA7458">
        <w:rPr>
          <w:rFonts w:ascii="Calibri" w:hAnsi="Calibri"/>
          <w:color w:val="231F20"/>
          <w:w w:val="105"/>
        </w:rPr>
        <w:t>on-the-job</w:t>
      </w:r>
      <w:r w:rsidRPr="00A85ED4">
        <w:rPr>
          <w:rFonts w:ascii="Calibri" w:hAnsi="Calibri"/>
          <w:color w:val="231F20"/>
          <w:w w:val="105"/>
        </w:rPr>
        <w:t xml:space="preserve"> </w:t>
      </w:r>
      <w:r w:rsidRPr="00EA7458">
        <w:rPr>
          <w:rFonts w:ascii="Calibri" w:hAnsi="Calibri"/>
          <w:color w:val="231F20"/>
          <w:w w:val="105"/>
        </w:rPr>
        <w:t>training.</w:t>
      </w:r>
      <w:r w:rsidRPr="00A85ED4">
        <w:rPr>
          <w:rFonts w:ascii="Calibri" w:hAnsi="Calibri"/>
          <w:color w:val="231F20"/>
          <w:w w:val="105"/>
        </w:rPr>
        <w:t xml:space="preserve"> </w:t>
      </w:r>
      <w:r w:rsidRPr="00EA7458">
        <w:rPr>
          <w:rFonts w:ascii="Calibri" w:hAnsi="Calibri"/>
          <w:color w:val="231F20"/>
          <w:w w:val="105"/>
        </w:rPr>
        <w:t>Support</w:t>
      </w:r>
      <w:r w:rsidRPr="00A85ED4">
        <w:rPr>
          <w:rFonts w:ascii="Calibri" w:hAnsi="Calibri"/>
          <w:color w:val="231F20"/>
          <w:w w:val="105"/>
        </w:rPr>
        <w:t xml:space="preserve"> </w:t>
      </w:r>
      <w:r w:rsidRPr="00EA7458">
        <w:rPr>
          <w:rFonts w:ascii="Calibri" w:hAnsi="Calibri"/>
          <w:color w:val="231F20"/>
          <w:w w:val="105"/>
        </w:rPr>
        <w:t>services</w:t>
      </w:r>
      <w:r w:rsidRPr="00A85ED4">
        <w:rPr>
          <w:rFonts w:ascii="Calibri" w:hAnsi="Calibri"/>
          <w:color w:val="231F20"/>
          <w:w w:val="105"/>
        </w:rPr>
        <w:t xml:space="preserve"> </w:t>
      </w:r>
      <w:r w:rsidR="00213C9E" w:rsidRPr="00A85ED4">
        <w:rPr>
          <w:rFonts w:ascii="Calibri" w:hAnsi="Calibri"/>
          <w:color w:val="231F20"/>
          <w:w w:val="105"/>
        </w:rPr>
        <w:t xml:space="preserve">available to eligible students with disabilities or youth with disabilities </w:t>
      </w:r>
      <w:r w:rsidRPr="00EA7458">
        <w:rPr>
          <w:rFonts w:ascii="Calibri" w:hAnsi="Calibri"/>
          <w:color w:val="231F20"/>
          <w:w w:val="105"/>
        </w:rPr>
        <w:t>include</w:t>
      </w:r>
      <w:r w:rsidRPr="00A85ED4">
        <w:rPr>
          <w:rFonts w:ascii="Calibri" w:hAnsi="Calibri"/>
          <w:color w:val="231F20"/>
          <w:w w:val="105"/>
        </w:rPr>
        <w:t xml:space="preserve"> </w:t>
      </w:r>
      <w:r w:rsidRPr="00EA7458">
        <w:rPr>
          <w:rFonts w:ascii="Calibri" w:hAnsi="Calibri"/>
          <w:color w:val="231F20"/>
          <w:w w:val="105"/>
        </w:rPr>
        <w:t>assistive</w:t>
      </w:r>
      <w:r w:rsidRPr="00A85ED4">
        <w:rPr>
          <w:rFonts w:ascii="Calibri" w:hAnsi="Calibri"/>
          <w:color w:val="231F20"/>
          <w:w w:val="105"/>
        </w:rPr>
        <w:t xml:space="preserve"> </w:t>
      </w:r>
      <w:r w:rsidRPr="00EA7458">
        <w:rPr>
          <w:rFonts w:ascii="Calibri" w:hAnsi="Calibri"/>
          <w:color w:val="231F20"/>
          <w:w w:val="105"/>
        </w:rPr>
        <w:t>technology</w:t>
      </w:r>
      <w:r w:rsidRPr="00A85ED4">
        <w:rPr>
          <w:rFonts w:ascii="Calibri" w:hAnsi="Calibri"/>
          <w:color w:val="231F20"/>
          <w:w w:val="105"/>
        </w:rPr>
        <w:t xml:space="preserve"> </w:t>
      </w:r>
      <w:r w:rsidRPr="00EA7458">
        <w:rPr>
          <w:rFonts w:ascii="Calibri" w:hAnsi="Calibri"/>
          <w:color w:val="231F20"/>
          <w:w w:val="105"/>
        </w:rPr>
        <w:t>and</w:t>
      </w:r>
      <w:r w:rsidRPr="00A85ED4">
        <w:rPr>
          <w:rFonts w:ascii="Calibri" w:hAnsi="Calibri"/>
          <w:color w:val="231F20"/>
          <w:w w:val="105"/>
        </w:rPr>
        <w:t xml:space="preserve"> </w:t>
      </w:r>
      <w:r w:rsidRPr="00EA7458">
        <w:rPr>
          <w:rFonts w:ascii="Calibri" w:hAnsi="Calibri"/>
          <w:color w:val="231F20"/>
          <w:w w:val="105"/>
        </w:rPr>
        <w:t>services,</w:t>
      </w:r>
      <w:r w:rsidRPr="00A85ED4">
        <w:rPr>
          <w:rFonts w:ascii="Calibri" w:hAnsi="Calibri"/>
          <w:color w:val="231F20"/>
          <w:w w:val="105"/>
        </w:rPr>
        <w:t xml:space="preserve"> </w:t>
      </w:r>
      <w:r w:rsidRPr="00EA7458">
        <w:rPr>
          <w:rFonts w:ascii="Calibri" w:hAnsi="Calibri"/>
          <w:color w:val="231F20"/>
          <w:w w:val="105"/>
        </w:rPr>
        <w:t>transportation</w:t>
      </w:r>
      <w:r w:rsidRPr="00A85ED4">
        <w:rPr>
          <w:rFonts w:ascii="Calibri" w:hAnsi="Calibri"/>
          <w:color w:val="231F20"/>
          <w:w w:val="105"/>
        </w:rPr>
        <w:t xml:space="preserve"> </w:t>
      </w:r>
      <w:r w:rsidRPr="00EA7458">
        <w:rPr>
          <w:rFonts w:ascii="Calibri" w:hAnsi="Calibri"/>
          <w:color w:val="231F20"/>
          <w:w w:val="105"/>
        </w:rPr>
        <w:t>and</w:t>
      </w:r>
      <w:r w:rsidRPr="00A85ED4">
        <w:rPr>
          <w:rFonts w:ascii="Calibri" w:hAnsi="Calibri"/>
          <w:color w:val="231F20"/>
          <w:w w:val="105"/>
        </w:rPr>
        <w:t xml:space="preserve"> </w:t>
      </w:r>
      <w:r w:rsidRPr="00EA7458">
        <w:rPr>
          <w:rFonts w:ascii="Calibri" w:hAnsi="Calibri"/>
          <w:color w:val="231F20"/>
          <w:w w:val="105"/>
        </w:rPr>
        <w:t>uniforms.</w:t>
      </w:r>
      <w:r w:rsidRPr="00A85ED4">
        <w:rPr>
          <w:rFonts w:ascii="Calibri" w:hAnsi="Calibri"/>
          <w:color w:val="231F20"/>
          <w:w w:val="105"/>
        </w:rPr>
        <w:t xml:space="preserve"> </w:t>
      </w:r>
      <w:r w:rsidRPr="00EA7458">
        <w:rPr>
          <w:rFonts w:ascii="Calibri" w:hAnsi="Calibri"/>
          <w:color w:val="231F20"/>
          <w:w w:val="105"/>
        </w:rPr>
        <w:t>Intensive</w:t>
      </w:r>
      <w:r w:rsidRPr="00A85ED4">
        <w:rPr>
          <w:rFonts w:ascii="Calibri" w:hAnsi="Calibri"/>
          <w:color w:val="231F20"/>
          <w:w w:val="105"/>
        </w:rPr>
        <w:t xml:space="preserve"> </w:t>
      </w:r>
      <w:r w:rsidRPr="00EA7458">
        <w:rPr>
          <w:rFonts w:ascii="Calibri" w:hAnsi="Calibri"/>
          <w:color w:val="231F20"/>
          <w:w w:val="105"/>
        </w:rPr>
        <w:t>services</w:t>
      </w:r>
      <w:r w:rsidRPr="00A85ED4">
        <w:rPr>
          <w:rFonts w:ascii="Calibri" w:hAnsi="Calibri"/>
          <w:color w:val="231F20"/>
          <w:w w:val="105"/>
        </w:rPr>
        <w:t xml:space="preserve"> </w:t>
      </w:r>
      <w:r w:rsidRPr="00EA7458">
        <w:rPr>
          <w:rFonts w:ascii="Calibri" w:hAnsi="Calibri"/>
          <w:color w:val="231F20"/>
          <w:w w:val="105"/>
        </w:rPr>
        <w:t>are</w:t>
      </w:r>
      <w:r w:rsidRPr="00A85ED4">
        <w:rPr>
          <w:rFonts w:ascii="Calibri" w:hAnsi="Calibri"/>
          <w:color w:val="231F20"/>
          <w:w w:val="105"/>
        </w:rPr>
        <w:t xml:space="preserve"> </w:t>
      </w:r>
      <w:r w:rsidRPr="00EA7458">
        <w:rPr>
          <w:rFonts w:ascii="Calibri" w:hAnsi="Calibri"/>
          <w:color w:val="231F20"/>
          <w:w w:val="105"/>
        </w:rPr>
        <w:t>designed</w:t>
      </w:r>
      <w:r w:rsidRPr="00A85ED4">
        <w:rPr>
          <w:rFonts w:ascii="Calibri" w:hAnsi="Calibri"/>
          <w:color w:val="231F20"/>
          <w:w w:val="105"/>
        </w:rPr>
        <w:t xml:space="preserve"> </w:t>
      </w:r>
      <w:r w:rsidRPr="00EA7458">
        <w:rPr>
          <w:rFonts w:ascii="Calibri" w:hAnsi="Calibri"/>
          <w:color w:val="231F20"/>
          <w:w w:val="105"/>
        </w:rPr>
        <w:t>for</w:t>
      </w:r>
      <w:r w:rsidRPr="00A85ED4">
        <w:rPr>
          <w:rFonts w:ascii="Calibri" w:hAnsi="Calibri"/>
          <w:color w:val="231F20"/>
          <w:w w:val="105"/>
        </w:rPr>
        <w:t xml:space="preserve"> </w:t>
      </w:r>
      <w:r w:rsidRPr="00EA7458">
        <w:rPr>
          <w:rFonts w:ascii="Calibri" w:hAnsi="Calibri"/>
          <w:color w:val="231F20"/>
          <w:w w:val="105"/>
        </w:rPr>
        <w:t>those</w:t>
      </w:r>
      <w:r w:rsidRPr="00A85ED4">
        <w:rPr>
          <w:rFonts w:ascii="Calibri" w:hAnsi="Calibri"/>
          <w:color w:val="231F20"/>
          <w:w w:val="105"/>
        </w:rPr>
        <w:t xml:space="preserve"> </w:t>
      </w:r>
      <w:r w:rsidRPr="00EA7458">
        <w:rPr>
          <w:rFonts w:ascii="Calibri" w:hAnsi="Calibri"/>
          <w:color w:val="231F20"/>
          <w:w w:val="105"/>
        </w:rPr>
        <w:t>who</w:t>
      </w:r>
      <w:r w:rsidRPr="00A85ED4">
        <w:rPr>
          <w:rFonts w:ascii="Calibri" w:hAnsi="Calibri"/>
          <w:color w:val="231F20"/>
          <w:w w:val="105"/>
        </w:rPr>
        <w:t xml:space="preserve"> </w:t>
      </w:r>
      <w:r w:rsidRPr="00EA7458">
        <w:rPr>
          <w:rFonts w:ascii="Calibri" w:hAnsi="Calibri"/>
          <w:color w:val="231F20"/>
          <w:w w:val="105"/>
        </w:rPr>
        <w:t>need</w:t>
      </w:r>
      <w:r w:rsidRPr="00A85ED4">
        <w:rPr>
          <w:rFonts w:ascii="Calibri" w:hAnsi="Calibri"/>
          <w:color w:val="231F20"/>
          <w:w w:val="105"/>
        </w:rPr>
        <w:t xml:space="preserve"> </w:t>
      </w:r>
      <w:r w:rsidRPr="00EA7458">
        <w:rPr>
          <w:rFonts w:ascii="Calibri" w:hAnsi="Calibri"/>
          <w:color w:val="231F20"/>
          <w:w w:val="105"/>
        </w:rPr>
        <w:t>additional</w:t>
      </w:r>
      <w:r w:rsidRPr="00A85ED4">
        <w:rPr>
          <w:rFonts w:ascii="Calibri" w:hAnsi="Calibri"/>
          <w:color w:val="231F20"/>
          <w:w w:val="105"/>
        </w:rPr>
        <w:t xml:space="preserve"> </w:t>
      </w:r>
      <w:r w:rsidRPr="00EA7458">
        <w:rPr>
          <w:rFonts w:ascii="Calibri" w:hAnsi="Calibri"/>
          <w:color w:val="231F20"/>
          <w:w w:val="105"/>
        </w:rPr>
        <w:t>support</w:t>
      </w:r>
      <w:r w:rsidRPr="00A85ED4">
        <w:rPr>
          <w:rFonts w:ascii="Calibri" w:hAnsi="Calibri"/>
          <w:color w:val="231F20"/>
          <w:w w:val="105"/>
        </w:rPr>
        <w:t xml:space="preserve"> </w:t>
      </w:r>
      <w:r w:rsidRPr="00EA7458">
        <w:rPr>
          <w:rFonts w:ascii="Calibri" w:hAnsi="Calibri"/>
          <w:color w:val="231F20"/>
          <w:w w:val="105"/>
        </w:rPr>
        <w:t>with</w:t>
      </w:r>
      <w:r w:rsidRPr="00A85ED4">
        <w:rPr>
          <w:rFonts w:ascii="Calibri" w:hAnsi="Calibri"/>
          <w:color w:val="231F20"/>
          <w:w w:val="105"/>
        </w:rPr>
        <w:t xml:space="preserve"> </w:t>
      </w:r>
      <w:r w:rsidRPr="00EA7458">
        <w:rPr>
          <w:rFonts w:ascii="Calibri" w:hAnsi="Calibri"/>
          <w:color w:val="231F20"/>
          <w:w w:val="105"/>
        </w:rPr>
        <w:t>appropriate</w:t>
      </w:r>
      <w:r w:rsidRPr="00A85ED4">
        <w:rPr>
          <w:rFonts w:ascii="Calibri" w:hAnsi="Calibri"/>
          <w:color w:val="231F20"/>
          <w:w w:val="105"/>
        </w:rPr>
        <w:t xml:space="preserve"> </w:t>
      </w:r>
      <w:r w:rsidRPr="00EA7458">
        <w:rPr>
          <w:rFonts w:ascii="Calibri" w:hAnsi="Calibri"/>
          <w:color w:val="231F20"/>
          <w:w w:val="105"/>
        </w:rPr>
        <w:t>work</w:t>
      </w:r>
      <w:r w:rsidRPr="00A85ED4">
        <w:rPr>
          <w:rFonts w:ascii="Calibri" w:hAnsi="Calibri"/>
          <w:color w:val="231F20"/>
          <w:w w:val="105"/>
        </w:rPr>
        <w:t xml:space="preserve"> </w:t>
      </w:r>
      <w:r w:rsidRPr="00EA7458">
        <w:rPr>
          <w:rFonts w:ascii="Calibri" w:hAnsi="Calibri"/>
          <w:color w:val="231F20"/>
          <w:w w:val="105"/>
        </w:rPr>
        <w:t>behavior,</w:t>
      </w:r>
      <w:r w:rsidRPr="00A85ED4">
        <w:rPr>
          <w:rFonts w:ascii="Calibri" w:hAnsi="Calibri"/>
          <w:color w:val="231F20"/>
          <w:w w:val="105"/>
        </w:rPr>
        <w:t xml:space="preserve"> </w:t>
      </w:r>
      <w:r w:rsidRPr="00EA7458">
        <w:rPr>
          <w:rFonts w:ascii="Calibri" w:hAnsi="Calibri"/>
          <w:color w:val="231F20"/>
          <w:w w:val="105"/>
        </w:rPr>
        <w:t>require</w:t>
      </w:r>
      <w:r w:rsidRPr="00A85ED4">
        <w:rPr>
          <w:rFonts w:ascii="Calibri" w:hAnsi="Calibri"/>
          <w:color w:val="231F20"/>
          <w:w w:val="105"/>
        </w:rPr>
        <w:t xml:space="preserve"> </w:t>
      </w:r>
      <w:r w:rsidRPr="00EA7458">
        <w:rPr>
          <w:rFonts w:ascii="Calibri" w:hAnsi="Calibri"/>
          <w:color w:val="231F20"/>
          <w:w w:val="105"/>
        </w:rPr>
        <w:t>repetition</w:t>
      </w:r>
      <w:r w:rsidRPr="00A85ED4">
        <w:rPr>
          <w:rFonts w:ascii="Calibri" w:hAnsi="Calibri"/>
          <w:color w:val="231F20"/>
          <w:w w:val="105"/>
        </w:rPr>
        <w:t xml:space="preserve"> </w:t>
      </w:r>
      <w:r w:rsidRPr="00EA7458">
        <w:rPr>
          <w:rFonts w:ascii="Calibri" w:hAnsi="Calibri"/>
          <w:color w:val="231F20"/>
          <w:w w:val="105"/>
        </w:rPr>
        <w:t>to</w:t>
      </w:r>
      <w:r w:rsidRPr="00A85ED4">
        <w:rPr>
          <w:rFonts w:ascii="Calibri" w:hAnsi="Calibri"/>
          <w:color w:val="231F20"/>
          <w:w w:val="105"/>
        </w:rPr>
        <w:t xml:space="preserve"> </w:t>
      </w:r>
      <w:r w:rsidRPr="00EA7458">
        <w:rPr>
          <w:rFonts w:ascii="Calibri" w:hAnsi="Calibri"/>
          <w:color w:val="231F20"/>
          <w:w w:val="105"/>
        </w:rPr>
        <w:t>acquire</w:t>
      </w:r>
      <w:r w:rsidRPr="00A85ED4">
        <w:rPr>
          <w:rFonts w:ascii="Calibri" w:hAnsi="Calibri"/>
          <w:color w:val="231F20"/>
          <w:w w:val="105"/>
        </w:rPr>
        <w:t xml:space="preserve"> </w:t>
      </w:r>
      <w:r w:rsidRPr="00EA7458">
        <w:rPr>
          <w:rFonts w:ascii="Calibri" w:hAnsi="Calibri"/>
          <w:color w:val="231F20"/>
          <w:w w:val="105"/>
        </w:rPr>
        <w:t>skills,</w:t>
      </w:r>
      <w:r w:rsidRPr="00A85ED4">
        <w:rPr>
          <w:rFonts w:ascii="Calibri" w:hAnsi="Calibri"/>
          <w:color w:val="231F20"/>
          <w:w w:val="105"/>
        </w:rPr>
        <w:t xml:space="preserve"> </w:t>
      </w:r>
      <w:r w:rsidRPr="00EA7458">
        <w:rPr>
          <w:rFonts w:ascii="Calibri" w:hAnsi="Calibri"/>
          <w:color w:val="231F20"/>
          <w:w w:val="105"/>
        </w:rPr>
        <w:t>build</w:t>
      </w:r>
      <w:r w:rsidRPr="00A85ED4">
        <w:rPr>
          <w:rFonts w:ascii="Calibri" w:hAnsi="Calibri"/>
          <w:color w:val="231F20"/>
          <w:w w:val="105"/>
        </w:rPr>
        <w:t xml:space="preserve"> </w:t>
      </w:r>
      <w:r w:rsidRPr="00EA7458">
        <w:rPr>
          <w:rFonts w:ascii="Calibri" w:hAnsi="Calibri"/>
          <w:color w:val="231F20"/>
          <w:w w:val="105"/>
        </w:rPr>
        <w:t>endurance</w:t>
      </w:r>
      <w:r w:rsidRPr="00A85ED4">
        <w:rPr>
          <w:rFonts w:ascii="Calibri" w:hAnsi="Calibri"/>
          <w:color w:val="231F20"/>
          <w:w w:val="105"/>
        </w:rPr>
        <w:t xml:space="preserve"> </w:t>
      </w:r>
      <w:r w:rsidRPr="00EA7458">
        <w:rPr>
          <w:rFonts w:ascii="Calibri" w:hAnsi="Calibri"/>
          <w:color w:val="231F20"/>
          <w:w w:val="105"/>
        </w:rPr>
        <w:lastRenderedPageBreak/>
        <w:t>to</w:t>
      </w:r>
      <w:r w:rsidRPr="00A85ED4">
        <w:rPr>
          <w:rFonts w:ascii="Calibri" w:hAnsi="Calibri"/>
          <w:color w:val="231F20"/>
          <w:w w:val="105"/>
        </w:rPr>
        <w:t xml:space="preserve"> </w:t>
      </w:r>
      <w:r w:rsidRPr="00EA7458">
        <w:rPr>
          <w:rFonts w:ascii="Calibri" w:hAnsi="Calibri"/>
          <w:color w:val="231F20"/>
          <w:w w:val="105"/>
        </w:rPr>
        <w:t>work</w:t>
      </w:r>
      <w:r w:rsidR="00D5537E">
        <w:rPr>
          <w:rFonts w:ascii="Calibri" w:hAnsi="Calibri"/>
          <w:color w:val="231F20"/>
          <w:w w:val="105"/>
        </w:rPr>
        <w:t xml:space="preserve"> and</w:t>
      </w:r>
      <w:r w:rsidRPr="00A85ED4">
        <w:rPr>
          <w:rFonts w:ascii="Calibri" w:hAnsi="Calibri"/>
          <w:color w:val="231F20"/>
          <w:w w:val="105"/>
        </w:rPr>
        <w:t xml:space="preserve"> </w:t>
      </w:r>
      <w:r w:rsidRPr="00EA7458">
        <w:rPr>
          <w:rFonts w:ascii="Calibri" w:hAnsi="Calibri"/>
          <w:color w:val="231F20"/>
          <w:w w:val="105"/>
        </w:rPr>
        <w:t>identify</w:t>
      </w:r>
      <w:r w:rsidRPr="00A85ED4">
        <w:rPr>
          <w:rFonts w:ascii="Calibri" w:hAnsi="Calibri"/>
          <w:color w:val="231F20"/>
          <w:w w:val="105"/>
        </w:rPr>
        <w:t xml:space="preserve"> </w:t>
      </w:r>
      <w:r w:rsidRPr="00EA7458">
        <w:rPr>
          <w:rFonts w:ascii="Calibri" w:hAnsi="Calibri"/>
          <w:color w:val="231F20"/>
          <w:w w:val="105"/>
        </w:rPr>
        <w:t>the</w:t>
      </w:r>
      <w:r w:rsidRPr="00A85ED4">
        <w:rPr>
          <w:rFonts w:ascii="Calibri" w:hAnsi="Calibri"/>
          <w:color w:val="231F20"/>
          <w:w w:val="105"/>
        </w:rPr>
        <w:t xml:space="preserve"> </w:t>
      </w:r>
      <w:r w:rsidRPr="00EA7458">
        <w:rPr>
          <w:rFonts w:ascii="Calibri" w:hAnsi="Calibri"/>
          <w:color w:val="231F20"/>
          <w:w w:val="105"/>
        </w:rPr>
        <w:t>right</w:t>
      </w:r>
      <w:r w:rsidRPr="00A85ED4">
        <w:rPr>
          <w:rFonts w:ascii="Calibri" w:hAnsi="Calibri"/>
          <w:color w:val="231F20"/>
          <w:w w:val="105"/>
        </w:rPr>
        <w:t xml:space="preserve"> </w:t>
      </w:r>
      <w:r w:rsidRPr="00EA7458">
        <w:rPr>
          <w:rFonts w:ascii="Calibri" w:hAnsi="Calibri"/>
          <w:color w:val="231F20"/>
          <w:w w:val="105"/>
        </w:rPr>
        <w:t>fit</w:t>
      </w:r>
      <w:r w:rsidRPr="00A85ED4">
        <w:rPr>
          <w:rFonts w:ascii="Calibri" w:hAnsi="Calibri"/>
          <w:color w:val="231F20"/>
          <w:w w:val="105"/>
        </w:rPr>
        <w:t xml:space="preserve"> </w:t>
      </w:r>
      <w:r w:rsidRPr="00EA7458">
        <w:rPr>
          <w:rFonts w:ascii="Calibri" w:hAnsi="Calibri"/>
          <w:color w:val="231F20"/>
          <w:w w:val="105"/>
        </w:rPr>
        <w:t>or</w:t>
      </w:r>
      <w:r w:rsidRPr="00A85ED4">
        <w:rPr>
          <w:rFonts w:ascii="Calibri" w:hAnsi="Calibri"/>
          <w:color w:val="231F20"/>
          <w:w w:val="105"/>
        </w:rPr>
        <w:t xml:space="preserve"> </w:t>
      </w:r>
      <w:r w:rsidRPr="00EA7458">
        <w:rPr>
          <w:rFonts w:ascii="Calibri" w:hAnsi="Calibri"/>
          <w:color w:val="231F20"/>
          <w:w w:val="105"/>
        </w:rPr>
        <w:t>environment</w:t>
      </w:r>
      <w:r w:rsidRPr="00A85ED4">
        <w:rPr>
          <w:rFonts w:ascii="Calibri" w:hAnsi="Calibri"/>
          <w:color w:val="231F20"/>
          <w:w w:val="105"/>
        </w:rPr>
        <w:t xml:space="preserve"> </w:t>
      </w:r>
      <w:r w:rsidRPr="00EA7458">
        <w:rPr>
          <w:rFonts w:ascii="Calibri" w:hAnsi="Calibri"/>
          <w:color w:val="231F20"/>
          <w:w w:val="105"/>
        </w:rPr>
        <w:t>for</w:t>
      </w:r>
      <w:r w:rsidRPr="00A85ED4">
        <w:rPr>
          <w:rFonts w:ascii="Calibri" w:hAnsi="Calibri"/>
          <w:color w:val="231F20"/>
          <w:w w:val="105"/>
        </w:rPr>
        <w:t xml:space="preserve"> </w:t>
      </w:r>
      <w:r w:rsidRPr="00EA7458">
        <w:rPr>
          <w:rFonts w:ascii="Calibri" w:hAnsi="Calibri"/>
          <w:color w:val="231F20"/>
          <w:w w:val="105"/>
        </w:rPr>
        <w:t>work.</w:t>
      </w:r>
      <w:r w:rsidRPr="00A85ED4">
        <w:rPr>
          <w:rFonts w:ascii="Calibri" w:hAnsi="Calibri"/>
          <w:color w:val="231F20"/>
          <w:w w:val="105"/>
        </w:rPr>
        <w:t xml:space="preserve"> </w:t>
      </w:r>
      <w:r w:rsidRPr="00EA7458">
        <w:rPr>
          <w:rFonts w:ascii="Calibri" w:hAnsi="Calibri"/>
          <w:color w:val="231F20"/>
          <w:w w:val="105"/>
        </w:rPr>
        <w:t>These</w:t>
      </w:r>
      <w:r w:rsidRPr="00A85ED4">
        <w:rPr>
          <w:rFonts w:ascii="Calibri" w:hAnsi="Calibri"/>
          <w:color w:val="231F20"/>
          <w:w w:val="105"/>
        </w:rPr>
        <w:t xml:space="preserve"> </w:t>
      </w:r>
      <w:r w:rsidRPr="00EA7458">
        <w:rPr>
          <w:rFonts w:ascii="Calibri" w:hAnsi="Calibri"/>
          <w:color w:val="231F20"/>
          <w:w w:val="105"/>
        </w:rPr>
        <w:t>services</w:t>
      </w:r>
      <w:r w:rsidRPr="00A85ED4">
        <w:rPr>
          <w:rFonts w:ascii="Calibri" w:hAnsi="Calibri"/>
          <w:color w:val="231F20"/>
          <w:w w:val="105"/>
        </w:rPr>
        <w:t xml:space="preserve"> </w:t>
      </w:r>
      <w:r w:rsidRPr="00EA7458">
        <w:rPr>
          <w:rFonts w:ascii="Calibri" w:hAnsi="Calibri"/>
          <w:color w:val="231F20"/>
          <w:w w:val="105"/>
        </w:rPr>
        <w:t>include</w:t>
      </w:r>
      <w:r w:rsidRPr="00A85ED4">
        <w:rPr>
          <w:rFonts w:ascii="Calibri" w:hAnsi="Calibri"/>
          <w:color w:val="231F20"/>
          <w:w w:val="105"/>
        </w:rPr>
        <w:t xml:space="preserve"> </w:t>
      </w:r>
      <w:r w:rsidRPr="00EA7458">
        <w:rPr>
          <w:rFonts w:ascii="Calibri" w:hAnsi="Calibri"/>
          <w:color w:val="231F20"/>
          <w:w w:val="105"/>
        </w:rPr>
        <w:t>Discovery,</w:t>
      </w:r>
      <w:r w:rsidRPr="00A85ED4">
        <w:rPr>
          <w:rFonts w:ascii="Calibri" w:hAnsi="Calibri"/>
          <w:color w:val="231F20"/>
          <w:w w:val="105"/>
        </w:rPr>
        <w:t xml:space="preserve"> </w:t>
      </w:r>
      <w:r w:rsidR="00213C9E" w:rsidRPr="00A85ED4">
        <w:rPr>
          <w:rFonts w:ascii="Calibri" w:hAnsi="Calibri"/>
          <w:color w:val="231F20"/>
          <w:w w:val="105"/>
        </w:rPr>
        <w:t xml:space="preserve">Youth Peer Mentoring, </w:t>
      </w:r>
      <w:r w:rsidRPr="00EA7458">
        <w:rPr>
          <w:rFonts w:ascii="Calibri" w:hAnsi="Calibri"/>
          <w:color w:val="231F20"/>
          <w:w w:val="105"/>
        </w:rPr>
        <w:t>Project</w:t>
      </w:r>
      <w:r w:rsidRPr="00A85ED4">
        <w:rPr>
          <w:rFonts w:ascii="Calibri" w:hAnsi="Calibri"/>
          <w:color w:val="231F20"/>
          <w:w w:val="105"/>
        </w:rPr>
        <w:t xml:space="preserve"> </w:t>
      </w:r>
      <w:r w:rsidRPr="00EA7458">
        <w:rPr>
          <w:rFonts w:ascii="Calibri" w:hAnsi="Calibri"/>
          <w:color w:val="231F20"/>
          <w:w w:val="105"/>
        </w:rPr>
        <w:t>SEARCH,</w:t>
      </w:r>
      <w:r w:rsidRPr="00A85ED4">
        <w:rPr>
          <w:rFonts w:ascii="Calibri" w:hAnsi="Calibri"/>
          <w:color w:val="231F20"/>
          <w:w w:val="105"/>
        </w:rPr>
        <w:t xml:space="preserve"> </w:t>
      </w:r>
      <w:r w:rsidR="00213C9E">
        <w:rPr>
          <w:rFonts w:ascii="Calibri" w:hAnsi="Calibri"/>
          <w:color w:val="231F20"/>
          <w:w w:val="105"/>
        </w:rPr>
        <w:t xml:space="preserve">services </w:t>
      </w:r>
      <w:r w:rsidRPr="00EA7458">
        <w:rPr>
          <w:rFonts w:ascii="Calibri" w:hAnsi="Calibri"/>
          <w:color w:val="231F20"/>
          <w:w w:val="105"/>
        </w:rPr>
        <w:t>provided</w:t>
      </w:r>
      <w:r w:rsidRPr="00A85ED4">
        <w:rPr>
          <w:rFonts w:ascii="Calibri" w:hAnsi="Calibri"/>
          <w:color w:val="231F20"/>
          <w:w w:val="105"/>
        </w:rPr>
        <w:t xml:space="preserve"> </w:t>
      </w:r>
      <w:r w:rsidRPr="00EA7458">
        <w:rPr>
          <w:rFonts w:ascii="Calibri" w:hAnsi="Calibri"/>
          <w:color w:val="231F20"/>
          <w:w w:val="105"/>
        </w:rPr>
        <w:t>under</w:t>
      </w:r>
      <w:r w:rsidRPr="00A85ED4">
        <w:rPr>
          <w:rFonts w:ascii="Calibri" w:hAnsi="Calibri"/>
          <w:color w:val="231F20"/>
          <w:w w:val="105"/>
        </w:rPr>
        <w:t xml:space="preserve"> </w:t>
      </w:r>
      <w:r w:rsidRPr="00EA7458">
        <w:rPr>
          <w:rFonts w:ascii="Calibri" w:hAnsi="Calibri"/>
          <w:color w:val="231F20"/>
          <w:w w:val="105"/>
        </w:rPr>
        <w:t>Third-party</w:t>
      </w:r>
      <w:r w:rsidRPr="00A85ED4">
        <w:rPr>
          <w:rFonts w:ascii="Calibri" w:hAnsi="Calibri"/>
          <w:color w:val="231F20"/>
          <w:w w:val="105"/>
        </w:rPr>
        <w:t xml:space="preserve"> </w:t>
      </w:r>
      <w:r w:rsidRPr="00EA7458">
        <w:rPr>
          <w:rFonts w:ascii="Calibri" w:hAnsi="Calibri"/>
          <w:color w:val="231F20"/>
          <w:w w:val="105"/>
        </w:rPr>
        <w:t>Cooperative</w:t>
      </w:r>
      <w:r w:rsidRPr="00A85ED4">
        <w:rPr>
          <w:rFonts w:ascii="Calibri" w:hAnsi="Calibri"/>
          <w:color w:val="231F20"/>
          <w:w w:val="105"/>
        </w:rPr>
        <w:t xml:space="preserve"> </w:t>
      </w:r>
      <w:r w:rsidRPr="00EA7458">
        <w:rPr>
          <w:rFonts w:ascii="Calibri" w:hAnsi="Calibri"/>
          <w:color w:val="231F20"/>
          <w:w w:val="105"/>
        </w:rPr>
        <w:t>Arrangements</w:t>
      </w:r>
      <w:r w:rsidRPr="00A85ED4">
        <w:rPr>
          <w:rFonts w:ascii="Calibri" w:hAnsi="Calibri"/>
          <w:color w:val="231F20"/>
          <w:w w:val="105"/>
        </w:rPr>
        <w:t xml:space="preserve"> </w:t>
      </w:r>
      <w:r w:rsidRPr="00EA7458">
        <w:rPr>
          <w:rFonts w:ascii="Calibri" w:hAnsi="Calibri"/>
          <w:color w:val="231F20"/>
          <w:w w:val="105"/>
        </w:rPr>
        <w:t>with</w:t>
      </w:r>
      <w:r w:rsidRPr="00A85ED4">
        <w:rPr>
          <w:rFonts w:ascii="Calibri" w:hAnsi="Calibri"/>
          <w:color w:val="231F20"/>
          <w:w w:val="105"/>
        </w:rPr>
        <w:t xml:space="preserve"> </w:t>
      </w:r>
      <w:r w:rsidRPr="00EA7458">
        <w:rPr>
          <w:rFonts w:ascii="Calibri" w:hAnsi="Calibri"/>
          <w:color w:val="231F20"/>
          <w:w w:val="105"/>
        </w:rPr>
        <w:t>school</w:t>
      </w:r>
      <w:r w:rsidRPr="00A85ED4">
        <w:rPr>
          <w:rFonts w:ascii="Calibri" w:hAnsi="Calibri"/>
          <w:color w:val="231F20"/>
          <w:w w:val="105"/>
        </w:rPr>
        <w:t xml:space="preserve"> </w:t>
      </w:r>
      <w:r w:rsidRPr="00EA7458">
        <w:rPr>
          <w:rFonts w:ascii="Calibri" w:hAnsi="Calibri"/>
          <w:color w:val="231F20"/>
          <w:w w:val="105"/>
        </w:rPr>
        <w:t>districts</w:t>
      </w:r>
      <w:r w:rsidR="00D5537E">
        <w:rPr>
          <w:rFonts w:ascii="Calibri" w:hAnsi="Calibri"/>
          <w:color w:val="231F20"/>
          <w:w w:val="105"/>
        </w:rPr>
        <w:t xml:space="preserve"> and</w:t>
      </w:r>
      <w:r w:rsidRPr="00A85ED4">
        <w:rPr>
          <w:rFonts w:ascii="Calibri" w:hAnsi="Calibri"/>
          <w:color w:val="231F20"/>
          <w:w w:val="105"/>
        </w:rPr>
        <w:t xml:space="preserve"> </w:t>
      </w:r>
      <w:r w:rsidRPr="00EA7458">
        <w:rPr>
          <w:rFonts w:ascii="Calibri" w:hAnsi="Calibri"/>
          <w:color w:val="231F20"/>
          <w:w w:val="105"/>
        </w:rPr>
        <w:t xml:space="preserve">tuition, books and supplies for </w:t>
      </w:r>
      <w:r w:rsidR="00CD1C1C">
        <w:rPr>
          <w:rFonts w:ascii="Calibri" w:hAnsi="Calibri"/>
          <w:color w:val="231F20"/>
          <w:w w:val="105"/>
        </w:rPr>
        <w:t xml:space="preserve">postsecondary education </w:t>
      </w:r>
      <w:r w:rsidRPr="00EA7458">
        <w:rPr>
          <w:rFonts w:ascii="Calibri" w:hAnsi="Calibri"/>
          <w:color w:val="231F20"/>
          <w:w w:val="105"/>
        </w:rPr>
        <w:t>programs.</w:t>
      </w:r>
    </w:p>
    <w:p w14:paraId="334B252D" w14:textId="10FA31CA" w:rsidR="00EA7458" w:rsidRPr="00EA7458" w:rsidRDefault="00EA7458" w:rsidP="00D63204">
      <w:pPr>
        <w:widowControl w:val="0"/>
        <w:spacing w:before="195" w:after="0" w:line="264" w:lineRule="exact"/>
        <w:ind w:left="107"/>
        <w:rPr>
          <w:rFonts w:ascii="Calibri" w:hAnsi="Calibri"/>
        </w:rPr>
      </w:pPr>
      <w:r w:rsidRPr="00EA7458">
        <w:rPr>
          <w:rFonts w:ascii="Calibri" w:hAnsi="Calibri"/>
          <w:color w:val="231F20"/>
          <w:w w:val="110"/>
        </w:rPr>
        <w:t>VR</w:t>
      </w:r>
      <w:r w:rsidRPr="00EA7458">
        <w:rPr>
          <w:rFonts w:ascii="Calibri" w:hAnsi="Calibri"/>
          <w:color w:val="231F20"/>
          <w:spacing w:val="-10"/>
          <w:w w:val="110"/>
        </w:rPr>
        <w:t xml:space="preserve"> </w:t>
      </w:r>
      <w:r w:rsidRPr="00D559C7">
        <w:rPr>
          <w:rFonts w:ascii="Calibri" w:hAnsi="Calibri"/>
          <w:color w:val="231F20"/>
          <w:w w:val="110"/>
        </w:rPr>
        <w:t>offers</w:t>
      </w:r>
      <w:r w:rsidRPr="00D559C7">
        <w:rPr>
          <w:rFonts w:ascii="Calibri" w:hAnsi="Calibri"/>
          <w:color w:val="231F20"/>
          <w:spacing w:val="-10"/>
          <w:w w:val="110"/>
        </w:rPr>
        <w:t xml:space="preserve"> </w:t>
      </w:r>
      <w:r w:rsidRPr="00D559C7">
        <w:rPr>
          <w:rFonts w:ascii="Calibri" w:hAnsi="Calibri"/>
          <w:color w:val="231F20"/>
          <w:w w:val="110"/>
        </w:rPr>
        <w:t>services</w:t>
      </w:r>
      <w:r w:rsidRPr="00D559C7">
        <w:rPr>
          <w:rFonts w:ascii="Calibri" w:hAnsi="Calibri"/>
          <w:color w:val="231F20"/>
          <w:spacing w:val="-10"/>
          <w:w w:val="110"/>
        </w:rPr>
        <w:t xml:space="preserve"> </w:t>
      </w:r>
      <w:r w:rsidRPr="00D559C7">
        <w:rPr>
          <w:rFonts w:ascii="Calibri" w:hAnsi="Calibri"/>
          <w:color w:val="231F20"/>
          <w:w w:val="110"/>
        </w:rPr>
        <w:t>for</w:t>
      </w:r>
      <w:r w:rsidRPr="00D559C7">
        <w:rPr>
          <w:rFonts w:ascii="Calibri" w:hAnsi="Calibri"/>
          <w:color w:val="231F20"/>
          <w:spacing w:val="-10"/>
          <w:w w:val="110"/>
        </w:rPr>
        <w:t xml:space="preserve"> </w:t>
      </w:r>
      <w:r w:rsidRPr="00D559C7">
        <w:rPr>
          <w:rFonts w:ascii="Calibri" w:hAnsi="Calibri"/>
          <w:color w:val="231F20"/>
          <w:w w:val="110"/>
        </w:rPr>
        <w:t>adults</w:t>
      </w:r>
      <w:r w:rsidRPr="00D559C7">
        <w:rPr>
          <w:rFonts w:ascii="Calibri" w:hAnsi="Calibri"/>
          <w:color w:val="231F20"/>
          <w:spacing w:val="-10"/>
          <w:w w:val="110"/>
        </w:rPr>
        <w:t xml:space="preserve"> </w:t>
      </w:r>
      <w:r w:rsidRPr="00D559C7">
        <w:rPr>
          <w:rFonts w:ascii="Calibri" w:hAnsi="Calibri"/>
          <w:color w:val="231F20"/>
          <w:w w:val="110"/>
        </w:rPr>
        <w:t>(and</w:t>
      </w:r>
      <w:r w:rsidRPr="00D559C7">
        <w:rPr>
          <w:rFonts w:ascii="Calibri" w:hAnsi="Calibri"/>
          <w:color w:val="231F20"/>
          <w:spacing w:val="-10"/>
          <w:w w:val="110"/>
        </w:rPr>
        <w:t xml:space="preserve"> </w:t>
      </w:r>
      <w:r w:rsidRPr="00D559C7">
        <w:rPr>
          <w:rFonts w:ascii="Calibri" w:hAnsi="Calibri"/>
          <w:color w:val="231F20"/>
          <w:w w:val="110"/>
        </w:rPr>
        <w:t>youth,</w:t>
      </w:r>
      <w:r w:rsidRPr="00D559C7">
        <w:rPr>
          <w:rFonts w:ascii="Calibri" w:hAnsi="Calibri"/>
          <w:color w:val="231F20"/>
          <w:spacing w:val="-10"/>
          <w:w w:val="110"/>
        </w:rPr>
        <w:t xml:space="preserve"> </w:t>
      </w:r>
      <w:r w:rsidRPr="00D559C7">
        <w:rPr>
          <w:rFonts w:ascii="Calibri" w:hAnsi="Calibri"/>
          <w:color w:val="231F20"/>
          <w:w w:val="110"/>
        </w:rPr>
        <w:t>if</w:t>
      </w:r>
      <w:r w:rsidRPr="00D559C7">
        <w:rPr>
          <w:rFonts w:ascii="Calibri" w:hAnsi="Calibri"/>
          <w:color w:val="231F20"/>
          <w:spacing w:val="-10"/>
          <w:w w:val="110"/>
        </w:rPr>
        <w:t xml:space="preserve"> </w:t>
      </w:r>
      <w:r w:rsidRPr="00D559C7">
        <w:rPr>
          <w:rFonts w:ascii="Calibri" w:hAnsi="Calibri"/>
          <w:color w:val="231F20"/>
          <w:w w:val="110"/>
        </w:rPr>
        <w:t>needed</w:t>
      </w:r>
      <w:r w:rsidRPr="00D559C7">
        <w:rPr>
          <w:rFonts w:ascii="Calibri" w:hAnsi="Calibri"/>
          <w:color w:val="231F20"/>
          <w:spacing w:val="-10"/>
          <w:w w:val="110"/>
        </w:rPr>
        <w:t xml:space="preserve"> </w:t>
      </w:r>
      <w:r w:rsidRPr="00D559C7">
        <w:rPr>
          <w:rFonts w:ascii="Calibri" w:hAnsi="Calibri"/>
          <w:color w:val="231F20"/>
          <w:w w:val="110"/>
        </w:rPr>
        <w:t>to</w:t>
      </w:r>
      <w:r w:rsidRPr="00D559C7">
        <w:rPr>
          <w:rFonts w:ascii="Calibri" w:hAnsi="Calibri"/>
          <w:color w:val="231F20"/>
          <w:spacing w:val="-10"/>
          <w:w w:val="110"/>
        </w:rPr>
        <w:t xml:space="preserve"> </w:t>
      </w:r>
      <w:r w:rsidRPr="00D559C7">
        <w:rPr>
          <w:rFonts w:ascii="Calibri" w:hAnsi="Calibri"/>
          <w:color w:val="231F20"/>
          <w:w w:val="110"/>
        </w:rPr>
        <w:t>achieve</w:t>
      </w:r>
      <w:r w:rsidRPr="00D559C7">
        <w:rPr>
          <w:rFonts w:ascii="Calibri" w:hAnsi="Calibri"/>
          <w:color w:val="231F20"/>
          <w:spacing w:val="-10"/>
          <w:w w:val="110"/>
        </w:rPr>
        <w:t xml:space="preserve"> </w:t>
      </w:r>
      <w:r w:rsidRPr="00D559C7">
        <w:rPr>
          <w:rFonts w:ascii="Calibri" w:hAnsi="Calibri"/>
          <w:color w:val="231F20"/>
          <w:w w:val="110"/>
        </w:rPr>
        <w:t>job</w:t>
      </w:r>
      <w:r w:rsidRPr="00D559C7">
        <w:rPr>
          <w:rFonts w:ascii="Calibri" w:hAnsi="Calibri"/>
          <w:color w:val="231F20"/>
          <w:spacing w:val="-10"/>
          <w:w w:val="110"/>
        </w:rPr>
        <w:t xml:space="preserve"> </w:t>
      </w:r>
      <w:r w:rsidRPr="00D559C7">
        <w:rPr>
          <w:rFonts w:ascii="Calibri" w:hAnsi="Calibri"/>
          <w:color w:val="231F20"/>
          <w:w w:val="110"/>
        </w:rPr>
        <w:t>goals)</w:t>
      </w:r>
      <w:r w:rsidRPr="00D559C7">
        <w:rPr>
          <w:rFonts w:ascii="Calibri" w:hAnsi="Calibri"/>
          <w:color w:val="231F20"/>
          <w:spacing w:val="-10"/>
          <w:w w:val="110"/>
        </w:rPr>
        <w:t xml:space="preserve"> </w:t>
      </w:r>
      <w:r w:rsidRPr="00D559C7">
        <w:rPr>
          <w:rFonts w:ascii="Calibri" w:hAnsi="Calibri"/>
          <w:color w:val="231F20"/>
          <w:w w:val="110"/>
        </w:rPr>
        <w:t>that</w:t>
      </w:r>
      <w:r w:rsidRPr="00D559C7">
        <w:rPr>
          <w:rFonts w:ascii="Calibri" w:hAnsi="Calibri"/>
          <w:color w:val="231F20"/>
          <w:spacing w:val="-10"/>
          <w:w w:val="110"/>
        </w:rPr>
        <w:t xml:space="preserve"> </w:t>
      </w:r>
      <w:r w:rsidRPr="00D559C7">
        <w:rPr>
          <w:rFonts w:ascii="Calibri" w:hAnsi="Calibri"/>
          <w:color w:val="231F20"/>
          <w:w w:val="110"/>
        </w:rPr>
        <w:t>include</w:t>
      </w:r>
      <w:r w:rsidRPr="00D559C7">
        <w:rPr>
          <w:rFonts w:ascii="Calibri" w:hAnsi="Calibri"/>
          <w:color w:val="231F20"/>
          <w:spacing w:val="-10"/>
          <w:w w:val="110"/>
        </w:rPr>
        <w:t xml:space="preserve"> </w:t>
      </w:r>
      <w:r w:rsidRPr="00D559C7">
        <w:rPr>
          <w:rFonts w:ascii="Calibri" w:hAnsi="Calibri"/>
          <w:color w:val="231F20"/>
          <w:w w:val="110"/>
        </w:rPr>
        <w:t>vocational</w:t>
      </w:r>
      <w:r w:rsidRPr="00D559C7">
        <w:rPr>
          <w:rFonts w:ascii="Calibri" w:hAnsi="Calibri"/>
          <w:color w:val="231F20"/>
          <w:spacing w:val="-10"/>
          <w:w w:val="110"/>
        </w:rPr>
        <w:t xml:space="preserve"> </w:t>
      </w:r>
      <w:r w:rsidRPr="00D559C7">
        <w:rPr>
          <w:rFonts w:ascii="Calibri" w:hAnsi="Calibri"/>
          <w:color w:val="231F20"/>
          <w:w w:val="110"/>
        </w:rPr>
        <w:t>and</w:t>
      </w:r>
      <w:r w:rsidRPr="00D559C7">
        <w:rPr>
          <w:rFonts w:ascii="Calibri" w:hAnsi="Calibri"/>
          <w:color w:val="231F20"/>
          <w:w w:val="108"/>
        </w:rPr>
        <w:t xml:space="preserve"> </w:t>
      </w:r>
      <w:r w:rsidRPr="00D559C7">
        <w:rPr>
          <w:rFonts w:ascii="Calibri" w:hAnsi="Calibri"/>
          <w:color w:val="231F20"/>
          <w:w w:val="110"/>
        </w:rPr>
        <w:t>other</w:t>
      </w:r>
      <w:r w:rsidRPr="00D559C7">
        <w:rPr>
          <w:rFonts w:ascii="Calibri" w:hAnsi="Calibri"/>
          <w:color w:val="231F20"/>
          <w:spacing w:val="-12"/>
          <w:w w:val="110"/>
        </w:rPr>
        <w:t xml:space="preserve"> </w:t>
      </w:r>
      <w:r w:rsidRPr="00D559C7">
        <w:rPr>
          <w:rFonts w:ascii="Calibri" w:hAnsi="Calibri"/>
          <w:color w:val="231F20"/>
          <w:w w:val="110"/>
        </w:rPr>
        <w:t>assessments</w:t>
      </w:r>
      <w:r w:rsidRPr="00D559C7">
        <w:rPr>
          <w:rFonts w:ascii="Calibri" w:hAnsi="Calibri"/>
          <w:color w:val="231F20"/>
          <w:spacing w:val="-12"/>
          <w:w w:val="110"/>
        </w:rPr>
        <w:t xml:space="preserve"> </w:t>
      </w:r>
      <w:r w:rsidRPr="00D559C7">
        <w:rPr>
          <w:rFonts w:ascii="Calibri" w:hAnsi="Calibri"/>
          <w:color w:val="231F20"/>
          <w:w w:val="110"/>
        </w:rPr>
        <w:t>to</w:t>
      </w:r>
      <w:r w:rsidRPr="00D559C7">
        <w:rPr>
          <w:rFonts w:ascii="Calibri" w:hAnsi="Calibri"/>
          <w:color w:val="231F20"/>
          <w:spacing w:val="-12"/>
          <w:w w:val="110"/>
        </w:rPr>
        <w:t xml:space="preserve"> </w:t>
      </w:r>
      <w:r w:rsidRPr="00D559C7">
        <w:rPr>
          <w:rFonts w:ascii="Calibri" w:hAnsi="Calibri"/>
          <w:color w:val="231F20"/>
          <w:w w:val="110"/>
        </w:rPr>
        <w:t>help</w:t>
      </w:r>
      <w:r w:rsidRPr="00D559C7">
        <w:rPr>
          <w:rFonts w:ascii="Calibri" w:hAnsi="Calibri"/>
          <w:color w:val="231F20"/>
          <w:spacing w:val="-12"/>
          <w:w w:val="110"/>
        </w:rPr>
        <w:t xml:space="preserve"> </w:t>
      </w:r>
      <w:r w:rsidRPr="00D559C7">
        <w:rPr>
          <w:rFonts w:ascii="Calibri" w:hAnsi="Calibri"/>
          <w:color w:val="231F20"/>
          <w:w w:val="110"/>
        </w:rPr>
        <w:t>job</w:t>
      </w:r>
      <w:r w:rsidRPr="00D559C7">
        <w:rPr>
          <w:rFonts w:ascii="Calibri" w:hAnsi="Calibri"/>
          <w:color w:val="231F20"/>
          <w:spacing w:val="-12"/>
          <w:w w:val="110"/>
        </w:rPr>
        <w:t xml:space="preserve"> </w:t>
      </w:r>
      <w:r w:rsidRPr="00D559C7">
        <w:rPr>
          <w:rFonts w:ascii="Calibri" w:hAnsi="Calibri"/>
          <w:color w:val="231F20"/>
          <w:w w:val="110"/>
        </w:rPr>
        <w:t>seeker</w:t>
      </w:r>
      <w:r w:rsidR="00D559C7">
        <w:rPr>
          <w:rFonts w:ascii="Calibri" w:hAnsi="Calibri"/>
          <w:color w:val="231F20"/>
          <w:w w:val="110"/>
        </w:rPr>
        <w:t>s</w:t>
      </w:r>
      <w:r w:rsidRPr="00D559C7">
        <w:rPr>
          <w:rFonts w:ascii="Calibri" w:hAnsi="Calibri"/>
          <w:color w:val="231F20"/>
          <w:spacing w:val="-12"/>
          <w:w w:val="110"/>
        </w:rPr>
        <w:t xml:space="preserve"> </w:t>
      </w:r>
      <w:r w:rsidRPr="00D559C7">
        <w:rPr>
          <w:rFonts w:ascii="Calibri" w:hAnsi="Calibri"/>
          <w:color w:val="231F20"/>
          <w:w w:val="110"/>
        </w:rPr>
        <w:t>best</w:t>
      </w:r>
      <w:r w:rsidRPr="00D559C7">
        <w:rPr>
          <w:rFonts w:ascii="Calibri" w:hAnsi="Calibri"/>
          <w:color w:val="231F20"/>
          <w:spacing w:val="-12"/>
          <w:w w:val="110"/>
        </w:rPr>
        <w:t xml:space="preserve"> </w:t>
      </w:r>
      <w:r w:rsidRPr="00D559C7">
        <w:rPr>
          <w:rFonts w:ascii="Calibri" w:hAnsi="Calibri"/>
          <w:color w:val="231F20"/>
          <w:w w:val="110"/>
        </w:rPr>
        <w:t>define</w:t>
      </w:r>
      <w:r w:rsidRPr="00D559C7">
        <w:rPr>
          <w:rFonts w:ascii="Calibri" w:hAnsi="Calibri"/>
          <w:color w:val="231F20"/>
          <w:spacing w:val="-12"/>
          <w:w w:val="110"/>
        </w:rPr>
        <w:t xml:space="preserve"> </w:t>
      </w:r>
      <w:r w:rsidRPr="00D559C7">
        <w:rPr>
          <w:rFonts w:ascii="Calibri" w:hAnsi="Calibri"/>
          <w:color w:val="231F20"/>
          <w:w w:val="110"/>
        </w:rPr>
        <w:t>th</w:t>
      </w:r>
      <w:r w:rsidRPr="00EA7458">
        <w:rPr>
          <w:rFonts w:ascii="Calibri" w:hAnsi="Calibri"/>
          <w:color w:val="231F20"/>
          <w:w w:val="110"/>
        </w:rPr>
        <w:t>eir</w:t>
      </w:r>
      <w:r w:rsidRPr="00EA7458">
        <w:rPr>
          <w:rFonts w:ascii="Calibri" w:hAnsi="Calibri"/>
          <w:color w:val="231F20"/>
          <w:spacing w:val="-12"/>
          <w:w w:val="110"/>
        </w:rPr>
        <w:t xml:space="preserve"> </w:t>
      </w:r>
      <w:r w:rsidRPr="00EA7458">
        <w:rPr>
          <w:rFonts w:ascii="Calibri" w:hAnsi="Calibri"/>
          <w:color w:val="231F20"/>
          <w:w w:val="110"/>
        </w:rPr>
        <w:t>job</w:t>
      </w:r>
      <w:r w:rsidRPr="00EA7458">
        <w:rPr>
          <w:rFonts w:ascii="Calibri" w:hAnsi="Calibri"/>
          <w:color w:val="231F20"/>
          <w:spacing w:val="-12"/>
          <w:w w:val="110"/>
        </w:rPr>
        <w:t xml:space="preserve"> </w:t>
      </w:r>
      <w:r w:rsidRPr="00D559C7">
        <w:rPr>
          <w:rFonts w:ascii="Calibri" w:hAnsi="Calibri"/>
          <w:color w:val="231F20"/>
          <w:w w:val="110"/>
        </w:rPr>
        <w:t>goal</w:t>
      </w:r>
      <w:r w:rsidR="00D559C7">
        <w:rPr>
          <w:rFonts w:ascii="Calibri" w:hAnsi="Calibri"/>
          <w:color w:val="231F20"/>
          <w:w w:val="110"/>
        </w:rPr>
        <w:t>s</w:t>
      </w:r>
      <w:r w:rsidRPr="00D559C7">
        <w:rPr>
          <w:rFonts w:ascii="Calibri" w:hAnsi="Calibri"/>
          <w:color w:val="231F20"/>
          <w:w w:val="110"/>
        </w:rPr>
        <w:t>.</w:t>
      </w:r>
      <w:r w:rsidRPr="00EA7458">
        <w:rPr>
          <w:rFonts w:ascii="Calibri" w:hAnsi="Calibri"/>
          <w:color w:val="231F20"/>
          <w:spacing w:val="-12"/>
          <w:w w:val="110"/>
        </w:rPr>
        <w:t xml:space="preserve"> </w:t>
      </w:r>
      <w:r w:rsidRPr="00EA7458">
        <w:rPr>
          <w:rFonts w:ascii="Calibri" w:hAnsi="Calibri"/>
          <w:color w:val="231F20"/>
          <w:w w:val="110"/>
        </w:rPr>
        <w:t>If</w:t>
      </w:r>
      <w:r w:rsidRPr="00EA7458">
        <w:rPr>
          <w:rFonts w:ascii="Calibri" w:hAnsi="Calibri"/>
          <w:color w:val="231F20"/>
          <w:spacing w:val="-12"/>
          <w:w w:val="110"/>
        </w:rPr>
        <w:t xml:space="preserve"> </w:t>
      </w:r>
      <w:r w:rsidRPr="00EA7458">
        <w:rPr>
          <w:rFonts w:ascii="Calibri" w:hAnsi="Calibri"/>
          <w:color w:val="231F20"/>
          <w:w w:val="110"/>
        </w:rPr>
        <w:t>needed</w:t>
      </w:r>
      <w:r w:rsidRPr="00EA7458">
        <w:rPr>
          <w:rFonts w:ascii="Calibri" w:hAnsi="Calibri"/>
          <w:color w:val="231F20"/>
          <w:spacing w:val="-12"/>
          <w:w w:val="110"/>
        </w:rPr>
        <w:t xml:space="preserve"> </w:t>
      </w:r>
      <w:r w:rsidRPr="00EA7458">
        <w:rPr>
          <w:rFonts w:ascii="Calibri" w:hAnsi="Calibri"/>
          <w:color w:val="231F20"/>
          <w:w w:val="110"/>
        </w:rPr>
        <w:t>to</w:t>
      </w:r>
      <w:r w:rsidRPr="00EA7458">
        <w:rPr>
          <w:rFonts w:ascii="Calibri" w:hAnsi="Calibri"/>
          <w:color w:val="231F20"/>
          <w:spacing w:val="-12"/>
          <w:w w:val="110"/>
        </w:rPr>
        <w:t xml:space="preserve"> </w:t>
      </w:r>
      <w:r w:rsidRPr="00EA7458">
        <w:rPr>
          <w:rFonts w:ascii="Calibri" w:hAnsi="Calibri"/>
          <w:color w:val="231F20"/>
          <w:w w:val="110"/>
        </w:rPr>
        <w:t>meet</w:t>
      </w:r>
      <w:r w:rsidRPr="00EA7458">
        <w:rPr>
          <w:rFonts w:ascii="Calibri" w:hAnsi="Calibri"/>
          <w:color w:val="231F20"/>
          <w:spacing w:val="-12"/>
          <w:w w:val="110"/>
        </w:rPr>
        <w:t xml:space="preserve"> </w:t>
      </w:r>
      <w:r w:rsidRPr="00EA7458">
        <w:rPr>
          <w:rFonts w:ascii="Calibri" w:hAnsi="Calibri"/>
          <w:color w:val="231F20"/>
          <w:w w:val="110"/>
        </w:rPr>
        <w:t>their</w:t>
      </w:r>
      <w:r w:rsidRPr="00EA7458">
        <w:rPr>
          <w:rFonts w:ascii="Calibri" w:hAnsi="Calibri"/>
          <w:color w:val="231F20"/>
          <w:spacing w:val="-12"/>
          <w:w w:val="110"/>
        </w:rPr>
        <w:t xml:space="preserve"> </w:t>
      </w:r>
      <w:r w:rsidRPr="00EA7458">
        <w:rPr>
          <w:rFonts w:ascii="Calibri" w:hAnsi="Calibri"/>
          <w:color w:val="231F20"/>
          <w:w w:val="110"/>
        </w:rPr>
        <w:t>goal,</w:t>
      </w:r>
      <w:r w:rsidRPr="00EA7458">
        <w:rPr>
          <w:rFonts w:ascii="Calibri" w:hAnsi="Calibri"/>
          <w:color w:val="231F20"/>
          <w:spacing w:val="-12"/>
          <w:w w:val="110"/>
        </w:rPr>
        <w:t xml:space="preserve"> </w:t>
      </w:r>
      <w:r w:rsidRPr="00EA7458">
        <w:rPr>
          <w:rFonts w:ascii="Calibri" w:hAnsi="Calibri"/>
          <w:color w:val="231F20"/>
          <w:w w:val="110"/>
        </w:rPr>
        <w:t>medical</w:t>
      </w:r>
      <w:r w:rsidRPr="00EA7458">
        <w:rPr>
          <w:rFonts w:ascii="Calibri" w:hAnsi="Calibri"/>
          <w:color w:val="231F20"/>
          <w:w w:val="107"/>
        </w:rPr>
        <w:t xml:space="preserve"> </w:t>
      </w:r>
      <w:r w:rsidRPr="00EA7458">
        <w:rPr>
          <w:rFonts w:ascii="Calibri" w:hAnsi="Calibri"/>
          <w:color w:val="231F20"/>
          <w:w w:val="110"/>
        </w:rPr>
        <w:t>and</w:t>
      </w:r>
      <w:r w:rsidRPr="00EA7458">
        <w:rPr>
          <w:rFonts w:ascii="Calibri" w:hAnsi="Calibri"/>
          <w:color w:val="231F20"/>
          <w:spacing w:val="-4"/>
          <w:w w:val="110"/>
        </w:rPr>
        <w:t xml:space="preserve"> </w:t>
      </w:r>
      <w:r w:rsidRPr="00EA7458">
        <w:rPr>
          <w:rFonts w:ascii="Calibri" w:hAnsi="Calibri"/>
          <w:color w:val="231F20"/>
          <w:w w:val="110"/>
        </w:rPr>
        <w:t>psychological</w:t>
      </w:r>
      <w:r w:rsidRPr="00EA7458">
        <w:rPr>
          <w:rFonts w:ascii="Calibri" w:hAnsi="Calibri"/>
          <w:color w:val="231F20"/>
          <w:spacing w:val="-4"/>
          <w:w w:val="110"/>
        </w:rPr>
        <w:t xml:space="preserve"> </w:t>
      </w:r>
      <w:r w:rsidRPr="00EA7458">
        <w:rPr>
          <w:rFonts w:ascii="Calibri" w:hAnsi="Calibri"/>
          <w:color w:val="231F20"/>
          <w:w w:val="110"/>
        </w:rPr>
        <w:t>services</w:t>
      </w:r>
      <w:r w:rsidRPr="00EA7458">
        <w:rPr>
          <w:rFonts w:ascii="Calibri" w:hAnsi="Calibri"/>
          <w:color w:val="231F20"/>
          <w:spacing w:val="-4"/>
          <w:w w:val="110"/>
        </w:rPr>
        <w:t xml:space="preserve"> </w:t>
      </w:r>
      <w:r w:rsidRPr="00EA7458">
        <w:rPr>
          <w:rFonts w:ascii="Calibri" w:hAnsi="Calibri"/>
          <w:color w:val="231F20"/>
          <w:w w:val="110"/>
        </w:rPr>
        <w:t>are</w:t>
      </w:r>
      <w:r w:rsidRPr="00EA7458">
        <w:rPr>
          <w:rFonts w:ascii="Calibri" w:hAnsi="Calibri"/>
          <w:color w:val="231F20"/>
          <w:spacing w:val="-4"/>
          <w:w w:val="110"/>
        </w:rPr>
        <w:t xml:space="preserve"> </w:t>
      </w:r>
      <w:r w:rsidRPr="00EA7458">
        <w:rPr>
          <w:rFonts w:ascii="Calibri" w:hAnsi="Calibri"/>
          <w:color w:val="231F20"/>
          <w:w w:val="110"/>
        </w:rPr>
        <w:t>obtained.</w:t>
      </w:r>
      <w:r w:rsidRPr="00EA7458">
        <w:rPr>
          <w:rFonts w:ascii="Calibri" w:hAnsi="Calibri"/>
          <w:color w:val="231F20"/>
          <w:spacing w:val="-4"/>
          <w:w w:val="110"/>
        </w:rPr>
        <w:t xml:space="preserve"> </w:t>
      </w:r>
      <w:r w:rsidRPr="00EA7458">
        <w:rPr>
          <w:rFonts w:ascii="Calibri" w:hAnsi="Calibri"/>
          <w:color w:val="231F20"/>
          <w:w w:val="110"/>
        </w:rPr>
        <w:t>VR</w:t>
      </w:r>
      <w:r w:rsidRPr="00EA7458">
        <w:rPr>
          <w:rFonts w:ascii="Calibri" w:hAnsi="Calibri"/>
          <w:color w:val="231F20"/>
          <w:spacing w:val="-4"/>
          <w:w w:val="110"/>
        </w:rPr>
        <w:t xml:space="preserve"> </w:t>
      </w:r>
      <w:r w:rsidRPr="00EA7458">
        <w:rPr>
          <w:rFonts w:ascii="Calibri" w:hAnsi="Calibri"/>
          <w:color w:val="231F20"/>
          <w:w w:val="110"/>
        </w:rPr>
        <w:t>helps</w:t>
      </w:r>
      <w:r w:rsidRPr="00EA7458">
        <w:rPr>
          <w:rFonts w:ascii="Calibri" w:hAnsi="Calibri"/>
          <w:color w:val="231F20"/>
          <w:spacing w:val="-4"/>
          <w:w w:val="110"/>
        </w:rPr>
        <w:t xml:space="preserve"> </w:t>
      </w:r>
      <w:r w:rsidRPr="00EA7458">
        <w:rPr>
          <w:rFonts w:ascii="Calibri" w:hAnsi="Calibri"/>
          <w:color w:val="231F20"/>
          <w:w w:val="110"/>
        </w:rPr>
        <w:t>job</w:t>
      </w:r>
      <w:r w:rsidRPr="00EA7458">
        <w:rPr>
          <w:rFonts w:ascii="Calibri" w:hAnsi="Calibri"/>
          <w:color w:val="231F20"/>
          <w:spacing w:val="-4"/>
          <w:w w:val="110"/>
        </w:rPr>
        <w:t xml:space="preserve"> </w:t>
      </w:r>
      <w:r w:rsidRPr="00EA7458">
        <w:rPr>
          <w:rFonts w:ascii="Calibri" w:hAnsi="Calibri"/>
          <w:color w:val="231F20"/>
          <w:w w:val="110"/>
        </w:rPr>
        <w:t>seekers</w:t>
      </w:r>
      <w:r w:rsidRPr="00EA7458">
        <w:rPr>
          <w:rFonts w:ascii="Calibri" w:hAnsi="Calibri"/>
          <w:color w:val="231F20"/>
          <w:spacing w:val="-4"/>
          <w:w w:val="110"/>
        </w:rPr>
        <w:t xml:space="preserve"> </w:t>
      </w:r>
      <w:r w:rsidRPr="00EA7458">
        <w:rPr>
          <w:rFonts w:ascii="Calibri" w:hAnsi="Calibri"/>
          <w:color w:val="231F20"/>
          <w:w w:val="110"/>
        </w:rPr>
        <w:t>obtain</w:t>
      </w:r>
      <w:r w:rsidRPr="00EA7458">
        <w:rPr>
          <w:rFonts w:ascii="Calibri" w:hAnsi="Calibri"/>
          <w:color w:val="231F20"/>
          <w:spacing w:val="-4"/>
          <w:w w:val="110"/>
        </w:rPr>
        <w:t xml:space="preserve"> </w:t>
      </w:r>
      <w:r w:rsidRPr="00EA7458">
        <w:rPr>
          <w:rFonts w:ascii="Calibri" w:hAnsi="Calibri"/>
          <w:color w:val="231F20"/>
          <w:w w:val="110"/>
        </w:rPr>
        <w:t>educational</w:t>
      </w:r>
      <w:r w:rsidRPr="00EA7458">
        <w:rPr>
          <w:rFonts w:ascii="Calibri" w:hAnsi="Calibri"/>
          <w:color w:val="231F20"/>
          <w:spacing w:val="-4"/>
          <w:w w:val="110"/>
        </w:rPr>
        <w:t xml:space="preserve"> </w:t>
      </w:r>
      <w:r w:rsidRPr="00EA7458">
        <w:rPr>
          <w:rFonts w:ascii="Calibri" w:hAnsi="Calibri"/>
          <w:color w:val="231F20"/>
          <w:w w:val="110"/>
        </w:rPr>
        <w:t>or</w:t>
      </w:r>
      <w:r w:rsidRPr="00EA7458">
        <w:rPr>
          <w:rFonts w:ascii="Calibri" w:hAnsi="Calibri"/>
          <w:color w:val="231F20"/>
          <w:spacing w:val="-4"/>
          <w:w w:val="110"/>
        </w:rPr>
        <w:t xml:space="preserve"> </w:t>
      </w:r>
      <w:r w:rsidRPr="00EA7458">
        <w:rPr>
          <w:rFonts w:ascii="Calibri" w:hAnsi="Calibri"/>
          <w:color w:val="231F20"/>
          <w:w w:val="110"/>
        </w:rPr>
        <w:t>job</w:t>
      </w:r>
      <w:r w:rsidRPr="00EA7458">
        <w:rPr>
          <w:rFonts w:ascii="Calibri" w:hAnsi="Calibri"/>
          <w:color w:val="231F20"/>
          <w:spacing w:val="-4"/>
          <w:w w:val="110"/>
        </w:rPr>
        <w:t xml:space="preserve"> </w:t>
      </w:r>
      <w:r w:rsidRPr="00EA7458">
        <w:rPr>
          <w:rFonts w:ascii="Calibri" w:hAnsi="Calibri"/>
          <w:color w:val="231F20"/>
          <w:w w:val="110"/>
        </w:rPr>
        <w:t>readiness</w:t>
      </w:r>
      <w:r w:rsidRPr="00EA7458">
        <w:rPr>
          <w:rFonts w:ascii="Calibri" w:hAnsi="Calibri"/>
          <w:color w:val="231F20"/>
          <w:w w:val="109"/>
        </w:rPr>
        <w:t xml:space="preserve"> </w:t>
      </w:r>
      <w:r w:rsidRPr="00EA7458">
        <w:rPr>
          <w:rFonts w:ascii="Calibri" w:hAnsi="Calibri"/>
          <w:color w:val="231F20"/>
          <w:w w:val="110"/>
        </w:rPr>
        <w:t>training</w:t>
      </w:r>
      <w:r w:rsidRPr="00EA7458">
        <w:rPr>
          <w:rFonts w:ascii="Calibri" w:hAnsi="Calibri"/>
          <w:color w:val="231F20"/>
          <w:spacing w:val="-21"/>
          <w:w w:val="110"/>
        </w:rPr>
        <w:t xml:space="preserve"> </w:t>
      </w:r>
      <w:r w:rsidRPr="00EA7458">
        <w:rPr>
          <w:rFonts w:ascii="Calibri" w:hAnsi="Calibri"/>
          <w:color w:val="231F20"/>
          <w:w w:val="110"/>
        </w:rPr>
        <w:t>to</w:t>
      </w:r>
      <w:r w:rsidRPr="00EA7458">
        <w:rPr>
          <w:rFonts w:ascii="Calibri" w:hAnsi="Calibri"/>
          <w:color w:val="231F20"/>
          <w:spacing w:val="-21"/>
          <w:w w:val="110"/>
        </w:rPr>
        <w:t xml:space="preserve"> </w:t>
      </w:r>
      <w:r w:rsidRPr="00EA7458">
        <w:rPr>
          <w:rFonts w:ascii="Calibri" w:hAnsi="Calibri"/>
          <w:color w:val="231F20"/>
          <w:w w:val="110"/>
        </w:rPr>
        <w:t>prepare</w:t>
      </w:r>
      <w:r w:rsidRPr="00EA7458">
        <w:rPr>
          <w:rFonts w:ascii="Calibri" w:hAnsi="Calibri"/>
          <w:color w:val="231F20"/>
          <w:spacing w:val="-21"/>
          <w:w w:val="110"/>
        </w:rPr>
        <w:t xml:space="preserve"> </w:t>
      </w:r>
      <w:r w:rsidRPr="00EA7458">
        <w:rPr>
          <w:rFonts w:ascii="Calibri" w:hAnsi="Calibri"/>
          <w:color w:val="231F20"/>
          <w:w w:val="110"/>
        </w:rPr>
        <w:t>for</w:t>
      </w:r>
      <w:r w:rsidRPr="00EA7458">
        <w:rPr>
          <w:rFonts w:ascii="Calibri" w:hAnsi="Calibri"/>
          <w:color w:val="231F20"/>
          <w:spacing w:val="-21"/>
          <w:w w:val="110"/>
        </w:rPr>
        <w:t xml:space="preserve"> </w:t>
      </w:r>
      <w:r w:rsidRPr="00EA7458">
        <w:rPr>
          <w:rFonts w:ascii="Calibri" w:hAnsi="Calibri"/>
          <w:color w:val="231F20"/>
          <w:w w:val="110"/>
        </w:rPr>
        <w:t>their</w:t>
      </w:r>
      <w:r w:rsidRPr="00EA7458">
        <w:rPr>
          <w:rFonts w:ascii="Calibri" w:hAnsi="Calibri"/>
          <w:color w:val="231F20"/>
          <w:spacing w:val="-21"/>
          <w:w w:val="110"/>
        </w:rPr>
        <w:t xml:space="preserve"> </w:t>
      </w:r>
      <w:r w:rsidRPr="00EA7458">
        <w:rPr>
          <w:rFonts w:ascii="Calibri" w:hAnsi="Calibri"/>
          <w:color w:val="231F20"/>
          <w:spacing w:val="-3"/>
          <w:w w:val="110"/>
        </w:rPr>
        <w:t>career.</w:t>
      </w:r>
      <w:r w:rsidRPr="00EA7458">
        <w:rPr>
          <w:rFonts w:ascii="Calibri" w:hAnsi="Calibri"/>
          <w:color w:val="231F20"/>
          <w:spacing w:val="-21"/>
          <w:w w:val="110"/>
        </w:rPr>
        <w:t xml:space="preserve"> </w:t>
      </w:r>
      <w:r w:rsidRPr="00EA7458">
        <w:rPr>
          <w:rFonts w:ascii="Calibri" w:hAnsi="Calibri"/>
          <w:color w:val="231F20"/>
          <w:w w:val="110"/>
        </w:rPr>
        <w:t>Job</w:t>
      </w:r>
      <w:r w:rsidRPr="00EA7458">
        <w:rPr>
          <w:rFonts w:ascii="Calibri" w:hAnsi="Calibri"/>
          <w:color w:val="231F20"/>
          <w:spacing w:val="-21"/>
          <w:w w:val="110"/>
        </w:rPr>
        <w:t xml:space="preserve"> </w:t>
      </w:r>
      <w:r w:rsidRPr="00EA7458">
        <w:rPr>
          <w:rFonts w:ascii="Calibri" w:hAnsi="Calibri"/>
          <w:color w:val="231F20"/>
          <w:w w:val="110"/>
        </w:rPr>
        <w:t>search,</w:t>
      </w:r>
      <w:r w:rsidRPr="00EA7458">
        <w:rPr>
          <w:rFonts w:ascii="Calibri" w:hAnsi="Calibri"/>
          <w:color w:val="231F20"/>
          <w:spacing w:val="-21"/>
          <w:w w:val="110"/>
        </w:rPr>
        <w:t xml:space="preserve"> </w:t>
      </w:r>
      <w:r w:rsidRPr="00EA7458">
        <w:rPr>
          <w:rFonts w:ascii="Calibri" w:hAnsi="Calibri"/>
          <w:color w:val="231F20"/>
          <w:w w:val="110"/>
        </w:rPr>
        <w:t>placement,</w:t>
      </w:r>
      <w:r w:rsidRPr="00EA7458">
        <w:rPr>
          <w:rFonts w:ascii="Calibri" w:hAnsi="Calibri"/>
          <w:color w:val="231F20"/>
          <w:spacing w:val="-21"/>
          <w:w w:val="110"/>
        </w:rPr>
        <w:t xml:space="preserve"> </w:t>
      </w:r>
      <w:r w:rsidRPr="00EA7458">
        <w:rPr>
          <w:rFonts w:ascii="Calibri" w:hAnsi="Calibri"/>
          <w:color w:val="231F20"/>
          <w:w w:val="110"/>
        </w:rPr>
        <w:t>coaching,</w:t>
      </w:r>
      <w:r w:rsidRPr="00EA7458">
        <w:rPr>
          <w:rFonts w:ascii="Calibri" w:hAnsi="Calibri"/>
          <w:color w:val="231F20"/>
          <w:spacing w:val="-21"/>
          <w:w w:val="110"/>
        </w:rPr>
        <w:t xml:space="preserve"> </w:t>
      </w:r>
      <w:r w:rsidRPr="00EA7458">
        <w:rPr>
          <w:rFonts w:ascii="Calibri" w:hAnsi="Calibri"/>
          <w:color w:val="231F20"/>
          <w:w w:val="110"/>
        </w:rPr>
        <w:t>supported</w:t>
      </w:r>
      <w:r w:rsidRPr="00EA7458">
        <w:rPr>
          <w:rFonts w:ascii="Calibri" w:hAnsi="Calibri"/>
          <w:color w:val="231F20"/>
          <w:spacing w:val="-21"/>
          <w:w w:val="110"/>
        </w:rPr>
        <w:t xml:space="preserve"> </w:t>
      </w:r>
      <w:r w:rsidRPr="00EA7458">
        <w:rPr>
          <w:rFonts w:ascii="Calibri" w:hAnsi="Calibri"/>
          <w:color w:val="231F20"/>
          <w:w w:val="110"/>
        </w:rPr>
        <w:t>employment</w:t>
      </w:r>
      <w:r w:rsidRPr="00EA7458">
        <w:rPr>
          <w:rFonts w:ascii="Calibri" w:hAnsi="Calibri"/>
          <w:color w:val="231F20"/>
          <w:spacing w:val="-21"/>
          <w:w w:val="110"/>
        </w:rPr>
        <w:t xml:space="preserve"> </w:t>
      </w:r>
      <w:r w:rsidRPr="00EA7458">
        <w:rPr>
          <w:rFonts w:ascii="Calibri" w:hAnsi="Calibri"/>
          <w:color w:val="231F20"/>
          <w:w w:val="110"/>
        </w:rPr>
        <w:t>and</w:t>
      </w:r>
      <w:r w:rsidRPr="00EA7458">
        <w:rPr>
          <w:rFonts w:ascii="Calibri" w:hAnsi="Calibri"/>
          <w:color w:val="231F20"/>
          <w:spacing w:val="-21"/>
          <w:w w:val="110"/>
        </w:rPr>
        <w:t xml:space="preserve"> </w:t>
      </w:r>
      <w:r w:rsidRPr="00EA7458">
        <w:rPr>
          <w:rFonts w:ascii="Calibri" w:hAnsi="Calibri"/>
          <w:color w:val="231F20"/>
          <w:w w:val="110"/>
        </w:rPr>
        <w:t>self-</w:t>
      </w:r>
      <w:r w:rsidRPr="00EA7458">
        <w:rPr>
          <w:rFonts w:ascii="Calibri" w:hAnsi="Calibri"/>
          <w:color w:val="231F20"/>
          <w:w w:val="105"/>
        </w:rPr>
        <w:t>employment</w:t>
      </w:r>
      <w:r w:rsidRPr="00EA7458">
        <w:rPr>
          <w:rFonts w:ascii="Calibri" w:hAnsi="Calibri"/>
          <w:color w:val="231F20"/>
          <w:spacing w:val="18"/>
          <w:w w:val="105"/>
        </w:rPr>
        <w:t xml:space="preserve"> </w:t>
      </w:r>
      <w:r w:rsidRPr="00EA7458">
        <w:rPr>
          <w:rFonts w:ascii="Calibri" w:hAnsi="Calibri"/>
          <w:color w:val="231F20"/>
          <w:w w:val="105"/>
        </w:rPr>
        <w:t>services</w:t>
      </w:r>
      <w:r w:rsidRPr="00EA7458">
        <w:rPr>
          <w:rFonts w:ascii="Calibri" w:hAnsi="Calibri"/>
          <w:color w:val="231F20"/>
          <w:spacing w:val="18"/>
          <w:w w:val="105"/>
        </w:rPr>
        <w:t xml:space="preserve"> </w:t>
      </w:r>
      <w:r w:rsidRPr="00EA7458">
        <w:rPr>
          <w:rFonts w:ascii="Calibri" w:hAnsi="Calibri"/>
          <w:color w:val="231F20"/>
          <w:w w:val="105"/>
        </w:rPr>
        <w:t>are</w:t>
      </w:r>
      <w:r w:rsidRPr="00EA7458">
        <w:rPr>
          <w:rFonts w:ascii="Calibri" w:hAnsi="Calibri"/>
          <w:color w:val="231F20"/>
          <w:spacing w:val="18"/>
          <w:w w:val="105"/>
        </w:rPr>
        <w:t xml:space="preserve"> </w:t>
      </w:r>
      <w:r w:rsidRPr="00EA7458">
        <w:rPr>
          <w:rFonts w:ascii="Calibri" w:hAnsi="Calibri"/>
          <w:color w:val="231F20"/>
          <w:w w:val="105"/>
        </w:rPr>
        <w:t>available,</w:t>
      </w:r>
      <w:r w:rsidRPr="00EA7458">
        <w:rPr>
          <w:rFonts w:ascii="Calibri" w:hAnsi="Calibri"/>
          <w:color w:val="231F20"/>
          <w:spacing w:val="18"/>
          <w:w w:val="105"/>
        </w:rPr>
        <w:t xml:space="preserve"> </w:t>
      </w:r>
      <w:r w:rsidRPr="00EA7458">
        <w:rPr>
          <w:rFonts w:ascii="Calibri" w:hAnsi="Calibri"/>
          <w:color w:val="231F20"/>
          <w:w w:val="105"/>
        </w:rPr>
        <w:t>as</w:t>
      </w:r>
      <w:r w:rsidRPr="00EA7458">
        <w:rPr>
          <w:rFonts w:ascii="Calibri" w:hAnsi="Calibri"/>
          <w:color w:val="231F20"/>
          <w:spacing w:val="18"/>
          <w:w w:val="105"/>
        </w:rPr>
        <w:t xml:space="preserve"> </w:t>
      </w:r>
      <w:r w:rsidRPr="00EA7458">
        <w:rPr>
          <w:rFonts w:ascii="Calibri" w:hAnsi="Calibri"/>
          <w:color w:val="231F20"/>
          <w:w w:val="105"/>
        </w:rPr>
        <w:t>well</w:t>
      </w:r>
      <w:r w:rsidRPr="00EA7458">
        <w:rPr>
          <w:rFonts w:ascii="Calibri" w:hAnsi="Calibri"/>
          <w:color w:val="231F20"/>
          <w:spacing w:val="18"/>
          <w:w w:val="105"/>
        </w:rPr>
        <w:t xml:space="preserve"> </w:t>
      </w:r>
      <w:r w:rsidRPr="00EA7458">
        <w:rPr>
          <w:rFonts w:ascii="Calibri" w:hAnsi="Calibri"/>
          <w:color w:val="231F20"/>
          <w:w w:val="105"/>
        </w:rPr>
        <w:t>as</w:t>
      </w:r>
      <w:r w:rsidRPr="00EA7458">
        <w:rPr>
          <w:rFonts w:ascii="Calibri" w:hAnsi="Calibri"/>
          <w:color w:val="231F20"/>
          <w:spacing w:val="18"/>
          <w:w w:val="105"/>
        </w:rPr>
        <w:t xml:space="preserve"> </w:t>
      </w:r>
      <w:r w:rsidRPr="00EA7458">
        <w:rPr>
          <w:rFonts w:ascii="Calibri" w:hAnsi="Calibri"/>
          <w:color w:val="231F20"/>
          <w:w w:val="105"/>
        </w:rPr>
        <w:t>interpretive,</w:t>
      </w:r>
      <w:r w:rsidRPr="00EA7458">
        <w:rPr>
          <w:rFonts w:ascii="Calibri" w:hAnsi="Calibri"/>
          <w:color w:val="231F20"/>
          <w:spacing w:val="18"/>
          <w:w w:val="105"/>
        </w:rPr>
        <w:t xml:space="preserve"> </w:t>
      </w:r>
      <w:r w:rsidRPr="00EA7458">
        <w:rPr>
          <w:rFonts w:ascii="Calibri" w:hAnsi="Calibri"/>
          <w:color w:val="231F20"/>
          <w:w w:val="105"/>
        </w:rPr>
        <w:t>assistive</w:t>
      </w:r>
      <w:r w:rsidRPr="00EA7458">
        <w:rPr>
          <w:rFonts w:ascii="Calibri" w:hAnsi="Calibri"/>
          <w:color w:val="231F20"/>
          <w:spacing w:val="18"/>
          <w:w w:val="105"/>
        </w:rPr>
        <w:t xml:space="preserve"> </w:t>
      </w:r>
      <w:r w:rsidRPr="00EA7458">
        <w:rPr>
          <w:rFonts w:ascii="Calibri" w:hAnsi="Calibri"/>
          <w:color w:val="231F20"/>
          <w:w w:val="105"/>
        </w:rPr>
        <w:t>and</w:t>
      </w:r>
      <w:r w:rsidRPr="00EA7458">
        <w:rPr>
          <w:rFonts w:ascii="Calibri" w:hAnsi="Calibri"/>
          <w:color w:val="231F20"/>
          <w:spacing w:val="18"/>
          <w:w w:val="105"/>
        </w:rPr>
        <w:t xml:space="preserve"> </w:t>
      </w:r>
      <w:r w:rsidRPr="00EA7458">
        <w:rPr>
          <w:rFonts w:ascii="Calibri" w:hAnsi="Calibri"/>
          <w:color w:val="231F20"/>
          <w:w w:val="105"/>
        </w:rPr>
        <w:t>rehabilitation</w:t>
      </w:r>
      <w:r w:rsidRPr="00EA7458">
        <w:rPr>
          <w:rFonts w:ascii="Calibri" w:hAnsi="Calibri"/>
          <w:color w:val="231F20"/>
          <w:spacing w:val="18"/>
          <w:w w:val="105"/>
        </w:rPr>
        <w:t xml:space="preserve"> </w:t>
      </w:r>
      <w:r w:rsidRPr="00EA7458">
        <w:rPr>
          <w:rFonts w:ascii="Calibri" w:hAnsi="Calibri"/>
          <w:color w:val="231F20"/>
          <w:w w:val="105"/>
        </w:rPr>
        <w:t>technology</w:t>
      </w:r>
      <w:r w:rsidRPr="00EA7458">
        <w:rPr>
          <w:rFonts w:ascii="Calibri" w:hAnsi="Calibri"/>
          <w:color w:val="231F20"/>
          <w:spacing w:val="18"/>
          <w:w w:val="105"/>
        </w:rPr>
        <w:t xml:space="preserve"> </w:t>
      </w:r>
      <w:r w:rsidRPr="00EA7458">
        <w:rPr>
          <w:rFonts w:ascii="Calibri" w:hAnsi="Calibri"/>
          <w:color w:val="231F20"/>
          <w:w w:val="105"/>
        </w:rPr>
        <w:t>services.</w:t>
      </w:r>
      <w:r w:rsidRPr="00EA7458">
        <w:rPr>
          <w:rFonts w:ascii="Calibri" w:hAnsi="Calibri"/>
          <w:color w:val="231F20"/>
          <w:w w:val="109"/>
        </w:rPr>
        <w:t xml:space="preserve"> </w:t>
      </w:r>
      <w:r w:rsidRPr="00EA7458">
        <w:rPr>
          <w:rFonts w:ascii="Calibri" w:hAnsi="Calibri"/>
          <w:color w:val="231F20"/>
          <w:w w:val="105"/>
        </w:rPr>
        <w:t>VR</w:t>
      </w:r>
      <w:r w:rsidRPr="00EA7458">
        <w:rPr>
          <w:rFonts w:ascii="Calibri" w:hAnsi="Calibri"/>
          <w:color w:val="231F20"/>
          <w:spacing w:val="9"/>
          <w:w w:val="105"/>
        </w:rPr>
        <w:t xml:space="preserve"> </w:t>
      </w:r>
      <w:r w:rsidRPr="00EA7458">
        <w:rPr>
          <w:rFonts w:ascii="Calibri" w:hAnsi="Calibri"/>
          <w:color w:val="231F20"/>
          <w:w w:val="105"/>
        </w:rPr>
        <w:t>maintains</w:t>
      </w:r>
      <w:r w:rsidRPr="00EA7458">
        <w:rPr>
          <w:rFonts w:ascii="Calibri" w:hAnsi="Calibri"/>
          <w:color w:val="231F20"/>
          <w:spacing w:val="9"/>
          <w:w w:val="105"/>
        </w:rPr>
        <w:t xml:space="preserve"> </w:t>
      </w:r>
      <w:r w:rsidRPr="00EA7458">
        <w:rPr>
          <w:rFonts w:ascii="Calibri" w:hAnsi="Calibri"/>
          <w:color w:val="231F20"/>
          <w:w w:val="105"/>
        </w:rPr>
        <w:t>a</w:t>
      </w:r>
      <w:r w:rsidRPr="00EA7458">
        <w:rPr>
          <w:rFonts w:ascii="Calibri" w:hAnsi="Calibri"/>
          <w:color w:val="231F20"/>
          <w:spacing w:val="9"/>
          <w:w w:val="105"/>
        </w:rPr>
        <w:t xml:space="preserve"> </w:t>
      </w:r>
      <w:r w:rsidRPr="00EA7458">
        <w:rPr>
          <w:rFonts w:ascii="Calibri" w:hAnsi="Calibri"/>
          <w:color w:val="231F20"/>
          <w:w w:val="105"/>
        </w:rPr>
        <w:t>vast</w:t>
      </w:r>
      <w:r w:rsidRPr="00EA7458">
        <w:rPr>
          <w:rFonts w:ascii="Calibri" w:hAnsi="Calibri"/>
          <w:color w:val="231F20"/>
          <w:spacing w:val="9"/>
          <w:w w:val="105"/>
        </w:rPr>
        <w:t xml:space="preserve"> </w:t>
      </w:r>
      <w:r w:rsidRPr="00EA7458">
        <w:rPr>
          <w:rFonts w:ascii="Calibri" w:hAnsi="Calibri"/>
          <w:color w:val="231F20"/>
          <w:w w:val="105"/>
        </w:rPr>
        <w:t>network</w:t>
      </w:r>
      <w:r w:rsidRPr="00EA7458">
        <w:rPr>
          <w:rFonts w:ascii="Calibri" w:hAnsi="Calibri"/>
          <w:color w:val="231F20"/>
          <w:spacing w:val="9"/>
          <w:w w:val="105"/>
        </w:rPr>
        <w:t xml:space="preserve"> </w:t>
      </w:r>
      <w:r w:rsidRPr="00EA7458">
        <w:rPr>
          <w:rFonts w:ascii="Calibri" w:hAnsi="Calibri"/>
          <w:color w:val="231F20"/>
          <w:w w:val="105"/>
        </w:rPr>
        <w:t>of</w:t>
      </w:r>
      <w:r w:rsidRPr="00EA7458">
        <w:rPr>
          <w:rFonts w:ascii="Calibri" w:hAnsi="Calibri"/>
          <w:color w:val="231F20"/>
          <w:spacing w:val="9"/>
          <w:w w:val="105"/>
        </w:rPr>
        <w:t xml:space="preserve"> </w:t>
      </w:r>
      <w:r w:rsidRPr="00EA7458">
        <w:rPr>
          <w:rFonts w:ascii="Calibri" w:hAnsi="Calibri"/>
          <w:color w:val="231F20"/>
          <w:w w:val="105"/>
        </w:rPr>
        <w:t>contracted</w:t>
      </w:r>
      <w:r w:rsidRPr="00EA7458">
        <w:rPr>
          <w:rFonts w:ascii="Calibri" w:hAnsi="Calibri"/>
          <w:color w:val="231F20"/>
          <w:spacing w:val="9"/>
          <w:w w:val="105"/>
        </w:rPr>
        <w:t xml:space="preserve"> </w:t>
      </w:r>
      <w:r w:rsidRPr="00EA7458">
        <w:rPr>
          <w:rFonts w:ascii="Calibri" w:hAnsi="Calibri"/>
          <w:color w:val="231F20"/>
          <w:w w:val="105"/>
        </w:rPr>
        <w:t>employment</w:t>
      </w:r>
      <w:r w:rsidRPr="00EA7458">
        <w:rPr>
          <w:rFonts w:ascii="Calibri" w:hAnsi="Calibri"/>
          <w:color w:val="231F20"/>
          <w:spacing w:val="9"/>
          <w:w w:val="105"/>
        </w:rPr>
        <w:t xml:space="preserve"> </w:t>
      </w:r>
      <w:r w:rsidRPr="00EA7458">
        <w:rPr>
          <w:rFonts w:ascii="Calibri" w:hAnsi="Calibri"/>
          <w:color w:val="231F20"/>
          <w:w w:val="105"/>
        </w:rPr>
        <w:t>service</w:t>
      </w:r>
      <w:r w:rsidRPr="00EA7458">
        <w:rPr>
          <w:rFonts w:ascii="Calibri" w:hAnsi="Calibri"/>
          <w:color w:val="231F20"/>
          <w:spacing w:val="9"/>
          <w:w w:val="105"/>
        </w:rPr>
        <w:t xml:space="preserve"> </w:t>
      </w:r>
      <w:r w:rsidRPr="00EA7458">
        <w:rPr>
          <w:rFonts w:ascii="Calibri" w:hAnsi="Calibri"/>
          <w:color w:val="231F20"/>
          <w:w w:val="105"/>
        </w:rPr>
        <w:t>providers</w:t>
      </w:r>
      <w:r w:rsidRPr="00EA7458">
        <w:rPr>
          <w:rFonts w:ascii="Calibri" w:hAnsi="Calibri"/>
          <w:color w:val="231F20"/>
          <w:spacing w:val="9"/>
          <w:w w:val="105"/>
        </w:rPr>
        <w:t xml:space="preserve"> </w:t>
      </w:r>
      <w:r w:rsidRPr="00EA7458">
        <w:rPr>
          <w:rFonts w:ascii="Calibri" w:hAnsi="Calibri"/>
          <w:color w:val="231F20"/>
          <w:w w:val="105"/>
        </w:rPr>
        <w:t>throughout</w:t>
      </w:r>
      <w:r w:rsidRPr="00EA7458">
        <w:rPr>
          <w:rFonts w:ascii="Calibri" w:hAnsi="Calibri"/>
          <w:color w:val="231F20"/>
          <w:spacing w:val="9"/>
          <w:w w:val="105"/>
        </w:rPr>
        <w:t xml:space="preserve"> </w:t>
      </w:r>
      <w:r w:rsidRPr="00EA7458">
        <w:rPr>
          <w:rFonts w:ascii="Calibri" w:hAnsi="Calibri"/>
          <w:color w:val="231F20"/>
          <w:w w:val="105"/>
        </w:rPr>
        <w:t>the</w:t>
      </w:r>
      <w:r w:rsidRPr="00EA7458">
        <w:rPr>
          <w:rFonts w:ascii="Calibri" w:hAnsi="Calibri"/>
          <w:color w:val="231F20"/>
          <w:spacing w:val="9"/>
          <w:w w:val="105"/>
        </w:rPr>
        <w:t xml:space="preserve"> </w:t>
      </w:r>
      <w:r w:rsidRPr="00EA7458">
        <w:rPr>
          <w:rFonts w:ascii="Calibri" w:hAnsi="Calibri"/>
          <w:color w:val="231F20"/>
          <w:w w:val="105"/>
        </w:rPr>
        <w:t>state</w:t>
      </w:r>
      <w:r w:rsidR="00D5537E">
        <w:rPr>
          <w:rFonts w:ascii="Calibri" w:hAnsi="Calibri"/>
          <w:color w:val="231F20"/>
          <w:w w:val="105"/>
        </w:rPr>
        <w:t xml:space="preserve"> and</w:t>
      </w:r>
      <w:r w:rsidRPr="00EA7458">
        <w:rPr>
          <w:rFonts w:ascii="Calibri" w:hAnsi="Calibri"/>
          <w:color w:val="231F20"/>
          <w:spacing w:val="9"/>
          <w:w w:val="105"/>
        </w:rPr>
        <w:t xml:space="preserve"> </w:t>
      </w:r>
      <w:r w:rsidRPr="00EA7458">
        <w:rPr>
          <w:rFonts w:ascii="Calibri" w:hAnsi="Calibri"/>
          <w:color w:val="231F20"/>
          <w:w w:val="105"/>
        </w:rPr>
        <w:t>has</w:t>
      </w:r>
      <w:r w:rsidRPr="00EA7458">
        <w:rPr>
          <w:rFonts w:ascii="Calibri" w:hAnsi="Calibri"/>
          <w:color w:val="231F20"/>
          <w:spacing w:val="-26"/>
          <w:w w:val="105"/>
        </w:rPr>
        <w:t xml:space="preserve"> </w:t>
      </w:r>
      <w:r w:rsidRPr="00EA7458">
        <w:rPr>
          <w:rFonts w:ascii="Calibri" w:hAnsi="Calibri"/>
          <w:color w:val="231F20"/>
          <w:w w:val="105"/>
        </w:rPr>
        <w:t>initiatives in place to increase the variety and quantity of services offered.</w:t>
      </w:r>
    </w:p>
    <w:p w14:paraId="64DE0045" w14:textId="77777777" w:rsidR="00EA7458" w:rsidRPr="00EA7458" w:rsidRDefault="00EA7458" w:rsidP="00D63204">
      <w:pPr>
        <w:widowControl w:val="0"/>
        <w:spacing w:before="5" w:after="0" w:line="240" w:lineRule="auto"/>
        <w:ind w:left="107"/>
        <w:rPr>
          <w:rFonts w:ascii="Calibri" w:hAnsi="Calibri" w:cs="Calibri"/>
          <w:sz w:val="16"/>
          <w:szCs w:val="16"/>
        </w:rPr>
      </w:pPr>
    </w:p>
    <w:p w14:paraId="4FC3824D" w14:textId="61134DEA" w:rsidR="00A85ED4" w:rsidRPr="00EA7458" w:rsidRDefault="00213C9E" w:rsidP="00D63204">
      <w:pPr>
        <w:widowControl w:val="0"/>
        <w:spacing w:after="0" w:line="264" w:lineRule="exact"/>
        <w:ind w:left="107"/>
        <w:rPr>
          <w:rFonts w:ascii="Calibri" w:hAnsi="Calibri"/>
        </w:rPr>
      </w:pPr>
      <w:bookmarkStart w:id="48" w:name="_Hlk505119615"/>
      <w:r w:rsidRPr="00EA7458">
        <w:rPr>
          <w:rFonts w:ascii="Calibri" w:hAnsi="Calibri"/>
          <w:color w:val="231F20"/>
          <w:w w:val="105"/>
        </w:rPr>
        <w:t>VR</w:t>
      </w:r>
      <w:r w:rsidRPr="00EA7458">
        <w:rPr>
          <w:rFonts w:ascii="Calibri" w:hAnsi="Calibri"/>
          <w:color w:val="231F20"/>
          <w:spacing w:val="11"/>
          <w:w w:val="105"/>
        </w:rPr>
        <w:t xml:space="preserve"> </w:t>
      </w:r>
      <w:r w:rsidRPr="00EA7458">
        <w:rPr>
          <w:rFonts w:ascii="Calibri" w:hAnsi="Calibri"/>
          <w:color w:val="231F20"/>
          <w:w w:val="105"/>
        </w:rPr>
        <w:t>has</w:t>
      </w:r>
      <w:r w:rsidRPr="00EA7458">
        <w:rPr>
          <w:rFonts w:ascii="Calibri" w:hAnsi="Calibri"/>
          <w:color w:val="231F20"/>
          <w:spacing w:val="11"/>
          <w:w w:val="105"/>
        </w:rPr>
        <w:t xml:space="preserve"> </w:t>
      </w:r>
      <w:r w:rsidRPr="00EA7458">
        <w:rPr>
          <w:rFonts w:ascii="Calibri" w:hAnsi="Calibri"/>
          <w:color w:val="231F20"/>
          <w:w w:val="105"/>
        </w:rPr>
        <w:t>formalized</w:t>
      </w:r>
      <w:r w:rsidRPr="00EA7458">
        <w:rPr>
          <w:rFonts w:ascii="Calibri" w:hAnsi="Calibri"/>
          <w:color w:val="231F20"/>
          <w:spacing w:val="11"/>
          <w:w w:val="105"/>
        </w:rPr>
        <w:t xml:space="preserve"> </w:t>
      </w:r>
      <w:r w:rsidRPr="00EA7458">
        <w:rPr>
          <w:rFonts w:ascii="Calibri" w:hAnsi="Calibri"/>
          <w:color w:val="231F20"/>
          <w:w w:val="105"/>
        </w:rPr>
        <w:t>a</w:t>
      </w:r>
      <w:r w:rsidRPr="00EA7458">
        <w:rPr>
          <w:rFonts w:ascii="Calibri" w:hAnsi="Calibri"/>
          <w:color w:val="231F20"/>
          <w:spacing w:val="11"/>
          <w:w w:val="105"/>
        </w:rPr>
        <w:t xml:space="preserve"> </w:t>
      </w:r>
      <w:r w:rsidRPr="00EA7458">
        <w:rPr>
          <w:rFonts w:ascii="Calibri" w:hAnsi="Calibri"/>
          <w:color w:val="231F20"/>
          <w:w w:val="105"/>
        </w:rPr>
        <w:t>Business</w:t>
      </w:r>
      <w:r w:rsidRPr="00EA7458">
        <w:rPr>
          <w:rFonts w:ascii="Calibri" w:hAnsi="Calibri"/>
          <w:color w:val="231F20"/>
          <w:spacing w:val="11"/>
          <w:w w:val="105"/>
        </w:rPr>
        <w:t xml:space="preserve"> </w:t>
      </w:r>
      <w:r w:rsidRPr="00EA7458">
        <w:rPr>
          <w:rFonts w:ascii="Calibri" w:hAnsi="Calibri"/>
          <w:color w:val="231F20"/>
          <w:w w:val="105"/>
        </w:rPr>
        <w:t>Relations</w:t>
      </w:r>
      <w:r w:rsidRPr="00EA7458">
        <w:rPr>
          <w:rFonts w:ascii="Calibri" w:hAnsi="Calibri"/>
          <w:color w:val="231F20"/>
          <w:spacing w:val="11"/>
          <w:w w:val="105"/>
        </w:rPr>
        <w:t xml:space="preserve"> </w:t>
      </w:r>
      <w:r w:rsidRPr="00EA7458">
        <w:rPr>
          <w:rFonts w:ascii="Calibri" w:hAnsi="Calibri"/>
          <w:color w:val="231F20"/>
          <w:w w:val="105"/>
        </w:rPr>
        <w:t>Program,</w:t>
      </w:r>
      <w:r w:rsidRPr="00EA7458">
        <w:rPr>
          <w:rFonts w:ascii="Calibri" w:hAnsi="Calibri"/>
          <w:color w:val="231F20"/>
          <w:spacing w:val="11"/>
          <w:w w:val="105"/>
        </w:rPr>
        <w:t xml:space="preserve"> </w:t>
      </w:r>
      <w:r w:rsidRPr="00EA7458">
        <w:rPr>
          <w:rFonts w:ascii="Calibri" w:hAnsi="Calibri"/>
          <w:color w:val="231F20"/>
          <w:w w:val="105"/>
        </w:rPr>
        <w:t>with</w:t>
      </w:r>
      <w:r w:rsidRPr="00EA7458">
        <w:rPr>
          <w:rFonts w:ascii="Calibri" w:hAnsi="Calibri"/>
          <w:color w:val="231F20"/>
          <w:spacing w:val="11"/>
          <w:w w:val="105"/>
        </w:rPr>
        <w:t xml:space="preserve"> </w:t>
      </w:r>
      <w:r w:rsidRPr="00EA7458">
        <w:rPr>
          <w:rFonts w:ascii="Calibri" w:hAnsi="Calibri"/>
          <w:color w:val="231F20"/>
          <w:w w:val="105"/>
        </w:rPr>
        <w:t>the</w:t>
      </w:r>
      <w:r w:rsidRPr="00EA7458">
        <w:rPr>
          <w:rFonts w:ascii="Calibri" w:hAnsi="Calibri"/>
          <w:color w:val="231F20"/>
          <w:spacing w:val="11"/>
          <w:w w:val="105"/>
        </w:rPr>
        <w:t xml:space="preserve"> </w:t>
      </w:r>
      <w:r w:rsidRPr="00EA7458">
        <w:rPr>
          <w:rFonts w:ascii="Calibri" w:hAnsi="Calibri"/>
          <w:color w:val="231F20"/>
          <w:w w:val="105"/>
        </w:rPr>
        <w:t>vision</w:t>
      </w:r>
      <w:r w:rsidRPr="00EA7458">
        <w:rPr>
          <w:rFonts w:ascii="Calibri" w:hAnsi="Calibri"/>
          <w:color w:val="231F20"/>
          <w:spacing w:val="11"/>
          <w:w w:val="105"/>
        </w:rPr>
        <w:t xml:space="preserve"> </w:t>
      </w:r>
      <w:r w:rsidRPr="00EA7458">
        <w:rPr>
          <w:rFonts w:ascii="Calibri" w:hAnsi="Calibri"/>
          <w:color w:val="231F20"/>
          <w:w w:val="105"/>
        </w:rPr>
        <w:t>to</w:t>
      </w:r>
      <w:r w:rsidRPr="00EA7458">
        <w:rPr>
          <w:rFonts w:ascii="Calibri" w:hAnsi="Calibri"/>
          <w:color w:val="231F20"/>
          <w:spacing w:val="11"/>
          <w:w w:val="105"/>
        </w:rPr>
        <w:t xml:space="preserve"> </w:t>
      </w:r>
      <w:r w:rsidRPr="00EA7458">
        <w:rPr>
          <w:rFonts w:ascii="Calibri" w:hAnsi="Calibri"/>
          <w:color w:val="231F20"/>
          <w:w w:val="105"/>
        </w:rPr>
        <w:t>build</w:t>
      </w:r>
      <w:r w:rsidRPr="00EA7458">
        <w:rPr>
          <w:rFonts w:ascii="Calibri" w:hAnsi="Calibri"/>
          <w:color w:val="231F20"/>
          <w:spacing w:val="11"/>
          <w:w w:val="105"/>
        </w:rPr>
        <w:t xml:space="preserve"> </w:t>
      </w:r>
      <w:r w:rsidRPr="00EA7458">
        <w:rPr>
          <w:rFonts w:ascii="Calibri" w:hAnsi="Calibri"/>
          <w:color w:val="231F20"/>
          <w:w w:val="105"/>
        </w:rPr>
        <w:t>and</w:t>
      </w:r>
      <w:r w:rsidRPr="00EA7458">
        <w:rPr>
          <w:rFonts w:ascii="Calibri" w:hAnsi="Calibri"/>
          <w:color w:val="231F20"/>
          <w:spacing w:val="11"/>
          <w:w w:val="105"/>
        </w:rPr>
        <w:t xml:space="preserve"> </w:t>
      </w:r>
      <w:r w:rsidRPr="00EA7458">
        <w:rPr>
          <w:rFonts w:ascii="Calibri" w:hAnsi="Calibri"/>
          <w:color w:val="231F20"/>
          <w:w w:val="105"/>
        </w:rPr>
        <w:t>sustain</w:t>
      </w:r>
      <w:r w:rsidRPr="00EA7458">
        <w:rPr>
          <w:rFonts w:ascii="Calibri" w:hAnsi="Calibri"/>
          <w:color w:val="231F20"/>
          <w:spacing w:val="11"/>
          <w:w w:val="105"/>
        </w:rPr>
        <w:t xml:space="preserve"> </w:t>
      </w:r>
      <w:r w:rsidRPr="00EA7458">
        <w:rPr>
          <w:rFonts w:ascii="Calibri" w:hAnsi="Calibri"/>
          <w:color w:val="231F20"/>
          <w:w w:val="105"/>
        </w:rPr>
        <w:t>partnerships</w:t>
      </w:r>
      <w:r w:rsidRPr="00EA7458">
        <w:rPr>
          <w:rFonts w:ascii="Calibri" w:hAnsi="Calibri"/>
          <w:color w:val="231F20"/>
          <w:spacing w:val="11"/>
          <w:w w:val="105"/>
        </w:rPr>
        <w:t xml:space="preserve"> </w:t>
      </w:r>
      <w:r w:rsidRPr="00EA7458">
        <w:rPr>
          <w:rFonts w:ascii="Calibri" w:hAnsi="Calibri"/>
          <w:color w:val="231F20"/>
          <w:w w:val="105"/>
        </w:rPr>
        <w:t>with</w:t>
      </w:r>
      <w:r w:rsidRPr="00EA7458">
        <w:rPr>
          <w:rFonts w:ascii="Calibri" w:hAnsi="Calibri"/>
          <w:color w:val="231F20"/>
          <w:spacing w:val="-27"/>
          <w:w w:val="105"/>
        </w:rPr>
        <w:t xml:space="preserve"> </w:t>
      </w:r>
      <w:r w:rsidRPr="00EA7458">
        <w:rPr>
          <w:rFonts w:ascii="Calibri" w:hAnsi="Calibri"/>
          <w:color w:val="231F20"/>
          <w:w w:val="105"/>
        </w:rPr>
        <w:t>business and industry through effective services that are driven by the needs of employers. These</w:t>
      </w:r>
      <w:r w:rsidRPr="00EA7458">
        <w:rPr>
          <w:rFonts w:ascii="Calibri" w:hAnsi="Calibri"/>
          <w:color w:val="231F20"/>
          <w:spacing w:val="47"/>
          <w:w w:val="105"/>
        </w:rPr>
        <w:t xml:space="preserve"> </w:t>
      </w:r>
      <w:r w:rsidRPr="00EA7458">
        <w:rPr>
          <w:rFonts w:ascii="Calibri" w:hAnsi="Calibri"/>
          <w:color w:val="231F20"/>
          <w:w w:val="105"/>
        </w:rPr>
        <w:t>partnerships will lead to competitive integrated employment and career exploration opportunities for</w:t>
      </w:r>
      <w:r w:rsidRPr="00EA7458">
        <w:rPr>
          <w:rFonts w:ascii="Calibri" w:hAnsi="Calibri"/>
          <w:color w:val="231F20"/>
        </w:rPr>
        <w:t xml:space="preserve"> </w:t>
      </w:r>
      <w:r w:rsidRPr="00EA7458">
        <w:rPr>
          <w:rFonts w:ascii="Calibri" w:hAnsi="Calibri"/>
          <w:color w:val="231F20"/>
          <w:w w:val="105"/>
        </w:rPr>
        <w:t>VR</w:t>
      </w:r>
      <w:r w:rsidRPr="00EA7458">
        <w:rPr>
          <w:rFonts w:ascii="Calibri" w:hAnsi="Calibri"/>
          <w:color w:val="231F20"/>
          <w:spacing w:val="18"/>
          <w:w w:val="105"/>
        </w:rPr>
        <w:t xml:space="preserve"> </w:t>
      </w:r>
      <w:r w:rsidRPr="00EA7458">
        <w:rPr>
          <w:rFonts w:ascii="Calibri" w:hAnsi="Calibri"/>
          <w:color w:val="231F20"/>
          <w:w w:val="105"/>
        </w:rPr>
        <w:t>customers.</w:t>
      </w:r>
      <w:r w:rsidRPr="00EA7458">
        <w:rPr>
          <w:rFonts w:ascii="Calibri" w:hAnsi="Calibri"/>
          <w:color w:val="231F20"/>
          <w:spacing w:val="18"/>
          <w:w w:val="105"/>
        </w:rPr>
        <w:t xml:space="preserve"> </w:t>
      </w:r>
      <w:r w:rsidRPr="00EA7458">
        <w:rPr>
          <w:rFonts w:ascii="Calibri" w:hAnsi="Calibri"/>
          <w:color w:val="231F20"/>
          <w:w w:val="105"/>
        </w:rPr>
        <w:t>Efforts</w:t>
      </w:r>
      <w:r w:rsidRPr="00EA7458">
        <w:rPr>
          <w:rFonts w:ascii="Calibri" w:hAnsi="Calibri"/>
          <w:color w:val="231F20"/>
          <w:spacing w:val="18"/>
          <w:w w:val="105"/>
        </w:rPr>
        <w:t xml:space="preserve"> </w:t>
      </w:r>
      <w:r w:rsidRPr="00EA7458">
        <w:rPr>
          <w:rFonts w:ascii="Calibri" w:hAnsi="Calibri"/>
          <w:color w:val="231F20"/>
          <w:w w:val="105"/>
        </w:rPr>
        <w:t>are</w:t>
      </w:r>
      <w:r w:rsidRPr="00EA7458">
        <w:rPr>
          <w:rFonts w:ascii="Calibri" w:hAnsi="Calibri"/>
          <w:color w:val="231F20"/>
          <w:spacing w:val="18"/>
          <w:w w:val="105"/>
        </w:rPr>
        <w:t xml:space="preserve"> </w:t>
      </w:r>
      <w:r w:rsidRPr="00EA7458">
        <w:rPr>
          <w:rFonts w:ascii="Calibri" w:hAnsi="Calibri"/>
          <w:color w:val="231F20"/>
          <w:w w:val="105"/>
        </w:rPr>
        <w:t>underway</w:t>
      </w:r>
      <w:r w:rsidRPr="00EA7458">
        <w:rPr>
          <w:rFonts w:ascii="Calibri" w:hAnsi="Calibri"/>
          <w:color w:val="231F20"/>
          <w:spacing w:val="18"/>
          <w:w w:val="105"/>
        </w:rPr>
        <w:t xml:space="preserve"> </w:t>
      </w:r>
      <w:r w:rsidRPr="00EA7458">
        <w:rPr>
          <w:rFonts w:ascii="Calibri" w:hAnsi="Calibri"/>
          <w:color w:val="231F20"/>
          <w:w w:val="105"/>
        </w:rPr>
        <w:t>in</w:t>
      </w:r>
      <w:r w:rsidRPr="00EA7458">
        <w:rPr>
          <w:rFonts w:ascii="Calibri" w:hAnsi="Calibri"/>
          <w:color w:val="231F20"/>
          <w:spacing w:val="18"/>
          <w:w w:val="105"/>
        </w:rPr>
        <w:t xml:space="preserve"> </w:t>
      </w:r>
      <w:r w:rsidRPr="00EA7458">
        <w:rPr>
          <w:rFonts w:ascii="Calibri" w:hAnsi="Calibri"/>
          <w:color w:val="231F20"/>
          <w:w w:val="105"/>
        </w:rPr>
        <w:t>the</w:t>
      </w:r>
      <w:r w:rsidRPr="00EA7458">
        <w:rPr>
          <w:rFonts w:ascii="Calibri" w:hAnsi="Calibri"/>
          <w:color w:val="231F20"/>
          <w:spacing w:val="18"/>
          <w:w w:val="105"/>
        </w:rPr>
        <w:t xml:space="preserve"> </w:t>
      </w:r>
      <w:r w:rsidRPr="00EA7458">
        <w:rPr>
          <w:rFonts w:ascii="Calibri" w:hAnsi="Calibri"/>
          <w:color w:val="231F20"/>
          <w:w w:val="105"/>
        </w:rPr>
        <w:t>Business</w:t>
      </w:r>
      <w:r w:rsidRPr="00EA7458">
        <w:rPr>
          <w:rFonts w:ascii="Calibri" w:hAnsi="Calibri"/>
          <w:color w:val="231F20"/>
          <w:spacing w:val="18"/>
          <w:w w:val="105"/>
        </w:rPr>
        <w:t xml:space="preserve"> </w:t>
      </w:r>
      <w:r w:rsidRPr="00EA7458">
        <w:rPr>
          <w:rFonts w:ascii="Calibri" w:hAnsi="Calibri"/>
          <w:color w:val="231F20"/>
          <w:w w:val="105"/>
        </w:rPr>
        <w:t>Relations</w:t>
      </w:r>
      <w:r w:rsidRPr="00EA7458">
        <w:rPr>
          <w:rFonts w:ascii="Calibri" w:hAnsi="Calibri"/>
          <w:color w:val="231F20"/>
          <w:spacing w:val="18"/>
          <w:w w:val="105"/>
        </w:rPr>
        <w:t xml:space="preserve"> </w:t>
      </w:r>
      <w:r w:rsidRPr="00EA7458">
        <w:rPr>
          <w:rFonts w:ascii="Calibri" w:hAnsi="Calibri"/>
          <w:color w:val="231F20"/>
          <w:w w:val="105"/>
        </w:rPr>
        <w:t>Program</w:t>
      </w:r>
      <w:r w:rsidRPr="00EA7458">
        <w:rPr>
          <w:rFonts w:ascii="Calibri" w:hAnsi="Calibri"/>
          <w:color w:val="231F20"/>
          <w:spacing w:val="18"/>
          <w:w w:val="105"/>
        </w:rPr>
        <w:t xml:space="preserve"> </w:t>
      </w:r>
      <w:r w:rsidRPr="00EA7458">
        <w:rPr>
          <w:rFonts w:ascii="Calibri" w:hAnsi="Calibri"/>
          <w:color w:val="231F20"/>
          <w:w w:val="105"/>
        </w:rPr>
        <w:t>to</w:t>
      </w:r>
      <w:r w:rsidRPr="00EA7458">
        <w:rPr>
          <w:rFonts w:ascii="Calibri" w:hAnsi="Calibri"/>
          <w:color w:val="231F20"/>
          <w:spacing w:val="18"/>
          <w:w w:val="105"/>
        </w:rPr>
        <w:t xml:space="preserve"> </w:t>
      </w:r>
      <w:r w:rsidRPr="00EA7458">
        <w:rPr>
          <w:rFonts w:ascii="Calibri" w:hAnsi="Calibri"/>
          <w:color w:val="231F20"/>
          <w:w w:val="105"/>
        </w:rPr>
        <w:t>define</w:t>
      </w:r>
      <w:r w:rsidRPr="00EA7458">
        <w:rPr>
          <w:rFonts w:ascii="Calibri" w:hAnsi="Calibri"/>
          <w:color w:val="231F20"/>
          <w:spacing w:val="18"/>
          <w:w w:val="105"/>
        </w:rPr>
        <w:t xml:space="preserve"> </w:t>
      </w:r>
      <w:r w:rsidRPr="00EA7458">
        <w:rPr>
          <w:rFonts w:ascii="Calibri" w:hAnsi="Calibri"/>
          <w:color w:val="231F20"/>
          <w:w w:val="105"/>
        </w:rPr>
        <w:t>and</w:t>
      </w:r>
      <w:r w:rsidRPr="00EA7458">
        <w:rPr>
          <w:rFonts w:ascii="Calibri" w:hAnsi="Calibri"/>
          <w:color w:val="231F20"/>
          <w:spacing w:val="18"/>
          <w:w w:val="105"/>
        </w:rPr>
        <w:t xml:space="preserve"> </w:t>
      </w:r>
      <w:r w:rsidRPr="00EA7458">
        <w:rPr>
          <w:rFonts w:ascii="Calibri" w:hAnsi="Calibri"/>
          <w:color w:val="231F20"/>
          <w:w w:val="105"/>
        </w:rPr>
        <w:t>customize</w:t>
      </w:r>
      <w:r w:rsidRPr="00EA7458">
        <w:rPr>
          <w:rFonts w:ascii="Calibri" w:hAnsi="Calibri"/>
          <w:color w:val="231F20"/>
          <w:spacing w:val="18"/>
          <w:w w:val="105"/>
        </w:rPr>
        <w:t xml:space="preserve"> </w:t>
      </w:r>
      <w:r w:rsidRPr="00EA7458">
        <w:rPr>
          <w:rFonts w:ascii="Calibri" w:hAnsi="Calibri"/>
          <w:color w:val="231F20"/>
          <w:w w:val="105"/>
        </w:rPr>
        <w:t>services</w:t>
      </w:r>
      <w:r w:rsidRPr="00EA7458">
        <w:rPr>
          <w:rFonts w:ascii="Calibri" w:hAnsi="Calibri"/>
          <w:color w:val="231F20"/>
          <w:w w:val="111"/>
        </w:rPr>
        <w:t xml:space="preserve"> </w:t>
      </w:r>
      <w:r w:rsidRPr="00EA7458">
        <w:rPr>
          <w:rFonts w:ascii="Calibri" w:hAnsi="Calibri"/>
          <w:color w:val="231F20"/>
          <w:w w:val="105"/>
        </w:rPr>
        <w:t>to</w:t>
      </w:r>
      <w:r w:rsidRPr="00EA7458">
        <w:rPr>
          <w:rFonts w:ascii="Calibri" w:hAnsi="Calibri"/>
          <w:color w:val="231F20"/>
          <w:spacing w:val="12"/>
          <w:w w:val="105"/>
        </w:rPr>
        <w:t xml:space="preserve"> </w:t>
      </w:r>
      <w:r w:rsidRPr="00EA7458">
        <w:rPr>
          <w:rFonts w:ascii="Calibri" w:hAnsi="Calibri"/>
          <w:color w:val="231F20"/>
          <w:w w:val="105"/>
        </w:rPr>
        <w:t>employers,</w:t>
      </w:r>
      <w:r w:rsidRPr="00EA7458">
        <w:rPr>
          <w:rFonts w:ascii="Calibri" w:hAnsi="Calibri"/>
          <w:color w:val="231F20"/>
          <w:spacing w:val="12"/>
          <w:w w:val="105"/>
        </w:rPr>
        <w:t xml:space="preserve"> </w:t>
      </w:r>
      <w:r w:rsidRPr="00EA7458">
        <w:rPr>
          <w:rFonts w:ascii="Calibri" w:hAnsi="Calibri"/>
          <w:color w:val="231F20"/>
          <w:w w:val="105"/>
        </w:rPr>
        <w:t>create</w:t>
      </w:r>
      <w:r w:rsidRPr="00EA7458">
        <w:rPr>
          <w:rFonts w:ascii="Calibri" w:hAnsi="Calibri"/>
          <w:color w:val="231F20"/>
          <w:spacing w:val="12"/>
          <w:w w:val="105"/>
        </w:rPr>
        <w:t xml:space="preserve"> </w:t>
      </w:r>
      <w:r w:rsidRPr="00EA7458">
        <w:rPr>
          <w:rFonts w:ascii="Calibri" w:hAnsi="Calibri"/>
          <w:color w:val="231F20"/>
          <w:w w:val="105"/>
        </w:rPr>
        <w:t>strategic</w:t>
      </w:r>
      <w:r w:rsidRPr="00EA7458">
        <w:rPr>
          <w:rFonts w:ascii="Calibri" w:hAnsi="Calibri"/>
          <w:color w:val="231F20"/>
          <w:spacing w:val="12"/>
          <w:w w:val="105"/>
        </w:rPr>
        <w:t xml:space="preserve"> </w:t>
      </w:r>
      <w:r w:rsidRPr="00EA7458">
        <w:rPr>
          <w:rFonts w:ascii="Calibri" w:hAnsi="Calibri"/>
          <w:color w:val="231F20"/>
          <w:w w:val="105"/>
        </w:rPr>
        <w:t>partnerships</w:t>
      </w:r>
      <w:r w:rsidRPr="00EA7458">
        <w:rPr>
          <w:rFonts w:ascii="Calibri" w:hAnsi="Calibri"/>
          <w:color w:val="231F20"/>
          <w:spacing w:val="12"/>
          <w:w w:val="105"/>
        </w:rPr>
        <w:t xml:space="preserve"> </w:t>
      </w:r>
      <w:r w:rsidRPr="00EA7458">
        <w:rPr>
          <w:rFonts w:ascii="Calibri" w:hAnsi="Calibri"/>
          <w:color w:val="231F20"/>
          <w:w w:val="105"/>
        </w:rPr>
        <w:t>to</w:t>
      </w:r>
      <w:r w:rsidRPr="00EA7458">
        <w:rPr>
          <w:rFonts w:ascii="Calibri" w:hAnsi="Calibri"/>
          <w:color w:val="231F20"/>
          <w:spacing w:val="12"/>
          <w:w w:val="105"/>
        </w:rPr>
        <w:t xml:space="preserve"> </w:t>
      </w:r>
      <w:r w:rsidRPr="00EA7458">
        <w:rPr>
          <w:rFonts w:ascii="Calibri" w:hAnsi="Calibri"/>
          <w:color w:val="231F20"/>
          <w:w w:val="105"/>
        </w:rPr>
        <w:t>support</w:t>
      </w:r>
      <w:r w:rsidRPr="00EA7458">
        <w:rPr>
          <w:rFonts w:ascii="Calibri" w:hAnsi="Calibri"/>
          <w:color w:val="231F20"/>
          <w:spacing w:val="11"/>
          <w:w w:val="105"/>
        </w:rPr>
        <w:t xml:space="preserve"> </w:t>
      </w:r>
      <w:r w:rsidRPr="00EA7458">
        <w:rPr>
          <w:rFonts w:ascii="Calibri" w:hAnsi="Calibri"/>
          <w:color w:val="231F20"/>
          <w:w w:val="105"/>
        </w:rPr>
        <w:t>workforce</w:t>
      </w:r>
      <w:r w:rsidRPr="00EA7458">
        <w:rPr>
          <w:rFonts w:ascii="Calibri" w:hAnsi="Calibri"/>
          <w:color w:val="231F20"/>
          <w:spacing w:val="12"/>
          <w:w w:val="105"/>
        </w:rPr>
        <w:t xml:space="preserve"> </w:t>
      </w:r>
      <w:r w:rsidRPr="00EA7458">
        <w:rPr>
          <w:rFonts w:ascii="Calibri" w:hAnsi="Calibri"/>
          <w:color w:val="231F20"/>
          <w:w w:val="105"/>
        </w:rPr>
        <w:t>needs</w:t>
      </w:r>
      <w:r w:rsidR="00D5537E">
        <w:rPr>
          <w:rFonts w:ascii="Calibri" w:hAnsi="Calibri"/>
          <w:color w:val="231F20"/>
          <w:w w:val="105"/>
        </w:rPr>
        <w:t xml:space="preserve"> and</w:t>
      </w:r>
      <w:r w:rsidRPr="00EA7458">
        <w:rPr>
          <w:rFonts w:ascii="Calibri" w:hAnsi="Calibri"/>
          <w:color w:val="231F20"/>
          <w:spacing w:val="12"/>
          <w:w w:val="105"/>
        </w:rPr>
        <w:t xml:space="preserve"> </w:t>
      </w:r>
      <w:r w:rsidRPr="00EA7458">
        <w:rPr>
          <w:rFonts w:ascii="Calibri" w:hAnsi="Calibri"/>
          <w:color w:val="231F20"/>
          <w:w w:val="105"/>
        </w:rPr>
        <w:t>establish</w:t>
      </w:r>
      <w:r w:rsidRPr="00EA7458">
        <w:rPr>
          <w:rFonts w:ascii="Calibri" w:hAnsi="Calibri"/>
          <w:color w:val="231F20"/>
          <w:spacing w:val="12"/>
          <w:w w:val="105"/>
        </w:rPr>
        <w:t xml:space="preserve"> </w:t>
      </w:r>
      <w:r w:rsidRPr="00EA7458">
        <w:rPr>
          <w:rFonts w:ascii="Calibri" w:hAnsi="Calibri"/>
          <w:color w:val="231F20"/>
          <w:w w:val="105"/>
        </w:rPr>
        <w:t>an</w:t>
      </w:r>
      <w:r w:rsidRPr="00EA7458">
        <w:rPr>
          <w:rFonts w:ascii="Calibri" w:hAnsi="Calibri"/>
          <w:color w:val="231F20"/>
          <w:spacing w:val="12"/>
          <w:w w:val="105"/>
        </w:rPr>
        <w:t xml:space="preserve"> </w:t>
      </w:r>
      <w:r w:rsidRPr="00EA7458">
        <w:rPr>
          <w:rFonts w:ascii="Calibri" w:hAnsi="Calibri"/>
          <w:color w:val="231F20"/>
          <w:w w:val="105"/>
        </w:rPr>
        <w:t>employment-focused culture within the rehabilitation</w:t>
      </w:r>
      <w:r w:rsidRPr="00EA7458">
        <w:rPr>
          <w:rFonts w:ascii="Calibri" w:hAnsi="Calibri"/>
          <w:color w:val="231F20"/>
          <w:spacing w:val="43"/>
          <w:w w:val="105"/>
        </w:rPr>
        <w:t xml:space="preserve"> </w:t>
      </w:r>
      <w:r w:rsidRPr="00EA7458">
        <w:rPr>
          <w:rFonts w:ascii="Calibri" w:hAnsi="Calibri"/>
          <w:color w:val="231F20"/>
          <w:w w:val="105"/>
        </w:rPr>
        <w:t>process.</w:t>
      </w:r>
      <w:bookmarkEnd w:id="48"/>
    </w:p>
    <w:p w14:paraId="7D06FA92" w14:textId="77777777" w:rsidR="00EA7458" w:rsidRPr="00EA7458" w:rsidRDefault="00EA7458" w:rsidP="00D63204">
      <w:pPr>
        <w:widowControl w:val="0"/>
        <w:spacing w:after="0" w:line="240" w:lineRule="auto"/>
        <w:ind w:left="107"/>
        <w:rPr>
          <w:rFonts w:ascii="Calibri" w:hAnsi="Calibri" w:cs="Calibri"/>
        </w:rPr>
      </w:pPr>
    </w:p>
    <w:p w14:paraId="42004239" w14:textId="77777777" w:rsidR="00CD1C1C" w:rsidRPr="00CD1C1C" w:rsidRDefault="00CD1C1C" w:rsidP="00D63204">
      <w:pPr>
        <w:widowControl w:val="0"/>
        <w:spacing w:after="0" w:line="266" w:lineRule="exact"/>
        <w:ind w:left="107"/>
        <w:outlineLvl w:val="2"/>
        <w:rPr>
          <w:rFonts w:ascii="Calibri" w:hAnsi="Calibri"/>
          <w:b/>
          <w:bCs/>
          <w:color w:val="231F20"/>
          <w:w w:val="110"/>
        </w:rPr>
      </w:pPr>
      <w:r w:rsidRPr="00CD1C1C">
        <w:rPr>
          <w:rFonts w:ascii="Calibri" w:hAnsi="Calibri"/>
          <w:b/>
          <w:bCs/>
          <w:color w:val="231F20"/>
          <w:w w:val="110"/>
        </w:rPr>
        <w:t>Florida</w:t>
      </w:r>
      <w:r w:rsidRPr="00CD1C1C">
        <w:rPr>
          <w:rFonts w:ascii="Calibri" w:hAnsi="Calibri"/>
          <w:b/>
          <w:bCs/>
          <w:color w:val="231F20"/>
          <w:spacing w:val="-6"/>
          <w:w w:val="110"/>
        </w:rPr>
        <w:t xml:space="preserve"> </w:t>
      </w:r>
      <w:r w:rsidRPr="00CD1C1C">
        <w:rPr>
          <w:rFonts w:ascii="Calibri" w:hAnsi="Calibri"/>
          <w:b/>
          <w:bCs/>
          <w:color w:val="231F20"/>
          <w:w w:val="110"/>
        </w:rPr>
        <w:t>Division</w:t>
      </w:r>
      <w:r w:rsidRPr="00CD1C1C">
        <w:rPr>
          <w:rFonts w:ascii="Calibri" w:hAnsi="Calibri"/>
          <w:b/>
          <w:bCs/>
          <w:color w:val="231F20"/>
          <w:spacing w:val="-6"/>
          <w:w w:val="110"/>
        </w:rPr>
        <w:t xml:space="preserve"> </w:t>
      </w:r>
      <w:r w:rsidRPr="00CD1C1C">
        <w:rPr>
          <w:rFonts w:ascii="Calibri" w:hAnsi="Calibri"/>
          <w:b/>
          <w:bCs/>
          <w:color w:val="231F20"/>
          <w:w w:val="110"/>
        </w:rPr>
        <w:t>of</w:t>
      </w:r>
      <w:r w:rsidRPr="00CD1C1C">
        <w:rPr>
          <w:rFonts w:ascii="Calibri" w:hAnsi="Calibri"/>
          <w:b/>
          <w:bCs/>
          <w:color w:val="231F20"/>
          <w:spacing w:val="-6"/>
          <w:w w:val="110"/>
        </w:rPr>
        <w:t xml:space="preserve"> </w:t>
      </w:r>
      <w:r w:rsidRPr="00CD1C1C">
        <w:rPr>
          <w:rFonts w:ascii="Calibri" w:hAnsi="Calibri"/>
          <w:b/>
          <w:bCs/>
          <w:color w:val="231F20"/>
          <w:w w:val="110"/>
        </w:rPr>
        <w:t>Blind</w:t>
      </w:r>
      <w:r w:rsidRPr="00CD1C1C">
        <w:rPr>
          <w:rFonts w:ascii="Calibri" w:hAnsi="Calibri"/>
          <w:b/>
          <w:bCs/>
          <w:color w:val="231F20"/>
          <w:spacing w:val="-6"/>
          <w:w w:val="110"/>
        </w:rPr>
        <w:t xml:space="preserve"> </w:t>
      </w:r>
      <w:r w:rsidRPr="00CD1C1C">
        <w:rPr>
          <w:rFonts w:ascii="Calibri" w:hAnsi="Calibri"/>
          <w:b/>
          <w:bCs/>
          <w:color w:val="231F20"/>
          <w:w w:val="110"/>
        </w:rPr>
        <w:t>Services</w:t>
      </w:r>
      <w:r w:rsidRPr="00CD1C1C">
        <w:rPr>
          <w:rFonts w:ascii="Calibri" w:hAnsi="Calibri"/>
          <w:b/>
          <w:bCs/>
          <w:color w:val="231F20"/>
          <w:spacing w:val="-6"/>
          <w:w w:val="110"/>
        </w:rPr>
        <w:t xml:space="preserve"> </w:t>
      </w:r>
      <w:r w:rsidRPr="00CD1C1C">
        <w:rPr>
          <w:rFonts w:ascii="Calibri" w:hAnsi="Calibri"/>
          <w:b/>
          <w:bCs/>
          <w:color w:val="231F20"/>
          <w:w w:val="110"/>
        </w:rPr>
        <w:t>(FDBS)</w:t>
      </w:r>
      <w:r w:rsidRPr="00CD1C1C">
        <w:rPr>
          <w:rFonts w:ascii="Calibri" w:hAnsi="Calibri"/>
          <w:b/>
          <w:bCs/>
          <w:color w:val="231F20"/>
          <w:spacing w:val="-6"/>
          <w:w w:val="110"/>
        </w:rPr>
        <w:t xml:space="preserve"> </w:t>
      </w:r>
      <w:r w:rsidRPr="00CD1C1C">
        <w:rPr>
          <w:rFonts w:ascii="Calibri" w:hAnsi="Calibri"/>
          <w:b/>
          <w:bCs/>
          <w:color w:val="231F20"/>
          <w:w w:val="110"/>
        </w:rPr>
        <w:t>Workforce</w:t>
      </w:r>
      <w:r w:rsidRPr="00CD1C1C">
        <w:rPr>
          <w:rFonts w:ascii="Calibri" w:hAnsi="Calibri"/>
          <w:b/>
          <w:bCs/>
          <w:color w:val="231F20"/>
          <w:spacing w:val="-6"/>
          <w:w w:val="110"/>
        </w:rPr>
        <w:t xml:space="preserve"> </w:t>
      </w:r>
      <w:r w:rsidRPr="00CD1C1C">
        <w:rPr>
          <w:rFonts w:ascii="Calibri" w:hAnsi="Calibri"/>
          <w:b/>
          <w:bCs/>
          <w:color w:val="231F20"/>
          <w:w w:val="110"/>
        </w:rPr>
        <w:t>Development</w:t>
      </w:r>
      <w:r w:rsidRPr="00CD1C1C">
        <w:rPr>
          <w:rFonts w:ascii="Calibri" w:hAnsi="Calibri"/>
          <w:b/>
          <w:bCs/>
          <w:color w:val="231F20"/>
          <w:spacing w:val="-6"/>
          <w:w w:val="110"/>
        </w:rPr>
        <w:t xml:space="preserve"> </w:t>
      </w:r>
      <w:r w:rsidRPr="00CD1C1C">
        <w:rPr>
          <w:rFonts w:ascii="Calibri" w:hAnsi="Calibri"/>
          <w:b/>
          <w:bCs/>
          <w:color w:val="231F20"/>
          <w:w w:val="110"/>
        </w:rPr>
        <w:t>Activities</w:t>
      </w:r>
    </w:p>
    <w:p w14:paraId="1EF96C69" w14:textId="2BDA1D65" w:rsidR="00CD1C1C" w:rsidRPr="00CD1C1C" w:rsidRDefault="00CD1C1C" w:rsidP="00D63204">
      <w:pPr>
        <w:widowControl w:val="0"/>
        <w:spacing w:after="0" w:line="266" w:lineRule="exact"/>
        <w:ind w:left="107"/>
        <w:outlineLvl w:val="2"/>
        <w:rPr>
          <w:rFonts w:ascii="Calibri" w:hAnsi="Calibri"/>
          <w:w w:val="105"/>
        </w:rPr>
      </w:pPr>
      <w:r w:rsidRPr="00CD1C1C">
        <w:rPr>
          <w:rFonts w:cs="Calibri"/>
        </w:rPr>
        <w:t xml:space="preserve">From 2016-2017, FDBS served 10,374 clients, 1,664 of whom were assisted in obtaining competitive integrated employment. </w:t>
      </w:r>
      <w:r w:rsidRPr="00CD1C1C">
        <w:rPr>
          <w:rFonts w:ascii="Calibri" w:hAnsi="Calibri"/>
          <w:w w:val="105"/>
        </w:rPr>
        <w:t>FDBS</w:t>
      </w:r>
      <w:r w:rsidRPr="00CD1C1C">
        <w:rPr>
          <w:rFonts w:ascii="Calibri" w:hAnsi="Calibri"/>
          <w:spacing w:val="14"/>
          <w:w w:val="105"/>
        </w:rPr>
        <w:t xml:space="preserve"> </w:t>
      </w:r>
      <w:r w:rsidRPr="00CD1C1C">
        <w:rPr>
          <w:rFonts w:ascii="Calibri" w:hAnsi="Calibri"/>
          <w:w w:val="105"/>
        </w:rPr>
        <w:t>identified</w:t>
      </w:r>
      <w:r w:rsidRPr="00CD1C1C">
        <w:rPr>
          <w:rFonts w:ascii="Calibri" w:hAnsi="Calibri"/>
          <w:spacing w:val="14"/>
          <w:w w:val="105"/>
        </w:rPr>
        <w:t xml:space="preserve"> </w:t>
      </w:r>
      <w:r w:rsidRPr="00CD1C1C">
        <w:rPr>
          <w:rFonts w:ascii="Calibri" w:hAnsi="Calibri"/>
          <w:w w:val="105"/>
        </w:rPr>
        <w:t>activities</w:t>
      </w:r>
      <w:r w:rsidRPr="00CD1C1C">
        <w:rPr>
          <w:rFonts w:ascii="Calibri" w:hAnsi="Calibri"/>
          <w:spacing w:val="14"/>
          <w:w w:val="105"/>
        </w:rPr>
        <w:t xml:space="preserve"> </w:t>
      </w:r>
      <w:r w:rsidRPr="00CD1C1C">
        <w:rPr>
          <w:rFonts w:ascii="Calibri" w:hAnsi="Calibri"/>
          <w:w w:val="105"/>
        </w:rPr>
        <w:t>anticipated</w:t>
      </w:r>
      <w:r w:rsidRPr="00CD1C1C">
        <w:rPr>
          <w:rFonts w:ascii="Calibri" w:hAnsi="Calibri"/>
          <w:spacing w:val="14"/>
          <w:w w:val="105"/>
        </w:rPr>
        <w:t xml:space="preserve"> </w:t>
      </w:r>
      <w:r w:rsidRPr="00CD1C1C">
        <w:rPr>
          <w:rFonts w:ascii="Calibri" w:hAnsi="Calibri"/>
          <w:w w:val="105"/>
        </w:rPr>
        <w:t>to</w:t>
      </w:r>
      <w:r w:rsidRPr="00CD1C1C">
        <w:rPr>
          <w:rFonts w:ascii="Calibri" w:hAnsi="Calibri"/>
          <w:spacing w:val="14"/>
          <w:w w:val="105"/>
        </w:rPr>
        <w:t xml:space="preserve"> </w:t>
      </w:r>
      <w:r w:rsidRPr="00CD1C1C">
        <w:rPr>
          <w:rFonts w:ascii="Calibri" w:hAnsi="Calibri"/>
          <w:w w:val="105"/>
        </w:rPr>
        <w:t>expand,</w:t>
      </w:r>
      <w:r w:rsidRPr="00CD1C1C">
        <w:rPr>
          <w:rFonts w:ascii="Calibri" w:hAnsi="Calibri"/>
          <w:spacing w:val="14"/>
          <w:w w:val="105"/>
        </w:rPr>
        <w:t xml:space="preserve"> </w:t>
      </w:r>
      <w:r w:rsidRPr="00CD1C1C">
        <w:rPr>
          <w:rFonts w:ascii="Calibri" w:hAnsi="Calibri"/>
          <w:w w:val="105"/>
        </w:rPr>
        <w:t>integrate</w:t>
      </w:r>
      <w:r w:rsidRPr="00CD1C1C">
        <w:rPr>
          <w:rFonts w:ascii="Calibri" w:hAnsi="Calibri"/>
          <w:spacing w:val="14"/>
          <w:w w:val="105"/>
        </w:rPr>
        <w:t xml:space="preserve"> </w:t>
      </w:r>
      <w:r w:rsidRPr="00CD1C1C">
        <w:rPr>
          <w:rFonts w:ascii="Calibri" w:hAnsi="Calibri"/>
          <w:w w:val="105"/>
        </w:rPr>
        <w:t>and</w:t>
      </w:r>
      <w:r w:rsidRPr="00CD1C1C">
        <w:rPr>
          <w:rFonts w:ascii="Calibri" w:hAnsi="Calibri"/>
          <w:spacing w:val="14"/>
          <w:w w:val="105"/>
        </w:rPr>
        <w:t xml:space="preserve"> </w:t>
      </w:r>
      <w:r w:rsidRPr="00CD1C1C">
        <w:rPr>
          <w:rFonts w:ascii="Calibri" w:hAnsi="Calibri"/>
          <w:w w:val="105"/>
        </w:rPr>
        <w:t>improve</w:t>
      </w:r>
      <w:r w:rsidRPr="00CD1C1C">
        <w:rPr>
          <w:rFonts w:ascii="Calibri" w:hAnsi="Calibri"/>
          <w:spacing w:val="14"/>
          <w:w w:val="105"/>
        </w:rPr>
        <w:t xml:space="preserve"> </w:t>
      </w:r>
      <w:r w:rsidRPr="00CD1C1C">
        <w:rPr>
          <w:rFonts w:ascii="Calibri" w:hAnsi="Calibri"/>
          <w:w w:val="105"/>
        </w:rPr>
        <w:t>services</w:t>
      </w:r>
      <w:r w:rsidRPr="00CD1C1C">
        <w:rPr>
          <w:rFonts w:ascii="Calibri" w:hAnsi="Calibri"/>
          <w:w w:val="111"/>
        </w:rPr>
        <w:t xml:space="preserve"> </w:t>
      </w:r>
      <w:r w:rsidRPr="00CD1C1C">
        <w:rPr>
          <w:rFonts w:ascii="Calibri" w:hAnsi="Calibri"/>
          <w:w w:val="105"/>
        </w:rPr>
        <w:t>to</w:t>
      </w:r>
      <w:r w:rsidRPr="00CD1C1C">
        <w:rPr>
          <w:rFonts w:ascii="Calibri" w:hAnsi="Calibri"/>
          <w:spacing w:val="9"/>
          <w:w w:val="105"/>
        </w:rPr>
        <w:t xml:space="preserve"> </w:t>
      </w:r>
      <w:r w:rsidRPr="00CD1C1C">
        <w:rPr>
          <w:rFonts w:ascii="Calibri" w:hAnsi="Calibri"/>
          <w:w w:val="105"/>
        </w:rPr>
        <w:t>individuals</w:t>
      </w:r>
      <w:r w:rsidRPr="00CD1C1C">
        <w:rPr>
          <w:rFonts w:ascii="Calibri" w:hAnsi="Calibri"/>
          <w:spacing w:val="9"/>
          <w:w w:val="105"/>
        </w:rPr>
        <w:t xml:space="preserve"> </w:t>
      </w:r>
      <w:r w:rsidRPr="00CD1C1C">
        <w:rPr>
          <w:rFonts w:ascii="Calibri" w:hAnsi="Calibri"/>
          <w:w w:val="105"/>
        </w:rPr>
        <w:t>with</w:t>
      </w:r>
      <w:r w:rsidRPr="00CD1C1C">
        <w:rPr>
          <w:rFonts w:ascii="Calibri" w:hAnsi="Calibri"/>
          <w:spacing w:val="9"/>
          <w:w w:val="105"/>
        </w:rPr>
        <w:t xml:space="preserve"> </w:t>
      </w:r>
      <w:r w:rsidRPr="00CD1C1C">
        <w:rPr>
          <w:rFonts w:ascii="Calibri" w:hAnsi="Calibri"/>
          <w:w w:val="105"/>
        </w:rPr>
        <w:t>visual</w:t>
      </w:r>
      <w:r w:rsidRPr="00CD1C1C">
        <w:rPr>
          <w:rFonts w:ascii="Calibri" w:hAnsi="Calibri"/>
          <w:spacing w:val="9"/>
          <w:w w:val="105"/>
        </w:rPr>
        <w:t xml:space="preserve"> </w:t>
      </w:r>
      <w:r w:rsidRPr="00CD1C1C">
        <w:rPr>
          <w:rFonts w:ascii="Calibri" w:hAnsi="Calibri"/>
          <w:w w:val="105"/>
        </w:rPr>
        <w:t>disabilities</w:t>
      </w:r>
      <w:r w:rsidRPr="00CD1C1C">
        <w:rPr>
          <w:rFonts w:ascii="Calibri" w:hAnsi="Calibri"/>
          <w:spacing w:val="9"/>
          <w:w w:val="105"/>
        </w:rPr>
        <w:t xml:space="preserve"> </w:t>
      </w:r>
      <w:r w:rsidRPr="00CD1C1C">
        <w:rPr>
          <w:rFonts w:ascii="Calibri" w:hAnsi="Calibri"/>
          <w:w w:val="105"/>
        </w:rPr>
        <w:t>within</w:t>
      </w:r>
      <w:r w:rsidRPr="00CD1C1C">
        <w:rPr>
          <w:rFonts w:ascii="Calibri" w:hAnsi="Calibri"/>
          <w:spacing w:val="9"/>
          <w:w w:val="105"/>
        </w:rPr>
        <w:t xml:space="preserve"> </w:t>
      </w:r>
      <w:r w:rsidRPr="00CD1C1C">
        <w:rPr>
          <w:rFonts w:ascii="Calibri" w:hAnsi="Calibri"/>
          <w:w w:val="105"/>
        </w:rPr>
        <w:t>the</w:t>
      </w:r>
      <w:r w:rsidRPr="00CD1C1C">
        <w:rPr>
          <w:rFonts w:ascii="Calibri" w:hAnsi="Calibri"/>
          <w:spacing w:val="9"/>
          <w:w w:val="105"/>
        </w:rPr>
        <w:t xml:space="preserve"> </w:t>
      </w:r>
      <w:r w:rsidRPr="00CD1C1C">
        <w:rPr>
          <w:rFonts w:ascii="Calibri" w:hAnsi="Calibri"/>
          <w:w w:val="105"/>
        </w:rPr>
        <w:t>workforce</w:t>
      </w:r>
      <w:r w:rsidRPr="00CD1C1C">
        <w:rPr>
          <w:rFonts w:ascii="Calibri" w:hAnsi="Calibri"/>
          <w:spacing w:val="9"/>
          <w:w w:val="105"/>
        </w:rPr>
        <w:t xml:space="preserve"> </w:t>
      </w:r>
      <w:r w:rsidRPr="00CD1C1C">
        <w:rPr>
          <w:rFonts w:ascii="Calibri" w:hAnsi="Calibri"/>
          <w:w w:val="105"/>
        </w:rPr>
        <w:t>system</w:t>
      </w:r>
      <w:r w:rsidRPr="00CD1C1C">
        <w:rPr>
          <w:rFonts w:ascii="Calibri" w:hAnsi="Calibri"/>
          <w:spacing w:val="9"/>
          <w:w w:val="105"/>
        </w:rPr>
        <w:t xml:space="preserve"> </w:t>
      </w:r>
      <w:r w:rsidRPr="00CD1C1C">
        <w:rPr>
          <w:rFonts w:ascii="Calibri" w:hAnsi="Calibri"/>
          <w:w w:val="105"/>
        </w:rPr>
        <w:t>while</w:t>
      </w:r>
      <w:r w:rsidRPr="00CD1C1C">
        <w:rPr>
          <w:rFonts w:ascii="Calibri" w:hAnsi="Calibri"/>
          <w:spacing w:val="9"/>
          <w:w w:val="105"/>
        </w:rPr>
        <w:t xml:space="preserve"> </w:t>
      </w:r>
      <w:r w:rsidRPr="00CD1C1C">
        <w:rPr>
          <w:rFonts w:ascii="Calibri" w:hAnsi="Calibri"/>
          <w:w w:val="105"/>
        </w:rPr>
        <w:t>increasing</w:t>
      </w:r>
      <w:r w:rsidRPr="00CD1C1C">
        <w:rPr>
          <w:rFonts w:ascii="Calibri" w:hAnsi="Calibri"/>
          <w:spacing w:val="9"/>
          <w:w w:val="105"/>
        </w:rPr>
        <w:t xml:space="preserve"> </w:t>
      </w:r>
      <w:r w:rsidRPr="00CD1C1C">
        <w:rPr>
          <w:rFonts w:ascii="Calibri" w:hAnsi="Calibri"/>
          <w:w w:val="105"/>
        </w:rPr>
        <w:t>collaboration</w:t>
      </w:r>
      <w:r w:rsidRPr="00CD1C1C">
        <w:rPr>
          <w:rFonts w:ascii="Calibri" w:hAnsi="Calibri"/>
          <w:spacing w:val="9"/>
          <w:w w:val="105"/>
        </w:rPr>
        <w:t xml:space="preserve"> </w:t>
      </w:r>
      <w:r w:rsidRPr="00CD1C1C">
        <w:rPr>
          <w:rFonts w:ascii="Calibri" w:hAnsi="Calibri"/>
          <w:w w:val="105"/>
        </w:rPr>
        <w:t>among</w:t>
      </w:r>
      <w:r w:rsidRPr="00CD1C1C">
        <w:rPr>
          <w:rFonts w:ascii="Calibri" w:hAnsi="Calibri"/>
          <w:spacing w:val="-30"/>
          <w:w w:val="105"/>
        </w:rPr>
        <w:t xml:space="preserve"> </w:t>
      </w:r>
      <w:r w:rsidRPr="00CD1C1C">
        <w:rPr>
          <w:rFonts w:ascii="Calibri" w:hAnsi="Calibri"/>
          <w:w w:val="105"/>
        </w:rPr>
        <w:t>core partners. The activities include:</w:t>
      </w:r>
    </w:p>
    <w:p w14:paraId="61C0BA9B" w14:textId="77777777" w:rsidR="00CD1C1C" w:rsidRPr="00CD1C1C" w:rsidRDefault="00CD1C1C" w:rsidP="00D63204">
      <w:pPr>
        <w:widowControl w:val="0"/>
        <w:spacing w:after="0" w:line="266" w:lineRule="exact"/>
        <w:ind w:left="107"/>
        <w:outlineLvl w:val="2"/>
        <w:rPr>
          <w:rFonts w:ascii="Calibri" w:hAnsi="Calibri"/>
        </w:rPr>
      </w:pPr>
    </w:p>
    <w:p w14:paraId="39C3AA92" w14:textId="17B7ED26" w:rsidR="00CD1C1C" w:rsidRPr="00CD1C1C" w:rsidRDefault="00CD1C1C" w:rsidP="00D63204">
      <w:pPr>
        <w:pStyle w:val="NormalWeb"/>
        <w:numPr>
          <w:ilvl w:val="0"/>
          <w:numId w:val="12"/>
        </w:numPr>
        <w:spacing w:before="0" w:beforeAutospacing="0" w:after="0" w:afterAutospacing="0"/>
        <w:rPr>
          <w:rFonts w:asciiTheme="minorHAnsi" w:hAnsiTheme="minorHAnsi" w:cs="Calibri"/>
          <w:sz w:val="22"/>
          <w:szCs w:val="22"/>
        </w:rPr>
      </w:pPr>
      <w:r w:rsidRPr="00CD1C1C">
        <w:rPr>
          <w:rFonts w:asciiTheme="minorHAnsi" w:hAnsiTheme="minorHAnsi" w:cs="Calibri"/>
          <w:sz w:val="22"/>
          <w:szCs w:val="22"/>
        </w:rPr>
        <w:t>Expanding opportunities for students to receive FDBS services and secur</w:t>
      </w:r>
      <w:r w:rsidR="00F829A2">
        <w:rPr>
          <w:rFonts w:asciiTheme="minorHAnsi" w:hAnsiTheme="minorHAnsi" w:cs="Calibri"/>
          <w:sz w:val="22"/>
          <w:szCs w:val="22"/>
        </w:rPr>
        <w:t>ing</w:t>
      </w:r>
      <w:r w:rsidRPr="00CD1C1C">
        <w:rPr>
          <w:rFonts w:asciiTheme="minorHAnsi" w:hAnsiTheme="minorHAnsi" w:cs="Calibri"/>
          <w:sz w:val="22"/>
          <w:szCs w:val="22"/>
        </w:rPr>
        <w:t xml:space="preserve"> opportunities for students and youth with disabilities to practice and improve workplace skills. Pre-employment Transition Services (Pre-ETS) were included in the 2017-2018 VR contracts. By adding these services, the FDBS provides students and youth with disabilities opportunities to participate in work-based learning experiences, apprenticeships</w:t>
      </w:r>
      <w:r w:rsidR="00D5537E">
        <w:rPr>
          <w:rFonts w:asciiTheme="minorHAnsi" w:hAnsiTheme="minorHAnsi" w:cs="Calibri"/>
          <w:sz w:val="22"/>
          <w:szCs w:val="22"/>
        </w:rPr>
        <w:t xml:space="preserve"> and</w:t>
      </w:r>
      <w:r w:rsidRPr="00CD1C1C">
        <w:rPr>
          <w:rFonts w:asciiTheme="minorHAnsi" w:hAnsiTheme="minorHAnsi" w:cs="Calibri"/>
          <w:sz w:val="22"/>
          <w:szCs w:val="22"/>
        </w:rPr>
        <w:t xml:space="preserve"> internships to improve workplace skills. </w:t>
      </w:r>
    </w:p>
    <w:p w14:paraId="227369D9" w14:textId="77777777" w:rsidR="00CD1C1C" w:rsidRPr="00CD1C1C" w:rsidRDefault="00CD1C1C" w:rsidP="00D63204">
      <w:pPr>
        <w:pStyle w:val="NormalWeb"/>
        <w:spacing w:before="0" w:beforeAutospacing="0" w:after="0" w:afterAutospacing="0"/>
        <w:ind w:left="827"/>
        <w:rPr>
          <w:rFonts w:asciiTheme="minorHAnsi" w:hAnsiTheme="minorHAnsi" w:cs="Calibri"/>
          <w:sz w:val="22"/>
          <w:szCs w:val="22"/>
        </w:rPr>
      </w:pPr>
    </w:p>
    <w:p w14:paraId="40B07642" w14:textId="6CE92162" w:rsidR="00CD1C1C" w:rsidRPr="00CD1C1C" w:rsidRDefault="00CD1C1C" w:rsidP="00D63204">
      <w:pPr>
        <w:pStyle w:val="NormalWeb"/>
        <w:numPr>
          <w:ilvl w:val="0"/>
          <w:numId w:val="12"/>
        </w:numPr>
        <w:spacing w:before="0" w:beforeAutospacing="0" w:after="0" w:afterAutospacing="0"/>
        <w:rPr>
          <w:rFonts w:asciiTheme="minorHAnsi" w:hAnsiTheme="minorHAnsi" w:cs="Calibri"/>
          <w:sz w:val="22"/>
          <w:szCs w:val="22"/>
        </w:rPr>
      </w:pPr>
      <w:r w:rsidRPr="00CD1C1C">
        <w:rPr>
          <w:rFonts w:asciiTheme="minorHAnsi" w:hAnsiTheme="minorHAnsi" w:cs="Calibri"/>
          <w:sz w:val="22"/>
          <w:szCs w:val="22"/>
        </w:rPr>
        <w:t>Ensuring that clients who participate in training and education programs benefit from engagement. FDBS collaborates with CareerSource Florida and the Division of Public Schools to provide opportunities for training, education</w:t>
      </w:r>
      <w:r w:rsidR="00D5537E">
        <w:rPr>
          <w:rFonts w:asciiTheme="minorHAnsi" w:hAnsiTheme="minorHAnsi" w:cs="Calibri"/>
          <w:sz w:val="22"/>
          <w:szCs w:val="22"/>
        </w:rPr>
        <w:t xml:space="preserve"> and</w:t>
      </w:r>
      <w:r w:rsidRPr="00CD1C1C">
        <w:rPr>
          <w:rFonts w:asciiTheme="minorHAnsi" w:hAnsiTheme="minorHAnsi" w:cs="Calibri"/>
          <w:sz w:val="22"/>
          <w:szCs w:val="22"/>
        </w:rPr>
        <w:t xml:space="preserve"> workplace activities. FDBS has memoranda of understanding with CareerSource Florida, Exceptional Student Education</w:t>
      </w:r>
      <w:r w:rsidR="00D5537E">
        <w:rPr>
          <w:rFonts w:asciiTheme="minorHAnsi" w:hAnsiTheme="minorHAnsi" w:cs="Calibri"/>
          <w:sz w:val="22"/>
          <w:szCs w:val="22"/>
        </w:rPr>
        <w:t xml:space="preserve"> and</w:t>
      </w:r>
      <w:r w:rsidRPr="00CD1C1C">
        <w:rPr>
          <w:rFonts w:asciiTheme="minorHAnsi" w:hAnsiTheme="minorHAnsi" w:cs="Calibri"/>
          <w:sz w:val="22"/>
          <w:szCs w:val="22"/>
        </w:rPr>
        <w:t xml:space="preserve"> VR.</w:t>
      </w:r>
    </w:p>
    <w:p w14:paraId="4CB5A64E" w14:textId="77777777" w:rsidR="00CD1C1C" w:rsidRPr="00CD1C1C" w:rsidRDefault="00CD1C1C" w:rsidP="00D63204">
      <w:pPr>
        <w:pStyle w:val="NormalWeb"/>
        <w:spacing w:before="0" w:beforeAutospacing="0" w:after="0" w:afterAutospacing="0"/>
        <w:rPr>
          <w:rFonts w:asciiTheme="minorHAnsi" w:hAnsiTheme="minorHAnsi" w:cs="Calibri"/>
          <w:sz w:val="22"/>
          <w:szCs w:val="22"/>
        </w:rPr>
      </w:pPr>
    </w:p>
    <w:p w14:paraId="6FB9E07D" w14:textId="46B2A756" w:rsidR="00CD1C1C" w:rsidRPr="00CD1C1C" w:rsidRDefault="00CD1C1C" w:rsidP="00D63204">
      <w:pPr>
        <w:pStyle w:val="NormalWeb"/>
        <w:numPr>
          <w:ilvl w:val="0"/>
          <w:numId w:val="12"/>
        </w:numPr>
        <w:spacing w:before="0" w:beforeAutospacing="0" w:after="0" w:afterAutospacing="0"/>
        <w:rPr>
          <w:rFonts w:asciiTheme="minorHAnsi" w:hAnsiTheme="minorHAnsi" w:cs="Calibri"/>
          <w:sz w:val="22"/>
          <w:szCs w:val="22"/>
        </w:rPr>
      </w:pPr>
      <w:r w:rsidRPr="00CD1C1C">
        <w:rPr>
          <w:rFonts w:asciiTheme="minorHAnsi" w:hAnsiTheme="minorHAnsi" w:cs="Calibri"/>
          <w:sz w:val="22"/>
          <w:szCs w:val="22"/>
        </w:rPr>
        <w:t>Expanding utilization of online job systems such as DEO’s web portal, the state/federal Talent Acquisition Portal (TAP)</w:t>
      </w:r>
      <w:r w:rsidR="00D5537E">
        <w:rPr>
          <w:rFonts w:asciiTheme="minorHAnsi" w:hAnsiTheme="minorHAnsi" w:cs="Calibri"/>
          <w:sz w:val="22"/>
          <w:szCs w:val="22"/>
        </w:rPr>
        <w:t xml:space="preserve"> and</w:t>
      </w:r>
      <w:r w:rsidRPr="00CD1C1C">
        <w:rPr>
          <w:rFonts w:asciiTheme="minorHAnsi" w:hAnsiTheme="minorHAnsi" w:cs="Calibri"/>
          <w:sz w:val="22"/>
          <w:szCs w:val="22"/>
        </w:rPr>
        <w:t xml:space="preserve"> the Florida Jobs Connection to expose employers to job-ready FDBS consumers. Staff is trained on how to use TAP throughout the state. FDBS uses biweekly reports to capture staff’s use of this resource. </w:t>
      </w:r>
    </w:p>
    <w:p w14:paraId="48E619AA" w14:textId="77777777" w:rsidR="00CD1C1C" w:rsidRPr="00CD1C1C" w:rsidRDefault="00CD1C1C" w:rsidP="00CD1C1C">
      <w:pPr>
        <w:pStyle w:val="ListParagraph"/>
        <w:spacing w:after="0"/>
        <w:rPr>
          <w:rFonts w:cs="Calibri"/>
        </w:rPr>
      </w:pPr>
    </w:p>
    <w:p w14:paraId="3E736B25" w14:textId="2B7233C2" w:rsidR="00CD1C1C" w:rsidRPr="00CD1C1C" w:rsidRDefault="00CD1C1C" w:rsidP="00D63204">
      <w:pPr>
        <w:pStyle w:val="NormalWeb"/>
        <w:numPr>
          <w:ilvl w:val="0"/>
          <w:numId w:val="12"/>
        </w:numPr>
        <w:spacing w:before="0" w:beforeAutospacing="0" w:after="0" w:afterAutospacing="0"/>
        <w:rPr>
          <w:rFonts w:asciiTheme="minorHAnsi" w:hAnsiTheme="minorHAnsi" w:cs="Calibri"/>
          <w:sz w:val="22"/>
          <w:szCs w:val="22"/>
        </w:rPr>
      </w:pPr>
      <w:r w:rsidRPr="00CD1C1C">
        <w:rPr>
          <w:rFonts w:asciiTheme="minorHAnsi" w:hAnsiTheme="minorHAnsi" w:cs="Calibri"/>
          <w:sz w:val="22"/>
          <w:szCs w:val="22"/>
        </w:rPr>
        <w:t>Encouraging and tracking industry certifications, apprenticeships and postsecondary outcomes. The Bureau of Business Enterprise (BBE) tracks Continuing Education Units (CEUs), food manager certifications</w:t>
      </w:r>
      <w:r w:rsidR="00D5537E">
        <w:rPr>
          <w:rFonts w:asciiTheme="minorHAnsi" w:hAnsiTheme="minorHAnsi" w:cs="Calibri"/>
          <w:sz w:val="22"/>
          <w:szCs w:val="22"/>
        </w:rPr>
        <w:t xml:space="preserve"> and</w:t>
      </w:r>
      <w:r w:rsidRPr="00CD1C1C">
        <w:rPr>
          <w:rFonts w:asciiTheme="minorHAnsi" w:hAnsiTheme="minorHAnsi" w:cs="Calibri"/>
          <w:sz w:val="22"/>
          <w:szCs w:val="22"/>
        </w:rPr>
        <w:t xml:space="preserve"> vendor licensures. Employment placement specialists are continually notified of information regarding industry certifications, apprenticeships</w:t>
      </w:r>
      <w:r w:rsidR="00D5537E">
        <w:rPr>
          <w:rFonts w:asciiTheme="minorHAnsi" w:hAnsiTheme="minorHAnsi" w:cs="Calibri"/>
          <w:sz w:val="22"/>
          <w:szCs w:val="22"/>
        </w:rPr>
        <w:t xml:space="preserve"> and</w:t>
      </w:r>
      <w:r w:rsidRPr="00CD1C1C">
        <w:rPr>
          <w:rFonts w:asciiTheme="minorHAnsi" w:hAnsiTheme="minorHAnsi" w:cs="Calibri"/>
          <w:sz w:val="22"/>
          <w:szCs w:val="22"/>
        </w:rPr>
        <w:t xml:space="preserve"> postsecondary opportunities via emails and during monthly conference calls. </w:t>
      </w:r>
    </w:p>
    <w:p w14:paraId="6CE242DB" w14:textId="77777777" w:rsidR="00CD1C1C" w:rsidRPr="00CD1C1C" w:rsidRDefault="00CD1C1C" w:rsidP="00CD1C1C">
      <w:pPr>
        <w:pStyle w:val="ListParagraph"/>
        <w:spacing w:after="0"/>
        <w:rPr>
          <w:rFonts w:cs="Calibri"/>
        </w:rPr>
      </w:pPr>
    </w:p>
    <w:p w14:paraId="3F2BB249" w14:textId="77777777" w:rsidR="00CD1C1C" w:rsidRPr="00CD1C1C" w:rsidRDefault="00CD1C1C" w:rsidP="00D63204">
      <w:pPr>
        <w:pStyle w:val="NormalWeb"/>
        <w:numPr>
          <w:ilvl w:val="0"/>
          <w:numId w:val="12"/>
        </w:numPr>
        <w:spacing w:before="0" w:beforeAutospacing="0" w:after="0" w:afterAutospacing="0"/>
        <w:rPr>
          <w:rFonts w:asciiTheme="minorHAnsi" w:hAnsiTheme="minorHAnsi" w:cs="Calibri"/>
          <w:sz w:val="22"/>
          <w:szCs w:val="22"/>
        </w:rPr>
      </w:pPr>
      <w:r w:rsidRPr="00CD1C1C">
        <w:rPr>
          <w:rFonts w:asciiTheme="minorHAnsi" w:hAnsiTheme="minorHAnsi" w:cs="Calibri"/>
          <w:sz w:val="22"/>
          <w:szCs w:val="22"/>
        </w:rPr>
        <w:lastRenderedPageBreak/>
        <w:t xml:space="preserve">Developing and implementing an employment skills training program at the FDBS Residential Rehabilitation Center to better prepare blind and visually impaired youth and adults for success in future employment. A pre-employment program at the Residential Rehabilitation Center began in 2016. Classes are conducted quarterly to increase the employment rate for visually impaired youth and adults. </w:t>
      </w:r>
    </w:p>
    <w:p w14:paraId="61E899A2" w14:textId="77777777" w:rsidR="00075E5D" w:rsidRDefault="00075E5D" w:rsidP="00A85ED4">
      <w:pPr>
        <w:pStyle w:val="ListParagraph"/>
        <w:spacing w:after="0"/>
        <w:rPr>
          <w:rFonts w:cs="Calibri"/>
        </w:rPr>
      </w:pPr>
    </w:p>
    <w:p w14:paraId="35F7EB77" w14:textId="40C4A7F0" w:rsidR="00A85ED4" w:rsidRDefault="00A85ED4" w:rsidP="00D63204">
      <w:pPr>
        <w:pStyle w:val="NormalWeb"/>
        <w:numPr>
          <w:ilvl w:val="0"/>
          <w:numId w:val="12"/>
        </w:numPr>
        <w:spacing w:before="0" w:beforeAutospacing="0" w:after="0" w:afterAutospacing="0"/>
        <w:rPr>
          <w:rFonts w:asciiTheme="minorHAnsi" w:hAnsiTheme="minorHAnsi" w:cs="Calibri"/>
          <w:sz w:val="22"/>
          <w:szCs w:val="22"/>
        </w:rPr>
      </w:pPr>
      <w:r w:rsidRPr="00A85ED4">
        <w:rPr>
          <w:rFonts w:asciiTheme="minorHAnsi" w:hAnsiTheme="minorHAnsi" w:cs="Calibri"/>
          <w:sz w:val="22"/>
          <w:szCs w:val="22"/>
        </w:rPr>
        <w:t>I</w:t>
      </w:r>
      <w:r w:rsidR="00297E8B" w:rsidRPr="00A85ED4">
        <w:rPr>
          <w:rFonts w:asciiTheme="minorHAnsi" w:hAnsiTheme="minorHAnsi" w:cs="Calibri"/>
          <w:sz w:val="22"/>
          <w:szCs w:val="22"/>
        </w:rPr>
        <w:t>ncreasing the provision of accessibility tools, awareness</w:t>
      </w:r>
      <w:r w:rsidR="00D5537E">
        <w:rPr>
          <w:rFonts w:asciiTheme="minorHAnsi" w:hAnsiTheme="minorHAnsi" w:cs="Calibri"/>
          <w:sz w:val="22"/>
          <w:szCs w:val="22"/>
        </w:rPr>
        <w:t xml:space="preserve"> and</w:t>
      </w:r>
      <w:r w:rsidR="00297E8B" w:rsidRPr="00A85ED4">
        <w:rPr>
          <w:rFonts w:asciiTheme="minorHAnsi" w:hAnsiTheme="minorHAnsi" w:cs="Calibri"/>
          <w:sz w:val="22"/>
          <w:szCs w:val="22"/>
        </w:rPr>
        <w:t xml:space="preserve"> regular follow-up with consumers to ensure equality in educational experiences and vocational opportunities. FDBS strengthened its relationship with the </w:t>
      </w:r>
      <w:r w:rsidR="00B00326" w:rsidRPr="00B00326">
        <w:rPr>
          <w:rFonts w:asciiTheme="minorHAnsi" w:hAnsiTheme="minorHAnsi" w:cs="Calibri"/>
          <w:sz w:val="22"/>
          <w:szCs w:val="22"/>
        </w:rPr>
        <w:t>community rehabilitation programs</w:t>
      </w:r>
      <w:r w:rsidR="00297E8B" w:rsidRPr="00A85ED4">
        <w:rPr>
          <w:rFonts w:asciiTheme="minorHAnsi" w:hAnsiTheme="minorHAnsi" w:cs="Calibri"/>
          <w:sz w:val="22"/>
          <w:szCs w:val="22"/>
        </w:rPr>
        <w:t xml:space="preserve"> to ensure appropriate and client-specific assistive technology is consistent with needs of all clients and is reflected in the </w:t>
      </w:r>
      <w:r w:rsidR="0094369D" w:rsidRPr="00A85ED4">
        <w:rPr>
          <w:rFonts w:asciiTheme="minorHAnsi" w:hAnsiTheme="minorHAnsi" w:cs="Calibri"/>
          <w:sz w:val="22"/>
          <w:szCs w:val="22"/>
        </w:rPr>
        <w:t>Individualized Plan for Employment</w:t>
      </w:r>
      <w:r w:rsidR="00297E8B" w:rsidRPr="00A85ED4">
        <w:rPr>
          <w:rFonts w:asciiTheme="minorHAnsi" w:hAnsiTheme="minorHAnsi" w:cs="Calibri"/>
          <w:sz w:val="22"/>
          <w:szCs w:val="22"/>
        </w:rPr>
        <w:t xml:space="preserve"> </w:t>
      </w:r>
      <w:r w:rsidR="0094369D">
        <w:rPr>
          <w:rFonts w:asciiTheme="minorHAnsi" w:hAnsiTheme="minorHAnsi" w:cs="Calibri"/>
          <w:sz w:val="22"/>
          <w:szCs w:val="22"/>
        </w:rPr>
        <w:t>(</w:t>
      </w:r>
      <w:r w:rsidR="00297E8B" w:rsidRPr="00A85ED4">
        <w:rPr>
          <w:rFonts w:asciiTheme="minorHAnsi" w:hAnsiTheme="minorHAnsi" w:cs="Calibri"/>
          <w:sz w:val="22"/>
          <w:szCs w:val="22"/>
        </w:rPr>
        <w:t>IPE</w:t>
      </w:r>
      <w:r w:rsidR="0094369D">
        <w:rPr>
          <w:rFonts w:asciiTheme="minorHAnsi" w:hAnsiTheme="minorHAnsi" w:cs="Calibri"/>
          <w:sz w:val="22"/>
          <w:szCs w:val="22"/>
        </w:rPr>
        <w:t>).</w:t>
      </w:r>
      <w:r w:rsidR="00297E8B" w:rsidRPr="00A85ED4">
        <w:rPr>
          <w:rFonts w:asciiTheme="minorHAnsi" w:hAnsiTheme="minorHAnsi" w:cs="Calibri"/>
          <w:sz w:val="22"/>
          <w:szCs w:val="22"/>
        </w:rPr>
        <w:t xml:space="preserve"> FDBS monitors the contract and receives client feedback via satisfaction surveys.</w:t>
      </w:r>
      <w:bookmarkStart w:id="49" w:name="_Hlk499044499"/>
    </w:p>
    <w:p w14:paraId="1FDD9A6B" w14:textId="77777777" w:rsidR="00A85ED4" w:rsidRDefault="00A85ED4" w:rsidP="00A85ED4">
      <w:pPr>
        <w:pStyle w:val="ListParagraph"/>
        <w:spacing w:after="0"/>
        <w:rPr>
          <w:rFonts w:cs="Calibri"/>
        </w:rPr>
      </w:pPr>
    </w:p>
    <w:p w14:paraId="7443A8F0" w14:textId="77777777" w:rsidR="00A85ED4" w:rsidRPr="00DC60EF" w:rsidRDefault="00297E8B" w:rsidP="00D63204">
      <w:pPr>
        <w:numPr>
          <w:ilvl w:val="0"/>
          <w:numId w:val="12"/>
        </w:numPr>
        <w:spacing w:after="0" w:line="240" w:lineRule="auto"/>
        <w:rPr>
          <w:rFonts w:cs="Calibri"/>
        </w:rPr>
      </w:pPr>
      <w:r w:rsidRPr="00DC60EF">
        <w:rPr>
          <w:rFonts w:cs="Calibri"/>
        </w:rPr>
        <w:t>Implementing a comprehensive communications and outreach plan. FDBS will develop targeted marketing strategies to reach under-served and unserved populations based on data collected via the needs assessment</w:t>
      </w:r>
      <w:r w:rsidR="005E7C49" w:rsidRPr="00DC60EF">
        <w:rPr>
          <w:rFonts w:cs="Calibri"/>
        </w:rPr>
        <w:t xml:space="preserve">. </w:t>
      </w:r>
      <w:bookmarkEnd w:id="49"/>
      <w:r w:rsidRPr="00DC60EF">
        <w:rPr>
          <w:rFonts w:cs="Calibri"/>
        </w:rPr>
        <w:t>Outreach activities are tracked by the district offices monthly and reported quarterly.</w:t>
      </w:r>
    </w:p>
    <w:p w14:paraId="1BD76917" w14:textId="5A7A8DD9" w:rsidR="00A85ED4" w:rsidRDefault="00A85ED4" w:rsidP="00D63204">
      <w:pPr>
        <w:pStyle w:val="NormalWeb"/>
        <w:spacing w:before="0" w:beforeAutospacing="0" w:after="0" w:afterAutospacing="0"/>
        <w:ind w:left="827"/>
        <w:rPr>
          <w:rFonts w:cs="Calibri"/>
        </w:rPr>
      </w:pPr>
    </w:p>
    <w:p w14:paraId="6CEA5BBA" w14:textId="32ED9081" w:rsidR="00117859" w:rsidRDefault="00297E8B" w:rsidP="00D63204">
      <w:pPr>
        <w:pStyle w:val="NormalWeb"/>
        <w:numPr>
          <w:ilvl w:val="0"/>
          <w:numId w:val="12"/>
        </w:numPr>
        <w:spacing w:before="0" w:beforeAutospacing="0" w:after="0" w:afterAutospacing="0"/>
        <w:rPr>
          <w:rFonts w:asciiTheme="minorHAnsi" w:hAnsiTheme="minorHAnsi" w:cs="Calibri"/>
          <w:sz w:val="22"/>
          <w:szCs w:val="22"/>
        </w:rPr>
      </w:pPr>
      <w:r w:rsidRPr="00A85ED4">
        <w:rPr>
          <w:rFonts w:asciiTheme="minorHAnsi" w:hAnsiTheme="minorHAnsi" w:cs="Calibri"/>
          <w:sz w:val="22"/>
          <w:szCs w:val="22"/>
        </w:rPr>
        <w:t>Working with each client to ensure that IPE goals are consistent with and/or are amenable to transportation resources</w:t>
      </w:r>
      <w:r w:rsidR="005E7C49">
        <w:rPr>
          <w:rFonts w:asciiTheme="minorHAnsi" w:hAnsiTheme="minorHAnsi" w:cs="Calibri"/>
          <w:sz w:val="22"/>
          <w:szCs w:val="22"/>
        </w:rPr>
        <w:t xml:space="preserve">. </w:t>
      </w:r>
      <w:r w:rsidRPr="00A85ED4">
        <w:rPr>
          <w:rFonts w:asciiTheme="minorHAnsi" w:hAnsiTheme="minorHAnsi" w:cs="Calibri"/>
          <w:sz w:val="22"/>
          <w:szCs w:val="22"/>
        </w:rPr>
        <w:t xml:space="preserve">FDBS created a list of transportation vendors based on feedback from each district office. This list serves as a resource to all districts and is updated as needed. </w:t>
      </w:r>
      <w:r w:rsidR="00117859">
        <w:rPr>
          <w:rFonts w:asciiTheme="minorHAnsi" w:hAnsiTheme="minorHAnsi" w:cs="Calibri"/>
          <w:sz w:val="22"/>
          <w:szCs w:val="22"/>
        </w:rPr>
        <w:br/>
      </w:r>
    </w:p>
    <w:p w14:paraId="569BFAF5" w14:textId="56789FFB" w:rsidR="00CD1C1C" w:rsidRDefault="00CD1C1C" w:rsidP="00D63204">
      <w:pPr>
        <w:pStyle w:val="NormalWeb"/>
        <w:numPr>
          <w:ilvl w:val="0"/>
          <w:numId w:val="12"/>
        </w:numPr>
        <w:spacing w:before="0" w:beforeAutospacing="0" w:after="0" w:afterAutospacing="0"/>
        <w:rPr>
          <w:rFonts w:asciiTheme="minorHAnsi" w:hAnsiTheme="minorHAnsi" w:cs="Calibri"/>
          <w:sz w:val="22"/>
          <w:szCs w:val="22"/>
        </w:rPr>
      </w:pPr>
      <w:r w:rsidRPr="00CD1C1C">
        <w:rPr>
          <w:rFonts w:asciiTheme="minorHAnsi" w:hAnsiTheme="minorHAnsi" w:cs="Calibri"/>
          <w:sz w:val="22"/>
          <w:szCs w:val="22"/>
        </w:rPr>
        <w:t>Developing and strengthening employer relationships by providing employer training, support, education and resources related to employing individuals with visual impairments in accordance with Section 503 regulations. FDBS provides employment placement specialists with marketing tools/toolkit</w:t>
      </w:r>
      <w:r w:rsidR="00F41D5B">
        <w:rPr>
          <w:rFonts w:asciiTheme="minorHAnsi" w:hAnsiTheme="minorHAnsi" w:cs="Calibri"/>
          <w:sz w:val="22"/>
          <w:szCs w:val="22"/>
        </w:rPr>
        <w:t>s</w:t>
      </w:r>
      <w:r w:rsidRPr="00CD1C1C">
        <w:rPr>
          <w:rFonts w:asciiTheme="minorHAnsi" w:hAnsiTheme="minorHAnsi" w:cs="Calibri"/>
          <w:sz w:val="22"/>
          <w:szCs w:val="22"/>
        </w:rPr>
        <w:t xml:space="preserve"> to use when meeting with potential employers and CareerSource Florida staff. Employers receive education regarding FDBS programs/services with the goal of increasing opportunities for clients seeking employment. </w:t>
      </w:r>
    </w:p>
    <w:p w14:paraId="096E25F7" w14:textId="77777777" w:rsidR="00CD1C1C" w:rsidRPr="00CD1C1C" w:rsidRDefault="00CD1C1C" w:rsidP="00D63204">
      <w:pPr>
        <w:pStyle w:val="NormalWeb"/>
        <w:spacing w:before="0" w:beforeAutospacing="0" w:after="0" w:afterAutospacing="0"/>
        <w:ind w:left="827"/>
        <w:rPr>
          <w:rFonts w:asciiTheme="minorHAnsi" w:hAnsiTheme="minorHAnsi" w:cs="Calibri"/>
          <w:sz w:val="22"/>
          <w:szCs w:val="22"/>
        </w:rPr>
      </w:pPr>
    </w:p>
    <w:p w14:paraId="596201BD" w14:textId="32A39809" w:rsidR="002A34EE" w:rsidRPr="002A34EE" w:rsidRDefault="00297E8B" w:rsidP="00D63204">
      <w:pPr>
        <w:pStyle w:val="NormalWeb"/>
        <w:numPr>
          <w:ilvl w:val="0"/>
          <w:numId w:val="12"/>
        </w:numPr>
        <w:spacing w:before="0" w:beforeAutospacing="0" w:after="0" w:afterAutospacing="0"/>
        <w:rPr>
          <w:rFonts w:asciiTheme="minorHAnsi" w:hAnsiTheme="minorHAnsi" w:cs="Calibri"/>
          <w:sz w:val="22"/>
          <w:szCs w:val="22"/>
        </w:rPr>
      </w:pPr>
      <w:r w:rsidRPr="00552316">
        <w:rPr>
          <w:rFonts w:asciiTheme="minorHAnsi" w:hAnsiTheme="minorHAnsi" w:cs="Calibri"/>
          <w:sz w:val="22"/>
          <w:szCs w:val="22"/>
        </w:rPr>
        <w:t>Strengthening statewide</w:t>
      </w:r>
      <w:r w:rsidRPr="00117859">
        <w:rPr>
          <w:rFonts w:asciiTheme="minorHAnsi" w:hAnsiTheme="minorHAnsi" w:cs="Calibri"/>
          <w:sz w:val="22"/>
          <w:szCs w:val="22"/>
        </w:rPr>
        <w:t xml:space="preserve"> collaborative partnerships with core partners. FDBS increased communication with core partners and participates in regularly scheduled conference calls and meetings. </w:t>
      </w:r>
    </w:p>
    <w:p w14:paraId="2D3B2C44" w14:textId="77777777" w:rsidR="00524498" w:rsidRDefault="00524498" w:rsidP="00D63204">
      <w:pPr>
        <w:pStyle w:val="NormalWeb"/>
        <w:spacing w:before="0" w:beforeAutospacing="0" w:after="0" w:afterAutospacing="0"/>
        <w:rPr>
          <w:rFonts w:asciiTheme="minorHAnsi" w:hAnsiTheme="minorHAnsi" w:cs="Calibri"/>
          <w:sz w:val="22"/>
          <w:szCs w:val="22"/>
        </w:rPr>
      </w:pPr>
    </w:p>
    <w:p w14:paraId="3669F226" w14:textId="355BD3B5" w:rsidR="00117859" w:rsidRDefault="00297E8B" w:rsidP="00D63204">
      <w:pPr>
        <w:pStyle w:val="NormalWeb"/>
        <w:numPr>
          <w:ilvl w:val="0"/>
          <w:numId w:val="12"/>
        </w:numPr>
        <w:spacing w:before="0" w:beforeAutospacing="0" w:after="0" w:afterAutospacing="0"/>
        <w:rPr>
          <w:rFonts w:asciiTheme="minorHAnsi" w:hAnsiTheme="minorHAnsi" w:cs="Calibri"/>
          <w:sz w:val="22"/>
          <w:szCs w:val="22"/>
        </w:rPr>
      </w:pPr>
      <w:r w:rsidRPr="00117859">
        <w:rPr>
          <w:rFonts w:asciiTheme="minorHAnsi" w:hAnsiTheme="minorHAnsi" w:cs="Calibri"/>
          <w:sz w:val="22"/>
          <w:szCs w:val="22"/>
        </w:rPr>
        <w:t>Increasing opportunities for data sharing and improving data validity and integrity</w:t>
      </w:r>
      <w:r w:rsidR="005E7C49">
        <w:rPr>
          <w:rFonts w:asciiTheme="minorHAnsi" w:hAnsiTheme="minorHAnsi" w:cs="Calibri"/>
          <w:sz w:val="22"/>
          <w:szCs w:val="22"/>
        </w:rPr>
        <w:t xml:space="preserve">. </w:t>
      </w:r>
      <w:r w:rsidRPr="00117859">
        <w:rPr>
          <w:rFonts w:asciiTheme="minorHAnsi" w:hAnsiTheme="minorHAnsi" w:cs="Calibri"/>
          <w:sz w:val="22"/>
          <w:szCs w:val="22"/>
        </w:rPr>
        <w:t xml:space="preserve">Although data sharing </w:t>
      </w:r>
      <w:r w:rsidR="00C442E2">
        <w:rPr>
          <w:rFonts w:asciiTheme="minorHAnsi" w:hAnsiTheme="minorHAnsi" w:cs="Calibri"/>
          <w:sz w:val="22"/>
          <w:szCs w:val="22"/>
        </w:rPr>
        <w:t xml:space="preserve">is </w:t>
      </w:r>
      <w:r w:rsidRPr="00117859">
        <w:rPr>
          <w:rFonts w:asciiTheme="minorHAnsi" w:hAnsiTheme="minorHAnsi" w:cs="Calibri"/>
          <w:sz w:val="22"/>
          <w:szCs w:val="22"/>
        </w:rPr>
        <w:t>a challenge, (i.e., getting a signed release of information for each client for all agencies), a draft of the data sharing agreement is under review for approval by both DOE and DEO</w:t>
      </w:r>
      <w:r w:rsidR="005E7C49">
        <w:rPr>
          <w:rFonts w:asciiTheme="minorHAnsi" w:hAnsiTheme="minorHAnsi" w:cs="Calibri"/>
          <w:sz w:val="22"/>
          <w:szCs w:val="22"/>
        </w:rPr>
        <w:t xml:space="preserve">. </w:t>
      </w:r>
    </w:p>
    <w:p w14:paraId="2D31DDCC" w14:textId="34C23B0F" w:rsidR="00117859" w:rsidRDefault="00117859" w:rsidP="00D63204">
      <w:pPr>
        <w:pStyle w:val="NormalWeb"/>
        <w:spacing w:before="0" w:beforeAutospacing="0" w:after="0" w:afterAutospacing="0"/>
        <w:rPr>
          <w:rFonts w:asciiTheme="minorHAnsi" w:hAnsiTheme="minorHAnsi" w:cs="Calibri"/>
          <w:sz w:val="22"/>
          <w:szCs w:val="22"/>
        </w:rPr>
      </w:pPr>
    </w:p>
    <w:p w14:paraId="5D315345" w14:textId="77777777" w:rsidR="00CD1C1C" w:rsidRPr="00CD1C1C" w:rsidRDefault="00CD1C1C" w:rsidP="00D63204">
      <w:pPr>
        <w:pStyle w:val="NormalWeb"/>
        <w:numPr>
          <w:ilvl w:val="0"/>
          <w:numId w:val="12"/>
        </w:numPr>
        <w:spacing w:before="0" w:beforeAutospacing="0" w:after="0" w:afterAutospacing="0"/>
        <w:rPr>
          <w:rFonts w:asciiTheme="minorHAnsi" w:hAnsiTheme="minorHAnsi" w:cs="Calibri"/>
          <w:sz w:val="22"/>
          <w:szCs w:val="22"/>
        </w:rPr>
      </w:pPr>
      <w:r w:rsidRPr="00CD1C1C">
        <w:rPr>
          <w:rFonts w:asciiTheme="minorHAnsi" w:hAnsiTheme="minorHAnsi" w:cs="Calibri"/>
          <w:sz w:val="22"/>
          <w:szCs w:val="22"/>
        </w:rPr>
        <w:t>Promoting integrated employment in the community as the first and preferred option for individuals with disabilities under the Employment First Florida initiative. FDBS provides training and education on integrated employment to staff and community providers.</w:t>
      </w:r>
    </w:p>
    <w:p w14:paraId="485478A6" w14:textId="77777777" w:rsidR="00CD1C1C" w:rsidRPr="00CD1C1C" w:rsidRDefault="00CD1C1C" w:rsidP="00CD1C1C">
      <w:pPr>
        <w:pStyle w:val="ListParagraph"/>
        <w:spacing w:after="0"/>
        <w:rPr>
          <w:rFonts w:cs="Calibri"/>
        </w:rPr>
      </w:pPr>
    </w:p>
    <w:p w14:paraId="6BA5586F" w14:textId="31C9D249" w:rsidR="00CD1C1C" w:rsidRPr="00CD1C1C" w:rsidRDefault="00CD1C1C" w:rsidP="00D63204">
      <w:pPr>
        <w:pStyle w:val="NormalWeb"/>
        <w:numPr>
          <w:ilvl w:val="0"/>
          <w:numId w:val="12"/>
        </w:numPr>
        <w:spacing w:before="0" w:beforeAutospacing="0" w:after="0" w:afterAutospacing="0"/>
        <w:rPr>
          <w:rFonts w:asciiTheme="minorHAnsi" w:hAnsiTheme="minorHAnsi" w:cs="Calibri"/>
          <w:sz w:val="22"/>
          <w:szCs w:val="22"/>
        </w:rPr>
      </w:pPr>
      <w:r w:rsidRPr="00CD1C1C">
        <w:rPr>
          <w:rFonts w:asciiTheme="minorHAnsi" w:hAnsiTheme="minorHAnsi" w:cs="Calibri"/>
          <w:sz w:val="22"/>
          <w:szCs w:val="22"/>
        </w:rPr>
        <w:t>Maintaining and strengthening contracts with private non-profit organizations to provide four core components: vocational rehabilitation, transition, supported employment</w:t>
      </w:r>
      <w:r w:rsidR="00D5537E">
        <w:rPr>
          <w:rFonts w:asciiTheme="minorHAnsi" w:hAnsiTheme="minorHAnsi" w:cs="Calibri"/>
          <w:sz w:val="22"/>
          <w:szCs w:val="22"/>
        </w:rPr>
        <w:t xml:space="preserve"> and</w:t>
      </w:r>
      <w:r w:rsidRPr="00CD1C1C">
        <w:rPr>
          <w:rFonts w:asciiTheme="minorHAnsi" w:hAnsiTheme="minorHAnsi" w:cs="Calibri"/>
          <w:sz w:val="22"/>
          <w:szCs w:val="22"/>
        </w:rPr>
        <w:t xml:space="preserve"> rehabilitation engineering. Vocational rehabilitation, transition</w:t>
      </w:r>
      <w:r w:rsidR="00D5537E">
        <w:rPr>
          <w:rFonts w:asciiTheme="minorHAnsi" w:hAnsiTheme="minorHAnsi" w:cs="Calibri"/>
          <w:sz w:val="22"/>
          <w:szCs w:val="22"/>
        </w:rPr>
        <w:t xml:space="preserve"> and</w:t>
      </w:r>
      <w:r w:rsidRPr="00CD1C1C">
        <w:rPr>
          <w:rFonts w:asciiTheme="minorHAnsi" w:hAnsiTheme="minorHAnsi" w:cs="Calibri"/>
          <w:sz w:val="22"/>
          <w:szCs w:val="22"/>
        </w:rPr>
        <w:t xml:space="preserve"> pre-ETS are combined in the 2017-2018 contracts. Contracted providers are monitored via desk audits or onsite based on an established timeframe or at any time if an issue arises. By working with providers, FDBS will increase work-based experiences and provide career exploration in a variety of fields. FDBS coordinates with multiple partners to maximize supported employment services. </w:t>
      </w:r>
    </w:p>
    <w:p w14:paraId="311753D9" w14:textId="77777777" w:rsidR="00117859" w:rsidRDefault="00117859" w:rsidP="00117859">
      <w:pPr>
        <w:pStyle w:val="ListParagraph"/>
        <w:spacing w:after="0"/>
        <w:rPr>
          <w:rFonts w:cs="Calibri"/>
        </w:rPr>
      </w:pPr>
    </w:p>
    <w:p w14:paraId="2C17F569" w14:textId="3C4A8669" w:rsidR="00774583" w:rsidRPr="00117859" w:rsidRDefault="00A85ED4" w:rsidP="00D63204">
      <w:pPr>
        <w:pStyle w:val="NormalWeb"/>
        <w:numPr>
          <w:ilvl w:val="0"/>
          <w:numId w:val="12"/>
        </w:numPr>
        <w:spacing w:before="0" w:beforeAutospacing="0" w:after="0" w:afterAutospacing="0"/>
        <w:rPr>
          <w:rFonts w:asciiTheme="minorHAnsi" w:hAnsiTheme="minorHAnsi" w:cs="Calibri"/>
          <w:sz w:val="22"/>
          <w:szCs w:val="22"/>
        </w:rPr>
      </w:pPr>
      <w:r w:rsidRPr="00117859">
        <w:rPr>
          <w:rFonts w:asciiTheme="minorHAnsi" w:hAnsiTheme="minorHAnsi" w:cs="Calibri"/>
          <w:sz w:val="22"/>
          <w:szCs w:val="22"/>
        </w:rPr>
        <w:t>I</w:t>
      </w:r>
      <w:r w:rsidR="00297E8B" w:rsidRPr="00117859">
        <w:rPr>
          <w:rFonts w:asciiTheme="minorHAnsi" w:hAnsiTheme="minorHAnsi" w:cs="Calibri"/>
          <w:sz w:val="22"/>
          <w:szCs w:val="22"/>
        </w:rPr>
        <w:t xml:space="preserve">ncreasing the number of individuals with significant and most significant disabilities receiving services. In January 2016, FDBS implemented an online application to increase accessibility to individuals who may qualify for services. FDBS created multiple initiatives throughout the state to increase referrals, such as the </w:t>
      </w:r>
      <w:r w:rsidR="00297E8B" w:rsidRPr="00117859">
        <w:rPr>
          <w:rFonts w:asciiTheme="minorHAnsi" w:hAnsiTheme="minorHAnsi" w:cs="Calibri"/>
          <w:sz w:val="22"/>
          <w:szCs w:val="22"/>
        </w:rPr>
        <w:lastRenderedPageBreak/>
        <w:t xml:space="preserve">See Different initiative and FDBS 75 Years Celebrations. </w:t>
      </w:r>
      <w:r w:rsidR="00C64A81">
        <w:rPr>
          <w:rFonts w:asciiTheme="minorHAnsi" w:hAnsiTheme="minorHAnsi" w:cs="Calibri"/>
          <w:sz w:val="22"/>
          <w:szCs w:val="22"/>
        </w:rPr>
        <w:t>S</w:t>
      </w:r>
      <w:r w:rsidR="00297E8B" w:rsidRPr="00117859">
        <w:rPr>
          <w:rFonts w:asciiTheme="minorHAnsi" w:hAnsiTheme="minorHAnsi" w:cs="Calibri"/>
          <w:sz w:val="22"/>
          <w:szCs w:val="22"/>
        </w:rPr>
        <w:t xml:space="preserve">everal PSAs were delivered through </w:t>
      </w:r>
      <w:r w:rsidR="001E040F">
        <w:rPr>
          <w:rFonts w:asciiTheme="minorHAnsi" w:hAnsiTheme="minorHAnsi" w:cs="Calibri"/>
          <w:sz w:val="22"/>
          <w:szCs w:val="22"/>
        </w:rPr>
        <w:t xml:space="preserve">internet and digital cable provider </w:t>
      </w:r>
      <w:r w:rsidR="00297E8B" w:rsidRPr="00117859">
        <w:rPr>
          <w:rFonts w:asciiTheme="minorHAnsi" w:hAnsiTheme="minorHAnsi" w:cs="Calibri"/>
          <w:sz w:val="22"/>
          <w:szCs w:val="22"/>
        </w:rPr>
        <w:t>Comcast</w:t>
      </w:r>
      <w:r w:rsidR="005E7C49">
        <w:rPr>
          <w:rFonts w:asciiTheme="minorHAnsi" w:hAnsiTheme="minorHAnsi" w:cs="Calibri"/>
          <w:sz w:val="22"/>
          <w:szCs w:val="22"/>
        </w:rPr>
        <w:t xml:space="preserve">. </w:t>
      </w:r>
      <w:r w:rsidR="00117859">
        <w:rPr>
          <w:rFonts w:asciiTheme="minorHAnsi" w:hAnsiTheme="minorHAnsi" w:cs="Calibri"/>
          <w:sz w:val="22"/>
          <w:szCs w:val="22"/>
        </w:rPr>
        <w:br/>
      </w:r>
    </w:p>
    <w:p w14:paraId="23C3B74D" w14:textId="3D9D1D3A" w:rsidR="00117859" w:rsidRDefault="00297E8B" w:rsidP="00D63204">
      <w:pPr>
        <w:pStyle w:val="NormalWeb"/>
        <w:numPr>
          <w:ilvl w:val="0"/>
          <w:numId w:val="12"/>
        </w:numPr>
        <w:spacing w:before="0" w:beforeAutospacing="0" w:after="0" w:afterAutospacing="0"/>
        <w:rPr>
          <w:rFonts w:asciiTheme="minorHAnsi" w:hAnsiTheme="minorHAnsi" w:cs="Calibri"/>
          <w:sz w:val="22"/>
          <w:szCs w:val="22"/>
        </w:rPr>
      </w:pPr>
      <w:r w:rsidRPr="00117859">
        <w:rPr>
          <w:rFonts w:asciiTheme="minorHAnsi" w:hAnsiTheme="minorHAnsi" w:cs="Calibri"/>
          <w:sz w:val="22"/>
          <w:szCs w:val="22"/>
        </w:rPr>
        <w:t>Supporting FDBS clients in becoming self-supporting. FDBS provides services to train visually impaired individuals on orientation and mobility, cooking</w:t>
      </w:r>
      <w:r w:rsidR="00D5537E">
        <w:rPr>
          <w:rFonts w:asciiTheme="minorHAnsi" w:hAnsiTheme="minorHAnsi" w:cs="Calibri"/>
          <w:sz w:val="22"/>
          <w:szCs w:val="22"/>
        </w:rPr>
        <w:t xml:space="preserve"> and</w:t>
      </w:r>
      <w:r w:rsidRPr="00117859">
        <w:rPr>
          <w:rFonts w:asciiTheme="minorHAnsi" w:hAnsiTheme="minorHAnsi" w:cs="Calibri"/>
          <w:sz w:val="22"/>
          <w:szCs w:val="22"/>
        </w:rPr>
        <w:t xml:space="preserve"> other support (e.g., job placement, supported employment, purchase of adaptive equipment, etc.) to foster independent living goals of clients. </w:t>
      </w:r>
    </w:p>
    <w:p w14:paraId="1F4E3D6B" w14:textId="77777777" w:rsidR="00117859" w:rsidRDefault="00117859" w:rsidP="00D63204">
      <w:pPr>
        <w:pStyle w:val="NormalWeb"/>
        <w:spacing w:before="0" w:beforeAutospacing="0" w:after="0" w:afterAutospacing="0"/>
        <w:ind w:left="827"/>
        <w:rPr>
          <w:rFonts w:asciiTheme="minorHAnsi" w:hAnsiTheme="minorHAnsi" w:cs="Calibri"/>
          <w:sz w:val="22"/>
          <w:szCs w:val="22"/>
        </w:rPr>
      </w:pPr>
    </w:p>
    <w:p w14:paraId="34CEAEB2" w14:textId="4F0D3BBF" w:rsidR="00117859" w:rsidRDefault="00297E8B" w:rsidP="00D63204">
      <w:pPr>
        <w:pStyle w:val="NormalWeb"/>
        <w:numPr>
          <w:ilvl w:val="0"/>
          <w:numId w:val="12"/>
        </w:numPr>
        <w:spacing w:before="0" w:beforeAutospacing="0" w:after="0" w:afterAutospacing="0"/>
        <w:rPr>
          <w:rFonts w:asciiTheme="minorHAnsi" w:hAnsiTheme="minorHAnsi" w:cs="Calibri"/>
          <w:sz w:val="22"/>
          <w:szCs w:val="22"/>
        </w:rPr>
      </w:pPr>
      <w:r w:rsidRPr="00117859">
        <w:rPr>
          <w:rFonts w:asciiTheme="minorHAnsi" w:hAnsiTheme="minorHAnsi" w:cs="Calibri"/>
          <w:sz w:val="22"/>
          <w:szCs w:val="22"/>
        </w:rPr>
        <w:t>Identifying an approach to expedite eligibility and service delivery to individuals who are at risk of losing employment. The revised version of Policy 2.16 Timeliness of Services, effective October 18, 2017, includes language to prioritize services to individuals at risk of becoming unemployed</w:t>
      </w:r>
      <w:r w:rsidR="005E7C49">
        <w:rPr>
          <w:rFonts w:asciiTheme="minorHAnsi" w:hAnsiTheme="minorHAnsi" w:cs="Calibri"/>
          <w:sz w:val="22"/>
          <w:szCs w:val="22"/>
        </w:rPr>
        <w:t xml:space="preserve">. </w:t>
      </w:r>
      <w:r w:rsidRPr="00117859">
        <w:rPr>
          <w:rFonts w:asciiTheme="minorHAnsi" w:hAnsiTheme="minorHAnsi" w:cs="Calibri"/>
          <w:sz w:val="22"/>
          <w:szCs w:val="22"/>
        </w:rPr>
        <w:t xml:space="preserve"> </w:t>
      </w:r>
    </w:p>
    <w:p w14:paraId="65E4B1B4" w14:textId="77777777" w:rsidR="00117859" w:rsidRDefault="00117859" w:rsidP="00117859">
      <w:pPr>
        <w:pStyle w:val="ListParagraph"/>
        <w:spacing w:after="0"/>
        <w:rPr>
          <w:rFonts w:cs="Calibri"/>
        </w:rPr>
      </w:pPr>
    </w:p>
    <w:p w14:paraId="7B3C9864" w14:textId="3705BF89" w:rsidR="00117859" w:rsidRDefault="00297E8B" w:rsidP="00D63204">
      <w:pPr>
        <w:pStyle w:val="NormalWeb"/>
        <w:numPr>
          <w:ilvl w:val="0"/>
          <w:numId w:val="12"/>
        </w:numPr>
        <w:spacing w:before="0" w:beforeAutospacing="0" w:after="0" w:afterAutospacing="0"/>
        <w:rPr>
          <w:rFonts w:asciiTheme="minorHAnsi" w:hAnsiTheme="minorHAnsi" w:cs="Calibri"/>
          <w:sz w:val="22"/>
          <w:szCs w:val="22"/>
        </w:rPr>
      </w:pPr>
      <w:bookmarkStart w:id="50" w:name="_Hlk507486276"/>
      <w:r w:rsidRPr="00117859">
        <w:rPr>
          <w:rFonts w:asciiTheme="minorHAnsi" w:hAnsiTheme="minorHAnsi" w:cs="Calibri"/>
          <w:sz w:val="22"/>
          <w:szCs w:val="22"/>
        </w:rPr>
        <w:t xml:space="preserve">Increasing staff development and continuing education. A list of employees who have a CRC is maintained by the state office. The FDBS encourages CRC credentialed staff to participate in trainings, such </w:t>
      </w:r>
      <w:r w:rsidRPr="00B46967">
        <w:rPr>
          <w:rFonts w:asciiTheme="minorHAnsi" w:hAnsiTheme="minorHAnsi" w:cs="Calibri"/>
          <w:sz w:val="22"/>
          <w:szCs w:val="22"/>
        </w:rPr>
        <w:t xml:space="preserve">as </w:t>
      </w:r>
      <w:r w:rsidR="00A6108F">
        <w:rPr>
          <w:rFonts w:asciiTheme="minorHAnsi" w:hAnsiTheme="minorHAnsi" w:cs="Calibri"/>
          <w:sz w:val="22"/>
          <w:szCs w:val="22"/>
        </w:rPr>
        <w:t xml:space="preserve">the </w:t>
      </w:r>
      <w:r w:rsidR="00A6108F" w:rsidRPr="00B46967">
        <w:rPr>
          <w:rFonts w:asciiTheme="minorHAnsi" w:hAnsiTheme="minorHAnsi" w:cs="Calibri"/>
          <w:sz w:val="22"/>
          <w:szCs w:val="22"/>
        </w:rPr>
        <w:t>Florida Association for the Education and Rehabilitation of the Blind and Visually Impaired</w:t>
      </w:r>
      <w:r w:rsidR="00B46967">
        <w:rPr>
          <w:rFonts w:asciiTheme="minorHAnsi" w:hAnsiTheme="minorHAnsi" w:cs="Calibri"/>
          <w:sz w:val="22"/>
          <w:szCs w:val="22"/>
        </w:rPr>
        <w:t xml:space="preserve"> </w:t>
      </w:r>
      <w:r w:rsidR="00A6108F" w:rsidRPr="00B46967">
        <w:rPr>
          <w:rFonts w:asciiTheme="minorHAnsi" w:hAnsiTheme="minorHAnsi" w:cs="Calibri"/>
          <w:sz w:val="22"/>
          <w:szCs w:val="22"/>
        </w:rPr>
        <w:t>(</w:t>
      </w:r>
      <w:r w:rsidRPr="00B46967">
        <w:rPr>
          <w:rFonts w:asciiTheme="minorHAnsi" w:hAnsiTheme="minorHAnsi" w:cs="Calibri"/>
          <w:sz w:val="22"/>
          <w:szCs w:val="22"/>
        </w:rPr>
        <w:t>FAER</w:t>
      </w:r>
      <w:r w:rsidR="0005382D" w:rsidRPr="00B46967">
        <w:rPr>
          <w:rFonts w:asciiTheme="minorHAnsi" w:hAnsiTheme="minorHAnsi" w:cs="Calibri"/>
          <w:sz w:val="22"/>
          <w:szCs w:val="22"/>
        </w:rPr>
        <w:t>)</w:t>
      </w:r>
      <w:r w:rsidRPr="00B46967">
        <w:rPr>
          <w:rFonts w:asciiTheme="minorHAnsi" w:hAnsiTheme="minorHAnsi" w:cs="Calibri"/>
          <w:sz w:val="22"/>
          <w:szCs w:val="22"/>
        </w:rPr>
        <w:t>,</w:t>
      </w:r>
      <w:r w:rsidR="00B46967" w:rsidRPr="00B46967">
        <w:rPr>
          <w:rFonts w:asciiTheme="minorHAnsi" w:hAnsiTheme="minorHAnsi" w:cs="Calibri"/>
          <w:sz w:val="22"/>
          <w:szCs w:val="22"/>
        </w:rPr>
        <w:t xml:space="preserve"> Florida Rehabilitation Association (</w:t>
      </w:r>
      <w:r w:rsidRPr="00B46967">
        <w:rPr>
          <w:rFonts w:asciiTheme="minorHAnsi" w:hAnsiTheme="minorHAnsi" w:cs="Calibri"/>
          <w:sz w:val="22"/>
          <w:szCs w:val="22"/>
        </w:rPr>
        <w:t>FRA</w:t>
      </w:r>
      <w:r w:rsidR="00B46967">
        <w:rPr>
          <w:rFonts w:asciiTheme="minorHAnsi" w:hAnsiTheme="minorHAnsi" w:cs="Calibri"/>
          <w:sz w:val="22"/>
          <w:szCs w:val="22"/>
        </w:rPr>
        <w:t>)</w:t>
      </w:r>
      <w:r w:rsidR="00D5537E">
        <w:rPr>
          <w:rFonts w:asciiTheme="minorHAnsi" w:hAnsiTheme="minorHAnsi" w:cs="Calibri"/>
          <w:sz w:val="22"/>
          <w:szCs w:val="22"/>
        </w:rPr>
        <w:t xml:space="preserve"> and</w:t>
      </w:r>
      <w:r w:rsidRPr="00117859">
        <w:rPr>
          <w:rFonts w:asciiTheme="minorHAnsi" w:hAnsiTheme="minorHAnsi" w:cs="Calibri"/>
          <w:sz w:val="22"/>
          <w:szCs w:val="22"/>
        </w:rPr>
        <w:t xml:space="preserve"> WIOA, that provide CEUs to ensure they maintain their credentials. FDBS encourages employees who do not have a CRC to obtain certification by providing a financial incentive. </w:t>
      </w:r>
    </w:p>
    <w:bookmarkEnd w:id="50"/>
    <w:p w14:paraId="3DD23649" w14:textId="77777777" w:rsidR="00117859" w:rsidRDefault="00117859" w:rsidP="00117859">
      <w:pPr>
        <w:pStyle w:val="ListParagraph"/>
        <w:spacing w:after="0"/>
        <w:rPr>
          <w:rFonts w:cs="Calibri"/>
        </w:rPr>
      </w:pPr>
    </w:p>
    <w:p w14:paraId="0735EE38" w14:textId="770ED834" w:rsidR="00117859" w:rsidRDefault="00297E8B" w:rsidP="00D63204">
      <w:pPr>
        <w:pStyle w:val="NormalWeb"/>
        <w:numPr>
          <w:ilvl w:val="0"/>
          <w:numId w:val="12"/>
        </w:numPr>
        <w:spacing w:before="0" w:beforeAutospacing="0" w:after="0" w:afterAutospacing="0"/>
        <w:rPr>
          <w:rFonts w:asciiTheme="minorHAnsi" w:hAnsiTheme="minorHAnsi" w:cs="Calibri"/>
          <w:sz w:val="22"/>
          <w:szCs w:val="22"/>
        </w:rPr>
      </w:pPr>
      <w:bookmarkStart w:id="51" w:name="_Hlk507486249"/>
      <w:r w:rsidRPr="00485C4E">
        <w:rPr>
          <w:rFonts w:asciiTheme="minorHAnsi" w:hAnsiTheme="minorHAnsi" w:cs="Calibri"/>
          <w:sz w:val="22"/>
          <w:szCs w:val="22"/>
        </w:rPr>
        <w:t>Aligning FDBS policies and procedures to address new WIOA requirements. All policies in the Bureau of Client Services were reviewed and</w:t>
      </w:r>
      <w:r w:rsidRPr="00117859">
        <w:rPr>
          <w:rFonts w:asciiTheme="minorHAnsi" w:hAnsiTheme="minorHAnsi" w:cs="Calibri"/>
          <w:sz w:val="22"/>
          <w:szCs w:val="22"/>
        </w:rPr>
        <w:t xml:space="preserve"> revised as appropriate to include WIOA requirements. </w:t>
      </w:r>
      <w:r w:rsidR="00D73713">
        <w:rPr>
          <w:rFonts w:asciiTheme="minorHAnsi" w:hAnsiTheme="minorHAnsi" w:cs="Calibri"/>
          <w:sz w:val="22"/>
          <w:szCs w:val="22"/>
        </w:rPr>
        <w:t>A number</w:t>
      </w:r>
      <w:r w:rsidRPr="00117859">
        <w:rPr>
          <w:rFonts w:asciiTheme="minorHAnsi" w:hAnsiTheme="minorHAnsi" w:cs="Calibri"/>
          <w:sz w:val="22"/>
          <w:szCs w:val="22"/>
        </w:rPr>
        <w:t xml:space="preserve"> of these policies </w:t>
      </w:r>
      <w:r w:rsidR="00D73713">
        <w:rPr>
          <w:rFonts w:asciiTheme="minorHAnsi" w:hAnsiTheme="minorHAnsi" w:cs="Calibri"/>
          <w:sz w:val="22"/>
          <w:szCs w:val="22"/>
        </w:rPr>
        <w:t>have been implemented</w:t>
      </w:r>
      <w:r w:rsidRPr="00117859">
        <w:rPr>
          <w:rFonts w:asciiTheme="minorHAnsi" w:hAnsiTheme="minorHAnsi" w:cs="Calibri"/>
          <w:sz w:val="22"/>
          <w:szCs w:val="22"/>
        </w:rPr>
        <w:t xml:space="preserve"> and </w:t>
      </w:r>
      <w:r w:rsidRPr="00485C4E">
        <w:rPr>
          <w:rFonts w:asciiTheme="minorHAnsi" w:hAnsiTheme="minorHAnsi" w:cs="Calibri"/>
          <w:sz w:val="22"/>
          <w:szCs w:val="22"/>
        </w:rPr>
        <w:t>other</w:t>
      </w:r>
      <w:r w:rsidR="00FD5B91">
        <w:rPr>
          <w:rFonts w:asciiTheme="minorHAnsi" w:hAnsiTheme="minorHAnsi" w:cs="Calibri"/>
          <w:sz w:val="22"/>
          <w:szCs w:val="22"/>
        </w:rPr>
        <w:t xml:space="preserve"> revisions</w:t>
      </w:r>
      <w:r w:rsidRPr="00117859">
        <w:rPr>
          <w:rFonts w:asciiTheme="minorHAnsi" w:hAnsiTheme="minorHAnsi" w:cs="Calibri"/>
          <w:sz w:val="22"/>
          <w:szCs w:val="22"/>
        </w:rPr>
        <w:t xml:space="preserve"> are </w:t>
      </w:r>
      <w:r w:rsidR="00FD5B91">
        <w:rPr>
          <w:rFonts w:asciiTheme="minorHAnsi" w:hAnsiTheme="minorHAnsi" w:cs="Calibri"/>
          <w:sz w:val="22"/>
          <w:szCs w:val="22"/>
        </w:rPr>
        <w:t>pending final</w:t>
      </w:r>
      <w:r w:rsidRPr="00117859">
        <w:rPr>
          <w:rFonts w:asciiTheme="minorHAnsi" w:hAnsiTheme="minorHAnsi" w:cs="Calibri"/>
          <w:sz w:val="22"/>
          <w:szCs w:val="22"/>
        </w:rPr>
        <w:t xml:space="preserve"> review. </w:t>
      </w:r>
    </w:p>
    <w:bookmarkEnd w:id="51"/>
    <w:p w14:paraId="637714AB" w14:textId="77777777" w:rsidR="00117859" w:rsidRDefault="00117859" w:rsidP="00117859">
      <w:pPr>
        <w:pStyle w:val="ListParagraph"/>
        <w:spacing w:after="0"/>
        <w:rPr>
          <w:rFonts w:cs="Calibri"/>
        </w:rPr>
      </w:pPr>
    </w:p>
    <w:p w14:paraId="67A3F59A" w14:textId="77777777" w:rsidR="00117859" w:rsidRDefault="00297E8B" w:rsidP="00D63204">
      <w:pPr>
        <w:pStyle w:val="NormalWeb"/>
        <w:numPr>
          <w:ilvl w:val="0"/>
          <w:numId w:val="12"/>
        </w:numPr>
        <w:spacing w:before="0" w:beforeAutospacing="0" w:after="0" w:afterAutospacing="0"/>
        <w:rPr>
          <w:rFonts w:asciiTheme="minorHAnsi" w:hAnsiTheme="minorHAnsi" w:cs="Calibri"/>
          <w:sz w:val="22"/>
          <w:szCs w:val="22"/>
        </w:rPr>
      </w:pPr>
      <w:r w:rsidRPr="00117859">
        <w:rPr>
          <w:rFonts w:asciiTheme="minorHAnsi" w:hAnsiTheme="minorHAnsi" w:cs="Calibri"/>
          <w:sz w:val="22"/>
          <w:szCs w:val="22"/>
        </w:rPr>
        <w:t xml:space="preserve">Providing ongoing Employment Outcomes Professional II (EOP II) Training to vocational rehabilitation staff and community providers. FDBS tested the Vermont Model in a limited number of districts. EOP II Training is applied in all districts to increase communication with employers and assess needs. </w:t>
      </w:r>
    </w:p>
    <w:p w14:paraId="3550AE6B" w14:textId="77777777" w:rsidR="00117859" w:rsidRDefault="00117859" w:rsidP="00117859">
      <w:pPr>
        <w:pStyle w:val="ListParagraph"/>
        <w:spacing w:after="0"/>
        <w:rPr>
          <w:rFonts w:cs="Calibri"/>
        </w:rPr>
      </w:pPr>
    </w:p>
    <w:p w14:paraId="2C815CDD" w14:textId="265D8228" w:rsidR="00117859" w:rsidRDefault="00297E8B" w:rsidP="00D63204">
      <w:pPr>
        <w:pStyle w:val="NormalWeb"/>
        <w:numPr>
          <w:ilvl w:val="0"/>
          <w:numId w:val="12"/>
        </w:numPr>
        <w:spacing w:before="0" w:beforeAutospacing="0" w:after="0" w:afterAutospacing="0"/>
        <w:rPr>
          <w:rFonts w:asciiTheme="minorHAnsi" w:hAnsiTheme="minorHAnsi" w:cs="Calibri"/>
          <w:sz w:val="22"/>
          <w:szCs w:val="22"/>
        </w:rPr>
      </w:pPr>
      <w:r w:rsidRPr="00117859">
        <w:rPr>
          <w:rFonts w:asciiTheme="minorHAnsi" w:hAnsiTheme="minorHAnsi" w:cs="Calibri"/>
          <w:sz w:val="22"/>
          <w:szCs w:val="22"/>
        </w:rPr>
        <w:t>Providing training and education sponsorship to eligible vocational rehabilitation clients and staff. FDBS supports clients in their obtainment of college degrees by assisting with tuition, meals</w:t>
      </w:r>
      <w:r w:rsidR="00D5537E">
        <w:rPr>
          <w:rFonts w:asciiTheme="minorHAnsi" w:hAnsiTheme="minorHAnsi" w:cs="Calibri"/>
          <w:sz w:val="22"/>
          <w:szCs w:val="22"/>
        </w:rPr>
        <w:t xml:space="preserve"> and</w:t>
      </w:r>
      <w:r w:rsidRPr="00117859">
        <w:rPr>
          <w:rFonts w:asciiTheme="minorHAnsi" w:hAnsiTheme="minorHAnsi" w:cs="Calibri"/>
          <w:sz w:val="22"/>
          <w:szCs w:val="22"/>
        </w:rPr>
        <w:t xml:space="preserve"> room and board as appropriat</w:t>
      </w:r>
      <w:r w:rsidR="00A85ED4" w:rsidRPr="00117859">
        <w:rPr>
          <w:rFonts w:asciiTheme="minorHAnsi" w:hAnsiTheme="minorHAnsi" w:cs="Calibri"/>
          <w:sz w:val="22"/>
          <w:szCs w:val="22"/>
        </w:rPr>
        <w:t>e.</w:t>
      </w:r>
    </w:p>
    <w:p w14:paraId="54744FB4" w14:textId="77777777" w:rsidR="00117859" w:rsidRDefault="00117859" w:rsidP="00117859">
      <w:pPr>
        <w:pStyle w:val="ListParagraph"/>
        <w:spacing w:after="0"/>
        <w:rPr>
          <w:rFonts w:cs="Calibri"/>
        </w:rPr>
      </w:pPr>
    </w:p>
    <w:p w14:paraId="3BBF8AF1" w14:textId="151D0BC7" w:rsidR="00297E8B" w:rsidRPr="001C024A" w:rsidRDefault="00297E8B" w:rsidP="00D63204">
      <w:pPr>
        <w:pStyle w:val="NormalWeb"/>
        <w:numPr>
          <w:ilvl w:val="0"/>
          <w:numId w:val="12"/>
        </w:numPr>
        <w:spacing w:before="0" w:beforeAutospacing="0" w:after="0" w:afterAutospacing="0"/>
        <w:rPr>
          <w:rFonts w:asciiTheme="minorHAnsi" w:hAnsiTheme="minorHAnsi" w:cs="Calibri"/>
          <w:sz w:val="22"/>
          <w:szCs w:val="22"/>
        </w:rPr>
      </w:pPr>
      <w:r w:rsidRPr="00117859">
        <w:rPr>
          <w:rFonts w:asciiTheme="minorHAnsi" w:hAnsiTheme="minorHAnsi" w:cs="Calibri"/>
          <w:sz w:val="22"/>
          <w:szCs w:val="22"/>
        </w:rPr>
        <w:t xml:space="preserve">Supporting community rehabilitation </w:t>
      </w:r>
      <w:r w:rsidR="00851412">
        <w:rPr>
          <w:rFonts w:asciiTheme="minorHAnsi" w:hAnsiTheme="minorHAnsi" w:cs="Calibri"/>
          <w:sz w:val="22"/>
          <w:szCs w:val="22"/>
        </w:rPr>
        <w:t>pr</w:t>
      </w:r>
      <w:r w:rsidR="00DE16F2">
        <w:rPr>
          <w:rFonts w:asciiTheme="minorHAnsi" w:hAnsiTheme="minorHAnsi" w:cs="Calibri"/>
          <w:sz w:val="22"/>
          <w:szCs w:val="22"/>
        </w:rPr>
        <w:t>ovider</w:t>
      </w:r>
      <w:r w:rsidRPr="00117859">
        <w:rPr>
          <w:rFonts w:asciiTheme="minorHAnsi" w:hAnsiTheme="minorHAnsi" w:cs="Calibri"/>
          <w:sz w:val="22"/>
          <w:szCs w:val="22"/>
        </w:rPr>
        <w:t xml:space="preserve"> training</w:t>
      </w:r>
      <w:r w:rsidR="00851412">
        <w:rPr>
          <w:rFonts w:asciiTheme="minorHAnsi" w:hAnsiTheme="minorHAnsi" w:cs="Calibri"/>
          <w:sz w:val="22"/>
          <w:szCs w:val="22"/>
        </w:rPr>
        <w:t>s</w:t>
      </w:r>
      <w:r w:rsidRPr="00117859">
        <w:rPr>
          <w:rFonts w:asciiTheme="minorHAnsi" w:hAnsiTheme="minorHAnsi" w:cs="Calibri"/>
          <w:sz w:val="22"/>
          <w:szCs w:val="22"/>
        </w:rPr>
        <w:t xml:space="preserve"> designed for individuals who are blind and visually impaired. MOUs are in place with VR, </w:t>
      </w:r>
      <w:r w:rsidRPr="00B87BC3">
        <w:rPr>
          <w:rFonts w:asciiTheme="minorHAnsi" w:hAnsiTheme="minorHAnsi" w:cs="Calibri"/>
          <w:sz w:val="22"/>
          <w:szCs w:val="22"/>
        </w:rPr>
        <w:t>E</w:t>
      </w:r>
      <w:r w:rsidR="00B87BC3">
        <w:rPr>
          <w:rFonts w:asciiTheme="minorHAnsi" w:hAnsiTheme="minorHAnsi" w:cs="Calibri"/>
          <w:sz w:val="22"/>
          <w:szCs w:val="22"/>
        </w:rPr>
        <w:t>xceptional Student Education</w:t>
      </w:r>
      <w:r w:rsidR="00D5537E">
        <w:rPr>
          <w:rFonts w:asciiTheme="minorHAnsi" w:hAnsiTheme="minorHAnsi" w:cs="Calibri"/>
          <w:sz w:val="22"/>
          <w:szCs w:val="22"/>
        </w:rPr>
        <w:t xml:space="preserve"> and</w:t>
      </w:r>
      <w:r w:rsidRPr="00117859">
        <w:rPr>
          <w:rFonts w:asciiTheme="minorHAnsi" w:hAnsiTheme="minorHAnsi" w:cs="Calibri"/>
          <w:sz w:val="22"/>
          <w:szCs w:val="22"/>
        </w:rPr>
        <w:t xml:space="preserve"> CareerSource</w:t>
      </w:r>
      <w:r w:rsidR="00525A73">
        <w:rPr>
          <w:rFonts w:asciiTheme="minorHAnsi" w:hAnsiTheme="minorHAnsi" w:cs="Calibri"/>
          <w:sz w:val="22"/>
          <w:szCs w:val="22"/>
        </w:rPr>
        <w:t xml:space="preserve"> Florida</w:t>
      </w:r>
      <w:r w:rsidRPr="00117859">
        <w:rPr>
          <w:rFonts w:asciiTheme="minorHAnsi" w:hAnsiTheme="minorHAnsi" w:cs="Calibri"/>
          <w:sz w:val="22"/>
          <w:szCs w:val="22"/>
        </w:rPr>
        <w:t xml:space="preserve"> to ensure individuals who are blind and visually impaired fully participate in the workforce.</w:t>
      </w:r>
      <w:r w:rsidRPr="00117859">
        <w:rPr>
          <w:rFonts w:asciiTheme="minorHAnsi" w:hAnsiTheme="minorHAnsi" w:cs="Calibri"/>
          <w:color w:val="FF0000"/>
          <w:sz w:val="22"/>
          <w:szCs w:val="22"/>
        </w:rPr>
        <w:t xml:space="preserve"> </w:t>
      </w:r>
    </w:p>
    <w:p w14:paraId="3CA33B6D" w14:textId="3F797CA9" w:rsidR="00EA7458" w:rsidRPr="00EA7458" w:rsidRDefault="00774583" w:rsidP="00D63204">
      <w:pPr>
        <w:widowControl w:val="0"/>
        <w:spacing w:after="0" w:line="266" w:lineRule="exact"/>
        <w:ind w:left="107"/>
        <w:outlineLvl w:val="2"/>
        <w:rPr>
          <w:rFonts w:ascii="Calibri" w:hAnsi="Calibri"/>
        </w:rPr>
      </w:pPr>
      <w:r>
        <w:rPr>
          <w:rFonts w:ascii="Calibri" w:hAnsi="Calibri"/>
          <w:b/>
          <w:bCs/>
          <w:color w:val="231F20"/>
          <w:w w:val="110"/>
        </w:rPr>
        <w:br/>
      </w:r>
      <w:r w:rsidR="00EA7458" w:rsidRPr="00EA7458">
        <w:rPr>
          <w:rFonts w:ascii="Calibri" w:hAnsi="Calibri"/>
          <w:b/>
          <w:bCs/>
          <w:color w:val="231F20"/>
          <w:w w:val="110"/>
        </w:rPr>
        <w:t>Education</w:t>
      </w:r>
      <w:r w:rsidR="00EA7458" w:rsidRPr="00EA7458">
        <w:rPr>
          <w:rFonts w:ascii="Calibri" w:hAnsi="Calibri"/>
          <w:b/>
          <w:bCs/>
          <w:color w:val="231F20"/>
          <w:spacing w:val="-10"/>
          <w:w w:val="110"/>
        </w:rPr>
        <w:t xml:space="preserve"> </w:t>
      </w:r>
      <w:r w:rsidR="00EA7458" w:rsidRPr="00EA7458">
        <w:rPr>
          <w:rFonts w:ascii="Calibri" w:hAnsi="Calibri"/>
          <w:b/>
          <w:bCs/>
          <w:color w:val="231F20"/>
          <w:w w:val="110"/>
        </w:rPr>
        <w:t>and</w:t>
      </w:r>
      <w:r w:rsidR="00EA7458" w:rsidRPr="00EA7458">
        <w:rPr>
          <w:rFonts w:ascii="Calibri" w:hAnsi="Calibri"/>
          <w:b/>
          <w:bCs/>
          <w:color w:val="231F20"/>
          <w:spacing w:val="-10"/>
          <w:w w:val="110"/>
        </w:rPr>
        <w:t xml:space="preserve"> </w:t>
      </w:r>
      <w:r w:rsidR="00EA7458" w:rsidRPr="00EA7458">
        <w:rPr>
          <w:rFonts w:ascii="Calibri" w:hAnsi="Calibri"/>
          <w:b/>
          <w:bCs/>
          <w:color w:val="231F20"/>
          <w:w w:val="110"/>
        </w:rPr>
        <w:t>Training</w:t>
      </w:r>
      <w:r w:rsidR="00EA7458" w:rsidRPr="00EA7458">
        <w:rPr>
          <w:rFonts w:ascii="Calibri" w:hAnsi="Calibri"/>
          <w:b/>
          <w:bCs/>
          <w:color w:val="231F20"/>
          <w:spacing w:val="-10"/>
          <w:w w:val="110"/>
        </w:rPr>
        <w:t xml:space="preserve"> </w:t>
      </w:r>
      <w:r w:rsidR="00EA7458" w:rsidRPr="00EA7458">
        <w:rPr>
          <w:rFonts w:ascii="Calibri" w:hAnsi="Calibri"/>
          <w:b/>
          <w:bCs/>
          <w:color w:val="231F20"/>
          <w:w w:val="110"/>
        </w:rPr>
        <w:t>Activities</w:t>
      </w:r>
      <w:r w:rsidR="00EA7458" w:rsidRPr="00EA7458">
        <w:rPr>
          <w:rFonts w:ascii="Calibri" w:hAnsi="Calibri"/>
          <w:b/>
          <w:bCs/>
          <w:color w:val="231F20"/>
          <w:spacing w:val="-10"/>
          <w:w w:val="110"/>
        </w:rPr>
        <w:t xml:space="preserve"> </w:t>
      </w:r>
      <w:r w:rsidR="00EA7458" w:rsidRPr="00EA7458">
        <w:rPr>
          <w:rFonts w:ascii="Calibri" w:hAnsi="Calibri"/>
          <w:b/>
          <w:bCs/>
          <w:color w:val="231F20"/>
          <w:w w:val="110"/>
        </w:rPr>
        <w:t>for</w:t>
      </w:r>
      <w:r w:rsidR="00EA7458" w:rsidRPr="00EA7458">
        <w:rPr>
          <w:rFonts w:ascii="Calibri" w:hAnsi="Calibri"/>
          <w:b/>
          <w:bCs/>
          <w:color w:val="231F20"/>
          <w:spacing w:val="-10"/>
          <w:w w:val="110"/>
        </w:rPr>
        <w:t xml:space="preserve"> </w:t>
      </w:r>
      <w:r w:rsidR="00EA7458" w:rsidRPr="00EA7458">
        <w:rPr>
          <w:rFonts w:ascii="Calibri" w:hAnsi="Calibri"/>
          <w:b/>
          <w:bCs/>
          <w:color w:val="231F20"/>
          <w:w w:val="110"/>
        </w:rPr>
        <w:t>Adult</w:t>
      </w:r>
      <w:r w:rsidR="00EA7458" w:rsidRPr="00EA7458">
        <w:rPr>
          <w:rFonts w:ascii="Calibri" w:hAnsi="Calibri"/>
          <w:b/>
          <w:bCs/>
          <w:color w:val="231F20"/>
          <w:spacing w:val="-10"/>
          <w:w w:val="110"/>
        </w:rPr>
        <w:t xml:space="preserve"> </w:t>
      </w:r>
      <w:r w:rsidR="00EA7458" w:rsidRPr="00EA7458">
        <w:rPr>
          <w:rFonts w:ascii="Calibri" w:hAnsi="Calibri"/>
          <w:b/>
          <w:bCs/>
          <w:color w:val="231F20"/>
          <w:w w:val="110"/>
        </w:rPr>
        <w:t>Education</w:t>
      </w:r>
    </w:p>
    <w:p w14:paraId="5D2B8B2E" w14:textId="1B16B01E" w:rsidR="00EA7458" w:rsidRDefault="00EA7458" w:rsidP="00D63204">
      <w:pPr>
        <w:widowControl w:val="0"/>
        <w:spacing w:before="2" w:after="0" w:line="235" w:lineRule="auto"/>
        <w:ind w:left="107"/>
        <w:rPr>
          <w:rFonts w:ascii="Calibri" w:hAnsi="Calibri"/>
          <w:w w:val="105"/>
        </w:rPr>
      </w:pPr>
      <w:r w:rsidRPr="00EA7458">
        <w:rPr>
          <w:rFonts w:ascii="Calibri" w:hAnsi="Calibri"/>
          <w:w w:val="105"/>
        </w:rPr>
        <w:t>Florida’s adult education system provides academic instruction and education services below the</w:t>
      </w:r>
      <w:r w:rsidRPr="00CD1C1C">
        <w:rPr>
          <w:rFonts w:ascii="Calibri" w:hAnsi="Calibri"/>
          <w:w w:val="105"/>
        </w:rPr>
        <w:t xml:space="preserve"> </w:t>
      </w:r>
      <w:r w:rsidRPr="00EA7458">
        <w:rPr>
          <w:rFonts w:ascii="Calibri" w:hAnsi="Calibri"/>
          <w:w w:val="105"/>
        </w:rPr>
        <w:t>postsecondary</w:t>
      </w:r>
      <w:r w:rsidRPr="00CD1C1C">
        <w:rPr>
          <w:rFonts w:ascii="Calibri" w:hAnsi="Calibri"/>
          <w:w w:val="105"/>
        </w:rPr>
        <w:t xml:space="preserve"> </w:t>
      </w:r>
      <w:r w:rsidRPr="00EA7458">
        <w:rPr>
          <w:rFonts w:ascii="Calibri" w:hAnsi="Calibri"/>
          <w:w w:val="105"/>
        </w:rPr>
        <w:t>level</w:t>
      </w:r>
      <w:r w:rsidRPr="00CD1C1C">
        <w:rPr>
          <w:rFonts w:ascii="Calibri" w:hAnsi="Calibri"/>
          <w:w w:val="105"/>
        </w:rPr>
        <w:t xml:space="preserve"> </w:t>
      </w:r>
      <w:r w:rsidRPr="00EA7458">
        <w:rPr>
          <w:rFonts w:ascii="Calibri" w:hAnsi="Calibri"/>
          <w:w w:val="105"/>
        </w:rPr>
        <w:t>that</w:t>
      </w:r>
      <w:r w:rsidRPr="00CD1C1C">
        <w:rPr>
          <w:rFonts w:ascii="Calibri" w:hAnsi="Calibri"/>
          <w:w w:val="105"/>
        </w:rPr>
        <w:t xml:space="preserve"> </w:t>
      </w:r>
      <w:r w:rsidRPr="00EA7458">
        <w:rPr>
          <w:rFonts w:ascii="Calibri" w:hAnsi="Calibri"/>
          <w:w w:val="105"/>
        </w:rPr>
        <w:t>increase</w:t>
      </w:r>
      <w:r w:rsidRPr="00CD1C1C">
        <w:rPr>
          <w:rFonts w:ascii="Calibri" w:hAnsi="Calibri"/>
          <w:w w:val="105"/>
        </w:rPr>
        <w:t xml:space="preserve"> </w:t>
      </w:r>
      <w:r w:rsidRPr="00EA7458">
        <w:rPr>
          <w:rFonts w:ascii="Calibri" w:hAnsi="Calibri"/>
          <w:w w:val="105"/>
        </w:rPr>
        <w:t>an</w:t>
      </w:r>
      <w:r w:rsidRPr="00CD1C1C">
        <w:rPr>
          <w:rFonts w:ascii="Calibri" w:hAnsi="Calibri"/>
          <w:w w:val="105"/>
        </w:rPr>
        <w:t xml:space="preserve"> </w:t>
      </w:r>
      <w:r w:rsidRPr="00EA7458">
        <w:rPr>
          <w:rFonts w:ascii="Calibri" w:hAnsi="Calibri"/>
          <w:w w:val="105"/>
        </w:rPr>
        <w:t>individual’s</w:t>
      </w:r>
      <w:r w:rsidRPr="00CD1C1C">
        <w:rPr>
          <w:rFonts w:ascii="Calibri" w:hAnsi="Calibri"/>
          <w:w w:val="105"/>
        </w:rPr>
        <w:t xml:space="preserve"> </w:t>
      </w:r>
      <w:r w:rsidRPr="00EA7458">
        <w:rPr>
          <w:rFonts w:ascii="Calibri" w:hAnsi="Calibri"/>
          <w:w w:val="105"/>
        </w:rPr>
        <w:t>ability</w:t>
      </w:r>
      <w:r w:rsidRPr="00CD1C1C">
        <w:rPr>
          <w:rFonts w:ascii="Calibri" w:hAnsi="Calibri"/>
          <w:w w:val="105"/>
        </w:rPr>
        <w:t xml:space="preserve"> </w:t>
      </w:r>
      <w:r w:rsidRPr="00EA7458">
        <w:rPr>
          <w:rFonts w:ascii="Calibri" w:hAnsi="Calibri"/>
          <w:w w:val="105"/>
        </w:rPr>
        <w:t>to</w:t>
      </w:r>
      <w:r w:rsidRPr="00CD1C1C">
        <w:rPr>
          <w:rFonts w:ascii="Calibri" w:hAnsi="Calibri"/>
          <w:w w:val="105"/>
        </w:rPr>
        <w:t xml:space="preserve"> </w:t>
      </w:r>
      <w:r w:rsidRPr="00EA7458">
        <w:rPr>
          <w:rFonts w:ascii="Calibri" w:hAnsi="Calibri"/>
          <w:w w:val="105"/>
        </w:rPr>
        <w:t>read,</w:t>
      </w:r>
      <w:r w:rsidRPr="00CD1C1C">
        <w:rPr>
          <w:rFonts w:ascii="Calibri" w:hAnsi="Calibri"/>
          <w:w w:val="105"/>
        </w:rPr>
        <w:t xml:space="preserve"> </w:t>
      </w:r>
      <w:r w:rsidRPr="00EA7458">
        <w:rPr>
          <w:rFonts w:ascii="Calibri" w:hAnsi="Calibri"/>
          <w:w w:val="105"/>
        </w:rPr>
        <w:t>write</w:t>
      </w:r>
      <w:r w:rsidR="00D5537E">
        <w:rPr>
          <w:rFonts w:ascii="Calibri" w:hAnsi="Calibri"/>
          <w:w w:val="105"/>
        </w:rPr>
        <w:t xml:space="preserve"> and</w:t>
      </w:r>
      <w:r w:rsidRPr="00CD1C1C">
        <w:rPr>
          <w:rFonts w:ascii="Calibri" w:hAnsi="Calibri"/>
          <w:w w:val="105"/>
        </w:rPr>
        <w:t xml:space="preserve"> </w:t>
      </w:r>
      <w:r w:rsidRPr="00EA7458">
        <w:rPr>
          <w:rFonts w:ascii="Calibri" w:hAnsi="Calibri"/>
          <w:w w:val="105"/>
        </w:rPr>
        <w:t>speak</w:t>
      </w:r>
      <w:r w:rsidRPr="00CD1C1C">
        <w:rPr>
          <w:rFonts w:ascii="Calibri" w:hAnsi="Calibri"/>
          <w:w w:val="105"/>
        </w:rPr>
        <w:t xml:space="preserve"> </w:t>
      </w:r>
      <w:r w:rsidRPr="00EA7458">
        <w:rPr>
          <w:rFonts w:ascii="Calibri" w:hAnsi="Calibri"/>
          <w:w w:val="105"/>
        </w:rPr>
        <w:t>in</w:t>
      </w:r>
      <w:r w:rsidRPr="00CD1C1C">
        <w:rPr>
          <w:rFonts w:ascii="Calibri" w:hAnsi="Calibri"/>
          <w:w w:val="105"/>
        </w:rPr>
        <w:t xml:space="preserve"> </w:t>
      </w:r>
      <w:r w:rsidRPr="00EA7458">
        <w:rPr>
          <w:rFonts w:ascii="Calibri" w:hAnsi="Calibri"/>
          <w:w w:val="105"/>
        </w:rPr>
        <w:t>English</w:t>
      </w:r>
      <w:r w:rsidRPr="00CD1C1C">
        <w:rPr>
          <w:rFonts w:ascii="Calibri" w:hAnsi="Calibri"/>
          <w:w w:val="105"/>
        </w:rPr>
        <w:t xml:space="preserve"> </w:t>
      </w:r>
      <w:r w:rsidRPr="00EA7458">
        <w:rPr>
          <w:rFonts w:ascii="Calibri" w:hAnsi="Calibri"/>
          <w:w w:val="105"/>
        </w:rPr>
        <w:t>and</w:t>
      </w:r>
      <w:r w:rsidRPr="00CD1C1C">
        <w:rPr>
          <w:rFonts w:ascii="Calibri" w:hAnsi="Calibri"/>
          <w:w w:val="105"/>
        </w:rPr>
        <w:t xml:space="preserve"> </w:t>
      </w:r>
      <w:r w:rsidRPr="00EA7458">
        <w:rPr>
          <w:rFonts w:ascii="Calibri" w:hAnsi="Calibri"/>
          <w:w w:val="105"/>
        </w:rPr>
        <w:t>perform</w:t>
      </w:r>
      <w:r w:rsidRPr="00CD1C1C">
        <w:rPr>
          <w:rFonts w:ascii="Calibri" w:hAnsi="Calibri"/>
          <w:w w:val="105"/>
        </w:rPr>
        <w:t xml:space="preserve"> </w:t>
      </w:r>
      <w:r w:rsidRPr="00EA7458">
        <w:rPr>
          <w:rFonts w:ascii="Calibri" w:hAnsi="Calibri"/>
          <w:w w:val="105"/>
        </w:rPr>
        <w:t>mathematics</w:t>
      </w:r>
      <w:r w:rsidRPr="00CD1C1C">
        <w:rPr>
          <w:rFonts w:ascii="Calibri" w:hAnsi="Calibri"/>
          <w:w w:val="105"/>
        </w:rPr>
        <w:t xml:space="preserve"> </w:t>
      </w:r>
      <w:r w:rsidRPr="00EA7458">
        <w:rPr>
          <w:rFonts w:ascii="Calibri" w:hAnsi="Calibri"/>
          <w:w w:val="105"/>
        </w:rPr>
        <w:t>or</w:t>
      </w:r>
      <w:r w:rsidRPr="00CD1C1C">
        <w:rPr>
          <w:rFonts w:ascii="Calibri" w:hAnsi="Calibri"/>
          <w:w w:val="105"/>
        </w:rPr>
        <w:t xml:space="preserve"> </w:t>
      </w:r>
      <w:r w:rsidRPr="00EA7458">
        <w:rPr>
          <w:rFonts w:ascii="Calibri" w:hAnsi="Calibri"/>
          <w:w w:val="105"/>
        </w:rPr>
        <w:t>other</w:t>
      </w:r>
      <w:r w:rsidRPr="00CD1C1C">
        <w:rPr>
          <w:rFonts w:ascii="Calibri" w:hAnsi="Calibri"/>
          <w:w w:val="105"/>
        </w:rPr>
        <w:t xml:space="preserve"> </w:t>
      </w:r>
      <w:r w:rsidRPr="00EA7458">
        <w:rPr>
          <w:rFonts w:ascii="Calibri" w:hAnsi="Calibri"/>
          <w:w w:val="105"/>
        </w:rPr>
        <w:t>activities</w:t>
      </w:r>
      <w:r w:rsidRPr="00CD1C1C">
        <w:rPr>
          <w:rFonts w:ascii="Calibri" w:hAnsi="Calibri"/>
          <w:w w:val="105"/>
        </w:rPr>
        <w:t xml:space="preserve"> </w:t>
      </w:r>
      <w:r w:rsidRPr="00EA7458">
        <w:rPr>
          <w:rFonts w:ascii="Calibri" w:hAnsi="Calibri"/>
          <w:w w:val="105"/>
        </w:rPr>
        <w:t>necessary</w:t>
      </w:r>
      <w:r w:rsidRPr="00CD1C1C">
        <w:rPr>
          <w:rFonts w:ascii="Calibri" w:hAnsi="Calibri"/>
          <w:w w:val="105"/>
        </w:rPr>
        <w:t xml:space="preserve"> </w:t>
      </w:r>
      <w:r w:rsidRPr="00EA7458">
        <w:rPr>
          <w:rFonts w:ascii="Calibri" w:hAnsi="Calibri"/>
          <w:w w:val="105"/>
        </w:rPr>
        <w:t>for</w:t>
      </w:r>
      <w:r w:rsidRPr="00CD1C1C">
        <w:rPr>
          <w:rFonts w:ascii="Calibri" w:hAnsi="Calibri"/>
          <w:w w:val="105"/>
        </w:rPr>
        <w:t xml:space="preserve"> </w:t>
      </w:r>
      <w:r w:rsidRPr="00EA7458">
        <w:rPr>
          <w:rFonts w:ascii="Calibri" w:hAnsi="Calibri"/>
          <w:w w:val="105"/>
        </w:rPr>
        <w:t>the</w:t>
      </w:r>
      <w:r w:rsidRPr="00CD1C1C">
        <w:rPr>
          <w:rFonts w:ascii="Calibri" w:hAnsi="Calibri"/>
          <w:w w:val="105"/>
        </w:rPr>
        <w:t xml:space="preserve"> </w:t>
      </w:r>
      <w:r w:rsidRPr="00EA7458">
        <w:rPr>
          <w:rFonts w:ascii="Calibri" w:hAnsi="Calibri"/>
          <w:w w:val="105"/>
        </w:rPr>
        <w:t>attainment</w:t>
      </w:r>
      <w:r w:rsidRPr="00CD1C1C">
        <w:rPr>
          <w:rFonts w:ascii="Calibri" w:hAnsi="Calibri"/>
          <w:w w:val="105"/>
        </w:rPr>
        <w:t xml:space="preserve"> </w:t>
      </w:r>
      <w:r w:rsidRPr="00EA7458">
        <w:rPr>
          <w:rFonts w:ascii="Calibri" w:hAnsi="Calibri"/>
          <w:w w:val="105"/>
        </w:rPr>
        <w:t>of</w:t>
      </w:r>
      <w:r w:rsidRPr="00CD1C1C">
        <w:rPr>
          <w:rFonts w:ascii="Calibri" w:hAnsi="Calibri"/>
          <w:w w:val="105"/>
        </w:rPr>
        <w:t xml:space="preserve"> </w:t>
      </w:r>
      <w:r w:rsidRPr="00EA7458">
        <w:rPr>
          <w:rFonts w:ascii="Calibri" w:hAnsi="Calibri"/>
          <w:w w:val="105"/>
        </w:rPr>
        <w:t>a</w:t>
      </w:r>
      <w:r w:rsidRPr="00CD1C1C">
        <w:rPr>
          <w:rFonts w:ascii="Calibri" w:hAnsi="Calibri"/>
          <w:w w:val="105"/>
        </w:rPr>
        <w:t xml:space="preserve"> </w:t>
      </w:r>
      <w:r w:rsidRPr="00EA7458">
        <w:rPr>
          <w:rFonts w:ascii="Calibri" w:hAnsi="Calibri"/>
          <w:w w:val="105"/>
        </w:rPr>
        <w:t>secondary</w:t>
      </w:r>
      <w:r w:rsidRPr="00CD1C1C">
        <w:rPr>
          <w:rFonts w:ascii="Calibri" w:hAnsi="Calibri"/>
          <w:w w:val="105"/>
        </w:rPr>
        <w:t xml:space="preserve"> </w:t>
      </w:r>
      <w:r w:rsidRPr="00EA7458">
        <w:rPr>
          <w:rFonts w:ascii="Calibri" w:hAnsi="Calibri"/>
          <w:w w:val="105"/>
        </w:rPr>
        <w:t>school</w:t>
      </w:r>
      <w:r w:rsidRPr="00CD1C1C">
        <w:rPr>
          <w:rFonts w:ascii="Calibri" w:hAnsi="Calibri"/>
          <w:w w:val="105"/>
        </w:rPr>
        <w:t xml:space="preserve"> </w:t>
      </w:r>
      <w:r w:rsidRPr="00EA7458">
        <w:rPr>
          <w:rFonts w:ascii="Calibri" w:hAnsi="Calibri"/>
          <w:w w:val="105"/>
        </w:rPr>
        <w:t>diploma</w:t>
      </w:r>
      <w:r w:rsidRPr="00CD1C1C">
        <w:rPr>
          <w:rFonts w:ascii="Calibri" w:hAnsi="Calibri"/>
          <w:w w:val="105"/>
        </w:rPr>
        <w:t xml:space="preserve"> </w:t>
      </w:r>
      <w:r w:rsidRPr="00EA7458">
        <w:rPr>
          <w:rFonts w:ascii="Calibri" w:hAnsi="Calibri"/>
          <w:w w:val="105"/>
        </w:rPr>
        <w:t>or</w:t>
      </w:r>
      <w:r w:rsidRPr="00CD1C1C">
        <w:rPr>
          <w:rFonts w:ascii="Calibri" w:hAnsi="Calibri"/>
          <w:w w:val="105"/>
        </w:rPr>
        <w:t xml:space="preserve"> </w:t>
      </w:r>
      <w:r w:rsidRPr="00EA7458">
        <w:rPr>
          <w:rFonts w:ascii="Calibri" w:hAnsi="Calibri"/>
          <w:w w:val="105"/>
        </w:rPr>
        <w:t>its</w:t>
      </w:r>
      <w:r w:rsidRPr="00CD1C1C">
        <w:rPr>
          <w:rFonts w:ascii="Calibri" w:hAnsi="Calibri"/>
          <w:w w:val="105"/>
        </w:rPr>
        <w:t xml:space="preserve"> </w:t>
      </w:r>
      <w:r w:rsidRPr="00EA7458">
        <w:rPr>
          <w:rFonts w:ascii="Calibri" w:hAnsi="Calibri"/>
          <w:w w:val="105"/>
        </w:rPr>
        <w:t>equivalent.</w:t>
      </w:r>
      <w:r w:rsidRPr="00EA7458">
        <w:rPr>
          <w:rFonts w:ascii="Calibri" w:hAnsi="Calibri"/>
          <w:spacing w:val="29"/>
          <w:w w:val="105"/>
        </w:rPr>
        <w:t xml:space="preserve"> </w:t>
      </w:r>
      <w:r w:rsidRPr="00EA7458">
        <w:rPr>
          <w:rFonts w:ascii="Calibri" w:hAnsi="Calibri"/>
          <w:w w:val="105"/>
        </w:rPr>
        <w:t>Adult</w:t>
      </w:r>
      <w:r w:rsidRPr="00EA7458">
        <w:rPr>
          <w:rFonts w:ascii="Calibri" w:hAnsi="Calibri"/>
          <w:spacing w:val="14"/>
          <w:w w:val="105"/>
        </w:rPr>
        <w:t xml:space="preserve"> </w:t>
      </w:r>
      <w:r w:rsidRPr="00EA7458">
        <w:rPr>
          <w:rFonts w:ascii="Calibri" w:hAnsi="Calibri"/>
          <w:w w:val="105"/>
        </w:rPr>
        <w:t>education</w:t>
      </w:r>
      <w:r w:rsidRPr="00EA7458">
        <w:rPr>
          <w:rFonts w:ascii="Calibri" w:hAnsi="Calibri"/>
          <w:spacing w:val="14"/>
          <w:w w:val="105"/>
        </w:rPr>
        <w:t xml:space="preserve"> </w:t>
      </w:r>
      <w:r w:rsidRPr="00EA7458">
        <w:rPr>
          <w:rFonts w:ascii="Calibri" w:hAnsi="Calibri"/>
          <w:w w:val="105"/>
        </w:rPr>
        <w:t>programs</w:t>
      </w:r>
      <w:r w:rsidRPr="00EA7458">
        <w:rPr>
          <w:rFonts w:ascii="Calibri" w:hAnsi="Calibri"/>
          <w:spacing w:val="14"/>
          <w:w w:val="105"/>
        </w:rPr>
        <w:t xml:space="preserve"> </w:t>
      </w:r>
      <w:r w:rsidRPr="00EA7458">
        <w:rPr>
          <w:rFonts w:ascii="Calibri" w:hAnsi="Calibri"/>
          <w:w w:val="105"/>
        </w:rPr>
        <w:t>served</w:t>
      </w:r>
      <w:r w:rsidRPr="00EA7458">
        <w:rPr>
          <w:rFonts w:ascii="Calibri" w:hAnsi="Calibri"/>
          <w:spacing w:val="14"/>
          <w:w w:val="105"/>
        </w:rPr>
        <w:t xml:space="preserve"> </w:t>
      </w:r>
      <w:r w:rsidRPr="00EA7458">
        <w:rPr>
          <w:rFonts w:ascii="Calibri" w:hAnsi="Calibri"/>
          <w:w w:val="105"/>
        </w:rPr>
        <w:t>205,355</w:t>
      </w:r>
      <w:r w:rsidRPr="00EA7458">
        <w:rPr>
          <w:rFonts w:ascii="Calibri" w:hAnsi="Calibri"/>
          <w:spacing w:val="14"/>
          <w:w w:val="105"/>
        </w:rPr>
        <w:t xml:space="preserve"> </w:t>
      </w:r>
      <w:r w:rsidRPr="00EA7458">
        <w:rPr>
          <w:rFonts w:ascii="Calibri" w:hAnsi="Calibri"/>
          <w:w w:val="105"/>
        </w:rPr>
        <w:t>adults</w:t>
      </w:r>
      <w:r w:rsidRPr="00EA7458">
        <w:rPr>
          <w:rFonts w:ascii="Calibri" w:hAnsi="Calibri"/>
          <w:spacing w:val="14"/>
          <w:w w:val="105"/>
        </w:rPr>
        <w:t xml:space="preserve"> </w:t>
      </w:r>
      <w:r w:rsidRPr="00EA7458">
        <w:rPr>
          <w:rFonts w:ascii="Calibri" w:hAnsi="Calibri"/>
          <w:w w:val="105"/>
        </w:rPr>
        <w:t>in</w:t>
      </w:r>
      <w:r w:rsidRPr="00EA7458">
        <w:rPr>
          <w:rFonts w:ascii="Calibri" w:hAnsi="Calibri"/>
          <w:spacing w:val="14"/>
          <w:w w:val="105"/>
        </w:rPr>
        <w:t xml:space="preserve"> </w:t>
      </w:r>
      <w:r w:rsidRPr="00EA7458">
        <w:rPr>
          <w:rFonts w:ascii="Calibri" w:hAnsi="Calibri"/>
          <w:w w:val="105"/>
        </w:rPr>
        <w:t>2014-15</w:t>
      </w:r>
      <w:r w:rsidR="00C75E51">
        <w:rPr>
          <w:rFonts w:cs="Calibri"/>
          <w:w w:val="105"/>
        </w:rPr>
        <w:t>; 173,901 in 2015-16; and 169, 308 in 2016-17</w:t>
      </w:r>
      <w:r w:rsidR="00C75E51" w:rsidRPr="0034195F">
        <w:rPr>
          <w:rFonts w:cs="Calibri"/>
          <w:w w:val="105"/>
        </w:rPr>
        <w:t>.</w:t>
      </w:r>
      <w:r w:rsidR="00C75E51" w:rsidRPr="0034195F">
        <w:rPr>
          <w:rFonts w:cs="Calibri"/>
          <w:spacing w:val="14"/>
          <w:w w:val="105"/>
        </w:rPr>
        <w:t xml:space="preserve"> </w:t>
      </w:r>
      <w:r w:rsidRPr="00EA7458">
        <w:rPr>
          <w:rFonts w:ascii="Calibri" w:hAnsi="Calibri"/>
          <w:w w:val="105"/>
        </w:rPr>
        <w:t>The</w:t>
      </w:r>
      <w:r w:rsidRPr="00EA7458">
        <w:rPr>
          <w:rFonts w:ascii="Calibri" w:hAnsi="Calibri"/>
          <w:spacing w:val="14"/>
          <w:w w:val="105"/>
        </w:rPr>
        <w:t xml:space="preserve"> </w:t>
      </w:r>
      <w:r w:rsidR="00280D52">
        <w:rPr>
          <w:rFonts w:ascii="Calibri" w:hAnsi="Calibri"/>
          <w:w w:val="105"/>
        </w:rPr>
        <w:t>s</w:t>
      </w:r>
      <w:r w:rsidRPr="00EA7458">
        <w:rPr>
          <w:rFonts w:ascii="Calibri" w:hAnsi="Calibri"/>
          <w:w w:val="105"/>
        </w:rPr>
        <w:t>tate</w:t>
      </w:r>
      <w:r w:rsidRPr="00EA7458">
        <w:rPr>
          <w:rFonts w:ascii="Calibri" w:hAnsi="Calibri"/>
          <w:spacing w:val="14"/>
          <w:w w:val="105"/>
        </w:rPr>
        <w:t xml:space="preserve"> </w:t>
      </w:r>
      <w:r w:rsidR="00280D52">
        <w:rPr>
          <w:rFonts w:ascii="Calibri" w:hAnsi="Calibri"/>
          <w:spacing w:val="14"/>
          <w:w w:val="105"/>
        </w:rPr>
        <w:t>of Florida</w:t>
      </w:r>
      <w:r w:rsidRPr="00EA7458">
        <w:rPr>
          <w:rFonts w:ascii="Calibri" w:hAnsi="Calibri"/>
          <w:spacing w:val="14"/>
          <w:w w:val="105"/>
        </w:rPr>
        <w:t xml:space="preserve"> </w:t>
      </w:r>
      <w:r w:rsidRPr="00EA7458">
        <w:rPr>
          <w:rFonts w:ascii="Calibri" w:hAnsi="Calibri"/>
          <w:w w:val="105"/>
        </w:rPr>
        <w:t>has</w:t>
      </w:r>
      <w:r w:rsidRPr="00EA7458">
        <w:rPr>
          <w:rFonts w:ascii="Calibri" w:hAnsi="Calibri"/>
          <w:spacing w:val="14"/>
          <w:w w:val="105"/>
        </w:rPr>
        <w:t xml:space="preserve"> </w:t>
      </w:r>
      <w:r w:rsidRPr="00EA7458">
        <w:rPr>
          <w:rFonts w:ascii="Calibri" w:hAnsi="Calibri"/>
          <w:w w:val="105"/>
        </w:rPr>
        <w:t>aligned</w:t>
      </w:r>
      <w:r w:rsidRPr="00EA7458">
        <w:rPr>
          <w:rFonts w:ascii="Calibri" w:hAnsi="Calibri"/>
          <w:spacing w:val="14"/>
          <w:w w:val="105"/>
        </w:rPr>
        <w:t xml:space="preserve"> </w:t>
      </w:r>
      <w:r w:rsidRPr="00EA7458">
        <w:rPr>
          <w:rFonts w:ascii="Calibri" w:hAnsi="Calibri"/>
          <w:w w:val="105"/>
        </w:rPr>
        <w:t>content</w:t>
      </w:r>
      <w:r w:rsidRPr="00EA7458">
        <w:rPr>
          <w:rFonts w:ascii="Calibri" w:hAnsi="Calibri"/>
          <w:spacing w:val="-30"/>
          <w:w w:val="105"/>
        </w:rPr>
        <w:t xml:space="preserve"> </w:t>
      </w:r>
      <w:r w:rsidRPr="00EA7458">
        <w:rPr>
          <w:rFonts w:ascii="Calibri" w:hAnsi="Calibri"/>
          <w:w w:val="105"/>
        </w:rPr>
        <w:t>standards for adult education with state-adopted academic standards.</w:t>
      </w:r>
    </w:p>
    <w:p w14:paraId="021370B4" w14:textId="77777777" w:rsidR="001C024A" w:rsidRPr="00EA7458" w:rsidRDefault="001C024A" w:rsidP="00D63204">
      <w:pPr>
        <w:widowControl w:val="0"/>
        <w:spacing w:before="2" w:after="0" w:line="235" w:lineRule="auto"/>
        <w:ind w:left="107"/>
        <w:rPr>
          <w:rFonts w:ascii="Calibri" w:hAnsi="Calibri"/>
        </w:rPr>
      </w:pPr>
    </w:p>
    <w:p w14:paraId="6A874198" w14:textId="74AF7547" w:rsidR="00EA7458" w:rsidRPr="001C024A" w:rsidRDefault="00EA7458" w:rsidP="00D63204">
      <w:pPr>
        <w:widowControl w:val="0"/>
        <w:spacing w:before="2" w:after="0" w:line="235" w:lineRule="auto"/>
        <w:ind w:left="107"/>
        <w:rPr>
          <w:rFonts w:ascii="Calibri" w:hAnsi="Calibri"/>
          <w:w w:val="105"/>
        </w:rPr>
      </w:pPr>
      <w:r w:rsidRPr="001C024A">
        <w:rPr>
          <w:rFonts w:ascii="Calibri" w:hAnsi="Calibri"/>
          <w:w w:val="105"/>
        </w:rPr>
        <w:t xml:space="preserve">Training </w:t>
      </w:r>
      <w:r w:rsidRPr="00EA7458">
        <w:rPr>
          <w:rFonts w:ascii="Calibri" w:hAnsi="Calibri"/>
          <w:w w:val="105"/>
        </w:rPr>
        <w:t>activities are provided statewide through face-to-face workshops, webinars, podcasts</w:t>
      </w:r>
      <w:r w:rsidR="00D5537E">
        <w:rPr>
          <w:rFonts w:ascii="Calibri" w:hAnsi="Calibri"/>
          <w:w w:val="105"/>
        </w:rPr>
        <w:t xml:space="preserve"> and</w:t>
      </w:r>
      <w:r w:rsidRPr="00EA7458">
        <w:rPr>
          <w:rFonts w:ascii="Calibri" w:hAnsi="Calibri"/>
          <w:w w:val="105"/>
        </w:rPr>
        <w:t xml:space="preserve"> conferences.</w:t>
      </w:r>
      <w:r w:rsidRPr="001C024A">
        <w:rPr>
          <w:rFonts w:ascii="Calibri" w:hAnsi="Calibri"/>
          <w:w w:val="105"/>
        </w:rPr>
        <w:t xml:space="preserve"> </w:t>
      </w:r>
      <w:r w:rsidRPr="00EA7458">
        <w:rPr>
          <w:rFonts w:ascii="Calibri" w:hAnsi="Calibri"/>
          <w:w w:val="105"/>
        </w:rPr>
        <w:t>Needs</w:t>
      </w:r>
      <w:r w:rsidRPr="001C024A">
        <w:rPr>
          <w:rFonts w:ascii="Calibri" w:hAnsi="Calibri"/>
          <w:w w:val="105"/>
        </w:rPr>
        <w:t xml:space="preserve"> </w:t>
      </w:r>
      <w:r w:rsidRPr="00EA7458">
        <w:rPr>
          <w:rFonts w:ascii="Calibri" w:hAnsi="Calibri"/>
          <w:w w:val="105"/>
        </w:rPr>
        <w:t>assessments</w:t>
      </w:r>
      <w:r w:rsidRPr="001C024A">
        <w:rPr>
          <w:rFonts w:ascii="Calibri" w:hAnsi="Calibri"/>
          <w:w w:val="105"/>
        </w:rPr>
        <w:t xml:space="preserve"> </w:t>
      </w:r>
      <w:r w:rsidRPr="00EA7458">
        <w:rPr>
          <w:rFonts w:ascii="Calibri" w:hAnsi="Calibri"/>
          <w:w w:val="105"/>
        </w:rPr>
        <w:t>are</w:t>
      </w:r>
      <w:r w:rsidRPr="001C024A">
        <w:rPr>
          <w:rFonts w:ascii="Calibri" w:hAnsi="Calibri"/>
          <w:w w:val="105"/>
        </w:rPr>
        <w:t xml:space="preserve"> </w:t>
      </w:r>
      <w:r w:rsidRPr="00EA7458">
        <w:rPr>
          <w:rFonts w:ascii="Calibri" w:hAnsi="Calibri"/>
          <w:w w:val="105"/>
        </w:rPr>
        <w:t>conducted</w:t>
      </w:r>
      <w:r w:rsidRPr="001C024A">
        <w:rPr>
          <w:rFonts w:ascii="Calibri" w:hAnsi="Calibri"/>
          <w:w w:val="105"/>
        </w:rPr>
        <w:t xml:space="preserve"> </w:t>
      </w:r>
      <w:r w:rsidRPr="00EA7458">
        <w:rPr>
          <w:rFonts w:ascii="Calibri" w:hAnsi="Calibri"/>
          <w:w w:val="105"/>
        </w:rPr>
        <w:t>to</w:t>
      </w:r>
      <w:r w:rsidRPr="001C024A">
        <w:rPr>
          <w:rFonts w:ascii="Calibri" w:hAnsi="Calibri"/>
          <w:w w:val="105"/>
        </w:rPr>
        <w:t xml:space="preserve"> </w:t>
      </w:r>
      <w:r w:rsidRPr="00EA7458">
        <w:rPr>
          <w:rFonts w:ascii="Calibri" w:hAnsi="Calibri"/>
          <w:w w:val="105"/>
        </w:rPr>
        <w:t>assist</w:t>
      </w:r>
      <w:r w:rsidRPr="001C024A">
        <w:rPr>
          <w:rFonts w:ascii="Calibri" w:hAnsi="Calibri"/>
          <w:w w:val="105"/>
        </w:rPr>
        <w:t xml:space="preserve"> </w:t>
      </w:r>
      <w:r w:rsidRPr="00EA7458">
        <w:rPr>
          <w:rFonts w:ascii="Calibri" w:hAnsi="Calibri"/>
          <w:w w:val="105"/>
        </w:rPr>
        <w:t>in</w:t>
      </w:r>
      <w:r w:rsidRPr="001C024A">
        <w:rPr>
          <w:rFonts w:ascii="Calibri" w:hAnsi="Calibri"/>
          <w:w w:val="105"/>
        </w:rPr>
        <w:t xml:space="preserve"> </w:t>
      </w:r>
      <w:r w:rsidRPr="00EA7458">
        <w:rPr>
          <w:rFonts w:ascii="Calibri" w:hAnsi="Calibri"/>
          <w:w w:val="105"/>
        </w:rPr>
        <w:t>determining</w:t>
      </w:r>
      <w:r w:rsidRPr="001C024A">
        <w:rPr>
          <w:rFonts w:ascii="Calibri" w:hAnsi="Calibri"/>
          <w:w w:val="105"/>
        </w:rPr>
        <w:t xml:space="preserve"> </w:t>
      </w:r>
      <w:r w:rsidRPr="00EA7458">
        <w:rPr>
          <w:rFonts w:ascii="Calibri" w:hAnsi="Calibri"/>
          <w:w w:val="105"/>
        </w:rPr>
        <w:t>state</w:t>
      </w:r>
      <w:r w:rsidRPr="001C024A">
        <w:rPr>
          <w:rFonts w:ascii="Calibri" w:hAnsi="Calibri"/>
          <w:w w:val="105"/>
        </w:rPr>
        <w:t xml:space="preserve"> </w:t>
      </w:r>
      <w:r w:rsidRPr="00EA7458">
        <w:rPr>
          <w:rFonts w:ascii="Calibri" w:hAnsi="Calibri"/>
          <w:w w:val="105"/>
        </w:rPr>
        <w:t>professional</w:t>
      </w:r>
      <w:r w:rsidRPr="001C024A">
        <w:rPr>
          <w:rFonts w:ascii="Calibri" w:hAnsi="Calibri"/>
          <w:w w:val="105"/>
        </w:rPr>
        <w:t xml:space="preserve"> </w:t>
      </w:r>
      <w:r w:rsidRPr="00EA7458">
        <w:rPr>
          <w:rFonts w:ascii="Calibri" w:hAnsi="Calibri"/>
          <w:w w:val="105"/>
        </w:rPr>
        <w:t>development</w:t>
      </w:r>
      <w:r w:rsidRPr="001C024A">
        <w:rPr>
          <w:rFonts w:ascii="Calibri" w:hAnsi="Calibri"/>
          <w:w w:val="105"/>
        </w:rPr>
        <w:t xml:space="preserve"> </w:t>
      </w:r>
      <w:r w:rsidRPr="00EA7458">
        <w:rPr>
          <w:rFonts w:ascii="Calibri" w:hAnsi="Calibri"/>
          <w:w w:val="105"/>
        </w:rPr>
        <w:t>priorities.</w:t>
      </w:r>
      <w:r w:rsidRPr="001C024A">
        <w:rPr>
          <w:rFonts w:ascii="Calibri" w:hAnsi="Calibri"/>
          <w:w w:val="105"/>
        </w:rPr>
        <w:t xml:space="preserve"> </w:t>
      </w:r>
      <w:r w:rsidRPr="00EA7458">
        <w:rPr>
          <w:rFonts w:ascii="Calibri" w:hAnsi="Calibri"/>
          <w:w w:val="105"/>
        </w:rPr>
        <w:t>Current</w:t>
      </w:r>
      <w:r w:rsidRPr="001C024A">
        <w:rPr>
          <w:rFonts w:ascii="Calibri" w:hAnsi="Calibri"/>
          <w:w w:val="105"/>
        </w:rPr>
        <w:t xml:space="preserve"> </w:t>
      </w:r>
      <w:r w:rsidRPr="00EA7458">
        <w:rPr>
          <w:rFonts w:ascii="Calibri" w:hAnsi="Calibri"/>
          <w:w w:val="105"/>
        </w:rPr>
        <w:t>initiatives</w:t>
      </w:r>
      <w:r w:rsidRPr="001C024A">
        <w:rPr>
          <w:rFonts w:ascii="Calibri" w:hAnsi="Calibri"/>
          <w:w w:val="105"/>
        </w:rPr>
        <w:t xml:space="preserve"> </w:t>
      </w:r>
      <w:r w:rsidRPr="00EA7458">
        <w:rPr>
          <w:rFonts w:ascii="Calibri" w:hAnsi="Calibri"/>
          <w:w w:val="105"/>
        </w:rPr>
        <w:t>determine</w:t>
      </w:r>
      <w:r w:rsidRPr="001C024A">
        <w:rPr>
          <w:rFonts w:ascii="Calibri" w:hAnsi="Calibri"/>
          <w:w w:val="105"/>
        </w:rPr>
        <w:t xml:space="preserve"> </w:t>
      </w:r>
      <w:r w:rsidRPr="00EA7458">
        <w:rPr>
          <w:rFonts w:ascii="Calibri" w:hAnsi="Calibri"/>
          <w:w w:val="105"/>
        </w:rPr>
        <w:t>training</w:t>
      </w:r>
      <w:r w:rsidRPr="001C024A">
        <w:rPr>
          <w:rFonts w:ascii="Calibri" w:hAnsi="Calibri"/>
          <w:w w:val="105"/>
        </w:rPr>
        <w:t xml:space="preserve"> </w:t>
      </w:r>
      <w:r w:rsidRPr="00EA7458">
        <w:rPr>
          <w:rFonts w:ascii="Calibri" w:hAnsi="Calibri"/>
          <w:w w:val="105"/>
        </w:rPr>
        <w:t>topics</w:t>
      </w:r>
      <w:r w:rsidRPr="001C024A">
        <w:rPr>
          <w:rFonts w:ascii="Calibri" w:hAnsi="Calibri"/>
          <w:w w:val="105"/>
        </w:rPr>
        <w:t xml:space="preserve"> </w:t>
      </w:r>
      <w:r w:rsidRPr="00EA7458">
        <w:rPr>
          <w:rFonts w:ascii="Calibri" w:hAnsi="Calibri"/>
          <w:w w:val="105"/>
        </w:rPr>
        <w:t>such</w:t>
      </w:r>
      <w:r w:rsidRPr="001C024A">
        <w:rPr>
          <w:rFonts w:ascii="Calibri" w:hAnsi="Calibri"/>
          <w:w w:val="105"/>
        </w:rPr>
        <w:t xml:space="preserve"> </w:t>
      </w:r>
      <w:r w:rsidRPr="00EA7458">
        <w:rPr>
          <w:rFonts w:ascii="Calibri" w:hAnsi="Calibri"/>
          <w:w w:val="105"/>
        </w:rPr>
        <w:t>as</w:t>
      </w:r>
      <w:r w:rsidRPr="001C024A">
        <w:rPr>
          <w:rFonts w:ascii="Calibri" w:hAnsi="Calibri"/>
          <w:w w:val="105"/>
        </w:rPr>
        <w:t xml:space="preserve"> </w:t>
      </w:r>
      <w:r w:rsidRPr="00EA7458">
        <w:rPr>
          <w:rFonts w:ascii="Calibri" w:hAnsi="Calibri"/>
          <w:w w:val="105"/>
        </w:rPr>
        <w:t>college</w:t>
      </w:r>
      <w:r w:rsidRPr="001C024A">
        <w:rPr>
          <w:rFonts w:ascii="Calibri" w:hAnsi="Calibri"/>
          <w:w w:val="105"/>
        </w:rPr>
        <w:t xml:space="preserve"> </w:t>
      </w:r>
      <w:r w:rsidRPr="00EA7458">
        <w:rPr>
          <w:rFonts w:ascii="Calibri" w:hAnsi="Calibri"/>
          <w:w w:val="105"/>
        </w:rPr>
        <w:t>and</w:t>
      </w:r>
      <w:r w:rsidRPr="001C024A">
        <w:rPr>
          <w:rFonts w:ascii="Calibri" w:hAnsi="Calibri"/>
          <w:w w:val="105"/>
        </w:rPr>
        <w:t xml:space="preserve"> </w:t>
      </w:r>
      <w:r w:rsidRPr="00EA7458">
        <w:rPr>
          <w:rFonts w:ascii="Calibri" w:hAnsi="Calibri"/>
          <w:w w:val="105"/>
        </w:rPr>
        <w:t>career</w:t>
      </w:r>
      <w:r w:rsidRPr="001C024A">
        <w:rPr>
          <w:rFonts w:ascii="Calibri" w:hAnsi="Calibri"/>
          <w:w w:val="105"/>
        </w:rPr>
        <w:t xml:space="preserve"> </w:t>
      </w:r>
      <w:r w:rsidRPr="00EA7458">
        <w:rPr>
          <w:rFonts w:ascii="Calibri" w:hAnsi="Calibri"/>
          <w:w w:val="105"/>
        </w:rPr>
        <w:t>readiness</w:t>
      </w:r>
      <w:r w:rsidRPr="001C024A">
        <w:rPr>
          <w:rFonts w:ascii="Calibri" w:hAnsi="Calibri"/>
          <w:w w:val="105"/>
        </w:rPr>
        <w:t xml:space="preserve"> </w:t>
      </w:r>
      <w:r w:rsidRPr="00EA7458">
        <w:rPr>
          <w:rFonts w:ascii="Calibri" w:hAnsi="Calibri"/>
          <w:w w:val="105"/>
        </w:rPr>
        <w:t>standards,</w:t>
      </w:r>
      <w:r w:rsidRPr="001C024A">
        <w:rPr>
          <w:rFonts w:ascii="Calibri" w:hAnsi="Calibri"/>
          <w:w w:val="105"/>
        </w:rPr>
        <w:t xml:space="preserve"> </w:t>
      </w:r>
      <w:r w:rsidRPr="00EA7458">
        <w:rPr>
          <w:rFonts w:ascii="Calibri" w:hAnsi="Calibri"/>
          <w:w w:val="105"/>
        </w:rPr>
        <w:t>integrated</w:t>
      </w:r>
      <w:r w:rsidRPr="001C024A">
        <w:rPr>
          <w:rFonts w:ascii="Calibri" w:hAnsi="Calibri"/>
          <w:w w:val="105"/>
        </w:rPr>
        <w:t xml:space="preserve"> </w:t>
      </w:r>
      <w:r w:rsidRPr="00EA7458">
        <w:rPr>
          <w:rFonts w:ascii="Calibri" w:hAnsi="Calibri"/>
          <w:w w:val="105"/>
        </w:rPr>
        <w:t>education</w:t>
      </w:r>
      <w:r w:rsidRPr="001C024A">
        <w:rPr>
          <w:rFonts w:ascii="Calibri" w:hAnsi="Calibri"/>
          <w:w w:val="105"/>
        </w:rPr>
        <w:t xml:space="preserve"> </w:t>
      </w:r>
      <w:r w:rsidRPr="00EA7458">
        <w:rPr>
          <w:rFonts w:ascii="Calibri" w:hAnsi="Calibri"/>
          <w:w w:val="105"/>
        </w:rPr>
        <w:t>and</w:t>
      </w:r>
      <w:r w:rsidRPr="001C024A">
        <w:rPr>
          <w:rFonts w:ascii="Calibri" w:hAnsi="Calibri"/>
          <w:w w:val="105"/>
        </w:rPr>
        <w:t xml:space="preserve"> </w:t>
      </w:r>
      <w:r w:rsidRPr="00EA7458">
        <w:rPr>
          <w:rFonts w:ascii="Calibri" w:hAnsi="Calibri"/>
          <w:w w:val="105"/>
        </w:rPr>
        <w:t>training</w:t>
      </w:r>
      <w:r w:rsidRPr="001C024A">
        <w:rPr>
          <w:rFonts w:ascii="Calibri" w:hAnsi="Calibri"/>
          <w:w w:val="105"/>
        </w:rPr>
        <w:t xml:space="preserve"> </w:t>
      </w:r>
      <w:r w:rsidRPr="00EA7458">
        <w:rPr>
          <w:rFonts w:ascii="Calibri" w:hAnsi="Calibri"/>
          <w:w w:val="105"/>
        </w:rPr>
        <w:t>models,</w:t>
      </w:r>
      <w:r w:rsidRPr="001C024A">
        <w:rPr>
          <w:rFonts w:ascii="Calibri" w:hAnsi="Calibri"/>
          <w:w w:val="105"/>
        </w:rPr>
        <w:t xml:space="preserve"> </w:t>
      </w:r>
      <w:r w:rsidRPr="00EA7458">
        <w:rPr>
          <w:rFonts w:ascii="Calibri" w:hAnsi="Calibri"/>
          <w:w w:val="105"/>
        </w:rPr>
        <w:t>essential</w:t>
      </w:r>
      <w:r w:rsidRPr="001C024A">
        <w:rPr>
          <w:rFonts w:ascii="Calibri" w:hAnsi="Calibri"/>
          <w:w w:val="105"/>
        </w:rPr>
        <w:t xml:space="preserve"> </w:t>
      </w:r>
      <w:r w:rsidRPr="00EA7458">
        <w:rPr>
          <w:rFonts w:ascii="Calibri" w:hAnsi="Calibri"/>
          <w:w w:val="105"/>
        </w:rPr>
        <w:t>components</w:t>
      </w:r>
      <w:r w:rsidRPr="001C024A">
        <w:rPr>
          <w:rFonts w:ascii="Calibri" w:hAnsi="Calibri"/>
          <w:w w:val="105"/>
        </w:rPr>
        <w:t xml:space="preserve"> </w:t>
      </w:r>
      <w:r w:rsidRPr="00EA7458">
        <w:rPr>
          <w:rFonts w:ascii="Calibri" w:hAnsi="Calibri"/>
          <w:w w:val="105"/>
        </w:rPr>
        <w:t>of</w:t>
      </w:r>
      <w:r w:rsidRPr="001C024A">
        <w:rPr>
          <w:rFonts w:ascii="Calibri" w:hAnsi="Calibri"/>
          <w:w w:val="105"/>
        </w:rPr>
        <w:t xml:space="preserve"> </w:t>
      </w:r>
      <w:r w:rsidRPr="00EA7458">
        <w:rPr>
          <w:rFonts w:ascii="Calibri" w:hAnsi="Calibri"/>
          <w:w w:val="105"/>
        </w:rPr>
        <w:t>reading</w:t>
      </w:r>
      <w:r w:rsidRPr="001C024A">
        <w:rPr>
          <w:rFonts w:ascii="Calibri" w:hAnsi="Calibri"/>
          <w:w w:val="105"/>
        </w:rPr>
        <w:t xml:space="preserve"> </w:t>
      </w:r>
      <w:r w:rsidRPr="00EA7458">
        <w:rPr>
          <w:rFonts w:ascii="Calibri" w:hAnsi="Calibri"/>
          <w:w w:val="105"/>
        </w:rPr>
        <w:t>instruction,</w:t>
      </w:r>
      <w:r w:rsidRPr="001C024A">
        <w:rPr>
          <w:rFonts w:ascii="Calibri" w:hAnsi="Calibri"/>
          <w:w w:val="105"/>
        </w:rPr>
        <w:t xml:space="preserve"> </w:t>
      </w:r>
      <w:r w:rsidRPr="00EA7458">
        <w:rPr>
          <w:rFonts w:ascii="Calibri" w:hAnsi="Calibri"/>
          <w:w w:val="105"/>
        </w:rPr>
        <w:t>career</w:t>
      </w:r>
      <w:r w:rsidRPr="001C024A">
        <w:rPr>
          <w:rFonts w:ascii="Calibri" w:hAnsi="Calibri"/>
          <w:w w:val="105"/>
        </w:rPr>
        <w:t xml:space="preserve"> </w:t>
      </w:r>
      <w:r w:rsidRPr="00EA7458">
        <w:rPr>
          <w:rFonts w:ascii="Calibri" w:hAnsi="Calibri"/>
          <w:w w:val="105"/>
        </w:rPr>
        <w:t>pathways,</w:t>
      </w:r>
      <w:r w:rsidRPr="001C024A">
        <w:rPr>
          <w:rFonts w:ascii="Calibri" w:hAnsi="Calibri"/>
          <w:w w:val="105"/>
        </w:rPr>
        <w:t xml:space="preserve"> </w:t>
      </w:r>
      <w:r w:rsidRPr="00EA7458">
        <w:rPr>
          <w:rFonts w:ascii="Calibri" w:hAnsi="Calibri"/>
          <w:w w:val="105"/>
        </w:rPr>
        <w:t>mathematics instruction and GED®</w:t>
      </w:r>
      <w:r w:rsidRPr="001C024A">
        <w:rPr>
          <w:rFonts w:ascii="Calibri" w:hAnsi="Calibri"/>
          <w:w w:val="105"/>
        </w:rPr>
        <w:t xml:space="preserve"> </w:t>
      </w:r>
      <w:r w:rsidRPr="00EA7458">
        <w:rPr>
          <w:rFonts w:ascii="Calibri" w:hAnsi="Calibri"/>
          <w:w w:val="105"/>
        </w:rPr>
        <w:t>preparation.</w:t>
      </w:r>
    </w:p>
    <w:p w14:paraId="03229CD6" w14:textId="77777777" w:rsidR="001C024A" w:rsidRDefault="00EA7458" w:rsidP="00D63204">
      <w:pPr>
        <w:widowControl w:val="0"/>
        <w:spacing w:before="2" w:after="0" w:line="235" w:lineRule="auto"/>
        <w:ind w:left="107"/>
        <w:rPr>
          <w:rFonts w:ascii="Calibri" w:hAnsi="Calibri"/>
          <w:w w:val="105"/>
        </w:rPr>
      </w:pPr>
      <w:r w:rsidRPr="00EA7458">
        <w:rPr>
          <w:rFonts w:ascii="Calibri" w:hAnsi="Calibri"/>
          <w:w w:val="105"/>
        </w:rPr>
        <w:lastRenderedPageBreak/>
        <w:t>Florida’s Integrated Career and Academic Preparation System (FICAPS) is Florida’s adult education approach</w:t>
      </w:r>
      <w:r w:rsidRPr="001C024A">
        <w:rPr>
          <w:rFonts w:ascii="Calibri" w:hAnsi="Calibri"/>
          <w:w w:val="105"/>
        </w:rPr>
        <w:t xml:space="preserve"> </w:t>
      </w:r>
      <w:r w:rsidRPr="00EA7458">
        <w:rPr>
          <w:rFonts w:ascii="Calibri" w:hAnsi="Calibri"/>
          <w:w w:val="105"/>
        </w:rPr>
        <w:t>to</w:t>
      </w:r>
      <w:r w:rsidRPr="001C024A">
        <w:rPr>
          <w:rFonts w:ascii="Calibri" w:hAnsi="Calibri"/>
          <w:w w:val="105"/>
        </w:rPr>
        <w:t xml:space="preserve"> </w:t>
      </w:r>
      <w:r w:rsidRPr="00EA7458">
        <w:rPr>
          <w:rFonts w:ascii="Calibri" w:hAnsi="Calibri"/>
          <w:w w:val="105"/>
        </w:rPr>
        <w:t>career</w:t>
      </w:r>
      <w:r w:rsidRPr="001C024A">
        <w:rPr>
          <w:rFonts w:ascii="Calibri" w:hAnsi="Calibri"/>
          <w:w w:val="105"/>
        </w:rPr>
        <w:t xml:space="preserve"> </w:t>
      </w:r>
      <w:r w:rsidRPr="00EA7458">
        <w:rPr>
          <w:rFonts w:ascii="Calibri" w:hAnsi="Calibri"/>
          <w:w w:val="105"/>
        </w:rPr>
        <w:t>pathways.</w:t>
      </w:r>
      <w:r w:rsidRPr="001C024A">
        <w:rPr>
          <w:rFonts w:ascii="Calibri" w:hAnsi="Calibri"/>
          <w:w w:val="105"/>
        </w:rPr>
        <w:t xml:space="preserve"> </w:t>
      </w:r>
      <w:r w:rsidRPr="00EA7458">
        <w:rPr>
          <w:rFonts w:ascii="Calibri" w:hAnsi="Calibri"/>
          <w:w w:val="105"/>
        </w:rPr>
        <w:t>Students</w:t>
      </w:r>
      <w:r w:rsidRPr="001C024A">
        <w:rPr>
          <w:rFonts w:ascii="Calibri" w:hAnsi="Calibri"/>
          <w:w w:val="105"/>
        </w:rPr>
        <w:t xml:space="preserve"> </w:t>
      </w:r>
      <w:r w:rsidRPr="00EA7458">
        <w:rPr>
          <w:rFonts w:ascii="Calibri" w:hAnsi="Calibri"/>
          <w:w w:val="105"/>
        </w:rPr>
        <w:t>will</w:t>
      </w:r>
      <w:r w:rsidRPr="001C024A">
        <w:rPr>
          <w:rFonts w:ascii="Calibri" w:hAnsi="Calibri"/>
          <w:w w:val="105"/>
        </w:rPr>
        <w:t xml:space="preserve"> </w:t>
      </w:r>
      <w:r w:rsidRPr="00EA7458">
        <w:rPr>
          <w:rFonts w:ascii="Calibri" w:hAnsi="Calibri"/>
          <w:w w:val="105"/>
        </w:rPr>
        <w:t>simultaneously</w:t>
      </w:r>
      <w:r w:rsidRPr="001C024A">
        <w:rPr>
          <w:rFonts w:ascii="Calibri" w:hAnsi="Calibri"/>
          <w:w w:val="105"/>
        </w:rPr>
        <w:t xml:space="preserve"> </w:t>
      </w:r>
      <w:r w:rsidRPr="00EA7458">
        <w:rPr>
          <w:rFonts w:ascii="Calibri" w:hAnsi="Calibri"/>
          <w:w w:val="105"/>
        </w:rPr>
        <w:t>enroll</w:t>
      </w:r>
      <w:r w:rsidRPr="001C024A">
        <w:rPr>
          <w:rFonts w:ascii="Calibri" w:hAnsi="Calibri"/>
          <w:w w:val="105"/>
        </w:rPr>
        <w:t xml:space="preserve"> </w:t>
      </w:r>
      <w:r w:rsidRPr="00EA7458">
        <w:rPr>
          <w:rFonts w:ascii="Calibri" w:hAnsi="Calibri"/>
          <w:w w:val="105"/>
        </w:rPr>
        <w:t>in</w:t>
      </w:r>
      <w:r w:rsidRPr="001C024A">
        <w:rPr>
          <w:rFonts w:ascii="Calibri" w:hAnsi="Calibri"/>
          <w:w w:val="105"/>
        </w:rPr>
        <w:t xml:space="preserve"> </w:t>
      </w:r>
      <w:r w:rsidRPr="00EA7458">
        <w:rPr>
          <w:rFonts w:ascii="Calibri" w:hAnsi="Calibri"/>
          <w:w w:val="105"/>
        </w:rPr>
        <w:t>an</w:t>
      </w:r>
      <w:r w:rsidRPr="001C024A">
        <w:rPr>
          <w:rFonts w:ascii="Calibri" w:hAnsi="Calibri"/>
          <w:w w:val="105"/>
        </w:rPr>
        <w:t xml:space="preserve"> </w:t>
      </w:r>
      <w:r w:rsidRPr="00EA7458">
        <w:rPr>
          <w:rFonts w:ascii="Calibri" w:hAnsi="Calibri"/>
          <w:w w:val="105"/>
        </w:rPr>
        <w:t>adult</w:t>
      </w:r>
      <w:r w:rsidRPr="001C024A">
        <w:rPr>
          <w:rFonts w:ascii="Calibri" w:hAnsi="Calibri"/>
          <w:w w:val="105"/>
        </w:rPr>
        <w:t xml:space="preserve"> </w:t>
      </w:r>
      <w:r w:rsidRPr="00EA7458">
        <w:rPr>
          <w:rFonts w:ascii="Calibri" w:hAnsi="Calibri"/>
          <w:w w:val="105"/>
        </w:rPr>
        <w:t>education</w:t>
      </w:r>
      <w:r w:rsidRPr="001C024A">
        <w:rPr>
          <w:rFonts w:ascii="Calibri" w:hAnsi="Calibri"/>
          <w:w w:val="105"/>
        </w:rPr>
        <w:t xml:space="preserve"> </w:t>
      </w:r>
      <w:r w:rsidRPr="00EA7458">
        <w:rPr>
          <w:rFonts w:ascii="Calibri" w:hAnsi="Calibri"/>
          <w:w w:val="105"/>
        </w:rPr>
        <w:t>course</w:t>
      </w:r>
      <w:r w:rsidRPr="001C024A">
        <w:rPr>
          <w:rFonts w:ascii="Calibri" w:hAnsi="Calibri"/>
          <w:w w:val="105"/>
        </w:rPr>
        <w:t xml:space="preserve"> </w:t>
      </w:r>
      <w:r w:rsidRPr="00EA7458">
        <w:rPr>
          <w:rFonts w:ascii="Calibri" w:hAnsi="Calibri"/>
          <w:w w:val="105"/>
        </w:rPr>
        <w:t>(GED®</w:t>
      </w:r>
      <w:r w:rsidRPr="001C024A">
        <w:rPr>
          <w:rFonts w:ascii="Calibri" w:hAnsi="Calibri"/>
          <w:w w:val="105"/>
        </w:rPr>
        <w:t xml:space="preserve"> </w:t>
      </w:r>
      <w:r w:rsidR="00C75E51" w:rsidRPr="001C024A">
        <w:rPr>
          <w:rFonts w:ascii="Calibri" w:hAnsi="Calibri"/>
          <w:w w:val="105"/>
        </w:rPr>
        <w:t>Integrated and English Literacy for Career and Technical Education</w:t>
      </w:r>
      <w:r w:rsidRPr="00EA7458">
        <w:rPr>
          <w:rFonts w:ascii="Calibri" w:hAnsi="Calibri"/>
          <w:w w:val="105"/>
        </w:rPr>
        <w:t>)</w:t>
      </w:r>
      <w:r w:rsidRPr="001C024A">
        <w:rPr>
          <w:rFonts w:ascii="Calibri" w:hAnsi="Calibri"/>
          <w:w w:val="105"/>
        </w:rPr>
        <w:t xml:space="preserve"> </w:t>
      </w:r>
      <w:r w:rsidRPr="00EA7458">
        <w:rPr>
          <w:rFonts w:ascii="Calibri" w:hAnsi="Calibri"/>
          <w:w w:val="105"/>
        </w:rPr>
        <w:t>and</w:t>
      </w:r>
      <w:r w:rsidRPr="001C024A">
        <w:rPr>
          <w:rFonts w:ascii="Calibri" w:hAnsi="Calibri"/>
          <w:w w:val="105"/>
        </w:rPr>
        <w:t xml:space="preserve"> </w:t>
      </w:r>
      <w:r w:rsidRPr="00EA7458">
        <w:rPr>
          <w:rFonts w:ascii="Calibri" w:hAnsi="Calibri"/>
          <w:w w:val="105"/>
        </w:rPr>
        <w:t>a</w:t>
      </w:r>
      <w:r w:rsidRPr="001C024A">
        <w:rPr>
          <w:rFonts w:ascii="Calibri" w:hAnsi="Calibri"/>
          <w:w w:val="105"/>
        </w:rPr>
        <w:t xml:space="preserve"> </w:t>
      </w:r>
      <w:r w:rsidRPr="00EA7458">
        <w:rPr>
          <w:rFonts w:ascii="Calibri" w:hAnsi="Calibri"/>
          <w:w w:val="105"/>
        </w:rPr>
        <w:t>career</w:t>
      </w:r>
      <w:r w:rsidRPr="001C024A">
        <w:rPr>
          <w:rFonts w:ascii="Calibri" w:hAnsi="Calibri"/>
          <w:w w:val="105"/>
        </w:rPr>
        <w:t xml:space="preserve"> </w:t>
      </w:r>
      <w:r w:rsidRPr="00EA7458">
        <w:rPr>
          <w:rFonts w:ascii="Calibri" w:hAnsi="Calibri"/>
          <w:w w:val="105"/>
        </w:rPr>
        <w:t>and</w:t>
      </w:r>
      <w:r w:rsidRPr="001C024A">
        <w:rPr>
          <w:rFonts w:ascii="Calibri" w:hAnsi="Calibri"/>
          <w:w w:val="105"/>
        </w:rPr>
        <w:t xml:space="preserve"> </w:t>
      </w:r>
      <w:r w:rsidRPr="00EA7458">
        <w:rPr>
          <w:rFonts w:ascii="Calibri" w:hAnsi="Calibri"/>
          <w:w w:val="105"/>
        </w:rPr>
        <w:t>technical</w:t>
      </w:r>
      <w:r w:rsidRPr="001C024A">
        <w:rPr>
          <w:rFonts w:ascii="Calibri" w:hAnsi="Calibri"/>
          <w:w w:val="105"/>
        </w:rPr>
        <w:t xml:space="preserve"> </w:t>
      </w:r>
      <w:r w:rsidRPr="00EA7458">
        <w:rPr>
          <w:rFonts w:ascii="Calibri" w:hAnsi="Calibri"/>
          <w:w w:val="105"/>
        </w:rPr>
        <w:t>certificate</w:t>
      </w:r>
      <w:r w:rsidRPr="001C024A">
        <w:rPr>
          <w:rFonts w:ascii="Calibri" w:hAnsi="Calibri"/>
          <w:w w:val="105"/>
        </w:rPr>
        <w:t xml:space="preserve"> </w:t>
      </w:r>
      <w:r w:rsidRPr="00EA7458">
        <w:rPr>
          <w:rFonts w:ascii="Calibri" w:hAnsi="Calibri"/>
          <w:w w:val="105"/>
        </w:rPr>
        <w:t>program.</w:t>
      </w:r>
      <w:r w:rsidRPr="001C024A">
        <w:rPr>
          <w:rFonts w:ascii="Calibri" w:hAnsi="Calibri"/>
          <w:w w:val="105"/>
        </w:rPr>
        <w:t xml:space="preserve"> </w:t>
      </w:r>
    </w:p>
    <w:p w14:paraId="113013DE" w14:textId="77777777" w:rsidR="001C024A" w:rsidRDefault="001C024A" w:rsidP="00D63204">
      <w:pPr>
        <w:widowControl w:val="0"/>
        <w:spacing w:before="2" w:after="0" w:line="235" w:lineRule="auto"/>
        <w:ind w:left="107"/>
        <w:rPr>
          <w:rFonts w:ascii="Calibri" w:hAnsi="Calibri"/>
          <w:w w:val="105"/>
        </w:rPr>
      </w:pPr>
    </w:p>
    <w:p w14:paraId="1CD76CE5" w14:textId="77777777" w:rsidR="00CD1C1C" w:rsidRPr="001C024A" w:rsidRDefault="00CD1C1C" w:rsidP="00D63204">
      <w:pPr>
        <w:widowControl w:val="0"/>
        <w:spacing w:before="2" w:after="0" w:line="235" w:lineRule="auto"/>
        <w:ind w:left="107"/>
        <w:rPr>
          <w:rFonts w:ascii="Calibri" w:hAnsi="Calibri"/>
          <w:w w:val="105"/>
        </w:rPr>
      </w:pPr>
      <w:r w:rsidRPr="00CD1C1C">
        <w:rPr>
          <w:rFonts w:ascii="Calibri" w:hAnsi="Calibri"/>
          <w:w w:val="105"/>
        </w:rPr>
        <w:t>Adult education programs will collaborate with their LWDB to determine local high-wage high-demand careers when developing career pathways. The Division of Career and Adult Education (DCAE) promotes implementation of non-credit bridge programs that promote the teaching of literacy skills in a career context.</w:t>
      </w:r>
    </w:p>
    <w:p w14:paraId="1C37824E" w14:textId="77777777" w:rsidR="00EA7458" w:rsidRPr="00EA7458" w:rsidRDefault="00EA7458" w:rsidP="00D63204">
      <w:pPr>
        <w:widowControl w:val="0"/>
        <w:spacing w:before="5" w:after="0" w:line="240" w:lineRule="auto"/>
        <w:ind w:left="107"/>
        <w:rPr>
          <w:rFonts w:ascii="Calibri" w:hAnsi="Calibri" w:cs="Calibri"/>
          <w:sz w:val="16"/>
          <w:szCs w:val="16"/>
        </w:rPr>
      </w:pPr>
    </w:p>
    <w:p w14:paraId="0D23402F" w14:textId="2E549233" w:rsidR="001C024A" w:rsidRDefault="00EA7458" w:rsidP="00D63204">
      <w:pPr>
        <w:widowControl w:val="0"/>
        <w:spacing w:after="0" w:line="264" w:lineRule="exact"/>
        <w:ind w:left="107"/>
        <w:rPr>
          <w:rFonts w:ascii="Calibri" w:hAnsi="Calibri"/>
        </w:rPr>
      </w:pPr>
      <w:r w:rsidRPr="00EA7458">
        <w:rPr>
          <w:rFonts w:ascii="Calibri" w:hAnsi="Calibri"/>
          <w:w w:val="105"/>
        </w:rPr>
        <w:t>One-stop</w:t>
      </w:r>
      <w:r w:rsidRPr="00EA7458">
        <w:rPr>
          <w:rFonts w:ascii="Calibri" w:hAnsi="Calibri"/>
          <w:spacing w:val="9"/>
          <w:w w:val="105"/>
        </w:rPr>
        <w:t xml:space="preserve"> </w:t>
      </w:r>
      <w:r w:rsidRPr="00EA7458">
        <w:rPr>
          <w:rFonts w:ascii="Calibri" w:hAnsi="Calibri"/>
          <w:w w:val="105"/>
        </w:rPr>
        <w:t>career</w:t>
      </w:r>
      <w:r w:rsidRPr="00EA7458">
        <w:rPr>
          <w:rFonts w:ascii="Calibri" w:hAnsi="Calibri"/>
          <w:spacing w:val="9"/>
          <w:w w:val="105"/>
        </w:rPr>
        <w:t xml:space="preserve"> </w:t>
      </w:r>
      <w:r w:rsidRPr="00EA7458">
        <w:rPr>
          <w:rFonts w:ascii="Calibri" w:hAnsi="Calibri"/>
          <w:w w:val="105"/>
        </w:rPr>
        <w:t>center</w:t>
      </w:r>
      <w:r w:rsidRPr="00EA7458">
        <w:rPr>
          <w:rFonts w:ascii="Calibri" w:hAnsi="Calibri"/>
          <w:spacing w:val="9"/>
          <w:w w:val="105"/>
        </w:rPr>
        <w:t xml:space="preserve"> </w:t>
      </w:r>
      <w:r w:rsidRPr="00EA7458">
        <w:rPr>
          <w:rFonts w:ascii="Calibri" w:hAnsi="Calibri"/>
          <w:w w:val="105"/>
        </w:rPr>
        <w:t>partners</w:t>
      </w:r>
      <w:r w:rsidRPr="00EA7458">
        <w:rPr>
          <w:rFonts w:ascii="Calibri" w:hAnsi="Calibri"/>
          <w:spacing w:val="9"/>
          <w:w w:val="105"/>
        </w:rPr>
        <w:t xml:space="preserve"> </w:t>
      </w:r>
      <w:r w:rsidRPr="00EA7458">
        <w:rPr>
          <w:rFonts w:ascii="Calibri" w:hAnsi="Calibri"/>
          <w:w w:val="105"/>
        </w:rPr>
        <w:t>and</w:t>
      </w:r>
      <w:r w:rsidRPr="00EA7458">
        <w:rPr>
          <w:rFonts w:ascii="Calibri" w:hAnsi="Calibri"/>
          <w:spacing w:val="9"/>
          <w:w w:val="105"/>
        </w:rPr>
        <w:t xml:space="preserve"> </w:t>
      </w:r>
      <w:r w:rsidRPr="00EA7458">
        <w:rPr>
          <w:rFonts w:ascii="Calibri" w:hAnsi="Calibri"/>
          <w:w w:val="105"/>
        </w:rPr>
        <w:t>adult</w:t>
      </w:r>
      <w:r w:rsidRPr="00EA7458">
        <w:rPr>
          <w:rFonts w:ascii="Calibri" w:hAnsi="Calibri"/>
          <w:spacing w:val="9"/>
          <w:w w:val="105"/>
        </w:rPr>
        <w:t xml:space="preserve"> </w:t>
      </w:r>
      <w:r w:rsidRPr="00EA7458">
        <w:rPr>
          <w:rFonts w:ascii="Calibri" w:hAnsi="Calibri"/>
          <w:w w:val="105"/>
        </w:rPr>
        <w:t>education</w:t>
      </w:r>
      <w:r w:rsidRPr="00EA7458">
        <w:rPr>
          <w:rFonts w:ascii="Calibri" w:hAnsi="Calibri"/>
          <w:spacing w:val="9"/>
          <w:w w:val="105"/>
        </w:rPr>
        <w:t xml:space="preserve"> </w:t>
      </w:r>
      <w:r w:rsidRPr="00EA7458">
        <w:rPr>
          <w:rFonts w:ascii="Calibri" w:hAnsi="Calibri"/>
          <w:w w:val="105"/>
        </w:rPr>
        <w:t>programs</w:t>
      </w:r>
      <w:r w:rsidRPr="00EA7458">
        <w:rPr>
          <w:rFonts w:ascii="Calibri" w:hAnsi="Calibri"/>
          <w:spacing w:val="9"/>
          <w:w w:val="105"/>
        </w:rPr>
        <w:t xml:space="preserve"> </w:t>
      </w:r>
      <w:r w:rsidRPr="00EA7458">
        <w:rPr>
          <w:rFonts w:ascii="Calibri" w:hAnsi="Calibri"/>
          <w:w w:val="105"/>
        </w:rPr>
        <w:t>work</w:t>
      </w:r>
      <w:r w:rsidRPr="00EA7458">
        <w:rPr>
          <w:rFonts w:ascii="Calibri" w:hAnsi="Calibri"/>
          <w:spacing w:val="9"/>
          <w:w w:val="105"/>
        </w:rPr>
        <w:t xml:space="preserve"> </w:t>
      </w:r>
      <w:r w:rsidRPr="00EA7458">
        <w:rPr>
          <w:rFonts w:ascii="Calibri" w:hAnsi="Calibri"/>
          <w:w w:val="105"/>
        </w:rPr>
        <w:t>collaboratively</w:t>
      </w:r>
      <w:r w:rsidRPr="00EA7458">
        <w:rPr>
          <w:rFonts w:ascii="Calibri" w:hAnsi="Calibri"/>
          <w:spacing w:val="9"/>
          <w:w w:val="105"/>
        </w:rPr>
        <w:t xml:space="preserve"> </w:t>
      </w:r>
      <w:r w:rsidRPr="00EA7458">
        <w:rPr>
          <w:rFonts w:ascii="Calibri" w:hAnsi="Calibri"/>
          <w:w w:val="105"/>
        </w:rPr>
        <w:t>within</w:t>
      </w:r>
      <w:r w:rsidRPr="00EA7458">
        <w:rPr>
          <w:rFonts w:ascii="Calibri" w:hAnsi="Calibri"/>
          <w:spacing w:val="9"/>
          <w:w w:val="105"/>
        </w:rPr>
        <w:t xml:space="preserve"> </w:t>
      </w:r>
      <w:r w:rsidRPr="00EA7458">
        <w:rPr>
          <w:rFonts w:ascii="Calibri" w:hAnsi="Calibri"/>
          <w:w w:val="105"/>
        </w:rPr>
        <w:t>their</w:t>
      </w:r>
      <w:r w:rsidRPr="00EA7458">
        <w:rPr>
          <w:rFonts w:ascii="Calibri" w:hAnsi="Calibri"/>
          <w:spacing w:val="9"/>
          <w:w w:val="105"/>
        </w:rPr>
        <w:t xml:space="preserve"> </w:t>
      </w:r>
      <w:r w:rsidRPr="00EA7458">
        <w:rPr>
          <w:rFonts w:ascii="Calibri" w:hAnsi="Calibri"/>
          <w:w w:val="105"/>
        </w:rPr>
        <w:t>local</w:t>
      </w:r>
      <w:r w:rsidRPr="00EA7458">
        <w:rPr>
          <w:rFonts w:ascii="Calibri" w:hAnsi="Calibri"/>
          <w:spacing w:val="-16"/>
          <w:w w:val="105"/>
        </w:rPr>
        <w:t xml:space="preserve"> </w:t>
      </w:r>
      <w:r w:rsidRPr="00EA7458">
        <w:rPr>
          <w:rFonts w:ascii="Calibri" w:hAnsi="Calibri"/>
          <w:w w:val="105"/>
        </w:rPr>
        <w:t>areas</w:t>
      </w:r>
      <w:r w:rsidR="00D5537E">
        <w:rPr>
          <w:rFonts w:ascii="Calibri" w:hAnsi="Calibri"/>
          <w:w w:val="105"/>
        </w:rPr>
        <w:t xml:space="preserve"> and</w:t>
      </w:r>
      <w:r w:rsidRPr="00EA7458">
        <w:rPr>
          <w:rFonts w:ascii="Calibri" w:hAnsi="Calibri"/>
          <w:w w:val="105"/>
        </w:rPr>
        <w:t xml:space="preserve"> assessment and instructional services are often provided onsite. Local</w:t>
      </w:r>
      <w:r w:rsidRPr="00EA7458">
        <w:rPr>
          <w:rFonts w:ascii="Calibri" w:hAnsi="Calibri"/>
          <w:spacing w:val="22"/>
          <w:w w:val="105"/>
        </w:rPr>
        <w:t xml:space="preserve"> </w:t>
      </w:r>
      <w:r w:rsidRPr="00EA7458">
        <w:rPr>
          <w:rFonts w:ascii="Calibri" w:hAnsi="Calibri"/>
          <w:w w:val="105"/>
        </w:rPr>
        <w:t>CareerSource</w:t>
      </w:r>
      <w:r w:rsidRPr="00EA7458">
        <w:rPr>
          <w:rFonts w:ascii="Calibri" w:hAnsi="Calibri"/>
          <w:spacing w:val="12"/>
          <w:w w:val="105"/>
        </w:rPr>
        <w:t xml:space="preserve"> </w:t>
      </w:r>
      <w:r w:rsidRPr="00EA7458">
        <w:rPr>
          <w:rFonts w:ascii="Calibri" w:hAnsi="Calibri"/>
          <w:w w:val="105"/>
        </w:rPr>
        <w:t>Florida</w:t>
      </w:r>
      <w:r w:rsidRPr="00EA7458">
        <w:rPr>
          <w:rFonts w:ascii="Calibri" w:hAnsi="Calibri"/>
          <w:spacing w:val="12"/>
          <w:w w:val="105"/>
        </w:rPr>
        <w:t xml:space="preserve"> </w:t>
      </w:r>
      <w:r w:rsidRPr="00EA7458">
        <w:rPr>
          <w:rFonts w:ascii="Calibri" w:hAnsi="Calibri"/>
          <w:w w:val="105"/>
        </w:rPr>
        <w:t>network</w:t>
      </w:r>
      <w:r w:rsidRPr="00EA7458">
        <w:rPr>
          <w:rFonts w:ascii="Calibri" w:hAnsi="Calibri"/>
          <w:spacing w:val="12"/>
          <w:w w:val="105"/>
        </w:rPr>
        <w:t xml:space="preserve"> </w:t>
      </w:r>
      <w:r w:rsidRPr="00EA7458">
        <w:rPr>
          <w:rFonts w:ascii="Calibri" w:hAnsi="Calibri"/>
          <w:w w:val="105"/>
        </w:rPr>
        <w:t>staff</w:t>
      </w:r>
      <w:r w:rsidRPr="00EA7458">
        <w:rPr>
          <w:rFonts w:ascii="Calibri" w:hAnsi="Calibri"/>
          <w:spacing w:val="12"/>
          <w:w w:val="105"/>
        </w:rPr>
        <w:t xml:space="preserve"> </w:t>
      </w:r>
      <w:r w:rsidR="0033481D">
        <w:rPr>
          <w:rFonts w:ascii="Calibri" w:hAnsi="Calibri"/>
          <w:w w:val="105"/>
        </w:rPr>
        <w:t>can</w:t>
      </w:r>
      <w:r w:rsidRPr="00EA7458">
        <w:rPr>
          <w:rFonts w:ascii="Calibri" w:hAnsi="Calibri"/>
          <w:spacing w:val="12"/>
          <w:w w:val="105"/>
        </w:rPr>
        <w:t xml:space="preserve"> </w:t>
      </w:r>
      <w:r w:rsidRPr="00EA7458">
        <w:rPr>
          <w:rFonts w:ascii="Calibri" w:hAnsi="Calibri"/>
          <w:w w:val="105"/>
        </w:rPr>
        <w:t>participate</w:t>
      </w:r>
      <w:r w:rsidRPr="00EA7458">
        <w:rPr>
          <w:rFonts w:ascii="Calibri" w:hAnsi="Calibri"/>
          <w:spacing w:val="12"/>
          <w:w w:val="105"/>
        </w:rPr>
        <w:t xml:space="preserve"> </w:t>
      </w:r>
      <w:r w:rsidRPr="00EA7458">
        <w:rPr>
          <w:rFonts w:ascii="Calibri" w:hAnsi="Calibri"/>
          <w:w w:val="105"/>
        </w:rPr>
        <w:t>in</w:t>
      </w:r>
      <w:r w:rsidRPr="00EA7458">
        <w:rPr>
          <w:rFonts w:ascii="Calibri" w:hAnsi="Calibri"/>
          <w:spacing w:val="12"/>
          <w:w w:val="105"/>
        </w:rPr>
        <w:t xml:space="preserve"> </w:t>
      </w:r>
      <w:r w:rsidRPr="00EA7458">
        <w:rPr>
          <w:rFonts w:ascii="Calibri" w:hAnsi="Calibri"/>
          <w:spacing w:val="-6"/>
          <w:w w:val="105"/>
        </w:rPr>
        <w:t>Test</w:t>
      </w:r>
      <w:r w:rsidRPr="00EA7458">
        <w:rPr>
          <w:rFonts w:ascii="Calibri" w:hAnsi="Calibri"/>
          <w:spacing w:val="12"/>
          <w:w w:val="105"/>
        </w:rPr>
        <w:t xml:space="preserve"> </w:t>
      </w:r>
      <w:r w:rsidRPr="00EA7458">
        <w:rPr>
          <w:rFonts w:ascii="Calibri" w:hAnsi="Calibri"/>
          <w:w w:val="105"/>
        </w:rPr>
        <w:t>of</w:t>
      </w:r>
      <w:r w:rsidRPr="00EA7458">
        <w:rPr>
          <w:rFonts w:ascii="Calibri" w:hAnsi="Calibri"/>
          <w:spacing w:val="12"/>
          <w:w w:val="105"/>
        </w:rPr>
        <w:t xml:space="preserve"> </w:t>
      </w:r>
      <w:r w:rsidRPr="00EA7458">
        <w:rPr>
          <w:rFonts w:ascii="Calibri" w:hAnsi="Calibri"/>
          <w:w w:val="105"/>
        </w:rPr>
        <w:t>Adult</w:t>
      </w:r>
      <w:r w:rsidRPr="00EA7458">
        <w:rPr>
          <w:rFonts w:ascii="Calibri" w:hAnsi="Calibri"/>
          <w:spacing w:val="12"/>
          <w:w w:val="105"/>
        </w:rPr>
        <w:t xml:space="preserve"> </w:t>
      </w:r>
      <w:r w:rsidRPr="00EA7458">
        <w:rPr>
          <w:rFonts w:ascii="Calibri" w:hAnsi="Calibri"/>
          <w:w w:val="105"/>
        </w:rPr>
        <w:t>Basic</w:t>
      </w:r>
      <w:r w:rsidRPr="00EA7458">
        <w:rPr>
          <w:rFonts w:ascii="Calibri" w:hAnsi="Calibri"/>
          <w:spacing w:val="-46"/>
          <w:w w:val="105"/>
        </w:rPr>
        <w:t xml:space="preserve"> </w:t>
      </w:r>
      <w:r w:rsidRPr="00EA7458">
        <w:rPr>
          <w:rFonts w:ascii="Calibri" w:hAnsi="Calibri"/>
          <w:w w:val="105"/>
        </w:rPr>
        <w:t>Education</w:t>
      </w:r>
      <w:r w:rsidRPr="00EA7458">
        <w:rPr>
          <w:rFonts w:ascii="Calibri" w:hAnsi="Calibri"/>
          <w:spacing w:val="31"/>
          <w:w w:val="105"/>
        </w:rPr>
        <w:t xml:space="preserve"> </w:t>
      </w:r>
      <w:r w:rsidRPr="00EA7458">
        <w:rPr>
          <w:rFonts w:ascii="Calibri" w:hAnsi="Calibri"/>
          <w:spacing w:val="-3"/>
          <w:w w:val="105"/>
        </w:rPr>
        <w:t>(TABE)</w:t>
      </w:r>
      <w:r w:rsidRPr="00EA7458">
        <w:rPr>
          <w:rFonts w:ascii="Calibri" w:hAnsi="Calibri"/>
          <w:spacing w:val="31"/>
          <w:w w:val="105"/>
        </w:rPr>
        <w:t xml:space="preserve"> </w:t>
      </w:r>
      <w:r w:rsidRPr="00EA7458">
        <w:rPr>
          <w:rFonts w:ascii="Calibri" w:hAnsi="Calibri"/>
          <w:w w:val="105"/>
        </w:rPr>
        <w:t>and</w:t>
      </w:r>
      <w:r w:rsidRPr="00EA7458">
        <w:rPr>
          <w:rFonts w:ascii="Calibri" w:hAnsi="Calibri"/>
          <w:spacing w:val="31"/>
          <w:w w:val="105"/>
        </w:rPr>
        <w:t xml:space="preserve"> </w:t>
      </w:r>
      <w:r w:rsidRPr="00EA7458">
        <w:rPr>
          <w:rFonts w:ascii="Calibri" w:hAnsi="Calibri"/>
          <w:w w:val="105"/>
        </w:rPr>
        <w:t>Comprehensive</w:t>
      </w:r>
      <w:r w:rsidRPr="00EA7458">
        <w:rPr>
          <w:rFonts w:ascii="Calibri" w:hAnsi="Calibri"/>
          <w:spacing w:val="31"/>
          <w:w w:val="105"/>
        </w:rPr>
        <w:t xml:space="preserve"> </w:t>
      </w:r>
      <w:r w:rsidRPr="00EA7458">
        <w:rPr>
          <w:rFonts w:ascii="Calibri" w:hAnsi="Calibri"/>
          <w:w w:val="105"/>
        </w:rPr>
        <w:t>Adult</w:t>
      </w:r>
      <w:r w:rsidRPr="00EA7458">
        <w:rPr>
          <w:rFonts w:ascii="Calibri" w:hAnsi="Calibri"/>
          <w:spacing w:val="31"/>
          <w:w w:val="105"/>
        </w:rPr>
        <w:t xml:space="preserve"> </w:t>
      </w:r>
      <w:r w:rsidRPr="00EA7458">
        <w:rPr>
          <w:rFonts w:ascii="Calibri" w:hAnsi="Calibri"/>
          <w:w w:val="105"/>
        </w:rPr>
        <w:t>Student</w:t>
      </w:r>
      <w:r w:rsidRPr="00EA7458">
        <w:rPr>
          <w:rFonts w:ascii="Calibri" w:hAnsi="Calibri"/>
          <w:spacing w:val="31"/>
          <w:w w:val="105"/>
        </w:rPr>
        <w:t xml:space="preserve"> </w:t>
      </w:r>
      <w:r w:rsidRPr="00EA7458">
        <w:rPr>
          <w:rFonts w:ascii="Calibri" w:hAnsi="Calibri"/>
          <w:w w:val="105"/>
        </w:rPr>
        <w:t>Assessment</w:t>
      </w:r>
      <w:r w:rsidRPr="00EA7458">
        <w:rPr>
          <w:rFonts w:ascii="Calibri" w:hAnsi="Calibri"/>
          <w:spacing w:val="31"/>
          <w:w w:val="105"/>
        </w:rPr>
        <w:t xml:space="preserve"> </w:t>
      </w:r>
      <w:r w:rsidRPr="00EA7458">
        <w:rPr>
          <w:rFonts w:ascii="Calibri" w:hAnsi="Calibri"/>
          <w:w w:val="105"/>
        </w:rPr>
        <w:t>System</w:t>
      </w:r>
      <w:r w:rsidRPr="00EA7458">
        <w:rPr>
          <w:rFonts w:ascii="Calibri" w:hAnsi="Calibri"/>
          <w:spacing w:val="31"/>
          <w:w w:val="105"/>
        </w:rPr>
        <w:t xml:space="preserve"> </w:t>
      </w:r>
      <w:r w:rsidRPr="00EA7458">
        <w:rPr>
          <w:rFonts w:ascii="Calibri" w:hAnsi="Calibri"/>
          <w:w w:val="105"/>
        </w:rPr>
        <w:t>(CASAS)</w:t>
      </w:r>
      <w:r w:rsidRPr="00EA7458">
        <w:rPr>
          <w:rFonts w:ascii="Calibri" w:hAnsi="Calibri"/>
          <w:spacing w:val="31"/>
          <w:w w:val="105"/>
        </w:rPr>
        <w:t xml:space="preserve"> </w:t>
      </w:r>
      <w:r w:rsidRPr="00EA7458">
        <w:rPr>
          <w:rFonts w:ascii="Calibri" w:hAnsi="Calibri"/>
          <w:w w:val="105"/>
        </w:rPr>
        <w:t>trainings</w:t>
      </w:r>
      <w:r w:rsidRPr="00EA7458">
        <w:rPr>
          <w:rFonts w:ascii="Calibri" w:hAnsi="Calibri"/>
          <w:spacing w:val="31"/>
          <w:w w:val="105"/>
        </w:rPr>
        <w:t xml:space="preserve"> </w:t>
      </w:r>
      <w:r w:rsidRPr="00EA7458">
        <w:rPr>
          <w:rFonts w:ascii="Calibri" w:hAnsi="Calibri"/>
          <w:w w:val="105"/>
        </w:rPr>
        <w:t>conducted</w:t>
      </w:r>
      <w:r w:rsidRPr="00EA7458">
        <w:rPr>
          <w:rFonts w:ascii="Calibri" w:hAnsi="Calibri"/>
          <w:spacing w:val="31"/>
          <w:w w:val="105"/>
        </w:rPr>
        <w:t xml:space="preserve"> </w:t>
      </w:r>
      <w:r w:rsidRPr="00EA7458">
        <w:rPr>
          <w:rFonts w:ascii="Calibri" w:hAnsi="Calibri"/>
          <w:w w:val="105"/>
        </w:rPr>
        <w:t>by</w:t>
      </w:r>
      <w:r w:rsidRPr="00EA7458">
        <w:rPr>
          <w:rFonts w:ascii="Calibri" w:hAnsi="Calibri"/>
          <w:spacing w:val="-49"/>
          <w:w w:val="105"/>
        </w:rPr>
        <w:t xml:space="preserve"> </w:t>
      </w:r>
      <w:r w:rsidRPr="00EA7458">
        <w:rPr>
          <w:rFonts w:ascii="Calibri" w:hAnsi="Calibri"/>
          <w:w w:val="105"/>
        </w:rPr>
        <w:t>DCAE</w:t>
      </w:r>
      <w:r w:rsidRPr="00EA7458">
        <w:rPr>
          <w:rFonts w:ascii="Calibri" w:hAnsi="Calibri"/>
          <w:spacing w:val="18"/>
          <w:w w:val="105"/>
        </w:rPr>
        <w:t xml:space="preserve"> </w:t>
      </w:r>
      <w:r w:rsidRPr="00EA7458">
        <w:rPr>
          <w:rFonts w:ascii="Calibri" w:hAnsi="Calibri"/>
          <w:w w:val="105"/>
        </w:rPr>
        <w:t>throughout</w:t>
      </w:r>
      <w:r w:rsidRPr="00EA7458">
        <w:rPr>
          <w:rFonts w:ascii="Calibri" w:hAnsi="Calibri"/>
          <w:spacing w:val="18"/>
          <w:w w:val="105"/>
        </w:rPr>
        <w:t xml:space="preserve"> </w:t>
      </w:r>
      <w:r w:rsidRPr="00EA7458">
        <w:rPr>
          <w:rFonts w:ascii="Calibri" w:hAnsi="Calibri"/>
          <w:w w:val="105"/>
        </w:rPr>
        <w:t>the</w:t>
      </w:r>
      <w:r w:rsidRPr="00EA7458">
        <w:rPr>
          <w:rFonts w:ascii="Calibri" w:hAnsi="Calibri"/>
          <w:spacing w:val="18"/>
          <w:w w:val="105"/>
        </w:rPr>
        <w:t xml:space="preserve"> </w:t>
      </w:r>
      <w:r w:rsidRPr="00EA7458">
        <w:rPr>
          <w:rFonts w:ascii="Calibri" w:hAnsi="Calibri"/>
          <w:spacing w:val="-4"/>
          <w:w w:val="105"/>
        </w:rPr>
        <w:t>year.</w:t>
      </w:r>
      <w:r w:rsidRPr="00EA7458">
        <w:rPr>
          <w:rFonts w:ascii="Calibri" w:hAnsi="Calibri"/>
          <w:spacing w:val="40"/>
          <w:w w:val="105"/>
        </w:rPr>
        <w:t xml:space="preserve"> </w:t>
      </w:r>
      <w:r w:rsidRPr="00EA7458">
        <w:rPr>
          <w:rFonts w:ascii="Calibri" w:hAnsi="Calibri"/>
          <w:w w:val="105"/>
        </w:rPr>
        <w:t>Many</w:t>
      </w:r>
      <w:r w:rsidRPr="00EA7458">
        <w:rPr>
          <w:rFonts w:ascii="Calibri" w:hAnsi="Calibri"/>
          <w:spacing w:val="18"/>
          <w:w w:val="105"/>
        </w:rPr>
        <w:t xml:space="preserve"> </w:t>
      </w:r>
      <w:r w:rsidRPr="00EA7458">
        <w:rPr>
          <w:rFonts w:ascii="Calibri" w:hAnsi="Calibri"/>
          <w:w w:val="105"/>
        </w:rPr>
        <w:t>career</w:t>
      </w:r>
      <w:r w:rsidRPr="00EA7458">
        <w:rPr>
          <w:rFonts w:ascii="Calibri" w:hAnsi="Calibri"/>
          <w:spacing w:val="18"/>
          <w:w w:val="105"/>
        </w:rPr>
        <w:t xml:space="preserve"> </w:t>
      </w:r>
      <w:r w:rsidRPr="00EA7458">
        <w:rPr>
          <w:rFonts w:ascii="Calibri" w:hAnsi="Calibri"/>
          <w:w w:val="105"/>
        </w:rPr>
        <w:t>centers</w:t>
      </w:r>
      <w:r w:rsidRPr="00EA7458">
        <w:rPr>
          <w:rFonts w:ascii="Calibri" w:hAnsi="Calibri"/>
          <w:spacing w:val="18"/>
          <w:w w:val="105"/>
        </w:rPr>
        <w:t xml:space="preserve"> </w:t>
      </w:r>
      <w:r w:rsidRPr="00EA7458">
        <w:rPr>
          <w:rFonts w:ascii="Calibri" w:hAnsi="Calibri"/>
          <w:w w:val="105"/>
        </w:rPr>
        <w:t>provide</w:t>
      </w:r>
      <w:r w:rsidRPr="00EA7458">
        <w:rPr>
          <w:rFonts w:ascii="Calibri" w:hAnsi="Calibri"/>
          <w:spacing w:val="18"/>
          <w:w w:val="105"/>
        </w:rPr>
        <w:t xml:space="preserve"> </w:t>
      </w:r>
      <w:r w:rsidRPr="00EA7458">
        <w:rPr>
          <w:rFonts w:ascii="Calibri" w:hAnsi="Calibri"/>
          <w:w w:val="105"/>
        </w:rPr>
        <w:t>representatives</w:t>
      </w:r>
      <w:r w:rsidRPr="00EA7458">
        <w:rPr>
          <w:rFonts w:ascii="Calibri" w:hAnsi="Calibri"/>
          <w:spacing w:val="-14"/>
          <w:w w:val="105"/>
        </w:rPr>
        <w:t xml:space="preserve"> </w:t>
      </w:r>
      <w:r w:rsidRPr="00EA7458">
        <w:rPr>
          <w:rFonts w:ascii="Calibri" w:hAnsi="Calibri"/>
          <w:w w:val="105"/>
        </w:rPr>
        <w:t>directly</w:t>
      </w:r>
      <w:r w:rsidRPr="00EA7458">
        <w:rPr>
          <w:rFonts w:ascii="Calibri" w:hAnsi="Calibri"/>
          <w:spacing w:val="8"/>
          <w:w w:val="105"/>
        </w:rPr>
        <w:t xml:space="preserve"> </w:t>
      </w:r>
      <w:r w:rsidRPr="00EA7458">
        <w:rPr>
          <w:rFonts w:ascii="Calibri" w:hAnsi="Calibri"/>
          <w:w w:val="105"/>
        </w:rPr>
        <w:t>to</w:t>
      </w:r>
      <w:r w:rsidRPr="00EA7458">
        <w:rPr>
          <w:rFonts w:ascii="Calibri" w:hAnsi="Calibri"/>
          <w:spacing w:val="8"/>
          <w:w w:val="105"/>
        </w:rPr>
        <w:t xml:space="preserve"> </w:t>
      </w:r>
      <w:r w:rsidRPr="00EA7458">
        <w:rPr>
          <w:rFonts w:ascii="Calibri" w:hAnsi="Calibri"/>
          <w:w w:val="105"/>
        </w:rPr>
        <w:t>the</w:t>
      </w:r>
      <w:r w:rsidRPr="00EA7458">
        <w:rPr>
          <w:rFonts w:ascii="Calibri" w:hAnsi="Calibri"/>
          <w:spacing w:val="8"/>
          <w:w w:val="105"/>
        </w:rPr>
        <w:t xml:space="preserve"> </w:t>
      </w:r>
      <w:r w:rsidRPr="00EA7458">
        <w:rPr>
          <w:rFonts w:ascii="Calibri" w:hAnsi="Calibri"/>
          <w:w w:val="105"/>
        </w:rPr>
        <w:t>adult</w:t>
      </w:r>
      <w:r w:rsidRPr="00EA7458">
        <w:rPr>
          <w:rFonts w:ascii="Calibri" w:hAnsi="Calibri"/>
          <w:spacing w:val="8"/>
          <w:w w:val="105"/>
        </w:rPr>
        <w:t xml:space="preserve"> </w:t>
      </w:r>
      <w:r w:rsidRPr="00EA7458">
        <w:rPr>
          <w:rFonts w:ascii="Calibri" w:hAnsi="Calibri"/>
          <w:w w:val="105"/>
        </w:rPr>
        <w:t>education</w:t>
      </w:r>
      <w:r w:rsidRPr="00EA7458">
        <w:rPr>
          <w:rFonts w:ascii="Calibri" w:hAnsi="Calibri"/>
          <w:spacing w:val="8"/>
          <w:w w:val="105"/>
        </w:rPr>
        <w:t xml:space="preserve"> </w:t>
      </w:r>
      <w:r w:rsidRPr="00EA7458">
        <w:rPr>
          <w:rFonts w:ascii="Calibri" w:hAnsi="Calibri"/>
          <w:w w:val="105"/>
        </w:rPr>
        <w:t>facility</w:t>
      </w:r>
      <w:r w:rsidRPr="00EA7458">
        <w:rPr>
          <w:rFonts w:ascii="Calibri" w:hAnsi="Calibri"/>
          <w:spacing w:val="8"/>
          <w:w w:val="105"/>
        </w:rPr>
        <w:t xml:space="preserve"> </w:t>
      </w:r>
      <w:r w:rsidRPr="00EA7458">
        <w:rPr>
          <w:rFonts w:ascii="Calibri" w:hAnsi="Calibri"/>
          <w:w w:val="105"/>
        </w:rPr>
        <w:t>to</w:t>
      </w:r>
      <w:r w:rsidRPr="00EA7458">
        <w:rPr>
          <w:rFonts w:ascii="Calibri" w:hAnsi="Calibri"/>
          <w:spacing w:val="8"/>
          <w:w w:val="105"/>
        </w:rPr>
        <w:t xml:space="preserve"> </w:t>
      </w:r>
      <w:r w:rsidRPr="00EA7458">
        <w:rPr>
          <w:rFonts w:ascii="Calibri" w:hAnsi="Calibri"/>
          <w:w w:val="105"/>
        </w:rPr>
        <w:t>provide</w:t>
      </w:r>
      <w:r w:rsidRPr="00EA7458">
        <w:rPr>
          <w:rFonts w:ascii="Calibri" w:hAnsi="Calibri"/>
          <w:spacing w:val="8"/>
          <w:w w:val="105"/>
        </w:rPr>
        <w:t xml:space="preserve"> </w:t>
      </w:r>
      <w:r w:rsidRPr="00EA7458">
        <w:rPr>
          <w:rFonts w:ascii="Calibri" w:hAnsi="Calibri"/>
          <w:w w:val="105"/>
        </w:rPr>
        <w:t>counseling,</w:t>
      </w:r>
      <w:r w:rsidRPr="00EA7458">
        <w:rPr>
          <w:rFonts w:ascii="Calibri" w:hAnsi="Calibri"/>
          <w:spacing w:val="8"/>
          <w:w w:val="105"/>
        </w:rPr>
        <w:t xml:space="preserve"> </w:t>
      </w:r>
      <w:r w:rsidRPr="00EA7458">
        <w:rPr>
          <w:rFonts w:ascii="Calibri" w:hAnsi="Calibri"/>
          <w:w w:val="105"/>
        </w:rPr>
        <w:t>advising</w:t>
      </w:r>
      <w:r w:rsidR="00D5537E">
        <w:rPr>
          <w:rFonts w:ascii="Calibri" w:hAnsi="Calibri"/>
          <w:w w:val="105"/>
        </w:rPr>
        <w:t xml:space="preserve"> and</w:t>
      </w:r>
      <w:r w:rsidRPr="00EA7458">
        <w:rPr>
          <w:rFonts w:ascii="Calibri" w:hAnsi="Calibri"/>
          <w:spacing w:val="8"/>
          <w:w w:val="105"/>
        </w:rPr>
        <w:t xml:space="preserve"> </w:t>
      </w:r>
      <w:r w:rsidRPr="00EA7458">
        <w:rPr>
          <w:rFonts w:ascii="Calibri" w:hAnsi="Calibri"/>
          <w:w w:val="105"/>
        </w:rPr>
        <w:t>other</w:t>
      </w:r>
      <w:r w:rsidRPr="00EA7458">
        <w:rPr>
          <w:rFonts w:ascii="Calibri" w:hAnsi="Calibri"/>
          <w:spacing w:val="8"/>
          <w:w w:val="105"/>
        </w:rPr>
        <w:t xml:space="preserve"> </w:t>
      </w:r>
      <w:r w:rsidRPr="00EA7458">
        <w:rPr>
          <w:rFonts w:ascii="Calibri" w:hAnsi="Calibri"/>
          <w:w w:val="105"/>
        </w:rPr>
        <w:t>services</w:t>
      </w:r>
      <w:r w:rsidRPr="00EA7458">
        <w:rPr>
          <w:rFonts w:ascii="Calibri" w:hAnsi="Calibri"/>
          <w:spacing w:val="8"/>
          <w:w w:val="105"/>
        </w:rPr>
        <w:t xml:space="preserve"> </w:t>
      </w:r>
      <w:r w:rsidRPr="00EA7458">
        <w:rPr>
          <w:rFonts w:ascii="Calibri" w:hAnsi="Calibri"/>
          <w:w w:val="105"/>
        </w:rPr>
        <w:t>related</w:t>
      </w:r>
      <w:r w:rsidRPr="00EA7458">
        <w:rPr>
          <w:rFonts w:ascii="Calibri" w:hAnsi="Calibri"/>
          <w:spacing w:val="8"/>
          <w:w w:val="105"/>
        </w:rPr>
        <w:t xml:space="preserve"> </w:t>
      </w:r>
      <w:r w:rsidRPr="00EA7458">
        <w:rPr>
          <w:rFonts w:ascii="Calibri" w:hAnsi="Calibri"/>
          <w:w w:val="105"/>
        </w:rPr>
        <w:t>to</w:t>
      </w:r>
      <w:r w:rsidRPr="00EA7458">
        <w:rPr>
          <w:rFonts w:ascii="Calibri" w:hAnsi="Calibri"/>
          <w:spacing w:val="-4"/>
          <w:w w:val="105"/>
        </w:rPr>
        <w:t xml:space="preserve"> </w:t>
      </w:r>
      <w:r w:rsidRPr="00EA7458">
        <w:rPr>
          <w:rFonts w:ascii="Calibri" w:hAnsi="Calibri"/>
          <w:w w:val="105"/>
        </w:rPr>
        <w:t>awareness</w:t>
      </w:r>
      <w:r w:rsidRPr="00EA7458">
        <w:rPr>
          <w:rFonts w:ascii="Calibri" w:hAnsi="Calibri"/>
          <w:spacing w:val="13"/>
          <w:w w:val="105"/>
        </w:rPr>
        <w:t xml:space="preserve"> </w:t>
      </w:r>
      <w:r w:rsidRPr="00EA7458">
        <w:rPr>
          <w:rFonts w:ascii="Calibri" w:hAnsi="Calibri"/>
          <w:w w:val="105"/>
        </w:rPr>
        <w:t>of</w:t>
      </w:r>
      <w:r w:rsidRPr="00EA7458">
        <w:rPr>
          <w:rFonts w:ascii="Calibri" w:hAnsi="Calibri"/>
          <w:spacing w:val="13"/>
          <w:w w:val="105"/>
        </w:rPr>
        <w:t xml:space="preserve"> </w:t>
      </w:r>
      <w:r w:rsidRPr="00EA7458">
        <w:rPr>
          <w:rFonts w:ascii="Calibri" w:hAnsi="Calibri"/>
          <w:w w:val="105"/>
        </w:rPr>
        <w:t>workforce</w:t>
      </w:r>
      <w:r w:rsidRPr="00EA7458">
        <w:rPr>
          <w:rFonts w:ascii="Calibri" w:hAnsi="Calibri"/>
          <w:spacing w:val="13"/>
          <w:w w:val="105"/>
        </w:rPr>
        <w:t xml:space="preserve"> </w:t>
      </w:r>
      <w:r w:rsidRPr="00EA7458">
        <w:rPr>
          <w:rFonts w:ascii="Calibri" w:hAnsi="Calibri"/>
          <w:w w:val="105"/>
        </w:rPr>
        <w:t>resources.</w:t>
      </w:r>
      <w:r w:rsidRPr="00EA7458">
        <w:rPr>
          <w:rFonts w:ascii="Calibri" w:hAnsi="Calibri"/>
          <w:spacing w:val="13"/>
          <w:w w:val="105"/>
        </w:rPr>
        <w:t xml:space="preserve"> </w:t>
      </w:r>
      <w:r w:rsidRPr="00EA7458">
        <w:rPr>
          <w:rFonts w:ascii="Calibri" w:hAnsi="Calibri"/>
          <w:w w:val="105"/>
        </w:rPr>
        <w:t>The</w:t>
      </w:r>
      <w:r w:rsidRPr="00EA7458">
        <w:rPr>
          <w:rFonts w:ascii="Calibri" w:hAnsi="Calibri"/>
          <w:spacing w:val="13"/>
          <w:w w:val="105"/>
        </w:rPr>
        <w:t xml:space="preserve"> </w:t>
      </w:r>
      <w:r w:rsidRPr="00EA7458">
        <w:rPr>
          <w:rFonts w:ascii="Calibri" w:hAnsi="Calibri"/>
          <w:w w:val="105"/>
        </w:rPr>
        <w:t>sharing</w:t>
      </w:r>
      <w:r w:rsidRPr="00EA7458">
        <w:rPr>
          <w:rFonts w:ascii="Calibri" w:hAnsi="Calibri"/>
          <w:spacing w:val="13"/>
          <w:w w:val="105"/>
        </w:rPr>
        <w:t xml:space="preserve"> </w:t>
      </w:r>
      <w:r w:rsidRPr="00EA7458">
        <w:rPr>
          <w:rFonts w:ascii="Calibri" w:hAnsi="Calibri"/>
          <w:w w:val="105"/>
        </w:rPr>
        <w:t>of</w:t>
      </w:r>
      <w:r w:rsidRPr="00EA7458">
        <w:rPr>
          <w:rFonts w:ascii="Calibri" w:hAnsi="Calibri"/>
          <w:spacing w:val="13"/>
          <w:w w:val="105"/>
        </w:rPr>
        <w:t xml:space="preserve"> </w:t>
      </w:r>
      <w:r w:rsidRPr="00EA7458">
        <w:rPr>
          <w:rFonts w:ascii="Calibri" w:hAnsi="Calibri"/>
          <w:w w:val="105"/>
        </w:rPr>
        <w:t>cross-referral</w:t>
      </w:r>
      <w:r w:rsidRPr="00EA7458">
        <w:rPr>
          <w:rFonts w:ascii="Calibri" w:hAnsi="Calibri"/>
          <w:spacing w:val="13"/>
          <w:w w:val="105"/>
        </w:rPr>
        <w:t xml:space="preserve"> </w:t>
      </w:r>
      <w:r w:rsidRPr="00EA7458">
        <w:rPr>
          <w:rFonts w:ascii="Calibri" w:hAnsi="Calibri"/>
          <w:w w:val="105"/>
        </w:rPr>
        <w:t>outcomes</w:t>
      </w:r>
      <w:r w:rsidRPr="00EA7458">
        <w:rPr>
          <w:rFonts w:ascii="Calibri" w:hAnsi="Calibri"/>
          <w:spacing w:val="13"/>
          <w:w w:val="105"/>
        </w:rPr>
        <w:t xml:space="preserve"> </w:t>
      </w:r>
      <w:r w:rsidR="0033481D">
        <w:rPr>
          <w:rFonts w:ascii="Calibri" w:hAnsi="Calibri"/>
          <w:w w:val="105"/>
        </w:rPr>
        <w:t>is</w:t>
      </w:r>
      <w:r w:rsidRPr="00EA7458">
        <w:rPr>
          <w:rFonts w:ascii="Calibri" w:hAnsi="Calibri"/>
          <w:spacing w:val="13"/>
          <w:w w:val="105"/>
        </w:rPr>
        <w:t xml:space="preserve"> </w:t>
      </w:r>
      <w:r w:rsidRPr="00EA7458">
        <w:rPr>
          <w:rFonts w:ascii="Calibri" w:hAnsi="Calibri"/>
          <w:w w:val="105"/>
        </w:rPr>
        <w:t>a</w:t>
      </w:r>
      <w:r w:rsidRPr="00EA7458">
        <w:rPr>
          <w:rFonts w:ascii="Calibri" w:hAnsi="Calibri"/>
          <w:spacing w:val="13"/>
          <w:w w:val="105"/>
        </w:rPr>
        <w:t xml:space="preserve"> </w:t>
      </w:r>
      <w:r w:rsidRPr="00EA7458">
        <w:rPr>
          <w:rFonts w:ascii="Calibri" w:hAnsi="Calibri"/>
          <w:w w:val="105"/>
        </w:rPr>
        <w:t>priority</w:t>
      </w:r>
      <w:r w:rsidRPr="00EA7458">
        <w:rPr>
          <w:rFonts w:ascii="Calibri" w:hAnsi="Calibri"/>
          <w:spacing w:val="13"/>
          <w:w w:val="105"/>
        </w:rPr>
        <w:t xml:space="preserve"> </w:t>
      </w:r>
      <w:r w:rsidRPr="00EA7458">
        <w:rPr>
          <w:rFonts w:ascii="Calibri" w:hAnsi="Calibri"/>
          <w:w w:val="105"/>
        </w:rPr>
        <w:t>of</w:t>
      </w:r>
      <w:r w:rsidRPr="00EA7458">
        <w:rPr>
          <w:rFonts w:ascii="Calibri" w:hAnsi="Calibri"/>
          <w:spacing w:val="13"/>
          <w:w w:val="105"/>
        </w:rPr>
        <w:t xml:space="preserve"> </w:t>
      </w:r>
      <w:r w:rsidRPr="00EA7458">
        <w:rPr>
          <w:rFonts w:ascii="Calibri" w:hAnsi="Calibri"/>
          <w:w w:val="105"/>
        </w:rPr>
        <w:t>DCAE</w:t>
      </w:r>
      <w:r w:rsidRPr="00EA7458">
        <w:rPr>
          <w:rFonts w:ascii="Calibri" w:hAnsi="Calibri"/>
          <w:spacing w:val="13"/>
          <w:w w:val="105"/>
        </w:rPr>
        <w:t xml:space="preserve"> </w:t>
      </w:r>
      <w:r w:rsidRPr="00EA7458">
        <w:rPr>
          <w:rFonts w:ascii="Calibri" w:hAnsi="Calibri"/>
          <w:w w:val="105"/>
        </w:rPr>
        <w:t>to</w:t>
      </w:r>
      <w:r w:rsidRPr="00EA7458">
        <w:rPr>
          <w:rFonts w:ascii="Calibri" w:hAnsi="Calibri"/>
          <w:spacing w:val="-8"/>
          <w:w w:val="105"/>
        </w:rPr>
        <w:t xml:space="preserve"> </w:t>
      </w:r>
      <w:r w:rsidRPr="00EA7458">
        <w:rPr>
          <w:rFonts w:ascii="Calibri" w:hAnsi="Calibri"/>
          <w:w w:val="105"/>
        </w:rPr>
        <w:t xml:space="preserve">support the goals of </w:t>
      </w:r>
      <w:r w:rsidRPr="00EA7458">
        <w:rPr>
          <w:rFonts w:ascii="Calibri" w:hAnsi="Calibri"/>
          <w:spacing w:val="-3"/>
          <w:w w:val="105"/>
        </w:rPr>
        <w:t xml:space="preserve">WIOA </w:t>
      </w:r>
      <w:r w:rsidRPr="00EA7458">
        <w:rPr>
          <w:rFonts w:ascii="Calibri" w:hAnsi="Calibri"/>
          <w:w w:val="105"/>
        </w:rPr>
        <w:t>and increase student access and achievement.</w:t>
      </w:r>
      <w:bookmarkStart w:id="52" w:name="_Hlk501356790"/>
    </w:p>
    <w:p w14:paraId="21E7459D" w14:textId="77777777" w:rsidR="001C024A" w:rsidRDefault="001C024A" w:rsidP="00D63204">
      <w:pPr>
        <w:widowControl w:val="0"/>
        <w:spacing w:after="0" w:line="264" w:lineRule="exact"/>
        <w:ind w:left="107"/>
        <w:rPr>
          <w:rFonts w:ascii="Calibri" w:hAnsi="Calibri"/>
        </w:rPr>
      </w:pPr>
    </w:p>
    <w:p w14:paraId="41AC235B" w14:textId="65D55322" w:rsidR="00EA7458" w:rsidRPr="001C024A" w:rsidRDefault="00EA7458" w:rsidP="00D63204">
      <w:pPr>
        <w:pStyle w:val="ListParagraph"/>
        <w:widowControl w:val="0"/>
        <w:numPr>
          <w:ilvl w:val="2"/>
          <w:numId w:val="7"/>
        </w:numPr>
        <w:spacing w:after="0" w:line="264" w:lineRule="exact"/>
        <w:rPr>
          <w:rFonts w:ascii="Calibri" w:hAnsi="Calibri"/>
        </w:rPr>
      </w:pPr>
      <w:r w:rsidRPr="001C024A">
        <w:rPr>
          <w:rFonts w:ascii="Calibri" w:hAnsi="Calibri"/>
          <w:color w:val="295CA3"/>
          <w:w w:val="110"/>
        </w:rPr>
        <w:t>The Strengths and Weaknesses of Workforce Development</w:t>
      </w:r>
      <w:r w:rsidRPr="001C024A">
        <w:rPr>
          <w:rFonts w:ascii="Calibri" w:hAnsi="Calibri"/>
          <w:color w:val="295CA3"/>
          <w:spacing w:val="-13"/>
          <w:w w:val="110"/>
        </w:rPr>
        <w:t xml:space="preserve"> </w:t>
      </w:r>
      <w:r w:rsidRPr="001C024A">
        <w:rPr>
          <w:rFonts w:ascii="Calibri" w:hAnsi="Calibri"/>
          <w:color w:val="295CA3"/>
          <w:w w:val="110"/>
        </w:rPr>
        <w:t>Activities</w:t>
      </w:r>
    </w:p>
    <w:p w14:paraId="4E6AD376" w14:textId="66BD469F" w:rsidR="0011093C" w:rsidRDefault="00EA7458" w:rsidP="00D63204">
      <w:pPr>
        <w:widowControl w:val="0"/>
        <w:spacing w:before="193" w:after="0" w:line="264" w:lineRule="exact"/>
        <w:ind w:left="107"/>
        <w:rPr>
          <w:rFonts w:ascii="Calibri" w:hAnsi="Calibri"/>
          <w:spacing w:val="11"/>
          <w:w w:val="105"/>
        </w:rPr>
      </w:pPr>
      <w:r w:rsidRPr="00EA7458">
        <w:rPr>
          <w:rFonts w:ascii="Calibri" w:hAnsi="Calibri"/>
          <w:w w:val="105"/>
        </w:rPr>
        <w:t>As</w:t>
      </w:r>
      <w:r w:rsidRPr="00EA7458">
        <w:rPr>
          <w:rFonts w:ascii="Calibri" w:hAnsi="Calibri"/>
          <w:spacing w:val="11"/>
          <w:w w:val="105"/>
        </w:rPr>
        <w:t xml:space="preserve"> </w:t>
      </w:r>
      <w:r w:rsidRPr="00EA7458">
        <w:rPr>
          <w:rFonts w:ascii="Calibri" w:hAnsi="Calibri"/>
          <w:w w:val="105"/>
        </w:rPr>
        <w:t>is</w:t>
      </w:r>
      <w:r w:rsidRPr="00EA7458">
        <w:rPr>
          <w:rFonts w:ascii="Calibri" w:hAnsi="Calibri"/>
          <w:spacing w:val="11"/>
          <w:w w:val="105"/>
        </w:rPr>
        <w:t xml:space="preserve"> </w:t>
      </w:r>
      <w:r w:rsidR="0033481D">
        <w:rPr>
          <w:rFonts w:ascii="Calibri" w:hAnsi="Calibri"/>
          <w:w w:val="105"/>
        </w:rPr>
        <w:t>outlined</w:t>
      </w:r>
      <w:r w:rsidR="0033481D" w:rsidRPr="00EA7458">
        <w:rPr>
          <w:rFonts w:ascii="Calibri" w:hAnsi="Calibri"/>
          <w:spacing w:val="11"/>
          <w:w w:val="105"/>
        </w:rPr>
        <w:t xml:space="preserve"> </w:t>
      </w:r>
      <w:r w:rsidRPr="00EA7458">
        <w:rPr>
          <w:rFonts w:ascii="Calibri" w:hAnsi="Calibri"/>
          <w:w w:val="105"/>
        </w:rPr>
        <w:t>in</w:t>
      </w:r>
      <w:r w:rsidRPr="00EA7458">
        <w:rPr>
          <w:rFonts w:ascii="Calibri" w:hAnsi="Calibri"/>
          <w:spacing w:val="11"/>
          <w:w w:val="105"/>
        </w:rPr>
        <w:t xml:space="preserve"> </w:t>
      </w:r>
      <w:r w:rsidRPr="00EA7458">
        <w:rPr>
          <w:rFonts w:ascii="Calibri" w:hAnsi="Calibri"/>
          <w:w w:val="105"/>
        </w:rPr>
        <w:t>section</w:t>
      </w:r>
      <w:r w:rsidRPr="00EA7458">
        <w:rPr>
          <w:rFonts w:ascii="Calibri" w:hAnsi="Calibri"/>
          <w:spacing w:val="11"/>
          <w:w w:val="105"/>
        </w:rPr>
        <w:t xml:space="preserve"> </w:t>
      </w:r>
      <w:r w:rsidRPr="00EA7458">
        <w:rPr>
          <w:rFonts w:ascii="Calibri" w:hAnsi="Calibri"/>
          <w:w w:val="105"/>
        </w:rPr>
        <w:t>2(A)</w:t>
      </w:r>
      <w:r w:rsidRPr="00EA7458">
        <w:rPr>
          <w:rFonts w:ascii="Calibri" w:hAnsi="Calibri"/>
          <w:spacing w:val="11"/>
          <w:w w:val="105"/>
        </w:rPr>
        <w:t xml:space="preserve"> </w:t>
      </w:r>
      <w:r w:rsidRPr="00EA7458">
        <w:rPr>
          <w:rFonts w:ascii="Calibri" w:hAnsi="Calibri"/>
          <w:w w:val="105"/>
        </w:rPr>
        <w:t>above,</w:t>
      </w:r>
      <w:r w:rsidRPr="00EA7458">
        <w:rPr>
          <w:rFonts w:ascii="Calibri" w:hAnsi="Calibri"/>
          <w:spacing w:val="11"/>
          <w:w w:val="105"/>
        </w:rPr>
        <w:t xml:space="preserve"> </w:t>
      </w:r>
      <w:r w:rsidRPr="00EA7458">
        <w:rPr>
          <w:rFonts w:ascii="Calibri" w:hAnsi="Calibri"/>
          <w:w w:val="105"/>
        </w:rPr>
        <w:t>Florida’s</w:t>
      </w:r>
      <w:r w:rsidRPr="00EA7458">
        <w:rPr>
          <w:rFonts w:ascii="Calibri" w:hAnsi="Calibri"/>
          <w:spacing w:val="11"/>
          <w:w w:val="105"/>
        </w:rPr>
        <w:t xml:space="preserve"> </w:t>
      </w:r>
      <w:r w:rsidRPr="00EA7458">
        <w:rPr>
          <w:rFonts w:ascii="Calibri" w:hAnsi="Calibri"/>
          <w:w w:val="105"/>
        </w:rPr>
        <w:t>workforce</w:t>
      </w:r>
      <w:r w:rsidRPr="00EA7458">
        <w:rPr>
          <w:rFonts w:ascii="Calibri" w:hAnsi="Calibri"/>
          <w:spacing w:val="11"/>
          <w:w w:val="105"/>
        </w:rPr>
        <w:t xml:space="preserve"> </w:t>
      </w:r>
      <w:r w:rsidRPr="00EA7458">
        <w:rPr>
          <w:rFonts w:ascii="Calibri" w:hAnsi="Calibri"/>
          <w:w w:val="105"/>
        </w:rPr>
        <w:t>network</w:t>
      </w:r>
      <w:r w:rsidRPr="00EA7458">
        <w:rPr>
          <w:rFonts w:ascii="Calibri" w:hAnsi="Calibri"/>
          <w:spacing w:val="11"/>
          <w:w w:val="105"/>
        </w:rPr>
        <w:t xml:space="preserve"> </w:t>
      </w:r>
      <w:r w:rsidRPr="00EA7458">
        <w:rPr>
          <w:rFonts w:ascii="Calibri" w:hAnsi="Calibri"/>
          <w:w w:val="105"/>
        </w:rPr>
        <w:t>partners</w:t>
      </w:r>
      <w:r w:rsidRPr="00EA7458">
        <w:rPr>
          <w:rFonts w:ascii="Calibri" w:hAnsi="Calibri"/>
          <w:spacing w:val="11"/>
          <w:w w:val="105"/>
        </w:rPr>
        <w:t xml:space="preserve"> </w:t>
      </w:r>
      <w:r w:rsidRPr="00EA7458">
        <w:rPr>
          <w:rFonts w:ascii="Calibri" w:hAnsi="Calibri"/>
          <w:w w:val="105"/>
        </w:rPr>
        <w:t>are</w:t>
      </w:r>
      <w:r w:rsidRPr="00EA7458">
        <w:rPr>
          <w:rFonts w:ascii="Calibri" w:hAnsi="Calibri"/>
          <w:spacing w:val="11"/>
          <w:w w:val="105"/>
        </w:rPr>
        <w:t xml:space="preserve"> </w:t>
      </w:r>
      <w:r w:rsidRPr="00EA7458">
        <w:rPr>
          <w:rFonts w:ascii="Calibri" w:hAnsi="Calibri"/>
          <w:w w:val="105"/>
        </w:rPr>
        <w:t>successful</w:t>
      </w:r>
      <w:r w:rsidRPr="00EA7458">
        <w:rPr>
          <w:rFonts w:ascii="Calibri" w:hAnsi="Calibri"/>
          <w:spacing w:val="11"/>
          <w:w w:val="105"/>
        </w:rPr>
        <w:t xml:space="preserve"> </w:t>
      </w:r>
      <w:r w:rsidRPr="00EA7458">
        <w:rPr>
          <w:rFonts w:ascii="Calibri" w:hAnsi="Calibri"/>
          <w:w w:val="105"/>
        </w:rPr>
        <w:t>in</w:t>
      </w:r>
      <w:r w:rsidRPr="00EA7458">
        <w:rPr>
          <w:rFonts w:ascii="Calibri" w:hAnsi="Calibri"/>
          <w:spacing w:val="-3"/>
          <w:w w:val="105"/>
        </w:rPr>
        <w:t xml:space="preserve"> </w:t>
      </w:r>
      <w:r w:rsidR="0033481D">
        <w:rPr>
          <w:rFonts w:ascii="Calibri" w:hAnsi="Calibri"/>
          <w:spacing w:val="-3"/>
          <w:w w:val="105"/>
        </w:rPr>
        <w:t xml:space="preserve">reaching and </w:t>
      </w:r>
      <w:r w:rsidRPr="00EA7458">
        <w:rPr>
          <w:rFonts w:ascii="Calibri" w:hAnsi="Calibri"/>
          <w:w w:val="105"/>
        </w:rPr>
        <w:t>serving</w:t>
      </w:r>
      <w:r w:rsidRPr="00EA7458">
        <w:rPr>
          <w:rFonts w:ascii="Calibri" w:hAnsi="Calibri"/>
          <w:spacing w:val="13"/>
          <w:w w:val="105"/>
        </w:rPr>
        <w:t xml:space="preserve"> </w:t>
      </w:r>
      <w:r w:rsidRPr="00EA7458">
        <w:rPr>
          <w:rFonts w:ascii="Calibri" w:hAnsi="Calibri"/>
          <w:w w:val="105"/>
        </w:rPr>
        <w:t>customers</w:t>
      </w:r>
      <w:r w:rsidRPr="00EA7458">
        <w:rPr>
          <w:rFonts w:ascii="Calibri" w:hAnsi="Calibri"/>
          <w:spacing w:val="13"/>
          <w:w w:val="105"/>
        </w:rPr>
        <w:t xml:space="preserve"> </w:t>
      </w:r>
      <w:r w:rsidR="0033481D">
        <w:rPr>
          <w:rFonts w:ascii="Calibri" w:hAnsi="Calibri"/>
          <w:w w:val="105"/>
        </w:rPr>
        <w:t>to put</w:t>
      </w:r>
      <w:r w:rsidRPr="00EA7458">
        <w:rPr>
          <w:rFonts w:ascii="Calibri" w:hAnsi="Calibri"/>
          <w:spacing w:val="13"/>
          <w:w w:val="105"/>
        </w:rPr>
        <w:t xml:space="preserve"> </w:t>
      </w:r>
      <w:r w:rsidRPr="00EA7458">
        <w:rPr>
          <w:rFonts w:ascii="Calibri" w:hAnsi="Calibri"/>
          <w:w w:val="105"/>
        </w:rPr>
        <w:t>Floridians</w:t>
      </w:r>
      <w:r w:rsidRPr="00EA7458">
        <w:rPr>
          <w:rFonts w:ascii="Calibri" w:hAnsi="Calibri"/>
          <w:spacing w:val="13"/>
          <w:w w:val="105"/>
        </w:rPr>
        <w:t xml:space="preserve"> </w:t>
      </w:r>
      <w:r w:rsidRPr="00EA7458">
        <w:rPr>
          <w:rFonts w:ascii="Calibri" w:hAnsi="Calibri"/>
          <w:w w:val="105"/>
        </w:rPr>
        <w:t>to</w:t>
      </w:r>
      <w:r w:rsidRPr="00EA7458">
        <w:rPr>
          <w:rFonts w:ascii="Calibri" w:hAnsi="Calibri"/>
          <w:spacing w:val="13"/>
          <w:w w:val="105"/>
        </w:rPr>
        <w:t xml:space="preserve"> </w:t>
      </w:r>
      <w:r w:rsidRPr="00EA7458">
        <w:rPr>
          <w:rFonts w:ascii="Calibri" w:hAnsi="Calibri"/>
          <w:w w:val="105"/>
        </w:rPr>
        <w:t>work.</w:t>
      </w:r>
      <w:r w:rsidRPr="00EA7458">
        <w:rPr>
          <w:rFonts w:ascii="Calibri" w:hAnsi="Calibri"/>
          <w:spacing w:val="13"/>
          <w:w w:val="105"/>
        </w:rPr>
        <w:t xml:space="preserve"> </w:t>
      </w:r>
      <w:r w:rsidR="0033481D">
        <w:rPr>
          <w:rFonts w:ascii="Calibri" w:hAnsi="Calibri"/>
          <w:w w:val="105"/>
        </w:rPr>
        <w:t>T</w:t>
      </w:r>
      <w:r w:rsidRPr="00EA7458">
        <w:rPr>
          <w:rFonts w:ascii="Calibri" w:hAnsi="Calibri"/>
          <w:w w:val="105"/>
        </w:rPr>
        <w:t>hese</w:t>
      </w:r>
      <w:r w:rsidRPr="00EA7458">
        <w:rPr>
          <w:rFonts w:ascii="Calibri" w:hAnsi="Calibri"/>
          <w:spacing w:val="18"/>
          <w:w w:val="105"/>
        </w:rPr>
        <w:t xml:space="preserve"> </w:t>
      </w:r>
      <w:r w:rsidRPr="00EA7458">
        <w:rPr>
          <w:rFonts w:ascii="Calibri" w:hAnsi="Calibri"/>
          <w:w w:val="105"/>
        </w:rPr>
        <w:t>partnerships</w:t>
      </w:r>
      <w:r w:rsidRPr="00EA7458">
        <w:rPr>
          <w:rFonts w:ascii="Calibri" w:hAnsi="Calibri"/>
          <w:spacing w:val="18"/>
          <w:w w:val="105"/>
        </w:rPr>
        <w:t xml:space="preserve"> </w:t>
      </w:r>
      <w:r w:rsidR="0033481D">
        <w:rPr>
          <w:rFonts w:ascii="Calibri" w:hAnsi="Calibri"/>
          <w:w w:val="105"/>
        </w:rPr>
        <w:t>are</w:t>
      </w:r>
      <w:r w:rsidRPr="00EA7458">
        <w:rPr>
          <w:rFonts w:ascii="Calibri" w:hAnsi="Calibri"/>
          <w:spacing w:val="18"/>
          <w:w w:val="105"/>
        </w:rPr>
        <w:t xml:space="preserve"> </w:t>
      </w:r>
      <w:r w:rsidRPr="00EA7458">
        <w:rPr>
          <w:rFonts w:ascii="Calibri" w:hAnsi="Calibri"/>
          <w:w w:val="105"/>
        </w:rPr>
        <w:t>leveraged</w:t>
      </w:r>
      <w:r w:rsidRPr="00EA7458">
        <w:rPr>
          <w:rFonts w:ascii="Calibri" w:hAnsi="Calibri"/>
          <w:spacing w:val="18"/>
          <w:w w:val="105"/>
        </w:rPr>
        <w:t xml:space="preserve"> </w:t>
      </w:r>
      <w:r w:rsidRPr="00EA7458">
        <w:rPr>
          <w:rFonts w:ascii="Calibri" w:hAnsi="Calibri"/>
          <w:w w:val="105"/>
        </w:rPr>
        <w:t>at</w:t>
      </w:r>
      <w:r w:rsidRPr="00EA7458">
        <w:rPr>
          <w:rFonts w:ascii="Calibri" w:hAnsi="Calibri"/>
          <w:spacing w:val="18"/>
          <w:w w:val="105"/>
        </w:rPr>
        <w:t xml:space="preserve"> </w:t>
      </w:r>
      <w:r w:rsidRPr="00EA7458">
        <w:rPr>
          <w:rFonts w:ascii="Calibri" w:hAnsi="Calibri"/>
          <w:w w:val="105"/>
        </w:rPr>
        <w:t>the</w:t>
      </w:r>
      <w:r w:rsidRPr="00EA7458">
        <w:rPr>
          <w:rFonts w:ascii="Calibri" w:hAnsi="Calibri"/>
          <w:spacing w:val="18"/>
          <w:w w:val="105"/>
        </w:rPr>
        <w:t xml:space="preserve"> </w:t>
      </w:r>
      <w:r w:rsidRPr="00EA7458">
        <w:rPr>
          <w:rFonts w:ascii="Calibri" w:hAnsi="Calibri"/>
          <w:w w:val="105"/>
        </w:rPr>
        <w:t>state</w:t>
      </w:r>
      <w:r w:rsidRPr="00EA7458">
        <w:rPr>
          <w:rFonts w:ascii="Calibri" w:hAnsi="Calibri"/>
          <w:spacing w:val="18"/>
          <w:w w:val="105"/>
        </w:rPr>
        <w:t xml:space="preserve"> </w:t>
      </w:r>
      <w:r w:rsidRPr="00EA7458">
        <w:rPr>
          <w:rFonts w:ascii="Calibri" w:hAnsi="Calibri"/>
          <w:w w:val="105"/>
        </w:rPr>
        <w:t>and</w:t>
      </w:r>
      <w:r w:rsidRPr="00EA7458">
        <w:rPr>
          <w:rFonts w:ascii="Calibri" w:hAnsi="Calibri"/>
          <w:spacing w:val="18"/>
          <w:w w:val="105"/>
        </w:rPr>
        <w:t xml:space="preserve"> </w:t>
      </w:r>
      <w:r w:rsidRPr="00EA7458">
        <w:rPr>
          <w:rFonts w:ascii="Calibri" w:hAnsi="Calibri"/>
          <w:w w:val="105"/>
        </w:rPr>
        <w:t>local</w:t>
      </w:r>
      <w:r w:rsidRPr="00EA7458">
        <w:rPr>
          <w:rFonts w:ascii="Calibri" w:hAnsi="Calibri"/>
          <w:spacing w:val="18"/>
          <w:w w:val="105"/>
        </w:rPr>
        <w:t xml:space="preserve"> </w:t>
      </w:r>
      <w:r w:rsidRPr="00EA7458">
        <w:rPr>
          <w:rFonts w:ascii="Calibri" w:hAnsi="Calibri"/>
          <w:w w:val="105"/>
        </w:rPr>
        <w:t>levels</w:t>
      </w:r>
      <w:r w:rsidRPr="00EA7458">
        <w:rPr>
          <w:rFonts w:ascii="Calibri" w:hAnsi="Calibri"/>
          <w:spacing w:val="18"/>
          <w:w w:val="105"/>
        </w:rPr>
        <w:t xml:space="preserve"> </w:t>
      </w:r>
      <w:r w:rsidRPr="00EA7458">
        <w:rPr>
          <w:rFonts w:ascii="Calibri" w:hAnsi="Calibri"/>
          <w:w w:val="105"/>
        </w:rPr>
        <w:t>to</w:t>
      </w:r>
      <w:r w:rsidRPr="00EA7458">
        <w:rPr>
          <w:rFonts w:ascii="Calibri" w:hAnsi="Calibri"/>
          <w:spacing w:val="18"/>
          <w:w w:val="105"/>
        </w:rPr>
        <w:t xml:space="preserve"> </w:t>
      </w:r>
      <w:r w:rsidRPr="00EA7458">
        <w:rPr>
          <w:rFonts w:ascii="Calibri" w:hAnsi="Calibri"/>
          <w:w w:val="105"/>
        </w:rPr>
        <w:t>enhance</w:t>
      </w:r>
      <w:r w:rsidRPr="00EA7458">
        <w:rPr>
          <w:rFonts w:ascii="Calibri" w:hAnsi="Calibri"/>
          <w:w w:val="109"/>
        </w:rPr>
        <w:t xml:space="preserve"> </w:t>
      </w:r>
      <w:r w:rsidRPr="00EA7458">
        <w:rPr>
          <w:rFonts w:ascii="Calibri" w:hAnsi="Calibri"/>
          <w:w w:val="105"/>
        </w:rPr>
        <w:t>any</w:t>
      </w:r>
      <w:r w:rsidRPr="00EA7458">
        <w:rPr>
          <w:rFonts w:ascii="Calibri" w:hAnsi="Calibri"/>
          <w:spacing w:val="13"/>
          <w:w w:val="105"/>
        </w:rPr>
        <w:t xml:space="preserve"> </w:t>
      </w:r>
      <w:r w:rsidRPr="00EA7458">
        <w:rPr>
          <w:rFonts w:ascii="Calibri" w:hAnsi="Calibri"/>
          <w:w w:val="105"/>
        </w:rPr>
        <w:t>areas</w:t>
      </w:r>
      <w:r w:rsidRPr="00EA7458">
        <w:rPr>
          <w:rFonts w:ascii="Calibri" w:hAnsi="Calibri"/>
          <w:spacing w:val="13"/>
          <w:w w:val="105"/>
        </w:rPr>
        <w:t xml:space="preserve"> </w:t>
      </w:r>
      <w:r w:rsidR="0033481D">
        <w:rPr>
          <w:rFonts w:ascii="Calibri" w:hAnsi="Calibri"/>
          <w:w w:val="105"/>
        </w:rPr>
        <w:t>where improvements are needed</w:t>
      </w:r>
      <w:r w:rsidRPr="00EA7458">
        <w:rPr>
          <w:rFonts w:ascii="Calibri" w:hAnsi="Calibri"/>
          <w:w w:val="105"/>
        </w:rPr>
        <w:t>.</w:t>
      </w:r>
      <w:r w:rsidRPr="00EA7458">
        <w:rPr>
          <w:rFonts w:ascii="Calibri" w:hAnsi="Calibri"/>
          <w:spacing w:val="13"/>
          <w:w w:val="105"/>
        </w:rPr>
        <w:t xml:space="preserve"> </w:t>
      </w:r>
      <w:r w:rsidRPr="00EA7458">
        <w:rPr>
          <w:rFonts w:ascii="Calibri" w:hAnsi="Calibri"/>
          <w:w w:val="105"/>
        </w:rPr>
        <w:t>The</w:t>
      </w:r>
      <w:r w:rsidRPr="00EA7458">
        <w:rPr>
          <w:rFonts w:ascii="Calibri" w:hAnsi="Calibri"/>
          <w:spacing w:val="13"/>
          <w:w w:val="105"/>
        </w:rPr>
        <w:t xml:space="preserve"> </w:t>
      </w:r>
      <w:r w:rsidRPr="00EA7458">
        <w:rPr>
          <w:rFonts w:ascii="Calibri" w:hAnsi="Calibri"/>
          <w:w w:val="105"/>
        </w:rPr>
        <w:t>strength</w:t>
      </w:r>
      <w:r w:rsidRPr="00EA7458">
        <w:rPr>
          <w:rFonts w:ascii="Calibri" w:hAnsi="Calibri"/>
          <w:spacing w:val="13"/>
          <w:w w:val="105"/>
        </w:rPr>
        <w:t xml:space="preserve"> </w:t>
      </w:r>
      <w:r w:rsidRPr="00EA7458">
        <w:rPr>
          <w:rFonts w:ascii="Calibri" w:hAnsi="Calibri"/>
          <w:w w:val="105"/>
        </w:rPr>
        <w:t>of</w:t>
      </w:r>
      <w:r w:rsidRPr="00EA7458">
        <w:rPr>
          <w:rFonts w:ascii="Calibri" w:hAnsi="Calibri"/>
          <w:spacing w:val="13"/>
          <w:w w:val="105"/>
        </w:rPr>
        <w:t xml:space="preserve"> </w:t>
      </w:r>
      <w:r w:rsidRPr="00EA7458">
        <w:rPr>
          <w:rFonts w:ascii="Calibri" w:hAnsi="Calibri"/>
          <w:w w:val="105"/>
        </w:rPr>
        <w:t>Florida’s</w:t>
      </w:r>
      <w:r w:rsidRPr="00EA7458">
        <w:rPr>
          <w:rFonts w:ascii="Calibri" w:hAnsi="Calibri"/>
          <w:spacing w:val="13"/>
          <w:w w:val="105"/>
        </w:rPr>
        <w:t xml:space="preserve"> </w:t>
      </w:r>
      <w:r w:rsidRPr="00EA7458">
        <w:rPr>
          <w:rFonts w:ascii="Calibri" w:hAnsi="Calibri"/>
          <w:w w:val="105"/>
        </w:rPr>
        <w:t>workforce</w:t>
      </w:r>
      <w:r w:rsidRPr="00EA7458">
        <w:rPr>
          <w:rFonts w:ascii="Calibri" w:hAnsi="Calibri"/>
          <w:spacing w:val="13"/>
          <w:w w:val="105"/>
        </w:rPr>
        <w:t xml:space="preserve"> </w:t>
      </w:r>
      <w:r w:rsidRPr="00EA7458">
        <w:rPr>
          <w:rFonts w:ascii="Calibri" w:hAnsi="Calibri"/>
          <w:w w:val="105"/>
        </w:rPr>
        <w:t>network</w:t>
      </w:r>
      <w:r w:rsidRPr="00EA7458">
        <w:rPr>
          <w:rFonts w:ascii="Calibri" w:hAnsi="Calibri"/>
          <w:spacing w:val="13"/>
          <w:w w:val="105"/>
        </w:rPr>
        <w:t xml:space="preserve"> </w:t>
      </w:r>
      <w:r w:rsidRPr="00EA7458">
        <w:rPr>
          <w:rFonts w:ascii="Calibri" w:hAnsi="Calibri"/>
          <w:w w:val="105"/>
        </w:rPr>
        <w:t>is</w:t>
      </w:r>
      <w:r w:rsidRPr="00EA7458">
        <w:rPr>
          <w:rFonts w:ascii="Calibri" w:hAnsi="Calibri"/>
          <w:spacing w:val="13"/>
          <w:w w:val="105"/>
        </w:rPr>
        <w:t xml:space="preserve"> </w:t>
      </w:r>
      <w:r w:rsidRPr="00EA7458">
        <w:rPr>
          <w:rFonts w:ascii="Calibri" w:hAnsi="Calibri"/>
          <w:w w:val="105"/>
        </w:rPr>
        <w:t>demonstrated</w:t>
      </w:r>
      <w:r w:rsidRPr="00EA7458">
        <w:rPr>
          <w:rFonts w:ascii="Calibri" w:hAnsi="Calibri"/>
          <w:spacing w:val="13"/>
          <w:w w:val="105"/>
        </w:rPr>
        <w:t xml:space="preserve"> </w:t>
      </w:r>
      <w:r w:rsidR="007C75FF">
        <w:rPr>
          <w:rFonts w:ascii="Calibri" w:hAnsi="Calibri"/>
          <w:w w:val="105"/>
        </w:rPr>
        <w:t xml:space="preserve">through its existing </w:t>
      </w:r>
      <w:r w:rsidRPr="00EA7458">
        <w:rPr>
          <w:rFonts w:ascii="Calibri" w:hAnsi="Calibri"/>
          <w:w w:val="105"/>
        </w:rPr>
        <w:t xml:space="preserve">relationships and the </w:t>
      </w:r>
      <w:r w:rsidR="007C75FF">
        <w:rPr>
          <w:rFonts w:ascii="Calibri" w:hAnsi="Calibri"/>
          <w:w w:val="105"/>
        </w:rPr>
        <w:t xml:space="preserve">ongoing effort to identify additional </w:t>
      </w:r>
      <w:r w:rsidRPr="00EA7458">
        <w:rPr>
          <w:rFonts w:ascii="Calibri" w:hAnsi="Calibri"/>
          <w:w w:val="105"/>
        </w:rPr>
        <w:t>opportunities for coordinated service delivery</w:t>
      </w:r>
      <w:r w:rsidR="007C75FF">
        <w:rPr>
          <w:rFonts w:ascii="Calibri" w:hAnsi="Calibri"/>
          <w:w w:val="105"/>
        </w:rPr>
        <w:t xml:space="preserve"> </w:t>
      </w:r>
      <w:r w:rsidRPr="00EA7458">
        <w:rPr>
          <w:rFonts w:ascii="Calibri" w:hAnsi="Calibri"/>
          <w:w w:val="105"/>
        </w:rPr>
        <w:t>as</w:t>
      </w:r>
      <w:r w:rsidRPr="00EA7458">
        <w:rPr>
          <w:rFonts w:ascii="Calibri" w:hAnsi="Calibri"/>
          <w:spacing w:val="7"/>
          <w:w w:val="105"/>
        </w:rPr>
        <w:t xml:space="preserve"> </w:t>
      </w:r>
      <w:r w:rsidR="007C75FF">
        <w:rPr>
          <w:rFonts w:ascii="Calibri" w:hAnsi="Calibri"/>
          <w:spacing w:val="7"/>
          <w:w w:val="105"/>
        </w:rPr>
        <w:t xml:space="preserve">required under </w:t>
      </w:r>
      <w:r w:rsidRPr="00EA7458">
        <w:rPr>
          <w:rFonts w:ascii="Calibri" w:hAnsi="Calibri"/>
          <w:spacing w:val="-3"/>
          <w:w w:val="105"/>
        </w:rPr>
        <w:t>WIOA</w:t>
      </w:r>
      <w:r w:rsidRPr="00EA7458">
        <w:rPr>
          <w:rFonts w:ascii="Calibri" w:hAnsi="Calibri"/>
          <w:w w:val="105"/>
        </w:rPr>
        <w:t>.</w:t>
      </w:r>
      <w:r w:rsidRPr="00EA7458">
        <w:rPr>
          <w:rFonts w:ascii="Calibri" w:hAnsi="Calibri"/>
          <w:spacing w:val="7"/>
          <w:w w:val="105"/>
        </w:rPr>
        <w:t xml:space="preserve"> </w:t>
      </w:r>
      <w:r w:rsidRPr="00EA7458">
        <w:rPr>
          <w:rFonts w:ascii="Calibri" w:hAnsi="Calibri"/>
          <w:w w:val="105"/>
        </w:rPr>
        <w:t>Currently,</w:t>
      </w:r>
      <w:r w:rsidRPr="00EA7458">
        <w:rPr>
          <w:rFonts w:ascii="Calibri" w:hAnsi="Calibri"/>
          <w:spacing w:val="7"/>
          <w:w w:val="105"/>
        </w:rPr>
        <w:t xml:space="preserve"> </w:t>
      </w:r>
      <w:r w:rsidRPr="00EA7458">
        <w:rPr>
          <w:rFonts w:ascii="Calibri" w:hAnsi="Calibri"/>
          <w:w w:val="105"/>
        </w:rPr>
        <w:t>Florida’s</w:t>
      </w:r>
      <w:r w:rsidRPr="00EA7458">
        <w:rPr>
          <w:rFonts w:ascii="Calibri" w:hAnsi="Calibri"/>
          <w:spacing w:val="7"/>
          <w:w w:val="105"/>
        </w:rPr>
        <w:t xml:space="preserve"> </w:t>
      </w:r>
      <w:r w:rsidRPr="00EA7458">
        <w:rPr>
          <w:rFonts w:ascii="Calibri" w:hAnsi="Calibri"/>
          <w:spacing w:val="-3"/>
          <w:w w:val="105"/>
        </w:rPr>
        <w:t>WIOA</w:t>
      </w:r>
      <w:r w:rsidRPr="00EA7458">
        <w:rPr>
          <w:rFonts w:ascii="Calibri" w:hAnsi="Calibri"/>
          <w:spacing w:val="7"/>
          <w:w w:val="105"/>
        </w:rPr>
        <w:t xml:space="preserve"> </w:t>
      </w:r>
      <w:r w:rsidRPr="00EA7458">
        <w:rPr>
          <w:rFonts w:ascii="Calibri" w:hAnsi="Calibri"/>
          <w:w w:val="105"/>
        </w:rPr>
        <w:t>partners</w:t>
      </w:r>
      <w:r w:rsidRPr="00EA7458">
        <w:rPr>
          <w:rFonts w:ascii="Calibri" w:hAnsi="Calibri"/>
          <w:spacing w:val="7"/>
          <w:w w:val="105"/>
        </w:rPr>
        <w:t xml:space="preserve"> </w:t>
      </w:r>
      <w:r w:rsidRPr="00EA7458">
        <w:rPr>
          <w:rFonts w:ascii="Calibri" w:hAnsi="Calibri"/>
          <w:w w:val="105"/>
        </w:rPr>
        <w:t>have</w:t>
      </w:r>
      <w:r w:rsidRPr="00EA7458">
        <w:rPr>
          <w:rFonts w:ascii="Calibri" w:hAnsi="Calibri"/>
          <w:spacing w:val="7"/>
          <w:w w:val="105"/>
        </w:rPr>
        <w:t xml:space="preserve"> </w:t>
      </w:r>
      <w:r w:rsidRPr="00EA7458">
        <w:rPr>
          <w:rFonts w:ascii="Calibri" w:hAnsi="Calibri"/>
          <w:w w:val="105"/>
        </w:rPr>
        <w:t>ample</w:t>
      </w:r>
      <w:r w:rsidRPr="00EA7458">
        <w:rPr>
          <w:rFonts w:ascii="Calibri" w:hAnsi="Calibri"/>
          <w:spacing w:val="7"/>
          <w:w w:val="105"/>
        </w:rPr>
        <w:t xml:space="preserve"> </w:t>
      </w:r>
      <w:r w:rsidRPr="00EA7458">
        <w:rPr>
          <w:rFonts w:ascii="Calibri" w:hAnsi="Calibri"/>
          <w:w w:val="105"/>
        </w:rPr>
        <w:t>statewide</w:t>
      </w:r>
      <w:r w:rsidRPr="00EA7458">
        <w:rPr>
          <w:rFonts w:ascii="Calibri" w:hAnsi="Calibri"/>
          <w:spacing w:val="-24"/>
          <w:w w:val="105"/>
        </w:rPr>
        <w:t xml:space="preserve"> </w:t>
      </w:r>
      <w:r w:rsidRPr="00EA7458">
        <w:rPr>
          <w:rFonts w:ascii="Calibri" w:hAnsi="Calibri"/>
          <w:w w:val="105"/>
        </w:rPr>
        <w:t>coverage</w:t>
      </w:r>
      <w:r w:rsidRPr="00EA7458">
        <w:rPr>
          <w:rFonts w:ascii="Calibri" w:hAnsi="Calibri"/>
          <w:spacing w:val="17"/>
          <w:w w:val="105"/>
        </w:rPr>
        <w:t xml:space="preserve"> </w:t>
      </w:r>
      <w:r w:rsidRPr="00EA7458">
        <w:rPr>
          <w:rFonts w:ascii="Calibri" w:hAnsi="Calibri"/>
          <w:w w:val="105"/>
        </w:rPr>
        <w:t>for</w:t>
      </w:r>
      <w:r w:rsidRPr="00EA7458">
        <w:rPr>
          <w:rFonts w:ascii="Calibri" w:hAnsi="Calibri"/>
          <w:spacing w:val="17"/>
          <w:w w:val="105"/>
        </w:rPr>
        <w:t xml:space="preserve"> </w:t>
      </w:r>
      <w:r w:rsidRPr="00EA7458">
        <w:rPr>
          <w:rFonts w:ascii="Calibri" w:hAnsi="Calibri"/>
          <w:w w:val="105"/>
        </w:rPr>
        <w:t>all</w:t>
      </w:r>
      <w:r w:rsidRPr="00EA7458">
        <w:rPr>
          <w:rFonts w:ascii="Calibri" w:hAnsi="Calibri"/>
          <w:spacing w:val="17"/>
          <w:w w:val="105"/>
        </w:rPr>
        <w:t xml:space="preserve"> </w:t>
      </w:r>
      <w:r w:rsidRPr="00EA7458">
        <w:rPr>
          <w:rFonts w:ascii="Calibri" w:hAnsi="Calibri"/>
          <w:w w:val="105"/>
        </w:rPr>
        <w:t>programs,</w:t>
      </w:r>
      <w:r w:rsidRPr="00EA7458">
        <w:rPr>
          <w:rFonts w:ascii="Calibri" w:hAnsi="Calibri"/>
          <w:spacing w:val="17"/>
          <w:w w:val="105"/>
        </w:rPr>
        <w:t xml:space="preserve"> </w:t>
      </w:r>
      <w:r w:rsidRPr="00EA7458">
        <w:rPr>
          <w:rFonts w:ascii="Calibri" w:hAnsi="Calibri"/>
          <w:w w:val="105"/>
        </w:rPr>
        <w:t>with</w:t>
      </w:r>
      <w:r w:rsidRPr="00EA7458">
        <w:rPr>
          <w:rFonts w:ascii="Calibri" w:hAnsi="Calibri"/>
          <w:spacing w:val="17"/>
          <w:w w:val="105"/>
        </w:rPr>
        <w:t xml:space="preserve"> </w:t>
      </w:r>
      <w:r w:rsidRPr="00EA7458">
        <w:rPr>
          <w:rFonts w:ascii="Calibri" w:hAnsi="Calibri"/>
          <w:w w:val="105"/>
        </w:rPr>
        <w:t>skilled</w:t>
      </w:r>
      <w:r w:rsidRPr="00EA7458">
        <w:rPr>
          <w:rFonts w:ascii="Calibri" w:hAnsi="Calibri"/>
          <w:spacing w:val="17"/>
          <w:w w:val="105"/>
        </w:rPr>
        <w:t xml:space="preserve"> </w:t>
      </w:r>
      <w:r w:rsidRPr="00EA7458">
        <w:rPr>
          <w:rFonts w:ascii="Calibri" w:hAnsi="Calibri"/>
          <w:w w:val="105"/>
        </w:rPr>
        <w:t>and</w:t>
      </w:r>
      <w:r w:rsidRPr="00EA7458">
        <w:rPr>
          <w:rFonts w:ascii="Calibri" w:hAnsi="Calibri"/>
          <w:spacing w:val="17"/>
          <w:w w:val="105"/>
        </w:rPr>
        <w:t xml:space="preserve"> </w:t>
      </w:r>
      <w:r w:rsidRPr="00EA7458">
        <w:rPr>
          <w:rFonts w:ascii="Calibri" w:hAnsi="Calibri"/>
          <w:w w:val="105"/>
        </w:rPr>
        <w:t>experienced</w:t>
      </w:r>
      <w:r w:rsidRPr="00EA7458">
        <w:rPr>
          <w:rFonts w:ascii="Calibri" w:hAnsi="Calibri"/>
          <w:spacing w:val="17"/>
          <w:w w:val="105"/>
        </w:rPr>
        <w:t xml:space="preserve"> </w:t>
      </w:r>
      <w:r w:rsidRPr="00EA7458">
        <w:rPr>
          <w:rFonts w:ascii="Calibri" w:hAnsi="Calibri"/>
          <w:w w:val="105"/>
        </w:rPr>
        <w:t>professional</w:t>
      </w:r>
      <w:r w:rsidRPr="00EA7458">
        <w:rPr>
          <w:rFonts w:ascii="Calibri" w:hAnsi="Calibri"/>
          <w:spacing w:val="17"/>
          <w:w w:val="105"/>
        </w:rPr>
        <w:t xml:space="preserve"> </w:t>
      </w:r>
      <w:r w:rsidRPr="00EA7458">
        <w:rPr>
          <w:rFonts w:ascii="Calibri" w:hAnsi="Calibri"/>
          <w:w w:val="105"/>
        </w:rPr>
        <w:t>team</w:t>
      </w:r>
      <w:r w:rsidRPr="00EA7458">
        <w:rPr>
          <w:rFonts w:ascii="Calibri" w:hAnsi="Calibri"/>
          <w:spacing w:val="17"/>
          <w:w w:val="105"/>
        </w:rPr>
        <w:t xml:space="preserve"> </w:t>
      </w:r>
      <w:r w:rsidRPr="00EA7458">
        <w:rPr>
          <w:rFonts w:ascii="Calibri" w:hAnsi="Calibri"/>
          <w:w w:val="105"/>
        </w:rPr>
        <w:t>members.</w:t>
      </w:r>
      <w:r w:rsidRPr="00EA7458">
        <w:rPr>
          <w:rFonts w:ascii="Calibri" w:hAnsi="Calibri"/>
          <w:spacing w:val="17"/>
          <w:w w:val="105"/>
        </w:rPr>
        <w:t xml:space="preserve"> </w:t>
      </w:r>
      <w:r w:rsidRPr="00EA7458">
        <w:rPr>
          <w:rFonts w:ascii="Calibri" w:hAnsi="Calibri"/>
          <w:w w:val="105"/>
        </w:rPr>
        <w:t>The</w:t>
      </w:r>
      <w:r w:rsidRPr="00EA7458">
        <w:rPr>
          <w:rFonts w:ascii="Calibri" w:hAnsi="Calibri"/>
          <w:spacing w:val="17"/>
          <w:w w:val="105"/>
        </w:rPr>
        <w:t xml:space="preserve"> </w:t>
      </w:r>
      <w:r w:rsidRPr="00EA7458">
        <w:rPr>
          <w:rFonts w:ascii="Calibri" w:hAnsi="Calibri"/>
          <w:w w:val="105"/>
        </w:rPr>
        <w:t>state</w:t>
      </w:r>
      <w:r w:rsidRPr="00EA7458">
        <w:rPr>
          <w:rFonts w:ascii="Calibri" w:hAnsi="Calibri"/>
          <w:spacing w:val="17"/>
          <w:w w:val="105"/>
        </w:rPr>
        <w:t xml:space="preserve"> </w:t>
      </w:r>
      <w:r w:rsidRPr="00EA7458">
        <w:rPr>
          <w:rFonts w:ascii="Calibri" w:hAnsi="Calibri"/>
          <w:w w:val="105"/>
        </w:rPr>
        <w:t xml:space="preserve">workforce </w:t>
      </w:r>
      <w:r w:rsidR="0046501D">
        <w:rPr>
          <w:rFonts w:ascii="Calibri" w:hAnsi="Calibri"/>
          <w:w w:val="105"/>
        </w:rPr>
        <w:t xml:space="preserve">investment </w:t>
      </w:r>
      <w:r w:rsidRPr="00EA7458">
        <w:rPr>
          <w:rFonts w:ascii="Calibri" w:hAnsi="Calibri"/>
          <w:w w:val="105"/>
        </w:rPr>
        <w:t>board,</w:t>
      </w:r>
      <w:r w:rsidRPr="00EA7458">
        <w:rPr>
          <w:rFonts w:ascii="Calibri" w:hAnsi="Calibri"/>
          <w:spacing w:val="25"/>
          <w:w w:val="105"/>
        </w:rPr>
        <w:t xml:space="preserve"> </w:t>
      </w:r>
      <w:r w:rsidRPr="00EA7458">
        <w:rPr>
          <w:rFonts w:ascii="Calibri" w:hAnsi="Calibri"/>
          <w:spacing w:val="-3"/>
          <w:w w:val="105"/>
        </w:rPr>
        <w:t>LWDBs,</w:t>
      </w:r>
      <w:r w:rsidRPr="00EA7458">
        <w:rPr>
          <w:rFonts w:ascii="Calibri" w:hAnsi="Calibri"/>
          <w:spacing w:val="25"/>
          <w:w w:val="105"/>
        </w:rPr>
        <w:t xml:space="preserve"> </w:t>
      </w:r>
      <w:r w:rsidRPr="00EA7458">
        <w:rPr>
          <w:rFonts w:ascii="Calibri" w:hAnsi="Calibri"/>
          <w:w w:val="105"/>
        </w:rPr>
        <w:t>VR</w:t>
      </w:r>
      <w:r w:rsidRPr="00EA7458">
        <w:rPr>
          <w:rFonts w:ascii="Calibri" w:hAnsi="Calibri"/>
          <w:spacing w:val="25"/>
          <w:w w:val="105"/>
        </w:rPr>
        <w:t xml:space="preserve"> </w:t>
      </w:r>
      <w:r w:rsidRPr="00EA7458">
        <w:rPr>
          <w:rFonts w:ascii="Calibri" w:hAnsi="Calibri"/>
          <w:w w:val="105"/>
        </w:rPr>
        <w:t>and</w:t>
      </w:r>
      <w:r w:rsidRPr="00EA7458">
        <w:rPr>
          <w:rFonts w:ascii="Calibri" w:hAnsi="Calibri"/>
          <w:spacing w:val="25"/>
          <w:w w:val="105"/>
        </w:rPr>
        <w:t xml:space="preserve"> </w:t>
      </w:r>
      <w:r w:rsidRPr="00EA7458">
        <w:rPr>
          <w:rFonts w:ascii="Calibri" w:hAnsi="Calibri"/>
          <w:w w:val="105"/>
        </w:rPr>
        <w:t>FDBS</w:t>
      </w:r>
      <w:r w:rsidRPr="00EA7458">
        <w:rPr>
          <w:rFonts w:ascii="Calibri" w:hAnsi="Calibri"/>
          <w:spacing w:val="25"/>
          <w:w w:val="105"/>
        </w:rPr>
        <w:t xml:space="preserve"> </w:t>
      </w:r>
      <w:r w:rsidRPr="00EA7458">
        <w:rPr>
          <w:rFonts w:ascii="Calibri" w:hAnsi="Calibri"/>
          <w:w w:val="105"/>
        </w:rPr>
        <w:t>all</w:t>
      </w:r>
      <w:r w:rsidRPr="00EA7458">
        <w:rPr>
          <w:rFonts w:ascii="Calibri" w:hAnsi="Calibri"/>
          <w:spacing w:val="25"/>
          <w:w w:val="105"/>
        </w:rPr>
        <w:t xml:space="preserve"> </w:t>
      </w:r>
      <w:r w:rsidRPr="00EA7458">
        <w:rPr>
          <w:rFonts w:ascii="Calibri" w:hAnsi="Calibri"/>
          <w:w w:val="105"/>
        </w:rPr>
        <w:t>have</w:t>
      </w:r>
      <w:r w:rsidRPr="00EA7458">
        <w:rPr>
          <w:rFonts w:ascii="Calibri" w:hAnsi="Calibri"/>
          <w:spacing w:val="25"/>
          <w:w w:val="105"/>
        </w:rPr>
        <w:t xml:space="preserve"> </w:t>
      </w:r>
      <w:r w:rsidRPr="00EA7458">
        <w:rPr>
          <w:rFonts w:ascii="Calibri" w:hAnsi="Calibri"/>
          <w:w w:val="105"/>
        </w:rPr>
        <w:t>established</w:t>
      </w:r>
      <w:r w:rsidRPr="00EA7458">
        <w:rPr>
          <w:rFonts w:ascii="Calibri" w:hAnsi="Calibri"/>
          <w:spacing w:val="25"/>
          <w:w w:val="105"/>
        </w:rPr>
        <w:t xml:space="preserve"> </w:t>
      </w:r>
      <w:r w:rsidRPr="00EA7458">
        <w:rPr>
          <w:rFonts w:ascii="Calibri" w:hAnsi="Calibri"/>
          <w:w w:val="105"/>
        </w:rPr>
        <w:t>business</w:t>
      </w:r>
      <w:r w:rsidRPr="00EA7458">
        <w:rPr>
          <w:rFonts w:ascii="Calibri" w:hAnsi="Calibri"/>
          <w:spacing w:val="25"/>
          <w:w w:val="105"/>
        </w:rPr>
        <w:t xml:space="preserve"> </w:t>
      </w:r>
      <w:r w:rsidRPr="00EA7458">
        <w:rPr>
          <w:rFonts w:ascii="Calibri" w:hAnsi="Calibri"/>
          <w:w w:val="105"/>
        </w:rPr>
        <w:t>relationship</w:t>
      </w:r>
      <w:r w:rsidRPr="00EA7458">
        <w:rPr>
          <w:rFonts w:ascii="Calibri" w:hAnsi="Calibri"/>
          <w:spacing w:val="25"/>
          <w:w w:val="105"/>
        </w:rPr>
        <w:t xml:space="preserve"> </w:t>
      </w:r>
      <w:r w:rsidRPr="00EA7458">
        <w:rPr>
          <w:rFonts w:ascii="Calibri" w:hAnsi="Calibri"/>
          <w:w w:val="105"/>
        </w:rPr>
        <w:t>teams</w:t>
      </w:r>
      <w:r w:rsidR="00F8335D">
        <w:rPr>
          <w:rFonts w:ascii="Calibri" w:hAnsi="Calibri"/>
          <w:w w:val="105"/>
        </w:rPr>
        <w:t xml:space="preserve"> </w:t>
      </w:r>
      <w:r w:rsidRPr="00EA7458">
        <w:rPr>
          <w:rFonts w:ascii="Calibri" w:hAnsi="Calibri"/>
          <w:w w:val="105"/>
        </w:rPr>
        <w:t>working</w:t>
      </w:r>
      <w:r w:rsidRPr="00EA7458">
        <w:rPr>
          <w:rFonts w:ascii="Calibri" w:hAnsi="Calibri"/>
          <w:spacing w:val="11"/>
          <w:w w:val="105"/>
        </w:rPr>
        <w:t xml:space="preserve"> </w:t>
      </w:r>
      <w:r w:rsidRPr="00EA7458">
        <w:rPr>
          <w:rFonts w:ascii="Calibri" w:hAnsi="Calibri"/>
          <w:w w:val="105"/>
        </w:rPr>
        <w:t>together</w:t>
      </w:r>
      <w:r w:rsidRPr="00EA7458">
        <w:rPr>
          <w:rFonts w:ascii="Calibri" w:hAnsi="Calibri"/>
          <w:spacing w:val="11"/>
          <w:w w:val="105"/>
        </w:rPr>
        <w:t xml:space="preserve"> </w:t>
      </w:r>
      <w:r w:rsidRPr="00EA7458">
        <w:rPr>
          <w:rFonts w:ascii="Calibri" w:hAnsi="Calibri"/>
          <w:w w:val="105"/>
        </w:rPr>
        <w:t>to</w:t>
      </w:r>
      <w:r w:rsidRPr="00EA7458">
        <w:rPr>
          <w:rFonts w:ascii="Calibri" w:hAnsi="Calibri"/>
          <w:spacing w:val="11"/>
          <w:w w:val="105"/>
        </w:rPr>
        <w:t xml:space="preserve"> </w:t>
      </w:r>
      <w:r w:rsidRPr="00EA7458">
        <w:rPr>
          <w:rFonts w:ascii="Calibri" w:hAnsi="Calibri"/>
          <w:w w:val="105"/>
        </w:rPr>
        <w:t>serve</w:t>
      </w:r>
      <w:r w:rsidRPr="00EA7458">
        <w:rPr>
          <w:rFonts w:ascii="Calibri" w:hAnsi="Calibri"/>
          <w:spacing w:val="11"/>
          <w:w w:val="105"/>
        </w:rPr>
        <w:t xml:space="preserve"> </w:t>
      </w:r>
      <w:r w:rsidRPr="00EA7458">
        <w:rPr>
          <w:rFonts w:ascii="Calibri" w:hAnsi="Calibri"/>
          <w:w w:val="105"/>
        </w:rPr>
        <w:t>employers.</w:t>
      </w:r>
      <w:r w:rsidRPr="00EA7458">
        <w:rPr>
          <w:rFonts w:ascii="Calibri" w:hAnsi="Calibri"/>
          <w:spacing w:val="11"/>
          <w:w w:val="105"/>
        </w:rPr>
        <w:t xml:space="preserve"> </w:t>
      </w:r>
    </w:p>
    <w:p w14:paraId="09152701" w14:textId="1EBF9CC0" w:rsidR="00EA7458" w:rsidRDefault="00EA7458" w:rsidP="00D63204">
      <w:pPr>
        <w:widowControl w:val="0"/>
        <w:spacing w:before="193" w:after="0" w:line="264" w:lineRule="exact"/>
        <w:ind w:left="107"/>
        <w:rPr>
          <w:rFonts w:ascii="Calibri" w:hAnsi="Calibri"/>
          <w:w w:val="105"/>
        </w:rPr>
      </w:pPr>
      <w:r w:rsidRPr="00EA7458">
        <w:rPr>
          <w:rFonts w:ascii="Calibri" w:hAnsi="Calibri"/>
          <w:w w:val="105"/>
        </w:rPr>
        <w:t>Additional</w:t>
      </w:r>
      <w:r w:rsidRPr="00EA7458">
        <w:rPr>
          <w:rFonts w:ascii="Calibri" w:hAnsi="Calibri"/>
          <w:spacing w:val="11"/>
          <w:w w:val="105"/>
        </w:rPr>
        <w:t xml:space="preserve"> </w:t>
      </w:r>
      <w:r w:rsidRPr="00EA7458">
        <w:rPr>
          <w:rFonts w:ascii="Calibri" w:hAnsi="Calibri"/>
          <w:w w:val="105"/>
        </w:rPr>
        <w:t>improvements</w:t>
      </w:r>
      <w:r w:rsidRPr="00EA7458">
        <w:rPr>
          <w:rFonts w:ascii="Calibri" w:hAnsi="Calibri"/>
          <w:spacing w:val="11"/>
          <w:w w:val="105"/>
        </w:rPr>
        <w:t xml:space="preserve"> </w:t>
      </w:r>
      <w:r w:rsidRPr="00EA7458">
        <w:rPr>
          <w:rFonts w:ascii="Calibri" w:hAnsi="Calibri"/>
          <w:w w:val="105"/>
        </w:rPr>
        <w:t>are</w:t>
      </w:r>
      <w:r w:rsidRPr="00EA7458">
        <w:rPr>
          <w:rFonts w:ascii="Calibri" w:hAnsi="Calibri"/>
          <w:spacing w:val="11"/>
          <w:w w:val="105"/>
        </w:rPr>
        <w:t xml:space="preserve"> </w:t>
      </w:r>
      <w:r w:rsidRPr="00EA7458">
        <w:rPr>
          <w:rFonts w:ascii="Calibri" w:hAnsi="Calibri"/>
          <w:w w:val="105"/>
        </w:rPr>
        <w:t>taking</w:t>
      </w:r>
      <w:r w:rsidRPr="00EA7458">
        <w:rPr>
          <w:rFonts w:ascii="Calibri" w:hAnsi="Calibri"/>
          <w:spacing w:val="11"/>
          <w:w w:val="105"/>
        </w:rPr>
        <w:t xml:space="preserve"> </w:t>
      </w:r>
      <w:r w:rsidRPr="00EA7458">
        <w:rPr>
          <w:rFonts w:ascii="Calibri" w:hAnsi="Calibri"/>
          <w:w w:val="105"/>
        </w:rPr>
        <w:t>place</w:t>
      </w:r>
      <w:r w:rsidRPr="00EA7458">
        <w:rPr>
          <w:rFonts w:ascii="Calibri" w:hAnsi="Calibri"/>
          <w:spacing w:val="11"/>
          <w:w w:val="105"/>
        </w:rPr>
        <w:t xml:space="preserve"> </w:t>
      </w:r>
      <w:r w:rsidRPr="00EA7458">
        <w:rPr>
          <w:rFonts w:ascii="Calibri" w:hAnsi="Calibri"/>
          <w:w w:val="105"/>
        </w:rPr>
        <w:t>in</w:t>
      </w:r>
      <w:r w:rsidRPr="00EA7458">
        <w:rPr>
          <w:rFonts w:ascii="Calibri" w:hAnsi="Calibri"/>
          <w:spacing w:val="11"/>
          <w:w w:val="105"/>
        </w:rPr>
        <w:t xml:space="preserve"> </w:t>
      </w:r>
      <w:r w:rsidRPr="00EA7458">
        <w:rPr>
          <w:rFonts w:ascii="Calibri" w:hAnsi="Calibri"/>
          <w:w w:val="105"/>
        </w:rPr>
        <w:t>Florida’s</w:t>
      </w:r>
      <w:r w:rsidRPr="00EA7458">
        <w:rPr>
          <w:rFonts w:ascii="Calibri" w:hAnsi="Calibri"/>
          <w:spacing w:val="11"/>
          <w:w w:val="105"/>
        </w:rPr>
        <w:t xml:space="preserve"> </w:t>
      </w:r>
      <w:r w:rsidRPr="00EA7458">
        <w:rPr>
          <w:rFonts w:ascii="Calibri" w:hAnsi="Calibri"/>
          <w:w w:val="105"/>
        </w:rPr>
        <w:t>workforce</w:t>
      </w:r>
      <w:r w:rsidRPr="00EA7458">
        <w:rPr>
          <w:rFonts w:ascii="Calibri" w:hAnsi="Calibri"/>
          <w:spacing w:val="-12"/>
          <w:w w:val="105"/>
        </w:rPr>
        <w:t xml:space="preserve"> </w:t>
      </w:r>
      <w:r w:rsidRPr="00EA7458">
        <w:rPr>
          <w:rFonts w:ascii="Calibri" w:hAnsi="Calibri"/>
          <w:w w:val="105"/>
        </w:rPr>
        <w:t>network,</w:t>
      </w:r>
      <w:r w:rsidRPr="00EA7458">
        <w:rPr>
          <w:rFonts w:ascii="Calibri" w:hAnsi="Calibri"/>
          <w:spacing w:val="10"/>
          <w:w w:val="105"/>
        </w:rPr>
        <w:t xml:space="preserve"> </w:t>
      </w:r>
      <w:r w:rsidRPr="00EA7458">
        <w:rPr>
          <w:rFonts w:ascii="Calibri" w:hAnsi="Calibri"/>
          <w:w w:val="105"/>
        </w:rPr>
        <w:t>including</w:t>
      </w:r>
      <w:r w:rsidRPr="00EA7458">
        <w:rPr>
          <w:rFonts w:ascii="Calibri" w:hAnsi="Calibri"/>
          <w:spacing w:val="10"/>
          <w:w w:val="105"/>
        </w:rPr>
        <w:t xml:space="preserve"> </w:t>
      </w:r>
      <w:r w:rsidRPr="00EA7458">
        <w:rPr>
          <w:rFonts w:ascii="Calibri" w:hAnsi="Calibri"/>
          <w:w w:val="105"/>
        </w:rPr>
        <w:t>a</w:t>
      </w:r>
      <w:r w:rsidRPr="00EA7458">
        <w:rPr>
          <w:rFonts w:ascii="Calibri" w:hAnsi="Calibri"/>
          <w:spacing w:val="10"/>
          <w:w w:val="105"/>
        </w:rPr>
        <w:t xml:space="preserve"> </w:t>
      </w:r>
      <w:r w:rsidRPr="00EA7458">
        <w:rPr>
          <w:rFonts w:ascii="Calibri" w:hAnsi="Calibri"/>
          <w:w w:val="105"/>
        </w:rPr>
        <w:t>Residential</w:t>
      </w:r>
      <w:r w:rsidRPr="00EA7458">
        <w:rPr>
          <w:rFonts w:ascii="Calibri" w:hAnsi="Calibri"/>
          <w:spacing w:val="10"/>
          <w:w w:val="105"/>
        </w:rPr>
        <w:t xml:space="preserve"> </w:t>
      </w:r>
      <w:r w:rsidRPr="00EA7458">
        <w:rPr>
          <w:rFonts w:ascii="Calibri" w:hAnsi="Calibri"/>
          <w:w w:val="105"/>
        </w:rPr>
        <w:t>Center</w:t>
      </w:r>
      <w:r w:rsidRPr="00EA7458">
        <w:rPr>
          <w:rFonts w:ascii="Calibri" w:hAnsi="Calibri"/>
          <w:spacing w:val="10"/>
          <w:w w:val="105"/>
        </w:rPr>
        <w:t xml:space="preserve"> </w:t>
      </w:r>
      <w:r w:rsidRPr="00EA7458">
        <w:rPr>
          <w:rFonts w:ascii="Calibri" w:hAnsi="Calibri"/>
          <w:w w:val="105"/>
        </w:rPr>
        <w:t>training</w:t>
      </w:r>
      <w:r w:rsidRPr="00EA7458">
        <w:rPr>
          <w:rFonts w:ascii="Calibri" w:hAnsi="Calibri"/>
          <w:spacing w:val="10"/>
          <w:w w:val="105"/>
        </w:rPr>
        <w:t xml:space="preserve"> </w:t>
      </w:r>
      <w:r w:rsidRPr="00EA7458">
        <w:rPr>
          <w:rFonts w:ascii="Calibri" w:hAnsi="Calibri"/>
          <w:w w:val="105"/>
        </w:rPr>
        <w:t>program</w:t>
      </w:r>
      <w:r w:rsidRPr="00EA7458">
        <w:rPr>
          <w:rFonts w:ascii="Calibri" w:hAnsi="Calibri"/>
          <w:spacing w:val="10"/>
          <w:w w:val="105"/>
        </w:rPr>
        <w:t xml:space="preserve"> </w:t>
      </w:r>
      <w:r w:rsidRPr="00EA7458">
        <w:rPr>
          <w:rFonts w:ascii="Calibri" w:hAnsi="Calibri"/>
          <w:w w:val="105"/>
        </w:rPr>
        <w:t>within</w:t>
      </w:r>
      <w:r w:rsidRPr="00EA7458">
        <w:rPr>
          <w:rFonts w:ascii="Calibri" w:hAnsi="Calibri"/>
          <w:spacing w:val="10"/>
          <w:w w:val="105"/>
        </w:rPr>
        <w:t xml:space="preserve"> </w:t>
      </w:r>
      <w:r w:rsidRPr="00EA7458">
        <w:rPr>
          <w:rFonts w:ascii="Calibri" w:hAnsi="Calibri"/>
          <w:w w:val="105"/>
        </w:rPr>
        <w:t>the</w:t>
      </w:r>
      <w:r w:rsidRPr="00EA7458">
        <w:rPr>
          <w:rFonts w:ascii="Calibri" w:hAnsi="Calibri"/>
          <w:spacing w:val="10"/>
          <w:w w:val="105"/>
        </w:rPr>
        <w:t xml:space="preserve"> </w:t>
      </w:r>
      <w:r w:rsidRPr="00EA7458">
        <w:rPr>
          <w:rFonts w:ascii="Calibri" w:hAnsi="Calibri"/>
          <w:w w:val="105"/>
        </w:rPr>
        <w:t>FDBS</w:t>
      </w:r>
      <w:r w:rsidR="00F8335D">
        <w:rPr>
          <w:rFonts w:ascii="Calibri" w:hAnsi="Calibri"/>
          <w:w w:val="105"/>
        </w:rPr>
        <w:t xml:space="preserve">. The Pre-Employment Program began in 2016 with the goal to increase the employment rates for youth and adults. Classes are conducted at the Rehabilitation Center each quarter. </w:t>
      </w:r>
      <w:r w:rsidR="00314FED">
        <w:rPr>
          <w:rFonts w:ascii="Calibri" w:hAnsi="Calibri"/>
          <w:w w:val="105"/>
        </w:rPr>
        <w:t>T</w:t>
      </w:r>
      <w:r w:rsidR="00314FED" w:rsidRPr="00387F26">
        <w:rPr>
          <w:rFonts w:cstheme="minorHAnsi"/>
          <w:color w:val="231F20"/>
          <w:w w:val="105"/>
        </w:rPr>
        <w:t xml:space="preserve">he Workforce Innovation Technical Assistance Center </w:t>
      </w:r>
      <w:r w:rsidR="00C83CC7">
        <w:rPr>
          <w:rFonts w:cstheme="minorHAnsi"/>
          <w:color w:val="231F20"/>
          <w:w w:val="105"/>
        </w:rPr>
        <w:t>(</w:t>
      </w:r>
      <w:r w:rsidR="00F8335D" w:rsidRPr="00C83CC7">
        <w:rPr>
          <w:rFonts w:ascii="Calibri" w:hAnsi="Calibri"/>
          <w:w w:val="105"/>
        </w:rPr>
        <w:t>WINTAC</w:t>
      </w:r>
      <w:r w:rsidR="00C83CC7">
        <w:rPr>
          <w:rFonts w:ascii="Calibri" w:hAnsi="Calibri"/>
          <w:w w:val="105"/>
        </w:rPr>
        <w:t>)</w:t>
      </w:r>
      <w:r w:rsidR="00F8335D">
        <w:rPr>
          <w:rFonts w:ascii="Calibri" w:hAnsi="Calibri"/>
          <w:w w:val="105"/>
        </w:rPr>
        <w:t xml:space="preserve"> provided various trainings on the Career Plus Index and WIOA requirements.</w:t>
      </w:r>
    </w:p>
    <w:p w14:paraId="0B8606DE" w14:textId="77777777" w:rsidR="00EA7458" w:rsidRPr="00EA7458" w:rsidRDefault="00EA7458" w:rsidP="00D63204">
      <w:pPr>
        <w:widowControl w:val="0"/>
        <w:spacing w:before="2" w:after="0" w:line="240" w:lineRule="auto"/>
        <w:ind w:left="107"/>
        <w:rPr>
          <w:rFonts w:ascii="Calibri" w:hAnsi="Calibri" w:cs="Calibri"/>
          <w:sz w:val="14"/>
          <w:szCs w:val="14"/>
        </w:rPr>
      </w:pPr>
    </w:p>
    <w:p w14:paraId="4134D9CD" w14:textId="33CC5D8E" w:rsidR="00F8335D" w:rsidRDefault="00EA7458" w:rsidP="00D63204">
      <w:pPr>
        <w:widowControl w:val="0"/>
        <w:spacing w:before="58" w:after="0" w:line="264" w:lineRule="exact"/>
        <w:ind w:left="107"/>
        <w:rPr>
          <w:rFonts w:ascii="Calibri" w:hAnsi="Calibri"/>
          <w:color w:val="231F20"/>
          <w:spacing w:val="11"/>
          <w:w w:val="105"/>
        </w:rPr>
      </w:pPr>
      <w:r w:rsidRPr="00EA7458">
        <w:rPr>
          <w:rFonts w:ascii="Calibri" w:hAnsi="Calibri"/>
          <w:w w:val="105"/>
        </w:rPr>
        <w:t>Continuous</w:t>
      </w:r>
      <w:r w:rsidRPr="00EA7458">
        <w:rPr>
          <w:rFonts w:ascii="Calibri" w:hAnsi="Calibri"/>
          <w:spacing w:val="9"/>
          <w:w w:val="105"/>
        </w:rPr>
        <w:t xml:space="preserve"> </w:t>
      </w:r>
      <w:r w:rsidRPr="00EA7458">
        <w:rPr>
          <w:rFonts w:ascii="Calibri" w:hAnsi="Calibri"/>
          <w:w w:val="105"/>
        </w:rPr>
        <w:t>improvement</w:t>
      </w:r>
      <w:r w:rsidRPr="00EA7458">
        <w:rPr>
          <w:rFonts w:ascii="Calibri" w:hAnsi="Calibri"/>
          <w:spacing w:val="9"/>
          <w:w w:val="105"/>
        </w:rPr>
        <w:t xml:space="preserve"> </w:t>
      </w:r>
      <w:r w:rsidRPr="00EA7458">
        <w:rPr>
          <w:rFonts w:ascii="Calibri" w:hAnsi="Calibri"/>
          <w:w w:val="105"/>
        </w:rPr>
        <w:t>of</w:t>
      </w:r>
      <w:r w:rsidRPr="00EA7458">
        <w:rPr>
          <w:rFonts w:ascii="Calibri" w:hAnsi="Calibri"/>
          <w:spacing w:val="9"/>
          <w:w w:val="105"/>
        </w:rPr>
        <w:t xml:space="preserve"> </w:t>
      </w:r>
      <w:r w:rsidRPr="00EA7458">
        <w:rPr>
          <w:rFonts w:ascii="Calibri" w:hAnsi="Calibri"/>
          <w:w w:val="105"/>
        </w:rPr>
        <w:t>how</w:t>
      </w:r>
      <w:r w:rsidRPr="00EA7458">
        <w:rPr>
          <w:rFonts w:ascii="Calibri" w:hAnsi="Calibri"/>
          <w:spacing w:val="9"/>
          <w:w w:val="105"/>
        </w:rPr>
        <w:t xml:space="preserve"> </w:t>
      </w:r>
      <w:r w:rsidRPr="00EA7458">
        <w:rPr>
          <w:rFonts w:ascii="Calibri" w:hAnsi="Calibri"/>
          <w:w w:val="105"/>
        </w:rPr>
        <w:t>Florida’s</w:t>
      </w:r>
      <w:r w:rsidRPr="00EA7458">
        <w:rPr>
          <w:rFonts w:ascii="Calibri" w:hAnsi="Calibri"/>
          <w:spacing w:val="9"/>
          <w:w w:val="105"/>
        </w:rPr>
        <w:t xml:space="preserve"> </w:t>
      </w:r>
      <w:r w:rsidRPr="00EA7458">
        <w:rPr>
          <w:rFonts w:ascii="Calibri" w:hAnsi="Calibri"/>
          <w:w w:val="105"/>
        </w:rPr>
        <w:t>workforce</w:t>
      </w:r>
      <w:r w:rsidRPr="00EA7458">
        <w:rPr>
          <w:rFonts w:ascii="Calibri" w:hAnsi="Calibri"/>
          <w:spacing w:val="9"/>
          <w:w w:val="105"/>
        </w:rPr>
        <w:t xml:space="preserve"> </w:t>
      </w:r>
      <w:r w:rsidRPr="00EA7458">
        <w:rPr>
          <w:rFonts w:ascii="Calibri" w:hAnsi="Calibri"/>
          <w:w w:val="105"/>
        </w:rPr>
        <w:t>network</w:t>
      </w:r>
      <w:r w:rsidRPr="00EA7458">
        <w:rPr>
          <w:rFonts w:ascii="Calibri" w:hAnsi="Calibri"/>
          <w:spacing w:val="9"/>
          <w:w w:val="105"/>
        </w:rPr>
        <w:t xml:space="preserve"> </w:t>
      </w:r>
      <w:r w:rsidRPr="00EA7458">
        <w:rPr>
          <w:rFonts w:ascii="Calibri" w:hAnsi="Calibri"/>
          <w:w w:val="105"/>
        </w:rPr>
        <w:t>serves</w:t>
      </w:r>
      <w:r w:rsidRPr="00EA7458">
        <w:rPr>
          <w:rFonts w:ascii="Calibri" w:hAnsi="Calibri"/>
          <w:spacing w:val="9"/>
          <w:w w:val="105"/>
        </w:rPr>
        <w:t xml:space="preserve"> </w:t>
      </w:r>
      <w:r w:rsidRPr="00EA7458">
        <w:rPr>
          <w:rFonts w:ascii="Calibri" w:hAnsi="Calibri"/>
          <w:w w:val="105"/>
        </w:rPr>
        <w:t>customers</w:t>
      </w:r>
      <w:r w:rsidRPr="00EA7458">
        <w:rPr>
          <w:rFonts w:ascii="Calibri" w:hAnsi="Calibri"/>
          <w:spacing w:val="9"/>
          <w:w w:val="105"/>
        </w:rPr>
        <w:t xml:space="preserve"> </w:t>
      </w:r>
      <w:r w:rsidRPr="00EA7458">
        <w:rPr>
          <w:rFonts w:ascii="Calibri" w:hAnsi="Calibri"/>
          <w:w w:val="105"/>
        </w:rPr>
        <w:t>will</w:t>
      </w:r>
      <w:r w:rsidRPr="00EA7458">
        <w:rPr>
          <w:rFonts w:ascii="Calibri" w:hAnsi="Calibri"/>
          <w:spacing w:val="9"/>
          <w:w w:val="105"/>
        </w:rPr>
        <w:t xml:space="preserve"> </w:t>
      </w:r>
      <w:r w:rsidRPr="00EA7458">
        <w:rPr>
          <w:rFonts w:ascii="Calibri" w:hAnsi="Calibri"/>
          <w:w w:val="105"/>
        </w:rPr>
        <w:t>require</w:t>
      </w:r>
      <w:r w:rsidRPr="00EA7458">
        <w:rPr>
          <w:rFonts w:ascii="Calibri" w:hAnsi="Calibri"/>
          <w:spacing w:val="9"/>
          <w:w w:val="105"/>
        </w:rPr>
        <w:t xml:space="preserve"> </w:t>
      </w:r>
      <w:r w:rsidRPr="00EA7458">
        <w:rPr>
          <w:rFonts w:ascii="Calibri" w:hAnsi="Calibri"/>
          <w:w w:val="105"/>
        </w:rPr>
        <w:t>continued</w:t>
      </w:r>
      <w:r w:rsidRPr="00EA7458">
        <w:rPr>
          <w:rFonts w:ascii="Calibri" w:hAnsi="Calibri"/>
          <w:spacing w:val="-16"/>
          <w:w w:val="105"/>
        </w:rPr>
        <w:t xml:space="preserve"> </w:t>
      </w:r>
      <w:r w:rsidRPr="00EA7458">
        <w:rPr>
          <w:rFonts w:ascii="Calibri" w:hAnsi="Calibri"/>
          <w:w w:val="105"/>
        </w:rPr>
        <w:t>collaboration,</w:t>
      </w:r>
      <w:r w:rsidRPr="00EA7458">
        <w:rPr>
          <w:rFonts w:ascii="Calibri" w:hAnsi="Calibri"/>
          <w:spacing w:val="17"/>
          <w:w w:val="105"/>
        </w:rPr>
        <w:t xml:space="preserve"> </w:t>
      </w:r>
      <w:r w:rsidRPr="00EA7458">
        <w:rPr>
          <w:rFonts w:ascii="Calibri" w:hAnsi="Calibri"/>
          <w:w w:val="105"/>
        </w:rPr>
        <w:t>coordination</w:t>
      </w:r>
      <w:r w:rsidR="00D5537E">
        <w:rPr>
          <w:rFonts w:ascii="Calibri" w:hAnsi="Calibri"/>
          <w:w w:val="105"/>
        </w:rPr>
        <w:t xml:space="preserve"> and</w:t>
      </w:r>
      <w:r w:rsidRPr="00EA7458">
        <w:rPr>
          <w:rFonts w:ascii="Calibri" w:hAnsi="Calibri"/>
          <w:spacing w:val="17"/>
          <w:w w:val="105"/>
        </w:rPr>
        <w:t xml:space="preserve"> </w:t>
      </w:r>
      <w:r w:rsidRPr="00EA7458">
        <w:rPr>
          <w:rFonts w:ascii="Calibri" w:hAnsi="Calibri"/>
          <w:w w:val="105"/>
        </w:rPr>
        <w:t>re-assessment.</w:t>
      </w:r>
      <w:r w:rsidRPr="00EA7458">
        <w:rPr>
          <w:rFonts w:ascii="Calibri" w:hAnsi="Calibri"/>
          <w:spacing w:val="17"/>
          <w:w w:val="105"/>
        </w:rPr>
        <w:t xml:space="preserve"> </w:t>
      </w:r>
      <w:r w:rsidRPr="00EA7458">
        <w:rPr>
          <w:rFonts w:ascii="Calibri" w:hAnsi="Calibri"/>
          <w:w w:val="105"/>
        </w:rPr>
        <w:t>The</w:t>
      </w:r>
      <w:r w:rsidRPr="00EA7458">
        <w:rPr>
          <w:rFonts w:ascii="Calibri" w:hAnsi="Calibri"/>
          <w:spacing w:val="17"/>
          <w:w w:val="105"/>
        </w:rPr>
        <w:t xml:space="preserve"> </w:t>
      </w:r>
      <w:r w:rsidRPr="00EA7458">
        <w:rPr>
          <w:rFonts w:ascii="Calibri" w:hAnsi="Calibri"/>
          <w:w w:val="105"/>
        </w:rPr>
        <w:t>identification</w:t>
      </w:r>
      <w:r w:rsidRPr="00EA7458">
        <w:rPr>
          <w:rFonts w:ascii="Calibri" w:hAnsi="Calibri"/>
          <w:spacing w:val="17"/>
          <w:w w:val="105"/>
        </w:rPr>
        <w:t xml:space="preserve"> </w:t>
      </w:r>
      <w:r w:rsidRPr="00EA7458">
        <w:rPr>
          <w:rFonts w:ascii="Calibri" w:hAnsi="Calibri"/>
          <w:w w:val="105"/>
        </w:rPr>
        <w:t>of</w:t>
      </w:r>
      <w:r w:rsidRPr="00EA7458">
        <w:rPr>
          <w:rFonts w:ascii="Calibri" w:hAnsi="Calibri"/>
          <w:spacing w:val="17"/>
          <w:w w:val="105"/>
        </w:rPr>
        <w:t xml:space="preserve"> </w:t>
      </w:r>
      <w:r w:rsidRPr="00EA7458">
        <w:rPr>
          <w:rFonts w:ascii="Calibri" w:hAnsi="Calibri"/>
          <w:w w:val="105"/>
        </w:rPr>
        <w:t>both</w:t>
      </w:r>
      <w:r w:rsidRPr="00EA7458">
        <w:rPr>
          <w:rFonts w:ascii="Calibri" w:hAnsi="Calibri"/>
          <w:spacing w:val="17"/>
          <w:w w:val="105"/>
        </w:rPr>
        <w:t xml:space="preserve"> </w:t>
      </w:r>
      <w:r w:rsidRPr="00EA7458">
        <w:rPr>
          <w:rFonts w:ascii="Calibri" w:hAnsi="Calibri"/>
          <w:w w:val="105"/>
        </w:rPr>
        <w:t>strengths</w:t>
      </w:r>
      <w:r w:rsidRPr="00EA7458">
        <w:rPr>
          <w:rFonts w:ascii="Calibri" w:hAnsi="Calibri"/>
          <w:spacing w:val="17"/>
          <w:w w:val="105"/>
        </w:rPr>
        <w:t xml:space="preserve"> </w:t>
      </w:r>
      <w:r w:rsidRPr="00EA7458">
        <w:rPr>
          <w:rFonts w:ascii="Calibri" w:hAnsi="Calibri"/>
          <w:w w:val="105"/>
        </w:rPr>
        <w:t>and</w:t>
      </w:r>
      <w:r w:rsidRPr="00EA7458">
        <w:rPr>
          <w:rFonts w:ascii="Calibri" w:hAnsi="Calibri"/>
          <w:spacing w:val="17"/>
          <w:w w:val="105"/>
        </w:rPr>
        <w:t xml:space="preserve"> </w:t>
      </w:r>
      <w:r w:rsidRPr="00EA7458">
        <w:rPr>
          <w:rFonts w:ascii="Calibri" w:hAnsi="Calibri"/>
          <w:w w:val="105"/>
        </w:rPr>
        <w:t>weaknesses</w:t>
      </w:r>
      <w:r w:rsidRPr="00EA7458">
        <w:rPr>
          <w:rFonts w:ascii="Calibri" w:hAnsi="Calibri"/>
          <w:spacing w:val="17"/>
          <w:w w:val="105"/>
        </w:rPr>
        <w:t xml:space="preserve"> </w:t>
      </w:r>
      <w:r w:rsidRPr="00EA7458">
        <w:rPr>
          <w:rFonts w:ascii="Calibri" w:hAnsi="Calibri"/>
          <w:w w:val="105"/>
        </w:rPr>
        <w:t>is</w:t>
      </w:r>
      <w:r w:rsidRPr="00EA7458">
        <w:rPr>
          <w:rFonts w:ascii="Calibri" w:hAnsi="Calibri"/>
          <w:spacing w:val="17"/>
          <w:w w:val="105"/>
        </w:rPr>
        <w:t xml:space="preserve"> </w:t>
      </w:r>
      <w:r w:rsidRPr="00EA7458">
        <w:rPr>
          <w:rFonts w:ascii="Calibri" w:hAnsi="Calibri"/>
          <w:w w:val="105"/>
        </w:rPr>
        <w:t>an</w:t>
      </w:r>
      <w:r w:rsidRPr="00EA7458">
        <w:rPr>
          <w:rFonts w:ascii="Calibri" w:hAnsi="Calibri"/>
          <w:spacing w:val="-47"/>
          <w:w w:val="105"/>
        </w:rPr>
        <w:t xml:space="preserve"> </w:t>
      </w:r>
      <w:r w:rsidRPr="00EA7458">
        <w:rPr>
          <w:rFonts w:ascii="Calibri" w:hAnsi="Calibri"/>
          <w:w w:val="105"/>
        </w:rPr>
        <w:t>ongoing</w:t>
      </w:r>
      <w:r w:rsidRPr="00EA7458">
        <w:rPr>
          <w:rFonts w:ascii="Calibri" w:hAnsi="Calibri"/>
          <w:spacing w:val="18"/>
          <w:w w:val="105"/>
        </w:rPr>
        <w:t xml:space="preserve"> </w:t>
      </w:r>
      <w:r w:rsidRPr="00EA7458">
        <w:rPr>
          <w:rFonts w:ascii="Calibri" w:hAnsi="Calibri"/>
          <w:w w:val="105"/>
        </w:rPr>
        <w:t>process</w:t>
      </w:r>
      <w:r w:rsidRPr="00EA7458">
        <w:rPr>
          <w:rFonts w:ascii="Calibri" w:hAnsi="Calibri"/>
          <w:spacing w:val="18"/>
          <w:w w:val="105"/>
        </w:rPr>
        <w:t xml:space="preserve"> </w:t>
      </w:r>
      <w:r w:rsidRPr="00EA7458">
        <w:rPr>
          <w:rFonts w:ascii="Calibri" w:hAnsi="Calibri"/>
          <w:w w:val="105"/>
        </w:rPr>
        <w:t>for</w:t>
      </w:r>
      <w:r w:rsidRPr="00EA7458">
        <w:rPr>
          <w:rFonts w:ascii="Calibri" w:hAnsi="Calibri"/>
          <w:spacing w:val="18"/>
          <w:w w:val="105"/>
        </w:rPr>
        <w:t xml:space="preserve"> </w:t>
      </w:r>
      <w:r w:rsidRPr="00EA7458">
        <w:rPr>
          <w:rFonts w:ascii="Calibri" w:hAnsi="Calibri"/>
          <w:w w:val="105"/>
        </w:rPr>
        <w:t>the</w:t>
      </w:r>
      <w:r w:rsidRPr="00EA7458">
        <w:rPr>
          <w:rFonts w:ascii="Calibri" w:hAnsi="Calibri"/>
          <w:spacing w:val="18"/>
          <w:w w:val="105"/>
        </w:rPr>
        <w:t xml:space="preserve"> </w:t>
      </w:r>
      <w:r w:rsidRPr="00EA7458">
        <w:rPr>
          <w:rFonts w:ascii="Calibri" w:hAnsi="Calibri"/>
          <w:w w:val="105"/>
        </w:rPr>
        <w:t>core</w:t>
      </w:r>
      <w:r w:rsidRPr="00EA7458">
        <w:rPr>
          <w:rFonts w:ascii="Calibri" w:hAnsi="Calibri"/>
          <w:spacing w:val="18"/>
          <w:w w:val="105"/>
        </w:rPr>
        <w:t xml:space="preserve"> </w:t>
      </w:r>
      <w:r w:rsidRPr="00EA7458">
        <w:rPr>
          <w:rFonts w:ascii="Calibri" w:hAnsi="Calibri"/>
          <w:w w:val="105"/>
        </w:rPr>
        <w:t>programs</w:t>
      </w:r>
      <w:r w:rsidRPr="00EA7458">
        <w:rPr>
          <w:rFonts w:ascii="Calibri" w:hAnsi="Calibri"/>
          <w:spacing w:val="18"/>
          <w:w w:val="105"/>
        </w:rPr>
        <w:t xml:space="preserve"> </w:t>
      </w:r>
      <w:r w:rsidRPr="00EA7458">
        <w:rPr>
          <w:rFonts w:ascii="Calibri" w:hAnsi="Calibri"/>
          <w:w w:val="105"/>
        </w:rPr>
        <w:t>working</w:t>
      </w:r>
      <w:r w:rsidRPr="00EA7458">
        <w:rPr>
          <w:rFonts w:ascii="Calibri" w:hAnsi="Calibri"/>
          <w:spacing w:val="18"/>
          <w:w w:val="105"/>
        </w:rPr>
        <w:t xml:space="preserve"> </w:t>
      </w:r>
      <w:r w:rsidRPr="00EA7458">
        <w:rPr>
          <w:rFonts w:ascii="Calibri" w:hAnsi="Calibri"/>
          <w:w w:val="105"/>
        </w:rPr>
        <w:t>to</w:t>
      </w:r>
      <w:r w:rsidRPr="00EA7458">
        <w:rPr>
          <w:rFonts w:ascii="Calibri" w:hAnsi="Calibri"/>
          <w:spacing w:val="18"/>
          <w:w w:val="105"/>
        </w:rPr>
        <w:t xml:space="preserve"> </w:t>
      </w:r>
      <w:r w:rsidRPr="00EA7458">
        <w:rPr>
          <w:rFonts w:ascii="Calibri" w:hAnsi="Calibri"/>
          <w:w w:val="105"/>
        </w:rPr>
        <w:t>implement</w:t>
      </w:r>
      <w:r w:rsidRPr="00EA7458">
        <w:rPr>
          <w:rFonts w:ascii="Calibri" w:hAnsi="Calibri"/>
          <w:spacing w:val="18"/>
          <w:w w:val="105"/>
        </w:rPr>
        <w:t xml:space="preserve"> </w:t>
      </w:r>
      <w:r w:rsidRPr="00EA7458">
        <w:rPr>
          <w:rFonts w:ascii="Calibri" w:hAnsi="Calibri"/>
          <w:w w:val="105"/>
        </w:rPr>
        <w:t>WIOA.</w:t>
      </w:r>
      <w:r w:rsidRPr="00EA7458">
        <w:rPr>
          <w:rFonts w:ascii="Calibri" w:hAnsi="Calibri"/>
          <w:spacing w:val="18"/>
          <w:w w:val="105"/>
        </w:rPr>
        <w:t xml:space="preserve"> </w:t>
      </w:r>
      <w:r w:rsidRPr="00EA7458">
        <w:rPr>
          <w:rFonts w:ascii="Calibri" w:hAnsi="Calibri"/>
          <w:w w:val="105"/>
        </w:rPr>
        <w:t>Working</w:t>
      </w:r>
      <w:r w:rsidRPr="00EA7458">
        <w:rPr>
          <w:rFonts w:ascii="Calibri" w:hAnsi="Calibri"/>
          <w:spacing w:val="18"/>
          <w:w w:val="105"/>
        </w:rPr>
        <w:t xml:space="preserve"> </w:t>
      </w:r>
      <w:r w:rsidRPr="00EA7458">
        <w:rPr>
          <w:rFonts w:ascii="Calibri" w:hAnsi="Calibri"/>
          <w:w w:val="105"/>
        </w:rPr>
        <w:t>groups</w:t>
      </w:r>
      <w:r w:rsidRPr="00EA7458">
        <w:rPr>
          <w:rFonts w:ascii="Calibri" w:hAnsi="Calibri"/>
          <w:spacing w:val="18"/>
          <w:w w:val="105"/>
        </w:rPr>
        <w:t xml:space="preserve"> </w:t>
      </w:r>
      <w:r w:rsidRPr="00EA7458">
        <w:rPr>
          <w:rFonts w:ascii="Calibri" w:hAnsi="Calibri"/>
          <w:w w:val="105"/>
        </w:rPr>
        <w:t>discussed</w:t>
      </w:r>
      <w:r w:rsidRPr="00EA7458">
        <w:rPr>
          <w:rFonts w:ascii="Calibri" w:hAnsi="Calibri"/>
          <w:spacing w:val="18"/>
          <w:w w:val="105"/>
        </w:rPr>
        <w:t xml:space="preserve"> </w:t>
      </w:r>
      <w:r w:rsidRPr="00EA7458">
        <w:rPr>
          <w:rFonts w:ascii="Calibri" w:hAnsi="Calibri"/>
          <w:w w:val="105"/>
        </w:rPr>
        <w:t>in</w:t>
      </w:r>
      <w:r w:rsidRPr="00EA7458">
        <w:rPr>
          <w:rFonts w:ascii="Calibri" w:hAnsi="Calibri"/>
          <w:spacing w:val="18"/>
          <w:w w:val="105"/>
        </w:rPr>
        <w:t xml:space="preserve"> </w:t>
      </w:r>
      <w:r w:rsidRPr="00EA7458">
        <w:rPr>
          <w:rFonts w:ascii="Calibri" w:hAnsi="Calibri"/>
          <w:w w:val="105"/>
        </w:rPr>
        <w:t>section</w:t>
      </w:r>
      <w:r w:rsidRPr="00EA7458">
        <w:rPr>
          <w:rFonts w:ascii="Calibri" w:hAnsi="Calibri"/>
          <w:w w:val="108"/>
        </w:rPr>
        <w:t xml:space="preserve"> </w:t>
      </w:r>
      <w:r w:rsidRPr="00EA7458">
        <w:rPr>
          <w:rFonts w:ascii="Calibri" w:hAnsi="Calibri"/>
          <w:w w:val="105"/>
        </w:rPr>
        <w:t>III(b)(7)</w:t>
      </w:r>
      <w:r w:rsidRPr="00EA7458">
        <w:rPr>
          <w:rFonts w:ascii="Calibri" w:hAnsi="Calibri"/>
          <w:spacing w:val="9"/>
          <w:w w:val="105"/>
        </w:rPr>
        <w:t xml:space="preserve"> </w:t>
      </w:r>
      <w:r w:rsidR="007C75FF">
        <w:rPr>
          <w:rFonts w:ascii="Calibri" w:hAnsi="Calibri"/>
          <w:w w:val="105"/>
        </w:rPr>
        <w:t>are addressing</w:t>
      </w:r>
      <w:r w:rsidRPr="00EA7458">
        <w:rPr>
          <w:rFonts w:ascii="Calibri" w:hAnsi="Calibri"/>
          <w:spacing w:val="9"/>
          <w:w w:val="105"/>
        </w:rPr>
        <w:t xml:space="preserve"> </w:t>
      </w:r>
      <w:r w:rsidRPr="00EA7458">
        <w:rPr>
          <w:rFonts w:ascii="Calibri" w:hAnsi="Calibri"/>
          <w:w w:val="105"/>
        </w:rPr>
        <w:t>data</w:t>
      </w:r>
      <w:r w:rsidRPr="00EA7458">
        <w:rPr>
          <w:rFonts w:ascii="Calibri" w:hAnsi="Calibri"/>
          <w:spacing w:val="9"/>
          <w:w w:val="105"/>
        </w:rPr>
        <w:t xml:space="preserve"> </w:t>
      </w:r>
      <w:r w:rsidRPr="00EA7458">
        <w:rPr>
          <w:rFonts w:ascii="Calibri" w:hAnsi="Calibri"/>
          <w:w w:val="105"/>
        </w:rPr>
        <w:t>integration</w:t>
      </w:r>
      <w:r w:rsidRPr="00EA7458">
        <w:rPr>
          <w:rFonts w:ascii="Calibri" w:hAnsi="Calibri"/>
          <w:spacing w:val="9"/>
          <w:w w:val="105"/>
        </w:rPr>
        <w:t xml:space="preserve"> </w:t>
      </w:r>
      <w:r w:rsidRPr="00EA7458">
        <w:rPr>
          <w:rFonts w:ascii="Calibri" w:hAnsi="Calibri"/>
          <w:w w:val="105"/>
        </w:rPr>
        <w:t>issues</w:t>
      </w:r>
      <w:r w:rsidRPr="00EA7458">
        <w:rPr>
          <w:rFonts w:ascii="Calibri" w:hAnsi="Calibri"/>
          <w:spacing w:val="9"/>
          <w:w w:val="105"/>
        </w:rPr>
        <w:t xml:space="preserve"> </w:t>
      </w:r>
      <w:r w:rsidRPr="00EA7458">
        <w:rPr>
          <w:rFonts w:ascii="Calibri" w:hAnsi="Calibri"/>
          <w:w w:val="105"/>
        </w:rPr>
        <w:t>as</w:t>
      </w:r>
      <w:r w:rsidRPr="00EA7458">
        <w:rPr>
          <w:rFonts w:ascii="Calibri" w:hAnsi="Calibri"/>
          <w:spacing w:val="9"/>
          <w:w w:val="105"/>
        </w:rPr>
        <w:t xml:space="preserve"> </w:t>
      </w:r>
      <w:r w:rsidRPr="00EA7458">
        <w:rPr>
          <w:rFonts w:ascii="Calibri" w:hAnsi="Calibri"/>
          <w:w w:val="105"/>
        </w:rPr>
        <w:t>a</w:t>
      </w:r>
      <w:r w:rsidRPr="00EA7458">
        <w:rPr>
          <w:rFonts w:ascii="Calibri" w:hAnsi="Calibri"/>
          <w:spacing w:val="9"/>
          <w:w w:val="105"/>
        </w:rPr>
        <w:t xml:space="preserve"> </w:t>
      </w:r>
      <w:r w:rsidRPr="00EA7458">
        <w:rPr>
          <w:rFonts w:ascii="Calibri" w:hAnsi="Calibri"/>
          <w:w w:val="105"/>
        </w:rPr>
        <w:t>potential</w:t>
      </w:r>
      <w:r w:rsidRPr="00EA7458">
        <w:rPr>
          <w:rFonts w:ascii="Calibri" w:hAnsi="Calibri"/>
          <w:spacing w:val="9"/>
          <w:w w:val="105"/>
        </w:rPr>
        <w:t xml:space="preserve"> </w:t>
      </w:r>
      <w:r w:rsidRPr="00EA7458">
        <w:rPr>
          <w:rFonts w:ascii="Calibri" w:hAnsi="Calibri"/>
          <w:w w:val="105"/>
        </w:rPr>
        <w:t>challenge</w:t>
      </w:r>
      <w:r w:rsidRPr="00EA7458">
        <w:rPr>
          <w:rFonts w:ascii="Calibri" w:hAnsi="Calibri"/>
          <w:spacing w:val="9"/>
          <w:w w:val="105"/>
        </w:rPr>
        <w:t xml:space="preserve"> </w:t>
      </w:r>
      <w:r w:rsidRPr="00EA7458">
        <w:rPr>
          <w:rFonts w:ascii="Calibri" w:hAnsi="Calibri"/>
          <w:w w:val="105"/>
        </w:rPr>
        <w:t>for</w:t>
      </w:r>
      <w:r w:rsidRPr="00EA7458">
        <w:rPr>
          <w:rFonts w:ascii="Calibri" w:hAnsi="Calibri"/>
          <w:spacing w:val="9"/>
          <w:w w:val="105"/>
        </w:rPr>
        <w:t xml:space="preserve"> </w:t>
      </w:r>
      <w:r w:rsidRPr="00EA7458">
        <w:rPr>
          <w:rFonts w:ascii="Calibri" w:hAnsi="Calibri"/>
          <w:spacing w:val="-3"/>
          <w:w w:val="105"/>
        </w:rPr>
        <w:t>WIOA</w:t>
      </w:r>
      <w:r w:rsidRPr="00EA7458">
        <w:rPr>
          <w:rFonts w:ascii="Calibri" w:hAnsi="Calibri"/>
          <w:spacing w:val="9"/>
          <w:w w:val="105"/>
        </w:rPr>
        <w:t xml:space="preserve"> </w:t>
      </w:r>
      <w:r w:rsidRPr="00EA7458">
        <w:rPr>
          <w:rFonts w:ascii="Calibri" w:hAnsi="Calibri"/>
          <w:w w:val="105"/>
        </w:rPr>
        <w:t>implementation</w:t>
      </w:r>
      <w:r w:rsidR="005E7C49">
        <w:rPr>
          <w:rFonts w:ascii="Calibri" w:hAnsi="Calibri"/>
          <w:w w:val="105"/>
        </w:rPr>
        <w:t xml:space="preserve">. </w:t>
      </w:r>
      <w:r w:rsidR="00F8335D">
        <w:rPr>
          <w:rFonts w:ascii="Calibri" w:hAnsi="Calibri"/>
          <w:w w:val="105"/>
        </w:rPr>
        <w:t xml:space="preserve">Reviewing </w:t>
      </w:r>
      <w:r w:rsidR="00F8335D" w:rsidRPr="00EA7458">
        <w:rPr>
          <w:rFonts w:ascii="Calibri" w:hAnsi="Calibri"/>
          <w:color w:val="231F20"/>
          <w:spacing w:val="-3"/>
          <w:w w:val="105"/>
        </w:rPr>
        <w:t>WIOA</w:t>
      </w:r>
      <w:r w:rsidR="00F8335D" w:rsidRPr="00EA7458">
        <w:rPr>
          <w:rFonts w:ascii="Calibri" w:hAnsi="Calibri"/>
          <w:color w:val="231F20"/>
          <w:spacing w:val="13"/>
          <w:w w:val="105"/>
        </w:rPr>
        <w:t xml:space="preserve"> </w:t>
      </w:r>
      <w:r w:rsidR="00F8335D" w:rsidRPr="00EA7458">
        <w:rPr>
          <w:rFonts w:ascii="Calibri" w:hAnsi="Calibri"/>
          <w:color w:val="231F20"/>
          <w:w w:val="105"/>
        </w:rPr>
        <w:t>program</w:t>
      </w:r>
      <w:r w:rsidR="00F8335D" w:rsidRPr="00EA7458">
        <w:rPr>
          <w:rFonts w:ascii="Calibri" w:hAnsi="Calibri"/>
          <w:color w:val="231F20"/>
          <w:spacing w:val="13"/>
          <w:w w:val="105"/>
        </w:rPr>
        <w:t xml:space="preserve"> </w:t>
      </w:r>
      <w:r w:rsidR="00F8335D" w:rsidRPr="00EA7458">
        <w:rPr>
          <w:rFonts w:ascii="Calibri" w:hAnsi="Calibri"/>
          <w:color w:val="231F20"/>
          <w:w w:val="105"/>
        </w:rPr>
        <w:t>services,</w:t>
      </w:r>
      <w:r w:rsidR="00F8335D" w:rsidRPr="00EA7458">
        <w:rPr>
          <w:rFonts w:ascii="Calibri" w:hAnsi="Calibri"/>
          <w:color w:val="231F20"/>
          <w:spacing w:val="13"/>
          <w:w w:val="105"/>
        </w:rPr>
        <w:t xml:space="preserve"> </w:t>
      </w:r>
      <w:r w:rsidR="00F8335D" w:rsidRPr="00EA7458">
        <w:rPr>
          <w:rFonts w:ascii="Calibri" w:hAnsi="Calibri"/>
          <w:color w:val="231F20"/>
          <w:w w:val="105"/>
        </w:rPr>
        <w:t>programs</w:t>
      </w:r>
      <w:r w:rsidR="00D5537E">
        <w:rPr>
          <w:rFonts w:ascii="Calibri" w:hAnsi="Calibri"/>
          <w:color w:val="231F20"/>
          <w:w w:val="105"/>
        </w:rPr>
        <w:t xml:space="preserve"> and</w:t>
      </w:r>
      <w:r w:rsidR="00F8335D" w:rsidRPr="00EA7458">
        <w:rPr>
          <w:rFonts w:ascii="Calibri" w:hAnsi="Calibri"/>
          <w:color w:val="231F20"/>
          <w:spacing w:val="13"/>
          <w:w w:val="105"/>
        </w:rPr>
        <w:t xml:space="preserve"> </w:t>
      </w:r>
      <w:r w:rsidR="00F8335D" w:rsidRPr="00EA7458">
        <w:rPr>
          <w:rFonts w:ascii="Calibri" w:hAnsi="Calibri"/>
          <w:color w:val="231F20"/>
          <w:w w:val="105"/>
        </w:rPr>
        <w:t>policies</w:t>
      </w:r>
      <w:r w:rsidR="00F8335D" w:rsidRPr="00EA7458">
        <w:rPr>
          <w:rFonts w:ascii="Calibri" w:hAnsi="Calibri"/>
          <w:color w:val="231F20"/>
          <w:spacing w:val="13"/>
          <w:w w:val="105"/>
        </w:rPr>
        <w:t xml:space="preserve"> </w:t>
      </w:r>
      <w:r w:rsidR="00F8335D" w:rsidRPr="00EA7458">
        <w:rPr>
          <w:rFonts w:ascii="Calibri" w:hAnsi="Calibri"/>
          <w:color w:val="231F20"/>
          <w:w w:val="105"/>
        </w:rPr>
        <w:t>to</w:t>
      </w:r>
      <w:r w:rsidR="00F8335D" w:rsidRPr="00EA7458">
        <w:rPr>
          <w:rFonts w:ascii="Calibri" w:hAnsi="Calibri"/>
          <w:color w:val="231F20"/>
          <w:spacing w:val="13"/>
          <w:w w:val="105"/>
        </w:rPr>
        <w:t xml:space="preserve"> </w:t>
      </w:r>
      <w:r w:rsidR="00F8335D" w:rsidRPr="00EA7458">
        <w:rPr>
          <w:rFonts w:ascii="Calibri" w:hAnsi="Calibri"/>
          <w:color w:val="231F20"/>
          <w:w w:val="105"/>
        </w:rPr>
        <w:t>identify</w:t>
      </w:r>
      <w:r w:rsidR="00F8335D" w:rsidRPr="00EA7458">
        <w:rPr>
          <w:rFonts w:ascii="Calibri" w:hAnsi="Calibri"/>
          <w:color w:val="231F20"/>
          <w:spacing w:val="13"/>
          <w:w w:val="105"/>
        </w:rPr>
        <w:t xml:space="preserve"> </w:t>
      </w:r>
      <w:r w:rsidR="00F8335D" w:rsidRPr="00EA7458">
        <w:rPr>
          <w:rFonts w:ascii="Calibri" w:hAnsi="Calibri"/>
          <w:color w:val="231F20"/>
          <w:w w:val="105"/>
        </w:rPr>
        <w:t>duplicative</w:t>
      </w:r>
      <w:r w:rsidR="00F8335D" w:rsidRPr="00EA7458">
        <w:rPr>
          <w:rFonts w:ascii="Calibri" w:hAnsi="Calibri"/>
          <w:color w:val="231F20"/>
          <w:spacing w:val="13"/>
          <w:w w:val="105"/>
        </w:rPr>
        <w:t xml:space="preserve"> </w:t>
      </w:r>
      <w:r w:rsidR="00F8335D" w:rsidRPr="00EA7458">
        <w:rPr>
          <w:rFonts w:ascii="Calibri" w:hAnsi="Calibri"/>
          <w:color w:val="231F20"/>
          <w:w w:val="105"/>
        </w:rPr>
        <w:t>efforts</w:t>
      </w:r>
      <w:r w:rsidR="00F8335D" w:rsidRPr="00EA7458">
        <w:rPr>
          <w:rFonts w:ascii="Calibri" w:hAnsi="Calibri"/>
          <w:color w:val="231F20"/>
          <w:spacing w:val="-46"/>
          <w:w w:val="105"/>
        </w:rPr>
        <w:t xml:space="preserve"> </w:t>
      </w:r>
      <w:r w:rsidR="00F8335D" w:rsidRPr="00EA7458">
        <w:rPr>
          <w:rFonts w:ascii="Calibri" w:hAnsi="Calibri"/>
          <w:color w:val="231F20"/>
          <w:w w:val="105"/>
        </w:rPr>
        <w:t>and</w:t>
      </w:r>
      <w:r w:rsidR="00F8335D" w:rsidRPr="00EA7458">
        <w:rPr>
          <w:rFonts w:ascii="Calibri" w:hAnsi="Calibri"/>
          <w:color w:val="231F20"/>
          <w:spacing w:val="11"/>
          <w:w w:val="105"/>
        </w:rPr>
        <w:t xml:space="preserve"> </w:t>
      </w:r>
      <w:r w:rsidR="00F8335D" w:rsidRPr="00EA7458">
        <w:rPr>
          <w:rFonts w:ascii="Calibri" w:hAnsi="Calibri"/>
          <w:color w:val="231F20"/>
          <w:w w:val="105"/>
        </w:rPr>
        <w:t>potential</w:t>
      </w:r>
      <w:r w:rsidR="00F8335D" w:rsidRPr="00EA7458">
        <w:rPr>
          <w:rFonts w:ascii="Calibri" w:hAnsi="Calibri"/>
          <w:color w:val="231F20"/>
          <w:spacing w:val="11"/>
          <w:w w:val="105"/>
        </w:rPr>
        <w:t xml:space="preserve"> </w:t>
      </w:r>
      <w:r w:rsidR="00F8335D" w:rsidRPr="00EA7458">
        <w:rPr>
          <w:rFonts w:ascii="Calibri" w:hAnsi="Calibri"/>
          <w:color w:val="231F20"/>
          <w:w w:val="105"/>
        </w:rPr>
        <w:t>solutions</w:t>
      </w:r>
      <w:r w:rsidR="00F8335D" w:rsidRPr="00EA7458">
        <w:rPr>
          <w:rFonts w:ascii="Calibri" w:hAnsi="Calibri"/>
          <w:color w:val="231F20"/>
          <w:spacing w:val="11"/>
          <w:w w:val="105"/>
        </w:rPr>
        <w:t xml:space="preserve"> </w:t>
      </w:r>
      <w:r w:rsidR="00F8335D" w:rsidRPr="00EA7458">
        <w:rPr>
          <w:rFonts w:ascii="Calibri" w:hAnsi="Calibri"/>
          <w:color w:val="231F20"/>
          <w:w w:val="105"/>
        </w:rPr>
        <w:t>to</w:t>
      </w:r>
      <w:r w:rsidR="00F8335D" w:rsidRPr="00EA7458">
        <w:rPr>
          <w:rFonts w:ascii="Calibri" w:hAnsi="Calibri"/>
          <w:color w:val="231F20"/>
          <w:spacing w:val="11"/>
          <w:w w:val="105"/>
        </w:rPr>
        <w:t xml:space="preserve"> </w:t>
      </w:r>
      <w:r w:rsidR="00F8335D" w:rsidRPr="00EA7458">
        <w:rPr>
          <w:rFonts w:ascii="Calibri" w:hAnsi="Calibri"/>
          <w:color w:val="231F20"/>
          <w:w w:val="105"/>
        </w:rPr>
        <w:t>better</w:t>
      </w:r>
      <w:r w:rsidR="00F8335D" w:rsidRPr="00EA7458">
        <w:rPr>
          <w:rFonts w:ascii="Calibri" w:hAnsi="Calibri"/>
          <w:color w:val="231F20"/>
          <w:spacing w:val="11"/>
          <w:w w:val="105"/>
        </w:rPr>
        <w:t xml:space="preserve"> </w:t>
      </w:r>
      <w:r w:rsidR="00F8335D" w:rsidRPr="00EA7458">
        <w:rPr>
          <w:rFonts w:ascii="Calibri" w:hAnsi="Calibri"/>
          <w:color w:val="231F20"/>
          <w:w w:val="105"/>
        </w:rPr>
        <w:t>align</w:t>
      </w:r>
      <w:r w:rsidR="00F8335D" w:rsidRPr="00EA7458">
        <w:rPr>
          <w:rFonts w:ascii="Calibri" w:hAnsi="Calibri"/>
          <w:color w:val="231F20"/>
          <w:spacing w:val="11"/>
          <w:w w:val="105"/>
        </w:rPr>
        <w:t xml:space="preserve"> </w:t>
      </w:r>
      <w:r w:rsidR="00F8335D" w:rsidRPr="00EA7458">
        <w:rPr>
          <w:rFonts w:ascii="Calibri" w:hAnsi="Calibri"/>
          <w:color w:val="231F20"/>
          <w:w w:val="105"/>
        </w:rPr>
        <w:t>agency</w:t>
      </w:r>
      <w:r w:rsidR="00F8335D" w:rsidRPr="00EA7458">
        <w:rPr>
          <w:rFonts w:ascii="Calibri" w:hAnsi="Calibri"/>
          <w:color w:val="231F20"/>
          <w:spacing w:val="11"/>
          <w:w w:val="105"/>
        </w:rPr>
        <w:t xml:space="preserve"> </w:t>
      </w:r>
      <w:r w:rsidR="00F8335D" w:rsidRPr="00EA7458">
        <w:rPr>
          <w:rFonts w:ascii="Calibri" w:hAnsi="Calibri"/>
          <w:color w:val="231F20"/>
          <w:w w:val="105"/>
        </w:rPr>
        <w:t>resources</w:t>
      </w:r>
      <w:r w:rsidR="00F8335D" w:rsidRPr="00EA7458">
        <w:rPr>
          <w:rFonts w:ascii="Calibri" w:hAnsi="Calibri"/>
          <w:color w:val="231F20"/>
          <w:spacing w:val="11"/>
          <w:w w:val="105"/>
        </w:rPr>
        <w:t xml:space="preserve"> </w:t>
      </w:r>
      <w:r w:rsidR="00F8335D" w:rsidRPr="00EA7458">
        <w:rPr>
          <w:rFonts w:ascii="Calibri" w:hAnsi="Calibri"/>
          <w:color w:val="231F20"/>
          <w:w w:val="105"/>
        </w:rPr>
        <w:t>and</w:t>
      </w:r>
      <w:r w:rsidR="00F8335D" w:rsidRPr="00EA7458">
        <w:rPr>
          <w:rFonts w:ascii="Calibri" w:hAnsi="Calibri"/>
          <w:color w:val="231F20"/>
          <w:spacing w:val="11"/>
          <w:w w:val="105"/>
        </w:rPr>
        <w:t xml:space="preserve"> </w:t>
      </w:r>
      <w:r w:rsidR="00F8335D" w:rsidRPr="00EA7458">
        <w:rPr>
          <w:rFonts w:ascii="Calibri" w:hAnsi="Calibri"/>
          <w:color w:val="231F20"/>
          <w:w w:val="105"/>
        </w:rPr>
        <w:t>efforts</w:t>
      </w:r>
      <w:r w:rsidR="00F8335D">
        <w:rPr>
          <w:rFonts w:ascii="Calibri" w:hAnsi="Calibri"/>
          <w:color w:val="231F20"/>
          <w:w w:val="105"/>
        </w:rPr>
        <w:t xml:space="preserve"> is ongoing.</w:t>
      </w:r>
    </w:p>
    <w:p w14:paraId="508131A6" w14:textId="77777777" w:rsidR="00F8335D" w:rsidRDefault="00F8335D" w:rsidP="00D63204">
      <w:pPr>
        <w:widowControl w:val="0"/>
        <w:spacing w:before="58" w:after="0" w:line="264" w:lineRule="exact"/>
        <w:ind w:left="107"/>
        <w:rPr>
          <w:rFonts w:ascii="Calibri" w:hAnsi="Calibri"/>
          <w:color w:val="231F20"/>
          <w:spacing w:val="11"/>
          <w:w w:val="105"/>
        </w:rPr>
      </w:pPr>
    </w:p>
    <w:p w14:paraId="312FABF6" w14:textId="514BAE36" w:rsidR="00F8335D" w:rsidRPr="001C024A" w:rsidRDefault="00F8335D" w:rsidP="00D63204">
      <w:pPr>
        <w:widowControl w:val="0"/>
        <w:spacing w:after="0" w:line="240" w:lineRule="auto"/>
        <w:ind w:left="107"/>
        <w:rPr>
          <w:rFonts w:ascii="Calibri" w:hAnsi="Calibri"/>
          <w:w w:val="105"/>
        </w:rPr>
      </w:pPr>
      <w:r w:rsidRPr="001C024A">
        <w:rPr>
          <w:rFonts w:ascii="Calibri" w:hAnsi="Calibri"/>
          <w:w w:val="105"/>
        </w:rPr>
        <w:t xml:space="preserve">It is notable the </w:t>
      </w:r>
      <w:r w:rsidR="002874B6" w:rsidRPr="001C024A">
        <w:rPr>
          <w:rFonts w:ascii="Calibri" w:hAnsi="Calibri"/>
          <w:w w:val="105"/>
        </w:rPr>
        <w:t>F</w:t>
      </w:r>
      <w:r w:rsidRPr="001C024A">
        <w:rPr>
          <w:rFonts w:ascii="Calibri" w:hAnsi="Calibri"/>
          <w:w w:val="105"/>
        </w:rPr>
        <w:t>DBS reviewed and revised all policies for the Bureau of Client Services. Six policies were implemented on October 18, 2017</w:t>
      </w:r>
      <w:r w:rsidR="00471517">
        <w:rPr>
          <w:rFonts w:ascii="Calibri" w:hAnsi="Calibri"/>
          <w:w w:val="105"/>
        </w:rPr>
        <w:t>,</w:t>
      </w:r>
      <w:r w:rsidRPr="001C024A">
        <w:rPr>
          <w:rFonts w:ascii="Calibri" w:hAnsi="Calibri"/>
          <w:w w:val="105"/>
        </w:rPr>
        <w:t xml:space="preserve"> and the others are under review. Each district works with the</w:t>
      </w:r>
      <w:r w:rsidR="00C66CC0">
        <w:rPr>
          <w:rFonts w:ascii="Calibri" w:hAnsi="Calibri"/>
          <w:w w:val="105"/>
        </w:rPr>
        <w:t xml:space="preserve"> CareerSource Florida</w:t>
      </w:r>
      <w:r w:rsidRPr="001C024A">
        <w:rPr>
          <w:rFonts w:ascii="Calibri" w:hAnsi="Calibri"/>
          <w:w w:val="105"/>
        </w:rPr>
        <w:t xml:space="preserve"> local</w:t>
      </w:r>
      <w:r w:rsidR="00C66CC0">
        <w:rPr>
          <w:rFonts w:ascii="Calibri" w:hAnsi="Calibri"/>
          <w:w w:val="105"/>
        </w:rPr>
        <w:t xml:space="preserve"> board</w:t>
      </w:r>
      <w:r w:rsidRPr="001C024A">
        <w:rPr>
          <w:rFonts w:ascii="Calibri" w:hAnsi="Calibri"/>
          <w:w w:val="105"/>
        </w:rPr>
        <w:t xml:space="preserve"> to conduct outreach and connect clients with community resources that can assist with creating accessible computer systems. The VR counselors and EPS staff meet with </w:t>
      </w:r>
      <w:r w:rsidR="002874B6" w:rsidRPr="001C024A">
        <w:rPr>
          <w:rFonts w:ascii="Calibri" w:hAnsi="Calibri"/>
          <w:w w:val="105"/>
        </w:rPr>
        <w:t>F</w:t>
      </w:r>
      <w:r w:rsidRPr="001C024A">
        <w:rPr>
          <w:rFonts w:ascii="Calibri" w:hAnsi="Calibri"/>
          <w:w w:val="105"/>
        </w:rPr>
        <w:t>DBS clients at the centers to tour the facilities. Clients are shown how to use computers and are introduced to other services provided by CareerSource</w:t>
      </w:r>
      <w:r w:rsidR="000725AA">
        <w:rPr>
          <w:rFonts w:ascii="Calibri" w:hAnsi="Calibri"/>
          <w:w w:val="105"/>
        </w:rPr>
        <w:t xml:space="preserve"> Florida </w:t>
      </w:r>
      <w:r w:rsidR="00F12999">
        <w:rPr>
          <w:rFonts w:ascii="Calibri" w:hAnsi="Calibri"/>
          <w:w w:val="105"/>
        </w:rPr>
        <w:t>c</w:t>
      </w:r>
      <w:r w:rsidRPr="001C024A">
        <w:rPr>
          <w:rFonts w:ascii="Calibri" w:hAnsi="Calibri"/>
          <w:w w:val="105"/>
        </w:rPr>
        <w:t>enters.</w:t>
      </w:r>
    </w:p>
    <w:p w14:paraId="50A6C74D" w14:textId="77777777" w:rsidR="00F8335D" w:rsidRPr="001C024A" w:rsidRDefault="00F8335D" w:rsidP="00D63204">
      <w:pPr>
        <w:widowControl w:val="0"/>
        <w:spacing w:before="58" w:after="0" w:line="264" w:lineRule="exact"/>
        <w:ind w:left="107"/>
        <w:rPr>
          <w:rFonts w:ascii="Calibri" w:hAnsi="Calibri"/>
          <w:w w:val="105"/>
        </w:rPr>
      </w:pPr>
    </w:p>
    <w:p w14:paraId="2FC21A49" w14:textId="74E65C05" w:rsidR="00EA7458" w:rsidRDefault="00EA7458" w:rsidP="00D63204">
      <w:pPr>
        <w:widowControl w:val="0"/>
        <w:spacing w:after="0" w:line="264" w:lineRule="exact"/>
        <w:ind w:left="107"/>
        <w:rPr>
          <w:rFonts w:ascii="Calibri" w:hAnsi="Calibri"/>
          <w:w w:val="105"/>
        </w:rPr>
      </w:pPr>
      <w:r w:rsidRPr="001C024A">
        <w:rPr>
          <w:rFonts w:ascii="Calibri" w:hAnsi="Calibri"/>
          <w:w w:val="105"/>
        </w:rPr>
        <w:t xml:space="preserve">Florida </w:t>
      </w:r>
      <w:r w:rsidR="00F8335D" w:rsidRPr="001C024A">
        <w:rPr>
          <w:rFonts w:ascii="Calibri" w:hAnsi="Calibri"/>
          <w:w w:val="105"/>
        </w:rPr>
        <w:t xml:space="preserve">will </w:t>
      </w:r>
      <w:r w:rsidRPr="001C024A">
        <w:rPr>
          <w:rFonts w:ascii="Calibri" w:hAnsi="Calibri"/>
          <w:w w:val="105"/>
        </w:rPr>
        <w:t>work to address accessibility of job network computer systems, outreach and community visibility for programs that serve job seekers with disabilities</w:t>
      </w:r>
      <w:r w:rsidR="00D5537E">
        <w:rPr>
          <w:rFonts w:ascii="Calibri" w:hAnsi="Calibri"/>
          <w:w w:val="105"/>
        </w:rPr>
        <w:t xml:space="preserve"> and</w:t>
      </w:r>
      <w:r w:rsidRPr="001C024A">
        <w:rPr>
          <w:rFonts w:ascii="Calibri" w:hAnsi="Calibri"/>
          <w:w w:val="105"/>
        </w:rPr>
        <w:t xml:space="preserve"> transportation for job seekers with disabilities.</w:t>
      </w:r>
    </w:p>
    <w:bookmarkEnd w:id="52"/>
    <w:p w14:paraId="44773FBB" w14:textId="77777777" w:rsidR="00EA7458" w:rsidRPr="00EA7458" w:rsidRDefault="00EA7458" w:rsidP="00D63204">
      <w:pPr>
        <w:widowControl w:val="0"/>
        <w:spacing w:before="6" w:after="0" w:line="240" w:lineRule="auto"/>
        <w:ind w:left="107"/>
        <w:rPr>
          <w:rFonts w:ascii="Calibri" w:hAnsi="Calibri" w:cs="Calibri"/>
          <w:sz w:val="16"/>
          <w:szCs w:val="16"/>
        </w:rPr>
      </w:pPr>
    </w:p>
    <w:p w14:paraId="2DD4C147" w14:textId="77777777" w:rsidR="00EA7458" w:rsidRPr="00EA7458" w:rsidRDefault="00EA7458" w:rsidP="00D63204">
      <w:pPr>
        <w:widowControl w:val="0"/>
        <w:numPr>
          <w:ilvl w:val="2"/>
          <w:numId w:val="7"/>
        </w:numPr>
        <w:tabs>
          <w:tab w:val="left" w:pos="1998"/>
        </w:tabs>
        <w:spacing w:after="0" w:line="240" w:lineRule="auto"/>
        <w:rPr>
          <w:rFonts w:ascii="Calibri" w:hAnsi="Calibri" w:cs="Calibri"/>
        </w:rPr>
      </w:pPr>
      <w:r w:rsidRPr="00EA7458">
        <w:rPr>
          <w:rFonts w:ascii="Calibri" w:hAnsi="Calibri"/>
          <w:color w:val="295CA3"/>
          <w:w w:val="110"/>
        </w:rPr>
        <w:t>State Workforce Development</w:t>
      </w:r>
      <w:r w:rsidRPr="00EA7458">
        <w:rPr>
          <w:rFonts w:ascii="Calibri" w:hAnsi="Calibri"/>
          <w:color w:val="295CA3"/>
          <w:spacing w:val="2"/>
          <w:w w:val="110"/>
        </w:rPr>
        <w:t xml:space="preserve"> </w:t>
      </w:r>
      <w:r w:rsidRPr="00EA7458">
        <w:rPr>
          <w:rFonts w:ascii="Calibri" w:hAnsi="Calibri"/>
          <w:color w:val="295CA3"/>
          <w:w w:val="110"/>
        </w:rPr>
        <w:t>Capacity</w:t>
      </w:r>
    </w:p>
    <w:p w14:paraId="56077A30" w14:textId="3DBAFF4A" w:rsidR="00EA7458" w:rsidRPr="00EA7458" w:rsidRDefault="007C75FF" w:rsidP="00D63204">
      <w:pPr>
        <w:widowControl w:val="0"/>
        <w:spacing w:before="193" w:after="0" w:line="264" w:lineRule="exact"/>
        <w:ind w:left="107"/>
        <w:rPr>
          <w:rFonts w:ascii="Calibri" w:hAnsi="Calibri"/>
        </w:rPr>
      </w:pPr>
      <w:r>
        <w:rPr>
          <w:rFonts w:ascii="Calibri" w:hAnsi="Calibri"/>
          <w:w w:val="105"/>
        </w:rPr>
        <w:t>Florida is well-positioned to continue delivering exceptional workforce development services with</w:t>
      </w:r>
      <w:r w:rsidR="00EA7458" w:rsidRPr="00EA7458">
        <w:rPr>
          <w:rFonts w:ascii="Calibri" w:hAnsi="Calibri"/>
          <w:spacing w:val="16"/>
          <w:w w:val="105"/>
        </w:rPr>
        <w:t xml:space="preserve"> </w:t>
      </w:r>
      <w:r w:rsidR="00EA7458" w:rsidRPr="00EA7458">
        <w:rPr>
          <w:rFonts w:ascii="Calibri" w:hAnsi="Calibri"/>
          <w:w w:val="105"/>
        </w:rPr>
        <w:t>the</w:t>
      </w:r>
      <w:r w:rsidR="00EA7458" w:rsidRPr="00EA7458">
        <w:rPr>
          <w:rFonts w:ascii="Calibri" w:hAnsi="Calibri"/>
          <w:spacing w:val="16"/>
          <w:w w:val="105"/>
        </w:rPr>
        <w:t xml:space="preserve"> </w:t>
      </w:r>
      <w:r w:rsidR="00EA7458" w:rsidRPr="00EA7458">
        <w:rPr>
          <w:rFonts w:ascii="Calibri" w:hAnsi="Calibri"/>
          <w:w w:val="105"/>
        </w:rPr>
        <w:t>knowledge</w:t>
      </w:r>
      <w:r w:rsidR="00EA7458" w:rsidRPr="00EA7458">
        <w:rPr>
          <w:rFonts w:ascii="Calibri" w:hAnsi="Calibri"/>
          <w:spacing w:val="16"/>
          <w:w w:val="105"/>
        </w:rPr>
        <w:t xml:space="preserve"> </w:t>
      </w:r>
      <w:r w:rsidR="00EA7458" w:rsidRPr="00EA7458">
        <w:rPr>
          <w:rFonts w:ascii="Calibri" w:hAnsi="Calibri"/>
          <w:w w:val="105"/>
        </w:rPr>
        <w:t>and</w:t>
      </w:r>
      <w:r w:rsidR="00EA7458" w:rsidRPr="00EA7458">
        <w:rPr>
          <w:rFonts w:ascii="Calibri" w:hAnsi="Calibri"/>
          <w:spacing w:val="16"/>
          <w:w w:val="105"/>
        </w:rPr>
        <w:t xml:space="preserve"> </w:t>
      </w:r>
      <w:r w:rsidR="00EA7458" w:rsidRPr="00EA7458">
        <w:rPr>
          <w:rFonts w:ascii="Calibri" w:hAnsi="Calibri"/>
          <w:w w:val="105"/>
        </w:rPr>
        <w:t>experience</w:t>
      </w:r>
      <w:r w:rsidR="00EA7458" w:rsidRPr="00EA7458">
        <w:rPr>
          <w:rFonts w:ascii="Calibri" w:hAnsi="Calibri"/>
          <w:spacing w:val="16"/>
          <w:w w:val="105"/>
        </w:rPr>
        <w:t xml:space="preserve"> </w:t>
      </w:r>
      <w:r w:rsidR="00EA7458" w:rsidRPr="00EA7458">
        <w:rPr>
          <w:rFonts w:ascii="Calibri" w:hAnsi="Calibri"/>
          <w:w w:val="105"/>
        </w:rPr>
        <w:t>of</w:t>
      </w:r>
      <w:r w:rsidR="00EA7458" w:rsidRPr="00EA7458">
        <w:rPr>
          <w:rFonts w:ascii="Calibri" w:hAnsi="Calibri"/>
          <w:spacing w:val="16"/>
          <w:w w:val="105"/>
        </w:rPr>
        <w:t xml:space="preserve"> </w:t>
      </w:r>
      <w:r w:rsidR="00EA7458" w:rsidRPr="00EA7458">
        <w:rPr>
          <w:rFonts w:ascii="Calibri" w:hAnsi="Calibri"/>
          <w:w w:val="105"/>
        </w:rPr>
        <w:t>Florida’s</w:t>
      </w:r>
      <w:r w:rsidR="00EA7458" w:rsidRPr="00EA7458">
        <w:rPr>
          <w:rFonts w:ascii="Calibri" w:hAnsi="Calibri"/>
          <w:spacing w:val="16"/>
          <w:w w:val="105"/>
        </w:rPr>
        <w:t xml:space="preserve"> </w:t>
      </w:r>
      <w:r w:rsidR="00EA7458" w:rsidRPr="00EA7458">
        <w:rPr>
          <w:rFonts w:ascii="Calibri" w:hAnsi="Calibri"/>
          <w:w w:val="105"/>
        </w:rPr>
        <w:t>Workforce</w:t>
      </w:r>
      <w:r w:rsidR="00EA7458" w:rsidRPr="00EA7458">
        <w:rPr>
          <w:rFonts w:ascii="Calibri" w:hAnsi="Calibri"/>
          <w:spacing w:val="16"/>
          <w:w w:val="105"/>
        </w:rPr>
        <w:t xml:space="preserve"> </w:t>
      </w:r>
      <w:r w:rsidR="00EA7458" w:rsidRPr="00EA7458">
        <w:rPr>
          <w:rFonts w:ascii="Calibri" w:hAnsi="Calibri"/>
          <w:w w:val="105"/>
        </w:rPr>
        <w:t>Innovation</w:t>
      </w:r>
      <w:r w:rsidR="00EA7458" w:rsidRPr="00EA7458">
        <w:rPr>
          <w:rFonts w:ascii="Calibri" w:hAnsi="Calibri"/>
          <w:spacing w:val="16"/>
          <w:w w:val="105"/>
        </w:rPr>
        <w:t xml:space="preserve"> </w:t>
      </w:r>
      <w:r w:rsidR="00EA7458" w:rsidRPr="00EA7458">
        <w:rPr>
          <w:rFonts w:ascii="Calibri" w:hAnsi="Calibri"/>
          <w:w w:val="105"/>
        </w:rPr>
        <w:t>and</w:t>
      </w:r>
      <w:r w:rsidR="00EA7458" w:rsidRPr="00EA7458">
        <w:rPr>
          <w:rFonts w:ascii="Calibri" w:hAnsi="Calibri"/>
          <w:spacing w:val="16"/>
          <w:w w:val="105"/>
        </w:rPr>
        <w:t xml:space="preserve"> </w:t>
      </w:r>
      <w:r w:rsidR="00EA7458" w:rsidRPr="00EA7458">
        <w:rPr>
          <w:rFonts w:ascii="Calibri" w:hAnsi="Calibri"/>
          <w:w w:val="105"/>
        </w:rPr>
        <w:t>Opportunity</w:t>
      </w:r>
      <w:r w:rsidR="00EA7458" w:rsidRPr="00EA7458">
        <w:rPr>
          <w:rFonts w:ascii="Calibri" w:hAnsi="Calibri"/>
          <w:spacing w:val="16"/>
          <w:w w:val="105"/>
        </w:rPr>
        <w:t xml:space="preserve"> </w:t>
      </w:r>
      <w:r w:rsidR="00EA7458" w:rsidRPr="00EA7458">
        <w:rPr>
          <w:rFonts w:ascii="Calibri" w:hAnsi="Calibri"/>
          <w:w w:val="105"/>
        </w:rPr>
        <w:t>Act</w:t>
      </w:r>
      <w:r w:rsidR="00EA7458" w:rsidRPr="00EA7458">
        <w:rPr>
          <w:rFonts w:ascii="Calibri" w:hAnsi="Calibri"/>
          <w:spacing w:val="16"/>
          <w:w w:val="105"/>
        </w:rPr>
        <w:t xml:space="preserve"> </w:t>
      </w:r>
      <w:r w:rsidR="00EA7458" w:rsidRPr="00EA7458">
        <w:rPr>
          <w:rFonts w:ascii="Calibri" w:hAnsi="Calibri"/>
          <w:w w:val="105"/>
        </w:rPr>
        <w:t>core</w:t>
      </w:r>
      <w:r w:rsidR="00EA7458" w:rsidRPr="00EA7458">
        <w:rPr>
          <w:rFonts w:ascii="Calibri" w:hAnsi="Calibri"/>
          <w:spacing w:val="16"/>
          <w:w w:val="105"/>
        </w:rPr>
        <w:t xml:space="preserve"> </w:t>
      </w:r>
      <w:r w:rsidR="00EA7458" w:rsidRPr="00EA7458">
        <w:rPr>
          <w:rFonts w:ascii="Calibri" w:hAnsi="Calibri"/>
          <w:w w:val="105"/>
        </w:rPr>
        <w:t>program</w:t>
      </w:r>
      <w:r w:rsidR="00EA7458" w:rsidRPr="00EA7458">
        <w:rPr>
          <w:rFonts w:ascii="Calibri" w:hAnsi="Calibri"/>
          <w:w w:val="106"/>
        </w:rPr>
        <w:t xml:space="preserve"> </w:t>
      </w:r>
      <w:r w:rsidR="00EA7458" w:rsidRPr="00EA7458">
        <w:rPr>
          <w:rFonts w:ascii="Calibri" w:hAnsi="Calibri"/>
          <w:w w:val="105"/>
        </w:rPr>
        <w:t>partners. Continued</w:t>
      </w:r>
      <w:r w:rsidR="00EA7458" w:rsidRPr="00EA7458">
        <w:rPr>
          <w:rFonts w:ascii="Calibri" w:hAnsi="Calibri"/>
          <w:spacing w:val="47"/>
          <w:w w:val="105"/>
        </w:rPr>
        <w:t xml:space="preserve"> </w:t>
      </w:r>
      <w:r w:rsidR="00EA7458" w:rsidRPr="00EA7458">
        <w:rPr>
          <w:rFonts w:ascii="Calibri" w:hAnsi="Calibri"/>
          <w:w w:val="105"/>
        </w:rPr>
        <w:t>communication</w:t>
      </w:r>
      <w:r w:rsidR="00EA7458" w:rsidRPr="00EA7458">
        <w:rPr>
          <w:rFonts w:ascii="Calibri" w:hAnsi="Calibri"/>
          <w:spacing w:val="21"/>
          <w:w w:val="105"/>
        </w:rPr>
        <w:t xml:space="preserve"> </w:t>
      </w:r>
      <w:r w:rsidR="00EA7458" w:rsidRPr="00EA7458">
        <w:rPr>
          <w:rFonts w:ascii="Calibri" w:hAnsi="Calibri"/>
          <w:w w:val="105"/>
        </w:rPr>
        <w:t>and</w:t>
      </w:r>
      <w:r w:rsidR="00EA7458" w:rsidRPr="00EA7458">
        <w:rPr>
          <w:rFonts w:ascii="Calibri" w:hAnsi="Calibri"/>
          <w:spacing w:val="21"/>
          <w:w w:val="105"/>
        </w:rPr>
        <w:t xml:space="preserve"> </w:t>
      </w:r>
      <w:r w:rsidR="00EA7458" w:rsidRPr="00EA7458">
        <w:rPr>
          <w:rFonts w:ascii="Calibri" w:hAnsi="Calibri"/>
          <w:w w:val="105"/>
        </w:rPr>
        <w:t>enhanced</w:t>
      </w:r>
      <w:r w:rsidR="00EA7458" w:rsidRPr="00EA7458">
        <w:rPr>
          <w:rFonts w:ascii="Calibri" w:hAnsi="Calibri"/>
          <w:spacing w:val="21"/>
          <w:w w:val="105"/>
        </w:rPr>
        <w:t xml:space="preserve"> </w:t>
      </w:r>
      <w:r w:rsidR="00EA7458" w:rsidRPr="00EA7458">
        <w:rPr>
          <w:rFonts w:ascii="Calibri" w:hAnsi="Calibri"/>
          <w:w w:val="105"/>
        </w:rPr>
        <w:t>collaboration</w:t>
      </w:r>
      <w:r w:rsidR="00EA7458" w:rsidRPr="00EA7458">
        <w:rPr>
          <w:rFonts w:ascii="Calibri" w:hAnsi="Calibri"/>
          <w:spacing w:val="21"/>
          <w:w w:val="105"/>
        </w:rPr>
        <w:t xml:space="preserve"> </w:t>
      </w:r>
      <w:r w:rsidR="00EA7458" w:rsidRPr="00EA7458">
        <w:rPr>
          <w:rFonts w:ascii="Calibri" w:hAnsi="Calibri"/>
          <w:w w:val="105"/>
        </w:rPr>
        <w:t>among</w:t>
      </w:r>
      <w:r w:rsidR="00EA7458" w:rsidRPr="00EA7458">
        <w:rPr>
          <w:rFonts w:ascii="Calibri" w:hAnsi="Calibri"/>
          <w:spacing w:val="21"/>
          <w:w w:val="105"/>
        </w:rPr>
        <w:t xml:space="preserve"> </w:t>
      </w:r>
      <w:r w:rsidR="00EA7458" w:rsidRPr="00EA7458">
        <w:rPr>
          <w:rFonts w:ascii="Calibri" w:hAnsi="Calibri"/>
          <w:w w:val="105"/>
        </w:rPr>
        <w:t>the</w:t>
      </w:r>
      <w:r w:rsidR="00EA7458" w:rsidRPr="00EA7458">
        <w:rPr>
          <w:rFonts w:ascii="Calibri" w:hAnsi="Calibri"/>
          <w:spacing w:val="21"/>
          <w:w w:val="105"/>
        </w:rPr>
        <w:t xml:space="preserve"> </w:t>
      </w:r>
      <w:r w:rsidR="00EA7458" w:rsidRPr="00EA7458">
        <w:rPr>
          <w:rFonts w:ascii="Calibri" w:hAnsi="Calibri"/>
          <w:spacing w:val="-3"/>
          <w:w w:val="105"/>
        </w:rPr>
        <w:t>WIOA</w:t>
      </w:r>
      <w:r w:rsidR="00EA7458" w:rsidRPr="00EA7458">
        <w:rPr>
          <w:rFonts w:ascii="Calibri" w:hAnsi="Calibri"/>
          <w:spacing w:val="21"/>
          <w:w w:val="105"/>
        </w:rPr>
        <w:t xml:space="preserve"> </w:t>
      </w:r>
      <w:r w:rsidR="00EA7458" w:rsidRPr="00EA7458">
        <w:rPr>
          <w:rFonts w:ascii="Calibri" w:hAnsi="Calibri"/>
          <w:w w:val="105"/>
        </w:rPr>
        <w:t>State</w:t>
      </w:r>
      <w:r w:rsidR="00EA7458" w:rsidRPr="00EA7458">
        <w:rPr>
          <w:rFonts w:ascii="Calibri" w:hAnsi="Calibri"/>
          <w:spacing w:val="21"/>
          <w:w w:val="105"/>
        </w:rPr>
        <w:t xml:space="preserve"> </w:t>
      </w:r>
      <w:r w:rsidR="00EA7458" w:rsidRPr="00EA7458">
        <w:rPr>
          <w:rFonts w:ascii="Calibri" w:hAnsi="Calibri"/>
          <w:w w:val="105"/>
        </w:rPr>
        <w:t>Leadership</w:t>
      </w:r>
      <w:r w:rsidR="00EA7458" w:rsidRPr="00EA7458">
        <w:rPr>
          <w:rFonts w:ascii="Calibri" w:hAnsi="Calibri"/>
          <w:spacing w:val="21"/>
          <w:w w:val="105"/>
        </w:rPr>
        <w:t xml:space="preserve"> </w:t>
      </w:r>
      <w:r w:rsidR="00EA7458" w:rsidRPr="00EA7458">
        <w:rPr>
          <w:rFonts w:ascii="Calibri" w:hAnsi="Calibri"/>
          <w:spacing w:val="-6"/>
          <w:w w:val="105"/>
        </w:rPr>
        <w:t>Team</w:t>
      </w:r>
      <w:r w:rsidR="00EA7458" w:rsidRPr="00EA7458">
        <w:rPr>
          <w:rFonts w:ascii="Calibri" w:hAnsi="Calibri"/>
          <w:spacing w:val="21"/>
          <w:w w:val="105"/>
        </w:rPr>
        <w:t xml:space="preserve"> </w:t>
      </w:r>
      <w:r w:rsidR="00EA7458" w:rsidRPr="00EA7458">
        <w:rPr>
          <w:rFonts w:ascii="Calibri" w:hAnsi="Calibri"/>
          <w:w w:val="105"/>
        </w:rPr>
        <w:t>and</w:t>
      </w:r>
      <w:r w:rsidR="00EA7458" w:rsidRPr="00EA7458">
        <w:rPr>
          <w:rFonts w:ascii="Calibri" w:hAnsi="Calibri"/>
          <w:spacing w:val="21"/>
          <w:w w:val="105"/>
        </w:rPr>
        <w:t xml:space="preserve"> </w:t>
      </w:r>
      <w:r w:rsidR="00EA7458" w:rsidRPr="00EA7458">
        <w:rPr>
          <w:rFonts w:ascii="Calibri" w:hAnsi="Calibri"/>
          <w:w w:val="105"/>
        </w:rPr>
        <w:t>working</w:t>
      </w:r>
      <w:r w:rsidR="00EA7458" w:rsidRPr="00EA7458">
        <w:rPr>
          <w:rFonts w:ascii="Calibri" w:hAnsi="Calibri"/>
          <w:spacing w:val="21"/>
          <w:w w:val="105"/>
        </w:rPr>
        <w:t xml:space="preserve"> </w:t>
      </w:r>
      <w:r w:rsidRPr="00EA7458">
        <w:rPr>
          <w:rFonts w:ascii="Calibri" w:hAnsi="Calibri"/>
          <w:w w:val="105"/>
        </w:rPr>
        <w:t>group</w:t>
      </w:r>
      <w:r>
        <w:rPr>
          <w:rFonts w:ascii="Calibri" w:hAnsi="Calibri"/>
          <w:w w:val="105"/>
        </w:rPr>
        <w:t>s remain a primary focus as the partners collectively build</w:t>
      </w:r>
      <w:r w:rsidR="00EA7458" w:rsidRPr="00EA7458">
        <w:rPr>
          <w:rFonts w:ascii="Calibri" w:hAnsi="Calibri"/>
          <w:w w:val="105"/>
        </w:rPr>
        <w:t xml:space="preserve"> the capacity of the state’s workforce system.</w:t>
      </w:r>
    </w:p>
    <w:p w14:paraId="77E76285" w14:textId="77777777" w:rsidR="00EA7458" w:rsidRPr="00EA7458" w:rsidRDefault="00EA7458" w:rsidP="00D63204">
      <w:pPr>
        <w:widowControl w:val="0"/>
        <w:spacing w:before="5" w:after="0" w:line="240" w:lineRule="auto"/>
        <w:ind w:left="107"/>
        <w:rPr>
          <w:rFonts w:ascii="Calibri" w:hAnsi="Calibri" w:cs="Calibri"/>
          <w:sz w:val="16"/>
          <w:szCs w:val="16"/>
        </w:rPr>
      </w:pPr>
    </w:p>
    <w:p w14:paraId="02BB756B" w14:textId="0FD21C43" w:rsidR="00EA7458" w:rsidRPr="00EA7458" w:rsidRDefault="00EA7458" w:rsidP="00D63204">
      <w:pPr>
        <w:widowControl w:val="0"/>
        <w:spacing w:after="0" w:line="264" w:lineRule="exact"/>
        <w:ind w:left="107"/>
        <w:rPr>
          <w:rFonts w:ascii="Calibri" w:hAnsi="Calibri"/>
        </w:rPr>
      </w:pPr>
      <w:r w:rsidRPr="00EA7458">
        <w:rPr>
          <w:rFonts w:ascii="Calibri" w:hAnsi="Calibri"/>
          <w:w w:val="105"/>
        </w:rPr>
        <w:t>Capacity</w:t>
      </w:r>
      <w:r w:rsidRPr="00EA7458">
        <w:rPr>
          <w:rFonts w:ascii="Calibri" w:hAnsi="Calibri"/>
          <w:spacing w:val="25"/>
          <w:w w:val="105"/>
        </w:rPr>
        <w:t xml:space="preserve"> </w:t>
      </w:r>
      <w:r w:rsidRPr="00EA7458">
        <w:rPr>
          <w:rFonts w:ascii="Calibri" w:hAnsi="Calibri"/>
          <w:w w:val="105"/>
        </w:rPr>
        <w:t>also</w:t>
      </w:r>
      <w:r w:rsidRPr="00EA7458">
        <w:rPr>
          <w:rFonts w:ascii="Calibri" w:hAnsi="Calibri"/>
          <w:spacing w:val="25"/>
          <w:w w:val="105"/>
        </w:rPr>
        <w:t xml:space="preserve"> </w:t>
      </w:r>
      <w:r w:rsidRPr="00EA7458">
        <w:rPr>
          <w:rFonts w:ascii="Calibri" w:hAnsi="Calibri"/>
          <w:w w:val="105"/>
        </w:rPr>
        <w:t>depends</w:t>
      </w:r>
      <w:r w:rsidRPr="00EA7458">
        <w:rPr>
          <w:rFonts w:ascii="Calibri" w:hAnsi="Calibri"/>
          <w:spacing w:val="25"/>
          <w:w w:val="105"/>
        </w:rPr>
        <w:t xml:space="preserve"> </w:t>
      </w:r>
      <w:r w:rsidRPr="00EA7458">
        <w:rPr>
          <w:rFonts w:ascii="Calibri" w:hAnsi="Calibri"/>
          <w:w w:val="105"/>
        </w:rPr>
        <w:t>on</w:t>
      </w:r>
      <w:r w:rsidRPr="00EA7458">
        <w:rPr>
          <w:rFonts w:ascii="Calibri" w:hAnsi="Calibri"/>
          <w:spacing w:val="25"/>
          <w:w w:val="105"/>
        </w:rPr>
        <w:t xml:space="preserve"> </w:t>
      </w:r>
      <w:r w:rsidRPr="00EA7458">
        <w:rPr>
          <w:rFonts w:ascii="Calibri" w:hAnsi="Calibri"/>
          <w:w w:val="105"/>
        </w:rPr>
        <w:t>the</w:t>
      </w:r>
      <w:r w:rsidRPr="00EA7458">
        <w:rPr>
          <w:rFonts w:ascii="Calibri" w:hAnsi="Calibri"/>
          <w:spacing w:val="25"/>
          <w:w w:val="105"/>
        </w:rPr>
        <w:t xml:space="preserve"> </w:t>
      </w:r>
      <w:r w:rsidRPr="00EA7458">
        <w:rPr>
          <w:rFonts w:ascii="Calibri" w:hAnsi="Calibri"/>
          <w:w w:val="105"/>
        </w:rPr>
        <w:t>continued</w:t>
      </w:r>
      <w:r w:rsidRPr="00EA7458">
        <w:rPr>
          <w:rFonts w:ascii="Calibri" w:hAnsi="Calibri"/>
          <w:spacing w:val="25"/>
          <w:w w:val="105"/>
        </w:rPr>
        <w:t xml:space="preserve"> </w:t>
      </w:r>
      <w:r w:rsidRPr="00EA7458">
        <w:rPr>
          <w:rFonts w:ascii="Calibri" w:hAnsi="Calibri"/>
          <w:w w:val="105"/>
        </w:rPr>
        <w:t>success</w:t>
      </w:r>
      <w:r w:rsidRPr="00EA7458">
        <w:rPr>
          <w:rFonts w:ascii="Calibri" w:hAnsi="Calibri"/>
          <w:spacing w:val="25"/>
          <w:w w:val="105"/>
        </w:rPr>
        <w:t xml:space="preserve"> </w:t>
      </w:r>
      <w:r w:rsidRPr="00EA7458">
        <w:rPr>
          <w:rFonts w:ascii="Calibri" w:hAnsi="Calibri"/>
          <w:w w:val="105"/>
        </w:rPr>
        <w:t>of</w:t>
      </w:r>
      <w:r w:rsidRPr="00EA7458">
        <w:rPr>
          <w:rFonts w:ascii="Calibri" w:hAnsi="Calibri"/>
          <w:spacing w:val="25"/>
          <w:w w:val="105"/>
        </w:rPr>
        <w:t xml:space="preserve"> </w:t>
      </w:r>
      <w:r w:rsidRPr="00EA7458">
        <w:rPr>
          <w:rFonts w:ascii="Calibri" w:hAnsi="Calibri"/>
          <w:w w:val="105"/>
        </w:rPr>
        <w:t>Florida’s</w:t>
      </w:r>
      <w:r w:rsidRPr="00EA7458">
        <w:rPr>
          <w:rFonts w:ascii="Calibri" w:hAnsi="Calibri"/>
          <w:spacing w:val="25"/>
          <w:w w:val="105"/>
        </w:rPr>
        <w:t xml:space="preserve"> </w:t>
      </w:r>
      <w:r w:rsidRPr="00EA7458">
        <w:rPr>
          <w:rFonts w:ascii="Calibri" w:hAnsi="Calibri"/>
          <w:w w:val="105"/>
        </w:rPr>
        <w:t>24</w:t>
      </w:r>
      <w:r w:rsidRPr="00EA7458">
        <w:rPr>
          <w:rFonts w:ascii="Calibri" w:hAnsi="Calibri"/>
          <w:spacing w:val="25"/>
          <w:w w:val="105"/>
        </w:rPr>
        <w:t xml:space="preserve"> </w:t>
      </w:r>
      <w:r w:rsidRPr="00EA7458">
        <w:rPr>
          <w:rFonts w:ascii="Calibri" w:hAnsi="Calibri"/>
          <w:w w:val="105"/>
        </w:rPr>
        <w:t>local</w:t>
      </w:r>
      <w:r w:rsidRPr="00EA7458">
        <w:rPr>
          <w:rFonts w:ascii="Calibri" w:hAnsi="Calibri"/>
          <w:spacing w:val="25"/>
          <w:w w:val="105"/>
        </w:rPr>
        <w:t xml:space="preserve"> </w:t>
      </w:r>
      <w:r w:rsidRPr="00EA7458">
        <w:rPr>
          <w:rFonts w:ascii="Calibri" w:hAnsi="Calibri"/>
          <w:w w:val="105"/>
        </w:rPr>
        <w:t>workforce</w:t>
      </w:r>
      <w:r w:rsidRPr="00EA7458">
        <w:rPr>
          <w:rFonts w:ascii="Calibri" w:hAnsi="Calibri"/>
          <w:spacing w:val="25"/>
          <w:w w:val="105"/>
        </w:rPr>
        <w:t xml:space="preserve"> </w:t>
      </w:r>
      <w:r w:rsidRPr="00EA7458">
        <w:rPr>
          <w:rFonts w:ascii="Calibri" w:hAnsi="Calibri"/>
          <w:w w:val="105"/>
        </w:rPr>
        <w:t>development</w:t>
      </w:r>
      <w:r w:rsidRPr="00EA7458">
        <w:rPr>
          <w:rFonts w:ascii="Calibri" w:hAnsi="Calibri"/>
          <w:spacing w:val="25"/>
          <w:w w:val="105"/>
        </w:rPr>
        <w:t xml:space="preserve"> </w:t>
      </w:r>
      <w:r w:rsidRPr="00EA7458">
        <w:rPr>
          <w:rFonts w:ascii="Calibri" w:hAnsi="Calibri"/>
          <w:w w:val="105"/>
        </w:rPr>
        <w:t>boards.</w:t>
      </w:r>
      <w:r w:rsidRPr="00EA7458">
        <w:rPr>
          <w:rFonts w:ascii="Calibri" w:hAnsi="Calibri"/>
          <w:w w:val="107"/>
        </w:rPr>
        <w:t xml:space="preserve"> </w:t>
      </w:r>
      <w:r w:rsidR="00956BE4">
        <w:rPr>
          <w:rFonts w:ascii="Calibri" w:hAnsi="Calibri"/>
          <w:w w:val="105"/>
        </w:rPr>
        <w:t xml:space="preserve">Local boards </w:t>
      </w:r>
      <w:r w:rsidRPr="00EA7458">
        <w:rPr>
          <w:rFonts w:ascii="Calibri" w:hAnsi="Calibri"/>
          <w:w w:val="105"/>
        </w:rPr>
        <w:t>and</w:t>
      </w:r>
      <w:r w:rsidRPr="00EA7458">
        <w:rPr>
          <w:rFonts w:ascii="Calibri" w:hAnsi="Calibri"/>
          <w:spacing w:val="8"/>
          <w:w w:val="105"/>
        </w:rPr>
        <w:t xml:space="preserve"> </w:t>
      </w:r>
      <w:r w:rsidRPr="00EA7458">
        <w:rPr>
          <w:rFonts w:ascii="Calibri" w:hAnsi="Calibri"/>
          <w:w w:val="105"/>
        </w:rPr>
        <w:t>their</w:t>
      </w:r>
      <w:r w:rsidRPr="00EA7458">
        <w:rPr>
          <w:rFonts w:ascii="Calibri" w:hAnsi="Calibri"/>
          <w:spacing w:val="8"/>
          <w:w w:val="105"/>
        </w:rPr>
        <w:t xml:space="preserve"> </w:t>
      </w:r>
      <w:r w:rsidRPr="00EA7458">
        <w:rPr>
          <w:rFonts w:ascii="Calibri" w:hAnsi="Calibri"/>
          <w:spacing w:val="-3"/>
          <w:w w:val="105"/>
        </w:rPr>
        <w:t>WIOA</w:t>
      </w:r>
      <w:r w:rsidRPr="00EA7458">
        <w:rPr>
          <w:rFonts w:ascii="Calibri" w:hAnsi="Calibri"/>
          <w:spacing w:val="8"/>
          <w:w w:val="105"/>
        </w:rPr>
        <w:t xml:space="preserve"> </w:t>
      </w:r>
      <w:r w:rsidRPr="00EA7458">
        <w:rPr>
          <w:rFonts w:ascii="Calibri" w:hAnsi="Calibri"/>
          <w:w w:val="105"/>
        </w:rPr>
        <w:t>partners</w:t>
      </w:r>
      <w:r w:rsidRPr="00EA7458">
        <w:rPr>
          <w:rFonts w:ascii="Calibri" w:hAnsi="Calibri"/>
          <w:spacing w:val="8"/>
          <w:w w:val="105"/>
        </w:rPr>
        <w:t xml:space="preserve"> </w:t>
      </w:r>
      <w:r w:rsidR="007C75FF">
        <w:rPr>
          <w:rFonts w:ascii="Calibri" w:hAnsi="Calibri"/>
          <w:w w:val="105"/>
        </w:rPr>
        <w:t>constantly strive to develop</w:t>
      </w:r>
      <w:r w:rsidRPr="00EA7458">
        <w:rPr>
          <w:rFonts w:ascii="Calibri" w:hAnsi="Calibri"/>
          <w:spacing w:val="8"/>
          <w:w w:val="105"/>
        </w:rPr>
        <w:t xml:space="preserve"> </w:t>
      </w:r>
      <w:r w:rsidRPr="00EA7458">
        <w:rPr>
          <w:rFonts w:ascii="Calibri" w:hAnsi="Calibri"/>
          <w:w w:val="105"/>
        </w:rPr>
        <w:t>innovative</w:t>
      </w:r>
      <w:r w:rsidRPr="00EA7458">
        <w:rPr>
          <w:rFonts w:ascii="Calibri" w:hAnsi="Calibri"/>
          <w:spacing w:val="8"/>
          <w:w w:val="105"/>
        </w:rPr>
        <w:t xml:space="preserve"> </w:t>
      </w:r>
      <w:r w:rsidRPr="00EA7458">
        <w:rPr>
          <w:rFonts w:ascii="Calibri" w:hAnsi="Calibri"/>
          <w:w w:val="105"/>
        </w:rPr>
        <w:t>methods</w:t>
      </w:r>
      <w:r w:rsidRPr="00EA7458">
        <w:rPr>
          <w:rFonts w:ascii="Calibri" w:hAnsi="Calibri"/>
          <w:spacing w:val="8"/>
          <w:w w:val="105"/>
        </w:rPr>
        <w:t xml:space="preserve"> </w:t>
      </w:r>
      <w:r w:rsidRPr="00EA7458">
        <w:rPr>
          <w:rFonts w:ascii="Calibri" w:hAnsi="Calibri"/>
          <w:w w:val="105"/>
        </w:rPr>
        <w:t>for</w:t>
      </w:r>
      <w:r w:rsidRPr="00EA7458">
        <w:rPr>
          <w:rFonts w:ascii="Calibri" w:hAnsi="Calibri"/>
          <w:spacing w:val="8"/>
          <w:w w:val="105"/>
        </w:rPr>
        <w:t xml:space="preserve"> </w:t>
      </w:r>
      <w:r w:rsidRPr="00EA7458">
        <w:rPr>
          <w:rFonts w:ascii="Calibri" w:hAnsi="Calibri"/>
          <w:w w:val="105"/>
        </w:rPr>
        <w:t>delivery</w:t>
      </w:r>
      <w:r w:rsidRPr="00EA7458">
        <w:rPr>
          <w:rFonts w:ascii="Calibri" w:hAnsi="Calibri"/>
          <w:spacing w:val="8"/>
          <w:w w:val="105"/>
        </w:rPr>
        <w:t xml:space="preserve"> </w:t>
      </w:r>
      <w:r w:rsidRPr="00EA7458">
        <w:rPr>
          <w:rFonts w:ascii="Calibri" w:hAnsi="Calibri"/>
          <w:w w:val="105"/>
        </w:rPr>
        <w:t>of</w:t>
      </w:r>
      <w:r w:rsidRPr="00EA7458">
        <w:rPr>
          <w:rFonts w:ascii="Calibri" w:hAnsi="Calibri"/>
          <w:spacing w:val="8"/>
          <w:w w:val="105"/>
        </w:rPr>
        <w:t xml:space="preserve"> </w:t>
      </w:r>
      <w:r w:rsidRPr="00EA7458">
        <w:rPr>
          <w:rFonts w:ascii="Calibri" w:hAnsi="Calibri"/>
          <w:w w:val="105"/>
        </w:rPr>
        <w:t>services</w:t>
      </w:r>
      <w:r w:rsidRPr="00EA7458">
        <w:rPr>
          <w:rFonts w:ascii="Calibri" w:hAnsi="Calibri"/>
          <w:spacing w:val="8"/>
          <w:w w:val="105"/>
        </w:rPr>
        <w:t xml:space="preserve"> </w:t>
      </w:r>
      <w:r w:rsidRPr="00EA7458">
        <w:rPr>
          <w:rFonts w:ascii="Calibri" w:hAnsi="Calibri"/>
          <w:w w:val="105"/>
        </w:rPr>
        <w:t>to</w:t>
      </w:r>
      <w:r w:rsidRPr="00EA7458">
        <w:rPr>
          <w:rFonts w:ascii="Calibri" w:hAnsi="Calibri"/>
          <w:spacing w:val="8"/>
          <w:w w:val="105"/>
        </w:rPr>
        <w:t xml:space="preserve"> </w:t>
      </w:r>
      <w:r w:rsidRPr="00EA7458">
        <w:rPr>
          <w:rFonts w:ascii="Calibri" w:hAnsi="Calibri"/>
          <w:w w:val="105"/>
        </w:rPr>
        <w:t>job</w:t>
      </w:r>
      <w:r w:rsidRPr="00EA7458">
        <w:rPr>
          <w:rFonts w:ascii="Calibri" w:hAnsi="Calibri"/>
          <w:spacing w:val="-18"/>
          <w:w w:val="105"/>
        </w:rPr>
        <w:t xml:space="preserve"> </w:t>
      </w:r>
      <w:r w:rsidRPr="00EA7458">
        <w:rPr>
          <w:rFonts w:ascii="Calibri" w:hAnsi="Calibri"/>
          <w:w w:val="105"/>
        </w:rPr>
        <w:t>seekers and employers in their local areas. A heightened focus on customer service and business</w:t>
      </w:r>
      <w:r w:rsidRPr="00EA7458">
        <w:rPr>
          <w:rFonts w:ascii="Calibri" w:hAnsi="Calibri"/>
          <w:spacing w:val="8"/>
          <w:w w:val="105"/>
        </w:rPr>
        <w:t xml:space="preserve"> </w:t>
      </w:r>
      <w:r w:rsidRPr="00EA7458">
        <w:rPr>
          <w:rFonts w:ascii="Calibri" w:hAnsi="Calibri"/>
          <w:w w:val="105"/>
        </w:rPr>
        <w:t>engagement is helping increase Florida’s workforce network capacity.</w:t>
      </w:r>
    </w:p>
    <w:p w14:paraId="6C9428F7" w14:textId="77777777" w:rsidR="00EA7458" w:rsidRPr="00EA7458" w:rsidRDefault="00EA7458" w:rsidP="00D63204">
      <w:pPr>
        <w:widowControl w:val="0"/>
        <w:spacing w:before="5" w:after="0" w:line="240" w:lineRule="auto"/>
        <w:ind w:left="107"/>
        <w:rPr>
          <w:rFonts w:ascii="Calibri" w:hAnsi="Calibri" w:cs="Calibri"/>
          <w:sz w:val="16"/>
          <w:szCs w:val="16"/>
        </w:rPr>
      </w:pPr>
    </w:p>
    <w:p w14:paraId="2A59BDCD" w14:textId="4F83CFC4" w:rsidR="00463C7F" w:rsidRPr="004A4E84" w:rsidRDefault="00463C7F" w:rsidP="00D63204">
      <w:pPr>
        <w:widowControl w:val="0"/>
        <w:spacing w:after="0" w:line="264" w:lineRule="exact"/>
        <w:ind w:left="107"/>
        <w:rPr>
          <w:rFonts w:ascii="Calibri" w:hAnsi="Calibri" w:cs="Calibri"/>
          <w:sz w:val="16"/>
          <w:szCs w:val="16"/>
        </w:rPr>
      </w:pPr>
      <w:r w:rsidRPr="004A4E84">
        <w:rPr>
          <w:rFonts w:ascii="Calibri" w:hAnsi="Calibri"/>
          <w:color w:val="231F20"/>
          <w:w w:val="110"/>
        </w:rPr>
        <w:t>Florida’s</w:t>
      </w:r>
      <w:r w:rsidRPr="004A4E84">
        <w:rPr>
          <w:rFonts w:ascii="Calibri" w:hAnsi="Calibri"/>
          <w:color w:val="231F20"/>
          <w:spacing w:val="-25"/>
          <w:w w:val="110"/>
        </w:rPr>
        <w:t xml:space="preserve"> </w:t>
      </w:r>
      <w:r w:rsidRPr="004A4E84">
        <w:rPr>
          <w:rFonts w:ascii="Calibri" w:hAnsi="Calibri"/>
          <w:color w:val="231F20"/>
          <w:w w:val="110"/>
        </w:rPr>
        <w:t>Division</w:t>
      </w:r>
      <w:r w:rsidRPr="004A4E84">
        <w:rPr>
          <w:rFonts w:ascii="Calibri" w:hAnsi="Calibri"/>
          <w:color w:val="231F20"/>
          <w:spacing w:val="-25"/>
          <w:w w:val="110"/>
        </w:rPr>
        <w:t xml:space="preserve"> </w:t>
      </w:r>
      <w:r w:rsidRPr="004A4E84">
        <w:rPr>
          <w:rFonts w:ascii="Calibri" w:hAnsi="Calibri"/>
          <w:color w:val="231F20"/>
          <w:w w:val="110"/>
        </w:rPr>
        <w:t>of</w:t>
      </w:r>
      <w:r w:rsidRPr="004A4E84">
        <w:rPr>
          <w:rFonts w:ascii="Calibri" w:hAnsi="Calibri"/>
          <w:color w:val="231F20"/>
          <w:spacing w:val="-25"/>
          <w:w w:val="110"/>
        </w:rPr>
        <w:t xml:space="preserve"> </w:t>
      </w:r>
      <w:r w:rsidRPr="004A4E84">
        <w:rPr>
          <w:rFonts w:ascii="Calibri" w:hAnsi="Calibri"/>
          <w:color w:val="231F20"/>
          <w:w w:val="110"/>
        </w:rPr>
        <w:t>Vocational</w:t>
      </w:r>
      <w:r w:rsidRPr="004A4E84">
        <w:rPr>
          <w:rFonts w:ascii="Calibri" w:hAnsi="Calibri"/>
          <w:color w:val="231F20"/>
          <w:spacing w:val="-25"/>
          <w:w w:val="110"/>
        </w:rPr>
        <w:t xml:space="preserve"> </w:t>
      </w:r>
      <w:r w:rsidRPr="004A4E84">
        <w:rPr>
          <w:rFonts w:ascii="Calibri" w:hAnsi="Calibri"/>
          <w:color w:val="231F20"/>
          <w:w w:val="110"/>
        </w:rPr>
        <w:t>Rehabilitation</w:t>
      </w:r>
      <w:r w:rsidRPr="004A4E84">
        <w:rPr>
          <w:rFonts w:ascii="Calibri" w:hAnsi="Calibri"/>
          <w:color w:val="231F20"/>
          <w:spacing w:val="-25"/>
          <w:w w:val="110"/>
        </w:rPr>
        <w:t xml:space="preserve"> </w:t>
      </w:r>
      <w:r w:rsidRPr="004A4E84">
        <w:rPr>
          <w:rFonts w:ascii="Calibri" w:hAnsi="Calibri"/>
          <w:color w:val="231F20"/>
          <w:w w:val="110"/>
        </w:rPr>
        <w:t>(VR)</w:t>
      </w:r>
      <w:r w:rsidRPr="004A4E84">
        <w:rPr>
          <w:rFonts w:ascii="Calibri" w:hAnsi="Calibri"/>
          <w:color w:val="231F20"/>
          <w:spacing w:val="-25"/>
          <w:w w:val="110"/>
        </w:rPr>
        <w:t xml:space="preserve"> </w:t>
      </w:r>
      <w:r w:rsidRPr="004A4E84">
        <w:rPr>
          <w:rFonts w:ascii="Calibri" w:hAnsi="Calibri"/>
          <w:color w:val="231F20"/>
          <w:w w:val="110"/>
        </w:rPr>
        <w:t>currently</w:t>
      </w:r>
      <w:r w:rsidRPr="004A4E84">
        <w:rPr>
          <w:rFonts w:ascii="Calibri" w:hAnsi="Calibri"/>
          <w:color w:val="231F20"/>
          <w:spacing w:val="-25"/>
          <w:w w:val="110"/>
        </w:rPr>
        <w:t xml:space="preserve"> </w:t>
      </w:r>
      <w:r w:rsidRPr="004A4E84">
        <w:rPr>
          <w:rFonts w:ascii="Calibri" w:hAnsi="Calibri"/>
          <w:color w:val="231F20"/>
          <w:w w:val="110"/>
        </w:rPr>
        <w:t>has</w:t>
      </w:r>
      <w:r w:rsidRPr="004A4E84">
        <w:rPr>
          <w:rFonts w:ascii="Calibri" w:hAnsi="Calibri"/>
          <w:color w:val="231F20"/>
          <w:spacing w:val="-25"/>
          <w:w w:val="110"/>
        </w:rPr>
        <w:t xml:space="preserve"> </w:t>
      </w:r>
      <w:r w:rsidR="005E5B17" w:rsidRPr="004A4E84">
        <w:rPr>
          <w:rFonts w:ascii="Calibri" w:hAnsi="Calibri"/>
          <w:color w:val="231F20"/>
          <w:w w:val="110"/>
        </w:rPr>
        <w:t>96</w:t>
      </w:r>
      <w:r w:rsidR="00964DF1" w:rsidRPr="004A4E84">
        <w:rPr>
          <w:rFonts w:ascii="Calibri" w:hAnsi="Calibri"/>
          <w:color w:val="231F20"/>
          <w:w w:val="110"/>
        </w:rPr>
        <w:t xml:space="preserve"> </w:t>
      </w:r>
      <w:r w:rsidR="005E5B17" w:rsidRPr="004A4E84">
        <w:rPr>
          <w:rFonts w:ascii="Calibri" w:hAnsi="Calibri"/>
          <w:color w:val="231F20"/>
          <w:w w:val="110"/>
        </w:rPr>
        <w:t>unit</w:t>
      </w:r>
      <w:r w:rsidRPr="004A4E84">
        <w:rPr>
          <w:rFonts w:ascii="Calibri" w:hAnsi="Calibri"/>
          <w:color w:val="231F20"/>
          <w:spacing w:val="-25"/>
          <w:w w:val="110"/>
        </w:rPr>
        <w:t xml:space="preserve"> </w:t>
      </w:r>
      <w:r w:rsidRPr="004A4E84">
        <w:rPr>
          <w:rFonts w:ascii="Calibri" w:hAnsi="Calibri"/>
          <w:color w:val="231F20"/>
          <w:w w:val="110"/>
        </w:rPr>
        <w:t>offices</w:t>
      </w:r>
      <w:r w:rsidRPr="004A4E84">
        <w:rPr>
          <w:rFonts w:ascii="Calibri" w:hAnsi="Calibri"/>
          <w:color w:val="231F20"/>
          <w:spacing w:val="-25"/>
          <w:w w:val="110"/>
        </w:rPr>
        <w:t xml:space="preserve"> </w:t>
      </w:r>
      <w:r w:rsidRPr="004A4E84">
        <w:rPr>
          <w:rFonts w:ascii="Calibri" w:hAnsi="Calibri"/>
          <w:color w:val="231F20"/>
          <w:w w:val="110"/>
        </w:rPr>
        <w:t>throughout</w:t>
      </w:r>
      <w:r w:rsidRPr="004A4E84">
        <w:rPr>
          <w:rFonts w:ascii="Calibri" w:hAnsi="Calibri"/>
          <w:color w:val="231F20"/>
          <w:spacing w:val="-25"/>
          <w:w w:val="110"/>
        </w:rPr>
        <w:t xml:space="preserve"> </w:t>
      </w:r>
      <w:r w:rsidRPr="004A4E84">
        <w:rPr>
          <w:rFonts w:ascii="Calibri" w:hAnsi="Calibri"/>
          <w:color w:val="231F20"/>
          <w:w w:val="110"/>
        </w:rPr>
        <w:t>Florida; approximately 20</w:t>
      </w:r>
      <w:r w:rsidR="00964DF1" w:rsidRPr="004A4E84">
        <w:rPr>
          <w:rFonts w:ascii="Calibri" w:hAnsi="Calibri"/>
          <w:color w:val="231F20"/>
          <w:w w:val="110"/>
        </w:rPr>
        <w:t xml:space="preserve"> percent</w:t>
      </w:r>
      <w:r w:rsidRPr="004A4E84">
        <w:rPr>
          <w:rFonts w:ascii="Calibri" w:hAnsi="Calibri"/>
          <w:color w:val="231F20"/>
          <w:w w:val="110"/>
        </w:rPr>
        <w:t xml:space="preserve"> of those are</w:t>
      </w:r>
      <w:r w:rsidRPr="004A4E84">
        <w:rPr>
          <w:rFonts w:ascii="Calibri" w:hAnsi="Calibri"/>
          <w:color w:val="231F20"/>
          <w:spacing w:val="-15"/>
          <w:w w:val="110"/>
        </w:rPr>
        <w:t xml:space="preserve"> </w:t>
      </w:r>
      <w:r w:rsidRPr="004A4E84">
        <w:rPr>
          <w:rFonts w:ascii="Calibri" w:hAnsi="Calibri"/>
          <w:color w:val="231F20"/>
          <w:w w:val="110"/>
        </w:rPr>
        <w:t>private</w:t>
      </w:r>
      <w:r w:rsidRPr="004A4E84">
        <w:rPr>
          <w:rFonts w:ascii="Calibri" w:hAnsi="Calibri"/>
          <w:color w:val="231F20"/>
          <w:spacing w:val="-15"/>
          <w:w w:val="110"/>
        </w:rPr>
        <w:t xml:space="preserve"> </w:t>
      </w:r>
      <w:r w:rsidRPr="004A4E84">
        <w:rPr>
          <w:rFonts w:ascii="Calibri" w:hAnsi="Calibri"/>
          <w:color w:val="231F20"/>
          <w:w w:val="110"/>
        </w:rPr>
        <w:t>contracted</w:t>
      </w:r>
      <w:r w:rsidRPr="004A4E84">
        <w:rPr>
          <w:rFonts w:ascii="Calibri" w:hAnsi="Calibri"/>
          <w:color w:val="231F20"/>
          <w:spacing w:val="-15"/>
          <w:w w:val="110"/>
        </w:rPr>
        <w:t xml:space="preserve"> </w:t>
      </w:r>
      <w:r w:rsidRPr="004A4E84">
        <w:rPr>
          <w:rFonts w:ascii="Calibri" w:hAnsi="Calibri"/>
          <w:color w:val="231F20"/>
          <w:w w:val="110"/>
        </w:rPr>
        <w:t>offices, opened</w:t>
      </w:r>
      <w:r w:rsidRPr="004A4E84">
        <w:rPr>
          <w:rFonts w:ascii="Calibri" w:hAnsi="Calibri"/>
          <w:color w:val="231F20"/>
          <w:spacing w:val="-15"/>
          <w:w w:val="110"/>
        </w:rPr>
        <w:t xml:space="preserve"> </w:t>
      </w:r>
      <w:r w:rsidRPr="004A4E84">
        <w:rPr>
          <w:rFonts w:ascii="Calibri" w:hAnsi="Calibri"/>
          <w:color w:val="231F20"/>
          <w:w w:val="110"/>
        </w:rPr>
        <w:t>to</w:t>
      </w:r>
      <w:r w:rsidRPr="004A4E84">
        <w:rPr>
          <w:rFonts w:ascii="Calibri" w:hAnsi="Calibri"/>
          <w:color w:val="231F20"/>
          <w:spacing w:val="-15"/>
          <w:w w:val="110"/>
        </w:rPr>
        <w:t xml:space="preserve"> </w:t>
      </w:r>
      <w:r w:rsidRPr="004A4E84">
        <w:rPr>
          <w:rFonts w:ascii="Calibri" w:hAnsi="Calibri"/>
          <w:color w:val="231F20"/>
          <w:w w:val="110"/>
        </w:rPr>
        <w:t>increase</w:t>
      </w:r>
      <w:r w:rsidRPr="004A4E84">
        <w:rPr>
          <w:rFonts w:ascii="Calibri" w:hAnsi="Calibri"/>
          <w:color w:val="231F20"/>
          <w:spacing w:val="-15"/>
          <w:w w:val="110"/>
        </w:rPr>
        <w:t xml:space="preserve"> </w:t>
      </w:r>
      <w:r w:rsidRPr="004A4E84">
        <w:rPr>
          <w:rFonts w:ascii="Calibri" w:hAnsi="Calibri"/>
          <w:color w:val="231F20"/>
          <w:w w:val="110"/>
        </w:rPr>
        <w:t>its</w:t>
      </w:r>
      <w:r w:rsidRPr="004A4E84">
        <w:rPr>
          <w:rFonts w:ascii="Calibri" w:hAnsi="Calibri"/>
          <w:color w:val="231F20"/>
          <w:spacing w:val="-15"/>
          <w:w w:val="110"/>
        </w:rPr>
        <w:t xml:space="preserve"> </w:t>
      </w:r>
      <w:r w:rsidRPr="004A4E84">
        <w:rPr>
          <w:rFonts w:ascii="Calibri" w:hAnsi="Calibri"/>
          <w:color w:val="231F20"/>
          <w:w w:val="110"/>
        </w:rPr>
        <w:t>service</w:t>
      </w:r>
      <w:r w:rsidRPr="004A4E84">
        <w:rPr>
          <w:rFonts w:ascii="Calibri" w:hAnsi="Calibri"/>
          <w:color w:val="231F20"/>
          <w:spacing w:val="-15"/>
          <w:w w:val="110"/>
        </w:rPr>
        <w:t xml:space="preserve"> </w:t>
      </w:r>
      <w:r w:rsidRPr="004A4E84">
        <w:rPr>
          <w:rFonts w:ascii="Calibri" w:hAnsi="Calibri"/>
          <w:color w:val="231F20"/>
          <w:w w:val="110"/>
        </w:rPr>
        <w:t>capacity</w:t>
      </w:r>
      <w:r w:rsidRPr="004A4E84">
        <w:rPr>
          <w:rFonts w:ascii="Calibri" w:hAnsi="Calibri"/>
          <w:color w:val="231F20"/>
          <w:spacing w:val="-15"/>
          <w:w w:val="110"/>
        </w:rPr>
        <w:t xml:space="preserve"> </w:t>
      </w:r>
      <w:r w:rsidRPr="004A4E84">
        <w:rPr>
          <w:rFonts w:ascii="Calibri" w:hAnsi="Calibri"/>
          <w:color w:val="231F20"/>
          <w:w w:val="110"/>
        </w:rPr>
        <w:t>and</w:t>
      </w:r>
      <w:r w:rsidRPr="004A4E84">
        <w:rPr>
          <w:rFonts w:ascii="Calibri" w:hAnsi="Calibri"/>
          <w:color w:val="231F20"/>
          <w:spacing w:val="-15"/>
          <w:w w:val="110"/>
        </w:rPr>
        <w:t xml:space="preserve"> </w:t>
      </w:r>
      <w:r w:rsidRPr="004A4E84">
        <w:rPr>
          <w:rFonts w:ascii="Calibri" w:hAnsi="Calibri"/>
          <w:color w:val="231F20"/>
          <w:w w:val="110"/>
        </w:rPr>
        <w:t>ensure</w:t>
      </w:r>
      <w:r w:rsidRPr="004A4E84">
        <w:rPr>
          <w:rFonts w:ascii="Calibri" w:hAnsi="Calibri"/>
          <w:color w:val="231F20"/>
          <w:spacing w:val="-15"/>
          <w:w w:val="110"/>
        </w:rPr>
        <w:t xml:space="preserve"> </w:t>
      </w:r>
      <w:r w:rsidRPr="004A4E84">
        <w:rPr>
          <w:rFonts w:ascii="Calibri" w:hAnsi="Calibri"/>
          <w:color w:val="231F20"/>
          <w:w w:val="110"/>
        </w:rPr>
        <w:t>continuity</w:t>
      </w:r>
      <w:r w:rsidRPr="004A4E84">
        <w:rPr>
          <w:rFonts w:ascii="Calibri" w:hAnsi="Calibri"/>
          <w:color w:val="231F20"/>
          <w:w w:val="103"/>
        </w:rPr>
        <w:t xml:space="preserve"> </w:t>
      </w:r>
      <w:r w:rsidRPr="004A4E84">
        <w:rPr>
          <w:rFonts w:ascii="Calibri" w:hAnsi="Calibri"/>
          <w:color w:val="231F20"/>
          <w:w w:val="110"/>
        </w:rPr>
        <w:t>of</w:t>
      </w:r>
      <w:r w:rsidRPr="004A4E84">
        <w:rPr>
          <w:rFonts w:ascii="Calibri" w:hAnsi="Calibri"/>
          <w:color w:val="231F20"/>
          <w:spacing w:val="-12"/>
          <w:w w:val="110"/>
        </w:rPr>
        <w:t xml:space="preserve"> </w:t>
      </w:r>
      <w:r w:rsidRPr="004A4E84">
        <w:rPr>
          <w:rFonts w:ascii="Calibri" w:hAnsi="Calibri"/>
          <w:color w:val="231F20"/>
          <w:w w:val="110"/>
        </w:rPr>
        <w:t>services.</w:t>
      </w:r>
      <w:r w:rsidRPr="004A4E84">
        <w:rPr>
          <w:rFonts w:ascii="Calibri" w:hAnsi="Calibri"/>
          <w:color w:val="231F20"/>
          <w:spacing w:val="-12"/>
          <w:w w:val="110"/>
        </w:rPr>
        <w:t xml:space="preserve"> </w:t>
      </w:r>
      <w:r w:rsidRPr="004A4E84">
        <w:rPr>
          <w:rFonts w:ascii="Calibri" w:hAnsi="Calibri"/>
          <w:color w:val="231F20"/>
          <w:w w:val="110"/>
        </w:rPr>
        <w:t>Factors</w:t>
      </w:r>
      <w:r w:rsidRPr="004A4E84">
        <w:rPr>
          <w:rFonts w:ascii="Calibri" w:hAnsi="Calibri"/>
          <w:color w:val="231F20"/>
          <w:spacing w:val="-12"/>
          <w:w w:val="110"/>
        </w:rPr>
        <w:t xml:space="preserve"> </w:t>
      </w:r>
      <w:r w:rsidRPr="004A4E84">
        <w:rPr>
          <w:rFonts w:ascii="Calibri" w:hAnsi="Calibri"/>
          <w:color w:val="231F20"/>
          <w:w w:val="110"/>
        </w:rPr>
        <w:t>such</w:t>
      </w:r>
      <w:r w:rsidRPr="004A4E84">
        <w:rPr>
          <w:rFonts w:ascii="Calibri" w:hAnsi="Calibri"/>
          <w:color w:val="231F20"/>
          <w:spacing w:val="-12"/>
          <w:w w:val="110"/>
        </w:rPr>
        <w:t xml:space="preserve"> </w:t>
      </w:r>
      <w:r w:rsidRPr="004A4E84">
        <w:rPr>
          <w:rFonts w:ascii="Calibri" w:hAnsi="Calibri"/>
          <w:color w:val="231F20"/>
          <w:w w:val="110"/>
        </w:rPr>
        <w:t>as</w:t>
      </w:r>
      <w:r w:rsidRPr="004A4E84">
        <w:rPr>
          <w:rFonts w:ascii="Calibri" w:hAnsi="Calibri"/>
          <w:color w:val="231F20"/>
          <w:spacing w:val="-12"/>
          <w:w w:val="110"/>
        </w:rPr>
        <w:t xml:space="preserve"> </w:t>
      </w:r>
      <w:r w:rsidRPr="004A4E84">
        <w:rPr>
          <w:rFonts w:ascii="Calibri" w:hAnsi="Calibri"/>
          <w:color w:val="231F20"/>
          <w:w w:val="110"/>
        </w:rPr>
        <w:t>staff</w:t>
      </w:r>
      <w:r w:rsidRPr="004A4E84">
        <w:rPr>
          <w:rFonts w:ascii="Calibri" w:hAnsi="Calibri"/>
          <w:color w:val="231F20"/>
          <w:spacing w:val="-12"/>
          <w:w w:val="110"/>
        </w:rPr>
        <w:t xml:space="preserve"> </w:t>
      </w:r>
      <w:r w:rsidRPr="004A4E84">
        <w:rPr>
          <w:rFonts w:ascii="Calibri" w:hAnsi="Calibri"/>
          <w:color w:val="231F20"/>
          <w:w w:val="110"/>
        </w:rPr>
        <w:t>turnover</w:t>
      </w:r>
      <w:r w:rsidRPr="004A4E84">
        <w:rPr>
          <w:rFonts w:ascii="Calibri" w:hAnsi="Calibri"/>
          <w:color w:val="231F20"/>
          <w:spacing w:val="-12"/>
          <w:w w:val="110"/>
        </w:rPr>
        <w:t xml:space="preserve"> </w:t>
      </w:r>
      <w:r w:rsidRPr="004A4E84">
        <w:rPr>
          <w:rFonts w:ascii="Calibri" w:hAnsi="Calibri"/>
          <w:color w:val="231F20"/>
          <w:w w:val="110"/>
        </w:rPr>
        <w:t>and</w:t>
      </w:r>
      <w:r w:rsidRPr="004A4E84">
        <w:rPr>
          <w:rFonts w:ascii="Calibri" w:hAnsi="Calibri"/>
          <w:color w:val="231F20"/>
          <w:spacing w:val="-12"/>
          <w:w w:val="110"/>
        </w:rPr>
        <w:t xml:space="preserve"> </w:t>
      </w:r>
      <w:r w:rsidRPr="004A4E84">
        <w:rPr>
          <w:rFonts w:ascii="Calibri" w:hAnsi="Calibri"/>
          <w:color w:val="231F20"/>
          <w:w w:val="110"/>
        </w:rPr>
        <w:t>Order</w:t>
      </w:r>
      <w:r w:rsidRPr="004A4E84">
        <w:rPr>
          <w:rFonts w:ascii="Calibri" w:hAnsi="Calibri"/>
          <w:color w:val="231F20"/>
          <w:spacing w:val="-12"/>
          <w:w w:val="110"/>
        </w:rPr>
        <w:t xml:space="preserve"> </w:t>
      </w:r>
      <w:r w:rsidRPr="004A4E84">
        <w:rPr>
          <w:rFonts w:ascii="Calibri" w:hAnsi="Calibri"/>
          <w:color w:val="231F20"/>
          <w:w w:val="110"/>
        </w:rPr>
        <w:t>of</w:t>
      </w:r>
      <w:r w:rsidRPr="004A4E84">
        <w:rPr>
          <w:rFonts w:ascii="Calibri" w:hAnsi="Calibri"/>
          <w:color w:val="231F20"/>
          <w:spacing w:val="-12"/>
          <w:w w:val="110"/>
        </w:rPr>
        <w:t xml:space="preserve"> </w:t>
      </w:r>
      <w:r w:rsidRPr="004A4E84">
        <w:rPr>
          <w:rFonts w:ascii="Calibri" w:hAnsi="Calibri"/>
          <w:color w:val="231F20"/>
          <w:w w:val="110"/>
        </w:rPr>
        <w:t>Selection</w:t>
      </w:r>
      <w:r w:rsidRPr="004A4E84">
        <w:rPr>
          <w:rFonts w:ascii="Calibri" w:hAnsi="Calibri"/>
          <w:color w:val="231F20"/>
          <w:spacing w:val="-12"/>
          <w:w w:val="110"/>
        </w:rPr>
        <w:t xml:space="preserve"> </w:t>
      </w:r>
      <w:r w:rsidRPr="004A4E84">
        <w:rPr>
          <w:rFonts w:ascii="Calibri" w:hAnsi="Calibri"/>
          <w:color w:val="231F20"/>
          <w:w w:val="110"/>
        </w:rPr>
        <w:t>(OOS)</w:t>
      </w:r>
      <w:r w:rsidRPr="004A4E84">
        <w:rPr>
          <w:rFonts w:ascii="Calibri" w:hAnsi="Calibri"/>
          <w:color w:val="231F20"/>
          <w:spacing w:val="-12"/>
          <w:w w:val="110"/>
        </w:rPr>
        <w:t xml:space="preserve"> </w:t>
      </w:r>
      <w:r w:rsidRPr="004A4E84">
        <w:rPr>
          <w:rFonts w:ascii="Calibri" w:hAnsi="Calibri"/>
          <w:color w:val="231F20"/>
          <w:w w:val="110"/>
        </w:rPr>
        <w:t>waitlists</w:t>
      </w:r>
      <w:r w:rsidRPr="004A4E84">
        <w:rPr>
          <w:rFonts w:ascii="Calibri" w:hAnsi="Calibri"/>
          <w:color w:val="231F20"/>
          <w:spacing w:val="-12"/>
          <w:w w:val="110"/>
        </w:rPr>
        <w:t xml:space="preserve"> </w:t>
      </w:r>
      <w:r w:rsidRPr="004A4E84">
        <w:rPr>
          <w:rFonts w:ascii="Calibri" w:hAnsi="Calibri"/>
          <w:color w:val="231F20"/>
          <w:w w:val="110"/>
        </w:rPr>
        <w:t>affect</w:t>
      </w:r>
      <w:r w:rsidRPr="004A4E84">
        <w:rPr>
          <w:rFonts w:ascii="Calibri" w:hAnsi="Calibri"/>
          <w:color w:val="231F20"/>
          <w:spacing w:val="-12"/>
          <w:w w:val="110"/>
        </w:rPr>
        <w:t xml:space="preserve"> </w:t>
      </w:r>
      <w:r w:rsidRPr="004A4E84">
        <w:rPr>
          <w:rFonts w:ascii="Calibri" w:hAnsi="Calibri"/>
          <w:color w:val="231F20"/>
          <w:w w:val="110"/>
        </w:rPr>
        <w:t>customer</w:t>
      </w:r>
      <w:r w:rsidRPr="004A4E84">
        <w:rPr>
          <w:rFonts w:ascii="Calibri" w:hAnsi="Calibri"/>
          <w:color w:val="231F20"/>
          <w:spacing w:val="-12"/>
          <w:w w:val="110"/>
        </w:rPr>
        <w:t xml:space="preserve"> </w:t>
      </w:r>
      <w:r w:rsidRPr="004A4E84">
        <w:rPr>
          <w:rFonts w:ascii="Calibri" w:hAnsi="Calibri"/>
          <w:color w:val="231F20"/>
          <w:w w:val="110"/>
        </w:rPr>
        <w:t>service capacity</w:t>
      </w:r>
      <w:r w:rsidR="00D5537E" w:rsidRPr="004A4E84">
        <w:rPr>
          <w:rFonts w:ascii="Calibri" w:hAnsi="Calibri"/>
          <w:color w:val="231F20"/>
          <w:w w:val="110"/>
        </w:rPr>
        <w:t xml:space="preserve"> and</w:t>
      </w:r>
      <w:r w:rsidRPr="004A4E84">
        <w:rPr>
          <w:rFonts w:ascii="Calibri" w:hAnsi="Calibri"/>
          <w:color w:val="231F20"/>
          <w:spacing w:val="-12"/>
          <w:w w:val="110"/>
        </w:rPr>
        <w:t xml:space="preserve"> </w:t>
      </w:r>
      <w:r w:rsidRPr="004A4E84">
        <w:rPr>
          <w:rFonts w:ascii="Calibri" w:hAnsi="Calibri"/>
          <w:color w:val="231F20"/>
          <w:spacing w:val="-3"/>
          <w:w w:val="110"/>
        </w:rPr>
        <w:t>VR’s</w:t>
      </w:r>
      <w:r w:rsidRPr="004A4E84">
        <w:rPr>
          <w:rFonts w:ascii="Calibri" w:hAnsi="Calibri"/>
          <w:color w:val="231F20"/>
          <w:spacing w:val="-12"/>
          <w:w w:val="110"/>
        </w:rPr>
        <w:t xml:space="preserve"> </w:t>
      </w:r>
      <w:r w:rsidRPr="004A4E84">
        <w:rPr>
          <w:rFonts w:ascii="Calibri" w:hAnsi="Calibri"/>
          <w:color w:val="231F20"/>
          <w:w w:val="110"/>
        </w:rPr>
        <w:t>leadership</w:t>
      </w:r>
      <w:r w:rsidRPr="004A4E84">
        <w:rPr>
          <w:rFonts w:ascii="Calibri" w:hAnsi="Calibri"/>
          <w:color w:val="231F20"/>
          <w:spacing w:val="-12"/>
          <w:w w:val="110"/>
        </w:rPr>
        <w:t xml:space="preserve"> </w:t>
      </w:r>
      <w:r w:rsidRPr="004A4E84">
        <w:rPr>
          <w:rFonts w:ascii="Calibri" w:hAnsi="Calibri"/>
          <w:color w:val="231F20"/>
          <w:w w:val="110"/>
        </w:rPr>
        <w:t>uses</w:t>
      </w:r>
      <w:r w:rsidRPr="004A4E84">
        <w:rPr>
          <w:rFonts w:ascii="Calibri" w:hAnsi="Calibri"/>
          <w:color w:val="231F20"/>
          <w:spacing w:val="-12"/>
          <w:w w:val="110"/>
        </w:rPr>
        <w:t xml:space="preserve"> </w:t>
      </w:r>
      <w:r w:rsidRPr="004A4E84">
        <w:rPr>
          <w:rFonts w:ascii="Calibri" w:hAnsi="Calibri"/>
          <w:color w:val="231F20"/>
          <w:w w:val="110"/>
        </w:rPr>
        <w:t>data</w:t>
      </w:r>
      <w:r w:rsidRPr="004A4E84">
        <w:rPr>
          <w:rFonts w:ascii="Calibri" w:hAnsi="Calibri"/>
          <w:color w:val="231F20"/>
          <w:spacing w:val="-12"/>
          <w:w w:val="110"/>
        </w:rPr>
        <w:t xml:space="preserve"> </w:t>
      </w:r>
      <w:r w:rsidRPr="004A4E84">
        <w:rPr>
          <w:rFonts w:ascii="Calibri" w:hAnsi="Calibri"/>
          <w:color w:val="231F20"/>
          <w:w w:val="110"/>
        </w:rPr>
        <w:t>projection</w:t>
      </w:r>
      <w:r w:rsidRPr="004A4E84">
        <w:rPr>
          <w:rFonts w:ascii="Calibri" w:hAnsi="Calibri"/>
          <w:color w:val="231F20"/>
          <w:spacing w:val="-12"/>
          <w:w w:val="110"/>
        </w:rPr>
        <w:t xml:space="preserve"> </w:t>
      </w:r>
      <w:r w:rsidRPr="004A4E84">
        <w:rPr>
          <w:rFonts w:ascii="Calibri" w:hAnsi="Calibri"/>
          <w:color w:val="231F20"/>
          <w:w w:val="110"/>
        </w:rPr>
        <w:t>models</w:t>
      </w:r>
      <w:r w:rsidRPr="004A4E84">
        <w:rPr>
          <w:rFonts w:ascii="Calibri" w:hAnsi="Calibri"/>
          <w:color w:val="231F20"/>
          <w:spacing w:val="-12"/>
          <w:w w:val="110"/>
        </w:rPr>
        <w:t xml:space="preserve"> </w:t>
      </w:r>
      <w:r w:rsidRPr="004A4E84">
        <w:rPr>
          <w:rFonts w:ascii="Calibri" w:hAnsi="Calibri"/>
          <w:color w:val="231F20"/>
          <w:w w:val="110"/>
        </w:rPr>
        <w:t>to</w:t>
      </w:r>
      <w:r w:rsidRPr="004A4E84">
        <w:rPr>
          <w:rFonts w:ascii="Calibri" w:hAnsi="Calibri"/>
          <w:color w:val="231F20"/>
          <w:spacing w:val="-12"/>
          <w:w w:val="110"/>
        </w:rPr>
        <w:t xml:space="preserve"> </w:t>
      </w:r>
      <w:r w:rsidRPr="004A4E84">
        <w:rPr>
          <w:rFonts w:ascii="Calibri" w:hAnsi="Calibri"/>
          <w:color w:val="231F20"/>
          <w:w w:val="110"/>
        </w:rPr>
        <w:t>monitor</w:t>
      </w:r>
      <w:r w:rsidRPr="004A4E84">
        <w:rPr>
          <w:rFonts w:ascii="Calibri" w:hAnsi="Calibri"/>
          <w:color w:val="231F20"/>
          <w:spacing w:val="-12"/>
          <w:w w:val="110"/>
        </w:rPr>
        <w:t xml:space="preserve"> </w:t>
      </w:r>
      <w:r w:rsidRPr="004A4E84">
        <w:rPr>
          <w:rFonts w:ascii="Calibri" w:hAnsi="Calibri"/>
          <w:color w:val="231F20"/>
          <w:w w:val="110"/>
        </w:rPr>
        <w:t>trends</w:t>
      </w:r>
      <w:r w:rsidRPr="004A4E84">
        <w:rPr>
          <w:rFonts w:ascii="Calibri" w:hAnsi="Calibri"/>
          <w:color w:val="231F20"/>
          <w:spacing w:val="-12"/>
          <w:w w:val="110"/>
        </w:rPr>
        <w:t xml:space="preserve"> </w:t>
      </w:r>
      <w:r w:rsidRPr="004A4E84">
        <w:rPr>
          <w:rFonts w:ascii="Calibri" w:hAnsi="Calibri"/>
          <w:color w:val="231F20"/>
          <w:w w:val="110"/>
        </w:rPr>
        <w:t>and</w:t>
      </w:r>
      <w:r w:rsidRPr="004A4E84">
        <w:rPr>
          <w:rFonts w:ascii="Calibri" w:hAnsi="Calibri"/>
          <w:color w:val="231F20"/>
          <w:spacing w:val="-12"/>
          <w:w w:val="110"/>
        </w:rPr>
        <w:t xml:space="preserve"> </w:t>
      </w:r>
      <w:r w:rsidRPr="004A4E84">
        <w:rPr>
          <w:rFonts w:ascii="Calibri" w:hAnsi="Calibri"/>
          <w:color w:val="231F20"/>
          <w:w w:val="110"/>
        </w:rPr>
        <w:t>guide</w:t>
      </w:r>
      <w:r w:rsidRPr="004A4E84">
        <w:rPr>
          <w:rFonts w:ascii="Calibri" w:hAnsi="Calibri"/>
          <w:color w:val="231F20"/>
          <w:spacing w:val="-12"/>
          <w:w w:val="110"/>
        </w:rPr>
        <w:t xml:space="preserve"> </w:t>
      </w:r>
      <w:r w:rsidRPr="004A4E84">
        <w:rPr>
          <w:rFonts w:ascii="Calibri" w:hAnsi="Calibri"/>
          <w:color w:val="231F20"/>
          <w:w w:val="110"/>
        </w:rPr>
        <w:t>decision</w:t>
      </w:r>
      <w:r w:rsidR="004346BF" w:rsidRPr="004A4E84">
        <w:rPr>
          <w:rFonts w:ascii="Calibri" w:hAnsi="Calibri"/>
          <w:color w:val="231F20"/>
          <w:w w:val="110"/>
        </w:rPr>
        <w:t xml:space="preserve"> </w:t>
      </w:r>
      <w:r w:rsidRPr="004A4E84">
        <w:rPr>
          <w:rFonts w:ascii="Calibri" w:hAnsi="Calibri"/>
          <w:color w:val="231F20"/>
          <w:w w:val="110"/>
        </w:rPr>
        <w:t>making</w:t>
      </w:r>
      <w:r w:rsidRPr="004A4E84">
        <w:rPr>
          <w:rFonts w:ascii="Calibri" w:hAnsi="Calibri"/>
          <w:color w:val="231F20"/>
          <w:w w:val="108"/>
        </w:rPr>
        <w:t xml:space="preserve"> </w:t>
      </w:r>
      <w:r w:rsidRPr="004A4E84">
        <w:rPr>
          <w:rFonts w:ascii="Calibri" w:hAnsi="Calibri"/>
          <w:color w:val="231F20"/>
          <w:w w:val="110"/>
        </w:rPr>
        <w:t>regarding</w:t>
      </w:r>
      <w:r w:rsidRPr="004A4E84">
        <w:rPr>
          <w:rFonts w:ascii="Calibri" w:hAnsi="Calibri"/>
          <w:color w:val="231F20"/>
          <w:spacing w:val="-26"/>
          <w:w w:val="110"/>
        </w:rPr>
        <w:t xml:space="preserve"> </w:t>
      </w:r>
      <w:r w:rsidRPr="004A4E84">
        <w:rPr>
          <w:rFonts w:ascii="Calibri" w:hAnsi="Calibri"/>
          <w:color w:val="231F20"/>
          <w:w w:val="110"/>
        </w:rPr>
        <w:t>fiscal,</w:t>
      </w:r>
      <w:r w:rsidRPr="004A4E84">
        <w:rPr>
          <w:rFonts w:ascii="Calibri" w:hAnsi="Calibri"/>
          <w:color w:val="231F20"/>
          <w:spacing w:val="-26"/>
          <w:w w:val="110"/>
        </w:rPr>
        <w:t xml:space="preserve"> </w:t>
      </w:r>
      <w:r w:rsidRPr="004A4E84">
        <w:rPr>
          <w:rFonts w:ascii="Calibri" w:hAnsi="Calibri"/>
          <w:color w:val="231F20"/>
          <w:w w:val="110"/>
        </w:rPr>
        <w:t>caseload</w:t>
      </w:r>
      <w:r w:rsidRPr="004A4E84">
        <w:rPr>
          <w:rFonts w:ascii="Calibri" w:hAnsi="Calibri"/>
          <w:color w:val="231F20"/>
          <w:spacing w:val="-26"/>
          <w:w w:val="110"/>
        </w:rPr>
        <w:t xml:space="preserve"> </w:t>
      </w:r>
      <w:r w:rsidRPr="004A4E84">
        <w:rPr>
          <w:rFonts w:ascii="Calibri" w:hAnsi="Calibri"/>
          <w:color w:val="231F20"/>
          <w:w w:val="110"/>
        </w:rPr>
        <w:t>and</w:t>
      </w:r>
      <w:r w:rsidRPr="004A4E84">
        <w:rPr>
          <w:rFonts w:ascii="Calibri" w:hAnsi="Calibri"/>
          <w:color w:val="231F20"/>
          <w:spacing w:val="-26"/>
          <w:w w:val="110"/>
        </w:rPr>
        <w:t xml:space="preserve"> </w:t>
      </w:r>
      <w:r w:rsidRPr="004A4E84">
        <w:rPr>
          <w:rFonts w:ascii="Calibri" w:hAnsi="Calibri"/>
          <w:color w:val="231F20"/>
          <w:w w:val="110"/>
        </w:rPr>
        <w:t>waitlist</w:t>
      </w:r>
      <w:r w:rsidRPr="004A4E84">
        <w:rPr>
          <w:rFonts w:ascii="Calibri" w:hAnsi="Calibri"/>
          <w:color w:val="231F20"/>
          <w:spacing w:val="-26"/>
          <w:w w:val="110"/>
        </w:rPr>
        <w:t xml:space="preserve"> </w:t>
      </w:r>
      <w:r w:rsidRPr="004A4E84">
        <w:rPr>
          <w:rFonts w:ascii="Calibri" w:hAnsi="Calibri"/>
          <w:color w:val="231F20"/>
          <w:w w:val="110"/>
        </w:rPr>
        <w:t>performance.</w:t>
      </w:r>
    </w:p>
    <w:p w14:paraId="4FD32415" w14:textId="1947E95E" w:rsidR="00463C7F" w:rsidRDefault="00463C7F" w:rsidP="00D63204">
      <w:pPr>
        <w:pStyle w:val="BodyText"/>
        <w:spacing w:before="199" w:line="264" w:lineRule="exact"/>
        <w:rPr>
          <w:color w:val="231F20"/>
          <w:w w:val="105"/>
        </w:rPr>
      </w:pPr>
      <w:r w:rsidRPr="004A4E84">
        <w:rPr>
          <w:color w:val="231F20"/>
          <w:w w:val="105"/>
        </w:rPr>
        <w:t>VR</w:t>
      </w:r>
      <w:r w:rsidRPr="004A4E84">
        <w:rPr>
          <w:color w:val="231F20"/>
          <w:spacing w:val="10"/>
          <w:w w:val="105"/>
        </w:rPr>
        <w:t xml:space="preserve"> </w:t>
      </w:r>
      <w:r w:rsidRPr="004A4E84">
        <w:rPr>
          <w:color w:val="231F20"/>
          <w:w w:val="105"/>
        </w:rPr>
        <w:t>partners</w:t>
      </w:r>
      <w:r w:rsidRPr="004A4E84">
        <w:rPr>
          <w:color w:val="231F20"/>
          <w:spacing w:val="10"/>
          <w:w w:val="105"/>
        </w:rPr>
        <w:t xml:space="preserve"> </w:t>
      </w:r>
      <w:r w:rsidRPr="004A4E84">
        <w:rPr>
          <w:color w:val="231F20"/>
          <w:w w:val="105"/>
        </w:rPr>
        <w:t>with</w:t>
      </w:r>
      <w:r w:rsidRPr="004A4E84">
        <w:rPr>
          <w:color w:val="231F20"/>
          <w:spacing w:val="10"/>
          <w:w w:val="105"/>
        </w:rPr>
        <w:t xml:space="preserve"> </w:t>
      </w:r>
      <w:r w:rsidRPr="004A4E84">
        <w:rPr>
          <w:color w:val="231F20"/>
          <w:w w:val="105"/>
        </w:rPr>
        <w:t>employment</w:t>
      </w:r>
      <w:r w:rsidRPr="004A4E84">
        <w:rPr>
          <w:color w:val="231F20"/>
          <w:spacing w:val="10"/>
          <w:w w:val="105"/>
        </w:rPr>
        <w:t xml:space="preserve"> </w:t>
      </w:r>
      <w:r w:rsidRPr="004A4E84">
        <w:rPr>
          <w:color w:val="231F20"/>
          <w:w w:val="105"/>
        </w:rPr>
        <w:t>service</w:t>
      </w:r>
      <w:r w:rsidRPr="004A4E84">
        <w:rPr>
          <w:color w:val="231F20"/>
          <w:spacing w:val="10"/>
          <w:w w:val="105"/>
        </w:rPr>
        <w:t xml:space="preserve"> </w:t>
      </w:r>
      <w:r w:rsidRPr="004A4E84">
        <w:rPr>
          <w:color w:val="231F20"/>
          <w:w w:val="105"/>
        </w:rPr>
        <w:t>providers</w:t>
      </w:r>
      <w:r w:rsidR="00D5537E" w:rsidRPr="004A4E84">
        <w:rPr>
          <w:color w:val="231F20"/>
          <w:w w:val="105"/>
        </w:rPr>
        <w:t xml:space="preserve"> and</w:t>
      </w:r>
      <w:r w:rsidRPr="004A4E84">
        <w:rPr>
          <w:color w:val="231F20"/>
          <w:spacing w:val="10"/>
          <w:w w:val="105"/>
        </w:rPr>
        <w:t xml:space="preserve"> </w:t>
      </w:r>
      <w:r w:rsidRPr="004A4E84">
        <w:rPr>
          <w:color w:val="231F20"/>
          <w:w w:val="105"/>
        </w:rPr>
        <w:t>maintains</w:t>
      </w:r>
      <w:r w:rsidRPr="004A4E84">
        <w:rPr>
          <w:color w:val="231F20"/>
          <w:spacing w:val="10"/>
          <w:w w:val="105"/>
        </w:rPr>
        <w:t xml:space="preserve"> </w:t>
      </w:r>
      <w:r w:rsidRPr="004A4E84">
        <w:rPr>
          <w:color w:val="231F20"/>
          <w:w w:val="105"/>
        </w:rPr>
        <w:t>memorandums</w:t>
      </w:r>
      <w:r w:rsidRPr="00EA7458">
        <w:rPr>
          <w:color w:val="231F20"/>
          <w:spacing w:val="10"/>
          <w:w w:val="105"/>
        </w:rPr>
        <w:t xml:space="preserve"> </w:t>
      </w:r>
      <w:r>
        <w:rPr>
          <w:color w:val="231F20"/>
          <w:w w:val="105"/>
        </w:rPr>
        <w:t xml:space="preserve">of </w:t>
      </w:r>
      <w:r w:rsidRPr="00EA7458">
        <w:rPr>
          <w:color w:val="231F20"/>
          <w:w w:val="105"/>
        </w:rPr>
        <w:t>agreement</w:t>
      </w:r>
      <w:r w:rsidRPr="00EA7458">
        <w:rPr>
          <w:color w:val="231F20"/>
          <w:spacing w:val="10"/>
          <w:w w:val="105"/>
        </w:rPr>
        <w:t xml:space="preserve"> </w:t>
      </w:r>
      <w:r w:rsidRPr="00EA7458">
        <w:rPr>
          <w:color w:val="231F20"/>
          <w:w w:val="105"/>
        </w:rPr>
        <w:t>with</w:t>
      </w:r>
      <w:r w:rsidRPr="00EA7458">
        <w:rPr>
          <w:color w:val="231F20"/>
          <w:spacing w:val="-13"/>
          <w:w w:val="105"/>
        </w:rPr>
        <w:t xml:space="preserve"> </w:t>
      </w:r>
      <w:r w:rsidRPr="00EA7458">
        <w:rPr>
          <w:color w:val="231F20"/>
          <w:w w:val="105"/>
        </w:rPr>
        <w:t>multiple</w:t>
      </w:r>
      <w:r w:rsidRPr="00EA7458">
        <w:rPr>
          <w:color w:val="231F20"/>
          <w:spacing w:val="17"/>
          <w:w w:val="105"/>
        </w:rPr>
        <w:t xml:space="preserve"> </w:t>
      </w:r>
      <w:r w:rsidRPr="00EA7458">
        <w:rPr>
          <w:color w:val="231F20"/>
          <w:w w:val="105"/>
        </w:rPr>
        <w:t>agencies</w:t>
      </w:r>
      <w:r w:rsidRPr="00EA7458">
        <w:rPr>
          <w:color w:val="231F20"/>
          <w:spacing w:val="17"/>
          <w:w w:val="105"/>
        </w:rPr>
        <w:t xml:space="preserve"> </w:t>
      </w:r>
      <w:r w:rsidRPr="00EA7458">
        <w:rPr>
          <w:color w:val="231F20"/>
          <w:w w:val="105"/>
        </w:rPr>
        <w:t>and</w:t>
      </w:r>
      <w:r w:rsidRPr="00EA7458">
        <w:rPr>
          <w:color w:val="231F20"/>
          <w:spacing w:val="17"/>
          <w:w w:val="105"/>
        </w:rPr>
        <w:t xml:space="preserve"> </w:t>
      </w:r>
      <w:r w:rsidRPr="00EA7458">
        <w:rPr>
          <w:color w:val="231F20"/>
          <w:w w:val="105"/>
        </w:rPr>
        <w:t>entities</w:t>
      </w:r>
      <w:r w:rsidRPr="00EA7458">
        <w:rPr>
          <w:color w:val="231F20"/>
          <w:spacing w:val="17"/>
          <w:w w:val="105"/>
        </w:rPr>
        <w:t xml:space="preserve"> </w:t>
      </w:r>
      <w:r w:rsidRPr="00EA7458">
        <w:rPr>
          <w:color w:val="231F20"/>
          <w:w w:val="105"/>
        </w:rPr>
        <w:t>around</w:t>
      </w:r>
      <w:r w:rsidRPr="00EA7458">
        <w:rPr>
          <w:color w:val="231F20"/>
          <w:spacing w:val="17"/>
          <w:w w:val="105"/>
        </w:rPr>
        <w:t xml:space="preserve"> </w:t>
      </w:r>
      <w:r w:rsidRPr="00EA7458">
        <w:rPr>
          <w:color w:val="231F20"/>
          <w:w w:val="105"/>
        </w:rPr>
        <w:t>the</w:t>
      </w:r>
      <w:r w:rsidRPr="00EA7458">
        <w:rPr>
          <w:color w:val="231F20"/>
          <w:spacing w:val="17"/>
          <w:w w:val="105"/>
        </w:rPr>
        <w:t xml:space="preserve"> </w:t>
      </w:r>
      <w:r w:rsidRPr="00EA7458">
        <w:rPr>
          <w:color w:val="231F20"/>
          <w:w w:val="105"/>
        </w:rPr>
        <w:t>state</w:t>
      </w:r>
      <w:r w:rsidRPr="00EA7458">
        <w:rPr>
          <w:color w:val="231F20"/>
          <w:spacing w:val="17"/>
          <w:w w:val="105"/>
        </w:rPr>
        <w:t xml:space="preserve"> </w:t>
      </w:r>
      <w:r w:rsidRPr="00EA7458">
        <w:rPr>
          <w:color w:val="231F20"/>
          <w:w w:val="105"/>
        </w:rPr>
        <w:t>to</w:t>
      </w:r>
      <w:r w:rsidRPr="00EA7458">
        <w:rPr>
          <w:color w:val="231F20"/>
          <w:spacing w:val="17"/>
          <w:w w:val="105"/>
        </w:rPr>
        <w:t xml:space="preserve"> </w:t>
      </w:r>
      <w:r w:rsidRPr="00EA7458">
        <w:rPr>
          <w:color w:val="231F20"/>
          <w:w w:val="105"/>
        </w:rPr>
        <w:t>ensure</w:t>
      </w:r>
      <w:r w:rsidRPr="00EA7458">
        <w:rPr>
          <w:color w:val="231F20"/>
          <w:spacing w:val="17"/>
          <w:w w:val="105"/>
        </w:rPr>
        <w:t xml:space="preserve"> </w:t>
      </w:r>
      <w:r w:rsidRPr="00EA7458">
        <w:rPr>
          <w:color w:val="231F20"/>
          <w:w w:val="105"/>
        </w:rPr>
        <w:t>comprehensive</w:t>
      </w:r>
      <w:r w:rsidRPr="00EA7458">
        <w:rPr>
          <w:color w:val="231F20"/>
          <w:spacing w:val="17"/>
          <w:w w:val="105"/>
        </w:rPr>
        <w:t xml:space="preserve"> </w:t>
      </w:r>
      <w:r w:rsidRPr="00EA7458">
        <w:rPr>
          <w:color w:val="231F20"/>
          <w:w w:val="105"/>
        </w:rPr>
        <w:t>and</w:t>
      </w:r>
      <w:r w:rsidRPr="00EA7458">
        <w:rPr>
          <w:color w:val="231F20"/>
          <w:spacing w:val="17"/>
          <w:w w:val="105"/>
        </w:rPr>
        <w:t xml:space="preserve"> </w:t>
      </w:r>
      <w:r w:rsidRPr="00EA7458">
        <w:rPr>
          <w:color w:val="231F20"/>
          <w:w w:val="105"/>
        </w:rPr>
        <w:t>coordinated</w:t>
      </w:r>
      <w:r w:rsidRPr="00EA7458">
        <w:rPr>
          <w:color w:val="231F20"/>
          <w:spacing w:val="17"/>
          <w:w w:val="105"/>
        </w:rPr>
        <w:t xml:space="preserve"> </w:t>
      </w:r>
      <w:r w:rsidRPr="00EA7458">
        <w:rPr>
          <w:color w:val="231F20"/>
          <w:w w:val="105"/>
        </w:rPr>
        <w:t>services</w:t>
      </w:r>
      <w:r w:rsidRPr="00EA7458">
        <w:rPr>
          <w:color w:val="231F20"/>
          <w:spacing w:val="17"/>
          <w:w w:val="105"/>
        </w:rPr>
        <w:t xml:space="preserve"> </w:t>
      </w:r>
      <w:r>
        <w:rPr>
          <w:color w:val="231F20"/>
          <w:spacing w:val="17"/>
          <w:w w:val="105"/>
        </w:rPr>
        <w:t xml:space="preserve">are provided </w:t>
      </w:r>
      <w:r w:rsidRPr="00EA7458">
        <w:rPr>
          <w:color w:val="231F20"/>
          <w:w w:val="105"/>
        </w:rPr>
        <w:t>for</w:t>
      </w:r>
      <w:r w:rsidRPr="00EA7458">
        <w:rPr>
          <w:color w:val="231F20"/>
        </w:rPr>
        <w:t xml:space="preserve"> </w:t>
      </w:r>
      <w:r w:rsidRPr="00EA7458">
        <w:rPr>
          <w:color w:val="231F20"/>
          <w:w w:val="105"/>
        </w:rPr>
        <w:t>job</w:t>
      </w:r>
      <w:r w:rsidRPr="00EA7458">
        <w:rPr>
          <w:color w:val="231F20"/>
          <w:spacing w:val="11"/>
          <w:w w:val="105"/>
        </w:rPr>
        <w:t xml:space="preserve"> </w:t>
      </w:r>
      <w:r w:rsidRPr="00EA7458">
        <w:rPr>
          <w:color w:val="231F20"/>
          <w:w w:val="105"/>
        </w:rPr>
        <w:t>seekers</w:t>
      </w:r>
      <w:r w:rsidRPr="00EA7458">
        <w:rPr>
          <w:color w:val="231F20"/>
          <w:spacing w:val="11"/>
          <w:w w:val="105"/>
        </w:rPr>
        <w:t xml:space="preserve"> </w:t>
      </w:r>
      <w:r w:rsidRPr="00EA7458">
        <w:rPr>
          <w:color w:val="231F20"/>
          <w:w w:val="105"/>
        </w:rPr>
        <w:t>with</w:t>
      </w:r>
      <w:r w:rsidRPr="00EA7458">
        <w:rPr>
          <w:color w:val="231F20"/>
          <w:spacing w:val="11"/>
          <w:w w:val="105"/>
        </w:rPr>
        <w:t xml:space="preserve"> </w:t>
      </w:r>
      <w:r w:rsidRPr="00EA7458">
        <w:rPr>
          <w:color w:val="231F20"/>
          <w:w w:val="105"/>
        </w:rPr>
        <w:t>disabilities.</w:t>
      </w:r>
      <w:r w:rsidRPr="00EA7458">
        <w:rPr>
          <w:color w:val="231F20"/>
          <w:spacing w:val="11"/>
          <w:w w:val="105"/>
        </w:rPr>
        <w:t xml:space="preserve"> </w:t>
      </w:r>
      <w:r>
        <w:rPr>
          <w:color w:val="231F20"/>
          <w:w w:val="105"/>
        </w:rPr>
        <w:t>VR implement</w:t>
      </w:r>
      <w:r w:rsidR="00556B0E">
        <w:rPr>
          <w:color w:val="231F20"/>
          <w:w w:val="105"/>
        </w:rPr>
        <w:t>s</w:t>
      </w:r>
      <w:r>
        <w:rPr>
          <w:color w:val="231F20"/>
          <w:w w:val="105"/>
        </w:rPr>
        <w:t xml:space="preserve"> pilot programs and Innovation and Expansion projects to further increase its service capacity. VR place</w:t>
      </w:r>
      <w:r w:rsidR="00E840CE">
        <w:rPr>
          <w:color w:val="231F20"/>
          <w:w w:val="105"/>
        </w:rPr>
        <w:t>s</w:t>
      </w:r>
      <w:r>
        <w:rPr>
          <w:color w:val="231F20"/>
          <w:w w:val="105"/>
        </w:rPr>
        <w:t xml:space="preserve"> emphasis on increasing provider capacity for specialized services such as Discovery and Customized Employment.</w:t>
      </w:r>
    </w:p>
    <w:p w14:paraId="3CE3F495" w14:textId="17E31F4F" w:rsidR="00463C7F" w:rsidRPr="00366711" w:rsidRDefault="008100E7" w:rsidP="00D63204">
      <w:pPr>
        <w:widowControl w:val="0"/>
        <w:spacing w:after="0" w:line="264" w:lineRule="exact"/>
        <w:ind w:left="107"/>
        <w:rPr>
          <w:rFonts w:ascii="Calibri" w:hAnsi="Calibri"/>
          <w:color w:val="231F20"/>
          <w:w w:val="105"/>
        </w:rPr>
      </w:pPr>
      <w:r>
        <w:rPr>
          <w:color w:val="231F20"/>
          <w:w w:val="105"/>
        </w:rPr>
        <w:br/>
      </w:r>
      <w:r w:rsidR="00463C7F" w:rsidRPr="00366711">
        <w:rPr>
          <w:rFonts w:ascii="Calibri" w:hAnsi="Calibri"/>
          <w:color w:val="231F20"/>
          <w:w w:val="105"/>
        </w:rPr>
        <w:t xml:space="preserve">VR’s services are provided statewide with </w:t>
      </w:r>
      <w:r w:rsidR="00125314">
        <w:rPr>
          <w:rFonts w:ascii="Calibri" w:hAnsi="Calibri"/>
          <w:color w:val="231F20"/>
          <w:w w:val="105"/>
        </w:rPr>
        <w:t xml:space="preserve">the </w:t>
      </w:r>
      <w:r w:rsidR="00463C7F" w:rsidRPr="00366711">
        <w:rPr>
          <w:rFonts w:ascii="Calibri" w:hAnsi="Calibri"/>
          <w:color w:val="231F20"/>
          <w:w w:val="105"/>
        </w:rPr>
        <w:t xml:space="preserve">exception </w:t>
      </w:r>
      <w:r w:rsidR="00125314">
        <w:rPr>
          <w:rFonts w:ascii="Calibri" w:hAnsi="Calibri"/>
          <w:color w:val="231F20"/>
          <w:w w:val="105"/>
        </w:rPr>
        <w:t>of</w:t>
      </w:r>
      <w:r w:rsidR="00463C7F" w:rsidRPr="00366711">
        <w:rPr>
          <w:rFonts w:ascii="Calibri" w:hAnsi="Calibri"/>
          <w:color w:val="231F20"/>
          <w:w w:val="105"/>
        </w:rPr>
        <w:t xml:space="preserve"> pilot programs, Innovation and Expansion project activities</w:t>
      </w:r>
      <w:r w:rsidR="00D5537E">
        <w:rPr>
          <w:rFonts w:ascii="Calibri" w:hAnsi="Calibri"/>
          <w:color w:val="231F20"/>
          <w:w w:val="105"/>
        </w:rPr>
        <w:t xml:space="preserve"> and</w:t>
      </w:r>
      <w:r w:rsidR="00463C7F" w:rsidRPr="00366711">
        <w:rPr>
          <w:rFonts w:ascii="Calibri" w:hAnsi="Calibri"/>
          <w:color w:val="231F20"/>
          <w:w w:val="105"/>
        </w:rPr>
        <w:t xml:space="preserve"> transition services delivered under a Third-Party Cooperative Arrangement (TPCA). VR currently holds TPCA</w:t>
      </w:r>
      <w:r w:rsidR="00125314">
        <w:rPr>
          <w:rFonts w:ascii="Calibri" w:hAnsi="Calibri"/>
          <w:color w:val="231F20"/>
          <w:w w:val="105"/>
        </w:rPr>
        <w:t>s</w:t>
      </w:r>
      <w:r w:rsidR="00463C7F" w:rsidRPr="00366711">
        <w:rPr>
          <w:rFonts w:ascii="Calibri" w:hAnsi="Calibri"/>
          <w:color w:val="231F20"/>
          <w:w w:val="105"/>
        </w:rPr>
        <w:t xml:space="preserve"> with 25 school districts</w:t>
      </w:r>
      <w:r w:rsidR="00D5537E">
        <w:rPr>
          <w:rFonts w:ascii="Calibri" w:hAnsi="Calibri"/>
          <w:color w:val="231F20"/>
          <w:w w:val="105"/>
        </w:rPr>
        <w:t xml:space="preserve"> and</w:t>
      </w:r>
      <w:r w:rsidR="00463C7F" w:rsidRPr="00366711">
        <w:rPr>
          <w:rFonts w:ascii="Calibri" w:hAnsi="Calibri"/>
          <w:color w:val="231F20"/>
          <w:w w:val="105"/>
        </w:rPr>
        <w:t xml:space="preserve"> as required, has a waiver of statewideness in place for these arrangements. </w:t>
      </w:r>
      <w:r w:rsidR="00463C7F" w:rsidRPr="00EA7458">
        <w:rPr>
          <w:rFonts w:ascii="Calibri" w:hAnsi="Calibri"/>
          <w:color w:val="231F20"/>
          <w:w w:val="105"/>
        </w:rPr>
        <w:t>More</w:t>
      </w:r>
      <w:r w:rsidR="00463C7F" w:rsidRPr="00366711">
        <w:rPr>
          <w:rFonts w:ascii="Calibri" w:hAnsi="Calibri"/>
          <w:color w:val="231F20"/>
          <w:w w:val="105"/>
        </w:rPr>
        <w:t xml:space="preserve"> </w:t>
      </w:r>
      <w:r w:rsidR="00463C7F" w:rsidRPr="00EA7458">
        <w:rPr>
          <w:rFonts w:ascii="Calibri" w:hAnsi="Calibri"/>
          <w:color w:val="231F20"/>
          <w:w w:val="105"/>
        </w:rPr>
        <w:t>details</w:t>
      </w:r>
      <w:r w:rsidR="00463C7F" w:rsidRPr="00366711">
        <w:rPr>
          <w:rFonts w:ascii="Calibri" w:hAnsi="Calibri"/>
          <w:color w:val="231F20"/>
          <w:w w:val="105"/>
        </w:rPr>
        <w:t xml:space="preserve"> </w:t>
      </w:r>
      <w:r w:rsidR="00463C7F" w:rsidRPr="00EA7458">
        <w:rPr>
          <w:rFonts w:ascii="Calibri" w:hAnsi="Calibri"/>
          <w:color w:val="231F20"/>
          <w:w w:val="105"/>
        </w:rPr>
        <w:t>on</w:t>
      </w:r>
      <w:r w:rsidR="00463C7F" w:rsidRPr="00366711">
        <w:rPr>
          <w:rFonts w:ascii="Calibri" w:hAnsi="Calibri"/>
          <w:color w:val="231F20"/>
          <w:w w:val="105"/>
        </w:rPr>
        <w:t xml:space="preserve"> </w:t>
      </w:r>
      <w:r w:rsidR="00463C7F" w:rsidRPr="00EA7458">
        <w:rPr>
          <w:rFonts w:ascii="Calibri" w:hAnsi="Calibri"/>
          <w:color w:val="231F20"/>
          <w:w w:val="105"/>
        </w:rPr>
        <w:t>TPCA</w:t>
      </w:r>
      <w:r w:rsidR="00463C7F" w:rsidRPr="00366711">
        <w:rPr>
          <w:rFonts w:ascii="Calibri" w:hAnsi="Calibri"/>
          <w:color w:val="231F20"/>
          <w:w w:val="105"/>
        </w:rPr>
        <w:t xml:space="preserve"> </w:t>
      </w:r>
      <w:r w:rsidR="00463C7F" w:rsidRPr="00EA7458">
        <w:rPr>
          <w:rFonts w:ascii="Calibri" w:hAnsi="Calibri"/>
          <w:color w:val="231F20"/>
          <w:w w:val="105"/>
        </w:rPr>
        <w:t>and</w:t>
      </w:r>
      <w:r w:rsidR="00463C7F" w:rsidRPr="00366711">
        <w:rPr>
          <w:rFonts w:ascii="Calibri" w:hAnsi="Calibri"/>
          <w:color w:val="231F20"/>
          <w:w w:val="105"/>
        </w:rPr>
        <w:t xml:space="preserve"> </w:t>
      </w:r>
      <w:r w:rsidR="00463C7F" w:rsidRPr="00EA7458">
        <w:rPr>
          <w:rFonts w:ascii="Calibri" w:hAnsi="Calibri"/>
          <w:color w:val="231F20"/>
          <w:w w:val="105"/>
        </w:rPr>
        <w:t>other</w:t>
      </w:r>
      <w:r w:rsidR="00463C7F" w:rsidRPr="00366711">
        <w:rPr>
          <w:rFonts w:ascii="Calibri" w:hAnsi="Calibri"/>
          <w:color w:val="231F20"/>
          <w:w w:val="105"/>
        </w:rPr>
        <w:t xml:space="preserve"> </w:t>
      </w:r>
      <w:r w:rsidR="00463C7F" w:rsidRPr="00EA7458">
        <w:rPr>
          <w:rFonts w:ascii="Calibri" w:hAnsi="Calibri"/>
          <w:color w:val="231F20"/>
          <w:w w:val="105"/>
        </w:rPr>
        <w:t>factors</w:t>
      </w:r>
      <w:r w:rsidR="00463C7F" w:rsidRPr="00366711">
        <w:rPr>
          <w:rFonts w:ascii="Calibri" w:hAnsi="Calibri"/>
          <w:color w:val="231F20"/>
          <w:w w:val="105"/>
        </w:rPr>
        <w:t xml:space="preserve"> </w:t>
      </w:r>
      <w:r w:rsidR="00463C7F" w:rsidRPr="00EA7458">
        <w:rPr>
          <w:rFonts w:ascii="Calibri" w:hAnsi="Calibri"/>
          <w:color w:val="231F20"/>
          <w:w w:val="105"/>
        </w:rPr>
        <w:t>that</w:t>
      </w:r>
      <w:r w:rsidR="00463C7F" w:rsidRPr="00366711">
        <w:rPr>
          <w:rFonts w:ascii="Calibri" w:hAnsi="Calibri"/>
          <w:color w:val="231F20"/>
          <w:w w:val="105"/>
        </w:rPr>
        <w:t xml:space="preserve"> </w:t>
      </w:r>
      <w:r w:rsidR="00463C7F" w:rsidRPr="00EA7458">
        <w:rPr>
          <w:rFonts w:ascii="Calibri" w:hAnsi="Calibri"/>
          <w:color w:val="231F20"/>
          <w:w w:val="105"/>
        </w:rPr>
        <w:t>affect</w:t>
      </w:r>
      <w:r w:rsidR="00463C7F" w:rsidRPr="00366711">
        <w:rPr>
          <w:rFonts w:ascii="Calibri" w:hAnsi="Calibri"/>
          <w:color w:val="231F20"/>
          <w:w w:val="105"/>
        </w:rPr>
        <w:t xml:space="preserve"> VR’s </w:t>
      </w:r>
      <w:r w:rsidR="00463C7F" w:rsidRPr="00EA7458">
        <w:rPr>
          <w:rFonts w:ascii="Calibri" w:hAnsi="Calibri"/>
          <w:color w:val="231F20"/>
          <w:w w:val="105"/>
        </w:rPr>
        <w:t>service</w:t>
      </w:r>
      <w:r w:rsidR="00463C7F" w:rsidRPr="00366711">
        <w:rPr>
          <w:rFonts w:ascii="Calibri" w:hAnsi="Calibri"/>
          <w:color w:val="231F20"/>
          <w:w w:val="105"/>
        </w:rPr>
        <w:t xml:space="preserve"> </w:t>
      </w:r>
      <w:r w:rsidR="00463C7F" w:rsidRPr="00EA7458">
        <w:rPr>
          <w:rFonts w:ascii="Calibri" w:hAnsi="Calibri"/>
          <w:color w:val="231F20"/>
          <w:w w:val="105"/>
        </w:rPr>
        <w:t>capacity</w:t>
      </w:r>
      <w:r w:rsidR="00463C7F" w:rsidRPr="00366711">
        <w:rPr>
          <w:rFonts w:ascii="Calibri" w:hAnsi="Calibri"/>
          <w:color w:val="231F20"/>
          <w:w w:val="105"/>
        </w:rPr>
        <w:t xml:space="preserve"> </w:t>
      </w:r>
      <w:r w:rsidR="00463C7F" w:rsidRPr="00EA7458">
        <w:rPr>
          <w:rFonts w:ascii="Calibri" w:hAnsi="Calibri"/>
          <w:color w:val="231F20"/>
          <w:w w:val="105"/>
        </w:rPr>
        <w:t>can</w:t>
      </w:r>
      <w:r w:rsidR="00463C7F" w:rsidRPr="00366711">
        <w:rPr>
          <w:rFonts w:ascii="Calibri" w:hAnsi="Calibri"/>
          <w:color w:val="231F20"/>
          <w:w w:val="105"/>
        </w:rPr>
        <w:t xml:space="preserve"> </w:t>
      </w:r>
      <w:r w:rsidR="00463C7F" w:rsidRPr="00EA7458">
        <w:rPr>
          <w:rFonts w:ascii="Calibri" w:hAnsi="Calibri"/>
          <w:color w:val="231F20"/>
          <w:w w:val="105"/>
        </w:rPr>
        <w:t>be</w:t>
      </w:r>
      <w:r w:rsidR="00463C7F" w:rsidRPr="00366711">
        <w:rPr>
          <w:rFonts w:ascii="Calibri" w:hAnsi="Calibri"/>
          <w:color w:val="231F20"/>
          <w:w w:val="105"/>
        </w:rPr>
        <w:t xml:space="preserve"> </w:t>
      </w:r>
      <w:r w:rsidR="00463C7F" w:rsidRPr="00EA7458">
        <w:rPr>
          <w:rFonts w:ascii="Calibri" w:hAnsi="Calibri"/>
          <w:color w:val="231F20"/>
          <w:w w:val="105"/>
        </w:rPr>
        <w:t>found in the VR services portion of this plan.</w:t>
      </w:r>
    </w:p>
    <w:p w14:paraId="36D94994" w14:textId="77777777" w:rsidR="00EA7458" w:rsidRPr="00366711" w:rsidRDefault="00EA7458" w:rsidP="00D63204">
      <w:pPr>
        <w:widowControl w:val="0"/>
        <w:spacing w:after="0" w:line="264" w:lineRule="exact"/>
        <w:ind w:left="107"/>
        <w:rPr>
          <w:rFonts w:ascii="Calibri" w:hAnsi="Calibri"/>
          <w:color w:val="231F20"/>
          <w:w w:val="105"/>
        </w:rPr>
      </w:pPr>
    </w:p>
    <w:p w14:paraId="48E870CE" w14:textId="73F4F4BF" w:rsidR="00EA7458" w:rsidRPr="00366711" w:rsidRDefault="00EA7458" w:rsidP="00D63204">
      <w:pPr>
        <w:widowControl w:val="0"/>
        <w:spacing w:after="0" w:line="264" w:lineRule="exact"/>
        <w:ind w:left="107"/>
        <w:rPr>
          <w:rFonts w:ascii="Calibri" w:hAnsi="Calibri"/>
          <w:color w:val="231F20"/>
          <w:w w:val="105"/>
        </w:rPr>
      </w:pPr>
      <w:r w:rsidRPr="00125314">
        <w:rPr>
          <w:rFonts w:ascii="Calibri" w:hAnsi="Calibri"/>
          <w:color w:val="231F20"/>
          <w:w w:val="105"/>
        </w:rPr>
        <w:t>FDBS has aligned and dedicated vocational rehabilitation staff to coordinate, implement and track workforce develop</w:t>
      </w:r>
      <w:r w:rsidRPr="00366711">
        <w:rPr>
          <w:rFonts w:ascii="Calibri" w:hAnsi="Calibri"/>
          <w:color w:val="231F20"/>
          <w:w w:val="105"/>
        </w:rPr>
        <w:t xml:space="preserve">ment activities across multiple programs. FDBS has long-established relationships with statewide </w:t>
      </w:r>
      <w:r w:rsidRPr="00C80E0C">
        <w:rPr>
          <w:rFonts w:ascii="Calibri" w:hAnsi="Calibri"/>
          <w:color w:val="231F20"/>
          <w:w w:val="105"/>
        </w:rPr>
        <w:t>Community Rehabilitation Providers (CRPs)</w:t>
      </w:r>
      <w:r w:rsidRPr="00366711">
        <w:rPr>
          <w:rFonts w:ascii="Calibri" w:hAnsi="Calibri"/>
          <w:color w:val="231F20"/>
          <w:w w:val="105"/>
        </w:rPr>
        <w:t xml:space="preserve"> who provide direct vocational rehabilitation, transition, supported employment and rehabilitation engineering services to clients statewide. Through existing staff and community rehabilitation program partners, FDBS </w:t>
      </w:r>
      <w:r w:rsidR="007C75FF" w:rsidRPr="00366711">
        <w:rPr>
          <w:rFonts w:ascii="Calibri" w:hAnsi="Calibri"/>
          <w:color w:val="231F20"/>
          <w:w w:val="105"/>
        </w:rPr>
        <w:t>is</w:t>
      </w:r>
      <w:r w:rsidR="00E4298F" w:rsidRPr="00366711">
        <w:rPr>
          <w:rFonts w:ascii="Calibri" w:hAnsi="Calibri"/>
          <w:color w:val="231F20"/>
          <w:w w:val="105"/>
        </w:rPr>
        <w:t xml:space="preserve"> </w:t>
      </w:r>
      <w:r w:rsidRPr="00366711">
        <w:rPr>
          <w:rFonts w:ascii="Calibri" w:hAnsi="Calibri"/>
          <w:color w:val="231F20"/>
          <w:w w:val="105"/>
        </w:rPr>
        <w:t>implement</w:t>
      </w:r>
      <w:r w:rsidR="007C75FF" w:rsidRPr="00366711">
        <w:rPr>
          <w:rFonts w:ascii="Calibri" w:hAnsi="Calibri"/>
          <w:color w:val="231F20"/>
          <w:w w:val="105"/>
        </w:rPr>
        <w:t xml:space="preserve">ing </w:t>
      </w:r>
      <w:r w:rsidRPr="00366711">
        <w:rPr>
          <w:rFonts w:ascii="Calibri" w:hAnsi="Calibri"/>
          <w:color w:val="231F20"/>
          <w:w w:val="105"/>
        </w:rPr>
        <w:t>the identified workforce development activities.</w:t>
      </w:r>
    </w:p>
    <w:p w14:paraId="183C77F7" w14:textId="77777777" w:rsidR="00EA7458" w:rsidRPr="00EA7458" w:rsidRDefault="00EA7458" w:rsidP="00D63204">
      <w:pPr>
        <w:widowControl w:val="0"/>
        <w:spacing w:before="5" w:after="0" w:line="240" w:lineRule="auto"/>
        <w:ind w:left="107"/>
        <w:rPr>
          <w:rFonts w:ascii="Calibri" w:hAnsi="Calibri" w:cs="Calibri"/>
          <w:sz w:val="16"/>
          <w:szCs w:val="16"/>
        </w:rPr>
      </w:pPr>
    </w:p>
    <w:p w14:paraId="62D2EC23" w14:textId="21681EE0" w:rsidR="00EA7458" w:rsidRPr="00EA7458" w:rsidRDefault="00EA7458" w:rsidP="00D63204">
      <w:pPr>
        <w:widowControl w:val="0"/>
        <w:spacing w:after="0" w:line="264" w:lineRule="exact"/>
        <w:ind w:left="107"/>
        <w:rPr>
          <w:rFonts w:ascii="Calibri" w:hAnsi="Calibri"/>
        </w:rPr>
      </w:pPr>
      <w:bookmarkStart w:id="53" w:name="_Hlk507488588"/>
      <w:r w:rsidRPr="003121E4">
        <w:rPr>
          <w:rFonts w:ascii="Calibri" w:hAnsi="Calibri"/>
          <w:color w:val="231F20"/>
          <w:w w:val="105"/>
        </w:rPr>
        <w:t>FDBS</w:t>
      </w:r>
      <w:r w:rsidRPr="003121E4">
        <w:rPr>
          <w:rFonts w:ascii="Calibri" w:hAnsi="Calibri"/>
          <w:color w:val="231F20"/>
          <w:spacing w:val="25"/>
          <w:w w:val="105"/>
        </w:rPr>
        <w:t xml:space="preserve"> </w:t>
      </w:r>
      <w:r w:rsidRPr="003121E4">
        <w:rPr>
          <w:rFonts w:ascii="Calibri" w:hAnsi="Calibri"/>
          <w:color w:val="231F20"/>
          <w:w w:val="105"/>
        </w:rPr>
        <w:t>conducts</w:t>
      </w:r>
      <w:r w:rsidRPr="003121E4">
        <w:rPr>
          <w:rFonts w:ascii="Calibri" w:hAnsi="Calibri"/>
          <w:color w:val="231F20"/>
          <w:spacing w:val="25"/>
          <w:w w:val="105"/>
        </w:rPr>
        <w:t xml:space="preserve"> </w:t>
      </w:r>
      <w:r w:rsidRPr="003121E4">
        <w:rPr>
          <w:rFonts w:ascii="Calibri" w:hAnsi="Calibri"/>
          <w:color w:val="231F20"/>
          <w:w w:val="105"/>
        </w:rPr>
        <w:t>ongoing</w:t>
      </w:r>
      <w:r w:rsidRPr="003121E4">
        <w:rPr>
          <w:rFonts w:ascii="Calibri" w:hAnsi="Calibri"/>
          <w:color w:val="231F20"/>
          <w:spacing w:val="25"/>
          <w:w w:val="105"/>
        </w:rPr>
        <w:t xml:space="preserve"> </w:t>
      </w:r>
      <w:r w:rsidRPr="003121E4">
        <w:rPr>
          <w:rFonts w:ascii="Calibri" w:hAnsi="Calibri"/>
          <w:color w:val="231F20"/>
          <w:w w:val="105"/>
        </w:rPr>
        <w:t>training</w:t>
      </w:r>
      <w:r w:rsidRPr="003121E4">
        <w:rPr>
          <w:rFonts w:ascii="Calibri" w:hAnsi="Calibri"/>
          <w:color w:val="231F20"/>
          <w:spacing w:val="25"/>
          <w:w w:val="105"/>
        </w:rPr>
        <w:t xml:space="preserve"> </w:t>
      </w:r>
      <w:r w:rsidRPr="003121E4">
        <w:rPr>
          <w:rFonts w:ascii="Calibri" w:hAnsi="Calibri"/>
          <w:color w:val="231F20"/>
          <w:w w:val="105"/>
        </w:rPr>
        <w:t>needs</w:t>
      </w:r>
      <w:r w:rsidRPr="003121E4">
        <w:rPr>
          <w:rFonts w:ascii="Calibri" w:hAnsi="Calibri"/>
          <w:color w:val="231F20"/>
          <w:spacing w:val="25"/>
          <w:w w:val="105"/>
        </w:rPr>
        <w:t xml:space="preserve"> </w:t>
      </w:r>
      <w:r w:rsidRPr="003121E4">
        <w:rPr>
          <w:rFonts w:ascii="Calibri" w:hAnsi="Calibri"/>
          <w:color w:val="231F20"/>
          <w:w w:val="105"/>
        </w:rPr>
        <w:t>assessment</w:t>
      </w:r>
      <w:r w:rsidRPr="003121E4">
        <w:rPr>
          <w:rFonts w:ascii="Calibri" w:hAnsi="Calibri"/>
          <w:color w:val="231F20"/>
          <w:spacing w:val="25"/>
          <w:w w:val="105"/>
        </w:rPr>
        <w:t xml:space="preserve"> </w:t>
      </w:r>
      <w:r w:rsidR="00E4298F" w:rsidRPr="003121E4">
        <w:rPr>
          <w:rFonts w:ascii="Calibri" w:hAnsi="Calibri"/>
          <w:color w:val="231F20"/>
          <w:w w:val="105"/>
        </w:rPr>
        <w:t>to</w:t>
      </w:r>
      <w:r w:rsidRPr="003121E4">
        <w:rPr>
          <w:rFonts w:ascii="Calibri" w:hAnsi="Calibri"/>
          <w:color w:val="231F20"/>
          <w:spacing w:val="25"/>
          <w:w w:val="105"/>
        </w:rPr>
        <w:t xml:space="preserve"> </w:t>
      </w:r>
      <w:r w:rsidR="00E4298F" w:rsidRPr="003121E4">
        <w:rPr>
          <w:rFonts w:ascii="Calibri" w:hAnsi="Calibri"/>
          <w:color w:val="231F20"/>
          <w:w w:val="105"/>
        </w:rPr>
        <w:t xml:space="preserve">ensure </w:t>
      </w:r>
      <w:r w:rsidRPr="003121E4">
        <w:rPr>
          <w:rFonts w:ascii="Calibri" w:hAnsi="Calibri"/>
          <w:color w:val="231F20"/>
          <w:w w:val="105"/>
        </w:rPr>
        <w:t>compliance</w:t>
      </w:r>
      <w:r w:rsidRPr="003121E4">
        <w:rPr>
          <w:rFonts w:ascii="Calibri" w:hAnsi="Calibri"/>
          <w:color w:val="231F20"/>
          <w:spacing w:val="25"/>
          <w:w w:val="105"/>
        </w:rPr>
        <w:t xml:space="preserve"> </w:t>
      </w:r>
      <w:r w:rsidRPr="003121E4">
        <w:rPr>
          <w:rFonts w:ascii="Calibri" w:hAnsi="Calibri"/>
          <w:color w:val="231F20"/>
          <w:w w:val="105"/>
        </w:rPr>
        <w:t>of</w:t>
      </w:r>
      <w:r w:rsidRPr="003121E4">
        <w:rPr>
          <w:rFonts w:ascii="Calibri" w:hAnsi="Calibri"/>
          <w:color w:val="231F20"/>
          <w:spacing w:val="25"/>
          <w:w w:val="105"/>
        </w:rPr>
        <w:t xml:space="preserve"> </w:t>
      </w:r>
      <w:r w:rsidRPr="003121E4">
        <w:rPr>
          <w:rFonts w:ascii="Calibri" w:hAnsi="Calibri"/>
          <w:color w:val="231F20"/>
          <w:w w:val="105"/>
        </w:rPr>
        <w:t>federal</w:t>
      </w:r>
      <w:r w:rsidRPr="003121E4">
        <w:rPr>
          <w:rFonts w:ascii="Calibri" w:hAnsi="Calibri"/>
          <w:color w:val="231F20"/>
          <w:w w:val="106"/>
        </w:rPr>
        <w:t xml:space="preserve"> </w:t>
      </w:r>
      <w:r w:rsidRPr="003121E4">
        <w:rPr>
          <w:rFonts w:ascii="Calibri" w:hAnsi="Calibri"/>
          <w:color w:val="231F20"/>
          <w:w w:val="105"/>
        </w:rPr>
        <w:t>and</w:t>
      </w:r>
      <w:r w:rsidRPr="003121E4">
        <w:rPr>
          <w:rFonts w:ascii="Calibri" w:hAnsi="Calibri"/>
          <w:color w:val="231F20"/>
          <w:spacing w:val="9"/>
          <w:w w:val="105"/>
        </w:rPr>
        <w:t xml:space="preserve"> </w:t>
      </w:r>
      <w:r w:rsidRPr="003121E4">
        <w:rPr>
          <w:rFonts w:ascii="Calibri" w:hAnsi="Calibri"/>
          <w:color w:val="231F20"/>
          <w:w w:val="105"/>
        </w:rPr>
        <w:t>state</w:t>
      </w:r>
      <w:r w:rsidRPr="003121E4">
        <w:rPr>
          <w:rFonts w:ascii="Calibri" w:hAnsi="Calibri"/>
          <w:color w:val="231F20"/>
          <w:spacing w:val="9"/>
          <w:w w:val="105"/>
        </w:rPr>
        <w:t xml:space="preserve"> </w:t>
      </w:r>
      <w:r w:rsidRPr="003121E4">
        <w:rPr>
          <w:rFonts w:ascii="Calibri" w:hAnsi="Calibri"/>
          <w:color w:val="231F20"/>
          <w:w w:val="105"/>
        </w:rPr>
        <w:t>mandates</w:t>
      </w:r>
      <w:r w:rsidRPr="003121E4">
        <w:rPr>
          <w:rFonts w:ascii="Calibri" w:hAnsi="Calibri"/>
          <w:color w:val="231F20"/>
          <w:spacing w:val="9"/>
          <w:w w:val="105"/>
        </w:rPr>
        <w:t xml:space="preserve"> </w:t>
      </w:r>
      <w:r w:rsidRPr="003121E4">
        <w:rPr>
          <w:rFonts w:ascii="Calibri" w:hAnsi="Calibri"/>
          <w:color w:val="231F20"/>
          <w:w w:val="105"/>
        </w:rPr>
        <w:t>and</w:t>
      </w:r>
      <w:r w:rsidRPr="003121E4">
        <w:rPr>
          <w:rFonts w:ascii="Calibri" w:hAnsi="Calibri"/>
          <w:color w:val="231F20"/>
          <w:spacing w:val="9"/>
          <w:w w:val="105"/>
        </w:rPr>
        <w:t xml:space="preserve"> </w:t>
      </w:r>
      <w:r w:rsidRPr="003121E4">
        <w:rPr>
          <w:rFonts w:ascii="Calibri" w:hAnsi="Calibri"/>
          <w:color w:val="231F20"/>
          <w:w w:val="105"/>
        </w:rPr>
        <w:t>exam</w:t>
      </w:r>
      <w:r w:rsidR="001010CD" w:rsidRPr="003121E4">
        <w:rPr>
          <w:rFonts w:ascii="Calibri" w:hAnsi="Calibri"/>
          <w:color w:val="231F20"/>
          <w:w w:val="105"/>
        </w:rPr>
        <w:t>ine</w:t>
      </w:r>
      <w:r w:rsidR="007C75FF" w:rsidRPr="003121E4">
        <w:rPr>
          <w:rFonts w:ascii="Calibri" w:hAnsi="Calibri"/>
          <w:color w:val="231F20"/>
          <w:w w:val="105"/>
        </w:rPr>
        <w:t>s</w:t>
      </w:r>
      <w:r w:rsidRPr="003121E4">
        <w:rPr>
          <w:rFonts w:ascii="Calibri" w:hAnsi="Calibri"/>
          <w:color w:val="231F20"/>
          <w:spacing w:val="9"/>
          <w:w w:val="105"/>
        </w:rPr>
        <w:t xml:space="preserve"> </w:t>
      </w:r>
      <w:r w:rsidRPr="003121E4">
        <w:rPr>
          <w:rFonts w:ascii="Calibri" w:hAnsi="Calibri"/>
          <w:color w:val="231F20"/>
          <w:w w:val="105"/>
        </w:rPr>
        <w:t>individual</w:t>
      </w:r>
      <w:r w:rsidRPr="003121E4">
        <w:rPr>
          <w:rFonts w:ascii="Calibri" w:hAnsi="Calibri"/>
          <w:color w:val="231F20"/>
          <w:spacing w:val="9"/>
          <w:w w:val="105"/>
        </w:rPr>
        <w:t xml:space="preserve"> </w:t>
      </w:r>
      <w:r w:rsidRPr="003121E4">
        <w:rPr>
          <w:rFonts w:ascii="Calibri" w:hAnsi="Calibri"/>
          <w:color w:val="231F20"/>
          <w:w w:val="105"/>
        </w:rPr>
        <w:t>personnel</w:t>
      </w:r>
      <w:r w:rsidRPr="003121E4">
        <w:rPr>
          <w:rFonts w:ascii="Calibri" w:hAnsi="Calibri"/>
          <w:color w:val="231F20"/>
          <w:spacing w:val="9"/>
          <w:w w:val="105"/>
        </w:rPr>
        <w:t xml:space="preserve"> </w:t>
      </w:r>
      <w:r w:rsidRPr="003121E4">
        <w:rPr>
          <w:rFonts w:ascii="Calibri" w:hAnsi="Calibri"/>
          <w:color w:val="231F20"/>
          <w:w w:val="105"/>
        </w:rPr>
        <w:t>training</w:t>
      </w:r>
      <w:r w:rsidRPr="003121E4">
        <w:rPr>
          <w:rFonts w:ascii="Calibri" w:hAnsi="Calibri"/>
          <w:color w:val="231F20"/>
          <w:spacing w:val="9"/>
          <w:w w:val="105"/>
        </w:rPr>
        <w:t xml:space="preserve"> </w:t>
      </w:r>
      <w:r w:rsidRPr="003121E4">
        <w:rPr>
          <w:rFonts w:ascii="Calibri" w:hAnsi="Calibri"/>
          <w:color w:val="231F20"/>
          <w:w w:val="105"/>
        </w:rPr>
        <w:t>requirements</w:t>
      </w:r>
      <w:r w:rsidRPr="003121E4">
        <w:rPr>
          <w:rFonts w:ascii="Calibri" w:hAnsi="Calibri"/>
          <w:color w:val="231F20"/>
          <w:spacing w:val="9"/>
          <w:w w:val="105"/>
        </w:rPr>
        <w:t xml:space="preserve"> </w:t>
      </w:r>
      <w:r w:rsidRPr="003121E4">
        <w:rPr>
          <w:rFonts w:ascii="Calibri" w:hAnsi="Calibri"/>
          <w:color w:val="231F20"/>
          <w:w w:val="105"/>
        </w:rPr>
        <w:t>related</w:t>
      </w:r>
      <w:r w:rsidRPr="003121E4">
        <w:rPr>
          <w:rFonts w:ascii="Calibri" w:hAnsi="Calibri"/>
          <w:color w:val="231F20"/>
          <w:spacing w:val="9"/>
          <w:w w:val="105"/>
        </w:rPr>
        <w:t xml:space="preserve"> </w:t>
      </w:r>
      <w:r w:rsidRPr="003121E4">
        <w:rPr>
          <w:rFonts w:ascii="Calibri" w:hAnsi="Calibri"/>
          <w:color w:val="231F20"/>
          <w:w w:val="105"/>
        </w:rPr>
        <w:t>to</w:t>
      </w:r>
      <w:r w:rsidRPr="003121E4">
        <w:rPr>
          <w:rFonts w:ascii="Calibri" w:hAnsi="Calibri"/>
          <w:color w:val="231F20"/>
          <w:spacing w:val="9"/>
          <w:w w:val="105"/>
        </w:rPr>
        <w:t xml:space="preserve"> </w:t>
      </w:r>
      <w:r w:rsidRPr="003121E4">
        <w:rPr>
          <w:rFonts w:ascii="Calibri" w:hAnsi="Calibri"/>
          <w:color w:val="231F20"/>
          <w:w w:val="105"/>
        </w:rPr>
        <w:t>current</w:t>
      </w:r>
      <w:r w:rsidRPr="003121E4">
        <w:rPr>
          <w:rFonts w:ascii="Calibri" w:hAnsi="Calibri"/>
          <w:color w:val="231F20"/>
          <w:spacing w:val="9"/>
          <w:w w:val="105"/>
        </w:rPr>
        <w:t xml:space="preserve"> </w:t>
      </w:r>
      <w:r w:rsidRPr="003121E4">
        <w:rPr>
          <w:rFonts w:ascii="Calibri" w:hAnsi="Calibri"/>
          <w:color w:val="231F20"/>
          <w:w w:val="105"/>
        </w:rPr>
        <w:t>job</w:t>
      </w:r>
      <w:r w:rsidRPr="003121E4">
        <w:rPr>
          <w:rFonts w:ascii="Calibri" w:hAnsi="Calibri"/>
          <w:color w:val="231F20"/>
          <w:spacing w:val="-34"/>
          <w:w w:val="105"/>
        </w:rPr>
        <w:t xml:space="preserve"> </w:t>
      </w:r>
      <w:r w:rsidRPr="003121E4">
        <w:rPr>
          <w:rFonts w:ascii="Calibri" w:hAnsi="Calibri"/>
          <w:color w:val="231F20"/>
          <w:w w:val="105"/>
        </w:rPr>
        <w:t>performance, future job requirements</w:t>
      </w:r>
      <w:r w:rsidR="00D5537E" w:rsidRPr="003121E4">
        <w:rPr>
          <w:rFonts w:ascii="Calibri" w:hAnsi="Calibri"/>
          <w:color w:val="231F20"/>
          <w:w w:val="105"/>
        </w:rPr>
        <w:t xml:space="preserve"> and</w:t>
      </w:r>
      <w:r w:rsidRPr="003121E4">
        <w:rPr>
          <w:rFonts w:ascii="Calibri" w:hAnsi="Calibri"/>
          <w:color w:val="231F20"/>
          <w:w w:val="105"/>
        </w:rPr>
        <w:t xml:space="preserve"> promotional or career advancement needs.</w:t>
      </w:r>
    </w:p>
    <w:bookmarkEnd w:id="53"/>
    <w:p w14:paraId="04895859" w14:textId="77777777" w:rsidR="00EA7458" w:rsidRPr="00EA7458" w:rsidRDefault="00EA7458" w:rsidP="00D63204">
      <w:pPr>
        <w:widowControl w:val="0"/>
        <w:spacing w:before="2" w:after="0" w:line="240" w:lineRule="auto"/>
        <w:ind w:left="107"/>
        <w:rPr>
          <w:rFonts w:ascii="Calibri" w:hAnsi="Calibri" w:cs="Calibri"/>
          <w:sz w:val="14"/>
          <w:szCs w:val="14"/>
        </w:rPr>
      </w:pPr>
    </w:p>
    <w:p w14:paraId="240EFE37" w14:textId="067673AE" w:rsidR="00EA7458" w:rsidRDefault="00EA7458" w:rsidP="00D63204">
      <w:pPr>
        <w:widowControl w:val="0"/>
        <w:spacing w:before="58" w:after="0" w:line="264" w:lineRule="exact"/>
        <w:ind w:left="107"/>
        <w:rPr>
          <w:rFonts w:ascii="Calibri" w:hAnsi="Calibri"/>
          <w:color w:val="231F20"/>
          <w:w w:val="105"/>
        </w:rPr>
      </w:pPr>
      <w:bookmarkStart w:id="54" w:name="(b)_State_Strategic_Vision_and_Goals_"/>
      <w:bookmarkStart w:id="55" w:name="_bookmark35"/>
      <w:bookmarkEnd w:id="54"/>
      <w:bookmarkEnd w:id="55"/>
      <w:r w:rsidRPr="00EA7458">
        <w:rPr>
          <w:rFonts w:ascii="Calibri" w:hAnsi="Calibri"/>
          <w:color w:val="231F20"/>
          <w:w w:val="105"/>
        </w:rPr>
        <w:t>Adult</w:t>
      </w:r>
      <w:r w:rsidRPr="00EA7458">
        <w:rPr>
          <w:rFonts w:ascii="Calibri" w:hAnsi="Calibri"/>
          <w:color w:val="231F20"/>
          <w:spacing w:val="19"/>
          <w:w w:val="105"/>
        </w:rPr>
        <w:t xml:space="preserve"> </w:t>
      </w:r>
      <w:r w:rsidRPr="00EA7458">
        <w:rPr>
          <w:rFonts w:ascii="Calibri" w:hAnsi="Calibri"/>
          <w:color w:val="231F20"/>
          <w:w w:val="105"/>
        </w:rPr>
        <w:t>education</w:t>
      </w:r>
      <w:r w:rsidRPr="00EA7458">
        <w:rPr>
          <w:rFonts w:ascii="Calibri" w:hAnsi="Calibri"/>
          <w:color w:val="231F20"/>
          <w:spacing w:val="19"/>
          <w:w w:val="105"/>
        </w:rPr>
        <w:t xml:space="preserve"> </w:t>
      </w:r>
      <w:r w:rsidRPr="00EA7458">
        <w:rPr>
          <w:rFonts w:ascii="Calibri" w:hAnsi="Calibri"/>
          <w:color w:val="231F20"/>
          <w:w w:val="105"/>
        </w:rPr>
        <w:t>programs</w:t>
      </w:r>
      <w:r w:rsidRPr="00EA7458">
        <w:rPr>
          <w:rFonts w:ascii="Calibri" w:hAnsi="Calibri"/>
          <w:color w:val="231F20"/>
          <w:spacing w:val="19"/>
          <w:w w:val="105"/>
        </w:rPr>
        <w:t xml:space="preserve"> </w:t>
      </w:r>
      <w:r w:rsidRPr="00EA7458">
        <w:rPr>
          <w:rFonts w:ascii="Calibri" w:hAnsi="Calibri"/>
          <w:color w:val="231F20"/>
          <w:w w:val="105"/>
        </w:rPr>
        <w:t>in</w:t>
      </w:r>
      <w:r w:rsidRPr="00EA7458">
        <w:rPr>
          <w:rFonts w:ascii="Calibri" w:hAnsi="Calibri"/>
          <w:color w:val="231F20"/>
          <w:spacing w:val="19"/>
          <w:w w:val="105"/>
        </w:rPr>
        <w:t xml:space="preserve"> </w:t>
      </w:r>
      <w:r w:rsidRPr="00EA7458">
        <w:rPr>
          <w:rFonts w:ascii="Calibri" w:hAnsi="Calibri"/>
          <w:color w:val="231F20"/>
          <w:w w:val="105"/>
        </w:rPr>
        <w:t>Florida</w:t>
      </w:r>
      <w:r w:rsidRPr="00EA7458">
        <w:rPr>
          <w:rFonts w:ascii="Calibri" w:hAnsi="Calibri"/>
          <w:color w:val="231F20"/>
          <w:spacing w:val="19"/>
          <w:w w:val="105"/>
        </w:rPr>
        <w:t xml:space="preserve"> </w:t>
      </w:r>
      <w:r w:rsidRPr="00EA7458">
        <w:rPr>
          <w:rFonts w:ascii="Calibri" w:hAnsi="Calibri"/>
          <w:color w:val="231F20"/>
          <w:w w:val="105"/>
        </w:rPr>
        <w:t>are</w:t>
      </w:r>
      <w:r w:rsidRPr="00EA7458">
        <w:rPr>
          <w:rFonts w:ascii="Calibri" w:hAnsi="Calibri"/>
          <w:color w:val="231F20"/>
          <w:spacing w:val="19"/>
          <w:w w:val="105"/>
        </w:rPr>
        <w:t xml:space="preserve"> </w:t>
      </w:r>
      <w:r w:rsidRPr="00EA7458">
        <w:rPr>
          <w:rFonts w:ascii="Calibri" w:hAnsi="Calibri"/>
          <w:color w:val="231F20"/>
          <w:w w:val="105"/>
        </w:rPr>
        <w:t>provided</w:t>
      </w:r>
      <w:r w:rsidRPr="00EA7458">
        <w:rPr>
          <w:rFonts w:ascii="Calibri" w:hAnsi="Calibri"/>
          <w:color w:val="231F20"/>
          <w:spacing w:val="19"/>
          <w:w w:val="105"/>
        </w:rPr>
        <w:t xml:space="preserve"> </w:t>
      </w:r>
      <w:r w:rsidRPr="00EA7458">
        <w:rPr>
          <w:rFonts w:ascii="Calibri" w:hAnsi="Calibri"/>
          <w:color w:val="231F20"/>
          <w:w w:val="105"/>
        </w:rPr>
        <w:t>by</w:t>
      </w:r>
      <w:r w:rsidRPr="00EA7458">
        <w:rPr>
          <w:rFonts w:ascii="Calibri" w:hAnsi="Calibri"/>
          <w:color w:val="231F20"/>
          <w:spacing w:val="19"/>
          <w:w w:val="105"/>
        </w:rPr>
        <w:t xml:space="preserve"> </w:t>
      </w:r>
      <w:r w:rsidR="007C75FF">
        <w:rPr>
          <w:rFonts w:ascii="Calibri" w:hAnsi="Calibri"/>
          <w:color w:val="231F20"/>
          <w:spacing w:val="19"/>
          <w:w w:val="105"/>
        </w:rPr>
        <w:t xml:space="preserve">school </w:t>
      </w:r>
      <w:r w:rsidRPr="00EA7458">
        <w:rPr>
          <w:rFonts w:ascii="Calibri" w:hAnsi="Calibri"/>
          <w:color w:val="231F20"/>
          <w:w w:val="105"/>
        </w:rPr>
        <w:t>district</w:t>
      </w:r>
      <w:r w:rsidR="007C75FF">
        <w:rPr>
          <w:rFonts w:ascii="Calibri" w:hAnsi="Calibri"/>
          <w:color w:val="231F20"/>
          <w:w w:val="105"/>
        </w:rPr>
        <w:t>s</w:t>
      </w:r>
      <w:r w:rsidRPr="00EA7458">
        <w:rPr>
          <w:rFonts w:ascii="Calibri" w:hAnsi="Calibri"/>
          <w:color w:val="231F20"/>
          <w:w w:val="105"/>
        </w:rPr>
        <w:t>,</w:t>
      </w:r>
      <w:r w:rsidRPr="00EA7458">
        <w:rPr>
          <w:rFonts w:ascii="Calibri" w:hAnsi="Calibri"/>
          <w:color w:val="231F20"/>
          <w:spacing w:val="19"/>
          <w:w w:val="105"/>
        </w:rPr>
        <w:t xml:space="preserve"> </w:t>
      </w:r>
      <w:r w:rsidRPr="00EA7458">
        <w:rPr>
          <w:rFonts w:ascii="Calibri" w:hAnsi="Calibri"/>
          <w:color w:val="231F20"/>
          <w:w w:val="105"/>
        </w:rPr>
        <w:t>colleges</w:t>
      </w:r>
      <w:r w:rsidR="00D5537E">
        <w:rPr>
          <w:rFonts w:ascii="Calibri" w:hAnsi="Calibri"/>
          <w:color w:val="231F20"/>
          <w:w w:val="105"/>
        </w:rPr>
        <w:t xml:space="preserve"> and</w:t>
      </w:r>
      <w:r w:rsidRPr="00EA7458">
        <w:rPr>
          <w:rFonts w:ascii="Calibri" w:hAnsi="Calibri"/>
          <w:color w:val="231F20"/>
          <w:spacing w:val="19"/>
          <w:w w:val="105"/>
        </w:rPr>
        <w:t xml:space="preserve"> </w:t>
      </w:r>
      <w:r w:rsidRPr="00EA7458">
        <w:rPr>
          <w:rFonts w:ascii="Calibri" w:hAnsi="Calibri"/>
          <w:color w:val="231F20"/>
          <w:w w:val="105"/>
        </w:rPr>
        <w:t>community-based</w:t>
      </w:r>
      <w:r w:rsidRPr="00EA7458">
        <w:rPr>
          <w:rFonts w:ascii="Calibri" w:hAnsi="Calibri"/>
          <w:color w:val="231F20"/>
          <w:w w:val="106"/>
        </w:rPr>
        <w:t xml:space="preserve"> </w:t>
      </w:r>
      <w:r w:rsidRPr="00EA7458">
        <w:rPr>
          <w:rFonts w:ascii="Calibri" w:hAnsi="Calibri"/>
          <w:color w:val="231F20"/>
          <w:w w:val="105"/>
        </w:rPr>
        <w:t>organizations.</w:t>
      </w:r>
      <w:r w:rsidRPr="00EA7458">
        <w:rPr>
          <w:rFonts w:ascii="Calibri" w:hAnsi="Calibri"/>
          <w:color w:val="231F20"/>
          <w:spacing w:val="17"/>
          <w:w w:val="105"/>
        </w:rPr>
        <w:t xml:space="preserve"> </w:t>
      </w:r>
      <w:r w:rsidR="00E4298F">
        <w:rPr>
          <w:rFonts w:ascii="Calibri" w:hAnsi="Calibri"/>
          <w:color w:val="231F20"/>
          <w:spacing w:val="17"/>
          <w:w w:val="105"/>
        </w:rPr>
        <w:t>While s</w:t>
      </w:r>
      <w:r w:rsidRPr="00EA7458">
        <w:rPr>
          <w:rFonts w:ascii="Calibri" w:hAnsi="Calibri"/>
          <w:color w:val="231F20"/>
          <w:w w:val="105"/>
        </w:rPr>
        <w:t>ome</w:t>
      </w:r>
      <w:r w:rsidRPr="00EA7458">
        <w:rPr>
          <w:rFonts w:ascii="Calibri" w:hAnsi="Calibri"/>
          <w:color w:val="231F20"/>
          <w:spacing w:val="17"/>
          <w:w w:val="105"/>
        </w:rPr>
        <w:t xml:space="preserve"> </w:t>
      </w:r>
      <w:r w:rsidRPr="00EA7458">
        <w:rPr>
          <w:rFonts w:ascii="Calibri" w:hAnsi="Calibri"/>
          <w:color w:val="231F20"/>
          <w:w w:val="105"/>
        </w:rPr>
        <w:t>counties</w:t>
      </w:r>
      <w:r w:rsidRPr="00EA7458">
        <w:rPr>
          <w:rFonts w:ascii="Calibri" w:hAnsi="Calibri"/>
          <w:color w:val="231F20"/>
          <w:spacing w:val="17"/>
          <w:w w:val="105"/>
        </w:rPr>
        <w:t xml:space="preserve"> </w:t>
      </w:r>
      <w:r w:rsidRPr="00EA7458">
        <w:rPr>
          <w:rFonts w:ascii="Calibri" w:hAnsi="Calibri"/>
          <w:color w:val="231F20"/>
          <w:w w:val="105"/>
        </w:rPr>
        <w:t>may</w:t>
      </w:r>
      <w:r w:rsidRPr="00EA7458">
        <w:rPr>
          <w:rFonts w:ascii="Calibri" w:hAnsi="Calibri"/>
          <w:color w:val="231F20"/>
          <w:spacing w:val="17"/>
          <w:w w:val="105"/>
        </w:rPr>
        <w:t xml:space="preserve"> </w:t>
      </w:r>
      <w:r w:rsidRPr="00EA7458">
        <w:rPr>
          <w:rFonts w:ascii="Calibri" w:hAnsi="Calibri"/>
          <w:color w:val="231F20"/>
          <w:w w:val="105"/>
        </w:rPr>
        <w:t>not</w:t>
      </w:r>
      <w:r w:rsidRPr="00EA7458">
        <w:rPr>
          <w:rFonts w:ascii="Calibri" w:hAnsi="Calibri"/>
          <w:color w:val="231F20"/>
          <w:spacing w:val="17"/>
          <w:w w:val="105"/>
        </w:rPr>
        <w:t xml:space="preserve"> </w:t>
      </w:r>
      <w:r w:rsidRPr="00EA7458">
        <w:rPr>
          <w:rFonts w:ascii="Calibri" w:hAnsi="Calibri"/>
          <w:color w:val="231F20"/>
          <w:w w:val="105"/>
        </w:rPr>
        <w:t>offer</w:t>
      </w:r>
      <w:r w:rsidRPr="00EA7458">
        <w:rPr>
          <w:rFonts w:ascii="Calibri" w:hAnsi="Calibri"/>
          <w:color w:val="231F20"/>
          <w:spacing w:val="17"/>
          <w:w w:val="105"/>
        </w:rPr>
        <w:t xml:space="preserve"> </w:t>
      </w:r>
      <w:r w:rsidRPr="00EA7458">
        <w:rPr>
          <w:rFonts w:ascii="Calibri" w:hAnsi="Calibri"/>
          <w:color w:val="231F20"/>
          <w:w w:val="105"/>
        </w:rPr>
        <w:t>adult</w:t>
      </w:r>
      <w:r w:rsidRPr="00EA7458">
        <w:rPr>
          <w:rFonts w:ascii="Calibri" w:hAnsi="Calibri"/>
          <w:color w:val="231F20"/>
          <w:spacing w:val="17"/>
          <w:w w:val="105"/>
        </w:rPr>
        <w:t xml:space="preserve"> </w:t>
      </w:r>
      <w:r w:rsidRPr="00EA7458">
        <w:rPr>
          <w:rFonts w:ascii="Calibri" w:hAnsi="Calibri"/>
          <w:color w:val="231F20"/>
          <w:w w:val="105"/>
        </w:rPr>
        <w:t>education</w:t>
      </w:r>
      <w:r w:rsidRPr="00EA7458">
        <w:rPr>
          <w:rFonts w:ascii="Calibri" w:hAnsi="Calibri"/>
          <w:color w:val="231F20"/>
          <w:spacing w:val="17"/>
          <w:w w:val="105"/>
        </w:rPr>
        <w:t xml:space="preserve"> </w:t>
      </w:r>
      <w:r w:rsidR="00983FA7" w:rsidRPr="00EA7458">
        <w:rPr>
          <w:rFonts w:ascii="Calibri" w:hAnsi="Calibri"/>
          <w:color w:val="231F20"/>
          <w:w w:val="105"/>
        </w:rPr>
        <w:t>programs, colleges</w:t>
      </w:r>
      <w:r w:rsidRPr="00EA7458">
        <w:rPr>
          <w:rFonts w:ascii="Calibri" w:hAnsi="Calibri"/>
          <w:color w:val="231F20"/>
          <w:spacing w:val="17"/>
          <w:w w:val="105"/>
        </w:rPr>
        <w:t xml:space="preserve"> </w:t>
      </w:r>
      <w:r w:rsidRPr="00EA7458">
        <w:rPr>
          <w:rFonts w:ascii="Calibri" w:hAnsi="Calibri"/>
          <w:color w:val="231F20"/>
          <w:w w:val="105"/>
        </w:rPr>
        <w:t>in</w:t>
      </w:r>
      <w:r w:rsidRPr="00EA7458">
        <w:rPr>
          <w:rFonts w:ascii="Calibri" w:hAnsi="Calibri"/>
          <w:color w:val="231F20"/>
          <w:spacing w:val="17"/>
          <w:w w:val="105"/>
        </w:rPr>
        <w:t xml:space="preserve"> </w:t>
      </w:r>
      <w:r w:rsidRPr="00EA7458">
        <w:rPr>
          <w:rFonts w:ascii="Calibri" w:hAnsi="Calibri"/>
          <w:color w:val="231F20"/>
          <w:w w:val="105"/>
        </w:rPr>
        <w:t>those</w:t>
      </w:r>
      <w:r w:rsidRPr="00EA7458">
        <w:rPr>
          <w:rFonts w:ascii="Calibri" w:hAnsi="Calibri"/>
          <w:color w:val="231F20"/>
          <w:spacing w:val="17"/>
          <w:w w:val="105"/>
        </w:rPr>
        <w:t xml:space="preserve"> </w:t>
      </w:r>
      <w:r w:rsidRPr="00EA7458">
        <w:rPr>
          <w:rFonts w:ascii="Calibri" w:hAnsi="Calibri"/>
          <w:color w:val="231F20"/>
          <w:w w:val="105"/>
        </w:rPr>
        <w:t>service</w:t>
      </w:r>
      <w:r w:rsidRPr="00EA7458">
        <w:rPr>
          <w:rFonts w:ascii="Calibri" w:hAnsi="Calibri"/>
          <w:color w:val="231F20"/>
          <w:spacing w:val="-27"/>
          <w:w w:val="105"/>
        </w:rPr>
        <w:t xml:space="preserve"> </w:t>
      </w:r>
      <w:r w:rsidRPr="00EA7458">
        <w:rPr>
          <w:rFonts w:ascii="Calibri" w:hAnsi="Calibri"/>
          <w:color w:val="231F20"/>
          <w:w w:val="105"/>
        </w:rPr>
        <w:t>areas</w:t>
      </w:r>
      <w:r w:rsidRPr="00EA7458">
        <w:rPr>
          <w:rFonts w:ascii="Calibri" w:hAnsi="Calibri"/>
          <w:color w:val="231F20"/>
          <w:spacing w:val="14"/>
          <w:w w:val="105"/>
        </w:rPr>
        <w:t xml:space="preserve"> </w:t>
      </w:r>
      <w:r w:rsidR="00E4298F">
        <w:rPr>
          <w:rFonts w:ascii="Calibri" w:hAnsi="Calibri"/>
          <w:color w:val="231F20"/>
          <w:w w:val="105"/>
        </w:rPr>
        <w:t xml:space="preserve">were </w:t>
      </w:r>
      <w:r w:rsidRPr="00EA7458">
        <w:rPr>
          <w:rFonts w:ascii="Calibri" w:hAnsi="Calibri"/>
          <w:color w:val="231F20"/>
          <w:w w:val="105"/>
        </w:rPr>
        <w:t>awarded</w:t>
      </w:r>
      <w:r w:rsidRPr="00EA7458">
        <w:rPr>
          <w:rFonts w:ascii="Calibri" w:hAnsi="Calibri"/>
          <w:color w:val="231F20"/>
          <w:spacing w:val="14"/>
          <w:w w:val="105"/>
        </w:rPr>
        <w:t xml:space="preserve"> </w:t>
      </w:r>
      <w:r w:rsidRPr="00EA7458">
        <w:rPr>
          <w:rFonts w:ascii="Calibri" w:hAnsi="Calibri"/>
          <w:color w:val="231F20"/>
          <w:w w:val="105"/>
        </w:rPr>
        <w:t>federal</w:t>
      </w:r>
      <w:r w:rsidRPr="00EA7458">
        <w:rPr>
          <w:rFonts w:ascii="Calibri" w:hAnsi="Calibri"/>
          <w:color w:val="231F20"/>
          <w:spacing w:val="14"/>
          <w:w w:val="105"/>
        </w:rPr>
        <w:t xml:space="preserve"> </w:t>
      </w:r>
      <w:r w:rsidRPr="00EA7458">
        <w:rPr>
          <w:rFonts w:ascii="Calibri" w:hAnsi="Calibri"/>
          <w:color w:val="231F20"/>
          <w:w w:val="105"/>
        </w:rPr>
        <w:t>grants</w:t>
      </w:r>
      <w:r w:rsidRPr="00EA7458">
        <w:rPr>
          <w:rFonts w:ascii="Calibri" w:hAnsi="Calibri"/>
          <w:color w:val="231F20"/>
          <w:spacing w:val="14"/>
          <w:w w:val="105"/>
        </w:rPr>
        <w:t xml:space="preserve"> </w:t>
      </w:r>
      <w:r w:rsidRPr="00EA7458">
        <w:rPr>
          <w:rFonts w:ascii="Calibri" w:hAnsi="Calibri"/>
          <w:color w:val="231F20"/>
          <w:w w:val="105"/>
        </w:rPr>
        <w:t>to</w:t>
      </w:r>
      <w:r w:rsidRPr="00EA7458">
        <w:rPr>
          <w:rFonts w:ascii="Calibri" w:hAnsi="Calibri"/>
          <w:color w:val="231F20"/>
          <w:spacing w:val="14"/>
          <w:w w:val="105"/>
        </w:rPr>
        <w:t xml:space="preserve"> </w:t>
      </w:r>
      <w:r w:rsidRPr="00EA7458">
        <w:rPr>
          <w:rFonts w:ascii="Calibri" w:hAnsi="Calibri"/>
          <w:color w:val="231F20"/>
          <w:w w:val="105"/>
        </w:rPr>
        <w:t>provide</w:t>
      </w:r>
      <w:r w:rsidRPr="00EA7458">
        <w:rPr>
          <w:rFonts w:ascii="Calibri" w:hAnsi="Calibri"/>
          <w:color w:val="231F20"/>
          <w:spacing w:val="14"/>
          <w:w w:val="105"/>
        </w:rPr>
        <w:t xml:space="preserve"> </w:t>
      </w:r>
      <w:r w:rsidRPr="00EA7458">
        <w:rPr>
          <w:rFonts w:ascii="Calibri" w:hAnsi="Calibri"/>
          <w:color w:val="231F20"/>
          <w:w w:val="105"/>
        </w:rPr>
        <w:t>adult</w:t>
      </w:r>
      <w:r w:rsidRPr="00EA7458">
        <w:rPr>
          <w:rFonts w:ascii="Calibri" w:hAnsi="Calibri"/>
          <w:color w:val="231F20"/>
          <w:spacing w:val="14"/>
          <w:w w:val="105"/>
        </w:rPr>
        <w:t xml:space="preserve"> </w:t>
      </w:r>
      <w:r w:rsidRPr="00EA7458">
        <w:rPr>
          <w:rFonts w:ascii="Calibri" w:hAnsi="Calibri"/>
          <w:color w:val="231F20"/>
          <w:w w:val="105"/>
        </w:rPr>
        <w:t>education</w:t>
      </w:r>
      <w:r w:rsidRPr="00EA7458">
        <w:rPr>
          <w:rFonts w:ascii="Calibri" w:hAnsi="Calibri"/>
          <w:color w:val="231F20"/>
          <w:spacing w:val="14"/>
          <w:w w:val="105"/>
        </w:rPr>
        <w:t xml:space="preserve"> </w:t>
      </w:r>
      <w:r w:rsidRPr="00EA7458">
        <w:rPr>
          <w:rFonts w:ascii="Calibri" w:hAnsi="Calibri"/>
          <w:color w:val="231F20"/>
          <w:w w:val="105"/>
        </w:rPr>
        <w:t>programs</w:t>
      </w:r>
      <w:r w:rsidRPr="00EA7458">
        <w:rPr>
          <w:rFonts w:ascii="Calibri" w:hAnsi="Calibri"/>
          <w:color w:val="231F20"/>
          <w:spacing w:val="14"/>
          <w:w w:val="105"/>
        </w:rPr>
        <w:t xml:space="preserve"> </w:t>
      </w:r>
      <w:r w:rsidRPr="00EA7458">
        <w:rPr>
          <w:rFonts w:ascii="Calibri" w:hAnsi="Calibri"/>
          <w:color w:val="231F20"/>
          <w:w w:val="105"/>
        </w:rPr>
        <w:t>in</w:t>
      </w:r>
      <w:r w:rsidRPr="00EA7458">
        <w:rPr>
          <w:rFonts w:ascii="Calibri" w:hAnsi="Calibri"/>
          <w:color w:val="231F20"/>
          <w:spacing w:val="14"/>
          <w:w w:val="105"/>
        </w:rPr>
        <w:t xml:space="preserve"> </w:t>
      </w:r>
      <w:r w:rsidRPr="00EA7458">
        <w:rPr>
          <w:rFonts w:ascii="Calibri" w:hAnsi="Calibri"/>
          <w:color w:val="231F20"/>
          <w:w w:val="105"/>
        </w:rPr>
        <w:t>those</w:t>
      </w:r>
      <w:r w:rsidRPr="00EA7458">
        <w:rPr>
          <w:rFonts w:ascii="Calibri" w:hAnsi="Calibri"/>
          <w:color w:val="231F20"/>
          <w:spacing w:val="14"/>
          <w:w w:val="105"/>
        </w:rPr>
        <w:t xml:space="preserve"> </w:t>
      </w:r>
      <w:r w:rsidRPr="00EA7458">
        <w:rPr>
          <w:rFonts w:ascii="Calibri" w:hAnsi="Calibri"/>
          <w:color w:val="231F20"/>
          <w:w w:val="105"/>
        </w:rPr>
        <w:t>areas.</w:t>
      </w:r>
      <w:r w:rsidRPr="00EA7458">
        <w:rPr>
          <w:rFonts w:ascii="Calibri" w:hAnsi="Calibri"/>
          <w:color w:val="231F20"/>
          <w:spacing w:val="14"/>
          <w:w w:val="105"/>
        </w:rPr>
        <w:t xml:space="preserve"> </w:t>
      </w:r>
      <w:r w:rsidRPr="00EA7458">
        <w:rPr>
          <w:rFonts w:ascii="Calibri" w:hAnsi="Calibri"/>
          <w:color w:val="231F20"/>
          <w:w w:val="105"/>
        </w:rPr>
        <w:t>There</w:t>
      </w:r>
      <w:r w:rsidRPr="00EA7458">
        <w:rPr>
          <w:rFonts w:ascii="Calibri" w:hAnsi="Calibri"/>
          <w:color w:val="231F20"/>
          <w:spacing w:val="14"/>
          <w:w w:val="105"/>
        </w:rPr>
        <w:t xml:space="preserve"> </w:t>
      </w:r>
      <w:r w:rsidRPr="00EA7458">
        <w:rPr>
          <w:rFonts w:ascii="Calibri" w:hAnsi="Calibri"/>
          <w:color w:val="231F20"/>
          <w:w w:val="105"/>
        </w:rPr>
        <w:t>are</w:t>
      </w:r>
      <w:r w:rsidRPr="00EA7458">
        <w:rPr>
          <w:rFonts w:ascii="Calibri" w:hAnsi="Calibri"/>
          <w:color w:val="231F20"/>
          <w:spacing w:val="-1"/>
          <w:w w:val="105"/>
        </w:rPr>
        <w:t xml:space="preserve"> </w:t>
      </w:r>
      <w:r w:rsidR="00C75E51">
        <w:rPr>
          <w:rFonts w:ascii="Calibri" w:hAnsi="Calibri"/>
          <w:color w:val="231F20"/>
          <w:spacing w:val="-1"/>
          <w:w w:val="105"/>
        </w:rPr>
        <w:t xml:space="preserve">202 </w:t>
      </w:r>
      <w:r w:rsidRPr="00EA7458">
        <w:rPr>
          <w:rFonts w:ascii="Calibri" w:hAnsi="Calibri"/>
          <w:color w:val="231F20"/>
          <w:w w:val="105"/>
        </w:rPr>
        <w:t>locations</w:t>
      </w:r>
      <w:r w:rsidRPr="00EA7458">
        <w:rPr>
          <w:rFonts w:ascii="Calibri" w:hAnsi="Calibri"/>
          <w:color w:val="231F20"/>
          <w:spacing w:val="15"/>
          <w:w w:val="105"/>
        </w:rPr>
        <w:t xml:space="preserve"> </w:t>
      </w:r>
      <w:r w:rsidRPr="00EA7458">
        <w:rPr>
          <w:rFonts w:ascii="Calibri" w:hAnsi="Calibri"/>
          <w:color w:val="231F20"/>
          <w:w w:val="105"/>
        </w:rPr>
        <w:t>offering</w:t>
      </w:r>
      <w:r w:rsidRPr="00EA7458">
        <w:rPr>
          <w:rFonts w:ascii="Calibri" w:hAnsi="Calibri"/>
          <w:color w:val="231F20"/>
          <w:spacing w:val="15"/>
          <w:w w:val="105"/>
        </w:rPr>
        <w:t xml:space="preserve"> </w:t>
      </w:r>
      <w:r w:rsidRPr="00EA7458">
        <w:rPr>
          <w:rFonts w:ascii="Calibri" w:hAnsi="Calibri"/>
          <w:color w:val="231F20"/>
          <w:w w:val="105"/>
        </w:rPr>
        <w:t>adult</w:t>
      </w:r>
      <w:r w:rsidRPr="00EA7458">
        <w:rPr>
          <w:rFonts w:ascii="Calibri" w:hAnsi="Calibri"/>
          <w:color w:val="231F20"/>
          <w:spacing w:val="15"/>
          <w:w w:val="105"/>
        </w:rPr>
        <w:t xml:space="preserve"> </w:t>
      </w:r>
      <w:r w:rsidRPr="00EA7458">
        <w:rPr>
          <w:rFonts w:ascii="Calibri" w:hAnsi="Calibri"/>
          <w:color w:val="231F20"/>
          <w:w w:val="105"/>
        </w:rPr>
        <w:t>education</w:t>
      </w:r>
      <w:r w:rsidRPr="00EA7458">
        <w:rPr>
          <w:rFonts w:ascii="Calibri" w:hAnsi="Calibri"/>
          <w:color w:val="231F20"/>
          <w:spacing w:val="15"/>
          <w:w w:val="105"/>
        </w:rPr>
        <w:t xml:space="preserve"> </w:t>
      </w:r>
      <w:r w:rsidRPr="00EA7458">
        <w:rPr>
          <w:rFonts w:ascii="Calibri" w:hAnsi="Calibri"/>
          <w:color w:val="231F20"/>
          <w:w w:val="105"/>
        </w:rPr>
        <w:t>services.</w:t>
      </w:r>
      <w:r w:rsidRPr="00EA7458">
        <w:rPr>
          <w:rFonts w:ascii="Calibri" w:hAnsi="Calibri"/>
          <w:color w:val="231F20"/>
          <w:spacing w:val="31"/>
          <w:w w:val="105"/>
        </w:rPr>
        <w:t xml:space="preserve"> </w:t>
      </w:r>
      <w:r w:rsidRPr="00EA7458">
        <w:rPr>
          <w:rFonts w:ascii="Calibri" w:hAnsi="Calibri"/>
          <w:color w:val="231F20"/>
          <w:w w:val="105"/>
        </w:rPr>
        <w:t>This</w:t>
      </w:r>
      <w:r w:rsidRPr="00EA7458">
        <w:rPr>
          <w:rFonts w:ascii="Calibri" w:hAnsi="Calibri"/>
          <w:color w:val="231F20"/>
          <w:spacing w:val="15"/>
          <w:w w:val="105"/>
        </w:rPr>
        <w:t xml:space="preserve"> </w:t>
      </w:r>
      <w:r w:rsidRPr="00EA7458">
        <w:rPr>
          <w:rFonts w:ascii="Calibri" w:hAnsi="Calibri"/>
          <w:color w:val="231F20"/>
          <w:w w:val="105"/>
        </w:rPr>
        <w:t>includes</w:t>
      </w:r>
      <w:r w:rsidRPr="00EA7458">
        <w:rPr>
          <w:rFonts w:ascii="Calibri" w:hAnsi="Calibri"/>
          <w:color w:val="231F20"/>
          <w:spacing w:val="15"/>
          <w:w w:val="105"/>
        </w:rPr>
        <w:t xml:space="preserve"> </w:t>
      </w:r>
      <w:r w:rsidRPr="00EA7458">
        <w:rPr>
          <w:rFonts w:ascii="Calibri" w:hAnsi="Calibri"/>
          <w:color w:val="231F20"/>
          <w:w w:val="105"/>
        </w:rPr>
        <w:t>main</w:t>
      </w:r>
      <w:r w:rsidRPr="00EA7458">
        <w:rPr>
          <w:rFonts w:ascii="Calibri" w:hAnsi="Calibri"/>
          <w:color w:val="231F20"/>
          <w:spacing w:val="15"/>
          <w:w w:val="105"/>
        </w:rPr>
        <w:t xml:space="preserve"> </w:t>
      </w:r>
      <w:r w:rsidRPr="00EA7458">
        <w:rPr>
          <w:rFonts w:ascii="Calibri" w:hAnsi="Calibri"/>
          <w:color w:val="231F20"/>
          <w:w w:val="105"/>
        </w:rPr>
        <w:t>sites</w:t>
      </w:r>
      <w:r w:rsidRPr="00EA7458">
        <w:rPr>
          <w:rFonts w:ascii="Calibri" w:hAnsi="Calibri"/>
          <w:color w:val="231F20"/>
          <w:spacing w:val="15"/>
          <w:w w:val="105"/>
        </w:rPr>
        <w:t xml:space="preserve"> </w:t>
      </w:r>
      <w:r w:rsidRPr="00EA7458">
        <w:rPr>
          <w:rFonts w:ascii="Calibri" w:hAnsi="Calibri"/>
          <w:color w:val="231F20"/>
          <w:w w:val="105"/>
        </w:rPr>
        <w:t>and</w:t>
      </w:r>
      <w:r w:rsidRPr="00EA7458">
        <w:rPr>
          <w:rFonts w:ascii="Calibri" w:hAnsi="Calibri"/>
          <w:color w:val="231F20"/>
          <w:spacing w:val="15"/>
          <w:w w:val="105"/>
        </w:rPr>
        <w:t xml:space="preserve"> </w:t>
      </w:r>
      <w:r w:rsidRPr="00EA7458">
        <w:rPr>
          <w:rFonts w:ascii="Calibri" w:hAnsi="Calibri"/>
          <w:color w:val="231F20"/>
          <w:w w:val="105"/>
        </w:rPr>
        <w:t>satellite</w:t>
      </w:r>
      <w:r w:rsidRPr="00EA7458">
        <w:rPr>
          <w:rFonts w:ascii="Calibri" w:hAnsi="Calibri"/>
          <w:color w:val="231F20"/>
          <w:spacing w:val="15"/>
          <w:w w:val="105"/>
        </w:rPr>
        <w:t xml:space="preserve"> </w:t>
      </w:r>
      <w:r w:rsidRPr="00EA7458">
        <w:rPr>
          <w:rFonts w:ascii="Calibri" w:hAnsi="Calibri"/>
          <w:color w:val="231F20"/>
          <w:w w:val="105"/>
        </w:rPr>
        <w:t>programs</w:t>
      </w:r>
      <w:r w:rsidRPr="00EA7458">
        <w:rPr>
          <w:rFonts w:ascii="Calibri" w:hAnsi="Calibri"/>
          <w:color w:val="231F20"/>
          <w:spacing w:val="15"/>
          <w:w w:val="105"/>
        </w:rPr>
        <w:t xml:space="preserve"> </w:t>
      </w:r>
      <w:r w:rsidRPr="00EA7458">
        <w:rPr>
          <w:rFonts w:ascii="Calibri" w:hAnsi="Calibri"/>
          <w:color w:val="231F20"/>
          <w:w w:val="105"/>
        </w:rPr>
        <w:t>located</w:t>
      </w:r>
      <w:r w:rsidRPr="00EA7458">
        <w:rPr>
          <w:rFonts w:ascii="Calibri" w:hAnsi="Calibri"/>
          <w:color w:val="231F20"/>
          <w:spacing w:val="6"/>
          <w:w w:val="105"/>
        </w:rPr>
        <w:t xml:space="preserve"> </w:t>
      </w:r>
      <w:r w:rsidRPr="00EA7458">
        <w:rPr>
          <w:rFonts w:ascii="Calibri" w:hAnsi="Calibri"/>
          <w:color w:val="231F20"/>
          <w:w w:val="105"/>
        </w:rPr>
        <w:t>throughout the community. Transportation is a barrier for many adults so local programs plan locations</w:t>
      </w:r>
      <w:r w:rsidRPr="00EA7458">
        <w:rPr>
          <w:rFonts w:ascii="Calibri" w:hAnsi="Calibri"/>
          <w:color w:val="231F20"/>
          <w:spacing w:val="11"/>
          <w:w w:val="105"/>
        </w:rPr>
        <w:t xml:space="preserve"> </w:t>
      </w:r>
      <w:r w:rsidRPr="00EA7458">
        <w:rPr>
          <w:rFonts w:ascii="Calibri" w:hAnsi="Calibri"/>
          <w:color w:val="231F20"/>
          <w:w w:val="105"/>
        </w:rPr>
        <w:t>that</w:t>
      </w:r>
      <w:r w:rsidRPr="00EA7458">
        <w:rPr>
          <w:rFonts w:ascii="Calibri" w:hAnsi="Calibri"/>
          <w:color w:val="231F20"/>
          <w:w w:val="99"/>
        </w:rPr>
        <w:t xml:space="preserve"> </w:t>
      </w:r>
      <w:r w:rsidRPr="00EA7458">
        <w:rPr>
          <w:rFonts w:ascii="Calibri" w:hAnsi="Calibri"/>
          <w:color w:val="231F20"/>
          <w:w w:val="105"/>
        </w:rPr>
        <w:t>are accessible for potential adult students.</w:t>
      </w:r>
    </w:p>
    <w:p w14:paraId="7F61A8A8" w14:textId="77777777" w:rsidR="001C024A" w:rsidRPr="00210DD0" w:rsidRDefault="001C024A" w:rsidP="00D63204">
      <w:pPr>
        <w:widowControl w:val="0"/>
        <w:spacing w:before="58" w:after="0" w:line="264" w:lineRule="exact"/>
        <w:ind w:left="107"/>
        <w:rPr>
          <w:rFonts w:ascii="Calibri" w:hAnsi="Calibri"/>
          <w:sz w:val="26"/>
          <w:szCs w:val="26"/>
        </w:rPr>
      </w:pPr>
    </w:p>
    <w:p w14:paraId="712FF0A6" w14:textId="77777777" w:rsidR="00EA7458" w:rsidRPr="00EA7458" w:rsidRDefault="00EA7458" w:rsidP="00D63204">
      <w:pPr>
        <w:widowControl w:val="0"/>
        <w:numPr>
          <w:ilvl w:val="0"/>
          <w:numId w:val="7"/>
        </w:numPr>
        <w:tabs>
          <w:tab w:val="left" w:pos="828"/>
        </w:tabs>
        <w:spacing w:after="0" w:line="240" w:lineRule="auto"/>
        <w:outlineLvl w:val="1"/>
        <w:rPr>
          <w:rFonts w:ascii="Calibri" w:hAnsi="Calibri"/>
          <w:sz w:val="26"/>
          <w:szCs w:val="26"/>
        </w:rPr>
      </w:pPr>
      <w:r w:rsidRPr="00210DD0">
        <w:rPr>
          <w:rFonts w:ascii="Calibri" w:hAnsi="Calibri"/>
          <w:b/>
          <w:bCs/>
          <w:color w:val="295CA3"/>
          <w:w w:val="110"/>
          <w:sz w:val="26"/>
          <w:szCs w:val="26"/>
        </w:rPr>
        <w:lastRenderedPageBreak/>
        <w:t>State Strategic Vision and</w:t>
      </w:r>
      <w:r w:rsidRPr="00210DD0">
        <w:rPr>
          <w:rFonts w:ascii="Calibri" w:hAnsi="Calibri"/>
          <w:b/>
          <w:bCs/>
          <w:color w:val="295CA3"/>
          <w:spacing w:val="4"/>
          <w:w w:val="110"/>
          <w:sz w:val="26"/>
          <w:szCs w:val="26"/>
        </w:rPr>
        <w:t xml:space="preserve"> </w:t>
      </w:r>
      <w:r w:rsidRPr="00210DD0">
        <w:rPr>
          <w:rFonts w:ascii="Calibri" w:hAnsi="Calibri"/>
          <w:b/>
          <w:bCs/>
          <w:color w:val="295CA3"/>
          <w:w w:val="110"/>
          <w:sz w:val="26"/>
          <w:szCs w:val="26"/>
        </w:rPr>
        <w:t>Goals</w:t>
      </w:r>
    </w:p>
    <w:p w14:paraId="572FF2FC" w14:textId="77777777" w:rsidR="00EA7458" w:rsidRPr="00EA7458" w:rsidRDefault="00EA7458" w:rsidP="00D63204">
      <w:pPr>
        <w:widowControl w:val="0"/>
        <w:numPr>
          <w:ilvl w:val="1"/>
          <w:numId w:val="7"/>
        </w:numPr>
        <w:tabs>
          <w:tab w:val="left" w:pos="1278"/>
        </w:tabs>
        <w:spacing w:before="189" w:after="0" w:line="240" w:lineRule="auto"/>
        <w:outlineLvl w:val="2"/>
        <w:rPr>
          <w:rFonts w:ascii="Calibri" w:hAnsi="Calibri"/>
        </w:rPr>
      </w:pPr>
      <w:r w:rsidRPr="00EA7458">
        <w:rPr>
          <w:rFonts w:ascii="Calibri" w:hAnsi="Calibri"/>
          <w:b/>
          <w:bCs/>
          <w:color w:val="295CA3"/>
          <w:w w:val="110"/>
        </w:rPr>
        <w:t>Vision</w:t>
      </w:r>
    </w:p>
    <w:p w14:paraId="24DB6F77" w14:textId="77777777" w:rsidR="00D64EA1" w:rsidRPr="00EA7458" w:rsidRDefault="00D64EA1" w:rsidP="00D63204">
      <w:pPr>
        <w:widowControl w:val="0"/>
        <w:spacing w:before="188" w:after="0" w:line="264" w:lineRule="exact"/>
        <w:ind w:left="107"/>
        <w:rPr>
          <w:rFonts w:ascii="Calibri" w:hAnsi="Calibri"/>
        </w:rPr>
      </w:pPr>
      <w:r w:rsidRPr="00EA7458">
        <w:rPr>
          <w:rFonts w:ascii="Calibri" w:hAnsi="Calibri"/>
          <w:color w:val="231F20"/>
          <w:w w:val="105"/>
        </w:rPr>
        <w:t xml:space="preserve">Through the implementation of WIOA, Florida </w:t>
      </w:r>
      <w:r>
        <w:rPr>
          <w:rFonts w:ascii="Calibri" w:hAnsi="Calibri"/>
          <w:color w:val="231F20"/>
          <w:w w:val="105"/>
        </w:rPr>
        <w:t xml:space="preserve">has </w:t>
      </w:r>
      <w:r w:rsidRPr="00EA7458">
        <w:rPr>
          <w:rFonts w:ascii="Calibri" w:hAnsi="Calibri"/>
          <w:color w:val="231F20"/>
          <w:w w:val="105"/>
        </w:rPr>
        <w:t>a business-led, market-responsive,</w:t>
      </w:r>
      <w:r w:rsidRPr="00EA7458">
        <w:rPr>
          <w:rFonts w:ascii="Calibri" w:hAnsi="Calibri"/>
          <w:color w:val="231F20"/>
          <w:spacing w:val="5"/>
          <w:w w:val="105"/>
        </w:rPr>
        <w:t xml:space="preserve"> </w:t>
      </w:r>
      <w:r w:rsidRPr="00EA7458">
        <w:rPr>
          <w:rFonts w:ascii="Calibri" w:hAnsi="Calibri"/>
          <w:color w:val="231F20"/>
          <w:w w:val="105"/>
        </w:rPr>
        <w:t>results-oriented and</w:t>
      </w:r>
      <w:r w:rsidRPr="00EA7458">
        <w:rPr>
          <w:rFonts w:ascii="Calibri" w:hAnsi="Calibri"/>
          <w:color w:val="231F20"/>
          <w:spacing w:val="-7"/>
          <w:w w:val="105"/>
        </w:rPr>
        <w:t xml:space="preserve"> </w:t>
      </w:r>
      <w:r w:rsidRPr="00EA7458">
        <w:rPr>
          <w:rFonts w:ascii="Calibri" w:hAnsi="Calibri"/>
          <w:color w:val="231F20"/>
          <w:w w:val="105"/>
        </w:rPr>
        <w:t>integrated</w:t>
      </w:r>
      <w:r w:rsidRPr="00EA7458">
        <w:rPr>
          <w:rFonts w:ascii="Calibri" w:hAnsi="Calibri"/>
          <w:color w:val="231F20"/>
          <w:spacing w:val="-7"/>
          <w:w w:val="105"/>
        </w:rPr>
        <w:t xml:space="preserve"> </w:t>
      </w:r>
      <w:r w:rsidRPr="00EA7458">
        <w:rPr>
          <w:rFonts w:ascii="Calibri" w:hAnsi="Calibri"/>
          <w:color w:val="231F20"/>
          <w:w w:val="105"/>
        </w:rPr>
        <w:t>workforce</w:t>
      </w:r>
      <w:r w:rsidRPr="00EA7458">
        <w:rPr>
          <w:rFonts w:ascii="Calibri" w:hAnsi="Calibri"/>
          <w:color w:val="231F20"/>
          <w:spacing w:val="-7"/>
          <w:w w:val="105"/>
        </w:rPr>
        <w:t xml:space="preserve"> </w:t>
      </w:r>
      <w:r w:rsidRPr="00EA7458">
        <w:rPr>
          <w:rFonts w:ascii="Calibri" w:hAnsi="Calibri"/>
          <w:color w:val="231F20"/>
          <w:w w:val="105"/>
        </w:rPr>
        <w:t>development</w:t>
      </w:r>
      <w:r w:rsidRPr="00EA7458">
        <w:rPr>
          <w:rFonts w:ascii="Calibri" w:hAnsi="Calibri"/>
          <w:color w:val="231F20"/>
          <w:spacing w:val="-7"/>
          <w:w w:val="105"/>
        </w:rPr>
        <w:t xml:space="preserve"> </w:t>
      </w:r>
      <w:r w:rsidRPr="00EA7458">
        <w:rPr>
          <w:rFonts w:ascii="Calibri" w:hAnsi="Calibri"/>
          <w:color w:val="231F20"/>
          <w:w w:val="105"/>
        </w:rPr>
        <w:t>system.</w:t>
      </w:r>
      <w:r w:rsidRPr="00EA7458">
        <w:rPr>
          <w:rFonts w:ascii="Calibri" w:hAnsi="Calibri"/>
          <w:color w:val="231F20"/>
          <w:spacing w:val="-7"/>
          <w:w w:val="105"/>
        </w:rPr>
        <w:t xml:space="preserve"> </w:t>
      </w:r>
      <w:r w:rsidRPr="00EA7458">
        <w:rPr>
          <w:rFonts w:ascii="Calibri" w:hAnsi="Calibri"/>
          <w:color w:val="231F20"/>
          <w:w w:val="105"/>
        </w:rPr>
        <w:t>The</w:t>
      </w:r>
      <w:r w:rsidRPr="00EA7458">
        <w:rPr>
          <w:rFonts w:ascii="Calibri" w:hAnsi="Calibri"/>
          <w:color w:val="231F20"/>
          <w:spacing w:val="-7"/>
          <w:w w:val="105"/>
        </w:rPr>
        <w:t xml:space="preserve"> </w:t>
      </w:r>
      <w:r w:rsidRPr="00EA7458">
        <w:rPr>
          <w:rFonts w:ascii="Calibri" w:hAnsi="Calibri"/>
          <w:color w:val="231F20"/>
          <w:w w:val="105"/>
        </w:rPr>
        <w:t>enhanced</w:t>
      </w:r>
      <w:r w:rsidRPr="00EA7458">
        <w:rPr>
          <w:rFonts w:ascii="Calibri" w:hAnsi="Calibri"/>
          <w:color w:val="231F20"/>
          <w:spacing w:val="-7"/>
          <w:w w:val="105"/>
        </w:rPr>
        <w:t xml:space="preserve"> </w:t>
      </w:r>
      <w:r w:rsidRPr="00EA7458">
        <w:rPr>
          <w:rFonts w:ascii="Calibri" w:hAnsi="Calibri"/>
          <w:color w:val="231F20"/>
          <w:w w:val="105"/>
        </w:rPr>
        <w:t>system</w:t>
      </w:r>
      <w:r w:rsidRPr="00EA7458">
        <w:rPr>
          <w:rFonts w:ascii="Calibri" w:hAnsi="Calibri"/>
          <w:color w:val="231F20"/>
          <w:spacing w:val="-7"/>
          <w:w w:val="105"/>
        </w:rPr>
        <w:t xml:space="preserve"> </w:t>
      </w:r>
      <w:r w:rsidRPr="00EA7458">
        <w:rPr>
          <w:rFonts w:ascii="Calibri" w:hAnsi="Calibri"/>
          <w:color w:val="231F20"/>
          <w:w w:val="105"/>
        </w:rPr>
        <w:t>foster</w:t>
      </w:r>
      <w:r>
        <w:rPr>
          <w:rFonts w:ascii="Calibri" w:hAnsi="Calibri"/>
          <w:color w:val="231F20"/>
          <w:w w:val="105"/>
        </w:rPr>
        <w:t>s</w:t>
      </w:r>
      <w:r w:rsidRPr="00EA7458">
        <w:rPr>
          <w:rFonts w:ascii="Calibri" w:hAnsi="Calibri"/>
          <w:color w:val="231F20"/>
          <w:spacing w:val="-7"/>
          <w:w w:val="105"/>
        </w:rPr>
        <w:t xml:space="preserve"> </w:t>
      </w:r>
      <w:r w:rsidRPr="00EA7458">
        <w:rPr>
          <w:rFonts w:ascii="Calibri" w:hAnsi="Calibri"/>
          <w:color w:val="231F20"/>
          <w:w w:val="105"/>
        </w:rPr>
        <w:t>customer</w:t>
      </w:r>
      <w:r w:rsidRPr="00EA7458">
        <w:rPr>
          <w:rFonts w:ascii="Calibri" w:hAnsi="Calibri"/>
          <w:color w:val="231F20"/>
          <w:spacing w:val="-7"/>
          <w:w w:val="105"/>
        </w:rPr>
        <w:t xml:space="preserve"> </w:t>
      </w:r>
      <w:r w:rsidRPr="00EA7458">
        <w:rPr>
          <w:rFonts w:ascii="Calibri" w:hAnsi="Calibri"/>
          <w:color w:val="231F20"/>
          <w:w w:val="105"/>
        </w:rPr>
        <w:t>service</w:t>
      </w:r>
      <w:r w:rsidRPr="00EA7458">
        <w:rPr>
          <w:rFonts w:ascii="Calibri" w:hAnsi="Calibri"/>
          <w:color w:val="231F20"/>
          <w:spacing w:val="-7"/>
          <w:w w:val="105"/>
        </w:rPr>
        <w:t xml:space="preserve"> </w:t>
      </w:r>
      <w:r w:rsidRPr="00EA7458">
        <w:rPr>
          <w:rFonts w:ascii="Calibri" w:hAnsi="Calibri"/>
          <w:color w:val="231F20"/>
          <w:w w:val="105"/>
        </w:rPr>
        <w:t>excellence,</w:t>
      </w:r>
      <w:r>
        <w:rPr>
          <w:rFonts w:ascii="Calibri" w:hAnsi="Calibri"/>
          <w:color w:val="231F20"/>
          <w:w w:val="105"/>
        </w:rPr>
        <w:t xml:space="preserve"> </w:t>
      </w:r>
      <w:r w:rsidRPr="00EA7458">
        <w:rPr>
          <w:rFonts w:ascii="Calibri" w:hAnsi="Calibri"/>
          <w:color w:val="231F20"/>
          <w:w w:val="105"/>
        </w:rPr>
        <w:t>seek</w:t>
      </w:r>
      <w:r>
        <w:rPr>
          <w:rFonts w:ascii="Calibri" w:hAnsi="Calibri"/>
          <w:color w:val="231F20"/>
          <w:w w:val="105"/>
        </w:rPr>
        <w:t>s</w:t>
      </w:r>
      <w:r w:rsidRPr="00EA7458">
        <w:rPr>
          <w:rFonts w:ascii="Calibri" w:hAnsi="Calibri"/>
          <w:color w:val="231F20"/>
          <w:w w:val="105"/>
        </w:rPr>
        <w:t xml:space="preserve"> continuous improvement and demonstrate</w:t>
      </w:r>
      <w:r>
        <w:rPr>
          <w:rFonts w:ascii="Calibri" w:hAnsi="Calibri"/>
          <w:color w:val="231F20"/>
          <w:w w:val="105"/>
        </w:rPr>
        <w:t>s</w:t>
      </w:r>
      <w:r w:rsidRPr="00EA7458">
        <w:rPr>
          <w:rFonts w:ascii="Calibri" w:hAnsi="Calibri"/>
          <w:color w:val="231F20"/>
          <w:w w:val="105"/>
        </w:rPr>
        <w:t xml:space="preserve"> value by enhancing employment opportunities for</w:t>
      </w:r>
      <w:r w:rsidRPr="00EA7458">
        <w:rPr>
          <w:rFonts w:ascii="Calibri" w:hAnsi="Calibri"/>
          <w:color w:val="231F20"/>
          <w:spacing w:val="29"/>
          <w:w w:val="105"/>
        </w:rPr>
        <w:t xml:space="preserve"> </w:t>
      </w:r>
      <w:r w:rsidRPr="00EA7458">
        <w:rPr>
          <w:rFonts w:ascii="Calibri" w:hAnsi="Calibri"/>
          <w:color w:val="231F20"/>
          <w:w w:val="105"/>
        </w:rPr>
        <w:t>all</w:t>
      </w:r>
      <w:r w:rsidRPr="00EA7458">
        <w:rPr>
          <w:rFonts w:ascii="Calibri" w:hAnsi="Calibri"/>
          <w:color w:val="231F20"/>
          <w:w w:val="104"/>
        </w:rPr>
        <w:t xml:space="preserve"> </w:t>
      </w:r>
      <w:r w:rsidRPr="00EA7458">
        <w:rPr>
          <w:rFonts w:ascii="Calibri" w:hAnsi="Calibri"/>
          <w:color w:val="231F20"/>
          <w:w w:val="105"/>
        </w:rPr>
        <w:t>individuals.</w:t>
      </w:r>
      <w:r w:rsidRPr="00EA7458">
        <w:rPr>
          <w:rFonts w:ascii="Calibri" w:hAnsi="Calibri"/>
          <w:color w:val="231F20"/>
          <w:spacing w:val="38"/>
          <w:w w:val="105"/>
        </w:rPr>
        <w:t xml:space="preserve"> </w:t>
      </w:r>
      <w:r>
        <w:rPr>
          <w:rFonts w:ascii="Calibri" w:hAnsi="Calibri"/>
          <w:color w:val="231F20"/>
          <w:w w:val="105"/>
        </w:rPr>
        <w:t>F</w:t>
      </w:r>
      <w:r w:rsidRPr="00EA7458">
        <w:rPr>
          <w:rFonts w:ascii="Calibri" w:hAnsi="Calibri"/>
          <w:color w:val="231F20"/>
          <w:w w:val="105"/>
        </w:rPr>
        <w:t>ocused</w:t>
      </w:r>
      <w:r w:rsidRPr="00EA7458">
        <w:rPr>
          <w:rFonts w:ascii="Calibri" w:hAnsi="Calibri"/>
          <w:color w:val="231F20"/>
          <w:spacing w:val="38"/>
          <w:w w:val="105"/>
        </w:rPr>
        <w:t xml:space="preserve"> </w:t>
      </w:r>
      <w:r w:rsidRPr="00EA7458">
        <w:rPr>
          <w:rFonts w:ascii="Calibri" w:hAnsi="Calibri"/>
          <w:color w:val="231F20"/>
          <w:w w:val="105"/>
        </w:rPr>
        <w:t>and</w:t>
      </w:r>
      <w:r w:rsidRPr="00EA7458">
        <w:rPr>
          <w:rFonts w:ascii="Calibri" w:hAnsi="Calibri"/>
          <w:color w:val="231F20"/>
          <w:spacing w:val="38"/>
          <w:w w:val="105"/>
        </w:rPr>
        <w:t xml:space="preserve"> </w:t>
      </w:r>
      <w:r w:rsidRPr="00EA7458">
        <w:rPr>
          <w:rFonts w:ascii="Calibri" w:hAnsi="Calibri"/>
          <w:color w:val="231F20"/>
          <w:w w:val="105"/>
        </w:rPr>
        <w:t>deliberate</w:t>
      </w:r>
      <w:r w:rsidRPr="00EA7458">
        <w:rPr>
          <w:rFonts w:ascii="Calibri" w:hAnsi="Calibri"/>
          <w:color w:val="231F20"/>
          <w:spacing w:val="38"/>
          <w:w w:val="105"/>
        </w:rPr>
        <w:t xml:space="preserve"> </w:t>
      </w:r>
      <w:r w:rsidRPr="00EA7458">
        <w:rPr>
          <w:rFonts w:ascii="Calibri" w:hAnsi="Calibri"/>
          <w:color w:val="231F20"/>
          <w:w w:val="105"/>
        </w:rPr>
        <w:t>collaboration</w:t>
      </w:r>
      <w:r w:rsidRPr="00EA7458">
        <w:rPr>
          <w:rFonts w:ascii="Calibri" w:hAnsi="Calibri"/>
          <w:color w:val="231F20"/>
          <w:spacing w:val="38"/>
          <w:w w:val="105"/>
        </w:rPr>
        <w:t xml:space="preserve"> </w:t>
      </w:r>
      <w:r>
        <w:rPr>
          <w:rFonts w:ascii="Calibri" w:hAnsi="Calibri"/>
          <w:color w:val="231F20"/>
          <w:w w:val="105"/>
        </w:rPr>
        <w:t xml:space="preserve">between </w:t>
      </w:r>
      <w:r w:rsidRPr="00EA7458">
        <w:rPr>
          <w:rFonts w:ascii="Calibri" w:hAnsi="Calibri"/>
          <w:color w:val="231F20"/>
          <w:w w:val="105"/>
        </w:rPr>
        <w:t>education,</w:t>
      </w:r>
      <w:r w:rsidRPr="00EA7458">
        <w:rPr>
          <w:rFonts w:ascii="Calibri" w:hAnsi="Calibri"/>
          <w:color w:val="231F20"/>
          <w:w w:val="106"/>
        </w:rPr>
        <w:t xml:space="preserve"> </w:t>
      </w:r>
      <w:r w:rsidRPr="00EA7458">
        <w:rPr>
          <w:rFonts w:ascii="Calibri" w:hAnsi="Calibri"/>
          <w:color w:val="231F20"/>
          <w:w w:val="105"/>
        </w:rPr>
        <w:t>workforce</w:t>
      </w:r>
      <w:r w:rsidRPr="00EA7458">
        <w:rPr>
          <w:rFonts w:ascii="Calibri" w:hAnsi="Calibri"/>
          <w:color w:val="231F20"/>
          <w:spacing w:val="29"/>
          <w:w w:val="105"/>
        </w:rPr>
        <w:t xml:space="preserve"> </w:t>
      </w:r>
      <w:r w:rsidRPr="00EA7458">
        <w:rPr>
          <w:rFonts w:ascii="Calibri" w:hAnsi="Calibri"/>
          <w:color w:val="231F20"/>
          <w:w w:val="105"/>
        </w:rPr>
        <w:t>and</w:t>
      </w:r>
      <w:r w:rsidRPr="00EA7458">
        <w:rPr>
          <w:rFonts w:ascii="Calibri" w:hAnsi="Calibri"/>
          <w:color w:val="231F20"/>
          <w:spacing w:val="29"/>
          <w:w w:val="105"/>
        </w:rPr>
        <w:t xml:space="preserve"> </w:t>
      </w:r>
      <w:r w:rsidRPr="00EA7458">
        <w:rPr>
          <w:rFonts w:ascii="Calibri" w:hAnsi="Calibri"/>
          <w:color w:val="231F20"/>
          <w:w w:val="105"/>
        </w:rPr>
        <w:t>economic</w:t>
      </w:r>
      <w:r w:rsidRPr="00EA7458">
        <w:rPr>
          <w:rFonts w:ascii="Calibri" w:hAnsi="Calibri"/>
          <w:color w:val="231F20"/>
          <w:spacing w:val="29"/>
          <w:w w:val="105"/>
        </w:rPr>
        <w:t xml:space="preserve"> </w:t>
      </w:r>
      <w:r w:rsidRPr="00EA7458">
        <w:rPr>
          <w:rFonts w:ascii="Calibri" w:hAnsi="Calibri"/>
          <w:color w:val="231F20"/>
          <w:w w:val="105"/>
        </w:rPr>
        <w:t>development</w:t>
      </w:r>
      <w:r w:rsidRPr="00EA7458">
        <w:rPr>
          <w:rFonts w:ascii="Calibri" w:hAnsi="Calibri"/>
          <w:color w:val="231F20"/>
          <w:spacing w:val="29"/>
          <w:w w:val="105"/>
        </w:rPr>
        <w:t xml:space="preserve"> </w:t>
      </w:r>
      <w:r w:rsidRPr="00EA7458">
        <w:rPr>
          <w:rFonts w:ascii="Calibri" w:hAnsi="Calibri"/>
          <w:color w:val="231F20"/>
          <w:w w:val="105"/>
        </w:rPr>
        <w:t>networks</w:t>
      </w:r>
      <w:r w:rsidRPr="00EA7458">
        <w:rPr>
          <w:rFonts w:ascii="Calibri" w:hAnsi="Calibri"/>
          <w:color w:val="231F20"/>
          <w:spacing w:val="29"/>
          <w:w w:val="105"/>
        </w:rPr>
        <w:t xml:space="preserve"> </w:t>
      </w:r>
      <w:r w:rsidRPr="00EA7458">
        <w:rPr>
          <w:rFonts w:ascii="Calibri" w:hAnsi="Calibri"/>
          <w:color w:val="231F20"/>
          <w:w w:val="105"/>
        </w:rPr>
        <w:t>maximize</w:t>
      </w:r>
      <w:r>
        <w:rPr>
          <w:rFonts w:ascii="Calibri" w:hAnsi="Calibri"/>
          <w:color w:val="231F20"/>
          <w:w w:val="105"/>
        </w:rPr>
        <w:t>s</w:t>
      </w:r>
      <w:r w:rsidRPr="00EA7458">
        <w:rPr>
          <w:rFonts w:ascii="Calibri" w:hAnsi="Calibri"/>
          <w:color w:val="231F20"/>
          <w:spacing w:val="29"/>
          <w:w w:val="105"/>
        </w:rPr>
        <w:t xml:space="preserve"> </w:t>
      </w:r>
      <w:r w:rsidRPr="00EA7458">
        <w:rPr>
          <w:rFonts w:ascii="Calibri" w:hAnsi="Calibri"/>
          <w:color w:val="231F20"/>
          <w:w w:val="105"/>
        </w:rPr>
        <w:t>the</w:t>
      </w:r>
      <w:r w:rsidRPr="00EA7458">
        <w:rPr>
          <w:rFonts w:ascii="Calibri" w:hAnsi="Calibri"/>
          <w:color w:val="231F20"/>
          <w:spacing w:val="29"/>
          <w:w w:val="105"/>
        </w:rPr>
        <w:t xml:space="preserve"> </w:t>
      </w:r>
      <w:r w:rsidRPr="00EA7458">
        <w:rPr>
          <w:rFonts w:ascii="Calibri" w:hAnsi="Calibri"/>
          <w:color w:val="231F20"/>
          <w:w w:val="105"/>
        </w:rPr>
        <w:t>competitiveness</w:t>
      </w:r>
      <w:r w:rsidRPr="00EA7458">
        <w:rPr>
          <w:rFonts w:ascii="Calibri" w:hAnsi="Calibri"/>
          <w:color w:val="231F20"/>
          <w:spacing w:val="29"/>
          <w:w w:val="105"/>
        </w:rPr>
        <w:t xml:space="preserve"> </w:t>
      </w:r>
      <w:r w:rsidRPr="00EA7458">
        <w:rPr>
          <w:rFonts w:ascii="Calibri" w:hAnsi="Calibri"/>
          <w:color w:val="231F20"/>
          <w:w w:val="105"/>
        </w:rPr>
        <w:t>of</w:t>
      </w:r>
      <w:r w:rsidRPr="00EA7458">
        <w:rPr>
          <w:rFonts w:ascii="Calibri" w:hAnsi="Calibri"/>
          <w:color w:val="231F20"/>
          <w:spacing w:val="29"/>
          <w:w w:val="105"/>
        </w:rPr>
        <w:t xml:space="preserve"> </w:t>
      </w:r>
      <w:r w:rsidRPr="00EA7458">
        <w:rPr>
          <w:rFonts w:ascii="Calibri" w:hAnsi="Calibri"/>
          <w:color w:val="231F20"/>
          <w:w w:val="105"/>
        </w:rPr>
        <w:t>businesses</w:t>
      </w:r>
      <w:r w:rsidRPr="00EA7458">
        <w:rPr>
          <w:rFonts w:ascii="Calibri" w:hAnsi="Calibri"/>
          <w:color w:val="231F20"/>
          <w:w w:val="112"/>
        </w:rPr>
        <w:t xml:space="preserve"> </w:t>
      </w:r>
      <w:r w:rsidRPr="00EA7458">
        <w:rPr>
          <w:rFonts w:ascii="Calibri" w:hAnsi="Calibri"/>
          <w:color w:val="231F20"/>
          <w:w w:val="105"/>
        </w:rPr>
        <w:t xml:space="preserve">and the productivity of </w:t>
      </w:r>
      <w:r>
        <w:rPr>
          <w:rFonts w:ascii="Calibri" w:hAnsi="Calibri"/>
          <w:color w:val="231F20"/>
          <w:w w:val="105"/>
        </w:rPr>
        <w:t xml:space="preserve">the state’s </w:t>
      </w:r>
      <w:r w:rsidRPr="00EA7458">
        <w:rPr>
          <w:rFonts w:ascii="Calibri" w:hAnsi="Calibri"/>
          <w:color w:val="231F20"/>
          <w:w w:val="105"/>
        </w:rPr>
        <w:t>workforce</w:t>
      </w:r>
      <w:r>
        <w:rPr>
          <w:rFonts w:ascii="Calibri" w:hAnsi="Calibri"/>
          <w:color w:val="231F20"/>
          <w:w w:val="105"/>
        </w:rPr>
        <w:t xml:space="preserve">. This increases opportunities and </w:t>
      </w:r>
      <w:r w:rsidRPr="00EA7458">
        <w:rPr>
          <w:rFonts w:ascii="Calibri" w:hAnsi="Calibri"/>
          <w:color w:val="231F20"/>
          <w:w w:val="105"/>
        </w:rPr>
        <w:t>economic prosperity.</w:t>
      </w:r>
    </w:p>
    <w:p w14:paraId="114FFF86" w14:textId="77777777" w:rsidR="00D64EA1" w:rsidRPr="00EA7458" w:rsidRDefault="00D64EA1" w:rsidP="00D63204">
      <w:pPr>
        <w:widowControl w:val="0"/>
        <w:spacing w:before="11" w:after="0" w:line="240" w:lineRule="auto"/>
        <w:ind w:left="107"/>
        <w:rPr>
          <w:rFonts w:ascii="Calibri" w:hAnsi="Calibri" w:cs="Calibri"/>
          <w:sz w:val="16"/>
          <w:szCs w:val="16"/>
        </w:rPr>
      </w:pPr>
    </w:p>
    <w:p w14:paraId="450A829C" w14:textId="77777777" w:rsidR="00D64EA1" w:rsidRPr="00EA7458" w:rsidRDefault="00D64EA1" w:rsidP="00D63204">
      <w:pPr>
        <w:widowControl w:val="0"/>
        <w:numPr>
          <w:ilvl w:val="1"/>
          <w:numId w:val="7"/>
        </w:numPr>
        <w:tabs>
          <w:tab w:val="left" w:pos="1278"/>
        </w:tabs>
        <w:spacing w:after="0" w:line="240" w:lineRule="auto"/>
        <w:outlineLvl w:val="2"/>
        <w:rPr>
          <w:rFonts w:ascii="Calibri" w:hAnsi="Calibri"/>
        </w:rPr>
      </w:pPr>
      <w:r w:rsidRPr="00EA7458">
        <w:rPr>
          <w:rFonts w:ascii="Calibri" w:hAnsi="Calibri"/>
          <w:b/>
          <w:bCs/>
          <w:color w:val="295CA3"/>
          <w:w w:val="110"/>
        </w:rPr>
        <w:t>Goals</w:t>
      </w:r>
    </w:p>
    <w:p w14:paraId="3F4166B9" w14:textId="77777777" w:rsidR="00D64EA1" w:rsidRPr="00EA7458" w:rsidRDefault="00D64EA1" w:rsidP="00D63204">
      <w:pPr>
        <w:widowControl w:val="0"/>
        <w:spacing w:before="190" w:after="0" w:line="240" w:lineRule="auto"/>
        <w:ind w:left="107"/>
        <w:rPr>
          <w:rFonts w:ascii="Calibri" w:hAnsi="Calibri" w:cs="Calibri"/>
        </w:rPr>
      </w:pPr>
      <w:r w:rsidRPr="00EA7458">
        <w:rPr>
          <w:rFonts w:ascii="Calibri" w:hAnsi="Calibri" w:cs="Calibri"/>
          <w:b/>
          <w:bCs/>
          <w:color w:val="231F20"/>
          <w:w w:val="105"/>
        </w:rPr>
        <w:t>Florida’s strategic vision for WIOA implementation will be realized by accomplishing these three</w:t>
      </w:r>
      <w:r>
        <w:rPr>
          <w:rFonts w:ascii="Calibri" w:hAnsi="Calibri" w:cs="Calibri"/>
          <w:b/>
          <w:bCs/>
          <w:color w:val="231F20"/>
          <w:w w:val="105"/>
        </w:rPr>
        <w:t xml:space="preserve"> </w:t>
      </w:r>
      <w:r w:rsidRPr="00EA7458">
        <w:rPr>
          <w:rFonts w:ascii="Calibri" w:hAnsi="Calibri" w:cs="Calibri"/>
          <w:b/>
          <w:bCs/>
          <w:color w:val="231F20"/>
          <w:w w:val="105"/>
        </w:rPr>
        <w:t>goals:</w:t>
      </w:r>
    </w:p>
    <w:p w14:paraId="4B0EAF0F" w14:textId="77777777" w:rsidR="00D64EA1" w:rsidRDefault="00D64EA1" w:rsidP="00D63204">
      <w:pPr>
        <w:widowControl w:val="0"/>
        <w:tabs>
          <w:tab w:val="left" w:pos="668"/>
        </w:tabs>
        <w:spacing w:after="0" w:line="264" w:lineRule="exact"/>
        <w:ind w:left="107"/>
        <w:rPr>
          <w:rFonts w:ascii="Calibri" w:hAnsi="Calibri"/>
          <w:color w:val="231F20"/>
          <w:w w:val="105"/>
        </w:rPr>
      </w:pPr>
    </w:p>
    <w:p w14:paraId="0D5EA2DA" w14:textId="0891F815" w:rsidR="00D64EA1" w:rsidRPr="001C024A" w:rsidRDefault="00D64EA1" w:rsidP="00D63204">
      <w:pPr>
        <w:pStyle w:val="ListParagraph"/>
        <w:widowControl w:val="0"/>
        <w:numPr>
          <w:ilvl w:val="0"/>
          <w:numId w:val="13"/>
        </w:numPr>
        <w:spacing w:after="0" w:line="264" w:lineRule="exact"/>
        <w:rPr>
          <w:rFonts w:ascii="Calibri" w:hAnsi="Calibri"/>
          <w:color w:val="231F20"/>
          <w:w w:val="105"/>
        </w:rPr>
      </w:pPr>
      <w:r w:rsidRPr="001C024A">
        <w:rPr>
          <w:rFonts w:ascii="Calibri" w:hAnsi="Calibri"/>
          <w:color w:val="231F20"/>
          <w:w w:val="105"/>
        </w:rPr>
        <w:t>Enhance</w:t>
      </w:r>
      <w:r w:rsidRPr="001C024A">
        <w:rPr>
          <w:rFonts w:ascii="Calibri" w:hAnsi="Calibri"/>
          <w:color w:val="231F20"/>
          <w:spacing w:val="23"/>
          <w:w w:val="105"/>
        </w:rPr>
        <w:t xml:space="preserve"> </w:t>
      </w:r>
      <w:r w:rsidRPr="001C024A">
        <w:rPr>
          <w:rFonts w:ascii="Calibri" w:hAnsi="Calibri"/>
          <w:color w:val="231F20"/>
          <w:w w:val="105"/>
        </w:rPr>
        <w:t>alignment</w:t>
      </w:r>
      <w:r w:rsidRPr="001C024A">
        <w:rPr>
          <w:rFonts w:ascii="Calibri" w:hAnsi="Calibri"/>
          <w:color w:val="231F20"/>
          <w:spacing w:val="23"/>
          <w:w w:val="105"/>
        </w:rPr>
        <w:t xml:space="preserve"> </w:t>
      </w:r>
      <w:r w:rsidRPr="001C024A">
        <w:rPr>
          <w:rFonts w:ascii="Calibri" w:hAnsi="Calibri"/>
          <w:color w:val="231F20"/>
          <w:w w:val="105"/>
        </w:rPr>
        <w:t>and</w:t>
      </w:r>
      <w:r w:rsidRPr="001C024A">
        <w:rPr>
          <w:rFonts w:ascii="Calibri" w:hAnsi="Calibri"/>
          <w:color w:val="231F20"/>
          <w:spacing w:val="23"/>
          <w:w w:val="105"/>
        </w:rPr>
        <w:t xml:space="preserve"> </w:t>
      </w:r>
      <w:r w:rsidRPr="001C024A">
        <w:rPr>
          <w:rFonts w:ascii="Calibri" w:hAnsi="Calibri"/>
          <w:color w:val="231F20"/>
          <w:w w:val="105"/>
        </w:rPr>
        <w:t>market</w:t>
      </w:r>
      <w:r w:rsidRPr="001C024A">
        <w:rPr>
          <w:rFonts w:ascii="Calibri" w:hAnsi="Calibri"/>
          <w:color w:val="231F20"/>
          <w:spacing w:val="23"/>
          <w:w w:val="105"/>
        </w:rPr>
        <w:t xml:space="preserve"> </w:t>
      </w:r>
      <w:r w:rsidRPr="001C024A">
        <w:rPr>
          <w:rFonts w:ascii="Calibri" w:hAnsi="Calibri"/>
          <w:color w:val="231F20"/>
          <w:w w:val="105"/>
        </w:rPr>
        <w:t>responsiveness</w:t>
      </w:r>
      <w:r w:rsidRPr="001C024A">
        <w:rPr>
          <w:rFonts w:ascii="Calibri" w:hAnsi="Calibri"/>
          <w:color w:val="231F20"/>
          <w:spacing w:val="23"/>
          <w:w w:val="105"/>
        </w:rPr>
        <w:t xml:space="preserve"> </w:t>
      </w:r>
      <w:r w:rsidRPr="001C024A">
        <w:rPr>
          <w:rFonts w:ascii="Calibri" w:hAnsi="Calibri"/>
          <w:color w:val="231F20"/>
          <w:w w:val="105"/>
        </w:rPr>
        <w:t>of</w:t>
      </w:r>
      <w:r w:rsidRPr="001C024A">
        <w:rPr>
          <w:rFonts w:ascii="Calibri" w:hAnsi="Calibri"/>
          <w:color w:val="231F20"/>
          <w:spacing w:val="23"/>
          <w:w w:val="105"/>
        </w:rPr>
        <w:t xml:space="preserve"> </w:t>
      </w:r>
      <w:r w:rsidRPr="001C024A">
        <w:rPr>
          <w:rFonts w:ascii="Calibri" w:hAnsi="Calibri"/>
          <w:color w:val="231F20"/>
          <w:w w:val="105"/>
        </w:rPr>
        <w:t>workforce,</w:t>
      </w:r>
      <w:r w:rsidRPr="001C024A">
        <w:rPr>
          <w:rFonts w:ascii="Calibri" w:hAnsi="Calibri"/>
          <w:color w:val="231F20"/>
          <w:spacing w:val="23"/>
          <w:w w:val="105"/>
        </w:rPr>
        <w:t xml:space="preserve"> </w:t>
      </w:r>
      <w:r w:rsidRPr="001C024A">
        <w:rPr>
          <w:rFonts w:ascii="Calibri" w:hAnsi="Calibri"/>
          <w:color w:val="231F20"/>
          <w:w w:val="105"/>
        </w:rPr>
        <w:t>education</w:t>
      </w:r>
      <w:r w:rsidRPr="001C024A">
        <w:rPr>
          <w:rFonts w:ascii="Calibri" w:hAnsi="Calibri"/>
          <w:color w:val="231F20"/>
          <w:spacing w:val="23"/>
          <w:w w:val="105"/>
        </w:rPr>
        <w:t xml:space="preserve"> </w:t>
      </w:r>
      <w:r w:rsidRPr="001C024A">
        <w:rPr>
          <w:rFonts w:ascii="Calibri" w:hAnsi="Calibri"/>
          <w:color w:val="231F20"/>
          <w:w w:val="105"/>
        </w:rPr>
        <w:t>and</w:t>
      </w:r>
      <w:r w:rsidRPr="001C024A">
        <w:rPr>
          <w:rFonts w:ascii="Calibri" w:hAnsi="Calibri"/>
          <w:color w:val="231F20"/>
          <w:spacing w:val="23"/>
          <w:w w:val="105"/>
        </w:rPr>
        <w:t xml:space="preserve"> </w:t>
      </w:r>
      <w:r w:rsidRPr="001C024A">
        <w:rPr>
          <w:rFonts w:ascii="Calibri" w:hAnsi="Calibri"/>
          <w:color w:val="231F20"/>
          <w:w w:val="105"/>
        </w:rPr>
        <w:t>economic</w:t>
      </w:r>
      <w:r w:rsidRPr="001C024A">
        <w:rPr>
          <w:rFonts w:ascii="Calibri" w:hAnsi="Calibri"/>
          <w:color w:val="231F20"/>
          <w:spacing w:val="23"/>
          <w:w w:val="105"/>
        </w:rPr>
        <w:t xml:space="preserve"> </w:t>
      </w:r>
      <w:r w:rsidRPr="001C024A">
        <w:rPr>
          <w:rFonts w:ascii="Calibri" w:hAnsi="Calibri"/>
          <w:color w:val="231F20"/>
          <w:w w:val="105"/>
        </w:rPr>
        <w:t>development</w:t>
      </w:r>
      <w:r w:rsidRPr="001C024A">
        <w:rPr>
          <w:rFonts w:ascii="Calibri" w:hAnsi="Calibri"/>
          <w:color w:val="231F20"/>
          <w:w w:val="106"/>
        </w:rPr>
        <w:t xml:space="preserve"> </w:t>
      </w:r>
      <w:r w:rsidRPr="001C024A">
        <w:rPr>
          <w:rFonts w:ascii="Calibri" w:hAnsi="Calibri"/>
          <w:color w:val="231F20"/>
          <w:w w:val="105"/>
        </w:rPr>
        <w:t>systems</w:t>
      </w:r>
      <w:r w:rsidRPr="001C024A">
        <w:rPr>
          <w:rFonts w:ascii="Calibri" w:hAnsi="Calibri"/>
          <w:color w:val="231F20"/>
          <w:spacing w:val="16"/>
          <w:w w:val="105"/>
        </w:rPr>
        <w:t xml:space="preserve"> </w:t>
      </w:r>
      <w:r w:rsidRPr="001C024A">
        <w:rPr>
          <w:rFonts w:ascii="Calibri" w:hAnsi="Calibri"/>
          <w:color w:val="231F20"/>
          <w:w w:val="105"/>
        </w:rPr>
        <w:t>through</w:t>
      </w:r>
      <w:r w:rsidRPr="001C024A">
        <w:rPr>
          <w:rFonts w:ascii="Calibri" w:hAnsi="Calibri"/>
          <w:color w:val="231F20"/>
          <w:spacing w:val="16"/>
          <w:w w:val="105"/>
        </w:rPr>
        <w:t xml:space="preserve"> </w:t>
      </w:r>
      <w:r w:rsidRPr="001C024A">
        <w:rPr>
          <w:rFonts w:ascii="Calibri" w:hAnsi="Calibri"/>
          <w:color w:val="231F20"/>
          <w:w w:val="105"/>
        </w:rPr>
        <w:t>improved</w:t>
      </w:r>
      <w:r w:rsidRPr="001C024A">
        <w:rPr>
          <w:rFonts w:ascii="Calibri" w:hAnsi="Calibri"/>
          <w:color w:val="231F20"/>
          <w:spacing w:val="16"/>
          <w:w w:val="105"/>
        </w:rPr>
        <w:t xml:space="preserve"> </w:t>
      </w:r>
      <w:r w:rsidRPr="001C024A">
        <w:rPr>
          <w:rFonts w:ascii="Calibri" w:hAnsi="Calibri"/>
          <w:color w:val="231F20"/>
          <w:w w:val="105"/>
        </w:rPr>
        <w:t>service</w:t>
      </w:r>
      <w:r w:rsidRPr="001C024A">
        <w:rPr>
          <w:rFonts w:ascii="Calibri" w:hAnsi="Calibri"/>
          <w:color w:val="231F20"/>
          <w:spacing w:val="16"/>
          <w:w w:val="105"/>
        </w:rPr>
        <w:t xml:space="preserve"> </w:t>
      </w:r>
      <w:r w:rsidRPr="001C024A">
        <w:rPr>
          <w:rFonts w:ascii="Calibri" w:hAnsi="Calibri"/>
          <w:color w:val="231F20"/>
          <w:w w:val="105"/>
        </w:rPr>
        <w:t>integration</w:t>
      </w:r>
      <w:r w:rsidRPr="001C024A">
        <w:rPr>
          <w:rFonts w:ascii="Calibri" w:hAnsi="Calibri"/>
          <w:color w:val="231F20"/>
          <w:spacing w:val="16"/>
          <w:w w:val="105"/>
        </w:rPr>
        <w:t xml:space="preserve"> </w:t>
      </w:r>
      <w:r w:rsidRPr="001C024A">
        <w:rPr>
          <w:rFonts w:ascii="Calibri" w:hAnsi="Calibri"/>
          <w:color w:val="231F20"/>
          <w:w w:val="105"/>
        </w:rPr>
        <w:t>that</w:t>
      </w:r>
      <w:r w:rsidRPr="001C024A">
        <w:rPr>
          <w:rFonts w:ascii="Calibri" w:hAnsi="Calibri"/>
          <w:color w:val="231F20"/>
          <w:spacing w:val="16"/>
          <w:w w:val="105"/>
        </w:rPr>
        <w:t xml:space="preserve"> </w:t>
      </w:r>
      <w:r w:rsidRPr="001C024A">
        <w:rPr>
          <w:rFonts w:ascii="Calibri" w:hAnsi="Calibri"/>
          <w:color w:val="231F20"/>
          <w:w w:val="105"/>
        </w:rPr>
        <w:t>provides</w:t>
      </w:r>
      <w:r w:rsidRPr="001C024A">
        <w:rPr>
          <w:rFonts w:ascii="Calibri" w:hAnsi="Calibri"/>
          <w:color w:val="231F20"/>
          <w:spacing w:val="16"/>
          <w:w w:val="105"/>
        </w:rPr>
        <w:t xml:space="preserve"> </w:t>
      </w:r>
      <w:r w:rsidRPr="001C024A">
        <w:rPr>
          <w:rFonts w:ascii="Calibri" w:hAnsi="Calibri"/>
          <w:color w:val="231F20"/>
          <w:w w:val="105"/>
        </w:rPr>
        <w:t>businesses</w:t>
      </w:r>
      <w:r w:rsidRPr="001C024A">
        <w:rPr>
          <w:rFonts w:ascii="Calibri" w:hAnsi="Calibri"/>
          <w:color w:val="231F20"/>
          <w:spacing w:val="16"/>
          <w:w w:val="105"/>
        </w:rPr>
        <w:t xml:space="preserve"> </w:t>
      </w:r>
      <w:r w:rsidRPr="001C024A">
        <w:rPr>
          <w:rFonts w:ascii="Calibri" w:hAnsi="Calibri"/>
          <w:color w:val="231F20"/>
          <w:w w:val="105"/>
        </w:rPr>
        <w:t>with</w:t>
      </w:r>
      <w:r w:rsidRPr="001C024A">
        <w:rPr>
          <w:rFonts w:ascii="Calibri" w:hAnsi="Calibri"/>
          <w:color w:val="231F20"/>
          <w:spacing w:val="16"/>
          <w:w w:val="105"/>
        </w:rPr>
        <w:t xml:space="preserve"> </w:t>
      </w:r>
      <w:r w:rsidRPr="001C024A">
        <w:rPr>
          <w:rFonts w:ascii="Calibri" w:hAnsi="Calibri"/>
          <w:color w:val="231F20"/>
          <w:w w:val="105"/>
        </w:rPr>
        <w:t>skilled,</w:t>
      </w:r>
      <w:r w:rsidRPr="001C024A">
        <w:rPr>
          <w:rFonts w:ascii="Calibri" w:hAnsi="Calibri"/>
          <w:color w:val="231F20"/>
          <w:spacing w:val="16"/>
          <w:w w:val="105"/>
        </w:rPr>
        <w:t xml:space="preserve"> </w:t>
      </w:r>
      <w:r w:rsidRPr="001C024A">
        <w:rPr>
          <w:rFonts w:ascii="Calibri" w:hAnsi="Calibri"/>
          <w:color w:val="231F20"/>
          <w:w w:val="105"/>
        </w:rPr>
        <w:t>productive</w:t>
      </w:r>
      <w:r w:rsidR="00D5537E">
        <w:rPr>
          <w:rFonts w:ascii="Calibri" w:hAnsi="Calibri"/>
          <w:color w:val="231F20"/>
          <w:w w:val="105"/>
        </w:rPr>
        <w:t xml:space="preserve"> and</w:t>
      </w:r>
      <w:r w:rsidRPr="001C024A">
        <w:rPr>
          <w:rFonts w:ascii="Calibri" w:hAnsi="Calibri"/>
          <w:color w:val="231F20"/>
          <w:spacing w:val="-39"/>
          <w:w w:val="105"/>
        </w:rPr>
        <w:t xml:space="preserve"> </w:t>
      </w:r>
      <w:r w:rsidRPr="001C024A">
        <w:rPr>
          <w:rFonts w:ascii="Calibri" w:hAnsi="Calibri"/>
          <w:color w:val="231F20"/>
          <w:w w:val="105"/>
        </w:rPr>
        <w:t>competitive</w:t>
      </w:r>
      <w:r w:rsidRPr="001C024A">
        <w:rPr>
          <w:rFonts w:ascii="Calibri" w:hAnsi="Calibri"/>
          <w:color w:val="231F20"/>
          <w:spacing w:val="6"/>
          <w:w w:val="105"/>
        </w:rPr>
        <w:t xml:space="preserve"> </w:t>
      </w:r>
      <w:r w:rsidRPr="001C024A">
        <w:rPr>
          <w:rFonts w:ascii="Calibri" w:hAnsi="Calibri"/>
          <w:color w:val="231F20"/>
          <w:w w:val="105"/>
        </w:rPr>
        <w:t>talent</w:t>
      </w:r>
      <w:r w:rsidRPr="001C024A">
        <w:rPr>
          <w:rFonts w:ascii="Calibri" w:hAnsi="Calibri"/>
          <w:color w:val="231F20"/>
          <w:spacing w:val="6"/>
          <w:w w:val="105"/>
        </w:rPr>
        <w:t xml:space="preserve"> </w:t>
      </w:r>
      <w:r w:rsidRPr="001C024A">
        <w:rPr>
          <w:rFonts w:ascii="Calibri" w:hAnsi="Calibri"/>
          <w:color w:val="231F20"/>
          <w:w w:val="105"/>
        </w:rPr>
        <w:t>and</w:t>
      </w:r>
      <w:r w:rsidRPr="001C024A">
        <w:rPr>
          <w:rFonts w:ascii="Calibri" w:hAnsi="Calibri"/>
          <w:color w:val="231F20"/>
          <w:spacing w:val="6"/>
          <w:w w:val="105"/>
        </w:rPr>
        <w:t xml:space="preserve"> </w:t>
      </w:r>
      <w:r w:rsidRPr="001C024A">
        <w:rPr>
          <w:rFonts w:ascii="Calibri" w:hAnsi="Calibri"/>
          <w:color w:val="231F20"/>
          <w:w w:val="105"/>
        </w:rPr>
        <w:t>Floridians</w:t>
      </w:r>
      <w:r w:rsidRPr="001C024A">
        <w:rPr>
          <w:rFonts w:ascii="Calibri" w:hAnsi="Calibri"/>
          <w:color w:val="231F20"/>
          <w:spacing w:val="6"/>
          <w:w w:val="105"/>
        </w:rPr>
        <w:t xml:space="preserve"> </w:t>
      </w:r>
      <w:r w:rsidRPr="001C024A">
        <w:rPr>
          <w:rFonts w:ascii="Calibri" w:hAnsi="Calibri"/>
          <w:color w:val="231F20"/>
          <w:w w:val="105"/>
        </w:rPr>
        <w:t>with</w:t>
      </w:r>
      <w:r w:rsidRPr="001C024A">
        <w:rPr>
          <w:rFonts w:ascii="Calibri" w:hAnsi="Calibri"/>
          <w:color w:val="231F20"/>
          <w:spacing w:val="6"/>
          <w:w w:val="105"/>
        </w:rPr>
        <w:t xml:space="preserve"> </w:t>
      </w:r>
      <w:r w:rsidRPr="001C024A">
        <w:rPr>
          <w:rFonts w:ascii="Calibri" w:hAnsi="Calibri"/>
          <w:color w:val="231F20"/>
          <w:w w:val="105"/>
        </w:rPr>
        <w:t>employment,</w:t>
      </w:r>
      <w:r w:rsidRPr="001C024A">
        <w:rPr>
          <w:rFonts w:ascii="Calibri" w:hAnsi="Calibri"/>
          <w:color w:val="231F20"/>
          <w:spacing w:val="6"/>
          <w:w w:val="105"/>
        </w:rPr>
        <w:t xml:space="preserve"> </w:t>
      </w:r>
      <w:r w:rsidRPr="001C024A">
        <w:rPr>
          <w:rFonts w:ascii="Calibri" w:hAnsi="Calibri"/>
          <w:color w:val="231F20"/>
          <w:w w:val="105"/>
        </w:rPr>
        <w:t>education,</w:t>
      </w:r>
      <w:r w:rsidRPr="001C024A">
        <w:rPr>
          <w:rFonts w:ascii="Calibri" w:hAnsi="Calibri"/>
          <w:color w:val="231F20"/>
          <w:spacing w:val="6"/>
          <w:w w:val="105"/>
        </w:rPr>
        <w:t xml:space="preserve"> </w:t>
      </w:r>
      <w:r w:rsidRPr="001C024A">
        <w:rPr>
          <w:rFonts w:ascii="Calibri" w:hAnsi="Calibri"/>
          <w:color w:val="231F20"/>
          <w:w w:val="105"/>
        </w:rPr>
        <w:t>training</w:t>
      </w:r>
      <w:r w:rsidR="00D5537E">
        <w:rPr>
          <w:rFonts w:ascii="Calibri" w:hAnsi="Calibri"/>
          <w:color w:val="231F20"/>
          <w:w w:val="105"/>
        </w:rPr>
        <w:t xml:space="preserve"> and</w:t>
      </w:r>
      <w:r w:rsidRPr="001C024A">
        <w:rPr>
          <w:rFonts w:ascii="Calibri" w:hAnsi="Calibri"/>
          <w:color w:val="231F20"/>
          <w:spacing w:val="6"/>
          <w:w w:val="105"/>
        </w:rPr>
        <w:t xml:space="preserve"> </w:t>
      </w:r>
      <w:r w:rsidRPr="001C024A">
        <w:rPr>
          <w:rFonts w:ascii="Calibri" w:hAnsi="Calibri"/>
          <w:color w:val="231F20"/>
          <w:w w:val="105"/>
        </w:rPr>
        <w:t>support</w:t>
      </w:r>
      <w:r w:rsidRPr="001C024A">
        <w:rPr>
          <w:rFonts w:ascii="Calibri" w:hAnsi="Calibri"/>
          <w:color w:val="231F20"/>
          <w:spacing w:val="6"/>
          <w:w w:val="105"/>
        </w:rPr>
        <w:t xml:space="preserve"> </w:t>
      </w:r>
      <w:r w:rsidRPr="001C024A">
        <w:rPr>
          <w:rFonts w:ascii="Calibri" w:hAnsi="Calibri"/>
          <w:color w:val="231F20"/>
          <w:w w:val="105"/>
        </w:rPr>
        <w:t>services</w:t>
      </w:r>
      <w:r w:rsidRPr="001C024A">
        <w:rPr>
          <w:rFonts w:ascii="Calibri" w:hAnsi="Calibri"/>
          <w:color w:val="231F20"/>
          <w:spacing w:val="6"/>
          <w:w w:val="105"/>
        </w:rPr>
        <w:t xml:space="preserve"> </w:t>
      </w:r>
      <w:r w:rsidRPr="001C024A">
        <w:rPr>
          <w:rFonts w:ascii="Calibri" w:hAnsi="Calibri"/>
          <w:color w:val="231F20"/>
          <w:w w:val="105"/>
        </w:rPr>
        <w:t>that</w:t>
      </w:r>
      <w:r w:rsidRPr="001C024A">
        <w:rPr>
          <w:rFonts w:ascii="Calibri" w:hAnsi="Calibri"/>
          <w:color w:val="231F20"/>
          <w:spacing w:val="-41"/>
          <w:w w:val="105"/>
        </w:rPr>
        <w:t xml:space="preserve"> </w:t>
      </w:r>
      <w:r w:rsidRPr="001C024A">
        <w:rPr>
          <w:rFonts w:ascii="Calibri" w:hAnsi="Calibri"/>
          <w:color w:val="231F20"/>
          <w:w w:val="105"/>
        </w:rPr>
        <w:t>reduce</w:t>
      </w:r>
      <w:r w:rsidRPr="001C024A">
        <w:rPr>
          <w:rFonts w:ascii="Calibri" w:hAnsi="Calibri"/>
          <w:color w:val="231F20"/>
          <w:spacing w:val="22"/>
          <w:w w:val="105"/>
        </w:rPr>
        <w:t xml:space="preserve"> </w:t>
      </w:r>
      <w:r w:rsidRPr="001C024A">
        <w:rPr>
          <w:rFonts w:ascii="Calibri" w:hAnsi="Calibri"/>
          <w:color w:val="231F20"/>
          <w:w w:val="105"/>
        </w:rPr>
        <w:t>welfare</w:t>
      </w:r>
      <w:r w:rsidRPr="001C024A">
        <w:rPr>
          <w:rFonts w:ascii="Calibri" w:hAnsi="Calibri"/>
          <w:color w:val="231F20"/>
          <w:spacing w:val="22"/>
          <w:w w:val="105"/>
        </w:rPr>
        <w:t xml:space="preserve"> </w:t>
      </w:r>
      <w:r w:rsidRPr="001C024A">
        <w:rPr>
          <w:rFonts w:ascii="Calibri" w:hAnsi="Calibri"/>
          <w:color w:val="231F20"/>
          <w:w w:val="105"/>
        </w:rPr>
        <w:t>dependence</w:t>
      </w:r>
      <w:r w:rsidRPr="001C024A">
        <w:rPr>
          <w:rFonts w:ascii="Calibri" w:hAnsi="Calibri"/>
          <w:color w:val="231F20"/>
          <w:spacing w:val="22"/>
          <w:w w:val="105"/>
        </w:rPr>
        <w:t xml:space="preserve"> </w:t>
      </w:r>
      <w:r w:rsidRPr="001C024A">
        <w:rPr>
          <w:rFonts w:ascii="Calibri" w:hAnsi="Calibri"/>
          <w:color w:val="231F20"/>
          <w:w w:val="105"/>
        </w:rPr>
        <w:t>and</w:t>
      </w:r>
      <w:r w:rsidRPr="001C024A">
        <w:rPr>
          <w:rFonts w:ascii="Calibri" w:hAnsi="Calibri"/>
          <w:color w:val="231F20"/>
          <w:spacing w:val="22"/>
          <w:w w:val="105"/>
        </w:rPr>
        <w:t xml:space="preserve"> </w:t>
      </w:r>
      <w:r w:rsidRPr="001C024A">
        <w:rPr>
          <w:rFonts w:ascii="Calibri" w:hAnsi="Calibri"/>
          <w:color w:val="231F20"/>
          <w:w w:val="105"/>
        </w:rPr>
        <w:t>increase</w:t>
      </w:r>
      <w:r w:rsidRPr="001C024A">
        <w:rPr>
          <w:rFonts w:ascii="Calibri" w:hAnsi="Calibri"/>
          <w:color w:val="231F20"/>
          <w:spacing w:val="22"/>
          <w:w w:val="105"/>
        </w:rPr>
        <w:t xml:space="preserve"> </w:t>
      </w:r>
      <w:r w:rsidRPr="001C024A">
        <w:rPr>
          <w:rFonts w:ascii="Calibri" w:hAnsi="Calibri"/>
          <w:color w:val="231F20"/>
          <w:w w:val="105"/>
        </w:rPr>
        <w:t>opportunities</w:t>
      </w:r>
      <w:r w:rsidRPr="001C024A">
        <w:rPr>
          <w:rFonts w:ascii="Calibri" w:hAnsi="Calibri"/>
          <w:color w:val="231F20"/>
          <w:spacing w:val="22"/>
          <w:w w:val="105"/>
        </w:rPr>
        <w:t xml:space="preserve"> </w:t>
      </w:r>
      <w:r w:rsidRPr="001C024A">
        <w:rPr>
          <w:rFonts w:ascii="Calibri" w:hAnsi="Calibri"/>
          <w:color w:val="231F20"/>
          <w:w w:val="105"/>
        </w:rPr>
        <w:t>for</w:t>
      </w:r>
      <w:r w:rsidRPr="001C024A">
        <w:rPr>
          <w:rFonts w:ascii="Calibri" w:hAnsi="Calibri"/>
          <w:color w:val="231F20"/>
          <w:spacing w:val="22"/>
          <w:w w:val="105"/>
        </w:rPr>
        <w:t xml:space="preserve"> </w:t>
      </w:r>
      <w:r w:rsidRPr="001C024A">
        <w:rPr>
          <w:rFonts w:ascii="Calibri" w:hAnsi="Calibri"/>
          <w:color w:val="231F20"/>
          <w:w w:val="105"/>
        </w:rPr>
        <w:t>self-sufficiency,</w:t>
      </w:r>
      <w:r w:rsidRPr="001C024A">
        <w:rPr>
          <w:rFonts w:ascii="Calibri" w:hAnsi="Calibri"/>
          <w:color w:val="231F20"/>
          <w:spacing w:val="22"/>
          <w:w w:val="105"/>
        </w:rPr>
        <w:t xml:space="preserve"> </w:t>
      </w:r>
      <w:r w:rsidRPr="001C024A">
        <w:rPr>
          <w:rFonts w:ascii="Calibri" w:hAnsi="Calibri"/>
          <w:color w:val="231F20"/>
          <w:w w:val="105"/>
        </w:rPr>
        <w:t>high-skill</w:t>
      </w:r>
      <w:r w:rsidRPr="001C024A">
        <w:rPr>
          <w:rFonts w:ascii="Calibri" w:hAnsi="Calibri"/>
          <w:color w:val="231F20"/>
          <w:spacing w:val="22"/>
          <w:w w:val="105"/>
        </w:rPr>
        <w:t xml:space="preserve"> </w:t>
      </w:r>
      <w:r w:rsidRPr="001C024A">
        <w:rPr>
          <w:rFonts w:ascii="Calibri" w:hAnsi="Calibri"/>
          <w:color w:val="231F20"/>
          <w:w w:val="105"/>
        </w:rPr>
        <w:t>and</w:t>
      </w:r>
      <w:r w:rsidRPr="001C024A">
        <w:rPr>
          <w:rFonts w:ascii="Calibri" w:hAnsi="Calibri"/>
          <w:color w:val="231F20"/>
          <w:spacing w:val="22"/>
          <w:w w:val="105"/>
        </w:rPr>
        <w:t xml:space="preserve"> </w:t>
      </w:r>
      <w:r w:rsidRPr="001C024A">
        <w:rPr>
          <w:rFonts w:ascii="Calibri" w:hAnsi="Calibri"/>
          <w:color w:val="231F20"/>
          <w:w w:val="105"/>
        </w:rPr>
        <w:t>high-wage</w:t>
      </w:r>
      <w:r w:rsidRPr="001C024A">
        <w:rPr>
          <w:rFonts w:ascii="Calibri" w:hAnsi="Calibri"/>
          <w:color w:val="231F20"/>
          <w:spacing w:val="-36"/>
          <w:w w:val="105"/>
        </w:rPr>
        <w:t xml:space="preserve"> </w:t>
      </w:r>
      <w:r w:rsidRPr="001C024A">
        <w:rPr>
          <w:rFonts w:ascii="Calibri" w:hAnsi="Calibri"/>
          <w:color w:val="231F20"/>
          <w:w w:val="105"/>
        </w:rPr>
        <w:t>careers and lifelong</w:t>
      </w:r>
      <w:r w:rsidRPr="001C024A">
        <w:rPr>
          <w:rFonts w:ascii="Calibri" w:hAnsi="Calibri"/>
          <w:color w:val="231F20"/>
          <w:spacing w:val="15"/>
          <w:w w:val="105"/>
        </w:rPr>
        <w:t xml:space="preserve"> </w:t>
      </w:r>
      <w:r w:rsidRPr="001C024A">
        <w:rPr>
          <w:rFonts w:ascii="Calibri" w:hAnsi="Calibri"/>
          <w:color w:val="231F20"/>
          <w:w w:val="105"/>
        </w:rPr>
        <w:t>learning.</w:t>
      </w:r>
    </w:p>
    <w:p w14:paraId="029A34DB" w14:textId="77777777" w:rsidR="00D64EA1" w:rsidRDefault="00D64EA1" w:rsidP="00D63204">
      <w:pPr>
        <w:widowControl w:val="0"/>
        <w:spacing w:after="0" w:line="264" w:lineRule="exact"/>
        <w:ind w:left="107"/>
        <w:rPr>
          <w:rFonts w:ascii="Calibri" w:hAnsi="Calibri"/>
          <w:color w:val="231F20"/>
          <w:w w:val="105"/>
        </w:rPr>
      </w:pPr>
    </w:p>
    <w:p w14:paraId="70EA56C0" w14:textId="1F65D068" w:rsidR="00D64EA1" w:rsidRPr="001C024A" w:rsidRDefault="00D64EA1" w:rsidP="00D63204">
      <w:pPr>
        <w:pStyle w:val="ListParagraph"/>
        <w:widowControl w:val="0"/>
        <w:numPr>
          <w:ilvl w:val="0"/>
          <w:numId w:val="13"/>
        </w:numPr>
        <w:spacing w:after="0" w:line="264" w:lineRule="exact"/>
        <w:rPr>
          <w:rFonts w:ascii="Calibri" w:hAnsi="Calibri"/>
          <w:color w:val="231F20"/>
          <w:w w:val="105"/>
        </w:rPr>
      </w:pPr>
      <w:r w:rsidRPr="001C024A">
        <w:rPr>
          <w:rFonts w:ascii="Calibri" w:hAnsi="Calibri"/>
          <w:color w:val="231F20"/>
          <w:w w:val="105"/>
        </w:rPr>
        <w:t>Promote accountable, transparent</w:t>
      </w:r>
      <w:r w:rsidR="00D5537E">
        <w:rPr>
          <w:rFonts w:ascii="Calibri" w:hAnsi="Calibri"/>
          <w:color w:val="231F20"/>
          <w:w w:val="105"/>
        </w:rPr>
        <w:t xml:space="preserve"> and</w:t>
      </w:r>
      <w:r w:rsidRPr="001C024A">
        <w:rPr>
          <w:rFonts w:ascii="Calibri" w:hAnsi="Calibri"/>
          <w:color w:val="231F20"/>
          <w:w w:val="105"/>
        </w:rPr>
        <w:t xml:space="preserve"> data-driven workforce investment through performance</w:t>
      </w:r>
      <w:r w:rsidRPr="001C024A">
        <w:rPr>
          <w:rFonts w:ascii="Calibri" w:hAnsi="Calibri"/>
          <w:color w:val="231F20"/>
          <w:spacing w:val="29"/>
          <w:w w:val="105"/>
        </w:rPr>
        <w:t xml:space="preserve"> </w:t>
      </w:r>
      <w:r w:rsidRPr="001C024A">
        <w:rPr>
          <w:rFonts w:ascii="Calibri" w:hAnsi="Calibri"/>
          <w:color w:val="231F20"/>
          <w:w w:val="105"/>
        </w:rPr>
        <w:t>measures,</w:t>
      </w:r>
      <w:r w:rsidRPr="001C024A">
        <w:rPr>
          <w:rFonts w:ascii="Calibri" w:hAnsi="Calibri"/>
          <w:color w:val="231F20"/>
          <w:spacing w:val="12"/>
          <w:w w:val="105"/>
        </w:rPr>
        <w:t xml:space="preserve"> </w:t>
      </w:r>
      <w:r w:rsidRPr="001C024A">
        <w:rPr>
          <w:rFonts w:ascii="Calibri" w:hAnsi="Calibri"/>
          <w:color w:val="231F20"/>
          <w:w w:val="105"/>
        </w:rPr>
        <w:t>monitoring</w:t>
      </w:r>
      <w:r w:rsidRPr="001C024A">
        <w:rPr>
          <w:rFonts w:ascii="Calibri" w:hAnsi="Calibri"/>
          <w:color w:val="231F20"/>
          <w:spacing w:val="12"/>
          <w:w w:val="105"/>
        </w:rPr>
        <w:t xml:space="preserve"> </w:t>
      </w:r>
      <w:r w:rsidRPr="001C024A">
        <w:rPr>
          <w:rFonts w:ascii="Calibri" w:hAnsi="Calibri"/>
          <w:color w:val="231F20"/>
          <w:w w:val="105"/>
        </w:rPr>
        <w:t>and</w:t>
      </w:r>
      <w:r w:rsidRPr="001C024A">
        <w:rPr>
          <w:rFonts w:ascii="Calibri" w:hAnsi="Calibri"/>
          <w:color w:val="231F20"/>
          <w:spacing w:val="12"/>
          <w:w w:val="105"/>
        </w:rPr>
        <w:t xml:space="preserve"> </w:t>
      </w:r>
      <w:r w:rsidRPr="001C024A">
        <w:rPr>
          <w:rFonts w:ascii="Calibri" w:hAnsi="Calibri"/>
          <w:color w:val="231F20"/>
          <w:w w:val="105"/>
        </w:rPr>
        <w:t>evaluation</w:t>
      </w:r>
      <w:r w:rsidRPr="001C024A">
        <w:rPr>
          <w:rFonts w:ascii="Calibri" w:hAnsi="Calibri"/>
          <w:color w:val="231F20"/>
          <w:spacing w:val="12"/>
          <w:w w:val="105"/>
        </w:rPr>
        <w:t xml:space="preserve"> </w:t>
      </w:r>
      <w:r w:rsidRPr="001C024A">
        <w:rPr>
          <w:rFonts w:ascii="Calibri" w:hAnsi="Calibri"/>
          <w:color w:val="231F20"/>
          <w:w w:val="105"/>
        </w:rPr>
        <w:t>that</w:t>
      </w:r>
      <w:r w:rsidRPr="001C024A">
        <w:rPr>
          <w:rFonts w:ascii="Calibri" w:hAnsi="Calibri"/>
          <w:color w:val="231F20"/>
          <w:spacing w:val="12"/>
          <w:w w:val="105"/>
        </w:rPr>
        <w:t xml:space="preserve"> </w:t>
      </w:r>
      <w:r w:rsidRPr="001C024A">
        <w:rPr>
          <w:rFonts w:ascii="Calibri" w:hAnsi="Calibri"/>
          <w:color w:val="231F20"/>
          <w:w w:val="105"/>
        </w:rPr>
        <w:t>inform</w:t>
      </w:r>
      <w:r w:rsidRPr="001C024A">
        <w:rPr>
          <w:rFonts w:ascii="Calibri" w:hAnsi="Calibri"/>
          <w:color w:val="231F20"/>
          <w:spacing w:val="12"/>
          <w:w w:val="105"/>
        </w:rPr>
        <w:t xml:space="preserve"> </w:t>
      </w:r>
      <w:r w:rsidRPr="001C024A">
        <w:rPr>
          <w:rFonts w:ascii="Calibri" w:hAnsi="Calibri"/>
          <w:color w:val="231F20"/>
          <w:w w:val="105"/>
        </w:rPr>
        <w:t>strategies,</w:t>
      </w:r>
      <w:r w:rsidRPr="001C024A">
        <w:rPr>
          <w:rFonts w:ascii="Calibri" w:hAnsi="Calibri"/>
          <w:color w:val="231F20"/>
          <w:spacing w:val="12"/>
          <w:w w:val="105"/>
        </w:rPr>
        <w:t xml:space="preserve"> </w:t>
      </w:r>
      <w:r w:rsidRPr="001C024A">
        <w:rPr>
          <w:rFonts w:ascii="Calibri" w:hAnsi="Calibri"/>
          <w:color w:val="231F20"/>
          <w:w w:val="105"/>
        </w:rPr>
        <w:t>drive</w:t>
      </w:r>
      <w:r w:rsidRPr="001C024A">
        <w:rPr>
          <w:rFonts w:ascii="Calibri" w:hAnsi="Calibri"/>
          <w:color w:val="231F20"/>
          <w:spacing w:val="12"/>
          <w:w w:val="105"/>
        </w:rPr>
        <w:t xml:space="preserve"> </w:t>
      </w:r>
      <w:r w:rsidRPr="001C024A">
        <w:rPr>
          <w:rFonts w:ascii="Calibri" w:hAnsi="Calibri"/>
          <w:color w:val="231F20"/>
          <w:w w:val="105"/>
        </w:rPr>
        <w:t>operational</w:t>
      </w:r>
      <w:r w:rsidRPr="001C024A">
        <w:rPr>
          <w:rFonts w:ascii="Calibri" w:hAnsi="Calibri"/>
          <w:color w:val="231F20"/>
          <w:spacing w:val="12"/>
          <w:w w:val="105"/>
        </w:rPr>
        <w:t xml:space="preserve"> </w:t>
      </w:r>
      <w:r w:rsidRPr="001C024A">
        <w:rPr>
          <w:rFonts w:ascii="Calibri" w:hAnsi="Calibri"/>
          <w:color w:val="231F20"/>
          <w:w w:val="105"/>
        </w:rPr>
        <w:t>excellence,</w:t>
      </w:r>
      <w:r w:rsidRPr="001C024A">
        <w:rPr>
          <w:rFonts w:ascii="Calibri" w:hAnsi="Calibri"/>
          <w:color w:val="231F20"/>
          <w:spacing w:val="12"/>
          <w:w w:val="105"/>
        </w:rPr>
        <w:t xml:space="preserve"> </w:t>
      </w:r>
      <w:r w:rsidRPr="001C024A">
        <w:rPr>
          <w:rFonts w:ascii="Calibri" w:hAnsi="Calibri"/>
          <w:color w:val="231F20"/>
          <w:w w:val="105"/>
        </w:rPr>
        <w:t>lead</w:t>
      </w:r>
      <w:r w:rsidRPr="001C024A">
        <w:rPr>
          <w:rFonts w:ascii="Calibri" w:hAnsi="Calibri"/>
          <w:color w:val="231F20"/>
          <w:spacing w:val="12"/>
          <w:w w:val="105"/>
        </w:rPr>
        <w:t xml:space="preserve"> </w:t>
      </w:r>
      <w:r w:rsidRPr="001C024A">
        <w:rPr>
          <w:rFonts w:ascii="Calibri" w:hAnsi="Calibri"/>
          <w:color w:val="231F20"/>
          <w:w w:val="105"/>
        </w:rPr>
        <w:t>to</w:t>
      </w:r>
      <w:r w:rsidRPr="001C024A">
        <w:rPr>
          <w:rFonts w:ascii="Calibri" w:hAnsi="Calibri"/>
          <w:color w:val="231F20"/>
          <w:spacing w:val="-35"/>
          <w:w w:val="105"/>
        </w:rPr>
        <w:t xml:space="preserve"> </w:t>
      </w:r>
      <w:r w:rsidRPr="001C024A">
        <w:rPr>
          <w:rFonts w:ascii="Calibri" w:hAnsi="Calibri"/>
          <w:color w:val="231F20"/>
          <w:w w:val="105"/>
        </w:rPr>
        <w:t>the identification and replication of best practices and empower an effective and efficient</w:t>
      </w:r>
      <w:r w:rsidRPr="001C024A">
        <w:rPr>
          <w:rFonts w:ascii="Calibri" w:hAnsi="Calibri"/>
          <w:color w:val="231F20"/>
          <w:spacing w:val="31"/>
          <w:w w:val="105"/>
        </w:rPr>
        <w:t xml:space="preserve"> </w:t>
      </w:r>
      <w:r w:rsidRPr="001C024A">
        <w:rPr>
          <w:rFonts w:ascii="Calibri" w:hAnsi="Calibri"/>
          <w:color w:val="231F20"/>
          <w:w w:val="105"/>
        </w:rPr>
        <w:t>workforce delivery</w:t>
      </w:r>
      <w:r w:rsidRPr="001C024A">
        <w:rPr>
          <w:rFonts w:ascii="Calibri" w:hAnsi="Calibri"/>
          <w:color w:val="231F20"/>
          <w:spacing w:val="4"/>
          <w:w w:val="105"/>
        </w:rPr>
        <w:t xml:space="preserve"> </w:t>
      </w:r>
      <w:r w:rsidRPr="001C024A">
        <w:rPr>
          <w:rFonts w:ascii="Calibri" w:hAnsi="Calibri"/>
          <w:color w:val="231F20"/>
          <w:w w:val="105"/>
        </w:rPr>
        <w:t>system.</w:t>
      </w:r>
    </w:p>
    <w:p w14:paraId="690EEF7F" w14:textId="77777777" w:rsidR="00D64EA1" w:rsidRDefault="00D64EA1" w:rsidP="00D63204">
      <w:pPr>
        <w:widowControl w:val="0"/>
        <w:spacing w:after="0" w:line="264" w:lineRule="exact"/>
        <w:ind w:left="107"/>
        <w:rPr>
          <w:rFonts w:ascii="Calibri" w:hAnsi="Calibri"/>
          <w:color w:val="231F20"/>
          <w:w w:val="105"/>
        </w:rPr>
      </w:pPr>
    </w:p>
    <w:p w14:paraId="7D06D3B1" w14:textId="4F243CD8" w:rsidR="00D64EA1" w:rsidRPr="001C024A" w:rsidRDefault="00D64EA1" w:rsidP="00D63204">
      <w:pPr>
        <w:pStyle w:val="ListParagraph"/>
        <w:widowControl w:val="0"/>
        <w:numPr>
          <w:ilvl w:val="0"/>
          <w:numId w:val="13"/>
        </w:numPr>
        <w:spacing w:after="0" w:line="264" w:lineRule="exact"/>
        <w:rPr>
          <w:rFonts w:ascii="Calibri" w:hAnsi="Calibri" w:cs="Calibri"/>
          <w:color w:val="231F20"/>
        </w:rPr>
      </w:pPr>
      <w:r w:rsidRPr="001C024A">
        <w:rPr>
          <w:rFonts w:ascii="Calibri" w:hAnsi="Calibri"/>
          <w:color w:val="231F20"/>
          <w:w w:val="105"/>
        </w:rPr>
        <w:t>Improve career exploration, educational attainment and skills training for in-demand</w:t>
      </w:r>
      <w:r w:rsidRPr="001C024A">
        <w:rPr>
          <w:rFonts w:ascii="Calibri" w:hAnsi="Calibri"/>
          <w:color w:val="231F20"/>
          <w:spacing w:val="36"/>
          <w:w w:val="105"/>
        </w:rPr>
        <w:t xml:space="preserve"> </w:t>
      </w:r>
      <w:r w:rsidRPr="001C024A">
        <w:rPr>
          <w:rFonts w:ascii="Calibri" w:hAnsi="Calibri"/>
          <w:color w:val="231F20"/>
          <w:w w:val="105"/>
        </w:rPr>
        <w:t>industries</w:t>
      </w:r>
      <w:r w:rsidRPr="001C024A">
        <w:rPr>
          <w:rFonts w:ascii="Calibri" w:hAnsi="Calibri"/>
          <w:color w:val="231F20"/>
          <w:w w:val="106"/>
        </w:rPr>
        <w:t xml:space="preserve"> </w:t>
      </w:r>
      <w:r w:rsidRPr="001C024A">
        <w:rPr>
          <w:rFonts w:ascii="Calibri" w:hAnsi="Calibri"/>
          <w:color w:val="231F20"/>
          <w:w w:val="105"/>
        </w:rPr>
        <w:t>and</w:t>
      </w:r>
      <w:r w:rsidRPr="001C024A">
        <w:rPr>
          <w:rFonts w:ascii="Calibri" w:hAnsi="Calibri"/>
          <w:color w:val="231F20"/>
          <w:spacing w:val="10"/>
          <w:w w:val="105"/>
        </w:rPr>
        <w:t xml:space="preserve"> </w:t>
      </w:r>
      <w:r w:rsidRPr="001C024A">
        <w:rPr>
          <w:rFonts w:ascii="Calibri" w:hAnsi="Calibri"/>
          <w:color w:val="231F20"/>
          <w:w w:val="105"/>
        </w:rPr>
        <w:t>occupations</w:t>
      </w:r>
      <w:r w:rsidRPr="001C024A">
        <w:rPr>
          <w:rFonts w:ascii="Calibri" w:hAnsi="Calibri"/>
          <w:color w:val="231F20"/>
          <w:spacing w:val="10"/>
          <w:w w:val="105"/>
        </w:rPr>
        <w:t xml:space="preserve"> </w:t>
      </w:r>
      <w:r w:rsidRPr="001C024A">
        <w:rPr>
          <w:rFonts w:ascii="Calibri" w:hAnsi="Calibri"/>
          <w:color w:val="231F20"/>
          <w:w w:val="105"/>
        </w:rPr>
        <w:t>for</w:t>
      </w:r>
      <w:r w:rsidRPr="001C024A">
        <w:rPr>
          <w:rFonts w:ascii="Calibri" w:hAnsi="Calibri"/>
          <w:color w:val="231F20"/>
          <w:spacing w:val="10"/>
          <w:w w:val="105"/>
        </w:rPr>
        <w:t xml:space="preserve"> </w:t>
      </w:r>
      <w:r w:rsidRPr="001C024A">
        <w:rPr>
          <w:rFonts w:ascii="Calibri" w:hAnsi="Calibri"/>
          <w:color w:val="231F20"/>
          <w:w w:val="105"/>
        </w:rPr>
        <w:t>Florida</w:t>
      </w:r>
      <w:r w:rsidRPr="001C024A">
        <w:rPr>
          <w:rFonts w:ascii="Calibri" w:hAnsi="Calibri"/>
          <w:color w:val="231F20"/>
          <w:spacing w:val="10"/>
          <w:w w:val="105"/>
        </w:rPr>
        <w:t xml:space="preserve"> </w:t>
      </w:r>
      <w:r w:rsidRPr="001C024A">
        <w:rPr>
          <w:rFonts w:ascii="Calibri" w:hAnsi="Calibri"/>
          <w:color w:val="231F20"/>
          <w:w w:val="105"/>
        </w:rPr>
        <w:t>youth</w:t>
      </w:r>
      <w:r w:rsidRPr="001C024A">
        <w:rPr>
          <w:rFonts w:ascii="Calibri" w:hAnsi="Calibri"/>
          <w:color w:val="231F20"/>
          <w:spacing w:val="10"/>
          <w:w w:val="105"/>
        </w:rPr>
        <w:t xml:space="preserve"> </w:t>
      </w:r>
      <w:r w:rsidRPr="001C024A">
        <w:rPr>
          <w:rFonts w:ascii="Calibri" w:hAnsi="Calibri"/>
          <w:color w:val="231F20"/>
          <w:w w:val="105"/>
        </w:rPr>
        <w:t>that</w:t>
      </w:r>
      <w:r w:rsidRPr="001C024A">
        <w:rPr>
          <w:rFonts w:ascii="Calibri" w:hAnsi="Calibri"/>
          <w:color w:val="231F20"/>
          <w:spacing w:val="10"/>
          <w:w w:val="105"/>
        </w:rPr>
        <w:t xml:space="preserve"> </w:t>
      </w:r>
      <w:r w:rsidRPr="001C024A">
        <w:rPr>
          <w:rFonts w:ascii="Calibri" w:hAnsi="Calibri"/>
          <w:color w:val="231F20"/>
          <w:w w:val="105"/>
        </w:rPr>
        <w:t>lead</w:t>
      </w:r>
      <w:r w:rsidRPr="001C024A">
        <w:rPr>
          <w:rFonts w:ascii="Calibri" w:hAnsi="Calibri"/>
          <w:color w:val="231F20"/>
          <w:spacing w:val="10"/>
          <w:w w:val="105"/>
        </w:rPr>
        <w:t xml:space="preserve"> </w:t>
      </w:r>
      <w:r w:rsidRPr="001C024A">
        <w:rPr>
          <w:rFonts w:ascii="Calibri" w:hAnsi="Calibri"/>
          <w:color w:val="231F20"/>
          <w:w w:val="105"/>
        </w:rPr>
        <w:t>to</w:t>
      </w:r>
      <w:r w:rsidRPr="001C024A">
        <w:rPr>
          <w:rFonts w:ascii="Calibri" w:hAnsi="Calibri"/>
          <w:color w:val="231F20"/>
          <w:spacing w:val="10"/>
          <w:w w:val="105"/>
        </w:rPr>
        <w:t xml:space="preserve"> </w:t>
      </w:r>
      <w:r w:rsidRPr="001C024A">
        <w:rPr>
          <w:rFonts w:ascii="Calibri" w:hAnsi="Calibri"/>
          <w:color w:val="231F20"/>
          <w:w w:val="105"/>
        </w:rPr>
        <w:t>enhanced</w:t>
      </w:r>
      <w:r w:rsidRPr="001C024A">
        <w:rPr>
          <w:rFonts w:ascii="Calibri" w:hAnsi="Calibri"/>
          <w:color w:val="231F20"/>
          <w:spacing w:val="10"/>
          <w:w w:val="105"/>
        </w:rPr>
        <w:t xml:space="preserve"> </w:t>
      </w:r>
      <w:r w:rsidRPr="001C024A">
        <w:rPr>
          <w:rFonts w:ascii="Calibri" w:hAnsi="Calibri"/>
          <w:color w:val="231F20"/>
          <w:w w:val="105"/>
        </w:rPr>
        <w:t>employment,</w:t>
      </w:r>
      <w:r w:rsidRPr="001C024A">
        <w:rPr>
          <w:rFonts w:ascii="Calibri" w:hAnsi="Calibri"/>
          <w:color w:val="231F20"/>
          <w:spacing w:val="10"/>
          <w:w w:val="105"/>
        </w:rPr>
        <w:t xml:space="preserve"> </w:t>
      </w:r>
      <w:r w:rsidRPr="001C024A">
        <w:rPr>
          <w:rFonts w:ascii="Calibri" w:hAnsi="Calibri"/>
          <w:color w:val="231F20"/>
          <w:w w:val="105"/>
        </w:rPr>
        <w:t>career</w:t>
      </w:r>
      <w:r w:rsidRPr="001C024A">
        <w:rPr>
          <w:rFonts w:ascii="Calibri" w:hAnsi="Calibri"/>
          <w:color w:val="231F20"/>
          <w:spacing w:val="10"/>
          <w:w w:val="105"/>
        </w:rPr>
        <w:t xml:space="preserve"> </w:t>
      </w:r>
      <w:r w:rsidRPr="001C024A">
        <w:rPr>
          <w:rFonts w:ascii="Calibri" w:hAnsi="Calibri"/>
          <w:color w:val="231F20"/>
          <w:w w:val="105"/>
        </w:rPr>
        <w:t>development,</w:t>
      </w:r>
      <w:r w:rsidRPr="001C024A">
        <w:rPr>
          <w:rFonts w:ascii="Calibri" w:hAnsi="Calibri"/>
          <w:color w:val="231F20"/>
          <w:spacing w:val="-23"/>
          <w:w w:val="105"/>
        </w:rPr>
        <w:t xml:space="preserve"> </w:t>
      </w:r>
      <w:r w:rsidRPr="001C024A">
        <w:rPr>
          <w:rFonts w:ascii="Calibri" w:hAnsi="Calibri"/>
          <w:color w:val="231F20"/>
          <w:w w:val="105"/>
        </w:rPr>
        <w:t>credentialing</w:t>
      </w:r>
      <w:r w:rsidR="00D5537E">
        <w:rPr>
          <w:rFonts w:ascii="Calibri" w:hAnsi="Calibri"/>
          <w:color w:val="231F20"/>
          <w:w w:val="105"/>
        </w:rPr>
        <w:t xml:space="preserve"> and</w:t>
      </w:r>
      <w:r w:rsidRPr="001C024A">
        <w:rPr>
          <w:rFonts w:ascii="Calibri" w:hAnsi="Calibri"/>
          <w:color w:val="231F20"/>
          <w:w w:val="105"/>
        </w:rPr>
        <w:t xml:space="preserve"> postsecondary education</w:t>
      </w:r>
      <w:r w:rsidRPr="001C024A">
        <w:rPr>
          <w:rFonts w:ascii="Calibri" w:hAnsi="Calibri"/>
          <w:color w:val="231F20"/>
          <w:spacing w:val="23"/>
          <w:w w:val="105"/>
        </w:rPr>
        <w:t xml:space="preserve"> </w:t>
      </w:r>
      <w:r w:rsidRPr="001C024A">
        <w:rPr>
          <w:rFonts w:ascii="Calibri" w:hAnsi="Calibri"/>
          <w:color w:val="231F20"/>
          <w:w w:val="105"/>
        </w:rPr>
        <w:t>opportunities.</w:t>
      </w:r>
    </w:p>
    <w:p w14:paraId="09F43779" w14:textId="77777777" w:rsidR="00D64EA1" w:rsidRPr="00EA7458" w:rsidRDefault="00D64EA1" w:rsidP="00D63204">
      <w:pPr>
        <w:widowControl w:val="0"/>
        <w:spacing w:before="11" w:after="0" w:line="240" w:lineRule="auto"/>
        <w:ind w:left="107"/>
        <w:rPr>
          <w:rFonts w:ascii="Calibri" w:hAnsi="Calibri" w:cs="Calibri"/>
          <w:sz w:val="12"/>
          <w:szCs w:val="12"/>
        </w:rPr>
      </w:pPr>
    </w:p>
    <w:p w14:paraId="7900CE55" w14:textId="2AB9ED3B" w:rsidR="00D64EA1" w:rsidRPr="0046501D" w:rsidRDefault="00D64EA1" w:rsidP="00D63204">
      <w:pPr>
        <w:widowControl w:val="0"/>
        <w:numPr>
          <w:ilvl w:val="1"/>
          <w:numId w:val="7"/>
        </w:numPr>
        <w:tabs>
          <w:tab w:val="left" w:pos="1278"/>
        </w:tabs>
        <w:spacing w:before="56" w:after="0" w:line="240" w:lineRule="auto"/>
        <w:outlineLvl w:val="2"/>
        <w:rPr>
          <w:rFonts w:ascii="Calibri" w:hAnsi="Calibri"/>
        </w:rPr>
      </w:pPr>
      <w:r w:rsidRPr="00EA7458">
        <w:rPr>
          <w:rFonts w:ascii="Calibri" w:hAnsi="Calibri"/>
          <w:b/>
          <w:bCs/>
          <w:color w:val="295CA3"/>
          <w:w w:val="110"/>
        </w:rPr>
        <w:t>Performance Goals</w:t>
      </w:r>
    </w:p>
    <w:p w14:paraId="39CEB405" w14:textId="77777777" w:rsidR="0046501D" w:rsidRPr="00EA7458" w:rsidRDefault="0046501D" w:rsidP="00D63204">
      <w:pPr>
        <w:widowControl w:val="0"/>
        <w:tabs>
          <w:tab w:val="left" w:pos="1278"/>
        </w:tabs>
        <w:spacing w:before="56" w:after="0" w:line="240" w:lineRule="auto"/>
        <w:ind w:left="1278"/>
        <w:outlineLvl w:val="2"/>
        <w:rPr>
          <w:rFonts w:ascii="Calibri" w:hAnsi="Calibri"/>
        </w:rPr>
      </w:pPr>
    </w:p>
    <w:p w14:paraId="2EF8879E" w14:textId="108CB6DA" w:rsidR="00D64EA1" w:rsidRPr="0046501D" w:rsidRDefault="00D64EA1" w:rsidP="00D63204">
      <w:pPr>
        <w:widowControl w:val="0"/>
        <w:spacing w:after="0" w:line="264" w:lineRule="exact"/>
        <w:ind w:left="107"/>
        <w:rPr>
          <w:color w:val="231F20"/>
          <w:w w:val="105"/>
        </w:rPr>
      </w:pPr>
      <w:r w:rsidRPr="0046501D">
        <w:rPr>
          <w:color w:val="231F20"/>
          <w:w w:val="105"/>
        </w:rPr>
        <w:t>Core WIOA program partners continue efforts to refine a process for collecting data and reporting performance. Core programs will assist state and local workforce development boards to negotiate levels of performance based on the statistical adjustment model. This model takes into consideration state and local economic factors including unemployment rates, industry sectors and characteristics of participants entering the program (e.g., work history, work experience, educational / occupational skills attainment, literacy levels, disability status, etc.). The core measures include:</w:t>
      </w:r>
    </w:p>
    <w:p w14:paraId="0F77923E" w14:textId="77777777" w:rsidR="00D64EA1" w:rsidRPr="00EA7458" w:rsidRDefault="00D64EA1" w:rsidP="00D63204">
      <w:pPr>
        <w:widowControl w:val="0"/>
        <w:spacing w:before="6" w:after="0" w:line="240" w:lineRule="auto"/>
        <w:rPr>
          <w:rFonts w:ascii="Calibri" w:hAnsi="Calibri" w:cs="Calibri"/>
          <w:sz w:val="16"/>
          <w:szCs w:val="16"/>
        </w:rPr>
      </w:pPr>
    </w:p>
    <w:p w14:paraId="7931FFD4" w14:textId="77777777" w:rsidR="00D64EA1" w:rsidRPr="00210DD0" w:rsidRDefault="00D64EA1" w:rsidP="00D63204">
      <w:pPr>
        <w:pStyle w:val="ListParagraph"/>
        <w:widowControl w:val="0"/>
        <w:numPr>
          <w:ilvl w:val="0"/>
          <w:numId w:val="82"/>
        </w:numPr>
        <w:tabs>
          <w:tab w:val="left" w:pos="828"/>
        </w:tabs>
        <w:spacing w:after="0" w:line="240" w:lineRule="auto"/>
        <w:rPr>
          <w:rFonts w:ascii="Calibri" w:hAnsi="Calibri" w:cs="Calibri"/>
        </w:rPr>
      </w:pPr>
      <w:r w:rsidRPr="00210DD0">
        <w:rPr>
          <w:rFonts w:ascii="Calibri" w:hAnsi="Calibri"/>
          <w:color w:val="231F20"/>
          <w:w w:val="105"/>
        </w:rPr>
        <w:t>Percentage of participants in unsubsidized employment during second quarter after</w:t>
      </w:r>
      <w:r w:rsidRPr="00210DD0">
        <w:rPr>
          <w:rFonts w:ascii="Calibri" w:hAnsi="Calibri"/>
          <w:color w:val="231F20"/>
          <w:spacing w:val="32"/>
          <w:w w:val="105"/>
        </w:rPr>
        <w:t xml:space="preserve"> </w:t>
      </w:r>
      <w:r w:rsidRPr="00210DD0">
        <w:rPr>
          <w:rFonts w:ascii="Calibri" w:hAnsi="Calibri"/>
          <w:color w:val="231F20"/>
          <w:w w:val="105"/>
        </w:rPr>
        <w:t>exit</w:t>
      </w:r>
    </w:p>
    <w:p w14:paraId="0E3067C6" w14:textId="77777777" w:rsidR="00D64EA1" w:rsidRPr="00210DD0" w:rsidRDefault="00D64EA1" w:rsidP="00D63204">
      <w:pPr>
        <w:pStyle w:val="ListParagraph"/>
        <w:widowControl w:val="0"/>
        <w:tabs>
          <w:tab w:val="left" w:pos="828"/>
        </w:tabs>
        <w:spacing w:after="0" w:line="240" w:lineRule="auto"/>
        <w:rPr>
          <w:rFonts w:ascii="Calibri" w:hAnsi="Calibri" w:cs="Calibri"/>
        </w:rPr>
      </w:pPr>
    </w:p>
    <w:p w14:paraId="7209BEDD" w14:textId="77777777" w:rsidR="00D64EA1" w:rsidRPr="00210DD0" w:rsidRDefault="00D64EA1" w:rsidP="00D63204">
      <w:pPr>
        <w:pStyle w:val="ListParagraph"/>
        <w:widowControl w:val="0"/>
        <w:numPr>
          <w:ilvl w:val="0"/>
          <w:numId w:val="82"/>
        </w:numPr>
        <w:tabs>
          <w:tab w:val="left" w:pos="828"/>
        </w:tabs>
        <w:spacing w:before="195" w:after="0" w:line="240" w:lineRule="auto"/>
        <w:rPr>
          <w:rFonts w:ascii="Calibri" w:hAnsi="Calibri" w:cs="Calibri"/>
        </w:rPr>
      </w:pPr>
      <w:r w:rsidRPr="00210DD0">
        <w:rPr>
          <w:rFonts w:ascii="Calibri" w:hAnsi="Calibri"/>
          <w:color w:val="231F20"/>
          <w:w w:val="105"/>
        </w:rPr>
        <w:t>Percentage of participants in unsubsidized employment during fourth quarter after</w:t>
      </w:r>
      <w:r w:rsidRPr="00210DD0">
        <w:rPr>
          <w:rFonts w:ascii="Calibri" w:hAnsi="Calibri"/>
          <w:color w:val="231F20"/>
          <w:spacing w:val="9"/>
          <w:w w:val="105"/>
        </w:rPr>
        <w:t xml:space="preserve"> </w:t>
      </w:r>
      <w:r w:rsidRPr="00210DD0">
        <w:rPr>
          <w:rFonts w:ascii="Calibri" w:hAnsi="Calibri"/>
          <w:color w:val="231F20"/>
          <w:w w:val="105"/>
        </w:rPr>
        <w:t>exit</w:t>
      </w:r>
    </w:p>
    <w:p w14:paraId="7AEC1D5E" w14:textId="77777777" w:rsidR="00D64EA1" w:rsidRPr="00210DD0" w:rsidRDefault="00D64EA1" w:rsidP="00D63204">
      <w:pPr>
        <w:pStyle w:val="ListParagraph"/>
        <w:widowControl w:val="0"/>
        <w:tabs>
          <w:tab w:val="left" w:pos="828"/>
        </w:tabs>
        <w:spacing w:before="195" w:after="0" w:line="240" w:lineRule="auto"/>
        <w:rPr>
          <w:rFonts w:ascii="Calibri" w:hAnsi="Calibri" w:cs="Calibri"/>
        </w:rPr>
      </w:pPr>
    </w:p>
    <w:p w14:paraId="4F2F8D5E" w14:textId="77777777" w:rsidR="00D64EA1" w:rsidRPr="00210DD0" w:rsidRDefault="00D64EA1" w:rsidP="00D63204">
      <w:pPr>
        <w:pStyle w:val="ListParagraph"/>
        <w:widowControl w:val="0"/>
        <w:numPr>
          <w:ilvl w:val="0"/>
          <w:numId w:val="82"/>
        </w:numPr>
        <w:tabs>
          <w:tab w:val="left" w:pos="828"/>
        </w:tabs>
        <w:spacing w:before="195" w:after="0" w:line="240" w:lineRule="auto"/>
        <w:rPr>
          <w:rFonts w:ascii="Calibri" w:hAnsi="Calibri" w:cs="Calibri"/>
        </w:rPr>
      </w:pPr>
      <w:r w:rsidRPr="00210DD0">
        <w:rPr>
          <w:rFonts w:ascii="Calibri" w:hAnsi="Calibri"/>
          <w:color w:val="231F20"/>
          <w:w w:val="105"/>
        </w:rPr>
        <w:t>Median earnings of participants during second quarter after</w:t>
      </w:r>
      <w:r w:rsidRPr="00210DD0">
        <w:rPr>
          <w:rFonts w:ascii="Calibri" w:hAnsi="Calibri"/>
          <w:color w:val="231F20"/>
          <w:spacing w:val="42"/>
          <w:w w:val="105"/>
        </w:rPr>
        <w:t xml:space="preserve"> </w:t>
      </w:r>
      <w:r w:rsidRPr="00210DD0">
        <w:rPr>
          <w:rFonts w:ascii="Calibri" w:hAnsi="Calibri"/>
          <w:color w:val="231F20"/>
          <w:w w:val="105"/>
        </w:rPr>
        <w:t>exit</w:t>
      </w:r>
    </w:p>
    <w:p w14:paraId="6E4F307A" w14:textId="77777777" w:rsidR="00D64EA1" w:rsidRPr="00210DD0" w:rsidRDefault="00D64EA1" w:rsidP="00D63204">
      <w:pPr>
        <w:pStyle w:val="ListParagraph"/>
        <w:widowControl w:val="0"/>
        <w:tabs>
          <w:tab w:val="left" w:pos="828"/>
        </w:tabs>
        <w:spacing w:before="195" w:after="0" w:line="240" w:lineRule="auto"/>
        <w:rPr>
          <w:rFonts w:ascii="Calibri" w:hAnsi="Calibri" w:cs="Calibri"/>
        </w:rPr>
      </w:pPr>
    </w:p>
    <w:p w14:paraId="6F03B6A6" w14:textId="06CF9436" w:rsidR="00D64EA1" w:rsidRPr="00210DD0" w:rsidRDefault="00D64EA1" w:rsidP="00D63204">
      <w:pPr>
        <w:pStyle w:val="ListParagraph"/>
        <w:widowControl w:val="0"/>
        <w:numPr>
          <w:ilvl w:val="0"/>
          <w:numId w:val="82"/>
        </w:numPr>
        <w:tabs>
          <w:tab w:val="left" w:pos="828"/>
        </w:tabs>
        <w:spacing w:before="193" w:after="0" w:line="240" w:lineRule="auto"/>
        <w:ind w:right="456"/>
        <w:rPr>
          <w:rFonts w:ascii="Calibri" w:hAnsi="Calibri" w:cs="Calibri"/>
        </w:rPr>
      </w:pPr>
      <w:r w:rsidRPr="00210DD0">
        <w:rPr>
          <w:rFonts w:ascii="Calibri" w:hAnsi="Calibri"/>
          <w:color w:val="231F20"/>
          <w:w w:val="105"/>
        </w:rPr>
        <w:t>Percentage</w:t>
      </w:r>
      <w:r w:rsidRPr="00210DD0">
        <w:rPr>
          <w:rFonts w:ascii="Calibri" w:hAnsi="Calibri"/>
          <w:color w:val="231F20"/>
          <w:spacing w:val="20"/>
          <w:w w:val="105"/>
        </w:rPr>
        <w:t xml:space="preserve"> </w:t>
      </w:r>
      <w:r w:rsidRPr="00210DD0">
        <w:rPr>
          <w:rFonts w:ascii="Calibri" w:hAnsi="Calibri"/>
          <w:color w:val="231F20"/>
          <w:w w:val="105"/>
        </w:rPr>
        <w:t>of</w:t>
      </w:r>
      <w:r w:rsidRPr="00210DD0">
        <w:rPr>
          <w:rFonts w:ascii="Calibri" w:hAnsi="Calibri"/>
          <w:color w:val="231F20"/>
          <w:spacing w:val="20"/>
          <w:w w:val="105"/>
        </w:rPr>
        <w:t xml:space="preserve"> </w:t>
      </w:r>
      <w:r w:rsidRPr="00210DD0">
        <w:rPr>
          <w:rFonts w:ascii="Calibri" w:hAnsi="Calibri"/>
          <w:color w:val="231F20"/>
          <w:w w:val="105"/>
        </w:rPr>
        <w:t>participants</w:t>
      </w:r>
      <w:r w:rsidRPr="00210DD0">
        <w:rPr>
          <w:rFonts w:ascii="Calibri" w:hAnsi="Calibri"/>
          <w:color w:val="231F20"/>
          <w:spacing w:val="20"/>
          <w:w w:val="105"/>
        </w:rPr>
        <w:t xml:space="preserve"> </w:t>
      </w:r>
      <w:r w:rsidRPr="00210DD0">
        <w:rPr>
          <w:rFonts w:ascii="Calibri" w:hAnsi="Calibri"/>
          <w:color w:val="231F20"/>
          <w:w w:val="105"/>
        </w:rPr>
        <w:t>who</w:t>
      </w:r>
      <w:r w:rsidRPr="00210DD0">
        <w:rPr>
          <w:rFonts w:ascii="Calibri" w:hAnsi="Calibri"/>
          <w:color w:val="231F20"/>
          <w:spacing w:val="20"/>
          <w:w w:val="105"/>
        </w:rPr>
        <w:t xml:space="preserve"> </w:t>
      </w:r>
      <w:r w:rsidRPr="00210DD0">
        <w:rPr>
          <w:rFonts w:ascii="Calibri" w:hAnsi="Calibri"/>
          <w:color w:val="231F20"/>
          <w:w w:val="105"/>
        </w:rPr>
        <w:t>obtain</w:t>
      </w:r>
      <w:r w:rsidRPr="00210DD0">
        <w:rPr>
          <w:rFonts w:ascii="Calibri" w:hAnsi="Calibri"/>
          <w:color w:val="231F20"/>
          <w:spacing w:val="20"/>
          <w:w w:val="105"/>
        </w:rPr>
        <w:t xml:space="preserve"> </w:t>
      </w:r>
      <w:r w:rsidRPr="00210DD0">
        <w:rPr>
          <w:rFonts w:ascii="Calibri" w:hAnsi="Calibri"/>
          <w:color w:val="231F20"/>
          <w:w w:val="105"/>
        </w:rPr>
        <w:t>a</w:t>
      </w:r>
      <w:r w:rsidRPr="00210DD0">
        <w:rPr>
          <w:rFonts w:ascii="Calibri" w:hAnsi="Calibri"/>
          <w:color w:val="231F20"/>
          <w:spacing w:val="20"/>
          <w:w w:val="105"/>
        </w:rPr>
        <w:t xml:space="preserve"> </w:t>
      </w:r>
      <w:r w:rsidRPr="00210DD0">
        <w:rPr>
          <w:rFonts w:ascii="Calibri" w:hAnsi="Calibri"/>
          <w:color w:val="231F20"/>
          <w:w w:val="105"/>
        </w:rPr>
        <w:t>postsecondary</w:t>
      </w:r>
      <w:r w:rsidRPr="00210DD0">
        <w:rPr>
          <w:rFonts w:ascii="Calibri" w:hAnsi="Calibri"/>
          <w:color w:val="231F20"/>
          <w:spacing w:val="20"/>
          <w:w w:val="105"/>
        </w:rPr>
        <w:t xml:space="preserve"> </w:t>
      </w:r>
      <w:r w:rsidRPr="00210DD0">
        <w:rPr>
          <w:rFonts w:ascii="Calibri" w:hAnsi="Calibri"/>
          <w:color w:val="231F20"/>
          <w:w w:val="105"/>
        </w:rPr>
        <w:t>credential</w:t>
      </w:r>
      <w:r w:rsidRPr="00210DD0">
        <w:rPr>
          <w:rFonts w:ascii="Calibri" w:hAnsi="Calibri"/>
          <w:color w:val="231F20"/>
          <w:spacing w:val="20"/>
          <w:w w:val="105"/>
        </w:rPr>
        <w:t xml:space="preserve"> </w:t>
      </w:r>
      <w:r w:rsidRPr="00210DD0">
        <w:rPr>
          <w:rFonts w:ascii="Calibri" w:hAnsi="Calibri"/>
          <w:color w:val="231F20"/>
          <w:w w:val="105"/>
        </w:rPr>
        <w:t>or</w:t>
      </w:r>
      <w:r w:rsidRPr="00210DD0">
        <w:rPr>
          <w:rFonts w:ascii="Calibri" w:hAnsi="Calibri"/>
          <w:color w:val="231F20"/>
          <w:spacing w:val="20"/>
          <w:w w:val="105"/>
        </w:rPr>
        <w:t xml:space="preserve"> </w:t>
      </w:r>
      <w:r w:rsidRPr="00210DD0">
        <w:rPr>
          <w:rFonts w:ascii="Calibri" w:hAnsi="Calibri"/>
          <w:color w:val="231F20"/>
          <w:w w:val="105"/>
        </w:rPr>
        <w:t>secondary</w:t>
      </w:r>
      <w:r w:rsidRPr="00210DD0">
        <w:rPr>
          <w:rFonts w:ascii="Calibri" w:hAnsi="Calibri"/>
          <w:color w:val="231F20"/>
          <w:spacing w:val="20"/>
          <w:w w:val="105"/>
        </w:rPr>
        <w:t xml:space="preserve"> </w:t>
      </w:r>
      <w:r w:rsidRPr="00210DD0">
        <w:rPr>
          <w:rFonts w:ascii="Calibri" w:hAnsi="Calibri"/>
          <w:color w:val="231F20"/>
          <w:w w:val="105"/>
        </w:rPr>
        <w:t>school</w:t>
      </w:r>
      <w:r w:rsidRPr="00210DD0">
        <w:rPr>
          <w:rFonts w:ascii="Calibri" w:hAnsi="Calibri"/>
          <w:color w:val="231F20"/>
          <w:spacing w:val="20"/>
          <w:w w:val="105"/>
        </w:rPr>
        <w:t xml:space="preserve"> </w:t>
      </w:r>
      <w:r w:rsidRPr="00210DD0">
        <w:rPr>
          <w:rFonts w:ascii="Calibri" w:hAnsi="Calibri"/>
          <w:color w:val="231F20"/>
          <w:w w:val="105"/>
        </w:rPr>
        <w:t xml:space="preserve">diploma within </w:t>
      </w:r>
      <w:r w:rsidR="00307896">
        <w:rPr>
          <w:rFonts w:ascii="Calibri" w:hAnsi="Calibri"/>
          <w:color w:val="231F20"/>
        </w:rPr>
        <w:t>one</w:t>
      </w:r>
      <w:r w:rsidRPr="00210DD0">
        <w:rPr>
          <w:rFonts w:ascii="Calibri" w:hAnsi="Calibri"/>
          <w:color w:val="231F20"/>
        </w:rPr>
        <w:t xml:space="preserve"> </w:t>
      </w:r>
      <w:r w:rsidRPr="00210DD0">
        <w:rPr>
          <w:rFonts w:ascii="Calibri" w:hAnsi="Calibri"/>
          <w:color w:val="231F20"/>
          <w:w w:val="105"/>
        </w:rPr>
        <w:t>year after</w:t>
      </w:r>
      <w:r w:rsidRPr="00210DD0">
        <w:rPr>
          <w:rFonts w:ascii="Calibri" w:hAnsi="Calibri"/>
          <w:color w:val="231F20"/>
          <w:spacing w:val="18"/>
          <w:w w:val="105"/>
        </w:rPr>
        <w:t xml:space="preserve"> </w:t>
      </w:r>
      <w:r w:rsidRPr="00210DD0">
        <w:rPr>
          <w:rFonts w:ascii="Calibri" w:hAnsi="Calibri"/>
          <w:color w:val="231F20"/>
          <w:w w:val="105"/>
        </w:rPr>
        <w:t>exit</w:t>
      </w:r>
    </w:p>
    <w:p w14:paraId="7C82E1BB" w14:textId="77777777" w:rsidR="00D64EA1" w:rsidRPr="00EA7458" w:rsidRDefault="00D64EA1" w:rsidP="00D63204">
      <w:pPr>
        <w:widowControl w:val="0"/>
        <w:spacing w:before="6" w:after="0" w:line="240" w:lineRule="auto"/>
        <w:rPr>
          <w:rFonts w:ascii="Calibri" w:hAnsi="Calibri" w:cs="Calibri"/>
          <w:sz w:val="16"/>
          <w:szCs w:val="16"/>
        </w:rPr>
      </w:pPr>
    </w:p>
    <w:p w14:paraId="441AC4A2" w14:textId="77777777" w:rsidR="00D64EA1" w:rsidRPr="00210DD0" w:rsidRDefault="00D64EA1" w:rsidP="00D63204">
      <w:pPr>
        <w:pStyle w:val="ListParagraph"/>
        <w:widowControl w:val="0"/>
        <w:numPr>
          <w:ilvl w:val="0"/>
          <w:numId w:val="82"/>
        </w:numPr>
        <w:tabs>
          <w:tab w:val="left" w:pos="828"/>
        </w:tabs>
        <w:spacing w:after="0" w:line="240" w:lineRule="auto"/>
        <w:rPr>
          <w:rFonts w:ascii="Calibri" w:hAnsi="Calibri" w:cs="Calibri"/>
        </w:rPr>
      </w:pPr>
      <w:r w:rsidRPr="00210DD0">
        <w:rPr>
          <w:rFonts w:ascii="Calibri" w:hAnsi="Calibri"/>
          <w:color w:val="231F20"/>
          <w:w w:val="105"/>
        </w:rPr>
        <w:t>Achievement of measurable skill gains toward credential or</w:t>
      </w:r>
      <w:r w:rsidRPr="009518FE">
        <w:rPr>
          <w:rFonts w:ascii="Calibri" w:hAnsi="Calibri"/>
          <w:color w:val="231F20"/>
          <w:w w:val="105"/>
        </w:rPr>
        <w:t xml:space="preserve"> </w:t>
      </w:r>
      <w:r w:rsidRPr="00210DD0">
        <w:rPr>
          <w:rFonts w:ascii="Calibri" w:hAnsi="Calibri"/>
          <w:color w:val="231F20"/>
          <w:w w:val="105"/>
        </w:rPr>
        <w:t>employment</w:t>
      </w:r>
    </w:p>
    <w:p w14:paraId="51F664E0" w14:textId="77777777" w:rsidR="00D64EA1" w:rsidRPr="00EC2BFB" w:rsidRDefault="00D64EA1" w:rsidP="00D63204">
      <w:pPr>
        <w:widowControl w:val="0"/>
        <w:tabs>
          <w:tab w:val="left" w:pos="828"/>
        </w:tabs>
        <w:spacing w:after="0" w:line="240" w:lineRule="auto"/>
        <w:rPr>
          <w:rFonts w:ascii="Calibri" w:hAnsi="Calibri" w:cs="Calibri"/>
        </w:rPr>
      </w:pPr>
    </w:p>
    <w:p w14:paraId="7488C009" w14:textId="77777777" w:rsidR="00D64EA1" w:rsidRPr="00210DD0" w:rsidRDefault="00D64EA1" w:rsidP="00D63204">
      <w:pPr>
        <w:pStyle w:val="ListParagraph"/>
        <w:widowControl w:val="0"/>
        <w:numPr>
          <w:ilvl w:val="0"/>
          <w:numId w:val="82"/>
        </w:numPr>
        <w:tabs>
          <w:tab w:val="left" w:pos="828"/>
        </w:tabs>
        <w:spacing w:after="0" w:line="240" w:lineRule="auto"/>
        <w:rPr>
          <w:rFonts w:ascii="Calibri" w:hAnsi="Calibri" w:cs="Calibri"/>
        </w:rPr>
      </w:pPr>
      <w:r w:rsidRPr="00210DD0">
        <w:rPr>
          <w:rFonts w:ascii="Calibri" w:hAnsi="Calibri" w:cs="Calibri"/>
        </w:rPr>
        <w:t xml:space="preserve">Effectiveness in serving employers </w:t>
      </w:r>
    </w:p>
    <w:p w14:paraId="3D3C113B" w14:textId="00F484F4" w:rsidR="00D64EA1" w:rsidRPr="00EA7458" w:rsidRDefault="00D64EA1" w:rsidP="00D63204">
      <w:pPr>
        <w:widowControl w:val="0"/>
        <w:spacing w:before="188" w:after="0" w:line="264" w:lineRule="exact"/>
        <w:ind w:left="107" w:right="105"/>
        <w:rPr>
          <w:rFonts w:ascii="Calibri" w:hAnsi="Calibri" w:cs="Calibri"/>
        </w:rPr>
      </w:pPr>
      <w:r>
        <w:rPr>
          <w:rFonts w:ascii="Calibri" w:hAnsi="Calibri"/>
          <w:color w:val="231F20"/>
          <w:w w:val="105"/>
        </w:rPr>
        <w:t xml:space="preserve">Negotiated </w:t>
      </w:r>
      <w:r w:rsidRPr="00EA7458">
        <w:rPr>
          <w:rFonts w:ascii="Calibri" w:hAnsi="Calibri"/>
          <w:color w:val="231F20"/>
          <w:w w:val="105"/>
        </w:rPr>
        <w:t>levels</w:t>
      </w:r>
      <w:r w:rsidRPr="00EA7458">
        <w:rPr>
          <w:rFonts w:ascii="Calibri" w:hAnsi="Calibri"/>
          <w:color w:val="231F20"/>
          <w:spacing w:val="11"/>
          <w:w w:val="105"/>
        </w:rPr>
        <w:t xml:space="preserve"> </w:t>
      </w:r>
      <w:r w:rsidRPr="00EA7458">
        <w:rPr>
          <w:rFonts w:ascii="Calibri" w:hAnsi="Calibri"/>
          <w:color w:val="231F20"/>
          <w:w w:val="105"/>
        </w:rPr>
        <w:t>of</w:t>
      </w:r>
      <w:r w:rsidRPr="00EA7458">
        <w:rPr>
          <w:rFonts w:ascii="Calibri" w:hAnsi="Calibri"/>
          <w:color w:val="231F20"/>
          <w:spacing w:val="11"/>
          <w:w w:val="105"/>
        </w:rPr>
        <w:t xml:space="preserve"> </w:t>
      </w:r>
      <w:r w:rsidRPr="00EA7458">
        <w:rPr>
          <w:rFonts w:ascii="Calibri" w:hAnsi="Calibri"/>
          <w:color w:val="231F20"/>
          <w:w w:val="105"/>
        </w:rPr>
        <w:t>performance</w:t>
      </w:r>
      <w:r w:rsidRPr="00EA7458">
        <w:rPr>
          <w:rFonts w:ascii="Calibri" w:hAnsi="Calibri"/>
          <w:color w:val="231F20"/>
          <w:spacing w:val="11"/>
          <w:w w:val="105"/>
        </w:rPr>
        <w:t xml:space="preserve"> </w:t>
      </w:r>
      <w:r>
        <w:rPr>
          <w:rFonts w:ascii="Calibri" w:hAnsi="Calibri"/>
          <w:color w:val="231F20"/>
          <w:w w:val="105"/>
        </w:rPr>
        <w:t>are</w:t>
      </w:r>
      <w:r w:rsidRPr="00EA7458">
        <w:rPr>
          <w:rFonts w:ascii="Calibri" w:hAnsi="Calibri"/>
          <w:color w:val="231F20"/>
          <w:spacing w:val="11"/>
          <w:w w:val="105"/>
        </w:rPr>
        <w:t xml:space="preserve"> </w:t>
      </w:r>
      <w:r w:rsidRPr="00EA7458">
        <w:rPr>
          <w:rFonts w:ascii="Calibri" w:hAnsi="Calibri"/>
          <w:color w:val="231F20"/>
          <w:w w:val="105"/>
        </w:rPr>
        <w:t>reviewed</w:t>
      </w:r>
      <w:r w:rsidRPr="00EA7458">
        <w:rPr>
          <w:rFonts w:ascii="Calibri" w:hAnsi="Calibri"/>
          <w:color w:val="231F20"/>
          <w:spacing w:val="11"/>
          <w:w w:val="105"/>
        </w:rPr>
        <w:t xml:space="preserve"> </w:t>
      </w:r>
      <w:r w:rsidRPr="00EA7458">
        <w:rPr>
          <w:rFonts w:ascii="Calibri" w:hAnsi="Calibri"/>
          <w:color w:val="231F20"/>
          <w:w w:val="105"/>
        </w:rPr>
        <w:t>and</w:t>
      </w:r>
      <w:r w:rsidRPr="00EA7458">
        <w:rPr>
          <w:rFonts w:ascii="Calibri" w:hAnsi="Calibri"/>
          <w:color w:val="231F20"/>
          <w:spacing w:val="11"/>
          <w:w w:val="105"/>
        </w:rPr>
        <w:t xml:space="preserve"> </w:t>
      </w:r>
      <w:r w:rsidRPr="00EA7458">
        <w:rPr>
          <w:rFonts w:ascii="Calibri" w:hAnsi="Calibri"/>
          <w:color w:val="231F20"/>
          <w:w w:val="105"/>
        </w:rPr>
        <w:t>approved</w:t>
      </w:r>
      <w:r w:rsidRPr="00EA7458">
        <w:rPr>
          <w:rFonts w:ascii="Calibri" w:hAnsi="Calibri"/>
          <w:color w:val="231F20"/>
          <w:spacing w:val="11"/>
          <w:w w:val="105"/>
        </w:rPr>
        <w:t xml:space="preserve"> </w:t>
      </w:r>
      <w:r w:rsidRPr="00EA7458">
        <w:rPr>
          <w:rFonts w:ascii="Calibri" w:hAnsi="Calibri"/>
          <w:color w:val="231F20"/>
          <w:w w:val="105"/>
        </w:rPr>
        <w:t>by</w:t>
      </w:r>
      <w:r w:rsidRPr="00EA7458">
        <w:rPr>
          <w:rFonts w:ascii="Calibri" w:hAnsi="Calibri"/>
          <w:color w:val="231F20"/>
          <w:spacing w:val="11"/>
          <w:w w:val="105"/>
        </w:rPr>
        <w:t xml:space="preserve"> </w:t>
      </w:r>
      <w:r w:rsidRPr="00EA7458">
        <w:rPr>
          <w:rFonts w:ascii="Calibri" w:hAnsi="Calibri"/>
          <w:color w:val="231F20"/>
          <w:w w:val="105"/>
        </w:rPr>
        <w:t>the</w:t>
      </w:r>
      <w:r w:rsidRPr="00EA7458">
        <w:rPr>
          <w:rFonts w:ascii="Calibri" w:hAnsi="Calibri"/>
          <w:color w:val="231F20"/>
          <w:spacing w:val="11"/>
          <w:w w:val="105"/>
        </w:rPr>
        <w:t xml:space="preserve"> </w:t>
      </w:r>
      <w:r w:rsidRPr="00EA7458">
        <w:rPr>
          <w:rFonts w:ascii="Calibri" w:hAnsi="Calibri"/>
          <w:color w:val="231F20"/>
          <w:w w:val="105"/>
        </w:rPr>
        <w:t>core</w:t>
      </w:r>
      <w:r w:rsidRPr="00EA7458">
        <w:rPr>
          <w:rFonts w:ascii="Calibri" w:hAnsi="Calibri"/>
          <w:color w:val="231F20"/>
          <w:spacing w:val="11"/>
          <w:w w:val="105"/>
        </w:rPr>
        <w:t xml:space="preserve"> </w:t>
      </w:r>
      <w:r w:rsidRPr="00EA7458">
        <w:rPr>
          <w:rFonts w:ascii="Calibri" w:hAnsi="Calibri"/>
          <w:color w:val="231F20"/>
          <w:w w:val="105"/>
        </w:rPr>
        <w:t>program</w:t>
      </w:r>
      <w:r w:rsidRPr="00EA7458">
        <w:rPr>
          <w:rFonts w:ascii="Calibri" w:hAnsi="Calibri"/>
          <w:color w:val="231F20"/>
          <w:spacing w:val="11"/>
          <w:w w:val="105"/>
        </w:rPr>
        <w:t xml:space="preserve"> </w:t>
      </w:r>
      <w:r w:rsidRPr="00EA7458">
        <w:rPr>
          <w:rFonts w:ascii="Calibri" w:hAnsi="Calibri"/>
          <w:color w:val="231F20"/>
          <w:w w:val="105"/>
        </w:rPr>
        <w:t>senior</w:t>
      </w:r>
      <w:r w:rsidRPr="00EA7458">
        <w:rPr>
          <w:rFonts w:ascii="Calibri" w:hAnsi="Calibri"/>
          <w:color w:val="231F20"/>
          <w:spacing w:val="11"/>
          <w:w w:val="105"/>
        </w:rPr>
        <w:t xml:space="preserve"> </w:t>
      </w:r>
      <w:r w:rsidRPr="00EA7458">
        <w:rPr>
          <w:rFonts w:ascii="Calibri" w:hAnsi="Calibri"/>
          <w:color w:val="231F20"/>
          <w:w w:val="105"/>
        </w:rPr>
        <w:t>leadership,</w:t>
      </w:r>
      <w:r w:rsidRPr="00EA7458">
        <w:rPr>
          <w:rFonts w:ascii="Calibri" w:hAnsi="Calibri"/>
          <w:color w:val="231F20"/>
          <w:spacing w:val="11"/>
          <w:w w:val="105"/>
        </w:rPr>
        <w:t xml:space="preserve"> </w:t>
      </w:r>
      <w:r w:rsidRPr="00EA7458">
        <w:rPr>
          <w:rFonts w:ascii="Calibri" w:hAnsi="Calibri"/>
          <w:color w:val="231F20"/>
          <w:w w:val="105"/>
        </w:rPr>
        <w:t>the</w:t>
      </w:r>
      <w:r w:rsidRPr="00EA7458">
        <w:rPr>
          <w:rFonts w:ascii="Calibri" w:hAnsi="Calibri"/>
          <w:color w:val="231F20"/>
          <w:spacing w:val="11"/>
          <w:w w:val="105"/>
        </w:rPr>
        <w:t xml:space="preserve"> </w:t>
      </w:r>
      <w:r w:rsidRPr="00EA7458">
        <w:rPr>
          <w:rFonts w:ascii="Calibri" w:hAnsi="Calibri"/>
          <w:color w:val="231F20"/>
          <w:w w:val="105"/>
        </w:rPr>
        <w:t>state</w:t>
      </w:r>
      <w:r w:rsidRPr="00EA7458">
        <w:rPr>
          <w:rFonts w:ascii="Calibri" w:hAnsi="Calibri"/>
          <w:color w:val="231F20"/>
          <w:spacing w:val="-3"/>
          <w:w w:val="105"/>
        </w:rPr>
        <w:t xml:space="preserve"> </w:t>
      </w:r>
      <w:r w:rsidRPr="00EA7458">
        <w:rPr>
          <w:rFonts w:ascii="Calibri" w:hAnsi="Calibri"/>
          <w:color w:val="231F20"/>
          <w:w w:val="105"/>
        </w:rPr>
        <w:t>workforce</w:t>
      </w:r>
      <w:r w:rsidRPr="00EA7458">
        <w:rPr>
          <w:rFonts w:ascii="Calibri" w:hAnsi="Calibri"/>
          <w:color w:val="231F20"/>
          <w:spacing w:val="9"/>
          <w:w w:val="105"/>
        </w:rPr>
        <w:t xml:space="preserve"> </w:t>
      </w:r>
      <w:r w:rsidR="0046501D">
        <w:rPr>
          <w:rFonts w:ascii="Calibri" w:hAnsi="Calibri"/>
          <w:color w:val="231F20"/>
          <w:spacing w:val="9"/>
          <w:w w:val="105"/>
        </w:rPr>
        <w:t xml:space="preserve">investment </w:t>
      </w:r>
      <w:r w:rsidRPr="00EA7458">
        <w:rPr>
          <w:rFonts w:ascii="Calibri" w:hAnsi="Calibri"/>
          <w:color w:val="231F20"/>
          <w:w w:val="105"/>
        </w:rPr>
        <w:t>board</w:t>
      </w:r>
      <w:r w:rsidR="00D5537E">
        <w:rPr>
          <w:rFonts w:ascii="Calibri" w:hAnsi="Calibri"/>
          <w:color w:val="231F20"/>
          <w:w w:val="105"/>
        </w:rPr>
        <w:t xml:space="preserve"> and</w:t>
      </w:r>
      <w:r w:rsidRPr="00EA7458">
        <w:rPr>
          <w:rFonts w:ascii="Calibri" w:hAnsi="Calibri"/>
          <w:color w:val="231F20"/>
          <w:spacing w:val="9"/>
          <w:w w:val="105"/>
        </w:rPr>
        <w:t xml:space="preserve"> </w:t>
      </w:r>
      <w:r w:rsidRPr="00EA7458">
        <w:rPr>
          <w:rFonts w:ascii="Calibri" w:hAnsi="Calibri"/>
          <w:color w:val="231F20"/>
          <w:w w:val="105"/>
        </w:rPr>
        <w:t>ultimately</w:t>
      </w:r>
      <w:r w:rsidRPr="00EA7458">
        <w:rPr>
          <w:rFonts w:ascii="Calibri" w:hAnsi="Calibri"/>
          <w:color w:val="231F20"/>
          <w:spacing w:val="9"/>
          <w:w w:val="105"/>
        </w:rPr>
        <w:t xml:space="preserve"> </w:t>
      </w:r>
      <w:r w:rsidRPr="00EA7458">
        <w:rPr>
          <w:rFonts w:ascii="Calibri" w:hAnsi="Calibri"/>
          <w:color w:val="231F20"/>
          <w:w w:val="105"/>
        </w:rPr>
        <w:t>the</w:t>
      </w:r>
      <w:r w:rsidRPr="00EA7458">
        <w:rPr>
          <w:rFonts w:ascii="Calibri" w:hAnsi="Calibri"/>
          <w:color w:val="231F20"/>
          <w:spacing w:val="9"/>
          <w:w w:val="105"/>
        </w:rPr>
        <w:t xml:space="preserve"> </w:t>
      </w:r>
      <w:r w:rsidRPr="00EA7458">
        <w:rPr>
          <w:rFonts w:ascii="Calibri" w:hAnsi="Calibri"/>
          <w:color w:val="231F20"/>
          <w:w w:val="105"/>
        </w:rPr>
        <w:t>governor.</w:t>
      </w:r>
      <w:r w:rsidRPr="00EA7458">
        <w:rPr>
          <w:rFonts w:ascii="Calibri" w:hAnsi="Calibri"/>
          <w:color w:val="231F20"/>
          <w:spacing w:val="9"/>
          <w:w w:val="105"/>
        </w:rPr>
        <w:t xml:space="preserve"> </w:t>
      </w:r>
      <w:r w:rsidRPr="00EA7458">
        <w:rPr>
          <w:rFonts w:ascii="Calibri" w:hAnsi="Calibri"/>
          <w:color w:val="231F20"/>
          <w:w w:val="105"/>
        </w:rPr>
        <w:t>Data</w:t>
      </w:r>
      <w:r w:rsidRPr="00EA7458">
        <w:rPr>
          <w:rFonts w:ascii="Calibri" w:hAnsi="Calibri"/>
          <w:color w:val="231F20"/>
          <w:spacing w:val="9"/>
          <w:w w:val="105"/>
        </w:rPr>
        <w:t xml:space="preserve"> </w:t>
      </w:r>
      <w:r w:rsidR="00B0707D">
        <w:rPr>
          <w:rFonts w:ascii="Calibri" w:hAnsi="Calibri"/>
          <w:color w:val="231F20"/>
          <w:spacing w:val="9"/>
          <w:w w:val="105"/>
        </w:rPr>
        <w:t>are</w:t>
      </w:r>
      <w:r>
        <w:rPr>
          <w:rFonts w:ascii="Calibri" w:hAnsi="Calibri"/>
          <w:color w:val="231F20"/>
          <w:w w:val="105"/>
        </w:rPr>
        <w:t xml:space="preserve"> </w:t>
      </w:r>
      <w:r w:rsidRPr="00EA7458">
        <w:rPr>
          <w:rFonts w:ascii="Calibri" w:hAnsi="Calibri"/>
          <w:color w:val="231F20"/>
          <w:w w:val="105"/>
        </w:rPr>
        <w:t>housed</w:t>
      </w:r>
      <w:r w:rsidRPr="00EA7458">
        <w:rPr>
          <w:rFonts w:ascii="Calibri" w:hAnsi="Calibri"/>
          <w:color w:val="231F20"/>
          <w:spacing w:val="9"/>
          <w:w w:val="105"/>
        </w:rPr>
        <w:t xml:space="preserve"> </w:t>
      </w:r>
      <w:r w:rsidRPr="00EA7458">
        <w:rPr>
          <w:rFonts w:ascii="Calibri" w:hAnsi="Calibri"/>
          <w:color w:val="231F20"/>
          <w:w w:val="105"/>
        </w:rPr>
        <w:t>in</w:t>
      </w:r>
      <w:r w:rsidRPr="00EA7458">
        <w:rPr>
          <w:rFonts w:ascii="Calibri" w:hAnsi="Calibri"/>
          <w:color w:val="231F20"/>
          <w:spacing w:val="9"/>
          <w:w w:val="105"/>
        </w:rPr>
        <w:t xml:space="preserve"> </w:t>
      </w:r>
      <w:r w:rsidRPr="00EA7458">
        <w:rPr>
          <w:rFonts w:ascii="Calibri" w:hAnsi="Calibri"/>
          <w:color w:val="231F20"/>
          <w:w w:val="105"/>
        </w:rPr>
        <w:t>the</w:t>
      </w:r>
      <w:r w:rsidRPr="00EA7458">
        <w:rPr>
          <w:rFonts w:ascii="Calibri" w:hAnsi="Calibri"/>
          <w:color w:val="231F20"/>
          <w:spacing w:val="9"/>
          <w:w w:val="105"/>
        </w:rPr>
        <w:t xml:space="preserve"> </w:t>
      </w:r>
      <w:r w:rsidRPr="00EA7458">
        <w:rPr>
          <w:rFonts w:ascii="Calibri" w:hAnsi="Calibri"/>
          <w:color w:val="231F20"/>
          <w:w w:val="105"/>
        </w:rPr>
        <w:t>Florida</w:t>
      </w:r>
      <w:r w:rsidRPr="00EA7458">
        <w:rPr>
          <w:rFonts w:ascii="Calibri" w:hAnsi="Calibri"/>
          <w:color w:val="231F20"/>
          <w:spacing w:val="9"/>
          <w:w w:val="105"/>
        </w:rPr>
        <w:t xml:space="preserve"> </w:t>
      </w:r>
      <w:r w:rsidRPr="00EA7458">
        <w:rPr>
          <w:rFonts w:ascii="Calibri" w:hAnsi="Calibri"/>
          <w:color w:val="231F20"/>
          <w:w w:val="105"/>
        </w:rPr>
        <w:t>Education</w:t>
      </w:r>
      <w:r w:rsidRPr="00EA7458">
        <w:rPr>
          <w:rFonts w:ascii="Calibri" w:hAnsi="Calibri"/>
          <w:color w:val="231F20"/>
          <w:spacing w:val="9"/>
          <w:w w:val="105"/>
        </w:rPr>
        <w:t xml:space="preserve"> </w:t>
      </w:r>
      <w:r w:rsidRPr="00EA7458">
        <w:rPr>
          <w:rFonts w:ascii="Calibri" w:hAnsi="Calibri"/>
          <w:color w:val="231F20"/>
          <w:w w:val="105"/>
        </w:rPr>
        <w:t>and</w:t>
      </w:r>
      <w:r w:rsidRPr="00EA7458">
        <w:rPr>
          <w:rFonts w:ascii="Calibri" w:hAnsi="Calibri"/>
          <w:color w:val="231F20"/>
          <w:spacing w:val="9"/>
          <w:w w:val="105"/>
        </w:rPr>
        <w:t xml:space="preserve"> </w:t>
      </w:r>
      <w:r w:rsidRPr="00EA7458">
        <w:rPr>
          <w:rFonts w:ascii="Calibri" w:hAnsi="Calibri"/>
          <w:color w:val="231F20"/>
          <w:spacing w:val="-3"/>
          <w:w w:val="105"/>
        </w:rPr>
        <w:t>Training</w:t>
      </w:r>
      <w:r w:rsidRPr="00EA7458">
        <w:rPr>
          <w:rFonts w:ascii="Calibri" w:hAnsi="Calibri"/>
          <w:color w:val="231F20"/>
          <w:spacing w:val="-28"/>
          <w:w w:val="105"/>
        </w:rPr>
        <w:t xml:space="preserve"> </w:t>
      </w:r>
      <w:r w:rsidRPr="00EA7458">
        <w:rPr>
          <w:rFonts w:ascii="Calibri" w:hAnsi="Calibri"/>
          <w:color w:val="231F20"/>
          <w:w w:val="105"/>
        </w:rPr>
        <w:t>Placement</w:t>
      </w:r>
      <w:r w:rsidRPr="00EA7458">
        <w:rPr>
          <w:rFonts w:ascii="Calibri" w:hAnsi="Calibri"/>
          <w:color w:val="231F20"/>
          <w:spacing w:val="14"/>
          <w:w w:val="105"/>
        </w:rPr>
        <w:t xml:space="preserve"> </w:t>
      </w:r>
      <w:r w:rsidRPr="00EA7458">
        <w:rPr>
          <w:rFonts w:ascii="Calibri" w:hAnsi="Calibri"/>
          <w:color w:val="231F20"/>
          <w:w w:val="105"/>
        </w:rPr>
        <w:t>Information</w:t>
      </w:r>
      <w:r w:rsidRPr="00EA7458">
        <w:rPr>
          <w:rFonts w:ascii="Calibri" w:hAnsi="Calibri"/>
          <w:color w:val="231F20"/>
          <w:spacing w:val="14"/>
          <w:w w:val="105"/>
        </w:rPr>
        <w:t xml:space="preserve"> </w:t>
      </w:r>
      <w:r w:rsidRPr="00EA7458">
        <w:rPr>
          <w:rFonts w:ascii="Calibri" w:hAnsi="Calibri"/>
          <w:color w:val="231F20"/>
          <w:w w:val="105"/>
        </w:rPr>
        <w:t>Program</w:t>
      </w:r>
      <w:r w:rsidRPr="00EA7458">
        <w:rPr>
          <w:rFonts w:ascii="Calibri" w:hAnsi="Calibri"/>
          <w:color w:val="231F20"/>
          <w:spacing w:val="14"/>
          <w:w w:val="105"/>
        </w:rPr>
        <w:t xml:space="preserve"> </w:t>
      </w:r>
      <w:r w:rsidRPr="00EA7458">
        <w:rPr>
          <w:rFonts w:ascii="Calibri" w:hAnsi="Calibri"/>
          <w:color w:val="231F20"/>
          <w:w w:val="105"/>
        </w:rPr>
        <w:t>(FETPIP)</w:t>
      </w:r>
      <w:r w:rsidRPr="00EA7458">
        <w:rPr>
          <w:rFonts w:ascii="Calibri" w:hAnsi="Calibri"/>
          <w:color w:val="231F20"/>
          <w:spacing w:val="14"/>
          <w:w w:val="105"/>
        </w:rPr>
        <w:t xml:space="preserve"> </w:t>
      </w:r>
      <w:r w:rsidRPr="00EA7458">
        <w:rPr>
          <w:rFonts w:ascii="Calibri" w:hAnsi="Calibri"/>
          <w:color w:val="231F20"/>
          <w:w w:val="105"/>
        </w:rPr>
        <w:t>system</w:t>
      </w:r>
      <w:r w:rsidRPr="00EA7458">
        <w:rPr>
          <w:rFonts w:ascii="Calibri" w:hAnsi="Calibri"/>
          <w:color w:val="231F20"/>
          <w:spacing w:val="14"/>
          <w:w w:val="105"/>
        </w:rPr>
        <w:t xml:space="preserve"> </w:t>
      </w:r>
      <w:r w:rsidRPr="00EA7458">
        <w:rPr>
          <w:rFonts w:ascii="Calibri" w:hAnsi="Calibri"/>
          <w:color w:val="231F20"/>
          <w:w w:val="105"/>
        </w:rPr>
        <w:t>for</w:t>
      </w:r>
      <w:r w:rsidRPr="00EA7458">
        <w:rPr>
          <w:rFonts w:ascii="Calibri" w:hAnsi="Calibri"/>
          <w:color w:val="231F20"/>
          <w:spacing w:val="14"/>
          <w:w w:val="105"/>
        </w:rPr>
        <w:t xml:space="preserve"> </w:t>
      </w:r>
      <w:r>
        <w:rPr>
          <w:rFonts w:ascii="Calibri" w:hAnsi="Calibri"/>
          <w:color w:val="231F20"/>
          <w:spacing w:val="14"/>
          <w:w w:val="105"/>
        </w:rPr>
        <w:t xml:space="preserve">quarterly and annual </w:t>
      </w:r>
      <w:r w:rsidRPr="00EA7458">
        <w:rPr>
          <w:rFonts w:ascii="Calibri" w:hAnsi="Calibri"/>
          <w:color w:val="231F20"/>
          <w:w w:val="105"/>
        </w:rPr>
        <w:t>reporting</w:t>
      </w:r>
      <w:r w:rsidRPr="00EA7458">
        <w:rPr>
          <w:rFonts w:ascii="Calibri" w:hAnsi="Calibri"/>
          <w:color w:val="231F20"/>
          <w:spacing w:val="14"/>
          <w:w w:val="105"/>
        </w:rPr>
        <w:t xml:space="preserve"> </w:t>
      </w:r>
      <w:r w:rsidRPr="00EA7458">
        <w:rPr>
          <w:rFonts w:ascii="Calibri" w:hAnsi="Calibri"/>
          <w:color w:val="231F20"/>
          <w:w w:val="105"/>
        </w:rPr>
        <w:t>by</w:t>
      </w:r>
      <w:r w:rsidRPr="00EA7458">
        <w:rPr>
          <w:rFonts w:ascii="Calibri" w:hAnsi="Calibri"/>
          <w:color w:val="231F20"/>
          <w:spacing w:val="14"/>
          <w:w w:val="105"/>
        </w:rPr>
        <w:t xml:space="preserve"> </w:t>
      </w:r>
      <w:r w:rsidRPr="00EA7458">
        <w:rPr>
          <w:rFonts w:ascii="Calibri" w:hAnsi="Calibri"/>
          <w:color w:val="231F20"/>
          <w:spacing w:val="-3"/>
          <w:w w:val="105"/>
        </w:rPr>
        <w:t>WIOA</w:t>
      </w:r>
      <w:r w:rsidRPr="00EA7458">
        <w:rPr>
          <w:rFonts w:ascii="Calibri" w:hAnsi="Calibri"/>
          <w:color w:val="231F20"/>
          <w:spacing w:val="14"/>
          <w:w w:val="105"/>
        </w:rPr>
        <w:t xml:space="preserve"> </w:t>
      </w:r>
      <w:r w:rsidRPr="00EA7458">
        <w:rPr>
          <w:rFonts w:ascii="Calibri" w:hAnsi="Calibri"/>
          <w:color w:val="231F20"/>
          <w:w w:val="105"/>
        </w:rPr>
        <w:t>core</w:t>
      </w:r>
      <w:r w:rsidRPr="00EA7458">
        <w:rPr>
          <w:rFonts w:ascii="Calibri" w:hAnsi="Calibri"/>
          <w:color w:val="231F20"/>
          <w:spacing w:val="14"/>
          <w:w w:val="105"/>
        </w:rPr>
        <w:t xml:space="preserve"> </w:t>
      </w:r>
      <w:r w:rsidRPr="00EA7458">
        <w:rPr>
          <w:rFonts w:ascii="Calibri" w:hAnsi="Calibri"/>
          <w:color w:val="231F20"/>
          <w:w w:val="105"/>
        </w:rPr>
        <w:t>program</w:t>
      </w:r>
      <w:r>
        <w:rPr>
          <w:rFonts w:ascii="Calibri" w:hAnsi="Calibri"/>
          <w:color w:val="231F20"/>
          <w:w w:val="105"/>
        </w:rPr>
        <w:t xml:space="preserve"> partners</w:t>
      </w:r>
      <w:r w:rsidRPr="00EA7458">
        <w:rPr>
          <w:rFonts w:ascii="Calibri" w:hAnsi="Calibri"/>
          <w:color w:val="231F20"/>
          <w:w w:val="105"/>
        </w:rPr>
        <w:t>.</w:t>
      </w:r>
      <w:r>
        <w:rPr>
          <w:rFonts w:ascii="Calibri" w:hAnsi="Calibri"/>
          <w:color w:val="231F20"/>
          <w:w w:val="105"/>
        </w:rPr>
        <w:t xml:space="preserve"> Tables with updated performance and negotiated performance goals are in section III of this plan</w:t>
      </w:r>
      <w:r w:rsidR="005E7C49">
        <w:rPr>
          <w:rFonts w:ascii="Calibri" w:hAnsi="Calibri"/>
          <w:color w:val="231F20"/>
          <w:w w:val="105"/>
        </w:rPr>
        <w:t xml:space="preserve">. </w:t>
      </w:r>
    </w:p>
    <w:p w14:paraId="446DD6EE" w14:textId="77777777" w:rsidR="00D64EA1" w:rsidRPr="00EA7458" w:rsidRDefault="00D64EA1" w:rsidP="00D63204">
      <w:pPr>
        <w:widowControl w:val="0"/>
        <w:numPr>
          <w:ilvl w:val="1"/>
          <w:numId w:val="7"/>
        </w:numPr>
        <w:tabs>
          <w:tab w:val="left" w:pos="1278"/>
        </w:tabs>
        <w:spacing w:before="182" w:after="0" w:line="240" w:lineRule="auto"/>
        <w:outlineLvl w:val="2"/>
        <w:rPr>
          <w:rFonts w:ascii="Calibri" w:hAnsi="Calibri"/>
        </w:rPr>
      </w:pPr>
      <w:r w:rsidRPr="00EA7458">
        <w:rPr>
          <w:rFonts w:ascii="Calibri" w:hAnsi="Calibri"/>
          <w:b/>
          <w:bCs/>
          <w:color w:val="295CA3"/>
          <w:w w:val="110"/>
        </w:rPr>
        <w:t>Assessment</w:t>
      </w:r>
    </w:p>
    <w:p w14:paraId="44DB41C7" w14:textId="2389A2A6" w:rsidR="00D64EA1" w:rsidRPr="00A833A2" w:rsidRDefault="00D64EA1" w:rsidP="00D63204">
      <w:pPr>
        <w:widowControl w:val="0"/>
        <w:spacing w:before="188" w:after="0" w:line="264" w:lineRule="exact"/>
        <w:rPr>
          <w:rFonts w:ascii="Calibri" w:hAnsi="Calibri"/>
        </w:rPr>
      </w:pPr>
      <w:r w:rsidRPr="00A833A2">
        <w:rPr>
          <w:rFonts w:ascii="Calibri" w:hAnsi="Calibri"/>
          <w:w w:val="105"/>
        </w:rPr>
        <w:t>To accurately assess effectiveness of the workforce system</w:t>
      </w:r>
      <w:r w:rsidR="005F4989">
        <w:rPr>
          <w:rFonts w:ascii="Calibri" w:hAnsi="Calibri"/>
          <w:w w:val="105"/>
        </w:rPr>
        <w:t>,</w:t>
      </w:r>
      <w:r w:rsidRPr="00A833A2" w:rsidDel="00C23AC4">
        <w:rPr>
          <w:rFonts w:ascii="Calibri" w:hAnsi="Calibri"/>
          <w:w w:val="105"/>
        </w:rPr>
        <w:t xml:space="preserve"> </w:t>
      </w:r>
      <w:r w:rsidRPr="00A833A2">
        <w:rPr>
          <w:rFonts w:ascii="Calibri" w:hAnsi="Calibri"/>
          <w:w w:val="105"/>
        </w:rPr>
        <w:t>all</w:t>
      </w:r>
      <w:r w:rsidRPr="00A833A2">
        <w:rPr>
          <w:rFonts w:ascii="Calibri" w:hAnsi="Calibri"/>
          <w:spacing w:val="8"/>
          <w:w w:val="105"/>
        </w:rPr>
        <w:t xml:space="preserve"> </w:t>
      </w:r>
      <w:r w:rsidRPr="00A833A2">
        <w:rPr>
          <w:rFonts w:ascii="Calibri" w:hAnsi="Calibri"/>
          <w:w w:val="105"/>
        </w:rPr>
        <w:t>core</w:t>
      </w:r>
      <w:r w:rsidRPr="00A833A2">
        <w:rPr>
          <w:rFonts w:ascii="Calibri" w:hAnsi="Calibri"/>
          <w:spacing w:val="8"/>
          <w:w w:val="105"/>
        </w:rPr>
        <w:t xml:space="preserve"> </w:t>
      </w:r>
      <w:r w:rsidRPr="00A833A2">
        <w:rPr>
          <w:rFonts w:ascii="Calibri" w:hAnsi="Calibri"/>
          <w:w w:val="105"/>
        </w:rPr>
        <w:t>partners</w:t>
      </w:r>
      <w:r w:rsidRPr="00A833A2">
        <w:rPr>
          <w:rFonts w:ascii="Calibri" w:hAnsi="Calibri"/>
          <w:spacing w:val="8"/>
          <w:w w:val="105"/>
        </w:rPr>
        <w:t xml:space="preserve"> </w:t>
      </w:r>
      <w:r w:rsidRPr="00A833A2">
        <w:rPr>
          <w:rFonts w:ascii="Calibri" w:hAnsi="Calibri"/>
          <w:w w:val="105"/>
        </w:rPr>
        <w:t xml:space="preserve">provide quarterly performance data to the state workforce </w:t>
      </w:r>
      <w:r w:rsidR="0046501D">
        <w:rPr>
          <w:rFonts w:ascii="Calibri" w:hAnsi="Calibri"/>
          <w:w w:val="105"/>
        </w:rPr>
        <w:t xml:space="preserve">investment </w:t>
      </w:r>
      <w:r w:rsidRPr="00A833A2">
        <w:rPr>
          <w:rFonts w:ascii="Calibri" w:hAnsi="Calibri"/>
          <w:w w:val="105"/>
        </w:rPr>
        <w:t>board. Performance is assessed in relation to state and local targets. Gaps in performance are addressed at the local levels</w:t>
      </w:r>
      <w:r w:rsidR="005E7C49">
        <w:rPr>
          <w:rFonts w:ascii="Calibri" w:hAnsi="Calibri"/>
          <w:w w:val="105"/>
        </w:rPr>
        <w:t xml:space="preserve">. </w:t>
      </w:r>
      <w:r w:rsidR="00C64A81">
        <w:rPr>
          <w:rFonts w:ascii="Calibri" w:hAnsi="Calibri"/>
          <w:w w:val="105"/>
        </w:rPr>
        <w:t>S</w:t>
      </w:r>
      <w:r w:rsidRPr="00A833A2">
        <w:rPr>
          <w:rFonts w:ascii="Calibri" w:hAnsi="Calibri"/>
          <w:w w:val="105"/>
        </w:rPr>
        <w:t>tate-level teams provide technical assistance to local boards on complex performance issues</w:t>
      </w:r>
      <w:r w:rsidR="005E7C49">
        <w:rPr>
          <w:rFonts w:ascii="Calibri" w:hAnsi="Calibri"/>
          <w:w w:val="105"/>
        </w:rPr>
        <w:t xml:space="preserve">. </w:t>
      </w:r>
      <w:r w:rsidRPr="00A833A2">
        <w:rPr>
          <w:rFonts w:ascii="Calibri" w:hAnsi="Calibri"/>
          <w:w w:val="105"/>
        </w:rPr>
        <w:t>Core program partners share performance reports and special analyses of performance are conducted and shared across programs</w:t>
      </w:r>
      <w:r w:rsidR="005E7C49">
        <w:rPr>
          <w:rFonts w:ascii="Calibri" w:hAnsi="Calibri"/>
          <w:w w:val="105"/>
        </w:rPr>
        <w:t xml:space="preserve">. </w:t>
      </w:r>
      <w:r w:rsidRPr="00A833A2">
        <w:rPr>
          <w:rFonts w:ascii="Calibri" w:hAnsi="Calibri"/>
          <w:w w:val="105"/>
        </w:rPr>
        <w:t xml:space="preserve">For example, DEO is completing a comprehensive study on skills gaps stratified to the local levels which will be distributed and used by all </w:t>
      </w:r>
      <w:r w:rsidR="008F75A4">
        <w:rPr>
          <w:rFonts w:ascii="Calibri" w:hAnsi="Calibri"/>
          <w:w w:val="105"/>
        </w:rPr>
        <w:t>c</w:t>
      </w:r>
      <w:r w:rsidRPr="00A833A2">
        <w:rPr>
          <w:rFonts w:ascii="Calibri" w:hAnsi="Calibri"/>
          <w:w w:val="105"/>
        </w:rPr>
        <w:t xml:space="preserve">ore </w:t>
      </w:r>
      <w:r w:rsidR="008F75A4">
        <w:rPr>
          <w:rFonts w:ascii="Calibri" w:hAnsi="Calibri"/>
          <w:w w:val="105"/>
        </w:rPr>
        <w:t>p</w:t>
      </w:r>
      <w:r w:rsidRPr="00A833A2">
        <w:rPr>
          <w:rFonts w:ascii="Calibri" w:hAnsi="Calibri"/>
          <w:w w:val="105"/>
        </w:rPr>
        <w:t>artners at the state and local levels</w:t>
      </w:r>
      <w:r w:rsidR="005E7C49">
        <w:rPr>
          <w:rFonts w:ascii="Calibri" w:hAnsi="Calibri"/>
          <w:w w:val="105"/>
        </w:rPr>
        <w:t xml:space="preserve">. </w:t>
      </w:r>
    </w:p>
    <w:p w14:paraId="2A77368D" w14:textId="73E819E6" w:rsidR="00D64EA1" w:rsidRPr="00766539" w:rsidRDefault="00D64EA1" w:rsidP="00D63204">
      <w:pPr>
        <w:widowControl w:val="0"/>
        <w:spacing w:after="0" w:line="240" w:lineRule="auto"/>
        <w:ind w:left="107"/>
        <w:rPr>
          <w:rFonts w:ascii="Calibri" w:hAnsi="Calibri" w:cs="Calibri"/>
          <w:sz w:val="26"/>
          <w:szCs w:val="26"/>
        </w:rPr>
      </w:pPr>
    </w:p>
    <w:p w14:paraId="3A748F19" w14:textId="77777777" w:rsidR="00D64EA1" w:rsidRPr="00EA7458" w:rsidRDefault="00D64EA1" w:rsidP="00D63204">
      <w:pPr>
        <w:widowControl w:val="0"/>
        <w:numPr>
          <w:ilvl w:val="0"/>
          <w:numId w:val="7"/>
        </w:numPr>
        <w:tabs>
          <w:tab w:val="left" w:pos="828"/>
        </w:tabs>
        <w:spacing w:after="0" w:line="240" w:lineRule="auto"/>
        <w:outlineLvl w:val="1"/>
        <w:rPr>
          <w:rFonts w:ascii="Calibri" w:hAnsi="Calibri"/>
          <w:sz w:val="26"/>
          <w:szCs w:val="26"/>
        </w:rPr>
      </w:pPr>
      <w:bookmarkStart w:id="56" w:name="(c)_State_Strategy_"/>
      <w:bookmarkStart w:id="57" w:name="_bookmark36"/>
      <w:bookmarkEnd w:id="56"/>
      <w:bookmarkEnd w:id="57"/>
      <w:r w:rsidRPr="00766539">
        <w:rPr>
          <w:rFonts w:ascii="Calibri" w:hAnsi="Calibri"/>
          <w:b/>
          <w:bCs/>
          <w:color w:val="295CA3"/>
          <w:w w:val="110"/>
          <w:sz w:val="26"/>
          <w:szCs w:val="26"/>
        </w:rPr>
        <w:t>State</w:t>
      </w:r>
      <w:r w:rsidRPr="00766539">
        <w:rPr>
          <w:rFonts w:ascii="Calibri" w:hAnsi="Calibri"/>
          <w:b/>
          <w:bCs/>
          <w:color w:val="295CA3"/>
          <w:spacing w:val="1"/>
          <w:w w:val="110"/>
          <w:sz w:val="26"/>
          <w:szCs w:val="26"/>
        </w:rPr>
        <w:t xml:space="preserve"> </w:t>
      </w:r>
      <w:r w:rsidRPr="00766539">
        <w:rPr>
          <w:rFonts w:ascii="Calibri" w:hAnsi="Calibri"/>
          <w:b/>
          <w:bCs/>
          <w:color w:val="295CA3"/>
          <w:w w:val="110"/>
          <w:sz w:val="26"/>
          <w:szCs w:val="26"/>
        </w:rPr>
        <w:t>Strategy</w:t>
      </w:r>
    </w:p>
    <w:p w14:paraId="24A27DB0" w14:textId="77777777" w:rsidR="00D64EA1" w:rsidRPr="00EA7458" w:rsidRDefault="00D64EA1" w:rsidP="00D63204">
      <w:pPr>
        <w:widowControl w:val="0"/>
        <w:numPr>
          <w:ilvl w:val="1"/>
          <w:numId w:val="7"/>
        </w:numPr>
        <w:tabs>
          <w:tab w:val="left" w:pos="1278"/>
        </w:tabs>
        <w:spacing w:before="189" w:after="0" w:line="240" w:lineRule="auto"/>
        <w:outlineLvl w:val="2"/>
        <w:rPr>
          <w:rFonts w:ascii="Calibri" w:hAnsi="Calibri"/>
        </w:rPr>
      </w:pPr>
      <w:r w:rsidRPr="00EA7458">
        <w:rPr>
          <w:rFonts w:ascii="Calibri" w:hAnsi="Calibri"/>
          <w:b/>
          <w:bCs/>
          <w:color w:val="295CA3"/>
          <w:w w:val="110"/>
        </w:rPr>
        <w:t>Implementation of State</w:t>
      </w:r>
      <w:r w:rsidRPr="00EA7458">
        <w:rPr>
          <w:rFonts w:ascii="Calibri" w:hAnsi="Calibri"/>
          <w:b/>
          <w:bCs/>
          <w:color w:val="295CA3"/>
          <w:spacing w:val="1"/>
          <w:w w:val="110"/>
        </w:rPr>
        <w:t xml:space="preserve"> </w:t>
      </w:r>
      <w:r w:rsidRPr="00EA7458">
        <w:rPr>
          <w:rFonts w:ascii="Calibri" w:hAnsi="Calibri"/>
          <w:b/>
          <w:bCs/>
          <w:color w:val="295CA3"/>
          <w:w w:val="110"/>
        </w:rPr>
        <w:t>Strategies</w:t>
      </w:r>
    </w:p>
    <w:p w14:paraId="08BC86FB" w14:textId="77777777" w:rsidR="00D64EA1" w:rsidRPr="00EA7458" w:rsidRDefault="00D64EA1" w:rsidP="00D63204">
      <w:pPr>
        <w:widowControl w:val="0"/>
        <w:spacing w:before="190" w:after="0" w:line="266" w:lineRule="exact"/>
        <w:ind w:left="107"/>
        <w:rPr>
          <w:rFonts w:ascii="Calibri" w:hAnsi="Calibri" w:cs="Calibri"/>
        </w:rPr>
      </w:pPr>
      <w:r w:rsidRPr="00EA7458">
        <w:rPr>
          <w:rFonts w:ascii="Calibri" w:hAnsi="Calibri"/>
          <w:b/>
          <w:color w:val="231F20"/>
          <w:w w:val="110"/>
        </w:rPr>
        <w:t xml:space="preserve">Redefining Customer Service Standards for Business </w:t>
      </w:r>
      <w:r w:rsidRPr="00EA7458">
        <w:rPr>
          <w:rFonts w:ascii="Calibri" w:hAnsi="Calibri"/>
          <w:b/>
          <w:color w:val="231F20"/>
          <w:spacing w:val="-3"/>
          <w:w w:val="110"/>
        </w:rPr>
        <w:t>Talent</w:t>
      </w:r>
      <w:r w:rsidRPr="00EA7458">
        <w:rPr>
          <w:rFonts w:ascii="Calibri" w:hAnsi="Calibri"/>
          <w:b/>
          <w:color w:val="231F20"/>
          <w:spacing w:val="9"/>
          <w:w w:val="110"/>
        </w:rPr>
        <w:t xml:space="preserve"> </w:t>
      </w:r>
      <w:r w:rsidRPr="00EA7458">
        <w:rPr>
          <w:rFonts w:ascii="Calibri" w:hAnsi="Calibri"/>
          <w:b/>
          <w:color w:val="231F20"/>
          <w:w w:val="110"/>
        </w:rPr>
        <w:t>Support</w:t>
      </w:r>
    </w:p>
    <w:p w14:paraId="43930DF2" w14:textId="1324AEEB" w:rsidR="00D64EA1" w:rsidRPr="0099174B" w:rsidRDefault="00D64EA1" w:rsidP="00D63204">
      <w:pPr>
        <w:widowControl w:val="0"/>
        <w:spacing w:before="2" w:after="0" w:line="235" w:lineRule="auto"/>
        <w:ind w:left="107"/>
        <w:rPr>
          <w:rFonts w:ascii="Calibri" w:hAnsi="Calibri"/>
          <w:w w:val="105"/>
        </w:rPr>
      </w:pPr>
      <w:r w:rsidRPr="00EA7458">
        <w:rPr>
          <w:rFonts w:ascii="Calibri" w:hAnsi="Calibri"/>
          <w:w w:val="105"/>
        </w:rPr>
        <w:t>Continuous</w:t>
      </w:r>
      <w:r w:rsidRPr="0099174B">
        <w:rPr>
          <w:rFonts w:ascii="Calibri" w:hAnsi="Calibri"/>
          <w:w w:val="105"/>
        </w:rPr>
        <w:t xml:space="preserve"> </w:t>
      </w:r>
      <w:r w:rsidRPr="00EA7458">
        <w:rPr>
          <w:rFonts w:ascii="Calibri" w:hAnsi="Calibri"/>
          <w:w w:val="105"/>
        </w:rPr>
        <w:t>improvement</w:t>
      </w:r>
      <w:r w:rsidRPr="0099174B">
        <w:rPr>
          <w:rFonts w:ascii="Calibri" w:hAnsi="Calibri"/>
          <w:w w:val="105"/>
        </w:rPr>
        <w:t xml:space="preserve"> </w:t>
      </w:r>
      <w:r w:rsidRPr="00EA7458">
        <w:rPr>
          <w:rFonts w:ascii="Calibri" w:hAnsi="Calibri"/>
          <w:w w:val="105"/>
        </w:rPr>
        <w:t>is</w:t>
      </w:r>
      <w:r w:rsidRPr="0099174B">
        <w:rPr>
          <w:rFonts w:ascii="Calibri" w:hAnsi="Calibri"/>
          <w:w w:val="105"/>
        </w:rPr>
        <w:t xml:space="preserve"> </w:t>
      </w:r>
      <w:r w:rsidRPr="00EA7458">
        <w:rPr>
          <w:rFonts w:ascii="Calibri" w:hAnsi="Calibri"/>
          <w:w w:val="105"/>
        </w:rPr>
        <w:t>a</w:t>
      </w:r>
      <w:r w:rsidRPr="0099174B">
        <w:rPr>
          <w:rFonts w:ascii="Calibri" w:hAnsi="Calibri"/>
          <w:w w:val="105"/>
        </w:rPr>
        <w:t xml:space="preserve"> </w:t>
      </w:r>
      <w:r w:rsidRPr="00EA7458">
        <w:rPr>
          <w:rFonts w:ascii="Calibri" w:hAnsi="Calibri"/>
          <w:w w:val="105"/>
        </w:rPr>
        <w:t>key</w:t>
      </w:r>
      <w:r w:rsidRPr="0099174B">
        <w:rPr>
          <w:rFonts w:ascii="Calibri" w:hAnsi="Calibri"/>
          <w:w w:val="105"/>
        </w:rPr>
        <w:t xml:space="preserve"> </w:t>
      </w:r>
      <w:r w:rsidRPr="00EA7458">
        <w:rPr>
          <w:rFonts w:ascii="Calibri" w:hAnsi="Calibri"/>
          <w:w w:val="105"/>
        </w:rPr>
        <w:t>value</w:t>
      </w:r>
      <w:r w:rsidRPr="0099174B">
        <w:rPr>
          <w:rFonts w:ascii="Calibri" w:hAnsi="Calibri"/>
          <w:w w:val="105"/>
        </w:rPr>
        <w:t xml:space="preserve"> </w:t>
      </w:r>
      <w:r w:rsidRPr="00EA7458">
        <w:rPr>
          <w:rFonts w:ascii="Calibri" w:hAnsi="Calibri"/>
          <w:w w:val="105"/>
        </w:rPr>
        <w:t>of</w:t>
      </w:r>
      <w:r w:rsidRPr="0099174B">
        <w:rPr>
          <w:rFonts w:ascii="Calibri" w:hAnsi="Calibri"/>
          <w:w w:val="105"/>
        </w:rPr>
        <w:t xml:space="preserve"> </w:t>
      </w:r>
      <w:r w:rsidRPr="00EA7458">
        <w:rPr>
          <w:rFonts w:ascii="Calibri" w:hAnsi="Calibri"/>
          <w:w w:val="105"/>
        </w:rPr>
        <w:t>the</w:t>
      </w:r>
      <w:r w:rsidRPr="0099174B">
        <w:rPr>
          <w:rFonts w:ascii="Calibri" w:hAnsi="Calibri"/>
          <w:w w:val="105"/>
        </w:rPr>
        <w:t xml:space="preserve"> </w:t>
      </w:r>
      <w:r w:rsidRPr="00EA7458">
        <w:rPr>
          <w:rFonts w:ascii="Calibri" w:hAnsi="Calibri"/>
          <w:w w:val="105"/>
        </w:rPr>
        <w:t>CareerSource</w:t>
      </w:r>
      <w:r w:rsidRPr="0099174B">
        <w:rPr>
          <w:rFonts w:ascii="Calibri" w:hAnsi="Calibri"/>
          <w:w w:val="105"/>
        </w:rPr>
        <w:t xml:space="preserve"> </w:t>
      </w:r>
      <w:r w:rsidRPr="00EA7458">
        <w:rPr>
          <w:rFonts w:ascii="Calibri" w:hAnsi="Calibri"/>
          <w:w w:val="105"/>
        </w:rPr>
        <w:t>Florida</w:t>
      </w:r>
      <w:r w:rsidRPr="0099174B">
        <w:rPr>
          <w:rFonts w:ascii="Calibri" w:hAnsi="Calibri"/>
          <w:w w:val="105"/>
        </w:rPr>
        <w:t xml:space="preserve"> </w:t>
      </w:r>
      <w:r w:rsidRPr="00EA7458">
        <w:rPr>
          <w:rFonts w:ascii="Calibri" w:hAnsi="Calibri"/>
          <w:w w:val="105"/>
        </w:rPr>
        <w:t>network.</w:t>
      </w:r>
      <w:r w:rsidRPr="0099174B">
        <w:rPr>
          <w:rFonts w:ascii="Calibri" w:hAnsi="Calibri"/>
          <w:w w:val="105"/>
        </w:rPr>
        <w:t xml:space="preserve"> </w:t>
      </w:r>
      <w:r w:rsidRPr="00EA7458">
        <w:rPr>
          <w:rFonts w:ascii="Calibri" w:hAnsi="Calibri"/>
          <w:w w:val="105"/>
        </w:rPr>
        <w:t>CareerSource</w:t>
      </w:r>
      <w:r w:rsidRPr="0099174B">
        <w:rPr>
          <w:rFonts w:ascii="Calibri" w:hAnsi="Calibri"/>
          <w:w w:val="105"/>
        </w:rPr>
        <w:t xml:space="preserve"> </w:t>
      </w:r>
      <w:r w:rsidRPr="00EA7458">
        <w:rPr>
          <w:rFonts w:ascii="Calibri" w:hAnsi="Calibri"/>
          <w:w w:val="105"/>
        </w:rPr>
        <w:t>Florida</w:t>
      </w:r>
      <w:r w:rsidRPr="0099174B">
        <w:rPr>
          <w:rFonts w:ascii="Calibri" w:hAnsi="Calibri"/>
          <w:w w:val="105"/>
        </w:rPr>
        <w:t xml:space="preserve"> </w:t>
      </w:r>
      <w:r>
        <w:rPr>
          <w:rFonts w:ascii="Calibri" w:hAnsi="Calibri"/>
          <w:w w:val="105"/>
        </w:rPr>
        <w:t xml:space="preserve">evaluates and defines </w:t>
      </w:r>
      <w:r w:rsidRPr="00EA7458">
        <w:rPr>
          <w:rFonts w:ascii="Calibri" w:hAnsi="Calibri"/>
          <w:w w:val="105"/>
        </w:rPr>
        <w:t>standards</w:t>
      </w:r>
      <w:r w:rsidRPr="0099174B">
        <w:rPr>
          <w:rFonts w:ascii="Calibri" w:hAnsi="Calibri"/>
          <w:w w:val="105"/>
        </w:rPr>
        <w:t xml:space="preserve"> </w:t>
      </w:r>
      <w:r w:rsidRPr="00EA7458">
        <w:rPr>
          <w:rFonts w:ascii="Calibri" w:hAnsi="Calibri"/>
          <w:w w:val="105"/>
        </w:rPr>
        <w:t>and</w:t>
      </w:r>
      <w:r w:rsidRPr="0099174B">
        <w:rPr>
          <w:rFonts w:ascii="Calibri" w:hAnsi="Calibri"/>
          <w:w w:val="105"/>
        </w:rPr>
        <w:t xml:space="preserve"> </w:t>
      </w:r>
      <w:r w:rsidRPr="00EA7458">
        <w:rPr>
          <w:rFonts w:ascii="Calibri" w:hAnsi="Calibri"/>
          <w:w w:val="105"/>
        </w:rPr>
        <w:t>measures</w:t>
      </w:r>
      <w:r w:rsidRPr="0099174B">
        <w:rPr>
          <w:rFonts w:ascii="Calibri" w:hAnsi="Calibri"/>
          <w:w w:val="105"/>
        </w:rPr>
        <w:t xml:space="preserve"> </w:t>
      </w:r>
      <w:r w:rsidRPr="00EA7458">
        <w:rPr>
          <w:rFonts w:ascii="Calibri" w:hAnsi="Calibri"/>
          <w:w w:val="105"/>
        </w:rPr>
        <w:t>(</w:t>
      </w:r>
      <w:r w:rsidR="00BA774F">
        <w:rPr>
          <w:rFonts w:ascii="Calibri" w:hAnsi="Calibri"/>
          <w:w w:val="105"/>
        </w:rPr>
        <w:t>and</w:t>
      </w:r>
      <w:r w:rsidRPr="0099174B">
        <w:rPr>
          <w:rFonts w:ascii="Calibri" w:hAnsi="Calibri"/>
          <w:w w:val="105"/>
        </w:rPr>
        <w:t xml:space="preserve"> </w:t>
      </w:r>
      <w:r>
        <w:rPr>
          <w:rFonts w:ascii="Calibri" w:hAnsi="Calibri"/>
          <w:w w:val="105"/>
        </w:rPr>
        <w:t xml:space="preserve">removes </w:t>
      </w:r>
      <w:r w:rsidRPr="00EA7458">
        <w:rPr>
          <w:rFonts w:ascii="Calibri" w:hAnsi="Calibri"/>
          <w:w w:val="105"/>
        </w:rPr>
        <w:t>any</w:t>
      </w:r>
      <w:r w:rsidRPr="0099174B">
        <w:rPr>
          <w:rFonts w:ascii="Calibri" w:hAnsi="Calibri"/>
          <w:w w:val="105"/>
        </w:rPr>
        <w:t xml:space="preserve"> </w:t>
      </w:r>
      <w:r w:rsidRPr="00EA7458">
        <w:rPr>
          <w:rFonts w:ascii="Calibri" w:hAnsi="Calibri"/>
          <w:w w:val="105"/>
        </w:rPr>
        <w:t>deemed</w:t>
      </w:r>
      <w:r w:rsidRPr="0099174B">
        <w:rPr>
          <w:rFonts w:ascii="Calibri" w:hAnsi="Calibri"/>
          <w:w w:val="105"/>
        </w:rPr>
        <w:t xml:space="preserve"> </w:t>
      </w:r>
      <w:r w:rsidRPr="00EA7458">
        <w:rPr>
          <w:rFonts w:ascii="Calibri" w:hAnsi="Calibri"/>
          <w:w w:val="105"/>
        </w:rPr>
        <w:t>unnecessary)</w:t>
      </w:r>
      <w:r w:rsidRPr="0099174B">
        <w:rPr>
          <w:rFonts w:ascii="Calibri" w:hAnsi="Calibri"/>
          <w:w w:val="105"/>
        </w:rPr>
        <w:t xml:space="preserve"> </w:t>
      </w:r>
      <w:r w:rsidRPr="00EA7458">
        <w:rPr>
          <w:rFonts w:ascii="Calibri" w:hAnsi="Calibri"/>
          <w:w w:val="105"/>
        </w:rPr>
        <w:t>in</w:t>
      </w:r>
      <w:r w:rsidRPr="0099174B">
        <w:rPr>
          <w:rFonts w:ascii="Calibri" w:hAnsi="Calibri"/>
          <w:w w:val="105"/>
        </w:rPr>
        <w:t xml:space="preserve"> </w:t>
      </w:r>
      <w:r w:rsidRPr="00EA7458">
        <w:rPr>
          <w:rFonts w:ascii="Calibri" w:hAnsi="Calibri"/>
          <w:w w:val="105"/>
        </w:rPr>
        <w:t>customer</w:t>
      </w:r>
      <w:r w:rsidRPr="0099174B">
        <w:rPr>
          <w:rFonts w:ascii="Calibri" w:hAnsi="Calibri"/>
          <w:w w:val="105"/>
        </w:rPr>
        <w:t xml:space="preserve"> </w:t>
      </w:r>
      <w:r w:rsidRPr="00EA7458">
        <w:rPr>
          <w:rFonts w:ascii="Calibri" w:hAnsi="Calibri"/>
          <w:w w:val="105"/>
        </w:rPr>
        <w:t>service.</w:t>
      </w:r>
      <w:r w:rsidRPr="0099174B">
        <w:rPr>
          <w:rFonts w:ascii="Calibri" w:hAnsi="Calibri"/>
          <w:w w:val="105"/>
        </w:rPr>
        <w:t xml:space="preserve"> </w:t>
      </w:r>
      <w:r w:rsidRPr="00EA7458">
        <w:rPr>
          <w:rFonts w:ascii="Calibri" w:hAnsi="Calibri"/>
          <w:w w:val="105"/>
        </w:rPr>
        <w:t>This</w:t>
      </w:r>
      <w:r w:rsidRPr="0099174B">
        <w:rPr>
          <w:rFonts w:ascii="Calibri" w:hAnsi="Calibri"/>
          <w:w w:val="105"/>
        </w:rPr>
        <w:t xml:space="preserve"> </w:t>
      </w:r>
      <w:r w:rsidRPr="00EA7458">
        <w:rPr>
          <w:rFonts w:ascii="Calibri" w:hAnsi="Calibri"/>
          <w:w w:val="105"/>
        </w:rPr>
        <w:t>enables</w:t>
      </w:r>
      <w:r w:rsidRPr="0099174B">
        <w:rPr>
          <w:rFonts w:ascii="Calibri" w:hAnsi="Calibri"/>
          <w:w w:val="105"/>
        </w:rPr>
        <w:t xml:space="preserve"> </w:t>
      </w:r>
      <w:r w:rsidRPr="00EA7458">
        <w:rPr>
          <w:rFonts w:ascii="Calibri" w:hAnsi="Calibri"/>
          <w:w w:val="105"/>
        </w:rPr>
        <w:t>Florida</w:t>
      </w:r>
      <w:r w:rsidRPr="0099174B">
        <w:rPr>
          <w:rFonts w:ascii="Calibri" w:hAnsi="Calibri"/>
          <w:w w:val="105"/>
        </w:rPr>
        <w:t xml:space="preserve"> </w:t>
      </w:r>
      <w:r w:rsidRPr="00EA7458">
        <w:rPr>
          <w:rFonts w:ascii="Calibri" w:hAnsi="Calibri"/>
          <w:w w:val="105"/>
        </w:rPr>
        <w:t>business,</w:t>
      </w:r>
      <w:r w:rsidRPr="0099174B">
        <w:rPr>
          <w:rFonts w:ascii="Calibri" w:hAnsi="Calibri"/>
          <w:w w:val="105"/>
        </w:rPr>
        <w:t xml:space="preserve"> </w:t>
      </w:r>
      <w:r w:rsidRPr="00EA7458">
        <w:rPr>
          <w:rFonts w:ascii="Calibri" w:hAnsi="Calibri"/>
          <w:w w:val="105"/>
        </w:rPr>
        <w:t>especially</w:t>
      </w:r>
      <w:r w:rsidRPr="0099174B">
        <w:rPr>
          <w:rFonts w:ascii="Calibri" w:hAnsi="Calibri"/>
          <w:w w:val="105"/>
        </w:rPr>
        <w:t xml:space="preserve"> </w:t>
      </w:r>
      <w:r w:rsidRPr="00EA7458">
        <w:rPr>
          <w:rFonts w:ascii="Calibri" w:hAnsi="Calibri"/>
          <w:w w:val="105"/>
        </w:rPr>
        <w:t>those</w:t>
      </w:r>
      <w:r w:rsidRPr="0099174B">
        <w:rPr>
          <w:rFonts w:ascii="Calibri" w:hAnsi="Calibri"/>
          <w:w w:val="105"/>
        </w:rPr>
        <w:t xml:space="preserve"> </w:t>
      </w:r>
      <w:r w:rsidRPr="00EA7458">
        <w:rPr>
          <w:rFonts w:ascii="Calibri" w:hAnsi="Calibri"/>
          <w:w w:val="105"/>
        </w:rPr>
        <w:t>in</w:t>
      </w:r>
      <w:r w:rsidRPr="0099174B">
        <w:rPr>
          <w:rFonts w:ascii="Calibri" w:hAnsi="Calibri"/>
          <w:w w:val="105"/>
        </w:rPr>
        <w:t xml:space="preserve"> </w:t>
      </w:r>
      <w:r w:rsidRPr="00EA7458">
        <w:rPr>
          <w:rFonts w:ascii="Calibri" w:hAnsi="Calibri"/>
          <w:w w:val="105"/>
        </w:rPr>
        <w:t>key</w:t>
      </w:r>
      <w:r w:rsidRPr="0099174B">
        <w:rPr>
          <w:rFonts w:ascii="Calibri" w:hAnsi="Calibri"/>
          <w:w w:val="105"/>
        </w:rPr>
        <w:t xml:space="preserve"> </w:t>
      </w:r>
      <w:r w:rsidRPr="00EA7458">
        <w:rPr>
          <w:rFonts w:ascii="Calibri" w:hAnsi="Calibri"/>
          <w:w w:val="105"/>
        </w:rPr>
        <w:t>sectors</w:t>
      </w:r>
      <w:r w:rsidRPr="0099174B">
        <w:rPr>
          <w:rFonts w:ascii="Calibri" w:hAnsi="Calibri"/>
          <w:w w:val="105"/>
        </w:rPr>
        <w:t xml:space="preserve"> </w:t>
      </w:r>
      <w:r w:rsidRPr="00EA7458">
        <w:rPr>
          <w:rFonts w:ascii="Calibri" w:hAnsi="Calibri"/>
          <w:w w:val="105"/>
        </w:rPr>
        <w:t>aligned</w:t>
      </w:r>
      <w:r w:rsidRPr="0099174B">
        <w:rPr>
          <w:rFonts w:ascii="Calibri" w:hAnsi="Calibri"/>
          <w:w w:val="105"/>
        </w:rPr>
        <w:t xml:space="preserve"> </w:t>
      </w:r>
      <w:r w:rsidRPr="00EA7458">
        <w:rPr>
          <w:rFonts w:ascii="Calibri" w:hAnsi="Calibri"/>
          <w:w w:val="105"/>
        </w:rPr>
        <w:t>to</w:t>
      </w:r>
      <w:r w:rsidRPr="0099174B">
        <w:rPr>
          <w:rFonts w:ascii="Calibri" w:hAnsi="Calibri"/>
          <w:w w:val="105"/>
        </w:rPr>
        <w:t xml:space="preserve"> </w:t>
      </w:r>
      <w:r w:rsidRPr="00EA7458">
        <w:rPr>
          <w:rFonts w:ascii="Calibri" w:hAnsi="Calibri"/>
          <w:w w:val="105"/>
        </w:rPr>
        <w:t>state</w:t>
      </w:r>
      <w:r w:rsidRPr="0099174B">
        <w:rPr>
          <w:rFonts w:ascii="Calibri" w:hAnsi="Calibri"/>
          <w:w w:val="105"/>
        </w:rPr>
        <w:t xml:space="preserve"> </w:t>
      </w:r>
      <w:r w:rsidRPr="00EA7458">
        <w:rPr>
          <w:rFonts w:ascii="Calibri" w:hAnsi="Calibri"/>
          <w:w w:val="105"/>
        </w:rPr>
        <w:t>and</w:t>
      </w:r>
      <w:r w:rsidRPr="0099174B">
        <w:rPr>
          <w:rFonts w:ascii="Calibri" w:hAnsi="Calibri"/>
          <w:w w:val="105"/>
        </w:rPr>
        <w:t xml:space="preserve"> </w:t>
      </w:r>
      <w:r w:rsidRPr="00EA7458">
        <w:rPr>
          <w:rFonts w:ascii="Calibri" w:hAnsi="Calibri"/>
          <w:w w:val="105"/>
        </w:rPr>
        <w:t>regional</w:t>
      </w:r>
      <w:r w:rsidRPr="0099174B">
        <w:rPr>
          <w:rFonts w:ascii="Calibri" w:hAnsi="Calibri"/>
          <w:w w:val="105"/>
        </w:rPr>
        <w:t xml:space="preserve"> </w:t>
      </w:r>
      <w:r w:rsidRPr="00EA7458">
        <w:rPr>
          <w:rFonts w:ascii="Calibri" w:hAnsi="Calibri"/>
          <w:w w:val="105"/>
        </w:rPr>
        <w:t>economic</w:t>
      </w:r>
      <w:r w:rsidRPr="0099174B">
        <w:rPr>
          <w:rFonts w:ascii="Calibri" w:hAnsi="Calibri"/>
          <w:w w:val="105"/>
        </w:rPr>
        <w:t xml:space="preserve"> </w:t>
      </w:r>
      <w:r w:rsidRPr="00EA7458">
        <w:rPr>
          <w:rFonts w:ascii="Calibri" w:hAnsi="Calibri"/>
          <w:w w:val="105"/>
        </w:rPr>
        <w:t>development</w:t>
      </w:r>
      <w:r w:rsidRPr="0099174B">
        <w:rPr>
          <w:rFonts w:ascii="Calibri" w:hAnsi="Calibri"/>
          <w:w w:val="105"/>
        </w:rPr>
        <w:t xml:space="preserve"> </w:t>
      </w:r>
      <w:r w:rsidRPr="00EA7458">
        <w:rPr>
          <w:rFonts w:ascii="Calibri" w:hAnsi="Calibri"/>
          <w:w w:val="105"/>
        </w:rPr>
        <w:t>priorities,</w:t>
      </w:r>
      <w:r w:rsidRPr="0099174B">
        <w:rPr>
          <w:rFonts w:ascii="Calibri" w:hAnsi="Calibri"/>
          <w:w w:val="105"/>
        </w:rPr>
        <w:t xml:space="preserve"> </w:t>
      </w:r>
      <w:r w:rsidRPr="00EA7458">
        <w:rPr>
          <w:rFonts w:ascii="Calibri" w:hAnsi="Calibri"/>
          <w:w w:val="105"/>
        </w:rPr>
        <w:t>to</w:t>
      </w:r>
      <w:r w:rsidRPr="0099174B">
        <w:rPr>
          <w:rFonts w:ascii="Calibri" w:hAnsi="Calibri"/>
          <w:w w:val="105"/>
        </w:rPr>
        <w:t xml:space="preserve"> </w:t>
      </w:r>
      <w:r w:rsidRPr="00EA7458">
        <w:rPr>
          <w:rFonts w:ascii="Calibri" w:hAnsi="Calibri"/>
          <w:w w:val="105"/>
        </w:rPr>
        <w:t>fully</w:t>
      </w:r>
      <w:r w:rsidRPr="0099174B">
        <w:rPr>
          <w:rFonts w:ascii="Calibri" w:hAnsi="Calibri"/>
          <w:w w:val="105"/>
        </w:rPr>
        <w:t xml:space="preserve"> </w:t>
      </w:r>
      <w:r w:rsidRPr="00EA7458">
        <w:rPr>
          <w:rFonts w:ascii="Calibri" w:hAnsi="Calibri"/>
          <w:w w:val="105"/>
        </w:rPr>
        <w:t>benefit</w:t>
      </w:r>
      <w:r w:rsidRPr="0099174B">
        <w:rPr>
          <w:rFonts w:ascii="Calibri" w:hAnsi="Calibri"/>
          <w:w w:val="105"/>
        </w:rPr>
        <w:t xml:space="preserve"> </w:t>
      </w:r>
      <w:r w:rsidRPr="00EA7458">
        <w:rPr>
          <w:rFonts w:ascii="Calibri" w:hAnsi="Calibri"/>
          <w:w w:val="105"/>
        </w:rPr>
        <w:t>from</w:t>
      </w:r>
      <w:r w:rsidRPr="0099174B">
        <w:rPr>
          <w:rFonts w:ascii="Calibri" w:hAnsi="Calibri"/>
          <w:w w:val="105"/>
        </w:rPr>
        <w:t xml:space="preserve"> </w:t>
      </w:r>
      <w:r w:rsidRPr="00EA7458">
        <w:rPr>
          <w:rFonts w:ascii="Calibri" w:hAnsi="Calibri"/>
          <w:w w:val="105"/>
        </w:rPr>
        <w:t>CareerSource</w:t>
      </w:r>
      <w:r w:rsidRPr="0099174B">
        <w:rPr>
          <w:rFonts w:ascii="Calibri" w:hAnsi="Calibri"/>
          <w:w w:val="105"/>
        </w:rPr>
        <w:t xml:space="preserve"> </w:t>
      </w:r>
      <w:r w:rsidRPr="00EA7458">
        <w:rPr>
          <w:rFonts w:ascii="Calibri" w:hAnsi="Calibri"/>
          <w:w w:val="105"/>
        </w:rPr>
        <w:t>Florida</w:t>
      </w:r>
      <w:r w:rsidR="008C7426">
        <w:rPr>
          <w:rFonts w:ascii="Calibri" w:hAnsi="Calibri"/>
          <w:w w:val="105"/>
        </w:rPr>
        <w:t>’s</w:t>
      </w:r>
      <w:r w:rsidRPr="0099174B">
        <w:rPr>
          <w:rFonts w:ascii="Calibri" w:hAnsi="Calibri"/>
          <w:w w:val="105"/>
        </w:rPr>
        <w:t xml:space="preserve"> </w:t>
      </w:r>
      <w:r w:rsidRPr="00EA7458">
        <w:rPr>
          <w:rFonts w:ascii="Calibri" w:hAnsi="Calibri"/>
          <w:w w:val="105"/>
        </w:rPr>
        <w:t>training</w:t>
      </w:r>
      <w:r w:rsidRPr="0099174B">
        <w:rPr>
          <w:rFonts w:ascii="Calibri" w:hAnsi="Calibri"/>
          <w:w w:val="105"/>
        </w:rPr>
        <w:t xml:space="preserve"> </w:t>
      </w:r>
      <w:r w:rsidRPr="00EA7458">
        <w:rPr>
          <w:rFonts w:ascii="Calibri" w:hAnsi="Calibri"/>
          <w:w w:val="105"/>
        </w:rPr>
        <w:t>grant</w:t>
      </w:r>
      <w:r w:rsidRPr="0099174B">
        <w:rPr>
          <w:rFonts w:ascii="Calibri" w:hAnsi="Calibri"/>
          <w:w w:val="105"/>
        </w:rPr>
        <w:t xml:space="preserve"> </w:t>
      </w:r>
      <w:r w:rsidRPr="00EA7458">
        <w:rPr>
          <w:rFonts w:ascii="Calibri" w:hAnsi="Calibri"/>
          <w:w w:val="105"/>
        </w:rPr>
        <w:t>programs</w:t>
      </w:r>
      <w:r w:rsidR="00C6630B">
        <w:rPr>
          <w:rFonts w:ascii="Calibri" w:hAnsi="Calibri"/>
          <w:w w:val="105"/>
        </w:rPr>
        <w:t>, and</w:t>
      </w:r>
      <w:r>
        <w:rPr>
          <w:rFonts w:ascii="Calibri" w:hAnsi="Calibri"/>
          <w:w w:val="105"/>
        </w:rPr>
        <w:t xml:space="preserve"> helps facilitate</w:t>
      </w:r>
      <w:r w:rsidRPr="0099174B">
        <w:rPr>
          <w:rFonts w:ascii="Calibri" w:hAnsi="Calibri"/>
          <w:w w:val="105"/>
        </w:rPr>
        <w:t xml:space="preserve"> </w:t>
      </w:r>
      <w:r w:rsidRPr="00EA7458">
        <w:rPr>
          <w:rFonts w:ascii="Calibri" w:hAnsi="Calibri"/>
          <w:w w:val="105"/>
        </w:rPr>
        <w:t>seamless</w:t>
      </w:r>
      <w:r w:rsidRPr="0099174B">
        <w:rPr>
          <w:rFonts w:ascii="Calibri" w:hAnsi="Calibri"/>
          <w:w w:val="105"/>
        </w:rPr>
        <w:t xml:space="preserve"> </w:t>
      </w:r>
      <w:r w:rsidRPr="00EA7458">
        <w:rPr>
          <w:rFonts w:ascii="Calibri" w:hAnsi="Calibri"/>
          <w:w w:val="105"/>
        </w:rPr>
        <w:t>access</w:t>
      </w:r>
      <w:r w:rsidRPr="0099174B">
        <w:rPr>
          <w:rFonts w:ascii="Calibri" w:hAnsi="Calibri"/>
          <w:w w:val="105"/>
        </w:rPr>
        <w:t xml:space="preserve"> </w:t>
      </w:r>
      <w:r w:rsidRPr="00EA7458">
        <w:rPr>
          <w:rFonts w:ascii="Calibri" w:hAnsi="Calibri"/>
          <w:w w:val="105"/>
        </w:rPr>
        <w:t>to</w:t>
      </w:r>
      <w:r w:rsidRPr="0099174B">
        <w:rPr>
          <w:rFonts w:ascii="Calibri" w:hAnsi="Calibri"/>
          <w:w w:val="105"/>
        </w:rPr>
        <w:t xml:space="preserve"> </w:t>
      </w:r>
      <w:r w:rsidRPr="00EA7458">
        <w:rPr>
          <w:rFonts w:ascii="Calibri" w:hAnsi="Calibri"/>
          <w:w w:val="105"/>
        </w:rPr>
        <w:t>tools</w:t>
      </w:r>
      <w:r w:rsidRPr="0099174B">
        <w:rPr>
          <w:rFonts w:ascii="Calibri" w:hAnsi="Calibri"/>
          <w:w w:val="105"/>
        </w:rPr>
        <w:t xml:space="preserve"> </w:t>
      </w:r>
      <w:r w:rsidRPr="00EA7458">
        <w:rPr>
          <w:rFonts w:ascii="Calibri" w:hAnsi="Calibri"/>
          <w:w w:val="105"/>
        </w:rPr>
        <w:t>and</w:t>
      </w:r>
      <w:r w:rsidRPr="0099174B">
        <w:rPr>
          <w:rFonts w:ascii="Calibri" w:hAnsi="Calibri"/>
          <w:w w:val="105"/>
        </w:rPr>
        <w:t xml:space="preserve"> </w:t>
      </w:r>
      <w:r w:rsidRPr="00EA7458">
        <w:rPr>
          <w:rFonts w:ascii="Calibri" w:hAnsi="Calibri"/>
          <w:w w:val="105"/>
        </w:rPr>
        <w:t>services</w:t>
      </w:r>
      <w:r w:rsidRPr="0099174B">
        <w:rPr>
          <w:rFonts w:ascii="Calibri" w:hAnsi="Calibri"/>
          <w:w w:val="105"/>
        </w:rPr>
        <w:t xml:space="preserve"> </w:t>
      </w:r>
      <w:r w:rsidRPr="00EA7458">
        <w:rPr>
          <w:rFonts w:ascii="Calibri" w:hAnsi="Calibri"/>
          <w:w w:val="105"/>
        </w:rPr>
        <w:t>across</w:t>
      </w:r>
      <w:r w:rsidRPr="0099174B">
        <w:rPr>
          <w:rFonts w:ascii="Calibri" w:hAnsi="Calibri"/>
          <w:w w:val="105"/>
        </w:rPr>
        <w:t xml:space="preserve"> partner</w:t>
      </w:r>
      <w:r w:rsidRPr="00EA7458">
        <w:rPr>
          <w:rFonts w:ascii="Calibri" w:hAnsi="Calibri"/>
          <w:w w:val="105"/>
        </w:rPr>
        <w:t xml:space="preserve">/organization programs. CareerSource Florida </w:t>
      </w:r>
      <w:r>
        <w:rPr>
          <w:rFonts w:ascii="Calibri" w:hAnsi="Calibri"/>
          <w:w w:val="105"/>
        </w:rPr>
        <w:t xml:space="preserve">continues building </w:t>
      </w:r>
      <w:r w:rsidRPr="00EA7458">
        <w:rPr>
          <w:rFonts w:ascii="Calibri" w:hAnsi="Calibri"/>
          <w:w w:val="105"/>
        </w:rPr>
        <w:t>on its Salesforce-based</w:t>
      </w:r>
      <w:r w:rsidRPr="0099174B">
        <w:rPr>
          <w:rFonts w:ascii="Calibri" w:hAnsi="Calibri"/>
          <w:w w:val="105"/>
        </w:rPr>
        <w:t xml:space="preserve"> </w:t>
      </w:r>
      <w:r w:rsidRPr="00EA7458">
        <w:rPr>
          <w:rFonts w:ascii="Calibri" w:hAnsi="Calibri"/>
          <w:w w:val="105"/>
        </w:rPr>
        <w:t>Customer Relationship Management platform to improve business services.</w:t>
      </w:r>
    </w:p>
    <w:p w14:paraId="1774A643" w14:textId="1D1FF60E" w:rsidR="00D64EA1" w:rsidRPr="00EA7458" w:rsidRDefault="00C23611" w:rsidP="00D63204">
      <w:pPr>
        <w:widowControl w:val="0"/>
        <w:spacing w:before="192" w:after="0" w:line="266" w:lineRule="exact"/>
        <w:ind w:left="107"/>
        <w:outlineLvl w:val="2"/>
        <w:rPr>
          <w:rFonts w:ascii="Calibri" w:hAnsi="Calibri"/>
        </w:rPr>
      </w:pPr>
      <w:r>
        <w:rPr>
          <w:rFonts w:ascii="Calibri" w:hAnsi="Calibri"/>
          <w:b/>
          <w:bCs/>
          <w:color w:val="231F20"/>
          <w:w w:val="105"/>
        </w:rPr>
        <w:t>C</w:t>
      </w:r>
      <w:r w:rsidR="00D64EA1" w:rsidRPr="00EA7458">
        <w:rPr>
          <w:rFonts w:ascii="Calibri" w:hAnsi="Calibri"/>
          <w:b/>
          <w:bCs/>
          <w:color w:val="231F20"/>
          <w:w w:val="105"/>
        </w:rPr>
        <w:t>reating</w:t>
      </w:r>
      <w:r w:rsidR="00D64EA1" w:rsidRPr="00EA7458">
        <w:rPr>
          <w:rFonts w:ascii="Calibri" w:hAnsi="Calibri"/>
          <w:b/>
          <w:bCs/>
          <w:color w:val="231F20"/>
          <w:spacing w:val="36"/>
          <w:w w:val="105"/>
        </w:rPr>
        <w:t xml:space="preserve"> </w:t>
      </w:r>
      <w:r w:rsidR="00D64EA1" w:rsidRPr="00EA7458">
        <w:rPr>
          <w:rFonts w:ascii="Calibri" w:hAnsi="Calibri"/>
          <w:b/>
          <w:bCs/>
          <w:color w:val="231F20"/>
          <w:w w:val="105"/>
        </w:rPr>
        <w:t>a</w:t>
      </w:r>
      <w:r w:rsidR="00D64EA1" w:rsidRPr="00EA7458">
        <w:rPr>
          <w:rFonts w:ascii="Calibri" w:hAnsi="Calibri"/>
          <w:b/>
          <w:bCs/>
          <w:color w:val="231F20"/>
          <w:spacing w:val="36"/>
          <w:w w:val="105"/>
        </w:rPr>
        <w:t xml:space="preserve"> </w:t>
      </w:r>
      <w:r w:rsidR="00D64EA1" w:rsidRPr="00EA7458">
        <w:rPr>
          <w:rFonts w:ascii="Calibri" w:hAnsi="Calibri"/>
          <w:b/>
          <w:bCs/>
          <w:color w:val="231F20"/>
          <w:spacing w:val="-4"/>
          <w:w w:val="105"/>
        </w:rPr>
        <w:t>Total</w:t>
      </w:r>
      <w:r w:rsidR="00D64EA1" w:rsidRPr="00EA7458">
        <w:rPr>
          <w:rFonts w:ascii="Calibri" w:hAnsi="Calibri"/>
          <w:b/>
          <w:bCs/>
          <w:color w:val="231F20"/>
          <w:spacing w:val="36"/>
          <w:w w:val="105"/>
        </w:rPr>
        <w:t xml:space="preserve"> </w:t>
      </w:r>
      <w:r w:rsidR="00D64EA1" w:rsidRPr="00EA7458">
        <w:rPr>
          <w:rFonts w:ascii="Calibri" w:hAnsi="Calibri"/>
          <w:b/>
          <w:bCs/>
          <w:color w:val="231F20"/>
          <w:spacing w:val="-3"/>
          <w:w w:val="105"/>
        </w:rPr>
        <w:t>Talent</w:t>
      </w:r>
      <w:r w:rsidR="00D64EA1" w:rsidRPr="00EA7458">
        <w:rPr>
          <w:rFonts w:ascii="Calibri" w:hAnsi="Calibri"/>
          <w:b/>
          <w:bCs/>
          <w:color w:val="231F20"/>
          <w:spacing w:val="36"/>
          <w:w w:val="105"/>
        </w:rPr>
        <w:t xml:space="preserve"> </w:t>
      </w:r>
      <w:r w:rsidR="00D64EA1" w:rsidRPr="00EA7458">
        <w:rPr>
          <w:rFonts w:ascii="Calibri" w:hAnsi="Calibri"/>
          <w:b/>
          <w:bCs/>
          <w:color w:val="231F20"/>
          <w:w w:val="105"/>
        </w:rPr>
        <w:t>Delivery</w:t>
      </w:r>
      <w:r w:rsidR="00D64EA1" w:rsidRPr="00EA7458">
        <w:rPr>
          <w:rFonts w:ascii="Calibri" w:hAnsi="Calibri"/>
          <w:b/>
          <w:bCs/>
          <w:color w:val="231F20"/>
          <w:spacing w:val="36"/>
          <w:w w:val="105"/>
        </w:rPr>
        <w:t xml:space="preserve"> </w:t>
      </w:r>
      <w:r w:rsidR="00D64EA1" w:rsidRPr="00EA7458">
        <w:rPr>
          <w:rFonts w:ascii="Calibri" w:hAnsi="Calibri"/>
          <w:b/>
          <w:bCs/>
          <w:color w:val="231F20"/>
          <w:w w:val="105"/>
        </w:rPr>
        <w:t>System</w:t>
      </w:r>
      <w:r w:rsidR="00D64EA1" w:rsidRPr="00EA7458">
        <w:rPr>
          <w:rFonts w:ascii="Calibri" w:hAnsi="Calibri"/>
          <w:b/>
          <w:bCs/>
          <w:color w:val="231F20"/>
          <w:spacing w:val="36"/>
          <w:w w:val="105"/>
        </w:rPr>
        <w:t xml:space="preserve"> </w:t>
      </w:r>
    </w:p>
    <w:p w14:paraId="711B2656" w14:textId="461BA467" w:rsidR="00D64EA1" w:rsidRDefault="00D64EA1" w:rsidP="00D63204">
      <w:pPr>
        <w:widowControl w:val="0"/>
        <w:spacing w:before="2" w:after="0" w:line="235" w:lineRule="auto"/>
        <w:ind w:left="107"/>
        <w:rPr>
          <w:rFonts w:cs="Calibri"/>
          <w:w w:val="105"/>
        </w:rPr>
      </w:pPr>
      <w:r w:rsidRPr="0099174B">
        <w:rPr>
          <w:rFonts w:ascii="Calibri" w:hAnsi="Calibri"/>
          <w:w w:val="105"/>
        </w:rPr>
        <w:t>The umbrella of business support and training services available throughout the CareerSource Florida network better positions Florida to respond to short and long-term talent needs of existing companies and those that are new</w:t>
      </w:r>
      <w:r w:rsidRPr="0034195F">
        <w:rPr>
          <w:rFonts w:cs="Calibri"/>
          <w:w w:val="105"/>
        </w:rPr>
        <w:t xml:space="preserve"> to Florida.</w:t>
      </w:r>
      <w:r w:rsidRPr="0034195F">
        <w:rPr>
          <w:rFonts w:cs="Calibri"/>
          <w:spacing w:val="15"/>
          <w:w w:val="105"/>
        </w:rPr>
        <w:t xml:space="preserve"> </w:t>
      </w:r>
      <w:r w:rsidRPr="0034195F">
        <w:rPr>
          <w:rFonts w:cs="Calibri"/>
          <w:w w:val="105"/>
        </w:rPr>
        <w:t>The</w:t>
      </w:r>
      <w:r w:rsidRPr="0034195F">
        <w:rPr>
          <w:rFonts w:cs="Calibri"/>
          <w:spacing w:val="15"/>
          <w:w w:val="105"/>
        </w:rPr>
        <w:t xml:space="preserve"> </w:t>
      </w:r>
      <w:r w:rsidRPr="0034195F">
        <w:rPr>
          <w:rFonts w:cs="Calibri"/>
          <w:w w:val="105"/>
        </w:rPr>
        <w:t>goal</w:t>
      </w:r>
      <w:r w:rsidRPr="0034195F">
        <w:rPr>
          <w:rFonts w:cs="Calibri"/>
          <w:spacing w:val="15"/>
          <w:w w:val="105"/>
        </w:rPr>
        <w:t xml:space="preserve"> </w:t>
      </w:r>
      <w:r w:rsidRPr="0034195F">
        <w:rPr>
          <w:rFonts w:cs="Calibri"/>
          <w:w w:val="105"/>
        </w:rPr>
        <w:t>is</w:t>
      </w:r>
      <w:r w:rsidRPr="0034195F">
        <w:rPr>
          <w:rFonts w:cs="Calibri"/>
          <w:spacing w:val="15"/>
          <w:w w:val="105"/>
        </w:rPr>
        <w:t xml:space="preserve"> </w:t>
      </w:r>
      <w:r w:rsidRPr="0034195F">
        <w:rPr>
          <w:rFonts w:cs="Calibri"/>
          <w:w w:val="105"/>
        </w:rPr>
        <w:t>to</w:t>
      </w:r>
      <w:r w:rsidRPr="0034195F">
        <w:rPr>
          <w:rFonts w:cs="Calibri"/>
          <w:spacing w:val="15"/>
          <w:w w:val="105"/>
        </w:rPr>
        <w:t xml:space="preserve"> </w:t>
      </w:r>
      <w:r w:rsidRPr="0034195F">
        <w:rPr>
          <w:rFonts w:cs="Calibri"/>
          <w:w w:val="105"/>
        </w:rPr>
        <w:t>facilitate</w:t>
      </w:r>
      <w:r w:rsidRPr="0034195F">
        <w:rPr>
          <w:rFonts w:cs="Calibri"/>
          <w:spacing w:val="15"/>
          <w:w w:val="105"/>
        </w:rPr>
        <w:t xml:space="preserve"> </w:t>
      </w:r>
      <w:r w:rsidRPr="0034195F">
        <w:rPr>
          <w:rFonts w:cs="Calibri"/>
          <w:w w:val="105"/>
        </w:rPr>
        <w:t>a</w:t>
      </w:r>
      <w:r w:rsidRPr="0034195F">
        <w:rPr>
          <w:rFonts w:cs="Calibri"/>
          <w:spacing w:val="15"/>
          <w:w w:val="105"/>
        </w:rPr>
        <w:t xml:space="preserve"> </w:t>
      </w:r>
      <w:r w:rsidRPr="0034195F">
        <w:rPr>
          <w:rFonts w:cs="Calibri"/>
          <w:w w:val="105"/>
        </w:rPr>
        <w:t>seamless,</w:t>
      </w:r>
      <w:r w:rsidRPr="0034195F">
        <w:rPr>
          <w:rFonts w:cs="Calibri"/>
          <w:spacing w:val="15"/>
          <w:w w:val="105"/>
        </w:rPr>
        <w:t xml:space="preserve"> </w:t>
      </w:r>
      <w:r w:rsidRPr="0034195F">
        <w:rPr>
          <w:rFonts w:cs="Calibri"/>
          <w:w w:val="105"/>
        </w:rPr>
        <w:t>external</w:t>
      </w:r>
      <w:r w:rsidR="00734BFC">
        <w:rPr>
          <w:rFonts w:cs="Calibri"/>
          <w:w w:val="105"/>
        </w:rPr>
        <w:t xml:space="preserve">ly </w:t>
      </w:r>
      <w:r w:rsidRPr="0034195F">
        <w:rPr>
          <w:rFonts w:cs="Calibri"/>
          <w:w w:val="105"/>
        </w:rPr>
        <w:t>focused</w:t>
      </w:r>
      <w:r w:rsidRPr="009518FE">
        <w:rPr>
          <w:rFonts w:cs="Calibri"/>
          <w:w w:val="105"/>
        </w:rPr>
        <w:t xml:space="preserve"> </w:t>
      </w:r>
      <w:r w:rsidRPr="0034195F">
        <w:rPr>
          <w:rFonts w:cs="Calibri"/>
          <w:w w:val="105"/>
        </w:rPr>
        <w:t>talent</w:t>
      </w:r>
      <w:r>
        <w:rPr>
          <w:rFonts w:cs="Calibri"/>
          <w:w w:val="105"/>
        </w:rPr>
        <w:t xml:space="preserve"> </w:t>
      </w:r>
      <w:r w:rsidRPr="0034195F">
        <w:rPr>
          <w:rFonts w:cs="Calibri"/>
          <w:w w:val="105"/>
        </w:rPr>
        <w:t>solution strategy for Florida business.</w:t>
      </w:r>
    </w:p>
    <w:p w14:paraId="399AB4D1" w14:textId="77777777" w:rsidR="00D64EA1" w:rsidRDefault="00D64EA1" w:rsidP="00D63204">
      <w:pPr>
        <w:widowControl w:val="0"/>
        <w:spacing w:before="2" w:after="0" w:line="235" w:lineRule="auto"/>
        <w:ind w:left="107"/>
        <w:rPr>
          <w:rFonts w:cs="Calibri"/>
          <w:w w:val="105"/>
        </w:rPr>
      </w:pPr>
    </w:p>
    <w:p w14:paraId="081D6377" w14:textId="77777777" w:rsidR="00C17711" w:rsidRDefault="00D64EA1" w:rsidP="00D63204">
      <w:pPr>
        <w:widowControl w:val="0"/>
        <w:spacing w:before="2" w:after="0" w:line="235" w:lineRule="auto"/>
        <w:ind w:left="107"/>
        <w:rPr>
          <w:rFonts w:ascii="Calibri" w:hAnsi="Calibri"/>
          <w:w w:val="105"/>
        </w:rPr>
      </w:pPr>
      <w:r w:rsidRPr="0099174B">
        <w:rPr>
          <w:rFonts w:ascii="Calibri" w:hAnsi="Calibri"/>
          <w:w w:val="105"/>
        </w:rPr>
        <w:t>Using the market segmentation framework and planning tools in the CareerSource Florida Professional Business Development Tool Kit</w:t>
      </w:r>
      <w:r w:rsidR="00734BFC">
        <w:rPr>
          <w:rFonts w:ascii="Calibri" w:hAnsi="Calibri"/>
          <w:w w:val="105"/>
        </w:rPr>
        <w:t>,</w:t>
      </w:r>
      <w:r w:rsidRPr="0099174B">
        <w:rPr>
          <w:rFonts w:ascii="Calibri" w:hAnsi="Calibri"/>
          <w:w w:val="105"/>
        </w:rPr>
        <w:t xml:space="preserve"> developed in part through the USDOL Expanding Business Engagement grant</w:t>
      </w:r>
      <w:r>
        <w:rPr>
          <w:rFonts w:ascii="Calibri" w:hAnsi="Calibri"/>
          <w:w w:val="105"/>
        </w:rPr>
        <w:t xml:space="preserve"> received in 2012</w:t>
      </w:r>
      <w:r w:rsidRPr="0099174B">
        <w:rPr>
          <w:rFonts w:ascii="Calibri" w:hAnsi="Calibri"/>
          <w:w w:val="105"/>
        </w:rPr>
        <w:t xml:space="preserve">, helps ensure businesses of all sizes in all sectors are identified for proactive talent support strategies. CareerSource Florida’s Business and Workforce Development Unit leads network-wide webinars highlighting innovative tools and best practice methods for business </w:t>
      </w:r>
      <w:r>
        <w:rPr>
          <w:rFonts w:ascii="Calibri" w:hAnsi="Calibri"/>
          <w:w w:val="105"/>
        </w:rPr>
        <w:t>services representatives</w:t>
      </w:r>
      <w:r w:rsidRPr="0099174B">
        <w:rPr>
          <w:rFonts w:ascii="Calibri" w:hAnsi="Calibri"/>
          <w:w w:val="105"/>
        </w:rPr>
        <w:t xml:space="preserve">/account managers who interface with business on talent needs. </w:t>
      </w:r>
    </w:p>
    <w:p w14:paraId="50D0BFB1" w14:textId="77777777" w:rsidR="00C17711" w:rsidRDefault="00C17711" w:rsidP="00D63204">
      <w:pPr>
        <w:widowControl w:val="0"/>
        <w:spacing w:before="2" w:after="0" w:line="235" w:lineRule="auto"/>
        <w:ind w:left="107"/>
        <w:rPr>
          <w:rFonts w:ascii="Calibri" w:hAnsi="Calibri"/>
          <w:w w:val="105"/>
        </w:rPr>
      </w:pPr>
    </w:p>
    <w:p w14:paraId="70656883" w14:textId="633DB189" w:rsidR="006008DA" w:rsidRDefault="00D64EA1" w:rsidP="00D63204">
      <w:pPr>
        <w:widowControl w:val="0"/>
        <w:spacing w:before="2" w:after="0" w:line="235" w:lineRule="auto"/>
        <w:ind w:left="107"/>
        <w:rPr>
          <w:rFonts w:ascii="Calibri" w:hAnsi="Calibri"/>
          <w:b/>
          <w:bCs/>
          <w:color w:val="231F20"/>
          <w:w w:val="110"/>
        </w:rPr>
      </w:pPr>
      <w:r w:rsidRPr="0099174B">
        <w:rPr>
          <w:rFonts w:ascii="Calibri" w:hAnsi="Calibri"/>
          <w:w w:val="105"/>
        </w:rPr>
        <w:t xml:space="preserve">Since 2015, CareerSource Florida has generated </w:t>
      </w:r>
      <w:r w:rsidR="00734BFC">
        <w:rPr>
          <w:rFonts w:ascii="Calibri" w:hAnsi="Calibri"/>
          <w:w w:val="105"/>
        </w:rPr>
        <w:t xml:space="preserve">a </w:t>
      </w:r>
      <w:r w:rsidRPr="0099174B">
        <w:rPr>
          <w:rFonts w:ascii="Calibri" w:hAnsi="Calibri"/>
          <w:w w:val="105"/>
        </w:rPr>
        <w:t>monthly dashboard to better track business services. Elements include number of businesses served, number of high-value services provided to businesses and the number of projected trainees through state-level training grants. Under-utilized talents and skills of job seekers with barriers to employment are consistently marketed to Florida businesses.</w:t>
      </w:r>
    </w:p>
    <w:p w14:paraId="6CFDFCF9" w14:textId="77777777" w:rsidR="00734BFC" w:rsidRDefault="00CD1C1C" w:rsidP="00D63204">
      <w:pPr>
        <w:widowControl w:val="0"/>
        <w:spacing w:after="0" w:line="266" w:lineRule="exact"/>
        <w:ind w:left="107"/>
        <w:outlineLvl w:val="2"/>
        <w:rPr>
          <w:rFonts w:ascii="Calibri" w:hAnsi="Calibri"/>
          <w:b/>
          <w:bCs/>
          <w:color w:val="231F20"/>
          <w:w w:val="110"/>
        </w:rPr>
      </w:pPr>
      <w:r>
        <w:rPr>
          <w:rFonts w:ascii="Calibri" w:hAnsi="Calibri"/>
          <w:b/>
          <w:bCs/>
          <w:color w:val="231F20"/>
          <w:w w:val="110"/>
        </w:rPr>
        <w:br/>
      </w:r>
    </w:p>
    <w:p w14:paraId="740A43AA" w14:textId="3B740559" w:rsidR="00734BFC" w:rsidRDefault="00CD1C1C" w:rsidP="00D63204">
      <w:pPr>
        <w:widowControl w:val="0"/>
        <w:spacing w:after="0" w:line="266" w:lineRule="exact"/>
        <w:outlineLvl w:val="2"/>
        <w:rPr>
          <w:rFonts w:ascii="Calibri" w:hAnsi="Calibri"/>
          <w:b/>
          <w:bCs/>
          <w:color w:val="231F20"/>
          <w:w w:val="110"/>
        </w:rPr>
      </w:pPr>
      <w:r>
        <w:rPr>
          <w:rFonts w:ascii="Calibri" w:hAnsi="Calibri"/>
          <w:b/>
          <w:bCs/>
          <w:color w:val="231F20"/>
          <w:w w:val="110"/>
        </w:rPr>
        <w:lastRenderedPageBreak/>
        <w:br/>
      </w:r>
    </w:p>
    <w:p w14:paraId="2D99237A" w14:textId="542D9718" w:rsidR="00D64EA1" w:rsidRDefault="00D64EA1" w:rsidP="00D63204">
      <w:pPr>
        <w:widowControl w:val="0"/>
        <w:spacing w:after="0" w:line="266" w:lineRule="exact"/>
        <w:ind w:left="107"/>
        <w:outlineLvl w:val="2"/>
        <w:rPr>
          <w:rFonts w:ascii="Calibri" w:hAnsi="Calibri"/>
          <w:b/>
          <w:bCs/>
          <w:color w:val="231F20"/>
          <w:w w:val="110"/>
        </w:rPr>
      </w:pPr>
      <w:r w:rsidRPr="00EA7458">
        <w:rPr>
          <w:rFonts w:ascii="Calibri" w:hAnsi="Calibri"/>
          <w:b/>
          <w:bCs/>
          <w:color w:val="231F20"/>
          <w:w w:val="110"/>
        </w:rPr>
        <w:t>Implementing Sector</w:t>
      </w:r>
      <w:r w:rsidRPr="00EA7458">
        <w:rPr>
          <w:rFonts w:ascii="Calibri" w:hAnsi="Calibri"/>
          <w:b/>
          <w:bCs/>
          <w:color w:val="231F20"/>
          <w:spacing w:val="-20"/>
          <w:w w:val="110"/>
        </w:rPr>
        <w:t xml:space="preserve"> </w:t>
      </w:r>
      <w:r w:rsidRPr="00EA7458">
        <w:rPr>
          <w:rFonts w:ascii="Calibri" w:hAnsi="Calibri"/>
          <w:b/>
          <w:bCs/>
          <w:color w:val="231F20"/>
          <w:w w:val="110"/>
        </w:rPr>
        <w:t>Strategies</w:t>
      </w:r>
    </w:p>
    <w:p w14:paraId="66F2D1F7" w14:textId="1F4080A3" w:rsidR="00D64EA1" w:rsidRPr="0099174B" w:rsidRDefault="00D64EA1" w:rsidP="00D63204">
      <w:pPr>
        <w:widowControl w:val="0"/>
        <w:spacing w:after="0" w:line="266" w:lineRule="exact"/>
        <w:ind w:left="107"/>
        <w:outlineLvl w:val="2"/>
        <w:rPr>
          <w:rFonts w:ascii="Calibri" w:hAnsi="Calibri"/>
          <w:b/>
          <w:bCs/>
          <w:color w:val="231F20"/>
          <w:w w:val="110"/>
        </w:rPr>
      </w:pPr>
      <w:r w:rsidRPr="007B0D02">
        <w:rPr>
          <w:rFonts w:cs="Calibri"/>
          <w:w w:val="105"/>
        </w:rPr>
        <w:t>WIOA requires sector partnerships as a strategy under federal statute. The law defines both state and local level responsibilities. Chapter 445.004(10), Florida Statutes</w:t>
      </w:r>
      <w:r w:rsidR="003B3F65">
        <w:rPr>
          <w:rFonts w:cs="Calibri"/>
          <w:w w:val="105"/>
        </w:rPr>
        <w:t>,</w:t>
      </w:r>
      <w:r w:rsidRPr="007B0D02">
        <w:rPr>
          <w:rFonts w:cs="Calibri"/>
          <w:w w:val="105"/>
        </w:rPr>
        <w:t xml:space="preserve"> requires state workforce development strategy to include efforts that enlist business, education</w:t>
      </w:r>
      <w:r w:rsidR="00D5537E">
        <w:rPr>
          <w:rFonts w:cs="Calibri"/>
          <w:w w:val="105"/>
        </w:rPr>
        <w:t xml:space="preserve"> and</w:t>
      </w:r>
      <w:r w:rsidRPr="007B0D02">
        <w:rPr>
          <w:rFonts w:cs="Calibri"/>
          <w:w w:val="105"/>
        </w:rPr>
        <w:t xml:space="preserve"> community support for students to achieve long-term career goals. CareerSource Florida and its network ensure young people have the academic and occupational skills required to succeed in the workplace. The state workforce development strategy assists employers in upgrading or updating the skills of their employees and </w:t>
      </w:r>
      <w:r w:rsidR="00FD1639">
        <w:rPr>
          <w:rFonts w:cs="Calibri"/>
          <w:w w:val="105"/>
        </w:rPr>
        <w:t>helps</w:t>
      </w:r>
      <w:r w:rsidRPr="007B0D02">
        <w:rPr>
          <w:rFonts w:cs="Calibri"/>
          <w:w w:val="105"/>
        </w:rPr>
        <w:t xml:space="preserve"> workers acquire the education or training needed to secure a better job with better wages. This strategy assists the state’s efforts to attract and expand job-creating businesses offering high-paying, high-demand occupations. Development of sector strategies and career pathways is a component of Florida’s WIOA Unified Plan and state workforce development strategy.</w:t>
      </w:r>
    </w:p>
    <w:p w14:paraId="0C6DD7FC" w14:textId="77777777" w:rsidR="00D64EA1" w:rsidRPr="007B0D02" w:rsidRDefault="00D64EA1" w:rsidP="00D63204">
      <w:pPr>
        <w:widowControl w:val="0"/>
        <w:spacing w:before="2" w:after="0" w:line="235" w:lineRule="auto"/>
        <w:ind w:left="107"/>
        <w:rPr>
          <w:rFonts w:cs="Calibri"/>
          <w:w w:val="105"/>
        </w:rPr>
      </w:pPr>
    </w:p>
    <w:p w14:paraId="6D039D8F" w14:textId="0C8F6A6D" w:rsidR="00D64EA1" w:rsidRDefault="00D64EA1" w:rsidP="00D63204">
      <w:pPr>
        <w:spacing w:after="160" w:line="240" w:lineRule="auto"/>
        <w:ind w:left="107"/>
        <w:rPr>
          <w:rFonts w:cs="Calibri"/>
          <w:w w:val="105"/>
        </w:rPr>
      </w:pPr>
      <w:r w:rsidRPr="007B0D02">
        <w:rPr>
          <w:rFonts w:cs="Calibri"/>
          <w:w w:val="105"/>
        </w:rPr>
        <w:t xml:space="preserve">Sector strategies are regional, industry-focused approaches to building a skilled workforce and are an effective way to align public and private resources to address the talent needs of employers. Evidence </w:t>
      </w:r>
      <w:r w:rsidR="00ED0C22">
        <w:rPr>
          <w:rFonts w:cs="Calibri"/>
          <w:w w:val="105"/>
        </w:rPr>
        <w:t>from states employing this approach</w:t>
      </w:r>
      <w:r w:rsidRPr="007B0D02">
        <w:rPr>
          <w:rFonts w:cs="Calibri"/>
          <w:w w:val="105"/>
        </w:rPr>
        <w:t xml:space="preserve"> shows that sector strategies can simultaneously improve employment</w:t>
      </w:r>
      <w:r>
        <w:rPr>
          <w:rFonts w:cs="Calibri"/>
          <w:w w:val="105"/>
        </w:rPr>
        <w:t xml:space="preserve"> </w:t>
      </w:r>
      <w:r w:rsidRPr="007B0D02">
        <w:rPr>
          <w:rFonts w:cs="Calibri"/>
          <w:w w:val="105"/>
        </w:rPr>
        <w:t>opportunities for job seekers and enhance the competitiveness of industries. Effective sector strategies rely on strong sector partnerships, sometimes referred to as industry partnerships, workforce collaboratives or regional skills alliances.</w:t>
      </w:r>
    </w:p>
    <w:p w14:paraId="3EC06DF0" w14:textId="32372130" w:rsidR="00D64EA1" w:rsidRDefault="00D64EA1" w:rsidP="00D63204">
      <w:pPr>
        <w:spacing w:after="160" w:line="240" w:lineRule="auto"/>
        <w:ind w:left="107"/>
        <w:rPr>
          <w:rFonts w:cs="Calibri"/>
          <w:w w:val="105"/>
        </w:rPr>
      </w:pPr>
      <w:r w:rsidRPr="007B0D02">
        <w:rPr>
          <w:rFonts w:cs="Calibri"/>
          <w:w w:val="105"/>
        </w:rPr>
        <w:t>These partnerships are led by businesses within a critical industry cluster working collaboratively with workforce development, education and training, economic development, labor and community</w:t>
      </w:r>
      <w:r>
        <w:rPr>
          <w:rFonts w:cs="Calibri"/>
          <w:w w:val="105"/>
        </w:rPr>
        <w:t>-</w:t>
      </w:r>
      <w:r w:rsidR="003E614A">
        <w:rPr>
          <w:rFonts w:cs="Calibri"/>
          <w:w w:val="105"/>
        </w:rPr>
        <w:t xml:space="preserve">based </w:t>
      </w:r>
      <w:r w:rsidR="003E614A" w:rsidRPr="007B0D02">
        <w:rPr>
          <w:rFonts w:cs="Calibri"/>
          <w:w w:val="105"/>
        </w:rPr>
        <w:t>organizations</w:t>
      </w:r>
      <w:r w:rsidR="005E7C49">
        <w:rPr>
          <w:rFonts w:cs="Calibri"/>
          <w:w w:val="105"/>
        </w:rPr>
        <w:t xml:space="preserve">. </w:t>
      </w:r>
      <w:r w:rsidRPr="007B0D02">
        <w:rPr>
          <w:rFonts w:cs="Calibri"/>
          <w:w w:val="105"/>
        </w:rPr>
        <w:t xml:space="preserve">Effective sector strategies are based on the following strategic framework:  </w:t>
      </w:r>
    </w:p>
    <w:p w14:paraId="774654BE" w14:textId="77777777" w:rsidR="00D64EA1" w:rsidRPr="00766539" w:rsidRDefault="00D64EA1" w:rsidP="00D63204">
      <w:pPr>
        <w:pStyle w:val="ListParagraph"/>
        <w:numPr>
          <w:ilvl w:val="0"/>
          <w:numId w:val="83"/>
        </w:numPr>
        <w:spacing w:after="160" w:line="240" w:lineRule="auto"/>
        <w:rPr>
          <w:rFonts w:cs="Calibri"/>
        </w:rPr>
      </w:pPr>
      <w:r>
        <w:rPr>
          <w:rFonts w:cs="Calibri"/>
        </w:rPr>
        <w:t xml:space="preserve">Built Around Great </w:t>
      </w:r>
      <w:r w:rsidRPr="00766539">
        <w:rPr>
          <w:rFonts w:cs="Calibri"/>
        </w:rPr>
        <w:t xml:space="preserve">Data </w:t>
      </w:r>
    </w:p>
    <w:p w14:paraId="602E04F1" w14:textId="77777777" w:rsidR="00D64EA1" w:rsidRPr="00766539" w:rsidRDefault="00D64EA1" w:rsidP="00D63204">
      <w:pPr>
        <w:pStyle w:val="ListParagraph"/>
        <w:numPr>
          <w:ilvl w:val="0"/>
          <w:numId w:val="83"/>
        </w:numPr>
        <w:spacing w:after="160" w:line="240" w:lineRule="auto"/>
        <w:rPr>
          <w:rFonts w:cs="Calibri"/>
        </w:rPr>
      </w:pPr>
      <w:r w:rsidRPr="00766539">
        <w:rPr>
          <w:rFonts w:cs="Calibri"/>
        </w:rPr>
        <w:t xml:space="preserve">Founded on a Shared, Regional Vision </w:t>
      </w:r>
    </w:p>
    <w:p w14:paraId="60807E92" w14:textId="77777777" w:rsidR="00D64EA1" w:rsidRPr="00766539" w:rsidRDefault="00D64EA1" w:rsidP="00D63204">
      <w:pPr>
        <w:pStyle w:val="ListParagraph"/>
        <w:numPr>
          <w:ilvl w:val="0"/>
          <w:numId w:val="83"/>
        </w:numPr>
        <w:spacing w:after="160" w:line="240" w:lineRule="auto"/>
        <w:rPr>
          <w:rFonts w:cs="Calibri"/>
        </w:rPr>
      </w:pPr>
      <w:r>
        <w:rPr>
          <w:rFonts w:cs="Calibri"/>
        </w:rPr>
        <w:t xml:space="preserve">Guided </w:t>
      </w:r>
      <w:r w:rsidRPr="00766539">
        <w:rPr>
          <w:rFonts w:cs="Calibri"/>
        </w:rPr>
        <w:t xml:space="preserve">by Industry </w:t>
      </w:r>
    </w:p>
    <w:p w14:paraId="3C848BE5" w14:textId="77777777" w:rsidR="00D64EA1" w:rsidRPr="00766539" w:rsidRDefault="00D64EA1" w:rsidP="00D63204">
      <w:pPr>
        <w:pStyle w:val="ListParagraph"/>
        <w:numPr>
          <w:ilvl w:val="0"/>
          <w:numId w:val="83"/>
        </w:numPr>
        <w:spacing w:after="160" w:line="240" w:lineRule="auto"/>
        <w:rPr>
          <w:rFonts w:cs="Calibri"/>
        </w:rPr>
      </w:pPr>
      <w:r w:rsidRPr="00766539">
        <w:rPr>
          <w:rFonts w:cs="Calibri"/>
        </w:rPr>
        <w:t>Lead to Strategic Alignment</w:t>
      </w:r>
    </w:p>
    <w:p w14:paraId="43F79666" w14:textId="2EBA8E46" w:rsidR="00D64EA1" w:rsidRPr="00766539" w:rsidRDefault="00D64EA1" w:rsidP="00D63204">
      <w:pPr>
        <w:pStyle w:val="ListParagraph"/>
        <w:numPr>
          <w:ilvl w:val="0"/>
          <w:numId w:val="83"/>
        </w:numPr>
        <w:spacing w:after="160" w:line="240" w:lineRule="auto"/>
        <w:rPr>
          <w:rFonts w:cs="Calibri"/>
        </w:rPr>
      </w:pPr>
      <w:r w:rsidRPr="00766539">
        <w:rPr>
          <w:rFonts w:cs="Calibri"/>
        </w:rPr>
        <w:t>Transform How Services (</w:t>
      </w:r>
      <w:r w:rsidR="00EB646F">
        <w:rPr>
          <w:rFonts w:cs="Calibri"/>
        </w:rPr>
        <w:t>job seekers</w:t>
      </w:r>
      <w:r w:rsidRPr="00766539">
        <w:rPr>
          <w:rFonts w:cs="Calibri"/>
        </w:rPr>
        <w:t xml:space="preserve">/worker and employer) are Delivered </w:t>
      </w:r>
    </w:p>
    <w:p w14:paraId="0C51A877" w14:textId="77777777" w:rsidR="00377A33" w:rsidRPr="00377A33" w:rsidRDefault="00D64EA1" w:rsidP="00D63204">
      <w:pPr>
        <w:pStyle w:val="ListParagraph"/>
        <w:numPr>
          <w:ilvl w:val="0"/>
          <w:numId w:val="83"/>
        </w:numPr>
        <w:spacing w:after="160" w:line="240" w:lineRule="auto"/>
        <w:rPr>
          <w:rFonts w:cs="Calibri"/>
        </w:rPr>
      </w:pPr>
      <w:r w:rsidRPr="00766539">
        <w:rPr>
          <w:rFonts w:cs="Calibri"/>
        </w:rPr>
        <w:t>Measured, Improved and Sustained</w:t>
      </w:r>
    </w:p>
    <w:p w14:paraId="2AC56A6A" w14:textId="094E1E7F" w:rsidR="005E654A" w:rsidRDefault="005E654A" w:rsidP="00D63204">
      <w:pPr>
        <w:widowControl w:val="0"/>
        <w:spacing w:before="2" w:after="0" w:line="235" w:lineRule="auto"/>
        <w:ind w:left="107"/>
        <w:rPr>
          <w:rFonts w:cs="Calibri"/>
          <w:b/>
          <w:w w:val="105"/>
        </w:rPr>
      </w:pPr>
      <w:bookmarkStart w:id="58" w:name="_Hlk507590180"/>
      <w:r w:rsidRPr="00544FF8">
        <w:rPr>
          <w:rFonts w:cs="Calibri"/>
          <w:b/>
          <w:w w:val="105"/>
          <w:u w:color="000000"/>
        </w:rPr>
        <w:t>Advanced</w:t>
      </w:r>
      <w:r w:rsidRPr="00544FF8">
        <w:rPr>
          <w:rFonts w:cs="Calibri"/>
          <w:b/>
          <w:spacing w:val="16"/>
          <w:w w:val="105"/>
          <w:u w:color="000000"/>
        </w:rPr>
        <w:t xml:space="preserve"> </w:t>
      </w:r>
      <w:r w:rsidRPr="00544FF8">
        <w:rPr>
          <w:rFonts w:cs="Calibri"/>
          <w:b/>
          <w:w w:val="105"/>
          <w:u w:color="000000"/>
        </w:rPr>
        <w:t>Manufacturing</w:t>
      </w:r>
      <w:r w:rsidRPr="00544FF8">
        <w:rPr>
          <w:rFonts w:cs="Calibri"/>
          <w:b/>
          <w:spacing w:val="16"/>
          <w:w w:val="105"/>
          <w:u w:color="000000"/>
        </w:rPr>
        <w:t xml:space="preserve"> </w:t>
      </w:r>
      <w:r w:rsidRPr="00544FF8">
        <w:rPr>
          <w:rFonts w:cs="Calibri"/>
          <w:b/>
          <w:w w:val="105"/>
          <w:u w:color="000000"/>
        </w:rPr>
        <w:t>Business</w:t>
      </w:r>
      <w:r w:rsidRPr="00544FF8">
        <w:rPr>
          <w:rFonts w:cs="Calibri"/>
          <w:b/>
          <w:spacing w:val="16"/>
          <w:w w:val="105"/>
          <w:u w:color="000000"/>
        </w:rPr>
        <w:t xml:space="preserve"> </w:t>
      </w:r>
      <w:r w:rsidRPr="00544FF8">
        <w:rPr>
          <w:rFonts w:cs="Calibri"/>
          <w:b/>
          <w:spacing w:val="-2"/>
          <w:w w:val="105"/>
          <w:u w:color="000000"/>
        </w:rPr>
        <w:t>Intelligence</w:t>
      </w:r>
      <w:r w:rsidRPr="00544FF8">
        <w:rPr>
          <w:rFonts w:cs="Calibri"/>
          <w:b/>
          <w:spacing w:val="16"/>
          <w:w w:val="105"/>
          <w:u w:color="000000"/>
        </w:rPr>
        <w:t xml:space="preserve"> </w:t>
      </w:r>
      <w:r w:rsidRPr="00544FF8">
        <w:rPr>
          <w:rFonts w:cs="Calibri"/>
          <w:b/>
          <w:spacing w:val="-3"/>
          <w:w w:val="105"/>
          <w:u w:color="000000"/>
        </w:rPr>
        <w:t>Research</w:t>
      </w:r>
      <w:r w:rsidRPr="00544FF8">
        <w:rPr>
          <w:rFonts w:cs="Calibri"/>
          <w:b/>
          <w:spacing w:val="16"/>
          <w:w w:val="105"/>
          <w:u w:color="000000"/>
        </w:rPr>
        <w:t xml:space="preserve"> </w:t>
      </w:r>
      <w:r w:rsidRPr="00544FF8">
        <w:rPr>
          <w:rFonts w:cs="Calibri"/>
          <w:b/>
          <w:spacing w:val="-2"/>
          <w:w w:val="105"/>
          <w:u w:color="000000"/>
        </w:rPr>
        <w:t>and</w:t>
      </w:r>
      <w:r w:rsidRPr="00544FF8">
        <w:rPr>
          <w:rFonts w:cs="Calibri"/>
          <w:b/>
          <w:spacing w:val="16"/>
          <w:w w:val="105"/>
          <w:u w:color="000000"/>
        </w:rPr>
        <w:t xml:space="preserve"> </w:t>
      </w:r>
      <w:r w:rsidRPr="00544FF8">
        <w:rPr>
          <w:rFonts w:cs="Calibri"/>
          <w:b/>
          <w:spacing w:val="-2"/>
          <w:w w:val="105"/>
          <w:u w:color="000000"/>
        </w:rPr>
        <w:t>Sector</w:t>
      </w:r>
      <w:r w:rsidRPr="00544FF8">
        <w:rPr>
          <w:rFonts w:cs="Calibri"/>
          <w:b/>
          <w:spacing w:val="16"/>
          <w:w w:val="105"/>
          <w:u w:color="000000"/>
        </w:rPr>
        <w:t xml:space="preserve"> </w:t>
      </w:r>
      <w:r w:rsidRPr="00544FF8">
        <w:rPr>
          <w:rFonts w:cs="Calibri"/>
          <w:b/>
          <w:spacing w:val="-3"/>
          <w:w w:val="105"/>
          <w:u w:color="000000"/>
        </w:rPr>
        <w:t>Strategy</w:t>
      </w:r>
      <w:r w:rsidRPr="00544FF8">
        <w:rPr>
          <w:rFonts w:cs="Calibri"/>
          <w:b/>
          <w:spacing w:val="16"/>
          <w:w w:val="105"/>
          <w:u w:color="000000"/>
        </w:rPr>
        <w:t xml:space="preserve"> </w:t>
      </w:r>
      <w:r w:rsidRPr="00544FF8">
        <w:rPr>
          <w:rFonts w:cs="Calibri"/>
          <w:b/>
          <w:w w:val="105"/>
          <w:u w:color="000000"/>
        </w:rPr>
        <w:t>Approach</w:t>
      </w:r>
      <w:r w:rsidRPr="00544FF8">
        <w:rPr>
          <w:rFonts w:cs="Calibri"/>
          <w:b/>
          <w:spacing w:val="-3"/>
          <w:w w:val="105"/>
          <w:u w:color="000000"/>
        </w:rPr>
        <w:t xml:space="preserve"> </w:t>
      </w:r>
      <w:r w:rsidRPr="00544FF8">
        <w:rPr>
          <w:rFonts w:cs="Calibri"/>
          <w:b/>
          <w:w w:val="105"/>
          <w:u w:color="000000"/>
        </w:rPr>
        <w:t>Services</w:t>
      </w:r>
    </w:p>
    <w:p w14:paraId="1F3F55D7" w14:textId="77DB9101" w:rsidR="005E654A" w:rsidRDefault="005E654A" w:rsidP="00D63204">
      <w:pPr>
        <w:widowControl w:val="0"/>
        <w:spacing w:before="2" w:after="0" w:line="235" w:lineRule="auto"/>
        <w:ind w:left="107"/>
      </w:pPr>
      <w:r w:rsidRPr="007B0D02">
        <w:rPr>
          <w:rFonts w:cs="Calibri"/>
          <w:w w:val="105"/>
        </w:rPr>
        <w:t>This</w:t>
      </w:r>
      <w:r w:rsidRPr="00EC310E">
        <w:rPr>
          <w:rFonts w:cs="Calibri"/>
          <w:w w:val="105"/>
        </w:rPr>
        <w:t xml:space="preserve"> </w:t>
      </w:r>
      <w:r w:rsidRPr="007B0D02">
        <w:rPr>
          <w:rFonts w:cs="Calibri"/>
          <w:w w:val="105"/>
        </w:rPr>
        <w:t>initiative</w:t>
      </w:r>
      <w:r w:rsidRPr="00EC310E">
        <w:rPr>
          <w:rFonts w:cs="Calibri"/>
          <w:w w:val="105"/>
        </w:rPr>
        <w:t xml:space="preserve"> </w:t>
      </w:r>
      <w:r w:rsidRPr="007B0D02">
        <w:rPr>
          <w:rFonts w:cs="Calibri"/>
          <w:w w:val="105"/>
        </w:rPr>
        <w:t>began</w:t>
      </w:r>
      <w:r w:rsidRPr="00EC310E">
        <w:rPr>
          <w:rFonts w:cs="Calibri"/>
          <w:w w:val="105"/>
        </w:rPr>
        <w:t xml:space="preserve"> </w:t>
      </w:r>
      <w:r w:rsidRPr="007B0D02">
        <w:rPr>
          <w:rFonts w:cs="Calibri"/>
          <w:w w:val="105"/>
        </w:rPr>
        <w:t>in</w:t>
      </w:r>
      <w:r w:rsidRPr="00EC310E">
        <w:rPr>
          <w:rFonts w:cs="Calibri"/>
          <w:w w:val="105"/>
        </w:rPr>
        <w:t xml:space="preserve"> </w:t>
      </w:r>
      <w:r w:rsidRPr="007B0D02">
        <w:rPr>
          <w:rFonts w:cs="Calibri"/>
          <w:w w:val="105"/>
        </w:rPr>
        <w:t>2014</w:t>
      </w:r>
      <w:r w:rsidRPr="00EC310E">
        <w:rPr>
          <w:rFonts w:cs="Calibri"/>
          <w:w w:val="105"/>
        </w:rPr>
        <w:t xml:space="preserve"> and </w:t>
      </w:r>
      <w:r w:rsidRPr="007B0D02">
        <w:rPr>
          <w:rFonts w:cs="Calibri"/>
          <w:w w:val="105"/>
        </w:rPr>
        <w:t>resulted</w:t>
      </w:r>
      <w:r w:rsidRPr="00EC310E">
        <w:rPr>
          <w:rFonts w:cs="Calibri"/>
          <w:w w:val="105"/>
        </w:rPr>
        <w:t xml:space="preserve"> </w:t>
      </w:r>
      <w:r w:rsidRPr="007B0D02">
        <w:rPr>
          <w:rFonts w:cs="Calibri"/>
          <w:w w:val="105"/>
        </w:rPr>
        <w:t>in</w:t>
      </w:r>
      <w:r w:rsidRPr="00EC310E">
        <w:rPr>
          <w:rFonts w:cs="Calibri"/>
          <w:w w:val="105"/>
        </w:rPr>
        <w:t xml:space="preserve"> </w:t>
      </w:r>
      <w:r w:rsidRPr="007B0D02">
        <w:rPr>
          <w:rFonts w:cs="Calibri"/>
          <w:w w:val="105"/>
        </w:rPr>
        <w:t>the</w:t>
      </w:r>
      <w:r w:rsidRPr="00EC310E">
        <w:rPr>
          <w:rFonts w:cs="Calibri"/>
          <w:w w:val="105"/>
        </w:rPr>
        <w:t xml:space="preserve"> </w:t>
      </w:r>
      <w:r w:rsidRPr="007B0D02">
        <w:rPr>
          <w:rFonts w:cs="Calibri"/>
          <w:w w:val="105"/>
        </w:rPr>
        <w:t>promotion</w:t>
      </w:r>
      <w:r w:rsidRPr="00EC310E">
        <w:rPr>
          <w:rFonts w:cs="Calibri"/>
          <w:w w:val="105"/>
        </w:rPr>
        <w:t xml:space="preserve"> </w:t>
      </w:r>
      <w:r w:rsidRPr="007B0D02">
        <w:rPr>
          <w:rFonts w:cs="Calibri"/>
          <w:w w:val="105"/>
        </w:rPr>
        <w:t>of</w:t>
      </w:r>
      <w:r w:rsidRPr="00EC310E">
        <w:rPr>
          <w:rFonts w:cs="Calibri"/>
          <w:w w:val="105"/>
        </w:rPr>
        <w:t xml:space="preserve"> </w:t>
      </w:r>
      <w:r w:rsidRPr="007B0D02">
        <w:rPr>
          <w:rFonts w:cs="Calibri"/>
          <w:w w:val="105"/>
        </w:rPr>
        <w:t>business</w:t>
      </w:r>
      <w:r w:rsidRPr="00EC310E">
        <w:rPr>
          <w:rFonts w:cs="Calibri"/>
          <w:w w:val="105"/>
        </w:rPr>
        <w:t xml:space="preserve"> </w:t>
      </w:r>
      <w:r w:rsidRPr="007B0D02">
        <w:rPr>
          <w:rFonts w:cs="Calibri"/>
          <w:w w:val="105"/>
        </w:rPr>
        <w:t>growth</w:t>
      </w:r>
      <w:r w:rsidRPr="00EC310E">
        <w:rPr>
          <w:rFonts w:cs="Calibri"/>
          <w:w w:val="105"/>
        </w:rPr>
        <w:t xml:space="preserve"> </w:t>
      </w:r>
      <w:r w:rsidR="007763FF">
        <w:rPr>
          <w:rFonts w:cs="Calibri"/>
          <w:w w:val="105"/>
        </w:rPr>
        <w:t xml:space="preserve">through </w:t>
      </w:r>
      <w:r w:rsidRPr="007B0D02">
        <w:rPr>
          <w:rFonts w:cs="Calibri"/>
          <w:w w:val="105"/>
        </w:rPr>
        <w:t>better</w:t>
      </w:r>
      <w:r w:rsidRPr="00EC310E">
        <w:rPr>
          <w:rFonts w:cs="Calibri"/>
          <w:w w:val="105"/>
        </w:rPr>
        <w:t xml:space="preserve"> </w:t>
      </w:r>
      <w:r w:rsidR="007763FF">
        <w:rPr>
          <w:rFonts w:cs="Calibri"/>
          <w:w w:val="105"/>
        </w:rPr>
        <w:t>connectivity of</w:t>
      </w:r>
      <w:r w:rsidRPr="00EC310E">
        <w:rPr>
          <w:rFonts w:cs="Calibri"/>
          <w:w w:val="105"/>
        </w:rPr>
        <w:t xml:space="preserve"> Florida’s </w:t>
      </w:r>
      <w:r w:rsidRPr="007B0D02">
        <w:rPr>
          <w:rFonts w:cs="Calibri"/>
          <w:w w:val="105"/>
        </w:rPr>
        <w:t>advanced</w:t>
      </w:r>
      <w:r w:rsidRPr="00EC310E">
        <w:rPr>
          <w:rFonts w:cs="Calibri"/>
          <w:w w:val="105"/>
        </w:rPr>
        <w:t xml:space="preserve"> </w:t>
      </w:r>
      <w:r w:rsidRPr="007B0D02">
        <w:rPr>
          <w:rFonts w:cs="Calibri"/>
          <w:w w:val="105"/>
        </w:rPr>
        <w:t>manufacturers</w:t>
      </w:r>
      <w:r w:rsidRPr="00EC310E">
        <w:rPr>
          <w:rFonts w:cs="Calibri"/>
          <w:w w:val="105"/>
        </w:rPr>
        <w:t xml:space="preserve"> </w:t>
      </w:r>
      <w:r w:rsidRPr="007B0D02">
        <w:rPr>
          <w:rFonts w:cs="Calibri"/>
          <w:w w:val="105"/>
        </w:rPr>
        <w:t>to</w:t>
      </w:r>
      <w:r w:rsidRPr="00EC310E">
        <w:rPr>
          <w:rFonts w:cs="Calibri"/>
          <w:w w:val="105"/>
        </w:rPr>
        <w:t xml:space="preserve"> </w:t>
      </w:r>
      <w:r w:rsidRPr="007B0D02">
        <w:rPr>
          <w:rFonts w:cs="Calibri"/>
          <w:w w:val="105"/>
        </w:rPr>
        <w:t>existing</w:t>
      </w:r>
      <w:r w:rsidRPr="00EC310E">
        <w:rPr>
          <w:rFonts w:cs="Calibri"/>
          <w:w w:val="105"/>
        </w:rPr>
        <w:t xml:space="preserve"> </w:t>
      </w:r>
      <w:r w:rsidRPr="007B0D02">
        <w:rPr>
          <w:rFonts w:cs="Calibri"/>
          <w:w w:val="105"/>
        </w:rPr>
        <w:t>public</w:t>
      </w:r>
      <w:r w:rsidRPr="00EC310E">
        <w:rPr>
          <w:rFonts w:cs="Calibri"/>
          <w:w w:val="105"/>
        </w:rPr>
        <w:t xml:space="preserve"> </w:t>
      </w:r>
      <w:r w:rsidRPr="007B0D02">
        <w:rPr>
          <w:rFonts w:cs="Calibri"/>
          <w:w w:val="105"/>
        </w:rPr>
        <w:t>and</w:t>
      </w:r>
      <w:r w:rsidRPr="00EC310E">
        <w:rPr>
          <w:rFonts w:cs="Calibri"/>
          <w:w w:val="105"/>
        </w:rPr>
        <w:t xml:space="preserve"> </w:t>
      </w:r>
      <w:r w:rsidRPr="007B0D02">
        <w:rPr>
          <w:rFonts w:cs="Calibri"/>
          <w:w w:val="105"/>
        </w:rPr>
        <w:t>private</w:t>
      </w:r>
      <w:r w:rsidRPr="00EC310E">
        <w:rPr>
          <w:rFonts w:cs="Calibri"/>
          <w:w w:val="105"/>
        </w:rPr>
        <w:t xml:space="preserve"> </w:t>
      </w:r>
      <w:r w:rsidRPr="007B0D02">
        <w:rPr>
          <w:rFonts w:cs="Calibri"/>
          <w:w w:val="105"/>
        </w:rPr>
        <w:t>resources</w:t>
      </w:r>
      <w:r w:rsidRPr="00EC310E">
        <w:rPr>
          <w:rFonts w:cs="Calibri"/>
          <w:w w:val="105"/>
        </w:rPr>
        <w:t xml:space="preserve"> </w:t>
      </w:r>
      <w:r w:rsidRPr="007B0D02">
        <w:rPr>
          <w:rFonts w:cs="Calibri"/>
          <w:w w:val="105"/>
        </w:rPr>
        <w:t xml:space="preserve">essential </w:t>
      </w:r>
      <w:r w:rsidRPr="00EC310E">
        <w:rPr>
          <w:rFonts w:cs="Calibri"/>
          <w:w w:val="105"/>
        </w:rPr>
        <w:t>for</w:t>
      </w:r>
      <w:r w:rsidRPr="007B0D02">
        <w:rPr>
          <w:rFonts w:cs="Calibri"/>
          <w:w w:val="105"/>
        </w:rPr>
        <w:t xml:space="preserve"> increased competitiveness and </w:t>
      </w:r>
      <w:r w:rsidRPr="00EC310E">
        <w:rPr>
          <w:rFonts w:cs="Calibri"/>
          <w:w w:val="105"/>
        </w:rPr>
        <w:t xml:space="preserve">profitability, </w:t>
      </w:r>
      <w:r w:rsidRPr="007B0D02">
        <w:rPr>
          <w:rFonts w:cs="Calibri"/>
          <w:w w:val="105"/>
        </w:rPr>
        <w:t xml:space="preserve">leveraging </w:t>
      </w:r>
      <w:r w:rsidRPr="00EC310E">
        <w:rPr>
          <w:rFonts w:cs="Calibri"/>
          <w:w w:val="105"/>
        </w:rPr>
        <w:t>the</w:t>
      </w:r>
      <w:r w:rsidRPr="007B0D02">
        <w:rPr>
          <w:rFonts w:cs="Calibri"/>
          <w:w w:val="105"/>
        </w:rPr>
        <w:t xml:space="preserve"> workforce</w:t>
      </w:r>
      <w:r w:rsidRPr="00EC310E">
        <w:rPr>
          <w:rFonts w:cs="Calibri"/>
          <w:w w:val="105"/>
        </w:rPr>
        <w:t xml:space="preserve"> </w:t>
      </w:r>
      <w:r w:rsidRPr="007B0D02">
        <w:rPr>
          <w:rFonts w:cs="Calibri"/>
          <w:w w:val="105"/>
        </w:rPr>
        <w:t>and</w:t>
      </w:r>
      <w:r w:rsidRPr="00EC310E">
        <w:rPr>
          <w:rFonts w:cs="Calibri"/>
          <w:w w:val="105"/>
        </w:rPr>
        <w:t xml:space="preserve"> </w:t>
      </w:r>
      <w:r w:rsidRPr="007B0D02">
        <w:rPr>
          <w:rFonts w:cs="Calibri"/>
          <w:w w:val="105"/>
        </w:rPr>
        <w:t>talent</w:t>
      </w:r>
      <w:r w:rsidRPr="00EC310E">
        <w:rPr>
          <w:rFonts w:cs="Calibri"/>
          <w:w w:val="105"/>
        </w:rPr>
        <w:t xml:space="preserve"> </w:t>
      </w:r>
      <w:r w:rsidRPr="007B0D02">
        <w:rPr>
          <w:rFonts w:cs="Calibri"/>
          <w:w w:val="105"/>
        </w:rPr>
        <w:t>development</w:t>
      </w:r>
      <w:r w:rsidRPr="00EC310E">
        <w:rPr>
          <w:rFonts w:cs="Calibri"/>
          <w:w w:val="105"/>
        </w:rPr>
        <w:t xml:space="preserve"> </w:t>
      </w:r>
      <w:r w:rsidRPr="007B0D02">
        <w:rPr>
          <w:rFonts w:cs="Calibri"/>
          <w:w w:val="105"/>
        </w:rPr>
        <w:t>assets</w:t>
      </w:r>
      <w:r w:rsidRPr="00EC310E">
        <w:rPr>
          <w:rFonts w:cs="Calibri"/>
          <w:w w:val="105"/>
        </w:rPr>
        <w:t xml:space="preserve"> </w:t>
      </w:r>
      <w:r w:rsidRPr="007B0D02">
        <w:rPr>
          <w:rFonts w:cs="Calibri"/>
          <w:w w:val="105"/>
        </w:rPr>
        <w:t>within</w:t>
      </w:r>
      <w:r w:rsidRPr="00EC310E">
        <w:rPr>
          <w:rFonts w:cs="Calibri"/>
          <w:w w:val="105"/>
        </w:rPr>
        <w:t xml:space="preserve"> </w:t>
      </w:r>
      <w:r w:rsidRPr="007B0D02">
        <w:rPr>
          <w:rFonts w:cs="Calibri"/>
          <w:w w:val="105"/>
        </w:rPr>
        <w:t>the</w:t>
      </w:r>
      <w:r w:rsidRPr="00EC310E">
        <w:rPr>
          <w:rFonts w:cs="Calibri"/>
          <w:w w:val="105"/>
        </w:rPr>
        <w:t xml:space="preserve"> </w:t>
      </w:r>
      <w:r w:rsidRPr="007B0D02">
        <w:rPr>
          <w:rFonts w:cs="Calibri"/>
          <w:w w:val="105"/>
        </w:rPr>
        <w:t>state.</w:t>
      </w:r>
      <w:r w:rsidRPr="00EC310E">
        <w:rPr>
          <w:rFonts w:cs="Calibri"/>
          <w:w w:val="105"/>
        </w:rPr>
        <w:t xml:space="preserve"> </w:t>
      </w:r>
      <w:r w:rsidRPr="007B0D02">
        <w:rPr>
          <w:rFonts w:cs="Calibri"/>
          <w:w w:val="105"/>
        </w:rPr>
        <w:t>The</w:t>
      </w:r>
      <w:r w:rsidRPr="00EC310E">
        <w:rPr>
          <w:rFonts w:cs="Calibri"/>
          <w:w w:val="105"/>
        </w:rPr>
        <w:t xml:space="preserve"> </w:t>
      </w:r>
      <w:r w:rsidRPr="007B0D02">
        <w:rPr>
          <w:rFonts w:cs="Calibri"/>
          <w:w w:val="105"/>
        </w:rPr>
        <w:t>Center</w:t>
      </w:r>
      <w:r w:rsidRPr="00EC310E">
        <w:rPr>
          <w:rFonts w:cs="Calibri"/>
          <w:w w:val="105"/>
        </w:rPr>
        <w:t xml:space="preserve"> </w:t>
      </w:r>
      <w:r w:rsidRPr="007B0D02">
        <w:rPr>
          <w:rFonts w:cs="Calibri"/>
          <w:w w:val="105"/>
        </w:rPr>
        <w:t>for</w:t>
      </w:r>
      <w:r w:rsidRPr="00EC310E">
        <w:rPr>
          <w:rFonts w:cs="Calibri"/>
          <w:w w:val="105"/>
        </w:rPr>
        <w:t xml:space="preserve"> </w:t>
      </w:r>
      <w:r w:rsidRPr="007B0D02">
        <w:rPr>
          <w:rFonts w:cs="Calibri"/>
          <w:w w:val="105"/>
        </w:rPr>
        <w:t>Advanced</w:t>
      </w:r>
      <w:r w:rsidRPr="00EC310E">
        <w:rPr>
          <w:rFonts w:cs="Calibri"/>
          <w:w w:val="105"/>
        </w:rPr>
        <w:t xml:space="preserve"> </w:t>
      </w:r>
      <w:r w:rsidRPr="007B0D02">
        <w:rPr>
          <w:rFonts w:cs="Calibri"/>
          <w:w w:val="105"/>
        </w:rPr>
        <w:t>Manufacturing</w:t>
      </w:r>
      <w:r w:rsidRPr="00EC310E">
        <w:rPr>
          <w:rFonts w:cs="Calibri"/>
          <w:w w:val="105"/>
        </w:rPr>
        <w:t xml:space="preserve"> Excellence </w:t>
      </w:r>
      <w:r w:rsidRPr="007B0D02">
        <w:rPr>
          <w:rFonts w:cs="Calibri"/>
          <w:w w:val="105"/>
        </w:rPr>
        <w:t>(CAME),</w:t>
      </w:r>
      <w:r w:rsidRPr="00EC310E">
        <w:rPr>
          <w:rFonts w:cs="Calibri"/>
          <w:w w:val="105"/>
        </w:rPr>
        <w:t xml:space="preserve"> under the direction of FloridaMakes, Florida’s Manufacturing Extension partnership, </w:t>
      </w:r>
      <w:r w:rsidRPr="007B0D02">
        <w:rPr>
          <w:rFonts w:cs="Calibri"/>
          <w:w w:val="105"/>
        </w:rPr>
        <w:t>served</w:t>
      </w:r>
      <w:r w:rsidRPr="00EC310E">
        <w:rPr>
          <w:rFonts w:cs="Calibri"/>
          <w:w w:val="105"/>
        </w:rPr>
        <w:t xml:space="preserve"> </w:t>
      </w:r>
      <w:r w:rsidRPr="007B0D02">
        <w:rPr>
          <w:rFonts w:cs="Calibri"/>
          <w:w w:val="105"/>
        </w:rPr>
        <w:t>as</w:t>
      </w:r>
      <w:r w:rsidRPr="00EC310E">
        <w:rPr>
          <w:rFonts w:cs="Calibri"/>
          <w:w w:val="105"/>
        </w:rPr>
        <w:t xml:space="preserve"> </w:t>
      </w:r>
      <w:r w:rsidRPr="007B0D02">
        <w:rPr>
          <w:rFonts w:cs="Calibri"/>
          <w:w w:val="105"/>
        </w:rPr>
        <w:t>the</w:t>
      </w:r>
      <w:r w:rsidRPr="00EC310E">
        <w:rPr>
          <w:rFonts w:cs="Calibri"/>
          <w:w w:val="105"/>
        </w:rPr>
        <w:t xml:space="preserve"> </w:t>
      </w:r>
      <w:r w:rsidRPr="007B0D02">
        <w:rPr>
          <w:rFonts w:cs="Calibri"/>
          <w:w w:val="105"/>
        </w:rPr>
        <w:t>Advanced</w:t>
      </w:r>
      <w:r w:rsidRPr="00EC310E">
        <w:rPr>
          <w:rFonts w:cs="Calibri"/>
          <w:w w:val="105"/>
        </w:rPr>
        <w:t xml:space="preserve"> </w:t>
      </w:r>
      <w:r w:rsidRPr="007B0D02">
        <w:rPr>
          <w:rFonts w:cs="Calibri"/>
          <w:w w:val="105"/>
        </w:rPr>
        <w:t>Manufacturing</w:t>
      </w:r>
      <w:r w:rsidRPr="00EC310E">
        <w:rPr>
          <w:rFonts w:cs="Calibri"/>
          <w:w w:val="105"/>
        </w:rPr>
        <w:t xml:space="preserve"> Workforce Leadership </w:t>
      </w:r>
      <w:r w:rsidRPr="007B0D02">
        <w:rPr>
          <w:rFonts w:cs="Calibri"/>
          <w:w w:val="105"/>
        </w:rPr>
        <w:t>Council</w:t>
      </w:r>
      <w:r w:rsidRPr="00EC310E">
        <w:rPr>
          <w:rFonts w:cs="Calibri"/>
          <w:w w:val="105"/>
        </w:rPr>
        <w:t xml:space="preserve"> </w:t>
      </w:r>
      <w:r w:rsidRPr="007B0D02">
        <w:rPr>
          <w:rFonts w:cs="Calibri"/>
          <w:w w:val="105"/>
        </w:rPr>
        <w:t>and</w:t>
      </w:r>
      <w:r w:rsidRPr="00EC310E">
        <w:rPr>
          <w:rFonts w:cs="Calibri"/>
          <w:w w:val="105"/>
        </w:rPr>
        <w:t xml:space="preserve"> </w:t>
      </w:r>
      <w:r w:rsidRPr="007B0D02">
        <w:rPr>
          <w:rFonts w:cs="Calibri"/>
          <w:w w:val="105"/>
        </w:rPr>
        <w:t>coordinated</w:t>
      </w:r>
      <w:r w:rsidRPr="00EC310E">
        <w:rPr>
          <w:rFonts w:cs="Calibri"/>
          <w:w w:val="105"/>
        </w:rPr>
        <w:t xml:space="preserve"> </w:t>
      </w:r>
      <w:r w:rsidRPr="007B0D02">
        <w:rPr>
          <w:rFonts w:cs="Calibri"/>
          <w:w w:val="105"/>
        </w:rPr>
        <w:t>efforts through Florida’s</w:t>
      </w:r>
      <w:r w:rsidRPr="00EC310E">
        <w:rPr>
          <w:rFonts w:cs="Calibri"/>
          <w:w w:val="105"/>
        </w:rPr>
        <w:t xml:space="preserve"> </w:t>
      </w:r>
      <w:r w:rsidRPr="007B0D02">
        <w:rPr>
          <w:rFonts w:cs="Calibri"/>
          <w:w w:val="105"/>
        </w:rPr>
        <w:t>13</w:t>
      </w:r>
      <w:r w:rsidRPr="00EC310E">
        <w:rPr>
          <w:rFonts w:cs="Calibri"/>
          <w:w w:val="105"/>
        </w:rPr>
        <w:t xml:space="preserve"> Regional </w:t>
      </w:r>
      <w:r w:rsidRPr="007B0D02">
        <w:rPr>
          <w:rFonts w:cs="Calibri"/>
          <w:w w:val="105"/>
        </w:rPr>
        <w:t>Manufacturing</w:t>
      </w:r>
      <w:r w:rsidRPr="00EC310E">
        <w:rPr>
          <w:rFonts w:cs="Calibri"/>
          <w:w w:val="105"/>
        </w:rPr>
        <w:t xml:space="preserve"> </w:t>
      </w:r>
      <w:r w:rsidRPr="007B0D02">
        <w:rPr>
          <w:rFonts w:cs="Calibri"/>
          <w:w w:val="105"/>
        </w:rPr>
        <w:t>Associations</w:t>
      </w:r>
      <w:r w:rsidRPr="00EC310E">
        <w:rPr>
          <w:rFonts w:cs="Calibri"/>
          <w:w w:val="105"/>
        </w:rPr>
        <w:t xml:space="preserve"> </w:t>
      </w:r>
      <w:r w:rsidRPr="007B0D02">
        <w:rPr>
          <w:rFonts w:cs="Calibri"/>
          <w:w w:val="105"/>
        </w:rPr>
        <w:t>(RMAs).</w:t>
      </w:r>
      <w:r w:rsidRPr="00EC310E">
        <w:rPr>
          <w:rFonts w:cs="Calibri"/>
          <w:w w:val="105"/>
        </w:rPr>
        <w:t xml:space="preserve"> </w:t>
      </w:r>
      <w:bookmarkEnd w:id="58"/>
      <w:r w:rsidRPr="00AC429A">
        <w:t>The Leadership Council</w:t>
      </w:r>
      <w:r w:rsidR="00230318" w:rsidRPr="00AC429A">
        <w:t>,</w:t>
      </w:r>
      <w:r w:rsidR="00652C8F" w:rsidRPr="00AC429A">
        <w:t xml:space="preserve"> </w:t>
      </w:r>
      <w:r w:rsidR="00AC429A" w:rsidRPr="00AC429A">
        <w:rPr>
          <w:bCs/>
        </w:rPr>
        <w:t>composed</w:t>
      </w:r>
      <w:r w:rsidRPr="00AC429A">
        <w:t xml:space="preserve"> of RMAs and Florida manufacturers</w:t>
      </w:r>
      <w:r w:rsidR="00AC429A" w:rsidRPr="00AC429A">
        <w:rPr>
          <w:bCs/>
        </w:rPr>
        <w:t>,</w:t>
      </w:r>
      <w:r w:rsidR="00230318" w:rsidRPr="00AC429A">
        <w:t xml:space="preserve"> served </w:t>
      </w:r>
      <w:r w:rsidR="00AC429A" w:rsidRPr="00AC429A">
        <w:rPr>
          <w:bCs/>
        </w:rPr>
        <w:t xml:space="preserve">as </w:t>
      </w:r>
      <w:r w:rsidR="00230318" w:rsidRPr="00AC429A">
        <w:t xml:space="preserve">the primary </w:t>
      </w:r>
      <w:r w:rsidR="00AC429A" w:rsidRPr="00AC429A">
        <w:rPr>
          <w:bCs/>
        </w:rPr>
        <w:t>point</w:t>
      </w:r>
      <w:r w:rsidR="00230318" w:rsidRPr="00AC429A">
        <w:t xml:space="preserve"> of contact for the project.</w:t>
      </w:r>
    </w:p>
    <w:p w14:paraId="478A9F07" w14:textId="77777777" w:rsidR="00AC429A" w:rsidRDefault="00AC429A" w:rsidP="00D63204">
      <w:pPr>
        <w:widowControl w:val="0"/>
        <w:spacing w:before="2" w:after="0" w:line="235" w:lineRule="auto"/>
        <w:ind w:left="107"/>
        <w:rPr>
          <w:rFonts w:cs="Calibri"/>
          <w:w w:val="105"/>
        </w:rPr>
      </w:pPr>
    </w:p>
    <w:p w14:paraId="5BCCCF94" w14:textId="55E26659" w:rsidR="005E654A" w:rsidRDefault="005E654A" w:rsidP="00D63204">
      <w:pPr>
        <w:widowControl w:val="0"/>
        <w:spacing w:before="2" w:after="0" w:line="235" w:lineRule="auto"/>
        <w:ind w:left="107"/>
        <w:rPr>
          <w:rFonts w:cs="Calibri"/>
          <w:w w:val="105"/>
        </w:rPr>
      </w:pPr>
      <w:r w:rsidRPr="00EC310E">
        <w:rPr>
          <w:rFonts w:cs="Calibri"/>
          <w:w w:val="105"/>
        </w:rPr>
        <w:t xml:space="preserve">Throughout the year, the Leadership Council engaged in a variety of activities focused around the use of industry-specific labor market intelligence to inform the development of workforce policy and a sector strategy for manufacturing. </w:t>
      </w:r>
      <w:r w:rsidRPr="007B0D02">
        <w:rPr>
          <w:rFonts w:cs="Calibri"/>
          <w:w w:val="105"/>
        </w:rPr>
        <w:t>Both</w:t>
      </w:r>
      <w:r w:rsidRPr="00EC310E">
        <w:rPr>
          <w:rFonts w:cs="Calibri"/>
          <w:w w:val="105"/>
        </w:rPr>
        <w:t xml:space="preserve"> the c</w:t>
      </w:r>
      <w:r w:rsidRPr="007B0D02">
        <w:rPr>
          <w:rFonts w:cs="Calibri"/>
          <w:w w:val="105"/>
        </w:rPr>
        <w:t xml:space="preserve">ouncil and the RMAs, comprising Florida </w:t>
      </w:r>
      <w:r w:rsidRPr="00EC310E">
        <w:rPr>
          <w:rFonts w:cs="Calibri"/>
          <w:w w:val="105"/>
        </w:rPr>
        <w:t xml:space="preserve">industry, set out to </w:t>
      </w:r>
      <w:r w:rsidRPr="007B0D02">
        <w:rPr>
          <w:rFonts w:cs="Calibri"/>
          <w:w w:val="105"/>
        </w:rPr>
        <w:t>drive business-led improvements in talent</w:t>
      </w:r>
      <w:r w:rsidRPr="00EC310E">
        <w:rPr>
          <w:rFonts w:cs="Calibri"/>
          <w:w w:val="105"/>
        </w:rPr>
        <w:t xml:space="preserve"> delivery. Successful completion of the project resulted in the establishment of a business feedback loop that ensures Florida’s workforce network has a deep</w:t>
      </w:r>
      <w:r w:rsidR="00044AEB">
        <w:rPr>
          <w:rFonts w:cs="Calibri"/>
          <w:w w:val="105"/>
        </w:rPr>
        <w:t>er</w:t>
      </w:r>
      <w:r w:rsidRPr="00EC310E">
        <w:rPr>
          <w:rFonts w:cs="Calibri"/>
          <w:w w:val="105"/>
        </w:rPr>
        <w:t xml:space="preserve"> understanding of</w:t>
      </w:r>
      <w:r>
        <w:rPr>
          <w:rFonts w:cs="Calibri"/>
          <w:w w:val="105"/>
        </w:rPr>
        <w:t xml:space="preserve"> and</w:t>
      </w:r>
      <w:r w:rsidRPr="00EC310E">
        <w:rPr>
          <w:rFonts w:cs="Calibri"/>
          <w:w w:val="105"/>
        </w:rPr>
        <w:t xml:space="preserve"> is responsive to the talent needs of the state in this sector.</w:t>
      </w:r>
    </w:p>
    <w:p w14:paraId="0437851F" w14:textId="77777777" w:rsidR="00396969" w:rsidRDefault="00396969" w:rsidP="00D63204">
      <w:pPr>
        <w:widowControl w:val="0"/>
        <w:spacing w:before="2" w:after="0" w:line="235" w:lineRule="auto"/>
        <w:ind w:left="107"/>
        <w:rPr>
          <w:rFonts w:cs="Calibri"/>
        </w:rPr>
      </w:pPr>
    </w:p>
    <w:p w14:paraId="5B443CA0" w14:textId="77777777" w:rsidR="005E654A" w:rsidRDefault="005E654A" w:rsidP="00D63204">
      <w:pPr>
        <w:widowControl w:val="0"/>
        <w:spacing w:before="2" w:after="0" w:line="235" w:lineRule="auto"/>
        <w:ind w:left="107"/>
        <w:rPr>
          <w:rFonts w:cs="Calibri"/>
        </w:rPr>
      </w:pPr>
    </w:p>
    <w:p w14:paraId="7CB04AE7" w14:textId="77777777" w:rsidR="005A3E86" w:rsidRDefault="005A3E86" w:rsidP="00D63204">
      <w:pPr>
        <w:widowControl w:val="0"/>
        <w:spacing w:before="2" w:after="0" w:line="235" w:lineRule="auto"/>
        <w:ind w:left="107"/>
        <w:rPr>
          <w:rFonts w:cs="Calibri"/>
        </w:rPr>
      </w:pPr>
    </w:p>
    <w:p w14:paraId="63D6BA7D" w14:textId="07874577" w:rsidR="005E654A" w:rsidRDefault="007C043F" w:rsidP="00D63204">
      <w:pPr>
        <w:widowControl w:val="0"/>
        <w:spacing w:before="2" w:after="0" w:line="235" w:lineRule="auto"/>
        <w:ind w:left="107"/>
        <w:rPr>
          <w:rFonts w:cs="Calibri"/>
        </w:rPr>
      </w:pPr>
      <w:r>
        <w:rPr>
          <w:rFonts w:cs="Calibri"/>
        </w:rPr>
        <w:lastRenderedPageBreak/>
        <w:t>Successes</w:t>
      </w:r>
      <w:r w:rsidR="005E654A" w:rsidRPr="007B0D02">
        <w:rPr>
          <w:rFonts w:cs="Calibri"/>
        </w:rPr>
        <w:t xml:space="preserve"> included: </w:t>
      </w:r>
    </w:p>
    <w:p w14:paraId="3FBD2A9F" w14:textId="77777777" w:rsidR="005E654A" w:rsidRDefault="005E654A" w:rsidP="00D63204">
      <w:pPr>
        <w:widowControl w:val="0"/>
        <w:spacing w:before="2" w:after="0" w:line="235" w:lineRule="auto"/>
        <w:ind w:left="107"/>
        <w:rPr>
          <w:rFonts w:cs="Calibri"/>
        </w:rPr>
      </w:pPr>
    </w:p>
    <w:p w14:paraId="5718EE1A" w14:textId="69ED05D5" w:rsidR="005E654A" w:rsidRPr="00CF2CCF" w:rsidRDefault="005E654A" w:rsidP="00D63204">
      <w:pPr>
        <w:pStyle w:val="ListParagraph"/>
        <w:widowControl w:val="0"/>
        <w:numPr>
          <w:ilvl w:val="0"/>
          <w:numId w:val="18"/>
        </w:numPr>
        <w:spacing w:before="2" w:after="0" w:line="240" w:lineRule="auto"/>
        <w:rPr>
          <w:rFonts w:cs="Calibri"/>
        </w:rPr>
      </w:pPr>
      <w:r w:rsidRPr="00CF2CCF">
        <w:rPr>
          <w:rFonts w:cs="Calibri"/>
        </w:rPr>
        <w:t>Created and developed a new Leadership Council comp</w:t>
      </w:r>
      <w:r w:rsidR="0050664E">
        <w:rPr>
          <w:rFonts w:cs="Calibri"/>
        </w:rPr>
        <w:t>os</w:t>
      </w:r>
      <w:r w:rsidRPr="00CF2CCF">
        <w:rPr>
          <w:rFonts w:cs="Calibri"/>
        </w:rPr>
        <w:t>ed of industry representation and RMA leadership</w:t>
      </w:r>
      <w:r>
        <w:rPr>
          <w:rFonts w:cs="Calibri"/>
        </w:rPr>
        <w:t>;</w:t>
      </w:r>
      <w:r>
        <w:rPr>
          <w:rFonts w:cs="Calibri"/>
        </w:rPr>
        <w:br/>
      </w:r>
    </w:p>
    <w:p w14:paraId="72733B33" w14:textId="0875E3EA" w:rsidR="005E654A" w:rsidRPr="00CF2CCF" w:rsidRDefault="005E654A" w:rsidP="00D63204">
      <w:pPr>
        <w:pStyle w:val="ListParagraph"/>
        <w:widowControl w:val="0"/>
        <w:numPr>
          <w:ilvl w:val="0"/>
          <w:numId w:val="18"/>
        </w:numPr>
        <w:spacing w:before="2" w:after="0" w:line="240" w:lineRule="auto"/>
        <w:rPr>
          <w:rFonts w:cs="Calibri"/>
        </w:rPr>
      </w:pPr>
      <w:r w:rsidRPr="00CF2CCF">
        <w:rPr>
          <w:rFonts w:cs="Calibri"/>
        </w:rPr>
        <w:t>Conducted four action-oriented meetings that included the full engagement of the Leadership Council</w:t>
      </w:r>
      <w:r>
        <w:rPr>
          <w:rFonts w:cs="Calibri"/>
        </w:rPr>
        <w:t>;</w:t>
      </w:r>
      <w:r>
        <w:rPr>
          <w:rFonts w:cs="Calibri"/>
        </w:rPr>
        <w:br/>
      </w:r>
    </w:p>
    <w:p w14:paraId="49B318F9" w14:textId="4232F6DC" w:rsidR="005E654A" w:rsidRDefault="005E654A" w:rsidP="00D63204">
      <w:pPr>
        <w:pStyle w:val="ListParagraph"/>
        <w:widowControl w:val="0"/>
        <w:numPr>
          <w:ilvl w:val="0"/>
          <w:numId w:val="18"/>
        </w:numPr>
        <w:spacing w:before="2" w:after="0" w:line="240" w:lineRule="auto"/>
        <w:rPr>
          <w:rFonts w:cs="Calibri"/>
        </w:rPr>
      </w:pPr>
      <w:r w:rsidRPr="00CF2CCF">
        <w:rPr>
          <w:rFonts w:cs="Calibri"/>
        </w:rPr>
        <w:t xml:space="preserve">Developed and executed a communication strategy to ensure awareness </w:t>
      </w:r>
      <w:r w:rsidR="0050664E">
        <w:rPr>
          <w:rFonts w:cs="Calibri"/>
        </w:rPr>
        <w:t xml:space="preserve">of </w:t>
      </w:r>
      <w:r w:rsidRPr="00CF2CCF">
        <w:rPr>
          <w:rFonts w:cs="Calibri"/>
        </w:rPr>
        <w:t>and promote engagement in the Leadership Council</w:t>
      </w:r>
      <w:r w:rsidR="004E1437">
        <w:rPr>
          <w:rFonts w:cs="Calibri"/>
        </w:rPr>
        <w:t xml:space="preserve"> and its projects</w:t>
      </w:r>
      <w:r>
        <w:rPr>
          <w:rFonts w:cs="Calibri"/>
        </w:rPr>
        <w:t>;</w:t>
      </w:r>
    </w:p>
    <w:p w14:paraId="76D1F5A0" w14:textId="77777777" w:rsidR="005E654A" w:rsidRPr="00CF2CCF" w:rsidRDefault="005E654A" w:rsidP="00D63204">
      <w:pPr>
        <w:pStyle w:val="ListParagraph"/>
        <w:widowControl w:val="0"/>
        <w:spacing w:before="2" w:after="0" w:line="240" w:lineRule="auto"/>
        <w:ind w:left="827"/>
        <w:rPr>
          <w:rFonts w:cs="Calibri"/>
        </w:rPr>
      </w:pPr>
    </w:p>
    <w:p w14:paraId="6FC8EDEA" w14:textId="77777777" w:rsidR="005E654A" w:rsidRDefault="005E654A" w:rsidP="00D63204">
      <w:pPr>
        <w:pStyle w:val="ListParagraph"/>
        <w:widowControl w:val="0"/>
        <w:numPr>
          <w:ilvl w:val="0"/>
          <w:numId w:val="18"/>
        </w:numPr>
        <w:spacing w:before="2" w:after="0" w:line="240" w:lineRule="auto"/>
        <w:rPr>
          <w:rFonts w:cs="Calibri"/>
        </w:rPr>
      </w:pPr>
      <w:r w:rsidRPr="00CF2CCF">
        <w:rPr>
          <w:rFonts w:cs="Calibri"/>
        </w:rPr>
        <w:t>Conducted a survey of workforce development needs</w:t>
      </w:r>
      <w:r>
        <w:rPr>
          <w:rFonts w:cs="Calibri"/>
        </w:rPr>
        <w:t>;</w:t>
      </w:r>
    </w:p>
    <w:p w14:paraId="0A5C0E57" w14:textId="77777777" w:rsidR="005E654A" w:rsidRPr="00CF2CCF" w:rsidRDefault="005E654A" w:rsidP="00D63204">
      <w:pPr>
        <w:pStyle w:val="ListParagraph"/>
        <w:widowControl w:val="0"/>
        <w:spacing w:before="2" w:after="0" w:line="240" w:lineRule="auto"/>
        <w:ind w:left="827"/>
        <w:rPr>
          <w:rFonts w:cs="Calibri"/>
        </w:rPr>
      </w:pPr>
    </w:p>
    <w:p w14:paraId="089EDB7A" w14:textId="77777777" w:rsidR="005E654A" w:rsidRDefault="005E654A" w:rsidP="00D63204">
      <w:pPr>
        <w:pStyle w:val="ListParagraph"/>
        <w:widowControl w:val="0"/>
        <w:numPr>
          <w:ilvl w:val="0"/>
          <w:numId w:val="18"/>
        </w:numPr>
        <w:spacing w:before="2" w:after="0" w:line="240" w:lineRule="auto"/>
        <w:rPr>
          <w:rFonts w:cs="Calibri"/>
        </w:rPr>
      </w:pPr>
      <w:r w:rsidRPr="00CF2CCF">
        <w:rPr>
          <w:rFonts w:cs="Calibri"/>
        </w:rPr>
        <w:t>Created customized Regional Economic Analysis reports that included shift-share analysis</w:t>
      </w:r>
      <w:r>
        <w:rPr>
          <w:rFonts w:cs="Calibri"/>
        </w:rPr>
        <w:t>;</w:t>
      </w:r>
    </w:p>
    <w:p w14:paraId="51568FD1" w14:textId="77777777" w:rsidR="005E654A" w:rsidRPr="00CF2CCF" w:rsidRDefault="005E654A" w:rsidP="00D63204">
      <w:pPr>
        <w:pStyle w:val="ListParagraph"/>
        <w:widowControl w:val="0"/>
        <w:spacing w:before="2" w:after="0" w:line="240" w:lineRule="auto"/>
        <w:ind w:left="827"/>
        <w:rPr>
          <w:rFonts w:cs="Calibri"/>
        </w:rPr>
      </w:pPr>
    </w:p>
    <w:p w14:paraId="00D81D1F" w14:textId="77777777" w:rsidR="005E654A" w:rsidRDefault="005E654A" w:rsidP="00D63204">
      <w:pPr>
        <w:pStyle w:val="ListParagraph"/>
        <w:widowControl w:val="0"/>
        <w:numPr>
          <w:ilvl w:val="0"/>
          <w:numId w:val="18"/>
        </w:numPr>
        <w:spacing w:before="2" w:after="0" w:line="240" w:lineRule="auto"/>
        <w:rPr>
          <w:rFonts w:cs="Calibri"/>
        </w:rPr>
      </w:pPr>
      <w:r w:rsidRPr="00CF2CCF">
        <w:rPr>
          <w:rFonts w:cs="Calibri"/>
        </w:rPr>
        <w:t>Conducted regional focus groups to review survey findings and results from Regional Economic Analysis reports and develop regional solutions</w:t>
      </w:r>
      <w:r>
        <w:rPr>
          <w:rFonts w:cs="Calibri"/>
        </w:rPr>
        <w:t>;</w:t>
      </w:r>
    </w:p>
    <w:p w14:paraId="7DE1D9B7" w14:textId="77777777" w:rsidR="005E654A" w:rsidRDefault="005E654A" w:rsidP="00D63204">
      <w:pPr>
        <w:pStyle w:val="ListParagraph"/>
        <w:widowControl w:val="0"/>
        <w:spacing w:before="2" w:after="0" w:line="240" w:lineRule="auto"/>
        <w:ind w:left="827"/>
        <w:rPr>
          <w:rFonts w:cs="Calibri"/>
        </w:rPr>
      </w:pPr>
    </w:p>
    <w:p w14:paraId="5C6A4F2B" w14:textId="67C57467" w:rsidR="005E654A" w:rsidRDefault="005E654A" w:rsidP="00D63204">
      <w:pPr>
        <w:pStyle w:val="ListParagraph"/>
        <w:widowControl w:val="0"/>
        <w:numPr>
          <w:ilvl w:val="0"/>
          <w:numId w:val="18"/>
        </w:numPr>
        <w:spacing w:before="195" w:after="0" w:line="240" w:lineRule="auto"/>
        <w:rPr>
          <w:rFonts w:cs="Calibri"/>
        </w:rPr>
      </w:pPr>
      <w:r w:rsidRPr="00CF2CCF">
        <w:rPr>
          <w:rFonts w:cs="Calibri"/>
        </w:rPr>
        <w:t>Reviewed the policies, programs and practices being used in three states and leverage</w:t>
      </w:r>
      <w:r w:rsidR="007F6B9B">
        <w:rPr>
          <w:rFonts w:cs="Calibri"/>
        </w:rPr>
        <w:t>d</w:t>
      </w:r>
      <w:r w:rsidRPr="00CF2CCF">
        <w:rPr>
          <w:rFonts w:cs="Calibri"/>
        </w:rPr>
        <w:t xml:space="preserve"> this intelligence to develop policy recommendations for Florida’s manufacturing sector; and,</w:t>
      </w:r>
    </w:p>
    <w:p w14:paraId="756C1C94" w14:textId="77777777" w:rsidR="005E654A" w:rsidRDefault="005E654A" w:rsidP="00D63204">
      <w:pPr>
        <w:pStyle w:val="ListParagraph"/>
        <w:widowControl w:val="0"/>
        <w:spacing w:before="195" w:after="0" w:line="240" w:lineRule="auto"/>
        <w:ind w:left="827"/>
        <w:rPr>
          <w:rFonts w:cs="Calibri"/>
        </w:rPr>
      </w:pPr>
    </w:p>
    <w:p w14:paraId="4F91528D" w14:textId="6CF6930D" w:rsidR="005E654A" w:rsidRDefault="005E654A" w:rsidP="00D63204">
      <w:pPr>
        <w:pStyle w:val="ListParagraph"/>
        <w:widowControl w:val="0"/>
        <w:numPr>
          <w:ilvl w:val="0"/>
          <w:numId w:val="18"/>
        </w:numPr>
        <w:spacing w:before="195" w:after="0" w:line="240" w:lineRule="auto"/>
        <w:rPr>
          <w:rFonts w:cs="Calibri"/>
        </w:rPr>
      </w:pPr>
      <w:r w:rsidRPr="00CF2CCF">
        <w:rPr>
          <w:rFonts w:cs="Calibri"/>
        </w:rPr>
        <w:t>Identified top sub-sectors that will lead Florida</w:t>
      </w:r>
      <w:r w:rsidR="004F6C58">
        <w:rPr>
          <w:rFonts w:cs="Calibri"/>
        </w:rPr>
        <w:t>’s ongoing economic growth</w:t>
      </w:r>
      <w:r w:rsidRPr="00CF2CCF">
        <w:rPr>
          <w:rFonts w:cs="Calibri"/>
        </w:rPr>
        <w:t>.</w:t>
      </w:r>
    </w:p>
    <w:p w14:paraId="1518BD92" w14:textId="5F5CBE56" w:rsidR="005E654A" w:rsidRDefault="005E654A" w:rsidP="00D63204">
      <w:pPr>
        <w:widowControl w:val="0"/>
        <w:spacing w:before="195" w:after="0" w:line="264" w:lineRule="exact"/>
        <w:ind w:left="107"/>
        <w:rPr>
          <w:rFonts w:cs="Calibri"/>
        </w:rPr>
      </w:pPr>
      <w:r w:rsidRPr="00CF2CCF">
        <w:rPr>
          <w:rFonts w:cs="Calibri"/>
        </w:rPr>
        <w:t xml:space="preserve">The </w:t>
      </w:r>
      <w:r w:rsidR="00B436B0">
        <w:rPr>
          <w:rFonts w:cs="Calibri"/>
        </w:rPr>
        <w:t>p</w:t>
      </w:r>
      <w:r w:rsidRPr="00CF2CCF">
        <w:rPr>
          <w:rFonts w:cs="Calibri"/>
        </w:rPr>
        <w:t xml:space="preserve">roject concluded in early 2017 with the following key accomplishments: </w:t>
      </w:r>
    </w:p>
    <w:p w14:paraId="712D556A" w14:textId="77777777" w:rsidR="005E654A" w:rsidRDefault="005E654A" w:rsidP="00D63204">
      <w:pPr>
        <w:pStyle w:val="ListParagraph"/>
        <w:widowControl w:val="0"/>
        <w:numPr>
          <w:ilvl w:val="0"/>
          <w:numId w:val="18"/>
        </w:numPr>
        <w:spacing w:before="195" w:after="0" w:line="240" w:lineRule="auto"/>
        <w:rPr>
          <w:rFonts w:cs="Calibri"/>
        </w:rPr>
      </w:pPr>
      <w:r w:rsidRPr="00CF2CCF">
        <w:rPr>
          <w:rFonts w:cs="Calibri"/>
        </w:rPr>
        <w:t>Leadership Council Vision, Mission</w:t>
      </w:r>
      <w:r>
        <w:rPr>
          <w:rFonts w:cs="Calibri"/>
        </w:rPr>
        <w:t xml:space="preserve"> and</w:t>
      </w:r>
      <w:r w:rsidRPr="00CF2CCF">
        <w:rPr>
          <w:rFonts w:cs="Calibri"/>
        </w:rPr>
        <w:t xml:space="preserve"> Plan of Action;</w:t>
      </w:r>
    </w:p>
    <w:p w14:paraId="7332B95E" w14:textId="77777777" w:rsidR="005E654A" w:rsidRPr="00CF2CCF" w:rsidRDefault="005E654A" w:rsidP="00D63204">
      <w:pPr>
        <w:pStyle w:val="ListParagraph"/>
        <w:widowControl w:val="0"/>
        <w:spacing w:before="195" w:after="0" w:line="240" w:lineRule="auto"/>
        <w:ind w:left="827"/>
        <w:rPr>
          <w:rFonts w:cs="Calibri"/>
        </w:rPr>
      </w:pPr>
    </w:p>
    <w:p w14:paraId="7BFE40B5" w14:textId="77777777" w:rsidR="005E654A" w:rsidRDefault="005E654A" w:rsidP="00D63204">
      <w:pPr>
        <w:pStyle w:val="ListParagraph"/>
        <w:widowControl w:val="0"/>
        <w:numPr>
          <w:ilvl w:val="0"/>
          <w:numId w:val="18"/>
        </w:numPr>
        <w:spacing w:before="195" w:after="0" w:line="240" w:lineRule="auto"/>
        <w:rPr>
          <w:rFonts w:cs="Calibri"/>
        </w:rPr>
      </w:pPr>
      <w:r w:rsidRPr="00CF2CCF">
        <w:rPr>
          <w:rFonts w:cs="Calibri"/>
        </w:rPr>
        <w:t>Workforce Survey Administration Plan;</w:t>
      </w:r>
    </w:p>
    <w:p w14:paraId="64055FCE" w14:textId="77777777" w:rsidR="005E654A" w:rsidRPr="00CF2CCF" w:rsidRDefault="005E654A" w:rsidP="00D63204">
      <w:pPr>
        <w:pStyle w:val="ListParagraph"/>
        <w:widowControl w:val="0"/>
        <w:spacing w:before="195" w:after="0" w:line="240" w:lineRule="auto"/>
        <w:ind w:left="827"/>
        <w:rPr>
          <w:rFonts w:cs="Calibri"/>
        </w:rPr>
      </w:pPr>
    </w:p>
    <w:p w14:paraId="3D394C03" w14:textId="77777777" w:rsidR="005E654A" w:rsidRDefault="005E654A" w:rsidP="00D63204">
      <w:pPr>
        <w:pStyle w:val="ListParagraph"/>
        <w:widowControl w:val="0"/>
        <w:numPr>
          <w:ilvl w:val="0"/>
          <w:numId w:val="18"/>
        </w:numPr>
        <w:spacing w:before="195" w:after="0" w:line="240" w:lineRule="auto"/>
        <w:rPr>
          <w:rFonts w:cs="Calibri"/>
        </w:rPr>
      </w:pPr>
      <w:r w:rsidRPr="00CF2CCF">
        <w:rPr>
          <w:rFonts w:cs="Calibri"/>
        </w:rPr>
        <w:t>Customized Workforce Survey;</w:t>
      </w:r>
    </w:p>
    <w:p w14:paraId="5A25D153" w14:textId="77777777" w:rsidR="005E654A" w:rsidRPr="00CF2CCF" w:rsidRDefault="005E654A" w:rsidP="00D63204">
      <w:pPr>
        <w:pStyle w:val="ListParagraph"/>
        <w:widowControl w:val="0"/>
        <w:spacing w:before="195" w:after="0" w:line="240" w:lineRule="auto"/>
        <w:ind w:left="827"/>
        <w:rPr>
          <w:rFonts w:cs="Calibri"/>
        </w:rPr>
      </w:pPr>
    </w:p>
    <w:p w14:paraId="77DC4CDE" w14:textId="77777777" w:rsidR="005E654A" w:rsidRDefault="005E654A" w:rsidP="00D63204">
      <w:pPr>
        <w:pStyle w:val="ListParagraph"/>
        <w:widowControl w:val="0"/>
        <w:numPr>
          <w:ilvl w:val="0"/>
          <w:numId w:val="18"/>
        </w:numPr>
        <w:spacing w:before="195" w:after="0" w:line="240" w:lineRule="auto"/>
        <w:rPr>
          <w:rFonts w:cs="Calibri"/>
        </w:rPr>
      </w:pPr>
      <w:r w:rsidRPr="00CF2CCF">
        <w:rPr>
          <w:rFonts w:cs="Calibri"/>
        </w:rPr>
        <w:t>Focus Groups Administration Plan;</w:t>
      </w:r>
    </w:p>
    <w:p w14:paraId="597DDA2E" w14:textId="77777777" w:rsidR="005E654A" w:rsidRPr="00CF2CCF" w:rsidRDefault="005E654A" w:rsidP="00D63204">
      <w:pPr>
        <w:pStyle w:val="ListParagraph"/>
        <w:widowControl w:val="0"/>
        <w:spacing w:before="195" w:after="0" w:line="240" w:lineRule="auto"/>
        <w:ind w:left="827"/>
        <w:rPr>
          <w:rFonts w:cs="Calibri"/>
        </w:rPr>
      </w:pPr>
    </w:p>
    <w:p w14:paraId="4C280887" w14:textId="588C9659" w:rsidR="005E654A" w:rsidRDefault="005E654A" w:rsidP="00D63204">
      <w:pPr>
        <w:pStyle w:val="ListParagraph"/>
        <w:widowControl w:val="0"/>
        <w:numPr>
          <w:ilvl w:val="0"/>
          <w:numId w:val="18"/>
        </w:numPr>
        <w:spacing w:before="195" w:after="0" w:line="240" w:lineRule="auto"/>
        <w:rPr>
          <w:rFonts w:cs="Calibri"/>
        </w:rPr>
      </w:pPr>
      <w:r w:rsidRPr="00CF2CCF">
        <w:rPr>
          <w:rFonts w:cs="Calibri"/>
        </w:rPr>
        <w:t>Nine Regional Economic Reports;</w:t>
      </w:r>
    </w:p>
    <w:p w14:paraId="36DBF983" w14:textId="77777777" w:rsidR="005E654A" w:rsidRPr="00CF2CCF" w:rsidRDefault="005E654A" w:rsidP="00D63204">
      <w:pPr>
        <w:pStyle w:val="ListParagraph"/>
        <w:widowControl w:val="0"/>
        <w:spacing w:before="195" w:after="0" w:line="240" w:lineRule="auto"/>
        <w:ind w:left="827"/>
        <w:rPr>
          <w:rFonts w:cs="Calibri"/>
        </w:rPr>
      </w:pPr>
    </w:p>
    <w:p w14:paraId="2FFFE198" w14:textId="77777777" w:rsidR="005E654A" w:rsidRDefault="005E654A" w:rsidP="00D63204">
      <w:pPr>
        <w:pStyle w:val="ListParagraph"/>
        <w:widowControl w:val="0"/>
        <w:numPr>
          <w:ilvl w:val="0"/>
          <w:numId w:val="18"/>
        </w:numPr>
        <w:spacing w:before="195" w:after="0" w:line="240" w:lineRule="auto"/>
        <w:rPr>
          <w:rFonts w:cs="Calibri"/>
        </w:rPr>
      </w:pPr>
      <w:r w:rsidRPr="00CF2CCF">
        <w:rPr>
          <w:rFonts w:cs="Calibri"/>
        </w:rPr>
        <w:t>Focus Group Presentations and Reports;</w:t>
      </w:r>
    </w:p>
    <w:p w14:paraId="7EDD4C82" w14:textId="77777777" w:rsidR="00FE6A63" w:rsidRPr="00FE6A63" w:rsidRDefault="00FE6A63" w:rsidP="00D63204">
      <w:pPr>
        <w:pStyle w:val="ListParagraph"/>
        <w:rPr>
          <w:rFonts w:cs="Calibri"/>
        </w:rPr>
      </w:pPr>
    </w:p>
    <w:p w14:paraId="0E262E8D" w14:textId="77777777" w:rsidR="00FE6A63" w:rsidRPr="004F5209" w:rsidRDefault="00FE6A63" w:rsidP="00D63204">
      <w:pPr>
        <w:pStyle w:val="ListParagraph"/>
        <w:widowControl w:val="0"/>
        <w:numPr>
          <w:ilvl w:val="0"/>
          <w:numId w:val="18"/>
        </w:numPr>
        <w:spacing w:before="195" w:after="0" w:line="240" w:lineRule="auto"/>
        <w:rPr>
          <w:rFonts w:cs="Calibri"/>
        </w:rPr>
      </w:pPr>
      <w:r w:rsidRPr="004F5209">
        <w:rPr>
          <w:rFonts w:cs="Calibri"/>
        </w:rPr>
        <w:t>Regional report</w:t>
      </w:r>
      <w:r>
        <w:rPr>
          <w:rFonts w:cs="Calibri"/>
        </w:rPr>
        <w:t xml:space="preserve">s with recommended </w:t>
      </w:r>
      <w:r w:rsidRPr="004F5209">
        <w:rPr>
          <w:rFonts w:cs="Calibri"/>
        </w:rPr>
        <w:t>action</w:t>
      </w:r>
      <w:r>
        <w:rPr>
          <w:rFonts w:cs="Calibri"/>
        </w:rPr>
        <w:t>s</w:t>
      </w:r>
      <w:r w:rsidRPr="004F5209">
        <w:rPr>
          <w:rFonts w:cs="Calibri"/>
        </w:rPr>
        <w:t xml:space="preserve"> to increase the economic competitiveness of small and medium manufacturers;</w:t>
      </w:r>
    </w:p>
    <w:p w14:paraId="067E573E" w14:textId="77777777" w:rsidR="005E654A" w:rsidRPr="00CF2CCF" w:rsidRDefault="005E654A" w:rsidP="00D63204">
      <w:pPr>
        <w:pStyle w:val="ListParagraph"/>
        <w:widowControl w:val="0"/>
        <w:spacing w:before="195" w:after="0" w:line="240" w:lineRule="auto"/>
        <w:ind w:left="827"/>
        <w:rPr>
          <w:rFonts w:cs="Calibri"/>
        </w:rPr>
      </w:pPr>
    </w:p>
    <w:p w14:paraId="37E5A2E4" w14:textId="6AB30331" w:rsidR="005E654A" w:rsidRDefault="005E654A" w:rsidP="00D63204">
      <w:pPr>
        <w:pStyle w:val="ListParagraph"/>
        <w:widowControl w:val="0"/>
        <w:numPr>
          <w:ilvl w:val="0"/>
          <w:numId w:val="18"/>
        </w:numPr>
        <w:spacing w:before="195" w:after="0" w:line="240" w:lineRule="auto"/>
        <w:rPr>
          <w:rFonts w:cs="Calibri"/>
        </w:rPr>
      </w:pPr>
      <w:r w:rsidRPr="00CF2CCF">
        <w:rPr>
          <w:rFonts w:cs="Calibri"/>
        </w:rPr>
        <w:t>Executive summary of combined regional reports that presents an integrated statewide perspective and analysis</w:t>
      </w:r>
      <w:r w:rsidR="00EA2D3D">
        <w:rPr>
          <w:rFonts w:cs="Calibri"/>
        </w:rPr>
        <w:t>, provided by Polk State</w:t>
      </w:r>
      <w:r w:rsidR="00B929B0">
        <w:rPr>
          <w:rFonts w:cs="Calibri"/>
        </w:rPr>
        <w:t xml:space="preserve"> Corporate</w:t>
      </w:r>
      <w:r w:rsidR="00EA2D3D">
        <w:rPr>
          <w:rFonts w:cs="Calibri"/>
        </w:rPr>
        <w:t xml:space="preserve"> </w:t>
      </w:r>
      <w:r w:rsidR="00A72520" w:rsidRPr="00EF3374">
        <w:rPr>
          <w:rFonts w:cs="Calibri"/>
        </w:rPr>
        <w:t>College</w:t>
      </w:r>
      <w:r w:rsidR="00B929B0">
        <w:rPr>
          <w:rFonts w:cs="Calibri"/>
        </w:rPr>
        <w:t xml:space="preserve"> – </w:t>
      </w:r>
      <w:r w:rsidR="00807A0D">
        <w:rPr>
          <w:rFonts w:cs="Calibri"/>
        </w:rPr>
        <w:t xml:space="preserve">College </w:t>
      </w:r>
      <w:r w:rsidR="00A72520" w:rsidRPr="00EF3374">
        <w:rPr>
          <w:rFonts w:cs="Calibri"/>
        </w:rPr>
        <w:t>Alliance for Advanced Manufacturing</w:t>
      </w:r>
      <w:r w:rsidRPr="00EF3374">
        <w:rPr>
          <w:rFonts w:cs="Calibri"/>
        </w:rPr>
        <w:t>;</w:t>
      </w:r>
    </w:p>
    <w:p w14:paraId="1B8A9371" w14:textId="77777777" w:rsidR="005E654A" w:rsidRPr="00F82ED4" w:rsidRDefault="005E654A" w:rsidP="005E654A">
      <w:pPr>
        <w:pStyle w:val="ListParagraph"/>
        <w:rPr>
          <w:rFonts w:cs="Calibri"/>
        </w:rPr>
      </w:pPr>
    </w:p>
    <w:p w14:paraId="2E472447" w14:textId="54FE6313" w:rsidR="005E654A" w:rsidRDefault="005E654A" w:rsidP="00D63204">
      <w:pPr>
        <w:pStyle w:val="ListParagraph"/>
        <w:widowControl w:val="0"/>
        <w:numPr>
          <w:ilvl w:val="0"/>
          <w:numId w:val="18"/>
        </w:numPr>
        <w:spacing w:before="195" w:after="0" w:line="240" w:lineRule="auto"/>
        <w:rPr>
          <w:rFonts w:cs="Calibri"/>
        </w:rPr>
      </w:pPr>
      <w:r w:rsidRPr="00CF2CCF">
        <w:rPr>
          <w:rFonts w:cs="Calibri"/>
        </w:rPr>
        <w:t xml:space="preserve">State </w:t>
      </w:r>
      <w:r w:rsidR="005A3E86">
        <w:rPr>
          <w:rFonts w:cs="Calibri"/>
        </w:rPr>
        <w:t>b</w:t>
      </w:r>
      <w:r w:rsidRPr="00CF2CCF">
        <w:rPr>
          <w:rFonts w:cs="Calibri"/>
        </w:rPr>
        <w:t xml:space="preserve">riefs and </w:t>
      </w:r>
      <w:r w:rsidR="005A3E86">
        <w:rPr>
          <w:rFonts w:cs="Calibri"/>
        </w:rPr>
        <w:t>w</w:t>
      </w:r>
      <w:r w:rsidRPr="00CF2CCF">
        <w:rPr>
          <w:rFonts w:cs="Calibri"/>
        </w:rPr>
        <w:t>orkfo</w:t>
      </w:r>
      <w:r>
        <w:rPr>
          <w:rFonts w:cs="Calibri"/>
        </w:rPr>
        <w:t xml:space="preserve">rce </w:t>
      </w:r>
      <w:r w:rsidR="00EE0B9E">
        <w:rPr>
          <w:rFonts w:cs="Calibri"/>
        </w:rPr>
        <w:t>p</w:t>
      </w:r>
      <w:r>
        <w:rPr>
          <w:rFonts w:cs="Calibri"/>
        </w:rPr>
        <w:t xml:space="preserve">olicy </w:t>
      </w:r>
      <w:r w:rsidR="00EE0B9E">
        <w:rPr>
          <w:rFonts w:cs="Calibri"/>
        </w:rPr>
        <w:t>r</w:t>
      </w:r>
      <w:r>
        <w:rPr>
          <w:rFonts w:cs="Calibri"/>
        </w:rPr>
        <w:t>ecommendations; and,</w:t>
      </w:r>
    </w:p>
    <w:p w14:paraId="7A47838B" w14:textId="77777777" w:rsidR="005E654A" w:rsidRPr="00CF2CCF" w:rsidRDefault="005E654A" w:rsidP="00D63204">
      <w:pPr>
        <w:pStyle w:val="ListParagraph"/>
        <w:widowControl w:val="0"/>
        <w:spacing w:before="195" w:after="0" w:line="240" w:lineRule="auto"/>
        <w:ind w:left="827"/>
        <w:rPr>
          <w:rFonts w:cs="Calibri"/>
        </w:rPr>
      </w:pPr>
    </w:p>
    <w:p w14:paraId="248E5DD7" w14:textId="51D2405B" w:rsidR="005E654A" w:rsidRDefault="005E654A" w:rsidP="00D63204">
      <w:pPr>
        <w:pStyle w:val="ListParagraph"/>
        <w:widowControl w:val="0"/>
        <w:numPr>
          <w:ilvl w:val="0"/>
          <w:numId w:val="18"/>
        </w:numPr>
        <w:spacing w:before="193" w:after="0" w:line="240" w:lineRule="auto"/>
        <w:rPr>
          <w:rFonts w:cs="Calibri"/>
        </w:rPr>
      </w:pPr>
      <w:r w:rsidRPr="00761584">
        <w:rPr>
          <w:rFonts w:cs="Calibri"/>
        </w:rPr>
        <w:t xml:space="preserve">a Sustainability </w:t>
      </w:r>
      <w:r w:rsidR="00FE091F">
        <w:rPr>
          <w:rFonts w:cs="Calibri"/>
        </w:rPr>
        <w:t>S</w:t>
      </w:r>
      <w:r w:rsidRPr="00761584">
        <w:rPr>
          <w:rFonts w:cs="Calibri"/>
        </w:rPr>
        <w:t>trategy directed by FloridaMakes and Florida’s Regional Manufacturing Associations</w:t>
      </w:r>
      <w:r>
        <w:rPr>
          <w:rFonts w:cs="Calibri"/>
        </w:rPr>
        <w:t>.</w:t>
      </w:r>
      <w:r>
        <w:rPr>
          <w:rFonts w:cs="Calibri"/>
        </w:rPr>
        <w:br/>
      </w:r>
    </w:p>
    <w:p w14:paraId="04B2BBC7" w14:textId="22B27F10" w:rsidR="005E654A" w:rsidRDefault="005E654A" w:rsidP="00D63204">
      <w:pPr>
        <w:widowControl w:val="0"/>
        <w:spacing w:after="0" w:line="264" w:lineRule="exact"/>
        <w:ind w:left="107"/>
        <w:rPr>
          <w:rFonts w:cs="Calibri"/>
          <w:b/>
          <w:bCs/>
          <w:w w:val="105"/>
        </w:rPr>
      </w:pPr>
      <w:r>
        <w:rPr>
          <w:rFonts w:cs="Calibri"/>
          <w:b/>
          <w:w w:val="105"/>
          <w:u w:color="000000"/>
        </w:rPr>
        <w:t>H</w:t>
      </w:r>
      <w:r w:rsidRPr="00EC310E">
        <w:rPr>
          <w:rFonts w:cs="Calibri"/>
          <w:b/>
          <w:w w:val="105"/>
          <w:u w:color="000000"/>
        </w:rPr>
        <w:t>ealthcare</w:t>
      </w:r>
      <w:r w:rsidRPr="00EC310E">
        <w:rPr>
          <w:rFonts w:cs="Calibri"/>
          <w:b/>
          <w:spacing w:val="31"/>
          <w:w w:val="105"/>
          <w:u w:color="000000"/>
        </w:rPr>
        <w:t xml:space="preserve"> </w:t>
      </w:r>
      <w:r w:rsidRPr="00EC310E">
        <w:rPr>
          <w:rFonts w:cs="Calibri"/>
          <w:b/>
          <w:w w:val="105"/>
          <w:u w:color="000000"/>
        </w:rPr>
        <w:t>Business</w:t>
      </w:r>
      <w:r w:rsidRPr="00EC310E">
        <w:rPr>
          <w:rFonts w:cs="Calibri"/>
          <w:b/>
          <w:spacing w:val="31"/>
          <w:w w:val="105"/>
          <w:u w:color="000000"/>
        </w:rPr>
        <w:t xml:space="preserve"> </w:t>
      </w:r>
      <w:r w:rsidRPr="00EC310E">
        <w:rPr>
          <w:rFonts w:cs="Calibri"/>
          <w:b/>
          <w:w w:val="105"/>
          <w:u w:color="000000"/>
        </w:rPr>
        <w:t>Intelligence</w:t>
      </w:r>
      <w:r w:rsidRPr="00EC310E">
        <w:rPr>
          <w:rFonts w:cs="Calibri"/>
          <w:b/>
          <w:spacing w:val="31"/>
          <w:w w:val="105"/>
          <w:u w:color="000000"/>
        </w:rPr>
        <w:t xml:space="preserve"> </w:t>
      </w:r>
      <w:r w:rsidRPr="00EC310E">
        <w:rPr>
          <w:rFonts w:cs="Calibri"/>
          <w:b/>
          <w:w w:val="105"/>
          <w:u w:color="000000"/>
        </w:rPr>
        <w:t>Research</w:t>
      </w:r>
      <w:r w:rsidRPr="00EC310E">
        <w:rPr>
          <w:rFonts w:cs="Calibri"/>
          <w:b/>
          <w:spacing w:val="31"/>
          <w:w w:val="105"/>
          <w:u w:color="000000"/>
        </w:rPr>
        <w:t xml:space="preserve"> </w:t>
      </w:r>
      <w:r w:rsidRPr="00EC310E">
        <w:rPr>
          <w:rFonts w:cs="Calibri"/>
          <w:b/>
          <w:w w:val="105"/>
          <w:u w:color="000000"/>
        </w:rPr>
        <w:t>and</w:t>
      </w:r>
      <w:r w:rsidRPr="00EC310E">
        <w:rPr>
          <w:rFonts w:cs="Calibri"/>
          <w:b/>
          <w:spacing w:val="31"/>
          <w:w w:val="105"/>
          <w:u w:color="000000"/>
        </w:rPr>
        <w:t xml:space="preserve"> </w:t>
      </w:r>
      <w:r w:rsidRPr="00EC310E">
        <w:rPr>
          <w:rFonts w:cs="Calibri"/>
          <w:b/>
          <w:w w:val="105"/>
          <w:u w:color="000000"/>
        </w:rPr>
        <w:t>Sector</w:t>
      </w:r>
      <w:r w:rsidRPr="00EC310E">
        <w:rPr>
          <w:rFonts w:cs="Calibri"/>
          <w:b/>
          <w:spacing w:val="31"/>
          <w:w w:val="105"/>
          <w:u w:color="000000"/>
        </w:rPr>
        <w:t xml:space="preserve"> </w:t>
      </w:r>
      <w:r w:rsidRPr="00EC310E">
        <w:rPr>
          <w:rFonts w:cs="Calibri"/>
          <w:b/>
          <w:w w:val="105"/>
          <w:u w:color="000000"/>
        </w:rPr>
        <w:t>Strategy</w:t>
      </w:r>
      <w:r w:rsidRPr="00EC310E">
        <w:rPr>
          <w:rFonts w:cs="Calibri"/>
          <w:b/>
          <w:spacing w:val="31"/>
          <w:w w:val="105"/>
          <w:u w:color="000000"/>
        </w:rPr>
        <w:t xml:space="preserve"> </w:t>
      </w:r>
      <w:r w:rsidRPr="00EC310E">
        <w:rPr>
          <w:rFonts w:cs="Calibri"/>
          <w:b/>
          <w:w w:val="105"/>
          <w:u w:color="000000"/>
        </w:rPr>
        <w:t>Approach</w:t>
      </w:r>
      <w:r w:rsidRPr="00EC310E">
        <w:rPr>
          <w:rFonts w:cs="Calibri"/>
          <w:b/>
          <w:spacing w:val="31"/>
          <w:w w:val="105"/>
          <w:u w:color="000000"/>
        </w:rPr>
        <w:t xml:space="preserve"> </w:t>
      </w:r>
      <w:r w:rsidRPr="00EC310E">
        <w:rPr>
          <w:rFonts w:cs="Calibri"/>
          <w:b/>
          <w:w w:val="105"/>
          <w:u w:color="000000"/>
        </w:rPr>
        <w:t>Services</w:t>
      </w:r>
    </w:p>
    <w:p w14:paraId="57DA7D62" w14:textId="502194C3" w:rsidR="005E654A" w:rsidRPr="00EC310E" w:rsidRDefault="005E654A" w:rsidP="00D63204">
      <w:pPr>
        <w:widowControl w:val="0"/>
        <w:spacing w:before="2" w:after="0" w:line="235" w:lineRule="auto"/>
        <w:ind w:left="107"/>
        <w:rPr>
          <w:rFonts w:cs="Calibri"/>
          <w:w w:val="105"/>
        </w:rPr>
      </w:pPr>
      <w:r w:rsidRPr="00EC310E">
        <w:rPr>
          <w:rFonts w:cs="Calibri"/>
          <w:w w:val="105"/>
        </w:rPr>
        <w:lastRenderedPageBreak/>
        <w:t xml:space="preserve">Florida’s Healthcare Workforce Initiative resulted in the formation of a </w:t>
      </w:r>
      <w:r w:rsidR="00803A7C">
        <w:rPr>
          <w:rFonts w:cs="Calibri"/>
          <w:w w:val="105"/>
        </w:rPr>
        <w:t>s</w:t>
      </w:r>
      <w:r w:rsidRPr="00EC310E">
        <w:rPr>
          <w:rFonts w:cs="Calibri"/>
          <w:w w:val="105"/>
        </w:rPr>
        <w:t>tatewide Florida Healthcare Workforce Leadership Council (FHWL) in 2014-2015. The Council serve</w:t>
      </w:r>
      <w:r>
        <w:rPr>
          <w:rFonts w:cs="Calibri"/>
          <w:w w:val="105"/>
        </w:rPr>
        <w:t>d</w:t>
      </w:r>
      <w:r w:rsidRPr="00EC310E">
        <w:rPr>
          <w:rFonts w:cs="Calibri"/>
          <w:w w:val="105"/>
        </w:rPr>
        <w:t xml:space="preserve"> as the primary point of contact for statewide healthcare industry-specific labor market intelligence and is used by the state’s workforce network to facilitate policy and strategy development. The FHWL resulted in a new sector strategy approach for healthcare to develop and continue an essential business feedback loop to ensure Florida’s workforce network has a deep understanding of and is responsive to the talent needs of the state. Common issues and needs of employers </w:t>
      </w:r>
      <w:r>
        <w:rPr>
          <w:rFonts w:cs="Calibri"/>
          <w:w w:val="105"/>
        </w:rPr>
        <w:t xml:space="preserve">were </w:t>
      </w:r>
      <w:r w:rsidRPr="00EC310E">
        <w:rPr>
          <w:rFonts w:cs="Calibri"/>
          <w:w w:val="105"/>
        </w:rPr>
        <w:t xml:space="preserve">identified and coordinated solutions developed for the healthcare talent delivery system. Professional and State Advisory Resource Groups </w:t>
      </w:r>
      <w:r>
        <w:rPr>
          <w:rFonts w:cs="Calibri"/>
          <w:w w:val="105"/>
        </w:rPr>
        <w:t xml:space="preserve">were </w:t>
      </w:r>
      <w:r w:rsidRPr="00EC310E">
        <w:rPr>
          <w:rFonts w:cs="Calibri"/>
          <w:w w:val="105"/>
        </w:rPr>
        <w:t xml:space="preserve">established as a source for information and data, which is essential to enable healthcare workforce policy and strategy development. </w:t>
      </w:r>
      <w:r>
        <w:rPr>
          <w:rFonts w:cs="Calibri"/>
          <w:w w:val="105"/>
        </w:rPr>
        <w:t>R</w:t>
      </w:r>
      <w:r w:rsidRPr="00EC310E">
        <w:rPr>
          <w:rFonts w:cs="Calibri"/>
          <w:w w:val="105"/>
        </w:rPr>
        <w:t xml:space="preserve">egional councils </w:t>
      </w:r>
      <w:r>
        <w:rPr>
          <w:rFonts w:cs="Calibri"/>
          <w:w w:val="105"/>
        </w:rPr>
        <w:t>were formed</w:t>
      </w:r>
      <w:r w:rsidRPr="00EC310E">
        <w:rPr>
          <w:rFonts w:cs="Calibri"/>
          <w:w w:val="105"/>
        </w:rPr>
        <w:t xml:space="preserve"> to consider issues that exist at the local level.</w:t>
      </w:r>
    </w:p>
    <w:p w14:paraId="74090C5D" w14:textId="77777777" w:rsidR="005E654A" w:rsidRPr="00EA7458" w:rsidRDefault="005E654A" w:rsidP="00D63204">
      <w:pPr>
        <w:widowControl w:val="0"/>
        <w:spacing w:before="3" w:after="0" w:line="240" w:lineRule="auto"/>
        <w:ind w:left="107"/>
        <w:rPr>
          <w:rFonts w:ascii="Calibri" w:hAnsi="Calibri" w:cs="Calibri"/>
          <w:sz w:val="14"/>
          <w:szCs w:val="14"/>
        </w:rPr>
      </w:pPr>
    </w:p>
    <w:p w14:paraId="1A2C3DFA" w14:textId="77777777" w:rsidR="005E654A" w:rsidRPr="00CF2CCF" w:rsidRDefault="005E654A" w:rsidP="00D63204">
      <w:pPr>
        <w:widowControl w:val="0"/>
        <w:spacing w:before="58" w:after="0" w:line="240" w:lineRule="auto"/>
        <w:ind w:left="107"/>
        <w:outlineLvl w:val="2"/>
        <w:rPr>
          <w:rFonts w:cs="Calibri"/>
        </w:rPr>
      </w:pPr>
      <w:r w:rsidRPr="00CF2CCF">
        <w:rPr>
          <w:rFonts w:cs="Calibri"/>
          <w:b/>
          <w:bCs/>
          <w:color w:val="231F20"/>
          <w:w w:val="105"/>
        </w:rPr>
        <w:t>During the initiative:</w:t>
      </w:r>
    </w:p>
    <w:p w14:paraId="2E5272C4" w14:textId="77777777" w:rsidR="005E654A" w:rsidRDefault="005E654A" w:rsidP="00D63204">
      <w:pPr>
        <w:pStyle w:val="ListParagraph"/>
        <w:widowControl w:val="0"/>
        <w:numPr>
          <w:ilvl w:val="0"/>
          <w:numId w:val="18"/>
        </w:numPr>
        <w:tabs>
          <w:tab w:val="left" w:pos="828"/>
        </w:tabs>
        <w:spacing w:before="193" w:after="0" w:line="240" w:lineRule="auto"/>
        <w:rPr>
          <w:rFonts w:cs="Calibri"/>
          <w:w w:val="105"/>
        </w:rPr>
      </w:pPr>
      <w:r w:rsidRPr="00FC038A">
        <w:rPr>
          <w:rFonts w:cs="Calibri"/>
          <w:w w:val="105"/>
        </w:rPr>
        <w:t>Gaps</w:t>
      </w:r>
      <w:r w:rsidRPr="00FC038A">
        <w:rPr>
          <w:rFonts w:cs="Calibri"/>
          <w:spacing w:val="16"/>
          <w:w w:val="105"/>
        </w:rPr>
        <w:t xml:space="preserve"> </w:t>
      </w:r>
      <w:r w:rsidRPr="00FC038A">
        <w:rPr>
          <w:rFonts w:cs="Calibri"/>
          <w:w w:val="105"/>
        </w:rPr>
        <w:t>in</w:t>
      </w:r>
      <w:r w:rsidRPr="00FC038A">
        <w:rPr>
          <w:rFonts w:cs="Calibri"/>
          <w:spacing w:val="16"/>
          <w:w w:val="105"/>
        </w:rPr>
        <w:t xml:space="preserve"> </w:t>
      </w:r>
      <w:r w:rsidRPr="00FC038A">
        <w:rPr>
          <w:rFonts w:cs="Calibri"/>
          <w:w w:val="105"/>
        </w:rPr>
        <w:t>healthcare</w:t>
      </w:r>
      <w:r w:rsidRPr="00FC038A">
        <w:rPr>
          <w:rFonts w:cs="Calibri"/>
          <w:spacing w:val="16"/>
          <w:w w:val="105"/>
        </w:rPr>
        <w:t xml:space="preserve"> </w:t>
      </w:r>
      <w:r w:rsidRPr="00FC038A">
        <w:rPr>
          <w:rFonts w:cs="Calibri"/>
          <w:w w:val="105"/>
        </w:rPr>
        <w:t>workforce</w:t>
      </w:r>
      <w:r w:rsidRPr="00FC038A">
        <w:rPr>
          <w:rFonts w:cs="Calibri"/>
          <w:spacing w:val="16"/>
          <w:w w:val="105"/>
        </w:rPr>
        <w:t xml:space="preserve"> </w:t>
      </w:r>
      <w:r w:rsidRPr="00FC038A">
        <w:rPr>
          <w:rFonts w:cs="Calibri"/>
          <w:w w:val="105"/>
        </w:rPr>
        <w:t>supply</w:t>
      </w:r>
      <w:r w:rsidRPr="00FC038A">
        <w:rPr>
          <w:rFonts w:cs="Calibri"/>
          <w:spacing w:val="16"/>
          <w:w w:val="105"/>
        </w:rPr>
        <w:t xml:space="preserve"> </w:t>
      </w:r>
      <w:r w:rsidRPr="00FC038A">
        <w:rPr>
          <w:rFonts w:cs="Calibri"/>
          <w:w w:val="105"/>
        </w:rPr>
        <w:t>and</w:t>
      </w:r>
      <w:r w:rsidRPr="00FC038A">
        <w:rPr>
          <w:rFonts w:cs="Calibri"/>
          <w:spacing w:val="16"/>
          <w:w w:val="105"/>
        </w:rPr>
        <w:t xml:space="preserve"> </w:t>
      </w:r>
      <w:r w:rsidRPr="00FC038A">
        <w:rPr>
          <w:rFonts w:cs="Calibri"/>
          <w:w w:val="105"/>
        </w:rPr>
        <w:t>demand</w:t>
      </w:r>
      <w:r w:rsidRPr="00FC038A">
        <w:rPr>
          <w:rFonts w:cs="Calibri"/>
          <w:spacing w:val="16"/>
          <w:w w:val="105"/>
        </w:rPr>
        <w:t xml:space="preserve"> </w:t>
      </w:r>
      <w:r w:rsidRPr="00FC038A">
        <w:rPr>
          <w:rFonts w:cs="Calibri"/>
          <w:w w:val="105"/>
        </w:rPr>
        <w:t>data were identified and a</w:t>
      </w:r>
      <w:r w:rsidRPr="00FC038A">
        <w:rPr>
          <w:rFonts w:cs="Calibri"/>
          <w:spacing w:val="16"/>
          <w:w w:val="105"/>
        </w:rPr>
        <w:t xml:space="preserve"> </w:t>
      </w:r>
      <w:r w:rsidRPr="00FC038A">
        <w:rPr>
          <w:rFonts w:cs="Calibri"/>
          <w:w w:val="105"/>
        </w:rPr>
        <w:t>collection</w:t>
      </w:r>
      <w:r w:rsidRPr="00FC038A">
        <w:rPr>
          <w:rFonts w:cs="Calibri"/>
          <w:spacing w:val="16"/>
          <w:w w:val="105"/>
        </w:rPr>
        <w:t xml:space="preserve"> </w:t>
      </w:r>
      <w:r w:rsidRPr="00FC038A">
        <w:rPr>
          <w:rFonts w:cs="Calibri"/>
          <w:w w:val="105"/>
        </w:rPr>
        <w:t>system</w:t>
      </w:r>
      <w:r w:rsidRPr="00FC038A">
        <w:rPr>
          <w:rFonts w:cs="Calibri"/>
          <w:spacing w:val="16"/>
          <w:w w:val="105"/>
        </w:rPr>
        <w:t xml:space="preserve"> was designed </w:t>
      </w:r>
      <w:r w:rsidRPr="00FC038A">
        <w:rPr>
          <w:rFonts w:cs="Calibri"/>
          <w:w w:val="105"/>
        </w:rPr>
        <w:t>to</w:t>
      </w:r>
      <w:r w:rsidRPr="00FC038A">
        <w:rPr>
          <w:rFonts w:cs="Calibri"/>
        </w:rPr>
        <w:t xml:space="preserve"> </w:t>
      </w:r>
      <w:r w:rsidRPr="00FC038A">
        <w:rPr>
          <w:rFonts w:cs="Calibri"/>
          <w:w w:val="105"/>
        </w:rPr>
        <w:t>effectively analyze data at the state and regional</w:t>
      </w:r>
      <w:r w:rsidRPr="00FC038A">
        <w:rPr>
          <w:rFonts w:cs="Calibri"/>
          <w:spacing w:val="42"/>
          <w:w w:val="105"/>
        </w:rPr>
        <w:t xml:space="preserve"> </w:t>
      </w:r>
      <w:r w:rsidRPr="00FC038A">
        <w:rPr>
          <w:rFonts w:cs="Calibri"/>
          <w:w w:val="105"/>
        </w:rPr>
        <w:t>level;</w:t>
      </w:r>
    </w:p>
    <w:p w14:paraId="2C09A5F7" w14:textId="77777777" w:rsidR="005E654A" w:rsidRPr="00FC038A" w:rsidRDefault="005E654A" w:rsidP="00D63204">
      <w:pPr>
        <w:pStyle w:val="ListParagraph"/>
        <w:widowControl w:val="0"/>
        <w:tabs>
          <w:tab w:val="left" w:pos="828"/>
        </w:tabs>
        <w:spacing w:before="193" w:after="0" w:line="240" w:lineRule="auto"/>
        <w:ind w:left="107"/>
        <w:rPr>
          <w:rFonts w:cs="Calibri"/>
          <w:w w:val="105"/>
        </w:rPr>
      </w:pPr>
    </w:p>
    <w:p w14:paraId="0930C9A1" w14:textId="3E6092A2" w:rsidR="005E654A" w:rsidRPr="00C23611" w:rsidRDefault="005E654A" w:rsidP="00D63204">
      <w:pPr>
        <w:pStyle w:val="ListParagraph"/>
        <w:widowControl w:val="0"/>
        <w:numPr>
          <w:ilvl w:val="0"/>
          <w:numId w:val="18"/>
        </w:numPr>
        <w:tabs>
          <w:tab w:val="left" w:pos="828"/>
        </w:tabs>
        <w:spacing w:before="193" w:after="0" w:line="240" w:lineRule="auto"/>
        <w:rPr>
          <w:rFonts w:cs="Calibri"/>
        </w:rPr>
      </w:pPr>
      <w:r w:rsidRPr="00C23611">
        <w:rPr>
          <w:rFonts w:cs="Calibri"/>
          <w:w w:val="105"/>
        </w:rPr>
        <w:t>Strategies for recruitment and retention of healthcare workers were develop</w:t>
      </w:r>
      <w:r w:rsidR="00F45FB8">
        <w:rPr>
          <w:rFonts w:cs="Calibri"/>
          <w:w w:val="105"/>
        </w:rPr>
        <w:t>ed</w:t>
      </w:r>
      <w:r w:rsidRPr="00C23611">
        <w:rPr>
          <w:rFonts w:cs="Calibri"/>
          <w:w w:val="105"/>
        </w:rPr>
        <w:t>, including critical</w:t>
      </w:r>
      <w:r w:rsidRPr="00C23611">
        <w:rPr>
          <w:rFonts w:cs="Calibri"/>
          <w:spacing w:val="29"/>
          <w:w w:val="105"/>
        </w:rPr>
        <w:t xml:space="preserve"> </w:t>
      </w:r>
      <w:r w:rsidRPr="00C23611">
        <w:rPr>
          <w:rFonts w:cs="Calibri"/>
          <w:w w:val="105"/>
        </w:rPr>
        <w:t>need</w:t>
      </w:r>
      <w:r w:rsidRPr="00C23611">
        <w:rPr>
          <w:rFonts w:cs="Calibri"/>
          <w:w w:val="110"/>
        </w:rPr>
        <w:t xml:space="preserve"> </w:t>
      </w:r>
      <w:r w:rsidRPr="00C23611">
        <w:rPr>
          <w:rFonts w:cs="Calibri"/>
          <w:w w:val="105"/>
        </w:rPr>
        <w:t>areas across all health professions;</w:t>
      </w:r>
      <w:r w:rsidRPr="00C23611">
        <w:rPr>
          <w:rFonts w:cs="Calibri"/>
          <w:spacing w:val="27"/>
          <w:w w:val="105"/>
        </w:rPr>
        <w:t xml:space="preserve"> </w:t>
      </w:r>
      <w:r w:rsidRPr="00C23611">
        <w:rPr>
          <w:rFonts w:cs="Calibri"/>
          <w:w w:val="105"/>
        </w:rPr>
        <w:t>and,</w:t>
      </w:r>
    </w:p>
    <w:p w14:paraId="2FB3D13F" w14:textId="77777777" w:rsidR="005E654A" w:rsidRPr="00C23611" w:rsidRDefault="005E654A" w:rsidP="005E654A">
      <w:pPr>
        <w:pStyle w:val="ListParagraph"/>
        <w:spacing w:line="240" w:lineRule="auto"/>
        <w:rPr>
          <w:rFonts w:cs="Calibri"/>
          <w:w w:val="105"/>
        </w:rPr>
      </w:pPr>
    </w:p>
    <w:p w14:paraId="206F3ABA" w14:textId="24E54F3F" w:rsidR="005E654A" w:rsidRPr="00C23611" w:rsidRDefault="005E654A" w:rsidP="00D63204">
      <w:pPr>
        <w:pStyle w:val="ListParagraph"/>
        <w:widowControl w:val="0"/>
        <w:numPr>
          <w:ilvl w:val="0"/>
          <w:numId w:val="18"/>
        </w:numPr>
        <w:tabs>
          <w:tab w:val="left" w:pos="828"/>
        </w:tabs>
        <w:spacing w:before="193" w:after="0" w:line="240" w:lineRule="auto"/>
        <w:rPr>
          <w:rFonts w:cs="Calibri"/>
        </w:rPr>
      </w:pPr>
      <w:r w:rsidRPr="00C23611">
        <w:rPr>
          <w:rFonts w:cs="Calibri"/>
          <w:spacing w:val="12"/>
          <w:w w:val="105"/>
        </w:rPr>
        <w:t>Em</w:t>
      </w:r>
      <w:r w:rsidRPr="00C23611">
        <w:rPr>
          <w:rFonts w:cs="Calibri"/>
          <w:w w:val="105"/>
        </w:rPr>
        <w:t>erging</w:t>
      </w:r>
      <w:r w:rsidRPr="00C23611">
        <w:rPr>
          <w:rFonts w:cs="Calibri"/>
          <w:spacing w:val="12"/>
          <w:w w:val="105"/>
        </w:rPr>
        <w:t xml:space="preserve"> </w:t>
      </w:r>
      <w:r w:rsidRPr="00C23611">
        <w:rPr>
          <w:rFonts w:cs="Calibri"/>
          <w:w w:val="105"/>
        </w:rPr>
        <w:t>workforce</w:t>
      </w:r>
      <w:r w:rsidRPr="00C23611">
        <w:rPr>
          <w:rFonts w:cs="Calibri"/>
          <w:spacing w:val="12"/>
          <w:w w:val="105"/>
        </w:rPr>
        <w:t xml:space="preserve"> </w:t>
      </w:r>
      <w:r w:rsidRPr="00C23611">
        <w:rPr>
          <w:rFonts w:cs="Calibri"/>
          <w:w w:val="105"/>
        </w:rPr>
        <w:t>roles,</w:t>
      </w:r>
      <w:r w:rsidRPr="00C23611">
        <w:rPr>
          <w:rFonts w:cs="Calibri"/>
          <w:spacing w:val="12"/>
          <w:w w:val="105"/>
        </w:rPr>
        <w:t xml:space="preserve"> </w:t>
      </w:r>
      <w:r w:rsidRPr="00C23611">
        <w:rPr>
          <w:rFonts w:cs="Calibri"/>
          <w:w w:val="105"/>
        </w:rPr>
        <w:t>such</w:t>
      </w:r>
      <w:r w:rsidRPr="00C23611">
        <w:rPr>
          <w:rFonts w:cs="Calibri"/>
          <w:spacing w:val="12"/>
          <w:w w:val="105"/>
        </w:rPr>
        <w:t xml:space="preserve"> </w:t>
      </w:r>
      <w:r w:rsidRPr="00C23611">
        <w:rPr>
          <w:rFonts w:cs="Calibri"/>
          <w:w w:val="105"/>
        </w:rPr>
        <w:t>as</w:t>
      </w:r>
      <w:r w:rsidRPr="00C23611">
        <w:rPr>
          <w:rFonts w:cs="Calibri"/>
          <w:spacing w:val="12"/>
          <w:w w:val="105"/>
        </w:rPr>
        <w:t xml:space="preserve"> </w:t>
      </w:r>
      <w:r w:rsidRPr="00C23611">
        <w:rPr>
          <w:rFonts w:cs="Calibri"/>
          <w:w w:val="105"/>
        </w:rPr>
        <w:t>in</w:t>
      </w:r>
      <w:r w:rsidRPr="00C23611">
        <w:rPr>
          <w:rFonts w:cs="Calibri"/>
          <w:spacing w:val="12"/>
          <w:w w:val="105"/>
        </w:rPr>
        <w:t xml:space="preserve"> </w:t>
      </w:r>
      <w:r w:rsidRPr="00C23611">
        <w:rPr>
          <w:rFonts w:cs="Calibri"/>
          <w:w w:val="105"/>
        </w:rPr>
        <w:t>healthcare</w:t>
      </w:r>
      <w:r w:rsidRPr="00C23611">
        <w:rPr>
          <w:rFonts w:cs="Calibri"/>
          <w:spacing w:val="12"/>
          <w:w w:val="105"/>
        </w:rPr>
        <w:t xml:space="preserve"> </w:t>
      </w:r>
      <w:r w:rsidRPr="00C23611">
        <w:rPr>
          <w:rFonts w:cs="Calibri"/>
          <w:w w:val="105"/>
        </w:rPr>
        <w:t>informatics</w:t>
      </w:r>
      <w:r w:rsidR="00C26BC5">
        <w:rPr>
          <w:rFonts w:cs="Calibri"/>
          <w:w w:val="105"/>
        </w:rPr>
        <w:t>,</w:t>
      </w:r>
      <w:r w:rsidRPr="00C23611">
        <w:rPr>
          <w:rFonts w:cs="Calibri"/>
          <w:w w:val="105"/>
        </w:rPr>
        <w:t xml:space="preserve"> were identified</w:t>
      </w:r>
      <w:r>
        <w:rPr>
          <w:rFonts w:cs="Calibri"/>
          <w:w w:val="105"/>
        </w:rPr>
        <w:t xml:space="preserve"> and</w:t>
      </w:r>
      <w:r w:rsidRPr="00C23611">
        <w:rPr>
          <w:rFonts w:cs="Calibri"/>
          <w:spacing w:val="12"/>
          <w:w w:val="105"/>
        </w:rPr>
        <w:t xml:space="preserve"> </w:t>
      </w:r>
      <w:r w:rsidRPr="00C23611">
        <w:rPr>
          <w:rFonts w:cs="Calibri"/>
          <w:w w:val="105"/>
        </w:rPr>
        <w:t>a</w:t>
      </w:r>
      <w:r w:rsidRPr="00C23611">
        <w:rPr>
          <w:rFonts w:cs="Calibri"/>
          <w:spacing w:val="12"/>
          <w:w w:val="105"/>
        </w:rPr>
        <w:t xml:space="preserve"> </w:t>
      </w:r>
      <w:r w:rsidRPr="00C23611">
        <w:rPr>
          <w:rFonts w:cs="Calibri"/>
          <w:w w:val="105"/>
        </w:rPr>
        <w:t>method</w:t>
      </w:r>
      <w:r w:rsidRPr="00C23611">
        <w:rPr>
          <w:rFonts w:cs="Calibri"/>
          <w:spacing w:val="12"/>
          <w:w w:val="105"/>
        </w:rPr>
        <w:t xml:space="preserve"> </w:t>
      </w:r>
      <w:r w:rsidRPr="00C23611">
        <w:rPr>
          <w:rFonts w:cs="Calibri"/>
          <w:w w:val="105"/>
        </w:rPr>
        <w:t>to</w:t>
      </w:r>
      <w:r w:rsidRPr="00C23611">
        <w:rPr>
          <w:rFonts w:cs="Calibri"/>
        </w:rPr>
        <w:t xml:space="preserve"> </w:t>
      </w:r>
      <w:r w:rsidRPr="00C23611">
        <w:rPr>
          <w:rFonts w:cs="Calibri"/>
          <w:w w:val="105"/>
        </w:rPr>
        <w:t>educate the current workforce regarding value-based</w:t>
      </w:r>
      <w:r w:rsidRPr="00C23611">
        <w:rPr>
          <w:rFonts w:cs="Calibri"/>
          <w:spacing w:val="37"/>
          <w:w w:val="105"/>
        </w:rPr>
        <w:t xml:space="preserve"> </w:t>
      </w:r>
      <w:r w:rsidRPr="00C23611">
        <w:rPr>
          <w:rFonts w:cs="Calibri"/>
          <w:w w:val="105"/>
        </w:rPr>
        <w:t>care was developed.</w:t>
      </w:r>
    </w:p>
    <w:p w14:paraId="662CA711" w14:textId="77777777" w:rsidR="005E654A" w:rsidRPr="00CF2CCF" w:rsidRDefault="005E654A" w:rsidP="00D63204">
      <w:pPr>
        <w:ind w:left="107"/>
        <w:rPr>
          <w:rFonts w:cs="Calibri"/>
        </w:rPr>
      </w:pPr>
      <w:r>
        <w:rPr>
          <w:rFonts w:cs="Calibri"/>
          <w:bCs/>
          <w:w w:val="105"/>
        </w:rPr>
        <w:br/>
      </w:r>
      <w:r w:rsidRPr="00CF2CCF">
        <w:rPr>
          <w:rFonts w:cs="Calibri"/>
          <w:bCs/>
          <w:w w:val="105"/>
        </w:rPr>
        <w:t>As the project culminate</w:t>
      </w:r>
      <w:r>
        <w:rPr>
          <w:rFonts w:cs="Calibri"/>
          <w:bCs/>
          <w:w w:val="105"/>
        </w:rPr>
        <w:t>d</w:t>
      </w:r>
      <w:r w:rsidRPr="00CF2CCF">
        <w:rPr>
          <w:rFonts w:cs="Calibri"/>
          <w:bCs/>
          <w:w w:val="105"/>
        </w:rPr>
        <w:t xml:space="preserve">, a significant outcome </w:t>
      </w:r>
      <w:r>
        <w:rPr>
          <w:rFonts w:cs="Calibri"/>
          <w:bCs/>
          <w:w w:val="105"/>
        </w:rPr>
        <w:t xml:space="preserve">was </w:t>
      </w:r>
      <w:r w:rsidRPr="00CF2CCF">
        <w:rPr>
          <w:rFonts w:cs="Calibri"/>
          <w:bCs/>
          <w:w w:val="105"/>
        </w:rPr>
        <w:t xml:space="preserve">the establishment of the Healthcare Workforce Research Initiative (HWRI). The following </w:t>
      </w:r>
      <w:r>
        <w:rPr>
          <w:rFonts w:cs="Calibri"/>
          <w:bCs/>
          <w:w w:val="105"/>
        </w:rPr>
        <w:t>are</w:t>
      </w:r>
      <w:r w:rsidRPr="00CF2CCF">
        <w:rPr>
          <w:rFonts w:cs="Calibri"/>
          <w:bCs/>
          <w:w w:val="105"/>
        </w:rPr>
        <w:t xml:space="preserve"> the </w:t>
      </w:r>
      <w:r w:rsidRPr="00CF2CCF">
        <w:rPr>
          <w:rFonts w:cs="Calibri"/>
        </w:rPr>
        <w:t>HWRI Contribution</w:t>
      </w:r>
      <w:r>
        <w:rPr>
          <w:rFonts w:cs="Calibri"/>
        </w:rPr>
        <w:t>s</w:t>
      </w:r>
      <w:r w:rsidRPr="00CF2CCF">
        <w:rPr>
          <w:rFonts w:cs="Calibri"/>
        </w:rPr>
        <w:t xml:space="preserve"> to Healthcare Workforce Strategies</w:t>
      </w:r>
      <w:r>
        <w:rPr>
          <w:rFonts w:cs="Calibri"/>
        </w:rPr>
        <w:t>:</w:t>
      </w:r>
    </w:p>
    <w:p w14:paraId="5A122B8A" w14:textId="77777777" w:rsidR="005E654A" w:rsidRDefault="005E654A" w:rsidP="00D63204">
      <w:pPr>
        <w:pStyle w:val="ListParagraph"/>
        <w:numPr>
          <w:ilvl w:val="0"/>
          <w:numId w:val="19"/>
        </w:numPr>
        <w:spacing w:after="0" w:line="240" w:lineRule="auto"/>
        <w:rPr>
          <w:rFonts w:cs="Calibri"/>
        </w:rPr>
      </w:pPr>
      <w:r w:rsidRPr="00EC310E">
        <w:rPr>
          <w:rFonts w:cs="Calibri"/>
        </w:rPr>
        <w:t>Identifying supply, demand</w:t>
      </w:r>
      <w:r>
        <w:rPr>
          <w:rFonts w:cs="Calibri"/>
        </w:rPr>
        <w:t xml:space="preserve"> and</w:t>
      </w:r>
      <w:r w:rsidRPr="00EC310E">
        <w:rPr>
          <w:rFonts w:cs="Calibri"/>
        </w:rPr>
        <w:t xml:space="preserve"> education distribution and trends in healthcare to support the appropriate planning for future workforce needs</w:t>
      </w:r>
      <w:r>
        <w:rPr>
          <w:rFonts w:cs="Calibri"/>
        </w:rPr>
        <w:t>;</w:t>
      </w:r>
    </w:p>
    <w:p w14:paraId="061D2A59" w14:textId="77777777" w:rsidR="005E654A" w:rsidRPr="00EC310E" w:rsidRDefault="005E654A" w:rsidP="00D63204">
      <w:pPr>
        <w:pStyle w:val="ListParagraph"/>
        <w:spacing w:after="0" w:line="240" w:lineRule="auto"/>
        <w:ind w:left="827"/>
        <w:rPr>
          <w:rFonts w:cs="Calibri"/>
        </w:rPr>
      </w:pPr>
    </w:p>
    <w:p w14:paraId="27EE4A50" w14:textId="77777777" w:rsidR="005E654A" w:rsidRDefault="005E654A" w:rsidP="00D63204">
      <w:pPr>
        <w:pStyle w:val="ListParagraph"/>
        <w:numPr>
          <w:ilvl w:val="0"/>
          <w:numId w:val="19"/>
        </w:numPr>
        <w:spacing w:after="0" w:line="240" w:lineRule="auto"/>
        <w:rPr>
          <w:rFonts w:cs="Calibri"/>
        </w:rPr>
      </w:pPr>
      <w:r w:rsidRPr="00EC310E">
        <w:rPr>
          <w:rFonts w:cs="Calibri"/>
        </w:rPr>
        <w:t>Directing and informing policies to alleviate shortages in key areas</w:t>
      </w:r>
      <w:r>
        <w:rPr>
          <w:rFonts w:cs="Calibri"/>
        </w:rPr>
        <w:t>;</w:t>
      </w:r>
    </w:p>
    <w:p w14:paraId="7BA59874" w14:textId="77777777" w:rsidR="005E654A" w:rsidRPr="00EC310E" w:rsidRDefault="005E654A" w:rsidP="00D63204">
      <w:pPr>
        <w:pStyle w:val="ListParagraph"/>
        <w:spacing w:after="0" w:line="240" w:lineRule="auto"/>
        <w:ind w:left="827"/>
        <w:rPr>
          <w:rFonts w:cs="Calibri"/>
        </w:rPr>
      </w:pPr>
    </w:p>
    <w:p w14:paraId="1AD69F97" w14:textId="77777777" w:rsidR="005E654A" w:rsidRDefault="005E654A" w:rsidP="00D63204">
      <w:pPr>
        <w:pStyle w:val="ListParagraph"/>
        <w:numPr>
          <w:ilvl w:val="0"/>
          <w:numId w:val="19"/>
        </w:numPr>
        <w:spacing w:after="0" w:line="240" w:lineRule="auto"/>
        <w:rPr>
          <w:rFonts w:cs="Calibri"/>
        </w:rPr>
      </w:pPr>
      <w:r w:rsidRPr="00EC310E">
        <w:rPr>
          <w:rFonts w:cs="Calibri"/>
        </w:rPr>
        <w:t>Ascertaining the cost-effectiveness of staffing with professionals</w:t>
      </w:r>
      <w:r>
        <w:rPr>
          <w:rFonts w:cs="Calibri"/>
        </w:rPr>
        <w:t>;</w:t>
      </w:r>
    </w:p>
    <w:p w14:paraId="36B52AAA" w14:textId="77777777" w:rsidR="005E654A" w:rsidRPr="00EC310E" w:rsidRDefault="005E654A" w:rsidP="00D63204">
      <w:pPr>
        <w:pStyle w:val="ListParagraph"/>
        <w:spacing w:after="0" w:line="240" w:lineRule="auto"/>
        <w:ind w:left="827"/>
        <w:rPr>
          <w:rFonts w:cs="Calibri"/>
        </w:rPr>
      </w:pPr>
    </w:p>
    <w:p w14:paraId="5F32882F" w14:textId="77777777" w:rsidR="005E654A" w:rsidRDefault="005E654A" w:rsidP="00D63204">
      <w:pPr>
        <w:pStyle w:val="ListParagraph"/>
        <w:numPr>
          <w:ilvl w:val="0"/>
          <w:numId w:val="19"/>
        </w:numPr>
        <w:spacing w:after="0" w:line="240" w:lineRule="auto"/>
        <w:rPr>
          <w:rFonts w:cs="Calibri"/>
        </w:rPr>
      </w:pPr>
      <w:r w:rsidRPr="00EC310E">
        <w:rPr>
          <w:rFonts w:cs="Calibri"/>
        </w:rPr>
        <w:t>Analyzing the effect of workforce supply on population health outcomes</w:t>
      </w:r>
      <w:r>
        <w:rPr>
          <w:rFonts w:cs="Calibri"/>
        </w:rPr>
        <w:t>;</w:t>
      </w:r>
    </w:p>
    <w:p w14:paraId="309F5768" w14:textId="77777777" w:rsidR="005E654A" w:rsidRPr="00EC310E" w:rsidRDefault="005E654A" w:rsidP="00D63204">
      <w:pPr>
        <w:pStyle w:val="ListParagraph"/>
        <w:spacing w:after="0" w:line="240" w:lineRule="auto"/>
        <w:ind w:left="827"/>
        <w:rPr>
          <w:rFonts w:cs="Calibri"/>
        </w:rPr>
      </w:pPr>
    </w:p>
    <w:p w14:paraId="6BE8EC92" w14:textId="77777777" w:rsidR="005E654A" w:rsidRDefault="005E654A" w:rsidP="00D63204">
      <w:pPr>
        <w:pStyle w:val="ListParagraph"/>
        <w:numPr>
          <w:ilvl w:val="0"/>
          <w:numId w:val="19"/>
        </w:numPr>
        <w:spacing w:after="0" w:line="240" w:lineRule="auto"/>
        <w:rPr>
          <w:rFonts w:cs="Calibri"/>
        </w:rPr>
      </w:pPr>
      <w:r w:rsidRPr="00EC310E">
        <w:rPr>
          <w:rFonts w:cs="Calibri"/>
        </w:rPr>
        <w:t>Estimating changes in supply needed to meet the demands of new forms of healthcare delivery</w:t>
      </w:r>
      <w:r>
        <w:rPr>
          <w:rFonts w:cs="Calibri"/>
        </w:rPr>
        <w:t>;</w:t>
      </w:r>
    </w:p>
    <w:p w14:paraId="61C89B4B" w14:textId="77777777" w:rsidR="005E654A" w:rsidRPr="00EC310E" w:rsidRDefault="005E654A" w:rsidP="00D63204">
      <w:pPr>
        <w:pStyle w:val="ListParagraph"/>
        <w:spacing w:after="0" w:line="240" w:lineRule="auto"/>
        <w:ind w:left="827"/>
        <w:rPr>
          <w:rFonts w:cs="Calibri"/>
        </w:rPr>
      </w:pPr>
    </w:p>
    <w:p w14:paraId="67FA68A1" w14:textId="77777777" w:rsidR="005E654A" w:rsidRDefault="005E654A" w:rsidP="00D63204">
      <w:pPr>
        <w:pStyle w:val="ListParagraph"/>
        <w:numPr>
          <w:ilvl w:val="0"/>
          <w:numId w:val="19"/>
        </w:numPr>
        <w:spacing w:after="0" w:line="240" w:lineRule="auto"/>
        <w:rPr>
          <w:rFonts w:cs="Calibri"/>
        </w:rPr>
      </w:pPr>
      <w:r w:rsidRPr="00EC310E">
        <w:rPr>
          <w:rFonts w:cs="Calibri"/>
        </w:rPr>
        <w:t>Providing a statewide and regional forecast and perspective on healthcare workforce issues</w:t>
      </w:r>
      <w:r>
        <w:rPr>
          <w:rFonts w:cs="Calibri"/>
        </w:rPr>
        <w:t>;</w:t>
      </w:r>
    </w:p>
    <w:p w14:paraId="0C8CE745" w14:textId="77777777" w:rsidR="005E654A" w:rsidRPr="00EC310E" w:rsidRDefault="005E654A" w:rsidP="00D63204">
      <w:pPr>
        <w:pStyle w:val="ListParagraph"/>
        <w:spacing w:after="0" w:line="240" w:lineRule="auto"/>
        <w:ind w:left="827"/>
        <w:rPr>
          <w:rFonts w:cs="Calibri"/>
        </w:rPr>
      </w:pPr>
    </w:p>
    <w:p w14:paraId="1491026F" w14:textId="529306E3" w:rsidR="005E654A" w:rsidRDefault="005E654A" w:rsidP="00D63204">
      <w:pPr>
        <w:pStyle w:val="ListParagraph"/>
        <w:numPr>
          <w:ilvl w:val="0"/>
          <w:numId w:val="19"/>
        </w:numPr>
        <w:spacing w:after="0" w:line="240" w:lineRule="auto"/>
        <w:rPr>
          <w:rFonts w:cs="Calibri"/>
        </w:rPr>
      </w:pPr>
      <w:r w:rsidRPr="00EC310E">
        <w:rPr>
          <w:rFonts w:cs="Calibri"/>
        </w:rPr>
        <w:t>Identifying new models of healthcare delivery</w:t>
      </w:r>
      <w:r>
        <w:rPr>
          <w:rFonts w:cs="Calibri"/>
        </w:rPr>
        <w:t>; and,</w:t>
      </w:r>
    </w:p>
    <w:p w14:paraId="1A1710ED" w14:textId="77777777" w:rsidR="005E654A" w:rsidRPr="00EC310E" w:rsidRDefault="005E654A" w:rsidP="00D63204">
      <w:pPr>
        <w:pStyle w:val="ListParagraph"/>
        <w:spacing w:after="0" w:line="240" w:lineRule="auto"/>
        <w:ind w:left="827"/>
        <w:rPr>
          <w:rFonts w:cs="Calibri"/>
        </w:rPr>
      </w:pPr>
    </w:p>
    <w:p w14:paraId="01F11B35" w14:textId="77777777" w:rsidR="005E654A" w:rsidRPr="0034195F" w:rsidRDefault="005E654A" w:rsidP="00D63204">
      <w:pPr>
        <w:pStyle w:val="ListParagraph"/>
        <w:numPr>
          <w:ilvl w:val="0"/>
          <w:numId w:val="19"/>
        </w:numPr>
        <w:spacing w:line="240" w:lineRule="auto"/>
        <w:rPr>
          <w:rFonts w:cs="Calibri"/>
        </w:rPr>
      </w:pPr>
      <w:r w:rsidRPr="00CF2CCF">
        <w:rPr>
          <w:rFonts w:cs="Calibri"/>
        </w:rPr>
        <w:t>Identifying emerging and evolving roles and occupations in healthcare</w:t>
      </w:r>
      <w:r>
        <w:rPr>
          <w:rFonts w:cs="Calibri"/>
        </w:rPr>
        <w:t>.</w:t>
      </w:r>
    </w:p>
    <w:p w14:paraId="19AD8232" w14:textId="77777777" w:rsidR="005E654A" w:rsidRDefault="005E654A" w:rsidP="00D63204">
      <w:pPr>
        <w:widowControl w:val="0"/>
        <w:spacing w:after="0" w:line="264" w:lineRule="exact"/>
        <w:ind w:left="107"/>
        <w:rPr>
          <w:rFonts w:cs="Calibri"/>
          <w:w w:val="105"/>
        </w:rPr>
      </w:pPr>
      <w:r w:rsidRPr="0034195F">
        <w:rPr>
          <w:rFonts w:cs="Calibri"/>
          <w:w w:val="105"/>
        </w:rPr>
        <w:t xml:space="preserve">Additional </w:t>
      </w:r>
      <w:r w:rsidRPr="00B40E44">
        <w:rPr>
          <w:rFonts w:cs="Calibri"/>
          <w:w w:val="105"/>
        </w:rPr>
        <w:t>information on Florida’s Healthcare</w:t>
      </w:r>
      <w:r w:rsidRPr="0034195F">
        <w:rPr>
          <w:rFonts w:cs="Calibri"/>
          <w:w w:val="105"/>
        </w:rPr>
        <w:t xml:space="preserve"> Workforce Initiative may be found</w:t>
      </w:r>
      <w:r w:rsidRPr="00EC310E">
        <w:rPr>
          <w:rFonts w:cs="Calibri"/>
          <w:w w:val="105"/>
        </w:rPr>
        <w:t xml:space="preserve"> </w:t>
      </w:r>
      <w:r w:rsidRPr="0034195F">
        <w:rPr>
          <w:rFonts w:cs="Calibri"/>
          <w:w w:val="105"/>
        </w:rPr>
        <w:t>at:</w:t>
      </w:r>
    </w:p>
    <w:p w14:paraId="306865A6" w14:textId="77777777" w:rsidR="005E654A" w:rsidRPr="00F60809" w:rsidRDefault="005E654A" w:rsidP="00D63204">
      <w:pPr>
        <w:widowControl w:val="0"/>
        <w:spacing w:after="0" w:line="264" w:lineRule="exact"/>
        <w:ind w:left="107"/>
        <w:rPr>
          <w:rStyle w:val="Hyperlink"/>
          <w:rFonts w:ascii="Calibri" w:hAnsi="Calibri" w:cs="Calibri"/>
        </w:rPr>
      </w:pPr>
      <w:r>
        <w:rPr>
          <w:rFonts w:ascii="Calibri" w:hAnsi="Calibri" w:cs="Calibri"/>
        </w:rPr>
        <w:fldChar w:fldCharType="begin"/>
      </w:r>
      <w:r>
        <w:rPr>
          <w:rFonts w:ascii="Calibri" w:hAnsi="Calibri" w:cs="Calibri"/>
        </w:rPr>
        <w:instrText xml:space="preserve"> HYPERLINK "https://www.flhealthcareworkforce.org/" </w:instrText>
      </w:r>
      <w:r>
        <w:rPr>
          <w:rFonts w:ascii="Calibri" w:hAnsi="Calibri" w:cs="Calibri"/>
        </w:rPr>
        <w:fldChar w:fldCharType="separate"/>
      </w:r>
      <w:r w:rsidRPr="00F60809">
        <w:rPr>
          <w:rStyle w:val="Hyperlink"/>
          <w:rFonts w:ascii="Calibri" w:hAnsi="Calibri" w:cs="Calibri"/>
        </w:rPr>
        <w:t>www.FLHealthcareWorkforce.org.</w:t>
      </w:r>
    </w:p>
    <w:p w14:paraId="0443CA06" w14:textId="0381391A" w:rsidR="002318FA" w:rsidRDefault="005E654A" w:rsidP="00D63204">
      <w:pPr>
        <w:widowControl w:val="0"/>
        <w:spacing w:after="0" w:line="264" w:lineRule="exact"/>
        <w:ind w:left="107"/>
        <w:rPr>
          <w:rFonts w:ascii="Calibri" w:hAnsi="Calibri" w:cs="Calibri"/>
        </w:rPr>
      </w:pPr>
      <w:r>
        <w:rPr>
          <w:rFonts w:ascii="Calibri" w:hAnsi="Calibri" w:cs="Calibri"/>
        </w:rPr>
        <w:fldChar w:fldCharType="end"/>
      </w:r>
    </w:p>
    <w:p w14:paraId="0F783BA5" w14:textId="6D364098" w:rsidR="00B74735" w:rsidRDefault="00B74735" w:rsidP="00D63204">
      <w:pPr>
        <w:widowControl w:val="0"/>
        <w:spacing w:after="0" w:line="264" w:lineRule="exact"/>
        <w:ind w:left="107"/>
        <w:rPr>
          <w:rFonts w:ascii="Calibri" w:hAnsi="Calibri" w:cs="Calibri"/>
        </w:rPr>
      </w:pPr>
    </w:p>
    <w:p w14:paraId="5558F357" w14:textId="7869655B" w:rsidR="00B74735" w:rsidRDefault="00B74735" w:rsidP="00D63204">
      <w:pPr>
        <w:widowControl w:val="0"/>
        <w:spacing w:after="0" w:line="264" w:lineRule="exact"/>
        <w:ind w:left="107"/>
        <w:rPr>
          <w:rFonts w:ascii="Calibri" w:hAnsi="Calibri" w:cs="Calibri"/>
        </w:rPr>
      </w:pPr>
    </w:p>
    <w:p w14:paraId="7E6250BD" w14:textId="77777777" w:rsidR="00B74735" w:rsidRDefault="00B74735" w:rsidP="00D63204">
      <w:pPr>
        <w:widowControl w:val="0"/>
        <w:spacing w:after="0" w:line="264" w:lineRule="exact"/>
        <w:ind w:left="107"/>
        <w:rPr>
          <w:rFonts w:ascii="Calibri" w:hAnsi="Calibri" w:cs="Calibri"/>
        </w:rPr>
      </w:pPr>
    </w:p>
    <w:p w14:paraId="46D77A61" w14:textId="374C9006" w:rsidR="002318FA" w:rsidRDefault="002318FA" w:rsidP="00D63204">
      <w:pPr>
        <w:widowControl w:val="0"/>
        <w:spacing w:after="0" w:line="264" w:lineRule="exact"/>
        <w:ind w:left="107"/>
        <w:rPr>
          <w:rFonts w:cs="Calibri"/>
          <w:b/>
          <w:w w:val="105"/>
          <w:u w:color="000000"/>
        </w:rPr>
      </w:pPr>
      <w:r w:rsidRPr="00EC310E">
        <w:rPr>
          <w:rFonts w:cs="Calibri"/>
          <w:b/>
          <w:w w:val="105"/>
          <w:u w:color="000000"/>
        </w:rPr>
        <w:lastRenderedPageBreak/>
        <w:t>Sector</w:t>
      </w:r>
      <w:r w:rsidRPr="00EC310E">
        <w:rPr>
          <w:rFonts w:cs="Calibri"/>
          <w:b/>
          <w:spacing w:val="6"/>
          <w:w w:val="105"/>
          <w:u w:color="000000"/>
        </w:rPr>
        <w:t xml:space="preserve"> </w:t>
      </w:r>
      <w:r w:rsidRPr="00EC310E">
        <w:rPr>
          <w:rFonts w:cs="Calibri"/>
          <w:b/>
          <w:w w:val="105"/>
          <w:u w:color="000000"/>
        </w:rPr>
        <w:t>Partnership</w:t>
      </w:r>
      <w:r w:rsidRPr="00EC310E">
        <w:rPr>
          <w:rFonts w:cs="Calibri"/>
          <w:b/>
          <w:spacing w:val="6"/>
          <w:w w:val="105"/>
          <w:u w:color="000000"/>
        </w:rPr>
        <w:t xml:space="preserve"> </w:t>
      </w:r>
      <w:r w:rsidRPr="00EC310E">
        <w:rPr>
          <w:rFonts w:cs="Calibri"/>
          <w:b/>
          <w:w w:val="105"/>
          <w:u w:color="000000"/>
        </w:rPr>
        <w:t>National</w:t>
      </w:r>
      <w:r w:rsidRPr="00EC310E">
        <w:rPr>
          <w:rFonts w:cs="Calibri"/>
          <w:b/>
          <w:spacing w:val="6"/>
          <w:w w:val="105"/>
          <w:u w:color="000000"/>
        </w:rPr>
        <w:t xml:space="preserve"> </w:t>
      </w:r>
      <w:r w:rsidRPr="00EC310E">
        <w:rPr>
          <w:rFonts w:cs="Calibri"/>
          <w:b/>
          <w:w w:val="105"/>
          <w:u w:color="000000"/>
        </w:rPr>
        <w:t>Emergency</w:t>
      </w:r>
      <w:r w:rsidRPr="00EC310E">
        <w:rPr>
          <w:rFonts w:cs="Calibri"/>
          <w:b/>
          <w:spacing w:val="6"/>
          <w:w w:val="105"/>
          <w:u w:color="000000"/>
        </w:rPr>
        <w:t xml:space="preserve"> </w:t>
      </w:r>
      <w:r w:rsidRPr="00EC310E">
        <w:rPr>
          <w:rFonts w:cs="Calibri"/>
          <w:b/>
          <w:w w:val="105"/>
          <w:u w:color="000000"/>
        </w:rPr>
        <w:t>(NEG)</w:t>
      </w:r>
      <w:r w:rsidRPr="00EC310E">
        <w:rPr>
          <w:rFonts w:cs="Calibri"/>
          <w:b/>
          <w:spacing w:val="6"/>
          <w:w w:val="105"/>
          <w:u w:color="000000"/>
        </w:rPr>
        <w:t xml:space="preserve"> </w:t>
      </w:r>
      <w:r w:rsidRPr="00EC310E">
        <w:rPr>
          <w:rFonts w:cs="Calibri"/>
          <w:b/>
          <w:w w:val="105"/>
          <w:u w:color="000000"/>
        </w:rPr>
        <w:t>Grant</w:t>
      </w:r>
    </w:p>
    <w:p w14:paraId="45329ED9" w14:textId="77777777" w:rsidR="00FD045C" w:rsidRDefault="00FD045C" w:rsidP="00D63204">
      <w:pPr>
        <w:widowControl w:val="0"/>
        <w:spacing w:after="0" w:line="264" w:lineRule="exact"/>
        <w:ind w:left="107"/>
        <w:rPr>
          <w:rFonts w:cs="Calibri"/>
          <w:b/>
          <w:w w:val="105"/>
          <w:u w:color="000000"/>
        </w:rPr>
      </w:pPr>
    </w:p>
    <w:p w14:paraId="2BF74FBD" w14:textId="62F60D53" w:rsidR="00914F01" w:rsidRDefault="00621D90" w:rsidP="00D63204">
      <w:pPr>
        <w:widowControl w:val="0"/>
        <w:spacing w:after="0" w:line="264" w:lineRule="exact"/>
        <w:ind w:left="107"/>
        <w:rPr>
          <w:rFonts w:cs="Calibri"/>
          <w:w w:val="105"/>
        </w:rPr>
      </w:pPr>
      <w:r>
        <w:rPr>
          <w:rFonts w:cs="Calibri"/>
          <w:w w:val="105"/>
        </w:rPr>
        <w:t xml:space="preserve">In June 2015, </w:t>
      </w:r>
      <w:r w:rsidRPr="007B0D02">
        <w:rPr>
          <w:rFonts w:cs="Calibri"/>
          <w:w w:val="105"/>
        </w:rPr>
        <w:t>CareerSource Florida and the Florida Department of Economic Opportunity were awarded</w:t>
      </w:r>
      <w:r w:rsidR="00A14B2F">
        <w:rPr>
          <w:rFonts w:cs="Calibri"/>
          <w:w w:val="105"/>
        </w:rPr>
        <w:t xml:space="preserve"> a</w:t>
      </w:r>
      <w:r w:rsidR="009D1133">
        <w:rPr>
          <w:rFonts w:cs="Calibri"/>
          <w:w w:val="105"/>
        </w:rPr>
        <w:t xml:space="preserve"> nearly $7 million</w:t>
      </w:r>
      <w:r w:rsidR="00A14B2F">
        <w:rPr>
          <w:rFonts w:cs="Calibri"/>
          <w:w w:val="105"/>
        </w:rPr>
        <w:t>,</w:t>
      </w:r>
      <w:r w:rsidRPr="007B0D02">
        <w:rPr>
          <w:rFonts w:cs="Calibri"/>
          <w:w w:val="105"/>
        </w:rPr>
        <w:t xml:space="preserve"> two-year Sector Partnership National Emergency Grant to build on Florida’s sector strategies for healthcare and advanced manufacturing – two sectors </w:t>
      </w:r>
      <w:r>
        <w:rPr>
          <w:rFonts w:cs="Calibri"/>
          <w:w w:val="105"/>
        </w:rPr>
        <w:t xml:space="preserve">critical </w:t>
      </w:r>
      <w:r w:rsidRPr="007B0D02">
        <w:rPr>
          <w:rFonts w:cs="Calibri"/>
          <w:w w:val="105"/>
        </w:rPr>
        <w:t xml:space="preserve">for Florida’s future economic growth. Ten local workforce </w:t>
      </w:r>
      <w:r w:rsidR="00442FB8">
        <w:rPr>
          <w:rFonts w:cs="Calibri"/>
          <w:w w:val="105"/>
        </w:rPr>
        <w:t xml:space="preserve">development </w:t>
      </w:r>
      <w:r w:rsidRPr="007B0D02">
        <w:rPr>
          <w:rFonts w:cs="Calibri"/>
          <w:w w:val="105"/>
        </w:rPr>
        <w:t>boards conven</w:t>
      </w:r>
      <w:r>
        <w:rPr>
          <w:rFonts w:cs="Calibri"/>
          <w:w w:val="105"/>
        </w:rPr>
        <w:t>ed</w:t>
      </w:r>
      <w:r w:rsidRPr="007B0D02">
        <w:rPr>
          <w:rFonts w:cs="Calibri"/>
          <w:w w:val="105"/>
        </w:rPr>
        <w:t xml:space="preserve"> industry-specific councils of business, education and other leaders to identify current and future workforce needs for both the healthcare and advanced manufacturing sectors. The goal of the initiative is to build regional talent pipelines, address skills gaps and create meaningful career pathways </w:t>
      </w:r>
      <w:r w:rsidR="00914F01" w:rsidRPr="0034195F">
        <w:rPr>
          <w:rFonts w:cs="Calibri"/>
          <w:w w:val="105"/>
        </w:rPr>
        <w:t>by</w:t>
      </w:r>
      <w:r w:rsidR="00914F01" w:rsidRPr="0034195F">
        <w:rPr>
          <w:rFonts w:cs="Calibri"/>
          <w:spacing w:val="43"/>
          <w:w w:val="105"/>
        </w:rPr>
        <w:t xml:space="preserve"> </w:t>
      </w:r>
      <w:r w:rsidR="00914F01" w:rsidRPr="0034195F">
        <w:rPr>
          <w:rFonts w:cs="Calibri"/>
          <w:w w:val="105"/>
        </w:rPr>
        <w:t>providing</w:t>
      </w:r>
      <w:r w:rsidR="00914F01" w:rsidRPr="0034195F">
        <w:rPr>
          <w:rFonts w:cs="Calibri"/>
          <w:spacing w:val="11"/>
          <w:w w:val="105"/>
        </w:rPr>
        <w:t xml:space="preserve"> </w:t>
      </w:r>
      <w:r w:rsidR="00914F01" w:rsidRPr="0034195F">
        <w:rPr>
          <w:rFonts w:cs="Calibri"/>
          <w:w w:val="105"/>
        </w:rPr>
        <w:t>intensive</w:t>
      </w:r>
      <w:r w:rsidR="00914F01" w:rsidRPr="0034195F">
        <w:rPr>
          <w:rFonts w:cs="Calibri"/>
          <w:spacing w:val="11"/>
          <w:w w:val="105"/>
        </w:rPr>
        <w:t xml:space="preserve"> </w:t>
      </w:r>
      <w:r w:rsidR="00914F01" w:rsidRPr="0034195F">
        <w:rPr>
          <w:rFonts w:cs="Calibri"/>
          <w:w w:val="105"/>
        </w:rPr>
        <w:t>services</w:t>
      </w:r>
      <w:r w:rsidR="00914F01" w:rsidRPr="0034195F">
        <w:rPr>
          <w:rFonts w:cs="Calibri"/>
          <w:spacing w:val="11"/>
          <w:w w:val="105"/>
        </w:rPr>
        <w:t xml:space="preserve"> </w:t>
      </w:r>
      <w:r w:rsidR="00914F01" w:rsidRPr="0034195F">
        <w:rPr>
          <w:rFonts w:cs="Calibri"/>
          <w:w w:val="105"/>
        </w:rPr>
        <w:t>and</w:t>
      </w:r>
      <w:r w:rsidR="00914F01" w:rsidRPr="0034195F">
        <w:rPr>
          <w:rFonts w:cs="Calibri"/>
          <w:spacing w:val="11"/>
          <w:w w:val="105"/>
        </w:rPr>
        <w:t xml:space="preserve"> </w:t>
      </w:r>
      <w:r w:rsidR="00914F01" w:rsidRPr="0034195F">
        <w:rPr>
          <w:rFonts w:cs="Calibri"/>
          <w:w w:val="105"/>
        </w:rPr>
        <w:t>training</w:t>
      </w:r>
      <w:r w:rsidR="00914F01" w:rsidRPr="0034195F">
        <w:rPr>
          <w:rFonts w:cs="Calibri"/>
          <w:spacing w:val="11"/>
          <w:w w:val="105"/>
        </w:rPr>
        <w:t xml:space="preserve"> </w:t>
      </w:r>
      <w:r w:rsidR="00914F01" w:rsidRPr="0034195F">
        <w:rPr>
          <w:rFonts w:cs="Calibri"/>
          <w:w w:val="105"/>
        </w:rPr>
        <w:t>to</w:t>
      </w:r>
      <w:r w:rsidR="00914F01" w:rsidRPr="0034195F">
        <w:rPr>
          <w:rFonts w:cs="Calibri"/>
          <w:spacing w:val="11"/>
          <w:w w:val="105"/>
        </w:rPr>
        <w:t xml:space="preserve"> </w:t>
      </w:r>
      <w:r w:rsidR="00914F01" w:rsidRPr="0034195F">
        <w:rPr>
          <w:rFonts w:cs="Calibri"/>
          <w:w w:val="105"/>
        </w:rPr>
        <w:t>program</w:t>
      </w:r>
      <w:r w:rsidR="00914F01" w:rsidRPr="0034195F">
        <w:rPr>
          <w:rFonts w:cs="Calibri"/>
          <w:spacing w:val="11"/>
          <w:w w:val="105"/>
        </w:rPr>
        <w:t xml:space="preserve"> </w:t>
      </w:r>
      <w:r w:rsidR="00914F01" w:rsidRPr="0034195F">
        <w:rPr>
          <w:rFonts w:cs="Calibri"/>
          <w:w w:val="105"/>
        </w:rPr>
        <w:t>participants</w:t>
      </w:r>
      <w:r w:rsidR="00914F01" w:rsidRPr="0034195F">
        <w:rPr>
          <w:rFonts w:cs="Calibri"/>
          <w:spacing w:val="11"/>
          <w:w w:val="105"/>
        </w:rPr>
        <w:t xml:space="preserve"> </w:t>
      </w:r>
      <w:r w:rsidR="00914F01" w:rsidRPr="0034195F">
        <w:rPr>
          <w:rFonts w:cs="Calibri"/>
          <w:w w:val="105"/>
        </w:rPr>
        <w:t>so</w:t>
      </w:r>
      <w:r w:rsidR="00914F01" w:rsidRPr="0034195F">
        <w:rPr>
          <w:rFonts w:cs="Calibri"/>
          <w:spacing w:val="11"/>
          <w:w w:val="105"/>
        </w:rPr>
        <w:t xml:space="preserve"> </w:t>
      </w:r>
      <w:r w:rsidR="00914F01" w:rsidRPr="0034195F">
        <w:rPr>
          <w:rFonts w:cs="Calibri"/>
          <w:w w:val="105"/>
        </w:rPr>
        <w:t>they</w:t>
      </w:r>
      <w:r w:rsidR="00914F01" w:rsidRPr="0034195F">
        <w:rPr>
          <w:rFonts w:cs="Calibri"/>
          <w:spacing w:val="11"/>
          <w:w w:val="105"/>
        </w:rPr>
        <w:t xml:space="preserve"> </w:t>
      </w:r>
      <w:r w:rsidR="00914F01" w:rsidRPr="0034195F">
        <w:rPr>
          <w:rFonts w:cs="Calibri"/>
          <w:w w:val="105"/>
        </w:rPr>
        <w:t>may</w:t>
      </w:r>
      <w:r w:rsidR="00914F01" w:rsidRPr="0034195F">
        <w:rPr>
          <w:rFonts w:cs="Calibri"/>
          <w:spacing w:val="11"/>
          <w:w w:val="105"/>
        </w:rPr>
        <w:t xml:space="preserve"> </w:t>
      </w:r>
      <w:r w:rsidR="00914F01" w:rsidRPr="0034195F">
        <w:rPr>
          <w:rFonts w:cs="Calibri"/>
          <w:w w:val="105"/>
        </w:rPr>
        <w:t>obtain</w:t>
      </w:r>
      <w:r w:rsidR="00914F01" w:rsidRPr="0034195F">
        <w:rPr>
          <w:rFonts w:cs="Calibri"/>
          <w:spacing w:val="11"/>
          <w:w w:val="105"/>
        </w:rPr>
        <w:t xml:space="preserve"> </w:t>
      </w:r>
      <w:r w:rsidR="00914F01" w:rsidRPr="0034195F">
        <w:rPr>
          <w:rFonts w:cs="Calibri"/>
          <w:w w:val="105"/>
        </w:rPr>
        <w:t>industry-recognized credentials and ultimately employment.</w:t>
      </w:r>
    </w:p>
    <w:p w14:paraId="18A20145" w14:textId="77777777" w:rsidR="00621D90" w:rsidRPr="007B0D02" w:rsidRDefault="00621D90" w:rsidP="00D63204">
      <w:pPr>
        <w:widowControl w:val="0"/>
        <w:spacing w:before="2" w:after="0" w:line="235" w:lineRule="auto"/>
        <w:ind w:left="107"/>
        <w:rPr>
          <w:rFonts w:cs="Calibri"/>
          <w:w w:val="105"/>
        </w:rPr>
      </w:pPr>
      <w:r w:rsidRPr="007B0D02">
        <w:rPr>
          <w:rFonts w:cs="Calibri"/>
          <w:w w:val="105"/>
        </w:rPr>
        <w:t xml:space="preserve"> </w:t>
      </w:r>
    </w:p>
    <w:p w14:paraId="51D2759D" w14:textId="2862B904" w:rsidR="00621D90" w:rsidRPr="007B0D02" w:rsidRDefault="00621D90" w:rsidP="00D63204">
      <w:pPr>
        <w:widowControl w:val="0"/>
        <w:spacing w:before="2" w:after="0" w:line="235" w:lineRule="auto"/>
        <w:ind w:left="107"/>
        <w:rPr>
          <w:rFonts w:cs="Calibri"/>
          <w:w w:val="105"/>
        </w:rPr>
      </w:pPr>
      <w:r w:rsidRPr="007B0D02">
        <w:rPr>
          <w:rFonts w:cs="Calibri"/>
          <w:w w:val="105"/>
        </w:rPr>
        <w:t xml:space="preserve">The grant enabled CareerSource Florida to engage the services of Maher &amp; Maher, a nationally recognized firm with expertise in sector strategy implementation. Self-assessments by each of Florida’s 24 local workforce development boards were conducted to help them better understand their current position in identifying sectors of focus through the lens of six key world-class implementation factors: </w:t>
      </w:r>
      <w:r>
        <w:rPr>
          <w:rFonts w:cs="Calibri"/>
          <w:w w:val="105"/>
        </w:rPr>
        <w:t>built on great</w:t>
      </w:r>
      <w:r w:rsidRPr="007B0D02">
        <w:rPr>
          <w:rFonts w:cs="Calibri"/>
          <w:w w:val="105"/>
        </w:rPr>
        <w:t xml:space="preserve"> data, founded on a shared regional vision, </w:t>
      </w:r>
      <w:r>
        <w:rPr>
          <w:rFonts w:cs="Calibri"/>
          <w:w w:val="105"/>
        </w:rPr>
        <w:t xml:space="preserve">guided </w:t>
      </w:r>
      <w:r w:rsidRPr="007B0D02">
        <w:rPr>
          <w:rFonts w:cs="Calibri"/>
          <w:w w:val="105"/>
        </w:rPr>
        <w:t>by industry, transformed service delivery, strategically aligned partners</w:t>
      </w:r>
      <w:r>
        <w:rPr>
          <w:rFonts w:cs="Calibri"/>
          <w:w w:val="105"/>
        </w:rPr>
        <w:t xml:space="preserve"> and</w:t>
      </w:r>
      <w:r w:rsidRPr="007B0D02">
        <w:rPr>
          <w:rFonts w:cs="Calibri"/>
          <w:w w:val="105"/>
        </w:rPr>
        <w:t xml:space="preserve"> supportive partnerships. </w:t>
      </w:r>
    </w:p>
    <w:p w14:paraId="11F6F1B0" w14:textId="77777777" w:rsidR="00621D90" w:rsidRPr="007B0D02" w:rsidRDefault="00621D90" w:rsidP="00D63204">
      <w:pPr>
        <w:widowControl w:val="0"/>
        <w:spacing w:before="2" w:after="0" w:line="235" w:lineRule="auto"/>
        <w:ind w:left="107"/>
        <w:rPr>
          <w:rFonts w:cs="Calibri"/>
          <w:w w:val="105"/>
        </w:rPr>
      </w:pPr>
    </w:p>
    <w:p w14:paraId="49A2A4C2" w14:textId="2C4426AF" w:rsidR="00621D90" w:rsidRPr="0008388C" w:rsidRDefault="00621D90" w:rsidP="00D63204">
      <w:pPr>
        <w:widowControl w:val="0"/>
        <w:spacing w:before="2" w:after="0" w:line="235" w:lineRule="auto"/>
        <w:ind w:left="107"/>
        <w:rPr>
          <w:rFonts w:cs="Calibri"/>
          <w:w w:val="105"/>
        </w:rPr>
      </w:pPr>
      <w:r w:rsidRPr="0008388C">
        <w:rPr>
          <w:rFonts w:cs="Calibri"/>
          <w:w w:val="105"/>
        </w:rPr>
        <w:t>Following the self-assessments, CareerSource Florida led four sub-state territory workshops, with agendas customized to the needs of the six local boards within each territory. At each workshop, an industry panel focused on talent needs in advanced manufacturing or healthcare was showcased. Each workshop provided a high-level sub state supply/demand analysis of key sectors. The following workshops were held:</w:t>
      </w:r>
    </w:p>
    <w:p w14:paraId="7F978CAD" w14:textId="77777777" w:rsidR="00621D90" w:rsidRPr="0008388C" w:rsidRDefault="00621D90" w:rsidP="00D63204">
      <w:pPr>
        <w:widowControl w:val="0"/>
        <w:spacing w:before="2" w:after="0" w:line="235" w:lineRule="auto"/>
        <w:ind w:left="107"/>
        <w:rPr>
          <w:rFonts w:cs="Calibri"/>
          <w:w w:val="105"/>
        </w:rPr>
      </w:pPr>
    </w:p>
    <w:p w14:paraId="73FCBFC2" w14:textId="77777777" w:rsidR="00621D90" w:rsidRPr="0008388C" w:rsidRDefault="00621D90" w:rsidP="00D63204">
      <w:pPr>
        <w:pStyle w:val="ListParagraph"/>
        <w:widowControl w:val="0"/>
        <w:numPr>
          <w:ilvl w:val="0"/>
          <w:numId w:val="16"/>
        </w:numPr>
        <w:spacing w:before="2" w:after="0" w:line="235" w:lineRule="auto"/>
        <w:rPr>
          <w:rFonts w:cs="Calibri"/>
          <w:w w:val="105"/>
        </w:rPr>
      </w:pPr>
      <w:r w:rsidRPr="0008388C">
        <w:rPr>
          <w:rFonts w:cs="Calibri"/>
          <w:w w:val="105"/>
        </w:rPr>
        <w:t>December 2016 – Northwest Florida (Panama City)</w:t>
      </w:r>
    </w:p>
    <w:p w14:paraId="42555982" w14:textId="77777777" w:rsidR="00621D90" w:rsidRPr="0008388C" w:rsidRDefault="00621D90" w:rsidP="00D63204">
      <w:pPr>
        <w:pStyle w:val="ListParagraph"/>
        <w:widowControl w:val="0"/>
        <w:numPr>
          <w:ilvl w:val="0"/>
          <w:numId w:val="16"/>
        </w:numPr>
        <w:spacing w:before="2" w:after="0" w:line="235" w:lineRule="auto"/>
        <w:rPr>
          <w:rFonts w:cs="Calibri"/>
          <w:w w:val="105"/>
        </w:rPr>
      </w:pPr>
      <w:r w:rsidRPr="0008388C">
        <w:rPr>
          <w:rFonts w:cs="Calibri"/>
          <w:w w:val="105"/>
        </w:rPr>
        <w:t>February 2017 – South Florida (Palm Beach)</w:t>
      </w:r>
    </w:p>
    <w:p w14:paraId="5F579695" w14:textId="77777777" w:rsidR="00621D90" w:rsidRPr="0008388C" w:rsidRDefault="00621D90" w:rsidP="00D63204">
      <w:pPr>
        <w:pStyle w:val="ListParagraph"/>
        <w:widowControl w:val="0"/>
        <w:numPr>
          <w:ilvl w:val="0"/>
          <w:numId w:val="16"/>
        </w:numPr>
        <w:spacing w:before="2" w:after="0" w:line="235" w:lineRule="auto"/>
        <w:rPr>
          <w:rFonts w:cs="Calibri"/>
          <w:w w:val="105"/>
        </w:rPr>
      </w:pPr>
      <w:r w:rsidRPr="0008388C">
        <w:rPr>
          <w:rFonts w:cs="Calibri"/>
          <w:w w:val="105"/>
        </w:rPr>
        <w:t>March 2017 – Central Florida (Tampa)</w:t>
      </w:r>
    </w:p>
    <w:p w14:paraId="3E38C179" w14:textId="77777777" w:rsidR="00621D90" w:rsidRPr="0008388C" w:rsidRDefault="00621D90" w:rsidP="00D63204">
      <w:pPr>
        <w:pStyle w:val="ListParagraph"/>
        <w:widowControl w:val="0"/>
        <w:numPr>
          <w:ilvl w:val="0"/>
          <w:numId w:val="16"/>
        </w:numPr>
        <w:spacing w:before="2" w:after="0" w:line="235" w:lineRule="auto"/>
        <w:rPr>
          <w:rFonts w:cs="Calibri"/>
          <w:w w:val="105"/>
        </w:rPr>
      </w:pPr>
      <w:r w:rsidRPr="0008388C">
        <w:rPr>
          <w:rFonts w:cs="Calibri"/>
          <w:w w:val="105"/>
        </w:rPr>
        <w:t>April 2017 – Northeast Florida (Ocala)</w:t>
      </w:r>
    </w:p>
    <w:p w14:paraId="226315A7" w14:textId="77777777" w:rsidR="00621D90" w:rsidRPr="007B0D02" w:rsidRDefault="00621D90" w:rsidP="00D63204">
      <w:pPr>
        <w:widowControl w:val="0"/>
        <w:spacing w:before="2" w:after="0" w:line="235" w:lineRule="auto"/>
        <w:ind w:left="107"/>
        <w:rPr>
          <w:rFonts w:cs="Calibri"/>
          <w:w w:val="105"/>
        </w:rPr>
      </w:pPr>
    </w:p>
    <w:p w14:paraId="4E426136" w14:textId="77777777" w:rsidR="00621D90" w:rsidRPr="007B0D02" w:rsidRDefault="00621D90" w:rsidP="00D63204">
      <w:pPr>
        <w:widowControl w:val="0"/>
        <w:spacing w:before="2" w:after="0" w:line="235" w:lineRule="auto"/>
        <w:ind w:left="107"/>
        <w:rPr>
          <w:rFonts w:cs="Calibri"/>
          <w:w w:val="105"/>
        </w:rPr>
      </w:pPr>
      <w:r w:rsidRPr="007B0D02">
        <w:rPr>
          <w:rFonts w:cs="Calibri"/>
          <w:w w:val="105"/>
        </w:rPr>
        <w:t>More than 400 representatives from business/industry, education, economic development, community development and workforce development attended the workshops</w:t>
      </w:r>
      <w:r>
        <w:rPr>
          <w:rFonts w:cs="Calibri"/>
          <w:w w:val="105"/>
        </w:rPr>
        <w:t xml:space="preserve">. </w:t>
      </w:r>
    </w:p>
    <w:p w14:paraId="639841A3" w14:textId="77777777" w:rsidR="00621D90" w:rsidRPr="007B0D02" w:rsidRDefault="00621D90" w:rsidP="00D63204">
      <w:pPr>
        <w:widowControl w:val="0"/>
        <w:spacing w:before="2" w:after="0" w:line="235" w:lineRule="auto"/>
        <w:ind w:left="107"/>
        <w:rPr>
          <w:rFonts w:cs="Calibri"/>
          <w:w w:val="105"/>
        </w:rPr>
      </w:pPr>
    </w:p>
    <w:p w14:paraId="631AEF11" w14:textId="0617AAA9" w:rsidR="00621D90" w:rsidRPr="003E0AC8" w:rsidRDefault="00621D90" w:rsidP="00D63204">
      <w:pPr>
        <w:widowControl w:val="0"/>
        <w:spacing w:before="2" w:after="0" w:line="235" w:lineRule="auto"/>
        <w:ind w:left="107"/>
        <w:rPr>
          <w:rFonts w:cs="Calibri"/>
          <w:w w:val="105"/>
        </w:rPr>
      </w:pPr>
      <w:r w:rsidRPr="007B0D02">
        <w:rPr>
          <w:rFonts w:cs="Calibri"/>
          <w:w w:val="105"/>
        </w:rPr>
        <w:t>To further promote sector strategy implementation, a monthly newsletter was sent out to interested parties about the approach, spotlighting industry focuses</w:t>
      </w:r>
      <w:r>
        <w:rPr>
          <w:rFonts w:cs="Calibri"/>
          <w:w w:val="105"/>
        </w:rPr>
        <w:t xml:space="preserve"> and</w:t>
      </w:r>
      <w:r w:rsidRPr="007B0D02">
        <w:rPr>
          <w:rFonts w:cs="Calibri"/>
          <w:w w:val="105"/>
        </w:rPr>
        <w:t xml:space="preserve"> providing the status of the grant’s progress towards the training goal</w:t>
      </w:r>
      <w:r w:rsidRPr="003E0AC8">
        <w:rPr>
          <w:rFonts w:cs="Calibri"/>
          <w:w w:val="105"/>
        </w:rPr>
        <w:t xml:space="preserve">. At the end of </w:t>
      </w:r>
      <w:r>
        <w:rPr>
          <w:rFonts w:cs="Calibri"/>
          <w:w w:val="105"/>
        </w:rPr>
        <w:t xml:space="preserve">December 2017, </w:t>
      </w:r>
      <w:r w:rsidRPr="00385BEF">
        <w:t xml:space="preserve">1,106 </w:t>
      </w:r>
      <w:r w:rsidR="00243CF3">
        <w:rPr>
          <w:rFonts w:cs="Calibri"/>
          <w:w w:val="105"/>
        </w:rPr>
        <w:t>people</w:t>
      </w:r>
      <w:r w:rsidRPr="003E0AC8">
        <w:rPr>
          <w:rFonts w:cs="Calibri"/>
          <w:w w:val="105"/>
        </w:rPr>
        <w:t xml:space="preserve"> were enrolled in career services and/or training</w:t>
      </w:r>
      <w:r w:rsidR="00A21B57">
        <w:rPr>
          <w:rFonts w:cs="Calibri"/>
          <w:w w:val="105"/>
        </w:rPr>
        <w:t xml:space="preserve">, above the grant </w:t>
      </w:r>
      <w:r w:rsidRPr="003E0AC8">
        <w:rPr>
          <w:rFonts w:cs="Calibri"/>
          <w:w w:val="105"/>
        </w:rPr>
        <w:t>goal of 1,050. The grant has been extended through June 2018.</w:t>
      </w:r>
    </w:p>
    <w:p w14:paraId="1B524BC0" w14:textId="77777777" w:rsidR="00621D90" w:rsidRPr="007B0D02" w:rsidRDefault="00621D90" w:rsidP="00D63204">
      <w:pPr>
        <w:widowControl w:val="0"/>
        <w:spacing w:before="2" w:after="0" w:line="235" w:lineRule="auto"/>
        <w:ind w:left="107"/>
        <w:rPr>
          <w:rFonts w:cs="Calibri"/>
          <w:w w:val="105"/>
        </w:rPr>
      </w:pPr>
    </w:p>
    <w:p w14:paraId="6119A657" w14:textId="77777777" w:rsidR="00F125BC" w:rsidRDefault="00621D90" w:rsidP="00D63204">
      <w:pPr>
        <w:widowControl w:val="0"/>
        <w:spacing w:before="2" w:after="0" w:line="235" w:lineRule="auto"/>
        <w:ind w:left="107"/>
        <w:rPr>
          <w:rFonts w:cs="Calibri"/>
          <w:w w:val="105"/>
        </w:rPr>
      </w:pPr>
      <w:r w:rsidRPr="007B0D02">
        <w:rPr>
          <w:rFonts w:cs="Calibri"/>
          <w:w w:val="105"/>
        </w:rPr>
        <w:t>After the workshops</w:t>
      </w:r>
      <w:r>
        <w:rPr>
          <w:rFonts w:cs="Calibri"/>
          <w:w w:val="105"/>
        </w:rPr>
        <w:t xml:space="preserve"> and</w:t>
      </w:r>
      <w:r w:rsidRPr="007B0D02">
        <w:rPr>
          <w:rFonts w:cs="Calibri"/>
          <w:w w:val="105"/>
        </w:rPr>
        <w:t xml:space="preserve"> given the emphasis o</w:t>
      </w:r>
      <w:r w:rsidR="00FD36EE">
        <w:rPr>
          <w:rFonts w:cs="Calibri"/>
          <w:w w:val="105"/>
        </w:rPr>
        <w:t>n</w:t>
      </w:r>
      <w:r w:rsidRPr="007B0D02">
        <w:rPr>
          <w:rFonts w:cs="Calibri"/>
          <w:w w:val="105"/>
        </w:rPr>
        <w:t xml:space="preserve"> sector strategy implementation in the federal Workforce Innovation and Opportunities Act, the executive committee </w:t>
      </w:r>
      <w:r w:rsidR="00FD36EE">
        <w:rPr>
          <w:rFonts w:cs="Calibri"/>
          <w:w w:val="105"/>
        </w:rPr>
        <w:t xml:space="preserve">of the </w:t>
      </w:r>
      <w:r w:rsidRPr="007B0D02">
        <w:rPr>
          <w:rFonts w:cs="Calibri"/>
          <w:w w:val="105"/>
        </w:rPr>
        <w:t xml:space="preserve">CareerSource Florida </w:t>
      </w:r>
      <w:r w:rsidR="00FD36EE">
        <w:rPr>
          <w:rFonts w:cs="Calibri"/>
          <w:w w:val="105"/>
        </w:rPr>
        <w:t xml:space="preserve">Board of Directors </w:t>
      </w:r>
      <w:r w:rsidRPr="007B0D02">
        <w:rPr>
          <w:rFonts w:cs="Calibri"/>
          <w:w w:val="105"/>
        </w:rPr>
        <w:t>recommended using state-level funds to help LWDBs move forward in implementation of this transformative approach. The grant funds enabled the creation of state-level and sub-state sector strategy videos highlighting businesses benefitting from this approach</w:t>
      </w:r>
      <w:r w:rsidR="00B95F35">
        <w:rPr>
          <w:rFonts w:cs="Calibri"/>
          <w:w w:val="105"/>
        </w:rPr>
        <w:t xml:space="preserve"> to assist with </w:t>
      </w:r>
      <w:r w:rsidR="00092F70">
        <w:rPr>
          <w:rFonts w:cs="Calibri"/>
          <w:w w:val="105"/>
        </w:rPr>
        <w:t xml:space="preserve">awareness </w:t>
      </w:r>
      <w:r w:rsidR="00F125BC">
        <w:rPr>
          <w:rFonts w:cs="Calibri"/>
          <w:w w:val="105"/>
        </w:rPr>
        <w:t>among</w:t>
      </w:r>
      <w:r w:rsidR="00092F70">
        <w:rPr>
          <w:rFonts w:cs="Calibri"/>
          <w:w w:val="105"/>
        </w:rPr>
        <w:t xml:space="preserve">, </w:t>
      </w:r>
      <w:r w:rsidR="00B95F35">
        <w:rPr>
          <w:rFonts w:cs="Calibri"/>
          <w:w w:val="105"/>
        </w:rPr>
        <w:t>outreach</w:t>
      </w:r>
      <w:r w:rsidR="004C59FE">
        <w:rPr>
          <w:rFonts w:cs="Calibri"/>
          <w:w w:val="105"/>
        </w:rPr>
        <w:t xml:space="preserve"> to </w:t>
      </w:r>
      <w:r w:rsidR="00B95F35">
        <w:rPr>
          <w:rFonts w:cs="Calibri"/>
          <w:w w:val="105"/>
        </w:rPr>
        <w:t>and engagement</w:t>
      </w:r>
      <w:r w:rsidR="004C59FE">
        <w:rPr>
          <w:rFonts w:cs="Calibri"/>
          <w:w w:val="105"/>
        </w:rPr>
        <w:t xml:space="preserve"> with industry and education partners</w:t>
      </w:r>
      <w:r w:rsidRPr="007B0D02">
        <w:rPr>
          <w:rFonts w:cs="Calibri"/>
          <w:w w:val="105"/>
        </w:rPr>
        <w:t xml:space="preserve">. </w:t>
      </w:r>
    </w:p>
    <w:p w14:paraId="5DB45AEF" w14:textId="77777777" w:rsidR="00F125BC" w:rsidRDefault="00F125BC" w:rsidP="00D63204">
      <w:pPr>
        <w:widowControl w:val="0"/>
        <w:spacing w:before="2" w:after="0" w:line="235" w:lineRule="auto"/>
        <w:ind w:left="107"/>
        <w:rPr>
          <w:rFonts w:cs="Calibri"/>
          <w:w w:val="105"/>
        </w:rPr>
      </w:pPr>
    </w:p>
    <w:p w14:paraId="3F30BFCB" w14:textId="37DCBA3D" w:rsidR="00621D90" w:rsidRDefault="00030BDE" w:rsidP="00D63204">
      <w:pPr>
        <w:widowControl w:val="0"/>
        <w:spacing w:before="2" w:after="0" w:line="235" w:lineRule="auto"/>
        <w:ind w:left="107"/>
        <w:rPr>
          <w:rFonts w:cs="Calibri"/>
          <w:w w:val="105"/>
        </w:rPr>
      </w:pPr>
      <w:r>
        <w:rPr>
          <w:rFonts w:cs="Calibri"/>
          <w:w w:val="105"/>
        </w:rPr>
        <w:t>A</w:t>
      </w:r>
      <w:r w:rsidR="00621D90" w:rsidRPr="007B0D02">
        <w:rPr>
          <w:rFonts w:cs="Calibri"/>
          <w:w w:val="105"/>
        </w:rPr>
        <w:t xml:space="preserve">t the May 2017 CareerSource Florida board meeting, consultants Maher &amp; Maher provided a summary of the initiative’s progress over the year and offered recommendations to move the </w:t>
      </w:r>
      <w:r w:rsidR="00761536">
        <w:rPr>
          <w:rFonts w:cs="Calibri"/>
          <w:w w:val="105"/>
        </w:rPr>
        <w:t>state’s</w:t>
      </w:r>
      <w:r w:rsidR="00621D90" w:rsidRPr="007B0D02">
        <w:rPr>
          <w:rFonts w:cs="Calibri"/>
          <w:w w:val="105"/>
        </w:rPr>
        <w:t xml:space="preserve"> </w:t>
      </w:r>
      <w:r>
        <w:rPr>
          <w:rFonts w:cs="Calibri"/>
          <w:w w:val="105"/>
        </w:rPr>
        <w:t xml:space="preserve">workforce </w:t>
      </w:r>
      <w:r w:rsidR="00621D90" w:rsidRPr="007B0D02">
        <w:rPr>
          <w:rFonts w:cs="Calibri"/>
          <w:w w:val="105"/>
        </w:rPr>
        <w:t xml:space="preserve">system forward. </w:t>
      </w:r>
    </w:p>
    <w:p w14:paraId="29E196BF" w14:textId="77777777" w:rsidR="00B74735" w:rsidRDefault="00B74735" w:rsidP="00D63204">
      <w:pPr>
        <w:widowControl w:val="0"/>
        <w:spacing w:before="2" w:after="0" w:line="235" w:lineRule="auto"/>
        <w:ind w:left="107"/>
        <w:rPr>
          <w:rFonts w:cs="Calibri"/>
          <w:w w:val="105"/>
        </w:rPr>
      </w:pPr>
    </w:p>
    <w:p w14:paraId="4C3AADAE" w14:textId="23DA2B6A" w:rsidR="00621D90" w:rsidRPr="007B0D02" w:rsidRDefault="00621D90" w:rsidP="00D63204">
      <w:pPr>
        <w:widowControl w:val="0"/>
        <w:spacing w:before="2" w:after="0" w:line="235" w:lineRule="auto"/>
        <w:ind w:left="107"/>
        <w:rPr>
          <w:rFonts w:cs="Calibri"/>
          <w:w w:val="105"/>
        </w:rPr>
      </w:pPr>
      <w:r>
        <w:rPr>
          <w:rFonts w:cs="Calibri"/>
          <w:w w:val="105"/>
        </w:rPr>
        <w:br/>
      </w:r>
      <w:r w:rsidRPr="007B0D02">
        <w:rPr>
          <w:rFonts w:cs="Calibri"/>
          <w:w w:val="105"/>
        </w:rPr>
        <w:lastRenderedPageBreak/>
        <w:t>These recommendations will be acted upon in the upcoming year</w:t>
      </w:r>
      <w:r w:rsidR="009F533C">
        <w:rPr>
          <w:rFonts w:cs="Calibri"/>
          <w:w w:val="105"/>
        </w:rPr>
        <w:t>:</w:t>
      </w:r>
    </w:p>
    <w:p w14:paraId="0225CB60" w14:textId="77777777" w:rsidR="00621D90" w:rsidRPr="007B0D02" w:rsidRDefault="00621D90" w:rsidP="00D63204">
      <w:pPr>
        <w:widowControl w:val="0"/>
        <w:spacing w:before="2" w:after="0" w:line="235" w:lineRule="auto"/>
        <w:ind w:left="107"/>
        <w:rPr>
          <w:rFonts w:cs="Calibri"/>
          <w:w w:val="105"/>
        </w:rPr>
      </w:pPr>
    </w:p>
    <w:p w14:paraId="7EF7C935" w14:textId="77777777" w:rsidR="00621D90" w:rsidRPr="00FC038A" w:rsidRDefault="00621D90" w:rsidP="00D63204">
      <w:pPr>
        <w:pStyle w:val="ListParagraph"/>
        <w:numPr>
          <w:ilvl w:val="0"/>
          <w:numId w:val="17"/>
        </w:numPr>
        <w:spacing w:after="160" w:line="240" w:lineRule="auto"/>
        <w:rPr>
          <w:rFonts w:cs="Calibri"/>
        </w:rPr>
      </w:pPr>
      <w:r w:rsidRPr="00FC038A">
        <w:rPr>
          <w:rFonts w:cs="Calibri"/>
        </w:rPr>
        <w:t>Ensure workforce system has a baseline understanding of sector strategies, including state expectations</w:t>
      </w:r>
      <w:r>
        <w:rPr>
          <w:rFonts w:cs="Calibri"/>
        </w:rPr>
        <w:br/>
      </w:r>
    </w:p>
    <w:p w14:paraId="02EF0453" w14:textId="77777777" w:rsidR="00621D90" w:rsidRPr="00FC038A" w:rsidRDefault="00621D90" w:rsidP="00D63204">
      <w:pPr>
        <w:pStyle w:val="ListParagraph"/>
        <w:numPr>
          <w:ilvl w:val="0"/>
          <w:numId w:val="17"/>
        </w:numPr>
        <w:spacing w:after="160" w:line="240" w:lineRule="auto"/>
        <w:rPr>
          <w:rFonts w:cs="Calibri"/>
        </w:rPr>
      </w:pPr>
      <w:r w:rsidRPr="00FC038A">
        <w:rPr>
          <w:rFonts w:cs="Calibri"/>
        </w:rPr>
        <w:t>Build capacity of state and local workforce system to move from sector-based work to sector strategies</w:t>
      </w:r>
      <w:r>
        <w:rPr>
          <w:rFonts w:cs="Calibri"/>
        </w:rPr>
        <w:br/>
      </w:r>
    </w:p>
    <w:p w14:paraId="26859755" w14:textId="77777777" w:rsidR="00621D90" w:rsidRPr="00FC038A" w:rsidRDefault="00621D90" w:rsidP="00D63204">
      <w:pPr>
        <w:pStyle w:val="ListParagraph"/>
        <w:numPr>
          <w:ilvl w:val="0"/>
          <w:numId w:val="17"/>
        </w:numPr>
        <w:spacing w:after="160" w:line="240" w:lineRule="auto"/>
        <w:rPr>
          <w:rFonts w:cs="Calibri"/>
        </w:rPr>
      </w:pPr>
      <w:r w:rsidRPr="00FC038A">
        <w:rPr>
          <w:rFonts w:cs="Calibri"/>
        </w:rPr>
        <w:t>Support operationalization of sector strategies into design/delivery of job seeker and business services</w:t>
      </w:r>
      <w:r>
        <w:rPr>
          <w:rFonts w:cs="Calibri"/>
        </w:rPr>
        <w:br/>
      </w:r>
    </w:p>
    <w:p w14:paraId="6E0B4DAD" w14:textId="77777777" w:rsidR="00621D90" w:rsidRPr="00FC038A" w:rsidRDefault="00621D90" w:rsidP="00D63204">
      <w:pPr>
        <w:pStyle w:val="ListParagraph"/>
        <w:numPr>
          <w:ilvl w:val="0"/>
          <w:numId w:val="17"/>
        </w:numPr>
        <w:spacing w:after="160" w:line="240" w:lineRule="auto"/>
        <w:rPr>
          <w:rFonts w:cs="Calibri"/>
        </w:rPr>
      </w:pPr>
      <w:r w:rsidRPr="00FC038A">
        <w:rPr>
          <w:rFonts w:cs="Calibri"/>
        </w:rPr>
        <w:t xml:space="preserve">Empower local system to use Sector Partnerships to move beyond development of training programs to </w:t>
      </w:r>
      <w:r w:rsidRPr="00B40E44">
        <w:rPr>
          <w:rFonts w:cs="Calibri"/>
        </w:rPr>
        <w:t>development of career</w:t>
      </w:r>
      <w:r w:rsidRPr="00FC038A">
        <w:rPr>
          <w:rFonts w:cs="Calibri"/>
        </w:rPr>
        <w:t xml:space="preserve"> pathways</w:t>
      </w:r>
      <w:r>
        <w:rPr>
          <w:rFonts w:cs="Calibri"/>
        </w:rPr>
        <w:t>.</w:t>
      </w:r>
    </w:p>
    <w:p w14:paraId="75C16F4C" w14:textId="7FD1A28B" w:rsidR="00EB5D9F" w:rsidRPr="00EB5D9F" w:rsidRDefault="00EB5D9F" w:rsidP="00D63204">
      <w:pPr>
        <w:pStyle w:val="NormalWeb"/>
        <w:spacing w:before="0" w:beforeAutospacing="0"/>
        <w:ind w:left="107"/>
        <w:rPr>
          <w:rFonts w:asciiTheme="minorHAnsi" w:hAnsiTheme="minorHAnsi" w:cs="Calibri"/>
          <w:b/>
          <w:color w:val="000000"/>
          <w:sz w:val="22"/>
          <w:szCs w:val="22"/>
        </w:rPr>
      </w:pPr>
      <w:r w:rsidRPr="00EB5D9F">
        <w:rPr>
          <w:rFonts w:asciiTheme="minorHAnsi" w:hAnsiTheme="minorHAnsi" w:cs="Calibri"/>
          <w:b/>
          <w:color w:val="000000"/>
          <w:sz w:val="22"/>
          <w:szCs w:val="22"/>
        </w:rPr>
        <w:t>Expanding Apprenticeship Opportunities</w:t>
      </w:r>
    </w:p>
    <w:p w14:paraId="76BCAD2A" w14:textId="6EACC9AA" w:rsidR="00B40E44" w:rsidRDefault="00B40E44" w:rsidP="00D63204">
      <w:pPr>
        <w:pStyle w:val="NormalWeb"/>
        <w:spacing w:before="0" w:beforeAutospacing="0"/>
        <w:ind w:left="107"/>
        <w:rPr>
          <w:rFonts w:asciiTheme="minorHAnsi" w:hAnsiTheme="minorHAnsi" w:cs="Calibri"/>
          <w:color w:val="000000"/>
          <w:sz w:val="22"/>
          <w:szCs w:val="22"/>
        </w:rPr>
      </w:pPr>
      <w:r>
        <w:rPr>
          <w:rFonts w:asciiTheme="minorHAnsi" w:hAnsiTheme="minorHAnsi" w:cs="Calibri"/>
          <w:color w:val="000000"/>
          <w:sz w:val="22"/>
          <w:szCs w:val="22"/>
        </w:rPr>
        <w:t xml:space="preserve">In the fall of 2016, </w:t>
      </w:r>
      <w:r w:rsidRPr="00D93DFF">
        <w:rPr>
          <w:rFonts w:asciiTheme="minorHAnsi" w:hAnsiTheme="minorHAnsi" w:cs="Calibri"/>
          <w:color w:val="000000"/>
          <w:sz w:val="22"/>
          <w:szCs w:val="22"/>
        </w:rPr>
        <w:t xml:space="preserve">CareerSource Florida integrated </w:t>
      </w:r>
      <w:r>
        <w:rPr>
          <w:rFonts w:asciiTheme="minorHAnsi" w:hAnsiTheme="minorHAnsi" w:cs="Calibri"/>
          <w:color w:val="000000"/>
          <w:sz w:val="22"/>
          <w:szCs w:val="22"/>
        </w:rPr>
        <w:t>R</w:t>
      </w:r>
      <w:r w:rsidRPr="00D93DFF">
        <w:rPr>
          <w:rFonts w:asciiTheme="minorHAnsi" w:hAnsiTheme="minorHAnsi" w:cs="Calibri"/>
          <w:color w:val="000000"/>
          <w:sz w:val="22"/>
          <w:szCs w:val="22"/>
        </w:rPr>
        <w:t xml:space="preserve">egistered </w:t>
      </w:r>
      <w:r>
        <w:rPr>
          <w:rFonts w:asciiTheme="minorHAnsi" w:hAnsiTheme="minorHAnsi" w:cs="Calibri"/>
          <w:color w:val="000000"/>
          <w:sz w:val="22"/>
          <w:szCs w:val="22"/>
        </w:rPr>
        <w:t>A</w:t>
      </w:r>
      <w:r w:rsidRPr="00D93DFF">
        <w:rPr>
          <w:rFonts w:asciiTheme="minorHAnsi" w:hAnsiTheme="minorHAnsi" w:cs="Calibri"/>
          <w:color w:val="000000"/>
          <w:sz w:val="22"/>
          <w:szCs w:val="22"/>
        </w:rPr>
        <w:t>pprenticeships into its statewide sector strategy initiative</w:t>
      </w:r>
      <w:r>
        <w:rPr>
          <w:rFonts w:asciiTheme="minorHAnsi" w:hAnsiTheme="minorHAnsi" w:cs="Calibri"/>
          <w:color w:val="000000"/>
          <w:sz w:val="22"/>
          <w:szCs w:val="22"/>
        </w:rPr>
        <w:t xml:space="preserve"> </w:t>
      </w:r>
      <w:r w:rsidRPr="00D93DFF">
        <w:rPr>
          <w:rFonts w:asciiTheme="minorHAnsi" w:hAnsiTheme="minorHAnsi" w:cs="Calibri"/>
          <w:color w:val="000000"/>
          <w:sz w:val="22"/>
          <w:szCs w:val="22"/>
        </w:rPr>
        <w:t xml:space="preserve">by leveraging its selection as a USDOL ApprenticeshipUSA expansion grantee. With a keen focus on building the state’s talent pipeline, local workforce development boards are empowered to move from training programs to establishing career pathways that offer apprenticeships as a viable talent development solution. The strategic alignment has forged new partnerships with employers and closer collaboration between the Florida Department of Economic Opportunity, the Florida Department of Education’s Office of Apprenticeship and CareerSource Florida. </w:t>
      </w:r>
    </w:p>
    <w:p w14:paraId="3F4C0F1B" w14:textId="77777777" w:rsidR="00B40E44" w:rsidRPr="00D93DFF" w:rsidRDefault="00B40E44" w:rsidP="00D63204">
      <w:pPr>
        <w:pStyle w:val="NormalWeb"/>
        <w:spacing w:before="0" w:beforeAutospacing="0"/>
        <w:ind w:left="107"/>
        <w:rPr>
          <w:rFonts w:asciiTheme="minorHAnsi" w:hAnsiTheme="minorHAnsi" w:cs="Calibri"/>
          <w:color w:val="000000"/>
          <w:sz w:val="22"/>
          <w:szCs w:val="22"/>
        </w:rPr>
      </w:pPr>
      <w:r w:rsidRPr="00D93DFF">
        <w:rPr>
          <w:rFonts w:asciiTheme="minorHAnsi" w:hAnsiTheme="minorHAnsi" w:cs="Calibri"/>
          <w:color w:val="000000"/>
          <w:sz w:val="22"/>
          <w:szCs w:val="22"/>
        </w:rPr>
        <w:t xml:space="preserve">As a unified </w:t>
      </w:r>
      <w:r>
        <w:rPr>
          <w:rFonts w:asciiTheme="minorHAnsi" w:hAnsiTheme="minorHAnsi" w:cs="Calibri"/>
          <w:color w:val="000000"/>
          <w:sz w:val="22"/>
          <w:szCs w:val="22"/>
        </w:rPr>
        <w:t>partnership</w:t>
      </w:r>
      <w:r w:rsidRPr="00D93DFF">
        <w:rPr>
          <w:rFonts w:asciiTheme="minorHAnsi" w:hAnsiTheme="minorHAnsi" w:cs="Calibri"/>
          <w:color w:val="000000"/>
          <w:sz w:val="22"/>
          <w:szCs w:val="22"/>
        </w:rPr>
        <w:t xml:space="preserve">, the team </w:t>
      </w:r>
      <w:r>
        <w:rPr>
          <w:rFonts w:asciiTheme="minorHAnsi" w:hAnsiTheme="minorHAnsi" w:cs="Calibri"/>
          <w:color w:val="000000"/>
          <w:sz w:val="22"/>
          <w:szCs w:val="22"/>
        </w:rPr>
        <w:t xml:space="preserve">identifies </w:t>
      </w:r>
      <w:r w:rsidRPr="00D93DFF">
        <w:rPr>
          <w:rFonts w:asciiTheme="minorHAnsi" w:hAnsiTheme="minorHAnsi" w:cs="Calibri"/>
          <w:color w:val="000000"/>
          <w:sz w:val="22"/>
          <w:szCs w:val="22"/>
        </w:rPr>
        <w:t xml:space="preserve">challenges and opportunities for building a modern talent delivery system that meets the needs of employers in high-demand industries like </w:t>
      </w:r>
      <w:r>
        <w:rPr>
          <w:rFonts w:asciiTheme="minorHAnsi" w:hAnsiTheme="minorHAnsi" w:cs="Calibri"/>
          <w:color w:val="000000"/>
          <w:sz w:val="22"/>
          <w:szCs w:val="22"/>
        </w:rPr>
        <w:t>a</w:t>
      </w:r>
      <w:r w:rsidRPr="00D93DFF">
        <w:rPr>
          <w:rFonts w:asciiTheme="minorHAnsi" w:hAnsiTheme="minorHAnsi" w:cs="Calibri"/>
          <w:color w:val="000000"/>
          <w:sz w:val="22"/>
          <w:szCs w:val="22"/>
        </w:rPr>
        <w:t xml:space="preserve">dvanced </w:t>
      </w:r>
      <w:r>
        <w:rPr>
          <w:rFonts w:asciiTheme="minorHAnsi" w:hAnsiTheme="minorHAnsi" w:cs="Calibri"/>
          <w:color w:val="000000"/>
          <w:sz w:val="22"/>
          <w:szCs w:val="22"/>
        </w:rPr>
        <w:t>m</w:t>
      </w:r>
      <w:r w:rsidRPr="00D93DFF">
        <w:rPr>
          <w:rFonts w:asciiTheme="minorHAnsi" w:hAnsiTheme="minorHAnsi" w:cs="Calibri"/>
          <w:color w:val="000000"/>
          <w:sz w:val="22"/>
          <w:szCs w:val="22"/>
        </w:rPr>
        <w:t xml:space="preserve">anufacturing, </w:t>
      </w:r>
      <w:r>
        <w:rPr>
          <w:rFonts w:asciiTheme="minorHAnsi" w:hAnsiTheme="minorHAnsi" w:cs="Calibri"/>
          <w:color w:val="000000"/>
          <w:sz w:val="22"/>
          <w:szCs w:val="22"/>
        </w:rPr>
        <w:t>i</w:t>
      </w:r>
      <w:r w:rsidRPr="00D93DFF">
        <w:rPr>
          <w:rFonts w:asciiTheme="minorHAnsi" w:hAnsiTheme="minorHAnsi" w:cs="Calibri"/>
          <w:color w:val="000000"/>
          <w:sz w:val="22"/>
          <w:szCs w:val="22"/>
        </w:rPr>
        <w:t xml:space="preserve">nformation </w:t>
      </w:r>
      <w:r>
        <w:rPr>
          <w:rFonts w:asciiTheme="minorHAnsi" w:hAnsiTheme="minorHAnsi" w:cs="Calibri"/>
          <w:color w:val="000000"/>
          <w:sz w:val="22"/>
          <w:szCs w:val="22"/>
        </w:rPr>
        <w:t>t</w:t>
      </w:r>
      <w:r w:rsidRPr="00D93DFF">
        <w:rPr>
          <w:rFonts w:asciiTheme="minorHAnsi" w:hAnsiTheme="minorHAnsi" w:cs="Calibri"/>
          <w:color w:val="000000"/>
          <w:sz w:val="22"/>
          <w:szCs w:val="22"/>
        </w:rPr>
        <w:t xml:space="preserve">echnology, </w:t>
      </w:r>
      <w:r>
        <w:rPr>
          <w:rFonts w:asciiTheme="minorHAnsi" w:hAnsiTheme="minorHAnsi" w:cs="Calibri"/>
          <w:color w:val="000000"/>
          <w:sz w:val="22"/>
          <w:szCs w:val="22"/>
        </w:rPr>
        <w:t>h</w:t>
      </w:r>
      <w:r w:rsidRPr="00D93DFF">
        <w:rPr>
          <w:rFonts w:asciiTheme="minorHAnsi" w:hAnsiTheme="minorHAnsi" w:cs="Calibri"/>
          <w:color w:val="000000"/>
          <w:sz w:val="22"/>
          <w:szCs w:val="22"/>
        </w:rPr>
        <w:t xml:space="preserve">ealthcare and </w:t>
      </w:r>
      <w:r>
        <w:rPr>
          <w:rFonts w:asciiTheme="minorHAnsi" w:hAnsiTheme="minorHAnsi" w:cs="Calibri"/>
          <w:color w:val="000000"/>
          <w:sz w:val="22"/>
          <w:szCs w:val="22"/>
        </w:rPr>
        <w:t>c</w:t>
      </w:r>
      <w:r w:rsidRPr="00D93DFF">
        <w:rPr>
          <w:rFonts w:asciiTheme="minorHAnsi" w:hAnsiTheme="minorHAnsi" w:cs="Calibri"/>
          <w:color w:val="000000"/>
          <w:sz w:val="22"/>
          <w:szCs w:val="22"/>
        </w:rPr>
        <w:t>onstruction.</w:t>
      </w:r>
    </w:p>
    <w:p w14:paraId="63EC598B" w14:textId="77777777" w:rsidR="00B40E44" w:rsidRPr="00D93DFF" w:rsidRDefault="00B40E44" w:rsidP="00D63204">
      <w:pPr>
        <w:pStyle w:val="NormalWeb"/>
        <w:ind w:left="107"/>
        <w:rPr>
          <w:rFonts w:asciiTheme="minorHAnsi" w:hAnsiTheme="minorHAnsi" w:cs="Calibri"/>
          <w:color w:val="000000"/>
          <w:sz w:val="22"/>
          <w:szCs w:val="22"/>
        </w:rPr>
      </w:pPr>
      <w:r w:rsidRPr="00D93DFF">
        <w:rPr>
          <w:rFonts w:asciiTheme="minorHAnsi" w:hAnsiTheme="minorHAnsi" w:cs="Calibri"/>
          <w:color w:val="000000"/>
          <w:sz w:val="22"/>
          <w:szCs w:val="22"/>
        </w:rPr>
        <w:t>Key achievements designed to shift workforce development from a supply-driven to demand-driven system include:</w:t>
      </w:r>
    </w:p>
    <w:p w14:paraId="7D34286C" w14:textId="77777777" w:rsidR="00B40E44" w:rsidRDefault="00B40E44" w:rsidP="00D63204">
      <w:pPr>
        <w:pStyle w:val="NormalWeb"/>
        <w:numPr>
          <w:ilvl w:val="0"/>
          <w:numId w:val="15"/>
        </w:numPr>
        <w:spacing w:before="0" w:beforeAutospacing="0" w:after="0" w:afterAutospacing="0"/>
        <w:rPr>
          <w:rFonts w:asciiTheme="minorHAnsi" w:hAnsiTheme="minorHAnsi" w:cs="Calibri"/>
          <w:color w:val="000000"/>
          <w:sz w:val="22"/>
          <w:szCs w:val="22"/>
        </w:rPr>
      </w:pPr>
      <w:r w:rsidRPr="0099174B">
        <w:rPr>
          <w:rFonts w:asciiTheme="minorHAnsi" w:hAnsiTheme="minorHAnsi" w:cs="Calibri"/>
          <w:color w:val="000000"/>
          <w:sz w:val="22"/>
          <w:szCs w:val="22"/>
        </w:rPr>
        <w:t>Convening more than 100 influential businesses leaders and community stakeholders as part of the ApprenticeshipUSA grant kick-off activities to solidify partnerships for system changes that are transformative and sustainable beyond the life of the grant.</w:t>
      </w:r>
    </w:p>
    <w:p w14:paraId="54FFABE6" w14:textId="77777777" w:rsidR="00B40E44" w:rsidRDefault="00B40E44" w:rsidP="00D63204">
      <w:pPr>
        <w:pStyle w:val="NormalWeb"/>
        <w:spacing w:before="0" w:beforeAutospacing="0" w:after="0" w:afterAutospacing="0"/>
        <w:ind w:left="827"/>
        <w:rPr>
          <w:rFonts w:asciiTheme="minorHAnsi" w:hAnsiTheme="minorHAnsi" w:cs="Calibri"/>
          <w:color w:val="000000"/>
          <w:sz w:val="22"/>
          <w:szCs w:val="22"/>
        </w:rPr>
      </w:pPr>
    </w:p>
    <w:p w14:paraId="6F726959" w14:textId="77777777" w:rsidR="00B40E44" w:rsidRDefault="00B40E44" w:rsidP="00D63204">
      <w:pPr>
        <w:pStyle w:val="NormalWeb"/>
        <w:numPr>
          <w:ilvl w:val="0"/>
          <w:numId w:val="15"/>
        </w:numPr>
        <w:spacing w:before="0" w:beforeAutospacing="0" w:after="0" w:afterAutospacing="0"/>
        <w:rPr>
          <w:rFonts w:asciiTheme="minorHAnsi" w:hAnsiTheme="minorHAnsi" w:cs="Calibri"/>
          <w:color w:val="000000"/>
          <w:sz w:val="22"/>
          <w:szCs w:val="22"/>
        </w:rPr>
      </w:pPr>
      <w:r w:rsidRPr="0099174B">
        <w:rPr>
          <w:rFonts w:asciiTheme="minorHAnsi" w:hAnsiTheme="minorHAnsi" w:cs="Calibri"/>
          <w:color w:val="000000"/>
          <w:sz w:val="22"/>
          <w:szCs w:val="22"/>
        </w:rPr>
        <w:t>Hosting weekly strategy sessions with core partners from the Florida Department of Education’s Office of Apprenticeship and the Department of Economic Opportunity to align policies, people and processes as part of statewide system integration and ApprenticeshipUSA grant compliance.</w:t>
      </w:r>
    </w:p>
    <w:p w14:paraId="13407086" w14:textId="77777777" w:rsidR="00B40E44" w:rsidRDefault="00B40E44" w:rsidP="00B40E44">
      <w:pPr>
        <w:pStyle w:val="ListParagraph"/>
        <w:spacing w:after="0"/>
        <w:rPr>
          <w:rFonts w:cs="Calibri"/>
          <w:color w:val="000000"/>
        </w:rPr>
      </w:pPr>
    </w:p>
    <w:p w14:paraId="2A297B74" w14:textId="77777777" w:rsidR="00B40E44" w:rsidRDefault="00B40E44" w:rsidP="00D63204">
      <w:pPr>
        <w:pStyle w:val="NormalWeb"/>
        <w:numPr>
          <w:ilvl w:val="0"/>
          <w:numId w:val="15"/>
        </w:numPr>
        <w:spacing w:before="0" w:beforeAutospacing="0" w:after="0" w:afterAutospacing="0"/>
        <w:rPr>
          <w:rFonts w:asciiTheme="minorHAnsi" w:hAnsiTheme="minorHAnsi" w:cs="Calibri"/>
          <w:color w:val="000000"/>
          <w:sz w:val="22"/>
          <w:szCs w:val="22"/>
        </w:rPr>
      </w:pPr>
      <w:r>
        <w:rPr>
          <w:rFonts w:asciiTheme="minorHAnsi" w:hAnsiTheme="minorHAnsi" w:cs="Calibri"/>
          <w:color w:val="000000"/>
          <w:sz w:val="22"/>
          <w:szCs w:val="22"/>
        </w:rPr>
        <w:t>One of only ni</w:t>
      </w:r>
      <w:r w:rsidRPr="00033DE2">
        <w:rPr>
          <w:rFonts w:asciiTheme="minorHAnsi" w:hAnsiTheme="minorHAnsi" w:cs="Calibri"/>
          <w:color w:val="000000"/>
          <w:sz w:val="22"/>
          <w:szCs w:val="22"/>
        </w:rPr>
        <w:t>ne states selected by the USDOL as an Apprenticeship Promising Practice case study within the Aligning State Systems &amp; Partnerships category</w:t>
      </w:r>
      <w:r w:rsidRPr="0099174B">
        <w:rPr>
          <w:rFonts w:asciiTheme="minorHAnsi" w:hAnsiTheme="minorHAnsi" w:cs="Calibri"/>
          <w:color w:val="000000"/>
          <w:sz w:val="22"/>
          <w:szCs w:val="22"/>
        </w:rPr>
        <w:t>, providing a national platform for sharing Florida’s successes broadly to the apprenticeship and workforce community.</w:t>
      </w:r>
    </w:p>
    <w:p w14:paraId="1471E284" w14:textId="77777777" w:rsidR="00B40E44" w:rsidRDefault="00B40E44" w:rsidP="00B40E44">
      <w:pPr>
        <w:pStyle w:val="ListParagraph"/>
        <w:spacing w:after="0"/>
        <w:rPr>
          <w:rFonts w:cs="Calibri"/>
          <w:color w:val="000000"/>
        </w:rPr>
      </w:pPr>
    </w:p>
    <w:p w14:paraId="700B9F77" w14:textId="77777777" w:rsidR="00B40E44" w:rsidRDefault="00B40E44" w:rsidP="00D63204">
      <w:pPr>
        <w:pStyle w:val="NormalWeb"/>
        <w:numPr>
          <w:ilvl w:val="0"/>
          <w:numId w:val="15"/>
        </w:numPr>
        <w:spacing w:before="0" w:beforeAutospacing="0" w:after="0" w:afterAutospacing="0"/>
        <w:rPr>
          <w:rFonts w:asciiTheme="minorHAnsi" w:hAnsiTheme="minorHAnsi" w:cs="Calibri"/>
          <w:color w:val="000000"/>
          <w:sz w:val="22"/>
          <w:szCs w:val="22"/>
        </w:rPr>
      </w:pPr>
      <w:r w:rsidRPr="0099174B">
        <w:rPr>
          <w:rFonts w:asciiTheme="minorHAnsi" w:hAnsiTheme="minorHAnsi" w:cs="Calibri"/>
          <w:color w:val="000000"/>
          <w:sz w:val="22"/>
          <w:szCs w:val="22"/>
        </w:rPr>
        <w:t xml:space="preserve">Hosting an Apprenticeship 101 cross-training webinar for Business Services Representatives </w:t>
      </w:r>
      <w:r>
        <w:rPr>
          <w:rFonts w:asciiTheme="minorHAnsi" w:hAnsiTheme="minorHAnsi" w:cs="Calibri"/>
          <w:color w:val="000000"/>
          <w:sz w:val="22"/>
          <w:szCs w:val="22"/>
        </w:rPr>
        <w:t xml:space="preserve">from </w:t>
      </w:r>
      <w:r w:rsidRPr="0099174B">
        <w:rPr>
          <w:rFonts w:asciiTheme="minorHAnsi" w:hAnsiTheme="minorHAnsi" w:cs="Calibri"/>
          <w:color w:val="000000"/>
          <w:sz w:val="22"/>
          <w:szCs w:val="22"/>
        </w:rPr>
        <w:t xml:space="preserve">all 24 local workforce development boards and Apprenticeship Training Representatives from Florida’s six Registered Apprenticeship service regions to support alignment with </w:t>
      </w:r>
      <w:r>
        <w:rPr>
          <w:rFonts w:asciiTheme="minorHAnsi" w:hAnsiTheme="minorHAnsi" w:cs="Calibri"/>
          <w:color w:val="000000"/>
          <w:sz w:val="22"/>
          <w:szCs w:val="22"/>
        </w:rPr>
        <w:t>WIOA</w:t>
      </w:r>
      <w:r w:rsidRPr="0099174B">
        <w:rPr>
          <w:rFonts w:asciiTheme="minorHAnsi" w:hAnsiTheme="minorHAnsi" w:cs="Calibri"/>
          <w:color w:val="000000"/>
          <w:sz w:val="22"/>
          <w:szCs w:val="22"/>
        </w:rPr>
        <w:t xml:space="preserve"> and apprenticeship expansion strategies.</w:t>
      </w:r>
    </w:p>
    <w:p w14:paraId="08F19D4F" w14:textId="77777777" w:rsidR="00B40E44" w:rsidRPr="0099174B" w:rsidRDefault="00B40E44" w:rsidP="00D63204">
      <w:pPr>
        <w:pStyle w:val="NormalWeb"/>
        <w:spacing w:before="0" w:beforeAutospacing="0" w:after="0" w:afterAutospacing="0"/>
        <w:ind w:left="827"/>
        <w:rPr>
          <w:rFonts w:asciiTheme="minorHAnsi" w:hAnsiTheme="minorHAnsi" w:cs="Calibri"/>
          <w:color w:val="000000"/>
          <w:sz w:val="22"/>
          <w:szCs w:val="22"/>
        </w:rPr>
      </w:pPr>
    </w:p>
    <w:p w14:paraId="382C8397" w14:textId="7B952AF0" w:rsidR="00B40E44" w:rsidRDefault="00B40E44" w:rsidP="00D63204">
      <w:pPr>
        <w:pStyle w:val="NormalWeb"/>
        <w:numPr>
          <w:ilvl w:val="0"/>
          <w:numId w:val="15"/>
        </w:numPr>
        <w:spacing w:before="0" w:beforeAutospacing="0" w:after="0" w:afterAutospacing="0"/>
        <w:rPr>
          <w:rFonts w:asciiTheme="minorHAnsi" w:hAnsiTheme="minorHAnsi" w:cs="Calibri"/>
          <w:color w:val="000000"/>
          <w:sz w:val="22"/>
          <w:szCs w:val="22"/>
        </w:rPr>
      </w:pPr>
      <w:r w:rsidRPr="00D93DFF">
        <w:rPr>
          <w:rFonts w:asciiTheme="minorHAnsi" w:hAnsiTheme="minorHAnsi" w:cs="Calibri"/>
          <w:color w:val="000000"/>
          <w:sz w:val="22"/>
          <w:szCs w:val="22"/>
        </w:rPr>
        <w:t xml:space="preserve">Engaging core partners from </w:t>
      </w:r>
      <w:r w:rsidR="008E577C">
        <w:rPr>
          <w:rFonts w:asciiTheme="minorHAnsi" w:hAnsiTheme="minorHAnsi" w:cs="Calibri"/>
          <w:color w:val="000000"/>
          <w:sz w:val="22"/>
          <w:szCs w:val="22"/>
        </w:rPr>
        <w:t>the</w:t>
      </w:r>
      <w:r w:rsidRPr="00D93DFF">
        <w:rPr>
          <w:rFonts w:asciiTheme="minorHAnsi" w:hAnsiTheme="minorHAnsi" w:cs="Calibri"/>
          <w:color w:val="000000"/>
          <w:sz w:val="22"/>
          <w:szCs w:val="22"/>
        </w:rPr>
        <w:t xml:space="preserve"> Florida Department of Education, Florida Office of Economic Opportunity, Florida Department of Vocational Rehabilitation </w:t>
      </w:r>
      <w:r>
        <w:rPr>
          <w:rFonts w:asciiTheme="minorHAnsi" w:hAnsiTheme="minorHAnsi" w:cs="Calibri"/>
          <w:color w:val="000000"/>
          <w:sz w:val="22"/>
          <w:szCs w:val="22"/>
        </w:rPr>
        <w:t>and</w:t>
      </w:r>
      <w:r w:rsidRPr="00D93DFF">
        <w:rPr>
          <w:rFonts w:asciiTheme="minorHAnsi" w:hAnsiTheme="minorHAnsi" w:cs="Calibri"/>
          <w:color w:val="000000"/>
          <w:sz w:val="22"/>
          <w:szCs w:val="22"/>
        </w:rPr>
        <w:t xml:space="preserve"> influential businesses and community leaders as </w:t>
      </w:r>
      <w:r w:rsidRPr="00D93DFF">
        <w:rPr>
          <w:rFonts w:asciiTheme="minorHAnsi" w:hAnsiTheme="minorHAnsi" w:cs="Calibri"/>
          <w:color w:val="000000"/>
          <w:sz w:val="22"/>
          <w:szCs w:val="22"/>
        </w:rPr>
        <w:lastRenderedPageBreak/>
        <w:t>members on the Governance/Policy, Business Outreach, Population Outreach and Data Sharing Apprenticeship Catalyst Workgroups.</w:t>
      </w:r>
    </w:p>
    <w:p w14:paraId="1EC111EC" w14:textId="77777777" w:rsidR="00B40E44" w:rsidRDefault="00B40E44" w:rsidP="00D63204">
      <w:pPr>
        <w:pStyle w:val="NormalWeb"/>
        <w:spacing w:before="0" w:beforeAutospacing="0" w:after="0" w:afterAutospacing="0"/>
        <w:ind w:left="827"/>
        <w:rPr>
          <w:rFonts w:asciiTheme="minorHAnsi" w:hAnsiTheme="minorHAnsi" w:cs="Calibri"/>
          <w:color w:val="000000"/>
          <w:sz w:val="22"/>
          <w:szCs w:val="22"/>
        </w:rPr>
      </w:pPr>
    </w:p>
    <w:p w14:paraId="6FD94AF2" w14:textId="2B9D1B74" w:rsidR="00B40E44" w:rsidRDefault="00B40E44" w:rsidP="00D63204">
      <w:pPr>
        <w:pStyle w:val="NormalWeb"/>
        <w:numPr>
          <w:ilvl w:val="0"/>
          <w:numId w:val="15"/>
        </w:numPr>
        <w:spacing w:before="0" w:beforeAutospacing="0" w:after="0" w:afterAutospacing="0"/>
        <w:rPr>
          <w:rFonts w:asciiTheme="minorHAnsi" w:hAnsiTheme="minorHAnsi" w:cs="Calibri"/>
          <w:color w:val="000000"/>
          <w:sz w:val="22"/>
          <w:szCs w:val="22"/>
        </w:rPr>
      </w:pPr>
      <w:r w:rsidRPr="00D93DFF">
        <w:rPr>
          <w:rFonts w:asciiTheme="minorHAnsi" w:hAnsiTheme="minorHAnsi" w:cs="Calibri"/>
          <w:color w:val="000000"/>
          <w:sz w:val="22"/>
          <w:szCs w:val="22"/>
        </w:rPr>
        <w:t xml:space="preserve">Developing customizable workforce solutions for employers and </w:t>
      </w:r>
      <w:r>
        <w:rPr>
          <w:rFonts w:asciiTheme="minorHAnsi" w:hAnsiTheme="minorHAnsi" w:cs="Calibri"/>
          <w:color w:val="000000"/>
          <w:sz w:val="22"/>
          <w:szCs w:val="22"/>
        </w:rPr>
        <w:t>job seekers</w:t>
      </w:r>
      <w:r w:rsidRPr="00D93DFF">
        <w:rPr>
          <w:rFonts w:asciiTheme="minorHAnsi" w:hAnsiTheme="minorHAnsi" w:cs="Calibri"/>
          <w:color w:val="000000"/>
          <w:sz w:val="22"/>
          <w:szCs w:val="22"/>
        </w:rPr>
        <w:t xml:space="preserve"> based up</w:t>
      </w:r>
      <w:r w:rsidR="00D256D9">
        <w:rPr>
          <w:rFonts w:asciiTheme="minorHAnsi" w:hAnsiTheme="minorHAnsi" w:cs="Calibri"/>
          <w:color w:val="000000"/>
          <w:sz w:val="22"/>
          <w:szCs w:val="22"/>
        </w:rPr>
        <w:t>on</w:t>
      </w:r>
      <w:r w:rsidRPr="00D93DFF">
        <w:rPr>
          <w:rFonts w:asciiTheme="minorHAnsi" w:hAnsiTheme="minorHAnsi" w:cs="Calibri"/>
          <w:color w:val="000000"/>
          <w:sz w:val="22"/>
          <w:szCs w:val="22"/>
        </w:rPr>
        <w:t xml:space="preserve"> recommendations from the Apprenticeship Catalyst Workgroup participants.</w:t>
      </w:r>
    </w:p>
    <w:p w14:paraId="7E1D194D" w14:textId="77777777" w:rsidR="00B40E44" w:rsidRDefault="00B40E44" w:rsidP="00D63204">
      <w:pPr>
        <w:pStyle w:val="NormalWeb"/>
        <w:spacing w:before="0" w:beforeAutospacing="0" w:after="0" w:afterAutospacing="0"/>
        <w:rPr>
          <w:rFonts w:asciiTheme="minorHAnsi" w:hAnsiTheme="minorHAnsi" w:cs="Calibri"/>
          <w:color w:val="000000"/>
          <w:sz w:val="22"/>
          <w:szCs w:val="22"/>
        </w:rPr>
      </w:pPr>
    </w:p>
    <w:p w14:paraId="3D6094AF" w14:textId="0C7B3939" w:rsidR="00B40E44" w:rsidRDefault="00B40E44" w:rsidP="00D63204">
      <w:pPr>
        <w:pStyle w:val="NormalWeb"/>
        <w:numPr>
          <w:ilvl w:val="0"/>
          <w:numId w:val="15"/>
        </w:numPr>
        <w:spacing w:before="0" w:beforeAutospacing="0" w:after="0" w:afterAutospacing="0"/>
        <w:rPr>
          <w:rFonts w:asciiTheme="minorHAnsi" w:hAnsiTheme="minorHAnsi" w:cs="Calibri"/>
          <w:color w:val="000000"/>
          <w:sz w:val="22"/>
          <w:szCs w:val="22"/>
        </w:rPr>
      </w:pPr>
      <w:r>
        <w:rPr>
          <w:rFonts w:asciiTheme="minorHAnsi" w:hAnsiTheme="minorHAnsi" w:cs="Calibri"/>
          <w:color w:val="000000"/>
          <w:sz w:val="22"/>
          <w:szCs w:val="22"/>
        </w:rPr>
        <w:t>Commissioning market research</w:t>
      </w:r>
      <w:r w:rsidR="00673C4A">
        <w:rPr>
          <w:rFonts w:asciiTheme="minorHAnsi" w:hAnsiTheme="minorHAnsi" w:cs="Calibri"/>
          <w:color w:val="000000"/>
          <w:sz w:val="22"/>
          <w:szCs w:val="22"/>
        </w:rPr>
        <w:t>,</w:t>
      </w:r>
      <w:r w:rsidR="00626CC8">
        <w:rPr>
          <w:rFonts w:asciiTheme="minorHAnsi" w:hAnsiTheme="minorHAnsi" w:cs="Calibri"/>
          <w:color w:val="000000"/>
          <w:sz w:val="22"/>
          <w:szCs w:val="22"/>
        </w:rPr>
        <w:t xml:space="preserve"> including</w:t>
      </w:r>
      <w:r w:rsidR="0034793E">
        <w:rPr>
          <w:rFonts w:asciiTheme="minorHAnsi" w:hAnsiTheme="minorHAnsi" w:cs="Calibri"/>
          <w:color w:val="000000"/>
          <w:sz w:val="22"/>
          <w:szCs w:val="22"/>
        </w:rPr>
        <w:t xml:space="preserve"> surveys of businesses</w:t>
      </w:r>
      <w:r>
        <w:rPr>
          <w:rFonts w:asciiTheme="minorHAnsi" w:hAnsiTheme="minorHAnsi" w:cs="Calibri"/>
          <w:color w:val="000000"/>
          <w:sz w:val="22"/>
          <w:szCs w:val="22"/>
        </w:rPr>
        <w:t xml:space="preserve"> and </w:t>
      </w:r>
      <w:r w:rsidR="0034793E">
        <w:rPr>
          <w:rFonts w:asciiTheme="minorHAnsi" w:hAnsiTheme="minorHAnsi" w:cs="Calibri"/>
          <w:color w:val="000000"/>
          <w:sz w:val="22"/>
          <w:szCs w:val="22"/>
        </w:rPr>
        <w:t xml:space="preserve">current apprentices, </w:t>
      </w:r>
      <w:r w:rsidR="002E4AA1">
        <w:rPr>
          <w:rFonts w:asciiTheme="minorHAnsi" w:hAnsiTheme="minorHAnsi" w:cs="Calibri"/>
          <w:color w:val="000000"/>
          <w:sz w:val="22"/>
          <w:szCs w:val="22"/>
        </w:rPr>
        <w:t>of</w:t>
      </w:r>
      <w:r>
        <w:rPr>
          <w:rFonts w:asciiTheme="minorHAnsi" w:hAnsiTheme="minorHAnsi" w:cs="Calibri"/>
          <w:color w:val="000000"/>
          <w:sz w:val="22"/>
          <w:szCs w:val="22"/>
        </w:rPr>
        <w:t xml:space="preserve"> perceptions about Registered Apprenticeship to </w:t>
      </w:r>
      <w:r w:rsidR="00D97EEA">
        <w:rPr>
          <w:rFonts w:asciiTheme="minorHAnsi" w:hAnsiTheme="minorHAnsi" w:cs="Calibri"/>
          <w:color w:val="000000"/>
          <w:sz w:val="22"/>
          <w:szCs w:val="22"/>
        </w:rPr>
        <w:t>implement</w:t>
      </w:r>
      <w:r w:rsidR="004E61B2">
        <w:rPr>
          <w:rFonts w:asciiTheme="minorHAnsi" w:hAnsiTheme="minorHAnsi" w:cs="Calibri"/>
          <w:color w:val="000000"/>
          <w:sz w:val="22"/>
          <w:szCs w:val="22"/>
        </w:rPr>
        <w:t xml:space="preserve"> effective outreach</w:t>
      </w:r>
      <w:r>
        <w:rPr>
          <w:rFonts w:asciiTheme="minorHAnsi" w:hAnsiTheme="minorHAnsi" w:cs="Calibri"/>
          <w:color w:val="000000"/>
          <w:sz w:val="22"/>
          <w:szCs w:val="22"/>
        </w:rPr>
        <w:t xml:space="preserve"> and communication strategies </w:t>
      </w:r>
      <w:r w:rsidR="00FD1FC5">
        <w:rPr>
          <w:rFonts w:asciiTheme="minorHAnsi" w:hAnsiTheme="minorHAnsi" w:cs="Calibri"/>
          <w:color w:val="000000"/>
          <w:sz w:val="22"/>
          <w:szCs w:val="22"/>
        </w:rPr>
        <w:t>to raise awareness of and interest in</w:t>
      </w:r>
      <w:r>
        <w:rPr>
          <w:rFonts w:asciiTheme="minorHAnsi" w:hAnsiTheme="minorHAnsi" w:cs="Calibri"/>
          <w:color w:val="000000"/>
          <w:sz w:val="22"/>
          <w:szCs w:val="22"/>
        </w:rPr>
        <w:t xml:space="preserve"> this career pathway opportunity. </w:t>
      </w:r>
    </w:p>
    <w:p w14:paraId="3D34E533" w14:textId="77777777" w:rsidR="00B40E44" w:rsidRDefault="00B40E44" w:rsidP="00D63204">
      <w:pPr>
        <w:pStyle w:val="NormalWeb"/>
        <w:spacing w:before="0" w:beforeAutospacing="0" w:after="0" w:afterAutospacing="0"/>
        <w:ind w:left="827"/>
        <w:rPr>
          <w:rFonts w:asciiTheme="minorHAnsi" w:hAnsiTheme="minorHAnsi" w:cs="Calibri"/>
          <w:color w:val="000000"/>
          <w:sz w:val="22"/>
          <w:szCs w:val="22"/>
        </w:rPr>
      </w:pPr>
    </w:p>
    <w:p w14:paraId="3149B763" w14:textId="77777777" w:rsidR="00B40E44" w:rsidRDefault="00B40E44" w:rsidP="00D63204">
      <w:pPr>
        <w:pStyle w:val="NormalWeb"/>
        <w:numPr>
          <w:ilvl w:val="0"/>
          <w:numId w:val="15"/>
        </w:numPr>
        <w:spacing w:before="0" w:beforeAutospacing="0" w:after="0" w:afterAutospacing="0"/>
        <w:rPr>
          <w:rFonts w:asciiTheme="minorHAnsi" w:hAnsiTheme="minorHAnsi" w:cs="Calibri"/>
          <w:color w:val="000000"/>
          <w:sz w:val="22"/>
          <w:szCs w:val="22"/>
        </w:rPr>
      </w:pPr>
      <w:r w:rsidRPr="00D93DFF">
        <w:rPr>
          <w:rFonts w:asciiTheme="minorHAnsi" w:hAnsiTheme="minorHAnsi" w:cs="Calibri"/>
          <w:color w:val="000000"/>
          <w:sz w:val="22"/>
          <w:szCs w:val="22"/>
        </w:rPr>
        <w:t>CareerSource South Florida and Miami-Dade County Public Schools have formed a specialized, collaborative partnership to deliver 12 Miami Dade Youth Pre-Apprenticeship Career and Technical Training Programs in four Miami-Dade County Public Schools: Coral Gables Senior High School, Miami Carol City Senior High, Miami Edison Senior High School and Homestead Senior High School.</w:t>
      </w:r>
    </w:p>
    <w:p w14:paraId="740D0CFB" w14:textId="77777777" w:rsidR="00B40E44" w:rsidRDefault="00B40E44" w:rsidP="00D63204">
      <w:pPr>
        <w:pStyle w:val="NormalWeb"/>
        <w:spacing w:before="0" w:beforeAutospacing="0" w:after="0" w:afterAutospacing="0"/>
        <w:ind w:left="827"/>
        <w:rPr>
          <w:rFonts w:asciiTheme="minorHAnsi" w:hAnsiTheme="minorHAnsi" w:cs="Calibri"/>
          <w:color w:val="000000"/>
          <w:sz w:val="22"/>
          <w:szCs w:val="22"/>
        </w:rPr>
      </w:pPr>
    </w:p>
    <w:p w14:paraId="33B7E5FB" w14:textId="77777777" w:rsidR="00B40E44" w:rsidRDefault="00B40E44" w:rsidP="00D63204">
      <w:pPr>
        <w:pStyle w:val="NormalWeb"/>
        <w:numPr>
          <w:ilvl w:val="1"/>
          <w:numId w:val="15"/>
        </w:numPr>
        <w:spacing w:before="0" w:beforeAutospacing="0" w:after="0" w:afterAutospacing="0"/>
        <w:rPr>
          <w:rFonts w:asciiTheme="minorHAnsi" w:hAnsiTheme="minorHAnsi" w:cs="Calibri"/>
          <w:color w:val="000000"/>
          <w:sz w:val="22"/>
          <w:szCs w:val="22"/>
        </w:rPr>
      </w:pPr>
      <w:r w:rsidRPr="00D93DFF">
        <w:rPr>
          <w:rFonts w:asciiTheme="minorHAnsi" w:hAnsiTheme="minorHAnsi" w:cs="Calibri"/>
          <w:color w:val="000000"/>
          <w:sz w:val="22"/>
          <w:szCs w:val="22"/>
        </w:rPr>
        <w:t>During a 23-month period, pre-apprentices will be exposed to trades with employment gaps such as bricklayer, carpentry, heating and air conditioning as well as elevator constructor and electricians, followed by unique career pathways to employment after completion.</w:t>
      </w:r>
    </w:p>
    <w:p w14:paraId="30FE9E22" w14:textId="77777777" w:rsidR="00B40E44" w:rsidRDefault="00B40E44" w:rsidP="00D63204">
      <w:pPr>
        <w:pStyle w:val="NormalWeb"/>
        <w:spacing w:before="0" w:beforeAutospacing="0" w:after="0" w:afterAutospacing="0"/>
        <w:ind w:left="827"/>
        <w:rPr>
          <w:rFonts w:asciiTheme="minorHAnsi" w:hAnsiTheme="minorHAnsi" w:cs="Calibri"/>
          <w:color w:val="000000"/>
          <w:sz w:val="22"/>
          <w:szCs w:val="22"/>
        </w:rPr>
      </w:pPr>
    </w:p>
    <w:p w14:paraId="330550EC" w14:textId="77777777" w:rsidR="00B40E44" w:rsidRDefault="00B40E44" w:rsidP="00D63204">
      <w:pPr>
        <w:pStyle w:val="NormalWeb"/>
        <w:numPr>
          <w:ilvl w:val="0"/>
          <w:numId w:val="15"/>
        </w:numPr>
        <w:spacing w:before="0" w:beforeAutospacing="0" w:after="0" w:afterAutospacing="0"/>
        <w:rPr>
          <w:rFonts w:asciiTheme="minorHAnsi" w:hAnsiTheme="minorHAnsi" w:cs="Calibri"/>
          <w:color w:val="000000"/>
          <w:sz w:val="22"/>
          <w:szCs w:val="22"/>
        </w:rPr>
      </w:pPr>
      <w:r w:rsidRPr="00D93DFF">
        <w:rPr>
          <w:rFonts w:asciiTheme="minorHAnsi" w:hAnsiTheme="minorHAnsi" w:cs="Calibri"/>
          <w:color w:val="000000"/>
          <w:sz w:val="22"/>
          <w:szCs w:val="22"/>
        </w:rPr>
        <w:t>CareerSource Suncoast is partnering with the national nonprofit organization Jobs for the Future to become an intermediary Registered Apprenticeship sponsor within the advanced manufacturing industry.</w:t>
      </w:r>
    </w:p>
    <w:p w14:paraId="6DFE4E04" w14:textId="77777777" w:rsidR="00B40E44" w:rsidRDefault="00B40E44" w:rsidP="00D63204">
      <w:pPr>
        <w:pStyle w:val="NormalWeb"/>
        <w:spacing w:before="0" w:beforeAutospacing="0" w:after="0" w:afterAutospacing="0"/>
        <w:ind w:left="827"/>
        <w:rPr>
          <w:rFonts w:asciiTheme="minorHAnsi" w:hAnsiTheme="minorHAnsi" w:cs="Calibri"/>
          <w:color w:val="000000"/>
          <w:sz w:val="22"/>
          <w:szCs w:val="22"/>
        </w:rPr>
      </w:pPr>
    </w:p>
    <w:p w14:paraId="5003D8F4" w14:textId="77777777" w:rsidR="00B40E44" w:rsidRDefault="00B40E44" w:rsidP="00D63204">
      <w:pPr>
        <w:pStyle w:val="NormalWeb"/>
        <w:numPr>
          <w:ilvl w:val="0"/>
          <w:numId w:val="15"/>
        </w:numPr>
        <w:spacing w:before="0" w:beforeAutospacing="0" w:after="0" w:afterAutospacing="0"/>
        <w:rPr>
          <w:rFonts w:asciiTheme="minorHAnsi" w:hAnsiTheme="minorHAnsi" w:cs="Calibri"/>
          <w:color w:val="000000"/>
          <w:sz w:val="22"/>
          <w:szCs w:val="22"/>
        </w:rPr>
      </w:pPr>
      <w:r w:rsidRPr="00D93DFF">
        <w:rPr>
          <w:rFonts w:asciiTheme="minorHAnsi" w:hAnsiTheme="minorHAnsi" w:cs="Calibri"/>
          <w:color w:val="000000"/>
          <w:sz w:val="22"/>
          <w:szCs w:val="22"/>
        </w:rPr>
        <w:t>CareerSource Tampa Bay offers prevocational training programs in the construction and welding trades for both youth and adults. Successful participants are referred to local construction employers and apprenticeship programs for direct hire, apprenticeship program hires, paid work experience or on-the-job training opportunities.</w:t>
      </w:r>
    </w:p>
    <w:p w14:paraId="3EA6D8E4" w14:textId="77777777" w:rsidR="00B40E44" w:rsidRDefault="00B40E44" w:rsidP="00D63204">
      <w:pPr>
        <w:pStyle w:val="NormalWeb"/>
        <w:spacing w:before="0" w:beforeAutospacing="0" w:after="0" w:afterAutospacing="0"/>
        <w:ind w:left="827"/>
        <w:rPr>
          <w:rFonts w:asciiTheme="minorHAnsi" w:hAnsiTheme="minorHAnsi" w:cs="Calibri"/>
          <w:color w:val="000000"/>
          <w:sz w:val="22"/>
          <w:szCs w:val="22"/>
        </w:rPr>
      </w:pPr>
    </w:p>
    <w:p w14:paraId="21DB6AE9" w14:textId="06B99B62" w:rsidR="00B40E44" w:rsidRPr="00CD1C1C" w:rsidRDefault="002B337E" w:rsidP="00D63204">
      <w:pPr>
        <w:pStyle w:val="NormalWeb"/>
        <w:numPr>
          <w:ilvl w:val="0"/>
          <w:numId w:val="15"/>
        </w:numPr>
        <w:spacing w:before="0" w:beforeAutospacing="0"/>
        <w:rPr>
          <w:rFonts w:asciiTheme="minorHAnsi" w:hAnsiTheme="minorHAnsi" w:cs="Calibri"/>
          <w:color w:val="000000"/>
          <w:sz w:val="22"/>
          <w:szCs w:val="22"/>
        </w:rPr>
      </w:pPr>
      <w:r>
        <w:rPr>
          <w:rFonts w:asciiTheme="minorHAnsi" w:hAnsiTheme="minorHAnsi" w:cs="Calibri"/>
          <w:color w:val="000000"/>
          <w:sz w:val="22"/>
          <w:szCs w:val="22"/>
        </w:rPr>
        <w:t>CareerSource Florida and its grant partners are h</w:t>
      </w:r>
      <w:r w:rsidR="00B40E44" w:rsidRPr="00CD1C1C">
        <w:rPr>
          <w:rFonts w:asciiTheme="minorHAnsi" w:hAnsiTheme="minorHAnsi" w:cs="Calibri"/>
          <w:color w:val="000000"/>
          <w:sz w:val="22"/>
          <w:szCs w:val="22"/>
        </w:rPr>
        <w:t>osting an Apprenticeship/Career Pathways Summit in June 2018 to showcase best practices for integrating registered apprenticeships and career pathways as part of a seamless talent pipeline.</w:t>
      </w:r>
    </w:p>
    <w:p w14:paraId="44EB1F62" w14:textId="6588F3FC" w:rsidR="00D64EA1" w:rsidRDefault="000E24B8" w:rsidP="00D63204">
      <w:pPr>
        <w:spacing w:line="240" w:lineRule="auto"/>
        <w:ind w:left="107"/>
        <w:rPr>
          <w:rFonts w:cs="Calibri"/>
        </w:rPr>
      </w:pPr>
      <w:r>
        <w:rPr>
          <w:rFonts w:cs="Calibri"/>
        </w:rPr>
        <w:t>Apprenticeship is one type</w:t>
      </w:r>
      <w:r w:rsidR="00D64EA1" w:rsidRPr="007B0D02">
        <w:rPr>
          <w:rFonts w:cs="Calibri"/>
        </w:rPr>
        <w:t xml:space="preserve"> of career </w:t>
      </w:r>
      <w:r>
        <w:rPr>
          <w:rFonts w:cs="Calibri"/>
        </w:rPr>
        <w:t>pathway.</w:t>
      </w:r>
      <w:r w:rsidR="00D64EA1" w:rsidRPr="007B0D02">
        <w:rPr>
          <w:rFonts w:cs="Calibri"/>
        </w:rPr>
        <w:t xml:space="preserve"> With sector strategies being the primary approach </w:t>
      </w:r>
      <w:r w:rsidR="00172BB6">
        <w:rPr>
          <w:rFonts w:cs="Calibri"/>
        </w:rPr>
        <w:t xml:space="preserve">of Florida’s workforce system </w:t>
      </w:r>
      <w:r w:rsidR="00D64EA1" w:rsidRPr="007B0D02">
        <w:rPr>
          <w:rFonts w:cs="Calibri"/>
        </w:rPr>
        <w:t xml:space="preserve">for meeting </w:t>
      </w:r>
      <w:r w:rsidR="00D64EA1" w:rsidRPr="001E0163">
        <w:rPr>
          <w:rFonts w:cs="Calibri"/>
          <w:i/>
        </w:rPr>
        <w:t>employer</w:t>
      </w:r>
      <w:r w:rsidR="00D64EA1" w:rsidRPr="007B0D02">
        <w:rPr>
          <w:rFonts w:cs="Calibri"/>
        </w:rPr>
        <w:t xml:space="preserve"> needs, it is essential for career pathways to </w:t>
      </w:r>
      <w:r w:rsidR="00D64EA1">
        <w:rPr>
          <w:rFonts w:cs="Calibri"/>
        </w:rPr>
        <w:t xml:space="preserve">be </w:t>
      </w:r>
      <w:r w:rsidR="00D64EA1" w:rsidRPr="007B0D02">
        <w:rPr>
          <w:rFonts w:cs="Calibri"/>
        </w:rPr>
        <w:t xml:space="preserve">defined and built for </w:t>
      </w:r>
      <w:r w:rsidR="00D64EA1" w:rsidRPr="00172BB6">
        <w:rPr>
          <w:rFonts w:cs="Calibri"/>
          <w:i/>
        </w:rPr>
        <w:t>workers</w:t>
      </w:r>
      <w:r w:rsidR="00D64EA1" w:rsidRPr="007B0D02">
        <w:rPr>
          <w:rFonts w:cs="Calibri"/>
        </w:rPr>
        <w:t xml:space="preserve"> simultaneously</w:t>
      </w:r>
      <w:r w:rsidR="005E7C49">
        <w:rPr>
          <w:rFonts w:cs="Calibri"/>
        </w:rPr>
        <w:t xml:space="preserve">. </w:t>
      </w:r>
      <w:r w:rsidR="00D64EA1">
        <w:rPr>
          <w:rFonts w:cs="Calibri"/>
        </w:rPr>
        <w:t xml:space="preserve">Career pathways enable individuals to secure employment within a specific industry or occupational sector and advance over time to successively higher levels of education or employment in that sector. </w:t>
      </w:r>
    </w:p>
    <w:p w14:paraId="3D2D7FB1" w14:textId="4E69C46A" w:rsidR="00D64EA1" w:rsidRDefault="00D64EA1" w:rsidP="00D63204">
      <w:pPr>
        <w:ind w:left="107"/>
        <w:rPr>
          <w:rFonts w:cs="Calibri"/>
        </w:rPr>
      </w:pPr>
      <w:r w:rsidRPr="005945D9">
        <w:rPr>
          <w:rFonts w:cs="Calibri"/>
        </w:rPr>
        <w:t xml:space="preserve">In support of career pathways development, </w:t>
      </w:r>
      <w:r w:rsidR="00A41CA3" w:rsidRPr="005945D9">
        <w:rPr>
          <w:rFonts w:cs="Calibri"/>
        </w:rPr>
        <w:t xml:space="preserve">CareerSource Florida is </w:t>
      </w:r>
      <w:r w:rsidR="00781706" w:rsidRPr="005945D9">
        <w:rPr>
          <w:rFonts w:cs="Calibri"/>
        </w:rPr>
        <w:t xml:space="preserve">directing </w:t>
      </w:r>
      <w:r w:rsidR="00A41CA3" w:rsidRPr="005945D9">
        <w:rPr>
          <w:rFonts w:cs="Calibri"/>
        </w:rPr>
        <w:t>develop</w:t>
      </w:r>
      <w:r w:rsidR="00781706" w:rsidRPr="005945D9">
        <w:rPr>
          <w:rFonts w:cs="Calibri"/>
        </w:rPr>
        <w:t>ment of</w:t>
      </w:r>
      <w:r w:rsidR="00A41CA3" w:rsidRPr="005945D9">
        <w:rPr>
          <w:rFonts w:cs="Calibri"/>
        </w:rPr>
        <w:t xml:space="preserve"> </w:t>
      </w:r>
      <w:r w:rsidRPr="005945D9">
        <w:rPr>
          <w:rFonts w:cs="Calibri"/>
        </w:rPr>
        <w:t xml:space="preserve">career pathways-focused </w:t>
      </w:r>
      <w:r w:rsidR="005945D9" w:rsidRPr="005945D9">
        <w:rPr>
          <w:rFonts w:cs="Calibri"/>
        </w:rPr>
        <w:t>resources</w:t>
      </w:r>
      <w:r w:rsidR="000F17C2" w:rsidRPr="005945D9">
        <w:rPr>
          <w:rFonts w:cs="Calibri"/>
        </w:rPr>
        <w:t xml:space="preserve"> and tools</w:t>
      </w:r>
      <w:r w:rsidRPr="005945D9">
        <w:rPr>
          <w:rFonts w:cs="Calibri"/>
        </w:rPr>
        <w:t>. The</w:t>
      </w:r>
      <w:r w:rsidRPr="007B0D02">
        <w:rPr>
          <w:rFonts w:cs="Calibri"/>
        </w:rPr>
        <w:t xml:space="preserve"> objectives</w:t>
      </w:r>
      <w:r w:rsidR="000F17C2">
        <w:rPr>
          <w:rFonts w:cs="Calibri"/>
        </w:rPr>
        <w:t xml:space="preserve"> </w:t>
      </w:r>
      <w:r w:rsidRPr="007B0D02">
        <w:rPr>
          <w:rFonts w:cs="Calibri"/>
        </w:rPr>
        <w:t xml:space="preserve">are to: </w:t>
      </w:r>
    </w:p>
    <w:p w14:paraId="288B0246" w14:textId="77777777" w:rsidR="00D64EA1" w:rsidRPr="0099174B" w:rsidRDefault="00D64EA1" w:rsidP="00D63204">
      <w:pPr>
        <w:pStyle w:val="ListParagraph"/>
        <w:numPr>
          <w:ilvl w:val="0"/>
          <w:numId w:val="172"/>
        </w:numPr>
        <w:spacing w:after="0" w:line="240" w:lineRule="auto"/>
        <w:rPr>
          <w:rFonts w:cs="Calibri"/>
        </w:rPr>
      </w:pPr>
      <w:r w:rsidRPr="0099174B">
        <w:rPr>
          <w:rFonts w:cs="Calibri"/>
        </w:rPr>
        <w:t xml:space="preserve">Describe the process to create career pathways and showcase examples of successful demand-driven models; </w:t>
      </w:r>
    </w:p>
    <w:p w14:paraId="2136E94A" w14:textId="567D8603" w:rsidR="00D64EA1" w:rsidRPr="00D64EA1" w:rsidRDefault="00D64EA1" w:rsidP="00D63204">
      <w:pPr>
        <w:pStyle w:val="ListParagraph"/>
        <w:numPr>
          <w:ilvl w:val="0"/>
          <w:numId w:val="172"/>
        </w:numPr>
        <w:spacing w:after="0" w:line="240" w:lineRule="auto"/>
        <w:rPr>
          <w:rFonts w:cs="Calibri"/>
        </w:rPr>
      </w:pPr>
      <w:r w:rsidRPr="00D64EA1">
        <w:rPr>
          <w:rFonts w:cs="Calibri"/>
        </w:rPr>
        <w:t xml:space="preserve">Illustrate how pre-apprenticeship and Registered Apprenticeship can/should be incorporated into career pathways efforts; and </w:t>
      </w:r>
    </w:p>
    <w:p w14:paraId="6215263F" w14:textId="77777777" w:rsidR="00D64EA1" w:rsidRPr="0099174B" w:rsidRDefault="00D64EA1" w:rsidP="00D63204">
      <w:pPr>
        <w:pStyle w:val="ListParagraph"/>
        <w:numPr>
          <w:ilvl w:val="0"/>
          <w:numId w:val="172"/>
        </w:numPr>
        <w:spacing w:after="0" w:line="240" w:lineRule="auto"/>
        <w:rPr>
          <w:rFonts w:cs="Calibri"/>
        </w:rPr>
      </w:pPr>
      <w:r w:rsidRPr="0099174B">
        <w:rPr>
          <w:rFonts w:cs="Calibri"/>
        </w:rPr>
        <w:t>Through discussion, identify existing and emerging career pathways efforts and explore opportunities to align and integrate regional pathways plans, activities</w:t>
      </w:r>
      <w:r w:rsidR="00D5537E">
        <w:rPr>
          <w:rFonts w:cs="Calibri"/>
        </w:rPr>
        <w:t xml:space="preserve"> and</w:t>
      </w:r>
      <w:r w:rsidRPr="0099174B">
        <w:rPr>
          <w:rFonts w:cs="Calibri"/>
        </w:rPr>
        <w:t xml:space="preserve"> resource investments. </w:t>
      </w:r>
    </w:p>
    <w:p w14:paraId="3975C2E2" w14:textId="77777777" w:rsidR="00D64EA1" w:rsidRPr="007B0D02" w:rsidRDefault="00D64EA1" w:rsidP="00D63204">
      <w:pPr>
        <w:spacing w:after="0" w:line="240" w:lineRule="auto"/>
        <w:ind w:left="101"/>
        <w:rPr>
          <w:rFonts w:cs="Calibri"/>
        </w:rPr>
      </w:pPr>
    </w:p>
    <w:p w14:paraId="10754EDC" w14:textId="122AD61D" w:rsidR="00D64EA1" w:rsidRDefault="000F17C2" w:rsidP="00D63204">
      <w:pPr>
        <w:spacing w:after="0" w:line="240" w:lineRule="auto"/>
        <w:ind w:left="101"/>
        <w:rPr>
          <w:rFonts w:cs="Calibri"/>
        </w:rPr>
      </w:pPr>
      <w:r>
        <w:rPr>
          <w:rFonts w:cs="Calibri"/>
        </w:rPr>
        <w:lastRenderedPageBreak/>
        <w:t>Partner</w:t>
      </w:r>
      <w:r w:rsidR="00D64EA1" w:rsidRPr="007B0D02">
        <w:rPr>
          <w:rFonts w:cs="Calibri"/>
        </w:rPr>
        <w:t xml:space="preserve">s </w:t>
      </w:r>
      <w:r w:rsidR="00780531">
        <w:rPr>
          <w:rFonts w:cs="Calibri"/>
        </w:rPr>
        <w:t xml:space="preserve">in the development of these </w:t>
      </w:r>
      <w:r w:rsidR="005945D9">
        <w:rPr>
          <w:rFonts w:cs="Calibri"/>
        </w:rPr>
        <w:t xml:space="preserve">resources </w:t>
      </w:r>
      <w:r w:rsidR="00780531">
        <w:rPr>
          <w:rFonts w:cs="Calibri"/>
        </w:rPr>
        <w:t xml:space="preserve">tools </w:t>
      </w:r>
      <w:r w:rsidR="00D64EA1" w:rsidRPr="007B0D02">
        <w:rPr>
          <w:rFonts w:cs="Calibri"/>
        </w:rPr>
        <w:t>will include regional thought leaders and champions representing workforce development (including all WIOA partners), K-16+ education, economic development, community-based providers</w:t>
      </w:r>
      <w:r w:rsidR="00D5537E">
        <w:rPr>
          <w:rFonts w:cs="Calibri"/>
        </w:rPr>
        <w:t xml:space="preserve"> and</w:t>
      </w:r>
      <w:r w:rsidR="00D64EA1" w:rsidRPr="007B0D02">
        <w:rPr>
          <w:rFonts w:cs="Calibri"/>
        </w:rPr>
        <w:t xml:space="preserve"> others</w:t>
      </w:r>
      <w:r w:rsidR="005E7C49">
        <w:rPr>
          <w:rFonts w:cs="Calibri"/>
        </w:rPr>
        <w:t xml:space="preserve">. </w:t>
      </w:r>
    </w:p>
    <w:p w14:paraId="6EC63DEA" w14:textId="77777777" w:rsidR="00081963" w:rsidRDefault="00081963" w:rsidP="00D63204">
      <w:pPr>
        <w:spacing w:after="0" w:line="240" w:lineRule="auto"/>
        <w:ind w:left="101"/>
        <w:rPr>
          <w:rFonts w:cs="Calibri"/>
        </w:rPr>
      </w:pPr>
    </w:p>
    <w:p w14:paraId="67895375" w14:textId="12650BD3" w:rsidR="009F33CC" w:rsidRPr="007B0D02" w:rsidRDefault="009F33CC" w:rsidP="00D63204">
      <w:pPr>
        <w:spacing w:after="0" w:line="240" w:lineRule="auto"/>
        <w:ind w:left="101"/>
        <w:rPr>
          <w:rFonts w:cs="Calibri"/>
        </w:rPr>
      </w:pPr>
      <w:r w:rsidRPr="005F1296">
        <w:rPr>
          <w:rFonts w:cs="Calibri"/>
        </w:rPr>
        <w:t xml:space="preserve">Based on enhanced capacity at the state level to support local and regional implementation of sector strategies, a strategic policy was developed in 2017 by CareerSource Florida and approved by the state board in February 2018. The policy lays out the state of Florida’s strategic vision for effective sector strategies based on </w:t>
      </w:r>
      <w:r w:rsidR="00F14B90">
        <w:rPr>
          <w:rFonts w:cs="Calibri"/>
        </w:rPr>
        <w:t>a</w:t>
      </w:r>
      <w:r w:rsidRPr="005F1296">
        <w:rPr>
          <w:rFonts w:cs="Calibri"/>
        </w:rPr>
        <w:t xml:space="preserve"> strategic framework and applies it to CareerSource Florida and all 24 local workforce development boards. It requires local workforce development boards to include their approach to establishing, implementing and sustaining effective sector strategies in their local workforce development plans. The Florida Department of Economic Opportunity will follow with administrative guidance.</w:t>
      </w:r>
    </w:p>
    <w:p w14:paraId="6502D98D" w14:textId="77777777" w:rsidR="001C3B03" w:rsidRPr="007B0D02" w:rsidRDefault="001C3B03" w:rsidP="00D63204">
      <w:pPr>
        <w:spacing w:after="0" w:line="240" w:lineRule="auto"/>
        <w:ind w:left="101"/>
        <w:rPr>
          <w:rFonts w:cs="Calibri"/>
        </w:rPr>
      </w:pPr>
    </w:p>
    <w:p w14:paraId="72B614ED" w14:textId="6863DD45" w:rsidR="0008388C" w:rsidRPr="0008388C" w:rsidRDefault="0008388C" w:rsidP="00D63204">
      <w:pPr>
        <w:widowControl w:val="0"/>
        <w:spacing w:after="0" w:line="264" w:lineRule="exact"/>
        <w:ind w:left="107"/>
        <w:rPr>
          <w:rFonts w:ascii="Calibri" w:hAnsi="Calibri"/>
        </w:rPr>
      </w:pPr>
      <w:bookmarkStart w:id="59" w:name="_Hlk505686839"/>
      <w:bookmarkStart w:id="60" w:name="_Hlk500236711"/>
      <w:r w:rsidRPr="0008388C">
        <w:rPr>
          <w:rFonts w:ascii="Calibri" w:hAnsi="Calibri"/>
          <w:b/>
          <w:bCs/>
          <w:color w:val="231F20"/>
          <w:w w:val="110"/>
        </w:rPr>
        <w:t>Enhancing</w:t>
      </w:r>
      <w:r w:rsidRPr="0008388C">
        <w:rPr>
          <w:rFonts w:ascii="Calibri" w:hAnsi="Calibri"/>
          <w:b/>
          <w:bCs/>
          <w:color w:val="231F20"/>
          <w:spacing w:val="-24"/>
          <w:w w:val="110"/>
        </w:rPr>
        <w:t xml:space="preserve"> </w:t>
      </w:r>
      <w:r w:rsidRPr="0008388C">
        <w:rPr>
          <w:rFonts w:ascii="Calibri" w:hAnsi="Calibri"/>
          <w:b/>
          <w:bCs/>
          <w:color w:val="231F20"/>
          <w:w w:val="110"/>
        </w:rPr>
        <w:t>Performance</w:t>
      </w:r>
      <w:r w:rsidRPr="0008388C">
        <w:rPr>
          <w:rFonts w:ascii="Calibri" w:hAnsi="Calibri"/>
          <w:b/>
          <w:bCs/>
          <w:color w:val="231F20"/>
          <w:spacing w:val="-24"/>
          <w:w w:val="110"/>
        </w:rPr>
        <w:t xml:space="preserve"> </w:t>
      </w:r>
      <w:r w:rsidRPr="0008388C">
        <w:rPr>
          <w:rFonts w:ascii="Calibri" w:hAnsi="Calibri"/>
          <w:b/>
          <w:bCs/>
          <w:color w:val="231F20"/>
          <w:w w:val="110"/>
        </w:rPr>
        <w:t>Measurement</w:t>
      </w:r>
    </w:p>
    <w:bookmarkEnd w:id="59"/>
    <w:p w14:paraId="44DC30D0" w14:textId="77777777" w:rsidR="004905A9" w:rsidRDefault="004905A9" w:rsidP="00D63204">
      <w:pPr>
        <w:widowControl w:val="0"/>
        <w:spacing w:before="2" w:after="0" w:line="235" w:lineRule="auto"/>
        <w:ind w:left="107"/>
        <w:rPr>
          <w:rFonts w:ascii="Calibri" w:hAnsi="Calibri"/>
          <w:color w:val="231F20"/>
          <w:w w:val="105"/>
        </w:rPr>
      </w:pPr>
    </w:p>
    <w:p w14:paraId="4E4DCC58" w14:textId="08104C72" w:rsidR="0008388C" w:rsidRPr="0008388C" w:rsidRDefault="0008388C" w:rsidP="00D63204">
      <w:pPr>
        <w:widowControl w:val="0"/>
        <w:spacing w:before="2" w:after="0" w:line="235" w:lineRule="auto"/>
        <w:ind w:left="107"/>
        <w:rPr>
          <w:rFonts w:ascii="Calibri" w:hAnsi="Calibri"/>
          <w:color w:val="231F20"/>
          <w:w w:val="105"/>
        </w:rPr>
      </w:pPr>
      <w:r w:rsidRPr="0008388C">
        <w:rPr>
          <w:rFonts w:ascii="Calibri" w:hAnsi="Calibri"/>
          <w:color w:val="231F20"/>
          <w:w w:val="105"/>
        </w:rPr>
        <w:t>Through a collaborative statewide process, CareerSource Florida and the Florida Department of Economic Opportunity designed and developed a data-driven, outcome-based Performance Funding Model (PFM) for the CareerSource Florida network. The PFM helps drive performance by measuring CareerSource Florida local workforce development boards on customized, agreed-upon goals, reflecting Florida-emphasized workforce development priorities. The PFM is designed to help the CareerSource Florida network identify, measure and replicate success to better anticipate and address the employment and training needs of businesses and job seekers statewide.</w:t>
      </w:r>
    </w:p>
    <w:p w14:paraId="19A53CBD" w14:textId="77777777" w:rsidR="0008388C" w:rsidRPr="0008388C" w:rsidRDefault="0008388C" w:rsidP="00D63204">
      <w:pPr>
        <w:widowControl w:val="0"/>
        <w:spacing w:before="2" w:after="0" w:line="235" w:lineRule="auto"/>
        <w:ind w:left="107"/>
        <w:rPr>
          <w:rFonts w:ascii="Calibri" w:hAnsi="Calibri"/>
          <w:color w:val="231F20"/>
          <w:w w:val="105"/>
        </w:rPr>
      </w:pPr>
    </w:p>
    <w:p w14:paraId="7317E04B" w14:textId="3FB804BA" w:rsidR="0008388C" w:rsidRPr="0008388C" w:rsidRDefault="0008388C" w:rsidP="00D63204">
      <w:pPr>
        <w:widowControl w:val="0"/>
        <w:spacing w:before="2" w:after="0" w:line="235" w:lineRule="auto"/>
        <w:ind w:left="107"/>
        <w:rPr>
          <w:rFonts w:ascii="Calibri" w:hAnsi="Calibri"/>
          <w:color w:val="231F20"/>
          <w:w w:val="105"/>
        </w:rPr>
      </w:pPr>
      <w:r w:rsidRPr="0008388C">
        <w:rPr>
          <w:rFonts w:ascii="Calibri" w:hAnsi="Calibri"/>
          <w:color w:val="231F20"/>
          <w:w w:val="105"/>
        </w:rPr>
        <w:t xml:space="preserve">The PFM and its website, which launched in May 2017 at </w:t>
      </w:r>
      <w:hyperlink r:id="rId99" w:history="1">
        <w:r w:rsidRPr="0008388C">
          <w:rPr>
            <w:rStyle w:val="Hyperlink"/>
            <w:rFonts w:ascii="Calibri" w:hAnsi="Calibri"/>
            <w:w w:val="105"/>
          </w:rPr>
          <w:t>pfm.careersourceflorida.com</w:t>
        </w:r>
      </w:hyperlink>
      <w:r w:rsidRPr="0008388C">
        <w:rPr>
          <w:rFonts w:ascii="Calibri" w:hAnsi="Calibri"/>
          <w:color w:val="231F20"/>
          <w:w w:val="105"/>
        </w:rPr>
        <w:t>, deliver meaningful performance results to inform data-driven decisions at the state and local levels and drive systemic change for continuous improvement statewide.</w:t>
      </w:r>
    </w:p>
    <w:p w14:paraId="7604A1F1" w14:textId="77777777" w:rsidR="0008388C" w:rsidRPr="0008388C" w:rsidRDefault="0008388C" w:rsidP="00D63204">
      <w:pPr>
        <w:widowControl w:val="0"/>
        <w:spacing w:before="2" w:after="0" w:line="235" w:lineRule="auto"/>
        <w:ind w:left="107"/>
        <w:rPr>
          <w:rFonts w:ascii="Calibri" w:hAnsi="Calibri"/>
          <w:color w:val="231F20"/>
          <w:w w:val="105"/>
        </w:rPr>
      </w:pPr>
    </w:p>
    <w:p w14:paraId="2AC58EC4" w14:textId="208D27D4" w:rsidR="0008388C" w:rsidRPr="0008388C" w:rsidRDefault="0008388C" w:rsidP="00D63204">
      <w:pPr>
        <w:widowControl w:val="0"/>
        <w:spacing w:before="2" w:after="0" w:line="235" w:lineRule="auto"/>
        <w:ind w:left="107"/>
        <w:rPr>
          <w:rFonts w:ascii="Calibri" w:hAnsi="Calibri"/>
          <w:color w:val="231F20"/>
          <w:w w:val="105"/>
        </w:rPr>
      </w:pPr>
      <w:r w:rsidRPr="0008388C">
        <w:rPr>
          <w:rFonts w:ascii="Calibri" w:hAnsi="Calibri"/>
          <w:color w:val="231F20"/>
          <w:w w:val="105"/>
        </w:rPr>
        <w:t>Participation in the PFM is voluntary</w:t>
      </w:r>
      <w:r w:rsidR="00D5537E">
        <w:rPr>
          <w:rFonts w:ascii="Calibri" w:hAnsi="Calibri"/>
          <w:color w:val="231F20"/>
          <w:w w:val="105"/>
        </w:rPr>
        <w:t xml:space="preserve"> and</w:t>
      </w:r>
      <w:r w:rsidRPr="0008388C">
        <w:rPr>
          <w:rFonts w:ascii="Calibri" w:hAnsi="Calibri"/>
          <w:color w:val="231F20"/>
          <w:w w:val="105"/>
        </w:rPr>
        <w:t xml:space="preserve"> local boards that do not opt in to the PFM remain eligible for other state funding. Participating local boards are awarded funding for superior performance on metrics within the PFM each fiscal year, which starts July 1 and ends June 30 of the following year.</w:t>
      </w:r>
    </w:p>
    <w:p w14:paraId="7802C48D" w14:textId="77777777" w:rsidR="0008388C" w:rsidRPr="0008388C" w:rsidRDefault="0008388C" w:rsidP="00D63204">
      <w:pPr>
        <w:widowControl w:val="0"/>
        <w:spacing w:before="2" w:after="0" w:line="235" w:lineRule="auto"/>
        <w:ind w:left="107"/>
        <w:rPr>
          <w:rFonts w:ascii="Calibri" w:hAnsi="Calibri"/>
          <w:color w:val="231F20"/>
          <w:w w:val="105"/>
        </w:rPr>
      </w:pPr>
    </w:p>
    <w:p w14:paraId="1D3B3CC7" w14:textId="4DC448F9" w:rsidR="0008388C" w:rsidRPr="0008388C" w:rsidRDefault="0008388C" w:rsidP="00D63204">
      <w:pPr>
        <w:widowControl w:val="0"/>
        <w:spacing w:before="2" w:after="0" w:line="235" w:lineRule="auto"/>
        <w:ind w:left="107"/>
        <w:rPr>
          <w:rFonts w:ascii="Calibri" w:hAnsi="Calibri"/>
          <w:color w:val="231F20"/>
          <w:w w:val="105"/>
        </w:rPr>
      </w:pPr>
      <w:r w:rsidRPr="0008388C">
        <w:rPr>
          <w:rFonts w:ascii="Calibri" w:hAnsi="Calibri"/>
          <w:color w:val="231F20"/>
          <w:w w:val="105"/>
        </w:rPr>
        <w:t>The development of the PFM is funded by a $3 million grant from the U.S. Department of Labor's Workforce Innovation Fund. It is a five-year grant that started on Sept. 30, 2014</w:t>
      </w:r>
      <w:r w:rsidR="00E92298">
        <w:rPr>
          <w:rFonts w:ascii="Calibri" w:hAnsi="Calibri"/>
          <w:color w:val="231F20"/>
          <w:w w:val="105"/>
        </w:rPr>
        <w:t>,</w:t>
      </w:r>
      <w:r w:rsidR="00D5537E">
        <w:rPr>
          <w:rFonts w:ascii="Calibri" w:hAnsi="Calibri"/>
          <w:color w:val="231F20"/>
          <w:w w:val="105"/>
        </w:rPr>
        <w:t xml:space="preserve"> and</w:t>
      </w:r>
      <w:r w:rsidRPr="0008388C">
        <w:rPr>
          <w:rFonts w:ascii="Calibri" w:hAnsi="Calibri"/>
          <w:color w:val="231F20"/>
          <w:w w:val="105"/>
        </w:rPr>
        <w:t xml:space="preserve"> ends on Oct. 1, 2019. The grant includes three years – specifically, CareerSource Florida fiscal years 2015-16, 2016-17 and 2017-18 – of performance measurement and one year for program evaluation. The PFM’s metrics and methodology were reviewed and updated, as needed, for continuous improvement each performance measurement year.</w:t>
      </w:r>
    </w:p>
    <w:p w14:paraId="049752F9" w14:textId="77777777" w:rsidR="0008388C" w:rsidRPr="0008388C" w:rsidRDefault="0008388C" w:rsidP="00D63204">
      <w:pPr>
        <w:widowControl w:val="0"/>
        <w:spacing w:before="2" w:after="0" w:line="235" w:lineRule="auto"/>
        <w:ind w:left="107"/>
        <w:rPr>
          <w:rFonts w:ascii="Calibri" w:hAnsi="Calibri"/>
          <w:color w:val="231F20"/>
          <w:w w:val="105"/>
        </w:rPr>
      </w:pPr>
    </w:p>
    <w:p w14:paraId="3C56C22B" w14:textId="77777777" w:rsidR="0008388C" w:rsidRPr="0008388C" w:rsidRDefault="0008388C" w:rsidP="00D63204">
      <w:pPr>
        <w:widowControl w:val="0"/>
        <w:spacing w:before="2" w:after="0" w:line="235" w:lineRule="auto"/>
        <w:ind w:left="107"/>
        <w:rPr>
          <w:rFonts w:ascii="Calibri" w:hAnsi="Calibri"/>
          <w:color w:val="231F20"/>
          <w:w w:val="105"/>
        </w:rPr>
      </w:pPr>
      <w:r w:rsidRPr="0008388C">
        <w:rPr>
          <w:rFonts w:ascii="Calibri" w:hAnsi="Calibri"/>
          <w:color w:val="231F20"/>
          <w:w w:val="105"/>
        </w:rPr>
        <w:t>To help local boards develop strategies that lead to strong performance on the PFM as well as enhanced service to their customers, CareerSource Florida and DEO offer ongoing technical assistance through webinars, one-on-one telephone consultations and in-person presentations, including trainings at the Florida Workforce Professional Development Summit.</w:t>
      </w:r>
    </w:p>
    <w:p w14:paraId="1412DADC" w14:textId="77777777" w:rsidR="0008388C" w:rsidRDefault="0008388C" w:rsidP="00D63204">
      <w:pPr>
        <w:widowControl w:val="0"/>
        <w:spacing w:after="0" w:line="266" w:lineRule="exact"/>
        <w:ind w:left="107"/>
        <w:outlineLvl w:val="2"/>
        <w:rPr>
          <w:rFonts w:ascii="Calibri" w:hAnsi="Calibri"/>
          <w:b/>
          <w:bCs/>
          <w:color w:val="231F20"/>
          <w:w w:val="110"/>
        </w:rPr>
      </w:pPr>
    </w:p>
    <w:p w14:paraId="7B27BFB0" w14:textId="1C98A43F" w:rsidR="0008388C" w:rsidRPr="0008388C" w:rsidRDefault="0008388C" w:rsidP="00D63204">
      <w:pPr>
        <w:widowControl w:val="0"/>
        <w:spacing w:after="0" w:line="266" w:lineRule="exact"/>
        <w:ind w:left="107"/>
        <w:outlineLvl w:val="2"/>
        <w:rPr>
          <w:rFonts w:ascii="Calibri" w:hAnsi="Calibri"/>
        </w:rPr>
      </w:pPr>
      <w:r w:rsidRPr="0008388C">
        <w:rPr>
          <w:rFonts w:ascii="Calibri" w:hAnsi="Calibri"/>
          <w:b/>
          <w:bCs/>
          <w:color w:val="231F20"/>
          <w:w w:val="110"/>
        </w:rPr>
        <w:t>Providing</w:t>
      </w:r>
      <w:r w:rsidRPr="0008388C">
        <w:rPr>
          <w:rFonts w:ascii="Calibri" w:hAnsi="Calibri"/>
          <w:b/>
          <w:bCs/>
          <w:color w:val="231F20"/>
          <w:spacing w:val="-10"/>
          <w:w w:val="110"/>
        </w:rPr>
        <w:t xml:space="preserve"> </w:t>
      </w:r>
      <w:r w:rsidRPr="0008388C">
        <w:rPr>
          <w:rFonts w:ascii="Calibri" w:hAnsi="Calibri"/>
          <w:b/>
          <w:bCs/>
          <w:color w:val="231F20"/>
          <w:w w:val="110"/>
        </w:rPr>
        <w:t>Quality</w:t>
      </w:r>
      <w:r w:rsidRPr="0008388C">
        <w:rPr>
          <w:rFonts w:ascii="Calibri" w:hAnsi="Calibri"/>
          <w:b/>
          <w:bCs/>
          <w:color w:val="231F20"/>
          <w:spacing w:val="-10"/>
          <w:w w:val="110"/>
        </w:rPr>
        <w:t xml:space="preserve"> </w:t>
      </w:r>
      <w:r w:rsidRPr="0008388C">
        <w:rPr>
          <w:rFonts w:ascii="Calibri" w:hAnsi="Calibri"/>
          <w:b/>
          <w:bCs/>
          <w:color w:val="231F20"/>
          <w:w w:val="110"/>
        </w:rPr>
        <w:t>Services</w:t>
      </w:r>
      <w:r w:rsidRPr="0008388C">
        <w:rPr>
          <w:rFonts w:ascii="Calibri" w:hAnsi="Calibri"/>
          <w:b/>
          <w:bCs/>
          <w:color w:val="231F20"/>
          <w:spacing w:val="-10"/>
          <w:w w:val="110"/>
        </w:rPr>
        <w:t xml:space="preserve"> </w:t>
      </w:r>
      <w:r w:rsidRPr="0008388C">
        <w:rPr>
          <w:rFonts w:ascii="Calibri" w:hAnsi="Calibri"/>
          <w:b/>
          <w:bCs/>
          <w:color w:val="231F20"/>
          <w:w w:val="110"/>
        </w:rPr>
        <w:t>to</w:t>
      </w:r>
      <w:r w:rsidRPr="0008388C">
        <w:rPr>
          <w:rFonts w:ascii="Calibri" w:hAnsi="Calibri"/>
          <w:b/>
          <w:bCs/>
          <w:color w:val="231F20"/>
          <w:spacing w:val="-10"/>
          <w:w w:val="110"/>
        </w:rPr>
        <w:t xml:space="preserve"> </w:t>
      </w:r>
      <w:r w:rsidRPr="0008388C">
        <w:rPr>
          <w:rFonts w:ascii="Calibri" w:hAnsi="Calibri"/>
          <w:b/>
          <w:bCs/>
          <w:color w:val="231F20"/>
          <w:w w:val="110"/>
        </w:rPr>
        <w:t xml:space="preserve">People with Disabilities </w:t>
      </w:r>
    </w:p>
    <w:p w14:paraId="66104341" w14:textId="77777777" w:rsidR="00D444AD" w:rsidRDefault="00D444AD" w:rsidP="00D63204">
      <w:pPr>
        <w:widowControl w:val="0"/>
        <w:spacing w:before="2" w:after="0" w:line="235" w:lineRule="auto"/>
        <w:ind w:left="107"/>
        <w:rPr>
          <w:rFonts w:ascii="Calibri" w:hAnsi="Calibri"/>
          <w:color w:val="231F20"/>
          <w:w w:val="105"/>
        </w:rPr>
      </w:pPr>
    </w:p>
    <w:p w14:paraId="3EF1C96F" w14:textId="0AA48F0B" w:rsidR="0008388C" w:rsidRPr="0008388C" w:rsidRDefault="0008388C" w:rsidP="00D63204">
      <w:pPr>
        <w:widowControl w:val="0"/>
        <w:spacing w:before="2" w:after="0" w:line="235" w:lineRule="auto"/>
        <w:ind w:left="107"/>
        <w:rPr>
          <w:rFonts w:ascii="Calibri" w:hAnsi="Calibri"/>
          <w:color w:val="231F20"/>
          <w:w w:val="105"/>
        </w:rPr>
      </w:pPr>
      <w:r w:rsidRPr="0008388C">
        <w:rPr>
          <w:rFonts w:ascii="Calibri" w:hAnsi="Calibri"/>
          <w:color w:val="231F20"/>
          <w:w w:val="105"/>
        </w:rPr>
        <w:t>Recognizing the unique barriers Floridians with disabilities may face in finding a job, the CareerSource Florida network continues leading, investing and participating in initiatives to connect people with disabilities to employers. In Program Year 2014, DEO launched the Abilities Work web portal at</w:t>
      </w:r>
    </w:p>
    <w:p w14:paraId="5CC982F6" w14:textId="039A0C01" w:rsidR="0008388C" w:rsidRPr="00582A27" w:rsidRDefault="0008388C" w:rsidP="00D63204">
      <w:pPr>
        <w:widowControl w:val="0"/>
        <w:spacing w:before="2" w:after="0" w:line="235" w:lineRule="auto"/>
        <w:ind w:left="107"/>
        <w:rPr>
          <w:rFonts w:ascii="Calibri" w:hAnsi="Calibri"/>
          <w:color w:val="231F20"/>
          <w:w w:val="105"/>
        </w:rPr>
      </w:pPr>
      <w:r w:rsidRPr="0008388C">
        <w:rPr>
          <w:rStyle w:val="Hyperlink"/>
          <w:rFonts w:cs="Calibri"/>
        </w:rPr>
        <w:t>www.</w:t>
      </w:r>
      <w:hyperlink r:id="rId100" w:history="1">
        <w:r w:rsidRPr="0008388C">
          <w:rPr>
            <w:rStyle w:val="Hyperlink"/>
            <w:rFonts w:cs="Calibri"/>
          </w:rPr>
          <w:t>abilitieswork.employflorida.com</w:t>
        </w:r>
      </w:hyperlink>
      <w:r w:rsidRPr="00F55C20">
        <w:rPr>
          <w:rStyle w:val="Hyperlink"/>
          <w:rFonts w:cs="Calibri"/>
          <w:color w:val="auto"/>
          <w:u w:val="none"/>
        </w:rPr>
        <w:t xml:space="preserve"> to</w:t>
      </w:r>
      <w:r w:rsidRPr="00F55C20">
        <w:rPr>
          <w:rFonts w:ascii="Calibri" w:hAnsi="Calibri"/>
          <w:w w:val="105"/>
        </w:rPr>
        <w:t xml:space="preserve"> </w:t>
      </w:r>
      <w:r w:rsidRPr="0008388C">
        <w:rPr>
          <w:rFonts w:ascii="Calibri" w:hAnsi="Calibri"/>
          <w:color w:val="231F20"/>
          <w:w w:val="105"/>
        </w:rPr>
        <w:t xml:space="preserve">help link employers and job seekers with disabilities. The Abilities Work help desk is administered by VR and is a resource to support the linkage between employers and </w:t>
      </w:r>
      <w:r w:rsidRPr="0008388C">
        <w:rPr>
          <w:rFonts w:ascii="Calibri" w:hAnsi="Calibri"/>
          <w:color w:val="231F20"/>
          <w:w w:val="105"/>
        </w:rPr>
        <w:lastRenderedPageBreak/>
        <w:t>qualified job seekers with disabilities. More discussion on this portal can be found in section II(2)(A) of this plan.</w:t>
      </w:r>
    </w:p>
    <w:p w14:paraId="2894748A" w14:textId="77777777" w:rsidR="00EC310E" w:rsidRDefault="00EA7458" w:rsidP="00D63204">
      <w:pPr>
        <w:widowControl w:val="0"/>
        <w:spacing w:before="192" w:after="0" w:line="240" w:lineRule="auto"/>
        <w:ind w:left="107"/>
        <w:outlineLvl w:val="2"/>
        <w:rPr>
          <w:rFonts w:ascii="Calibri" w:hAnsi="Calibri"/>
          <w:b/>
          <w:bCs/>
          <w:color w:val="231F20"/>
          <w:w w:val="105"/>
        </w:rPr>
      </w:pPr>
      <w:r w:rsidRPr="00EA7458">
        <w:rPr>
          <w:rFonts w:ascii="Calibri" w:hAnsi="Calibri"/>
          <w:b/>
          <w:bCs/>
          <w:color w:val="231F20"/>
          <w:w w:val="105"/>
        </w:rPr>
        <w:t>Other key employment initiatives to assist Floridians with disabilities include:</w:t>
      </w:r>
    </w:p>
    <w:p w14:paraId="062106AB" w14:textId="615C1D70" w:rsidR="00873BC3" w:rsidRDefault="00EA7458" w:rsidP="00873BC3">
      <w:pPr>
        <w:widowControl w:val="0"/>
        <w:spacing w:before="192" w:after="0" w:line="240" w:lineRule="auto"/>
        <w:ind w:left="107"/>
        <w:outlineLvl w:val="2"/>
        <w:rPr>
          <w:rFonts w:ascii="Calibri" w:hAnsi="Calibri" w:cs="Calibri"/>
          <w:color w:val="231F20"/>
          <w:w w:val="105"/>
        </w:rPr>
      </w:pPr>
      <w:r w:rsidRPr="00BB4CA3">
        <w:rPr>
          <w:rFonts w:ascii="Calibri" w:hAnsi="Calibri" w:cs="Calibri"/>
          <w:b/>
          <w:color w:val="231F20"/>
          <w:w w:val="105"/>
        </w:rPr>
        <w:t>Employment</w:t>
      </w:r>
      <w:r w:rsidRPr="00BB4CA3">
        <w:rPr>
          <w:rFonts w:ascii="Calibri" w:hAnsi="Calibri" w:cs="Calibri"/>
          <w:b/>
          <w:color w:val="231F20"/>
          <w:spacing w:val="19"/>
          <w:w w:val="105"/>
        </w:rPr>
        <w:t xml:space="preserve"> </w:t>
      </w:r>
      <w:r w:rsidRPr="00BB4CA3">
        <w:rPr>
          <w:rFonts w:ascii="Calibri" w:hAnsi="Calibri" w:cs="Calibri"/>
          <w:b/>
          <w:color w:val="231F20"/>
          <w:w w:val="105"/>
        </w:rPr>
        <w:t>First</w:t>
      </w:r>
      <w:r w:rsidRPr="00BB4CA3">
        <w:rPr>
          <w:rFonts w:ascii="Calibri" w:hAnsi="Calibri" w:cs="Calibri"/>
          <w:b/>
          <w:color w:val="231F20"/>
          <w:spacing w:val="19"/>
          <w:w w:val="105"/>
        </w:rPr>
        <w:t xml:space="preserve"> </w:t>
      </w:r>
      <w:r w:rsidRPr="00BB4CA3">
        <w:rPr>
          <w:rFonts w:ascii="Calibri" w:hAnsi="Calibri" w:cs="Calibri"/>
          <w:b/>
          <w:color w:val="231F20"/>
          <w:w w:val="105"/>
        </w:rPr>
        <w:t>Florida</w:t>
      </w:r>
    </w:p>
    <w:p w14:paraId="36B14D40" w14:textId="6B67BF41" w:rsidR="00173D0F" w:rsidRPr="00EC310E" w:rsidRDefault="00EA7458" w:rsidP="00D63204">
      <w:pPr>
        <w:widowControl w:val="0"/>
        <w:spacing w:line="240" w:lineRule="auto"/>
        <w:ind w:left="107"/>
        <w:outlineLvl w:val="2"/>
        <w:rPr>
          <w:rFonts w:ascii="Calibri" w:hAnsi="Calibri" w:cs="Calibri"/>
          <w:b/>
          <w:color w:val="231F20"/>
          <w:w w:val="105"/>
        </w:rPr>
      </w:pPr>
      <w:r w:rsidRPr="00173D0F">
        <w:rPr>
          <w:rFonts w:ascii="Calibri" w:hAnsi="Calibri" w:cs="Calibri"/>
          <w:color w:val="231F20"/>
          <w:w w:val="105"/>
        </w:rPr>
        <w:t>Seven</w:t>
      </w:r>
      <w:r w:rsidRPr="00173D0F">
        <w:rPr>
          <w:rFonts w:ascii="Calibri" w:hAnsi="Calibri" w:cs="Calibri"/>
          <w:color w:val="231F20"/>
          <w:spacing w:val="19"/>
          <w:w w:val="105"/>
        </w:rPr>
        <w:t xml:space="preserve"> </w:t>
      </w:r>
      <w:r w:rsidRPr="00173D0F">
        <w:rPr>
          <w:rFonts w:ascii="Calibri" w:hAnsi="Calibri" w:cs="Calibri"/>
          <w:color w:val="231F20"/>
          <w:w w:val="105"/>
        </w:rPr>
        <w:t>of</w:t>
      </w:r>
      <w:r w:rsidRPr="00173D0F">
        <w:rPr>
          <w:rFonts w:ascii="Calibri" w:hAnsi="Calibri" w:cs="Calibri"/>
          <w:color w:val="231F20"/>
          <w:spacing w:val="19"/>
          <w:w w:val="105"/>
        </w:rPr>
        <w:t xml:space="preserve"> </w:t>
      </w:r>
      <w:r w:rsidRPr="00173D0F">
        <w:rPr>
          <w:rFonts w:ascii="Calibri" w:hAnsi="Calibri" w:cs="Calibri"/>
          <w:color w:val="231F20"/>
          <w:w w:val="105"/>
        </w:rPr>
        <w:t>Florida’s</w:t>
      </w:r>
      <w:r w:rsidRPr="00173D0F">
        <w:rPr>
          <w:rFonts w:ascii="Calibri" w:hAnsi="Calibri" w:cs="Calibri"/>
          <w:color w:val="231F20"/>
          <w:spacing w:val="19"/>
          <w:w w:val="105"/>
        </w:rPr>
        <w:t xml:space="preserve"> </w:t>
      </w:r>
      <w:r w:rsidRPr="00173D0F">
        <w:rPr>
          <w:rFonts w:ascii="Calibri" w:hAnsi="Calibri" w:cs="Calibri"/>
          <w:color w:val="231F20"/>
          <w:w w:val="105"/>
        </w:rPr>
        <w:t>state</w:t>
      </w:r>
      <w:r w:rsidRPr="00173D0F">
        <w:rPr>
          <w:rFonts w:ascii="Calibri" w:hAnsi="Calibri" w:cs="Calibri"/>
          <w:color w:val="231F20"/>
          <w:spacing w:val="19"/>
          <w:w w:val="105"/>
        </w:rPr>
        <w:t xml:space="preserve"> </w:t>
      </w:r>
      <w:r w:rsidRPr="00173D0F">
        <w:rPr>
          <w:rFonts w:ascii="Calibri" w:hAnsi="Calibri" w:cs="Calibri"/>
          <w:color w:val="231F20"/>
          <w:w w:val="105"/>
        </w:rPr>
        <w:t>agencies</w:t>
      </w:r>
      <w:r w:rsidRPr="00173D0F">
        <w:rPr>
          <w:rFonts w:ascii="Calibri" w:hAnsi="Calibri" w:cs="Calibri"/>
          <w:color w:val="231F20"/>
          <w:spacing w:val="19"/>
          <w:w w:val="105"/>
        </w:rPr>
        <w:t xml:space="preserve"> </w:t>
      </w:r>
      <w:r w:rsidRPr="00173D0F">
        <w:rPr>
          <w:rFonts w:ascii="Calibri" w:hAnsi="Calibri" w:cs="Calibri"/>
          <w:color w:val="231F20"/>
          <w:w w:val="105"/>
        </w:rPr>
        <w:t>and</w:t>
      </w:r>
      <w:r w:rsidRPr="00173D0F">
        <w:rPr>
          <w:rFonts w:ascii="Calibri" w:hAnsi="Calibri" w:cs="Calibri"/>
          <w:color w:val="231F20"/>
          <w:spacing w:val="19"/>
          <w:w w:val="105"/>
        </w:rPr>
        <w:t xml:space="preserve"> </w:t>
      </w:r>
      <w:r w:rsidRPr="00173D0F">
        <w:rPr>
          <w:rFonts w:ascii="Calibri" w:hAnsi="Calibri" w:cs="Calibri"/>
          <w:color w:val="231F20"/>
          <w:w w:val="105"/>
        </w:rPr>
        <w:t>nonprofit</w:t>
      </w:r>
      <w:r w:rsidRPr="00173D0F">
        <w:rPr>
          <w:rFonts w:ascii="Calibri" w:hAnsi="Calibri" w:cs="Calibri"/>
          <w:color w:val="231F20"/>
          <w:spacing w:val="19"/>
          <w:w w:val="105"/>
        </w:rPr>
        <w:t xml:space="preserve"> </w:t>
      </w:r>
      <w:r w:rsidRPr="00173D0F">
        <w:rPr>
          <w:rFonts w:ascii="Calibri" w:hAnsi="Calibri" w:cs="Calibri"/>
          <w:color w:val="231F20"/>
          <w:w w:val="105"/>
        </w:rPr>
        <w:t>organizations,</w:t>
      </w:r>
      <w:r w:rsidRPr="00173D0F">
        <w:rPr>
          <w:rFonts w:ascii="Calibri" w:hAnsi="Calibri" w:cs="Calibri"/>
          <w:color w:val="231F20"/>
          <w:spacing w:val="19"/>
          <w:w w:val="105"/>
        </w:rPr>
        <w:t xml:space="preserve"> </w:t>
      </w:r>
      <w:r w:rsidRPr="00173D0F">
        <w:rPr>
          <w:rFonts w:ascii="Calibri" w:hAnsi="Calibri" w:cs="Calibri"/>
          <w:color w:val="231F20"/>
          <w:w w:val="105"/>
        </w:rPr>
        <w:t>including</w:t>
      </w:r>
      <w:r w:rsidRPr="00173D0F">
        <w:rPr>
          <w:rFonts w:ascii="Calibri" w:hAnsi="Calibri" w:cs="Calibri"/>
          <w:color w:val="231F20"/>
          <w:spacing w:val="-41"/>
          <w:w w:val="105"/>
        </w:rPr>
        <w:t xml:space="preserve"> </w:t>
      </w:r>
      <w:r w:rsidRPr="00C70421">
        <w:rPr>
          <w:rFonts w:ascii="Calibri" w:hAnsi="Calibri" w:cs="Calibri"/>
          <w:color w:val="231F20"/>
          <w:w w:val="105"/>
        </w:rPr>
        <w:t xml:space="preserve">CareerSource Florida, </w:t>
      </w:r>
      <w:r w:rsidR="00E56C03">
        <w:rPr>
          <w:rFonts w:ascii="Calibri" w:hAnsi="Calibri" w:cs="Calibri"/>
          <w:color w:val="231F20"/>
          <w:w w:val="105"/>
        </w:rPr>
        <w:t xml:space="preserve">the </w:t>
      </w:r>
      <w:r w:rsidRPr="00C70421">
        <w:rPr>
          <w:rFonts w:ascii="Calibri" w:hAnsi="Calibri" w:cs="Calibri"/>
          <w:color w:val="231F20"/>
          <w:w w:val="105"/>
        </w:rPr>
        <w:t>Agency for Persons with Disabilities (APD), the Department of Economic</w:t>
      </w:r>
      <w:r w:rsidRPr="00C70421">
        <w:rPr>
          <w:rFonts w:ascii="Calibri" w:hAnsi="Calibri" w:cs="Calibri"/>
          <w:color w:val="231F20"/>
          <w:spacing w:val="19"/>
          <w:w w:val="105"/>
        </w:rPr>
        <w:t xml:space="preserve"> </w:t>
      </w:r>
      <w:r w:rsidRPr="00C70421">
        <w:rPr>
          <w:rFonts w:ascii="Calibri" w:hAnsi="Calibri" w:cs="Calibri"/>
          <w:color w:val="231F20"/>
          <w:w w:val="105"/>
        </w:rPr>
        <w:t>Opportunity, the Departmen</w:t>
      </w:r>
      <w:r w:rsidRPr="00582BE5">
        <w:rPr>
          <w:rFonts w:ascii="Calibri" w:hAnsi="Calibri" w:cs="Calibri"/>
          <w:color w:val="231F20"/>
          <w:w w:val="105"/>
        </w:rPr>
        <w:t>t of Education (BEESS, VR</w:t>
      </w:r>
      <w:r w:rsidR="00D5537E">
        <w:rPr>
          <w:rFonts w:ascii="Calibri" w:hAnsi="Calibri" w:cs="Calibri"/>
          <w:color w:val="231F20"/>
          <w:w w:val="105"/>
        </w:rPr>
        <w:t xml:space="preserve"> and</w:t>
      </w:r>
      <w:r w:rsidRPr="00582BE5">
        <w:rPr>
          <w:rFonts w:ascii="Calibri" w:hAnsi="Calibri" w:cs="Calibri"/>
          <w:color w:val="231F20"/>
          <w:w w:val="105"/>
        </w:rPr>
        <w:t xml:space="preserve"> FDBS) the Florida Developmental</w:t>
      </w:r>
      <w:r w:rsidRPr="00582BE5">
        <w:rPr>
          <w:rFonts w:ascii="Calibri" w:hAnsi="Calibri" w:cs="Calibri"/>
          <w:color w:val="231F20"/>
          <w:spacing w:val="2"/>
          <w:w w:val="105"/>
        </w:rPr>
        <w:t xml:space="preserve"> </w:t>
      </w:r>
      <w:r w:rsidRPr="00582BE5">
        <w:rPr>
          <w:rFonts w:ascii="Calibri" w:hAnsi="Calibri" w:cs="Calibri"/>
          <w:color w:val="231F20"/>
          <w:w w:val="105"/>
        </w:rPr>
        <w:t>Disabilities</w:t>
      </w:r>
      <w:r w:rsidRPr="003A5EE2">
        <w:rPr>
          <w:rFonts w:ascii="Calibri" w:hAnsi="Calibri" w:cs="Calibri"/>
          <w:color w:val="231F20"/>
          <w:spacing w:val="18"/>
          <w:w w:val="105"/>
        </w:rPr>
        <w:t xml:space="preserve"> </w:t>
      </w:r>
      <w:r w:rsidRPr="003A5EE2">
        <w:rPr>
          <w:rFonts w:ascii="Calibri" w:hAnsi="Calibri" w:cs="Calibri"/>
          <w:color w:val="231F20"/>
          <w:w w:val="105"/>
        </w:rPr>
        <w:t>Council,</w:t>
      </w:r>
      <w:r w:rsidRPr="003A5EE2">
        <w:rPr>
          <w:rFonts w:ascii="Calibri" w:hAnsi="Calibri" w:cs="Calibri"/>
          <w:color w:val="231F20"/>
          <w:spacing w:val="18"/>
          <w:w w:val="105"/>
        </w:rPr>
        <w:t xml:space="preserve"> </w:t>
      </w:r>
      <w:r w:rsidRPr="003A5EE2">
        <w:rPr>
          <w:rFonts w:ascii="Calibri" w:hAnsi="Calibri" w:cs="Calibri"/>
          <w:color w:val="231F20"/>
          <w:w w:val="105"/>
        </w:rPr>
        <w:t>RESPECT</w:t>
      </w:r>
      <w:r w:rsidRPr="003A5EE2">
        <w:rPr>
          <w:rFonts w:ascii="Calibri" w:hAnsi="Calibri" w:cs="Calibri"/>
          <w:color w:val="231F20"/>
          <w:spacing w:val="18"/>
          <w:w w:val="105"/>
        </w:rPr>
        <w:t xml:space="preserve"> </w:t>
      </w:r>
      <w:r w:rsidRPr="0072054B">
        <w:rPr>
          <w:rFonts w:ascii="Calibri" w:hAnsi="Calibri" w:cs="Calibri"/>
          <w:color w:val="231F20"/>
          <w:w w:val="105"/>
        </w:rPr>
        <w:t>of</w:t>
      </w:r>
      <w:r w:rsidRPr="0072054B">
        <w:rPr>
          <w:rFonts w:ascii="Calibri" w:hAnsi="Calibri" w:cs="Calibri"/>
          <w:color w:val="231F20"/>
          <w:spacing w:val="18"/>
          <w:w w:val="105"/>
        </w:rPr>
        <w:t xml:space="preserve"> </w:t>
      </w:r>
      <w:r w:rsidRPr="0072054B">
        <w:rPr>
          <w:rFonts w:ascii="Calibri" w:hAnsi="Calibri" w:cs="Calibri"/>
          <w:color w:val="231F20"/>
          <w:w w:val="105"/>
        </w:rPr>
        <w:t>Florida</w:t>
      </w:r>
      <w:r w:rsidR="00D5537E">
        <w:rPr>
          <w:rFonts w:ascii="Calibri" w:hAnsi="Calibri" w:cs="Calibri"/>
          <w:color w:val="231F20"/>
          <w:w w:val="105"/>
        </w:rPr>
        <w:t xml:space="preserve"> and</w:t>
      </w:r>
      <w:r w:rsidRPr="006A572B">
        <w:rPr>
          <w:rFonts w:ascii="Calibri" w:hAnsi="Calibri" w:cs="Calibri"/>
          <w:color w:val="231F20"/>
          <w:spacing w:val="18"/>
          <w:w w:val="105"/>
        </w:rPr>
        <w:t xml:space="preserve"> </w:t>
      </w:r>
      <w:r w:rsidR="00E56C03">
        <w:rPr>
          <w:rFonts w:ascii="Calibri" w:hAnsi="Calibri" w:cs="Calibri"/>
          <w:color w:val="231F20"/>
          <w:spacing w:val="18"/>
          <w:w w:val="105"/>
        </w:rPr>
        <w:t xml:space="preserve">the </w:t>
      </w:r>
      <w:r w:rsidRPr="006A572B">
        <w:rPr>
          <w:rFonts w:ascii="Calibri" w:hAnsi="Calibri" w:cs="Calibri"/>
          <w:color w:val="231F20"/>
          <w:w w:val="105"/>
        </w:rPr>
        <w:t>Department</w:t>
      </w:r>
      <w:r w:rsidRPr="00B7587A">
        <w:rPr>
          <w:rFonts w:ascii="Calibri" w:hAnsi="Calibri" w:cs="Calibri"/>
          <w:color w:val="231F20"/>
          <w:spacing w:val="18"/>
          <w:w w:val="105"/>
        </w:rPr>
        <w:t xml:space="preserve"> </w:t>
      </w:r>
      <w:r w:rsidRPr="00B7587A">
        <w:rPr>
          <w:rFonts w:ascii="Calibri" w:hAnsi="Calibri" w:cs="Calibri"/>
          <w:color w:val="231F20"/>
          <w:w w:val="105"/>
        </w:rPr>
        <w:t>of</w:t>
      </w:r>
      <w:r w:rsidRPr="002F4E85">
        <w:rPr>
          <w:rFonts w:ascii="Calibri" w:hAnsi="Calibri" w:cs="Calibri"/>
          <w:color w:val="231F20"/>
          <w:spacing w:val="18"/>
          <w:w w:val="105"/>
        </w:rPr>
        <w:t xml:space="preserve"> </w:t>
      </w:r>
      <w:r w:rsidRPr="002F4E85">
        <w:rPr>
          <w:rFonts w:ascii="Calibri" w:hAnsi="Calibri" w:cs="Calibri"/>
          <w:color w:val="231F20"/>
          <w:w w:val="105"/>
        </w:rPr>
        <w:t>Children</w:t>
      </w:r>
      <w:r w:rsidRPr="00C304A6">
        <w:rPr>
          <w:rFonts w:ascii="Calibri" w:hAnsi="Calibri" w:cs="Calibri"/>
          <w:color w:val="231F20"/>
          <w:spacing w:val="18"/>
          <w:w w:val="105"/>
        </w:rPr>
        <w:t xml:space="preserve"> </w:t>
      </w:r>
      <w:r w:rsidRPr="00C304A6">
        <w:rPr>
          <w:rFonts w:ascii="Calibri" w:hAnsi="Calibri" w:cs="Calibri"/>
          <w:color w:val="231F20"/>
          <w:w w:val="105"/>
        </w:rPr>
        <w:t>and</w:t>
      </w:r>
      <w:r w:rsidRPr="006F2AEE">
        <w:rPr>
          <w:rFonts w:ascii="Calibri" w:hAnsi="Calibri" w:cs="Calibri"/>
          <w:color w:val="231F20"/>
          <w:spacing w:val="18"/>
          <w:w w:val="105"/>
        </w:rPr>
        <w:t xml:space="preserve"> </w:t>
      </w:r>
      <w:r w:rsidRPr="006F2AEE">
        <w:rPr>
          <w:rFonts w:ascii="Calibri" w:hAnsi="Calibri" w:cs="Calibri"/>
          <w:color w:val="231F20"/>
          <w:w w:val="105"/>
        </w:rPr>
        <w:t>Families</w:t>
      </w:r>
      <w:r w:rsidR="00EF012A">
        <w:rPr>
          <w:rFonts w:ascii="Calibri" w:hAnsi="Calibri" w:cs="Calibri"/>
          <w:color w:val="231F20"/>
          <w:w w:val="105"/>
        </w:rPr>
        <w:t xml:space="preserve"> –</w:t>
      </w:r>
      <w:r w:rsidRPr="00BB6FAE">
        <w:rPr>
          <w:rFonts w:ascii="Calibri" w:hAnsi="Calibri" w:cs="Calibri"/>
          <w:color w:val="231F20"/>
          <w:spacing w:val="18"/>
          <w:w w:val="105"/>
        </w:rPr>
        <w:t xml:space="preserve"> </w:t>
      </w:r>
      <w:r w:rsidRPr="00BB6FAE">
        <w:rPr>
          <w:rFonts w:ascii="Calibri" w:hAnsi="Calibri" w:cs="Calibri"/>
          <w:color w:val="231F20"/>
          <w:w w:val="105"/>
        </w:rPr>
        <w:t>Mental</w:t>
      </w:r>
      <w:r w:rsidRPr="00CD1228">
        <w:rPr>
          <w:rFonts w:ascii="Calibri" w:hAnsi="Calibri" w:cs="Calibri"/>
          <w:color w:val="231F20"/>
          <w:spacing w:val="18"/>
          <w:w w:val="105"/>
        </w:rPr>
        <w:t xml:space="preserve"> </w:t>
      </w:r>
      <w:r w:rsidRPr="00CD1228">
        <w:rPr>
          <w:rFonts w:ascii="Calibri" w:hAnsi="Calibri" w:cs="Calibri"/>
          <w:color w:val="231F20"/>
          <w:w w:val="105"/>
        </w:rPr>
        <w:t>Health</w:t>
      </w:r>
      <w:r w:rsidRPr="00925A65">
        <w:rPr>
          <w:rFonts w:ascii="Calibri" w:hAnsi="Calibri" w:cs="Calibri"/>
          <w:color w:val="231F20"/>
          <w:spacing w:val="-5"/>
          <w:w w:val="105"/>
        </w:rPr>
        <w:t xml:space="preserve"> </w:t>
      </w:r>
      <w:r w:rsidRPr="00925A65">
        <w:rPr>
          <w:rFonts w:ascii="Calibri" w:hAnsi="Calibri" w:cs="Calibri"/>
          <w:color w:val="231F20"/>
          <w:w w:val="105"/>
        </w:rPr>
        <w:t>and</w:t>
      </w:r>
      <w:r w:rsidRPr="00747A5C">
        <w:rPr>
          <w:rFonts w:ascii="Calibri" w:hAnsi="Calibri" w:cs="Calibri"/>
          <w:color w:val="231F20"/>
          <w:spacing w:val="20"/>
          <w:w w:val="105"/>
        </w:rPr>
        <w:t xml:space="preserve"> </w:t>
      </w:r>
      <w:r w:rsidRPr="00747A5C">
        <w:rPr>
          <w:rFonts w:ascii="Calibri" w:hAnsi="Calibri" w:cs="Calibri"/>
          <w:color w:val="231F20"/>
          <w:w w:val="105"/>
        </w:rPr>
        <w:t>Substance</w:t>
      </w:r>
      <w:r w:rsidRPr="00A37B94">
        <w:rPr>
          <w:rFonts w:ascii="Calibri" w:hAnsi="Calibri" w:cs="Calibri"/>
          <w:color w:val="231F20"/>
          <w:spacing w:val="20"/>
          <w:w w:val="105"/>
        </w:rPr>
        <w:t xml:space="preserve"> </w:t>
      </w:r>
      <w:r w:rsidRPr="00A37B94">
        <w:rPr>
          <w:rFonts w:ascii="Calibri" w:hAnsi="Calibri" w:cs="Calibri"/>
          <w:color w:val="231F20"/>
          <w:w w:val="105"/>
        </w:rPr>
        <w:t>Abuse</w:t>
      </w:r>
      <w:r w:rsidR="00463C7F">
        <w:rPr>
          <w:rFonts w:ascii="Calibri" w:hAnsi="Calibri" w:cs="Calibri"/>
          <w:color w:val="231F20"/>
          <w:w w:val="105"/>
        </w:rPr>
        <w:t xml:space="preserve"> came together </w:t>
      </w:r>
      <w:r w:rsidRPr="008907B4">
        <w:rPr>
          <w:rFonts w:ascii="Calibri" w:hAnsi="Calibri" w:cs="Calibri"/>
          <w:color w:val="231F20"/>
          <w:w w:val="105"/>
        </w:rPr>
        <w:t>through</w:t>
      </w:r>
      <w:r w:rsidRPr="009A510E">
        <w:rPr>
          <w:rFonts w:ascii="Calibri" w:hAnsi="Calibri" w:cs="Calibri"/>
          <w:color w:val="231F20"/>
          <w:spacing w:val="20"/>
          <w:w w:val="105"/>
        </w:rPr>
        <w:t xml:space="preserve"> </w:t>
      </w:r>
      <w:r w:rsidRPr="00036D60">
        <w:rPr>
          <w:rFonts w:ascii="Calibri" w:hAnsi="Calibri" w:cs="Calibri"/>
          <w:color w:val="231F20"/>
          <w:w w:val="105"/>
        </w:rPr>
        <w:t>an</w:t>
      </w:r>
      <w:r w:rsidRPr="0055580B">
        <w:rPr>
          <w:rFonts w:ascii="Calibri" w:hAnsi="Calibri" w:cs="Calibri"/>
          <w:color w:val="231F20"/>
          <w:spacing w:val="20"/>
          <w:w w:val="105"/>
        </w:rPr>
        <w:t xml:space="preserve"> </w:t>
      </w:r>
      <w:r w:rsidRPr="000C138A">
        <w:rPr>
          <w:rFonts w:ascii="Calibri" w:hAnsi="Calibri" w:cs="Calibri"/>
          <w:color w:val="231F20"/>
          <w:w w:val="105"/>
        </w:rPr>
        <w:t>interagency</w:t>
      </w:r>
      <w:r w:rsidRPr="00F40F3E">
        <w:rPr>
          <w:rFonts w:ascii="Calibri" w:hAnsi="Calibri" w:cs="Calibri"/>
          <w:color w:val="231F20"/>
          <w:spacing w:val="20"/>
          <w:w w:val="105"/>
        </w:rPr>
        <w:t xml:space="preserve"> </w:t>
      </w:r>
      <w:r w:rsidRPr="00E223DC">
        <w:rPr>
          <w:rFonts w:ascii="Calibri" w:hAnsi="Calibri" w:cs="Calibri"/>
          <w:color w:val="231F20"/>
          <w:w w:val="105"/>
        </w:rPr>
        <w:t>cooperative</w:t>
      </w:r>
      <w:r w:rsidRPr="005208BD">
        <w:rPr>
          <w:rFonts w:ascii="Calibri" w:hAnsi="Calibri" w:cs="Calibri"/>
          <w:color w:val="231F20"/>
          <w:spacing w:val="20"/>
          <w:w w:val="105"/>
        </w:rPr>
        <w:t xml:space="preserve"> </w:t>
      </w:r>
      <w:r w:rsidRPr="005208BD">
        <w:rPr>
          <w:rFonts w:ascii="Calibri" w:hAnsi="Calibri" w:cs="Calibri"/>
          <w:color w:val="231F20"/>
          <w:w w:val="105"/>
        </w:rPr>
        <w:t>agreement</w:t>
      </w:r>
      <w:r w:rsidR="00173D0F" w:rsidRPr="00873C35">
        <w:rPr>
          <w:rFonts w:ascii="Calibri" w:hAnsi="Calibri" w:cs="Calibri"/>
          <w:color w:val="231F20"/>
          <w:w w:val="105"/>
        </w:rPr>
        <w:t>. This collaboration</w:t>
      </w:r>
      <w:r w:rsidRPr="00B21E43">
        <w:rPr>
          <w:rFonts w:ascii="Calibri" w:hAnsi="Calibri" w:cs="Calibri"/>
          <w:color w:val="231F20"/>
          <w:spacing w:val="20"/>
          <w:w w:val="105"/>
        </w:rPr>
        <w:t xml:space="preserve"> </w:t>
      </w:r>
      <w:r w:rsidR="00173D0F" w:rsidRPr="00261A8E">
        <w:rPr>
          <w:rFonts w:ascii="Calibri" w:hAnsi="Calibri" w:cs="Calibri"/>
          <w:color w:val="231F20"/>
          <w:w w:val="105"/>
        </w:rPr>
        <w:t xml:space="preserve">improves </w:t>
      </w:r>
      <w:r w:rsidRPr="004B6C5B">
        <w:rPr>
          <w:rFonts w:ascii="Calibri" w:hAnsi="Calibri" w:cs="Calibri"/>
          <w:color w:val="231F20"/>
          <w:w w:val="105"/>
        </w:rPr>
        <w:t xml:space="preserve">coordination of services </w:t>
      </w:r>
      <w:r w:rsidR="00173D0F" w:rsidRPr="00266B28">
        <w:rPr>
          <w:rFonts w:ascii="Calibri" w:hAnsi="Calibri" w:cs="Calibri"/>
          <w:color w:val="231F20"/>
          <w:w w:val="105"/>
        </w:rPr>
        <w:t xml:space="preserve">that </w:t>
      </w:r>
      <w:r w:rsidR="00210439">
        <w:rPr>
          <w:rFonts w:ascii="Calibri" w:hAnsi="Calibri" w:cs="Calibri"/>
          <w:color w:val="231F20"/>
          <w:w w:val="105"/>
        </w:rPr>
        <w:t>help</w:t>
      </w:r>
      <w:r w:rsidR="00173D0F" w:rsidRPr="00B81215">
        <w:rPr>
          <w:rFonts w:ascii="Calibri" w:hAnsi="Calibri" w:cs="Calibri"/>
          <w:color w:val="231F20"/>
          <w:w w:val="105"/>
        </w:rPr>
        <w:t xml:space="preserve"> </w:t>
      </w:r>
      <w:r w:rsidR="00CB78C2">
        <w:rPr>
          <w:rFonts w:ascii="Calibri" w:hAnsi="Calibri" w:cs="Calibri"/>
          <w:color w:val="231F20"/>
          <w:w w:val="105"/>
        </w:rPr>
        <w:t>people with disabilities</w:t>
      </w:r>
      <w:r w:rsidRPr="00391DC0">
        <w:rPr>
          <w:rFonts w:ascii="Calibri" w:hAnsi="Calibri" w:cs="Calibri"/>
          <w:color w:val="231F20"/>
          <w:w w:val="105"/>
        </w:rPr>
        <w:t xml:space="preserve"> </w:t>
      </w:r>
      <w:r w:rsidR="00173D0F" w:rsidRPr="00BB548D">
        <w:rPr>
          <w:rFonts w:ascii="Calibri" w:hAnsi="Calibri" w:cs="Calibri"/>
          <w:color w:val="231F20"/>
          <w:w w:val="105"/>
        </w:rPr>
        <w:t xml:space="preserve">obtain </w:t>
      </w:r>
      <w:r w:rsidRPr="00CD0BDC">
        <w:rPr>
          <w:rFonts w:ascii="Calibri" w:hAnsi="Calibri" w:cs="Calibri"/>
          <w:color w:val="231F20"/>
          <w:w w:val="105"/>
        </w:rPr>
        <w:t>employment and</w:t>
      </w:r>
      <w:r w:rsidRPr="00773CA9">
        <w:rPr>
          <w:rFonts w:ascii="Calibri" w:hAnsi="Calibri" w:cs="Calibri"/>
          <w:color w:val="231F20"/>
          <w:spacing w:val="49"/>
          <w:w w:val="105"/>
        </w:rPr>
        <w:t xml:space="preserve"> </w:t>
      </w:r>
      <w:r w:rsidRPr="00A67443">
        <w:rPr>
          <w:rFonts w:ascii="Calibri" w:hAnsi="Calibri" w:cs="Calibri"/>
          <w:color w:val="231F20"/>
          <w:w w:val="105"/>
        </w:rPr>
        <w:t>achieve</w:t>
      </w:r>
      <w:r w:rsidR="00173D0F" w:rsidRPr="00FA65FF">
        <w:rPr>
          <w:rFonts w:ascii="Calibri" w:hAnsi="Calibri" w:cs="Calibri"/>
          <w:color w:val="231F20"/>
          <w:w w:val="105"/>
        </w:rPr>
        <w:t xml:space="preserve"> </w:t>
      </w:r>
      <w:r w:rsidRPr="00173D0F">
        <w:rPr>
          <w:rFonts w:ascii="Calibri" w:hAnsi="Calibri"/>
          <w:color w:val="231F20"/>
          <w:w w:val="105"/>
        </w:rPr>
        <w:t>self-sufficiency.</w:t>
      </w:r>
      <w:r w:rsidRPr="00173D0F">
        <w:rPr>
          <w:rFonts w:ascii="Calibri" w:hAnsi="Calibri"/>
          <w:color w:val="231F20"/>
          <w:spacing w:val="21"/>
          <w:w w:val="105"/>
        </w:rPr>
        <w:t xml:space="preserve"> </w:t>
      </w:r>
    </w:p>
    <w:p w14:paraId="171C46C3" w14:textId="5915A5A0" w:rsidR="00EC310E" w:rsidRPr="00582A27" w:rsidRDefault="00EA7458" w:rsidP="00D63204">
      <w:pPr>
        <w:widowControl w:val="0"/>
        <w:spacing w:line="240" w:lineRule="auto"/>
        <w:ind w:left="107"/>
        <w:outlineLvl w:val="2"/>
        <w:rPr>
          <w:rFonts w:ascii="Calibri" w:hAnsi="Calibri" w:cs="Calibri"/>
          <w:color w:val="231F20"/>
          <w:w w:val="105"/>
        </w:rPr>
      </w:pPr>
      <w:r w:rsidRPr="00582A27">
        <w:rPr>
          <w:rFonts w:ascii="Calibri" w:hAnsi="Calibri" w:cs="Calibri"/>
          <w:color w:val="231F20"/>
          <w:w w:val="105"/>
        </w:rPr>
        <w:t xml:space="preserve">The Employment First collaborative </w:t>
      </w:r>
      <w:r w:rsidR="00173D0F" w:rsidRPr="00582A27">
        <w:rPr>
          <w:rFonts w:ascii="Calibri" w:hAnsi="Calibri" w:cs="Calibri"/>
          <w:color w:val="231F20"/>
          <w:w w:val="105"/>
        </w:rPr>
        <w:t xml:space="preserve">developed </w:t>
      </w:r>
      <w:r w:rsidRPr="00582A27">
        <w:rPr>
          <w:rFonts w:ascii="Calibri" w:hAnsi="Calibri" w:cs="Calibri"/>
          <w:color w:val="231F20"/>
          <w:w w:val="105"/>
        </w:rPr>
        <w:t>a comprehensive and coordinated statewide communications plan to improve outreach</w:t>
      </w:r>
      <w:r w:rsidR="00210439">
        <w:rPr>
          <w:rFonts w:ascii="Calibri" w:hAnsi="Calibri" w:cs="Calibri"/>
          <w:color w:val="231F20"/>
          <w:w w:val="105"/>
        </w:rPr>
        <w:t>,</w:t>
      </w:r>
      <w:r w:rsidRPr="00582A27">
        <w:rPr>
          <w:rFonts w:ascii="Calibri" w:hAnsi="Calibri" w:cs="Calibri"/>
          <w:color w:val="231F20"/>
          <w:w w:val="105"/>
        </w:rPr>
        <w:t xml:space="preserve"> </w:t>
      </w:r>
      <w:r w:rsidR="00173D0F" w:rsidRPr="00582A27">
        <w:rPr>
          <w:rFonts w:ascii="Calibri" w:hAnsi="Calibri" w:cs="Calibri"/>
          <w:color w:val="231F20"/>
          <w:w w:val="105"/>
        </w:rPr>
        <w:t xml:space="preserve">describing </w:t>
      </w:r>
      <w:r w:rsidRPr="00582A27">
        <w:rPr>
          <w:rFonts w:ascii="Calibri" w:hAnsi="Calibri" w:cs="Calibri"/>
          <w:color w:val="231F20"/>
          <w:w w:val="105"/>
        </w:rPr>
        <w:t xml:space="preserve">services available to support employment and training for </w:t>
      </w:r>
      <w:r w:rsidR="00CB78C2" w:rsidRPr="00582A27">
        <w:rPr>
          <w:rFonts w:ascii="Calibri" w:hAnsi="Calibri" w:cs="Calibri"/>
          <w:color w:val="231F20"/>
          <w:w w:val="105"/>
        </w:rPr>
        <w:t>people with disabilities</w:t>
      </w:r>
      <w:r w:rsidRPr="00582A27">
        <w:rPr>
          <w:rFonts w:ascii="Calibri" w:hAnsi="Calibri" w:cs="Calibri"/>
          <w:color w:val="231F20"/>
          <w:w w:val="105"/>
        </w:rPr>
        <w:t>. This initiative responds directly to a key recommendation of the Governor’s Commission on Jobs for Floridians with Disabilities.</w:t>
      </w:r>
    </w:p>
    <w:p w14:paraId="1316C6E5" w14:textId="00EAA615" w:rsidR="00EC310E" w:rsidRDefault="00BB4CA3" w:rsidP="00D63204">
      <w:pPr>
        <w:spacing w:after="0"/>
        <w:ind w:left="107"/>
        <w:rPr>
          <w:rFonts w:ascii="Calibri" w:hAnsi="Calibri"/>
          <w:b/>
        </w:rPr>
      </w:pPr>
      <w:r>
        <w:rPr>
          <w:rFonts w:ascii="Calibri" w:hAnsi="Calibri"/>
          <w:b/>
        </w:rPr>
        <w:t>The Florida Unique Abilities Partner Program</w:t>
      </w:r>
    </w:p>
    <w:p w14:paraId="6121DD8E" w14:textId="0432FEFE" w:rsidR="00BE285F" w:rsidRDefault="00BB4CA3" w:rsidP="00D63204">
      <w:pPr>
        <w:spacing w:after="0" w:line="240" w:lineRule="auto"/>
        <w:ind w:left="107"/>
        <w:rPr>
          <w:rFonts w:ascii="Calibri" w:hAnsi="Calibri" w:cs="Calibri"/>
          <w:b/>
          <w:color w:val="231F20"/>
          <w:w w:val="105"/>
        </w:rPr>
      </w:pPr>
      <w:r w:rsidRPr="00BB4CA3">
        <w:rPr>
          <w:rFonts w:ascii="Calibri" w:hAnsi="Calibri" w:cs="Calibri"/>
        </w:rPr>
        <w:t>The Florida Unique Abilities Partner Program recognizes businesses that are committed to providing career and financial opportunities to individuals with unique abilities and to assisting organizations that support them. Participating businesses demonstrate their dedication to strengthening communities and the economy by helping these Floridians with untapped talents become more independent and by partnering with other businesses, organizations and state resources in this endeavor.</w:t>
      </w:r>
    </w:p>
    <w:p w14:paraId="38B00BD0" w14:textId="25C634D2" w:rsidR="00EC310E" w:rsidRDefault="00177157" w:rsidP="00D63204">
      <w:pPr>
        <w:spacing w:after="0" w:line="240" w:lineRule="auto"/>
        <w:ind w:left="107"/>
        <w:rPr>
          <w:rFonts w:ascii="Calibri" w:hAnsi="Calibri" w:cs="Calibri"/>
          <w:color w:val="231F20"/>
          <w:spacing w:val="12"/>
          <w:w w:val="105"/>
        </w:rPr>
      </w:pPr>
      <w:r>
        <w:rPr>
          <w:rFonts w:ascii="Calibri" w:hAnsi="Calibri" w:cs="Calibri"/>
          <w:b/>
          <w:color w:val="231F20"/>
          <w:w w:val="105"/>
        </w:rPr>
        <w:br/>
      </w:r>
      <w:r w:rsidR="00EA7458" w:rsidRPr="005641C9">
        <w:rPr>
          <w:rFonts w:ascii="Calibri" w:hAnsi="Calibri" w:cs="Calibri"/>
          <w:b/>
          <w:color w:val="231F20"/>
          <w:w w:val="105"/>
        </w:rPr>
        <w:t>Family</w:t>
      </w:r>
      <w:r w:rsidR="00EA7458" w:rsidRPr="005641C9">
        <w:rPr>
          <w:rFonts w:ascii="Calibri" w:hAnsi="Calibri" w:cs="Calibri"/>
          <w:b/>
          <w:color w:val="231F20"/>
          <w:spacing w:val="12"/>
          <w:w w:val="105"/>
        </w:rPr>
        <w:t xml:space="preserve"> </w:t>
      </w:r>
      <w:r w:rsidR="00EA7458" w:rsidRPr="005641C9">
        <w:rPr>
          <w:rFonts w:ascii="Calibri" w:hAnsi="Calibri" w:cs="Calibri"/>
          <w:b/>
          <w:color w:val="231F20"/>
          <w:w w:val="105"/>
        </w:rPr>
        <w:t>Café</w:t>
      </w:r>
      <w:r w:rsidR="00EA7458" w:rsidRPr="00C70421">
        <w:rPr>
          <w:rFonts w:ascii="Calibri" w:hAnsi="Calibri" w:cs="Calibri"/>
          <w:color w:val="231F20"/>
          <w:spacing w:val="12"/>
          <w:w w:val="105"/>
        </w:rPr>
        <w:t xml:space="preserve"> </w:t>
      </w:r>
    </w:p>
    <w:p w14:paraId="43A02D5C" w14:textId="57DACA0E" w:rsidR="005641C9" w:rsidRPr="00BB4CA3" w:rsidRDefault="00C70421" w:rsidP="00D63204">
      <w:pPr>
        <w:spacing w:line="240" w:lineRule="auto"/>
        <w:ind w:left="107"/>
        <w:rPr>
          <w:rFonts w:ascii="Calibri" w:hAnsi="Calibri" w:cs="Calibri"/>
        </w:rPr>
      </w:pPr>
      <w:r w:rsidRPr="00BB4CA3">
        <w:rPr>
          <w:rFonts w:ascii="Calibri" w:hAnsi="Calibri" w:cs="Calibri"/>
        </w:rPr>
        <w:t>The Family Café is an expo-style annual event held over several days each summer in Orlando that connects Floridians with disabilities and their families with information, training and networking opportunities.</w:t>
      </w:r>
      <w:r w:rsidR="00870CAC" w:rsidRPr="00EC310E">
        <w:rPr>
          <w:rFonts w:ascii="Calibri" w:hAnsi="Calibri" w:cs="Calibri"/>
        </w:rPr>
        <w:t xml:space="preserve"> For several years, VR, FDBS and other WIOA partners have been involved in planning the Family Café and presenting useful information. </w:t>
      </w:r>
      <w:r w:rsidRPr="00BB4CA3">
        <w:rPr>
          <w:rFonts w:ascii="Calibri" w:hAnsi="Calibri" w:cs="Calibri"/>
        </w:rPr>
        <w:t xml:space="preserve">CareerSource Florida is a primary sponsor of the Family Café and helps connect job seekers with disabilities and their families with employment resources and employers at the event each year. These efforts provide a valuable opportunity to raise awareness of employment and training resources available through the CareerSource Florida network and core partners. The June 2017 Family Café drew more than 10,000 attendees. CareerSource Florida, DEO and several local workforce development boards provided </w:t>
      </w:r>
      <w:r w:rsidR="00C00BCD">
        <w:rPr>
          <w:rFonts w:ascii="Calibri" w:hAnsi="Calibri" w:cs="Calibri"/>
        </w:rPr>
        <w:t>on</w:t>
      </w:r>
      <w:r w:rsidRPr="00BB4CA3">
        <w:rPr>
          <w:rFonts w:ascii="Calibri" w:hAnsi="Calibri" w:cs="Calibri"/>
        </w:rPr>
        <w:t>site employment assistance and guidance.</w:t>
      </w:r>
    </w:p>
    <w:bookmarkEnd w:id="60"/>
    <w:p w14:paraId="211C9962" w14:textId="77777777" w:rsidR="0008388C" w:rsidRPr="0008388C" w:rsidRDefault="0008388C" w:rsidP="00D63204">
      <w:pPr>
        <w:widowControl w:val="0"/>
        <w:tabs>
          <w:tab w:val="left" w:pos="668"/>
        </w:tabs>
        <w:spacing w:before="90" w:after="0" w:line="264" w:lineRule="exact"/>
        <w:ind w:left="107"/>
        <w:rPr>
          <w:rFonts w:ascii="Calibri" w:hAnsi="Calibri" w:cs="Calibri"/>
          <w:b/>
          <w:color w:val="231F20"/>
          <w:spacing w:val="-3"/>
          <w:w w:val="105"/>
        </w:rPr>
      </w:pPr>
      <w:r w:rsidRPr="0008388C">
        <w:rPr>
          <w:rFonts w:ascii="Calibri" w:hAnsi="Calibri" w:cs="Calibri"/>
          <w:b/>
          <w:color w:val="231F20"/>
          <w:w w:val="105"/>
        </w:rPr>
        <w:t>Ticket</w:t>
      </w:r>
      <w:r w:rsidRPr="0008388C">
        <w:rPr>
          <w:rFonts w:ascii="Calibri" w:hAnsi="Calibri" w:cs="Calibri"/>
          <w:b/>
          <w:color w:val="231F20"/>
          <w:spacing w:val="19"/>
          <w:w w:val="105"/>
        </w:rPr>
        <w:t xml:space="preserve"> </w:t>
      </w:r>
      <w:r w:rsidRPr="0008388C">
        <w:rPr>
          <w:rFonts w:ascii="Calibri" w:hAnsi="Calibri" w:cs="Calibri"/>
          <w:b/>
          <w:color w:val="231F20"/>
          <w:w w:val="105"/>
        </w:rPr>
        <w:t>to</w:t>
      </w:r>
      <w:r w:rsidRPr="0008388C">
        <w:rPr>
          <w:rFonts w:ascii="Calibri" w:hAnsi="Calibri" w:cs="Calibri"/>
          <w:b/>
          <w:color w:val="231F20"/>
          <w:spacing w:val="19"/>
          <w:w w:val="105"/>
        </w:rPr>
        <w:t xml:space="preserve"> </w:t>
      </w:r>
      <w:r w:rsidRPr="0008388C">
        <w:rPr>
          <w:rFonts w:ascii="Calibri" w:hAnsi="Calibri" w:cs="Calibri"/>
          <w:b/>
          <w:color w:val="231F20"/>
          <w:spacing w:val="-3"/>
          <w:w w:val="105"/>
        </w:rPr>
        <w:t>Work</w:t>
      </w:r>
    </w:p>
    <w:p w14:paraId="61350EC7" w14:textId="4342BF10" w:rsidR="0008388C" w:rsidRDefault="0008388C" w:rsidP="00D63204">
      <w:pPr>
        <w:widowControl w:val="0"/>
        <w:tabs>
          <w:tab w:val="left" w:pos="668"/>
        </w:tabs>
        <w:spacing w:after="0" w:line="264" w:lineRule="exact"/>
        <w:ind w:left="107"/>
        <w:rPr>
          <w:rFonts w:ascii="Calibri" w:hAnsi="Calibri" w:cs="Calibri"/>
          <w:color w:val="231F20"/>
          <w:w w:val="105"/>
        </w:rPr>
      </w:pPr>
      <w:r w:rsidRPr="00AA1773">
        <w:rPr>
          <w:rFonts w:ascii="Calibri" w:hAnsi="Calibri" w:cs="Calibri"/>
        </w:rPr>
        <w:t>Eighteen Florida LWDBs are designated as Employment Networks by the Social Security Administration</w:t>
      </w:r>
      <w:r w:rsidR="00AA1773" w:rsidRPr="00AA1773">
        <w:rPr>
          <w:rFonts w:ascii="Calibri" w:hAnsi="Calibri" w:cs="Calibri"/>
        </w:rPr>
        <w:t>,</w:t>
      </w:r>
      <w:r w:rsidRPr="00AA1773">
        <w:rPr>
          <w:rFonts w:ascii="Calibri" w:hAnsi="Calibri" w:cs="Calibri"/>
        </w:rPr>
        <w:t xml:space="preserve"> enabling their participation in the federally funded Ticket to Work program. Through Ticket to Work, recipients of Social Security Disability Insurance and/or Supplemental Security Income receive priority assistance such as job search, career planning and skill building through participating CareerSource Florida network career centers.</w:t>
      </w:r>
      <w:r w:rsidRPr="0008388C">
        <w:rPr>
          <w:rFonts w:ascii="Calibri" w:hAnsi="Calibri" w:cs="Calibri"/>
          <w:color w:val="231F20"/>
          <w:w w:val="105"/>
        </w:rPr>
        <w:t xml:space="preserve"> </w:t>
      </w:r>
      <w:r w:rsidRPr="0008388C">
        <w:rPr>
          <w:rFonts w:ascii="Calibri" w:hAnsi="Calibri" w:cs="Calibri"/>
          <w:color w:val="231F20"/>
          <w:w w:val="105"/>
        </w:rPr>
        <w:br/>
      </w:r>
      <w:r w:rsidRPr="00AA1773">
        <w:rPr>
          <w:rFonts w:ascii="Calibri" w:hAnsi="Calibri" w:cs="Calibri"/>
        </w:rPr>
        <w:br/>
        <w:t>These services enhance efforts of job-seekers to find and retain a job and to work toward self-sufficiency. Participating LWDBs receive funding from the Social Security Administration for workforce services provided to “ticketholders.”</w:t>
      </w:r>
      <w:r w:rsidRPr="00A92D27">
        <w:rPr>
          <w:rFonts w:ascii="Calibri" w:hAnsi="Calibri" w:cs="Calibri"/>
          <w:color w:val="231F20"/>
          <w:w w:val="105"/>
        </w:rPr>
        <w:t xml:space="preserve"> </w:t>
      </w:r>
    </w:p>
    <w:p w14:paraId="4A56F64E" w14:textId="4E4A474F" w:rsidR="00DA4670" w:rsidRDefault="00DA4670" w:rsidP="00D63204">
      <w:pPr>
        <w:widowControl w:val="0"/>
        <w:tabs>
          <w:tab w:val="left" w:pos="668"/>
        </w:tabs>
        <w:spacing w:after="0" w:line="264" w:lineRule="exact"/>
        <w:ind w:left="107"/>
        <w:rPr>
          <w:rFonts w:ascii="Calibri" w:hAnsi="Calibri" w:cs="Calibri"/>
          <w:color w:val="231F20"/>
          <w:w w:val="105"/>
        </w:rPr>
      </w:pPr>
    </w:p>
    <w:p w14:paraId="0863C359" w14:textId="77777777" w:rsidR="00DA4670" w:rsidRDefault="00DA4670" w:rsidP="00D63204">
      <w:pPr>
        <w:widowControl w:val="0"/>
        <w:tabs>
          <w:tab w:val="left" w:pos="668"/>
        </w:tabs>
        <w:spacing w:after="0" w:line="264" w:lineRule="exact"/>
        <w:ind w:left="107"/>
        <w:rPr>
          <w:rFonts w:ascii="Calibri" w:hAnsi="Calibri" w:cs="Calibri"/>
          <w:color w:val="231F20"/>
          <w:w w:val="105"/>
        </w:rPr>
      </w:pPr>
    </w:p>
    <w:p w14:paraId="42505854" w14:textId="77777777" w:rsidR="00DA4670" w:rsidRDefault="00DA4670" w:rsidP="00D63204">
      <w:pPr>
        <w:widowControl w:val="0"/>
        <w:tabs>
          <w:tab w:val="left" w:pos="668"/>
        </w:tabs>
        <w:spacing w:after="0" w:line="264" w:lineRule="exact"/>
        <w:ind w:left="107"/>
        <w:rPr>
          <w:rFonts w:ascii="Calibri" w:hAnsi="Calibri" w:cs="Calibri"/>
          <w:color w:val="231F20"/>
          <w:w w:val="105"/>
        </w:rPr>
      </w:pPr>
    </w:p>
    <w:p w14:paraId="2F8EDC05" w14:textId="77777777" w:rsidR="00EA7458" w:rsidRPr="00EA7458" w:rsidRDefault="00EA7458" w:rsidP="00D63204">
      <w:pPr>
        <w:widowControl w:val="0"/>
        <w:spacing w:before="6" w:after="0" w:line="240" w:lineRule="auto"/>
        <w:ind w:left="107"/>
        <w:rPr>
          <w:rFonts w:ascii="Calibri" w:hAnsi="Calibri" w:cs="Calibri"/>
          <w:sz w:val="16"/>
          <w:szCs w:val="16"/>
        </w:rPr>
      </w:pPr>
    </w:p>
    <w:p w14:paraId="169B6B95" w14:textId="572286E4" w:rsidR="00EA7458" w:rsidRPr="009638CB" w:rsidRDefault="00EA7458" w:rsidP="00D63204">
      <w:pPr>
        <w:widowControl w:val="0"/>
        <w:numPr>
          <w:ilvl w:val="1"/>
          <w:numId w:val="7"/>
        </w:numPr>
        <w:tabs>
          <w:tab w:val="left" w:pos="1278"/>
        </w:tabs>
        <w:spacing w:after="0" w:line="240" w:lineRule="auto"/>
        <w:outlineLvl w:val="2"/>
        <w:rPr>
          <w:rFonts w:ascii="Calibri" w:hAnsi="Calibri"/>
        </w:rPr>
      </w:pPr>
      <w:r w:rsidRPr="00EA7458">
        <w:rPr>
          <w:rFonts w:ascii="Calibri" w:hAnsi="Calibri"/>
          <w:b/>
          <w:bCs/>
          <w:color w:val="295CA3"/>
          <w:w w:val="110"/>
        </w:rPr>
        <w:lastRenderedPageBreak/>
        <w:t>Strategies to Align Core</w:t>
      </w:r>
      <w:r w:rsidRPr="00EA7458">
        <w:rPr>
          <w:rFonts w:ascii="Calibri" w:hAnsi="Calibri"/>
          <w:b/>
          <w:bCs/>
          <w:color w:val="295CA3"/>
          <w:spacing w:val="4"/>
          <w:w w:val="110"/>
        </w:rPr>
        <w:t xml:space="preserve"> </w:t>
      </w:r>
      <w:r w:rsidRPr="00EA7458">
        <w:rPr>
          <w:rFonts w:ascii="Calibri" w:hAnsi="Calibri"/>
          <w:b/>
          <w:bCs/>
          <w:color w:val="295CA3"/>
          <w:w w:val="110"/>
        </w:rPr>
        <w:t>Programs</w:t>
      </w:r>
    </w:p>
    <w:p w14:paraId="637AFCB5" w14:textId="77777777" w:rsidR="00EA7458" w:rsidRPr="00EA7458" w:rsidRDefault="00EA7458" w:rsidP="00D63204">
      <w:pPr>
        <w:widowControl w:val="0"/>
        <w:spacing w:before="190" w:after="0" w:line="266" w:lineRule="exact"/>
        <w:ind w:left="107"/>
        <w:rPr>
          <w:rFonts w:ascii="Calibri" w:hAnsi="Calibri" w:cs="Calibri"/>
        </w:rPr>
      </w:pPr>
      <w:r w:rsidRPr="00EA7458">
        <w:rPr>
          <w:rFonts w:ascii="Calibri" w:hAnsi="Calibri"/>
          <w:b/>
          <w:color w:val="231F20"/>
          <w:w w:val="110"/>
        </w:rPr>
        <w:t>Florida</w:t>
      </w:r>
      <w:r w:rsidRPr="00EA7458">
        <w:rPr>
          <w:rFonts w:ascii="Calibri" w:hAnsi="Calibri"/>
          <w:b/>
          <w:color w:val="231F20"/>
          <w:spacing w:val="-13"/>
          <w:w w:val="110"/>
        </w:rPr>
        <w:t xml:space="preserve"> </w:t>
      </w:r>
      <w:r w:rsidRPr="00EA7458">
        <w:rPr>
          <w:rFonts w:ascii="Calibri" w:hAnsi="Calibri"/>
          <w:b/>
          <w:color w:val="231F20"/>
          <w:w w:val="110"/>
        </w:rPr>
        <w:t>Workforce</w:t>
      </w:r>
      <w:r w:rsidRPr="00EA7458">
        <w:rPr>
          <w:rFonts w:ascii="Calibri" w:hAnsi="Calibri"/>
          <w:b/>
          <w:color w:val="231F20"/>
          <w:spacing w:val="-13"/>
          <w:w w:val="110"/>
        </w:rPr>
        <w:t xml:space="preserve"> </w:t>
      </w:r>
      <w:r w:rsidRPr="00EA7458">
        <w:rPr>
          <w:rFonts w:ascii="Calibri" w:hAnsi="Calibri"/>
          <w:b/>
          <w:color w:val="231F20"/>
          <w:w w:val="110"/>
        </w:rPr>
        <w:t>and</w:t>
      </w:r>
      <w:r w:rsidRPr="00EA7458">
        <w:rPr>
          <w:rFonts w:ascii="Calibri" w:hAnsi="Calibri"/>
          <w:b/>
          <w:color w:val="231F20"/>
          <w:spacing w:val="-13"/>
          <w:w w:val="110"/>
        </w:rPr>
        <w:t xml:space="preserve"> </w:t>
      </w:r>
      <w:r w:rsidRPr="00EA7458">
        <w:rPr>
          <w:rFonts w:ascii="Calibri" w:hAnsi="Calibri"/>
          <w:b/>
          <w:color w:val="231F20"/>
          <w:w w:val="110"/>
        </w:rPr>
        <w:t>Innovation</w:t>
      </w:r>
      <w:r w:rsidRPr="00EA7458">
        <w:rPr>
          <w:rFonts w:ascii="Calibri" w:hAnsi="Calibri"/>
          <w:b/>
          <w:color w:val="231F20"/>
          <w:spacing w:val="-13"/>
          <w:w w:val="110"/>
        </w:rPr>
        <w:t xml:space="preserve"> </w:t>
      </w:r>
      <w:r w:rsidRPr="00EA7458">
        <w:rPr>
          <w:rFonts w:ascii="Calibri" w:hAnsi="Calibri"/>
          <w:b/>
          <w:color w:val="231F20"/>
          <w:w w:val="110"/>
        </w:rPr>
        <w:t>Opportunity</w:t>
      </w:r>
      <w:r w:rsidRPr="00EA7458">
        <w:rPr>
          <w:rFonts w:ascii="Calibri" w:hAnsi="Calibri"/>
          <w:b/>
          <w:color w:val="231F20"/>
          <w:spacing w:val="-13"/>
          <w:w w:val="110"/>
        </w:rPr>
        <w:t xml:space="preserve"> </w:t>
      </w:r>
      <w:r w:rsidRPr="00EA7458">
        <w:rPr>
          <w:rFonts w:ascii="Calibri" w:hAnsi="Calibri"/>
          <w:b/>
          <w:color w:val="231F20"/>
          <w:w w:val="110"/>
        </w:rPr>
        <w:t>Act</w:t>
      </w:r>
      <w:r w:rsidRPr="00EA7458">
        <w:rPr>
          <w:rFonts w:ascii="Calibri" w:hAnsi="Calibri"/>
          <w:b/>
          <w:color w:val="231F20"/>
          <w:spacing w:val="-13"/>
          <w:w w:val="110"/>
        </w:rPr>
        <w:t xml:space="preserve"> </w:t>
      </w:r>
      <w:r w:rsidRPr="00EA7458">
        <w:rPr>
          <w:rFonts w:ascii="Calibri" w:hAnsi="Calibri"/>
          <w:b/>
          <w:color w:val="231F20"/>
          <w:spacing w:val="-4"/>
          <w:w w:val="110"/>
        </w:rPr>
        <w:t>Task</w:t>
      </w:r>
      <w:r w:rsidRPr="00EA7458">
        <w:rPr>
          <w:rFonts w:ascii="Calibri" w:hAnsi="Calibri"/>
          <w:b/>
          <w:color w:val="231F20"/>
          <w:spacing w:val="-13"/>
          <w:w w:val="110"/>
        </w:rPr>
        <w:t xml:space="preserve"> </w:t>
      </w:r>
      <w:r w:rsidRPr="00EA7458">
        <w:rPr>
          <w:rFonts w:ascii="Calibri" w:hAnsi="Calibri"/>
          <w:b/>
          <w:color w:val="231F20"/>
          <w:w w:val="110"/>
        </w:rPr>
        <w:t>Force</w:t>
      </w:r>
    </w:p>
    <w:p w14:paraId="272FC8D9" w14:textId="1683B76A" w:rsidR="00177157" w:rsidRDefault="00EA7458" w:rsidP="00D63204">
      <w:pPr>
        <w:widowControl w:val="0"/>
        <w:spacing w:before="2" w:after="0" w:line="235" w:lineRule="auto"/>
        <w:ind w:left="107"/>
        <w:rPr>
          <w:rFonts w:ascii="Calibri" w:hAnsi="Calibri"/>
          <w:spacing w:val="30"/>
          <w:w w:val="105"/>
        </w:rPr>
      </w:pPr>
      <w:r w:rsidRPr="0078084A">
        <w:rPr>
          <w:rFonts w:ascii="Calibri" w:hAnsi="Calibri" w:cs="Calibri"/>
          <w:color w:val="231F20"/>
          <w:w w:val="105"/>
        </w:rPr>
        <w:t>Florida’s implementation of WIOA began with the formation of a legislatively</w:t>
      </w:r>
      <w:r w:rsidR="006A163A">
        <w:rPr>
          <w:rFonts w:ascii="Calibri" w:hAnsi="Calibri" w:cs="Calibri"/>
          <w:color w:val="231F20"/>
          <w:w w:val="105"/>
        </w:rPr>
        <w:t xml:space="preserve"> </w:t>
      </w:r>
      <w:r w:rsidRPr="0078084A">
        <w:rPr>
          <w:rFonts w:ascii="Calibri" w:hAnsi="Calibri" w:cs="Calibri"/>
          <w:color w:val="231F20"/>
          <w:w w:val="105"/>
        </w:rPr>
        <w:t xml:space="preserve">created task force </w:t>
      </w:r>
      <w:r w:rsidR="00870CAC" w:rsidRPr="0078084A">
        <w:rPr>
          <w:rFonts w:ascii="Calibri" w:hAnsi="Calibri" w:cs="Calibri"/>
          <w:color w:val="231F20"/>
          <w:w w:val="105"/>
        </w:rPr>
        <w:t xml:space="preserve">composed </w:t>
      </w:r>
      <w:r w:rsidRPr="0078084A">
        <w:rPr>
          <w:rFonts w:ascii="Calibri" w:hAnsi="Calibri" w:cs="Calibri"/>
          <w:color w:val="231F20"/>
          <w:w w:val="105"/>
        </w:rPr>
        <w:t xml:space="preserve">of </w:t>
      </w:r>
      <w:r w:rsidR="00B15F23">
        <w:rPr>
          <w:rFonts w:ascii="Calibri" w:hAnsi="Calibri" w:cs="Calibri"/>
          <w:color w:val="231F20"/>
          <w:w w:val="105"/>
        </w:rPr>
        <w:t>leaders</w:t>
      </w:r>
      <w:r w:rsidRPr="0078084A">
        <w:rPr>
          <w:rFonts w:ascii="Calibri" w:hAnsi="Calibri" w:cs="Calibri"/>
          <w:color w:val="231F20"/>
          <w:w w:val="105"/>
        </w:rPr>
        <w:t xml:space="preserve"> in each agency </w:t>
      </w:r>
      <w:r w:rsidR="0078084A" w:rsidRPr="0078084A">
        <w:rPr>
          <w:rFonts w:ascii="Calibri" w:hAnsi="Calibri" w:cs="Calibri"/>
          <w:color w:val="231F20"/>
          <w:w w:val="105"/>
        </w:rPr>
        <w:t xml:space="preserve">and stakeholders </w:t>
      </w:r>
      <w:r w:rsidRPr="0078084A">
        <w:rPr>
          <w:rFonts w:ascii="Calibri" w:hAnsi="Calibri" w:cs="Calibri"/>
          <w:color w:val="231F20"/>
          <w:w w:val="105"/>
        </w:rPr>
        <w:t xml:space="preserve">with an impact on Florida’s </w:t>
      </w:r>
      <w:r w:rsidR="00634A52">
        <w:rPr>
          <w:rFonts w:ascii="Calibri" w:hAnsi="Calibri" w:cs="Calibri"/>
          <w:color w:val="231F20"/>
          <w:w w:val="105"/>
        </w:rPr>
        <w:t>w</w:t>
      </w:r>
      <w:r w:rsidRPr="0078084A">
        <w:rPr>
          <w:rFonts w:ascii="Calibri" w:hAnsi="Calibri" w:cs="Calibri"/>
          <w:color w:val="231F20"/>
          <w:w w:val="105"/>
        </w:rPr>
        <w:t xml:space="preserve">orkforce </w:t>
      </w:r>
      <w:r w:rsidR="00634A52">
        <w:rPr>
          <w:rFonts w:ascii="Calibri" w:hAnsi="Calibri" w:cs="Calibri"/>
          <w:color w:val="231F20"/>
          <w:w w:val="105"/>
        </w:rPr>
        <w:t>d</w:t>
      </w:r>
      <w:r w:rsidRPr="0078084A">
        <w:rPr>
          <w:rFonts w:ascii="Calibri" w:hAnsi="Calibri" w:cs="Calibri"/>
          <w:color w:val="231F20"/>
          <w:w w:val="105"/>
        </w:rPr>
        <w:t xml:space="preserve">evelopment </w:t>
      </w:r>
      <w:r w:rsidR="00634A52">
        <w:rPr>
          <w:rFonts w:ascii="Calibri" w:hAnsi="Calibri" w:cs="Calibri"/>
          <w:color w:val="231F20"/>
          <w:w w:val="105"/>
        </w:rPr>
        <w:t>s</w:t>
      </w:r>
      <w:r w:rsidRPr="0078084A">
        <w:rPr>
          <w:rFonts w:ascii="Calibri" w:hAnsi="Calibri" w:cs="Calibri"/>
          <w:color w:val="231F20"/>
          <w:w w:val="105"/>
        </w:rPr>
        <w:t xml:space="preserve">ystem. </w:t>
      </w:r>
    </w:p>
    <w:p w14:paraId="78EA2FDA" w14:textId="77777777" w:rsidR="00177157" w:rsidRDefault="00177157" w:rsidP="00D63204">
      <w:pPr>
        <w:widowControl w:val="0"/>
        <w:spacing w:before="2" w:after="0" w:line="235" w:lineRule="auto"/>
        <w:ind w:left="107"/>
        <w:rPr>
          <w:rFonts w:ascii="Calibri" w:hAnsi="Calibri"/>
          <w:spacing w:val="30"/>
          <w:w w:val="105"/>
        </w:rPr>
      </w:pPr>
    </w:p>
    <w:p w14:paraId="4962F02F" w14:textId="2606A0CA" w:rsidR="00B317FB" w:rsidRDefault="00EA7458" w:rsidP="00D63204">
      <w:pPr>
        <w:widowControl w:val="0"/>
        <w:spacing w:line="264" w:lineRule="exact"/>
        <w:ind w:left="107"/>
        <w:outlineLvl w:val="2"/>
        <w:rPr>
          <w:rFonts w:ascii="Calibri" w:hAnsi="Calibri" w:cs="Calibri"/>
        </w:rPr>
      </w:pPr>
      <w:r w:rsidRPr="00EA7458">
        <w:rPr>
          <w:rFonts w:ascii="Calibri" w:hAnsi="Calibri"/>
          <w:b/>
          <w:bCs/>
          <w:color w:val="231F20"/>
          <w:w w:val="105"/>
        </w:rPr>
        <w:t>As required by the enacting legislation, task force members include</w:t>
      </w:r>
      <w:r w:rsidR="00A92D27">
        <w:rPr>
          <w:rFonts w:ascii="Calibri" w:hAnsi="Calibri"/>
          <w:b/>
          <w:bCs/>
          <w:color w:val="231F20"/>
          <w:w w:val="105"/>
        </w:rPr>
        <w:t>d</w:t>
      </w:r>
      <w:r w:rsidRPr="00EA7458">
        <w:rPr>
          <w:rFonts w:ascii="Calibri" w:hAnsi="Calibri"/>
          <w:b/>
          <w:bCs/>
          <w:color w:val="231F20"/>
          <w:w w:val="105"/>
        </w:rPr>
        <w:t>:</w:t>
      </w:r>
    </w:p>
    <w:p w14:paraId="188135B2" w14:textId="7846EC42" w:rsidR="00EA7458" w:rsidRPr="00B317FB" w:rsidRDefault="00EA7458" w:rsidP="00D63204">
      <w:pPr>
        <w:pStyle w:val="ListParagraph"/>
        <w:widowControl w:val="0"/>
        <w:numPr>
          <w:ilvl w:val="0"/>
          <w:numId w:val="21"/>
        </w:numPr>
        <w:spacing w:before="57" w:after="0"/>
        <w:ind w:hanging="180"/>
        <w:outlineLvl w:val="2"/>
        <w:rPr>
          <w:rFonts w:ascii="Calibri" w:hAnsi="Calibri" w:cs="Calibri"/>
        </w:rPr>
      </w:pPr>
      <w:r w:rsidRPr="00B317FB">
        <w:rPr>
          <w:rFonts w:ascii="Calibri" w:hAnsi="Calibri"/>
          <w:color w:val="231F20"/>
          <w:w w:val="105"/>
        </w:rPr>
        <w:t xml:space="preserve">Agency for </w:t>
      </w:r>
      <w:r w:rsidR="00FC038A" w:rsidRPr="00B317FB">
        <w:rPr>
          <w:rFonts w:ascii="Calibri" w:hAnsi="Calibri"/>
          <w:color w:val="231F20"/>
          <w:w w:val="105"/>
        </w:rPr>
        <w:t>Persons with Disabilities</w:t>
      </w:r>
      <w:r w:rsidRPr="00B317FB">
        <w:rPr>
          <w:rFonts w:ascii="Calibri" w:hAnsi="Calibri"/>
          <w:color w:val="231F20"/>
          <w:w w:val="105"/>
        </w:rPr>
        <w:t>;</w:t>
      </w:r>
    </w:p>
    <w:p w14:paraId="2FF59EE5" w14:textId="77777777" w:rsidR="00EA7458" w:rsidRPr="00EC310E" w:rsidRDefault="00EA7458" w:rsidP="00D63204">
      <w:pPr>
        <w:pStyle w:val="ListParagraph"/>
        <w:widowControl w:val="0"/>
        <w:numPr>
          <w:ilvl w:val="0"/>
          <w:numId w:val="20"/>
        </w:numPr>
        <w:tabs>
          <w:tab w:val="left" w:pos="668"/>
        </w:tabs>
        <w:spacing w:before="85" w:after="0"/>
        <w:rPr>
          <w:rFonts w:ascii="Calibri" w:hAnsi="Calibri" w:cs="Calibri"/>
          <w:color w:val="231F20"/>
        </w:rPr>
      </w:pPr>
      <w:r w:rsidRPr="00EC310E">
        <w:rPr>
          <w:rFonts w:ascii="Calibri" w:hAnsi="Calibri"/>
          <w:color w:val="231F20"/>
          <w:w w:val="110"/>
        </w:rPr>
        <w:t>CareerSource</w:t>
      </w:r>
      <w:r w:rsidRPr="00EC310E">
        <w:rPr>
          <w:rFonts w:ascii="Calibri" w:hAnsi="Calibri"/>
          <w:color w:val="231F20"/>
          <w:spacing w:val="1"/>
          <w:w w:val="110"/>
        </w:rPr>
        <w:t xml:space="preserve"> </w:t>
      </w:r>
      <w:r w:rsidRPr="00EC310E">
        <w:rPr>
          <w:rFonts w:ascii="Calibri" w:hAnsi="Calibri"/>
          <w:color w:val="231F20"/>
          <w:w w:val="110"/>
        </w:rPr>
        <w:t>Florida;</w:t>
      </w:r>
    </w:p>
    <w:p w14:paraId="7CDD77A0" w14:textId="77777777" w:rsidR="00EA7458" w:rsidRPr="00EC310E" w:rsidRDefault="00EA7458" w:rsidP="00D63204">
      <w:pPr>
        <w:pStyle w:val="ListParagraph"/>
        <w:widowControl w:val="0"/>
        <w:numPr>
          <w:ilvl w:val="0"/>
          <w:numId w:val="20"/>
        </w:numPr>
        <w:tabs>
          <w:tab w:val="left" w:pos="668"/>
        </w:tabs>
        <w:spacing w:before="85" w:after="0"/>
        <w:rPr>
          <w:rFonts w:ascii="Calibri" w:hAnsi="Calibri" w:cs="Calibri"/>
          <w:color w:val="231F20"/>
        </w:rPr>
      </w:pPr>
      <w:r w:rsidRPr="00EC310E">
        <w:rPr>
          <w:rFonts w:ascii="Calibri" w:hAnsi="Calibri"/>
          <w:color w:val="231F20"/>
          <w:w w:val="105"/>
        </w:rPr>
        <w:t>Enterprise</w:t>
      </w:r>
      <w:r w:rsidRPr="00EC310E">
        <w:rPr>
          <w:rFonts w:ascii="Calibri" w:hAnsi="Calibri"/>
          <w:color w:val="231F20"/>
          <w:spacing w:val="4"/>
          <w:w w:val="105"/>
        </w:rPr>
        <w:t xml:space="preserve"> </w:t>
      </w:r>
      <w:r w:rsidRPr="00EC310E">
        <w:rPr>
          <w:rFonts w:ascii="Calibri" w:hAnsi="Calibri"/>
          <w:color w:val="231F20"/>
          <w:w w:val="105"/>
        </w:rPr>
        <w:t>Florida;</w:t>
      </w:r>
    </w:p>
    <w:p w14:paraId="57433D6B" w14:textId="77777777" w:rsidR="00EA7458" w:rsidRPr="00EC310E" w:rsidRDefault="00EA7458" w:rsidP="00D63204">
      <w:pPr>
        <w:pStyle w:val="ListParagraph"/>
        <w:widowControl w:val="0"/>
        <w:numPr>
          <w:ilvl w:val="0"/>
          <w:numId w:val="20"/>
        </w:numPr>
        <w:tabs>
          <w:tab w:val="left" w:pos="668"/>
        </w:tabs>
        <w:spacing w:before="85" w:after="0"/>
        <w:rPr>
          <w:rFonts w:ascii="Calibri" w:hAnsi="Calibri" w:cs="Calibri"/>
          <w:color w:val="231F20"/>
        </w:rPr>
      </w:pPr>
      <w:r w:rsidRPr="00EC310E">
        <w:rPr>
          <w:rFonts w:ascii="Calibri" w:hAnsi="Calibri"/>
          <w:color w:val="231F20"/>
          <w:w w:val="110"/>
        </w:rPr>
        <w:t>Florida Association of Postsecondary Schools and Colleges</w:t>
      </w:r>
      <w:r w:rsidRPr="00EC310E">
        <w:rPr>
          <w:rFonts w:ascii="Calibri" w:hAnsi="Calibri"/>
          <w:color w:val="231F20"/>
          <w:spacing w:val="9"/>
          <w:w w:val="110"/>
        </w:rPr>
        <w:t xml:space="preserve"> </w:t>
      </w:r>
      <w:r w:rsidRPr="00EC310E">
        <w:rPr>
          <w:rFonts w:ascii="Calibri" w:hAnsi="Calibri"/>
          <w:color w:val="231F20"/>
          <w:w w:val="110"/>
        </w:rPr>
        <w:t>Inc.;</w:t>
      </w:r>
    </w:p>
    <w:p w14:paraId="49981B4C" w14:textId="77777777" w:rsidR="00EA7458" w:rsidRPr="00EC310E" w:rsidRDefault="00EA7458" w:rsidP="00D63204">
      <w:pPr>
        <w:pStyle w:val="ListParagraph"/>
        <w:widowControl w:val="0"/>
        <w:numPr>
          <w:ilvl w:val="0"/>
          <w:numId w:val="20"/>
        </w:numPr>
        <w:tabs>
          <w:tab w:val="left" w:pos="668"/>
        </w:tabs>
        <w:spacing w:before="85" w:after="0"/>
        <w:rPr>
          <w:rFonts w:ascii="Calibri" w:hAnsi="Calibri" w:cs="Calibri"/>
          <w:color w:val="231F20"/>
        </w:rPr>
      </w:pPr>
      <w:r w:rsidRPr="00EC310E">
        <w:rPr>
          <w:rFonts w:ascii="Calibri" w:hAnsi="Calibri"/>
          <w:color w:val="231F20"/>
          <w:w w:val="110"/>
        </w:rPr>
        <w:t>Florida College</w:t>
      </w:r>
      <w:r w:rsidRPr="00EC310E">
        <w:rPr>
          <w:rFonts w:ascii="Calibri" w:hAnsi="Calibri"/>
          <w:color w:val="231F20"/>
          <w:spacing w:val="3"/>
          <w:w w:val="110"/>
        </w:rPr>
        <w:t xml:space="preserve"> </w:t>
      </w:r>
      <w:r w:rsidRPr="00EC310E">
        <w:rPr>
          <w:rFonts w:ascii="Calibri" w:hAnsi="Calibri"/>
          <w:color w:val="231F20"/>
          <w:w w:val="110"/>
        </w:rPr>
        <w:t>System;</w:t>
      </w:r>
    </w:p>
    <w:p w14:paraId="6B5BFBE3" w14:textId="77777777" w:rsidR="00EA7458" w:rsidRPr="00EC310E" w:rsidRDefault="00EA7458" w:rsidP="00D63204">
      <w:pPr>
        <w:pStyle w:val="ListParagraph"/>
        <w:widowControl w:val="0"/>
        <w:numPr>
          <w:ilvl w:val="0"/>
          <w:numId w:val="20"/>
        </w:numPr>
        <w:tabs>
          <w:tab w:val="left" w:pos="668"/>
        </w:tabs>
        <w:spacing w:before="85" w:after="0"/>
        <w:rPr>
          <w:rFonts w:ascii="Calibri" w:hAnsi="Calibri" w:cs="Calibri"/>
          <w:color w:val="231F20"/>
        </w:rPr>
      </w:pPr>
      <w:r w:rsidRPr="00EC310E">
        <w:rPr>
          <w:rFonts w:ascii="Calibri" w:hAnsi="Calibri"/>
          <w:color w:val="231F20"/>
          <w:w w:val="105"/>
        </w:rPr>
        <w:t>Florida Department Children and</w:t>
      </w:r>
      <w:r w:rsidRPr="00EC310E">
        <w:rPr>
          <w:rFonts w:ascii="Calibri" w:hAnsi="Calibri"/>
          <w:color w:val="231F20"/>
          <w:spacing w:val="20"/>
          <w:w w:val="105"/>
        </w:rPr>
        <w:t xml:space="preserve"> </w:t>
      </w:r>
      <w:r w:rsidRPr="00EC310E">
        <w:rPr>
          <w:rFonts w:ascii="Calibri" w:hAnsi="Calibri"/>
          <w:color w:val="231F20"/>
          <w:w w:val="105"/>
        </w:rPr>
        <w:t>Families;</w:t>
      </w:r>
    </w:p>
    <w:p w14:paraId="42DB2608" w14:textId="77777777" w:rsidR="00EA7458" w:rsidRPr="00EC310E" w:rsidRDefault="00EA7458" w:rsidP="00D63204">
      <w:pPr>
        <w:pStyle w:val="ListParagraph"/>
        <w:widowControl w:val="0"/>
        <w:numPr>
          <w:ilvl w:val="0"/>
          <w:numId w:val="20"/>
        </w:numPr>
        <w:tabs>
          <w:tab w:val="left" w:pos="668"/>
        </w:tabs>
        <w:spacing w:before="85" w:after="0"/>
        <w:rPr>
          <w:rFonts w:ascii="Calibri" w:hAnsi="Calibri" w:cs="Calibri"/>
          <w:color w:val="231F20"/>
        </w:rPr>
      </w:pPr>
      <w:r w:rsidRPr="00EC310E">
        <w:rPr>
          <w:rFonts w:ascii="Calibri" w:hAnsi="Calibri"/>
          <w:color w:val="231F20"/>
          <w:w w:val="105"/>
        </w:rPr>
        <w:t>Florida Department of</w:t>
      </w:r>
      <w:r w:rsidRPr="00EC310E">
        <w:rPr>
          <w:rFonts w:ascii="Calibri" w:hAnsi="Calibri"/>
          <w:color w:val="231F20"/>
          <w:spacing w:val="14"/>
          <w:w w:val="105"/>
        </w:rPr>
        <w:t xml:space="preserve"> </w:t>
      </w:r>
      <w:r w:rsidRPr="00EC310E">
        <w:rPr>
          <w:rFonts w:ascii="Calibri" w:hAnsi="Calibri"/>
          <w:color w:val="231F20"/>
          <w:w w:val="105"/>
        </w:rPr>
        <w:t>Corrections;</w:t>
      </w:r>
    </w:p>
    <w:p w14:paraId="713F6604" w14:textId="77777777" w:rsidR="00EC310E" w:rsidRPr="00EC310E" w:rsidRDefault="00EA7458" w:rsidP="00D63204">
      <w:pPr>
        <w:pStyle w:val="ListParagraph"/>
        <w:widowControl w:val="0"/>
        <w:numPr>
          <w:ilvl w:val="0"/>
          <w:numId w:val="20"/>
        </w:numPr>
        <w:tabs>
          <w:tab w:val="left" w:pos="668"/>
        </w:tabs>
        <w:spacing w:before="85" w:after="0"/>
        <w:rPr>
          <w:rFonts w:ascii="Calibri" w:hAnsi="Calibri"/>
          <w:color w:val="231F20"/>
          <w:w w:val="105"/>
        </w:rPr>
      </w:pPr>
      <w:r w:rsidRPr="00EC310E">
        <w:rPr>
          <w:rFonts w:ascii="Calibri" w:hAnsi="Calibri"/>
          <w:color w:val="231F20"/>
          <w:w w:val="105"/>
        </w:rPr>
        <w:t>Florida Department of Economic</w:t>
      </w:r>
      <w:r w:rsidRPr="00EC310E">
        <w:rPr>
          <w:rFonts w:ascii="Calibri" w:hAnsi="Calibri"/>
          <w:color w:val="231F20"/>
          <w:spacing w:val="19"/>
          <w:w w:val="105"/>
        </w:rPr>
        <w:t xml:space="preserve"> </w:t>
      </w:r>
      <w:r w:rsidRPr="00EC310E">
        <w:rPr>
          <w:rFonts w:ascii="Calibri" w:hAnsi="Calibri"/>
          <w:color w:val="231F20"/>
          <w:w w:val="105"/>
        </w:rPr>
        <w:t>Opportunity;</w:t>
      </w:r>
    </w:p>
    <w:p w14:paraId="4ADFB49F" w14:textId="09C238FC" w:rsidR="00EC310E" w:rsidRPr="00EC310E" w:rsidRDefault="00EA7458" w:rsidP="00D63204">
      <w:pPr>
        <w:pStyle w:val="ListParagraph"/>
        <w:widowControl w:val="0"/>
        <w:numPr>
          <w:ilvl w:val="0"/>
          <w:numId w:val="20"/>
        </w:numPr>
        <w:tabs>
          <w:tab w:val="left" w:pos="668"/>
        </w:tabs>
        <w:spacing w:before="85" w:after="0"/>
        <w:rPr>
          <w:rFonts w:ascii="Calibri" w:hAnsi="Calibri"/>
          <w:color w:val="231F20"/>
          <w:w w:val="105"/>
        </w:rPr>
      </w:pPr>
      <w:r w:rsidRPr="00EC310E">
        <w:rPr>
          <w:rFonts w:ascii="Calibri" w:hAnsi="Calibri"/>
          <w:color w:val="231F20"/>
          <w:w w:val="105"/>
        </w:rPr>
        <w:t>Florida Department of Education;</w:t>
      </w:r>
    </w:p>
    <w:p w14:paraId="3132DE69" w14:textId="77777777" w:rsidR="00EC310E" w:rsidRPr="00EC310E" w:rsidRDefault="00EA7458" w:rsidP="00D63204">
      <w:pPr>
        <w:pStyle w:val="ListParagraph"/>
        <w:widowControl w:val="0"/>
        <w:numPr>
          <w:ilvl w:val="0"/>
          <w:numId w:val="20"/>
        </w:numPr>
        <w:tabs>
          <w:tab w:val="left" w:pos="668"/>
        </w:tabs>
        <w:spacing w:before="85" w:after="0"/>
        <w:rPr>
          <w:rFonts w:ascii="Calibri" w:hAnsi="Calibri"/>
          <w:color w:val="231F20"/>
          <w:w w:val="105"/>
        </w:rPr>
      </w:pPr>
      <w:r w:rsidRPr="00EC310E">
        <w:rPr>
          <w:rFonts w:ascii="Calibri" w:hAnsi="Calibri"/>
          <w:color w:val="231F20"/>
          <w:w w:val="105"/>
        </w:rPr>
        <w:t>Florida Department of Education, Division of Blind</w:t>
      </w:r>
      <w:r w:rsidRPr="00EC310E">
        <w:rPr>
          <w:rFonts w:ascii="Calibri" w:hAnsi="Calibri"/>
          <w:color w:val="231F20"/>
          <w:spacing w:val="40"/>
          <w:w w:val="105"/>
        </w:rPr>
        <w:t xml:space="preserve"> </w:t>
      </w:r>
      <w:r w:rsidRPr="00EC310E">
        <w:rPr>
          <w:rFonts w:ascii="Calibri" w:hAnsi="Calibri"/>
          <w:color w:val="231F20"/>
          <w:w w:val="105"/>
        </w:rPr>
        <w:t>Services;</w:t>
      </w:r>
    </w:p>
    <w:p w14:paraId="62BF0947" w14:textId="77777777" w:rsidR="00EC310E" w:rsidRPr="00EC310E" w:rsidRDefault="00EA7458" w:rsidP="00D63204">
      <w:pPr>
        <w:pStyle w:val="ListParagraph"/>
        <w:widowControl w:val="0"/>
        <w:numPr>
          <w:ilvl w:val="0"/>
          <w:numId w:val="20"/>
        </w:numPr>
        <w:tabs>
          <w:tab w:val="left" w:pos="668"/>
        </w:tabs>
        <w:spacing w:before="85" w:after="0"/>
        <w:rPr>
          <w:rFonts w:ascii="Calibri" w:hAnsi="Calibri"/>
          <w:color w:val="231F20"/>
          <w:w w:val="105"/>
        </w:rPr>
      </w:pPr>
      <w:r w:rsidRPr="00EC310E">
        <w:rPr>
          <w:rFonts w:ascii="Calibri" w:hAnsi="Calibri"/>
          <w:color w:val="231F20"/>
          <w:w w:val="105"/>
        </w:rPr>
        <w:t>Florida Department of Education, Division of Career and Adult</w:t>
      </w:r>
      <w:r w:rsidRPr="00EC310E">
        <w:rPr>
          <w:rFonts w:ascii="Calibri" w:hAnsi="Calibri"/>
          <w:color w:val="231F20"/>
          <w:spacing w:val="3"/>
          <w:w w:val="105"/>
        </w:rPr>
        <w:t xml:space="preserve"> </w:t>
      </w:r>
      <w:r w:rsidRPr="00EC310E">
        <w:rPr>
          <w:rFonts w:ascii="Calibri" w:hAnsi="Calibri"/>
          <w:color w:val="231F20"/>
          <w:w w:val="105"/>
        </w:rPr>
        <w:t>Education;</w:t>
      </w:r>
    </w:p>
    <w:p w14:paraId="60E91597" w14:textId="77777777" w:rsidR="00EC310E" w:rsidRPr="00EC310E" w:rsidRDefault="00EA7458" w:rsidP="00D63204">
      <w:pPr>
        <w:pStyle w:val="ListParagraph"/>
        <w:widowControl w:val="0"/>
        <w:numPr>
          <w:ilvl w:val="0"/>
          <w:numId w:val="20"/>
        </w:numPr>
        <w:tabs>
          <w:tab w:val="left" w:pos="668"/>
        </w:tabs>
        <w:spacing w:before="85" w:after="0"/>
        <w:rPr>
          <w:rFonts w:ascii="Calibri" w:hAnsi="Calibri"/>
          <w:color w:val="231F20"/>
          <w:w w:val="105"/>
        </w:rPr>
      </w:pPr>
      <w:r w:rsidRPr="00EC310E">
        <w:rPr>
          <w:rFonts w:ascii="Calibri" w:hAnsi="Calibri"/>
          <w:color w:val="231F20"/>
          <w:w w:val="105"/>
        </w:rPr>
        <w:t>Florida Department of Education, Division of Vocational</w:t>
      </w:r>
      <w:r w:rsidRPr="00EC310E">
        <w:rPr>
          <w:rFonts w:ascii="Calibri" w:hAnsi="Calibri"/>
          <w:color w:val="231F20"/>
          <w:spacing w:val="35"/>
          <w:w w:val="105"/>
        </w:rPr>
        <w:t xml:space="preserve"> </w:t>
      </w:r>
      <w:r w:rsidRPr="00EC310E">
        <w:rPr>
          <w:rFonts w:ascii="Calibri" w:hAnsi="Calibri"/>
          <w:color w:val="231F20"/>
          <w:w w:val="105"/>
        </w:rPr>
        <w:t>Rehabilitation;</w:t>
      </w:r>
    </w:p>
    <w:p w14:paraId="2F7549C2" w14:textId="2AF22E00" w:rsidR="00AE08AD" w:rsidRPr="0008388C" w:rsidRDefault="00EA7458" w:rsidP="00D63204">
      <w:pPr>
        <w:pStyle w:val="ListParagraph"/>
        <w:widowControl w:val="0"/>
        <w:numPr>
          <w:ilvl w:val="0"/>
          <w:numId w:val="20"/>
        </w:numPr>
        <w:tabs>
          <w:tab w:val="left" w:pos="668"/>
        </w:tabs>
        <w:spacing w:before="85" w:after="0"/>
        <w:rPr>
          <w:rFonts w:ascii="Calibri" w:hAnsi="Calibri"/>
          <w:color w:val="231F20"/>
          <w:w w:val="105"/>
        </w:rPr>
      </w:pPr>
      <w:r w:rsidRPr="0008388C">
        <w:rPr>
          <w:rFonts w:ascii="Calibri" w:hAnsi="Calibri"/>
          <w:color w:val="231F20"/>
          <w:w w:val="105"/>
        </w:rPr>
        <w:t>Florida Department of Elder</w:t>
      </w:r>
      <w:r w:rsidRPr="0008388C">
        <w:rPr>
          <w:rFonts w:ascii="Calibri" w:hAnsi="Calibri"/>
          <w:color w:val="231F20"/>
          <w:spacing w:val="18"/>
          <w:w w:val="105"/>
        </w:rPr>
        <w:t xml:space="preserve"> </w:t>
      </w:r>
      <w:r w:rsidRPr="0008388C">
        <w:rPr>
          <w:rFonts w:ascii="Calibri" w:hAnsi="Calibri"/>
          <w:color w:val="231F20"/>
          <w:w w:val="105"/>
        </w:rPr>
        <w:t>Affairs;</w:t>
      </w:r>
    </w:p>
    <w:p w14:paraId="69D76174" w14:textId="77777777" w:rsidR="00EC310E" w:rsidRPr="00EC310E" w:rsidRDefault="00EA7458" w:rsidP="00D63204">
      <w:pPr>
        <w:pStyle w:val="ListParagraph"/>
        <w:widowControl w:val="0"/>
        <w:numPr>
          <w:ilvl w:val="0"/>
          <w:numId w:val="20"/>
        </w:numPr>
        <w:tabs>
          <w:tab w:val="left" w:pos="668"/>
        </w:tabs>
        <w:spacing w:before="85" w:after="0"/>
        <w:rPr>
          <w:rFonts w:ascii="Calibri" w:hAnsi="Calibri"/>
          <w:color w:val="231F20"/>
          <w:w w:val="105"/>
        </w:rPr>
      </w:pPr>
      <w:r w:rsidRPr="00EC310E">
        <w:rPr>
          <w:rFonts w:ascii="Calibri" w:hAnsi="Calibri"/>
          <w:color w:val="231F20"/>
          <w:w w:val="105"/>
        </w:rPr>
        <w:t>Florida Department of Juvenile</w:t>
      </w:r>
      <w:r w:rsidRPr="00EC310E">
        <w:rPr>
          <w:rFonts w:ascii="Calibri" w:hAnsi="Calibri"/>
          <w:color w:val="231F20"/>
          <w:spacing w:val="21"/>
          <w:w w:val="105"/>
        </w:rPr>
        <w:t xml:space="preserve"> </w:t>
      </w:r>
      <w:r w:rsidRPr="00EC310E">
        <w:rPr>
          <w:rFonts w:ascii="Calibri" w:hAnsi="Calibri"/>
          <w:color w:val="231F20"/>
          <w:w w:val="105"/>
        </w:rPr>
        <w:t>Justice;</w:t>
      </w:r>
    </w:p>
    <w:p w14:paraId="6169A07E" w14:textId="77777777" w:rsidR="00EC310E" w:rsidRPr="00EC310E" w:rsidRDefault="00EA7458" w:rsidP="00D63204">
      <w:pPr>
        <w:pStyle w:val="ListParagraph"/>
        <w:widowControl w:val="0"/>
        <w:numPr>
          <w:ilvl w:val="0"/>
          <w:numId w:val="20"/>
        </w:numPr>
        <w:tabs>
          <w:tab w:val="left" w:pos="668"/>
        </w:tabs>
        <w:spacing w:before="85" w:after="0"/>
        <w:rPr>
          <w:rFonts w:ascii="Calibri" w:hAnsi="Calibri"/>
          <w:color w:val="231F20"/>
          <w:w w:val="110"/>
        </w:rPr>
      </w:pPr>
      <w:r w:rsidRPr="00EC310E">
        <w:rPr>
          <w:rFonts w:ascii="Calibri" w:hAnsi="Calibri"/>
          <w:color w:val="231F20"/>
          <w:w w:val="110"/>
        </w:rPr>
        <w:t>Florida Small Business Development Center</w:t>
      </w:r>
      <w:r w:rsidRPr="00EC310E">
        <w:rPr>
          <w:rFonts w:ascii="Calibri" w:hAnsi="Calibri"/>
          <w:color w:val="231F20"/>
          <w:spacing w:val="4"/>
          <w:w w:val="110"/>
        </w:rPr>
        <w:t xml:space="preserve"> </w:t>
      </w:r>
      <w:r w:rsidRPr="00EC310E">
        <w:rPr>
          <w:rFonts w:ascii="Calibri" w:hAnsi="Calibri"/>
          <w:color w:val="231F20"/>
          <w:w w:val="110"/>
        </w:rPr>
        <w:t>Network;</w:t>
      </w:r>
    </w:p>
    <w:p w14:paraId="0281EC8F" w14:textId="77777777" w:rsidR="00EC310E" w:rsidRPr="00EC310E" w:rsidRDefault="00EA7458" w:rsidP="00D63204">
      <w:pPr>
        <w:pStyle w:val="ListParagraph"/>
        <w:widowControl w:val="0"/>
        <w:numPr>
          <w:ilvl w:val="0"/>
          <w:numId w:val="20"/>
        </w:numPr>
        <w:tabs>
          <w:tab w:val="left" w:pos="668"/>
        </w:tabs>
        <w:spacing w:before="85" w:after="0"/>
        <w:rPr>
          <w:rFonts w:ascii="Calibri" w:hAnsi="Calibri"/>
          <w:color w:val="231F20"/>
          <w:w w:val="105"/>
        </w:rPr>
      </w:pPr>
      <w:r w:rsidRPr="00EC310E">
        <w:rPr>
          <w:rFonts w:ascii="Calibri" w:hAnsi="Calibri"/>
          <w:color w:val="231F20"/>
          <w:w w:val="105"/>
        </w:rPr>
        <w:t>Florida Workforce Development Association,</w:t>
      </w:r>
      <w:r w:rsidRPr="00EC310E">
        <w:rPr>
          <w:rFonts w:ascii="Calibri" w:hAnsi="Calibri"/>
          <w:color w:val="231F20"/>
          <w:spacing w:val="20"/>
          <w:w w:val="105"/>
        </w:rPr>
        <w:t xml:space="preserve"> </w:t>
      </w:r>
      <w:r w:rsidRPr="00EC310E">
        <w:rPr>
          <w:rFonts w:ascii="Calibri" w:hAnsi="Calibri"/>
          <w:color w:val="231F20"/>
          <w:w w:val="105"/>
        </w:rPr>
        <w:t>Inc.;</w:t>
      </w:r>
    </w:p>
    <w:p w14:paraId="6DBBE20A" w14:textId="77777777" w:rsidR="0078084A" w:rsidRDefault="00EA7458" w:rsidP="00D63204">
      <w:pPr>
        <w:pStyle w:val="ListParagraph"/>
        <w:widowControl w:val="0"/>
        <w:numPr>
          <w:ilvl w:val="0"/>
          <w:numId w:val="20"/>
        </w:numPr>
        <w:tabs>
          <w:tab w:val="left" w:pos="668"/>
        </w:tabs>
        <w:spacing w:before="85" w:after="0"/>
        <w:rPr>
          <w:rFonts w:ascii="Calibri" w:hAnsi="Calibri"/>
          <w:w w:val="105"/>
        </w:rPr>
      </w:pPr>
      <w:r w:rsidRPr="00EC310E">
        <w:rPr>
          <w:rFonts w:ascii="Calibri" w:hAnsi="Calibri"/>
          <w:color w:val="231F20"/>
          <w:w w:val="105"/>
        </w:rPr>
        <w:t>Independent C</w:t>
      </w:r>
      <w:r w:rsidRPr="00EC310E">
        <w:rPr>
          <w:rFonts w:ascii="Calibri" w:hAnsi="Calibri"/>
          <w:w w:val="105"/>
        </w:rPr>
        <w:t>olleges and Universities of Florida,</w:t>
      </w:r>
      <w:r w:rsidRPr="00EC310E">
        <w:rPr>
          <w:rFonts w:ascii="Calibri" w:hAnsi="Calibri"/>
          <w:spacing w:val="34"/>
          <w:w w:val="105"/>
        </w:rPr>
        <w:t xml:space="preserve"> </w:t>
      </w:r>
      <w:r w:rsidRPr="00EC310E">
        <w:rPr>
          <w:rFonts w:ascii="Calibri" w:hAnsi="Calibri"/>
          <w:w w:val="105"/>
        </w:rPr>
        <w:t>Inc.;</w:t>
      </w:r>
    </w:p>
    <w:p w14:paraId="339E2DF8" w14:textId="77777777" w:rsidR="0078084A" w:rsidRPr="0078084A" w:rsidRDefault="00EA7458" w:rsidP="00D63204">
      <w:pPr>
        <w:pStyle w:val="ListParagraph"/>
        <w:widowControl w:val="0"/>
        <w:numPr>
          <w:ilvl w:val="0"/>
          <w:numId w:val="20"/>
        </w:numPr>
        <w:tabs>
          <w:tab w:val="left" w:pos="668"/>
        </w:tabs>
        <w:spacing w:before="85" w:after="0" w:line="240" w:lineRule="auto"/>
        <w:rPr>
          <w:rFonts w:ascii="Calibri" w:hAnsi="Calibri"/>
          <w:w w:val="105"/>
        </w:rPr>
      </w:pPr>
      <w:r w:rsidRPr="0078084A">
        <w:rPr>
          <w:rFonts w:ascii="Calibri" w:hAnsi="Calibri"/>
          <w:color w:val="231F20"/>
          <w:w w:val="105"/>
        </w:rPr>
        <w:t>State University</w:t>
      </w:r>
      <w:r w:rsidRPr="0078084A">
        <w:rPr>
          <w:rFonts w:ascii="Calibri" w:hAnsi="Calibri"/>
          <w:color w:val="231F20"/>
          <w:spacing w:val="9"/>
          <w:w w:val="105"/>
        </w:rPr>
        <w:t xml:space="preserve"> </w:t>
      </w:r>
      <w:r w:rsidRPr="0078084A">
        <w:rPr>
          <w:rFonts w:ascii="Calibri" w:hAnsi="Calibri"/>
          <w:color w:val="231F20"/>
          <w:w w:val="105"/>
        </w:rPr>
        <w:t>System</w:t>
      </w:r>
    </w:p>
    <w:p w14:paraId="45E2806A" w14:textId="77777777" w:rsidR="0078084A" w:rsidRDefault="0078084A" w:rsidP="00D63204">
      <w:pPr>
        <w:pStyle w:val="ListParagraph"/>
        <w:widowControl w:val="0"/>
        <w:tabs>
          <w:tab w:val="left" w:pos="668"/>
        </w:tabs>
        <w:spacing w:before="85" w:after="0" w:line="240" w:lineRule="auto"/>
        <w:ind w:left="107"/>
        <w:rPr>
          <w:rFonts w:ascii="Calibri" w:hAnsi="Calibri"/>
          <w:color w:val="231F20"/>
          <w:w w:val="105"/>
        </w:rPr>
      </w:pPr>
    </w:p>
    <w:p w14:paraId="47DF9D4A" w14:textId="77777777" w:rsidR="007F5979" w:rsidRPr="00EC310E" w:rsidRDefault="007F5979" w:rsidP="007F5979">
      <w:pPr>
        <w:widowControl w:val="0"/>
        <w:spacing w:before="2" w:after="0" w:line="235" w:lineRule="auto"/>
        <w:ind w:left="107"/>
        <w:rPr>
          <w:rFonts w:ascii="Calibri" w:hAnsi="Calibri" w:cs="Calibri"/>
          <w:color w:val="231F20"/>
        </w:rPr>
      </w:pPr>
      <w:r w:rsidRPr="00EA7458">
        <w:rPr>
          <w:rFonts w:ascii="Calibri" w:hAnsi="Calibri"/>
          <w:w w:val="105"/>
        </w:rPr>
        <w:t>The</w:t>
      </w:r>
      <w:r w:rsidRPr="00EA7458">
        <w:rPr>
          <w:rFonts w:ascii="Calibri" w:hAnsi="Calibri"/>
          <w:spacing w:val="-50"/>
          <w:w w:val="105"/>
        </w:rPr>
        <w:t xml:space="preserve"> </w:t>
      </w:r>
      <w:r w:rsidRPr="00EA7458">
        <w:rPr>
          <w:rFonts w:ascii="Calibri" w:hAnsi="Calibri"/>
          <w:w w:val="105"/>
        </w:rPr>
        <w:t xml:space="preserve">task force was charged with developing </w:t>
      </w:r>
      <w:r w:rsidRPr="00EA7458">
        <w:rPr>
          <w:rFonts w:ascii="Calibri" w:hAnsi="Calibri"/>
          <w:spacing w:val="-3"/>
          <w:w w:val="105"/>
        </w:rPr>
        <w:t xml:space="preserve">WIOA </w:t>
      </w:r>
      <w:r w:rsidRPr="00EA7458">
        <w:rPr>
          <w:rFonts w:ascii="Calibri" w:hAnsi="Calibri"/>
          <w:w w:val="105"/>
        </w:rPr>
        <w:t>implementation recommendations for approval by</w:t>
      </w:r>
      <w:r w:rsidRPr="00EA7458">
        <w:rPr>
          <w:rFonts w:ascii="Calibri" w:hAnsi="Calibri"/>
          <w:spacing w:val="25"/>
          <w:w w:val="105"/>
        </w:rPr>
        <w:t xml:space="preserve"> </w:t>
      </w:r>
      <w:r w:rsidRPr="00EA7458">
        <w:rPr>
          <w:rFonts w:ascii="Calibri" w:hAnsi="Calibri"/>
          <w:w w:val="105"/>
        </w:rPr>
        <w:t>the</w:t>
      </w:r>
      <w:r w:rsidRPr="00EA7458">
        <w:rPr>
          <w:rFonts w:ascii="Calibri" w:hAnsi="Calibri"/>
          <w:w w:val="103"/>
        </w:rPr>
        <w:t xml:space="preserve"> </w:t>
      </w:r>
      <w:r w:rsidRPr="00EA7458">
        <w:rPr>
          <w:rFonts w:ascii="Calibri" w:hAnsi="Calibri"/>
          <w:w w:val="105"/>
        </w:rPr>
        <w:t>CareerSource</w:t>
      </w:r>
      <w:r w:rsidRPr="00EA7458">
        <w:rPr>
          <w:rFonts w:ascii="Calibri" w:hAnsi="Calibri"/>
          <w:spacing w:val="14"/>
          <w:w w:val="105"/>
        </w:rPr>
        <w:t xml:space="preserve"> </w:t>
      </w:r>
      <w:r w:rsidRPr="00EA7458">
        <w:rPr>
          <w:rFonts w:ascii="Calibri" w:hAnsi="Calibri"/>
          <w:w w:val="105"/>
        </w:rPr>
        <w:t>Florida</w:t>
      </w:r>
      <w:r w:rsidRPr="00EA7458">
        <w:rPr>
          <w:rFonts w:ascii="Calibri" w:hAnsi="Calibri"/>
          <w:spacing w:val="14"/>
          <w:w w:val="105"/>
        </w:rPr>
        <w:t xml:space="preserve"> </w:t>
      </w:r>
      <w:r w:rsidRPr="00EA7458">
        <w:rPr>
          <w:rFonts w:ascii="Calibri" w:hAnsi="Calibri"/>
          <w:w w:val="105"/>
        </w:rPr>
        <w:t>Board</w:t>
      </w:r>
      <w:r w:rsidRPr="00EA7458">
        <w:rPr>
          <w:rFonts w:ascii="Calibri" w:hAnsi="Calibri"/>
          <w:spacing w:val="14"/>
          <w:w w:val="105"/>
        </w:rPr>
        <w:t xml:space="preserve"> </w:t>
      </w:r>
      <w:r w:rsidRPr="00EA7458">
        <w:rPr>
          <w:rFonts w:ascii="Calibri" w:hAnsi="Calibri"/>
          <w:w w:val="105"/>
        </w:rPr>
        <w:t>of</w:t>
      </w:r>
      <w:r w:rsidRPr="00EA7458">
        <w:rPr>
          <w:rFonts w:ascii="Calibri" w:hAnsi="Calibri"/>
          <w:spacing w:val="14"/>
          <w:w w:val="105"/>
        </w:rPr>
        <w:t xml:space="preserve"> </w:t>
      </w:r>
      <w:r w:rsidRPr="00EA7458">
        <w:rPr>
          <w:rFonts w:ascii="Calibri" w:hAnsi="Calibri"/>
          <w:w w:val="105"/>
        </w:rPr>
        <w:t>Directors.</w:t>
      </w:r>
      <w:r w:rsidRPr="00EA7458">
        <w:rPr>
          <w:rFonts w:ascii="Calibri" w:hAnsi="Calibri"/>
          <w:spacing w:val="14"/>
          <w:w w:val="105"/>
        </w:rPr>
        <w:t xml:space="preserve"> </w:t>
      </w:r>
      <w:r>
        <w:rPr>
          <w:rFonts w:ascii="Calibri" w:hAnsi="Calibri"/>
          <w:w w:val="105"/>
        </w:rPr>
        <w:t>R</w:t>
      </w:r>
      <w:r w:rsidRPr="00EA7458">
        <w:rPr>
          <w:rFonts w:ascii="Calibri" w:hAnsi="Calibri"/>
          <w:w w:val="105"/>
        </w:rPr>
        <w:t>ecommendations</w:t>
      </w:r>
      <w:r w:rsidRPr="00EA7458">
        <w:rPr>
          <w:rFonts w:ascii="Calibri" w:hAnsi="Calibri"/>
          <w:spacing w:val="14"/>
          <w:w w:val="105"/>
        </w:rPr>
        <w:t xml:space="preserve"> </w:t>
      </w:r>
      <w:r>
        <w:rPr>
          <w:rFonts w:ascii="Calibri" w:hAnsi="Calibri"/>
          <w:w w:val="105"/>
        </w:rPr>
        <w:t>included</w:t>
      </w:r>
      <w:r w:rsidRPr="00EA7458">
        <w:rPr>
          <w:rFonts w:ascii="Calibri" w:hAnsi="Calibri"/>
          <w:w w:val="105"/>
        </w:rPr>
        <w:t>:</w:t>
      </w:r>
      <w:r>
        <w:rPr>
          <w:rFonts w:ascii="Calibri" w:hAnsi="Calibri"/>
          <w:w w:val="105"/>
        </w:rPr>
        <w:t xml:space="preserve"> a</w:t>
      </w:r>
      <w:r w:rsidRPr="00EC310E">
        <w:rPr>
          <w:rFonts w:ascii="Calibri" w:hAnsi="Calibri"/>
          <w:color w:val="231F20"/>
          <w:w w:val="105"/>
        </w:rPr>
        <w:t xml:space="preserve"> review of current workforce service delivery and recommendations for the inclusion of</w:t>
      </w:r>
      <w:r w:rsidRPr="00EC310E">
        <w:rPr>
          <w:rFonts w:ascii="Calibri" w:hAnsi="Calibri"/>
          <w:color w:val="231F20"/>
          <w:spacing w:val="24"/>
          <w:w w:val="105"/>
        </w:rPr>
        <w:t xml:space="preserve"> </w:t>
      </w:r>
      <w:r w:rsidRPr="00EC310E">
        <w:rPr>
          <w:rFonts w:ascii="Calibri" w:hAnsi="Calibri"/>
          <w:color w:val="231F20"/>
          <w:w w:val="105"/>
        </w:rPr>
        <w:t>programs;</w:t>
      </w:r>
      <w:r>
        <w:rPr>
          <w:rFonts w:ascii="Calibri" w:hAnsi="Calibri"/>
          <w:color w:val="231F20"/>
          <w:w w:val="105"/>
        </w:rPr>
        <w:t xml:space="preserve"> r</w:t>
      </w:r>
      <w:r w:rsidRPr="00EC310E">
        <w:rPr>
          <w:rFonts w:ascii="Calibri" w:hAnsi="Calibri"/>
          <w:color w:val="231F20"/>
          <w:w w:val="110"/>
        </w:rPr>
        <w:t>egional planning</w:t>
      </w:r>
      <w:r w:rsidRPr="00EC310E">
        <w:rPr>
          <w:rFonts w:ascii="Calibri" w:hAnsi="Calibri"/>
          <w:color w:val="231F20"/>
          <w:spacing w:val="3"/>
          <w:w w:val="110"/>
        </w:rPr>
        <w:t xml:space="preserve"> </w:t>
      </w:r>
      <w:r w:rsidRPr="00EC310E">
        <w:rPr>
          <w:rFonts w:ascii="Calibri" w:hAnsi="Calibri"/>
          <w:color w:val="231F20"/>
          <w:w w:val="110"/>
        </w:rPr>
        <w:t>design;</w:t>
      </w:r>
      <w:r>
        <w:rPr>
          <w:rFonts w:ascii="Calibri" w:hAnsi="Calibri"/>
          <w:color w:val="231F20"/>
          <w:w w:val="110"/>
        </w:rPr>
        <w:t xml:space="preserve"> o</w:t>
      </w:r>
      <w:r w:rsidRPr="00EC310E">
        <w:rPr>
          <w:rFonts w:ascii="Calibri" w:hAnsi="Calibri"/>
          <w:color w:val="231F20"/>
          <w:w w:val="110"/>
        </w:rPr>
        <w:t>ne-stop career center service delivery</w:t>
      </w:r>
      <w:r w:rsidRPr="00EC310E">
        <w:rPr>
          <w:rFonts w:ascii="Calibri" w:hAnsi="Calibri"/>
          <w:color w:val="231F20"/>
          <w:spacing w:val="6"/>
          <w:w w:val="110"/>
        </w:rPr>
        <w:t xml:space="preserve"> </w:t>
      </w:r>
      <w:r w:rsidRPr="00EC310E">
        <w:rPr>
          <w:rFonts w:ascii="Calibri" w:hAnsi="Calibri"/>
          <w:color w:val="231F20"/>
          <w:w w:val="110"/>
        </w:rPr>
        <w:t>design;</w:t>
      </w:r>
      <w:r>
        <w:rPr>
          <w:rFonts w:ascii="Calibri" w:hAnsi="Calibri"/>
          <w:color w:val="231F20"/>
          <w:w w:val="110"/>
        </w:rPr>
        <w:t xml:space="preserve"> t</w:t>
      </w:r>
      <w:r w:rsidRPr="00EC310E">
        <w:rPr>
          <w:rFonts w:ascii="Calibri" w:hAnsi="Calibri" w:cs="Calibri"/>
          <w:color w:val="231F20"/>
          <w:w w:val="105"/>
        </w:rPr>
        <w:t>he integration of economic development, workforce development and Florida’s</w:t>
      </w:r>
      <w:r w:rsidRPr="00EC310E">
        <w:rPr>
          <w:rFonts w:ascii="Calibri" w:hAnsi="Calibri" w:cs="Calibri"/>
          <w:color w:val="231F20"/>
          <w:spacing w:val="7"/>
          <w:w w:val="105"/>
        </w:rPr>
        <w:t xml:space="preserve"> </w:t>
      </w:r>
      <w:r w:rsidRPr="00EC310E">
        <w:rPr>
          <w:rFonts w:ascii="Calibri" w:hAnsi="Calibri" w:cs="Calibri"/>
          <w:color w:val="231F20"/>
          <w:w w:val="105"/>
        </w:rPr>
        <w:t>education</w:t>
      </w:r>
      <w:r w:rsidRPr="00EC310E">
        <w:rPr>
          <w:rFonts w:ascii="Calibri" w:hAnsi="Calibri" w:cs="Calibri"/>
          <w:color w:val="231F20"/>
          <w:w w:val="107"/>
        </w:rPr>
        <w:t xml:space="preserve"> </w:t>
      </w:r>
      <w:r w:rsidRPr="00EC310E">
        <w:rPr>
          <w:rFonts w:ascii="Calibri" w:hAnsi="Calibri" w:cs="Calibri"/>
          <w:color w:val="231F20"/>
          <w:w w:val="105"/>
        </w:rPr>
        <w:t>system;</w:t>
      </w:r>
      <w:r w:rsidRPr="00EC310E">
        <w:rPr>
          <w:rFonts w:ascii="Calibri" w:hAnsi="Calibri" w:cs="Calibri"/>
          <w:color w:val="231F20"/>
          <w:spacing w:val="4"/>
          <w:w w:val="105"/>
        </w:rPr>
        <w:t xml:space="preserve"> </w:t>
      </w:r>
      <w:r w:rsidRPr="00EC310E">
        <w:rPr>
          <w:rFonts w:ascii="Calibri" w:hAnsi="Calibri" w:cs="Calibri"/>
          <w:color w:val="231F20"/>
          <w:w w:val="105"/>
        </w:rPr>
        <w:t>and</w:t>
      </w:r>
      <w:r>
        <w:rPr>
          <w:rFonts w:ascii="Calibri" w:hAnsi="Calibri" w:cs="Calibri"/>
          <w:color w:val="231F20"/>
          <w:w w:val="105"/>
        </w:rPr>
        <w:t xml:space="preserve"> d</w:t>
      </w:r>
      <w:r w:rsidRPr="00177157">
        <w:rPr>
          <w:rFonts w:ascii="Calibri" w:hAnsi="Calibri"/>
          <w:color w:val="231F20"/>
          <w:w w:val="105"/>
        </w:rPr>
        <w:t>evelopment of sector strategies and career</w:t>
      </w:r>
      <w:r w:rsidRPr="00177157">
        <w:rPr>
          <w:rFonts w:ascii="Calibri" w:hAnsi="Calibri"/>
          <w:color w:val="231F20"/>
          <w:spacing w:val="34"/>
          <w:w w:val="105"/>
        </w:rPr>
        <w:t xml:space="preserve"> </w:t>
      </w:r>
      <w:r w:rsidRPr="00177157">
        <w:rPr>
          <w:rFonts w:ascii="Calibri" w:hAnsi="Calibri"/>
          <w:color w:val="231F20"/>
          <w:w w:val="105"/>
        </w:rPr>
        <w:t>pathways.</w:t>
      </w:r>
      <w:r>
        <w:rPr>
          <w:rFonts w:ascii="Calibri" w:hAnsi="Calibri"/>
          <w:color w:val="231F20"/>
          <w:w w:val="105"/>
        </w:rPr>
        <w:t xml:space="preserve"> </w:t>
      </w:r>
      <w:r w:rsidRPr="0078084A">
        <w:rPr>
          <w:rFonts w:ascii="Calibri" w:hAnsi="Calibri"/>
          <w:w w:val="105"/>
        </w:rPr>
        <w:t>These recommendations were discussed with the LWDBs during their formulation.</w:t>
      </w:r>
    </w:p>
    <w:p w14:paraId="1A2D943F" w14:textId="5B592539" w:rsidR="007F5979" w:rsidRDefault="007F5979" w:rsidP="007F5979">
      <w:pPr>
        <w:pStyle w:val="ListParagraph"/>
        <w:widowControl w:val="0"/>
        <w:tabs>
          <w:tab w:val="left" w:pos="668"/>
        </w:tabs>
        <w:spacing w:before="85" w:after="0" w:line="240" w:lineRule="auto"/>
        <w:ind w:left="107"/>
        <w:rPr>
          <w:rFonts w:ascii="Calibri" w:hAnsi="Calibri"/>
          <w:w w:val="105"/>
        </w:rPr>
      </w:pPr>
    </w:p>
    <w:p w14:paraId="6A3099FF" w14:textId="163569EE" w:rsidR="00EA7458" w:rsidRPr="0078084A" w:rsidRDefault="00A92D27" w:rsidP="00D63204">
      <w:pPr>
        <w:pStyle w:val="ListParagraph"/>
        <w:widowControl w:val="0"/>
        <w:tabs>
          <w:tab w:val="left" w:pos="668"/>
        </w:tabs>
        <w:spacing w:before="85" w:after="0" w:line="240" w:lineRule="auto"/>
        <w:ind w:left="107"/>
        <w:rPr>
          <w:rFonts w:ascii="Calibri" w:hAnsi="Calibri"/>
          <w:w w:val="105"/>
        </w:rPr>
      </w:pPr>
      <w:r w:rsidRPr="0078084A">
        <w:rPr>
          <w:rFonts w:ascii="Calibri" w:hAnsi="Calibri"/>
          <w:w w:val="105"/>
        </w:rPr>
        <w:t>After</w:t>
      </w:r>
      <w:r w:rsidR="00EA7458" w:rsidRPr="0078084A">
        <w:rPr>
          <w:rFonts w:ascii="Calibri" w:hAnsi="Calibri"/>
          <w:w w:val="105"/>
        </w:rPr>
        <w:t xml:space="preserve"> the task force meetings, implementation recommendations were approved by the CareerSource Florida Board</w:t>
      </w:r>
      <w:r w:rsidRPr="0078084A">
        <w:rPr>
          <w:rFonts w:ascii="Calibri" w:hAnsi="Calibri"/>
          <w:w w:val="105"/>
        </w:rPr>
        <w:t xml:space="preserve"> of Directors</w:t>
      </w:r>
      <w:r w:rsidR="00EA7458" w:rsidRPr="0078084A">
        <w:rPr>
          <w:rFonts w:ascii="Calibri" w:hAnsi="Calibri"/>
          <w:w w:val="105"/>
        </w:rPr>
        <w:t xml:space="preserve">. </w:t>
      </w:r>
      <w:r w:rsidR="0078084A" w:rsidRPr="0078084A">
        <w:rPr>
          <w:rFonts w:ascii="Calibri" w:hAnsi="Calibri"/>
          <w:w w:val="105"/>
        </w:rPr>
        <w:t>Agendas and information collected throughout the meetings are</w:t>
      </w:r>
      <w:r w:rsidR="0078084A" w:rsidRPr="0078084A">
        <w:rPr>
          <w:rFonts w:ascii="Calibri" w:hAnsi="Calibri"/>
          <w:spacing w:val="11"/>
          <w:w w:val="105"/>
        </w:rPr>
        <w:t xml:space="preserve"> </w:t>
      </w:r>
      <w:r w:rsidR="0078084A" w:rsidRPr="0078084A">
        <w:rPr>
          <w:rFonts w:ascii="Calibri" w:hAnsi="Calibri"/>
          <w:w w:val="105"/>
        </w:rPr>
        <w:t>available</w:t>
      </w:r>
      <w:r w:rsidR="0078084A" w:rsidRPr="0078084A">
        <w:rPr>
          <w:rFonts w:ascii="Calibri" w:hAnsi="Calibri"/>
          <w:w w:val="107"/>
        </w:rPr>
        <w:t xml:space="preserve"> </w:t>
      </w:r>
      <w:r w:rsidR="0078084A" w:rsidRPr="0078084A">
        <w:rPr>
          <w:rFonts w:ascii="Calibri" w:hAnsi="Calibri"/>
          <w:w w:val="105"/>
        </w:rPr>
        <w:t>on</w:t>
      </w:r>
      <w:r w:rsidR="0078084A" w:rsidRPr="0078084A">
        <w:rPr>
          <w:rFonts w:ascii="Calibri" w:hAnsi="Calibri"/>
          <w:spacing w:val="18"/>
          <w:w w:val="105"/>
        </w:rPr>
        <w:t xml:space="preserve"> </w:t>
      </w:r>
      <w:r w:rsidR="0078084A" w:rsidRPr="0078084A">
        <w:rPr>
          <w:rFonts w:ascii="Calibri" w:hAnsi="Calibri"/>
          <w:w w:val="105"/>
        </w:rPr>
        <w:t>the</w:t>
      </w:r>
      <w:r w:rsidR="0078084A" w:rsidRPr="0078084A">
        <w:rPr>
          <w:rFonts w:ascii="Calibri" w:hAnsi="Calibri"/>
          <w:spacing w:val="18"/>
          <w:w w:val="105"/>
        </w:rPr>
        <w:t xml:space="preserve"> </w:t>
      </w:r>
      <w:r w:rsidR="0078084A" w:rsidRPr="0078084A">
        <w:rPr>
          <w:rFonts w:ascii="Calibri" w:hAnsi="Calibri"/>
          <w:w w:val="105"/>
        </w:rPr>
        <w:t>CareerSource</w:t>
      </w:r>
      <w:r w:rsidR="0078084A" w:rsidRPr="0078084A">
        <w:rPr>
          <w:rFonts w:ascii="Calibri" w:hAnsi="Calibri"/>
          <w:spacing w:val="18"/>
          <w:w w:val="105"/>
        </w:rPr>
        <w:t xml:space="preserve"> </w:t>
      </w:r>
      <w:r w:rsidR="0078084A" w:rsidRPr="0078084A">
        <w:rPr>
          <w:rFonts w:ascii="Calibri" w:hAnsi="Calibri"/>
          <w:w w:val="105"/>
        </w:rPr>
        <w:t>Florida</w:t>
      </w:r>
      <w:r w:rsidR="0078084A" w:rsidRPr="0078084A">
        <w:rPr>
          <w:rFonts w:ascii="Calibri" w:hAnsi="Calibri"/>
          <w:spacing w:val="18"/>
          <w:w w:val="105"/>
        </w:rPr>
        <w:t xml:space="preserve"> </w:t>
      </w:r>
      <w:r w:rsidR="0078084A" w:rsidRPr="0078084A">
        <w:rPr>
          <w:rFonts w:ascii="Calibri" w:hAnsi="Calibri"/>
          <w:w w:val="105"/>
        </w:rPr>
        <w:t>website</w:t>
      </w:r>
      <w:r w:rsidR="0078084A" w:rsidRPr="0078084A">
        <w:rPr>
          <w:rFonts w:ascii="Calibri" w:hAnsi="Calibri"/>
          <w:spacing w:val="18"/>
          <w:w w:val="105"/>
        </w:rPr>
        <w:t xml:space="preserve"> </w:t>
      </w:r>
      <w:r w:rsidR="0078084A" w:rsidRPr="0078084A">
        <w:rPr>
          <w:rFonts w:ascii="Calibri" w:hAnsi="Calibri"/>
          <w:w w:val="105"/>
        </w:rPr>
        <w:t>at</w:t>
      </w:r>
      <w:r w:rsidR="0078084A" w:rsidRPr="0078084A">
        <w:rPr>
          <w:rFonts w:ascii="Calibri" w:hAnsi="Calibri"/>
          <w:spacing w:val="18"/>
          <w:w w:val="105"/>
        </w:rPr>
        <w:t xml:space="preserve"> </w:t>
      </w:r>
      <w:hyperlink r:id="rId101" w:history="1">
        <w:r w:rsidR="0078084A" w:rsidRPr="00F60809">
          <w:rPr>
            <w:rStyle w:val="Hyperlink"/>
            <w:rFonts w:ascii="Calibri" w:hAnsi="Calibri"/>
            <w:w w:val="105"/>
            <w:u w:color="5F5F5F"/>
          </w:rPr>
          <w:t>www.careersourceflorida.com/wioa</w:t>
        </w:r>
        <w:r w:rsidR="0078084A" w:rsidRPr="00F60809">
          <w:rPr>
            <w:rStyle w:val="Hyperlink"/>
            <w:rFonts w:ascii="Calibri" w:hAnsi="Calibri"/>
            <w:w w:val="105"/>
          </w:rPr>
          <w:t>.</w:t>
        </w:r>
      </w:hyperlink>
    </w:p>
    <w:p w14:paraId="6590AB05" w14:textId="77777777" w:rsidR="00EA7458" w:rsidRPr="00EA7458" w:rsidRDefault="00EA7458" w:rsidP="00D63204">
      <w:pPr>
        <w:widowControl w:val="0"/>
        <w:spacing w:before="6" w:after="0" w:line="240" w:lineRule="auto"/>
        <w:ind w:left="107"/>
        <w:rPr>
          <w:rFonts w:ascii="Calibri" w:hAnsi="Calibri" w:cs="Calibri"/>
          <w:sz w:val="16"/>
          <w:szCs w:val="16"/>
        </w:rPr>
      </w:pPr>
    </w:p>
    <w:p w14:paraId="79FDC16B" w14:textId="77777777" w:rsidR="00EA7458" w:rsidRPr="00EA7458" w:rsidRDefault="00EA7458" w:rsidP="00D63204">
      <w:pPr>
        <w:widowControl w:val="0"/>
        <w:spacing w:after="0" w:line="240" w:lineRule="auto"/>
        <w:ind w:left="107"/>
        <w:rPr>
          <w:rFonts w:ascii="Calibri" w:hAnsi="Calibri"/>
        </w:rPr>
      </w:pPr>
      <w:r w:rsidRPr="00EA7458">
        <w:rPr>
          <w:rFonts w:ascii="Calibri" w:hAnsi="Calibri"/>
          <w:w w:val="105"/>
        </w:rPr>
        <w:t>Additional</w:t>
      </w:r>
      <w:r w:rsidRPr="00EA7458">
        <w:rPr>
          <w:rFonts w:ascii="Calibri" w:hAnsi="Calibri"/>
          <w:spacing w:val="20"/>
          <w:w w:val="105"/>
        </w:rPr>
        <w:t xml:space="preserve"> </w:t>
      </w:r>
      <w:r w:rsidRPr="00EA7458">
        <w:rPr>
          <w:rFonts w:ascii="Calibri" w:hAnsi="Calibri"/>
          <w:w w:val="105"/>
        </w:rPr>
        <w:t>strategies</w:t>
      </w:r>
      <w:r w:rsidRPr="00EA7458">
        <w:rPr>
          <w:rFonts w:ascii="Calibri" w:hAnsi="Calibri"/>
          <w:spacing w:val="20"/>
          <w:w w:val="105"/>
        </w:rPr>
        <w:t xml:space="preserve"> </w:t>
      </w:r>
      <w:r w:rsidRPr="00EA7458">
        <w:rPr>
          <w:rFonts w:ascii="Calibri" w:hAnsi="Calibri"/>
          <w:w w:val="105"/>
        </w:rPr>
        <w:t>to</w:t>
      </w:r>
      <w:r w:rsidRPr="00EA7458">
        <w:rPr>
          <w:rFonts w:ascii="Calibri" w:hAnsi="Calibri"/>
          <w:spacing w:val="20"/>
          <w:w w:val="105"/>
        </w:rPr>
        <w:t xml:space="preserve"> </w:t>
      </w:r>
      <w:r w:rsidRPr="00EA7458">
        <w:rPr>
          <w:rFonts w:ascii="Calibri" w:hAnsi="Calibri"/>
          <w:w w:val="105"/>
        </w:rPr>
        <w:t>align</w:t>
      </w:r>
      <w:r w:rsidRPr="00EA7458">
        <w:rPr>
          <w:rFonts w:ascii="Calibri" w:hAnsi="Calibri"/>
          <w:spacing w:val="20"/>
          <w:w w:val="105"/>
        </w:rPr>
        <w:t xml:space="preserve"> </w:t>
      </w:r>
      <w:r w:rsidRPr="00EA7458">
        <w:rPr>
          <w:rFonts w:ascii="Calibri" w:hAnsi="Calibri"/>
          <w:w w:val="105"/>
        </w:rPr>
        <w:t>core</w:t>
      </w:r>
      <w:r w:rsidRPr="00EA7458">
        <w:rPr>
          <w:rFonts w:ascii="Calibri" w:hAnsi="Calibri"/>
          <w:spacing w:val="20"/>
          <w:w w:val="105"/>
        </w:rPr>
        <w:t xml:space="preserve"> </w:t>
      </w:r>
      <w:r w:rsidRPr="00EA7458">
        <w:rPr>
          <w:rFonts w:ascii="Calibri" w:hAnsi="Calibri"/>
          <w:w w:val="105"/>
        </w:rPr>
        <w:t>programs</w:t>
      </w:r>
      <w:r w:rsidRPr="00EA7458">
        <w:rPr>
          <w:rFonts w:ascii="Calibri" w:hAnsi="Calibri"/>
          <w:spacing w:val="20"/>
          <w:w w:val="105"/>
        </w:rPr>
        <w:t xml:space="preserve"> </w:t>
      </w:r>
      <w:r w:rsidRPr="00EA7458">
        <w:rPr>
          <w:rFonts w:ascii="Calibri" w:hAnsi="Calibri"/>
          <w:w w:val="105"/>
        </w:rPr>
        <w:t>are</w:t>
      </w:r>
      <w:r w:rsidRPr="00EA7458">
        <w:rPr>
          <w:rFonts w:ascii="Calibri" w:hAnsi="Calibri"/>
          <w:spacing w:val="20"/>
          <w:w w:val="105"/>
        </w:rPr>
        <w:t xml:space="preserve"> </w:t>
      </w:r>
      <w:r w:rsidRPr="00EA7458">
        <w:rPr>
          <w:rFonts w:ascii="Calibri" w:hAnsi="Calibri"/>
          <w:w w:val="105"/>
        </w:rPr>
        <w:t>addressed</w:t>
      </w:r>
      <w:r w:rsidRPr="00EA7458">
        <w:rPr>
          <w:rFonts w:ascii="Calibri" w:hAnsi="Calibri"/>
          <w:spacing w:val="19"/>
          <w:w w:val="105"/>
        </w:rPr>
        <w:t xml:space="preserve"> </w:t>
      </w:r>
      <w:r w:rsidRPr="00EA7458">
        <w:rPr>
          <w:rFonts w:ascii="Calibri" w:hAnsi="Calibri"/>
          <w:w w:val="105"/>
        </w:rPr>
        <w:t>in</w:t>
      </w:r>
      <w:r w:rsidRPr="00EA7458">
        <w:rPr>
          <w:rFonts w:ascii="Calibri" w:hAnsi="Calibri"/>
          <w:spacing w:val="20"/>
          <w:w w:val="105"/>
        </w:rPr>
        <w:t xml:space="preserve"> </w:t>
      </w:r>
      <w:r w:rsidRPr="00EA7458">
        <w:rPr>
          <w:rFonts w:ascii="Calibri" w:hAnsi="Calibri"/>
          <w:w w:val="105"/>
        </w:rPr>
        <w:t>section</w:t>
      </w:r>
      <w:r w:rsidRPr="00EA7458">
        <w:rPr>
          <w:rFonts w:ascii="Calibri" w:hAnsi="Calibri"/>
          <w:spacing w:val="20"/>
          <w:w w:val="105"/>
        </w:rPr>
        <w:t xml:space="preserve"> </w:t>
      </w:r>
      <w:r w:rsidRPr="00EA7458">
        <w:rPr>
          <w:rFonts w:ascii="Calibri" w:hAnsi="Calibri"/>
          <w:spacing w:val="-7"/>
          <w:w w:val="105"/>
        </w:rPr>
        <w:t>IV.</w:t>
      </w:r>
    </w:p>
    <w:p w14:paraId="16F22793" w14:textId="77777777" w:rsidR="00EA7458" w:rsidRPr="00EA7458" w:rsidRDefault="00EA7458" w:rsidP="00D63204">
      <w:pPr>
        <w:widowControl w:val="0"/>
        <w:spacing w:after="0" w:line="240" w:lineRule="auto"/>
        <w:ind w:left="107"/>
        <w:rPr>
          <w:rFonts w:ascii="Calibri" w:hAnsi="Calibri"/>
        </w:rPr>
        <w:sectPr w:rsidR="00EA7458" w:rsidRPr="00EA7458" w:rsidSect="00DC6123">
          <w:footerReference w:type="default" r:id="rId102"/>
          <w:pgSz w:w="12240" w:h="15840"/>
          <w:pgMar w:top="1620" w:right="900" w:bottom="820" w:left="900" w:header="576" w:footer="624" w:gutter="0"/>
          <w:cols w:space="720"/>
          <w:docGrid w:linePitch="299"/>
        </w:sectPr>
      </w:pPr>
    </w:p>
    <w:p w14:paraId="04C09E7B" w14:textId="77777777" w:rsidR="00EA7458" w:rsidRPr="00BE285F" w:rsidRDefault="00EA7458" w:rsidP="00664EFD">
      <w:pPr>
        <w:widowControl w:val="0"/>
        <w:numPr>
          <w:ilvl w:val="0"/>
          <w:numId w:val="8"/>
        </w:numPr>
        <w:tabs>
          <w:tab w:val="left" w:pos="594"/>
          <w:tab w:val="left" w:pos="10331"/>
        </w:tabs>
        <w:spacing w:before="30" w:after="0" w:line="240" w:lineRule="auto"/>
        <w:ind w:left="593" w:hanging="485"/>
        <w:outlineLvl w:val="0"/>
        <w:rPr>
          <w:rFonts w:ascii="Calibri" w:hAnsi="Calibri"/>
          <w:b/>
          <w:sz w:val="26"/>
          <w:szCs w:val="26"/>
        </w:rPr>
      </w:pPr>
      <w:bookmarkStart w:id="61" w:name="III._Operational_Planning_Elements"/>
      <w:bookmarkStart w:id="62" w:name="(a)_State_Strategy_Implementation__"/>
      <w:bookmarkStart w:id="63" w:name="_bookmark37"/>
      <w:bookmarkEnd w:id="61"/>
      <w:bookmarkEnd w:id="62"/>
      <w:bookmarkEnd w:id="63"/>
      <w:r w:rsidRPr="00EA7458">
        <w:rPr>
          <w:rFonts w:ascii="Calibri" w:hAnsi="Calibri"/>
          <w:b/>
          <w:bCs/>
          <w:color w:val="295CA3"/>
          <w:spacing w:val="-3"/>
          <w:w w:val="115"/>
          <w:sz w:val="36"/>
          <w:szCs w:val="36"/>
          <w:u w:val="single" w:color="231F20"/>
        </w:rPr>
        <w:lastRenderedPageBreak/>
        <w:t xml:space="preserve">OPERATIONAL </w:t>
      </w:r>
      <w:r w:rsidRPr="00EA7458">
        <w:rPr>
          <w:rFonts w:ascii="Calibri" w:hAnsi="Calibri"/>
          <w:b/>
          <w:bCs/>
          <w:color w:val="295CA3"/>
          <w:w w:val="115"/>
          <w:sz w:val="36"/>
          <w:szCs w:val="36"/>
          <w:u w:val="single" w:color="231F20"/>
        </w:rPr>
        <w:t>PLANNING</w:t>
      </w:r>
      <w:r w:rsidRPr="00EA7458">
        <w:rPr>
          <w:rFonts w:ascii="Calibri" w:hAnsi="Calibri"/>
          <w:b/>
          <w:bCs/>
          <w:color w:val="295CA3"/>
          <w:spacing w:val="-49"/>
          <w:w w:val="115"/>
          <w:sz w:val="36"/>
          <w:szCs w:val="36"/>
          <w:u w:val="single" w:color="231F20"/>
        </w:rPr>
        <w:t xml:space="preserve"> </w:t>
      </w:r>
      <w:r w:rsidRPr="00EA7458">
        <w:rPr>
          <w:rFonts w:ascii="Calibri" w:hAnsi="Calibri"/>
          <w:b/>
          <w:bCs/>
          <w:color w:val="295CA3"/>
          <w:w w:val="115"/>
          <w:sz w:val="36"/>
          <w:szCs w:val="36"/>
          <w:u w:val="single" w:color="231F20"/>
        </w:rPr>
        <w:t>ELEMENTS</w:t>
      </w:r>
      <w:r w:rsidRPr="00EA7458">
        <w:rPr>
          <w:rFonts w:ascii="Calibri" w:hAnsi="Calibri"/>
          <w:b/>
          <w:bCs/>
          <w:color w:val="295CA3"/>
          <w:w w:val="113"/>
          <w:sz w:val="36"/>
          <w:szCs w:val="36"/>
          <w:u w:val="single" w:color="231F20"/>
        </w:rPr>
        <w:t xml:space="preserve"> </w:t>
      </w:r>
      <w:r w:rsidRPr="00BE285F">
        <w:rPr>
          <w:rFonts w:ascii="Calibri" w:hAnsi="Calibri"/>
          <w:b/>
          <w:bCs/>
          <w:color w:val="295CA3"/>
          <w:sz w:val="26"/>
          <w:szCs w:val="26"/>
          <w:u w:val="single" w:color="231F20"/>
        </w:rPr>
        <w:tab/>
      </w:r>
    </w:p>
    <w:p w14:paraId="6C8C7FEA" w14:textId="77777777" w:rsidR="00EA7458" w:rsidRPr="00BE285F" w:rsidRDefault="00EA7458" w:rsidP="00C061E8">
      <w:pPr>
        <w:widowControl w:val="0"/>
        <w:numPr>
          <w:ilvl w:val="0"/>
          <w:numId w:val="6"/>
        </w:numPr>
        <w:tabs>
          <w:tab w:val="left" w:pos="828"/>
        </w:tabs>
        <w:spacing w:before="87" w:after="0" w:line="240" w:lineRule="auto"/>
        <w:outlineLvl w:val="1"/>
        <w:rPr>
          <w:rFonts w:ascii="Calibri" w:hAnsi="Calibri"/>
          <w:b/>
          <w:sz w:val="26"/>
          <w:szCs w:val="26"/>
        </w:rPr>
      </w:pPr>
      <w:r w:rsidRPr="00BE285F">
        <w:rPr>
          <w:rFonts w:ascii="Calibri" w:hAnsi="Calibri"/>
          <w:b/>
          <w:bCs/>
          <w:color w:val="295CA3"/>
          <w:w w:val="110"/>
          <w:sz w:val="26"/>
          <w:szCs w:val="26"/>
        </w:rPr>
        <w:t>State Strategy Implementation</w:t>
      </w:r>
    </w:p>
    <w:p w14:paraId="6C761CCD" w14:textId="77777777" w:rsidR="00E06806" w:rsidRPr="00E06806" w:rsidRDefault="00EA7458" w:rsidP="00A30A61">
      <w:pPr>
        <w:pStyle w:val="ListParagraph"/>
        <w:widowControl w:val="0"/>
        <w:numPr>
          <w:ilvl w:val="0"/>
          <w:numId w:val="22"/>
        </w:numPr>
        <w:tabs>
          <w:tab w:val="left" w:pos="1278"/>
        </w:tabs>
        <w:spacing w:before="22" w:after="0" w:line="460" w:lineRule="atLeast"/>
        <w:ind w:right="6950"/>
        <w:outlineLvl w:val="2"/>
        <w:rPr>
          <w:rFonts w:ascii="Calibri" w:hAnsi="Calibri"/>
        </w:rPr>
      </w:pPr>
      <w:r w:rsidRPr="00E06806">
        <w:rPr>
          <w:rFonts w:ascii="Calibri" w:hAnsi="Calibri"/>
          <w:b/>
          <w:bCs/>
          <w:color w:val="295CA3"/>
          <w:w w:val="110"/>
        </w:rPr>
        <w:t>State Board</w:t>
      </w:r>
      <w:r w:rsidRPr="00E06806">
        <w:rPr>
          <w:rFonts w:ascii="Calibri" w:hAnsi="Calibri"/>
          <w:b/>
          <w:bCs/>
          <w:color w:val="295CA3"/>
          <w:spacing w:val="1"/>
          <w:w w:val="110"/>
        </w:rPr>
        <w:t xml:space="preserve"> </w:t>
      </w:r>
      <w:r w:rsidRPr="00E06806">
        <w:rPr>
          <w:rFonts w:ascii="Calibri" w:hAnsi="Calibri"/>
          <w:b/>
          <w:bCs/>
          <w:color w:val="295CA3"/>
          <w:w w:val="110"/>
        </w:rPr>
        <w:t xml:space="preserve">Functions </w:t>
      </w:r>
    </w:p>
    <w:p w14:paraId="1C8BE0B6" w14:textId="77777777" w:rsidR="00FF1AB9" w:rsidRDefault="00FF1AB9" w:rsidP="00D63204">
      <w:pPr>
        <w:widowControl w:val="0"/>
        <w:spacing w:after="0" w:line="264" w:lineRule="exact"/>
        <w:ind w:left="107"/>
        <w:rPr>
          <w:rFonts w:cstheme="minorHAnsi"/>
          <w:b/>
          <w:w w:val="105"/>
        </w:rPr>
      </w:pPr>
      <w:bookmarkStart w:id="64" w:name="_Hlk503873277"/>
    </w:p>
    <w:p w14:paraId="550169ED" w14:textId="2FA46DEE" w:rsidR="00E06806" w:rsidRDefault="00EA7458" w:rsidP="00D63204">
      <w:pPr>
        <w:widowControl w:val="0"/>
        <w:spacing w:after="0" w:line="264" w:lineRule="exact"/>
        <w:ind w:left="107"/>
        <w:rPr>
          <w:rFonts w:cstheme="minorHAnsi"/>
          <w:b/>
          <w:w w:val="105"/>
        </w:rPr>
      </w:pPr>
      <w:r w:rsidRPr="00E06806">
        <w:rPr>
          <w:rFonts w:cstheme="minorHAnsi"/>
          <w:b/>
          <w:w w:val="105"/>
        </w:rPr>
        <w:t>State Board</w:t>
      </w:r>
    </w:p>
    <w:p w14:paraId="521A0758" w14:textId="77777777" w:rsidR="00BF6A7F" w:rsidRDefault="00BF6A7F" w:rsidP="00D63204">
      <w:pPr>
        <w:widowControl w:val="0"/>
        <w:spacing w:after="0" w:line="264" w:lineRule="exact"/>
        <w:ind w:left="107"/>
        <w:rPr>
          <w:rFonts w:cstheme="minorHAnsi"/>
          <w:b/>
          <w:w w:val="105"/>
        </w:rPr>
      </w:pPr>
    </w:p>
    <w:p w14:paraId="52073A17" w14:textId="582DA6F1" w:rsidR="00EA7458" w:rsidRPr="00E06806" w:rsidRDefault="00406368" w:rsidP="00D63204">
      <w:pPr>
        <w:widowControl w:val="0"/>
        <w:spacing w:line="264" w:lineRule="exact"/>
        <w:ind w:left="107"/>
        <w:rPr>
          <w:rFonts w:cstheme="minorHAnsi"/>
          <w:b/>
          <w:w w:val="105"/>
        </w:rPr>
      </w:pPr>
      <w:r w:rsidRPr="00E06806">
        <w:rPr>
          <w:rFonts w:cstheme="minorHAnsi"/>
          <w:w w:val="105"/>
        </w:rPr>
        <w:t xml:space="preserve">CareerSource Florida Inc. is the statewide board of business and government leaders charged with guiding workforce development for the state of Florida. </w:t>
      </w:r>
      <w:r w:rsidR="00EA7458" w:rsidRPr="00E06806">
        <w:rPr>
          <w:rFonts w:cstheme="minorHAnsi"/>
          <w:w w:val="105"/>
        </w:rPr>
        <w:t xml:space="preserve">A public-private partnership, CareerSource Florida is a non-profit organization that works with partners across the state to connect employers with qualified, skilled talent and Floridians with employment and career development opportunities to achieve economic prosperity. </w:t>
      </w:r>
      <w:r w:rsidR="006A572B" w:rsidRPr="00E06806">
        <w:rPr>
          <w:rFonts w:cstheme="minorHAnsi"/>
          <w:w w:val="105"/>
        </w:rPr>
        <w:t xml:space="preserve">CareerSource Florida provides oversight and policy direction for talent development programs administered by </w:t>
      </w:r>
      <w:r w:rsidR="00EA7458" w:rsidRPr="00E06806">
        <w:rPr>
          <w:rFonts w:cstheme="minorHAnsi"/>
          <w:w w:val="105"/>
        </w:rPr>
        <w:t>DEO</w:t>
      </w:r>
      <w:r w:rsidR="00390612" w:rsidRPr="00E06806">
        <w:rPr>
          <w:rFonts w:cstheme="minorHAnsi"/>
          <w:w w:val="105"/>
        </w:rPr>
        <w:t xml:space="preserve">, </w:t>
      </w:r>
      <w:r w:rsidR="00EA7458" w:rsidRPr="00E06806">
        <w:rPr>
          <w:rFonts w:cstheme="minorHAnsi"/>
          <w:w w:val="105"/>
        </w:rPr>
        <w:t xml:space="preserve">the </w:t>
      </w:r>
      <w:r w:rsidRPr="00E06806">
        <w:rPr>
          <w:rFonts w:cstheme="minorHAnsi"/>
          <w:w w:val="105"/>
        </w:rPr>
        <w:t xml:space="preserve">executive </w:t>
      </w:r>
      <w:r w:rsidR="00EA7458" w:rsidRPr="00E06806">
        <w:rPr>
          <w:rFonts w:cstheme="minorHAnsi"/>
          <w:w w:val="105"/>
        </w:rPr>
        <w:t>agency responsible for workforce policy implementation and administrative and fiscal affairs</w:t>
      </w:r>
      <w:r w:rsidR="00390612" w:rsidRPr="00E06806">
        <w:rPr>
          <w:rFonts w:cstheme="minorHAnsi"/>
          <w:w w:val="105"/>
        </w:rPr>
        <w:t xml:space="preserve"> </w:t>
      </w:r>
      <w:r w:rsidR="006A572B" w:rsidRPr="00E06806">
        <w:rPr>
          <w:rFonts w:cstheme="minorHAnsi"/>
          <w:w w:val="105"/>
        </w:rPr>
        <w:t>DEO partners with CareerSource Florida</w:t>
      </w:r>
      <w:r w:rsidR="00D5537E">
        <w:rPr>
          <w:rFonts w:cstheme="minorHAnsi"/>
          <w:w w:val="105"/>
        </w:rPr>
        <w:t xml:space="preserve"> and</w:t>
      </w:r>
      <w:r w:rsidR="006A572B" w:rsidRPr="00E06806">
        <w:rPr>
          <w:rFonts w:cstheme="minorHAnsi"/>
          <w:w w:val="105"/>
        </w:rPr>
        <w:t xml:space="preserve"> the state’s 24 local workforce development boards to strengthen Florida’s business climate by supporting employers and helping Floridians gain employment, remain employed and advance in their careers. </w:t>
      </w:r>
    </w:p>
    <w:p w14:paraId="625B6C94" w14:textId="7C992E7E" w:rsidR="00EA7458" w:rsidRPr="00E06806" w:rsidRDefault="0008388C" w:rsidP="00D63204">
      <w:pPr>
        <w:widowControl w:val="0"/>
        <w:spacing w:line="264" w:lineRule="exact"/>
        <w:ind w:left="107"/>
        <w:rPr>
          <w:rFonts w:cstheme="minorHAnsi"/>
          <w:w w:val="105"/>
        </w:rPr>
      </w:pPr>
      <w:r w:rsidRPr="0008388C">
        <w:rPr>
          <w:rFonts w:cstheme="minorHAnsi"/>
          <w:w w:val="105"/>
        </w:rPr>
        <w:t xml:space="preserve">The CareerSource Florida Board of Directors includes the </w:t>
      </w:r>
      <w:r w:rsidR="00A30864">
        <w:rPr>
          <w:rFonts w:cstheme="minorHAnsi"/>
          <w:w w:val="105"/>
        </w:rPr>
        <w:t>g</w:t>
      </w:r>
      <w:r w:rsidRPr="0008388C">
        <w:rPr>
          <w:rFonts w:cstheme="minorHAnsi"/>
          <w:w w:val="105"/>
        </w:rPr>
        <w:t xml:space="preserve">overnor and 25 members appointed by the </w:t>
      </w:r>
      <w:r w:rsidR="00A30864">
        <w:rPr>
          <w:rFonts w:cstheme="minorHAnsi"/>
          <w:w w:val="105"/>
        </w:rPr>
        <w:t>g</w:t>
      </w:r>
      <w:r w:rsidRPr="0008388C">
        <w:rPr>
          <w:rFonts w:cstheme="minorHAnsi"/>
          <w:w w:val="105"/>
        </w:rPr>
        <w:t>overnor</w:t>
      </w:r>
      <w:r w:rsidR="003F007D">
        <w:rPr>
          <w:rFonts w:cstheme="minorHAnsi"/>
          <w:w w:val="105"/>
        </w:rPr>
        <w:t xml:space="preserve"> and legislative leaders</w:t>
      </w:r>
      <w:r w:rsidRPr="0008388C">
        <w:rPr>
          <w:rFonts w:cstheme="minorHAnsi"/>
          <w:w w:val="105"/>
        </w:rPr>
        <w:t xml:space="preserve">. </w:t>
      </w:r>
      <w:r w:rsidR="006A572B" w:rsidRPr="0008388C">
        <w:rPr>
          <w:rFonts w:cstheme="minorHAnsi"/>
          <w:w w:val="105"/>
        </w:rPr>
        <w:t>The board</w:t>
      </w:r>
      <w:r w:rsidR="006A572B" w:rsidRPr="00E06806">
        <w:rPr>
          <w:rFonts w:cstheme="minorHAnsi"/>
          <w:w w:val="105"/>
        </w:rPr>
        <w:t xml:space="preserve"> includes leaders in business and industry, government, labor, economic development, education and youth and community- based organizations whose contributions influence the development </w:t>
      </w:r>
      <w:r w:rsidR="00EA7458" w:rsidRPr="00E06806">
        <w:rPr>
          <w:rFonts w:cstheme="minorHAnsi"/>
          <w:w w:val="105"/>
        </w:rPr>
        <w:t>of</w:t>
      </w:r>
      <w:r w:rsidR="006A572B" w:rsidRPr="00E06806">
        <w:rPr>
          <w:rFonts w:cstheme="minorHAnsi"/>
          <w:w w:val="105"/>
        </w:rPr>
        <w:t xml:space="preserve"> </w:t>
      </w:r>
      <w:r w:rsidR="00EA7458" w:rsidRPr="00E06806">
        <w:rPr>
          <w:rFonts w:cstheme="minorHAnsi"/>
          <w:w w:val="105"/>
        </w:rPr>
        <w:t>strategies and policies</w:t>
      </w:r>
      <w:r w:rsidR="003B2637" w:rsidRPr="00E06806">
        <w:rPr>
          <w:rFonts w:cstheme="minorHAnsi"/>
          <w:w w:val="105"/>
        </w:rPr>
        <w:t>,</w:t>
      </w:r>
      <w:r w:rsidR="00EA7458" w:rsidRPr="00E06806">
        <w:rPr>
          <w:rFonts w:cstheme="minorHAnsi"/>
          <w:w w:val="105"/>
        </w:rPr>
        <w:t xml:space="preserve"> </w:t>
      </w:r>
      <w:r w:rsidR="006A572B" w:rsidRPr="00E06806">
        <w:rPr>
          <w:rFonts w:cstheme="minorHAnsi"/>
          <w:w w:val="105"/>
        </w:rPr>
        <w:t xml:space="preserve">ensuring </w:t>
      </w:r>
      <w:r w:rsidR="00EA7458" w:rsidRPr="00E06806">
        <w:rPr>
          <w:rFonts w:cstheme="minorHAnsi"/>
          <w:w w:val="105"/>
        </w:rPr>
        <w:t xml:space="preserve">Florida has a </w:t>
      </w:r>
      <w:r w:rsidR="006A572B" w:rsidRPr="00E06806">
        <w:rPr>
          <w:rFonts w:cstheme="minorHAnsi"/>
          <w:w w:val="105"/>
        </w:rPr>
        <w:t xml:space="preserve">robust, </w:t>
      </w:r>
      <w:r w:rsidR="00EA7458" w:rsidRPr="00E06806">
        <w:rPr>
          <w:rFonts w:cstheme="minorHAnsi"/>
          <w:w w:val="105"/>
        </w:rPr>
        <w:t xml:space="preserve">globally competitive workforce. The work of this board and the entire state workforce system is vital to achieving </w:t>
      </w:r>
      <w:r w:rsidR="006A572B" w:rsidRPr="00E06806">
        <w:rPr>
          <w:rFonts w:cstheme="minorHAnsi"/>
          <w:w w:val="105"/>
        </w:rPr>
        <w:t xml:space="preserve">the </w:t>
      </w:r>
      <w:r w:rsidR="00A30864">
        <w:rPr>
          <w:rFonts w:cstheme="minorHAnsi"/>
          <w:w w:val="105"/>
        </w:rPr>
        <w:t>g</w:t>
      </w:r>
      <w:r w:rsidR="006A572B" w:rsidRPr="00E06806">
        <w:rPr>
          <w:rFonts w:cstheme="minorHAnsi"/>
          <w:w w:val="105"/>
        </w:rPr>
        <w:t xml:space="preserve">overnor’s </w:t>
      </w:r>
      <w:r w:rsidR="00EA7458" w:rsidRPr="00E06806">
        <w:rPr>
          <w:rFonts w:cstheme="minorHAnsi"/>
          <w:w w:val="105"/>
        </w:rPr>
        <w:t xml:space="preserve">priorities for helping Floridians </w:t>
      </w:r>
      <w:r w:rsidR="006A572B" w:rsidRPr="00E06806">
        <w:rPr>
          <w:rFonts w:cstheme="minorHAnsi"/>
          <w:w w:val="105"/>
        </w:rPr>
        <w:t xml:space="preserve">obtain employment </w:t>
      </w:r>
      <w:r w:rsidR="00EA7458" w:rsidRPr="00E06806">
        <w:rPr>
          <w:rFonts w:cstheme="minorHAnsi"/>
          <w:w w:val="105"/>
        </w:rPr>
        <w:t xml:space="preserve">and establishing Florida as </w:t>
      </w:r>
      <w:r w:rsidR="00C740C0">
        <w:rPr>
          <w:rFonts w:cstheme="minorHAnsi"/>
          <w:w w:val="105"/>
        </w:rPr>
        <w:t>a</w:t>
      </w:r>
      <w:r w:rsidR="00EA7458" w:rsidRPr="00E06806">
        <w:rPr>
          <w:rFonts w:cstheme="minorHAnsi"/>
          <w:w w:val="105"/>
        </w:rPr>
        <w:t xml:space="preserve"> top job-creating state. The state board plays a critical role in strengthening Florida’s business climate through its policy setting and oversight role.</w:t>
      </w:r>
      <w:r w:rsidR="000E65CF">
        <w:rPr>
          <w:rFonts w:cstheme="minorHAnsi"/>
          <w:w w:val="105"/>
        </w:rPr>
        <w:t xml:space="preserve"> </w:t>
      </w:r>
    </w:p>
    <w:p w14:paraId="196BCD47" w14:textId="73E52216" w:rsidR="000E65CF" w:rsidRDefault="00390612" w:rsidP="0050635D">
      <w:pPr>
        <w:widowControl w:val="0"/>
        <w:spacing w:line="264" w:lineRule="exact"/>
        <w:ind w:left="107"/>
        <w:rPr>
          <w:rFonts w:cstheme="minorHAnsi"/>
          <w:b/>
          <w:bCs/>
          <w:color w:val="231F20"/>
          <w:w w:val="110"/>
        </w:rPr>
      </w:pPr>
      <w:r w:rsidRPr="000E65CF">
        <w:rPr>
          <w:rFonts w:cstheme="minorHAnsi"/>
          <w:w w:val="105"/>
        </w:rPr>
        <w:t xml:space="preserve">The CareerSource Florida network assisted 369,100 </w:t>
      </w:r>
      <w:r w:rsidR="003B2637" w:rsidRPr="000E65CF">
        <w:rPr>
          <w:rFonts w:cstheme="minorHAnsi"/>
          <w:w w:val="105"/>
        </w:rPr>
        <w:t xml:space="preserve">job seekers </w:t>
      </w:r>
      <w:r w:rsidRPr="000E65CF">
        <w:rPr>
          <w:rFonts w:cstheme="minorHAnsi"/>
          <w:w w:val="105"/>
        </w:rPr>
        <w:t>who were reported last year to have gained employment. The network is committed to expanding business engagement at both the state and local levels. With funding assistance from a $7 million federal grant, workforce, education and industry partners across Florida are employing regional sector strategies</w:t>
      </w:r>
      <w:r w:rsidR="00492997">
        <w:rPr>
          <w:rFonts w:cstheme="minorHAnsi"/>
          <w:w w:val="105"/>
        </w:rPr>
        <w:t>, as noted previously in this report,</w:t>
      </w:r>
      <w:r w:rsidRPr="000E65CF">
        <w:rPr>
          <w:rFonts w:cstheme="minorHAnsi"/>
          <w:w w:val="105"/>
        </w:rPr>
        <w:t xml:space="preserve"> to build the state’s talent pipeline and support growth in targeted industries. Network-wide, more than 81,700 businesses were served last year through assistance with recruiting, screening and hiring.</w:t>
      </w:r>
      <w:bookmarkEnd w:id="64"/>
    </w:p>
    <w:p w14:paraId="25ADCE65" w14:textId="073BBA6E" w:rsidR="00492997" w:rsidRDefault="00EA7458" w:rsidP="00D63204">
      <w:pPr>
        <w:widowControl w:val="0"/>
        <w:spacing w:after="0" w:line="266" w:lineRule="exact"/>
        <w:ind w:left="107"/>
        <w:outlineLvl w:val="2"/>
        <w:rPr>
          <w:rFonts w:cstheme="minorHAnsi"/>
          <w:b/>
          <w:bCs/>
          <w:color w:val="231F20"/>
          <w:w w:val="110"/>
        </w:rPr>
      </w:pPr>
      <w:r w:rsidRPr="00E06806">
        <w:rPr>
          <w:rFonts w:cstheme="minorHAnsi"/>
          <w:b/>
          <w:bCs/>
          <w:color w:val="231F20"/>
          <w:w w:val="110"/>
        </w:rPr>
        <w:t>Governance</w:t>
      </w:r>
      <w:r w:rsidRPr="00E06806">
        <w:rPr>
          <w:rFonts w:cstheme="minorHAnsi"/>
          <w:b/>
          <w:bCs/>
          <w:color w:val="231F20"/>
          <w:spacing w:val="-20"/>
          <w:w w:val="110"/>
        </w:rPr>
        <w:t xml:space="preserve"> </w:t>
      </w:r>
      <w:r w:rsidRPr="00E06806">
        <w:rPr>
          <w:rFonts w:cstheme="minorHAnsi"/>
          <w:b/>
          <w:bCs/>
          <w:color w:val="231F20"/>
          <w:w w:val="110"/>
        </w:rPr>
        <w:t>Structure</w:t>
      </w:r>
    </w:p>
    <w:p w14:paraId="0A41C08F" w14:textId="77777777" w:rsidR="00FF1AB9" w:rsidRDefault="00FF1AB9" w:rsidP="00D63204">
      <w:pPr>
        <w:widowControl w:val="0"/>
        <w:spacing w:after="0" w:line="266" w:lineRule="exact"/>
        <w:ind w:left="107"/>
        <w:outlineLvl w:val="2"/>
        <w:rPr>
          <w:rFonts w:cstheme="minorHAnsi"/>
          <w:b/>
          <w:bCs/>
          <w:color w:val="231F20"/>
          <w:w w:val="110"/>
        </w:rPr>
      </w:pPr>
    </w:p>
    <w:p w14:paraId="2EAD4587" w14:textId="7B1BC9F3" w:rsidR="006C71F8" w:rsidRDefault="00EA7458" w:rsidP="004644CB">
      <w:pPr>
        <w:widowControl w:val="0"/>
        <w:spacing w:line="264" w:lineRule="exact"/>
        <w:ind w:left="107"/>
        <w:rPr>
          <w:rFonts w:cstheme="minorHAnsi"/>
          <w:b/>
          <w:bCs/>
          <w:color w:val="231F20"/>
          <w:w w:val="110"/>
        </w:rPr>
      </w:pPr>
      <w:r w:rsidRPr="00675D65">
        <w:rPr>
          <w:rFonts w:cstheme="minorHAnsi"/>
          <w:w w:val="105"/>
        </w:rPr>
        <w:t xml:space="preserve">The governance structure, through which the state board conducts its work, consists of the board of directors, two councils – the Strategic Policy </w:t>
      </w:r>
      <w:r w:rsidR="00390612" w:rsidRPr="00675D65">
        <w:rPr>
          <w:rFonts w:cstheme="minorHAnsi"/>
          <w:w w:val="105"/>
        </w:rPr>
        <w:t xml:space="preserve">and Performance </w:t>
      </w:r>
      <w:r w:rsidRPr="00675D65">
        <w:rPr>
          <w:rFonts w:cstheme="minorHAnsi"/>
          <w:w w:val="105"/>
        </w:rPr>
        <w:t>Council and the Finance Council – and an Executive</w:t>
      </w:r>
      <w:r w:rsidR="00390612" w:rsidRPr="00675D65">
        <w:rPr>
          <w:rFonts w:cstheme="minorHAnsi"/>
          <w:w w:val="105"/>
        </w:rPr>
        <w:t xml:space="preserve"> </w:t>
      </w:r>
      <w:r w:rsidRPr="00675D65">
        <w:rPr>
          <w:rFonts w:cstheme="minorHAnsi"/>
          <w:w w:val="105"/>
        </w:rPr>
        <w:t>Committee</w:t>
      </w:r>
      <w:r w:rsidR="00390612" w:rsidRPr="00675D65">
        <w:rPr>
          <w:rFonts w:cstheme="minorHAnsi"/>
          <w:w w:val="105"/>
        </w:rPr>
        <w:t xml:space="preserve"> </w:t>
      </w:r>
      <w:r w:rsidRPr="00675D65">
        <w:rPr>
          <w:rFonts w:cstheme="minorHAnsi"/>
          <w:w w:val="105"/>
        </w:rPr>
        <w:t xml:space="preserve">composed of council chairmen and board leaders appointed by the </w:t>
      </w:r>
      <w:r w:rsidR="00FF1AB9">
        <w:rPr>
          <w:rFonts w:cstheme="minorHAnsi"/>
          <w:w w:val="105"/>
        </w:rPr>
        <w:t xml:space="preserve">state </w:t>
      </w:r>
      <w:r w:rsidRPr="00675D65">
        <w:rPr>
          <w:rFonts w:cstheme="minorHAnsi"/>
          <w:w w:val="105"/>
        </w:rPr>
        <w:t>board chairman.</w:t>
      </w:r>
      <w:bookmarkStart w:id="65" w:name="_Hlk500235517"/>
    </w:p>
    <w:p w14:paraId="299982C2" w14:textId="6E6EE0A6" w:rsidR="000E65CF" w:rsidRDefault="00EA7458" w:rsidP="004644CB">
      <w:pPr>
        <w:widowControl w:val="0"/>
        <w:spacing w:line="264" w:lineRule="exact"/>
        <w:ind w:left="107"/>
        <w:rPr>
          <w:rFonts w:cstheme="minorHAnsi"/>
          <w:b/>
          <w:bCs/>
          <w:color w:val="231F20"/>
          <w:w w:val="110"/>
        </w:rPr>
      </w:pPr>
      <w:r w:rsidRPr="00E06806">
        <w:rPr>
          <w:rFonts w:cstheme="minorHAnsi"/>
          <w:b/>
          <w:bCs/>
          <w:color w:val="231F20"/>
          <w:w w:val="110"/>
        </w:rPr>
        <w:t>Strategic Policy</w:t>
      </w:r>
      <w:r w:rsidRPr="000E65CF">
        <w:rPr>
          <w:rFonts w:cstheme="minorHAnsi"/>
          <w:b/>
          <w:bCs/>
          <w:color w:val="231F20"/>
          <w:w w:val="110"/>
        </w:rPr>
        <w:t xml:space="preserve"> </w:t>
      </w:r>
      <w:r w:rsidR="00B7587A" w:rsidRPr="000E65CF">
        <w:rPr>
          <w:rFonts w:cstheme="minorHAnsi"/>
          <w:b/>
          <w:bCs/>
          <w:color w:val="231F20"/>
          <w:w w:val="110"/>
        </w:rPr>
        <w:t xml:space="preserve">and Performance </w:t>
      </w:r>
      <w:r w:rsidRPr="00E06806">
        <w:rPr>
          <w:rFonts w:cstheme="minorHAnsi"/>
          <w:b/>
          <w:bCs/>
          <w:color w:val="231F20"/>
          <w:w w:val="110"/>
        </w:rPr>
        <w:t>Council</w:t>
      </w:r>
    </w:p>
    <w:p w14:paraId="00449287" w14:textId="3CEFC0F3" w:rsidR="000E65CF" w:rsidRDefault="004C004D" w:rsidP="00D63204">
      <w:pPr>
        <w:widowControl w:val="0"/>
        <w:spacing w:after="0" w:line="266" w:lineRule="exact"/>
        <w:ind w:left="107"/>
        <w:outlineLvl w:val="2"/>
        <w:rPr>
          <w:rFonts w:cstheme="minorHAnsi"/>
        </w:rPr>
      </w:pPr>
      <w:r w:rsidRPr="00E06806">
        <w:rPr>
          <w:rFonts w:cstheme="minorHAnsi"/>
        </w:rPr>
        <w:t xml:space="preserve">Florida law gives CareerSource Florida the authority to create state employment, education and training policies that ensure programs are preparing workers </w:t>
      </w:r>
      <w:r w:rsidR="00BE702E">
        <w:rPr>
          <w:rFonts w:cstheme="minorHAnsi"/>
        </w:rPr>
        <w:t>in response</w:t>
      </w:r>
      <w:r w:rsidRPr="00E06806">
        <w:rPr>
          <w:rFonts w:cstheme="minorHAnsi"/>
        </w:rPr>
        <w:t xml:space="preserve"> to present and future business and industry needs and complements the initiatives of Enterprise Florida, Inc., the state’s economic development organization (Section 445.004(6)(a), Florida Statutes). Consistent with CareerSource Florida’s strategic goals, priority is given to addressing workforce needs for businesses in the state’s target and infrastructure </w:t>
      </w:r>
      <w:r w:rsidR="000E65CF">
        <w:rPr>
          <w:rFonts w:cstheme="minorHAnsi"/>
        </w:rPr>
        <w:t>industries.</w:t>
      </w:r>
    </w:p>
    <w:p w14:paraId="5F09235A" w14:textId="77777777" w:rsidR="000E65CF" w:rsidRDefault="000E65CF" w:rsidP="00D63204">
      <w:pPr>
        <w:widowControl w:val="0"/>
        <w:spacing w:after="0" w:line="266" w:lineRule="exact"/>
        <w:ind w:left="107"/>
        <w:outlineLvl w:val="2"/>
        <w:rPr>
          <w:rFonts w:cstheme="minorHAnsi"/>
        </w:rPr>
      </w:pPr>
    </w:p>
    <w:p w14:paraId="4E8D3484" w14:textId="0613C861" w:rsidR="00C045BF" w:rsidRDefault="0008388C" w:rsidP="00C045BF">
      <w:pPr>
        <w:widowControl w:val="0"/>
        <w:spacing w:after="0" w:line="240" w:lineRule="auto"/>
        <w:ind w:left="107"/>
        <w:outlineLvl w:val="2"/>
        <w:rPr>
          <w:rFonts w:cstheme="minorHAnsi"/>
        </w:rPr>
      </w:pPr>
      <w:r w:rsidRPr="00BB6EC7">
        <w:rPr>
          <w:rFonts w:cstheme="minorHAnsi"/>
        </w:rPr>
        <w:lastRenderedPageBreak/>
        <w:t xml:space="preserve">The CareerSource Florida Strategic Policy and Performance Council </w:t>
      </w:r>
      <w:r w:rsidR="00C528A0" w:rsidRPr="00BB6EC7">
        <w:rPr>
          <w:rFonts w:cstheme="minorHAnsi"/>
        </w:rPr>
        <w:t>includes</w:t>
      </w:r>
      <w:r w:rsidRPr="00BB6EC7">
        <w:rPr>
          <w:rFonts w:cstheme="minorHAnsi"/>
        </w:rPr>
        <w:t xml:space="preserve"> </w:t>
      </w:r>
      <w:r w:rsidR="00DE1404" w:rsidRPr="00BB6EC7">
        <w:rPr>
          <w:rFonts w:cstheme="minorHAnsi"/>
        </w:rPr>
        <w:t xml:space="preserve">people </w:t>
      </w:r>
      <w:r w:rsidRPr="00BB6EC7">
        <w:rPr>
          <w:rFonts w:cstheme="minorHAnsi"/>
        </w:rPr>
        <w:t>appointed by the chairman of the board from the membership of the board and individuals from outside CareerSource Florida who possess relevant experience or expertise in the subject area of the council.</w:t>
      </w:r>
      <w:r w:rsidRPr="00E06806">
        <w:rPr>
          <w:rFonts w:cstheme="minorHAnsi"/>
        </w:rPr>
        <w:t xml:space="preserve"> </w:t>
      </w:r>
    </w:p>
    <w:p w14:paraId="23770E88" w14:textId="099259D7" w:rsidR="00CE0DFF" w:rsidRPr="00E06806" w:rsidRDefault="000E65CF" w:rsidP="00C045BF">
      <w:pPr>
        <w:widowControl w:val="0"/>
        <w:spacing w:after="0" w:line="240" w:lineRule="auto"/>
        <w:ind w:left="107"/>
        <w:outlineLvl w:val="2"/>
        <w:rPr>
          <w:rFonts w:cstheme="minorHAnsi"/>
          <w:color w:val="231F20"/>
          <w:w w:val="105"/>
        </w:rPr>
      </w:pPr>
      <w:r>
        <w:rPr>
          <w:rFonts w:cstheme="minorHAnsi"/>
        </w:rPr>
        <w:br/>
      </w:r>
      <w:bookmarkStart w:id="66" w:name="_Hlk504999229"/>
      <w:r w:rsidR="004C004D" w:rsidRPr="00E06806">
        <w:rPr>
          <w:rFonts w:cstheme="minorHAnsi"/>
        </w:rPr>
        <w:t>The Strategic Policy and Performance Council</w:t>
      </w:r>
      <w:r w:rsidR="007846F1">
        <w:rPr>
          <w:rFonts w:cstheme="minorHAnsi"/>
        </w:rPr>
        <w:t xml:space="preserve"> </w:t>
      </w:r>
      <w:r w:rsidR="004C004D" w:rsidRPr="00E06806">
        <w:rPr>
          <w:rFonts w:cstheme="minorHAnsi"/>
        </w:rPr>
        <w:t>review</w:t>
      </w:r>
      <w:r w:rsidR="007846F1">
        <w:rPr>
          <w:rFonts w:cstheme="minorHAnsi"/>
        </w:rPr>
        <w:t>s</w:t>
      </w:r>
      <w:r w:rsidR="004C004D" w:rsidRPr="00E06806">
        <w:rPr>
          <w:rFonts w:cstheme="minorHAnsi"/>
        </w:rPr>
        <w:t xml:space="preserve"> existing policies </w:t>
      </w:r>
      <w:r w:rsidR="007846F1">
        <w:rPr>
          <w:rFonts w:cstheme="minorHAnsi"/>
        </w:rPr>
        <w:t xml:space="preserve">and </w:t>
      </w:r>
      <w:r w:rsidR="004C004D" w:rsidRPr="00E06806">
        <w:rPr>
          <w:rFonts w:cstheme="minorHAnsi"/>
        </w:rPr>
        <w:t>develop</w:t>
      </w:r>
      <w:r w:rsidR="007846F1">
        <w:rPr>
          <w:rFonts w:cstheme="minorHAnsi"/>
        </w:rPr>
        <w:t>s</w:t>
      </w:r>
      <w:r w:rsidR="004C004D" w:rsidRPr="00E06806">
        <w:rPr>
          <w:rFonts w:cstheme="minorHAnsi"/>
        </w:rPr>
        <w:t xml:space="preserve"> new strategies and policies designed to foster a performance-driven talent delivery system with the ability to serve individuals at all levels, businesses of all sizes and entrepreneurs to meet the demands of Florida’s growing and diversifying economy. </w:t>
      </w:r>
      <w:r w:rsidR="003F2FCC" w:rsidRPr="00E06806">
        <w:rPr>
          <w:rFonts w:cstheme="minorHAnsi"/>
          <w:color w:val="231F20"/>
          <w:w w:val="105"/>
        </w:rPr>
        <w:t xml:space="preserve">The Strategic Policy and Performance Council </w:t>
      </w:r>
      <w:r w:rsidR="004C004D" w:rsidRPr="00E06806">
        <w:rPr>
          <w:rFonts w:cstheme="minorHAnsi"/>
          <w:color w:val="231F20"/>
          <w:w w:val="105"/>
        </w:rPr>
        <w:t>analyzes</w:t>
      </w:r>
      <w:r w:rsidR="00EA7458" w:rsidRPr="00E06806">
        <w:rPr>
          <w:rFonts w:cstheme="minorHAnsi"/>
          <w:color w:val="231F20"/>
          <w:w w:val="105"/>
        </w:rPr>
        <w:t>,</w:t>
      </w:r>
      <w:r w:rsidR="00EA7458" w:rsidRPr="00E06806">
        <w:rPr>
          <w:rFonts w:cstheme="minorHAnsi"/>
          <w:color w:val="231F20"/>
          <w:spacing w:val="26"/>
          <w:w w:val="105"/>
        </w:rPr>
        <w:t xml:space="preserve"> </w:t>
      </w:r>
      <w:r w:rsidR="004C004D" w:rsidRPr="00E06806">
        <w:rPr>
          <w:rFonts w:cstheme="minorHAnsi"/>
          <w:color w:val="231F20"/>
          <w:w w:val="105"/>
        </w:rPr>
        <w:t>discusses</w:t>
      </w:r>
      <w:r w:rsidR="00D5537E">
        <w:rPr>
          <w:rFonts w:cstheme="minorHAnsi"/>
          <w:color w:val="231F20"/>
          <w:w w:val="105"/>
        </w:rPr>
        <w:t xml:space="preserve"> and</w:t>
      </w:r>
      <w:r w:rsidR="004C004D" w:rsidRPr="00E06806">
        <w:rPr>
          <w:rFonts w:cstheme="minorHAnsi"/>
          <w:color w:val="231F20"/>
          <w:w w:val="105"/>
        </w:rPr>
        <w:t xml:space="preserve"> finalizes </w:t>
      </w:r>
      <w:r w:rsidR="00EA7458" w:rsidRPr="00E06806">
        <w:rPr>
          <w:rFonts w:cstheme="minorHAnsi"/>
          <w:color w:val="231F20"/>
          <w:w w:val="105"/>
        </w:rPr>
        <w:t>strategic</w:t>
      </w:r>
      <w:r w:rsidR="00EA7458" w:rsidRPr="00E06806">
        <w:rPr>
          <w:rFonts w:cstheme="minorHAnsi"/>
          <w:color w:val="231F20"/>
          <w:spacing w:val="26"/>
          <w:w w:val="105"/>
        </w:rPr>
        <w:t xml:space="preserve"> </w:t>
      </w:r>
      <w:r w:rsidR="00EA7458" w:rsidRPr="00E06806">
        <w:rPr>
          <w:rFonts w:cstheme="minorHAnsi"/>
          <w:color w:val="231F20"/>
          <w:w w:val="105"/>
        </w:rPr>
        <w:t>policies</w:t>
      </w:r>
      <w:r w:rsidR="00EA7458" w:rsidRPr="00E06806">
        <w:rPr>
          <w:rFonts w:cstheme="minorHAnsi"/>
          <w:color w:val="231F20"/>
          <w:spacing w:val="26"/>
          <w:w w:val="105"/>
        </w:rPr>
        <w:t xml:space="preserve"> </w:t>
      </w:r>
      <w:r w:rsidR="00EA7458" w:rsidRPr="00E06806">
        <w:rPr>
          <w:rFonts w:cstheme="minorHAnsi"/>
          <w:color w:val="231F20"/>
          <w:w w:val="105"/>
        </w:rPr>
        <w:t>and</w:t>
      </w:r>
      <w:r w:rsidR="00EA7458" w:rsidRPr="00E06806">
        <w:rPr>
          <w:rFonts w:cstheme="minorHAnsi"/>
          <w:color w:val="231F20"/>
          <w:spacing w:val="26"/>
          <w:w w:val="105"/>
        </w:rPr>
        <w:t xml:space="preserve"> </w:t>
      </w:r>
      <w:r w:rsidR="00EA7458" w:rsidRPr="00E06806">
        <w:rPr>
          <w:rFonts w:cstheme="minorHAnsi"/>
          <w:color w:val="231F20"/>
          <w:w w:val="105"/>
        </w:rPr>
        <w:t>performance</w:t>
      </w:r>
      <w:r w:rsidR="00EA7458" w:rsidRPr="00E06806">
        <w:rPr>
          <w:rFonts w:cstheme="minorHAnsi"/>
          <w:color w:val="231F20"/>
          <w:w w:val="106"/>
        </w:rPr>
        <w:t xml:space="preserve"> </w:t>
      </w:r>
      <w:r w:rsidR="00EA7458" w:rsidRPr="00E06806">
        <w:rPr>
          <w:rFonts w:cstheme="minorHAnsi"/>
          <w:color w:val="231F20"/>
          <w:w w:val="105"/>
        </w:rPr>
        <w:t>incentives for the CareerSource Florida network as directed by the chairman of the</w:t>
      </w:r>
      <w:r w:rsidR="00EA7458" w:rsidRPr="00E06806">
        <w:rPr>
          <w:rFonts w:cstheme="minorHAnsi"/>
          <w:color w:val="231F20"/>
          <w:spacing w:val="35"/>
          <w:w w:val="105"/>
        </w:rPr>
        <w:t xml:space="preserve"> </w:t>
      </w:r>
      <w:r w:rsidR="00EA7458" w:rsidRPr="00E06806">
        <w:rPr>
          <w:rFonts w:cstheme="minorHAnsi"/>
          <w:color w:val="231F20"/>
          <w:w w:val="105"/>
        </w:rPr>
        <w:t>board</w:t>
      </w:r>
      <w:r w:rsidR="003F2FCC" w:rsidRPr="00E06806">
        <w:rPr>
          <w:rFonts w:cstheme="minorHAnsi"/>
          <w:color w:val="231F20"/>
          <w:w w:val="105"/>
        </w:rPr>
        <w:t>.</w:t>
      </w:r>
      <w:r w:rsidR="00CE0DFF" w:rsidRPr="00E06806">
        <w:rPr>
          <w:rFonts w:cstheme="minorHAnsi"/>
          <w:color w:val="231F20"/>
          <w:w w:val="105"/>
        </w:rPr>
        <w:t xml:space="preserve"> </w:t>
      </w:r>
    </w:p>
    <w:bookmarkEnd w:id="66"/>
    <w:p w14:paraId="3B0A375B" w14:textId="77777777" w:rsidR="00C04DF7" w:rsidRDefault="0008388C" w:rsidP="00D63204">
      <w:pPr>
        <w:widowControl w:val="0"/>
        <w:spacing w:before="196" w:after="0" w:line="266" w:lineRule="exact"/>
        <w:ind w:left="107"/>
        <w:outlineLvl w:val="2"/>
        <w:rPr>
          <w:rFonts w:cstheme="minorHAnsi"/>
          <w:color w:val="231F20"/>
        </w:rPr>
      </w:pPr>
      <w:r w:rsidRPr="0008388C">
        <w:rPr>
          <w:rFonts w:cstheme="minorHAnsi"/>
        </w:rPr>
        <w:t>Recommendations of the Strategic Policy and Performance Council are considered for approval by the CareerSource Florida Board of Directors.</w:t>
      </w:r>
      <w:r w:rsidR="00C04DF7">
        <w:rPr>
          <w:rFonts w:cstheme="minorHAnsi"/>
        </w:rPr>
        <w:t xml:space="preserve"> </w:t>
      </w:r>
      <w:r w:rsidRPr="0008388C">
        <w:rPr>
          <w:rFonts w:cstheme="minorHAnsi"/>
          <w:color w:val="231F20"/>
        </w:rPr>
        <w:t>Thirteen board members currently serve on this</w:t>
      </w:r>
      <w:r w:rsidRPr="0008388C">
        <w:rPr>
          <w:rFonts w:cstheme="minorHAnsi"/>
          <w:color w:val="231F20"/>
          <w:spacing w:val="12"/>
        </w:rPr>
        <w:t xml:space="preserve"> </w:t>
      </w:r>
      <w:r w:rsidRPr="0008388C">
        <w:rPr>
          <w:rFonts w:cstheme="minorHAnsi"/>
          <w:color w:val="231F20"/>
        </w:rPr>
        <w:t>council.</w:t>
      </w:r>
    </w:p>
    <w:p w14:paraId="28AB6ACA" w14:textId="2807E7E8" w:rsidR="00C04DF7" w:rsidRDefault="000E65CF" w:rsidP="00C04DF7">
      <w:pPr>
        <w:widowControl w:val="0"/>
        <w:spacing w:before="196" w:after="0" w:line="266" w:lineRule="exact"/>
        <w:ind w:left="107"/>
        <w:outlineLvl w:val="2"/>
        <w:rPr>
          <w:rFonts w:cstheme="minorHAnsi"/>
          <w:b/>
          <w:bCs/>
          <w:color w:val="231F20"/>
          <w:w w:val="110"/>
        </w:rPr>
      </w:pPr>
      <w:r>
        <w:rPr>
          <w:rFonts w:cstheme="minorHAnsi"/>
          <w:b/>
          <w:bCs/>
          <w:color w:val="231F20"/>
          <w:w w:val="110"/>
        </w:rPr>
        <w:br/>
      </w:r>
      <w:r w:rsidR="00EA7458" w:rsidRPr="00E06806">
        <w:rPr>
          <w:rFonts w:cstheme="minorHAnsi"/>
          <w:b/>
          <w:bCs/>
          <w:color w:val="231F20"/>
          <w:w w:val="110"/>
        </w:rPr>
        <w:t>Finance</w:t>
      </w:r>
      <w:r w:rsidR="00EA7458" w:rsidRPr="00E06806">
        <w:rPr>
          <w:rFonts w:cstheme="minorHAnsi"/>
          <w:b/>
          <w:bCs/>
          <w:color w:val="231F20"/>
          <w:spacing w:val="29"/>
          <w:w w:val="110"/>
        </w:rPr>
        <w:t xml:space="preserve"> </w:t>
      </w:r>
      <w:r w:rsidR="00EA7458" w:rsidRPr="00E06806">
        <w:rPr>
          <w:rFonts w:cstheme="minorHAnsi"/>
          <w:b/>
          <w:bCs/>
          <w:color w:val="231F20"/>
          <w:w w:val="110"/>
        </w:rPr>
        <w:t>Council</w:t>
      </w:r>
    </w:p>
    <w:p w14:paraId="794FC9CE" w14:textId="196E2888" w:rsidR="0008388C" w:rsidRPr="0008388C" w:rsidRDefault="0008388C" w:rsidP="00D63204">
      <w:pPr>
        <w:widowControl w:val="0"/>
        <w:spacing w:after="0" w:line="266" w:lineRule="exact"/>
        <w:ind w:left="107"/>
        <w:outlineLvl w:val="2"/>
        <w:rPr>
          <w:rFonts w:cstheme="minorHAnsi"/>
        </w:rPr>
      </w:pPr>
      <w:r w:rsidRPr="0008388C">
        <w:rPr>
          <w:rFonts w:cstheme="minorHAnsi"/>
        </w:rPr>
        <w:t xml:space="preserve">CareerSource Florida’s Finance Council </w:t>
      </w:r>
      <w:r w:rsidR="00C528A0">
        <w:rPr>
          <w:rFonts w:cstheme="minorHAnsi"/>
        </w:rPr>
        <w:t xml:space="preserve">is </w:t>
      </w:r>
      <w:r w:rsidRPr="0008388C">
        <w:rPr>
          <w:rFonts w:cstheme="minorHAnsi"/>
        </w:rPr>
        <w:t>comp</w:t>
      </w:r>
      <w:r w:rsidR="00C528A0">
        <w:rPr>
          <w:rFonts w:cstheme="minorHAnsi"/>
        </w:rPr>
        <w:t>osed of</w:t>
      </w:r>
      <w:r w:rsidRPr="0008388C">
        <w:rPr>
          <w:rFonts w:cstheme="minorHAnsi"/>
        </w:rPr>
        <w:t xml:space="preserve"> </w:t>
      </w:r>
      <w:r w:rsidR="00535451">
        <w:rPr>
          <w:rFonts w:cstheme="minorHAnsi"/>
        </w:rPr>
        <w:t>people</w:t>
      </w:r>
      <w:r w:rsidRPr="0008388C">
        <w:rPr>
          <w:rFonts w:cstheme="minorHAnsi"/>
        </w:rPr>
        <w:t xml:space="preserve"> appointed by the chairman of the board from the membership of the board and individuals from outside CareerSource Florida who possess relevant experience or expertise in the subject area of the Council. The Finance Council’s primary goal is to ensure that the workforce system is in good financial health, that its assets are </w:t>
      </w:r>
      <w:r w:rsidR="00930A11" w:rsidRPr="0008388C">
        <w:rPr>
          <w:rFonts w:cstheme="minorHAnsi"/>
        </w:rPr>
        <w:t>protected,</w:t>
      </w:r>
      <w:r w:rsidR="00D5537E">
        <w:rPr>
          <w:rFonts w:cstheme="minorHAnsi"/>
        </w:rPr>
        <w:t xml:space="preserve"> and</w:t>
      </w:r>
      <w:r w:rsidRPr="0008388C">
        <w:rPr>
          <w:rFonts w:cstheme="minorHAnsi"/>
        </w:rPr>
        <w:t xml:space="preserve"> the state’s resources are used appropriately and accounted for sufficiently. Through this effort, the Council assists the CareerSource Florida Board of Directors in ensuring that the resources available to the state for workforce training programs and support services are used effectively and efficiently with utmost accountability to maintain public confidence and support.</w:t>
      </w:r>
    </w:p>
    <w:p w14:paraId="04FDD6A1" w14:textId="77777777" w:rsidR="0008388C" w:rsidRPr="0008388C" w:rsidRDefault="0008388C" w:rsidP="00D63204">
      <w:pPr>
        <w:widowControl w:val="0"/>
        <w:spacing w:before="196" w:after="0" w:line="266" w:lineRule="exact"/>
        <w:ind w:left="107"/>
        <w:outlineLvl w:val="2"/>
        <w:rPr>
          <w:rFonts w:cstheme="minorHAnsi"/>
          <w:color w:val="231F20"/>
          <w:w w:val="105"/>
        </w:rPr>
      </w:pPr>
      <w:r w:rsidRPr="0008388C">
        <w:rPr>
          <w:rFonts w:cstheme="minorHAnsi"/>
          <w:color w:val="231F20"/>
          <w:w w:val="105"/>
        </w:rPr>
        <w:t>The Finance Council is responsible for directing the statewide allocation of workforce system</w:t>
      </w:r>
      <w:r w:rsidRPr="0008388C">
        <w:rPr>
          <w:rFonts w:cstheme="minorHAnsi"/>
          <w:color w:val="231F20"/>
          <w:spacing w:val="5"/>
          <w:w w:val="105"/>
        </w:rPr>
        <w:t xml:space="preserve"> </w:t>
      </w:r>
      <w:r w:rsidRPr="0008388C">
        <w:rPr>
          <w:rFonts w:cstheme="minorHAnsi"/>
          <w:color w:val="231F20"/>
          <w:w w:val="105"/>
        </w:rPr>
        <w:t>funding and safeguarding the workforce system’s resources and assets.</w:t>
      </w:r>
    </w:p>
    <w:p w14:paraId="56617BEA" w14:textId="214EE6BE" w:rsidR="003D3DF1" w:rsidRPr="00E06806" w:rsidRDefault="0008388C" w:rsidP="00744199">
      <w:pPr>
        <w:widowControl w:val="0"/>
        <w:spacing w:before="196" w:after="0" w:line="266" w:lineRule="exact"/>
        <w:ind w:left="107"/>
        <w:outlineLvl w:val="2"/>
        <w:rPr>
          <w:rFonts w:cstheme="minorHAnsi"/>
          <w:sz w:val="14"/>
          <w:szCs w:val="14"/>
        </w:rPr>
      </w:pPr>
      <w:r w:rsidRPr="0008388C">
        <w:rPr>
          <w:rFonts w:cstheme="minorHAnsi"/>
        </w:rPr>
        <w:t xml:space="preserve">The Finance Council meets quarterly – whether in person, by telecommunications, or webinar – in conjunction with the regular quarterly meetings of the Board of Directors if there is business that needs to go before the Council. Additional meetings, whether held in person or by telephone, may be conducted at the request of the </w:t>
      </w:r>
      <w:r w:rsidR="00D861DF">
        <w:rPr>
          <w:rFonts w:cstheme="minorHAnsi"/>
        </w:rPr>
        <w:t>b</w:t>
      </w:r>
      <w:r w:rsidRPr="0008388C">
        <w:rPr>
          <w:rFonts w:cstheme="minorHAnsi"/>
        </w:rPr>
        <w:t xml:space="preserve">oard </w:t>
      </w:r>
      <w:r w:rsidR="00D861DF">
        <w:rPr>
          <w:rFonts w:cstheme="minorHAnsi"/>
        </w:rPr>
        <w:t>c</w:t>
      </w:r>
      <w:r w:rsidRPr="0008388C">
        <w:rPr>
          <w:rFonts w:cstheme="minorHAnsi"/>
        </w:rPr>
        <w:t xml:space="preserve">hairman or the </w:t>
      </w:r>
      <w:r w:rsidR="00D861DF">
        <w:rPr>
          <w:rFonts w:cstheme="minorHAnsi"/>
        </w:rPr>
        <w:t>c</w:t>
      </w:r>
      <w:r w:rsidRPr="0008388C">
        <w:rPr>
          <w:rFonts w:cstheme="minorHAnsi"/>
        </w:rPr>
        <w:t xml:space="preserve">ouncil </w:t>
      </w:r>
      <w:r w:rsidR="00D861DF">
        <w:rPr>
          <w:rFonts w:cstheme="minorHAnsi"/>
        </w:rPr>
        <w:t>c</w:t>
      </w:r>
      <w:r w:rsidRPr="0008388C">
        <w:rPr>
          <w:rFonts w:cstheme="minorHAnsi"/>
        </w:rPr>
        <w:t xml:space="preserve">hairman. </w:t>
      </w:r>
      <w:r w:rsidRPr="0008388C">
        <w:rPr>
          <w:rFonts w:cstheme="minorHAnsi"/>
          <w:color w:val="231F20"/>
          <w:w w:val="105"/>
        </w:rPr>
        <w:t>Recommendations</w:t>
      </w:r>
      <w:r w:rsidRPr="0008388C">
        <w:rPr>
          <w:rFonts w:cstheme="minorHAnsi"/>
          <w:color w:val="231F20"/>
          <w:spacing w:val="21"/>
          <w:w w:val="105"/>
        </w:rPr>
        <w:t xml:space="preserve"> </w:t>
      </w:r>
      <w:r w:rsidRPr="0008388C">
        <w:rPr>
          <w:rFonts w:cstheme="minorHAnsi"/>
          <w:color w:val="231F20"/>
          <w:w w:val="105"/>
        </w:rPr>
        <w:t>of</w:t>
      </w:r>
      <w:r w:rsidRPr="0008388C">
        <w:rPr>
          <w:rFonts w:cstheme="minorHAnsi"/>
          <w:color w:val="231F20"/>
          <w:spacing w:val="21"/>
          <w:w w:val="105"/>
        </w:rPr>
        <w:t xml:space="preserve"> </w:t>
      </w:r>
      <w:r w:rsidRPr="0008388C">
        <w:rPr>
          <w:rFonts w:cstheme="minorHAnsi"/>
          <w:color w:val="231F20"/>
          <w:w w:val="105"/>
        </w:rPr>
        <w:t>the</w:t>
      </w:r>
      <w:r w:rsidRPr="0008388C">
        <w:rPr>
          <w:rFonts w:cstheme="minorHAnsi"/>
          <w:color w:val="231F20"/>
          <w:spacing w:val="21"/>
          <w:w w:val="105"/>
        </w:rPr>
        <w:t xml:space="preserve"> </w:t>
      </w:r>
      <w:r w:rsidRPr="0008388C">
        <w:rPr>
          <w:rFonts w:cstheme="minorHAnsi"/>
          <w:color w:val="231F20"/>
          <w:w w:val="105"/>
        </w:rPr>
        <w:t>Finance</w:t>
      </w:r>
      <w:r w:rsidRPr="0008388C">
        <w:rPr>
          <w:rFonts w:cstheme="minorHAnsi"/>
          <w:color w:val="231F20"/>
          <w:spacing w:val="21"/>
          <w:w w:val="105"/>
        </w:rPr>
        <w:t xml:space="preserve"> </w:t>
      </w:r>
      <w:r w:rsidRPr="0008388C">
        <w:rPr>
          <w:rFonts w:cstheme="minorHAnsi"/>
          <w:color w:val="231F20"/>
          <w:w w:val="105"/>
        </w:rPr>
        <w:t>Council</w:t>
      </w:r>
      <w:r w:rsidRPr="0008388C">
        <w:rPr>
          <w:rFonts w:cstheme="minorHAnsi"/>
          <w:color w:val="231F20"/>
          <w:spacing w:val="21"/>
          <w:w w:val="105"/>
        </w:rPr>
        <w:t xml:space="preserve"> </w:t>
      </w:r>
      <w:r w:rsidRPr="0008388C">
        <w:rPr>
          <w:rFonts w:cstheme="minorHAnsi"/>
          <w:color w:val="231F20"/>
          <w:w w:val="105"/>
        </w:rPr>
        <w:t>are considered for approval by</w:t>
      </w:r>
      <w:r w:rsidRPr="0008388C">
        <w:rPr>
          <w:rFonts w:cstheme="minorHAnsi"/>
          <w:color w:val="231F20"/>
          <w:spacing w:val="21"/>
          <w:w w:val="105"/>
        </w:rPr>
        <w:t xml:space="preserve"> </w:t>
      </w:r>
      <w:r w:rsidRPr="0008388C">
        <w:rPr>
          <w:rFonts w:cstheme="minorHAnsi"/>
          <w:color w:val="231F20"/>
          <w:w w:val="105"/>
        </w:rPr>
        <w:t>the</w:t>
      </w:r>
      <w:r w:rsidRPr="0008388C">
        <w:rPr>
          <w:rFonts w:cstheme="minorHAnsi"/>
          <w:color w:val="231F20"/>
          <w:spacing w:val="21"/>
          <w:w w:val="105"/>
        </w:rPr>
        <w:t xml:space="preserve"> </w:t>
      </w:r>
      <w:r w:rsidRPr="0008388C">
        <w:rPr>
          <w:rFonts w:cstheme="minorHAnsi"/>
          <w:color w:val="231F20"/>
          <w:w w:val="105"/>
        </w:rPr>
        <w:t>CareerSource</w:t>
      </w:r>
      <w:r w:rsidRPr="0008388C">
        <w:rPr>
          <w:rFonts w:cstheme="minorHAnsi"/>
          <w:color w:val="231F20"/>
          <w:w w:val="110"/>
        </w:rPr>
        <w:t xml:space="preserve"> </w:t>
      </w:r>
      <w:r w:rsidRPr="0008388C">
        <w:rPr>
          <w:rFonts w:cstheme="minorHAnsi"/>
          <w:color w:val="231F20"/>
          <w:w w:val="105"/>
        </w:rPr>
        <w:t>Florida Board of</w:t>
      </w:r>
      <w:r w:rsidRPr="0008388C">
        <w:rPr>
          <w:rFonts w:cstheme="minorHAnsi"/>
          <w:color w:val="231F20"/>
          <w:spacing w:val="14"/>
          <w:w w:val="105"/>
        </w:rPr>
        <w:t xml:space="preserve"> </w:t>
      </w:r>
      <w:r w:rsidRPr="0008388C">
        <w:rPr>
          <w:rFonts w:cstheme="minorHAnsi"/>
          <w:color w:val="231F20"/>
          <w:w w:val="105"/>
        </w:rPr>
        <w:t>Directors.</w:t>
      </w:r>
      <w:r w:rsidR="00744199">
        <w:rPr>
          <w:rFonts w:cstheme="minorHAnsi"/>
          <w:color w:val="231F20"/>
          <w:w w:val="105"/>
        </w:rPr>
        <w:t xml:space="preserve"> </w:t>
      </w:r>
      <w:r w:rsidRPr="0008388C">
        <w:rPr>
          <w:rFonts w:cstheme="minorHAnsi"/>
          <w:color w:val="231F20"/>
          <w:w w:val="105"/>
        </w:rPr>
        <w:t>Ten board members serve on this</w:t>
      </w:r>
      <w:r w:rsidRPr="0008388C">
        <w:rPr>
          <w:rFonts w:cstheme="minorHAnsi"/>
          <w:color w:val="231F20"/>
          <w:spacing w:val="36"/>
          <w:w w:val="105"/>
        </w:rPr>
        <w:t xml:space="preserve"> </w:t>
      </w:r>
      <w:r w:rsidRPr="0008388C">
        <w:rPr>
          <w:rFonts w:cstheme="minorHAnsi"/>
          <w:color w:val="231F20"/>
          <w:w w:val="105"/>
        </w:rPr>
        <w:t>council.</w:t>
      </w:r>
    </w:p>
    <w:p w14:paraId="5E2A3C20" w14:textId="732F6D40" w:rsidR="00EA7458" w:rsidRPr="00E06806" w:rsidRDefault="000E65CF" w:rsidP="00D63204">
      <w:pPr>
        <w:widowControl w:val="0"/>
        <w:spacing w:before="57" w:after="0" w:line="266" w:lineRule="exact"/>
        <w:ind w:left="107"/>
        <w:outlineLvl w:val="2"/>
        <w:rPr>
          <w:rFonts w:cstheme="minorHAnsi"/>
          <w:b/>
          <w:bCs/>
          <w:color w:val="231F20"/>
          <w:w w:val="110"/>
        </w:rPr>
      </w:pPr>
      <w:bookmarkStart w:id="67" w:name="_bookmark38"/>
      <w:bookmarkEnd w:id="67"/>
      <w:r>
        <w:rPr>
          <w:rFonts w:cstheme="minorHAnsi"/>
          <w:b/>
          <w:bCs/>
          <w:color w:val="231F20"/>
          <w:w w:val="110"/>
        </w:rPr>
        <w:br/>
      </w:r>
      <w:r w:rsidR="00EA7458" w:rsidRPr="00E06806">
        <w:rPr>
          <w:rFonts w:cstheme="minorHAnsi"/>
          <w:b/>
          <w:bCs/>
          <w:color w:val="231F20"/>
          <w:w w:val="110"/>
        </w:rPr>
        <w:t>Executive</w:t>
      </w:r>
      <w:r w:rsidR="00EA7458" w:rsidRPr="00E06806">
        <w:rPr>
          <w:rFonts w:cstheme="minorHAnsi"/>
          <w:b/>
          <w:bCs/>
          <w:color w:val="231F20"/>
          <w:spacing w:val="-29"/>
          <w:w w:val="110"/>
        </w:rPr>
        <w:t xml:space="preserve"> </w:t>
      </w:r>
      <w:r w:rsidR="00EA7458" w:rsidRPr="00E06806">
        <w:rPr>
          <w:rFonts w:cstheme="minorHAnsi"/>
          <w:b/>
          <w:bCs/>
          <w:color w:val="231F20"/>
          <w:w w:val="110"/>
        </w:rPr>
        <w:t>Committee</w:t>
      </w:r>
    </w:p>
    <w:p w14:paraId="5B984904" w14:textId="053B5F4D" w:rsidR="00CE0DFF" w:rsidRDefault="00CE0DFF" w:rsidP="00D63204">
      <w:pPr>
        <w:widowControl w:val="0"/>
        <w:spacing w:after="0" w:line="266" w:lineRule="exact"/>
        <w:ind w:left="107"/>
        <w:outlineLvl w:val="2"/>
        <w:rPr>
          <w:rFonts w:cstheme="minorHAnsi"/>
        </w:rPr>
      </w:pPr>
      <w:r w:rsidRPr="00E06806">
        <w:rPr>
          <w:rFonts w:cstheme="minorHAnsi"/>
        </w:rPr>
        <w:t xml:space="preserve">Chapter 445, Florida Statutes states that the CareerSource Florida Board of Directors may establish an Executive Committee consisting of the Chairman of the Board and at least six additional </w:t>
      </w:r>
      <w:r w:rsidR="00F543D5">
        <w:rPr>
          <w:rFonts w:cstheme="minorHAnsi"/>
        </w:rPr>
        <w:t>b</w:t>
      </w:r>
      <w:r w:rsidRPr="00E06806">
        <w:rPr>
          <w:rFonts w:cstheme="minorHAnsi"/>
        </w:rPr>
        <w:t xml:space="preserve">oard </w:t>
      </w:r>
      <w:r w:rsidR="00F543D5">
        <w:rPr>
          <w:rFonts w:cstheme="minorHAnsi"/>
        </w:rPr>
        <w:t>m</w:t>
      </w:r>
      <w:r w:rsidRPr="00E06806">
        <w:rPr>
          <w:rFonts w:cstheme="minorHAnsi"/>
        </w:rPr>
        <w:t xml:space="preserve">embers selected by the </w:t>
      </w:r>
      <w:r w:rsidR="00F543D5">
        <w:rPr>
          <w:rFonts w:cstheme="minorHAnsi"/>
        </w:rPr>
        <w:t>c</w:t>
      </w:r>
      <w:r w:rsidRPr="00E06806">
        <w:rPr>
          <w:rFonts w:cstheme="minorHAnsi"/>
        </w:rPr>
        <w:t>hairman, one of whom must be a representative of organized labor. The members of the Executive Committee determine strategic priorities, provide board-level guidance and advice</w:t>
      </w:r>
      <w:r w:rsidR="00D5537E">
        <w:rPr>
          <w:rFonts w:cstheme="minorHAnsi"/>
        </w:rPr>
        <w:t xml:space="preserve"> and</w:t>
      </w:r>
      <w:r w:rsidRPr="00E06806">
        <w:rPr>
          <w:rFonts w:cstheme="minorHAnsi"/>
        </w:rPr>
        <w:t xml:space="preserve"> monitor progress and continued relevancy of strategic priorities. The Executive Committee:</w:t>
      </w:r>
    </w:p>
    <w:p w14:paraId="2E94AFFB" w14:textId="77777777" w:rsidR="000E65CF" w:rsidRPr="00E06806" w:rsidRDefault="000E65CF" w:rsidP="00D63204">
      <w:pPr>
        <w:widowControl w:val="0"/>
        <w:spacing w:before="57" w:after="0" w:line="266" w:lineRule="exact"/>
        <w:ind w:left="107"/>
        <w:outlineLvl w:val="2"/>
        <w:rPr>
          <w:rFonts w:cstheme="minorHAnsi"/>
        </w:rPr>
      </w:pPr>
    </w:p>
    <w:p w14:paraId="050223A9" w14:textId="1928B674" w:rsidR="00CE0DFF" w:rsidRDefault="00DC3CF3" w:rsidP="00D63204">
      <w:pPr>
        <w:pStyle w:val="ListParagraph"/>
        <w:widowControl w:val="0"/>
        <w:numPr>
          <w:ilvl w:val="0"/>
          <w:numId w:val="23"/>
        </w:numPr>
        <w:spacing w:before="57" w:after="0" w:line="266" w:lineRule="exact"/>
        <w:outlineLvl w:val="2"/>
        <w:rPr>
          <w:rFonts w:cstheme="minorHAnsi"/>
        </w:rPr>
      </w:pPr>
      <w:r>
        <w:rPr>
          <w:rFonts w:cstheme="minorHAnsi"/>
        </w:rPr>
        <w:t>P</w:t>
      </w:r>
      <w:r w:rsidR="00CE0DFF" w:rsidRPr="00E06806">
        <w:rPr>
          <w:rFonts w:cstheme="minorHAnsi"/>
        </w:rPr>
        <w:t xml:space="preserve">erforms duties as delegated by the </w:t>
      </w:r>
      <w:r w:rsidR="00F543D5">
        <w:rPr>
          <w:rFonts w:cstheme="minorHAnsi"/>
        </w:rPr>
        <w:t>c</w:t>
      </w:r>
      <w:r w:rsidR="00CE0DFF" w:rsidRPr="00E06806">
        <w:rPr>
          <w:rFonts w:cstheme="minorHAnsi"/>
        </w:rPr>
        <w:t xml:space="preserve">hairman and/or directed by the </w:t>
      </w:r>
      <w:r w:rsidR="00F543D5">
        <w:rPr>
          <w:rFonts w:cstheme="minorHAnsi"/>
        </w:rPr>
        <w:t>b</w:t>
      </w:r>
      <w:r w:rsidR="00CE0DFF" w:rsidRPr="00E06806">
        <w:rPr>
          <w:rFonts w:cstheme="minorHAnsi"/>
        </w:rPr>
        <w:t>oard;</w:t>
      </w:r>
    </w:p>
    <w:p w14:paraId="0632D119" w14:textId="4C314D28" w:rsidR="000E65CF" w:rsidRPr="00E06806" w:rsidRDefault="000E65CF" w:rsidP="00D63204">
      <w:pPr>
        <w:pStyle w:val="ListParagraph"/>
        <w:widowControl w:val="0"/>
        <w:spacing w:before="57" w:after="0" w:line="266" w:lineRule="exact"/>
        <w:ind w:left="827"/>
        <w:outlineLvl w:val="2"/>
        <w:rPr>
          <w:rFonts w:cstheme="minorHAnsi"/>
        </w:rPr>
      </w:pPr>
    </w:p>
    <w:p w14:paraId="4D692EB6" w14:textId="3259CEB5" w:rsidR="00CE0DFF" w:rsidRDefault="00DC3CF3" w:rsidP="00D63204">
      <w:pPr>
        <w:pStyle w:val="ListParagraph"/>
        <w:widowControl w:val="0"/>
        <w:numPr>
          <w:ilvl w:val="0"/>
          <w:numId w:val="23"/>
        </w:numPr>
        <w:spacing w:before="57" w:after="0" w:line="266" w:lineRule="exact"/>
        <w:outlineLvl w:val="2"/>
        <w:rPr>
          <w:rFonts w:cstheme="minorHAnsi"/>
        </w:rPr>
      </w:pPr>
      <w:r>
        <w:rPr>
          <w:rFonts w:cstheme="minorHAnsi"/>
        </w:rPr>
        <w:t>A</w:t>
      </w:r>
      <w:r w:rsidR="00CE0DFF" w:rsidRPr="00E06806">
        <w:rPr>
          <w:rFonts w:cstheme="minorHAnsi"/>
        </w:rPr>
        <w:t xml:space="preserve">ddresses time-critical matters in cases where the entire </w:t>
      </w:r>
      <w:r w:rsidR="00F543D5">
        <w:rPr>
          <w:rFonts w:cstheme="minorHAnsi"/>
        </w:rPr>
        <w:t>b</w:t>
      </w:r>
      <w:r w:rsidR="00CE0DFF" w:rsidRPr="00E06806">
        <w:rPr>
          <w:rFonts w:cstheme="minorHAnsi"/>
        </w:rPr>
        <w:t>oard cannot be convened in a timely manner;</w:t>
      </w:r>
    </w:p>
    <w:p w14:paraId="7A07AC22" w14:textId="77777777" w:rsidR="000E65CF" w:rsidRPr="00E06806" w:rsidRDefault="000E65CF" w:rsidP="00D63204">
      <w:pPr>
        <w:pStyle w:val="ListParagraph"/>
        <w:widowControl w:val="0"/>
        <w:spacing w:before="57" w:after="0" w:line="266" w:lineRule="exact"/>
        <w:ind w:left="827"/>
        <w:outlineLvl w:val="2"/>
        <w:rPr>
          <w:rFonts w:cstheme="minorHAnsi"/>
        </w:rPr>
      </w:pPr>
    </w:p>
    <w:p w14:paraId="49072F44" w14:textId="775A5836" w:rsidR="0008388C" w:rsidRPr="0008388C" w:rsidRDefault="0008388C" w:rsidP="00D63204">
      <w:pPr>
        <w:pStyle w:val="ListParagraph"/>
        <w:widowControl w:val="0"/>
        <w:numPr>
          <w:ilvl w:val="0"/>
          <w:numId w:val="23"/>
        </w:numPr>
        <w:spacing w:before="57" w:after="0" w:line="266" w:lineRule="exact"/>
        <w:outlineLvl w:val="2"/>
        <w:rPr>
          <w:rFonts w:cstheme="minorHAnsi"/>
          <w:color w:val="231F20"/>
        </w:rPr>
      </w:pPr>
      <w:r w:rsidRPr="0008388C">
        <w:rPr>
          <w:rFonts w:cstheme="minorHAnsi"/>
          <w:color w:val="231F20"/>
          <w:w w:val="105"/>
        </w:rPr>
        <w:t xml:space="preserve">Reviews recommendations of the </w:t>
      </w:r>
      <w:r w:rsidR="00A92CC4">
        <w:rPr>
          <w:rFonts w:cstheme="minorHAnsi"/>
          <w:color w:val="231F20"/>
          <w:w w:val="105"/>
        </w:rPr>
        <w:t>F</w:t>
      </w:r>
      <w:r w:rsidRPr="0008388C">
        <w:rPr>
          <w:rFonts w:cstheme="minorHAnsi"/>
          <w:color w:val="231F20"/>
          <w:w w:val="105"/>
        </w:rPr>
        <w:t xml:space="preserve">inance </w:t>
      </w:r>
      <w:r w:rsidR="00A92CC4">
        <w:rPr>
          <w:rFonts w:cstheme="minorHAnsi"/>
          <w:color w:val="231F20"/>
          <w:w w:val="105"/>
        </w:rPr>
        <w:t>C</w:t>
      </w:r>
      <w:r w:rsidRPr="0008388C">
        <w:rPr>
          <w:rFonts w:cstheme="minorHAnsi"/>
          <w:color w:val="231F20"/>
          <w:w w:val="105"/>
        </w:rPr>
        <w:t>ouncil prior to board consideration;</w:t>
      </w:r>
    </w:p>
    <w:p w14:paraId="33AD1A52" w14:textId="77777777" w:rsidR="0008388C" w:rsidRPr="0008388C" w:rsidRDefault="0008388C" w:rsidP="00D63204">
      <w:pPr>
        <w:pStyle w:val="ListParagraph"/>
        <w:widowControl w:val="0"/>
        <w:spacing w:before="57" w:after="0" w:line="266" w:lineRule="exact"/>
        <w:ind w:left="827"/>
        <w:outlineLvl w:val="2"/>
        <w:rPr>
          <w:rFonts w:cstheme="minorHAnsi"/>
          <w:color w:val="231F20"/>
        </w:rPr>
      </w:pPr>
    </w:p>
    <w:p w14:paraId="12D794BB" w14:textId="77777777" w:rsidR="0008388C" w:rsidRPr="0008388C" w:rsidRDefault="0008388C" w:rsidP="00D63204">
      <w:pPr>
        <w:pStyle w:val="ListParagraph"/>
        <w:widowControl w:val="0"/>
        <w:numPr>
          <w:ilvl w:val="0"/>
          <w:numId w:val="23"/>
        </w:numPr>
        <w:spacing w:before="83" w:after="0" w:line="264" w:lineRule="exact"/>
        <w:rPr>
          <w:rFonts w:cstheme="minorHAnsi"/>
          <w:color w:val="231F20"/>
          <w:w w:val="105"/>
        </w:rPr>
      </w:pPr>
      <w:r w:rsidRPr="0008388C">
        <w:rPr>
          <w:rFonts w:cstheme="minorHAnsi"/>
          <w:color w:val="231F20"/>
          <w:w w:val="105"/>
        </w:rPr>
        <w:t>Reviews policy and performance recommendations prior to board consideration.</w:t>
      </w:r>
    </w:p>
    <w:p w14:paraId="10F493B7" w14:textId="77777777" w:rsidR="00A92CC4" w:rsidRDefault="00A92CC4" w:rsidP="00D63204">
      <w:pPr>
        <w:pStyle w:val="ListParagraph"/>
        <w:widowControl w:val="0"/>
        <w:tabs>
          <w:tab w:val="left" w:pos="668"/>
        </w:tabs>
        <w:spacing w:before="83" w:after="0" w:line="264" w:lineRule="exact"/>
        <w:ind w:left="107"/>
        <w:rPr>
          <w:rFonts w:cstheme="minorHAnsi"/>
          <w:color w:val="231F20"/>
          <w:w w:val="105"/>
        </w:rPr>
      </w:pPr>
    </w:p>
    <w:p w14:paraId="514B3619" w14:textId="038B4577" w:rsidR="00EA7458" w:rsidRPr="00E06806" w:rsidRDefault="00916623" w:rsidP="00D63204">
      <w:pPr>
        <w:pStyle w:val="ListParagraph"/>
        <w:widowControl w:val="0"/>
        <w:tabs>
          <w:tab w:val="left" w:pos="668"/>
        </w:tabs>
        <w:spacing w:before="83" w:after="0" w:line="264" w:lineRule="exact"/>
        <w:ind w:left="107"/>
        <w:rPr>
          <w:rFonts w:cstheme="minorHAnsi"/>
          <w:color w:val="231F20"/>
        </w:rPr>
      </w:pPr>
      <w:r w:rsidRPr="00E06806">
        <w:rPr>
          <w:rFonts w:cstheme="minorHAnsi"/>
          <w:color w:val="231F20"/>
          <w:w w:val="105"/>
        </w:rPr>
        <w:br/>
      </w:r>
      <w:r w:rsidRPr="00E06806">
        <w:rPr>
          <w:rFonts w:cstheme="minorHAnsi"/>
        </w:rPr>
        <w:lastRenderedPageBreak/>
        <w:t>The Executive Committee meets monthly whether in person, by telephone or webinar, with no meeting during the month in which the regular quarterly meeting of the Board of Directors is held. Additional meetings, whether held in person or by telephone, may be conducted at the request of the Chairman.</w:t>
      </w:r>
      <w:r w:rsidR="00744199">
        <w:rPr>
          <w:rFonts w:cstheme="minorHAnsi"/>
        </w:rPr>
        <w:t xml:space="preserve"> </w:t>
      </w:r>
      <w:r w:rsidR="00CE0DFF" w:rsidRPr="00E06806">
        <w:rPr>
          <w:rFonts w:cstheme="minorHAnsi"/>
          <w:color w:val="231F20"/>
          <w:w w:val="105"/>
        </w:rPr>
        <w:t xml:space="preserve">13 </w:t>
      </w:r>
      <w:r w:rsidR="00EA7458" w:rsidRPr="00E06806">
        <w:rPr>
          <w:rFonts w:cstheme="minorHAnsi"/>
          <w:color w:val="231F20"/>
          <w:w w:val="105"/>
        </w:rPr>
        <w:t xml:space="preserve">board members </w:t>
      </w:r>
      <w:r w:rsidR="00CE0DFF" w:rsidRPr="00E06806">
        <w:rPr>
          <w:rFonts w:cstheme="minorHAnsi"/>
          <w:color w:val="231F20"/>
          <w:w w:val="105"/>
        </w:rPr>
        <w:t xml:space="preserve">currently </w:t>
      </w:r>
      <w:r w:rsidR="00EA7458" w:rsidRPr="00E06806">
        <w:rPr>
          <w:rFonts w:cstheme="minorHAnsi"/>
          <w:color w:val="231F20"/>
          <w:w w:val="105"/>
        </w:rPr>
        <w:t>serve on this</w:t>
      </w:r>
      <w:r w:rsidR="00EA7458" w:rsidRPr="00E06806">
        <w:rPr>
          <w:rFonts w:cstheme="minorHAnsi"/>
          <w:color w:val="231F20"/>
          <w:spacing w:val="34"/>
          <w:w w:val="105"/>
        </w:rPr>
        <w:t xml:space="preserve"> </w:t>
      </w:r>
      <w:r w:rsidR="00EA7458" w:rsidRPr="00E06806">
        <w:rPr>
          <w:rFonts w:cstheme="minorHAnsi"/>
          <w:color w:val="231F20"/>
          <w:w w:val="105"/>
        </w:rPr>
        <w:t>committee</w:t>
      </w:r>
      <w:r w:rsidR="00CE0DFF" w:rsidRPr="00E06806">
        <w:rPr>
          <w:rFonts w:cstheme="minorHAnsi"/>
          <w:color w:val="231F20"/>
          <w:w w:val="105"/>
        </w:rPr>
        <w:t>.</w:t>
      </w:r>
    </w:p>
    <w:bookmarkEnd w:id="65"/>
    <w:p w14:paraId="4D673F50" w14:textId="326FA526" w:rsidR="00EA7458" w:rsidRPr="00E06806" w:rsidRDefault="00731CB9" w:rsidP="00D63204">
      <w:pPr>
        <w:widowControl w:val="0"/>
        <w:spacing w:before="175" w:after="0" w:line="240" w:lineRule="auto"/>
        <w:ind w:left="107"/>
        <w:outlineLvl w:val="2"/>
        <w:rPr>
          <w:rFonts w:cstheme="minorHAnsi"/>
        </w:rPr>
      </w:pPr>
      <w:r>
        <w:rPr>
          <w:rFonts w:cstheme="minorHAnsi"/>
          <w:b/>
          <w:bCs/>
          <w:color w:val="231F20"/>
          <w:w w:val="105"/>
        </w:rPr>
        <w:t>The following</w:t>
      </w:r>
      <w:r w:rsidR="00EA7458" w:rsidRPr="00E06806">
        <w:rPr>
          <w:rFonts w:cstheme="minorHAnsi"/>
          <w:b/>
          <w:bCs/>
          <w:color w:val="231F20"/>
          <w:spacing w:val="18"/>
          <w:w w:val="105"/>
        </w:rPr>
        <w:t xml:space="preserve"> </w:t>
      </w:r>
      <w:r w:rsidR="00EA7458" w:rsidRPr="00E06806">
        <w:rPr>
          <w:rFonts w:cstheme="minorHAnsi"/>
          <w:b/>
          <w:bCs/>
          <w:color w:val="231F20"/>
          <w:w w:val="105"/>
        </w:rPr>
        <w:t>graphic</w:t>
      </w:r>
      <w:r w:rsidR="00EA7458" w:rsidRPr="00E06806">
        <w:rPr>
          <w:rFonts w:cstheme="minorHAnsi"/>
          <w:b/>
          <w:bCs/>
          <w:color w:val="231F20"/>
          <w:spacing w:val="18"/>
          <w:w w:val="105"/>
        </w:rPr>
        <w:t xml:space="preserve"> </w:t>
      </w:r>
      <w:r w:rsidR="000E65CF">
        <w:rPr>
          <w:rFonts w:cstheme="minorHAnsi"/>
          <w:b/>
          <w:bCs/>
          <w:color w:val="231F20"/>
          <w:w w:val="105"/>
        </w:rPr>
        <w:t>outlin</w:t>
      </w:r>
      <w:r>
        <w:rPr>
          <w:rFonts w:cstheme="minorHAnsi"/>
          <w:b/>
          <w:bCs/>
          <w:color w:val="231F20"/>
          <w:w w:val="105"/>
        </w:rPr>
        <w:t>es</w:t>
      </w:r>
      <w:r w:rsidR="00EA7458" w:rsidRPr="00E06806">
        <w:rPr>
          <w:rFonts w:cstheme="minorHAnsi"/>
          <w:b/>
          <w:bCs/>
          <w:color w:val="231F20"/>
          <w:spacing w:val="18"/>
          <w:w w:val="105"/>
        </w:rPr>
        <w:t xml:space="preserve"> </w:t>
      </w:r>
      <w:r w:rsidR="00EA7458" w:rsidRPr="00E06806">
        <w:rPr>
          <w:rFonts w:cstheme="minorHAnsi"/>
          <w:b/>
          <w:bCs/>
          <w:color w:val="231F20"/>
          <w:w w:val="105"/>
        </w:rPr>
        <w:t>CareerSource</w:t>
      </w:r>
      <w:r w:rsidR="00EA7458" w:rsidRPr="00E06806">
        <w:rPr>
          <w:rFonts w:cstheme="minorHAnsi"/>
          <w:b/>
          <w:bCs/>
          <w:color w:val="231F20"/>
          <w:spacing w:val="18"/>
          <w:w w:val="105"/>
        </w:rPr>
        <w:t xml:space="preserve"> </w:t>
      </w:r>
      <w:r w:rsidR="00EA7458" w:rsidRPr="00E06806">
        <w:rPr>
          <w:rFonts w:cstheme="minorHAnsi"/>
          <w:b/>
          <w:bCs/>
          <w:color w:val="231F20"/>
          <w:w w:val="105"/>
        </w:rPr>
        <w:t>Florida</w:t>
      </w:r>
      <w:r w:rsidR="00EA7458" w:rsidRPr="00E06806">
        <w:rPr>
          <w:rFonts w:cstheme="minorHAnsi"/>
          <w:b/>
          <w:bCs/>
          <w:color w:val="231F20"/>
          <w:spacing w:val="18"/>
          <w:w w:val="105"/>
        </w:rPr>
        <w:t xml:space="preserve"> </w:t>
      </w:r>
      <w:r w:rsidR="00EA7458" w:rsidRPr="00E06806">
        <w:rPr>
          <w:rFonts w:cstheme="minorHAnsi"/>
          <w:b/>
          <w:bCs/>
          <w:color w:val="231F20"/>
          <w:w w:val="105"/>
        </w:rPr>
        <w:t>Board</w:t>
      </w:r>
      <w:r w:rsidR="00EA7458" w:rsidRPr="00E06806">
        <w:rPr>
          <w:rFonts w:cstheme="minorHAnsi"/>
          <w:b/>
          <w:bCs/>
          <w:color w:val="231F20"/>
          <w:spacing w:val="18"/>
          <w:w w:val="105"/>
        </w:rPr>
        <w:t xml:space="preserve"> </w:t>
      </w:r>
      <w:r w:rsidR="00EA7458" w:rsidRPr="00E06806">
        <w:rPr>
          <w:rFonts w:cstheme="minorHAnsi"/>
          <w:b/>
          <w:bCs/>
          <w:color w:val="231F20"/>
          <w:w w:val="105"/>
        </w:rPr>
        <w:t>Governance.</w:t>
      </w:r>
    </w:p>
    <w:p w14:paraId="0CF4BEED" w14:textId="3AAA025A" w:rsidR="00EA7458" w:rsidRPr="00E06806" w:rsidRDefault="00EA7458" w:rsidP="00D63204">
      <w:pPr>
        <w:widowControl w:val="0"/>
        <w:spacing w:before="195" w:after="0" w:line="266" w:lineRule="exact"/>
        <w:ind w:left="107"/>
        <w:rPr>
          <w:rFonts w:cstheme="minorHAnsi"/>
        </w:rPr>
      </w:pPr>
      <w:r w:rsidRPr="00E06806">
        <w:rPr>
          <w:rFonts w:cstheme="minorHAnsi"/>
          <w:b/>
          <w:color w:val="231F20"/>
          <w:w w:val="110"/>
        </w:rPr>
        <w:t>Figure</w:t>
      </w:r>
      <w:r w:rsidRPr="00E06806">
        <w:rPr>
          <w:rFonts w:cstheme="minorHAnsi"/>
          <w:b/>
          <w:color w:val="231F20"/>
          <w:spacing w:val="-10"/>
          <w:w w:val="110"/>
        </w:rPr>
        <w:t xml:space="preserve"> </w:t>
      </w:r>
      <w:r w:rsidRPr="00E06806">
        <w:rPr>
          <w:rFonts w:cstheme="minorHAnsi"/>
          <w:b/>
          <w:color w:val="231F20"/>
          <w:w w:val="110"/>
        </w:rPr>
        <w:t>3.01</w:t>
      </w:r>
    </w:p>
    <w:p w14:paraId="244D3BED" w14:textId="5A310678" w:rsidR="00EA7458" w:rsidRPr="00E06806" w:rsidRDefault="00EA7458" w:rsidP="00D63204">
      <w:pPr>
        <w:widowControl w:val="0"/>
        <w:spacing w:after="0" w:line="266" w:lineRule="exact"/>
        <w:ind w:left="107"/>
        <w:rPr>
          <w:rFonts w:cstheme="minorHAnsi"/>
          <w:b/>
          <w:color w:val="231F20"/>
          <w:w w:val="110"/>
        </w:rPr>
      </w:pPr>
      <w:r w:rsidRPr="00E06806">
        <w:rPr>
          <w:rFonts w:cstheme="minorHAnsi"/>
          <w:b/>
          <w:color w:val="231F20"/>
          <w:w w:val="110"/>
        </w:rPr>
        <w:t>CareerSource Florida Board</w:t>
      </w:r>
      <w:r w:rsidRPr="00E06806">
        <w:rPr>
          <w:rFonts w:cstheme="minorHAnsi"/>
          <w:b/>
          <w:color w:val="231F20"/>
          <w:spacing w:val="14"/>
          <w:w w:val="110"/>
        </w:rPr>
        <w:t xml:space="preserve"> </w:t>
      </w:r>
      <w:r w:rsidRPr="00E06806">
        <w:rPr>
          <w:rFonts w:cstheme="minorHAnsi"/>
          <w:b/>
          <w:color w:val="231F20"/>
          <w:w w:val="110"/>
        </w:rPr>
        <w:t>Governance</w:t>
      </w:r>
    </w:p>
    <w:p w14:paraId="3CA1B275" w14:textId="77777777" w:rsidR="00181AC6" w:rsidRDefault="00181AC6" w:rsidP="00D63204">
      <w:pPr>
        <w:widowControl w:val="0"/>
        <w:spacing w:after="0" w:line="266" w:lineRule="exact"/>
        <w:ind w:left="107"/>
        <w:rPr>
          <w:rFonts w:cstheme="minorHAnsi"/>
          <w:b/>
          <w:color w:val="231F20"/>
          <w:w w:val="110"/>
        </w:rPr>
      </w:pPr>
      <w:r>
        <w:rPr>
          <w:rFonts w:cstheme="minorHAnsi"/>
          <w:b/>
          <w:noProof/>
          <w:color w:val="231F20"/>
          <w:w w:val="110"/>
        </w:rPr>
        <w:drawing>
          <wp:anchor distT="0" distB="0" distL="114300" distR="114300" simplePos="0" relativeHeight="251658261" behindDoc="0" locked="0" layoutInCell="1" allowOverlap="1" wp14:anchorId="590B414D" wp14:editId="0257D5E8">
            <wp:simplePos x="0" y="0"/>
            <wp:positionH relativeFrom="column">
              <wp:posOffset>209550</wp:posOffset>
            </wp:positionH>
            <wp:positionV relativeFrom="paragraph">
              <wp:posOffset>189865</wp:posOffset>
            </wp:positionV>
            <wp:extent cx="6629400" cy="3208020"/>
            <wp:effectExtent l="0" t="0" r="0" b="0"/>
            <wp:wrapThrough wrapText="bothSides">
              <wp:wrapPolygon edited="0">
                <wp:start x="124" y="0"/>
                <wp:lineTo x="0" y="385"/>
                <wp:lineTo x="0" y="8466"/>
                <wp:lineTo x="4655" y="10261"/>
                <wp:lineTo x="5152" y="10261"/>
                <wp:lineTo x="5214" y="12314"/>
                <wp:lineTo x="0" y="12570"/>
                <wp:lineTo x="0" y="20907"/>
                <wp:lineTo x="186" y="21420"/>
                <wp:lineTo x="21352" y="21420"/>
                <wp:lineTo x="21538" y="20779"/>
                <wp:lineTo x="21538" y="12698"/>
                <wp:lineTo x="20979" y="12570"/>
                <wp:lineTo x="16014" y="12314"/>
                <wp:lineTo x="16076" y="10261"/>
                <wp:lineTo x="16945" y="10261"/>
                <wp:lineTo x="21538" y="8594"/>
                <wp:lineTo x="21538" y="770"/>
                <wp:lineTo x="21476" y="257"/>
                <wp:lineTo x="21166" y="0"/>
                <wp:lineTo x="124" y="0"/>
              </wp:wrapPolygon>
            </wp:wrapThrough>
            <wp:docPr id="21" name="Picture 21" descr="The illustration shows the flow of information from the CareerSource Florida Executive Committee, to the Finance Council and/or the Strategic Policy and Performance Council and to the Board of Directors.  The CareerSource Florida Professional Team is in the center, depicting the facilitation of this flow of information." title="Figure 3.01 CareerSource Board Govern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CSF Florida Board of Governance.png"/>
                    <pic:cNvPicPr/>
                  </pic:nvPicPr>
                  <pic:blipFill>
                    <a:blip r:embed="rId103"/>
                    <a:stretch>
                      <a:fillRect/>
                    </a:stretch>
                  </pic:blipFill>
                  <pic:spPr>
                    <a:xfrm>
                      <a:off x="0" y="0"/>
                      <a:ext cx="6629400" cy="3208020"/>
                    </a:xfrm>
                    <a:prstGeom prst="rect">
                      <a:avLst/>
                    </a:prstGeom>
                  </pic:spPr>
                </pic:pic>
              </a:graphicData>
            </a:graphic>
          </wp:anchor>
        </w:drawing>
      </w:r>
    </w:p>
    <w:p w14:paraId="4005E98A" w14:textId="77777777" w:rsidR="00181AC6" w:rsidRDefault="00181AC6" w:rsidP="00D63204">
      <w:pPr>
        <w:widowControl w:val="0"/>
        <w:spacing w:after="0" w:line="266" w:lineRule="exact"/>
        <w:ind w:left="107"/>
        <w:rPr>
          <w:rFonts w:cstheme="minorHAnsi"/>
          <w:b/>
          <w:color w:val="231F20"/>
          <w:w w:val="110"/>
        </w:rPr>
      </w:pPr>
    </w:p>
    <w:p w14:paraId="30E7D228" w14:textId="77777777" w:rsidR="00181AC6" w:rsidRDefault="00181AC6" w:rsidP="00D63204">
      <w:pPr>
        <w:widowControl w:val="0"/>
        <w:spacing w:after="0" w:line="266" w:lineRule="exact"/>
        <w:ind w:left="107"/>
        <w:rPr>
          <w:rFonts w:cstheme="minorHAnsi"/>
          <w:b/>
          <w:color w:val="231F20"/>
          <w:w w:val="110"/>
        </w:rPr>
      </w:pPr>
    </w:p>
    <w:p w14:paraId="678896F5" w14:textId="77777777" w:rsidR="00181AC6" w:rsidRDefault="00181AC6" w:rsidP="00D63204">
      <w:pPr>
        <w:widowControl w:val="0"/>
        <w:spacing w:after="0" w:line="266" w:lineRule="exact"/>
        <w:ind w:left="107"/>
        <w:rPr>
          <w:rFonts w:cstheme="minorHAnsi"/>
          <w:b/>
          <w:color w:val="231F20"/>
          <w:w w:val="110"/>
        </w:rPr>
      </w:pPr>
    </w:p>
    <w:p w14:paraId="66363BD9" w14:textId="77777777" w:rsidR="00181AC6" w:rsidRDefault="00181AC6" w:rsidP="00D63204">
      <w:pPr>
        <w:widowControl w:val="0"/>
        <w:spacing w:after="0" w:line="266" w:lineRule="exact"/>
        <w:ind w:left="107"/>
        <w:rPr>
          <w:rFonts w:cstheme="minorHAnsi"/>
          <w:b/>
          <w:color w:val="231F20"/>
          <w:w w:val="110"/>
        </w:rPr>
      </w:pPr>
    </w:p>
    <w:p w14:paraId="3F646303" w14:textId="35A256F5" w:rsidR="004B145A" w:rsidRPr="00181AC6" w:rsidRDefault="00EA7458" w:rsidP="00D63204">
      <w:pPr>
        <w:widowControl w:val="0"/>
        <w:spacing w:after="0" w:line="266" w:lineRule="exact"/>
        <w:ind w:left="107"/>
        <w:rPr>
          <w:rFonts w:cstheme="minorHAnsi"/>
          <w:b/>
          <w:color w:val="231F20"/>
          <w:w w:val="110"/>
        </w:rPr>
      </w:pPr>
      <w:r w:rsidRPr="000E65CF">
        <w:rPr>
          <w:rFonts w:cstheme="minorHAnsi"/>
        </w:rPr>
        <w:t xml:space="preserve">The </w:t>
      </w:r>
      <w:r w:rsidR="00BB5AFB">
        <w:rPr>
          <w:rFonts w:cstheme="minorHAnsi"/>
        </w:rPr>
        <w:t>s</w:t>
      </w:r>
      <w:r w:rsidRPr="000E65CF">
        <w:rPr>
          <w:rFonts w:cstheme="minorHAnsi"/>
        </w:rPr>
        <w:t xml:space="preserve">tate board is committed to leveraging </w:t>
      </w:r>
      <w:r w:rsidR="003B3B2B" w:rsidRPr="000E65CF">
        <w:rPr>
          <w:rFonts w:cstheme="minorHAnsi"/>
        </w:rPr>
        <w:t xml:space="preserve">its </w:t>
      </w:r>
      <w:r w:rsidRPr="000E65CF">
        <w:rPr>
          <w:rFonts w:cstheme="minorHAnsi"/>
        </w:rPr>
        <w:t>resources</w:t>
      </w:r>
      <w:r w:rsidR="003B2637" w:rsidRPr="000E65CF">
        <w:rPr>
          <w:rFonts w:cstheme="minorHAnsi"/>
        </w:rPr>
        <w:t>,</w:t>
      </w:r>
      <w:r w:rsidRPr="000E65CF">
        <w:rPr>
          <w:rFonts w:cstheme="minorHAnsi"/>
        </w:rPr>
        <w:t xml:space="preserve"> those of its primary workforce</w:t>
      </w:r>
      <w:r w:rsidR="002F0BD8">
        <w:rPr>
          <w:rFonts w:cstheme="minorHAnsi"/>
        </w:rPr>
        <w:t xml:space="preserve"> </w:t>
      </w:r>
      <w:r w:rsidRPr="000E65CF">
        <w:rPr>
          <w:rFonts w:cstheme="minorHAnsi"/>
        </w:rPr>
        <w:t xml:space="preserve">system partners and its strategic partners in business, economic development and education to address talent needs at every skill level and </w:t>
      </w:r>
      <w:r w:rsidR="00EC677A" w:rsidRPr="000E65CF">
        <w:rPr>
          <w:rFonts w:cstheme="minorHAnsi"/>
        </w:rPr>
        <w:t xml:space="preserve">foster </w:t>
      </w:r>
      <w:r w:rsidRPr="000E65CF">
        <w:rPr>
          <w:rFonts w:cstheme="minorHAnsi"/>
        </w:rPr>
        <w:t xml:space="preserve">a globally competitive workforce. To ensure the workforce strategies and policies developed by the state board are consistent with approved state and local plans, the board </w:t>
      </w:r>
      <w:r w:rsidR="004B145A" w:rsidRPr="000E65CF">
        <w:rPr>
          <w:rFonts w:cstheme="minorHAnsi"/>
        </w:rPr>
        <w:t xml:space="preserve">collaborates </w:t>
      </w:r>
      <w:r w:rsidRPr="000E65CF">
        <w:rPr>
          <w:rFonts w:cstheme="minorHAnsi"/>
        </w:rPr>
        <w:t>with DEO</w:t>
      </w:r>
      <w:r w:rsidR="004B145A" w:rsidRPr="000E65CF">
        <w:rPr>
          <w:rFonts w:cstheme="minorHAnsi"/>
        </w:rPr>
        <w:t xml:space="preserve">, </w:t>
      </w:r>
      <w:r w:rsidRPr="000E65CF">
        <w:rPr>
          <w:rFonts w:cstheme="minorHAnsi"/>
        </w:rPr>
        <w:t>LWDBs</w:t>
      </w:r>
      <w:r w:rsidR="00D5537E">
        <w:rPr>
          <w:rFonts w:cstheme="minorHAnsi"/>
        </w:rPr>
        <w:t xml:space="preserve"> and</w:t>
      </w:r>
      <w:r w:rsidRPr="000E65CF">
        <w:rPr>
          <w:rFonts w:cstheme="minorHAnsi"/>
        </w:rPr>
        <w:t xml:space="preserve"> other partners vital to workforce</w:t>
      </w:r>
      <w:r w:rsidR="00B1402A">
        <w:rPr>
          <w:rFonts w:cstheme="minorHAnsi"/>
        </w:rPr>
        <w:t xml:space="preserve"> </w:t>
      </w:r>
      <w:r w:rsidRPr="000E65CF">
        <w:rPr>
          <w:rFonts w:cstheme="minorHAnsi"/>
        </w:rPr>
        <w:t>services delivery. LWDB partners hold meetings in conjunction with the state board’s quarterly meetings</w:t>
      </w:r>
      <w:r w:rsidR="004B145A" w:rsidRPr="000E65CF">
        <w:rPr>
          <w:rFonts w:cstheme="minorHAnsi"/>
        </w:rPr>
        <w:t xml:space="preserve">. This provides </w:t>
      </w:r>
      <w:r w:rsidRPr="000E65CF">
        <w:rPr>
          <w:rFonts w:cstheme="minorHAnsi"/>
        </w:rPr>
        <w:t xml:space="preserve">opportunities to showcase best practices and </w:t>
      </w:r>
      <w:r w:rsidR="004B145A" w:rsidRPr="000E65CF">
        <w:rPr>
          <w:rFonts w:cstheme="minorHAnsi"/>
        </w:rPr>
        <w:t xml:space="preserve">to </w:t>
      </w:r>
      <w:r w:rsidRPr="000E65CF">
        <w:rPr>
          <w:rFonts w:cstheme="minorHAnsi"/>
        </w:rPr>
        <w:t xml:space="preserve">identify and address </w:t>
      </w:r>
      <w:r w:rsidR="003B2637" w:rsidRPr="000E65CF">
        <w:rPr>
          <w:rFonts w:cstheme="minorHAnsi"/>
        </w:rPr>
        <w:t xml:space="preserve">challenges </w:t>
      </w:r>
      <w:r w:rsidRPr="000E65CF">
        <w:rPr>
          <w:rFonts w:cstheme="minorHAnsi"/>
        </w:rPr>
        <w:t xml:space="preserve">to </w:t>
      </w:r>
      <w:r w:rsidR="004B145A" w:rsidRPr="000E65CF">
        <w:rPr>
          <w:rFonts w:cstheme="minorHAnsi"/>
        </w:rPr>
        <w:t xml:space="preserve">enhanced </w:t>
      </w:r>
      <w:r w:rsidRPr="000E65CF">
        <w:rPr>
          <w:rFonts w:cstheme="minorHAnsi"/>
        </w:rPr>
        <w:t xml:space="preserve">collaboration and </w:t>
      </w:r>
      <w:r w:rsidR="004B145A" w:rsidRPr="000E65CF">
        <w:rPr>
          <w:rFonts w:cstheme="minorHAnsi"/>
        </w:rPr>
        <w:t xml:space="preserve">improved </w:t>
      </w:r>
      <w:r w:rsidRPr="000E65CF">
        <w:rPr>
          <w:rFonts w:cstheme="minorHAnsi"/>
        </w:rPr>
        <w:t xml:space="preserve">performance outcomes. </w:t>
      </w:r>
      <w:r w:rsidR="00D673A2">
        <w:rPr>
          <w:rFonts w:cstheme="minorHAnsi"/>
        </w:rPr>
        <w:t>Regular</w:t>
      </w:r>
      <w:r w:rsidRPr="000E65CF">
        <w:rPr>
          <w:rFonts w:cstheme="minorHAnsi"/>
        </w:rPr>
        <w:t xml:space="preserve"> meetings between the </w:t>
      </w:r>
      <w:r w:rsidR="004B145A" w:rsidRPr="000E65CF">
        <w:rPr>
          <w:rFonts w:cstheme="minorHAnsi"/>
        </w:rPr>
        <w:t>CareerSource</w:t>
      </w:r>
      <w:r w:rsidR="003B2637" w:rsidRPr="000E65CF">
        <w:rPr>
          <w:rFonts w:cstheme="minorHAnsi"/>
        </w:rPr>
        <w:t xml:space="preserve"> Florida</w:t>
      </w:r>
      <w:r w:rsidR="004B145A" w:rsidRPr="000E65CF">
        <w:rPr>
          <w:rFonts w:cstheme="minorHAnsi"/>
        </w:rPr>
        <w:t xml:space="preserve"> </w:t>
      </w:r>
      <w:r w:rsidRPr="000E65CF">
        <w:rPr>
          <w:rFonts w:cstheme="minorHAnsi"/>
        </w:rPr>
        <w:t xml:space="preserve">professional team and the leadership of LWDBs </w:t>
      </w:r>
      <w:r w:rsidR="004B145A" w:rsidRPr="000E65CF">
        <w:rPr>
          <w:rFonts w:cstheme="minorHAnsi"/>
        </w:rPr>
        <w:t xml:space="preserve">provide a forum to discuss </w:t>
      </w:r>
      <w:r w:rsidRPr="000E65CF">
        <w:rPr>
          <w:rFonts w:cstheme="minorHAnsi"/>
        </w:rPr>
        <w:t>strategic issues</w:t>
      </w:r>
      <w:r w:rsidR="00D5537E">
        <w:rPr>
          <w:rFonts w:cstheme="minorHAnsi"/>
        </w:rPr>
        <w:t xml:space="preserve"> and</w:t>
      </w:r>
      <w:r w:rsidR="004B145A" w:rsidRPr="000E65CF">
        <w:rPr>
          <w:rFonts w:cstheme="minorHAnsi"/>
        </w:rPr>
        <w:t xml:space="preserve"> to </w:t>
      </w:r>
      <w:r w:rsidRPr="000E65CF">
        <w:rPr>
          <w:rFonts w:cstheme="minorHAnsi"/>
        </w:rPr>
        <w:t>identify policy objectives</w:t>
      </w:r>
      <w:r w:rsidR="004B145A" w:rsidRPr="000E65CF">
        <w:rPr>
          <w:rFonts w:cstheme="minorHAnsi"/>
        </w:rPr>
        <w:t xml:space="preserve"> </w:t>
      </w:r>
      <w:r w:rsidRPr="000E65CF">
        <w:rPr>
          <w:rFonts w:cstheme="minorHAnsi"/>
        </w:rPr>
        <w:t xml:space="preserve">and best practices for service delivery. </w:t>
      </w:r>
    </w:p>
    <w:p w14:paraId="09373698" w14:textId="77777777" w:rsidR="004B145A" w:rsidRPr="00E06806" w:rsidRDefault="004B145A" w:rsidP="00D63204">
      <w:pPr>
        <w:widowControl w:val="0"/>
        <w:spacing w:after="0" w:line="264" w:lineRule="exact"/>
        <w:ind w:left="107"/>
        <w:rPr>
          <w:rFonts w:cstheme="minorHAnsi"/>
          <w:color w:val="231F20"/>
          <w:spacing w:val="22"/>
          <w:w w:val="105"/>
        </w:rPr>
      </w:pPr>
    </w:p>
    <w:p w14:paraId="178F1ED4" w14:textId="2A9B2E38" w:rsidR="000E65CF" w:rsidRDefault="00EA7458" w:rsidP="00D63204">
      <w:pPr>
        <w:widowControl w:val="0"/>
        <w:spacing w:after="0" w:line="264" w:lineRule="exact"/>
        <w:ind w:left="107"/>
        <w:rPr>
          <w:rFonts w:cstheme="minorHAnsi"/>
          <w:color w:val="231F20"/>
          <w:spacing w:val="26"/>
          <w:w w:val="105"/>
        </w:rPr>
      </w:pPr>
      <w:r w:rsidRPr="00FD727A">
        <w:rPr>
          <w:rFonts w:cstheme="minorHAnsi"/>
        </w:rPr>
        <w:t>Federal and state program guidance is communicated to local workforce partners through participation in state-level policy development activities</w:t>
      </w:r>
      <w:r w:rsidR="004B145A" w:rsidRPr="00FD727A">
        <w:rPr>
          <w:rFonts w:cstheme="minorHAnsi"/>
        </w:rPr>
        <w:t xml:space="preserve">. Operational guidance is </w:t>
      </w:r>
      <w:r w:rsidRPr="00FD727A">
        <w:rPr>
          <w:rFonts w:cstheme="minorHAnsi"/>
        </w:rPr>
        <w:t xml:space="preserve">formally documented in </w:t>
      </w:r>
      <w:r w:rsidR="004B145A" w:rsidRPr="00FD727A">
        <w:rPr>
          <w:rFonts w:cstheme="minorHAnsi"/>
        </w:rPr>
        <w:t xml:space="preserve">administrative policy </w:t>
      </w:r>
      <w:r w:rsidRPr="00FD727A">
        <w:rPr>
          <w:rFonts w:cstheme="minorHAnsi"/>
        </w:rPr>
        <w:t xml:space="preserve">papers </w:t>
      </w:r>
      <w:r w:rsidR="004B145A" w:rsidRPr="00FD727A">
        <w:rPr>
          <w:rFonts w:cstheme="minorHAnsi"/>
        </w:rPr>
        <w:t xml:space="preserve">and transmitted throughout the workforce system by </w:t>
      </w:r>
      <w:r w:rsidRPr="00FD727A">
        <w:rPr>
          <w:rFonts w:cstheme="minorHAnsi"/>
        </w:rPr>
        <w:t>DEO.</w:t>
      </w:r>
      <w:r w:rsidRPr="00E06806">
        <w:rPr>
          <w:rFonts w:cstheme="minorHAnsi"/>
          <w:color w:val="231F20"/>
          <w:spacing w:val="26"/>
          <w:w w:val="105"/>
        </w:rPr>
        <w:t xml:space="preserve"> </w:t>
      </w:r>
    </w:p>
    <w:p w14:paraId="1E48DFA8" w14:textId="77777777" w:rsidR="00503CE8" w:rsidRDefault="00503CE8" w:rsidP="00D63204">
      <w:pPr>
        <w:widowControl w:val="0"/>
        <w:spacing w:after="0" w:line="264" w:lineRule="exact"/>
        <w:ind w:left="107"/>
        <w:rPr>
          <w:rFonts w:cstheme="minorHAnsi"/>
          <w:color w:val="231F20"/>
          <w:spacing w:val="26"/>
          <w:w w:val="105"/>
        </w:rPr>
      </w:pPr>
    </w:p>
    <w:p w14:paraId="26362A28" w14:textId="4634767C" w:rsidR="00EA7458" w:rsidRPr="00E06806" w:rsidRDefault="00075116" w:rsidP="00D63204">
      <w:pPr>
        <w:widowControl w:val="0"/>
        <w:spacing w:after="0" w:line="264" w:lineRule="exact"/>
        <w:ind w:left="107"/>
        <w:rPr>
          <w:rFonts w:cstheme="minorHAnsi"/>
        </w:rPr>
      </w:pPr>
      <w:r w:rsidRPr="00E06806">
        <w:rPr>
          <w:rFonts w:cstheme="minorHAnsi"/>
          <w:color w:val="231F20"/>
          <w:w w:val="105"/>
        </w:rPr>
        <w:t xml:space="preserve">Strategic and administrative </w:t>
      </w:r>
      <w:r w:rsidR="00EA7458" w:rsidRPr="00E06806">
        <w:rPr>
          <w:rFonts w:cstheme="minorHAnsi"/>
          <w:color w:val="231F20"/>
          <w:w w:val="105"/>
        </w:rPr>
        <w:t>policy</w:t>
      </w:r>
      <w:r w:rsidR="00EA7458" w:rsidRPr="00E06806">
        <w:rPr>
          <w:rFonts w:cstheme="minorHAnsi"/>
          <w:color w:val="231F20"/>
          <w:spacing w:val="26"/>
          <w:w w:val="105"/>
        </w:rPr>
        <w:t xml:space="preserve"> </w:t>
      </w:r>
      <w:r w:rsidR="00EA7458" w:rsidRPr="00E06806">
        <w:rPr>
          <w:rFonts w:cstheme="minorHAnsi"/>
          <w:color w:val="231F20"/>
          <w:w w:val="105"/>
        </w:rPr>
        <w:t>documents</w:t>
      </w:r>
      <w:r w:rsidR="00EA7458" w:rsidRPr="00E06806">
        <w:rPr>
          <w:rFonts w:cstheme="minorHAnsi"/>
          <w:color w:val="231F20"/>
          <w:w w:val="107"/>
        </w:rPr>
        <w:t xml:space="preserve"> </w:t>
      </w:r>
      <w:r w:rsidR="00EA7458" w:rsidRPr="00E06806">
        <w:rPr>
          <w:rFonts w:cstheme="minorHAnsi"/>
          <w:color w:val="231F20"/>
          <w:w w:val="105"/>
        </w:rPr>
        <w:t>are</w:t>
      </w:r>
      <w:r w:rsidR="00EA7458" w:rsidRPr="00E06806">
        <w:rPr>
          <w:rFonts w:cstheme="minorHAnsi"/>
          <w:color w:val="231F20"/>
          <w:spacing w:val="12"/>
          <w:w w:val="105"/>
        </w:rPr>
        <w:t xml:space="preserve"> </w:t>
      </w:r>
      <w:r w:rsidR="00EA7458" w:rsidRPr="00E06806">
        <w:rPr>
          <w:rFonts w:cstheme="minorHAnsi"/>
          <w:color w:val="231F20"/>
          <w:w w:val="105"/>
        </w:rPr>
        <w:t>often</w:t>
      </w:r>
      <w:r w:rsidR="00EA7458" w:rsidRPr="00E06806">
        <w:rPr>
          <w:rFonts w:cstheme="minorHAnsi"/>
          <w:color w:val="231F20"/>
          <w:spacing w:val="12"/>
          <w:w w:val="105"/>
        </w:rPr>
        <w:t xml:space="preserve"> </w:t>
      </w:r>
      <w:r w:rsidR="00EA7458" w:rsidRPr="00E06806">
        <w:rPr>
          <w:rFonts w:cstheme="minorHAnsi"/>
          <w:color w:val="231F20"/>
          <w:w w:val="105"/>
        </w:rPr>
        <w:t>vetted</w:t>
      </w:r>
      <w:r w:rsidR="00EA7458" w:rsidRPr="00E06806">
        <w:rPr>
          <w:rFonts w:cstheme="minorHAnsi"/>
          <w:color w:val="231F20"/>
          <w:spacing w:val="12"/>
          <w:w w:val="105"/>
        </w:rPr>
        <w:t xml:space="preserve"> </w:t>
      </w:r>
      <w:r w:rsidR="00EA7458" w:rsidRPr="00E06806">
        <w:rPr>
          <w:rFonts w:cstheme="minorHAnsi"/>
          <w:color w:val="231F20"/>
          <w:w w:val="105"/>
        </w:rPr>
        <w:t>by</w:t>
      </w:r>
      <w:r w:rsidR="00EA7458" w:rsidRPr="00E06806">
        <w:rPr>
          <w:rFonts w:cstheme="minorHAnsi"/>
          <w:color w:val="231F20"/>
          <w:spacing w:val="12"/>
          <w:w w:val="105"/>
        </w:rPr>
        <w:t xml:space="preserve"> </w:t>
      </w:r>
      <w:r w:rsidR="00EA7458" w:rsidRPr="00E06806">
        <w:rPr>
          <w:rFonts w:cstheme="minorHAnsi"/>
          <w:color w:val="231F20"/>
          <w:w w:val="105"/>
        </w:rPr>
        <w:t>state</w:t>
      </w:r>
      <w:r w:rsidR="00EA7458" w:rsidRPr="00E06806">
        <w:rPr>
          <w:rFonts w:cstheme="minorHAnsi"/>
          <w:color w:val="231F20"/>
          <w:spacing w:val="12"/>
          <w:w w:val="105"/>
        </w:rPr>
        <w:t xml:space="preserve"> </w:t>
      </w:r>
      <w:r w:rsidR="00EA7458" w:rsidRPr="00E06806">
        <w:rPr>
          <w:rFonts w:cstheme="minorHAnsi"/>
          <w:color w:val="231F20"/>
          <w:w w:val="105"/>
        </w:rPr>
        <w:t>and</w:t>
      </w:r>
      <w:r w:rsidR="00EA7458" w:rsidRPr="00E06806">
        <w:rPr>
          <w:rFonts w:cstheme="minorHAnsi"/>
          <w:color w:val="231F20"/>
          <w:spacing w:val="12"/>
          <w:w w:val="105"/>
        </w:rPr>
        <w:t xml:space="preserve"> </w:t>
      </w:r>
      <w:r w:rsidR="00EA7458" w:rsidRPr="00E06806">
        <w:rPr>
          <w:rFonts w:cstheme="minorHAnsi"/>
          <w:color w:val="231F20"/>
          <w:w w:val="105"/>
        </w:rPr>
        <w:t>local</w:t>
      </w:r>
      <w:r w:rsidR="00EA7458" w:rsidRPr="00E06806">
        <w:rPr>
          <w:rFonts w:cstheme="minorHAnsi"/>
          <w:color w:val="231F20"/>
          <w:spacing w:val="12"/>
          <w:w w:val="105"/>
        </w:rPr>
        <w:t xml:space="preserve"> </w:t>
      </w:r>
      <w:r w:rsidR="00EA7458" w:rsidRPr="00E06806">
        <w:rPr>
          <w:rFonts w:cstheme="minorHAnsi"/>
          <w:color w:val="231F20"/>
          <w:w w:val="105"/>
        </w:rPr>
        <w:t>partners</w:t>
      </w:r>
      <w:r w:rsidR="00EA7458" w:rsidRPr="00E06806">
        <w:rPr>
          <w:rFonts w:cstheme="minorHAnsi"/>
          <w:color w:val="231F20"/>
          <w:spacing w:val="12"/>
          <w:w w:val="105"/>
        </w:rPr>
        <w:t xml:space="preserve"> </w:t>
      </w:r>
      <w:r w:rsidR="00EA7458" w:rsidRPr="00E06806">
        <w:rPr>
          <w:rFonts w:cstheme="minorHAnsi"/>
          <w:color w:val="231F20"/>
          <w:w w:val="105"/>
        </w:rPr>
        <w:t>before</w:t>
      </w:r>
      <w:r w:rsidR="00EA7458" w:rsidRPr="00E06806">
        <w:rPr>
          <w:rFonts w:cstheme="minorHAnsi"/>
          <w:color w:val="231F20"/>
          <w:spacing w:val="12"/>
          <w:w w:val="105"/>
        </w:rPr>
        <w:t xml:space="preserve"> </w:t>
      </w:r>
      <w:r w:rsidRPr="00E06806">
        <w:rPr>
          <w:rFonts w:cstheme="minorHAnsi"/>
          <w:color w:val="231F20"/>
          <w:w w:val="105"/>
        </w:rPr>
        <w:t>being issued</w:t>
      </w:r>
      <w:r w:rsidR="00EA7458" w:rsidRPr="00E06806">
        <w:rPr>
          <w:rFonts w:cstheme="minorHAnsi"/>
          <w:color w:val="231F20"/>
          <w:w w:val="105"/>
        </w:rPr>
        <w:t>.</w:t>
      </w:r>
      <w:r w:rsidR="00EA7458" w:rsidRPr="00E06806">
        <w:rPr>
          <w:rFonts w:cstheme="minorHAnsi"/>
          <w:color w:val="231F20"/>
          <w:spacing w:val="12"/>
          <w:w w:val="105"/>
        </w:rPr>
        <w:t xml:space="preserve"> </w:t>
      </w:r>
      <w:r w:rsidR="00EA7458" w:rsidRPr="00E06806">
        <w:rPr>
          <w:rFonts w:cstheme="minorHAnsi"/>
          <w:color w:val="231F20"/>
          <w:w w:val="105"/>
        </w:rPr>
        <w:t>This</w:t>
      </w:r>
      <w:r w:rsidR="00EA7458" w:rsidRPr="00E06806">
        <w:rPr>
          <w:rFonts w:cstheme="minorHAnsi"/>
          <w:color w:val="231F20"/>
          <w:spacing w:val="12"/>
          <w:w w:val="105"/>
        </w:rPr>
        <w:t xml:space="preserve"> </w:t>
      </w:r>
      <w:r w:rsidR="00EA7458" w:rsidRPr="00E06806">
        <w:rPr>
          <w:rFonts w:cstheme="minorHAnsi"/>
          <w:color w:val="231F20"/>
          <w:w w:val="105"/>
        </w:rPr>
        <w:t>policy</w:t>
      </w:r>
      <w:r w:rsidR="00EA7458" w:rsidRPr="00E06806">
        <w:rPr>
          <w:rFonts w:cstheme="minorHAnsi"/>
          <w:color w:val="231F20"/>
          <w:spacing w:val="12"/>
          <w:w w:val="105"/>
        </w:rPr>
        <w:t xml:space="preserve"> </w:t>
      </w:r>
      <w:r w:rsidR="00EA7458" w:rsidRPr="00E06806">
        <w:rPr>
          <w:rFonts w:cstheme="minorHAnsi"/>
          <w:color w:val="231F20"/>
          <w:w w:val="105"/>
        </w:rPr>
        <w:t>and</w:t>
      </w:r>
      <w:r w:rsidR="00EA7458" w:rsidRPr="00E06806">
        <w:rPr>
          <w:rFonts w:cstheme="minorHAnsi"/>
          <w:color w:val="231F20"/>
          <w:spacing w:val="12"/>
          <w:w w:val="105"/>
        </w:rPr>
        <w:t xml:space="preserve"> </w:t>
      </w:r>
      <w:r w:rsidR="00EA7458" w:rsidRPr="00E06806">
        <w:rPr>
          <w:rFonts w:cstheme="minorHAnsi"/>
          <w:color w:val="231F20"/>
          <w:w w:val="105"/>
        </w:rPr>
        <w:t>administrative</w:t>
      </w:r>
      <w:r w:rsidR="00EA7458" w:rsidRPr="00E06806">
        <w:rPr>
          <w:rFonts w:cstheme="minorHAnsi"/>
          <w:color w:val="231F20"/>
          <w:w w:val="104"/>
        </w:rPr>
        <w:t xml:space="preserve"> </w:t>
      </w:r>
      <w:r w:rsidR="00EA7458" w:rsidRPr="00E06806">
        <w:rPr>
          <w:rFonts w:cstheme="minorHAnsi"/>
          <w:color w:val="231F20"/>
          <w:w w:val="105"/>
        </w:rPr>
        <w:t>information</w:t>
      </w:r>
      <w:r w:rsidR="00EA7458" w:rsidRPr="00E06806">
        <w:rPr>
          <w:rFonts w:cstheme="minorHAnsi"/>
          <w:color w:val="231F20"/>
          <w:spacing w:val="-14"/>
          <w:w w:val="105"/>
        </w:rPr>
        <w:t xml:space="preserve"> </w:t>
      </w:r>
      <w:r w:rsidRPr="00E06806">
        <w:rPr>
          <w:rFonts w:cstheme="minorHAnsi"/>
          <w:color w:val="231F20"/>
          <w:w w:val="105"/>
        </w:rPr>
        <w:t xml:space="preserve">is online </w:t>
      </w:r>
      <w:r w:rsidR="00EA7458" w:rsidRPr="00E06806">
        <w:rPr>
          <w:rFonts w:cstheme="minorHAnsi"/>
          <w:color w:val="231F20"/>
          <w:w w:val="105"/>
        </w:rPr>
        <w:t>at</w:t>
      </w:r>
      <w:r w:rsidR="00EA7458" w:rsidRPr="00E06806">
        <w:rPr>
          <w:rFonts w:cstheme="minorHAnsi"/>
          <w:color w:val="231F20"/>
          <w:spacing w:val="-14"/>
          <w:w w:val="105"/>
        </w:rPr>
        <w:t xml:space="preserve"> </w:t>
      </w:r>
      <w:hyperlink r:id="rId104">
        <w:r w:rsidR="00EA7458" w:rsidRPr="00F60809">
          <w:rPr>
            <w:rStyle w:val="Hyperlink"/>
            <w:rFonts w:ascii="Calibri" w:hAnsi="Calibri"/>
          </w:rPr>
          <w:t>http://www.floridajobs.org/workforce-board-resources</w:t>
        </w:r>
      </w:hyperlink>
      <w:r w:rsidR="00EA7458" w:rsidRPr="00F60809">
        <w:rPr>
          <w:rStyle w:val="Hyperlink"/>
          <w:rFonts w:ascii="Calibri" w:hAnsi="Calibri"/>
          <w:u w:color="5F5F5F"/>
        </w:rPr>
        <w:t>.</w:t>
      </w:r>
    </w:p>
    <w:p w14:paraId="0B6DBB29" w14:textId="65B23BF3" w:rsidR="00EA7458" w:rsidRDefault="00EA7458" w:rsidP="00D63204">
      <w:pPr>
        <w:widowControl w:val="0"/>
        <w:spacing w:before="2" w:after="0" w:line="240" w:lineRule="auto"/>
        <w:ind w:left="107"/>
        <w:rPr>
          <w:rFonts w:cstheme="minorHAnsi"/>
          <w:sz w:val="14"/>
          <w:szCs w:val="14"/>
        </w:rPr>
      </w:pPr>
    </w:p>
    <w:p w14:paraId="01B2CF5E" w14:textId="43CA06D1" w:rsidR="00AE08AD" w:rsidRDefault="00AE08AD" w:rsidP="00D63204">
      <w:pPr>
        <w:widowControl w:val="0"/>
        <w:spacing w:before="2" w:after="0" w:line="240" w:lineRule="auto"/>
        <w:ind w:left="107"/>
        <w:rPr>
          <w:rFonts w:cstheme="minorHAnsi"/>
          <w:sz w:val="14"/>
          <w:szCs w:val="14"/>
        </w:rPr>
      </w:pPr>
    </w:p>
    <w:p w14:paraId="38744636" w14:textId="5FB65EA1" w:rsidR="00AE08AD" w:rsidRDefault="00AE08AD" w:rsidP="00D63204">
      <w:pPr>
        <w:widowControl w:val="0"/>
        <w:spacing w:before="2" w:after="0" w:line="240" w:lineRule="auto"/>
        <w:ind w:left="107"/>
        <w:rPr>
          <w:rFonts w:cstheme="minorHAnsi"/>
          <w:sz w:val="14"/>
          <w:szCs w:val="14"/>
        </w:rPr>
      </w:pPr>
    </w:p>
    <w:p w14:paraId="72593E98" w14:textId="77777777" w:rsidR="00AE08AD" w:rsidRPr="00E06806" w:rsidRDefault="00AE08AD" w:rsidP="00D63204">
      <w:pPr>
        <w:widowControl w:val="0"/>
        <w:spacing w:before="2" w:after="0" w:line="240" w:lineRule="auto"/>
        <w:ind w:left="107"/>
        <w:rPr>
          <w:rFonts w:cstheme="minorHAnsi"/>
          <w:sz w:val="14"/>
          <w:szCs w:val="14"/>
        </w:rPr>
      </w:pPr>
    </w:p>
    <w:p w14:paraId="0BB1C653" w14:textId="3670A8C2" w:rsidR="00EA7458" w:rsidRPr="00503CE8" w:rsidRDefault="00EA7458" w:rsidP="00D63204">
      <w:pPr>
        <w:pStyle w:val="ListParagraph"/>
        <w:widowControl w:val="0"/>
        <w:numPr>
          <w:ilvl w:val="0"/>
          <w:numId w:val="22"/>
        </w:numPr>
        <w:tabs>
          <w:tab w:val="left" w:pos="1145"/>
        </w:tabs>
        <w:spacing w:before="56" w:after="0" w:line="240" w:lineRule="auto"/>
        <w:outlineLvl w:val="2"/>
        <w:rPr>
          <w:rFonts w:cstheme="minorHAnsi"/>
        </w:rPr>
      </w:pPr>
      <w:r w:rsidRPr="000E65CF">
        <w:rPr>
          <w:rFonts w:cstheme="minorHAnsi"/>
          <w:b/>
          <w:bCs/>
          <w:color w:val="295CA3"/>
          <w:w w:val="110"/>
        </w:rPr>
        <w:t>Implementation of State</w:t>
      </w:r>
      <w:r w:rsidRPr="000E65CF">
        <w:rPr>
          <w:rFonts w:cstheme="minorHAnsi"/>
          <w:b/>
          <w:bCs/>
          <w:color w:val="295CA3"/>
          <w:spacing w:val="1"/>
          <w:w w:val="110"/>
        </w:rPr>
        <w:t xml:space="preserve"> </w:t>
      </w:r>
      <w:r w:rsidRPr="000E65CF">
        <w:rPr>
          <w:rFonts w:cstheme="minorHAnsi"/>
          <w:b/>
          <w:bCs/>
          <w:color w:val="295CA3"/>
          <w:w w:val="110"/>
        </w:rPr>
        <w:t>Strategy</w:t>
      </w:r>
    </w:p>
    <w:p w14:paraId="1B06F990" w14:textId="77777777" w:rsidR="00503CE8" w:rsidRPr="000E65CF" w:rsidRDefault="00503CE8" w:rsidP="00D63204">
      <w:pPr>
        <w:pStyle w:val="ListParagraph"/>
        <w:widowControl w:val="0"/>
        <w:tabs>
          <w:tab w:val="left" w:pos="1145"/>
        </w:tabs>
        <w:spacing w:before="56" w:after="0" w:line="240" w:lineRule="auto"/>
        <w:ind w:left="1080"/>
        <w:outlineLvl w:val="2"/>
        <w:rPr>
          <w:rFonts w:cstheme="minorHAnsi"/>
        </w:rPr>
      </w:pPr>
    </w:p>
    <w:p w14:paraId="3E121AFF" w14:textId="3175B94C" w:rsidR="00EA7458" w:rsidRPr="00503CE8" w:rsidRDefault="00EA7458" w:rsidP="00D63204">
      <w:pPr>
        <w:pStyle w:val="ListParagraph"/>
        <w:widowControl w:val="0"/>
        <w:numPr>
          <w:ilvl w:val="0"/>
          <w:numId w:val="167"/>
        </w:numPr>
        <w:tabs>
          <w:tab w:val="left" w:pos="2268"/>
        </w:tabs>
        <w:spacing w:before="190" w:after="0" w:line="240" w:lineRule="auto"/>
        <w:rPr>
          <w:rFonts w:cstheme="minorHAnsi"/>
        </w:rPr>
      </w:pPr>
      <w:r w:rsidRPr="00503CE8">
        <w:rPr>
          <w:rFonts w:cstheme="minorHAnsi"/>
          <w:color w:val="295CA3"/>
          <w:w w:val="105"/>
        </w:rPr>
        <w:t>Core Program Activities to Implement the State’s</w:t>
      </w:r>
      <w:r w:rsidRPr="00503CE8">
        <w:rPr>
          <w:rFonts w:cstheme="minorHAnsi"/>
          <w:color w:val="295CA3"/>
          <w:spacing w:val="38"/>
          <w:w w:val="105"/>
        </w:rPr>
        <w:t xml:space="preserve"> </w:t>
      </w:r>
      <w:r w:rsidRPr="00503CE8">
        <w:rPr>
          <w:rFonts w:cstheme="minorHAnsi"/>
          <w:color w:val="295CA3"/>
          <w:w w:val="105"/>
        </w:rPr>
        <w:t>Strategy</w:t>
      </w:r>
    </w:p>
    <w:p w14:paraId="4C6DF0BD" w14:textId="5A30FE0F" w:rsidR="00387F26" w:rsidRPr="00387F26" w:rsidRDefault="0078084A" w:rsidP="00D63204">
      <w:pPr>
        <w:widowControl w:val="0"/>
        <w:spacing w:before="193" w:after="0" w:line="240" w:lineRule="auto"/>
        <w:ind w:left="107"/>
        <w:rPr>
          <w:rFonts w:cstheme="minorHAnsi"/>
        </w:rPr>
      </w:pPr>
      <w:bookmarkStart w:id="68" w:name="_Hlk501360230"/>
      <w:r>
        <w:rPr>
          <w:rFonts w:cstheme="minorHAnsi"/>
          <w:w w:val="105"/>
        </w:rPr>
        <w:t>T</w:t>
      </w:r>
      <w:r w:rsidR="00387F26" w:rsidRPr="00387F26">
        <w:rPr>
          <w:rFonts w:cstheme="minorHAnsi"/>
          <w:w w:val="105"/>
        </w:rPr>
        <w:t>he</w:t>
      </w:r>
      <w:r w:rsidR="00387F26" w:rsidRPr="00387F26">
        <w:rPr>
          <w:rFonts w:cstheme="minorHAnsi"/>
          <w:spacing w:val="25"/>
          <w:w w:val="105"/>
        </w:rPr>
        <w:t xml:space="preserve"> </w:t>
      </w:r>
      <w:r w:rsidR="00387F26" w:rsidRPr="00387F26">
        <w:rPr>
          <w:rFonts w:cstheme="minorHAnsi"/>
          <w:b/>
          <w:bCs/>
          <w:w w:val="105"/>
        </w:rPr>
        <w:t>CareerSource</w:t>
      </w:r>
      <w:r w:rsidR="00387F26" w:rsidRPr="00387F26">
        <w:rPr>
          <w:rFonts w:cstheme="minorHAnsi"/>
          <w:b/>
          <w:bCs/>
          <w:spacing w:val="25"/>
          <w:w w:val="105"/>
        </w:rPr>
        <w:t xml:space="preserve"> </w:t>
      </w:r>
      <w:r w:rsidR="00387F26" w:rsidRPr="00387F26">
        <w:rPr>
          <w:rFonts w:cstheme="minorHAnsi"/>
          <w:b/>
          <w:bCs/>
          <w:w w:val="105"/>
        </w:rPr>
        <w:t>Florida</w:t>
      </w:r>
      <w:r w:rsidR="00387F26" w:rsidRPr="00387F26">
        <w:rPr>
          <w:rFonts w:cstheme="minorHAnsi"/>
          <w:b/>
          <w:bCs/>
          <w:spacing w:val="25"/>
          <w:w w:val="105"/>
        </w:rPr>
        <w:t xml:space="preserve"> </w:t>
      </w:r>
      <w:r w:rsidR="00387F26" w:rsidRPr="00387F26">
        <w:rPr>
          <w:rFonts w:cstheme="minorHAnsi"/>
          <w:w w:val="105"/>
        </w:rPr>
        <w:t>Board</w:t>
      </w:r>
      <w:r w:rsidR="00387F26" w:rsidRPr="00387F26">
        <w:rPr>
          <w:rFonts w:cstheme="minorHAnsi"/>
          <w:spacing w:val="25"/>
          <w:w w:val="105"/>
        </w:rPr>
        <w:t xml:space="preserve"> </w:t>
      </w:r>
      <w:r w:rsidR="00387F26" w:rsidRPr="00387F26">
        <w:rPr>
          <w:rFonts w:cstheme="minorHAnsi"/>
          <w:w w:val="105"/>
        </w:rPr>
        <w:t xml:space="preserve">includes </w:t>
      </w:r>
      <w:r w:rsidR="004B22D8">
        <w:rPr>
          <w:rFonts w:cstheme="minorHAnsi"/>
          <w:w w:val="105"/>
        </w:rPr>
        <w:t xml:space="preserve">representation of </w:t>
      </w:r>
      <w:r w:rsidR="00387F26" w:rsidRPr="00387F26">
        <w:rPr>
          <w:rFonts w:cstheme="minorHAnsi"/>
          <w:spacing w:val="-7"/>
          <w:w w:val="105"/>
        </w:rPr>
        <w:t xml:space="preserve">WIOA’s </w:t>
      </w:r>
      <w:r w:rsidR="00387F26" w:rsidRPr="00387F26">
        <w:rPr>
          <w:rFonts w:cstheme="minorHAnsi"/>
          <w:w w:val="105"/>
        </w:rPr>
        <w:t xml:space="preserve">core programs </w:t>
      </w:r>
      <w:r w:rsidR="00B27A4C">
        <w:rPr>
          <w:rFonts w:cstheme="minorHAnsi"/>
          <w:w w:val="105"/>
        </w:rPr>
        <w:t>within the</w:t>
      </w:r>
      <w:r w:rsidR="00387F26" w:rsidRPr="00387F26">
        <w:rPr>
          <w:rFonts w:cstheme="minorHAnsi"/>
          <w:w w:val="105"/>
        </w:rPr>
        <w:t xml:space="preserve"> Florida Department of Education Divisions of </w:t>
      </w:r>
      <w:r w:rsidR="00387F26" w:rsidRPr="00387F26">
        <w:rPr>
          <w:rFonts w:cstheme="minorHAnsi"/>
          <w:b/>
          <w:bCs/>
          <w:w w:val="105"/>
        </w:rPr>
        <w:t>Vocational</w:t>
      </w:r>
      <w:r w:rsidR="00387F26" w:rsidRPr="00387F26">
        <w:rPr>
          <w:rFonts w:cstheme="minorHAnsi"/>
          <w:b/>
          <w:bCs/>
          <w:spacing w:val="42"/>
          <w:w w:val="105"/>
        </w:rPr>
        <w:t xml:space="preserve"> </w:t>
      </w:r>
      <w:r w:rsidR="00387F26" w:rsidRPr="00387F26">
        <w:rPr>
          <w:rFonts w:cstheme="minorHAnsi"/>
          <w:b/>
          <w:bCs/>
          <w:w w:val="105"/>
        </w:rPr>
        <w:t>Rehabilitation</w:t>
      </w:r>
      <w:r w:rsidR="00387F26" w:rsidRPr="00387F26">
        <w:rPr>
          <w:rFonts w:cstheme="minorHAnsi"/>
          <w:b/>
          <w:bCs/>
          <w:spacing w:val="24"/>
          <w:w w:val="105"/>
        </w:rPr>
        <w:t xml:space="preserve"> </w:t>
      </w:r>
      <w:r w:rsidR="00387F26" w:rsidRPr="00387F26">
        <w:rPr>
          <w:rFonts w:cstheme="minorHAnsi"/>
          <w:b/>
          <w:bCs/>
          <w:w w:val="105"/>
        </w:rPr>
        <w:t>(VR)</w:t>
      </w:r>
      <w:r w:rsidR="00B27A4C">
        <w:rPr>
          <w:rFonts w:cstheme="minorHAnsi"/>
          <w:b/>
          <w:bCs/>
          <w:w w:val="105"/>
        </w:rPr>
        <w:t>,</w:t>
      </w:r>
      <w:r w:rsidR="00D5537E">
        <w:rPr>
          <w:rFonts w:cstheme="minorHAnsi"/>
          <w:w w:val="105"/>
        </w:rPr>
        <w:t xml:space="preserve"> </w:t>
      </w:r>
      <w:r w:rsidR="00387F26" w:rsidRPr="00387F26">
        <w:rPr>
          <w:rFonts w:cstheme="minorHAnsi"/>
          <w:b/>
          <w:bCs/>
          <w:w w:val="105"/>
        </w:rPr>
        <w:t>Blind</w:t>
      </w:r>
      <w:r w:rsidR="00387F26" w:rsidRPr="00387F26">
        <w:rPr>
          <w:rFonts w:cstheme="minorHAnsi"/>
          <w:b/>
          <w:bCs/>
          <w:spacing w:val="24"/>
          <w:w w:val="105"/>
        </w:rPr>
        <w:t xml:space="preserve"> </w:t>
      </w:r>
      <w:r w:rsidR="00387F26" w:rsidRPr="00387F26">
        <w:rPr>
          <w:rFonts w:cstheme="minorHAnsi"/>
          <w:b/>
          <w:bCs/>
          <w:w w:val="105"/>
        </w:rPr>
        <w:t>Services</w:t>
      </w:r>
      <w:r w:rsidR="00387F26" w:rsidRPr="00387F26">
        <w:rPr>
          <w:rFonts w:cstheme="minorHAnsi"/>
          <w:b/>
          <w:bCs/>
          <w:spacing w:val="24"/>
          <w:w w:val="105"/>
        </w:rPr>
        <w:t xml:space="preserve"> </w:t>
      </w:r>
      <w:r w:rsidR="00387F26" w:rsidRPr="00387F26">
        <w:rPr>
          <w:rFonts w:cstheme="minorHAnsi"/>
          <w:b/>
          <w:bCs/>
          <w:w w:val="105"/>
        </w:rPr>
        <w:t>(FDBS)</w:t>
      </w:r>
      <w:r w:rsidR="00D5537E">
        <w:rPr>
          <w:rFonts w:cstheme="minorHAnsi"/>
          <w:w w:val="105"/>
        </w:rPr>
        <w:t xml:space="preserve"> and</w:t>
      </w:r>
      <w:r w:rsidR="00387F26" w:rsidRPr="00387F26">
        <w:rPr>
          <w:rFonts w:cstheme="minorHAnsi"/>
          <w:spacing w:val="25"/>
          <w:w w:val="105"/>
        </w:rPr>
        <w:t xml:space="preserve"> </w:t>
      </w:r>
      <w:r w:rsidR="00387F26" w:rsidRPr="00387F26">
        <w:rPr>
          <w:rFonts w:cstheme="minorHAnsi"/>
          <w:b/>
          <w:bCs/>
          <w:w w:val="105"/>
        </w:rPr>
        <w:t>Adult</w:t>
      </w:r>
      <w:r w:rsidR="00387F26" w:rsidRPr="00387F26">
        <w:rPr>
          <w:rFonts w:cstheme="minorHAnsi"/>
          <w:b/>
          <w:bCs/>
          <w:spacing w:val="24"/>
          <w:w w:val="105"/>
        </w:rPr>
        <w:t xml:space="preserve"> </w:t>
      </w:r>
      <w:r w:rsidR="00387F26" w:rsidRPr="00387F26">
        <w:rPr>
          <w:rFonts w:cstheme="minorHAnsi"/>
          <w:b/>
          <w:bCs/>
          <w:w w:val="105"/>
        </w:rPr>
        <w:t>Education</w:t>
      </w:r>
      <w:r w:rsidR="00387F26" w:rsidRPr="00387F26">
        <w:rPr>
          <w:rFonts w:cstheme="minorHAnsi"/>
          <w:b/>
          <w:bCs/>
          <w:spacing w:val="24"/>
          <w:w w:val="105"/>
        </w:rPr>
        <w:t xml:space="preserve"> </w:t>
      </w:r>
      <w:r w:rsidR="00387F26" w:rsidRPr="00387F26">
        <w:rPr>
          <w:rFonts w:cstheme="minorHAnsi"/>
          <w:b/>
          <w:bCs/>
          <w:w w:val="105"/>
        </w:rPr>
        <w:t>(DCAE)</w:t>
      </w:r>
      <w:r w:rsidR="005E7C49">
        <w:rPr>
          <w:rFonts w:cstheme="minorHAnsi"/>
          <w:w w:val="105"/>
        </w:rPr>
        <w:t xml:space="preserve">. </w:t>
      </w:r>
      <w:r w:rsidR="00387F26" w:rsidRPr="00387F26">
        <w:rPr>
          <w:rFonts w:cstheme="minorHAnsi"/>
          <w:spacing w:val="-3"/>
          <w:w w:val="105"/>
        </w:rPr>
        <w:t xml:space="preserve">WIOA </w:t>
      </w:r>
      <w:r w:rsidR="00387F26" w:rsidRPr="00387F26">
        <w:rPr>
          <w:rFonts w:cstheme="minorHAnsi"/>
          <w:w w:val="105"/>
        </w:rPr>
        <w:t>core program teams are focused on strategic policy development and implementation and performance accountability reporting as discussed in section II(c)(2). WIOA core program partners continue their focus</w:t>
      </w:r>
      <w:r w:rsidR="00387F26" w:rsidRPr="00387F26">
        <w:rPr>
          <w:rFonts w:cstheme="minorHAnsi"/>
          <w:spacing w:val="9"/>
          <w:w w:val="105"/>
        </w:rPr>
        <w:t xml:space="preserve"> </w:t>
      </w:r>
      <w:r w:rsidR="00387F26" w:rsidRPr="00387F26">
        <w:rPr>
          <w:rFonts w:cstheme="minorHAnsi"/>
          <w:w w:val="105"/>
        </w:rPr>
        <w:t>on</w:t>
      </w:r>
      <w:r w:rsidR="00387F26" w:rsidRPr="00387F26">
        <w:rPr>
          <w:rFonts w:cstheme="minorHAnsi"/>
          <w:spacing w:val="9"/>
          <w:w w:val="105"/>
        </w:rPr>
        <w:t xml:space="preserve"> </w:t>
      </w:r>
      <w:r w:rsidR="00387F26" w:rsidRPr="00387F26">
        <w:rPr>
          <w:rFonts w:cstheme="minorHAnsi"/>
          <w:w w:val="105"/>
        </w:rPr>
        <w:t>areas</w:t>
      </w:r>
      <w:r w:rsidR="00387F26" w:rsidRPr="00387F26">
        <w:rPr>
          <w:rFonts w:cstheme="minorHAnsi"/>
          <w:spacing w:val="9"/>
          <w:w w:val="105"/>
        </w:rPr>
        <w:t xml:space="preserve"> </w:t>
      </w:r>
      <w:r w:rsidR="00387F26" w:rsidRPr="00387F26">
        <w:rPr>
          <w:rFonts w:cstheme="minorHAnsi"/>
          <w:w w:val="105"/>
        </w:rPr>
        <w:t>for</w:t>
      </w:r>
      <w:r w:rsidR="00387F26" w:rsidRPr="00387F26">
        <w:rPr>
          <w:rFonts w:cstheme="minorHAnsi"/>
          <w:spacing w:val="9"/>
          <w:w w:val="105"/>
        </w:rPr>
        <w:t xml:space="preserve"> </w:t>
      </w:r>
      <w:r w:rsidR="00387F26" w:rsidRPr="00387F26">
        <w:rPr>
          <w:rFonts w:cstheme="minorHAnsi"/>
          <w:w w:val="105"/>
        </w:rPr>
        <w:t>improvement</w:t>
      </w:r>
      <w:r w:rsidR="00387F26" w:rsidRPr="00387F26">
        <w:rPr>
          <w:rFonts w:cstheme="minorHAnsi"/>
          <w:spacing w:val="9"/>
          <w:w w:val="105"/>
        </w:rPr>
        <w:t xml:space="preserve"> </w:t>
      </w:r>
      <w:r w:rsidR="00387F26" w:rsidRPr="00387F26">
        <w:rPr>
          <w:rFonts w:cstheme="minorHAnsi"/>
          <w:w w:val="105"/>
        </w:rPr>
        <w:t>and</w:t>
      </w:r>
      <w:r w:rsidR="00387F26" w:rsidRPr="00387F26">
        <w:rPr>
          <w:rFonts w:cstheme="minorHAnsi"/>
          <w:spacing w:val="9"/>
          <w:w w:val="105"/>
        </w:rPr>
        <w:t xml:space="preserve"> </w:t>
      </w:r>
      <w:r w:rsidR="00387F26" w:rsidRPr="00387F26">
        <w:rPr>
          <w:rFonts w:cstheme="minorHAnsi"/>
          <w:w w:val="105"/>
        </w:rPr>
        <w:t>strategy</w:t>
      </w:r>
      <w:r w:rsidR="00387F26" w:rsidRPr="00387F26">
        <w:rPr>
          <w:rFonts w:cstheme="minorHAnsi"/>
          <w:spacing w:val="9"/>
          <w:w w:val="105"/>
        </w:rPr>
        <w:t xml:space="preserve"> </w:t>
      </w:r>
      <w:r w:rsidR="00387F26" w:rsidRPr="00387F26">
        <w:rPr>
          <w:rFonts w:cstheme="minorHAnsi"/>
          <w:w w:val="105"/>
        </w:rPr>
        <w:t>execution.</w:t>
      </w:r>
      <w:r w:rsidR="00387F26" w:rsidRPr="00387F26">
        <w:rPr>
          <w:rFonts w:cstheme="minorHAnsi"/>
          <w:spacing w:val="9"/>
          <w:w w:val="105"/>
        </w:rPr>
        <w:t xml:space="preserve"> </w:t>
      </w:r>
      <w:r w:rsidR="00387F26" w:rsidRPr="00387F26">
        <w:rPr>
          <w:rFonts w:cstheme="minorHAnsi"/>
          <w:w w:val="105"/>
        </w:rPr>
        <w:t>Core</w:t>
      </w:r>
      <w:r w:rsidR="00387F26" w:rsidRPr="00387F26">
        <w:rPr>
          <w:rFonts w:cstheme="minorHAnsi"/>
          <w:spacing w:val="9"/>
          <w:w w:val="105"/>
        </w:rPr>
        <w:t xml:space="preserve"> </w:t>
      </w:r>
      <w:r w:rsidR="00387F26" w:rsidRPr="00387F26">
        <w:rPr>
          <w:rFonts w:cstheme="minorHAnsi"/>
          <w:w w:val="105"/>
        </w:rPr>
        <w:t>program</w:t>
      </w:r>
      <w:r w:rsidR="00387F26" w:rsidRPr="00387F26">
        <w:rPr>
          <w:rFonts w:cstheme="minorHAnsi"/>
          <w:spacing w:val="9"/>
          <w:w w:val="105"/>
        </w:rPr>
        <w:t xml:space="preserve"> </w:t>
      </w:r>
      <w:r w:rsidR="00387F26" w:rsidRPr="00387F26">
        <w:rPr>
          <w:rFonts w:cstheme="minorHAnsi"/>
          <w:w w:val="105"/>
        </w:rPr>
        <w:t>partners</w:t>
      </w:r>
      <w:r w:rsidR="00387F26" w:rsidRPr="00387F26">
        <w:rPr>
          <w:rFonts w:cstheme="minorHAnsi"/>
          <w:spacing w:val="9"/>
          <w:w w:val="105"/>
        </w:rPr>
        <w:t xml:space="preserve"> </w:t>
      </w:r>
      <w:r w:rsidR="00387F26" w:rsidRPr="00387F26">
        <w:rPr>
          <w:rFonts w:cstheme="minorHAnsi"/>
          <w:w w:val="105"/>
        </w:rPr>
        <w:t>report</w:t>
      </w:r>
      <w:r w:rsidR="00387F26" w:rsidRPr="00387F26">
        <w:rPr>
          <w:rFonts w:cstheme="minorHAnsi"/>
          <w:spacing w:val="9"/>
          <w:w w:val="105"/>
        </w:rPr>
        <w:t xml:space="preserve"> </w:t>
      </w:r>
      <w:r w:rsidR="00387F26" w:rsidRPr="00387F26">
        <w:rPr>
          <w:rFonts w:cstheme="minorHAnsi"/>
          <w:w w:val="105"/>
        </w:rPr>
        <w:t>on</w:t>
      </w:r>
      <w:r w:rsidR="00387F26" w:rsidRPr="00387F26">
        <w:rPr>
          <w:rFonts w:cstheme="minorHAnsi"/>
          <w:spacing w:val="9"/>
          <w:w w:val="105"/>
        </w:rPr>
        <w:t xml:space="preserve"> </w:t>
      </w:r>
      <w:r w:rsidR="00387F26" w:rsidRPr="00387F26">
        <w:rPr>
          <w:rFonts w:cstheme="minorHAnsi"/>
          <w:spacing w:val="-3"/>
          <w:w w:val="105"/>
        </w:rPr>
        <w:t>WIOA</w:t>
      </w:r>
      <w:r w:rsidR="00387F26" w:rsidRPr="00387F26">
        <w:rPr>
          <w:rFonts w:cstheme="minorHAnsi"/>
          <w:spacing w:val="-27"/>
          <w:w w:val="105"/>
        </w:rPr>
        <w:t xml:space="preserve"> </w:t>
      </w:r>
      <w:r w:rsidR="00C47FC0">
        <w:rPr>
          <w:rFonts w:cstheme="minorHAnsi"/>
          <w:w w:val="105"/>
        </w:rPr>
        <w:t xml:space="preserve">primary indicators of performance </w:t>
      </w:r>
      <w:r w:rsidR="00387F26" w:rsidRPr="00387F26">
        <w:rPr>
          <w:rFonts w:cstheme="minorHAnsi"/>
          <w:w w:val="105"/>
        </w:rPr>
        <w:t>and other performance information used to ensure continuous improvement.</w:t>
      </w:r>
    </w:p>
    <w:bookmarkEnd w:id="68"/>
    <w:p w14:paraId="632EA615" w14:textId="77777777" w:rsidR="00387F26" w:rsidRDefault="00387F26" w:rsidP="00D63204">
      <w:pPr>
        <w:widowControl w:val="0"/>
        <w:spacing w:before="197" w:after="0" w:line="240" w:lineRule="auto"/>
        <w:ind w:left="107"/>
        <w:outlineLvl w:val="2"/>
        <w:rPr>
          <w:rFonts w:cstheme="minorHAnsi"/>
          <w:b/>
          <w:bCs/>
          <w:color w:val="231F20"/>
          <w:w w:val="105"/>
        </w:rPr>
      </w:pPr>
      <w:r w:rsidRPr="00387F26">
        <w:rPr>
          <w:rFonts w:cstheme="minorHAnsi"/>
          <w:b/>
          <w:bCs/>
          <w:color w:val="231F20"/>
          <w:spacing w:val="-3"/>
          <w:w w:val="105"/>
        </w:rPr>
        <w:t>A</w:t>
      </w:r>
      <w:r w:rsidRPr="00387F26">
        <w:rPr>
          <w:rFonts w:cstheme="minorHAnsi"/>
          <w:b/>
          <w:bCs/>
          <w:color w:val="231F20"/>
          <w:w w:val="105"/>
        </w:rPr>
        <w:t>ll core programs work</w:t>
      </w:r>
      <w:r w:rsidRPr="00387F26">
        <w:rPr>
          <w:rFonts w:cstheme="minorHAnsi"/>
          <w:b/>
          <w:bCs/>
          <w:color w:val="231F20"/>
          <w:spacing w:val="21"/>
          <w:w w:val="105"/>
        </w:rPr>
        <w:t xml:space="preserve"> </w:t>
      </w:r>
      <w:r w:rsidRPr="00387F26">
        <w:rPr>
          <w:rFonts w:cstheme="minorHAnsi"/>
          <w:b/>
          <w:bCs/>
          <w:color w:val="231F20"/>
          <w:w w:val="105"/>
        </w:rPr>
        <w:t>to:</w:t>
      </w:r>
    </w:p>
    <w:p w14:paraId="010DA456" w14:textId="00CB1DDF" w:rsidR="00387F26" w:rsidRDefault="00387F26" w:rsidP="00D63204">
      <w:pPr>
        <w:pStyle w:val="ListParagraph"/>
        <w:widowControl w:val="0"/>
        <w:numPr>
          <w:ilvl w:val="0"/>
          <w:numId w:val="86"/>
        </w:numPr>
        <w:spacing w:before="197" w:after="0" w:line="240" w:lineRule="auto"/>
        <w:outlineLvl w:val="2"/>
        <w:rPr>
          <w:rFonts w:cstheme="minorHAnsi"/>
          <w:color w:val="231F20"/>
          <w:w w:val="105"/>
        </w:rPr>
      </w:pPr>
      <w:r w:rsidRPr="00387F26">
        <w:rPr>
          <w:rFonts w:cstheme="minorHAnsi"/>
          <w:color w:val="231F20"/>
          <w:w w:val="105"/>
        </w:rPr>
        <w:t>VR is working collaboratively with partners to identify barriers across all partner agencies by implementing an Employment First Toolkit and Resource guide</w:t>
      </w:r>
      <w:r w:rsidR="005E7C49">
        <w:rPr>
          <w:rFonts w:cstheme="minorHAnsi"/>
          <w:color w:val="231F20"/>
          <w:w w:val="105"/>
        </w:rPr>
        <w:t xml:space="preserve">. </w:t>
      </w:r>
      <w:r w:rsidRPr="00387F26">
        <w:rPr>
          <w:rFonts w:cstheme="minorHAnsi"/>
          <w:color w:val="231F20"/>
          <w:w w:val="105"/>
        </w:rPr>
        <w:t>This will identify barriers and provides a common core of requisite skills and terminology to serve as the basis for a shared process to support and serve individuals with disabilities.</w:t>
      </w:r>
    </w:p>
    <w:p w14:paraId="70B05DA6" w14:textId="77777777" w:rsidR="00387F26" w:rsidRPr="00387F26" w:rsidRDefault="00387F26" w:rsidP="00D63204">
      <w:pPr>
        <w:pStyle w:val="ListParagraph"/>
        <w:widowControl w:val="0"/>
        <w:spacing w:before="197" w:after="0" w:line="240" w:lineRule="auto"/>
        <w:ind w:left="827"/>
        <w:outlineLvl w:val="2"/>
        <w:rPr>
          <w:rFonts w:cstheme="minorHAnsi"/>
          <w:color w:val="231F20"/>
          <w:w w:val="105"/>
        </w:rPr>
      </w:pPr>
    </w:p>
    <w:p w14:paraId="371D3B97" w14:textId="491FBD9E" w:rsidR="00387F26" w:rsidRDefault="00387F26" w:rsidP="00D63204">
      <w:pPr>
        <w:pStyle w:val="ListParagraph"/>
        <w:widowControl w:val="0"/>
        <w:numPr>
          <w:ilvl w:val="0"/>
          <w:numId w:val="86"/>
        </w:numPr>
        <w:spacing w:before="197" w:after="0" w:line="240" w:lineRule="auto"/>
        <w:outlineLvl w:val="2"/>
        <w:rPr>
          <w:rFonts w:ascii="Calibri" w:hAnsi="Calibri"/>
          <w:color w:val="231F20"/>
          <w:w w:val="105"/>
        </w:rPr>
      </w:pPr>
      <w:r w:rsidRPr="00387F26">
        <w:rPr>
          <w:rFonts w:cstheme="minorHAnsi"/>
          <w:color w:val="231F20"/>
          <w:w w:val="105"/>
        </w:rPr>
        <w:t>Continue implementation of an interagency supported program and fiscal planning process that defines</w:t>
      </w:r>
      <w:r w:rsidRPr="00387F26">
        <w:rPr>
          <w:rFonts w:cstheme="minorHAnsi"/>
          <w:color w:val="231F20"/>
          <w:spacing w:val="15"/>
          <w:w w:val="105"/>
        </w:rPr>
        <w:t xml:space="preserve"> </w:t>
      </w:r>
      <w:r w:rsidRPr="00387F26">
        <w:rPr>
          <w:rFonts w:cstheme="minorHAnsi"/>
          <w:color w:val="231F20"/>
          <w:w w:val="105"/>
        </w:rPr>
        <w:t>and</w:t>
      </w:r>
      <w:r w:rsidRPr="00387F26">
        <w:rPr>
          <w:rFonts w:cstheme="minorHAnsi"/>
          <w:color w:val="231F20"/>
          <w:spacing w:val="15"/>
          <w:w w:val="105"/>
        </w:rPr>
        <w:t xml:space="preserve"> </w:t>
      </w:r>
      <w:r w:rsidRPr="00387F26">
        <w:rPr>
          <w:rFonts w:cstheme="minorHAnsi"/>
          <w:color w:val="231F20"/>
          <w:w w:val="105"/>
        </w:rPr>
        <w:t>projects</w:t>
      </w:r>
      <w:r w:rsidRPr="00387F26">
        <w:rPr>
          <w:rFonts w:cstheme="minorHAnsi"/>
          <w:color w:val="231F20"/>
          <w:spacing w:val="15"/>
          <w:w w:val="105"/>
        </w:rPr>
        <w:t xml:space="preserve"> </w:t>
      </w:r>
      <w:r w:rsidRPr="00387F26">
        <w:rPr>
          <w:rFonts w:cstheme="minorHAnsi"/>
          <w:color w:val="231F20"/>
          <w:w w:val="105"/>
        </w:rPr>
        <w:t>the</w:t>
      </w:r>
      <w:r w:rsidRPr="00387F26">
        <w:rPr>
          <w:rFonts w:cstheme="minorHAnsi"/>
          <w:color w:val="231F20"/>
          <w:spacing w:val="15"/>
          <w:w w:val="105"/>
        </w:rPr>
        <w:t xml:space="preserve"> </w:t>
      </w:r>
      <w:r w:rsidRPr="00387F26">
        <w:rPr>
          <w:rFonts w:cstheme="minorHAnsi"/>
          <w:color w:val="231F20"/>
          <w:w w:val="105"/>
        </w:rPr>
        <w:t>number</w:t>
      </w:r>
      <w:r w:rsidRPr="00387F26">
        <w:rPr>
          <w:rFonts w:cstheme="minorHAnsi"/>
          <w:color w:val="231F20"/>
          <w:spacing w:val="15"/>
          <w:w w:val="105"/>
        </w:rPr>
        <w:t xml:space="preserve"> </w:t>
      </w:r>
      <w:r w:rsidRPr="00387F26">
        <w:rPr>
          <w:rFonts w:cstheme="minorHAnsi"/>
          <w:color w:val="231F20"/>
          <w:w w:val="105"/>
        </w:rPr>
        <w:t>of</w:t>
      </w:r>
      <w:r w:rsidRPr="00387F26">
        <w:rPr>
          <w:rFonts w:cstheme="minorHAnsi"/>
          <w:color w:val="231F20"/>
          <w:spacing w:val="15"/>
          <w:w w:val="105"/>
        </w:rPr>
        <w:t xml:space="preserve"> </w:t>
      </w:r>
      <w:r w:rsidRPr="00387F26">
        <w:rPr>
          <w:rFonts w:cstheme="minorHAnsi"/>
          <w:color w:val="231F20"/>
          <w:w w:val="105"/>
        </w:rPr>
        <w:t>people</w:t>
      </w:r>
      <w:r w:rsidRPr="00387F26">
        <w:rPr>
          <w:rFonts w:cstheme="minorHAnsi"/>
          <w:color w:val="231F20"/>
          <w:spacing w:val="15"/>
          <w:w w:val="105"/>
        </w:rPr>
        <w:t xml:space="preserve"> </w:t>
      </w:r>
      <w:r w:rsidRPr="00387F26">
        <w:rPr>
          <w:rFonts w:cstheme="minorHAnsi"/>
          <w:color w:val="231F20"/>
          <w:w w:val="105"/>
        </w:rPr>
        <w:t>who require intensive</w:t>
      </w:r>
      <w:r w:rsidRPr="00387F26">
        <w:rPr>
          <w:rFonts w:cstheme="minorHAnsi"/>
          <w:color w:val="231F20"/>
          <w:spacing w:val="15"/>
          <w:w w:val="105"/>
        </w:rPr>
        <w:t xml:space="preserve"> </w:t>
      </w:r>
      <w:r w:rsidRPr="00387F26">
        <w:rPr>
          <w:rFonts w:cstheme="minorHAnsi"/>
          <w:color w:val="231F20"/>
          <w:w w:val="105"/>
        </w:rPr>
        <w:t>and</w:t>
      </w:r>
      <w:r w:rsidRPr="00387F26">
        <w:rPr>
          <w:rFonts w:cstheme="minorHAnsi"/>
          <w:color w:val="231F20"/>
          <w:spacing w:val="15"/>
          <w:w w:val="105"/>
        </w:rPr>
        <w:t xml:space="preserve"> </w:t>
      </w:r>
      <w:r w:rsidRPr="00387F26">
        <w:rPr>
          <w:rFonts w:cstheme="minorHAnsi"/>
          <w:color w:val="231F20"/>
          <w:w w:val="105"/>
        </w:rPr>
        <w:t>extended</w:t>
      </w:r>
      <w:r w:rsidRPr="00387F26">
        <w:rPr>
          <w:rFonts w:cstheme="minorHAnsi"/>
          <w:color w:val="231F20"/>
          <w:w w:val="108"/>
        </w:rPr>
        <w:t xml:space="preserve"> </w:t>
      </w:r>
      <w:r w:rsidRPr="00387F26">
        <w:rPr>
          <w:rFonts w:cstheme="minorHAnsi"/>
          <w:color w:val="231F20"/>
          <w:w w:val="105"/>
        </w:rPr>
        <w:t xml:space="preserve">services for each fiscal year. </w:t>
      </w:r>
      <w:r w:rsidRPr="00387F26">
        <w:rPr>
          <w:rFonts w:ascii="Calibri" w:hAnsi="Calibri"/>
          <w:color w:val="231F20"/>
          <w:w w:val="105"/>
        </w:rPr>
        <w:t>VR has added policy and procedures to fund extended services to youth 24 and under who do not have access to an alternative funding source.</w:t>
      </w:r>
    </w:p>
    <w:p w14:paraId="61BA2166" w14:textId="77777777" w:rsidR="00387F26" w:rsidRPr="00387F26" w:rsidRDefault="00387F26" w:rsidP="00D63204">
      <w:pPr>
        <w:pStyle w:val="ListParagraph"/>
        <w:widowControl w:val="0"/>
        <w:spacing w:before="197" w:after="0" w:line="240" w:lineRule="auto"/>
        <w:ind w:left="827"/>
        <w:outlineLvl w:val="2"/>
        <w:rPr>
          <w:rFonts w:ascii="Calibri" w:hAnsi="Calibri"/>
          <w:color w:val="231F20"/>
          <w:w w:val="105"/>
        </w:rPr>
      </w:pPr>
    </w:p>
    <w:p w14:paraId="66677229" w14:textId="7295F82D" w:rsidR="00387F26" w:rsidRPr="00387F26" w:rsidRDefault="00387F26" w:rsidP="00D63204">
      <w:pPr>
        <w:pStyle w:val="ListParagraph"/>
        <w:widowControl w:val="0"/>
        <w:numPr>
          <w:ilvl w:val="0"/>
          <w:numId w:val="86"/>
        </w:numPr>
        <w:spacing w:before="197" w:after="0" w:line="240" w:lineRule="auto"/>
        <w:outlineLvl w:val="2"/>
        <w:rPr>
          <w:rFonts w:cstheme="minorHAnsi"/>
        </w:rPr>
      </w:pPr>
      <w:r w:rsidRPr="00387F26">
        <w:rPr>
          <w:rFonts w:cstheme="minorHAnsi"/>
          <w:color w:val="231F20"/>
          <w:w w:val="105"/>
        </w:rPr>
        <w:t xml:space="preserve">Pilot innovative service models such as Individual Placement and Support (IPS) through peer specialists to provide more service options to individuals with severe and persistent mental illness. VR has entered into an Intensive Technical Assistance agreement with </w:t>
      </w:r>
      <w:bookmarkStart w:id="69" w:name="_Hlk507488579"/>
      <w:r w:rsidRPr="00387F26">
        <w:rPr>
          <w:rFonts w:cstheme="minorHAnsi"/>
          <w:color w:val="231F20"/>
          <w:w w:val="105"/>
        </w:rPr>
        <w:t xml:space="preserve">the Workforce Innovation Technical Assistance Center </w:t>
      </w:r>
      <w:bookmarkEnd w:id="69"/>
      <w:r w:rsidRPr="00387F26">
        <w:rPr>
          <w:rFonts w:cstheme="minorHAnsi"/>
          <w:color w:val="231F20"/>
          <w:w w:val="105"/>
        </w:rPr>
        <w:t xml:space="preserve">(WINTAC) to expand the VR self-advocacy service of Youth Peer Mentoring statewide. This collaboration will leverage agency resources to deliver training that would </w:t>
      </w:r>
      <w:r w:rsidR="00EE5EE8">
        <w:rPr>
          <w:rFonts w:cstheme="minorHAnsi"/>
          <w:color w:val="231F20"/>
          <w:w w:val="105"/>
        </w:rPr>
        <w:t>typically</w:t>
      </w:r>
      <w:r w:rsidRPr="00387F26">
        <w:rPr>
          <w:rFonts w:cstheme="minorHAnsi"/>
          <w:color w:val="231F20"/>
          <w:w w:val="105"/>
        </w:rPr>
        <w:t xml:space="preserve"> cost in excess of $40,000 if delivered using traditional methods. VR now offers Discovery and Customized Employment statewide and is increasing provider capacity to deliver these services. VR develop</w:t>
      </w:r>
      <w:r w:rsidR="00556B0E">
        <w:rPr>
          <w:rFonts w:cstheme="minorHAnsi"/>
          <w:color w:val="231F20"/>
          <w:w w:val="105"/>
        </w:rPr>
        <w:t>s</w:t>
      </w:r>
      <w:r w:rsidRPr="00387F26">
        <w:rPr>
          <w:rFonts w:cstheme="minorHAnsi"/>
          <w:color w:val="231F20"/>
          <w:w w:val="105"/>
        </w:rPr>
        <w:t xml:space="preserve"> agreements with and partner</w:t>
      </w:r>
      <w:r w:rsidR="00D900E4">
        <w:rPr>
          <w:rFonts w:cstheme="minorHAnsi"/>
          <w:color w:val="231F20"/>
          <w:w w:val="105"/>
        </w:rPr>
        <w:t>s</w:t>
      </w:r>
      <w:r w:rsidRPr="00387F26">
        <w:rPr>
          <w:rFonts w:cstheme="minorHAnsi"/>
          <w:color w:val="231F20"/>
          <w:w w:val="105"/>
        </w:rPr>
        <w:t xml:space="preserve"> with other agencies and organizations to provide customers more access to community resources.</w:t>
      </w:r>
    </w:p>
    <w:p w14:paraId="75C2EC38" w14:textId="77777777" w:rsidR="00387F26" w:rsidRPr="00387F26" w:rsidRDefault="00387F26" w:rsidP="00D63204">
      <w:pPr>
        <w:pStyle w:val="ListParagraph"/>
        <w:widowControl w:val="0"/>
        <w:spacing w:before="197" w:after="0" w:line="240" w:lineRule="auto"/>
        <w:ind w:left="827"/>
        <w:outlineLvl w:val="2"/>
        <w:rPr>
          <w:rFonts w:cstheme="minorHAnsi"/>
        </w:rPr>
      </w:pPr>
    </w:p>
    <w:p w14:paraId="18173B1C" w14:textId="0A6BB9AC" w:rsidR="00387F26" w:rsidRDefault="00387F26" w:rsidP="00D63204">
      <w:pPr>
        <w:pStyle w:val="ListParagraph"/>
        <w:widowControl w:val="0"/>
        <w:numPr>
          <w:ilvl w:val="0"/>
          <w:numId w:val="86"/>
        </w:numPr>
        <w:spacing w:before="197" w:after="0" w:line="240" w:lineRule="auto"/>
        <w:outlineLvl w:val="2"/>
        <w:rPr>
          <w:rFonts w:cstheme="minorHAnsi"/>
          <w:color w:val="231F20"/>
          <w:w w:val="105"/>
        </w:rPr>
      </w:pPr>
      <w:r w:rsidRPr="00387F26">
        <w:rPr>
          <w:rFonts w:cstheme="minorHAnsi"/>
          <w:color w:val="231F20"/>
          <w:w w:val="105"/>
        </w:rPr>
        <w:t>Fully implement a coordinated business relations program across core programs that includes leveraging community partnerships that engage and support Florida’s employers and increases access to employment and educational services.</w:t>
      </w:r>
    </w:p>
    <w:p w14:paraId="61BEC07E" w14:textId="77777777" w:rsidR="00387F26" w:rsidRPr="00387F26" w:rsidRDefault="00387F26" w:rsidP="00D63204">
      <w:pPr>
        <w:pStyle w:val="ListParagraph"/>
        <w:widowControl w:val="0"/>
        <w:spacing w:before="197" w:after="0" w:line="240" w:lineRule="auto"/>
        <w:ind w:left="827"/>
        <w:outlineLvl w:val="2"/>
        <w:rPr>
          <w:rFonts w:cstheme="minorHAnsi"/>
          <w:color w:val="231F20"/>
          <w:w w:val="105"/>
        </w:rPr>
      </w:pPr>
    </w:p>
    <w:p w14:paraId="5E07D13D" w14:textId="5349AC58" w:rsidR="00387F26" w:rsidRDefault="00387F26" w:rsidP="00D63204">
      <w:pPr>
        <w:pStyle w:val="ListParagraph"/>
        <w:widowControl w:val="0"/>
        <w:numPr>
          <w:ilvl w:val="0"/>
          <w:numId w:val="86"/>
        </w:numPr>
        <w:spacing w:before="197" w:after="0" w:line="240" w:lineRule="auto"/>
        <w:outlineLvl w:val="2"/>
        <w:rPr>
          <w:rFonts w:cstheme="minorHAnsi"/>
          <w:color w:val="231F20"/>
          <w:w w:val="105"/>
        </w:rPr>
      </w:pPr>
      <w:r w:rsidRPr="00181AC6">
        <w:rPr>
          <w:rFonts w:cstheme="minorHAnsi"/>
          <w:color w:val="231F20"/>
          <w:w w:val="105"/>
        </w:rPr>
        <w:t>Design and implement enhancements to the Vendor Profile document to assist customers in making informed choices about employment providers.</w:t>
      </w:r>
    </w:p>
    <w:p w14:paraId="6F85D3F4" w14:textId="77777777" w:rsidR="00181AC6" w:rsidRPr="00181AC6" w:rsidRDefault="00181AC6" w:rsidP="00181AC6">
      <w:pPr>
        <w:pStyle w:val="ListParagraph"/>
        <w:rPr>
          <w:rFonts w:cstheme="minorHAnsi"/>
          <w:color w:val="231F20"/>
          <w:w w:val="105"/>
        </w:rPr>
      </w:pPr>
    </w:p>
    <w:p w14:paraId="23171F2E" w14:textId="43F4421F" w:rsidR="00387F26" w:rsidRDefault="00387F26" w:rsidP="00D63204">
      <w:pPr>
        <w:pStyle w:val="ListParagraph"/>
        <w:widowControl w:val="0"/>
        <w:numPr>
          <w:ilvl w:val="0"/>
          <w:numId w:val="86"/>
        </w:numPr>
        <w:spacing w:before="197" w:after="0" w:line="240" w:lineRule="auto"/>
        <w:outlineLvl w:val="2"/>
        <w:rPr>
          <w:rFonts w:cstheme="minorHAnsi"/>
          <w:color w:val="231F20"/>
          <w:w w:val="105"/>
        </w:rPr>
      </w:pPr>
      <w:r w:rsidRPr="00387F26">
        <w:rPr>
          <w:rFonts w:cstheme="minorHAnsi"/>
          <w:color w:val="231F20"/>
          <w:w w:val="105"/>
        </w:rPr>
        <w:t xml:space="preserve">Establish casework quality assurance review practices to validate data entry; </w:t>
      </w:r>
      <w:r w:rsidR="002E5132">
        <w:rPr>
          <w:rFonts w:cstheme="minorHAnsi"/>
          <w:color w:val="231F20"/>
          <w:w w:val="105"/>
        </w:rPr>
        <w:t>c</w:t>
      </w:r>
      <w:r w:rsidRPr="00387F26">
        <w:rPr>
          <w:rFonts w:cstheme="minorHAnsi"/>
          <w:color w:val="231F20"/>
          <w:w w:val="105"/>
        </w:rPr>
        <w:t>ontinue data validation practices to detect errors prior to reporting.</w:t>
      </w:r>
    </w:p>
    <w:p w14:paraId="1A7EC4BC" w14:textId="77777777" w:rsidR="00387F26" w:rsidRPr="00387F26" w:rsidRDefault="00387F26" w:rsidP="00D63204">
      <w:pPr>
        <w:pStyle w:val="ListParagraph"/>
        <w:widowControl w:val="0"/>
        <w:spacing w:before="197" w:after="0" w:line="240" w:lineRule="auto"/>
        <w:ind w:left="827"/>
        <w:outlineLvl w:val="2"/>
        <w:rPr>
          <w:rFonts w:cstheme="minorHAnsi"/>
          <w:color w:val="231F20"/>
          <w:w w:val="105"/>
        </w:rPr>
      </w:pPr>
    </w:p>
    <w:p w14:paraId="5B7E865E" w14:textId="37DF6FA3" w:rsidR="00387F26" w:rsidRDefault="00387F26" w:rsidP="00D63204">
      <w:pPr>
        <w:pStyle w:val="ListParagraph"/>
        <w:widowControl w:val="0"/>
        <w:numPr>
          <w:ilvl w:val="0"/>
          <w:numId w:val="86"/>
        </w:numPr>
        <w:spacing w:before="197" w:after="0" w:line="240" w:lineRule="auto"/>
        <w:outlineLvl w:val="2"/>
        <w:rPr>
          <w:rFonts w:cstheme="minorHAnsi"/>
          <w:color w:val="231F20"/>
          <w:w w:val="105"/>
        </w:rPr>
      </w:pPr>
      <w:r w:rsidRPr="00387F26">
        <w:rPr>
          <w:rFonts w:cstheme="minorHAnsi"/>
          <w:color w:val="231F20"/>
          <w:w w:val="105"/>
        </w:rPr>
        <w:t>Share cross-referral outcomes.</w:t>
      </w:r>
    </w:p>
    <w:p w14:paraId="11CA8F6B" w14:textId="77777777" w:rsidR="00387F26" w:rsidRPr="00387F26" w:rsidRDefault="00387F26" w:rsidP="00F76D08">
      <w:pPr>
        <w:pStyle w:val="ListParagraph"/>
        <w:widowControl w:val="0"/>
        <w:spacing w:before="197" w:after="0" w:line="240" w:lineRule="auto"/>
        <w:ind w:left="827"/>
        <w:jc w:val="center"/>
        <w:outlineLvl w:val="2"/>
        <w:rPr>
          <w:rFonts w:cstheme="minorHAnsi"/>
          <w:color w:val="231F20"/>
          <w:w w:val="105"/>
        </w:rPr>
      </w:pPr>
    </w:p>
    <w:p w14:paraId="2E7B3069" w14:textId="2405AEF7" w:rsidR="00387F26" w:rsidRDefault="00387F26" w:rsidP="00D63204">
      <w:pPr>
        <w:pStyle w:val="ListParagraph"/>
        <w:widowControl w:val="0"/>
        <w:numPr>
          <w:ilvl w:val="0"/>
          <w:numId w:val="86"/>
        </w:numPr>
        <w:spacing w:before="197" w:after="0" w:line="240" w:lineRule="auto"/>
        <w:outlineLvl w:val="2"/>
        <w:rPr>
          <w:rFonts w:cstheme="minorHAnsi"/>
          <w:color w:val="231F20"/>
          <w:w w:val="105"/>
        </w:rPr>
      </w:pPr>
      <w:r w:rsidRPr="00387F26">
        <w:rPr>
          <w:rFonts w:cstheme="minorHAnsi"/>
          <w:color w:val="231F20"/>
          <w:w w:val="105"/>
        </w:rPr>
        <w:lastRenderedPageBreak/>
        <w:t xml:space="preserve">Educate potential employees who do not have a high school diploma (or equivalent) and whose English-speaking skills need improvement. By obtaining required education and skills for today’s workplace, welfare dependence will </w:t>
      </w:r>
      <w:r w:rsidR="002341D2" w:rsidRPr="00387F26">
        <w:rPr>
          <w:rFonts w:cstheme="minorHAnsi"/>
          <w:color w:val="231F20"/>
          <w:w w:val="105"/>
        </w:rPr>
        <w:t>decrease,</w:t>
      </w:r>
      <w:r w:rsidRPr="00387F26">
        <w:rPr>
          <w:rFonts w:cstheme="minorHAnsi"/>
          <w:color w:val="231F20"/>
          <w:w w:val="105"/>
        </w:rPr>
        <w:t xml:space="preserve"> and opportunities will increase for high-skill and high-wage careers.</w:t>
      </w:r>
    </w:p>
    <w:p w14:paraId="323D2E32" w14:textId="77777777" w:rsidR="00387F26" w:rsidRPr="00387F26" w:rsidRDefault="00387F26" w:rsidP="00D63204">
      <w:pPr>
        <w:pStyle w:val="ListParagraph"/>
        <w:widowControl w:val="0"/>
        <w:spacing w:before="197" w:after="0" w:line="240" w:lineRule="auto"/>
        <w:ind w:left="827"/>
        <w:outlineLvl w:val="2"/>
        <w:rPr>
          <w:rFonts w:cstheme="minorHAnsi"/>
          <w:color w:val="231F20"/>
          <w:w w:val="105"/>
        </w:rPr>
      </w:pPr>
    </w:p>
    <w:p w14:paraId="6F6ED92C" w14:textId="1F91FC3D" w:rsidR="00387F26" w:rsidRPr="00387F26" w:rsidRDefault="00387F26" w:rsidP="00D63204">
      <w:pPr>
        <w:pStyle w:val="ListParagraph"/>
        <w:widowControl w:val="0"/>
        <w:numPr>
          <w:ilvl w:val="0"/>
          <w:numId w:val="86"/>
        </w:numPr>
        <w:spacing w:before="197" w:after="0" w:line="240" w:lineRule="auto"/>
        <w:outlineLvl w:val="2"/>
        <w:rPr>
          <w:rFonts w:cstheme="minorHAnsi"/>
          <w:color w:val="231F20"/>
        </w:rPr>
      </w:pPr>
      <w:r w:rsidRPr="00387F26">
        <w:rPr>
          <w:rFonts w:cstheme="minorHAnsi"/>
          <w:color w:val="231F20"/>
          <w:w w:val="105"/>
        </w:rPr>
        <w:t xml:space="preserve">Continue efforts to </w:t>
      </w:r>
      <w:r w:rsidR="00AA31FF">
        <w:rPr>
          <w:rFonts w:cstheme="minorHAnsi"/>
          <w:color w:val="231F20"/>
          <w:w w:val="105"/>
        </w:rPr>
        <w:t>en</w:t>
      </w:r>
      <w:r w:rsidRPr="00387F26">
        <w:rPr>
          <w:rFonts w:cstheme="minorHAnsi"/>
          <w:color w:val="231F20"/>
          <w:w w:val="105"/>
        </w:rPr>
        <w:t>sure partners recognize and support VR’s role as the primary employment agency for all individuals with disabilities, including those with most significant disabilities. VR works closely as a member of the Statewide Employment First Interagency Committee, including the Department of Economic Opportunity, Agency for Persons with Disabilities, the Division of Blind Services, Bureau of Exceptional Education and Student Service, Department of Children and Families</w:t>
      </w:r>
      <w:r w:rsidR="001B386B">
        <w:rPr>
          <w:rFonts w:cstheme="minorHAnsi"/>
          <w:color w:val="231F20"/>
          <w:w w:val="105"/>
        </w:rPr>
        <w:t xml:space="preserve"> – </w:t>
      </w:r>
      <w:r w:rsidRPr="00387F26">
        <w:rPr>
          <w:rFonts w:cstheme="minorHAnsi"/>
          <w:color w:val="231F20"/>
          <w:w w:val="105"/>
        </w:rPr>
        <w:t>Mental Health, Florida Association of Rehabilitation Facilities, Florid</w:t>
      </w:r>
      <w:r w:rsidR="001A60FC">
        <w:rPr>
          <w:rFonts w:cstheme="minorHAnsi"/>
          <w:color w:val="231F20"/>
          <w:w w:val="105"/>
        </w:rPr>
        <w:t>a</w:t>
      </w:r>
      <w:r w:rsidRPr="00387F26">
        <w:rPr>
          <w:rFonts w:cstheme="minorHAnsi"/>
          <w:color w:val="231F20"/>
          <w:w w:val="105"/>
        </w:rPr>
        <w:t xml:space="preserve"> Developmental Disability Council</w:t>
      </w:r>
      <w:r w:rsidR="00D5537E">
        <w:rPr>
          <w:rFonts w:cstheme="minorHAnsi"/>
          <w:color w:val="231F20"/>
          <w:w w:val="105"/>
        </w:rPr>
        <w:t xml:space="preserve"> and</w:t>
      </w:r>
      <w:r w:rsidRPr="00387F26">
        <w:rPr>
          <w:rFonts w:cstheme="minorHAnsi"/>
          <w:color w:val="231F20"/>
          <w:w w:val="105"/>
        </w:rPr>
        <w:t xml:space="preserve"> </w:t>
      </w:r>
      <w:r w:rsidR="001B386B">
        <w:rPr>
          <w:rFonts w:cstheme="minorHAnsi"/>
          <w:color w:val="231F20"/>
          <w:w w:val="105"/>
        </w:rPr>
        <w:t>CareerSource</w:t>
      </w:r>
      <w:r w:rsidRPr="00387F26">
        <w:rPr>
          <w:rFonts w:cstheme="minorHAnsi"/>
          <w:color w:val="231F20"/>
          <w:w w:val="105"/>
        </w:rPr>
        <w:t xml:space="preserve"> Florida. This promotes the coordination and collaboration of services on a statewide basis.</w:t>
      </w:r>
      <w:bookmarkStart w:id="70" w:name="_Hlk501360633"/>
    </w:p>
    <w:p w14:paraId="2644D4CA" w14:textId="77777777" w:rsidR="00387F26" w:rsidRPr="00387F26" w:rsidRDefault="00387F26" w:rsidP="00D63204">
      <w:pPr>
        <w:pStyle w:val="ListParagraph"/>
        <w:widowControl w:val="0"/>
        <w:spacing w:before="197" w:after="0" w:line="240" w:lineRule="auto"/>
        <w:ind w:left="827"/>
        <w:outlineLvl w:val="2"/>
        <w:rPr>
          <w:rFonts w:cstheme="minorHAnsi"/>
          <w:color w:val="231F20"/>
        </w:rPr>
      </w:pPr>
    </w:p>
    <w:p w14:paraId="110BC9B6" w14:textId="2F61ECD1" w:rsidR="00387F26" w:rsidRDefault="00387F26" w:rsidP="00D63204">
      <w:pPr>
        <w:pStyle w:val="ListParagraph"/>
        <w:widowControl w:val="0"/>
        <w:numPr>
          <w:ilvl w:val="0"/>
          <w:numId w:val="86"/>
        </w:numPr>
        <w:spacing w:before="197" w:after="0" w:line="240" w:lineRule="auto"/>
        <w:outlineLvl w:val="2"/>
        <w:rPr>
          <w:rFonts w:cstheme="minorHAnsi"/>
          <w:color w:val="231F20"/>
          <w:w w:val="105"/>
        </w:rPr>
      </w:pPr>
      <w:r w:rsidRPr="00387F26">
        <w:rPr>
          <w:rFonts w:cstheme="minorHAnsi"/>
          <w:color w:val="231F20"/>
          <w:w w:val="105"/>
        </w:rPr>
        <w:t>Maximize the quality of supported employment service delivery, ensuring a comprehensive, continuous, efficient and effective referral process, individual program planning, coordination of intensive vocational services with extended services, information collection and dissemination, confidentiality</w:t>
      </w:r>
      <w:r w:rsidR="00D5537E">
        <w:rPr>
          <w:rFonts w:cstheme="minorHAnsi"/>
          <w:color w:val="231F20"/>
          <w:w w:val="105"/>
        </w:rPr>
        <w:t xml:space="preserve"> and</w:t>
      </w:r>
      <w:r w:rsidRPr="00387F26">
        <w:rPr>
          <w:rFonts w:cstheme="minorHAnsi"/>
          <w:color w:val="231F20"/>
          <w:w w:val="105"/>
        </w:rPr>
        <w:t xml:space="preserve"> technical assistance.</w:t>
      </w:r>
      <w:bookmarkEnd w:id="70"/>
    </w:p>
    <w:p w14:paraId="363E9984" w14:textId="77777777" w:rsidR="00387F26" w:rsidRPr="00387F26" w:rsidRDefault="00387F26" w:rsidP="00D63204">
      <w:pPr>
        <w:pStyle w:val="ListParagraph"/>
        <w:widowControl w:val="0"/>
        <w:spacing w:before="197" w:after="0" w:line="240" w:lineRule="auto"/>
        <w:ind w:left="827"/>
        <w:outlineLvl w:val="2"/>
        <w:rPr>
          <w:rFonts w:cstheme="minorHAnsi"/>
          <w:color w:val="231F20"/>
          <w:w w:val="105"/>
        </w:rPr>
      </w:pPr>
    </w:p>
    <w:p w14:paraId="742B000D" w14:textId="6EED3004" w:rsidR="00387F26" w:rsidRDefault="00387F26" w:rsidP="00D63204">
      <w:pPr>
        <w:pStyle w:val="ListParagraph"/>
        <w:widowControl w:val="0"/>
        <w:numPr>
          <w:ilvl w:val="0"/>
          <w:numId w:val="86"/>
        </w:numPr>
        <w:spacing w:before="197" w:after="0" w:line="240" w:lineRule="auto"/>
        <w:outlineLvl w:val="2"/>
        <w:rPr>
          <w:rFonts w:cstheme="minorHAnsi"/>
          <w:color w:val="231F20"/>
          <w:w w:val="105"/>
        </w:rPr>
      </w:pPr>
      <w:r w:rsidRPr="00387F26">
        <w:rPr>
          <w:rFonts w:cstheme="minorHAnsi"/>
          <w:color w:val="231F20"/>
          <w:w w:val="105"/>
        </w:rPr>
        <w:t>Provide Career Counseling Information and Referral Service for individuals participating in subminimum wage employment</w:t>
      </w:r>
      <w:r w:rsidR="005E7C49">
        <w:rPr>
          <w:rFonts w:cstheme="minorHAnsi"/>
          <w:color w:val="231F20"/>
          <w:w w:val="105"/>
        </w:rPr>
        <w:t xml:space="preserve">. </w:t>
      </w:r>
      <w:r w:rsidRPr="00387F26">
        <w:rPr>
          <w:rFonts w:cstheme="minorHAnsi"/>
          <w:color w:val="231F20"/>
          <w:w w:val="105"/>
        </w:rPr>
        <w:t>The curriculum provides opportunities to learn about employment and the variety of supports available to assist in the obtainment of successful employment. Youth 24 and under are now required to apply for VR services prior to seeking subminimum wage employment</w:t>
      </w:r>
      <w:r w:rsidR="005E7C49">
        <w:rPr>
          <w:rFonts w:cstheme="minorHAnsi"/>
          <w:color w:val="231F20"/>
          <w:w w:val="105"/>
        </w:rPr>
        <w:t xml:space="preserve">. </w:t>
      </w:r>
      <w:r w:rsidRPr="00387F26">
        <w:rPr>
          <w:rFonts w:cstheme="minorHAnsi"/>
          <w:color w:val="231F20"/>
          <w:w w:val="105"/>
        </w:rPr>
        <w:t>VR counselors provide an array of counseling and information services designed to support individuals seeking competitive integrated employment</w:t>
      </w:r>
      <w:r w:rsidR="005E7C49">
        <w:rPr>
          <w:rFonts w:cstheme="minorHAnsi"/>
          <w:color w:val="231F20"/>
          <w:w w:val="105"/>
        </w:rPr>
        <w:t xml:space="preserve">. </w:t>
      </w:r>
      <w:r w:rsidRPr="00387F26">
        <w:rPr>
          <w:rFonts w:cstheme="minorHAnsi"/>
          <w:color w:val="231F20"/>
          <w:w w:val="105"/>
        </w:rPr>
        <w:t>Policy has been updated to reflect these additional requirements found under WIOA.</w:t>
      </w:r>
    </w:p>
    <w:p w14:paraId="2CCDF681" w14:textId="77777777" w:rsidR="00387F26" w:rsidRPr="00387F26" w:rsidRDefault="00387F26" w:rsidP="00387F26">
      <w:pPr>
        <w:pStyle w:val="ListParagraph"/>
        <w:rPr>
          <w:rFonts w:cstheme="minorHAnsi"/>
          <w:color w:val="231F20"/>
          <w:w w:val="105"/>
        </w:rPr>
      </w:pPr>
    </w:p>
    <w:p w14:paraId="1C0B22BF" w14:textId="6CB25D76" w:rsidR="00387F26" w:rsidRDefault="00387F26" w:rsidP="00D63204">
      <w:pPr>
        <w:pStyle w:val="ListParagraph"/>
        <w:widowControl w:val="0"/>
        <w:numPr>
          <w:ilvl w:val="0"/>
          <w:numId w:val="86"/>
        </w:numPr>
        <w:spacing w:before="197" w:after="0" w:line="240" w:lineRule="auto"/>
        <w:outlineLvl w:val="2"/>
        <w:rPr>
          <w:rFonts w:cstheme="minorHAnsi"/>
          <w:color w:val="231F20"/>
          <w:w w:val="105"/>
        </w:rPr>
      </w:pPr>
      <w:r w:rsidRPr="00387F26">
        <w:rPr>
          <w:rFonts w:cstheme="minorHAnsi"/>
          <w:color w:val="231F20"/>
          <w:w w:val="105"/>
        </w:rPr>
        <w:t xml:space="preserve">VR </w:t>
      </w:r>
      <w:r w:rsidR="001A60FC">
        <w:rPr>
          <w:rFonts w:cstheme="minorHAnsi"/>
          <w:color w:val="231F20"/>
          <w:w w:val="105"/>
        </w:rPr>
        <w:t xml:space="preserve">continues to </w:t>
      </w:r>
      <w:r w:rsidRPr="000544F9">
        <w:rPr>
          <w:rFonts w:cstheme="minorHAnsi"/>
          <w:color w:val="231F20"/>
          <w:w w:val="105"/>
        </w:rPr>
        <w:t>expand TPCA and</w:t>
      </w:r>
      <w:r w:rsidRPr="00387F26">
        <w:rPr>
          <w:rFonts w:cstheme="minorHAnsi"/>
          <w:color w:val="231F20"/>
          <w:w w:val="105"/>
        </w:rPr>
        <w:t xml:space="preserve">/or similar </w:t>
      </w:r>
      <w:r w:rsidR="000544F9" w:rsidRPr="00387F26">
        <w:rPr>
          <w:rFonts w:cstheme="minorHAnsi"/>
          <w:color w:val="231F20"/>
          <w:w w:val="105"/>
        </w:rPr>
        <w:t>work-based</w:t>
      </w:r>
      <w:r w:rsidRPr="00387F26">
        <w:rPr>
          <w:rFonts w:cstheme="minorHAnsi"/>
          <w:color w:val="231F20"/>
          <w:w w:val="105"/>
        </w:rPr>
        <w:t xml:space="preserve"> experiences to all Florida school districts. Additional initiatives continue to increase provider and partner capacity to offer more opportunities for youth to explore careers and acquire work skills, including work readiness training delivered by CareerSource Florida </w:t>
      </w:r>
      <w:r w:rsidR="000544F9">
        <w:rPr>
          <w:rFonts w:cstheme="minorHAnsi"/>
          <w:color w:val="231F20"/>
          <w:w w:val="105"/>
        </w:rPr>
        <w:t>c</w:t>
      </w:r>
      <w:r w:rsidRPr="00387F26">
        <w:rPr>
          <w:rFonts w:cstheme="minorHAnsi"/>
          <w:color w:val="231F20"/>
          <w:w w:val="105"/>
        </w:rPr>
        <w:t>enters, revision of Certified Business Technical Assistance Consultant (CBTAC) recertification procedures</w:t>
      </w:r>
      <w:r w:rsidR="00D5537E">
        <w:rPr>
          <w:rFonts w:cstheme="minorHAnsi"/>
          <w:color w:val="231F20"/>
          <w:w w:val="105"/>
        </w:rPr>
        <w:t xml:space="preserve"> and</w:t>
      </w:r>
      <w:r w:rsidRPr="00387F26">
        <w:rPr>
          <w:rFonts w:cstheme="minorHAnsi"/>
          <w:color w:val="231F20"/>
          <w:w w:val="105"/>
        </w:rPr>
        <w:t xml:space="preserve"> increase CBTAC providers. VR </w:t>
      </w:r>
      <w:r w:rsidR="001A60FC">
        <w:rPr>
          <w:rFonts w:cstheme="minorHAnsi"/>
          <w:color w:val="231F20"/>
          <w:w w:val="105"/>
        </w:rPr>
        <w:t xml:space="preserve">also </w:t>
      </w:r>
      <w:r w:rsidRPr="00387F26">
        <w:rPr>
          <w:rFonts w:cstheme="minorHAnsi"/>
          <w:color w:val="231F20"/>
          <w:w w:val="105"/>
        </w:rPr>
        <w:t xml:space="preserve">collaborates with Volunteer Florida, Centers for Independent Living, The Arc of Florida and High School High Tech to increase </w:t>
      </w:r>
      <w:r w:rsidR="003A23DD" w:rsidRPr="00387F26">
        <w:rPr>
          <w:rFonts w:cstheme="minorHAnsi"/>
          <w:color w:val="231F20"/>
          <w:w w:val="105"/>
        </w:rPr>
        <w:t>community-based</w:t>
      </w:r>
      <w:r w:rsidRPr="00387F26">
        <w:rPr>
          <w:rFonts w:cstheme="minorHAnsi"/>
          <w:color w:val="231F20"/>
          <w:w w:val="105"/>
        </w:rPr>
        <w:t xml:space="preserve"> work experiences needed to develop employability and soft skills youth need to be competitive in a 21st century workforce.</w:t>
      </w:r>
    </w:p>
    <w:p w14:paraId="413A2513" w14:textId="77777777" w:rsidR="00387F26" w:rsidRPr="00387F26" w:rsidRDefault="00387F26" w:rsidP="00D63204">
      <w:pPr>
        <w:pStyle w:val="ListParagraph"/>
        <w:widowControl w:val="0"/>
        <w:spacing w:before="197" w:after="0" w:line="240" w:lineRule="auto"/>
        <w:ind w:left="827"/>
        <w:outlineLvl w:val="2"/>
        <w:rPr>
          <w:rFonts w:cstheme="minorHAnsi"/>
          <w:color w:val="231F20"/>
          <w:w w:val="105"/>
        </w:rPr>
      </w:pPr>
    </w:p>
    <w:p w14:paraId="38D7ED91" w14:textId="7709B09A" w:rsidR="00387F26" w:rsidRPr="00387F26" w:rsidRDefault="00387F26" w:rsidP="00D63204">
      <w:pPr>
        <w:pStyle w:val="ListParagraph"/>
        <w:widowControl w:val="0"/>
        <w:numPr>
          <w:ilvl w:val="0"/>
          <w:numId w:val="86"/>
        </w:numPr>
        <w:spacing w:before="197" w:after="0" w:line="240" w:lineRule="auto"/>
        <w:outlineLvl w:val="2"/>
        <w:rPr>
          <w:rFonts w:cstheme="minorHAnsi"/>
          <w:color w:val="231F20"/>
        </w:rPr>
      </w:pPr>
      <w:r w:rsidRPr="00387F26">
        <w:rPr>
          <w:rFonts w:cstheme="minorHAnsi"/>
          <w:color w:val="231F20"/>
          <w:w w:val="105"/>
        </w:rPr>
        <w:t>Develop a network of qualified benefits planners to augment the SSA contracts for WIPA services which will enable more VR customers who are ticketholders, youth</w:t>
      </w:r>
      <w:r w:rsidR="00D5537E">
        <w:rPr>
          <w:rFonts w:cstheme="minorHAnsi"/>
          <w:color w:val="231F20"/>
          <w:w w:val="105"/>
        </w:rPr>
        <w:t xml:space="preserve"> and</w:t>
      </w:r>
      <w:r w:rsidRPr="00387F26">
        <w:rPr>
          <w:rFonts w:cstheme="minorHAnsi"/>
          <w:color w:val="231F20"/>
          <w:w w:val="105"/>
        </w:rPr>
        <w:t xml:space="preserve"> SSI/</w:t>
      </w:r>
      <w:r w:rsidR="00436088">
        <w:rPr>
          <w:rFonts w:cstheme="minorHAnsi"/>
          <w:color w:val="231F20"/>
          <w:w w:val="105"/>
        </w:rPr>
        <w:t>Social Security Disability Insurance (</w:t>
      </w:r>
      <w:r w:rsidRPr="00436088">
        <w:rPr>
          <w:rFonts w:cstheme="minorHAnsi"/>
          <w:color w:val="231F20"/>
          <w:w w:val="105"/>
        </w:rPr>
        <w:t>SSDI</w:t>
      </w:r>
      <w:r w:rsidR="00436088">
        <w:rPr>
          <w:rFonts w:cstheme="minorHAnsi"/>
          <w:color w:val="231F20"/>
          <w:w w:val="105"/>
        </w:rPr>
        <w:t>)</w:t>
      </w:r>
      <w:r w:rsidRPr="00387F26">
        <w:rPr>
          <w:rFonts w:cstheme="minorHAnsi"/>
          <w:color w:val="231F20"/>
          <w:w w:val="105"/>
        </w:rPr>
        <w:t xml:space="preserve"> beneficiaries not yet working or ready to work, to be served.</w:t>
      </w:r>
    </w:p>
    <w:p w14:paraId="5965CF47" w14:textId="77777777" w:rsidR="00387F26" w:rsidRPr="00387F26" w:rsidRDefault="00387F26" w:rsidP="00D63204">
      <w:pPr>
        <w:pStyle w:val="ListParagraph"/>
        <w:widowControl w:val="0"/>
        <w:spacing w:before="197" w:after="0" w:line="240" w:lineRule="auto"/>
        <w:ind w:left="827"/>
        <w:outlineLvl w:val="2"/>
        <w:rPr>
          <w:rFonts w:cstheme="minorHAnsi"/>
          <w:color w:val="231F20"/>
        </w:rPr>
      </w:pPr>
    </w:p>
    <w:p w14:paraId="6088AC40" w14:textId="35FEF536" w:rsidR="000E65CF" w:rsidRDefault="00387F26" w:rsidP="00D63204">
      <w:pPr>
        <w:pStyle w:val="ListParagraph"/>
        <w:widowControl w:val="0"/>
        <w:numPr>
          <w:ilvl w:val="0"/>
          <w:numId w:val="86"/>
        </w:numPr>
        <w:spacing w:before="197" w:after="0" w:line="240" w:lineRule="auto"/>
        <w:outlineLvl w:val="2"/>
        <w:rPr>
          <w:rFonts w:cstheme="minorHAnsi"/>
          <w:color w:val="231F20"/>
          <w:w w:val="105"/>
        </w:rPr>
      </w:pPr>
      <w:r w:rsidRPr="00387F26">
        <w:rPr>
          <w:rFonts w:cstheme="minorHAnsi"/>
          <w:color w:val="231F20"/>
          <w:w w:val="105"/>
        </w:rPr>
        <w:t>Review pilot and innovative employment practices and assess the feasibility of replicating successful programs. Participate in developing a consortium of supported employment providers that identify, share</w:t>
      </w:r>
      <w:r w:rsidR="00D5537E">
        <w:rPr>
          <w:rFonts w:cstheme="minorHAnsi"/>
          <w:color w:val="231F20"/>
          <w:w w:val="105"/>
        </w:rPr>
        <w:t xml:space="preserve"> and</w:t>
      </w:r>
      <w:r w:rsidRPr="00387F26">
        <w:rPr>
          <w:rFonts w:cstheme="minorHAnsi"/>
          <w:color w:val="231F20"/>
          <w:w w:val="105"/>
        </w:rPr>
        <w:t xml:space="preserve"> promote innovative employment practices.</w:t>
      </w:r>
    </w:p>
    <w:p w14:paraId="49EDBC8D" w14:textId="77777777" w:rsidR="00B42A87" w:rsidRPr="00B42A87" w:rsidRDefault="00B42A87" w:rsidP="00B42A87">
      <w:pPr>
        <w:pStyle w:val="ListParagraph"/>
        <w:rPr>
          <w:rFonts w:cstheme="minorHAnsi"/>
          <w:color w:val="231F20"/>
          <w:w w:val="105"/>
        </w:rPr>
      </w:pPr>
    </w:p>
    <w:p w14:paraId="7A0905A4" w14:textId="77777777" w:rsidR="00B42A87" w:rsidRPr="00B42A87" w:rsidRDefault="00B42A87" w:rsidP="00B42A87">
      <w:pPr>
        <w:widowControl w:val="0"/>
        <w:spacing w:before="197" w:after="0" w:line="240" w:lineRule="auto"/>
        <w:outlineLvl w:val="2"/>
        <w:rPr>
          <w:rFonts w:cstheme="minorHAnsi"/>
          <w:color w:val="231F20"/>
          <w:w w:val="105"/>
        </w:rPr>
      </w:pPr>
    </w:p>
    <w:p w14:paraId="5D773EBC" w14:textId="206F75CD" w:rsidR="00EA7458" w:rsidRPr="00503CE8" w:rsidRDefault="00EA7458" w:rsidP="00D63204">
      <w:pPr>
        <w:pStyle w:val="ListParagraph"/>
        <w:widowControl w:val="0"/>
        <w:numPr>
          <w:ilvl w:val="0"/>
          <w:numId w:val="167"/>
        </w:numPr>
        <w:tabs>
          <w:tab w:val="left" w:pos="2268"/>
        </w:tabs>
        <w:spacing w:before="181" w:after="0" w:line="240" w:lineRule="auto"/>
        <w:rPr>
          <w:rFonts w:cstheme="minorHAnsi"/>
        </w:rPr>
      </w:pPr>
      <w:r w:rsidRPr="00503CE8">
        <w:rPr>
          <w:rFonts w:cstheme="minorHAnsi"/>
          <w:color w:val="295CA3"/>
          <w:w w:val="105"/>
        </w:rPr>
        <w:lastRenderedPageBreak/>
        <w:t>Alignment with Activities Outside the</w:t>
      </w:r>
      <w:r w:rsidRPr="00503CE8">
        <w:rPr>
          <w:rFonts w:cstheme="minorHAnsi"/>
          <w:color w:val="295CA3"/>
          <w:spacing w:val="24"/>
          <w:w w:val="105"/>
        </w:rPr>
        <w:t xml:space="preserve"> </w:t>
      </w:r>
      <w:r w:rsidRPr="00503CE8">
        <w:rPr>
          <w:rFonts w:cstheme="minorHAnsi"/>
          <w:color w:val="295CA3"/>
          <w:w w:val="105"/>
        </w:rPr>
        <w:t>Plan</w:t>
      </w:r>
    </w:p>
    <w:p w14:paraId="6B4168C2" w14:textId="59A86498" w:rsidR="0008388C" w:rsidRPr="0008388C" w:rsidRDefault="0008388C" w:rsidP="00D63204">
      <w:pPr>
        <w:widowControl w:val="0"/>
        <w:spacing w:before="195" w:after="0" w:line="266" w:lineRule="exact"/>
        <w:ind w:left="107"/>
        <w:outlineLvl w:val="2"/>
        <w:rPr>
          <w:rFonts w:cstheme="minorHAnsi"/>
        </w:rPr>
      </w:pPr>
      <w:r w:rsidRPr="0008388C">
        <w:rPr>
          <w:rFonts w:cstheme="minorHAnsi"/>
          <w:b/>
          <w:bCs/>
          <w:color w:val="231F20"/>
          <w:w w:val="110"/>
        </w:rPr>
        <w:t>Enhancing Partner</w:t>
      </w:r>
      <w:r w:rsidRPr="0008388C">
        <w:rPr>
          <w:rFonts w:cstheme="minorHAnsi"/>
          <w:b/>
          <w:bCs/>
          <w:color w:val="231F20"/>
          <w:spacing w:val="-22"/>
          <w:w w:val="110"/>
        </w:rPr>
        <w:t xml:space="preserve"> </w:t>
      </w:r>
      <w:r w:rsidRPr="0008388C">
        <w:rPr>
          <w:rFonts w:cstheme="minorHAnsi"/>
          <w:b/>
          <w:bCs/>
          <w:color w:val="231F20"/>
          <w:w w:val="110"/>
        </w:rPr>
        <w:t>Collaboration</w:t>
      </w:r>
    </w:p>
    <w:p w14:paraId="475CBB82" w14:textId="1111F59B" w:rsidR="0008388C" w:rsidRPr="00856ADA" w:rsidRDefault="0008388C" w:rsidP="00D63204">
      <w:pPr>
        <w:widowControl w:val="0"/>
        <w:spacing w:before="2" w:after="0" w:line="235" w:lineRule="auto"/>
        <w:ind w:left="107"/>
        <w:rPr>
          <w:rFonts w:cstheme="minorHAnsi"/>
          <w:color w:val="231F20"/>
          <w:w w:val="105"/>
        </w:rPr>
      </w:pPr>
      <w:r w:rsidRPr="0008388C">
        <w:rPr>
          <w:rFonts w:cstheme="minorHAnsi"/>
          <w:color w:val="231F20"/>
          <w:w w:val="105"/>
        </w:rPr>
        <w:t xml:space="preserve">The Florida </w:t>
      </w:r>
      <w:r w:rsidRPr="00856ADA">
        <w:rPr>
          <w:rFonts w:cstheme="minorHAnsi"/>
          <w:color w:val="231F20"/>
          <w:w w:val="105"/>
        </w:rPr>
        <w:t xml:space="preserve">WIOA Task </w:t>
      </w:r>
      <w:r w:rsidRPr="0008388C">
        <w:rPr>
          <w:rFonts w:cstheme="minorHAnsi"/>
          <w:color w:val="231F20"/>
          <w:w w:val="105"/>
        </w:rPr>
        <w:t>Force recommended state board membership be offered to the Florida Department</w:t>
      </w:r>
      <w:r w:rsidRPr="00856ADA">
        <w:rPr>
          <w:rFonts w:cstheme="minorHAnsi"/>
          <w:color w:val="231F20"/>
          <w:w w:val="105"/>
        </w:rPr>
        <w:t xml:space="preserve"> </w:t>
      </w:r>
      <w:r w:rsidRPr="0008388C">
        <w:rPr>
          <w:rFonts w:cstheme="minorHAnsi"/>
          <w:color w:val="231F20"/>
          <w:w w:val="105"/>
        </w:rPr>
        <w:t>of</w:t>
      </w:r>
      <w:r w:rsidRPr="00856ADA">
        <w:rPr>
          <w:rFonts w:cstheme="minorHAnsi"/>
          <w:color w:val="231F20"/>
          <w:w w:val="105"/>
        </w:rPr>
        <w:t xml:space="preserve"> </w:t>
      </w:r>
      <w:r w:rsidRPr="0008388C">
        <w:rPr>
          <w:rFonts w:cstheme="minorHAnsi"/>
          <w:color w:val="231F20"/>
          <w:w w:val="105"/>
        </w:rPr>
        <w:t>Corrections,</w:t>
      </w:r>
      <w:r w:rsidRPr="00856ADA">
        <w:rPr>
          <w:rFonts w:cstheme="minorHAnsi"/>
          <w:color w:val="231F20"/>
          <w:w w:val="105"/>
        </w:rPr>
        <w:t xml:space="preserve"> </w:t>
      </w:r>
      <w:r w:rsidRPr="0008388C">
        <w:rPr>
          <w:rFonts w:cstheme="minorHAnsi"/>
          <w:color w:val="231F20"/>
          <w:w w:val="105"/>
        </w:rPr>
        <w:t>the</w:t>
      </w:r>
      <w:r w:rsidRPr="00856ADA">
        <w:rPr>
          <w:rFonts w:cstheme="minorHAnsi"/>
          <w:color w:val="231F20"/>
          <w:w w:val="105"/>
        </w:rPr>
        <w:t xml:space="preserve"> </w:t>
      </w:r>
      <w:r w:rsidRPr="0008388C">
        <w:rPr>
          <w:rFonts w:cstheme="minorHAnsi"/>
          <w:color w:val="231F20"/>
          <w:w w:val="105"/>
        </w:rPr>
        <w:t>Florida</w:t>
      </w:r>
      <w:r w:rsidRPr="00856ADA">
        <w:rPr>
          <w:rFonts w:cstheme="minorHAnsi"/>
          <w:color w:val="231F20"/>
          <w:w w:val="105"/>
        </w:rPr>
        <w:t xml:space="preserve"> </w:t>
      </w:r>
      <w:r w:rsidRPr="0008388C">
        <w:rPr>
          <w:rFonts w:cstheme="minorHAnsi"/>
          <w:color w:val="231F20"/>
          <w:w w:val="105"/>
        </w:rPr>
        <w:t>Agency</w:t>
      </w:r>
      <w:r w:rsidRPr="00856ADA">
        <w:rPr>
          <w:rFonts w:cstheme="minorHAnsi"/>
          <w:color w:val="231F20"/>
          <w:w w:val="105"/>
        </w:rPr>
        <w:t xml:space="preserve"> </w:t>
      </w:r>
      <w:r w:rsidRPr="0008388C">
        <w:rPr>
          <w:rFonts w:cstheme="minorHAnsi"/>
          <w:color w:val="231F20"/>
          <w:w w:val="105"/>
        </w:rPr>
        <w:t>for Persons with Disabilities,</w:t>
      </w:r>
      <w:r w:rsidRPr="00856ADA">
        <w:rPr>
          <w:rFonts w:cstheme="minorHAnsi"/>
          <w:color w:val="231F20"/>
          <w:w w:val="105"/>
        </w:rPr>
        <w:t xml:space="preserve"> </w:t>
      </w:r>
      <w:r w:rsidRPr="0008388C">
        <w:rPr>
          <w:rFonts w:cstheme="minorHAnsi"/>
          <w:color w:val="231F20"/>
          <w:w w:val="105"/>
        </w:rPr>
        <w:t>the</w:t>
      </w:r>
      <w:r w:rsidRPr="00856ADA">
        <w:rPr>
          <w:rFonts w:cstheme="minorHAnsi"/>
          <w:color w:val="231F20"/>
          <w:w w:val="105"/>
        </w:rPr>
        <w:t xml:space="preserve"> </w:t>
      </w:r>
      <w:r w:rsidRPr="0008388C">
        <w:rPr>
          <w:rFonts w:cstheme="minorHAnsi"/>
          <w:color w:val="231F20"/>
          <w:w w:val="105"/>
        </w:rPr>
        <w:t>Florida</w:t>
      </w:r>
      <w:r w:rsidRPr="00856ADA">
        <w:rPr>
          <w:rFonts w:cstheme="minorHAnsi"/>
          <w:color w:val="231F20"/>
          <w:w w:val="105"/>
        </w:rPr>
        <w:t xml:space="preserve"> </w:t>
      </w:r>
      <w:r w:rsidRPr="0008388C">
        <w:rPr>
          <w:rFonts w:cstheme="minorHAnsi"/>
          <w:color w:val="231F20"/>
          <w:w w:val="105"/>
        </w:rPr>
        <w:t>Small</w:t>
      </w:r>
      <w:r w:rsidRPr="00856ADA">
        <w:rPr>
          <w:rFonts w:cstheme="minorHAnsi"/>
          <w:color w:val="231F20"/>
          <w:w w:val="105"/>
        </w:rPr>
        <w:t xml:space="preserve"> </w:t>
      </w:r>
      <w:r w:rsidRPr="0008388C">
        <w:rPr>
          <w:rFonts w:cstheme="minorHAnsi"/>
          <w:color w:val="231F20"/>
          <w:w w:val="105"/>
        </w:rPr>
        <w:t>Business</w:t>
      </w:r>
      <w:r w:rsidRPr="00856ADA">
        <w:rPr>
          <w:rFonts w:cstheme="minorHAnsi"/>
          <w:color w:val="231F20"/>
          <w:w w:val="105"/>
        </w:rPr>
        <w:t xml:space="preserve"> </w:t>
      </w:r>
      <w:r w:rsidRPr="0008388C">
        <w:rPr>
          <w:rFonts w:cstheme="minorHAnsi"/>
          <w:color w:val="231F20"/>
          <w:w w:val="105"/>
        </w:rPr>
        <w:t>Development Center Network</w:t>
      </w:r>
      <w:r w:rsidR="00D5537E">
        <w:rPr>
          <w:rFonts w:cstheme="minorHAnsi"/>
          <w:color w:val="231F20"/>
          <w:w w:val="105"/>
        </w:rPr>
        <w:t xml:space="preserve"> and</w:t>
      </w:r>
      <w:r w:rsidRPr="0008388C">
        <w:rPr>
          <w:rFonts w:cstheme="minorHAnsi"/>
          <w:color w:val="231F20"/>
          <w:w w:val="105"/>
        </w:rPr>
        <w:t xml:space="preserve"> Enterprise Florida, the state’s primary economic development</w:t>
      </w:r>
      <w:r w:rsidRPr="00856ADA">
        <w:rPr>
          <w:rFonts w:cstheme="minorHAnsi"/>
          <w:color w:val="231F20"/>
          <w:w w:val="105"/>
        </w:rPr>
        <w:t xml:space="preserve"> </w:t>
      </w:r>
      <w:r w:rsidRPr="0008388C">
        <w:rPr>
          <w:rFonts w:cstheme="minorHAnsi"/>
          <w:color w:val="231F20"/>
          <w:w w:val="105"/>
        </w:rPr>
        <w:t>organization.</w:t>
      </w:r>
      <w:r w:rsidRPr="00856ADA">
        <w:rPr>
          <w:rFonts w:cstheme="minorHAnsi"/>
          <w:color w:val="231F20"/>
          <w:w w:val="105"/>
        </w:rPr>
        <w:t xml:space="preserve"> </w:t>
      </w:r>
    </w:p>
    <w:p w14:paraId="4B924CC2" w14:textId="77777777" w:rsidR="0008388C" w:rsidRPr="0008388C" w:rsidRDefault="0008388C" w:rsidP="00D63204">
      <w:pPr>
        <w:widowControl w:val="0"/>
        <w:spacing w:before="2" w:after="0" w:line="235" w:lineRule="auto"/>
        <w:ind w:left="107"/>
        <w:rPr>
          <w:rFonts w:cstheme="minorHAnsi"/>
          <w:color w:val="231F20"/>
          <w:w w:val="105"/>
        </w:rPr>
      </w:pPr>
    </w:p>
    <w:p w14:paraId="469782D9" w14:textId="32222E76" w:rsidR="0008388C" w:rsidRPr="0008388C" w:rsidRDefault="0008388C" w:rsidP="00856ADA">
      <w:pPr>
        <w:widowControl w:val="0"/>
        <w:spacing w:before="2" w:after="0" w:line="240" w:lineRule="auto"/>
        <w:ind w:left="107"/>
        <w:rPr>
          <w:rFonts w:cstheme="minorHAnsi"/>
          <w:color w:val="231F20"/>
          <w:w w:val="105"/>
        </w:rPr>
      </w:pPr>
      <w:r w:rsidRPr="0008388C">
        <w:rPr>
          <w:rFonts w:cstheme="minorHAnsi"/>
          <w:color w:val="231F20"/>
          <w:w w:val="105"/>
        </w:rPr>
        <w:t xml:space="preserve">A </w:t>
      </w:r>
      <w:r w:rsidR="00423F23">
        <w:rPr>
          <w:rFonts w:cstheme="minorHAnsi"/>
          <w:color w:val="231F20"/>
          <w:w w:val="105"/>
        </w:rPr>
        <w:t>u</w:t>
      </w:r>
      <w:r w:rsidRPr="0008388C">
        <w:rPr>
          <w:rFonts w:cstheme="minorHAnsi"/>
          <w:color w:val="231F20"/>
          <w:w w:val="105"/>
        </w:rPr>
        <w:t xml:space="preserve">nified </w:t>
      </w:r>
      <w:r w:rsidR="00423F23">
        <w:rPr>
          <w:rFonts w:cstheme="minorHAnsi"/>
          <w:color w:val="231F20"/>
          <w:w w:val="105"/>
        </w:rPr>
        <w:t>p</w:t>
      </w:r>
      <w:r w:rsidRPr="0008388C">
        <w:rPr>
          <w:rFonts w:cstheme="minorHAnsi"/>
          <w:color w:val="231F20"/>
          <w:w w:val="105"/>
        </w:rPr>
        <w:t>lan approach was selected for the first plan submitted under WIOA. This plan includes required core partners: CareerSource Florida, the Department of Economic Opportunity, the Department of Education, the Division of Vocational Rehabilitation, Division of Blind Services</w:t>
      </w:r>
      <w:r w:rsidR="00D5537E">
        <w:rPr>
          <w:rFonts w:cstheme="minorHAnsi"/>
          <w:color w:val="231F20"/>
          <w:w w:val="105"/>
        </w:rPr>
        <w:t xml:space="preserve"> and</w:t>
      </w:r>
      <w:r w:rsidRPr="0008388C">
        <w:rPr>
          <w:rFonts w:cstheme="minorHAnsi"/>
          <w:color w:val="231F20"/>
          <w:w w:val="105"/>
        </w:rPr>
        <w:t xml:space="preserve"> Career and Adult Education. Florida has built on the collaboration established through the WIOA Task Force, the WIOA Core Leader Team</w:t>
      </w:r>
      <w:r w:rsidR="00D5537E">
        <w:rPr>
          <w:rFonts w:cstheme="minorHAnsi"/>
          <w:color w:val="231F20"/>
          <w:w w:val="105"/>
        </w:rPr>
        <w:t xml:space="preserve"> and</w:t>
      </w:r>
      <w:r w:rsidRPr="0008388C">
        <w:rPr>
          <w:rFonts w:cstheme="minorHAnsi"/>
          <w:color w:val="231F20"/>
          <w:w w:val="105"/>
        </w:rPr>
        <w:t xml:space="preserve"> smaller workgroups by involving other programs and organizations as needed in workforce system updates and by identifying opportunities for partnerships. </w:t>
      </w:r>
    </w:p>
    <w:p w14:paraId="3D83868A" w14:textId="77777777" w:rsidR="0008388C" w:rsidRPr="0008388C" w:rsidRDefault="0008388C" w:rsidP="00856ADA">
      <w:pPr>
        <w:widowControl w:val="0"/>
        <w:spacing w:before="2" w:after="0" w:line="240" w:lineRule="auto"/>
        <w:ind w:left="107"/>
        <w:rPr>
          <w:rFonts w:cstheme="minorHAnsi"/>
          <w:color w:val="231F20"/>
          <w:w w:val="105"/>
        </w:rPr>
      </w:pPr>
    </w:p>
    <w:p w14:paraId="4FA24E61" w14:textId="2561A9F7" w:rsidR="0008388C" w:rsidRPr="0008388C" w:rsidRDefault="0008388C" w:rsidP="00856ADA">
      <w:pPr>
        <w:widowControl w:val="0"/>
        <w:spacing w:before="2" w:after="0" w:line="240" w:lineRule="auto"/>
        <w:ind w:left="107"/>
        <w:rPr>
          <w:rFonts w:cstheme="minorHAnsi"/>
          <w:color w:val="231F20"/>
        </w:rPr>
      </w:pPr>
      <w:r w:rsidRPr="0008388C">
        <w:rPr>
          <w:rFonts w:cstheme="minorHAnsi"/>
          <w:color w:val="231F20"/>
          <w:w w:val="105"/>
        </w:rPr>
        <w:t xml:space="preserve">This allowed Florida to be deliberate and thorough in its strategic planning efforts across programs while creating the foundation for a combined plan approach. </w:t>
      </w:r>
    </w:p>
    <w:p w14:paraId="20A5C5F8" w14:textId="77777777" w:rsidR="0008388C" w:rsidRPr="0008388C" w:rsidRDefault="0008388C" w:rsidP="00D63204">
      <w:pPr>
        <w:widowControl w:val="0"/>
        <w:spacing w:before="2" w:after="0" w:line="240" w:lineRule="auto"/>
        <w:ind w:left="107"/>
        <w:rPr>
          <w:rFonts w:cstheme="minorHAnsi"/>
          <w:b/>
          <w:bCs/>
        </w:rPr>
      </w:pPr>
    </w:p>
    <w:p w14:paraId="12A86FB2" w14:textId="77777777" w:rsidR="0008388C" w:rsidRPr="0008388C" w:rsidRDefault="0008388C" w:rsidP="00D63204">
      <w:pPr>
        <w:widowControl w:val="0"/>
        <w:spacing w:before="2" w:after="0" w:line="240" w:lineRule="auto"/>
        <w:ind w:left="107"/>
        <w:rPr>
          <w:rFonts w:cstheme="minorHAnsi"/>
          <w:b/>
          <w:bCs/>
        </w:rPr>
      </w:pPr>
      <w:r w:rsidRPr="0008388C">
        <w:rPr>
          <w:rFonts w:cstheme="minorHAnsi"/>
          <w:b/>
          <w:bCs/>
        </w:rPr>
        <w:t>Stakeholders Workgroup and Combined Planning Elements</w:t>
      </w:r>
    </w:p>
    <w:p w14:paraId="62D1C6C5" w14:textId="7ED25472" w:rsidR="0008388C" w:rsidRPr="0008388C" w:rsidRDefault="0008388C" w:rsidP="00D63204">
      <w:pPr>
        <w:widowControl w:val="0"/>
        <w:spacing w:before="2" w:after="0" w:line="235" w:lineRule="auto"/>
        <w:ind w:left="107"/>
        <w:rPr>
          <w:rFonts w:cstheme="minorHAnsi"/>
          <w:color w:val="231F20"/>
          <w:w w:val="105"/>
        </w:rPr>
      </w:pPr>
      <w:r w:rsidRPr="0008388C">
        <w:rPr>
          <w:rFonts w:cstheme="minorHAnsi"/>
          <w:color w:val="231F20"/>
          <w:w w:val="105"/>
        </w:rPr>
        <w:t>Enhanced relationships and collaboration</w:t>
      </w:r>
      <w:r w:rsidR="0099774A">
        <w:rPr>
          <w:rFonts w:cstheme="minorHAnsi"/>
          <w:color w:val="231F20"/>
          <w:w w:val="105"/>
        </w:rPr>
        <w:t xml:space="preserve"> are</w:t>
      </w:r>
      <w:r w:rsidRPr="0008388C">
        <w:rPr>
          <w:rFonts w:cstheme="minorHAnsi"/>
          <w:color w:val="231F20"/>
          <w:w w:val="105"/>
        </w:rPr>
        <w:t xml:space="preserve"> underway with non-core partners including the Florida </w:t>
      </w:r>
      <w:r w:rsidR="00EE2B1E">
        <w:rPr>
          <w:rFonts w:cstheme="minorHAnsi"/>
          <w:color w:val="231F20"/>
          <w:w w:val="105"/>
        </w:rPr>
        <w:t xml:space="preserve">Department of Education – </w:t>
      </w:r>
      <w:r w:rsidRPr="0008388C">
        <w:rPr>
          <w:rFonts w:cstheme="minorHAnsi"/>
          <w:color w:val="231F20"/>
          <w:w w:val="105"/>
        </w:rPr>
        <w:t>Office of Apprenticeships, the Florida Department of Corrections, the Florida Department of Children and Families, the Florida Agency for Persons with Disabilities, the Florida Department of Elder Affairs, Enterprise Florida</w:t>
      </w:r>
      <w:r w:rsidR="00D5537E">
        <w:rPr>
          <w:rFonts w:cstheme="minorHAnsi"/>
          <w:color w:val="231F20"/>
          <w:w w:val="105"/>
        </w:rPr>
        <w:t xml:space="preserve"> and</w:t>
      </w:r>
      <w:r w:rsidRPr="0008388C">
        <w:rPr>
          <w:rFonts w:cstheme="minorHAnsi"/>
          <w:color w:val="231F20"/>
          <w:w w:val="105"/>
        </w:rPr>
        <w:t xml:space="preserve"> the Community Services Block Grant Program. It is recommended by the CareerSource Florida and Department of Economic Opportunity Policy and Performance Team that a workgroup be convened to discuss benefits and implementation of a combined plan. The workgroup may consist of core partners, leadership and staff of the Community Services Block Grant Program, Community Action Agencies, </w:t>
      </w:r>
      <w:r w:rsidR="0099774A">
        <w:rPr>
          <w:rFonts w:cstheme="minorHAnsi"/>
          <w:color w:val="231F20"/>
          <w:w w:val="105"/>
        </w:rPr>
        <w:t>l</w:t>
      </w:r>
      <w:r w:rsidRPr="0008388C">
        <w:rPr>
          <w:rFonts w:cstheme="minorHAnsi"/>
          <w:color w:val="231F20"/>
          <w:w w:val="105"/>
        </w:rPr>
        <w:t xml:space="preserve">ocal </w:t>
      </w:r>
      <w:r w:rsidR="0099774A">
        <w:rPr>
          <w:rFonts w:cstheme="minorHAnsi"/>
          <w:color w:val="231F20"/>
          <w:w w:val="105"/>
        </w:rPr>
        <w:t>w</w:t>
      </w:r>
      <w:r w:rsidRPr="0008388C">
        <w:rPr>
          <w:rFonts w:cstheme="minorHAnsi"/>
          <w:color w:val="231F20"/>
          <w:w w:val="105"/>
        </w:rPr>
        <w:t xml:space="preserve">orkforce </w:t>
      </w:r>
      <w:r w:rsidR="0099774A">
        <w:rPr>
          <w:rFonts w:cstheme="minorHAnsi"/>
          <w:color w:val="231F20"/>
          <w:w w:val="105"/>
        </w:rPr>
        <w:t>d</w:t>
      </w:r>
      <w:r w:rsidRPr="0008388C">
        <w:rPr>
          <w:rFonts w:cstheme="minorHAnsi"/>
          <w:color w:val="231F20"/>
          <w:w w:val="105"/>
        </w:rPr>
        <w:t xml:space="preserve">evelopment </w:t>
      </w:r>
      <w:r w:rsidR="0099774A">
        <w:rPr>
          <w:rFonts w:cstheme="minorHAnsi"/>
          <w:color w:val="231F20"/>
          <w:w w:val="105"/>
        </w:rPr>
        <w:t>b</w:t>
      </w:r>
      <w:r w:rsidRPr="0008388C">
        <w:rPr>
          <w:rFonts w:cstheme="minorHAnsi"/>
          <w:color w:val="231F20"/>
          <w:w w:val="105"/>
        </w:rPr>
        <w:t xml:space="preserve">oard members, </w:t>
      </w:r>
      <w:r w:rsidR="0043597D">
        <w:rPr>
          <w:rFonts w:cstheme="minorHAnsi"/>
          <w:color w:val="231F20"/>
          <w:w w:val="105"/>
        </w:rPr>
        <w:t>l</w:t>
      </w:r>
      <w:r w:rsidRPr="0008388C">
        <w:rPr>
          <w:rFonts w:cstheme="minorHAnsi"/>
          <w:color w:val="231F20"/>
          <w:w w:val="105"/>
        </w:rPr>
        <w:t xml:space="preserve">ocal </w:t>
      </w:r>
      <w:r w:rsidR="0043597D">
        <w:rPr>
          <w:rFonts w:cstheme="minorHAnsi"/>
          <w:color w:val="231F20"/>
          <w:w w:val="105"/>
        </w:rPr>
        <w:t>a</w:t>
      </w:r>
      <w:r w:rsidRPr="0008388C">
        <w:rPr>
          <w:rFonts w:cstheme="minorHAnsi"/>
          <w:color w:val="231F20"/>
          <w:w w:val="105"/>
        </w:rPr>
        <w:t xml:space="preserve">rea </w:t>
      </w:r>
      <w:r w:rsidR="0043597D">
        <w:rPr>
          <w:rFonts w:cstheme="minorHAnsi"/>
          <w:color w:val="231F20"/>
          <w:w w:val="105"/>
        </w:rPr>
        <w:t>e</w:t>
      </w:r>
      <w:r w:rsidRPr="0008388C">
        <w:rPr>
          <w:rFonts w:cstheme="minorHAnsi"/>
          <w:color w:val="231F20"/>
          <w:w w:val="105"/>
        </w:rPr>
        <w:t xml:space="preserve">xecutive </w:t>
      </w:r>
      <w:r w:rsidR="0043597D">
        <w:rPr>
          <w:rFonts w:cstheme="minorHAnsi"/>
          <w:color w:val="231F20"/>
          <w:w w:val="105"/>
        </w:rPr>
        <w:t>d</w:t>
      </w:r>
      <w:r w:rsidRPr="0008388C">
        <w:rPr>
          <w:rFonts w:cstheme="minorHAnsi"/>
          <w:color w:val="231F20"/>
          <w:w w:val="105"/>
        </w:rPr>
        <w:t>irectors and other stakeholders as necessary. The scope of this workgroup will be centered on making suggestions and obtaining feedback on resources, logistics, strategic policy, operational policy</w:t>
      </w:r>
      <w:r w:rsidR="00D5537E">
        <w:rPr>
          <w:rFonts w:cstheme="minorHAnsi"/>
          <w:color w:val="231F20"/>
          <w:w w:val="105"/>
        </w:rPr>
        <w:t xml:space="preserve"> and</w:t>
      </w:r>
      <w:r w:rsidRPr="0008388C">
        <w:rPr>
          <w:rFonts w:cstheme="minorHAnsi"/>
          <w:color w:val="231F20"/>
          <w:w w:val="105"/>
        </w:rPr>
        <w:t xml:space="preserve"> other foundational aspects associated with including the Community Services Block Grant Program (or other combined plan partners) in a combined plan.</w:t>
      </w:r>
    </w:p>
    <w:p w14:paraId="24C35BDE" w14:textId="77777777" w:rsidR="0008388C" w:rsidRPr="0008388C" w:rsidRDefault="0008388C" w:rsidP="00D63204">
      <w:pPr>
        <w:widowControl w:val="0"/>
        <w:spacing w:before="2" w:after="0" w:line="235" w:lineRule="auto"/>
        <w:ind w:left="107"/>
        <w:rPr>
          <w:rFonts w:cstheme="minorHAnsi"/>
          <w:color w:val="231F20"/>
          <w:w w:val="105"/>
        </w:rPr>
      </w:pPr>
    </w:p>
    <w:p w14:paraId="75A8277E" w14:textId="77777777" w:rsidR="0008388C" w:rsidRPr="00582A27" w:rsidRDefault="0008388C" w:rsidP="00D63204">
      <w:pPr>
        <w:widowControl w:val="0"/>
        <w:spacing w:before="2" w:after="0" w:line="235" w:lineRule="auto"/>
        <w:ind w:left="107"/>
        <w:rPr>
          <w:rFonts w:cstheme="minorHAnsi"/>
          <w:color w:val="231F20"/>
          <w:w w:val="105"/>
        </w:rPr>
      </w:pPr>
      <w:r w:rsidRPr="0008388C">
        <w:rPr>
          <w:rFonts w:cstheme="minorHAnsi"/>
          <w:color w:val="231F20"/>
          <w:w w:val="105"/>
        </w:rPr>
        <w:t>Stakeholders and the Policy and Performance Team will make recommendations to executive leadership including a timeline for incorporating other agencies into a four-year combined plan anticipated for 2020.</w:t>
      </w:r>
      <w:r w:rsidRPr="00E00817">
        <w:rPr>
          <w:rFonts w:cstheme="minorHAnsi"/>
          <w:color w:val="231F20"/>
          <w:w w:val="105"/>
        </w:rPr>
        <w:t xml:space="preserve"> </w:t>
      </w:r>
    </w:p>
    <w:p w14:paraId="5B01904B" w14:textId="3FFC6C4F" w:rsidR="000E65CF" w:rsidRDefault="00FD727A" w:rsidP="00D63204">
      <w:pPr>
        <w:widowControl w:val="0"/>
        <w:spacing w:before="2" w:after="0" w:line="235" w:lineRule="auto"/>
        <w:ind w:left="107"/>
        <w:rPr>
          <w:rFonts w:cstheme="minorHAnsi"/>
          <w:b/>
          <w:bCs/>
          <w:color w:val="231F20"/>
          <w:w w:val="110"/>
        </w:rPr>
      </w:pPr>
      <w:r>
        <w:rPr>
          <w:rFonts w:cstheme="minorHAnsi"/>
          <w:b/>
          <w:bCs/>
          <w:color w:val="231F20"/>
          <w:w w:val="110"/>
        </w:rPr>
        <w:br/>
      </w:r>
      <w:bookmarkStart w:id="71" w:name="_Hlk504387294"/>
      <w:r w:rsidR="00EA7458" w:rsidRPr="00E06806">
        <w:rPr>
          <w:rFonts w:cstheme="minorHAnsi"/>
          <w:b/>
          <w:bCs/>
          <w:color w:val="231F20"/>
          <w:w w:val="110"/>
        </w:rPr>
        <w:t>Improving</w:t>
      </w:r>
      <w:r w:rsidR="00EA7458" w:rsidRPr="00E06806">
        <w:rPr>
          <w:rFonts w:cstheme="minorHAnsi"/>
          <w:b/>
          <w:bCs/>
          <w:color w:val="231F20"/>
          <w:spacing w:val="-12"/>
          <w:w w:val="110"/>
        </w:rPr>
        <w:t xml:space="preserve"> </w:t>
      </w:r>
      <w:r w:rsidR="00EA7458" w:rsidRPr="00E06806">
        <w:rPr>
          <w:rFonts w:cstheme="minorHAnsi"/>
          <w:b/>
          <w:bCs/>
          <w:color w:val="231F20"/>
          <w:w w:val="110"/>
        </w:rPr>
        <w:t>Employment</w:t>
      </w:r>
      <w:r w:rsidR="00EA7458" w:rsidRPr="00E06806">
        <w:rPr>
          <w:rFonts w:cstheme="minorHAnsi"/>
          <w:b/>
          <w:bCs/>
          <w:color w:val="231F20"/>
          <w:spacing w:val="-12"/>
          <w:w w:val="110"/>
        </w:rPr>
        <w:t xml:space="preserve"> </w:t>
      </w:r>
      <w:r w:rsidR="00EA7458" w:rsidRPr="00E06806">
        <w:rPr>
          <w:rFonts w:cstheme="minorHAnsi"/>
          <w:b/>
          <w:bCs/>
          <w:color w:val="231F20"/>
          <w:w w:val="110"/>
        </w:rPr>
        <w:t>Outcomes</w:t>
      </w:r>
      <w:r w:rsidR="00EA7458" w:rsidRPr="00E06806">
        <w:rPr>
          <w:rFonts w:cstheme="minorHAnsi"/>
          <w:b/>
          <w:bCs/>
          <w:color w:val="231F20"/>
          <w:spacing w:val="-12"/>
          <w:w w:val="110"/>
        </w:rPr>
        <w:t xml:space="preserve"> </w:t>
      </w:r>
      <w:r w:rsidR="00EA7458" w:rsidRPr="00E06806">
        <w:rPr>
          <w:rFonts w:cstheme="minorHAnsi"/>
          <w:b/>
          <w:bCs/>
          <w:color w:val="231F20"/>
          <w:w w:val="110"/>
        </w:rPr>
        <w:t>for</w:t>
      </w:r>
      <w:r w:rsidR="00EA7458" w:rsidRPr="00E06806">
        <w:rPr>
          <w:rFonts w:cstheme="minorHAnsi"/>
          <w:b/>
          <w:bCs/>
          <w:color w:val="231F20"/>
          <w:spacing w:val="-12"/>
          <w:w w:val="110"/>
        </w:rPr>
        <w:t xml:space="preserve"> </w:t>
      </w:r>
      <w:r w:rsidR="00EA7458" w:rsidRPr="00E06806">
        <w:rPr>
          <w:rFonts w:cstheme="minorHAnsi"/>
          <w:b/>
          <w:bCs/>
          <w:color w:val="231F20"/>
          <w:w w:val="110"/>
        </w:rPr>
        <w:t>Juvenile</w:t>
      </w:r>
      <w:r w:rsidR="00EA7458" w:rsidRPr="00E06806">
        <w:rPr>
          <w:rFonts w:cstheme="minorHAnsi"/>
          <w:b/>
          <w:bCs/>
          <w:color w:val="231F20"/>
          <w:spacing w:val="-12"/>
          <w:w w:val="110"/>
        </w:rPr>
        <w:t xml:space="preserve"> </w:t>
      </w:r>
      <w:r w:rsidR="00EA7458" w:rsidRPr="00E06806">
        <w:rPr>
          <w:rFonts w:cstheme="minorHAnsi"/>
          <w:b/>
          <w:bCs/>
          <w:color w:val="231F20"/>
          <w:w w:val="110"/>
        </w:rPr>
        <w:t>Offenders</w:t>
      </w:r>
      <w:bookmarkStart w:id="72" w:name="_Hlk501361635"/>
    </w:p>
    <w:p w14:paraId="3B527577" w14:textId="1398EB14" w:rsidR="00A11EBF" w:rsidRDefault="00A11EBF" w:rsidP="00D63204">
      <w:pPr>
        <w:widowControl w:val="0"/>
        <w:spacing w:before="2" w:after="0" w:line="235" w:lineRule="auto"/>
        <w:ind w:left="107"/>
        <w:rPr>
          <w:rFonts w:cstheme="minorHAnsi"/>
          <w:color w:val="231F20"/>
          <w:w w:val="105"/>
        </w:rPr>
      </w:pPr>
      <w:r w:rsidRPr="00C47FC0">
        <w:rPr>
          <w:rFonts w:cstheme="minorHAnsi"/>
          <w:color w:val="231F20"/>
          <w:w w:val="105"/>
        </w:rPr>
        <w:t>In 2015, DJJ and DEO entered into a statewide Memorandum of Agreement to establish general conditions and joint processes that authorize each agency to collaborate as partners</w:t>
      </w:r>
      <w:r w:rsidRPr="00E06806">
        <w:rPr>
          <w:rFonts w:cstheme="minorHAnsi"/>
          <w:color w:val="231F20"/>
          <w:w w:val="105"/>
        </w:rPr>
        <w:t xml:space="preserve"> </w:t>
      </w:r>
      <w:r w:rsidRPr="00C47FC0">
        <w:rPr>
          <w:rFonts w:cstheme="minorHAnsi"/>
          <w:color w:val="231F20"/>
          <w:w w:val="105"/>
        </w:rPr>
        <w:t>to ensure juvenile offenders under the supervision of DJJ have information about and access to services provided by the state’s workforce system. The agreement outlines mutual responsibilities that allow state and local-level planning, promote the development of linkages between DJJ and the LWDBs, encourage collaboration and establish guidelines for data sharing protocol.</w:t>
      </w:r>
    </w:p>
    <w:p w14:paraId="06F12967" w14:textId="77777777" w:rsidR="00C47FC0" w:rsidRPr="00C47FC0" w:rsidRDefault="00C47FC0" w:rsidP="00D63204">
      <w:pPr>
        <w:widowControl w:val="0"/>
        <w:spacing w:before="2" w:after="0" w:line="235" w:lineRule="auto"/>
        <w:ind w:left="107"/>
        <w:rPr>
          <w:rFonts w:cstheme="minorHAnsi"/>
          <w:color w:val="231F20"/>
          <w:w w:val="105"/>
        </w:rPr>
      </w:pPr>
    </w:p>
    <w:p w14:paraId="7ECD14CB" w14:textId="5F16DCDF" w:rsidR="00387F26" w:rsidRPr="00BB5AFB" w:rsidRDefault="00A11EBF" w:rsidP="00D63204">
      <w:pPr>
        <w:widowControl w:val="0"/>
        <w:spacing w:before="2" w:after="0" w:line="235" w:lineRule="auto"/>
        <w:ind w:left="107"/>
        <w:rPr>
          <w:rFonts w:cstheme="minorHAnsi"/>
          <w:color w:val="231F20"/>
          <w:w w:val="105"/>
        </w:rPr>
      </w:pPr>
      <w:r w:rsidRPr="004E60EA">
        <w:rPr>
          <w:rFonts w:cstheme="minorHAnsi"/>
          <w:color w:val="231F20"/>
          <w:w w:val="105"/>
        </w:rPr>
        <w:t>The agreement allowed DJJ, DEO</w:t>
      </w:r>
      <w:r w:rsidR="00D5537E" w:rsidRPr="004E60EA">
        <w:rPr>
          <w:rFonts w:cstheme="minorHAnsi"/>
          <w:color w:val="231F20"/>
          <w:w w:val="105"/>
        </w:rPr>
        <w:t xml:space="preserve"> and</w:t>
      </w:r>
      <w:r w:rsidRPr="004E60EA">
        <w:rPr>
          <w:rFonts w:cstheme="minorHAnsi"/>
          <w:color w:val="231F20"/>
          <w:w w:val="105"/>
        </w:rPr>
        <w:t xml:space="preserve"> CareerSource Northeast Florida to pilot a project with funding from DJJ and CareerSource Florida. The project was designed to improve employment outcomes for youth offenders under the jurisdiction of DJJ within CareerSource Northeast Florida’s local workforce area. The pilot concluded in June 2016 and served a total of 52 youth</w:t>
      </w:r>
      <w:r w:rsidR="005E7C49" w:rsidRPr="004E60EA">
        <w:rPr>
          <w:rFonts w:cstheme="minorHAnsi"/>
          <w:color w:val="231F20"/>
          <w:w w:val="105"/>
        </w:rPr>
        <w:t xml:space="preserve">. </w:t>
      </w:r>
    </w:p>
    <w:p w14:paraId="29744C67" w14:textId="77777777" w:rsidR="00BB5AFB" w:rsidRPr="00BB5AFB" w:rsidRDefault="00BB5AFB" w:rsidP="00D63204">
      <w:pPr>
        <w:widowControl w:val="0"/>
        <w:spacing w:before="2" w:after="0" w:line="235" w:lineRule="auto"/>
        <w:ind w:left="107"/>
        <w:rPr>
          <w:rFonts w:cstheme="minorHAnsi"/>
          <w:color w:val="231F20"/>
          <w:w w:val="105"/>
        </w:rPr>
      </w:pPr>
    </w:p>
    <w:p w14:paraId="50AFBA3D" w14:textId="77777777" w:rsidR="00BB5AFB" w:rsidRPr="00BB5AFB" w:rsidRDefault="00BB5AFB" w:rsidP="00D63204">
      <w:pPr>
        <w:widowControl w:val="0"/>
        <w:spacing w:before="2" w:after="0" w:line="235" w:lineRule="auto"/>
        <w:ind w:left="107"/>
        <w:rPr>
          <w:rFonts w:cstheme="minorHAnsi"/>
          <w:color w:val="231F20"/>
          <w:w w:val="105"/>
        </w:rPr>
      </w:pPr>
    </w:p>
    <w:p w14:paraId="4527D925" w14:textId="1A4379B8" w:rsidR="00387F26" w:rsidRPr="0069569E" w:rsidRDefault="005E2625" w:rsidP="00946F2F">
      <w:pPr>
        <w:widowControl w:val="0"/>
        <w:tabs>
          <w:tab w:val="left" w:pos="5955"/>
        </w:tabs>
        <w:spacing w:before="2" w:after="0" w:line="235" w:lineRule="auto"/>
        <w:ind w:left="107"/>
        <w:rPr>
          <w:rFonts w:cstheme="minorHAnsi"/>
          <w:color w:val="231F20"/>
          <w:w w:val="105"/>
        </w:rPr>
      </w:pPr>
      <w:r w:rsidRPr="0069569E">
        <w:rPr>
          <w:rFonts w:cstheme="minorHAnsi"/>
          <w:b/>
          <w:color w:val="231F20"/>
          <w:w w:val="105"/>
        </w:rPr>
        <w:lastRenderedPageBreak/>
        <w:t>Figure 3.02</w:t>
      </w:r>
      <w:r w:rsidRPr="0069569E">
        <w:rPr>
          <w:rFonts w:cstheme="minorHAnsi"/>
          <w:b/>
          <w:color w:val="231F20"/>
          <w:w w:val="105"/>
        </w:rPr>
        <w:br/>
        <w:t>Youth Offenders Placed in Paid Work Experience</w:t>
      </w:r>
      <w:r w:rsidRPr="0069569E">
        <w:rPr>
          <w:rFonts w:cstheme="minorHAnsi"/>
          <w:b/>
          <w:color w:val="231F20"/>
          <w:w w:val="105"/>
        </w:rPr>
        <w:br/>
      </w:r>
    </w:p>
    <w:tbl>
      <w:tblPr>
        <w:tblStyle w:val="PlainTable1"/>
        <w:tblW w:w="0" w:type="auto"/>
        <w:jc w:val="center"/>
        <w:tblLayout w:type="fixed"/>
        <w:tblLook w:val="04A0" w:firstRow="1" w:lastRow="0" w:firstColumn="1" w:lastColumn="0" w:noHBand="0" w:noVBand="1"/>
      </w:tblPr>
      <w:tblGrid>
        <w:gridCol w:w="5051"/>
        <w:gridCol w:w="1443"/>
      </w:tblGrid>
      <w:tr w:rsidR="00A11EBF" w:rsidRPr="0069569E" w14:paraId="20F075E6" w14:textId="77777777" w:rsidTr="00611E9C">
        <w:trPr>
          <w:cnfStyle w:val="100000000000" w:firstRow="1" w:lastRow="0" w:firstColumn="0" w:lastColumn="0" w:oddVBand="0" w:evenVBand="0" w:oddHBand="0" w:evenHBand="0" w:firstRowFirstColumn="0" w:firstRowLastColumn="0" w:lastRowFirstColumn="0" w:lastRowLastColumn="0"/>
          <w:trHeight w:val="622"/>
          <w:jc w:val="center"/>
        </w:trPr>
        <w:tc>
          <w:tcPr>
            <w:cnfStyle w:val="001000000000" w:firstRow="0" w:lastRow="0" w:firstColumn="1" w:lastColumn="0" w:oddVBand="0" w:evenVBand="0" w:oddHBand="0" w:evenHBand="0" w:firstRowFirstColumn="0" w:firstRowLastColumn="0" w:lastRowFirstColumn="0" w:lastRowLastColumn="0"/>
            <w:tcW w:w="5051" w:type="dxa"/>
            <w:vAlign w:val="center"/>
          </w:tcPr>
          <w:p w14:paraId="2C11359A" w14:textId="77777777" w:rsidR="00A11EBF" w:rsidRPr="0069569E" w:rsidRDefault="00A11EBF" w:rsidP="00611E9C">
            <w:pPr>
              <w:ind w:left="107"/>
              <w:rPr>
                <w:rFonts w:cstheme="minorHAnsi"/>
                <w:b w:val="0"/>
              </w:rPr>
            </w:pPr>
            <w:r w:rsidRPr="0069569E">
              <w:rPr>
                <w:rFonts w:cstheme="minorHAnsi"/>
              </w:rPr>
              <w:t>Status</w:t>
            </w:r>
          </w:p>
        </w:tc>
        <w:tc>
          <w:tcPr>
            <w:tcW w:w="1443" w:type="dxa"/>
            <w:vAlign w:val="center"/>
          </w:tcPr>
          <w:p w14:paraId="2B421370" w14:textId="2CF55266" w:rsidR="00A11EBF" w:rsidRPr="0069569E" w:rsidRDefault="00A11EBF" w:rsidP="00D63204">
            <w:pPr>
              <w:ind w:left="107"/>
              <w:cnfStyle w:val="100000000000" w:firstRow="1" w:lastRow="0" w:firstColumn="0" w:lastColumn="0" w:oddVBand="0" w:evenVBand="0" w:oddHBand="0" w:evenHBand="0" w:firstRowFirstColumn="0" w:firstRowLastColumn="0" w:lastRowFirstColumn="0" w:lastRowLastColumn="0"/>
              <w:rPr>
                <w:rFonts w:cstheme="minorHAnsi"/>
                <w:b w:val="0"/>
              </w:rPr>
            </w:pPr>
            <w:r w:rsidRPr="0069569E">
              <w:rPr>
                <w:rFonts w:cstheme="minorHAnsi"/>
              </w:rPr>
              <w:t>Number of Participants</w:t>
            </w:r>
          </w:p>
        </w:tc>
      </w:tr>
      <w:tr w:rsidR="00A11EBF" w:rsidRPr="0069569E" w14:paraId="347C4E1D" w14:textId="77777777" w:rsidTr="00611E9C">
        <w:trPr>
          <w:cnfStyle w:val="000000100000" w:firstRow="0" w:lastRow="0" w:firstColumn="0" w:lastColumn="0" w:oddVBand="0" w:evenVBand="0" w:oddHBand="1" w:evenHBand="0" w:firstRowFirstColumn="0" w:firstRowLastColumn="0" w:lastRowFirstColumn="0" w:lastRowLastColumn="0"/>
          <w:trHeight w:val="306"/>
          <w:jc w:val="center"/>
        </w:trPr>
        <w:tc>
          <w:tcPr>
            <w:cnfStyle w:val="001000000000" w:firstRow="0" w:lastRow="0" w:firstColumn="1" w:lastColumn="0" w:oddVBand="0" w:evenVBand="0" w:oddHBand="0" w:evenHBand="0" w:firstRowFirstColumn="0" w:firstRowLastColumn="0" w:lastRowFirstColumn="0" w:lastRowLastColumn="0"/>
            <w:tcW w:w="5051" w:type="dxa"/>
          </w:tcPr>
          <w:p w14:paraId="43E7B399" w14:textId="77777777" w:rsidR="00A11EBF" w:rsidRPr="0069569E" w:rsidRDefault="00A11EBF" w:rsidP="00FD727A">
            <w:pPr>
              <w:ind w:left="107"/>
              <w:rPr>
                <w:rFonts w:cstheme="minorHAnsi"/>
                <w:b w:val="0"/>
                <w:color w:val="000000"/>
              </w:rPr>
            </w:pPr>
            <w:r w:rsidRPr="0069569E">
              <w:rPr>
                <w:rFonts w:cstheme="minorHAnsi"/>
                <w:b w:val="0"/>
                <w:color w:val="000000"/>
              </w:rPr>
              <w:t>In-school, High School or less</w:t>
            </w:r>
          </w:p>
        </w:tc>
        <w:tc>
          <w:tcPr>
            <w:tcW w:w="1443" w:type="dxa"/>
          </w:tcPr>
          <w:p w14:paraId="2AE1D385" w14:textId="2835BE6A" w:rsidR="00A11EBF" w:rsidRPr="0069569E" w:rsidRDefault="00A11EBF" w:rsidP="00D63204">
            <w:pPr>
              <w:ind w:left="107"/>
              <w:cnfStyle w:val="000000100000" w:firstRow="0" w:lastRow="0" w:firstColumn="0" w:lastColumn="0" w:oddVBand="0" w:evenVBand="0" w:oddHBand="1" w:evenHBand="0" w:firstRowFirstColumn="0" w:firstRowLastColumn="0" w:lastRowFirstColumn="0" w:lastRowLastColumn="0"/>
              <w:rPr>
                <w:rFonts w:cstheme="minorHAnsi"/>
              </w:rPr>
            </w:pPr>
            <w:r w:rsidRPr="0069569E">
              <w:rPr>
                <w:rFonts w:cstheme="minorHAnsi"/>
              </w:rPr>
              <w:t>36</w:t>
            </w:r>
          </w:p>
        </w:tc>
      </w:tr>
      <w:tr w:rsidR="00A11EBF" w:rsidRPr="0069569E" w14:paraId="62F47DF6" w14:textId="77777777" w:rsidTr="00611E9C">
        <w:trPr>
          <w:trHeight w:val="289"/>
          <w:jc w:val="center"/>
        </w:trPr>
        <w:tc>
          <w:tcPr>
            <w:cnfStyle w:val="001000000000" w:firstRow="0" w:lastRow="0" w:firstColumn="1" w:lastColumn="0" w:oddVBand="0" w:evenVBand="0" w:oddHBand="0" w:evenHBand="0" w:firstRowFirstColumn="0" w:firstRowLastColumn="0" w:lastRowFirstColumn="0" w:lastRowLastColumn="0"/>
            <w:tcW w:w="5051" w:type="dxa"/>
          </w:tcPr>
          <w:p w14:paraId="1FCD7C3D" w14:textId="77777777" w:rsidR="00A11EBF" w:rsidRPr="0069569E" w:rsidRDefault="00A11EBF" w:rsidP="00FD727A">
            <w:pPr>
              <w:ind w:left="107"/>
              <w:rPr>
                <w:rFonts w:cstheme="minorHAnsi"/>
                <w:b w:val="0"/>
                <w:color w:val="000000"/>
              </w:rPr>
            </w:pPr>
            <w:r w:rsidRPr="0069569E">
              <w:rPr>
                <w:rFonts w:cstheme="minorHAnsi"/>
                <w:b w:val="0"/>
                <w:color w:val="000000"/>
              </w:rPr>
              <w:t>In-school, Alternative School</w:t>
            </w:r>
          </w:p>
        </w:tc>
        <w:tc>
          <w:tcPr>
            <w:tcW w:w="1443" w:type="dxa"/>
          </w:tcPr>
          <w:p w14:paraId="2923F180" w14:textId="77777777" w:rsidR="00A11EBF" w:rsidRPr="0069569E" w:rsidRDefault="00A11EBF" w:rsidP="00D63204">
            <w:pPr>
              <w:ind w:left="107"/>
              <w:cnfStyle w:val="000000000000" w:firstRow="0" w:lastRow="0" w:firstColumn="0" w:lastColumn="0" w:oddVBand="0" w:evenVBand="0" w:oddHBand="0" w:evenHBand="0" w:firstRowFirstColumn="0" w:firstRowLastColumn="0" w:lastRowFirstColumn="0" w:lastRowLastColumn="0"/>
              <w:rPr>
                <w:rFonts w:cstheme="minorHAnsi"/>
              </w:rPr>
            </w:pPr>
            <w:r w:rsidRPr="0069569E">
              <w:rPr>
                <w:rFonts w:cstheme="minorHAnsi"/>
              </w:rPr>
              <w:t>4</w:t>
            </w:r>
          </w:p>
        </w:tc>
      </w:tr>
      <w:tr w:rsidR="00A11EBF" w:rsidRPr="0069569E" w14:paraId="7F535F08" w14:textId="77777777" w:rsidTr="00611E9C">
        <w:trPr>
          <w:cnfStyle w:val="000000100000" w:firstRow="0" w:lastRow="0" w:firstColumn="0" w:lastColumn="0" w:oddVBand="0" w:evenVBand="0" w:oddHBand="1" w:evenHBand="0" w:firstRowFirstColumn="0" w:firstRowLastColumn="0" w:lastRowFirstColumn="0" w:lastRowLastColumn="0"/>
          <w:trHeight w:val="306"/>
          <w:jc w:val="center"/>
        </w:trPr>
        <w:tc>
          <w:tcPr>
            <w:cnfStyle w:val="001000000000" w:firstRow="0" w:lastRow="0" w:firstColumn="1" w:lastColumn="0" w:oddVBand="0" w:evenVBand="0" w:oddHBand="0" w:evenHBand="0" w:firstRowFirstColumn="0" w:firstRowLastColumn="0" w:lastRowFirstColumn="0" w:lastRowLastColumn="0"/>
            <w:tcW w:w="5051" w:type="dxa"/>
          </w:tcPr>
          <w:p w14:paraId="589124A0" w14:textId="77777777" w:rsidR="00A11EBF" w:rsidRPr="0069569E" w:rsidRDefault="00A11EBF" w:rsidP="00FD727A">
            <w:pPr>
              <w:ind w:left="107"/>
              <w:rPr>
                <w:rFonts w:cstheme="minorHAnsi"/>
                <w:b w:val="0"/>
                <w:color w:val="000000"/>
              </w:rPr>
            </w:pPr>
            <w:r w:rsidRPr="0069569E">
              <w:rPr>
                <w:rFonts w:cstheme="minorHAnsi"/>
                <w:b w:val="0"/>
                <w:color w:val="000000"/>
              </w:rPr>
              <w:t>In-school, post High School</w:t>
            </w:r>
          </w:p>
        </w:tc>
        <w:tc>
          <w:tcPr>
            <w:tcW w:w="1443" w:type="dxa"/>
          </w:tcPr>
          <w:p w14:paraId="5336FB4B" w14:textId="77777777" w:rsidR="00A11EBF" w:rsidRPr="0069569E" w:rsidRDefault="00A11EBF" w:rsidP="00D63204">
            <w:pPr>
              <w:ind w:left="107"/>
              <w:cnfStyle w:val="000000100000" w:firstRow="0" w:lastRow="0" w:firstColumn="0" w:lastColumn="0" w:oddVBand="0" w:evenVBand="0" w:oddHBand="1" w:evenHBand="0" w:firstRowFirstColumn="0" w:firstRowLastColumn="0" w:lastRowFirstColumn="0" w:lastRowLastColumn="0"/>
              <w:rPr>
                <w:rFonts w:cstheme="minorHAnsi"/>
              </w:rPr>
            </w:pPr>
            <w:r w:rsidRPr="0069569E">
              <w:rPr>
                <w:rFonts w:cstheme="minorHAnsi"/>
              </w:rPr>
              <w:t>1</w:t>
            </w:r>
          </w:p>
        </w:tc>
      </w:tr>
      <w:tr w:rsidR="00A11EBF" w:rsidRPr="0069569E" w14:paraId="77F7FD6B" w14:textId="77777777" w:rsidTr="00611E9C">
        <w:trPr>
          <w:trHeight w:val="289"/>
          <w:jc w:val="center"/>
        </w:trPr>
        <w:tc>
          <w:tcPr>
            <w:cnfStyle w:val="001000000000" w:firstRow="0" w:lastRow="0" w:firstColumn="1" w:lastColumn="0" w:oddVBand="0" w:evenVBand="0" w:oddHBand="0" w:evenHBand="0" w:firstRowFirstColumn="0" w:firstRowLastColumn="0" w:lastRowFirstColumn="0" w:lastRowLastColumn="0"/>
            <w:tcW w:w="5051" w:type="dxa"/>
          </w:tcPr>
          <w:p w14:paraId="3C71C099" w14:textId="77777777" w:rsidR="00A11EBF" w:rsidRPr="0069569E" w:rsidRDefault="00A11EBF" w:rsidP="00FD727A">
            <w:pPr>
              <w:ind w:left="107"/>
              <w:rPr>
                <w:rFonts w:cstheme="minorHAnsi"/>
                <w:b w:val="0"/>
              </w:rPr>
            </w:pPr>
            <w:r w:rsidRPr="0069569E">
              <w:rPr>
                <w:rFonts w:cstheme="minorHAnsi"/>
                <w:b w:val="0"/>
              </w:rPr>
              <w:t>Attained secondary school (high school) diploma</w:t>
            </w:r>
          </w:p>
        </w:tc>
        <w:tc>
          <w:tcPr>
            <w:tcW w:w="1443" w:type="dxa"/>
          </w:tcPr>
          <w:p w14:paraId="72F68FCF" w14:textId="77777777" w:rsidR="00A11EBF" w:rsidRPr="0069569E" w:rsidRDefault="00A11EBF" w:rsidP="00D63204">
            <w:pPr>
              <w:ind w:left="107"/>
              <w:cnfStyle w:val="000000000000" w:firstRow="0" w:lastRow="0" w:firstColumn="0" w:lastColumn="0" w:oddVBand="0" w:evenVBand="0" w:oddHBand="0" w:evenHBand="0" w:firstRowFirstColumn="0" w:firstRowLastColumn="0" w:lastRowFirstColumn="0" w:lastRowLastColumn="0"/>
              <w:rPr>
                <w:rFonts w:cstheme="minorHAnsi"/>
              </w:rPr>
            </w:pPr>
            <w:r w:rsidRPr="0069569E">
              <w:rPr>
                <w:rFonts w:cstheme="minorHAnsi"/>
              </w:rPr>
              <w:t>2</w:t>
            </w:r>
          </w:p>
        </w:tc>
      </w:tr>
      <w:tr w:rsidR="00A11EBF" w:rsidRPr="0069569E" w14:paraId="32833EED" w14:textId="77777777" w:rsidTr="00611E9C">
        <w:trPr>
          <w:cnfStyle w:val="000000100000" w:firstRow="0" w:lastRow="0" w:firstColumn="0" w:lastColumn="0" w:oddVBand="0" w:evenVBand="0" w:oddHBand="1" w:evenHBand="0" w:firstRowFirstColumn="0" w:firstRowLastColumn="0" w:lastRowFirstColumn="0" w:lastRowLastColumn="0"/>
          <w:trHeight w:val="306"/>
          <w:jc w:val="center"/>
        </w:trPr>
        <w:tc>
          <w:tcPr>
            <w:cnfStyle w:val="001000000000" w:firstRow="0" w:lastRow="0" w:firstColumn="1" w:lastColumn="0" w:oddVBand="0" w:evenVBand="0" w:oddHBand="0" w:evenHBand="0" w:firstRowFirstColumn="0" w:firstRowLastColumn="0" w:lastRowFirstColumn="0" w:lastRowLastColumn="0"/>
            <w:tcW w:w="5051" w:type="dxa"/>
          </w:tcPr>
          <w:p w14:paraId="7FC1F092" w14:textId="77777777" w:rsidR="00A11EBF" w:rsidRPr="0069569E" w:rsidRDefault="00A11EBF" w:rsidP="00FD727A">
            <w:pPr>
              <w:ind w:left="107"/>
              <w:rPr>
                <w:rFonts w:cstheme="minorHAnsi"/>
                <w:b w:val="0"/>
              </w:rPr>
            </w:pPr>
            <w:r w:rsidRPr="0069569E">
              <w:rPr>
                <w:rFonts w:cstheme="minorHAnsi"/>
                <w:b w:val="0"/>
              </w:rPr>
              <w:t>Entered Employment</w:t>
            </w:r>
          </w:p>
        </w:tc>
        <w:tc>
          <w:tcPr>
            <w:tcW w:w="1443" w:type="dxa"/>
          </w:tcPr>
          <w:p w14:paraId="4E37173C" w14:textId="77777777" w:rsidR="00A11EBF" w:rsidRPr="0069569E" w:rsidRDefault="00A11EBF" w:rsidP="00D63204">
            <w:pPr>
              <w:ind w:left="107"/>
              <w:cnfStyle w:val="000000100000" w:firstRow="0" w:lastRow="0" w:firstColumn="0" w:lastColumn="0" w:oddVBand="0" w:evenVBand="0" w:oddHBand="1" w:evenHBand="0" w:firstRowFirstColumn="0" w:firstRowLastColumn="0" w:lastRowFirstColumn="0" w:lastRowLastColumn="0"/>
              <w:rPr>
                <w:rFonts w:cstheme="minorHAnsi"/>
              </w:rPr>
            </w:pPr>
            <w:r w:rsidRPr="0069569E">
              <w:rPr>
                <w:rFonts w:cstheme="minorHAnsi"/>
              </w:rPr>
              <w:t>4</w:t>
            </w:r>
          </w:p>
        </w:tc>
      </w:tr>
    </w:tbl>
    <w:p w14:paraId="1D9D15A8" w14:textId="68FDDCB0" w:rsidR="00EA7458" w:rsidRPr="0069569E" w:rsidRDefault="00EA7458" w:rsidP="00D63204">
      <w:pPr>
        <w:widowControl w:val="0"/>
        <w:spacing w:before="197" w:after="0" w:line="240" w:lineRule="auto"/>
        <w:ind w:left="107"/>
        <w:outlineLvl w:val="2"/>
        <w:rPr>
          <w:rFonts w:cstheme="minorHAnsi"/>
          <w:sz w:val="14"/>
          <w:szCs w:val="14"/>
        </w:rPr>
      </w:pPr>
    </w:p>
    <w:bookmarkEnd w:id="72"/>
    <w:p w14:paraId="142B5326" w14:textId="75E85599" w:rsidR="005E2625" w:rsidRDefault="00387F26" w:rsidP="00D63204">
      <w:pPr>
        <w:widowControl w:val="0"/>
        <w:spacing w:before="197" w:after="0" w:line="240" w:lineRule="auto"/>
        <w:ind w:left="107"/>
        <w:outlineLvl w:val="2"/>
      </w:pPr>
      <w:r w:rsidRPr="0069569E">
        <w:t xml:space="preserve">VR </w:t>
      </w:r>
      <w:r w:rsidR="004974C7" w:rsidRPr="0069569E">
        <w:t xml:space="preserve">has </w:t>
      </w:r>
      <w:r w:rsidRPr="0069569E">
        <w:t xml:space="preserve">developed a Technical Assistance Plan for collaboration in the delivery of Pre-Employment Transition Services to youth with disabilities in DJJ residential facilities. VR </w:t>
      </w:r>
      <w:r w:rsidR="004974C7" w:rsidRPr="0069569E">
        <w:t xml:space="preserve">is also </w:t>
      </w:r>
      <w:r w:rsidRPr="0069569E">
        <w:t>support</w:t>
      </w:r>
      <w:r w:rsidR="004974C7" w:rsidRPr="0069569E">
        <w:t>ing</w:t>
      </w:r>
      <w:r w:rsidRPr="0069569E">
        <w:t xml:space="preserve"> a grant proposal focused on improving employment outcomes for juvenile offenders</w:t>
      </w:r>
      <w:r w:rsidR="005E7C49" w:rsidRPr="0069569E">
        <w:t>.</w:t>
      </w:r>
      <w:r w:rsidR="005E7C49">
        <w:t xml:space="preserve"> </w:t>
      </w:r>
      <w:bookmarkEnd w:id="71"/>
    </w:p>
    <w:p w14:paraId="2CED923B" w14:textId="6292A5DA" w:rsidR="00BE1E61" w:rsidRDefault="00EA7458" w:rsidP="00D63204">
      <w:pPr>
        <w:widowControl w:val="0"/>
        <w:spacing w:before="197" w:after="0" w:line="240" w:lineRule="auto"/>
        <w:ind w:left="107"/>
        <w:outlineLvl w:val="2"/>
        <w:rPr>
          <w:rFonts w:cstheme="minorHAnsi"/>
          <w:b/>
          <w:bCs/>
          <w:color w:val="231F20"/>
          <w:w w:val="110"/>
        </w:rPr>
      </w:pPr>
      <w:bookmarkStart w:id="73" w:name="_Hlk505120245"/>
      <w:r w:rsidRPr="00E06806">
        <w:rPr>
          <w:rFonts w:cstheme="minorHAnsi"/>
          <w:b/>
          <w:bCs/>
          <w:color w:val="231F20"/>
          <w:w w:val="110"/>
        </w:rPr>
        <w:t>Partnering with State</w:t>
      </w:r>
      <w:r w:rsidRPr="00E06806">
        <w:rPr>
          <w:rFonts w:cstheme="minorHAnsi"/>
          <w:b/>
          <w:bCs/>
          <w:color w:val="231F20"/>
          <w:spacing w:val="-11"/>
          <w:w w:val="110"/>
        </w:rPr>
        <w:t xml:space="preserve"> </w:t>
      </w:r>
      <w:r w:rsidRPr="00E06806">
        <w:rPr>
          <w:rFonts w:cstheme="minorHAnsi"/>
          <w:b/>
          <w:bCs/>
          <w:color w:val="231F20"/>
          <w:w w:val="110"/>
        </w:rPr>
        <w:t>Colleges</w:t>
      </w:r>
    </w:p>
    <w:p w14:paraId="2FAC4758" w14:textId="2E67B07D" w:rsidR="00EA7458" w:rsidRPr="00E06806" w:rsidRDefault="00EA7458" w:rsidP="00D63204">
      <w:pPr>
        <w:widowControl w:val="0"/>
        <w:spacing w:after="0" w:line="240" w:lineRule="auto"/>
        <w:ind w:left="107"/>
        <w:outlineLvl w:val="2"/>
        <w:rPr>
          <w:rFonts w:cstheme="minorHAnsi"/>
        </w:rPr>
      </w:pPr>
      <w:r w:rsidRPr="00E06806">
        <w:rPr>
          <w:rFonts w:cstheme="minorHAnsi"/>
          <w:color w:val="231F20"/>
          <w:w w:val="105"/>
        </w:rPr>
        <w:t>Another</w:t>
      </w:r>
      <w:r w:rsidRPr="00E06806">
        <w:rPr>
          <w:rFonts w:cstheme="minorHAnsi"/>
          <w:color w:val="231F20"/>
          <w:spacing w:val="7"/>
          <w:w w:val="105"/>
        </w:rPr>
        <w:t xml:space="preserve"> </w:t>
      </w:r>
      <w:r w:rsidRPr="00E06806">
        <w:rPr>
          <w:rFonts w:cstheme="minorHAnsi"/>
          <w:color w:val="231F20"/>
          <w:w w:val="105"/>
        </w:rPr>
        <w:t>example</w:t>
      </w:r>
      <w:r w:rsidRPr="00E06806">
        <w:rPr>
          <w:rFonts w:cstheme="minorHAnsi"/>
          <w:color w:val="231F20"/>
          <w:spacing w:val="7"/>
          <w:w w:val="105"/>
        </w:rPr>
        <w:t xml:space="preserve"> </w:t>
      </w:r>
      <w:r w:rsidRPr="00E06806">
        <w:rPr>
          <w:rFonts w:cstheme="minorHAnsi"/>
          <w:color w:val="231F20"/>
          <w:w w:val="105"/>
        </w:rPr>
        <w:t>of</w:t>
      </w:r>
      <w:r w:rsidRPr="00E06806">
        <w:rPr>
          <w:rFonts w:cstheme="minorHAnsi"/>
          <w:color w:val="231F20"/>
          <w:spacing w:val="7"/>
          <w:w w:val="105"/>
        </w:rPr>
        <w:t xml:space="preserve"> </w:t>
      </w:r>
      <w:r w:rsidRPr="00E06806">
        <w:rPr>
          <w:rFonts w:cstheme="minorHAnsi"/>
          <w:color w:val="231F20"/>
          <w:w w:val="105"/>
        </w:rPr>
        <w:t>coordination</w:t>
      </w:r>
      <w:r w:rsidRPr="00E06806">
        <w:rPr>
          <w:rFonts w:cstheme="minorHAnsi"/>
          <w:color w:val="231F20"/>
          <w:spacing w:val="7"/>
          <w:w w:val="105"/>
        </w:rPr>
        <w:t xml:space="preserve"> </w:t>
      </w:r>
      <w:r w:rsidRPr="00E06806">
        <w:rPr>
          <w:rFonts w:cstheme="minorHAnsi"/>
          <w:color w:val="231F20"/>
          <w:w w:val="105"/>
        </w:rPr>
        <w:t>with</w:t>
      </w:r>
      <w:r w:rsidRPr="00E06806">
        <w:rPr>
          <w:rFonts w:cstheme="minorHAnsi"/>
          <w:color w:val="231F20"/>
          <w:spacing w:val="7"/>
          <w:w w:val="105"/>
        </w:rPr>
        <w:t xml:space="preserve"> </w:t>
      </w:r>
      <w:r w:rsidR="008A5580" w:rsidRPr="00E06806">
        <w:rPr>
          <w:rFonts w:cstheme="minorHAnsi"/>
          <w:color w:val="231F20"/>
          <w:spacing w:val="7"/>
          <w:w w:val="105"/>
        </w:rPr>
        <w:t xml:space="preserve">non-core </w:t>
      </w:r>
      <w:r w:rsidRPr="00E06806">
        <w:rPr>
          <w:rFonts w:cstheme="minorHAnsi"/>
          <w:color w:val="231F20"/>
          <w:w w:val="105"/>
        </w:rPr>
        <w:t>partners</w:t>
      </w:r>
      <w:r w:rsidRPr="00E06806">
        <w:rPr>
          <w:rFonts w:cstheme="minorHAnsi"/>
          <w:color w:val="231F20"/>
          <w:spacing w:val="7"/>
          <w:w w:val="105"/>
        </w:rPr>
        <w:t xml:space="preserve"> </w:t>
      </w:r>
      <w:r w:rsidR="008A5580" w:rsidRPr="00E06806">
        <w:rPr>
          <w:rFonts w:cstheme="minorHAnsi"/>
          <w:color w:val="231F20"/>
          <w:w w:val="105"/>
        </w:rPr>
        <w:t xml:space="preserve">is </w:t>
      </w:r>
      <w:r w:rsidRPr="00E06806">
        <w:rPr>
          <w:rFonts w:cstheme="minorHAnsi"/>
          <w:color w:val="231F20"/>
          <w:w w:val="105"/>
        </w:rPr>
        <w:t>found</w:t>
      </w:r>
      <w:r w:rsidRPr="00E06806">
        <w:rPr>
          <w:rFonts w:cstheme="minorHAnsi"/>
          <w:color w:val="231F20"/>
          <w:spacing w:val="7"/>
          <w:w w:val="105"/>
        </w:rPr>
        <w:t xml:space="preserve"> </w:t>
      </w:r>
      <w:r w:rsidRPr="00E06806">
        <w:rPr>
          <w:rFonts w:cstheme="minorHAnsi"/>
          <w:color w:val="231F20"/>
          <w:w w:val="105"/>
        </w:rPr>
        <w:t>in</w:t>
      </w:r>
      <w:r w:rsidRPr="00E06806">
        <w:rPr>
          <w:rFonts w:cstheme="minorHAnsi"/>
          <w:color w:val="231F20"/>
          <w:spacing w:val="7"/>
          <w:w w:val="105"/>
        </w:rPr>
        <w:t xml:space="preserve"> </w:t>
      </w:r>
      <w:r w:rsidRPr="00E06806">
        <w:rPr>
          <w:rFonts w:cstheme="minorHAnsi"/>
          <w:color w:val="231F20"/>
          <w:w w:val="105"/>
        </w:rPr>
        <w:t>the</w:t>
      </w:r>
      <w:r w:rsidRPr="00E06806">
        <w:rPr>
          <w:rFonts w:cstheme="minorHAnsi"/>
          <w:color w:val="231F20"/>
          <w:spacing w:val="7"/>
          <w:w w:val="105"/>
        </w:rPr>
        <w:t xml:space="preserve"> </w:t>
      </w:r>
      <w:r w:rsidRPr="00E06806">
        <w:rPr>
          <w:rFonts w:cstheme="minorHAnsi"/>
          <w:color w:val="231F20"/>
          <w:w w:val="105"/>
        </w:rPr>
        <w:t xml:space="preserve">USDOL </w:t>
      </w:r>
      <w:r w:rsidRPr="00E06806">
        <w:rPr>
          <w:rFonts w:cstheme="minorHAnsi"/>
          <w:color w:val="231F20"/>
          <w:spacing w:val="-4"/>
          <w:w w:val="105"/>
        </w:rPr>
        <w:t xml:space="preserve">Trade </w:t>
      </w:r>
      <w:r w:rsidRPr="00E06806">
        <w:rPr>
          <w:rFonts w:cstheme="minorHAnsi"/>
          <w:color w:val="231F20"/>
          <w:w w:val="105"/>
        </w:rPr>
        <w:t xml:space="preserve">Adjustment Assistance Community College and Career </w:t>
      </w:r>
      <w:r w:rsidRPr="00E06806">
        <w:rPr>
          <w:rFonts w:cstheme="minorHAnsi"/>
          <w:color w:val="231F20"/>
          <w:spacing w:val="-3"/>
          <w:w w:val="105"/>
        </w:rPr>
        <w:t xml:space="preserve">Training </w:t>
      </w:r>
      <w:r w:rsidRPr="00E06806">
        <w:rPr>
          <w:rFonts w:cstheme="minorHAnsi"/>
          <w:color w:val="231F20"/>
          <w:spacing w:val="18"/>
          <w:w w:val="105"/>
        </w:rPr>
        <w:t>(</w:t>
      </w:r>
      <w:r w:rsidRPr="00E06806">
        <w:rPr>
          <w:rFonts w:cstheme="minorHAnsi"/>
          <w:color w:val="231F20"/>
          <w:spacing w:val="-3"/>
          <w:w w:val="105"/>
        </w:rPr>
        <w:t>TAACCT)</w:t>
      </w:r>
      <w:r w:rsidRPr="00E06806">
        <w:rPr>
          <w:rFonts w:cstheme="minorHAnsi"/>
          <w:color w:val="231F20"/>
          <w:spacing w:val="18"/>
          <w:w w:val="105"/>
        </w:rPr>
        <w:t xml:space="preserve"> </w:t>
      </w:r>
      <w:r w:rsidRPr="00E06806">
        <w:rPr>
          <w:rFonts w:cstheme="minorHAnsi"/>
          <w:color w:val="231F20"/>
          <w:w w:val="105"/>
        </w:rPr>
        <w:t>Grant.</w:t>
      </w:r>
      <w:r w:rsidRPr="00E06806">
        <w:rPr>
          <w:rFonts w:cstheme="minorHAnsi"/>
          <w:color w:val="231F20"/>
          <w:spacing w:val="17"/>
          <w:w w:val="105"/>
        </w:rPr>
        <w:t xml:space="preserve"> </w:t>
      </w:r>
      <w:r w:rsidRPr="00E06806">
        <w:rPr>
          <w:rFonts w:cstheme="minorHAnsi"/>
          <w:color w:val="231F20"/>
          <w:w w:val="105"/>
        </w:rPr>
        <w:t>On</w:t>
      </w:r>
      <w:r w:rsidRPr="00E06806">
        <w:rPr>
          <w:rFonts w:cstheme="minorHAnsi"/>
          <w:color w:val="231F20"/>
          <w:spacing w:val="18"/>
          <w:w w:val="105"/>
        </w:rPr>
        <w:t xml:space="preserve"> </w:t>
      </w:r>
      <w:r w:rsidRPr="00E06806">
        <w:rPr>
          <w:rFonts w:cstheme="minorHAnsi"/>
          <w:color w:val="231F20"/>
          <w:w w:val="105"/>
        </w:rPr>
        <w:t>behalf</w:t>
      </w:r>
      <w:r w:rsidRPr="00E06806">
        <w:rPr>
          <w:rFonts w:cstheme="minorHAnsi"/>
          <w:color w:val="231F20"/>
          <w:spacing w:val="18"/>
          <w:w w:val="105"/>
        </w:rPr>
        <w:t xml:space="preserve"> </w:t>
      </w:r>
      <w:r w:rsidRPr="00E06806">
        <w:rPr>
          <w:rFonts w:cstheme="minorHAnsi"/>
          <w:color w:val="231F20"/>
          <w:w w:val="105"/>
        </w:rPr>
        <w:t>of</w:t>
      </w:r>
      <w:r w:rsidRPr="00E06806">
        <w:rPr>
          <w:rFonts w:cstheme="minorHAnsi"/>
          <w:color w:val="231F20"/>
          <w:spacing w:val="18"/>
          <w:w w:val="105"/>
        </w:rPr>
        <w:t xml:space="preserve"> </w:t>
      </w:r>
      <w:r w:rsidRPr="00E06806">
        <w:rPr>
          <w:rFonts w:cstheme="minorHAnsi"/>
          <w:color w:val="231F20"/>
          <w:w w:val="105"/>
        </w:rPr>
        <w:t>the</w:t>
      </w:r>
      <w:r w:rsidRPr="00E06806">
        <w:rPr>
          <w:rFonts w:cstheme="minorHAnsi"/>
          <w:color w:val="231F20"/>
          <w:spacing w:val="18"/>
          <w:w w:val="105"/>
        </w:rPr>
        <w:t xml:space="preserve"> </w:t>
      </w:r>
      <w:r w:rsidRPr="00E06806">
        <w:rPr>
          <w:rFonts w:cstheme="minorHAnsi"/>
          <w:color w:val="231F20"/>
          <w:w w:val="105"/>
        </w:rPr>
        <w:t>Florida</w:t>
      </w:r>
      <w:r w:rsidRPr="00E06806">
        <w:rPr>
          <w:rFonts w:cstheme="minorHAnsi"/>
          <w:color w:val="231F20"/>
          <w:spacing w:val="18"/>
          <w:w w:val="105"/>
        </w:rPr>
        <w:t xml:space="preserve"> </w:t>
      </w:r>
      <w:r w:rsidRPr="00E06806">
        <w:rPr>
          <w:rFonts w:cstheme="minorHAnsi"/>
          <w:color w:val="231F20"/>
          <w:w w:val="105"/>
        </w:rPr>
        <w:t>College</w:t>
      </w:r>
      <w:r w:rsidRPr="00E06806">
        <w:rPr>
          <w:rFonts w:cstheme="minorHAnsi"/>
          <w:color w:val="231F20"/>
          <w:spacing w:val="18"/>
          <w:w w:val="105"/>
        </w:rPr>
        <w:t xml:space="preserve"> </w:t>
      </w:r>
      <w:r w:rsidRPr="00E06806">
        <w:rPr>
          <w:rFonts w:cstheme="minorHAnsi"/>
          <w:color w:val="231F20"/>
          <w:w w:val="105"/>
        </w:rPr>
        <w:t>Consortium,</w:t>
      </w:r>
      <w:r w:rsidRPr="00E06806">
        <w:rPr>
          <w:rFonts w:cstheme="minorHAnsi"/>
          <w:color w:val="231F20"/>
          <w:spacing w:val="18"/>
          <w:w w:val="105"/>
        </w:rPr>
        <w:t xml:space="preserve"> </w:t>
      </w:r>
      <w:r w:rsidRPr="00E06806">
        <w:rPr>
          <w:rFonts w:cstheme="minorHAnsi"/>
          <w:color w:val="231F20"/>
          <w:w w:val="105"/>
        </w:rPr>
        <w:t>St.</w:t>
      </w:r>
      <w:r w:rsidRPr="00E06806">
        <w:rPr>
          <w:rFonts w:cstheme="minorHAnsi"/>
          <w:color w:val="231F20"/>
          <w:spacing w:val="18"/>
          <w:w w:val="105"/>
        </w:rPr>
        <w:t xml:space="preserve"> </w:t>
      </w:r>
      <w:r w:rsidRPr="00E06806">
        <w:rPr>
          <w:rFonts w:cstheme="minorHAnsi"/>
          <w:color w:val="231F20"/>
          <w:w w:val="105"/>
        </w:rPr>
        <w:t>Petersburg</w:t>
      </w:r>
      <w:r w:rsidRPr="00E06806">
        <w:rPr>
          <w:rFonts w:cstheme="minorHAnsi"/>
          <w:color w:val="231F20"/>
          <w:spacing w:val="18"/>
          <w:w w:val="105"/>
        </w:rPr>
        <w:t xml:space="preserve"> </w:t>
      </w:r>
      <w:r w:rsidRPr="00E06806">
        <w:rPr>
          <w:rFonts w:cstheme="minorHAnsi"/>
          <w:color w:val="231F20"/>
          <w:w w:val="105"/>
        </w:rPr>
        <w:t>College</w:t>
      </w:r>
      <w:r w:rsidRPr="00E06806">
        <w:rPr>
          <w:rFonts w:cstheme="minorHAnsi"/>
          <w:color w:val="231F20"/>
          <w:spacing w:val="18"/>
          <w:w w:val="105"/>
        </w:rPr>
        <w:t xml:space="preserve"> </w:t>
      </w:r>
      <w:r w:rsidRPr="00E06806">
        <w:rPr>
          <w:rFonts w:cstheme="minorHAnsi"/>
          <w:color w:val="231F20"/>
          <w:w w:val="105"/>
        </w:rPr>
        <w:t>received</w:t>
      </w:r>
      <w:r w:rsidRPr="00E06806">
        <w:rPr>
          <w:rFonts w:cstheme="minorHAnsi"/>
          <w:color w:val="231F20"/>
          <w:spacing w:val="18"/>
          <w:w w:val="105"/>
        </w:rPr>
        <w:t xml:space="preserve"> </w:t>
      </w:r>
      <w:r w:rsidRPr="00E06806">
        <w:rPr>
          <w:rFonts w:cstheme="minorHAnsi"/>
          <w:color w:val="231F20"/>
          <w:w w:val="105"/>
        </w:rPr>
        <w:t>a</w:t>
      </w:r>
      <w:r w:rsidRPr="00E06806">
        <w:rPr>
          <w:rFonts w:cstheme="minorHAnsi"/>
          <w:color w:val="231F20"/>
          <w:spacing w:val="18"/>
          <w:w w:val="105"/>
        </w:rPr>
        <w:t xml:space="preserve"> </w:t>
      </w:r>
      <w:r w:rsidRPr="00E06806">
        <w:rPr>
          <w:rFonts w:cstheme="minorHAnsi"/>
          <w:color w:val="231F20"/>
          <w:w w:val="105"/>
        </w:rPr>
        <w:t>$15</w:t>
      </w:r>
      <w:r w:rsidRPr="00E06806">
        <w:rPr>
          <w:rFonts w:cstheme="minorHAnsi"/>
          <w:color w:val="231F20"/>
          <w:spacing w:val="8"/>
          <w:w w:val="105"/>
        </w:rPr>
        <w:t xml:space="preserve"> </w:t>
      </w:r>
      <w:r w:rsidRPr="00E06806">
        <w:rPr>
          <w:rFonts w:cstheme="minorHAnsi"/>
          <w:color w:val="231F20"/>
          <w:w w:val="105"/>
        </w:rPr>
        <w:t>million</w:t>
      </w:r>
      <w:r w:rsidRPr="00E06806">
        <w:rPr>
          <w:rFonts w:cstheme="minorHAnsi"/>
          <w:color w:val="231F20"/>
          <w:spacing w:val="22"/>
          <w:w w:val="105"/>
        </w:rPr>
        <w:t xml:space="preserve"> </w:t>
      </w:r>
      <w:r w:rsidRPr="00E06806">
        <w:rPr>
          <w:rFonts w:cstheme="minorHAnsi"/>
          <w:color w:val="231F20"/>
          <w:w w:val="105"/>
        </w:rPr>
        <w:t>USDOL</w:t>
      </w:r>
      <w:r w:rsidRPr="00E06806">
        <w:rPr>
          <w:rFonts w:cstheme="minorHAnsi"/>
          <w:color w:val="231F20"/>
          <w:spacing w:val="22"/>
          <w:w w:val="105"/>
        </w:rPr>
        <w:t xml:space="preserve"> </w:t>
      </w:r>
      <w:r w:rsidRPr="00E06806">
        <w:rPr>
          <w:rFonts w:cstheme="minorHAnsi"/>
          <w:color w:val="231F20"/>
          <w:spacing w:val="-4"/>
          <w:w w:val="105"/>
        </w:rPr>
        <w:t>TAACCT</w:t>
      </w:r>
      <w:r w:rsidRPr="00E06806">
        <w:rPr>
          <w:rFonts w:cstheme="minorHAnsi"/>
          <w:color w:val="231F20"/>
          <w:spacing w:val="22"/>
          <w:w w:val="105"/>
        </w:rPr>
        <w:t xml:space="preserve"> </w:t>
      </w:r>
      <w:r w:rsidRPr="00E06806">
        <w:rPr>
          <w:rFonts w:cstheme="minorHAnsi"/>
          <w:color w:val="231F20"/>
          <w:w w:val="105"/>
        </w:rPr>
        <w:t>Grant</w:t>
      </w:r>
      <w:r w:rsidRPr="00E06806">
        <w:rPr>
          <w:rFonts w:cstheme="minorHAnsi"/>
          <w:color w:val="231F20"/>
          <w:spacing w:val="22"/>
          <w:w w:val="105"/>
        </w:rPr>
        <w:t xml:space="preserve"> </w:t>
      </w:r>
      <w:r w:rsidRPr="00E06806">
        <w:rPr>
          <w:rFonts w:cstheme="minorHAnsi"/>
          <w:color w:val="231F20"/>
          <w:w w:val="105"/>
        </w:rPr>
        <w:t>in</w:t>
      </w:r>
      <w:r w:rsidRPr="00E06806">
        <w:rPr>
          <w:rFonts w:cstheme="minorHAnsi"/>
          <w:color w:val="231F20"/>
          <w:spacing w:val="22"/>
          <w:w w:val="105"/>
        </w:rPr>
        <w:t xml:space="preserve"> </w:t>
      </w:r>
      <w:r w:rsidRPr="00E06806">
        <w:rPr>
          <w:rFonts w:cstheme="minorHAnsi"/>
          <w:color w:val="231F20"/>
          <w:w w:val="105"/>
        </w:rPr>
        <w:t>2012.</w:t>
      </w:r>
      <w:r w:rsidRPr="00E06806">
        <w:rPr>
          <w:rFonts w:cstheme="minorHAnsi"/>
          <w:color w:val="231F20"/>
          <w:spacing w:val="22"/>
          <w:w w:val="105"/>
        </w:rPr>
        <w:t xml:space="preserve"> </w:t>
      </w:r>
      <w:r w:rsidR="008A5580" w:rsidRPr="00E06806">
        <w:rPr>
          <w:rFonts w:cstheme="minorHAnsi"/>
          <w:color w:val="231F20"/>
          <w:spacing w:val="22"/>
          <w:w w:val="105"/>
        </w:rPr>
        <w:t xml:space="preserve">The Florida </w:t>
      </w:r>
      <w:r w:rsidRPr="00E06806">
        <w:rPr>
          <w:rFonts w:cstheme="minorHAnsi"/>
          <w:color w:val="231F20"/>
          <w:w w:val="105"/>
        </w:rPr>
        <w:t>Transforming</w:t>
      </w:r>
      <w:r w:rsidRPr="00E06806">
        <w:rPr>
          <w:rFonts w:cstheme="minorHAnsi"/>
          <w:color w:val="231F20"/>
          <w:spacing w:val="22"/>
          <w:w w:val="105"/>
        </w:rPr>
        <w:t xml:space="preserve"> </w:t>
      </w:r>
      <w:r w:rsidRPr="00E06806">
        <w:rPr>
          <w:rFonts w:cstheme="minorHAnsi"/>
          <w:color w:val="231F20"/>
          <w:w w:val="105"/>
        </w:rPr>
        <w:t>Resources</w:t>
      </w:r>
      <w:r w:rsidRPr="00E06806">
        <w:rPr>
          <w:rFonts w:cstheme="minorHAnsi"/>
          <w:color w:val="231F20"/>
          <w:spacing w:val="22"/>
          <w:w w:val="105"/>
        </w:rPr>
        <w:t xml:space="preserve"> </w:t>
      </w:r>
      <w:r w:rsidRPr="00E06806">
        <w:rPr>
          <w:rFonts w:cstheme="minorHAnsi"/>
          <w:color w:val="231F20"/>
          <w:w w:val="105"/>
        </w:rPr>
        <w:t>for</w:t>
      </w:r>
      <w:r w:rsidRPr="00E06806">
        <w:rPr>
          <w:rFonts w:cstheme="minorHAnsi"/>
          <w:color w:val="231F20"/>
          <w:spacing w:val="22"/>
          <w:w w:val="105"/>
        </w:rPr>
        <w:t xml:space="preserve"> </w:t>
      </w:r>
      <w:r w:rsidRPr="00E06806">
        <w:rPr>
          <w:rFonts w:cstheme="minorHAnsi"/>
          <w:color w:val="231F20"/>
          <w:w w:val="105"/>
        </w:rPr>
        <w:t>Accelerated</w:t>
      </w:r>
      <w:r w:rsidRPr="00E06806">
        <w:rPr>
          <w:rFonts w:cstheme="minorHAnsi"/>
          <w:color w:val="231F20"/>
          <w:spacing w:val="-3"/>
          <w:w w:val="105"/>
        </w:rPr>
        <w:t xml:space="preserve"> </w:t>
      </w:r>
      <w:r w:rsidRPr="00E06806">
        <w:rPr>
          <w:rFonts w:cstheme="minorHAnsi"/>
          <w:color w:val="231F20"/>
          <w:w w:val="105"/>
        </w:rPr>
        <w:t>Degrees</w:t>
      </w:r>
      <w:r w:rsidRPr="00E06806">
        <w:rPr>
          <w:rFonts w:cstheme="minorHAnsi"/>
          <w:color w:val="231F20"/>
          <w:spacing w:val="10"/>
          <w:w w:val="105"/>
        </w:rPr>
        <w:t xml:space="preserve"> </w:t>
      </w:r>
      <w:r w:rsidRPr="00E06806">
        <w:rPr>
          <w:rFonts w:cstheme="minorHAnsi"/>
          <w:color w:val="231F20"/>
          <w:w w:val="105"/>
        </w:rPr>
        <w:t>and</w:t>
      </w:r>
      <w:r w:rsidRPr="00E06806">
        <w:rPr>
          <w:rFonts w:cstheme="minorHAnsi"/>
          <w:color w:val="231F20"/>
          <w:spacing w:val="10"/>
          <w:w w:val="105"/>
        </w:rPr>
        <w:t xml:space="preserve"> </w:t>
      </w:r>
      <w:r w:rsidRPr="00E06806">
        <w:rPr>
          <w:rFonts w:cstheme="minorHAnsi"/>
          <w:color w:val="231F20"/>
          <w:w w:val="105"/>
        </w:rPr>
        <w:t>Employment</w:t>
      </w:r>
      <w:r w:rsidR="008A5580" w:rsidRPr="00E06806">
        <w:rPr>
          <w:rFonts w:cstheme="minorHAnsi"/>
          <w:color w:val="231F20"/>
          <w:w w:val="105"/>
        </w:rPr>
        <w:t xml:space="preserve"> program (TRADE) was created with </w:t>
      </w:r>
      <w:r w:rsidRPr="00E06806">
        <w:rPr>
          <w:rFonts w:cstheme="minorHAnsi"/>
          <w:color w:val="231F20"/>
          <w:w w:val="105"/>
        </w:rPr>
        <w:t>the</w:t>
      </w:r>
      <w:r w:rsidRPr="00E06806">
        <w:rPr>
          <w:rFonts w:cstheme="minorHAnsi"/>
          <w:color w:val="231F20"/>
          <w:spacing w:val="10"/>
          <w:w w:val="105"/>
        </w:rPr>
        <w:t xml:space="preserve"> </w:t>
      </w:r>
      <w:r w:rsidRPr="00E06806">
        <w:rPr>
          <w:rFonts w:cstheme="minorHAnsi"/>
          <w:color w:val="231F20"/>
          <w:w w:val="105"/>
        </w:rPr>
        <w:t>vision</w:t>
      </w:r>
      <w:r w:rsidRPr="00E06806">
        <w:rPr>
          <w:rFonts w:cstheme="minorHAnsi"/>
          <w:color w:val="231F20"/>
          <w:spacing w:val="10"/>
          <w:w w:val="105"/>
        </w:rPr>
        <w:t xml:space="preserve"> </w:t>
      </w:r>
      <w:r w:rsidR="008A5580" w:rsidRPr="00E06806">
        <w:rPr>
          <w:rFonts w:cstheme="minorHAnsi"/>
          <w:color w:val="231F20"/>
          <w:w w:val="105"/>
        </w:rPr>
        <w:t xml:space="preserve">of transforming </w:t>
      </w:r>
      <w:r w:rsidRPr="00E06806">
        <w:rPr>
          <w:rFonts w:cstheme="minorHAnsi"/>
          <w:color w:val="231F20"/>
          <w:w w:val="105"/>
        </w:rPr>
        <w:t>Florida’s</w:t>
      </w:r>
      <w:r w:rsidRPr="00E06806">
        <w:rPr>
          <w:rFonts w:cstheme="minorHAnsi"/>
          <w:color w:val="231F20"/>
          <w:spacing w:val="10"/>
          <w:w w:val="105"/>
        </w:rPr>
        <w:t xml:space="preserve"> </w:t>
      </w:r>
      <w:r w:rsidRPr="00E06806">
        <w:rPr>
          <w:rFonts w:cstheme="minorHAnsi"/>
          <w:color w:val="231F20"/>
          <w:w w:val="105"/>
        </w:rPr>
        <w:t>existing</w:t>
      </w:r>
      <w:r w:rsidRPr="00E06806">
        <w:rPr>
          <w:rFonts w:cstheme="minorHAnsi"/>
          <w:color w:val="231F20"/>
          <w:spacing w:val="10"/>
          <w:w w:val="105"/>
        </w:rPr>
        <w:t xml:space="preserve"> </w:t>
      </w:r>
      <w:r w:rsidR="008A5580" w:rsidRPr="00E06806">
        <w:rPr>
          <w:rFonts w:cstheme="minorHAnsi"/>
          <w:color w:val="231F20"/>
          <w:spacing w:val="10"/>
          <w:w w:val="105"/>
        </w:rPr>
        <w:t xml:space="preserve">advanced manufacturing </w:t>
      </w:r>
      <w:r w:rsidRPr="00E06806">
        <w:rPr>
          <w:rFonts w:cstheme="minorHAnsi"/>
          <w:color w:val="231F20"/>
          <w:w w:val="105"/>
        </w:rPr>
        <w:t>training</w:t>
      </w:r>
      <w:r w:rsidRPr="00E06806">
        <w:rPr>
          <w:rFonts w:cstheme="minorHAnsi"/>
          <w:color w:val="231F20"/>
          <w:spacing w:val="10"/>
          <w:w w:val="105"/>
        </w:rPr>
        <w:t xml:space="preserve"> </w:t>
      </w:r>
      <w:r w:rsidRPr="00E06806">
        <w:rPr>
          <w:rFonts w:cstheme="minorHAnsi"/>
          <w:color w:val="231F20"/>
          <w:w w:val="105"/>
        </w:rPr>
        <w:t>and</w:t>
      </w:r>
      <w:r w:rsidRPr="00E06806">
        <w:rPr>
          <w:rFonts w:cstheme="minorHAnsi"/>
          <w:color w:val="231F20"/>
          <w:spacing w:val="10"/>
          <w:w w:val="105"/>
        </w:rPr>
        <w:t xml:space="preserve"> </w:t>
      </w:r>
      <w:r w:rsidRPr="00E06806">
        <w:rPr>
          <w:rFonts w:cstheme="minorHAnsi"/>
          <w:color w:val="231F20"/>
          <w:w w:val="105"/>
        </w:rPr>
        <w:t>education</w:t>
      </w:r>
      <w:r w:rsidRPr="00E06806">
        <w:rPr>
          <w:rFonts w:cstheme="minorHAnsi"/>
          <w:color w:val="231F20"/>
          <w:spacing w:val="10"/>
          <w:w w:val="105"/>
        </w:rPr>
        <w:t xml:space="preserve"> </w:t>
      </w:r>
      <w:r w:rsidRPr="00E06806">
        <w:rPr>
          <w:rFonts w:cstheme="minorHAnsi"/>
          <w:color w:val="231F20"/>
          <w:w w:val="105"/>
        </w:rPr>
        <w:t>system.</w:t>
      </w:r>
      <w:r w:rsidRPr="00E06806">
        <w:rPr>
          <w:rFonts w:cstheme="minorHAnsi"/>
          <w:color w:val="231F20"/>
          <w:spacing w:val="20"/>
          <w:w w:val="105"/>
        </w:rPr>
        <w:t xml:space="preserve"> </w:t>
      </w:r>
      <w:r w:rsidRPr="00E06806">
        <w:rPr>
          <w:rFonts w:cstheme="minorHAnsi"/>
          <w:color w:val="231F20"/>
          <w:w w:val="105"/>
        </w:rPr>
        <w:t>The</w:t>
      </w:r>
      <w:r w:rsidRPr="00E06806">
        <w:rPr>
          <w:rFonts w:cstheme="minorHAnsi"/>
          <w:color w:val="231F20"/>
          <w:spacing w:val="20"/>
          <w:w w:val="105"/>
        </w:rPr>
        <w:t xml:space="preserve"> </w:t>
      </w:r>
      <w:r w:rsidRPr="00E06806">
        <w:rPr>
          <w:rFonts w:cstheme="minorHAnsi"/>
          <w:color w:val="231F20"/>
          <w:w w:val="105"/>
        </w:rPr>
        <w:t>Florida</w:t>
      </w:r>
      <w:r w:rsidRPr="00E06806">
        <w:rPr>
          <w:rFonts w:cstheme="minorHAnsi"/>
          <w:color w:val="231F20"/>
          <w:spacing w:val="20"/>
          <w:w w:val="105"/>
        </w:rPr>
        <w:t xml:space="preserve"> </w:t>
      </w:r>
      <w:r w:rsidRPr="00E06806">
        <w:rPr>
          <w:rFonts w:cstheme="minorHAnsi"/>
          <w:color w:val="231F20"/>
          <w:w w:val="105"/>
        </w:rPr>
        <w:t>team</w:t>
      </w:r>
      <w:r w:rsidRPr="00E06806">
        <w:rPr>
          <w:rFonts w:cstheme="minorHAnsi"/>
          <w:color w:val="231F20"/>
          <w:spacing w:val="20"/>
          <w:w w:val="105"/>
        </w:rPr>
        <w:t xml:space="preserve"> </w:t>
      </w:r>
      <w:r w:rsidR="008A5580" w:rsidRPr="00E06806">
        <w:rPr>
          <w:rFonts w:cstheme="minorHAnsi"/>
          <w:color w:val="231F20"/>
          <w:w w:val="105"/>
        </w:rPr>
        <w:t xml:space="preserve">collaborated </w:t>
      </w:r>
      <w:r w:rsidRPr="00E06806">
        <w:rPr>
          <w:rFonts w:cstheme="minorHAnsi"/>
          <w:color w:val="231F20"/>
          <w:w w:val="105"/>
        </w:rPr>
        <w:t>to</w:t>
      </w:r>
      <w:r w:rsidRPr="00E06806">
        <w:rPr>
          <w:rFonts w:cstheme="minorHAnsi"/>
          <w:color w:val="231F20"/>
          <w:spacing w:val="20"/>
          <w:w w:val="105"/>
        </w:rPr>
        <w:t xml:space="preserve"> </w:t>
      </w:r>
      <w:r w:rsidRPr="00E06806">
        <w:rPr>
          <w:rFonts w:cstheme="minorHAnsi"/>
          <w:color w:val="231F20"/>
          <w:w w:val="105"/>
        </w:rPr>
        <w:t>identify</w:t>
      </w:r>
      <w:r w:rsidRPr="00E06806">
        <w:rPr>
          <w:rFonts w:cstheme="minorHAnsi"/>
          <w:color w:val="231F20"/>
          <w:spacing w:val="20"/>
          <w:w w:val="105"/>
        </w:rPr>
        <w:t xml:space="preserve"> </w:t>
      </w:r>
      <w:r w:rsidRPr="00E06806">
        <w:rPr>
          <w:rFonts w:cstheme="minorHAnsi"/>
          <w:color w:val="231F20"/>
          <w:w w:val="105"/>
        </w:rPr>
        <w:t>and</w:t>
      </w:r>
      <w:r w:rsidRPr="00E06806">
        <w:rPr>
          <w:rFonts w:cstheme="minorHAnsi"/>
          <w:color w:val="231F20"/>
          <w:spacing w:val="20"/>
          <w:w w:val="105"/>
        </w:rPr>
        <w:t xml:space="preserve"> </w:t>
      </w:r>
      <w:r w:rsidRPr="00E06806">
        <w:rPr>
          <w:rFonts w:cstheme="minorHAnsi"/>
          <w:color w:val="231F20"/>
          <w:w w:val="105"/>
        </w:rPr>
        <w:t>align</w:t>
      </w:r>
      <w:r w:rsidRPr="00E06806">
        <w:rPr>
          <w:rFonts w:cstheme="minorHAnsi"/>
          <w:color w:val="231F20"/>
          <w:spacing w:val="20"/>
          <w:w w:val="105"/>
        </w:rPr>
        <w:t xml:space="preserve"> </w:t>
      </w:r>
      <w:r w:rsidRPr="00E06806">
        <w:rPr>
          <w:rFonts w:cstheme="minorHAnsi"/>
          <w:color w:val="231F20"/>
          <w:w w:val="105"/>
        </w:rPr>
        <w:t>existing</w:t>
      </w:r>
      <w:r w:rsidRPr="00E06806">
        <w:rPr>
          <w:rFonts w:cstheme="minorHAnsi"/>
          <w:color w:val="231F20"/>
          <w:spacing w:val="20"/>
          <w:w w:val="105"/>
        </w:rPr>
        <w:t xml:space="preserve"> </w:t>
      </w:r>
      <w:r w:rsidRPr="00E06806">
        <w:rPr>
          <w:rFonts w:cstheme="minorHAnsi"/>
          <w:color w:val="231F20"/>
          <w:w w:val="105"/>
        </w:rPr>
        <w:t>resources</w:t>
      </w:r>
      <w:r w:rsidRPr="00E06806">
        <w:rPr>
          <w:rFonts w:cstheme="minorHAnsi"/>
          <w:color w:val="231F20"/>
          <w:w w:val="109"/>
        </w:rPr>
        <w:t xml:space="preserve"> </w:t>
      </w:r>
      <w:r w:rsidRPr="00E06806">
        <w:rPr>
          <w:rFonts w:cstheme="minorHAnsi"/>
          <w:color w:val="231F20"/>
          <w:w w:val="105"/>
        </w:rPr>
        <w:t>such</w:t>
      </w:r>
      <w:r w:rsidRPr="00E06806">
        <w:rPr>
          <w:rFonts w:cstheme="minorHAnsi"/>
          <w:color w:val="231F20"/>
          <w:spacing w:val="10"/>
          <w:w w:val="105"/>
        </w:rPr>
        <w:t xml:space="preserve"> </w:t>
      </w:r>
      <w:r w:rsidRPr="00E06806">
        <w:rPr>
          <w:rFonts w:cstheme="minorHAnsi"/>
          <w:color w:val="231F20"/>
          <w:w w:val="105"/>
        </w:rPr>
        <w:t>as</w:t>
      </w:r>
      <w:r w:rsidRPr="00E06806">
        <w:rPr>
          <w:rFonts w:cstheme="minorHAnsi"/>
          <w:color w:val="231F20"/>
          <w:spacing w:val="10"/>
          <w:w w:val="105"/>
        </w:rPr>
        <w:t xml:space="preserve"> </w:t>
      </w:r>
      <w:r w:rsidRPr="00E06806">
        <w:rPr>
          <w:rFonts w:cstheme="minorHAnsi"/>
          <w:color w:val="231F20"/>
          <w:w w:val="105"/>
        </w:rPr>
        <w:t>curricula</w:t>
      </w:r>
      <w:r w:rsidRPr="00E06806">
        <w:rPr>
          <w:rFonts w:cstheme="minorHAnsi"/>
          <w:color w:val="231F20"/>
          <w:spacing w:val="10"/>
          <w:w w:val="105"/>
        </w:rPr>
        <w:t xml:space="preserve"> </w:t>
      </w:r>
      <w:r w:rsidRPr="00E06806">
        <w:rPr>
          <w:rFonts w:cstheme="minorHAnsi"/>
          <w:color w:val="231F20"/>
          <w:w w:val="105"/>
        </w:rPr>
        <w:t>and</w:t>
      </w:r>
      <w:r w:rsidRPr="00E06806">
        <w:rPr>
          <w:rFonts w:cstheme="minorHAnsi"/>
          <w:color w:val="231F20"/>
          <w:spacing w:val="10"/>
          <w:w w:val="105"/>
        </w:rPr>
        <w:t xml:space="preserve"> </w:t>
      </w:r>
      <w:r w:rsidRPr="00E06806">
        <w:rPr>
          <w:rFonts w:cstheme="minorHAnsi"/>
          <w:color w:val="231F20"/>
          <w:w w:val="105"/>
        </w:rPr>
        <w:t>equipment</w:t>
      </w:r>
      <w:r w:rsidRPr="00E06806">
        <w:rPr>
          <w:rFonts w:cstheme="minorHAnsi"/>
          <w:color w:val="231F20"/>
          <w:spacing w:val="10"/>
          <w:w w:val="105"/>
        </w:rPr>
        <w:t xml:space="preserve"> </w:t>
      </w:r>
      <w:r w:rsidRPr="00E06806">
        <w:rPr>
          <w:rFonts w:cstheme="minorHAnsi"/>
          <w:color w:val="231F20"/>
          <w:w w:val="105"/>
        </w:rPr>
        <w:t>from</w:t>
      </w:r>
      <w:r w:rsidRPr="00E06806">
        <w:rPr>
          <w:rFonts w:cstheme="minorHAnsi"/>
          <w:color w:val="231F20"/>
          <w:spacing w:val="10"/>
          <w:w w:val="105"/>
        </w:rPr>
        <w:t xml:space="preserve"> </w:t>
      </w:r>
      <w:r w:rsidRPr="00E06806">
        <w:rPr>
          <w:rFonts w:cstheme="minorHAnsi"/>
          <w:color w:val="231F20"/>
          <w:w w:val="105"/>
        </w:rPr>
        <w:t>12</w:t>
      </w:r>
      <w:r w:rsidRPr="00E06806">
        <w:rPr>
          <w:rFonts w:cstheme="minorHAnsi"/>
          <w:color w:val="231F20"/>
          <w:spacing w:val="10"/>
          <w:w w:val="105"/>
        </w:rPr>
        <w:t xml:space="preserve"> </w:t>
      </w:r>
      <w:r w:rsidRPr="00E06806">
        <w:rPr>
          <w:rFonts w:cstheme="minorHAnsi"/>
          <w:color w:val="231F20"/>
          <w:w w:val="105"/>
        </w:rPr>
        <w:t>institutions</w:t>
      </w:r>
      <w:r w:rsidRPr="00E06806">
        <w:rPr>
          <w:rFonts w:cstheme="minorHAnsi"/>
          <w:color w:val="231F20"/>
          <w:spacing w:val="10"/>
          <w:w w:val="105"/>
        </w:rPr>
        <w:t xml:space="preserve"> </w:t>
      </w:r>
      <w:r w:rsidRPr="00E06806">
        <w:rPr>
          <w:rFonts w:cstheme="minorHAnsi"/>
          <w:color w:val="231F20"/>
          <w:w w:val="105"/>
        </w:rPr>
        <w:t>to</w:t>
      </w:r>
      <w:r w:rsidRPr="00E06806">
        <w:rPr>
          <w:rFonts w:cstheme="minorHAnsi"/>
          <w:color w:val="231F20"/>
          <w:spacing w:val="10"/>
          <w:w w:val="105"/>
        </w:rPr>
        <w:t xml:space="preserve"> </w:t>
      </w:r>
      <w:r w:rsidRPr="00E06806">
        <w:rPr>
          <w:rFonts w:cstheme="minorHAnsi"/>
          <w:color w:val="231F20"/>
          <w:w w:val="105"/>
        </w:rPr>
        <w:t>build</w:t>
      </w:r>
      <w:r w:rsidRPr="00E06806">
        <w:rPr>
          <w:rFonts w:cstheme="minorHAnsi"/>
          <w:color w:val="231F20"/>
          <w:spacing w:val="10"/>
          <w:w w:val="105"/>
        </w:rPr>
        <w:t xml:space="preserve"> </w:t>
      </w:r>
      <w:r w:rsidRPr="00E06806">
        <w:rPr>
          <w:rFonts w:cstheme="minorHAnsi"/>
          <w:color w:val="231F20"/>
          <w:w w:val="105"/>
        </w:rPr>
        <w:t>capacity</w:t>
      </w:r>
      <w:r w:rsidRPr="00E06806">
        <w:rPr>
          <w:rFonts w:cstheme="minorHAnsi"/>
          <w:color w:val="231F20"/>
          <w:spacing w:val="10"/>
          <w:w w:val="105"/>
        </w:rPr>
        <w:t xml:space="preserve"> </w:t>
      </w:r>
      <w:r w:rsidRPr="00E06806">
        <w:rPr>
          <w:rFonts w:cstheme="minorHAnsi"/>
          <w:color w:val="231F20"/>
          <w:w w:val="105"/>
        </w:rPr>
        <w:t>and</w:t>
      </w:r>
      <w:r w:rsidRPr="00E06806">
        <w:rPr>
          <w:rFonts w:cstheme="minorHAnsi"/>
          <w:color w:val="231F20"/>
          <w:spacing w:val="10"/>
          <w:w w:val="105"/>
        </w:rPr>
        <w:t xml:space="preserve"> </w:t>
      </w:r>
      <w:r w:rsidRPr="00E06806">
        <w:rPr>
          <w:rFonts w:cstheme="minorHAnsi"/>
          <w:color w:val="231F20"/>
          <w:w w:val="105"/>
        </w:rPr>
        <w:t>serve</w:t>
      </w:r>
      <w:r w:rsidRPr="00E06806">
        <w:rPr>
          <w:rFonts w:cstheme="minorHAnsi"/>
          <w:color w:val="231F20"/>
          <w:spacing w:val="10"/>
          <w:w w:val="105"/>
        </w:rPr>
        <w:t xml:space="preserve"> </w:t>
      </w:r>
      <w:r w:rsidRPr="00E06806">
        <w:rPr>
          <w:rFonts w:cstheme="minorHAnsi"/>
          <w:color w:val="231F20"/>
          <w:w w:val="105"/>
        </w:rPr>
        <w:t>as</w:t>
      </w:r>
      <w:r w:rsidRPr="00E06806">
        <w:rPr>
          <w:rFonts w:cstheme="minorHAnsi"/>
          <w:color w:val="231F20"/>
          <w:spacing w:val="10"/>
          <w:w w:val="105"/>
        </w:rPr>
        <w:t xml:space="preserve"> </w:t>
      </w:r>
      <w:r w:rsidRPr="00E06806">
        <w:rPr>
          <w:rFonts w:cstheme="minorHAnsi"/>
          <w:color w:val="231F20"/>
          <w:w w:val="105"/>
        </w:rPr>
        <w:t>a</w:t>
      </w:r>
      <w:r w:rsidRPr="00E06806">
        <w:rPr>
          <w:rFonts w:cstheme="minorHAnsi"/>
          <w:color w:val="231F20"/>
          <w:spacing w:val="10"/>
          <w:w w:val="105"/>
        </w:rPr>
        <w:t xml:space="preserve"> </w:t>
      </w:r>
      <w:r w:rsidRPr="00E06806">
        <w:rPr>
          <w:rFonts w:cstheme="minorHAnsi"/>
          <w:color w:val="231F20"/>
          <w:w w:val="105"/>
        </w:rPr>
        <w:t>sustainable</w:t>
      </w:r>
      <w:r w:rsidRPr="00E06806">
        <w:rPr>
          <w:rFonts w:cstheme="minorHAnsi"/>
          <w:color w:val="231F20"/>
          <w:spacing w:val="10"/>
          <w:w w:val="105"/>
        </w:rPr>
        <w:t xml:space="preserve"> </w:t>
      </w:r>
      <w:r w:rsidRPr="00E06806">
        <w:rPr>
          <w:rFonts w:cstheme="minorHAnsi"/>
          <w:color w:val="231F20"/>
          <w:w w:val="105"/>
        </w:rPr>
        <w:t>way</w:t>
      </w:r>
      <w:r w:rsidR="008A5580" w:rsidRPr="00E06806">
        <w:rPr>
          <w:rFonts w:cstheme="minorHAnsi"/>
          <w:color w:val="231F20"/>
          <w:w w:val="105"/>
        </w:rPr>
        <w:t xml:space="preserve"> </w:t>
      </w:r>
      <w:r w:rsidRPr="00E06806">
        <w:rPr>
          <w:rFonts w:cstheme="minorHAnsi"/>
          <w:color w:val="231F20"/>
          <w:w w:val="105"/>
        </w:rPr>
        <w:t>to</w:t>
      </w:r>
      <w:r w:rsidRPr="00E06806">
        <w:rPr>
          <w:rFonts w:cstheme="minorHAnsi"/>
          <w:color w:val="231F20"/>
          <w:spacing w:val="12"/>
          <w:w w:val="105"/>
        </w:rPr>
        <w:t xml:space="preserve"> </w:t>
      </w:r>
      <w:r w:rsidRPr="00E06806">
        <w:rPr>
          <w:rFonts w:cstheme="minorHAnsi"/>
          <w:color w:val="231F20"/>
          <w:w w:val="105"/>
        </w:rPr>
        <w:t>offer</w:t>
      </w:r>
      <w:r w:rsidRPr="00E06806">
        <w:rPr>
          <w:rFonts w:cstheme="minorHAnsi"/>
          <w:color w:val="231F20"/>
          <w:spacing w:val="12"/>
          <w:w w:val="105"/>
        </w:rPr>
        <w:t xml:space="preserve"> </w:t>
      </w:r>
      <w:r w:rsidRPr="00E06806">
        <w:rPr>
          <w:rFonts w:cstheme="minorHAnsi"/>
          <w:color w:val="231F20"/>
          <w:w w:val="105"/>
        </w:rPr>
        <w:t>training</w:t>
      </w:r>
      <w:r w:rsidRPr="00E06806">
        <w:rPr>
          <w:rFonts w:cstheme="minorHAnsi"/>
          <w:color w:val="231F20"/>
          <w:spacing w:val="12"/>
          <w:w w:val="105"/>
        </w:rPr>
        <w:t xml:space="preserve"> </w:t>
      </w:r>
      <w:r w:rsidRPr="00E06806">
        <w:rPr>
          <w:rFonts w:cstheme="minorHAnsi"/>
          <w:color w:val="231F20"/>
          <w:w w:val="105"/>
        </w:rPr>
        <w:t>for</w:t>
      </w:r>
      <w:r w:rsidRPr="00E06806">
        <w:rPr>
          <w:rFonts w:cstheme="minorHAnsi"/>
          <w:color w:val="231F20"/>
          <w:spacing w:val="12"/>
          <w:w w:val="105"/>
        </w:rPr>
        <w:t xml:space="preserve"> </w:t>
      </w:r>
      <w:r w:rsidRPr="00E06806">
        <w:rPr>
          <w:rFonts w:cstheme="minorHAnsi"/>
          <w:color w:val="231F20"/>
          <w:w w:val="105"/>
        </w:rPr>
        <w:t>a</w:t>
      </w:r>
      <w:r w:rsidRPr="00E06806">
        <w:rPr>
          <w:rFonts w:cstheme="minorHAnsi"/>
          <w:color w:val="231F20"/>
          <w:spacing w:val="12"/>
          <w:w w:val="105"/>
        </w:rPr>
        <w:t xml:space="preserve"> </w:t>
      </w:r>
      <w:r w:rsidRPr="00E06806">
        <w:rPr>
          <w:rFonts w:cstheme="minorHAnsi"/>
          <w:color w:val="231F20"/>
          <w:w w:val="105"/>
        </w:rPr>
        <w:t>range</w:t>
      </w:r>
      <w:r w:rsidRPr="00E06806">
        <w:rPr>
          <w:rFonts w:cstheme="minorHAnsi"/>
          <w:color w:val="231F20"/>
          <w:spacing w:val="12"/>
          <w:w w:val="105"/>
        </w:rPr>
        <w:t xml:space="preserve"> </w:t>
      </w:r>
      <w:r w:rsidRPr="00E06806">
        <w:rPr>
          <w:rFonts w:cstheme="minorHAnsi"/>
          <w:color w:val="231F20"/>
          <w:w w:val="105"/>
        </w:rPr>
        <w:t>of</w:t>
      </w:r>
      <w:r w:rsidRPr="00E06806">
        <w:rPr>
          <w:rFonts w:cstheme="minorHAnsi"/>
          <w:color w:val="231F20"/>
          <w:spacing w:val="12"/>
          <w:w w:val="105"/>
        </w:rPr>
        <w:t xml:space="preserve"> </w:t>
      </w:r>
      <w:r w:rsidRPr="00E06806">
        <w:rPr>
          <w:rFonts w:cstheme="minorHAnsi"/>
          <w:color w:val="231F20"/>
          <w:w w:val="105"/>
        </w:rPr>
        <w:t>skill</w:t>
      </w:r>
      <w:r w:rsidRPr="00E06806">
        <w:rPr>
          <w:rFonts w:cstheme="minorHAnsi"/>
          <w:color w:val="231F20"/>
          <w:spacing w:val="12"/>
          <w:w w:val="105"/>
        </w:rPr>
        <w:t xml:space="preserve"> </w:t>
      </w:r>
      <w:r w:rsidRPr="00E06806">
        <w:rPr>
          <w:rFonts w:cstheme="minorHAnsi"/>
          <w:color w:val="231F20"/>
          <w:w w:val="105"/>
        </w:rPr>
        <w:t>levels</w:t>
      </w:r>
      <w:r w:rsidRPr="00E06806">
        <w:rPr>
          <w:rFonts w:cstheme="minorHAnsi"/>
          <w:color w:val="231F20"/>
          <w:spacing w:val="12"/>
          <w:w w:val="105"/>
        </w:rPr>
        <w:t xml:space="preserve"> </w:t>
      </w:r>
      <w:r w:rsidRPr="00E06806">
        <w:rPr>
          <w:rFonts w:cstheme="minorHAnsi"/>
          <w:color w:val="231F20"/>
          <w:w w:val="105"/>
        </w:rPr>
        <w:t>in</w:t>
      </w:r>
      <w:r w:rsidRPr="00E06806">
        <w:rPr>
          <w:rFonts w:cstheme="minorHAnsi"/>
          <w:color w:val="231F20"/>
          <w:spacing w:val="12"/>
          <w:w w:val="105"/>
        </w:rPr>
        <w:t xml:space="preserve"> </w:t>
      </w:r>
      <w:r w:rsidRPr="00E06806">
        <w:rPr>
          <w:rFonts w:cstheme="minorHAnsi"/>
          <w:color w:val="231F20"/>
          <w:w w:val="105"/>
        </w:rPr>
        <w:t>advanced</w:t>
      </w:r>
      <w:r w:rsidRPr="00E06806">
        <w:rPr>
          <w:rFonts w:cstheme="minorHAnsi"/>
          <w:color w:val="231F20"/>
          <w:spacing w:val="12"/>
          <w:w w:val="105"/>
        </w:rPr>
        <w:t xml:space="preserve"> </w:t>
      </w:r>
      <w:r w:rsidRPr="00E06806">
        <w:rPr>
          <w:rFonts w:cstheme="minorHAnsi"/>
          <w:color w:val="231F20"/>
          <w:w w:val="105"/>
        </w:rPr>
        <w:t>manufacturing.</w:t>
      </w:r>
      <w:r w:rsidRPr="00E06806">
        <w:rPr>
          <w:rFonts w:cstheme="minorHAnsi"/>
          <w:color w:val="231F20"/>
          <w:spacing w:val="12"/>
          <w:w w:val="105"/>
        </w:rPr>
        <w:t xml:space="preserve"> </w:t>
      </w:r>
      <w:r w:rsidRPr="00E06806">
        <w:rPr>
          <w:rFonts w:cstheme="minorHAnsi"/>
          <w:color w:val="231F20"/>
          <w:w w:val="105"/>
        </w:rPr>
        <w:t>The</w:t>
      </w:r>
      <w:r w:rsidRPr="00E06806">
        <w:rPr>
          <w:rFonts w:cstheme="minorHAnsi"/>
          <w:color w:val="231F20"/>
          <w:spacing w:val="12"/>
          <w:w w:val="105"/>
        </w:rPr>
        <w:t xml:space="preserve"> </w:t>
      </w:r>
      <w:r w:rsidRPr="00E06806">
        <w:rPr>
          <w:rFonts w:cstheme="minorHAnsi"/>
          <w:color w:val="231F20"/>
          <w:w w:val="105"/>
        </w:rPr>
        <w:t>project</w:t>
      </w:r>
      <w:r w:rsidRPr="00E06806">
        <w:rPr>
          <w:rFonts w:cstheme="minorHAnsi"/>
          <w:color w:val="231F20"/>
          <w:spacing w:val="12"/>
          <w:w w:val="105"/>
        </w:rPr>
        <w:t xml:space="preserve"> </w:t>
      </w:r>
      <w:r w:rsidR="008A5580" w:rsidRPr="00E06806">
        <w:rPr>
          <w:rFonts w:cstheme="minorHAnsi"/>
          <w:color w:val="231F20"/>
          <w:w w:val="105"/>
        </w:rPr>
        <w:t xml:space="preserve">provides </w:t>
      </w:r>
      <w:r w:rsidRPr="00E06806">
        <w:rPr>
          <w:rFonts w:cstheme="minorHAnsi"/>
          <w:color w:val="231F20"/>
          <w:w w:val="105"/>
        </w:rPr>
        <w:t>widespread</w:t>
      </w:r>
      <w:r w:rsidRPr="00E06806">
        <w:rPr>
          <w:rFonts w:cstheme="minorHAnsi"/>
          <w:color w:val="231F20"/>
          <w:spacing w:val="14"/>
          <w:w w:val="105"/>
        </w:rPr>
        <w:t xml:space="preserve"> </w:t>
      </w:r>
      <w:r w:rsidRPr="00E06806">
        <w:rPr>
          <w:rFonts w:cstheme="minorHAnsi"/>
          <w:color w:val="231F20"/>
          <w:w w:val="105"/>
        </w:rPr>
        <w:t>access</w:t>
      </w:r>
      <w:r w:rsidRPr="00E06806">
        <w:rPr>
          <w:rFonts w:cstheme="minorHAnsi"/>
          <w:color w:val="231F20"/>
          <w:spacing w:val="14"/>
          <w:w w:val="105"/>
        </w:rPr>
        <w:t xml:space="preserve"> </w:t>
      </w:r>
      <w:r w:rsidRPr="00E06806">
        <w:rPr>
          <w:rFonts w:cstheme="minorHAnsi"/>
          <w:color w:val="231F20"/>
          <w:w w:val="105"/>
        </w:rPr>
        <w:t>for</w:t>
      </w:r>
      <w:r w:rsidRPr="00E06806">
        <w:rPr>
          <w:rFonts w:cstheme="minorHAnsi"/>
          <w:color w:val="231F20"/>
          <w:spacing w:val="14"/>
          <w:w w:val="105"/>
        </w:rPr>
        <w:t xml:space="preserve"> </w:t>
      </w:r>
      <w:r w:rsidRPr="00E06806">
        <w:rPr>
          <w:rFonts w:cstheme="minorHAnsi"/>
          <w:color w:val="231F20"/>
          <w:w w:val="105"/>
        </w:rPr>
        <w:t>students</w:t>
      </w:r>
      <w:r w:rsidRPr="00E06806">
        <w:rPr>
          <w:rFonts w:cstheme="minorHAnsi"/>
          <w:color w:val="231F20"/>
          <w:spacing w:val="14"/>
          <w:w w:val="105"/>
        </w:rPr>
        <w:t xml:space="preserve"> </w:t>
      </w:r>
      <w:r w:rsidRPr="00E06806">
        <w:rPr>
          <w:rFonts w:cstheme="minorHAnsi"/>
          <w:color w:val="231F20"/>
          <w:w w:val="105"/>
        </w:rPr>
        <w:t>to</w:t>
      </w:r>
      <w:r w:rsidRPr="00E06806">
        <w:rPr>
          <w:rFonts w:cstheme="minorHAnsi"/>
          <w:color w:val="231F20"/>
          <w:spacing w:val="14"/>
          <w:w w:val="105"/>
        </w:rPr>
        <w:t xml:space="preserve"> </w:t>
      </w:r>
      <w:r w:rsidR="008A5580" w:rsidRPr="00E06806">
        <w:rPr>
          <w:rFonts w:cstheme="minorHAnsi"/>
          <w:color w:val="231F20"/>
          <w:w w:val="105"/>
        </w:rPr>
        <w:t xml:space="preserve">attend </w:t>
      </w:r>
      <w:r w:rsidRPr="00E06806">
        <w:rPr>
          <w:rFonts w:cstheme="minorHAnsi"/>
          <w:color w:val="231F20"/>
          <w:w w:val="105"/>
        </w:rPr>
        <w:t>online</w:t>
      </w:r>
      <w:r w:rsidRPr="00E06806">
        <w:rPr>
          <w:rFonts w:cstheme="minorHAnsi"/>
          <w:color w:val="231F20"/>
          <w:spacing w:val="14"/>
          <w:w w:val="105"/>
        </w:rPr>
        <w:t xml:space="preserve"> </w:t>
      </w:r>
      <w:r w:rsidR="008A5580" w:rsidRPr="00E06806">
        <w:rPr>
          <w:rFonts w:cstheme="minorHAnsi"/>
          <w:color w:val="231F20"/>
          <w:spacing w:val="14"/>
          <w:w w:val="105"/>
        </w:rPr>
        <w:t xml:space="preserve">courses </w:t>
      </w:r>
      <w:r w:rsidRPr="00E06806">
        <w:rPr>
          <w:rFonts w:cstheme="minorHAnsi"/>
          <w:color w:val="231F20"/>
          <w:w w:val="105"/>
        </w:rPr>
        <w:t>and</w:t>
      </w:r>
      <w:r w:rsidRPr="00E06806">
        <w:rPr>
          <w:rFonts w:cstheme="minorHAnsi"/>
          <w:color w:val="231F20"/>
          <w:spacing w:val="14"/>
          <w:w w:val="105"/>
        </w:rPr>
        <w:t xml:space="preserve"> </w:t>
      </w:r>
      <w:r w:rsidRPr="00E06806">
        <w:rPr>
          <w:rFonts w:cstheme="minorHAnsi"/>
          <w:color w:val="231F20"/>
          <w:w w:val="105"/>
        </w:rPr>
        <w:t>combine</w:t>
      </w:r>
      <w:r w:rsidRPr="00E06806">
        <w:rPr>
          <w:rFonts w:cstheme="minorHAnsi"/>
          <w:color w:val="231F20"/>
          <w:spacing w:val="14"/>
          <w:w w:val="105"/>
        </w:rPr>
        <w:t xml:space="preserve"> </w:t>
      </w:r>
      <w:r w:rsidRPr="00E06806">
        <w:rPr>
          <w:rFonts w:cstheme="minorHAnsi"/>
          <w:color w:val="231F20"/>
          <w:w w:val="105"/>
        </w:rPr>
        <w:t>training</w:t>
      </w:r>
      <w:r w:rsidRPr="00E06806">
        <w:rPr>
          <w:rFonts w:cstheme="minorHAnsi"/>
          <w:color w:val="231F20"/>
          <w:spacing w:val="14"/>
          <w:w w:val="105"/>
        </w:rPr>
        <w:t xml:space="preserve"> </w:t>
      </w:r>
      <w:r w:rsidRPr="00E06806">
        <w:rPr>
          <w:rFonts w:cstheme="minorHAnsi"/>
          <w:color w:val="231F20"/>
          <w:w w:val="105"/>
        </w:rPr>
        <w:t>with</w:t>
      </w:r>
      <w:r w:rsidRPr="00E06806">
        <w:rPr>
          <w:rFonts w:cstheme="minorHAnsi"/>
          <w:color w:val="231F20"/>
          <w:spacing w:val="14"/>
          <w:w w:val="105"/>
        </w:rPr>
        <w:t xml:space="preserve"> </w:t>
      </w:r>
      <w:r w:rsidRPr="00E06806">
        <w:rPr>
          <w:rFonts w:cstheme="minorHAnsi"/>
          <w:color w:val="231F20"/>
          <w:w w:val="105"/>
        </w:rPr>
        <w:t>practical</w:t>
      </w:r>
      <w:r w:rsidRPr="00E06806">
        <w:rPr>
          <w:rFonts w:cstheme="minorHAnsi"/>
          <w:color w:val="231F20"/>
          <w:spacing w:val="14"/>
          <w:w w:val="105"/>
        </w:rPr>
        <w:t xml:space="preserve"> </w:t>
      </w:r>
      <w:r w:rsidR="008A5580" w:rsidRPr="00E06806">
        <w:rPr>
          <w:rFonts w:cstheme="minorHAnsi"/>
          <w:color w:val="231F20"/>
          <w:spacing w:val="14"/>
          <w:w w:val="105"/>
        </w:rPr>
        <w:t xml:space="preserve">hands-on </w:t>
      </w:r>
      <w:r w:rsidRPr="00E06806">
        <w:rPr>
          <w:rFonts w:cstheme="minorHAnsi"/>
          <w:color w:val="231F20"/>
          <w:w w:val="105"/>
        </w:rPr>
        <w:t>work experience through internships</w:t>
      </w:r>
    </w:p>
    <w:bookmarkEnd w:id="73"/>
    <w:p w14:paraId="7F39D0E8" w14:textId="000CAB88" w:rsidR="00EA7458" w:rsidRPr="00E06806" w:rsidRDefault="00EA7458" w:rsidP="00D63204">
      <w:pPr>
        <w:widowControl w:val="0"/>
        <w:spacing w:before="195" w:after="0" w:line="264" w:lineRule="exact"/>
        <w:ind w:left="107"/>
        <w:rPr>
          <w:rFonts w:cstheme="minorHAnsi"/>
        </w:rPr>
      </w:pPr>
      <w:r w:rsidRPr="00E06806">
        <w:rPr>
          <w:rFonts w:cstheme="minorHAnsi"/>
          <w:color w:val="231F20"/>
          <w:w w:val="105"/>
        </w:rPr>
        <w:t>The</w:t>
      </w:r>
      <w:r w:rsidRPr="00E06806">
        <w:rPr>
          <w:rFonts w:cstheme="minorHAnsi"/>
          <w:color w:val="231F20"/>
          <w:spacing w:val="13"/>
          <w:w w:val="105"/>
        </w:rPr>
        <w:t xml:space="preserve"> </w:t>
      </w:r>
      <w:r w:rsidRPr="00E06806">
        <w:rPr>
          <w:rFonts w:cstheme="minorHAnsi"/>
          <w:color w:val="231F20"/>
          <w:w w:val="105"/>
        </w:rPr>
        <w:t>program</w:t>
      </w:r>
      <w:r w:rsidRPr="00E06806">
        <w:rPr>
          <w:rFonts w:cstheme="minorHAnsi"/>
          <w:color w:val="231F20"/>
          <w:spacing w:val="13"/>
          <w:w w:val="105"/>
        </w:rPr>
        <w:t xml:space="preserve"> </w:t>
      </w:r>
      <w:r w:rsidRPr="00E06806">
        <w:rPr>
          <w:rFonts w:cstheme="minorHAnsi"/>
          <w:color w:val="231F20"/>
          <w:w w:val="105"/>
        </w:rPr>
        <w:t>targets</w:t>
      </w:r>
      <w:r w:rsidRPr="00E06806">
        <w:rPr>
          <w:rFonts w:cstheme="minorHAnsi"/>
          <w:color w:val="231F20"/>
          <w:spacing w:val="13"/>
          <w:w w:val="105"/>
        </w:rPr>
        <w:t xml:space="preserve"> </w:t>
      </w:r>
      <w:r w:rsidRPr="00E06806">
        <w:rPr>
          <w:rFonts w:cstheme="minorHAnsi"/>
          <w:color w:val="231F20"/>
          <w:w w:val="105"/>
        </w:rPr>
        <w:t>displaced</w:t>
      </w:r>
      <w:r w:rsidRPr="00E06806">
        <w:rPr>
          <w:rFonts w:cstheme="minorHAnsi"/>
          <w:color w:val="231F20"/>
          <w:spacing w:val="13"/>
          <w:w w:val="105"/>
        </w:rPr>
        <w:t xml:space="preserve"> </w:t>
      </w:r>
      <w:r w:rsidRPr="00E06806">
        <w:rPr>
          <w:rFonts w:cstheme="minorHAnsi"/>
          <w:color w:val="231F20"/>
          <w:w w:val="105"/>
        </w:rPr>
        <w:t>workers</w:t>
      </w:r>
      <w:r w:rsidRPr="00E06806">
        <w:rPr>
          <w:rFonts w:cstheme="minorHAnsi"/>
          <w:color w:val="231F20"/>
          <w:spacing w:val="13"/>
          <w:w w:val="105"/>
        </w:rPr>
        <w:t xml:space="preserve"> </w:t>
      </w:r>
      <w:r w:rsidRPr="00E06806">
        <w:rPr>
          <w:rFonts w:cstheme="minorHAnsi"/>
          <w:color w:val="231F20"/>
          <w:w w:val="105"/>
        </w:rPr>
        <w:t>who</w:t>
      </w:r>
      <w:r w:rsidRPr="00E06806">
        <w:rPr>
          <w:rFonts w:cstheme="minorHAnsi"/>
          <w:color w:val="231F20"/>
          <w:spacing w:val="13"/>
          <w:w w:val="105"/>
        </w:rPr>
        <w:t xml:space="preserve"> </w:t>
      </w:r>
      <w:r w:rsidRPr="00E06806">
        <w:rPr>
          <w:rFonts w:cstheme="minorHAnsi"/>
          <w:color w:val="231F20"/>
          <w:w w:val="105"/>
        </w:rPr>
        <w:t>lost</w:t>
      </w:r>
      <w:r w:rsidRPr="00E06806">
        <w:rPr>
          <w:rFonts w:cstheme="minorHAnsi"/>
          <w:color w:val="231F20"/>
          <w:spacing w:val="13"/>
          <w:w w:val="105"/>
        </w:rPr>
        <w:t xml:space="preserve"> </w:t>
      </w:r>
      <w:r w:rsidRPr="00E06806">
        <w:rPr>
          <w:rFonts w:cstheme="minorHAnsi"/>
          <w:color w:val="231F20"/>
          <w:w w:val="105"/>
        </w:rPr>
        <w:t>jobs</w:t>
      </w:r>
      <w:r w:rsidRPr="00E06806">
        <w:rPr>
          <w:rFonts w:cstheme="minorHAnsi"/>
          <w:color w:val="231F20"/>
          <w:spacing w:val="13"/>
          <w:w w:val="105"/>
        </w:rPr>
        <w:t xml:space="preserve"> </w:t>
      </w:r>
      <w:r w:rsidRPr="00E06806">
        <w:rPr>
          <w:rFonts w:cstheme="minorHAnsi"/>
          <w:color w:val="231F20"/>
          <w:w w:val="105"/>
        </w:rPr>
        <w:t>due</w:t>
      </w:r>
      <w:r w:rsidRPr="00E06806">
        <w:rPr>
          <w:rFonts w:cstheme="minorHAnsi"/>
          <w:color w:val="231F20"/>
          <w:spacing w:val="13"/>
          <w:w w:val="105"/>
        </w:rPr>
        <w:t xml:space="preserve"> </w:t>
      </w:r>
      <w:r w:rsidRPr="00E06806">
        <w:rPr>
          <w:rFonts w:cstheme="minorHAnsi"/>
          <w:color w:val="231F20"/>
          <w:w w:val="105"/>
        </w:rPr>
        <w:t>to</w:t>
      </w:r>
      <w:r w:rsidRPr="00E06806">
        <w:rPr>
          <w:rFonts w:cstheme="minorHAnsi"/>
          <w:color w:val="231F20"/>
          <w:spacing w:val="13"/>
          <w:w w:val="105"/>
        </w:rPr>
        <w:t xml:space="preserve"> </w:t>
      </w:r>
      <w:r w:rsidRPr="00E06806">
        <w:rPr>
          <w:rFonts w:cstheme="minorHAnsi"/>
          <w:color w:val="231F20"/>
          <w:w w:val="105"/>
        </w:rPr>
        <w:t>foreign</w:t>
      </w:r>
      <w:r w:rsidRPr="00E06806">
        <w:rPr>
          <w:rFonts w:cstheme="minorHAnsi"/>
          <w:color w:val="231F20"/>
          <w:spacing w:val="13"/>
          <w:w w:val="105"/>
        </w:rPr>
        <w:t xml:space="preserve"> </w:t>
      </w:r>
      <w:r w:rsidRPr="00E06806">
        <w:rPr>
          <w:rFonts w:cstheme="minorHAnsi"/>
          <w:color w:val="231F20"/>
          <w:w w:val="105"/>
        </w:rPr>
        <w:t>trade;</w:t>
      </w:r>
      <w:r w:rsidRPr="00E06806">
        <w:rPr>
          <w:rFonts w:cstheme="minorHAnsi"/>
          <w:color w:val="231F20"/>
          <w:spacing w:val="13"/>
          <w:w w:val="105"/>
        </w:rPr>
        <w:t xml:space="preserve"> </w:t>
      </w:r>
      <w:r w:rsidRPr="00E06806">
        <w:rPr>
          <w:rFonts w:cstheme="minorHAnsi"/>
          <w:color w:val="231F20"/>
          <w:w w:val="105"/>
        </w:rPr>
        <w:t>unemployed</w:t>
      </w:r>
      <w:r w:rsidRPr="00E06806">
        <w:rPr>
          <w:rFonts w:cstheme="minorHAnsi"/>
          <w:color w:val="231F20"/>
          <w:spacing w:val="-31"/>
          <w:w w:val="105"/>
        </w:rPr>
        <w:t xml:space="preserve"> </w:t>
      </w:r>
      <w:r w:rsidRPr="00E06806">
        <w:rPr>
          <w:rFonts w:cstheme="minorHAnsi"/>
          <w:color w:val="231F20"/>
          <w:w w:val="105"/>
        </w:rPr>
        <w:t xml:space="preserve">workers; incumbent workers </w:t>
      </w:r>
      <w:r w:rsidR="008A5580" w:rsidRPr="00E06806">
        <w:rPr>
          <w:rFonts w:cstheme="minorHAnsi"/>
          <w:color w:val="231F20"/>
          <w:w w:val="105"/>
        </w:rPr>
        <w:t xml:space="preserve">seeking </w:t>
      </w:r>
      <w:r w:rsidRPr="00E06806">
        <w:rPr>
          <w:rFonts w:cstheme="minorHAnsi"/>
          <w:color w:val="231F20"/>
          <w:w w:val="105"/>
        </w:rPr>
        <w:t>to upgrade current skills or learn new skills; students;</w:t>
      </w:r>
      <w:r w:rsidRPr="00E06806">
        <w:rPr>
          <w:rFonts w:cstheme="minorHAnsi"/>
          <w:color w:val="231F20"/>
          <w:spacing w:val="48"/>
          <w:w w:val="105"/>
        </w:rPr>
        <w:t xml:space="preserve"> </w:t>
      </w:r>
      <w:r w:rsidRPr="00E06806">
        <w:rPr>
          <w:rFonts w:cstheme="minorHAnsi"/>
          <w:color w:val="231F20"/>
          <w:w w:val="105"/>
        </w:rPr>
        <w:t>and</w:t>
      </w:r>
      <w:r w:rsidRPr="00E06806">
        <w:rPr>
          <w:rFonts w:cstheme="minorHAnsi"/>
          <w:color w:val="231F20"/>
          <w:w w:val="108"/>
        </w:rPr>
        <w:t xml:space="preserve"> </w:t>
      </w:r>
      <w:r w:rsidRPr="00E06806">
        <w:rPr>
          <w:rFonts w:cstheme="minorHAnsi"/>
          <w:color w:val="231F20"/>
          <w:w w:val="105"/>
        </w:rPr>
        <w:t>veterans transitioning into the civilian</w:t>
      </w:r>
      <w:r w:rsidRPr="00E06806">
        <w:rPr>
          <w:rFonts w:cstheme="minorHAnsi"/>
          <w:color w:val="231F20"/>
          <w:spacing w:val="24"/>
          <w:w w:val="105"/>
        </w:rPr>
        <w:t xml:space="preserve"> </w:t>
      </w:r>
      <w:r w:rsidRPr="00E06806">
        <w:rPr>
          <w:rFonts w:cstheme="minorHAnsi"/>
          <w:color w:val="231F20"/>
          <w:w w:val="105"/>
        </w:rPr>
        <w:t>workforce.</w:t>
      </w:r>
    </w:p>
    <w:p w14:paraId="68106198" w14:textId="77777777" w:rsidR="00EA7458" w:rsidRPr="00E06806" w:rsidRDefault="00EA7458" w:rsidP="00D63204">
      <w:pPr>
        <w:widowControl w:val="0"/>
        <w:spacing w:before="5" w:after="0" w:line="240" w:lineRule="auto"/>
        <w:ind w:left="107"/>
        <w:rPr>
          <w:rFonts w:cstheme="minorHAnsi"/>
          <w:sz w:val="16"/>
          <w:szCs w:val="16"/>
        </w:rPr>
      </w:pPr>
    </w:p>
    <w:p w14:paraId="577CF43C" w14:textId="6FDD8D3D" w:rsidR="00EA7458" w:rsidRPr="00E06806" w:rsidRDefault="00EA7458" w:rsidP="00D63204">
      <w:pPr>
        <w:widowControl w:val="0"/>
        <w:spacing w:after="0" w:line="264" w:lineRule="exact"/>
        <w:ind w:left="107"/>
        <w:rPr>
          <w:rFonts w:cstheme="minorHAnsi"/>
        </w:rPr>
      </w:pPr>
      <w:r w:rsidRPr="00E06806">
        <w:rPr>
          <w:rFonts w:cstheme="minorHAnsi"/>
          <w:color w:val="231F20"/>
          <w:w w:val="105"/>
        </w:rPr>
        <w:t>The</w:t>
      </w:r>
      <w:r w:rsidRPr="00E06806">
        <w:rPr>
          <w:rFonts w:cstheme="minorHAnsi"/>
          <w:color w:val="231F20"/>
          <w:spacing w:val="16"/>
          <w:w w:val="105"/>
        </w:rPr>
        <w:t xml:space="preserve"> </w:t>
      </w:r>
      <w:r w:rsidRPr="00E06806">
        <w:rPr>
          <w:rFonts w:cstheme="minorHAnsi"/>
          <w:color w:val="231F20"/>
          <w:w w:val="105"/>
        </w:rPr>
        <w:t>Florida</w:t>
      </w:r>
      <w:r w:rsidRPr="00E06806">
        <w:rPr>
          <w:rFonts w:cstheme="minorHAnsi"/>
          <w:color w:val="231F20"/>
          <w:spacing w:val="16"/>
          <w:w w:val="105"/>
        </w:rPr>
        <w:t xml:space="preserve"> </w:t>
      </w:r>
      <w:r w:rsidRPr="00E06806">
        <w:rPr>
          <w:rFonts w:cstheme="minorHAnsi"/>
          <w:color w:val="231F20"/>
          <w:w w:val="105"/>
        </w:rPr>
        <w:t>TRADE</w:t>
      </w:r>
      <w:r w:rsidRPr="00E06806">
        <w:rPr>
          <w:rFonts w:cstheme="minorHAnsi"/>
          <w:color w:val="231F20"/>
          <w:spacing w:val="16"/>
          <w:w w:val="105"/>
        </w:rPr>
        <w:t xml:space="preserve"> </w:t>
      </w:r>
      <w:r w:rsidRPr="00E06806">
        <w:rPr>
          <w:rFonts w:cstheme="minorHAnsi"/>
          <w:color w:val="231F20"/>
          <w:w w:val="105"/>
        </w:rPr>
        <w:t>program</w:t>
      </w:r>
      <w:r w:rsidRPr="00E06806">
        <w:rPr>
          <w:rFonts w:cstheme="minorHAnsi"/>
          <w:color w:val="231F20"/>
          <w:spacing w:val="16"/>
          <w:w w:val="105"/>
        </w:rPr>
        <w:t xml:space="preserve"> </w:t>
      </w:r>
      <w:r w:rsidRPr="00E06806">
        <w:rPr>
          <w:rFonts w:cstheme="minorHAnsi"/>
          <w:color w:val="231F20"/>
          <w:w w:val="105"/>
        </w:rPr>
        <w:t>deliver</w:t>
      </w:r>
      <w:r w:rsidR="008A5580" w:rsidRPr="00E06806">
        <w:rPr>
          <w:rFonts w:cstheme="minorHAnsi"/>
          <w:color w:val="231F20"/>
          <w:w w:val="105"/>
        </w:rPr>
        <w:t>s</w:t>
      </w:r>
      <w:r w:rsidRPr="00E06806">
        <w:rPr>
          <w:rFonts w:cstheme="minorHAnsi"/>
          <w:color w:val="231F20"/>
          <w:spacing w:val="16"/>
          <w:w w:val="105"/>
        </w:rPr>
        <w:t xml:space="preserve"> </w:t>
      </w:r>
      <w:r w:rsidRPr="00E06806">
        <w:rPr>
          <w:rFonts w:cstheme="minorHAnsi"/>
          <w:color w:val="231F20"/>
          <w:w w:val="105"/>
        </w:rPr>
        <w:t>accelerated</w:t>
      </w:r>
      <w:r w:rsidRPr="00E06806">
        <w:rPr>
          <w:rFonts w:cstheme="minorHAnsi"/>
          <w:color w:val="231F20"/>
          <w:spacing w:val="16"/>
          <w:w w:val="105"/>
        </w:rPr>
        <w:t xml:space="preserve"> </w:t>
      </w:r>
      <w:r w:rsidRPr="00E06806">
        <w:rPr>
          <w:rFonts w:cstheme="minorHAnsi"/>
          <w:color w:val="231F20"/>
          <w:w w:val="105"/>
        </w:rPr>
        <w:t>training</w:t>
      </w:r>
      <w:r w:rsidRPr="00E06806">
        <w:rPr>
          <w:rFonts w:cstheme="minorHAnsi"/>
          <w:color w:val="231F20"/>
          <w:spacing w:val="16"/>
          <w:w w:val="105"/>
        </w:rPr>
        <w:t xml:space="preserve"> </w:t>
      </w:r>
      <w:r w:rsidR="00D45D90" w:rsidRPr="00E06806">
        <w:rPr>
          <w:rFonts w:cstheme="minorHAnsi"/>
          <w:color w:val="231F20"/>
          <w:w w:val="105"/>
        </w:rPr>
        <w:t xml:space="preserve">achievable </w:t>
      </w:r>
      <w:r w:rsidRPr="00E06806">
        <w:rPr>
          <w:rFonts w:cstheme="minorHAnsi"/>
          <w:color w:val="231F20"/>
          <w:w w:val="105"/>
        </w:rPr>
        <w:t>in</w:t>
      </w:r>
      <w:r w:rsidRPr="00E06806">
        <w:rPr>
          <w:rFonts w:cstheme="minorHAnsi"/>
          <w:color w:val="231F20"/>
          <w:spacing w:val="16"/>
          <w:w w:val="105"/>
        </w:rPr>
        <w:t xml:space="preserve"> </w:t>
      </w:r>
      <w:r w:rsidRPr="00E06806">
        <w:rPr>
          <w:rFonts w:cstheme="minorHAnsi"/>
          <w:color w:val="231F20"/>
          <w:w w:val="105"/>
        </w:rPr>
        <w:t>three</w:t>
      </w:r>
      <w:r w:rsidRPr="00E06806">
        <w:rPr>
          <w:rFonts w:cstheme="minorHAnsi"/>
          <w:color w:val="231F20"/>
          <w:spacing w:val="16"/>
          <w:w w:val="105"/>
        </w:rPr>
        <w:t xml:space="preserve"> </w:t>
      </w:r>
      <w:r w:rsidRPr="00E06806">
        <w:rPr>
          <w:rFonts w:cstheme="minorHAnsi"/>
          <w:color w:val="231F20"/>
          <w:w w:val="105"/>
        </w:rPr>
        <w:t>to</w:t>
      </w:r>
      <w:r w:rsidRPr="00E06806">
        <w:rPr>
          <w:rFonts w:cstheme="minorHAnsi"/>
          <w:color w:val="231F20"/>
          <w:spacing w:val="-20"/>
          <w:w w:val="105"/>
        </w:rPr>
        <w:t xml:space="preserve"> </w:t>
      </w:r>
      <w:r w:rsidRPr="00E06806">
        <w:rPr>
          <w:rFonts w:cstheme="minorHAnsi"/>
          <w:color w:val="231F20"/>
          <w:w w:val="105"/>
        </w:rPr>
        <w:t>six</w:t>
      </w:r>
      <w:r w:rsidRPr="00E06806">
        <w:rPr>
          <w:rFonts w:cstheme="minorHAnsi"/>
          <w:color w:val="231F20"/>
          <w:spacing w:val="13"/>
          <w:w w:val="105"/>
        </w:rPr>
        <w:t xml:space="preserve"> </w:t>
      </w:r>
      <w:r w:rsidRPr="00E06806">
        <w:rPr>
          <w:rFonts w:cstheme="minorHAnsi"/>
          <w:color w:val="231F20"/>
          <w:w w:val="105"/>
        </w:rPr>
        <w:t>months,</w:t>
      </w:r>
      <w:r w:rsidRPr="00E06806">
        <w:rPr>
          <w:rFonts w:cstheme="minorHAnsi"/>
          <w:color w:val="231F20"/>
          <w:spacing w:val="13"/>
          <w:w w:val="105"/>
        </w:rPr>
        <w:t xml:space="preserve"> </w:t>
      </w:r>
      <w:r w:rsidRPr="00E06806">
        <w:rPr>
          <w:rFonts w:cstheme="minorHAnsi"/>
          <w:color w:val="231F20"/>
          <w:w w:val="105"/>
        </w:rPr>
        <w:t>depending</w:t>
      </w:r>
      <w:r w:rsidRPr="00E06806">
        <w:rPr>
          <w:rFonts w:cstheme="minorHAnsi"/>
          <w:color w:val="231F20"/>
          <w:spacing w:val="13"/>
          <w:w w:val="105"/>
        </w:rPr>
        <w:t xml:space="preserve"> </w:t>
      </w:r>
      <w:r w:rsidRPr="00E06806">
        <w:rPr>
          <w:rFonts w:cstheme="minorHAnsi"/>
          <w:color w:val="231F20"/>
          <w:w w:val="105"/>
        </w:rPr>
        <w:t>on</w:t>
      </w:r>
      <w:r w:rsidRPr="00E06806">
        <w:rPr>
          <w:rFonts w:cstheme="minorHAnsi"/>
          <w:color w:val="231F20"/>
          <w:spacing w:val="13"/>
          <w:w w:val="105"/>
        </w:rPr>
        <w:t xml:space="preserve"> </w:t>
      </w:r>
      <w:r w:rsidRPr="00E06806">
        <w:rPr>
          <w:rFonts w:cstheme="minorHAnsi"/>
          <w:color w:val="231F20"/>
          <w:w w:val="105"/>
        </w:rPr>
        <w:t>the</w:t>
      </w:r>
      <w:r w:rsidRPr="00E06806">
        <w:rPr>
          <w:rFonts w:cstheme="minorHAnsi"/>
          <w:color w:val="231F20"/>
          <w:spacing w:val="13"/>
          <w:w w:val="105"/>
        </w:rPr>
        <w:t xml:space="preserve"> </w:t>
      </w:r>
      <w:r w:rsidRPr="00E06806">
        <w:rPr>
          <w:rFonts w:cstheme="minorHAnsi"/>
          <w:color w:val="231F20"/>
          <w:w w:val="105"/>
        </w:rPr>
        <w:t>program,</w:t>
      </w:r>
      <w:r w:rsidRPr="00E06806">
        <w:rPr>
          <w:rFonts w:cstheme="minorHAnsi"/>
          <w:color w:val="231F20"/>
          <w:spacing w:val="13"/>
          <w:w w:val="105"/>
        </w:rPr>
        <w:t xml:space="preserve"> </w:t>
      </w:r>
      <w:r w:rsidR="00D45D90" w:rsidRPr="00E06806">
        <w:rPr>
          <w:rFonts w:cstheme="minorHAnsi"/>
          <w:color w:val="231F20"/>
          <w:w w:val="105"/>
        </w:rPr>
        <w:t xml:space="preserve">that </w:t>
      </w:r>
      <w:r w:rsidRPr="00E06806">
        <w:rPr>
          <w:rFonts w:cstheme="minorHAnsi"/>
          <w:color w:val="231F20"/>
          <w:w w:val="105"/>
        </w:rPr>
        <w:t>leads</w:t>
      </w:r>
      <w:r w:rsidRPr="00E06806">
        <w:rPr>
          <w:rFonts w:cstheme="minorHAnsi"/>
          <w:color w:val="231F20"/>
          <w:spacing w:val="13"/>
          <w:w w:val="105"/>
        </w:rPr>
        <w:t xml:space="preserve"> </w:t>
      </w:r>
      <w:r w:rsidRPr="00E06806">
        <w:rPr>
          <w:rFonts w:cstheme="minorHAnsi"/>
          <w:color w:val="231F20"/>
          <w:w w:val="105"/>
        </w:rPr>
        <w:t>to</w:t>
      </w:r>
      <w:r w:rsidRPr="00E06806">
        <w:rPr>
          <w:rFonts w:cstheme="minorHAnsi"/>
          <w:color w:val="231F20"/>
          <w:spacing w:val="13"/>
          <w:w w:val="105"/>
        </w:rPr>
        <w:t xml:space="preserve"> </w:t>
      </w:r>
      <w:r w:rsidRPr="00E06806">
        <w:rPr>
          <w:rFonts w:cstheme="minorHAnsi"/>
          <w:color w:val="231F20"/>
          <w:w w:val="105"/>
        </w:rPr>
        <w:t>internships</w:t>
      </w:r>
      <w:r w:rsidRPr="00E06806">
        <w:rPr>
          <w:rFonts w:cstheme="minorHAnsi"/>
          <w:color w:val="231F20"/>
          <w:spacing w:val="13"/>
          <w:w w:val="105"/>
        </w:rPr>
        <w:t xml:space="preserve"> </w:t>
      </w:r>
      <w:r w:rsidRPr="00E06806">
        <w:rPr>
          <w:rFonts w:cstheme="minorHAnsi"/>
          <w:color w:val="231F20"/>
          <w:w w:val="105"/>
        </w:rPr>
        <w:t>and</w:t>
      </w:r>
      <w:r w:rsidRPr="00E06806">
        <w:rPr>
          <w:rFonts w:cstheme="minorHAnsi"/>
          <w:color w:val="231F20"/>
          <w:spacing w:val="13"/>
          <w:w w:val="105"/>
        </w:rPr>
        <w:t xml:space="preserve"> </w:t>
      </w:r>
      <w:r w:rsidRPr="00E06806">
        <w:rPr>
          <w:rFonts w:cstheme="minorHAnsi"/>
          <w:color w:val="231F20"/>
          <w:w w:val="105"/>
        </w:rPr>
        <w:t>jobs</w:t>
      </w:r>
      <w:r w:rsidRPr="00E06806">
        <w:rPr>
          <w:rFonts w:cstheme="minorHAnsi"/>
          <w:color w:val="231F20"/>
          <w:spacing w:val="13"/>
          <w:w w:val="105"/>
        </w:rPr>
        <w:t xml:space="preserve"> </w:t>
      </w:r>
      <w:r w:rsidRPr="00E06806">
        <w:rPr>
          <w:rFonts w:cstheme="minorHAnsi"/>
          <w:color w:val="231F20"/>
          <w:w w:val="105"/>
        </w:rPr>
        <w:t>in</w:t>
      </w:r>
      <w:r w:rsidRPr="00E06806">
        <w:rPr>
          <w:rFonts w:cstheme="minorHAnsi"/>
          <w:color w:val="231F20"/>
          <w:spacing w:val="13"/>
          <w:w w:val="105"/>
        </w:rPr>
        <w:t xml:space="preserve"> </w:t>
      </w:r>
      <w:r w:rsidRPr="00E06806">
        <w:rPr>
          <w:rFonts w:cstheme="minorHAnsi"/>
          <w:color w:val="231F20"/>
          <w:w w:val="105"/>
        </w:rPr>
        <w:t>manufacturing.</w:t>
      </w:r>
      <w:r w:rsidRPr="00E06806">
        <w:rPr>
          <w:rFonts w:cstheme="minorHAnsi"/>
          <w:color w:val="231F20"/>
          <w:spacing w:val="13"/>
          <w:w w:val="105"/>
        </w:rPr>
        <w:t xml:space="preserve"> </w:t>
      </w:r>
      <w:r w:rsidR="00D45D90" w:rsidRPr="00E06806">
        <w:rPr>
          <w:rFonts w:cstheme="minorHAnsi"/>
          <w:color w:val="231F20"/>
          <w:w w:val="105"/>
        </w:rPr>
        <w:t>P</w:t>
      </w:r>
      <w:r w:rsidRPr="00E06806">
        <w:rPr>
          <w:rFonts w:cstheme="minorHAnsi"/>
          <w:color w:val="231F20"/>
          <w:w w:val="105"/>
        </w:rPr>
        <w:t xml:space="preserve">articipants </w:t>
      </w:r>
      <w:r w:rsidR="00D45D90" w:rsidRPr="00E06806">
        <w:rPr>
          <w:rFonts w:cstheme="minorHAnsi"/>
          <w:color w:val="231F20"/>
          <w:w w:val="105"/>
        </w:rPr>
        <w:t xml:space="preserve">who </w:t>
      </w:r>
      <w:r w:rsidRPr="00E06806">
        <w:rPr>
          <w:rFonts w:cstheme="minorHAnsi"/>
          <w:color w:val="231F20"/>
          <w:w w:val="105"/>
        </w:rPr>
        <w:t>complete</w:t>
      </w:r>
      <w:r w:rsidRPr="00E06806">
        <w:rPr>
          <w:rFonts w:cstheme="minorHAnsi"/>
          <w:color w:val="231F20"/>
          <w:spacing w:val="8"/>
          <w:w w:val="105"/>
        </w:rPr>
        <w:t xml:space="preserve"> </w:t>
      </w:r>
      <w:r w:rsidRPr="00E06806">
        <w:rPr>
          <w:rFonts w:cstheme="minorHAnsi"/>
          <w:color w:val="231F20"/>
          <w:w w:val="105"/>
        </w:rPr>
        <w:t>components</w:t>
      </w:r>
      <w:r w:rsidRPr="00E06806">
        <w:rPr>
          <w:rFonts w:cstheme="minorHAnsi"/>
          <w:color w:val="231F20"/>
          <w:spacing w:val="8"/>
          <w:w w:val="105"/>
        </w:rPr>
        <w:t xml:space="preserve"> </w:t>
      </w:r>
      <w:r w:rsidRPr="00E06806">
        <w:rPr>
          <w:rFonts w:cstheme="minorHAnsi"/>
          <w:color w:val="231F20"/>
          <w:w w:val="105"/>
        </w:rPr>
        <w:t>of</w:t>
      </w:r>
      <w:r w:rsidRPr="00E06806">
        <w:rPr>
          <w:rFonts w:cstheme="minorHAnsi"/>
          <w:color w:val="231F20"/>
          <w:spacing w:val="8"/>
          <w:w w:val="105"/>
        </w:rPr>
        <w:t xml:space="preserve"> </w:t>
      </w:r>
      <w:r w:rsidRPr="00E06806">
        <w:rPr>
          <w:rFonts w:cstheme="minorHAnsi"/>
          <w:color w:val="231F20"/>
          <w:w w:val="105"/>
        </w:rPr>
        <w:t>the</w:t>
      </w:r>
      <w:r w:rsidRPr="00E06806">
        <w:rPr>
          <w:rFonts w:cstheme="minorHAnsi"/>
          <w:color w:val="231F20"/>
          <w:spacing w:val="8"/>
          <w:w w:val="105"/>
        </w:rPr>
        <w:t xml:space="preserve"> </w:t>
      </w:r>
      <w:r w:rsidRPr="00E06806">
        <w:rPr>
          <w:rFonts w:cstheme="minorHAnsi"/>
          <w:color w:val="231F20"/>
          <w:w w:val="105"/>
        </w:rPr>
        <w:t>program</w:t>
      </w:r>
      <w:r w:rsidR="00D45D90" w:rsidRPr="00E06806">
        <w:rPr>
          <w:rFonts w:cstheme="minorHAnsi"/>
          <w:color w:val="231F20"/>
          <w:w w:val="105"/>
        </w:rPr>
        <w:t xml:space="preserve"> obtain </w:t>
      </w:r>
      <w:r w:rsidRPr="00E06806">
        <w:rPr>
          <w:rFonts w:cstheme="minorHAnsi"/>
          <w:color w:val="231F20"/>
          <w:w w:val="105"/>
        </w:rPr>
        <w:t>skills</w:t>
      </w:r>
      <w:r w:rsidRPr="00E06806">
        <w:rPr>
          <w:rFonts w:cstheme="minorHAnsi"/>
          <w:color w:val="231F20"/>
          <w:spacing w:val="8"/>
          <w:w w:val="105"/>
        </w:rPr>
        <w:t xml:space="preserve"> </w:t>
      </w:r>
      <w:r w:rsidRPr="00E06806">
        <w:rPr>
          <w:rFonts w:cstheme="minorHAnsi"/>
          <w:color w:val="231F20"/>
          <w:w w:val="105"/>
        </w:rPr>
        <w:t>and</w:t>
      </w:r>
      <w:r w:rsidRPr="00E06806">
        <w:rPr>
          <w:rFonts w:cstheme="minorHAnsi"/>
          <w:color w:val="231F20"/>
          <w:spacing w:val="8"/>
          <w:w w:val="105"/>
        </w:rPr>
        <w:t xml:space="preserve"> </w:t>
      </w:r>
      <w:r w:rsidRPr="00E06806">
        <w:rPr>
          <w:rFonts w:cstheme="minorHAnsi"/>
          <w:color w:val="231F20"/>
          <w:w w:val="105"/>
        </w:rPr>
        <w:t>opportunities</w:t>
      </w:r>
      <w:r w:rsidRPr="00E06806">
        <w:rPr>
          <w:rFonts w:cstheme="minorHAnsi"/>
          <w:color w:val="231F20"/>
          <w:spacing w:val="8"/>
          <w:w w:val="105"/>
        </w:rPr>
        <w:t xml:space="preserve"> </w:t>
      </w:r>
      <w:r w:rsidRPr="00E06806">
        <w:rPr>
          <w:rFonts w:cstheme="minorHAnsi"/>
          <w:color w:val="231F20"/>
          <w:w w:val="105"/>
        </w:rPr>
        <w:t>recognized</w:t>
      </w:r>
      <w:r w:rsidRPr="00E06806">
        <w:rPr>
          <w:rFonts w:cstheme="minorHAnsi"/>
          <w:color w:val="231F20"/>
          <w:spacing w:val="7"/>
          <w:w w:val="105"/>
        </w:rPr>
        <w:t xml:space="preserve"> </w:t>
      </w:r>
      <w:r w:rsidR="00D45D90" w:rsidRPr="00E06806">
        <w:rPr>
          <w:rFonts w:cstheme="minorHAnsi"/>
          <w:color w:val="231F20"/>
          <w:spacing w:val="7"/>
          <w:w w:val="105"/>
        </w:rPr>
        <w:t xml:space="preserve">nationally as well as </w:t>
      </w:r>
      <w:r w:rsidRPr="00E06806">
        <w:rPr>
          <w:rFonts w:cstheme="minorHAnsi"/>
          <w:color w:val="231F20"/>
          <w:w w:val="105"/>
        </w:rPr>
        <w:t>industry</w:t>
      </w:r>
      <w:r w:rsidRPr="00E06806">
        <w:rPr>
          <w:rFonts w:cstheme="minorHAnsi"/>
          <w:color w:val="231F20"/>
          <w:spacing w:val="7"/>
          <w:w w:val="105"/>
        </w:rPr>
        <w:t xml:space="preserve"> </w:t>
      </w:r>
      <w:r w:rsidRPr="00E06806">
        <w:rPr>
          <w:rFonts w:cstheme="minorHAnsi"/>
          <w:color w:val="231F20"/>
          <w:w w:val="105"/>
        </w:rPr>
        <w:t>certifications</w:t>
      </w:r>
      <w:r w:rsidRPr="00E06806">
        <w:rPr>
          <w:rFonts w:cstheme="minorHAnsi"/>
          <w:color w:val="231F20"/>
          <w:spacing w:val="7"/>
          <w:w w:val="105"/>
        </w:rPr>
        <w:t xml:space="preserve"> </w:t>
      </w:r>
      <w:r w:rsidRPr="00E06806">
        <w:rPr>
          <w:rFonts w:cstheme="minorHAnsi"/>
          <w:color w:val="231F20"/>
          <w:w w:val="105"/>
        </w:rPr>
        <w:t>that</w:t>
      </w:r>
      <w:r w:rsidRPr="00E06806">
        <w:rPr>
          <w:rFonts w:cstheme="minorHAnsi"/>
          <w:color w:val="231F20"/>
          <w:spacing w:val="7"/>
          <w:w w:val="105"/>
        </w:rPr>
        <w:t xml:space="preserve"> </w:t>
      </w:r>
      <w:r w:rsidRPr="00E06806">
        <w:rPr>
          <w:rFonts w:cstheme="minorHAnsi"/>
          <w:color w:val="231F20"/>
          <w:w w:val="105"/>
        </w:rPr>
        <w:t>transfer</w:t>
      </w:r>
      <w:r w:rsidRPr="00E06806">
        <w:rPr>
          <w:rFonts w:cstheme="minorHAnsi"/>
          <w:color w:val="231F20"/>
          <w:spacing w:val="7"/>
          <w:w w:val="105"/>
        </w:rPr>
        <w:t xml:space="preserve"> </w:t>
      </w:r>
      <w:r w:rsidRPr="00E06806">
        <w:rPr>
          <w:rFonts w:cstheme="minorHAnsi"/>
          <w:color w:val="231F20"/>
          <w:w w:val="105"/>
        </w:rPr>
        <w:t>into</w:t>
      </w:r>
      <w:r w:rsidRPr="00E06806">
        <w:rPr>
          <w:rFonts w:cstheme="minorHAnsi"/>
          <w:color w:val="231F20"/>
          <w:spacing w:val="7"/>
          <w:w w:val="105"/>
        </w:rPr>
        <w:t xml:space="preserve"> </w:t>
      </w:r>
      <w:r w:rsidRPr="00E06806">
        <w:rPr>
          <w:rFonts w:cstheme="minorHAnsi"/>
          <w:color w:val="231F20"/>
          <w:w w:val="105"/>
        </w:rPr>
        <w:t>free</w:t>
      </w:r>
      <w:r w:rsidRPr="00E06806">
        <w:rPr>
          <w:rFonts w:cstheme="minorHAnsi"/>
          <w:color w:val="231F20"/>
          <w:spacing w:val="7"/>
          <w:w w:val="105"/>
        </w:rPr>
        <w:t xml:space="preserve"> </w:t>
      </w:r>
      <w:r w:rsidRPr="00E06806">
        <w:rPr>
          <w:rFonts w:cstheme="minorHAnsi"/>
          <w:color w:val="231F20"/>
          <w:w w:val="105"/>
        </w:rPr>
        <w:t>college</w:t>
      </w:r>
      <w:r w:rsidRPr="00E06806">
        <w:rPr>
          <w:rFonts w:cstheme="minorHAnsi"/>
          <w:color w:val="231F20"/>
          <w:spacing w:val="7"/>
          <w:w w:val="105"/>
        </w:rPr>
        <w:t xml:space="preserve"> </w:t>
      </w:r>
      <w:r w:rsidRPr="00E06806">
        <w:rPr>
          <w:rFonts w:cstheme="minorHAnsi"/>
          <w:color w:val="231F20"/>
          <w:w w:val="105"/>
        </w:rPr>
        <w:t>credits</w:t>
      </w:r>
      <w:r w:rsidRPr="00E06806">
        <w:rPr>
          <w:rFonts w:cstheme="minorHAnsi"/>
          <w:color w:val="231F20"/>
          <w:spacing w:val="7"/>
          <w:w w:val="105"/>
        </w:rPr>
        <w:t xml:space="preserve"> </w:t>
      </w:r>
      <w:r w:rsidR="00D45D90" w:rsidRPr="00E06806">
        <w:rPr>
          <w:rFonts w:cstheme="minorHAnsi"/>
          <w:color w:val="231F20"/>
          <w:w w:val="105"/>
        </w:rPr>
        <w:t xml:space="preserve">that can be applied to </w:t>
      </w:r>
      <w:r w:rsidRPr="00E06806">
        <w:rPr>
          <w:rFonts w:cstheme="minorHAnsi"/>
          <w:color w:val="231F20"/>
          <w:w w:val="105"/>
        </w:rPr>
        <w:t>an</w:t>
      </w:r>
      <w:r w:rsidRPr="00E06806">
        <w:rPr>
          <w:rFonts w:cstheme="minorHAnsi"/>
          <w:color w:val="231F20"/>
          <w:spacing w:val="-23"/>
          <w:w w:val="105"/>
        </w:rPr>
        <w:t xml:space="preserve"> </w:t>
      </w:r>
      <w:r w:rsidRPr="00E06806">
        <w:rPr>
          <w:rFonts w:cstheme="minorHAnsi"/>
          <w:color w:val="231F20"/>
          <w:w w:val="105"/>
        </w:rPr>
        <w:t>Associate of Science</w:t>
      </w:r>
      <w:r w:rsidRPr="00E06806">
        <w:rPr>
          <w:rFonts w:cstheme="minorHAnsi"/>
          <w:color w:val="231F20"/>
          <w:spacing w:val="44"/>
          <w:w w:val="105"/>
        </w:rPr>
        <w:t xml:space="preserve"> </w:t>
      </w:r>
      <w:r w:rsidRPr="00E06806">
        <w:rPr>
          <w:rFonts w:cstheme="minorHAnsi"/>
          <w:color w:val="231F20"/>
          <w:w w:val="105"/>
        </w:rPr>
        <w:t>degree.</w:t>
      </w:r>
    </w:p>
    <w:p w14:paraId="6FB290D7" w14:textId="77777777" w:rsidR="00EA7458" w:rsidRPr="00E06806" w:rsidRDefault="00EA7458" w:rsidP="00D63204">
      <w:pPr>
        <w:widowControl w:val="0"/>
        <w:spacing w:after="0" w:line="240" w:lineRule="auto"/>
        <w:ind w:left="107"/>
        <w:rPr>
          <w:rFonts w:cstheme="minorHAnsi"/>
        </w:rPr>
      </w:pPr>
    </w:p>
    <w:p w14:paraId="22F9728C" w14:textId="77777777" w:rsidR="00387F26" w:rsidRDefault="00387F26">
      <w:pPr>
        <w:rPr>
          <w:rFonts w:cstheme="minorHAnsi"/>
          <w:b/>
          <w:bCs/>
          <w:color w:val="231F20"/>
          <w:w w:val="110"/>
        </w:rPr>
      </w:pPr>
      <w:r>
        <w:rPr>
          <w:rFonts w:cstheme="minorHAnsi"/>
          <w:b/>
          <w:bCs/>
          <w:color w:val="231F20"/>
          <w:w w:val="110"/>
        </w:rPr>
        <w:br w:type="page"/>
      </w:r>
    </w:p>
    <w:p w14:paraId="79F8477E" w14:textId="77777777" w:rsidR="00387F26" w:rsidRDefault="00387F26" w:rsidP="00D63204">
      <w:pPr>
        <w:widowControl w:val="0"/>
        <w:spacing w:before="197" w:after="0" w:line="266" w:lineRule="exact"/>
        <w:ind w:left="107"/>
        <w:outlineLvl w:val="2"/>
        <w:rPr>
          <w:rFonts w:cstheme="minorHAnsi"/>
          <w:b/>
          <w:bCs/>
          <w:color w:val="231F20"/>
          <w:w w:val="110"/>
        </w:rPr>
      </w:pPr>
    </w:p>
    <w:p w14:paraId="7B614B38" w14:textId="120F8F47" w:rsidR="00BE1E61" w:rsidRDefault="00EA7458" w:rsidP="00D63204">
      <w:pPr>
        <w:widowControl w:val="0"/>
        <w:spacing w:before="197" w:after="0" w:line="266" w:lineRule="exact"/>
        <w:ind w:left="107"/>
        <w:outlineLvl w:val="2"/>
        <w:rPr>
          <w:rFonts w:cstheme="minorHAnsi"/>
          <w:b/>
          <w:bCs/>
          <w:color w:val="231F20"/>
          <w:w w:val="110"/>
        </w:rPr>
      </w:pPr>
      <w:r w:rsidRPr="00EA41CF">
        <w:rPr>
          <w:rFonts w:cstheme="minorHAnsi"/>
          <w:b/>
          <w:bCs/>
          <w:color w:val="231F20"/>
          <w:w w:val="110"/>
        </w:rPr>
        <w:t>Partnering</w:t>
      </w:r>
      <w:r w:rsidRPr="00EA41CF">
        <w:rPr>
          <w:rFonts w:cstheme="minorHAnsi"/>
          <w:b/>
          <w:bCs/>
          <w:color w:val="231F20"/>
          <w:spacing w:val="-13"/>
          <w:w w:val="110"/>
        </w:rPr>
        <w:t xml:space="preserve"> </w:t>
      </w:r>
      <w:r w:rsidRPr="00EA41CF">
        <w:rPr>
          <w:rFonts w:cstheme="minorHAnsi"/>
          <w:b/>
          <w:bCs/>
          <w:color w:val="231F20"/>
          <w:w w:val="110"/>
        </w:rPr>
        <w:t>with</w:t>
      </w:r>
      <w:r w:rsidRPr="00EA41CF">
        <w:rPr>
          <w:rFonts w:cstheme="minorHAnsi"/>
          <w:b/>
          <w:bCs/>
          <w:color w:val="231F20"/>
          <w:spacing w:val="-13"/>
          <w:w w:val="110"/>
        </w:rPr>
        <w:t xml:space="preserve"> </w:t>
      </w:r>
      <w:r w:rsidRPr="00EA41CF">
        <w:rPr>
          <w:rFonts w:cstheme="minorHAnsi"/>
          <w:b/>
          <w:bCs/>
          <w:color w:val="231F20"/>
          <w:w w:val="110"/>
        </w:rPr>
        <w:t>Florida</w:t>
      </w:r>
      <w:r w:rsidRPr="00EA41CF">
        <w:rPr>
          <w:rFonts w:cstheme="minorHAnsi"/>
          <w:b/>
          <w:bCs/>
          <w:color w:val="231F20"/>
          <w:spacing w:val="-13"/>
          <w:w w:val="110"/>
        </w:rPr>
        <w:t xml:space="preserve"> </w:t>
      </w:r>
      <w:r w:rsidRPr="00EA41CF">
        <w:rPr>
          <w:rFonts w:cstheme="minorHAnsi"/>
          <w:b/>
          <w:bCs/>
          <w:color w:val="231F20"/>
          <w:w w:val="110"/>
        </w:rPr>
        <w:t>Universities</w:t>
      </w:r>
      <w:r w:rsidRPr="00E06806">
        <w:rPr>
          <w:rFonts w:cstheme="minorHAnsi"/>
          <w:b/>
          <w:bCs/>
          <w:color w:val="231F20"/>
          <w:spacing w:val="-13"/>
          <w:w w:val="110"/>
        </w:rPr>
        <w:t xml:space="preserve"> </w:t>
      </w:r>
      <w:r w:rsidRPr="00E06806">
        <w:rPr>
          <w:rFonts w:cstheme="minorHAnsi"/>
          <w:b/>
          <w:bCs/>
          <w:color w:val="231F20"/>
          <w:w w:val="110"/>
        </w:rPr>
        <w:t>and</w:t>
      </w:r>
      <w:r w:rsidRPr="00E06806">
        <w:rPr>
          <w:rFonts w:cstheme="minorHAnsi"/>
          <w:b/>
          <w:bCs/>
          <w:color w:val="231F20"/>
          <w:spacing w:val="-13"/>
          <w:w w:val="110"/>
        </w:rPr>
        <w:t xml:space="preserve"> </w:t>
      </w:r>
      <w:r w:rsidRPr="00E06806">
        <w:rPr>
          <w:rFonts w:cstheme="minorHAnsi"/>
          <w:b/>
          <w:bCs/>
          <w:color w:val="231F20"/>
          <w:w w:val="110"/>
        </w:rPr>
        <w:t>Others</w:t>
      </w:r>
    </w:p>
    <w:p w14:paraId="6347C4D4" w14:textId="64A157F7" w:rsidR="00387F26" w:rsidRDefault="00387F26" w:rsidP="00D63204">
      <w:pPr>
        <w:widowControl w:val="0"/>
        <w:spacing w:after="0" w:line="266" w:lineRule="exact"/>
        <w:ind w:left="107"/>
        <w:outlineLvl w:val="2"/>
      </w:pPr>
      <w:r>
        <w:t>VR supports participants attending Inclusive Postsecondary Education (IPSE) for individuals with unique abilities. VR has dedicated IPSE Liaisons located throughout the state to participate in IPSE student selection committees and program development</w:t>
      </w:r>
      <w:r w:rsidR="005E7C49">
        <w:t xml:space="preserve">. </w:t>
      </w:r>
    </w:p>
    <w:p w14:paraId="1CB8993E" w14:textId="70DB9252" w:rsidR="00BA633B" w:rsidRDefault="00BA633B" w:rsidP="00D63204">
      <w:pPr>
        <w:widowControl w:val="0"/>
        <w:spacing w:after="0" w:line="266" w:lineRule="exact"/>
        <w:ind w:left="107"/>
        <w:outlineLvl w:val="2"/>
      </w:pPr>
    </w:p>
    <w:p w14:paraId="328959D6" w14:textId="521D3EE9" w:rsidR="00BA633B" w:rsidRDefault="00BA633B" w:rsidP="00D63204">
      <w:pPr>
        <w:widowControl w:val="0"/>
        <w:spacing w:after="0" w:line="266" w:lineRule="exact"/>
        <w:ind w:left="107"/>
        <w:outlineLvl w:val="2"/>
      </w:pPr>
      <w:r w:rsidRPr="00322974">
        <w:t>VR has Memoranda of Understanding with the presidents of Florida’s public universities and the Florida College System. These memoranda outline the purposes, roles and responsibilities of VR and the educational institutions and financial and</w:t>
      </w:r>
      <w:r w:rsidRPr="00BA633B">
        <w:t xml:space="preserve"> programmatic responsibilities. The memoranda provide information about financial assistance, sharing of assessment findings, accommodations, rehabilitation technology services, academic advisement, counseling, confidentiality</w:t>
      </w:r>
      <w:r w:rsidR="00D5537E">
        <w:t xml:space="preserve"> and</w:t>
      </w:r>
      <w:r w:rsidRPr="00BA633B">
        <w:t xml:space="preserve"> other topics.</w:t>
      </w:r>
    </w:p>
    <w:p w14:paraId="5A4B9D64" w14:textId="77777777" w:rsidR="0008388C" w:rsidRDefault="0008388C" w:rsidP="00D63204">
      <w:pPr>
        <w:widowControl w:val="0"/>
        <w:spacing w:before="195" w:after="0" w:line="240" w:lineRule="auto"/>
        <w:ind w:left="107"/>
        <w:rPr>
          <w:rFonts w:cstheme="minorHAnsi"/>
          <w:w w:val="110"/>
        </w:rPr>
      </w:pPr>
      <w:r w:rsidRPr="0008388C">
        <w:rPr>
          <w:rFonts w:cstheme="minorHAnsi"/>
          <w:w w:val="105"/>
        </w:rPr>
        <w:t>A</w:t>
      </w:r>
      <w:r w:rsidRPr="0008388C">
        <w:rPr>
          <w:rFonts w:cstheme="minorHAnsi"/>
          <w:spacing w:val="6"/>
          <w:w w:val="105"/>
        </w:rPr>
        <w:t xml:space="preserve"> </w:t>
      </w:r>
      <w:r w:rsidRPr="0008388C">
        <w:rPr>
          <w:rFonts w:cstheme="minorHAnsi"/>
          <w:w w:val="105"/>
        </w:rPr>
        <w:t>common</w:t>
      </w:r>
      <w:r w:rsidRPr="0008388C">
        <w:rPr>
          <w:rFonts w:cstheme="minorHAnsi"/>
          <w:spacing w:val="6"/>
          <w:w w:val="105"/>
        </w:rPr>
        <w:t xml:space="preserve"> </w:t>
      </w:r>
      <w:r w:rsidRPr="0008388C">
        <w:rPr>
          <w:rFonts w:cstheme="minorHAnsi"/>
          <w:w w:val="105"/>
        </w:rPr>
        <w:t>theme</w:t>
      </w:r>
      <w:r w:rsidRPr="0008388C">
        <w:rPr>
          <w:rFonts w:cstheme="minorHAnsi"/>
          <w:spacing w:val="6"/>
          <w:w w:val="105"/>
        </w:rPr>
        <w:t xml:space="preserve"> </w:t>
      </w:r>
      <w:r w:rsidRPr="0008388C">
        <w:rPr>
          <w:rFonts w:cstheme="minorHAnsi"/>
          <w:w w:val="105"/>
        </w:rPr>
        <w:t>throughout</w:t>
      </w:r>
      <w:r w:rsidRPr="0008388C">
        <w:rPr>
          <w:rFonts w:cstheme="minorHAnsi"/>
          <w:spacing w:val="6"/>
          <w:w w:val="105"/>
        </w:rPr>
        <w:t xml:space="preserve"> </w:t>
      </w:r>
      <w:r w:rsidRPr="0008388C">
        <w:rPr>
          <w:rFonts w:cstheme="minorHAnsi"/>
          <w:w w:val="105"/>
        </w:rPr>
        <w:t>Florida’s</w:t>
      </w:r>
      <w:r w:rsidRPr="0008388C">
        <w:rPr>
          <w:rFonts w:cstheme="minorHAnsi"/>
          <w:spacing w:val="6"/>
          <w:w w:val="105"/>
        </w:rPr>
        <w:t xml:space="preserve"> </w:t>
      </w:r>
      <w:r w:rsidRPr="0008388C">
        <w:rPr>
          <w:rFonts w:cstheme="minorHAnsi"/>
          <w:spacing w:val="-3"/>
          <w:w w:val="105"/>
        </w:rPr>
        <w:t>WIOA</w:t>
      </w:r>
      <w:r w:rsidRPr="0008388C">
        <w:rPr>
          <w:rFonts w:cstheme="minorHAnsi"/>
          <w:spacing w:val="6"/>
          <w:w w:val="105"/>
        </w:rPr>
        <w:t xml:space="preserve"> </w:t>
      </w:r>
      <w:r w:rsidRPr="0008388C">
        <w:rPr>
          <w:rFonts w:cstheme="minorHAnsi"/>
          <w:w w:val="105"/>
        </w:rPr>
        <w:t>implementation</w:t>
      </w:r>
      <w:r w:rsidRPr="0008388C">
        <w:rPr>
          <w:rFonts w:cstheme="minorHAnsi"/>
          <w:spacing w:val="6"/>
          <w:w w:val="105"/>
        </w:rPr>
        <w:t xml:space="preserve"> </w:t>
      </w:r>
      <w:r w:rsidRPr="0008388C">
        <w:rPr>
          <w:rFonts w:cstheme="minorHAnsi"/>
          <w:w w:val="105"/>
        </w:rPr>
        <w:t>strategy</w:t>
      </w:r>
      <w:r w:rsidRPr="0008388C">
        <w:rPr>
          <w:rFonts w:cstheme="minorHAnsi"/>
          <w:spacing w:val="6"/>
          <w:w w:val="105"/>
        </w:rPr>
        <w:t xml:space="preserve"> </w:t>
      </w:r>
      <w:r w:rsidRPr="0008388C">
        <w:rPr>
          <w:rFonts w:cstheme="minorHAnsi"/>
          <w:w w:val="105"/>
        </w:rPr>
        <w:t>is</w:t>
      </w:r>
      <w:r w:rsidRPr="0008388C">
        <w:rPr>
          <w:rFonts w:cstheme="minorHAnsi"/>
          <w:spacing w:val="6"/>
          <w:w w:val="105"/>
        </w:rPr>
        <w:t xml:space="preserve"> </w:t>
      </w:r>
      <w:r w:rsidRPr="0008388C">
        <w:rPr>
          <w:rFonts w:cstheme="minorHAnsi"/>
          <w:w w:val="105"/>
        </w:rPr>
        <w:t>the</w:t>
      </w:r>
      <w:r w:rsidRPr="0008388C">
        <w:rPr>
          <w:rFonts w:cstheme="minorHAnsi"/>
          <w:spacing w:val="6"/>
          <w:w w:val="105"/>
        </w:rPr>
        <w:t xml:space="preserve"> </w:t>
      </w:r>
      <w:r w:rsidRPr="0008388C">
        <w:rPr>
          <w:rFonts w:cstheme="minorHAnsi"/>
          <w:w w:val="105"/>
        </w:rPr>
        <w:t>continued</w:t>
      </w:r>
      <w:r w:rsidRPr="0008388C">
        <w:rPr>
          <w:rFonts w:cstheme="minorHAnsi"/>
          <w:spacing w:val="6"/>
          <w:w w:val="105"/>
        </w:rPr>
        <w:t xml:space="preserve"> </w:t>
      </w:r>
      <w:r w:rsidRPr="0008388C">
        <w:rPr>
          <w:rFonts w:cstheme="minorHAnsi"/>
          <w:w w:val="105"/>
        </w:rPr>
        <w:t>alignment</w:t>
      </w:r>
      <w:r w:rsidRPr="0008388C">
        <w:rPr>
          <w:rFonts w:cstheme="minorHAnsi"/>
          <w:spacing w:val="6"/>
          <w:w w:val="105"/>
        </w:rPr>
        <w:t xml:space="preserve"> </w:t>
      </w:r>
      <w:r w:rsidRPr="0008388C">
        <w:rPr>
          <w:rFonts w:cstheme="minorHAnsi"/>
          <w:w w:val="105"/>
        </w:rPr>
        <w:t>with</w:t>
      </w:r>
      <w:r w:rsidRPr="0008388C">
        <w:rPr>
          <w:rFonts w:cstheme="minorHAnsi"/>
          <w:spacing w:val="-48"/>
          <w:w w:val="105"/>
        </w:rPr>
        <w:t xml:space="preserve"> </w:t>
      </w:r>
      <w:r w:rsidRPr="0008388C">
        <w:rPr>
          <w:rFonts w:cstheme="minorHAnsi"/>
          <w:w w:val="105"/>
        </w:rPr>
        <w:t>potential</w:t>
      </w:r>
      <w:r w:rsidRPr="0008388C">
        <w:rPr>
          <w:rFonts w:cstheme="minorHAnsi"/>
          <w:spacing w:val="14"/>
          <w:w w:val="105"/>
        </w:rPr>
        <w:t xml:space="preserve"> </w:t>
      </w:r>
      <w:r w:rsidRPr="0008388C">
        <w:rPr>
          <w:rFonts w:cstheme="minorHAnsi"/>
          <w:w w:val="105"/>
        </w:rPr>
        <w:t>combined</w:t>
      </w:r>
      <w:r w:rsidRPr="0008388C">
        <w:rPr>
          <w:rFonts w:cstheme="minorHAnsi"/>
          <w:spacing w:val="14"/>
          <w:w w:val="105"/>
        </w:rPr>
        <w:t xml:space="preserve"> </w:t>
      </w:r>
      <w:r w:rsidRPr="0008388C">
        <w:rPr>
          <w:rFonts w:cstheme="minorHAnsi"/>
          <w:w w:val="105"/>
        </w:rPr>
        <w:t>planning</w:t>
      </w:r>
      <w:r w:rsidRPr="0008388C">
        <w:rPr>
          <w:rFonts w:cstheme="minorHAnsi"/>
          <w:spacing w:val="14"/>
          <w:w w:val="105"/>
        </w:rPr>
        <w:t xml:space="preserve"> </w:t>
      </w:r>
      <w:r w:rsidRPr="0008388C">
        <w:rPr>
          <w:rFonts w:cstheme="minorHAnsi"/>
          <w:w w:val="105"/>
        </w:rPr>
        <w:t>partners</w:t>
      </w:r>
      <w:r w:rsidRPr="0008388C">
        <w:rPr>
          <w:rFonts w:cstheme="minorHAnsi"/>
          <w:spacing w:val="14"/>
          <w:w w:val="105"/>
        </w:rPr>
        <w:t xml:space="preserve"> </w:t>
      </w:r>
      <w:r w:rsidRPr="0008388C">
        <w:rPr>
          <w:rFonts w:cstheme="minorHAnsi"/>
          <w:w w:val="105"/>
        </w:rPr>
        <w:t>and</w:t>
      </w:r>
      <w:r w:rsidRPr="0008388C">
        <w:rPr>
          <w:rFonts w:cstheme="minorHAnsi"/>
          <w:spacing w:val="14"/>
          <w:w w:val="105"/>
        </w:rPr>
        <w:t xml:space="preserve"> </w:t>
      </w:r>
      <w:r w:rsidRPr="0008388C">
        <w:rPr>
          <w:rFonts w:cstheme="minorHAnsi"/>
          <w:w w:val="105"/>
        </w:rPr>
        <w:t>optional</w:t>
      </w:r>
      <w:r w:rsidRPr="0008388C">
        <w:rPr>
          <w:rFonts w:cstheme="minorHAnsi"/>
          <w:spacing w:val="14"/>
          <w:w w:val="105"/>
        </w:rPr>
        <w:t xml:space="preserve"> </w:t>
      </w:r>
      <w:r w:rsidRPr="0008388C">
        <w:rPr>
          <w:rFonts w:cstheme="minorHAnsi"/>
          <w:w w:val="105"/>
        </w:rPr>
        <w:t>one-stop</w:t>
      </w:r>
      <w:r w:rsidRPr="0008388C">
        <w:rPr>
          <w:rFonts w:cstheme="minorHAnsi"/>
          <w:spacing w:val="14"/>
          <w:w w:val="105"/>
        </w:rPr>
        <w:t xml:space="preserve"> </w:t>
      </w:r>
      <w:r w:rsidRPr="0008388C">
        <w:rPr>
          <w:rFonts w:cstheme="minorHAnsi"/>
          <w:w w:val="105"/>
        </w:rPr>
        <w:t>career</w:t>
      </w:r>
      <w:r w:rsidRPr="0008388C">
        <w:rPr>
          <w:rFonts w:cstheme="minorHAnsi"/>
          <w:spacing w:val="14"/>
          <w:w w:val="105"/>
        </w:rPr>
        <w:t xml:space="preserve"> </w:t>
      </w:r>
      <w:r w:rsidRPr="0008388C">
        <w:rPr>
          <w:rFonts w:cstheme="minorHAnsi"/>
          <w:w w:val="105"/>
        </w:rPr>
        <w:t>center</w:t>
      </w:r>
      <w:r w:rsidRPr="0008388C">
        <w:rPr>
          <w:rFonts w:cstheme="minorHAnsi"/>
          <w:spacing w:val="14"/>
          <w:w w:val="105"/>
        </w:rPr>
        <w:t xml:space="preserve"> </w:t>
      </w:r>
      <w:r w:rsidRPr="0008388C">
        <w:rPr>
          <w:rFonts w:cstheme="minorHAnsi"/>
          <w:w w:val="105"/>
        </w:rPr>
        <w:t>partners.</w:t>
      </w:r>
      <w:r w:rsidRPr="0008388C">
        <w:rPr>
          <w:rFonts w:cstheme="minorHAnsi"/>
          <w:spacing w:val="14"/>
          <w:w w:val="105"/>
        </w:rPr>
        <w:t xml:space="preserve"> </w:t>
      </w:r>
      <w:r w:rsidRPr="0008388C">
        <w:rPr>
          <w:rFonts w:cstheme="minorHAnsi"/>
          <w:w w:val="105"/>
        </w:rPr>
        <w:t>Through</w:t>
      </w:r>
      <w:r w:rsidRPr="0008388C">
        <w:rPr>
          <w:rFonts w:cstheme="minorHAnsi"/>
          <w:spacing w:val="14"/>
          <w:w w:val="105"/>
        </w:rPr>
        <w:t xml:space="preserve"> </w:t>
      </w:r>
      <w:r w:rsidRPr="0008388C">
        <w:rPr>
          <w:rFonts w:cstheme="minorHAnsi"/>
          <w:w w:val="105"/>
        </w:rPr>
        <w:t>the</w:t>
      </w:r>
      <w:r w:rsidRPr="0008388C">
        <w:rPr>
          <w:rFonts w:cstheme="minorHAnsi"/>
          <w:spacing w:val="14"/>
          <w:w w:val="105"/>
        </w:rPr>
        <w:t xml:space="preserve"> </w:t>
      </w:r>
      <w:r w:rsidRPr="0008388C">
        <w:rPr>
          <w:rFonts w:cstheme="minorHAnsi"/>
          <w:spacing w:val="-3"/>
          <w:w w:val="105"/>
        </w:rPr>
        <w:t>WIOA</w:t>
      </w:r>
      <w:r w:rsidRPr="0008388C">
        <w:rPr>
          <w:rFonts w:cstheme="minorHAnsi"/>
          <w:w w:val="113"/>
        </w:rPr>
        <w:t xml:space="preserve"> </w:t>
      </w:r>
      <w:r w:rsidRPr="0008388C">
        <w:rPr>
          <w:rFonts w:cstheme="minorHAnsi"/>
          <w:w w:val="105"/>
        </w:rPr>
        <w:t>established</w:t>
      </w:r>
      <w:r w:rsidRPr="0008388C">
        <w:rPr>
          <w:rFonts w:cstheme="minorHAnsi"/>
          <w:spacing w:val="24"/>
          <w:w w:val="105"/>
        </w:rPr>
        <w:t xml:space="preserve"> </w:t>
      </w:r>
      <w:r w:rsidRPr="0008388C">
        <w:rPr>
          <w:rFonts w:cstheme="minorHAnsi"/>
          <w:w w:val="105"/>
        </w:rPr>
        <w:t>interagency</w:t>
      </w:r>
      <w:r w:rsidRPr="0008388C">
        <w:rPr>
          <w:rFonts w:cstheme="minorHAnsi"/>
          <w:spacing w:val="24"/>
          <w:w w:val="105"/>
        </w:rPr>
        <w:t xml:space="preserve"> </w:t>
      </w:r>
      <w:r w:rsidRPr="0008388C">
        <w:rPr>
          <w:rFonts w:cstheme="minorHAnsi"/>
          <w:w w:val="105"/>
        </w:rPr>
        <w:t>teams,</w:t>
      </w:r>
      <w:r w:rsidRPr="0008388C">
        <w:rPr>
          <w:rFonts w:cstheme="minorHAnsi"/>
          <w:spacing w:val="24"/>
          <w:w w:val="105"/>
        </w:rPr>
        <w:t xml:space="preserve"> </w:t>
      </w:r>
      <w:r w:rsidRPr="0008388C">
        <w:rPr>
          <w:rFonts w:cstheme="minorHAnsi"/>
          <w:w w:val="105"/>
        </w:rPr>
        <w:t>increased</w:t>
      </w:r>
      <w:r w:rsidRPr="0008388C">
        <w:rPr>
          <w:rFonts w:cstheme="minorHAnsi"/>
          <w:spacing w:val="24"/>
          <w:w w:val="105"/>
        </w:rPr>
        <w:t xml:space="preserve"> </w:t>
      </w:r>
      <w:r w:rsidRPr="0008388C">
        <w:rPr>
          <w:rFonts w:cstheme="minorHAnsi"/>
          <w:w w:val="105"/>
        </w:rPr>
        <w:t>coordination</w:t>
      </w:r>
      <w:r w:rsidRPr="0008388C">
        <w:rPr>
          <w:rFonts w:cstheme="minorHAnsi"/>
          <w:spacing w:val="24"/>
          <w:w w:val="105"/>
        </w:rPr>
        <w:t xml:space="preserve"> </w:t>
      </w:r>
      <w:r w:rsidRPr="0008388C">
        <w:rPr>
          <w:rFonts w:cstheme="minorHAnsi"/>
          <w:w w:val="105"/>
        </w:rPr>
        <w:t>with</w:t>
      </w:r>
      <w:r w:rsidRPr="0008388C">
        <w:rPr>
          <w:rFonts w:cstheme="minorHAnsi"/>
          <w:spacing w:val="24"/>
          <w:w w:val="105"/>
        </w:rPr>
        <w:t xml:space="preserve"> </w:t>
      </w:r>
      <w:r w:rsidRPr="0008388C">
        <w:rPr>
          <w:rFonts w:cstheme="minorHAnsi"/>
          <w:w w:val="105"/>
        </w:rPr>
        <w:t>these</w:t>
      </w:r>
      <w:r w:rsidRPr="0008388C">
        <w:rPr>
          <w:rFonts w:cstheme="minorHAnsi"/>
          <w:spacing w:val="24"/>
          <w:w w:val="105"/>
        </w:rPr>
        <w:t xml:space="preserve"> </w:t>
      </w:r>
      <w:r w:rsidRPr="0008388C">
        <w:rPr>
          <w:rFonts w:cstheme="minorHAnsi"/>
          <w:w w:val="105"/>
        </w:rPr>
        <w:t>organizations</w:t>
      </w:r>
      <w:r w:rsidRPr="0008388C">
        <w:rPr>
          <w:rFonts w:cstheme="minorHAnsi"/>
          <w:spacing w:val="24"/>
          <w:w w:val="105"/>
        </w:rPr>
        <w:t xml:space="preserve"> </w:t>
      </w:r>
      <w:r w:rsidRPr="0008388C">
        <w:rPr>
          <w:rFonts w:cstheme="minorHAnsi"/>
          <w:w w:val="105"/>
        </w:rPr>
        <w:t>and</w:t>
      </w:r>
      <w:r w:rsidRPr="0008388C">
        <w:rPr>
          <w:rFonts w:cstheme="minorHAnsi"/>
          <w:spacing w:val="24"/>
          <w:w w:val="105"/>
        </w:rPr>
        <w:t xml:space="preserve"> </w:t>
      </w:r>
      <w:r w:rsidRPr="0008388C">
        <w:rPr>
          <w:rFonts w:cstheme="minorHAnsi"/>
          <w:w w:val="105"/>
        </w:rPr>
        <w:t>agencies</w:t>
      </w:r>
      <w:r w:rsidRPr="0008388C">
        <w:rPr>
          <w:rFonts w:cstheme="minorHAnsi"/>
          <w:spacing w:val="24"/>
          <w:w w:val="105"/>
        </w:rPr>
        <w:t xml:space="preserve"> </w:t>
      </w:r>
      <w:r w:rsidRPr="0008388C">
        <w:rPr>
          <w:rFonts w:cstheme="minorHAnsi"/>
          <w:spacing w:val="-16"/>
          <w:w w:val="110"/>
        </w:rPr>
        <w:t xml:space="preserve">is </w:t>
      </w:r>
      <w:r w:rsidRPr="0008388C">
        <w:rPr>
          <w:rFonts w:cstheme="minorHAnsi"/>
          <w:w w:val="110"/>
        </w:rPr>
        <w:t>sought.</w:t>
      </w:r>
    </w:p>
    <w:p w14:paraId="46FBCAAA" w14:textId="1B0AA14C" w:rsidR="00EA7458" w:rsidRDefault="00EA7458" w:rsidP="00D63204">
      <w:pPr>
        <w:widowControl w:val="0"/>
        <w:spacing w:before="195" w:after="0" w:line="240" w:lineRule="auto"/>
        <w:ind w:left="107"/>
        <w:rPr>
          <w:rFonts w:cstheme="minorHAnsi"/>
          <w:w w:val="105"/>
        </w:rPr>
      </w:pPr>
      <w:r w:rsidRPr="00E06806">
        <w:rPr>
          <w:rFonts w:cstheme="minorHAnsi"/>
          <w:w w:val="105"/>
        </w:rPr>
        <w:t xml:space="preserve">FDBS maintains cooperative agreements with </w:t>
      </w:r>
      <w:r w:rsidR="00A158C6">
        <w:rPr>
          <w:rFonts w:cstheme="minorHAnsi"/>
          <w:w w:val="105"/>
        </w:rPr>
        <w:t>C</w:t>
      </w:r>
      <w:r w:rsidRPr="00E06806">
        <w:rPr>
          <w:rFonts w:cstheme="minorHAnsi"/>
          <w:w w:val="105"/>
        </w:rPr>
        <w:t xml:space="preserve">ommunity </w:t>
      </w:r>
      <w:r w:rsidR="00A158C6">
        <w:rPr>
          <w:rFonts w:cstheme="minorHAnsi"/>
          <w:w w:val="105"/>
        </w:rPr>
        <w:t>R</w:t>
      </w:r>
      <w:r w:rsidRPr="00E06806">
        <w:rPr>
          <w:rFonts w:cstheme="minorHAnsi"/>
          <w:w w:val="105"/>
        </w:rPr>
        <w:t>ehabilitation</w:t>
      </w:r>
      <w:r w:rsidRPr="00582A27">
        <w:rPr>
          <w:rFonts w:cstheme="minorHAnsi"/>
          <w:w w:val="105"/>
        </w:rPr>
        <w:t xml:space="preserve"> </w:t>
      </w:r>
      <w:r w:rsidR="00A158C6">
        <w:rPr>
          <w:rFonts w:cstheme="minorHAnsi"/>
          <w:w w:val="105"/>
        </w:rPr>
        <w:t>P</w:t>
      </w:r>
      <w:r w:rsidRPr="00E06806">
        <w:rPr>
          <w:rFonts w:cstheme="minorHAnsi"/>
          <w:w w:val="105"/>
        </w:rPr>
        <w:t>roviders</w:t>
      </w:r>
      <w:r w:rsidRPr="00582A27">
        <w:rPr>
          <w:rFonts w:cstheme="minorHAnsi"/>
          <w:w w:val="105"/>
        </w:rPr>
        <w:t xml:space="preserve"> </w:t>
      </w:r>
      <w:r w:rsidRPr="00E06806">
        <w:rPr>
          <w:rFonts w:cstheme="minorHAnsi"/>
          <w:w w:val="105"/>
        </w:rPr>
        <w:t>and</w:t>
      </w:r>
      <w:r w:rsidRPr="00582A27">
        <w:rPr>
          <w:rFonts w:cstheme="minorHAnsi"/>
          <w:w w:val="105"/>
        </w:rPr>
        <w:t xml:space="preserve"> </w:t>
      </w:r>
      <w:r w:rsidRPr="00E06806">
        <w:rPr>
          <w:rFonts w:cstheme="minorHAnsi"/>
          <w:w w:val="105"/>
        </w:rPr>
        <w:t>other</w:t>
      </w:r>
      <w:r w:rsidRPr="00582A27">
        <w:rPr>
          <w:rFonts w:cstheme="minorHAnsi"/>
          <w:w w:val="105"/>
        </w:rPr>
        <w:t xml:space="preserve"> </w:t>
      </w:r>
      <w:r w:rsidRPr="00E06806">
        <w:rPr>
          <w:rFonts w:cstheme="minorHAnsi"/>
          <w:w w:val="105"/>
        </w:rPr>
        <w:t>entities</w:t>
      </w:r>
      <w:r w:rsidRPr="00582A27">
        <w:rPr>
          <w:rFonts w:cstheme="minorHAnsi"/>
          <w:w w:val="105"/>
        </w:rPr>
        <w:t xml:space="preserve"> </w:t>
      </w:r>
      <w:r w:rsidRPr="00E06806">
        <w:rPr>
          <w:rFonts w:cstheme="minorHAnsi"/>
          <w:w w:val="105"/>
        </w:rPr>
        <w:t>not</w:t>
      </w:r>
      <w:r w:rsidRPr="00582A27">
        <w:rPr>
          <w:rFonts w:cstheme="minorHAnsi"/>
          <w:w w:val="105"/>
        </w:rPr>
        <w:t xml:space="preserve"> </w:t>
      </w:r>
      <w:r w:rsidRPr="00E06806">
        <w:rPr>
          <w:rFonts w:cstheme="minorHAnsi"/>
          <w:w w:val="105"/>
        </w:rPr>
        <w:t>carrying</w:t>
      </w:r>
      <w:r w:rsidRPr="00582A27">
        <w:rPr>
          <w:rFonts w:cstheme="minorHAnsi"/>
          <w:w w:val="105"/>
        </w:rPr>
        <w:t xml:space="preserve"> </w:t>
      </w:r>
      <w:r w:rsidRPr="00E06806">
        <w:rPr>
          <w:rFonts w:cstheme="minorHAnsi"/>
          <w:w w:val="105"/>
        </w:rPr>
        <w:t>out</w:t>
      </w:r>
      <w:r w:rsidRPr="00582A27">
        <w:rPr>
          <w:rFonts w:cstheme="minorHAnsi"/>
          <w:w w:val="105"/>
        </w:rPr>
        <w:t xml:space="preserve"> </w:t>
      </w:r>
      <w:r w:rsidRPr="00E06806">
        <w:rPr>
          <w:rFonts w:cstheme="minorHAnsi"/>
          <w:w w:val="105"/>
        </w:rPr>
        <w:t>activities</w:t>
      </w:r>
      <w:r w:rsidRPr="00582A27">
        <w:rPr>
          <w:rFonts w:cstheme="minorHAnsi"/>
          <w:w w:val="105"/>
        </w:rPr>
        <w:t xml:space="preserve"> </w:t>
      </w:r>
      <w:r w:rsidRPr="00E06806">
        <w:rPr>
          <w:rFonts w:cstheme="minorHAnsi"/>
          <w:w w:val="105"/>
        </w:rPr>
        <w:t>under</w:t>
      </w:r>
      <w:r w:rsidRPr="00582A27">
        <w:rPr>
          <w:rFonts w:cstheme="minorHAnsi"/>
          <w:w w:val="105"/>
        </w:rPr>
        <w:t xml:space="preserve"> </w:t>
      </w:r>
      <w:r w:rsidRPr="00E06806">
        <w:rPr>
          <w:rFonts w:cstheme="minorHAnsi"/>
          <w:w w:val="105"/>
        </w:rPr>
        <w:t>the</w:t>
      </w:r>
      <w:r w:rsidRPr="00582A27">
        <w:rPr>
          <w:rFonts w:cstheme="minorHAnsi"/>
          <w:w w:val="105"/>
        </w:rPr>
        <w:t xml:space="preserve"> </w:t>
      </w:r>
      <w:r w:rsidRPr="00E06806">
        <w:rPr>
          <w:rFonts w:cstheme="minorHAnsi"/>
          <w:w w:val="105"/>
        </w:rPr>
        <w:t>Workforce</w:t>
      </w:r>
      <w:r w:rsidRPr="00582A27">
        <w:rPr>
          <w:rFonts w:cstheme="minorHAnsi"/>
          <w:w w:val="105"/>
        </w:rPr>
        <w:t xml:space="preserve"> </w:t>
      </w:r>
      <w:r w:rsidRPr="00E06806">
        <w:rPr>
          <w:rFonts w:cstheme="minorHAnsi"/>
          <w:w w:val="105"/>
        </w:rPr>
        <w:t>Investment</w:t>
      </w:r>
      <w:r w:rsidRPr="00582A27">
        <w:rPr>
          <w:rFonts w:cstheme="minorHAnsi"/>
          <w:w w:val="105"/>
        </w:rPr>
        <w:t xml:space="preserve"> </w:t>
      </w:r>
      <w:r w:rsidRPr="00E06806">
        <w:rPr>
          <w:rFonts w:cstheme="minorHAnsi"/>
          <w:w w:val="105"/>
        </w:rPr>
        <w:t>System.</w:t>
      </w:r>
      <w:r w:rsidRPr="00582A27">
        <w:rPr>
          <w:rFonts w:cstheme="minorHAnsi"/>
          <w:w w:val="105"/>
        </w:rPr>
        <w:t xml:space="preserve"> </w:t>
      </w:r>
      <w:r w:rsidRPr="00E06806">
        <w:rPr>
          <w:rFonts w:cstheme="minorHAnsi"/>
          <w:w w:val="105"/>
        </w:rPr>
        <w:t>FDBS</w:t>
      </w:r>
      <w:r w:rsidRPr="00582A27">
        <w:rPr>
          <w:rFonts w:cstheme="minorHAnsi"/>
          <w:w w:val="105"/>
        </w:rPr>
        <w:t xml:space="preserve"> </w:t>
      </w:r>
      <w:r w:rsidRPr="00E06806">
        <w:rPr>
          <w:rFonts w:cstheme="minorHAnsi"/>
          <w:w w:val="105"/>
        </w:rPr>
        <w:t>has</w:t>
      </w:r>
      <w:r w:rsidRPr="00582A27">
        <w:rPr>
          <w:rFonts w:cstheme="minorHAnsi"/>
          <w:w w:val="105"/>
        </w:rPr>
        <w:t xml:space="preserve"> </w:t>
      </w:r>
      <w:r w:rsidRPr="00E06806">
        <w:rPr>
          <w:rFonts w:cstheme="minorHAnsi"/>
          <w:w w:val="105"/>
        </w:rPr>
        <w:t>a</w:t>
      </w:r>
      <w:r w:rsidR="00FD727A">
        <w:rPr>
          <w:rFonts w:cstheme="minorHAnsi"/>
          <w:w w:val="105"/>
        </w:rPr>
        <w:t xml:space="preserve"> </w:t>
      </w:r>
      <w:r w:rsidRPr="00E06806">
        <w:rPr>
          <w:rFonts w:cstheme="minorHAnsi"/>
          <w:w w:val="105"/>
        </w:rPr>
        <w:t>long-standing</w:t>
      </w:r>
      <w:r w:rsidRPr="00582A27">
        <w:rPr>
          <w:rFonts w:cstheme="minorHAnsi"/>
          <w:w w:val="105"/>
        </w:rPr>
        <w:t xml:space="preserve"> </w:t>
      </w:r>
      <w:r w:rsidRPr="00E06806">
        <w:rPr>
          <w:rFonts w:cstheme="minorHAnsi"/>
          <w:w w:val="105"/>
        </w:rPr>
        <w:t>contractual</w:t>
      </w:r>
      <w:r w:rsidRPr="00582A27">
        <w:rPr>
          <w:rFonts w:cstheme="minorHAnsi"/>
          <w:w w:val="105"/>
        </w:rPr>
        <w:t xml:space="preserve"> </w:t>
      </w:r>
      <w:r w:rsidRPr="00E06806">
        <w:rPr>
          <w:rFonts w:cstheme="minorHAnsi"/>
          <w:w w:val="105"/>
        </w:rPr>
        <w:t>relationship</w:t>
      </w:r>
      <w:r w:rsidRPr="00582A27">
        <w:rPr>
          <w:rFonts w:cstheme="minorHAnsi"/>
          <w:w w:val="105"/>
        </w:rPr>
        <w:t xml:space="preserve"> </w:t>
      </w:r>
      <w:r w:rsidRPr="00E06806">
        <w:rPr>
          <w:rFonts w:cstheme="minorHAnsi"/>
          <w:w w:val="105"/>
        </w:rPr>
        <w:t>with</w:t>
      </w:r>
      <w:r w:rsidRPr="00582A27">
        <w:rPr>
          <w:rFonts w:cstheme="minorHAnsi"/>
          <w:w w:val="105"/>
        </w:rPr>
        <w:t xml:space="preserve"> </w:t>
      </w:r>
      <w:r w:rsidRPr="00E06806">
        <w:rPr>
          <w:rFonts w:cstheme="minorHAnsi"/>
          <w:w w:val="105"/>
        </w:rPr>
        <w:t>its</w:t>
      </w:r>
      <w:r w:rsidRPr="00582A27">
        <w:rPr>
          <w:rFonts w:cstheme="minorHAnsi"/>
          <w:w w:val="105"/>
        </w:rPr>
        <w:t xml:space="preserve"> </w:t>
      </w:r>
      <w:r w:rsidRPr="00E06806">
        <w:rPr>
          <w:rFonts w:cstheme="minorHAnsi"/>
          <w:w w:val="105"/>
        </w:rPr>
        <w:t>statewide</w:t>
      </w:r>
      <w:r w:rsidRPr="00582A27">
        <w:rPr>
          <w:rFonts w:cstheme="minorHAnsi"/>
          <w:w w:val="105"/>
        </w:rPr>
        <w:t xml:space="preserve"> </w:t>
      </w:r>
      <w:r w:rsidRPr="00E06806">
        <w:rPr>
          <w:rFonts w:cstheme="minorHAnsi"/>
          <w:w w:val="105"/>
        </w:rPr>
        <w:t>CRPs</w:t>
      </w:r>
      <w:r w:rsidRPr="00582A27">
        <w:rPr>
          <w:rFonts w:cstheme="minorHAnsi"/>
          <w:w w:val="105"/>
        </w:rPr>
        <w:t xml:space="preserve"> </w:t>
      </w:r>
      <w:r w:rsidRPr="00E06806">
        <w:rPr>
          <w:rFonts w:cstheme="minorHAnsi"/>
          <w:w w:val="105"/>
        </w:rPr>
        <w:t>and</w:t>
      </w:r>
      <w:r w:rsidRPr="00582A27">
        <w:rPr>
          <w:rFonts w:cstheme="minorHAnsi"/>
          <w:w w:val="105"/>
        </w:rPr>
        <w:t xml:space="preserve"> </w:t>
      </w:r>
      <w:r w:rsidRPr="00E06806">
        <w:rPr>
          <w:rFonts w:cstheme="minorHAnsi"/>
          <w:w w:val="105"/>
        </w:rPr>
        <w:t>values</w:t>
      </w:r>
      <w:r w:rsidRPr="00582A27">
        <w:rPr>
          <w:rFonts w:cstheme="minorHAnsi"/>
          <w:w w:val="105"/>
        </w:rPr>
        <w:t xml:space="preserve"> </w:t>
      </w:r>
      <w:r w:rsidRPr="00E06806">
        <w:rPr>
          <w:rFonts w:cstheme="minorHAnsi"/>
          <w:w w:val="105"/>
        </w:rPr>
        <w:t>the</w:t>
      </w:r>
      <w:r w:rsidRPr="00582A27">
        <w:rPr>
          <w:rFonts w:cstheme="minorHAnsi"/>
          <w:w w:val="105"/>
        </w:rPr>
        <w:t xml:space="preserve"> </w:t>
      </w:r>
      <w:r w:rsidRPr="00E06806">
        <w:rPr>
          <w:rFonts w:cstheme="minorHAnsi"/>
          <w:w w:val="105"/>
        </w:rPr>
        <w:t>services</w:t>
      </w:r>
      <w:r w:rsidRPr="00582A27">
        <w:rPr>
          <w:rFonts w:cstheme="minorHAnsi"/>
          <w:w w:val="105"/>
        </w:rPr>
        <w:t xml:space="preserve"> </w:t>
      </w:r>
      <w:r w:rsidRPr="00E06806">
        <w:rPr>
          <w:rFonts w:cstheme="minorHAnsi"/>
          <w:w w:val="105"/>
        </w:rPr>
        <w:t>they</w:t>
      </w:r>
      <w:r w:rsidRPr="00582A27">
        <w:rPr>
          <w:rFonts w:cstheme="minorHAnsi"/>
          <w:w w:val="105"/>
        </w:rPr>
        <w:t xml:space="preserve"> </w:t>
      </w:r>
      <w:r w:rsidRPr="00E06806">
        <w:rPr>
          <w:rFonts w:cstheme="minorHAnsi"/>
          <w:w w:val="105"/>
        </w:rPr>
        <w:t>provide</w:t>
      </w:r>
      <w:r w:rsidRPr="00582A27">
        <w:rPr>
          <w:rFonts w:cstheme="minorHAnsi"/>
          <w:w w:val="105"/>
        </w:rPr>
        <w:t xml:space="preserve"> </w:t>
      </w:r>
      <w:r w:rsidRPr="00E06806">
        <w:rPr>
          <w:rFonts w:cstheme="minorHAnsi"/>
          <w:w w:val="105"/>
        </w:rPr>
        <w:t>to</w:t>
      </w:r>
      <w:r w:rsidRPr="00582A27">
        <w:rPr>
          <w:rFonts w:cstheme="minorHAnsi"/>
          <w:w w:val="105"/>
        </w:rPr>
        <w:t xml:space="preserve"> </w:t>
      </w:r>
      <w:r w:rsidRPr="00E06806">
        <w:rPr>
          <w:rFonts w:cstheme="minorHAnsi"/>
          <w:w w:val="105"/>
        </w:rPr>
        <w:t>clients.</w:t>
      </w:r>
      <w:r w:rsidRPr="00582A27">
        <w:rPr>
          <w:rFonts w:cstheme="minorHAnsi"/>
          <w:w w:val="105"/>
        </w:rPr>
        <w:t xml:space="preserve"> </w:t>
      </w:r>
      <w:r w:rsidR="00267287">
        <w:rPr>
          <w:rFonts w:cstheme="minorHAnsi"/>
          <w:w w:val="105"/>
        </w:rPr>
        <w:t xml:space="preserve">For FDBS, </w:t>
      </w:r>
      <w:r w:rsidRPr="00E06806">
        <w:rPr>
          <w:rFonts w:cstheme="minorHAnsi"/>
          <w:w w:val="105"/>
        </w:rPr>
        <w:t>CRP</w:t>
      </w:r>
      <w:r w:rsidR="00A75C88">
        <w:rPr>
          <w:rFonts w:cstheme="minorHAnsi"/>
          <w:w w:val="105"/>
        </w:rPr>
        <w:t>s are</w:t>
      </w:r>
      <w:r w:rsidRPr="00582A27">
        <w:rPr>
          <w:rFonts w:cstheme="minorHAnsi"/>
          <w:w w:val="105"/>
        </w:rPr>
        <w:t xml:space="preserve"> </w:t>
      </w:r>
      <w:r w:rsidRPr="00E06806">
        <w:rPr>
          <w:rFonts w:cstheme="minorHAnsi"/>
          <w:w w:val="105"/>
        </w:rPr>
        <w:t>private,</w:t>
      </w:r>
      <w:r w:rsidRPr="00582A27">
        <w:rPr>
          <w:rFonts w:cstheme="minorHAnsi"/>
          <w:w w:val="105"/>
        </w:rPr>
        <w:t xml:space="preserve"> </w:t>
      </w:r>
      <w:r w:rsidRPr="00E06806">
        <w:rPr>
          <w:rFonts w:cstheme="minorHAnsi"/>
          <w:w w:val="105"/>
        </w:rPr>
        <w:t>non-profit</w:t>
      </w:r>
      <w:r w:rsidRPr="00582A27">
        <w:rPr>
          <w:rFonts w:cstheme="minorHAnsi"/>
          <w:w w:val="105"/>
        </w:rPr>
        <w:t xml:space="preserve"> </w:t>
      </w:r>
      <w:r w:rsidRPr="00E06806">
        <w:rPr>
          <w:rFonts w:cstheme="minorHAnsi"/>
          <w:w w:val="105"/>
        </w:rPr>
        <w:t>program</w:t>
      </w:r>
      <w:r w:rsidR="00A75C88">
        <w:rPr>
          <w:rFonts w:cstheme="minorHAnsi"/>
          <w:w w:val="105"/>
        </w:rPr>
        <w:t>s</w:t>
      </w:r>
      <w:r w:rsidRPr="00582A27">
        <w:rPr>
          <w:rFonts w:cstheme="minorHAnsi"/>
          <w:w w:val="105"/>
        </w:rPr>
        <w:t xml:space="preserve"> </w:t>
      </w:r>
      <w:r w:rsidRPr="00E06806">
        <w:rPr>
          <w:rFonts w:cstheme="minorHAnsi"/>
          <w:w w:val="105"/>
        </w:rPr>
        <w:t>that</w:t>
      </w:r>
      <w:r w:rsidR="00FD727A">
        <w:rPr>
          <w:rFonts w:cstheme="minorHAnsi"/>
          <w:w w:val="105"/>
        </w:rPr>
        <w:t xml:space="preserve"> </w:t>
      </w:r>
      <w:r w:rsidRPr="00E06806">
        <w:rPr>
          <w:rFonts w:cstheme="minorHAnsi"/>
          <w:w w:val="105"/>
        </w:rPr>
        <w:t>provide</w:t>
      </w:r>
      <w:r w:rsidRPr="00582A27">
        <w:rPr>
          <w:rFonts w:cstheme="minorHAnsi"/>
          <w:w w:val="105"/>
        </w:rPr>
        <w:t xml:space="preserve"> </w:t>
      </w:r>
      <w:r w:rsidR="00A75C88">
        <w:rPr>
          <w:rFonts w:cstheme="minorHAnsi"/>
          <w:w w:val="105"/>
        </w:rPr>
        <w:t xml:space="preserve">specialized </w:t>
      </w:r>
      <w:r w:rsidRPr="00E06806">
        <w:rPr>
          <w:rFonts w:cstheme="minorHAnsi"/>
          <w:w w:val="105"/>
        </w:rPr>
        <w:t>rehabilitation</w:t>
      </w:r>
      <w:r w:rsidRPr="00582A27">
        <w:rPr>
          <w:rFonts w:cstheme="minorHAnsi"/>
          <w:w w:val="105"/>
        </w:rPr>
        <w:t xml:space="preserve"> </w:t>
      </w:r>
      <w:r w:rsidRPr="00E06806">
        <w:rPr>
          <w:rFonts w:cstheme="minorHAnsi"/>
          <w:w w:val="105"/>
        </w:rPr>
        <w:t>services</w:t>
      </w:r>
      <w:r w:rsidRPr="00582A27">
        <w:rPr>
          <w:rFonts w:cstheme="minorHAnsi"/>
          <w:w w:val="105"/>
        </w:rPr>
        <w:t xml:space="preserve"> </w:t>
      </w:r>
      <w:r w:rsidRPr="00E06806">
        <w:rPr>
          <w:rFonts w:cstheme="minorHAnsi"/>
          <w:w w:val="105"/>
        </w:rPr>
        <w:t>to</w:t>
      </w:r>
      <w:r w:rsidRPr="00582A27">
        <w:rPr>
          <w:rFonts w:cstheme="minorHAnsi"/>
          <w:w w:val="105"/>
        </w:rPr>
        <w:t xml:space="preserve"> </w:t>
      </w:r>
      <w:r w:rsidRPr="00E06806">
        <w:rPr>
          <w:rFonts w:cstheme="minorHAnsi"/>
          <w:w w:val="105"/>
        </w:rPr>
        <w:t>individuals</w:t>
      </w:r>
      <w:r w:rsidRPr="00582A27">
        <w:rPr>
          <w:rFonts w:cstheme="minorHAnsi"/>
          <w:w w:val="105"/>
        </w:rPr>
        <w:t xml:space="preserve"> </w:t>
      </w:r>
      <w:r w:rsidRPr="00E06806">
        <w:rPr>
          <w:rFonts w:cstheme="minorHAnsi"/>
          <w:w w:val="105"/>
        </w:rPr>
        <w:t>who</w:t>
      </w:r>
      <w:r w:rsidRPr="00582A27">
        <w:rPr>
          <w:rFonts w:cstheme="minorHAnsi"/>
          <w:w w:val="105"/>
        </w:rPr>
        <w:t xml:space="preserve"> </w:t>
      </w:r>
      <w:r w:rsidRPr="00E06806">
        <w:rPr>
          <w:rFonts w:cstheme="minorHAnsi"/>
          <w:w w:val="105"/>
        </w:rPr>
        <w:t>are</w:t>
      </w:r>
      <w:r w:rsidRPr="00582A27">
        <w:rPr>
          <w:rFonts w:cstheme="minorHAnsi"/>
          <w:w w:val="105"/>
        </w:rPr>
        <w:t xml:space="preserve"> </w:t>
      </w:r>
      <w:r w:rsidRPr="00E06806">
        <w:rPr>
          <w:rFonts w:cstheme="minorHAnsi"/>
          <w:w w:val="105"/>
        </w:rPr>
        <w:t>blind</w:t>
      </w:r>
      <w:r w:rsidRPr="00582A27">
        <w:rPr>
          <w:rFonts w:cstheme="minorHAnsi"/>
          <w:w w:val="105"/>
        </w:rPr>
        <w:t xml:space="preserve"> </w:t>
      </w:r>
      <w:r w:rsidRPr="00E06806">
        <w:rPr>
          <w:rFonts w:cstheme="minorHAnsi"/>
          <w:w w:val="105"/>
        </w:rPr>
        <w:t>or</w:t>
      </w:r>
      <w:r w:rsidRPr="00582A27">
        <w:rPr>
          <w:rFonts w:cstheme="minorHAnsi"/>
          <w:w w:val="105"/>
        </w:rPr>
        <w:t xml:space="preserve"> </w:t>
      </w:r>
      <w:r w:rsidRPr="00E06806">
        <w:rPr>
          <w:rFonts w:cstheme="minorHAnsi"/>
          <w:w w:val="105"/>
        </w:rPr>
        <w:t>visually</w:t>
      </w:r>
      <w:r w:rsidRPr="00582A27">
        <w:rPr>
          <w:rFonts w:cstheme="minorHAnsi"/>
          <w:w w:val="105"/>
        </w:rPr>
        <w:t xml:space="preserve"> </w:t>
      </w:r>
      <w:r w:rsidRPr="00E06806">
        <w:rPr>
          <w:rFonts w:cstheme="minorHAnsi"/>
          <w:w w:val="105"/>
        </w:rPr>
        <w:t>impaired.</w:t>
      </w:r>
      <w:r w:rsidRPr="00582A27">
        <w:rPr>
          <w:rFonts w:cstheme="minorHAnsi"/>
          <w:w w:val="105"/>
        </w:rPr>
        <w:t xml:space="preserve"> </w:t>
      </w:r>
      <w:r w:rsidR="00A7255F">
        <w:rPr>
          <w:rFonts w:cstheme="minorHAnsi"/>
          <w:w w:val="105"/>
        </w:rPr>
        <w:t xml:space="preserve">Specialized services include </w:t>
      </w:r>
      <w:r w:rsidRPr="00E06806">
        <w:rPr>
          <w:rFonts w:cstheme="minorHAnsi"/>
          <w:w w:val="105"/>
        </w:rPr>
        <w:t>education,</w:t>
      </w:r>
      <w:r w:rsidRPr="00582A27">
        <w:rPr>
          <w:rFonts w:cstheme="minorHAnsi"/>
          <w:w w:val="105"/>
        </w:rPr>
        <w:t xml:space="preserve"> </w:t>
      </w:r>
      <w:r w:rsidRPr="00E06806">
        <w:rPr>
          <w:rFonts w:cstheme="minorHAnsi"/>
          <w:w w:val="105"/>
        </w:rPr>
        <w:t>independent</w:t>
      </w:r>
      <w:r w:rsidRPr="00582A27">
        <w:rPr>
          <w:rFonts w:cstheme="minorHAnsi"/>
          <w:w w:val="105"/>
        </w:rPr>
        <w:t xml:space="preserve"> </w:t>
      </w:r>
      <w:r w:rsidRPr="00E06806">
        <w:rPr>
          <w:rFonts w:cstheme="minorHAnsi"/>
          <w:w w:val="105"/>
        </w:rPr>
        <w:t>life</w:t>
      </w:r>
      <w:r w:rsidRPr="00582A27">
        <w:rPr>
          <w:rFonts w:cstheme="minorHAnsi"/>
          <w:w w:val="105"/>
        </w:rPr>
        <w:t xml:space="preserve"> </w:t>
      </w:r>
      <w:r w:rsidRPr="00E06806">
        <w:rPr>
          <w:rFonts w:cstheme="minorHAnsi"/>
          <w:w w:val="105"/>
        </w:rPr>
        <w:t>skills,</w:t>
      </w:r>
      <w:r w:rsidRPr="00582A27">
        <w:rPr>
          <w:rFonts w:cstheme="minorHAnsi"/>
          <w:w w:val="105"/>
        </w:rPr>
        <w:t xml:space="preserve"> </w:t>
      </w:r>
      <w:r w:rsidRPr="00E06806">
        <w:rPr>
          <w:rFonts w:cstheme="minorHAnsi"/>
          <w:w w:val="105"/>
        </w:rPr>
        <w:t>job</w:t>
      </w:r>
      <w:r w:rsidRPr="00582A27">
        <w:rPr>
          <w:rFonts w:cstheme="minorHAnsi"/>
          <w:w w:val="105"/>
        </w:rPr>
        <w:t xml:space="preserve"> </w:t>
      </w:r>
      <w:r w:rsidRPr="00E06806">
        <w:rPr>
          <w:rFonts w:cstheme="minorHAnsi"/>
          <w:w w:val="105"/>
        </w:rPr>
        <w:t>training</w:t>
      </w:r>
      <w:r w:rsidR="00D5537E">
        <w:rPr>
          <w:rFonts w:cstheme="minorHAnsi"/>
          <w:w w:val="105"/>
        </w:rPr>
        <w:t xml:space="preserve"> and</w:t>
      </w:r>
      <w:r w:rsidRPr="00582A27">
        <w:rPr>
          <w:rFonts w:cstheme="minorHAnsi"/>
          <w:w w:val="105"/>
        </w:rPr>
        <w:t xml:space="preserve"> </w:t>
      </w:r>
      <w:r w:rsidRPr="00E06806">
        <w:rPr>
          <w:rFonts w:cstheme="minorHAnsi"/>
          <w:w w:val="105"/>
        </w:rPr>
        <w:t>job</w:t>
      </w:r>
      <w:r w:rsidRPr="00582A27">
        <w:rPr>
          <w:rFonts w:cstheme="minorHAnsi"/>
          <w:w w:val="105"/>
        </w:rPr>
        <w:t xml:space="preserve"> </w:t>
      </w:r>
      <w:r w:rsidRPr="00E06806">
        <w:rPr>
          <w:rFonts w:cstheme="minorHAnsi"/>
          <w:w w:val="105"/>
        </w:rPr>
        <w:t>placement</w:t>
      </w:r>
      <w:r w:rsidRPr="00582A27">
        <w:rPr>
          <w:rFonts w:cstheme="minorHAnsi"/>
          <w:w w:val="105"/>
        </w:rPr>
        <w:t xml:space="preserve"> </w:t>
      </w:r>
      <w:r w:rsidRPr="00E06806">
        <w:rPr>
          <w:rFonts w:cstheme="minorHAnsi"/>
          <w:w w:val="105"/>
        </w:rPr>
        <w:t>services</w:t>
      </w:r>
      <w:r w:rsidRPr="00582A27">
        <w:rPr>
          <w:rFonts w:cstheme="minorHAnsi"/>
          <w:w w:val="105"/>
        </w:rPr>
        <w:t xml:space="preserve"> </w:t>
      </w:r>
      <w:r w:rsidRPr="00E06806">
        <w:rPr>
          <w:rFonts w:cstheme="minorHAnsi"/>
          <w:w w:val="105"/>
        </w:rPr>
        <w:t>to</w:t>
      </w:r>
      <w:r w:rsidRPr="00582A27">
        <w:rPr>
          <w:rFonts w:cstheme="minorHAnsi"/>
          <w:w w:val="105"/>
        </w:rPr>
        <w:t xml:space="preserve"> </w:t>
      </w:r>
      <w:r w:rsidRPr="00E06806">
        <w:rPr>
          <w:rFonts w:cstheme="minorHAnsi"/>
          <w:w w:val="105"/>
        </w:rPr>
        <w:t>clients</w:t>
      </w:r>
      <w:r w:rsidRPr="00582A27">
        <w:rPr>
          <w:rFonts w:cstheme="minorHAnsi"/>
          <w:w w:val="105"/>
        </w:rPr>
        <w:t xml:space="preserve"> </w:t>
      </w:r>
      <w:r w:rsidRPr="00E06806">
        <w:rPr>
          <w:rFonts w:cstheme="minorHAnsi"/>
          <w:w w:val="105"/>
        </w:rPr>
        <w:t>and</w:t>
      </w:r>
      <w:r w:rsidRPr="00582A27">
        <w:rPr>
          <w:rFonts w:cstheme="minorHAnsi"/>
          <w:w w:val="105"/>
        </w:rPr>
        <w:t xml:space="preserve"> </w:t>
      </w:r>
      <w:r w:rsidRPr="00E06806">
        <w:rPr>
          <w:rFonts w:cstheme="minorHAnsi"/>
          <w:w w:val="105"/>
        </w:rPr>
        <w:t>their</w:t>
      </w:r>
      <w:r w:rsidRPr="00582A27">
        <w:rPr>
          <w:rFonts w:cstheme="minorHAnsi"/>
          <w:w w:val="105"/>
        </w:rPr>
        <w:t xml:space="preserve"> </w:t>
      </w:r>
      <w:r w:rsidRPr="00E06806">
        <w:rPr>
          <w:rFonts w:cstheme="minorHAnsi"/>
          <w:w w:val="105"/>
        </w:rPr>
        <w:t>families</w:t>
      </w:r>
      <w:r w:rsidRPr="00582A27">
        <w:rPr>
          <w:rFonts w:cstheme="minorHAnsi"/>
          <w:w w:val="105"/>
        </w:rPr>
        <w:t xml:space="preserve"> </w:t>
      </w:r>
      <w:r w:rsidRPr="00E06806">
        <w:rPr>
          <w:rFonts w:cstheme="minorHAnsi"/>
          <w:w w:val="105"/>
        </w:rPr>
        <w:t>who</w:t>
      </w:r>
      <w:r w:rsidRPr="00582A27">
        <w:rPr>
          <w:rFonts w:cstheme="minorHAnsi"/>
          <w:w w:val="105"/>
        </w:rPr>
        <w:t xml:space="preserve"> </w:t>
      </w:r>
      <w:r w:rsidRPr="00E06806">
        <w:rPr>
          <w:rFonts w:cstheme="minorHAnsi"/>
          <w:w w:val="105"/>
        </w:rPr>
        <w:t>are</w:t>
      </w:r>
      <w:r w:rsidRPr="00582A27">
        <w:rPr>
          <w:rFonts w:cstheme="minorHAnsi"/>
          <w:w w:val="105"/>
        </w:rPr>
        <w:t xml:space="preserve"> </w:t>
      </w:r>
      <w:r w:rsidRPr="00E06806">
        <w:rPr>
          <w:rFonts w:cstheme="minorHAnsi"/>
          <w:w w:val="105"/>
        </w:rPr>
        <w:t>participating in the vocational rehabilitation</w:t>
      </w:r>
      <w:r w:rsidRPr="00582A27">
        <w:rPr>
          <w:rFonts w:cstheme="minorHAnsi"/>
          <w:w w:val="105"/>
        </w:rPr>
        <w:t xml:space="preserve"> </w:t>
      </w:r>
      <w:r w:rsidRPr="00E06806">
        <w:rPr>
          <w:rFonts w:cstheme="minorHAnsi"/>
          <w:w w:val="105"/>
        </w:rPr>
        <w:t>program.</w:t>
      </w:r>
    </w:p>
    <w:p w14:paraId="7AC114E3" w14:textId="77777777" w:rsidR="001178DA" w:rsidRPr="00E06806" w:rsidRDefault="00EA7458" w:rsidP="00D63204">
      <w:pPr>
        <w:widowControl w:val="0"/>
        <w:numPr>
          <w:ilvl w:val="0"/>
          <w:numId w:val="167"/>
        </w:numPr>
        <w:tabs>
          <w:tab w:val="left" w:pos="2268"/>
        </w:tabs>
        <w:spacing w:before="193" w:after="0" w:line="264" w:lineRule="exact"/>
        <w:rPr>
          <w:rFonts w:cstheme="minorHAnsi"/>
        </w:rPr>
      </w:pPr>
      <w:r w:rsidRPr="00E06806">
        <w:rPr>
          <w:rFonts w:cstheme="minorHAnsi"/>
          <w:color w:val="295CA3"/>
          <w:w w:val="105"/>
        </w:rPr>
        <w:t>Coordination, Alignment and Provision of Services to</w:t>
      </w:r>
      <w:r w:rsidRPr="00E06806">
        <w:rPr>
          <w:rFonts w:cstheme="minorHAnsi"/>
          <w:color w:val="295CA3"/>
          <w:spacing w:val="49"/>
          <w:w w:val="105"/>
        </w:rPr>
        <w:t xml:space="preserve"> </w:t>
      </w:r>
      <w:r w:rsidRPr="00E06806">
        <w:rPr>
          <w:rFonts w:cstheme="minorHAnsi"/>
          <w:color w:val="295CA3"/>
          <w:w w:val="105"/>
        </w:rPr>
        <w:t>Individuals</w:t>
      </w:r>
    </w:p>
    <w:p w14:paraId="719B2B9B" w14:textId="5DBCCAEC" w:rsidR="00EA7458" w:rsidRPr="00E06806" w:rsidRDefault="00737643" w:rsidP="00D63204">
      <w:pPr>
        <w:widowControl w:val="0"/>
        <w:spacing w:before="193" w:after="0" w:line="240" w:lineRule="auto"/>
        <w:ind w:left="107"/>
        <w:rPr>
          <w:rFonts w:cstheme="minorHAnsi"/>
        </w:rPr>
      </w:pPr>
      <w:r w:rsidRPr="00E06806">
        <w:rPr>
          <w:rFonts w:cstheme="minorHAnsi"/>
          <w:spacing w:val="8"/>
          <w:w w:val="105"/>
        </w:rPr>
        <w:t xml:space="preserve">Between 2016-2017, </w:t>
      </w:r>
      <w:r w:rsidR="00EA7458" w:rsidRPr="00E06806">
        <w:rPr>
          <w:rFonts w:cstheme="minorHAnsi"/>
          <w:spacing w:val="-3"/>
          <w:w w:val="105"/>
        </w:rPr>
        <w:t>WIOA</w:t>
      </w:r>
      <w:r w:rsidR="00EA7458" w:rsidRPr="00E06806">
        <w:rPr>
          <w:rFonts w:cstheme="minorHAnsi"/>
          <w:spacing w:val="8"/>
          <w:w w:val="105"/>
        </w:rPr>
        <w:t xml:space="preserve"> </w:t>
      </w:r>
      <w:r w:rsidR="00EA7458" w:rsidRPr="00E06806">
        <w:rPr>
          <w:rFonts w:cstheme="minorHAnsi"/>
          <w:w w:val="105"/>
        </w:rPr>
        <w:t>Strategy</w:t>
      </w:r>
      <w:r w:rsidR="00EA7458" w:rsidRPr="00E06806">
        <w:rPr>
          <w:rFonts w:cstheme="minorHAnsi"/>
          <w:spacing w:val="8"/>
          <w:w w:val="105"/>
        </w:rPr>
        <w:t xml:space="preserve"> </w:t>
      </w:r>
      <w:r w:rsidR="00EA7458" w:rsidRPr="00E06806">
        <w:rPr>
          <w:rFonts w:cstheme="minorHAnsi"/>
          <w:w w:val="105"/>
        </w:rPr>
        <w:t>Implementation</w:t>
      </w:r>
      <w:r w:rsidR="00EA7458" w:rsidRPr="00E06806">
        <w:rPr>
          <w:rFonts w:cstheme="minorHAnsi"/>
          <w:spacing w:val="8"/>
          <w:w w:val="105"/>
        </w:rPr>
        <w:t xml:space="preserve"> </w:t>
      </w:r>
      <w:r w:rsidR="00EA7458" w:rsidRPr="00E06806">
        <w:rPr>
          <w:rFonts w:cstheme="minorHAnsi"/>
          <w:w w:val="105"/>
        </w:rPr>
        <w:t>and</w:t>
      </w:r>
      <w:r w:rsidR="00EA7458" w:rsidRPr="00E06806">
        <w:rPr>
          <w:rFonts w:cstheme="minorHAnsi"/>
          <w:spacing w:val="8"/>
          <w:w w:val="105"/>
        </w:rPr>
        <w:t xml:space="preserve"> </w:t>
      </w:r>
      <w:r w:rsidR="00EA7458" w:rsidRPr="00E06806">
        <w:rPr>
          <w:rFonts w:cstheme="minorHAnsi"/>
          <w:w w:val="105"/>
        </w:rPr>
        <w:t>Data</w:t>
      </w:r>
      <w:r w:rsidR="00EA7458" w:rsidRPr="00E06806">
        <w:rPr>
          <w:rFonts w:cstheme="minorHAnsi"/>
          <w:spacing w:val="8"/>
          <w:w w:val="105"/>
        </w:rPr>
        <w:t xml:space="preserve"> </w:t>
      </w:r>
      <w:r w:rsidR="00EA7458" w:rsidRPr="00E06806">
        <w:rPr>
          <w:rFonts w:cstheme="minorHAnsi"/>
          <w:w w:val="105"/>
        </w:rPr>
        <w:t>Integration</w:t>
      </w:r>
      <w:r w:rsidR="00EA7458" w:rsidRPr="00E06806">
        <w:rPr>
          <w:rFonts w:cstheme="minorHAnsi"/>
          <w:spacing w:val="8"/>
          <w:w w:val="105"/>
        </w:rPr>
        <w:t xml:space="preserve"> </w:t>
      </w:r>
      <w:r w:rsidR="00EA7458" w:rsidRPr="00E06806">
        <w:rPr>
          <w:rFonts w:cstheme="minorHAnsi"/>
          <w:w w:val="105"/>
        </w:rPr>
        <w:t>workgroups</w:t>
      </w:r>
      <w:r w:rsidR="00EA7458" w:rsidRPr="00E06806">
        <w:rPr>
          <w:rFonts w:cstheme="minorHAnsi"/>
          <w:spacing w:val="8"/>
          <w:w w:val="105"/>
        </w:rPr>
        <w:t xml:space="preserve"> </w:t>
      </w:r>
      <w:r w:rsidRPr="00E06806">
        <w:rPr>
          <w:rFonts w:cstheme="minorHAnsi"/>
          <w:w w:val="105"/>
        </w:rPr>
        <w:t xml:space="preserve">met </w:t>
      </w:r>
      <w:r w:rsidR="00EA7458" w:rsidRPr="00E06806">
        <w:rPr>
          <w:rFonts w:cstheme="minorHAnsi"/>
          <w:w w:val="105"/>
        </w:rPr>
        <w:t>to</w:t>
      </w:r>
      <w:r w:rsidR="00EA7458" w:rsidRPr="00E06806">
        <w:rPr>
          <w:rFonts w:cstheme="minorHAnsi"/>
          <w:spacing w:val="8"/>
          <w:w w:val="105"/>
        </w:rPr>
        <w:t xml:space="preserve"> </w:t>
      </w:r>
      <w:r w:rsidR="00EA7458" w:rsidRPr="00E06806">
        <w:rPr>
          <w:rFonts w:cstheme="minorHAnsi"/>
          <w:w w:val="105"/>
        </w:rPr>
        <w:t>improve</w:t>
      </w:r>
      <w:r w:rsidR="00EA7458" w:rsidRPr="00E06806">
        <w:rPr>
          <w:rFonts w:cstheme="minorHAnsi"/>
          <w:spacing w:val="-43"/>
          <w:w w:val="105"/>
        </w:rPr>
        <w:t xml:space="preserve"> </w:t>
      </w:r>
      <w:r w:rsidR="00EA7458" w:rsidRPr="00E06806">
        <w:rPr>
          <w:rFonts w:cstheme="minorHAnsi"/>
          <w:w w:val="105"/>
        </w:rPr>
        <w:t>and</w:t>
      </w:r>
      <w:r w:rsidR="00EA7458" w:rsidRPr="00E06806">
        <w:rPr>
          <w:rFonts w:cstheme="minorHAnsi"/>
          <w:spacing w:val="19"/>
          <w:w w:val="105"/>
        </w:rPr>
        <w:t xml:space="preserve"> </w:t>
      </w:r>
      <w:r w:rsidR="00EA7458" w:rsidRPr="00E06806">
        <w:rPr>
          <w:rFonts w:cstheme="minorHAnsi"/>
          <w:w w:val="105"/>
        </w:rPr>
        <w:t>align</w:t>
      </w:r>
      <w:r w:rsidR="00EA7458" w:rsidRPr="00E06806">
        <w:rPr>
          <w:rFonts w:cstheme="minorHAnsi"/>
          <w:spacing w:val="19"/>
          <w:w w:val="105"/>
        </w:rPr>
        <w:t xml:space="preserve"> </w:t>
      </w:r>
      <w:r w:rsidR="00EA7458" w:rsidRPr="00E06806">
        <w:rPr>
          <w:rFonts w:cstheme="minorHAnsi"/>
          <w:w w:val="105"/>
        </w:rPr>
        <w:t>services</w:t>
      </w:r>
      <w:r w:rsidR="00EA7458" w:rsidRPr="00E06806">
        <w:rPr>
          <w:rFonts w:cstheme="minorHAnsi"/>
          <w:spacing w:val="19"/>
          <w:w w:val="105"/>
        </w:rPr>
        <w:t xml:space="preserve"> </w:t>
      </w:r>
      <w:r w:rsidR="00EA7458" w:rsidRPr="00E06806">
        <w:rPr>
          <w:rFonts w:cstheme="minorHAnsi"/>
          <w:w w:val="105"/>
        </w:rPr>
        <w:t>provided</w:t>
      </w:r>
      <w:r w:rsidR="00EA7458" w:rsidRPr="00E06806">
        <w:rPr>
          <w:rFonts w:cstheme="minorHAnsi"/>
          <w:spacing w:val="19"/>
          <w:w w:val="105"/>
        </w:rPr>
        <w:t xml:space="preserve"> </w:t>
      </w:r>
      <w:r w:rsidR="00EA7458" w:rsidRPr="00E06806">
        <w:rPr>
          <w:rFonts w:cstheme="minorHAnsi"/>
          <w:w w:val="105"/>
        </w:rPr>
        <w:t>by</w:t>
      </w:r>
      <w:r w:rsidR="00EA7458" w:rsidRPr="00E06806">
        <w:rPr>
          <w:rFonts w:cstheme="minorHAnsi"/>
          <w:spacing w:val="19"/>
          <w:w w:val="105"/>
        </w:rPr>
        <w:t xml:space="preserve"> </w:t>
      </w:r>
      <w:r w:rsidR="00EA7458" w:rsidRPr="00E06806">
        <w:rPr>
          <w:rFonts w:cstheme="minorHAnsi"/>
          <w:w w:val="105"/>
        </w:rPr>
        <w:t>the</w:t>
      </w:r>
      <w:r w:rsidR="00EA7458" w:rsidRPr="00E06806">
        <w:rPr>
          <w:rFonts w:cstheme="minorHAnsi"/>
          <w:spacing w:val="19"/>
          <w:w w:val="105"/>
        </w:rPr>
        <w:t xml:space="preserve"> </w:t>
      </w:r>
      <w:r w:rsidR="00EA7458" w:rsidRPr="00E06806">
        <w:rPr>
          <w:rFonts w:cstheme="minorHAnsi"/>
          <w:w w:val="105"/>
        </w:rPr>
        <w:t>unified</w:t>
      </w:r>
      <w:r w:rsidR="00EA7458" w:rsidRPr="00E06806">
        <w:rPr>
          <w:rFonts w:cstheme="minorHAnsi"/>
          <w:spacing w:val="19"/>
          <w:w w:val="105"/>
        </w:rPr>
        <w:t xml:space="preserve"> </w:t>
      </w:r>
      <w:r w:rsidR="00EA7458" w:rsidRPr="00E06806">
        <w:rPr>
          <w:rFonts w:cstheme="minorHAnsi"/>
          <w:w w:val="105"/>
        </w:rPr>
        <w:t>state</w:t>
      </w:r>
      <w:r w:rsidR="00EA7458" w:rsidRPr="00E06806">
        <w:rPr>
          <w:rFonts w:cstheme="minorHAnsi"/>
          <w:spacing w:val="19"/>
          <w:w w:val="105"/>
        </w:rPr>
        <w:t xml:space="preserve"> </w:t>
      </w:r>
      <w:r w:rsidR="00EA7458" w:rsidRPr="00E06806">
        <w:rPr>
          <w:rFonts w:cstheme="minorHAnsi"/>
          <w:w w:val="105"/>
        </w:rPr>
        <w:t>plan</w:t>
      </w:r>
      <w:r w:rsidR="00EA7458" w:rsidRPr="00E06806">
        <w:rPr>
          <w:rFonts w:cstheme="minorHAnsi"/>
          <w:spacing w:val="19"/>
          <w:w w:val="105"/>
        </w:rPr>
        <w:t xml:space="preserve"> </w:t>
      </w:r>
      <w:r w:rsidR="00EA7458" w:rsidRPr="00E06806">
        <w:rPr>
          <w:rFonts w:cstheme="minorHAnsi"/>
          <w:w w:val="105"/>
        </w:rPr>
        <w:t>programs.</w:t>
      </w:r>
      <w:r w:rsidR="00EA7458" w:rsidRPr="00E06806">
        <w:rPr>
          <w:rFonts w:cstheme="minorHAnsi"/>
          <w:spacing w:val="19"/>
          <w:w w:val="105"/>
        </w:rPr>
        <w:t xml:space="preserve"> </w:t>
      </w:r>
      <w:r w:rsidR="00EA7458" w:rsidRPr="00E06806">
        <w:rPr>
          <w:rFonts w:cstheme="minorHAnsi"/>
          <w:w w:val="105"/>
        </w:rPr>
        <w:t>Statewide</w:t>
      </w:r>
      <w:r w:rsidR="00EA7458" w:rsidRPr="00E06806">
        <w:rPr>
          <w:rFonts w:cstheme="minorHAnsi"/>
          <w:spacing w:val="19"/>
          <w:w w:val="105"/>
        </w:rPr>
        <w:t xml:space="preserve"> </w:t>
      </w:r>
      <w:r w:rsidR="00EA7458" w:rsidRPr="00E06806">
        <w:rPr>
          <w:rFonts w:cstheme="minorHAnsi"/>
          <w:w w:val="105"/>
        </w:rPr>
        <w:t>policies</w:t>
      </w:r>
      <w:r w:rsidR="00EA7458" w:rsidRPr="00E06806">
        <w:rPr>
          <w:rFonts w:cstheme="minorHAnsi"/>
          <w:spacing w:val="19"/>
          <w:w w:val="105"/>
        </w:rPr>
        <w:t xml:space="preserve"> </w:t>
      </w:r>
      <w:r w:rsidR="00EA7458" w:rsidRPr="00E06806">
        <w:rPr>
          <w:rFonts w:cstheme="minorHAnsi"/>
          <w:w w:val="105"/>
        </w:rPr>
        <w:t>and</w:t>
      </w:r>
      <w:r w:rsidR="00EA7458" w:rsidRPr="00E06806">
        <w:rPr>
          <w:rFonts w:cstheme="minorHAnsi"/>
          <w:spacing w:val="19"/>
          <w:w w:val="105"/>
        </w:rPr>
        <w:t xml:space="preserve"> </w:t>
      </w:r>
      <w:r w:rsidR="00EA7458" w:rsidRPr="00E06806">
        <w:rPr>
          <w:rFonts w:cstheme="minorHAnsi"/>
          <w:w w:val="105"/>
        </w:rPr>
        <w:t>practices</w:t>
      </w:r>
      <w:r w:rsidR="00EA7458" w:rsidRPr="00E06806">
        <w:rPr>
          <w:rFonts w:cstheme="minorHAnsi"/>
          <w:spacing w:val="19"/>
          <w:w w:val="105"/>
        </w:rPr>
        <w:t xml:space="preserve"> </w:t>
      </w:r>
      <w:r w:rsidR="0050792A" w:rsidRPr="00E06806">
        <w:rPr>
          <w:rFonts w:cstheme="minorHAnsi"/>
          <w:w w:val="105"/>
        </w:rPr>
        <w:t xml:space="preserve">were </w:t>
      </w:r>
      <w:r w:rsidR="00EA7458" w:rsidRPr="00E06806">
        <w:rPr>
          <w:rFonts w:cstheme="minorHAnsi"/>
          <w:w w:val="105"/>
        </w:rPr>
        <w:t>reviewed</w:t>
      </w:r>
      <w:r w:rsidR="00EA7458" w:rsidRPr="00E06806">
        <w:rPr>
          <w:rFonts w:cstheme="minorHAnsi"/>
          <w:spacing w:val="12"/>
          <w:w w:val="105"/>
        </w:rPr>
        <w:t xml:space="preserve"> </w:t>
      </w:r>
      <w:r w:rsidR="00EA7458" w:rsidRPr="00E06806">
        <w:rPr>
          <w:rFonts w:cstheme="minorHAnsi"/>
          <w:w w:val="105"/>
        </w:rPr>
        <w:t>by</w:t>
      </w:r>
      <w:r w:rsidR="00EA7458" w:rsidRPr="00E06806">
        <w:rPr>
          <w:rFonts w:cstheme="minorHAnsi"/>
          <w:spacing w:val="12"/>
          <w:w w:val="105"/>
        </w:rPr>
        <w:t xml:space="preserve"> </w:t>
      </w:r>
      <w:r w:rsidR="00EA7458" w:rsidRPr="00E06806">
        <w:rPr>
          <w:rFonts w:cstheme="minorHAnsi"/>
          <w:w w:val="105"/>
        </w:rPr>
        <w:t>this</w:t>
      </w:r>
      <w:r w:rsidR="00EA7458" w:rsidRPr="00E06806">
        <w:rPr>
          <w:rFonts w:cstheme="minorHAnsi"/>
          <w:spacing w:val="12"/>
          <w:w w:val="105"/>
        </w:rPr>
        <w:t xml:space="preserve"> </w:t>
      </w:r>
      <w:r w:rsidR="00EA7458" w:rsidRPr="00E06806">
        <w:rPr>
          <w:rFonts w:cstheme="minorHAnsi"/>
          <w:w w:val="105"/>
        </w:rPr>
        <w:t>team</w:t>
      </w:r>
      <w:r w:rsidR="00EA7458" w:rsidRPr="00E06806">
        <w:rPr>
          <w:rFonts w:cstheme="minorHAnsi"/>
          <w:spacing w:val="12"/>
          <w:w w:val="105"/>
        </w:rPr>
        <w:t xml:space="preserve"> </w:t>
      </w:r>
      <w:r w:rsidR="00EA7458" w:rsidRPr="00E06806">
        <w:rPr>
          <w:rFonts w:cstheme="minorHAnsi"/>
          <w:w w:val="105"/>
        </w:rPr>
        <w:t>to</w:t>
      </w:r>
      <w:r w:rsidR="00EA7458" w:rsidRPr="00E06806">
        <w:rPr>
          <w:rFonts w:cstheme="minorHAnsi"/>
          <w:spacing w:val="12"/>
          <w:w w:val="105"/>
        </w:rPr>
        <w:t xml:space="preserve"> </w:t>
      </w:r>
      <w:r w:rsidR="00EA7458" w:rsidRPr="00E06806">
        <w:rPr>
          <w:rFonts w:cstheme="minorHAnsi"/>
          <w:w w:val="105"/>
        </w:rPr>
        <w:t>ensure</w:t>
      </w:r>
      <w:r w:rsidR="00EA7458" w:rsidRPr="00E06806">
        <w:rPr>
          <w:rFonts w:cstheme="minorHAnsi"/>
          <w:spacing w:val="12"/>
          <w:w w:val="105"/>
        </w:rPr>
        <w:t xml:space="preserve"> </w:t>
      </w:r>
      <w:r w:rsidR="00EA7458" w:rsidRPr="00E06806">
        <w:rPr>
          <w:rFonts w:cstheme="minorHAnsi"/>
          <w:w w:val="105"/>
        </w:rPr>
        <w:t>needs</w:t>
      </w:r>
      <w:r w:rsidR="00EA7458" w:rsidRPr="00E06806">
        <w:rPr>
          <w:rFonts w:cstheme="minorHAnsi"/>
          <w:spacing w:val="12"/>
          <w:w w:val="105"/>
        </w:rPr>
        <w:t xml:space="preserve"> </w:t>
      </w:r>
      <w:r w:rsidR="0050792A" w:rsidRPr="00E06806">
        <w:rPr>
          <w:rFonts w:cstheme="minorHAnsi"/>
          <w:w w:val="105"/>
        </w:rPr>
        <w:t xml:space="preserve">were </w:t>
      </w:r>
      <w:r w:rsidR="00EA7458" w:rsidRPr="00E06806">
        <w:rPr>
          <w:rFonts w:cstheme="minorHAnsi"/>
          <w:w w:val="105"/>
        </w:rPr>
        <w:t>considered</w:t>
      </w:r>
      <w:r w:rsidR="00EA7458" w:rsidRPr="00E06806">
        <w:rPr>
          <w:rFonts w:cstheme="minorHAnsi"/>
          <w:spacing w:val="12"/>
          <w:w w:val="105"/>
        </w:rPr>
        <w:t xml:space="preserve"> </w:t>
      </w:r>
      <w:r w:rsidR="00EA7458" w:rsidRPr="00E06806">
        <w:rPr>
          <w:rFonts w:cstheme="minorHAnsi"/>
          <w:w w:val="105"/>
        </w:rPr>
        <w:t>and</w:t>
      </w:r>
      <w:r w:rsidR="00EA7458" w:rsidRPr="00E06806">
        <w:rPr>
          <w:rFonts w:cstheme="minorHAnsi"/>
          <w:spacing w:val="12"/>
          <w:w w:val="105"/>
        </w:rPr>
        <w:t xml:space="preserve"> </w:t>
      </w:r>
      <w:r w:rsidR="00EA7458" w:rsidRPr="00E06806">
        <w:rPr>
          <w:rFonts w:cstheme="minorHAnsi"/>
          <w:w w:val="105"/>
        </w:rPr>
        <w:t>potential</w:t>
      </w:r>
      <w:r w:rsidR="00EA7458" w:rsidRPr="00E06806">
        <w:rPr>
          <w:rFonts w:cstheme="minorHAnsi"/>
          <w:spacing w:val="12"/>
          <w:w w:val="105"/>
        </w:rPr>
        <w:t xml:space="preserve"> </w:t>
      </w:r>
      <w:r w:rsidR="00EA7458" w:rsidRPr="00E06806">
        <w:rPr>
          <w:rFonts w:cstheme="minorHAnsi"/>
          <w:w w:val="105"/>
        </w:rPr>
        <w:t>impacts</w:t>
      </w:r>
      <w:r w:rsidR="00EA7458" w:rsidRPr="00E06806">
        <w:rPr>
          <w:rFonts w:cstheme="minorHAnsi"/>
          <w:spacing w:val="12"/>
          <w:w w:val="105"/>
        </w:rPr>
        <w:t xml:space="preserve"> </w:t>
      </w:r>
      <w:r w:rsidR="00EA7458" w:rsidRPr="00E06806">
        <w:rPr>
          <w:rFonts w:cstheme="minorHAnsi"/>
          <w:w w:val="105"/>
        </w:rPr>
        <w:t>understood.</w:t>
      </w:r>
      <w:r w:rsidR="0050792A" w:rsidRPr="00E06806">
        <w:rPr>
          <w:rFonts w:cstheme="minorHAnsi"/>
          <w:w w:val="105"/>
        </w:rPr>
        <w:t xml:space="preserve"> </w:t>
      </w:r>
      <w:r w:rsidR="00EA7458" w:rsidRPr="00E06806">
        <w:rPr>
          <w:rFonts w:cstheme="minorHAnsi"/>
          <w:w w:val="105"/>
        </w:rPr>
        <w:t>Continuous</w:t>
      </w:r>
      <w:r w:rsidR="00EA7458" w:rsidRPr="00E06806">
        <w:rPr>
          <w:rFonts w:cstheme="minorHAnsi"/>
          <w:spacing w:val="14"/>
          <w:w w:val="105"/>
        </w:rPr>
        <w:t xml:space="preserve"> </w:t>
      </w:r>
      <w:r w:rsidR="00EA7458" w:rsidRPr="00E06806">
        <w:rPr>
          <w:rFonts w:cstheme="minorHAnsi"/>
          <w:w w:val="105"/>
        </w:rPr>
        <w:t>improvement</w:t>
      </w:r>
      <w:r w:rsidR="00EA7458" w:rsidRPr="00E06806">
        <w:rPr>
          <w:rFonts w:cstheme="minorHAnsi"/>
          <w:spacing w:val="14"/>
          <w:w w:val="105"/>
        </w:rPr>
        <w:t xml:space="preserve"> </w:t>
      </w:r>
      <w:r w:rsidR="00EA7458" w:rsidRPr="00E06806">
        <w:rPr>
          <w:rFonts w:cstheme="minorHAnsi"/>
          <w:w w:val="105"/>
        </w:rPr>
        <w:t>of</w:t>
      </w:r>
      <w:r w:rsidR="00EA7458" w:rsidRPr="00E06806">
        <w:rPr>
          <w:rFonts w:cstheme="minorHAnsi"/>
          <w:spacing w:val="14"/>
          <w:w w:val="105"/>
        </w:rPr>
        <w:t xml:space="preserve"> </w:t>
      </w:r>
      <w:r w:rsidR="00EA7458" w:rsidRPr="00E06806">
        <w:rPr>
          <w:rFonts w:cstheme="minorHAnsi"/>
          <w:w w:val="105"/>
        </w:rPr>
        <w:t>service</w:t>
      </w:r>
      <w:r w:rsidR="00EA7458" w:rsidRPr="00E06806">
        <w:rPr>
          <w:rFonts w:cstheme="minorHAnsi"/>
          <w:spacing w:val="14"/>
          <w:w w:val="105"/>
        </w:rPr>
        <w:t xml:space="preserve"> </w:t>
      </w:r>
      <w:r w:rsidR="00EA7458" w:rsidRPr="00E06806">
        <w:rPr>
          <w:rFonts w:cstheme="minorHAnsi"/>
          <w:w w:val="105"/>
        </w:rPr>
        <w:t>to</w:t>
      </w:r>
      <w:r w:rsidR="00EA7458" w:rsidRPr="00E06806">
        <w:rPr>
          <w:rFonts w:cstheme="minorHAnsi"/>
          <w:spacing w:val="14"/>
          <w:w w:val="105"/>
        </w:rPr>
        <w:t xml:space="preserve"> </w:t>
      </w:r>
      <w:r w:rsidR="00EA7458" w:rsidRPr="00E06806">
        <w:rPr>
          <w:rFonts w:cstheme="minorHAnsi"/>
          <w:w w:val="105"/>
        </w:rPr>
        <w:t>individuals</w:t>
      </w:r>
      <w:r w:rsidR="00EA7458" w:rsidRPr="00E06806">
        <w:rPr>
          <w:rFonts w:cstheme="minorHAnsi"/>
          <w:spacing w:val="14"/>
          <w:w w:val="105"/>
        </w:rPr>
        <w:t xml:space="preserve"> </w:t>
      </w:r>
      <w:r w:rsidR="00EA7458" w:rsidRPr="00E06806">
        <w:rPr>
          <w:rFonts w:cstheme="minorHAnsi"/>
          <w:w w:val="105"/>
        </w:rPr>
        <w:t>is</w:t>
      </w:r>
      <w:r w:rsidR="00EA7458" w:rsidRPr="00E06806">
        <w:rPr>
          <w:rFonts w:cstheme="minorHAnsi"/>
          <w:spacing w:val="14"/>
          <w:w w:val="105"/>
        </w:rPr>
        <w:t xml:space="preserve"> </w:t>
      </w:r>
      <w:r w:rsidR="00EA7458" w:rsidRPr="00E06806">
        <w:rPr>
          <w:rFonts w:cstheme="minorHAnsi"/>
          <w:w w:val="105"/>
        </w:rPr>
        <w:t>paramount</w:t>
      </w:r>
      <w:r w:rsidR="00EA7458" w:rsidRPr="00E06806">
        <w:rPr>
          <w:rFonts w:cstheme="minorHAnsi"/>
          <w:spacing w:val="14"/>
          <w:w w:val="105"/>
        </w:rPr>
        <w:t xml:space="preserve"> </w:t>
      </w:r>
      <w:r w:rsidR="00EA7458" w:rsidRPr="00E06806">
        <w:rPr>
          <w:rFonts w:cstheme="minorHAnsi"/>
          <w:w w:val="105"/>
        </w:rPr>
        <w:t>to</w:t>
      </w:r>
      <w:r w:rsidR="00EA7458" w:rsidRPr="00E06806">
        <w:rPr>
          <w:rFonts w:cstheme="minorHAnsi"/>
          <w:spacing w:val="14"/>
          <w:w w:val="105"/>
        </w:rPr>
        <w:t xml:space="preserve"> </w:t>
      </w:r>
      <w:r w:rsidR="00EA7458" w:rsidRPr="00E06806">
        <w:rPr>
          <w:rFonts w:cstheme="minorHAnsi"/>
          <w:w w:val="105"/>
        </w:rPr>
        <w:t>the</w:t>
      </w:r>
      <w:r w:rsidR="00EA7458" w:rsidRPr="00E06806">
        <w:rPr>
          <w:rFonts w:cstheme="minorHAnsi"/>
          <w:spacing w:val="14"/>
          <w:w w:val="105"/>
        </w:rPr>
        <w:t xml:space="preserve"> </w:t>
      </w:r>
      <w:r w:rsidR="00EA7458" w:rsidRPr="00E06806">
        <w:rPr>
          <w:rFonts w:cstheme="minorHAnsi"/>
          <w:w w:val="105"/>
        </w:rPr>
        <w:t>success</w:t>
      </w:r>
      <w:r w:rsidR="00EA7458" w:rsidRPr="00E06806">
        <w:rPr>
          <w:rFonts w:cstheme="minorHAnsi"/>
          <w:spacing w:val="14"/>
          <w:w w:val="105"/>
        </w:rPr>
        <w:t xml:space="preserve"> </w:t>
      </w:r>
      <w:r w:rsidR="00EA7458" w:rsidRPr="00E06806">
        <w:rPr>
          <w:rFonts w:cstheme="minorHAnsi"/>
          <w:w w:val="105"/>
        </w:rPr>
        <w:t>of</w:t>
      </w:r>
      <w:r w:rsidR="00EA7458" w:rsidRPr="00E06806">
        <w:rPr>
          <w:rFonts w:cstheme="minorHAnsi"/>
          <w:spacing w:val="14"/>
          <w:w w:val="105"/>
        </w:rPr>
        <w:t xml:space="preserve"> </w:t>
      </w:r>
      <w:r w:rsidR="00EA7458" w:rsidRPr="00E06806">
        <w:rPr>
          <w:rFonts w:cstheme="minorHAnsi"/>
          <w:w w:val="105"/>
        </w:rPr>
        <w:t>Florida’s</w:t>
      </w:r>
      <w:r w:rsidR="00EA7458" w:rsidRPr="00E06806">
        <w:rPr>
          <w:rFonts w:cstheme="minorHAnsi"/>
          <w:spacing w:val="14"/>
          <w:w w:val="105"/>
        </w:rPr>
        <w:t xml:space="preserve"> </w:t>
      </w:r>
      <w:r w:rsidR="00EA7458" w:rsidRPr="00E06806">
        <w:rPr>
          <w:rFonts w:cstheme="minorHAnsi"/>
          <w:w w:val="105"/>
        </w:rPr>
        <w:t>workforce</w:t>
      </w:r>
      <w:r w:rsidR="00EA7458" w:rsidRPr="00E06806">
        <w:rPr>
          <w:rFonts w:cstheme="minorHAnsi"/>
          <w:spacing w:val="-48"/>
          <w:w w:val="105"/>
        </w:rPr>
        <w:t xml:space="preserve"> </w:t>
      </w:r>
      <w:r w:rsidR="00EA7458" w:rsidRPr="00E06806">
        <w:rPr>
          <w:rFonts w:cstheme="minorHAnsi"/>
          <w:w w:val="105"/>
        </w:rPr>
        <w:t>system.</w:t>
      </w:r>
      <w:r w:rsidR="00BE1E61">
        <w:rPr>
          <w:rFonts w:cstheme="minorHAnsi"/>
          <w:w w:val="105"/>
        </w:rPr>
        <w:t xml:space="preserve"> </w:t>
      </w:r>
      <w:r w:rsidR="0050792A" w:rsidRPr="00E06806">
        <w:rPr>
          <w:rFonts w:cstheme="minorHAnsi"/>
          <w:w w:val="105"/>
        </w:rPr>
        <w:t xml:space="preserve">Core partners work </w:t>
      </w:r>
      <w:r w:rsidR="00EA7458" w:rsidRPr="00E06806">
        <w:rPr>
          <w:rFonts w:cstheme="minorHAnsi"/>
          <w:w w:val="105"/>
        </w:rPr>
        <w:t>to</w:t>
      </w:r>
      <w:r w:rsidR="00EA7458" w:rsidRPr="00E06806">
        <w:rPr>
          <w:rFonts w:cstheme="minorHAnsi"/>
          <w:spacing w:val="17"/>
          <w:w w:val="105"/>
        </w:rPr>
        <w:t xml:space="preserve"> </w:t>
      </w:r>
      <w:r w:rsidR="00EA7458" w:rsidRPr="00E06806">
        <w:rPr>
          <w:rFonts w:cstheme="minorHAnsi"/>
          <w:w w:val="105"/>
        </w:rPr>
        <w:t>ensure</w:t>
      </w:r>
      <w:r w:rsidR="00EA7458" w:rsidRPr="00E06806">
        <w:rPr>
          <w:rFonts w:cstheme="minorHAnsi"/>
          <w:spacing w:val="17"/>
          <w:w w:val="105"/>
        </w:rPr>
        <w:t xml:space="preserve"> </w:t>
      </w:r>
      <w:r w:rsidR="00EA7458" w:rsidRPr="00E06806">
        <w:rPr>
          <w:rFonts w:cstheme="minorHAnsi"/>
          <w:w w:val="105"/>
        </w:rPr>
        <w:t>career</w:t>
      </w:r>
      <w:r w:rsidR="00EA7458" w:rsidRPr="00E06806">
        <w:rPr>
          <w:rFonts w:cstheme="minorHAnsi"/>
          <w:spacing w:val="17"/>
          <w:w w:val="105"/>
        </w:rPr>
        <w:t xml:space="preserve"> </w:t>
      </w:r>
      <w:r w:rsidR="00EA7458" w:rsidRPr="00E06806">
        <w:rPr>
          <w:rFonts w:cstheme="minorHAnsi"/>
          <w:w w:val="105"/>
        </w:rPr>
        <w:t>centers</w:t>
      </w:r>
      <w:r w:rsidR="00EA7458" w:rsidRPr="00E06806">
        <w:rPr>
          <w:rFonts w:cstheme="minorHAnsi"/>
          <w:spacing w:val="17"/>
          <w:w w:val="105"/>
        </w:rPr>
        <w:t xml:space="preserve"> </w:t>
      </w:r>
      <w:r w:rsidR="00EA7458" w:rsidRPr="00E06806">
        <w:rPr>
          <w:rFonts w:cstheme="minorHAnsi"/>
          <w:w w:val="105"/>
        </w:rPr>
        <w:t>are</w:t>
      </w:r>
      <w:r w:rsidR="00EA7458" w:rsidRPr="00E06806">
        <w:rPr>
          <w:rFonts w:cstheme="minorHAnsi"/>
          <w:spacing w:val="17"/>
          <w:w w:val="105"/>
        </w:rPr>
        <w:t xml:space="preserve"> </w:t>
      </w:r>
      <w:r w:rsidR="00EA7458" w:rsidRPr="00E06806">
        <w:rPr>
          <w:rFonts w:cstheme="minorHAnsi"/>
          <w:w w:val="105"/>
        </w:rPr>
        <w:t>available</w:t>
      </w:r>
      <w:r w:rsidR="00EA7458" w:rsidRPr="00E06806">
        <w:rPr>
          <w:rFonts w:cstheme="minorHAnsi"/>
          <w:spacing w:val="17"/>
          <w:w w:val="105"/>
        </w:rPr>
        <w:t xml:space="preserve"> </w:t>
      </w:r>
      <w:r w:rsidR="00EA7458" w:rsidRPr="00E06806">
        <w:rPr>
          <w:rFonts w:cstheme="minorHAnsi"/>
          <w:w w:val="105"/>
        </w:rPr>
        <w:t>to</w:t>
      </w:r>
      <w:r w:rsidR="00EA7458" w:rsidRPr="00E06806">
        <w:rPr>
          <w:rFonts w:cstheme="minorHAnsi"/>
          <w:spacing w:val="17"/>
          <w:w w:val="105"/>
        </w:rPr>
        <w:t xml:space="preserve"> </w:t>
      </w:r>
      <w:r w:rsidR="00EA7458" w:rsidRPr="00E06806">
        <w:rPr>
          <w:rFonts w:cstheme="minorHAnsi"/>
          <w:w w:val="105"/>
        </w:rPr>
        <w:t>serve</w:t>
      </w:r>
      <w:r w:rsidR="00EA7458" w:rsidRPr="00E06806">
        <w:rPr>
          <w:rFonts w:cstheme="minorHAnsi"/>
          <w:spacing w:val="17"/>
          <w:w w:val="105"/>
        </w:rPr>
        <w:t xml:space="preserve"> </w:t>
      </w:r>
      <w:r w:rsidR="00EA7458" w:rsidRPr="00E06806">
        <w:rPr>
          <w:rFonts w:cstheme="minorHAnsi"/>
          <w:w w:val="105"/>
        </w:rPr>
        <w:t>all</w:t>
      </w:r>
      <w:r w:rsidR="00EA7458" w:rsidRPr="00E06806">
        <w:rPr>
          <w:rFonts w:cstheme="minorHAnsi"/>
          <w:spacing w:val="17"/>
          <w:w w:val="105"/>
        </w:rPr>
        <w:t xml:space="preserve"> </w:t>
      </w:r>
      <w:r w:rsidR="00EA7458" w:rsidRPr="00E06806">
        <w:rPr>
          <w:rFonts w:cstheme="minorHAnsi"/>
          <w:w w:val="105"/>
        </w:rPr>
        <w:t>job</w:t>
      </w:r>
      <w:r w:rsidR="00EA7458" w:rsidRPr="00E06806">
        <w:rPr>
          <w:rFonts w:cstheme="minorHAnsi"/>
          <w:spacing w:val="17"/>
          <w:w w:val="105"/>
        </w:rPr>
        <w:t xml:space="preserve"> </w:t>
      </w:r>
      <w:r w:rsidR="00EA7458" w:rsidRPr="00E06806">
        <w:rPr>
          <w:rFonts w:cstheme="minorHAnsi"/>
          <w:w w:val="105"/>
        </w:rPr>
        <w:t>seekers</w:t>
      </w:r>
      <w:r w:rsidR="00EA7458" w:rsidRPr="00E06806">
        <w:rPr>
          <w:rFonts w:cstheme="minorHAnsi"/>
          <w:spacing w:val="17"/>
          <w:w w:val="105"/>
        </w:rPr>
        <w:t xml:space="preserve"> </w:t>
      </w:r>
      <w:r w:rsidR="00EA7458" w:rsidRPr="00E06806">
        <w:rPr>
          <w:rFonts w:cstheme="minorHAnsi"/>
          <w:w w:val="105"/>
        </w:rPr>
        <w:t>regardless</w:t>
      </w:r>
      <w:r w:rsidR="00EA7458" w:rsidRPr="00E06806">
        <w:rPr>
          <w:rFonts w:cstheme="minorHAnsi"/>
          <w:spacing w:val="17"/>
          <w:w w:val="105"/>
        </w:rPr>
        <w:t xml:space="preserve"> </w:t>
      </w:r>
      <w:r w:rsidR="00EA7458" w:rsidRPr="00E06806">
        <w:rPr>
          <w:rFonts w:cstheme="minorHAnsi"/>
          <w:w w:val="105"/>
        </w:rPr>
        <w:t>of</w:t>
      </w:r>
      <w:r w:rsidR="00EA7458" w:rsidRPr="00E06806">
        <w:rPr>
          <w:rFonts w:cstheme="minorHAnsi"/>
          <w:w w:val="102"/>
        </w:rPr>
        <w:t xml:space="preserve"> </w:t>
      </w:r>
      <w:r w:rsidR="00EA7458" w:rsidRPr="00E06806">
        <w:rPr>
          <w:rFonts w:cstheme="minorHAnsi"/>
          <w:w w:val="105"/>
        </w:rPr>
        <w:t>obstacles to employment, level of need, or degree of career development.</w:t>
      </w:r>
    </w:p>
    <w:p w14:paraId="68E4BCB2" w14:textId="77777777" w:rsidR="00EA7458" w:rsidRPr="00E06806" w:rsidRDefault="00EA7458" w:rsidP="00D63204">
      <w:pPr>
        <w:widowControl w:val="0"/>
        <w:spacing w:before="5" w:after="0" w:line="240" w:lineRule="auto"/>
        <w:ind w:left="107"/>
        <w:rPr>
          <w:rFonts w:cstheme="minorHAnsi"/>
          <w:sz w:val="16"/>
          <w:szCs w:val="16"/>
        </w:rPr>
      </w:pPr>
    </w:p>
    <w:p w14:paraId="59A2F868" w14:textId="1D8B1D10" w:rsidR="00EA7458" w:rsidRPr="00E06806" w:rsidRDefault="00EA7458" w:rsidP="00D63204">
      <w:pPr>
        <w:widowControl w:val="0"/>
        <w:spacing w:after="0" w:line="240" w:lineRule="auto"/>
        <w:ind w:left="107"/>
        <w:rPr>
          <w:rFonts w:cstheme="minorHAnsi"/>
        </w:rPr>
      </w:pPr>
      <w:r w:rsidRPr="00E06806">
        <w:rPr>
          <w:rFonts w:cstheme="minorHAnsi"/>
          <w:w w:val="105"/>
        </w:rPr>
        <w:t>Florida</w:t>
      </w:r>
      <w:r w:rsidRPr="00E06806">
        <w:rPr>
          <w:rFonts w:cstheme="minorHAnsi"/>
          <w:spacing w:val="17"/>
          <w:w w:val="105"/>
        </w:rPr>
        <w:t xml:space="preserve"> </w:t>
      </w:r>
      <w:r w:rsidRPr="00E06806">
        <w:rPr>
          <w:rFonts w:cstheme="minorHAnsi"/>
          <w:w w:val="105"/>
        </w:rPr>
        <w:t>emphasize</w:t>
      </w:r>
      <w:r w:rsidR="0050792A" w:rsidRPr="00E06806">
        <w:rPr>
          <w:rFonts w:cstheme="minorHAnsi"/>
          <w:w w:val="105"/>
        </w:rPr>
        <w:t>s</w:t>
      </w:r>
      <w:r w:rsidRPr="00E06806">
        <w:rPr>
          <w:rFonts w:cstheme="minorHAnsi"/>
          <w:spacing w:val="17"/>
          <w:w w:val="105"/>
        </w:rPr>
        <w:t xml:space="preserve"> </w:t>
      </w:r>
      <w:r w:rsidRPr="00E06806">
        <w:rPr>
          <w:rFonts w:cstheme="minorHAnsi"/>
          <w:w w:val="105"/>
        </w:rPr>
        <w:t>integrated</w:t>
      </w:r>
      <w:r w:rsidRPr="00E06806">
        <w:rPr>
          <w:rFonts w:cstheme="minorHAnsi"/>
          <w:spacing w:val="17"/>
          <w:w w:val="105"/>
        </w:rPr>
        <w:t xml:space="preserve"> </w:t>
      </w:r>
      <w:r w:rsidRPr="00E06806">
        <w:rPr>
          <w:rFonts w:cstheme="minorHAnsi"/>
          <w:w w:val="105"/>
        </w:rPr>
        <w:t>service</w:t>
      </w:r>
      <w:r w:rsidRPr="00E06806">
        <w:rPr>
          <w:rFonts w:cstheme="minorHAnsi"/>
          <w:spacing w:val="17"/>
          <w:w w:val="105"/>
        </w:rPr>
        <w:t xml:space="preserve"> </w:t>
      </w:r>
      <w:r w:rsidRPr="00E06806">
        <w:rPr>
          <w:rFonts w:cstheme="minorHAnsi"/>
          <w:w w:val="105"/>
        </w:rPr>
        <w:t>delivery</w:t>
      </w:r>
      <w:r w:rsidRPr="00E06806">
        <w:rPr>
          <w:rFonts w:cstheme="minorHAnsi"/>
          <w:spacing w:val="17"/>
          <w:w w:val="105"/>
        </w:rPr>
        <w:t xml:space="preserve"> </w:t>
      </w:r>
      <w:r w:rsidRPr="00E06806">
        <w:rPr>
          <w:rFonts w:cstheme="minorHAnsi"/>
          <w:w w:val="105"/>
        </w:rPr>
        <w:t>in</w:t>
      </w:r>
      <w:r w:rsidRPr="00E06806">
        <w:rPr>
          <w:rFonts w:cstheme="minorHAnsi"/>
          <w:spacing w:val="17"/>
          <w:w w:val="105"/>
        </w:rPr>
        <w:t xml:space="preserve"> </w:t>
      </w:r>
      <w:r w:rsidRPr="00E06806">
        <w:rPr>
          <w:rFonts w:cstheme="minorHAnsi"/>
          <w:w w:val="105"/>
        </w:rPr>
        <w:t>improving</w:t>
      </w:r>
      <w:r w:rsidRPr="00E06806">
        <w:rPr>
          <w:rFonts w:cstheme="minorHAnsi"/>
          <w:spacing w:val="17"/>
          <w:w w:val="105"/>
        </w:rPr>
        <w:t xml:space="preserve"> </w:t>
      </w:r>
      <w:r w:rsidRPr="00E06806">
        <w:rPr>
          <w:rFonts w:cstheme="minorHAnsi"/>
          <w:w w:val="105"/>
        </w:rPr>
        <w:t>services</w:t>
      </w:r>
      <w:r w:rsidRPr="00E06806">
        <w:rPr>
          <w:rFonts w:cstheme="minorHAnsi"/>
          <w:spacing w:val="17"/>
          <w:w w:val="105"/>
        </w:rPr>
        <w:t xml:space="preserve"> </w:t>
      </w:r>
      <w:r w:rsidRPr="00E06806">
        <w:rPr>
          <w:rFonts w:cstheme="minorHAnsi"/>
          <w:w w:val="105"/>
        </w:rPr>
        <w:t>to</w:t>
      </w:r>
      <w:r w:rsidRPr="00E06806">
        <w:rPr>
          <w:rFonts w:cstheme="minorHAnsi"/>
          <w:spacing w:val="17"/>
          <w:w w:val="105"/>
        </w:rPr>
        <w:t xml:space="preserve"> </w:t>
      </w:r>
      <w:r w:rsidRPr="00E06806">
        <w:rPr>
          <w:rFonts w:cstheme="minorHAnsi"/>
          <w:w w:val="105"/>
        </w:rPr>
        <w:t>individuals.</w:t>
      </w:r>
      <w:r w:rsidRPr="00E06806">
        <w:rPr>
          <w:rFonts w:cstheme="minorHAnsi"/>
          <w:spacing w:val="17"/>
          <w:w w:val="105"/>
        </w:rPr>
        <w:t xml:space="preserve"> </w:t>
      </w:r>
      <w:r w:rsidR="00265F2C" w:rsidRPr="00E06806">
        <w:rPr>
          <w:rFonts w:cstheme="minorHAnsi"/>
          <w:w w:val="105"/>
        </w:rPr>
        <w:t>C</w:t>
      </w:r>
      <w:r w:rsidRPr="00E06806">
        <w:rPr>
          <w:rFonts w:cstheme="minorHAnsi"/>
          <w:w w:val="105"/>
        </w:rPr>
        <w:t>ore</w:t>
      </w:r>
      <w:r w:rsidRPr="00E06806">
        <w:rPr>
          <w:rFonts w:cstheme="minorHAnsi"/>
          <w:spacing w:val="16"/>
          <w:w w:val="105"/>
        </w:rPr>
        <w:t xml:space="preserve"> </w:t>
      </w:r>
      <w:r w:rsidR="00265F2C" w:rsidRPr="00E06806">
        <w:rPr>
          <w:rFonts w:cstheme="minorHAnsi"/>
          <w:w w:val="105"/>
        </w:rPr>
        <w:t xml:space="preserve">program partners are </w:t>
      </w:r>
      <w:r w:rsidRPr="00E06806">
        <w:rPr>
          <w:rFonts w:cstheme="minorHAnsi"/>
          <w:w w:val="105"/>
        </w:rPr>
        <w:t>dedicated</w:t>
      </w:r>
      <w:r w:rsidRPr="00E06806">
        <w:rPr>
          <w:rFonts w:cstheme="minorHAnsi"/>
          <w:spacing w:val="16"/>
          <w:w w:val="105"/>
        </w:rPr>
        <w:t xml:space="preserve"> </w:t>
      </w:r>
      <w:r w:rsidRPr="00E06806">
        <w:rPr>
          <w:rFonts w:cstheme="minorHAnsi"/>
          <w:w w:val="105"/>
        </w:rPr>
        <w:t>to</w:t>
      </w:r>
      <w:r w:rsidRPr="00E06806">
        <w:rPr>
          <w:rFonts w:cstheme="minorHAnsi"/>
          <w:spacing w:val="16"/>
          <w:w w:val="105"/>
        </w:rPr>
        <w:t xml:space="preserve"> </w:t>
      </w:r>
      <w:r w:rsidRPr="00E06806">
        <w:rPr>
          <w:rFonts w:cstheme="minorHAnsi"/>
          <w:w w:val="105"/>
        </w:rPr>
        <w:t>developing</w:t>
      </w:r>
      <w:r w:rsidRPr="00E06806">
        <w:rPr>
          <w:rFonts w:cstheme="minorHAnsi"/>
          <w:spacing w:val="16"/>
          <w:w w:val="105"/>
        </w:rPr>
        <w:t xml:space="preserve"> </w:t>
      </w:r>
      <w:r w:rsidRPr="00E06806">
        <w:rPr>
          <w:rFonts w:cstheme="minorHAnsi"/>
          <w:w w:val="105"/>
        </w:rPr>
        <w:t>strong</w:t>
      </w:r>
      <w:r w:rsidRPr="00E06806">
        <w:rPr>
          <w:rFonts w:cstheme="minorHAnsi"/>
          <w:spacing w:val="16"/>
          <w:w w:val="105"/>
        </w:rPr>
        <w:t xml:space="preserve"> </w:t>
      </w:r>
      <w:r w:rsidRPr="00E06806">
        <w:rPr>
          <w:rFonts w:cstheme="minorHAnsi"/>
          <w:w w:val="105"/>
        </w:rPr>
        <w:t>strategic</w:t>
      </w:r>
      <w:r w:rsidRPr="00E06806">
        <w:rPr>
          <w:rFonts w:cstheme="minorHAnsi"/>
          <w:spacing w:val="16"/>
          <w:w w:val="105"/>
        </w:rPr>
        <w:t xml:space="preserve"> </w:t>
      </w:r>
      <w:r w:rsidRPr="00E06806">
        <w:rPr>
          <w:rFonts w:cstheme="minorHAnsi"/>
          <w:w w:val="105"/>
        </w:rPr>
        <w:t>alliances</w:t>
      </w:r>
      <w:r w:rsidRPr="00E06806">
        <w:rPr>
          <w:rFonts w:cstheme="minorHAnsi"/>
          <w:spacing w:val="16"/>
          <w:w w:val="105"/>
        </w:rPr>
        <w:t xml:space="preserve"> </w:t>
      </w:r>
      <w:r w:rsidR="00265F2C" w:rsidRPr="00E06806">
        <w:rPr>
          <w:rFonts w:cstheme="minorHAnsi"/>
          <w:w w:val="105"/>
        </w:rPr>
        <w:t xml:space="preserve">linking </w:t>
      </w:r>
      <w:r w:rsidRPr="00E06806">
        <w:rPr>
          <w:rFonts w:cstheme="minorHAnsi"/>
          <w:w w:val="105"/>
        </w:rPr>
        <w:t>employers</w:t>
      </w:r>
      <w:r w:rsidRPr="00E06806">
        <w:rPr>
          <w:rFonts w:cstheme="minorHAnsi"/>
          <w:spacing w:val="12"/>
          <w:w w:val="105"/>
        </w:rPr>
        <w:t xml:space="preserve"> </w:t>
      </w:r>
      <w:r w:rsidRPr="00E06806">
        <w:rPr>
          <w:rFonts w:cstheme="minorHAnsi"/>
          <w:w w:val="105"/>
        </w:rPr>
        <w:t>and</w:t>
      </w:r>
      <w:r w:rsidRPr="00E06806">
        <w:rPr>
          <w:rFonts w:cstheme="minorHAnsi"/>
          <w:spacing w:val="12"/>
          <w:w w:val="105"/>
        </w:rPr>
        <w:t xml:space="preserve"> </w:t>
      </w:r>
      <w:r w:rsidRPr="00E06806">
        <w:rPr>
          <w:rFonts w:cstheme="minorHAnsi"/>
          <w:w w:val="105"/>
        </w:rPr>
        <w:t>job</w:t>
      </w:r>
      <w:r w:rsidRPr="00E06806">
        <w:rPr>
          <w:rFonts w:cstheme="minorHAnsi"/>
          <w:spacing w:val="12"/>
          <w:w w:val="105"/>
        </w:rPr>
        <w:t xml:space="preserve"> </w:t>
      </w:r>
      <w:r w:rsidRPr="00E06806">
        <w:rPr>
          <w:rFonts w:cstheme="minorHAnsi"/>
          <w:w w:val="105"/>
        </w:rPr>
        <w:t>seekers</w:t>
      </w:r>
      <w:r w:rsidRPr="00E06806">
        <w:rPr>
          <w:rFonts w:cstheme="minorHAnsi"/>
          <w:spacing w:val="12"/>
          <w:w w:val="105"/>
        </w:rPr>
        <w:t xml:space="preserve"> </w:t>
      </w:r>
      <w:r w:rsidRPr="00E06806">
        <w:rPr>
          <w:rFonts w:cstheme="minorHAnsi"/>
          <w:w w:val="105"/>
        </w:rPr>
        <w:t>to</w:t>
      </w:r>
      <w:r w:rsidRPr="00E06806">
        <w:rPr>
          <w:rFonts w:cstheme="minorHAnsi"/>
          <w:spacing w:val="12"/>
          <w:w w:val="105"/>
        </w:rPr>
        <w:t xml:space="preserve"> </w:t>
      </w:r>
      <w:r w:rsidR="00265F2C" w:rsidRPr="00E06806">
        <w:rPr>
          <w:rFonts w:cstheme="minorHAnsi"/>
          <w:spacing w:val="12"/>
          <w:w w:val="105"/>
        </w:rPr>
        <w:t xml:space="preserve">quality </w:t>
      </w:r>
      <w:r w:rsidR="006C7079" w:rsidRPr="00E06806">
        <w:rPr>
          <w:rFonts w:cstheme="minorHAnsi"/>
          <w:w w:val="105"/>
        </w:rPr>
        <w:t>services including</w:t>
      </w:r>
      <w:r w:rsidR="00265F2C" w:rsidRPr="00E06806">
        <w:rPr>
          <w:rFonts w:cstheme="minorHAnsi"/>
          <w:w w:val="105"/>
        </w:rPr>
        <w:t xml:space="preserve"> </w:t>
      </w:r>
      <w:r w:rsidRPr="00E06806">
        <w:rPr>
          <w:rFonts w:cstheme="minorHAnsi"/>
          <w:w w:val="105"/>
        </w:rPr>
        <w:t>employment,</w:t>
      </w:r>
      <w:r w:rsidRPr="00E06806">
        <w:rPr>
          <w:rFonts w:cstheme="minorHAnsi"/>
          <w:spacing w:val="-8"/>
          <w:w w:val="105"/>
        </w:rPr>
        <w:t xml:space="preserve"> </w:t>
      </w:r>
      <w:r w:rsidRPr="00E06806">
        <w:rPr>
          <w:rFonts w:cstheme="minorHAnsi"/>
          <w:w w:val="105"/>
        </w:rPr>
        <w:t>training,</w:t>
      </w:r>
      <w:r w:rsidRPr="00E06806">
        <w:rPr>
          <w:rFonts w:cstheme="minorHAnsi"/>
          <w:spacing w:val="18"/>
          <w:w w:val="105"/>
        </w:rPr>
        <w:t xml:space="preserve"> </w:t>
      </w:r>
      <w:r w:rsidRPr="00E06806">
        <w:rPr>
          <w:rFonts w:cstheme="minorHAnsi"/>
          <w:w w:val="105"/>
        </w:rPr>
        <w:t>education,</w:t>
      </w:r>
      <w:r w:rsidRPr="00E06806">
        <w:rPr>
          <w:rFonts w:cstheme="minorHAnsi"/>
          <w:spacing w:val="18"/>
          <w:w w:val="105"/>
        </w:rPr>
        <w:t xml:space="preserve"> </w:t>
      </w:r>
      <w:r w:rsidRPr="00E06806">
        <w:rPr>
          <w:rFonts w:cstheme="minorHAnsi"/>
          <w:w w:val="105"/>
        </w:rPr>
        <w:t>human</w:t>
      </w:r>
      <w:r w:rsidRPr="00E06806">
        <w:rPr>
          <w:rFonts w:cstheme="minorHAnsi"/>
          <w:spacing w:val="18"/>
          <w:w w:val="105"/>
        </w:rPr>
        <w:t xml:space="preserve"> </w:t>
      </w:r>
      <w:r w:rsidRPr="00E06806">
        <w:rPr>
          <w:rFonts w:cstheme="minorHAnsi"/>
          <w:w w:val="105"/>
        </w:rPr>
        <w:t>resource</w:t>
      </w:r>
      <w:r w:rsidRPr="00E06806">
        <w:rPr>
          <w:rFonts w:cstheme="minorHAnsi"/>
          <w:spacing w:val="18"/>
          <w:w w:val="105"/>
        </w:rPr>
        <w:t xml:space="preserve"> </w:t>
      </w:r>
      <w:r w:rsidRPr="00E06806">
        <w:rPr>
          <w:rFonts w:cstheme="minorHAnsi"/>
          <w:w w:val="105"/>
        </w:rPr>
        <w:t>assistance</w:t>
      </w:r>
      <w:r w:rsidRPr="00E06806">
        <w:rPr>
          <w:rFonts w:cstheme="minorHAnsi"/>
          <w:spacing w:val="18"/>
          <w:w w:val="105"/>
        </w:rPr>
        <w:t xml:space="preserve"> </w:t>
      </w:r>
      <w:r w:rsidRPr="00E06806">
        <w:rPr>
          <w:rFonts w:cstheme="minorHAnsi"/>
          <w:w w:val="105"/>
        </w:rPr>
        <w:t>to</w:t>
      </w:r>
      <w:r w:rsidRPr="00E06806">
        <w:rPr>
          <w:rFonts w:cstheme="minorHAnsi"/>
          <w:spacing w:val="18"/>
          <w:w w:val="105"/>
        </w:rPr>
        <w:t xml:space="preserve"> </w:t>
      </w:r>
      <w:r w:rsidRPr="00E06806">
        <w:rPr>
          <w:rFonts w:cstheme="minorHAnsi"/>
          <w:w w:val="105"/>
        </w:rPr>
        <w:t>employers</w:t>
      </w:r>
      <w:r w:rsidR="00D5537E">
        <w:rPr>
          <w:rFonts w:cstheme="minorHAnsi"/>
          <w:w w:val="105"/>
        </w:rPr>
        <w:t xml:space="preserve"> and</w:t>
      </w:r>
      <w:r w:rsidRPr="00E06806">
        <w:rPr>
          <w:rFonts w:cstheme="minorHAnsi"/>
          <w:spacing w:val="18"/>
          <w:w w:val="105"/>
        </w:rPr>
        <w:t xml:space="preserve"> </w:t>
      </w:r>
      <w:r w:rsidRPr="00E06806">
        <w:rPr>
          <w:rFonts w:cstheme="minorHAnsi"/>
          <w:w w:val="105"/>
        </w:rPr>
        <w:t>career</w:t>
      </w:r>
      <w:r w:rsidRPr="00E06806">
        <w:rPr>
          <w:rFonts w:cstheme="minorHAnsi"/>
          <w:spacing w:val="18"/>
          <w:w w:val="105"/>
        </w:rPr>
        <w:t xml:space="preserve"> </w:t>
      </w:r>
      <w:r w:rsidRPr="00E06806">
        <w:rPr>
          <w:rFonts w:cstheme="minorHAnsi"/>
          <w:w w:val="105"/>
        </w:rPr>
        <w:t>and</w:t>
      </w:r>
      <w:r w:rsidRPr="00E06806">
        <w:rPr>
          <w:rFonts w:cstheme="minorHAnsi"/>
          <w:spacing w:val="18"/>
          <w:w w:val="105"/>
        </w:rPr>
        <w:t xml:space="preserve"> </w:t>
      </w:r>
      <w:r w:rsidRPr="00E06806">
        <w:rPr>
          <w:rFonts w:cstheme="minorHAnsi"/>
          <w:w w:val="105"/>
        </w:rPr>
        <w:t>business</w:t>
      </w:r>
      <w:r w:rsidRPr="00E06806">
        <w:rPr>
          <w:rFonts w:cstheme="minorHAnsi"/>
          <w:spacing w:val="18"/>
          <w:w w:val="105"/>
        </w:rPr>
        <w:t xml:space="preserve"> </w:t>
      </w:r>
      <w:r w:rsidRPr="00E06806">
        <w:rPr>
          <w:rFonts w:cstheme="minorHAnsi"/>
          <w:w w:val="105"/>
        </w:rPr>
        <w:t>development</w:t>
      </w:r>
      <w:r w:rsidRPr="00E06806">
        <w:rPr>
          <w:rFonts w:cstheme="minorHAnsi"/>
          <w:spacing w:val="-18"/>
          <w:w w:val="105"/>
        </w:rPr>
        <w:t xml:space="preserve"> </w:t>
      </w:r>
      <w:r w:rsidR="00265F2C" w:rsidRPr="00E06806">
        <w:rPr>
          <w:rFonts w:cstheme="minorHAnsi"/>
          <w:w w:val="105"/>
        </w:rPr>
        <w:t xml:space="preserve">which improve the </w:t>
      </w:r>
      <w:r w:rsidRPr="00E06806">
        <w:rPr>
          <w:rFonts w:cstheme="minorHAnsi"/>
          <w:w w:val="105"/>
        </w:rPr>
        <w:t>economic</w:t>
      </w:r>
      <w:r w:rsidRPr="00E06806">
        <w:rPr>
          <w:rFonts w:cstheme="minorHAnsi"/>
          <w:spacing w:val="10"/>
          <w:w w:val="105"/>
        </w:rPr>
        <w:t xml:space="preserve"> </w:t>
      </w:r>
      <w:r w:rsidRPr="00E06806">
        <w:rPr>
          <w:rFonts w:cstheme="minorHAnsi"/>
          <w:w w:val="105"/>
        </w:rPr>
        <w:t>growth</w:t>
      </w:r>
      <w:r w:rsidRPr="00E06806">
        <w:rPr>
          <w:rFonts w:cstheme="minorHAnsi"/>
          <w:spacing w:val="10"/>
          <w:w w:val="105"/>
        </w:rPr>
        <w:t xml:space="preserve"> </w:t>
      </w:r>
      <w:r w:rsidRPr="00E06806">
        <w:rPr>
          <w:rFonts w:cstheme="minorHAnsi"/>
          <w:w w:val="105"/>
        </w:rPr>
        <w:t>of</w:t>
      </w:r>
      <w:r w:rsidRPr="00E06806">
        <w:rPr>
          <w:rFonts w:cstheme="minorHAnsi"/>
          <w:spacing w:val="10"/>
          <w:w w:val="105"/>
        </w:rPr>
        <w:t xml:space="preserve"> </w:t>
      </w:r>
      <w:r w:rsidRPr="00E06806">
        <w:rPr>
          <w:rFonts w:cstheme="minorHAnsi"/>
          <w:w w:val="105"/>
        </w:rPr>
        <w:t>Florida</w:t>
      </w:r>
      <w:r w:rsidRPr="00E06806">
        <w:rPr>
          <w:rFonts w:cstheme="minorHAnsi"/>
          <w:spacing w:val="10"/>
          <w:w w:val="105"/>
        </w:rPr>
        <w:t xml:space="preserve"> </w:t>
      </w:r>
      <w:r w:rsidRPr="00E06806">
        <w:rPr>
          <w:rFonts w:cstheme="minorHAnsi"/>
          <w:w w:val="105"/>
        </w:rPr>
        <w:t>counties.</w:t>
      </w:r>
      <w:r w:rsidRPr="00E06806">
        <w:rPr>
          <w:rFonts w:cstheme="minorHAnsi"/>
          <w:spacing w:val="9"/>
          <w:w w:val="105"/>
        </w:rPr>
        <w:t xml:space="preserve"> </w:t>
      </w:r>
      <w:r w:rsidRPr="00E06806">
        <w:rPr>
          <w:rFonts w:cstheme="minorHAnsi"/>
          <w:w w:val="105"/>
        </w:rPr>
        <w:t>VR</w:t>
      </w:r>
      <w:r w:rsidRPr="00E06806">
        <w:rPr>
          <w:rFonts w:cstheme="minorHAnsi"/>
          <w:spacing w:val="10"/>
          <w:w w:val="105"/>
        </w:rPr>
        <w:t xml:space="preserve"> </w:t>
      </w:r>
      <w:r w:rsidRPr="00E06806">
        <w:rPr>
          <w:rFonts w:cstheme="minorHAnsi"/>
          <w:w w:val="105"/>
        </w:rPr>
        <w:t>has</w:t>
      </w:r>
      <w:r w:rsidRPr="00E06806">
        <w:rPr>
          <w:rFonts w:cstheme="minorHAnsi"/>
          <w:spacing w:val="10"/>
          <w:w w:val="105"/>
        </w:rPr>
        <w:t xml:space="preserve"> </w:t>
      </w:r>
      <w:r w:rsidRPr="00E06806">
        <w:rPr>
          <w:rFonts w:cstheme="minorHAnsi"/>
          <w:w w:val="105"/>
        </w:rPr>
        <w:t>active</w:t>
      </w:r>
      <w:r w:rsidRPr="00E06806">
        <w:rPr>
          <w:rFonts w:cstheme="minorHAnsi"/>
          <w:spacing w:val="10"/>
          <w:w w:val="105"/>
        </w:rPr>
        <w:t xml:space="preserve"> </w:t>
      </w:r>
      <w:r w:rsidRPr="00E06806">
        <w:rPr>
          <w:rFonts w:cstheme="minorHAnsi"/>
          <w:w w:val="105"/>
        </w:rPr>
        <w:t>representation</w:t>
      </w:r>
      <w:r w:rsidRPr="00E06806">
        <w:rPr>
          <w:rFonts w:cstheme="minorHAnsi"/>
          <w:spacing w:val="10"/>
          <w:w w:val="105"/>
        </w:rPr>
        <w:t xml:space="preserve"> </w:t>
      </w:r>
      <w:r w:rsidRPr="00E06806">
        <w:rPr>
          <w:rFonts w:cstheme="minorHAnsi"/>
          <w:w w:val="105"/>
        </w:rPr>
        <w:t>on</w:t>
      </w:r>
      <w:r w:rsidRPr="00E06806">
        <w:rPr>
          <w:rFonts w:cstheme="minorHAnsi"/>
          <w:spacing w:val="10"/>
          <w:w w:val="105"/>
        </w:rPr>
        <w:t xml:space="preserve"> </w:t>
      </w:r>
      <w:r w:rsidRPr="00E06806">
        <w:rPr>
          <w:rFonts w:cstheme="minorHAnsi"/>
          <w:w w:val="105"/>
        </w:rPr>
        <w:t>23</w:t>
      </w:r>
      <w:r w:rsidRPr="00E06806">
        <w:rPr>
          <w:rFonts w:cstheme="minorHAnsi"/>
          <w:spacing w:val="10"/>
          <w:w w:val="105"/>
        </w:rPr>
        <w:t xml:space="preserve"> </w:t>
      </w:r>
      <w:r w:rsidRPr="00E06806">
        <w:rPr>
          <w:rFonts w:cstheme="minorHAnsi"/>
          <w:w w:val="105"/>
        </w:rPr>
        <w:t>of</w:t>
      </w:r>
      <w:r w:rsidRPr="00E06806">
        <w:rPr>
          <w:rFonts w:cstheme="minorHAnsi"/>
          <w:spacing w:val="10"/>
          <w:w w:val="105"/>
        </w:rPr>
        <w:t xml:space="preserve"> </w:t>
      </w:r>
      <w:r w:rsidRPr="00E06806">
        <w:rPr>
          <w:rFonts w:cstheme="minorHAnsi"/>
          <w:w w:val="105"/>
        </w:rPr>
        <w:t>the</w:t>
      </w:r>
      <w:r w:rsidRPr="00E06806">
        <w:rPr>
          <w:rFonts w:cstheme="minorHAnsi"/>
          <w:spacing w:val="10"/>
          <w:w w:val="105"/>
        </w:rPr>
        <w:t xml:space="preserve"> </w:t>
      </w:r>
      <w:r w:rsidRPr="00E06806">
        <w:rPr>
          <w:rFonts w:cstheme="minorHAnsi"/>
          <w:w w:val="105"/>
        </w:rPr>
        <w:t>24</w:t>
      </w:r>
      <w:r w:rsidR="001178DA" w:rsidRPr="00E06806">
        <w:rPr>
          <w:rFonts w:cstheme="minorHAnsi"/>
          <w:w w:val="105"/>
        </w:rPr>
        <w:t xml:space="preserve"> </w:t>
      </w:r>
      <w:r w:rsidR="00922E11" w:rsidRPr="00E06806">
        <w:rPr>
          <w:rFonts w:cstheme="minorHAnsi"/>
          <w:spacing w:val="-3"/>
          <w:w w:val="105"/>
        </w:rPr>
        <w:t>LWDBs and</w:t>
      </w:r>
      <w:r w:rsidRPr="00E06806">
        <w:rPr>
          <w:rFonts w:cstheme="minorHAnsi"/>
          <w:spacing w:val="22"/>
          <w:w w:val="105"/>
        </w:rPr>
        <w:t xml:space="preserve"> </w:t>
      </w:r>
      <w:r w:rsidRPr="00E06806">
        <w:rPr>
          <w:rFonts w:cstheme="minorHAnsi"/>
          <w:w w:val="105"/>
        </w:rPr>
        <w:t>is</w:t>
      </w:r>
      <w:r w:rsidRPr="00E06806">
        <w:rPr>
          <w:rFonts w:cstheme="minorHAnsi"/>
          <w:spacing w:val="22"/>
          <w:w w:val="105"/>
        </w:rPr>
        <w:t xml:space="preserve"> </w:t>
      </w:r>
      <w:r w:rsidRPr="00E06806">
        <w:rPr>
          <w:rFonts w:cstheme="minorHAnsi"/>
          <w:w w:val="105"/>
        </w:rPr>
        <w:t>represented</w:t>
      </w:r>
      <w:r w:rsidRPr="00E06806">
        <w:rPr>
          <w:rFonts w:cstheme="minorHAnsi"/>
          <w:spacing w:val="22"/>
          <w:w w:val="105"/>
        </w:rPr>
        <w:t xml:space="preserve"> </w:t>
      </w:r>
      <w:r w:rsidRPr="00E06806">
        <w:rPr>
          <w:rFonts w:cstheme="minorHAnsi"/>
          <w:w w:val="105"/>
        </w:rPr>
        <w:t>by</w:t>
      </w:r>
      <w:r w:rsidRPr="00E06806">
        <w:rPr>
          <w:rFonts w:cstheme="minorHAnsi"/>
          <w:spacing w:val="22"/>
          <w:w w:val="105"/>
        </w:rPr>
        <w:t xml:space="preserve"> </w:t>
      </w:r>
      <w:r w:rsidRPr="00E06806">
        <w:rPr>
          <w:rFonts w:cstheme="minorHAnsi"/>
          <w:w w:val="105"/>
        </w:rPr>
        <w:t>FDBS</w:t>
      </w:r>
      <w:r w:rsidRPr="00E06806">
        <w:rPr>
          <w:rFonts w:cstheme="minorHAnsi"/>
          <w:spacing w:val="22"/>
          <w:w w:val="105"/>
        </w:rPr>
        <w:t xml:space="preserve"> </w:t>
      </w:r>
      <w:r w:rsidRPr="00E06806">
        <w:rPr>
          <w:rFonts w:cstheme="minorHAnsi"/>
          <w:w w:val="105"/>
        </w:rPr>
        <w:t>on</w:t>
      </w:r>
      <w:r w:rsidRPr="00E06806">
        <w:rPr>
          <w:rFonts w:cstheme="minorHAnsi"/>
          <w:spacing w:val="22"/>
          <w:w w:val="105"/>
        </w:rPr>
        <w:t xml:space="preserve"> </w:t>
      </w:r>
      <w:r w:rsidRPr="00E06806">
        <w:rPr>
          <w:rFonts w:cstheme="minorHAnsi"/>
          <w:w w:val="105"/>
        </w:rPr>
        <w:t>the</w:t>
      </w:r>
      <w:r w:rsidRPr="00E06806">
        <w:rPr>
          <w:rFonts w:cstheme="minorHAnsi"/>
          <w:spacing w:val="22"/>
          <w:w w:val="105"/>
        </w:rPr>
        <w:t xml:space="preserve"> </w:t>
      </w:r>
      <w:r w:rsidRPr="00E06806">
        <w:rPr>
          <w:rFonts w:cstheme="minorHAnsi"/>
          <w:w w:val="105"/>
        </w:rPr>
        <w:t>remaining</w:t>
      </w:r>
      <w:r w:rsidRPr="00E06806">
        <w:rPr>
          <w:rFonts w:cstheme="minorHAnsi"/>
          <w:spacing w:val="22"/>
          <w:w w:val="105"/>
        </w:rPr>
        <w:t xml:space="preserve"> </w:t>
      </w:r>
      <w:r w:rsidRPr="00E06806">
        <w:rPr>
          <w:rFonts w:cstheme="minorHAnsi"/>
          <w:w w:val="105"/>
        </w:rPr>
        <w:t>board.</w:t>
      </w:r>
      <w:r w:rsidRPr="00E06806">
        <w:rPr>
          <w:rFonts w:cstheme="minorHAnsi"/>
          <w:spacing w:val="22"/>
          <w:w w:val="105"/>
        </w:rPr>
        <w:t xml:space="preserve"> </w:t>
      </w:r>
      <w:r w:rsidRPr="00E06806">
        <w:rPr>
          <w:rFonts w:cstheme="minorHAnsi"/>
          <w:w w:val="105"/>
        </w:rPr>
        <w:t>VR</w:t>
      </w:r>
      <w:r w:rsidRPr="00E06806">
        <w:rPr>
          <w:rFonts w:cstheme="minorHAnsi"/>
          <w:spacing w:val="22"/>
          <w:w w:val="105"/>
        </w:rPr>
        <w:t xml:space="preserve"> </w:t>
      </w:r>
      <w:r w:rsidRPr="00E06806">
        <w:rPr>
          <w:rFonts w:cstheme="minorHAnsi"/>
          <w:w w:val="105"/>
        </w:rPr>
        <w:t>is</w:t>
      </w:r>
      <w:r w:rsidRPr="00E06806">
        <w:rPr>
          <w:rFonts w:cstheme="minorHAnsi"/>
          <w:spacing w:val="22"/>
          <w:w w:val="105"/>
        </w:rPr>
        <w:t xml:space="preserve"> </w:t>
      </w:r>
      <w:r w:rsidRPr="00E06806">
        <w:rPr>
          <w:rFonts w:cstheme="minorHAnsi"/>
          <w:w w:val="105"/>
        </w:rPr>
        <w:t>physically</w:t>
      </w:r>
      <w:r w:rsidRPr="00E06806">
        <w:rPr>
          <w:rFonts w:cstheme="minorHAnsi"/>
          <w:spacing w:val="22"/>
          <w:w w:val="105"/>
        </w:rPr>
        <w:t xml:space="preserve"> </w:t>
      </w:r>
      <w:r w:rsidRPr="00E06806">
        <w:rPr>
          <w:rFonts w:cstheme="minorHAnsi"/>
          <w:w w:val="105"/>
        </w:rPr>
        <w:t>collocated</w:t>
      </w:r>
      <w:r w:rsidRPr="00E06806">
        <w:rPr>
          <w:rFonts w:cstheme="minorHAnsi"/>
          <w:spacing w:val="22"/>
          <w:w w:val="105"/>
        </w:rPr>
        <w:t xml:space="preserve"> </w:t>
      </w:r>
      <w:r w:rsidRPr="00E06806">
        <w:rPr>
          <w:rFonts w:cstheme="minorHAnsi"/>
          <w:w w:val="105"/>
        </w:rPr>
        <w:t>in</w:t>
      </w:r>
      <w:r w:rsidRPr="00E06806">
        <w:rPr>
          <w:rFonts w:cstheme="minorHAnsi"/>
          <w:spacing w:val="22"/>
          <w:w w:val="105"/>
        </w:rPr>
        <w:t xml:space="preserve"> </w:t>
      </w:r>
      <w:r w:rsidRPr="00E06806">
        <w:rPr>
          <w:rFonts w:cstheme="minorHAnsi"/>
          <w:w w:val="105"/>
        </w:rPr>
        <w:t>15</w:t>
      </w:r>
      <w:r w:rsidRPr="00E06806">
        <w:rPr>
          <w:rFonts w:cstheme="minorHAnsi"/>
          <w:spacing w:val="22"/>
          <w:w w:val="105"/>
        </w:rPr>
        <w:t xml:space="preserve"> </w:t>
      </w:r>
      <w:r w:rsidRPr="00E06806">
        <w:rPr>
          <w:rFonts w:cstheme="minorHAnsi"/>
          <w:w w:val="105"/>
        </w:rPr>
        <w:t>geographic</w:t>
      </w:r>
      <w:r w:rsidRPr="00E06806">
        <w:rPr>
          <w:rFonts w:cstheme="minorHAnsi"/>
          <w:w w:val="110"/>
        </w:rPr>
        <w:t xml:space="preserve"> </w:t>
      </w:r>
      <w:r w:rsidR="00922E11" w:rsidRPr="00E06806">
        <w:rPr>
          <w:rFonts w:cstheme="minorHAnsi"/>
          <w:w w:val="105"/>
        </w:rPr>
        <w:t>locations and</w:t>
      </w:r>
      <w:r w:rsidRPr="00E06806">
        <w:rPr>
          <w:rFonts w:cstheme="minorHAnsi"/>
          <w:w w:val="105"/>
        </w:rPr>
        <w:t xml:space="preserve"> seek</w:t>
      </w:r>
      <w:r w:rsidR="00265F2C" w:rsidRPr="00E06806">
        <w:rPr>
          <w:rFonts w:cstheme="minorHAnsi"/>
          <w:w w:val="105"/>
        </w:rPr>
        <w:t>s</w:t>
      </w:r>
      <w:r w:rsidRPr="00E06806">
        <w:rPr>
          <w:rFonts w:cstheme="minorHAnsi"/>
          <w:w w:val="105"/>
        </w:rPr>
        <w:t xml:space="preserve"> to expand colocations.</w:t>
      </w:r>
    </w:p>
    <w:p w14:paraId="5C2095B5" w14:textId="77777777" w:rsidR="00EA7458" w:rsidRPr="00E06806" w:rsidRDefault="00EA7458" w:rsidP="00D63204">
      <w:pPr>
        <w:widowControl w:val="0"/>
        <w:spacing w:before="5" w:after="0" w:line="240" w:lineRule="auto"/>
        <w:ind w:left="107"/>
        <w:rPr>
          <w:rFonts w:cstheme="minorHAnsi"/>
          <w:sz w:val="16"/>
          <w:szCs w:val="16"/>
        </w:rPr>
      </w:pPr>
    </w:p>
    <w:p w14:paraId="3B720E9E" w14:textId="103394FC" w:rsidR="00AD0242" w:rsidRPr="00AD0242" w:rsidRDefault="00AD0242" w:rsidP="00D63204">
      <w:pPr>
        <w:spacing w:line="240" w:lineRule="auto"/>
        <w:ind w:left="107"/>
        <w:rPr>
          <w:rFonts w:cstheme="minorHAnsi"/>
          <w:w w:val="105"/>
        </w:rPr>
      </w:pPr>
      <w:r w:rsidRPr="00AD0242">
        <w:rPr>
          <w:rFonts w:cstheme="minorHAnsi"/>
          <w:w w:val="105"/>
        </w:rPr>
        <w:t>FDBS is committed to providing high quality services to people with</w:t>
      </w:r>
      <w:r w:rsidR="00AC502A">
        <w:rPr>
          <w:rFonts w:cstheme="minorHAnsi"/>
          <w:w w:val="105"/>
        </w:rPr>
        <w:t xml:space="preserve"> bilateral visual</w:t>
      </w:r>
      <w:r w:rsidRPr="00AD0242">
        <w:rPr>
          <w:rFonts w:cstheme="minorHAnsi"/>
          <w:w w:val="105"/>
        </w:rPr>
        <w:t xml:space="preserve"> disabilities. FDBS supports individuals in making employment choices consistent with their strengths, resources, priorities, concerns, abilities, capabilities</w:t>
      </w:r>
      <w:r w:rsidR="00D5537E">
        <w:rPr>
          <w:rFonts w:cstheme="minorHAnsi"/>
          <w:w w:val="105"/>
        </w:rPr>
        <w:t xml:space="preserve"> and</w:t>
      </w:r>
      <w:r w:rsidRPr="00AD0242">
        <w:rPr>
          <w:rFonts w:cstheme="minorHAnsi"/>
          <w:w w:val="105"/>
        </w:rPr>
        <w:t xml:space="preserve"> interests. FDBS creates an accountable and exemplary division workforce that ensures high quality services. Employees receive annual training on division policies/procedures, new federal/state regulations</w:t>
      </w:r>
      <w:r w:rsidR="00D5537E">
        <w:rPr>
          <w:rFonts w:cstheme="minorHAnsi"/>
          <w:w w:val="105"/>
        </w:rPr>
        <w:t xml:space="preserve"> and</w:t>
      </w:r>
      <w:r w:rsidRPr="00AD0242">
        <w:rPr>
          <w:rFonts w:cstheme="minorHAnsi"/>
          <w:w w:val="105"/>
        </w:rPr>
        <w:t xml:space="preserve"> the responsibilities of their positions. All employees attend New Employee Orientation where they are introduced to Client Services and the VR Program. On September 20, 2017, FDBS renewed its Intensive Technical Assistance Agreement with WINTAC. WINTAC provides training on specific topics, such as Pre-Employment Transition, VR, Supported Employment, Career Pathways, etc. The FDBS </w:t>
      </w:r>
      <w:r w:rsidRPr="00AD0242">
        <w:rPr>
          <w:rFonts w:cstheme="minorHAnsi"/>
          <w:w w:val="105"/>
        </w:rPr>
        <w:lastRenderedPageBreak/>
        <w:t>seeks to employ</w:t>
      </w:r>
      <w:r w:rsidR="009D2C60">
        <w:rPr>
          <w:rFonts w:cstheme="minorHAnsi"/>
          <w:w w:val="105"/>
        </w:rPr>
        <w:t xml:space="preserve"> and develop Certified Rehabilitation Counselors (CRCs)</w:t>
      </w:r>
      <w:r w:rsidR="005B14BE">
        <w:rPr>
          <w:rFonts w:cstheme="minorHAnsi"/>
          <w:w w:val="105"/>
        </w:rPr>
        <w:t xml:space="preserve"> for services delivery. The division currently has 15 CRCs on staff. </w:t>
      </w:r>
      <w:r w:rsidRPr="00AD0242">
        <w:rPr>
          <w:rFonts w:cstheme="minorHAnsi"/>
          <w:w w:val="105"/>
        </w:rPr>
        <w:t xml:space="preserve"> </w:t>
      </w:r>
    </w:p>
    <w:p w14:paraId="21A79F91" w14:textId="67DEC22B" w:rsidR="00AD0242" w:rsidRPr="00BE1E61" w:rsidRDefault="00AD0242" w:rsidP="00D63204">
      <w:pPr>
        <w:spacing w:line="240" w:lineRule="auto"/>
        <w:ind w:left="107"/>
        <w:rPr>
          <w:rFonts w:cstheme="minorHAnsi"/>
          <w:w w:val="105"/>
        </w:rPr>
      </w:pPr>
      <w:r w:rsidRPr="00AD0242">
        <w:rPr>
          <w:rFonts w:cstheme="minorHAnsi"/>
          <w:w w:val="105"/>
        </w:rPr>
        <w:t>FDBS’s vocational rehabilitation counselors will assist individuals in pursuing their goals as detailed in their individualized plan for employment (IPE) by using supported employment resources selected to produce the best results for the individual. Job seekers are referred to online tools such as the Talent Acquisition Portal (TAP), Employ Florida and Ability Works to assist in finding and applying for jobs. The Abilities Work Help desk connects employers to a qualified workforce by sending notifications to FDBS, VR, CareerSource Florida, etc., when companies have job openings and are looking to fill positions with a qualified person with a disability. FDBS supervisors, counselors and Employment Placement Specialist staff complete the EOP II training. This training provides staff with marketing and sales skills directly relating to real job development. EPS and counselors meet weekly to discuss</w:t>
      </w:r>
      <w:r w:rsidR="002E1008">
        <w:rPr>
          <w:rFonts w:cstheme="minorHAnsi"/>
          <w:w w:val="105"/>
        </w:rPr>
        <w:t xml:space="preserve"> labor market information</w:t>
      </w:r>
      <w:r w:rsidRPr="00AD0242">
        <w:rPr>
          <w:rFonts w:cstheme="minorHAnsi"/>
          <w:w w:val="105"/>
        </w:rPr>
        <w:t>, work experience opportunities, internships</w:t>
      </w:r>
      <w:r w:rsidR="00D5537E">
        <w:rPr>
          <w:rFonts w:cstheme="minorHAnsi"/>
          <w:w w:val="105"/>
        </w:rPr>
        <w:t xml:space="preserve"> and</w:t>
      </w:r>
      <w:r w:rsidRPr="00AD0242">
        <w:rPr>
          <w:rFonts w:cstheme="minorHAnsi"/>
          <w:w w:val="105"/>
        </w:rPr>
        <w:t xml:space="preserve"> the hiring needs of employers.</w:t>
      </w:r>
    </w:p>
    <w:p w14:paraId="5A21B9D0" w14:textId="7E119482" w:rsidR="00BE1E61" w:rsidRDefault="00B476CA" w:rsidP="00D63204">
      <w:pPr>
        <w:spacing w:line="240" w:lineRule="auto"/>
        <w:ind w:left="107"/>
        <w:rPr>
          <w:rFonts w:cstheme="minorHAnsi"/>
        </w:rPr>
      </w:pPr>
      <w:r w:rsidRPr="00E06806">
        <w:rPr>
          <w:rFonts w:cstheme="minorHAnsi"/>
        </w:rPr>
        <w:t>FDBS vocational rehabilitation counselors will actively involve clients and families as appropriate in assessment, planning</w:t>
      </w:r>
      <w:r w:rsidR="00D5537E">
        <w:rPr>
          <w:rFonts w:cstheme="minorHAnsi"/>
        </w:rPr>
        <w:t xml:space="preserve"> and</w:t>
      </w:r>
      <w:r w:rsidRPr="00E06806">
        <w:rPr>
          <w:rFonts w:cstheme="minorHAnsi"/>
        </w:rPr>
        <w:t xml:space="preserve"> decision making throughout the service delivery process. FDBS continuously evaluate</w:t>
      </w:r>
      <w:r w:rsidR="00366711">
        <w:rPr>
          <w:rFonts w:cstheme="minorHAnsi"/>
        </w:rPr>
        <w:t>s</w:t>
      </w:r>
      <w:r w:rsidRPr="00E06806">
        <w:rPr>
          <w:rFonts w:cstheme="minorHAnsi"/>
        </w:rPr>
        <w:t xml:space="preserve"> the effectiveness of its job placement services and make</w:t>
      </w:r>
      <w:r w:rsidR="00366711">
        <w:rPr>
          <w:rFonts w:cstheme="minorHAnsi"/>
        </w:rPr>
        <w:t>s</w:t>
      </w:r>
      <w:r w:rsidRPr="00E06806">
        <w:rPr>
          <w:rFonts w:cstheme="minorHAnsi"/>
        </w:rPr>
        <w:t xml:space="preserve"> needed improvements. An Employment Outcomes Report is completed and reviewed monthly to track individuals who are ready to </w:t>
      </w:r>
      <w:r w:rsidRPr="00B1285F">
        <w:rPr>
          <w:rFonts w:cstheme="minorHAnsi"/>
        </w:rPr>
        <w:t xml:space="preserve">work. </w:t>
      </w:r>
    </w:p>
    <w:p w14:paraId="61D47642" w14:textId="07524160" w:rsidR="00B476CA" w:rsidRPr="00E06806" w:rsidRDefault="00B476CA" w:rsidP="00D63204">
      <w:pPr>
        <w:spacing w:line="240" w:lineRule="auto"/>
        <w:ind w:left="107"/>
        <w:rPr>
          <w:rFonts w:cstheme="minorHAnsi"/>
        </w:rPr>
      </w:pPr>
      <w:r w:rsidRPr="00E06806">
        <w:rPr>
          <w:rFonts w:cstheme="minorHAnsi"/>
        </w:rPr>
        <w:t>The report measures how many individuals have found gainful employment and how long it takes to assist individuals in obtaining employment. FDBS is considering the Work Certified Program. Through this program, staff, employers, CRPs</w:t>
      </w:r>
      <w:r w:rsidR="00D5537E">
        <w:rPr>
          <w:rFonts w:cstheme="minorHAnsi"/>
        </w:rPr>
        <w:t xml:space="preserve"> and</w:t>
      </w:r>
      <w:r w:rsidRPr="00E06806">
        <w:rPr>
          <w:rFonts w:cstheme="minorHAnsi"/>
        </w:rPr>
        <w:t xml:space="preserve"> others can receive training to assist individuals seeking employment determine if they are ready for work</w:t>
      </w:r>
      <w:r w:rsidR="005E7C49">
        <w:rPr>
          <w:rFonts w:cstheme="minorHAnsi"/>
        </w:rPr>
        <w:t xml:space="preserve">. </w:t>
      </w:r>
      <w:r w:rsidRPr="00E06806">
        <w:rPr>
          <w:rFonts w:cstheme="minorHAnsi"/>
        </w:rPr>
        <w:t xml:space="preserve"> </w:t>
      </w:r>
      <w:r w:rsidR="007B2A37" w:rsidRPr="00B1285F">
        <w:rPr>
          <w:rFonts w:cstheme="minorHAnsi"/>
        </w:rPr>
        <w:t>FDBS also recognizes the importance of clients developing and utilizing appropriate soft skills. The agency will examine the feasibility of incorporating this training as often as possible for blind and low vision clients.</w:t>
      </w:r>
    </w:p>
    <w:p w14:paraId="489EBF18" w14:textId="152A9FC3" w:rsidR="00EA7458" w:rsidRDefault="00B476CA" w:rsidP="00D63204">
      <w:pPr>
        <w:spacing w:line="240" w:lineRule="auto"/>
        <w:ind w:left="107"/>
        <w:rPr>
          <w:rFonts w:cstheme="minorHAnsi"/>
        </w:rPr>
      </w:pPr>
      <w:r w:rsidRPr="00E06806">
        <w:rPr>
          <w:rFonts w:cstheme="minorHAnsi"/>
        </w:rPr>
        <w:t xml:space="preserve">FDBS will provide ongoing training for its staff and will review and revise policies and processes to ensure efficient services. FDBS has developed a quality assurance team who will assess the need to expand their operations. Currently, FDBS provides </w:t>
      </w:r>
      <w:r w:rsidR="00636731">
        <w:rPr>
          <w:rFonts w:cstheme="minorHAnsi"/>
        </w:rPr>
        <w:t>on</w:t>
      </w:r>
      <w:r w:rsidRPr="00E06806">
        <w:rPr>
          <w:rFonts w:cstheme="minorHAnsi"/>
        </w:rPr>
        <w:t>site reviews statewide with an emphasis on adherence to state policies, compliance of federal regulations, case documentation, IPE signatures, timeliness of certificate of eligibility, activities tied to the IPE</w:t>
      </w:r>
      <w:r w:rsidR="00D5537E">
        <w:rPr>
          <w:rFonts w:cstheme="minorHAnsi"/>
        </w:rPr>
        <w:t xml:space="preserve"> and</w:t>
      </w:r>
      <w:r w:rsidRPr="00E06806">
        <w:rPr>
          <w:rFonts w:cstheme="minorHAnsi"/>
        </w:rPr>
        <w:t xml:space="preserve"> authorization approvals. This team is responsible for being aware of all current federal and state regulations affecting the vocational rehabilitation program and attends the Annual Quality Assurance Summit for ongoing professional staff </w:t>
      </w:r>
      <w:r w:rsidRPr="00E83AE3">
        <w:rPr>
          <w:rFonts w:cstheme="minorHAnsi"/>
        </w:rPr>
        <w:t xml:space="preserve">development. </w:t>
      </w:r>
      <w:r w:rsidR="00E83AE3" w:rsidRPr="00E83AE3">
        <w:rPr>
          <w:rFonts w:cstheme="minorHAnsi"/>
        </w:rPr>
        <w:t>The Division is very interested in utilizing strategies to streamline internal processes to provide quality efficient services to its clients. This may be accomplished via pilot programs and through the use of less paper intensive processes.</w:t>
      </w:r>
    </w:p>
    <w:p w14:paraId="0D15E3F3" w14:textId="73D2172B" w:rsidR="00EA7458" w:rsidRPr="00945D8A" w:rsidRDefault="00EA7458" w:rsidP="00D63204">
      <w:pPr>
        <w:widowControl w:val="0"/>
        <w:numPr>
          <w:ilvl w:val="0"/>
          <w:numId w:val="167"/>
        </w:numPr>
        <w:tabs>
          <w:tab w:val="left" w:pos="2268"/>
        </w:tabs>
        <w:spacing w:before="240" w:after="0" w:line="240" w:lineRule="auto"/>
        <w:rPr>
          <w:rFonts w:cstheme="minorHAnsi"/>
        </w:rPr>
      </w:pPr>
      <w:r w:rsidRPr="00BE1E61">
        <w:rPr>
          <w:rFonts w:cstheme="minorHAnsi"/>
          <w:color w:val="295CA3"/>
          <w:w w:val="105"/>
        </w:rPr>
        <w:t>Coordination, Alignment and Provision of Services to</w:t>
      </w:r>
      <w:r w:rsidRPr="00BE1E61">
        <w:rPr>
          <w:rFonts w:cstheme="minorHAnsi"/>
          <w:color w:val="295CA3"/>
          <w:spacing w:val="51"/>
          <w:w w:val="105"/>
        </w:rPr>
        <w:t xml:space="preserve"> </w:t>
      </w:r>
      <w:r w:rsidRPr="00BE1E61">
        <w:rPr>
          <w:rFonts w:cstheme="minorHAnsi"/>
          <w:color w:val="295CA3"/>
          <w:w w:val="105"/>
        </w:rPr>
        <w:t>Employers</w:t>
      </w:r>
    </w:p>
    <w:p w14:paraId="588B4653" w14:textId="16960447" w:rsidR="00EA7458" w:rsidRPr="00E06806" w:rsidRDefault="00945D8A" w:rsidP="00D63204">
      <w:pPr>
        <w:spacing w:line="240" w:lineRule="auto"/>
        <w:ind w:left="107"/>
        <w:rPr>
          <w:rFonts w:cstheme="minorHAnsi"/>
        </w:rPr>
      </w:pPr>
      <w:r>
        <w:rPr>
          <w:rFonts w:cstheme="minorHAnsi"/>
        </w:rPr>
        <w:br/>
      </w:r>
      <w:r w:rsidR="00EA7458" w:rsidRPr="00945D8A">
        <w:rPr>
          <w:rFonts w:cstheme="minorHAnsi"/>
        </w:rPr>
        <w:t>Led by the Business and Workforce Development team at CareerSource Florida and its LWDB partners, th</w:t>
      </w:r>
      <w:r w:rsidR="001A6E62">
        <w:rPr>
          <w:rFonts w:cstheme="minorHAnsi"/>
        </w:rPr>
        <w:t>e</w:t>
      </w:r>
      <w:r w:rsidR="001A6E62" w:rsidRPr="001A6E62">
        <w:rPr>
          <w:rFonts w:cstheme="minorHAnsi"/>
          <w:i/>
        </w:rPr>
        <w:t xml:space="preserve"> </w:t>
      </w:r>
      <w:r w:rsidR="001A6E62" w:rsidRPr="00945D8A">
        <w:rPr>
          <w:rFonts w:cstheme="minorHAnsi"/>
          <w:i/>
        </w:rPr>
        <w:t>Expanding Business Engagement</w:t>
      </w:r>
      <w:r w:rsidR="009A510E" w:rsidRPr="00945D8A">
        <w:rPr>
          <w:rFonts w:cstheme="minorHAnsi"/>
        </w:rPr>
        <w:t xml:space="preserve"> </w:t>
      </w:r>
      <w:r w:rsidR="00EA7458" w:rsidRPr="00945D8A">
        <w:rPr>
          <w:rFonts w:cstheme="minorHAnsi"/>
        </w:rPr>
        <w:t>initiative encourage</w:t>
      </w:r>
      <w:r w:rsidR="009A510E" w:rsidRPr="00945D8A">
        <w:rPr>
          <w:rFonts w:cstheme="minorHAnsi"/>
        </w:rPr>
        <w:t>s</w:t>
      </w:r>
      <w:r w:rsidR="00EA7458" w:rsidRPr="00945D8A">
        <w:rPr>
          <w:rFonts w:cstheme="minorHAnsi"/>
        </w:rPr>
        <w:t xml:space="preserve"> Florida employers to utilize the state’s employee recruitment, retention</w:t>
      </w:r>
      <w:r w:rsidR="00D5537E">
        <w:rPr>
          <w:rFonts w:cstheme="minorHAnsi"/>
        </w:rPr>
        <w:t xml:space="preserve"> and</w:t>
      </w:r>
      <w:r w:rsidR="00EA7458" w:rsidRPr="00945D8A">
        <w:rPr>
          <w:rFonts w:cstheme="minorHAnsi"/>
        </w:rPr>
        <w:t xml:space="preserve"> training services. Building upon </w:t>
      </w:r>
      <w:r w:rsidR="009A510E" w:rsidRPr="00945D8A">
        <w:rPr>
          <w:rFonts w:cstheme="minorHAnsi"/>
        </w:rPr>
        <w:t xml:space="preserve">its </w:t>
      </w:r>
      <w:r w:rsidR="00EA7458" w:rsidRPr="00945D8A">
        <w:rPr>
          <w:rFonts w:cstheme="minorHAnsi"/>
        </w:rPr>
        <w:t>success</w:t>
      </w:r>
      <w:r w:rsidR="009A510E" w:rsidRPr="00945D8A">
        <w:rPr>
          <w:rFonts w:cstheme="minorHAnsi"/>
        </w:rPr>
        <w:t>es</w:t>
      </w:r>
      <w:r w:rsidR="00EA7458" w:rsidRPr="00945D8A">
        <w:rPr>
          <w:rFonts w:cstheme="minorHAnsi"/>
        </w:rPr>
        <w:t xml:space="preserve">, CareerSource Florida </w:t>
      </w:r>
      <w:r w:rsidR="009A510E" w:rsidRPr="00945D8A">
        <w:rPr>
          <w:rFonts w:cstheme="minorHAnsi"/>
        </w:rPr>
        <w:t xml:space="preserve">identifies </w:t>
      </w:r>
      <w:r w:rsidR="00EA7458" w:rsidRPr="00945D8A">
        <w:rPr>
          <w:rFonts w:cstheme="minorHAnsi"/>
        </w:rPr>
        <w:t xml:space="preserve">and </w:t>
      </w:r>
      <w:r w:rsidR="009A510E" w:rsidRPr="00945D8A">
        <w:rPr>
          <w:rFonts w:cstheme="minorHAnsi"/>
        </w:rPr>
        <w:t xml:space="preserve">addresses </w:t>
      </w:r>
      <w:r w:rsidR="00EA7458" w:rsidRPr="00945D8A">
        <w:rPr>
          <w:rFonts w:cstheme="minorHAnsi"/>
        </w:rPr>
        <w:t>challenges employers note in accessing workforce services</w:t>
      </w:r>
      <w:r w:rsidR="009A510E" w:rsidRPr="00945D8A">
        <w:rPr>
          <w:rFonts w:cstheme="minorHAnsi"/>
        </w:rPr>
        <w:t xml:space="preserve">. CareerSource Florida </w:t>
      </w:r>
      <w:r w:rsidR="00EA7458" w:rsidRPr="00945D8A">
        <w:rPr>
          <w:rFonts w:cstheme="minorHAnsi"/>
        </w:rPr>
        <w:t>work</w:t>
      </w:r>
      <w:r w:rsidR="009A510E" w:rsidRPr="00945D8A">
        <w:rPr>
          <w:rFonts w:cstheme="minorHAnsi"/>
        </w:rPr>
        <w:t>s</w:t>
      </w:r>
      <w:r w:rsidR="00EA7458" w:rsidRPr="00945D8A">
        <w:rPr>
          <w:rFonts w:cstheme="minorHAnsi"/>
        </w:rPr>
        <w:t xml:space="preserve"> to enhance employer satisfaction</w:t>
      </w:r>
      <w:r w:rsidR="009A510E" w:rsidRPr="00945D8A">
        <w:rPr>
          <w:rFonts w:cstheme="minorHAnsi"/>
        </w:rPr>
        <w:t xml:space="preserve"> </w:t>
      </w:r>
      <w:r w:rsidR="00EA7458" w:rsidRPr="00945D8A">
        <w:rPr>
          <w:rFonts w:cstheme="minorHAnsi"/>
        </w:rPr>
        <w:t>and measure effectiveness of employer outreach programs.</w:t>
      </w:r>
    </w:p>
    <w:p w14:paraId="67543104" w14:textId="67CE2FDC" w:rsidR="00EA7458" w:rsidRPr="00E06806" w:rsidRDefault="00EA7458" w:rsidP="00D63204">
      <w:pPr>
        <w:spacing w:line="240" w:lineRule="auto"/>
        <w:ind w:left="107"/>
        <w:rPr>
          <w:rFonts w:cstheme="minorHAnsi"/>
        </w:rPr>
      </w:pPr>
      <w:r w:rsidRPr="00945D8A">
        <w:rPr>
          <w:rFonts w:cstheme="minorHAnsi"/>
        </w:rPr>
        <w:t xml:space="preserve">CareerSource Florida </w:t>
      </w:r>
      <w:r w:rsidR="009A510E" w:rsidRPr="00945D8A">
        <w:rPr>
          <w:rFonts w:cstheme="minorHAnsi"/>
        </w:rPr>
        <w:t xml:space="preserve">collaborates </w:t>
      </w:r>
      <w:r w:rsidRPr="00945D8A">
        <w:rPr>
          <w:rFonts w:cstheme="minorHAnsi"/>
        </w:rPr>
        <w:t xml:space="preserve">with business-focused managers in each LWDB, typically called business liaisons, who work closely with </w:t>
      </w:r>
      <w:r w:rsidR="00B94C23" w:rsidRPr="00945D8A">
        <w:rPr>
          <w:rFonts w:cstheme="minorHAnsi"/>
        </w:rPr>
        <w:t xml:space="preserve">local </w:t>
      </w:r>
      <w:r w:rsidRPr="00945D8A">
        <w:rPr>
          <w:rFonts w:cstheme="minorHAnsi"/>
        </w:rPr>
        <w:t xml:space="preserve">employers to meet their hiring and training needs. Florida </w:t>
      </w:r>
      <w:r w:rsidR="00B94C23" w:rsidRPr="00945D8A">
        <w:rPr>
          <w:rFonts w:cstheme="minorHAnsi"/>
        </w:rPr>
        <w:t xml:space="preserve">leverages </w:t>
      </w:r>
      <w:r w:rsidRPr="00945D8A">
        <w:rPr>
          <w:rFonts w:cstheme="minorHAnsi"/>
        </w:rPr>
        <w:t>the Salesforce software platform as a customer relationship management tool</w:t>
      </w:r>
      <w:r w:rsidR="00E8530A">
        <w:rPr>
          <w:rFonts w:cstheme="minorHAnsi"/>
        </w:rPr>
        <w:t>,</w:t>
      </w:r>
      <w:r w:rsidRPr="00945D8A">
        <w:rPr>
          <w:rFonts w:cstheme="minorHAnsi"/>
        </w:rPr>
        <w:t xml:space="preserve"> </w:t>
      </w:r>
      <w:r w:rsidR="00B94C23" w:rsidRPr="00945D8A">
        <w:rPr>
          <w:rFonts w:cstheme="minorHAnsi"/>
        </w:rPr>
        <w:t xml:space="preserve">allowing </w:t>
      </w:r>
      <w:r w:rsidRPr="00945D8A">
        <w:rPr>
          <w:rFonts w:cstheme="minorHAnsi"/>
        </w:rPr>
        <w:t xml:space="preserve">best-in-class management of interactions with stakeholders. This common system enables Florida’s LWDBs to work together </w:t>
      </w:r>
      <w:r w:rsidR="00B94C23" w:rsidRPr="00945D8A">
        <w:rPr>
          <w:rFonts w:cstheme="minorHAnsi"/>
        </w:rPr>
        <w:t xml:space="preserve">to </w:t>
      </w:r>
      <w:r w:rsidRPr="00945D8A">
        <w:rPr>
          <w:rFonts w:cstheme="minorHAnsi"/>
        </w:rPr>
        <w:t xml:space="preserve">enhance </w:t>
      </w:r>
      <w:r w:rsidR="00B94C23" w:rsidRPr="00945D8A">
        <w:rPr>
          <w:rFonts w:cstheme="minorHAnsi"/>
        </w:rPr>
        <w:t>customer and business services</w:t>
      </w:r>
      <w:r w:rsidR="006C7079" w:rsidRPr="00945D8A">
        <w:rPr>
          <w:rFonts w:cstheme="minorHAnsi"/>
        </w:rPr>
        <w:t xml:space="preserve">. </w:t>
      </w:r>
      <w:r w:rsidRPr="00945D8A">
        <w:rPr>
          <w:rFonts w:cstheme="minorHAnsi"/>
        </w:rPr>
        <w:t xml:space="preserve">Core program partners </w:t>
      </w:r>
      <w:r w:rsidR="00B94C23" w:rsidRPr="00945D8A">
        <w:rPr>
          <w:rFonts w:cstheme="minorHAnsi"/>
        </w:rPr>
        <w:t xml:space="preserve">participate </w:t>
      </w:r>
      <w:r w:rsidRPr="00945D8A">
        <w:rPr>
          <w:rFonts w:cstheme="minorHAnsi"/>
        </w:rPr>
        <w:t xml:space="preserve">in conversations </w:t>
      </w:r>
      <w:r w:rsidR="00B94C23" w:rsidRPr="00945D8A">
        <w:rPr>
          <w:rFonts w:cstheme="minorHAnsi"/>
        </w:rPr>
        <w:t xml:space="preserve">about </w:t>
      </w:r>
      <w:r w:rsidRPr="00945D8A">
        <w:rPr>
          <w:rFonts w:cstheme="minorHAnsi"/>
        </w:rPr>
        <w:t xml:space="preserve">using </w:t>
      </w:r>
      <w:r w:rsidR="00B94C23" w:rsidRPr="00945D8A">
        <w:rPr>
          <w:rFonts w:cstheme="minorHAnsi"/>
        </w:rPr>
        <w:t xml:space="preserve">Salesforce </w:t>
      </w:r>
      <w:r w:rsidRPr="00945D8A">
        <w:rPr>
          <w:rFonts w:cstheme="minorHAnsi"/>
        </w:rPr>
        <w:t xml:space="preserve">in their business </w:t>
      </w:r>
      <w:r w:rsidRPr="00945D8A">
        <w:rPr>
          <w:rFonts w:cstheme="minorHAnsi"/>
        </w:rPr>
        <w:lastRenderedPageBreak/>
        <w:t>outreach activities</w:t>
      </w:r>
      <w:r w:rsidR="005E7C49">
        <w:rPr>
          <w:rFonts w:cstheme="minorHAnsi"/>
        </w:rPr>
        <w:t xml:space="preserve">. </w:t>
      </w:r>
      <w:r w:rsidR="00B94C23" w:rsidRPr="00945D8A">
        <w:rPr>
          <w:rFonts w:cstheme="minorHAnsi"/>
        </w:rPr>
        <w:t>To provide updates on employer engagement and share best practices, q</w:t>
      </w:r>
      <w:r w:rsidRPr="00945D8A">
        <w:rPr>
          <w:rFonts w:cstheme="minorHAnsi"/>
        </w:rPr>
        <w:t>uarterly webinars are conducted with CareerSource Florida, the business liaisons and the business services managers from the core program partners.</w:t>
      </w:r>
    </w:p>
    <w:p w14:paraId="46E6E852" w14:textId="68FA162C" w:rsidR="00EA7458" w:rsidRPr="00E06806" w:rsidRDefault="00AD0242" w:rsidP="00D63204">
      <w:pPr>
        <w:spacing w:line="240" w:lineRule="auto"/>
        <w:ind w:left="107"/>
        <w:rPr>
          <w:rFonts w:cstheme="minorHAnsi"/>
        </w:rPr>
      </w:pPr>
      <w:r>
        <w:rPr>
          <w:rFonts w:cstheme="minorHAnsi"/>
        </w:rPr>
        <w:t xml:space="preserve">Vocational Rehabilitation </w:t>
      </w:r>
      <w:r w:rsidR="00EA7458" w:rsidRPr="00545606">
        <w:rPr>
          <w:rFonts w:cstheme="minorHAnsi"/>
        </w:rPr>
        <w:t>formalized a Business Relations Program</w:t>
      </w:r>
      <w:r w:rsidR="00A25A5E" w:rsidRPr="00545606">
        <w:rPr>
          <w:rFonts w:cstheme="minorHAnsi"/>
        </w:rPr>
        <w:t xml:space="preserve"> focused on building </w:t>
      </w:r>
      <w:r w:rsidR="00EA7458" w:rsidRPr="00545606">
        <w:rPr>
          <w:rFonts w:cstheme="minorHAnsi"/>
        </w:rPr>
        <w:t xml:space="preserve">and </w:t>
      </w:r>
      <w:r w:rsidR="00A25A5E" w:rsidRPr="00545606">
        <w:rPr>
          <w:rFonts w:cstheme="minorHAnsi"/>
        </w:rPr>
        <w:t xml:space="preserve">sustaining </w:t>
      </w:r>
      <w:r w:rsidR="00EA7458" w:rsidRPr="00545606">
        <w:rPr>
          <w:rFonts w:cstheme="minorHAnsi"/>
        </w:rPr>
        <w:t>partnerships with business and industry through effective services driven by employer</w:t>
      </w:r>
      <w:r w:rsidR="00A25A5E" w:rsidRPr="00545606">
        <w:rPr>
          <w:rFonts w:cstheme="minorHAnsi"/>
        </w:rPr>
        <w:t xml:space="preserve"> needs</w:t>
      </w:r>
      <w:r w:rsidR="00EA7458" w:rsidRPr="00545606">
        <w:rPr>
          <w:rFonts w:cstheme="minorHAnsi"/>
        </w:rPr>
        <w:t>. These partnerships will lead to competitive integrated employment and career exploration opportunities for VR customers.</w:t>
      </w:r>
    </w:p>
    <w:p w14:paraId="1A1246D9" w14:textId="11CC6507" w:rsidR="00B476CA" w:rsidRPr="00E06806" w:rsidRDefault="00AD0242" w:rsidP="00D63204">
      <w:pPr>
        <w:spacing w:line="240" w:lineRule="auto"/>
        <w:ind w:left="107"/>
        <w:rPr>
          <w:rFonts w:cstheme="minorHAnsi"/>
        </w:rPr>
      </w:pPr>
      <w:r>
        <w:rPr>
          <w:rFonts w:cstheme="minorHAnsi"/>
        </w:rPr>
        <w:t xml:space="preserve">The Florida Division of Blind Services </w:t>
      </w:r>
      <w:r w:rsidR="00B476CA" w:rsidRPr="00E06806">
        <w:rPr>
          <w:rFonts w:cstheme="minorHAnsi"/>
        </w:rPr>
        <w:t xml:space="preserve">is expanding business relationships with employers at the local level to identify and maximize competitive integrated employment opportunities and career exploration opportunities for adults and students. Each district </w:t>
      </w:r>
      <w:r w:rsidR="002B4522">
        <w:rPr>
          <w:rFonts w:cstheme="minorHAnsi"/>
        </w:rPr>
        <w:t xml:space="preserve">holds membership with one or more </w:t>
      </w:r>
      <w:r w:rsidR="00B476CA" w:rsidRPr="00E06806">
        <w:rPr>
          <w:rFonts w:cstheme="minorHAnsi"/>
        </w:rPr>
        <w:t>Chamber</w:t>
      </w:r>
      <w:r w:rsidR="00E45B3C">
        <w:rPr>
          <w:rFonts w:cstheme="minorHAnsi"/>
        </w:rPr>
        <w:t>s</w:t>
      </w:r>
      <w:r w:rsidR="00B476CA" w:rsidRPr="00E06806">
        <w:rPr>
          <w:rFonts w:cstheme="minorHAnsi"/>
        </w:rPr>
        <w:t xml:space="preserve"> of Commerce. Employment Placement Specialists work with employers on their hiring needs and setting up work experiences. This gives </w:t>
      </w:r>
      <w:r w:rsidR="00EB646F">
        <w:rPr>
          <w:rFonts w:cstheme="minorHAnsi"/>
        </w:rPr>
        <w:t>job seekers</w:t>
      </w:r>
      <w:r w:rsidR="00B476CA" w:rsidRPr="00E06806">
        <w:rPr>
          <w:rFonts w:cstheme="minorHAnsi"/>
        </w:rPr>
        <w:t xml:space="preserve"> opportunities for work-based learning experiences, training</w:t>
      </w:r>
      <w:r w:rsidR="00D5537E">
        <w:rPr>
          <w:rFonts w:cstheme="minorHAnsi"/>
        </w:rPr>
        <w:t xml:space="preserve"> and</w:t>
      </w:r>
      <w:r w:rsidR="00B476CA" w:rsidRPr="00E06806">
        <w:rPr>
          <w:rFonts w:cstheme="minorHAnsi"/>
        </w:rPr>
        <w:t xml:space="preserve"> obtaining employability skills.</w:t>
      </w:r>
    </w:p>
    <w:p w14:paraId="538AE0BF" w14:textId="22C88F99" w:rsidR="00EA7458" w:rsidRPr="00E06806" w:rsidRDefault="00AD0242" w:rsidP="00D63204">
      <w:pPr>
        <w:widowControl w:val="0"/>
        <w:spacing w:after="0" w:line="240" w:lineRule="auto"/>
        <w:ind w:left="107"/>
        <w:rPr>
          <w:rFonts w:cstheme="minorHAnsi"/>
        </w:rPr>
      </w:pPr>
      <w:r>
        <w:rPr>
          <w:rFonts w:cstheme="minorHAnsi"/>
          <w:w w:val="105"/>
        </w:rPr>
        <w:t xml:space="preserve">The Florida Division of Blind Services </w:t>
      </w:r>
      <w:r w:rsidR="00A25A5E" w:rsidRPr="00E06806">
        <w:rPr>
          <w:rFonts w:cstheme="minorHAnsi"/>
          <w:w w:val="105"/>
        </w:rPr>
        <w:t xml:space="preserve">will </w:t>
      </w:r>
      <w:r w:rsidR="00EA7458" w:rsidRPr="00E06806">
        <w:rPr>
          <w:rFonts w:cstheme="minorHAnsi"/>
          <w:w w:val="105"/>
        </w:rPr>
        <w:t>provide</w:t>
      </w:r>
      <w:r w:rsidR="00EA7458" w:rsidRPr="00E06806">
        <w:rPr>
          <w:rFonts w:cstheme="minorHAnsi"/>
          <w:spacing w:val="10"/>
          <w:w w:val="105"/>
        </w:rPr>
        <w:t xml:space="preserve"> </w:t>
      </w:r>
      <w:r w:rsidR="00EA7458" w:rsidRPr="00E06806">
        <w:rPr>
          <w:rFonts w:cstheme="minorHAnsi"/>
          <w:w w:val="105"/>
        </w:rPr>
        <w:t>training</w:t>
      </w:r>
      <w:r w:rsidR="00EA7458" w:rsidRPr="00E06806">
        <w:rPr>
          <w:rFonts w:cstheme="minorHAnsi"/>
          <w:spacing w:val="10"/>
          <w:w w:val="105"/>
        </w:rPr>
        <w:t xml:space="preserve"> </w:t>
      </w:r>
      <w:r w:rsidR="00EA7458" w:rsidRPr="00E06806">
        <w:rPr>
          <w:rFonts w:cstheme="minorHAnsi"/>
          <w:w w:val="105"/>
        </w:rPr>
        <w:t>to</w:t>
      </w:r>
      <w:r w:rsidR="00EA7458" w:rsidRPr="00E06806">
        <w:rPr>
          <w:rFonts w:cstheme="minorHAnsi"/>
          <w:spacing w:val="10"/>
          <w:w w:val="105"/>
        </w:rPr>
        <w:t xml:space="preserve"> </w:t>
      </w:r>
      <w:r w:rsidR="00EA7458" w:rsidRPr="00E06806">
        <w:rPr>
          <w:rFonts w:cstheme="minorHAnsi"/>
          <w:w w:val="105"/>
        </w:rPr>
        <w:t>employment</w:t>
      </w:r>
      <w:r w:rsidR="00EA7458" w:rsidRPr="00E06806">
        <w:rPr>
          <w:rFonts w:cstheme="minorHAnsi"/>
          <w:spacing w:val="10"/>
          <w:w w:val="105"/>
        </w:rPr>
        <w:t xml:space="preserve"> </w:t>
      </w:r>
      <w:r w:rsidR="00EA7458" w:rsidRPr="00E06806">
        <w:rPr>
          <w:rFonts w:cstheme="minorHAnsi"/>
          <w:w w:val="105"/>
        </w:rPr>
        <w:t>staff,</w:t>
      </w:r>
      <w:r w:rsidR="00EA7458" w:rsidRPr="00E06806">
        <w:rPr>
          <w:rFonts w:cstheme="minorHAnsi"/>
          <w:spacing w:val="10"/>
          <w:w w:val="105"/>
        </w:rPr>
        <w:t xml:space="preserve"> </w:t>
      </w:r>
      <w:r w:rsidR="00EA7458" w:rsidRPr="00E06806">
        <w:rPr>
          <w:rFonts w:cstheme="minorHAnsi"/>
          <w:w w:val="105"/>
        </w:rPr>
        <w:t>increase</w:t>
      </w:r>
      <w:r w:rsidR="00EA7458" w:rsidRPr="00E06806">
        <w:rPr>
          <w:rFonts w:cstheme="minorHAnsi"/>
          <w:spacing w:val="10"/>
          <w:w w:val="105"/>
        </w:rPr>
        <w:t xml:space="preserve"> </w:t>
      </w:r>
      <w:r w:rsidR="00EA7458" w:rsidRPr="00E06806">
        <w:rPr>
          <w:rFonts w:cstheme="minorHAnsi"/>
          <w:w w:val="105"/>
        </w:rPr>
        <w:t>utilization</w:t>
      </w:r>
      <w:r w:rsidR="00EA7458" w:rsidRPr="00E06806">
        <w:rPr>
          <w:rFonts w:cstheme="minorHAnsi"/>
          <w:spacing w:val="10"/>
          <w:w w:val="105"/>
        </w:rPr>
        <w:t xml:space="preserve"> </w:t>
      </w:r>
      <w:r w:rsidR="00EA7458" w:rsidRPr="00E06806">
        <w:rPr>
          <w:rFonts w:cstheme="minorHAnsi"/>
          <w:w w:val="105"/>
        </w:rPr>
        <w:t>of</w:t>
      </w:r>
      <w:r w:rsidR="00EA7458" w:rsidRPr="00E06806">
        <w:rPr>
          <w:rFonts w:cstheme="minorHAnsi"/>
          <w:spacing w:val="10"/>
          <w:w w:val="105"/>
        </w:rPr>
        <w:t xml:space="preserve"> </w:t>
      </w:r>
      <w:r w:rsidR="00EA7458" w:rsidRPr="00E06806">
        <w:rPr>
          <w:rFonts w:cstheme="minorHAnsi"/>
          <w:w w:val="105"/>
        </w:rPr>
        <w:t>the</w:t>
      </w:r>
      <w:r w:rsidR="00EA7458" w:rsidRPr="00E06806">
        <w:rPr>
          <w:rFonts w:cstheme="minorHAnsi"/>
          <w:spacing w:val="10"/>
          <w:w w:val="105"/>
        </w:rPr>
        <w:t xml:space="preserve"> </w:t>
      </w:r>
      <w:r w:rsidR="00EA7458" w:rsidRPr="00E06806">
        <w:rPr>
          <w:rFonts w:cstheme="minorHAnsi"/>
          <w:spacing w:val="-3"/>
          <w:w w:val="105"/>
        </w:rPr>
        <w:t>Talent</w:t>
      </w:r>
      <w:r w:rsidR="00EA7458" w:rsidRPr="00E06806">
        <w:rPr>
          <w:rFonts w:cstheme="minorHAnsi"/>
          <w:spacing w:val="-32"/>
          <w:w w:val="105"/>
        </w:rPr>
        <w:t xml:space="preserve"> </w:t>
      </w:r>
      <w:r w:rsidR="00EA7458" w:rsidRPr="00E06806">
        <w:rPr>
          <w:rFonts w:cstheme="minorHAnsi"/>
          <w:w w:val="105"/>
        </w:rPr>
        <w:t>Acquisition</w:t>
      </w:r>
      <w:r w:rsidR="00EA7458" w:rsidRPr="00E06806">
        <w:rPr>
          <w:rFonts w:cstheme="minorHAnsi"/>
          <w:spacing w:val="10"/>
          <w:w w:val="105"/>
        </w:rPr>
        <w:t xml:space="preserve"> </w:t>
      </w:r>
      <w:r w:rsidR="00EA7458" w:rsidRPr="00E06806">
        <w:rPr>
          <w:rFonts w:cstheme="minorHAnsi"/>
          <w:w w:val="105"/>
        </w:rPr>
        <w:t>Portal</w:t>
      </w:r>
      <w:r w:rsidR="00EA7458" w:rsidRPr="00E06806">
        <w:rPr>
          <w:rFonts w:cstheme="minorHAnsi"/>
          <w:spacing w:val="10"/>
          <w:w w:val="105"/>
        </w:rPr>
        <w:t xml:space="preserve"> </w:t>
      </w:r>
      <w:r w:rsidR="00A25A5E" w:rsidRPr="00E06806">
        <w:rPr>
          <w:rFonts w:cstheme="minorHAnsi"/>
          <w:w w:val="105"/>
        </w:rPr>
        <w:t xml:space="preserve">by </w:t>
      </w:r>
      <w:r w:rsidR="00EA7458" w:rsidRPr="00E06806">
        <w:rPr>
          <w:rFonts w:cstheme="minorHAnsi"/>
          <w:w w:val="105"/>
        </w:rPr>
        <w:t>job</w:t>
      </w:r>
      <w:r w:rsidR="00EA7458" w:rsidRPr="00E06806">
        <w:rPr>
          <w:rFonts w:cstheme="minorHAnsi"/>
          <w:spacing w:val="10"/>
          <w:w w:val="105"/>
        </w:rPr>
        <w:t xml:space="preserve"> </w:t>
      </w:r>
      <w:r w:rsidR="00EA7458" w:rsidRPr="00E06806">
        <w:rPr>
          <w:rFonts w:cstheme="minorHAnsi"/>
          <w:w w:val="105"/>
        </w:rPr>
        <w:t>seekers</w:t>
      </w:r>
      <w:r w:rsidR="00EA7458" w:rsidRPr="00E06806">
        <w:rPr>
          <w:rFonts w:cstheme="minorHAnsi"/>
          <w:spacing w:val="10"/>
          <w:w w:val="105"/>
        </w:rPr>
        <w:t xml:space="preserve"> </w:t>
      </w:r>
      <w:r w:rsidR="00EA7458" w:rsidRPr="00E06806">
        <w:rPr>
          <w:rFonts w:cstheme="minorHAnsi"/>
          <w:w w:val="105"/>
        </w:rPr>
        <w:t>and</w:t>
      </w:r>
      <w:r w:rsidR="00EA7458" w:rsidRPr="00E06806">
        <w:rPr>
          <w:rFonts w:cstheme="minorHAnsi"/>
          <w:spacing w:val="10"/>
          <w:w w:val="105"/>
        </w:rPr>
        <w:t xml:space="preserve"> </w:t>
      </w:r>
      <w:r w:rsidR="00EA7458" w:rsidRPr="00E06806">
        <w:rPr>
          <w:rFonts w:cstheme="minorHAnsi"/>
          <w:w w:val="105"/>
        </w:rPr>
        <w:t>employers,</w:t>
      </w:r>
      <w:r w:rsidR="00EA7458" w:rsidRPr="00E06806">
        <w:rPr>
          <w:rFonts w:cstheme="minorHAnsi"/>
          <w:spacing w:val="10"/>
          <w:w w:val="105"/>
        </w:rPr>
        <w:t xml:space="preserve"> </w:t>
      </w:r>
      <w:r w:rsidR="00EA7458" w:rsidRPr="00E06806">
        <w:rPr>
          <w:rFonts w:cstheme="minorHAnsi"/>
          <w:w w:val="105"/>
        </w:rPr>
        <w:t>increase</w:t>
      </w:r>
      <w:r w:rsidR="00EA7458" w:rsidRPr="00E06806">
        <w:rPr>
          <w:rFonts w:cstheme="minorHAnsi"/>
          <w:spacing w:val="10"/>
          <w:w w:val="105"/>
        </w:rPr>
        <w:t xml:space="preserve"> </w:t>
      </w:r>
      <w:r w:rsidR="00A25A5E" w:rsidRPr="00E06806">
        <w:rPr>
          <w:rFonts w:cstheme="minorHAnsi"/>
          <w:w w:val="105"/>
        </w:rPr>
        <w:t xml:space="preserve">use of </w:t>
      </w:r>
      <w:r w:rsidR="00EA7458" w:rsidRPr="00E06806">
        <w:rPr>
          <w:rFonts w:cstheme="minorHAnsi"/>
          <w:w w:val="105"/>
        </w:rPr>
        <w:t>the</w:t>
      </w:r>
      <w:r w:rsidR="00EA7458" w:rsidRPr="00E06806">
        <w:rPr>
          <w:rFonts w:cstheme="minorHAnsi"/>
          <w:spacing w:val="10"/>
          <w:w w:val="105"/>
        </w:rPr>
        <w:t xml:space="preserve"> </w:t>
      </w:r>
      <w:r w:rsidR="00EA7458" w:rsidRPr="00E06806">
        <w:rPr>
          <w:rFonts w:cstheme="minorHAnsi"/>
          <w:w w:val="105"/>
        </w:rPr>
        <w:t>Abilities</w:t>
      </w:r>
      <w:r w:rsidR="00EA7458" w:rsidRPr="00E06806">
        <w:rPr>
          <w:rFonts w:cstheme="minorHAnsi"/>
          <w:spacing w:val="10"/>
          <w:w w:val="105"/>
        </w:rPr>
        <w:t xml:space="preserve"> </w:t>
      </w:r>
      <w:r w:rsidR="00EA7458" w:rsidRPr="00E06806">
        <w:rPr>
          <w:rFonts w:cstheme="minorHAnsi"/>
          <w:spacing w:val="-3"/>
          <w:w w:val="105"/>
        </w:rPr>
        <w:t>Work</w:t>
      </w:r>
      <w:r w:rsidR="00EA7458" w:rsidRPr="00E06806">
        <w:rPr>
          <w:rFonts w:cstheme="minorHAnsi"/>
          <w:spacing w:val="10"/>
          <w:w w:val="105"/>
        </w:rPr>
        <w:t xml:space="preserve"> </w:t>
      </w:r>
      <w:r w:rsidR="00EA7458" w:rsidRPr="00E06806">
        <w:rPr>
          <w:rFonts w:cstheme="minorHAnsi"/>
          <w:spacing w:val="-4"/>
          <w:w w:val="105"/>
        </w:rPr>
        <w:t>Web</w:t>
      </w:r>
      <w:r w:rsidR="00EA7458" w:rsidRPr="00E06806">
        <w:rPr>
          <w:rFonts w:cstheme="minorHAnsi"/>
          <w:spacing w:val="-14"/>
          <w:w w:val="105"/>
        </w:rPr>
        <w:t xml:space="preserve"> </w:t>
      </w:r>
      <w:r w:rsidR="00EA7458" w:rsidRPr="00E06806">
        <w:rPr>
          <w:rFonts w:cstheme="minorHAnsi"/>
          <w:w w:val="105"/>
        </w:rPr>
        <w:t>Portal</w:t>
      </w:r>
      <w:r w:rsidR="00EA7458" w:rsidRPr="00E06806">
        <w:rPr>
          <w:rFonts w:cstheme="minorHAnsi"/>
          <w:spacing w:val="18"/>
          <w:w w:val="105"/>
        </w:rPr>
        <w:t xml:space="preserve"> </w:t>
      </w:r>
      <w:r w:rsidR="00EA7458" w:rsidRPr="00E06806">
        <w:rPr>
          <w:rFonts w:cstheme="minorHAnsi"/>
          <w:w w:val="105"/>
        </w:rPr>
        <w:t>at</w:t>
      </w:r>
      <w:r w:rsidR="00EA7458" w:rsidRPr="00E06806">
        <w:rPr>
          <w:rFonts w:cstheme="minorHAnsi"/>
          <w:spacing w:val="18"/>
          <w:w w:val="105"/>
        </w:rPr>
        <w:t xml:space="preserve"> </w:t>
      </w:r>
      <w:hyperlink r:id="rId105">
        <w:r w:rsidR="00EA7458" w:rsidRPr="00E06806">
          <w:rPr>
            <w:rFonts w:cstheme="minorHAnsi"/>
            <w:color w:val="5F5F5F"/>
            <w:w w:val="105"/>
            <w:u w:val="single" w:color="5F5F5F"/>
          </w:rPr>
          <w:t>abilitieswork.employflorida.com</w:t>
        </w:r>
        <w:r w:rsidR="00EA7458" w:rsidRPr="00E06806">
          <w:rPr>
            <w:rFonts w:cstheme="minorHAnsi"/>
            <w:color w:val="5F5F5F"/>
            <w:spacing w:val="18"/>
            <w:w w:val="105"/>
            <w:u w:val="single" w:color="5F5F5F"/>
          </w:rPr>
          <w:t xml:space="preserve"> </w:t>
        </w:r>
      </w:hyperlink>
      <w:r w:rsidR="00EA7458" w:rsidRPr="00E06806">
        <w:rPr>
          <w:rFonts w:cstheme="minorHAnsi"/>
          <w:w w:val="105"/>
        </w:rPr>
        <w:t>and</w:t>
      </w:r>
      <w:r w:rsidR="00EA7458" w:rsidRPr="00E06806">
        <w:rPr>
          <w:rFonts w:cstheme="minorHAnsi"/>
          <w:spacing w:val="18"/>
          <w:w w:val="105"/>
        </w:rPr>
        <w:t xml:space="preserve"> </w:t>
      </w:r>
      <w:r w:rsidR="00EA7458" w:rsidRPr="00E06806">
        <w:rPr>
          <w:rFonts w:cstheme="minorHAnsi"/>
          <w:w w:val="105"/>
        </w:rPr>
        <w:t>its</w:t>
      </w:r>
      <w:r w:rsidR="00EA7458" w:rsidRPr="00E06806">
        <w:rPr>
          <w:rFonts w:cstheme="minorHAnsi"/>
          <w:spacing w:val="18"/>
          <w:w w:val="105"/>
        </w:rPr>
        <w:t xml:space="preserve"> </w:t>
      </w:r>
      <w:r w:rsidR="00915B22">
        <w:rPr>
          <w:rFonts w:cstheme="minorHAnsi"/>
          <w:w w:val="105"/>
        </w:rPr>
        <w:t>h</w:t>
      </w:r>
      <w:r w:rsidR="00EA7458" w:rsidRPr="00E06806">
        <w:rPr>
          <w:rFonts w:cstheme="minorHAnsi"/>
          <w:w w:val="105"/>
        </w:rPr>
        <w:t>elp</w:t>
      </w:r>
      <w:r w:rsidR="00EA7458" w:rsidRPr="00E06806">
        <w:rPr>
          <w:rFonts w:cstheme="minorHAnsi"/>
          <w:spacing w:val="18"/>
          <w:w w:val="105"/>
        </w:rPr>
        <w:t xml:space="preserve"> </w:t>
      </w:r>
      <w:r w:rsidR="00915B22">
        <w:rPr>
          <w:rFonts w:cstheme="minorHAnsi"/>
          <w:spacing w:val="18"/>
          <w:w w:val="105"/>
        </w:rPr>
        <w:t>d</w:t>
      </w:r>
      <w:r w:rsidR="00EA7458" w:rsidRPr="00E06806">
        <w:rPr>
          <w:rFonts w:cstheme="minorHAnsi"/>
          <w:w w:val="105"/>
        </w:rPr>
        <w:t>esk,</w:t>
      </w:r>
      <w:r w:rsidR="00EA7458" w:rsidRPr="00E06806">
        <w:rPr>
          <w:rFonts w:cstheme="minorHAnsi"/>
          <w:spacing w:val="18"/>
          <w:w w:val="105"/>
        </w:rPr>
        <w:t xml:space="preserve"> </w:t>
      </w:r>
      <w:r w:rsidR="00EA7458" w:rsidRPr="00E06806">
        <w:rPr>
          <w:rFonts w:cstheme="minorHAnsi"/>
          <w:w w:val="105"/>
        </w:rPr>
        <w:t>develop</w:t>
      </w:r>
      <w:r w:rsidR="00EA7458" w:rsidRPr="00E06806">
        <w:rPr>
          <w:rFonts w:cstheme="minorHAnsi"/>
          <w:spacing w:val="18"/>
          <w:w w:val="105"/>
        </w:rPr>
        <w:t xml:space="preserve"> </w:t>
      </w:r>
      <w:r w:rsidR="00EA7458" w:rsidRPr="00E06806">
        <w:rPr>
          <w:rFonts w:cstheme="minorHAnsi"/>
          <w:w w:val="105"/>
        </w:rPr>
        <w:t>new</w:t>
      </w:r>
      <w:r w:rsidR="00EA7458" w:rsidRPr="00E06806">
        <w:rPr>
          <w:rFonts w:cstheme="minorHAnsi"/>
          <w:spacing w:val="18"/>
          <w:w w:val="105"/>
        </w:rPr>
        <w:t xml:space="preserve"> </w:t>
      </w:r>
      <w:r w:rsidR="00EA7458" w:rsidRPr="00E06806">
        <w:rPr>
          <w:rFonts w:cstheme="minorHAnsi"/>
          <w:w w:val="105"/>
        </w:rPr>
        <w:t>vocational</w:t>
      </w:r>
      <w:r w:rsidR="00EA7458" w:rsidRPr="00E06806">
        <w:rPr>
          <w:rFonts w:cstheme="minorHAnsi"/>
          <w:spacing w:val="18"/>
          <w:w w:val="105"/>
        </w:rPr>
        <w:t xml:space="preserve"> </w:t>
      </w:r>
      <w:r w:rsidR="00EA7458" w:rsidRPr="00E06806">
        <w:rPr>
          <w:rFonts w:cstheme="minorHAnsi"/>
          <w:w w:val="105"/>
        </w:rPr>
        <w:t>training</w:t>
      </w:r>
      <w:r w:rsidR="00EA7458" w:rsidRPr="00E06806">
        <w:rPr>
          <w:rFonts w:cstheme="minorHAnsi"/>
          <w:spacing w:val="18"/>
          <w:w w:val="105"/>
        </w:rPr>
        <w:t xml:space="preserve"> </w:t>
      </w:r>
      <w:r w:rsidR="00EA7458" w:rsidRPr="00E06806">
        <w:rPr>
          <w:rFonts w:cstheme="minorHAnsi"/>
          <w:w w:val="105"/>
        </w:rPr>
        <w:t>programs</w:t>
      </w:r>
      <w:r w:rsidR="00EA7458" w:rsidRPr="00E06806">
        <w:rPr>
          <w:rFonts w:cstheme="minorHAnsi"/>
          <w:w w:val="107"/>
        </w:rPr>
        <w:t xml:space="preserve"> </w:t>
      </w:r>
      <w:r w:rsidR="00EA7458" w:rsidRPr="00E06806">
        <w:rPr>
          <w:rFonts w:cstheme="minorHAnsi"/>
          <w:w w:val="105"/>
        </w:rPr>
        <w:t>at the residential rehabilitation center; continu</w:t>
      </w:r>
      <w:r w:rsidR="00104307">
        <w:rPr>
          <w:rFonts w:cstheme="minorHAnsi"/>
          <w:w w:val="105"/>
        </w:rPr>
        <w:t>e</w:t>
      </w:r>
      <w:r w:rsidR="00EA7458" w:rsidRPr="00E06806">
        <w:rPr>
          <w:rFonts w:cstheme="minorHAnsi"/>
          <w:w w:val="105"/>
        </w:rPr>
        <w:t xml:space="preserve"> sponsorship of self-employment</w:t>
      </w:r>
      <w:r w:rsidR="00EA7458" w:rsidRPr="00E06806">
        <w:rPr>
          <w:rFonts w:cstheme="minorHAnsi"/>
          <w:spacing w:val="40"/>
          <w:w w:val="105"/>
        </w:rPr>
        <w:t xml:space="preserve"> </w:t>
      </w:r>
      <w:r w:rsidR="00EA7458" w:rsidRPr="00E06806">
        <w:rPr>
          <w:rFonts w:cstheme="minorHAnsi"/>
          <w:w w:val="105"/>
        </w:rPr>
        <w:t>opportunities;</w:t>
      </w:r>
      <w:r w:rsidR="00EA7458" w:rsidRPr="00E06806">
        <w:rPr>
          <w:rFonts w:cstheme="minorHAnsi"/>
          <w:w w:val="103"/>
        </w:rPr>
        <w:t xml:space="preserve"> </w:t>
      </w:r>
      <w:r w:rsidR="00EA7458" w:rsidRPr="00E06806">
        <w:rPr>
          <w:rFonts w:cstheme="minorHAnsi"/>
          <w:w w:val="105"/>
        </w:rPr>
        <w:t>sponsor</w:t>
      </w:r>
      <w:r w:rsidR="00EA7458" w:rsidRPr="00E06806">
        <w:rPr>
          <w:rFonts w:cstheme="minorHAnsi"/>
          <w:spacing w:val="24"/>
          <w:w w:val="105"/>
        </w:rPr>
        <w:t xml:space="preserve"> </w:t>
      </w:r>
      <w:r w:rsidR="00EA7458" w:rsidRPr="00E06806">
        <w:rPr>
          <w:rFonts w:cstheme="minorHAnsi"/>
          <w:w w:val="105"/>
        </w:rPr>
        <w:t>technology</w:t>
      </w:r>
      <w:r w:rsidR="00EA7458" w:rsidRPr="00E06806">
        <w:rPr>
          <w:rFonts w:cstheme="minorHAnsi"/>
          <w:spacing w:val="24"/>
          <w:w w:val="105"/>
        </w:rPr>
        <w:t xml:space="preserve"> </w:t>
      </w:r>
      <w:r w:rsidR="00EA7458" w:rsidRPr="00E06806">
        <w:rPr>
          <w:rFonts w:cstheme="minorHAnsi"/>
          <w:w w:val="105"/>
        </w:rPr>
        <w:t>training;</w:t>
      </w:r>
      <w:r w:rsidR="00EA7458" w:rsidRPr="00E06806">
        <w:rPr>
          <w:rFonts w:cstheme="minorHAnsi"/>
          <w:spacing w:val="24"/>
          <w:w w:val="105"/>
        </w:rPr>
        <w:t xml:space="preserve"> </w:t>
      </w:r>
      <w:r w:rsidR="00EA7458" w:rsidRPr="00E06806">
        <w:rPr>
          <w:rFonts w:cstheme="minorHAnsi"/>
          <w:w w:val="105"/>
        </w:rPr>
        <w:t>sponsor</w:t>
      </w:r>
      <w:r w:rsidR="00CB0CF3">
        <w:rPr>
          <w:rFonts w:cstheme="minorHAnsi"/>
          <w:w w:val="105"/>
        </w:rPr>
        <w:t xml:space="preserve"> </w:t>
      </w:r>
      <w:r w:rsidR="00EA7458" w:rsidRPr="00E06806">
        <w:rPr>
          <w:rFonts w:cstheme="minorHAnsi"/>
          <w:w w:val="105"/>
        </w:rPr>
        <w:t>academic</w:t>
      </w:r>
      <w:r w:rsidR="00EA7458" w:rsidRPr="00E06806">
        <w:rPr>
          <w:rFonts w:cstheme="minorHAnsi"/>
          <w:spacing w:val="24"/>
          <w:w w:val="105"/>
        </w:rPr>
        <w:t xml:space="preserve"> </w:t>
      </w:r>
      <w:r w:rsidR="00EA7458" w:rsidRPr="00E06806">
        <w:rPr>
          <w:rFonts w:cstheme="minorHAnsi"/>
          <w:w w:val="105"/>
        </w:rPr>
        <w:t>and</w:t>
      </w:r>
      <w:r w:rsidR="00EA7458" w:rsidRPr="00E06806">
        <w:rPr>
          <w:rFonts w:cstheme="minorHAnsi"/>
          <w:spacing w:val="24"/>
          <w:w w:val="105"/>
        </w:rPr>
        <w:t xml:space="preserve"> </w:t>
      </w:r>
      <w:r w:rsidR="00EA7458" w:rsidRPr="00E06806">
        <w:rPr>
          <w:rFonts w:cstheme="minorHAnsi"/>
          <w:w w:val="105"/>
        </w:rPr>
        <w:t>vocational</w:t>
      </w:r>
      <w:r w:rsidR="00EA7458" w:rsidRPr="00E06806">
        <w:rPr>
          <w:rFonts w:cstheme="minorHAnsi"/>
          <w:spacing w:val="24"/>
          <w:w w:val="105"/>
        </w:rPr>
        <w:t xml:space="preserve"> </w:t>
      </w:r>
      <w:r w:rsidR="00EA7458" w:rsidRPr="00E06806">
        <w:rPr>
          <w:rFonts w:cstheme="minorHAnsi"/>
          <w:w w:val="105"/>
        </w:rPr>
        <w:t>training;</w:t>
      </w:r>
      <w:r w:rsidR="00EA7458" w:rsidRPr="00E06806">
        <w:rPr>
          <w:rFonts w:cstheme="minorHAnsi"/>
          <w:spacing w:val="24"/>
          <w:w w:val="105"/>
        </w:rPr>
        <w:t xml:space="preserve"> </w:t>
      </w:r>
      <w:r w:rsidR="00EA7458" w:rsidRPr="00E06806">
        <w:rPr>
          <w:rFonts w:cstheme="minorHAnsi"/>
          <w:w w:val="105"/>
        </w:rPr>
        <w:t>encourage</w:t>
      </w:r>
      <w:r w:rsidR="00EA7458" w:rsidRPr="00E06806">
        <w:rPr>
          <w:rFonts w:cstheme="minorHAnsi"/>
          <w:spacing w:val="24"/>
          <w:w w:val="105"/>
        </w:rPr>
        <w:t xml:space="preserve"> </w:t>
      </w:r>
      <w:r w:rsidR="00EA7458" w:rsidRPr="00E06806">
        <w:rPr>
          <w:rFonts w:cstheme="minorHAnsi"/>
          <w:w w:val="105"/>
        </w:rPr>
        <w:t>careers</w:t>
      </w:r>
      <w:r w:rsidR="00B476CA" w:rsidRPr="00E06806">
        <w:rPr>
          <w:rFonts w:cstheme="minorHAnsi"/>
          <w:w w:val="105"/>
        </w:rPr>
        <w:t xml:space="preserve"> </w:t>
      </w:r>
      <w:r w:rsidR="00EA7458" w:rsidRPr="00E06806">
        <w:rPr>
          <w:rFonts w:cstheme="minorHAnsi"/>
          <w:w w:val="105"/>
        </w:rPr>
        <w:t>in</w:t>
      </w:r>
      <w:r w:rsidR="00EA7458" w:rsidRPr="00E06806">
        <w:rPr>
          <w:rFonts w:cstheme="minorHAnsi"/>
          <w:spacing w:val="14"/>
          <w:w w:val="105"/>
        </w:rPr>
        <w:t xml:space="preserve"> </w:t>
      </w:r>
      <w:r w:rsidR="00EA7458" w:rsidRPr="00E06806">
        <w:rPr>
          <w:rFonts w:cstheme="minorHAnsi"/>
          <w:w w:val="105"/>
        </w:rPr>
        <w:t>science,</w:t>
      </w:r>
      <w:r w:rsidR="00EA7458" w:rsidRPr="00E06806">
        <w:rPr>
          <w:rFonts w:cstheme="minorHAnsi"/>
          <w:spacing w:val="14"/>
          <w:w w:val="105"/>
        </w:rPr>
        <w:t xml:space="preserve"> </w:t>
      </w:r>
      <w:r w:rsidR="00EA7458" w:rsidRPr="00E06806">
        <w:rPr>
          <w:rFonts w:cstheme="minorHAnsi"/>
          <w:w w:val="105"/>
        </w:rPr>
        <w:t>technology,</w:t>
      </w:r>
      <w:r w:rsidR="00EA7458" w:rsidRPr="00E06806">
        <w:rPr>
          <w:rFonts w:cstheme="minorHAnsi"/>
          <w:spacing w:val="14"/>
          <w:w w:val="105"/>
        </w:rPr>
        <w:t xml:space="preserve"> </w:t>
      </w:r>
      <w:r w:rsidR="00EA7458" w:rsidRPr="00E06806">
        <w:rPr>
          <w:rFonts w:cstheme="minorHAnsi"/>
          <w:w w:val="105"/>
        </w:rPr>
        <w:t>engineering,</w:t>
      </w:r>
      <w:r w:rsidR="00EA7458" w:rsidRPr="00E06806">
        <w:rPr>
          <w:rFonts w:cstheme="minorHAnsi"/>
          <w:spacing w:val="14"/>
          <w:w w:val="105"/>
        </w:rPr>
        <w:t xml:space="preserve"> </w:t>
      </w:r>
      <w:r w:rsidR="00EA7458" w:rsidRPr="00E06806">
        <w:rPr>
          <w:rFonts w:cstheme="minorHAnsi"/>
          <w:w w:val="105"/>
        </w:rPr>
        <w:t>or</w:t>
      </w:r>
      <w:r w:rsidR="00EA7458" w:rsidRPr="00E06806">
        <w:rPr>
          <w:rFonts w:cstheme="minorHAnsi"/>
          <w:spacing w:val="14"/>
          <w:w w:val="105"/>
        </w:rPr>
        <w:t xml:space="preserve"> </w:t>
      </w:r>
      <w:r w:rsidR="00EA7458" w:rsidRPr="00E06806">
        <w:rPr>
          <w:rFonts w:cstheme="minorHAnsi"/>
          <w:w w:val="105"/>
        </w:rPr>
        <w:t>mathematics</w:t>
      </w:r>
      <w:r w:rsidR="00EA7458" w:rsidRPr="00E06806">
        <w:rPr>
          <w:rFonts w:cstheme="minorHAnsi"/>
          <w:spacing w:val="14"/>
          <w:w w:val="105"/>
        </w:rPr>
        <w:t xml:space="preserve"> </w:t>
      </w:r>
      <w:r w:rsidR="00EA7458" w:rsidRPr="00E06806">
        <w:rPr>
          <w:rFonts w:cstheme="minorHAnsi"/>
          <w:w w:val="105"/>
        </w:rPr>
        <w:t>to</w:t>
      </w:r>
      <w:r w:rsidR="00EA7458" w:rsidRPr="00E06806">
        <w:rPr>
          <w:rFonts w:cstheme="minorHAnsi"/>
          <w:spacing w:val="14"/>
          <w:w w:val="105"/>
        </w:rPr>
        <w:t xml:space="preserve"> </w:t>
      </w:r>
      <w:r w:rsidR="00EA7458" w:rsidRPr="00E06806">
        <w:rPr>
          <w:rFonts w:cstheme="minorHAnsi"/>
          <w:w w:val="105"/>
        </w:rPr>
        <w:t>qualified</w:t>
      </w:r>
      <w:r w:rsidR="00EA7458" w:rsidRPr="00E06806">
        <w:rPr>
          <w:rFonts w:cstheme="minorHAnsi"/>
          <w:spacing w:val="14"/>
          <w:w w:val="105"/>
        </w:rPr>
        <w:t xml:space="preserve"> </w:t>
      </w:r>
      <w:r w:rsidR="00EA7458" w:rsidRPr="00E06806">
        <w:rPr>
          <w:rFonts w:cstheme="minorHAnsi"/>
          <w:w w:val="105"/>
        </w:rPr>
        <w:t>individuals;</w:t>
      </w:r>
      <w:r w:rsidR="00EA7458" w:rsidRPr="00E06806">
        <w:rPr>
          <w:rFonts w:cstheme="minorHAnsi"/>
          <w:spacing w:val="14"/>
          <w:w w:val="105"/>
        </w:rPr>
        <w:t xml:space="preserve"> </w:t>
      </w:r>
      <w:r w:rsidR="00EA7458" w:rsidRPr="00E06806">
        <w:rPr>
          <w:rFonts w:cstheme="minorHAnsi"/>
          <w:w w:val="105"/>
        </w:rPr>
        <w:t>and</w:t>
      </w:r>
      <w:r w:rsidR="00EA7458" w:rsidRPr="00E06806">
        <w:rPr>
          <w:rFonts w:cstheme="minorHAnsi"/>
          <w:spacing w:val="14"/>
          <w:w w:val="105"/>
        </w:rPr>
        <w:t xml:space="preserve"> </w:t>
      </w:r>
      <w:r w:rsidR="00EA7458" w:rsidRPr="00E06806">
        <w:rPr>
          <w:rFonts w:cstheme="minorHAnsi"/>
          <w:w w:val="105"/>
        </w:rPr>
        <w:t>provide</w:t>
      </w:r>
      <w:r w:rsidR="00EA7458" w:rsidRPr="00E06806">
        <w:rPr>
          <w:rFonts w:cstheme="minorHAnsi"/>
          <w:spacing w:val="14"/>
          <w:w w:val="105"/>
        </w:rPr>
        <w:t xml:space="preserve"> </w:t>
      </w:r>
      <w:r w:rsidR="00EA7458" w:rsidRPr="00E06806">
        <w:rPr>
          <w:rFonts w:cstheme="minorHAnsi"/>
          <w:w w:val="105"/>
        </w:rPr>
        <w:t>consultation</w:t>
      </w:r>
      <w:r w:rsidR="00EA7458" w:rsidRPr="00E06806">
        <w:rPr>
          <w:rFonts w:cstheme="minorHAnsi"/>
          <w:spacing w:val="14"/>
          <w:w w:val="105"/>
        </w:rPr>
        <w:t xml:space="preserve"> </w:t>
      </w:r>
      <w:r w:rsidR="00EA7458" w:rsidRPr="00E06806">
        <w:rPr>
          <w:rFonts w:cstheme="minorHAnsi"/>
          <w:w w:val="105"/>
        </w:rPr>
        <w:t>and</w:t>
      </w:r>
      <w:r w:rsidR="00EA7458" w:rsidRPr="00E06806">
        <w:rPr>
          <w:rFonts w:cstheme="minorHAnsi"/>
          <w:spacing w:val="-44"/>
          <w:w w:val="105"/>
        </w:rPr>
        <w:t xml:space="preserve"> </w:t>
      </w:r>
      <w:r w:rsidR="00EA7458" w:rsidRPr="00E06806">
        <w:rPr>
          <w:rFonts w:cstheme="minorHAnsi"/>
          <w:w w:val="105"/>
        </w:rPr>
        <w:t xml:space="preserve">technical assistance to community partners and employers to promote the employment of </w:t>
      </w:r>
      <w:r w:rsidR="00CA1499" w:rsidRPr="00E06806">
        <w:rPr>
          <w:rFonts w:cstheme="minorHAnsi"/>
          <w:w w:val="105"/>
        </w:rPr>
        <w:t>people with disabilities.</w:t>
      </w:r>
      <w:r w:rsidR="00B476CA" w:rsidRPr="00E06806">
        <w:rPr>
          <w:rFonts w:cstheme="minorHAnsi"/>
          <w:w w:val="105"/>
        </w:rPr>
        <w:t xml:space="preserve"> </w:t>
      </w:r>
    </w:p>
    <w:p w14:paraId="11DCE2D2" w14:textId="77777777" w:rsidR="00EA7458" w:rsidRPr="00E06806" w:rsidRDefault="00EA7458" w:rsidP="00D63204">
      <w:pPr>
        <w:widowControl w:val="0"/>
        <w:spacing w:before="5" w:after="0" w:line="240" w:lineRule="auto"/>
        <w:ind w:left="107"/>
        <w:rPr>
          <w:rFonts w:cstheme="minorHAnsi"/>
          <w:sz w:val="16"/>
          <w:szCs w:val="16"/>
        </w:rPr>
      </w:pPr>
    </w:p>
    <w:p w14:paraId="4015DF6B" w14:textId="0369DD2B" w:rsidR="00EA7458" w:rsidRDefault="00AD0242" w:rsidP="00D63204">
      <w:pPr>
        <w:widowControl w:val="0"/>
        <w:spacing w:before="5" w:after="0" w:line="240" w:lineRule="auto"/>
        <w:ind w:left="107"/>
        <w:rPr>
          <w:rFonts w:cstheme="minorHAnsi"/>
        </w:rPr>
      </w:pPr>
      <w:r>
        <w:rPr>
          <w:rFonts w:cstheme="minorHAnsi"/>
        </w:rPr>
        <w:t xml:space="preserve">The Florida Division of Blind Services </w:t>
      </w:r>
      <w:r w:rsidR="00B476CA" w:rsidRPr="00E06806">
        <w:rPr>
          <w:rFonts w:cstheme="minorHAnsi"/>
        </w:rPr>
        <w:t xml:space="preserve">works in partnership with chambers of commerce across the state to support the ongoing development of disability-owned business. The Employment Placement Specialists participate in </w:t>
      </w:r>
      <w:r w:rsidR="00B476CA" w:rsidRPr="001A1AF7">
        <w:rPr>
          <w:rFonts w:cstheme="minorHAnsi"/>
        </w:rPr>
        <w:t>EOP</w:t>
      </w:r>
      <w:r w:rsidR="00B476CA" w:rsidRPr="00E06806">
        <w:rPr>
          <w:rFonts w:cstheme="minorHAnsi"/>
        </w:rPr>
        <w:t xml:space="preserve"> II training to improve marketing skills when communicating with employers. The Employment Placement Specialists build long-term relationships with businesses via outreach and rapid engagement with employers to meet their needs. </w:t>
      </w:r>
    </w:p>
    <w:p w14:paraId="7D3433D1" w14:textId="77777777" w:rsidR="00BE1E61" w:rsidRPr="00E06806" w:rsidRDefault="00BE1E61" w:rsidP="00D63204">
      <w:pPr>
        <w:widowControl w:val="0"/>
        <w:spacing w:before="5" w:after="0" w:line="240" w:lineRule="auto"/>
        <w:ind w:left="107"/>
        <w:rPr>
          <w:rFonts w:cstheme="minorHAnsi"/>
          <w:sz w:val="16"/>
          <w:szCs w:val="16"/>
        </w:rPr>
      </w:pPr>
    </w:p>
    <w:p w14:paraId="2228E3B0" w14:textId="2CC6772A" w:rsidR="00EA7458" w:rsidRDefault="00BD37F4" w:rsidP="00D63204">
      <w:pPr>
        <w:widowControl w:val="0"/>
        <w:spacing w:after="0" w:line="264" w:lineRule="exact"/>
        <w:ind w:left="107"/>
        <w:rPr>
          <w:rFonts w:cstheme="minorHAnsi"/>
          <w:color w:val="231F20"/>
          <w:w w:val="105"/>
        </w:rPr>
      </w:pPr>
      <w:r w:rsidRPr="00E06806">
        <w:rPr>
          <w:rFonts w:cstheme="minorHAnsi"/>
          <w:color w:val="231F20"/>
          <w:w w:val="105"/>
        </w:rPr>
        <w:t xml:space="preserve">Florida seeks </w:t>
      </w:r>
      <w:r w:rsidR="00EA7458" w:rsidRPr="00E06806">
        <w:rPr>
          <w:rFonts w:cstheme="minorHAnsi"/>
          <w:color w:val="231F20"/>
          <w:w w:val="105"/>
        </w:rPr>
        <w:t>to</w:t>
      </w:r>
      <w:r w:rsidR="00EA7458" w:rsidRPr="00E06806">
        <w:rPr>
          <w:rFonts w:cstheme="minorHAnsi"/>
          <w:color w:val="231F20"/>
          <w:spacing w:val="20"/>
          <w:w w:val="105"/>
        </w:rPr>
        <w:t xml:space="preserve"> </w:t>
      </w:r>
      <w:r w:rsidR="00EA7458" w:rsidRPr="00E06806">
        <w:rPr>
          <w:rFonts w:cstheme="minorHAnsi"/>
          <w:color w:val="231F20"/>
          <w:w w:val="105"/>
        </w:rPr>
        <w:t>increase</w:t>
      </w:r>
      <w:r w:rsidR="00EA7458" w:rsidRPr="00E06806">
        <w:rPr>
          <w:rFonts w:cstheme="minorHAnsi"/>
          <w:color w:val="231F20"/>
          <w:spacing w:val="20"/>
          <w:w w:val="105"/>
        </w:rPr>
        <w:t xml:space="preserve"> </w:t>
      </w:r>
      <w:r w:rsidR="00EA7458" w:rsidRPr="00E06806">
        <w:rPr>
          <w:rFonts w:cstheme="minorHAnsi"/>
          <w:color w:val="231F20"/>
          <w:w w:val="105"/>
        </w:rPr>
        <w:t>collaboration</w:t>
      </w:r>
      <w:r w:rsidR="00EA7458" w:rsidRPr="00E06806">
        <w:rPr>
          <w:rFonts w:cstheme="minorHAnsi"/>
          <w:color w:val="231F20"/>
          <w:spacing w:val="20"/>
          <w:w w:val="105"/>
        </w:rPr>
        <w:t xml:space="preserve"> </w:t>
      </w:r>
      <w:r w:rsidR="00EA7458" w:rsidRPr="00E06806">
        <w:rPr>
          <w:rFonts w:cstheme="minorHAnsi"/>
          <w:color w:val="231F20"/>
          <w:w w:val="105"/>
        </w:rPr>
        <w:t>between</w:t>
      </w:r>
      <w:r w:rsidR="00EA7458" w:rsidRPr="00E06806">
        <w:rPr>
          <w:rFonts w:cstheme="minorHAnsi"/>
          <w:color w:val="231F20"/>
          <w:spacing w:val="20"/>
          <w:w w:val="105"/>
        </w:rPr>
        <w:t xml:space="preserve"> </w:t>
      </w:r>
      <w:r w:rsidR="00EA7458" w:rsidRPr="00E06806">
        <w:rPr>
          <w:rFonts w:cstheme="minorHAnsi"/>
          <w:color w:val="231F20"/>
          <w:w w:val="105"/>
        </w:rPr>
        <w:t>employer</w:t>
      </w:r>
      <w:r w:rsidR="00EA7458" w:rsidRPr="00E06806">
        <w:rPr>
          <w:rFonts w:cstheme="minorHAnsi"/>
          <w:color w:val="231F20"/>
          <w:spacing w:val="20"/>
          <w:w w:val="105"/>
        </w:rPr>
        <w:t xml:space="preserve"> </w:t>
      </w:r>
      <w:r w:rsidR="00EA7458" w:rsidRPr="00E06806">
        <w:rPr>
          <w:rFonts w:cstheme="minorHAnsi"/>
          <w:color w:val="231F20"/>
          <w:w w:val="105"/>
        </w:rPr>
        <w:t>services</w:t>
      </w:r>
      <w:r w:rsidR="00EA7458" w:rsidRPr="00E06806">
        <w:rPr>
          <w:rFonts w:cstheme="minorHAnsi"/>
          <w:color w:val="231F20"/>
          <w:spacing w:val="20"/>
          <w:w w:val="105"/>
        </w:rPr>
        <w:t xml:space="preserve"> </w:t>
      </w:r>
      <w:r w:rsidR="00EA7458" w:rsidRPr="00E06806">
        <w:rPr>
          <w:rFonts w:cstheme="minorHAnsi"/>
          <w:color w:val="231F20"/>
          <w:w w:val="105"/>
        </w:rPr>
        <w:t>to</w:t>
      </w:r>
      <w:r w:rsidR="00EA7458" w:rsidRPr="00E06806">
        <w:rPr>
          <w:rFonts w:cstheme="minorHAnsi"/>
          <w:color w:val="231F20"/>
          <w:spacing w:val="20"/>
          <w:w w:val="105"/>
        </w:rPr>
        <w:t xml:space="preserve"> </w:t>
      </w:r>
      <w:r w:rsidR="00EA7458" w:rsidRPr="00E06806">
        <w:rPr>
          <w:rFonts w:cstheme="minorHAnsi"/>
          <w:color w:val="231F20"/>
          <w:w w:val="105"/>
        </w:rPr>
        <w:t>leverage</w:t>
      </w:r>
      <w:r w:rsidR="00EA7458" w:rsidRPr="00E06806">
        <w:rPr>
          <w:rFonts w:cstheme="minorHAnsi"/>
          <w:color w:val="231F20"/>
          <w:spacing w:val="20"/>
          <w:w w:val="105"/>
        </w:rPr>
        <w:t xml:space="preserve"> </w:t>
      </w:r>
      <w:r w:rsidR="00EA7458" w:rsidRPr="00E06806">
        <w:rPr>
          <w:rFonts w:cstheme="minorHAnsi"/>
          <w:color w:val="231F20"/>
          <w:w w:val="105"/>
        </w:rPr>
        <w:t>expertise</w:t>
      </w:r>
      <w:r w:rsidR="00EA7458" w:rsidRPr="00E06806">
        <w:rPr>
          <w:rFonts w:cstheme="minorHAnsi"/>
          <w:color w:val="231F20"/>
          <w:spacing w:val="20"/>
          <w:w w:val="105"/>
        </w:rPr>
        <w:t xml:space="preserve"> </w:t>
      </w:r>
      <w:r w:rsidR="00EA7458" w:rsidRPr="00E06806">
        <w:rPr>
          <w:rFonts w:cstheme="minorHAnsi"/>
          <w:color w:val="231F20"/>
          <w:w w:val="105"/>
        </w:rPr>
        <w:t>and</w:t>
      </w:r>
      <w:r w:rsidR="00EA7458" w:rsidRPr="00E06806">
        <w:rPr>
          <w:rFonts w:cstheme="minorHAnsi"/>
          <w:color w:val="231F20"/>
          <w:spacing w:val="20"/>
          <w:w w:val="105"/>
        </w:rPr>
        <w:t xml:space="preserve"> </w:t>
      </w:r>
      <w:r w:rsidR="00EA7458" w:rsidRPr="00E06806">
        <w:rPr>
          <w:rFonts w:cstheme="minorHAnsi"/>
          <w:color w:val="231F20"/>
          <w:w w:val="105"/>
        </w:rPr>
        <w:t>prevent</w:t>
      </w:r>
      <w:r w:rsidR="00EA7458" w:rsidRPr="00E06806">
        <w:rPr>
          <w:rFonts w:cstheme="minorHAnsi"/>
          <w:color w:val="231F20"/>
          <w:spacing w:val="-42"/>
          <w:w w:val="105"/>
        </w:rPr>
        <w:t xml:space="preserve"> </w:t>
      </w:r>
      <w:r w:rsidR="00EA7458" w:rsidRPr="00E06806">
        <w:rPr>
          <w:rFonts w:cstheme="minorHAnsi"/>
          <w:color w:val="231F20"/>
          <w:w w:val="105"/>
        </w:rPr>
        <w:t xml:space="preserve">and eliminate duplication. </w:t>
      </w:r>
      <w:r w:rsidR="00EA7458" w:rsidRPr="00E06806">
        <w:rPr>
          <w:rFonts w:cstheme="minorHAnsi"/>
          <w:w w:val="105"/>
        </w:rPr>
        <w:t>Florida will work to</w:t>
      </w:r>
      <w:r w:rsidR="00EA7458" w:rsidRPr="00E06806">
        <w:rPr>
          <w:rFonts w:cstheme="minorHAnsi"/>
          <w:spacing w:val="13"/>
          <w:w w:val="105"/>
        </w:rPr>
        <w:t xml:space="preserve"> </w:t>
      </w:r>
      <w:r w:rsidR="00EA7458" w:rsidRPr="00E06806">
        <w:rPr>
          <w:rFonts w:cstheme="minorHAnsi"/>
          <w:w w:val="105"/>
        </w:rPr>
        <w:t>c</w:t>
      </w:r>
      <w:r w:rsidR="00EA7458" w:rsidRPr="00E06806">
        <w:rPr>
          <w:rFonts w:cstheme="minorHAnsi"/>
          <w:color w:val="231F20"/>
          <w:w w:val="105"/>
        </w:rPr>
        <w:t xml:space="preserve">oordinate employers’ services across </w:t>
      </w:r>
      <w:r w:rsidRPr="00E06806">
        <w:rPr>
          <w:rFonts w:cstheme="minorHAnsi"/>
          <w:color w:val="231F20"/>
          <w:w w:val="105"/>
        </w:rPr>
        <w:t xml:space="preserve">all </w:t>
      </w:r>
      <w:r w:rsidR="00EA7458" w:rsidRPr="00E06806">
        <w:rPr>
          <w:rFonts w:cstheme="minorHAnsi"/>
          <w:color w:val="231F20"/>
          <w:spacing w:val="-3"/>
          <w:w w:val="105"/>
        </w:rPr>
        <w:t>WIOA program</w:t>
      </w:r>
      <w:r w:rsidR="00EA7458" w:rsidRPr="00E06806">
        <w:rPr>
          <w:rFonts w:cstheme="minorHAnsi"/>
          <w:color w:val="231F20"/>
          <w:w w:val="105"/>
        </w:rPr>
        <w:t xml:space="preserve"> partners.</w:t>
      </w:r>
    </w:p>
    <w:p w14:paraId="28E51BBA" w14:textId="77777777" w:rsidR="00EA7458" w:rsidRPr="00E06806" w:rsidRDefault="00EA7458" w:rsidP="00D63204">
      <w:pPr>
        <w:widowControl w:val="0"/>
        <w:spacing w:before="2" w:after="0" w:line="240" w:lineRule="auto"/>
        <w:ind w:left="107"/>
        <w:rPr>
          <w:rFonts w:cstheme="minorHAnsi"/>
          <w:sz w:val="14"/>
          <w:szCs w:val="14"/>
        </w:rPr>
      </w:pPr>
    </w:p>
    <w:p w14:paraId="786572AD" w14:textId="77777777" w:rsidR="00EA7458" w:rsidRPr="00E06806" w:rsidRDefault="00EA7458" w:rsidP="00D63204">
      <w:pPr>
        <w:widowControl w:val="0"/>
        <w:numPr>
          <w:ilvl w:val="0"/>
          <w:numId w:val="167"/>
        </w:numPr>
        <w:tabs>
          <w:tab w:val="left" w:pos="2268"/>
        </w:tabs>
        <w:spacing w:before="59" w:after="0" w:line="240" w:lineRule="auto"/>
        <w:rPr>
          <w:rFonts w:cstheme="minorHAnsi"/>
        </w:rPr>
      </w:pPr>
      <w:r w:rsidRPr="00E06806">
        <w:rPr>
          <w:rFonts w:cstheme="minorHAnsi"/>
          <w:color w:val="295CA3"/>
          <w:w w:val="105"/>
        </w:rPr>
        <w:t>Partner Engagement with Educational</w:t>
      </w:r>
      <w:r w:rsidRPr="00E06806">
        <w:rPr>
          <w:rFonts w:cstheme="minorHAnsi"/>
          <w:color w:val="295CA3"/>
          <w:spacing w:val="19"/>
          <w:w w:val="105"/>
        </w:rPr>
        <w:t xml:space="preserve"> </w:t>
      </w:r>
      <w:r w:rsidRPr="00E06806">
        <w:rPr>
          <w:rFonts w:cstheme="minorHAnsi"/>
          <w:color w:val="295CA3"/>
          <w:w w:val="105"/>
        </w:rPr>
        <w:t>Institutions</w:t>
      </w:r>
    </w:p>
    <w:p w14:paraId="66ED5B52" w14:textId="0F353B97" w:rsidR="00EA7458" w:rsidRPr="00E06806" w:rsidRDefault="00EA7458" w:rsidP="00D63204">
      <w:pPr>
        <w:widowControl w:val="0"/>
        <w:spacing w:before="195" w:after="0" w:line="240" w:lineRule="auto"/>
        <w:ind w:left="107"/>
        <w:outlineLvl w:val="2"/>
        <w:rPr>
          <w:rFonts w:cstheme="minorHAnsi"/>
          <w:b/>
          <w:bCs/>
          <w:color w:val="231F20"/>
          <w:w w:val="110"/>
        </w:rPr>
      </w:pPr>
      <w:r w:rsidRPr="00E06806">
        <w:rPr>
          <w:rFonts w:cstheme="minorHAnsi"/>
          <w:b/>
          <w:bCs/>
          <w:color w:val="231F20"/>
          <w:w w:val="110"/>
        </w:rPr>
        <w:t>Florida Higher Education Coordinating</w:t>
      </w:r>
      <w:r w:rsidRPr="00E06806">
        <w:rPr>
          <w:rFonts w:cstheme="minorHAnsi"/>
          <w:b/>
          <w:bCs/>
          <w:color w:val="231F20"/>
          <w:spacing w:val="17"/>
          <w:w w:val="110"/>
        </w:rPr>
        <w:t xml:space="preserve"> </w:t>
      </w:r>
      <w:r w:rsidRPr="00E06806">
        <w:rPr>
          <w:rFonts w:cstheme="minorHAnsi"/>
          <w:b/>
          <w:bCs/>
          <w:color w:val="231F20"/>
          <w:w w:val="110"/>
        </w:rPr>
        <w:t>Council</w:t>
      </w:r>
    </w:p>
    <w:p w14:paraId="50052F42" w14:textId="56735829" w:rsidR="00623274" w:rsidRDefault="00623274" w:rsidP="00D63204">
      <w:pPr>
        <w:widowControl w:val="0"/>
        <w:spacing w:before="2" w:after="0" w:line="240" w:lineRule="auto"/>
        <w:ind w:left="107"/>
        <w:rPr>
          <w:rFonts w:cstheme="minorHAnsi"/>
          <w:color w:val="231F20"/>
          <w:w w:val="105"/>
        </w:rPr>
      </w:pPr>
      <w:r w:rsidRPr="00E06806">
        <w:rPr>
          <w:rFonts w:cstheme="minorHAnsi"/>
          <w:color w:val="231F20"/>
          <w:w w:val="105"/>
        </w:rPr>
        <w:t>The</w:t>
      </w:r>
      <w:r w:rsidRPr="00545606">
        <w:rPr>
          <w:rFonts w:cstheme="minorHAnsi"/>
          <w:color w:val="231F20"/>
          <w:w w:val="105"/>
        </w:rPr>
        <w:t xml:space="preserve"> </w:t>
      </w:r>
      <w:r w:rsidRPr="00E06806">
        <w:rPr>
          <w:rFonts w:cstheme="minorHAnsi"/>
          <w:color w:val="231F20"/>
          <w:w w:val="105"/>
        </w:rPr>
        <w:t>Florida</w:t>
      </w:r>
      <w:r w:rsidRPr="00545606">
        <w:rPr>
          <w:rFonts w:cstheme="minorHAnsi"/>
          <w:color w:val="231F20"/>
          <w:w w:val="105"/>
        </w:rPr>
        <w:t xml:space="preserve"> </w:t>
      </w:r>
      <w:r w:rsidRPr="00E06806">
        <w:rPr>
          <w:rFonts w:cstheme="minorHAnsi"/>
          <w:color w:val="231F20"/>
          <w:w w:val="105"/>
        </w:rPr>
        <w:t>Higher</w:t>
      </w:r>
      <w:r w:rsidRPr="00545606">
        <w:rPr>
          <w:rFonts w:cstheme="minorHAnsi"/>
          <w:color w:val="231F20"/>
          <w:w w:val="105"/>
        </w:rPr>
        <w:t xml:space="preserve"> </w:t>
      </w:r>
      <w:r w:rsidRPr="00E06806">
        <w:rPr>
          <w:rFonts w:cstheme="minorHAnsi"/>
          <w:color w:val="231F20"/>
          <w:w w:val="105"/>
        </w:rPr>
        <w:t>Education</w:t>
      </w:r>
      <w:r w:rsidRPr="00545606">
        <w:rPr>
          <w:rFonts w:cstheme="minorHAnsi"/>
          <w:color w:val="231F20"/>
          <w:w w:val="105"/>
        </w:rPr>
        <w:t xml:space="preserve"> </w:t>
      </w:r>
      <w:r w:rsidRPr="00E06806">
        <w:rPr>
          <w:rFonts w:cstheme="minorHAnsi"/>
          <w:color w:val="231F20"/>
          <w:w w:val="105"/>
        </w:rPr>
        <w:t>Coordinating</w:t>
      </w:r>
      <w:r w:rsidRPr="00545606">
        <w:rPr>
          <w:rFonts w:cstheme="minorHAnsi"/>
          <w:color w:val="231F20"/>
          <w:w w:val="105"/>
        </w:rPr>
        <w:t xml:space="preserve"> </w:t>
      </w:r>
      <w:r w:rsidRPr="00E06806">
        <w:rPr>
          <w:rFonts w:cstheme="minorHAnsi"/>
          <w:color w:val="231F20"/>
          <w:w w:val="105"/>
        </w:rPr>
        <w:t>Council</w:t>
      </w:r>
      <w:r w:rsidRPr="00545606">
        <w:rPr>
          <w:rFonts w:cstheme="minorHAnsi"/>
          <w:color w:val="231F20"/>
          <w:w w:val="105"/>
        </w:rPr>
        <w:t xml:space="preserve"> </w:t>
      </w:r>
      <w:r w:rsidRPr="00E06806">
        <w:rPr>
          <w:rFonts w:cstheme="minorHAnsi"/>
          <w:color w:val="231F20"/>
          <w:w w:val="105"/>
        </w:rPr>
        <w:t>was</w:t>
      </w:r>
      <w:r w:rsidRPr="00545606">
        <w:rPr>
          <w:rFonts w:cstheme="minorHAnsi"/>
          <w:color w:val="231F20"/>
          <w:w w:val="105"/>
        </w:rPr>
        <w:t xml:space="preserve"> </w:t>
      </w:r>
      <w:r w:rsidRPr="00E06806">
        <w:rPr>
          <w:rFonts w:cstheme="minorHAnsi"/>
          <w:color w:val="231F20"/>
          <w:w w:val="105"/>
        </w:rPr>
        <w:t>established</w:t>
      </w:r>
      <w:r w:rsidRPr="00545606">
        <w:rPr>
          <w:rFonts w:cstheme="minorHAnsi"/>
          <w:color w:val="231F20"/>
          <w:w w:val="105"/>
        </w:rPr>
        <w:t xml:space="preserve"> </w:t>
      </w:r>
      <w:r w:rsidRPr="00E06806">
        <w:rPr>
          <w:rFonts w:cstheme="minorHAnsi"/>
          <w:color w:val="231F20"/>
          <w:w w:val="105"/>
        </w:rPr>
        <w:t>to</w:t>
      </w:r>
      <w:r w:rsidRPr="00545606">
        <w:rPr>
          <w:rFonts w:cstheme="minorHAnsi"/>
          <w:color w:val="231F20"/>
          <w:w w:val="105"/>
        </w:rPr>
        <w:t xml:space="preserve"> </w:t>
      </w:r>
      <w:r w:rsidRPr="00E06806">
        <w:rPr>
          <w:rFonts w:cstheme="minorHAnsi"/>
          <w:color w:val="231F20"/>
          <w:w w:val="105"/>
        </w:rPr>
        <w:t>identify</w:t>
      </w:r>
      <w:r w:rsidRPr="00545606">
        <w:rPr>
          <w:rFonts w:cstheme="minorHAnsi"/>
          <w:color w:val="231F20"/>
          <w:w w:val="105"/>
        </w:rPr>
        <w:t xml:space="preserve"> </w:t>
      </w:r>
      <w:r w:rsidRPr="00E06806">
        <w:rPr>
          <w:rFonts w:cstheme="minorHAnsi"/>
          <w:color w:val="231F20"/>
          <w:w w:val="105"/>
        </w:rPr>
        <w:t>needs</w:t>
      </w:r>
      <w:r w:rsidRPr="00545606">
        <w:rPr>
          <w:rFonts w:cstheme="minorHAnsi"/>
          <w:color w:val="231F20"/>
          <w:w w:val="105"/>
        </w:rPr>
        <w:t xml:space="preserve"> </w:t>
      </w:r>
      <w:r w:rsidRPr="00E06806">
        <w:rPr>
          <w:rFonts w:cstheme="minorHAnsi"/>
          <w:color w:val="231F20"/>
          <w:w w:val="105"/>
        </w:rPr>
        <w:t>and</w:t>
      </w:r>
      <w:r w:rsidRPr="00545606">
        <w:rPr>
          <w:rFonts w:cstheme="minorHAnsi"/>
          <w:color w:val="231F20"/>
          <w:w w:val="105"/>
        </w:rPr>
        <w:t xml:space="preserve"> </w:t>
      </w:r>
      <w:r w:rsidRPr="00E06806">
        <w:rPr>
          <w:rFonts w:cstheme="minorHAnsi"/>
          <w:color w:val="231F20"/>
          <w:w w:val="105"/>
        </w:rPr>
        <w:t>to</w:t>
      </w:r>
      <w:r w:rsidRPr="00545606">
        <w:rPr>
          <w:rFonts w:cstheme="minorHAnsi"/>
          <w:color w:val="231F20"/>
          <w:w w:val="105"/>
        </w:rPr>
        <w:t xml:space="preserve"> </w:t>
      </w:r>
      <w:r w:rsidRPr="00E06806">
        <w:rPr>
          <w:rFonts w:cstheme="minorHAnsi"/>
          <w:color w:val="231F20"/>
          <w:w w:val="105"/>
        </w:rPr>
        <w:t>facilitate solutions for creating new degree programs and establishing new</w:t>
      </w:r>
      <w:r w:rsidRPr="00545606">
        <w:rPr>
          <w:rFonts w:cstheme="minorHAnsi"/>
          <w:color w:val="231F20"/>
          <w:w w:val="105"/>
        </w:rPr>
        <w:t xml:space="preserve"> educational </w:t>
      </w:r>
      <w:r w:rsidRPr="00E06806">
        <w:rPr>
          <w:rFonts w:cstheme="minorHAnsi"/>
          <w:color w:val="231F20"/>
          <w:w w:val="105"/>
        </w:rPr>
        <w:t>institutes,</w:t>
      </w:r>
      <w:r w:rsidRPr="00545606">
        <w:rPr>
          <w:rFonts w:cstheme="minorHAnsi"/>
          <w:color w:val="231F20"/>
          <w:w w:val="105"/>
        </w:rPr>
        <w:t xml:space="preserve"> </w:t>
      </w:r>
      <w:r w:rsidRPr="00E06806">
        <w:rPr>
          <w:rFonts w:cstheme="minorHAnsi"/>
          <w:color w:val="231F20"/>
          <w:w w:val="105"/>
        </w:rPr>
        <w:t>campuses,</w:t>
      </w:r>
      <w:r w:rsidRPr="00545606">
        <w:rPr>
          <w:rFonts w:cstheme="minorHAnsi"/>
          <w:color w:val="231F20"/>
          <w:w w:val="105"/>
        </w:rPr>
        <w:t xml:space="preserve"> </w:t>
      </w:r>
      <w:r w:rsidRPr="00E06806">
        <w:rPr>
          <w:rFonts w:cstheme="minorHAnsi"/>
          <w:color w:val="231F20"/>
          <w:w w:val="105"/>
        </w:rPr>
        <w:t>or</w:t>
      </w:r>
      <w:r w:rsidRPr="00545606">
        <w:rPr>
          <w:rFonts w:cstheme="minorHAnsi"/>
          <w:color w:val="231F20"/>
          <w:w w:val="105"/>
        </w:rPr>
        <w:t xml:space="preserve"> </w:t>
      </w:r>
      <w:r w:rsidRPr="00E06806">
        <w:rPr>
          <w:rFonts w:cstheme="minorHAnsi"/>
          <w:color w:val="231F20"/>
          <w:w w:val="105"/>
        </w:rPr>
        <w:t>centers.</w:t>
      </w:r>
      <w:r w:rsidRPr="00545606">
        <w:rPr>
          <w:rFonts w:cstheme="minorHAnsi"/>
          <w:color w:val="231F20"/>
          <w:w w:val="105"/>
        </w:rPr>
        <w:t xml:space="preserve"> </w:t>
      </w:r>
      <w:r w:rsidRPr="00E06806">
        <w:rPr>
          <w:rFonts w:cstheme="minorHAnsi"/>
          <w:color w:val="231F20"/>
          <w:w w:val="105"/>
        </w:rPr>
        <w:t>The council makes recommendations</w:t>
      </w:r>
      <w:r w:rsidRPr="00545606">
        <w:rPr>
          <w:rFonts w:cstheme="minorHAnsi"/>
          <w:color w:val="231F20"/>
          <w:w w:val="105"/>
        </w:rPr>
        <w:t xml:space="preserve"> </w:t>
      </w:r>
      <w:r w:rsidRPr="00E06806">
        <w:rPr>
          <w:rFonts w:cstheme="minorHAnsi"/>
          <w:color w:val="231F20"/>
          <w:w w:val="105"/>
        </w:rPr>
        <w:t>to</w:t>
      </w:r>
      <w:r w:rsidRPr="00545606">
        <w:rPr>
          <w:rFonts w:cstheme="minorHAnsi"/>
          <w:color w:val="231F20"/>
          <w:w w:val="105"/>
        </w:rPr>
        <w:t xml:space="preserve"> </w:t>
      </w:r>
      <w:r w:rsidRPr="00E06806">
        <w:rPr>
          <w:rFonts w:cstheme="minorHAnsi"/>
          <w:color w:val="231F20"/>
          <w:w w:val="105"/>
        </w:rPr>
        <w:t>the</w:t>
      </w:r>
      <w:r w:rsidRPr="00545606">
        <w:rPr>
          <w:rFonts w:cstheme="minorHAnsi"/>
          <w:color w:val="231F20"/>
          <w:w w:val="105"/>
        </w:rPr>
        <w:t xml:space="preserve"> Florida </w:t>
      </w:r>
      <w:r w:rsidRPr="00E06806">
        <w:rPr>
          <w:rFonts w:cstheme="minorHAnsi"/>
          <w:color w:val="231F20"/>
          <w:w w:val="105"/>
        </w:rPr>
        <w:t>Legislature,</w:t>
      </w:r>
      <w:r w:rsidRPr="00545606">
        <w:rPr>
          <w:rFonts w:cstheme="minorHAnsi"/>
          <w:color w:val="231F20"/>
          <w:w w:val="105"/>
        </w:rPr>
        <w:t xml:space="preserve"> </w:t>
      </w:r>
      <w:r w:rsidRPr="00E06806">
        <w:rPr>
          <w:rFonts w:cstheme="minorHAnsi"/>
          <w:color w:val="231F20"/>
          <w:w w:val="105"/>
        </w:rPr>
        <w:t>the</w:t>
      </w:r>
      <w:r w:rsidRPr="00545606">
        <w:rPr>
          <w:rFonts w:cstheme="minorHAnsi"/>
          <w:color w:val="231F20"/>
          <w:w w:val="105"/>
        </w:rPr>
        <w:t xml:space="preserve"> </w:t>
      </w:r>
      <w:r w:rsidRPr="00E06806">
        <w:rPr>
          <w:rFonts w:cstheme="minorHAnsi"/>
          <w:color w:val="231F20"/>
          <w:w w:val="105"/>
        </w:rPr>
        <w:t>State</w:t>
      </w:r>
      <w:r w:rsidRPr="00545606">
        <w:rPr>
          <w:rFonts w:cstheme="minorHAnsi"/>
          <w:color w:val="231F20"/>
          <w:w w:val="105"/>
        </w:rPr>
        <w:t xml:space="preserve"> </w:t>
      </w:r>
      <w:r w:rsidRPr="00E06806">
        <w:rPr>
          <w:rFonts w:cstheme="minorHAnsi"/>
          <w:color w:val="231F20"/>
          <w:w w:val="105"/>
        </w:rPr>
        <w:t>Board</w:t>
      </w:r>
      <w:r w:rsidRPr="00545606">
        <w:rPr>
          <w:rFonts w:cstheme="minorHAnsi"/>
          <w:color w:val="231F20"/>
          <w:w w:val="105"/>
        </w:rPr>
        <w:t xml:space="preserve"> </w:t>
      </w:r>
      <w:r w:rsidRPr="00E06806">
        <w:rPr>
          <w:rFonts w:cstheme="minorHAnsi"/>
          <w:color w:val="231F20"/>
          <w:w w:val="105"/>
        </w:rPr>
        <w:t>of</w:t>
      </w:r>
      <w:r w:rsidRPr="00545606">
        <w:rPr>
          <w:rFonts w:cstheme="minorHAnsi"/>
          <w:color w:val="231F20"/>
          <w:w w:val="105"/>
        </w:rPr>
        <w:t xml:space="preserve"> </w:t>
      </w:r>
      <w:r w:rsidRPr="00E06806">
        <w:rPr>
          <w:rFonts w:cstheme="minorHAnsi"/>
          <w:color w:val="231F20"/>
          <w:w w:val="105"/>
        </w:rPr>
        <w:t>Education</w:t>
      </w:r>
      <w:r w:rsidR="00D5537E">
        <w:rPr>
          <w:rFonts w:cstheme="minorHAnsi"/>
          <w:color w:val="231F20"/>
          <w:w w:val="105"/>
        </w:rPr>
        <w:t xml:space="preserve"> and</w:t>
      </w:r>
      <w:r w:rsidRPr="00E06806">
        <w:rPr>
          <w:rFonts w:cstheme="minorHAnsi"/>
          <w:color w:val="231F20"/>
          <w:w w:val="105"/>
        </w:rPr>
        <w:t xml:space="preserve"> the Board of Governors, State University System of Florida.</w:t>
      </w:r>
    </w:p>
    <w:p w14:paraId="341F0286" w14:textId="77777777" w:rsidR="004D3AEB" w:rsidRPr="00545606" w:rsidRDefault="004D3AEB" w:rsidP="00D63204">
      <w:pPr>
        <w:widowControl w:val="0"/>
        <w:spacing w:before="2" w:after="0" w:line="240" w:lineRule="auto"/>
        <w:ind w:left="107"/>
        <w:rPr>
          <w:rFonts w:cstheme="minorHAnsi"/>
          <w:color w:val="231F20"/>
          <w:w w:val="105"/>
        </w:rPr>
      </w:pPr>
    </w:p>
    <w:p w14:paraId="71F2C80C" w14:textId="72068A94" w:rsidR="00623274" w:rsidRPr="004D3AEB" w:rsidRDefault="00623274" w:rsidP="00D63204">
      <w:pPr>
        <w:widowControl w:val="0"/>
        <w:spacing w:before="2" w:after="0" w:line="240" w:lineRule="auto"/>
        <w:ind w:left="107"/>
        <w:rPr>
          <w:rFonts w:cstheme="minorHAnsi"/>
          <w:color w:val="231F20"/>
          <w:w w:val="105"/>
        </w:rPr>
      </w:pPr>
      <w:r w:rsidRPr="00E06806">
        <w:rPr>
          <w:rFonts w:cstheme="minorHAnsi"/>
          <w:color w:val="231F20"/>
          <w:w w:val="105"/>
        </w:rPr>
        <w:t>The</w:t>
      </w:r>
      <w:r w:rsidRPr="004D3AEB">
        <w:rPr>
          <w:rFonts w:cstheme="minorHAnsi"/>
          <w:color w:val="231F20"/>
          <w:w w:val="105"/>
        </w:rPr>
        <w:t xml:space="preserve"> Higher Education Coordinating C</w:t>
      </w:r>
      <w:r w:rsidRPr="00E06806">
        <w:rPr>
          <w:rFonts w:cstheme="minorHAnsi"/>
          <w:color w:val="231F20"/>
          <w:w w:val="105"/>
        </w:rPr>
        <w:t>ouncil</w:t>
      </w:r>
      <w:r w:rsidRPr="004D3AEB">
        <w:rPr>
          <w:rFonts w:cstheme="minorHAnsi"/>
          <w:color w:val="231F20"/>
          <w:w w:val="105"/>
        </w:rPr>
        <w:t xml:space="preserve"> </w:t>
      </w:r>
      <w:r w:rsidRPr="00E06806">
        <w:rPr>
          <w:rFonts w:cstheme="minorHAnsi"/>
          <w:color w:val="231F20"/>
          <w:w w:val="105"/>
        </w:rPr>
        <w:t>includes</w:t>
      </w:r>
      <w:r w:rsidRPr="004D3AEB">
        <w:rPr>
          <w:rFonts w:cstheme="minorHAnsi"/>
          <w:color w:val="231F20"/>
          <w:w w:val="105"/>
        </w:rPr>
        <w:t xml:space="preserve"> </w:t>
      </w:r>
      <w:r w:rsidRPr="00E06806">
        <w:rPr>
          <w:rFonts w:cstheme="minorHAnsi"/>
          <w:color w:val="231F20"/>
          <w:w w:val="105"/>
        </w:rPr>
        <w:t>the</w:t>
      </w:r>
      <w:r w:rsidRPr="004D3AEB">
        <w:rPr>
          <w:rFonts w:cstheme="minorHAnsi"/>
          <w:color w:val="231F20"/>
          <w:w w:val="105"/>
        </w:rPr>
        <w:t xml:space="preserve"> </w:t>
      </w:r>
      <w:r w:rsidRPr="00E06806">
        <w:rPr>
          <w:rFonts w:cstheme="minorHAnsi"/>
          <w:color w:val="231F20"/>
          <w:w w:val="105"/>
        </w:rPr>
        <w:t>state</w:t>
      </w:r>
      <w:r w:rsidRPr="004D3AEB">
        <w:rPr>
          <w:rFonts w:cstheme="minorHAnsi"/>
          <w:color w:val="231F20"/>
          <w:w w:val="105"/>
        </w:rPr>
        <w:t xml:space="preserve"> </w:t>
      </w:r>
      <w:r w:rsidRPr="00E06806">
        <w:rPr>
          <w:rFonts w:cstheme="minorHAnsi"/>
          <w:color w:val="231F20"/>
          <w:w w:val="105"/>
        </w:rPr>
        <w:t>university</w:t>
      </w:r>
      <w:r w:rsidRPr="004D3AEB">
        <w:rPr>
          <w:rFonts w:cstheme="minorHAnsi"/>
          <w:color w:val="231F20"/>
          <w:w w:val="105"/>
        </w:rPr>
        <w:t xml:space="preserve"> </w:t>
      </w:r>
      <w:r w:rsidRPr="00E06806">
        <w:rPr>
          <w:rFonts w:cstheme="minorHAnsi"/>
          <w:color w:val="231F20"/>
          <w:w w:val="105"/>
        </w:rPr>
        <w:t>system,</w:t>
      </w:r>
      <w:r w:rsidRPr="004D3AEB">
        <w:rPr>
          <w:rFonts w:cstheme="minorHAnsi"/>
          <w:color w:val="231F20"/>
          <w:w w:val="105"/>
        </w:rPr>
        <w:t xml:space="preserve"> </w:t>
      </w:r>
      <w:r w:rsidRPr="00E06806">
        <w:rPr>
          <w:rFonts w:cstheme="minorHAnsi"/>
          <w:color w:val="231F20"/>
          <w:w w:val="105"/>
        </w:rPr>
        <w:t>Florida</w:t>
      </w:r>
      <w:r w:rsidRPr="004D3AEB">
        <w:rPr>
          <w:rFonts w:cstheme="minorHAnsi"/>
          <w:color w:val="231F20"/>
          <w:w w:val="105"/>
        </w:rPr>
        <w:t xml:space="preserve"> </w:t>
      </w:r>
      <w:r w:rsidRPr="00E06806">
        <w:rPr>
          <w:rFonts w:cstheme="minorHAnsi"/>
          <w:color w:val="231F20"/>
          <w:w w:val="105"/>
        </w:rPr>
        <w:t>college</w:t>
      </w:r>
      <w:r w:rsidRPr="004D3AEB">
        <w:rPr>
          <w:rFonts w:cstheme="minorHAnsi"/>
          <w:color w:val="231F20"/>
          <w:w w:val="105"/>
        </w:rPr>
        <w:t xml:space="preserve"> </w:t>
      </w:r>
      <w:r w:rsidRPr="00E06806">
        <w:rPr>
          <w:rFonts w:cstheme="minorHAnsi"/>
          <w:color w:val="231F20"/>
          <w:w w:val="105"/>
        </w:rPr>
        <w:t>system,</w:t>
      </w:r>
      <w:r w:rsidRPr="004D3AEB">
        <w:rPr>
          <w:rFonts w:cstheme="minorHAnsi"/>
          <w:color w:val="231F20"/>
          <w:w w:val="105"/>
        </w:rPr>
        <w:t xml:space="preserve"> </w:t>
      </w:r>
      <w:r w:rsidRPr="00E06806">
        <w:rPr>
          <w:rFonts w:cstheme="minorHAnsi"/>
          <w:color w:val="231F20"/>
          <w:w w:val="105"/>
        </w:rPr>
        <w:t>representatives</w:t>
      </w:r>
      <w:r w:rsidRPr="004D3AEB">
        <w:rPr>
          <w:rFonts w:cstheme="minorHAnsi"/>
          <w:color w:val="231F20"/>
          <w:w w:val="105"/>
        </w:rPr>
        <w:t xml:space="preserve"> </w:t>
      </w:r>
      <w:r w:rsidRPr="00E06806">
        <w:rPr>
          <w:rFonts w:cstheme="minorHAnsi"/>
          <w:color w:val="231F20"/>
          <w:w w:val="105"/>
        </w:rPr>
        <w:t>of</w:t>
      </w:r>
      <w:r w:rsidRPr="004D3AEB">
        <w:rPr>
          <w:rFonts w:cstheme="minorHAnsi"/>
          <w:color w:val="231F20"/>
          <w:w w:val="105"/>
        </w:rPr>
        <w:t xml:space="preserve"> </w:t>
      </w:r>
      <w:r w:rsidRPr="00E06806">
        <w:rPr>
          <w:rFonts w:cstheme="minorHAnsi"/>
          <w:color w:val="231F20"/>
          <w:w w:val="105"/>
        </w:rPr>
        <w:t>the</w:t>
      </w:r>
      <w:r w:rsidRPr="004D3AEB">
        <w:rPr>
          <w:rFonts w:cstheme="minorHAnsi"/>
          <w:color w:val="231F20"/>
          <w:w w:val="105"/>
        </w:rPr>
        <w:t xml:space="preserve"> </w:t>
      </w:r>
      <w:r w:rsidRPr="00E06806">
        <w:rPr>
          <w:rFonts w:cstheme="minorHAnsi"/>
          <w:color w:val="231F20"/>
          <w:w w:val="105"/>
        </w:rPr>
        <w:t>business</w:t>
      </w:r>
      <w:r w:rsidRPr="004D3AEB">
        <w:rPr>
          <w:rFonts w:cstheme="minorHAnsi"/>
          <w:color w:val="231F20"/>
          <w:w w:val="105"/>
        </w:rPr>
        <w:t xml:space="preserve"> </w:t>
      </w:r>
      <w:r w:rsidRPr="00E06806">
        <w:rPr>
          <w:rFonts w:cstheme="minorHAnsi"/>
          <w:color w:val="231F20"/>
          <w:w w:val="105"/>
        </w:rPr>
        <w:t xml:space="preserve">community, </w:t>
      </w:r>
      <w:r w:rsidRPr="004D3AEB">
        <w:rPr>
          <w:rFonts w:cstheme="minorHAnsi"/>
          <w:color w:val="231F20"/>
          <w:w w:val="105"/>
        </w:rPr>
        <w:t>a member of the Florida Board of Governors, a member of the Florida State Board of Education, the Florida Association of Postsecondary Schools and Colleges, the Independent Colleges and Universities of Florida, Enterprise Florida</w:t>
      </w:r>
      <w:r w:rsidR="00D5537E">
        <w:rPr>
          <w:rFonts w:cstheme="minorHAnsi"/>
          <w:color w:val="231F20"/>
          <w:w w:val="105"/>
        </w:rPr>
        <w:t xml:space="preserve"> and</w:t>
      </w:r>
      <w:r w:rsidRPr="00E06806">
        <w:rPr>
          <w:rFonts w:cstheme="minorHAnsi"/>
          <w:color w:val="231F20"/>
          <w:w w:val="105"/>
        </w:rPr>
        <w:t xml:space="preserve"> CareerSource Florida. </w:t>
      </w:r>
    </w:p>
    <w:p w14:paraId="09F162BB" w14:textId="77777777" w:rsidR="00623274" w:rsidRPr="00E06806" w:rsidRDefault="00623274" w:rsidP="00D63204">
      <w:pPr>
        <w:widowControl w:val="0"/>
        <w:spacing w:before="5" w:after="0" w:line="240" w:lineRule="auto"/>
        <w:ind w:left="107"/>
        <w:rPr>
          <w:rFonts w:cstheme="minorHAnsi"/>
          <w:sz w:val="16"/>
          <w:szCs w:val="16"/>
        </w:rPr>
      </w:pPr>
    </w:p>
    <w:p w14:paraId="0C6568D8" w14:textId="77777777" w:rsidR="00623274" w:rsidRPr="00E06806" w:rsidRDefault="00623274" w:rsidP="00D63204">
      <w:pPr>
        <w:widowControl w:val="0"/>
        <w:spacing w:after="0" w:line="240" w:lineRule="auto"/>
        <w:ind w:left="107"/>
        <w:rPr>
          <w:rFonts w:cstheme="minorHAnsi"/>
        </w:rPr>
      </w:pPr>
      <w:r w:rsidRPr="00E06806">
        <w:rPr>
          <w:rFonts w:cstheme="minorHAnsi"/>
          <w:color w:val="231F20"/>
          <w:w w:val="105"/>
        </w:rPr>
        <w:t>As the council develops recommendations it seeks to adhere to the</w:t>
      </w:r>
      <w:r w:rsidRPr="00E06806">
        <w:rPr>
          <w:rFonts w:cstheme="minorHAnsi"/>
          <w:color w:val="231F20"/>
          <w:w w:val="103"/>
        </w:rPr>
        <w:t xml:space="preserve"> </w:t>
      </w:r>
      <w:r w:rsidRPr="00E06806">
        <w:rPr>
          <w:rFonts w:cstheme="minorHAnsi"/>
          <w:color w:val="231F20"/>
          <w:w w:val="105"/>
        </w:rPr>
        <w:t>following guiding</w:t>
      </w:r>
      <w:r w:rsidRPr="00E06806">
        <w:rPr>
          <w:rFonts w:cstheme="minorHAnsi"/>
          <w:color w:val="231F20"/>
          <w:spacing w:val="5"/>
          <w:w w:val="105"/>
        </w:rPr>
        <w:t xml:space="preserve"> </w:t>
      </w:r>
      <w:r w:rsidRPr="00E06806">
        <w:rPr>
          <w:rFonts w:cstheme="minorHAnsi"/>
          <w:color w:val="231F20"/>
          <w:w w:val="105"/>
        </w:rPr>
        <w:t>principles:</w:t>
      </w:r>
    </w:p>
    <w:p w14:paraId="2973CFD5" w14:textId="77777777" w:rsidR="00623274" w:rsidRPr="00E06806" w:rsidRDefault="00623274" w:rsidP="00D63204">
      <w:pPr>
        <w:widowControl w:val="0"/>
        <w:spacing w:before="5" w:after="0" w:line="240" w:lineRule="auto"/>
        <w:ind w:left="107"/>
        <w:rPr>
          <w:rFonts w:cstheme="minorHAnsi"/>
          <w:sz w:val="16"/>
          <w:szCs w:val="16"/>
        </w:rPr>
      </w:pPr>
    </w:p>
    <w:p w14:paraId="5AF8DC0B" w14:textId="4017A8B2" w:rsidR="00623274" w:rsidRPr="00BE1E61" w:rsidRDefault="00623274" w:rsidP="00D63204">
      <w:pPr>
        <w:pStyle w:val="ListParagraph"/>
        <w:widowControl w:val="0"/>
        <w:numPr>
          <w:ilvl w:val="0"/>
          <w:numId w:val="24"/>
        </w:numPr>
        <w:spacing w:after="0" w:line="240" w:lineRule="auto"/>
        <w:rPr>
          <w:rFonts w:cstheme="minorHAnsi"/>
          <w:color w:val="231F20"/>
        </w:rPr>
      </w:pPr>
      <w:r w:rsidRPr="00BE1E61">
        <w:rPr>
          <w:rFonts w:cstheme="minorHAnsi"/>
          <w:color w:val="231F20"/>
          <w:spacing w:val="-12"/>
          <w:w w:val="105"/>
        </w:rPr>
        <w:t>To</w:t>
      </w:r>
      <w:r w:rsidRPr="00BE1E61">
        <w:rPr>
          <w:rFonts w:cstheme="minorHAnsi"/>
          <w:color w:val="231F20"/>
          <w:spacing w:val="17"/>
          <w:w w:val="105"/>
        </w:rPr>
        <w:t xml:space="preserve"> </w:t>
      </w:r>
      <w:r w:rsidRPr="00BE1E61">
        <w:rPr>
          <w:rFonts w:cstheme="minorHAnsi"/>
          <w:color w:val="231F20"/>
          <w:w w:val="105"/>
        </w:rPr>
        <w:t>achieve</w:t>
      </w:r>
      <w:r w:rsidRPr="00BE1E61">
        <w:rPr>
          <w:rFonts w:cstheme="minorHAnsi"/>
          <w:color w:val="231F20"/>
          <w:spacing w:val="17"/>
          <w:w w:val="105"/>
        </w:rPr>
        <w:t xml:space="preserve"> </w:t>
      </w:r>
      <w:r w:rsidRPr="00BE1E61">
        <w:rPr>
          <w:rFonts w:cstheme="minorHAnsi"/>
          <w:color w:val="231F20"/>
          <w:w w:val="105"/>
        </w:rPr>
        <w:t>within</w:t>
      </w:r>
      <w:r w:rsidRPr="00BE1E61">
        <w:rPr>
          <w:rFonts w:cstheme="minorHAnsi"/>
          <w:color w:val="231F20"/>
          <w:spacing w:val="17"/>
          <w:w w:val="105"/>
        </w:rPr>
        <w:t xml:space="preserve"> </w:t>
      </w:r>
      <w:r w:rsidRPr="00BE1E61">
        <w:rPr>
          <w:rFonts w:cstheme="minorHAnsi"/>
          <w:color w:val="231F20"/>
          <w:w w:val="105"/>
        </w:rPr>
        <w:t>existing</w:t>
      </w:r>
      <w:r w:rsidRPr="00BE1E61">
        <w:rPr>
          <w:rFonts w:cstheme="minorHAnsi"/>
          <w:color w:val="231F20"/>
          <w:spacing w:val="17"/>
          <w:w w:val="105"/>
        </w:rPr>
        <w:t xml:space="preserve"> </w:t>
      </w:r>
      <w:r w:rsidRPr="00BE1E61">
        <w:rPr>
          <w:rFonts w:cstheme="minorHAnsi"/>
          <w:color w:val="231F20"/>
          <w:w w:val="105"/>
        </w:rPr>
        <w:t>resources</w:t>
      </w:r>
      <w:r w:rsidRPr="00BE1E61">
        <w:rPr>
          <w:rFonts w:cstheme="minorHAnsi"/>
          <w:color w:val="231F20"/>
          <w:spacing w:val="17"/>
          <w:w w:val="105"/>
        </w:rPr>
        <w:t xml:space="preserve"> </w:t>
      </w:r>
      <w:r w:rsidRPr="00BE1E61">
        <w:rPr>
          <w:rFonts w:cstheme="minorHAnsi"/>
          <w:color w:val="231F20"/>
          <w:w w:val="105"/>
        </w:rPr>
        <w:t>a</w:t>
      </w:r>
      <w:r w:rsidRPr="00BE1E61">
        <w:rPr>
          <w:rFonts w:cstheme="minorHAnsi"/>
          <w:color w:val="231F20"/>
          <w:spacing w:val="17"/>
          <w:w w:val="105"/>
        </w:rPr>
        <w:t xml:space="preserve"> </w:t>
      </w:r>
      <w:r w:rsidRPr="00BE1E61">
        <w:rPr>
          <w:rFonts w:cstheme="minorHAnsi"/>
          <w:color w:val="231F20"/>
          <w:w w:val="105"/>
        </w:rPr>
        <w:t>seamless</w:t>
      </w:r>
      <w:r w:rsidRPr="00BE1E61">
        <w:rPr>
          <w:rFonts w:cstheme="minorHAnsi"/>
          <w:color w:val="231F20"/>
          <w:spacing w:val="17"/>
          <w:w w:val="105"/>
        </w:rPr>
        <w:t xml:space="preserve"> </w:t>
      </w:r>
      <w:r w:rsidRPr="00BE1E61">
        <w:rPr>
          <w:rFonts w:cstheme="minorHAnsi"/>
          <w:color w:val="231F20"/>
          <w:w w:val="105"/>
        </w:rPr>
        <w:t>academic</w:t>
      </w:r>
      <w:r w:rsidRPr="00BE1E61">
        <w:rPr>
          <w:rFonts w:cstheme="minorHAnsi"/>
          <w:color w:val="231F20"/>
          <w:spacing w:val="17"/>
          <w:w w:val="105"/>
        </w:rPr>
        <w:t xml:space="preserve"> </w:t>
      </w:r>
      <w:r w:rsidRPr="00BE1E61">
        <w:rPr>
          <w:rFonts w:cstheme="minorHAnsi"/>
          <w:color w:val="231F20"/>
          <w:w w:val="105"/>
        </w:rPr>
        <w:t>educational</w:t>
      </w:r>
      <w:r w:rsidRPr="00BE1E61">
        <w:rPr>
          <w:rFonts w:cstheme="minorHAnsi"/>
          <w:color w:val="231F20"/>
          <w:spacing w:val="17"/>
          <w:w w:val="105"/>
        </w:rPr>
        <w:t xml:space="preserve"> </w:t>
      </w:r>
      <w:r w:rsidRPr="00BE1E61">
        <w:rPr>
          <w:rFonts w:cstheme="minorHAnsi"/>
          <w:color w:val="231F20"/>
          <w:w w:val="105"/>
        </w:rPr>
        <w:t>system</w:t>
      </w:r>
      <w:r w:rsidRPr="00BE1E61">
        <w:rPr>
          <w:rFonts w:cstheme="minorHAnsi"/>
          <w:color w:val="231F20"/>
          <w:spacing w:val="17"/>
          <w:w w:val="105"/>
        </w:rPr>
        <w:t xml:space="preserve"> </w:t>
      </w:r>
      <w:r w:rsidRPr="00BE1E61">
        <w:rPr>
          <w:rFonts w:cstheme="minorHAnsi"/>
          <w:color w:val="231F20"/>
          <w:w w:val="105"/>
        </w:rPr>
        <w:t>that</w:t>
      </w:r>
      <w:r w:rsidRPr="00BE1E61">
        <w:rPr>
          <w:rFonts w:cstheme="minorHAnsi"/>
          <w:color w:val="231F20"/>
          <w:spacing w:val="17"/>
          <w:w w:val="105"/>
        </w:rPr>
        <w:t xml:space="preserve"> </w:t>
      </w:r>
      <w:r w:rsidRPr="00BE1E61">
        <w:rPr>
          <w:rFonts w:cstheme="minorHAnsi"/>
          <w:color w:val="231F20"/>
          <w:w w:val="105"/>
        </w:rPr>
        <w:t>fosters</w:t>
      </w:r>
      <w:r w:rsidRPr="00BE1E61">
        <w:rPr>
          <w:rFonts w:cstheme="minorHAnsi"/>
          <w:color w:val="231F20"/>
          <w:spacing w:val="17"/>
          <w:w w:val="105"/>
        </w:rPr>
        <w:t xml:space="preserve"> </w:t>
      </w:r>
      <w:r w:rsidRPr="00BE1E61">
        <w:rPr>
          <w:rFonts w:cstheme="minorHAnsi"/>
          <w:color w:val="231F20"/>
          <w:w w:val="105"/>
        </w:rPr>
        <w:t>an integrated continuum of kindergarten through graduate school education for Florida’s</w:t>
      </w:r>
      <w:r w:rsidRPr="00BE1E61">
        <w:rPr>
          <w:rFonts w:cstheme="minorHAnsi"/>
          <w:color w:val="231F20"/>
          <w:spacing w:val="26"/>
          <w:w w:val="105"/>
        </w:rPr>
        <w:t xml:space="preserve"> </w:t>
      </w:r>
      <w:r w:rsidRPr="00BE1E61">
        <w:rPr>
          <w:rFonts w:cstheme="minorHAnsi"/>
          <w:color w:val="231F20"/>
          <w:w w:val="105"/>
        </w:rPr>
        <w:t>students;</w:t>
      </w:r>
    </w:p>
    <w:p w14:paraId="66AF9133" w14:textId="77777777" w:rsidR="00BE1E61" w:rsidRPr="00BE1E61" w:rsidRDefault="00BE1E61" w:rsidP="00D63204">
      <w:pPr>
        <w:pStyle w:val="ListParagraph"/>
        <w:widowControl w:val="0"/>
        <w:spacing w:after="0" w:line="240" w:lineRule="auto"/>
        <w:ind w:left="827"/>
        <w:rPr>
          <w:rFonts w:cstheme="minorHAnsi"/>
          <w:color w:val="231F20"/>
        </w:rPr>
      </w:pPr>
    </w:p>
    <w:p w14:paraId="181E7EA5" w14:textId="2B2C8FC8" w:rsidR="00623274" w:rsidRPr="00BE1E61" w:rsidRDefault="00623274" w:rsidP="00D63204">
      <w:pPr>
        <w:pStyle w:val="ListParagraph"/>
        <w:widowControl w:val="0"/>
        <w:numPr>
          <w:ilvl w:val="0"/>
          <w:numId w:val="24"/>
        </w:numPr>
        <w:spacing w:before="90" w:after="0" w:line="240" w:lineRule="auto"/>
        <w:rPr>
          <w:rFonts w:cstheme="minorHAnsi"/>
          <w:color w:val="231F20"/>
        </w:rPr>
      </w:pPr>
      <w:r w:rsidRPr="00BE1E61">
        <w:rPr>
          <w:rFonts w:cstheme="minorHAnsi"/>
          <w:color w:val="231F20"/>
          <w:spacing w:val="-12"/>
          <w:w w:val="105"/>
        </w:rPr>
        <w:lastRenderedPageBreak/>
        <w:t>To</w:t>
      </w:r>
      <w:r w:rsidRPr="00BE1E61">
        <w:rPr>
          <w:rFonts w:cstheme="minorHAnsi"/>
          <w:color w:val="231F20"/>
          <w:spacing w:val="23"/>
          <w:w w:val="105"/>
        </w:rPr>
        <w:t xml:space="preserve"> </w:t>
      </w:r>
      <w:r w:rsidRPr="00BE1E61">
        <w:rPr>
          <w:rFonts w:cstheme="minorHAnsi"/>
          <w:color w:val="231F20"/>
          <w:w w:val="105"/>
        </w:rPr>
        <w:t>promote</w:t>
      </w:r>
      <w:r w:rsidRPr="00BE1E61">
        <w:rPr>
          <w:rFonts w:cstheme="minorHAnsi"/>
          <w:color w:val="231F20"/>
          <w:spacing w:val="23"/>
          <w:w w:val="105"/>
        </w:rPr>
        <w:t xml:space="preserve"> </w:t>
      </w:r>
      <w:r w:rsidRPr="00BE1E61">
        <w:rPr>
          <w:rFonts w:cstheme="minorHAnsi"/>
          <w:color w:val="231F20"/>
          <w:w w:val="105"/>
        </w:rPr>
        <w:t>consistent</w:t>
      </w:r>
      <w:r w:rsidRPr="00BE1E61">
        <w:rPr>
          <w:rFonts w:cstheme="minorHAnsi"/>
          <w:color w:val="231F20"/>
          <w:spacing w:val="23"/>
          <w:w w:val="105"/>
        </w:rPr>
        <w:t xml:space="preserve"> </w:t>
      </w:r>
      <w:r w:rsidRPr="00BE1E61">
        <w:rPr>
          <w:rFonts w:cstheme="minorHAnsi"/>
          <w:color w:val="231F20"/>
          <w:w w:val="105"/>
        </w:rPr>
        <w:t>education</w:t>
      </w:r>
      <w:r w:rsidRPr="00BE1E61">
        <w:rPr>
          <w:rFonts w:cstheme="minorHAnsi"/>
          <w:color w:val="231F20"/>
          <w:spacing w:val="23"/>
          <w:w w:val="105"/>
        </w:rPr>
        <w:t xml:space="preserve"> </w:t>
      </w:r>
      <w:r w:rsidRPr="00BE1E61">
        <w:rPr>
          <w:rFonts w:cstheme="minorHAnsi"/>
          <w:color w:val="231F20"/>
          <w:w w:val="105"/>
        </w:rPr>
        <w:t>policy</w:t>
      </w:r>
      <w:r w:rsidRPr="00BE1E61">
        <w:rPr>
          <w:rFonts w:cstheme="minorHAnsi"/>
          <w:color w:val="231F20"/>
          <w:spacing w:val="23"/>
          <w:w w:val="105"/>
        </w:rPr>
        <w:t xml:space="preserve"> </w:t>
      </w:r>
      <w:r w:rsidRPr="00BE1E61">
        <w:rPr>
          <w:rFonts w:cstheme="minorHAnsi"/>
          <w:color w:val="231F20"/>
          <w:w w:val="105"/>
        </w:rPr>
        <w:t>across</w:t>
      </w:r>
      <w:r w:rsidRPr="00BE1E61">
        <w:rPr>
          <w:rFonts w:cstheme="minorHAnsi"/>
          <w:color w:val="231F20"/>
          <w:spacing w:val="23"/>
          <w:w w:val="105"/>
        </w:rPr>
        <w:t xml:space="preserve"> </w:t>
      </w:r>
      <w:r w:rsidRPr="00BE1E61">
        <w:rPr>
          <w:rFonts w:cstheme="minorHAnsi"/>
          <w:color w:val="231F20"/>
          <w:w w:val="105"/>
        </w:rPr>
        <w:t>all</w:t>
      </w:r>
      <w:r w:rsidRPr="00BE1E61">
        <w:rPr>
          <w:rFonts w:cstheme="minorHAnsi"/>
          <w:color w:val="231F20"/>
          <w:spacing w:val="23"/>
          <w:w w:val="105"/>
        </w:rPr>
        <w:t xml:space="preserve"> </w:t>
      </w:r>
      <w:r w:rsidRPr="00BE1E61">
        <w:rPr>
          <w:rFonts w:cstheme="minorHAnsi"/>
          <w:color w:val="231F20"/>
          <w:w w:val="105"/>
        </w:rPr>
        <w:t>educational</w:t>
      </w:r>
      <w:r w:rsidRPr="00BE1E61">
        <w:rPr>
          <w:rFonts w:cstheme="minorHAnsi"/>
          <w:color w:val="231F20"/>
          <w:spacing w:val="23"/>
          <w:w w:val="105"/>
        </w:rPr>
        <w:t xml:space="preserve"> </w:t>
      </w:r>
      <w:r w:rsidRPr="00BE1E61">
        <w:rPr>
          <w:rFonts w:cstheme="minorHAnsi"/>
          <w:color w:val="231F20"/>
          <w:w w:val="105"/>
        </w:rPr>
        <w:t>delivery</w:t>
      </w:r>
      <w:r w:rsidRPr="00BE1E61">
        <w:rPr>
          <w:rFonts w:cstheme="minorHAnsi"/>
          <w:color w:val="231F20"/>
          <w:spacing w:val="23"/>
          <w:w w:val="105"/>
        </w:rPr>
        <w:t xml:space="preserve"> </w:t>
      </w:r>
      <w:r w:rsidRPr="00BE1E61">
        <w:rPr>
          <w:rFonts w:cstheme="minorHAnsi"/>
          <w:color w:val="231F20"/>
          <w:w w:val="105"/>
        </w:rPr>
        <w:t>systems,</w:t>
      </w:r>
      <w:r w:rsidRPr="00BE1E61">
        <w:rPr>
          <w:rFonts w:cstheme="minorHAnsi"/>
          <w:color w:val="231F20"/>
          <w:spacing w:val="23"/>
          <w:w w:val="105"/>
        </w:rPr>
        <w:t xml:space="preserve"> </w:t>
      </w:r>
      <w:r w:rsidRPr="00BE1E61">
        <w:rPr>
          <w:rFonts w:cstheme="minorHAnsi"/>
          <w:color w:val="231F20"/>
          <w:w w:val="105"/>
        </w:rPr>
        <w:t>focusing</w:t>
      </w:r>
      <w:r w:rsidRPr="00BE1E61">
        <w:rPr>
          <w:rFonts w:cstheme="minorHAnsi"/>
          <w:color w:val="231F20"/>
          <w:w w:val="109"/>
        </w:rPr>
        <w:t xml:space="preserve"> </w:t>
      </w:r>
      <w:r w:rsidRPr="00BE1E61">
        <w:rPr>
          <w:rFonts w:cstheme="minorHAnsi"/>
          <w:color w:val="231F20"/>
          <w:w w:val="105"/>
        </w:rPr>
        <w:t>on</w:t>
      </w:r>
      <w:r w:rsidRPr="00BE1E61">
        <w:rPr>
          <w:rFonts w:cstheme="minorHAnsi"/>
          <w:color w:val="231F20"/>
          <w:spacing w:val="4"/>
          <w:w w:val="105"/>
        </w:rPr>
        <w:t xml:space="preserve"> </w:t>
      </w:r>
      <w:r w:rsidRPr="00BE1E61">
        <w:rPr>
          <w:rFonts w:cstheme="minorHAnsi"/>
          <w:color w:val="231F20"/>
          <w:w w:val="105"/>
        </w:rPr>
        <w:t>students;</w:t>
      </w:r>
    </w:p>
    <w:p w14:paraId="6794A6D9" w14:textId="77777777" w:rsidR="00BE1E61" w:rsidRPr="00BE1E61" w:rsidRDefault="00BE1E61" w:rsidP="00D63204">
      <w:pPr>
        <w:pStyle w:val="ListParagraph"/>
        <w:widowControl w:val="0"/>
        <w:spacing w:before="90" w:after="0" w:line="240" w:lineRule="auto"/>
        <w:ind w:left="827"/>
        <w:rPr>
          <w:rFonts w:cstheme="minorHAnsi"/>
          <w:color w:val="231F20"/>
        </w:rPr>
      </w:pPr>
    </w:p>
    <w:p w14:paraId="64ED41F4" w14:textId="51981046" w:rsidR="00623274" w:rsidRPr="00BE1E61" w:rsidRDefault="00623274" w:rsidP="00D63204">
      <w:pPr>
        <w:pStyle w:val="ListParagraph"/>
        <w:widowControl w:val="0"/>
        <w:numPr>
          <w:ilvl w:val="0"/>
          <w:numId w:val="24"/>
        </w:numPr>
        <w:spacing w:before="91" w:after="0" w:line="240" w:lineRule="auto"/>
        <w:rPr>
          <w:rFonts w:cstheme="minorHAnsi"/>
          <w:color w:val="231F20"/>
        </w:rPr>
      </w:pPr>
      <w:r w:rsidRPr="00BE1E61">
        <w:rPr>
          <w:rFonts w:cstheme="minorHAnsi"/>
          <w:color w:val="231F20"/>
          <w:spacing w:val="-12"/>
          <w:w w:val="105"/>
        </w:rPr>
        <w:t xml:space="preserve">To </w:t>
      </w:r>
      <w:r w:rsidRPr="00BE1E61">
        <w:rPr>
          <w:rFonts w:cstheme="minorHAnsi"/>
          <w:color w:val="231F20"/>
          <w:w w:val="105"/>
        </w:rPr>
        <w:t>promote substantially improved articulation across all educational delivery</w:t>
      </w:r>
      <w:r w:rsidRPr="00BE1E61">
        <w:rPr>
          <w:rFonts w:cstheme="minorHAnsi"/>
          <w:color w:val="231F20"/>
          <w:spacing w:val="24"/>
          <w:w w:val="105"/>
        </w:rPr>
        <w:t xml:space="preserve"> </w:t>
      </w:r>
      <w:r w:rsidRPr="00BE1E61">
        <w:rPr>
          <w:rFonts w:cstheme="minorHAnsi"/>
          <w:color w:val="231F20"/>
          <w:w w:val="105"/>
        </w:rPr>
        <w:t>systems;</w:t>
      </w:r>
    </w:p>
    <w:p w14:paraId="51B52552" w14:textId="77777777" w:rsidR="00BE1E61" w:rsidRPr="00BE1E61" w:rsidRDefault="00BE1E61" w:rsidP="00D63204">
      <w:pPr>
        <w:pStyle w:val="ListParagraph"/>
        <w:widowControl w:val="0"/>
        <w:spacing w:before="91" w:after="0" w:line="240" w:lineRule="auto"/>
        <w:ind w:left="827"/>
        <w:rPr>
          <w:rFonts w:cstheme="minorHAnsi"/>
          <w:color w:val="231F20"/>
        </w:rPr>
      </w:pPr>
    </w:p>
    <w:p w14:paraId="7D080873" w14:textId="4982CA6F" w:rsidR="00623274" w:rsidRPr="00D71986" w:rsidRDefault="00623274" w:rsidP="00D63204">
      <w:pPr>
        <w:pStyle w:val="ListParagraph"/>
        <w:widowControl w:val="0"/>
        <w:numPr>
          <w:ilvl w:val="0"/>
          <w:numId w:val="24"/>
        </w:numPr>
        <w:spacing w:before="83" w:after="0" w:line="240" w:lineRule="auto"/>
        <w:rPr>
          <w:rFonts w:cstheme="minorHAnsi"/>
          <w:color w:val="231F20"/>
        </w:rPr>
      </w:pPr>
      <w:r w:rsidRPr="00BE1E61">
        <w:rPr>
          <w:rFonts w:cstheme="minorHAnsi"/>
          <w:color w:val="231F20"/>
          <w:spacing w:val="-12"/>
          <w:w w:val="105"/>
        </w:rPr>
        <w:t xml:space="preserve">To </w:t>
      </w:r>
      <w:r w:rsidRPr="00BE1E61">
        <w:rPr>
          <w:rFonts w:cstheme="minorHAnsi"/>
          <w:color w:val="231F20"/>
          <w:w w:val="105"/>
        </w:rPr>
        <w:t>promote a system that maximizes educational access and allows the opportunity for a</w:t>
      </w:r>
      <w:r w:rsidRPr="00BE1E61">
        <w:rPr>
          <w:rFonts w:cstheme="minorHAnsi"/>
          <w:color w:val="231F20"/>
          <w:spacing w:val="3"/>
          <w:w w:val="105"/>
        </w:rPr>
        <w:t xml:space="preserve"> </w:t>
      </w:r>
      <w:r w:rsidRPr="00BE1E61">
        <w:rPr>
          <w:rFonts w:cstheme="minorHAnsi"/>
          <w:color w:val="231F20"/>
          <w:w w:val="105"/>
        </w:rPr>
        <w:t>high</w:t>
      </w:r>
      <w:r w:rsidRPr="00BE1E61">
        <w:rPr>
          <w:rFonts w:cstheme="minorHAnsi"/>
          <w:color w:val="231F20"/>
          <w:w w:val="108"/>
        </w:rPr>
        <w:t>-quality</w:t>
      </w:r>
      <w:r w:rsidRPr="00BE1E61">
        <w:rPr>
          <w:rFonts w:cstheme="minorHAnsi"/>
          <w:color w:val="231F20"/>
          <w:w w:val="105"/>
        </w:rPr>
        <w:t xml:space="preserve"> education for all</w:t>
      </w:r>
      <w:r w:rsidRPr="00BE1E61">
        <w:rPr>
          <w:rFonts w:cstheme="minorHAnsi"/>
          <w:color w:val="231F20"/>
          <w:spacing w:val="18"/>
          <w:w w:val="105"/>
        </w:rPr>
        <w:t xml:space="preserve"> </w:t>
      </w:r>
      <w:r w:rsidRPr="00BE1E61">
        <w:rPr>
          <w:rFonts w:cstheme="minorHAnsi"/>
          <w:color w:val="231F20"/>
          <w:w w:val="105"/>
        </w:rPr>
        <w:t>Floridians;</w:t>
      </w:r>
    </w:p>
    <w:p w14:paraId="2A165DB3" w14:textId="7414584C" w:rsidR="00BE1E61" w:rsidRDefault="00BE1E61" w:rsidP="00D63204">
      <w:pPr>
        <w:pStyle w:val="ListParagraph"/>
        <w:widowControl w:val="0"/>
        <w:spacing w:before="83" w:after="0" w:line="240" w:lineRule="auto"/>
        <w:ind w:left="827"/>
        <w:rPr>
          <w:rFonts w:cstheme="minorHAnsi"/>
          <w:color w:val="231F20"/>
        </w:rPr>
      </w:pPr>
    </w:p>
    <w:p w14:paraId="03B8EAA8" w14:textId="77777777" w:rsidR="00D71986" w:rsidRPr="00D71986" w:rsidRDefault="00D71986" w:rsidP="00D63204">
      <w:pPr>
        <w:pStyle w:val="ListParagraph"/>
        <w:widowControl w:val="0"/>
        <w:numPr>
          <w:ilvl w:val="0"/>
          <w:numId w:val="24"/>
        </w:numPr>
        <w:spacing w:before="90" w:after="0" w:line="240" w:lineRule="auto"/>
        <w:rPr>
          <w:rFonts w:cstheme="minorHAnsi"/>
          <w:color w:val="231F20"/>
        </w:rPr>
      </w:pPr>
      <w:r w:rsidRPr="00D71986">
        <w:rPr>
          <w:rFonts w:cstheme="minorHAnsi"/>
          <w:color w:val="231F20"/>
          <w:spacing w:val="-12"/>
          <w:w w:val="105"/>
        </w:rPr>
        <w:t xml:space="preserve">To </w:t>
      </w:r>
      <w:r w:rsidRPr="00D71986">
        <w:rPr>
          <w:rFonts w:cstheme="minorHAnsi"/>
          <w:color w:val="231F20"/>
          <w:w w:val="105"/>
        </w:rPr>
        <w:t>promote a system of coordinated and consistent transfer of credit and data collection</w:t>
      </w:r>
      <w:r w:rsidRPr="00D71986">
        <w:rPr>
          <w:rFonts w:cstheme="minorHAnsi"/>
          <w:color w:val="231F20"/>
          <w:spacing w:val="10"/>
          <w:w w:val="105"/>
        </w:rPr>
        <w:t xml:space="preserve"> </w:t>
      </w:r>
      <w:r w:rsidRPr="00D71986">
        <w:rPr>
          <w:rFonts w:cstheme="minorHAnsi"/>
          <w:color w:val="231F20"/>
          <w:w w:val="105"/>
        </w:rPr>
        <w:t>for</w:t>
      </w:r>
      <w:r w:rsidRPr="00D71986">
        <w:rPr>
          <w:rFonts w:cstheme="minorHAnsi"/>
          <w:color w:val="231F20"/>
        </w:rPr>
        <w:t xml:space="preserve"> </w:t>
      </w:r>
      <w:r w:rsidRPr="00D71986">
        <w:rPr>
          <w:rFonts w:cstheme="minorHAnsi"/>
          <w:color w:val="231F20"/>
          <w:w w:val="105"/>
        </w:rPr>
        <w:t>improved accountability purposes between education delivery</w:t>
      </w:r>
      <w:r w:rsidRPr="00D71986">
        <w:rPr>
          <w:rFonts w:cstheme="minorHAnsi"/>
          <w:color w:val="231F20"/>
          <w:spacing w:val="45"/>
          <w:w w:val="105"/>
        </w:rPr>
        <w:t xml:space="preserve"> </w:t>
      </w:r>
      <w:r w:rsidRPr="00D71986">
        <w:rPr>
          <w:rFonts w:cstheme="minorHAnsi"/>
          <w:color w:val="231F20"/>
          <w:w w:val="105"/>
        </w:rPr>
        <w:t>systems.</w:t>
      </w:r>
    </w:p>
    <w:p w14:paraId="26716B83" w14:textId="469C2F94" w:rsidR="00623274" w:rsidRPr="00545606" w:rsidRDefault="00D71986" w:rsidP="00D63204">
      <w:pPr>
        <w:spacing w:line="240" w:lineRule="auto"/>
        <w:ind w:left="107"/>
        <w:rPr>
          <w:rFonts w:cstheme="minorHAnsi"/>
        </w:rPr>
      </w:pPr>
      <w:r>
        <w:rPr>
          <w:rFonts w:cstheme="minorHAnsi"/>
        </w:rPr>
        <w:br/>
      </w:r>
      <w:r w:rsidR="00623274" w:rsidRPr="00545606">
        <w:rPr>
          <w:rFonts w:cstheme="minorHAnsi"/>
        </w:rPr>
        <w:t xml:space="preserve">The council’s work is consistent with WIOA’s intent of bolstering strategic coordination among core programs for skills development to ensure local communities, the state and nation continue to build and maintain a competitive workforce. </w:t>
      </w:r>
    </w:p>
    <w:p w14:paraId="683640CD" w14:textId="71E7C0AB" w:rsidR="00623274" w:rsidRPr="00E06806" w:rsidRDefault="00623274" w:rsidP="00D63204">
      <w:pPr>
        <w:spacing w:line="240" w:lineRule="auto"/>
        <w:ind w:left="107"/>
        <w:rPr>
          <w:rFonts w:cstheme="minorHAnsi"/>
        </w:rPr>
      </w:pPr>
      <w:r w:rsidRPr="00545606">
        <w:rPr>
          <w:rFonts w:cstheme="minorHAnsi"/>
        </w:rPr>
        <w:t xml:space="preserve">For example, through the council’s leadership, in November 2016, Florida joined a growing number of states that adopted a postsecondary attainment goal. Florida’s goal: </w:t>
      </w:r>
      <w:r w:rsidRPr="00E06806">
        <w:rPr>
          <w:rFonts w:cstheme="minorHAnsi"/>
        </w:rPr>
        <w:t>By 2025, 55 percent of Floridians ages 25 to 64 will attain a postsecondary certificate or degree.</w:t>
      </w:r>
    </w:p>
    <w:p w14:paraId="0460EBDE" w14:textId="1FC41D47" w:rsidR="00623274" w:rsidRPr="00E06806" w:rsidRDefault="00623274" w:rsidP="00D63204">
      <w:pPr>
        <w:spacing w:line="240" w:lineRule="auto"/>
        <w:ind w:left="107"/>
        <w:rPr>
          <w:rFonts w:cstheme="minorHAnsi"/>
        </w:rPr>
      </w:pPr>
      <w:r w:rsidRPr="00E06806">
        <w:rPr>
          <w:rFonts w:cstheme="minorHAnsi"/>
        </w:rPr>
        <w:t>Florida currently ranks 21</w:t>
      </w:r>
      <w:r w:rsidRPr="00545606">
        <w:rPr>
          <w:rFonts w:cstheme="minorHAnsi"/>
        </w:rPr>
        <w:t>st</w:t>
      </w:r>
      <w:r w:rsidRPr="00E06806">
        <w:rPr>
          <w:rFonts w:cstheme="minorHAnsi"/>
        </w:rPr>
        <w:t xml:space="preserve"> among the 50 states for education attainment beyond high school with 47 percent of work-age residents holding a postsecondary credential</w:t>
      </w:r>
      <w:r w:rsidR="005E7C49">
        <w:rPr>
          <w:rFonts w:cstheme="minorHAnsi"/>
        </w:rPr>
        <w:t xml:space="preserve">. </w:t>
      </w:r>
      <w:r w:rsidRPr="00E06806">
        <w:rPr>
          <w:rFonts w:cstheme="minorHAnsi"/>
        </w:rPr>
        <w:t>However, by 2025, labor market estimates indicate more than 60 percent of jobs in Florida will require a postsecondary degree or certificate.</w:t>
      </w:r>
    </w:p>
    <w:p w14:paraId="15454CA3" w14:textId="7FFF54D6" w:rsidR="00623274" w:rsidRPr="00E06806" w:rsidRDefault="00623274" w:rsidP="00D63204">
      <w:pPr>
        <w:spacing w:line="240" w:lineRule="auto"/>
        <w:ind w:left="107"/>
        <w:rPr>
          <w:rFonts w:cstheme="minorHAnsi"/>
        </w:rPr>
      </w:pPr>
      <w:r w:rsidRPr="00E06806">
        <w:rPr>
          <w:rFonts w:cstheme="minorHAnsi"/>
        </w:rPr>
        <w:t>To address the attainment gap, the council has developed the Rise to 55 public campaign to help raise awareness, generate buy-in from stakeholders and the public</w:t>
      </w:r>
      <w:r w:rsidR="00D5537E">
        <w:rPr>
          <w:rFonts w:cstheme="minorHAnsi"/>
        </w:rPr>
        <w:t xml:space="preserve"> and</w:t>
      </w:r>
      <w:r w:rsidRPr="00E06806">
        <w:rPr>
          <w:rFonts w:cstheme="minorHAnsi"/>
        </w:rPr>
        <w:t xml:space="preserve"> guide actions and investments to achieve the state goal. Along with the council, the Lumina Foundation and the Helios Education Foundation, the CareerSource Florida network is a partner in leading this initiative. The CareerSource Florida network is well positioned to help identify the training needs of key sectors that will require certificate-level and higher education and training. And, because of their effective convening role and access to relevant labor market data, workforce boards can help connect education systems with the businesses and business intelligence needed to make key decisions and investments that improve attainment and respond to marketplace needs, today and in the future.</w:t>
      </w:r>
    </w:p>
    <w:p w14:paraId="0A2CEA51" w14:textId="693A5F39" w:rsidR="00EA7458" w:rsidRPr="00E06806" w:rsidRDefault="00623274" w:rsidP="00D63204">
      <w:pPr>
        <w:widowControl w:val="0"/>
        <w:spacing w:before="2" w:after="0" w:line="240" w:lineRule="auto"/>
        <w:ind w:left="107"/>
        <w:rPr>
          <w:rFonts w:cstheme="minorHAnsi"/>
        </w:rPr>
      </w:pPr>
      <w:r w:rsidRPr="00E06806">
        <w:rPr>
          <w:rFonts w:cstheme="minorHAnsi"/>
        </w:rPr>
        <w:t xml:space="preserve">Included in the collective work to support the Rise to 55 campaign and achievement of the state goal are plans underway for a series of regional convenings across the state to raise awareness and identify champions to help lead communities to develop and implement regional attainment goals and workplans in support of the overarching state goal. Workforce boards are participating in the convenings to ensure alignment with priorities such as sector partnerships to achieve common goals. Workforce boards </w:t>
      </w:r>
      <w:r w:rsidR="00E840CE">
        <w:rPr>
          <w:rFonts w:cstheme="minorHAnsi"/>
        </w:rPr>
        <w:t xml:space="preserve">work </w:t>
      </w:r>
      <w:r w:rsidRPr="00E06806">
        <w:rPr>
          <w:rFonts w:cstheme="minorHAnsi"/>
        </w:rPr>
        <w:t>closely with their business customers and partners to ensure business leaders are part of the team helping to strategize and realize progress toward achieving regional and state attainment goals.</w:t>
      </w:r>
    </w:p>
    <w:p w14:paraId="7825E676" w14:textId="6CB01264" w:rsidR="00EA7458" w:rsidRPr="00E06806" w:rsidRDefault="00E20C8F" w:rsidP="00D63204">
      <w:pPr>
        <w:widowControl w:val="0"/>
        <w:spacing w:after="0" w:line="240" w:lineRule="auto"/>
        <w:ind w:left="107"/>
        <w:outlineLvl w:val="2"/>
        <w:rPr>
          <w:rFonts w:cstheme="minorHAnsi"/>
        </w:rPr>
      </w:pPr>
      <w:r>
        <w:rPr>
          <w:rFonts w:cstheme="minorHAnsi"/>
          <w:b/>
          <w:bCs/>
          <w:color w:val="231F20"/>
          <w:w w:val="110"/>
        </w:rPr>
        <w:br/>
      </w:r>
      <w:r w:rsidR="00EA7458" w:rsidRPr="00E06806">
        <w:rPr>
          <w:rFonts w:cstheme="minorHAnsi"/>
          <w:b/>
          <w:bCs/>
          <w:color w:val="231F20"/>
          <w:w w:val="110"/>
        </w:rPr>
        <w:t xml:space="preserve">Blending Academics with Career and </w:t>
      </w:r>
      <w:r w:rsidR="00EA7458" w:rsidRPr="00E06806">
        <w:rPr>
          <w:rFonts w:cstheme="minorHAnsi"/>
          <w:b/>
          <w:bCs/>
          <w:color w:val="231F20"/>
          <w:spacing w:val="-3"/>
          <w:w w:val="110"/>
        </w:rPr>
        <w:t>Technical</w:t>
      </w:r>
      <w:r w:rsidR="00EA7458" w:rsidRPr="00E06806">
        <w:rPr>
          <w:rFonts w:cstheme="minorHAnsi"/>
          <w:b/>
          <w:bCs/>
          <w:color w:val="231F20"/>
          <w:spacing w:val="22"/>
          <w:w w:val="110"/>
        </w:rPr>
        <w:t xml:space="preserve"> </w:t>
      </w:r>
      <w:r w:rsidR="00EA7458" w:rsidRPr="00E06806">
        <w:rPr>
          <w:rFonts w:cstheme="minorHAnsi"/>
          <w:b/>
          <w:bCs/>
          <w:color w:val="231F20"/>
          <w:w w:val="110"/>
        </w:rPr>
        <w:t>Education</w:t>
      </w:r>
    </w:p>
    <w:p w14:paraId="2FBB84AF" w14:textId="211AA600" w:rsidR="00503CE8" w:rsidRDefault="00545606" w:rsidP="00B97EEE">
      <w:pPr>
        <w:widowControl w:val="0"/>
        <w:spacing w:before="2" w:after="0" w:line="240" w:lineRule="auto"/>
        <w:ind w:left="107"/>
        <w:rPr>
          <w:rFonts w:cstheme="minorHAnsi"/>
          <w:sz w:val="14"/>
          <w:szCs w:val="14"/>
        </w:rPr>
      </w:pPr>
      <w:r w:rsidRPr="00545606">
        <w:rPr>
          <w:rFonts w:cstheme="minorHAnsi"/>
        </w:rPr>
        <w:t>The VR Transition Youth program coordinates with state and local education agencies and officials to collaboratively offer youth with disabilities opportunities to gain work experiences that help them prepare for careers in the 21st century. Collaborations such as High School High Tech, Project SEARCH, Third Party Cooperative Arrangements and Postsecondary Education programs engage youth in both classroom and practical instruction that blends acquisition of certificates and work skills that align with occupations available through Career and Technical Education. Hands-on career exploration and preparation activities where learned skills, attitudes</w:t>
      </w:r>
      <w:r w:rsidR="00D5537E">
        <w:rPr>
          <w:rFonts w:cstheme="minorHAnsi"/>
        </w:rPr>
        <w:t xml:space="preserve"> and</w:t>
      </w:r>
      <w:r w:rsidRPr="00545606">
        <w:rPr>
          <w:rFonts w:cstheme="minorHAnsi"/>
        </w:rPr>
        <w:t xml:space="preserve"> behaviors can be applied in practical or </w:t>
      </w:r>
      <w:r w:rsidR="00E378EA" w:rsidRPr="00545606">
        <w:rPr>
          <w:rFonts w:cstheme="minorHAnsi"/>
        </w:rPr>
        <w:t>real-world</w:t>
      </w:r>
      <w:r w:rsidRPr="00545606">
        <w:rPr>
          <w:rFonts w:cstheme="minorHAnsi"/>
        </w:rPr>
        <w:t xml:space="preserve"> situations help youth to become and stay engaged</w:t>
      </w:r>
      <w:r>
        <w:rPr>
          <w:rFonts w:cstheme="minorHAnsi"/>
        </w:rPr>
        <w:t>.</w:t>
      </w:r>
      <w:r w:rsidR="00B97EEE">
        <w:rPr>
          <w:rFonts w:cstheme="minorHAnsi"/>
        </w:rPr>
        <w:t xml:space="preserve"> </w:t>
      </w:r>
      <w:r w:rsidR="00503CE8">
        <w:rPr>
          <w:rFonts w:cstheme="minorHAnsi"/>
          <w:sz w:val="14"/>
          <w:szCs w:val="14"/>
        </w:rPr>
        <w:br w:type="page"/>
      </w:r>
    </w:p>
    <w:p w14:paraId="648385D4" w14:textId="77777777" w:rsidR="00EA7458" w:rsidRPr="00E06806" w:rsidRDefault="00EA7458" w:rsidP="00D63204">
      <w:pPr>
        <w:widowControl w:val="0"/>
        <w:spacing w:before="4" w:after="0" w:line="240" w:lineRule="auto"/>
        <w:ind w:left="107"/>
        <w:rPr>
          <w:rFonts w:cstheme="minorHAnsi"/>
          <w:sz w:val="14"/>
          <w:szCs w:val="14"/>
        </w:rPr>
      </w:pPr>
    </w:p>
    <w:p w14:paraId="47DE041E" w14:textId="4CAF1879" w:rsidR="00EA7458" w:rsidRPr="00E06806" w:rsidRDefault="00EA7458" w:rsidP="00D63204">
      <w:pPr>
        <w:widowControl w:val="0"/>
        <w:spacing w:before="57" w:after="0" w:line="240" w:lineRule="auto"/>
        <w:ind w:left="107"/>
        <w:outlineLvl w:val="2"/>
        <w:rPr>
          <w:rFonts w:cstheme="minorHAnsi"/>
        </w:rPr>
      </w:pPr>
      <w:r w:rsidRPr="00E06806">
        <w:rPr>
          <w:rFonts w:cstheme="minorHAnsi"/>
          <w:b/>
          <w:bCs/>
          <w:color w:val="231F20"/>
          <w:w w:val="110"/>
        </w:rPr>
        <w:t>Collaborating with Florida’s Universities and</w:t>
      </w:r>
      <w:r w:rsidRPr="00E06806">
        <w:rPr>
          <w:rFonts w:cstheme="minorHAnsi"/>
          <w:b/>
          <w:bCs/>
          <w:color w:val="231F20"/>
          <w:spacing w:val="-20"/>
          <w:w w:val="110"/>
        </w:rPr>
        <w:t xml:space="preserve"> </w:t>
      </w:r>
      <w:r w:rsidRPr="00E06806">
        <w:rPr>
          <w:rFonts w:cstheme="minorHAnsi"/>
          <w:b/>
          <w:bCs/>
          <w:color w:val="231F20"/>
          <w:w w:val="110"/>
        </w:rPr>
        <w:t>Colleges</w:t>
      </w:r>
    </w:p>
    <w:p w14:paraId="368E67C0" w14:textId="17F05D96" w:rsidR="00EA7458" w:rsidRPr="00E06806" w:rsidRDefault="00EA7458" w:rsidP="00D63204">
      <w:pPr>
        <w:widowControl w:val="0"/>
        <w:spacing w:before="2" w:after="0" w:line="240" w:lineRule="auto"/>
        <w:ind w:left="107"/>
        <w:rPr>
          <w:rFonts w:cstheme="minorHAnsi"/>
          <w:color w:val="231F20"/>
          <w:w w:val="105"/>
        </w:rPr>
      </w:pPr>
      <w:r w:rsidRPr="00E06806">
        <w:rPr>
          <w:rFonts w:cstheme="minorHAnsi"/>
          <w:color w:val="231F20"/>
          <w:w w:val="105"/>
        </w:rPr>
        <w:t>FDBS</w:t>
      </w:r>
      <w:r w:rsidRPr="00E06806">
        <w:rPr>
          <w:rFonts w:cstheme="minorHAnsi"/>
          <w:color w:val="231F20"/>
          <w:spacing w:val="14"/>
          <w:w w:val="105"/>
        </w:rPr>
        <w:t xml:space="preserve"> </w:t>
      </w:r>
      <w:r w:rsidRPr="00E06806">
        <w:rPr>
          <w:rFonts w:cstheme="minorHAnsi"/>
          <w:color w:val="231F20"/>
          <w:w w:val="105"/>
        </w:rPr>
        <w:t>consult</w:t>
      </w:r>
      <w:r w:rsidR="0055580B" w:rsidRPr="00E06806">
        <w:rPr>
          <w:rFonts w:cstheme="minorHAnsi"/>
          <w:color w:val="231F20"/>
          <w:w w:val="105"/>
        </w:rPr>
        <w:t>ed</w:t>
      </w:r>
      <w:r w:rsidRPr="00E06806">
        <w:rPr>
          <w:rFonts w:cstheme="minorHAnsi"/>
          <w:color w:val="231F20"/>
          <w:spacing w:val="14"/>
          <w:w w:val="105"/>
        </w:rPr>
        <w:t xml:space="preserve"> </w:t>
      </w:r>
      <w:r w:rsidRPr="00E06806">
        <w:rPr>
          <w:rFonts w:cstheme="minorHAnsi"/>
          <w:color w:val="231F20"/>
          <w:w w:val="105"/>
        </w:rPr>
        <w:t>with</w:t>
      </w:r>
      <w:r w:rsidRPr="00E06806">
        <w:rPr>
          <w:rFonts w:cstheme="minorHAnsi"/>
          <w:color w:val="231F20"/>
          <w:spacing w:val="14"/>
          <w:w w:val="105"/>
        </w:rPr>
        <w:t xml:space="preserve"> </w:t>
      </w:r>
      <w:r w:rsidRPr="00E06806">
        <w:rPr>
          <w:rFonts w:cstheme="minorHAnsi"/>
          <w:color w:val="231F20"/>
          <w:w w:val="105"/>
        </w:rPr>
        <w:t>the</w:t>
      </w:r>
      <w:r w:rsidRPr="00E06806">
        <w:rPr>
          <w:rFonts w:cstheme="minorHAnsi"/>
          <w:color w:val="231F20"/>
          <w:spacing w:val="14"/>
          <w:w w:val="105"/>
        </w:rPr>
        <w:t xml:space="preserve"> </w:t>
      </w:r>
      <w:r w:rsidRPr="00E06806">
        <w:rPr>
          <w:rFonts w:cstheme="minorHAnsi"/>
          <w:color w:val="231F20"/>
          <w:w w:val="105"/>
        </w:rPr>
        <w:t>university</w:t>
      </w:r>
      <w:r w:rsidRPr="00E06806">
        <w:rPr>
          <w:rFonts w:cstheme="minorHAnsi"/>
          <w:color w:val="231F20"/>
          <w:spacing w:val="14"/>
          <w:w w:val="105"/>
        </w:rPr>
        <w:t xml:space="preserve"> </w:t>
      </w:r>
      <w:r w:rsidRPr="00E06806">
        <w:rPr>
          <w:rFonts w:cstheme="minorHAnsi"/>
          <w:color w:val="231F20"/>
          <w:w w:val="105"/>
        </w:rPr>
        <w:t>system</w:t>
      </w:r>
      <w:r w:rsidRPr="00E06806">
        <w:rPr>
          <w:rFonts w:cstheme="minorHAnsi"/>
          <w:color w:val="231F20"/>
          <w:spacing w:val="14"/>
          <w:w w:val="105"/>
        </w:rPr>
        <w:t xml:space="preserve"> </w:t>
      </w:r>
      <w:r w:rsidRPr="00E06806">
        <w:rPr>
          <w:rFonts w:cstheme="minorHAnsi"/>
          <w:color w:val="231F20"/>
          <w:w w:val="105"/>
        </w:rPr>
        <w:t>to</w:t>
      </w:r>
      <w:r w:rsidRPr="00E06806">
        <w:rPr>
          <w:rFonts w:cstheme="minorHAnsi"/>
          <w:color w:val="231F20"/>
          <w:spacing w:val="14"/>
          <w:w w:val="105"/>
        </w:rPr>
        <w:t xml:space="preserve"> </w:t>
      </w:r>
      <w:r w:rsidRPr="00E06806">
        <w:rPr>
          <w:rFonts w:cstheme="minorHAnsi"/>
          <w:color w:val="231F20"/>
          <w:w w:val="105"/>
        </w:rPr>
        <w:t>coordinate</w:t>
      </w:r>
      <w:r w:rsidRPr="00E06806">
        <w:rPr>
          <w:rFonts w:cstheme="minorHAnsi"/>
          <w:color w:val="231F20"/>
          <w:spacing w:val="14"/>
          <w:w w:val="105"/>
        </w:rPr>
        <w:t xml:space="preserve"> </w:t>
      </w:r>
      <w:r w:rsidRPr="00E06806">
        <w:rPr>
          <w:rFonts w:cstheme="minorHAnsi"/>
          <w:color w:val="231F20"/>
          <w:w w:val="105"/>
        </w:rPr>
        <w:t>and</w:t>
      </w:r>
      <w:r w:rsidRPr="00E06806">
        <w:rPr>
          <w:rFonts w:cstheme="minorHAnsi"/>
          <w:color w:val="231F20"/>
          <w:spacing w:val="14"/>
          <w:w w:val="105"/>
        </w:rPr>
        <w:t xml:space="preserve"> </w:t>
      </w:r>
      <w:r w:rsidRPr="00E06806">
        <w:rPr>
          <w:rFonts w:cstheme="minorHAnsi"/>
          <w:color w:val="231F20"/>
          <w:w w:val="105"/>
        </w:rPr>
        <w:t>provide</w:t>
      </w:r>
      <w:r w:rsidRPr="00E06806">
        <w:rPr>
          <w:rFonts w:cstheme="minorHAnsi"/>
          <w:color w:val="231F20"/>
          <w:spacing w:val="14"/>
          <w:w w:val="105"/>
        </w:rPr>
        <w:t xml:space="preserve"> </w:t>
      </w:r>
      <w:r w:rsidRPr="00E06806">
        <w:rPr>
          <w:rFonts w:cstheme="minorHAnsi"/>
          <w:color w:val="231F20"/>
          <w:w w:val="105"/>
        </w:rPr>
        <w:t>technical</w:t>
      </w:r>
      <w:r w:rsidRPr="00E06806">
        <w:rPr>
          <w:rFonts w:cstheme="minorHAnsi"/>
          <w:color w:val="231F20"/>
          <w:spacing w:val="14"/>
          <w:w w:val="105"/>
        </w:rPr>
        <w:t xml:space="preserve"> </w:t>
      </w:r>
      <w:r w:rsidRPr="00E06806">
        <w:rPr>
          <w:rFonts w:cstheme="minorHAnsi"/>
          <w:color w:val="231F20"/>
          <w:w w:val="105"/>
        </w:rPr>
        <w:t>assistance</w:t>
      </w:r>
      <w:r w:rsidRPr="00E06806">
        <w:rPr>
          <w:rFonts w:cstheme="minorHAnsi"/>
          <w:color w:val="231F20"/>
          <w:spacing w:val="14"/>
          <w:w w:val="105"/>
        </w:rPr>
        <w:t xml:space="preserve"> </w:t>
      </w:r>
      <w:r w:rsidRPr="00E06806">
        <w:rPr>
          <w:rFonts w:cstheme="minorHAnsi"/>
          <w:color w:val="231F20"/>
          <w:w w:val="105"/>
        </w:rPr>
        <w:t>to</w:t>
      </w:r>
      <w:r w:rsidRPr="00E06806">
        <w:rPr>
          <w:rFonts w:cstheme="minorHAnsi"/>
          <w:color w:val="231F20"/>
          <w:spacing w:val="14"/>
          <w:w w:val="105"/>
        </w:rPr>
        <w:t xml:space="preserve"> </w:t>
      </w:r>
      <w:r w:rsidRPr="00E06806">
        <w:rPr>
          <w:rFonts w:cstheme="minorHAnsi"/>
          <w:color w:val="231F20"/>
          <w:w w:val="105"/>
        </w:rPr>
        <w:t>each</w:t>
      </w:r>
      <w:r w:rsidRPr="00E06806">
        <w:rPr>
          <w:rFonts w:cstheme="minorHAnsi"/>
          <w:color w:val="231F20"/>
          <w:spacing w:val="-12"/>
          <w:w w:val="105"/>
        </w:rPr>
        <w:t xml:space="preserve"> </w:t>
      </w:r>
      <w:r w:rsidRPr="00E06806">
        <w:rPr>
          <w:rFonts w:cstheme="minorHAnsi"/>
          <w:color w:val="231F20"/>
          <w:w w:val="105"/>
        </w:rPr>
        <w:t>other and to students and their families/guardians/surrogates</w:t>
      </w:r>
      <w:r w:rsidR="0055580B" w:rsidRPr="00E06806">
        <w:rPr>
          <w:rFonts w:cstheme="minorHAnsi"/>
          <w:color w:val="231F20"/>
          <w:w w:val="105"/>
        </w:rPr>
        <w:t xml:space="preserve">. This enables </w:t>
      </w:r>
      <w:r w:rsidRPr="00E06806">
        <w:rPr>
          <w:rFonts w:cstheme="minorHAnsi"/>
          <w:color w:val="231F20"/>
          <w:w w:val="105"/>
        </w:rPr>
        <w:t>the student’s transition</w:t>
      </w:r>
      <w:r w:rsidR="0055580B" w:rsidRPr="00E06806">
        <w:rPr>
          <w:rFonts w:cstheme="minorHAnsi"/>
          <w:color w:val="231F20"/>
          <w:w w:val="105"/>
        </w:rPr>
        <w:t xml:space="preserve"> </w:t>
      </w:r>
      <w:r w:rsidRPr="00E06806">
        <w:rPr>
          <w:rFonts w:cstheme="minorHAnsi"/>
          <w:color w:val="231F20"/>
          <w:w w:val="105"/>
        </w:rPr>
        <w:t xml:space="preserve">from high school to postsecondary </w:t>
      </w:r>
      <w:r w:rsidR="0055580B" w:rsidRPr="00E06806">
        <w:rPr>
          <w:rFonts w:cstheme="minorHAnsi"/>
          <w:color w:val="231F20"/>
          <w:w w:val="105"/>
        </w:rPr>
        <w:t xml:space="preserve">education </w:t>
      </w:r>
      <w:r w:rsidRPr="00E06806">
        <w:rPr>
          <w:rFonts w:cstheme="minorHAnsi"/>
          <w:color w:val="231F20"/>
          <w:w w:val="105"/>
        </w:rPr>
        <w:t>activities and assimilation into the adult community. The intent of</w:t>
      </w:r>
      <w:r w:rsidRPr="00E06806">
        <w:rPr>
          <w:rFonts w:cstheme="minorHAnsi"/>
          <w:color w:val="231F20"/>
          <w:spacing w:val="41"/>
          <w:w w:val="105"/>
        </w:rPr>
        <w:t xml:space="preserve"> </w:t>
      </w:r>
      <w:r w:rsidRPr="00E06806">
        <w:rPr>
          <w:rFonts w:cstheme="minorHAnsi"/>
          <w:color w:val="231F20"/>
          <w:w w:val="105"/>
        </w:rPr>
        <w:t>the</w:t>
      </w:r>
      <w:r w:rsidRPr="00E06806">
        <w:rPr>
          <w:rFonts w:cstheme="minorHAnsi"/>
          <w:color w:val="231F20"/>
          <w:w w:val="103"/>
        </w:rPr>
        <w:t xml:space="preserve"> </w:t>
      </w:r>
      <w:r w:rsidRPr="00E06806">
        <w:rPr>
          <w:rFonts w:cstheme="minorHAnsi"/>
          <w:color w:val="231F20"/>
          <w:w w:val="105"/>
        </w:rPr>
        <w:t>university</w:t>
      </w:r>
      <w:r w:rsidRPr="00E06806">
        <w:rPr>
          <w:rFonts w:cstheme="minorHAnsi"/>
          <w:color w:val="231F20"/>
          <w:spacing w:val="16"/>
          <w:w w:val="105"/>
        </w:rPr>
        <w:t xml:space="preserve"> </w:t>
      </w:r>
      <w:r w:rsidRPr="00E06806">
        <w:rPr>
          <w:rFonts w:cstheme="minorHAnsi"/>
          <w:color w:val="231F20"/>
          <w:w w:val="105"/>
        </w:rPr>
        <w:t>system</w:t>
      </w:r>
      <w:r w:rsidRPr="00E06806">
        <w:rPr>
          <w:rFonts w:cstheme="minorHAnsi"/>
          <w:color w:val="231F20"/>
          <w:spacing w:val="16"/>
          <w:w w:val="105"/>
        </w:rPr>
        <w:t xml:space="preserve"> </w:t>
      </w:r>
      <w:r w:rsidRPr="00E06806">
        <w:rPr>
          <w:rFonts w:cstheme="minorHAnsi"/>
          <w:color w:val="231F20"/>
          <w:w w:val="105"/>
        </w:rPr>
        <w:t>agreement</w:t>
      </w:r>
      <w:r w:rsidRPr="00E06806">
        <w:rPr>
          <w:rFonts w:cstheme="minorHAnsi"/>
          <w:color w:val="231F20"/>
          <w:spacing w:val="16"/>
          <w:w w:val="105"/>
        </w:rPr>
        <w:t xml:space="preserve"> </w:t>
      </w:r>
      <w:r w:rsidR="0055580B" w:rsidRPr="00E06806">
        <w:rPr>
          <w:rFonts w:cstheme="minorHAnsi"/>
          <w:color w:val="231F20"/>
          <w:w w:val="105"/>
        </w:rPr>
        <w:t xml:space="preserve">is </w:t>
      </w:r>
      <w:r w:rsidRPr="00E06806">
        <w:rPr>
          <w:rFonts w:cstheme="minorHAnsi"/>
          <w:color w:val="231F20"/>
          <w:w w:val="105"/>
        </w:rPr>
        <w:t>to</w:t>
      </w:r>
      <w:r w:rsidRPr="00E06806">
        <w:rPr>
          <w:rFonts w:cstheme="minorHAnsi"/>
          <w:color w:val="231F20"/>
          <w:spacing w:val="16"/>
          <w:w w:val="105"/>
        </w:rPr>
        <w:t xml:space="preserve"> </w:t>
      </w:r>
      <w:r w:rsidRPr="00E06806">
        <w:rPr>
          <w:rFonts w:cstheme="minorHAnsi"/>
          <w:color w:val="231F20"/>
          <w:w w:val="105"/>
        </w:rPr>
        <w:t>establish</w:t>
      </w:r>
      <w:r w:rsidRPr="00E06806">
        <w:rPr>
          <w:rFonts w:cstheme="minorHAnsi"/>
          <w:color w:val="231F20"/>
          <w:spacing w:val="16"/>
          <w:w w:val="105"/>
        </w:rPr>
        <w:t xml:space="preserve"> </w:t>
      </w:r>
      <w:r w:rsidRPr="00E06806">
        <w:rPr>
          <w:rFonts w:cstheme="minorHAnsi"/>
          <w:color w:val="231F20"/>
          <w:w w:val="105"/>
        </w:rPr>
        <w:t>a</w:t>
      </w:r>
      <w:r w:rsidRPr="00E06806">
        <w:rPr>
          <w:rFonts w:cstheme="minorHAnsi"/>
          <w:color w:val="231F20"/>
          <w:spacing w:val="16"/>
          <w:w w:val="105"/>
        </w:rPr>
        <w:t xml:space="preserve"> </w:t>
      </w:r>
      <w:r w:rsidRPr="00E06806">
        <w:rPr>
          <w:rFonts w:cstheme="minorHAnsi"/>
          <w:color w:val="231F20"/>
          <w:w w:val="105"/>
        </w:rPr>
        <w:t>process</w:t>
      </w:r>
      <w:r w:rsidRPr="00E06806">
        <w:rPr>
          <w:rFonts w:cstheme="minorHAnsi"/>
          <w:color w:val="231F20"/>
          <w:spacing w:val="16"/>
          <w:w w:val="105"/>
        </w:rPr>
        <w:t xml:space="preserve"> </w:t>
      </w:r>
      <w:r w:rsidRPr="00E06806">
        <w:rPr>
          <w:rFonts w:cstheme="minorHAnsi"/>
          <w:color w:val="231F20"/>
          <w:w w:val="105"/>
        </w:rPr>
        <w:t>for</w:t>
      </w:r>
      <w:r w:rsidRPr="00E06806">
        <w:rPr>
          <w:rFonts w:cstheme="minorHAnsi"/>
          <w:color w:val="231F20"/>
          <w:spacing w:val="16"/>
          <w:w w:val="105"/>
        </w:rPr>
        <w:t xml:space="preserve"> </w:t>
      </w:r>
      <w:r w:rsidRPr="00E06806">
        <w:rPr>
          <w:rFonts w:cstheme="minorHAnsi"/>
          <w:color w:val="231F20"/>
          <w:w w:val="105"/>
        </w:rPr>
        <w:t>ensuring</w:t>
      </w:r>
      <w:r w:rsidRPr="00E06806">
        <w:rPr>
          <w:rFonts w:cstheme="minorHAnsi"/>
          <w:color w:val="231F20"/>
          <w:spacing w:val="16"/>
          <w:w w:val="105"/>
        </w:rPr>
        <w:t xml:space="preserve"> </w:t>
      </w:r>
      <w:r w:rsidRPr="00E06806">
        <w:rPr>
          <w:rFonts w:cstheme="minorHAnsi"/>
          <w:color w:val="231F20"/>
          <w:w w:val="105"/>
        </w:rPr>
        <w:t>accessibility,</w:t>
      </w:r>
      <w:r w:rsidRPr="00E06806">
        <w:rPr>
          <w:rFonts w:cstheme="minorHAnsi"/>
          <w:color w:val="231F20"/>
          <w:spacing w:val="16"/>
          <w:w w:val="105"/>
        </w:rPr>
        <w:t xml:space="preserve"> </w:t>
      </w:r>
      <w:r w:rsidRPr="00E06806">
        <w:rPr>
          <w:rFonts w:cstheme="minorHAnsi"/>
          <w:color w:val="231F20"/>
          <w:w w:val="105"/>
        </w:rPr>
        <w:t>support,</w:t>
      </w:r>
      <w:r w:rsidRPr="00E06806">
        <w:rPr>
          <w:rFonts w:cstheme="minorHAnsi"/>
          <w:color w:val="231F20"/>
          <w:spacing w:val="16"/>
          <w:w w:val="105"/>
        </w:rPr>
        <w:t xml:space="preserve"> </w:t>
      </w:r>
      <w:r w:rsidRPr="00E06806">
        <w:rPr>
          <w:rFonts w:cstheme="minorHAnsi"/>
          <w:color w:val="231F20"/>
          <w:w w:val="105"/>
        </w:rPr>
        <w:t>education</w:t>
      </w:r>
      <w:r w:rsidRPr="00E06806">
        <w:rPr>
          <w:rFonts w:cstheme="minorHAnsi"/>
          <w:color w:val="231F20"/>
          <w:spacing w:val="-47"/>
          <w:w w:val="105"/>
        </w:rPr>
        <w:t xml:space="preserve"> </w:t>
      </w:r>
      <w:r w:rsidRPr="00E06806">
        <w:rPr>
          <w:rFonts w:cstheme="minorHAnsi"/>
          <w:color w:val="231F20"/>
          <w:w w:val="105"/>
        </w:rPr>
        <w:t>and training of staff related to Americans with Disabilities Act regulations.</w:t>
      </w:r>
      <w:r w:rsidR="00B476CA" w:rsidRPr="00E06806">
        <w:rPr>
          <w:rFonts w:cstheme="minorHAnsi"/>
          <w:color w:val="231F20"/>
          <w:w w:val="105"/>
        </w:rPr>
        <w:t xml:space="preserve"> </w:t>
      </w:r>
    </w:p>
    <w:p w14:paraId="4899FF5C" w14:textId="3B759ECE" w:rsidR="00B476CA" w:rsidRPr="00E06806" w:rsidRDefault="00B476CA" w:rsidP="00D63204">
      <w:pPr>
        <w:widowControl w:val="0"/>
        <w:spacing w:before="2" w:after="0" w:line="240" w:lineRule="auto"/>
        <w:ind w:left="107"/>
        <w:rPr>
          <w:rFonts w:cstheme="minorHAnsi"/>
          <w:color w:val="231F20"/>
          <w:w w:val="105"/>
        </w:rPr>
      </w:pPr>
    </w:p>
    <w:p w14:paraId="08D5955C" w14:textId="41BFE7C2" w:rsidR="00545606" w:rsidRDefault="00D71986" w:rsidP="00E30306">
      <w:pPr>
        <w:spacing w:line="240" w:lineRule="auto"/>
        <w:ind w:left="107"/>
        <w:rPr>
          <w:rFonts w:cstheme="minorHAnsi"/>
          <w:color w:val="231F20"/>
          <w:w w:val="105"/>
        </w:rPr>
      </w:pPr>
      <w:r w:rsidRPr="00D71986">
        <w:rPr>
          <w:rFonts w:cstheme="minorHAnsi"/>
          <w:color w:val="231F20"/>
          <w:w w:val="105"/>
        </w:rPr>
        <w:t>During the annual VR training conducted October 9-13, 2017, Chris Mullen, Executive Vice Chancellor for Colleges and Universities, provided information regarding the “Find My College Major” initiative. This initiative offers a website as a single point of reference for individuals seeking information on Florida’s colleges and courses/degrees. Chancellor for Career and Adult Education Rod Duckworth provided training on career pathways to FDBS staff.</w:t>
      </w:r>
    </w:p>
    <w:p w14:paraId="1A3BD41B" w14:textId="77777777" w:rsidR="00545606" w:rsidRDefault="00EA7458" w:rsidP="00D63204">
      <w:pPr>
        <w:spacing w:after="0" w:line="240" w:lineRule="auto"/>
        <w:ind w:left="107"/>
        <w:rPr>
          <w:rFonts w:cstheme="minorHAnsi"/>
          <w:b/>
          <w:bCs/>
          <w:color w:val="231F20"/>
          <w:w w:val="110"/>
        </w:rPr>
      </w:pPr>
      <w:r w:rsidRPr="00E06806">
        <w:rPr>
          <w:rFonts w:cstheme="minorHAnsi"/>
          <w:b/>
          <w:bCs/>
          <w:color w:val="231F20"/>
          <w:w w:val="110"/>
        </w:rPr>
        <w:t>Facilitating Postsecondary</w:t>
      </w:r>
      <w:r w:rsidRPr="00E06806">
        <w:rPr>
          <w:rFonts w:cstheme="minorHAnsi"/>
          <w:b/>
          <w:bCs/>
          <w:color w:val="231F20"/>
          <w:spacing w:val="-3"/>
          <w:w w:val="110"/>
        </w:rPr>
        <w:t xml:space="preserve"> </w:t>
      </w:r>
      <w:r w:rsidRPr="00E06806">
        <w:rPr>
          <w:rFonts w:cstheme="minorHAnsi"/>
          <w:b/>
          <w:bCs/>
          <w:color w:val="231F20"/>
          <w:w w:val="110"/>
        </w:rPr>
        <w:t>Education</w:t>
      </w:r>
    </w:p>
    <w:p w14:paraId="70E42B87" w14:textId="56AFF69B" w:rsidR="00545606" w:rsidRDefault="00EA7458" w:rsidP="00D63204">
      <w:pPr>
        <w:spacing w:after="0" w:line="240" w:lineRule="auto"/>
        <w:ind w:left="107"/>
        <w:rPr>
          <w:rFonts w:cstheme="minorHAnsi"/>
          <w:color w:val="231F20"/>
          <w:w w:val="105"/>
        </w:rPr>
      </w:pPr>
      <w:r w:rsidRPr="00E06806">
        <w:rPr>
          <w:rFonts w:cstheme="minorHAnsi"/>
          <w:color w:val="231F20"/>
          <w:w w:val="105"/>
        </w:rPr>
        <w:t>VR</w:t>
      </w:r>
      <w:r w:rsidRPr="00E20C8F">
        <w:rPr>
          <w:rFonts w:cstheme="minorHAnsi"/>
          <w:color w:val="231F20"/>
          <w:w w:val="105"/>
        </w:rPr>
        <w:t xml:space="preserve"> </w:t>
      </w:r>
      <w:r w:rsidRPr="00E06806">
        <w:rPr>
          <w:rFonts w:cstheme="minorHAnsi"/>
          <w:color w:val="231F20"/>
          <w:w w:val="105"/>
        </w:rPr>
        <w:t>has</w:t>
      </w:r>
      <w:r w:rsidRPr="00E20C8F">
        <w:rPr>
          <w:rFonts w:cstheme="minorHAnsi"/>
          <w:color w:val="231F20"/>
          <w:w w:val="105"/>
        </w:rPr>
        <w:t xml:space="preserve"> </w:t>
      </w:r>
      <w:r w:rsidRPr="00E06806">
        <w:rPr>
          <w:rFonts w:cstheme="minorHAnsi"/>
          <w:color w:val="231F20"/>
          <w:w w:val="105"/>
        </w:rPr>
        <w:t>an</w:t>
      </w:r>
      <w:r w:rsidRPr="00E20C8F">
        <w:rPr>
          <w:rFonts w:cstheme="minorHAnsi"/>
          <w:color w:val="231F20"/>
          <w:w w:val="105"/>
        </w:rPr>
        <w:t xml:space="preserve"> </w:t>
      </w:r>
      <w:r w:rsidRPr="00E06806">
        <w:rPr>
          <w:rFonts w:cstheme="minorHAnsi"/>
          <w:color w:val="231F20"/>
          <w:w w:val="105"/>
        </w:rPr>
        <w:t>interagency</w:t>
      </w:r>
      <w:r w:rsidRPr="00E20C8F">
        <w:rPr>
          <w:rFonts w:cstheme="minorHAnsi"/>
          <w:color w:val="231F20"/>
          <w:w w:val="105"/>
        </w:rPr>
        <w:t xml:space="preserve"> </w:t>
      </w:r>
      <w:r w:rsidRPr="00E06806">
        <w:rPr>
          <w:rFonts w:cstheme="minorHAnsi"/>
          <w:color w:val="231F20"/>
          <w:w w:val="105"/>
        </w:rPr>
        <w:t>agreement</w:t>
      </w:r>
      <w:r w:rsidRPr="00E20C8F">
        <w:rPr>
          <w:rFonts w:cstheme="minorHAnsi"/>
          <w:color w:val="231F20"/>
          <w:w w:val="105"/>
        </w:rPr>
        <w:t xml:space="preserve"> </w:t>
      </w:r>
      <w:r w:rsidRPr="00E06806">
        <w:rPr>
          <w:rFonts w:cstheme="minorHAnsi"/>
          <w:color w:val="231F20"/>
          <w:w w:val="105"/>
        </w:rPr>
        <w:t>coordinating</w:t>
      </w:r>
      <w:r w:rsidRPr="00E20C8F">
        <w:rPr>
          <w:rFonts w:cstheme="minorHAnsi"/>
          <w:color w:val="231F20"/>
          <w:w w:val="105"/>
        </w:rPr>
        <w:t xml:space="preserve"> </w:t>
      </w:r>
      <w:r w:rsidRPr="00E06806">
        <w:rPr>
          <w:rFonts w:cstheme="minorHAnsi"/>
          <w:color w:val="231F20"/>
          <w:w w:val="105"/>
        </w:rPr>
        <w:t>transition</w:t>
      </w:r>
      <w:r w:rsidRPr="00E20C8F">
        <w:rPr>
          <w:rFonts w:cstheme="minorHAnsi"/>
          <w:color w:val="231F20"/>
          <w:w w:val="105"/>
        </w:rPr>
        <w:t xml:space="preserve"> </w:t>
      </w:r>
      <w:r w:rsidRPr="00E06806">
        <w:rPr>
          <w:rFonts w:cstheme="minorHAnsi"/>
          <w:color w:val="231F20"/>
          <w:w w:val="105"/>
        </w:rPr>
        <w:t>services</w:t>
      </w:r>
      <w:r w:rsidRPr="00E20C8F">
        <w:rPr>
          <w:rFonts w:cstheme="minorHAnsi"/>
          <w:color w:val="231F20"/>
          <w:w w:val="105"/>
        </w:rPr>
        <w:t xml:space="preserve"> </w:t>
      </w:r>
      <w:r w:rsidRPr="00E06806">
        <w:rPr>
          <w:rFonts w:cstheme="minorHAnsi"/>
          <w:color w:val="231F20"/>
          <w:w w:val="105"/>
        </w:rPr>
        <w:t>with</w:t>
      </w:r>
      <w:r w:rsidRPr="00E20C8F">
        <w:rPr>
          <w:rFonts w:cstheme="minorHAnsi"/>
          <w:color w:val="231F20"/>
          <w:w w:val="105"/>
        </w:rPr>
        <w:t xml:space="preserve"> </w:t>
      </w:r>
      <w:r w:rsidRPr="00E06806">
        <w:rPr>
          <w:rFonts w:cstheme="minorHAnsi"/>
          <w:color w:val="231F20"/>
          <w:w w:val="105"/>
        </w:rPr>
        <w:t>state</w:t>
      </w:r>
      <w:r w:rsidRPr="00E20C8F">
        <w:rPr>
          <w:rFonts w:cstheme="minorHAnsi"/>
          <w:color w:val="231F20"/>
          <w:w w:val="105"/>
        </w:rPr>
        <w:t xml:space="preserve"> </w:t>
      </w:r>
      <w:r w:rsidRPr="00E06806">
        <w:rPr>
          <w:rFonts w:cstheme="minorHAnsi"/>
          <w:color w:val="231F20"/>
          <w:w w:val="105"/>
        </w:rPr>
        <w:t>education</w:t>
      </w:r>
      <w:r w:rsidRPr="00E20C8F">
        <w:rPr>
          <w:rFonts w:cstheme="minorHAnsi"/>
          <w:color w:val="231F20"/>
          <w:w w:val="105"/>
        </w:rPr>
        <w:t xml:space="preserve"> </w:t>
      </w:r>
      <w:r w:rsidRPr="00E06806">
        <w:rPr>
          <w:rFonts w:cstheme="minorHAnsi"/>
          <w:color w:val="231F20"/>
          <w:w w:val="105"/>
        </w:rPr>
        <w:t>officials</w:t>
      </w:r>
      <w:r w:rsidRPr="00E20C8F">
        <w:rPr>
          <w:rFonts w:cstheme="minorHAnsi"/>
          <w:color w:val="231F20"/>
          <w:w w:val="105"/>
        </w:rPr>
        <w:t xml:space="preserve"> </w:t>
      </w:r>
      <w:r w:rsidRPr="00E06806">
        <w:rPr>
          <w:rFonts w:cstheme="minorHAnsi"/>
          <w:color w:val="231F20"/>
          <w:w w:val="105"/>
        </w:rPr>
        <w:t xml:space="preserve">(FDBS, BEESS). This state-level agreement includes agencies </w:t>
      </w:r>
      <w:r w:rsidR="000C138A" w:rsidRPr="00E06806">
        <w:rPr>
          <w:rFonts w:cstheme="minorHAnsi"/>
          <w:color w:val="231F20"/>
          <w:w w:val="105"/>
        </w:rPr>
        <w:t xml:space="preserve">responsible for </w:t>
      </w:r>
      <w:r w:rsidRPr="00E06806">
        <w:rPr>
          <w:rFonts w:cstheme="minorHAnsi"/>
          <w:color w:val="231F20"/>
          <w:w w:val="105"/>
        </w:rPr>
        <w:t xml:space="preserve">providing transition services </w:t>
      </w:r>
      <w:r w:rsidR="000C138A" w:rsidRPr="00E06806">
        <w:rPr>
          <w:rFonts w:cstheme="minorHAnsi"/>
          <w:color w:val="231F20"/>
          <w:w w:val="105"/>
        </w:rPr>
        <w:t xml:space="preserve">to </w:t>
      </w:r>
      <w:r w:rsidRPr="00E06806">
        <w:rPr>
          <w:rFonts w:cstheme="minorHAnsi"/>
          <w:color w:val="231F20"/>
          <w:w w:val="105"/>
        </w:rPr>
        <w:t>students</w:t>
      </w:r>
      <w:r w:rsidRPr="00E20C8F">
        <w:rPr>
          <w:rFonts w:cstheme="minorHAnsi"/>
          <w:color w:val="231F20"/>
          <w:w w:val="105"/>
        </w:rPr>
        <w:t xml:space="preserve"> </w:t>
      </w:r>
      <w:r w:rsidRPr="00E06806">
        <w:rPr>
          <w:rFonts w:cstheme="minorHAnsi"/>
          <w:color w:val="231F20"/>
          <w:w w:val="105"/>
        </w:rPr>
        <w:t>leaving</w:t>
      </w:r>
      <w:r w:rsidRPr="00E20C8F">
        <w:rPr>
          <w:rFonts w:cstheme="minorHAnsi"/>
          <w:color w:val="231F20"/>
          <w:w w:val="105"/>
        </w:rPr>
        <w:t xml:space="preserve"> </w:t>
      </w:r>
      <w:r w:rsidRPr="00E06806">
        <w:rPr>
          <w:rFonts w:cstheme="minorHAnsi"/>
          <w:color w:val="231F20"/>
          <w:w w:val="105"/>
        </w:rPr>
        <w:t>high</w:t>
      </w:r>
      <w:r w:rsidRPr="00E20C8F">
        <w:rPr>
          <w:rFonts w:cstheme="minorHAnsi"/>
          <w:color w:val="231F20"/>
          <w:w w:val="105"/>
        </w:rPr>
        <w:t xml:space="preserve"> </w:t>
      </w:r>
      <w:r w:rsidRPr="00E06806">
        <w:rPr>
          <w:rFonts w:cstheme="minorHAnsi"/>
          <w:color w:val="231F20"/>
          <w:w w:val="105"/>
        </w:rPr>
        <w:t>school</w:t>
      </w:r>
      <w:r w:rsidRPr="00E20C8F">
        <w:rPr>
          <w:rFonts w:cstheme="minorHAnsi"/>
          <w:color w:val="231F20"/>
          <w:w w:val="105"/>
        </w:rPr>
        <w:t xml:space="preserve"> </w:t>
      </w:r>
      <w:r w:rsidRPr="00E06806">
        <w:rPr>
          <w:rFonts w:cstheme="minorHAnsi"/>
          <w:color w:val="231F20"/>
          <w:w w:val="105"/>
        </w:rPr>
        <w:t>and</w:t>
      </w:r>
      <w:r w:rsidRPr="00E20C8F">
        <w:rPr>
          <w:rFonts w:cstheme="minorHAnsi"/>
          <w:color w:val="231F20"/>
          <w:w w:val="105"/>
        </w:rPr>
        <w:t xml:space="preserve"> </w:t>
      </w:r>
      <w:r w:rsidRPr="00E06806">
        <w:rPr>
          <w:rFonts w:cstheme="minorHAnsi"/>
          <w:color w:val="231F20"/>
          <w:w w:val="105"/>
        </w:rPr>
        <w:t>going</w:t>
      </w:r>
      <w:r w:rsidRPr="00E20C8F">
        <w:rPr>
          <w:rFonts w:cstheme="minorHAnsi"/>
          <w:color w:val="231F20"/>
          <w:w w:val="105"/>
        </w:rPr>
        <w:t xml:space="preserve"> </w:t>
      </w:r>
      <w:r w:rsidR="000C138A" w:rsidRPr="00E20C8F">
        <w:rPr>
          <w:rFonts w:cstheme="minorHAnsi"/>
          <w:color w:val="231F20"/>
          <w:w w:val="105"/>
        </w:rPr>
        <w:t>in</w:t>
      </w:r>
      <w:r w:rsidRPr="00E06806">
        <w:rPr>
          <w:rFonts w:cstheme="minorHAnsi"/>
          <w:color w:val="231F20"/>
          <w:w w:val="105"/>
        </w:rPr>
        <w:t>to</w:t>
      </w:r>
      <w:r w:rsidRPr="00E20C8F">
        <w:rPr>
          <w:rFonts w:cstheme="minorHAnsi"/>
          <w:color w:val="231F20"/>
          <w:w w:val="105"/>
        </w:rPr>
        <w:t xml:space="preserve"> </w:t>
      </w:r>
      <w:r w:rsidRPr="00E06806">
        <w:rPr>
          <w:rFonts w:cstheme="minorHAnsi"/>
          <w:color w:val="231F20"/>
          <w:w w:val="105"/>
        </w:rPr>
        <w:t>postsecondary</w:t>
      </w:r>
      <w:r w:rsidRPr="00E20C8F">
        <w:rPr>
          <w:rFonts w:cstheme="minorHAnsi"/>
          <w:color w:val="231F20"/>
          <w:w w:val="105"/>
        </w:rPr>
        <w:t xml:space="preserve"> </w:t>
      </w:r>
      <w:r w:rsidRPr="00E06806">
        <w:rPr>
          <w:rFonts w:cstheme="minorHAnsi"/>
          <w:color w:val="231F20"/>
          <w:w w:val="105"/>
        </w:rPr>
        <w:t>education/training,</w:t>
      </w:r>
      <w:r w:rsidRPr="00E20C8F">
        <w:rPr>
          <w:rFonts w:cstheme="minorHAnsi"/>
          <w:color w:val="231F20"/>
          <w:w w:val="105"/>
        </w:rPr>
        <w:t xml:space="preserve"> </w:t>
      </w:r>
      <w:r w:rsidRPr="00E06806">
        <w:rPr>
          <w:rFonts w:cstheme="minorHAnsi"/>
          <w:color w:val="231F20"/>
          <w:w w:val="105"/>
        </w:rPr>
        <w:t>support</w:t>
      </w:r>
      <w:r w:rsidRPr="00E20C8F">
        <w:rPr>
          <w:rFonts w:cstheme="minorHAnsi"/>
          <w:color w:val="231F20"/>
          <w:w w:val="105"/>
        </w:rPr>
        <w:t xml:space="preserve"> </w:t>
      </w:r>
      <w:r w:rsidRPr="00E06806">
        <w:rPr>
          <w:rFonts w:cstheme="minorHAnsi"/>
          <w:color w:val="231F20"/>
          <w:w w:val="105"/>
        </w:rPr>
        <w:t>services</w:t>
      </w:r>
      <w:r w:rsidR="00D5537E">
        <w:rPr>
          <w:rFonts w:cstheme="minorHAnsi"/>
          <w:color w:val="231F20"/>
          <w:w w:val="105"/>
        </w:rPr>
        <w:t xml:space="preserve"> and</w:t>
      </w:r>
      <w:r w:rsidRPr="00E06806">
        <w:rPr>
          <w:rFonts w:cstheme="minorHAnsi"/>
          <w:color w:val="231F20"/>
          <w:w w:val="105"/>
        </w:rPr>
        <w:t>/or</w:t>
      </w:r>
      <w:r w:rsidRPr="00E20C8F">
        <w:rPr>
          <w:rFonts w:cstheme="minorHAnsi"/>
          <w:color w:val="231F20"/>
          <w:w w:val="105"/>
        </w:rPr>
        <w:t xml:space="preserve"> </w:t>
      </w:r>
      <w:r w:rsidRPr="00E06806">
        <w:rPr>
          <w:rFonts w:cstheme="minorHAnsi"/>
          <w:color w:val="231F20"/>
          <w:w w:val="105"/>
        </w:rPr>
        <w:t>employment.</w:t>
      </w:r>
      <w:r w:rsidRPr="00E20C8F">
        <w:rPr>
          <w:rFonts w:cstheme="minorHAnsi"/>
          <w:color w:val="231F20"/>
          <w:w w:val="105"/>
        </w:rPr>
        <w:t xml:space="preserve"> </w:t>
      </w:r>
      <w:r w:rsidR="000C138A" w:rsidRPr="00E06806">
        <w:rPr>
          <w:rFonts w:cstheme="minorHAnsi"/>
          <w:color w:val="231F20"/>
          <w:w w:val="105"/>
        </w:rPr>
        <w:t xml:space="preserve">These </w:t>
      </w:r>
      <w:r w:rsidRPr="00E06806">
        <w:rPr>
          <w:rFonts w:cstheme="minorHAnsi"/>
          <w:color w:val="231F20"/>
          <w:w w:val="105"/>
        </w:rPr>
        <w:t>agencies</w:t>
      </w:r>
      <w:r w:rsidRPr="00E20C8F">
        <w:rPr>
          <w:rFonts w:cstheme="minorHAnsi"/>
          <w:color w:val="231F20"/>
          <w:w w:val="105"/>
        </w:rPr>
        <w:t xml:space="preserve"> </w:t>
      </w:r>
      <w:r w:rsidRPr="00E06806">
        <w:rPr>
          <w:rFonts w:cstheme="minorHAnsi"/>
          <w:color w:val="231F20"/>
          <w:w w:val="105"/>
        </w:rPr>
        <w:t>meet</w:t>
      </w:r>
      <w:r w:rsidRPr="00E20C8F">
        <w:rPr>
          <w:rFonts w:cstheme="minorHAnsi"/>
          <w:color w:val="231F20"/>
          <w:w w:val="105"/>
        </w:rPr>
        <w:t xml:space="preserve"> </w:t>
      </w:r>
      <w:r w:rsidRPr="00E06806">
        <w:rPr>
          <w:rFonts w:cstheme="minorHAnsi"/>
          <w:color w:val="231F20"/>
          <w:w w:val="105"/>
        </w:rPr>
        <w:t>regularly</w:t>
      </w:r>
      <w:r w:rsidRPr="00E20C8F">
        <w:rPr>
          <w:rFonts w:cstheme="minorHAnsi"/>
          <w:color w:val="231F20"/>
          <w:w w:val="105"/>
        </w:rPr>
        <w:t xml:space="preserve"> </w:t>
      </w:r>
      <w:r w:rsidRPr="00E06806">
        <w:rPr>
          <w:rFonts w:cstheme="minorHAnsi"/>
          <w:color w:val="231F20"/>
          <w:w w:val="105"/>
        </w:rPr>
        <w:t>to</w:t>
      </w:r>
      <w:r w:rsidRPr="00E20C8F">
        <w:rPr>
          <w:rFonts w:cstheme="minorHAnsi"/>
          <w:color w:val="231F20"/>
          <w:w w:val="105"/>
        </w:rPr>
        <w:t xml:space="preserve"> </w:t>
      </w:r>
      <w:r w:rsidRPr="00E06806">
        <w:rPr>
          <w:rFonts w:cstheme="minorHAnsi"/>
          <w:color w:val="231F20"/>
          <w:w w:val="105"/>
        </w:rPr>
        <w:t>share</w:t>
      </w:r>
      <w:r w:rsidRPr="00E20C8F">
        <w:rPr>
          <w:rFonts w:cstheme="minorHAnsi"/>
          <w:color w:val="231F20"/>
          <w:w w:val="105"/>
        </w:rPr>
        <w:t xml:space="preserve"> </w:t>
      </w:r>
      <w:r w:rsidRPr="00E06806">
        <w:rPr>
          <w:rFonts w:cstheme="minorHAnsi"/>
          <w:color w:val="231F20"/>
          <w:w w:val="105"/>
        </w:rPr>
        <w:t>information,</w:t>
      </w:r>
      <w:r w:rsidRPr="00E20C8F">
        <w:rPr>
          <w:rFonts w:cstheme="minorHAnsi"/>
          <w:color w:val="231F20"/>
          <w:w w:val="105"/>
        </w:rPr>
        <w:t xml:space="preserve"> </w:t>
      </w:r>
      <w:r w:rsidRPr="00E06806">
        <w:rPr>
          <w:rFonts w:cstheme="minorHAnsi"/>
          <w:color w:val="231F20"/>
          <w:w w:val="105"/>
        </w:rPr>
        <w:t>ideas</w:t>
      </w:r>
      <w:r w:rsidRPr="00E20C8F">
        <w:rPr>
          <w:rFonts w:cstheme="minorHAnsi"/>
          <w:color w:val="231F20"/>
          <w:w w:val="105"/>
        </w:rPr>
        <w:t xml:space="preserve"> </w:t>
      </w:r>
      <w:r w:rsidRPr="00E06806">
        <w:rPr>
          <w:rFonts w:cstheme="minorHAnsi"/>
          <w:color w:val="231F20"/>
          <w:w w:val="105"/>
        </w:rPr>
        <w:t>and</w:t>
      </w:r>
      <w:r w:rsidRPr="00E20C8F">
        <w:rPr>
          <w:rFonts w:cstheme="minorHAnsi"/>
          <w:color w:val="231F20"/>
          <w:w w:val="105"/>
        </w:rPr>
        <w:t xml:space="preserve"> </w:t>
      </w:r>
      <w:r w:rsidRPr="00E06806">
        <w:rPr>
          <w:rFonts w:cstheme="minorHAnsi"/>
          <w:color w:val="231F20"/>
          <w:w w:val="105"/>
        </w:rPr>
        <w:t>initiatives</w:t>
      </w:r>
      <w:r w:rsidR="00A00227">
        <w:rPr>
          <w:rFonts w:cstheme="minorHAnsi"/>
          <w:color w:val="231F20"/>
          <w:w w:val="105"/>
        </w:rPr>
        <w:t>;</w:t>
      </w:r>
      <w:r w:rsidR="000C138A" w:rsidRPr="00E20C8F">
        <w:rPr>
          <w:rFonts w:cstheme="minorHAnsi"/>
          <w:color w:val="231F20"/>
          <w:w w:val="105"/>
        </w:rPr>
        <w:t xml:space="preserve"> to </w:t>
      </w:r>
      <w:r w:rsidRPr="00E06806">
        <w:rPr>
          <w:rFonts w:cstheme="minorHAnsi"/>
          <w:color w:val="231F20"/>
          <w:w w:val="105"/>
        </w:rPr>
        <w:t>collaborate</w:t>
      </w:r>
      <w:r w:rsidRPr="00E20C8F">
        <w:rPr>
          <w:rFonts w:cstheme="minorHAnsi"/>
          <w:color w:val="231F20"/>
          <w:w w:val="105"/>
        </w:rPr>
        <w:t xml:space="preserve"> </w:t>
      </w:r>
      <w:r w:rsidRPr="00E06806">
        <w:rPr>
          <w:rFonts w:cstheme="minorHAnsi"/>
          <w:color w:val="231F20"/>
          <w:w w:val="105"/>
        </w:rPr>
        <w:t>on</w:t>
      </w:r>
      <w:r w:rsidRPr="00E20C8F">
        <w:rPr>
          <w:rFonts w:cstheme="minorHAnsi"/>
          <w:color w:val="231F20"/>
          <w:w w:val="105"/>
        </w:rPr>
        <w:t xml:space="preserve"> </w:t>
      </w:r>
      <w:r w:rsidRPr="00E06806">
        <w:rPr>
          <w:rFonts w:cstheme="minorHAnsi"/>
          <w:color w:val="231F20"/>
          <w:w w:val="105"/>
        </w:rPr>
        <w:t>training</w:t>
      </w:r>
      <w:r w:rsidRPr="00E20C8F">
        <w:rPr>
          <w:rFonts w:cstheme="minorHAnsi"/>
          <w:color w:val="231F20"/>
          <w:w w:val="105"/>
        </w:rPr>
        <w:t xml:space="preserve"> </w:t>
      </w:r>
      <w:r w:rsidRPr="00E06806">
        <w:rPr>
          <w:rFonts w:cstheme="minorHAnsi"/>
          <w:color w:val="231F20"/>
          <w:w w:val="105"/>
        </w:rPr>
        <w:t>and</w:t>
      </w:r>
      <w:r w:rsidRPr="00E20C8F">
        <w:rPr>
          <w:rFonts w:cstheme="minorHAnsi"/>
          <w:color w:val="231F20"/>
          <w:w w:val="105"/>
        </w:rPr>
        <w:t xml:space="preserve"> </w:t>
      </w:r>
      <w:r w:rsidRPr="00E06806">
        <w:rPr>
          <w:rFonts w:cstheme="minorHAnsi"/>
          <w:color w:val="231F20"/>
          <w:w w:val="105"/>
        </w:rPr>
        <w:t>special</w:t>
      </w:r>
      <w:r w:rsidRPr="00E20C8F">
        <w:rPr>
          <w:rFonts w:cstheme="minorHAnsi"/>
          <w:color w:val="231F20"/>
          <w:w w:val="105"/>
        </w:rPr>
        <w:t xml:space="preserve"> </w:t>
      </w:r>
      <w:r w:rsidRPr="00E06806">
        <w:rPr>
          <w:rFonts w:cstheme="minorHAnsi"/>
          <w:color w:val="231F20"/>
          <w:w w:val="105"/>
        </w:rPr>
        <w:t>projects</w:t>
      </w:r>
      <w:r w:rsidR="000C138A" w:rsidRPr="00E06806">
        <w:rPr>
          <w:rFonts w:cstheme="minorHAnsi"/>
          <w:color w:val="231F20"/>
          <w:w w:val="105"/>
        </w:rPr>
        <w:t>;</w:t>
      </w:r>
      <w:r w:rsidRPr="00E20C8F">
        <w:rPr>
          <w:rFonts w:cstheme="minorHAnsi"/>
          <w:color w:val="231F20"/>
          <w:w w:val="105"/>
        </w:rPr>
        <w:t xml:space="preserve"> </w:t>
      </w:r>
      <w:r w:rsidR="00A00227">
        <w:rPr>
          <w:rFonts w:cstheme="minorHAnsi"/>
          <w:color w:val="231F20"/>
          <w:w w:val="105"/>
        </w:rPr>
        <w:t xml:space="preserve">to </w:t>
      </w:r>
      <w:r w:rsidRPr="00E06806">
        <w:rPr>
          <w:rFonts w:cstheme="minorHAnsi"/>
          <w:color w:val="231F20"/>
          <w:w w:val="105"/>
        </w:rPr>
        <w:t>cooperate</w:t>
      </w:r>
      <w:r w:rsidRPr="00E20C8F">
        <w:rPr>
          <w:rFonts w:cstheme="minorHAnsi"/>
          <w:color w:val="231F20"/>
          <w:w w:val="105"/>
        </w:rPr>
        <w:t xml:space="preserve"> </w:t>
      </w:r>
      <w:r w:rsidRPr="00E06806">
        <w:rPr>
          <w:rFonts w:cstheme="minorHAnsi"/>
          <w:color w:val="231F20"/>
          <w:w w:val="105"/>
        </w:rPr>
        <w:t>in</w:t>
      </w:r>
      <w:r w:rsidRPr="00E20C8F">
        <w:rPr>
          <w:rFonts w:cstheme="minorHAnsi"/>
          <w:color w:val="231F20"/>
          <w:w w:val="105"/>
        </w:rPr>
        <w:t xml:space="preserve"> </w:t>
      </w:r>
      <w:r w:rsidRPr="00E06806">
        <w:rPr>
          <w:rFonts w:cstheme="minorHAnsi"/>
          <w:color w:val="231F20"/>
          <w:w w:val="105"/>
        </w:rPr>
        <w:t>planning</w:t>
      </w:r>
      <w:r w:rsidRPr="00E20C8F">
        <w:rPr>
          <w:rFonts w:cstheme="minorHAnsi"/>
          <w:color w:val="231F20"/>
          <w:w w:val="105"/>
        </w:rPr>
        <w:t xml:space="preserve"> </w:t>
      </w:r>
      <w:r w:rsidRPr="00E06806">
        <w:rPr>
          <w:rFonts w:cstheme="minorHAnsi"/>
          <w:color w:val="231F20"/>
          <w:w w:val="105"/>
        </w:rPr>
        <w:t>and</w:t>
      </w:r>
      <w:r w:rsidRPr="00E20C8F">
        <w:rPr>
          <w:rFonts w:cstheme="minorHAnsi"/>
          <w:color w:val="231F20"/>
          <w:w w:val="105"/>
        </w:rPr>
        <w:t xml:space="preserve"> </w:t>
      </w:r>
      <w:r w:rsidRPr="00E06806">
        <w:rPr>
          <w:rFonts w:cstheme="minorHAnsi"/>
          <w:color w:val="231F20"/>
          <w:w w:val="105"/>
        </w:rPr>
        <w:t>budgeting</w:t>
      </w:r>
      <w:r w:rsidR="00A552E4">
        <w:rPr>
          <w:rFonts w:cstheme="minorHAnsi"/>
          <w:color w:val="231F20"/>
          <w:w w:val="105"/>
        </w:rPr>
        <w:t>;</w:t>
      </w:r>
      <w:r w:rsidR="00D5537E">
        <w:rPr>
          <w:rFonts w:cstheme="minorHAnsi"/>
          <w:color w:val="231F20"/>
          <w:w w:val="105"/>
        </w:rPr>
        <w:t xml:space="preserve"> and</w:t>
      </w:r>
      <w:r w:rsidRPr="00E20C8F">
        <w:rPr>
          <w:rFonts w:cstheme="minorHAnsi"/>
          <w:color w:val="231F20"/>
          <w:w w:val="105"/>
        </w:rPr>
        <w:t xml:space="preserve"> </w:t>
      </w:r>
      <w:r w:rsidRPr="00E06806">
        <w:rPr>
          <w:rFonts w:cstheme="minorHAnsi"/>
          <w:color w:val="231F20"/>
          <w:w w:val="105"/>
        </w:rPr>
        <w:t>support</w:t>
      </w:r>
      <w:r w:rsidRPr="00E20C8F">
        <w:rPr>
          <w:rFonts w:cstheme="minorHAnsi"/>
          <w:color w:val="231F20"/>
          <w:w w:val="105"/>
        </w:rPr>
        <w:t xml:space="preserve"> </w:t>
      </w:r>
      <w:r w:rsidR="000C138A" w:rsidRPr="00E20C8F">
        <w:rPr>
          <w:rFonts w:cstheme="minorHAnsi"/>
          <w:color w:val="231F20"/>
          <w:w w:val="105"/>
        </w:rPr>
        <w:t xml:space="preserve">mutually beneficial </w:t>
      </w:r>
      <w:r w:rsidRPr="00E06806">
        <w:rPr>
          <w:rFonts w:cstheme="minorHAnsi"/>
          <w:color w:val="231F20"/>
          <w:w w:val="105"/>
        </w:rPr>
        <w:t>areas</w:t>
      </w:r>
      <w:r w:rsidRPr="00E20C8F">
        <w:rPr>
          <w:rFonts w:cstheme="minorHAnsi"/>
          <w:color w:val="231F20"/>
          <w:w w:val="105"/>
        </w:rPr>
        <w:t xml:space="preserve"> </w:t>
      </w:r>
      <w:r w:rsidRPr="00E06806">
        <w:rPr>
          <w:rFonts w:cstheme="minorHAnsi"/>
          <w:color w:val="231F20"/>
          <w:w w:val="105"/>
        </w:rPr>
        <w:t>of work</w:t>
      </w:r>
      <w:r w:rsidR="000C138A" w:rsidRPr="00E06806">
        <w:rPr>
          <w:rFonts w:cstheme="minorHAnsi"/>
          <w:color w:val="231F20"/>
          <w:w w:val="105"/>
        </w:rPr>
        <w:t>.</w:t>
      </w:r>
    </w:p>
    <w:p w14:paraId="709EC35E" w14:textId="77777777" w:rsidR="00545606" w:rsidRDefault="00545606" w:rsidP="00D63204">
      <w:pPr>
        <w:spacing w:after="0" w:line="240" w:lineRule="auto"/>
        <w:ind w:left="107"/>
        <w:rPr>
          <w:rFonts w:cstheme="minorHAnsi"/>
          <w:color w:val="231F20"/>
          <w:w w:val="105"/>
        </w:rPr>
      </w:pPr>
    </w:p>
    <w:p w14:paraId="0B26F740" w14:textId="18552884" w:rsidR="00503CE8" w:rsidRDefault="000C138A" w:rsidP="00D63204">
      <w:pPr>
        <w:spacing w:line="240" w:lineRule="auto"/>
        <w:ind w:left="107"/>
        <w:rPr>
          <w:rFonts w:cstheme="minorHAnsi"/>
          <w:color w:val="231F20"/>
          <w:w w:val="105"/>
        </w:rPr>
      </w:pPr>
      <w:r w:rsidRPr="00E06806">
        <w:rPr>
          <w:rFonts w:cstheme="minorHAnsi"/>
          <w:color w:val="231F20"/>
          <w:w w:val="105"/>
        </w:rPr>
        <w:t>T</w:t>
      </w:r>
      <w:r w:rsidR="00EA7458" w:rsidRPr="00E06806">
        <w:rPr>
          <w:rFonts w:cstheme="minorHAnsi"/>
          <w:color w:val="231F20"/>
          <w:w w:val="105"/>
        </w:rPr>
        <w:t>he</w:t>
      </w:r>
      <w:r w:rsidR="00EA7458" w:rsidRPr="00E06806">
        <w:rPr>
          <w:rFonts w:cstheme="minorHAnsi"/>
          <w:color w:val="231F20"/>
          <w:spacing w:val="7"/>
          <w:w w:val="105"/>
        </w:rPr>
        <w:t xml:space="preserve"> </w:t>
      </w:r>
      <w:r w:rsidR="00EA7458" w:rsidRPr="00E06806">
        <w:rPr>
          <w:rFonts w:cstheme="minorHAnsi"/>
          <w:color w:val="231F20"/>
          <w:w w:val="105"/>
        </w:rPr>
        <w:t>VR</w:t>
      </w:r>
      <w:r w:rsidR="00EA7458" w:rsidRPr="00E06806">
        <w:rPr>
          <w:rFonts w:cstheme="minorHAnsi"/>
          <w:color w:val="231F20"/>
          <w:spacing w:val="7"/>
          <w:w w:val="105"/>
        </w:rPr>
        <w:t xml:space="preserve"> </w:t>
      </w:r>
      <w:r w:rsidR="00EA7458" w:rsidRPr="00E06806">
        <w:rPr>
          <w:rFonts w:cstheme="minorHAnsi"/>
          <w:color w:val="231F20"/>
          <w:w w:val="105"/>
        </w:rPr>
        <w:t>Transition</w:t>
      </w:r>
      <w:r w:rsidR="00EA7458" w:rsidRPr="00E06806">
        <w:rPr>
          <w:rFonts w:cstheme="minorHAnsi"/>
          <w:color w:val="231F20"/>
          <w:spacing w:val="7"/>
          <w:w w:val="105"/>
        </w:rPr>
        <w:t xml:space="preserve"> </w:t>
      </w:r>
      <w:r w:rsidR="00EA7458" w:rsidRPr="00E06806">
        <w:rPr>
          <w:rFonts w:cstheme="minorHAnsi"/>
          <w:color w:val="231F20"/>
          <w:spacing w:val="-5"/>
          <w:w w:val="105"/>
        </w:rPr>
        <w:t>Youth</w:t>
      </w:r>
      <w:r w:rsidR="00EA7458" w:rsidRPr="00E06806">
        <w:rPr>
          <w:rFonts w:cstheme="minorHAnsi"/>
          <w:color w:val="231F20"/>
          <w:spacing w:val="7"/>
          <w:w w:val="105"/>
        </w:rPr>
        <w:t xml:space="preserve"> </w:t>
      </w:r>
      <w:r w:rsidR="00EA7458" w:rsidRPr="00E06806">
        <w:rPr>
          <w:rFonts w:cstheme="minorHAnsi"/>
          <w:color w:val="231F20"/>
          <w:w w:val="105"/>
        </w:rPr>
        <w:t>program</w:t>
      </w:r>
      <w:r w:rsidR="00EA7458" w:rsidRPr="00E06806">
        <w:rPr>
          <w:rFonts w:cstheme="minorHAnsi"/>
          <w:color w:val="231F20"/>
          <w:spacing w:val="7"/>
          <w:w w:val="105"/>
        </w:rPr>
        <w:t xml:space="preserve"> </w:t>
      </w:r>
      <w:r w:rsidR="00EA7458" w:rsidRPr="00E06806">
        <w:rPr>
          <w:rFonts w:cstheme="minorHAnsi"/>
          <w:color w:val="231F20"/>
          <w:w w:val="105"/>
        </w:rPr>
        <w:t>administrator</w:t>
      </w:r>
      <w:r w:rsidR="00EA7458" w:rsidRPr="00E06806">
        <w:rPr>
          <w:rFonts w:cstheme="minorHAnsi"/>
          <w:color w:val="231F20"/>
          <w:spacing w:val="7"/>
          <w:w w:val="105"/>
        </w:rPr>
        <w:t xml:space="preserve"> </w:t>
      </w:r>
      <w:r w:rsidR="00EA7458" w:rsidRPr="00E06806">
        <w:rPr>
          <w:rFonts w:cstheme="minorHAnsi"/>
          <w:color w:val="231F20"/>
          <w:w w:val="105"/>
        </w:rPr>
        <w:t>serves</w:t>
      </w:r>
      <w:r w:rsidR="00EA7458" w:rsidRPr="00E06806">
        <w:rPr>
          <w:rFonts w:cstheme="minorHAnsi"/>
          <w:color w:val="231F20"/>
          <w:spacing w:val="7"/>
          <w:w w:val="105"/>
        </w:rPr>
        <w:t xml:space="preserve"> </w:t>
      </w:r>
      <w:r w:rsidR="00EA7458" w:rsidRPr="00E06806">
        <w:rPr>
          <w:rFonts w:cstheme="minorHAnsi"/>
          <w:color w:val="231F20"/>
          <w:w w:val="105"/>
        </w:rPr>
        <w:t>as</w:t>
      </w:r>
      <w:r w:rsidR="00EA7458" w:rsidRPr="00E06806">
        <w:rPr>
          <w:rFonts w:cstheme="minorHAnsi"/>
          <w:color w:val="231F20"/>
          <w:spacing w:val="7"/>
          <w:w w:val="105"/>
        </w:rPr>
        <w:t xml:space="preserve"> </w:t>
      </w:r>
      <w:r w:rsidR="00EA7458" w:rsidRPr="00E06806">
        <w:rPr>
          <w:rFonts w:cstheme="minorHAnsi"/>
          <w:color w:val="231F20"/>
          <w:w w:val="105"/>
        </w:rPr>
        <w:t>a</w:t>
      </w:r>
      <w:r w:rsidR="00EA7458" w:rsidRPr="00E06806">
        <w:rPr>
          <w:rFonts w:cstheme="minorHAnsi"/>
          <w:color w:val="231F20"/>
          <w:spacing w:val="7"/>
          <w:w w:val="105"/>
        </w:rPr>
        <w:t xml:space="preserve"> </w:t>
      </w:r>
      <w:r w:rsidR="00EA7458" w:rsidRPr="00E06806">
        <w:rPr>
          <w:rFonts w:cstheme="minorHAnsi"/>
          <w:color w:val="231F20"/>
          <w:w w:val="105"/>
        </w:rPr>
        <w:t>representative</w:t>
      </w:r>
      <w:r w:rsidR="00EA7458" w:rsidRPr="00E06806">
        <w:rPr>
          <w:rFonts w:cstheme="minorHAnsi"/>
          <w:color w:val="231F20"/>
          <w:spacing w:val="7"/>
          <w:w w:val="105"/>
        </w:rPr>
        <w:t xml:space="preserve"> </w:t>
      </w:r>
      <w:r w:rsidR="00EA7458" w:rsidRPr="00E06806">
        <w:rPr>
          <w:rFonts w:cstheme="minorHAnsi"/>
          <w:color w:val="231F20"/>
          <w:w w:val="105"/>
        </w:rPr>
        <w:t>on</w:t>
      </w:r>
      <w:r w:rsidR="00EA7458" w:rsidRPr="00E06806">
        <w:rPr>
          <w:rFonts w:cstheme="minorHAnsi"/>
          <w:color w:val="231F20"/>
          <w:spacing w:val="7"/>
          <w:w w:val="105"/>
        </w:rPr>
        <w:t xml:space="preserve"> </w:t>
      </w:r>
      <w:r w:rsidR="00EA7458" w:rsidRPr="00E06806">
        <w:rPr>
          <w:rFonts w:cstheme="minorHAnsi"/>
          <w:color w:val="231F20"/>
          <w:w w:val="105"/>
        </w:rPr>
        <w:t>the</w:t>
      </w:r>
      <w:r w:rsidR="00EA7458" w:rsidRPr="00E06806">
        <w:rPr>
          <w:rFonts w:cstheme="minorHAnsi"/>
          <w:color w:val="231F20"/>
          <w:spacing w:val="7"/>
          <w:w w:val="105"/>
        </w:rPr>
        <w:t xml:space="preserve"> </w:t>
      </w:r>
      <w:r w:rsidR="00EA7458" w:rsidRPr="00E06806">
        <w:rPr>
          <w:rFonts w:cstheme="minorHAnsi"/>
          <w:color w:val="231F20"/>
          <w:w w:val="105"/>
        </w:rPr>
        <w:t>State</w:t>
      </w:r>
      <w:r w:rsidR="00EA7458" w:rsidRPr="00E06806">
        <w:rPr>
          <w:rFonts w:cstheme="minorHAnsi"/>
          <w:color w:val="231F20"/>
          <w:spacing w:val="-18"/>
          <w:w w:val="105"/>
        </w:rPr>
        <w:t xml:space="preserve"> </w:t>
      </w:r>
      <w:r w:rsidR="00EA7458" w:rsidRPr="00E06806">
        <w:rPr>
          <w:rFonts w:cstheme="minorHAnsi"/>
          <w:color w:val="231F20"/>
          <w:w w:val="105"/>
        </w:rPr>
        <w:t>Secondary Transition Interagency Committee</w:t>
      </w:r>
      <w:r w:rsidRPr="00E06806">
        <w:rPr>
          <w:rFonts w:cstheme="minorHAnsi"/>
          <w:color w:val="231F20"/>
          <w:w w:val="105"/>
        </w:rPr>
        <w:t xml:space="preserve">. The program administrator </w:t>
      </w:r>
      <w:r w:rsidR="00EA7458" w:rsidRPr="00E06806">
        <w:rPr>
          <w:rFonts w:cstheme="minorHAnsi"/>
          <w:color w:val="231F20"/>
          <w:w w:val="105"/>
        </w:rPr>
        <w:t xml:space="preserve">works closely with the regional representatives of Project 10: </w:t>
      </w:r>
      <w:r w:rsidR="00CE41AB" w:rsidRPr="00E06806">
        <w:rPr>
          <w:rFonts w:cstheme="minorHAnsi"/>
          <w:color w:val="231F20"/>
          <w:w w:val="105"/>
        </w:rPr>
        <w:t>The</w:t>
      </w:r>
      <w:r w:rsidR="00EA7458" w:rsidRPr="00E06806">
        <w:rPr>
          <w:rFonts w:cstheme="minorHAnsi"/>
          <w:color w:val="231F20"/>
          <w:w w:val="105"/>
        </w:rPr>
        <w:t xml:space="preserve"> Transition Education Network</w:t>
      </w:r>
      <w:r w:rsidR="00A552E4">
        <w:rPr>
          <w:rFonts w:cstheme="minorHAnsi"/>
          <w:color w:val="231F20"/>
          <w:w w:val="105"/>
        </w:rPr>
        <w:t>,</w:t>
      </w:r>
      <w:r w:rsidRPr="00E06806">
        <w:rPr>
          <w:rFonts w:cstheme="minorHAnsi"/>
          <w:color w:val="231F20"/>
          <w:w w:val="105"/>
        </w:rPr>
        <w:t xml:space="preserve"> which </w:t>
      </w:r>
      <w:r w:rsidR="00EA7458" w:rsidRPr="00E06806">
        <w:rPr>
          <w:rFonts w:cstheme="minorHAnsi"/>
          <w:color w:val="231F20"/>
          <w:w w:val="105"/>
        </w:rPr>
        <w:t>is funded through a grant from the Bureau</w:t>
      </w:r>
      <w:r w:rsidR="00EA7458" w:rsidRPr="00E06806">
        <w:rPr>
          <w:rFonts w:cstheme="minorHAnsi"/>
          <w:color w:val="231F20"/>
          <w:spacing w:val="3"/>
          <w:w w:val="105"/>
        </w:rPr>
        <w:t xml:space="preserve"> </w:t>
      </w:r>
      <w:r w:rsidR="00EA7458" w:rsidRPr="00E06806">
        <w:rPr>
          <w:rFonts w:cstheme="minorHAnsi"/>
          <w:color w:val="231F20"/>
          <w:w w:val="105"/>
        </w:rPr>
        <w:t>of</w:t>
      </w:r>
      <w:r w:rsidR="00EA7458" w:rsidRPr="00E06806">
        <w:rPr>
          <w:rFonts w:cstheme="minorHAnsi"/>
          <w:color w:val="231F20"/>
          <w:w w:val="102"/>
        </w:rPr>
        <w:t xml:space="preserve"> </w:t>
      </w:r>
      <w:r w:rsidR="00EA7458" w:rsidRPr="00E06806">
        <w:rPr>
          <w:rFonts w:cstheme="minorHAnsi"/>
          <w:color w:val="231F20"/>
          <w:w w:val="105"/>
        </w:rPr>
        <w:t>Exceptional</w:t>
      </w:r>
      <w:r w:rsidR="00EA7458" w:rsidRPr="00E06806">
        <w:rPr>
          <w:rFonts w:cstheme="minorHAnsi"/>
          <w:color w:val="231F20"/>
          <w:spacing w:val="13"/>
          <w:w w:val="105"/>
        </w:rPr>
        <w:t xml:space="preserve"> </w:t>
      </w:r>
      <w:r w:rsidR="00EA7458" w:rsidRPr="00E06806">
        <w:rPr>
          <w:rFonts w:cstheme="minorHAnsi"/>
          <w:color w:val="231F20"/>
          <w:w w:val="105"/>
        </w:rPr>
        <w:t>Education</w:t>
      </w:r>
      <w:r w:rsidR="00EA7458" w:rsidRPr="00E06806">
        <w:rPr>
          <w:rFonts w:cstheme="minorHAnsi"/>
          <w:color w:val="231F20"/>
          <w:spacing w:val="13"/>
          <w:w w:val="105"/>
        </w:rPr>
        <w:t xml:space="preserve"> </w:t>
      </w:r>
      <w:r w:rsidR="00EA7458" w:rsidRPr="00E06806">
        <w:rPr>
          <w:rFonts w:cstheme="minorHAnsi"/>
          <w:color w:val="231F20"/>
          <w:w w:val="105"/>
        </w:rPr>
        <w:t>and</w:t>
      </w:r>
      <w:r w:rsidR="00EA7458" w:rsidRPr="00E06806">
        <w:rPr>
          <w:rFonts w:cstheme="minorHAnsi"/>
          <w:color w:val="231F20"/>
          <w:spacing w:val="13"/>
          <w:w w:val="105"/>
        </w:rPr>
        <w:t xml:space="preserve"> </w:t>
      </w:r>
      <w:r w:rsidR="00EA7458" w:rsidRPr="00E06806">
        <w:rPr>
          <w:rFonts w:cstheme="minorHAnsi"/>
          <w:color w:val="231F20"/>
          <w:w w:val="105"/>
        </w:rPr>
        <w:t>Student</w:t>
      </w:r>
      <w:r w:rsidR="00EA7458" w:rsidRPr="00E06806">
        <w:rPr>
          <w:rFonts w:cstheme="minorHAnsi"/>
          <w:color w:val="231F20"/>
          <w:spacing w:val="13"/>
          <w:w w:val="105"/>
        </w:rPr>
        <w:t xml:space="preserve"> </w:t>
      </w:r>
      <w:r w:rsidR="00EA7458" w:rsidRPr="00E06806">
        <w:rPr>
          <w:rFonts w:cstheme="minorHAnsi"/>
          <w:color w:val="231F20"/>
          <w:w w:val="105"/>
        </w:rPr>
        <w:t>Services</w:t>
      </w:r>
      <w:r w:rsidR="00EA7458" w:rsidRPr="00E06806">
        <w:rPr>
          <w:rFonts w:cstheme="minorHAnsi"/>
          <w:color w:val="231F20"/>
          <w:spacing w:val="13"/>
          <w:w w:val="105"/>
        </w:rPr>
        <w:t xml:space="preserve"> </w:t>
      </w:r>
      <w:r w:rsidR="00EA7458" w:rsidRPr="00E06806">
        <w:rPr>
          <w:rFonts w:cstheme="minorHAnsi"/>
          <w:color w:val="231F20"/>
          <w:w w:val="105"/>
        </w:rPr>
        <w:t>within</w:t>
      </w:r>
      <w:r w:rsidR="00EA7458" w:rsidRPr="00E06806">
        <w:rPr>
          <w:rFonts w:cstheme="minorHAnsi"/>
          <w:color w:val="231F20"/>
          <w:spacing w:val="13"/>
          <w:w w:val="105"/>
        </w:rPr>
        <w:t xml:space="preserve"> </w:t>
      </w:r>
      <w:r w:rsidR="00EA7458" w:rsidRPr="00E06806">
        <w:rPr>
          <w:rFonts w:cstheme="minorHAnsi"/>
          <w:color w:val="231F20"/>
          <w:w w:val="105"/>
        </w:rPr>
        <w:t>the</w:t>
      </w:r>
      <w:r w:rsidR="00EA7458" w:rsidRPr="00E06806">
        <w:rPr>
          <w:rFonts w:cstheme="minorHAnsi"/>
          <w:color w:val="231F20"/>
          <w:spacing w:val="13"/>
          <w:w w:val="105"/>
        </w:rPr>
        <w:t xml:space="preserve"> </w:t>
      </w:r>
      <w:r w:rsidR="00EA7458" w:rsidRPr="00E06806">
        <w:rPr>
          <w:rFonts w:cstheme="minorHAnsi"/>
          <w:color w:val="231F20"/>
          <w:w w:val="105"/>
        </w:rPr>
        <w:t>Florida</w:t>
      </w:r>
      <w:r w:rsidR="00EA7458" w:rsidRPr="00E06806">
        <w:rPr>
          <w:rFonts w:cstheme="minorHAnsi"/>
          <w:color w:val="231F20"/>
          <w:spacing w:val="13"/>
          <w:w w:val="105"/>
        </w:rPr>
        <w:t xml:space="preserve"> </w:t>
      </w:r>
      <w:r w:rsidR="00EA7458" w:rsidRPr="00E06806">
        <w:rPr>
          <w:rFonts w:cstheme="minorHAnsi"/>
          <w:color w:val="231F20"/>
          <w:w w:val="105"/>
        </w:rPr>
        <w:t>Department</w:t>
      </w:r>
      <w:r w:rsidR="00EA7458" w:rsidRPr="00E06806">
        <w:rPr>
          <w:rFonts w:cstheme="minorHAnsi"/>
          <w:color w:val="231F20"/>
          <w:spacing w:val="13"/>
          <w:w w:val="105"/>
        </w:rPr>
        <w:t xml:space="preserve"> </w:t>
      </w:r>
      <w:r w:rsidR="00EA7458" w:rsidRPr="00E06806">
        <w:rPr>
          <w:rFonts w:cstheme="minorHAnsi"/>
          <w:color w:val="231F20"/>
          <w:w w:val="105"/>
        </w:rPr>
        <w:t>of</w:t>
      </w:r>
      <w:r w:rsidR="00EA7458" w:rsidRPr="00E06806">
        <w:rPr>
          <w:rFonts w:cstheme="minorHAnsi"/>
          <w:color w:val="231F20"/>
          <w:spacing w:val="13"/>
          <w:w w:val="105"/>
        </w:rPr>
        <w:t xml:space="preserve"> </w:t>
      </w:r>
      <w:r w:rsidR="00EA7458" w:rsidRPr="00E06806">
        <w:rPr>
          <w:rFonts w:cstheme="minorHAnsi"/>
          <w:color w:val="231F20"/>
          <w:w w:val="105"/>
        </w:rPr>
        <w:t>Education</w:t>
      </w:r>
      <w:r w:rsidR="00EA7458" w:rsidRPr="00E06806">
        <w:rPr>
          <w:rFonts w:cstheme="minorHAnsi"/>
          <w:color w:val="231F20"/>
          <w:spacing w:val="13"/>
          <w:w w:val="105"/>
        </w:rPr>
        <w:t xml:space="preserve"> </w:t>
      </w:r>
      <w:r w:rsidR="00EA7458" w:rsidRPr="00E06806">
        <w:rPr>
          <w:rFonts w:cstheme="minorHAnsi"/>
          <w:color w:val="231F20"/>
          <w:w w:val="105"/>
        </w:rPr>
        <w:t>to</w:t>
      </w:r>
      <w:r w:rsidR="00EA7458" w:rsidRPr="00E06806">
        <w:rPr>
          <w:rFonts w:cstheme="minorHAnsi"/>
          <w:color w:val="231F20"/>
          <w:spacing w:val="13"/>
          <w:w w:val="105"/>
        </w:rPr>
        <w:t xml:space="preserve"> </w:t>
      </w:r>
      <w:r w:rsidR="00EA7458" w:rsidRPr="00E06806">
        <w:rPr>
          <w:rFonts w:cstheme="minorHAnsi"/>
          <w:color w:val="231F20"/>
          <w:w w:val="105"/>
        </w:rPr>
        <w:t>the</w:t>
      </w:r>
      <w:r w:rsidR="00EA7458" w:rsidRPr="00E06806">
        <w:rPr>
          <w:rFonts w:cstheme="minorHAnsi"/>
          <w:color w:val="231F20"/>
          <w:spacing w:val="13"/>
          <w:w w:val="105"/>
        </w:rPr>
        <w:t xml:space="preserve"> </w:t>
      </w:r>
      <w:r w:rsidR="00EA7458" w:rsidRPr="00E06806">
        <w:rPr>
          <w:rFonts w:cstheme="minorHAnsi"/>
          <w:color w:val="231F20"/>
          <w:w w:val="105"/>
        </w:rPr>
        <w:t>University of</w:t>
      </w:r>
      <w:r w:rsidR="00EA7458" w:rsidRPr="00E06806">
        <w:rPr>
          <w:rFonts w:cstheme="minorHAnsi"/>
          <w:color w:val="231F20"/>
          <w:spacing w:val="13"/>
          <w:w w:val="105"/>
        </w:rPr>
        <w:t xml:space="preserve"> </w:t>
      </w:r>
      <w:r w:rsidR="00EA7458" w:rsidRPr="00E06806">
        <w:rPr>
          <w:rFonts w:cstheme="minorHAnsi"/>
          <w:color w:val="231F20"/>
          <w:w w:val="105"/>
        </w:rPr>
        <w:t>South</w:t>
      </w:r>
      <w:r w:rsidR="00EA7458" w:rsidRPr="00E06806">
        <w:rPr>
          <w:rFonts w:cstheme="minorHAnsi"/>
          <w:color w:val="231F20"/>
          <w:spacing w:val="13"/>
          <w:w w:val="105"/>
        </w:rPr>
        <w:t xml:space="preserve"> </w:t>
      </w:r>
      <w:r w:rsidR="00EA7458" w:rsidRPr="00E06806">
        <w:rPr>
          <w:rFonts w:cstheme="minorHAnsi"/>
          <w:color w:val="231F20"/>
          <w:w w:val="105"/>
        </w:rPr>
        <w:t>Florida,</w:t>
      </w:r>
      <w:r w:rsidR="00EA7458" w:rsidRPr="00E06806">
        <w:rPr>
          <w:rFonts w:cstheme="minorHAnsi"/>
          <w:color w:val="231F20"/>
          <w:spacing w:val="13"/>
          <w:w w:val="105"/>
        </w:rPr>
        <w:t xml:space="preserve"> </w:t>
      </w:r>
      <w:r w:rsidR="00EA7458" w:rsidRPr="00E06806">
        <w:rPr>
          <w:rFonts w:cstheme="minorHAnsi"/>
          <w:color w:val="231F20"/>
          <w:w w:val="105"/>
        </w:rPr>
        <w:t>St.</w:t>
      </w:r>
      <w:r w:rsidR="00EA7458" w:rsidRPr="00E06806">
        <w:rPr>
          <w:rFonts w:cstheme="minorHAnsi"/>
          <w:color w:val="231F20"/>
          <w:spacing w:val="13"/>
          <w:w w:val="105"/>
        </w:rPr>
        <w:t xml:space="preserve"> </w:t>
      </w:r>
      <w:r w:rsidR="00EA7458" w:rsidRPr="00E06806">
        <w:rPr>
          <w:rFonts w:cstheme="minorHAnsi"/>
          <w:color w:val="231F20"/>
          <w:w w:val="105"/>
        </w:rPr>
        <w:t>Petersburg.</w:t>
      </w:r>
      <w:r w:rsidR="00EA7458" w:rsidRPr="00E06806">
        <w:rPr>
          <w:rFonts w:cstheme="minorHAnsi"/>
          <w:color w:val="231F20"/>
          <w:spacing w:val="13"/>
          <w:w w:val="105"/>
        </w:rPr>
        <w:t xml:space="preserve"> </w:t>
      </w:r>
      <w:r w:rsidR="00EA7458" w:rsidRPr="00E06806">
        <w:rPr>
          <w:rFonts w:cstheme="minorHAnsi"/>
          <w:color w:val="231F20"/>
          <w:w w:val="105"/>
        </w:rPr>
        <w:t>Project</w:t>
      </w:r>
      <w:r w:rsidR="00EA7458" w:rsidRPr="00E06806">
        <w:rPr>
          <w:rFonts w:cstheme="minorHAnsi"/>
          <w:color w:val="231F20"/>
          <w:spacing w:val="13"/>
          <w:w w:val="105"/>
        </w:rPr>
        <w:t xml:space="preserve"> </w:t>
      </w:r>
      <w:r w:rsidR="00EA7458" w:rsidRPr="00E06806">
        <w:rPr>
          <w:rFonts w:cstheme="minorHAnsi"/>
          <w:color w:val="231F20"/>
          <w:w w:val="105"/>
        </w:rPr>
        <w:t>10</w:t>
      </w:r>
      <w:r w:rsidR="00EA7458" w:rsidRPr="00E06806">
        <w:rPr>
          <w:rFonts w:cstheme="minorHAnsi"/>
          <w:color w:val="231F20"/>
          <w:spacing w:val="13"/>
          <w:w w:val="105"/>
        </w:rPr>
        <w:t xml:space="preserve"> </w:t>
      </w:r>
      <w:r w:rsidR="00EA7458" w:rsidRPr="00E06806">
        <w:rPr>
          <w:rFonts w:cstheme="minorHAnsi"/>
          <w:color w:val="231F20"/>
          <w:w w:val="105"/>
        </w:rPr>
        <w:t>helps</w:t>
      </w:r>
      <w:r w:rsidR="00EA7458" w:rsidRPr="00E06806">
        <w:rPr>
          <w:rFonts w:cstheme="minorHAnsi"/>
          <w:color w:val="231F20"/>
          <w:spacing w:val="13"/>
          <w:w w:val="105"/>
        </w:rPr>
        <w:t xml:space="preserve"> </w:t>
      </w:r>
      <w:r w:rsidR="00EA7458" w:rsidRPr="00E06806">
        <w:rPr>
          <w:rFonts w:cstheme="minorHAnsi"/>
          <w:color w:val="231F20"/>
          <w:w w:val="105"/>
        </w:rPr>
        <w:t>Florida</w:t>
      </w:r>
      <w:r w:rsidR="00EA7458" w:rsidRPr="00E06806">
        <w:rPr>
          <w:rFonts w:cstheme="minorHAnsi"/>
          <w:color w:val="231F20"/>
          <w:spacing w:val="13"/>
          <w:w w:val="105"/>
        </w:rPr>
        <w:t xml:space="preserve"> </w:t>
      </w:r>
      <w:r w:rsidR="00EA7458" w:rsidRPr="00E06806">
        <w:rPr>
          <w:rFonts w:cstheme="minorHAnsi"/>
          <w:color w:val="231F20"/>
          <w:w w:val="105"/>
        </w:rPr>
        <w:t>school</w:t>
      </w:r>
      <w:r w:rsidR="00EA7458" w:rsidRPr="00E06806">
        <w:rPr>
          <w:rFonts w:cstheme="minorHAnsi"/>
          <w:color w:val="231F20"/>
          <w:spacing w:val="13"/>
          <w:w w:val="105"/>
        </w:rPr>
        <w:t xml:space="preserve"> </w:t>
      </w:r>
      <w:r w:rsidR="00EA7458" w:rsidRPr="00E06806">
        <w:rPr>
          <w:rFonts w:cstheme="minorHAnsi"/>
          <w:color w:val="231F20"/>
          <w:w w:val="105"/>
        </w:rPr>
        <w:t>districts</w:t>
      </w:r>
      <w:r w:rsidR="00EA7458" w:rsidRPr="00E06806">
        <w:rPr>
          <w:rFonts w:cstheme="minorHAnsi"/>
          <w:color w:val="231F20"/>
          <w:spacing w:val="13"/>
          <w:w w:val="105"/>
        </w:rPr>
        <w:t xml:space="preserve"> </w:t>
      </w:r>
      <w:r w:rsidR="00EA7458" w:rsidRPr="00E06806">
        <w:rPr>
          <w:rFonts w:cstheme="minorHAnsi"/>
          <w:color w:val="231F20"/>
          <w:w w:val="105"/>
        </w:rPr>
        <w:t>and</w:t>
      </w:r>
      <w:r w:rsidR="00EA7458" w:rsidRPr="00E06806">
        <w:rPr>
          <w:rFonts w:cstheme="minorHAnsi"/>
          <w:color w:val="231F20"/>
          <w:spacing w:val="13"/>
          <w:w w:val="105"/>
        </w:rPr>
        <w:t xml:space="preserve"> </w:t>
      </w:r>
      <w:r w:rsidR="00EA7458" w:rsidRPr="00E06806">
        <w:rPr>
          <w:rFonts w:cstheme="minorHAnsi"/>
          <w:color w:val="231F20"/>
          <w:w w:val="105"/>
        </w:rPr>
        <w:t>stakeholders</w:t>
      </w:r>
      <w:r w:rsidR="00EA7458" w:rsidRPr="00E06806">
        <w:rPr>
          <w:rFonts w:cstheme="minorHAnsi"/>
          <w:color w:val="231F20"/>
          <w:spacing w:val="13"/>
          <w:w w:val="105"/>
        </w:rPr>
        <w:t xml:space="preserve"> </w:t>
      </w:r>
      <w:r w:rsidR="00EA7458" w:rsidRPr="00E06806">
        <w:rPr>
          <w:rFonts w:cstheme="minorHAnsi"/>
          <w:color w:val="231F20"/>
          <w:w w:val="105"/>
        </w:rPr>
        <w:t>increase</w:t>
      </w:r>
      <w:r w:rsidR="00EA7458" w:rsidRPr="00E06806">
        <w:rPr>
          <w:rFonts w:cstheme="minorHAnsi"/>
          <w:color w:val="231F20"/>
          <w:spacing w:val="13"/>
          <w:w w:val="105"/>
        </w:rPr>
        <w:t xml:space="preserve"> </w:t>
      </w:r>
      <w:r w:rsidR="00EA7458" w:rsidRPr="00E06806">
        <w:rPr>
          <w:rFonts w:cstheme="minorHAnsi"/>
          <w:color w:val="231F20"/>
          <w:w w:val="105"/>
        </w:rPr>
        <w:t>their</w:t>
      </w:r>
      <w:r w:rsidR="00EA7458" w:rsidRPr="00E06806">
        <w:rPr>
          <w:rFonts w:cstheme="minorHAnsi"/>
          <w:color w:val="231F20"/>
          <w:spacing w:val="-25"/>
          <w:w w:val="105"/>
        </w:rPr>
        <w:t xml:space="preserve"> </w:t>
      </w:r>
      <w:r w:rsidR="00EA7458" w:rsidRPr="00E06806">
        <w:rPr>
          <w:rFonts w:cstheme="minorHAnsi"/>
          <w:color w:val="231F20"/>
          <w:w w:val="105"/>
        </w:rPr>
        <w:t>ability</w:t>
      </w:r>
      <w:r w:rsidR="00EA7458" w:rsidRPr="00E06806">
        <w:rPr>
          <w:rFonts w:cstheme="minorHAnsi"/>
          <w:color w:val="231F20"/>
          <w:spacing w:val="6"/>
          <w:w w:val="105"/>
        </w:rPr>
        <w:t xml:space="preserve"> </w:t>
      </w:r>
      <w:r w:rsidR="00EA7458" w:rsidRPr="00E06806">
        <w:rPr>
          <w:rFonts w:cstheme="minorHAnsi"/>
          <w:color w:val="231F20"/>
          <w:w w:val="105"/>
        </w:rPr>
        <w:t>to</w:t>
      </w:r>
      <w:r w:rsidR="00EA7458" w:rsidRPr="00E06806">
        <w:rPr>
          <w:rFonts w:cstheme="minorHAnsi"/>
          <w:color w:val="231F20"/>
          <w:spacing w:val="6"/>
          <w:w w:val="105"/>
        </w:rPr>
        <w:t xml:space="preserve"> </w:t>
      </w:r>
      <w:r w:rsidR="00EA7458" w:rsidRPr="00E06806">
        <w:rPr>
          <w:rFonts w:cstheme="minorHAnsi"/>
          <w:color w:val="231F20"/>
          <w:w w:val="105"/>
        </w:rPr>
        <w:t>provide</w:t>
      </w:r>
      <w:r w:rsidR="00EA7458" w:rsidRPr="00E06806">
        <w:rPr>
          <w:rFonts w:cstheme="minorHAnsi"/>
          <w:color w:val="231F20"/>
          <w:spacing w:val="6"/>
          <w:w w:val="105"/>
        </w:rPr>
        <w:t xml:space="preserve"> </w:t>
      </w:r>
      <w:r w:rsidR="00EA7458" w:rsidRPr="00E06806">
        <w:rPr>
          <w:rFonts w:cstheme="minorHAnsi"/>
          <w:color w:val="231F20"/>
          <w:w w:val="105"/>
        </w:rPr>
        <w:t>secondary</w:t>
      </w:r>
      <w:r w:rsidR="00EA7458" w:rsidRPr="00E06806">
        <w:rPr>
          <w:rFonts w:cstheme="minorHAnsi"/>
          <w:color w:val="231F20"/>
          <w:spacing w:val="6"/>
          <w:w w:val="105"/>
        </w:rPr>
        <w:t xml:space="preserve"> </w:t>
      </w:r>
      <w:r w:rsidR="00EA7458" w:rsidRPr="00E06806">
        <w:rPr>
          <w:rFonts w:cstheme="minorHAnsi"/>
          <w:color w:val="231F20"/>
          <w:w w:val="105"/>
        </w:rPr>
        <w:t>transition</w:t>
      </w:r>
      <w:r w:rsidR="00EA7458" w:rsidRPr="00E06806">
        <w:rPr>
          <w:rFonts w:cstheme="minorHAnsi"/>
          <w:color w:val="231F20"/>
          <w:spacing w:val="6"/>
          <w:w w:val="105"/>
        </w:rPr>
        <w:t xml:space="preserve"> </w:t>
      </w:r>
      <w:r w:rsidR="00EA7458" w:rsidRPr="00E06806">
        <w:rPr>
          <w:rFonts w:cstheme="minorHAnsi"/>
          <w:color w:val="231F20"/>
          <w:w w:val="105"/>
        </w:rPr>
        <w:t>services</w:t>
      </w:r>
      <w:r w:rsidR="00EA7458" w:rsidRPr="00E06806">
        <w:rPr>
          <w:rFonts w:cstheme="minorHAnsi"/>
          <w:color w:val="231F20"/>
          <w:spacing w:val="6"/>
          <w:w w:val="105"/>
        </w:rPr>
        <w:t xml:space="preserve"> </w:t>
      </w:r>
      <w:r w:rsidR="00EA7458" w:rsidRPr="00E06806">
        <w:rPr>
          <w:rFonts w:cstheme="minorHAnsi"/>
          <w:color w:val="231F20"/>
          <w:w w:val="105"/>
        </w:rPr>
        <w:t>to</w:t>
      </w:r>
      <w:r w:rsidR="00EA7458" w:rsidRPr="00E06806">
        <w:rPr>
          <w:rFonts w:cstheme="minorHAnsi"/>
          <w:color w:val="231F20"/>
          <w:spacing w:val="6"/>
          <w:w w:val="105"/>
        </w:rPr>
        <w:t xml:space="preserve"> </w:t>
      </w:r>
      <w:r w:rsidR="00EA7458" w:rsidRPr="00E06806">
        <w:rPr>
          <w:rFonts w:cstheme="minorHAnsi"/>
          <w:color w:val="231F20"/>
          <w:w w:val="105"/>
        </w:rPr>
        <w:t>students</w:t>
      </w:r>
      <w:r w:rsidR="00EA7458" w:rsidRPr="00E06806">
        <w:rPr>
          <w:rFonts w:cstheme="minorHAnsi"/>
          <w:color w:val="231F20"/>
          <w:spacing w:val="6"/>
          <w:w w:val="105"/>
        </w:rPr>
        <w:t xml:space="preserve"> </w:t>
      </w:r>
      <w:r w:rsidR="00EA7458" w:rsidRPr="00E06806">
        <w:rPr>
          <w:rFonts w:cstheme="minorHAnsi"/>
          <w:color w:val="231F20"/>
          <w:w w:val="105"/>
        </w:rPr>
        <w:t>with</w:t>
      </w:r>
      <w:r w:rsidR="00EA7458" w:rsidRPr="00E06806">
        <w:rPr>
          <w:rFonts w:cstheme="minorHAnsi"/>
          <w:color w:val="231F20"/>
          <w:spacing w:val="6"/>
          <w:w w:val="105"/>
        </w:rPr>
        <w:t xml:space="preserve"> </w:t>
      </w:r>
      <w:r w:rsidR="00EA7458" w:rsidRPr="00E06806">
        <w:rPr>
          <w:rFonts w:cstheme="minorHAnsi"/>
          <w:color w:val="231F20"/>
          <w:w w:val="105"/>
        </w:rPr>
        <w:t>disabilities</w:t>
      </w:r>
      <w:r w:rsidR="00EA7458" w:rsidRPr="00E06806">
        <w:rPr>
          <w:rFonts w:cstheme="minorHAnsi"/>
          <w:color w:val="231F20"/>
          <w:spacing w:val="6"/>
          <w:w w:val="105"/>
        </w:rPr>
        <w:t xml:space="preserve"> </w:t>
      </w:r>
      <w:r w:rsidR="0014735D" w:rsidRPr="00E06806">
        <w:rPr>
          <w:rFonts w:cstheme="minorHAnsi"/>
          <w:color w:val="231F20"/>
          <w:w w:val="105"/>
        </w:rPr>
        <w:t xml:space="preserve">and </w:t>
      </w:r>
      <w:r w:rsidR="00EA7458" w:rsidRPr="00E06806">
        <w:rPr>
          <w:rFonts w:cstheme="minorHAnsi"/>
          <w:color w:val="231F20"/>
          <w:w w:val="105"/>
        </w:rPr>
        <w:t>improve</w:t>
      </w:r>
      <w:r w:rsidR="00EA7458" w:rsidRPr="00E06806">
        <w:rPr>
          <w:rFonts w:cstheme="minorHAnsi"/>
          <w:color w:val="231F20"/>
          <w:spacing w:val="6"/>
          <w:w w:val="105"/>
        </w:rPr>
        <w:t xml:space="preserve"> </w:t>
      </w:r>
      <w:r w:rsidR="0014735D" w:rsidRPr="00E06806">
        <w:rPr>
          <w:rFonts w:cstheme="minorHAnsi"/>
          <w:color w:val="231F20"/>
          <w:w w:val="105"/>
        </w:rPr>
        <w:t xml:space="preserve">student </w:t>
      </w:r>
      <w:r w:rsidR="00EA7458" w:rsidRPr="00E06806">
        <w:rPr>
          <w:rFonts w:cstheme="minorHAnsi"/>
          <w:color w:val="231F20"/>
          <w:w w:val="105"/>
        </w:rPr>
        <w:t>academic</w:t>
      </w:r>
      <w:r w:rsidR="00EA7458" w:rsidRPr="00E06806">
        <w:rPr>
          <w:rFonts w:cstheme="minorHAnsi"/>
          <w:color w:val="231F20"/>
          <w:spacing w:val="22"/>
          <w:w w:val="105"/>
        </w:rPr>
        <w:t xml:space="preserve"> </w:t>
      </w:r>
      <w:r w:rsidR="00EA7458" w:rsidRPr="00E06806">
        <w:rPr>
          <w:rFonts w:cstheme="minorHAnsi"/>
          <w:color w:val="231F20"/>
          <w:w w:val="105"/>
        </w:rPr>
        <w:t>success</w:t>
      </w:r>
      <w:r w:rsidR="00EA7458" w:rsidRPr="00E06806">
        <w:rPr>
          <w:rFonts w:cstheme="minorHAnsi"/>
          <w:color w:val="231F20"/>
          <w:spacing w:val="22"/>
          <w:w w:val="105"/>
        </w:rPr>
        <w:t xml:space="preserve"> </w:t>
      </w:r>
      <w:r w:rsidR="00EA7458" w:rsidRPr="00E06806">
        <w:rPr>
          <w:rFonts w:cstheme="minorHAnsi"/>
          <w:color w:val="231F20"/>
          <w:w w:val="105"/>
        </w:rPr>
        <w:t>and</w:t>
      </w:r>
      <w:r w:rsidR="00EA7458" w:rsidRPr="00E06806">
        <w:rPr>
          <w:rFonts w:cstheme="minorHAnsi"/>
          <w:color w:val="231F20"/>
          <w:spacing w:val="22"/>
          <w:w w:val="105"/>
        </w:rPr>
        <w:t xml:space="preserve"> </w:t>
      </w:r>
      <w:r w:rsidR="00EA7458" w:rsidRPr="00E06806">
        <w:rPr>
          <w:rFonts w:cstheme="minorHAnsi"/>
          <w:color w:val="231F20"/>
          <w:w w:val="105"/>
        </w:rPr>
        <w:t>postsecondary</w:t>
      </w:r>
      <w:r w:rsidR="00EA7458" w:rsidRPr="00E06806">
        <w:rPr>
          <w:rFonts w:cstheme="minorHAnsi"/>
          <w:color w:val="231F20"/>
          <w:spacing w:val="22"/>
          <w:w w:val="105"/>
        </w:rPr>
        <w:t xml:space="preserve"> </w:t>
      </w:r>
      <w:r w:rsidR="00EA7458" w:rsidRPr="00E06806">
        <w:rPr>
          <w:rFonts w:cstheme="minorHAnsi"/>
          <w:color w:val="231F20"/>
          <w:w w:val="105"/>
        </w:rPr>
        <w:t>outcomes.</w:t>
      </w:r>
      <w:r w:rsidR="00EA7458" w:rsidRPr="00E06806">
        <w:rPr>
          <w:rFonts w:cstheme="minorHAnsi"/>
          <w:color w:val="231F20"/>
          <w:spacing w:val="22"/>
          <w:w w:val="105"/>
        </w:rPr>
        <w:t xml:space="preserve"> </w:t>
      </w:r>
      <w:r w:rsidR="00EA7458" w:rsidRPr="00E06806">
        <w:rPr>
          <w:rFonts w:cstheme="minorHAnsi"/>
          <w:color w:val="231F20"/>
          <w:w w:val="105"/>
        </w:rPr>
        <w:t>Project</w:t>
      </w:r>
      <w:r w:rsidR="00EA7458" w:rsidRPr="00E06806">
        <w:rPr>
          <w:rFonts w:cstheme="minorHAnsi"/>
          <w:color w:val="231F20"/>
          <w:spacing w:val="22"/>
          <w:w w:val="105"/>
        </w:rPr>
        <w:t xml:space="preserve"> </w:t>
      </w:r>
      <w:r w:rsidR="00EA7458" w:rsidRPr="00E06806">
        <w:rPr>
          <w:rFonts w:cstheme="minorHAnsi"/>
          <w:color w:val="231F20"/>
          <w:w w:val="105"/>
        </w:rPr>
        <w:t>10</w:t>
      </w:r>
      <w:r w:rsidR="00EA7458" w:rsidRPr="00E06806">
        <w:rPr>
          <w:rFonts w:cstheme="minorHAnsi"/>
          <w:color w:val="231F20"/>
          <w:spacing w:val="22"/>
          <w:w w:val="105"/>
        </w:rPr>
        <w:t xml:space="preserve"> </w:t>
      </w:r>
      <w:r w:rsidR="00EA7458" w:rsidRPr="00E06806">
        <w:rPr>
          <w:rFonts w:cstheme="minorHAnsi"/>
          <w:color w:val="231F20"/>
          <w:w w:val="105"/>
        </w:rPr>
        <w:t>helps</w:t>
      </w:r>
      <w:r w:rsidR="00EA7458" w:rsidRPr="00E06806">
        <w:rPr>
          <w:rFonts w:cstheme="minorHAnsi"/>
          <w:color w:val="231F20"/>
          <w:spacing w:val="22"/>
          <w:w w:val="105"/>
        </w:rPr>
        <w:t xml:space="preserve"> </w:t>
      </w:r>
      <w:r w:rsidR="00EA7458" w:rsidRPr="00E06806">
        <w:rPr>
          <w:rFonts w:cstheme="minorHAnsi"/>
          <w:color w:val="231F20"/>
          <w:w w:val="105"/>
        </w:rPr>
        <w:t>educators,</w:t>
      </w:r>
      <w:r w:rsidR="00EA7458" w:rsidRPr="00E06806">
        <w:rPr>
          <w:rFonts w:cstheme="minorHAnsi"/>
          <w:color w:val="231F20"/>
          <w:spacing w:val="22"/>
          <w:w w:val="105"/>
        </w:rPr>
        <w:t xml:space="preserve"> </w:t>
      </w:r>
      <w:r w:rsidR="00EA7458" w:rsidRPr="00E06806">
        <w:rPr>
          <w:rFonts w:cstheme="minorHAnsi"/>
          <w:color w:val="231F20"/>
          <w:w w:val="105"/>
        </w:rPr>
        <w:t>parents,</w:t>
      </w:r>
      <w:r w:rsidR="00EA7458" w:rsidRPr="00E06806">
        <w:rPr>
          <w:rFonts w:cstheme="minorHAnsi"/>
          <w:color w:val="231F20"/>
          <w:spacing w:val="22"/>
          <w:w w:val="105"/>
        </w:rPr>
        <w:t xml:space="preserve"> </w:t>
      </w:r>
      <w:r w:rsidR="00EA7458" w:rsidRPr="00E06806">
        <w:rPr>
          <w:rFonts w:cstheme="minorHAnsi"/>
          <w:color w:val="231F20"/>
          <w:w w:val="105"/>
        </w:rPr>
        <w:t>students,</w:t>
      </w:r>
      <w:r w:rsidR="00EA7458" w:rsidRPr="00E06806">
        <w:rPr>
          <w:rFonts w:cstheme="minorHAnsi"/>
          <w:color w:val="231F20"/>
          <w:spacing w:val="22"/>
          <w:w w:val="105"/>
        </w:rPr>
        <w:t xml:space="preserve"> </w:t>
      </w:r>
      <w:r w:rsidR="00EA7458" w:rsidRPr="00E06806">
        <w:rPr>
          <w:rFonts w:cstheme="minorHAnsi"/>
          <w:color w:val="231F20"/>
          <w:w w:val="105"/>
        </w:rPr>
        <w:t>agency</w:t>
      </w:r>
      <w:r w:rsidR="00EA7458" w:rsidRPr="00E06806">
        <w:rPr>
          <w:rFonts w:cstheme="minorHAnsi"/>
          <w:color w:val="231F20"/>
          <w:spacing w:val="6"/>
          <w:w w:val="105"/>
        </w:rPr>
        <w:t xml:space="preserve"> </w:t>
      </w:r>
      <w:r w:rsidR="00EA7458" w:rsidRPr="00E06806">
        <w:rPr>
          <w:rFonts w:cstheme="minorHAnsi"/>
          <w:color w:val="231F20"/>
          <w:w w:val="105"/>
        </w:rPr>
        <w:t>representatives</w:t>
      </w:r>
      <w:r w:rsidR="00D5537E">
        <w:rPr>
          <w:rFonts w:cstheme="minorHAnsi"/>
          <w:color w:val="231F20"/>
          <w:w w:val="105"/>
        </w:rPr>
        <w:t xml:space="preserve"> and</w:t>
      </w:r>
      <w:r w:rsidR="00EA7458" w:rsidRPr="00E06806">
        <w:rPr>
          <w:rFonts w:cstheme="minorHAnsi"/>
          <w:color w:val="231F20"/>
          <w:spacing w:val="8"/>
          <w:w w:val="105"/>
        </w:rPr>
        <w:t xml:space="preserve"> </w:t>
      </w:r>
      <w:r w:rsidR="0014735D" w:rsidRPr="00E06806">
        <w:rPr>
          <w:rFonts w:cstheme="minorHAnsi"/>
          <w:color w:val="231F20"/>
          <w:w w:val="105"/>
        </w:rPr>
        <w:t xml:space="preserve">other stakeholders </w:t>
      </w:r>
      <w:r w:rsidR="00EA7458" w:rsidRPr="00E06806">
        <w:rPr>
          <w:rFonts w:cstheme="minorHAnsi"/>
          <w:color w:val="231F20"/>
          <w:w w:val="105"/>
        </w:rPr>
        <w:t>by</w:t>
      </w:r>
      <w:r w:rsidR="00EA7458" w:rsidRPr="00E06806">
        <w:rPr>
          <w:rFonts w:cstheme="minorHAnsi"/>
          <w:color w:val="231F20"/>
          <w:spacing w:val="8"/>
          <w:w w:val="105"/>
        </w:rPr>
        <w:t xml:space="preserve"> </w:t>
      </w:r>
      <w:r w:rsidR="00EA7458" w:rsidRPr="00E06806">
        <w:rPr>
          <w:rFonts w:cstheme="minorHAnsi"/>
          <w:color w:val="231F20"/>
          <w:w w:val="105"/>
        </w:rPr>
        <w:t>providing</w:t>
      </w:r>
      <w:r w:rsidR="00EA7458" w:rsidRPr="00E06806">
        <w:rPr>
          <w:rFonts w:cstheme="minorHAnsi"/>
          <w:color w:val="231F20"/>
          <w:spacing w:val="8"/>
          <w:w w:val="105"/>
        </w:rPr>
        <w:t xml:space="preserve"> </w:t>
      </w:r>
      <w:r w:rsidR="00EA7458" w:rsidRPr="00E06806">
        <w:rPr>
          <w:rFonts w:cstheme="minorHAnsi"/>
          <w:color w:val="231F20"/>
          <w:w w:val="105"/>
        </w:rPr>
        <w:t>capacity</w:t>
      </w:r>
      <w:r w:rsidR="00EA7458" w:rsidRPr="00E06806">
        <w:rPr>
          <w:rFonts w:cstheme="minorHAnsi"/>
          <w:color w:val="231F20"/>
          <w:spacing w:val="8"/>
          <w:w w:val="105"/>
        </w:rPr>
        <w:t xml:space="preserve"> </w:t>
      </w:r>
      <w:r w:rsidR="00EA7458" w:rsidRPr="00E06806">
        <w:rPr>
          <w:rFonts w:cstheme="minorHAnsi"/>
          <w:color w:val="231F20"/>
          <w:w w:val="105"/>
        </w:rPr>
        <w:t>building</w:t>
      </w:r>
      <w:r w:rsidR="00EA7458" w:rsidRPr="00E06806">
        <w:rPr>
          <w:rFonts w:cstheme="minorHAnsi"/>
          <w:color w:val="231F20"/>
          <w:spacing w:val="8"/>
          <w:w w:val="105"/>
        </w:rPr>
        <w:t xml:space="preserve"> </w:t>
      </w:r>
      <w:r w:rsidR="00EA7458" w:rsidRPr="00E06806">
        <w:rPr>
          <w:rFonts w:cstheme="minorHAnsi"/>
          <w:color w:val="231F20"/>
          <w:w w:val="105"/>
        </w:rPr>
        <w:t>to</w:t>
      </w:r>
      <w:r w:rsidR="00EA7458" w:rsidRPr="00E06806">
        <w:rPr>
          <w:rFonts w:cstheme="minorHAnsi"/>
          <w:color w:val="231F20"/>
          <w:spacing w:val="-18"/>
          <w:w w:val="105"/>
        </w:rPr>
        <w:t xml:space="preserve"> </w:t>
      </w:r>
      <w:r w:rsidR="00EA7458" w:rsidRPr="00E06806">
        <w:rPr>
          <w:rFonts w:cstheme="minorHAnsi"/>
          <w:color w:val="231F20"/>
          <w:w w:val="105"/>
        </w:rPr>
        <w:t xml:space="preserve">implement secondary transition services, interagency collaboration, transition legislation </w:t>
      </w:r>
      <w:r w:rsidR="0014735D" w:rsidRPr="00E06806">
        <w:rPr>
          <w:rFonts w:cstheme="minorHAnsi"/>
          <w:color w:val="231F20"/>
          <w:w w:val="105"/>
        </w:rPr>
        <w:t xml:space="preserve">and </w:t>
      </w:r>
      <w:r w:rsidR="00EA7458" w:rsidRPr="00E06806">
        <w:rPr>
          <w:rFonts w:cstheme="minorHAnsi"/>
          <w:color w:val="231F20"/>
          <w:w w:val="105"/>
        </w:rPr>
        <w:t>policy</w:t>
      </w:r>
      <w:r w:rsidR="00D5537E">
        <w:rPr>
          <w:rFonts w:cstheme="minorHAnsi"/>
          <w:color w:val="231F20"/>
          <w:w w:val="105"/>
        </w:rPr>
        <w:t xml:space="preserve"> and</w:t>
      </w:r>
      <w:r w:rsidR="00EA7458" w:rsidRPr="00E06806">
        <w:rPr>
          <w:rFonts w:cstheme="minorHAnsi"/>
          <w:color w:val="231F20"/>
          <w:spacing w:val="16"/>
          <w:w w:val="105"/>
        </w:rPr>
        <w:t xml:space="preserve"> </w:t>
      </w:r>
      <w:r w:rsidR="00EA7458" w:rsidRPr="00E06806">
        <w:rPr>
          <w:rFonts w:cstheme="minorHAnsi"/>
          <w:color w:val="231F20"/>
          <w:w w:val="105"/>
        </w:rPr>
        <w:t>student</w:t>
      </w:r>
      <w:r w:rsidR="00EA7458" w:rsidRPr="00E06806">
        <w:rPr>
          <w:rFonts w:cstheme="minorHAnsi"/>
          <w:color w:val="231F20"/>
          <w:spacing w:val="16"/>
          <w:w w:val="105"/>
        </w:rPr>
        <w:t xml:space="preserve"> </w:t>
      </w:r>
      <w:r w:rsidR="00EA7458" w:rsidRPr="00E06806">
        <w:rPr>
          <w:rFonts w:cstheme="minorHAnsi"/>
          <w:color w:val="231F20"/>
          <w:w w:val="105"/>
        </w:rPr>
        <w:t>development</w:t>
      </w:r>
      <w:r w:rsidR="00EA7458" w:rsidRPr="00E06806">
        <w:rPr>
          <w:rFonts w:cstheme="minorHAnsi"/>
          <w:color w:val="231F20"/>
          <w:spacing w:val="16"/>
          <w:w w:val="105"/>
        </w:rPr>
        <w:t xml:space="preserve"> </w:t>
      </w:r>
      <w:r w:rsidR="00EA7458" w:rsidRPr="00E06806">
        <w:rPr>
          <w:rFonts w:cstheme="minorHAnsi"/>
          <w:color w:val="231F20"/>
          <w:w w:val="105"/>
        </w:rPr>
        <w:t>and</w:t>
      </w:r>
      <w:r w:rsidR="00EA7458" w:rsidRPr="00E06806">
        <w:rPr>
          <w:rFonts w:cstheme="minorHAnsi"/>
          <w:color w:val="231F20"/>
          <w:spacing w:val="16"/>
          <w:w w:val="105"/>
        </w:rPr>
        <w:t xml:space="preserve"> </w:t>
      </w:r>
      <w:r w:rsidR="00EA7458" w:rsidRPr="00E06806">
        <w:rPr>
          <w:rFonts w:cstheme="minorHAnsi"/>
          <w:color w:val="231F20"/>
          <w:w w:val="105"/>
        </w:rPr>
        <w:t>outcomes.</w:t>
      </w:r>
      <w:r w:rsidR="00EA7458" w:rsidRPr="00E06806">
        <w:rPr>
          <w:rFonts w:cstheme="minorHAnsi"/>
          <w:color w:val="231F20"/>
          <w:spacing w:val="16"/>
          <w:w w:val="105"/>
        </w:rPr>
        <w:t xml:space="preserve"> </w:t>
      </w:r>
      <w:r w:rsidR="00EA7458" w:rsidRPr="00E06806">
        <w:rPr>
          <w:rFonts w:cstheme="minorHAnsi"/>
          <w:color w:val="231F20"/>
          <w:w w:val="105"/>
        </w:rPr>
        <w:t>VR</w:t>
      </w:r>
      <w:r w:rsidR="00EA7458" w:rsidRPr="00E06806">
        <w:rPr>
          <w:rFonts w:cstheme="minorHAnsi"/>
          <w:color w:val="231F20"/>
          <w:spacing w:val="16"/>
          <w:w w:val="105"/>
        </w:rPr>
        <w:t xml:space="preserve"> </w:t>
      </w:r>
      <w:r w:rsidR="00EA7458" w:rsidRPr="00E06806">
        <w:rPr>
          <w:rFonts w:cstheme="minorHAnsi"/>
          <w:color w:val="231F20"/>
          <w:w w:val="105"/>
        </w:rPr>
        <w:t>counselors</w:t>
      </w:r>
      <w:r w:rsidR="00EA7458" w:rsidRPr="00E06806">
        <w:rPr>
          <w:rFonts w:cstheme="minorHAnsi"/>
          <w:color w:val="231F20"/>
          <w:spacing w:val="16"/>
          <w:w w:val="105"/>
        </w:rPr>
        <w:t xml:space="preserve"> </w:t>
      </w:r>
      <w:r w:rsidR="00EA7458" w:rsidRPr="00E06806">
        <w:rPr>
          <w:rFonts w:cstheme="minorHAnsi"/>
          <w:color w:val="231F20"/>
          <w:w w:val="105"/>
        </w:rPr>
        <w:t>serving</w:t>
      </w:r>
      <w:r w:rsidR="00EA7458" w:rsidRPr="00E06806">
        <w:rPr>
          <w:rFonts w:cstheme="minorHAnsi"/>
          <w:color w:val="231F20"/>
          <w:spacing w:val="16"/>
          <w:w w:val="105"/>
        </w:rPr>
        <w:t xml:space="preserve"> </w:t>
      </w:r>
      <w:r w:rsidR="00EA7458" w:rsidRPr="00E06806">
        <w:rPr>
          <w:rFonts w:cstheme="minorHAnsi"/>
          <w:color w:val="231F20"/>
          <w:w w:val="105"/>
        </w:rPr>
        <w:t>transition</w:t>
      </w:r>
      <w:r w:rsidR="00EA7458" w:rsidRPr="00E06806">
        <w:rPr>
          <w:rFonts w:cstheme="minorHAnsi"/>
          <w:color w:val="231F20"/>
          <w:spacing w:val="16"/>
          <w:w w:val="105"/>
        </w:rPr>
        <w:t xml:space="preserve"> </w:t>
      </w:r>
      <w:r w:rsidR="00EA7458" w:rsidRPr="00E06806">
        <w:rPr>
          <w:rFonts w:cstheme="minorHAnsi"/>
          <w:color w:val="231F20"/>
          <w:w w:val="105"/>
        </w:rPr>
        <w:t>students</w:t>
      </w:r>
      <w:r w:rsidR="00EA7458" w:rsidRPr="00E06806">
        <w:rPr>
          <w:rFonts w:cstheme="minorHAnsi"/>
          <w:color w:val="231F20"/>
          <w:spacing w:val="16"/>
          <w:w w:val="105"/>
        </w:rPr>
        <w:t xml:space="preserve"> </w:t>
      </w:r>
      <w:r w:rsidR="00EA7458" w:rsidRPr="00E06806">
        <w:rPr>
          <w:rFonts w:cstheme="minorHAnsi"/>
          <w:color w:val="231F20"/>
          <w:w w:val="105"/>
        </w:rPr>
        <w:t>participate</w:t>
      </w:r>
      <w:r w:rsidR="00EA7458" w:rsidRPr="00E06806">
        <w:rPr>
          <w:rFonts w:cstheme="minorHAnsi"/>
          <w:color w:val="231F20"/>
          <w:spacing w:val="16"/>
          <w:w w:val="105"/>
        </w:rPr>
        <w:t xml:space="preserve"> </w:t>
      </w:r>
      <w:r w:rsidR="00EA7458" w:rsidRPr="00E06806">
        <w:rPr>
          <w:rFonts w:cstheme="minorHAnsi"/>
          <w:color w:val="231F20"/>
          <w:w w:val="105"/>
        </w:rPr>
        <w:t>in</w:t>
      </w:r>
      <w:r w:rsidR="00EA7458" w:rsidRPr="00E06806">
        <w:rPr>
          <w:rFonts w:cstheme="minorHAnsi"/>
          <w:color w:val="231F20"/>
          <w:spacing w:val="16"/>
          <w:w w:val="105"/>
        </w:rPr>
        <w:t xml:space="preserve"> </w:t>
      </w:r>
      <w:r w:rsidR="00EA7458" w:rsidRPr="00E06806">
        <w:rPr>
          <w:rFonts w:cstheme="minorHAnsi"/>
          <w:color w:val="231F20"/>
          <w:w w:val="105"/>
        </w:rPr>
        <w:t>each</w:t>
      </w:r>
      <w:r w:rsidR="00EA7458" w:rsidRPr="00E06806">
        <w:rPr>
          <w:rFonts w:cstheme="minorHAnsi"/>
          <w:color w:val="231F20"/>
          <w:spacing w:val="-35"/>
          <w:w w:val="105"/>
        </w:rPr>
        <w:t xml:space="preserve"> </w:t>
      </w:r>
      <w:r w:rsidR="00EA7458" w:rsidRPr="00E06806">
        <w:rPr>
          <w:rFonts w:cstheme="minorHAnsi"/>
          <w:color w:val="231F20"/>
          <w:w w:val="105"/>
        </w:rPr>
        <w:t>area’s</w:t>
      </w:r>
      <w:r w:rsidR="00EA7458" w:rsidRPr="00E06806">
        <w:rPr>
          <w:rFonts w:cstheme="minorHAnsi"/>
          <w:color w:val="231F20"/>
          <w:spacing w:val="17"/>
          <w:w w:val="105"/>
        </w:rPr>
        <w:t xml:space="preserve"> </w:t>
      </w:r>
      <w:r w:rsidR="00EA7458" w:rsidRPr="00E06806">
        <w:rPr>
          <w:rFonts w:cstheme="minorHAnsi"/>
          <w:color w:val="231F20"/>
          <w:w w:val="105"/>
        </w:rPr>
        <w:t>local</w:t>
      </w:r>
      <w:r w:rsidR="00EA7458" w:rsidRPr="00E06806">
        <w:rPr>
          <w:rFonts w:cstheme="minorHAnsi"/>
          <w:color w:val="231F20"/>
          <w:spacing w:val="17"/>
          <w:w w:val="105"/>
        </w:rPr>
        <w:t xml:space="preserve"> </w:t>
      </w:r>
      <w:r w:rsidR="00EA7458" w:rsidRPr="00E06806">
        <w:rPr>
          <w:rFonts w:cstheme="minorHAnsi"/>
          <w:color w:val="231F20"/>
          <w:w w:val="105"/>
        </w:rPr>
        <w:t>interagency</w:t>
      </w:r>
      <w:r w:rsidR="00EA7458" w:rsidRPr="00E06806">
        <w:rPr>
          <w:rFonts w:cstheme="minorHAnsi"/>
          <w:color w:val="231F20"/>
          <w:spacing w:val="17"/>
          <w:w w:val="105"/>
        </w:rPr>
        <w:t xml:space="preserve"> </w:t>
      </w:r>
      <w:r w:rsidR="00EA7458" w:rsidRPr="00E06806">
        <w:rPr>
          <w:rFonts w:cstheme="minorHAnsi"/>
          <w:color w:val="231F20"/>
          <w:w w:val="105"/>
        </w:rPr>
        <w:t>councils.</w:t>
      </w:r>
      <w:r w:rsidR="00EA7458" w:rsidRPr="00E06806">
        <w:rPr>
          <w:rFonts w:cstheme="minorHAnsi"/>
          <w:color w:val="231F20"/>
          <w:spacing w:val="17"/>
          <w:w w:val="105"/>
        </w:rPr>
        <w:t xml:space="preserve"> </w:t>
      </w:r>
      <w:r w:rsidR="0014735D" w:rsidRPr="00E06806">
        <w:rPr>
          <w:rFonts w:cstheme="minorHAnsi"/>
          <w:color w:val="231F20"/>
          <w:w w:val="105"/>
        </w:rPr>
        <w:t>I</w:t>
      </w:r>
      <w:r w:rsidR="00EA7458" w:rsidRPr="00E06806">
        <w:rPr>
          <w:rFonts w:cstheme="minorHAnsi"/>
          <w:color w:val="231F20"/>
          <w:w w:val="105"/>
        </w:rPr>
        <w:t>nteragency</w:t>
      </w:r>
      <w:r w:rsidR="00EA7458" w:rsidRPr="00E06806">
        <w:rPr>
          <w:rFonts w:cstheme="minorHAnsi"/>
          <w:color w:val="231F20"/>
          <w:spacing w:val="17"/>
          <w:w w:val="105"/>
        </w:rPr>
        <w:t xml:space="preserve"> </w:t>
      </w:r>
      <w:r w:rsidR="00EA7458" w:rsidRPr="00E06806">
        <w:rPr>
          <w:rFonts w:cstheme="minorHAnsi"/>
          <w:color w:val="231F20"/>
          <w:w w:val="105"/>
        </w:rPr>
        <w:t>councils</w:t>
      </w:r>
      <w:r w:rsidR="00EA7458" w:rsidRPr="00E06806">
        <w:rPr>
          <w:rFonts w:cstheme="minorHAnsi"/>
          <w:color w:val="231F20"/>
          <w:spacing w:val="17"/>
          <w:w w:val="105"/>
        </w:rPr>
        <w:t xml:space="preserve"> </w:t>
      </w:r>
      <w:r w:rsidR="00EA7458" w:rsidRPr="00E06806">
        <w:rPr>
          <w:rFonts w:cstheme="minorHAnsi"/>
          <w:color w:val="231F20"/>
          <w:w w:val="105"/>
        </w:rPr>
        <w:t>are</w:t>
      </w:r>
      <w:r w:rsidR="00EA7458" w:rsidRPr="00E06806">
        <w:rPr>
          <w:rFonts w:cstheme="minorHAnsi"/>
          <w:color w:val="231F20"/>
          <w:spacing w:val="17"/>
          <w:w w:val="105"/>
        </w:rPr>
        <w:t xml:space="preserve"> </w:t>
      </w:r>
      <w:r w:rsidR="00EA7458" w:rsidRPr="00E06806">
        <w:rPr>
          <w:rFonts w:cstheme="minorHAnsi"/>
          <w:color w:val="231F20"/>
          <w:w w:val="105"/>
        </w:rPr>
        <w:t>a</w:t>
      </w:r>
      <w:r w:rsidR="00EA7458" w:rsidRPr="00E06806">
        <w:rPr>
          <w:rFonts w:cstheme="minorHAnsi"/>
          <w:color w:val="231F20"/>
          <w:spacing w:val="17"/>
          <w:w w:val="105"/>
        </w:rPr>
        <w:t xml:space="preserve"> </w:t>
      </w:r>
      <w:r w:rsidR="00EA7458" w:rsidRPr="00E06806">
        <w:rPr>
          <w:rFonts w:cstheme="minorHAnsi"/>
          <w:color w:val="231F20"/>
          <w:w w:val="105"/>
        </w:rPr>
        <w:t>collaborative</w:t>
      </w:r>
      <w:r w:rsidR="00EA7458" w:rsidRPr="00E06806">
        <w:rPr>
          <w:rFonts w:cstheme="minorHAnsi"/>
          <w:color w:val="231F20"/>
          <w:spacing w:val="17"/>
          <w:w w:val="105"/>
        </w:rPr>
        <w:t xml:space="preserve"> </w:t>
      </w:r>
      <w:r w:rsidR="00EA7458" w:rsidRPr="00E06806">
        <w:rPr>
          <w:rFonts w:cstheme="minorHAnsi"/>
          <w:color w:val="231F20"/>
          <w:w w:val="105"/>
        </w:rPr>
        <w:t>effort</w:t>
      </w:r>
      <w:r w:rsidR="00EA7458" w:rsidRPr="00E06806">
        <w:rPr>
          <w:rFonts w:cstheme="minorHAnsi"/>
          <w:color w:val="231F20"/>
          <w:spacing w:val="17"/>
          <w:w w:val="105"/>
        </w:rPr>
        <w:t xml:space="preserve"> </w:t>
      </w:r>
      <w:r w:rsidR="00EA7458" w:rsidRPr="00E06806">
        <w:rPr>
          <w:rFonts w:cstheme="minorHAnsi"/>
          <w:color w:val="231F20"/>
          <w:w w:val="105"/>
        </w:rPr>
        <w:t>between</w:t>
      </w:r>
      <w:r w:rsidR="00EA7458" w:rsidRPr="00E06806">
        <w:rPr>
          <w:rFonts w:cstheme="minorHAnsi"/>
          <w:color w:val="231F20"/>
          <w:spacing w:val="17"/>
          <w:w w:val="105"/>
        </w:rPr>
        <w:t xml:space="preserve"> </w:t>
      </w:r>
      <w:r w:rsidR="00EA7458" w:rsidRPr="00E06806">
        <w:rPr>
          <w:rFonts w:cstheme="minorHAnsi"/>
          <w:color w:val="231F20"/>
          <w:w w:val="105"/>
        </w:rPr>
        <w:t>VR</w:t>
      </w:r>
      <w:r w:rsidR="00EA7458" w:rsidRPr="00E06806">
        <w:rPr>
          <w:rFonts w:cstheme="minorHAnsi"/>
          <w:color w:val="231F20"/>
          <w:spacing w:val="17"/>
          <w:w w:val="105"/>
        </w:rPr>
        <w:t xml:space="preserve"> </w:t>
      </w:r>
      <w:r w:rsidR="00EA7458" w:rsidRPr="00E06806">
        <w:rPr>
          <w:rFonts w:cstheme="minorHAnsi"/>
          <w:color w:val="231F20"/>
          <w:w w:val="105"/>
        </w:rPr>
        <w:t>and</w:t>
      </w:r>
      <w:r w:rsidR="00EA7458" w:rsidRPr="00E06806">
        <w:rPr>
          <w:rFonts w:cstheme="minorHAnsi"/>
          <w:color w:val="231F20"/>
          <w:spacing w:val="-7"/>
          <w:w w:val="105"/>
        </w:rPr>
        <w:t xml:space="preserve"> </w:t>
      </w:r>
      <w:r w:rsidR="00EA7458" w:rsidRPr="00E06806">
        <w:rPr>
          <w:rFonts w:cstheme="minorHAnsi"/>
          <w:color w:val="231F20"/>
          <w:w w:val="105"/>
        </w:rPr>
        <w:t>Department</w:t>
      </w:r>
      <w:r w:rsidR="00EA7458" w:rsidRPr="00E06806">
        <w:rPr>
          <w:rFonts w:cstheme="minorHAnsi"/>
          <w:color w:val="231F20"/>
          <w:spacing w:val="15"/>
          <w:w w:val="105"/>
        </w:rPr>
        <w:t xml:space="preserve"> </w:t>
      </w:r>
      <w:r w:rsidR="00EA7458" w:rsidRPr="00E06806">
        <w:rPr>
          <w:rFonts w:cstheme="minorHAnsi"/>
          <w:color w:val="231F20"/>
          <w:w w:val="105"/>
        </w:rPr>
        <w:t>of</w:t>
      </w:r>
      <w:r w:rsidR="00EA7458" w:rsidRPr="00E06806">
        <w:rPr>
          <w:rFonts w:cstheme="minorHAnsi"/>
          <w:color w:val="231F20"/>
          <w:spacing w:val="15"/>
          <w:w w:val="105"/>
        </w:rPr>
        <w:t xml:space="preserve"> </w:t>
      </w:r>
      <w:r w:rsidR="00EA7458" w:rsidRPr="00E06806">
        <w:rPr>
          <w:rFonts w:cstheme="minorHAnsi"/>
          <w:color w:val="231F20"/>
          <w:w w:val="105"/>
        </w:rPr>
        <w:t>Education</w:t>
      </w:r>
      <w:r w:rsidR="00EA7458" w:rsidRPr="00E06806">
        <w:rPr>
          <w:rFonts w:cstheme="minorHAnsi"/>
          <w:color w:val="231F20"/>
          <w:spacing w:val="15"/>
          <w:w w:val="105"/>
        </w:rPr>
        <w:t xml:space="preserve"> </w:t>
      </w:r>
      <w:r w:rsidR="00EA7458" w:rsidRPr="00E06806">
        <w:rPr>
          <w:rFonts w:cstheme="minorHAnsi"/>
          <w:color w:val="231F20"/>
          <w:w w:val="105"/>
        </w:rPr>
        <w:t>partners,</w:t>
      </w:r>
      <w:r w:rsidR="00EA7458" w:rsidRPr="00E06806">
        <w:rPr>
          <w:rFonts w:cstheme="minorHAnsi"/>
          <w:color w:val="231F20"/>
          <w:spacing w:val="15"/>
          <w:w w:val="105"/>
        </w:rPr>
        <w:t xml:space="preserve"> </w:t>
      </w:r>
      <w:r w:rsidR="00EA7458" w:rsidRPr="00E06806">
        <w:rPr>
          <w:rFonts w:cstheme="minorHAnsi"/>
          <w:color w:val="231F20"/>
          <w:w w:val="105"/>
        </w:rPr>
        <w:t>public</w:t>
      </w:r>
      <w:r w:rsidR="00EA7458" w:rsidRPr="00E06806">
        <w:rPr>
          <w:rFonts w:cstheme="minorHAnsi"/>
          <w:color w:val="231F20"/>
          <w:spacing w:val="15"/>
          <w:w w:val="105"/>
        </w:rPr>
        <w:t xml:space="preserve"> </w:t>
      </w:r>
      <w:r w:rsidR="00EA7458" w:rsidRPr="00E06806">
        <w:rPr>
          <w:rFonts w:cstheme="minorHAnsi"/>
          <w:color w:val="231F20"/>
          <w:w w:val="105"/>
        </w:rPr>
        <w:t>high</w:t>
      </w:r>
      <w:r w:rsidR="00EA7458" w:rsidRPr="00E06806">
        <w:rPr>
          <w:rFonts w:cstheme="minorHAnsi"/>
          <w:color w:val="231F20"/>
          <w:spacing w:val="15"/>
          <w:w w:val="105"/>
        </w:rPr>
        <w:t xml:space="preserve"> </w:t>
      </w:r>
      <w:r w:rsidR="00EA7458" w:rsidRPr="00E06806">
        <w:rPr>
          <w:rFonts w:cstheme="minorHAnsi"/>
          <w:color w:val="231F20"/>
          <w:w w:val="105"/>
        </w:rPr>
        <w:t>schools,</w:t>
      </w:r>
      <w:r w:rsidR="00EA7458" w:rsidRPr="00E06806">
        <w:rPr>
          <w:rFonts w:cstheme="minorHAnsi"/>
          <w:color w:val="231F20"/>
          <w:spacing w:val="15"/>
          <w:w w:val="105"/>
        </w:rPr>
        <w:t xml:space="preserve"> </w:t>
      </w:r>
      <w:r w:rsidR="00EA7458" w:rsidRPr="00E06806">
        <w:rPr>
          <w:rFonts w:cstheme="minorHAnsi"/>
          <w:color w:val="231F20"/>
          <w:w w:val="105"/>
        </w:rPr>
        <w:t>adult</w:t>
      </w:r>
      <w:r w:rsidR="00EA7458" w:rsidRPr="00E06806">
        <w:rPr>
          <w:rFonts w:cstheme="minorHAnsi"/>
          <w:color w:val="231F20"/>
          <w:spacing w:val="15"/>
          <w:w w:val="105"/>
        </w:rPr>
        <w:t xml:space="preserve"> </w:t>
      </w:r>
      <w:r w:rsidR="00EA7458" w:rsidRPr="00E06806">
        <w:rPr>
          <w:rFonts w:cstheme="minorHAnsi"/>
          <w:color w:val="231F20"/>
          <w:w w:val="105"/>
        </w:rPr>
        <w:t>service</w:t>
      </w:r>
      <w:r w:rsidR="00EA7458" w:rsidRPr="00E06806">
        <w:rPr>
          <w:rFonts w:cstheme="minorHAnsi"/>
          <w:color w:val="231F20"/>
          <w:spacing w:val="15"/>
          <w:w w:val="105"/>
        </w:rPr>
        <w:t xml:space="preserve"> </w:t>
      </w:r>
      <w:r w:rsidR="00EA7458" w:rsidRPr="00E06806">
        <w:rPr>
          <w:rFonts w:cstheme="minorHAnsi"/>
          <w:color w:val="231F20"/>
          <w:w w:val="105"/>
        </w:rPr>
        <w:t>agencies,</w:t>
      </w:r>
      <w:r w:rsidR="00EA7458" w:rsidRPr="00E06806">
        <w:rPr>
          <w:rFonts w:cstheme="minorHAnsi"/>
          <w:color w:val="231F20"/>
          <w:spacing w:val="15"/>
          <w:w w:val="105"/>
        </w:rPr>
        <w:t xml:space="preserve"> </w:t>
      </w:r>
      <w:r w:rsidR="00EA7458" w:rsidRPr="00E06806">
        <w:rPr>
          <w:rFonts w:cstheme="minorHAnsi"/>
          <w:color w:val="231F20"/>
          <w:w w:val="105"/>
        </w:rPr>
        <w:t>workforce</w:t>
      </w:r>
      <w:r w:rsidR="00EA7458" w:rsidRPr="00E06806">
        <w:rPr>
          <w:rFonts w:cstheme="minorHAnsi"/>
          <w:color w:val="231F20"/>
          <w:spacing w:val="15"/>
          <w:w w:val="105"/>
        </w:rPr>
        <w:t xml:space="preserve"> </w:t>
      </w:r>
      <w:r w:rsidR="00EA7458" w:rsidRPr="00E06806">
        <w:rPr>
          <w:rFonts w:cstheme="minorHAnsi"/>
          <w:color w:val="231F20"/>
          <w:w w:val="105"/>
        </w:rPr>
        <w:t>programs,</w:t>
      </w:r>
      <w:r w:rsidR="00EA7458" w:rsidRPr="00E06806">
        <w:rPr>
          <w:rFonts w:cstheme="minorHAnsi"/>
          <w:color w:val="231F20"/>
          <w:spacing w:val="6"/>
          <w:w w:val="105"/>
        </w:rPr>
        <w:t xml:space="preserve"> </w:t>
      </w:r>
      <w:r w:rsidR="00EA7458" w:rsidRPr="00E06806">
        <w:rPr>
          <w:rFonts w:cstheme="minorHAnsi"/>
          <w:color w:val="231F20"/>
          <w:w w:val="105"/>
        </w:rPr>
        <w:t>parents,</w:t>
      </w:r>
      <w:r w:rsidR="00EA7458" w:rsidRPr="00E06806">
        <w:rPr>
          <w:rFonts w:cstheme="minorHAnsi"/>
          <w:color w:val="231F20"/>
          <w:spacing w:val="12"/>
          <w:w w:val="105"/>
        </w:rPr>
        <w:t xml:space="preserve"> </w:t>
      </w:r>
      <w:r w:rsidR="00EA7458" w:rsidRPr="00E06806">
        <w:rPr>
          <w:rFonts w:cstheme="minorHAnsi"/>
          <w:color w:val="231F20"/>
          <w:w w:val="105"/>
        </w:rPr>
        <w:t>students,</w:t>
      </w:r>
      <w:r w:rsidR="00EA7458" w:rsidRPr="00E06806">
        <w:rPr>
          <w:rFonts w:cstheme="minorHAnsi"/>
          <w:color w:val="231F20"/>
          <w:spacing w:val="12"/>
          <w:w w:val="105"/>
        </w:rPr>
        <w:t xml:space="preserve"> </w:t>
      </w:r>
      <w:r w:rsidR="00EA7458" w:rsidRPr="00E06806">
        <w:rPr>
          <w:rFonts w:cstheme="minorHAnsi"/>
          <w:color w:val="231F20"/>
          <w:w w:val="105"/>
        </w:rPr>
        <w:t>advocates</w:t>
      </w:r>
      <w:r w:rsidR="00D5537E">
        <w:rPr>
          <w:rFonts w:cstheme="minorHAnsi"/>
          <w:color w:val="231F20"/>
          <w:w w:val="105"/>
        </w:rPr>
        <w:t xml:space="preserve"> and</w:t>
      </w:r>
      <w:r w:rsidR="00EA7458" w:rsidRPr="00E06806">
        <w:rPr>
          <w:rFonts w:cstheme="minorHAnsi"/>
          <w:color w:val="231F20"/>
          <w:spacing w:val="12"/>
          <w:w w:val="105"/>
        </w:rPr>
        <w:t xml:space="preserve"> </w:t>
      </w:r>
      <w:r w:rsidR="00EA7458" w:rsidRPr="00E06806">
        <w:rPr>
          <w:rFonts w:cstheme="minorHAnsi"/>
          <w:color w:val="231F20"/>
          <w:w w:val="105"/>
        </w:rPr>
        <w:t>employers</w:t>
      </w:r>
      <w:r w:rsidR="00EA7458" w:rsidRPr="00E06806">
        <w:rPr>
          <w:rFonts w:cstheme="minorHAnsi"/>
          <w:color w:val="231F20"/>
          <w:spacing w:val="12"/>
          <w:w w:val="105"/>
        </w:rPr>
        <w:t xml:space="preserve"> </w:t>
      </w:r>
      <w:r w:rsidR="0014735D" w:rsidRPr="00E06806">
        <w:rPr>
          <w:rFonts w:cstheme="minorHAnsi"/>
          <w:color w:val="231F20"/>
          <w:w w:val="105"/>
        </w:rPr>
        <w:t xml:space="preserve">cooperating </w:t>
      </w:r>
      <w:r w:rsidR="00EA7458" w:rsidRPr="00E06806">
        <w:rPr>
          <w:rFonts w:cstheme="minorHAnsi"/>
          <w:color w:val="231F20"/>
          <w:w w:val="105"/>
        </w:rPr>
        <w:t>to</w:t>
      </w:r>
      <w:r w:rsidR="00EA7458" w:rsidRPr="00E06806">
        <w:rPr>
          <w:rFonts w:cstheme="minorHAnsi"/>
          <w:color w:val="231F20"/>
          <w:spacing w:val="12"/>
          <w:w w:val="105"/>
        </w:rPr>
        <w:t xml:space="preserve"> </w:t>
      </w:r>
      <w:r w:rsidR="00EA7458" w:rsidRPr="00E06806">
        <w:rPr>
          <w:rFonts w:cstheme="minorHAnsi"/>
          <w:color w:val="231F20"/>
          <w:w w:val="105"/>
        </w:rPr>
        <w:t>meet</w:t>
      </w:r>
      <w:r w:rsidR="00EA7458" w:rsidRPr="00E06806">
        <w:rPr>
          <w:rFonts w:cstheme="minorHAnsi"/>
          <w:color w:val="231F20"/>
          <w:spacing w:val="12"/>
          <w:w w:val="105"/>
        </w:rPr>
        <w:t xml:space="preserve"> </w:t>
      </w:r>
      <w:r w:rsidR="00EA7458" w:rsidRPr="00E06806">
        <w:rPr>
          <w:rFonts w:cstheme="minorHAnsi"/>
          <w:color w:val="231F20"/>
          <w:w w:val="105"/>
        </w:rPr>
        <w:t>the</w:t>
      </w:r>
      <w:r w:rsidR="00EA7458" w:rsidRPr="00E06806">
        <w:rPr>
          <w:rFonts w:cstheme="minorHAnsi"/>
          <w:color w:val="231F20"/>
          <w:spacing w:val="12"/>
          <w:w w:val="105"/>
        </w:rPr>
        <w:t xml:space="preserve"> </w:t>
      </w:r>
      <w:r w:rsidR="00EA7458" w:rsidRPr="00E06806">
        <w:rPr>
          <w:rFonts w:cstheme="minorHAnsi"/>
          <w:color w:val="231F20"/>
          <w:w w:val="105"/>
        </w:rPr>
        <w:t>transition</w:t>
      </w:r>
      <w:r w:rsidR="00EA7458" w:rsidRPr="00E06806">
        <w:rPr>
          <w:rFonts w:cstheme="minorHAnsi"/>
          <w:color w:val="231F20"/>
          <w:spacing w:val="12"/>
          <w:w w:val="105"/>
        </w:rPr>
        <w:t xml:space="preserve"> </w:t>
      </w:r>
      <w:r w:rsidR="00EA7458" w:rsidRPr="00E06806">
        <w:rPr>
          <w:rFonts w:cstheme="minorHAnsi"/>
          <w:color w:val="231F20"/>
          <w:w w:val="105"/>
        </w:rPr>
        <w:t>needs</w:t>
      </w:r>
      <w:r w:rsidR="00EA7458" w:rsidRPr="00E06806">
        <w:rPr>
          <w:rFonts w:cstheme="minorHAnsi"/>
          <w:color w:val="231F20"/>
          <w:spacing w:val="12"/>
          <w:w w:val="105"/>
        </w:rPr>
        <w:t xml:space="preserve"> </w:t>
      </w:r>
      <w:r w:rsidR="00EA7458" w:rsidRPr="00E06806">
        <w:rPr>
          <w:rFonts w:cstheme="minorHAnsi"/>
          <w:color w:val="231F20"/>
          <w:w w:val="105"/>
        </w:rPr>
        <w:t>of</w:t>
      </w:r>
      <w:r w:rsidR="00EA7458" w:rsidRPr="00E06806">
        <w:rPr>
          <w:rFonts w:cstheme="minorHAnsi"/>
          <w:color w:val="231F20"/>
          <w:spacing w:val="12"/>
          <w:w w:val="105"/>
        </w:rPr>
        <w:t xml:space="preserve"> </w:t>
      </w:r>
      <w:r w:rsidR="00EA7458" w:rsidRPr="00E06806">
        <w:rPr>
          <w:rFonts w:cstheme="minorHAnsi"/>
          <w:color w:val="231F20"/>
          <w:w w:val="105"/>
        </w:rPr>
        <w:t>students</w:t>
      </w:r>
      <w:r w:rsidR="00EA7458" w:rsidRPr="00E06806">
        <w:rPr>
          <w:rFonts w:cstheme="minorHAnsi"/>
          <w:color w:val="231F20"/>
          <w:w w:val="106"/>
        </w:rPr>
        <w:t xml:space="preserve"> </w:t>
      </w:r>
      <w:r w:rsidR="00EA7458" w:rsidRPr="00E06806">
        <w:rPr>
          <w:rFonts w:cstheme="minorHAnsi"/>
          <w:color w:val="231F20"/>
          <w:w w:val="105"/>
        </w:rPr>
        <w:t>with</w:t>
      </w:r>
      <w:r w:rsidR="00EA7458" w:rsidRPr="00E06806">
        <w:rPr>
          <w:rFonts w:cstheme="minorHAnsi"/>
          <w:color w:val="231F20"/>
          <w:spacing w:val="-4"/>
          <w:w w:val="105"/>
        </w:rPr>
        <w:t xml:space="preserve"> </w:t>
      </w:r>
      <w:r w:rsidR="00EA7458" w:rsidRPr="00E06806">
        <w:rPr>
          <w:rFonts w:cstheme="minorHAnsi"/>
          <w:color w:val="231F20"/>
          <w:w w:val="105"/>
        </w:rPr>
        <w:t>disabilities.</w:t>
      </w:r>
    </w:p>
    <w:p w14:paraId="7BCF69A7" w14:textId="77777777" w:rsidR="00503CE8" w:rsidRDefault="00503CE8">
      <w:pPr>
        <w:rPr>
          <w:rFonts w:cstheme="minorHAnsi"/>
          <w:color w:val="231F20"/>
          <w:w w:val="105"/>
        </w:rPr>
      </w:pPr>
      <w:r>
        <w:rPr>
          <w:rFonts w:cstheme="minorHAnsi"/>
          <w:color w:val="231F20"/>
          <w:w w:val="105"/>
        </w:rPr>
        <w:br w:type="page"/>
      </w:r>
    </w:p>
    <w:p w14:paraId="334E77E5" w14:textId="5F151B9C" w:rsidR="00EA7458" w:rsidRDefault="00EA7458" w:rsidP="00D63204">
      <w:pPr>
        <w:spacing w:line="240" w:lineRule="auto"/>
        <w:ind w:left="107"/>
        <w:rPr>
          <w:rFonts w:cstheme="minorHAnsi"/>
          <w:sz w:val="14"/>
          <w:szCs w:val="14"/>
        </w:rPr>
      </w:pPr>
    </w:p>
    <w:p w14:paraId="70E80114" w14:textId="77777777" w:rsidR="00EA7458" w:rsidRPr="00E06806" w:rsidRDefault="00EA7458" w:rsidP="00D63204">
      <w:pPr>
        <w:widowControl w:val="0"/>
        <w:numPr>
          <w:ilvl w:val="0"/>
          <w:numId w:val="167"/>
        </w:numPr>
        <w:tabs>
          <w:tab w:val="left" w:pos="2268"/>
        </w:tabs>
        <w:spacing w:before="59" w:after="0" w:line="240" w:lineRule="auto"/>
        <w:rPr>
          <w:rFonts w:cstheme="minorHAnsi"/>
        </w:rPr>
      </w:pPr>
      <w:r w:rsidRPr="00E06806">
        <w:rPr>
          <w:rFonts w:cstheme="minorHAnsi"/>
          <w:color w:val="295CA3"/>
          <w:w w:val="110"/>
        </w:rPr>
        <w:t xml:space="preserve">Partner Engagement with Other Education and </w:t>
      </w:r>
      <w:r w:rsidRPr="00E06806">
        <w:rPr>
          <w:rFonts w:cstheme="minorHAnsi"/>
          <w:color w:val="295CA3"/>
          <w:spacing w:val="-3"/>
          <w:w w:val="110"/>
        </w:rPr>
        <w:t>Training</w:t>
      </w:r>
      <w:r w:rsidRPr="00E06806">
        <w:rPr>
          <w:rFonts w:cstheme="minorHAnsi"/>
          <w:color w:val="295CA3"/>
          <w:spacing w:val="-15"/>
          <w:w w:val="110"/>
        </w:rPr>
        <w:t xml:space="preserve"> </w:t>
      </w:r>
      <w:r w:rsidRPr="00E06806">
        <w:rPr>
          <w:rFonts w:cstheme="minorHAnsi"/>
          <w:color w:val="295CA3"/>
          <w:w w:val="110"/>
        </w:rPr>
        <w:t>Providers</w:t>
      </w:r>
    </w:p>
    <w:p w14:paraId="0F7E4A43" w14:textId="77777777" w:rsidR="00EA7458" w:rsidRPr="00E06806" w:rsidRDefault="00EA7458" w:rsidP="00D63204">
      <w:pPr>
        <w:widowControl w:val="0"/>
        <w:spacing w:before="195" w:after="0" w:line="266" w:lineRule="exact"/>
        <w:ind w:left="107"/>
        <w:outlineLvl w:val="2"/>
        <w:rPr>
          <w:rFonts w:cstheme="minorHAnsi"/>
        </w:rPr>
      </w:pPr>
      <w:r w:rsidRPr="00E06806">
        <w:rPr>
          <w:rFonts w:cstheme="minorHAnsi"/>
          <w:b/>
          <w:bCs/>
          <w:color w:val="231F20"/>
          <w:w w:val="110"/>
        </w:rPr>
        <w:t>Partnerships with School</w:t>
      </w:r>
      <w:r w:rsidRPr="00E06806">
        <w:rPr>
          <w:rFonts w:cstheme="minorHAnsi"/>
          <w:b/>
          <w:bCs/>
          <w:color w:val="231F20"/>
          <w:spacing w:val="-28"/>
          <w:w w:val="110"/>
        </w:rPr>
        <w:t xml:space="preserve"> </w:t>
      </w:r>
      <w:r w:rsidRPr="00E06806">
        <w:rPr>
          <w:rFonts w:cstheme="minorHAnsi"/>
          <w:b/>
          <w:bCs/>
          <w:color w:val="231F20"/>
          <w:w w:val="110"/>
        </w:rPr>
        <w:t>Districts</w:t>
      </w:r>
    </w:p>
    <w:p w14:paraId="0F4702B5" w14:textId="22F618C1" w:rsidR="00545606" w:rsidRDefault="00545606" w:rsidP="00D63204">
      <w:pPr>
        <w:widowControl w:val="0"/>
        <w:spacing w:after="0" w:line="240" w:lineRule="auto"/>
        <w:ind w:left="107"/>
        <w:rPr>
          <w:rFonts w:cstheme="minorHAnsi"/>
        </w:rPr>
      </w:pPr>
      <w:r w:rsidRPr="00E06806">
        <w:rPr>
          <w:rFonts w:cstheme="minorHAnsi"/>
          <w:color w:val="231F20"/>
          <w:w w:val="105"/>
        </w:rPr>
        <w:t>VR</w:t>
      </w:r>
      <w:r w:rsidRPr="00E06806">
        <w:rPr>
          <w:rFonts w:cstheme="minorHAnsi"/>
          <w:color w:val="231F20"/>
          <w:spacing w:val="18"/>
          <w:w w:val="105"/>
        </w:rPr>
        <w:t xml:space="preserve"> </w:t>
      </w:r>
      <w:r>
        <w:rPr>
          <w:rFonts w:cstheme="minorHAnsi"/>
          <w:color w:val="231F20"/>
          <w:w w:val="105"/>
        </w:rPr>
        <w:t>holds</w:t>
      </w:r>
      <w:r w:rsidRPr="00E06806">
        <w:rPr>
          <w:rFonts w:cstheme="minorHAnsi"/>
          <w:color w:val="231F20"/>
          <w:spacing w:val="18"/>
          <w:w w:val="105"/>
        </w:rPr>
        <w:t xml:space="preserve"> </w:t>
      </w:r>
      <w:r w:rsidRPr="00E06806">
        <w:rPr>
          <w:rFonts w:cstheme="minorHAnsi"/>
          <w:color w:val="231F20"/>
          <w:w w:val="105"/>
        </w:rPr>
        <w:t xml:space="preserve">Third Party Cooperative </w:t>
      </w:r>
      <w:r>
        <w:rPr>
          <w:rFonts w:cstheme="minorHAnsi"/>
          <w:color w:val="231F20"/>
          <w:w w:val="105"/>
        </w:rPr>
        <w:t>Arrangements</w:t>
      </w:r>
      <w:r w:rsidRPr="00E06806">
        <w:rPr>
          <w:rFonts w:cstheme="minorHAnsi"/>
          <w:color w:val="231F20"/>
          <w:w w:val="105"/>
        </w:rPr>
        <w:t xml:space="preserve"> (TPCA) with</w:t>
      </w:r>
      <w:r w:rsidRPr="00E06806">
        <w:rPr>
          <w:rFonts w:cstheme="minorHAnsi"/>
          <w:color w:val="231F20"/>
          <w:spacing w:val="18"/>
          <w:w w:val="105"/>
        </w:rPr>
        <w:t xml:space="preserve"> </w:t>
      </w:r>
      <w:r w:rsidRPr="00E06806">
        <w:rPr>
          <w:rFonts w:cstheme="minorHAnsi"/>
          <w:color w:val="231F20"/>
          <w:w w:val="105"/>
        </w:rPr>
        <w:t>some</w:t>
      </w:r>
      <w:r w:rsidRPr="00E06806">
        <w:rPr>
          <w:rFonts w:cstheme="minorHAnsi"/>
          <w:color w:val="231F20"/>
          <w:spacing w:val="18"/>
          <w:w w:val="105"/>
        </w:rPr>
        <w:t xml:space="preserve"> </w:t>
      </w:r>
      <w:r w:rsidRPr="00E06806">
        <w:rPr>
          <w:rFonts w:cstheme="minorHAnsi"/>
          <w:color w:val="231F20"/>
          <w:w w:val="105"/>
        </w:rPr>
        <w:t>local</w:t>
      </w:r>
      <w:r w:rsidRPr="00E06806">
        <w:rPr>
          <w:rFonts w:cstheme="minorHAnsi"/>
          <w:color w:val="231F20"/>
          <w:spacing w:val="18"/>
          <w:w w:val="105"/>
        </w:rPr>
        <w:t xml:space="preserve"> </w:t>
      </w:r>
      <w:r w:rsidRPr="00E06806">
        <w:rPr>
          <w:rFonts w:cstheme="minorHAnsi"/>
          <w:color w:val="231F20"/>
          <w:w w:val="105"/>
        </w:rPr>
        <w:t>school</w:t>
      </w:r>
      <w:r w:rsidRPr="00E06806">
        <w:rPr>
          <w:rFonts w:cstheme="minorHAnsi"/>
          <w:color w:val="231F20"/>
          <w:spacing w:val="18"/>
          <w:w w:val="105"/>
        </w:rPr>
        <w:t xml:space="preserve"> </w:t>
      </w:r>
      <w:r w:rsidRPr="00E06806">
        <w:rPr>
          <w:rFonts w:cstheme="minorHAnsi"/>
          <w:color w:val="231F20"/>
          <w:w w:val="105"/>
        </w:rPr>
        <w:t>districts.</w:t>
      </w:r>
      <w:r w:rsidRPr="00E06806">
        <w:rPr>
          <w:rFonts w:cstheme="minorHAnsi"/>
          <w:color w:val="231F20"/>
          <w:spacing w:val="18"/>
          <w:w w:val="105"/>
        </w:rPr>
        <w:t xml:space="preserve"> </w:t>
      </w:r>
      <w:r w:rsidRPr="00E06806">
        <w:rPr>
          <w:rFonts w:cstheme="minorHAnsi"/>
          <w:color w:val="231F20"/>
          <w:w w:val="105"/>
        </w:rPr>
        <w:t>Services</w:t>
      </w:r>
      <w:r w:rsidRPr="00E06806">
        <w:rPr>
          <w:rFonts w:cstheme="minorHAnsi"/>
          <w:color w:val="231F20"/>
          <w:spacing w:val="18"/>
          <w:w w:val="105"/>
        </w:rPr>
        <w:t xml:space="preserve"> </w:t>
      </w:r>
      <w:r w:rsidRPr="00E06806">
        <w:rPr>
          <w:rFonts w:cstheme="minorHAnsi"/>
          <w:color w:val="231F20"/>
          <w:w w:val="105"/>
        </w:rPr>
        <w:t>are</w:t>
      </w:r>
      <w:r w:rsidRPr="00E06806">
        <w:rPr>
          <w:rFonts w:cstheme="minorHAnsi"/>
          <w:color w:val="231F20"/>
          <w:spacing w:val="18"/>
          <w:w w:val="105"/>
        </w:rPr>
        <w:t xml:space="preserve"> </w:t>
      </w:r>
      <w:r w:rsidRPr="00E06806">
        <w:rPr>
          <w:rFonts w:cstheme="minorHAnsi"/>
          <w:color w:val="231F20"/>
          <w:w w:val="105"/>
        </w:rPr>
        <w:t>not</w:t>
      </w:r>
      <w:r w:rsidRPr="00E06806">
        <w:rPr>
          <w:rFonts w:cstheme="minorHAnsi"/>
          <w:color w:val="231F20"/>
          <w:spacing w:val="18"/>
          <w:w w:val="105"/>
        </w:rPr>
        <w:t xml:space="preserve"> </w:t>
      </w:r>
      <w:r w:rsidRPr="00E06806">
        <w:rPr>
          <w:rFonts w:cstheme="minorHAnsi"/>
          <w:color w:val="231F20"/>
          <w:w w:val="105"/>
        </w:rPr>
        <w:t>currently</w:t>
      </w:r>
      <w:r w:rsidRPr="00E06806">
        <w:rPr>
          <w:rFonts w:cstheme="minorHAnsi"/>
          <w:color w:val="231F20"/>
          <w:spacing w:val="18"/>
          <w:w w:val="105"/>
        </w:rPr>
        <w:t xml:space="preserve"> </w:t>
      </w:r>
      <w:r w:rsidRPr="00E06806">
        <w:rPr>
          <w:rFonts w:cstheme="minorHAnsi"/>
          <w:color w:val="231F20"/>
          <w:w w:val="105"/>
        </w:rPr>
        <w:t>available</w:t>
      </w:r>
      <w:r w:rsidRPr="00E06806">
        <w:rPr>
          <w:rFonts w:cstheme="minorHAnsi"/>
          <w:color w:val="231F20"/>
          <w:spacing w:val="18"/>
          <w:w w:val="105"/>
        </w:rPr>
        <w:t xml:space="preserve"> </w:t>
      </w:r>
      <w:r w:rsidRPr="00E06806">
        <w:rPr>
          <w:rFonts w:cstheme="minorHAnsi"/>
          <w:color w:val="231F20"/>
          <w:w w:val="105"/>
        </w:rPr>
        <w:t>in</w:t>
      </w:r>
      <w:r w:rsidRPr="00E06806">
        <w:rPr>
          <w:rFonts w:cstheme="minorHAnsi"/>
          <w:color w:val="231F20"/>
          <w:spacing w:val="18"/>
          <w:w w:val="105"/>
        </w:rPr>
        <w:t xml:space="preserve"> </w:t>
      </w:r>
      <w:r w:rsidRPr="00E06806">
        <w:rPr>
          <w:rFonts w:cstheme="minorHAnsi"/>
          <w:color w:val="231F20"/>
          <w:w w:val="105"/>
        </w:rPr>
        <w:t>all</w:t>
      </w:r>
      <w:r w:rsidRPr="00E06806">
        <w:rPr>
          <w:rFonts w:cstheme="minorHAnsi"/>
          <w:color w:val="231F20"/>
          <w:w w:val="104"/>
        </w:rPr>
        <w:t xml:space="preserve"> </w:t>
      </w:r>
      <w:r w:rsidRPr="00E06806">
        <w:rPr>
          <w:rFonts w:cstheme="minorHAnsi"/>
          <w:color w:val="231F20"/>
          <w:w w:val="105"/>
        </w:rPr>
        <w:t>areas</w:t>
      </w:r>
      <w:r w:rsidRPr="00E06806">
        <w:rPr>
          <w:rFonts w:cstheme="minorHAnsi"/>
          <w:color w:val="231F20"/>
          <w:spacing w:val="12"/>
          <w:w w:val="105"/>
        </w:rPr>
        <w:t xml:space="preserve"> </w:t>
      </w:r>
      <w:r w:rsidRPr="00E06806">
        <w:rPr>
          <w:rFonts w:cstheme="minorHAnsi"/>
          <w:color w:val="231F20"/>
          <w:w w:val="105"/>
        </w:rPr>
        <w:t>of</w:t>
      </w:r>
      <w:r w:rsidRPr="00E06806">
        <w:rPr>
          <w:rFonts w:cstheme="minorHAnsi"/>
          <w:color w:val="231F20"/>
          <w:spacing w:val="12"/>
          <w:w w:val="105"/>
        </w:rPr>
        <w:t xml:space="preserve"> </w:t>
      </w:r>
      <w:r w:rsidRPr="00E06806">
        <w:rPr>
          <w:rFonts w:cstheme="minorHAnsi"/>
          <w:color w:val="231F20"/>
          <w:w w:val="105"/>
        </w:rPr>
        <w:t>the</w:t>
      </w:r>
      <w:r w:rsidRPr="00E06806">
        <w:rPr>
          <w:rFonts w:cstheme="minorHAnsi"/>
          <w:color w:val="231F20"/>
          <w:spacing w:val="12"/>
          <w:w w:val="105"/>
        </w:rPr>
        <w:t xml:space="preserve"> </w:t>
      </w:r>
      <w:r w:rsidRPr="00E06806">
        <w:rPr>
          <w:rFonts w:cstheme="minorHAnsi"/>
          <w:color w:val="231F20"/>
          <w:w w:val="105"/>
        </w:rPr>
        <w:t>state.</w:t>
      </w:r>
      <w:r w:rsidRPr="00E06806">
        <w:rPr>
          <w:rFonts w:cstheme="minorHAnsi"/>
          <w:color w:val="231F20"/>
          <w:spacing w:val="12"/>
          <w:w w:val="105"/>
        </w:rPr>
        <w:t xml:space="preserve"> </w:t>
      </w:r>
      <w:r w:rsidRPr="00E06806">
        <w:rPr>
          <w:rFonts w:cstheme="minorHAnsi"/>
          <w:color w:val="231F20"/>
          <w:w w:val="105"/>
        </w:rPr>
        <w:t>TPCA</w:t>
      </w:r>
      <w:r w:rsidRPr="00E06806">
        <w:rPr>
          <w:rFonts w:cstheme="minorHAnsi"/>
          <w:color w:val="231F20"/>
          <w:spacing w:val="12"/>
          <w:w w:val="105"/>
        </w:rPr>
        <w:t xml:space="preserve"> </w:t>
      </w:r>
      <w:r w:rsidRPr="00E06806">
        <w:rPr>
          <w:rFonts w:cstheme="minorHAnsi"/>
          <w:color w:val="231F20"/>
          <w:w w:val="105"/>
        </w:rPr>
        <w:t>and</w:t>
      </w:r>
      <w:r w:rsidRPr="00E06806">
        <w:rPr>
          <w:rFonts w:cstheme="minorHAnsi"/>
          <w:color w:val="231F20"/>
          <w:spacing w:val="12"/>
          <w:w w:val="105"/>
        </w:rPr>
        <w:t xml:space="preserve"> </w:t>
      </w:r>
      <w:r w:rsidRPr="00E06806">
        <w:rPr>
          <w:rFonts w:cstheme="minorHAnsi"/>
          <w:color w:val="231F20"/>
          <w:w w:val="105"/>
        </w:rPr>
        <w:t>other</w:t>
      </w:r>
      <w:r w:rsidRPr="00E06806">
        <w:rPr>
          <w:rFonts w:cstheme="minorHAnsi"/>
          <w:color w:val="231F20"/>
          <w:spacing w:val="12"/>
          <w:w w:val="105"/>
        </w:rPr>
        <w:t xml:space="preserve"> </w:t>
      </w:r>
      <w:r w:rsidRPr="00E06806">
        <w:rPr>
          <w:rFonts w:cstheme="minorHAnsi"/>
          <w:color w:val="231F20"/>
          <w:w w:val="105"/>
        </w:rPr>
        <w:t>VR</w:t>
      </w:r>
      <w:r w:rsidRPr="00E06806">
        <w:rPr>
          <w:rFonts w:cstheme="minorHAnsi"/>
          <w:color w:val="231F20"/>
          <w:spacing w:val="12"/>
          <w:w w:val="105"/>
        </w:rPr>
        <w:t xml:space="preserve"> </w:t>
      </w:r>
      <w:r w:rsidRPr="00E06806">
        <w:rPr>
          <w:rFonts w:cstheme="minorHAnsi"/>
          <w:color w:val="231F20"/>
          <w:w w:val="105"/>
        </w:rPr>
        <w:t>Transition</w:t>
      </w:r>
      <w:r w:rsidRPr="00E06806">
        <w:rPr>
          <w:rFonts w:cstheme="minorHAnsi"/>
          <w:color w:val="231F20"/>
          <w:spacing w:val="12"/>
          <w:w w:val="105"/>
        </w:rPr>
        <w:t xml:space="preserve"> </w:t>
      </w:r>
      <w:r w:rsidRPr="00E06806">
        <w:rPr>
          <w:rFonts w:cstheme="minorHAnsi"/>
          <w:color w:val="231F20"/>
          <w:spacing w:val="-5"/>
          <w:w w:val="105"/>
        </w:rPr>
        <w:t>Youth</w:t>
      </w:r>
      <w:r w:rsidRPr="00E06806">
        <w:rPr>
          <w:rFonts w:cstheme="minorHAnsi"/>
          <w:color w:val="231F20"/>
          <w:spacing w:val="12"/>
          <w:w w:val="105"/>
        </w:rPr>
        <w:t xml:space="preserve"> </w:t>
      </w:r>
      <w:r w:rsidRPr="00E06806">
        <w:rPr>
          <w:rFonts w:cstheme="minorHAnsi"/>
          <w:color w:val="231F20"/>
          <w:w w:val="105"/>
        </w:rPr>
        <w:t>services</w:t>
      </w:r>
      <w:r w:rsidRPr="00E06806">
        <w:rPr>
          <w:rFonts w:cstheme="minorHAnsi"/>
          <w:color w:val="231F20"/>
          <w:spacing w:val="12"/>
          <w:w w:val="105"/>
        </w:rPr>
        <w:t xml:space="preserve"> </w:t>
      </w:r>
      <w:r w:rsidRPr="00E06806">
        <w:rPr>
          <w:rFonts w:cstheme="minorHAnsi"/>
          <w:color w:val="231F20"/>
          <w:w w:val="105"/>
        </w:rPr>
        <w:t>align</w:t>
      </w:r>
      <w:r w:rsidRPr="00E06806">
        <w:rPr>
          <w:rFonts w:cstheme="minorHAnsi"/>
          <w:color w:val="231F20"/>
          <w:spacing w:val="12"/>
          <w:w w:val="105"/>
        </w:rPr>
        <w:t xml:space="preserve"> </w:t>
      </w:r>
      <w:r w:rsidRPr="00E06806">
        <w:rPr>
          <w:rFonts w:cstheme="minorHAnsi"/>
          <w:color w:val="231F20"/>
          <w:w w:val="105"/>
        </w:rPr>
        <w:t>with</w:t>
      </w:r>
      <w:r w:rsidRPr="00E06806">
        <w:rPr>
          <w:rFonts w:cstheme="minorHAnsi"/>
          <w:color w:val="231F20"/>
          <w:spacing w:val="12"/>
          <w:w w:val="105"/>
        </w:rPr>
        <w:t xml:space="preserve"> </w:t>
      </w:r>
      <w:r w:rsidRPr="00E06806">
        <w:rPr>
          <w:rFonts w:cstheme="minorHAnsi"/>
          <w:color w:val="231F20"/>
          <w:w w:val="105"/>
        </w:rPr>
        <w:t>the</w:t>
      </w:r>
      <w:r w:rsidRPr="00E06806">
        <w:rPr>
          <w:rFonts w:cstheme="minorHAnsi"/>
          <w:color w:val="231F20"/>
          <w:spacing w:val="12"/>
          <w:w w:val="105"/>
        </w:rPr>
        <w:t xml:space="preserve"> </w:t>
      </w:r>
      <w:r w:rsidRPr="00E06806">
        <w:rPr>
          <w:rFonts w:cstheme="minorHAnsi"/>
          <w:color w:val="231F20"/>
          <w:w w:val="105"/>
        </w:rPr>
        <w:t>Pre-Employment</w:t>
      </w:r>
      <w:r w:rsidRPr="00E06806">
        <w:rPr>
          <w:rFonts w:cstheme="minorHAnsi"/>
          <w:color w:val="231F20"/>
          <w:spacing w:val="12"/>
          <w:w w:val="105"/>
        </w:rPr>
        <w:t xml:space="preserve"> </w:t>
      </w:r>
      <w:r w:rsidRPr="00E06806">
        <w:rPr>
          <w:rFonts w:cstheme="minorHAnsi"/>
          <w:color w:val="231F20"/>
          <w:w w:val="105"/>
        </w:rPr>
        <w:t>Transition</w:t>
      </w:r>
      <w:r w:rsidRPr="00E06806">
        <w:rPr>
          <w:rFonts w:cstheme="minorHAnsi"/>
          <w:color w:val="231F20"/>
          <w:w w:val="104"/>
        </w:rPr>
        <w:t xml:space="preserve"> </w:t>
      </w:r>
      <w:r w:rsidRPr="00E06806">
        <w:rPr>
          <w:rFonts w:cstheme="minorHAnsi"/>
          <w:color w:val="231F20"/>
          <w:w w:val="105"/>
        </w:rPr>
        <w:t>Services required under WIOA. These arrangements provide community-based work experiences to eligible students who have Supported Employment (SE) service needs identified in their Individual</w:t>
      </w:r>
      <w:r w:rsidRPr="00E06806">
        <w:rPr>
          <w:rFonts w:cstheme="minorHAnsi"/>
          <w:color w:val="231F20"/>
          <w:spacing w:val="41"/>
          <w:w w:val="105"/>
        </w:rPr>
        <w:t xml:space="preserve"> </w:t>
      </w:r>
      <w:r w:rsidRPr="00E06806">
        <w:rPr>
          <w:rFonts w:cstheme="minorHAnsi"/>
          <w:color w:val="231F20"/>
          <w:w w:val="105"/>
        </w:rPr>
        <w:t>Educational Plan and Individualized Plan for Employment. This model reimburses school districts for</w:t>
      </w:r>
      <w:r w:rsidRPr="00E06806">
        <w:rPr>
          <w:rFonts w:cstheme="minorHAnsi"/>
          <w:color w:val="231F20"/>
          <w:spacing w:val="31"/>
          <w:w w:val="105"/>
        </w:rPr>
        <w:t xml:space="preserve"> </w:t>
      </w:r>
      <w:r w:rsidRPr="00E06806">
        <w:rPr>
          <w:rFonts w:cstheme="minorHAnsi"/>
          <w:color w:val="231F20"/>
          <w:w w:val="105"/>
        </w:rPr>
        <w:t>services provided to VR-eligible students with disabilities and supports a seamless transition into</w:t>
      </w:r>
      <w:r w:rsidRPr="00E06806">
        <w:rPr>
          <w:rFonts w:cstheme="minorHAnsi"/>
          <w:color w:val="231F20"/>
          <w:spacing w:val="41"/>
          <w:w w:val="105"/>
        </w:rPr>
        <w:t xml:space="preserve"> </w:t>
      </w:r>
      <w:r w:rsidRPr="00E06806">
        <w:rPr>
          <w:rFonts w:cstheme="minorHAnsi"/>
          <w:color w:val="231F20"/>
          <w:w w:val="105"/>
        </w:rPr>
        <w:t xml:space="preserve">postsecondary employment. Available statewide, On-the-Job </w:t>
      </w:r>
      <w:r w:rsidRPr="00E06806">
        <w:rPr>
          <w:rFonts w:cstheme="minorHAnsi"/>
          <w:color w:val="231F20"/>
          <w:spacing w:val="-3"/>
          <w:w w:val="105"/>
        </w:rPr>
        <w:t xml:space="preserve">Training </w:t>
      </w:r>
      <w:r w:rsidRPr="00E06806">
        <w:rPr>
          <w:rFonts w:cstheme="minorHAnsi"/>
          <w:color w:val="231F20"/>
          <w:w w:val="105"/>
        </w:rPr>
        <w:t xml:space="preserve">through </w:t>
      </w:r>
      <w:r w:rsidRPr="00E06806">
        <w:rPr>
          <w:rFonts w:cstheme="minorHAnsi"/>
          <w:color w:val="231F20"/>
          <w:spacing w:val="-3"/>
          <w:w w:val="105"/>
        </w:rPr>
        <w:t xml:space="preserve">VR </w:t>
      </w:r>
      <w:r w:rsidRPr="00E06806">
        <w:rPr>
          <w:rFonts w:cstheme="minorHAnsi"/>
          <w:color w:val="231F20"/>
          <w:w w:val="105"/>
        </w:rPr>
        <w:t>providers</w:t>
      </w:r>
      <w:r w:rsidRPr="00E06806">
        <w:rPr>
          <w:rFonts w:cstheme="minorHAnsi"/>
          <w:color w:val="231F20"/>
          <w:spacing w:val="25"/>
          <w:w w:val="105"/>
        </w:rPr>
        <w:t xml:space="preserve"> </w:t>
      </w:r>
      <w:r w:rsidRPr="00E06806">
        <w:rPr>
          <w:rFonts w:cstheme="minorHAnsi"/>
          <w:color w:val="231F20"/>
          <w:w w:val="105"/>
        </w:rPr>
        <w:t>deliver</w:t>
      </w:r>
      <w:r w:rsidRPr="00E06806">
        <w:rPr>
          <w:rFonts w:cstheme="minorHAnsi"/>
          <w:color w:val="231F20"/>
          <w:spacing w:val="25"/>
          <w:w w:val="105"/>
        </w:rPr>
        <w:t xml:space="preserve"> </w:t>
      </w:r>
      <w:r w:rsidRPr="00E06806">
        <w:rPr>
          <w:rFonts w:cstheme="minorHAnsi"/>
          <w:color w:val="231F20"/>
          <w:w w:val="105"/>
        </w:rPr>
        <w:t>needed</w:t>
      </w:r>
      <w:r w:rsidRPr="00E06806">
        <w:rPr>
          <w:rFonts w:cstheme="minorHAnsi"/>
          <w:color w:val="231F20"/>
          <w:spacing w:val="25"/>
          <w:w w:val="105"/>
        </w:rPr>
        <w:t xml:space="preserve"> </w:t>
      </w:r>
      <w:r w:rsidRPr="00E06806">
        <w:rPr>
          <w:rFonts w:cstheme="minorHAnsi"/>
          <w:color w:val="231F20"/>
          <w:w w:val="105"/>
        </w:rPr>
        <w:t>community-based</w:t>
      </w:r>
      <w:r w:rsidRPr="00E06806">
        <w:rPr>
          <w:rFonts w:cstheme="minorHAnsi"/>
          <w:color w:val="231F20"/>
          <w:spacing w:val="25"/>
          <w:w w:val="105"/>
        </w:rPr>
        <w:t xml:space="preserve"> </w:t>
      </w:r>
      <w:r w:rsidRPr="00E06806">
        <w:rPr>
          <w:rFonts w:cstheme="minorHAnsi"/>
          <w:color w:val="231F20"/>
          <w:w w:val="105"/>
        </w:rPr>
        <w:t>work</w:t>
      </w:r>
      <w:r w:rsidRPr="00E06806">
        <w:rPr>
          <w:rFonts w:cstheme="minorHAnsi"/>
          <w:color w:val="231F20"/>
          <w:spacing w:val="25"/>
          <w:w w:val="105"/>
        </w:rPr>
        <w:t xml:space="preserve"> </w:t>
      </w:r>
      <w:r w:rsidRPr="00E06806">
        <w:rPr>
          <w:rFonts w:cstheme="minorHAnsi"/>
          <w:color w:val="231F20"/>
          <w:w w:val="105"/>
        </w:rPr>
        <w:t>experiences</w:t>
      </w:r>
      <w:r w:rsidRPr="00E06806">
        <w:rPr>
          <w:rFonts w:cstheme="minorHAnsi"/>
          <w:color w:val="231F20"/>
          <w:spacing w:val="25"/>
          <w:w w:val="105"/>
        </w:rPr>
        <w:t xml:space="preserve"> </w:t>
      </w:r>
      <w:r w:rsidRPr="00E06806">
        <w:rPr>
          <w:rFonts w:cstheme="minorHAnsi"/>
          <w:color w:val="231F20"/>
          <w:w w:val="105"/>
        </w:rPr>
        <w:t>to</w:t>
      </w:r>
      <w:r w:rsidRPr="00E06806">
        <w:rPr>
          <w:rFonts w:cstheme="minorHAnsi"/>
          <w:color w:val="231F20"/>
          <w:spacing w:val="25"/>
          <w:w w:val="105"/>
        </w:rPr>
        <w:t xml:space="preserve"> </w:t>
      </w:r>
      <w:r w:rsidRPr="00E06806">
        <w:rPr>
          <w:rFonts w:cstheme="minorHAnsi"/>
          <w:color w:val="231F20"/>
          <w:w w:val="105"/>
        </w:rPr>
        <w:t>VR-eligible</w:t>
      </w:r>
      <w:r w:rsidRPr="00E06806">
        <w:rPr>
          <w:rFonts w:cstheme="minorHAnsi"/>
          <w:color w:val="231F20"/>
          <w:spacing w:val="25"/>
          <w:w w:val="105"/>
        </w:rPr>
        <w:t xml:space="preserve"> </w:t>
      </w:r>
      <w:r w:rsidRPr="00E06806">
        <w:rPr>
          <w:rFonts w:cstheme="minorHAnsi"/>
          <w:color w:val="231F20"/>
          <w:w w:val="105"/>
        </w:rPr>
        <w:t>students</w:t>
      </w:r>
      <w:r w:rsidRPr="00E06806">
        <w:rPr>
          <w:rFonts w:cstheme="minorHAnsi"/>
          <w:color w:val="231F20"/>
          <w:spacing w:val="25"/>
          <w:w w:val="105"/>
        </w:rPr>
        <w:t xml:space="preserve"> </w:t>
      </w:r>
      <w:r w:rsidRPr="00E06806">
        <w:rPr>
          <w:rFonts w:cstheme="minorHAnsi"/>
          <w:color w:val="231F20"/>
          <w:w w:val="105"/>
        </w:rPr>
        <w:t>who</w:t>
      </w:r>
      <w:r w:rsidRPr="00E06806">
        <w:rPr>
          <w:rFonts w:cstheme="minorHAnsi"/>
          <w:color w:val="231F20"/>
          <w:spacing w:val="25"/>
          <w:w w:val="105"/>
        </w:rPr>
        <w:t xml:space="preserve"> </w:t>
      </w:r>
      <w:r w:rsidRPr="00E06806">
        <w:rPr>
          <w:rFonts w:cstheme="minorHAnsi"/>
          <w:color w:val="231F20"/>
          <w:w w:val="105"/>
        </w:rPr>
        <w:t>do</w:t>
      </w:r>
      <w:r w:rsidRPr="00E06806">
        <w:rPr>
          <w:rFonts w:cstheme="minorHAnsi"/>
          <w:color w:val="231F20"/>
          <w:w w:val="109"/>
        </w:rPr>
        <w:t xml:space="preserve"> </w:t>
      </w:r>
      <w:r w:rsidRPr="00E06806">
        <w:rPr>
          <w:rFonts w:cstheme="minorHAnsi"/>
          <w:color w:val="231F20"/>
          <w:w w:val="105"/>
        </w:rPr>
        <w:t>not require the intense supports provided through the TPCA.</w:t>
      </w:r>
      <w:r>
        <w:rPr>
          <w:rFonts w:cstheme="minorHAnsi"/>
          <w:color w:val="231F20"/>
          <w:w w:val="105"/>
        </w:rPr>
        <w:t xml:space="preserve"> Community</w:t>
      </w:r>
      <w:r w:rsidR="00ED6261">
        <w:rPr>
          <w:rFonts w:cstheme="minorHAnsi"/>
          <w:color w:val="231F20"/>
          <w:w w:val="105"/>
        </w:rPr>
        <w:t>-</w:t>
      </w:r>
      <w:r>
        <w:rPr>
          <w:rFonts w:cstheme="minorHAnsi"/>
          <w:color w:val="231F20"/>
          <w:w w:val="105"/>
        </w:rPr>
        <w:t>based work experiences are</w:t>
      </w:r>
      <w:r w:rsidR="006C2FDF">
        <w:rPr>
          <w:rFonts w:cstheme="minorHAnsi"/>
          <w:color w:val="231F20"/>
          <w:w w:val="105"/>
        </w:rPr>
        <w:t xml:space="preserve"> also</w:t>
      </w:r>
      <w:r>
        <w:rPr>
          <w:rFonts w:cstheme="minorHAnsi"/>
          <w:color w:val="231F20"/>
          <w:w w:val="105"/>
        </w:rPr>
        <w:t xml:space="preserve"> available through </w:t>
      </w:r>
      <w:r w:rsidRPr="003C5A64">
        <w:rPr>
          <w:rFonts w:cstheme="minorHAnsi"/>
          <w:color w:val="231F20"/>
          <w:w w:val="105"/>
        </w:rPr>
        <w:t>Project SEARCH</w:t>
      </w:r>
      <w:r>
        <w:rPr>
          <w:rFonts w:cstheme="minorHAnsi"/>
          <w:color w:val="231F20"/>
          <w:w w:val="105"/>
        </w:rPr>
        <w:t xml:space="preserve">, </w:t>
      </w:r>
      <w:r w:rsidRPr="003C5A64">
        <w:rPr>
          <w:rFonts w:cstheme="minorHAnsi"/>
          <w:color w:val="231F20"/>
          <w:w w:val="105"/>
        </w:rPr>
        <w:t xml:space="preserve">a partnership between the school district, VR, a </w:t>
      </w:r>
      <w:r>
        <w:rPr>
          <w:rFonts w:cstheme="minorHAnsi"/>
          <w:color w:val="231F20"/>
          <w:w w:val="105"/>
        </w:rPr>
        <w:t>provider</w:t>
      </w:r>
      <w:r w:rsidR="00D5537E">
        <w:rPr>
          <w:rFonts w:cstheme="minorHAnsi"/>
          <w:color w:val="231F20"/>
          <w:w w:val="105"/>
        </w:rPr>
        <w:t xml:space="preserve"> and</w:t>
      </w:r>
      <w:r w:rsidRPr="003C5A64">
        <w:rPr>
          <w:rFonts w:cstheme="minorHAnsi"/>
          <w:color w:val="231F20"/>
          <w:w w:val="105"/>
        </w:rPr>
        <w:t xml:space="preserve"> a host business</w:t>
      </w:r>
      <w:r>
        <w:rPr>
          <w:rFonts w:cstheme="minorHAnsi"/>
          <w:color w:val="231F20"/>
          <w:w w:val="105"/>
        </w:rPr>
        <w:t>, to</w:t>
      </w:r>
      <w:r w:rsidRPr="003C5A64">
        <w:rPr>
          <w:rFonts w:cstheme="minorHAnsi"/>
          <w:color w:val="231F20"/>
          <w:w w:val="105"/>
        </w:rPr>
        <w:t xml:space="preserve"> deliver multiple internships to students who have SE service needs.</w:t>
      </w:r>
    </w:p>
    <w:p w14:paraId="5E0B65D1" w14:textId="77777777" w:rsidR="00EA7458" w:rsidRPr="00E06806" w:rsidRDefault="00EA7458" w:rsidP="00D63204">
      <w:pPr>
        <w:widowControl w:val="0"/>
        <w:spacing w:before="192" w:after="0" w:line="266" w:lineRule="exact"/>
        <w:ind w:left="107"/>
        <w:outlineLvl w:val="2"/>
        <w:rPr>
          <w:rFonts w:cstheme="minorHAnsi"/>
        </w:rPr>
      </w:pPr>
      <w:r w:rsidRPr="00E06806">
        <w:rPr>
          <w:rFonts w:cstheme="minorHAnsi"/>
          <w:b/>
          <w:bCs/>
          <w:color w:val="231F20"/>
          <w:w w:val="110"/>
        </w:rPr>
        <w:t>Leveraging Partnerships for Exceptional Education and Student</w:t>
      </w:r>
      <w:r w:rsidRPr="00E06806">
        <w:rPr>
          <w:rFonts w:cstheme="minorHAnsi"/>
          <w:b/>
          <w:bCs/>
          <w:color w:val="231F20"/>
          <w:spacing w:val="-13"/>
          <w:w w:val="110"/>
        </w:rPr>
        <w:t xml:space="preserve"> </w:t>
      </w:r>
      <w:r w:rsidRPr="00E06806">
        <w:rPr>
          <w:rFonts w:cstheme="minorHAnsi"/>
          <w:b/>
          <w:bCs/>
          <w:color w:val="231F20"/>
          <w:w w:val="110"/>
        </w:rPr>
        <w:t>Services</w:t>
      </w:r>
    </w:p>
    <w:p w14:paraId="3A72BB2D" w14:textId="3940D1BB" w:rsidR="00FD727A" w:rsidRDefault="00EA7458" w:rsidP="00D85DA0">
      <w:pPr>
        <w:widowControl w:val="0"/>
        <w:spacing w:before="2" w:after="0" w:line="235" w:lineRule="auto"/>
        <w:ind w:left="107"/>
        <w:rPr>
          <w:rFonts w:cstheme="minorHAnsi"/>
          <w:color w:val="231F20"/>
          <w:w w:val="105"/>
        </w:rPr>
      </w:pPr>
      <w:r w:rsidRPr="00E06806">
        <w:rPr>
          <w:rFonts w:cstheme="minorHAnsi"/>
          <w:color w:val="231F20"/>
          <w:w w:val="105"/>
        </w:rPr>
        <w:t>FDBS</w:t>
      </w:r>
      <w:r w:rsidRPr="00E06806">
        <w:rPr>
          <w:rFonts w:cstheme="minorHAnsi"/>
          <w:color w:val="231F20"/>
          <w:spacing w:val="14"/>
          <w:w w:val="105"/>
        </w:rPr>
        <w:t xml:space="preserve"> </w:t>
      </w:r>
      <w:r w:rsidRPr="00E06806">
        <w:rPr>
          <w:rFonts w:cstheme="minorHAnsi"/>
          <w:color w:val="231F20"/>
          <w:w w:val="105"/>
        </w:rPr>
        <w:t>and</w:t>
      </w:r>
      <w:r w:rsidRPr="00E06806">
        <w:rPr>
          <w:rFonts w:cstheme="minorHAnsi"/>
          <w:color w:val="231F20"/>
          <w:spacing w:val="14"/>
          <w:w w:val="105"/>
        </w:rPr>
        <w:t xml:space="preserve"> </w:t>
      </w:r>
      <w:r w:rsidRPr="00E06806">
        <w:rPr>
          <w:rFonts w:cstheme="minorHAnsi"/>
          <w:color w:val="231F20"/>
          <w:w w:val="105"/>
        </w:rPr>
        <w:t>VR</w:t>
      </w:r>
      <w:r w:rsidRPr="00E06806">
        <w:rPr>
          <w:rFonts w:cstheme="minorHAnsi"/>
          <w:color w:val="231F20"/>
          <w:spacing w:val="14"/>
          <w:w w:val="105"/>
        </w:rPr>
        <w:t xml:space="preserve"> </w:t>
      </w:r>
      <w:r w:rsidRPr="00E06806">
        <w:rPr>
          <w:rFonts w:cstheme="minorHAnsi"/>
          <w:color w:val="231F20"/>
          <w:w w:val="105"/>
        </w:rPr>
        <w:t>entered</w:t>
      </w:r>
      <w:r w:rsidRPr="00E06806">
        <w:rPr>
          <w:rFonts w:cstheme="minorHAnsi"/>
          <w:color w:val="231F20"/>
          <w:spacing w:val="14"/>
          <w:w w:val="105"/>
        </w:rPr>
        <w:t xml:space="preserve"> </w:t>
      </w:r>
      <w:r w:rsidRPr="00E06806">
        <w:rPr>
          <w:rFonts w:cstheme="minorHAnsi"/>
          <w:color w:val="231F20"/>
          <w:w w:val="105"/>
        </w:rPr>
        <w:t>into</w:t>
      </w:r>
      <w:r w:rsidRPr="00E06806">
        <w:rPr>
          <w:rFonts w:cstheme="minorHAnsi"/>
          <w:color w:val="231F20"/>
          <w:spacing w:val="14"/>
          <w:w w:val="105"/>
        </w:rPr>
        <w:t xml:space="preserve"> </w:t>
      </w:r>
      <w:r w:rsidRPr="00E06806">
        <w:rPr>
          <w:rFonts w:cstheme="minorHAnsi"/>
          <w:color w:val="231F20"/>
          <w:w w:val="105"/>
        </w:rPr>
        <w:t>a</w:t>
      </w:r>
      <w:r w:rsidR="00D85DA0">
        <w:rPr>
          <w:rFonts w:cstheme="minorHAnsi"/>
          <w:color w:val="231F20"/>
          <w:w w:val="105"/>
        </w:rPr>
        <w:t>n</w:t>
      </w:r>
      <w:r w:rsidRPr="00E06806">
        <w:rPr>
          <w:rFonts w:cstheme="minorHAnsi"/>
          <w:color w:val="231F20"/>
          <w:spacing w:val="14"/>
          <w:w w:val="105"/>
        </w:rPr>
        <w:t xml:space="preserve"> </w:t>
      </w:r>
      <w:r w:rsidRPr="00E06806">
        <w:rPr>
          <w:rFonts w:cstheme="minorHAnsi"/>
          <w:color w:val="231F20"/>
          <w:w w:val="105"/>
        </w:rPr>
        <w:t>MOU</w:t>
      </w:r>
      <w:r w:rsidRPr="00E06806">
        <w:rPr>
          <w:rFonts w:cstheme="minorHAnsi"/>
          <w:color w:val="231F20"/>
          <w:spacing w:val="14"/>
          <w:w w:val="105"/>
        </w:rPr>
        <w:t xml:space="preserve"> </w:t>
      </w:r>
      <w:r w:rsidRPr="00E06806">
        <w:rPr>
          <w:rFonts w:cstheme="minorHAnsi"/>
          <w:color w:val="231F20"/>
          <w:w w:val="105"/>
        </w:rPr>
        <w:t>with</w:t>
      </w:r>
      <w:r w:rsidRPr="00E06806">
        <w:rPr>
          <w:rFonts w:cstheme="minorHAnsi"/>
          <w:color w:val="231F20"/>
          <w:spacing w:val="14"/>
          <w:w w:val="105"/>
        </w:rPr>
        <w:t xml:space="preserve"> </w:t>
      </w:r>
      <w:r w:rsidRPr="00E06806">
        <w:rPr>
          <w:rFonts w:cstheme="minorHAnsi"/>
          <w:color w:val="231F20"/>
          <w:w w:val="105"/>
        </w:rPr>
        <w:t>the</w:t>
      </w:r>
      <w:r w:rsidRPr="00E06806">
        <w:rPr>
          <w:rFonts w:cstheme="minorHAnsi"/>
          <w:color w:val="231F20"/>
          <w:spacing w:val="14"/>
          <w:w w:val="105"/>
        </w:rPr>
        <w:t xml:space="preserve"> </w:t>
      </w:r>
      <w:r w:rsidRPr="00E06806">
        <w:rPr>
          <w:rFonts w:cstheme="minorHAnsi"/>
          <w:color w:val="231F20"/>
          <w:w w:val="105"/>
        </w:rPr>
        <w:t>Florida</w:t>
      </w:r>
      <w:r w:rsidRPr="00E06806">
        <w:rPr>
          <w:rFonts w:cstheme="minorHAnsi"/>
          <w:color w:val="231F20"/>
          <w:spacing w:val="14"/>
          <w:w w:val="105"/>
        </w:rPr>
        <w:t xml:space="preserve"> </w:t>
      </w:r>
      <w:r w:rsidRPr="00E06806">
        <w:rPr>
          <w:rFonts w:cstheme="minorHAnsi"/>
          <w:color w:val="231F20"/>
          <w:w w:val="105"/>
        </w:rPr>
        <w:t>Department</w:t>
      </w:r>
      <w:r w:rsidRPr="00E06806">
        <w:rPr>
          <w:rFonts w:cstheme="minorHAnsi"/>
          <w:color w:val="231F20"/>
          <w:spacing w:val="14"/>
          <w:w w:val="105"/>
        </w:rPr>
        <w:t xml:space="preserve"> </w:t>
      </w:r>
      <w:r w:rsidRPr="00E06806">
        <w:rPr>
          <w:rFonts w:cstheme="minorHAnsi"/>
          <w:color w:val="231F20"/>
          <w:w w:val="105"/>
        </w:rPr>
        <w:t>of</w:t>
      </w:r>
      <w:r w:rsidRPr="00E06806">
        <w:rPr>
          <w:rFonts w:cstheme="minorHAnsi"/>
          <w:color w:val="231F20"/>
          <w:spacing w:val="14"/>
          <w:w w:val="105"/>
        </w:rPr>
        <w:t xml:space="preserve"> </w:t>
      </w:r>
      <w:r w:rsidRPr="00E06806">
        <w:rPr>
          <w:rFonts w:cstheme="minorHAnsi"/>
          <w:color w:val="231F20"/>
          <w:w w:val="105"/>
        </w:rPr>
        <w:t>Education’s</w:t>
      </w:r>
      <w:r w:rsidRPr="00E06806">
        <w:rPr>
          <w:rFonts w:cstheme="minorHAnsi"/>
          <w:color w:val="231F20"/>
          <w:spacing w:val="14"/>
          <w:w w:val="105"/>
        </w:rPr>
        <w:t xml:space="preserve"> </w:t>
      </w:r>
      <w:r w:rsidRPr="00E06806">
        <w:rPr>
          <w:rFonts w:cstheme="minorHAnsi"/>
          <w:color w:val="231F20"/>
          <w:w w:val="105"/>
        </w:rPr>
        <w:t>Bureau</w:t>
      </w:r>
      <w:r w:rsidRPr="00E06806">
        <w:rPr>
          <w:rFonts w:cstheme="minorHAnsi"/>
          <w:color w:val="231F20"/>
          <w:spacing w:val="14"/>
          <w:w w:val="105"/>
        </w:rPr>
        <w:t xml:space="preserve"> </w:t>
      </w:r>
      <w:r w:rsidRPr="00E06806">
        <w:rPr>
          <w:rFonts w:cstheme="minorHAnsi"/>
          <w:color w:val="231F20"/>
          <w:w w:val="105"/>
        </w:rPr>
        <w:t>of</w:t>
      </w:r>
      <w:r w:rsidRPr="00E06806">
        <w:rPr>
          <w:rFonts w:cstheme="minorHAnsi"/>
          <w:color w:val="231F20"/>
          <w:spacing w:val="14"/>
          <w:w w:val="105"/>
        </w:rPr>
        <w:t xml:space="preserve"> </w:t>
      </w:r>
      <w:r w:rsidRPr="00E06806">
        <w:rPr>
          <w:rFonts w:cstheme="minorHAnsi"/>
          <w:color w:val="231F20"/>
          <w:w w:val="105"/>
        </w:rPr>
        <w:t>Exceptional</w:t>
      </w:r>
      <w:r w:rsidRPr="00E06806">
        <w:rPr>
          <w:rFonts w:cstheme="minorHAnsi"/>
          <w:color w:val="231F20"/>
          <w:w w:val="106"/>
        </w:rPr>
        <w:t xml:space="preserve"> </w:t>
      </w:r>
      <w:r w:rsidRPr="00E06806">
        <w:rPr>
          <w:rFonts w:cstheme="minorHAnsi"/>
          <w:color w:val="231F20"/>
          <w:w w:val="105"/>
        </w:rPr>
        <w:t xml:space="preserve">Education and Student Services (BEESS). This is state-level interagency agreement </w:t>
      </w:r>
      <w:r w:rsidR="00E223DC" w:rsidRPr="00E06806">
        <w:rPr>
          <w:rFonts w:cstheme="minorHAnsi"/>
          <w:color w:val="231F20"/>
          <w:w w:val="105"/>
        </w:rPr>
        <w:t xml:space="preserve">requires partners to provide </w:t>
      </w:r>
      <w:r w:rsidRPr="00E06806">
        <w:rPr>
          <w:rFonts w:cstheme="minorHAnsi"/>
          <w:color w:val="231F20"/>
          <w:w w:val="105"/>
        </w:rPr>
        <w:t xml:space="preserve">transition services to students </w:t>
      </w:r>
      <w:r w:rsidR="00E223DC" w:rsidRPr="00E06806">
        <w:rPr>
          <w:rFonts w:cstheme="minorHAnsi"/>
          <w:color w:val="231F20"/>
          <w:w w:val="105"/>
        </w:rPr>
        <w:t xml:space="preserve">progressing from </w:t>
      </w:r>
      <w:r w:rsidRPr="00E06806">
        <w:rPr>
          <w:rFonts w:cstheme="minorHAnsi"/>
          <w:color w:val="231F20"/>
          <w:w w:val="105"/>
        </w:rPr>
        <w:t>high school to postsecondary</w:t>
      </w:r>
      <w:r w:rsidRPr="00E06806">
        <w:rPr>
          <w:rFonts w:cstheme="minorHAnsi"/>
          <w:color w:val="231F20"/>
          <w:spacing w:val="16"/>
          <w:w w:val="105"/>
        </w:rPr>
        <w:t xml:space="preserve"> </w:t>
      </w:r>
      <w:r w:rsidRPr="00E06806">
        <w:rPr>
          <w:rFonts w:cstheme="minorHAnsi"/>
          <w:color w:val="231F20"/>
          <w:w w:val="105"/>
        </w:rPr>
        <w:t>education/training,</w:t>
      </w:r>
      <w:r w:rsidRPr="00E06806">
        <w:rPr>
          <w:rFonts w:cstheme="minorHAnsi"/>
          <w:color w:val="231F20"/>
          <w:spacing w:val="5"/>
          <w:w w:val="105"/>
        </w:rPr>
        <w:t xml:space="preserve"> </w:t>
      </w:r>
      <w:r w:rsidRPr="00E06806">
        <w:rPr>
          <w:rFonts w:cstheme="minorHAnsi"/>
          <w:color w:val="231F20"/>
          <w:w w:val="105"/>
        </w:rPr>
        <w:t>support</w:t>
      </w:r>
      <w:r w:rsidRPr="00E06806">
        <w:rPr>
          <w:rFonts w:cstheme="minorHAnsi"/>
          <w:color w:val="231F20"/>
          <w:spacing w:val="5"/>
          <w:w w:val="105"/>
        </w:rPr>
        <w:t xml:space="preserve"> </w:t>
      </w:r>
      <w:r w:rsidRPr="00E06806">
        <w:rPr>
          <w:rFonts w:cstheme="minorHAnsi"/>
          <w:color w:val="231F20"/>
          <w:w w:val="105"/>
        </w:rPr>
        <w:t>services</w:t>
      </w:r>
      <w:r w:rsidR="00D5537E">
        <w:rPr>
          <w:rFonts w:cstheme="minorHAnsi"/>
          <w:color w:val="231F20"/>
          <w:w w:val="105"/>
        </w:rPr>
        <w:t xml:space="preserve"> and</w:t>
      </w:r>
      <w:r w:rsidRPr="00E06806">
        <w:rPr>
          <w:rFonts w:cstheme="minorHAnsi"/>
          <w:color w:val="231F20"/>
          <w:w w:val="105"/>
        </w:rPr>
        <w:t>/or</w:t>
      </w:r>
      <w:r w:rsidRPr="00E06806">
        <w:rPr>
          <w:rFonts w:cstheme="minorHAnsi"/>
          <w:color w:val="231F20"/>
          <w:spacing w:val="5"/>
          <w:w w:val="105"/>
        </w:rPr>
        <w:t xml:space="preserve"> </w:t>
      </w:r>
      <w:r w:rsidRPr="00E06806">
        <w:rPr>
          <w:rFonts w:cstheme="minorHAnsi"/>
          <w:color w:val="231F20"/>
          <w:w w:val="105"/>
        </w:rPr>
        <w:t>employment.</w:t>
      </w:r>
      <w:r w:rsidRPr="00E06806">
        <w:rPr>
          <w:rFonts w:cstheme="minorHAnsi"/>
          <w:color w:val="231F20"/>
          <w:spacing w:val="5"/>
          <w:w w:val="105"/>
        </w:rPr>
        <w:t xml:space="preserve"> </w:t>
      </w:r>
      <w:r w:rsidRPr="00E06806">
        <w:rPr>
          <w:rFonts w:cstheme="minorHAnsi"/>
          <w:color w:val="231F20"/>
          <w:w w:val="105"/>
        </w:rPr>
        <w:t>Parties</w:t>
      </w:r>
      <w:r w:rsidRPr="00E06806">
        <w:rPr>
          <w:rFonts w:cstheme="minorHAnsi"/>
          <w:color w:val="231F20"/>
          <w:spacing w:val="5"/>
          <w:w w:val="105"/>
        </w:rPr>
        <w:t xml:space="preserve"> </w:t>
      </w:r>
      <w:r w:rsidRPr="00E06806">
        <w:rPr>
          <w:rFonts w:cstheme="minorHAnsi"/>
          <w:color w:val="231F20"/>
          <w:w w:val="105"/>
        </w:rPr>
        <w:t>under</w:t>
      </w:r>
      <w:r w:rsidRPr="00E06806">
        <w:rPr>
          <w:rFonts w:cstheme="minorHAnsi"/>
          <w:color w:val="231F20"/>
          <w:spacing w:val="5"/>
          <w:w w:val="105"/>
        </w:rPr>
        <w:t xml:space="preserve"> </w:t>
      </w:r>
      <w:r w:rsidRPr="00E06806">
        <w:rPr>
          <w:rFonts w:cstheme="minorHAnsi"/>
          <w:color w:val="231F20"/>
          <w:w w:val="105"/>
        </w:rPr>
        <w:t>this</w:t>
      </w:r>
      <w:r w:rsidRPr="00E06806">
        <w:rPr>
          <w:rFonts w:cstheme="minorHAnsi"/>
          <w:color w:val="231F20"/>
          <w:spacing w:val="5"/>
          <w:w w:val="105"/>
        </w:rPr>
        <w:t xml:space="preserve"> </w:t>
      </w:r>
      <w:r w:rsidRPr="00E06806">
        <w:rPr>
          <w:rFonts w:cstheme="minorHAnsi"/>
          <w:color w:val="231F20"/>
          <w:w w:val="105"/>
        </w:rPr>
        <w:t>agreement</w:t>
      </w:r>
      <w:r w:rsidRPr="00E06806">
        <w:rPr>
          <w:rFonts w:cstheme="minorHAnsi"/>
          <w:color w:val="231F20"/>
          <w:spacing w:val="5"/>
          <w:w w:val="105"/>
        </w:rPr>
        <w:t xml:space="preserve"> </w:t>
      </w:r>
      <w:r w:rsidR="00D85DA0" w:rsidRPr="00E06806">
        <w:rPr>
          <w:rFonts w:cstheme="minorHAnsi"/>
          <w:color w:val="231F20"/>
          <w:w w:val="105"/>
        </w:rPr>
        <w:t>mee</w:t>
      </w:r>
      <w:r w:rsidR="00D85DA0">
        <w:rPr>
          <w:rFonts w:cstheme="minorHAnsi"/>
          <w:color w:val="231F20"/>
          <w:w w:val="105"/>
        </w:rPr>
        <w:t xml:space="preserve">t </w:t>
      </w:r>
      <w:r w:rsidR="00D85DA0" w:rsidRPr="00D85DA0">
        <w:rPr>
          <w:rFonts w:cstheme="minorHAnsi"/>
          <w:color w:val="231F20"/>
          <w:w w:val="105"/>
        </w:rPr>
        <w:t>regularly</w:t>
      </w:r>
      <w:r w:rsidRPr="00D85DA0">
        <w:rPr>
          <w:rFonts w:cstheme="minorHAnsi"/>
          <w:color w:val="231F20"/>
          <w:w w:val="105"/>
        </w:rPr>
        <w:t xml:space="preserve"> </w:t>
      </w:r>
      <w:r w:rsidRPr="00E06806">
        <w:rPr>
          <w:rFonts w:cstheme="minorHAnsi"/>
          <w:color w:val="231F20"/>
          <w:w w:val="105"/>
        </w:rPr>
        <w:t>to</w:t>
      </w:r>
      <w:r w:rsidRPr="00D85DA0">
        <w:rPr>
          <w:rFonts w:cstheme="minorHAnsi"/>
          <w:color w:val="231F20"/>
          <w:w w:val="105"/>
        </w:rPr>
        <w:t xml:space="preserve"> </w:t>
      </w:r>
      <w:r w:rsidRPr="00E06806">
        <w:rPr>
          <w:rFonts w:cstheme="minorHAnsi"/>
          <w:color w:val="231F20"/>
          <w:w w:val="105"/>
        </w:rPr>
        <w:t>share</w:t>
      </w:r>
      <w:r w:rsidRPr="00E06806">
        <w:rPr>
          <w:rFonts w:cstheme="minorHAnsi"/>
          <w:color w:val="231F20"/>
          <w:spacing w:val="7"/>
          <w:w w:val="105"/>
        </w:rPr>
        <w:t xml:space="preserve"> </w:t>
      </w:r>
      <w:r w:rsidRPr="00E06806">
        <w:rPr>
          <w:rFonts w:cstheme="minorHAnsi"/>
          <w:color w:val="231F20"/>
          <w:w w:val="105"/>
        </w:rPr>
        <w:t>information,</w:t>
      </w:r>
      <w:r w:rsidRPr="00E06806">
        <w:rPr>
          <w:rFonts w:cstheme="minorHAnsi"/>
          <w:color w:val="231F20"/>
          <w:spacing w:val="7"/>
          <w:w w:val="105"/>
        </w:rPr>
        <w:t xml:space="preserve"> </w:t>
      </w:r>
      <w:r w:rsidRPr="00E06806">
        <w:rPr>
          <w:rFonts w:cstheme="minorHAnsi"/>
          <w:color w:val="231F20"/>
          <w:w w:val="105"/>
        </w:rPr>
        <w:t>ideas</w:t>
      </w:r>
      <w:r w:rsidRPr="00E06806">
        <w:rPr>
          <w:rFonts w:cstheme="minorHAnsi"/>
          <w:color w:val="231F20"/>
          <w:spacing w:val="7"/>
          <w:w w:val="105"/>
        </w:rPr>
        <w:t xml:space="preserve"> </w:t>
      </w:r>
      <w:r w:rsidRPr="00E06806">
        <w:rPr>
          <w:rFonts w:cstheme="minorHAnsi"/>
          <w:color w:val="231F20"/>
          <w:w w:val="105"/>
        </w:rPr>
        <w:t>and</w:t>
      </w:r>
      <w:r w:rsidRPr="00E06806">
        <w:rPr>
          <w:rFonts w:cstheme="minorHAnsi"/>
          <w:color w:val="231F20"/>
          <w:spacing w:val="7"/>
          <w:w w:val="105"/>
        </w:rPr>
        <w:t xml:space="preserve"> </w:t>
      </w:r>
      <w:r w:rsidRPr="00E06806">
        <w:rPr>
          <w:rFonts w:cstheme="minorHAnsi"/>
          <w:color w:val="231F20"/>
          <w:w w:val="105"/>
        </w:rPr>
        <w:t>current</w:t>
      </w:r>
      <w:r w:rsidRPr="00E06806">
        <w:rPr>
          <w:rFonts w:cstheme="minorHAnsi"/>
          <w:color w:val="231F20"/>
          <w:spacing w:val="7"/>
          <w:w w:val="105"/>
        </w:rPr>
        <w:t xml:space="preserve"> </w:t>
      </w:r>
      <w:r w:rsidRPr="00E06806">
        <w:rPr>
          <w:rFonts w:cstheme="minorHAnsi"/>
          <w:color w:val="231F20"/>
          <w:w w:val="105"/>
        </w:rPr>
        <w:t>initiatives;</w:t>
      </w:r>
      <w:r w:rsidRPr="00E06806">
        <w:rPr>
          <w:rFonts w:cstheme="minorHAnsi"/>
          <w:color w:val="231F20"/>
          <w:spacing w:val="7"/>
          <w:w w:val="105"/>
        </w:rPr>
        <w:t xml:space="preserve"> </w:t>
      </w:r>
      <w:r w:rsidRPr="00E06806">
        <w:rPr>
          <w:rFonts w:cstheme="minorHAnsi"/>
          <w:color w:val="231F20"/>
          <w:w w:val="105"/>
        </w:rPr>
        <w:t>collaborate</w:t>
      </w:r>
      <w:r w:rsidRPr="00E06806">
        <w:rPr>
          <w:rFonts w:cstheme="minorHAnsi"/>
          <w:color w:val="231F20"/>
          <w:spacing w:val="7"/>
          <w:w w:val="105"/>
        </w:rPr>
        <w:t xml:space="preserve"> </w:t>
      </w:r>
      <w:r w:rsidRPr="00E06806">
        <w:rPr>
          <w:rFonts w:cstheme="minorHAnsi"/>
          <w:color w:val="231F20"/>
          <w:w w:val="105"/>
        </w:rPr>
        <w:t>on</w:t>
      </w:r>
      <w:r w:rsidRPr="00E06806">
        <w:rPr>
          <w:rFonts w:cstheme="minorHAnsi"/>
          <w:color w:val="231F20"/>
          <w:spacing w:val="7"/>
          <w:w w:val="105"/>
        </w:rPr>
        <w:t xml:space="preserve"> </w:t>
      </w:r>
      <w:r w:rsidRPr="00E06806">
        <w:rPr>
          <w:rFonts w:cstheme="minorHAnsi"/>
          <w:color w:val="231F20"/>
          <w:w w:val="105"/>
        </w:rPr>
        <w:t>training</w:t>
      </w:r>
      <w:r w:rsidRPr="00E06806">
        <w:rPr>
          <w:rFonts w:cstheme="minorHAnsi"/>
          <w:color w:val="231F20"/>
          <w:spacing w:val="7"/>
          <w:w w:val="105"/>
        </w:rPr>
        <w:t xml:space="preserve"> </w:t>
      </w:r>
      <w:r w:rsidRPr="00E06806">
        <w:rPr>
          <w:rFonts w:cstheme="minorHAnsi"/>
          <w:color w:val="231F20"/>
          <w:w w:val="105"/>
        </w:rPr>
        <w:t>and</w:t>
      </w:r>
      <w:r w:rsidRPr="00E06806">
        <w:rPr>
          <w:rFonts w:cstheme="minorHAnsi"/>
          <w:color w:val="231F20"/>
          <w:spacing w:val="7"/>
          <w:w w:val="105"/>
        </w:rPr>
        <w:t xml:space="preserve"> </w:t>
      </w:r>
      <w:r w:rsidRPr="00E06806">
        <w:rPr>
          <w:rFonts w:cstheme="minorHAnsi"/>
          <w:color w:val="231F20"/>
          <w:w w:val="105"/>
        </w:rPr>
        <w:t>special</w:t>
      </w:r>
      <w:r w:rsidRPr="001027E3">
        <w:rPr>
          <w:rFonts w:cstheme="minorHAnsi"/>
          <w:color w:val="231F20"/>
          <w:w w:val="105"/>
        </w:rPr>
        <w:t xml:space="preserve"> </w:t>
      </w:r>
      <w:r w:rsidR="001027E3" w:rsidRPr="00E06806">
        <w:rPr>
          <w:rFonts w:cstheme="minorHAnsi"/>
          <w:color w:val="231F20"/>
          <w:w w:val="105"/>
        </w:rPr>
        <w:t>projects</w:t>
      </w:r>
      <w:r w:rsidR="001027E3">
        <w:rPr>
          <w:rFonts w:cstheme="minorHAnsi"/>
          <w:color w:val="231F20"/>
          <w:w w:val="105"/>
        </w:rPr>
        <w:t xml:space="preserve">; </w:t>
      </w:r>
      <w:r w:rsidR="001027E3" w:rsidRPr="001027E3">
        <w:rPr>
          <w:rFonts w:cstheme="minorHAnsi"/>
          <w:color w:val="231F20"/>
          <w:w w:val="105"/>
        </w:rPr>
        <w:t>cooperate</w:t>
      </w:r>
      <w:r w:rsidRPr="00E06806">
        <w:rPr>
          <w:rFonts w:cstheme="minorHAnsi"/>
          <w:color w:val="231F20"/>
          <w:w w:val="105"/>
        </w:rPr>
        <w:t xml:space="preserve"> in planning and budgeting; and support </w:t>
      </w:r>
      <w:r w:rsidR="00E223DC" w:rsidRPr="00E06806">
        <w:rPr>
          <w:rFonts w:cstheme="minorHAnsi"/>
          <w:color w:val="231F20"/>
          <w:w w:val="105"/>
        </w:rPr>
        <w:t xml:space="preserve">mutually beneficial </w:t>
      </w:r>
      <w:r w:rsidRPr="00E06806">
        <w:rPr>
          <w:rFonts w:cstheme="minorHAnsi"/>
          <w:color w:val="231F20"/>
          <w:w w:val="105"/>
        </w:rPr>
        <w:t>areas of work</w:t>
      </w:r>
      <w:r w:rsidR="00E223DC" w:rsidRPr="00E06806">
        <w:rPr>
          <w:rFonts w:cstheme="minorHAnsi"/>
          <w:color w:val="231F20"/>
          <w:w w:val="105"/>
        </w:rPr>
        <w:t>.</w:t>
      </w:r>
    </w:p>
    <w:p w14:paraId="16787CA8" w14:textId="77777777" w:rsidR="00D85DA0" w:rsidRDefault="00D85DA0" w:rsidP="00D85DA0">
      <w:pPr>
        <w:widowControl w:val="0"/>
        <w:spacing w:before="2" w:after="0" w:line="235" w:lineRule="auto"/>
        <w:ind w:left="107"/>
        <w:rPr>
          <w:rFonts w:cstheme="minorHAnsi"/>
          <w:b/>
          <w:bCs/>
          <w:color w:val="231F20"/>
          <w:w w:val="110"/>
        </w:rPr>
      </w:pPr>
    </w:p>
    <w:p w14:paraId="79355E5B" w14:textId="77777777" w:rsidR="004272D5" w:rsidRPr="004272D5" w:rsidRDefault="004272D5" w:rsidP="00D63204">
      <w:pPr>
        <w:widowControl w:val="0"/>
        <w:spacing w:after="0" w:line="266" w:lineRule="exact"/>
        <w:ind w:left="107"/>
        <w:outlineLvl w:val="2"/>
        <w:rPr>
          <w:rFonts w:cstheme="minorHAnsi"/>
        </w:rPr>
      </w:pPr>
      <w:r w:rsidRPr="004272D5">
        <w:rPr>
          <w:rFonts w:cstheme="minorHAnsi"/>
          <w:b/>
          <w:bCs/>
          <w:color w:val="231F20"/>
          <w:w w:val="110"/>
        </w:rPr>
        <w:t>Florida’s Eligible Training Provider</w:t>
      </w:r>
      <w:r w:rsidRPr="004272D5">
        <w:rPr>
          <w:rFonts w:cstheme="minorHAnsi"/>
          <w:b/>
          <w:bCs/>
          <w:color w:val="231F20"/>
          <w:spacing w:val="-22"/>
          <w:w w:val="110"/>
        </w:rPr>
        <w:t xml:space="preserve"> </w:t>
      </w:r>
      <w:r w:rsidRPr="004272D5">
        <w:rPr>
          <w:rFonts w:cstheme="minorHAnsi"/>
          <w:b/>
          <w:bCs/>
          <w:color w:val="231F20"/>
          <w:w w:val="110"/>
        </w:rPr>
        <w:t>List</w:t>
      </w:r>
    </w:p>
    <w:p w14:paraId="0F71D028" w14:textId="68A1971A" w:rsidR="004272D5" w:rsidRPr="004272D5" w:rsidRDefault="004272D5" w:rsidP="00D63204">
      <w:pPr>
        <w:widowControl w:val="0"/>
        <w:spacing w:before="2" w:after="0" w:line="235" w:lineRule="auto"/>
        <w:ind w:left="107"/>
        <w:rPr>
          <w:rFonts w:cstheme="minorHAnsi"/>
        </w:rPr>
      </w:pPr>
      <w:r w:rsidRPr="004272D5">
        <w:rPr>
          <w:rFonts w:cstheme="minorHAnsi"/>
          <w:color w:val="231F20"/>
          <w:w w:val="105"/>
        </w:rPr>
        <w:t>CareerSource Florida uses DEO</w:t>
      </w:r>
      <w:r w:rsidRPr="004272D5">
        <w:rPr>
          <w:rFonts w:cstheme="minorHAnsi"/>
          <w:color w:val="231F20"/>
          <w:spacing w:val="21"/>
          <w:w w:val="105"/>
        </w:rPr>
        <w:t xml:space="preserve"> </w:t>
      </w:r>
      <w:r w:rsidRPr="004272D5">
        <w:rPr>
          <w:rFonts w:cstheme="minorHAnsi"/>
          <w:color w:val="231F20"/>
          <w:w w:val="105"/>
        </w:rPr>
        <w:t>statewide</w:t>
      </w:r>
      <w:r w:rsidRPr="004272D5">
        <w:rPr>
          <w:rFonts w:cstheme="minorHAnsi"/>
          <w:color w:val="231F20"/>
          <w:spacing w:val="21"/>
          <w:w w:val="105"/>
        </w:rPr>
        <w:t xml:space="preserve"> </w:t>
      </w:r>
      <w:r w:rsidRPr="004272D5">
        <w:rPr>
          <w:rFonts w:cstheme="minorHAnsi"/>
          <w:color w:val="231F20"/>
          <w:w w:val="105"/>
        </w:rPr>
        <w:t>data</w:t>
      </w:r>
      <w:r w:rsidRPr="004272D5">
        <w:rPr>
          <w:rFonts w:cstheme="minorHAnsi"/>
          <w:color w:val="231F20"/>
          <w:spacing w:val="21"/>
          <w:w w:val="105"/>
        </w:rPr>
        <w:t xml:space="preserve"> </w:t>
      </w:r>
      <w:r w:rsidRPr="004272D5">
        <w:rPr>
          <w:rFonts w:cstheme="minorHAnsi"/>
          <w:color w:val="231F20"/>
          <w:w w:val="105"/>
        </w:rPr>
        <w:t>and</w:t>
      </w:r>
      <w:r w:rsidRPr="004272D5">
        <w:rPr>
          <w:rFonts w:cstheme="minorHAnsi"/>
          <w:color w:val="231F20"/>
          <w:spacing w:val="21"/>
          <w:w w:val="105"/>
        </w:rPr>
        <w:t xml:space="preserve"> </w:t>
      </w:r>
      <w:r w:rsidRPr="004272D5">
        <w:rPr>
          <w:rFonts w:cstheme="minorHAnsi"/>
          <w:color w:val="231F20"/>
          <w:spacing w:val="-4"/>
          <w:w w:val="105"/>
        </w:rPr>
        <w:t>LWDB</w:t>
      </w:r>
      <w:r w:rsidRPr="004272D5">
        <w:rPr>
          <w:rFonts w:cstheme="minorHAnsi"/>
          <w:color w:val="231F20"/>
          <w:spacing w:val="21"/>
          <w:w w:val="105"/>
        </w:rPr>
        <w:t xml:space="preserve"> </w:t>
      </w:r>
      <w:r w:rsidRPr="004272D5">
        <w:rPr>
          <w:rFonts w:cstheme="minorHAnsi"/>
          <w:color w:val="231F20"/>
          <w:w w:val="105"/>
        </w:rPr>
        <w:t>data to produce</w:t>
      </w:r>
      <w:r w:rsidRPr="004272D5">
        <w:rPr>
          <w:rFonts w:cstheme="minorHAnsi"/>
          <w:color w:val="231F20"/>
          <w:spacing w:val="21"/>
          <w:w w:val="105"/>
        </w:rPr>
        <w:t xml:space="preserve"> </w:t>
      </w:r>
      <w:r w:rsidRPr="004272D5">
        <w:rPr>
          <w:rFonts w:cstheme="minorHAnsi"/>
          <w:color w:val="231F20"/>
          <w:w w:val="105"/>
        </w:rPr>
        <w:t>and</w:t>
      </w:r>
      <w:r w:rsidRPr="004272D5">
        <w:rPr>
          <w:rFonts w:cstheme="minorHAnsi"/>
          <w:color w:val="231F20"/>
          <w:spacing w:val="21"/>
          <w:w w:val="105"/>
        </w:rPr>
        <w:t xml:space="preserve"> </w:t>
      </w:r>
      <w:r w:rsidRPr="004272D5">
        <w:rPr>
          <w:rFonts w:cstheme="minorHAnsi"/>
          <w:color w:val="231F20"/>
          <w:w w:val="105"/>
        </w:rPr>
        <w:t>transmit critical labor market intelligence to the CareerSource</w:t>
      </w:r>
      <w:r w:rsidRPr="004272D5">
        <w:rPr>
          <w:rFonts w:cstheme="minorHAnsi"/>
          <w:color w:val="231F20"/>
          <w:spacing w:val="19"/>
          <w:w w:val="105"/>
        </w:rPr>
        <w:t xml:space="preserve"> </w:t>
      </w:r>
      <w:r w:rsidRPr="004272D5">
        <w:rPr>
          <w:rFonts w:cstheme="minorHAnsi"/>
          <w:color w:val="231F20"/>
          <w:w w:val="105"/>
        </w:rPr>
        <w:t>Florida</w:t>
      </w:r>
      <w:r w:rsidRPr="004272D5">
        <w:rPr>
          <w:rFonts w:cstheme="minorHAnsi"/>
          <w:color w:val="231F20"/>
          <w:spacing w:val="19"/>
          <w:w w:val="105"/>
        </w:rPr>
        <w:t xml:space="preserve"> </w:t>
      </w:r>
      <w:r w:rsidRPr="004272D5">
        <w:rPr>
          <w:rFonts w:cstheme="minorHAnsi"/>
          <w:color w:val="231F20"/>
          <w:w w:val="105"/>
        </w:rPr>
        <w:t>network,</w:t>
      </w:r>
      <w:r w:rsidRPr="004272D5">
        <w:rPr>
          <w:rFonts w:cstheme="minorHAnsi"/>
          <w:color w:val="231F20"/>
          <w:spacing w:val="19"/>
          <w:w w:val="105"/>
        </w:rPr>
        <w:t xml:space="preserve"> </w:t>
      </w:r>
      <w:r w:rsidRPr="004272D5">
        <w:rPr>
          <w:rFonts w:cstheme="minorHAnsi"/>
          <w:color w:val="231F20"/>
          <w:w w:val="105"/>
        </w:rPr>
        <w:t>educators</w:t>
      </w:r>
      <w:r w:rsidRPr="004272D5">
        <w:rPr>
          <w:rFonts w:cstheme="minorHAnsi"/>
          <w:color w:val="231F20"/>
          <w:spacing w:val="19"/>
          <w:w w:val="105"/>
        </w:rPr>
        <w:t xml:space="preserve"> </w:t>
      </w:r>
      <w:r w:rsidRPr="004272D5">
        <w:rPr>
          <w:rFonts w:cstheme="minorHAnsi"/>
          <w:color w:val="231F20"/>
          <w:w w:val="105"/>
        </w:rPr>
        <w:t>and</w:t>
      </w:r>
      <w:r w:rsidRPr="004272D5">
        <w:rPr>
          <w:rFonts w:cstheme="minorHAnsi"/>
          <w:color w:val="231F20"/>
          <w:spacing w:val="19"/>
          <w:w w:val="105"/>
        </w:rPr>
        <w:t xml:space="preserve"> </w:t>
      </w:r>
      <w:r w:rsidRPr="004272D5">
        <w:rPr>
          <w:rFonts w:cstheme="minorHAnsi"/>
          <w:color w:val="231F20"/>
          <w:w w:val="105"/>
        </w:rPr>
        <w:t>training</w:t>
      </w:r>
      <w:r w:rsidRPr="004272D5">
        <w:rPr>
          <w:rFonts w:cstheme="minorHAnsi"/>
          <w:color w:val="231F20"/>
          <w:spacing w:val="19"/>
          <w:w w:val="105"/>
        </w:rPr>
        <w:t xml:space="preserve"> </w:t>
      </w:r>
      <w:r w:rsidRPr="004272D5">
        <w:rPr>
          <w:rFonts w:cstheme="minorHAnsi"/>
          <w:color w:val="231F20"/>
          <w:w w:val="105"/>
        </w:rPr>
        <w:t>providers</w:t>
      </w:r>
      <w:r w:rsidR="00D5537E">
        <w:rPr>
          <w:rFonts w:cstheme="minorHAnsi"/>
          <w:color w:val="231F20"/>
          <w:w w:val="105"/>
        </w:rPr>
        <w:t xml:space="preserve"> and</w:t>
      </w:r>
      <w:r w:rsidRPr="004272D5">
        <w:rPr>
          <w:rFonts w:cstheme="minorHAnsi"/>
          <w:color w:val="231F20"/>
          <w:spacing w:val="19"/>
          <w:w w:val="105"/>
        </w:rPr>
        <w:t xml:space="preserve"> </w:t>
      </w:r>
      <w:r w:rsidRPr="004272D5">
        <w:rPr>
          <w:rFonts w:cstheme="minorHAnsi"/>
          <w:color w:val="231F20"/>
          <w:w w:val="105"/>
        </w:rPr>
        <w:t>to</w:t>
      </w:r>
      <w:r w:rsidRPr="004272D5">
        <w:rPr>
          <w:rFonts w:cstheme="minorHAnsi"/>
          <w:color w:val="231F20"/>
          <w:spacing w:val="19"/>
          <w:w w:val="105"/>
        </w:rPr>
        <w:t xml:space="preserve"> </w:t>
      </w:r>
      <w:r w:rsidRPr="004272D5">
        <w:rPr>
          <w:rFonts w:cstheme="minorHAnsi"/>
          <w:color w:val="231F20"/>
          <w:w w:val="105"/>
        </w:rPr>
        <w:t>economic</w:t>
      </w:r>
      <w:r w:rsidRPr="004272D5">
        <w:rPr>
          <w:rFonts w:cstheme="minorHAnsi"/>
          <w:color w:val="231F20"/>
          <w:spacing w:val="19"/>
          <w:w w:val="105"/>
        </w:rPr>
        <w:t xml:space="preserve"> </w:t>
      </w:r>
      <w:r w:rsidRPr="004272D5">
        <w:rPr>
          <w:rFonts w:cstheme="minorHAnsi"/>
          <w:color w:val="231F20"/>
          <w:w w:val="105"/>
        </w:rPr>
        <w:t>development</w:t>
      </w:r>
      <w:r w:rsidRPr="004272D5">
        <w:rPr>
          <w:rFonts w:cstheme="minorHAnsi"/>
          <w:color w:val="231F20"/>
          <w:spacing w:val="19"/>
          <w:w w:val="105"/>
        </w:rPr>
        <w:t xml:space="preserve"> </w:t>
      </w:r>
      <w:r w:rsidRPr="004272D5">
        <w:rPr>
          <w:rFonts w:cstheme="minorHAnsi"/>
          <w:color w:val="231F20"/>
          <w:w w:val="105"/>
        </w:rPr>
        <w:t>partners. This</w:t>
      </w:r>
      <w:r w:rsidRPr="004272D5">
        <w:rPr>
          <w:rFonts w:cstheme="minorHAnsi"/>
          <w:color w:val="231F20"/>
          <w:spacing w:val="10"/>
          <w:w w:val="105"/>
        </w:rPr>
        <w:t xml:space="preserve"> </w:t>
      </w:r>
      <w:r w:rsidRPr="004272D5">
        <w:rPr>
          <w:rFonts w:cstheme="minorHAnsi"/>
          <w:color w:val="231F20"/>
          <w:w w:val="105"/>
        </w:rPr>
        <w:t>information</w:t>
      </w:r>
      <w:r w:rsidRPr="004272D5">
        <w:rPr>
          <w:rFonts w:cstheme="minorHAnsi"/>
          <w:color w:val="231F20"/>
          <w:spacing w:val="10"/>
          <w:w w:val="105"/>
        </w:rPr>
        <w:t xml:space="preserve"> </w:t>
      </w:r>
      <w:r w:rsidRPr="004272D5">
        <w:rPr>
          <w:rFonts w:cstheme="minorHAnsi"/>
          <w:color w:val="231F20"/>
          <w:w w:val="105"/>
        </w:rPr>
        <w:t>can</w:t>
      </w:r>
      <w:r w:rsidRPr="004272D5">
        <w:rPr>
          <w:rFonts w:cstheme="minorHAnsi"/>
          <w:color w:val="231F20"/>
          <w:spacing w:val="10"/>
          <w:w w:val="105"/>
        </w:rPr>
        <w:t xml:space="preserve"> </w:t>
      </w:r>
      <w:r w:rsidRPr="004272D5">
        <w:rPr>
          <w:rFonts w:cstheme="minorHAnsi"/>
          <w:color w:val="231F20"/>
          <w:w w:val="105"/>
        </w:rPr>
        <w:t>be</w:t>
      </w:r>
      <w:r w:rsidRPr="004272D5">
        <w:rPr>
          <w:rFonts w:cstheme="minorHAnsi"/>
          <w:color w:val="231F20"/>
          <w:spacing w:val="10"/>
          <w:w w:val="105"/>
        </w:rPr>
        <w:t xml:space="preserve"> </w:t>
      </w:r>
      <w:r w:rsidRPr="004272D5">
        <w:rPr>
          <w:rFonts w:cstheme="minorHAnsi"/>
          <w:color w:val="231F20"/>
          <w:w w:val="105"/>
        </w:rPr>
        <w:t>used</w:t>
      </w:r>
      <w:r w:rsidRPr="004272D5">
        <w:rPr>
          <w:rFonts w:cstheme="minorHAnsi"/>
          <w:color w:val="231F20"/>
          <w:spacing w:val="10"/>
          <w:w w:val="105"/>
        </w:rPr>
        <w:t xml:space="preserve"> </w:t>
      </w:r>
      <w:r w:rsidRPr="004272D5">
        <w:rPr>
          <w:rFonts w:cstheme="minorHAnsi"/>
          <w:color w:val="231F20"/>
          <w:w w:val="105"/>
        </w:rPr>
        <w:t>in</w:t>
      </w:r>
      <w:r w:rsidRPr="004272D5">
        <w:rPr>
          <w:rFonts w:cstheme="minorHAnsi"/>
          <w:color w:val="231F20"/>
          <w:spacing w:val="10"/>
          <w:w w:val="105"/>
        </w:rPr>
        <w:t xml:space="preserve"> </w:t>
      </w:r>
      <w:r w:rsidRPr="004272D5">
        <w:rPr>
          <w:rFonts w:cstheme="minorHAnsi"/>
          <w:color w:val="231F20"/>
          <w:w w:val="105"/>
        </w:rPr>
        <w:t>partnership</w:t>
      </w:r>
      <w:r w:rsidRPr="004272D5">
        <w:rPr>
          <w:rFonts w:cstheme="minorHAnsi"/>
          <w:color w:val="231F20"/>
          <w:spacing w:val="10"/>
          <w:w w:val="105"/>
        </w:rPr>
        <w:t xml:space="preserve"> </w:t>
      </w:r>
      <w:r w:rsidRPr="004272D5">
        <w:rPr>
          <w:rFonts w:cstheme="minorHAnsi"/>
          <w:color w:val="231F20"/>
          <w:w w:val="105"/>
        </w:rPr>
        <w:t>with</w:t>
      </w:r>
      <w:r w:rsidRPr="004272D5">
        <w:rPr>
          <w:rFonts w:cstheme="minorHAnsi"/>
          <w:color w:val="231F20"/>
          <w:spacing w:val="10"/>
          <w:w w:val="105"/>
        </w:rPr>
        <w:t xml:space="preserve"> </w:t>
      </w:r>
      <w:r w:rsidRPr="004272D5">
        <w:rPr>
          <w:rFonts w:cstheme="minorHAnsi"/>
          <w:color w:val="231F20"/>
          <w:w w:val="105"/>
        </w:rPr>
        <w:t>eligible</w:t>
      </w:r>
      <w:r w:rsidRPr="004272D5">
        <w:rPr>
          <w:rFonts w:cstheme="minorHAnsi"/>
          <w:color w:val="231F20"/>
          <w:spacing w:val="10"/>
          <w:w w:val="105"/>
        </w:rPr>
        <w:t xml:space="preserve"> </w:t>
      </w:r>
      <w:r w:rsidRPr="004272D5">
        <w:rPr>
          <w:rFonts w:cstheme="minorHAnsi"/>
          <w:color w:val="231F20"/>
          <w:w w:val="105"/>
        </w:rPr>
        <w:t>training</w:t>
      </w:r>
      <w:r w:rsidRPr="004272D5">
        <w:rPr>
          <w:rFonts w:cstheme="minorHAnsi"/>
          <w:color w:val="231F20"/>
          <w:spacing w:val="10"/>
          <w:w w:val="105"/>
        </w:rPr>
        <w:t xml:space="preserve"> </w:t>
      </w:r>
      <w:r w:rsidRPr="004272D5">
        <w:rPr>
          <w:rFonts w:cstheme="minorHAnsi"/>
          <w:color w:val="231F20"/>
          <w:w w:val="105"/>
        </w:rPr>
        <w:t>providers</w:t>
      </w:r>
      <w:r w:rsidRPr="004272D5">
        <w:rPr>
          <w:rFonts w:cstheme="minorHAnsi"/>
          <w:color w:val="231F20"/>
          <w:spacing w:val="10"/>
          <w:w w:val="105"/>
        </w:rPr>
        <w:t xml:space="preserve"> </w:t>
      </w:r>
      <w:r w:rsidRPr="004272D5">
        <w:rPr>
          <w:rFonts w:cstheme="minorHAnsi"/>
          <w:color w:val="231F20"/>
          <w:w w:val="105"/>
        </w:rPr>
        <w:t>to</w:t>
      </w:r>
      <w:r w:rsidRPr="004272D5">
        <w:rPr>
          <w:rFonts w:cstheme="minorHAnsi"/>
          <w:color w:val="231F20"/>
          <w:spacing w:val="10"/>
          <w:w w:val="105"/>
        </w:rPr>
        <w:t xml:space="preserve"> </w:t>
      </w:r>
      <w:r w:rsidRPr="004272D5">
        <w:rPr>
          <w:rFonts w:cstheme="minorHAnsi"/>
          <w:color w:val="231F20"/>
          <w:w w:val="105"/>
        </w:rPr>
        <w:t>ensure the</w:t>
      </w:r>
      <w:r w:rsidRPr="004272D5">
        <w:rPr>
          <w:rFonts w:cstheme="minorHAnsi"/>
          <w:color w:val="231F20"/>
          <w:spacing w:val="10"/>
          <w:w w:val="105"/>
        </w:rPr>
        <w:t xml:space="preserve"> </w:t>
      </w:r>
      <w:r w:rsidRPr="004272D5">
        <w:rPr>
          <w:rFonts w:cstheme="minorHAnsi"/>
          <w:color w:val="231F20"/>
          <w:w w:val="105"/>
        </w:rPr>
        <w:t>training</w:t>
      </w:r>
      <w:r w:rsidRPr="004272D5">
        <w:rPr>
          <w:rFonts w:cstheme="minorHAnsi"/>
          <w:color w:val="231F20"/>
          <w:spacing w:val="10"/>
          <w:w w:val="105"/>
        </w:rPr>
        <w:t xml:space="preserve"> </w:t>
      </w:r>
      <w:r w:rsidRPr="004272D5">
        <w:rPr>
          <w:rFonts w:cstheme="minorHAnsi"/>
          <w:color w:val="231F20"/>
          <w:w w:val="105"/>
        </w:rPr>
        <w:t>needs</w:t>
      </w:r>
      <w:r w:rsidRPr="004272D5">
        <w:rPr>
          <w:rFonts w:cstheme="minorHAnsi"/>
          <w:color w:val="231F20"/>
          <w:spacing w:val="10"/>
          <w:w w:val="105"/>
        </w:rPr>
        <w:t xml:space="preserve"> </w:t>
      </w:r>
      <w:r w:rsidRPr="004272D5">
        <w:rPr>
          <w:rFonts w:cstheme="minorHAnsi"/>
          <w:color w:val="231F20"/>
          <w:w w:val="105"/>
        </w:rPr>
        <w:t>of</w:t>
      </w:r>
      <w:r w:rsidRPr="004272D5">
        <w:rPr>
          <w:rFonts w:cstheme="minorHAnsi"/>
          <w:color w:val="231F20"/>
          <w:w w:val="102"/>
        </w:rPr>
        <w:t xml:space="preserve"> </w:t>
      </w:r>
      <w:r w:rsidRPr="004272D5">
        <w:rPr>
          <w:rFonts w:cstheme="minorHAnsi"/>
          <w:color w:val="231F20"/>
          <w:w w:val="105"/>
        </w:rPr>
        <w:t>Florida employers are</w:t>
      </w:r>
      <w:r w:rsidRPr="004272D5">
        <w:rPr>
          <w:rFonts w:cstheme="minorHAnsi"/>
          <w:color w:val="231F20"/>
          <w:spacing w:val="39"/>
          <w:w w:val="105"/>
        </w:rPr>
        <w:t xml:space="preserve"> </w:t>
      </w:r>
      <w:r w:rsidRPr="004272D5">
        <w:rPr>
          <w:rFonts w:cstheme="minorHAnsi"/>
          <w:color w:val="231F20"/>
          <w:w w:val="105"/>
        </w:rPr>
        <w:t>met.</w:t>
      </w:r>
    </w:p>
    <w:p w14:paraId="1C4B5531" w14:textId="77777777" w:rsidR="004272D5" w:rsidRPr="004272D5" w:rsidRDefault="004272D5" w:rsidP="00D63204">
      <w:pPr>
        <w:widowControl w:val="0"/>
        <w:numPr>
          <w:ilvl w:val="0"/>
          <w:numId w:val="170"/>
        </w:numPr>
        <w:tabs>
          <w:tab w:val="left" w:pos="2268"/>
        </w:tabs>
        <w:spacing w:before="196" w:after="0" w:line="240" w:lineRule="auto"/>
        <w:rPr>
          <w:rFonts w:cstheme="minorHAnsi"/>
        </w:rPr>
      </w:pPr>
      <w:r w:rsidRPr="004272D5">
        <w:rPr>
          <w:rFonts w:cstheme="minorHAnsi"/>
          <w:color w:val="295CA3"/>
          <w:w w:val="110"/>
        </w:rPr>
        <w:t>Leveraging Resources to Increase Educational</w:t>
      </w:r>
      <w:r w:rsidRPr="004272D5">
        <w:rPr>
          <w:rFonts w:cstheme="minorHAnsi"/>
          <w:color w:val="295CA3"/>
          <w:spacing w:val="10"/>
          <w:w w:val="110"/>
        </w:rPr>
        <w:t xml:space="preserve"> </w:t>
      </w:r>
      <w:r w:rsidRPr="004272D5">
        <w:rPr>
          <w:rFonts w:cstheme="minorHAnsi"/>
          <w:color w:val="295CA3"/>
          <w:w w:val="110"/>
        </w:rPr>
        <w:t>Access</w:t>
      </w:r>
    </w:p>
    <w:p w14:paraId="110FF74B" w14:textId="77777777" w:rsidR="004272D5" w:rsidRPr="004272D5" w:rsidRDefault="004272D5" w:rsidP="00D63204">
      <w:pPr>
        <w:widowControl w:val="0"/>
        <w:spacing w:before="2" w:after="0" w:line="235" w:lineRule="auto"/>
        <w:rPr>
          <w:rFonts w:cstheme="minorHAnsi"/>
        </w:rPr>
      </w:pPr>
    </w:p>
    <w:p w14:paraId="2C8EBE75" w14:textId="52063F7E" w:rsidR="004272D5" w:rsidRDefault="004272D5" w:rsidP="00D63204">
      <w:pPr>
        <w:widowControl w:val="0"/>
        <w:spacing w:before="2" w:after="0" w:line="235" w:lineRule="auto"/>
        <w:ind w:left="90"/>
        <w:rPr>
          <w:rFonts w:cstheme="minorHAnsi"/>
          <w:color w:val="231F20"/>
          <w:w w:val="105"/>
        </w:rPr>
      </w:pPr>
      <w:r w:rsidRPr="004272D5">
        <w:rPr>
          <w:rFonts w:cstheme="minorHAnsi"/>
          <w:color w:val="231F20"/>
          <w:w w:val="105"/>
        </w:rPr>
        <w:t>The</w:t>
      </w:r>
      <w:r w:rsidRPr="00F55C20">
        <w:rPr>
          <w:rFonts w:cstheme="minorHAnsi"/>
          <w:color w:val="231F20"/>
          <w:w w:val="105"/>
        </w:rPr>
        <w:t xml:space="preserve"> </w:t>
      </w:r>
      <w:r w:rsidR="00544D98">
        <w:rPr>
          <w:rFonts w:cstheme="minorHAnsi"/>
          <w:color w:val="231F20"/>
          <w:w w:val="105"/>
        </w:rPr>
        <w:t>g</w:t>
      </w:r>
      <w:r w:rsidRPr="004272D5">
        <w:rPr>
          <w:rFonts w:cstheme="minorHAnsi"/>
          <w:color w:val="231F20"/>
          <w:w w:val="105"/>
        </w:rPr>
        <w:t>overnor’s</w:t>
      </w:r>
      <w:r w:rsidRPr="00F55C20">
        <w:rPr>
          <w:rFonts w:cstheme="minorHAnsi"/>
          <w:color w:val="231F20"/>
          <w:w w:val="105"/>
        </w:rPr>
        <w:t xml:space="preserve"> </w:t>
      </w:r>
      <w:r w:rsidRPr="004272D5">
        <w:rPr>
          <w:rFonts w:cstheme="minorHAnsi"/>
          <w:color w:val="231F20"/>
          <w:w w:val="105"/>
        </w:rPr>
        <w:t>vision</w:t>
      </w:r>
      <w:r w:rsidRPr="00F55C20">
        <w:rPr>
          <w:rFonts w:cstheme="minorHAnsi"/>
          <w:color w:val="231F20"/>
          <w:w w:val="105"/>
        </w:rPr>
        <w:t xml:space="preserve"> </w:t>
      </w:r>
      <w:r w:rsidRPr="004272D5">
        <w:rPr>
          <w:rFonts w:cstheme="minorHAnsi"/>
          <w:color w:val="231F20"/>
          <w:w w:val="105"/>
        </w:rPr>
        <w:t>for</w:t>
      </w:r>
      <w:r w:rsidRPr="00F55C20">
        <w:rPr>
          <w:rFonts w:cstheme="minorHAnsi"/>
          <w:color w:val="231F20"/>
          <w:w w:val="105"/>
        </w:rPr>
        <w:t xml:space="preserve"> </w:t>
      </w:r>
      <w:r w:rsidRPr="004272D5">
        <w:rPr>
          <w:rFonts w:cstheme="minorHAnsi"/>
          <w:color w:val="231F20"/>
          <w:w w:val="105"/>
        </w:rPr>
        <w:t>increasing</w:t>
      </w:r>
      <w:r w:rsidRPr="00F55C20">
        <w:rPr>
          <w:rFonts w:cstheme="minorHAnsi"/>
          <w:color w:val="231F20"/>
          <w:w w:val="105"/>
        </w:rPr>
        <w:t xml:space="preserve"> </w:t>
      </w:r>
      <w:r w:rsidRPr="004272D5">
        <w:rPr>
          <w:rFonts w:cstheme="minorHAnsi"/>
          <w:color w:val="231F20"/>
          <w:w w:val="105"/>
        </w:rPr>
        <w:t>access</w:t>
      </w:r>
      <w:r w:rsidRPr="00F55C20">
        <w:rPr>
          <w:rFonts w:cstheme="minorHAnsi"/>
          <w:color w:val="231F20"/>
          <w:w w:val="105"/>
        </w:rPr>
        <w:t xml:space="preserve"> to training </w:t>
      </w:r>
      <w:r w:rsidRPr="004272D5">
        <w:rPr>
          <w:rFonts w:cstheme="minorHAnsi"/>
          <w:color w:val="231F20"/>
          <w:w w:val="105"/>
        </w:rPr>
        <w:t>and</w:t>
      </w:r>
      <w:r w:rsidRPr="00F55C20">
        <w:rPr>
          <w:rFonts w:cstheme="minorHAnsi"/>
          <w:color w:val="231F20"/>
          <w:w w:val="105"/>
        </w:rPr>
        <w:t xml:space="preserve"> </w:t>
      </w:r>
      <w:r w:rsidRPr="004272D5">
        <w:rPr>
          <w:rFonts w:cstheme="minorHAnsi"/>
          <w:color w:val="231F20"/>
          <w:w w:val="105"/>
        </w:rPr>
        <w:t>opportunities</w:t>
      </w:r>
      <w:r w:rsidRPr="00F55C20">
        <w:rPr>
          <w:rFonts w:cstheme="minorHAnsi"/>
          <w:color w:val="231F20"/>
          <w:w w:val="105"/>
        </w:rPr>
        <w:t xml:space="preserve"> </w:t>
      </w:r>
      <w:r w:rsidRPr="004272D5">
        <w:rPr>
          <w:rFonts w:cstheme="minorHAnsi"/>
          <w:color w:val="231F20"/>
          <w:w w:val="105"/>
        </w:rPr>
        <w:t>for</w:t>
      </w:r>
      <w:r w:rsidRPr="00F55C20">
        <w:rPr>
          <w:rFonts w:cstheme="minorHAnsi"/>
          <w:color w:val="231F20"/>
          <w:w w:val="105"/>
        </w:rPr>
        <w:t xml:space="preserve"> </w:t>
      </w:r>
      <w:r w:rsidRPr="004272D5">
        <w:rPr>
          <w:rFonts w:cstheme="minorHAnsi"/>
          <w:color w:val="231F20"/>
          <w:w w:val="105"/>
        </w:rPr>
        <w:t>individuals</w:t>
      </w:r>
      <w:r w:rsidRPr="00F55C20">
        <w:rPr>
          <w:rFonts w:cstheme="minorHAnsi"/>
          <w:color w:val="231F20"/>
          <w:w w:val="105"/>
        </w:rPr>
        <w:t xml:space="preserve"> </w:t>
      </w:r>
      <w:r w:rsidRPr="004272D5">
        <w:rPr>
          <w:rFonts w:cstheme="minorHAnsi"/>
          <w:color w:val="231F20"/>
          <w:w w:val="105"/>
        </w:rPr>
        <w:t>is</w:t>
      </w:r>
      <w:r w:rsidRPr="00F55C20">
        <w:rPr>
          <w:rFonts w:cstheme="minorHAnsi"/>
          <w:color w:val="231F20"/>
          <w:w w:val="105"/>
        </w:rPr>
        <w:t xml:space="preserve"> </w:t>
      </w:r>
      <w:r w:rsidRPr="004272D5">
        <w:rPr>
          <w:rFonts w:cstheme="minorHAnsi"/>
          <w:color w:val="231F20"/>
          <w:w w:val="105"/>
        </w:rPr>
        <w:t>anchored in state statute which requires 50 percent of the formula funds for adults and dislocated workers to be</w:t>
      </w:r>
      <w:r w:rsidRPr="00F55C20">
        <w:rPr>
          <w:rFonts w:cstheme="minorHAnsi"/>
          <w:color w:val="231F20"/>
          <w:w w:val="105"/>
        </w:rPr>
        <w:t xml:space="preserve"> </w:t>
      </w:r>
      <w:r w:rsidRPr="004272D5">
        <w:rPr>
          <w:rFonts w:cstheme="minorHAnsi"/>
          <w:color w:val="231F20"/>
          <w:w w:val="105"/>
        </w:rPr>
        <w:t>allocated</w:t>
      </w:r>
      <w:r w:rsidRPr="00F55C20">
        <w:rPr>
          <w:rFonts w:cstheme="minorHAnsi"/>
          <w:color w:val="231F20"/>
          <w:w w:val="105"/>
        </w:rPr>
        <w:t xml:space="preserve"> </w:t>
      </w:r>
      <w:r w:rsidRPr="004272D5">
        <w:rPr>
          <w:rFonts w:cstheme="minorHAnsi"/>
          <w:color w:val="231F20"/>
          <w:w w:val="105"/>
        </w:rPr>
        <w:t>to</w:t>
      </w:r>
      <w:r w:rsidRPr="00F55C20">
        <w:rPr>
          <w:rFonts w:cstheme="minorHAnsi"/>
          <w:color w:val="231F20"/>
          <w:w w:val="105"/>
        </w:rPr>
        <w:t xml:space="preserve"> </w:t>
      </w:r>
      <w:r w:rsidRPr="004272D5">
        <w:rPr>
          <w:rFonts w:cstheme="minorHAnsi"/>
          <w:color w:val="231F20"/>
          <w:w w:val="105"/>
        </w:rPr>
        <w:t>Individual</w:t>
      </w:r>
      <w:r w:rsidRPr="00F55C20">
        <w:rPr>
          <w:rFonts w:cstheme="minorHAnsi"/>
          <w:color w:val="231F20"/>
          <w:w w:val="105"/>
        </w:rPr>
        <w:t xml:space="preserve"> Training </w:t>
      </w:r>
      <w:r w:rsidRPr="004272D5">
        <w:rPr>
          <w:rFonts w:cstheme="minorHAnsi"/>
          <w:color w:val="231F20"/>
          <w:w w:val="105"/>
        </w:rPr>
        <w:t>Accounts</w:t>
      </w:r>
      <w:r w:rsidRPr="00F55C20">
        <w:rPr>
          <w:rFonts w:cstheme="minorHAnsi"/>
          <w:color w:val="231F20"/>
          <w:w w:val="105"/>
        </w:rPr>
        <w:t xml:space="preserve"> (ITA). </w:t>
      </w:r>
      <w:r w:rsidRPr="004272D5">
        <w:rPr>
          <w:rFonts w:cstheme="minorHAnsi"/>
          <w:color w:val="231F20"/>
          <w:w w:val="105"/>
        </w:rPr>
        <w:t xml:space="preserve">This requirement affirms the </w:t>
      </w:r>
      <w:r w:rsidR="00372DB6">
        <w:rPr>
          <w:rFonts w:cstheme="minorHAnsi"/>
          <w:color w:val="231F20"/>
          <w:w w:val="105"/>
        </w:rPr>
        <w:t>g</w:t>
      </w:r>
      <w:r w:rsidRPr="004272D5">
        <w:rPr>
          <w:rFonts w:cstheme="minorHAnsi"/>
          <w:color w:val="231F20"/>
          <w:w w:val="105"/>
        </w:rPr>
        <w:t>overnor’s vision that most funds are allocated for direct</w:t>
      </w:r>
      <w:r w:rsidRPr="00F55C20">
        <w:rPr>
          <w:rFonts w:cstheme="minorHAnsi"/>
          <w:color w:val="231F20"/>
          <w:w w:val="105"/>
        </w:rPr>
        <w:t xml:space="preserve"> </w:t>
      </w:r>
      <w:r w:rsidRPr="004272D5">
        <w:rPr>
          <w:rFonts w:cstheme="minorHAnsi"/>
          <w:color w:val="231F20"/>
          <w:w w:val="105"/>
        </w:rPr>
        <w:t>training</w:t>
      </w:r>
      <w:r w:rsidRPr="00F55C20">
        <w:rPr>
          <w:rFonts w:cstheme="minorHAnsi"/>
          <w:color w:val="231F20"/>
          <w:w w:val="105"/>
        </w:rPr>
        <w:t xml:space="preserve"> </w:t>
      </w:r>
      <w:r w:rsidRPr="004272D5">
        <w:rPr>
          <w:rFonts w:cstheme="minorHAnsi"/>
          <w:color w:val="231F20"/>
          <w:w w:val="105"/>
        </w:rPr>
        <w:t>related</w:t>
      </w:r>
      <w:r w:rsidRPr="00F55C20">
        <w:rPr>
          <w:rFonts w:cstheme="minorHAnsi"/>
          <w:color w:val="231F20"/>
          <w:w w:val="105"/>
        </w:rPr>
        <w:t xml:space="preserve"> </w:t>
      </w:r>
      <w:r w:rsidRPr="004272D5">
        <w:rPr>
          <w:rFonts w:cstheme="minorHAnsi"/>
          <w:color w:val="231F20"/>
          <w:w w:val="105"/>
        </w:rPr>
        <w:t>costs.</w:t>
      </w:r>
      <w:r w:rsidRPr="00F55C20">
        <w:rPr>
          <w:rFonts w:cstheme="minorHAnsi"/>
          <w:color w:val="231F20"/>
          <w:w w:val="105"/>
        </w:rPr>
        <w:t xml:space="preserve"> </w:t>
      </w:r>
      <w:r w:rsidRPr="004272D5">
        <w:rPr>
          <w:rFonts w:cstheme="minorHAnsi"/>
          <w:color w:val="231F20"/>
          <w:w w:val="105"/>
        </w:rPr>
        <w:t>Costs</w:t>
      </w:r>
      <w:r w:rsidRPr="00F55C20">
        <w:rPr>
          <w:rFonts w:cstheme="minorHAnsi"/>
          <w:color w:val="231F20"/>
          <w:w w:val="105"/>
        </w:rPr>
        <w:t xml:space="preserve"> </w:t>
      </w:r>
      <w:r w:rsidRPr="004272D5">
        <w:rPr>
          <w:rFonts w:cstheme="minorHAnsi"/>
          <w:color w:val="231F20"/>
          <w:w w:val="105"/>
        </w:rPr>
        <w:t>that</w:t>
      </w:r>
      <w:r w:rsidRPr="00F55C20">
        <w:rPr>
          <w:rFonts w:cstheme="minorHAnsi"/>
          <w:color w:val="231F20"/>
          <w:w w:val="105"/>
        </w:rPr>
        <w:t xml:space="preserve"> </w:t>
      </w:r>
      <w:r w:rsidRPr="004272D5">
        <w:rPr>
          <w:rFonts w:cstheme="minorHAnsi"/>
          <w:color w:val="231F20"/>
          <w:w w:val="105"/>
        </w:rPr>
        <w:t>qualify</w:t>
      </w:r>
      <w:r w:rsidRPr="00F55C20">
        <w:rPr>
          <w:rFonts w:cstheme="minorHAnsi"/>
          <w:color w:val="231F20"/>
          <w:w w:val="105"/>
        </w:rPr>
        <w:t xml:space="preserve"> </w:t>
      </w:r>
      <w:r w:rsidRPr="004272D5">
        <w:rPr>
          <w:rFonts w:cstheme="minorHAnsi"/>
          <w:color w:val="231F20"/>
          <w:w w:val="105"/>
        </w:rPr>
        <w:t>under</w:t>
      </w:r>
      <w:r w:rsidRPr="00F55C20">
        <w:rPr>
          <w:rFonts w:cstheme="minorHAnsi"/>
          <w:color w:val="231F20"/>
          <w:w w:val="105"/>
        </w:rPr>
        <w:t xml:space="preserve"> </w:t>
      </w:r>
      <w:r w:rsidRPr="004272D5">
        <w:rPr>
          <w:rFonts w:cstheme="minorHAnsi"/>
          <w:color w:val="231F20"/>
          <w:w w:val="105"/>
        </w:rPr>
        <w:t>the</w:t>
      </w:r>
      <w:r w:rsidRPr="00F55C20">
        <w:rPr>
          <w:rFonts w:cstheme="minorHAnsi"/>
          <w:color w:val="231F20"/>
          <w:w w:val="105"/>
        </w:rPr>
        <w:t xml:space="preserve"> </w:t>
      </w:r>
      <w:r w:rsidRPr="004272D5">
        <w:rPr>
          <w:rFonts w:cstheme="minorHAnsi"/>
          <w:color w:val="231F20"/>
          <w:w w:val="105"/>
        </w:rPr>
        <w:t>50</w:t>
      </w:r>
      <w:r w:rsidRPr="00F55C20">
        <w:rPr>
          <w:rFonts w:cstheme="minorHAnsi"/>
          <w:color w:val="231F20"/>
          <w:w w:val="105"/>
        </w:rPr>
        <w:t xml:space="preserve"> </w:t>
      </w:r>
      <w:r w:rsidRPr="004272D5">
        <w:rPr>
          <w:rFonts w:cstheme="minorHAnsi"/>
          <w:color w:val="231F20"/>
          <w:w w:val="105"/>
        </w:rPr>
        <w:t>percent</w:t>
      </w:r>
      <w:r w:rsidRPr="00F55C20">
        <w:rPr>
          <w:rFonts w:cstheme="minorHAnsi"/>
          <w:color w:val="231F20"/>
          <w:w w:val="105"/>
        </w:rPr>
        <w:t xml:space="preserve"> </w:t>
      </w:r>
      <w:r w:rsidRPr="004272D5">
        <w:rPr>
          <w:rFonts w:cstheme="minorHAnsi"/>
          <w:color w:val="231F20"/>
          <w:w w:val="105"/>
        </w:rPr>
        <w:t>rule</w:t>
      </w:r>
      <w:r w:rsidRPr="00F55C20">
        <w:rPr>
          <w:rFonts w:cstheme="minorHAnsi"/>
          <w:color w:val="231F20"/>
          <w:w w:val="105"/>
        </w:rPr>
        <w:t xml:space="preserve"> </w:t>
      </w:r>
      <w:r w:rsidRPr="004272D5">
        <w:rPr>
          <w:rFonts w:cstheme="minorHAnsi"/>
          <w:color w:val="231F20"/>
          <w:w w:val="105"/>
        </w:rPr>
        <w:t>include</w:t>
      </w:r>
      <w:r w:rsidRPr="00F55C20">
        <w:rPr>
          <w:rFonts w:cstheme="minorHAnsi"/>
          <w:color w:val="231F20"/>
          <w:w w:val="105"/>
        </w:rPr>
        <w:t xml:space="preserve"> </w:t>
      </w:r>
      <w:r w:rsidRPr="004272D5">
        <w:rPr>
          <w:rFonts w:cstheme="minorHAnsi"/>
          <w:color w:val="231F20"/>
          <w:w w:val="105"/>
        </w:rPr>
        <w:t>all</w:t>
      </w:r>
      <w:r w:rsidRPr="00F55C20">
        <w:rPr>
          <w:rFonts w:cstheme="minorHAnsi"/>
          <w:color w:val="231F20"/>
          <w:w w:val="105"/>
        </w:rPr>
        <w:t xml:space="preserve"> </w:t>
      </w:r>
      <w:r w:rsidRPr="004272D5">
        <w:rPr>
          <w:rFonts w:cstheme="minorHAnsi"/>
          <w:color w:val="231F20"/>
          <w:w w:val="105"/>
        </w:rPr>
        <w:t>customer</w:t>
      </w:r>
      <w:r w:rsidRPr="00F55C20">
        <w:rPr>
          <w:rFonts w:cstheme="minorHAnsi"/>
          <w:color w:val="231F20"/>
          <w:w w:val="105"/>
        </w:rPr>
        <w:t xml:space="preserve"> </w:t>
      </w:r>
      <w:r w:rsidRPr="004272D5">
        <w:rPr>
          <w:rFonts w:cstheme="minorHAnsi"/>
          <w:color w:val="231F20"/>
          <w:w w:val="105"/>
        </w:rPr>
        <w:t>service</w:t>
      </w:r>
      <w:r w:rsidRPr="00F55C20">
        <w:rPr>
          <w:rFonts w:cstheme="minorHAnsi"/>
          <w:color w:val="231F20"/>
          <w:w w:val="105"/>
        </w:rPr>
        <w:t xml:space="preserve"> </w:t>
      </w:r>
      <w:r w:rsidRPr="004272D5">
        <w:rPr>
          <w:rFonts w:cstheme="minorHAnsi"/>
          <w:color w:val="231F20"/>
          <w:w w:val="105"/>
        </w:rPr>
        <w:t>costs</w:t>
      </w:r>
      <w:r w:rsidRPr="00F55C20">
        <w:rPr>
          <w:rFonts w:cstheme="minorHAnsi"/>
          <w:color w:val="231F20"/>
          <w:w w:val="105"/>
        </w:rPr>
        <w:t xml:space="preserve"> </w:t>
      </w:r>
      <w:r w:rsidRPr="004272D5">
        <w:rPr>
          <w:rFonts w:cstheme="minorHAnsi"/>
          <w:color w:val="231F20"/>
          <w:w w:val="105"/>
        </w:rPr>
        <w:t>associated</w:t>
      </w:r>
      <w:r w:rsidRPr="00F55C20">
        <w:rPr>
          <w:rFonts w:cstheme="minorHAnsi"/>
          <w:color w:val="231F20"/>
          <w:w w:val="105"/>
        </w:rPr>
        <w:t xml:space="preserve"> </w:t>
      </w:r>
      <w:r w:rsidRPr="004272D5">
        <w:rPr>
          <w:rFonts w:cstheme="minorHAnsi"/>
          <w:color w:val="231F20"/>
          <w:w w:val="105"/>
        </w:rPr>
        <w:t>with</w:t>
      </w:r>
      <w:r w:rsidRPr="00F55C20">
        <w:rPr>
          <w:rFonts w:cstheme="minorHAnsi"/>
          <w:color w:val="231F20"/>
          <w:w w:val="105"/>
        </w:rPr>
        <w:t xml:space="preserve"> </w:t>
      </w:r>
      <w:r w:rsidRPr="004272D5">
        <w:rPr>
          <w:rFonts w:cstheme="minorHAnsi"/>
          <w:color w:val="231F20"/>
          <w:w w:val="105"/>
        </w:rPr>
        <w:t>the</w:t>
      </w:r>
      <w:r w:rsidRPr="00F55C20">
        <w:rPr>
          <w:rFonts w:cstheme="minorHAnsi"/>
          <w:color w:val="231F20"/>
          <w:w w:val="105"/>
        </w:rPr>
        <w:t xml:space="preserve"> ITA </w:t>
      </w:r>
      <w:r w:rsidRPr="004272D5">
        <w:rPr>
          <w:rFonts w:cstheme="minorHAnsi"/>
          <w:color w:val="231F20"/>
          <w:w w:val="105"/>
        </w:rPr>
        <w:t>program</w:t>
      </w:r>
      <w:r w:rsidRPr="00F55C20">
        <w:rPr>
          <w:rFonts w:cstheme="minorHAnsi"/>
          <w:color w:val="231F20"/>
          <w:w w:val="105"/>
        </w:rPr>
        <w:t xml:space="preserve"> </w:t>
      </w:r>
      <w:r w:rsidRPr="004272D5">
        <w:rPr>
          <w:rFonts w:cstheme="minorHAnsi"/>
          <w:color w:val="231F20"/>
          <w:w w:val="105"/>
        </w:rPr>
        <w:t>such</w:t>
      </w:r>
      <w:r w:rsidRPr="00F55C20">
        <w:rPr>
          <w:rFonts w:cstheme="minorHAnsi"/>
          <w:color w:val="231F20"/>
          <w:w w:val="105"/>
        </w:rPr>
        <w:t xml:space="preserve"> </w:t>
      </w:r>
      <w:r w:rsidRPr="004272D5">
        <w:rPr>
          <w:rFonts w:cstheme="minorHAnsi"/>
          <w:color w:val="231F20"/>
          <w:w w:val="105"/>
        </w:rPr>
        <w:t>as</w:t>
      </w:r>
      <w:r w:rsidRPr="00F55C20">
        <w:rPr>
          <w:rFonts w:cstheme="minorHAnsi"/>
          <w:color w:val="231F20"/>
          <w:w w:val="105"/>
        </w:rPr>
        <w:t xml:space="preserve"> </w:t>
      </w:r>
      <w:r w:rsidRPr="004272D5">
        <w:rPr>
          <w:rFonts w:cstheme="minorHAnsi"/>
          <w:color w:val="231F20"/>
          <w:w w:val="105"/>
        </w:rPr>
        <w:t>tuition,</w:t>
      </w:r>
      <w:r w:rsidRPr="00F55C20">
        <w:rPr>
          <w:rFonts w:cstheme="minorHAnsi"/>
          <w:color w:val="231F20"/>
          <w:w w:val="105"/>
        </w:rPr>
        <w:t xml:space="preserve"> </w:t>
      </w:r>
      <w:r w:rsidRPr="004272D5">
        <w:rPr>
          <w:rFonts w:cstheme="minorHAnsi"/>
          <w:color w:val="231F20"/>
          <w:w w:val="105"/>
        </w:rPr>
        <w:t>fees</w:t>
      </w:r>
      <w:r w:rsidRPr="00F55C20">
        <w:rPr>
          <w:rFonts w:cstheme="minorHAnsi"/>
          <w:color w:val="231F20"/>
          <w:w w:val="105"/>
        </w:rPr>
        <w:t xml:space="preserve"> </w:t>
      </w:r>
      <w:r w:rsidRPr="004272D5">
        <w:rPr>
          <w:rFonts w:cstheme="minorHAnsi"/>
          <w:color w:val="231F20"/>
          <w:w w:val="105"/>
        </w:rPr>
        <w:t>and</w:t>
      </w:r>
      <w:r w:rsidRPr="00F55C20">
        <w:rPr>
          <w:rFonts w:cstheme="minorHAnsi"/>
          <w:color w:val="231F20"/>
          <w:w w:val="105"/>
        </w:rPr>
        <w:t xml:space="preserve"> </w:t>
      </w:r>
      <w:r w:rsidRPr="004272D5">
        <w:rPr>
          <w:rFonts w:cstheme="minorHAnsi"/>
          <w:color w:val="231F20"/>
          <w:w w:val="105"/>
        </w:rPr>
        <w:t>books</w:t>
      </w:r>
      <w:r w:rsidR="00D5537E">
        <w:rPr>
          <w:rFonts w:cstheme="minorHAnsi"/>
          <w:color w:val="231F20"/>
          <w:w w:val="105"/>
        </w:rPr>
        <w:t xml:space="preserve"> and</w:t>
      </w:r>
      <w:r w:rsidRPr="00F55C20">
        <w:rPr>
          <w:rFonts w:cstheme="minorHAnsi"/>
          <w:color w:val="231F20"/>
          <w:w w:val="105"/>
        </w:rPr>
        <w:t xml:space="preserve"> </w:t>
      </w:r>
      <w:r w:rsidRPr="004272D5">
        <w:rPr>
          <w:rFonts w:cstheme="minorHAnsi"/>
          <w:color w:val="231F20"/>
          <w:w w:val="105"/>
        </w:rPr>
        <w:t>other</w:t>
      </w:r>
      <w:r w:rsidRPr="00F55C20">
        <w:rPr>
          <w:rFonts w:cstheme="minorHAnsi"/>
          <w:color w:val="231F20"/>
          <w:w w:val="105"/>
        </w:rPr>
        <w:t xml:space="preserve"> </w:t>
      </w:r>
      <w:r w:rsidRPr="004272D5">
        <w:rPr>
          <w:rFonts w:cstheme="minorHAnsi"/>
          <w:color w:val="231F20"/>
          <w:w w:val="105"/>
        </w:rPr>
        <w:t>training</w:t>
      </w:r>
      <w:r w:rsidRPr="00F55C20">
        <w:rPr>
          <w:rFonts w:cstheme="minorHAnsi"/>
          <w:color w:val="231F20"/>
          <w:w w:val="105"/>
        </w:rPr>
        <w:t xml:space="preserve"> </w:t>
      </w:r>
      <w:r w:rsidRPr="004272D5">
        <w:rPr>
          <w:rFonts w:cstheme="minorHAnsi"/>
          <w:color w:val="231F20"/>
          <w:w w:val="105"/>
        </w:rPr>
        <w:t>services.</w:t>
      </w:r>
      <w:r w:rsidRPr="00F55C20">
        <w:rPr>
          <w:rFonts w:cstheme="minorHAnsi"/>
          <w:color w:val="231F20"/>
          <w:w w:val="105"/>
        </w:rPr>
        <w:t xml:space="preserve"> </w:t>
      </w:r>
      <w:r w:rsidRPr="004272D5">
        <w:rPr>
          <w:rFonts w:cstheme="minorHAnsi"/>
          <w:color w:val="231F20"/>
          <w:w w:val="105"/>
        </w:rPr>
        <w:t>Florida</w:t>
      </w:r>
      <w:r w:rsidRPr="00F55C20">
        <w:rPr>
          <w:rFonts w:cstheme="minorHAnsi"/>
          <w:color w:val="231F20"/>
          <w:w w:val="105"/>
        </w:rPr>
        <w:t xml:space="preserve"> </w:t>
      </w:r>
      <w:r w:rsidRPr="004272D5">
        <w:rPr>
          <w:rFonts w:cstheme="minorHAnsi"/>
          <w:color w:val="231F20"/>
          <w:w w:val="105"/>
        </w:rPr>
        <w:t>allows</w:t>
      </w:r>
      <w:r w:rsidRPr="00F55C20">
        <w:rPr>
          <w:rFonts w:cstheme="minorHAnsi"/>
          <w:color w:val="231F20"/>
          <w:w w:val="105"/>
        </w:rPr>
        <w:t xml:space="preserve"> LWDBs </w:t>
      </w:r>
      <w:r w:rsidRPr="004272D5">
        <w:rPr>
          <w:rFonts w:cstheme="minorHAnsi"/>
          <w:color w:val="231F20"/>
          <w:w w:val="105"/>
        </w:rPr>
        <w:t>to</w:t>
      </w:r>
      <w:r w:rsidRPr="00F55C20">
        <w:rPr>
          <w:rFonts w:cstheme="minorHAnsi"/>
          <w:color w:val="231F20"/>
          <w:w w:val="105"/>
        </w:rPr>
        <w:t xml:space="preserve"> </w:t>
      </w:r>
      <w:r w:rsidRPr="004272D5">
        <w:rPr>
          <w:rFonts w:cstheme="minorHAnsi"/>
          <w:color w:val="231F20"/>
          <w:w w:val="105"/>
        </w:rPr>
        <w:t xml:space="preserve">establish </w:t>
      </w:r>
      <w:r w:rsidRPr="00F55C20">
        <w:rPr>
          <w:rFonts w:cstheme="minorHAnsi"/>
          <w:color w:val="231F20"/>
          <w:w w:val="105"/>
        </w:rPr>
        <w:t xml:space="preserve">ITA </w:t>
      </w:r>
      <w:r w:rsidRPr="004272D5">
        <w:rPr>
          <w:rFonts w:cstheme="minorHAnsi"/>
          <w:color w:val="231F20"/>
          <w:w w:val="105"/>
        </w:rPr>
        <w:t>limits and durations.</w:t>
      </w:r>
    </w:p>
    <w:p w14:paraId="2B968F33" w14:textId="0F6B6D31" w:rsidR="00503CE8" w:rsidRDefault="005208BD" w:rsidP="00D63204">
      <w:pPr>
        <w:widowControl w:val="0"/>
        <w:spacing w:before="193" w:after="0" w:line="264" w:lineRule="exact"/>
        <w:ind w:left="107"/>
        <w:rPr>
          <w:rFonts w:cstheme="minorHAnsi"/>
        </w:rPr>
      </w:pPr>
      <w:r w:rsidRPr="00E06806">
        <w:rPr>
          <w:rFonts w:cstheme="minorHAnsi"/>
          <w:color w:val="231F20"/>
          <w:w w:val="105"/>
        </w:rPr>
        <w:t xml:space="preserve">If necessary, local boards may obtain a waiver from the State ITA reserve requirement by submitting an application to CareerSource Florida, Inc. </w:t>
      </w:r>
      <w:r w:rsidRPr="00E06806">
        <w:rPr>
          <w:rFonts w:cstheme="minorHAnsi"/>
        </w:rPr>
        <w:t xml:space="preserve">For the </w:t>
      </w:r>
      <w:r w:rsidR="00801498">
        <w:rPr>
          <w:rFonts w:cstheme="minorHAnsi"/>
        </w:rPr>
        <w:t>s</w:t>
      </w:r>
      <w:r w:rsidRPr="00E06806">
        <w:rPr>
          <w:rFonts w:cstheme="minorHAnsi"/>
        </w:rPr>
        <w:t xml:space="preserve">tate </w:t>
      </w:r>
      <w:r w:rsidR="00801498">
        <w:rPr>
          <w:rFonts w:cstheme="minorHAnsi"/>
        </w:rPr>
        <w:t>b</w:t>
      </w:r>
      <w:r w:rsidRPr="00E06806">
        <w:rPr>
          <w:rFonts w:cstheme="minorHAnsi"/>
        </w:rPr>
        <w:t>oard to consider a waiver from the State ITA reserve requirement</w:t>
      </w:r>
      <w:r w:rsidR="00D5537E">
        <w:rPr>
          <w:rFonts w:cstheme="minorHAnsi"/>
        </w:rPr>
        <w:t xml:space="preserve"> and</w:t>
      </w:r>
      <w:r w:rsidRPr="00E06806">
        <w:rPr>
          <w:rFonts w:cstheme="minorHAnsi"/>
        </w:rPr>
        <w:t xml:space="preserve"> to guide the </w:t>
      </w:r>
      <w:r w:rsidR="002B1AF2">
        <w:rPr>
          <w:rFonts w:cstheme="minorHAnsi"/>
        </w:rPr>
        <w:t>s</w:t>
      </w:r>
      <w:r w:rsidRPr="00E06806">
        <w:rPr>
          <w:rFonts w:cstheme="minorHAnsi"/>
        </w:rPr>
        <w:t xml:space="preserve">tate </w:t>
      </w:r>
      <w:r w:rsidR="002B1AF2">
        <w:rPr>
          <w:rFonts w:cstheme="minorHAnsi"/>
        </w:rPr>
        <w:t>b</w:t>
      </w:r>
      <w:r w:rsidRPr="00E06806">
        <w:rPr>
          <w:rFonts w:cstheme="minorHAnsi"/>
        </w:rPr>
        <w:t>oard in its review, the requesting local area must submit a waiver application identifying the requested reduction from the statutorily required State ITA reserve, specifying the percentage (between 0 and 50</w:t>
      </w:r>
      <w:r w:rsidR="002B1AF2">
        <w:rPr>
          <w:rFonts w:cstheme="minorHAnsi"/>
        </w:rPr>
        <w:t xml:space="preserve"> percent</w:t>
      </w:r>
      <w:r w:rsidRPr="00E06806">
        <w:rPr>
          <w:rFonts w:cstheme="minorHAnsi"/>
        </w:rPr>
        <w:t xml:space="preserve">) of Title I funds for Adults and Dislocated Workers that the local area proposes to reserve for the required training services. This request must include supporting data describing how the reserved training funds will be spent for State ITAs and each of the other authorized training services; and how the diverted training funds will be spent for other services. </w:t>
      </w:r>
    </w:p>
    <w:p w14:paraId="2CBF9F4B" w14:textId="3419F2C0" w:rsidR="00FD727A" w:rsidRDefault="005208BD" w:rsidP="00D63204">
      <w:pPr>
        <w:widowControl w:val="0"/>
        <w:spacing w:before="193" w:after="0" w:line="264" w:lineRule="exact"/>
        <w:ind w:left="107"/>
        <w:rPr>
          <w:rFonts w:cstheme="minorHAnsi"/>
        </w:rPr>
      </w:pPr>
      <w:r w:rsidRPr="00E06806">
        <w:rPr>
          <w:rFonts w:cstheme="minorHAnsi"/>
        </w:rPr>
        <w:lastRenderedPageBreak/>
        <w:t>Documentation must substantiate the lack of demand for each authorized training service; the substantially greater demand for career services and business services, relative to training services; the qualitative and quantitative financial impact that the statutorily</w:t>
      </w:r>
      <w:r w:rsidR="000511ED">
        <w:rPr>
          <w:rFonts w:cstheme="minorHAnsi"/>
        </w:rPr>
        <w:t xml:space="preserve"> </w:t>
      </w:r>
      <w:r w:rsidRPr="00E06806">
        <w:rPr>
          <w:rFonts w:cstheme="minorHAnsi"/>
        </w:rPr>
        <w:t xml:space="preserve">required State ITA reserve requirement has on the provision of services for clients seeking or receiving training services; or </w:t>
      </w:r>
      <w:r w:rsidR="003C3628" w:rsidRPr="00E06806">
        <w:rPr>
          <w:rFonts w:cstheme="minorHAnsi"/>
        </w:rPr>
        <w:t>t</w:t>
      </w:r>
      <w:r w:rsidRPr="00E06806">
        <w:rPr>
          <w:rFonts w:cstheme="minorHAnsi"/>
        </w:rPr>
        <w:t>he exceptional circumstances that warrant granting a waiver.</w:t>
      </w:r>
    </w:p>
    <w:p w14:paraId="08B7A6D4" w14:textId="16B5C4BE" w:rsidR="005208BD" w:rsidRPr="00E06806" w:rsidRDefault="003C3628" w:rsidP="00D63204">
      <w:pPr>
        <w:widowControl w:val="0"/>
        <w:spacing w:before="193" w:after="0" w:line="264" w:lineRule="exact"/>
        <w:ind w:left="107"/>
        <w:rPr>
          <w:rFonts w:cstheme="minorHAnsi"/>
        </w:rPr>
      </w:pPr>
      <w:r w:rsidRPr="00DC2159">
        <w:rPr>
          <w:rFonts w:cstheme="minorHAnsi"/>
          <w:color w:val="231F20"/>
          <w:w w:val="105"/>
        </w:rPr>
        <w:t>Factors the CareerSource Florida Board of</w:t>
      </w:r>
      <w:r w:rsidRPr="00E06806">
        <w:rPr>
          <w:rFonts w:cstheme="minorHAnsi"/>
          <w:color w:val="231F20"/>
          <w:w w:val="105"/>
        </w:rPr>
        <w:t xml:space="preserve"> Directors may consider in deciding to grant an ITA waiver application may include whether t</w:t>
      </w:r>
      <w:r w:rsidR="005208BD" w:rsidRPr="00E06806">
        <w:rPr>
          <w:rFonts w:cstheme="minorHAnsi"/>
        </w:rPr>
        <w:t xml:space="preserve">he local area is contractually obligated or is seeking participation in a training program funded by a partner, for which the local workforce development board will provide career services; </w:t>
      </w:r>
      <w:r w:rsidRPr="00E06806">
        <w:rPr>
          <w:rFonts w:cstheme="minorHAnsi"/>
        </w:rPr>
        <w:t>whether t</w:t>
      </w:r>
      <w:r w:rsidR="005208BD" w:rsidRPr="00E06806">
        <w:rPr>
          <w:rFonts w:cstheme="minorHAnsi"/>
        </w:rPr>
        <w:t xml:space="preserve">he local area is contractually obligated or is seeking participation in a major economic development initiative of regional impact that will result in significant job creation, to the extent the initiative does not interfere with the priority of services to other clients as required by federal law; or </w:t>
      </w:r>
      <w:r w:rsidRPr="00E06806">
        <w:rPr>
          <w:rFonts w:cstheme="minorHAnsi"/>
        </w:rPr>
        <w:t>whether t</w:t>
      </w:r>
      <w:r w:rsidR="005208BD" w:rsidRPr="00E06806">
        <w:rPr>
          <w:rFonts w:cstheme="minorHAnsi"/>
        </w:rPr>
        <w:t>he local area is entirely contained within a statutorily designated Rural Area of Critical Economic Concern (RACEC)</w:t>
      </w:r>
      <w:r w:rsidR="005E7C49">
        <w:rPr>
          <w:rFonts w:cstheme="minorHAnsi"/>
        </w:rPr>
        <w:t xml:space="preserve">. </w:t>
      </w:r>
    </w:p>
    <w:p w14:paraId="0887CAB1" w14:textId="05245A3F" w:rsidR="005208BD" w:rsidRPr="00E06806" w:rsidRDefault="003C3628" w:rsidP="00D63204">
      <w:pPr>
        <w:widowControl w:val="0"/>
        <w:spacing w:before="193" w:after="0" w:line="264" w:lineRule="exact"/>
        <w:ind w:left="107"/>
        <w:rPr>
          <w:rFonts w:cstheme="minorHAnsi"/>
        </w:rPr>
      </w:pPr>
      <w:r w:rsidRPr="00E06806">
        <w:rPr>
          <w:rFonts w:cstheme="minorHAnsi"/>
        </w:rPr>
        <w:t>Local boards requesting a waiver from the state ITA requirement must submit a</w:t>
      </w:r>
      <w:r w:rsidR="005208BD" w:rsidRPr="00E06806">
        <w:rPr>
          <w:rFonts w:cstheme="minorHAnsi"/>
        </w:rPr>
        <w:t xml:space="preserve"> budget (or proposed budget) showing program components and major breakouts for each program </w:t>
      </w:r>
      <w:r w:rsidRPr="00E06806">
        <w:rPr>
          <w:rFonts w:cstheme="minorHAnsi"/>
        </w:rPr>
        <w:t xml:space="preserve">including </w:t>
      </w:r>
      <w:r w:rsidR="005208BD" w:rsidRPr="00E06806">
        <w:rPr>
          <w:rFonts w:cstheme="minorHAnsi"/>
        </w:rPr>
        <w:t>one-stop services, training providers, supportive service</w:t>
      </w:r>
      <w:r w:rsidRPr="00E06806">
        <w:rPr>
          <w:rFonts w:cstheme="minorHAnsi"/>
        </w:rPr>
        <w:t>s, administrative costs, etc.; a</w:t>
      </w:r>
      <w:r w:rsidR="005208BD" w:rsidRPr="00E06806">
        <w:rPr>
          <w:rFonts w:cstheme="minorHAnsi"/>
        </w:rPr>
        <w:t xml:space="preserve"> description of how the current and long-term unemployment rate for the local area will be impacted by </w:t>
      </w:r>
      <w:r w:rsidRPr="00E06806">
        <w:rPr>
          <w:rFonts w:cstheme="minorHAnsi"/>
        </w:rPr>
        <w:t>a waiver, should it be approved; d</w:t>
      </w:r>
      <w:r w:rsidR="005208BD" w:rsidRPr="00E06806">
        <w:rPr>
          <w:rFonts w:cstheme="minorHAnsi"/>
        </w:rPr>
        <w:t>ocuments identifying the local area’s efforts to increase demand from individuals to meet market nee</w:t>
      </w:r>
      <w:r w:rsidRPr="00E06806">
        <w:rPr>
          <w:rFonts w:cstheme="minorHAnsi"/>
        </w:rPr>
        <w:t>ds (to address the talent gap); d</w:t>
      </w:r>
      <w:r w:rsidR="005208BD" w:rsidRPr="00E06806">
        <w:rPr>
          <w:rFonts w:cstheme="minorHAnsi"/>
        </w:rPr>
        <w:t xml:space="preserve">ocumentation that the </w:t>
      </w:r>
      <w:r w:rsidR="00485A26">
        <w:rPr>
          <w:rFonts w:cstheme="minorHAnsi"/>
        </w:rPr>
        <w:t>l</w:t>
      </w:r>
      <w:r w:rsidR="005208BD" w:rsidRPr="00E06806">
        <w:rPr>
          <w:rFonts w:cstheme="minorHAnsi"/>
        </w:rPr>
        <w:t xml:space="preserve">ocal </w:t>
      </w:r>
      <w:r w:rsidR="00485A26">
        <w:rPr>
          <w:rFonts w:cstheme="minorHAnsi"/>
        </w:rPr>
        <w:t>w</w:t>
      </w:r>
      <w:r w:rsidR="005208BD" w:rsidRPr="00E06806">
        <w:rPr>
          <w:rFonts w:cstheme="minorHAnsi"/>
        </w:rPr>
        <w:t xml:space="preserve">orkforce </w:t>
      </w:r>
      <w:r w:rsidR="00485A26">
        <w:rPr>
          <w:rFonts w:cstheme="minorHAnsi"/>
        </w:rPr>
        <w:t>d</w:t>
      </w:r>
      <w:r w:rsidR="005208BD" w:rsidRPr="00E06806">
        <w:rPr>
          <w:rFonts w:cstheme="minorHAnsi"/>
        </w:rPr>
        <w:t xml:space="preserve">evelopment </w:t>
      </w:r>
      <w:r w:rsidR="00485A26">
        <w:rPr>
          <w:rFonts w:cstheme="minorHAnsi"/>
        </w:rPr>
        <w:t>b</w:t>
      </w:r>
      <w:r w:rsidR="005208BD" w:rsidRPr="00E06806">
        <w:rPr>
          <w:rFonts w:cstheme="minorHAnsi"/>
        </w:rPr>
        <w:t xml:space="preserve">oard and the </w:t>
      </w:r>
      <w:r w:rsidR="00485A26">
        <w:rPr>
          <w:rFonts w:cstheme="minorHAnsi"/>
        </w:rPr>
        <w:t>c</w:t>
      </w:r>
      <w:r w:rsidR="005208BD" w:rsidRPr="00E06806">
        <w:rPr>
          <w:rFonts w:cstheme="minorHAnsi"/>
        </w:rPr>
        <w:t xml:space="preserve">hief </w:t>
      </w:r>
      <w:r w:rsidR="00485A26">
        <w:rPr>
          <w:rFonts w:cstheme="minorHAnsi"/>
        </w:rPr>
        <w:t>e</w:t>
      </w:r>
      <w:r w:rsidR="005208BD" w:rsidRPr="00E06806">
        <w:rPr>
          <w:rFonts w:cstheme="minorHAnsi"/>
        </w:rPr>
        <w:t xml:space="preserve">lected </w:t>
      </w:r>
      <w:r w:rsidR="00485A26">
        <w:rPr>
          <w:rFonts w:cstheme="minorHAnsi"/>
        </w:rPr>
        <w:t>o</w:t>
      </w:r>
      <w:r w:rsidR="005208BD" w:rsidRPr="00E06806">
        <w:rPr>
          <w:rFonts w:cstheme="minorHAnsi"/>
        </w:rPr>
        <w:t>ffici</w:t>
      </w:r>
      <w:r w:rsidRPr="00E06806">
        <w:rPr>
          <w:rFonts w:cstheme="minorHAnsi"/>
        </w:rPr>
        <w:t>al approved the waiver request; and a</w:t>
      </w:r>
      <w:r w:rsidR="005208BD" w:rsidRPr="00E06806">
        <w:rPr>
          <w:rFonts w:cstheme="minorHAnsi"/>
        </w:rPr>
        <w:t>n agreement that, if the conditions warranting the waiver change, the local area commits to comply with the State ITA reserve requirement and will notify CareerSource Florida of such compliance.</w:t>
      </w:r>
    </w:p>
    <w:p w14:paraId="736395AE" w14:textId="5444A675" w:rsidR="00EA7458" w:rsidRPr="00E06806" w:rsidRDefault="00EA7458" w:rsidP="00D63204">
      <w:pPr>
        <w:widowControl w:val="0"/>
        <w:spacing w:before="193" w:after="0" w:line="264" w:lineRule="exact"/>
        <w:ind w:left="107"/>
        <w:rPr>
          <w:rFonts w:cstheme="minorHAnsi"/>
        </w:rPr>
      </w:pPr>
      <w:r w:rsidRPr="00FD727A">
        <w:rPr>
          <w:rFonts w:cstheme="minorHAnsi"/>
        </w:rPr>
        <w:t xml:space="preserve">LWDBs are responsible for their respective Targeted Occupations List (TOL) or </w:t>
      </w:r>
      <w:r w:rsidR="003C3628" w:rsidRPr="00FD727A">
        <w:rPr>
          <w:rFonts w:cstheme="minorHAnsi"/>
        </w:rPr>
        <w:t xml:space="preserve">using </w:t>
      </w:r>
      <w:r w:rsidRPr="00FD727A">
        <w:rPr>
          <w:rFonts w:cstheme="minorHAnsi"/>
        </w:rPr>
        <w:t>the state TOL. Private postsecondary institutions must be licensed with the Commission for Independent Education. All training institutions must report student data to the Florida Education and Training Placement Information Program (FETPIP) maintained by the Florida Department of Education.</w:t>
      </w:r>
    </w:p>
    <w:p w14:paraId="72C7DAFC" w14:textId="77777777" w:rsidR="00EA2742" w:rsidRDefault="00EA2742" w:rsidP="00D63204">
      <w:pPr>
        <w:widowControl w:val="0"/>
        <w:spacing w:after="0" w:line="264" w:lineRule="exact"/>
        <w:ind w:left="107"/>
        <w:rPr>
          <w:rFonts w:cstheme="minorHAnsi"/>
        </w:rPr>
      </w:pPr>
    </w:p>
    <w:p w14:paraId="002A5CB8" w14:textId="2B5F6845" w:rsidR="00545606" w:rsidRPr="001A6CC2" w:rsidRDefault="00545606" w:rsidP="00D63204">
      <w:pPr>
        <w:widowControl w:val="0"/>
        <w:spacing w:after="0" w:line="264" w:lineRule="exact"/>
        <w:ind w:left="107"/>
        <w:rPr>
          <w:rFonts w:cstheme="minorHAnsi"/>
          <w:color w:val="231F20"/>
          <w:w w:val="105"/>
        </w:rPr>
      </w:pPr>
      <w:r w:rsidRPr="001A6CC2">
        <w:rPr>
          <w:rFonts w:cstheme="minorHAnsi"/>
          <w:color w:val="231F20"/>
          <w:w w:val="105"/>
        </w:rPr>
        <w:t xml:space="preserve">VR currently has five </w:t>
      </w:r>
      <w:r w:rsidR="00720B51" w:rsidRPr="001A6CC2">
        <w:rPr>
          <w:rFonts w:cstheme="minorHAnsi"/>
          <w:color w:val="231F20"/>
          <w:w w:val="105"/>
        </w:rPr>
        <w:t>I</w:t>
      </w:r>
      <w:r w:rsidRPr="001A6CC2">
        <w:rPr>
          <w:rFonts w:cstheme="minorHAnsi"/>
          <w:color w:val="231F20"/>
          <w:w w:val="105"/>
        </w:rPr>
        <w:t xml:space="preserve">nnovation and </w:t>
      </w:r>
      <w:r w:rsidR="00720B51" w:rsidRPr="001A6CC2">
        <w:rPr>
          <w:rFonts w:cstheme="minorHAnsi"/>
          <w:color w:val="231F20"/>
          <w:w w:val="105"/>
        </w:rPr>
        <w:t>E</w:t>
      </w:r>
      <w:r w:rsidRPr="001A6CC2">
        <w:rPr>
          <w:rFonts w:cstheme="minorHAnsi"/>
          <w:color w:val="231F20"/>
          <w:w w:val="105"/>
        </w:rPr>
        <w:t>xpansion pilot projects throughout the state to provide business consultation, pre-employment training, volunteering positions</w:t>
      </w:r>
      <w:r w:rsidR="00D5537E" w:rsidRPr="001A6CC2">
        <w:rPr>
          <w:rFonts w:cstheme="minorHAnsi"/>
          <w:color w:val="231F20"/>
          <w:w w:val="105"/>
        </w:rPr>
        <w:t xml:space="preserve"> and</w:t>
      </w:r>
      <w:r w:rsidR="00720B51" w:rsidRPr="001A6CC2">
        <w:rPr>
          <w:rFonts w:cstheme="minorHAnsi"/>
          <w:color w:val="231F20"/>
          <w:w w:val="105"/>
        </w:rPr>
        <w:t xml:space="preserve"> </w:t>
      </w:r>
      <w:r w:rsidRPr="001A6CC2">
        <w:rPr>
          <w:rFonts w:cstheme="minorHAnsi"/>
          <w:color w:val="231F20"/>
          <w:w w:val="105"/>
        </w:rPr>
        <w:t xml:space="preserve">intensive discovery services to job seekers with unique abilities. </w:t>
      </w:r>
    </w:p>
    <w:p w14:paraId="66DAA08A" w14:textId="77777777" w:rsidR="00EA2742" w:rsidRPr="001A6CC2" w:rsidRDefault="00EA2742" w:rsidP="00D63204">
      <w:pPr>
        <w:widowControl w:val="0"/>
        <w:spacing w:after="0" w:line="264" w:lineRule="exact"/>
        <w:ind w:left="107"/>
        <w:rPr>
          <w:rFonts w:cstheme="minorHAnsi"/>
          <w:color w:val="231F20"/>
          <w:w w:val="105"/>
        </w:rPr>
      </w:pPr>
    </w:p>
    <w:p w14:paraId="5FF03438" w14:textId="3109FA78" w:rsidR="00E20C8F" w:rsidRPr="001A6CC2" w:rsidRDefault="00EA7458" w:rsidP="00D63204">
      <w:pPr>
        <w:widowControl w:val="0"/>
        <w:spacing w:after="0" w:line="264" w:lineRule="exact"/>
        <w:ind w:left="107"/>
        <w:rPr>
          <w:rFonts w:cstheme="minorHAnsi"/>
          <w:color w:val="231F20"/>
          <w:w w:val="105"/>
        </w:rPr>
      </w:pPr>
      <w:r w:rsidRPr="001A6CC2">
        <w:rPr>
          <w:rFonts w:cstheme="minorHAnsi"/>
          <w:color w:val="231F20"/>
          <w:w w:val="105"/>
        </w:rPr>
        <w:t xml:space="preserve">FDBS will allocate 15 percent of its federal allotment to pre-employment transition services for all students with disabilities in need of such services who are eligible or potentially eligible for services through the Division. </w:t>
      </w:r>
      <w:r w:rsidR="00D701E3" w:rsidRPr="001A6CC2">
        <w:rPr>
          <w:rFonts w:cstheme="minorHAnsi"/>
          <w:color w:val="231F20"/>
          <w:w w:val="105"/>
        </w:rPr>
        <w:t>FDBS has a draft Pre-ETS policy currently under review by WINTAC. The policy states that s</w:t>
      </w:r>
      <w:r w:rsidRPr="001A6CC2">
        <w:rPr>
          <w:rFonts w:cstheme="minorHAnsi"/>
          <w:color w:val="231F20"/>
          <w:w w:val="105"/>
        </w:rPr>
        <w:t xml:space="preserve">ervices </w:t>
      </w:r>
      <w:r w:rsidR="00D701E3" w:rsidRPr="001A6CC2">
        <w:rPr>
          <w:rFonts w:cstheme="minorHAnsi"/>
          <w:color w:val="231F20"/>
          <w:w w:val="105"/>
        </w:rPr>
        <w:t xml:space="preserve">will be </w:t>
      </w:r>
      <w:r w:rsidRPr="001A6CC2">
        <w:rPr>
          <w:rFonts w:cstheme="minorHAnsi"/>
          <w:color w:val="231F20"/>
          <w:w w:val="105"/>
        </w:rPr>
        <w:t>available the year the individual reaches age 14. The provision</w:t>
      </w:r>
      <w:r w:rsidR="00D701E3" w:rsidRPr="001A6CC2">
        <w:rPr>
          <w:rFonts w:cstheme="minorHAnsi"/>
          <w:color w:val="231F20"/>
          <w:w w:val="105"/>
        </w:rPr>
        <w:t xml:space="preserve"> </w:t>
      </w:r>
      <w:r w:rsidRPr="001A6CC2">
        <w:rPr>
          <w:rFonts w:cstheme="minorHAnsi"/>
          <w:color w:val="231F20"/>
          <w:w w:val="105"/>
        </w:rPr>
        <w:t xml:space="preserve">of such services </w:t>
      </w:r>
      <w:r w:rsidR="00A06266" w:rsidRPr="001A6CC2">
        <w:rPr>
          <w:rFonts w:cstheme="minorHAnsi"/>
          <w:color w:val="231F20"/>
          <w:w w:val="105"/>
        </w:rPr>
        <w:t xml:space="preserve">matches </w:t>
      </w:r>
      <w:r w:rsidRPr="001A6CC2">
        <w:rPr>
          <w:rFonts w:cstheme="minorHAnsi"/>
          <w:color w:val="231F20"/>
          <w:w w:val="105"/>
        </w:rPr>
        <w:t>categories defined in WIOA Section 113. All services and purchases (such as orientation and mobility services, pay for work experience, stipends, On-the Job Training, assistive technology services and devices, etc.,) required to enable an individual to engage in activities defined</w:t>
      </w:r>
      <w:r w:rsidR="00E20C8F" w:rsidRPr="001A6CC2">
        <w:rPr>
          <w:rFonts w:cstheme="minorHAnsi"/>
          <w:color w:val="231F20"/>
          <w:w w:val="105"/>
        </w:rPr>
        <w:t xml:space="preserve"> </w:t>
      </w:r>
      <w:r w:rsidRPr="001A6CC2">
        <w:rPr>
          <w:rFonts w:cstheme="minorHAnsi"/>
          <w:color w:val="231F20"/>
          <w:w w:val="105"/>
        </w:rPr>
        <w:t xml:space="preserve">in the Act </w:t>
      </w:r>
      <w:r w:rsidR="00A06266" w:rsidRPr="001A6CC2">
        <w:rPr>
          <w:rFonts w:cstheme="minorHAnsi"/>
          <w:color w:val="231F20"/>
          <w:w w:val="105"/>
        </w:rPr>
        <w:t xml:space="preserve">are </w:t>
      </w:r>
      <w:r w:rsidRPr="001A6CC2">
        <w:rPr>
          <w:rFonts w:cstheme="minorHAnsi"/>
          <w:color w:val="231F20"/>
          <w:w w:val="105"/>
        </w:rPr>
        <w:t>made available as part of the 15 percent state set-aside in the federal funding formula.</w:t>
      </w:r>
    </w:p>
    <w:p w14:paraId="5884AE68" w14:textId="77777777" w:rsidR="00E20C8F" w:rsidRPr="001A6CC2" w:rsidRDefault="00E20C8F" w:rsidP="00D63204">
      <w:pPr>
        <w:widowControl w:val="0"/>
        <w:spacing w:after="0" w:line="264" w:lineRule="exact"/>
        <w:ind w:left="107"/>
        <w:rPr>
          <w:rFonts w:cstheme="minorHAnsi"/>
          <w:color w:val="231F20"/>
          <w:w w:val="105"/>
        </w:rPr>
      </w:pPr>
    </w:p>
    <w:p w14:paraId="0AE02548" w14:textId="71550589" w:rsidR="001A6CC2" w:rsidRPr="001A6CC2" w:rsidRDefault="001A6CC2" w:rsidP="00CD4C98">
      <w:pPr>
        <w:widowControl w:val="0"/>
        <w:spacing w:after="0" w:line="264" w:lineRule="exact"/>
        <w:ind w:left="107"/>
        <w:rPr>
          <w:rFonts w:cstheme="minorHAnsi"/>
          <w:color w:val="231F20"/>
          <w:w w:val="105"/>
        </w:rPr>
      </w:pPr>
      <w:r w:rsidRPr="001A6CC2">
        <w:rPr>
          <w:rFonts w:cstheme="minorHAnsi"/>
          <w:color w:val="231F20"/>
          <w:w w:val="105"/>
        </w:rPr>
        <w:t xml:space="preserve">Individuals meeting the definition </w:t>
      </w:r>
      <w:r w:rsidR="00030798">
        <w:rPr>
          <w:rFonts w:cstheme="minorHAnsi"/>
          <w:color w:val="231F20"/>
          <w:w w:val="105"/>
        </w:rPr>
        <w:t>fo</w:t>
      </w:r>
      <w:r w:rsidRPr="001A6CC2">
        <w:rPr>
          <w:rFonts w:cstheme="minorHAnsi"/>
          <w:color w:val="231F20"/>
          <w:w w:val="105"/>
        </w:rPr>
        <w:t>r Pre-Employment Transition Services at the time services are initiated will continue to qualify for such services through age 21</w:t>
      </w:r>
      <w:r w:rsidR="00ED3E6B">
        <w:rPr>
          <w:rFonts w:cstheme="minorHAnsi"/>
          <w:color w:val="231F20"/>
          <w:w w:val="105"/>
        </w:rPr>
        <w:t>,</w:t>
      </w:r>
      <w:r w:rsidRPr="001A6CC2">
        <w:rPr>
          <w:rFonts w:cstheme="minorHAnsi"/>
          <w:color w:val="231F20"/>
          <w:w w:val="105"/>
        </w:rPr>
        <w:t xml:space="preserve"> </w:t>
      </w:r>
      <w:r w:rsidR="00ED3E6B">
        <w:rPr>
          <w:rFonts w:cstheme="minorHAnsi"/>
          <w:color w:val="231F20"/>
          <w:w w:val="105"/>
        </w:rPr>
        <w:t>providing the person is</w:t>
      </w:r>
      <w:r w:rsidRPr="001A6CC2">
        <w:rPr>
          <w:rFonts w:cstheme="minorHAnsi"/>
          <w:color w:val="231F20"/>
          <w:w w:val="105"/>
        </w:rPr>
        <w:t xml:space="preserve"> eligible for, and receiving, special education or related services under part B of the Individuals with </w:t>
      </w:r>
      <w:r w:rsidR="00ED3E6B">
        <w:rPr>
          <w:rFonts w:cstheme="minorHAnsi"/>
          <w:color w:val="231F20"/>
          <w:w w:val="105"/>
        </w:rPr>
        <w:t>D</w:t>
      </w:r>
      <w:r w:rsidRPr="001A6CC2">
        <w:rPr>
          <w:rFonts w:cstheme="minorHAnsi"/>
          <w:color w:val="231F20"/>
          <w:w w:val="105"/>
        </w:rPr>
        <w:t xml:space="preserve">isabilities Education Act and/or when the </w:t>
      </w:r>
      <w:r w:rsidR="00ED3E6B">
        <w:rPr>
          <w:rFonts w:cstheme="minorHAnsi"/>
          <w:color w:val="231F20"/>
          <w:w w:val="105"/>
        </w:rPr>
        <w:t xml:space="preserve">individual has </w:t>
      </w:r>
      <w:r w:rsidRPr="001A6CC2">
        <w:rPr>
          <w:rFonts w:cstheme="minorHAnsi"/>
          <w:color w:val="231F20"/>
          <w:w w:val="105"/>
        </w:rPr>
        <w:t xml:space="preserve">a disability, for purposes of </w:t>
      </w:r>
      <w:r w:rsidR="00ED3E6B">
        <w:rPr>
          <w:rFonts w:cstheme="minorHAnsi"/>
          <w:color w:val="231F20"/>
          <w:w w:val="105"/>
        </w:rPr>
        <w:t>S</w:t>
      </w:r>
      <w:r w:rsidRPr="001A6CC2">
        <w:rPr>
          <w:rFonts w:cstheme="minorHAnsi"/>
          <w:color w:val="231F20"/>
          <w:w w:val="105"/>
        </w:rPr>
        <w:t>ection 504 of the Act.</w:t>
      </w:r>
    </w:p>
    <w:p w14:paraId="5FE44DD9" w14:textId="5402F41A" w:rsidR="00503CE8" w:rsidRDefault="001A6CC2" w:rsidP="001A6CC2">
      <w:pPr>
        <w:rPr>
          <w:rFonts w:cstheme="minorHAnsi"/>
          <w:w w:val="105"/>
        </w:rPr>
      </w:pPr>
      <w:r>
        <w:rPr>
          <w:rFonts w:cstheme="minorHAnsi"/>
          <w:w w:val="105"/>
        </w:rPr>
        <w:t xml:space="preserve"> </w:t>
      </w:r>
      <w:r w:rsidR="00503CE8">
        <w:rPr>
          <w:rFonts w:cstheme="minorHAnsi"/>
          <w:w w:val="105"/>
        </w:rPr>
        <w:br w:type="page"/>
      </w:r>
    </w:p>
    <w:p w14:paraId="3AF6452A" w14:textId="77777777" w:rsidR="00EA7458" w:rsidRDefault="00EA7458" w:rsidP="00D63204">
      <w:pPr>
        <w:widowControl w:val="0"/>
        <w:spacing w:after="0" w:line="264" w:lineRule="exact"/>
        <w:ind w:left="107"/>
        <w:rPr>
          <w:rFonts w:cstheme="minorHAnsi"/>
          <w:w w:val="105"/>
        </w:rPr>
      </w:pPr>
    </w:p>
    <w:p w14:paraId="5A878712" w14:textId="77777777" w:rsidR="00EA7458" w:rsidRPr="00E06806" w:rsidRDefault="00EA7458" w:rsidP="00D63204">
      <w:pPr>
        <w:widowControl w:val="0"/>
        <w:spacing w:before="6" w:after="0" w:line="240" w:lineRule="auto"/>
        <w:ind w:left="107"/>
        <w:rPr>
          <w:rFonts w:cstheme="minorHAnsi"/>
          <w:sz w:val="16"/>
          <w:szCs w:val="16"/>
        </w:rPr>
      </w:pPr>
    </w:p>
    <w:p w14:paraId="1C55943C" w14:textId="77777777" w:rsidR="00EA7458" w:rsidRPr="00E06806" w:rsidRDefault="00EA7458" w:rsidP="00EA12E3">
      <w:pPr>
        <w:widowControl w:val="0"/>
        <w:numPr>
          <w:ilvl w:val="0"/>
          <w:numId w:val="170"/>
        </w:numPr>
        <w:tabs>
          <w:tab w:val="left" w:pos="2268"/>
        </w:tabs>
        <w:spacing w:after="0" w:line="240" w:lineRule="auto"/>
        <w:ind w:left="2700" w:hanging="450"/>
        <w:rPr>
          <w:rFonts w:cstheme="minorHAnsi"/>
        </w:rPr>
      </w:pPr>
      <w:bookmarkStart w:id="74" w:name="_Hlk507680770"/>
      <w:r w:rsidRPr="00E06806">
        <w:rPr>
          <w:rFonts w:cstheme="minorHAnsi"/>
          <w:color w:val="295CA3"/>
          <w:w w:val="110"/>
        </w:rPr>
        <w:t>Improving Access to Postsecondary</w:t>
      </w:r>
      <w:r w:rsidRPr="00E06806">
        <w:rPr>
          <w:rFonts w:cstheme="minorHAnsi"/>
          <w:color w:val="295CA3"/>
          <w:spacing w:val="5"/>
          <w:w w:val="110"/>
        </w:rPr>
        <w:t xml:space="preserve"> </w:t>
      </w:r>
      <w:r w:rsidRPr="00E06806">
        <w:rPr>
          <w:rFonts w:cstheme="minorHAnsi"/>
          <w:color w:val="295CA3"/>
          <w:w w:val="110"/>
        </w:rPr>
        <w:t>Credentials</w:t>
      </w:r>
    </w:p>
    <w:bookmarkEnd w:id="74"/>
    <w:p w14:paraId="7182FE89" w14:textId="77777777" w:rsidR="00E20C8F" w:rsidRDefault="00EA7458" w:rsidP="00D63204">
      <w:pPr>
        <w:widowControl w:val="0"/>
        <w:spacing w:before="195" w:after="0" w:line="266" w:lineRule="exact"/>
        <w:ind w:left="107"/>
        <w:outlineLvl w:val="2"/>
        <w:rPr>
          <w:rFonts w:cstheme="minorHAnsi"/>
          <w:b/>
          <w:bCs/>
          <w:color w:val="231F20"/>
          <w:w w:val="110"/>
        </w:rPr>
      </w:pPr>
      <w:r w:rsidRPr="00E06806">
        <w:rPr>
          <w:rFonts w:cstheme="minorHAnsi"/>
          <w:b/>
          <w:bCs/>
          <w:color w:val="231F20"/>
          <w:w w:val="110"/>
        </w:rPr>
        <w:t>Florida Career and Professional Education</w:t>
      </w:r>
      <w:r w:rsidRPr="00E06806">
        <w:rPr>
          <w:rFonts w:cstheme="minorHAnsi"/>
          <w:b/>
          <w:bCs/>
          <w:color w:val="231F20"/>
          <w:spacing w:val="-1"/>
          <w:w w:val="110"/>
        </w:rPr>
        <w:t xml:space="preserve"> </w:t>
      </w:r>
      <w:r w:rsidRPr="00E06806">
        <w:rPr>
          <w:rFonts w:cstheme="minorHAnsi"/>
          <w:b/>
          <w:bCs/>
          <w:color w:val="231F20"/>
          <w:w w:val="110"/>
        </w:rPr>
        <w:t>Act</w:t>
      </w:r>
    </w:p>
    <w:p w14:paraId="3FEC8284" w14:textId="6BF68088" w:rsidR="00AB6E52" w:rsidRPr="00E06806" w:rsidRDefault="00B21E43" w:rsidP="00D63204">
      <w:pPr>
        <w:widowControl w:val="0"/>
        <w:spacing w:after="0" w:line="266" w:lineRule="exact"/>
        <w:ind w:left="107"/>
        <w:outlineLvl w:val="2"/>
        <w:rPr>
          <w:rFonts w:cstheme="minorHAnsi"/>
          <w:color w:val="231F20"/>
          <w:w w:val="105"/>
        </w:rPr>
      </w:pPr>
      <w:r w:rsidRPr="00E06806">
        <w:rPr>
          <w:rFonts w:cstheme="minorHAnsi"/>
          <w:color w:val="231F20"/>
          <w:w w:val="105"/>
        </w:rPr>
        <w:t xml:space="preserve">CareerSource Florida collaborates with the Department of Economic Opportunity, </w:t>
      </w:r>
      <w:r w:rsidR="00982CE3">
        <w:rPr>
          <w:rFonts w:cstheme="minorHAnsi"/>
          <w:color w:val="231F20"/>
          <w:w w:val="105"/>
        </w:rPr>
        <w:t>DOE’s</w:t>
      </w:r>
      <w:r w:rsidRPr="00E06806">
        <w:rPr>
          <w:rFonts w:cstheme="minorHAnsi"/>
          <w:color w:val="231F20"/>
          <w:w w:val="105"/>
        </w:rPr>
        <w:t xml:space="preserve"> Division of Career and Adult Education and the Florida Department of Agriculture and Consumer Services to provide certification opportunities to secondary students. Created by the Florida Legislature in 2007, the Career and Professional Education (CAPE) Act provides students with cutting-edge training and earned industry certifications required for high-skill, high-wage jobs in Florida’s target and infrastructure industries. Through collaborative partnerships between education, industry, workforce and economic development entities, CAPE offers new and meaningful opportunities for students. </w:t>
      </w:r>
      <w:r w:rsidR="00070246" w:rsidRPr="00E06806">
        <w:rPr>
          <w:rFonts w:cstheme="minorHAnsi"/>
          <w:color w:val="231F20"/>
          <w:w w:val="105"/>
        </w:rPr>
        <w:t>CAPE</w:t>
      </w:r>
      <w:r w:rsidR="00070246" w:rsidRPr="00E06806">
        <w:rPr>
          <w:rFonts w:cstheme="minorHAnsi"/>
          <w:color w:val="231F20"/>
          <w:spacing w:val="18"/>
          <w:w w:val="105"/>
        </w:rPr>
        <w:t xml:space="preserve"> </w:t>
      </w:r>
      <w:r w:rsidR="00070246" w:rsidRPr="00E06806">
        <w:rPr>
          <w:rFonts w:cstheme="minorHAnsi"/>
          <w:color w:val="231F20"/>
          <w:w w:val="105"/>
        </w:rPr>
        <w:t>supports</w:t>
      </w:r>
      <w:r w:rsidR="00070246" w:rsidRPr="00E06806">
        <w:rPr>
          <w:rFonts w:cstheme="minorHAnsi"/>
          <w:color w:val="231F20"/>
          <w:spacing w:val="18"/>
          <w:w w:val="105"/>
        </w:rPr>
        <w:t xml:space="preserve"> </w:t>
      </w:r>
      <w:r w:rsidR="00070246" w:rsidRPr="00E06806">
        <w:rPr>
          <w:rFonts w:cstheme="minorHAnsi"/>
          <w:color w:val="231F20"/>
          <w:w w:val="105"/>
        </w:rPr>
        <w:t>local</w:t>
      </w:r>
      <w:r w:rsidR="00070246" w:rsidRPr="00E06806">
        <w:rPr>
          <w:rFonts w:cstheme="minorHAnsi"/>
          <w:color w:val="231F20"/>
          <w:spacing w:val="18"/>
          <w:w w:val="105"/>
        </w:rPr>
        <w:t xml:space="preserve"> </w:t>
      </w:r>
      <w:r w:rsidR="00070246" w:rsidRPr="00E06806">
        <w:rPr>
          <w:rFonts w:cstheme="minorHAnsi"/>
          <w:color w:val="231F20"/>
          <w:w w:val="105"/>
        </w:rPr>
        <w:t>and</w:t>
      </w:r>
      <w:r w:rsidR="00070246" w:rsidRPr="00E06806">
        <w:rPr>
          <w:rFonts w:cstheme="minorHAnsi"/>
          <w:color w:val="231F20"/>
          <w:spacing w:val="18"/>
          <w:w w:val="105"/>
        </w:rPr>
        <w:t xml:space="preserve"> </w:t>
      </w:r>
      <w:r w:rsidR="00070246" w:rsidRPr="00E06806">
        <w:rPr>
          <w:rFonts w:cstheme="minorHAnsi"/>
          <w:color w:val="231F20"/>
          <w:w w:val="105"/>
        </w:rPr>
        <w:t>regional</w:t>
      </w:r>
      <w:r w:rsidR="00070246" w:rsidRPr="00E06806">
        <w:rPr>
          <w:rFonts w:cstheme="minorHAnsi"/>
          <w:color w:val="231F20"/>
          <w:spacing w:val="18"/>
          <w:w w:val="105"/>
        </w:rPr>
        <w:t xml:space="preserve"> </w:t>
      </w:r>
      <w:r w:rsidR="00070246" w:rsidRPr="00E06806">
        <w:rPr>
          <w:rFonts w:cstheme="minorHAnsi"/>
          <w:color w:val="231F20"/>
          <w:w w:val="105"/>
        </w:rPr>
        <w:t>economic</w:t>
      </w:r>
      <w:r w:rsidR="00070246" w:rsidRPr="00E06806">
        <w:rPr>
          <w:rFonts w:cstheme="minorHAnsi"/>
          <w:color w:val="231F20"/>
          <w:spacing w:val="18"/>
          <w:w w:val="105"/>
        </w:rPr>
        <w:t xml:space="preserve"> </w:t>
      </w:r>
      <w:r w:rsidR="00070246" w:rsidRPr="00E06806">
        <w:rPr>
          <w:rFonts w:cstheme="minorHAnsi"/>
          <w:color w:val="231F20"/>
          <w:w w:val="105"/>
        </w:rPr>
        <w:t>development</w:t>
      </w:r>
      <w:r w:rsidR="00070246">
        <w:rPr>
          <w:rFonts w:cstheme="minorHAnsi"/>
          <w:color w:val="231F20"/>
          <w:w w:val="105"/>
        </w:rPr>
        <w:t xml:space="preserve"> and </w:t>
      </w:r>
      <w:r w:rsidRPr="00E06806">
        <w:rPr>
          <w:rFonts w:cstheme="minorHAnsi"/>
          <w:color w:val="231F20"/>
          <w:w w:val="105"/>
        </w:rPr>
        <w:t xml:space="preserve">helps attract and retain high-value industries to develop a diverse, knowledge-based economy. </w:t>
      </w:r>
    </w:p>
    <w:p w14:paraId="621C07C5" w14:textId="77777777" w:rsidR="00AB6E52" w:rsidRPr="00E06806" w:rsidRDefault="00AB6E52" w:rsidP="00D63204">
      <w:pPr>
        <w:widowControl w:val="0"/>
        <w:spacing w:before="2" w:after="0" w:line="235" w:lineRule="auto"/>
        <w:ind w:left="107"/>
        <w:rPr>
          <w:rFonts w:cstheme="minorHAnsi"/>
          <w:color w:val="231F20"/>
          <w:w w:val="105"/>
        </w:rPr>
      </w:pPr>
    </w:p>
    <w:p w14:paraId="595A93D8" w14:textId="21CC232E" w:rsidR="00FB4D62" w:rsidRDefault="002D3FE8" w:rsidP="00D63204">
      <w:pPr>
        <w:widowControl w:val="0"/>
        <w:spacing w:after="0" w:line="266" w:lineRule="exact"/>
        <w:ind w:left="107"/>
        <w:outlineLvl w:val="2"/>
        <w:rPr>
          <w:rFonts w:cstheme="minorHAnsi"/>
          <w:color w:val="231F20"/>
          <w:w w:val="105"/>
        </w:rPr>
      </w:pPr>
      <w:bookmarkStart w:id="75" w:name="_Hlk501698331"/>
      <w:r w:rsidRPr="00E06806">
        <w:rPr>
          <w:rFonts w:cstheme="minorHAnsi"/>
          <w:color w:val="231F20"/>
          <w:w w:val="105"/>
        </w:rPr>
        <w:t>Data</w:t>
      </w:r>
      <w:r w:rsidRPr="00545606">
        <w:rPr>
          <w:rFonts w:cstheme="minorHAnsi"/>
          <w:color w:val="231F20"/>
          <w:w w:val="105"/>
        </w:rPr>
        <w:t xml:space="preserve"> </w:t>
      </w:r>
      <w:r w:rsidRPr="00E06806">
        <w:rPr>
          <w:rFonts w:cstheme="minorHAnsi"/>
          <w:color w:val="231F20"/>
          <w:w w:val="105"/>
        </w:rPr>
        <w:t>reveals</w:t>
      </w:r>
      <w:r w:rsidRPr="00545606">
        <w:rPr>
          <w:rFonts w:cstheme="minorHAnsi"/>
          <w:color w:val="231F20"/>
          <w:w w:val="105"/>
        </w:rPr>
        <w:t xml:space="preserve"> </w:t>
      </w:r>
      <w:r w:rsidRPr="00E06806">
        <w:rPr>
          <w:rFonts w:cstheme="minorHAnsi"/>
          <w:color w:val="231F20"/>
          <w:w w:val="105"/>
        </w:rPr>
        <w:t>that</w:t>
      </w:r>
      <w:r w:rsidRPr="00545606">
        <w:rPr>
          <w:rFonts w:cstheme="minorHAnsi"/>
          <w:color w:val="231F20"/>
          <w:w w:val="105"/>
        </w:rPr>
        <w:t xml:space="preserve"> </w:t>
      </w:r>
      <w:r w:rsidRPr="00E06806">
        <w:rPr>
          <w:rFonts w:cstheme="minorHAnsi"/>
          <w:color w:val="231F20"/>
          <w:w w:val="105"/>
        </w:rPr>
        <w:t>students</w:t>
      </w:r>
      <w:r w:rsidRPr="00545606">
        <w:rPr>
          <w:rFonts w:cstheme="minorHAnsi"/>
          <w:color w:val="231F20"/>
          <w:w w:val="105"/>
        </w:rPr>
        <w:t xml:space="preserve"> </w:t>
      </w:r>
      <w:r w:rsidRPr="00E06806">
        <w:rPr>
          <w:rFonts w:cstheme="minorHAnsi"/>
          <w:color w:val="231F20"/>
          <w:w w:val="105"/>
        </w:rPr>
        <w:t>earning</w:t>
      </w:r>
      <w:r w:rsidRPr="00545606">
        <w:rPr>
          <w:rFonts w:cstheme="minorHAnsi"/>
          <w:color w:val="231F20"/>
          <w:w w:val="105"/>
        </w:rPr>
        <w:t xml:space="preserve"> </w:t>
      </w:r>
      <w:r w:rsidRPr="00E06806">
        <w:rPr>
          <w:rFonts w:cstheme="minorHAnsi"/>
          <w:color w:val="231F20"/>
          <w:w w:val="105"/>
        </w:rPr>
        <w:t>industry</w:t>
      </w:r>
      <w:r w:rsidRPr="00545606">
        <w:rPr>
          <w:rFonts w:cstheme="minorHAnsi"/>
          <w:color w:val="231F20"/>
          <w:w w:val="105"/>
        </w:rPr>
        <w:t xml:space="preserve"> </w:t>
      </w:r>
      <w:r w:rsidRPr="00E06806">
        <w:rPr>
          <w:rFonts w:cstheme="minorHAnsi"/>
          <w:color w:val="231F20"/>
          <w:w w:val="105"/>
        </w:rPr>
        <w:t>certifications</w:t>
      </w:r>
      <w:r w:rsidRPr="00545606">
        <w:rPr>
          <w:rFonts w:cstheme="minorHAnsi"/>
          <w:color w:val="231F20"/>
          <w:w w:val="105"/>
        </w:rPr>
        <w:t xml:space="preserve"> </w:t>
      </w:r>
      <w:r w:rsidRPr="00E06806">
        <w:rPr>
          <w:rFonts w:cstheme="minorHAnsi"/>
          <w:color w:val="231F20"/>
          <w:w w:val="105"/>
        </w:rPr>
        <w:t>have</w:t>
      </w:r>
      <w:r w:rsidRPr="00545606">
        <w:rPr>
          <w:rFonts w:cstheme="minorHAnsi"/>
          <w:color w:val="231F20"/>
          <w:w w:val="105"/>
        </w:rPr>
        <w:t xml:space="preserve"> </w:t>
      </w:r>
      <w:r w:rsidRPr="00E06806">
        <w:rPr>
          <w:rFonts w:cstheme="minorHAnsi"/>
          <w:color w:val="231F20"/>
          <w:w w:val="105"/>
        </w:rPr>
        <w:t>more</w:t>
      </w:r>
      <w:r w:rsidRPr="00545606">
        <w:rPr>
          <w:rFonts w:cstheme="minorHAnsi"/>
          <w:color w:val="231F20"/>
          <w:w w:val="105"/>
        </w:rPr>
        <w:t xml:space="preserve"> </w:t>
      </w:r>
      <w:r w:rsidRPr="00E06806">
        <w:rPr>
          <w:rFonts w:cstheme="minorHAnsi"/>
          <w:color w:val="231F20"/>
          <w:w w:val="105"/>
        </w:rPr>
        <w:t>positive</w:t>
      </w:r>
      <w:r w:rsidRPr="00545606">
        <w:rPr>
          <w:rFonts w:cstheme="minorHAnsi"/>
          <w:color w:val="231F20"/>
          <w:w w:val="105"/>
        </w:rPr>
        <w:t xml:space="preserve"> </w:t>
      </w:r>
      <w:r w:rsidRPr="00E06806">
        <w:rPr>
          <w:rFonts w:cstheme="minorHAnsi"/>
          <w:color w:val="231F20"/>
          <w:w w:val="105"/>
        </w:rPr>
        <w:t>student</w:t>
      </w:r>
      <w:r w:rsidRPr="00545606">
        <w:rPr>
          <w:rFonts w:cstheme="minorHAnsi"/>
          <w:color w:val="231F20"/>
          <w:w w:val="105"/>
        </w:rPr>
        <w:t xml:space="preserve"> </w:t>
      </w:r>
      <w:r w:rsidRPr="00E06806">
        <w:rPr>
          <w:rFonts w:cstheme="minorHAnsi"/>
          <w:color w:val="231F20"/>
          <w:w w:val="105"/>
        </w:rPr>
        <w:t>performance</w:t>
      </w:r>
      <w:r w:rsidRPr="00545606">
        <w:rPr>
          <w:rFonts w:cstheme="minorHAnsi"/>
          <w:color w:val="231F20"/>
          <w:w w:val="105"/>
        </w:rPr>
        <w:t xml:space="preserve"> </w:t>
      </w:r>
      <w:r w:rsidRPr="00E06806">
        <w:rPr>
          <w:rFonts w:cstheme="minorHAnsi"/>
          <w:color w:val="231F20"/>
          <w:w w:val="105"/>
        </w:rPr>
        <w:t>with</w:t>
      </w:r>
      <w:r w:rsidRPr="00545606">
        <w:rPr>
          <w:rFonts w:cstheme="minorHAnsi"/>
          <w:color w:val="231F20"/>
          <w:w w:val="105"/>
        </w:rPr>
        <w:t xml:space="preserve"> </w:t>
      </w:r>
      <w:r w:rsidRPr="00E06806">
        <w:rPr>
          <w:rFonts w:cstheme="minorHAnsi"/>
          <w:color w:val="231F20"/>
          <w:w w:val="105"/>
        </w:rPr>
        <w:t>higher</w:t>
      </w:r>
      <w:r w:rsidRPr="00545606">
        <w:rPr>
          <w:rFonts w:cstheme="minorHAnsi"/>
          <w:color w:val="231F20"/>
          <w:w w:val="105"/>
        </w:rPr>
        <w:t xml:space="preserve"> </w:t>
      </w:r>
      <w:r w:rsidRPr="00E06806">
        <w:rPr>
          <w:rFonts w:cstheme="minorHAnsi"/>
          <w:color w:val="231F20"/>
          <w:w w:val="105"/>
        </w:rPr>
        <w:t>average</w:t>
      </w:r>
      <w:r w:rsidRPr="00545606">
        <w:rPr>
          <w:rFonts w:cstheme="minorHAnsi"/>
          <w:color w:val="231F20"/>
          <w:w w:val="105"/>
        </w:rPr>
        <w:t xml:space="preserve"> GPAs, </w:t>
      </w:r>
      <w:r w:rsidRPr="00E06806">
        <w:rPr>
          <w:rFonts w:cstheme="minorHAnsi"/>
          <w:color w:val="231F20"/>
          <w:w w:val="105"/>
        </w:rPr>
        <w:t>lower</w:t>
      </w:r>
      <w:r w:rsidRPr="00545606">
        <w:rPr>
          <w:rFonts w:cstheme="minorHAnsi"/>
          <w:color w:val="231F20"/>
          <w:w w:val="105"/>
        </w:rPr>
        <w:t xml:space="preserve"> </w:t>
      </w:r>
      <w:r w:rsidRPr="00E06806">
        <w:rPr>
          <w:rFonts w:cstheme="minorHAnsi"/>
          <w:color w:val="231F20"/>
          <w:w w:val="105"/>
        </w:rPr>
        <w:t>rates</w:t>
      </w:r>
      <w:r w:rsidRPr="00545606">
        <w:rPr>
          <w:rFonts w:cstheme="minorHAnsi"/>
          <w:color w:val="231F20"/>
          <w:w w:val="105"/>
        </w:rPr>
        <w:t xml:space="preserve"> </w:t>
      </w:r>
      <w:r w:rsidRPr="00E06806">
        <w:rPr>
          <w:rFonts w:cstheme="minorHAnsi"/>
          <w:color w:val="231F20"/>
          <w:w w:val="105"/>
        </w:rPr>
        <w:t>of</w:t>
      </w:r>
      <w:r w:rsidRPr="00545606">
        <w:rPr>
          <w:rFonts w:cstheme="minorHAnsi"/>
          <w:color w:val="231F20"/>
          <w:w w:val="105"/>
        </w:rPr>
        <w:t xml:space="preserve"> </w:t>
      </w:r>
      <w:r w:rsidRPr="00E06806">
        <w:rPr>
          <w:rFonts w:cstheme="minorHAnsi"/>
          <w:color w:val="231F20"/>
          <w:w w:val="105"/>
        </w:rPr>
        <w:t>chronic</w:t>
      </w:r>
      <w:r w:rsidRPr="00545606">
        <w:rPr>
          <w:rFonts w:cstheme="minorHAnsi"/>
          <w:color w:val="231F20"/>
          <w:w w:val="105"/>
        </w:rPr>
        <w:t xml:space="preserve"> </w:t>
      </w:r>
      <w:r w:rsidRPr="00E06806">
        <w:rPr>
          <w:rFonts w:cstheme="minorHAnsi"/>
          <w:color w:val="231F20"/>
          <w:w w:val="105"/>
        </w:rPr>
        <w:t>absenteeism</w:t>
      </w:r>
      <w:r w:rsidRPr="00545606">
        <w:rPr>
          <w:rFonts w:cstheme="minorHAnsi"/>
          <w:color w:val="231F20"/>
          <w:w w:val="105"/>
        </w:rPr>
        <w:t xml:space="preserve"> </w:t>
      </w:r>
      <w:r w:rsidRPr="00E06806">
        <w:rPr>
          <w:rFonts w:cstheme="minorHAnsi"/>
          <w:color w:val="231F20"/>
          <w:w w:val="105"/>
        </w:rPr>
        <w:t>and</w:t>
      </w:r>
      <w:r w:rsidRPr="00545606">
        <w:rPr>
          <w:rFonts w:cstheme="minorHAnsi"/>
          <w:color w:val="231F20"/>
          <w:w w:val="105"/>
        </w:rPr>
        <w:t xml:space="preserve"> </w:t>
      </w:r>
      <w:r w:rsidRPr="00E06806">
        <w:rPr>
          <w:rFonts w:cstheme="minorHAnsi"/>
          <w:color w:val="231F20"/>
          <w:w w:val="105"/>
        </w:rPr>
        <w:t>disciplinary</w:t>
      </w:r>
      <w:r w:rsidRPr="00545606">
        <w:rPr>
          <w:rFonts w:cstheme="minorHAnsi"/>
          <w:color w:val="231F20"/>
          <w:w w:val="105"/>
        </w:rPr>
        <w:t xml:space="preserve"> </w:t>
      </w:r>
      <w:r w:rsidRPr="00E06806">
        <w:rPr>
          <w:rFonts w:cstheme="minorHAnsi"/>
          <w:color w:val="231F20"/>
          <w:w w:val="105"/>
        </w:rPr>
        <w:t>actions</w:t>
      </w:r>
      <w:r w:rsidR="00D5537E">
        <w:rPr>
          <w:rFonts w:cstheme="minorHAnsi"/>
          <w:color w:val="231F20"/>
          <w:w w:val="105"/>
        </w:rPr>
        <w:t xml:space="preserve"> and</w:t>
      </w:r>
      <w:r w:rsidRPr="00545606">
        <w:rPr>
          <w:rFonts w:cstheme="minorHAnsi"/>
          <w:color w:val="231F20"/>
          <w:w w:val="105"/>
        </w:rPr>
        <w:t xml:space="preserve"> </w:t>
      </w:r>
      <w:r w:rsidRPr="00E06806">
        <w:rPr>
          <w:rFonts w:cstheme="minorHAnsi"/>
          <w:color w:val="231F20"/>
          <w:w w:val="105"/>
        </w:rPr>
        <w:t>a</w:t>
      </w:r>
      <w:r w:rsidRPr="00545606">
        <w:rPr>
          <w:rFonts w:cstheme="minorHAnsi"/>
          <w:color w:val="231F20"/>
          <w:w w:val="105"/>
        </w:rPr>
        <w:t xml:space="preserve"> </w:t>
      </w:r>
      <w:r w:rsidRPr="00E06806">
        <w:rPr>
          <w:rFonts w:cstheme="minorHAnsi"/>
          <w:color w:val="231F20"/>
          <w:w w:val="105"/>
        </w:rPr>
        <w:t>lower</w:t>
      </w:r>
      <w:r w:rsidRPr="00545606">
        <w:rPr>
          <w:rFonts w:cstheme="minorHAnsi"/>
          <w:color w:val="231F20"/>
          <w:w w:val="105"/>
        </w:rPr>
        <w:t xml:space="preserve"> </w:t>
      </w:r>
      <w:r w:rsidRPr="00E06806">
        <w:rPr>
          <w:rFonts w:cstheme="minorHAnsi"/>
          <w:color w:val="231F20"/>
          <w:w w:val="105"/>
        </w:rPr>
        <w:t>dropout</w:t>
      </w:r>
      <w:r w:rsidRPr="00545606">
        <w:rPr>
          <w:rFonts w:cstheme="minorHAnsi"/>
          <w:color w:val="231F20"/>
          <w:w w:val="105"/>
        </w:rPr>
        <w:t xml:space="preserve"> </w:t>
      </w:r>
      <w:r w:rsidRPr="00E06806">
        <w:rPr>
          <w:rFonts w:cstheme="minorHAnsi"/>
          <w:color w:val="231F20"/>
          <w:w w:val="105"/>
        </w:rPr>
        <w:t xml:space="preserve">rate. </w:t>
      </w:r>
      <w:r w:rsidR="00FB4D62" w:rsidRPr="00FB4D62">
        <w:rPr>
          <w:rFonts w:cstheme="minorHAnsi"/>
          <w:color w:val="231F20"/>
          <w:w w:val="105"/>
        </w:rPr>
        <w:t xml:space="preserve">Students who earned a certification were more likely to take Advanced Placement or dual enrollment courses than students who did not earn a certification. The earning of industry certifications </w:t>
      </w:r>
      <w:r w:rsidR="00FB4D62">
        <w:rPr>
          <w:rFonts w:cstheme="minorHAnsi"/>
          <w:color w:val="231F20"/>
          <w:w w:val="105"/>
        </w:rPr>
        <w:t xml:space="preserve">correlates </w:t>
      </w:r>
      <w:r w:rsidR="00FB4D62" w:rsidRPr="00FB4D62">
        <w:rPr>
          <w:rFonts w:cstheme="minorHAnsi"/>
          <w:color w:val="231F20"/>
          <w:w w:val="105"/>
        </w:rPr>
        <w:t>with higher student performance among high school students. Academy students who graduate with an industry certification outperform the academy students who graduate without an industry certification, with a higher placement rate in employment or postsecondary education</w:t>
      </w:r>
      <w:r w:rsidR="003A30C0">
        <w:rPr>
          <w:rFonts w:cstheme="minorHAnsi"/>
          <w:color w:val="231F20"/>
          <w:w w:val="105"/>
        </w:rPr>
        <w:t>.</w:t>
      </w:r>
      <w:r w:rsidR="00FB4D62">
        <w:rPr>
          <w:rFonts w:cstheme="minorHAnsi"/>
          <w:color w:val="231F20"/>
          <w:w w:val="105"/>
        </w:rPr>
        <w:t xml:space="preserve"> </w:t>
      </w:r>
      <w:r w:rsidRPr="00E06806">
        <w:rPr>
          <w:rFonts w:cstheme="minorHAnsi"/>
          <w:color w:val="231F20"/>
          <w:w w:val="105"/>
        </w:rPr>
        <w:t>Public school districts are awarded additional funding for students earning industry certifications.</w:t>
      </w:r>
      <w:r w:rsidRPr="00545606">
        <w:rPr>
          <w:rFonts w:cstheme="minorHAnsi"/>
          <w:color w:val="231F20"/>
          <w:w w:val="105"/>
        </w:rPr>
        <w:t xml:space="preserve"> </w:t>
      </w:r>
    </w:p>
    <w:p w14:paraId="66DBCFF4" w14:textId="77777777" w:rsidR="00FB4D62" w:rsidRDefault="00FB4D62" w:rsidP="00D63204">
      <w:pPr>
        <w:widowControl w:val="0"/>
        <w:spacing w:after="0" w:line="266" w:lineRule="exact"/>
        <w:ind w:left="107"/>
        <w:outlineLvl w:val="2"/>
        <w:rPr>
          <w:rFonts w:cstheme="minorHAnsi"/>
          <w:color w:val="231F20"/>
          <w:w w:val="105"/>
        </w:rPr>
      </w:pPr>
    </w:p>
    <w:p w14:paraId="61BC4E76" w14:textId="3EC7D97F" w:rsidR="00545606" w:rsidRDefault="001C6802" w:rsidP="00D63204">
      <w:pPr>
        <w:widowControl w:val="0"/>
        <w:spacing w:after="0" w:line="266" w:lineRule="exact"/>
        <w:ind w:left="107"/>
        <w:outlineLvl w:val="2"/>
        <w:rPr>
          <w:rFonts w:cstheme="minorHAnsi"/>
          <w:color w:val="231F20"/>
          <w:w w:val="105"/>
        </w:rPr>
      </w:pPr>
      <w:r w:rsidRPr="001C6802">
        <w:rPr>
          <w:rFonts w:cstheme="minorHAnsi"/>
          <w:color w:val="231F20"/>
          <w:w w:val="105"/>
        </w:rPr>
        <w:t xml:space="preserve">In academic year 2016-17, the ninth year of implementation of the </w:t>
      </w:r>
      <w:r w:rsidR="00FB4D62">
        <w:rPr>
          <w:rFonts w:cstheme="minorHAnsi"/>
          <w:color w:val="231F20"/>
          <w:w w:val="105"/>
        </w:rPr>
        <w:t xml:space="preserve">CAPE </w:t>
      </w:r>
      <w:r w:rsidRPr="001C6802">
        <w:rPr>
          <w:rFonts w:cstheme="minorHAnsi"/>
          <w:color w:val="231F20"/>
          <w:w w:val="105"/>
        </w:rPr>
        <w:t>Act, school districts registered 1,743 high school and 201 middle school career and professional academies, representing 58 of Florida’s school districts as well as</w:t>
      </w:r>
      <w:r w:rsidR="003A30C0">
        <w:rPr>
          <w:rFonts w:cstheme="minorHAnsi"/>
          <w:color w:val="231F20"/>
          <w:w w:val="105"/>
        </w:rPr>
        <w:t xml:space="preserve"> the</w:t>
      </w:r>
      <w:r w:rsidRPr="001C6802">
        <w:rPr>
          <w:rFonts w:cstheme="minorHAnsi"/>
          <w:color w:val="231F20"/>
          <w:w w:val="105"/>
        </w:rPr>
        <w:t xml:space="preserve"> Florida State University School. School districts registered 1,173 unique career-themed courses, representing all 67 of Florida’s school districts</w:t>
      </w:r>
      <w:r w:rsidR="00FB4D62">
        <w:rPr>
          <w:rFonts w:cstheme="minorHAnsi"/>
          <w:color w:val="231F20"/>
          <w:w w:val="105"/>
        </w:rPr>
        <w:t xml:space="preserve">, </w:t>
      </w:r>
      <w:r w:rsidRPr="001C6802">
        <w:rPr>
          <w:rFonts w:cstheme="minorHAnsi"/>
          <w:color w:val="231F20"/>
          <w:w w:val="105"/>
        </w:rPr>
        <w:t xml:space="preserve">the Florida Virtual School and </w:t>
      </w:r>
      <w:r w:rsidR="00C24EEA">
        <w:rPr>
          <w:rFonts w:cstheme="minorHAnsi"/>
          <w:color w:val="231F20"/>
          <w:w w:val="105"/>
        </w:rPr>
        <w:t xml:space="preserve">the </w:t>
      </w:r>
      <w:r w:rsidRPr="001C6802">
        <w:rPr>
          <w:rFonts w:cstheme="minorHAnsi"/>
          <w:color w:val="231F20"/>
          <w:w w:val="105"/>
        </w:rPr>
        <w:t>Florida State University School.</w:t>
      </w:r>
    </w:p>
    <w:p w14:paraId="785F88FC" w14:textId="77777777" w:rsidR="00545606" w:rsidRDefault="00545606" w:rsidP="00D63204">
      <w:pPr>
        <w:widowControl w:val="0"/>
        <w:spacing w:after="0" w:line="266" w:lineRule="exact"/>
        <w:ind w:left="107"/>
        <w:outlineLvl w:val="2"/>
        <w:rPr>
          <w:rFonts w:cstheme="minorHAnsi"/>
          <w:color w:val="231F20"/>
          <w:w w:val="105"/>
        </w:rPr>
      </w:pPr>
    </w:p>
    <w:p w14:paraId="049CA5A1" w14:textId="3821684C" w:rsidR="002D3FE8" w:rsidRPr="00545606" w:rsidRDefault="002D3FE8" w:rsidP="00D63204">
      <w:pPr>
        <w:widowControl w:val="0"/>
        <w:spacing w:after="0" w:line="266" w:lineRule="exact"/>
        <w:ind w:left="107"/>
        <w:outlineLvl w:val="2"/>
        <w:rPr>
          <w:rFonts w:cstheme="minorHAnsi"/>
          <w:color w:val="231F20"/>
          <w:w w:val="105"/>
        </w:rPr>
      </w:pPr>
      <w:r w:rsidRPr="00E06806">
        <w:rPr>
          <w:rFonts w:cstheme="minorHAnsi"/>
          <w:color w:val="231F20"/>
          <w:w w:val="105"/>
        </w:rPr>
        <w:t>VR</w:t>
      </w:r>
      <w:r w:rsidRPr="00545606">
        <w:rPr>
          <w:rFonts w:cstheme="minorHAnsi"/>
          <w:color w:val="231F20"/>
          <w:w w:val="105"/>
        </w:rPr>
        <w:t xml:space="preserve"> </w:t>
      </w:r>
      <w:r w:rsidRPr="00E06806">
        <w:rPr>
          <w:rFonts w:cstheme="minorHAnsi"/>
          <w:color w:val="231F20"/>
          <w:w w:val="105"/>
        </w:rPr>
        <w:t>staff</w:t>
      </w:r>
      <w:r w:rsidR="00201FED">
        <w:rPr>
          <w:rFonts w:cstheme="minorHAnsi"/>
          <w:color w:val="231F20"/>
          <w:w w:val="105"/>
        </w:rPr>
        <w:t xml:space="preserve"> received training</w:t>
      </w:r>
      <w:r w:rsidRPr="00545606">
        <w:rPr>
          <w:rFonts w:cstheme="minorHAnsi"/>
          <w:color w:val="231F20"/>
          <w:w w:val="105"/>
        </w:rPr>
        <w:t xml:space="preserve"> </w:t>
      </w:r>
      <w:r w:rsidRPr="00E06806">
        <w:rPr>
          <w:rFonts w:cstheme="minorHAnsi"/>
          <w:color w:val="231F20"/>
          <w:w w:val="105"/>
        </w:rPr>
        <w:t>on</w:t>
      </w:r>
      <w:r w:rsidRPr="00545606">
        <w:rPr>
          <w:rFonts w:cstheme="minorHAnsi"/>
          <w:color w:val="231F20"/>
          <w:w w:val="105"/>
        </w:rPr>
        <w:t xml:space="preserve"> </w:t>
      </w:r>
      <w:r w:rsidRPr="00E06806">
        <w:rPr>
          <w:rFonts w:cstheme="minorHAnsi"/>
          <w:color w:val="231F20"/>
          <w:w w:val="105"/>
        </w:rPr>
        <w:t>CAPE</w:t>
      </w:r>
      <w:r w:rsidRPr="00545606">
        <w:rPr>
          <w:rFonts w:cstheme="minorHAnsi"/>
          <w:color w:val="231F20"/>
          <w:w w:val="105"/>
        </w:rPr>
        <w:t xml:space="preserve"> </w:t>
      </w:r>
      <w:r w:rsidRPr="00E06806">
        <w:rPr>
          <w:rFonts w:cstheme="minorHAnsi"/>
          <w:color w:val="231F20"/>
          <w:w w:val="105"/>
        </w:rPr>
        <w:t>certifications</w:t>
      </w:r>
      <w:r w:rsidR="00D5537E">
        <w:rPr>
          <w:rFonts w:cstheme="minorHAnsi"/>
          <w:color w:val="231F20"/>
          <w:w w:val="105"/>
        </w:rPr>
        <w:t xml:space="preserve"> and</w:t>
      </w:r>
      <w:r w:rsidR="00201FED">
        <w:rPr>
          <w:rFonts w:cstheme="minorHAnsi"/>
          <w:color w:val="231F20"/>
          <w:w w:val="105"/>
        </w:rPr>
        <w:t xml:space="preserve"> </w:t>
      </w:r>
      <w:r w:rsidRPr="00E06806">
        <w:rPr>
          <w:rFonts w:cstheme="minorHAnsi"/>
          <w:color w:val="231F20"/>
          <w:w w:val="105"/>
        </w:rPr>
        <w:t>seek</w:t>
      </w:r>
      <w:r w:rsidR="00201FED">
        <w:rPr>
          <w:rFonts w:cstheme="minorHAnsi"/>
          <w:color w:val="231F20"/>
          <w:w w:val="105"/>
        </w:rPr>
        <w:t>s</w:t>
      </w:r>
      <w:r w:rsidRPr="00545606">
        <w:rPr>
          <w:rFonts w:cstheme="minorHAnsi"/>
          <w:color w:val="231F20"/>
          <w:w w:val="105"/>
        </w:rPr>
        <w:t xml:space="preserve"> </w:t>
      </w:r>
      <w:r w:rsidRPr="00E06806">
        <w:rPr>
          <w:rFonts w:cstheme="minorHAnsi"/>
          <w:color w:val="231F20"/>
          <w:w w:val="105"/>
        </w:rPr>
        <w:t>to</w:t>
      </w:r>
      <w:r w:rsidRPr="00545606">
        <w:rPr>
          <w:rFonts w:cstheme="minorHAnsi"/>
          <w:color w:val="231F20"/>
          <w:w w:val="105"/>
        </w:rPr>
        <w:t xml:space="preserve"> </w:t>
      </w:r>
      <w:r w:rsidRPr="00E06806">
        <w:rPr>
          <w:rFonts w:cstheme="minorHAnsi"/>
          <w:color w:val="231F20"/>
          <w:w w:val="105"/>
        </w:rPr>
        <w:t>increase</w:t>
      </w:r>
      <w:r w:rsidRPr="00545606">
        <w:rPr>
          <w:rFonts w:cstheme="minorHAnsi"/>
          <w:color w:val="231F20"/>
          <w:w w:val="105"/>
        </w:rPr>
        <w:t xml:space="preserve"> </w:t>
      </w:r>
      <w:r w:rsidRPr="00E06806">
        <w:rPr>
          <w:rFonts w:cstheme="minorHAnsi"/>
          <w:color w:val="231F20"/>
          <w:w w:val="105"/>
        </w:rPr>
        <w:t>integration</w:t>
      </w:r>
      <w:r w:rsidRPr="00545606">
        <w:rPr>
          <w:rFonts w:cstheme="minorHAnsi"/>
          <w:color w:val="231F20"/>
          <w:w w:val="105"/>
        </w:rPr>
        <w:t xml:space="preserve"> </w:t>
      </w:r>
      <w:r w:rsidRPr="00E06806">
        <w:rPr>
          <w:rFonts w:cstheme="minorHAnsi"/>
          <w:color w:val="231F20"/>
          <w:w w:val="105"/>
        </w:rPr>
        <w:t>of</w:t>
      </w:r>
      <w:r w:rsidRPr="00545606">
        <w:rPr>
          <w:rFonts w:cstheme="minorHAnsi"/>
          <w:color w:val="231F20"/>
          <w:w w:val="105"/>
        </w:rPr>
        <w:t xml:space="preserve"> </w:t>
      </w:r>
      <w:r w:rsidRPr="00E06806">
        <w:rPr>
          <w:rFonts w:cstheme="minorHAnsi"/>
          <w:color w:val="231F20"/>
          <w:w w:val="105"/>
        </w:rPr>
        <w:t>CAPE</w:t>
      </w:r>
      <w:r w:rsidRPr="00545606">
        <w:rPr>
          <w:rFonts w:cstheme="minorHAnsi"/>
          <w:color w:val="231F20"/>
          <w:w w:val="105"/>
        </w:rPr>
        <w:t xml:space="preserve"> </w:t>
      </w:r>
      <w:r w:rsidRPr="00E06806">
        <w:rPr>
          <w:rFonts w:cstheme="minorHAnsi"/>
          <w:color w:val="231F20"/>
          <w:w w:val="105"/>
        </w:rPr>
        <w:t>providers</w:t>
      </w:r>
      <w:r w:rsidRPr="00545606">
        <w:rPr>
          <w:rFonts w:cstheme="minorHAnsi"/>
          <w:color w:val="231F20"/>
          <w:w w:val="105"/>
        </w:rPr>
        <w:t xml:space="preserve"> </w:t>
      </w:r>
      <w:r w:rsidRPr="00E06806">
        <w:rPr>
          <w:rFonts w:cstheme="minorHAnsi"/>
          <w:color w:val="231F20"/>
          <w:w w:val="105"/>
        </w:rPr>
        <w:t>as</w:t>
      </w:r>
      <w:r w:rsidRPr="00545606">
        <w:rPr>
          <w:rFonts w:cstheme="minorHAnsi"/>
          <w:color w:val="231F20"/>
          <w:w w:val="105"/>
        </w:rPr>
        <w:t xml:space="preserve"> </w:t>
      </w:r>
      <w:r w:rsidRPr="00E06806">
        <w:rPr>
          <w:rFonts w:cstheme="minorHAnsi"/>
          <w:color w:val="231F20"/>
          <w:w w:val="105"/>
        </w:rPr>
        <w:t>VR</w:t>
      </w:r>
      <w:r w:rsidRPr="00545606">
        <w:rPr>
          <w:rFonts w:cstheme="minorHAnsi"/>
          <w:color w:val="231F20"/>
          <w:w w:val="105"/>
        </w:rPr>
        <w:t xml:space="preserve"> </w:t>
      </w:r>
      <w:r w:rsidR="00201FED">
        <w:rPr>
          <w:rFonts w:cstheme="minorHAnsi"/>
          <w:color w:val="231F20"/>
          <w:w w:val="105"/>
        </w:rPr>
        <w:t>providers</w:t>
      </w:r>
      <w:r w:rsidRPr="00545606">
        <w:rPr>
          <w:rFonts w:cstheme="minorHAnsi"/>
          <w:color w:val="231F20"/>
          <w:w w:val="105"/>
        </w:rPr>
        <w:t xml:space="preserve"> </w:t>
      </w:r>
      <w:r w:rsidR="00201FED">
        <w:rPr>
          <w:rFonts w:cstheme="minorHAnsi"/>
          <w:color w:val="231F20"/>
          <w:w w:val="105"/>
        </w:rPr>
        <w:t>while</w:t>
      </w:r>
      <w:r w:rsidRPr="00545606">
        <w:rPr>
          <w:rFonts w:cstheme="minorHAnsi"/>
          <w:color w:val="231F20"/>
          <w:w w:val="105"/>
        </w:rPr>
        <w:t xml:space="preserve"> </w:t>
      </w:r>
      <w:r w:rsidRPr="00E06806">
        <w:rPr>
          <w:rFonts w:cstheme="minorHAnsi"/>
          <w:color w:val="231F20"/>
          <w:w w:val="105"/>
        </w:rPr>
        <w:t>encourag</w:t>
      </w:r>
      <w:r w:rsidR="00201FED">
        <w:rPr>
          <w:rFonts w:cstheme="minorHAnsi"/>
          <w:color w:val="231F20"/>
          <w:w w:val="105"/>
        </w:rPr>
        <w:t>ing</w:t>
      </w:r>
      <w:r w:rsidRPr="00545606">
        <w:rPr>
          <w:rFonts w:cstheme="minorHAnsi"/>
          <w:color w:val="231F20"/>
          <w:w w:val="105"/>
        </w:rPr>
        <w:t xml:space="preserve"> </w:t>
      </w:r>
      <w:r w:rsidRPr="00E06806">
        <w:rPr>
          <w:rFonts w:cstheme="minorHAnsi"/>
          <w:color w:val="231F20"/>
          <w:w w:val="105"/>
        </w:rPr>
        <w:t>existing</w:t>
      </w:r>
      <w:r w:rsidRPr="00545606">
        <w:rPr>
          <w:rFonts w:cstheme="minorHAnsi"/>
          <w:color w:val="231F20"/>
          <w:w w:val="105"/>
        </w:rPr>
        <w:t xml:space="preserve"> </w:t>
      </w:r>
      <w:r w:rsidRPr="00E06806">
        <w:rPr>
          <w:rFonts w:cstheme="minorHAnsi"/>
          <w:color w:val="231F20"/>
          <w:w w:val="105"/>
        </w:rPr>
        <w:t>VR</w:t>
      </w:r>
      <w:r w:rsidRPr="00545606">
        <w:rPr>
          <w:rFonts w:cstheme="minorHAnsi"/>
          <w:color w:val="231F20"/>
          <w:w w:val="105"/>
        </w:rPr>
        <w:t xml:space="preserve"> </w:t>
      </w:r>
      <w:r w:rsidR="00201FED">
        <w:rPr>
          <w:rFonts w:cstheme="minorHAnsi"/>
          <w:color w:val="231F20"/>
          <w:w w:val="105"/>
        </w:rPr>
        <w:t>providers</w:t>
      </w:r>
      <w:r w:rsidRPr="00545606">
        <w:rPr>
          <w:rFonts w:cstheme="minorHAnsi"/>
          <w:color w:val="231F20"/>
          <w:w w:val="105"/>
        </w:rPr>
        <w:t xml:space="preserve"> </w:t>
      </w:r>
      <w:r w:rsidRPr="00E06806">
        <w:rPr>
          <w:rFonts w:cstheme="minorHAnsi"/>
          <w:color w:val="231F20"/>
          <w:w w:val="105"/>
        </w:rPr>
        <w:t>of</w:t>
      </w:r>
      <w:r w:rsidRPr="00545606">
        <w:rPr>
          <w:rFonts w:cstheme="minorHAnsi"/>
          <w:color w:val="231F20"/>
          <w:w w:val="105"/>
        </w:rPr>
        <w:t xml:space="preserve"> </w:t>
      </w:r>
      <w:r w:rsidRPr="00E06806">
        <w:rPr>
          <w:rFonts w:cstheme="minorHAnsi"/>
          <w:color w:val="231F20"/>
          <w:w w:val="105"/>
        </w:rPr>
        <w:t>career</w:t>
      </w:r>
      <w:r w:rsidRPr="00545606">
        <w:rPr>
          <w:rFonts w:cstheme="minorHAnsi"/>
          <w:color w:val="231F20"/>
          <w:w w:val="105"/>
        </w:rPr>
        <w:t xml:space="preserve"> </w:t>
      </w:r>
      <w:r w:rsidRPr="00E06806">
        <w:rPr>
          <w:rFonts w:cstheme="minorHAnsi"/>
          <w:color w:val="231F20"/>
          <w:w w:val="105"/>
        </w:rPr>
        <w:t>and</w:t>
      </w:r>
      <w:r w:rsidRPr="00545606">
        <w:rPr>
          <w:rFonts w:cstheme="minorHAnsi"/>
          <w:color w:val="231F20"/>
          <w:w w:val="105"/>
        </w:rPr>
        <w:t xml:space="preserve"> </w:t>
      </w:r>
      <w:r w:rsidRPr="00E06806">
        <w:rPr>
          <w:rFonts w:cstheme="minorHAnsi"/>
          <w:color w:val="231F20"/>
          <w:w w:val="105"/>
        </w:rPr>
        <w:t>technical education to pursue CAPE certification.</w:t>
      </w:r>
    </w:p>
    <w:p w14:paraId="088ACFFB" w14:textId="77777777" w:rsidR="002D3FE8" w:rsidRPr="00E06806" w:rsidRDefault="002D3FE8" w:rsidP="00D63204">
      <w:pPr>
        <w:widowControl w:val="0"/>
        <w:spacing w:before="2" w:after="0" w:line="235" w:lineRule="auto"/>
        <w:ind w:left="107"/>
        <w:rPr>
          <w:rFonts w:cstheme="minorHAnsi"/>
          <w:color w:val="231F20"/>
          <w:w w:val="105"/>
        </w:rPr>
      </w:pPr>
    </w:p>
    <w:p w14:paraId="344B7E89" w14:textId="30AEFB40" w:rsidR="00545606" w:rsidRDefault="00EA7458" w:rsidP="00D63204">
      <w:pPr>
        <w:widowControl w:val="0"/>
        <w:spacing w:before="2" w:after="0" w:line="240" w:lineRule="auto"/>
        <w:ind w:left="107"/>
        <w:rPr>
          <w:rFonts w:cstheme="minorHAnsi"/>
          <w:color w:val="231F20"/>
          <w:w w:val="105"/>
        </w:rPr>
      </w:pPr>
      <w:r w:rsidRPr="00E06806">
        <w:rPr>
          <w:rFonts w:cstheme="minorHAnsi"/>
          <w:color w:val="231F20"/>
          <w:w w:val="105"/>
        </w:rPr>
        <w:t>The</w:t>
      </w:r>
      <w:r w:rsidRPr="00E06806">
        <w:rPr>
          <w:rFonts w:cstheme="minorHAnsi"/>
          <w:color w:val="231F20"/>
          <w:spacing w:val="15"/>
          <w:w w:val="105"/>
        </w:rPr>
        <w:t xml:space="preserve"> </w:t>
      </w:r>
      <w:r w:rsidRPr="00E06806">
        <w:rPr>
          <w:rFonts w:cstheme="minorHAnsi"/>
          <w:color w:val="231F20"/>
          <w:w w:val="105"/>
        </w:rPr>
        <w:t>list</w:t>
      </w:r>
      <w:r w:rsidRPr="00E06806">
        <w:rPr>
          <w:rFonts w:cstheme="minorHAnsi"/>
          <w:color w:val="231F20"/>
          <w:spacing w:val="15"/>
          <w:w w:val="105"/>
        </w:rPr>
        <w:t xml:space="preserve"> </w:t>
      </w:r>
      <w:r w:rsidRPr="00E06806">
        <w:rPr>
          <w:rFonts w:cstheme="minorHAnsi"/>
          <w:color w:val="231F20"/>
          <w:w w:val="105"/>
        </w:rPr>
        <w:t>of</w:t>
      </w:r>
      <w:r w:rsidRPr="00E06806">
        <w:rPr>
          <w:rFonts w:cstheme="minorHAnsi"/>
          <w:color w:val="231F20"/>
          <w:spacing w:val="15"/>
          <w:w w:val="105"/>
        </w:rPr>
        <w:t xml:space="preserve"> </w:t>
      </w:r>
      <w:r w:rsidRPr="00E06806">
        <w:rPr>
          <w:rFonts w:cstheme="minorHAnsi"/>
          <w:color w:val="231F20"/>
          <w:w w:val="105"/>
        </w:rPr>
        <w:t>industry</w:t>
      </w:r>
      <w:r w:rsidRPr="00E06806">
        <w:rPr>
          <w:rFonts w:cstheme="minorHAnsi"/>
          <w:color w:val="231F20"/>
          <w:spacing w:val="15"/>
          <w:w w:val="105"/>
        </w:rPr>
        <w:t xml:space="preserve"> </w:t>
      </w:r>
      <w:r w:rsidRPr="00E06806">
        <w:rPr>
          <w:rFonts w:cstheme="minorHAnsi"/>
          <w:color w:val="231F20"/>
          <w:w w:val="105"/>
        </w:rPr>
        <w:t>certifications</w:t>
      </w:r>
      <w:r w:rsidRPr="00E06806">
        <w:rPr>
          <w:rFonts w:cstheme="minorHAnsi"/>
          <w:color w:val="231F20"/>
          <w:spacing w:val="15"/>
          <w:w w:val="105"/>
        </w:rPr>
        <w:t xml:space="preserve"> </w:t>
      </w:r>
      <w:r w:rsidRPr="00E06806">
        <w:rPr>
          <w:rFonts w:cstheme="minorHAnsi"/>
          <w:color w:val="231F20"/>
          <w:w w:val="105"/>
        </w:rPr>
        <w:t>is</w:t>
      </w:r>
      <w:r w:rsidRPr="00E06806">
        <w:rPr>
          <w:rFonts w:cstheme="minorHAnsi"/>
          <w:color w:val="231F20"/>
          <w:spacing w:val="15"/>
          <w:w w:val="105"/>
        </w:rPr>
        <w:t xml:space="preserve"> </w:t>
      </w:r>
      <w:r w:rsidRPr="00E06806">
        <w:rPr>
          <w:rFonts w:cstheme="minorHAnsi"/>
          <w:color w:val="231F20"/>
          <w:w w:val="105"/>
        </w:rPr>
        <w:t>updated</w:t>
      </w:r>
      <w:r w:rsidRPr="00E06806">
        <w:rPr>
          <w:rFonts w:cstheme="minorHAnsi"/>
          <w:color w:val="231F20"/>
          <w:spacing w:val="15"/>
          <w:w w:val="105"/>
        </w:rPr>
        <w:t xml:space="preserve"> </w:t>
      </w:r>
      <w:r w:rsidR="0010035E" w:rsidRPr="00E06806">
        <w:rPr>
          <w:rFonts w:cstheme="minorHAnsi"/>
          <w:color w:val="231F20"/>
          <w:w w:val="105"/>
        </w:rPr>
        <w:t>annually,</w:t>
      </w:r>
      <w:r w:rsidRPr="00E06806">
        <w:rPr>
          <w:rFonts w:cstheme="minorHAnsi"/>
          <w:color w:val="231F20"/>
          <w:spacing w:val="15"/>
          <w:w w:val="105"/>
        </w:rPr>
        <w:t xml:space="preserve"> </w:t>
      </w:r>
      <w:r w:rsidRPr="00E06806">
        <w:rPr>
          <w:rFonts w:cstheme="minorHAnsi"/>
          <w:color w:val="231F20"/>
          <w:w w:val="105"/>
        </w:rPr>
        <w:t>and</w:t>
      </w:r>
      <w:r w:rsidRPr="00E06806">
        <w:rPr>
          <w:rFonts w:cstheme="minorHAnsi"/>
          <w:color w:val="231F20"/>
          <w:spacing w:val="15"/>
          <w:w w:val="105"/>
        </w:rPr>
        <w:t xml:space="preserve"> </w:t>
      </w:r>
      <w:r w:rsidRPr="00E06806">
        <w:rPr>
          <w:rFonts w:cstheme="minorHAnsi"/>
          <w:color w:val="231F20"/>
          <w:w w:val="105"/>
        </w:rPr>
        <w:t>final</w:t>
      </w:r>
      <w:r w:rsidRPr="00E06806">
        <w:rPr>
          <w:rFonts w:cstheme="minorHAnsi"/>
          <w:color w:val="231F20"/>
          <w:spacing w:val="15"/>
          <w:w w:val="105"/>
        </w:rPr>
        <w:t xml:space="preserve"> </w:t>
      </w:r>
      <w:r w:rsidRPr="00E06806">
        <w:rPr>
          <w:rFonts w:cstheme="minorHAnsi"/>
          <w:color w:val="231F20"/>
          <w:w w:val="105"/>
        </w:rPr>
        <w:t>funding</w:t>
      </w:r>
      <w:r w:rsidRPr="00E06806">
        <w:rPr>
          <w:rFonts w:cstheme="minorHAnsi"/>
          <w:color w:val="231F20"/>
          <w:w w:val="106"/>
        </w:rPr>
        <w:t xml:space="preserve"> </w:t>
      </w:r>
      <w:r w:rsidRPr="00E06806">
        <w:rPr>
          <w:rFonts w:cstheme="minorHAnsi"/>
          <w:color w:val="231F20"/>
          <w:w w:val="105"/>
        </w:rPr>
        <w:t>determinations are made by the Florida Department of Education.</w:t>
      </w:r>
      <w:bookmarkEnd w:id="75"/>
    </w:p>
    <w:p w14:paraId="7DB85C5E" w14:textId="146C0ED3" w:rsidR="00545606" w:rsidRDefault="00545606" w:rsidP="00D63204">
      <w:pPr>
        <w:widowControl w:val="0"/>
        <w:spacing w:before="2" w:after="0" w:line="240" w:lineRule="auto"/>
        <w:ind w:left="107"/>
        <w:rPr>
          <w:rFonts w:cstheme="minorHAnsi"/>
          <w:color w:val="231F20"/>
          <w:w w:val="105"/>
        </w:rPr>
      </w:pPr>
    </w:p>
    <w:p w14:paraId="10817684" w14:textId="77777777" w:rsidR="00545606" w:rsidRDefault="00545606" w:rsidP="00D63204">
      <w:pPr>
        <w:widowControl w:val="0"/>
        <w:spacing w:before="2" w:after="0" w:line="240" w:lineRule="auto"/>
        <w:ind w:left="107"/>
        <w:rPr>
          <w:rFonts w:cstheme="minorHAnsi"/>
          <w:color w:val="231F20"/>
          <w:w w:val="105"/>
        </w:rPr>
      </w:pPr>
    </w:p>
    <w:p w14:paraId="42C4F532" w14:textId="77777777" w:rsidR="00FB4D62" w:rsidRDefault="00FB4D62">
      <w:pPr>
        <w:rPr>
          <w:rFonts w:cstheme="minorHAnsi"/>
          <w:b/>
          <w:bCs/>
          <w:color w:val="231F20"/>
          <w:w w:val="110"/>
        </w:rPr>
      </w:pPr>
      <w:r>
        <w:rPr>
          <w:rFonts w:cstheme="minorHAnsi"/>
          <w:b/>
          <w:bCs/>
          <w:color w:val="231F20"/>
          <w:w w:val="110"/>
        </w:rPr>
        <w:br w:type="page"/>
      </w:r>
    </w:p>
    <w:p w14:paraId="1684F2DC" w14:textId="77777777" w:rsidR="00FB4D62" w:rsidRDefault="00FB4D62" w:rsidP="00D63204">
      <w:pPr>
        <w:widowControl w:val="0"/>
        <w:spacing w:before="2" w:after="0" w:line="240" w:lineRule="auto"/>
        <w:ind w:left="107"/>
        <w:rPr>
          <w:rFonts w:cstheme="minorHAnsi"/>
          <w:b/>
          <w:bCs/>
          <w:color w:val="231F20"/>
          <w:w w:val="110"/>
        </w:rPr>
      </w:pPr>
    </w:p>
    <w:p w14:paraId="3BCBA094" w14:textId="18FF55A2" w:rsidR="00545606" w:rsidRDefault="00EA7458" w:rsidP="00D63204">
      <w:pPr>
        <w:widowControl w:val="0"/>
        <w:spacing w:before="2" w:after="0" w:line="240" w:lineRule="auto"/>
        <w:ind w:left="107"/>
        <w:rPr>
          <w:rFonts w:cstheme="minorHAnsi"/>
          <w:b/>
          <w:bCs/>
          <w:color w:val="231F20"/>
          <w:w w:val="110"/>
        </w:rPr>
      </w:pPr>
      <w:r w:rsidRPr="00CB4B05">
        <w:rPr>
          <w:rFonts w:cstheme="minorHAnsi"/>
          <w:b/>
          <w:bCs/>
          <w:color w:val="231F20"/>
          <w:w w:val="110"/>
        </w:rPr>
        <w:t>Vocati</w:t>
      </w:r>
      <w:r w:rsidRPr="00E06806">
        <w:rPr>
          <w:rFonts w:cstheme="minorHAnsi"/>
          <w:b/>
          <w:bCs/>
          <w:color w:val="231F20"/>
          <w:w w:val="110"/>
        </w:rPr>
        <w:t>onal</w:t>
      </w:r>
      <w:r w:rsidRPr="00E06806">
        <w:rPr>
          <w:rFonts w:cstheme="minorHAnsi"/>
          <w:b/>
          <w:bCs/>
          <w:color w:val="231F20"/>
          <w:spacing w:val="-28"/>
          <w:w w:val="110"/>
        </w:rPr>
        <w:t xml:space="preserve"> </w:t>
      </w:r>
      <w:r w:rsidRPr="00E06806">
        <w:rPr>
          <w:rFonts w:cstheme="minorHAnsi"/>
          <w:b/>
          <w:bCs/>
          <w:color w:val="231F20"/>
          <w:w w:val="110"/>
        </w:rPr>
        <w:t>Rehabilitation</w:t>
      </w:r>
      <w:r w:rsidRPr="00E06806">
        <w:rPr>
          <w:rFonts w:cstheme="minorHAnsi"/>
          <w:b/>
          <w:bCs/>
          <w:color w:val="231F20"/>
          <w:spacing w:val="-28"/>
          <w:w w:val="110"/>
        </w:rPr>
        <w:t xml:space="preserve"> </w:t>
      </w:r>
      <w:r w:rsidRPr="00E06806">
        <w:rPr>
          <w:rFonts w:cstheme="minorHAnsi"/>
          <w:b/>
          <w:bCs/>
          <w:color w:val="231F20"/>
          <w:w w:val="110"/>
        </w:rPr>
        <w:t>Transition</w:t>
      </w:r>
      <w:r w:rsidRPr="00E06806">
        <w:rPr>
          <w:rFonts w:cstheme="minorHAnsi"/>
          <w:b/>
          <w:bCs/>
          <w:color w:val="231F20"/>
          <w:spacing w:val="-28"/>
          <w:w w:val="110"/>
        </w:rPr>
        <w:t xml:space="preserve"> </w:t>
      </w:r>
      <w:r w:rsidRPr="00E06806">
        <w:rPr>
          <w:rFonts w:cstheme="minorHAnsi"/>
          <w:b/>
          <w:bCs/>
          <w:color w:val="231F20"/>
          <w:spacing w:val="-5"/>
          <w:w w:val="110"/>
        </w:rPr>
        <w:t>Youth</w:t>
      </w:r>
      <w:r w:rsidRPr="00E06806">
        <w:rPr>
          <w:rFonts w:cstheme="minorHAnsi"/>
          <w:b/>
          <w:bCs/>
          <w:color w:val="231F20"/>
          <w:spacing w:val="-28"/>
          <w:w w:val="110"/>
        </w:rPr>
        <w:t xml:space="preserve"> </w:t>
      </w:r>
      <w:r w:rsidRPr="00E06806">
        <w:rPr>
          <w:rFonts w:cstheme="minorHAnsi"/>
          <w:b/>
          <w:bCs/>
          <w:color w:val="231F20"/>
          <w:w w:val="110"/>
        </w:rPr>
        <w:t>Program</w:t>
      </w:r>
    </w:p>
    <w:p w14:paraId="29A7A102" w14:textId="0926FB3B" w:rsidR="001245E2" w:rsidRPr="004272D5" w:rsidRDefault="001245E2" w:rsidP="00D63204">
      <w:pPr>
        <w:widowControl w:val="0"/>
        <w:spacing w:before="2" w:after="0" w:line="240" w:lineRule="auto"/>
        <w:ind w:left="107"/>
        <w:rPr>
          <w:rFonts w:cstheme="minorHAnsi"/>
          <w:color w:val="231F20"/>
          <w:w w:val="110"/>
        </w:rPr>
      </w:pPr>
      <w:r w:rsidRPr="004272D5">
        <w:rPr>
          <w:rFonts w:cstheme="minorHAnsi"/>
          <w:color w:val="231F20"/>
          <w:w w:val="110"/>
        </w:rPr>
        <w:t>The VR Transition Youth program collaborates with education officials and partners to offer youth with disabilities opportunities to gain work experiences that help them prepare for successful employment. Collaborations such as High School High Tech, Project SEARCH</w:t>
      </w:r>
      <w:r w:rsidR="00D5537E">
        <w:rPr>
          <w:rFonts w:cstheme="minorHAnsi"/>
          <w:color w:val="231F20"/>
          <w:w w:val="110"/>
        </w:rPr>
        <w:t xml:space="preserve"> and</w:t>
      </w:r>
      <w:r w:rsidRPr="004272D5">
        <w:rPr>
          <w:rFonts w:cstheme="minorHAnsi"/>
          <w:color w:val="231F20"/>
          <w:w w:val="110"/>
        </w:rPr>
        <w:t xml:space="preserve"> Postsecondary Education programs engage youth in experiences that blend academics with career and technical education and provide hands-on career exploration and preparation activities where learned skills, attitudes</w:t>
      </w:r>
      <w:r w:rsidR="00D5537E">
        <w:rPr>
          <w:rFonts w:cstheme="minorHAnsi"/>
          <w:color w:val="231F20"/>
          <w:w w:val="110"/>
        </w:rPr>
        <w:t xml:space="preserve"> and</w:t>
      </w:r>
      <w:r w:rsidRPr="004272D5">
        <w:rPr>
          <w:rFonts w:cstheme="minorHAnsi"/>
          <w:color w:val="231F20"/>
          <w:w w:val="110"/>
        </w:rPr>
        <w:t xml:space="preserve"> behaviors can be applied. These evidence-based applications of learning, which includes internships and other work experiences, often lead to successful employment. For some students, these programs include earning postsecondary credentials which allow them to explore professional jobs that may lead to higher-wage careers. VR involvement in these collaborations provides funding for participants to receive needed services and other supports. This shared support helps partner programs to serve more youth. VR partnerships deliver career development and employment options through direct services to youth who would not otherwise have access to these opportunities. In addition, VR has delivered Pre-ETS under WIOA through the Summer Youth Program.  This is especially beneficial as youth are able to maintain skills gained during the school year during the summer months when such skills will typically decline.</w:t>
      </w:r>
    </w:p>
    <w:p w14:paraId="5536E498" w14:textId="1169F664" w:rsidR="00EA7458" w:rsidRPr="00E06806" w:rsidRDefault="00FB4D62" w:rsidP="00D63204">
      <w:pPr>
        <w:widowControl w:val="0"/>
        <w:spacing w:before="192" w:after="0" w:line="240" w:lineRule="auto"/>
        <w:ind w:left="107"/>
        <w:outlineLvl w:val="2"/>
        <w:rPr>
          <w:rFonts w:cstheme="minorHAnsi"/>
        </w:rPr>
      </w:pPr>
      <w:r>
        <w:rPr>
          <w:rFonts w:cstheme="minorHAnsi"/>
          <w:b/>
          <w:bCs/>
          <w:color w:val="231F20"/>
          <w:w w:val="110"/>
        </w:rPr>
        <w:br/>
      </w:r>
      <w:r w:rsidR="00EA7458" w:rsidRPr="00E06806">
        <w:rPr>
          <w:rFonts w:cstheme="minorHAnsi"/>
          <w:b/>
          <w:bCs/>
          <w:color w:val="231F20"/>
          <w:w w:val="110"/>
        </w:rPr>
        <w:t>Adult</w:t>
      </w:r>
      <w:r w:rsidR="00EA7458" w:rsidRPr="00E06806">
        <w:rPr>
          <w:rFonts w:cstheme="minorHAnsi"/>
          <w:b/>
          <w:bCs/>
          <w:color w:val="231F20"/>
          <w:spacing w:val="-10"/>
          <w:w w:val="110"/>
        </w:rPr>
        <w:t xml:space="preserve"> </w:t>
      </w:r>
      <w:r w:rsidR="00EA7458" w:rsidRPr="00E06806">
        <w:rPr>
          <w:rFonts w:cstheme="minorHAnsi"/>
          <w:b/>
          <w:bCs/>
          <w:color w:val="231F20"/>
          <w:w w:val="110"/>
        </w:rPr>
        <w:t>Education</w:t>
      </w:r>
      <w:r w:rsidR="00EA7458" w:rsidRPr="00E06806">
        <w:rPr>
          <w:rFonts w:cstheme="minorHAnsi"/>
          <w:b/>
          <w:bCs/>
          <w:color w:val="231F20"/>
          <w:spacing w:val="-10"/>
          <w:w w:val="110"/>
        </w:rPr>
        <w:t xml:space="preserve"> </w:t>
      </w:r>
      <w:r w:rsidR="00EA7458" w:rsidRPr="00E06806">
        <w:rPr>
          <w:rFonts w:cstheme="minorHAnsi"/>
          <w:b/>
          <w:bCs/>
          <w:color w:val="231F20"/>
          <w:w w:val="110"/>
        </w:rPr>
        <w:t>Integrated</w:t>
      </w:r>
      <w:r w:rsidR="00EA7458" w:rsidRPr="00E06806">
        <w:rPr>
          <w:rFonts w:cstheme="minorHAnsi"/>
          <w:b/>
          <w:bCs/>
          <w:color w:val="231F20"/>
          <w:spacing w:val="-10"/>
          <w:w w:val="110"/>
        </w:rPr>
        <w:t xml:space="preserve"> </w:t>
      </w:r>
      <w:r w:rsidR="00EA7458" w:rsidRPr="00E06806">
        <w:rPr>
          <w:rFonts w:cstheme="minorHAnsi"/>
          <w:b/>
          <w:bCs/>
          <w:color w:val="231F20"/>
          <w:w w:val="110"/>
        </w:rPr>
        <w:t>Education</w:t>
      </w:r>
      <w:r w:rsidR="00EA7458" w:rsidRPr="00E06806">
        <w:rPr>
          <w:rFonts w:cstheme="minorHAnsi"/>
          <w:b/>
          <w:bCs/>
          <w:color w:val="231F20"/>
          <w:spacing w:val="-10"/>
          <w:w w:val="110"/>
        </w:rPr>
        <w:t xml:space="preserve"> </w:t>
      </w:r>
      <w:r w:rsidR="00EA7458" w:rsidRPr="00E06806">
        <w:rPr>
          <w:rFonts w:cstheme="minorHAnsi"/>
          <w:b/>
          <w:bCs/>
          <w:color w:val="231F20"/>
          <w:w w:val="110"/>
        </w:rPr>
        <w:t>and</w:t>
      </w:r>
      <w:r w:rsidR="00EA7458" w:rsidRPr="00E06806">
        <w:rPr>
          <w:rFonts w:cstheme="minorHAnsi"/>
          <w:b/>
          <w:bCs/>
          <w:color w:val="231F20"/>
          <w:spacing w:val="-10"/>
          <w:w w:val="110"/>
        </w:rPr>
        <w:t xml:space="preserve"> </w:t>
      </w:r>
      <w:r w:rsidR="00EA7458" w:rsidRPr="00E06806">
        <w:rPr>
          <w:rFonts w:cstheme="minorHAnsi"/>
          <w:b/>
          <w:bCs/>
          <w:color w:val="231F20"/>
          <w:w w:val="110"/>
        </w:rPr>
        <w:t>Training</w:t>
      </w:r>
      <w:r w:rsidR="00EA7458" w:rsidRPr="00E06806">
        <w:rPr>
          <w:rFonts w:cstheme="minorHAnsi"/>
          <w:b/>
          <w:bCs/>
          <w:color w:val="231F20"/>
          <w:spacing w:val="-10"/>
          <w:w w:val="110"/>
        </w:rPr>
        <w:t xml:space="preserve"> </w:t>
      </w:r>
      <w:r w:rsidR="00EA7458" w:rsidRPr="00E06806">
        <w:rPr>
          <w:rFonts w:cstheme="minorHAnsi"/>
          <w:b/>
          <w:bCs/>
          <w:color w:val="231F20"/>
          <w:w w:val="110"/>
        </w:rPr>
        <w:t>Program</w:t>
      </w:r>
    </w:p>
    <w:p w14:paraId="4CDA8088" w14:textId="320BFC3F" w:rsidR="00EA7458" w:rsidRPr="00E06806" w:rsidRDefault="00EA7458" w:rsidP="00D63204">
      <w:pPr>
        <w:widowControl w:val="0"/>
        <w:spacing w:before="2" w:after="0" w:line="240" w:lineRule="auto"/>
        <w:ind w:left="107"/>
        <w:rPr>
          <w:rFonts w:cstheme="minorHAnsi"/>
        </w:rPr>
      </w:pPr>
      <w:r w:rsidRPr="00E06806">
        <w:rPr>
          <w:rFonts w:cstheme="minorHAnsi"/>
          <w:color w:val="231F20"/>
          <w:w w:val="110"/>
        </w:rPr>
        <w:t>Adult</w:t>
      </w:r>
      <w:r w:rsidRPr="00E06806">
        <w:rPr>
          <w:rFonts w:cstheme="minorHAnsi"/>
          <w:color w:val="231F20"/>
          <w:spacing w:val="-25"/>
          <w:w w:val="110"/>
        </w:rPr>
        <w:t xml:space="preserve"> </w:t>
      </w:r>
      <w:r w:rsidRPr="00E06806">
        <w:rPr>
          <w:rFonts w:cstheme="minorHAnsi"/>
          <w:color w:val="231F20"/>
          <w:w w:val="110"/>
        </w:rPr>
        <w:t>education</w:t>
      </w:r>
      <w:r w:rsidRPr="00E06806">
        <w:rPr>
          <w:rFonts w:cstheme="minorHAnsi"/>
          <w:color w:val="231F20"/>
          <w:spacing w:val="-25"/>
          <w:w w:val="110"/>
        </w:rPr>
        <w:t xml:space="preserve"> </w:t>
      </w:r>
      <w:r w:rsidRPr="00E06806">
        <w:rPr>
          <w:rFonts w:cstheme="minorHAnsi"/>
          <w:color w:val="231F20"/>
          <w:w w:val="110"/>
        </w:rPr>
        <w:t>programs</w:t>
      </w:r>
      <w:r w:rsidRPr="00E06806">
        <w:rPr>
          <w:rFonts w:cstheme="minorHAnsi"/>
          <w:color w:val="231F20"/>
          <w:spacing w:val="-25"/>
          <w:w w:val="110"/>
        </w:rPr>
        <w:t xml:space="preserve"> </w:t>
      </w:r>
      <w:r w:rsidRPr="00E06806">
        <w:rPr>
          <w:rFonts w:cstheme="minorHAnsi"/>
          <w:color w:val="231F20"/>
          <w:w w:val="110"/>
        </w:rPr>
        <w:t>promote</w:t>
      </w:r>
      <w:r w:rsidRPr="00E06806">
        <w:rPr>
          <w:rFonts w:cstheme="minorHAnsi"/>
          <w:color w:val="231F20"/>
          <w:spacing w:val="-25"/>
          <w:w w:val="110"/>
        </w:rPr>
        <w:t xml:space="preserve"> </w:t>
      </w:r>
      <w:r w:rsidRPr="00B10225">
        <w:rPr>
          <w:rFonts w:cstheme="minorHAnsi"/>
          <w:color w:val="231F20"/>
          <w:w w:val="105"/>
        </w:rPr>
        <w:t xml:space="preserve">activities </w:t>
      </w:r>
      <w:r w:rsidR="00B10225" w:rsidRPr="00B10225">
        <w:rPr>
          <w:rFonts w:cstheme="minorHAnsi"/>
          <w:color w:val="231F20"/>
          <w:w w:val="105"/>
        </w:rPr>
        <w:t xml:space="preserve">that </w:t>
      </w:r>
      <w:r w:rsidR="004525C8" w:rsidRPr="00B10225">
        <w:rPr>
          <w:rFonts w:cstheme="minorHAnsi"/>
          <w:color w:val="231F20"/>
          <w:w w:val="105"/>
        </w:rPr>
        <w:t>increas</w:t>
      </w:r>
      <w:r w:rsidR="00B10225" w:rsidRPr="00B10225">
        <w:rPr>
          <w:rFonts w:cstheme="minorHAnsi"/>
          <w:color w:val="231F20"/>
          <w:w w:val="105"/>
        </w:rPr>
        <w:t>e</w:t>
      </w:r>
      <w:r w:rsidR="004525C8" w:rsidRPr="00B10225">
        <w:rPr>
          <w:rFonts w:cstheme="minorHAnsi"/>
          <w:color w:val="231F20"/>
          <w:w w:val="105"/>
        </w:rPr>
        <w:t xml:space="preserve"> </w:t>
      </w:r>
      <w:r w:rsidRPr="00B10225">
        <w:rPr>
          <w:rFonts w:cstheme="minorHAnsi"/>
          <w:color w:val="231F20"/>
          <w:w w:val="105"/>
        </w:rPr>
        <w:t>an individual’s ability to transition to postsecondary education and obtain employment. FICAPS</w:t>
      </w:r>
      <w:r w:rsidRPr="00E06806">
        <w:rPr>
          <w:rFonts w:cstheme="minorHAnsi"/>
          <w:color w:val="231F20"/>
          <w:spacing w:val="-24"/>
          <w:w w:val="110"/>
        </w:rPr>
        <w:t xml:space="preserve"> </w:t>
      </w:r>
      <w:r w:rsidRPr="00E06806">
        <w:rPr>
          <w:rFonts w:cstheme="minorHAnsi"/>
          <w:color w:val="231F20"/>
          <w:w w:val="110"/>
        </w:rPr>
        <w:t>requires</w:t>
      </w:r>
      <w:r w:rsidRPr="00E06806">
        <w:rPr>
          <w:rFonts w:cstheme="minorHAnsi"/>
          <w:color w:val="231F20"/>
          <w:spacing w:val="-24"/>
          <w:w w:val="110"/>
        </w:rPr>
        <w:t xml:space="preserve"> </w:t>
      </w:r>
      <w:r w:rsidRPr="009370EF">
        <w:rPr>
          <w:rFonts w:cstheme="minorHAnsi"/>
          <w:color w:val="231F20"/>
          <w:w w:val="105"/>
        </w:rPr>
        <w:t xml:space="preserve">programs </w:t>
      </w:r>
      <w:r w:rsidR="004525C8" w:rsidRPr="009370EF">
        <w:rPr>
          <w:rFonts w:cstheme="minorHAnsi"/>
          <w:color w:val="231F20"/>
          <w:w w:val="105"/>
        </w:rPr>
        <w:t xml:space="preserve">to </w:t>
      </w:r>
      <w:r w:rsidRPr="009370EF">
        <w:rPr>
          <w:rFonts w:cstheme="minorHAnsi"/>
          <w:color w:val="231F20"/>
          <w:w w:val="105"/>
        </w:rPr>
        <w:t>partner</w:t>
      </w:r>
      <w:r w:rsidRPr="00E06806">
        <w:rPr>
          <w:rFonts w:cstheme="minorHAnsi"/>
          <w:color w:val="231F20"/>
          <w:spacing w:val="-24"/>
          <w:w w:val="110"/>
        </w:rPr>
        <w:t xml:space="preserve"> </w:t>
      </w:r>
      <w:r w:rsidRPr="00E06806">
        <w:rPr>
          <w:rFonts w:cstheme="minorHAnsi"/>
          <w:color w:val="231F20"/>
          <w:w w:val="110"/>
        </w:rPr>
        <w:t>with</w:t>
      </w:r>
      <w:r w:rsidR="004525C8" w:rsidRPr="00E06806">
        <w:rPr>
          <w:rFonts w:cstheme="minorHAnsi"/>
          <w:color w:val="231F20"/>
          <w:w w:val="110"/>
        </w:rPr>
        <w:t xml:space="preserve"> </w:t>
      </w:r>
      <w:r w:rsidRPr="00E06806">
        <w:rPr>
          <w:rFonts w:cstheme="minorHAnsi"/>
          <w:color w:val="231F20"/>
          <w:w w:val="105"/>
        </w:rPr>
        <w:t>postsecondary</w:t>
      </w:r>
      <w:r w:rsidRPr="00E06806">
        <w:rPr>
          <w:rFonts w:cstheme="minorHAnsi"/>
          <w:color w:val="231F20"/>
          <w:spacing w:val="19"/>
          <w:w w:val="105"/>
        </w:rPr>
        <w:t xml:space="preserve"> </w:t>
      </w:r>
      <w:r w:rsidRPr="00E06806">
        <w:rPr>
          <w:rFonts w:cstheme="minorHAnsi"/>
          <w:color w:val="231F20"/>
          <w:w w:val="105"/>
        </w:rPr>
        <w:t>career</w:t>
      </w:r>
      <w:r w:rsidRPr="00E06806">
        <w:rPr>
          <w:rFonts w:cstheme="minorHAnsi"/>
          <w:color w:val="231F20"/>
          <w:spacing w:val="19"/>
          <w:w w:val="105"/>
        </w:rPr>
        <w:t xml:space="preserve"> </w:t>
      </w:r>
      <w:r w:rsidRPr="00E06806">
        <w:rPr>
          <w:rFonts w:cstheme="minorHAnsi"/>
          <w:color w:val="231F20"/>
          <w:w w:val="105"/>
        </w:rPr>
        <w:t>and</w:t>
      </w:r>
      <w:r w:rsidRPr="00E06806">
        <w:rPr>
          <w:rFonts w:cstheme="minorHAnsi"/>
          <w:color w:val="231F20"/>
          <w:spacing w:val="19"/>
          <w:w w:val="105"/>
        </w:rPr>
        <w:t xml:space="preserve"> </w:t>
      </w:r>
      <w:r w:rsidRPr="00E06806">
        <w:rPr>
          <w:rFonts w:cstheme="minorHAnsi"/>
          <w:color w:val="231F20"/>
          <w:w w:val="105"/>
        </w:rPr>
        <w:t>technical</w:t>
      </w:r>
      <w:r w:rsidRPr="00E06806">
        <w:rPr>
          <w:rFonts w:cstheme="minorHAnsi"/>
          <w:color w:val="231F20"/>
          <w:spacing w:val="19"/>
          <w:w w:val="105"/>
        </w:rPr>
        <w:t xml:space="preserve"> </w:t>
      </w:r>
      <w:r w:rsidRPr="00E06806">
        <w:rPr>
          <w:rFonts w:cstheme="minorHAnsi"/>
          <w:color w:val="231F20"/>
          <w:w w:val="105"/>
        </w:rPr>
        <w:t>programs</w:t>
      </w:r>
      <w:r w:rsidRPr="00E06806">
        <w:rPr>
          <w:rFonts w:cstheme="minorHAnsi"/>
          <w:color w:val="231F20"/>
          <w:spacing w:val="19"/>
          <w:w w:val="105"/>
        </w:rPr>
        <w:t xml:space="preserve"> </w:t>
      </w:r>
      <w:r w:rsidRPr="00E06806">
        <w:rPr>
          <w:rFonts w:cstheme="minorHAnsi"/>
          <w:color w:val="231F20"/>
          <w:w w:val="105"/>
        </w:rPr>
        <w:t>to</w:t>
      </w:r>
      <w:r w:rsidRPr="00E06806">
        <w:rPr>
          <w:rFonts w:cstheme="minorHAnsi"/>
          <w:color w:val="231F20"/>
          <w:spacing w:val="19"/>
          <w:w w:val="105"/>
        </w:rPr>
        <w:t xml:space="preserve"> </w:t>
      </w:r>
      <w:r w:rsidRPr="00E06806">
        <w:rPr>
          <w:rFonts w:cstheme="minorHAnsi"/>
          <w:color w:val="231F20"/>
          <w:w w:val="105"/>
        </w:rPr>
        <w:t>develop</w:t>
      </w:r>
      <w:r w:rsidRPr="00E06806">
        <w:rPr>
          <w:rFonts w:cstheme="minorHAnsi"/>
          <w:color w:val="231F20"/>
          <w:spacing w:val="19"/>
          <w:w w:val="105"/>
        </w:rPr>
        <w:t xml:space="preserve"> </w:t>
      </w:r>
      <w:r w:rsidRPr="00E06806">
        <w:rPr>
          <w:rFonts w:cstheme="minorHAnsi"/>
          <w:color w:val="231F20"/>
          <w:w w:val="105"/>
        </w:rPr>
        <w:t>and</w:t>
      </w:r>
      <w:r w:rsidRPr="00E06806">
        <w:rPr>
          <w:rFonts w:cstheme="minorHAnsi"/>
          <w:color w:val="231F20"/>
          <w:spacing w:val="19"/>
          <w:w w:val="105"/>
        </w:rPr>
        <w:t xml:space="preserve"> </w:t>
      </w:r>
      <w:r w:rsidRPr="00E06806">
        <w:rPr>
          <w:rFonts w:cstheme="minorHAnsi"/>
          <w:color w:val="231F20"/>
          <w:w w:val="105"/>
        </w:rPr>
        <w:t>deliver</w:t>
      </w:r>
      <w:r w:rsidRPr="00E06806">
        <w:rPr>
          <w:rFonts w:cstheme="minorHAnsi"/>
          <w:color w:val="231F20"/>
          <w:spacing w:val="19"/>
          <w:w w:val="105"/>
        </w:rPr>
        <w:t xml:space="preserve"> </w:t>
      </w:r>
      <w:r w:rsidRPr="00E06806">
        <w:rPr>
          <w:rFonts w:cstheme="minorHAnsi"/>
          <w:color w:val="231F20"/>
          <w:w w:val="105"/>
        </w:rPr>
        <w:t>an</w:t>
      </w:r>
      <w:r w:rsidRPr="00E06806">
        <w:rPr>
          <w:rFonts w:cstheme="minorHAnsi"/>
          <w:color w:val="231F20"/>
          <w:spacing w:val="19"/>
          <w:w w:val="105"/>
        </w:rPr>
        <w:t xml:space="preserve"> </w:t>
      </w:r>
      <w:r w:rsidRPr="00E06806">
        <w:rPr>
          <w:rFonts w:cstheme="minorHAnsi"/>
          <w:color w:val="231F20"/>
          <w:w w:val="105"/>
        </w:rPr>
        <w:t>integrated</w:t>
      </w:r>
      <w:r w:rsidRPr="00E06806">
        <w:rPr>
          <w:rFonts w:cstheme="minorHAnsi"/>
          <w:color w:val="231F20"/>
          <w:spacing w:val="19"/>
          <w:w w:val="105"/>
        </w:rPr>
        <w:t xml:space="preserve"> </w:t>
      </w:r>
      <w:r w:rsidRPr="00E06806">
        <w:rPr>
          <w:rFonts w:cstheme="minorHAnsi"/>
          <w:color w:val="231F20"/>
          <w:w w:val="105"/>
        </w:rPr>
        <w:t>education</w:t>
      </w:r>
      <w:r w:rsidRPr="00E06806">
        <w:rPr>
          <w:rFonts w:cstheme="minorHAnsi"/>
          <w:color w:val="231F20"/>
          <w:spacing w:val="19"/>
          <w:w w:val="105"/>
        </w:rPr>
        <w:t xml:space="preserve"> </w:t>
      </w:r>
      <w:r w:rsidRPr="00E06806">
        <w:rPr>
          <w:rFonts w:cstheme="minorHAnsi"/>
          <w:color w:val="231F20"/>
          <w:w w:val="105"/>
        </w:rPr>
        <w:t>and</w:t>
      </w:r>
      <w:r w:rsidRPr="00E06806">
        <w:rPr>
          <w:rFonts w:cstheme="minorHAnsi"/>
          <w:color w:val="231F20"/>
          <w:spacing w:val="19"/>
          <w:w w:val="105"/>
        </w:rPr>
        <w:t xml:space="preserve"> </w:t>
      </w:r>
      <w:r w:rsidRPr="00E06806">
        <w:rPr>
          <w:rFonts w:cstheme="minorHAnsi"/>
          <w:color w:val="231F20"/>
          <w:w w:val="105"/>
        </w:rPr>
        <w:t>training</w:t>
      </w:r>
      <w:r w:rsidRPr="00E06806">
        <w:rPr>
          <w:rFonts w:cstheme="minorHAnsi"/>
          <w:color w:val="231F20"/>
          <w:w w:val="104"/>
        </w:rPr>
        <w:t xml:space="preserve"> </w:t>
      </w:r>
      <w:r w:rsidRPr="00E06806">
        <w:rPr>
          <w:rFonts w:cstheme="minorHAnsi"/>
          <w:color w:val="231F20"/>
          <w:w w:val="105"/>
        </w:rPr>
        <w:t>program.</w:t>
      </w:r>
      <w:r w:rsidRPr="00E06806">
        <w:rPr>
          <w:rFonts w:cstheme="minorHAnsi"/>
          <w:color w:val="231F20"/>
          <w:spacing w:val="12"/>
          <w:w w:val="105"/>
        </w:rPr>
        <w:t xml:space="preserve"> </w:t>
      </w:r>
      <w:r w:rsidRPr="00E06806">
        <w:rPr>
          <w:rFonts w:cstheme="minorHAnsi"/>
          <w:color w:val="231F20"/>
          <w:w w:val="105"/>
        </w:rPr>
        <w:t>As</w:t>
      </w:r>
      <w:r w:rsidRPr="00E06806">
        <w:rPr>
          <w:rFonts w:cstheme="minorHAnsi"/>
          <w:color w:val="231F20"/>
          <w:spacing w:val="12"/>
          <w:w w:val="105"/>
        </w:rPr>
        <w:t xml:space="preserve"> </w:t>
      </w:r>
      <w:r w:rsidRPr="00E06806">
        <w:rPr>
          <w:rFonts w:cstheme="minorHAnsi"/>
          <w:color w:val="231F20"/>
          <w:w w:val="105"/>
        </w:rPr>
        <w:t>the</w:t>
      </w:r>
      <w:r w:rsidRPr="00E06806">
        <w:rPr>
          <w:rFonts w:cstheme="minorHAnsi"/>
          <w:color w:val="231F20"/>
          <w:spacing w:val="12"/>
          <w:w w:val="105"/>
        </w:rPr>
        <w:t xml:space="preserve"> </w:t>
      </w:r>
      <w:r w:rsidRPr="00E06806">
        <w:rPr>
          <w:rFonts w:cstheme="minorHAnsi"/>
          <w:color w:val="231F20"/>
          <w:w w:val="105"/>
        </w:rPr>
        <w:t>integrated</w:t>
      </w:r>
      <w:r w:rsidRPr="00E06806">
        <w:rPr>
          <w:rFonts w:cstheme="minorHAnsi"/>
          <w:color w:val="231F20"/>
          <w:spacing w:val="12"/>
          <w:w w:val="105"/>
        </w:rPr>
        <w:t xml:space="preserve"> </w:t>
      </w:r>
      <w:r w:rsidRPr="00E06806">
        <w:rPr>
          <w:rFonts w:cstheme="minorHAnsi"/>
          <w:color w:val="231F20"/>
          <w:w w:val="105"/>
        </w:rPr>
        <w:t>education</w:t>
      </w:r>
      <w:r w:rsidRPr="00E06806">
        <w:rPr>
          <w:rFonts w:cstheme="minorHAnsi"/>
          <w:color w:val="231F20"/>
          <w:spacing w:val="12"/>
          <w:w w:val="105"/>
        </w:rPr>
        <w:t xml:space="preserve"> </w:t>
      </w:r>
      <w:r w:rsidRPr="00E06806">
        <w:rPr>
          <w:rFonts w:cstheme="minorHAnsi"/>
          <w:color w:val="231F20"/>
          <w:w w:val="105"/>
        </w:rPr>
        <w:t>and</w:t>
      </w:r>
      <w:r w:rsidRPr="00E06806">
        <w:rPr>
          <w:rFonts w:cstheme="minorHAnsi"/>
          <w:color w:val="231F20"/>
          <w:spacing w:val="12"/>
          <w:w w:val="105"/>
        </w:rPr>
        <w:t xml:space="preserve"> </w:t>
      </w:r>
      <w:r w:rsidRPr="00E06806">
        <w:rPr>
          <w:rFonts w:cstheme="minorHAnsi"/>
          <w:color w:val="231F20"/>
          <w:w w:val="105"/>
        </w:rPr>
        <w:t>training</w:t>
      </w:r>
      <w:r w:rsidRPr="00E06806">
        <w:rPr>
          <w:rFonts w:cstheme="minorHAnsi"/>
          <w:color w:val="231F20"/>
          <w:spacing w:val="12"/>
          <w:w w:val="105"/>
        </w:rPr>
        <w:t xml:space="preserve"> </w:t>
      </w:r>
      <w:r w:rsidRPr="00E06806">
        <w:rPr>
          <w:rFonts w:cstheme="minorHAnsi"/>
          <w:color w:val="231F20"/>
          <w:w w:val="105"/>
        </w:rPr>
        <w:t>activities</w:t>
      </w:r>
      <w:r w:rsidRPr="00E06806">
        <w:rPr>
          <w:rFonts w:cstheme="minorHAnsi"/>
          <w:color w:val="231F20"/>
          <w:spacing w:val="12"/>
          <w:w w:val="105"/>
        </w:rPr>
        <w:t xml:space="preserve"> </w:t>
      </w:r>
      <w:r w:rsidRPr="00E06806">
        <w:rPr>
          <w:rFonts w:cstheme="minorHAnsi"/>
          <w:color w:val="231F20"/>
          <w:w w:val="105"/>
        </w:rPr>
        <w:t>are</w:t>
      </w:r>
      <w:r w:rsidRPr="00E06806">
        <w:rPr>
          <w:rFonts w:cstheme="minorHAnsi"/>
          <w:color w:val="231F20"/>
          <w:spacing w:val="12"/>
          <w:w w:val="105"/>
        </w:rPr>
        <w:t xml:space="preserve"> </w:t>
      </w:r>
      <w:r w:rsidRPr="00E06806">
        <w:rPr>
          <w:rFonts w:cstheme="minorHAnsi"/>
          <w:color w:val="231F20"/>
          <w:w w:val="105"/>
        </w:rPr>
        <w:t>developed,</w:t>
      </w:r>
      <w:r w:rsidRPr="00E06806">
        <w:rPr>
          <w:rFonts w:cstheme="minorHAnsi"/>
          <w:color w:val="231F20"/>
          <w:spacing w:val="12"/>
          <w:w w:val="105"/>
        </w:rPr>
        <w:t xml:space="preserve"> </w:t>
      </w:r>
      <w:r w:rsidRPr="00E06806">
        <w:rPr>
          <w:rFonts w:cstheme="minorHAnsi"/>
          <w:color w:val="231F20"/>
          <w:w w:val="105"/>
        </w:rPr>
        <w:t>collaboration</w:t>
      </w:r>
      <w:r w:rsidRPr="00E06806">
        <w:rPr>
          <w:rFonts w:cstheme="minorHAnsi"/>
          <w:color w:val="231F20"/>
          <w:spacing w:val="12"/>
          <w:w w:val="105"/>
        </w:rPr>
        <w:t xml:space="preserve"> </w:t>
      </w:r>
      <w:r w:rsidR="00261A8E" w:rsidRPr="00E06806">
        <w:rPr>
          <w:rFonts w:cstheme="minorHAnsi"/>
          <w:color w:val="231F20"/>
          <w:w w:val="105"/>
        </w:rPr>
        <w:t xml:space="preserve">occurs </w:t>
      </w:r>
      <w:r w:rsidRPr="00E06806">
        <w:rPr>
          <w:rFonts w:cstheme="minorHAnsi"/>
          <w:color w:val="231F20"/>
          <w:w w:val="105"/>
        </w:rPr>
        <w:t>with</w:t>
      </w:r>
      <w:r w:rsidRPr="00E06806">
        <w:rPr>
          <w:rFonts w:cstheme="minorHAnsi"/>
          <w:color w:val="231F20"/>
          <w:spacing w:val="11"/>
          <w:w w:val="105"/>
        </w:rPr>
        <w:t xml:space="preserve"> </w:t>
      </w:r>
      <w:r w:rsidR="003A28C0" w:rsidRPr="00E06806">
        <w:rPr>
          <w:rFonts w:cstheme="minorHAnsi"/>
          <w:color w:val="231F20"/>
          <w:w w:val="105"/>
        </w:rPr>
        <w:t xml:space="preserve">local workforce development boards </w:t>
      </w:r>
      <w:r w:rsidRPr="00E06806">
        <w:rPr>
          <w:rFonts w:cstheme="minorHAnsi"/>
          <w:color w:val="231F20"/>
          <w:w w:val="105"/>
        </w:rPr>
        <w:t>to</w:t>
      </w:r>
      <w:r w:rsidRPr="00E06806">
        <w:rPr>
          <w:rFonts w:cstheme="minorHAnsi"/>
          <w:color w:val="231F20"/>
          <w:spacing w:val="11"/>
          <w:w w:val="105"/>
        </w:rPr>
        <w:t xml:space="preserve"> </w:t>
      </w:r>
      <w:r w:rsidRPr="00E06806">
        <w:rPr>
          <w:rFonts w:cstheme="minorHAnsi"/>
          <w:color w:val="231F20"/>
          <w:w w:val="105"/>
        </w:rPr>
        <w:t>determine</w:t>
      </w:r>
      <w:r w:rsidRPr="00E06806">
        <w:rPr>
          <w:rFonts w:cstheme="minorHAnsi"/>
          <w:color w:val="231F20"/>
          <w:spacing w:val="11"/>
          <w:w w:val="105"/>
        </w:rPr>
        <w:t xml:space="preserve"> </w:t>
      </w:r>
      <w:r w:rsidRPr="00E06806">
        <w:rPr>
          <w:rFonts w:cstheme="minorHAnsi"/>
          <w:color w:val="231F20"/>
          <w:w w:val="105"/>
        </w:rPr>
        <w:t>the</w:t>
      </w:r>
      <w:r w:rsidRPr="00E06806">
        <w:rPr>
          <w:rFonts w:cstheme="minorHAnsi"/>
          <w:color w:val="231F20"/>
          <w:spacing w:val="11"/>
          <w:w w:val="105"/>
        </w:rPr>
        <w:t xml:space="preserve"> </w:t>
      </w:r>
      <w:r w:rsidRPr="00E06806">
        <w:rPr>
          <w:rFonts w:cstheme="minorHAnsi"/>
          <w:color w:val="231F20"/>
          <w:w w:val="105"/>
        </w:rPr>
        <w:t>workforce</w:t>
      </w:r>
      <w:r w:rsidRPr="00E06806">
        <w:rPr>
          <w:rFonts w:cstheme="minorHAnsi"/>
          <w:color w:val="231F20"/>
          <w:spacing w:val="11"/>
          <w:w w:val="105"/>
        </w:rPr>
        <w:t xml:space="preserve"> </w:t>
      </w:r>
      <w:r w:rsidRPr="00E06806">
        <w:rPr>
          <w:rFonts w:cstheme="minorHAnsi"/>
          <w:color w:val="231F20"/>
          <w:w w:val="105"/>
        </w:rPr>
        <w:t>demands</w:t>
      </w:r>
      <w:r w:rsidRPr="00E06806">
        <w:rPr>
          <w:rFonts w:cstheme="minorHAnsi"/>
          <w:color w:val="231F20"/>
          <w:spacing w:val="11"/>
          <w:w w:val="105"/>
        </w:rPr>
        <w:t xml:space="preserve"> </w:t>
      </w:r>
      <w:r w:rsidRPr="00E06806">
        <w:rPr>
          <w:rFonts w:cstheme="minorHAnsi"/>
          <w:color w:val="231F20"/>
          <w:w w:val="105"/>
        </w:rPr>
        <w:t>for</w:t>
      </w:r>
      <w:r w:rsidRPr="00E06806">
        <w:rPr>
          <w:rFonts w:cstheme="minorHAnsi"/>
          <w:color w:val="231F20"/>
          <w:spacing w:val="11"/>
          <w:w w:val="105"/>
        </w:rPr>
        <w:t xml:space="preserve"> </w:t>
      </w:r>
      <w:r w:rsidRPr="00E06806">
        <w:rPr>
          <w:rFonts w:cstheme="minorHAnsi"/>
          <w:color w:val="231F20"/>
          <w:w w:val="105"/>
        </w:rPr>
        <w:t>the</w:t>
      </w:r>
      <w:r w:rsidRPr="00E06806">
        <w:rPr>
          <w:rFonts w:cstheme="minorHAnsi"/>
          <w:color w:val="231F20"/>
          <w:spacing w:val="11"/>
          <w:w w:val="105"/>
        </w:rPr>
        <w:t xml:space="preserve"> </w:t>
      </w:r>
      <w:r w:rsidRPr="00E06806">
        <w:rPr>
          <w:rFonts w:cstheme="minorHAnsi"/>
          <w:color w:val="231F20"/>
          <w:w w:val="105"/>
        </w:rPr>
        <w:t>area</w:t>
      </w:r>
      <w:r w:rsidRPr="00E06806">
        <w:rPr>
          <w:rFonts w:cstheme="minorHAnsi"/>
          <w:color w:val="231F20"/>
          <w:spacing w:val="11"/>
          <w:w w:val="105"/>
        </w:rPr>
        <w:t xml:space="preserve"> </w:t>
      </w:r>
      <w:r w:rsidRPr="00E06806">
        <w:rPr>
          <w:rFonts w:cstheme="minorHAnsi"/>
          <w:color w:val="231F20"/>
          <w:w w:val="105"/>
        </w:rPr>
        <w:t>and</w:t>
      </w:r>
      <w:r w:rsidRPr="00E06806">
        <w:rPr>
          <w:rFonts w:cstheme="minorHAnsi"/>
          <w:color w:val="231F20"/>
          <w:spacing w:val="11"/>
          <w:w w:val="105"/>
        </w:rPr>
        <w:t xml:space="preserve"> </w:t>
      </w:r>
      <w:r w:rsidRPr="00E06806">
        <w:rPr>
          <w:rFonts w:cstheme="minorHAnsi"/>
          <w:color w:val="231F20"/>
          <w:w w:val="105"/>
        </w:rPr>
        <w:t>ensure</w:t>
      </w:r>
      <w:r w:rsidRPr="00E06806">
        <w:rPr>
          <w:rFonts w:cstheme="minorHAnsi"/>
          <w:color w:val="231F20"/>
          <w:spacing w:val="-21"/>
          <w:w w:val="105"/>
        </w:rPr>
        <w:t xml:space="preserve"> </w:t>
      </w:r>
      <w:r w:rsidRPr="00E06806">
        <w:rPr>
          <w:rFonts w:cstheme="minorHAnsi"/>
          <w:color w:val="231F20"/>
          <w:w w:val="105"/>
        </w:rPr>
        <w:t>the</w:t>
      </w:r>
      <w:r w:rsidRPr="00E06806">
        <w:rPr>
          <w:rFonts w:cstheme="minorHAnsi"/>
          <w:color w:val="231F20"/>
          <w:spacing w:val="12"/>
          <w:w w:val="105"/>
        </w:rPr>
        <w:t xml:space="preserve"> </w:t>
      </w:r>
      <w:r w:rsidRPr="00E06806">
        <w:rPr>
          <w:rFonts w:cstheme="minorHAnsi"/>
          <w:color w:val="231F20"/>
          <w:w w:val="105"/>
        </w:rPr>
        <w:t>career</w:t>
      </w:r>
      <w:r w:rsidRPr="00E06806">
        <w:rPr>
          <w:rFonts w:cstheme="minorHAnsi"/>
          <w:color w:val="231F20"/>
          <w:spacing w:val="12"/>
          <w:w w:val="105"/>
        </w:rPr>
        <w:t xml:space="preserve"> </w:t>
      </w:r>
      <w:r w:rsidRPr="00E06806">
        <w:rPr>
          <w:rFonts w:cstheme="minorHAnsi"/>
          <w:color w:val="231F20"/>
          <w:w w:val="105"/>
        </w:rPr>
        <w:t>and</w:t>
      </w:r>
      <w:r w:rsidRPr="00E06806">
        <w:rPr>
          <w:rFonts w:cstheme="minorHAnsi"/>
          <w:color w:val="231F20"/>
          <w:spacing w:val="12"/>
          <w:w w:val="105"/>
        </w:rPr>
        <w:t xml:space="preserve"> </w:t>
      </w:r>
      <w:r w:rsidRPr="00E06806">
        <w:rPr>
          <w:rFonts w:cstheme="minorHAnsi"/>
          <w:color w:val="231F20"/>
          <w:w w:val="105"/>
        </w:rPr>
        <w:t>technical</w:t>
      </w:r>
      <w:r w:rsidRPr="00E06806">
        <w:rPr>
          <w:rFonts w:cstheme="minorHAnsi"/>
          <w:color w:val="231F20"/>
          <w:spacing w:val="12"/>
          <w:w w:val="105"/>
        </w:rPr>
        <w:t xml:space="preserve"> </w:t>
      </w:r>
      <w:r w:rsidRPr="00E06806">
        <w:rPr>
          <w:rFonts w:cstheme="minorHAnsi"/>
          <w:color w:val="231F20"/>
          <w:w w:val="105"/>
        </w:rPr>
        <w:t>programs</w:t>
      </w:r>
      <w:r w:rsidRPr="00E06806">
        <w:rPr>
          <w:rFonts w:cstheme="minorHAnsi"/>
          <w:color w:val="231F20"/>
          <w:spacing w:val="12"/>
          <w:w w:val="105"/>
        </w:rPr>
        <w:t xml:space="preserve"> </w:t>
      </w:r>
      <w:r w:rsidRPr="00E06806">
        <w:rPr>
          <w:rFonts w:cstheme="minorHAnsi"/>
          <w:color w:val="231F20"/>
          <w:w w:val="105"/>
        </w:rPr>
        <w:t>selected</w:t>
      </w:r>
      <w:r w:rsidRPr="00E06806">
        <w:rPr>
          <w:rFonts w:cstheme="minorHAnsi"/>
          <w:color w:val="231F20"/>
          <w:spacing w:val="12"/>
          <w:w w:val="105"/>
        </w:rPr>
        <w:t xml:space="preserve"> </w:t>
      </w:r>
      <w:r w:rsidRPr="00E06806">
        <w:rPr>
          <w:rFonts w:cstheme="minorHAnsi"/>
          <w:color w:val="231F20"/>
          <w:w w:val="105"/>
        </w:rPr>
        <w:t>support</w:t>
      </w:r>
      <w:r w:rsidRPr="00E06806">
        <w:rPr>
          <w:rFonts w:cstheme="minorHAnsi"/>
          <w:color w:val="231F20"/>
          <w:spacing w:val="11"/>
          <w:w w:val="105"/>
        </w:rPr>
        <w:t xml:space="preserve"> </w:t>
      </w:r>
      <w:r w:rsidRPr="00E06806">
        <w:rPr>
          <w:rFonts w:cstheme="minorHAnsi"/>
          <w:color w:val="231F20"/>
          <w:w w:val="105"/>
        </w:rPr>
        <w:t>that</w:t>
      </w:r>
      <w:r w:rsidRPr="00E06806">
        <w:rPr>
          <w:rFonts w:cstheme="minorHAnsi"/>
          <w:color w:val="231F20"/>
          <w:spacing w:val="12"/>
          <w:w w:val="105"/>
        </w:rPr>
        <w:t xml:space="preserve"> </w:t>
      </w:r>
      <w:r w:rsidRPr="00E06806">
        <w:rPr>
          <w:rFonts w:cstheme="minorHAnsi"/>
          <w:color w:val="231F20"/>
          <w:w w:val="105"/>
        </w:rPr>
        <w:t>need.</w:t>
      </w:r>
      <w:r w:rsidRPr="00E06806">
        <w:rPr>
          <w:rFonts w:cstheme="minorHAnsi"/>
          <w:color w:val="231F20"/>
          <w:spacing w:val="12"/>
          <w:w w:val="105"/>
        </w:rPr>
        <w:t xml:space="preserve"> </w:t>
      </w:r>
      <w:r w:rsidRPr="00E06806">
        <w:rPr>
          <w:rFonts w:cstheme="minorHAnsi"/>
          <w:color w:val="231F20"/>
          <w:w w:val="105"/>
        </w:rPr>
        <w:t>One</w:t>
      </w:r>
      <w:r w:rsidRPr="00E06806">
        <w:rPr>
          <w:rFonts w:cstheme="minorHAnsi"/>
          <w:color w:val="231F20"/>
          <w:spacing w:val="12"/>
          <w:w w:val="105"/>
        </w:rPr>
        <w:t xml:space="preserve"> </w:t>
      </w:r>
      <w:r w:rsidRPr="00E06806">
        <w:rPr>
          <w:rFonts w:cstheme="minorHAnsi"/>
          <w:color w:val="231F20"/>
          <w:w w:val="105"/>
        </w:rPr>
        <w:t>component</w:t>
      </w:r>
      <w:r w:rsidRPr="00E06806">
        <w:rPr>
          <w:rFonts w:cstheme="minorHAnsi"/>
          <w:color w:val="231F20"/>
          <w:spacing w:val="12"/>
          <w:w w:val="105"/>
        </w:rPr>
        <w:t xml:space="preserve"> </w:t>
      </w:r>
      <w:r w:rsidRPr="00E06806">
        <w:rPr>
          <w:rFonts w:cstheme="minorHAnsi"/>
          <w:color w:val="231F20"/>
          <w:w w:val="105"/>
        </w:rPr>
        <w:t>of</w:t>
      </w:r>
      <w:r w:rsidRPr="00E06806">
        <w:rPr>
          <w:rFonts w:cstheme="minorHAnsi"/>
          <w:color w:val="231F20"/>
          <w:spacing w:val="12"/>
          <w:w w:val="105"/>
        </w:rPr>
        <w:t xml:space="preserve"> </w:t>
      </w:r>
      <w:r w:rsidRPr="00E06806">
        <w:rPr>
          <w:rFonts w:cstheme="minorHAnsi"/>
          <w:color w:val="231F20"/>
          <w:w w:val="105"/>
        </w:rPr>
        <w:t>FICAPS</w:t>
      </w:r>
      <w:r w:rsidRPr="00E06806">
        <w:rPr>
          <w:rFonts w:cstheme="minorHAnsi"/>
          <w:color w:val="231F20"/>
          <w:spacing w:val="12"/>
          <w:w w:val="105"/>
        </w:rPr>
        <w:t xml:space="preserve"> </w:t>
      </w:r>
      <w:r w:rsidRPr="00E06806">
        <w:rPr>
          <w:rFonts w:cstheme="minorHAnsi"/>
          <w:color w:val="231F20"/>
          <w:w w:val="105"/>
        </w:rPr>
        <w:t>is</w:t>
      </w:r>
      <w:r w:rsidRPr="00E06806">
        <w:rPr>
          <w:rFonts w:cstheme="minorHAnsi"/>
          <w:color w:val="231F20"/>
          <w:spacing w:val="12"/>
          <w:w w:val="105"/>
        </w:rPr>
        <w:t xml:space="preserve"> </w:t>
      </w:r>
      <w:r w:rsidRPr="00E06806">
        <w:rPr>
          <w:rFonts w:cstheme="minorHAnsi"/>
          <w:color w:val="231F20"/>
          <w:w w:val="105"/>
        </w:rPr>
        <w:t>the</w:t>
      </w:r>
      <w:r w:rsidRPr="00E06806">
        <w:rPr>
          <w:rFonts w:cstheme="minorHAnsi"/>
          <w:color w:val="231F20"/>
          <w:spacing w:val="24"/>
          <w:w w:val="105"/>
        </w:rPr>
        <w:t xml:space="preserve"> </w:t>
      </w:r>
      <w:r w:rsidRPr="00E06806">
        <w:rPr>
          <w:rFonts w:cstheme="minorHAnsi"/>
          <w:color w:val="231F20"/>
          <w:w w:val="105"/>
        </w:rPr>
        <w:t>provision</w:t>
      </w:r>
      <w:r w:rsidRPr="00E06806">
        <w:rPr>
          <w:rFonts w:cstheme="minorHAnsi"/>
          <w:color w:val="231F20"/>
          <w:spacing w:val="7"/>
          <w:w w:val="105"/>
        </w:rPr>
        <w:t xml:space="preserve"> </w:t>
      </w:r>
      <w:r w:rsidRPr="00E06806">
        <w:rPr>
          <w:rFonts w:cstheme="minorHAnsi"/>
          <w:color w:val="231F20"/>
          <w:w w:val="105"/>
        </w:rPr>
        <w:t>of</w:t>
      </w:r>
      <w:r w:rsidRPr="00E06806">
        <w:rPr>
          <w:rFonts w:cstheme="minorHAnsi"/>
          <w:color w:val="231F20"/>
          <w:spacing w:val="7"/>
          <w:w w:val="105"/>
        </w:rPr>
        <w:t xml:space="preserve"> </w:t>
      </w:r>
      <w:r w:rsidRPr="00E06806">
        <w:rPr>
          <w:rFonts w:cstheme="minorHAnsi"/>
          <w:color w:val="231F20"/>
          <w:w w:val="105"/>
        </w:rPr>
        <w:t>wrap-around</w:t>
      </w:r>
      <w:r w:rsidRPr="00E06806">
        <w:rPr>
          <w:rFonts w:cstheme="minorHAnsi"/>
          <w:color w:val="231F20"/>
          <w:spacing w:val="7"/>
          <w:w w:val="105"/>
        </w:rPr>
        <w:t xml:space="preserve"> </w:t>
      </w:r>
      <w:r w:rsidRPr="00E06806">
        <w:rPr>
          <w:rFonts w:cstheme="minorHAnsi"/>
          <w:color w:val="231F20"/>
          <w:w w:val="105"/>
        </w:rPr>
        <w:t>support</w:t>
      </w:r>
      <w:r w:rsidRPr="00E06806">
        <w:rPr>
          <w:rFonts w:cstheme="minorHAnsi"/>
          <w:color w:val="231F20"/>
          <w:spacing w:val="7"/>
          <w:w w:val="105"/>
        </w:rPr>
        <w:t xml:space="preserve"> </w:t>
      </w:r>
      <w:r w:rsidRPr="00E06806">
        <w:rPr>
          <w:rFonts w:cstheme="minorHAnsi"/>
          <w:color w:val="231F20"/>
          <w:w w:val="105"/>
        </w:rPr>
        <w:t>services</w:t>
      </w:r>
      <w:r w:rsidRPr="00E06806">
        <w:rPr>
          <w:rFonts w:cstheme="minorHAnsi"/>
          <w:color w:val="231F20"/>
          <w:spacing w:val="7"/>
          <w:w w:val="105"/>
        </w:rPr>
        <w:t xml:space="preserve"> </w:t>
      </w:r>
      <w:r w:rsidR="003A28C0" w:rsidRPr="00E06806">
        <w:rPr>
          <w:rFonts w:cstheme="minorHAnsi"/>
          <w:color w:val="231F20"/>
          <w:w w:val="105"/>
        </w:rPr>
        <w:t xml:space="preserve">including </w:t>
      </w:r>
      <w:r w:rsidRPr="00E06806">
        <w:rPr>
          <w:rFonts w:cstheme="minorHAnsi"/>
          <w:color w:val="231F20"/>
          <w:w w:val="105"/>
        </w:rPr>
        <w:t>transportation,</w:t>
      </w:r>
      <w:r w:rsidRPr="00E06806">
        <w:rPr>
          <w:rFonts w:cstheme="minorHAnsi"/>
          <w:color w:val="231F20"/>
          <w:spacing w:val="7"/>
          <w:w w:val="105"/>
        </w:rPr>
        <w:t xml:space="preserve"> </w:t>
      </w:r>
      <w:r w:rsidRPr="00E06806">
        <w:rPr>
          <w:rFonts w:cstheme="minorHAnsi"/>
          <w:color w:val="231F20"/>
          <w:w w:val="105"/>
        </w:rPr>
        <w:t>child</w:t>
      </w:r>
      <w:r w:rsidRPr="00E06806">
        <w:rPr>
          <w:rFonts w:cstheme="minorHAnsi"/>
          <w:color w:val="231F20"/>
          <w:spacing w:val="7"/>
          <w:w w:val="105"/>
        </w:rPr>
        <w:t xml:space="preserve"> </w:t>
      </w:r>
      <w:r w:rsidRPr="00E06806">
        <w:rPr>
          <w:rFonts w:cstheme="minorHAnsi"/>
          <w:color w:val="231F20"/>
          <w:w w:val="105"/>
        </w:rPr>
        <w:t>care</w:t>
      </w:r>
      <w:r w:rsidR="00D5537E">
        <w:rPr>
          <w:rFonts w:cstheme="minorHAnsi"/>
          <w:color w:val="231F20"/>
          <w:w w:val="105"/>
        </w:rPr>
        <w:t xml:space="preserve"> and</w:t>
      </w:r>
      <w:r w:rsidRPr="00E06806">
        <w:rPr>
          <w:rFonts w:cstheme="minorHAnsi"/>
          <w:color w:val="231F20"/>
          <w:spacing w:val="7"/>
          <w:w w:val="105"/>
        </w:rPr>
        <w:t xml:space="preserve"> </w:t>
      </w:r>
      <w:r w:rsidRPr="00E06806">
        <w:rPr>
          <w:rFonts w:cstheme="minorHAnsi"/>
          <w:color w:val="231F20"/>
          <w:w w:val="105"/>
        </w:rPr>
        <w:t>other</w:t>
      </w:r>
      <w:r w:rsidRPr="00E06806">
        <w:rPr>
          <w:rFonts w:cstheme="minorHAnsi"/>
          <w:color w:val="231F20"/>
          <w:spacing w:val="7"/>
          <w:w w:val="105"/>
        </w:rPr>
        <w:t xml:space="preserve"> </w:t>
      </w:r>
      <w:r w:rsidRPr="00E06806">
        <w:rPr>
          <w:rFonts w:cstheme="minorHAnsi"/>
          <w:color w:val="231F20"/>
          <w:w w:val="105"/>
        </w:rPr>
        <w:t>support.</w:t>
      </w:r>
      <w:r w:rsidRPr="00E06806">
        <w:rPr>
          <w:rFonts w:cstheme="minorHAnsi"/>
          <w:color w:val="231F20"/>
          <w:spacing w:val="-44"/>
          <w:w w:val="105"/>
        </w:rPr>
        <w:t xml:space="preserve"> </w:t>
      </w:r>
      <w:r w:rsidRPr="00E06806">
        <w:rPr>
          <w:rFonts w:cstheme="minorHAnsi"/>
          <w:color w:val="231F20"/>
          <w:w w:val="105"/>
        </w:rPr>
        <w:t xml:space="preserve">This </w:t>
      </w:r>
      <w:r w:rsidR="003A28C0" w:rsidRPr="00E06806">
        <w:rPr>
          <w:rFonts w:cstheme="minorHAnsi"/>
          <w:color w:val="231F20"/>
          <w:w w:val="105"/>
        </w:rPr>
        <w:t xml:space="preserve">requires </w:t>
      </w:r>
      <w:r w:rsidRPr="00E06806">
        <w:rPr>
          <w:rFonts w:cstheme="minorHAnsi"/>
          <w:color w:val="231F20"/>
          <w:w w:val="105"/>
        </w:rPr>
        <w:t xml:space="preserve">collaboration with social </w:t>
      </w:r>
      <w:r w:rsidR="003A28C0" w:rsidRPr="00E06806">
        <w:rPr>
          <w:rFonts w:cstheme="minorHAnsi"/>
          <w:color w:val="231F20"/>
          <w:w w:val="105"/>
        </w:rPr>
        <w:t xml:space="preserve">services </w:t>
      </w:r>
      <w:r w:rsidRPr="00E06806">
        <w:rPr>
          <w:rFonts w:cstheme="minorHAnsi"/>
          <w:color w:val="231F20"/>
          <w:w w:val="105"/>
        </w:rPr>
        <w:t>agencies.</w:t>
      </w:r>
    </w:p>
    <w:p w14:paraId="207CC7C7" w14:textId="415A54AA" w:rsidR="00EA7458" w:rsidRPr="00E06806" w:rsidRDefault="003A28C0" w:rsidP="00D63204">
      <w:pPr>
        <w:widowControl w:val="0"/>
        <w:spacing w:before="195" w:after="0" w:line="240" w:lineRule="auto"/>
        <w:ind w:left="107"/>
        <w:rPr>
          <w:rFonts w:cstheme="minorHAnsi"/>
        </w:rPr>
      </w:pPr>
      <w:r w:rsidRPr="00E06806">
        <w:rPr>
          <w:rFonts w:cstheme="minorHAnsi"/>
          <w:color w:val="231F20"/>
          <w:w w:val="105"/>
        </w:rPr>
        <w:t>C</w:t>
      </w:r>
      <w:r w:rsidR="00EA7458" w:rsidRPr="00E06806">
        <w:rPr>
          <w:rFonts w:cstheme="minorHAnsi"/>
          <w:color w:val="231F20"/>
          <w:w w:val="105"/>
        </w:rPr>
        <w:t>ore</w:t>
      </w:r>
      <w:r w:rsidR="00EA7458" w:rsidRPr="00E06806">
        <w:rPr>
          <w:rFonts w:cstheme="minorHAnsi"/>
          <w:color w:val="231F20"/>
          <w:spacing w:val="7"/>
          <w:w w:val="105"/>
        </w:rPr>
        <w:t xml:space="preserve"> </w:t>
      </w:r>
      <w:r w:rsidR="00EA7458" w:rsidRPr="00E06806">
        <w:rPr>
          <w:rFonts w:cstheme="minorHAnsi"/>
          <w:color w:val="231F20"/>
          <w:w w:val="105"/>
        </w:rPr>
        <w:t>programs</w:t>
      </w:r>
      <w:r w:rsidR="00EA7458" w:rsidRPr="00E06806">
        <w:rPr>
          <w:rFonts w:cstheme="minorHAnsi"/>
          <w:color w:val="231F20"/>
          <w:spacing w:val="7"/>
          <w:w w:val="105"/>
        </w:rPr>
        <w:t xml:space="preserve"> </w:t>
      </w:r>
      <w:r w:rsidR="00EA7458" w:rsidRPr="00E06806">
        <w:rPr>
          <w:rFonts w:cstheme="minorHAnsi"/>
          <w:color w:val="231F20"/>
          <w:w w:val="105"/>
        </w:rPr>
        <w:t>work</w:t>
      </w:r>
      <w:r w:rsidR="00EA7458" w:rsidRPr="00E06806">
        <w:rPr>
          <w:rFonts w:cstheme="minorHAnsi"/>
          <w:color w:val="231F20"/>
          <w:spacing w:val="7"/>
          <w:w w:val="105"/>
        </w:rPr>
        <w:t xml:space="preserve"> </w:t>
      </w:r>
      <w:r w:rsidR="00EA7458" w:rsidRPr="00E06806">
        <w:rPr>
          <w:rFonts w:cstheme="minorHAnsi"/>
          <w:color w:val="231F20"/>
          <w:w w:val="105"/>
        </w:rPr>
        <w:t>through</w:t>
      </w:r>
      <w:r w:rsidR="00EA7458" w:rsidRPr="00E06806">
        <w:rPr>
          <w:rFonts w:cstheme="minorHAnsi"/>
          <w:color w:val="231F20"/>
          <w:spacing w:val="7"/>
          <w:w w:val="105"/>
        </w:rPr>
        <w:t xml:space="preserve"> </w:t>
      </w:r>
      <w:r w:rsidR="00EA7458" w:rsidRPr="00E06806">
        <w:rPr>
          <w:rFonts w:cstheme="minorHAnsi"/>
          <w:color w:val="231F20"/>
          <w:w w:val="105"/>
        </w:rPr>
        <w:t>Florida’s</w:t>
      </w:r>
      <w:r w:rsidR="00EA7458" w:rsidRPr="00E06806">
        <w:rPr>
          <w:rFonts w:cstheme="minorHAnsi"/>
          <w:color w:val="231F20"/>
          <w:spacing w:val="7"/>
          <w:w w:val="105"/>
        </w:rPr>
        <w:t xml:space="preserve"> </w:t>
      </w:r>
      <w:r w:rsidR="00EA7458" w:rsidRPr="00E06806">
        <w:rPr>
          <w:rFonts w:cstheme="minorHAnsi"/>
          <w:color w:val="231F20"/>
          <w:w w:val="105"/>
        </w:rPr>
        <w:t>Employment</w:t>
      </w:r>
      <w:r w:rsidR="00EA7458" w:rsidRPr="00E06806">
        <w:rPr>
          <w:rFonts w:cstheme="minorHAnsi"/>
          <w:color w:val="231F20"/>
          <w:spacing w:val="7"/>
          <w:w w:val="105"/>
        </w:rPr>
        <w:t xml:space="preserve"> </w:t>
      </w:r>
      <w:r w:rsidR="00EA7458" w:rsidRPr="00E06806">
        <w:rPr>
          <w:rFonts w:cstheme="minorHAnsi"/>
          <w:color w:val="231F20"/>
          <w:w w:val="105"/>
        </w:rPr>
        <w:t>First</w:t>
      </w:r>
      <w:r w:rsidR="00EA7458" w:rsidRPr="00E06806">
        <w:rPr>
          <w:rFonts w:cstheme="minorHAnsi"/>
          <w:color w:val="231F20"/>
          <w:spacing w:val="7"/>
          <w:w w:val="105"/>
        </w:rPr>
        <w:t xml:space="preserve"> </w:t>
      </w:r>
      <w:r w:rsidR="00EA7458" w:rsidRPr="00E06806">
        <w:rPr>
          <w:rFonts w:cstheme="minorHAnsi"/>
          <w:color w:val="231F20"/>
          <w:w w:val="105"/>
        </w:rPr>
        <w:t>initiative</w:t>
      </w:r>
      <w:r w:rsidR="00EA7458" w:rsidRPr="00E06806">
        <w:rPr>
          <w:rFonts w:cstheme="minorHAnsi"/>
          <w:color w:val="231F20"/>
          <w:spacing w:val="7"/>
          <w:w w:val="105"/>
        </w:rPr>
        <w:t xml:space="preserve"> </w:t>
      </w:r>
      <w:r w:rsidR="00EA7458" w:rsidRPr="00E06806">
        <w:rPr>
          <w:rFonts w:cstheme="minorHAnsi"/>
          <w:color w:val="231F20"/>
          <w:w w:val="105"/>
        </w:rPr>
        <w:t>and</w:t>
      </w:r>
      <w:r w:rsidR="00EA7458" w:rsidRPr="00E06806">
        <w:rPr>
          <w:rFonts w:cstheme="minorHAnsi"/>
          <w:color w:val="231F20"/>
          <w:spacing w:val="7"/>
          <w:w w:val="105"/>
        </w:rPr>
        <w:t xml:space="preserve"> </w:t>
      </w:r>
      <w:r w:rsidR="00EA7458" w:rsidRPr="00E06806">
        <w:rPr>
          <w:rFonts w:cstheme="minorHAnsi"/>
          <w:color w:val="231F20"/>
          <w:w w:val="105"/>
        </w:rPr>
        <w:t>the</w:t>
      </w:r>
      <w:r w:rsidR="00EA7458" w:rsidRPr="00E06806">
        <w:rPr>
          <w:rFonts w:cstheme="minorHAnsi"/>
          <w:color w:val="231F20"/>
          <w:spacing w:val="7"/>
          <w:w w:val="105"/>
        </w:rPr>
        <w:t xml:space="preserve"> </w:t>
      </w:r>
      <w:r w:rsidR="00EA7458" w:rsidRPr="00E06806">
        <w:rPr>
          <w:rFonts w:cstheme="minorHAnsi"/>
          <w:color w:val="231F20"/>
          <w:w w:val="105"/>
        </w:rPr>
        <w:t>Higher</w:t>
      </w:r>
      <w:r w:rsidR="00EA7458" w:rsidRPr="00E06806">
        <w:rPr>
          <w:rFonts w:cstheme="minorHAnsi"/>
          <w:color w:val="231F20"/>
          <w:spacing w:val="-37"/>
          <w:w w:val="105"/>
        </w:rPr>
        <w:t xml:space="preserve"> </w:t>
      </w:r>
      <w:r w:rsidR="00EA7458" w:rsidRPr="00E06806">
        <w:rPr>
          <w:rFonts w:cstheme="minorHAnsi"/>
          <w:color w:val="231F20"/>
          <w:w w:val="105"/>
        </w:rPr>
        <w:t>Education</w:t>
      </w:r>
      <w:r w:rsidR="00EA7458" w:rsidRPr="00E06806">
        <w:rPr>
          <w:rFonts w:cstheme="minorHAnsi"/>
          <w:color w:val="231F20"/>
          <w:spacing w:val="22"/>
          <w:w w:val="105"/>
        </w:rPr>
        <w:t xml:space="preserve"> </w:t>
      </w:r>
      <w:r w:rsidR="00EA7458" w:rsidRPr="00E06806">
        <w:rPr>
          <w:rFonts w:cstheme="minorHAnsi"/>
          <w:color w:val="231F20"/>
          <w:w w:val="105"/>
        </w:rPr>
        <w:t>Coordinating</w:t>
      </w:r>
      <w:r w:rsidR="00EA7458" w:rsidRPr="00E06806">
        <w:rPr>
          <w:rFonts w:cstheme="minorHAnsi"/>
          <w:color w:val="231F20"/>
          <w:spacing w:val="22"/>
          <w:w w:val="105"/>
        </w:rPr>
        <w:t xml:space="preserve"> </w:t>
      </w:r>
      <w:r w:rsidR="00EA7458" w:rsidRPr="00E06806">
        <w:rPr>
          <w:rFonts w:cstheme="minorHAnsi"/>
          <w:color w:val="231F20"/>
          <w:w w:val="105"/>
        </w:rPr>
        <w:t>Council</w:t>
      </w:r>
      <w:r w:rsidR="00EA7458" w:rsidRPr="00E06806">
        <w:rPr>
          <w:rFonts w:cstheme="minorHAnsi"/>
          <w:color w:val="231F20"/>
          <w:spacing w:val="22"/>
          <w:w w:val="105"/>
        </w:rPr>
        <w:t xml:space="preserve"> </w:t>
      </w:r>
      <w:r w:rsidR="00EA7458" w:rsidRPr="00E06806">
        <w:rPr>
          <w:rFonts w:cstheme="minorHAnsi"/>
          <w:color w:val="231F20"/>
          <w:w w:val="105"/>
        </w:rPr>
        <w:t>to</w:t>
      </w:r>
      <w:r w:rsidR="00EA7458" w:rsidRPr="00E06806">
        <w:rPr>
          <w:rFonts w:cstheme="minorHAnsi"/>
          <w:color w:val="231F20"/>
          <w:spacing w:val="22"/>
          <w:w w:val="105"/>
        </w:rPr>
        <w:t xml:space="preserve"> </w:t>
      </w:r>
      <w:r w:rsidR="00EA7458" w:rsidRPr="00E06806">
        <w:rPr>
          <w:rFonts w:cstheme="minorHAnsi"/>
          <w:color w:val="231F20"/>
          <w:w w:val="105"/>
        </w:rPr>
        <w:t>expand</w:t>
      </w:r>
      <w:r w:rsidR="00EA7458" w:rsidRPr="00E06806">
        <w:rPr>
          <w:rFonts w:cstheme="minorHAnsi"/>
          <w:color w:val="231F20"/>
          <w:spacing w:val="22"/>
          <w:w w:val="105"/>
        </w:rPr>
        <w:t xml:space="preserve"> </w:t>
      </w:r>
      <w:r w:rsidR="00EA7458" w:rsidRPr="00E06806">
        <w:rPr>
          <w:rFonts w:cstheme="minorHAnsi"/>
          <w:color w:val="231F20"/>
          <w:w w:val="105"/>
        </w:rPr>
        <w:t>and</w:t>
      </w:r>
      <w:r w:rsidR="00EA7458" w:rsidRPr="00E06806">
        <w:rPr>
          <w:rFonts w:cstheme="minorHAnsi"/>
          <w:color w:val="231F20"/>
          <w:spacing w:val="22"/>
          <w:w w:val="105"/>
        </w:rPr>
        <w:t xml:space="preserve"> </w:t>
      </w:r>
      <w:r w:rsidR="00EA7458" w:rsidRPr="00E06806">
        <w:rPr>
          <w:rFonts w:cstheme="minorHAnsi"/>
          <w:color w:val="231F20"/>
          <w:w w:val="105"/>
        </w:rPr>
        <w:t>develop</w:t>
      </w:r>
      <w:r w:rsidR="00EA7458" w:rsidRPr="00E06806">
        <w:rPr>
          <w:rFonts w:cstheme="minorHAnsi"/>
          <w:color w:val="231F20"/>
          <w:spacing w:val="22"/>
          <w:w w:val="105"/>
        </w:rPr>
        <w:t xml:space="preserve"> </w:t>
      </w:r>
      <w:r w:rsidRPr="00E06806">
        <w:rPr>
          <w:rFonts w:cstheme="minorHAnsi"/>
          <w:color w:val="231F20"/>
          <w:w w:val="105"/>
        </w:rPr>
        <w:t xml:space="preserve">innovative </w:t>
      </w:r>
      <w:r w:rsidR="00EA7458" w:rsidRPr="00E06806">
        <w:rPr>
          <w:rFonts w:cstheme="minorHAnsi"/>
          <w:color w:val="231F20"/>
          <w:w w:val="105"/>
        </w:rPr>
        <w:t>ways</w:t>
      </w:r>
      <w:r w:rsidR="00EA7458" w:rsidRPr="00E06806">
        <w:rPr>
          <w:rFonts w:cstheme="minorHAnsi"/>
          <w:color w:val="231F20"/>
          <w:spacing w:val="22"/>
          <w:w w:val="105"/>
        </w:rPr>
        <w:t xml:space="preserve"> </w:t>
      </w:r>
      <w:r w:rsidR="00EA7458" w:rsidRPr="00E06806">
        <w:rPr>
          <w:rFonts w:cstheme="minorHAnsi"/>
          <w:color w:val="231F20"/>
          <w:w w:val="105"/>
        </w:rPr>
        <w:t>to</w:t>
      </w:r>
      <w:r w:rsidR="00EA7458" w:rsidRPr="00E06806">
        <w:rPr>
          <w:rFonts w:cstheme="minorHAnsi"/>
          <w:color w:val="231F20"/>
          <w:spacing w:val="22"/>
          <w:w w:val="105"/>
        </w:rPr>
        <w:t xml:space="preserve"> </w:t>
      </w:r>
      <w:r w:rsidR="00EA7458" w:rsidRPr="00E06806">
        <w:rPr>
          <w:rFonts w:cstheme="minorHAnsi"/>
          <w:color w:val="231F20"/>
          <w:w w:val="105"/>
        </w:rPr>
        <w:t>ensure</w:t>
      </w:r>
      <w:r w:rsidR="00EA7458" w:rsidRPr="00E06806">
        <w:rPr>
          <w:rFonts w:cstheme="minorHAnsi"/>
          <w:color w:val="231F20"/>
          <w:spacing w:val="22"/>
          <w:w w:val="105"/>
        </w:rPr>
        <w:t xml:space="preserve"> </w:t>
      </w:r>
      <w:r w:rsidR="00EA7458" w:rsidRPr="00E06806">
        <w:rPr>
          <w:rFonts w:cstheme="minorHAnsi"/>
          <w:color w:val="231F20"/>
          <w:w w:val="105"/>
        </w:rPr>
        <w:t>seamless</w:t>
      </w:r>
      <w:r w:rsidR="00EA7458" w:rsidRPr="00E06806">
        <w:rPr>
          <w:rFonts w:cstheme="minorHAnsi"/>
          <w:color w:val="231F20"/>
          <w:spacing w:val="22"/>
          <w:w w:val="105"/>
        </w:rPr>
        <w:t xml:space="preserve"> </w:t>
      </w:r>
      <w:r w:rsidR="00EA7458" w:rsidRPr="00E06806">
        <w:rPr>
          <w:rFonts w:cstheme="minorHAnsi"/>
          <w:color w:val="231F20"/>
          <w:w w:val="105"/>
        </w:rPr>
        <w:t>articulation</w:t>
      </w:r>
      <w:r w:rsidR="00EA7458" w:rsidRPr="00E06806">
        <w:rPr>
          <w:rFonts w:cstheme="minorHAnsi"/>
          <w:color w:val="231F20"/>
          <w:spacing w:val="22"/>
          <w:w w:val="105"/>
        </w:rPr>
        <w:t xml:space="preserve"> </w:t>
      </w:r>
      <w:r w:rsidR="00EA7458" w:rsidRPr="00E06806">
        <w:rPr>
          <w:rFonts w:cstheme="minorHAnsi"/>
          <w:color w:val="231F20"/>
          <w:w w:val="105"/>
        </w:rPr>
        <w:t>and</w:t>
      </w:r>
      <w:r w:rsidR="00EA7458" w:rsidRPr="00E06806">
        <w:rPr>
          <w:rFonts w:cstheme="minorHAnsi"/>
          <w:color w:val="231F20"/>
          <w:w w:val="108"/>
        </w:rPr>
        <w:t xml:space="preserve"> </w:t>
      </w:r>
      <w:r w:rsidR="00EA7458" w:rsidRPr="00E06806">
        <w:rPr>
          <w:rFonts w:cstheme="minorHAnsi"/>
          <w:color w:val="231F20"/>
          <w:w w:val="105"/>
        </w:rPr>
        <w:t>accessibility to programs leading to credentials and apprenticeship opportunities.</w:t>
      </w:r>
    </w:p>
    <w:p w14:paraId="137923EB" w14:textId="5C6D6420" w:rsidR="00F86440" w:rsidRPr="00E06806" w:rsidRDefault="00EA7458" w:rsidP="00957209">
      <w:pPr>
        <w:widowControl w:val="0"/>
        <w:numPr>
          <w:ilvl w:val="0"/>
          <w:numId w:val="170"/>
        </w:numPr>
        <w:tabs>
          <w:tab w:val="left" w:pos="2268"/>
        </w:tabs>
        <w:spacing w:before="193" w:after="0" w:line="240" w:lineRule="auto"/>
        <w:ind w:left="2610"/>
        <w:rPr>
          <w:rFonts w:cstheme="minorHAnsi"/>
        </w:rPr>
      </w:pPr>
      <w:r w:rsidRPr="00E06806">
        <w:rPr>
          <w:rFonts w:cstheme="minorHAnsi"/>
          <w:color w:val="295CA3"/>
          <w:w w:val="105"/>
        </w:rPr>
        <w:t>Coordinating with Economic Development</w:t>
      </w:r>
      <w:r w:rsidRPr="00E06806">
        <w:rPr>
          <w:rFonts w:cstheme="minorHAnsi"/>
          <w:color w:val="295CA3"/>
          <w:spacing w:val="25"/>
          <w:w w:val="105"/>
        </w:rPr>
        <w:t xml:space="preserve"> </w:t>
      </w:r>
      <w:r w:rsidRPr="00E06806">
        <w:rPr>
          <w:rFonts w:cstheme="minorHAnsi"/>
          <w:color w:val="295CA3"/>
          <w:w w:val="105"/>
        </w:rPr>
        <w:t>Strategies</w:t>
      </w:r>
    </w:p>
    <w:p w14:paraId="6F335E7F" w14:textId="531359BE" w:rsidR="00215DC9" w:rsidRPr="00E06806" w:rsidRDefault="000237BA" w:rsidP="00D63204">
      <w:pPr>
        <w:pStyle w:val="NormalWeb"/>
        <w:spacing w:before="0" w:beforeAutospacing="0"/>
        <w:ind w:left="107"/>
        <w:rPr>
          <w:rFonts w:asciiTheme="minorHAnsi" w:hAnsiTheme="minorHAnsi" w:cstheme="minorHAnsi"/>
          <w:color w:val="000000"/>
          <w:sz w:val="22"/>
          <w:szCs w:val="22"/>
        </w:rPr>
      </w:pPr>
      <w:r>
        <w:rPr>
          <w:rFonts w:asciiTheme="minorHAnsi" w:hAnsiTheme="minorHAnsi" w:cstheme="minorHAnsi"/>
          <w:color w:val="000000"/>
          <w:sz w:val="22"/>
          <w:szCs w:val="22"/>
        </w:rPr>
        <w:br/>
      </w:r>
      <w:r w:rsidR="00F86440" w:rsidRPr="00E06806">
        <w:rPr>
          <w:rFonts w:asciiTheme="minorHAnsi" w:hAnsiTheme="minorHAnsi" w:cstheme="minorHAnsi"/>
          <w:color w:val="000000"/>
          <w:sz w:val="22"/>
          <w:szCs w:val="22"/>
        </w:rPr>
        <w:t xml:space="preserve">Florida’s WIOA partners worked with economic development stakeholders to develop a common strategic vision for Florida’s workforce and economic development systems. Talent Supply and Education is one of the Six Pillars of Florida’s future economy, as defined by the Florida Chamber Foundation following years of collaboration and research with business and education stakeholders including: </w:t>
      </w:r>
      <w:r w:rsidR="005E2625" w:rsidRPr="00E06806">
        <w:rPr>
          <w:rFonts w:asciiTheme="minorHAnsi" w:hAnsiTheme="minorHAnsi" w:cstheme="minorHAnsi"/>
          <w:color w:val="000000"/>
          <w:sz w:val="22"/>
          <w:szCs w:val="22"/>
        </w:rPr>
        <w:t>The</w:t>
      </w:r>
      <w:r w:rsidR="00F86440" w:rsidRPr="00E06806">
        <w:rPr>
          <w:rFonts w:asciiTheme="minorHAnsi" w:hAnsiTheme="minorHAnsi" w:cstheme="minorHAnsi"/>
          <w:color w:val="000000"/>
          <w:sz w:val="22"/>
          <w:szCs w:val="22"/>
        </w:rPr>
        <w:t xml:space="preserve"> Century Commission for a Sustainable Future; Florida Council of 100; Enterprise Florida, the state’s principle economic development organization; the Florida State University System; and CareerSource Florida’s predecessor, Workforce Florida. Workforce development activities carried out by WIOA core programs directly support achievement of strategies under this pillar. Leaders from CareerSource Florida, Enterprise Florida and DEO work closely to maintain a unified approach to job creation and retention. Leveraging resources of Florida’s workforce and economic development systems and fostering collaboration improves overall alignment with industry and education. </w:t>
      </w:r>
    </w:p>
    <w:p w14:paraId="6035AFFF" w14:textId="451EE0CF" w:rsidR="000237BA" w:rsidRDefault="00F86440" w:rsidP="00D63204">
      <w:pPr>
        <w:pStyle w:val="NormalWeb"/>
        <w:ind w:left="107"/>
        <w:rPr>
          <w:rFonts w:asciiTheme="minorHAnsi" w:hAnsiTheme="minorHAnsi" w:cstheme="minorHAnsi"/>
          <w:color w:val="000000"/>
          <w:sz w:val="22"/>
          <w:szCs w:val="22"/>
        </w:rPr>
      </w:pPr>
      <w:r w:rsidRPr="00E06806">
        <w:rPr>
          <w:rFonts w:asciiTheme="minorHAnsi" w:hAnsiTheme="minorHAnsi" w:cstheme="minorHAnsi"/>
          <w:color w:val="000000"/>
          <w:sz w:val="22"/>
          <w:szCs w:val="22"/>
        </w:rPr>
        <w:t xml:space="preserve">CareerSource Florida and many of its local workforce partners are actively engaged in the work of the Florida Economic Development Council, the professional association of economic, workforce and community developers. </w:t>
      </w:r>
      <w:r w:rsidRPr="00E06806">
        <w:rPr>
          <w:rFonts w:asciiTheme="minorHAnsi" w:hAnsiTheme="minorHAnsi" w:cstheme="minorHAnsi"/>
          <w:color w:val="000000"/>
          <w:sz w:val="22"/>
          <w:szCs w:val="22"/>
        </w:rPr>
        <w:lastRenderedPageBreak/>
        <w:t xml:space="preserve">The council’s membership has cited the training programs and other business and talent recruitment services of the CareerSource Florida network as leading contributors to their efforts to retain and expand jobs in their communities. </w:t>
      </w:r>
    </w:p>
    <w:p w14:paraId="75F90178" w14:textId="3B4CA3D7" w:rsidR="004272D5" w:rsidRPr="00E06806" w:rsidRDefault="004272D5" w:rsidP="00D63204">
      <w:pPr>
        <w:pStyle w:val="NormalWeb"/>
        <w:ind w:left="107"/>
        <w:rPr>
          <w:rFonts w:asciiTheme="minorHAnsi" w:hAnsiTheme="minorHAnsi" w:cstheme="minorHAnsi"/>
          <w:color w:val="000000"/>
          <w:sz w:val="22"/>
          <w:szCs w:val="22"/>
        </w:rPr>
      </w:pPr>
      <w:r w:rsidRPr="004272D5">
        <w:rPr>
          <w:rFonts w:asciiTheme="minorHAnsi" w:hAnsiTheme="minorHAnsi" w:cstheme="minorHAnsi"/>
          <w:color w:val="000000"/>
          <w:sz w:val="22"/>
          <w:szCs w:val="22"/>
        </w:rPr>
        <w:t xml:space="preserve">State and local labor market information informs strategic policy development and decisions made by WIOA core programs and local workforce boards. Through the work of the Florida WIOA Task Force and resulting recommendations, the vice chairman of Enterprise Florida has become a member of the CareerSource Florida Board. The chairman of the CareerSource Florida </w:t>
      </w:r>
      <w:r w:rsidR="00C50282">
        <w:rPr>
          <w:rFonts w:asciiTheme="minorHAnsi" w:hAnsiTheme="minorHAnsi" w:cstheme="minorHAnsi"/>
          <w:color w:val="000000"/>
          <w:sz w:val="22"/>
          <w:szCs w:val="22"/>
        </w:rPr>
        <w:t>B</w:t>
      </w:r>
      <w:r w:rsidRPr="004272D5">
        <w:rPr>
          <w:rFonts w:asciiTheme="minorHAnsi" w:hAnsiTheme="minorHAnsi" w:cstheme="minorHAnsi"/>
          <w:color w:val="000000"/>
          <w:sz w:val="22"/>
          <w:szCs w:val="22"/>
        </w:rPr>
        <w:t xml:space="preserve">oard of </w:t>
      </w:r>
      <w:r w:rsidR="00C50282">
        <w:rPr>
          <w:rFonts w:asciiTheme="minorHAnsi" w:hAnsiTheme="minorHAnsi" w:cstheme="minorHAnsi"/>
          <w:color w:val="000000"/>
          <w:sz w:val="22"/>
          <w:szCs w:val="22"/>
        </w:rPr>
        <w:t>D</w:t>
      </w:r>
      <w:r w:rsidRPr="004272D5">
        <w:rPr>
          <w:rFonts w:asciiTheme="minorHAnsi" w:hAnsiTheme="minorHAnsi" w:cstheme="minorHAnsi"/>
          <w:color w:val="000000"/>
          <w:sz w:val="22"/>
          <w:szCs w:val="22"/>
        </w:rPr>
        <w:t>irectors has historically served on the Enterprise Florida Board. Locally, all LWDBs coordinate with economic development partners, playing a role in retention, recruitment</w:t>
      </w:r>
      <w:r w:rsidR="00D5537E">
        <w:rPr>
          <w:rFonts w:asciiTheme="minorHAnsi" w:hAnsiTheme="minorHAnsi" w:cstheme="minorHAnsi"/>
          <w:color w:val="000000"/>
          <w:sz w:val="22"/>
          <w:szCs w:val="22"/>
        </w:rPr>
        <w:t xml:space="preserve"> and</w:t>
      </w:r>
      <w:r w:rsidRPr="004272D5">
        <w:rPr>
          <w:rFonts w:asciiTheme="minorHAnsi" w:hAnsiTheme="minorHAnsi" w:cstheme="minorHAnsi"/>
          <w:color w:val="000000"/>
          <w:sz w:val="22"/>
          <w:szCs w:val="22"/>
        </w:rPr>
        <w:t xml:space="preserve"> organic growth.</w:t>
      </w:r>
    </w:p>
    <w:p w14:paraId="4B56F877" w14:textId="5040AC93" w:rsidR="00F86440" w:rsidRPr="00E06806" w:rsidRDefault="00F86440" w:rsidP="00D63204">
      <w:pPr>
        <w:pStyle w:val="NormalWeb"/>
        <w:ind w:left="107"/>
        <w:rPr>
          <w:rFonts w:asciiTheme="minorHAnsi" w:hAnsiTheme="minorHAnsi" w:cstheme="minorHAnsi"/>
          <w:color w:val="000000"/>
          <w:sz w:val="22"/>
          <w:szCs w:val="22"/>
        </w:rPr>
      </w:pPr>
      <w:r w:rsidRPr="00E06806">
        <w:rPr>
          <w:rFonts w:asciiTheme="minorHAnsi" w:hAnsiTheme="minorHAnsi" w:cstheme="minorHAnsi"/>
          <w:color w:val="000000"/>
          <w:sz w:val="22"/>
          <w:szCs w:val="22"/>
        </w:rPr>
        <w:t xml:space="preserve">One of the newest initiatives underway to reinforce opportunities to increasingly align Florida’s Talent Supply and Education Ecosystem is the Florida 2030 Initiative. </w:t>
      </w:r>
      <w:r w:rsidRPr="00E06806">
        <w:rPr>
          <w:rFonts w:asciiTheme="minorHAnsi" w:hAnsiTheme="minorHAnsi" w:cstheme="minorHAnsi"/>
          <w:sz w:val="22"/>
          <w:szCs w:val="22"/>
        </w:rPr>
        <w:t xml:space="preserve">By 2030, </w:t>
      </w:r>
      <w:r w:rsidR="00622113">
        <w:rPr>
          <w:rFonts w:asciiTheme="minorHAnsi" w:hAnsiTheme="minorHAnsi" w:cstheme="minorHAnsi"/>
          <w:sz w:val="22"/>
          <w:szCs w:val="22"/>
        </w:rPr>
        <w:t>six</w:t>
      </w:r>
      <w:r w:rsidRPr="00E06806">
        <w:rPr>
          <w:rFonts w:asciiTheme="minorHAnsi" w:hAnsiTheme="minorHAnsi" w:cstheme="minorHAnsi"/>
          <w:sz w:val="22"/>
          <w:szCs w:val="22"/>
        </w:rPr>
        <w:t xml:space="preserve"> million more residents will call Florida home and </w:t>
      </w:r>
      <w:r w:rsidR="004A507C">
        <w:rPr>
          <w:rFonts w:asciiTheme="minorHAnsi" w:hAnsiTheme="minorHAnsi" w:cstheme="minorHAnsi"/>
          <w:sz w:val="22"/>
          <w:szCs w:val="22"/>
        </w:rPr>
        <w:t>two</w:t>
      </w:r>
      <w:r w:rsidRPr="00E06806">
        <w:rPr>
          <w:rFonts w:asciiTheme="minorHAnsi" w:hAnsiTheme="minorHAnsi" w:cstheme="minorHAnsi"/>
          <w:sz w:val="22"/>
          <w:szCs w:val="22"/>
        </w:rPr>
        <w:t xml:space="preserve"> million net new jobs will need to be created. To prepare for this continued growth and ensure Florida remains successful, the Florida Chamber Foundation is leading the research and writing of a report for Florida’s future </w:t>
      </w:r>
      <w:r w:rsidR="005E226D">
        <w:rPr>
          <w:rFonts w:asciiTheme="minorHAnsi" w:hAnsiTheme="minorHAnsi" w:cstheme="minorHAnsi"/>
          <w:sz w:val="22"/>
          <w:szCs w:val="22"/>
        </w:rPr>
        <w:t xml:space="preserve">to </w:t>
      </w:r>
      <w:r w:rsidR="00D3332B">
        <w:rPr>
          <w:rFonts w:asciiTheme="minorHAnsi" w:hAnsiTheme="minorHAnsi" w:cstheme="minorHAnsi"/>
          <w:sz w:val="22"/>
          <w:szCs w:val="22"/>
        </w:rPr>
        <w:t>promote</w:t>
      </w:r>
      <w:r w:rsidR="005E226D">
        <w:rPr>
          <w:rFonts w:asciiTheme="minorHAnsi" w:hAnsiTheme="minorHAnsi" w:cstheme="minorHAnsi"/>
          <w:sz w:val="22"/>
          <w:szCs w:val="22"/>
        </w:rPr>
        <w:t xml:space="preserve"> dialogue and action on collaborative efforts to </w:t>
      </w:r>
      <w:r w:rsidRPr="00E06806">
        <w:rPr>
          <w:rFonts w:asciiTheme="minorHAnsi" w:hAnsiTheme="minorHAnsi" w:cstheme="minorHAnsi"/>
          <w:sz w:val="22"/>
          <w:szCs w:val="22"/>
        </w:rPr>
        <w:t>develop high-wage jobs, diversif</w:t>
      </w:r>
      <w:r w:rsidR="005E226D">
        <w:rPr>
          <w:rFonts w:asciiTheme="minorHAnsi" w:hAnsiTheme="minorHAnsi" w:cstheme="minorHAnsi"/>
          <w:sz w:val="22"/>
          <w:szCs w:val="22"/>
        </w:rPr>
        <w:t>y</w:t>
      </w:r>
      <w:r w:rsidRPr="00E06806">
        <w:rPr>
          <w:rFonts w:asciiTheme="minorHAnsi" w:hAnsiTheme="minorHAnsi" w:cstheme="minorHAnsi"/>
          <w:sz w:val="22"/>
          <w:szCs w:val="22"/>
        </w:rPr>
        <w:t xml:space="preserve"> the economy, ensure global competitiveness and create vibrant and sustainable communities. This report will represent the result of research to stimulate strategic thinking about Florida’s future and engage business and community leaders in each of Florida’s 67 counties in identifying key trends and the factors</w:t>
      </w:r>
      <w:r w:rsidRPr="00E06806">
        <w:rPr>
          <w:rFonts w:asciiTheme="minorHAnsi" w:hAnsiTheme="minorHAnsi" w:cstheme="minorHAnsi"/>
          <w:color w:val="231F20"/>
          <w:sz w:val="22"/>
          <w:szCs w:val="22"/>
        </w:rPr>
        <w:t xml:space="preserve"> </w:t>
      </w:r>
      <w:r w:rsidRPr="00E06806">
        <w:rPr>
          <w:rStyle w:val="fontstyle01"/>
          <w:rFonts w:asciiTheme="minorHAnsi" w:hAnsiTheme="minorHAnsi" w:cstheme="minorHAnsi"/>
        </w:rPr>
        <w:t>that can drive their regional economy.</w:t>
      </w:r>
    </w:p>
    <w:p w14:paraId="6286C57F" w14:textId="416ED593" w:rsidR="00F86440" w:rsidRPr="00E06806" w:rsidRDefault="00F86440" w:rsidP="00D63204">
      <w:pPr>
        <w:spacing w:line="240" w:lineRule="auto"/>
        <w:ind w:left="107"/>
        <w:rPr>
          <w:rFonts w:cstheme="minorHAnsi"/>
        </w:rPr>
      </w:pPr>
      <w:r w:rsidRPr="00E06806">
        <w:rPr>
          <w:rFonts w:cstheme="minorHAnsi"/>
        </w:rPr>
        <w:t xml:space="preserve">CareerSource Florida’s President/CEO serves as a member of the Foundation Board of Trustees and as a member of the Florida 2030 Executive Steering Committee. The CareerSource Florida network will be an instrumental partner in supporting implementation of the Talent Supply and Education Pillar recommendations statewide and regionally through strategies such as strengthening sector partnerships and increasing apprenticeships. The Florida 2030 report will be completed in 2018. </w:t>
      </w:r>
    </w:p>
    <w:p w14:paraId="3CC2BA39" w14:textId="4CA34FE6" w:rsidR="000237BA" w:rsidRDefault="00F86440" w:rsidP="00D63204">
      <w:pPr>
        <w:spacing w:line="240" w:lineRule="auto"/>
        <w:ind w:left="107"/>
        <w:rPr>
          <w:rFonts w:cstheme="minorHAnsi"/>
        </w:rPr>
      </w:pPr>
      <w:r w:rsidRPr="00E06806">
        <w:rPr>
          <w:rFonts w:cstheme="minorHAnsi"/>
        </w:rPr>
        <w:t xml:space="preserve">CareerSource Florida is a leader in another Florida Chamber Foundation priority. In Fall 2017, the Chamber Foundation launched a two-year Prosperity Initiative that is elevating dialogue, planning and action among Florida’s business community and leading entities in education, workforce development and philanthropy as well as economic and community development to combat poverty in Florida through better aligned goals. Currently, Florida has more than 3.1 million people living in poverty. The significant number of Floridians living in poverty in the state not only affects families and communities but businesses, the state’s economy and competitiveness. </w:t>
      </w:r>
    </w:p>
    <w:p w14:paraId="442A1EAB" w14:textId="0CD6FDAB" w:rsidR="00FB4D62" w:rsidRDefault="00F86440" w:rsidP="00D63204">
      <w:pPr>
        <w:spacing w:line="240" w:lineRule="auto"/>
        <w:ind w:left="107"/>
        <w:rPr>
          <w:rFonts w:cstheme="minorHAnsi"/>
        </w:rPr>
      </w:pPr>
      <w:r w:rsidRPr="00E06806">
        <w:rPr>
          <w:rFonts w:cstheme="minorHAnsi"/>
        </w:rPr>
        <w:t xml:space="preserve">A good job provides Floridians living in poverty with an opportunity to apply their talents and skills to create a better life for themselves and their families and to become economically self-sufficient on a path to increased prosperity. By investing directly in opportunities for Floridians in need of employment to not just enter, but remain and advance in the workforce, the CareerSource Florida network </w:t>
      </w:r>
      <w:r w:rsidR="00C442E2">
        <w:rPr>
          <w:rFonts w:cstheme="minorHAnsi"/>
        </w:rPr>
        <w:t xml:space="preserve">continues </w:t>
      </w:r>
      <w:r w:rsidRPr="00E06806">
        <w:rPr>
          <w:rFonts w:cstheme="minorHAnsi"/>
        </w:rPr>
        <w:t>its mission-focused work to support this increased statewide focus on helping low-income Floridians participate in Florida’s growing economy through meaningful employment that can lead to greater prosperity.</w:t>
      </w:r>
      <w:bookmarkStart w:id="76" w:name="(b)_State_Operating_Systems_and_Policies"/>
      <w:bookmarkStart w:id="77" w:name="_bookmark39"/>
      <w:bookmarkEnd w:id="76"/>
      <w:bookmarkEnd w:id="77"/>
    </w:p>
    <w:p w14:paraId="1F2D6B1C" w14:textId="77777777" w:rsidR="00FB4D62" w:rsidRDefault="00FB4D62">
      <w:pPr>
        <w:rPr>
          <w:rFonts w:cstheme="minorHAnsi"/>
        </w:rPr>
      </w:pPr>
    </w:p>
    <w:p w14:paraId="4BA3D252" w14:textId="77777777" w:rsidR="00FB4D62" w:rsidRDefault="00FB4D62">
      <w:pPr>
        <w:rPr>
          <w:rFonts w:cstheme="minorHAnsi"/>
        </w:rPr>
      </w:pPr>
    </w:p>
    <w:p w14:paraId="302E61AA" w14:textId="77777777" w:rsidR="00FB4D62" w:rsidRDefault="00FB4D62">
      <w:pPr>
        <w:rPr>
          <w:rFonts w:cstheme="minorHAnsi"/>
        </w:rPr>
      </w:pPr>
    </w:p>
    <w:p w14:paraId="1791A477" w14:textId="77777777" w:rsidR="00FB4D62" w:rsidRDefault="00FB4D62">
      <w:pPr>
        <w:rPr>
          <w:rFonts w:cstheme="minorHAnsi"/>
        </w:rPr>
      </w:pPr>
    </w:p>
    <w:p w14:paraId="069DC5C6" w14:textId="28C42530" w:rsidR="00503CE8" w:rsidRPr="00503CE8" w:rsidRDefault="00EA7458" w:rsidP="00D63204">
      <w:pPr>
        <w:pStyle w:val="ListParagraph"/>
        <w:widowControl w:val="0"/>
        <w:numPr>
          <w:ilvl w:val="0"/>
          <w:numId w:val="6"/>
        </w:numPr>
        <w:tabs>
          <w:tab w:val="left" w:pos="828"/>
        </w:tabs>
        <w:spacing w:after="0" w:line="240" w:lineRule="auto"/>
        <w:outlineLvl w:val="1"/>
        <w:rPr>
          <w:rFonts w:cstheme="minorHAnsi"/>
          <w:sz w:val="26"/>
          <w:szCs w:val="26"/>
        </w:rPr>
      </w:pPr>
      <w:r w:rsidRPr="00503CE8">
        <w:rPr>
          <w:rFonts w:cstheme="minorHAnsi"/>
          <w:b/>
          <w:bCs/>
          <w:color w:val="295CA3"/>
          <w:w w:val="110"/>
          <w:sz w:val="26"/>
          <w:szCs w:val="26"/>
        </w:rPr>
        <w:lastRenderedPageBreak/>
        <w:t>State Operating Systems and</w:t>
      </w:r>
      <w:r w:rsidRPr="00503CE8">
        <w:rPr>
          <w:rFonts w:cstheme="minorHAnsi"/>
          <w:b/>
          <w:bCs/>
          <w:color w:val="295CA3"/>
          <w:spacing w:val="4"/>
          <w:w w:val="110"/>
          <w:sz w:val="26"/>
          <w:szCs w:val="26"/>
        </w:rPr>
        <w:t xml:space="preserve"> </w:t>
      </w:r>
      <w:r w:rsidRPr="00503CE8">
        <w:rPr>
          <w:rFonts w:cstheme="minorHAnsi"/>
          <w:b/>
          <w:bCs/>
          <w:color w:val="295CA3"/>
          <w:w w:val="110"/>
          <w:sz w:val="26"/>
          <w:szCs w:val="26"/>
        </w:rPr>
        <w:t>Policies</w:t>
      </w:r>
    </w:p>
    <w:p w14:paraId="07D3736E" w14:textId="77777777" w:rsidR="00503CE8" w:rsidRPr="00503CE8" w:rsidRDefault="00503CE8" w:rsidP="00D63204">
      <w:pPr>
        <w:pStyle w:val="ListParagraph"/>
        <w:widowControl w:val="0"/>
        <w:tabs>
          <w:tab w:val="left" w:pos="828"/>
        </w:tabs>
        <w:spacing w:after="0" w:line="240" w:lineRule="auto"/>
        <w:ind w:left="828"/>
        <w:outlineLvl w:val="1"/>
        <w:rPr>
          <w:rFonts w:cstheme="minorHAnsi"/>
          <w:sz w:val="26"/>
          <w:szCs w:val="26"/>
        </w:rPr>
      </w:pPr>
    </w:p>
    <w:p w14:paraId="2C22C002" w14:textId="62E1DAE2" w:rsidR="00EA7458" w:rsidRPr="0091189D" w:rsidRDefault="00EA7458" w:rsidP="00D63204">
      <w:pPr>
        <w:pStyle w:val="ListParagraph"/>
        <w:widowControl w:val="0"/>
        <w:numPr>
          <w:ilvl w:val="2"/>
          <w:numId w:val="6"/>
        </w:numPr>
        <w:tabs>
          <w:tab w:val="left" w:pos="1548"/>
        </w:tabs>
        <w:spacing w:after="0" w:line="240" w:lineRule="auto"/>
        <w:outlineLvl w:val="2"/>
        <w:rPr>
          <w:rFonts w:cstheme="minorHAnsi"/>
          <w:color w:val="295CA3"/>
        </w:rPr>
      </w:pPr>
      <w:r w:rsidRPr="0091189D">
        <w:rPr>
          <w:rFonts w:cstheme="minorHAnsi"/>
          <w:b/>
          <w:bCs/>
          <w:color w:val="295CA3"/>
          <w:w w:val="110"/>
        </w:rPr>
        <w:t>State Operating</w:t>
      </w:r>
      <w:r w:rsidRPr="0091189D">
        <w:rPr>
          <w:rFonts w:cstheme="minorHAnsi"/>
          <w:b/>
          <w:bCs/>
          <w:color w:val="295CA3"/>
          <w:spacing w:val="2"/>
          <w:w w:val="110"/>
        </w:rPr>
        <w:t xml:space="preserve"> </w:t>
      </w:r>
      <w:r w:rsidRPr="0091189D">
        <w:rPr>
          <w:rFonts w:cstheme="minorHAnsi"/>
          <w:b/>
          <w:bCs/>
          <w:color w:val="295CA3"/>
          <w:w w:val="110"/>
        </w:rPr>
        <w:t>Systems</w:t>
      </w:r>
    </w:p>
    <w:p w14:paraId="0D96EFF0" w14:textId="77777777" w:rsidR="0091189D" w:rsidRPr="0091189D" w:rsidRDefault="0091189D" w:rsidP="00D63204">
      <w:pPr>
        <w:pStyle w:val="ListParagraph"/>
        <w:widowControl w:val="0"/>
        <w:tabs>
          <w:tab w:val="left" w:pos="1548"/>
        </w:tabs>
        <w:spacing w:before="184" w:after="0" w:line="240" w:lineRule="auto"/>
        <w:ind w:left="2267"/>
        <w:outlineLvl w:val="2"/>
        <w:rPr>
          <w:rFonts w:cstheme="minorHAnsi"/>
          <w:color w:val="295CA3"/>
        </w:rPr>
      </w:pPr>
    </w:p>
    <w:p w14:paraId="7D00E3B1" w14:textId="77777777" w:rsidR="0091189D" w:rsidRPr="0091189D" w:rsidRDefault="00EA7458" w:rsidP="00D63204">
      <w:pPr>
        <w:pStyle w:val="ListParagraph"/>
        <w:widowControl w:val="0"/>
        <w:numPr>
          <w:ilvl w:val="0"/>
          <w:numId w:val="25"/>
        </w:numPr>
        <w:tabs>
          <w:tab w:val="left" w:pos="2268"/>
        </w:tabs>
        <w:spacing w:before="193" w:after="0" w:line="240" w:lineRule="auto"/>
        <w:rPr>
          <w:rFonts w:cstheme="minorHAnsi"/>
        </w:rPr>
      </w:pPr>
      <w:r w:rsidRPr="0091189D">
        <w:rPr>
          <w:rFonts w:cstheme="minorHAnsi"/>
          <w:color w:val="295CA3"/>
          <w:w w:val="105"/>
        </w:rPr>
        <w:t>State Operating Systems that Support Coordinated Implementation</w:t>
      </w:r>
      <w:r w:rsidRPr="0091189D">
        <w:rPr>
          <w:rFonts w:cstheme="minorHAnsi"/>
          <w:color w:val="295CA3"/>
          <w:spacing w:val="4"/>
          <w:w w:val="105"/>
        </w:rPr>
        <w:t xml:space="preserve"> </w:t>
      </w:r>
      <w:r w:rsidRPr="0091189D">
        <w:rPr>
          <w:rFonts w:cstheme="minorHAnsi"/>
          <w:color w:val="295CA3"/>
          <w:w w:val="105"/>
        </w:rPr>
        <w:t>of</w:t>
      </w:r>
      <w:r w:rsidRPr="0091189D">
        <w:rPr>
          <w:rFonts w:cstheme="minorHAnsi"/>
          <w:color w:val="295CA3"/>
          <w:w w:val="102"/>
        </w:rPr>
        <w:t xml:space="preserve"> </w:t>
      </w:r>
    </w:p>
    <w:p w14:paraId="4C2CD6D5" w14:textId="58F9AA23" w:rsidR="00EA7458" w:rsidRPr="0091189D" w:rsidRDefault="00EA7458" w:rsidP="00D63204">
      <w:pPr>
        <w:pStyle w:val="ListParagraph"/>
        <w:widowControl w:val="0"/>
        <w:tabs>
          <w:tab w:val="left" w:pos="2268"/>
        </w:tabs>
        <w:spacing w:before="193" w:after="0" w:line="240" w:lineRule="auto"/>
        <w:ind w:left="2988"/>
        <w:rPr>
          <w:rFonts w:cstheme="minorHAnsi"/>
        </w:rPr>
      </w:pPr>
      <w:r w:rsidRPr="0091189D">
        <w:rPr>
          <w:rFonts w:cstheme="minorHAnsi"/>
          <w:color w:val="295CA3"/>
          <w:w w:val="105"/>
        </w:rPr>
        <w:t>State</w:t>
      </w:r>
      <w:r w:rsidRPr="0091189D">
        <w:rPr>
          <w:rFonts w:cstheme="minorHAnsi"/>
          <w:color w:val="295CA3"/>
          <w:spacing w:val="4"/>
          <w:w w:val="105"/>
        </w:rPr>
        <w:t xml:space="preserve"> </w:t>
      </w:r>
      <w:r w:rsidRPr="0091189D">
        <w:rPr>
          <w:rFonts w:cstheme="minorHAnsi"/>
          <w:color w:val="295CA3"/>
          <w:w w:val="105"/>
        </w:rPr>
        <w:t>Strategies</w:t>
      </w:r>
    </w:p>
    <w:p w14:paraId="6F3A7581" w14:textId="77777777" w:rsidR="00EA7458" w:rsidRPr="00E06806" w:rsidRDefault="00EA7458" w:rsidP="00D63204">
      <w:pPr>
        <w:widowControl w:val="0"/>
        <w:spacing w:before="5" w:after="0" w:line="240" w:lineRule="auto"/>
        <w:ind w:left="107"/>
        <w:rPr>
          <w:rFonts w:cstheme="minorHAnsi"/>
          <w:sz w:val="16"/>
          <w:szCs w:val="16"/>
        </w:rPr>
      </w:pPr>
    </w:p>
    <w:p w14:paraId="263C9CE4" w14:textId="6F45F570" w:rsidR="00E65CDC" w:rsidRDefault="00E65CDC" w:rsidP="00D63204">
      <w:pPr>
        <w:widowControl w:val="0"/>
        <w:spacing w:after="0" w:line="240" w:lineRule="auto"/>
        <w:ind w:left="107"/>
        <w:rPr>
          <w:rFonts w:cstheme="minorHAnsi"/>
          <w:w w:val="105"/>
        </w:rPr>
      </w:pPr>
      <w:r w:rsidRPr="00E06806">
        <w:rPr>
          <w:rFonts w:cstheme="minorHAnsi"/>
          <w:w w:val="105"/>
        </w:rPr>
        <w:t>Florida’s workforce system data infrastructure comprise</w:t>
      </w:r>
      <w:r w:rsidR="00614BED">
        <w:rPr>
          <w:rFonts w:cstheme="minorHAnsi"/>
          <w:w w:val="105"/>
        </w:rPr>
        <w:t>s</w:t>
      </w:r>
      <w:r w:rsidRPr="00E06806">
        <w:rPr>
          <w:rFonts w:cstheme="minorHAnsi"/>
          <w:w w:val="105"/>
        </w:rPr>
        <w:t xml:space="preserve"> a strong federated model (interconnected) for data collection, management</w:t>
      </w:r>
      <w:r w:rsidR="00D5537E">
        <w:rPr>
          <w:rFonts w:cstheme="minorHAnsi"/>
          <w:w w:val="105"/>
        </w:rPr>
        <w:t xml:space="preserve"> and</w:t>
      </w:r>
      <w:r w:rsidRPr="00E06806">
        <w:rPr>
          <w:rFonts w:cstheme="minorHAnsi"/>
          <w:spacing w:val="44"/>
          <w:w w:val="105"/>
        </w:rPr>
        <w:t xml:space="preserve"> </w:t>
      </w:r>
      <w:r w:rsidRPr="00E06806">
        <w:rPr>
          <w:rFonts w:cstheme="minorHAnsi"/>
          <w:w w:val="105"/>
        </w:rPr>
        <w:t>reporting systems. The first system is responsible for collection</w:t>
      </w:r>
      <w:r w:rsidR="00BE1C8F">
        <w:rPr>
          <w:rFonts w:cstheme="minorHAnsi"/>
          <w:w w:val="105"/>
        </w:rPr>
        <w:t>,</w:t>
      </w:r>
      <w:r w:rsidRPr="00E06806">
        <w:rPr>
          <w:rFonts w:cstheme="minorHAnsi"/>
          <w:w w:val="105"/>
        </w:rPr>
        <w:t xml:space="preserve"> management and reporting of</w:t>
      </w:r>
      <w:r w:rsidRPr="00E06806">
        <w:rPr>
          <w:rFonts w:cstheme="minorHAnsi"/>
          <w:spacing w:val="7"/>
          <w:w w:val="105"/>
        </w:rPr>
        <w:t xml:space="preserve"> </w:t>
      </w:r>
      <w:r w:rsidRPr="00E06806">
        <w:rPr>
          <w:rFonts w:cstheme="minorHAnsi"/>
          <w:w w:val="105"/>
        </w:rPr>
        <w:t>unemployment</w:t>
      </w:r>
      <w:r w:rsidRPr="00E06806">
        <w:rPr>
          <w:rFonts w:cstheme="minorHAnsi"/>
          <w:w w:val="104"/>
        </w:rPr>
        <w:t xml:space="preserve"> </w:t>
      </w:r>
      <w:r w:rsidRPr="00E06806">
        <w:rPr>
          <w:rFonts w:cstheme="minorHAnsi"/>
          <w:w w:val="105"/>
        </w:rPr>
        <w:t>compensation</w:t>
      </w:r>
      <w:r w:rsidRPr="00E06806">
        <w:rPr>
          <w:rFonts w:cstheme="minorHAnsi"/>
          <w:spacing w:val="16"/>
          <w:w w:val="105"/>
        </w:rPr>
        <w:t xml:space="preserve"> </w:t>
      </w:r>
      <w:r w:rsidRPr="00E06806">
        <w:rPr>
          <w:rFonts w:cstheme="minorHAnsi"/>
          <w:w w:val="105"/>
        </w:rPr>
        <w:t>data;</w:t>
      </w:r>
      <w:r w:rsidRPr="00E06806">
        <w:rPr>
          <w:rFonts w:cstheme="minorHAnsi"/>
          <w:spacing w:val="16"/>
          <w:w w:val="105"/>
        </w:rPr>
        <w:t xml:space="preserve"> </w:t>
      </w:r>
      <w:r w:rsidRPr="00E06806">
        <w:rPr>
          <w:rFonts w:cstheme="minorHAnsi"/>
          <w:w w:val="105"/>
        </w:rPr>
        <w:t>the</w:t>
      </w:r>
      <w:r w:rsidRPr="00E06806">
        <w:rPr>
          <w:rFonts w:cstheme="minorHAnsi"/>
          <w:spacing w:val="16"/>
          <w:w w:val="105"/>
        </w:rPr>
        <w:t xml:space="preserve"> </w:t>
      </w:r>
      <w:r w:rsidRPr="00E06806">
        <w:rPr>
          <w:rFonts w:cstheme="minorHAnsi"/>
          <w:w w:val="105"/>
        </w:rPr>
        <w:t>second</w:t>
      </w:r>
      <w:r w:rsidRPr="00E06806">
        <w:rPr>
          <w:rFonts w:cstheme="minorHAnsi"/>
          <w:spacing w:val="16"/>
          <w:w w:val="105"/>
        </w:rPr>
        <w:t xml:space="preserve"> </w:t>
      </w:r>
      <w:r w:rsidRPr="00E06806">
        <w:rPr>
          <w:rFonts w:cstheme="minorHAnsi"/>
          <w:w w:val="105"/>
        </w:rPr>
        <w:t>system</w:t>
      </w:r>
      <w:r w:rsidRPr="00E06806">
        <w:rPr>
          <w:rFonts w:cstheme="minorHAnsi"/>
          <w:spacing w:val="16"/>
          <w:w w:val="105"/>
        </w:rPr>
        <w:t xml:space="preserve"> </w:t>
      </w:r>
      <w:r w:rsidRPr="00E06806">
        <w:rPr>
          <w:rFonts w:cstheme="minorHAnsi"/>
          <w:w w:val="105"/>
        </w:rPr>
        <w:t>is the</w:t>
      </w:r>
      <w:r w:rsidRPr="00E06806">
        <w:rPr>
          <w:rFonts w:cstheme="minorHAnsi"/>
          <w:spacing w:val="16"/>
          <w:w w:val="105"/>
        </w:rPr>
        <w:t xml:space="preserve"> </w:t>
      </w:r>
      <w:r w:rsidRPr="00E06806">
        <w:rPr>
          <w:rFonts w:cstheme="minorHAnsi"/>
          <w:w w:val="105"/>
        </w:rPr>
        <w:t>central</w:t>
      </w:r>
      <w:r w:rsidRPr="00E06806">
        <w:rPr>
          <w:rFonts w:cstheme="minorHAnsi"/>
          <w:spacing w:val="16"/>
          <w:w w:val="105"/>
        </w:rPr>
        <w:t xml:space="preserve"> </w:t>
      </w:r>
      <w:r w:rsidRPr="00E06806">
        <w:rPr>
          <w:rFonts w:cstheme="minorHAnsi"/>
          <w:w w:val="105"/>
        </w:rPr>
        <w:t>hub</w:t>
      </w:r>
      <w:r w:rsidRPr="00E06806">
        <w:rPr>
          <w:rFonts w:cstheme="minorHAnsi"/>
          <w:spacing w:val="16"/>
          <w:w w:val="105"/>
        </w:rPr>
        <w:t xml:space="preserve"> </w:t>
      </w:r>
      <w:r w:rsidRPr="00E06806">
        <w:rPr>
          <w:rFonts w:cstheme="minorHAnsi"/>
          <w:w w:val="105"/>
        </w:rPr>
        <w:t>for</w:t>
      </w:r>
      <w:r w:rsidRPr="00E06806">
        <w:rPr>
          <w:rFonts w:cstheme="minorHAnsi"/>
          <w:spacing w:val="16"/>
          <w:w w:val="105"/>
        </w:rPr>
        <w:t xml:space="preserve"> </w:t>
      </w:r>
      <w:r w:rsidRPr="00E06806">
        <w:rPr>
          <w:rFonts w:cstheme="minorHAnsi"/>
          <w:w w:val="105"/>
        </w:rPr>
        <w:t>data</w:t>
      </w:r>
      <w:r w:rsidRPr="00E06806">
        <w:rPr>
          <w:rFonts w:cstheme="minorHAnsi"/>
          <w:spacing w:val="16"/>
          <w:w w:val="105"/>
        </w:rPr>
        <w:t xml:space="preserve"> </w:t>
      </w:r>
      <w:r w:rsidRPr="00E06806">
        <w:rPr>
          <w:rFonts w:cstheme="minorHAnsi"/>
          <w:w w:val="105"/>
        </w:rPr>
        <w:t>collection</w:t>
      </w:r>
      <w:r w:rsidRPr="00E06806">
        <w:rPr>
          <w:rFonts w:cstheme="minorHAnsi"/>
          <w:spacing w:val="16"/>
          <w:w w:val="105"/>
        </w:rPr>
        <w:t xml:space="preserve"> </w:t>
      </w:r>
      <w:r w:rsidRPr="00E06806">
        <w:rPr>
          <w:rFonts w:cstheme="minorHAnsi"/>
          <w:w w:val="105"/>
        </w:rPr>
        <w:t xml:space="preserve">management and reporting for Wagner-Peyser (WP) Act, </w:t>
      </w:r>
      <w:r w:rsidRPr="00E06806">
        <w:rPr>
          <w:rFonts w:cstheme="minorHAnsi"/>
          <w:spacing w:val="-4"/>
          <w:w w:val="105"/>
        </w:rPr>
        <w:t xml:space="preserve">Trade </w:t>
      </w:r>
      <w:r w:rsidRPr="00E06806">
        <w:rPr>
          <w:rFonts w:cstheme="minorHAnsi"/>
          <w:w w:val="105"/>
        </w:rPr>
        <w:t xml:space="preserve">Adjustment Act </w:t>
      </w:r>
      <w:r w:rsidRPr="00E06806">
        <w:rPr>
          <w:rFonts w:cstheme="minorHAnsi"/>
          <w:spacing w:val="-3"/>
          <w:w w:val="105"/>
        </w:rPr>
        <w:t xml:space="preserve">(TAA), </w:t>
      </w:r>
      <w:r w:rsidRPr="00E06806">
        <w:rPr>
          <w:rFonts w:cstheme="minorHAnsi"/>
          <w:w w:val="105"/>
        </w:rPr>
        <w:t>WIOA</w:t>
      </w:r>
      <w:r w:rsidR="00D5537E">
        <w:rPr>
          <w:rFonts w:cstheme="minorHAnsi"/>
          <w:w w:val="105"/>
        </w:rPr>
        <w:t xml:space="preserve"> and</w:t>
      </w:r>
      <w:r w:rsidRPr="00E06806">
        <w:rPr>
          <w:rFonts w:cstheme="minorHAnsi"/>
          <w:w w:val="105"/>
        </w:rPr>
        <w:t xml:space="preserve"> state</w:t>
      </w:r>
      <w:r w:rsidRPr="00E06806">
        <w:rPr>
          <w:rFonts w:cstheme="minorHAnsi"/>
          <w:spacing w:val="36"/>
          <w:w w:val="105"/>
        </w:rPr>
        <w:t xml:space="preserve"> </w:t>
      </w:r>
      <w:r w:rsidRPr="00E06806">
        <w:rPr>
          <w:rFonts w:cstheme="minorHAnsi"/>
          <w:w w:val="105"/>
        </w:rPr>
        <w:t>workforce/</w:t>
      </w:r>
      <w:r w:rsidRPr="00E06806">
        <w:rPr>
          <w:rFonts w:cstheme="minorHAnsi"/>
          <w:w w:val="103"/>
        </w:rPr>
        <w:t xml:space="preserve"> </w:t>
      </w:r>
      <w:r w:rsidRPr="00E06806">
        <w:rPr>
          <w:rFonts w:cstheme="minorHAnsi"/>
          <w:w w:val="105"/>
        </w:rPr>
        <w:t>employment</w:t>
      </w:r>
      <w:r w:rsidRPr="00E06806">
        <w:rPr>
          <w:rFonts w:cstheme="minorHAnsi"/>
          <w:spacing w:val="-13"/>
          <w:w w:val="105"/>
        </w:rPr>
        <w:t xml:space="preserve"> </w:t>
      </w:r>
      <w:r w:rsidRPr="00E06806">
        <w:rPr>
          <w:rFonts w:cstheme="minorHAnsi"/>
          <w:w w:val="105"/>
        </w:rPr>
        <w:t xml:space="preserve">initiatives. The third system collects data on SNAP and TANF individuals required to participate in employment and training. While all three systems operate under different business rules, according to their programs, all systems communicate with each other on both transactional and data-warehouse technology levels. </w:t>
      </w:r>
    </w:p>
    <w:p w14:paraId="24731676" w14:textId="77777777" w:rsidR="00EA7458" w:rsidRPr="00E06806" w:rsidRDefault="00EA7458" w:rsidP="00D63204">
      <w:pPr>
        <w:widowControl w:val="0"/>
        <w:spacing w:before="6" w:after="0" w:line="240" w:lineRule="auto"/>
        <w:ind w:left="107"/>
        <w:rPr>
          <w:rFonts w:cstheme="minorHAnsi"/>
          <w:sz w:val="16"/>
          <w:szCs w:val="16"/>
        </w:rPr>
      </w:pPr>
    </w:p>
    <w:p w14:paraId="6E316CC7" w14:textId="256D0350" w:rsidR="00EA7458" w:rsidRPr="0091189D" w:rsidRDefault="00EA7458" w:rsidP="00D63204">
      <w:pPr>
        <w:pStyle w:val="ListParagraph"/>
        <w:widowControl w:val="0"/>
        <w:numPr>
          <w:ilvl w:val="0"/>
          <w:numId w:val="25"/>
        </w:numPr>
        <w:tabs>
          <w:tab w:val="left" w:pos="2268"/>
        </w:tabs>
        <w:spacing w:after="0" w:line="240" w:lineRule="auto"/>
        <w:rPr>
          <w:rFonts w:cstheme="minorHAnsi"/>
        </w:rPr>
      </w:pPr>
      <w:r w:rsidRPr="0091189D">
        <w:rPr>
          <w:rFonts w:cstheme="minorHAnsi"/>
          <w:color w:val="295CA3"/>
          <w:w w:val="110"/>
        </w:rPr>
        <w:t>Data-collection and Reporting</w:t>
      </w:r>
      <w:r w:rsidRPr="0091189D">
        <w:rPr>
          <w:rFonts w:cstheme="minorHAnsi"/>
          <w:color w:val="295CA3"/>
          <w:spacing w:val="3"/>
          <w:w w:val="110"/>
        </w:rPr>
        <w:t xml:space="preserve"> </w:t>
      </w:r>
      <w:r w:rsidRPr="0091189D">
        <w:rPr>
          <w:rFonts w:cstheme="minorHAnsi"/>
          <w:color w:val="295CA3"/>
          <w:w w:val="110"/>
        </w:rPr>
        <w:t>Processes</w:t>
      </w:r>
    </w:p>
    <w:p w14:paraId="5DF022C6" w14:textId="77777777" w:rsidR="0091189D" w:rsidRDefault="00EA7458" w:rsidP="00D63204">
      <w:pPr>
        <w:widowControl w:val="0"/>
        <w:spacing w:before="195" w:after="0" w:line="266" w:lineRule="exact"/>
        <w:ind w:left="107"/>
        <w:outlineLvl w:val="2"/>
        <w:rPr>
          <w:rFonts w:cstheme="minorHAnsi"/>
          <w:b/>
          <w:bCs/>
          <w:color w:val="231F20"/>
          <w:w w:val="110"/>
        </w:rPr>
      </w:pPr>
      <w:r w:rsidRPr="00E06806">
        <w:rPr>
          <w:rFonts w:cstheme="minorHAnsi"/>
          <w:b/>
          <w:bCs/>
          <w:color w:val="231F20"/>
          <w:w w:val="110"/>
        </w:rPr>
        <w:t>Florida</w:t>
      </w:r>
      <w:r w:rsidRPr="00E06806">
        <w:rPr>
          <w:rFonts w:cstheme="minorHAnsi"/>
          <w:b/>
          <w:bCs/>
          <w:color w:val="231F20"/>
          <w:spacing w:val="-9"/>
          <w:w w:val="110"/>
        </w:rPr>
        <w:t xml:space="preserve"> </w:t>
      </w:r>
      <w:r w:rsidRPr="00E06806">
        <w:rPr>
          <w:rFonts w:cstheme="minorHAnsi"/>
          <w:b/>
          <w:bCs/>
          <w:color w:val="231F20"/>
          <w:w w:val="110"/>
        </w:rPr>
        <w:t>Education</w:t>
      </w:r>
      <w:r w:rsidRPr="00E06806">
        <w:rPr>
          <w:rFonts w:cstheme="minorHAnsi"/>
          <w:b/>
          <w:bCs/>
          <w:color w:val="231F20"/>
          <w:spacing w:val="-9"/>
          <w:w w:val="110"/>
        </w:rPr>
        <w:t xml:space="preserve"> </w:t>
      </w:r>
      <w:r w:rsidRPr="00E06806">
        <w:rPr>
          <w:rFonts w:cstheme="minorHAnsi"/>
          <w:b/>
          <w:bCs/>
          <w:color w:val="231F20"/>
          <w:w w:val="110"/>
        </w:rPr>
        <w:t>and</w:t>
      </w:r>
      <w:r w:rsidRPr="00E06806">
        <w:rPr>
          <w:rFonts w:cstheme="minorHAnsi"/>
          <w:b/>
          <w:bCs/>
          <w:color w:val="231F20"/>
          <w:spacing w:val="-9"/>
          <w:w w:val="110"/>
        </w:rPr>
        <w:t xml:space="preserve"> </w:t>
      </w:r>
      <w:r w:rsidRPr="00E06806">
        <w:rPr>
          <w:rFonts w:cstheme="minorHAnsi"/>
          <w:b/>
          <w:bCs/>
          <w:color w:val="231F20"/>
          <w:w w:val="110"/>
        </w:rPr>
        <w:t>Training</w:t>
      </w:r>
      <w:r w:rsidRPr="00E06806">
        <w:rPr>
          <w:rFonts w:cstheme="minorHAnsi"/>
          <w:b/>
          <w:bCs/>
          <w:color w:val="231F20"/>
          <w:spacing w:val="-9"/>
          <w:w w:val="110"/>
        </w:rPr>
        <w:t xml:space="preserve"> </w:t>
      </w:r>
      <w:r w:rsidRPr="00E06806">
        <w:rPr>
          <w:rFonts w:cstheme="minorHAnsi"/>
          <w:b/>
          <w:bCs/>
          <w:color w:val="231F20"/>
          <w:w w:val="110"/>
        </w:rPr>
        <w:t>Placement</w:t>
      </w:r>
      <w:r w:rsidRPr="00E06806">
        <w:rPr>
          <w:rFonts w:cstheme="minorHAnsi"/>
          <w:b/>
          <w:bCs/>
          <w:color w:val="231F20"/>
          <w:spacing w:val="-9"/>
          <w:w w:val="110"/>
        </w:rPr>
        <w:t xml:space="preserve"> </w:t>
      </w:r>
      <w:r w:rsidRPr="00E06806">
        <w:rPr>
          <w:rFonts w:cstheme="minorHAnsi"/>
          <w:b/>
          <w:bCs/>
          <w:color w:val="231F20"/>
          <w:w w:val="110"/>
        </w:rPr>
        <w:t>Information</w:t>
      </w:r>
      <w:r w:rsidRPr="00E06806">
        <w:rPr>
          <w:rFonts w:cstheme="minorHAnsi"/>
          <w:b/>
          <w:bCs/>
          <w:color w:val="231F20"/>
          <w:spacing w:val="-9"/>
          <w:w w:val="110"/>
        </w:rPr>
        <w:t xml:space="preserve"> </w:t>
      </w:r>
      <w:r w:rsidRPr="00E06806">
        <w:rPr>
          <w:rFonts w:cstheme="minorHAnsi"/>
          <w:b/>
          <w:bCs/>
          <w:color w:val="231F20"/>
          <w:w w:val="110"/>
        </w:rPr>
        <w:t>Program</w:t>
      </w:r>
      <w:r w:rsidRPr="00E06806">
        <w:rPr>
          <w:rFonts w:cstheme="minorHAnsi"/>
          <w:b/>
          <w:bCs/>
          <w:color w:val="231F20"/>
          <w:spacing w:val="-9"/>
          <w:w w:val="110"/>
        </w:rPr>
        <w:t xml:space="preserve"> </w:t>
      </w:r>
      <w:r w:rsidRPr="00E06806">
        <w:rPr>
          <w:rFonts w:cstheme="minorHAnsi"/>
          <w:b/>
          <w:bCs/>
          <w:color w:val="231F20"/>
          <w:w w:val="110"/>
        </w:rPr>
        <w:t>(FETPIP)</w:t>
      </w:r>
    </w:p>
    <w:p w14:paraId="6A0AD3D1" w14:textId="3197DF81" w:rsidR="00EA7458" w:rsidRDefault="00EA7458" w:rsidP="00D63204">
      <w:pPr>
        <w:widowControl w:val="0"/>
        <w:spacing w:after="0" w:line="266" w:lineRule="exact"/>
        <w:ind w:left="107"/>
        <w:outlineLvl w:val="2"/>
        <w:rPr>
          <w:rFonts w:cstheme="minorHAnsi"/>
          <w:color w:val="231F20"/>
          <w:w w:val="105"/>
        </w:rPr>
      </w:pPr>
      <w:r w:rsidRPr="00E06806">
        <w:rPr>
          <w:rFonts w:cstheme="minorHAnsi"/>
          <w:color w:val="231F20"/>
          <w:w w:val="105"/>
        </w:rPr>
        <w:t>One</w:t>
      </w:r>
      <w:r w:rsidRPr="00E06806">
        <w:rPr>
          <w:rFonts w:cstheme="minorHAnsi"/>
          <w:color w:val="231F20"/>
          <w:spacing w:val="16"/>
          <w:w w:val="105"/>
        </w:rPr>
        <w:t xml:space="preserve"> </w:t>
      </w:r>
      <w:r w:rsidRPr="00E06806">
        <w:rPr>
          <w:rFonts w:cstheme="minorHAnsi"/>
          <w:color w:val="231F20"/>
          <w:w w:val="105"/>
        </w:rPr>
        <w:t>of</w:t>
      </w:r>
      <w:r w:rsidRPr="00E06806">
        <w:rPr>
          <w:rFonts w:cstheme="minorHAnsi"/>
          <w:color w:val="231F20"/>
          <w:spacing w:val="16"/>
          <w:w w:val="105"/>
        </w:rPr>
        <w:t xml:space="preserve"> </w:t>
      </w:r>
      <w:r w:rsidRPr="00E06806">
        <w:rPr>
          <w:rFonts w:cstheme="minorHAnsi"/>
          <w:color w:val="231F20"/>
          <w:w w:val="105"/>
        </w:rPr>
        <w:t>Florida’s</w:t>
      </w:r>
      <w:r w:rsidRPr="00E06806">
        <w:rPr>
          <w:rFonts w:cstheme="minorHAnsi"/>
          <w:color w:val="231F20"/>
          <w:spacing w:val="16"/>
          <w:w w:val="105"/>
        </w:rPr>
        <w:t xml:space="preserve"> </w:t>
      </w:r>
      <w:r w:rsidRPr="00E06806">
        <w:rPr>
          <w:rFonts w:cstheme="minorHAnsi"/>
          <w:color w:val="231F20"/>
          <w:w w:val="105"/>
        </w:rPr>
        <w:t>most</w:t>
      </w:r>
      <w:r w:rsidRPr="00E06806">
        <w:rPr>
          <w:rFonts w:cstheme="minorHAnsi"/>
          <w:color w:val="231F20"/>
          <w:spacing w:val="16"/>
          <w:w w:val="105"/>
        </w:rPr>
        <w:t xml:space="preserve"> </w:t>
      </w:r>
      <w:r w:rsidRPr="00E06806">
        <w:rPr>
          <w:rFonts w:cstheme="minorHAnsi"/>
          <w:color w:val="231F20"/>
          <w:w w:val="105"/>
        </w:rPr>
        <w:t>successful</w:t>
      </w:r>
      <w:r w:rsidRPr="00E06806">
        <w:rPr>
          <w:rFonts w:cstheme="minorHAnsi"/>
          <w:color w:val="231F20"/>
          <w:spacing w:val="16"/>
          <w:w w:val="105"/>
        </w:rPr>
        <w:t xml:space="preserve"> </w:t>
      </w:r>
      <w:r w:rsidRPr="00E06806">
        <w:rPr>
          <w:rFonts w:cstheme="minorHAnsi"/>
          <w:color w:val="231F20"/>
          <w:w w:val="105"/>
        </w:rPr>
        <w:t>innovations</w:t>
      </w:r>
      <w:r w:rsidRPr="00E06806">
        <w:rPr>
          <w:rFonts w:cstheme="minorHAnsi"/>
          <w:color w:val="231F20"/>
          <w:spacing w:val="16"/>
          <w:w w:val="105"/>
        </w:rPr>
        <w:t xml:space="preserve"> </w:t>
      </w:r>
      <w:r w:rsidRPr="00E06806">
        <w:rPr>
          <w:rFonts w:cstheme="minorHAnsi"/>
          <w:color w:val="231F20"/>
          <w:w w:val="105"/>
        </w:rPr>
        <w:t>in</w:t>
      </w:r>
      <w:r w:rsidRPr="00E06806">
        <w:rPr>
          <w:rFonts w:cstheme="minorHAnsi"/>
          <w:color w:val="231F20"/>
          <w:spacing w:val="16"/>
          <w:w w:val="105"/>
        </w:rPr>
        <w:t xml:space="preserve"> </w:t>
      </w:r>
      <w:r w:rsidRPr="00E06806">
        <w:rPr>
          <w:rFonts w:cstheme="minorHAnsi"/>
          <w:color w:val="231F20"/>
          <w:w w:val="105"/>
        </w:rPr>
        <w:t>evaluation</w:t>
      </w:r>
      <w:r w:rsidRPr="00E06806">
        <w:rPr>
          <w:rFonts w:cstheme="minorHAnsi"/>
          <w:color w:val="231F20"/>
          <w:spacing w:val="16"/>
          <w:w w:val="105"/>
        </w:rPr>
        <w:t xml:space="preserve"> </w:t>
      </w:r>
      <w:r w:rsidRPr="00E06806">
        <w:rPr>
          <w:rFonts w:cstheme="minorHAnsi"/>
          <w:color w:val="231F20"/>
          <w:w w:val="105"/>
        </w:rPr>
        <w:t>and</w:t>
      </w:r>
      <w:r w:rsidRPr="00E06806">
        <w:rPr>
          <w:rFonts w:cstheme="minorHAnsi"/>
          <w:color w:val="231F20"/>
          <w:spacing w:val="16"/>
          <w:w w:val="105"/>
        </w:rPr>
        <w:t xml:space="preserve"> </w:t>
      </w:r>
      <w:r w:rsidRPr="00E06806">
        <w:rPr>
          <w:rFonts w:cstheme="minorHAnsi"/>
          <w:color w:val="231F20"/>
          <w:w w:val="105"/>
        </w:rPr>
        <w:t>performance</w:t>
      </w:r>
      <w:r w:rsidRPr="00E06806">
        <w:rPr>
          <w:rFonts w:cstheme="minorHAnsi"/>
          <w:color w:val="231F20"/>
          <w:spacing w:val="16"/>
          <w:w w:val="105"/>
        </w:rPr>
        <w:t xml:space="preserve"> </w:t>
      </w:r>
      <w:r w:rsidRPr="00E06806">
        <w:rPr>
          <w:rFonts w:cstheme="minorHAnsi"/>
          <w:color w:val="231F20"/>
          <w:w w:val="105"/>
        </w:rPr>
        <w:t>tracking</w:t>
      </w:r>
      <w:r w:rsidRPr="00E06806">
        <w:rPr>
          <w:rFonts w:cstheme="minorHAnsi"/>
          <w:color w:val="231F20"/>
          <w:spacing w:val="16"/>
          <w:w w:val="105"/>
        </w:rPr>
        <w:t xml:space="preserve"> </w:t>
      </w:r>
      <w:r w:rsidR="00B81215" w:rsidRPr="00E06806">
        <w:rPr>
          <w:rFonts w:cstheme="minorHAnsi"/>
          <w:color w:val="231F20"/>
          <w:w w:val="105"/>
        </w:rPr>
        <w:t xml:space="preserve">is the Florida Education and Training Placement Information Program </w:t>
      </w:r>
      <w:r w:rsidRPr="00E06806">
        <w:rPr>
          <w:rFonts w:cstheme="minorHAnsi"/>
          <w:color w:val="231F20"/>
          <w:w w:val="105"/>
        </w:rPr>
        <w:t>established</w:t>
      </w:r>
      <w:r w:rsidRPr="00E06806">
        <w:rPr>
          <w:rFonts w:cstheme="minorHAnsi"/>
          <w:color w:val="231F20"/>
          <w:spacing w:val="17"/>
          <w:w w:val="105"/>
        </w:rPr>
        <w:t xml:space="preserve"> </w:t>
      </w:r>
      <w:r w:rsidRPr="00E06806">
        <w:rPr>
          <w:rFonts w:cstheme="minorHAnsi"/>
          <w:color w:val="231F20"/>
          <w:w w:val="105"/>
        </w:rPr>
        <w:t>in</w:t>
      </w:r>
      <w:r w:rsidRPr="00E06806">
        <w:rPr>
          <w:rFonts w:cstheme="minorHAnsi"/>
          <w:color w:val="231F20"/>
          <w:spacing w:val="17"/>
          <w:w w:val="105"/>
        </w:rPr>
        <w:t xml:space="preserve"> </w:t>
      </w:r>
      <w:r w:rsidRPr="00E06806">
        <w:rPr>
          <w:rFonts w:cstheme="minorHAnsi"/>
          <w:color w:val="231F20"/>
          <w:w w:val="105"/>
        </w:rPr>
        <w:t>FDOE.</w:t>
      </w:r>
      <w:r w:rsidRPr="00E06806">
        <w:rPr>
          <w:rFonts w:cstheme="minorHAnsi"/>
          <w:color w:val="231F20"/>
          <w:spacing w:val="17"/>
          <w:w w:val="105"/>
        </w:rPr>
        <w:t xml:space="preserve"> </w:t>
      </w:r>
      <w:r w:rsidRPr="00E06806">
        <w:rPr>
          <w:rFonts w:cstheme="minorHAnsi"/>
          <w:color w:val="231F20"/>
          <w:w w:val="105"/>
        </w:rPr>
        <w:t>This</w:t>
      </w:r>
      <w:r w:rsidRPr="00E06806">
        <w:rPr>
          <w:rFonts w:cstheme="minorHAnsi"/>
          <w:color w:val="231F20"/>
          <w:spacing w:val="17"/>
          <w:w w:val="105"/>
        </w:rPr>
        <w:t xml:space="preserve"> </w:t>
      </w:r>
      <w:r w:rsidRPr="00E06806">
        <w:rPr>
          <w:rFonts w:cstheme="minorHAnsi"/>
          <w:color w:val="231F20"/>
          <w:w w:val="105"/>
        </w:rPr>
        <w:t>program</w:t>
      </w:r>
      <w:r w:rsidRPr="00E06806">
        <w:rPr>
          <w:rFonts w:cstheme="minorHAnsi"/>
          <w:color w:val="231F20"/>
          <w:spacing w:val="17"/>
          <w:w w:val="105"/>
        </w:rPr>
        <w:t xml:space="preserve"> </w:t>
      </w:r>
      <w:r w:rsidRPr="00E06806">
        <w:rPr>
          <w:rFonts w:cstheme="minorHAnsi"/>
          <w:color w:val="231F20"/>
          <w:w w:val="105"/>
        </w:rPr>
        <w:t>help</w:t>
      </w:r>
      <w:r w:rsidR="00B81215" w:rsidRPr="00E06806">
        <w:rPr>
          <w:rFonts w:cstheme="minorHAnsi"/>
          <w:color w:val="231F20"/>
          <w:w w:val="105"/>
        </w:rPr>
        <w:t>s</w:t>
      </w:r>
      <w:r w:rsidRPr="00E06806">
        <w:rPr>
          <w:rFonts w:cstheme="minorHAnsi"/>
          <w:color w:val="231F20"/>
          <w:spacing w:val="18"/>
          <w:w w:val="105"/>
        </w:rPr>
        <w:t xml:space="preserve"> </w:t>
      </w:r>
      <w:r w:rsidRPr="00E06806">
        <w:rPr>
          <w:rFonts w:cstheme="minorHAnsi"/>
          <w:color w:val="231F20"/>
          <w:w w:val="105"/>
        </w:rPr>
        <w:t>evaluate</w:t>
      </w:r>
      <w:r w:rsidRPr="00E06806">
        <w:rPr>
          <w:rFonts w:cstheme="minorHAnsi"/>
          <w:color w:val="231F20"/>
          <w:spacing w:val="18"/>
          <w:w w:val="105"/>
        </w:rPr>
        <w:t xml:space="preserve"> </w:t>
      </w:r>
      <w:r w:rsidRPr="00E06806">
        <w:rPr>
          <w:rFonts w:cstheme="minorHAnsi"/>
          <w:color w:val="231F20"/>
          <w:w w:val="105"/>
        </w:rPr>
        <w:t>the</w:t>
      </w:r>
      <w:r w:rsidRPr="00E06806">
        <w:rPr>
          <w:rFonts w:cstheme="minorHAnsi"/>
          <w:color w:val="231F20"/>
          <w:spacing w:val="18"/>
          <w:w w:val="105"/>
        </w:rPr>
        <w:t xml:space="preserve"> </w:t>
      </w:r>
      <w:r w:rsidRPr="00E06806">
        <w:rPr>
          <w:rFonts w:cstheme="minorHAnsi"/>
          <w:color w:val="231F20"/>
          <w:w w:val="105"/>
        </w:rPr>
        <w:t>effectiveness</w:t>
      </w:r>
      <w:r w:rsidRPr="00E06806">
        <w:rPr>
          <w:rFonts w:cstheme="minorHAnsi"/>
          <w:color w:val="231F20"/>
          <w:spacing w:val="18"/>
          <w:w w:val="105"/>
        </w:rPr>
        <w:t xml:space="preserve"> </w:t>
      </w:r>
      <w:r w:rsidRPr="00E06806">
        <w:rPr>
          <w:rFonts w:cstheme="minorHAnsi"/>
          <w:color w:val="231F20"/>
          <w:w w:val="105"/>
        </w:rPr>
        <w:t>of</w:t>
      </w:r>
      <w:r w:rsidRPr="00E06806">
        <w:rPr>
          <w:rFonts w:cstheme="minorHAnsi"/>
          <w:color w:val="231F20"/>
          <w:spacing w:val="18"/>
          <w:w w:val="105"/>
        </w:rPr>
        <w:t xml:space="preserve"> </w:t>
      </w:r>
      <w:r w:rsidRPr="00E06806">
        <w:rPr>
          <w:rFonts w:cstheme="minorHAnsi"/>
          <w:color w:val="231F20"/>
          <w:w w:val="105"/>
        </w:rPr>
        <w:t>postsecondary</w:t>
      </w:r>
      <w:r w:rsidRPr="00E06806">
        <w:rPr>
          <w:rFonts w:cstheme="minorHAnsi"/>
          <w:color w:val="231F20"/>
          <w:spacing w:val="18"/>
          <w:w w:val="105"/>
        </w:rPr>
        <w:t xml:space="preserve"> </w:t>
      </w:r>
      <w:r w:rsidRPr="00E06806">
        <w:rPr>
          <w:rFonts w:cstheme="minorHAnsi"/>
          <w:color w:val="231F20"/>
          <w:w w:val="105"/>
        </w:rPr>
        <w:t>education</w:t>
      </w:r>
      <w:r w:rsidRPr="00E06806">
        <w:rPr>
          <w:rFonts w:cstheme="minorHAnsi"/>
          <w:color w:val="231F20"/>
          <w:spacing w:val="18"/>
          <w:w w:val="105"/>
        </w:rPr>
        <w:t xml:space="preserve"> </w:t>
      </w:r>
      <w:r w:rsidRPr="00E06806">
        <w:rPr>
          <w:rFonts w:cstheme="minorHAnsi"/>
          <w:color w:val="231F20"/>
          <w:w w:val="105"/>
        </w:rPr>
        <w:t>and</w:t>
      </w:r>
      <w:r w:rsidRPr="00E06806">
        <w:rPr>
          <w:rFonts w:cstheme="minorHAnsi"/>
          <w:color w:val="231F20"/>
          <w:spacing w:val="18"/>
          <w:w w:val="105"/>
        </w:rPr>
        <w:t xml:space="preserve"> </w:t>
      </w:r>
      <w:r w:rsidRPr="00E06806">
        <w:rPr>
          <w:rFonts w:cstheme="minorHAnsi"/>
          <w:color w:val="231F20"/>
          <w:w w:val="105"/>
        </w:rPr>
        <w:t>training</w:t>
      </w:r>
      <w:r w:rsidRPr="00E06806">
        <w:rPr>
          <w:rFonts w:cstheme="minorHAnsi"/>
          <w:color w:val="231F20"/>
          <w:spacing w:val="18"/>
          <w:w w:val="105"/>
        </w:rPr>
        <w:t xml:space="preserve"> </w:t>
      </w:r>
      <w:r w:rsidRPr="00E06806">
        <w:rPr>
          <w:rFonts w:cstheme="minorHAnsi"/>
          <w:color w:val="231F20"/>
          <w:w w:val="105"/>
        </w:rPr>
        <w:t>programs,</w:t>
      </w:r>
      <w:r w:rsidRPr="00E06806">
        <w:rPr>
          <w:rFonts w:cstheme="minorHAnsi"/>
          <w:color w:val="231F20"/>
          <w:spacing w:val="18"/>
          <w:w w:val="105"/>
        </w:rPr>
        <w:t xml:space="preserve"> </w:t>
      </w:r>
      <w:r w:rsidRPr="00E06806">
        <w:rPr>
          <w:rFonts w:cstheme="minorHAnsi"/>
          <w:color w:val="231F20"/>
          <w:w w:val="105"/>
        </w:rPr>
        <w:t>particularly</w:t>
      </w:r>
      <w:r w:rsidRPr="00E06806">
        <w:rPr>
          <w:rFonts w:cstheme="minorHAnsi"/>
          <w:color w:val="231F20"/>
          <w:spacing w:val="18"/>
          <w:w w:val="105"/>
        </w:rPr>
        <w:t xml:space="preserve"> </w:t>
      </w:r>
      <w:r w:rsidRPr="00E06806">
        <w:rPr>
          <w:rFonts w:cstheme="minorHAnsi"/>
          <w:color w:val="231F20"/>
          <w:w w:val="105"/>
        </w:rPr>
        <w:t>vocational</w:t>
      </w:r>
      <w:r w:rsidRPr="00E06806">
        <w:rPr>
          <w:rFonts w:cstheme="minorHAnsi"/>
          <w:color w:val="231F20"/>
          <w:w w:val="106"/>
        </w:rPr>
        <w:t xml:space="preserve"> </w:t>
      </w:r>
      <w:r w:rsidRPr="00E06806">
        <w:rPr>
          <w:rFonts w:cstheme="minorHAnsi"/>
          <w:color w:val="231F20"/>
          <w:w w:val="105"/>
        </w:rPr>
        <w:t xml:space="preserve">education and similar career preparation programs. The scope of groups to be tracked </w:t>
      </w:r>
      <w:r w:rsidR="00B81215" w:rsidRPr="00E06806">
        <w:rPr>
          <w:rFonts w:cstheme="minorHAnsi"/>
          <w:color w:val="231F20"/>
          <w:w w:val="105"/>
        </w:rPr>
        <w:t xml:space="preserve">rapidly </w:t>
      </w:r>
      <w:r w:rsidRPr="00E06806">
        <w:rPr>
          <w:rFonts w:cstheme="minorHAnsi"/>
          <w:color w:val="231F20"/>
          <w:w w:val="105"/>
        </w:rPr>
        <w:t>expanded</w:t>
      </w:r>
      <w:r w:rsidRPr="00E06806">
        <w:rPr>
          <w:rFonts w:cstheme="minorHAnsi"/>
          <w:color w:val="231F20"/>
          <w:spacing w:val="11"/>
          <w:w w:val="105"/>
        </w:rPr>
        <w:t xml:space="preserve"> </w:t>
      </w:r>
      <w:r w:rsidRPr="00E06806">
        <w:rPr>
          <w:rFonts w:cstheme="minorHAnsi"/>
          <w:color w:val="231F20"/>
          <w:w w:val="105"/>
        </w:rPr>
        <w:t>to</w:t>
      </w:r>
      <w:r w:rsidRPr="00E06806">
        <w:rPr>
          <w:rFonts w:cstheme="minorHAnsi"/>
          <w:color w:val="231F20"/>
          <w:spacing w:val="11"/>
          <w:w w:val="105"/>
        </w:rPr>
        <w:t xml:space="preserve"> </w:t>
      </w:r>
      <w:r w:rsidRPr="00E06806">
        <w:rPr>
          <w:rFonts w:cstheme="minorHAnsi"/>
          <w:color w:val="231F20"/>
          <w:w w:val="105"/>
        </w:rPr>
        <w:t>cover</w:t>
      </w:r>
      <w:r w:rsidRPr="00E06806">
        <w:rPr>
          <w:rFonts w:cstheme="minorHAnsi"/>
          <w:color w:val="231F20"/>
          <w:spacing w:val="11"/>
          <w:w w:val="105"/>
        </w:rPr>
        <w:t xml:space="preserve"> </w:t>
      </w:r>
      <w:r w:rsidR="00B81215" w:rsidRPr="00E06806">
        <w:rPr>
          <w:rFonts w:cstheme="minorHAnsi"/>
          <w:color w:val="231F20"/>
          <w:w w:val="105"/>
        </w:rPr>
        <w:t xml:space="preserve">most </w:t>
      </w:r>
      <w:r w:rsidRPr="00E06806">
        <w:rPr>
          <w:rFonts w:cstheme="minorHAnsi"/>
          <w:color w:val="231F20"/>
          <w:w w:val="105"/>
        </w:rPr>
        <w:t>job</w:t>
      </w:r>
      <w:r w:rsidRPr="00E06806">
        <w:rPr>
          <w:rFonts w:cstheme="minorHAnsi"/>
          <w:color w:val="231F20"/>
          <w:spacing w:val="11"/>
          <w:w w:val="105"/>
        </w:rPr>
        <w:t xml:space="preserve"> </w:t>
      </w:r>
      <w:r w:rsidRPr="00E06806">
        <w:rPr>
          <w:rFonts w:cstheme="minorHAnsi"/>
          <w:color w:val="231F20"/>
          <w:w w:val="105"/>
        </w:rPr>
        <w:t>training</w:t>
      </w:r>
      <w:r w:rsidRPr="00E06806">
        <w:rPr>
          <w:rFonts w:cstheme="minorHAnsi"/>
          <w:color w:val="231F20"/>
          <w:spacing w:val="11"/>
          <w:w w:val="105"/>
        </w:rPr>
        <w:t xml:space="preserve"> </w:t>
      </w:r>
      <w:r w:rsidRPr="00E06806">
        <w:rPr>
          <w:rFonts w:cstheme="minorHAnsi"/>
          <w:color w:val="231F20"/>
          <w:w w:val="105"/>
        </w:rPr>
        <w:t>and</w:t>
      </w:r>
      <w:r w:rsidRPr="00E06806">
        <w:rPr>
          <w:rFonts w:cstheme="minorHAnsi"/>
          <w:color w:val="231F20"/>
          <w:spacing w:val="11"/>
          <w:w w:val="105"/>
        </w:rPr>
        <w:t xml:space="preserve"> </w:t>
      </w:r>
      <w:r w:rsidRPr="00E06806">
        <w:rPr>
          <w:rFonts w:cstheme="minorHAnsi"/>
          <w:color w:val="231F20"/>
          <w:w w:val="105"/>
        </w:rPr>
        <w:t>placement</w:t>
      </w:r>
      <w:r w:rsidRPr="00E06806">
        <w:rPr>
          <w:rFonts w:cstheme="minorHAnsi"/>
          <w:color w:val="231F20"/>
          <w:spacing w:val="11"/>
          <w:w w:val="105"/>
        </w:rPr>
        <w:t xml:space="preserve"> </w:t>
      </w:r>
      <w:r w:rsidRPr="00E06806">
        <w:rPr>
          <w:rFonts w:cstheme="minorHAnsi"/>
          <w:color w:val="231F20"/>
          <w:w w:val="105"/>
        </w:rPr>
        <w:t>programs</w:t>
      </w:r>
      <w:r w:rsidRPr="00E06806">
        <w:rPr>
          <w:rFonts w:cstheme="minorHAnsi"/>
          <w:color w:val="231F20"/>
          <w:spacing w:val="11"/>
          <w:w w:val="105"/>
        </w:rPr>
        <w:t xml:space="preserve"> </w:t>
      </w:r>
      <w:r w:rsidRPr="00E06806">
        <w:rPr>
          <w:rFonts w:cstheme="minorHAnsi"/>
          <w:color w:val="231F20"/>
          <w:w w:val="105"/>
        </w:rPr>
        <w:t>including</w:t>
      </w:r>
      <w:r w:rsidRPr="00E06806">
        <w:rPr>
          <w:rFonts w:cstheme="minorHAnsi"/>
          <w:color w:val="231F20"/>
          <w:spacing w:val="11"/>
          <w:w w:val="105"/>
        </w:rPr>
        <w:t xml:space="preserve"> </w:t>
      </w:r>
      <w:r w:rsidRPr="00E06806">
        <w:rPr>
          <w:rFonts w:cstheme="minorHAnsi"/>
          <w:color w:val="231F20"/>
          <w:w w:val="105"/>
        </w:rPr>
        <w:t>WIOA,</w:t>
      </w:r>
      <w:r w:rsidRPr="00E06806">
        <w:rPr>
          <w:rFonts w:cstheme="minorHAnsi"/>
          <w:color w:val="231F20"/>
          <w:spacing w:val="11"/>
          <w:w w:val="105"/>
        </w:rPr>
        <w:t xml:space="preserve"> </w:t>
      </w:r>
      <w:r w:rsidRPr="00E06806">
        <w:rPr>
          <w:rFonts w:cstheme="minorHAnsi"/>
          <w:color w:val="231F20"/>
          <w:w w:val="105"/>
        </w:rPr>
        <w:t>Wagner-Peyser</w:t>
      </w:r>
      <w:r w:rsidRPr="00E06806">
        <w:rPr>
          <w:rFonts w:cstheme="minorHAnsi"/>
          <w:color w:val="231F20"/>
          <w:spacing w:val="11"/>
          <w:w w:val="105"/>
        </w:rPr>
        <w:t xml:space="preserve"> </w:t>
      </w:r>
      <w:r w:rsidRPr="00E06806">
        <w:rPr>
          <w:rFonts w:cstheme="minorHAnsi"/>
          <w:color w:val="231F20"/>
          <w:w w:val="105"/>
        </w:rPr>
        <w:t>(WP),</w:t>
      </w:r>
      <w:r w:rsidR="005C55D5">
        <w:rPr>
          <w:rFonts w:cstheme="minorHAnsi"/>
          <w:color w:val="231F20"/>
          <w:w w:val="105"/>
        </w:rPr>
        <w:t xml:space="preserve"> </w:t>
      </w:r>
      <w:r w:rsidRPr="00E06806">
        <w:rPr>
          <w:rFonts w:cstheme="minorHAnsi"/>
          <w:color w:val="231F20"/>
          <w:w w:val="105"/>
        </w:rPr>
        <w:t>Adult</w:t>
      </w:r>
      <w:r w:rsidRPr="00E06806">
        <w:rPr>
          <w:rFonts w:cstheme="minorHAnsi"/>
          <w:color w:val="231F20"/>
          <w:spacing w:val="11"/>
          <w:w w:val="105"/>
        </w:rPr>
        <w:t xml:space="preserve"> </w:t>
      </w:r>
      <w:r w:rsidRPr="00E06806">
        <w:rPr>
          <w:rFonts w:cstheme="minorHAnsi"/>
          <w:color w:val="231F20"/>
          <w:w w:val="105"/>
        </w:rPr>
        <w:t>Education,</w:t>
      </w:r>
      <w:r w:rsidRPr="00E06806">
        <w:rPr>
          <w:rFonts w:cstheme="minorHAnsi"/>
          <w:color w:val="231F20"/>
          <w:spacing w:val="11"/>
          <w:w w:val="105"/>
        </w:rPr>
        <w:t xml:space="preserve"> </w:t>
      </w:r>
      <w:r w:rsidRPr="00E06806">
        <w:rPr>
          <w:rFonts w:cstheme="minorHAnsi"/>
          <w:color w:val="231F20"/>
          <w:w w:val="105"/>
        </w:rPr>
        <w:t>Job</w:t>
      </w:r>
      <w:r w:rsidRPr="00E06806">
        <w:rPr>
          <w:rFonts w:cstheme="minorHAnsi"/>
          <w:color w:val="231F20"/>
          <w:spacing w:val="11"/>
          <w:w w:val="105"/>
        </w:rPr>
        <w:t xml:space="preserve"> </w:t>
      </w:r>
      <w:r w:rsidRPr="00E06806">
        <w:rPr>
          <w:rFonts w:cstheme="minorHAnsi"/>
          <w:color w:val="231F20"/>
          <w:w w:val="105"/>
        </w:rPr>
        <w:t>Corps,</w:t>
      </w:r>
      <w:r w:rsidRPr="00E06806">
        <w:rPr>
          <w:rFonts w:cstheme="minorHAnsi"/>
          <w:color w:val="231F20"/>
          <w:spacing w:val="11"/>
          <w:w w:val="105"/>
        </w:rPr>
        <w:t xml:space="preserve"> </w:t>
      </w:r>
      <w:r w:rsidRPr="00E06806">
        <w:rPr>
          <w:rFonts w:cstheme="minorHAnsi"/>
          <w:color w:val="231F20"/>
          <w:w w:val="105"/>
        </w:rPr>
        <w:t>Veterans,</w:t>
      </w:r>
      <w:r w:rsidRPr="00E06806">
        <w:rPr>
          <w:rFonts w:cstheme="minorHAnsi"/>
          <w:color w:val="231F20"/>
          <w:spacing w:val="11"/>
          <w:w w:val="105"/>
        </w:rPr>
        <w:t xml:space="preserve"> </w:t>
      </w:r>
      <w:r w:rsidRPr="00E06806">
        <w:rPr>
          <w:rFonts w:cstheme="minorHAnsi"/>
          <w:color w:val="231F20"/>
          <w:w w:val="105"/>
        </w:rPr>
        <w:t>Welfare</w:t>
      </w:r>
      <w:r w:rsidRPr="00E06806">
        <w:rPr>
          <w:rFonts w:cstheme="minorHAnsi"/>
          <w:color w:val="231F20"/>
          <w:spacing w:val="11"/>
          <w:w w:val="105"/>
        </w:rPr>
        <w:t xml:space="preserve"> </w:t>
      </w:r>
      <w:r w:rsidRPr="00E06806">
        <w:rPr>
          <w:rFonts w:cstheme="minorHAnsi"/>
          <w:color w:val="231F20"/>
          <w:w w:val="105"/>
        </w:rPr>
        <w:t>Transition</w:t>
      </w:r>
      <w:r w:rsidRPr="00E06806">
        <w:rPr>
          <w:rFonts w:cstheme="minorHAnsi"/>
          <w:color w:val="231F20"/>
          <w:spacing w:val="11"/>
          <w:w w:val="105"/>
        </w:rPr>
        <w:t xml:space="preserve"> </w:t>
      </w:r>
      <w:r w:rsidRPr="00E06806">
        <w:rPr>
          <w:rFonts w:cstheme="minorHAnsi"/>
          <w:color w:val="231F20"/>
          <w:w w:val="105"/>
        </w:rPr>
        <w:t>(WT)/</w:t>
      </w:r>
      <w:r w:rsidR="004A59C0" w:rsidRPr="00E06806">
        <w:rPr>
          <w:rFonts w:cstheme="minorHAnsi"/>
          <w:color w:val="231F20"/>
          <w:spacing w:val="-3"/>
          <w:w w:val="105"/>
        </w:rPr>
        <w:t xml:space="preserve"> </w:t>
      </w:r>
      <w:r w:rsidRPr="00E06806">
        <w:rPr>
          <w:rFonts w:cstheme="minorHAnsi"/>
          <w:color w:val="231F20"/>
          <w:spacing w:val="-3"/>
          <w:w w:val="105"/>
        </w:rPr>
        <w:t>TANF,</w:t>
      </w:r>
      <w:r w:rsidRPr="00E06806">
        <w:rPr>
          <w:rFonts w:cstheme="minorHAnsi"/>
          <w:color w:val="231F20"/>
          <w:spacing w:val="19"/>
          <w:w w:val="105"/>
        </w:rPr>
        <w:t xml:space="preserve"> </w:t>
      </w:r>
      <w:r w:rsidRPr="00E06806">
        <w:rPr>
          <w:rFonts w:cstheme="minorHAnsi"/>
          <w:color w:val="231F20"/>
          <w:w w:val="105"/>
        </w:rPr>
        <w:t>SNAP,</w:t>
      </w:r>
      <w:r w:rsidRPr="00E06806">
        <w:rPr>
          <w:rFonts w:cstheme="minorHAnsi"/>
          <w:color w:val="231F20"/>
          <w:spacing w:val="19"/>
          <w:w w:val="105"/>
        </w:rPr>
        <w:t xml:space="preserve"> </w:t>
      </w:r>
      <w:r w:rsidRPr="00E06806">
        <w:rPr>
          <w:rFonts w:cstheme="minorHAnsi"/>
          <w:color w:val="231F20"/>
          <w:w w:val="105"/>
        </w:rPr>
        <w:t>Apprenticeship,</w:t>
      </w:r>
      <w:r w:rsidRPr="00E06806">
        <w:rPr>
          <w:rFonts w:cstheme="minorHAnsi"/>
          <w:color w:val="231F20"/>
          <w:spacing w:val="19"/>
          <w:w w:val="105"/>
        </w:rPr>
        <w:t xml:space="preserve"> </w:t>
      </w:r>
      <w:r w:rsidRPr="00E06806">
        <w:rPr>
          <w:rFonts w:cstheme="minorHAnsi"/>
          <w:color w:val="231F20"/>
          <w:w w:val="105"/>
        </w:rPr>
        <w:t>Reemployment</w:t>
      </w:r>
      <w:r w:rsidRPr="00E06806">
        <w:rPr>
          <w:rFonts w:cstheme="minorHAnsi"/>
          <w:color w:val="231F20"/>
          <w:spacing w:val="19"/>
          <w:w w:val="105"/>
        </w:rPr>
        <w:t xml:space="preserve"> </w:t>
      </w:r>
      <w:r w:rsidRPr="00E06806">
        <w:rPr>
          <w:rFonts w:cstheme="minorHAnsi"/>
          <w:color w:val="231F20"/>
          <w:w w:val="105"/>
        </w:rPr>
        <w:t>Assistance</w:t>
      </w:r>
      <w:r w:rsidRPr="00E06806">
        <w:rPr>
          <w:rFonts w:cstheme="minorHAnsi"/>
          <w:color w:val="231F20"/>
          <w:spacing w:val="15"/>
          <w:w w:val="105"/>
        </w:rPr>
        <w:t xml:space="preserve"> </w:t>
      </w:r>
      <w:r w:rsidRPr="00E06806">
        <w:rPr>
          <w:rFonts w:cstheme="minorHAnsi"/>
          <w:color w:val="231F20"/>
          <w:w w:val="105"/>
        </w:rPr>
        <w:t>(RA)</w:t>
      </w:r>
      <w:r w:rsidRPr="00E06806">
        <w:rPr>
          <w:rFonts w:cstheme="minorHAnsi"/>
          <w:color w:val="231F20"/>
          <w:spacing w:val="15"/>
          <w:w w:val="105"/>
        </w:rPr>
        <w:t xml:space="preserve"> </w:t>
      </w:r>
      <w:r w:rsidRPr="00E06806">
        <w:rPr>
          <w:rFonts w:cstheme="minorHAnsi"/>
          <w:color w:val="231F20"/>
          <w:w w:val="105"/>
        </w:rPr>
        <w:t>claimants</w:t>
      </w:r>
      <w:r w:rsidR="00D5537E">
        <w:rPr>
          <w:rFonts w:cstheme="minorHAnsi"/>
          <w:color w:val="231F20"/>
          <w:w w:val="105"/>
        </w:rPr>
        <w:t xml:space="preserve"> and</w:t>
      </w:r>
      <w:r w:rsidRPr="00E06806">
        <w:rPr>
          <w:rFonts w:cstheme="minorHAnsi"/>
          <w:color w:val="231F20"/>
          <w:spacing w:val="15"/>
          <w:w w:val="105"/>
        </w:rPr>
        <w:t xml:space="preserve"> </w:t>
      </w:r>
      <w:r w:rsidRPr="00E06806">
        <w:rPr>
          <w:rFonts w:cstheme="minorHAnsi"/>
          <w:color w:val="231F20"/>
          <w:w w:val="105"/>
        </w:rPr>
        <w:t>ex-offenders.</w:t>
      </w:r>
      <w:r w:rsidRPr="00E06806">
        <w:rPr>
          <w:rFonts w:cstheme="minorHAnsi"/>
          <w:color w:val="231F20"/>
          <w:spacing w:val="15"/>
          <w:w w:val="105"/>
        </w:rPr>
        <w:t xml:space="preserve"> </w:t>
      </w:r>
      <w:r w:rsidR="005D167D">
        <w:rPr>
          <w:rFonts w:cstheme="minorHAnsi"/>
          <w:color w:val="231F20"/>
          <w:spacing w:val="15"/>
          <w:w w:val="105"/>
        </w:rPr>
        <w:t>N</w:t>
      </w:r>
      <w:r w:rsidRPr="00E06806">
        <w:rPr>
          <w:rFonts w:cstheme="minorHAnsi"/>
          <w:color w:val="231F20"/>
          <w:w w:val="105"/>
        </w:rPr>
        <w:t>early</w:t>
      </w:r>
      <w:r w:rsidRPr="00E06806">
        <w:rPr>
          <w:rFonts w:cstheme="minorHAnsi"/>
          <w:color w:val="231F20"/>
          <w:spacing w:val="15"/>
          <w:w w:val="105"/>
        </w:rPr>
        <w:t xml:space="preserve"> </w:t>
      </w:r>
      <w:r w:rsidRPr="00E06806">
        <w:rPr>
          <w:rFonts w:cstheme="minorHAnsi"/>
          <w:color w:val="231F20"/>
          <w:w w:val="105"/>
        </w:rPr>
        <w:t>600</w:t>
      </w:r>
      <w:r w:rsidRPr="00E06806">
        <w:rPr>
          <w:rFonts w:cstheme="minorHAnsi"/>
          <w:color w:val="231F20"/>
          <w:spacing w:val="15"/>
          <w:w w:val="105"/>
        </w:rPr>
        <w:t xml:space="preserve"> </w:t>
      </w:r>
      <w:r w:rsidRPr="00E06806">
        <w:rPr>
          <w:rFonts w:cstheme="minorHAnsi"/>
          <w:color w:val="231F20"/>
          <w:w w:val="105"/>
        </w:rPr>
        <w:t>groups</w:t>
      </w:r>
      <w:r w:rsidRPr="00E06806">
        <w:rPr>
          <w:rFonts w:cstheme="minorHAnsi"/>
          <w:color w:val="231F20"/>
          <w:spacing w:val="15"/>
          <w:w w:val="105"/>
        </w:rPr>
        <w:t xml:space="preserve"> </w:t>
      </w:r>
      <w:r w:rsidRPr="00E06806">
        <w:rPr>
          <w:rFonts w:cstheme="minorHAnsi"/>
          <w:color w:val="231F20"/>
          <w:w w:val="105"/>
        </w:rPr>
        <w:t>or</w:t>
      </w:r>
      <w:r w:rsidRPr="00E06806">
        <w:rPr>
          <w:rFonts w:cstheme="minorHAnsi"/>
          <w:color w:val="231F20"/>
          <w:spacing w:val="15"/>
          <w:w w:val="105"/>
        </w:rPr>
        <w:t xml:space="preserve"> </w:t>
      </w:r>
      <w:r w:rsidRPr="00E06806">
        <w:rPr>
          <w:rFonts w:cstheme="minorHAnsi"/>
          <w:color w:val="231F20"/>
          <w:w w:val="105"/>
        </w:rPr>
        <w:t>sub-cohorts</w:t>
      </w:r>
      <w:r w:rsidRPr="00E06806">
        <w:rPr>
          <w:rFonts w:cstheme="minorHAnsi"/>
          <w:color w:val="231F20"/>
          <w:spacing w:val="15"/>
          <w:w w:val="105"/>
        </w:rPr>
        <w:t xml:space="preserve"> </w:t>
      </w:r>
      <w:r w:rsidR="005D167D">
        <w:rPr>
          <w:rFonts w:cstheme="minorHAnsi"/>
          <w:color w:val="231F20"/>
          <w:spacing w:val="15"/>
          <w:w w:val="105"/>
        </w:rPr>
        <w:t>are</w:t>
      </w:r>
      <w:r w:rsidRPr="00E06806">
        <w:rPr>
          <w:rFonts w:cstheme="minorHAnsi"/>
          <w:color w:val="231F20"/>
          <w:spacing w:val="15"/>
          <w:w w:val="105"/>
        </w:rPr>
        <w:t xml:space="preserve"> </w:t>
      </w:r>
      <w:r w:rsidRPr="00E06806">
        <w:rPr>
          <w:rFonts w:cstheme="minorHAnsi"/>
          <w:color w:val="231F20"/>
          <w:w w:val="105"/>
        </w:rPr>
        <w:t>being</w:t>
      </w:r>
      <w:r w:rsidRPr="00E06806">
        <w:rPr>
          <w:rFonts w:cstheme="minorHAnsi"/>
          <w:color w:val="231F20"/>
          <w:spacing w:val="15"/>
          <w:w w:val="105"/>
        </w:rPr>
        <w:t xml:space="preserve"> </w:t>
      </w:r>
      <w:r w:rsidRPr="00E06806">
        <w:rPr>
          <w:rFonts w:cstheme="minorHAnsi"/>
          <w:color w:val="231F20"/>
          <w:w w:val="105"/>
        </w:rPr>
        <w:t>tracked.</w:t>
      </w:r>
    </w:p>
    <w:p w14:paraId="77C27651" w14:textId="77777777" w:rsidR="00636965" w:rsidRDefault="00636965" w:rsidP="00D63204">
      <w:pPr>
        <w:widowControl w:val="0"/>
        <w:spacing w:after="0" w:line="266" w:lineRule="exact"/>
        <w:ind w:left="107"/>
        <w:outlineLvl w:val="2"/>
        <w:rPr>
          <w:rFonts w:cstheme="minorHAnsi"/>
          <w:color w:val="231F20"/>
          <w:w w:val="105"/>
        </w:rPr>
      </w:pPr>
    </w:p>
    <w:p w14:paraId="64210E1C" w14:textId="519DE340" w:rsidR="00704DA7" w:rsidRDefault="006C7A1E" w:rsidP="00D63204">
      <w:pPr>
        <w:widowControl w:val="0"/>
        <w:spacing w:after="0" w:line="266" w:lineRule="exact"/>
        <w:ind w:left="107"/>
        <w:outlineLvl w:val="2"/>
        <w:rPr>
          <w:rFonts w:cstheme="minorHAnsi"/>
          <w:color w:val="231F20"/>
          <w:w w:val="105"/>
        </w:rPr>
      </w:pPr>
      <w:r w:rsidRPr="006C7A1E">
        <w:rPr>
          <w:rFonts w:cstheme="minorHAnsi"/>
          <w:color w:val="231F20"/>
          <w:w w:val="105"/>
        </w:rPr>
        <w:t xml:space="preserve">FETPIP follow-up data </w:t>
      </w:r>
      <w:r w:rsidR="00B0707D">
        <w:rPr>
          <w:rFonts w:cstheme="minorHAnsi"/>
          <w:color w:val="231F20"/>
          <w:w w:val="105"/>
        </w:rPr>
        <w:t>are</w:t>
      </w:r>
      <w:r w:rsidRPr="006C7A1E">
        <w:rPr>
          <w:rFonts w:cstheme="minorHAnsi"/>
          <w:color w:val="231F20"/>
          <w:w w:val="105"/>
        </w:rPr>
        <w:t xml:space="preserve"> electronically derived from Reemployment Assistance quarterly wage records, federal military and civilian personnel records, public assistance, incarceration/parole records</w:t>
      </w:r>
      <w:r w:rsidR="00D5537E">
        <w:rPr>
          <w:rFonts w:cstheme="minorHAnsi"/>
          <w:color w:val="231F20"/>
          <w:w w:val="105"/>
        </w:rPr>
        <w:t xml:space="preserve"> and</w:t>
      </w:r>
      <w:r w:rsidRPr="006C7A1E">
        <w:rPr>
          <w:rFonts w:cstheme="minorHAnsi"/>
          <w:color w:val="231F20"/>
          <w:w w:val="105"/>
        </w:rPr>
        <w:t xml:space="preserve"> continued education rosters. This data informs Core Partner programs in completing quarterly and annual reports at the federal and state levels. Reports include extensive detail and longitudinal capabilities. Each group is tracked for at least two years. Many groups including high school graduates and drop outs, certificate programs</w:t>
      </w:r>
      <w:r w:rsidR="00D5537E">
        <w:rPr>
          <w:rFonts w:cstheme="minorHAnsi"/>
          <w:color w:val="231F20"/>
          <w:w w:val="105"/>
        </w:rPr>
        <w:t xml:space="preserve"> and</w:t>
      </w:r>
      <w:r w:rsidRPr="006C7A1E">
        <w:rPr>
          <w:rFonts w:cstheme="minorHAnsi"/>
          <w:color w:val="231F20"/>
          <w:w w:val="105"/>
        </w:rPr>
        <w:t xml:space="preserve"> all levels of higher education are tracked over much longer periods</w:t>
      </w:r>
      <w:r w:rsidR="005E7C49">
        <w:rPr>
          <w:rFonts w:cstheme="minorHAnsi"/>
          <w:color w:val="231F20"/>
          <w:w w:val="105"/>
        </w:rPr>
        <w:t xml:space="preserve">. </w:t>
      </w:r>
      <w:r w:rsidRPr="006C7A1E">
        <w:rPr>
          <w:rFonts w:cstheme="minorHAnsi"/>
          <w:color w:val="231F20"/>
          <w:w w:val="105"/>
        </w:rPr>
        <w:t>Quarterly reports detailing employment and public assistance status and outcomes are run and analyzed. For detailed information on FETPIP, including examples of annual outcome</w:t>
      </w:r>
      <w:r w:rsidR="005E2625">
        <w:rPr>
          <w:rFonts w:cstheme="minorHAnsi"/>
          <w:color w:val="231F20"/>
          <w:w w:val="105"/>
        </w:rPr>
        <w:t xml:space="preserve"> </w:t>
      </w:r>
      <w:r w:rsidRPr="006C7A1E">
        <w:rPr>
          <w:rFonts w:cstheme="minorHAnsi"/>
          <w:color w:val="231F20"/>
          <w:w w:val="105"/>
        </w:rPr>
        <w:t>reports, please visit</w:t>
      </w:r>
      <w:r w:rsidR="00704DA7">
        <w:rPr>
          <w:rFonts w:cstheme="minorHAnsi"/>
          <w:color w:val="231F20"/>
          <w:w w:val="105"/>
        </w:rPr>
        <w:t>:</w:t>
      </w:r>
    </w:p>
    <w:p w14:paraId="7CEBDAA2" w14:textId="45E0CEEA" w:rsidR="000237BA" w:rsidRPr="00704DA7" w:rsidRDefault="00704DA7" w:rsidP="00D63204">
      <w:pPr>
        <w:widowControl w:val="0"/>
        <w:spacing w:after="0" w:line="266" w:lineRule="exact"/>
        <w:ind w:left="107"/>
        <w:outlineLvl w:val="2"/>
        <w:rPr>
          <w:rStyle w:val="Hyperlink"/>
          <w:rFonts w:cstheme="minorHAnsi"/>
          <w:w w:val="105"/>
        </w:rPr>
      </w:pPr>
      <w:r>
        <w:rPr>
          <w:rFonts w:cstheme="minorHAnsi"/>
          <w:color w:val="231F20"/>
          <w:w w:val="105"/>
        </w:rPr>
        <w:fldChar w:fldCharType="begin"/>
      </w:r>
      <w:r>
        <w:rPr>
          <w:rFonts w:cstheme="minorHAnsi"/>
          <w:color w:val="231F20"/>
          <w:w w:val="105"/>
        </w:rPr>
        <w:instrText xml:space="preserve"> HYPERLINK "http://fldoe.org/accountability/fl-edu-training-placement-info-program/" </w:instrText>
      </w:r>
      <w:r>
        <w:rPr>
          <w:rFonts w:cstheme="minorHAnsi"/>
          <w:color w:val="231F20"/>
          <w:w w:val="105"/>
        </w:rPr>
        <w:fldChar w:fldCharType="separate"/>
      </w:r>
      <w:r w:rsidR="006C7A1E" w:rsidRPr="00704DA7">
        <w:rPr>
          <w:rStyle w:val="Hyperlink"/>
          <w:rFonts w:cstheme="minorHAnsi"/>
          <w:w w:val="105"/>
        </w:rPr>
        <w:t>http://fldoe.org/accountability/fl-edu-training-placement-info-program/.</w:t>
      </w:r>
    </w:p>
    <w:p w14:paraId="0E100814" w14:textId="63D44967" w:rsidR="000237BA" w:rsidRDefault="00704DA7" w:rsidP="00D63204">
      <w:pPr>
        <w:widowControl w:val="0"/>
        <w:spacing w:after="0" w:line="266" w:lineRule="exact"/>
        <w:ind w:left="107"/>
        <w:outlineLvl w:val="2"/>
        <w:rPr>
          <w:rFonts w:cstheme="minorHAnsi"/>
          <w:color w:val="231F20"/>
          <w:w w:val="105"/>
        </w:rPr>
      </w:pPr>
      <w:r>
        <w:rPr>
          <w:rFonts w:cstheme="minorHAnsi"/>
          <w:color w:val="231F20"/>
          <w:w w:val="105"/>
        </w:rPr>
        <w:fldChar w:fldCharType="end"/>
      </w:r>
    </w:p>
    <w:p w14:paraId="5C2DC48A" w14:textId="26D3C905" w:rsidR="00EA7458" w:rsidRDefault="006C7A1E" w:rsidP="00D63204">
      <w:pPr>
        <w:widowControl w:val="0"/>
        <w:spacing w:after="0" w:line="266" w:lineRule="exact"/>
        <w:ind w:left="107"/>
        <w:outlineLvl w:val="2"/>
        <w:rPr>
          <w:rFonts w:cstheme="minorHAnsi"/>
          <w:color w:val="231F20"/>
          <w:w w:val="105"/>
        </w:rPr>
      </w:pPr>
      <w:r w:rsidRPr="006C7A1E">
        <w:rPr>
          <w:rFonts w:cstheme="minorHAnsi"/>
          <w:color w:val="231F20"/>
          <w:w w:val="105"/>
        </w:rPr>
        <w:t xml:space="preserve">FETPIP data </w:t>
      </w:r>
      <w:r w:rsidR="00B0707D">
        <w:rPr>
          <w:rFonts w:cstheme="minorHAnsi"/>
          <w:color w:val="231F20"/>
          <w:w w:val="105"/>
        </w:rPr>
        <w:t>are</w:t>
      </w:r>
      <w:r w:rsidRPr="006C7A1E">
        <w:rPr>
          <w:rFonts w:cstheme="minorHAnsi"/>
          <w:color w:val="231F20"/>
          <w:w w:val="105"/>
        </w:rPr>
        <w:t xml:space="preserve"> provided to LWDBs</w:t>
      </w:r>
      <w:r w:rsidR="003C44C8">
        <w:rPr>
          <w:rFonts w:cstheme="minorHAnsi"/>
          <w:color w:val="231F20"/>
          <w:w w:val="105"/>
        </w:rPr>
        <w:t>,</w:t>
      </w:r>
      <w:r w:rsidRPr="006C7A1E">
        <w:rPr>
          <w:rFonts w:cstheme="minorHAnsi"/>
          <w:color w:val="231F20"/>
          <w:w w:val="105"/>
        </w:rPr>
        <w:t xml:space="preserve"> enabling them to evaluate the strength of training programs offered throughout the state.</w:t>
      </w:r>
    </w:p>
    <w:p w14:paraId="3B50FA2D" w14:textId="003F4BBA" w:rsidR="000237BA" w:rsidRDefault="000237BA" w:rsidP="00D63204">
      <w:pPr>
        <w:widowControl w:val="0"/>
        <w:spacing w:after="0" w:line="266" w:lineRule="exact"/>
        <w:ind w:left="107"/>
        <w:outlineLvl w:val="2"/>
        <w:rPr>
          <w:rFonts w:cstheme="minorHAnsi"/>
        </w:rPr>
      </w:pPr>
    </w:p>
    <w:p w14:paraId="1748BC52" w14:textId="5C6D4D89" w:rsidR="00FB4D62" w:rsidRDefault="00FB4D62" w:rsidP="00D63204">
      <w:pPr>
        <w:widowControl w:val="0"/>
        <w:spacing w:after="0" w:line="266" w:lineRule="exact"/>
        <w:ind w:left="107"/>
        <w:outlineLvl w:val="2"/>
        <w:rPr>
          <w:rFonts w:cstheme="minorHAnsi"/>
        </w:rPr>
      </w:pPr>
    </w:p>
    <w:p w14:paraId="68446E5E" w14:textId="244B0A41" w:rsidR="00FB4D62" w:rsidRDefault="00FB4D62" w:rsidP="00D63204">
      <w:pPr>
        <w:widowControl w:val="0"/>
        <w:spacing w:after="0" w:line="266" w:lineRule="exact"/>
        <w:ind w:left="107"/>
        <w:outlineLvl w:val="2"/>
        <w:rPr>
          <w:rFonts w:cstheme="minorHAnsi"/>
        </w:rPr>
      </w:pPr>
    </w:p>
    <w:p w14:paraId="6DD52DFC" w14:textId="26521C9A" w:rsidR="00FB4D62" w:rsidRDefault="00FB4D62" w:rsidP="00D63204">
      <w:pPr>
        <w:widowControl w:val="0"/>
        <w:spacing w:after="0" w:line="266" w:lineRule="exact"/>
        <w:ind w:left="107"/>
        <w:outlineLvl w:val="2"/>
        <w:rPr>
          <w:rFonts w:cstheme="minorHAnsi"/>
        </w:rPr>
      </w:pPr>
    </w:p>
    <w:p w14:paraId="372003C2" w14:textId="623CEBB6" w:rsidR="00FB4D62" w:rsidRDefault="00FB4D62" w:rsidP="00D63204">
      <w:pPr>
        <w:widowControl w:val="0"/>
        <w:spacing w:after="0" w:line="266" w:lineRule="exact"/>
        <w:ind w:left="107"/>
        <w:outlineLvl w:val="2"/>
        <w:rPr>
          <w:rFonts w:cstheme="minorHAnsi"/>
        </w:rPr>
      </w:pPr>
    </w:p>
    <w:p w14:paraId="562B94D6" w14:textId="60F9A8E9" w:rsidR="00FB4D62" w:rsidRDefault="00FB4D62" w:rsidP="00D63204">
      <w:pPr>
        <w:widowControl w:val="0"/>
        <w:spacing w:after="0" w:line="266" w:lineRule="exact"/>
        <w:ind w:left="107"/>
        <w:outlineLvl w:val="2"/>
        <w:rPr>
          <w:rFonts w:cstheme="minorHAnsi"/>
        </w:rPr>
      </w:pPr>
    </w:p>
    <w:p w14:paraId="00078EF2" w14:textId="77777777" w:rsidR="00ED6228" w:rsidRDefault="00ED6228" w:rsidP="00D63204">
      <w:pPr>
        <w:widowControl w:val="0"/>
        <w:spacing w:after="0" w:line="266" w:lineRule="exact"/>
        <w:ind w:left="107"/>
        <w:outlineLvl w:val="2"/>
        <w:rPr>
          <w:rFonts w:cstheme="minorHAnsi"/>
        </w:rPr>
      </w:pPr>
    </w:p>
    <w:p w14:paraId="64D1E44F" w14:textId="63309997" w:rsidR="00FB4D62" w:rsidRDefault="00FB4D62" w:rsidP="00D63204">
      <w:pPr>
        <w:widowControl w:val="0"/>
        <w:spacing w:after="0" w:line="266" w:lineRule="exact"/>
        <w:ind w:left="107"/>
        <w:outlineLvl w:val="2"/>
        <w:rPr>
          <w:rFonts w:cstheme="minorHAnsi"/>
        </w:rPr>
      </w:pPr>
    </w:p>
    <w:p w14:paraId="5A812F76" w14:textId="77777777" w:rsidR="00FB4D62" w:rsidRPr="00E06806" w:rsidRDefault="00FB4D62" w:rsidP="00D63204">
      <w:pPr>
        <w:widowControl w:val="0"/>
        <w:spacing w:after="0" w:line="266" w:lineRule="exact"/>
        <w:ind w:left="107"/>
        <w:outlineLvl w:val="2"/>
        <w:rPr>
          <w:rFonts w:cstheme="minorHAnsi"/>
        </w:rPr>
      </w:pPr>
    </w:p>
    <w:p w14:paraId="1F9DE11E" w14:textId="2E518D28" w:rsidR="00EA7458" w:rsidRPr="0091189D" w:rsidRDefault="00EA7458" w:rsidP="00D63204">
      <w:pPr>
        <w:pStyle w:val="ListParagraph"/>
        <w:widowControl w:val="0"/>
        <w:numPr>
          <w:ilvl w:val="2"/>
          <w:numId w:val="6"/>
        </w:numPr>
        <w:tabs>
          <w:tab w:val="left" w:pos="1548"/>
        </w:tabs>
        <w:spacing w:before="59" w:after="0" w:line="240" w:lineRule="auto"/>
        <w:outlineLvl w:val="2"/>
        <w:rPr>
          <w:rFonts w:cstheme="minorHAnsi"/>
          <w:color w:val="295CA3"/>
        </w:rPr>
      </w:pPr>
      <w:r w:rsidRPr="0091189D">
        <w:rPr>
          <w:rFonts w:cstheme="minorHAnsi"/>
          <w:b/>
          <w:bCs/>
          <w:color w:val="295CA3"/>
          <w:w w:val="110"/>
        </w:rPr>
        <w:t>State</w:t>
      </w:r>
      <w:r w:rsidRPr="0091189D">
        <w:rPr>
          <w:rFonts w:cstheme="minorHAnsi"/>
          <w:b/>
          <w:bCs/>
          <w:color w:val="295CA3"/>
          <w:spacing w:val="1"/>
          <w:w w:val="110"/>
        </w:rPr>
        <w:t xml:space="preserve"> </w:t>
      </w:r>
      <w:r w:rsidRPr="0091189D">
        <w:rPr>
          <w:rFonts w:cstheme="minorHAnsi"/>
          <w:b/>
          <w:bCs/>
          <w:color w:val="295CA3"/>
          <w:w w:val="110"/>
        </w:rPr>
        <w:t>Policies</w:t>
      </w:r>
    </w:p>
    <w:p w14:paraId="731A5088" w14:textId="77777777" w:rsidR="00E43E64" w:rsidRDefault="00A00A4F" w:rsidP="00D63204">
      <w:pPr>
        <w:widowControl w:val="0"/>
        <w:spacing w:before="193" w:after="0" w:line="240" w:lineRule="auto"/>
        <w:ind w:left="90"/>
        <w:rPr>
          <w:rFonts w:cstheme="minorHAnsi"/>
          <w:w w:val="105"/>
        </w:rPr>
      </w:pPr>
      <w:r w:rsidRPr="00963AA1">
        <w:rPr>
          <w:rFonts w:cstheme="minorHAnsi"/>
          <w:w w:val="105"/>
        </w:rPr>
        <w:t xml:space="preserve">CareerSource Florida’s Board of Directors made a distinction between strategic and administrative policies. Strategic policies are high-level principles or directional statements that inform or clarify legislative policy or workforce system strategies. These strategic policies direct decision making at the program level and may result in the development of administrative policies. </w:t>
      </w:r>
    </w:p>
    <w:p w14:paraId="2C22FDDC" w14:textId="7C877181" w:rsidR="00A00A4F" w:rsidRPr="00A00A4F" w:rsidRDefault="00A00A4F" w:rsidP="00D63204">
      <w:pPr>
        <w:widowControl w:val="0"/>
        <w:spacing w:before="193" w:after="0" w:line="240" w:lineRule="auto"/>
        <w:ind w:left="90"/>
        <w:rPr>
          <w:rFonts w:cstheme="minorHAnsi"/>
        </w:rPr>
      </w:pPr>
      <w:r w:rsidRPr="00963AA1">
        <w:rPr>
          <w:rFonts w:cstheme="minorHAnsi"/>
          <w:w w:val="105"/>
        </w:rPr>
        <w:t>Administrative policies are business rules, requirements, processes and/or responsibilities that expand, explain or further specify legislative or CareerSource Florida strategic policies. CareerSource Florida administrative policies are developed by the Department of Economic Opportunity and CareerSource Florida. Administrative policies are aligned with CareerSource Florida strategic policies and administered by the Department of Economic Opportunity.</w:t>
      </w:r>
    </w:p>
    <w:p w14:paraId="3FF2BAE0" w14:textId="5FB2AF2C" w:rsidR="00391DC0" w:rsidRPr="00437F19" w:rsidRDefault="00391DC0" w:rsidP="00D63204">
      <w:pPr>
        <w:widowControl w:val="0"/>
        <w:spacing w:before="193" w:after="0" w:line="240" w:lineRule="auto"/>
        <w:ind w:left="107"/>
        <w:rPr>
          <w:rFonts w:cstheme="minorHAnsi"/>
          <w:w w:val="105"/>
        </w:rPr>
      </w:pPr>
      <w:r w:rsidRPr="00E06806">
        <w:rPr>
          <w:rFonts w:cstheme="minorHAnsi"/>
          <w:w w:val="105"/>
        </w:rPr>
        <w:t xml:space="preserve">CareerSource Florida policy requires the CareerSource Florida professional team to review all policies every two years. For each policy, recommendations are made to the </w:t>
      </w:r>
      <w:r w:rsidR="00FA0F69">
        <w:rPr>
          <w:rFonts w:cstheme="minorHAnsi"/>
          <w:w w:val="105"/>
        </w:rPr>
        <w:t>state</w:t>
      </w:r>
      <w:r w:rsidRPr="00E06806">
        <w:rPr>
          <w:rFonts w:cstheme="minorHAnsi"/>
          <w:w w:val="105"/>
        </w:rPr>
        <w:t xml:space="preserve"> Board of Directors to rescind, modify or amend the policy, consolidate policies, continue the policy without change or pursue other action. In 2017, the CareerSource Florida Strategic Policy and Performance Unit worked with the Department of Economic Opportunity to complete this review, ensuring existing policies focus on strategy rather than operational aspects of workforce system oversight; editing policies in simplified language and streamlining references to partners and programs as described in the Workforce Innovation and Opportunity Act; and eliminating obsolete language and policies.</w:t>
      </w:r>
    </w:p>
    <w:p w14:paraId="5DF7E888" w14:textId="5F46B250" w:rsidR="00391DC0" w:rsidRPr="00E06806" w:rsidRDefault="00391DC0" w:rsidP="00D63204">
      <w:pPr>
        <w:widowControl w:val="0"/>
        <w:spacing w:before="193" w:after="0" w:line="240" w:lineRule="auto"/>
        <w:ind w:left="107"/>
        <w:rPr>
          <w:rFonts w:cstheme="minorHAnsi"/>
          <w:w w:val="105"/>
        </w:rPr>
      </w:pPr>
      <w:r w:rsidRPr="00E06806">
        <w:rPr>
          <w:rFonts w:cstheme="minorHAnsi"/>
          <w:w w:val="105"/>
        </w:rPr>
        <w:t>In 2017, the CareerSource Florida Board of Directors reviewed an</w:t>
      </w:r>
      <w:r w:rsidR="00A44C1B" w:rsidRPr="00E06806">
        <w:rPr>
          <w:rFonts w:cstheme="minorHAnsi"/>
          <w:w w:val="105"/>
        </w:rPr>
        <w:t>d</w:t>
      </w:r>
      <w:r w:rsidRPr="00E06806">
        <w:rPr>
          <w:rFonts w:cstheme="minorHAnsi"/>
          <w:w w:val="105"/>
        </w:rPr>
        <w:t xml:space="preserve"> approved revisions to </w:t>
      </w:r>
      <w:r w:rsidR="00A44C1B" w:rsidRPr="00E06806">
        <w:rPr>
          <w:rFonts w:cstheme="minorHAnsi"/>
          <w:w w:val="105"/>
        </w:rPr>
        <w:t xml:space="preserve">existing policies in the company’s strategic policy portfolio. The board </w:t>
      </w:r>
      <w:r w:rsidRPr="00E06806">
        <w:rPr>
          <w:rFonts w:cstheme="minorHAnsi"/>
          <w:w w:val="105"/>
        </w:rPr>
        <w:t>approve</w:t>
      </w:r>
      <w:r w:rsidR="00A44C1B" w:rsidRPr="00E06806">
        <w:rPr>
          <w:rFonts w:cstheme="minorHAnsi"/>
          <w:w w:val="105"/>
        </w:rPr>
        <w:t>d</w:t>
      </w:r>
      <w:r w:rsidRPr="00E06806">
        <w:rPr>
          <w:rFonts w:cstheme="minorHAnsi"/>
          <w:w w:val="105"/>
        </w:rPr>
        <w:t xml:space="preserve"> the elimination of five obsolete policies and transferred two non-strategic operational policies to the Department of Economic Opportunity for administration. The board clarified and expanded its existing conflict of interest policies</w:t>
      </w:r>
      <w:r w:rsidR="00A44C1B" w:rsidRPr="00E06806">
        <w:rPr>
          <w:rFonts w:cstheme="minorHAnsi"/>
          <w:w w:val="105"/>
        </w:rPr>
        <w:t xml:space="preserve"> which reinforce the board’s commitment to ethics and transparency.</w:t>
      </w:r>
    </w:p>
    <w:p w14:paraId="1DD49728" w14:textId="7E610CBD" w:rsidR="00636965" w:rsidRDefault="00D701E3" w:rsidP="00D63204">
      <w:pPr>
        <w:widowControl w:val="0"/>
        <w:spacing w:before="193" w:after="0" w:line="240" w:lineRule="auto"/>
        <w:ind w:left="107"/>
        <w:rPr>
          <w:rFonts w:cstheme="minorHAnsi"/>
          <w:w w:val="105"/>
        </w:rPr>
      </w:pPr>
      <w:r w:rsidRPr="00437F19">
        <w:rPr>
          <w:rFonts w:cstheme="minorHAnsi"/>
          <w:w w:val="105"/>
        </w:rPr>
        <w:t>FDBS has a policy team to continually examine policies and procedures. The team reviewed and updated all policies related to the delivery of client services between July and September. Policies on Informed Choice, Comparable Services and Benefits, Purchase of Access and Rehabilitation Technology, Transition Services, Competitive Integrated Employment</w:t>
      </w:r>
      <w:r w:rsidR="0021466C">
        <w:rPr>
          <w:rFonts w:cstheme="minorHAnsi"/>
          <w:w w:val="105"/>
        </w:rPr>
        <w:t xml:space="preserve"> and </w:t>
      </w:r>
      <w:r w:rsidRPr="00437F19">
        <w:rPr>
          <w:rFonts w:cstheme="minorHAnsi"/>
          <w:w w:val="105"/>
        </w:rPr>
        <w:t>Timeliness of Services are effective as of October 18, 2017. Additional policy drafts are under review.</w:t>
      </w:r>
    </w:p>
    <w:p w14:paraId="18A6555B" w14:textId="77777777" w:rsidR="00963AA1" w:rsidRPr="00963AA1" w:rsidRDefault="00963AA1" w:rsidP="00D63204">
      <w:pPr>
        <w:widowControl w:val="0"/>
        <w:spacing w:before="193" w:after="0" w:line="240" w:lineRule="auto"/>
        <w:ind w:left="107"/>
        <w:rPr>
          <w:rFonts w:cstheme="minorHAnsi"/>
        </w:rPr>
      </w:pPr>
      <w:r w:rsidRPr="00963AA1">
        <w:rPr>
          <w:rFonts w:cstheme="minorHAnsi"/>
          <w:w w:val="105"/>
        </w:rPr>
        <w:t>Links to updated policy resources are below:</w:t>
      </w:r>
    </w:p>
    <w:p w14:paraId="40254373" w14:textId="77777777" w:rsidR="00963AA1" w:rsidRPr="00963AA1" w:rsidRDefault="00963AA1" w:rsidP="00D63204">
      <w:pPr>
        <w:widowControl w:val="0"/>
        <w:spacing w:after="0" w:line="240" w:lineRule="auto"/>
        <w:ind w:left="107"/>
        <w:rPr>
          <w:rFonts w:cstheme="minorHAnsi"/>
          <w:sz w:val="11"/>
          <w:szCs w:val="11"/>
        </w:rPr>
      </w:pPr>
    </w:p>
    <w:p w14:paraId="70995FE0" w14:textId="77777777" w:rsidR="00963AA1" w:rsidRPr="00963AA1" w:rsidRDefault="00963AA1" w:rsidP="00D63204">
      <w:pPr>
        <w:pStyle w:val="ListParagraph"/>
        <w:widowControl w:val="0"/>
        <w:numPr>
          <w:ilvl w:val="0"/>
          <w:numId w:val="26"/>
        </w:numPr>
        <w:spacing w:after="0" w:line="240" w:lineRule="auto"/>
        <w:rPr>
          <w:rFonts w:ascii="Calibri" w:hAnsi="Calibri"/>
          <w:color w:val="0000FF" w:themeColor="hyperlink"/>
          <w:u w:val="single"/>
        </w:rPr>
      </w:pPr>
      <w:r w:rsidRPr="00F55C20">
        <w:rPr>
          <w:rFonts w:cstheme="minorHAnsi"/>
          <w:w w:val="105"/>
        </w:rPr>
        <w:t>CareerSource Florida Strategic Policies</w:t>
      </w:r>
      <w:r w:rsidRPr="00963AA1">
        <w:rPr>
          <w:rFonts w:cstheme="minorHAnsi"/>
          <w:spacing w:val="48"/>
          <w:w w:val="105"/>
        </w:rPr>
        <w:t xml:space="preserve"> </w:t>
      </w:r>
      <w:hyperlink r:id="rId106" w:history="1">
        <w:r w:rsidRPr="00963AA1">
          <w:rPr>
            <w:rStyle w:val="Hyperlink"/>
          </w:rPr>
          <w:t>https://careersourceflorida.com/careersourceflorida-policies/</w:t>
        </w:r>
      </w:hyperlink>
    </w:p>
    <w:p w14:paraId="4700110E" w14:textId="77777777" w:rsidR="00963AA1" w:rsidRPr="00963AA1" w:rsidRDefault="00963AA1" w:rsidP="00D63204">
      <w:pPr>
        <w:pStyle w:val="ListParagraph"/>
        <w:widowControl w:val="0"/>
        <w:spacing w:after="0" w:line="240" w:lineRule="auto"/>
        <w:ind w:left="827"/>
        <w:rPr>
          <w:rStyle w:val="Hyperlink"/>
          <w:rFonts w:ascii="Calibri" w:hAnsi="Calibri"/>
        </w:rPr>
      </w:pPr>
    </w:p>
    <w:p w14:paraId="23948838" w14:textId="4B7F8B8A" w:rsidR="00963AA1" w:rsidRPr="00963AA1" w:rsidRDefault="00963AA1" w:rsidP="00D63204">
      <w:pPr>
        <w:pStyle w:val="ListParagraph"/>
        <w:widowControl w:val="0"/>
        <w:numPr>
          <w:ilvl w:val="0"/>
          <w:numId w:val="26"/>
        </w:numPr>
        <w:spacing w:after="0" w:line="240" w:lineRule="auto"/>
        <w:rPr>
          <w:rFonts w:cstheme="minorHAnsi"/>
        </w:rPr>
      </w:pPr>
      <w:r w:rsidRPr="00F55C20">
        <w:rPr>
          <w:rFonts w:cstheme="minorHAnsi"/>
          <w:w w:val="105"/>
        </w:rPr>
        <w:t xml:space="preserve">Department of Economic Opportunity </w:t>
      </w:r>
      <w:r w:rsidRPr="00963AA1">
        <w:rPr>
          <w:rFonts w:cstheme="minorHAnsi"/>
          <w:w w:val="105"/>
        </w:rPr>
        <w:t xml:space="preserve"> Administrative Policie</w:t>
      </w:r>
      <w:r w:rsidRPr="00963AA1">
        <w:rPr>
          <w:rFonts w:cstheme="minorHAnsi"/>
          <w:spacing w:val="31"/>
          <w:w w:val="105"/>
        </w:rPr>
        <w:t xml:space="preserve">s </w:t>
      </w:r>
      <w:hyperlink r:id="rId107">
        <w:r w:rsidRPr="00963AA1">
          <w:rPr>
            <w:rStyle w:val="Hyperlink"/>
            <w:rFonts w:ascii="Calibri" w:hAnsi="Calibri"/>
          </w:rPr>
          <w:t>http://www.floridajobs.org/workforce-board-resources/</w:t>
        </w:r>
      </w:hyperlink>
      <w:r w:rsidRPr="00963AA1">
        <w:rPr>
          <w:rStyle w:val="Hyperlink"/>
          <w:rFonts w:ascii="Calibri" w:hAnsi="Calibri"/>
        </w:rPr>
        <w:t xml:space="preserve"> </w:t>
      </w:r>
      <w:hyperlink r:id="rId108">
        <w:r w:rsidRPr="00963AA1">
          <w:rPr>
            <w:rStyle w:val="Hyperlink"/>
            <w:rFonts w:ascii="Calibri" w:hAnsi="Calibri"/>
          </w:rPr>
          <w:t>policy-and-guidance/guidance-papers</w:t>
        </w:r>
      </w:hyperlink>
    </w:p>
    <w:p w14:paraId="143A88F7" w14:textId="77777777" w:rsidR="00963AA1" w:rsidRPr="00963AA1" w:rsidRDefault="00963AA1" w:rsidP="00D63204">
      <w:pPr>
        <w:pStyle w:val="ListParagraph"/>
        <w:widowControl w:val="0"/>
        <w:spacing w:after="0" w:line="240" w:lineRule="auto"/>
        <w:ind w:left="827"/>
        <w:rPr>
          <w:rFonts w:cstheme="minorHAnsi"/>
        </w:rPr>
      </w:pPr>
    </w:p>
    <w:p w14:paraId="24A51D2F" w14:textId="77777777" w:rsidR="00963AA1" w:rsidRPr="00963AA1" w:rsidRDefault="00963AA1" w:rsidP="00D63204">
      <w:pPr>
        <w:pStyle w:val="ListParagraph"/>
        <w:widowControl w:val="0"/>
        <w:numPr>
          <w:ilvl w:val="0"/>
          <w:numId w:val="26"/>
        </w:numPr>
        <w:spacing w:after="0" w:line="240" w:lineRule="auto"/>
        <w:rPr>
          <w:rFonts w:cstheme="minorHAnsi"/>
          <w:color w:val="231F20"/>
        </w:rPr>
      </w:pPr>
      <w:r w:rsidRPr="00963AA1">
        <w:rPr>
          <w:rFonts w:cstheme="minorHAnsi"/>
          <w:color w:val="231F20"/>
          <w:w w:val="105"/>
        </w:rPr>
        <w:t>Vocational Rehabilitation Policy Manual</w:t>
      </w:r>
      <w:r w:rsidRPr="00963AA1">
        <w:rPr>
          <w:rFonts w:cstheme="minorHAnsi"/>
          <w:color w:val="231F20"/>
          <w:spacing w:val="7"/>
          <w:w w:val="105"/>
        </w:rPr>
        <w:t xml:space="preserve"> </w:t>
      </w:r>
      <w:hyperlink r:id="rId109">
        <w:r w:rsidRPr="00963AA1">
          <w:rPr>
            <w:rStyle w:val="Hyperlink"/>
            <w:rFonts w:ascii="Calibri" w:hAnsi="Calibri"/>
          </w:rPr>
          <w:t>http://www.rehabworks.org/policy.shtml</w:t>
        </w:r>
      </w:hyperlink>
    </w:p>
    <w:p w14:paraId="6D5D696A" w14:textId="77777777" w:rsidR="00963AA1" w:rsidRPr="00963AA1" w:rsidRDefault="00963AA1" w:rsidP="00D63204">
      <w:pPr>
        <w:pStyle w:val="ListParagraph"/>
        <w:widowControl w:val="0"/>
        <w:spacing w:after="0" w:line="240" w:lineRule="auto"/>
        <w:ind w:left="827"/>
        <w:rPr>
          <w:rFonts w:cstheme="minorHAnsi"/>
          <w:color w:val="231F20"/>
        </w:rPr>
      </w:pPr>
    </w:p>
    <w:p w14:paraId="33A20371" w14:textId="77777777" w:rsidR="00963AA1" w:rsidRPr="00963AA1" w:rsidRDefault="00963AA1" w:rsidP="00D63204">
      <w:pPr>
        <w:pStyle w:val="ListParagraph"/>
        <w:widowControl w:val="0"/>
        <w:numPr>
          <w:ilvl w:val="0"/>
          <w:numId w:val="26"/>
        </w:numPr>
        <w:spacing w:after="0" w:line="240" w:lineRule="auto"/>
        <w:rPr>
          <w:rFonts w:cstheme="minorHAnsi"/>
          <w:color w:val="231F20"/>
        </w:rPr>
      </w:pPr>
      <w:r w:rsidRPr="00963AA1">
        <w:rPr>
          <w:rFonts w:cstheme="minorHAnsi"/>
        </w:rPr>
        <w:t xml:space="preserve">DBS Client Services Policies </w:t>
      </w:r>
      <w:hyperlink r:id="rId110" w:history="1">
        <w:r w:rsidRPr="00963AA1">
          <w:rPr>
            <w:rStyle w:val="Hyperlink"/>
            <w:rFonts w:cstheme="minorHAnsi"/>
          </w:rPr>
          <w:t>http://dbs.myflorida.com/Leadership/Policies/index.html</w:t>
        </w:r>
      </w:hyperlink>
      <w:r w:rsidRPr="00963AA1">
        <w:rPr>
          <w:rFonts w:cstheme="minorHAnsi"/>
        </w:rPr>
        <w:t xml:space="preserve"> </w:t>
      </w:r>
    </w:p>
    <w:p w14:paraId="696ACA4F" w14:textId="77777777" w:rsidR="00963AA1" w:rsidRPr="00963AA1" w:rsidRDefault="00963AA1" w:rsidP="00D63204">
      <w:pPr>
        <w:pStyle w:val="ListParagraph"/>
        <w:widowControl w:val="0"/>
        <w:spacing w:after="0" w:line="240" w:lineRule="auto"/>
        <w:ind w:left="827"/>
        <w:rPr>
          <w:rFonts w:cstheme="minorHAnsi"/>
          <w:color w:val="231F20"/>
        </w:rPr>
      </w:pPr>
    </w:p>
    <w:p w14:paraId="40E024BF" w14:textId="77777777" w:rsidR="00963AA1" w:rsidRPr="00963AA1" w:rsidRDefault="00963AA1" w:rsidP="00D63204">
      <w:pPr>
        <w:pStyle w:val="ListParagraph"/>
        <w:widowControl w:val="0"/>
        <w:numPr>
          <w:ilvl w:val="0"/>
          <w:numId w:val="26"/>
        </w:numPr>
        <w:spacing w:after="0" w:line="240" w:lineRule="auto"/>
        <w:rPr>
          <w:rFonts w:cstheme="minorHAnsi"/>
        </w:rPr>
      </w:pPr>
      <w:r w:rsidRPr="00963AA1">
        <w:rPr>
          <w:rFonts w:cstheme="minorHAnsi"/>
          <w:w w:val="105"/>
        </w:rPr>
        <w:t xml:space="preserve">Adult Education Assessment </w:t>
      </w:r>
      <w:r w:rsidRPr="00963AA1">
        <w:rPr>
          <w:rFonts w:cstheme="minorHAnsi"/>
          <w:spacing w:val="-3"/>
          <w:w w:val="105"/>
        </w:rPr>
        <w:t xml:space="preserve">Technical </w:t>
      </w:r>
      <w:r w:rsidRPr="00963AA1">
        <w:rPr>
          <w:rFonts w:cstheme="minorHAnsi"/>
          <w:w w:val="105"/>
        </w:rPr>
        <w:t>Assistance Paper</w:t>
      </w:r>
      <w:r w:rsidRPr="00963AA1">
        <w:rPr>
          <w:rFonts w:cstheme="minorHAnsi"/>
          <w:spacing w:val="6"/>
          <w:w w:val="105"/>
        </w:rPr>
        <w:t xml:space="preserve"> </w:t>
      </w:r>
      <w:hyperlink r:id="rId111">
        <w:r w:rsidRPr="00963AA1">
          <w:rPr>
            <w:rStyle w:val="Hyperlink"/>
            <w:rFonts w:ascii="Calibri" w:hAnsi="Calibri"/>
          </w:rPr>
          <w:t>http://fldoe.org/academics/career-adult-</w:t>
        </w:r>
      </w:hyperlink>
      <w:r w:rsidRPr="00963AA1">
        <w:rPr>
          <w:rStyle w:val="Hyperlink"/>
          <w:rFonts w:ascii="Calibri" w:hAnsi="Calibri"/>
        </w:rPr>
        <w:t xml:space="preserve"> </w:t>
      </w:r>
      <w:hyperlink r:id="rId112">
        <w:r w:rsidRPr="00963AA1">
          <w:rPr>
            <w:rStyle w:val="Hyperlink"/>
            <w:rFonts w:ascii="Calibri" w:hAnsi="Calibri"/>
          </w:rPr>
          <w:t>edu/adult-edu/technical-assistance-papers.stml</w:t>
        </w:r>
      </w:hyperlink>
    </w:p>
    <w:p w14:paraId="71EE8A60" w14:textId="77777777" w:rsidR="00963AA1" w:rsidRPr="00963AA1" w:rsidRDefault="00963AA1" w:rsidP="00D63204">
      <w:pPr>
        <w:pStyle w:val="ListParagraph"/>
        <w:widowControl w:val="0"/>
        <w:spacing w:after="0" w:line="240" w:lineRule="auto"/>
        <w:ind w:left="827"/>
        <w:rPr>
          <w:rFonts w:cstheme="minorHAnsi"/>
        </w:rPr>
      </w:pPr>
    </w:p>
    <w:p w14:paraId="673F80A8" w14:textId="77777777" w:rsidR="00963AA1" w:rsidRPr="00963AA1" w:rsidRDefault="00963AA1" w:rsidP="00D63204">
      <w:pPr>
        <w:pStyle w:val="ListParagraph"/>
        <w:widowControl w:val="0"/>
        <w:numPr>
          <w:ilvl w:val="0"/>
          <w:numId w:val="26"/>
        </w:numPr>
        <w:spacing w:after="0" w:line="240" w:lineRule="auto"/>
        <w:rPr>
          <w:rFonts w:cstheme="minorHAnsi"/>
          <w:color w:val="5F5F5F"/>
          <w:w w:val="105"/>
          <w:u w:val="single" w:color="5F5F5F"/>
        </w:rPr>
      </w:pPr>
      <w:r w:rsidRPr="00963AA1">
        <w:rPr>
          <w:rFonts w:cstheme="minorHAnsi"/>
          <w:color w:val="231F20"/>
          <w:w w:val="110"/>
        </w:rPr>
        <w:t xml:space="preserve">Adult High School </w:t>
      </w:r>
      <w:r w:rsidRPr="00963AA1">
        <w:rPr>
          <w:rFonts w:cstheme="minorHAnsi"/>
          <w:color w:val="231F20"/>
          <w:spacing w:val="-3"/>
          <w:w w:val="110"/>
        </w:rPr>
        <w:t xml:space="preserve">Technical </w:t>
      </w:r>
      <w:r w:rsidRPr="00963AA1">
        <w:rPr>
          <w:rFonts w:cstheme="minorHAnsi"/>
          <w:color w:val="231F20"/>
          <w:w w:val="110"/>
        </w:rPr>
        <w:t>Assistance</w:t>
      </w:r>
      <w:r w:rsidRPr="00963AA1">
        <w:rPr>
          <w:rFonts w:cstheme="minorHAnsi"/>
          <w:color w:val="231F20"/>
          <w:spacing w:val="13"/>
          <w:w w:val="110"/>
        </w:rPr>
        <w:t xml:space="preserve"> </w:t>
      </w:r>
      <w:r w:rsidRPr="00963AA1">
        <w:rPr>
          <w:rFonts w:cstheme="minorHAnsi"/>
          <w:color w:val="231F20"/>
          <w:w w:val="110"/>
        </w:rPr>
        <w:t xml:space="preserve">Guide </w:t>
      </w:r>
      <w:hyperlink r:id="rId113">
        <w:r w:rsidRPr="00963AA1">
          <w:rPr>
            <w:rStyle w:val="Hyperlink"/>
            <w:rFonts w:ascii="Calibri" w:hAnsi="Calibri"/>
          </w:rPr>
          <w:t>http://fldoe.org/academics/career-adult-edu/adult-edu/technical-assistance-papers.stml</w:t>
        </w:r>
      </w:hyperlink>
    </w:p>
    <w:p w14:paraId="5E483D1A" w14:textId="55E11408" w:rsidR="00EA7458" w:rsidRPr="00D337D1" w:rsidRDefault="0091189D" w:rsidP="00D337D1">
      <w:pPr>
        <w:rPr>
          <w:rFonts w:cstheme="minorHAnsi"/>
          <w:color w:val="5F5F5F"/>
          <w:w w:val="105"/>
          <w:u w:val="single" w:color="5F5F5F"/>
        </w:rPr>
      </w:pPr>
      <w:r>
        <w:rPr>
          <w:rFonts w:cstheme="minorHAnsi"/>
          <w:color w:val="5F5F5F"/>
          <w:w w:val="105"/>
          <w:u w:val="single" w:color="5F5F5F"/>
        </w:rPr>
        <w:br w:type="page"/>
      </w:r>
    </w:p>
    <w:p w14:paraId="3C70C41D" w14:textId="77777777" w:rsidR="0091189D" w:rsidRPr="00E06806" w:rsidRDefault="0091189D" w:rsidP="00D63204">
      <w:pPr>
        <w:widowControl w:val="0"/>
        <w:spacing w:before="2" w:after="0" w:line="240" w:lineRule="auto"/>
        <w:ind w:left="107"/>
        <w:rPr>
          <w:rFonts w:cstheme="minorHAnsi"/>
          <w:sz w:val="14"/>
          <w:szCs w:val="14"/>
        </w:rPr>
      </w:pPr>
    </w:p>
    <w:p w14:paraId="145CF4A7" w14:textId="23331679" w:rsidR="00EA7458" w:rsidRPr="0091189D" w:rsidRDefault="00EA7458" w:rsidP="00D63204">
      <w:pPr>
        <w:pStyle w:val="ListParagraph"/>
        <w:widowControl w:val="0"/>
        <w:numPr>
          <w:ilvl w:val="2"/>
          <w:numId w:val="6"/>
        </w:numPr>
        <w:tabs>
          <w:tab w:val="left" w:pos="1548"/>
        </w:tabs>
        <w:spacing w:before="59" w:after="0" w:line="240" w:lineRule="auto"/>
        <w:outlineLvl w:val="2"/>
        <w:rPr>
          <w:rFonts w:cstheme="minorHAnsi"/>
          <w:color w:val="295CA3"/>
        </w:rPr>
      </w:pPr>
      <w:bookmarkStart w:id="78" w:name="_bookmark40"/>
      <w:bookmarkEnd w:id="78"/>
      <w:r w:rsidRPr="0091189D">
        <w:rPr>
          <w:rFonts w:cstheme="minorHAnsi"/>
          <w:b/>
          <w:bCs/>
          <w:color w:val="295CA3"/>
          <w:w w:val="110"/>
        </w:rPr>
        <w:t>State Program and State Board</w:t>
      </w:r>
      <w:r w:rsidRPr="0091189D">
        <w:rPr>
          <w:rFonts w:cstheme="minorHAnsi"/>
          <w:b/>
          <w:bCs/>
          <w:color w:val="295CA3"/>
          <w:spacing w:val="2"/>
          <w:w w:val="110"/>
        </w:rPr>
        <w:t xml:space="preserve"> </w:t>
      </w:r>
      <w:r w:rsidRPr="0091189D">
        <w:rPr>
          <w:rFonts w:cstheme="minorHAnsi"/>
          <w:b/>
          <w:bCs/>
          <w:color w:val="295CA3"/>
          <w:w w:val="110"/>
        </w:rPr>
        <w:t>Overview</w:t>
      </w:r>
    </w:p>
    <w:p w14:paraId="79F1EA95" w14:textId="77777777" w:rsidR="0091189D" w:rsidRPr="0091189D" w:rsidRDefault="0091189D" w:rsidP="00D63204">
      <w:pPr>
        <w:pStyle w:val="ListParagraph"/>
        <w:widowControl w:val="0"/>
        <w:tabs>
          <w:tab w:val="left" w:pos="1548"/>
        </w:tabs>
        <w:spacing w:before="59" w:after="0" w:line="240" w:lineRule="auto"/>
        <w:ind w:left="2267"/>
        <w:outlineLvl w:val="2"/>
        <w:rPr>
          <w:rFonts w:cstheme="minorHAnsi"/>
          <w:color w:val="295CA3"/>
        </w:rPr>
      </w:pPr>
    </w:p>
    <w:p w14:paraId="4D2254DA" w14:textId="117467A1" w:rsidR="00EA7458" w:rsidRPr="00E378EA" w:rsidRDefault="00EA7458" w:rsidP="00D63204">
      <w:pPr>
        <w:pStyle w:val="ListParagraph"/>
        <w:widowControl w:val="0"/>
        <w:numPr>
          <w:ilvl w:val="0"/>
          <w:numId w:val="168"/>
        </w:numPr>
        <w:tabs>
          <w:tab w:val="left" w:pos="2268"/>
        </w:tabs>
        <w:spacing w:before="193" w:after="0" w:line="264" w:lineRule="exact"/>
        <w:rPr>
          <w:rFonts w:cstheme="minorHAnsi"/>
        </w:rPr>
      </w:pPr>
      <w:r w:rsidRPr="00E378EA">
        <w:rPr>
          <w:rFonts w:cstheme="minorHAnsi"/>
          <w:b/>
          <w:color w:val="295CA3"/>
          <w:w w:val="105"/>
          <w:u w:color="295CA3"/>
        </w:rPr>
        <w:t>State</w:t>
      </w:r>
      <w:r w:rsidRPr="00E378EA">
        <w:rPr>
          <w:rFonts w:cstheme="minorHAnsi"/>
          <w:b/>
          <w:color w:val="295CA3"/>
          <w:spacing w:val="25"/>
          <w:w w:val="105"/>
          <w:u w:color="295CA3"/>
        </w:rPr>
        <w:t xml:space="preserve"> </w:t>
      </w:r>
      <w:r w:rsidRPr="00E378EA">
        <w:rPr>
          <w:rFonts w:cstheme="minorHAnsi"/>
          <w:b/>
          <w:color w:val="295CA3"/>
          <w:w w:val="105"/>
          <w:u w:color="295CA3"/>
        </w:rPr>
        <w:t>Agency</w:t>
      </w:r>
      <w:r w:rsidRPr="00E378EA">
        <w:rPr>
          <w:rFonts w:cstheme="minorHAnsi"/>
          <w:b/>
          <w:color w:val="295CA3"/>
          <w:spacing w:val="25"/>
          <w:w w:val="105"/>
          <w:u w:color="295CA3"/>
        </w:rPr>
        <w:t xml:space="preserve"> </w:t>
      </w:r>
      <w:r w:rsidRPr="00E378EA">
        <w:rPr>
          <w:rFonts w:cstheme="minorHAnsi"/>
          <w:b/>
          <w:color w:val="295CA3"/>
          <w:w w:val="105"/>
          <w:u w:color="295CA3"/>
        </w:rPr>
        <w:t>Organization</w:t>
      </w:r>
      <w:r w:rsidRPr="00E378EA">
        <w:rPr>
          <w:rFonts w:cstheme="minorHAnsi"/>
          <w:b/>
          <w:color w:val="295CA3"/>
          <w:w w:val="105"/>
        </w:rPr>
        <w:t>.</w:t>
      </w:r>
      <w:r w:rsidRPr="00E378EA">
        <w:rPr>
          <w:rFonts w:cstheme="minorHAnsi"/>
          <w:color w:val="295CA3"/>
          <w:spacing w:val="25"/>
          <w:w w:val="105"/>
        </w:rPr>
        <w:t xml:space="preserve"> </w:t>
      </w:r>
      <w:r w:rsidRPr="00E378EA">
        <w:rPr>
          <w:rFonts w:cstheme="minorHAnsi"/>
          <w:color w:val="295CA3"/>
          <w:w w:val="105"/>
        </w:rPr>
        <w:t>Describe</w:t>
      </w:r>
      <w:r w:rsidRPr="00E378EA">
        <w:rPr>
          <w:rFonts w:cstheme="minorHAnsi"/>
          <w:color w:val="295CA3"/>
          <w:spacing w:val="25"/>
          <w:w w:val="105"/>
        </w:rPr>
        <w:t xml:space="preserve"> </w:t>
      </w:r>
      <w:r w:rsidRPr="00E378EA">
        <w:rPr>
          <w:rFonts w:cstheme="minorHAnsi"/>
          <w:color w:val="295CA3"/>
          <w:w w:val="105"/>
        </w:rPr>
        <w:t>the</w:t>
      </w:r>
      <w:r w:rsidRPr="00E378EA">
        <w:rPr>
          <w:rFonts w:cstheme="minorHAnsi"/>
          <w:color w:val="295CA3"/>
          <w:spacing w:val="25"/>
          <w:w w:val="105"/>
        </w:rPr>
        <w:t xml:space="preserve"> </w:t>
      </w:r>
      <w:r w:rsidRPr="00E378EA">
        <w:rPr>
          <w:rFonts w:cstheme="minorHAnsi"/>
          <w:color w:val="295CA3"/>
          <w:w w:val="105"/>
        </w:rPr>
        <w:t>organization</w:t>
      </w:r>
      <w:r w:rsidRPr="00E378EA">
        <w:rPr>
          <w:rFonts w:cstheme="minorHAnsi"/>
          <w:color w:val="295CA3"/>
          <w:spacing w:val="25"/>
          <w:w w:val="105"/>
        </w:rPr>
        <w:t xml:space="preserve"> </w:t>
      </w:r>
      <w:r w:rsidRPr="00E378EA">
        <w:rPr>
          <w:rFonts w:cstheme="minorHAnsi"/>
          <w:color w:val="295CA3"/>
          <w:w w:val="105"/>
        </w:rPr>
        <w:t>and</w:t>
      </w:r>
      <w:r w:rsidRPr="00E378EA">
        <w:rPr>
          <w:rFonts w:cstheme="minorHAnsi"/>
          <w:color w:val="295CA3"/>
          <w:spacing w:val="25"/>
          <w:w w:val="105"/>
        </w:rPr>
        <w:t xml:space="preserve"> </w:t>
      </w:r>
      <w:r w:rsidRPr="00E378EA">
        <w:rPr>
          <w:rFonts w:cstheme="minorHAnsi"/>
          <w:color w:val="295CA3"/>
          <w:w w:val="105"/>
        </w:rPr>
        <w:t>delivery</w:t>
      </w:r>
      <w:r w:rsidRPr="00E378EA">
        <w:rPr>
          <w:rFonts w:cstheme="minorHAnsi"/>
          <w:color w:val="295CA3"/>
          <w:spacing w:val="25"/>
          <w:w w:val="105"/>
        </w:rPr>
        <w:t xml:space="preserve"> </w:t>
      </w:r>
      <w:r w:rsidRPr="00E378EA">
        <w:rPr>
          <w:rFonts w:cstheme="minorHAnsi"/>
          <w:color w:val="295CA3"/>
          <w:w w:val="105"/>
        </w:rPr>
        <w:t>systems</w:t>
      </w:r>
      <w:r w:rsidRPr="00E378EA">
        <w:rPr>
          <w:rFonts w:cstheme="minorHAnsi"/>
          <w:color w:val="295CA3"/>
          <w:spacing w:val="25"/>
          <w:w w:val="105"/>
        </w:rPr>
        <w:t xml:space="preserve"> </w:t>
      </w:r>
      <w:r w:rsidRPr="00E378EA">
        <w:rPr>
          <w:rFonts w:cstheme="minorHAnsi"/>
          <w:color w:val="295CA3"/>
          <w:w w:val="105"/>
        </w:rPr>
        <w:t>at</w:t>
      </w:r>
      <w:r w:rsidRPr="00E378EA">
        <w:rPr>
          <w:rFonts w:cstheme="minorHAnsi"/>
          <w:color w:val="295CA3"/>
        </w:rPr>
        <w:t xml:space="preserve"> </w:t>
      </w:r>
      <w:r w:rsidRPr="00E378EA">
        <w:rPr>
          <w:rFonts w:cstheme="minorHAnsi"/>
          <w:color w:val="295CA3"/>
          <w:w w:val="105"/>
        </w:rPr>
        <w:t>the</w:t>
      </w:r>
      <w:r w:rsidRPr="00E378EA">
        <w:rPr>
          <w:rFonts w:cstheme="minorHAnsi"/>
          <w:color w:val="295CA3"/>
          <w:spacing w:val="11"/>
          <w:w w:val="105"/>
        </w:rPr>
        <w:t xml:space="preserve"> </w:t>
      </w:r>
      <w:r w:rsidRPr="00E378EA">
        <w:rPr>
          <w:rFonts w:cstheme="minorHAnsi"/>
          <w:color w:val="295CA3"/>
          <w:w w:val="105"/>
        </w:rPr>
        <w:t>State</w:t>
      </w:r>
      <w:r w:rsidRPr="00E378EA">
        <w:rPr>
          <w:rFonts w:cstheme="minorHAnsi"/>
          <w:color w:val="295CA3"/>
          <w:spacing w:val="11"/>
          <w:w w:val="105"/>
        </w:rPr>
        <w:t xml:space="preserve"> </w:t>
      </w:r>
      <w:r w:rsidRPr="00E378EA">
        <w:rPr>
          <w:rFonts w:cstheme="minorHAnsi"/>
          <w:color w:val="295CA3"/>
          <w:w w:val="105"/>
        </w:rPr>
        <w:t>and</w:t>
      </w:r>
      <w:r w:rsidRPr="00E378EA">
        <w:rPr>
          <w:rFonts w:cstheme="minorHAnsi"/>
          <w:color w:val="295CA3"/>
          <w:spacing w:val="11"/>
          <w:w w:val="105"/>
        </w:rPr>
        <w:t xml:space="preserve"> </w:t>
      </w:r>
      <w:r w:rsidRPr="00E378EA">
        <w:rPr>
          <w:rFonts w:cstheme="minorHAnsi"/>
          <w:color w:val="295CA3"/>
          <w:w w:val="105"/>
        </w:rPr>
        <w:t>local</w:t>
      </w:r>
      <w:r w:rsidRPr="00E378EA">
        <w:rPr>
          <w:rFonts w:cstheme="minorHAnsi"/>
          <w:color w:val="295CA3"/>
          <w:spacing w:val="11"/>
          <w:w w:val="105"/>
        </w:rPr>
        <w:t xml:space="preserve"> </w:t>
      </w:r>
      <w:r w:rsidRPr="00E378EA">
        <w:rPr>
          <w:rFonts w:cstheme="minorHAnsi"/>
          <w:color w:val="295CA3"/>
          <w:w w:val="105"/>
        </w:rPr>
        <w:t>levels</w:t>
      </w:r>
      <w:r w:rsidRPr="00E378EA">
        <w:rPr>
          <w:rFonts w:cstheme="minorHAnsi"/>
          <w:color w:val="295CA3"/>
          <w:spacing w:val="11"/>
          <w:w w:val="105"/>
        </w:rPr>
        <w:t xml:space="preserve"> </w:t>
      </w:r>
      <w:r w:rsidRPr="00E378EA">
        <w:rPr>
          <w:rFonts w:cstheme="minorHAnsi"/>
          <w:color w:val="295CA3"/>
          <w:w w:val="105"/>
        </w:rPr>
        <w:t>for</w:t>
      </w:r>
      <w:r w:rsidRPr="00E378EA">
        <w:rPr>
          <w:rFonts w:cstheme="minorHAnsi"/>
          <w:color w:val="295CA3"/>
          <w:spacing w:val="11"/>
          <w:w w:val="105"/>
        </w:rPr>
        <w:t xml:space="preserve"> </w:t>
      </w:r>
      <w:r w:rsidRPr="00E378EA">
        <w:rPr>
          <w:rFonts w:cstheme="minorHAnsi"/>
          <w:color w:val="295CA3"/>
          <w:w w:val="105"/>
        </w:rPr>
        <w:t>the</w:t>
      </w:r>
      <w:r w:rsidRPr="00E378EA">
        <w:rPr>
          <w:rFonts w:cstheme="minorHAnsi"/>
          <w:color w:val="295CA3"/>
          <w:spacing w:val="11"/>
          <w:w w:val="105"/>
        </w:rPr>
        <w:t xml:space="preserve"> </w:t>
      </w:r>
      <w:r w:rsidRPr="00E378EA">
        <w:rPr>
          <w:rFonts w:cstheme="minorHAnsi"/>
          <w:color w:val="295CA3"/>
          <w:w w:val="105"/>
        </w:rPr>
        <w:t>programs</w:t>
      </w:r>
      <w:r w:rsidRPr="00E378EA">
        <w:rPr>
          <w:rFonts w:cstheme="minorHAnsi"/>
          <w:color w:val="295CA3"/>
          <w:spacing w:val="11"/>
          <w:w w:val="105"/>
        </w:rPr>
        <w:t xml:space="preserve"> </w:t>
      </w:r>
      <w:r w:rsidRPr="00E378EA">
        <w:rPr>
          <w:rFonts w:cstheme="minorHAnsi"/>
          <w:color w:val="295CA3"/>
          <w:w w:val="105"/>
        </w:rPr>
        <w:t>covered</w:t>
      </w:r>
      <w:r w:rsidRPr="00E378EA">
        <w:rPr>
          <w:rFonts w:cstheme="minorHAnsi"/>
          <w:color w:val="295CA3"/>
          <w:spacing w:val="11"/>
          <w:w w:val="105"/>
        </w:rPr>
        <w:t xml:space="preserve"> </w:t>
      </w:r>
      <w:r w:rsidRPr="00E378EA">
        <w:rPr>
          <w:rFonts w:cstheme="minorHAnsi"/>
          <w:color w:val="295CA3"/>
          <w:w w:val="105"/>
        </w:rPr>
        <w:t>in</w:t>
      </w:r>
      <w:r w:rsidRPr="00E378EA">
        <w:rPr>
          <w:rFonts w:cstheme="minorHAnsi"/>
          <w:color w:val="295CA3"/>
          <w:spacing w:val="11"/>
          <w:w w:val="105"/>
        </w:rPr>
        <w:t xml:space="preserve"> </w:t>
      </w:r>
      <w:r w:rsidRPr="00E378EA">
        <w:rPr>
          <w:rFonts w:cstheme="minorHAnsi"/>
          <w:color w:val="295CA3"/>
          <w:w w:val="105"/>
        </w:rPr>
        <w:t>the</w:t>
      </w:r>
      <w:r w:rsidRPr="00E378EA">
        <w:rPr>
          <w:rFonts w:cstheme="minorHAnsi"/>
          <w:color w:val="295CA3"/>
          <w:spacing w:val="11"/>
          <w:w w:val="105"/>
        </w:rPr>
        <w:t xml:space="preserve"> </w:t>
      </w:r>
      <w:r w:rsidRPr="00E378EA">
        <w:rPr>
          <w:rFonts w:cstheme="minorHAnsi"/>
          <w:color w:val="295CA3"/>
          <w:w w:val="105"/>
        </w:rPr>
        <w:t>plan,</w:t>
      </w:r>
      <w:r w:rsidRPr="00E378EA">
        <w:rPr>
          <w:rFonts w:cstheme="minorHAnsi"/>
          <w:color w:val="295CA3"/>
          <w:spacing w:val="11"/>
          <w:w w:val="105"/>
        </w:rPr>
        <w:t xml:space="preserve"> </w:t>
      </w:r>
      <w:r w:rsidRPr="00E378EA">
        <w:rPr>
          <w:rFonts w:cstheme="minorHAnsi"/>
          <w:color w:val="295CA3"/>
          <w:w w:val="105"/>
        </w:rPr>
        <w:t>including</w:t>
      </w:r>
      <w:r w:rsidRPr="00E378EA">
        <w:rPr>
          <w:rFonts w:cstheme="minorHAnsi"/>
          <w:color w:val="295CA3"/>
          <w:spacing w:val="11"/>
          <w:w w:val="105"/>
        </w:rPr>
        <w:t xml:space="preserve"> </w:t>
      </w:r>
      <w:r w:rsidRPr="00E378EA">
        <w:rPr>
          <w:rFonts w:cstheme="minorHAnsi"/>
          <w:color w:val="295CA3"/>
          <w:w w:val="105"/>
        </w:rPr>
        <w:t>the</w:t>
      </w:r>
      <w:r w:rsidRPr="00E378EA">
        <w:rPr>
          <w:rFonts w:cstheme="minorHAnsi"/>
          <w:color w:val="295CA3"/>
          <w:spacing w:val="-34"/>
          <w:w w:val="105"/>
        </w:rPr>
        <w:t xml:space="preserve"> </w:t>
      </w:r>
      <w:r w:rsidRPr="00E378EA">
        <w:rPr>
          <w:rFonts w:cstheme="minorHAnsi"/>
          <w:color w:val="295CA3"/>
          <w:w w:val="105"/>
        </w:rPr>
        <w:t>organizational structure. Include an organizational</w:t>
      </w:r>
      <w:r w:rsidRPr="00E378EA">
        <w:rPr>
          <w:rFonts w:cstheme="minorHAnsi"/>
          <w:color w:val="295CA3"/>
          <w:spacing w:val="27"/>
          <w:w w:val="105"/>
        </w:rPr>
        <w:t xml:space="preserve"> </w:t>
      </w:r>
      <w:r w:rsidRPr="00E378EA">
        <w:rPr>
          <w:rFonts w:cstheme="minorHAnsi"/>
          <w:color w:val="295CA3"/>
          <w:w w:val="105"/>
        </w:rPr>
        <w:t>chart</w:t>
      </w:r>
    </w:p>
    <w:p w14:paraId="51D17E7B" w14:textId="58776EBE" w:rsidR="00EA7458" w:rsidRPr="00E06806" w:rsidRDefault="00EA7458" w:rsidP="00D63204">
      <w:pPr>
        <w:widowControl w:val="0"/>
        <w:spacing w:before="197" w:after="0" w:line="266" w:lineRule="exact"/>
        <w:ind w:left="107"/>
        <w:outlineLvl w:val="2"/>
        <w:rPr>
          <w:rFonts w:cstheme="minorHAnsi"/>
        </w:rPr>
      </w:pPr>
      <w:r w:rsidRPr="00E06806">
        <w:rPr>
          <w:rFonts w:cstheme="minorHAnsi"/>
          <w:b/>
          <w:bCs/>
          <w:color w:val="231F20"/>
          <w:w w:val="105"/>
        </w:rPr>
        <w:t>Department of Economic</w:t>
      </w:r>
      <w:r w:rsidRPr="00E06806">
        <w:rPr>
          <w:rFonts w:cstheme="minorHAnsi"/>
          <w:b/>
          <w:bCs/>
          <w:color w:val="231F20"/>
          <w:spacing w:val="-7"/>
          <w:w w:val="105"/>
        </w:rPr>
        <w:t xml:space="preserve"> </w:t>
      </w:r>
      <w:r w:rsidRPr="00E06806">
        <w:rPr>
          <w:rFonts w:cstheme="minorHAnsi"/>
          <w:b/>
          <w:bCs/>
          <w:color w:val="231F20"/>
          <w:w w:val="105"/>
        </w:rPr>
        <w:t>Opportunity</w:t>
      </w:r>
    </w:p>
    <w:p w14:paraId="59D8C949" w14:textId="52076D20" w:rsidR="001E2A7D" w:rsidRPr="00582A27" w:rsidRDefault="00EA7458" w:rsidP="00D63204">
      <w:pPr>
        <w:widowControl w:val="0"/>
        <w:spacing w:after="0" w:line="240" w:lineRule="auto"/>
        <w:ind w:left="107"/>
        <w:rPr>
          <w:rFonts w:cstheme="minorHAnsi"/>
          <w:w w:val="105"/>
        </w:rPr>
      </w:pPr>
      <w:r w:rsidRPr="00582A27">
        <w:rPr>
          <w:rFonts w:cstheme="minorHAnsi"/>
          <w:w w:val="105"/>
        </w:rPr>
        <w:t>The Department of Economic Opportunity (DEO) is the governor’s agency for workforce support and training, economic development</w:t>
      </w:r>
      <w:r w:rsidR="00D5537E">
        <w:rPr>
          <w:rFonts w:cstheme="minorHAnsi"/>
          <w:w w:val="105"/>
        </w:rPr>
        <w:t xml:space="preserve"> and</w:t>
      </w:r>
      <w:r w:rsidRPr="00582A27">
        <w:rPr>
          <w:rFonts w:cstheme="minorHAnsi"/>
          <w:w w:val="105"/>
        </w:rPr>
        <w:t xml:space="preserve"> community development. DEO partners with CareerSource Florida and the state’s 24 </w:t>
      </w:r>
      <w:r w:rsidR="0013017A">
        <w:rPr>
          <w:rFonts w:cstheme="minorHAnsi"/>
          <w:w w:val="105"/>
        </w:rPr>
        <w:t>l</w:t>
      </w:r>
      <w:r w:rsidRPr="00582A27">
        <w:rPr>
          <w:rFonts w:cstheme="minorHAnsi"/>
          <w:w w:val="105"/>
        </w:rPr>
        <w:t xml:space="preserve">ocal </w:t>
      </w:r>
      <w:r w:rsidR="0013017A">
        <w:rPr>
          <w:rFonts w:cstheme="minorHAnsi"/>
          <w:w w:val="105"/>
        </w:rPr>
        <w:t>w</w:t>
      </w:r>
      <w:r w:rsidRPr="00582A27">
        <w:rPr>
          <w:rFonts w:cstheme="minorHAnsi"/>
          <w:w w:val="105"/>
        </w:rPr>
        <w:t xml:space="preserve">orkforce </w:t>
      </w:r>
      <w:r w:rsidR="0013017A">
        <w:rPr>
          <w:rFonts w:cstheme="minorHAnsi"/>
          <w:w w:val="105"/>
        </w:rPr>
        <w:t>d</w:t>
      </w:r>
      <w:r w:rsidRPr="00582A27">
        <w:rPr>
          <w:rFonts w:cstheme="minorHAnsi"/>
          <w:w w:val="105"/>
        </w:rPr>
        <w:t xml:space="preserve">evelopment </w:t>
      </w:r>
      <w:r w:rsidR="00BA28A2">
        <w:rPr>
          <w:rFonts w:cstheme="minorHAnsi"/>
          <w:w w:val="105"/>
        </w:rPr>
        <w:t>b</w:t>
      </w:r>
      <w:r w:rsidRPr="00582A27">
        <w:rPr>
          <w:rFonts w:cstheme="minorHAnsi"/>
          <w:w w:val="105"/>
        </w:rPr>
        <w:t>oards (LWDBs) to strengthen Florida’s business climate by supporting employers and helping Floridians gain employment, remain employed</w:t>
      </w:r>
      <w:r w:rsidR="00D5537E">
        <w:rPr>
          <w:rFonts w:cstheme="minorHAnsi"/>
          <w:w w:val="105"/>
        </w:rPr>
        <w:t xml:space="preserve"> and</w:t>
      </w:r>
      <w:r w:rsidRPr="00582A27">
        <w:rPr>
          <w:rFonts w:cstheme="minorHAnsi"/>
          <w:w w:val="105"/>
        </w:rPr>
        <w:t xml:space="preserve"> advance in their careers. DEO oversees the administration of the state’s workforce system and receives and accounts</w:t>
      </w:r>
      <w:r w:rsidR="00582A27" w:rsidRPr="00582A27">
        <w:rPr>
          <w:rFonts w:cstheme="minorHAnsi"/>
          <w:w w:val="105"/>
        </w:rPr>
        <w:t xml:space="preserve"> </w:t>
      </w:r>
      <w:r w:rsidRPr="00582A27">
        <w:rPr>
          <w:rFonts w:cstheme="minorHAnsi"/>
          <w:w w:val="105"/>
        </w:rPr>
        <w:t xml:space="preserve">for federal funds </w:t>
      </w:r>
      <w:r w:rsidR="00485288" w:rsidRPr="00582A27">
        <w:rPr>
          <w:rFonts w:cstheme="minorHAnsi"/>
          <w:w w:val="105"/>
        </w:rPr>
        <w:t xml:space="preserve">for </w:t>
      </w:r>
      <w:r w:rsidRPr="00582A27">
        <w:rPr>
          <w:rFonts w:cstheme="minorHAnsi"/>
          <w:w w:val="105"/>
        </w:rPr>
        <w:t xml:space="preserve">the system. DEO </w:t>
      </w:r>
      <w:r w:rsidR="00633C00" w:rsidRPr="00582A27">
        <w:rPr>
          <w:rFonts w:cstheme="minorHAnsi"/>
          <w:w w:val="105"/>
        </w:rPr>
        <w:t xml:space="preserve">reports </w:t>
      </w:r>
      <w:r w:rsidRPr="00582A27">
        <w:rPr>
          <w:rFonts w:cstheme="minorHAnsi"/>
          <w:w w:val="105"/>
        </w:rPr>
        <w:t xml:space="preserve">financial and performance </w:t>
      </w:r>
      <w:r w:rsidR="00633C00" w:rsidRPr="00582A27">
        <w:rPr>
          <w:rFonts w:cstheme="minorHAnsi"/>
          <w:w w:val="105"/>
        </w:rPr>
        <w:t xml:space="preserve">information </w:t>
      </w:r>
      <w:r w:rsidRPr="00582A27">
        <w:rPr>
          <w:rFonts w:cstheme="minorHAnsi"/>
          <w:w w:val="105"/>
        </w:rPr>
        <w:t>to USDOL and other federal organizations</w:t>
      </w:r>
      <w:r w:rsidR="00633C00" w:rsidRPr="00582A27">
        <w:rPr>
          <w:rFonts w:cstheme="minorHAnsi"/>
          <w:w w:val="105"/>
        </w:rPr>
        <w:t xml:space="preserve">. The </w:t>
      </w:r>
      <w:r w:rsidR="003F4B1C">
        <w:rPr>
          <w:rFonts w:cstheme="minorHAnsi"/>
          <w:w w:val="105"/>
        </w:rPr>
        <w:t>d</w:t>
      </w:r>
      <w:r w:rsidR="00633C00" w:rsidRPr="00582A27">
        <w:rPr>
          <w:rFonts w:cstheme="minorHAnsi"/>
          <w:w w:val="105"/>
        </w:rPr>
        <w:t xml:space="preserve">epartment distributes </w:t>
      </w:r>
      <w:r w:rsidRPr="00582A27">
        <w:rPr>
          <w:rFonts w:cstheme="minorHAnsi"/>
          <w:w w:val="105"/>
        </w:rPr>
        <w:t>workforce guidance and policy initiatives</w:t>
      </w:r>
      <w:r w:rsidR="00D5537E">
        <w:rPr>
          <w:rFonts w:cstheme="minorHAnsi"/>
          <w:w w:val="105"/>
        </w:rPr>
        <w:t xml:space="preserve"> and</w:t>
      </w:r>
      <w:r w:rsidR="00633C00" w:rsidRPr="00582A27">
        <w:rPr>
          <w:rFonts w:cstheme="minorHAnsi"/>
          <w:w w:val="105"/>
        </w:rPr>
        <w:t xml:space="preserve"> provides </w:t>
      </w:r>
      <w:r w:rsidRPr="00582A27">
        <w:rPr>
          <w:rFonts w:cstheme="minorHAnsi"/>
          <w:w w:val="105"/>
        </w:rPr>
        <w:t>training</w:t>
      </w:r>
      <w:r w:rsidR="00633C00" w:rsidRPr="00582A27">
        <w:rPr>
          <w:rFonts w:cstheme="minorHAnsi"/>
          <w:w w:val="105"/>
        </w:rPr>
        <w:t xml:space="preserve">, </w:t>
      </w:r>
      <w:r w:rsidRPr="00582A27">
        <w:rPr>
          <w:rFonts w:cstheme="minorHAnsi"/>
          <w:w w:val="105"/>
        </w:rPr>
        <w:t xml:space="preserve">technical assistance </w:t>
      </w:r>
      <w:r w:rsidR="00633C00" w:rsidRPr="00582A27">
        <w:rPr>
          <w:rFonts w:cstheme="minorHAnsi"/>
          <w:w w:val="105"/>
        </w:rPr>
        <w:t xml:space="preserve">and monitoring </w:t>
      </w:r>
      <w:r w:rsidRPr="00582A27">
        <w:rPr>
          <w:rFonts w:cstheme="minorHAnsi"/>
          <w:w w:val="105"/>
        </w:rPr>
        <w:t xml:space="preserve">to </w:t>
      </w:r>
      <w:r w:rsidR="00E65CDC" w:rsidRPr="00582A27">
        <w:rPr>
          <w:rFonts w:cstheme="minorHAnsi"/>
          <w:w w:val="105"/>
        </w:rPr>
        <w:t>LWDBs</w:t>
      </w:r>
      <w:r w:rsidRPr="00582A27">
        <w:rPr>
          <w:rFonts w:cstheme="minorHAnsi"/>
          <w:w w:val="105"/>
        </w:rPr>
        <w:t>. DEO operates Florida’s Reemployment Assistance program, Labor Market Statistics program</w:t>
      </w:r>
      <w:r w:rsidR="00D5537E">
        <w:rPr>
          <w:rFonts w:cstheme="minorHAnsi"/>
          <w:w w:val="105"/>
        </w:rPr>
        <w:t xml:space="preserve"> and</w:t>
      </w:r>
      <w:r w:rsidRPr="00582A27">
        <w:rPr>
          <w:rFonts w:cstheme="minorHAnsi"/>
          <w:w w:val="105"/>
        </w:rPr>
        <w:t xml:space="preserve"> </w:t>
      </w:r>
      <w:r w:rsidR="00CE41AB" w:rsidRPr="00582A27">
        <w:rPr>
          <w:rFonts w:cstheme="minorHAnsi"/>
          <w:w w:val="105"/>
        </w:rPr>
        <w:t>many</w:t>
      </w:r>
      <w:r w:rsidRPr="00582A27">
        <w:rPr>
          <w:rFonts w:cstheme="minorHAnsi"/>
          <w:w w:val="105"/>
        </w:rPr>
        <w:t xml:space="preserve"> other programs and initiatives.</w:t>
      </w:r>
    </w:p>
    <w:p w14:paraId="34991BD5" w14:textId="77777777" w:rsidR="0091189D" w:rsidRPr="00E06806" w:rsidRDefault="0091189D" w:rsidP="00D63204">
      <w:pPr>
        <w:widowControl w:val="0"/>
        <w:spacing w:before="1" w:after="0" w:line="235" w:lineRule="auto"/>
        <w:ind w:left="107"/>
        <w:rPr>
          <w:rFonts w:cstheme="minorHAnsi"/>
        </w:rPr>
      </w:pPr>
    </w:p>
    <w:p w14:paraId="53EDE0EF" w14:textId="32D95ABD" w:rsidR="00EA7458" w:rsidRPr="00E06806" w:rsidRDefault="00EA7458" w:rsidP="00D63204">
      <w:pPr>
        <w:widowControl w:val="0"/>
        <w:spacing w:before="196" w:after="0" w:line="240" w:lineRule="auto"/>
        <w:ind w:left="107"/>
        <w:outlineLvl w:val="2"/>
        <w:rPr>
          <w:rFonts w:cstheme="minorHAnsi"/>
          <w:b/>
          <w:bCs/>
          <w:w w:val="115"/>
        </w:rPr>
      </w:pPr>
      <w:r w:rsidRPr="00E06806">
        <w:rPr>
          <w:rFonts w:cstheme="minorHAnsi"/>
          <w:b/>
          <w:bCs/>
          <w:w w:val="115"/>
        </w:rPr>
        <w:t>Figure</w:t>
      </w:r>
      <w:r w:rsidRPr="00E06806">
        <w:rPr>
          <w:rFonts w:cstheme="minorHAnsi"/>
          <w:b/>
          <w:bCs/>
          <w:spacing w:val="-18"/>
          <w:w w:val="115"/>
        </w:rPr>
        <w:t xml:space="preserve"> </w:t>
      </w:r>
      <w:r w:rsidR="00A11EBF" w:rsidRPr="00E06806">
        <w:rPr>
          <w:rFonts w:cstheme="minorHAnsi"/>
          <w:b/>
          <w:bCs/>
          <w:w w:val="115"/>
        </w:rPr>
        <w:t>3.03</w:t>
      </w:r>
      <w:r w:rsidR="005E2625">
        <w:rPr>
          <w:rFonts w:cstheme="minorHAnsi"/>
          <w:b/>
          <w:bCs/>
          <w:w w:val="115"/>
        </w:rPr>
        <w:br/>
        <w:t>Florida Department of Economic Opportunity</w:t>
      </w:r>
      <w:r w:rsidR="005E2625">
        <w:rPr>
          <w:rFonts w:cstheme="minorHAnsi"/>
          <w:b/>
          <w:bCs/>
          <w:w w:val="115"/>
        </w:rPr>
        <w:br/>
        <w:t>Organizational Chart</w:t>
      </w:r>
    </w:p>
    <w:p w14:paraId="69C1AD8B" w14:textId="663AF36F" w:rsidR="001E2A7D" w:rsidRPr="00E06806" w:rsidRDefault="009B4664" w:rsidP="00D63204">
      <w:pPr>
        <w:widowControl w:val="0"/>
        <w:tabs>
          <w:tab w:val="left" w:pos="4536"/>
        </w:tabs>
        <w:spacing w:before="196" w:after="0" w:line="240" w:lineRule="auto"/>
        <w:ind w:left="107"/>
        <w:outlineLvl w:val="2"/>
        <w:rPr>
          <w:rFonts w:cstheme="minorHAnsi"/>
          <w:sz w:val="20"/>
          <w:szCs w:val="20"/>
        </w:rPr>
        <w:sectPr w:rsidR="001E2A7D" w:rsidRPr="00E06806">
          <w:footerReference w:type="default" r:id="rId114"/>
          <w:pgSz w:w="12240" w:h="15840"/>
          <w:pgMar w:top="1620" w:right="900" w:bottom="820" w:left="900" w:header="812" w:footer="624" w:gutter="0"/>
          <w:cols w:space="720"/>
        </w:sectPr>
      </w:pPr>
      <w:r>
        <w:rPr>
          <w:rFonts w:cstheme="minorHAnsi"/>
        </w:rPr>
        <w:tab/>
      </w:r>
      <w:r>
        <w:rPr>
          <w:noProof/>
        </w:rPr>
        <w:drawing>
          <wp:inline distT="0" distB="0" distL="0" distR="0" wp14:anchorId="7A92FCC6" wp14:editId="6C41AEFF">
            <wp:extent cx="6568440" cy="3548961"/>
            <wp:effectExtent l="0" t="0" r="3810" b="0"/>
            <wp:docPr id="20" name="Picture 20" descr="Department of Economic Opportunity Organizational chart showing the Governor as leader of the agency, an Executive Director of the agency, and a chief of staff administering the agency.  Divisions of the agency are listed below the chief of staff and are:  Office of general counsel, office of inspector general, division of workforce services, division of strategic business development, division of community development, office of legislative and cabinet affairs, office of communications and external affairs, division of finance and administration, and division of information technology." title="Figure 3.03 Florida Department of Economic Opportunity Organizational 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wdavis\AppData\Local\Microsoft\Windows\INetCache\Content.Word\FDEO Org Chart.png"/>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6588430" cy="3559762"/>
                    </a:xfrm>
                    <a:prstGeom prst="rect">
                      <a:avLst/>
                    </a:prstGeom>
                    <a:noFill/>
                    <a:ln>
                      <a:noFill/>
                    </a:ln>
                  </pic:spPr>
                </pic:pic>
              </a:graphicData>
            </a:graphic>
          </wp:inline>
        </w:drawing>
      </w:r>
      <w:r>
        <w:rPr>
          <w:rFonts w:cstheme="minorHAnsi"/>
          <w:sz w:val="20"/>
          <w:szCs w:val="20"/>
        </w:rPr>
        <w:tab/>
      </w:r>
      <w:r>
        <w:rPr>
          <w:rFonts w:cstheme="minorHAnsi"/>
          <w:sz w:val="20"/>
          <w:szCs w:val="20"/>
        </w:rPr>
        <w:tab/>
      </w:r>
    </w:p>
    <w:p w14:paraId="5495AC99" w14:textId="77777777" w:rsidR="0091189D" w:rsidRDefault="0091189D" w:rsidP="00D63204">
      <w:pPr>
        <w:widowControl w:val="0"/>
        <w:spacing w:before="58" w:after="0" w:line="264" w:lineRule="exact"/>
        <w:ind w:left="107"/>
        <w:rPr>
          <w:rFonts w:cstheme="minorHAnsi"/>
          <w:color w:val="231F20"/>
          <w:w w:val="105"/>
        </w:rPr>
      </w:pPr>
      <w:bookmarkStart w:id="79" w:name="_bookmark41"/>
      <w:bookmarkEnd w:id="79"/>
    </w:p>
    <w:p w14:paraId="4C4D1129" w14:textId="3EE62126" w:rsidR="00EA7458" w:rsidRPr="00E06806" w:rsidRDefault="00EA7458" w:rsidP="00D63204">
      <w:pPr>
        <w:widowControl w:val="0"/>
        <w:spacing w:before="58" w:after="0" w:line="264" w:lineRule="exact"/>
        <w:ind w:left="107"/>
        <w:rPr>
          <w:rFonts w:cstheme="minorHAnsi"/>
        </w:rPr>
      </w:pPr>
      <w:r w:rsidRPr="00E06806">
        <w:rPr>
          <w:rFonts w:cstheme="minorHAnsi"/>
          <w:color w:val="231F20"/>
          <w:w w:val="105"/>
        </w:rPr>
        <w:t>Administration</w:t>
      </w:r>
      <w:r w:rsidRPr="00E06806">
        <w:rPr>
          <w:rFonts w:cstheme="minorHAnsi"/>
          <w:color w:val="231F20"/>
          <w:spacing w:val="9"/>
          <w:w w:val="105"/>
        </w:rPr>
        <w:t xml:space="preserve"> </w:t>
      </w:r>
      <w:r w:rsidRPr="00E06806">
        <w:rPr>
          <w:rFonts w:cstheme="minorHAnsi"/>
          <w:color w:val="231F20"/>
          <w:w w:val="105"/>
        </w:rPr>
        <w:t>of</w:t>
      </w:r>
      <w:r w:rsidRPr="00E06806">
        <w:rPr>
          <w:rFonts w:cstheme="minorHAnsi"/>
          <w:color w:val="231F20"/>
          <w:spacing w:val="9"/>
          <w:w w:val="105"/>
        </w:rPr>
        <w:t xml:space="preserve"> </w:t>
      </w:r>
      <w:r w:rsidRPr="00E06806">
        <w:rPr>
          <w:rFonts w:cstheme="minorHAnsi"/>
          <w:color w:val="231F20"/>
          <w:w w:val="105"/>
        </w:rPr>
        <w:t>the</w:t>
      </w:r>
      <w:r w:rsidRPr="00E06806">
        <w:rPr>
          <w:rFonts w:cstheme="minorHAnsi"/>
          <w:color w:val="231F20"/>
          <w:spacing w:val="9"/>
          <w:w w:val="105"/>
        </w:rPr>
        <w:t xml:space="preserve"> </w:t>
      </w:r>
      <w:r w:rsidRPr="00E06806">
        <w:rPr>
          <w:rFonts w:cstheme="minorHAnsi"/>
          <w:color w:val="231F20"/>
          <w:w w:val="105"/>
        </w:rPr>
        <w:t>state’s</w:t>
      </w:r>
      <w:r w:rsidRPr="00E06806">
        <w:rPr>
          <w:rFonts w:cstheme="minorHAnsi"/>
          <w:color w:val="231F20"/>
          <w:spacing w:val="9"/>
          <w:w w:val="105"/>
        </w:rPr>
        <w:t xml:space="preserve"> </w:t>
      </w:r>
      <w:r w:rsidRPr="00E06806">
        <w:rPr>
          <w:rFonts w:cstheme="minorHAnsi"/>
          <w:color w:val="231F20"/>
          <w:w w:val="105"/>
        </w:rPr>
        <w:t>workforce</w:t>
      </w:r>
      <w:r w:rsidRPr="00E06806">
        <w:rPr>
          <w:rFonts w:cstheme="minorHAnsi"/>
          <w:color w:val="231F20"/>
          <w:spacing w:val="9"/>
          <w:w w:val="105"/>
        </w:rPr>
        <w:t xml:space="preserve"> </w:t>
      </w:r>
      <w:r w:rsidRPr="00E06806">
        <w:rPr>
          <w:rFonts w:cstheme="minorHAnsi"/>
          <w:color w:val="231F20"/>
          <w:w w:val="105"/>
        </w:rPr>
        <w:t>policy,</w:t>
      </w:r>
      <w:r w:rsidRPr="00E06806">
        <w:rPr>
          <w:rFonts w:cstheme="minorHAnsi"/>
          <w:color w:val="231F20"/>
          <w:spacing w:val="9"/>
          <w:w w:val="105"/>
        </w:rPr>
        <w:t xml:space="preserve"> </w:t>
      </w:r>
      <w:r w:rsidRPr="00E06806">
        <w:rPr>
          <w:rFonts w:cstheme="minorHAnsi"/>
          <w:color w:val="231F20"/>
          <w:w w:val="105"/>
        </w:rPr>
        <w:t>programs</w:t>
      </w:r>
      <w:r w:rsidRPr="00E06806">
        <w:rPr>
          <w:rFonts w:cstheme="minorHAnsi"/>
          <w:color w:val="231F20"/>
          <w:spacing w:val="9"/>
          <w:w w:val="105"/>
        </w:rPr>
        <w:t xml:space="preserve"> </w:t>
      </w:r>
      <w:r w:rsidRPr="00E06806">
        <w:rPr>
          <w:rFonts w:cstheme="minorHAnsi"/>
          <w:color w:val="231F20"/>
          <w:w w:val="105"/>
        </w:rPr>
        <w:t>and</w:t>
      </w:r>
      <w:r w:rsidRPr="00E06806">
        <w:rPr>
          <w:rFonts w:cstheme="minorHAnsi"/>
          <w:color w:val="231F20"/>
          <w:spacing w:val="9"/>
          <w:w w:val="105"/>
        </w:rPr>
        <w:t xml:space="preserve"> </w:t>
      </w:r>
      <w:r w:rsidRPr="00E06806">
        <w:rPr>
          <w:rFonts w:cstheme="minorHAnsi"/>
          <w:color w:val="231F20"/>
          <w:w w:val="105"/>
        </w:rPr>
        <w:t>services</w:t>
      </w:r>
      <w:r w:rsidRPr="00E06806">
        <w:rPr>
          <w:rFonts w:cstheme="minorHAnsi"/>
          <w:color w:val="231F20"/>
          <w:spacing w:val="9"/>
          <w:w w:val="105"/>
        </w:rPr>
        <w:t xml:space="preserve"> </w:t>
      </w:r>
      <w:r w:rsidRPr="00E06806">
        <w:rPr>
          <w:rFonts w:cstheme="minorHAnsi"/>
          <w:color w:val="231F20"/>
          <w:w w:val="105"/>
        </w:rPr>
        <w:t>is</w:t>
      </w:r>
      <w:r w:rsidRPr="00E06806">
        <w:rPr>
          <w:rFonts w:cstheme="minorHAnsi"/>
          <w:color w:val="231F20"/>
          <w:spacing w:val="9"/>
          <w:w w:val="105"/>
        </w:rPr>
        <w:t xml:space="preserve"> </w:t>
      </w:r>
      <w:r w:rsidRPr="00E06806">
        <w:rPr>
          <w:rFonts w:cstheme="minorHAnsi"/>
          <w:color w:val="231F20"/>
          <w:w w:val="105"/>
        </w:rPr>
        <w:t>carried</w:t>
      </w:r>
      <w:r w:rsidRPr="00E06806">
        <w:rPr>
          <w:rFonts w:cstheme="minorHAnsi"/>
          <w:color w:val="231F20"/>
          <w:spacing w:val="9"/>
          <w:w w:val="105"/>
        </w:rPr>
        <w:t xml:space="preserve"> </w:t>
      </w:r>
      <w:r w:rsidRPr="00E06806">
        <w:rPr>
          <w:rFonts w:cstheme="minorHAnsi"/>
          <w:color w:val="231F20"/>
          <w:w w:val="105"/>
        </w:rPr>
        <w:t>out</w:t>
      </w:r>
      <w:r w:rsidRPr="00E06806">
        <w:rPr>
          <w:rFonts w:cstheme="minorHAnsi"/>
          <w:color w:val="231F20"/>
          <w:spacing w:val="9"/>
          <w:w w:val="105"/>
        </w:rPr>
        <w:t xml:space="preserve"> </w:t>
      </w:r>
      <w:r w:rsidRPr="00E06806">
        <w:rPr>
          <w:rFonts w:cstheme="minorHAnsi"/>
          <w:color w:val="231F20"/>
          <w:w w:val="105"/>
        </w:rPr>
        <w:t>by</w:t>
      </w:r>
      <w:r w:rsidRPr="00E06806">
        <w:rPr>
          <w:rFonts w:cstheme="minorHAnsi"/>
          <w:color w:val="231F20"/>
          <w:spacing w:val="9"/>
          <w:w w:val="105"/>
        </w:rPr>
        <w:t xml:space="preserve"> </w:t>
      </w:r>
      <w:r w:rsidRPr="00E06806">
        <w:rPr>
          <w:rFonts w:cstheme="minorHAnsi"/>
          <w:color w:val="231F20"/>
          <w:w w:val="105"/>
        </w:rPr>
        <w:t>DEO</w:t>
      </w:r>
      <w:r w:rsidRPr="00E06806">
        <w:rPr>
          <w:rFonts w:cstheme="minorHAnsi"/>
          <w:color w:val="231F20"/>
          <w:spacing w:val="9"/>
          <w:w w:val="105"/>
        </w:rPr>
        <w:t xml:space="preserve"> </w:t>
      </w:r>
      <w:r w:rsidRPr="00E06806">
        <w:rPr>
          <w:rFonts w:cstheme="minorHAnsi"/>
          <w:color w:val="231F20"/>
          <w:w w:val="105"/>
        </w:rPr>
        <w:t>and</w:t>
      </w:r>
      <w:r w:rsidRPr="00E06806">
        <w:rPr>
          <w:rFonts w:cstheme="minorHAnsi"/>
          <w:color w:val="231F20"/>
          <w:spacing w:val="9"/>
          <w:w w:val="105"/>
        </w:rPr>
        <w:t xml:space="preserve"> </w:t>
      </w:r>
      <w:r w:rsidRPr="00E06806">
        <w:rPr>
          <w:rFonts w:cstheme="minorHAnsi"/>
          <w:color w:val="231F20"/>
          <w:w w:val="105"/>
        </w:rPr>
        <w:t>the</w:t>
      </w:r>
      <w:r w:rsidRPr="00E06806">
        <w:rPr>
          <w:rFonts w:cstheme="minorHAnsi"/>
          <w:color w:val="231F20"/>
          <w:spacing w:val="-2"/>
          <w:w w:val="105"/>
        </w:rPr>
        <w:t xml:space="preserve"> </w:t>
      </w:r>
      <w:r w:rsidRPr="00E06806">
        <w:rPr>
          <w:rFonts w:cstheme="minorHAnsi"/>
          <w:color w:val="231F20"/>
          <w:w w:val="105"/>
        </w:rPr>
        <w:t>business-led</w:t>
      </w:r>
      <w:r w:rsidRPr="00E06806">
        <w:rPr>
          <w:rFonts w:cstheme="minorHAnsi"/>
          <w:color w:val="231F20"/>
          <w:spacing w:val="13"/>
          <w:w w:val="105"/>
        </w:rPr>
        <w:t xml:space="preserve"> </w:t>
      </w:r>
      <w:r w:rsidRPr="00E06806">
        <w:rPr>
          <w:rFonts w:cstheme="minorHAnsi"/>
          <w:color w:val="231F20"/>
          <w:spacing w:val="-3"/>
          <w:w w:val="105"/>
        </w:rPr>
        <w:t>LWDBs</w:t>
      </w:r>
      <w:r w:rsidR="00633C00" w:rsidRPr="00E06806">
        <w:rPr>
          <w:rFonts w:cstheme="minorHAnsi"/>
          <w:color w:val="231F20"/>
          <w:spacing w:val="-3"/>
          <w:w w:val="105"/>
        </w:rPr>
        <w:t xml:space="preserve">. Services are </w:t>
      </w:r>
      <w:r w:rsidRPr="00E06806">
        <w:rPr>
          <w:rFonts w:cstheme="minorHAnsi"/>
          <w:color w:val="231F20"/>
          <w:w w:val="105"/>
        </w:rPr>
        <w:t>delivered</w:t>
      </w:r>
      <w:r w:rsidRPr="00E06806">
        <w:rPr>
          <w:rFonts w:cstheme="minorHAnsi"/>
          <w:color w:val="231F20"/>
          <w:spacing w:val="13"/>
          <w:w w:val="105"/>
        </w:rPr>
        <w:t xml:space="preserve"> </w:t>
      </w:r>
      <w:r w:rsidRPr="00E06806">
        <w:rPr>
          <w:rFonts w:cstheme="minorHAnsi"/>
          <w:color w:val="231F20"/>
          <w:w w:val="105"/>
        </w:rPr>
        <w:t>through</w:t>
      </w:r>
      <w:r w:rsidRPr="00E06806">
        <w:rPr>
          <w:rFonts w:cstheme="minorHAnsi"/>
          <w:color w:val="231F20"/>
          <w:spacing w:val="13"/>
          <w:w w:val="105"/>
        </w:rPr>
        <w:t xml:space="preserve"> </w:t>
      </w:r>
      <w:r w:rsidR="00E65CDC" w:rsidRPr="00E06806">
        <w:rPr>
          <w:rFonts w:cstheme="minorHAnsi"/>
          <w:color w:val="231F20"/>
          <w:w w:val="105"/>
        </w:rPr>
        <w:t xml:space="preserve">approximately </w:t>
      </w:r>
      <w:r w:rsidRPr="00E06806">
        <w:rPr>
          <w:rFonts w:cstheme="minorHAnsi"/>
          <w:color w:val="231F20"/>
          <w:w w:val="105"/>
        </w:rPr>
        <w:t>100</w:t>
      </w:r>
      <w:r w:rsidRPr="00E06806">
        <w:rPr>
          <w:rFonts w:cstheme="minorHAnsi"/>
          <w:color w:val="231F20"/>
          <w:spacing w:val="13"/>
          <w:w w:val="105"/>
        </w:rPr>
        <w:t xml:space="preserve"> </w:t>
      </w:r>
      <w:r w:rsidRPr="00E06806">
        <w:rPr>
          <w:rFonts w:cstheme="minorHAnsi"/>
          <w:color w:val="231F20"/>
          <w:w w:val="105"/>
        </w:rPr>
        <w:t>career</w:t>
      </w:r>
      <w:r w:rsidRPr="00E06806">
        <w:rPr>
          <w:rFonts w:cstheme="minorHAnsi"/>
          <w:color w:val="231F20"/>
          <w:spacing w:val="13"/>
          <w:w w:val="105"/>
        </w:rPr>
        <w:t xml:space="preserve"> </w:t>
      </w:r>
      <w:r w:rsidRPr="00E06806">
        <w:rPr>
          <w:rFonts w:cstheme="minorHAnsi"/>
          <w:color w:val="231F20"/>
          <w:w w:val="105"/>
        </w:rPr>
        <w:t>centers</w:t>
      </w:r>
      <w:r w:rsidRPr="00E06806">
        <w:rPr>
          <w:rFonts w:cstheme="minorHAnsi"/>
          <w:color w:val="231F20"/>
          <w:spacing w:val="13"/>
          <w:w w:val="105"/>
        </w:rPr>
        <w:t xml:space="preserve"> </w:t>
      </w:r>
      <w:r w:rsidR="00E65CDC" w:rsidRPr="00E06806">
        <w:rPr>
          <w:rFonts w:cstheme="minorHAnsi"/>
          <w:color w:val="231F20"/>
          <w:spacing w:val="13"/>
          <w:w w:val="105"/>
        </w:rPr>
        <w:t xml:space="preserve">and service sites </w:t>
      </w:r>
      <w:r w:rsidRPr="00E06806">
        <w:rPr>
          <w:rFonts w:cstheme="minorHAnsi"/>
          <w:color w:val="231F20"/>
          <w:w w:val="105"/>
        </w:rPr>
        <w:t>throughout</w:t>
      </w:r>
      <w:r w:rsidRPr="00E06806">
        <w:rPr>
          <w:rFonts w:cstheme="minorHAnsi"/>
          <w:color w:val="231F20"/>
          <w:spacing w:val="-3"/>
          <w:w w:val="105"/>
        </w:rPr>
        <w:t xml:space="preserve"> </w:t>
      </w:r>
      <w:r w:rsidRPr="00E06806">
        <w:rPr>
          <w:rFonts w:cstheme="minorHAnsi"/>
          <w:color w:val="231F20"/>
          <w:w w:val="105"/>
        </w:rPr>
        <w:t>Florida</w:t>
      </w:r>
      <w:r w:rsidRPr="00E06806">
        <w:rPr>
          <w:rFonts w:cstheme="minorHAnsi"/>
          <w:color w:val="231F20"/>
          <w:spacing w:val="6"/>
          <w:w w:val="105"/>
        </w:rPr>
        <w:t xml:space="preserve"> </w:t>
      </w:r>
      <w:r w:rsidRPr="00E06806">
        <w:rPr>
          <w:rFonts w:cstheme="minorHAnsi"/>
          <w:color w:val="231F20"/>
          <w:w w:val="105"/>
        </w:rPr>
        <w:t>and</w:t>
      </w:r>
      <w:r w:rsidRPr="00E06806">
        <w:rPr>
          <w:rFonts w:cstheme="minorHAnsi"/>
          <w:color w:val="231F20"/>
          <w:spacing w:val="6"/>
          <w:w w:val="105"/>
        </w:rPr>
        <w:t xml:space="preserve"> </w:t>
      </w:r>
      <w:r w:rsidRPr="00E06806">
        <w:rPr>
          <w:rFonts w:cstheme="minorHAnsi"/>
          <w:color w:val="231F20"/>
          <w:w w:val="105"/>
        </w:rPr>
        <w:t>through</w:t>
      </w:r>
      <w:r w:rsidRPr="00E06806">
        <w:rPr>
          <w:rFonts w:cstheme="minorHAnsi"/>
          <w:color w:val="231F20"/>
          <w:spacing w:val="6"/>
          <w:w w:val="105"/>
        </w:rPr>
        <w:t xml:space="preserve"> </w:t>
      </w:r>
      <w:r w:rsidRPr="00E06806">
        <w:rPr>
          <w:rFonts w:cstheme="minorHAnsi"/>
          <w:color w:val="231F20"/>
          <w:w w:val="105"/>
        </w:rPr>
        <w:t>the</w:t>
      </w:r>
      <w:r w:rsidRPr="00E06806">
        <w:rPr>
          <w:rFonts w:cstheme="minorHAnsi"/>
          <w:color w:val="231F20"/>
          <w:spacing w:val="6"/>
          <w:w w:val="105"/>
        </w:rPr>
        <w:t xml:space="preserve"> </w:t>
      </w:r>
      <w:r w:rsidRPr="00E06806">
        <w:rPr>
          <w:rFonts w:cstheme="minorHAnsi"/>
          <w:color w:val="231F20"/>
          <w:w w:val="105"/>
        </w:rPr>
        <w:t>state’s</w:t>
      </w:r>
      <w:r w:rsidRPr="00E06806">
        <w:rPr>
          <w:rFonts w:cstheme="minorHAnsi"/>
          <w:color w:val="231F20"/>
          <w:spacing w:val="6"/>
          <w:w w:val="105"/>
        </w:rPr>
        <w:t xml:space="preserve"> </w:t>
      </w:r>
      <w:r w:rsidRPr="00E06806">
        <w:rPr>
          <w:rFonts w:cstheme="minorHAnsi"/>
          <w:color w:val="231F20"/>
          <w:w w:val="105"/>
        </w:rPr>
        <w:t>online</w:t>
      </w:r>
      <w:r w:rsidRPr="00E06806">
        <w:rPr>
          <w:rFonts w:cstheme="minorHAnsi"/>
          <w:color w:val="231F20"/>
          <w:spacing w:val="6"/>
          <w:w w:val="105"/>
        </w:rPr>
        <w:t xml:space="preserve"> </w:t>
      </w:r>
      <w:r w:rsidRPr="00E06806">
        <w:rPr>
          <w:rFonts w:cstheme="minorHAnsi"/>
          <w:color w:val="231F20"/>
          <w:w w:val="105"/>
        </w:rPr>
        <w:t>job</w:t>
      </w:r>
      <w:r w:rsidRPr="00E06806">
        <w:rPr>
          <w:rFonts w:cstheme="minorHAnsi"/>
          <w:color w:val="231F20"/>
          <w:spacing w:val="6"/>
          <w:w w:val="105"/>
        </w:rPr>
        <w:t xml:space="preserve"> </w:t>
      </w:r>
      <w:r w:rsidRPr="00E06806">
        <w:rPr>
          <w:rFonts w:cstheme="minorHAnsi"/>
          <w:color w:val="231F20"/>
          <w:w w:val="105"/>
        </w:rPr>
        <w:t>matching</w:t>
      </w:r>
      <w:r w:rsidRPr="00E06806">
        <w:rPr>
          <w:rFonts w:cstheme="minorHAnsi"/>
          <w:color w:val="231F20"/>
          <w:spacing w:val="6"/>
          <w:w w:val="105"/>
        </w:rPr>
        <w:t xml:space="preserve"> </w:t>
      </w:r>
      <w:r w:rsidRPr="00E06806">
        <w:rPr>
          <w:rFonts w:cstheme="minorHAnsi"/>
          <w:color w:val="231F20"/>
          <w:w w:val="105"/>
        </w:rPr>
        <w:t>system,</w:t>
      </w:r>
      <w:r w:rsidRPr="00E06806">
        <w:rPr>
          <w:rFonts w:cstheme="minorHAnsi"/>
          <w:color w:val="231F20"/>
          <w:spacing w:val="6"/>
          <w:w w:val="105"/>
        </w:rPr>
        <w:t xml:space="preserve"> </w:t>
      </w:r>
      <w:r w:rsidRPr="00E06806">
        <w:rPr>
          <w:rFonts w:cstheme="minorHAnsi"/>
          <w:color w:val="231F20"/>
          <w:w w:val="105"/>
        </w:rPr>
        <w:t>Employ</w:t>
      </w:r>
      <w:r w:rsidRPr="00E06806">
        <w:rPr>
          <w:rFonts w:cstheme="minorHAnsi"/>
          <w:color w:val="231F20"/>
          <w:spacing w:val="6"/>
          <w:w w:val="105"/>
        </w:rPr>
        <w:t xml:space="preserve"> </w:t>
      </w:r>
      <w:r w:rsidRPr="00E06806">
        <w:rPr>
          <w:rFonts w:cstheme="minorHAnsi"/>
          <w:color w:val="231F20"/>
          <w:w w:val="105"/>
        </w:rPr>
        <w:t>Florida,</w:t>
      </w:r>
      <w:r w:rsidRPr="00E06806">
        <w:rPr>
          <w:rFonts w:cstheme="minorHAnsi"/>
          <w:color w:val="231F20"/>
          <w:spacing w:val="6"/>
          <w:w w:val="105"/>
        </w:rPr>
        <w:t xml:space="preserve"> </w:t>
      </w:r>
      <w:r w:rsidRPr="00E06806">
        <w:rPr>
          <w:rFonts w:cstheme="minorHAnsi"/>
          <w:color w:val="231F20"/>
          <w:w w:val="105"/>
        </w:rPr>
        <w:t>at</w:t>
      </w:r>
      <w:r w:rsidRPr="00E06806">
        <w:rPr>
          <w:rFonts w:cstheme="minorHAnsi"/>
          <w:color w:val="231F20"/>
          <w:spacing w:val="5"/>
          <w:w w:val="105"/>
        </w:rPr>
        <w:t xml:space="preserve"> </w:t>
      </w:r>
      <w:hyperlink r:id="rId116">
        <w:r w:rsidRPr="00704DA7">
          <w:rPr>
            <w:rStyle w:val="Hyperlink"/>
            <w:rFonts w:ascii="Calibri" w:hAnsi="Calibri"/>
          </w:rPr>
          <w:t xml:space="preserve">www. </w:t>
        </w:r>
      </w:hyperlink>
      <w:hyperlink r:id="rId117">
        <w:r w:rsidRPr="00704DA7">
          <w:rPr>
            <w:rStyle w:val="Hyperlink"/>
            <w:rFonts w:ascii="Calibri" w:hAnsi="Calibri"/>
          </w:rPr>
          <w:t>employflorida.com</w:t>
        </w:r>
      </w:hyperlink>
      <w:r w:rsidRPr="00704DA7">
        <w:rPr>
          <w:rStyle w:val="Hyperlink"/>
          <w:rFonts w:ascii="Calibri" w:hAnsi="Calibri"/>
        </w:rPr>
        <w:t>.</w:t>
      </w:r>
      <w:r w:rsidRPr="00E06806">
        <w:rPr>
          <w:rFonts w:cstheme="minorHAnsi"/>
          <w:color w:val="231F20"/>
          <w:w w:val="105"/>
        </w:rPr>
        <w:t xml:space="preserve"> </w:t>
      </w:r>
      <w:r w:rsidR="00E65CDC" w:rsidRPr="00E06806">
        <w:rPr>
          <w:rFonts w:cstheme="minorHAnsi"/>
          <w:color w:val="231F20"/>
          <w:w w:val="105"/>
        </w:rPr>
        <w:t xml:space="preserve">This includes 79 full service sites and 29 satellite offices. </w:t>
      </w:r>
      <w:r w:rsidRPr="00E06806">
        <w:rPr>
          <w:rFonts w:cstheme="minorHAnsi"/>
          <w:color w:val="231F20"/>
          <w:w w:val="105"/>
        </w:rPr>
        <w:t>Programmatic and administrative requirements are set forth in a</w:t>
      </w:r>
      <w:r w:rsidRPr="00E06806">
        <w:rPr>
          <w:rFonts w:cstheme="minorHAnsi"/>
          <w:color w:val="231F20"/>
          <w:spacing w:val="40"/>
          <w:w w:val="105"/>
        </w:rPr>
        <w:t xml:space="preserve"> </w:t>
      </w:r>
      <w:r w:rsidRPr="00E06806">
        <w:rPr>
          <w:rFonts w:cstheme="minorHAnsi"/>
          <w:color w:val="231F20"/>
          <w:w w:val="105"/>
        </w:rPr>
        <w:t>Grantee-Sub-</w:t>
      </w:r>
      <w:r w:rsidR="00CE41AB" w:rsidRPr="00E06806">
        <w:rPr>
          <w:rFonts w:cstheme="minorHAnsi"/>
          <w:color w:val="231F20"/>
          <w:w w:val="105"/>
        </w:rPr>
        <w:t>Grantee</w:t>
      </w:r>
      <w:r w:rsidRPr="00E06806">
        <w:rPr>
          <w:rFonts w:cstheme="minorHAnsi"/>
          <w:color w:val="231F20"/>
          <w:w w:val="107"/>
        </w:rPr>
        <w:t xml:space="preserve"> </w:t>
      </w:r>
      <w:r w:rsidRPr="00E06806">
        <w:rPr>
          <w:rFonts w:cstheme="minorHAnsi"/>
          <w:color w:val="231F20"/>
          <w:w w:val="105"/>
        </w:rPr>
        <w:t>Agreement</w:t>
      </w:r>
      <w:r w:rsidRPr="00E06806">
        <w:rPr>
          <w:rFonts w:cstheme="minorHAnsi"/>
          <w:color w:val="231F20"/>
          <w:spacing w:val="15"/>
          <w:w w:val="105"/>
        </w:rPr>
        <w:t xml:space="preserve"> </w:t>
      </w:r>
      <w:r w:rsidRPr="00E06806">
        <w:rPr>
          <w:rFonts w:cstheme="minorHAnsi"/>
          <w:color w:val="231F20"/>
          <w:w w:val="105"/>
        </w:rPr>
        <w:t>executed</w:t>
      </w:r>
      <w:r w:rsidRPr="00E06806">
        <w:rPr>
          <w:rFonts w:cstheme="minorHAnsi"/>
          <w:color w:val="231F20"/>
          <w:spacing w:val="15"/>
          <w:w w:val="105"/>
        </w:rPr>
        <w:t xml:space="preserve"> </w:t>
      </w:r>
      <w:r w:rsidRPr="00E06806">
        <w:rPr>
          <w:rFonts w:cstheme="minorHAnsi"/>
          <w:color w:val="231F20"/>
          <w:w w:val="105"/>
        </w:rPr>
        <w:t>by</w:t>
      </w:r>
      <w:r w:rsidRPr="00E06806">
        <w:rPr>
          <w:rFonts w:cstheme="minorHAnsi"/>
          <w:color w:val="231F20"/>
          <w:spacing w:val="15"/>
          <w:w w:val="105"/>
        </w:rPr>
        <w:t xml:space="preserve"> </w:t>
      </w:r>
      <w:r w:rsidRPr="00E06806">
        <w:rPr>
          <w:rFonts w:cstheme="minorHAnsi"/>
          <w:color w:val="231F20"/>
          <w:w w:val="105"/>
        </w:rPr>
        <w:t>DEO</w:t>
      </w:r>
      <w:r w:rsidRPr="00E06806">
        <w:rPr>
          <w:rFonts w:cstheme="minorHAnsi"/>
          <w:color w:val="231F20"/>
          <w:spacing w:val="15"/>
          <w:w w:val="105"/>
        </w:rPr>
        <w:t xml:space="preserve"> </w:t>
      </w:r>
      <w:r w:rsidRPr="00E06806">
        <w:rPr>
          <w:rFonts w:cstheme="minorHAnsi"/>
          <w:color w:val="231F20"/>
          <w:w w:val="105"/>
        </w:rPr>
        <w:t>and</w:t>
      </w:r>
      <w:r w:rsidRPr="00E06806">
        <w:rPr>
          <w:rFonts w:cstheme="minorHAnsi"/>
          <w:color w:val="231F20"/>
          <w:spacing w:val="15"/>
          <w:w w:val="105"/>
        </w:rPr>
        <w:t xml:space="preserve"> </w:t>
      </w:r>
      <w:r w:rsidRPr="00E06806">
        <w:rPr>
          <w:rFonts w:cstheme="minorHAnsi"/>
          <w:color w:val="231F20"/>
          <w:w w:val="105"/>
        </w:rPr>
        <w:t>each</w:t>
      </w:r>
      <w:r w:rsidRPr="00E06806">
        <w:rPr>
          <w:rFonts w:cstheme="minorHAnsi"/>
          <w:color w:val="231F20"/>
          <w:spacing w:val="15"/>
          <w:w w:val="105"/>
        </w:rPr>
        <w:t xml:space="preserve"> </w:t>
      </w:r>
      <w:r w:rsidRPr="00E06806">
        <w:rPr>
          <w:rFonts w:cstheme="minorHAnsi"/>
          <w:color w:val="231F20"/>
          <w:spacing w:val="-4"/>
          <w:w w:val="105"/>
        </w:rPr>
        <w:t>LWDB</w:t>
      </w:r>
      <w:r w:rsidR="005C55D5">
        <w:rPr>
          <w:rFonts w:cstheme="minorHAnsi"/>
          <w:color w:val="231F20"/>
          <w:spacing w:val="-4"/>
          <w:w w:val="105"/>
        </w:rPr>
        <w:t>,</w:t>
      </w:r>
      <w:r w:rsidRPr="00E06806">
        <w:rPr>
          <w:rFonts w:cstheme="minorHAnsi"/>
          <w:color w:val="231F20"/>
          <w:spacing w:val="15"/>
          <w:w w:val="105"/>
        </w:rPr>
        <w:t xml:space="preserve"> </w:t>
      </w:r>
      <w:r w:rsidRPr="00E06806">
        <w:rPr>
          <w:rFonts w:cstheme="minorHAnsi"/>
          <w:color w:val="231F20"/>
          <w:w w:val="105"/>
        </w:rPr>
        <w:t>requiring</w:t>
      </w:r>
      <w:r w:rsidRPr="00E06806">
        <w:rPr>
          <w:rFonts w:cstheme="minorHAnsi"/>
          <w:color w:val="231F20"/>
          <w:spacing w:val="15"/>
          <w:w w:val="105"/>
        </w:rPr>
        <w:t xml:space="preserve"> </w:t>
      </w:r>
      <w:r w:rsidRPr="00E06806">
        <w:rPr>
          <w:rFonts w:cstheme="minorHAnsi"/>
          <w:color w:val="231F20"/>
          <w:w w:val="105"/>
        </w:rPr>
        <w:t>their</w:t>
      </w:r>
      <w:r w:rsidRPr="00E06806">
        <w:rPr>
          <w:rFonts w:cstheme="minorHAnsi"/>
          <w:color w:val="231F20"/>
          <w:spacing w:val="15"/>
          <w:w w:val="105"/>
        </w:rPr>
        <w:t xml:space="preserve"> </w:t>
      </w:r>
      <w:r w:rsidRPr="00E06806">
        <w:rPr>
          <w:rFonts w:cstheme="minorHAnsi"/>
          <w:color w:val="231F20"/>
          <w:w w:val="105"/>
        </w:rPr>
        <w:t>compliance</w:t>
      </w:r>
      <w:r w:rsidRPr="00E06806">
        <w:rPr>
          <w:rFonts w:cstheme="minorHAnsi"/>
          <w:color w:val="231F20"/>
          <w:spacing w:val="15"/>
          <w:w w:val="105"/>
        </w:rPr>
        <w:t xml:space="preserve"> </w:t>
      </w:r>
      <w:r w:rsidRPr="00E06806">
        <w:rPr>
          <w:rFonts w:cstheme="minorHAnsi"/>
          <w:color w:val="231F20"/>
          <w:w w:val="105"/>
        </w:rPr>
        <w:t>with</w:t>
      </w:r>
      <w:r w:rsidRPr="00E06806">
        <w:rPr>
          <w:rFonts w:cstheme="minorHAnsi"/>
          <w:color w:val="231F20"/>
          <w:spacing w:val="15"/>
          <w:w w:val="105"/>
        </w:rPr>
        <w:t xml:space="preserve"> </w:t>
      </w:r>
      <w:r w:rsidRPr="00E06806">
        <w:rPr>
          <w:rFonts w:cstheme="minorHAnsi"/>
          <w:color w:val="231F20"/>
          <w:w w:val="105"/>
        </w:rPr>
        <w:t>all</w:t>
      </w:r>
      <w:r w:rsidRPr="00E06806">
        <w:rPr>
          <w:rFonts w:cstheme="minorHAnsi"/>
          <w:color w:val="231F20"/>
          <w:spacing w:val="15"/>
          <w:w w:val="105"/>
        </w:rPr>
        <w:t xml:space="preserve"> </w:t>
      </w:r>
      <w:r w:rsidRPr="00E06806">
        <w:rPr>
          <w:rFonts w:cstheme="minorHAnsi"/>
          <w:color w:val="231F20"/>
          <w:w w:val="105"/>
        </w:rPr>
        <w:t>federal</w:t>
      </w:r>
      <w:r w:rsidRPr="00E06806">
        <w:rPr>
          <w:rFonts w:cstheme="minorHAnsi"/>
          <w:color w:val="231F20"/>
          <w:spacing w:val="15"/>
          <w:w w:val="105"/>
        </w:rPr>
        <w:t xml:space="preserve"> </w:t>
      </w:r>
      <w:r w:rsidRPr="00E06806">
        <w:rPr>
          <w:rFonts w:cstheme="minorHAnsi"/>
          <w:color w:val="231F20"/>
          <w:w w:val="105"/>
        </w:rPr>
        <w:t>and</w:t>
      </w:r>
      <w:r w:rsidRPr="00E06806">
        <w:rPr>
          <w:rFonts w:cstheme="minorHAnsi"/>
          <w:color w:val="231F20"/>
          <w:spacing w:val="15"/>
          <w:w w:val="105"/>
        </w:rPr>
        <w:t xml:space="preserve"> </w:t>
      </w:r>
      <w:r w:rsidRPr="00E06806">
        <w:rPr>
          <w:rFonts w:cstheme="minorHAnsi"/>
          <w:color w:val="231F20"/>
          <w:w w:val="105"/>
        </w:rPr>
        <w:t>state</w:t>
      </w:r>
      <w:r w:rsidRPr="00E06806">
        <w:rPr>
          <w:rFonts w:cstheme="minorHAnsi"/>
          <w:color w:val="231F20"/>
          <w:spacing w:val="15"/>
          <w:w w:val="105"/>
        </w:rPr>
        <w:t xml:space="preserve"> </w:t>
      </w:r>
      <w:r w:rsidRPr="00E06806">
        <w:rPr>
          <w:rFonts w:cstheme="minorHAnsi"/>
          <w:color w:val="231F20"/>
          <w:w w:val="105"/>
        </w:rPr>
        <w:t>laws,</w:t>
      </w:r>
      <w:r w:rsidRPr="00E06806">
        <w:rPr>
          <w:rFonts w:cstheme="minorHAnsi"/>
          <w:color w:val="231F20"/>
          <w:spacing w:val="-21"/>
          <w:w w:val="105"/>
        </w:rPr>
        <w:t xml:space="preserve"> </w:t>
      </w:r>
      <w:r w:rsidRPr="00E06806">
        <w:rPr>
          <w:rFonts w:cstheme="minorHAnsi"/>
          <w:color w:val="231F20"/>
          <w:w w:val="105"/>
        </w:rPr>
        <w:t>regulations and any special state requirements.</w:t>
      </w:r>
    </w:p>
    <w:p w14:paraId="43982D28" w14:textId="77777777" w:rsidR="00EA7458" w:rsidRPr="00E06806" w:rsidRDefault="00EA7458" w:rsidP="00D63204">
      <w:pPr>
        <w:widowControl w:val="0"/>
        <w:spacing w:before="6" w:after="0" w:line="240" w:lineRule="auto"/>
        <w:ind w:left="107"/>
        <w:rPr>
          <w:rFonts w:cstheme="minorHAnsi"/>
          <w:sz w:val="16"/>
          <w:szCs w:val="16"/>
        </w:rPr>
      </w:pPr>
    </w:p>
    <w:p w14:paraId="40093A83" w14:textId="5074626E" w:rsidR="00EA7458" w:rsidRPr="00E06806" w:rsidRDefault="00EA7458" w:rsidP="00D63204">
      <w:pPr>
        <w:widowControl w:val="0"/>
        <w:spacing w:after="0" w:line="266" w:lineRule="exact"/>
        <w:ind w:left="107"/>
        <w:outlineLvl w:val="2"/>
        <w:rPr>
          <w:rFonts w:cstheme="minorHAnsi"/>
        </w:rPr>
      </w:pPr>
      <w:r w:rsidRPr="00E06806">
        <w:rPr>
          <w:rFonts w:cstheme="minorHAnsi"/>
          <w:b/>
          <w:bCs/>
          <w:w w:val="115"/>
        </w:rPr>
        <w:t>Figure</w:t>
      </w:r>
      <w:r w:rsidRPr="00E06806">
        <w:rPr>
          <w:rFonts w:cstheme="minorHAnsi"/>
          <w:b/>
          <w:bCs/>
          <w:spacing w:val="-21"/>
          <w:w w:val="115"/>
        </w:rPr>
        <w:t xml:space="preserve"> </w:t>
      </w:r>
      <w:r w:rsidR="00A11EBF" w:rsidRPr="00E06806">
        <w:rPr>
          <w:rFonts w:cstheme="minorHAnsi"/>
          <w:b/>
          <w:bCs/>
          <w:w w:val="115"/>
        </w:rPr>
        <w:t>3.04</w:t>
      </w:r>
    </w:p>
    <w:p w14:paraId="3D168B68" w14:textId="7BC9D369" w:rsidR="00EA7458" w:rsidRDefault="00EA7458" w:rsidP="00D63204">
      <w:pPr>
        <w:widowControl w:val="0"/>
        <w:spacing w:after="0" w:line="266" w:lineRule="exact"/>
        <w:ind w:left="107"/>
        <w:rPr>
          <w:rFonts w:cstheme="minorHAnsi"/>
          <w:b/>
          <w:bCs/>
          <w:w w:val="110"/>
        </w:rPr>
      </w:pPr>
      <w:r w:rsidRPr="00E06806">
        <w:rPr>
          <w:rFonts w:cstheme="minorHAnsi"/>
          <w:b/>
          <w:bCs/>
          <w:w w:val="110"/>
        </w:rPr>
        <w:t>Florida’s</w:t>
      </w:r>
      <w:r w:rsidRPr="00E06806">
        <w:rPr>
          <w:rFonts w:cstheme="minorHAnsi"/>
          <w:b/>
          <w:bCs/>
          <w:spacing w:val="-19"/>
          <w:w w:val="110"/>
        </w:rPr>
        <w:t xml:space="preserve"> </w:t>
      </w:r>
      <w:r w:rsidRPr="00E06806">
        <w:rPr>
          <w:rFonts w:cstheme="minorHAnsi"/>
          <w:b/>
          <w:bCs/>
          <w:w w:val="110"/>
        </w:rPr>
        <w:t>Workforce</w:t>
      </w:r>
      <w:r w:rsidRPr="00E06806">
        <w:rPr>
          <w:rFonts w:cstheme="minorHAnsi"/>
          <w:b/>
          <w:bCs/>
          <w:spacing w:val="-19"/>
          <w:w w:val="110"/>
        </w:rPr>
        <w:t xml:space="preserve"> </w:t>
      </w:r>
      <w:r w:rsidRPr="00E06806">
        <w:rPr>
          <w:rFonts w:cstheme="minorHAnsi"/>
          <w:b/>
          <w:bCs/>
          <w:w w:val="110"/>
        </w:rPr>
        <w:t>System</w:t>
      </w:r>
      <w:r w:rsidRPr="00E06806">
        <w:rPr>
          <w:rFonts w:cstheme="minorHAnsi"/>
          <w:b/>
          <w:bCs/>
          <w:spacing w:val="-19"/>
          <w:w w:val="110"/>
        </w:rPr>
        <w:t xml:space="preserve"> </w:t>
      </w:r>
      <w:r w:rsidRPr="00E06806">
        <w:rPr>
          <w:rFonts w:cstheme="minorHAnsi"/>
          <w:b/>
          <w:bCs/>
          <w:w w:val="110"/>
        </w:rPr>
        <w:t>Organization</w:t>
      </w:r>
    </w:p>
    <w:p w14:paraId="1C1A03C0" w14:textId="77777777" w:rsidR="00835835" w:rsidRPr="00E06806" w:rsidRDefault="00835835" w:rsidP="00D63204">
      <w:pPr>
        <w:widowControl w:val="0"/>
        <w:spacing w:after="0" w:line="266" w:lineRule="exact"/>
        <w:ind w:left="107"/>
        <w:rPr>
          <w:rFonts w:cstheme="minorHAnsi"/>
          <w:b/>
          <w:bCs/>
          <w:w w:val="110"/>
        </w:rPr>
      </w:pPr>
    </w:p>
    <w:p w14:paraId="08C06500" w14:textId="5E0258F8" w:rsidR="00866055" w:rsidRPr="00E06806" w:rsidRDefault="00E139E5" w:rsidP="00D63204">
      <w:pPr>
        <w:widowControl w:val="0"/>
        <w:spacing w:after="0" w:line="266" w:lineRule="exact"/>
        <w:ind w:left="107"/>
        <w:rPr>
          <w:rFonts w:cstheme="minorHAnsi"/>
        </w:rPr>
      </w:pPr>
      <w:r w:rsidRPr="00E06806">
        <w:rPr>
          <w:rFonts w:cstheme="minorHAnsi"/>
          <w:noProof/>
        </w:rPr>
        <w:drawing>
          <wp:anchor distT="0" distB="0" distL="114300" distR="114300" simplePos="0" relativeHeight="251658272" behindDoc="0" locked="0" layoutInCell="1" allowOverlap="1" wp14:anchorId="125A2388" wp14:editId="699E1DEC">
            <wp:simplePos x="0" y="0"/>
            <wp:positionH relativeFrom="margin">
              <wp:posOffset>1024387</wp:posOffset>
            </wp:positionH>
            <wp:positionV relativeFrom="margin">
              <wp:posOffset>1816567</wp:posOffset>
            </wp:positionV>
            <wp:extent cx="5156835" cy="4684144"/>
            <wp:effectExtent l="0" t="0" r="5715" b="2540"/>
            <wp:wrapNone/>
            <wp:docPr id="418393820" name="picture" descr="Shown as a triangle with 24 local workforce development boards as the base, the Department of Economic Opportunity in the middle, and CareerSource Florida at the top." title="Figure 3.04 Florida’s Workforce System Organization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pic:cNvPicPr preferRelativeResize="0"/>
                  </pic:nvPicPr>
                  <pic:blipFill>
                    <a:blip r:embed="rId118">
                      <a:extLst>
                        <a:ext uri="{28A0092B-C50C-407E-A947-70E740481C1C}">
                          <a14:useLocalDpi xmlns:a14="http://schemas.microsoft.com/office/drawing/2010/main"/>
                        </a:ext>
                      </a:extLst>
                    </a:blip>
                    <a:stretch>
                      <a:fillRect/>
                    </a:stretch>
                  </pic:blipFill>
                  <pic:spPr>
                    <a:xfrm>
                      <a:off x="0" y="0"/>
                      <a:ext cx="5180671" cy="4705795"/>
                    </a:xfrm>
                    <a:prstGeom prst="rect">
                      <a:avLst/>
                    </a:prstGeom>
                  </pic:spPr>
                </pic:pic>
              </a:graphicData>
            </a:graphic>
            <wp14:sizeRelH relativeFrom="margin">
              <wp14:pctWidth>0</wp14:pctWidth>
            </wp14:sizeRelH>
            <wp14:sizeRelV relativeFrom="margin">
              <wp14:pctHeight>0</wp14:pctHeight>
            </wp14:sizeRelV>
          </wp:anchor>
        </w:drawing>
      </w:r>
    </w:p>
    <w:p w14:paraId="3A1B7D95" w14:textId="6A05079F" w:rsidR="00866055" w:rsidRPr="00E06806" w:rsidRDefault="00866055" w:rsidP="00D63204">
      <w:pPr>
        <w:widowControl w:val="0"/>
        <w:spacing w:after="0" w:line="266" w:lineRule="exact"/>
        <w:ind w:left="107"/>
        <w:rPr>
          <w:rFonts w:cstheme="minorHAnsi"/>
        </w:rPr>
      </w:pPr>
    </w:p>
    <w:p w14:paraId="24EEEA20" w14:textId="37D061CC" w:rsidR="00EA7458" w:rsidRPr="00E06806" w:rsidRDefault="00EA7458" w:rsidP="00D63204">
      <w:pPr>
        <w:widowControl w:val="0"/>
        <w:spacing w:after="0" w:line="6100" w:lineRule="exact"/>
        <w:ind w:left="107"/>
        <w:rPr>
          <w:rFonts w:cstheme="minorHAnsi"/>
          <w:sz w:val="20"/>
          <w:szCs w:val="20"/>
        </w:rPr>
      </w:pPr>
    </w:p>
    <w:p w14:paraId="273BF164" w14:textId="77777777" w:rsidR="00835835" w:rsidRDefault="00835835" w:rsidP="00D63204">
      <w:pPr>
        <w:widowControl w:val="0"/>
        <w:spacing w:after="0" w:line="240" w:lineRule="auto"/>
        <w:ind w:left="107"/>
        <w:rPr>
          <w:rFonts w:cstheme="minorHAnsi"/>
          <w:b/>
          <w:bCs/>
          <w:color w:val="231F20"/>
          <w:w w:val="110"/>
        </w:rPr>
      </w:pPr>
    </w:p>
    <w:p w14:paraId="60F27CE2" w14:textId="77777777" w:rsidR="00835835" w:rsidRDefault="00835835" w:rsidP="00D63204">
      <w:pPr>
        <w:widowControl w:val="0"/>
        <w:spacing w:after="0" w:line="240" w:lineRule="auto"/>
        <w:ind w:left="107"/>
        <w:rPr>
          <w:rFonts w:cstheme="minorHAnsi"/>
          <w:b/>
          <w:bCs/>
          <w:color w:val="231F20"/>
          <w:w w:val="110"/>
        </w:rPr>
      </w:pPr>
    </w:p>
    <w:p w14:paraId="4688896A" w14:textId="77777777" w:rsidR="00835835" w:rsidRDefault="00835835" w:rsidP="00D63204">
      <w:pPr>
        <w:widowControl w:val="0"/>
        <w:spacing w:after="0" w:line="240" w:lineRule="auto"/>
        <w:ind w:left="107"/>
        <w:rPr>
          <w:rFonts w:cstheme="minorHAnsi"/>
          <w:b/>
          <w:bCs/>
          <w:color w:val="231F20"/>
          <w:w w:val="110"/>
        </w:rPr>
      </w:pPr>
    </w:p>
    <w:p w14:paraId="06B97947" w14:textId="1EF20A79" w:rsidR="00EA7458" w:rsidRPr="00E06806" w:rsidRDefault="00EA7458" w:rsidP="00D63204">
      <w:pPr>
        <w:widowControl w:val="0"/>
        <w:spacing w:after="0" w:line="240" w:lineRule="auto"/>
        <w:ind w:left="107"/>
        <w:rPr>
          <w:rFonts w:cstheme="minorHAnsi"/>
        </w:rPr>
      </w:pPr>
      <w:r w:rsidRPr="00E06806">
        <w:rPr>
          <w:rFonts w:cstheme="minorHAnsi"/>
          <w:b/>
          <w:bCs/>
          <w:color w:val="231F20"/>
          <w:w w:val="110"/>
        </w:rPr>
        <w:t>Florida</w:t>
      </w:r>
      <w:r w:rsidRPr="00E06806">
        <w:rPr>
          <w:rFonts w:cstheme="minorHAnsi"/>
          <w:b/>
          <w:bCs/>
          <w:color w:val="231F20"/>
          <w:spacing w:val="-17"/>
          <w:w w:val="110"/>
        </w:rPr>
        <w:t xml:space="preserve"> </w:t>
      </w:r>
      <w:r w:rsidRPr="00E06806">
        <w:rPr>
          <w:rFonts w:cstheme="minorHAnsi"/>
          <w:b/>
          <w:bCs/>
          <w:color w:val="231F20"/>
          <w:w w:val="110"/>
        </w:rPr>
        <w:t>Department</w:t>
      </w:r>
      <w:r w:rsidRPr="00E06806">
        <w:rPr>
          <w:rFonts w:cstheme="minorHAnsi"/>
          <w:b/>
          <w:bCs/>
          <w:color w:val="231F20"/>
          <w:spacing w:val="-17"/>
          <w:w w:val="110"/>
        </w:rPr>
        <w:t xml:space="preserve"> </w:t>
      </w:r>
      <w:r w:rsidRPr="00E06806">
        <w:rPr>
          <w:rFonts w:cstheme="minorHAnsi"/>
          <w:b/>
          <w:bCs/>
          <w:color w:val="231F20"/>
          <w:w w:val="110"/>
        </w:rPr>
        <w:t>of</w:t>
      </w:r>
      <w:r w:rsidRPr="00E06806">
        <w:rPr>
          <w:rFonts w:cstheme="minorHAnsi"/>
          <w:b/>
          <w:bCs/>
          <w:color w:val="231F20"/>
          <w:spacing w:val="-17"/>
          <w:w w:val="110"/>
        </w:rPr>
        <w:t xml:space="preserve"> </w:t>
      </w:r>
      <w:r w:rsidRPr="00E06806">
        <w:rPr>
          <w:rFonts w:cstheme="minorHAnsi"/>
          <w:b/>
          <w:bCs/>
          <w:color w:val="231F20"/>
          <w:w w:val="110"/>
        </w:rPr>
        <w:t>Education</w:t>
      </w:r>
    </w:p>
    <w:p w14:paraId="146E509E" w14:textId="6B0E9327" w:rsidR="00EA7458" w:rsidRDefault="00EA7458" w:rsidP="00D63204">
      <w:pPr>
        <w:widowControl w:val="0"/>
        <w:spacing w:before="2" w:after="0" w:line="240" w:lineRule="auto"/>
        <w:ind w:left="107"/>
        <w:rPr>
          <w:rFonts w:cstheme="minorHAnsi"/>
          <w:w w:val="105"/>
        </w:rPr>
      </w:pPr>
      <w:r w:rsidRPr="00E06806">
        <w:rPr>
          <w:rFonts w:cstheme="minorHAnsi"/>
          <w:w w:val="105"/>
        </w:rPr>
        <w:t>The</w:t>
      </w:r>
      <w:r w:rsidRPr="00E06806">
        <w:rPr>
          <w:rFonts w:cstheme="minorHAnsi"/>
          <w:spacing w:val="11"/>
          <w:w w:val="105"/>
        </w:rPr>
        <w:t xml:space="preserve"> </w:t>
      </w:r>
      <w:r w:rsidRPr="00E06806">
        <w:rPr>
          <w:rFonts w:cstheme="minorHAnsi"/>
          <w:w w:val="105"/>
        </w:rPr>
        <w:t>mission</w:t>
      </w:r>
      <w:r w:rsidRPr="00E06806">
        <w:rPr>
          <w:rFonts w:cstheme="minorHAnsi"/>
          <w:spacing w:val="11"/>
          <w:w w:val="105"/>
        </w:rPr>
        <w:t xml:space="preserve"> </w:t>
      </w:r>
      <w:r w:rsidRPr="00E06806">
        <w:rPr>
          <w:rFonts w:cstheme="minorHAnsi"/>
          <w:w w:val="105"/>
        </w:rPr>
        <w:t>of</w:t>
      </w:r>
      <w:r w:rsidRPr="00E06806">
        <w:rPr>
          <w:rFonts w:cstheme="minorHAnsi"/>
          <w:spacing w:val="11"/>
          <w:w w:val="105"/>
        </w:rPr>
        <w:t xml:space="preserve"> </w:t>
      </w:r>
      <w:r w:rsidRPr="00E06806">
        <w:rPr>
          <w:rFonts w:cstheme="minorHAnsi"/>
          <w:w w:val="105"/>
        </w:rPr>
        <w:t>the</w:t>
      </w:r>
      <w:r w:rsidRPr="00E06806">
        <w:rPr>
          <w:rFonts w:cstheme="minorHAnsi"/>
          <w:spacing w:val="11"/>
          <w:w w:val="105"/>
        </w:rPr>
        <w:t xml:space="preserve"> </w:t>
      </w:r>
      <w:r w:rsidRPr="00E06806">
        <w:rPr>
          <w:rFonts w:cstheme="minorHAnsi"/>
          <w:w w:val="105"/>
        </w:rPr>
        <w:t>Florida</w:t>
      </w:r>
      <w:r w:rsidRPr="00E06806">
        <w:rPr>
          <w:rFonts w:cstheme="minorHAnsi"/>
          <w:spacing w:val="11"/>
          <w:w w:val="105"/>
        </w:rPr>
        <w:t xml:space="preserve"> </w:t>
      </w:r>
      <w:r w:rsidRPr="00E06806">
        <w:rPr>
          <w:rFonts w:cstheme="minorHAnsi"/>
          <w:w w:val="105"/>
        </w:rPr>
        <w:t>Department</w:t>
      </w:r>
      <w:r w:rsidRPr="00E06806">
        <w:rPr>
          <w:rFonts w:cstheme="minorHAnsi"/>
          <w:spacing w:val="11"/>
          <w:w w:val="105"/>
        </w:rPr>
        <w:t xml:space="preserve"> </w:t>
      </w:r>
      <w:r w:rsidRPr="00E06806">
        <w:rPr>
          <w:rFonts w:cstheme="minorHAnsi"/>
          <w:w w:val="105"/>
        </w:rPr>
        <w:t>of</w:t>
      </w:r>
      <w:r w:rsidRPr="00E06806">
        <w:rPr>
          <w:rFonts w:cstheme="minorHAnsi"/>
          <w:spacing w:val="11"/>
          <w:w w:val="105"/>
        </w:rPr>
        <w:t xml:space="preserve"> </w:t>
      </w:r>
      <w:r w:rsidRPr="00E06806">
        <w:rPr>
          <w:rFonts w:cstheme="minorHAnsi"/>
          <w:w w:val="105"/>
        </w:rPr>
        <w:t>Education</w:t>
      </w:r>
      <w:r w:rsidRPr="00E06806">
        <w:rPr>
          <w:rFonts w:cstheme="minorHAnsi"/>
          <w:spacing w:val="11"/>
          <w:w w:val="105"/>
        </w:rPr>
        <w:t xml:space="preserve"> </w:t>
      </w:r>
      <w:r w:rsidRPr="00E06806">
        <w:rPr>
          <w:rFonts w:cstheme="minorHAnsi"/>
          <w:w w:val="105"/>
        </w:rPr>
        <w:t>(FDOE)</w:t>
      </w:r>
      <w:r w:rsidRPr="00E06806">
        <w:rPr>
          <w:rFonts w:cstheme="minorHAnsi"/>
          <w:spacing w:val="11"/>
          <w:w w:val="105"/>
        </w:rPr>
        <w:t xml:space="preserve"> </w:t>
      </w:r>
      <w:r w:rsidRPr="00E06806">
        <w:rPr>
          <w:rFonts w:cstheme="minorHAnsi"/>
          <w:w w:val="105"/>
        </w:rPr>
        <w:t>is</w:t>
      </w:r>
      <w:r w:rsidRPr="00E06806">
        <w:rPr>
          <w:rFonts w:cstheme="minorHAnsi"/>
          <w:spacing w:val="11"/>
          <w:w w:val="105"/>
        </w:rPr>
        <w:t xml:space="preserve"> </w:t>
      </w:r>
      <w:r w:rsidRPr="00E06806">
        <w:rPr>
          <w:rFonts w:cstheme="minorHAnsi"/>
          <w:w w:val="105"/>
        </w:rPr>
        <w:t>“to</w:t>
      </w:r>
      <w:r w:rsidRPr="00E06806">
        <w:rPr>
          <w:rFonts w:cstheme="minorHAnsi"/>
          <w:spacing w:val="11"/>
          <w:w w:val="105"/>
        </w:rPr>
        <w:t xml:space="preserve"> </w:t>
      </w:r>
      <w:r w:rsidRPr="00E06806">
        <w:rPr>
          <w:rFonts w:cstheme="minorHAnsi"/>
          <w:w w:val="105"/>
        </w:rPr>
        <w:t>increase</w:t>
      </w:r>
      <w:r w:rsidRPr="00E06806">
        <w:rPr>
          <w:rFonts w:cstheme="minorHAnsi"/>
          <w:spacing w:val="11"/>
          <w:w w:val="105"/>
        </w:rPr>
        <w:t xml:space="preserve"> </w:t>
      </w:r>
      <w:r w:rsidRPr="00E06806">
        <w:rPr>
          <w:rFonts w:cstheme="minorHAnsi"/>
          <w:w w:val="105"/>
        </w:rPr>
        <w:t>the</w:t>
      </w:r>
      <w:r w:rsidRPr="00E06806">
        <w:rPr>
          <w:rFonts w:cstheme="minorHAnsi"/>
          <w:spacing w:val="11"/>
          <w:w w:val="105"/>
        </w:rPr>
        <w:t xml:space="preserve"> </w:t>
      </w:r>
      <w:r w:rsidRPr="00E06806">
        <w:rPr>
          <w:rFonts w:cstheme="minorHAnsi"/>
          <w:w w:val="105"/>
        </w:rPr>
        <w:t>proficiency</w:t>
      </w:r>
      <w:r w:rsidRPr="00E06806">
        <w:rPr>
          <w:rFonts w:cstheme="minorHAnsi"/>
          <w:spacing w:val="11"/>
          <w:w w:val="105"/>
        </w:rPr>
        <w:t xml:space="preserve"> </w:t>
      </w:r>
      <w:r w:rsidRPr="00E06806">
        <w:rPr>
          <w:rFonts w:cstheme="minorHAnsi"/>
          <w:w w:val="105"/>
        </w:rPr>
        <w:t>of</w:t>
      </w:r>
      <w:r w:rsidRPr="00E06806">
        <w:rPr>
          <w:rFonts w:cstheme="minorHAnsi"/>
          <w:spacing w:val="11"/>
          <w:w w:val="105"/>
        </w:rPr>
        <w:t xml:space="preserve"> </w:t>
      </w:r>
      <w:r w:rsidRPr="00E06806">
        <w:rPr>
          <w:rFonts w:cstheme="minorHAnsi"/>
          <w:w w:val="105"/>
        </w:rPr>
        <w:t>all</w:t>
      </w:r>
      <w:r w:rsidRPr="00E06806">
        <w:rPr>
          <w:rFonts w:cstheme="minorHAnsi"/>
          <w:spacing w:val="11"/>
          <w:w w:val="105"/>
        </w:rPr>
        <w:t xml:space="preserve"> </w:t>
      </w:r>
      <w:r w:rsidRPr="00E06806">
        <w:rPr>
          <w:rFonts w:cstheme="minorHAnsi"/>
          <w:w w:val="105"/>
        </w:rPr>
        <w:t>students</w:t>
      </w:r>
      <w:r w:rsidRPr="00E06806">
        <w:rPr>
          <w:rFonts w:cstheme="minorHAnsi"/>
          <w:spacing w:val="-35"/>
          <w:w w:val="105"/>
        </w:rPr>
        <w:t xml:space="preserve"> </w:t>
      </w:r>
      <w:r w:rsidRPr="00E06806">
        <w:rPr>
          <w:rFonts w:cstheme="minorHAnsi"/>
          <w:w w:val="105"/>
        </w:rPr>
        <w:t>within</w:t>
      </w:r>
      <w:r w:rsidRPr="00E06806">
        <w:rPr>
          <w:rFonts w:cstheme="minorHAnsi"/>
          <w:spacing w:val="8"/>
          <w:w w:val="105"/>
        </w:rPr>
        <w:t xml:space="preserve"> </w:t>
      </w:r>
      <w:r w:rsidRPr="00E06806">
        <w:rPr>
          <w:rFonts w:cstheme="minorHAnsi"/>
          <w:w w:val="105"/>
        </w:rPr>
        <w:t>one</w:t>
      </w:r>
      <w:r w:rsidRPr="00E06806">
        <w:rPr>
          <w:rFonts w:cstheme="minorHAnsi"/>
          <w:spacing w:val="8"/>
          <w:w w:val="105"/>
        </w:rPr>
        <w:t xml:space="preserve"> </w:t>
      </w:r>
      <w:r w:rsidRPr="00E06806">
        <w:rPr>
          <w:rFonts w:cstheme="minorHAnsi"/>
          <w:w w:val="105"/>
        </w:rPr>
        <w:t>seamless,</w:t>
      </w:r>
      <w:r w:rsidRPr="00E06806">
        <w:rPr>
          <w:rFonts w:cstheme="minorHAnsi"/>
          <w:spacing w:val="8"/>
          <w:w w:val="105"/>
        </w:rPr>
        <w:t xml:space="preserve"> </w:t>
      </w:r>
      <w:r w:rsidRPr="00E06806">
        <w:rPr>
          <w:rFonts w:cstheme="minorHAnsi"/>
          <w:w w:val="105"/>
        </w:rPr>
        <w:t>efficient</w:t>
      </w:r>
      <w:r w:rsidRPr="00E06806">
        <w:rPr>
          <w:rFonts w:cstheme="minorHAnsi"/>
          <w:spacing w:val="8"/>
          <w:w w:val="105"/>
        </w:rPr>
        <w:t xml:space="preserve"> </w:t>
      </w:r>
      <w:r w:rsidRPr="00E06806">
        <w:rPr>
          <w:rFonts w:cstheme="minorHAnsi"/>
          <w:w w:val="105"/>
        </w:rPr>
        <w:t>system,</w:t>
      </w:r>
      <w:r w:rsidRPr="00E06806">
        <w:rPr>
          <w:rFonts w:cstheme="minorHAnsi"/>
          <w:spacing w:val="8"/>
          <w:w w:val="105"/>
        </w:rPr>
        <w:t xml:space="preserve"> </w:t>
      </w:r>
      <w:r w:rsidRPr="00E06806">
        <w:rPr>
          <w:rFonts w:cstheme="minorHAnsi"/>
          <w:w w:val="105"/>
        </w:rPr>
        <w:t>by</w:t>
      </w:r>
      <w:r w:rsidRPr="00E06806">
        <w:rPr>
          <w:rFonts w:cstheme="minorHAnsi"/>
          <w:spacing w:val="8"/>
          <w:w w:val="105"/>
        </w:rPr>
        <w:t xml:space="preserve"> </w:t>
      </w:r>
      <w:r w:rsidRPr="00E06806">
        <w:rPr>
          <w:rFonts w:cstheme="minorHAnsi"/>
          <w:w w:val="105"/>
        </w:rPr>
        <w:t>providing</w:t>
      </w:r>
      <w:r w:rsidRPr="00E06806">
        <w:rPr>
          <w:rFonts w:cstheme="minorHAnsi"/>
          <w:spacing w:val="8"/>
          <w:w w:val="105"/>
        </w:rPr>
        <w:t xml:space="preserve"> </w:t>
      </w:r>
      <w:r w:rsidRPr="00E06806">
        <w:rPr>
          <w:rFonts w:cstheme="minorHAnsi"/>
          <w:w w:val="105"/>
        </w:rPr>
        <w:t>them</w:t>
      </w:r>
      <w:r w:rsidRPr="00E06806">
        <w:rPr>
          <w:rFonts w:cstheme="minorHAnsi"/>
          <w:spacing w:val="8"/>
          <w:w w:val="105"/>
        </w:rPr>
        <w:t xml:space="preserve"> </w:t>
      </w:r>
      <w:r w:rsidRPr="00E06806">
        <w:rPr>
          <w:rFonts w:cstheme="minorHAnsi"/>
          <w:w w:val="105"/>
        </w:rPr>
        <w:t>with</w:t>
      </w:r>
      <w:r w:rsidRPr="00E06806">
        <w:rPr>
          <w:rFonts w:cstheme="minorHAnsi"/>
          <w:spacing w:val="8"/>
          <w:w w:val="105"/>
        </w:rPr>
        <w:t xml:space="preserve"> </w:t>
      </w:r>
      <w:r w:rsidRPr="00E06806">
        <w:rPr>
          <w:rFonts w:cstheme="minorHAnsi"/>
          <w:w w:val="105"/>
        </w:rPr>
        <w:t>the</w:t>
      </w:r>
      <w:r w:rsidRPr="00E06806">
        <w:rPr>
          <w:rFonts w:cstheme="minorHAnsi"/>
          <w:spacing w:val="8"/>
          <w:w w:val="105"/>
        </w:rPr>
        <w:t xml:space="preserve"> </w:t>
      </w:r>
      <w:r w:rsidRPr="00E06806">
        <w:rPr>
          <w:rFonts w:cstheme="minorHAnsi"/>
          <w:w w:val="105"/>
        </w:rPr>
        <w:t>opportunity</w:t>
      </w:r>
      <w:r w:rsidRPr="00E06806">
        <w:rPr>
          <w:rFonts w:cstheme="minorHAnsi"/>
          <w:spacing w:val="8"/>
          <w:w w:val="105"/>
        </w:rPr>
        <w:t xml:space="preserve"> </w:t>
      </w:r>
      <w:r w:rsidRPr="00E06806">
        <w:rPr>
          <w:rFonts w:cstheme="minorHAnsi"/>
          <w:w w:val="105"/>
        </w:rPr>
        <w:t>to</w:t>
      </w:r>
      <w:r w:rsidRPr="00E06806">
        <w:rPr>
          <w:rFonts w:cstheme="minorHAnsi"/>
          <w:spacing w:val="8"/>
          <w:w w:val="105"/>
        </w:rPr>
        <w:t xml:space="preserve"> </w:t>
      </w:r>
      <w:r w:rsidRPr="00E06806">
        <w:rPr>
          <w:rFonts w:cstheme="minorHAnsi"/>
          <w:w w:val="105"/>
        </w:rPr>
        <w:t>expand</w:t>
      </w:r>
      <w:r w:rsidRPr="00E06806">
        <w:rPr>
          <w:rFonts w:cstheme="minorHAnsi"/>
          <w:spacing w:val="8"/>
          <w:w w:val="105"/>
        </w:rPr>
        <w:t xml:space="preserve"> </w:t>
      </w:r>
      <w:r w:rsidRPr="00E06806">
        <w:rPr>
          <w:rFonts w:cstheme="minorHAnsi"/>
          <w:w w:val="105"/>
        </w:rPr>
        <w:t>their</w:t>
      </w:r>
      <w:r w:rsidRPr="00E06806">
        <w:rPr>
          <w:rFonts w:cstheme="minorHAnsi"/>
          <w:spacing w:val="8"/>
          <w:w w:val="105"/>
        </w:rPr>
        <w:t xml:space="preserve"> </w:t>
      </w:r>
      <w:r w:rsidRPr="00E06806">
        <w:rPr>
          <w:rFonts w:cstheme="minorHAnsi"/>
          <w:w w:val="105"/>
        </w:rPr>
        <w:t>knowledge</w:t>
      </w:r>
      <w:r w:rsidRPr="00E06806">
        <w:rPr>
          <w:rFonts w:cstheme="minorHAnsi"/>
          <w:spacing w:val="-46"/>
          <w:w w:val="105"/>
        </w:rPr>
        <w:t xml:space="preserve"> </w:t>
      </w:r>
      <w:r w:rsidRPr="00E06806">
        <w:rPr>
          <w:rFonts w:cstheme="minorHAnsi"/>
          <w:w w:val="105"/>
        </w:rPr>
        <w:t>and</w:t>
      </w:r>
      <w:r w:rsidRPr="00E06806">
        <w:rPr>
          <w:rFonts w:cstheme="minorHAnsi"/>
          <w:spacing w:val="15"/>
          <w:w w:val="105"/>
        </w:rPr>
        <w:t xml:space="preserve"> </w:t>
      </w:r>
      <w:r w:rsidRPr="00E06806">
        <w:rPr>
          <w:rFonts w:cstheme="minorHAnsi"/>
          <w:w w:val="105"/>
        </w:rPr>
        <w:t>skills</w:t>
      </w:r>
      <w:r w:rsidRPr="00E06806">
        <w:rPr>
          <w:rFonts w:cstheme="minorHAnsi"/>
          <w:spacing w:val="15"/>
          <w:w w:val="105"/>
        </w:rPr>
        <w:t xml:space="preserve"> </w:t>
      </w:r>
      <w:r w:rsidRPr="00E06806">
        <w:rPr>
          <w:rFonts w:cstheme="minorHAnsi"/>
          <w:w w:val="105"/>
        </w:rPr>
        <w:t>through</w:t>
      </w:r>
      <w:r w:rsidRPr="00E06806">
        <w:rPr>
          <w:rFonts w:cstheme="minorHAnsi"/>
          <w:spacing w:val="15"/>
          <w:w w:val="105"/>
        </w:rPr>
        <w:t xml:space="preserve"> </w:t>
      </w:r>
      <w:r w:rsidRPr="00E06806">
        <w:rPr>
          <w:rFonts w:cstheme="minorHAnsi"/>
          <w:w w:val="105"/>
        </w:rPr>
        <w:t>learning</w:t>
      </w:r>
      <w:r w:rsidRPr="00E06806">
        <w:rPr>
          <w:rFonts w:cstheme="minorHAnsi"/>
          <w:spacing w:val="15"/>
          <w:w w:val="105"/>
        </w:rPr>
        <w:t xml:space="preserve"> </w:t>
      </w:r>
      <w:r w:rsidRPr="00E06806">
        <w:rPr>
          <w:rFonts w:cstheme="minorHAnsi"/>
          <w:w w:val="105"/>
        </w:rPr>
        <w:t>opportunities</w:t>
      </w:r>
      <w:r w:rsidRPr="00E06806">
        <w:rPr>
          <w:rFonts w:cstheme="minorHAnsi"/>
          <w:spacing w:val="15"/>
          <w:w w:val="105"/>
        </w:rPr>
        <w:t xml:space="preserve"> </w:t>
      </w:r>
      <w:r w:rsidRPr="00E06806">
        <w:rPr>
          <w:rFonts w:cstheme="minorHAnsi"/>
          <w:w w:val="105"/>
        </w:rPr>
        <w:t>and</w:t>
      </w:r>
      <w:r w:rsidRPr="00E06806">
        <w:rPr>
          <w:rFonts w:cstheme="minorHAnsi"/>
          <w:spacing w:val="15"/>
          <w:w w:val="105"/>
        </w:rPr>
        <w:t xml:space="preserve"> </w:t>
      </w:r>
      <w:r w:rsidRPr="00E06806">
        <w:rPr>
          <w:rFonts w:cstheme="minorHAnsi"/>
          <w:w w:val="105"/>
        </w:rPr>
        <w:t>research</w:t>
      </w:r>
      <w:r w:rsidRPr="00E06806">
        <w:rPr>
          <w:rFonts w:cstheme="minorHAnsi"/>
          <w:spacing w:val="15"/>
          <w:w w:val="105"/>
        </w:rPr>
        <w:t xml:space="preserve"> </w:t>
      </w:r>
      <w:r w:rsidRPr="00E06806">
        <w:rPr>
          <w:rFonts w:cstheme="minorHAnsi"/>
          <w:w w:val="105"/>
        </w:rPr>
        <w:t>valued</w:t>
      </w:r>
      <w:r w:rsidRPr="00E06806">
        <w:rPr>
          <w:rFonts w:cstheme="minorHAnsi"/>
          <w:spacing w:val="15"/>
          <w:w w:val="105"/>
        </w:rPr>
        <w:t xml:space="preserve"> </w:t>
      </w:r>
      <w:r w:rsidRPr="00E06806">
        <w:rPr>
          <w:rFonts w:cstheme="minorHAnsi"/>
          <w:w w:val="105"/>
        </w:rPr>
        <w:t>by</w:t>
      </w:r>
      <w:r w:rsidRPr="00E06806">
        <w:rPr>
          <w:rFonts w:cstheme="minorHAnsi"/>
          <w:spacing w:val="15"/>
          <w:w w:val="105"/>
        </w:rPr>
        <w:t xml:space="preserve"> </w:t>
      </w:r>
      <w:r w:rsidRPr="00E06806">
        <w:rPr>
          <w:rFonts w:cstheme="minorHAnsi"/>
          <w:w w:val="105"/>
        </w:rPr>
        <w:t>students,</w:t>
      </w:r>
      <w:r w:rsidRPr="00E06806">
        <w:rPr>
          <w:rFonts w:cstheme="minorHAnsi"/>
          <w:spacing w:val="15"/>
          <w:w w:val="105"/>
        </w:rPr>
        <w:t xml:space="preserve"> </w:t>
      </w:r>
      <w:r w:rsidRPr="00E06806">
        <w:rPr>
          <w:rFonts w:cstheme="minorHAnsi"/>
          <w:w w:val="105"/>
        </w:rPr>
        <w:t>parents</w:t>
      </w:r>
      <w:r w:rsidR="00D5537E">
        <w:rPr>
          <w:rFonts w:cstheme="minorHAnsi"/>
          <w:w w:val="105"/>
        </w:rPr>
        <w:t xml:space="preserve"> and</w:t>
      </w:r>
      <w:r w:rsidRPr="00E06806">
        <w:rPr>
          <w:rFonts w:cstheme="minorHAnsi"/>
          <w:spacing w:val="15"/>
          <w:w w:val="105"/>
        </w:rPr>
        <w:t xml:space="preserve"> </w:t>
      </w:r>
      <w:r w:rsidRPr="00E06806">
        <w:rPr>
          <w:rFonts w:cstheme="minorHAnsi"/>
          <w:w w:val="105"/>
        </w:rPr>
        <w:t>communities</w:t>
      </w:r>
      <w:r w:rsidR="00D5537E">
        <w:rPr>
          <w:rFonts w:cstheme="minorHAnsi"/>
          <w:w w:val="105"/>
        </w:rPr>
        <w:t xml:space="preserve"> and</w:t>
      </w:r>
      <w:r w:rsidRPr="00E06806">
        <w:rPr>
          <w:rFonts w:cstheme="minorHAnsi"/>
          <w:w w:val="108"/>
        </w:rPr>
        <w:t xml:space="preserve"> </w:t>
      </w:r>
      <w:r w:rsidRPr="00E06806">
        <w:rPr>
          <w:rFonts w:cstheme="minorHAnsi"/>
          <w:w w:val="105"/>
        </w:rPr>
        <w:t>to maintain an accountability system that measures student progress.”</w:t>
      </w:r>
    </w:p>
    <w:p w14:paraId="55235526" w14:textId="77777777" w:rsidR="008B23CE" w:rsidRPr="00E06806" w:rsidRDefault="008B23CE" w:rsidP="00D63204">
      <w:pPr>
        <w:widowControl w:val="0"/>
        <w:spacing w:before="2" w:after="0" w:line="240" w:lineRule="auto"/>
        <w:ind w:left="107"/>
        <w:rPr>
          <w:rFonts w:cstheme="minorHAnsi"/>
        </w:rPr>
      </w:pPr>
    </w:p>
    <w:p w14:paraId="2C565E62" w14:textId="34CD7088" w:rsidR="008B23CE" w:rsidRPr="008B23CE" w:rsidRDefault="008B23CE" w:rsidP="00D63204">
      <w:pPr>
        <w:widowControl w:val="0"/>
        <w:spacing w:before="2" w:after="0" w:line="240" w:lineRule="auto"/>
        <w:ind w:left="107"/>
        <w:rPr>
          <w:rFonts w:cstheme="minorHAnsi"/>
          <w:w w:val="105"/>
        </w:rPr>
      </w:pPr>
      <w:r w:rsidRPr="00CD74BC">
        <w:rPr>
          <w:rFonts w:cstheme="minorHAnsi"/>
          <w:w w:val="105"/>
        </w:rPr>
        <w:t xml:space="preserve">FDOE serves </w:t>
      </w:r>
      <w:r w:rsidR="00F61A07">
        <w:rPr>
          <w:rFonts w:cstheme="minorHAnsi"/>
          <w:w w:val="105"/>
        </w:rPr>
        <w:t>more than</w:t>
      </w:r>
      <w:r w:rsidRPr="00CD74BC">
        <w:rPr>
          <w:rFonts w:cstheme="minorHAnsi"/>
          <w:w w:val="105"/>
        </w:rPr>
        <w:t xml:space="preserve"> 2.8 million students, 4,300 public schools, 28 colleges, 171,000 teachers, 45,000 college professors and administrators</w:t>
      </w:r>
      <w:r w:rsidR="00D5537E">
        <w:rPr>
          <w:rFonts w:cstheme="minorHAnsi"/>
          <w:w w:val="105"/>
        </w:rPr>
        <w:t xml:space="preserve"> and</w:t>
      </w:r>
      <w:r w:rsidRPr="00CD74BC">
        <w:rPr>
          <w:rFonts w:cstheme="minorHAnsi"/>
          <w:w w:val="105"/>
        </w:rPr>
        <w:t xml:space="preserve"> 325,000 full-time staff throughout the state; the department </w:t>
      </w:r>
      <w:r w:rsidRPr="00CD74BC">
        <w:rPr>
          <w:rFonts w:cstheme="minorHAnsi"/>
          <w:w w:val="105"/>
        </w:rPr>
        <w:lastRenderedPageBreak/>
        <w:t>enhances the economic self-sufficiency of Floridians through programs and services geared toward college, workforce education, apprenticeships, job-specific skills</w:t>
      </w:r>
      <w:r w:rsidR="00D5537E">
        <w:rPr>
          <w:rFonts w:cstheme="minorHAnsi"/>
          <w:w w:val="105"/>
        </w:rPr>
        <w:t xml:space="preserve"> and</w:t>
      </w:r>
      <w:r w:rsidRPr="00CD74BC">
        <w:rPr>
          <w:rFonts w:cstheme="minorHAnsi"/>
          <w:w w:val="105"/>
        </w:rPr>
        <w:t xml:space="preserve"> career development. The department manages programs that assist individuals who are blind, visually</w:t>
      </w:r>
      <w:r w:rsidR="000511ED">
        <w:rPr>
          <w:rFonts w:cstheme="minorHAnsi"/>
          <w:w w:val="105"/>
        </w:rPr>
        <w:t xml:space="preserve"> </w:t>
      </w:r>
      <w:r w:rsidRPr="00CD74BC">
        <w:rPr>
          <w:rFonts w:cstheme="minorHAnsi"/>
          <w:w w:val="105"/>
        </w:rPr>
        <w:t xml:space="preserve">impaired, or </w:t>
      </w:r>
      <w:r w:rsidR="0068573E">
        <w:rPr>
          <w:rFonts w:cstheme="minorHAnsi"/>
          <w:w w:val="105"/>
        </w:rPr>
        <w:t>have other disabilities</w:t>
      </w:r>
      <w:r w:rsidRPr="00CD74BC">
        <w:rPr>
          <w:rFonts w:cstheme="minorHAnsi"/>
          <w:w w:val="105"/>
        </w:rPr>
        <w:t xml:space="preserve"> succeed either in school settings or careers </w:t>
      </w:r>
      <w:r w:rsidR="00835835">
        <w:rPr>
          <w:rFonts w:cstheme="minorHAnsi"/>
          <w:w w:val="105"/>
        </w:rPr>
        <w:t>–</w:t>
      </w:r>
      <w:r w:rsidRPr="00CD74BC">
        <w:rPr>
          <w:rFonts w:cstheme="minorHAnsi"/>
          <w:w w:val="105"/>
        </w:rPr>
        <w:t xml:space="preserve"> encouraging independence and self-sufficiency. FDOE provides oversight to 28 locally</w:t>
      </w:r>
      <w:r w:rsidR="000511ED">
        <w:rPr>
          <w:rFonts w:cstheme="minorHAnsi"/>
          <w:w w:val="105"/>
        </w:rPr>
        <w:t xml:space="preserve"> </w:t>
      </w:r>
      <w:r w:rsidRPr="00CD74BC">
        <w:rPr>
          <w:rFonts w:cstheme="minorHAnsi"/>
          <w:w w:val="105"/>
        </w:rPr>
        <w:t>governed public state colleges and 49 school district technical centers</w:t>
      </w:r>
      <w:r w:rsidRPr="00E06806">
        <w:rPr>
          <w:rFonts w:cstheme="minorHAnsi"/>
          <w:w w:val="105"/>
        </w:rPr>
        <w:t>.</w:t>
      </w:r>
    </w:p>
    <w:p w14:paraId="4013CCB5" w14:textId="77777777" w:rsidR="00EA7458" w:rsidRPr="00E06806" w:rsidRDefault="00EA7458" w:rsidP="00974AAC">
      <w:pPr>
        <w:widowControl w:val="0"/>
        <w:spacing w:before="2" w:after="0" w:line="240" w:lineRule="auto"/>
        <w:rPr>
          <w:rFonts w:cstheme="minorHAnsi"/>
          <w:sz w:val="14"/>
          <w:szCs w:val="14"/>
        </w:rPr>
      </w:pPr>
    </w:p>
    <w:p w14:paraId="6AA21EF2" w14:textId="0127855E" w:rsidR="006216C8" w:rsidRPr="006216C8" w:rsidRDefault="006216C8" w:rsidP="00D63204">
      <w:pPr>
        <w:widowControl w:val="0"/>
        <w:spacing w:after="0" w:line="240" w:lineRule="auto"/>
        <w:ind w:left="107"/>
        <w:rPr>
          <w:rFonts w:cstheme="minorHAnsi"/>
          <w:w w:val="105"/>
        </w:rPr>
      </w:pPr>
      <w:bookmarkStart w:id="80" w:name="_bookmark42"/>
      <w:bookmarkStart w:id="81" w:name="_Hlk501698916"/>
      <w:bookmarkEnd w:id="80"/>
      <w:r w:rsidRPr="006216C8">
        <w:rPr>
          <w:rFonts w:cstheme="minorHAnsi"/>
          <w:w w:val="105"/>
        </w:rPr>
        <w:t xml:space="preserve">FDOE is currently appropriated 2,327 total full-time positions, including 884 positions in the Division </w:t>
      </w:r>
      <w:r w:rsidR="00382FA9" w:rsidRPr="006216C8">
        <w:rPr>
          <w:rFonts w:cstheme="minorHAnsi"/>
          <w:w w:val="105"/>
        </w:rPr>
        <w:t>of Vocational</w:t>
      </w:r>
      <w:r w:rsidRPr="006216C8">
        <w:rPr>
          <w:rFonts w:cstheme="minorHAnsi"/>
          <w:w w:val="105"/>
        </w:rPr>
        <w:t xml:space="preserve"> Rehabilitation, </w:t>
      </w:r>
      <w:r w:rsidR="00312ACF">
        <w:rPr>
          <w:rFonts w:cstheme="minorHAnsi"/>
          <w:w w:val="105"/>
        </w:rPr>
        <w:t>28</w:t>
      </w:r>
      <w:r w:rsidR="008C10D4">
        <w:rPr>
          <w:rFonts w:cstheme="minorHAnsi"/>
          <w:w w:val="105"/>
        </w:rPr>
        <w:t>9</w:t>
      </w:r>
      <w:r w:rsidRPr="006216C8">
        <w:rPr>
          <w:rFonts w:cstheme="minorHAnsi"/>
          <w:w w:val="105"/>
        </w:rPr>
        <w:t xml:space="preserve"> positions </w:t>
      </w:r>
      <w:r w:rsidR="008C10D4">
        <w:rPr>
          <w:rFonts w:cstheme="minorHAnsi"/>
          <w:w w:val="105"/>
        </w:rPr>
        <w:t xml:space="preserve">in the Division of Blind Services </w:t>
      </w:r>
      <w:r w:rsidRPr="006216C8">
        <w:rPr>
          <w:rFonts w:cstheme="minorHAnsi"/>
          <w:w w:val="105"/>
        </w:rPr>
        <w:t xml:space="preserve">and </w:t>
      </w:r>
      <w:r w:rsidR="00D867F6">
        <w:rPr>
          <w:rFonts w:cstheme="minorHAnsi"/>
          <w:w w:val="105"/>
        </w:rPr>
        <w:t>80</w:t>
      </w:r>
      <w:r w:rsidRPr="006216C8">
        <w:rPr>
          <w:rFonts w:cstheme="minorHAnsi"/>
          <w:w w:val="105"/>
        </w:rPr>
        <w:t xml:space="preserve"> positions in the Division of Career and Adult Education</w:t>
      </w:r>
      <w:r w:rsidR="00D867F6">
        <w:rPr>
          <w:rFonts w:cstheme="minorHAnsi"/>
          <w:w w:val="105"/>
        </w:rPr>
        <w:t>.</w:t>
      </w:r>
      <w:r w:rsidRPr="006216C8">
        <w:rPr>
          <w:rFonts w:cstheme="minorHAnsi"/>
          <w:w w:val="105"/>
        </w:rPr>
        <w:t xml:space="preserve"> The department’s annual operating budget for all entities in state fiscal year 2016-17 was approximately $24.4 billion.</w:t>
      </w:r>
      <w:bookmarkEnd w:id="81"/>
    </w:p>
    <w:p w14:paraId="0A8C6576" w14:textId="77777777" w:rsidR="00EA7458" w:rsidRPr="00E06806" w:rsidRDefault="00EA7458" w:rsidP="00D63204">
      <w:pPr>
        <w:widowControl w:val="0"/>
        <w:spacing w:after="0" w:line="240" w:lineRule="auto"/>
        <w:ind w:left="107"/>
        <w:rPr>
          <w:rFonts w:cstheme="minorHAnsi"/>
          <w:sz w:val="16"/>
          <w:szCs w:val="16"/>
        </w:rPr>
      </w:pPr>
    </w:p>
    <w:p w14:paraId="0EC2504F" w14:textId="1E4A976A" w:rsidR="00BC311F" w:rsidRPr="0091189D" w:rsidRDefault="00BC311F" w:rsidP="00D63204">
      <w:pPr>
        <w:widowControl w:val="0"/>
        <w:spacing w:after="0" w:line="240" w:lineRule="auto"/>
        <w:ind w:left="107"/>
        <w:rPr>
          <w:rFonts w:cstheme="minorHAnsi"/>
          <w:w w:val="105"/>
        </w:rPr>
      </w:pPr>
      <w:r w:rsidRPr="00E06806">
        <w:rPr>
          <w:rFonts w:cstheme="minorHAnsi"/>
          <w:w w:val="105"/>
        </w:rPr>
        <w:t>The</w:t>
      </w:r>
      <w:r w:rsidRPr="0091189D">
        <w:rPr>
          <w:rFonts w:cstheme="minorHAnsi"/>
          <w:w w:val="105"/>
        </w:rPr>
        <w:t xml:space="preserve"> </w:t>
      </w:r>
      <w:r w:rsidRPr="00E06806">
        <w:rPr>
          <w:rFonts w:cstheme="minorHAnsi"/>
          <w:w w:val="105"/>
        </w:rPr>
        <w:t>FDOE</w:t>
      </w:r>
      <w:r w:rsidRPr="0091189D">
        <w:rPr>
          <w:rFonts w:cstheme="minorHAnsi"/>
          <w:w w:val="105"/>
        </w:rPr>
        <w:t xml:space="preserve"> </w:t>
      </w:r>
      <w:r w:rsidRPr="00E06806">
        <w:rPr>
          <w:rFonts w:cstheme="minorHAnsi"/>
          <w:w w:val="105"/>
        </w:rPr>
        <w:t>organizational</w:t>
      </w:r>
      <w:r w:rsidRPr="0091189D">
        <w:rPr>
          <w:rFonts w:cstheme="minorHAnsi"/>
          <w:w w:val="105"/>
        </w:rPr>
        <w:t xml:space="preserve"> </w:t>
      </w:r>
      <w:r w:rsidRPr="00E06806">
        <w:rPr>
          <w:rFonts w:cstheme="minorHAnsi"/>
          <w:w w:val="105"/>
        </w:rPr>
        <w:t>and</w:t>
      </w:r>
      <w:r w:rsidRPr="0091189D">
        <w:rPr>
          <w:rFonts w:cstheme="minorHAnsi"/>
          <w:w w:val="105"/>
        </w:rPr>
        <w:t xml:space="preserve"> </w:t>
      </w:r>
      <w:r w:rsidRPr="00E06806">
        <w:rPr>
          <w:rFonts w:cstheme="minorHAnsi"/>
          <w:w w:val="105"/>
        </w:rPr>
        <w:t>governance</w:t>
      </w:r>
      <w:r w:rsidRPr="0091189D">
        <w:rPr>
          <w:rFonts w:cstheme="minorHAnsi"/>
          <w:w w:val="105"/>
        </w:rPr>
        <w:t xml:space="preserve"> </w:t>
      </w:r>
      <w:r w:rsidRPr="00E06806">
        <w:rPr>
          <w:rFonts w:cstheme="minorHAnsi"/>
          <w:w w:val="105"/>
        </w:rPr>
        <w:t>structure</w:t>
      </w:r>
      <w:r w:rsidRPr="0091189D">
        <w:rPr>
          <w:rFonts w:cstheme="minorHAnsi"/>
          <w:w w:val="105"/>
        </w:rPr>
        <w:t xml:space="preserve"> </w:t>
      </w:r>
      <w:r w:rsidRPr="00E06806">
        <w:rPr>
          <w:rFonts w:cstheme="minorHAnsi"/>
          <w:w w:val="105"/>
        </w:rPr>
        <w:t>includes</w:t>
      </w:r>
      <w:r w:rsidRPr="0091189D">
        <w:rPr>
          <w:rFonts w:cstheme="minorHAnsi"/>
          <w:w w:val="105"/>
        </w:rPr>
        <w:t xml:space="preserve"> </w:t>
      </w:r>
      <w:r w:rsidRPr="00E06806">
        <w:rPr>
          <w:rFonts w:cstheme="minorHAnsi"/>
          <w:w w:val="105"/>
        </w:rPr>
        <w:t>the</w:t>
      </w:r>
      <w:r w:rsidRPr="0091189D">
        <w:rPr>
          <w:rFonts w:cstheme="minorHAnsi"/>
          <w:w w:val="105"/>
        </w:rPr>
        <w:t xml:space="preserve"> </w:t>
      </w:r>
      <w:r w:rsidRPr="00E06806">
        <w:rPr>
          <w:rFonts w:cstheme="minorHAnsi"/>
          <w:w w:val="105"/>
        </w:rPr>
        <w:t>State</w:t>
      </w:r>
      <w:r w:rsidRPr="0091189D">
        <w:rPr>
          <w:rFonts w:cstheme="minorHAnsi"/>
          <w:w w:val="105"/>
        </w:rPr>
        <w:t xml:space="preserve"> </w:t>
      </w:r>
      <w:r w:rsidRPr="00E06806">
        <w:rPr>
          <w:rFonts w:cstheme="minorHAnsi"/>
          <w:w w:val="105"/>
        </w:rPr>
        <w:t>Board</w:t>
      </w:r>
      <w:r w:rsidRPr="0091189D">
        <w:rPr>
          <w:rFonts w:cstheme="minorHAnsi"/>
          <w:w w:val="105"/>
        </w:rPr>
        <w:t xml:space="preserve"> </w:t>
      </w:r>
      <w:r w:rsidRPr="00E06806">
        <w:rPr>
          <w:rFonts w:cstheme="minorHAnsi"/>
          <w:w w:val="105"/>
        </w:rPr>
        <w:t>of</w:t>
      </w:r>
      <w:r w:rsidRPr="0091189D">
        <w:rPr>
          <w:rFonts w:cstheme="minorHAnsi"/>
          <w:w w:val="105"/>
        </w:rPr>
        <w:t xml:space="preserve"> </w:t>
      </w:r>
      <w:r w:rsidRPr="00E06806">
        <w:rPr>
          <w:rFonts w:cstheme="minorHAnsi"/>
          <w:w w:val="105"/>
        </w:rPr>
        <w:t>Education which consists</w:t>
      </w:r>
      <w:r w:rsidRPr="0091189D">
        <w:rPr>
          <w:rFonts w:cstheme="minorHAnsi"/>
          <w:w w:val="105"/>
        </w:rPr>
        <w:t xml:space="preserve"> </w:t>
      </w:r>
      <w:r w:rsidRPr="00E06806">
        <w:rPr>
          <w:rFonts w:cstheme="minorHAnsi"/>
          <w:w w:val="105"/>
        </w:rPr>
        <w:t>of</w:t>
      </w:r>
      <w:r w:rsidRPr="0091189D">
        <w:rPr>
          <w:rFonts w:cstheme="minorHAnsi"/>
          <w:w w:val="105"/>
        </w:rPr>
        <w:t xml:space="preserve"> </w:t>
      </w:r>
      <w:r w:rsidRPr="00E06806">
        <w:rPr>
          <w:rFonts w:cstheme="minorHAnsi"/>
          <w:w w:val="105"/>
        </w:rPr>
        <w:t>seven</w:t>
      </w:r>
      <w:r w:rsidRPr="0091189D">
        <w:rPr>
          <w:rFonts w:cstheme="minorHAnsi"/>
          <w:w w:val="105"/>
        </w:rPr>
        <w:t xml:space="preserve"> </w:t>
      </w:r>
      <w:r w:rsidRPr="00E06806">
        <w:rPr>
          <w:rFonts w:cstheme="minorHAnsi"/>
          <w:w w:val="105"/>
        </w:rPr>
        <w:t>members</w:t>
      </w:r>
      <w:r w:rsidRPr="0091189D">
        <w:rPr>
          <w:rFonts w:cstheme="minorHAnsi"/>
          <w:w w:val="105"/>
        </w:rPr>
        <w:t xml:space="preserve"> </w:t>
      </w:r>
      <w:r w:rsidRPr="00E06806">
        <w:rPr>
          <w:rFonts w:cstheme="minorHAnsi"/>
          <w:w w:val="105"/>
        </w:rPr>
        <w:t>appointed</w:t>
      </w:r>
      <w:r w:rsidRPr="0091189D">
        <w:rPr>
          <w:rFonts w:cstheme="minorHAnsi"/>
          <w:w w:val="105"/>
        </w:rPr>
        <w:t xml:space="preserve"> </w:t>
      </w:r>
      <w:r w:rsidRPr="00E06806">
        <w:rPr>
          <w:rFonts w:cstheme="minorHAnsi"/>
          <w:w w:val="105"/>
        </w:rPr>
        <w:t>by</w:t>
      </w:r>
      <w:r w:rsidRPr="0091189D">
        <w:rPr>
          <w:rFonts w:cstheme="minorHAnsi"/>
          <w:w w:val="105"/>
        </w:rPr>
        <w:t xml:space="preserve"> </w:t>
      </w:r>
      <w:r w:rsidRPr="00E06806">
        <w:rPr>
          <w:rFonts w:cstheme="minorHAnsi"/>
          <w:w w:val="105"/>
        </w:rPr>
        <w:t>the</w:t>
      </w:r>
      <w:r w:rsidRPr="0091189D">
        <w:rPr>
          <w:rFonts w:cstheme="minorHAnsi"/>
          <w:w w:val="105"/>
        </w:rPr>
        <w:t xml:space="preserve"> </w:t>
      </w:r>
      <w:r w:rsidR="00372DB6">
        <w:rPr>
          <w:rFonts w:cstheme="minorHAnsi"/>
          <w:w w:val="105"/>
        </w:rPr>
        <w:t>g</w:t>
      </w:r>
      <w:r w:rsidRPr="00E06806">
        <w:rPr>
          <w:rFonts w:cstheme="minorHAnsi"/>
          <w:w w:val="105"/>
        </w:rPr>
        <w:t>overnor</w:t>
      </w:r>
      <w:r w:rsidRPr="0091189D">
        <w:rPr>
          <w:rFonts w:cstheme="minorHAnsi"/>
          <w:w w:val="105"/>
        </w:rPr>
        <w:t xml:space="preserve"> </w:t>
      </w:r>
      <w:r w:rsidRPr="00E06806">
        <w:rPr>
          <w:rFonts w:cstheme="minorHAnsi"/>
          <w:w w:val="105"/>
        </w:rPr>
        <w:t>to</w:t>
      </w:r>
      <w:r w:rsidRPr="0091189D">
        <w:rPr>
          <w:rFonts w:cstheme="minorHAnsi"/>
          <w:w w:val="105"/>
        </w:rPr>
        <w:t xml:space="preserve"> </w:t>
      </w:r>
      <w:r w:rsidRPr="00E06806">
        <w:rPr>
          <w:rFonts w:cstheme="minorHAnsi"/>
          <w:w w:val="105"/>
        </w:rPr>
        <w:t>staggered</w:t>
      </w:r>
      <w:r w:rsidRPr="0091189D">
        <w:rPr>
          <w:rFonts w:cstheme="minorHAnsi"/>
          <w:w w:val="105"/>
        </w:rPr>
        <w:t xml:space="preserve"> </w:t>
      </w:r>
      <w:r w:rsidRPr="00E06806">
        <w:rPr>
          <w:rFonts w:cstheme="minorHAnsi"/>
          <w:w w:val="105"/>
        </w:rPr>
        <w:t>four-year</w:t>
      </w:r>
      <w:r w:rsidRPr="0091189D">
        <w:rPr>
          <w:rFonts w:cstheme="minorHAnsi"/>
          <w:w w:val="105"/>
        </w:rPr>
        <w:t xml:space="preserve"> </w:t>
      </w:r>
      <w:r w:rsidRPr="00E06806">
        <w:rPr>
          <w:rFonts w:cstheme="minorHAnsi"/>
          <w:w w:val="105"/>
        </w:rPr>
        <w:t xml:space="preserve">terms, </w:t>
      </w:r>
      <w:r w:rsidRPr="0091189D">
        <w:rPr>
          <w:rFonts w:cstheme="minorHAnsi"/>
          <w:w w:val="105"/>
        </w:rPr>
        <w:t xml:space="preserve">subject </w:t>
      </w:r>
      <w:r w:rsidRPr="00E06806">
        <w:rPr>
          <w:rFonts w:cstheme="minorHAnsi"/>
          <w:w w:val="105"/>
        </w:rPr>
        <w:t>to</w:t>
      </w:r>
      <w:r w:rsidRPr="0091189D">
        <w:rPr>
          <w:rFonts w:cstheme="minorHAnsi"/>
          <w:w w:val="105"/>
        </w:rPr>
        <w:t xml:space="preserve"> </w:t>
      </w:r>
      <w:r w:rsidRPr="00E06806">
        <w:rPr>
          <w:rFonts w:cstheme="minorHAnsi"/>
          <w:w w:val="105"/>
        </w:rPr>
        <w:t>confirmation</w:t>
      </w:r>
      <w:r w:rsidRPr="0091189D">
        <w:rPr>
          <w:rFonts w:cstheme="minorHAnsi"/>
          <w:w w:val="105"/>
        </w:rPr>
        <w:t xml:space="preserve"> </w:t>
      </w:r>
      <w:r w:rsidRPr="00E06806">
        <w:rPr>
          <w:rFonts w:cstheme="minorHAnsi"/>
          <w:w w:val="105"/>
        </w:rPr>
        <w:t>by</w:t>
      </w:r>
      <w:r w:rsidRPr="0091189D">
        <w:rPr>
          <w:rFonts w:cstheme="minorHAnsi"/>
          <w:w w:val="105"/>
        </w:rPr>
        <w:t xml:space="preserve"> </w:t>
      </w:r>
      <w:r w:rsidRPr="00E06806">
        <w:rPr>
          <w:rFonts w:cstheme="minorHAnsi"/>
          <w:w w:val="105"/>
        </w:rPr>
        <w:t>the</w:t>
      </w:r>
      <w:r w:rsidRPr="0091189D">
        <w:rPr>
          <w:rFonts w:cstheme="minorHAnsi"/>
          <w:w w:val="105"/>
        </w:rPr>
        <w:t xml:space="preserve"> </w:t>
      </w:r>
      <w:r w:rsidRPr="00E06806">
        <w:rPr>
          <w:rFonts w:cstheme="minorHAnsi"/>
          <w:w w:val="105"/>
        </w:rPr>
        <w:t>Senate.</w:t>
      </w:r>
      <w:r w:rsidRPr="0091189D">
        <w:rPr>
          <w:rFonts w:cstheme="minorHAnsi"/>
          <w:w w:val="105"/>
        </w:rPr>
        <w:t xml:space="preserve"> Except for</w:t>
      </w:r>
      <w:r w:rsidRPr="00E06806">
        <w:rPr>
          <w:rFonts w:cstheme="minorHAnsi"/>
          <w:w w:val="105"/>
        </w:rPr>
        <w:t xml:space="preserve"> the</w:t>
      </w:r>
      <w:r w:rsidRPr="0091189D">
        <w:rPr>
          <w:rFonts w:cstheme="minorHAnsi"/>
          <w:w w:val="105"/>
        </w:rPr>
        <w:t xml:space="preserve"> </w:t>
      </w:r>
      <w:r w:rsidRPr="00E06806">
        <w:rPr>
          <w:rFonts w:cstheme="minorHAnsi"/>
          <w:w w:val="105"/>
        </w:rPr>
        <w:t>State</w:t>
      </w:r>
      <w:r w:rsidRPr="0091189D">
        <w:rPr>
          <w:rFonts w:cstheme="minorHAnsi"/>
          <w:w w:val="105"/>
        </w:rPr>
        <w:t xml:space="preserve"> </w:t>
      </w:r>
      <w:r w:rsidRPr="00E06806">
        <w:rPr>
          <w:rFonts w:cstheme="minorHAnsi"/>
          <w:w w:val="105"/>
        </w:rPr>
        <w:t>University</w:t>
      </w:r>
      <w:r w:rsidRPr="0091189D">
        <w:rPr>
          <w:rFonts w:cstheme="minorHAnsi"/>
          <w:w w:val="105"/>
        </w:rPr>
        <w:t xml:space="preserve"> </w:t>
      </w:r>
      <w:r w:rsidRPr="00E06806">
        <w:rPr>
          <w:rFonts w:cstheme="minorHAnsi"/>
          <w:w w:val="105"/>
        </w:rPr>
        <w:t>System, the</w:t>
      </w:r>
      <w:r w:rsidRPr="0091189D">
        <w:rPr>
          <w:rFonts w:cstheme="minorHAnsi"/>
          <w:w w:val="105"/>
        </w:rPr>
        <w:t xml:space="preserve"> </w:t>
      </w:r>
      <w:r w:rsidRPr="00E06806">
        <w:rPr>
          <w:rFonts w:cstheme="minorHAnsi"/>
          <w:w w:val="105"/>
        </w:rPr>
        <w:t>State</w:t>
      </w:r>
      <w:r w:rsidRPr="0091189D">
        <w:rPr>
          <w:rFonts w:cstheme="minorHAnsi"/>
          <w:w w:val="105"/>
        </w:rPr>
        <w:t xml:space="preserve"> </w:t>
      </w:r>
      <w:r w:rsidRPr="00E06806">
        <w:rPr>
          <w:rFonts w:cstheme="minorHAnsi"/>
          <w:w w:val="105"/>
        </w:rPr>
        <w:t>Board</w:t>
      </w:r>
      <w:r w:rsidRPr="0091189D">
        <w:rPr>
          <w:rFonts w:cstheme="minorHAnsi"/>
          <w:w w:val="105"/>
        </w:rPr>
        <w:t xml:space="preserve"> </w:t>
      </w:r>
      <w:r w:rsidRPr="00E06806">
        <w:rPr>
          <w:rFonts w:cstheme="minorHAnsi"/>
          <w:w w:val="105"/>
        </w:rPr>
        <w:t>of</w:t>
      </w:r>
      <w:r w:rsidRPr="0091189D">
        <w:rPr>
          <w:rFonts w:cstheme="minorHAnsi"/>
          <w:w w:val="105"/>
        </w:rPr>
        <w:t xml:space="preserve"> </w:t>
      </w:r>
      <w:r w:rsidRPr="00E06806">
        <w:rPr>
          <w:rFonts w:cstheme="minorHAnsi"/>
          <w:w w:val="105"/>
        </w:rPr>
        <w:t>Education</w:t>
      </w:r>
      <w:r w:rsidRPr="0091189D">
        <w:rPr>
          <w:rFonts w:cstheme="minorHAnsi"/>
          <w:w w:val="105"/>
        </w:rPr>
        <w:t xml:space="preserve"> </w:t>
      </w:r>
      <w:r w:rsidRPr="00E06806">
        <w:rPr>
          <w:rFonts w:cstheme="minorHAnsi"/>
          <w:w w:val="105"/>
        </w:rPr>
        <w:t>is</w:t>
      </w:r>
      <w:r w:rsidRPr="0091189D">
        <w:rPr>
          <w:rFonts w:cstheme="minorHAnsi"/>
          <w:w w:val="105"/>
        </w:rPr>
        <w:t xml:space="preserve"> </w:t>
      </w:r>
      <w:r w:rsidRPr="00E06806">
        <w:rPr>
          <w:rFonts w:cstheme="minorHAnsi"/>
          <w:w w:val="105"/>
        </w:rPr>
        <w:t>the</w:t>
      </w:r>
      <w:r w:rsidRPr="0091189D">
        <w:rPr>
          <w:rFonts w:cstheme="minorHAnsi"/>
          <w:w w:val="105"/>
        </w:rPr>
        <w:t xml:space="preserve"> </w:t>
      </w:r>
      <w:r w:rsidRPr="00E06806">
        <w:rPr>
          <w:rFonts w:cstheme="minorHAnsi"/>
          <w:w w:val="105"/>
        </w:rPr>
        <w:t>chief</w:t>
      </w:r>
      <w:r w:rsidRPr="0091189D">
        <w:rPr>
          <w:rFonts w:cstheme="minorHAnsi"/>
          <w:w w:val="105"/>
        </w:rPr>
        <w:t xml:space="preserve"> </w:t>
      </w:r>
      <w:r w:rsidRPr="00E06806">
        <w:rPr>
          <w:rFonts w:cstheme="minorHAnsi"/>
          <w:w w:val="105"/>
        </w:rPr>
        <w:t>implementing</w:t>
      </w:r>
      <w:r w:rsidRPr="0091189D">
        <w:rPr>
          <w:rFonts w:cstheme="minorHAnsi"/>
          <w:w w:val="105"/>
        </w:rPr>
        <w:t xml:space="preserve"> </w:t>
      </w:r>
      <w:r w:rsidRPr="00E06806">
        <w:rPr>
          <w:rFonts w:cstheme="minorHAnsi"/>
          <w:w w:val="105"/>
        </w:rPr>
        <w:t>and</w:t>
      </w:r>
      <w:r w:rsidRPr="0091189D">
        <w:rPr>
          <w:rFonts w:cstheme="minorHAnsi"/>
          <w:w w:val="105"/>
        </w:rPr>
        <w:t xml:space="preserve"> </w:t>
      </w:r>
      <w:r w:rsidRPr="00E06806">
        <w:rPr>
          <w:rFonts w:cstheme="minorHAnsi"/>
          <w:w w:val="105"/>
        </w:rPr>
        <w:t>coordinating</w:t>
      </w:r>
      <w:r w:rsidRPr="0091189D">
        <w:rPr>
          <w:rFonts w:cstheme="minorHAnsi"/>
          <w:w w:val="105"/>
        </w:rPr>
        <w:t xml:space="preserve"> </w:t>
      </w:r>
      <w:r w:rsidRPr="00E06806">
        <w:rPr>
          <w:rFonts w:cstheme="minorHAnsi"/>
          <w:w w:val="105"/>
        </w:rPr>
        <w:t>body</w:t>
      </w:r>
      <w:r w:rsidRPr="0091189D">
        <w:rPr>
          <w:rFonts w:cstheme="minorHAnsi"/>
          <w:w w:val="105"/>
        </w:rPr>
        <w:t xml:space="preserve"> </w:t>
      </w:r>
      <w:r w:rsidRPr="00E06806">
        <w:rPr>
          <w:rFonts w:cstheme="minorHAnsi"/>
          <w:w w:val="105"/>
        </w:rPr>
        <w:t>of</w:t>
      </w:r>
      <w:r w:rsidRPr="0091189D">
        <w:rPr>
          <w:rFonts w:cstheme="minorHAnsi"/>
          <w:w w:val="105"/>
        </w:rPr>
        <w:t xml:space="preserve"> </w:t>
      </w:r>
      <w:r w:rsidRPr="00E06806">
        <w:rPr>
          <w:rFonts w:cstheme="minorHAnsi"/>
          <w:w w:val="105"/>
        </w:rPr>
        <w:t>public</w:t>
      </w:r>
      <w:r w:rsidRPr="0091189D">
        <w:rPr>
          <w:rFonts w:cstheme="minorHAnsi"/>
          <w:w w:val="105"/>
        </w:rPr>
        <w:t xml:space="preserve"> </w:t>
      </w:r>
      <w:r w:rsidRPr="00E06806">
        <w:rPr>
          <w:rFonts w:cstheme="minorHAnsi"/>
          <w:w w:val="105"/>
        </w:rPr>
        <w:t>education</w:t>
      </w:r>
      <w:r w:rsidRPr="0091189D">
        <w:rPr>
          <w:rFonts w:cstheme="minorHAnsi"/>
          <w:w w:val="105"/>
        </w:rPr>
        <w:t xml:space="preserve"> </w:t>
      </w:r>
      <w:r w:rsidRPr="00E06806">
        <w:rPr>
          <w:rFonts w:cstheme="minorHAnsi"/>
          <w:w w:val="105"/>
        </w:rPr>
        <w:t>in</w:t>
      </w:r>
      <w:r w:rsidRPr="0091189D">
        <w:rPr>
          <w:rFonts w:cstheme="minorHAnsi"/>
          <w:w w:val="105"/>
        </w:rPr>
        <w:t xml:space="preserve"> </w:t>
      </w:r>
      <w:r w:rsidRPr="00E06806">
        <w:rPr>
          <w:rFonts w:cstheme="minorHAnsi"/>
          <w:w w:val="105"/>
        </w:rPr>
        <w:t>Florida.</w:t>
      </w:r>
      <w:r w:rsidRPr="0091189D">
        <w:rPr>
          <w:rFonts w:cstheme="minorHAnsi"/>
          <w:w w:val="105"/>
        </w:rPr>
        <w:t xml:space="preserve"> </w:t>
      </w:r>
      <w:r w:rsidRPr="00E06806">
        <w:rPr>
          <w:rFonts w:cstheme="minorHAnsi"/>
          <w:w w:val="105"/>
        </w:rPr>
        <w:t>The</w:t>
      </w:r>
      <w:r w:rsidRPr="0091189D">
        <w:rPr>
          <w:rFonts w:cstheme="minorHAnsi"/>
          <w:w w:val="105"/>
        </w:rPr>
        <w:t xml:space="preserve"> </w:t>
      </w:r>
      <w:r w:rsidRPr="00E06806">
        <w:rPr>
          <w:rFonts w:cstheme="minorHAnsi"/>
          <w:w w:val="105"/>
        </w:rPr>
        <w:t>state</w:t>
      </w:r>
      <w:r w:rsidRPr="0091189D">
        <w:rPr>
          <w:rFonts w:cstheme="minorHAnsi"/>
          <w:w w:val="105"/>
        </w:rPr>
        <w:t xml:space="preserve"> </w:t>
      </w:r>
      <w:r w:rsidRPr="00E06806">
        <w:rPr>
          <w:rFonts w:cstheme="minorHAnsi"/>
          <w:w w:val="105"/>
        </w:rPr>
        <w:t>board</w:t>
      </w:r>
      <w:r w:rsidRPr="0091189D">
        <w:rPr>
          <w:rFonts w:cstheme="minorHAnsi"/>
          <w:w w:val="105"/>
        </w:rPr>
        <w:t xml:space="preserve"> </w:t>
      </w:r>
      <w:r w:rsidRPr="00E06806">
        <w:rPr>
          <w:rFonts w:cstheme="minorHAnsi"/>
          <w:w w:val="105"/>
        </w:rPr>
        <w:t>focuses</w:t>
      </w:r>
      <w:r w:rsidRPr="0091189D">
        <w:rPr>
          <w:rFonts w:cstheme="minorHAnsi"/>
          <w:w w:val="105"/>
        </w:rPr>
        <w:t xml:space="preserve"> </w:t>
      </w:r>
      <w:r w:rsidRPr="00E06806">
        <w:rPr>
          <w:rFonts w:cstheme="minorHAnsi"/>
          <w:w w:val="105"/>
        </w:rPr>
        <w:t>on</w:t>
      </w:r>
      <w:r w:rsidRPr="0091189D">
        <w:rPr>
          <w:rFonts w:cstheme="minorHAnsi"/>
          <w:w w:val="105"/>
        </w:rPr>
        <w:t xml:space="preserve"> </w:t>
      </w:r>
      <w:r w:rsidRPr="00E06806">
        <w:rPr>
          <w:rFonts w:cstheme="minorHAnsi"/>
          <w:w w:val="105"/>
        </w:rPr>
        <w:t>high-level</w:t>
      </w:r>
      <w:r w:rsidRPr="0091189D">
        <w:rPr>
          <w:rFonts w:cstheme="minorHAnsi"/>
          <w:w w:val="105"/>
        </w:rPr>
        <w:t xml:space="preserve"> </w:t>
      </w:r>
      <w:r w:rsidRPr="00E06806">
        <w:rPr>
          <w:rFonts w:cstheme="minorHAnsi"/>
          <w:w w:val="105"/>
        </w:rPr>
        <w:t>policy</w:t>
      </w:r>
      <w:r w:rsidRPr="0091189D">
        <w:rPr>
          <w:rFonts w:cstheme="minorHAnsi"/>
          <w:w w:val="105"/>
        </w:rPr>
        <w:t xml:space="preserve"> </w:t>
      </w:r>
      <w:r w:rsidRPr="00E06806">
        <w:rPr>
          <w:rFonts w:cstheme="minorHAnsi"/>
          <w:w w:val="105"/>
        </w:rPr>
        <w:t>decisions</w:t>
      </w:r>
      <w:r w:rsidRPr="0091189D">
        <w:rPr>
          <w:rFonts w:cstheme="minorHAnsi"/>
          <w:w w:val="105"/>
        </w:rPr>
        <w:t xml:space="preserve"> </w:t>
      </w:r>
      <w:r w:rsidRPr="00E06806">
        <w:rPr>
          <w:rFonts w:cstheme="minorHAnsi"/>
          <w:w w:val="105"/>
        </w:rPr>
        <w:t>and</w:t>
      </w:r>
      <w:r w:rsidRPr="0091189D">
        <w:rPr>
          <w:rFonts w:cstheme="minorHAnsi"/>
          <w:w w:val="105"/>
        </w:rPr>
        <w:t xml:space="preserve"> </w:t>
      </w:r>
      <w:r w:rsidRPr="00E06806">
        <w:rPr>
          <w:rFonts w:cstheme="minorHAnsi"/>
          <w:w w:val="105"/>
        </w:rPr>
        <w:t>has</w:t>
      </w:r>
      <w:r w:rsidRPr="0091189D">
        <w:rPr>
          <w:rFonts w:cstheme="minorHAnsi"/>
          <w:w w:val="105"/>
        </w:rPr>
        <w:t xml:space="preserve"> </w:t>
      </w:r>
      <w:r w:rsidRPr="00E06806">
        <w:rPr>
          <w:rFonts w:cstheme="minorHAnsi"/>
          <w:w w:val="105"/>
        </w:rPr>
        <w:t>authority</w:t>
      </w:r>
      <w:r w:rsidRPr="0091189D">
        <w:rPr>
          <w:rFonts w:cstheme="minorHAnsi"/>
          <w:w w:val="105"/>
        </w:rPr>
        <w:t xml:space="preserve"> </w:t>
      </w:r>
      <w:r w:rsidRPr="00E06806">
        <w:rPr>
          <w:rFonts w:cstheme="minorHAnsi"/>
          <w:w w:val="105"/>
        </w:rPr>
        <w:t>to</w:t>
      </w:r>
      <w:r w:rsidRPr="0091189D">
        <w:rPr>
          <w:rFonts w:cstheme="minorHAnsi"/>
          <w:w w:val="105"/>
        </w:rPr>
        <w:t xml:space="preserve"> </w:t>
      </w:r>
      <w:r w:rsidRPr="00E06806">
        <w:rPr>
          <w:rFonts w:cstheme="minorHAnsi"/>
          <w:w w:val="105"/>
        </w:rPr>
        <w:t>adopt</w:t>
      </w:r>
      <w:r w:rsidRPr="0091189D">
        <w:rPr>
          <w:rFonts w:cstheme="minorHAnsi"/>
          <w:w w:val="105"/>
        </w:rPr>
        <w:t xml:space="preserve"> </w:t>
      </w:r>
      <w:r w:rsidRPr="00E06806">
        <w:rPr>
          <w:rFonts w:cstheme="minorHAnsi"/>
          <w:w w:val="105"/>
        </w:rPr>
        <w:t>rules</w:t>
      </w:r>
      <w:r w:rsidRPr="0091189D">
        <w:rPr>
          <w:rFonts w:cstheme="minorHAnsi"/>
          <w:w w:val="105"/>
        </w:rPr>
        <w:t xml:space="preserve"> </w:t>
      </w:r>
      <w:r w:rsidRPr="00E06806">
        <w:rPr>
          <w:rFonts w:cstheme="minorHAnsi"/>
          <w:w w:val="105"/>
        </w:rPr>
        <w:t>to</w:t>
      </w:r>
      <w:r w:rsidRPr="0091189D">
        <w:rPr>
          <w:rFonts w:cstheme="minorHAnsi"/>
          <w:w w:val="105"/>
        </w:rPr>
        <w:t xml:space="preserve"> </w:t>
      </w:r>
      <w:r w:rsidRPr="00E06806">
        <w:rPr>
          <w:rFonts w:cstheme="minorHAnsi"/>
          <w:w w:val="105"/>
        </w:rPr>
        <w:t>implement</w:t>
      </w:r>
      <w:r w:rsidRPr="0091189D">
        <w:rPr>
          <w:rFonts w:cstheme="minorHAnsi"/>
          <w:w w:val="105"/>
        </w:rPr>
        <w:t xml:space="preserve"> </w:t>
      </w:r>
      <w:r w:rsidRPr="00E06806">
        <w:rPr>
          <w:rFonts w:cstheme="minorHAnsi"/>
          <w:w w:val="105"/>
        </w:rPr>
        <w:t>provisions</w:t>
      </w:r>
      <w:r w:rsidRPr="0091189D">
        <w:rPr>
          <w:rFonts w:cstheme="minorHAnsi"/>
          <w:w w:val="105"/>
        </w:rPr>
        <w:t xml:space="preserve"> </w:t>
      </w:r>
      <w:r w:rsidRPr="00E06806">
        <w:rPr>
          <w:rFonts w:cstheme="minorHAnsi"/>
          <w:w w:val="105"/>
        </w:rPr>
        <w:t>of</w:t>
      </w:r>
      <w:r w:rsidRPr="0091189D">
        <w:rPr>
          <w:rFonts w:cstheme="minorHAnsi"/>
          <w:w w:val="105"/>
        </w:rPr>
        <w:t xml:space="preserve"> federal and state law. </w:t>
      </w:r>
      <w:r w:rsidRPr="00E06806">
        <w:rPr>
          <w:rFonts w:cstheme="minorHAnsi"/>
          <w:w w:val="105"/>
        </w:rPr>
        <w:t>General</w:t>
      </w:r>
      <w:r w:rsidRPr="0091189D">
        <w:rPr>
          <w:rFonts w:cstheme="minorHAnsi"/>
          <w:w w:val="105"/>
        </w:rPr>
        <w:t xml:space="preserve"> </w:t>
      </w:r>
      <w:r w:rsidRPr="00E06806">
        <w:rPr>
          <w:rFonts w:cstheme="minorHAnsi"/>
          <w:w w:val="105"/>
        </w:rPr>
        <w:t>duties</w:t>
      </w:r>
      <w:r w:rsidRPr="0091189D">
        <w:rPr>
          <w:rFonts w:cstheme="minorHAnsi"/>
          <w:w w:val="105"/>
        </w:rPr>
        <w:t xml:space="preserve"> </w:t>
      </w:r>
      <w:r w:rsidRPr="00E06806">
        <w:rPr>
          <w:rFonts w:cstheme="minorHAnsi"/>
          <w:w w:val="105"/>
        </w:rPr>
        <w:t>include,</w:t>
      </w:r>
      <w:r w:rsidRPr="0091189D">
        <w:rPr>
          <w:rFonts w:cstheme="minorHAnsi"/>
          <w:w w:val="105"/>
        </w:rPr>
        <w:t xml:space="preserve"> </w:t>
      </w:r>
      <w:r w:rsidRPr="00E06806">
        <w:rPr>
          <w:rFonts w:cstheme="minorHAnsi"/>
          <w:w w:val="105"/>
        </w:rPr>
        <w:t>but</w:t>
      </w:r>
      <w:r w:rsidRPr="0091189D">
        <w:rPr>
          <w:rFonts w:cstheme="minorHAnsi"/>
          <w:w w:val="105"/>
        </w:rPr>
        <w:t xml:space="preserve"> </w:t>
      </w:r>
      <w:r w:rsidRPr="00E06806">
        <w:rPr>
          <w:rFonts w:cstheme="minorHAnsi"/>
          <w:w w:val="105"/>
        </w:rPr>
        <w:t>are</w:t>
      </w:r>
      <w:r w:rsidRPr="0091189D">
        <w:rPr>
          <w:rFonts w:cstheme="minorHAnsi"/>
          <w:w w:val="105"/>
        </w:rPr>
        <w:t xml:space="preserve"> </w:t>
      </w:r>
      <w:r w:rsidRPr="00E06806">
        <w:rPr>
          <w:rFonts w:cstheme="minorHAnsi"/>
          <w:w w:val="105"/>
        </w:rPr>
        <w:t>not</w:t>
      </w:r>
      <w:r w:rsidRPr="0091189D">
        <w:rPr>
          <w:rFonts w:cstheme="minorHAnsi"/>
          <w:w w:val="105"/>
        </w:rPr>
        <w:t xml:space="preserve"> </w:t>
      </w:r>
      <w:r w:rsidRPr="00E06806">
        <w:rPr>
          <w:rFonts w:cstheme="minorHAnsi"/>
          <w:w w:val="105"/>
        </w:rPr>
        <w:t>limited</w:t>
      </w:r>
      <w:r w:rsidRPr="0091189D">
        <w:rPr>
          <w:rFonts w:cstheme="minorHAnsi"/>
          <w:w w:val="105"/>
        </w:rPr>
        <w:t xml:space="preserve"> </w:t>
      </w:r>
      <w:r w:rsidRPr="00E06806">
        <w:rPr>
          <w:rFonts w:cstheme="minorHAnsi"/>
          <w:w w:val="105"/>
        </w:rPr>
        <w:t>to,</w:t>
      </w:r>
      <w:r w:rsidRPr="0091189D">
        <w:rPr>
          <w:rFonts w:cstheme="minorHAnsi"/>
          <w:w w:val="105"/>
        </w:rPr>
        <w:t xml:space="preserve"> </w:t>
      </w:r>
      <w:r w:rsidRPr="00E06806">
        <w:rPr>
          <w:rFonts w:cstheme="minorHAnsi"/>
          <w:w w:val="105"/>
        </w:rPr>
        <w:t>adopting</w:t>
      </w:r>
      <w:r w:rsidRPr="0091189D">
        <w:rPr>
          <w:rFonts w:cstheme="minorHAnsi"/>
          <w:w w:val="105"/>
        </w:rPr>
        <w:t xml:space="preserve"> </w:t>
      </w:r>
      <w:r w:rsidRPr="00E06806">
        <w:rPr>
          <w:rFonts w:cstheme="minorHAnsi"/>
          <w:w w:val="105"/>
        </w:rPr>
        <w:t>education</w:t>
      </w:r>
      <w:r w:rsidRPr="0091189D">
        <w:rPr>
          <w:rFonts w:cstheme="minorHAnsi"/>
          <w:w w:val="105"/>
        </w:rPr>
        <w:t xml:space="preserve"> </w:t>
      </w:r>
      <w:r w:rsidRPr="00E06806">
        <w:rPr>
          <w:rFonts w:cstheme="minorHAnsi"/>
          <w:w w:val="105"/>
        </w:rPr>
        <w:t>objectives</w:t>
      </w:r>
      <w:r w:rsidRPr="0091189D">
        <w:rPr>
          <w:rFonts w:cstheme="minorHAnsi"/>
          <w:w w:val="105"/>
        </w:rPr>
        <w:t xml:space="preserve"> </w:t>
      </w:r>
      <w:r w:rsidRPr="00E06806">
        <w:rPr>
          <w:rFonts w:cstheme="minorHAnsi"/>
          <w:w w:val="105"/>
        </w:rPr>
        <w:t>and</w:t>
      </w:r>
      <w:r w:rsidRPr="0091189D">
        <w:rPr>
          <w:rFonts w:cstheme="minorHAnsi"/>
          <w:w w:val="105"/>
        </w:rPr>
        <w:t xml:space="preserve"> </w:t>
      </w:r>
      <w:r w:rsidRPr="00E06806">
        <w:rPr>
          <w:rFonts w:cstheme="minorHAnsi"/>
          <w:w w:val="105"/>
        </w:rPr>
        <w:t>long-range</w:t>
      </w:r>
      <w:r w:rsidRPr="0091189D">
        <w:rPr>
          <w:rFonts w:cstheme="minorHAnsi"/>
          <w:w w:val="105"/>
        </w:rPr>
        <w:t xml:space="preserve"> </w:t>
      </w:r>
      <w:r w:rsidRPr="00E06806">
        <w:rPr>
          <w:rFonts w:cstheme="minorHAnsi"/>
          <w:w w:val="105"/>
        </w:rPr>
        <w:t>plans</w:t>
      </w:r>
      <w:r w:rsidRPr="0091189D">
        <w:rPr>
          <w:rFonts w:cstheme="minorHAnsi"/>
          <w:w w:val="105"/>
        </w:rPr>
        <w:t xml:space="preserve"> </w:t>
      </w:r>
      <w:r w:rsidRPr="00E06806">
        <w:rPr>
          <w:rFonts w:cstheme="minorHAnsi"/>
          <w:w w:val="105"/>
        </w:rPr>
        <w:t>for</w:t>
      </w:r>
      <w:r w:rsidRPr="0091189D">
        <w:rPr>
          <w:rFonts w:cstheme="minorHAnsi"/>
          <w:w w:val="105"/>
        </w:rPr>
        <w:t xml:space="preserve"> </w:t>
      </w:r>
      <w:r w:rsidRPr="00E06806">
        <w:rPr>
          <w:rFonts w:cstheme="minorHAnsi"/>
          <w:w w:val="105"/>
        </w:rPr>
        <w:t>public</w:t>
      </w:r>
      <w:r w:rsidRPr="0091189D">
        <w:rPr>
          <w:rFonts w:cstheme="minorHAnsi"/>
          <w:w w:val="105"/>
        </w:rPr>
        <w:t xml:space="preserve"> </w:t>
      </w:r>
      <w:r w:rsidRPr="00E06806">
        <w:rPr>
          <w:rFonts w:cstheme="minorHAnsi"/>
          <w:w w:val="105"/>
        </w:rPr>
        <w:t>education</w:t>
      </w:r>
      <w:r w:rsidRPr="0091189D">
        <w:rPr>
          <w:rFonts w:cstheme="minorHAnsi"/>
          <w:w w:val="105"/>
        </w:rPr>
        <w:t xml:space="preserve"> </w:t>
      </w:r>
      <w:r w:rsidRPr="00E06806">
        <w:rPr>
          <w:rFonts w:cstheme="minorHAnsi"/>
          <w:w w:val="105"/>
        </w:rPr>
        <w:t>in</w:t>
      </w:r>
      <w:r w:rsidRPr="0091189D">
        <w:rPr>
          <w:rFonts w:cstheme="minorHAnsi"/>
          <w:w w:val="105"/>
        </w:rPr>
        <w:t xml:space="preserve"> </w:t>
      </w:r>
      <w:r w:rsidRPr="00E06806">
        <w:rPr>
          <w:rFonts w:cstheme="minorHAnsi"/>
          <w:w w:val="105"/>
        </w:rPr>
        <w:t>Florida,</w:t>
      </w:r>
      <w:r w:rsidRPr="0091189D">
        <w:rPr>
          <w:rFonts w:cstheme="minorHAnsi"/>
          <w:w w:val="105"/>
        </w:rPr>
        <w:t xml:space="preserve"> </w:t>
      </w:r>
      <w:r w:rsidRPr="00E06806">
        <w:rPr>
          <w:rFonts w:cstheme="minorHAnsi"/>
          <w:w w:val="105"/>
        </w:rPr>
        <w:t>exercising</w:t>
      </w:r>
      <w:r w:rsidRPr="0091189D">
        <w:rPr>
          <w:rFonts w:cstheme="minorHAnsi"/>
          <w:w w:val="105"/>
        </w:rPr>
        <w:t xml:space="preserve"> </w:t>
      </w:r>
      <w:r w:rsidRPr="00E06806">
        <w:rPr>
          <w:rFonts w:cstheme="minorHAnsi"/>
          <w:w w:val="105"/>
        </w:rPr>
        <w:t>general</w:t>
      </w:r>
      <w:r w:rsidRPr="0091189D">
        <w:rPr>
          <w:rFonts w:cstheme="minorHAnsi"/>
          <w:w w:val="105"/>
        </w:rPr>
        <w:t xml:space="preserve"> </w:t>
      </w:r>
      <w:r w:rsidRPr="00E06806">
        <w:rPr>
          <w:rFonts w:cstheme="minorHAnsi"/>
          <w:w w:val="105"/>
        </w:rPr>
        <w:t>supervision</w:t>
      </w:r>
      <w:r w:rsidRPr="0091189D">
        <w:rPr>
          <w:rFonts w:cstheme="minorHAnsi"/>
          <w:w w:val="105"/>
        </w:rPr>
        <w:t xml:space="preserve"> </w:t>
      </w:r>
      <w:r w:rsidRPr="00E06806">
        <w:rPr>
          <w:rFonts w:cstheme="minorHAnsi"/>
          <w:w w:val="105"/>
        </w:rPr>
        <w:t>over</w:t>
      </w:r>
      <w:r w:rsidRPr="0091189D">
        <w:rPr>
          <w:rFonts w:cstheme="minorHAnsi"/>
          <w:w w:val="105"/>
        </w:rPr>
        <w:t xml:space="preserve"> </w:t>
      </w:r>
      <w:r w:rsidRPr="00E06806">
        <w:rPr>
          <w:rFonts w:cstheme="minorHAnsi"/>
          <w:w w:val="105"/>
        </w:rPr>
        <w:t>the</w:t>
      </w:r>
      <w:r w:rsidRPr="0091189D">
        <w:rPr>
          <w:rFonts w:cstheme="minorHAnsi"/>
          <w:w w:val="105"/>
        </w:rPr>
        <w:t xml:space="preserve"> </w:t>
      </w:r>
      <w:r w:rsidR="00CD2E94">
        <w:rPr>
          <w:rFonts w:cstheme="minorHAnsi"/>
          <w:w w:val="105"/>
        </w:rPr>
        <w:t>d</w:t>
      </w:r>
      <w:r w:rsidRPr="00E06806">
        <w:rPr>
          <w:rFonts w:cstheme="minorHAnsi"/>
          <w:w w:val="105"/>
        </w:rPr>
        <w:t>epartment,</w:t>
      </w:r>
      <w:r w:rsidRPr="0091189D">
        <w:rPr>
          <w:rFonts w:cstheme="minorHAnsi"/>
          <w:w w:val="105"/>
        </w:rPr>
        <w:t xml:space="preserve"> </w:t>
      </w:r>
      <w:r w:rsidRPr="00E06806">
        <w:rPr>
          <w:rFonts w:cstheme="minorHAnsi"/>
          <w:w w:val="105"/>
        </w:rPr>
        <w:t>submitting</w:t>
      </w:r>
      <w:r w:rsidRPr="0091189D">
        <w:rPr>
          <w:rFonts w:cstheme="minorHAnsi"/>
          <w:w w:val="105"/>
        </w:rPr>
        <w:t xml:space="preserve"> </w:t>
      </w:r>
      <w:r w:rsidRPr="00E06806">
        <w:rPr>
          <w:rFonts w:cstheme="minorHAnsi"/>
          <w:w w:val="105"/>
        </w:rPr>
        <w:t>an</w:t>
      </w:r>
      <w:r w:rsidRPr="0091189D">
        <w:rPr>
          <w:rFonts w:cstheme="minorHAnsi"/>
          <w:w w:val="105"/>
        </w:rPr>
        <w:t xml:space="preserve"> </w:t>
      </w:r>
      <w:r w:rsidRPr="00E06806">
        <w:rPr>
          <w:rFonts w:cstheme="minorHAnsi"/>
          <w:w w:val="105"/>
        </w:rPr>
        <w:t>annual</w:t>
      </w:r>
      <w:r w:rsidRPr="0091189D">
        <w:rPr>
          <w:rFonts w:cstheme="minorHAnsi"/>
          <w:w w:val="105"/>
        </w:rPr>
        <w:t xml:space="preserve"> </w:t>
      </w:r>
      <w:r w:rsidRPr="00E06806">
        <w:rPr>
          <w:rFonts w:cstheme="minorHAnsi"/>
          <w:w w:val="105"/>
        </w:rPr>
        <w:t>coordinated PreK-20 education budget</w:t>
      </w:r>
      <w:r w:rsidR="00D5537E">
        <w:rPr>
          <w:rFonts w:cstheme="minorHAnsi"/>
          <w:w w:val="105"/>
        </w:rPr>
        <w:t xml:space="preserve"> and</w:t>
      </w:r>
      <w:r w:rsidRPr="00E06806">
        <w:rPr>
          <w:rFonts w:cstheme="minorHAnsi"/>
          <w:w w:val="105"/>
        </w:rPr>
        <w:t xml:space="preserve"> adopting uniform standards of student performance.</w:t>
      </w:r>
    </w:p>
    <w:p w14:paraId="4F8FA7E3" w14:textId="77777777" w:rsidR="00BC311F" w:rsidRPr="00E06806" w:rsidRDefault="00BC311F" w:rsidP="00D63204">
      <w:pPr>
        <w:widowControl w:val="0"/>
        <w:spacing w:after="0" w:line="240" w:lineRule="auto"/>
        <w:ind w:left="107"/>
        <w:rPr>
          <w:rFonts w:cstheme="minorHAnsi"/>
          <w:sz w:val="16"/>
          <w:szCs w:val="16"/>
        </w:rPr>
      </w:pPr>
    </w:p>
    <w:p w14:paraId="68D70B52" w14:textId="618CF565" w:rsidR="00BC05EB" w:rsidRDefault="00BC311F" w:rsidP="00D63204">
      <w:pPr>
        <w:widowControl w:val="0"/>
        <w:spacing w:after="0" w:line="240" w:lineRule="auto"/>
        <w:ind w:left="107"/>
        <w:rPr>
          <w:rFonts w:cstheme="minorHAnsi"/>
          <w:w w:val="105"/>
        </w:rPr>
      </w:pPr>
      <w:r w:rsidRPr="00E06806">
        <w:rPr>
          <w:rFonts w:cstheme="minorHAnsi"/>
          <w:w w:val="105"/>
        </w:rPr>
        <w:t>FDOE</w:t>
      </w:r>
      <w:r w:rsidRPr="00C84EFE">
        <w:rPr>
          <w:rFonts w:cstheme="minorHAnsi"/>
          <w:w w:val="105"/>
        </w:rPr>
        <w:t xml:space="preserve"> </w:t>
      </w:r>
      <w:r w:rsidRPr="00E06806">
        <w:rPr>
          <w:rFonts w:cstheme="minorHAnsi"/>
          <w:w w:val="105"/>
        </w:rPr>
        <w:t>policies</w:t>
      </w:r>
      <w:r w:rsidRPr="00C84EFE">
        <w:rPr>
          <w:rFonts w:cstheme="minorHAnsi"/>
          <w:w w:val="105"/>
        </w:rPr>
        <w:t xml:space="preserve"> </w:t>
      </w:r>
      <w:r w:rsidRPr="00E06806">
        <w:rPr>
          <w:rFonts w:cstheme="minorHAnsi"/>
          <w:w w:val="105"/>
        </w:rPr>
        <w:t>and</w:t>
      </w:r>
      <w:r w:rsidRPr="00C84EFE">
        <w:rPr>
          <w:rFonts w:cstheme="minorHAnsi"/>
          <w:w w:val="105"/>
        </w:rPr>
        <w:t xml:space="preserve"> </w:t>
      </w:r>
      <w:r w:rsidRPr="00E06806">
        <w:rPr>
          <w:rFonts w:cstheme="minorHAnsi"/>
          <w:w w:val="105"/>
        </w:rPr>
        <w:t>operations</w:t>
      </w:r>
      <w:r w:rsidRPr="00C84EFE">
        <w:rPr>
          <w:rFonts w:cstheme="minorHAnsi"/>
          <w:w w:val="105"/>
        </w:rPr>
        <w:t xml:space="preserve"> </w:t>
      </w:r>
      <w:r w:rsidRPr="00E06806">
        <w:rPr>
          <w:rFonts w:cstheme="minorHAnsi"/>
          <w:w w:val="105"/>
        </w:rPr>
        <w:t>are</w:t>
      </w:r>
      <w:r w:rsidRPr="00C84EFE">
        <w:rPr>
          <w:rFonts w:cstheme="minorHAnsi"/>
          <w:w w:val="105"/>
        </w:rPr>
        <w:t xml:space="preserve"> </w:t>
      </w:r>
      <w:r w:rsidRPr="00E06806">
        <w:rPr>
          <w:rFonts w:cstheme="minorHAnsi"/>
          <w:w w:val="105"/>
        </w:rPr>
        <w:t>led</w:t>
      </w:r>
      <w:r w:rsidRPr="00C84EFE">
        <w:rPr>
          <w:rFonts w:cstheme="minorHAnsi"/>
          <w:w w:val="105"/>
        </w:rPr>
        <w:t xml:space="preserve"> </w:t>
      </w:r>
      <w:r w:rsidRPr="00E06806">
        <w:rPr>
          <w:rFonts w:cstheme="minorHAnsi"/>
          <w:w w:val="105"/>
        </w:rPr>
        <w:t>by</w:t>
      </w:r>
      <w:r w:rsidRPr="00C84EFE">
        <w:rPr>
          <w:rFonts w:cstheme="minorHAnsi"/>
          <w:w w:val="105"/>
        </w:rPr>
        <w:t xml:space="preserve"> </w:t>
      </w:r>
      <w:r w:rsidRPr="00E06806">
        <w:rPr>
          <w:rFonts w:cstheme="minorHAnsi"/>
          <w:w w:val="105"/>
        </w:rPr>
        <w:t>the</w:t>
      </w:r>
      <w:r w:rsidRPr="00C84EFE">
        <w:rPr>
          <w:rFonts w:cstheme="minorHAnsi"/>
          <w:w w:val="105"/>
        </w:rPr>
        <w:t xml:space="preserve"> </w:t>
      </w:r>
      <w:r w:rsidRPr="00E06806">
        <w:rPr>
          <w:rFonts w:cstheme="minorHAnsi"/>
          <w:w w:val="105"/>
        </w:rPr>
        <w:t>department’s</w:t>
      </w:r>
      <w:r w:rsidRPr="00C84EFE">
        <w:rPr>
          <w:rFonts w:cstheme="minorHAnsi"/>
          <w:w w:val="105"/>
        </w:rPr>
        <w:t xml:space="preserve"> </w:t>
      </w:r>
      <w:r w:rsidRPr="00E06806">
        <w:rPr>
          <w:rFonts w:cstheme="minorHAnsi"/>
          <w:w w:val="105"/>
        </w:rPr>
        <w:t>senior</w:t>
      </w:r>
      <w:r w:rsidRPr="00C84EFE">
        <w:rPr>
          <w:rFonts w:cstheme="minorHAnsi"/>
          <w:w w:val="105"/>
        </w:rPr>
        <w:t xml:space="preserve"> </w:t>
      </w:r>
      <w:r w:rsidRPr="00E06806">
        <w:rPr>
          <w:rFonts w:cstheme="minorHAnsi"/>
          <w:w w:val="105"/>
        </w:rPr>
        <w:t>leadership</w:t>
      </w:r>
      <w:r w:rsidRPr="00C84EFE">
        <w:rPr>
          <w:rFonts w:cstheme="minorHAnsi"/>
          <w:w w:val="105"/>
        </w:rPr>
        <w:t xml:space="preserve"> </w:t>
      </w:r>
      <w:r w:rsidRPr="00E06806">
        <w:rPr>
          <w:rFonts w:cstheme="minorHAnsi"/>
          <w:w w:val="105"/>
        </w:rPr>
        <w:t>team,</w:t>
      </w:r>
      <w:r w:rsidRPr="00C84EFE">
        <w:rPr>
          <w:rFonts w:cstheme="minorHAnsi"/>
          <w:w w:val="105"/>
        </w:rPr>
        <w:t xml:space="preserve"> </w:t>
      </w:r>
      <w:r w:rsidRPr="00E06806">
        <w:rPr>
          <w:rFonts w:cstheme="minorHAnsi"/>
          <w:w w:val="105"/>
        </w:rPr>
        <w:t>consisting</w:t>
      </w:r>
      <w:r w:rsidRPr="00C84EFE">
        <w:rPr>
          <w:rFonts w:cstheme="minorHAnsi"/>
          <w:w w:val="105"/>
        </w:rPr>
        <w:t xml:space="preserve"> </w:t>
      </w:r>
      <w:r w:rsidRPr="00E06806">
        <w:rPr>
          <w:rFonts w:cstheme="minorHAnsi"/>
          <w:w w:val="105"/>
        </w:rPr>
        <w:t>of</w:t>
      </w:r>
      <w:r w:rsidRPr="00C84EFE">
        <w:rPr>
          <w:rFonts w:cstheme="minorHAnsi"/>
          <w:w w:val="105"/>
        </w:rPr>
        <w:t xml:space="preserve"> </w:t>
      </w:r>
      <w:r w:rsidRPr="00E06806">
        <w:rPr>
          <w:rFonts w:cstheme="minorHAnsi"/>
          <w:w w:val="105"/>
        </w:rPr>
        <w:t>the</w:t>
      </w:r>
      <w:r w:rsidRPr="00C84EFE">
        <w:rPr>
          <w:rFonts w:cstheme="minorHAnsi"/>
          <w:w w:val="105"/>
        </w:rPr>
        <w:t xml:space="preserve"> </w:t>
      </w:r>
      <w:r w:rsidRPr="00E06806">
        <w:rPr>
          <w:rFonts w:cstheme="minorHAnsi"/>
          <w:w w:val="105"/>
        </w:rPr>
        <w:t>commissioner of education, chief of staff, division leaders and directors of support divisions (see</w:t>
      </w:r>
      <w:r w:rsidRPr="00C84EFE">
        <w:rPr>
          <w:rFonts w:cstheme="minorHAnsi"/>
          <w:w w:val="105"/>
        </w:rPr>
        <w:t xml:space="preserve"> </w:t>
      </w:r>
      <w:r w:rsidRPr="00E06806">
        <w:rPr>
          <w:rFonts w:cstheme="minorHAnsi"/>
          <w:w w:val="105"/>
        </w:rPr>
        <w:t>organizational</w:t>
      </w:r>
      <w:r w:rsidRPr="00C84EFE">
        <w:rPr>
          <w:rFonts w:cstheme="minorHAnsi"/>
          <w:w w:val="105"/>
        </w:rPr>
        <w:t xml:space="preserve"> </w:t>
      </w:r>
      <w:r w:rsidRPr="00E06806">
        <w:rPr>
          <w:rFonts w:cstheme="minorHAnsi"/>
          <w:w w:val="105"/>
        </w:rPr>
        <w:t>chart</w:t>
      </w:r>
      <w:r w:rsidRPr="00C84EFE">
        <w:rPr>
          <w:rFonts w:cstheme="minorHAnsi"/>
          <w:w w:val="105"/>
        </w:rPr>
        <w:t xml:space="preserve"> </w:t>
      </w:r>
      <w:r w:rsidRPr="00E06806">
        <w:rPr>
          <w:rFonts w:cstheme="minorHAnsi"/>
          <w:w w:val="105"/>
        </w:rPr>
        <w:t>below).</w:t>
      </w:r>
      <w:r w:rsidRPr="00C84EFE">
        <w:rPr>
          <w:rFonts w:cstheme="minorHAnsi"/>
          <w:w w:val="105"/>
        </w:rPr>
        <w:t xml:space="preserve"> </w:t>
      </w:r>
      <w:r w:rsidRPr="00E06806">
        <w:rPr>
          <w:rFonts w:cstheme="minorHAnsi"/>
          <w:w w:val="105"/>
        </w:rPr>
        <w:t>FDOE</w:t>
      </w:r>
      <w:r w:rsidRPr="00C84EFE">
        <w:rPr>
          <w:rFonts w:cstheme="minorHAnsi"/>
          <w:w w:val="105"/>
        </w:rPr>
        <w:t xml:space="preserve"> </w:t>
      </w:r>
      <w:r w:rsidRPr="00E06806">
        <w:rPr>
          <w:rFonts w:cstheme="minorHAnsi"/>
          <w:w w:val="105"/>
        </w:rPr>
        <w:t>manages</w:t>
      </w:r>
      <w:r w:rsidRPr="00C84EFE">
        <w:rPr>
          <w:rFonts w:cstheme="minorHAnsi"/>
          <w:w w:val="105"/>
        </w:rPr>
        <w:t xml:space="preserve"> </w:t>
      </w:r>
      <w:r w:rsidRPr="00E06806">
        <w:rPr>
          <w:rFonts w:cstheme="minorHAnsi"/>
          <w:w w:val="105"/>
        </w:rPr>
        <w:t>the</w:t>
      </w:r>
      <w:r w:rsidRPr="00C84EFE">
        <w:rPr>
          <w:rFonts w:cstheme="minorHAnsi"/>
          <w:w w:val="105"/>
        </w:rPr>
        <w:t xml:space="preserve"> </w:t>
      </w:r>
      <w:r w:rsidRPr="00E06806">
        <w:rPr>
          <w:rFonts w:cstheme="minorHAnsi"/>
          <w:w w:val="105"/>
        </w:rPr>
        <w:t>core</w:t>
      </w:r>
      <w:r w:rsidRPr="00C84EFE">
        <w:rPr>
          <w:rFonts w:cstheme="minorHAnsi"/>
          <w:w w:val="105"/>
        </w:rPr>
        <w:t xml:space="preserve"> </w:t>
      </w:r>
      <w:r w:rsidRPr="00E06806">
        <w:rPr>
          <w:rFonts w:cstheme="minorHAnsi"/>
          <w:w w:val="105"/>
        </w:rPr>
        <w:t>WIOA</w:t>
      </w:r>
      <w:r w:rsidRPr="00C84EFE">
        <w:rPr>
          <w:rFonts w:cstheme="minorHAnsi"/>
          <w:w w:val="105"/>
        </w:rPr>
        <w:t xml:space="preserve"> </w:t>
      </w:r>
      <w:r w:rsidRPr="00E06806">
        <w:rPr>
          <w:rFonts w:cstheme="minorHAnsi"/>
          <w:w w:val="105"/>
        </w:rPr>
        <w:t>programs</w:t>
      </w:r>
      <w:r w:rsidRPr="00C84EFE">
        <w:rPr>
          <w:rFonts w:cstheme="minorHAnsi"/>
          <w:w w:val="105"/>
        </w:rPr>
        <w:t xml:space="preserve"> </w:t>
      </w:r>
      <w:r w:rsidRPr="00E06806">
        <w:rPr>
          <w:rFonts w:cstheme="minorHAnsi"/>
          <w:w w:val="105"/>
        </w:rPr>
        <w:t>for</w:t>
      </w:r>
      <w:r w:rsidRPr="00C84EFE">
        <w:rPr>
          <w:rFonts w:cstheme="minorHAnsi"/>
          <w:w w:val="105"/>
        </w:rPr>
        <w:t xml:space="preserve"> </w:t>
      </w:r>
      <w:r w:rsidRPr="00E06806">
        <w:rPr>
          <w:rFonts w:cstheme="minorHAnsi"/>
          <w:w w:val="105"/>
        </w:rPr>
        <w:t>adult</w:t>
      </w:r>
      <w:r w:rsidRPr="00C84EFE">
        <w:rPr>
          <w:rFonts w:cstheme="minorHAnsi"/>
          <w:w w:val="105"/>
        </w:rPr>
        <w:t xml:space="preserve"> </w:t>
      </w:r>
      <w:r w:rsidRPr="00E06806">
        <w:rPr>
          <w:rFonts w:cstheme="minorHAnsi"/>
          <w:w w:val="105"/>
        </w:rPr>
        <w:t>and</w:t>
      </w:r>
      <w:r w:rsidRPr="00C84EFE">
        <w:rPr>
          <w:rFonts w:cstheme="minorHAnsi"/>
          <w:w w:val="105"/>
        </w:rPr>
        <w:t xml:space="preserve"> </w:t>
      </w:r>
      <w:r w:rsidRPr="00E06806">
        <w:rPr>
          <w:rFonts w:cstheme="minorHAnsi"/>
          <w:w w:val="105"/>
        </w:rPr>
        <w:t>career</w:t>
      </w:r>
      <w:r w:rsidRPr="00C84EFE">
        <w:rPr>
          <w:rFonts w:cstheme="minorHAnsi"/>
          <w:w w:val="105"/>
        </w:rPr>
        <w:t xml:space="preserve"> </w:t>
      </w:r>
      <w:r w:rsidRPr="00E06806">
        <w:rPr>
          <w:rFonts w:cstheme="minorHAnsi"/>
          <w:w w:val="105"/>
        </w:rPr>
        <w:t>education,</w:t>
      </w:r>
      <w:r w:rsidRPr="00C84EFE">
        <w:rPr>
          <w:rFonts w:cstheme="minorHAnsi"/>
          <w:w w:val="105"/>
        </w:rPr>
        <w:t xml:space="preserve"> </w:t>
      </w:r>
      <w:r w:rsidRPr="00E06806">
        <w:rPr>
          <w:rFonts w:cstheme="minorHAnsi"/>
          <w:w w:val="105"/>
        </w:rPr>
        <w:t>vocational rehabilitation</w:t>
      </w:r>
      <w:r w:rsidR="00D5537E">
        <w:rPr>
          <w:rFonts w:cstheme="minorHAnsi"/>
          <w:w w:val="105"/>
        </w:rPr>
        <w:t xml:space="preserve"> and</w:t>
      </w:r>
      <w:r w:rsidRPr="00E06806">
        <w:rPr>
          <w:rFonts w:cstheme="minorHAnsi"/>
          <w:w w:val="105"/>
        </w:rPr>
        <w:t xml:space="preserve"> blind services. The senior leadership team develops strategies, designs operational</w:t>
      </w:r>
      <w:r w:rsidRPr="00C84EFE">
        <w:rPr>
          <w:rFonts w:cstheme="minorHAnsi"/>
          <w:w w:val="105"/>
        </w:rPr>
        <w:t xml:space="preserve"> </w:t>
      </w:r>
      <w:r w:rsidRPr="00E06806">
        <w:rPr>
          <w:rFonts w:cstheme="minorHAnsi"/>
          <w:w w:val="105"/>
        </w:rPr>
        <w:t>policies</w:t>
      </w:r>
      <w:r w:rsidR="00D5537E">
        <w:rPr>
          <w:rFonts w:cstheme="minorHAnsi"/>
          <w:w w:val="105"/>
        </w:rPr>
        <w:t xml:space="preserve"> and</w:t>
      </w:r>
      <w:r w:rsidRPr="00C84EFE">
        <w:rPr>
          <w:rFonts w:cstheme="minorHAnsi"/>
          <w:w w:val="105"/>
        </w:rPr>
        <w:t xml:space="preserve"> </w:t>
      </w:r>
      <w:r w:rsidRPr="00E06806">
        <w:rPr>
          <w:rFonts w:cstheme="minorHAnsi"/>
          <w:w w:val="105"/>
        </w:rPr>
        <w:t>manages</w:t>
      </w:r>
      <w:r w:rsidRPr="00C84EFE">
        <w:rPr>
          <w:rFonts w:cstheme="minorHAnsi"/>
          <w:w w:val="105"/>
        </w:rPr>
        <w:t xml:space="preserve"> </w:t>
      </w:r>
      <w:r w:rsidRPr="00E06806">
        <w:rPr>
          <w:rFonts w:cstheme="minorHAnsi"/>
          <w:w w:val="105"/>
        </w:rPr>
        <w:t>the</w:t>
      </w:r>
      <w:r w:rsidRPr="00C84EFE">
        <w:rPr>
          <w:rFonts w:cstheme="minorHAnsi"/>
          <w:w w:val="105"/>
        </w:rPr>
        <w:t xml:space="preserve"> </w:t>
      </w:r>
      <w:r w:rsidRPr="00E06806">
        <w:rPr>
          <w:rFonts w:cstheme="minorHAnsi"/>
          <w:w w:val="105"/>
        </w:rPr>
        <w:t>department’s</w:t>
      </w:r>
      <w:r w:rsidRPr="00C84EFE">
        <w:rPr>
          <w:rFonts w:cstheme="minorHAnsi"/>
          <w:w w:val="105"/>
        </w:rPr>
        <w:t xml:space="preserve"> </w:t>
      </w:r>
      <w:r w:rsidRPr="00E06806">
        <w:rPr>
          <w:rFonts w:cstheme="minorHAnsi"/>
          <w:w w:val="105"/>
        </w:rPr>
        <w:t>business</w:t>
      </w:r>
      <w:r w:rsidRPr="00C84EFE">
        <w:rPr>
          <w:rFonts w:cstheme="minorHAnsi"/>
          <w:w w:val="105"/>
        </w:rPr>
        <w:t xml:space="preserve"> </w:t>
      </w:r>
      <w:r w:rsidRPr="00E06806">
        <w:rPr>
          <w:rFonts w:cstheme="minorHAnsi"/>
          <w:w w:val="105"/>
        </w:rPr>
        <w:t>processes.</w:t>
      </w:r>
      <w:r w:rsidRPr="00C84EFE">
        <w:rPr>
          <w:rFonts w:cstheme="minorHAnsi"/>
          <w:w w:val="105"/>
        </w:rPr>
        <w:t xml:space="preserve"> </w:t>
      </w:r>
      <w:r w:rsidRPr="00E06806">
        <w:rPr>
          <w:rFonts w:cstheme="minorHAnsi"/>
          <w:w w:val="105"/>
        </w:rPr>
        <w:t>Senior</w:t>
      </w:r>
      <w:r w:rsidRPr="00C84EFE">
        <w:rPr>
          <w:rFonts w:cstheme="minorHAnsi"/>
          <w:w w:val="105"/>
        </w:rPr>
        <w:t xml:space="preserve"> </w:t>
      </w:r>
      <w:r w:rsidRPr="00E06806">
        <w:rPr>
          <w:rFonts w:cstheme="minorHAnsi"/>
          <w:w w:val="105"/>
        </w:rPr>
        <w:t>leader</w:t>
      </w:r>
      <w:r w:rsidRPr="00C84EFE">
        <w:rPr>
          <w:rFonts w:cstheme="minorHAnsi"/>
          <w:w w:val="105"/>
        </w:rPr>
        <w:t xml:space="preserve"> </w:t>
      </w:r>
      <w:r w:rsidRPr="00E06806">
        <w:rPr>
          <w:rFonts w:cstheme="minorHAnsi"/>
          <w:w w:val="105"/>
        </w:rPr>
        <w:t>meetings</w:t>
      </w:r>
      <w:r w:rsidRPr="00C84EFE">
        <w:rPr>
          <w:rFonts w:cstheme="minorHAnsi"/>
          <w:w w:val="105"/>
        </w:rPr>
        <w:t xml:space="preserve"> </w:t>
      </w:r>
      <w:r w:rsidRPr="00E06806">
        <w:rPr>
          <w:rFonts w:cstheme="minorHAnsi"/>
          <w:w w:val="105"/>
        </w:rPr>
        <w:t>are</w:t>
      </w:r>
      <w:r w:rsidRPr="00C84EFE">
        <w:rPr>
          <w:rFonts w:cstheme="minorHAnsi"/>
          <w:w w:val="105"/>
        </w:rPr>
        <w:t xml:space="preserve"> </w:t>
      </w:r>
      <w:r w:rsidRPr="00E06806">
        <w:rPr>
          <w:rFonts w:cstheme="minorHAnsi"/>
          <w:w w:val="105"/>
        </w:rPr>
        <w:t>held</w:t>
      </w:r>
      <w:r w:rsidRPr="00C84EFE">
        <w:rPr>
          <w:rFonts w:cstheme="minorHAnsi"/>
          <w:w w:val="105"/>
        </w:rPr>
        <w:t xml:space="preserve"> </w:t>
      </w:r>
      <w:r w:rsidRPr="00E06806">
        <w:rPr>
          <w:rFonts w:cstheme="minorHAnsi"/>
          <w:w w:val="105"/>
        </w:rPr>
        <w:t>weekly. Strategy</w:t>
      </w:r>
      <w:r w:rsidRPr="00C84EFE">
        <w:rPr>
          <w:rFonts w:cstheme="minorHAnsi"/>
          <w:w w:val="105"/>
        </w:rPr>
        <w:t xml:space="preserve"> </w:t>
      </w:r>
      <w:r w:rsidRPr="00E06806">
        <w:rPr>
          <w:rFonts w:cstheme="minorHAnsi"/>
          <w:w w:val="105"/>
        </w:rPr>
        <w:t>development</w:t>
      </w:r>
      <w:r w:rsidRPr="00C84EFE">
        <w:rPr>
          <w:rFonts w:cstheme="minorHAnsi"/>
          <w:w w:val="105"/>
        </w:rPr>
        <w:t xml:space="preserve"> </w:t>
      </w:r>
      <w:r w:rsidRPr="00E06806">
        <w:rPr>
          <w:rFonts w:cstheme="minorHAnsi"/>
          <w:w w:val="105"/>
        </w:rPr>
        <w:t>meetings</w:t>
      </w:r>
      <w:r w:rsidRPr="00C84EFE">
        <w:rPr>
          <w:rFonts w:cstheme="minorHAnsi"/>
          <w:w w:val="105"/>
        </w:rPr>
        <w:t xml:space="preserve"> </w:t>
      </w:r>
      <w:r w:rsidRPr="00E06806">
        <w:rPr>
          <w:rFonts w:cstheme="minorHAnsi"/>
          <w:w w:val="105"/>
        </w:rPr>
        <w:t>are</w:t>
      </w:r>
      <w:r w:rsidRPr="00C84EFE">
        <w:rPr>
          <w:rFonts w:cstheme="minorHAnsi"/>
          <w:w w:val="105"/>
        </w:rPr>
        <w:t xml:space="preserve"> </w:t>
      </w:r>
      <w:r w:rsidRPr="00E06806">
        <w:rPr>
          <w:rFonts w:cstheme="minorHAnsi"/>
          <w:w w:val="105"/>
        </w:rPr>
        <w:t>conducted</w:t>
      </w:r>
      <w:r w:rsidRPr="00C84EFE">
        <w:rPr>
          <w:rFonts w:cstheme="minorHAnsi"/>
          <w:w w:val="105"/>
        </w:rPr>
        <w:t xml:space="preserve"> </w:t>
      </w:r>
      <w:r w:rsidRPr="00E06806">
        <w:rPr>
          <w:rFonts w:cstheme="minorHAnsi"/>
          <w:w w:val="105"/>
        </w:rPr>
        <w:t>quarterly.</w:t>
      </w:r>
      <w:r w:rsidRPr="00C84EFE">
        <w:rPr>
          <w:rFonts w:cstheme="minorHAnsi"/>
          <w:w w:val="105"/>
        </w:rPr>
        <w:t xml:space="preserve"> </w:t>
      </w:r>
      <w:r w:rsidRPr="00E06806">
        <w:rPr>
          <w:rFonts w:cstheme="minorHAnsi"/>
          <w:w w:val="105"/>
        </w:rPr>
        <w:t>Strategies</w:t>
      </w:r>
      <w:r w:rsidRPr="00C84EFE">
        <w:rPr>
          <w:rFonts w:cstheme="minorHAnsi"/>
          <w:w w:val="105"/>
        </w:rPr>
        <w:t xml:space="preserve"> </w:t>
      </w:r>
      <w:r w:rsidRPr="00E06806">
        <w:rPr>
          <w:rFonts w:cstheme="minorHAnsi"/>
          <w:w w:val="105"/>
        </w:rPr>
        <w:t>are</w:t>
      </w:r>
      <w:r w:rsidRPr="00C84EFE">
        <w:rPr>
          <w:rFonts w:cstheme="minorHAnsi"/>
          <w:w w:val="105"/>
        </w:rPr>
        <w:t xml:space="preserve"> </w:t>
      </w:r>
      <w:r w:rsidRPr="00E06806">
        <w:rPr>
          <w:rFonts w:cstheme="minorHAnsi"/>
          <w:w w:val="105"/>
        </w:rPr>
        <w:t>tracked</w:t>
      </w:r>
      <w:r w:rsidRPr="00C84EFE">
        <w:rPr>
          <w:rFonts w:cstheme="minorHAnsi"/>
          <w:w w:val="105"/>
        </w:rPr>
        <w:t xml:space="preserve"> </w:t>
      </w:r>
      <w:r w:rsidRPr="00E06806">
        <w:rPr>
          <w:rFonts w:cstheme="minorHAnsi"/>
          <w:w w:val="105"/>
        </w:rPr>
        <w:t>and</w:t>
      </w:r>
      <w:r w:rsidRPr="00C84EFE">
        <w:rPr>
          <w:rFonts w:cstheme="minorHAnsi"/>
          <w:w w:val="105"/>
        </w:rPr>
        <w:t xml:space="preserve"> </w:t>
      </w:r>
      <w:r w:rsidRPr="00E06806">
        <w:rPr>
          <w:rFonts w:cstheme="minorHAnsi"/>
          <w:w w:val="105"/>
        </w:rPr>
        <w:t>adjusted</w:t>
      </w:r>
      <w:r w:rsidRPr="00C84EFE">
        <w:rPr>
          <w:rFonts w:cstheme="minorHAnsi"/>
          <w:w w:val="105"/>
        </w:rPr>
        <w:t xml:space="preserve"> </w:t>
      </w:r>
      <w:r w:rsidRPr="00E06806">
        <w:rPr>
          <w:rFonts w:cstheme="minorHAnsi"/>
          <w:w w:val="105"/>
        </w:rPr>
        <w:t>as</w:t>
      </w:r>
      <w:r w:rsidRPr="00C84EFE">
        <w:rPr>
          <w:rFonts w:cstheme="minorHAnsi"/>
          <w:w w:val="105"/>
        </w:rPr>
        <w:t xml:space="preserve"> </w:t>
      </w:r>
      <w:r w:rsidRPr="00E06806">
        <w:rPr>
          <w:rFonts w:cstheme="minorHAnsi"/>
          <w:w w:val="105"/>
        </w:rPr>
        <w:t>needed.</w:t>
      </w:r>
      <w:r w:rsidRPr="00C84EFE">
        <w:rPr>
          <w:rFonts w:cstheme="minorHAnsi"/>
          <w:w w:val="105"/>
        </w:rPr>
        <w:t xml:space="preserve"> </w:t>
      </w:r>
      <w:r w:rsidRPr="00E06806">
        <w:rPr>
          <w:rFonts w:cstheme="minorHAnsi"/>
          <w:w w:val="105"/>
        </w:rPr>
        <w:t>FDOE</w:t>
      </w:r>
      <w:r w:rsidRPr="00C84EFE">
        <w:rPr>
          <w:rFonts w:cstheme="minorHAnsi"/>
          <w:w w:val="105"/>
        </w:rPr>
        <w:t xml:space="preserve"> </w:t>
      </w:r>
      <w:r w:rsidRPr="00E06806">
        <w:rPr>
          <w:rFonts w:cstheme="minorHAnsi"/>
          <w:w w:val="105"/>
        </w:rPr>
        <w:t>financial</w:t>
      </w:r>
      <w:r w:rsidRPr="00C84EFE">
        <w:rPr>
          <w:rFonts w:cstheme="minorHAnsi"/>
          <w:w w:val="105"/>
        </w:rPr>
        <w:t xml:space="preserve"> </w:t>
      </w:r>
      <w:r w:rsidRPr="00E06806">
        <w:rPr>
          <w:rFonts w:cstheme="minorHAnsi"/>
          <w:w w:val="105"/>
        </w:rPr>
        <w:t>and</w:t>
      </w:r>
      <w:r w:rsidRPr="00C84EFE">
        <w:rPr>
          <w:rFonts w:cstheme="minorHAnsi"/>
          <w:w w:val="105"/>
        </w:rPr>
        <w:t xml:space="preserve"> </w:t>
      </w:r>
      <w:r w:rsidRPr="00E06806">
        <w:rPr>
          <w:rFonts w:cstheme="minorHAnsi"/>
          <w:w w:val="105"/>
        </w:rPr>
        <w:t>operational</w:t>
      </w:r>
      <w:r w:rsidRPr="00C84EFE">
        <w:rPr>
          <w:rFonts w:cstheme="minorHAnsi"/>
          <w:w w:val="105"/>
        </w:rPr>
        <w:t xml:space="preserve"> </w:t>
      </w:r>
      <w:r w:rsidRPr="00E06806">
        <w:rPr>
          <w:rFonts w:cstheme="minorHAnsi"/>
          <w:w w:val="105"/>
        </w:rPr>
        <w:t>performance</w:t>
      </w:r>
      <w:r w:rsidRPr="00C84EFE">
        <w:rPr>
          <w:rFonts w:cstheme="minorHAnsi"/>
          <w:w w:val="105"/>
        </w:rPr>
        <w:t xml:space="preserve"> </w:t>
      </w:r>
      <w:r w:rsidRPr="00E06806">
        <w:rPr>
          <w:rFonts w:cstheme="minorHAnsi"/>
          <w:w w:val="105"/>
        </w:rPr>
        <w:t>is</w:t>
      </w:r>
      <w:r w:rsidRPr="00C84EFE">
        <w:rPr>
          <w:rFonts w:cstheme="minorHAnsi"/>
          <w:w w:val="105"/>
        </w:rPr>
        <w:t xml:space="preserve"> </w:t>
      </w:r>
      <w:r w:rsidRPr="00E06806">
        <w:rPr>
          <w:rFonts w:cstheme="minorHAnsi"/>
          <w:w w:val="105"/>
        </w:rPr>
        <w:t>reported</w:t>
      </w:r>
      <w:r w:rsidRPr="00C84EFE">
        <w:rPr>
          <w:rFonts w:cstheme="minorHAnsi"/>
          <w:w w:val="105"/>
        </w:rPr>
        <w:t xml:space="preserve"> </w:t>
      </w:r>
      <w:r w:rsidRPr="00E06806">
        <w:rPr>
          <w:rFonts w:cstheme="minorHAnsi"/>
          <w:w w:val="105"/>
        </w:rPr>
        <w:t>on</w:t>
      </w:r>
      <w:r w:rsidRPr="00C84EFE">
        <w:rPr>
          <w:rFonts w:cstheme="minorHAnsi"/>
          <w:w w:val="105"/>
        </w:rPr>
        <w:t xml:space="preserve"> </w:t>
      </w:r>
      <w:r w:rsidRPr="00E06806">
        <w:rPr>
          <w:rFonts w:cstheme="minorHAnsi"/>
          <w:w w:val="105"/>
        </w:rPr>
        <w:t>a</w:t>
      </w:r>
      <w:r w:rsidRPr="00C84EFE">
        <w:rPr>
          <w:rFonts w:cstheme="minorHAnsi"/>
          <w:w w:val="105"/>
        </w:rPr>
        <w:t xml:space="preserve"> </w:t>
      </w:r>
      <w:r w:rsidRPr="00E06806">
        <w:rPr>
          <w:rFonts w:cstheme="minorHAnsi"/>
          <w:w w:val="105"/>
        </w:rPr>
        <w:t>regularly</w:t>
      </w:r>
      <w:r w:rsidRPr="00C84EFE">
        <w:rPr>
          <w:rFonts w:cstheme="minorHAnsi"/>
          <w:w w:val="105"/>
        </w:rPr>
        <w:t xml:space="preserve"> </w:t>
      </w:r>
      <w:r w:rsidRPr="00E06806">
        <w:rPr>
          <w:rFonts w:cstheme="minorHAnsi"/>
          <w:w w:val="105"/>
        </w:rPr>
        <w:t>scheduled</w:t>
      </w:r>
      <w:r w:rsidRPr="00C84EFE">
        <w:rPr>
          <w:rFonts w:cstheme="minorHAnsi"/>
          <w:w w:val="105"/>
        </w:rPr>
        <w:t xml:space="preserve"> </w:t>
      </w:r>
      <w:r w:rsidRPr="00E06806">
        <w:rPr>
          <w:rFonts w:cstheme="minorHAnsi"/>
          <w:w w:val="105"/>
        </w:rPr>
        <w:t>basis</w:t>
      </w:r>
      <w:r w:rsidRPr="00C84EFE">
        <w:rPr>
          <w:rFonts w:cstheme="minorHAnsi"/>
          <w:w w:val="105"/>
        </w:rPr>
        <w:t xml:space="preserve"> </w:t>
      </w:r>
      <w:r w:rsidRPr="00E06806">
        <w:rPr>
          <w:rFonts w:cstheme="minorHAnsi"/>
          <w:w w:val="105"/>
        </w:rPr>
        <w:t>to</w:t>
      </w:r>
      <w:r w:rsidRPr="00C84EFE">
        <w:rPr>
          <w:rFonts w:cstheme="minorHAnsi"/>
          <w:w w:val="105"/>
        </w:rPr>
        <w:t xml:space="preserve"> </w:t>
      </w:r>
      <w:r w:rsidRPr="00E06806">
        <w:rPr>
          <w:rFonts w:cstheme="minorHAnsi"/>
          <w:w w:val="105"/>
        </w:rPr>
        <w:t>the</w:t>
      </w:r>
      <w:r w:rsidRPr="00C84EFE">
        <w:rPr>
          <w:rFonts w:cstheme="minorHAnsi"/>
          <w:w w:val="105"/>
        </w:rPr>
        <w:t xml:space="preserve"> </w:t>
      </w:r>
      <w:r w:rsidRPr="00E06806">
        <w:rPr>
          <w:rFonts w:cstheme="minorHAnsi"/>
          <w:w w:val="105"/>
        </w:rPr>
        <w:t>federal</w:t>
      </w:r>
      <w:r w:rsidRPr="00C84EFE">
        <w:rPr>
          <w:rFonts w:cstheme="minorHAnsi"/>
          <w:w w:val="105"/>
        </w:rPr>
        <w:t xml:space="preserve"> </w:t>
      </w:r>
      <w:r w:rsidRPr="00E06806">
        <w:rPr>
          <w:rFonts w:cstheme="minorHAnsi"/>
          <w:w w:val="105"/>
        </w:rPr>
        <w:t>Department</w:t>
      </w:r>
      <w:r w:rsidRPr="00C84EFE">
        <w:rPr>
          <w:rFonts w:cstheme="minorHAnsi"/>
          <w:w w:val="105"/>
        </w:rPr>
        <w:t xml:space="preserve"> </w:t>
      </w:r>
      <w:r w:rsidRPr="00E06806">
        <w:rPr>
          <w:rFonts w:cstheme="minorHAnsi"/>
          <w:w w:val="105"/>
        </w:rPr>
        <w:t>of</w:t>
      </w:r>
      <w:r w:rsidRPr="00C84EFE">
        <w:rPr>
          <w:rFonts w:cstheme="minorHAnsi"/>
          <w:w w:val="105"/>
        </w:rPr>
        <w:t xml:space="preserve"> </w:t>
      </w:r>
      <w:r w:rsidRPr="00E06806">
        <w:rPr>
          <w:rFonts w:cstheme="minorHAnsi"/>
          <w:w w:val="105"/>
        </w:rPr>
        <w:t>Education, the</w:t>
      </w:r>
      <w:r w:rsidRPr="00C84EFE">
        <w:rPr>
          <w:rFonts w:cstheme="minorHAnsi"/>
          <w:w w:val="105"/>
        </w:rPr>
        <w:t xml:space="preserve"> Executive O</w:t>
      </w:r>
      <w:r w:rsidRPr="00E06806">
        <w:rPr>
          <w:rFonts w:cstheme="minorHAnsi"/>
          <w:w w:val="105"/>
        </w:rPr>
        <w:t>ffice</w:t>
      </w:r>
      <w:r w:rsidRPr="00C84EFE">
        <w:rPr>
          <w:rFonts w:cstheme="minorHAnsi"/>
          <w:w w:val="105"/>
        </w:rPr>
        <w:t xml:space="preserve"> </w:t>
      </w:r>
      <w:r w:rsidRPr="00E06806">
        <w:rPr>
          <w:rFonts w:cstheme="minorHAnsi"/>
          <w:w w:val="105"/>
        </w:rPr>
        <w:t>of</w:t>
      </w:r>
      <w:r w:rsidRPr="00C84EFE">
        <w:rPr>
          <w:rFonts w:cstheme="minorHAnsi"/>
          <w:w w:val="105"/>
        </w:rPr>
        <w:t xml:space="preserve"> </w:t>
      </w:r>
      <w:r w:rsidRPr="00E06806">
        <w:rPr>
          <w:rFonts w:cstheme="minorHAnsi"/>
          <w:w w:val="105"/>
        </w:rPr>
        <w:t>the</w:t>
      </w:r>
      <w:r w:rsidRPr="00C84EFE">
        <w:rPr>
          <w:rFonts w:cstheme="minorHAnsi"/>
          <w:w w:val="105"/>
        </w:rPr>
        <w:t xml:space="preserve"> </w:t>
      </w:r>
      <w:r w:rsidRPr="00E06806">
        <w:rPr>
          <w:rFonts w:cstheme="minorHAnsi"/>
          <w:w w:val="105"/>
        </w:rPr>
        <w:t>Governor and the Florida</w:t>
      </w:r>
      <w:r w:rsidRPr="00C84EFE">
        <w:rPr>
          <w:rFonts w:cstheme="minorHAnsi"/>
          <w:w w:val="105"/>
        </w:rPr>
        <w:t xml:space="preserve"> </w:t>
      </w:r>
      <w:r w:rsidRPr="00E06806">
        <w:rPr>
          <w:rFonts w:cstheme="minorHAnsi"/>
          <w:w w:val="105"/>
        </w:rPr>
        <w:t>Legislature.</w:t>
      </w:r>
    </w:p>
    <w:p w14:paraId="436E8933" w14:textId="77777777" w:rsidR="00EE7151" w:rsidRDefault="00EE7151" w:rsidP="00D63204">
      <w:pPr>
        <w:widowControl w:val="0"/>
        <w:spacing w:after="0" w:line="240" w:lineRule="auto"/>
        <w:ind w:left="107"/>
        <w:rPr>
          <w:rFonts w:cstheme="minorHAnsi"/>
          <w:w w:val="105"/>
        </w:rPr>
      </w:pPr>
    </w:p>
    <w:p w14:paraId="7601F108" w14:textId="77777777" w:rsidR="00EE7151" w:rsidRDefault="00EE7151" w:rsidP="00D63204">
      <w:pPr>
        <w:widowControl w:val="0"/>
        <w:spacing w:after="0" w:line="240" w:lineRule="auto"/>
        <w:ind w:left="107"/>
        <w:rPr>
          <w:rFonts w:cstheme="minorHAnsi"/>
          <w:w w:val="105"/>
        </w:rPr>
      </w:pPr>
    </w:p>
    <w:p w14:paraId="246DD82C" w14:textId="77777777" w:rsidR="00EE7151" w:rsidRDefault="00EE7151" w:rsidP="00D63204">
      <w:pPr>
        <w:widowControl w:val="0"/>
        <w:spacing w:after="0" w:line="240" w:lineRule="auto"/>
        <w:ind w:left="107"/>
        <w:rPr>
          <w:rFonts w:cstheme="minorHAnsi"/>
          <w:w w:val="105"/>
        </w:rPr>
      </w:pPr>
    </w:p>
    <w:p w14:paraId="21C3D9D2" w14:textId="77777777" w:rsidR="00EE7151" w:rsidRDefault="00EE7151" w:rsidP="00D63204">
      <w:pPr>
        <w:widowControl w:val="0"/>
        <w:spacing w:after="0" w:line="240" w:lineRule="auto"/>
        <w:ind w:left="107"/>
        <w:rPr>
          <w:rFonts w:cstheme="minorHAnsi"/>
          <w:w w:val="105"/>
        </w:rPr>
      </w:pPr>
    </w:p>
    <w:p w14:paraId="7E279B67" w14:textId="77777777" w:rsidR="00EE7151" w:rsidRDefault="00EE7151" w:rsidP="00D63204">
      <w:pPr>
        <w:widowControl w:val="0"/>
        <w:spacing w:after="0" w:line="240" w:lineRule="auto"/>
        <w:ind w:left="107"/>
        <w:rPr>
          <w:rFonts w:cstheme="minorHAnsi"/>
          <w:w w:val="105"/>
        </w:rPr>
      </w:pPr>
    </w:p>
    <w:p w14:paraId="75B38B72" w14:textId="77777777" w:rsidR="00EE7151" w:rsidRDefault="00EE7151" w:rsidP="00D63204">
      <w:pPr>
        <w:widowControl w:val="0"/>
        <w:spacing w:after="0" w:line="240" w:lineRule="auto"/>
        <w:ind w:left="107"/>
        <w:rPr>
          <w:rFonts w:cstheme="minorHAnsi"/>
          <w:w w:val="105"/>
        </w:rPr>
      </w:pPr>
    </w:p>
    <w:p w14:paraId="0FD34925" w14:textId="77777777" w:rsidR="00EE7151" w:rsidRDefault="00EE7151" w:rsidP="00D63204">
      <w:pPr>
        <w:widowControl w:val="0"/>
        <w:spacing w:after="0" w:line="240" w:lineRule="auto"/>
        <w:ind w:left="107"/>
        <w:rPr>
          <w:rFonts w:cstheme="minorHAnsi"/>
          <w:w w:val="105"/>
        </w:rPr>
      </w:pPr>
    </w:p>
    <w:p w14:paraId="4CD54B00" w14:textId="77777777" w:rsidR="00EE7151" w:rsidRDefault="00EE7151" w:rsidP="00D63204">
      <w:pPr>
        <w:widowControl w:val="0"/>
        <w:spacing w:after="0" w:line="240" w:lineRule="auto"/>
        <w:ind w:left="107"/>
        <w:rPr>
          <w:rFonts w:cstheme="minorHAnsi"/>
          <w:w w:val="105"/>
        </w:rPr>
      </w:pPr>
    </w:p>
    <w:p w14:paraId="6A751D21" w14:textId="77777777" w:rsidR="00EE7151" w:rsidRDefault="00EE7151" w:rsidP="00D63204">
      <w:pPr>
        <w:widowControl w:val="0"/>
        <w:spacing w:after="0" w:line="240" w:lineRule="auto"/>
        <w:ind w:left="107"/>
        <w:rPr>
          <w:rFonts w:cstheme="minorHAnsi"/>
          <w:w w:val="105"/>
        </w:rPr>
      </w:pPr>
    </w:p>
    <w:p w14:paraId="777981D3" w14:textId="77777777" w:rsidR="00EE7151" w:rsidRDefault="00EE7151" w:rsidP="00D63204">
      <w:pPr>
        <w:widowControl w:val="0"/>
        <w:spacing w:after="0" w:line="240" w:lineRule="auto"/>
        <w:ind w:left="107"/>
        <w:rPr>
          <w:rFonts w:cstheme="minorHAnsi"/>
          <w:w w:val="105"/>
        </w:rPr>
      </w:pPr>
    </w:p>
    <w:p w14:paraId="55546D9D" w14:textId="77777777" w:rsidR="00EE7151" w:rsidRDefault="00EE7151" w:rsidP="00D63204">
      <w:pPr>
        <w:widowControl w:val="0"/>
        <w:spacing w:after="0" w:line="240" w:lineRule="auto"/>
        <w:ind w:left="107"/>
        <w:rPr>
          <w:rFonts w:cstheme="minorHAnsi"/>
          <w:w w:val="105"/>
        </w:rPr>
      </w:pPr>
    </w:p>
    <w:p w14:paraId="5E79DAF1" w14:textId="77777777" w:rsidR="00EE7151" w:rsidRDefault="00EE7151" w:rsidP="00D63204">
      <w:pPr>
        <w:widowControl w:val="0"/>
        <w:spacing w:after="0" w:line="240" w:lineRule="auto"/>
        <w:ind w:left="107"/>
        <w:rPr>
          <w:rFonts w:cstheme="minorHAnsi"/>
          <w:w w:val="105"/>
        </w:rPr>
      </w:pPr>
    </w:p>
    <w:p w14:paraId="13543342" w14:textId="77777777" w:rsidR="00EE7151" w:rsidRDefault="00EE7151" w:rsidP="00D63204">
      <w:pPr>
        <w:widowControl w:val="0"/>
        <w:spacing w:after="0" w:line="240" w:lineRule="auto"/>
        <w:ind w:left="107"/>
        <w:rPr>
          <w:rFonts w:cstheme="minorHAnsi"/>
          <w:w w:val="105"/>
        </w:rPr>
      </w:pPr>
    </w:p>
    <w:p w14:paraId="60D1C04E" w14:textId="77777777" w:rsidR="00EE7151" w:rsidRDefault="00EE7151" w:rsidP="00D63204">
      <w:pPr>
        <w:widowControl w:val="0"/>
        <w:spacing w:after="0" w:line="240" w:lineRule="auto"/>
        <w:ind w:left="107"/>
        <w:rPr>
          <w:rFonts w:cstheme="minorHAnsi"/>
          <w:w w:val="105"/>
        </w:rPr>
      </w:pPr>
    </w:p>
    <w:p w14:paraId="44B80FF2" w14:textId="77777777" w:rsidR="00EE7151" w:rsidRDefault="00EE7151" w:rsidP="00D63204">
      <w:pPr>
        <w:widowControl w:val="0"/>
        <w:spacing w:after="0" w:line="240" w:lineRule="auto"/>
        <w:ind w:left="107"/>
        <w:rPr>
          <w:rFonts w:cstheme="minorHAnsi"/>
          <w:w w:val="105"/>
        </w:rPr>
      </w:pPr>
    </w:p>
    <w:p w14:paraId="04823C3D" w14:textId="77777777" w:rsidR="00EE7151" w:rsidRDefault="00EE7151" w:rsidP="00D63204">
      <w:pPr>
        <w:widowControl w:val="0"/>
        <w:spacing w:after="0" w:line="240" w:lineRule="auto"/>
        <w:ind w:left="107"/>
        <w:rPr>
          <w:rFonts w:cstheme="minorHAnsi"/>
          <w:w w:val="105"/>
        </w:rPr>
      </w:pPr>
    </w:p>
    <w:p w14:paraId="6CB06776" w14:textId="77777777" w:rsidR="00EE7151" w:rsidRDefault="00EE7151" w:rsidP="00D63204">
      <w:pPr>
        <w:widowControl w:val="0"/>
        <w:spacing w:after="0" w:line="240" w:lineRule="auto"/>
        <w:ind w:left="107"/>
        <w:rPr>
          <w:rFonts w:cstheme="minorHAnsi"/>
          <w:w w:val="105"/>
        </w:rPr>
      </w:pPr>
    </w:p>
    <w:p w14:paraId="3AC95729" w14:textId="77777777" w:rsidR="00EE7151" w:rsidRDefault="00EE7151" w:rsidP="00D63204">
      <w:pPr>
        <w:widowControl w:val="0"/>
        <w:spacing w:after="0" w:line="240" w:lineRule="auto"/>
        <w:ind w:left="107"/>
        <w:rPr>
          <w:rFonts w:cstheme="minorHAnsi"/>
          <w:w w:val="105"/>
        </w:rPr>
      </w:pPr>
    </w:p>
    <w:p w14:paraId="1931E35C" w14:textId="77777777" w:rsidR="00EE7151" w:rsidRDefault="00EE7151" w:rsidP="00D63204">
      <w:pPr>
        <w:widowControl w:val="0"/>
        <w:spacing w:after="0" w:line="240" w:lineRule="auto"/>
        <w:ind w:left="107"/>
        <w:rPr>
          <w:rFonts w:cstheme="minorHAnsi"/>
          <w:w w:val="105"/>
        </w:rPr>
      </w:pPr>
    </w:p>
    <w:p w14:paraId="27513F70" w14:textId="77777777" w:rsidR="00EE7151" w:rsidRDefault="00EE7151" w:rsidP="00D63204">
      <w:pPr>
        <w:widowControl w:val="0"/>
        <w:spacing w:after="0" w:line="240" w:lineRule="auto"/>
        <w:ind w:left="107"/>
        <w:rPr>
          <w:rFonts w:cstheme="minorHAnsi"/>
          <w:w w:val="105"/>
        </w:rPr>
      </w:pPr>
    </w:p>
    <w:p w14:paraId="1CF9C951" w14:textId="77777777" w:rsidR="00EE7151" w:rsidRDefault="00EE7151" w:rsidP="00D63204">
      <w:pPr>
        <w:widowControl w:val="0"/>
        <w:spacing w:after="0" w:line="240" w:lineRule="auto"/>
        <w:ind w:left="107"/>
        <w:rPr>
          <w:rFonts w:cstheme="minorHAnsi"/>
          <w:w w:val="105"/>
        </w:rPr>
      </w:pPr>
    </w:p>
    <w:p w14:paraId="2FA50698" w14:textId="77777777" w:rsidR="00EE7151" w:rsidRDefault="00EE7151" w:rsidP="00D63204">
      <w:pPr>
        <w:widowControl w:val="0"/>
        <w:spacing w:after="0" w:line="240" w:lineRule="auto"/>
        <w:ind w:left="107"/>
        <w:rPr>
          <w:rFonts w:cstheme="minorHAnsi"/>
          <w:w w:val="105"/>
        </w:rPr>
      </w:pPr>
    </w:p>
    <w:p w14:paraId="152DABDE" w14:textId="77777777" w:rsidR="00EE7151" w:rsidRDefault="00EE7151" w:rsidP="00D63204">
      <w:pPr>
        <w:widowControl w:val="0"/>
        <w:spacing w:after="0" w:line="240" w:lineRule="auto"/>
        <w:ind w:left="107"/>
        <w:rPr>
          <w:rFonts w:cstheme="minorHAnsi"/>
          <w:w w:val="105"/>
        </w:rPr>
      </w:pPr>
    </w:p>
    <w:p w14:paraId="4F30C523" w14:textId="77777777" w:rsidR="00EE7151" w:rsidRDefault="00EE7151" w:rsidP="00D63204">
      <w:pPr>
        <w:widowControl w:val="0"/>
        <w:spacing w:after="0" w:line="240" w:lineRule="auto"/>
        <w:ind w:left="107"/>
        <w:rPr>
          <w:rFonts w:cstheme="minorHAnsi"/>
          <w:w w:val="105"/>
        </w:rPr>
      </w:pPr>
    </w:p>
    <w:p w14:paraId="6DE03C7E" w14:textId="39DDB8A7" w:rsidR="00EA7458" w:rsidRPr="00E06806" w:rsidRDefault="00EA7458" w:rsidP="00D63204">
      <w:pPr>
        <w:widowControl w:val="0"/>
        <w:spacing w:after="0" w:line="240" w:lineRule="auto"/>
        <w:ind w:left="107"/>
        <w:outlineLvl w:val="2"/>
        <w:rPr>
          <w:rFonts w:cstheme="minorHAnsi"/>
        </w:rPr>
      </w:pPr>
      <w:r w:rsidRPr="00E06806">
        <w:rPr>
          <w:rFonts w:cstheme="minorHAnsi"/>
          <w:b/>
          <w:bCs/>
          <w:w w:val="115"/>
        </w:rPr>
        <w:t>Figure</w:t>
      </w:r>
      <w:r w:rsidRPr="00E06806">
        <w:rPr>
          <w:rFonts w:cstheme="minorHAnsi"/>
          <w:b/>
          <w:bCs/>
          <w:spacing w:val="-19"/>
          <w:w w:val="115"/>
        </w:rPr>
        <w:t xml:space="preserve"> </w:t>
      </w:r>
      <w:r w:rsidR="00483C9A" w:rsidRPr="00E06806">
        <w:rPr>
          <w:rFonts w:cstheme="minorHAnsi"/>
          <w:b/>
          <w:bCs/>
          <w:w w:val="115"/>
        </w:rPr>
        <w:t>3.05</w:t>
      </w:r>
    </w:p>
    <w:p w14:paraId="4B94D1D1" w14:textId="015B5ABA" w:rsidR="00D00596" w:rsidRDefault="00EA7458" w:rsidP="00D63204">
      <w:pPr>
        <w:widowControl w:val="0"/>
        <w:spacing w:after="0" w:line="240" w:lineRule="auto"/>
        <w:ind w:left="107"/>
        <w:rPr>
          <w:rFonts w:cstheme="minorHAnsi"/>
          <w:b/>
          <w:w w:val="110"/>
        </w:rPr>
      </w:pPr>
      <w:r w:rsidRPr="00E06806">
        <w:rPr>
          <w:rFonts w:cstheme="minorHAnsi"/>
          <w:b/>
          <w:w w:val="110"/>
        </w:rPr>
        <w:t>Florida</w:t>
      </w:r>
      <w:r w:rsidRPr="00E06806">
        <w:rPr>
          <w:rFonts w:cstheme="minorHAnsi"/>
          <w:b/>
          <w:spacing w:val="-17"/>
          <w:w w:val="110"/>
        </w:rPr>
        <w:t xml:space="preserve"> </w:t>
      </w:r>
      <w:r w:rsidRPr="00E06806">
        <w:rPr>
          <w:rFonts w:cstheme="minorHAnsi"/>
          <w:b/>
          <w:w w:val="110"/>
        </w:rPr>
        <w:t>Department</w:t>
      </w:r>
      <w:r w:rsidRPr="00E06806">
        <w:rPr>
          <w:rFonts w:cstheme="minorHAnsi"/>
          <w:b/>
          <w:spacing w:val="-17"/>
          <w:w w:val="110"/>
        </w:rPr>
        <w:t xml:space="preserve"> </w:t>
      </w:r>
      <w:r w:rsidRPr="00E06806">
        <w:rPr>
          <w:rFonts w:cstheme="minorHAnsi"/>
          <w:b/>
          <w:w w:val="110"/>
        </w:rPr>
        <w:t>of</w:t>
      </w:r>
      <w:r w:rsidRPr="00E06806">
        <w:rPr>
          <w:rFonts w:cstheme="minorHAnsi"/>
          <w:b/>
          <w:spacing w:val="-17"/>
          <w:w w:val="110"/>
        </w:rPr>
        <w:t xml:space="preserve"> </w:t>
      </w:r>
      <w:r w:rsidRPr="00E06806">
        <w:rPr>
          <w:rFonts w:cstheme="minorHAnsi"/>
          <w:b/>
          <w:w w:val="110"/>
        </w:rPr>
        <w:t>Education</w:t>
      </w:r>
      <w:r w:rsidR="005E2625">
        <w:rPr>
          <w:rFonts w:cstheme="minorHAnsi"/>
          <w:b/>
          <w:w w:val="110"/>
        </w:rPr>
        <w:br/>
        <w:t>Organizational Chart</w:t>
      </w:r>
    </w:p>
    <w:p w14:paraId="3A91CF26" w14:textId="07477F75" w:rsidR="00BC05EB" w:rsidRPr="00E06806" w:rsidRDefault="00BC05EB" w:rsidP="00D63204">
      <w:pPr>
        <w:widowControl w:val="0"/>
        <w:spacing w:after="0" w:line="266" w:lineRule="exact"/>
        <w:ind w:left="107"/>
        <w:rPr>
          <w:rFonts w:cstheme="minorHAnsi"/>
        </w:rPr>
      </w:pPr>
      <w:r>
        <w:rPr>
          <w:noProof/>
        </w:rPr>
        <w:drawing>
          <wp:anchor distT="0" distB="0" distL="114300" distR="114300" simplePos="0" relativeHeight="251658262" behindDoc="0" locked="0" layoutInCell="1" allowOverlap="1" wp14:anchorId="2FDA6941" wp14:editId="346C37D9">
            <wp:simplePos x="0" y="0"/>
            <wp:positionH relativeFrom="margin">
              <wp:posOffset>899160</wp:posOffset>
            </wp:positionH>
            <wp:positionV relativeFrom="paragraph">
              <wp:posOffset>64770</wp:posOffset>
            </wp:positionV>
            <wp:extent cx="4991100" cy="3922395"/>
            <wp:effectExtent l="0" t="0" r="0" b="1905"/>
            <wp:wrapSquare wrapText="bothSides"/>
            <wp:docPr id="11" name="Picture 11" descr="Organizational chart showing the internal structure of the Florida Department of Education (FDOE), with WIOA core programs specified. WIOA Core Programs include the Divisions of Career and Adult Education, Vocational Rehabilitation, and Blind Services. These programs report to the FDOE Chief of Staff, who in turn reports to the Commissioner of Education, who reports to the State Board of Education. " title="Figure 3.05 Florida Department of Education Organizational 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wdavis\AppData\Local\Microsoft\Windows\INetCache\Content.Word\FDOE ORG.JPG"/>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4991100" cy="392239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2BF6D3A" w14:textId="2B6070F9" w:rsidR="00EA7458" w:rsidRPr="00E06806" w:rsidRDefault="00EA7458" w:rsidP="00D63204">
      <w:pPr>
        <w:widowControl w:val="0"/>
        <w:spacing w:before="2" w:after="0" w:line="240" w:lineRule="auto"/>
        <w:ind w:left="107"/>
        <w:rPr>
          <w:rFonts w:cstheme="minorHAnsi"/>
          <w:b/>
          <w:bCs/>
          <w:sz w:val="15"/>
          <w:szCs w:val="15"/>
        </w:rPr>
      </w:pPr>
    </w:p>
    <w:p w14:paraId="44CE12C0" w14:textId="26B325DC" w:rsidR="00EA7458" w:rsidRPr="00E06806" w:rsidRDefault="00EA7458" w:rsidP="00D63204">
      <w:pPr>
        <w:widowControl w:val="0"/>
        <w:spacing w:after="0" w:line="4584" w:lineRule="exact"/>
        <w:ind w:left="107"/>
        <w:rPr>
          <w:rFonts w:cstheme="minorHAnsi"/>
          <w:sz w:val="20"/>
          <w:szCs w:val="20"/>
        </w:rPr>
      </w:pPr>
    </w:p>
    <w:p w14:paraId="30B230EF" w14:textId="2E6C534B" w:rsidR="00EA7458" w:rsidRPr="00E06806" w:rsidRDefault="00EA7458" w:rsidP="00D63204">
      <w:pPr>
        <w:widowControl w:val="0"/>
        <w:spacing w:after="0" w:line="4584" w:lineRule="exact"/>
        <w:ind w:left="107"/>
        <w:rPr>
          <w:rFonts w:cstheme="minorHAnsi"/>
          <w:sz w:val="20"/>
          <w:szCs w:val="20"/>
        </w:rPr>
        <w:sectPr w:rsidR="00EA7458" w:rsidRPr="00E06806">
          <w:pgSz w:w="12240" w:h="15840"/>
          <w:pgMar w:top="1620" w:right="900" w:bottom="820" w:left="900" w:header="812" w:footer="624" w:gutter="0"/>
          <w:cols w:space="720"/>
        </w:sectPr>
      </w:pPr>
    </w:p>
    <w:p w14:paraId="3F0C0ADB" w14:textId="77777777" w:rsidR="00EA7458" w:rsidRPr="00E06806" w:rsidRDefault="00EA7458" w:rsidP="00D63204">
      <w:pPr>
        <w:widowControl w:val="0"/>
        <w:spacing w:before="4" w:after="0" w:line="240" w:lineRule="auto"/>
        <w:ind w:left="107"/>
        <w:rPr>
          <w:rFonts w:cstheme="minorHAnsi"/>
          <w:b/>
          <w:bCs/>
          <w:sz w:val="14"/>
          <w:szCs w:val="14"/>
        </w:rPr>
      </w:pPr>
    </w:p>
    <w:p w14:paraId="4C0938B8" w14:textId="5FA1AE7A" w:rsidR="00EA7458" w:rsidRPr="00E06806" w:rsidRDefault="00EA7458" w:rsidP="00D63204">
      <w:pPr>
        <w:widowControl w:val="0"/>
        <w:spacing w:before="57" w:after="0" w:line="266" w:lineRule="exact"/>
        <w:ind w:left="107"/>
        <w:rPr>
          <w:rFonts w:cstheme="minorHAnsi"/>
        </w:rPr>
      </w:pPr>
      <w:bookmarkStart w:id="82" w:name="_bookmark43"/>
      <w:bookmarkEnd w:id="82"/>
      <w:r w:rsidRPr="00E06806">
        <w:rPr>
          <w:rFonts w:cstheme="minorHAnsi"/>
          <w:b/>
          <w:bCs/>
          <w:color w:val="231F20"/>
          <w:w w:val="110"/>
        </w:rPr>
        <w:t>Adult</w:t>
      </w:r>
      <w:r w:rsidRPr="00E06806">
        <w:rPr>
          <w:rFonts w:cstheme="minorHAnsi"/>
          <w:b/>
          <w:bCs/>
          <w:color w:val="231F20"/>
          <w:spacing w:val="-18"/>
          <w:w w:val="110"/>
        </w:rPr>
        <w:t xml:space="preserve"> </w:t>
      </w:r>
      <w:r w:rsidRPr="00E06806">
        <w:rPr>
          <w:rFonts w:cstheme="minorHAnsi"/>
          <w:b/>
          <w:bCs/>
          <w:color w:val="231F20"/>
          <w:w w:val="110"/>
        </w:rPr>
        <w:t>Education</w:t>
      </w:r>
    </w:p>
    <w:p w14:paraId="27D5C242" w14:textId="611E55D8" w:rsidR="00BC311F" w:rsidRPr="00E06806" w:rsidRDefault="00BC311F" w:rsidP="00D63204">
      <w:pPr>
        <w:widowControl w:val="0"/>
        <w:spacing w:before="2" w:after="0" w:line="235" w:lineRule="auto"/>
        <w:ind w:left="107"/>
        <w:rPr>
          <w:rFonts w:cstheme="minorHAnsi"/>
        </w:rPr>
      </w:pPr>
      <w:r w:rsidRPr="00E06806">
        <w:rPr>
          <w:rFonts w:cstheme="minorHAnsi"/>
          <w:w w:val="105"/>
        </w:rPr>
        <w:t>The Division of Career and Adult Education (DCAE) has oversight over the adult education system</w:t>
      </w:r>
      <w:r w:rsidRPr="00E06806">
        <w:rPr>
          <w:rFonts w:cstheme="minorHAnsi"/>
          <w:spacing w:val="8"/>
          <w:w w:val="105"/>
        </w:rPr>
        <w:t xml:space="preserve"> </w:t>
      </w:r>
      <w:r w:rsidRPr="00E06806">
        <w:rPr>
          <w:rFonts w:cstheme="minorHAnsi"/>
          <w:w w:val="105"/>
        </w:rPr>
        <w:t xml:space="preserve">implemented in districts, colleges and community-based organizations. The </w:t>
      </w:r>
      <w:r w:rsidR="0079645F">
        <w:rPr>
          <w:rFonts w:cstheme="minorHAnsi"/>
          <w:w w:val="105"/>
        </w:rPr>
        <w:t>d</w:t>
      </w:r>
      <w:r w:rsidRPr="00E06806">
        <w:rPr>
          <w:rFonts w:cstheme="minorHAnsi"/>
          <w:w w:val="105"/>
        </w:rPr>
        <w:t xml:space="preserve">ivision coordinates the </w:t>
      </w:r>
      <w:r w:rsidRPr="00E06806">
        <w:rPr>
          <w:rFonts w:cstheme="minorHAnsi"/>
          <w:spacing w:val="20"/>
          <w:w w:val="105"/>
        </w:rPr>
        <w:t>distribution</w:t>
      </w:r>
      <w:r w:rsidRPr="00E06806">
        <w:rPr>
          <w:rFonts w:cstheme="minorHAnsi"/>
          <w:w w:val="103"/>
        </w:rPr>
        <w:t xml:space="preserve"> </w:t>
      </w:r>
      <w:r w:rsidRPr="00E06806">
        <w:rPr>
          <w:rFonts w:cstheme="minorHAnsi"/>
          <w:w w:val="105"/>
        </w:rPr>
        <w:t>of</w:t>
      </w:r>
      <w:r w:rsidRPr="00E06806">
        <w:rPr>
          <w:rFonts w:cstheme="minorHAnsi"/>
          <w:spacing w:val="17"/>
          <w:w w:val="105"/>
        </w:rPr>
        <w:t xml:space="preserve"> </w:t>
      </w:r>
      <w:r w:rsidRPr="00E06806">
        <w:rPr>
          <w:rFonts w:cstheme="minorHAnsi"/>
          <w:w w:val="105"/>
        </w:rPr>
        <w:t>federal</w:t>
      </w:r>
      <w:r w:rsidRPr="00E06806">
        <w:rPr>
          <w:rFonts w:cstheme="minorHAnsi"/>
          <w:spacing w:val="17"/>
          <w:w w:val="105"/>
        </w:rPr>
        <w:t xml:space="preserve"> </w:t>
      </w:r>
      <w:r w:rsidRPr="00E06806">
        <w:rPr>
          <w:rFonts w:cstheme="minorHAnsi"/>
          <w:w w:val="105"/>
        </w:rPr>
        <w:t>adult</w:t>
      </w:r>
      <w:r w:rsidRPr="00E06806">
        <w:rPr>
          <w:rFonts w:cstheme="minorHAnsi"/>
          <w:spacing w:val="17"/>
          <w:w w:val="105"/>
        </w:rPr>
        <w:t xml:space="preserve"> </w:t>
      </w:r>
      <w:r w:rsidRPr="00E06806">
        <w:rPr>
          <w:rFonts w:cstheme="minorHAnsi"/>
          <w:w w:val="105"/>
        </w:rPr>
        <w:t>education</w:t>
      </w:r>
      <w:r w:rsidRPr="00E06806">
        <w:rPr>
          <w:rFonts w:cstheme="minorHAnsi"/>
          <w:spacing w:val="17"/>
          <w:w w:val="105"/>
        </w:rPr>
        <w:t xml:space="preserve"> </w:t>
      </w:r>
      <w:r w:rsidRPr="00E06806">
        <w:rPr>
          <w:rFonts w:cstheme="minorHAnsi"/>
          <w:w w:val="105"/>
        </w:rPr>
        <w:t>grants.</w:t>
      </w:r>
      <w:r w:rsidRPr="00E06806">
        <w:rPr>
          <w:rFonts w:cstheme="minorHAnsi"/>
          <w:spacing w:val="17"/>
          <w:w w:val="105"/>
        </w:rPr>
        <w:t xml:space="preserve"> </w:t>
      </w:r>
      <w:r w:rsidRPr="00E06806">
        <w:rPr>
          <w:rFonts w:cstheme="minorHAnsi"/>
          <w:w w:val="105"/>
        </w:rPr>
        <w:t>DCAE</w:t>
      </w:r>
      <w:r w:rsidRPr="00E06806">
        <w:rPr>
          <w:rFonts w:cstheme="minorHAnsi"/>
          <w:spacing w:val="17"/>
          <w:w w:val="105"/>
        </w:rPr>
        <w:t xml:space="preserve"> </w:t>
      </w:r>
      <w:r w:rsidRPr="00E06806">
        <w:rPr>
          <w:rFonts w:cstheme="minorHAnsi"/>
          <w:w w:val="105"/>
        </w:rPr>
        <w:t>works</w:t>
      </w:r>
      <w:r w:rsidRPr="00E06806">
        <w:rPr>
          <w:rFonts w:cstheme="minorHAnsi"/>
          <w:spacing w:val="17"/>
          <w:w w:val="105"/>
        </w:rPr>
        <w:t xml:space="preserve"> </w:t>
      </w:r>
      <w:r w:rsidRPr="00E06806">
        <w:rPr>
          <w:rFonts w:cstheme="minorHAnsi"/>
          <w:w w:val="105"/>
        </w:rPr>
        <w:t>closely</w:t>
      </w:r>
      <w:r w:rsidRPr="00E06806">
        <w:rPr>
          <w:rFonts w:cstheme="minorHAnsi"/>
          <w:spacing w:val="17"/>
          <w:w w:val="105"/>
        </w:rPr>
        <w:t xml:space="preserve"> </w:t>
      </w:r>
      <w:r w:rsidRPr="00E06806">
        <w:rPr>
          <w:rFonts w:cstheme="minorHAnsi"/>
          <w:w w:val="105"/>
        </w:rPr>
        <w:t>with</w:t>
      </w:r>
      <w:r w:rsidRPr="00E06806">
        <w:rPr>
          <w:rFonts w:cstheme="minorHAnsi"/>
          <w:spacing w:val="17"/>
          <w:w w:val="105"/>
        </w:rPr>
        <w:t xml:space="preserve"> </w:t>
      </w:r>
      <w:r w:rsidRPr="00E06806">
        <w:rPr>
          <w:rFonts w:cstheme="minorHAnsi"/>
          <w:w w:val="105"/>
        </w:rPr>
        <w:t>local</w:t>
      </w:r>
      <w:r w:rsidRPr="00E06806">
        <w:rPr>
          <w:rFonts w:cstheme="minorHAnsi"/>
          <w:spacing w:val="17"/>
          <w:w w:val="105"/>
        </w:rPr>
        <w:t xml:space="preserve"> </w:t>
      </w:r>
      <w:r w:rsidRPr="00E06806">
        <w:rPr>
          <w:rFonts w:cstheme="minorHAnsi"/>
          <w:w w:val="105"/>
        </w:rPr>
        <w:t>programs</w:t>
      </w:r>
      <w:r w:rsidRPr="00E06806">
        <w:rPr>
          <w:rFonts w:cstheme="minorHAnsi"/>
          <w:spacing w:val="17"/>
          <w:w w:val="105"/>
        </w:rPr>
        <w:t xml:space="preserve"> </w:t>
      </w:r>
      <w:r w:rsidRPr="00E06806">
        <w:rPr>
          <w:rFonts w:cstheme="minorHAnsi"/>
          <w:w w:val="105"/>
        </w:rPr>
        <w:t>and</w:t>
      </w:r>
      <w:r w:rsidRPr="00E06806">
        <w:rPr>
          <w:rFonts w:cstheme="minorHAnsi"/>
          <w:spacing w:val="17"/>
          <w:w w:val="105"/>
        </w:rPr>
        <w:t xml:space="preserve"> </w:t>
      </w:r>
      <w:r w:rsidRPr="00E06806">
        <w:rPr>
          <w:rFonts w:cstheme="minorHAnsi"/>
          <w:w w:val="105"/>
        </w:rPr>
        <w:t>provides</w:t>
      </w:r>
      <w:r w:rsidRPr="00E06806">
        <w:rPr>
          <w:rFonts w:cstheme="minorHAnsi"/>
          <w:spacing w:val="17"/>
          <w:w w:val="105"/>
        </w:rPr>
        <w:t xml:space="preserve"> </w:t>
      </w:r>
      <w:r w:rsidRPr="00E06806">
        <w:rPr>
          <w:rFonts w:cstheme="minorHAnsi"/>
          <w:w w:val="105"/>
        </w:rPr>
        <w:t>guidance</w:t>
      </w:r>
      <w:r w:rsidRPr="00E06806">
        <w:rPr>
          <w:rFonts w:cstheme="minorHAnsi"/>
          <w:spacing w:val="-9"/>
          <w:w w:val="105"/>
        </w:rPr>
        <w:t xml:space="preserve"> </w:t>
      </w:r>
      <w:r w:rsidRPr="00E06806">
        <w:rPr>
          <w:rFonts w:cstheme="minorHAnsi"/>
          <w:w w:val="105"/>
        </w:rPr>
        <w:t>on</w:t>
      </w:r>
      <w:r w:rsidRPr="00E06806">
        <w:rPr>
          <w:rFonts w:cstheme="minorHAnsi"/>
          <w:spacing w:val="10"/>
          <w:w w:val="105"/>
        </w:rPr>
        <w:t xml:space="preserve"> </w:t>
      </w:r>
      <w:r w:rsidRPr="00E06806">
        <w:rPr>
          <w:rFonts w:cstheme="minorHAnsi"/>
          <w:w w:val="105"/>
        </w:rPr>
        <w:t>state</w:t>
      </w:r>
      <w:r w:rsidRPr="00E06806">
        <w:rPr>
          <w:rFonts w:cstheme="minorHAnsi"/>
          <w:spacing w:val="10"/>
          <w:w w:val="105"/>
        </w:rPr>
        <w:t xml:space="preserve"> </w:t>
      </w:r>
      <w:r w:rsidRPr="00E06806">
        <w:rPr>
          <w:rFonts w:cstheme="minorHAnsi"/>
          <w:w w:val="105"/>
        </w:rPr>
        <w:t>and</w:t>
      </w:r>
      <w:r w:rsidRPr="00E06806">
        <w:rPr>
          <w:rFonts w:cstheme="minorHAnsi"/>
          <w:spacing w:val="10"/>
          <w:w w:val="105"/>
        </w:rPr>
        <w:t xml:space="preserve"> </w:t>
      </w:r>
      <w:r w:rsidRPr="00E06806">
        <w:rPr>
          <w:rFonts w:cstheme="minorHAnsi"/>
          <w:w w:val="105"/>
        </w:rPr>
        <w:t>federal</w:t>
      </w:r>
      <w:r w:rsidRPr="00E06806">
        <w:rPr>
          <w:rFonts w:cstheme="minorHAnsi"/>
          <w:spacing w:val="10"/>
          <w:w w:val="105"/>
        </w:rPr>
        <w:t xml:space="preserve"> </w:t>
      </w:r>
      <w:r w:rsidRPr="00E06806">
        <w:rPr>
          <w:rFonts w:cstheme="minorHAnsi"/>
          <w:w w:val="105"/>
        </w:rPr>
        <w:t>guidelines,</w:t>
      </w:r>
      <w:r w:rsidRPr="00E06806">
        <w:rPr>
          <w:rFonts w:cstheme="minorHAnsi"/>
          <w:spacing w:val="10"/>
          <w:w w:val="105"/>
        </w:rPr>
        <w:t xml:space="preserve"> </w:t>
      </w:r>
      <w:r w:rsidRPr="00E06806">
        <w:rPr>
          <w:rFonts w:cstheme="minorHAnsi"/>
          <w:w w:val="105"/>
        </w:rPr>
        <w:t>professional</w:t>
      </w:r>
      <w:r w:rsidRPr="00E06806">
        <w:rPr>
          <w:rFonts w:cstheme="minorHAnsi"/>
          <w:spacing w:val="10"/>
          <w:w w:val="105"/>
        </w:rPr>
        <w:t xml:space="preserve"> </w:t>
      </w:r>
      <w:r w:rsidRPr="00E06806">
        <w:rPr>
          <w:rFonts w:cstheme="minorHAnsi"/>
          <w:w w:val="105"/>
        </w:rPr>
        <w:t>development,</w:t>
      </w:r>
      <w:r w:rsidRPr="00E06806">
        <w:rPr>
          <w:rFonts w:cstheme="minorHAnsi"/>
          <w:spacing w:val="10"/>
          <w:w w:val="105"/>
        </w:rPr>
        <w:t xml:space="preserve"> </w:t>
      </w:r>
      <w:r w:rsidRPr="00E06806">
        <w:rPr>
          <w:rFonts w:cstheme="minorHAnsi"/>
          <w:w w:val="105"/>
        </w:rPr>
        <w:t>support</w:t>
      </w:r>
      <w:r w:rsidRPr="00E06806">
        <w:rPr>
          <w:rFonts w:cstheme="minorHAnsi"/>
          <w:spacing w:val="10"/>
          <w:w w:val="105"/>
        </w:rPr>
        <w:t xml:space="preserve"> </w:t>
      </w:r>
      <w:r w:rsidRPr="00E06806">
        <w:rPr>
          <w:rFonts w:cstheme="minorHAnsi"/>
          <w:w w:val="105"/>
        </w:rPr>
        <w:t>in</w:t>
      </w:r>
      <w:r w:rsidRPr="00E06806">
        <w:rPr>
          <w:rFonts w:cstheme="minorHAnsi"/>
          <w:spacing w:val="10"/>
          <w:w w:val="105"/>
        </w:rPr>
        <w:t xml:space="preserve"> </w:t>
      </w:r>
      <w:r w:rsidRPr="00E06806">
        <w:rPr>
          <w:rFonts w:cstheme="minorHAnsi"/>
          <w:w w:val="105"/>
        </w:rPr>
        <w:t>reporting</w:t>
      </w:r>
      <w:r w:rsidRPr="00E06806">
        <w:rPr>
          <w:rFonts w:cstheme="minorHAnsi"/>
          <w:spacing w:val="10"/>
          <w:w w:val="105"/>
        </w:rPr>
        <w:t xml:space="preserve"> </w:t>
      </w:r>
      <w:r w:rsidRPr="00E06806">
        <w:rPr>
          <w:rFonts w:cstheme="minorHAnsi"/>
          <w:w w:val="105"/>
        </w:rPr>
        <w:t>data</w:t>
      </w:r>
      <w:r w:rsidR="00D5537E">
        <w:rPr>
          <w:rFonts w:cstheme="minorHAnsi"/>
          <w:w w:val="105"/>
        </w:rPr>
        <w:t xml:space="preserve"> and</w:t>
      </w:r>
      <w:r w:rsidRPr="00E06806">
        <w:rPr>
          <w:rFonts w:cstheme="minorHAnsi"/>
          <w:spacing w:val="10"/>
          <w:w w:val="105"/>
        </w:rPr>
        <w:t xml:space="preserve"> </w:t>
      </w:r>
      <w:r w:rsidRPr="00E06806">
        <w:rPr>
          <w:rFonts w:cstheme="minorHAnsi"/>
          <w:w w:val="105"/>
        </w:rPr>
        <w:t>technical</w:t>
      </w:r>
      <w:r w:rsidRPr="00E06806">
        <w:rPr>
          <w:rFonts w:cstheme="minorHAnsi"/>
          <w:spacing w:val="-2"/>
          <w:w w:val="105"/>
        </w:rPr>
        <w:t xml:space="preserve"> </w:t>
      </w:r>
      <w:r w:rsidRPr="00E06806">
        <w:rPr>
          <w:rFonts w:cstheme="minorHAnsi"/>
          <w:w w:val="105"/>
        </w:rPr>
        <w:t>assistance on program improvement plans.</w:t>
      </w:r>
    </w:p>
    <w:p w14:paraId="40767623" w14:textId="5285B526" w:rsidR="00EA7458" w:rsidRPr="00E06806" w:rsidRDefault="00EA7458" w:rsidP="00D63204">
      <w:pPr>
        <w:widowControl w:val="0"/>
        <w:spacing w:before="196" w:after="0" w:line="266" w:lineRule="exact"/>
        <w:ind w:left="107"/>
        <w:outlineLvl w:val="2"/>
        <w:rPr>
          <w:rFonts w:cstheme="minorHAnsi"/>
        </w:rPr>
      </w:pPr>
      <w:r w:rsidRPr="00E06806">
        <w:rPr>
          <w:rFonts w:cstheme="minorHAnsi"/>
          <w:b/>
          <w:bCs/>
          <w:w w:val="115"/>
        </w:rPr>
        <w:t>Figure</w:t>
      </w:r>
      <w:r w:rsidRPr="00E06806">
        <w:rPr>
          <w:rFonts w:cstheme="minorHAnsi"/>
          <w:b/>
          <w:bCs/>
          <w:spacing w:val="-17"/>
          <w:w w:val="115"/>
        </w:rPr>
        <w:t xml:space="preserve"> </w:t>
      </w:r>
      <w:r w:rsidR="00483C9A" w:rsidRPr="00E06806">
        <w:rPr>
          <w:rFonts w:cstheme="minorHAnsi"/>
          <w:b/>
          <w:bCs/>
          <w:w w:val="115"/>
        </w:rPr>
        <w:t>3.06</w:t>
      </w:r>
    </w:p>
    <w:p w14:paraId="36D01839" w14:textId="77777777" w:rsidR="005E2625" w:rsidRDefault="00EA7458" w:rsidP="00D63204">
      <w:pPr>
        <w:widowControl w:val="0"/>
        <w:spacing w:after="0" w:line="266" w:lineRule="exact"/>
        <w:ind w:left="107"/>
        <w:rPr>
          <w:rFonts w:cstheme="minorHAnsi"/>
          <w:b/>
          <w:w w:val="110"/>
        </w:rPr>
      </w:pPr>
      <w:r w:rsidRPr="00E06806">
        <w:rPr>
          <w:rFonts w:cstheme="minorHAnsi"/>
          <w:b/>
          <w:w w:val="110"/>
        </w:rPr>
        <w:t>Division of Career and Adult</w:t>
      </w:r>
      <w:r w:rsidRPr="00E06806">
        <w:rPr>
          <w:rFonts w:cstheme="minorHAnsi"/>
          <w:b/>
          <w:spacing w:val="-22"/>
          <w:w w:val="110"/>
        </w:rPr>
        <w:t xml:space="preserve"> </w:t>
      </w:r>
      <w:r w:rsidRPr="00E06806">
        <w:rPr>
          <w:rFonts w:cstheme="minorHAnsi"/>
          <w:b/>
          <w:w w:val="110"/>
        </w:rPr>
        <w:t>Education</w:t>
      </w:r>
    </w:p>
    <w:p w14:paraId="25DB22F4" w14:textId="69228405" w:rsidR="00A1113F" w:rsidRDefault="005E2625" w:rsidP="00D63204">
      <w:pPr>
        <w:widowControl w:val="0"/>
        <w:spacing w:after="0" w:line="266" w:lineRule="exact"/>
        <w:ind w:left="107"/>
        <w:rPr>
          <w:rFonts w:cstheme="minorHAnsi"/>
          <w:b/>
          <w:w w:val="110"/>
        </w:rPr>
      </w:pPr>
      <w:r>
        <w:rPr>
          <w:rFonts w:cstheme="minorHAnsi"/>
          <w:b/>
          <w:w w:val="110"/>
        </w:rPr>
        <w:t>Organizational Chart</w:t>
      </w:r>
      <w:r w:rsidR="00A1113F" w:rsidRPr="00E06806">
        <w:rPr>
          <w:rFonts w:cstheme="minorHAnsi"/>
          <w:noProof/>
        </w:rPr>
        <w:drawing>
          <wp:anchor distT="0" distB="0" distL="114300" distR="114300" simplePos="0" relativeHeight="251658259" behindDoc="1" locked="0" layoutInCell="1" allowOverlap="1" wp14:anchorId="4EB61BB6" wp14:editId="41FEBE70">
            <wp:simplePos x="0" y="0"/>
            <wp:positionH relativeFrom="column">
              <wp:posOffset>890155</wp:posOffset>
            </wp:positionH>
            <wp:positionV relativeFrom="paragraph">
              <wp:posOffset>383598</wp:posOffset>
            </wp:positionV>
            <wp:extent cx="5029200" cy="2743200"/>
            <wp:effectExtent l="0" t="0" r="0" b="0"/>
            <wp:wrapSquare wrapText="bothSides"/>
            <wp:docPr id="966932424" name="picture" descr="Organizational chart showing the internal structure of the Florida Department of Education, Division of Career and Adult Education. This division is led by a Chancellor who oversees three bureaus- Budget, Accountability and Assessment; Standards, Benchmarks and Frameworks; and Grants Administration, Compliance. " title="Figure 3.06 Division of Career and Adult Education Organizational 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20">
                      <a:extLst>
                        <a:ext uri="{28A0092B-C50C-407E-A947-70E740481C1C}">
                          <a14:useLocalDpi xmlns:a14="http://schemas.microsoft.com/office/drawing/2010/main"/>
                        </a:ext>
                      </a:extLst>
                    </a:blip>
                    <a:stretch>
                      <a:fillRect/>
                    </a:stretch>
                  </pic:blipFill>
                  <pic:spPr>
                    <a:xfrm>
                      <a:off x="0" y="0"/>
                      <a:ext cx="5029200" cy="2743200"/>
                    </a:xfrm>
                    <a:prstGeom prst="rect">
                      <a:avLst/>
                    </a:prstGeom>
                  </pic:spPr>
                </pic:pic>
              </a:graphicData>
            </a:graphic>
          </wp:anchor>
        </w:drawing>
      </w:r>
    </w:p>
    <w:p w14:paraId="4AA3D9B7" w14:textId="1ED83314" w:rsidR="00A1113F" w:rsidRDefault="00A1113F" w:rsidP="00D63204">
      <w:pPr>
        <w:widowControl w:val="0"/>
        <w:spacing w:after="0" w:line="266" w:lineRule="exact"/>
        <w:ind w:left="107"/>
        <w:rPr>
          <w:rFonts w:cstheme="minorHAnsi"/>
          <w:b/>
          <w:w w:val="110"/>
        </w:rPr>
      </w:pPr>
    </w:p>
    <w:p w14:paraId="672C3C96" w14:textId="4BE6A3DB" w:rsidR="00A1113F" w:rsidRDefault="00A1113F" w:rsidP="00D63204">
      <w:pPr>
        <w:widowControl w:val="0"/>
        <w:spacing w:after="0" w:line="266" w:lineRule="exact"/>
        <w:ind w:left="107"/>
        <w:rPr>
          <w:rFonts w:cstheme="minorHAnsi"/>
          <w:b/>
          <w:w w:val="110"/>
        </w:rPr>
      </w:pPr>
    </w:p>
    <w:p w14:paraId="6A28F38E" w14:textId="06AA96B3" w:rsidR="00A1113F" w:rsidRDefault="00A1113F" w:rsidP="00D63204">
      <w:pPr>
        <w:widowControl w:val="0"/>
        <w:spacing w:after="0" w:line="266" w:lineRule="exact"/>
        <w:ind w:left="107"/>
        <w:rPr>
          <w:rFonts w:cstheme="minorHAnsi"/>
          <w:b/>
          <w:w w:val="110"/>
        </w:rPr>
      </w:pPr>
    </w:p>
    <w:p w14:paraId="59640759" w14:textId="3148A2FC" w:rsidR="00A1113F" w:rsidRDefault="00A1113F" w:rsidP="00D63204">
      <w:pPr>
        <w:widowControl w:val="0"/>
        <w:spacing w:after="0" w:line="266" w:lineRule="exact"/>
        <w:ind w:left="107"/>
        <w:rPr>
          <w:rFonts w:cstheme="minorHAnsi"/>
          <w:b/>
          <w:w w:val="110"/>
        </w:rPr>
      </w:pPr>
    </w:p>
    <w:p w14:paraId="4AA15A3D" w14:textId="6A275B5A" w:rsidR="00A1113F" w:rsidRDefault="00A1113F" w:rsidP="00D63204">
      <w:pPr>
        <w:widowControl w:val="0"/>
        <w:spacing w:after="0" w:line="266" w:lineRule="exact"/>
        <w:ind w:left="107"/>
        <w:rPr>
          <w:rFonts w:cstheme="minorHAnsi"/>
          <w:b/>
          <w:w w:val="110"/>
        </w:rPr>
      </w:pPr>
    </w:p>
    <w:p w14:paraId="02E88755" w14:textId="79F2CB36" w:rsidR="00A1113F" w:rsidRDefault="00A1113F" w:rsidP="00D63204">
      <w:pPr>
        <w:widowControl w:val="0"/>
        <w:spacing w:after="0" w:line="266" w:lineRule="exact"/>
        <w:ind w:left="107"/>
        <w:rPr>
          <w:rFonts w:cstheme="minorHAnsi"/>
          <w:b/>
          <w:w w:val="110"/>
        </w:rPr>
      </w:pPr>
    </w:p>
    <w:p w14:paraId="726AC3EF" w14:textId="3DAEE664" w:rsidR="00A1113F" w:rsidRDefault="00A1113F" w:rsidP="00D63204">
      <w:pPr>
        <w:widowControl w:val="0"/>
        <w:spacing w:after="0" w:line="266" w:lineRule="exact"/>
        <w:ind w:left="107"/>
        <w:rPr>
          <w:rFonts w:cstheme="minorHAnsi"/>
          <w:b/>
          <w:w w:val="110"/>
        </w:rPr>
      </w:pPr>
    </w:p>
    <w:p w14:paraId="79C9698F" w14:textId="0941441A" w:rsidR="00A1113F" w:rsidRDefault="00A1113F" w:rsidP="00D63204">
      <w:pPr>
        <w:widowControl w:val="0"/>
        <w:spacing w:after="0" w:line="266" w:lineRule="exact"/>
        <w:ind w:left="107"/>
        <w:rPr>
          <w:rFonts w:cstheme="minorHAnsi"/>
          <w:b/>
          <w:w w:val="110"/>
        </w:rPr>
      </w:pPr>
    </w:p>
    <w:p w14:paraId="27DE4954" w14:textId="51CF2018" w:rsidR="00A1113F" w:rsidRDefault="00A1113F" w:rsidP="00D63204">
      <w:pPr>
        <w:widowControl w:val="0"/>
        <w:spacing w:after="0" w:line="266" w:lineRule="exact"/>
        <w:ind w:left="107"/>
        <w:rPr>
          <w:rFonts w:cstheme="minorHAnsi"/>
          <w:b/>
          <w:w w:val="110"/>
        </w:rPr>
      </w:pPr>
    </w:p>
    <w:p w14:paraId="120F16FB" w14:textId="4270BA0B" w:rsidR="00A1113F" w:rsidRDefault="00A1113F" w:rsidP="00D63204">
      <w:pPr>
        <w:widowControl w:val="0"/>
        <w:spacing w:after="0" w:line="266" w:lineRule="exact"/>
        <w:ind w:left="107"/>
        <w:rPr>
          <w:rFonts w:cstheme="minorHAnsi"/>
          <w:b/>
          <w:w w:val="110"/>
        </w:rPr>
      </w:pPr>
    </w:p>
    <w:p w14:paraId="799E13A1" w14:textId="4DF2098E" w:rsidR="00A1113F" w:rsidRDefault="00A1113F" w:rsidP="00D63204">
      <w:pPr>
        <w:widowControl w:val="0"/>
        <w:spacing w:after="0" w:line="266" w:lineRule="exact"/>
        <w:ind w:left="107"/>
        <w:rPr>
          <w:rFonts w:cstheme="minorHAnsi"/>
          <w:b/>
          <w:w w:val="110"/>
        </w:rPr>
      </w:pPr>
    </w:p>
    <w:p w14:paraId="59657C01" w14:textId="16FFC134" w:rsidR="00A1113F" w:rsidRDefault="00A1113F" w:rsidP="00D63204">
      <w:pPr>
        <w:widowControl w:val="0"/>
        <w:spacing w:after="0" w:line="266" w:lineRule="exact"/>
        <w:ind w:left="107"/>
        <w:rPr>
          <w:rFonts w:cstheme="minorHAnsi"/>
          <w:b/>
          <w:w w:val="110"/>
        </w:rPr>
      </w:pPr>
    </w:p>
    <w:p w14:paraId="6CA3ACBF" w14:textId="7BC811B1" w:rsidR="00A1113F" w:rsidRDefault="00A1113F" w:rsidP="00D63204">
      <w:pPr>
        <w:widowControl w:val="0"/>
        <w:spacing w:after="0" w:line="266" w:lineRule="exact"/>
        <w:ind w:left="107"/>
        <w:rPr>
          <w:rFonts w:cstheme="minorHAnsi"/>
          <w:b/>
          <w:w w:val="110"/>
        </w:rPr>
      </w:pPr>
    </w:p>
    <w:p w14:paraId="455BA3EB" w14:textId="3EB2F623" w:rsidR="00A1113F" w:rsidRDefault="00A1113F" w:rsidP="00D63204">
      <w:pPr>
        <w:widowControl w:val="0"/>
        <w:spacing w:after="0" w:line="266" w:lineRule="exact"/>
        <w:ind w:left="107"/>
        <w:rPr>
          <w:rFonts w:cstheme="minorHAnsi"/>
          <w:b/>
          <w:w w:val="110"/>
        </w:rPr>
      </w:pPr>
    </w:p>
    <w:p w14:paraId="72997786" w14:textId="4359DCAA" w:rsidR="00A1113F" w:rsidRDefault="00A1113F" w:rsidP="00D63204">
      <w:pPr>
        <w:widowControl w:val="0"/>
        <w:spacing w:after="0" w:line="266" w:lineRule="exact"/>
        <w:ind w:left="107"/>
        <w:rPr>
          <w:rFonts w:cstheme="minorHAnsi"/>
          <w:b/>
          <w:w w:val="110"/>
        </w:rPr>
      </w:pPr>
    </w:p>
    <w:p w14:paraId="69733A80" w14:textId="6E606D00" w:rsidR="00A1113F" w:rsidRDefault="00A1113F" w:rsidP="00D63204">
      <w:pPr>
        <w:widowControl w:val="0"/>
        <w:spacing w:after="0" w:line="266" w:lineRule="exact"/>
        <w:ind w:left="107"/>
        <w:rPr>
          <w:rFonts w:cstheme="minorHAnsi"/>
          <w:b/>
          <w:w w:val="110"/>
        </w:rPr>
      </w:pPr>
    </w:p>
    <w:p w14:paraId="0442850D" w14:textId="455E96AA" w:rsidR="00A1113F" w:rsidRDefault="00A1113F" w:rsidP="00D63204">
      <w:pPr>
        <w:widowControl w:val="0"/>
        <w:spacing w:after="0" w:line="266" w:lineRule="exact"/>
        <w:ind w:left="107"/>
        <w:rPr>
          <w:rFonts w:cstheme="minorHAnsi"/>
          <w:b/>
          <w:w w:val="110"/>
        </w:rPr>
      </w:pPr>
    </w:p>
    <w:p w14:paraId="58C6E06E" w14:textId="448BA821" w:rsidR="00A1113F" w:rsidRDefault="00A1113F" w:rsidP="00D63204">
      <w:pPr>
        <w:widowControl w:val="0"/>
        <w:spacing w:after="0" w:line="266" w:lineRule="exact"/>
        <w:ind w:left="107"/>
        <w:rPr>
          <w:rFonts w:cstheme="minorHAnsi"/>
          <w:b/>
          <w:w w:val="110"/>
        </w:rPr>
      </w:pPr>
    </w:p>
    <w:p w14:paraId="3CBDD7B9" w14:textId="4D47FFCA" w:rsidR="00A1113F" w:rsidRDefault="00A1113F" w:rsidP="00D63204">
      <w:pPr>
        <w:widowControl w:val="0"/>
        <w:spacing w:after="0" w:line="266" w:lineRule="exact"/>
        <w:ind w:left="107"/>
        <w:rPr>
          <w:rFonts w:cstheme="minorHAnsi"/>
          <w:b/>
          <w:w w:val="110"/>
        </w:rPr>
      </w:pPr>
    </w:p>
    <w:p w14:paraId="5E2CC092" w14:textId="4B3DEF4F" w:rsidR="00A1113F" w:rsidRPr="00A1113F" w:rsidRDefault="00A1113F" w:rsidP="00D63204">
      <w:pPr>
        <w:widowControl w:val="0"/>
        <w:spacing w:after="0" w:line="266" w:lineRule="exact"/>
        <w:ind w:left="107"/>
        <w:rPr>
          <w:rFonts w:cstheme="minorHAnsi"/>
          <w:b/>
          <w:color w:val="231F20"/>
          <w:w w:val="105"/>
        </w:rPr>
      </w:pPr>
      <w:r>
        <w:rPr>
          <w:rFonts w:cstheme="minorHAnsi"/>
          <w:b/>
          <w:w w:val="110"/>
        </w:rPr>
        <w:t>Division of Vocational Rehabilitation</w:t>
      </w:r>
    </w:p>
    <w:p w14:paraId="12D224F9" w14:textId="68E5C126" w:rsidR="008B23CE" w:rsidRPr="008B23CE" w:rsidRDefault="008B23CE" w:rsidP="00D63204">
      <w:pPr>
        <w:widowControl w:val="0"/>
        <w:spacing w:before="2" w:after="0" w:line="235" w:lineRule="auto"/>
        <w:ind w:left="107"/>
        <w:rPr>
          <w:rFonts w:cstheme="minorHAnsi"/>
          <w:w w:val="105"/>
        </w:rPr>
      </w:pPr>
      <w:r w:rsidRPr="008B23CE">
        <w:rPr>
          <w:rFonts w:cstheme="minorHAnsi"/>
          <w:w w:val="105"/>
        </w:rPr>
        <w:t>The Florida Division of Vocational Rehabilitation (VR) is federally established under the Rehabilitation Act, as Amended (1998)</w:t>
      </w:r>
      <w:r w:rsidR="00D5537E">
        <w:rPr>
          <w:rFonts w:cstheme="minorHAnsi"/>
          <w:w w:val="105"/>
        </w:rPr>
        <w:t xml:space="preserve"> and</w:t>
      </w:r>
      <w:r w:rsidRPr="008B23CE">
        <w:rPr>
          <w:rFonts w:cstheme="minorHAnsi"/>
          <w:w w:val="105"/>
        </w:rPr>
        <w:t xml:space="preserve"> reauthorized as a core program of WIOA (2014). </w:t>
      </w:r>
      <w:r w:rsidR="007D4630">
        <w:rPr>
          <w:rFonts w:cstheme="minorHAnsi"/>
          <w:w w:val="105"/>
        </w:rPr>
        <w:t xml:space="preserve">In Florida, VR is a division of the </w:t>
      </w:r>
      <w:r w:rsidR="007D4630" w:rsidRPr="001A5E24">
        <w:rPr>
          <w:rFonts w:cstheme="minorHAnsi"/>
          <w:w w:val="105"/>
        </w:rPr>
        <w:t xml:space="preserve">Department of Education. VR </w:t>
      </w:r>
      <w:r w:rsidR="009451B1" w:rsidRPr="001A5E24">
        <w:rPr>
          <w:rFonts w:cstheme="minorHAnsi"/>
          <w:w w:val="105"/>
        </w:rPr>
        <w:t>comprises</w:t>
      </w:r>
      <w:r w:rsidR="007D4630" w:rsidRPr="001A5E24">
        <w:rPr>
          <w:rFonts w:cstheme="minorHAnsi"/>
          <w:w w:val="105"/>
        </w:rPr>
        <w:t xml:space="preserve"> a headquarters office, </w:t>
      </w:r>
      <w:r w:rsidR="009451B1" w:rsidRPr="001A5E24">
        <w:rPr>
          <w:rFonts w:cstheme="minorHAnsi"/>
          <w:w w:val="105"/>
        </w:rPr>
        <w:t>seven</w:t>
      </w:r>
      <w:r w:rsidR="007D4630" w:rsidRPr="001A5E24">
        <w:rPr>
          <w:rFonts w:cstheme="minorHAnsi"/>
          <w:w w:val="105"/>
        </w:rPr>
        <w:t xml:space="preserve"> area offices</w:t>
      </w:r>
      <w:r w:rsidR="00D5537E" w:rsidRPr="001A5E24">
        <w:rPr>
          <w:rFonts w:cstheme="minorHAnsi"/>
          <w:w w:val="105"/>
        </w:rPr>
        <w:t xml:space="preserve"> and</w:t>
      </w:r>
      <w:r w:rsidR="007D4630" w:rsidRPr="001A5E24">
        <w:rPr>
          <w:rFonts w:cstheme="minorHAnsi"/>
          <w:w w:val="105"/>
        </w:rPr>
        <w:t xml:space="preserve"> </w:t>
      </w:r>
      <w:r w:rsidR="003E614A" w:rsidRPr="001A5E24">
        <w:rPr>
          <w:rFonts w:cstheme="minorHAnsi"/>
          <w:w w:val="105"/>
        </w:rPr>
        <w:t>96</w:t>
      </w:r>
      <w:r w:rsidR="004A4E84" w:rsidRPr="001A5E24">
        <w:rPr>
          <w:rFonts w:cstheme="minorHAnsi"/>
          <w:w w:val="105"/>
        </w:rPr>
        <w:t xml:space="preserve"> </w:t>
      </w:r>
      <w:r w:rsidR="003E614A" w:rsidRPr="001A5E24">
        <w:rPr>
          <w:rFonts w:cstheme="minorHAnsi"/>
          <w:w w:val="105"/>
        </w:rPr>
        <w:t>unit</w:t>
      </w:r>
      <w:r w:rsidR="007D4630" w:rsidRPr="001A5E24">
        <w:rPr>
          <w:rFonts w:cstheme="minorHAnsi"/>
          <w:w w:val="105"/>
        </w:rPr>
        <w:t xml:space="preserve"> offices located throughout Florida where customers receive direct services. </w:t>
      </w:r>
      <w:r w:rsidRPr="001A5E24">
        <w:rPr>
          <w:rFonts w:cstheme="minorHAnsi"/>
          <w:w w:val="105"/>
        </w:rPr>
        <w:t>The VR program is funded</w:t>
      </w:r>
      <w:r w:rsidRPr="008B23CE">
        <w:rPr>
          <w:rFonts w:cstheme="minorHAnsi"/>
          <w:w w:val="105"/>
        </w:rPr>
        <w:t xml:space="preserve"> as a federal-state partnership, in which 21.3</w:t>
      </w:r>
      <w:r w:rsidR="001A5E24">
        <w:rPr>
          <w:rFonts w:cstheme="minorHAnsi"/>
          <w:w w:val="105"/>
        </w:rPr>
        <w:t xml:space="preserve"> percent</w:t>
      </w:r>
      <w:r w:rsidRPr="008B23CE">
        <w:rPr>
          <w:rFonts w:cstheme="minorHAnsi"/>
          <w:w w:val="105"/>
        </w:rPr>
        <w:t xml:space="preserve"> of state general revenue matches</w:t>
      </w:r>
      <w:r w:rsidR="00AA3FB2">
        <w:rPr>
          <w:rFonts w:cstheme="minorHAnsi"/>
          <w:w w:val="105"/>
        </w:rPr>
        <w:t xml:space="preserve"> a</w:t>
      </w:r>
      <w:r w:rsidRPr="008B23CE">
        <w:rPr>
          <w:rFonts w:cstheme="minorHAnsi"/>
          <w:w w:val="105"/>
        </w:rPr>
        <w:t xml:space="preserve"> 78.7</w:t>
      </w:r>
      <w:r w:rsidR="00AA3FB2">
        <w:rPr>
          <w:rFonts w:cstheme="minorHAnsi"/>
          <w:w w:val="105"/>
        </w:rPr>
        <w:t xml:space="preserve"> percent</w:t>
      </w:r>
      <w:r w:rsidRPr="008B23CE">
        <w:rPr>
          <w:rFonts w:cstheme="minorHAnsi"/>
          <w:w w:val="105"/>
        </w:rPr>
        <w:t xml:space="preserve"> federal grant. Most programmatic oversight and governance is established in the federal laws and code of federal regulations. Florida state laws for vocational rehabilitation are in Chapter 413, Florida Statutes. VR provides annual planning updates and annual/quarterly performance and financial reports to the federal Rehabilitation Services Administration (RSA) which conducts regulatory and programmatic monitoring and oversight activities approximately every four years.</w:t>
      </w:r>
    </w:p>
    <w:p w14:paraId="1B362EBB" w14:textId="0E8DAC33" w:rsidR="00EE7151" w:rsidRDefault="00EE7151" w:rsidP="00D63204">
      <w:pPr>
        <w:widowControl w:val="0"/>
        <w:spacing w:before="2" w:after="0" w:line="235" w:lineRule="auto"/>
        <w:ind w:left="107"/>
        <w:rPr>
          <w:rFonts w:cstheme="minorHAnsi"/>
          <w:w w:val="105"/>
        </w:rPr>
      </w:pPr>
    </w:p>
    <w:p w14:paraId="11AF9200" w14:textId="54E115AC" w:rsidR="00EA7458" w:rsidRPr="008B23CE" w:rsidRDefault="00EA7458" w:rsidP="00D63204">
      <w:pPr>
        <w:widowControl w:val="0"/>
        <w:spacing w:before="2" w:after="0" w:line="235" w:lineRule="auto"/>
        <w:ind w:left="107"/>
        <w:rPr>
          <w:rFonts w:cstheme="minorHAnsi"/>
          <w:w w:val="105"/>
        </w:rPr>
      </w:pPr>
      <w:r w:rsidRPr="008B23CE">
        <w:rPr>
          <w:rFonts w:cstheme="minorHAnsi"/>
          <w:w w:val="105"/>
        </w:rPr>
        <w:t xml:space="preserve">WIOA retains the presence of a state rehabilitation council, known as the Florida Rehabilitation Council (FRC). Council members are volunteers </w:t>
      </w:r>
      <w:r w:rsidR="00FA65FF" w:rsidRPr="008B23CE">
        <w:rPr>
          <w:rFonts w:cstheme="minorHAnsi"/>
          <w:w w:val="105"/>
        </w:rPr>
        <w:t xml:space="preserve">appointed by the </w:t>
      </w:r>
      <w:r w:rsidR="00372DB6">
        <w:rPr>
          <w:rFonts w:cstheme="minorHAnsi"/>
          <w:w w:val="105"/>
        </w:rPr>
        <w:t>g</w:t>
      </w:r>
      <w:r w:rsidR="00FA65FF" w:rsidRPr="008B23CE">
        <w:rPr>
          <w:rFonts w:cstheme="minorHAnsi"/>
          <w:w w:val="105"/>
        </w:rPr>
        <w:t>overnor</w:t>
      </w:r>
      <w:r w:rsidR="00D5537E">
        <w:rPr>
          <w:rFonts w:cstheme="minorHAnsi"/>
          <w:w w:val="105"/>
        </w:rPr>
        <w:t xml:space="preserve"> and</w:t>
      </w:r>
      <w:r w:rsidR="008B23CE" w:rsidRPr="008B23CE">
        <w:rPr>
          <w:rFonts w:cstheme="minorHAnsi"/>
          <w:w w:val="105"/>
        </w:rPr>
        <w:t xml:space="preserve"> </w:t>
      </w:r>
      <w:r w:rsidRPr="008B23CE">
        <w:rPr>
          <w:rFonts w:cstheme="minorHAnsi"/>
          <w:w w:val="105"/>
        </w:rPr>
        <w:t>represent a variety of perspectives from the disability community</w:t>
      </w:r>
      <w:r w:rsidR="005E7C49">
        <w:rPr>
          <w:rFonts w:cstheme="minorHAnsi"/>
          <w:w w:val="105"/>
        </w:rPr>
        <w:t xml:space="preserve">. </w:t>
      </w:r>
      <w:r w:rsidR="00FA65FF" w:rsidRPr="008B23CE">
        <w:rPr>
          <w:rFonts w:cstheme="minorHAnsi"/>
          <w:w w:val="105"/>
        </w:rPr>
        <w:t xml:space="preserve">The </w:t>
      </w:r>
      <w:r w:rsidRPr="008B23CE">
        <w:rPr>
          <w:rFonts w:cstheme="minorHAnsi"/>
          <w:w w:val="105"/>
        </w:rPr>
        <w:t xml:space="preserve">council is not a governance </w:t>
      </w:r>
      <w:r w:rsidR="00475E5E" w:rsidRPr="008B23CE">
        <w:rPr>
          <w:rFonts w:cstheme="minorHAnsi"/>
          <w:w w:val="105"/>
        </w:rPr>
        <w:t>board but</w:t>
      </w:r>
      <w:r w:rsidR="00FA65FF" w:rsidRPr="008B23CE">
        <w:rPr>
          <w:rFonts w:cstheme="minorHAnsi"/>
          <w:w w:val="105"/>
        </w:rPr>
        <w:t xml:space="preserve"> </w:t>
      </w:r>
      <w:r w:rsidRPr="008B23CE">
        <w:rPr>
          <w:rFonts w:cstheme="minorHAnsi"/>
          <w:w w:val="105"/>
        </w:rPr>
        <w:t>is required by federal law to review, analyze</w:t>
      </w:r>
      <w:r w:rsidR="00D5537E">
        <w:rPr>
          <w:rFonts w:cstheme="minorHAnsi"/>
          <w:w w:val="105"/>
        </w:rPr>
        <w:t xml:space="preserve"> and</w:t>
      </w:r>
      <w:r w:rsidRPr="008B23CE">
        <w:rPr>
          <w:rFonts w:cstheme="minorHAnsi"/>
          <w:w w:val="105"/>
        </w:rPr>
        <w:t xml:space="preserve"> advise </w:t>
      </w:r>
      <w:r w:rsidR="007D4630">
        <w:rPr>
          <w:rFonts w:cstheme="minorHAnsi"/>
          <w:w w:val="105"/>
        </w:rPr>
        <w:t>VR</w:t>
      </w:r>
      <w:r w:rsidRPr="008B23CE">
        <w:rPr>
          <w:rFonts w:cstheme="minorHAnsi"/>
          <w:w w:val="105"/>
        </w:rPr>
        <w:t>. Key collaborative activities with the council include input and recommendations for the VR services portion of the state plan, key programmatic policies, assessing VR customer satisfaction</w:t>
      </w:r>
      <w:r w:rsidR="00D5537E">
        <w:rPr>
          <w:rFonts w:cstheme="minorHAnsi"/>
          <w:w w:val="105"/>
        </w:rPr>
        <w:t xml:space="preserve"> and</w:t>
      </w:r>
      <w:r w:rsidRPr="008B23CE">
        <w:rPr>
          <w:rFonts w:cstheme="minorHAnsi"/>
          <w:w w:val="105"/>
        </w:rPr>
        <w:t xml:space="preserve"> the progress and outcomes of administrative hearings for VR customers.</w:t>
      </w:r>
      <w:r w:rsidR="007D4630">
        <w:rPr>
          <w:rFonts w:cstheme="minorHAnsi"/>
          <w:w w:val="105"/>
        </w:rPr>
        <w:t xml:space="preserve"> VR’s organizational structure is represented in Figure 3.07.</w:t>
      </w:r>
    </w:p>
    <w:p w14:paraId="41873C44" w14:textId="77777777" w:rsidR="00EA7458" w:rsidRPr="00E06806" w:rsidRDefault="00EA7458" w:rsidP="00D63204">
      <w:pPr>
        <w:widowControl w:val="0"/>
        <w:spacing w:before="2" w:after="0" w:line="240" w:lineRule="auto"/>
        <w:ind w:left="107"/>
        <w:rPr>
          <w:rFonts w:cstheme="minorHAnsi"/>
          <w:sz w:val="14"/>
          <w:szCs w:val="14"/>
        </w:rPr>
      </w:pPr>
    </w:p>
    <w:p w14:paraId="39F49110" w14:textId="6B8BC306" w:rsidR="00EA7458" w:rsidRPr="00E06806" w:rsidRDefault="00EA7458" w:rsidP="00D63204">
      <w:pPr>
        <w:widowControl w:val="0"/>
        <w:spacing w:after="0" w:line="240" w:lineRule="auto"/>
        <w:ind w:left="107"/>
        <w:outlineLvl w:val="2"/>
        <w:rPr>
          <w:rFonts w:cstheme="minorHAnsi"/>
        </w:rPr>
      </w:pPr>
      <w:bookmarkStart w:id="83" w:name="_bookmark44"/>
      <w:bookmarkEnd w:id="83"/>
      <w:r w:rsidRPr="00E06806">
        <w:rPr>
          <w:rFonts w:cstheme="minorHAnsi"/>
          <w:b/>
          <w:bCs/>
          <w:color w:val="231F20"/>
          <w:w w:val="115"/>
        </w:rPr>
        <w:t>Figure</w:t>
      </w:r>
      <w:r w:rsidRPr="00E06806">
        <w:rPr>
          <w:rFonts w:cstheme="minorHAnsi"/>
          <w:b/>
          <w:bCs/>
          <w:color w:val="231F20"/>
          <w:spacing w:val="-17"/>
          <w:w w:val="115"/>
        </w:rPr>
        <w:t xml:space="preserve"> </w:t>
      </w:r>
      <w:r w:rsidR="00483C9A" w:rsidRPr="00E06806">
        <w:rPr>
          <w:rFonts w:cstheme="minorHAnsi"/>
          <w:b/>
          <w:bCs/>
          <w:color w:val="231F20"/>
          <w:w w:val="115"/>
        </w:rPr>
        <w:t>3.07</w:t>
      </w:r>
    </w:p>
    <w:p w14:paraId="517FA956" w14:textId="76393339" w:rsidR="00EA7458" w:rsidRDefault="00EA7458" w:rsidP="00D63204">
      <w:pPr>
        <w:widowControl w:val="0"/>
        <w:spacing w:after="0" w:line="240" w:lineRule="auto"/>
        <w:ind w:left="107"/>
        <w:rPr>
          <w:rFonts w:cstheme="minorHAnsi"/>
          <w:b/>
          <w:color w:val="231F20"/>
          <w:w w:val="105"/>
        </w:rPr>
      </w:pPr>
      <w:r w:rsidRPr="00E06806">
        <w:rPr>
          <w:rFonts w:cstheme="minorHAnsi"/>
          <w:b/>
          <w:color w:val="231F20"/>
          <w:w w:val="105"/>
        </w:rPr>
        <w:t>Division of Vocational</w:t>
      </w:r>
      <w:r w:rsidRPr="00E06806">
        <w:rPr>
          <w:rFonts w:cstheme="minorHAnsi"/>
          <w:b/>
          <w:color w:val="231F20"/>
          <w:spacing w:val="-22"/>
          <w:w w:val="105"/>
        </w:rPr>
        <w:t xml:space="preserve"> </w:t>
      </w:r>
      <w:r w:rsidRPr="00E06806">
        <w:rPr>
          <w:rFonts w:cstheme="minorHAnsi"/>
          <w:b/>
          <w:color w:val="231F20"/>
          <w:w w:val="105"/>
        </w:rPr>
        <w:t>Rehabilitation</w:t>
      </w:r>
      <w:r w:rsidR="005E2625">
        <w:rPr>
          <w:rFonts w:cstheme="minorHAnsi"/>
          <w:b/>
          <w:color w:val="231F20"/>
          <w:w w:val="105"/>
        </w:rPr>
        <w:br/>
        <w:t>Organizational Chart</w:t>
      </w:r>
    </w:p>
    <w:p w14:paraId="41235194" w14:textId="7599A6E6" w:rsidR="008B23CE" w:rsidRDefault="008B23CE" w:rsidP="00D63204">
      <w:pPr>
        <w:widowControl w:val="0"/>
        <w:spacing w:after="0" w:line="240" w:lineRule="auto"/>
        <w:ind w:left="107"/>
        <w:rPr>
          <w:rFonts w:cstheme="minorHAnsi"/>
          <w:b/>
          <w:color w:val="231F20"/>
          <w:w w:val="105"/>
        </w:rPr>
      </w:pPr>
    </w:p>
    <w:p w14:paraId="22A4C7DB" w14:textId="32365000" w:rsidR="008B23CE" w:rsidRDefault="003A0964" w:rsidP="00D63204">
      <w:pPr>
        <w:widowControl w:val="0"/>
        <w:spacing w:after="0" w:line="240" w:lineRule="auto"/>
        <w:ind w:left="107"/>
        <w:rPr>
          <w:rFonts w:cstheme="minorHAnsi"/>
          <w:sz w:val="20"/>
          <w:szCs w:val="20"/>
        </w:rPr>
      </w:pPr>
      <w:r>
        <w:rPr>
          <w:noProof/>
        </w:rPr>
        <w:drawing>
          <wp:inline distT="0" distB="0" distL="0" distR="0" wp14:anchorId="2AADAC57" wp14:editId="1F9AAE39">
            <wp:extent cx="6629400" cy="4973197"/>
            <wp:effectExtent l="0" t="0" r="0" b="0"/>
            <wp:docPr id="24" name="Picture 24" descr="Organizational chart depicting the internal structure of the FDOE Division of Vocational Rehabilitation. This division is led by a Director who oversees the Office of the Director and four bureaus- the Bureau of Planning and Performance; the Bureau of Operations and Support; the Bureau of Vendor and Contracted Services; and the Bureau of Field Servic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wdavis\AppData\Local\Microsoft\Windows\INetCache\Content.Word\VR Org Chart.jp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6629400" cy="4973197"/>
                    </a:xfrm>
                    <a:prstGeom prst="rect">
                      <a:avLst/>
                    </a:prstGeom>
                    <a:noFill/>
                    <a:ln>
                      <a:noFill/>
                    </a:ln>
                  </pic:spPr>
                </pic:pic>
              </a:graphicData>
            </a:graphic>
          </wp:inline>
        </w:drawing>
      </w:r>
    </w:p>
    <w:p w14:paraId="1A3BC882" w14:textId="68AE9C49" w:rsidR="00EA7458" w:rsidRPr="00E06806" w:rsidRDefault="00EA7458" w:rsidP="003A0964">
      <w:pPr>
        <w:tabs>
          <w:tab w:val="left" w:pos="1524"/>
        </w:tabs>
        <w:rPr>
          <w:rFonts w:cstheme="minorHAnsi"/>
          <w:b/>
          <w:bCs/>
          <w:sz w:val="14"/>
          <w:szCs w:val="14"/>
        </w:rPr>
      </w:pPr>
    </w:p>
    <w:p w14:paraId="5DEFAD9D" w14:textId="77777777" w:rsidR="00603880" w:rsidRDefault="00603880" w:rsidP="00D63204">
      <w:pPr>
        <w:widowControl w:val="0"/>
        <w:spacing w:before="57" w:after="0" w:line="266" w:lineRule="exact"/>
        <w:ind w:left="107"/>
        <w:rPr>
          <w:rFonts w:cstheme="minorHAnsi"/>
          <w:b/>
          <w:bCs/>
          <w:color w:val="231F20"/>
          <w:w w:val="110"/>
        </w:rPr>
      </w:pPr>
      <w:bookmarkStart w:id="84" w:name="_bookmark45"/>
      <w:bookmarkEnd w:id="84"/>
    </w:p>
    <w:p w14:paraId="25E048CA" w14:textId="77777777" w:rsidR="00603880" w:rsidRDefault="00603880" w:rsidP="00D63204">
      <w:pPr>
        <w:widowControl w:val="0"/>
        <w:spacing w:before="57" w:after="0" w:line="266" w:lineRule="exact"/>
        <w:ind w:left="107"/>
        <w:rPr>
          <w:rFonts w:cstheme="minorHAnsi"/>
          <w:b/>
          <w:bCs/>
          <w:color w:val="231F20"/>
          <w:w w:val="110"/>
        </w:rPr>
      </w:pPr>
    </w:p>
    <w:p w14:paraId="22060E1F" w14:textId="77777777" w:rsidR="00603880" w:rsidRDefault="00603880" w:rsidP="00D63204">
      <w:pPr>
        <w:widowControl w:val="0"/>
        <w:spacing w:before="57" w:after="0" w:line="266" w:lineRule="exact"/>
        <w:ind w:left="107"/>
        <w:rPr>
          <w:rFonts w:cstheme="minorHAnsi"/>
          <w:b/>
          <w:bCs/>
          <w:color w:val="231F20"/>
          <w:w w:val="110"/>
        </w:rPr>
      </w:pPr>
    </w:p>
    <w:p w14:paraId="14AF2275" w14:textId="77777777" w:rsidR="00603880" w:rsidRDefault="00603880" w:rsidP="00D63204">
      <w:pPr>
        <w:widowControl w:val="0"/>
        <w:spacing w:before="57" w:after="0" w:line="266" w:lineRule="exact"/>
        <w:ind w:left="107"/>
        <w:rPr>
          <w:rFonts w:cstheme="minorHAnsi"/>
          <w:b/>
          <w:bCs/>
          <w:color w:val="231F20"/>
          <w:w w:val="110"/>
        </w:rPr>
      </w:pPr>
    </w:p>
    <w:p w14:paraId="1BBF06BE" w14:textId="77777777" w:rsidR="00603880" w:rsidRDefault="00603880" w:rsidP="00D63204">
      <w:pPr>
        <w:widowControl w:val="0"/>
        <w:spacing w:before="57" w:after="0" w:line="266" w:lineRule="exact"/>
        <w:ind w:left="107"/>
        <w:rPr>
          <w:rFonts w:cstheme="minorHAnsi"/>
          <w:b/>
          <w:bCs/>
          <w:color w:val="231F20"/>
          <w:w w:val="110"/>
        </w:rPr>
      </w:pPr>
    </w:p>
    <w:p w14:paraId="2147C255" w14:textId="77777777" w:rsidR="00603880" w:rsidRDefault="00603880" w:rsidP="00D63204">
      <w:pPr>
        <w:widowControl w:val="0"/>
        <w:spacing w:before="57" w:after="0" w:line="266" w:lineRule="exact"/>
        <w:ind w:left="107"/>
        <w:rPr>
          <w:rFonts w:cstheme="minorHAnsi"/>
          <w:b/>
          <w:bCs/>
          <w:color w:val="231F20"/>
          <w:w w:val="110"/>
        </w:rPr>
      </w:pPr>
    </w:p>
    <w:p w14:paraId="69A013FA" w14:textId="77777777" w:rsidR="00603880" w:rsidRDefault="00603880" w:rsidP="00D63204">
      <w:pPr>
        <w:widowControl w:val="0"/>
        <w:spacing w:before="57" w:after="0" w:line="266" w:lineRule="exact"/>
        <w:ind w:left="107"/>
        <w:rPr>
          <w:rFonts w:cstheme="minorHAnsi"/>
          <w:b/>
          <w:bCs/>
          <w:color w:val="231F20"/>
          <w:w w:val="110"/>
        </w:rPr>
      </w:pPr>
    </w:p>
    <w:p w14:paraId="3AF3586F" w14:textId="77777777" w:rsidR="00603880" w:rsidRDefault="00603880" w:rsidP="00D63204">
      <w:pPr>
        <w:widowControl w:val="0"/>
        <w:spacing w:before="57" w:after="0" w:line="266" w:lineRule="exact"/>
        <w:ind w:left="107"/>
        <w:rPr>
          <w:rFonts w:cstheme="minorHAnsi"/>
          <w:b/>
          <w:bCs/>
          <w:color w:val="231F20"/>
          <w:w w:val="110"/>
        </w:rPr>
      </w:pPr>
    </w:p>
    <w:p w14:paraId="6D368C91" w14:textId="77777777" w:rsidR="00603880" w:rsidRDefault="00603880" w:rsidP="00D63204">
      <w:pPr>
        <w:widowControl w:val="0"/>
        <w:spacing w:before="57" w:after="0" w:line="266" w:lineRule="exact"/>
        <w:ind w:left="107"/>
        <w:rPr>
          <w:rFonts w:cstheme="minorHAnsi"/>
          <w:b/>
          <w:bCs/>
          <w:color w:val="231F20"/>
          <w:w w:val="110"/>
        </w:rPr>
      </w:pPr>
    </w:p>
    <w:p w14:paraId="159E1E40" w14:textId="77777777" w:rsidR="00603880" w:rsidRDefault="00603880" w:rsidP="00D63204">
      <w:pPr>
        <w:widowControl w:val="0"/>
        <w:spacing w:before="57" w:after="0" w:line="266" w:lineRule="exact"/>
        <w:ind w:left="107"/>
        <w:rPr>
          <w:rFonts w:cstheme="minorHAnsi"/>
          <w:b/>
          <w:bCs/>
          <w:color w:val="231F20"/>
          <w:w w:val="110"/>
        </w:rPr>
      </w:pPr>
    </w:p>
    <w:p w14:paraId="218B5D0F" w14:textId="77777777" w:rsidR="004A2AAC" w:rsidRPr="005032E6" w:rsidRDefault="004A2AAC" w:rsidP="004A2AAC">
      <w:pPr>
        <w:widowControl w:val="0"/>
        <w:spacing w:before="57" w:after="0" w:line="266" w:lineRule="exact"/>
        <w:ind w:left="107"/>
        <w:rPr>
          <w:rFonts w:cstheme="minorHAnsi"/>
        </w:rPr>
      </w:pPr>
      <w:r w:rsidRPr="00FE3F22">
        <w:rPr>
          <w:rFonts w:cstheme="minorHAnsi"/>
          <w:b/>
          <w:bCs/>
          <w:color w:val="231F20"/>
          <w:w w:val="110"/>
        </w:rPr>
        <w:lastRenderedPageBreak/>
        <w:t>Division of Blind</w:t>
      </w:r>
      <w:r w:rsidRPr="00FE3F22">
        <w:rPr>
          <w:rFonts w:cstheme="minorHAnsi"/>
          <w:b/>
          <w:bCs/>
          <w:color w:val="231F20"/>
          <w:spacing w:val="9"/>
          <w:w w:val="110"/>
        </w:rPr>
        <w:t xml:space="preserve"> </w:t>
      </w:r>
      <w:r w:rsidRPr="005032E6">
        <w:rPr>
          <w:rFonts w:cstheme="minorHAnsi"/>
          <w:b/>
          <w:bCs/>
          <w:color w:val="231F20"/>
          <w:w w:val="110"/>
        </w:rPr>
        <w:t>Services</w:t>
      </w:r>
    </w:p>
    <w:p w14:paraId="7A7DDA1E" w14:textId="77777777" w:rsidR="004A2AAC" w:rsidRDefault="004A2AAC" w:rsidP="004A2AAC">
      <w:pPr>
        <w:widowControl w:val="0"/>
        <w:spacing w:before="2" w:after="0" w:line="235" w:lineRule="auto"/>
        <w:ind w:left="107"/>
        <w:rPr>
          <w:rFonts w:cstheme="minorHAnsi"/>
          <w:color w:val="231F20"/>
          <w:w w:val="105"/>
        </w:rPr>
      </w:pPr>
      <w:r w:rsidRPr="005032E6">
        <w:rPr>
          <w:rFonts w:cstheme="minorHAnsi"/>
          <w:color w:val="231F20"/>
          <w:w w:val="105"/>
        </w:rPr>
        <w:t>The</w:t>
      </w:r>
      <w:r w:rsidRPr="005032E6">
        <w:rPr>
          <w:rFonts w:cstheme="minorHAnsi"/>
          <w:color w:val="231F20"/>
          <w:spacing w:val="18"/>
          <w:w w:val="105"/>
        </w:rPr>
        <w:t xml:space="preserve"> </w:t>
      </w:r>
      <w:r w:rsidRPr="005032E6">
        <w:rPr>
          <w:rFonts w:cstheme="minorHAnsi"/>
          <w:color w:val="231F20"/>
          <w:w w:val="105"/>
        </w:rPr>
        <w:t>Florida</w:t>
      </w:r>
      <w:r w:rsidRPr="005032E6">
        <w:rPr>
          <w:rFonts w:cstheme="minorHAnsi"/>
          <w:color w:val="231F20"/>
          <w:spacing w:val="18"/>
          <w:w w:val="105"/>
        </w:rPr>
        <w:t xml:space="preserve"> </w:t>
      </w:r>
      <w:r w:rsidRPr="005032E6">
        <w:rPr>
          <w:rFonts w:cstheme="minorHAnsi"/>
          <w:color w:val="231F20"/>
          <w:w w:val="105"/>
        </w:rPr>
        <w:t>Division</w:t>
      </w:r>
      <w:r w:rsidRPr="005032E6">
        <w:rPr>
          <w:rFonts w:cstheme="minorHAnsi"/>
          <w:color w:val="231F20"/>
          <w:spacing w:val="18"/>
          <w:w w:val="105"/>
        </w:rPr>
        <w:t xml:space="preserve"> </w:t>
      </w:r>
      <w:r w:rsidRPr="005032E6">
        <w:rPr>
          <w:rFonts w:cstheme="minorHAnsi"/>
          <w:color w:val="231F20"/>
          <w:w w:val="105"/>
        </w:rPr>
        <w:t>of</w:t>
      </w:r>
      <w:r w:rsidRPr="005032E6">
        <w:rPr>
          <w:rFonts w:cstheme="minorHAnsi"/>
          <w:color w:val="231F20"/>
          <w:spacing w:val="18"/>
          <w:w w:val="105"/>
        </w:rPr>
        <w:t xml:space="preserve"> </w:t>
      </w:r>
      <w:r w:rsidRPr="005032E6">
        <w:rPr>
          <w:rFonts w:cstheme="minorHAnsi"/>
          <w:color w:val="231F20"/>
          <w:w w:val="105"/>
        </w:rPr>
        <w:t>Blind</w:t>
      </w:r>
      <w:r w:rsidRPr="005032E6">
        <w:rPr>
          <w:rFonts w:cstheme="minorHAnsi"/>
          <w:color w:val="231F20"/>
          <w:spacing w:val="18"/>
          <w:w w:val="105"/>
        </w:rPr>
        <w:t xml:space="preserve"> </w:t>
      </w:r>
      <w:r w:rsidRPr="005032E6">
        <w:rPr>
          <w:rFonts w:cstheme="minorHAnsi"/>
          <w:color w:val="231F20"/>
          <w:w w:val="105"/>
        </w:rPr>
        <w:t>Services</w:t>
      </w:r>
      <w:r w:rsidRPr="005032E6">
        <w:rPr>
          <w:rFonts w:cstheme="minorHAnsi"/>
          <w:color w:val="231F20"/>
          <w:spacing w:val="18"/>
          <w:w w:val="105"/>
        </w:rPr>
        <w:t xml:space="preserve"> </w:t>
      </w:r>
      <w:r w:rsidRPr="005032E6">
        <w:rPr>
          <w:rFonts w:cstheme="minorHAnsi"/>
          <w:color w:val="231F20"/>
          <w:w w:val="105"/>
        </w:rPr>
        <w:t>(FDBS)</w:t>
      </w:r>
      <w:r w:rsidRPr="005032E6">
        <w:rPr>
          <w:rFonts w:cstheme="minorHAnsi"/>
          <w:color w:val="231F20"/>
          <w:spacing w:val="18"/>
          <w:w w:val="105"/>
        </w:rPr>
        <w:t xml:space="preserve"> employment program </w:t>
      </w:r>
      <w:r w:rsidRPr="005032E6">
        <w:rPr>
          <w:rFonts w:cstheme="minorHAnsi"/>
          <w:color w:val="231F20"/>
          <w:w w:val="105"/>
        </w:rPr>
        <w:t>is</w:t>
      </w:r>
      <w:r w:rsidRPr="005032E6">
        <w:rPr>
          <w:rFonts w:cstheme="minorHAnsi"/>
          <w:color w:val="231F20"/>
          <w:spacing w:val="18"/>
          <w:w w:val="105"/>
        </w:rPr>
        <w:t xml:space="preserve"> </w:t>
      </w:r>
      <w:r w:rsidRPr="005032E6">
        <w:rPr>
          <w:rFonts w:cstheme="minorHAnsi"/>
          <w:color w:val="231F20"/>
          <w:w w:val="105"/>
        </w:rPr>
        <w:t>a</w:t>
      </w:r>
      <w:r w:rsidRPr="005032E6">
        <w:rPr>
          <w:rFonts w:cstheme="minorHAnsi"/>
          <w:color w:val="231F20"/>
          <w:spacing w:val="18"/>
          <w:w w:val="105"/>
        </w:rPr>
        <w:t xml:space="preserve"> </w:t>
      </w:r>
      <w:r w:rsidRPr="005032E6">
        <w:rPr>
          <w:rFonts w:cstheme="minorHAnsi"/>
          <w:color w:val="231F20"/>
          <w:w w:val="105"/>
        </w:rPr>
        <w:t>federally</w:t>
      </w:r>
      <w:r w:rsidRPr="005032E6">
        <w:rPr>
          <w:rFonts w:cstheme="minorHAnsi"/>
          <w:color w:val="231F20"/>
          <w:spacing w:val="18"/>
          <w:w w:val="105"/>
        </w:rPr>
        <w:t xml:space="preserve"> </w:t>
      </w:r>
      <w:r w:rsidRPr="005032E6">
        <w:rPr>
          <w:rFonts w:cstheme="minorHAnsi"/>
          <w:color w:val="231F20"/>
          <w:w w:val="105"/>
        </w:rPr>
        <w:t>established</w:t>
      </w:r>
      <w:r w:rsidRPr="005032E6">
        <w:rPr>
          <w:rFonts w:cstheme="minorHAnsi"/>
          <w:color w:val="231F20"/>
          <w:spacing w:val="18"/>
          <w:w w:val="105"/>
        </w:rPr>
        <w:t xml:space="preserve"> </w:t>
      </w:r>
      <w:r w:rsidRPr="005032E6">
        <w:rPr>
          <w:rFonts w:cstheme="minorHAnsi"/>
          <w:color w:val="231F20"/>
          <w:w w:val="105"/>
        </w:rPr>
        <w:t>program</w:t>
      </w:r>
      <w:r w:rsidRPr="005032E6">
        <w:rPr>
          <w:rFonts w:cstheme="minorHAnsi"/>
          <w:color w:val="231F20"/>
          <w:spacing w:val="18"/>
          <w:w w:val="105"/>
        </w:rPr>
        <w:t xml:space="preserve"> </w:t>
      </w:r>
      <w:r w:rsidRPr="005032E6">
        <w:rPr>
          <w:rFonts w:cstheme="minorHAnsi"/>
          <w:color w:val="231F20"/>
          <w:w w:val="105"/>
        </w:rPr>
        <w:t>under</w:t>
      </w:r>
      <w:r w:rsidRPr="005032E6">
        <w:rPr>
          <w:rFonts w:cstheme="minorHAnsi"/>
          <w:color w:val="231F20"/>
          <w:spacing w:val="18"/>
          <w:w w:val="105"/>
        </w:rPr>
        <w:t xml:space="preserve"> </w:t>
      </w:r>
      <w:r w:rsidRPr="005032E6">
        <w:rPr>
          <w:rFonts w:cstheme="minorHAnsi"/>
          <w:color w:val="231F20"/>
          <w:w w:val="105"/>
        </w:rPr>
        <w:t>the</w:t>
      </w:r>
      <w:r w:rsidRPr="005032E6">
        <w:rPr>
          <w:rFonts w:cstheme="minorHAnsi"/>
          <w:color w:val="231F20"/>
          <w:spacing w:val="18"/>
          <w:w w:val="105"/>
        </w:rPr>
        <w:t xml:space="preserve"> </w:t>
      </w:r>
      <w:r w:rsidRPr="005032E6">
        <w:rPr>
          <w:rFonts w:cstheme="minorHAnsi"/>
          <w:color w:val="231F20"/>
          <w:w w:val="105"/>
        </w:rPr>
        <w:t>Rehabilitation</w:t>
      </w:r>
      <w:r w:rsidRPr="005032E6">
        <w:rPr>
          <w:rFonts w:cstheme="minorHAnsi"/>
          <w:color w:val="231F20"/>
          <w:spacing w:val="-35"/>
          <w:w w:val="105"/>
        </w:rPr>
        <w:t xml:space="preserve"> </w:t>
      </w:r>
      <w:r w:rsidRPr="005032E6">
        <w:rPr>
          <w:rFonts w:cstheme="minorHAnsi"/>
          <w:color w:val="231F20"/>
          <w:w w:val="105"/>
        </w:rPr>
        <w:t>Act,</w:t>
      </w:r>
      <w:r w:rsidRPr="005032E6">
        <w:rPr>
          <w:rFonts w:cstheme="minorHAnsi"/>
          <w:color w:val="231F20"/>
          <w:spacing w:val="10"/>
          <w:w w:val="105"/>
        </w:rPr>
        <w:t xml:space="preserve"> </w:t>
      </w:r>
      <w:r w:rsidRPr="005032E6">
        <w:rPr>
          <w:rFonts w:cstheme="minorHAnsi"/>
          <w:color w:val="231F20"/>
          <w:w w:val="105"/>
        </w:rPr>
        <w:t>as</w:t>
      </w:r>
      <w:r w:rsidRPr="005032E6">
        <w:rPr>
          <w:rFonts w:cstheme="minorHAnsi"/>
          <w:color w:val="231F20"/>
          <w:spacing w:val="10"/>
          <w:w w:val="105"/>
        </w:rPr>
        <w:t xml:space="preserve"> </w:t>
      </w:r>
      <w:r w:rsidRPr="005032E6">
        <w:rPr>
          <w:rFonts w:cstheme="minorHAnsi"/>
          <w:color w:val="231F20"/>
          <w:w w:val="105"/>
        </w:rPr>
        <w:t>Amended</w:t>
      </w:r>
      <w:r w:rsidRPr="005032E6">
        <w:rPr>
          <w:rFonts w:cstheme="minorHAnsi"/>
          <w:color w:val="231F20"/>
          <w:spacing w:val="10"/>
          <w:w w:val="105"/>
        </w:rPr>
        <w:t xml:space="preserve"> </w:t>
      </w:r>
      <w:r w:rsidRPr="005032E6">
        <w:rPr>
          <w:rFonts w:cstheme="minorHAnsi"/>
          <w:color w:val="231F20"/>
          <w:w w:val="105"/>
        </w:rPr>
        <w:t>(1998),</w:t>
      </w:r>
      <w:r w:rsidRPr="005032E6">
        <w:rPr>
          <w:rFonts w:cstheme="minorHAnsi"/>
          <w:color w:val="231F20"/>
          <w:spacing w:val="10"/>
          <w:w w:val="105"/>
        </w:rPr>
        <w:t xml:space="preserve"> </w:t>
      </w:r>
      <w:r w:rsidRPr="005032E6">
        <w:rPr>
          <w:rFonts w:cstheme="minorHAnsi"/>
          <w:color w:val="231F20"/>
          <w:w w:val="105"/>
        </w:rPr>
        <w:t>and</w:t>
      </w:r>
      <w:r w:rsidRPr="005032E6">
        <w:rPr>
          <w:rFonts w:cstheme="minorHAnsi"/>
          <w:color w:val="231F20"/>
          <w:spacing w:val="10"/>
          <w:w w:val="105"/>
        </w:rPr>
        <w:t xml:space="preserve"> </w:t>
      </w:r>
      <w:r w:rsidRPr="005032E6">
        <w:rPr>
          <w:rFonts w:cstheme="minorHAnsi"/>
          <w:color w:val="231F20"/>
          <w:w w:val="105"/>
        </w:rPr>
        <w:t>reauthorized</w:t>
      </w:r>
      <w:r w:rsidRPr="005032E6">
        <w:rPr>
          <w:rFonts w:cstheme="minorHAnsi"/>
          <w:color w:val="231F20"/>
          <w:spacing w:val="10"/>
          <w:w w:val="105"/>
        </w:rPr>
        <w:t xml:space="preserve"> </w:t>
      </w:r>
      <w:r w:rsidRPr="005032E6">
        <w:rPr>
          <w:rFonts w:cstheme="minorHAnsi"/>
          <w:color w:val="231F20"/>
          <w:w w:val="105"/>
        </w:rPr>
        <w:t>as</w:t>
      </w:r>
      <w:r w:rsidRPr="005032E6">
        <w:rPr>
          <w:rFonts w:cstheme="minorHAnsi"/>
          <w:color w:val="231F20"/>
          <w:spacing w:val="10"/>
          <w:w w:val="105"/>
        </w:rPr>
        <w:t xml:space="preserve"> </w:t>
      </w:r>
      <w:r w:rsidRPr="005032E6">
        <w:rPr>
          <w:rFonts w:cstheme="minorHAnsi"/>
          <w:color w:val="231F20"/>
          <w:w w:val="105"/>
        </w:rPr>
        <w:t>a</w:t>
      </w:r>
      <w:r w:rsidRPr="005032E6">
        <w:rPr>
          <w:rFonts w:cstheme="minorHAnsi"/>
          <w:color w:val="231F20"/>
          <w:spacing w:val="10"/>
          <w:w w:val="105"/>
        </w:rPr>
        <w:t xml:space="preserve"> </w:t>
      </w:r>
      <w:r w:rsidRPr="005032E6">
        <w:rPr>
          <w:rFonts w:cstheme="minorHAnsi"/>
          <w:color w:val="231F20"/>
          <w:w w:val="105"/>
        </w:rPr>
        <w:t>core</w:t>
      </w:r>
      <w:r w:rsidRPr="005032E6">
        <w:rPr>
          <w:rFonts w:cstheme="minorHAnsi"/>
          <w:color w:val="231F20"/>
          <w:spacing w:val="10"/>
          <w:w w:val="105"/>
        </w:rPr>
        <w:t xml:space="preserve"> </w:t>
      </w:r>
      <w:r w:rsidRPr="005032E6">
        <w:rPr>
          <w:rFonts w:cstheme="minorHAnsi"/>
          <w:color w:val="231F20"/>
          <w:w w:val="105"/>
        </w:rPr>
        <w:t>program</w:t>
      </w:r>
      <w:r w:rsidRPr="005032E6">
        <w:rPr>
          <w:rFonts w:cstheme="minorHAnsi"/>
          <w:color w:val="231F20"/>
          <w:spacing w:val="10"/>
          <w:w w:val="105"/>
        </w:rPr>
        <w:t xml:space="preserve"> </w:t>
      </w:r>
      <w:r w:rsidRPr="005032E6">
        <w:rPr>
          <w:rFonts w:cstheme="minorHAnsi"/>
          <w:color w:val="231F20"/>
          <w:w w:val="105"/>
        </w:rPr>
        <w:t>of</w:t>
      </w:r>
      <w:r w:rsidRPr="005032E6">
        <w:rPr>
          <w:rFonts w:cstheme="minorHAnsi"/>
          <w:color w:val="231F20"/>
          <w:spacing w:val="10"/>
          <w:w w:val="105"/>
        </w:rPr>
        <w:t xml:space="preserve"> </w:t>
      </w:r>
      <w:r w:rsidRPr="005032E6">
        <w:rPr>
          <w:rFonts w:cstheme="minorHAnsi"/>
          <w:color w:val="231F20"/>
          <w:spacing w:val="-3"/>
          <w:w w:val="105"/>
        </w:rPr>
        <w:t>WIOA</w:t>
      </w:r>
      <w:r w:rsidRPr="005032E6">
        <w:rPr>
          <w:rFonts w:cstheme="minorHAnsi"/>
          <w:color w:val="231F20"/>
          <w:spacing w:val="10"/>
          <w:w w:val="105"/>
        </w:rPr>
        <w:t xml:space="preserve"> </w:t>
      </w:r>
      <w:r w:rsidRPr="005032E6">
        <w:rPr>
          <w:rFonts w:cstheme="minorHAnsi"/>
          <w:color w:val="231F20"/>
          <w:w w:val="105"/>
        </w:rPr>
        <w:t>(2014).</w:t>
      </w:r>
      <w:r w:rsidRPr="005032E6">
        <w:rPr>
          <w:rFonts w:cstheme="minorHAnsi"/>
          <w:color w:val="231F20"/>
          <w:spacing w:val="10"/>
          <w:w w:val="105"/>
        </w:rPr>
        <w:t xml:space="preserve"> </w:t>
      </w:r>
      <w:r w:rsidRPr="005032E6">
        <w:rPr>
          <w:rFonts w:cstheme="minorHAnsi"/>
          <w:color w:val="231F20"/>
          <w:w w:val="105"/>
        </w:rPr>
        <w:t>The</w:t>
      </w:r>
      <w:r w:rsidRPr="005032E6">
        <w:rPr>
          <w:rFonts w:cstheme="minorHAnsi"/>
          <w:color w:val="231F20"/>
          <w:spacing w:val="10"/>
          <w:w w:val="105"/>
        </w:rPr>
        <w:t xml:space="preserve"> </w:t>
      </w:r>
      <w:r w:rsidRPr="005032E6">
        <w:rPr>
          <w:rFonts w:cstheme="minorHAnsi"/>
          <w:color w:val="231F20"/>
          <w:w w:val="105"/>
        </w:rPr>
        <w:t>FDBS</w:t>
      </w:r>
      <w:r w:rsidRPr="005032E6">
        <w:rPr>
          <w:rFonts w:cstheme="minorHAnsi"/>
          <w:color w:val="231F20"/>
          <w:spacing w:val="10"/>
          <w:w w:val="105"/>
        </w:rPr>
        <w:t xml:space="preserve"> </w:t>
      </w:r>
      <w:r w:rsidRPr="005032E6">
        <w:rPr>
          <w:rFonts w:cstheme="minorHAnsi"/>
          <w:color w:val="231F20"/>
          <w:w w:val="105"/>
        </w:rPr>
        <w:t>vocational</w:t>
      </w:r>
      <w:r w:rsidRPr="005032E6">
        <w:rPr>
          <w:rFonts w:cstheme="minorHAnsi"/>
          <w:color w:val="231F20"/>
          <w:spacing w:val="3"/>
          <w:w w:val="105"/>
        </w:rPr>
        <w:t xml:space="preserve"> </w:t>
      </w:r>
      <w:r w:rsidRPr="005032E6">
        <w:rPr>
          <w:rFonts w:cstheme="minorHAnsi"/>
          <w:color w:val="231F20"/>
          <w:w w:val="105"/>
        </w:rPr>
        <w:t>rehabilitation</w:t>
      </w:r>
      <w:r w:rsidRPr="005032E6">
        <w:rPr>
          <w:rFonts w:cstheme="minorHAnsi"/>
          <w:color w:val="231F20"/>
          <w:spacing w:val="10"/>
          <w:w w:val="105"/>
        </w:rPr>
        <w:t xml:space="preserve"> </w:t>
      </w:r>
      <w:r w:rsidRPr="005032E6">
        <w:rPr>
          <w:rFonts w:cstheme="minorHAnsi"/>
          <w:color w:val="231F20"/>
          <w:w w:val="105"/>
        </w:rPr>
        <w:t>program</w:t>
      </w:r>
      <w:r w:rsidRPr="005032E6">
        <w:rPr>
          <w:rFonts w:cstheme="minorHAnsi"/>
          <w:color w:val="231F20"/>
          <w:spacing w:val="10"/>
          <w:w w:val="105"/>
        </w:rPr>
        <w:t xml:space="preserve"> </w:t>
      </w:r>
      <w:r w:rsidRPr="005032E6">
        <w:rPr>
          <w:rFonts w:cstheme="minorHAnsi"/>
          <w:color w:val="231F20"/>
          <w:w w:val="105"/>
        </w:rPr>
        <w:t>is</w:t>
      </w:r>
      <w:r w:rsidRPr="005032E6">
        <w:rPr>
          <w:rFonts w:cstheme="minorHAnsi"/>
          <w:color w:val="231F20"/>
          <w:spacing w:val="10"/>
          <w:w w:val="105"/>
        </w:rPr>
        <w:t xml:space="preserve"> </w:t>
      </w:r>
      <w:r w:rsidRPr="005032E6">
        <w:rPr>
          <w:rFonts w:cstheme="minorHAnsi"/>
          <w:color w:val="231F20"/>
          <w:w w:val="105"/>
        </w:rPr>
        <w:t>funded</w:t>
      </w:r>
      <w:r w:rsidRPr="005032E6">
        <w:rPr>
          <w:rFonts w:cstheme="minorHAnsi"/>
          <w:color w:val="231F20"/>
          <w:spacing w:val="10"/>
          <w:w w:val="105"/>
        </w:rPr>
        <w:t xml:space="preserve"> </w:t>
      </w:r>
      <w:r w:rsidRPr="005032E6">
        <w:rPr>
          <w:rFonts w:cstheme="minorHAnsi"/>
          <w:color w:val="231F20"/>
          <w:w w:val="105"/>
        </w:rPr>
        <w:t>as</w:t>
      </w:r>
      <w:r w:rsidRPr="005032E6">
        <w:rPr>
          <w:rFonts w:cstheme="minorHAnsi"/>
          <w:color w:val="231F20"/>
          <w:spacing w:val="10"/>
          <w:w w:val="105"/>
        </w:rPr>
        <w:t xml:space="preserve"> </w:t>
      </w:r>
      <w:r w:rsidRPr="005032E6">
        <w:rPr>
          <w:rFonts w:cstheme="minorHAnsi"/>
          <w:color w:val="231F20"/>
          <w:w w:val="105"/>
        </w:rPr>
        <w:t>a</w:t>
      </w:r>
      <w:r w:rsidRPr="005032E6">
        <w:rPr>
          <w:rFonts w:cstheme="minorHAnsi"/>
          <w:color w:val="231F20"/>
          <w:spacing w:val="10"/>
          <w:w w:val="105"/>
        </w:rPr>
        <w:t xml:space="preserve"> </w:t>
      </w:r>
      <w:r w:rsidRPr="005032E6">
        <w:rPr>
          <w:rFonts w:cstheme="minorHAnsi"/>
          <w:color w:val="231F20"/>
          <w:w w:val="105"/>
        </w:rPr>
        <w:t>federal-state</w:t>
      </w:r>
      <w:r w:rsidRPr="005032E6">
        <w:rPr>
          <w:rFonts w:cstheme="minorHAnsi"/>
          <w:color w:val="231F20"/>
          <w:spacing w:val="10"/>
          <w:w w:val="105"/>
        </w:rPr>
        <w:t xml:space="preserve"> </w:t>
      </w:r>
      <w:r w:rsidRPr="005032E6">
        <w:rPr>
          <w:rFonts w:cstheme="minorHAnsi"/>
          <w:color w:val="231F20"/>
          <w:w w:val="105"/>
        </w:rPr>
        <w:t>partnership. FDBS</w:t>
      </w:r>
      <w:r w:rsidRPr="005032E6">
        <w:rPr>
          <w:rFonts w:cstheme="minorHAnsi"/>
          <w:color w:val="231F20"/>
          <w:spacing w:val="10"/>
          <w:w w:val="105"/>
        </w:rPr>
        <w:t xml:space="preserve"> </w:t>
      </w:r>
      <w:r w:rsidRPr="005032E6">
        <w:rPr>
          <w:rFonts w:cstheme="minorHAnsi"/>
          <w:color w:val="231F20"/>
          <w:w w:val="105"/>
        </w:rPr>
        <w:t>is</w:t>
      </w:r>
      <w:r w:rsidRPr="005032E6">
        <w:rPr>
          <w:rFonts w:cstheme="minorHAnsi"/>
          <w:color w:val="231F20"/>
          <w:spacing w:val="10"/>
          <w:w w:val="105"/>
        </w:rPr>
        <w:t xml:space="preserve"> </w:t>
      </w:r>
      <w:r w:rsidRPr="005032E6">
        <w:rPr>
          <w:rFonts w:cstheme="minorHAnsi"/>
          <w:color w:val="231F20"/>
          <w:w w:val="105"/>
        </w:rPr>
        <w:t>part</w:t>
      </w:r>
      <w:r w:rsidRPr="005032E6">
        <w:rPr>
          <w:rFonts w:cstheme="minorHAnsi"/>
          <w:color w:val="231F20"/>
          <w:spacing w:val="10"/>
          <w:w w:val="105"/>
        </w:rPr>
        <w:t xml:space="preserve"> </w:t>
      </w:r>
      <w:r w:rsidRPr="005032E6">
        <w:rPr>
          <w:rFonts w:cstheme="minorHAnsi"/>
          <w:color w:val="231F20"/>
          <w:w w:val="105"/>
        </w:rPr>
        <w:t>of</w:t>
      </w:r>
      <w:r w:rsidRPr="005032E6">
        <w:rPr>
          <w:rFonts w:cstheme="minorHAnsi"/>
          <w:color w:val="231F20"/>
          <w:spacing w:val="10"/>
          <w:w w:val="105"/>
        </w:rPr>
        <w:t xml:space="preserve"> </w:t>
      </w:r>
      <w:r w:rsidRPr="005032E6">
        <w:rPr>
          <w:rFonts w:cstheme="minorHAnsi"/>
          <w:color w:val="231F20"/>
          <w:w w:val="105"/>
        </w:rPr>
        <w:t>the</w:t>
      </w:r>
      <w:r w:rsidRPr="005032E6">
        <w:rPr>
          <w:rFonts w:cstheme="minorHAnsi"/>
          <w:color w:val="231F20"/>
          <w:spacing w:val="10"/>
          <w:w w:val="105"/>
        </w:rPr>
        <w:t xml:space="preserve"> </w:t>
      </w:r>
      <w:r w:rsidRPr="005032E6">
        <w:rPr>
          <w:rFonts w:cstheme="minorHAnsi"/>
          <w:color w:val="231F20"/>
          <w:w w:val="105"/>
        </w:rPr>
        <w:t>Florida</w:t>
      </w:r>
      <w:r w:rsidRPr="005032E6">
        <w:rPr>
          <w:rFonts w:cstheme="minorHAnsi"/>
          <w:color w:val="231F20"/>
          <w:spacing w:val="10"/>
          <w:w w:val="105"/>
        </w:rPr>
        <w:t xml:space="preserve"> </w:t>
      </w:r>
      <w:r w:rsidRPr="005032E6">
        <w:rPr>
          <w:rFonts w:cstheme="minorHAnsi"/>
          <w:color w:val="231F20"/>
          <w:w w:val="105"/>
        </w:rPr>
        <w:t>Department</w:t>
      </w:r>
      <w:r w:rsidRPr="005032E6">
        <w:rPr>
          <w:rFonts w:cstheme="minorHAnsi"/>
          <w:color w:val="231F20"/>
          <w:spacing w:val="-46"/>
          <w:w w:val="105"/>
        </w:rPr>
        <w:t xml:space="preserve"> </w:t>
      </w:r>
      <w:r w:rsidRPr="005032E6">
        <w:rPr>
          <w:rFonts w:cstheme="minorHAnsi"/>
          <w:color w:val="231F20"/>
          <w:w w:val="105"/>
        </w:rPr>
        <w:t>of</w:t>
      </w:r>
      <w:r w:rsidRPr="005032E6">
        <w:rPr>
          <w:rFonts w:cstheme="minorHAnsi"/>
          <w:color w:val="231F20"/>
          <w:spacing w:val="18"/>
          <w:w w:val="105"/>
        </w:rPr>
        <w:t xml:space="preserve"> </w:t>
      </w:r>
      <w:r w:rsidRPr="005032E6">
        <w:rPr>
          <w:rFonts w:cstheme="minorHAnsi"/>
          <w:color w:val="231F20"/>
          <w:w w:val="105"/>
        </w:rPr>
        <w:t>Education</w:t>
      </w:r>
      <w:r w:rsidRPr="005032E6">
        <w:rPr>
          <w:rFonts w:cstheme="minorHAnsi"/>
          <w:color w:val="231F20"/>
          <w:spacing w:val="18"/>
          <w:w w:val="105"/>
        </w:rPr>
        <w:t xml:space="preserve"> </w:t>
      </w:r>
      <w:r w:rsidRPr="005032E6">
        <w:rPr>
          <w:rFonts w:cstheme="minorHAnsi"/>
          <w:color w:val="231F20"/>
          <w:w w:val="105"/>
        </w:rPr>
        <w:t>and</w:t>
      </w:r>
      <w:r w:rsidRPr="005032E6">
        <w:rPr>
          <w:rFonts w:cstheme="minorHAnsi"/>
          <w:color w:val="231F20"/>
          <w:spacing w:val="18"/>
          <w:w w:val="105"/>
        </w:rPr>
        <w:t xml:space="preserve"> </w:t>
      </w:r>
      <w:r w:rsidRPr="005032E6">
        <w:rPr>
          <w:rFonts w:cstheme="minorHAnsi"/>
          <w:color w:val="231F20"/>
          <w:w w:val="105"/>
        </w:rPr>
        <w:t>serves</w:t>
      </w:r>
      <w:r w:rsidRPr="005032E6">
        <w:rPr>
          <w:rFonts w:cstheme="minorHAnsi"/>
          <w:color w:val="231F20"/>
          <w:spacing w:val="18"/>
          <w:w w:val="105"/>
        </w:rPr>
        <w:t xml:space="preserve"> </w:t>
      </w:r>
      <w:r w:rsidRPr="005032E6">
        <w:rPr>
          <w:rFonts w:cstheme="minorHAnsi"/>
          <w:color w:val="231F20"/>
          <w:w w:val="105"/>
        </w:rPr>
        <w:t>blind</w:t>
      </w:r>
      <w:r w:rsidRPr="005032E6">
        <w:rPr>
          <w:rFonts w:cstheme="minorHAnsi"/>
          <w:color w:val="231F20"/>
          <w:spacing w:val="18"/>
          <w:w w:val="105"/>
        </w:rPr>
        <w:t xml:space="preserve"> </w:t>
      </w:r>
      <w:r w:rsidRPr="005032E6">
        <w:rPr>
          <w:rFonts w:cstheme="minorHAnsi"/>
          <w:color w:val="231F20"/>
          <w:w w:val="105"/>
        </w:rPr>
        <w:t>and</w:t>
      </w:r>
      <w:r w:rsidRPr="005032E6">
        <w:rPr>
          <w:rFonts w:cstheme="minorHAnsi"/>
          <w:color w:val="231F20"/>
          <w:spacing w:val="18"/>
          <w:w w:val="105"/>
        </w:rPr>
        <w:t xml:space="preserve"> </w:t>
      </w:r>
      <w:r w:rsidRPr="005032E6">
        <w:rPr>
          <w:rFonts w:cstheme="minorHAnsi"/>
          <w:color w:val="231F20"/>
          <w:w w:val="105"/>
        </w:rPr>
        <w:t>visually</w:t>
      </w:r>
      <w:r w:rsidRPr="005032E6">
        <w:rPr>
          <w:rFonts w:cstheme="minorHAnsi"/>
          <w:color w:val="231F20"/>
          <w:spacing w:val="18"/>
          <w:w w:val="105"/>
        </w:rPr>
        <w:t xml:space="preserve"> </w:t>
      </w:r>
      <w:r w:rsidRPr="005032E6">
        <w:rPr>
          <w:rFonts w:cstheme="minorHAnsi"/>
          <w:color w:val="231F20"/>
          <w:w w:val="105"/>
        </w:rPr>
        <w:t>impaired</w:t>
      </w:r>
      <w:r w:rsidRPr="005032E6">
        <w:rPr>
          <w:rFonts w:cstheme="minorHAnsi"/>
          <w:color w:val="231F20"/>
          <w:spacing w:val="18"/>
          <w:w w:val="105"/>
        </w:rPr>
        <w:t xml:space="preserve"> </w:t>
      </w:r>
      <w:r w:rsidRPr="005032E6">
        <w:rPr>
          <w:rFonts w:cstheme="minorHAnsi"/>
          <w:color w:val="231F20"/>
          <w:w w:val="105"/>
        </w:rPr>
        <w:t>Floridians.</w:t>
      </w:r>
      <w:r w:rsidRPr="005032E6">
        <w:rPr>
          <w:rFonts w:cstheme="minorHAnsi"/>
          <w:color w:val="231F20"/>
          <w:spacing w:val="35"/>
          <w:w w:val="105"/>
        </w:rPr>
        <w:t xml:space="preserve"> </w:t>
      </w:r>
      <w:r w:rsidRPr="005032E6">
        <w:rPr>
          <w:rFonts w:cstheme="minorHAnsi"/>
          <w:w w:val="105"/>
        </w:rPr>
        <w:t>Coordination</w:t>
      </w:r>
      <w:r w:rsidRPr="005032E6">
        <w:rPr>
          <w:rFonts w:cstheme="minorHAnsi"/>
          <w:spacing w:val="18"/>
          <w:w w:val="105"/>
        </w:rPr>
        <w:t xml:space="preserve"> </w:t>
      </w:r>
      <w:r w:rsidRPr="005032E6">
        <w:rPr>
          <w:rFonts w:cstheme="minorHAnsi"/>
          <w:w w:val="105"/>
        </w:rPr>
        <w:t>of</w:t>
      </w:r>
      <w:r w:rsidRPr="005032E6">
        <w:rPr>
          <w:rFonts w:cstheme="minorHAnsi"/>
          <w:spacing w:val="18"/>
          <w:w w:val="105"/>
        </w:rPr>
        <w:t xml:space="preserve"> </w:t>
      </w:r>
      <w:r w:rsidRPr="005032E6">
        <w:rPr>
          <w:rFonts w:cstheme="minorHAnsi"/>
          <w:w w:val="105"/>
        </w:rPr>
        <w:t>Services</w:t>
      </w:r>
      <w:r w:rsidRPr="005032E6">
        <w:rPr>
          <w:rFonts w:cstheme="minorHAnsi"/>
          <w:spacing w:val="18"/>
          <w:w w:val="105"/>
        </w:rPr>
        <w:t xml:space="preserve"> </w:t>
      </w:r>
      <w:r w:rsidRPr="005032E6">
        <w:rPr>
          <w:rFonts w:cstheme="minorHAnsi"/>
          <w:w w:val="105"/>
        </w:rPr>
        <w:t>is</w:t>
      </w:r>
      <w:r w:rsidRPr="005032E6">
        <w:rPr>
          <w:rFonts w:cstheme="minorHAnsi"/>
          <w:spacing w:val="18"/>
          <w:w w:val="105"/>
        </w:rPr>
        <w:t xml:space="preserve"> </w:t>
      </w:r>
      <w:r w:rsidRPr="005032E6">
        <w:rPr>
          <w:rFonts w:cstheme="minorHAnsi"/>
          <w:w w:val="105"/>
        </w:rPr>
        <w:t>administered</w:t>
      </w:r>
      <w:r w:rsidRPr="005032E6">
        <w:rPr>
          <w:rFonts w:cstheme="minorHAnsi"/>
          <w:spacing w:val="-43"/>
          <w:w w:val="105"/>
        </w:rPr>
        <w:t xml:space="preserve"> </w:t>
      </w:r>
      <w:r w:rsidRPr="005032E6">
        <w:rPr>
          <w:rFonts w:cstheme="minorHAnsi"/>
          <w:w w:val="105"/>
        </w:rPr>
        <w:t>through</w:t>
      </w:r>
      <w:r w:rsidRPr="005032E6">
        <w:rPr>
          <w:rFonts w:cstheme="minorHAnsi"/>
          <w:spacing w:val="10"/>
          <w:w w:val="105"/>
        </w:rPr>
        <w:t xml:space="preserve"> </w:t>
      </w:r>
      <w:r w:rsidRPr="005032E6">
        <w:rPr>
          <w:rFonts w:cstheme="minorHAnsi"/>
          <w:w w:val="105"/>
        </w:rPr>
        <w:t>15</w:t>
      </w:r>
      <w:r w:rsidRPr="005032E6">
        <w:rPr>
          <w:rFonts w:cstheme="minorHAnsi"/>
          <w:spacing w:val="10"/>
          <w:w w:val="105"/>
        </w:rPr>
        <w:t xml:space="preserve"> </w:t>
      </w:r>
      <w:r w:rsidRPr="005032E6">
        <w:rPr>
          <w:rFonts w:cstheme="minorHAnsi"/>
          <w:w w:val="105"/>
        </w:rPr>
        <w:t>FDBS</w:t>
      </w:r>
      <w:r w:rsidRPr="005032E6">
        <w:rPr>
          <w:rFonts w:cstheme="minorHAnsi"/>
          <w:spacing w:val="10"/>
          <w:w w:val="105"/>
        </w:rPr>
        <w:t xml:space="preserve"> </w:t>
      </w:r>
      <w:r w:rsidRPr="005032E6">
        <w:rPr>
          <w:rFonts w:cstheme="minorHAnsi"/>
          <w:w w:val="105"/>
        </w:rPr>
        <w:t>office</w:t>
      </w:r>
      <w:r w:rsidRPr="005032E6">
        <w:rPr>
          <w:rFonts w:cstheme="minorHAnsi"/>
          <w:spacing w:val="10"/>
          <w:w w:val="105"/>
        </w:rPr>
        <w:t xml:space="preserve"> </w:t>
      </w:r>
      <w:r w:rsidRPr="005032E6">
        <w:rPr>
          <w:rFonts w:cstheme="minorHAnsi"/>
          <w:w w:val="105"/>
        </w:rPr>
        <w:t>locations, and the Rehabilitation Center for the Blind. FDBS services are procured through a</w:t>
      </w:r>
      <w:r w:rsidRPr="005032E6">
        <w:rPr>
          <w:rFonts w:cstheme="minorHAnsi"/>
          <w:spacing w:val="9"/>
          <w:w w:val="105"/>
        </w:rPr>
        <w:t xml:space="preserve"> </w:t>
      </w:r>
      <w:r w:rsidRPr="005032E6">
        <w:rPr>
          <w:rFonts w:cstheme="minorHAnsi"/>
          <w:color w:val="231F20"/>
          <w:w w:val="105"/>
        </w:rPr>
        <w:t>combination</w:t>
      </w:r>
      <w:r w:rsidRPr="005032E6">
        <w:rPr>
          <w:rFonts w:cstheme="minorHAnsi"/>
          <w:color w:val="231F20"/>
          <w:spacing w:val="10"/>
          <w:w w:val="105"/>
        </w:rPr>
        <w:t xml:space="preserve"> </w:t>
      </w:r>
      <w:r w:rsidRPr="005032E6">
        <w:rPr>
          <w:rFonts w:cstheme="minorHAnsi"/>
          <w:color w:val="231F20"/>
          <w:w w:val="105"/>
        </w:rPr>
        <w:t>of</w:t>
      </w:r>
      <w:r w:rsidRPr="005032E6">
        <w:rPr>
          <w:rFonts w:cstheme="minorHAnsi"/>
          <w:color w:val="231F20"/>
          <w:spacing w:val="10"/>
          <w:w w:val="105"/>
        </w:rPr>
        <w:t xml:space="preserve"> </w:t>
      </w:r>
      <w:r w:rsidRPr="005032E6">
        <w:rPr>
          <w:rFonts w:cstheme="minorHAnsi"/>
          <w:color w:val="231F20"/>
          <w:w w:val="105"/>
        </w:rPr>
        <w:t>state,</w:t>
      </w:r>
      <w:r w:rsidRPr="005032E6">
        <w:rPr>
          <w:rFonts w:cstheme="minorHAnsi"/>
          <w:color w:val="231F20"/>
          <w:spacing w:val="10"/>
          <w:w w:val="105"/>
        </w:rPr>
        <w:t xml:space="preserve"> </w:t>
      </w:r>
      <w:r w:rsidRPr="005032E6">
        <w:rPr>
          <w:rFonts w:cstheme="minorHAnsi"/>
          <w:color w:val="231F20"/>
          <w:w w:val="105"/>
        </w:rPr>
        <w:t>federal</w:t>
      </w:r>
      <w:r w:rsidRPr="005032E6">
        <w:rPr>
          <w:rFonts w:cstheme="minorHAnsi"/>
          <w:color w:val="231F20"/>
          <w:spacing w:val="10"/>
          <w:w w:val="105"/>
        </w:rPr>
        <w:t xml:space="preserve"> </w:t>
      </w:r>
      <w:r w:rsidRPr="005032E6">
        <w:rPr>
          <w:rFonts w:cstheme="minorHAnsi"/>
          <w:color w:val="231F20"/>
          <w:w w:val="105"/>
        </w:rPr>
        <w:t>and</w:t>
      </w:r>
      <w:r w:rsidRPr="005032E6">
        <w:rPr>
          <w:rFonts w:cstheme="minorHAnsi"/>
          <w:color w:val="231F20"/>
          <w:spacing w:val="10"/>
          <w:w w:val="105"/>
        </w:rPr>
        <w:t xml:space="preserve"> </w:t>
      </w:r>
      <w:r w:rsidRPr="005032E6">
        <w:rPr>
          <w:rFonts w:cstheme="minorHAnsi"/>
          <w:color w:val="231F20"/>
          <w:w w:val="105"/>
        </w:rPr>
        <w:t>community</w:t>
      </w:r>
      <w:r w:rsidRPr="005032E6">
        <w:rPr>
          <w:rFonts w:cstheme="minorHAnsi"/>
          <w:color w:val="231F20"/>
          <w:w w:val="103"/>
        </w:rPr>
        <w:t xml:space="preserve"> </w:t>
      </w:r>
      <w:r w:rsidRPr="005032E6">
        <w:rPr>
          <w:rFonts w:cstheme="minorHAnsi"/>
          <w:color w:val="231F20"/>
          <w:w w:val="105"/>
        </w:rPr>
        <w:t>funding</w:t>
      </w:r>
      <w:r w:rsidRPr="005032E6">
        <w:rPr>
          <w:rFonts w:cstheme="minorHAnsi"/>
          <w:w w:val="105"/>
        </w:rPr>
        <w:t xml:space="preserve">. </w:t>
      </w:r>
      <w:r w:rsidRPr="005032E6">
        <w:rPr>
          <w:rFonts w:cstheme="minorHAnsi"/>
          <w:color w:val="231F20"/>
          <w:w w:val="105"/>
        </w:rPr>
        <w:t xml:space="preserve">In partnership with community rehabilitation </w:t>
      </w:r>
      <w:r w:rsidRPr="00FE3F22">
        <w:rPr>
          <w:rFonts w:cstheme="minorHAnsi"/>
          <w:color w:val="231F20"/>
          <w:w w:val="105"/>
        </w:rPr>
        <w:t>providers and other local partners, the</w:t>
      </w:r>
      <w:r w:rsidRPr="005032E6">
        <w:rPr>
          <w:rFonts w:cstheme="minorHAnsi"/>
          <w:color w:val="231F20"/>
          <w:spacing w:val="1"/>
          <w:w w:val="105"/>
        </w:rPr>
        <w:t xml:space="preserve"> </w:t>
      </w:r>
      <w:r w:rsidRPr="005032E6">
        <w:rPr>
          <w:rFonts w:cstheme="minorHAnsi"/>
          <w:color w:val="231F20"/>
          <w:w w:val="105"/>
        </w:rPr>
        <w:t>division</w:t>
      </w:r>
      <w:r w:rsidRPr="005032E6">
        <w:rPr>
          <w:rFonts w:cstheme="minorHAnsi"/>
          <w:color w:val="231F20"/>
          <w:w w:val="107"/>
        </w:rPr>
        <w:t xml:space="preserve"> </w:t>
      </w:r>
      <w:r w:rsidRPr="005032E6">
        <w:rPr>
          <w:rFonts w:cstheme="minorHAnsi"/>
          <w:color w:val="231F20"/>
          <w:w w:val="105"/>
        </w:rPr>
        <w:t>provides services to customers based on individual needs.</w:t>
      </w:r>
    </w:p>
    <w:p w14:paraId="79B770D0" w14:textId="0D6FE01D" w:rsidR="007D4630" w:rsidRDefault="007D4630" w:rsidP="00D63204">
      <w:pPr>
        <w:widowControl w:val="0"/>
        <w:spacing w:before="2" w:after="0" w:line="235" w:lineRule="auto"/>
        <w:ind w:left="107"/>
        <w:rPr>
          <w:rFonts w:cstheme="minorHAnsi"/>
          <w:color w:val="231F20"/>
          <w:w w:val="105"/>
        </w:rPr>
      </w:pPr>
    </w:p>
    <w:p w14:paraId="66F3CF78" w14:textId="326B249B" w:rsidR="007D4630" w:rsidRDefault="007D4630" w:rsidP="00D63204">
      <w:pPr>
        <w:widowControl w:val="0"/>
        <w:spacing w:before="2" w:after="0" w:line="235" w:lineRule="auto"/>
        <w:ind w:left="107"/>
        <w:rPr>
          <w:rFonts w:cstheme="minorHAnsi"/>
          <w:color w:val="231F20"/>
          <w:w w:val="105"/>
        </w:rPr>
      </w:pPr>
    </w:p>
    <w:p w14:paraId="3EA16B91" w14:textId="77777777" w:rsidR="00652568" w:rsidRDefault="00652568" w:rsidP="00D63204">
      <w:pPr>
        <w:widowControl w:val="0"/>
        <w:spacing w:before="2" w:after="0" w:line="235" w:lineRule="auto"/>
        <w:ind w:left="107"/>
        <w:rPr>
          <w:rFonts w:cstheme="minorHAnsi"/>
          <w:color w:val="231F20"/>
          <w:w w:val="105"/>
        </w:rPr>
      </w:pPr>
    </w:p>
    <w:p w14:paraId="53682B5E" w14:textId="38B9E827" w:rsidR="007D4630" w:rsidRDefault="007D4630" w:rsidP="00D63204">
      <w:pPr>
        <w:widowControl w:val="0"/>
        <w:spacing w:before="2" w:after="0" w:line="235" w:lineRule="auto"/>
        <w:ind w:left="107"/>
        <w:rPr>
          <w:rFonts w:cstheme="minorHAnsi"/>
          <w:color w:val="231F20"/>
          <w:w w:val="105"/>
        </w:rPr>
      </w:pPr>
    </w:p>
    <w:p w14:paraId="4F0BE195" w14:textId="77777777" w:rsidR="007D4630" w:rsidRDefault="007D4630" w:rsidP="00D63204">
      <w:pPr>
        <w:widowControl w:val="0"/>
        <w:spacing w:before="2" w:after="0" w:line="235" w:lineRule="auto"/>
        <w:ind w:left="107"/>
        <w:rPr>
          <w:rFonts w:cstheme="minorHAnsi"/>
          <w:color w:val="231F20"/>
          <w:w w:val="105"/>
        </w:rPr>
      </w:pPr>
    </w:p>
    <w:p w14:paraId="7493A426" w14:textId="43B72D10" w:rsidR="001E2A7D" w:rsidRPr="00E06806" w:rsidRDefault="00EA7458" w:rsidP="00D63204">
      <w:pPr>
        <w:widowControl w:val="0"/>
        <w:spacing w:after="0" w:line="264" w:lineRule="exact"/>
        <w:ind w:left="107"/>
        <w:outlineLvl w:val="2"/>
        <w:rPr>
          <w:rFonts w:cstheme="minorHAnsi"/>
        </w:rPr>
      </w:pPr>
      <w:r w:rsidRPr="00E06806">
        <w:rPr>
          <w:rFonts w:cstheme="minorHAnsi"/>
          <w:b/>
          <w:bCs/>
          <w:w w:val="110"/>
        </w:rPr>
        <w:t>Figure</w:t>
      </w:r>
      <w:r w:rsidRPr="00E06806">
        <w:rPr>
          <w:rFonts w:cstheme="minorHAnsi"/>
          <w:b/>
          <w:bCs/>
          <w:spacing w:val="2"/>
          <w:w w:val="110"/>
        </w:rPr>
        <w:t xml:space="preserve"> </w:t>
      </w:r>
      <w:r w:rsidR="00483C9A" w:rsidRPr="00E06806">
        <w:rPr>
          <w:rFonts w:cstheme="minorHAnsi"/>
          <w:b/>
          <w:bCs/>
          <w:w w:val="110"/>
        </w:rPr>
        <w:t>3.08</w:t>
      </w:r>
      <w:r w:rsidRPr="00E06806">
        <w:rPr>
          <w:rFonts w:cstheme="minorHAnsi"/>
          <w:b/>
          <w:bCs/>
          <w:w w:val="114"/>
        </w:rPr>
        <w:t xml:space="preserve"> </w:t>
      </w:r>
      <w:r w:rsidR="00A1113F">
        <w:rPr>
          <w:rFonts w:cstheme="minorHAnsi"/>
          <w:b/>
          <w:bCs/>
          <w:w w:val="114"/>
        </w:rPr>
        <w:br/>
      </w:r>
      <w:r w:rsidRPr="00E06806">
        <w:rPr>
          <w:rFonts w:cstheme="minorHAnsi"/>
          <w:b/>
          <w:bCs/>
          <w:color w:val="231F20"/>
          <w:w w:val="110"/>
        </w:rPr>
        <w:t>Division of Blind</w:t>
      </w:r>
      <w:r w:rsidRPr="00E06806">
        <w:rPr>
          <w:rFonts w:cstheme="minorHAnsi"/>
          <w:b/>
          <w:bCs/>
          <w:color w:val="231F20"/>
          <w:spacing w:val="9"/>
          <w:w w:val="110"/>
        </w:rPr>
        <w:t xml:space="preserve"> </w:t>
      </w:r>
      <w:r w:rsidRPr="00E06806">
        <w:rPr>
          <w:rFonts w:cstheme="minorHAnsi"/>
          <w:b/>
          <w:bCs/>
          <w:color w:val="231F20"/>
          <w:w w:val="110"/>
        </w:rPr>
        <w:t>Services</w:t>
      </w:r>
      <w:r w:rsidR="005E2625">
        <w:rPr>
          <w:rFonts w:cstheme="minorHAnsi"/>
          <w:b/>
          <w:bCs/>
          <w:color w:val="231F20"/>
          <w:w w:val="110"/>
        </w:rPr>
        <w:br/>
        <w:t>Organizational Chart</w:t>
      </w:r>
    </w:p>
    <w:p w14:paraId="7C75EF18" w14:textId="77777777" w:rsidR="00EA7458" w:rsidRPr="00E06806" w:rsidRDefault="007C4EF4" w:rsidP="00D63204">
      <w:pPr>
        <w:widowControl w:val="0"/>
        <w:spacing w:after="0" w:line="6720" w:lineRule="exact"/>
        <w:ind w:left="107"/>
        <w:rPr>
          <w:rFonts w:cstheme="minorHAnsi"/>
          <w:sz w:val="20"/>
          <w:szCs w:val="20"/>
        </w:rPr>
      </w:pPr>
      <w:r w:rsidRPr="00E06806">
        <w:rPr>
          <w:rFonts w:cstheme="minorHAnsi"/>
          <w:noProof/>
        </w:rPr>
        <w:drawing>
          <wp:inline distT="0" distB="0" distL="0" distR="0" wp14:anchorId="62303001" wp14:editId="193B216E">
            <wp:extent cx="5670550" cy="3276599"/>
            <wp:effectExtent l="0" t="0" r="6350" b="635"/>
            <wp:docPr id="1223831327" name="picture" descr="Organizational chart for the FDOE Division of Blind Services. This division is led by a Division Director who oversees the Deputy Director, Executive Services, Human Resources, MIS, and the Bureau of Operations and Compliance.  The Deputy Director oversees the Bureau of Braille &amp; Talking Library, Bureau of Business Enterprise, Rehabilitation Center for the Blind &amp; Visually Impaired, and the Bureau of Client Services." title="Figure 3.07 Division of Blind Services Organizational 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22">
                      <a:extLst>
                        <a:ext uri="{28A0092B-C50C-407E-A947-70E740481C1C}">
                          <a14:useLocalDpi xmlns:a14="http://schemas.microsoft.com/office/drawing/2010/main"/>
                        </a:ext>
                      </a:extLst>
                    </a:blip>
                    <a:stretch>
                      <a:fillRect/>
                    </a:stretch>
                  </pic:blipFill>
                  <pic:spPr>
                    <a:xfrm>
                      <a:off x="0" y="0"/>
                      <a:ext cx="5732705" cy="3312514"/>
                    </a:xfrm>
                    <a:prstGeom prst="rect">
                      <a:avLst/>
                    </a:prstGeom>
                  </pic:spPr>
                </pic:pic>
              </a:graphicData>
            </a:graphic>
          </wp:inline>
        </w:drawing>
      </w:r>
    </w:p>
    <w:p w14:paraId="2F7C3C57" w14:textId="693D2EB4" w:rsidR="00A210A1" w:rsidRDefault="00A210A1">
      <w:pPr>
        <w:rPr>
          <w:rFonts w:cstheme="minorHAnsi"/>
          <w:color w:val="295CA3"/>
          <w:w w:val="110"/>
        </w:rPr>
      </w:pPr>
      <w:r>
        <w:rPr>
          <w:rFonts w:cstheme="minorHAnsi"/>
          <w:color w:val="295CA3"/>
          <w:w w:val="110"/>
        </w:rPr>
        <w:br w:type="page"/>
      </w:r>
    </w:p>
    <w:p w14:paraId="6B359238" w14:textId="77777777" w:rsidR="00A210A1" w:rsidRDefault="00A210A1">
      <w:pPr>
        <w:rPr>
          <w:rFonts w:cstheme="minorHAnsi"/>
          <w:color w:val="295CA3"/>
          <w:w w:val="110"/>
        </w:rPr>
      </w:pPr>
    </w:p>
    <w:p w14:paraId="3AA9E769" w14:textId="7FB1BF3E" w:rsidR="00EA7458" w:rsidRPr="00A210A1" w:rsidRDefault="00EA7458" w:rsidP="00D63204">
      <w:pPr>
        <w:pStyle w:val="ListParagraph"/>
        <w:widowControl w:val="0"/>
        <w:numPr>
          <w:ilvl w:val="0"/>
          <w:numId w:val="6"/>
        </w:numPr>
        <w:tabs>
          <w:tab w:val="left" w:pos="2268"/>
        </w:tabs>
        <w:spacing w:after="0" w:line="240" w:lineRule="auto"/>
        <w:rPr>
          <w:rFonts w:cstheme="minorHAnsi"/>
        </w:rPr>
      </w:pPr>
      <w:r w:rsidRPr="00A210A1">
        <w:rPr>
          <w:rFonts w:cstheme="minorHAnsi"/>
          <w:color w:val="295CA3"/>
          <w:w w:val="110"/>
        </w:rPr>
        <w:t>State</w:t>
      </w:r>
      <w:r w:rsidRPr="00A210A1">
        <w:rPr>
          <w:rFonts w:cstheme="minorHAnsi"/>
          <w:color w:val="295CA3"/>
          <w:spacing w:val="1"/>
          <w:w w:val="110"/>
        </w:rPr>
        <w:t xml:space="preserve"> </w:t>
      </w:r>
      <w:r w:rsidRPr="00A210A1">
        <w:rPr>
          <w:rFonts w:cstheme="minorHAnsi"/>
          <w:color w:val="295CA3"/>
          <w:w w:val="110"/>
        </w:rPr>
        <w:t>Board</w:t>
      </w:r>
    </w:p>
    <w:p w14:paraId="61029991" w14:textId="77777777" w:rsidR="00A210A1" w:rsidRPr="00A210A1" w:rsidRDefault="00A210A1" w:rsidP="00D63204">
      <w:pPr>
        <w:pStyle w:val="ListParagraph"/>
        <w:widowControl w:val="0"/>
        <w:tabs>
          <w:tab w:val="left" w:pos="2268"/>
        </w:tabs>
        <w:spacing w:after="0" w:line="240" w:lineRule="auto"/>
        <w:ind w:left="2880"/>
        <w:rPr>
          <w:rFonts w:cstheme="minorHAnsi"/>
        </w:rPr>
      </w:pPr>
    </w:p>
    <w:p w14:paraId="231F7F30" w14:textId="02E7BFB7" w:rsidR="00EA7458" w:rsidRPr="00A210A1" w:rsidRDefault="00EA7458" w:rsidP="00D63204">
      <w:pPr>
        <w:pStyle w:val="ListParagraph"/>
        <w:widowControl w:val="0"/>
        <w:numPr>
          <w:ilvl w:val="3"/>
          <w:numId w:val="6"/>
        </w:numPr>
        <w:tabs>
          <w:tab w:val="left" w:pos="3168"/>
        </w:tabs>
        <w:spacing w:after="0" w:line="240" w:lineRule="auto"/>
        <w:rPr>
          <w:rFonts w:cstheme="minorHAnsi"/>
        </w:rPr>
      </w:pPr>
      <w:r w:rsidRPr="00A210A1">
        <w:rPr>
          <w:rFonts w:cstheme="minorHAnsi"/>
          <w:color w:val="295CA3"/>
          <w:w w:val="105"/>
        </w:rPr>
        <w:t>Membership</w:t>
      </w:r>
      <w:r w:rsidRPr="00A210A1">
        <w:rPr>
          <w:rFonts w:cstheme="minorHAnsi"/>
          <w:color w:val="295CA3"/>
          <w:spacing w:val="4"/>
          <w:w w:val="105"/>
        </w:rPr>
        <w:t xml:space="preserve"> </w:t>
      </w:r>
      <w:r w:rsidRPr="00A210A1">
        <w:rPr>
          <w:rFonts w:cstheme="minorHAnsi"/>
          <w:color w:val="295CA3"/>
          <w:w w:val="105"/>
        </w:rPr>
        <w:t>Roster</w:t>
      </w:r>
    </w:p>
    <w:p w14:paraId="0A5F1853" w14:textId="7612195D" w:rsidR="00EA7458" w:rsidRPr="00E06806" w:rsidRDefault="00EA7458" w:rsidP="00D63204">
      <w:pPr>
        <w:widowControl w:val="0"/>
        <w:spacing w:before="170" w:after="0" w:line="264" w:lineRule="exact"/>
        <w:ind w:left="107"/>
        <w:rPr>
          <w:rFonts w:cstheme="minorHAnsi"/>
          <w:sz w:val="24"/>
          <w:szCs w:val="24"/>
        </w:rPr>
      </w:pPr>
      <w:r w:rsidRPr="00E06806">
        <w:rPr>
          <w:rFonts w:cstheme="minorHAnsi"/>
          <w:color w:val="231F20"/>
          <w:w w:val="105"/>
        </w:rPr>
        <w:t>The</w:t>
      </w:r>
      <w:r w:rsidRPr="00E06806">
        <w:rPr>
          <w:rFonts w:cstheme="minorHAnsi"/>
          <w:color w:val="231F20"/>
          <w:spacing w:val="8"/>
          <w:w w:val="105"/>
        </w:rPr>
        <w:t xml:space="preserve"> </w:t>
      </w:r>
      <w:r w:rsidRPr="00E06806">
        <w:rPr>
          <w:rFonts w:cstheme="minorHAnsi"/>
          <w:color w:val="231F20"/>
          <w:w w:val="105"/>
        </w:rPr>
        <w:t>full</w:t>
      </w:r>
      <w:r w:rsidRPr="00E06806">
        <w:rPr>
          <w:rFonts w:cstheme="minorHAnsi"/>
          <w:color w:val="231F20"/>
          <w:spacing w:val="8"/>
          <w:w w:val="105"/>
        </w:rPr>
        <w:t xml:space="preserve"> </w:t>
      </w:r>
      <w:r w:rsidRPr="00E06806">
        <w:rPr>
          <w:rFonts w:cstheme="minorHAnsi"/>
          <w:color w:val="231F20"/>
          <w:w w:val="105"/>
        </w:rPr>
        <w:t>roster</w:t>
      </w:r>
      <w:r w:rsidRPr="00E06806">
        <w:rPr>
          <w:rFonts w:cstheme="minorHAnsi"/>
          <w:color w:val="231F20"/>
          <w:spacing w:val="8"/>
          <w:w w:val="105"/>
        </w:rPr>
        <w:t xml:space="preserve"> </w:t>
      </w:r>
      <w:r w:rsidRPr="00E06806">
        <w:rPr>
          <w:rFonts w:cstheme="minorHAnsi"/>
          <w:color w:val="231F20"/>
          <w:w w:val="105"/>
        </w:rPr>
        <w:t>of</w:t>
      </w:r>
      <w:r w:rsidRPr="00E06806">
        <w:rPr>
          <w:rFonts w:cstheme="minorHAnsi"/>
          <w:color w:val="231F20"/>
          <w:spacing w:val="8"/>
          <w:w w:val="105"/>
        </w:rPr>
        <w:t xml:space="preserve"> </w:t>
      </w:r>
      <w:r w:rsidRPr="00E06806">
        <w:rPr>
          <w:rFonts w:cstheme="minorHAnsi"/>
          <w:color w:val="231F20"/>
          <w:w w:val="105"/>
        </w:rPr>
        <w:t>the</w:t>
      </w:r>
      <w:r w:rsidRPr="00E06806">
        <w:rPr>
          <w:rFonts w:cstheme="minorHAnsi"/>
          <w:color w:val="231F20"/>
          <w:spacing w:val="8"/>
          <w:w w:val="105"/>
        </w:rPr>
        <w:t xml:space="preserve"> </w:t>
      </w:r>
      <w:r w:rsidRPr="00E06806">
        <w:rPr>
          <w:rFonts w:cstheme="minorHAnsi"/>
          <w:color w:val="231F20"/>
          <w:w w:val="105"/>
        </w:rPr>
        <w:t>CareerSource</w:t>
      </w:r>
      <w:r w:rsidRPr="00E06806">
        <w:rPr>
          <w:rFonts w:cstheme="minorHAnsi"/>
          <w:color w:val="231F20"/>
          <w:spacing w:val="8"/>
          <w:w w:val="105"/>
        </w:rPr>
        <w:t xml:space="preserve"> </w:t>
      </w:r>
      <w:r w:rsidRPr="00E06806">
        <w:rPr>
          <w:rFonts w:cstheme="minorHAnsi"/>
          <w:color w:val="231F20"/>
          <w:w w:val="105"/>
        </w:rPr>
        <w:t>Florida</w:t>
      </w:r>
      <w:r w:rsidRPr="00E06806">
        <w:rPr>
          <w:rFonts w:cstheme="minorHAnsi"/>
          <w:color w:val="231F20"/>
          <w:spacing w:val="8"/>
          <w:w w:val="105"/>
        </w:rPr>
        <w:t xml:space="preserve"> </w:t>
      </w:r>
      <w:r w:rsidRPr="00E06806">
        <w:rPr>
          <w:rFonts w:cstheme="minorHAnsi"/>
          <w:color w:val="231F20"/>
          <w:w w:val="105"/>
        </w:rPr>
        <w:t>Board</w:t>
      </w:r>
      <w:r w:rsidRPr="00E06806">
        <w:rPr>
          <w:rFonts w:cstheme="minorHAnsi"/>
          <w:color w:val="231F20"/>
          <w:spacing w:val="8"/>
          <w:w w:val="105"/>
        </w:rPr>
        <w:t xml:space="preserve"> </w:t>
      </w:r>
      <w:r w:rsidRPr="00E06806">
        <w:rPr>
          <w:rFonts w:cstheme="minorHAnsi"/>
          <w:color w:val="231F20"/>
          <w:w w:val="105"/>
        </w:rPr>
        <w:t>of</w:t>
      </w:r>
      <w:r w:rsidRPr="00E06806">
        <w:rPr>
          <w:rFonts w:cstheme="minorHAnsi"/>
          <w:color w:val="231F20"/>
          <w:spacing w:val="8"/>
          <w:w w:val="105"/>
        </w:rPr>
        <w:t xml:space="preserve"> </w:t>
      </w:r>
      <w:r w:rsidRPr="00E06806">
        <w:rPr>
          <w:rFonts w:cstheme="minorHAnsi"/>
          <w:color w:val="231F20"/>
          <w:w w:val="105"/>
        </w:rPr>
        <w:t>Directors</w:t>
      </w:r>
      <w:r w:rsidRPr="00E06806">
        <w:rPr>
          <w:rFonts w:cstheme="minorHAnsi"/>
          <w:color w:val="231F20"/>
          <w:spacing w:val="8"/>
          <w:w w:val="105"/>
        </w:rPr>
        <w:t xml:space="preserve"> </w:t>
      </w:r>
      <w:r w:rsidRPr="00E06806">
        <w:rPr>
          <w:rFonts w:cstheme="minorHAnsi"/>
          <w:color w:val="231F20"/>
          <w:w w:val="105"/>
        </w:rPr>
        <w:t>with</w:t>
      </w:r>
      <w:r w:rsidRPr="00E06806">
        <w:rPr>
          <w:rFonts w:cstheme="minorHAnsi"/>
          <w:color w:val="231F20"/>
          <w:spacing w:val="8"/>
          <w:w w:val="105"/>
        </w:rPr>
        <w:t xml:space="preserve"> </w:t>
      </w:r>
      <w:r w:rsidRPr="00E06806">
        <w:rPr>
          <w:rFonts w:cstheme="minorHAnsi"/>
          <w:color w:val="231F20"/>
          <w:w w:val="105"/>
        </w:rPr>
        <w:t>their</w:t>
      </w:r>
      <w:r w:rsidRPr="00E06806">
        <w:rPr>
          <w:rFonts w:cstheme="minorHAnsi"/>
          <w:color w:val="231F20"/>
          <w:spacing w:val="8"/>
          <w:w w:val="105"/>
        </w:rPr>
        <w:t xml:space="preserve"> </w:t>
      </w:r>
      <w:r w:rsidRPr="00E06806">
        <w:rPr>
          <w:rFonts w:cstheme="minorHAnsi"/>
          <w:color w:val="231F20"/>
          <w:w w:val="105"/>
        </w:rPr>
        <w:t>affiliations</w:t>
      </w:r>
      <w:r w:rsidRPr="00E06806">
        <w:rPr>
          <w:rFonts w:cstheme="minorHAnsi"/>
          <w:color w:val="231F20"/>
          <w:spacing w:val="8"/>
          <w:w w:val="105"/>
        </w:rPr>
        <w:t xml:space="preserve"> </w:t>
      </w:r>
      <w:r w:rsidRPr="00E06806">
        <w:rPr>
          <w:rFonts w:cstheme="minorHAnsi"/>
          <w:color w:val="231F20"/>
          <w:w w:val="105"/>
        </w:rPr>
        <w:t>is</w:t>
      </w:r>
      <w:r w:rsidRPr="00E06806">
        <w:rPr>
          <w:rFonts w:cstheme="minorHAnsi"/>
          <w:color w:val="231F20"/>
          <w:spacing w:val="8"/>
          <w:w w:val="105"/>
        </w:rPr>
        <w:t xml:space="preserve"> </w:t>
      </w:r>
      <w:r w:rsidRPr="00E06806">
        <w:rPr>
          <w:rFonts w:cstheme="minorHAnsi"/>
          <w:color w:val="231F20"/>
          <w:w w:val="105"/>
        </w:rPr>
        <w:t>available</w:t>
      </w:r>
      <w:r w:rsidRPr="00E06806">
        <w:rPr>
          <w:rFonts w:cstheme="minorHAnsi"/>
          <w:color w:val="231F20"/>
          <w:spacing w:val="7"/>
          <w:w w:val="105"/>
        </w:rPr>
        <w:t xml:space="preserve"> </w:t>
      </w:r>
      <w:r w:rsidRPr="00E06806">
        <w:rPr>
          <w:rFonts w:cstheme="minorHAnsi"/>
          <w:color w:val="231F20"/>
          <w:w w:val="105"/>
          <w:sz w:val="24"/>
        </w:rPr>
        <w:t>at</w:t>
      </w:r>
      <w:r w:rsidRPr="00E06806">
        <w:rPr>
          <w:rFonts w:cstheme="minorHAnsi"/>
          <w:color w:val="231F20"/>
          <w:spacing w:val="-32"/>
          <w:w w:val="105"/>
          <w:sz w:val="24"/>
        </w:rPr>
        <w:t xml:space="preserve"> </w:t>
      </w:r>
      <w:hyperlink r:id="rId123" w:history="1">
        <w:r w:rsidR="000D10BF" w:rsidRPr="00E06806">
          <w:rPr>
            <w:rStyle w:val="Hyperlink"/>
            <w:rFonts w:cstheme="minorHAnsi"/>
          </w:rPr>
          <w:t>https://careersourceflorida.com/boardroom/</w:t>
        </w:r>
      </w:hyperlink>
      <w:r w:rsidRPr="00E06806">
        <w:rPr>
          <w:rFonts w:cstheme="minorHAnsi"/>
          <w:color w:val="231F20"/>
          <w:spacing w:val="-1"/>
          <w:sz w:val="24"/>
        </w:rPr>
        <w:t>.</w:t>
      </w:r>
      <w:r w:rsidR="000D10BF" w:rsidRPr="00E06806">
        <w:rPr>
          <w:rFonts w:cstheme="minorHAnsi"/>
          <w:color w:val="231F20"/>
          <w:spacing w:val="-1"/>
          <w:sz w:val="24"/>
        </w:rPr>
        <w:t xml:space="preserve"> </w:t>
      </w:r>
    </w:p>
    <w:p w14:paraId="7D34F15B" w14:textId="77777777" w:rsidR="00EA7458" w:rsidRPr="00E06806" w:rsidRDefault="00EA7458" w:rsidP="00D63204">
      <w:pPr>
        <w:widowControl w:val="0"/>
        <w:numPr>
          <w:ilvl w:val="3"/>
          <w:numId w:val="6"/>
        </w:numPr>
        <w:tabs>
          <w:tab w:val="left" w:pos="3168"/>
        </w:tabs>
        <w:spacing w:before="181" w:after="0" w:line="240" w:lineRule="auto"/>
        <w:rPr>
          <w:rFonts w:cstheme="minorHAnsi"/>
        </w:rPr>
      </w:pPr>
      <w:r w:rsidRPr="00E06806">
        <w:rPr>
          <w:rFonts w:cstheme="minorHAnsi"/>
          <w:color w:val="295CA3"/>
          <w:w w:val="105"/>
        </w:rPr>
        <w:t>Board</w:t>
      </w:r>
      <w:r w:rsidRPr="00E06806">
        <w:rPr>
          <w:rFonts w:cstheme="minorHAnsi"/>
          <w:color w:val="295CA3"/>
          <w:spacing w:val="4"/>
          <w:w w:val="105"/>
        </w:rPr>
        <w:t xml:space="preserve"> </w:t>
      </w:r>
      <w:r w:rsidRPr="00E06806">
        <w:rPr>
          <w:rFonts w:cstheme="minorHAnsi"/>
          <w:color w:val="295CA3"/>
          <w:w w:val="105"/>
        </w:rPr>
        <w:t>Activities</w:t>
      </w:r>
    </w:p>
    <w:p w14:paraId="0DFFF2AA" w14:textId="77777777" w:rsidR="001E2A7D" w:rsidRPr="00E06806" w:rsidRDefault="00EA7458" w:rsidP="00D63204">
      <w:pPr>
        <w:widowControl w:val="0"/>
        <w:spacing w:before="188" w:after="0" w:line="242" w:lineRule="exact"/>
        <w:ind w:left="107"/>
        <w:rPr>
          <w:rFonts w:cstheme="minorHAnsi"/>
          <w:color w:val="231F20"/>
          <w:spacing w:val="14"/>
          <w:w w:val="105"/>
        </w:rPr>
      </w:pPr>
      <w:r w:rsidRPr="00E06806">
        <w:rPr>
          <w:rFonts w:cstheme="minorHAnsi"/>
          <w:color w:val="231F20"/>
          <w:w w:val="105"/>
        </w:rPr>
        <w:t>CareerSource Florida</w:t>
      </w:r>
      <w:r w:rsidR="00C96E9D" w:rsidRPr="00E06806">
        <w:rPr>
          <w:rFonts w:cstheme="minorHAnsi"/>
          <w:color w:val="231F20"/>
          <w:w w:val="105"/>
        </w:rPr>
        <w:t xml:space="preserve">’s </w:t>
      </w:r>
      <w:r w:rsidRPr="00E06806">
        <w:rPr>
          <w:rFonts w:cstheme="minorHAnsi"/>
          <w:color w:val="231F20"/>
          <w:w w:val="105"/>
        </w:rPr>
        <w:t xml:space="preserve">Board of Directors is statutorily required to meet either in person or by  </w:t>
      </w:r>
      <w:r w:rsidRPr="00E06806">
        <w:rPr>
          <w:rFonts w:cstheme="minorHAnsi"/>
          <w:color w:val="231F20"/>
          <w:spacing w:val="17"/>
          <w:w w:val="105"/>
        </w:rPr>
        <w:t xml:space="preserve"> </w:t>
      </w:r>
      <w:r w:rsidRPr="00E06806">
        <w:rPr>
          <w:rFonts w:cstheme="minorHAnsi"/>
          <w:color w:val="231F20"/>
          <w:w w:val="105"/>
        </w:rPr>
        <w:t>teleconference</w:t>
      </w:r>
      <w:r w:rsidRPr="00E06806">
        <w:rPr>
          <w:rFonts w:cstheme="minorHAnsi"/>
          <w:color w:val="231F20"/>
          <w:spacing w:val="11"/>
          <w:w w:val="105"/>
        </w:rPr>
        <w:t xml:space="preserve"> </w:t>
      </w:r>
      <w:r w:rsidRPr="00E06806">
        <w:rPr>
          <w:rFonts w:cstheme="minorHAnsi"/>
          <w:color w:val="231F20"/>
          <w:w w:val="105"/>
        </w:rPr>
        <w:t>four</w:t>
      </w:r>
      <w:r w:rsidRPr="00E06806">
        <w:rPr>
          <w:rFonts w:cstheme="minorHAnsi"/>
          <w:color w:val="231F20"/>
          <w:spacing w:val="11"/>
          <w:w w:val="105"/>
        </w:rPr>
        <w:t xml:space="preserve"> </w:t>
      </w:r>
      <w:r w:rsidRPr="00E06806">
        <w:rPr>
          <w:rFonts w:cstheme="minorHAnsi"/>
          <w:color w:val="231F20"/>
          <w:w w:val="105"/>
        </w:rPr>
        <w:t>times</w:t>
      </w:r>
      <w:r w:rsidRPr="00E06806">
        <w:rPr>
          <w:rFonts w:cstheme="minorHAnsi"/>
          <w:color w:val="231F20"/>
          <w:spacing w:val="11"/>
          <w:w w:val="105"/>
        </w:rPr>
        <w:t xml:space="preserve"> </w:t>
      </w:r>
      <w:r w:rsidRPr="00E06806">
        <w:rPr>
          <w:rFonts w:cstheme="minorHAnsi"/>
          <w:color w:val="231F20"/>
          <w:w w:val="105"/>
        </w:rPr>
        <w:t>a</w:t>
      </w:r>
      <w:r w:rsidRPr="00E06806">
        <w:rPr>
          <w:rFonts w:cstheme="minorHAnsi"/>
          <w:color w:val="231F20"/>
          <w:spacing w:val="11"/>
          <w:w w:val="105"/>
        </w:rPr>
        <w:t xml:space="preserve"> </w:t>
      </w:r>
      <w:r w:rsidRPr="00E06806">
        <w:rPr>
          <w:rFonts w:cstheme="minorHAnsi"/>
          <w:color w:val="231F20"/>
          <w:spacing w:val="-4"/>
          <w:w w:val="105"/>
        </w:rPr>
        <w:t>year.</w:t>
      </w:r>
      <w:r w:rsidRPr="00E06806">
        <w:rPr>
          <w:rFonts w:cstheme="minorHAnsi"/>
          <w:color w:val="231F20"/>
          <w:spacing w:val="11"/>
          <w:w w:val="105"/>
        </w:rPr>
        <w:t xml:space="preserve"> </w:t>
      </w:r>
      <w:r w:rsidR="00817E2A" w:rsidRPr="00E06806">
        <w:rPr>
          <w:rFonts w:cstheme="minorHAnsi"/>
          <w:color w:val="231F20"/>
          <w:w w:val="105"/>
        </w:rPr>
        <w:t xml:space="preserve">CareerSource Florida </w:t>
      </w:r>
      <w:r w:rsidRPr="00E06806">
        <w:rPr>
          <w:rFonts w:cstheme="minorHAnsi"/>
          <w:color w:val="231F20"/>
          <w:w w:val="105"/>
        </w:rPr>
        <w:t>councils</w:t>
      </w:r>
      <w:r w:rsidRPr="00E06806">
        <w:rPr>
          <w:rFonts w:cstheme="minorHAnsi"/>
          <w:color w:val="231F20"/>
          <w:spacing w:val="11"/>
          <w:w w:val="105"/>
        </w:rPr>
        <w:t xml:space="preserve"> </w:t>
      </w:r>
      <w:r w:rsidRPr="00E06806">
        <w:rPr>
          <w:rFonts w:cstheme="minorHAnsi"/>
          <w:color w:val="231F20"/>
          <w:w w:val="105"/>
        </w:rPr>
        <w:t>meet</w:t>
      </w:r>
      <w:r w:rsidRPr="00E06806">
        <w:rPr>
          <w:rFonts w:cstheme="minorHAnsi"/>
          <w:color w:val="231F20"/>
          <w:spacing w:val="11"/>
          <w:w w:val="105"/>
        </w:rPr>
        <w:t xml:space="preserve"> </w:t>
      </w:r>
      <w:r w:rsidRPr="00E06806">
        <w:rPr>
          <w:rFonts w:cstheme="minorHAnsi"/>
          <w:color w:val="231F20"/>
          <w:w w:val="105"/>
        </w:rPr>
        <w:t>separately,</w:t>
      </w:r>
      <w:r w:rsidRPr="00E06806">
        <w:rPr>
          <w:rFonts w:cstheme="minorHAnsi"/>
          <w:color w:val="231F20"/>
          <w:spacing w:val="11"/>
          <w:w w:val="105"/>
        </w:rPr>
        <w:t xml:space="preserve"> </w:t>
      </w:r>
      <w:r w:rsidRPr="00E06806">
        <w:rPr>
          <w:rFonts w:cstheme="minorHAnsi"/>
          <w:color w:val="231F20"/>
          <w:w w:val="105"/>
        </w:rPr>
        <w:t>in</w:t>
      </w:r>
      <w:r w:rsidRPr="00E06806">
        <w:rPr>
          <w:rFonts w:cstheme="minorHAnsi"/>
          <w:color w:val="231F20"/>
          <w:spacing w:val="11"/>
          <w:w w:val="105"/>
        </w:rPr>
        <w:t xml:space="preserve"> </w:t>
      </w:r>
      <w:r w:rsidRPr="00E06806">
        <w:rPr>
          <w:rFonts w:cstheme="minorHAnsi"/>
          <w:color w:val="231F20"/>
          <w:w w:val="105"/>
        </w:rPr>
        <w:t>person</w:t>
      </w:r>
      <w:r w:rsidRPr="00E06806">
        <w:rPr>
          <w:rFonts w:cstheme="minorHAnsi"/>
          <w:color w:val="231F20"/>
          <w:spacing w:val="11"/>
          <w:w w:val="105"/>
        </w:rPr>
        <w:t xml:space="preserve"> </w:t>
      </w:r>
      <w:r w:rsidRPr="00E06806">
        <w:rPr>
          <w:rFonts w:cstheme="minorHAnsi"/>
          <w:color w:val="231F20"/>
          <w:w w:val="105"/>
        </w:rPr>
        <w:t>or</w:t>
      </w:r>
      <w:r w:rsidRPr="00E06806">
        <w:rPr>
          <w:rFonts w:cstheme="minorHAnsi"/>
          <w:color w:val="231F20"/>
          <w:spacing w:val="11"/>
          <w:w w:val="105"/>
        </w:rPr>
        <w:t xml:space="preserve"> </w:t>
      </w:r>
      <w:r w:rsidRPr="00E06806">
        <w:rPr>
          <w:rFonts w:cstheme="minorHAnsi"/>
          <w:color w:val="231F20"/>
          <w:w w:val="105"/>
        </w:rPr>
        <w:t>by</w:t>
      </w:r>
      <w:r w:rsidRPr="00E06806">
        <w:rPr>
          <w:rFonts w:cstheme="minorHAnsi"/>
          <w:color w:val="231F20"/>
          <w:spacing w:val="11"/>
          <w:w w:val="105"/>
        </w:rPr>
        <w:t xml:space="preserve"> </w:t>
      </w:r>
      <w:r w:rsidRPr="00E06806">
        <w:rPr>
          <w:rFonts w:cstheme="minorHAnsi"/>
          <w:color w:val="231F20"/>
          <w:w w:val="105"/>
        </w:rPr>
        <w:t>teleconference,</w:t>
      </w:r>
      <w:r w:rsidRPr="00E06806">
        <w:rPr>
          <w:rFonts w:cstheme="minorHAnsi"/>
          <w:color w:val="231F20"/>
          <w:w w:val="92"/>
        </w:rPr>
        <w:t xml:space="preserve"> </w:t>
      </w:r>
      <w:r w:rsidRPr="00E06806">
        <w:rPr>
          <w:rFonts w:cstheme="minorHAnsi"/>
          <w:color w:val="231F20"/>
          <w:w w:val="105"/>
        </w:rPr>
        <w:t>as</w:t>
      </w:r>
      <w:r w:rsidRPr="00E06806">
        <w:rPr>
          <w:rFonts w:cstheme="minorHAnsi"/>
          <w:color w:val="231F20"/>
          <w:spacing w:val="14"/>
          <w:w w:val="105"/>
        </w:rPr>
        <w:t xml:space="preserve"> </w:t>
      </w:r>
      <w:r w:rsidRPr="00E06806">
        <w:rPr>
          <w:rFonts w:cstheme="minorHAnsi"/>
          <w:color w:val="231F20"/>
          <w:w w:val="105"/>
        </w:rPr>
        <w:t>scheduled</w:t>
      </w:r>
      <w:r w:rsidRPr="00E06806">
        <w:rPr>
          <w:rFonts w:cstheme="minorHAnsi"/>
          <w:color w:val="231F20"/>
          <w:spacing w:val="14"/>
          <w:w w:val="105"/>
        </w:rPr>
        <w:t xml:space="preserve"> </w:t>
      </w:r>
      <w:r w:rsidRPr="00E06806">
        <w:rPr>
          <w:rFonts w:cstheme="minorHAnsi"/>
          <w:color w:val="231F20"/>
          <w:w w:val="105"/>
        </w:rPr>
        <w:t>and/or</w:t>
      </w:r>
      <w:r w:rsidRPr="00E06806">
        <w:rPr>
          <w:rFonts w:cstheme="minorHAnsi"/>
          <w:color w:val="231F20"/>
          <w:spacing w:val="14"/>
          <w:w w:val="105"/>
        </w:rPr>
        <w:t xml:space="preserve"> </w:t>
      </w:r>
      <w:r w:rsidRPr="00E06806">
        <w:rPr>
          <w:rFonts w:cstheme="minorHAnsi"/>
          <w:color w:val="231F20"/>
          <w:w w:val="105"/>
        </w:rPr>
        <w:t>at</w:t>
      </w:r>
      <w:r w:rsidRPr="00E06806">
        <w:rPr>
          <w:rFonts w:cstheme="minorHAnsi"/>
          <w:color w:val="231F20"/>
          <w:spacing w:val="14"/>
          <w:w w:val="105"/>
        </w:rPr>
        <w:t xml:space="preserve"> </w:t>
      </w:r>
      <w:r w:rsidRPr="00E06806">
        <w:rPr>
          <w:rFonts w:cstheme="minorHAnsi"/>
          <w:color w:val="231F20"/>
          <w:w w:val="105"/>
        </w:rPr>
        <w:t>the</w:t>
      </w:r>
      <w:r w:rsidRPr="00E06806">
        <w:rPr>
          <w:rFonts w:cstheme="minorHAnsi"/>
          <w:color w:val="231F20"/>
          <w:spacing w:val="14"/>
          <w:w w:val="105"/>
        </w:rPr>
        <w:t xml:space="preserve"> </w:t>
      </w:r>
      <w:r w:rsidRPr="00E06806">
        <w:rPr>
          <w:rFonts w:cstheme="minorHAnsi"/>
          <w:color w:val="231F20"/>
          <w:w w:val="105"/>
        </w:rPr>
        <w:t>request</w:t>
      </w:r>
      <w:r w:rsidRPr="00E06806">
        <w:rPr>
          <w:rFonts w:cstheme="minorHAnsi"/>
          <w:color w:val="231F20"/>
          <w:spacing w:val="14"/>
          <w:w w:val="105"/>
        </w:rPr>
        <w:t xml:space="preserve"> </w:t>
      </w:r>
      <w:r w:rsidRPr="00E06806">
        <w:rPr>
          <w:rFonts w:cstheme="minorHAnsi"/>
          <w:color w:val="231F20"/>
          <w:w w:val="105"/>
        </w:rPr>
        <w:t>of</w:t>
      </w:r>
      <w:r w:rsidRPr="00E06806">
        <w:rPr>
          <w:rFonts w:cstheme="minorHAnsi"/>
          <w:color w:val="231F20"/>
          <w:spacing w:val="14"/>
          <w:w w:val="105"/>
        </w:rPr>
        <w:t xml:space="preserve"> </w:t>
      </w:r>
      <w:r w:rsidRPr="00E06806">
        <w:rPr>
          <w:rFonts w:cstheme="minorHAnsi"/>
          <w:color w:val="231F20"/>
          <w:w w:val="105"/>
        </w:rPr>
        <w:t>the</w:t>
      </w:r>
      <w:r w:rsidRPr="00E06806">
        <w:rPr>
          <w:rFonts w:cstheme="minorHAnsi"/>
          <w:color w:val="231F20"/>
          <w:spacing w:val="14"/>
          <w:w w:val="105"/>
        </w:rPr>
        <w:t xml:space="preserve"> </w:t>
      </w:r>
      <w:r w:rsidRPr="00E06806">
        <w:rPr>
          <w:rFonts w:cstheme="minorHAnsi"/>
          <w:color w:val="231F20"/>
          <w:w w:val="105"/>
        </w:rPr>
        <w:t>Council</w:t>
      </w:r>
      <w:r w:rsidRPr="00E06806">
        <w:rPr>
          <w:rFonts w:cstheme="minorHAnsi"/>
          <w:color w:val="231F20"/>
          <w:spacing w:val="14"/>
          <w:w w:val="105"/>
        </w:rPr>
        <w:t xml:space="preserve"> </w:t>
      </w:r>
      <w:r w:rsidRPr="00E06806">
        <w:rPr>
          <w:rFonts w:cstheme="minorHAnsi"/>
          <w:color w:val="231F20"/>
          <w:w w:val="105"/>
        </w:rPr>
        <w:t>Chairman.</w:t>
      </w:r>
      <w:r w:rsidRPr="00E06806">
        <w:rPr>
          <w:rFonts w:cstheme="minorHAnsi"/>
          <w:color w:val="231F20"/>
          <w:spacing w:val="14"/>
          <w:w w:val="105"/>
        </w:rPr>
        <w:t xml:space="preserve"> </w:t>
      </w:r>
    </w:p>
    <w:p w14:paraId="731C1BA7" w14:textId="455FF9D3" w:rsidR="00EA7458" w:rsidRPr="00A210A1" w:rsidRDefault="00817E2A" w:rsidP="00D63204">
      <w:pPr>
        <w:widowControl w:val="0"/>
        <w:spacing w:before="188" w:after="0" w:line="242" w:lineRule="exact"/>
        <w:ind w:left="107"/>
        <w:rPr>
          <w:rFonts w:cstheme="minorHAnsi"/>
          <w:color w:val="231F20"/>
          <w:w w:val="105"/>
        </w:rPr>
      </w:pPr>
      <w:r w:rsidRPr="00E06806">
        <w:rPr>
          <w:rFonts w:cstheme="minorHAnsi"/>
          <w:color w:val="231F20"/>
          <w:w w:val="105"/>
        </w:rPr>
        <w:t xml:space="preserve">These </w:t>
      </w:r>
      <w:r w:rsidR="00EA7458" w:rsidRPr="00E06806">
        <w:rPr>
          <w:rFonts w:cstheme="minorHAnsi"/>
          <w:color w:val="231F20"/>
          <w:w w:val="105"/>
        </w:rPr>
        <w:t>meetings</w:t>
      </w:r>
      <w:r w:rsidR="00EA7458" w:rsidRPr="00A210A1">
        <w:rPr>
          <w:rFonts w:cstheme="minorHAnsi"/>
          <w:color w:val="231F20"/>
          <w:w w:val="105"/>
        </w:rPr>
        <w:t xml:space="preserve"> </w:t>
      </w:r>
      <w:r w:rsidR="00EA7458" w:rsidRPr="00E06806">
        <w:rPr>
          <w:rFonts w:cstheme="minorHAnsi"/>
          <w:color w:val="231F20"/>
          <w:w w:val="105"/>
        </w:rPr>
        <w:t>provide</w:t>
      </w:r>
      <w:r w:rsidR="00EA7458" w:rsidRPr="00A210A1">
        <w:rPr>
          <w:rFonts w:cstheme="minorHAnsi"/>
          <w:color w:val="231F20"/>
          <w:w w:val="105"/>
        </w:rPr>
        <w:t xml:space="preserve"> </w:t>
      </w:r>
      <w:r w:rsidR="00EA7458" w:rsidRPr="00E06806">
        <w:rPr>
          <w:rFonts w:cstheme="minorHAnsi"/>
          <w:color w:val="231F20"/>
          <w:w w:val="105"/>
        </w:rPr>
        <w:t>opportunities</w:t>
      </w:r>
      <w:r w:rsidR="00EA7458" w:rsidRPr="00A210A1">
        <w:rPr>
          <w:rFonts w:cstheme="minorHAnsi"/>
          <w:color w:val="231F20"/>
          <w:w w:val="105"/>
        </w:rPr>
        <w:t xml:space="preserve"> </w:t>
      </w:r>
      <w:r w:rsidR="00EA7458" w:rsidRPr="00E06806">
        <w:rPr>
          <w:rFonts w:cstheme="minorHAnsi"/>
          <w:color w:val="231F20"/>
          <w:w w:val="105"/>
        </w:rPr>
        <w:t>for</w:t>
      </w:r>
      <w:r w:rsidR="00EA7458" w:rsidRPr="00A210A1">
        <w:rPr>
          <w:rFonts w:cstheme="minorHAnsi"/>
          <w:color w:val="231F20"/>
          <w:w w:val="105"/>
        </w:rPr>
        <w:t xml:space="preserve"> </w:t>
      </w:r>
      <w:r w:rsidR="00EA7458" w:rsidRPr="00E06806">
        <w:rPr>
          <w:rFonts w:cstheme="minorHAnsi"/>
          <w:color w:val="231F20"/>
          <w:w w:val="105"/>
        </w:rPr>
        <w:t>the</w:t>
      </w:r>
      <w:r w:rsidR="00EA7458" w:rsidRPr="00A210A1">
        <w:rPr>
          <w:rFonts w:cstheme="minorHAnsi"/>
          <w:color w:val="231F20"/>
          <w:w w:val="105"/>
        </w:rPr>
        <w:t xml:space="preserve"> </w:t>
      </w:r>
      <w:r w:rsidR="00EA7458" w:rsidRPr="00E06806">
        <w:rPr>
          <w:rFonts w:cstheme="minorHAnsi"/>
          <w:color w:val="231F20"/>
          <w:w w:val="105"/>
        </w:rPr>
        <w:t>Board</w:t>
      </w:r>
      <w:r w:rsidR="00EA7458" w:rsidRPr="00A210A1">
        <w:rPr>
          <w:rFonts w:cstheme="minorHAnsi"/>
          <w:color w:val="231F20"/>
          <w:w w:val="105"/>
        </w:rPr>
        <w:t xml:space="preserve"> </w:t>
      </w:r>
      <w:r w:rsidR="00EA7458" w:rsidRPr="00E06806">
        <w:rPr>
          <w:rFonts w:cstheme="minorHAnsi"/>
          <w:color w:val="231F20"/>
          <w:w w:val="105"/>
        </w:rPr>
        <w:t>of</w:t>
      </w:r>
      <w:r w:rsidR="00EA7458" w:rsidRPr="00A210A1">
        <w:rPr>
          <w:rFonts w:cstheme="minorHAnsi"/>
          <w:color w:val="231F20"/>
          <w:w w:val="105"/>
        </w:rPr>
        <w:t xml:space="preserve"> </w:t>
      </w:r>
      <w:r w:rsidR="00EA7458" w:rsidRPr="00E06806">
        <w:rPr>
          <w:rFonts w:cstheme="minorHAnsi"/>
          <w:color w:val="231F20"/>
          <w:w w:val="105"/>
        </w:rPr>
        <w:t>Directors</w:t>
      </w:r>
      <w:r w:rsidR="00EA7458" w:rsidRPr="00A210A1">
        <w:rPr>
          <w:rFonts w:cstheme="minorHAnsi"/>
          <w:color w:val="231F20"/>
          <w:w w:val="105"/>
        </w:rPr>
        <w:t xml:space="preserve"> </w:t>
      </w:r>
      <w:r w:rsidR="00EA7458" w:rsidRPr="00E06806">
        <w:rPr>
          <w:rFonts w:cstheme="minorHAnsi"/>
          <w:color w:val="231F20"/>
          <w:w w:val="105"/>
        </w:rPr>
        <w:t>to</w:t>
      </w:r>
      <w:r w:rsidR="00EA7458" w:rsidRPr="00A210A1">
        <w:rPr>
          <w:rFonts w:cstheme="minorHAnsi"/>
          <w:color w:val="231F20"/>
          <w:w w:val="105"/>
        </w:rPr>
        <w:t xml:space="preserve"> </w:t>
      </w:r>
      <w:r w:rsidR="00EA7458" w:rsidRPr="00E06806">
        <w:rPr>
          <w:rFonts w:cstheme="minorHAnsi"/>
          <w:color w:val="231F20"/>
          <w:w w:val="105"/>
        </w:rPr>
        <w:t>address</w:t>
      </w:r>
      <w:r w:rsidR="00EA7458" w:rsidRPr="00A210A1">
        <w:rPr>
          <w:rFonts w:cstheme="minorHAnsi"/>
          <w:color w:val="231F20"/>
          <w:w w:val="105"/>
        </w:rPr>
        <w:t xml:space="preserve"> </w:t>
      </w:r>
      <w:r w:rsidR="00EA7458" w:rsidRPr="00E06806">
        <w:rPr>
          <w:rFonts w:cstheme="minorHAnsi"/>
          <w:color w:val="231F20"/>
          <w:w w:val="105"/>
        </w:rPr>
        <w:t>issues</w:t>
      </w:r>
      <w:r w:rsidR="00EA7458" w:rsidRPr="00A210A1">
        <w:rPr>
          <w:rFonts w:cstheme="minorHAnsi"/>
          <w:color w:val="231F20"/>
          <w:w w:val="105"/>
        </w:rPr>
        <w:t xml:space="preserve"> </w:t>
      </w:r>
      <w:r w:rsidR="00EA7458" w:rsidRPr="00E06806">
        <w:rPr>
          <w:rFonts w:cstheme="minorHAnsi"/>
          <w:color w:val="231F20"/>
          <w:w w:val="105"/>
        </w:rPr>
        <w:t>impacting</w:t>
      </w:r>
      <w:r w:rsidR="00EA7458" w:rsidRPr="00A210A1">
        <w:rPr>
          <w:rFonts w:cstheme="minorHAnsi"/>
          <w:color w:val="231F20"/>
          <w:w w:val="105"/>
        </w:rPr>
        <w:t xml:space="preserve"> </w:t>
      </w:r>
      <w:r w:rsidR="00EA7458" w:rsidRPr="00E06806">
        <w:rPr>
          <w:rFonts w:cstheme="minorHAnsi"/>
          <w:color w:val="231F20"/>
          <w:w w:val="105"/>
        </w:rPr>
        <w:t>the</w:t>
      </w:r>
      <w:r w:rsidR="00EA7458" w:rsidRPr="00A210A1">
        <w:rPr>
          <w:rFonts w:cstheme="minorHAnsi"/>
          <w:color w:val="231F20"/>
          <w:w w:val="105"/>
        </w:rPr>
        <w:t xml:space="preserve"> </w:t>
      </w:r>
      <w:r w:rsidR="00EA7458" w:rsidRPr="00E06806">
        <w:rPr>
          <w:rFonts w:cstheme="minorHAnsi"/>
          <w:color w:val="231F20"/>
          <w:w w:val="105"/>
        </w:rPr>
        <w:t>state</w:t>
      </w:r>
      <w:r w:rsidR="00EA7458" w:rsidRPr="00A210A1">
        <w:rPr>
          <w:rFonts w:cstheme="minorHAnsi"/>
          <w:color w:val="231F20"/>
          <w:w w:val="105"/>
        </w:rPr>
        <w:t xml:space="preserve"> </w:t>
      </w:r>
      <w:r w:rsidR="00EA7458" w:rsidRPr="00E06806">
        <w:rPr>
          <w:rFonts w:cstheme="minorHAnsi"/>
          <w:color w:val="231F20"/>
          <w:w w:val="105"/>
        </w:rPr>
        <w:t>network,</w:t>
      </w:r>
      <w:r w:rsidR="00EA7458" w:rsidRPr="00A210A1">
        <w:rPr>
          <w:rFonts w:cstheme="minorHAnsi"/>
          <w:color w:val="231F20"/>
          <w:w w:val="105"/>
        </w:rPr>
        <w:t xml:space="preserve"> </w:t>
      </w:r>
      <w:r w:rsidR="00EA7458" w:rsidRPr="00E06806">
        <w:rPr>
          <w:rFonts w:cstheme="minorHAnsi"/>
          <w:color w:val="231F20"/>
          <w:w w:val="105"/>
        </w:rPr>
        <w:t>guide</w:t>
      </w:r>
      <w:r w:rsidR="00EA7458" w:rsidRPr="00A210A1">
        <w:rPr>
          <w:rFonts w:cstheme="minorHAnsi"/>
          <w:color w:val="231F20"/>
          <w:w w:val="105"/>
        </w:rPr>
        <w:t xml:space="preserve"> </w:t>
      </w:r>
      <w:r w:rsidR="00EA7458" w:rsidRPr="00E06806">
        <w:rPr>
          <w:rFonts w:cstheme="minorHAnsi"/>
          <w:color w:val="231F20"/>
          <w:w w:val="105"/>
        </w:rPr>
        <w:t>and</w:t>
      </w:r>
      <w:r w:rsidR="00EA7458" w:rsidRPr="00A210A1">
        <w:rPr>
          <w:rFonts w:cstheme="minorHAnsi"/>
          <w:color w:val="231F20"/>
          <w:w w:val="105"/>
        </w:rPr>
        <w:t xml:space="preserve"> </w:t>
      </w:r>
      <w:r w:rsidR="00EA7458" w:rsidRPr="00E06806">
        <w:rPr>
          <w:rFonts w:cstheme="minorHAnsi"/>
          <w:color w:val="231F20"/>
          <w:w w:val="105"/>
        </w:rPr>
        <w:t>create</w:t>
      </w:r>
      <w:r w:rsidR="00EA7458" w:rsidRPr="00A210A1">
        <w:rPr>
          <w:rFonts w:cstheme="minorHAnsi"/>
          <w:color w:val="231F20"/>
          <w:w w:val="105"/>
        </w:rPr>
        <w:t xml:space="preserve"> </w:t>
      </w:r>
      <w:r w:rsidRPr="00A210A1">
        <w:rPr>
          <w:rFonts w:cstheme="minorHAnsi"/>
          <w:color w:val="231F20"/>
          <w:w w:val="105"/>
        </w:rPr>
        <w:t xml:space="preserve">strategic </w:t>
      </w:r>
      <w:r w:rsidR="00EA7458" w:rsidRPr="00E06806">
        <w:rPr>
          <w:rFonts w:cstheme="minorHAnsi"/>
          <w:color w:val="231F20"/>
          <w:w w:val="105"/>
        </w:rPr>
        <w:t>policy</w:t>
      </w:r>
      <w:r w:rsidRPr="00E06806">
        <w:rPr>
          <w:rFonts w:cstheme="minorHAnsi"/>
          <w:color w:val="231F20"/>
          <w:w w:val="105"/>
        </w:rPr>
        <w:t>, obtain information about performance</w:t>
      </w:r>
      <w:r w:rsidR="00EA7458" w:rsidRPr="00E06806">
        <w:rPr>
          <w:rFonts w:cstheme="minorHAnsi"/>
          <w:color w:val="231F20"/>
          <w:w w:val="105"/>
        </w:rPr>
        <w:t xml:space="preserve"> and oversee funding initiatives.</w:t>
      </w:r>
    </w:p>
    <w:p w14:paraId="185DCF94" w14:textId="77777777" w:rsidR="00EA7458" w:rsidRPr="00E06806" w:rsidRDefault="00EA7458" w:rsidP="00D63204">
      <w:pPr>
        <w:widowControl w:val="0"/>
        <w:spacing w:before="4" w:after="0" w:line="240" w:lineRule="auto"/>
        <w:ind w:left="107"/>
        <w:rPr>
          <w:rFonts w:cstheme="minorHAnsi"/>
          <w:sz w:val="10"/>
          <w:szCs w:val="10"/>
        </w:rPr>
      </w:pPr>
    </w:p>
    <w:p w14:paraId="7BB03D04" w14:textId="7079E282" w:rsidR="00EA7458" w:rsidRPr="00E06806" w:rsidRDefault="00EA7458" w:rsidP="00D63204">
      <w:pPr>
        <w:widowControl w:val="0"/>
        <w:spacing w:before="58" w:after="0" w:line="264" w:lineRule="exact"/>
        <w:ind w:left="107"/>
        <w:rPr>
          <w:rFonts w:cstheme="minorHAnsi"/>
          <w:sz w:val="16"/>
          <w:szCs w:val="16"/>
        </w:rPr>
      </w:pPr>
      <w:r w:rsidRPr="00E06806">
        <w:rPr>
          <w:rFonts w:cstheme="minorHAnsi"/>
          <w:color w:val="231F20"/>
          <w:w w:val="105"/>
        </w:rPr>
        <w:t>By</w:t>
      </w:r>
      <w:r w:rsidRPr="00E06806">
        <w:rPr>
          <w:rFonts w:cstheme="minorHAnsi"/>
          <w:color w:val="231F20"/>
          <w:spacing w:val="13"/>
          <w:w w:val="105"/>
        </w:rPr>
        <w:t xml:space="preserve"> </w:t>
      </w:r>
      <w:r w:rsidRPr="00E06806">
        <w:rPr>
          <w:rFonts w:cstheme="minorHAnsi"/>
          <w:color w:val="231F20"/>
          <w:spacing w:val="-3"/>
          <w:w w:val="105"/>
        </w:rPr>
        <w:t>law,</w:t>
      </w:r>
      <w:r w:rsidRPr="00E06806">
        <w:rPr>
          <w:rFonts w:cstheme="minorHAnsi"/>
          <w:color w:val="231F20"/>
          <w:spacing w:val="13"/>
          <w:w w:val="105"/>
        </w:rPr>
        <w:t xml:space="preserve"> </w:t>
      </w:r>
      <w:r w:rsidRPr="00E06806">
        <w:rPr>
          <w:rFonts w:cstheme="minorHAnsi"/>
          <w:color w:val="231F20"/>
          <w:w w:val="105"/>
        </w:rPr>
        <w:t>CareerSource</w:t>
      </w:r>
      <w:r w:rsidRPr="00E06806">
        <w:rPr>
          <w:rFonts w:cstheme="minorHAnsi"/>
          <w:color w:val="231F20"/>
          <w:spacing w:val="13"/>
          <w:w w:val="105"/>
        </w:rPr>
        <w:t xml:space="preserve"> </w:t>
      </w:r>
      <w:r w:rsidRPr="00E06806">
        <w:rPr>
          <w:rFonts w:cstheme="minorHAnsi"/>
          <w:color w:val="231F20"/>
          <w:w w:val="105"/>
        </w:rPr>
        <w:t>Florida</w:t>
      </w:r>
      <w:r w:rsidRPr="00E06806">
        <w:rPr>
          <w:rFonts w:cstheme="minorHAnsi"/>
          <w:color w:val="231F20"/>
          <w:spacing w:val="13"/>
          <w:w w:val="105"/>
        </w:rPr>
        <w:t xml:space="preserve"> </w:t>
      </w:r>
      <w:r w:rsidRPr="00E06806">
        <w:rPr>
          <w:rFonts w:cstheme="minorHAnsi"/>
          <w:color w:val="231F20"/>
          <w:w w:val="105"/>
        </w:rPr>
        <w:t>is</w:t>
      </w:r>
      <w:r w:rsidRPr="00E06806">
        <w:rPr>
          <w:rFonts w:cstheme="minorHAnsi"/>
          <w:color w:val="231F20"/>
          <w:spacing w:val="13"/>
          <w:w w:val="105"/>
        </w:rPr>
        <w:t xml:space="preserve"> </w:t>
      </w:r>
      <w:r w:rsidRPr="00E06806">
        <w:rPr>
          <w:rFonts w:cstheme="minorHAnsi"/>
          <w:color w:val="231F20"/>
          <w:w w:val="105"/>
        </w:rPr>
        <w:t>the</w:t>
      </w:r>
      <w:r w:rsidRPr="00E06806">
        <w:rPr>
          <w:rFonts w:cstheme="minorHAnsi"/>
          <w:color w:val="231F20"/>
          <w:spacing w:val="13"/>
          <w:w w:val="105"/>
        </w:rPr>
        <w:t xml:space="preserve"> </w:t>
      </w:r>
      <w:r w:rsidRPr="00E06806">
        <w:rPr>
          <w:rFonts w:cstheme="minorHAnsi"/>
          <w:color w:val="231F20"/>
          <w:w w:val="105"/>
        </w:rPr>
        <w:t>statewide</w:t>
      </w:r>
      <w:r w:rsidRPr="00E06806">
        <w:rPr>
          <w:rFonts w:cstheme="minorHAnsi"/>
          <w:color w:val="231F20"/>
          <w:spacing w:val="13"/>
          <w:w w:val="105"/>
        </w:rPr>
        <w:t xml:space="preserve"> </w:t>
      </w:r>
      <w:r w:rsidRPr="00E06806">
        <w:rPr>
          <w:rFonts w:cstheme="minorHAnsi"/>
          <w:color w:val="231F20"/>
          <w:w w:val="105"/>
        </w:rPr>
        <w:t>Workforce</w:t>
      </w:r>
      <w:r w:rsidRPr="00E06806">
        <w:rPr>
          <w:rFonts w:cstheme="minorHAnsi"/>
          <w:color w:val="231F20"/>
          <w:spacing w:val="13"/>
          <w:w w:val="105"/>
        </w:rPr>
        <w:t xml:space="preserve"> </w:t>
      </w:r>
      <w:r w:rsidRPr="00E06806">
        <w:rPr>
          <w:rFonts w:cstheme="minorHAnsi"/>
          <w:color w:val="231F20"/>
          <w:w w:val="105"/>
        </w:rPr>
        <w:t>Investment</w:t>
      </w:r>
      <w:r w:rsidRPr="00E06806">
        <w:rPr>
          <w:rFonts w:cstheme="minorHAnsi"/>
          <w:color w:val="231F20"/>
          <w:spacing w:val="13"/>
          <w:w w:val="105"/>
        </w:rPr>
        <w:t xml:space="preserve"> </w:t>
      </w:r>
      <w:r w:rsidRPr="00E06806">
        <w:rPr>
          <w:rFonts w:cstheme="minorHAnsi"/>
          <w:color w:val="231F20"/>
          <w:w w:val="105"/>
        </w:rPr>
        <w:t>Board</w:t>
      </w:r>
      <w:r w:rsidRPr="00E06806">
        <w:rPr>
          <w:rFonts w:cstheme="minorHAnsi"/>
          <w:color w:val="231F20"/>
          <w:spacing w:val="13"/>
          <w:w w:val="105"/>
        </w:rPr>
        <w:t xml:space="preserve"> </w:t>
      </w:r>
      <w:r w:rsidRPr="00E06806">
        <w:rPr>
          <w:rFonts w:cstheme="minorHAnsi"/>
          <w:color w:val="231F20"/>
          <w:w w:val="105"/>
        </w:rPr>
        <w:t>charged</w:t>
      </w:r>
      <w:r w:rsidRPr="00E06806">
        <w:rPr>
          <w:rFonts w:cstheme="minorHAnsi"/>
          <w:color w:val="231F20"/>
          <w:spacing w:val="13"/>
          <w:w w:val="105"/>
        </w:rPr>
        <w:t xml:space="preserve"> </w:t>
      </w:r>
      <w:r w:rsidRPr="00E06806">
        <w:rPr>
          <w:rFonts w:cstheme="minorHAnsi"/>
          <w:color w:val="231F20"/>
          <w:w w:val="105"/>
        </w:rPr>
        <w:t>with</w:t>
      </w:r>
      <w:r w:rsidRPr="00E06806">
        <w:rPr>
          <w:rFonts w:cstheme="minorHAnsi"/>
          <w:color w:val="231F20"/>
          <w:spacing w:val="13"/>
          <w:w w:val="105"/>
        </w:rPr>
        <w:t xml:space="preserve"> </w:t>
      </w:r>
      <w:r w:rsidRPr="00E06806">
        <w:rPr>
          <w:rFonts w:cstheme="minorHAnsi"/>
          <w:color w:val="231F20"/>
          <w:w w:val="105"/>
        </w:rPr>
        <w:t>policy</w:t>
      </w:r>
      <w:r w:rsidRPr="00E06806">
        <w:rPr>
          <w:rFonts w:cstheme="minorHAnsi"/>
          <w:color w:val="231F20"/>
          <w:spacing w:val="13"/>
          <w:w w:val="105"/>
        </w:rPr>
        <w:t xml:space="preserve"> </w:t>
      </w:r>
      <w:r w:rsidRPr="00E06806">
        <w:rPr>
          <w:rFonts w:cstheme="minorHAnsi"/>
          <w:color w:val="231F20"/>
          <w:w w:val="105"/>
        </w:rPr>
        <w:t>setting</w:t>
      </w:r>
      <w:r w:rsidRPr="00E06806">
        <w:rPr>
          <w:rFonts w:cstheme="minorHAnsi"/>
          <w:color w:val="231F20"/>
          <w:spacing w:val="-7"/>
          <w:w w:val="105"/>
        </w:rPr>
        <w:t xml:space="preserve"> </w:t>
      </w:r>
      <w:r w:rsidRPr="00E06806">
        <w:rPr>
          <w:rFonts w:cstheme="minorHAnsi"/>
          <w:color w:val="231F20"/>
          <w:w w:val="105"/>
        </w:rPr>
        <w:t>and</w:t>
      </w:r>
      <w:r w:rsidRPr="00E06806">
        <w:rPr>
          <w:rFonts w:cstheme="minorHAnsi"/>
          <w:color w:val="231F20"/>
          <w:spacing w:val="15"/>
          <w:w w:val="105"/>
        </w:rPr>
        <w:t xml:space="preserve"> </w:t>
      </w:r>
      <w:r w:rsidRPr="00E06806">
        <w:rPr>
          <w:rFonts w:cstheme="minorHAnsi"/>
          <w:color w:val="231F20"/>
          <w:w w:val="105"/>
        </w:rPr>
        <w:t>oversight</w:t>
      </w:r>
      <w:r w:rsidRPr="00E06806">
        <w:rPr>
          <w:rFonts w:cstheme="minorHAnsi"/>
          <w:color w:val="231F20"/>
          <w:spacing w:val="15"/>
          <w:w w:val="105"/>
        </w:rPr>
        <w:t xml:space="preserve"> </w:t>
      </w:r>
      <w:r w:rsidRPr="00E06806">
        <w:rPr>
          <w:rFonts w:cstheme="minorHAnsi"/>
          <w:color w:val="231F20"/>
          <w:w w:val="105"/>
        </w:rPr>
        <w:t>of</w:t>
      </w:r>
      <w:r w:rsidRPr="00E06806">
        <w:rPr>
          <w:rFonts w:cstheme="minorHAnsi"/>
          <w:color w:val="231F20"/>
          <w:spacing w:val="15"/>
          <w:w w:val="105"/>
        </w:rPr>
        <w:t xml:space="preserve"> </w:t>
      </w:r>
      <w:r w:rsidRPr="00E06806">
        <w:rPr>
          <w:rFonts w:cstheme="minorHAnsi"/>
          <w:color w:val="231F20"/>
          <w:w w:val="105"/>
        </w:rPr>
        <w:t>the</w:t>
      </w:r>
      <w:r w:rsidRPr="00E06806">
        <w:rPr>
          <w:rFonts w:cstheme="minorHAnsi"/>
          <w:color w:val="231F20"/>
          <w:spacing w:val="15"/>
          <w:w w:val="105"/>
        </w:rPr>
        <w:t xml:space="preserve"> </w:t>
      </w:r>
      <w:r w:rsidRPr="00E06806">
        <w:rPr>
          <w:rFonts w:cstheme="minorHAnsi"/>
          <w:color w:val="231F20"/>
          <w:w w:val="105"/>
        </w:rPr>
        <w:t>workforce</w:t>
      </w:r>
      <w:r w:rsidRPr="00E06806">
        <w:rPr>
          <w:rFonts w:cstheme="minorHAnsi"/>
          <w:color w:val="231F20"/>
          <w:spacing w:val="15"/>
          <w:w w:val="105"/>
        </w:rPr>
        <w:t xml:space="preserve"> </w:t>
      </w:r>
      <w:r w:rsidRPr="00E06806">
        <w:rPr>
          <w:rFonts w:cstheme="minorHAnsi"/>
          <w:color w:val="231F20"/>
          <w:w w:val="105"/>
        </w:rPr>
        <w:t>system.</w:t>
      </w:r>
      <w:r w:rsidRPr="00E06806">
        <w:rPr>
          <w:rFonts w:cstheme="minorHAnsi"/>
          <w:color w:val="231F20"/>
          <w:spacing w:val="15"/>
          <w:w w:val="105"/>
        </w:rPr>
        <w:t xml:space="preserve"> </w:t>
      </w:r>
      <w:r w:rsidR="00817E2A" w:rsidRPr="00E06806">
        <w:rPr>
          <w:rFonts w:cstheme="minorHAnsi"/>
          <w:color w:val="231F20"/>
          <w:w w:val="105"/>
        </w:rPr>
        <w:t>Chapter 445.004, Florida Statutes</w:t>
      </w:r>
      <w:r w:rsidR="005660E3">
        <w:rPr>
          <w:rFonts w:cstheme="minorHAnsi"/>
          <w:color w:val="231F20"/>
          <w:w w:val="105"/>
        </w:rPr>
        <w:t>,</w:t>
      </w:r>
      <w:r w:rsidR="00817E2A" w:rsidRPr="00E06806">
        <w:rPr>
          <w:rFonts w:cstheme="minorHAnsi"/>
          <w:color w:val="231F20"/>
          <w:w w:val="105"/>
        </w:rPr>
        <w:t xml:space="preserve"> </w:t>
      </w:r>
      <w:r w:rsidRPr="00E06806">
        <w:rPr>
          <w:rFonts w:cstheme="minorHAnsi"/>
          <w:color w:val="231F20"/>
          <w:w w:val="105"/>
        </w:rPr>
        <w:t>defines</w:t>
      </w:r>
      <w:r w:rsidRPr="00E06806">
        <w:rPr>
          <w:rFonts w:cstheme="minorHAnsi"/>
          <w:color w:val="231F20"/>
          <w:spacing w:val="15"/>
          <w:w w:val="105"/>
        </w:rPr>
        <w:t xml:space="preserve"> </w:t>
      </w:r>
      <w:r w:rsidRPr="00E06806">
        <w:rPr>
          <w:rFonts w:cstheme="minorHAnsi"/>
          <w:color w:val="231F20"/>
          <w:w w:val="105"/>
        </w:rPr>
        <w:t>CareerSource</w:t>
      </w:r>
      <w:r w:rsidRPr="00E06806">
        <w:rPr>
          <w:rFonts w:cstheme="minorHAnsi"/>
          <w:color w:val="231F20"/>
          <w:spacing w:val="15"/>
          <w:w w:val="105"/>
        </w:rPr>
        <w:t xml:space="preserve"> </w:t>
      </w:r>
      <w:r w:rsidRPr="00E06806">
        <w:rPr>
          <w:rFonts w:cstheme="minorHAnsi"/>
          <w:color w:val="231F20"/>
          <w:w w:val="105"/>
        </w:rPr>
        <w:t>Florida’s</w:t>
      </w:r>
      <w:r w:rsidRPr="00E06806">
        <w:rPr>
          <w:rFonts w:cstheme="minorHAnsi"/>
          <w:color w:val="231F20"/>
          <w:spacing w:val="15"/>
          <w:w w:val="105"/>
        </w:rPr>
        <w:t xml:space="preserve"> </w:t>
      </w:r>
      <w:r w:rsidRPr="00E06806">
        <w:rPr>
          <w:rFonts w:cstheme="minorHAnsi"/>
          <w:color w:val="231F20"/>
          <w:w w:val="105"/>
        </w:rPr>
        <w:t>purpose</w:t>
      </w:r>
      <w:r w:rsidRPr="00E06806">
        <w:rPr>
          <w:rFonts w:cstheme="minorHAnsi"/>
          <w:color w:val="231F20"/>
          <w:spacing w:val="15"/>
          <w:w w:val="105"/>
        </w:rPr>
        <w:t xml:space="preserve"> </w:t>
      </w:r>
      <w:r w:rsidRPr="00E06806">
        <w:rPr>
          <w:rFonts w:cstheme="minorHAnsi"/>
          <w:color w:val="231F20"/>
          <w:w w:val="105"/>
        </w:rPr>
        <w:t>of</w:t>
      </w:r>
      <w:r w:rsidRPr="00E06806">
        <w:rPr>
          <w:rFonts w:cstheme="minorHAnsi"/>
          <w:color w:val="231F20"/>
          <w:spacing w:val="-5"/>
          <w:w w:val="105"/>
        </w:rPr>
        <w:t xml:space="preserve"> </w:t>
      </w:r>
      <w:r w:rsidRPr="00E06806">
        <w:rPr>
          <w:rFonts w:cstheme="minorHAnsi"/>
          <w:color w:val="231F20"/>
          <w:w w:val="105"/>
        </w:rPr>
        <w:t>designing</w:t>
      </w:r>
      <w:r w:rsidRPr="00E06806">
        <w:rPr>
          <w:rFonts w:cstheme="minorHAnsi"/>
          <w:color w:val="231F20"/>
          <w:spacing w:val="14"/>
          <w:w w:val="105"/>
        </w:rPr>
        <w:t xml:space="preserve"> </w:t>
      </w:r>
      <w:r w:rsidRPr="00E06806">
        <w:rPr>
          <w:rFonts w:cstheme="minorHAnsi"/>
          <w:color w:val="231F20"/>
          <w:w w:val="105"/>
        </w:rPr>
        <w:t>and</w:t>
      </w:r>
      <w:r w:rsidRPr="00E06806">
        <w:rPr>
          <w:rFonts w:cstheme="minorHAnsi"/>
          <w:color w:val="231F20"/>
          <w:spacing w:val="14"/>
          <w:w w:val="105"/>
        </w:rPr>
        <w:t xml:space="preserve"> </w:t>
      </w:r>
      <w:r w:rsidRPr="00E06806">
        <w:rPr>
          <w:rFonts w:cstheme="minorHAnsi"/>
          <w:color w:val="231F20"/>
          <w:w w:val="105"/>
        </w:rPr>
        <w:t>implementing</w:t>
      </w:r>
      <w:r w:rsidRPr="00E06806">
        <w:rPr>
          <w:rFonts w:cstheme="minorHAnsi"/>
          <w:color w:val="231F20"/>
          <w:spacing w:val="14"/>
          <w:w w:val="105"/>
        </w:rPr>
        <w:t xml:space="preserve"> </w:t>
      </w:r>
      <w:r w:rsidRPr="00E06806">
        <w:rPr>
          <w:rFonts w:cstheme="minorHAnsi"/>
          <w:color w:val="231F20"/>
          <w:w w:val="105"/>
        </w:rPr>
        <w:t>strategies</w:t>
      </w:r>
      <w:r w:rsidRPr="00E06806">
        <w:rPr>
          <w:rFonts w:cstheme="minorHAnsi"/>
          <w:color w:val="231F20"/>
          <w:spacing w:val="14"/>
          <w:w w:val="105"/>
        </w:rPr>
        <w:t xml:space="preserve"> </w:t>
      </w:r>
      <w:r w:rsidRPr="00E06806">
        <w:rPr>
          <w:rFonts w:cstheme="minorHAnsi"/>
          <w:color w:val="231F20"/>
          <w:w w:val="105"/>
        </w:rPr>
        <w:t>that</w:t>
      </w:r>
      <w:r w:rsidRPr="00E06806">
        <w:rPr>
          <w:rFonts w:cstheme="minorHAnsi"/>
          <w:color w:val="231F20"/>
          <w:spacing w:val="14"/>
          <w:w w:val="105"/>
        </w:rPr>
        <w:t xml:space="preserve"> </w:t>
      </w:r>
      <w:r w:rsidRPr="00E06806">
        <w:rPr>
          <w:rFonts w:cstheme="minorHAnsi"/>
          <w:color w:val="231F20"/>
          <w:w w:val="105"/>
        </w:rPr>
        <w:t>help</w:t>
      </w:r>
      <w:r w:rsidRPr="00E06806">
        <w:rPr>
          <w:rFonts w:cstheme="minorHAnsi"/>
          <w:color w:val="231F20"/>
          <w:spacing w:val="14"/>
          <w:w w:val="105"/>
        </w:rPr>
        <w:t xml:space="preserve"> </w:t>
      </w:r>
      <w:r w:rsidRPr="00E06806">
        <w:rPr>
          <w:rFonts w:cstheme="minorHAnsi"/>
          <w:color w:val="231F20"/>
          <w:w w:val="105"/>
        </w:rPr>
        <w:t>Floridians</w:t>
      </w:r>
      <w:r w:rsidRPr="00E06806">
        <w:rPr>
          <w:rFonts w:cstheme="minorHAnsi"/>
          <w:color w:val="231F20"/>
          <w:spacing w:val="14"/>
          <w:w w:val="105"/>
        </w:rPr>
        <w:t xml:space="preserve"> </w:t>
      </w:r>
      <w:r w:rsidRPr="00E06806">
        <w:rPr>
          <w:rFonts w:cstheme="minorHAnsi"/>
          <w:color w:val="231F20"/>
          <w:spacing w:val="-4"/>
          <w:w w:val="105"/>
        </w:rPr>
        <w:t>enter,</w:t>
      </w:r>
      <w:r w:rsidRPr="00E06806">
        <w:rPr>
          <w:rFonts w:cstheme="minorHAnsi"/>
          <w:color w:val="231F20"/>
          <w:spacing w:val="14"/>
          <w:w w:val="105"/>
        </w:rPr>
        <w:t xml:space="preserve"> </w:t>
      </w:r>
      <w:r w:rsidRPr="00E06806">
        <w:rPr>
          <w:rFonts w:cstheme="minorHAnsi"/>
          <w:color w:val="231F20"/>
          <w:w w:val="105"/>
        </w:rPr>
        <w:t>remain</w:t>
      </w:r>
      <w:r w:rsidRPr="00E06806">
        <w:rPr>
          <w:rFonts w:cstheme="minorHAnsi"/>
          <w:color w:val="231F20"/>
          <w:spacing w:val="14"/>
          <w:w w:val="105"/>
        </w:rPr>
        <w:t xml:space="preserve"> </w:t>
      </w:r>
      <w:r w:rsidR="00817E2A" w:rsidRPr="00E06806">
        <w:rPr>
          <w:rFonts w:cstheme="minorHAnsi"/>
          <w:color w:val="231F20"/>
          <w:spacing w:val="14"/>
          <w:w w:val="105"/>
        </w:rPr>
        <w:t xml:space="preserve">in </w:t>
      </w:r>
      <w:r w:rsidRPr="00E06806">
        <w:rPr>
          <w:rFonts w:cstheme="minorHAnsi"/>
          <w:color w:val="231F20"/>
          <w:w w:val="105"/>
        </w:rPr>
        <w:t>and</w:t>
      </w:r>
      <w:r w:rsidRPr="00E06806">
        <w:rPr>
          <w:rFonts w:cstheme="minorHAnsi"/>
          <w:color w:val="231F20"/>
          <w:spacing w:val="14"/>
          <w:w w:val="105"/>
        </w:rPr>
        <w:t xml:space="preserve"> </w:t>
      </w:r>
      <w:r w:rsidRPr="00E06806">
        <w:rPr>
          <w:rFonts w:cstheme="minorHAnsi"/>
          <w:color w:val="231F20"/>
          <w:w w:val="105"/>
        </w:rPr>
        <w:t>advance</w:t>
      </w:r>
      <w:r w:rsidRPr="00E06806">
        <w:rPr>
          <w:rFonts w:cstheme="minorHAnsi"/>
          <w:color w:val="231F20"/>
          <w:spacing w:val="14"/>
          <w:w w:val="105"/>
        </w:rPr>
        <w:t xml:space="preserve"> </w:t>
      </w:r>
      <w:r w:rsidRPr="00E06806">
        <w:rPr>
          <w:rFonts w:cstheme="minorHAnsi"/>
          <w:color w:val="231F20"/>
          <w:w w:val="105"/>
        </w:rPr>
        <w:t>in</w:t>
      </w:r>
      <w:r w:rsidRPr="00E06806">
        <w:rPr>
          <w:rFonts w:cstheme="minorHAnsi"/>
          <w:color w:val="231F20"/>
          <w:spacing w:val="14"/>
          <w:w w:val="105"/>
        </w:rPr>
        <w:t xml:space="preserve"> </w:t>
      </w:r>
      <w:r w:rsidRPr="00E06806">
        <w:rPr>
          <w:rFonts w:cstheme="minorHAnsi"/>
          <w:color w:val="231F20"/>
          <w:w w:val="105"/>
        </w:rPr>
        <w:t>the</w:t>
      </w:r>
      <w:r w:rsidRPr="00E06806">
        <w:rPr>
          <w:rFonts w:cstheme="minorHAnsi"/>
          <w:color w:val="231F20"/>
          <w:spacing w:val="14"/>
          <w:w w:val="105"/>
        </w:rPr>
        <w:t xml:space="preserve"> </w:t>
      </w:r>
      <w:r w:rsidRPr="00E06806">
        <w:rPr>
          <w:rFonts w:cstheme="minorHAnsi"/>
          <w:color w:val="231F20"/>
          <w:w w:val="105"/>
        </w:rPr>
        <w:t>workplace.</w:t>
      </w:r>
      <w:r w:rsidRPr="00E06806">
        <w:rPr>
          <w:rFonts w:cstheme="minorHAnsi"/>
          <w:color w:val="231F20"/>
          <w:spacing w:val="-26"/>
          <w:w w:val="105"/>
        </w:rPr>
        <w:t xml:space="preserve"> </w:t>
      </w:r>
      <w:r w:rsidR="00817E2A" w:rsidRPr="00E06806">
        <w:rPr>
          <w:rFonts w:cstheme="minorHAnsi"/>
          <w:color w:val="231F20"/>
          <w:w w:val="105"/>
        </w:rPr>
        <w:t>I</w:t>
      </w:r>
      <w:r w:rsidRPr="00E06806">
        <w:rPr>
          <w:rFonts w:cstheme="minorHAnsi"/>
          <w:color w:val="231F20"/>
          <w:w w:val="105"/>
        </w:rPr>
        <w:t>nformation</w:t>
      </w:r>
      <w:r w:rsidRPr="00E06806">
        <w:rPr>
          <w:rFonts w:cstheme="minorHAnsi"/>
          <w:color w:val="231F20"/>
          <w:w w:val="102"/>
        </w:rPr>
        <w:t xml:space="preserve"> </w:t>
      </w:r>
      <w:r w:rsidR="00817E2A" w:rsidRPr="00E06806">
        <w:rPr>
          <w:rFonts w:cstheme="minorHAnsi"/>
          <w:color w:val="231F20"/>
          <w:w w:val="105"/>
        </w:rPr>
        <w:t xml:space="preserve">about </w:t>
      </w:r>
      <w:r w:rsidRPr="00E06806">
        <w:rPr>
          <w:rFonts w:cstheme="minorHAnsi"/>
          <w:color w:val="231F20"/>
          <w:w w:val="105"/>
        </w:rPr>
        <w:t>the</w:t>
      </w:r>
      <w:r w:rsidRPr="00E06806">
        <w:rPr>
          <w:rFonts w:cstheme="minorHAnsi"/>
          <w:color w:val="231F20"/>
          <w:spacing w:val="7"/>
          <w:w w:val="105"/>
        </w:rPr>
        <w:t xml:space="preserve"> </w:t>
      </w:r>
      <w:r w:rsidRPr="00E06806">
        <w:rPr>
          <w:rFonts w:cstheme="minorHAnsi"/>
          <w:color w:val="231F20"/>
          <w:w w:val="105"/>
        </w:rPr>
        <w:t>role</w:t>
      </w:r>
      <w:r w:rsidRPr="00E06806">
        <w:rPr>
          <w:rFonts w:cstheme="minorHAnsi"/>
          <w:color w:val="231F20"/>
          <w:spacing w:val="7"/>
          <w:w w:val="105"/>
        </w:rPr>
        <w:t xml:space="preserve"> </w:t>
      </w:r>
      <w:r w:rsidRPr="00E06806">
        <w:rPr>
          <w:rFonts w:cstheme="minorHAnsi"/>
          <w:color w:val="231F20"/>
          <w:w w:val="105"/>
        </w:rPr>
        <w:t>of</w:t>
      </w:r>
      <w:r w:rsidRPr="00E06806">
        <w:rPr>
          <w:rFonts w:cstheme="minorHAnsi"/>
          <w:color w:val="231F20"/>
          <w:spacing w:val="7"/>
          <w:w w:val="105"/>
        </w:rPr>
        <w:t xml:space="preserve"> </w:t>
      </w:r>
      <w:r w:rsidRPr="00E06806">
        <w:rPr>
          <w:rFonts w:cstheme="minorHAnsi"/>
          <w:color w:val="231F20"/>
          <w:w w:val="105"/>
        </w:rPr>
        <w:t>each</w:t>
      </w:r>
      <w:r w:rsidRPr="00E06806">
        <w:rPr>
          <w:rFonts w:cstheme="minorHAnsi"/>
          <w:color w:val="231F20"/>
          <w:spacing w:val="7"/>
          <w:w w:val="105"/>
        </w:rPr>
        <w:t xml:space="preserve"> </w:t>
      </w:r>
      <w:r w:rsidRPr="00E06806">
        <w:rPr>
          <w:rFonts w:cstheme="minorHAnsi"/>
          <w:color w:val="231F20"/>
          <w:w w:val="105"/>
        </w:rPr>
        <w:t>council</w:t>
      </w:r>
      <w:r w:rsidRPr="00E06806">
        <w:rPr>
          <w:rFonts w:cstheme="minorHAnsi"/>
          <w:color w:val="231F20"/>
          <w:spacing w:val="7"/>
          <w:w w:val="105"/>
        </w:rPr>
        <w:t xml:space="preserve"> </w:t>
      </w:r>
      <w:r w:rsidRPr="00E06806">
        <w:rPr>
          <w:rFonts w:cstheme="minorHAnsi"/>
          <w:color w:val="231F20"/>
          <w:w w:val="105"/>
        </w:rPr>
        <w:t>and</w:t>
      </w:r>
      <w:r w:rsidRPr="00E06806">
        <w:rPr>
          <w:rFonts w:cstheme="minorHAnsi"/>
          <w:color w:val="231F20"/>
          <w:spacing w:val="7"/>
          <w:w w:val="105"/>
        </w:rPr>
        <w:t xml:space="preserve"> </w:t>
      </w:r>
      <w:r w:rsidRPr="00E06806">
        <w:rPr>
          <w:rFonts w:cstheme="minorHAnsi"/>
          <w:color w:val="231F20"/>
          <w:w w:val="105"/>
        </w:rPr>
        <w:t>the</w:t>
      </w:r>
      <w:r w:rsidRPr="00E06806">
        <w:rPr>
          <w:rFonts w:cstheme="minorHAnsi"/>
          <w:color w:val="231F20"/>
          <w:spacing w:val="7"/>
          <w:w w:val="105"/>
        </w:rPr>
        <w:t xml:space="preserve"> </w:t>
      </w:r>
      <w:r w:rsidRPr="00E06806">
        <w:rPr>
          <w:rFonts w:cstheme="minorHAnsi"/>
          <w:color w:val="231F20"/>
          <w:w w:val="105"/>
        </w:rPr>
        <w:t>executive</w:t>
      </w:r>
      <w:r w:rsidRPr="00E06806">
        <w:rPr>
          <w:rFonts w:cstheme="minorHAnsi"/>
          <w:color w:val="231F20"/>
          <w:spacing w:val="7"/>
          <w:w w:val="105"/>
        </w:rPr>
        <w:t xml:space="preserve"> </w:t>
      </w:r>
      <w:r w:rsidRPr="00E06806">
        <w:rPr>
          <w:rFonts w:cstheme="minorHAnsi"/>
          <w:color w:val="231F20"/>
          <w:w w:val="105"/>
        </w:rPr>
        <w:t>committee</w:t>
      </w:r>
      <w:r w:rsidRPr="00E06806">
        <w:rPr>
          <w:rFonts w:cstheme="minorHAnsi"/>
          <w:color w:val="231F20"/>
          <w:spacing w:val="7"/>
          <w:w w:val="105"/>
        </w:rPr>
        <w:t xml:space="preserve"> </w:t>
      </w:r>
      <w:r w:rsidR="00817E2A" w:rsidRPr="00E06806">
        <w:rPr>
          <w:rFonts w:cstheme="minorHAnsi"/>
          <w:color w:val="231F20"/>
          <w:spacing w:val="7"/>
          <w:w w:val="105"/>
        </w:rPr>
        <w:t>is available</w:t>
      </w:r>
      <w:r w:rsidR="00F07363">
        <w:rPr>
          <w:rFonts w:cstheme="minorHAnsi"/>
          <w:color w:val="231F20"/>
          <w:spacing w:val="7"/>
          <w:w w:val="105"/>
        </w:rPr>
        <w:t>, along with</w:t>
      </w:r>
      <w:r w:rsidR="00817E2A" w:rsidRPr="00E06806">
        <w:rPr>
          <w:rFonts w:cstheme="minorHAnsi"/>
          <w:color w:val="231F20"/>
          <w:spacing w:val="7"/>
          <w:w w:val="105"/>
        </w:rPr>
        <w:t xml:space="preserve"> </w:t>
      </w:r>
      <w:r w:rsidR="00F07363">
        <w:rPr>
          <w:rFonts w:cstheme="minorHAnsi"/>
          <w:color w:val="231F20"/>
          <w:w w:val="105"/>
        </w:rPr>
        <w:t>b</w:t>
      </w:r>
      <w:r w:rsidR="00817E2A" w:rsidRPr="00E06806">
        <w:rPr>
          <w:rFonts w:cstheme="minorHAnsi"/>
          <w:color w:val="231F20"/>
          <w:w w:val="105"/>
        </w:rPr>
        <w:t xml:space="preserve">oard and </w:t>
      </w:r>
      <w:r w:rsidR="00F07363">
        <w:rPr>
          <w:rFonts w:cstheme="minorHAnsi"/>
          <w:color w:val="231F20"/>
          <w:w w:val="105"/>
        </w:rPr>
        <w:t>c</w:t>
      </w:r>
      <w:r w:rsidR="00817E2A" w:rsidRPr="00E06806">
        <w:rPr>
          <w:rFonts w:cstheme="minorHAnsi"/>
          <w:color w:val="231F20"/>
          <w:w w:val="105"/>
        </w:rPr>
        <w:t>ouncil m</w:t>
      </w:r>
      <w:r w:rsidRPr="00E06806">
        <w:rPr>
          <w:rFonts w:cstheme="minorHAnsi"/>
          <w:color w:val="231F20"/>
          <w:w w:val="105"/>
        </w:rPr>
        <w:t>eeting</w:t>
      </w:r>
      <w:r w:rsidR="00F07363">
        <w:rPr>
          <w:rFonts w:cstheme="minorHAnsi"/>
          <w:color w:val="231F20"/>
          <w:w w:val="105"/>
        </w:rPr>
        <w:t xml:space="preserve"> schedules and materials, </w:t>
      </w:r>
      <w:r w:rsidR="00817E2A" w:rsidRPr="00E06806">
        <w:rPr>
          <w:rFonts w:cstheme="minorHAnsi"/>
          <w:color w:val="231F20"/>
          <w:w w:val="105"/>
        </w:rPr>
        <w:t xml:space="preserve">on </w:t>
      </w:r>
      <w:r w:rsidRPr="00E06806">
        <w:rPr>
          <w:rFonts w:cstheme="minorHAnsi"/>
          <w:color w:val="231F20"/>
          <w:w w:val="105"/>
        </w:rPr>
        <w:t xml:space="preserve">the CareerSource Florida website at </w:t>
      </w:r>
      <w:hyperlink r:id="rId124" w:history="1">
        <w:r w:rsidR="000D10BF" w:rsidRPr="00E06806">
          <w:rPr>
            <w:rStyle w:val="Hyperlink"/>
            <w:rFonts w:cstheme="minorHAnsi"/>
          </w:rPr>
          <w:t>https://careersourceflorida.com/boardroom/</w:t>
        </w:r>
      </w:hyperlink>
      <w:r w:rsidRPr="00E06806">
        <w:rPr>
          <w:rFonts w:cstheme="minorHAnsi"/>
          <w:color w:val="231F20"/>
          <w:w w:val="105"/>
        </w:rPr>
        <w:t>.</w:t>
      </w:r>
      <w:r w:rsidR="000D10BF" w:rsidRPr="00E06806">
        <w:rPr>
          <w:rFonts w:cstheme="minorHAnsi"/>
          <w:color w:val="231F20"/>
          <w:w w:val="105"/>
        </w:rPr>
        <w:t xml:space="preserve"> </w:t>
      </w:r>
      <w:r w:rsidR="00A210A1">
        <w:rPr>
          <w:rFonts w:cstheme="minorHAnsi"/>
          <w:color w:val="231F20"/>
          <w:w w:val="105"/>
        </w:rPr>
        <w:br/>
      </w:r>
    </w:p>
    <w:p w14:paraId="763C3B6F" w14:textId="77777777" w:rsidR="00A210A1" w:rsidRDefault="00EA7458" w:rsidP="00D63204">
      <w:pPr>
        <w:pStyle w:val="ListParagraph"/>
        <w:widowControl w:val="0"/>
        <w:numPr>
          <w:ilvl w:val="2"/>
          <w:numId w:val="6"/>
        </w:numPr>
        <w:tabs>
          <w:tab w:val="left" w:pos="1548"/>
        </w:tabs>
        <w:spacing w:after="0" w:line="240" w:lineRule="auto"/>
        <w:outlineLvl w:val="2"/>
        <w:rPr>
          <w:rFonts w:cstheme="minorHAnsi"/>
          <w:b/>
          <w:bCs/>
          <w:color w:val="295CA3"/>
          <w:w w:val="110"/>
        </w:rPr>
      </w:pPr>
      <w:r w:rsidRPr="00A210A1">
        <w:rPr>
          <w:rFonts w:cstheme="minorHAnsi"/>
          <w:b/>
          <w:bCs/>
          <w:color w:val="295CA3"/>
          <w:w w:val="110"/>
        </w:rPr>
        <w:t>Assessment of Programs and One-Stop Program</w:t>
      </w:r>
      <w:r w:rsidRPr="00A210A1">
        <w:rPr>
          <w:rFonts w:cstheme="minorHAnsi"/>
          <w:b/>
          <w:bCs/>
          <w:color w:val="295CA3"/>
          <w:spacing w:val="4"/>
          <w:w w:val="110"/>
        </w:rPr>
        <w:t xml:space="preserve"> </w:t>
      </w:r>
      <w:r w:rsidRPr="00A210A1">
        <w:rPr>
          <w:rFonts w:cstheme="minorHAnsi"/>
          <w:b/>
          <w:bCs/>
          <w:color w:val="295CA3"/>
          <w:w w:val="110"/>
        </w:rPr>
        <w:t>Partners</w:t>
      </w:r>
    </w:p>
    <w:p w14:paraId="3743DD35" w14:textId="7FA1A402" w:rsidR="00A210A1" w:rsidRDefault="00A210A1" w:rsidP="00D63204">
      <w:pPr>
        <w:pStyle w:val="ListParagraph"/>
        <w:widowControl w:val="0"/>
        <w:tabs>
          <w:tab w:val="left" w:pos="1548"/>
        </w:tabs>
        <w:spacing w:after="0" w:line="240" w:lineRule="auto"/>
        <w:ind w:left="2267"/>
        <w:outlineLvl w:val="2"/>
        <w:rPr>
          <w:rFonts w:cstheme="minorHAnsi"/>
          <w:b/>
          <w:bCs/>
          <w:color w:val="295CA3"/>
          <w:w w:val="110"/>
        </w:rPr>
      </w:pPr>
    </w:p>
    <w:p w14:paraId="2FE2480A" w14:textId="6CEE3A33" w:rsidR="00EA7458" w:rsidRPr="00A210A1" w:rsidRDefault="00EA7458" w:rsidP="00D63204">
      <w:pPr>
        <w:pStyle w:val="ListParagraph"/>
        <w:widowControl w:val="0"/>
        <w:numPr>
          <w:ilvl w:val="0"/>
          <w:numId w:val="28"/>
        </w:numPr>
        <w:tabs>
          <w:tab w:val="left" w:pos="1548"/>
        </w:tabs>
        <w:spacing w:after="0" w:line="240" w:lineRule="auto"/>
        <w:outlineLvl w:val="2"/>
        <w:rPr>
          <w:rFonts w:cstheme="minorHAnsi"/>
          <w:b/>
          <w:bCs/>
          <w:color w:val="295CA3"/>
          <w:w w:val="110"/>
        </w:rPr>
      </w:pPr>
      <w:r w:rsidRPr="00A210A1">
        <w:rPr>
          <w:rFonts w:cstheme="minorHAnsi"/>
          <w:color w:val="295CA3"/>
          <w:w w:val="110"/>
        </w:rPr>
        <w:t>Assessment of Core</w:t>
      </w:r>
      <w:r w:rsidRPr="00A210A1">
        <w:rPr>
          <w:rFonts w:cstheme="minorHAnsi"/>
          <w:color w:val="295CA3"/>
          <w:spacing w:val="5"/>
          <w:w w:val="110"/>
        </w:rPr>
        <w:t xml:space="preserve"> </w:t>
      </w:r>
      <w:r w:rsidRPr="00A210A1">
        <w:rPr>
          <w:rFonts w:cstheme="minorHAnsi"/>
          <w:color w:val="295CA3"/>
          <w:w w:val="110"/>
        </w:rPr>
        <w:t>Programs</w:t>
      </w:r>
    </w:p>
    <w:p w14:paraId="0B4D5FDC" w14:textId="74AB79FF" w:rsidR="00BE609D" w:rsidRPr="00BE609D" w:rsidRDefault="00BE609D" w:rsidP="00D63204">
      <w:pPr>
        <w:widowControl w:val="0"/>
        <w:spacing w:before="193" w:after="0" w:line="240" w:lineRule="auto"/>
        <w:ind w:left="90"/>
        <w:rPr>
          <w:rFonts w:cstheme="minorHAnsi"/>
        </w:rPr>
      </w:pPr>
      <w:r w:rsidRPr="00BE609D">
        <w:rPr>
          <w:rFonts w:cstheme="minorHAnsi"/>
          <w:color w:val="231F20"/>
          <w:w w:val="105"/>
        </w:rPr>
        <w:t>Core</w:t>
      </w:r>
      <w:r w:rsidRPr="00BE609D">
        <w:rPr>
          <w:rFonts w:cstheme="minorHAnsi"/>
          <w:color w:val="231F20"/>
          <w:spacing w:val="20"/>
          <w:w w:val="105"/>
        </w:rPr>
        <w:t xml:space="preserve"> </w:t>
      </w:r>
      <w:r w:rsidRPr="00BE609D">
        <w:rPr>
          <w:rFonts w:cstheme="minorHAnsi"/>
          <w:color w:val="231F20"/>
          <w:w w:val="105"/>
        </w:rPr>
        <w:t>programs</w:t>
      </w:r>
      <w:r w:rsidRPr="00BE609D">
        <w:rPr>
          <w:rFonts w:cstheme="minorHAnsi"/>
          <w:color w:val="231F20"/>
          <w:spacing w:val="20"/>
          <w:w w:val="105"/>
        </w:rPr>
        <w:t xml:space="preserve"> </w:t>
      </w:r>
      <w:r w:rsidRPr="00BE609D">
        <w:rPr>
          <w:rFonts w:cstheme="minorHAnsi"/>
          <w:color w:val="231F20"/>
          <w:w w:val="105"/>
        </w:rPr>
        <w:t>are assessed</w:t>
      </w:r>
      <w:r w:rsidRPr="00BE609D">
        <w:rPr>
          <w:rFonts w:cstheme="minorHAnsi"/>
          <w:color w:val="231F20"/>
          <w:spacing w:val="20"/>
          <w:w w:val="105"/>
        </w:rPr>
        <w:t xml:space="preserve"> </w:t>
      </w:r>
      <w:r w:rsidRPr="00BE609D">
        <w:rPr>
          <w:rFonts w:cstheme="minorHAnsi"/>
          <w:color w:val="231F20"/>
          <w:w w:val="105"/>
        </w:rPr>
        <w:t>each</w:t>
      </w:r>
      <w:r w:rsidRPr="00BE609D">
        <w:rPr>
          <w:rFonts w:cstheme="minorHAnsi"/>
          <w:color w:val="231F20"/>
          <w:spacing w:val="20"/>
          <w:w w:val="105"/>
        </w:rPr>
        <w:t xml:space="preserve"> </w:t>
      </w:r>
      <w:r w:rsidRPr="00BE609D">
        <w:rPr>
          <w:rFonts w:cstheme="minorHAnsi"/>
          <w:color w:val="231F20"/>
          <w:w w:val="105"/>
        </w:rPr>
        <w:t>year</w:t>
      </w:r>
      <w:r w:rsidRPr="00BE609D">
        <w:rPr>
          <w:rFonts w:cstheme="minorHAnsi"/>
          <w:color w:val="231F20"/>
          <w:spacing w:val="20"/>
          <w:w w:val="105"/>
        </w:rPr>
        <w:t xml:space="preserve"> </w:t>
      </w:r>
      <w:r w:rsidRPr="00BE609D">
        <w:rPr>
          <w:rFonts w:cstheme="minorHAnsi"/>
          <w:color w:val="231F20"/>
          <w:w w:val="105"/>
        </w:rPr>
        <w:t>based</w:t>
      </w:r>
      <w:r w:rsidRPr="00BE609D">
        <w:rPr>
          <w:rFonts w:cstheme="minorHAnsi"/>
          <w:color w:val="231F20"/>
          <w:spacing w:val="20"/>
          <w:w w:val="105"/>
        </w:rPr>
        <w:t xml:space="preserve"> </w:t>
      </w:r>
      <w:r w:rsidRPr="00BE609D">
        <w:rPr>
          <w:rFonts w:cstheme="minorHAnsi"/>
          <w:color w:val="231F20"/>
          <w:w w:val="105"/>
        </w:rPr>
        <w:t>upon</w:t>
      </w:r>
      <w:r w:rsidRPr="00BE609D">
        <w:rPr>
          <w:rFonts w:cstheme="minorHAnsi"/>
          <w:color w:val="231F20"/>
          <w:spacing w:val="20"/>
          <w:w w:val="105"/>
        </w:rPr>
        <w:t xml:space="preserve"> </w:t>
      </w:r>
      <w:r w:rsidRPr="00BE609D">
        <w:rPr>
          <w:rFonts w:cstheme="minorHAnsi"/>
          <w:color w:val="231F20"/>
          <w:w w:val="105"/>
        </w:rPr>
        <w:t>actual</w:t>
      </w:r>
      <w:r w:rsidRPr="00BE609D">
        <w:rPr>
          <w:rFonts w:cstheme="minorHAnsi"/>
          <w:color w:val="231F20"/>
          <w:spacing w:val="20"/>
          <w:w w:val="105"/>
        </w:rPr>
        <w:t xml:space="preserve"> </w:t>
      </w:r>
      <w:r w:rsidRPr="00BE609D">
        <w:rPr>
          <w:rFonts w:cstheme="minorHAnsi"/>
          <w:color w:val="231F20"/>
          <w:w w:val="105"/>
        </w:rPr>
        <w:t>performance</w:t>
      </w:r>
      <w:r w:rsidRPr="00BE609D">
        <w:rPr>
          <w:rFonts w:cstheme="minorHAnsi"/>
          <w:color w:val="231F20"/>
          <w:spacing w:val="20"/>
          <w:w w:val="105"/>
        </w:rPr>
        <w:t xml:space="preserve"> </w:t>
      </w:r>
      <w:r w:rsidRPr="00BE609D">
        <w:rPr>
          <w:rFonts w:cstheme="minorHAnsi"/>
          <w:color w:val="231F20"/>
          <w:w w:val="105"/>
        </w:rPr>
        <w:t>relative</w:t>
      </w:r>
      <w:r w:rsidRPr="00BE609D">
        <w:rPr>
          <w:rFonts w:cstheme="minorHAnsi"/>
          <w:color w:val="231F20"/>
          <w:spacing w:val="20"/>
          <w:w w:val="105"/>
        </w:rPr>
        <w:t xml:space="preserve"> </w:t>
      </w:r>
      <w:r w:rsidRPr="00BE609D">
        <w:rPr>
          <w:rFonts w:cstheme="minorHAnsi"/>
          <w:color w:val="231F20"/>
          <w:w w:val="105"/>
        </w:rPr>
        <w:t>to</w:t>
      </w:r>
      <w:r w:rsidRPr="00BE609D">
        <w:rPr>
          <w:rFonts w:cstheme="minorHAnsi"/>
          <w:color w:val="231F20"/>
          <w:spacing w:val="20"/>
          <w:w w:val="105"/>
        </w:rPr>
        <w:t xml:space="preserve"> federally required </w:t>
      </w:r>
      <w:r w:rsidRPr="00BE609D">
        <w:rPr>
          <w:rFonts w:cstheme="minorHAnsi"/>
          <w:color w:val="231F20"/>
          <w:w w:val="105"/>
        </w:rPr>
        <w:t>negotiated</w:t>
      </w:r>
      <w:r w:rsidRPr="00BE609D">
        <w:rPr>
          <w:rFonts w:cstheme="minorHAnsi"/>
          <w:color w:val="231F20"/>
          <w:spacing w:val="20"/>
          <w:w w:val="105"/>
        </w:rPr>
        <w:t xml:space="preserve"> </w:t>
      </w:r>
      <w:r w:rsidRPr="00BE609D">
        <w:rPr>
          <w:rFonts w:cstheme="minorHAnsi"/>
          <w:color w:val="231F20"/>
          <w:w w:val="105"/>
        </w:rPr>
        <w:t>levels</w:t>
      </w:r>
      <w:r w:rsidRPr="00B526EA">
        <w:rPr>
          <w:rFonts w:cstheme="minorHAnsi"/>
          <w:color w:val="231F20"/>
          <w:w w:val="105"/>
        </w:rPr>
        <w:t xml:space="preserve"> </w:t>
      </w:r>
      <w:r w:rsidRPr="00BE609D">
        <w:rPr>
          <w:rFonts w:cstheme="minorHAnsi"/>
          <w:color w:val="231F20"/>
          <w:w w:val="105"/>
        </w:rPr>
        <w:t>of</w:t>
      </w:r>
      <w:r w:rsidRPr="00B526EA">
        <w:rPr>
          <w:rFonts w:cstheme="minorHAnsi"/>
          <w:color w:val="231F20"/>
          <w:w w:val="105"/>
        </w:rPr>
        <w:t xml:space="preserve"> </w:t>
      </w:r>
      <w:r w:rsidRPr="00BE609D">
        <w:rPr>
          <w:rFonts w:cstheme="minorHAnsi"/>
          <w:color w:val="231F20"/>
          <w:w w:val="105"/>
        </w:rPr>
        <w:t>performance</w:t>
      </w:r>
      <w:r w:rsidRPr="00B526EA">
        <w:rPr>
          <w:rFonts w:cstheme="minorHAnsi"/>
          <w:color w:val="231F20"/>
          <w:w w:val="105"/>
        </w:rPr>
        <w:t xml:space="preserve"> </w:t>
      </w:r>
      <w:r w:rsidRPr="00BE609D">
        <w:rPr>
          <w:rFonts w:cstheme="minorHAnsi"/>
          <w:color w:val="231F20"/>
          <w:w w:val="105"/>
        </w:rPr>
        <w:t>at</w:t>
      </w:r>
      <w:r w:rsidRPr="00B526EA">
        <w:rPr>
          <w:rFonts w:cstheme="minorHAnsi"/>
          <w:color w:val="231F20"/>
          <w:w w:val="105"/>
        </w:rPr>
        <w:t xml:space="preserve"> </w:t>
      </w:r>
      <w:r w:rsidRPr="00BE609D">
        <w:rPr>
          <w:rFonts w:cstheme="minorHAnsi"/>
          <w:color w:val="231F20"/>
          <w:w w:val="105"/>
        </w:rPr>
        <w:t>the</w:t>
      </w:r>
      <w:r w:rsidRPr="00B526EA">
        <w:rPr>
          <w:rFonts w:cstheme="minorHAnsi"/>
          <w:color w:val="231F20"/>
          <w:w w:val="105"/>
        </w:rPr>
        <w:t xml:space="preserve"> </w:t>
      </w:r>
      <w:r w:rsidRPr="00BE609D">
        <w:rPr>
          <w:rFonts w:cstheme="minorHAnsi"/>
          <w:color w:val="231F20"/>
          <w:w w:val="105"/>
        </w:rPr>
        <w:t>state</w:t>
      </w:r>
      <w:r w:rsidRPr="00BE609D">
        <w:rPr>
          <w:rFonts w:cstheme="minorHAnsi"/>
          <w:color w:val="231F20"/>
          <w:spacing w:val="6"/>
          <w:w w:val="105"/>
        </w:rPr>
        <w:t xml:space="preserve"> </w:t>
      </w:r>
      <w:r w:rsidRPr="00BE609D">
        <w:rPr>
          <w:rFonts w:cstheme="minorHAnsi"/>
          <w:color w:val="231F20"/>
          <w:w w:val="105"/>
        </w:rPr>
        <w:t>and</w:t>
      </w:r>
      <w:r w:rsidRPr="00BE609D">
        <w:rPr>
          <w:rFonts w:cstheme="minorHAnsi"/>
          <w:color w:val="231F20"/>
          <w:spacing w:val="6"/>
          <w:w w:val="105"/>
        </w:rPr>
        <w:t xml:space="preserve"> </w:t>
      </w:r>
      <w:r w:rsidRPr="00BE609D">
        <w:rPr>
          <w:rFonts w:cstheme="minorHAnsi"/>
          <w:color w:val="231F20"/>
          <w:w w:val="105"/>
        </w:rPr>
        <w:t>local</w:t>
      </w:r>
      <w:r w:rsidRPr="00BE609D">
        <w:rPr>
          <w:rFonts w:cstheme="minorHAnsi"/>
          <w:color w:val="231F20"/>
          <w:spacing w:val="6"/>
          <w:w w:val="105"/>
        </w:rPr>
        <w:t xml:space="preserve"> </w:t>
      </w:r>
      <w:r w:rsidRPr="00BE609D">
        <w:rPr>
          <w:rFonts w:cstheme="minorHAnsi"/>
          <w:color w:val="231F20"/>
          <w:w w:val="105"/>
        </w:rPr>
        <w:t>areas.</w:t>
      </w:r>
      <w:r w:rsidRPr="00BE609D">
        <w:rPr>
          <w:rFonts w:cstheme="minorHAnsi"/>
          <w:color w:val="231F20"/>
          <w:spacing w:val="13"/>
          <w:w w:val="105"/>
        </w:rPr>
        <w:t xml:space="preserve"> </w:t>
      </w:r>
      <w:r w:rsidRPr="00BE609D">
        <w:rPr>
          <w:rFonts w:cstheme="minorHAnsi"/>
          <w:color w:val="231F20"/>
          <w:w w:val="105"/>
        </w:rPr>
        <w:t>Using the</w:t>
      </w:r>
      <w:r w:rsidRPr="00BE609D">
        <w:rPr>
          <w:rFonts w:cstheme="minorHAnsi"/>
          <w:color w:val="231F20"/>
          <w:spacing w:val="6"/>
          <w:w w:val="105"/>
        </w:rPr>
        <w:t xml:space="preserve"> </w:t>
      </w:r>
      <w:r w:rsidRPr="00BE609D">
        <w:rPr>
          <w:rFonts w:cstheme="minorHAnsi"/>
          <w:color w:val="231F20"/>
          <w:w w:val="105"/>
        </w:rPr>
        <w:t>Statistical</w:t>
      </w:r>
      <w:r w:rsidRPr="00BE609D">
        <w:rPr>
          <w:rFonts w:cstheme="minorHAnsi"/>
          <w:color w:val="231F20"/>
          <w:spacing w:val="6"/>
          <w:w w:val="105"/>
        </w:rPr>
        <w:t xml:space="preserve"> </w:t>
      </w:r>
      <w:r w:rsidRPr="00BE609D">
        <w:rPr>
          <w:rFonts w:cstheme="minorHAnsi"/>
          <w:color w:val="231F20"/>
          <w:w w:val="105"/>
        </w:rPr>
        <w:t>Adjustment</w:t>
      </w:r>
      <w:r w:rsidRPr="00BE609D">
        <w:rPr>
          <w:rFonts w:cstheme="minorHAnsi"/>
          <w:color w:val="231F20"/>
          <w:spacing w:val="6"/>
          <w:w w:val="105"/>
        </w:rPr>
        <w:t xml:space="preserve"> </w:t>
      </w:r>
      <w:r w:rsidRPr="00BE609D">
        <w:rPr>
          <w:rFonts w:cstheme="minorHAnsi"/>
          <w:color w:val="231F20"/>
          <w:w w:val="105"/>
        </w:rPr>
        <w:t>Model,</w:t>
      </w:r>
      <w:r w:rsidRPr="00BE609D">
        <w:rPr>
          <w:rFonts w:cstheme="minorHAnsi"/>
          <w:color w:val="231F20"/>
          <w:spacing w:val="6"/>
          <w:w w:val="105"/>
        </w:rPr>
        <w:t xml:space="preserve"> </w:t>
      </w:r>
      <w:r w:rsidRPr="00BE609D">
        <w:rPr>
          <w:rFonts w:cstheme="minorHAnsi"/>
          <w:color w:val="231F20"/>
          <w:w w:val="105"/>
        </w:rPr>
        <w:t>negotiations</w:t>
      </w:r>
      <w:r w:rsidRPr="00BE609D">
        <w:rPr>
          <w:rFonts w:cstheme="minorHAnsi"/>
          <w:color w:val="231F20"/>
          <w:spacing w:val="6"/>
          <w:w w:val="105"/>
        </w:rPr>
        <w:t xml:space="preserve"> </w:t>
      </w:r>
      <w:r w:rsidRPr="00BE609D">
        <w:rPr>
          <w:rFonts w:cstheme="minorHAnsi"/>
          <w:color w:val="231F20"/>
          <w:w w:val="105"/>
        </w:rPr>
        <w:t>are conducted</w:t>
      </w:r>
      <w:r w:rsidRPr="00BE609D">
        <w:rPr>
          <w:rFonts w:cstheme="minorHAnsi"/>
          <w:color w:val="231F20"/>
          <w:spacing w:val="11"/>
          <w:w w:val="105"/>
        </w:rPr>
        <w:t xml:space="preserve"> </w:t>
      </w:r>
      <w:r w:rsidRPr="00BE609D">
        <w:rPr>
          <w:rFonts w:cstheme="minorHAnsi"/>
          <w:color w:val="231F20"/>
          <w:w w:val="105"/>
        </w:rPr>
        <w:t>with</w:t>
      </w:r>
      <w:r w:rsidRPr="00BE609D">
        <w:rPr>
          <w:rFonts w:cstheme="minorHAnsi"/>
          <w:color w:val="231F20"/>
          <w:spacing w:val="11"/>
          <w:w w:val="105"/>
        </w:rPr>
        <w:t xml:space="preserve"> </w:t>
      </w:r>
      <w:r w:rsidRPr="00BE609D">
        <w:rPr>
          <w:rFonts w:cstheme="minorHAnsi"/>
          <w:color w:val="231F20"/>
          <w:w w:val="105"/>
        </w:rPr>
        <w:t>each</w:t>
      </w:r>
      <w:r w:rsidRPr="00BE609D">
        <w:rPr>
          <w:rFonts w:cstheme="minorHAnsi"/>
          <w:color w:val="231F20"/>
          <w:spacing w:val="11"/>
          <w:w w:val="105"/>
        </w:rPr>
        <w:t xml:space="preserve"> </w:t>
      </w:r>
      <w:r w:rsidRPr="00BE609D">
        <w:rPr>
          <w:rFonts w:cstheme="minorHAnsi"/>
          <w:color w:val="231F20"/>
          <w:spacing w:val="-4"/>
          <w:w w:val="105"/>
        </w:rPr>
        <w:t>LWDB</w:t>
      </w:r>
      <w:r w:rsidRPr="00BE609D">
        <w:rPr>
          <w:rFonts w:cstheme="minorHAnsi"/>
          <w:color w:val="231F20"/>
          <w:spacing w:val="11"/>
          <w:w w:val="105"/>
        </w:rPr>
        <w:t xml:space="preserve"> </w:t>
      </w:r>
      <w:r w:rsidRPr="00BE609D">
        <w:rPr>
          <w:rFonts w:cstheme="minorHAnsi"/>
          <w:color w:val="231F20"/>
          <w:w w:val="105"/>
        </w:rPr>
        <w:t>annually.</w:t>
      </w:r>
      <w:r w:rsidRPr="00BE609D">
        <w:rPr>
          <w:rFonts w:cstheme="minorHAnsi"/>
          <w:color w:val="231F20"/>
          <w:spacing w:val="22"/>
          <w:w w:val="105"/>
        </w:rPr>
        <w:t xml:space="preserve"> </w:t>
      </w:r>
      <w:r w:rsidRPr="00BE609D">
        <w:rPr>
          <w:rFonts w:cstheme="minorHAnsi"/>
          <w:color w:val="231F20"/>
          <w:w w:val="105"/>
        </w:rPr>
        <w:t>Each</w:t>
      </w:r>
      <w:r w:rsidRPr="00BE609D">
        <w:rPr>
          <w:rFonts w:cstheme="minorHAnsi"/>
          <w:color w:val="231F20"/>
          <w:spacing w:val="11"/>
          <w:w w:val="105"/>
        </w:rPr>
        <w:t xml:space="preserve"> </w:t>
      </w:r>
      <w:r w:rsidRPr="00BE609D">
        <w:rPr>
          <w:rFonts w:cstheme="minorHAnsi"/>
          <w:color w:val="231F20"/>
          <w:spacing w:val="-3"/>
          <w:w w:val="105"/>
        </w:rPr>
        <w:t>quarter,</w:t>
      </w:r>
      <w:r w:rsidRPr="00BE609D">
        <w:rPr>
          <w:rFonts w:cstheme="minorHAnsi"/>
          <w:color w:val="231F20"/>
          <w:spacing w:val="11"/>
          <w:w w:val="105"/>
        </w:rPr>
        <w:t xml:space="preserve"> </w:t>
      </w:r>
      <w:r w:rsidRPr="00BE609D">
        <w:rPr>
          <w:rFonts w:cstheme="minorHAnsi"/>
          <w:color w:val="231F20"/>
          <w:w w:val="105"/>
        </w:rPr>
        <w:t>performance</w:t>
      </w:r>
      <w:r w:rsidRPr="00BE609D">
        <w:rPr>
          <w:rFonts w:cstheme="minorHAnsi"/>
          <w:color w:val="231F20"/>
          <w:spacing w:val="11"/>
          <w:w w:val="105"/>
        </w:rPr>
        <w:t xml:space="preserve"> </w:t>
      </w:r>
      <w:r w:rsidRPr="00BE609D">
        <w:rPr>
          <w:rFonts w:cstheme="minorHAnsi"/>
          <w:color w:val="231F20"/>
          <w:w w:val="105"/>
        </w:rPr>
        <w:t>is evaluated</w:t>
      </w:r>
      <w:r w:rsidRPr="00BE609D">
        <w:rPr>
          <w:rFonts w:cstheme="minorHAnsi"/>
          <w:color w:val="231F20"/>
          <w:spacing w:val="11"/>
          <w:w w:val="105"/>
        </w:rPr>
        <w:t xml:space="preserve"> </w:t>
      </w:r>
      <w:r w:rsidRPr="00BE609D">
        <w:rPr>
          <w:rFonts w:cstheme="minorHAnsi"/>
          <w:color w:val="231F20"/>
          <w:w w:val="105"/>
        </w:rPr>
        <w:t>and,</w:t>
      </w:r>
      <w:r w:rsidRPr="00BE609D">
        <w:rPr>
          <w:rFonts w:cstheme="minorHAnsi"/>
          <w:color w:val="231F20"/>
          <w:spacing w:val="11"/>
          <w:w w:val="105"/>
        </w:rPr>
        <w:t xml:space="preserve"> </w:t>
      </w:r>
      <w:r w:rsidRPr="00BE609D">
        <w:rPr>
          <w:rFonts w:cstheme="minorHAnsi"/>
          <w:color w:val="231F20"/>
          <w:w w:val="105"/>
        </w:rPr>
        <w:t>if</w:t>
      </w:r>
      <w:r w:rsidRPr="00BE609D">
        <w:rPr>
          <w:rFonts w:cstheme="minorHAnsi"/>
          <w:color w:val="231F20"/>
          <w:spacing w:val="11"/>
          <w:w w:val="105"/>
        </w:rPr>
        <w:t xml:space="preserve"> </w:t>
      </w:r>
      <w:r w:rsidRPr="00BE609D">
        <w:rPr>
          <w:rFonts w:cstheme="minorHAnsi"/>
          <w:color w:val="231F20"/>
          <w:w w:val="105"/>
        </w:rPr>
        <w:t>necessary,</w:t>
      </w:r>
      <w:r w:rsidRPr="00BE609D">
        <w:rPr>
          <w:rFonts w:cstheme="minorHAnsi"/>
          <w:color w:val="231F20"/>
          <w:spacing w:val="-14"/>
          <w:w w:val="105"/>
        </w:rPr>
        <w:t xml:space="preserve"> </w:t>
      </w:r>
      <w:r w:rsidRPr="00BE609D">
        <w:rPr>
          <w:rFonts w:cstheme="minorHAnsi"/>
          <w:color w:val="231F20"/>
          <w:w w:val="105"/>
        </w:rPr>
        <w:t>technical</w:t>
      </w:r>
      <w:r w:rsidRPr="00BE609D">
        <w:rPr>
          <w:rFonts w:cstheme="minorHAnsi"/>
          <w:color w:val="231F20"/>
          <w:spacing w:val="15"/>
          <w:w w:val="105"/>
        </w:rPr>
        <w:t xml:space="preserve"> </w:t>
      </w:r>
      <w:r w:rsidRPr="00BE609D">
        <w:rPr>
          <w:rFonts w:cstheme="minorHAnsi"/>
          <w:color w:val="231F20"/>
          <w:w w:val="105"/>
        </w:rPr>
        <w:t>assistance</w:t>
      </w:r>
      <w:r w:rsidRPr="00BE609D">
        <w:rPr>
          <w:rFonts w:cstheme="minorHAnsi"/>
          <w:color w:val="231F20"/>
          <w:spacing w:val="15"/>
          <w:w w:val="105"/>
        </w:rPr>
        <w:t xml:space="preserve"> </w:t>
      </w:r>
      <w:r w:rsidRPr="00BE609D">
        <w:rPr>
          <w:rFonts w:cstheme="minorHAnsi"/>
          <w:color w:val="231F20"/>
          <w:w w:val="105"/>
        </w:rPr>
        <w:t>provided</w:t>
      </w:r>
      <w:r w:rsidRPr="00BE609D">
        <w:rPr>
          <w:rFonts w:cstheme="minorHAnsi"/>
          <w:color w:val="231F20"/>
          <w:spacing w:val="15"/>
          <w:w w:val="105"/>
        </w:rPr>
        <w:t xml:space="preserve"> </w:t>
      </w:r>
      <w:r w:rsidRPr="00BE609D">
        <w:rPr>
          <w:rFonts w:cstheme="minorHAnsi"/>
          <w:color w:val="231F20"/>
          <w:w w:val="105"/>
        </w:rPr>
        <w:t>in</w:t>
      </w:r>
      <w:r w:rsidRPr="00BE609D">
        <w:rPr>
          <w:rFonts w:cstheme="minorHAnsi"/>
          <w:color w:val="231F20"/>
          <w:spacing w:val="15"/>
          <w:w w:val="105"/>
        </w:rPr>
        <w:t xml:space="preserve"> </w:t>
      </w:r>
      <w:r w:rsidRPr="00BE609D">
        <w:rPr>
          <w:rFonts w:cstheme="minorHAnsi"/>
          <w:color w:val="231F20"/>
          <w:w w:val="105"/>
        </w:rPr>
        <w:t>areas</w:t>
      </w:r>
      <w:r w:rsidRPr="00BE609D">
        <w:rPr>
          <w:rFonts w:cstheme="minorHAnsi"/>
          <w:color w:val="231F20"/>
          <w:spacing w:val="15"/>
          <w:w w:val="105"/>
        </w:rPr>
        <w:t xml:space="preserve"> </w:t>
      </w:r>
      <w:r w:rsidRPr="00BE609D">
        <w:rPr>
          <w:rFonts w:cstheme="minorHAnsi"/>
          <w:color w:val="231F20"/>
          <w:w w:val="105"/>
        </w:rPr>
        <w:t>of</w:t>
      </w:r>
      <w:r w:rsidRPr="00BE609D">
        <w:rPr>
          <w:rFonts w:cstheme="minorHAnsi"/>
          <w:color w:val="231F20"/>
          <w:spacing w:val="15"/>
          <w:w w:val="105"/>
        </w:rPr>
        <w:t xml:space="preserve"> </w:t>
      </w:r>
      <w:r w:rsidRPr="00BE609D">
        <w:rPr>
          <w:rFonts w:cstheme="minorHAnsi"/>
          <w:color w:val="231F20"/>
          <w:w w:val="105"/>
        </w:rPr>
        <w:t>concern.</w:t>
      </w:r>
      <w:r w:rsidRPr="00BE609D">
        <w:rPr>
          <w:rFonts w:cstheme="minorHAnsi"/>
          <w:color w:val="231F20"/>
          <w:spacing w:val="31"/>
          <w:w w:val="105"/>
        </w:rPr>
        <w:t xml:space="preserve"> </w:t>
      </w:r>
      <w:r w:rsidRPr="00BE609D">
        <w:rPr>
          <w:rFonts w:cstheme="minorHAnsi"/>
          <w:color w:val="231F20"/>
          <w:w w:val="105"/>
        </w:rPr>
        <w:t>Periodic</w:t>
      </w:r>
      <w:r w:rsidRPr="00BE609D">
        <w:rPr>
          <w:rFonts w:cstheme="minorHAnsi"/>
          <w:color w:val="231F20"/>
          <w:spacing w:val="15"/>
          <w:w w:val="105"/>
        </w:rPr>
        <w:t xml:space="preserve"> </w:t>
      </w:r>
      <w:r w:rsidRPr="00BE609D">
        <w:rPr>
          <w:rFonts w:cstheme="minorHAnsi"/>
          <w:color w:val="231F20"/>
          <w:w w:val="105"/>
        </w:rPr>
        <w:t>training</w:t>
      </w:r>
      <w:r w:rsidRPr="00BE609D">
        <w:rPr>
          <w:rFonts w:cstheme="minorHAnsi"/>
          <w:color w:val="231F20"/>
          <w:spacing w:val="15"/>
          <w:w w:val="105"/>
        </w:rPr>
        <w:t xml:space="preserve"> </w:t>
      </w:r>
      <w:r w:rsidRPr="00BE609D">
        <w:rPr>
          <w:rFonts w:cstheme="minorHAnsi"/>
          <w:color w:val="231F20"/>
          <w:w w:val="105"/>
        </w:rPr>
        <w:t>sessions</w:t>
      </w:r>
      <w:r w:rsidRPr="00BE609D">
        <w:rPr>
          <w:rFonts w:cstheme="minorHAnsi"/>
          <w:color w:val="231F20"/>
          <w:spacing w:val="15"/>
          <w:w w:val="105"/>
        </w:rPr>
        <w:t xml:space="preserve"> </w:t>
      </w:r>
      <w:r w:rsidRPr="00BE609D">
        <w:rPr>
          <w:rFonts w:cstheme="minorHAnsi"/>
          <w:color w:val="231F20"/>
          <w:w w:val="105"/>
        </w:rPr>
        <w:t>are provided as necessary to identify and replicate innovative practices and engage in continuous improvement.</w:t>
      </w:r>
    </w:p>
    <w:p w14:paraId="6F7ABAD8" w14:textId="77777777" w:rsidR="00EA7458" w:rsidRPr="00E06806" w:rsidRDefault="00EA7458" w:rsidP="00D63204">
      <w:pPr>
        <w:widowControl w:val="0"/>
        <w:spacing w:before="6" w:after="0" w:line="240" w:lineRule="auto"/>
        <w:ind w:left="107"/>
        <w:rPr>
          <w:rFonts w:cstheme="minorHAnsi"/>
          <w:sz w:val="16"/>
          <w:szCs w:val="16"/>
        </w:rPr>
      </w:pPr>
    </w:p>
    <w:p w14:paraId="525EDC84" w14:textId="1B8BB5D8" w:rsidR="00EA7458" w:rsidRPr="00A210A1" w:rsidRDefault="00EA7458" w:rsidP="00D63204">
      <w:pPr>
        <w:pStyle w:val="ListParagraph"/>
        <w:widowControl w:val="0"/>
        <w:numPr>
          <w:ilvl w:val="0"/>
          <w:numId w:val="28"/>
        </w:numPr>
        <w:tabs>
          <w:tab w:val="left" w:pos="2268"/>
        </w:tabs>
        <w:spacing w:after="0" w:line="240" w:lineRule="auto"/>
        <w:rPr>
          <w:rFonts w:cstheme="minorHAnsi"/>
        </w:rPr>
      </w:pPr>
      <w:r w:rsidRPr="00A210A1">
        <w:rPr>
          <w:rFonts w:cstheme="minorHAnsi"/>
          <w:color w:val="295CA3"/>
          <w:w w:val="110"/>
        </w:rPr>
        <w:t>Assessment of One-Stop Program Partner</w:t>
      </w:r>
      <w:r w:rsidRPr="00A210A1">
        <w:rPr>
          <w:rFonts w:cstheme="minorHAnsi"/>
          <w:color w:val="295CA3"/>
          <w:spacing w:val="1"/>
          <w:w w:val="110"/>
        </w:rPr>
        <w:t xml:space="preserve"> </w:t>
      </w:r>
      <w:r w:rsidRPr="00A210A1">
        <w:rPr>
          <w:rFonts w:cstheme="minorHAnsi"/>
          <w:color w:val="295CA3"/>
          <w:w w:val="110"/>
        </w:rPr>
        <w:t>Programs</w:t>
      </w:r>
    </w:p>
    <w:p w14:paraId="25E7B40C" w14:textId="3E8549E8" w:rsidR="00713199" w:rsidRPr="00713199" w:rsidRDefault="00713199" w:rsidP="00D63204">
      <w:pPr>
        <w:widowControl w:val="0"/>
        <w:spacing w:before="193" w:after="0" w:line="240" w:lineRule="auto"/>
        <w:ind w:left="107"/>
        <w:rPr>
          <w:rFonts w:cstheme="minorHAnsi"/>
          <w:color w:val="231F20"/>
          <w:w w:val="105"/>
        </w:rPr>
      </w:pPr>
      <w:r w:rsidRPr="00713199">
        <w:rPr>
          <w:rFonts w:cstheme="minorHAnsi"/>
          <w:color w:val="231F20"/>
          <w:w w:val="105"/>
        </w:rPr>
        <w:t>Florida’s WIOA core program partners work through a WIOA Interagency Measurement and Performance Reporting Workgroup to identify and compare federal WIOA measurement and reporting requirements with current federal performance measures and reporting requirements. The workgroup developed a high-level proposal regarding collection, management</w:t>
      </w:r>
      <w:r w:rsidR="00D5537E">
        <w:rPr>
          <w:rFonts w:cstheme="minorHAnsi"/>
          <w:color w:val="231F20"/>
          <w:w w:val="105"/>
        </w:rPr>
        <w:t xml:space="preserve"> and</w:t>
      </w:r>
      <w:r w:rsidRPr="00713199">
        <w:rPr>
          <w:rFonts w:cstheme="minorHAnsi"/>
          <w:color w:val="231F20"/>
          <w:w w:val="105"/>
        </w:rPr>
        <w:t xml:space="preserve"> reporting of performance data. CareerSource Florida and DEO participate in the workgroup, providing analyses of existing measures with comparisons of WIOA indicators of performance. </w:t>
      </w:r>
    </w:p>
    <w:p w14:paraId="12B47526" w14:textId="5B3BB4A6" w:rsidR="00EA7458" w:rsidRPr="00E06806" w:rsidRDefault="00713199" w:rsidP="009C515C">
      <w:pPr>
        <w:widowControl w:val="0"/>
        <w:spacing w:before="193" w:after="0" w:line="240" w:lineRule="auto"/>
        <w:ind w:left="107"/>
        <w:rPr>
          <w:rFonts w:cstheme="minorHAnsi"/>
          <w:sz w:val="14"/>
          <w:szCs w:val="14"/>
        </w:rPr>
      </w:pPr>
      <w:r w:rsidRPr="00713199">
        <w:rPr>
          <w:rFonts w:cstheme="minorHAnsi"/>
          <w:color w:val="231F20"/>
          <w:w w:val="105"/>
        </w:rPr>
        <w:t xml:space="preserve">Information technology data collection and reporting systems within each core partner are examined to ensure an integrated systems approach for statewide data collection, reporting and validation. The measurement and performance reporting workgroup designed a reporting flow process identifying how data </w:t>
      </w:r>
      <w:r w:rsidR="0018259A">
        <w:rPr>
          <w:rFonts w:cstheme="minorHAnsi"/>
          <w:color w:val="231F20"/>
          <w:w w:val="105"/>
        </w:rPr>
        <w:t>are</w:t>
      </w:r>
      <w:r w:rsidRPr="00713199">
        <w:rPr>
          <w:rFonts w:cstheme="minorHAnsi"/>
          <w:color w:val="231F20"/>
          <w:w w:val="105"/>
        </w:rPr>
        <w:t xml:space="preserve"> collected, compiled, integrated, evaluated</w:t>
      </w:r>
      <w:r w:rsidR="00D5537E">
        <w:rPr>
          <w:rFonts w:cstheme="minorHAnsi"/>
          <w:color w:val="231F20"/>
          <w:w w:val="105"/>
        </w:rPr>
        <w:t xml:space="preserve"> and</w:t>
      </w:r>
      <w:r w:rsidRPr="00713199">
        <w:rPr>
          <w:rFonts w:cstheme="minorHAnsi"/>
          <w:color w:val="231F20"/>
          <w:w w:val="105"/>
        </w:rPr>
        <w:t xml:space="preserve"> reported to USDOL and USDOE. This process reflects statutory requirements of individual programs and business requirements governing the collection and submittal of performance data. The group continues collaborative efforts, currently reviewing requirements </w:t>
      </w:r>
      <w:r w:rsidRPr="00713199">
        <w:rPr>
          <w:rFonts w:cstheme="minorHAnsi"/>
          <w:color w:val="231F20"/>
          <w:w w:val="105"/>
        </w:rPr>
        <w:lastRenderedPageBreak/>
        <w:t>for the sharing of data across core programs for the purposes of federal reporting.</w:t>
      </w:r>
    </w:p>
    <w:p w14:paraId="2FFEE54F" w14:textId="0E49F7F4" w:rsidR="00EA7458" w:rsidRPr="00713199" w:rsidRDefault="00713199" w:rsidP="00D63204">
      <w:pPr>
        <w:widowControl w:val="0"/>
        <w:spacing w:before="193" w:after="0" w:line="264" w:lineRule="exact"/>
        <w:ind w:left="107"/>
        <w:rPr>
          <w:rFonts w:cstheme="minorHAnsi"/>
          <w:color w:val="231F20"/>
          <w:w w:val="105"/>
        </w:rPr>
      </w:pPr>
      <w:bookmarkStart w:id="85" w:name="_bookmark46"/>
      <w:bookmarkEnd w:id="85"/>
      <w:r w:rsidRPr="00713199">
        <w:rPr>
          <w:rFonts w:cstheme="minorHAnsi"/>
          <w:color w:val="231F20"/>
          <w:w w:val="105"/>
        </w:rPr>
        <w:t xml:space="preserve">Performance assessments are conducted on a quarterly and annual basis through the core partners’ submission of data to FETPIP for data validation and compliance with WIOA requirements and subsequent reporting to USDOL and USDOE. DEO conducts statewide workforce performance assessments and works closely with </w:t>
      </w:r>
      <w:r w:rsidR="000264FD">
        <w:rPr>
          <w:rFonts w:cstheme="minorHAnsi"/>
          <w:color w:val="231F20"/>
          <w:w w:val="105"/>
        </w:rPr>
        <w:t>c</w:t>
      </w:r>
      <w:r w:rsidRPr="00713199">
        <w:rPr>
          <w:rFonts w:cstheme="minorHAnsi"/>
          <w:color w:val="231F20"/>
          <w:w w:val="105"/>
        </w:rPr>
        <w:t xml:space="preserve">ore </w:t>
      </w:r>
      <w:r w:rsidR="000264FD">
        <w:rPr>
          <w:rFonts w:cstheme="minorHAnsi"/>
          <w:color w:val="231F20"/>
          <w:w w:val="105"/>
        </w:rPr>
        <w:t>p</w:t>
      </w:r>
      <w:r w:rsidRPr="00713199">
        <w:rPr>
          <w:rFonts w:cstheme="minorHAnsi"/>
          <w:color w:val="231F20"/>
          <w:w w:val="105"/>
        </w:rPr>
        <w:t>artners to enhance data collection and reporting.</w:t>
      </w:r>
    </w:p>
    <w:p w14:paraId="60AFCB82" w14:textId="77777777" w:rsidR="00EA7458" w:rsidRPr="00E06806" w:rsidRDefault="00EA7458" w:rsidP="00D63204">
      <w:pPr>
        <w:widowControl w:val="0"/>
        <w:spacing w:before="6" w:after="0" w:line="240" w:lineRule="auto"/>
        <w:ind w:left="107"/>
        <w:rPr>
          <w:rFonts w:cstheme="minorHAnsi"/>
          <w:sz w:val="16"/>
          <w:szCs w:val="16"/>
        </w:rPr>
      </w:pPr>
    </w:p>
    <w:p w14:paraId="531F22D3" w14:textId="77777777" w:rsidR="00EA7458" w:rsidRPr="00E06806" w:rsidRDefault="00EA7458" w:rsidP="00D63204">
      <w:pPr>
        <w:widowControl w:val="0"/>
        <w:numPr>
          <w:ilvl w:val="0"/>
          <w:numId w:val="28"/>
        </w:numPr>
        <w:tabs>
          <w:tab w:val="left" w:pos="2268"/>
        </w:tabs>
        <w:spacing w:after="0" w:line="240" w:lineRule="auto"/>
        <w:rPr>
          <w:rFonts w:cstheme="minorHAnsi"/>
        </w:rPr>
      </w:pPr>
      <w:r w:rsidRPr="00E06806">
        <w:rPr>
          <w:rFonts w:cstheme="minorHAnsi"/>
          <w:color w:val="295CA3"/>
          <w:w w:val="110"/>
        </w:rPr>
        <w:t>Previous Assessment</w:t>
      </w:r>
      <w:r w:rsidRPr="00E06806">
        <w:rPr>
          <w:rFonts w:cstheme="minorHAnsi"/>
          <w:color w:val="295CA3"/>
          <w:spacing w:val="3"/>
          <w:w w:val="110"/>
        </w:rPr>
        <w:t xml:space="preserve"> </w:t>
      </w:r>
      <w:r w:rsidRPr="00E06806">
        <w:rPr>
          <w:rFonts w:cstheme="minorHAnsi"/>
          <w:color w:val="295CA3"/>
          <w:w w:val="110"/>
        </w:rPr>
        <w:t>Results</w:t>
      </w:r>
    </w:p>
    <w:p w14:paraId="7C4980FE" w14:textId="32AC6364" w:rsidR="001E7881" w:rsidRDefault="001E7881" w:rsidP="00D63204">
      <w:pPr>
        <w:widowControl w:val="0"/>
        <w:spacing w:before="2" w:after="0" w:line="264" w:lineRule="exact"/>
        <w:ind w:left="107"/>
        <w:rPr>
          <w:rFonts w:cstheme="minorHAnsi"/>
          <w:b/>
          <w:bCs/>
          <w:color w:val="231F20"/>
          <w:w w:val="105"/>
        </w:rPr>
      </w:pPr>
    </w:p>
    <w:p w14:paraId="016A7C0A" w14:textId="77777777" w:rsidR="00BE609D" w:rsidRPr="00BE609D" w:rsidRDefault="00BE609D" w:rsidP="00D63204">
      <w:pPr>
        <w:widowControl w:val="0"/>
        <w:spacing w:after="0" w:line="266" w:lineRule="exact"/>
        <w:ind w:left="107"/>
        <w:outlineLvl w:val="2"/>
        <w:rPr>
          <w:rFonts w:cstheme="minorHAnsi"/>
        </w:rPr>
      </w:pPr>
      <w:r w:rsidRPr="00BE609D">
        <w:rPr>
          <w:rFonts w:cstheme="minorHAnsi"/>
          <w:b/>
          <w:bCs/>
          <w:color w:val="231F20"/>
          <w:w w:val="105"/>
        </w:rPr>
        <w:t>Department of Economic</w:t>
      </w:r>
      <w:r w:rsidRPr="00BE609D">
        <w:rPr>
          <w:rFonts w:cstheme="minorHAnsi"/>
          <w:b/>
          <w:bCs/>
          <w:color w:val="231F20"/>
          <w:spacing w:val="-7"/>
          <w:w w:val="105"/>
        </w:rPr>
        <w:t xml:space="preserve"> </w:t>
      </w:r>
      <w:r w:rsidRPr="00BE609D">
        <w:rPr>
          <w:rFonts w:cstheme="minorHAnsi"/>
          <w:b/>
          <w:bCs/>
          <w:color w:val="231F20"/>
          <w:w w:val="105"/>
        </w:rPr>
        <w:t>Opportunity</w:t>
      </w:r>
    </w:p>
    <w:p w14:paraId="6D25366A" w14:textId="4455FEBC" w:rsidR="00BE609D" w:rsidRPr="00BE609D" w:rsidRDefault="00BE609D" w:rsidP="00D63204">
      <w:pPr>
        <w:widowControl w:val="0"/>
        <w:spacing w:before="2" w:after="0" w:line="235" w:lineRule="auto"/>
        <w:ind w:left="107"/>
        <w:rPr>
          <w:rFonts w:cstheme="minorHAnsi"/>
          <w:sz w:val="16"/>
          <w:szCs w:val="16"/>
        </w:rPr>
      </w:pPr>
      <w:r w:rsidRPr="00BE609D">
        <w:rPr>
          <w:rFonts w:cstheme="minorHAnsi"/>
          <w:color w:val="231F20"/>
          <w:w w:val="105"/>
        </w:rPr>
        <w:t>DEO</w:t>
      </w:r>
      <w:r w:rsidRPr="00BE609D">
        <w:rPr>
          <w:rFonts w:cstheme="minorHAnsi"/>
          <w:color w:val="231F20"/>
          <w:spacing w:val="13"/>
          <w:w w:val="105"/>
        </w:rPr>
        <w:t xml:space="preserve"> continuously </w:t>
      </w:r>
      <w:r w:rsidRPr="00BE609D">
        <w:rPr>
          <w:rFonts w:cstheme="minorHAnsi"/>
          <w:color w:val="231F20"/>
          <w:w w:val="105"/>
        </w:rPr>
        <w:t>conducts</w:t>
      </w:r>
      <w:r w:rsidRPr="00BE609D">
        <w:rPr>
          <w:rFonts w:cstheme="minorHAnsi"/>
          <w:color w:val="231F20"/>
          <w:spacing w:val="13"/>
          <w:w w:val="105"/>
        </w:rPr>
        <w:t xml:space="preserve"> </w:t>
      </w:r>
      <w:r w:rsidRPr="00BE609D">
        <w:rPr>
          <w:rFonts w:cstheme="minorHAnsi"/>
          <w:color w:val="231F20"/>
          <w:w w:val="105"/>
        </w:rPr>
        <w:t>data</w:t>
      </w:r>
      <w:r w:rsidRPr="00BE609D">
        <w:rPr>
          <w:rFonts w:cstheme="minorHAnsi"/>
          <w:color w:val="231F20"/>
          <w:spacing w:val="13"/>
          <w:w w:val="105"/>
        </w:rPr>
        <w:t xml:space="preserve"> </w:t>
      </w:r>
      <w:r w:rsidRPr="00BE609D">
        <w:rPr>
          <w:rFonts w:cstheme="minorHAnsi"/>
          <w:color w:val="231F20"/>
          <w:w w:val="105"/>
        </w:rPr>
        <w:t>analysis</w:t>
      </w:r>
      <w:r w:rsidRPr="00BE609D">
        <w:rPr>
          <w:rFonts w:cstheme="minorHAnsi"/>
          <w:color w:val="231F20"/>
          <w:spacing w:val="13"/>
          <w:w w:val="105"/>
        </w:rPr>
        <w:t xml:space="preserve"> </w:t>
      </w:r>
      <w:r w:rsidRPr="00BE609D">
        <w:rPr>
          <w:rFonts w:cstheme="minorHAnsi"/>
          <w:color w:val="231F20"/>
          <w:w w:val="105"/>
        </w:rPr>
        <w:t>of</w:t>
      </w:r>
      <w:r w:rsidRPr="00BE609D">
        <w:rPr>
          <w:rFonts w:cstheme="minorHAnsi"/>
          <w:color w:val="231F20"/>
          <w:spacing w:val="13"/>
          <w:w w:val="105"/>
        </w:rPr>
        <w:t xml:space="preserve"> </w:t>
      </w:r>
      <w:r w:rsidRPr="00BE609D">
        <w:rPr>
          <w:rFonts w:cstheme="minorHAnsi"/>
          <w:color w:val="231F20"/>
          <w:w w:val="105"/>
        </w:rPr>
        <w:t>workforce</w:t>
      </w:r>
      <w:r w:rsidRPr="00BE609D">
        <w:rPr>
          <w:rFonts w:cstheme="minorHAnsi"/>
          <w:color w:val="231F20"/>
          <w:spacing w:val="13"/>
          <w:w w:val="105"/>
        </w:rPr>
        <w:t xml:space="preserve"> </w:t>
      </w:r>
      <w:r w:rsidRPr="00BE609D">
        <w:rPr>
          <w:rFonts w:cstheme="minorHAnsi"/>
          <w:color w:val="231F20"/>
          <w:w w:val="105"/>
        </w:rPr>
        <w:t>system</w:t>
      </w:r>
      <w:r w:rsidRPr="00BE609D">
        <w:rPr>
          <w:rFonts w:cstheme="minorHAnsi"/>
          <w:color w:val="231F20"/>
          <w:spacing w:val="13"/>
          <w:w w:val="105"/>
        </w:rPr>
        <w:t xml:space="preserve"> </w:t>
      </w:r>
      <w:r w:rsidRPr="00BE609D">
        <w:rPr>
          <w:rFonts w:cstheme="minorHAnsi"/>
          <w:color w:val="231F20"/>
          <w:w w:val="105"/>
        </w:rPr>
        <w:t>performance</w:t>
      </w:r>
      <w:r w:rsidRPr="00BE609D">
        <w:rPr>
          <w:rFonts w:cstheme="minorHAnsi"/>
          <w:color w:val="231F20"/>
          <w:spacing w:val="13"/>
          <w:w w:val="105"/>
        </w:rPr>
        <w:t xml:space="preserve"> </w:t>
      </w:r>
      <w:r w:rsidRPr="00BE609D">
        <w:rPr>
          <w:rFonts w:cstheme="minorHAnsi"/>
          <w:color w:val="231F20"/>
          <w:w w:val="105"/>
        </w:rPr>
        <w:t>within</w:t>
      </w:r>
      <w:r w:rsidRPr="00BE609D">
        <w:rPr>
          <w:rFonts w:cstheme="minorHAnsi"/>
          <w:color w:val="231F20"/>
          <w:spacing w:val="13"/>
          <w:w w:val="105"/>
        </w:rPr>
        <w:t xml:space="preserve"> </w:t>
      </w:r>
      <w:r w:rsidRPr="00BE609D">
        <w:rPr>
          <w:rFonts w:cstheme="minorHAnsi"/>
          <w:color w:val="231F20"/>
          <w:w w:val="105"/>
        </w:rPr>
        <w:t>the</w:t>
      </w:r>
      <w:r w:rsidRPr="00BE609D">
        <w:rPr>
          <w:rFonts w:cstheme="minorHAnsi"/>
          <w:color w:val="231F20"/>
          <w:spacing w:val="13"/>
          <w:w w:val="105"/>
        </w:rPr>
        <w:t xml:space="preserve"> </w:t>
      </w:r>
      <w:r w:rsidRPr="00BE609D">
        <w:rPr>
          <w:rFonts w:cstheme="minorHAnsi"/>
          <w:color w:val="231F20"/>
          <w:w w:val="105"/>
        </w:rPr>
        <w:t>state’s</w:t>
      </w:r>
      <w:r w:rsidRPr="00BE609D">
        <w:rPr>
          <w:rFonts w:cstheme="minorHAnsi"/>
          <w:color w:val="231F20"/>
          <w:spacing w:val="13"/>
          <w:w w:val="105"/>
        </w:rPr>
        <w:t xml:space="preserve"> </w:t>
      </w:r>
      <w:r w:rsidRPr="00BE609D">
        <w:rPr>
          <w:rFonts w:cstheme="minorHAnsi"/>
          <w:color w:val="231F20"/>
          <w:w w:val="105"/>
        </w:rPr>
        <w:t>Workforce</w:t>
      </w:r>
      <w:r w:rsidRPr="00BE609D">
        <w:rPr>
          <w:rFonts w:cstheme="minorHAnsi"/>
          <w:color w:val="231F20"/>
          <w:w w:val="106"/>
        </w:rPr>
        <w:t xml:space="preserve"> </w:t>
      </w:r>
      <w:r w:rsidRPr="00BE609D">
        <w:rPr>
          <w:rFonts w:cstheme="minorHAnsi"/>
          <w:color w:val="231F20"/>
          <w:w w:val="105"/>
        </w:rPr>
        <w:t xml:space="preserve">Innovation and Opportunity Act (WIOA) primary indicators of performance. This analysis is used in annual presentations to each </w:t>
      </w:r>
      <w:r w:rsidR="000264FD">
        <w:rPr>
          <w:rFonts w:cstheme="minorHAnsi"/>
          <w:color w:val="231F20"/>
          <w:w w:val="105"/>
        </w:rPr>
        <w:t>l</w:t>
      </w:r>
      <w:r w:rsidRPr="00BE609D">
        <w:rPr>
          <w:rFonts w:cstheme="minorHAnsi"/>
          <w:color w:val="231F20"/>
          <w:w w:val="105"/>
        </w:rPr>
        <w:t xml:space="preserve">ocal </w:t>
      </w:r>
      <w:r w:rsidR="000264FD">
        <w:rPr>
          <w:rFonts w:cstheme="minorHAnsi"/>
          <w:color w:val="231F20"/>
          <w:w w:val="105"/>
        </w:rPr>
        <w:t>w</w:t>
      </w:r>
      <w:r w:rsidRPr="00BE609D">
        <w:rPr>
          <w:rFonts w:cstheme="minorHAnsi"/>
          <w:color w:val="231F20"/>
          <w:w w:val="105"/>
        </w:rPr>
        <w:t xml:space="preserve">orkforce </w:t>
      </w:r>
      <w:r w:rsidR="000264FD">
        <w:rPr>
          <w:rFonts w:cstheme="minorHAnsi"/>
          <w:color w:val="231F20"/>
          <w:w w:val="105"/>
        </w:rPr>
        <w:t>d</w:t>
      </w:r>
      <w:r w:rsidRPr="00BE609D">
        <w:rPr>
          <w:rFonts w:cstheme="minorHAnsi"/>
          <w:color w:val="231F20"/>
          <w:w w:val="105"/>
        </w:rPr>
        <w:t xml:space="preserve">evelopment </w:t>
      </w:r>
      <w:r w:rsidR="00F611B0">
        <w:rPr>
          <w:rFonts w:cstheme="minorHAnsi"/>
          <w:color w:val="231F20"/>
          <w:w w:val="105"/>
        </w:rPr>
        <w:t>b</w:t>
      </w:r>
      <w:r w:rsidRPr="00BE609D">
        <w:rPr>
          <w:rFonts w:cstheme="minorHAnsi"/>
          <w:color w:val="231F20"/>
          <w:w w:val="105"/>
        </w:rPr>
        <w:t xml:space="preserve">oard to show how each LWDB is performing against </w:t>
      </w:r>
      <w:r w:rsidR="00F611B0">
        <w:rPr>
          <w:rFonts w:cstheme="minorHAnsi"/>
          <w:color w:val="231F20"/>
          <w:w w:val="105"/>
        </w:rPr>
        <w:t>its</w:t>
      </w:r>
      <w:r w:rsidRPr="00BE609D">
        <w:rPr>
          <w:rFonts w:cstheme="minorHAnsi"/>
          <w:color w:val="231F20"/>
          <w:w w:val="105"/>
        </w:rPr>
        <w:t xml:space="preserve"> locally negotiated goal for the measures.</w:t>
      </w:r>
    </w:p>
    <w:p w14:paraId="47A575D9" w14:textId="77777777" w:rsidR="00BE609D" w:rsidRPr="00BE609D" w:rsidRDefault="00BE609D" w:rsidP="00D63204">
      <w:pPr>
        <w:widowControl w:val="0"/>
        <w:spacing w:before="195" w:after="0" w:line="266" w:lineRule="exact"/>
        <w:ind w:left="107"/>
        <w:outlineLvl w:val="2"/>
        <w:rPr>
          <w:rFonts w:cstheme="minorHAnsi"/>
          <w:b/>
          <w:bCs/>
          <w:color w:val="231F20"/>
          <w:w w:val="105"/>
        </w:rPr>
      </w:pPr>
      <w:r w:rsidRPr="00BE609D">
        <w:rPr>
          <w:rFonts w:cstheme="minorHAnsi"/>
          <w:b/>
          <w:bCs/>
          <w:color w:val="231F20"/>
          <w:w w:val="105"/>
        </w:rPr>
        <w:t>Accountability and Continuous Improvement</w:t>
      </w:r>
    </w:p>
    <w:p w14:paraId="31A6D615" w14:textId="77777777" w:rsidR="00BE609D" w:rsidRPr="00BE609D" w:rsidRDefault="00BE609D" w:rsidP="00D63204">
      <w:pPr>
        <w:widowControl w:val="0"/>
        <w:spacing w:before="2" w:after="0" w:line="264" w:lineRule="exact"/>
        <w:ind w:left="107"/>
        <w:rPr>
          <w:rFonts w:cstheme="minorHAnsi"/>
        </w:rPr>
      </w:pPr>
      <w:r w:rsidRPr="00BE609D">
        <w:rPr>
          <w:rFonts w:cstheme="minorHAnsi"/>
          <w:color w:val="231F20"/>
          <w:w w:val="105"/>
        </w:rPr>
        <w:t>Florida</w:t>
      </w:r>
      <w:r w:rsidRPr="00BE609D">
        <w:rPr>
          <w:rFonts w:cstheme="minorHAnsi"/>
          <w:color w:val="231F20"/>
          <w:spacing w:val="11"/>
          <w:w w:val="105"/>
        </w:rPr>
        <w:t xml:space="preserve"> </w:t>
      </w:r>
      <w:r w:rsidRPr="00BE609D">
        <w:rPr>
          <w:rFonts w:cstheme="minorHAnsi"/>
          <w:color w:val="231F20"/>
          <w:w w:val="105"/>
        </w:rPr>
        <w:t>workforce</w:t>
      </w:r>
      <w:r w:rsidRPr="00BE609D">
        <w:rPr>
          <w:rFonts w:cstheme="minorHAnsi"/>
          <w:color w:val="231F20"/>
          <w:spacing w:val="11"/>
          <w:w w:val="105"/>
        </w:rPr>
        <w:t xml:space="preserve"> </w:t>
      </w:r>
      <w:r w:rsidRPr="00BE609D">
        <w:rPr>
          <w:rFonts w:cstheme="minorHAnsi"/>
          <w:color w:val="231F20"/>
          <w:w w:val="105"/>
        </w:rPr>
        <w:t>law</w:t>
      </w:r>
      <w:r w:rsidRPr="00BE609D">
        <w:rPr>
          <w:rFonts w:cstheme="minorHAnsi"/>
          <w:color w:val="231F20"/>
          <w:spacing w:val="11"/>
          <w:w w:val="105"/>
        </w:rPr>
        <w:t xml:space="preserve"> </w:t>
      </w:r>
      <w:r w:rsidRPr="00BE609D">
        <w:rPr>
          <w:rFonts w:cstheme="minorHAnsi"/>
          <w:color w:val="231F20"/>
          <w:w w:val="105"/>
        </w:rPr>
        <w:t>expressly</w:t>
      </w:r>
      <w:r w:rsidRPr="00BE609D">
        <w:rPr>
          <w:rFonts w:cstheme="minorHAnsi"/>
          <w:color w:val="231F20"/>
          <w:spacing w:val="11"/>
          <w:w w:val="105"/>
        </w:rPr>
        <w:t xml:space="preserve"> </w:t>
      </w:r>
      <w:r w:rsidRPr="00BE609D">
        <w:rPr>
          <w:rFonts w:cstheme="minorHAnsi"/>
          <w:color w:val="231F20"/>
          <w:w w:val="105"/>
        </w:rPr>
        <w:t>requires increased</w:t>
      </w:r>
      <w:r w:rsidRPr="00BE609D">
        <w:rPr>
          <w:rFonts w:cstheme="minorHAnsi"/>
          <w:color w:val="231F20"/>
          <w:spacing w:val="11"/>
          <w:w w:val="105"/>
        </w:rPr>
        <w:t xml:space="preserve"> </w:t>
      </w:r>
      <w:r w:rsidRPr="00BE609D">
        <w:rPr>
          <w:rFonts w:cstheme="minorHAnsi"/>
          <w:color w:val="231F20"/>
          <w:w w:val="105"/>
        </w:rPr>
        <w:t>accountability</w:t>
      </w:r>
      <w:r w:rsidRPr="00BE609D">
        <w:rPr>
          <w:rFonts w:cstheme="minorHAnsi"/>
          <w:color w:val="231F20"/>
          <w:spacing w:val="11"/>
          <w:w w:val="105"/>
        </w:rPr>
        <w:t xml:space="preserve"> </w:t>
      </w:r>
      <w:r w:rsidRPr="00BE609D">
        <w:rPr>
          <w:rFonts w:cstheme="minorHAnsi"/>
          <w:color w:val="231F20"/>
          <w:w w:val="105"/>
        </w:rPr>
        <w:t>of the</w:t>
      </w:r>
      <w:r w:rsidRPr="00BE609D">
        <w:rPr>
          <w:rFonts w:cstheme="minorHAnsi"/>
          <w:color w:val="231F20"/>
          <w:spacing w:val="11"/>
          <w:w w:val="105"/>
        </w:rPr>
        <w:t xml:space="preserve"> </w:t>
      </w:r>
      <w:r w:rsidRPr="00BE609D">
        <w:rPr>
          <w:rFonts w:cstheme="minorHAnsi"/>
          <w:color w:val="231F20"/>
          <w:w w:val="105"/>
        </w:rPr>
        <w:t>workforce</w:t>
      </w:r>
      <w:r w:rsidRPr="00BE609D">
        <w:rPr>
          <w:rFonts w:cstheme="minorHAnsi"/>
          <w:color w:val="231F20"/>
          <w:spacing w:val="11"/>
          <w:w w:val="105"/>
        </w:rPr>
        <w:t xml:space="preserve"> </w:t>
      </w:r>
      <w:r w:rsidRPr="00BE609D">
        <w:rPr>
          <w:rFonts w:cstheme="minorHAnsi"/>
          <w:color w:val="231F20"/>
          <w:w w:val="105"/>
        </w:rPr>
        <w:t>system</w:t>
      </w:r>
      <w:r w:rsidRPr="00BE609D">
        <w:rPr>
          <w:rFonts w:cstheme="minorHAnsi"/>
          <w:color w:val="231F20"/>
          <w:spacing w:val="11"/>
          <w:w w:val="105"/>
        </w:rPr>
        <w:t xml:space="preserve"> </w:t>
      </w:r>
      <w:r w:rsidRPr="00BE609D">
        <w:rPr>
          <w:rFonts w:cstheme="minorHAnsi"/>
          <w:color w:val="231F20"/>
          <w:w w:val="105"/>
        </w:rPr>
        <w:t>for</w:t>
      </w:r>
      <w:r w:rsidRPr="00BE609D">
        <w:rPr>
          <w:rFonts w:cstheme="minorHAnsi"/>
          <w:color w:val="231F20"/>
          <w:spacing w:val="11"/>
          <w:w w:val="105"/>
        </w:rPr>
        <w:t xml:space="preserve"> </w:t>
      </w:r>
      <w:r w:rsidRPr="00BE609D">
        <w:rPr>
          <w:rFonts w:cstheme="minorHAnsi"/>
          <w:color w:val="231F20"/>
          <w:w w:val="105"/>
        </w:rPr>
        <w:t>the</w:t>
      </w:r>
      <w:r w:rsidRPr="00BE609D">
        <w:rPr>
          <w:rFonts w:cstheme="minorHAnsi"/>
          <w:color w:val="231F20"/>
          <w:spacing w:val="11"/>
          <w:w w:val="105"/>
        </w:rPr>
        <w:t xml:space="preserve"> </w:t>
      </w:r>
      <w:r w:rsidRPr="00BE609D">
        <w:rPr>
          <w:rFonts w:cstheme="minorHAnsi"/>
          <w:color w:val="231F20"/>
          <w:w w:val="105"/>
        </w:rPr>
        <w:t>state,</w:t>
      </w:r>
      <w:r w:rsidRPr="00BE609D">
        <w:rPr>
          <w:rFonts w:cstheme="minorHAnsi"/>
          <w:color w:val="231F20"/>
          <w:spacing w:val="-40"/>
          <w:w w:val="105"/>
        </w:rPr>
        <w:t xml:space="preserve"> </w:t>
      </w:r>
      <w:r w:rsidRPr="00BE609D">
        <w:rPr>
          <w:rFonts w:cstheme="minorHAnsi"/>
          <w:color w:val="231F20"/>
          <w:w w:val="105"/>
        </w:rPr>
        <w:t>localities and training providers. Florida has several valuable methods for continually monitoring performance</w:t>
      </w:r>
      <w:r w:rsidRPr="00BE609D">
        <w:rPr>
          <w:rFonts w:cstheme="minorHAnsi"/>
          <w:color w:val="231F20"/>
          <w:spacing w:val="22"/>
          <w:w w:val="105"/>
        </w:rPr>
        <w:t xml:space="preserve"> </w:t>
      </w:r>
      <w:r w:rsidRPr="00BE609D">
        <w:rPr>
          <w:rFonts w:cstheme="minorHAnsi"/>
          <w:color w:val="231F20"/>
          <w:w w:val="105"/>
        </w:rPr>
        <w:t>as both real-time management tools and tools for continuous improvement.</w:t>
      </w:r>
    </w:p>
    <w:p w14:paraId="686FABB5" w14:textId="77777777" w:rsidR="00BE609D" w:rsidRPr="00BE609D" w:rsidRDefault="00BE609D" w:rsidP="00D63204">
      <w:pPr>
        <w:widowControl w:val="0"/>
        <w:spacing w:before="5" w:after="0" w:line="240" w:lineRule="auto"/>
        <w:ind w:left="107"/>
        <w:rPr>
          <w:rFonts w:cstheme="minorHAnsi"/>
          <w:sz w:val="16"/>
          <w:szCs w:val="16"/>
        </w:rPr>
      </w:pPr>
    </w:p>
    <w:p w14:paraId="1F1B34EB" w14:textId="77777777" w:rsidR="00BE609D" w:rsidRPr="00BE609D" w:rsidRDefault="00BE609D" w:rsidP="00D63204">
      <w:pPr>
        <w:widowControl w:val="0"/>
        <w:spacing w:after="0" w:line="240" w:lineRule="auto"/>
        <w:ind w:left="107"/>
        <w:outlineLvl w:val="3"/>
        <w:rPr>
          <w:rFonts w:cstheme="minorHAnsi"/>
          <w:b/>
          <w:bCs/>
          <w:color w:val="231F20"/>
          <w:w w:val="105"/>
        </w:rPr>
      </w:pPr>
      <w:r w:rsidRPr="00BE609D">
        <w:rPr>
          <w:rFonts w:cstheme="minorHAnsi"/>
          <w:b/>
          <w:bCs/>
          <w:color w:val="231F20"/>
          <w:w w:val="105"/>
        </w:rPr>
        <w:t>Levels of Service</w:t>
      </w:r>
    </w:p>
    <w:p w14:paraId="71C9E001" w14:textId="3418FB18" w:rsidR="00BE609D" w:rsidRDefault="00BE609D" w:rsidP="00D63204">
      <w:pPr>
        <w:widowControl w:val="0"/>
        <w:spacing w:before="2" w:after="0" w:line="264" w:lineRule="exact"/>
        <w:ind w:left="107"/>
        <w:rPr>
          <w:rFonts w:cstheme="minorHAnsi"/>
          <w:color w:val="231F20"/>
          <w:w w:val="105"/>
        </w:rPr>
      </w:pPr>
      <w:r w:rsidRPr="00BE609D">
        <w:rPr>
          <w:rFonts w:cstheme="minorHAnsi"/>
          <w:color w:val="231F20"/>
          <w:w w:val="105"/>
        </w:rPr>
        <w:t>Total participants served during Program Year 2016-17 decreased by 0.6 percent for Adults</w:t>
      </w:r>
      <w:r w:rsidR="00F611B0">
        <w:rPr>
          <w:rFonts w:cstheme="minorHAnsi"/>
          <w:color w:val="231F20"/>
          <w:w w:val="105"/>
        </w:rPr>
        <w:t xml:space="preserve"> and</w:t>
      </w:r>
      <w:r w:rsidRPr="00BE609D">
        <w:rPr>
          <w:rFonts w:cstheme="minorHAnsi"/>
          <w:color w:val="231F20"/>
          <w:w w:val="105"/>
        </w:rPr>
        <w:t xml:space="preserve"> 1.7 percent for </w:t>
      </w:r>
      <w:r w:rsidR="00F611B0">
        <w:rPr>
          <w:rFonts w:cstheme="minorHAnsi"/>
          <w:color w:val="231F20"/>
          <w:w w:val="105"/>
        </w:rPr>
        <w:t>D</w:t>
      </w:r>
      <w:r w:rsidRPr="00BE609D">
        <w:rPr>
          <w:rFonts w:cstheme="minorHAnsi"/>
          <w:color w:val="231F20"/>
          <w:w w:val="105"/>
        </w:rPr>
        <w:t>islocated Workers</w:t>
      </w:r>
      <w:r w:rsidR="00F611B0">
        <w:rPr>
          <w:rFonts w:cstheme="minorHAnsi"/>
          <w:color w:val="231F20"/>
          <w:w w:val="105"/>
        </w:rPr>
        <w:t>.</w:t>
      </w:r>
      <w:r w:rsidRPr="00BE609D">
        <w:rPr>
          <w:rFonts w:cstheme="minorHAnsi"/>
          <w:color w:val="231F20"/>
          <w:w w:val="105"/>
        </w:rPr>
        <w:t xml:space="preserve"> Youth participants increased by 9.0 percent. The chart below presents the total number of participants </w:t>
      </w:r>
      <w:r w:rsidRPr="00CE2B97">
        <w:rPr>
          <w:rFonts w:cstheme="minorHAnsi"/>
          <w:color w:val="231F20"/>
          <w:w w:val="105"/>
        </w:rPr>
        <w:t>and exiters leaving the WIOA program</w:t>
      </w:r>
      <w:r w:rsidRPr="00BE609D">
        <w:rPr>
          <w:rFonts w:cstheme="minorHAnsi"/>
          <w:color w:val="231F20"/>
          <w:w w:val="105"/>
        </w:rPr>
        <w:t xml:space="preserve"> during Program Year 2016-17.</w:t>
      </w:r>
      <w:r w:rsidRPr="001E7881">
        <w:rPr>
          <w:rFonts w:cstheme="minorHAnsi"/>
          <w:color w:val="231F20"/>
          <w:w w:val="105"/>
        </w:rPr>
        <w:t> </w:t>
      </w:r>
    </w:p>
    <w:p w14:paraId="1A6DCD52" w14:textId="77777777" w:rsidR="00BE609D" w:rsidRPr="001E7881" w:rsidRDefault="00BE609D" w:rsidP="00D63204">
      <w:pPr>
        <w:widowControl w:val="0"/>
        <w:spacing w:before="2" w:after="0" w:line="264" w:lineRule="exact"/>
        <w:ind w:left="107"/>
        <w:rPr>
          <w:rFonts w:cstheme="minorHAnsi"/>
          <w:color w:val="231F20"/>
          <w:w w:val="105"/>
        </w:rPr>
      </w:pPr>
    </w:p>
    <w:p w14:paraId="4CA8B393" w14:textId="6374BD9E" w:rsidR="00524231" w:rsidRPr="00524231" w:rsidRDefault="00524231" w:rsidP="00D63204">
      <w:pPr>
        <w:shd w:val="clear" w:color="auto" w:fill="FFFFFF"/>
        <w:spacing w:after="0" w:line="240" w:lineRule="auto"/>
        <w:rPr>
          <w:rFonts w:ascii="Segoe UI" w:hAnsi="Segoe UI" w:cs="Segoe UI"/>
          <w:color w:val="212121"/>
          <w:sz w:val="23"/>
          <w:szCs w:val="23"/>
        </w:rPr>
      </w:pPr>
      <w:r>
        <w:rPr>
          <w:rFonts w:ascii="Calibri" w:hAnsi="Calibri" w:cs="Calibri"/>
          <w:b/>
          <w:bCs/>
          <w:color w:val="231F20"/>
        </w:rPr>
        <w:t>Figure 3.</w:t>
      </w:r>
      <w:r w:rsidR="00582A27">
        <w:rPr>
          <w:rFonts w:ascii="Calibri" w:hAnsi="Calibri" w:cs="Calibri"/>
          <w:b/>
          <w:bCs/>
          <w:color w:val="231F20"/>
        </w:rPr>
        <w:t>0</w:t>
      </w:r>
      <w:r>
        <w:rPr>
          <w:rFonts w:ascii="Calibri" w:hAnsi="Calibri" w:cs="Calibri"/>
          <w:b/>
          <w:bCs/>
          <w:color w:val="231F20"/>
        </w:rPr>
        <w:t>9</w:t>
      </w:r>
    </w:p>
    <w:p w14:paraId="7EFDF1E7" w14:textId="77777777" w:rsidR="00524231" w:rsidRPr="00524231" w:rsidRDefault="00524231" w:rsidP="00D63204">
      <w:pPr>
        <w:shd w:val="clear" w:color="auto" w:fill="FFFFFF"/>
        <w:spacing w:after="0" w:line="240" w:lineRule="auto"/>
        <w:rPr>
          <w:rFonts w:ascii="Segoe UI" w:hAnsi="Segoe UI" w:cs="Segoe UI"/>
          <w:color w:val="212121"/>
          <w:sz w:val="23"/>
          <w:szCs w:val="23"/>
        </w:rPr>
      </w:pPr>
      <w:r w:rsidRPr="00524231">
        <w:rPr>
          <w:rFonts w:ascii="Calibri" w:hAnsi="Calibri" w:cs="Calibri"/>
          <w:b/>
          <w:bCs/>
          <w:color w:val="231F20"/>
        </w:rPr>
        <w:t>2016-2017 WIOA Participants/Exiters</w:t>
      </w:r>
    </w:p>
    <w:p w14:paraId="6F363382" w14:textId="77777777" w:rsidR="00524231" w:rsidRPr="00524231" w:rsidRDefault="00524231" w:rsidP="00524231">
      <w:pPr>
        <w:shd w:val="clear" w:color="auto" w:fill="FFFFFF"/>
        <w:spacing w:after="0" w:line="240" w:lineRule="auto"/>
        <w:rPr>
          <w:rFonts w:ascii="Segoe UI" w:hAnsi="Segoe UI" w:cs="Segoe UI"/>
          <w:color w:val="212121"/>
          <w:sz w:val="23"/>
          <w:szCs w:val="23"/>
        </w:rPr>
      </w:pPr>
      <w:r w:rsidRPr="00524231">
        <w:rPr>
          <w:rFonts w:ascii="Calibri" w:hAnsi="Calibri" w:cs="Calibri"/>
          <w:b/>
          <w:bCs/>
          <w:color w:val="212121"/>
          <w:sz w:val="18"/>
          <w:szCs w:val="18"/>
        </w:rPr>
        <w:t> </w:t>
      </w:r>
    </w:p>
    <w:tbl>
      <w:tblPr>
        <w:tblW w:w="0" w:type="auto"/>
        <w:tblInd w:w="108" w:type="dxa"/>
        <w:shd w:val="clear" w:color="auto" w:fill="FFFFFF"/>
        <w:tblCellMar>
          <w:left w:w="0" w:type="dxa"/>
          <w:right w:w="0" w:type="dxa"/>
        </w:tblCellMar>
        <w:tblLook w:val="04A0" w:firstRow="1" w:lastRow="0" w:firstColumn="1" w:lastColumn="0" w:noHBand="0" w:noVBand="1"/>
      </w:tblPr>
      <w:tblGrid>
        <w:gridCol w:w="3392"/>
        <w:gridCol w:w="3686"/>
        <w:gridCol w:w="3086"/>
      </w:tblGrid>
      <w:tr w:rsidR="00524231" w:rsidRPr="00524231" w14:paraId="6A37EF6D" w14:textId="77777777" w:rsidTr="00215B47">
        <w:trPr>
          <w:trHeight w:val="410"/>
        </w:trPr>
        <w:tc>
          <w:tcPr>
            <w:tcW w:w="3392" w:type="dxa"/>
            <w:tcBorders>
              <w:top w:val="single" w:sz="8" w:space="0" w:color="231F20"/>
              <w:left w:val="single" w:sz="8" w:space="0" w:color="231F20"/>
              <w:bottom w:val="single" w:sz="8" w:space="0" w:color="231F20"/>
              <w:right w:val="single" w:sz="8" w:space="0" w:color="231F20"/>
            </w:tcBorders>
            <w:shd w:val="clear" w:color="auto" w:fill="FFFFFF"/>
            <w:vAlign w:val="center"/>
            <w:hideMark/>
          </w:tcPr>
          <w:p w14:paraId="0D630787" w14:textId="77777777" w:rsidR="00524231" w:rsidRPr="00524231" w:rsidRDefault="00524231" w:rsidP="00215B47">
            <w:pPr>
              <w:spacing w:after="0" w:line="240" w:lineRule="auto"/>
              <w:rPr>
                <w:rFonts w:ascii="Segoe UI" w:hAnsi="Segoe UI" w:cs="Segoe UI"/>
                <w:color w:val="212121"/>
                <w:sz w:val="23"/>
                <w:szCs w:val="23"/>
              </w:rPr>
            </w:pPr>
            <w:r w:rsidRPr="00524231">
              <w:rPr>
                <w:rFonts w:ascii="Calibri" w:hAnsi="Calibri" w:cs="Calibri"/>
                <w:b/>
                <w:bCs/>
                <w:color w:val="231F20"/>
                <w:sz w:val="20"/>
                <w:szCs w:val="20"/>
              </w:rPr>
              <w:t>WIOA Program</w:t>
            </w:r>
          </w:p>
        </w:tc>
        <w:tc>
          <w:tcPr>
            <w:tcW w:w="3686" w:type="dxa"/>
            <w:tcBorders>
              <w:top w:val="single" w:sz="8" w:space="0" w:color="231F20"/>
              <w:left w:val="nil"/>
              <w:bottom w:val="single" w:sz="8" w:space="0" w:color="231F20"/>
              <w:right w:val="single" w:sz="8" w:space="0" w:color="231F20"/>
            </w:tcBorders>
            <w:shd w:val="clear" w:color="auto" w:fill="FFFFFF"/>
            <w:vAlign w:val="center"/>
            <w:hideMark/>
          </w:tcPr>
          <w:p w14:paraId="2B247EEA" w14:textId="77777777" w:rsidR="00524231" w:rsidRPr="00524231" w:rsidRDefault="00524231" w:rsidP="00D63204">
            <w:pPr>
              <w:spacing w:after="0" w:line="240" w:lineRule="auto"/>
              <w:rPr>
                <w:rFonts w:ascii="Segoe UI" w:hAnsi="Segoe UI" w:cs="Segoe UI"/>
                <w:color w:val="212121"/>
                <w:sz w:val="23"/>
                <w:szCs w:val="23"/>
              </w:rPr>
            </w:pPr>
            <w:r w:rsidRPr="00524231">
              <w:rPr>
                <w:rFonts w:ascii="Calibri" w:hAnsi="Calibri" w:cs="Calibri"/>
                <w:b/>
                <w:bCs/>
                <w:color w:val="231F20"/>
                <w:sz w:val="20"/>
                <w:szCs w:val="20"/>
              </w:rPr>
              <w:t>Total Participants Served</w:t>
            </w:r>
          </w:p>
        </w:tc>
        <w:tc>
          <w:tcPr>
            <w:tcW w:w="3086" w:type="dxa"/>
            <w:tcBorders>
              <w:top w:val="single" w:sz="8" w:space="0" w:color="231F20"/>
              <w:left w:val="nil"/>
              <w:bottom w:val="single" w:sz="8" w:space="0" w:color="231F20"/>
              <w:right w:val="single" w:sz="8" w:space="0" w:color="231F20"/>
            </w:tcBorders>
            <w:shd w:val="clear" w:color="auto" w:fill="FFFFFF"/>
            <w:vAlign w:val="center"/>
            <w:hideMark/>
          </w:tcPr>
          <w:p w14:paraId="3225ABAE" w14:textId="77777777" w:rsidR="00524231" w:rsidRPr="00524231" w:rsidRDefault="00524231" w:rsidP="00D63204">
            <w:pPr>
              <w:spacing w:after="0" w:line="240" w:lineRule="auto"/>
              <w:rPr>
                <w:rFonts w:ascii="Segoe UI" w:hAnsi="Segoe UI" w:cs="Segoe UI"/>
                <w:color w:val="212121"/>
                <w:sz w:val="23"/>
                <w:szCs w:val="23"/>
              </w:rPr>
            </w:pPr>
            <w:r w:rsidRPr="00524231">
              <w:rPr>
                <w:rFonts w:ascii="Calibri" w:hAnsi="Calibri" w:cs="Calibri"/>
                <w:b/>
                <w:bCs/>
                <w:color w:val="231F20"/>
                <w:sz w:val="20"/>
                <w:szCs w:val="20"/>
              </w:rPr>
              <w:t>Total Exiters</w:t>
            </w:r>
          </w:p>
        </w:tc>
      </w:tr>
      <w:tr w:rsidR="00524231" w:rsidRPr="00524231" w14:paraId="4110E13A" w14:textId="77777777" w:rsidTr="00215B47">
        <w:trPr>
          <w:trHeight w:val="318"/>
        </w:trPr>
        <w:tc>
          <w:tcPr>
            <w:tcW w:w="3392" w:type="dxa"/>
            <w:tcBorders>
              <w:top w:val="nil"/>
              <w:left w:val="single" w:sz="8" w:space="0" w:color="231F20"/>
              <w:bottom w:val="single" w:sz="8" w:space="0" w:color="231F20"/>
              <w:right w:val="single" w:sz="8" w:space="0" w:color="231F20"/>
            </w:tcBorders>
            <w:shd w:val="clear" w:color="auto" w:fill="E6E7E8"/>
            <w:vAlign w:val="center"/>
            <w:hideMark/>
          </w:tcPr>
          <w:p w14:paraId="7EE911CB" w14:textId="77777777" w:rsidR="00524231" w:rsidRPr="00524231" w:rsidRDefault="00524231" w:rsidP="00215B47">
            <w:pPr>
              <w:spacing w:after="0" w:line="240" w:lineRule="auto"/>
              <w:ind w:left="62"/>
              <w:rPr>
                <w:rFonts w:ascii="Segoe UI" w:hAnsi="Segoe UI" w:cs="Segoe UI"/>
                <w:color w:val="212121"/>
                <w:sz w:val="23"/>
                <w:szCs w:val="23"/>
                <w:shd w:val="clear" w:color="auto" w:fill="E6E7E8"/>
              </w:rPr>
            </w:pPr>
            <w:r w:rsidRPr="00524231">
              <w:rPr>
                <w:rFonts w:ascii="Calibri" w:hAnsi="Calibri" w:cs="Calibri"/>
                <w:color w:val="231F20"/>
                <w:sz w:val="20"/>
                <w:szCs w:val="20"/>
                <w:shd w:val="clear" w:color="auto" w:fill="E6E7E8"/>
              </w:rPr>
              <w:t>Adults</w:t>
            </w:r>
          </w:p>
        </w:tc>
        <w:tc>
          <w:tcPr>
            <w:tcW w:w="3686" w:type="dxa"/>
            <w:tcBorders>
              <w:top w:val="nil"/>
              <w:left w:val="nil"/>
              <w:bottom w:val="single" w:sz="8" w:space="0" w:color="231F20"/>
              <w:right w:val="single" w:sz="8" w:space="0" w:color="231F20"/>
            </w:tcBorders>
            <w:shd w:val="clear" w:color="auto" w:fill="E6E7E8"/>
            <w:vAlign w:val="center"/>
            <w:hideMark/>
          </w:tcPr>
          <w:p w14:paraId="4E5C99D9" w14:textId="77777777" w:rsidR="00524231" w:rsidRPr="00524231" w:rsidRDefault="00524231" w:rsidP="00D63204">
            <w:pPr>
              <w:spacing w:after="0" w:line="240" w:lineRule="auto"/>
              <w:rPr>
                <w:rFonts w:ascii="Segoe UI" w:hAnsi="Segoe UI" w:cs="Segoe UI"/>
                <w:color w:val="212121"/>
                <w:sz w:val="23"/>
                <w:szCs w:val="23"/>
                <w:shd w:val="clear" w:color="auto" w:fill="E6E7E8"/>
              </w:rPr>
            </w:pPr>
            <w:r w:rsidRPr="00524231">
              <w:rPr>
                <w:rFonts w:ascii="Calibri" w:hAnsi="Calibri" w:cs="Calibri"/>
                <w:color w:val="231F20"/>
                <w:sz w:val="20"/>
                <w:szCs w:val="20"/>
                <w:shd w:val="clear" w:color="auto" w:fill="E6E7E8"/>
              </w:rPr>
              <w:t>27,375</w:t>
            </w:r>
          </w:p>
        </w:tc>
        <w:tc>
          <w:tcPr>
            <w:tcW w:w="3086" w:type="dxa"/>
            <w:tcBorders>
              <w:top w:val="nil"/>
              <w:left w:val="nil"/>
              <w:bottom w:val="single" w:sz="8" w:space="0" w:color="231F20"/>
              <w:right w:val="single" w:sz="8" w:space="0" w:color="231F20"/>
            </w:tcBorders>
            <w:shd w:val="clear" w:color="auto" w:fill="E6E7E8"/>
            <w:vAlign w:val="center"/>
            <w:hideMark/>
          </w:tcPr>
          <w:p w14:paraId="5186F279" w14:textId="6055645A" w:rsidR="00524231" w:rsidRPr="00524231" w:rsidRDefault="00524231" w:rsidP="00D63204">
            <w:pPr>
              <w:spacing w:after="0" w:line="240" w:lineRule="auto"/>
              <w:rPr>
                <w:rFonts w:ascii="Segoe UI" w:hAnsi="Segoe UI" w:cs="Segoe UI"/>
                <w:color w:val="212121"/>
                <w:sz w:val="23"/>
                <w:szCs w:val="23"/>
                <w:shd w:val="clear" w:color="auto" w:fill="E6E7E8"/>
              </w:rPr>
            </w:pPr>
            <w:r w:rsidRPr="00524231">
              <w:rPr>
                <w:rFonts w:ascii="Calibri" w:hAnsi="Calibri" w:cs="Calibri"/>
                <w:color w:val="231F20"/>
                <w:sz w:val="20"/>
                <w:szCs w:val="20"/>
                <w:shd w:val="clear" w:color="auto" w:fill="E6E7E8"/>
              </w:rPr>
              <w:t>9,544</w:t>
            </w:r>
          </w:p>
        </w:tc>
      </w:tr>
      <w:tr w:rsidR="00524231" w:rsidRPr="00524231" w14:paraId="36C1ACBD" w14:textId="77777777" w:rsidTr="00215B47">
        <w:trPr>
          <w:trHeight w:val="318"/>
        </w:trPr>
        <w:tc>
          <w:tcPr>
            <w:tcW w:w="3392" w:type="dxa"/>
            <w:tcBorders>
              <w:top w:val="nil"/>
              <w:left w:val="single" w:sz="8" w:space="0" w:color="231F20"/>
              <w:bottom w:val="single" w:sz="8" w:space="0" w:color="231F20"/>
              <w:right w:val="single" w:sz="8" w:space="0" w:color="231F20"/>
            </w:tcBorders>
            <w:shd w:val="clear" w:color="auto" w:fill="FFFFFF"/>
            <w:vAlign w:val="center"/>
            <w:hideMark/>
          </w:tcPr>
          <w:p w14:paraId="3F9D3CAC" w14:textId="77777777" w:rsidR="00524231" w:rsidRPr="00524231" w:rsidRDefault="00524231" w:rsidP="00215B47">
            <w:pPr>
              <w:spacing w:after="0" w:line="240" w:lineRule="auto"/>
              <w:ind w:left="62"/>
              <w:rPr>
                <w:rFonts w:ascii="Segoe UI" w:hAnsi="Segoe UI" w:cs="Segoe UI"/>
                <w:color w:val="212121"/>
                <w:sz w:val="23"/>
                <w:szCs w:val="23"/>
              </w:rPr>
            </w:pPr>
            <w:r w:rsidRPr="00524231">
              <w:rPr>
                <w:rFonts w:ascii="Calibri" w:hAnsi="Calibri" w:cs="Calibri"/>
                <w:color w:val="231F20"/>
                <w:sz w:val="20"/>
                <w:szCs w:val="20"/>
              </w:rPr>
              <w:t>Dislocated Workers*</w:t>
            </w:r>
          </w:p>
        </w:tc>
        <w:tc>
          <w:tcPr>
            <w:tcW w:w="3686" w:type="dxa"/>
            <w:tcBorders>
              <w:top w:val="nil"/>
              <w:left w:val="nil"/>
              <w:bottom w:val="single" w:sz="8" w:space="0" w:color="231F20"/>
              <w:right w:val="single" w:sz="8" w:space="0" w:color="231F20"/>
            </w:tcBorders>
            <w:shd w:val="clear" w:color="auto" w:fill="FFFFFF"/>
            <w:vAlign w:val="center"/>
            <w:hideMark/>
          </w:tcPr>
          <w:p w14:paraId="0E2D5AB8" w14:textId="2AB5B645" w:rsidR="00524231" w:rsidRPr="00524231" w:rsidRDefault="00524231" w:rsidP="00D63204">
            <w:pPr>
              <w:spacing w:after="0" w:line="240" w:lineRule="auto"/>
              <w:rPr>
                <w:rFonts w:ascii="Segoe UI" w:hAnsi="Segoe UI" w:cs="Segoe UI"/>
                <w:color w:val="212121"/>
                <w:sz w:val="23"/>
                <w:szCs w:val="23"/>
              </w:rPr>
            </w:pPr>
            <w:r w:rsidRPr="00524231">
              <w:rPr>
                <w:rFonts w:ascii="Calibri" w:hAnsi="Calibri" w:cs="Calibri"/>
                <w:color w:val="231F20"/>
                <w:sz w:val="20"/>
                <w:szCs w:val="20"/>
              </w:rPr>
              <w:t>8,296</w:t>
            </w:r>
          </w:p>
        </w:tc>
        <w:tc>
          <w:tcPr>
            <w:tcW w:w="3086" w:type="dxa"/>
            <w:tcBorders>
              <w:top w:val="nil"/>
              <w:left w:val="nil"/>
              <w:bottom w:val="single" w:sz="8" w:space="0" w:color="231F20"/>
              <w:right w:val="single" w:sz="8" w:space="0" w:color="231F20"/>
            </w:tcBorders>
            <w:shd w:val="clear" w:color="auto" w:fill="FFFFFF"/>
            <w:vAlign w:val="center"/>
            <w:hideMark/>
          </w:tcPr>
          <w:p w14:paraId="7CFDFC36" w14:textId="77777777" w:rsidR="00524231" w:rsidRPr="00524231" w:rsidRDefault="00524231" w:rsidP="00D63204">
            <w:pPr>
              <w:spacing w:after="0" w:line="240" w:lineRule="auto"/>
              <w:rPr>
                <w:rFonts w:ascii="Segoe UI" w:hAnsi="Segoe UI" w:cs="Segoe UI"/>
                <w:color w:val="212121"/>
                <w:sz w:val="23"/>
                <w:szCs w:val="23"/>
              </w:rPr>
            </w:pPr>
            <w:r w:rsidRPr="00524231">
              <w:rPr>
                <w:rFonts w:ascii="Calibri" w:hAnsi="Calibri" w:cs="Calibri"/>
                <w:color w:val="231F20"/>
                <w:sz w:val="20"/>
                <w:szCs w:val="20"/>
              </w:rPr>
              <w:t>3,284</w:t>
            </w:r>
          </w:p>
        </w:tc>
      </w:tr>
      <w:tr w:rsidR="00524231" w:rsidRPr="00524231" w14:paraId="6BF14875" w14:textId="77777777" w:rsidTr="00215B47">
        <w:trPr>
          <w:trHeight w:val="318"/>
        </w:trPr>
        <w:tc>
          <w:tcPr>
            <w:tcW w:w="3392" w:type="dxa"/>
            <w:tcBorders>
              <w:top w:val="nil"/>
              <w:left w:val="single" w:sz="8" w:space="0" w:color="231F20"/>
              <w:bottom w:val="single" w:sz="8" w:space="0" w:color="231F20"/>
              <w:right w:val="single" w:sz="8" w:space="0" w:color="231F20"/>
            </w:tcBorders>
            <w:shd w:val="clear" w:color="auto" w:fill="E6E7E8"/>
            <w:vAlign w:val="center"/>
            <w:hideMark/>
          </w:tcPr>
          <w:p w14:paraId="3F0C91B9" w14:textId="77777777" w:rsidR="00524231" w:rsidRPr="00524231" w:rsidRDefault="00524231" w:rsidP="00215B47">
            <w:pPr>
              <w:spacing w:after="0" w:line="240" w:lineRule="auto"/>
              <w:ind w:left="62"/>
              <w:rPr>
                <w:rFonts w:ascii="Segoe UI" w:hAnsi="Segoe UI" w:cs="Segoe UI"/>
                <w:color w:val="212121"/>
                <w:sz w:val="23"/>
                <w:szCs w:val="23"/>
                <w:shd w:val="clear" w:color="auto" w:fill="E6E7E8"/>
              </w:rPr>
            </w:pPr>
            <w:r w:rsidRPr="00524231">
              <w:rPr>
                <w:rFonts w:ascii="Calibri" w:hAnsi="Calibri" w:cs="Calibri"/>
                <w:color w:val="231F20"/>
                <w:sz w:val="20"/>
                <w:szCs w:val="20"/>
                <w:shd w:val="clear" w:color="auto" w:fill="E6E7E8"/>
              </w:rPr>
              <w:t>Youth</w:t>
            </w:r>
          </w:p>
        </w:tc>
        <w:tc>
          <w:tcPr>
            <w:tcW w:w="3686" w:type="dxa"/>
            <w:tcBorders>
              <w:top w:val="nil"/>
              <w:left w:val="nil"/>
              <w:bottom w:val="single" w:sz="8" w:space="0" w:color="231F20"/>
              <w:right w:val="single" w:sz="8" w:space="0" w:color="231F20"/>
            </w:tcBorders>
            <w:shd w:val="clear" w:color="auto" w:fill="E6E7E8"/>
            <w:vAlign w:val="center"/>
            <w:hideMark/>
          </w:tcPr>
          <w:p w14:paraId="603F2F7C" w14:textId="77777777" w:rsidR="00524231" w:rsidRPr="00524231" w:rsidRDefault="00524231" w:rsidP="00D63204">
            <w:pPr>
              <w:spacing w:after="0" w:line="240" w:lineRule="auto"/>
              <w:rPr>
                <w:rFonts w:ascii="Segoe UI" w:hAnsi="Segoe UI" w:cs="Segoe UI"/>
                <w:color w:val="212121"/>
                <w:sz w:val="23"/>
                <w:szCs w:val="23"/>
                <w:shd w:val="clear" w:color="auto" w:fill="E6E7E8"/>
              </w:rPr>
            </w:pPr>
            <w:r w:rsidRPr="00524231">
              <w:rPr>
                <w:rFonts w:ascii="Calibri" w:hAnsi="Calibri" w:cs="Calibri"/>
                <w:color w:val="231F20"/>
                <w:sz w:val="20"/>
                <w:szCs w:val="20"/>
                <w:shd w:val="clear" w:color="auto" w:fill="E6E7E8"/>
              </w:rPr>
              <w:t>12,411</w:t>
            </w:r>
          </w:p>
        </w:tc>
        <w:tc>
          <w:tcPr>
            <w:tcW w:w="3086" w:type="dxa"/>
            <w:tcBorders>
              <w:top w:val="nil"/>
              <w:left w:val="nil"/>
              <w:bottom w:val="single" w:sz="8" w:space="0" w:color="231F20"/>
              <w:right w:val="single" w:sz="8" w:space="0" w:color="231F20"/>
            </w:tcBorders>
            <w:shd w:val="clear" w:color="auto" w:fill="E6E7E8"/>
            <w:vAlign w:val="center"/>
            <w:hideMark/>
          </w:tcPr>
          <w:p w14:paraId="730D9A9C" w14:textId="46F7C6EF" w:rsidR="00524231" w:rsidRPr="00524231" w:rsidRDefault="00524231" w:rsidP="00D63204">
            <w:pPr>
              <w:spacing w:after="0" w:line="240" w:lineRule="auto"/>
              <w:rPr>
                <w:rFonts w:ascii="Segoe UI" w:hAnsi="Segoe UI" w:cs="Segoe UI"/>
                <w:color w:val="212121"/>
                <w:sz w:val="23"/>
                <w:szCs w:val="23"/>
                <w:shd w:val="clear" w:color="auto" w:fill="E6E7E8"/>
              </w:rPr>
            </w:pPr>
            <w:r w:rsidRPr="00524231">
              <w:rPr>
                <w:rFonts w:ascii="Calibri" w:hAnsi="Calibri" w:cs="Calibri"/>
                <w:color w:val="231F20"/>
                <w:sz w:val="20"/>
                <w:szCs w:val="20"/>
                <w:shd w:val="clear" w:color="auto" w:fill="E6E7E8"/>
              </w:rPr>
              <w:t>2,928</w:t>
            </w:r>
          </w:p>
        </w:tc>
      </w:tr>
    </w:tbl>
    <w:p w14:paraId="6CA82AA9" w14:textId="48AA124F" w:rsidR="00524231" w:rsidRPr="001E7881" w:rsidRDefault="00524231" w:rsidP="00D63204">
      <w:pPr>
        <w:widowControl w:val="0"/>
        <w:spacing w:before="2" w:after="0" w:line="264" w:lineRule="exact"/>
        <w:ind w:left="107"/>
        <w:rPr>
          <w:rFonts w:cstheme="minorHAnsi"/>
          <w:color w:val="231F20"/>
          <w:w w:val="105"/>
        </w:rPr>
      </w:pPr>
      <w:r w:rsidRPr="001E7881">
        <w:rPr>
          <w:rFonts w:cstheme="minorHAnsi"/>
          <w:color w:val="231F20"/>
          <w:w w:val="105"/>
        </w:rPr>
        <w:t>* DW numbers include DW grants, which served 1,773 participants and had 694 exiters.</w:t>
      </w:r>
    </w:p>
    <w:p w14:paraId="3F8D2E66" w14:textId="77777777" w:rsidR="00524231" w:rsidRPr="00524231" w:rsidRDefault="00524231" w:rsidP="00524231">
      <w:pPr>
        <w:shd w:val="clear" w:color="auto" w:fill="FFFFFF"/>
        <w:spacing w:after="0" w:line="240" w:lineRule="auto"/>
        <w:rPr>
          <w:rFonts w:ascii="Segoe UI" w:hAnsi="Segoe UI" w:cs="Segoe UI"/>
          <w:color w:val="212121"/>
          <w:sz w:val="23"/>
          <w:szCs w:val="23"/>
        </w:rPr>
      </w:pPr>
    </w:p>
    <w:p w14:paraId="2C1FFA5F" w14:textId="18F7624D" w:rsidR="00FA007C" w:rsidRPr="00E06806" w:rsidRDefault="00FA007C" w:rsidP="00D63204">
      <w:pPr>
        <w:ind w:left="107"/>
        <w:rPr>
          <w:rFonts w:cstheme="minorHAnsi"/>
        </w:rPr>
      </w:pPr>
      <w:r w:rsidRPr="00E06806">
        <w:rPr>
          <w:rFonts w:cstheme="minorHAnsi"/>
          <w:b/>
          <w:bCs/>
          <w:color w:val="231F20"/>
        </w:rPr>
        <w:t>Figure 3.10</w:t>
      </w:r>
      <w:r w:rsidRPr="00E06806">
        <w:rPr>
          <w:rFonts w:cstheme="minorHAnsi"/>
          <w:b/>
          <w:bCs/>
          <w:color w:val="231F20"/>
        </w:rPr>
        <w:br/>
        <w:t>2015-2016 WIA Participants/Exiters</w:t>
      </w:r>
    </w:p>
    <w:tbl>
      <w:tblPr>
        <w:tblW w:w="0" w:type="auto"/>
        <w:tblInd w:w="108" w:type="dxa"/>
        <w:tblCellMar>
          <w:left w:w="0" w:type="dxa"/>
          <w:right w:w="0" w:type="dxa"/>
        </w:tblCellMar>
        <w:tblLook w:val="04A0" w:firstRow="1" w:lastRow="0" w:firstColumn="1" w:lastColumn="0" w:noHBand="0" w:noVBand="1"/>
      </w:tblPr>
      <w:tblGrid>
        <w:gridCol w:w="3392"/>
        <w:gridCol w:w="3686"/>
        <w:gridCol w:w="3086"/>
      </w:tblGrid>
      <w:tr w:rsidR="00FA007C" w:rsidRPr="00E06806" w14:paraId="6DCF0443" w14:textId="77777777" w:rsidTr="00215B47">
        <w:trPr>
          <w:trHeight w:hRule="exact" w:val="410"/>
        </w:trPr>
        <w:tc>
          <w:tcPr>
            <w:tcW w:w="3392" w:type="dxa"/>
            <w:tcBorders>
              <w:top w:val="single" w:sz="8" w:space="0" w:color="231F20"/>
              <w:left w:val="single" w:sz="8" w:space="0" w:color="231F20"/>
              <w:bottom w:val="single" w:sz="8" w:space="0" w:color="231F20"/>
              <w:right w:val="single" w:sz="8" w:space="0" w:color="231F20"/>
            </w:tcBorders>
            <w:vAlign w:val="center"/>
            <w:hideMark/>
          </w:tcPr>
          <w:p w14:paraId="61D4D6E4" w14:textId="77777777" w:rsidR="00FA007C" w:rsidRPr="00E06806" w:rsidRDefault="00FA007C" w:rsidP="00215B47">
            <w:pPr>
              <w:spacing w:before="91"/>
              <w:ind w:left="107"/>
              <w:rPr>
                <w:rFonts w:cstheme="minorHAnsi"/>
                <w:sz w:val="20"/>
                <w:szCs w:val="20"/>
              </w:rPr>
            </w:pPr>
            <w:r w:rsidRPr="00E06806">
              <w:rPr>
                <w:rFonts w:cstheme="minorHAnsi"/>
                <w:b/>
                <w:bCs/>
                <w:color w:val="231F20"/>
                <w:sz w:val="20"/>
                <w:szCs w:val="20"/>
              </w:rPr>
              <w:t>WIA</w:t>
            </w:r>
            <w:r w:rsidRPr="00E06806">
              <w:rPr>
                <w:rFonts w:cstheme="minorHAnsi"/>
                <w:b/>
                <w:bCs/>
                <w:color w:val="231F20"/>
                <w:spacing w:val="37"/>
                <w:sz w:val="20"/>
                <w:szCs w:val="20"/>
              </w:rPr>
              <w:t xml:space="preserve"> </w:t>
            </w:r>
            <w:r w:rsidRPr="00E06806">
              <w:rPr>
                <w:rFonts w:cstheme="minorHAnsi"/>
                <w:b/>
                <w:bCs/>
                <w:color w:val="231F20"/>
                <w:sz w:val="20"/>
                <w:szCs w:val="20"/>
              </w:rPr>
              <w:t>Program</w:t>
            </w:r>
          </w:p>
        </w:tc>
        <w:tc>
          <w:tcPr>
            <w:tcW w:w="3686" w:type="dxa"/>
            <w:tcBorders>
              <w:top w:val="single" w:sz="8" w:space="0" w:color="231F20"/>
              <w:left w:val="nil"/>
              <w:bottom w:val="single" w:sz="8" w:space="0" w:color="231F20"/>
              <w:right w:val="single" w:sz="8" w:space="0" w:color="231F20"/>
            </w:tcBorders>
            <w:vAlign w:val="center"/>
            <w:hideMark/>
          </w:tcPr>
          <w:p w14:paraId="3D44E001" w14:textId="77777777" w:rsidR="00FA007C" w:rsidRPr="00E06806" w:rsidRDefault="00FA007C" w:rsidP="00D63204">
            <w:pPr>
              <w:spacing w:before="91"/>
              <w:ind w:left="107"/>
              <w:rPr>
                <w:rFonts w:cstheme="minorHAnsi"/>
                <w:sz w:val="20"/>
                <w:szCs w:val="20"/>
              </w:rPr>
            </w:pPr>
            <w:r w:rsidRPr="00E06806">
              <w:rPr>
                <w:rFonts w:cstheme="minorHAnsi"/>
                <w:b/>
                <w:bCs/>
                <w:color w:val="231F20"/>
                <w:spacing w:val="-4"/>
                <w:sz w:val="20"/>
                <w:szCs w:val="20"/>
              </w:rPr>
              <w:t xml:space="preserve">Total </w:t>
            </w:r>
            <w:r w:rsidRPr="00E06806">
              <w:rPr>
                <w:rFonts w:cstheme="minorHAnsi"/>
                <w:b/>
                <w:bCs/>
                <w:color w:val="231F20"/>
                <w:sz w:val="20"/>
                <w:szCs w:val="20"/>
              </w:rPr>
              <w:t>Participants</w:t>
            </w:r>
            <w:r w:rsidRPr="00E06806">
              <w:rPr>
                <w:rFonts w:cstheme="minorHAnsi"/>
                <w:b/>
                <w:bCs/>
                <w:color w:val="231F20"/>
                <w:spacing w:val="-10"/>
                <w:sz w:val="20"/>
                <w:szCs w:val="20"/>
              </w:rPr>
              <w:t xml:space="preserve"> </w:t>
            </w:r>
            <w:r w:rsidRPr="00E06806">
              <w:rPr>
                <w:rFonts w:cstheme="minorHAnsi"/>
                <w:b/>
                <w:bCs/>
                <w:color w:val="231F20"/>
                <w:sz w:val="20"/>
                <w:szCs w:val="20"/>
              </w:rPr>
              <w:t>Served</w:t>
            </w:r>
          </w:p>
        </w:tc>
        <w:tc>
          <w:tcPr>
            <w:tcW w:w="3086" w:type="dxa"/>
            <w:tcBorders>
              <w:top w:val="single" w:sz="8" w:space="0" w:color="231F20"/>
              <w:left w:val="nil"/>
              <w:bottom w:val="single" w:sz="8" w:space="0" w:color="231F20"/>
              <w:right w:val="single" w:sz="8" w:space="0" w:color="231F20"/>
            </w:tcBorders>
            <w:vAlign w:val="center"/>
            <w:hideMark/>
          </w:tcPr>
          <w:p w14:paraId="16524934" w14:textId="77777777" w:rsidR="00FA007C" w:rsidRPr="00E06806" w:rsidRDefault="00FA007C" w:rsidP="00D63204">
            <w:pPr>
              <w:spacing w:before="91"/>
              <w:ind w:left="107"/>
              <w:rPr>
                <w:rFonts w:cstheme="minorHAnsi"/>
                <w:sz w:val="20"/>
                <w:szCs w:val="20"/>
              </w:rPr>
            </w:pPr>
            <w:r w:rsidRPr="00E06806">
              <w:rPr>
                <w:rFonts w:cstheme="minorHAnsi"/>
                <w:b/>
                <w:bCs/>
                <w:color w:val="231F20"/>
                <w:spacing w:val="-4"/>
                <w:sz w:val="20"/>
                <w:szCs w:val="20"/>
              </w:rPr>
              <w:t>Total</w:t>
            </w:r>
            <w:r w:rsidRPr="00E06806">
              <w:rPr>
                <w:rFonts w:cstheme="minorHAnsi"/>
                <w:b/>
                <w:bCs/>
                <w:color w:val="231F20"/>
                <w:spacing w:val="-9"/>
                <w:sz w:val="20"/>
                <w:szCs w:val="20"/>
              </w:rPr>
              <w:t xml:space="preserve"> </w:t>
            </w:r>
            <w:r w:rsidRPr="00E06806">
              <w:rPr>
                <w:rFonts w:cstheme="minorHAnsi"/>
                <w:b/>
                <w:bCs/>
                <w:color w:val="231F20"/>
                <w:sz w:val="20"/>
                <w:szCs w:val="20"/>
              </w:rPr>
              <w:t>Exiters</w:t>
            </w:r>
          </w:p>
        </w:tc>
      </w:tr>
      <w:tr w:rsidR="00FA007C" w:rsidRPr="00E06806" w14:paraId="2787CCA7" w14:textId="77777777" w:rsidTr="00215B47">
        <w:trPr>
          <w:trHeight w:hRule="exact" w:val="318"/>
        </w:trPr>
        <w:tc>
          <w:tcPr>
            <w:tcW w:w="3392" w:type="dxa"/>
            <w:tcBorders>
              <w:top w:val="nil"/>
              <w:left w:val="single" w:sz="8" w:space="0" w:color="231F20"/>
              <w:bottom w:val="single" w:sz="8" w:space="0" w:color="231F20"/>
              <w:right w:val="single" w:sz="8" w:space="0" w:color="231F20"/>
            </w:tcBorders>
            <w:shd w:val="clear" w:color="auto" w:fill="E6E7E8"/>
            <w:vAlign w:val="center"/>
            <w:hideMark/>
          </w:tcPr>
          <w:p w14:paraId="39E37D45" w14:textId="77777777" w:rsidR="00FA007C" w:rsidRPr="00E06806" w:rsidRDefault="00FA007C" w:rsidP="00215B47">
            <w:pPr>
              <w:spacing w:before="45"/>
              <w:ind w:left="107"/>
              <w:rPr>
                <w:rFonts w:cstheme="minorHAnsi"/>
                <w:sz w:val="20"/>
                <w:szCs w:val="20"/>
              </w:rPr>
            </w:pPr>
            <w:r w:rsidRPr="00E06806">
              <w:rPr>
                <w:rFonts w:cstheme="minorHAnsi"/>
                <w:color w:val="231F20"/>
                <w:sz w:val="20"/>
                <w:szCs w:val="20"/>
              </w:rPr>
              <w:t>Adults</w:t>
            </w:r>
          </w:p>
        </w:tc>
        <w:tc>
          <w:tcPr>
            <w:tcW w:w="3686" w:type="dxa"/>
            <w:tcBorders>
              <w:top w:val="nil"/>
              <w:left w:val="nil"/>
              <w:bottom w:val="single" w:sz="8" w:space="0" w:color="231F20"/>
              <w:right w:val="single" w:sz="8" w:space="0" w:color="231F20"/>
            </w:tcBorders>
            <w:shd w:val="clear" w:color="auto" w:fill="E6E7E8"/>
            <w:vAlign w:val="center"/>
            <w:hideMark/>
          </w:tcPr>
          <w:p w14:paraId="67498E84" w14:textId="77777777" w:rsidR="00FA007C" w:rsidRPr="00E06806" w:rsidRDefault="00FA007C" w:rsidP="00D63204">
            <w:pPr>
              <w:spacing w:before="45"/>
              <w:ind w:left="107"/>
              <w:rPr>
                <w:rFonts w:cstheme="minorHAnsi"/>
                <w:sz w:val="20"/>
                <w:szCs w:val="20"/>
              </w:rPr>
            </w:pPr>
            <w:r w:rsidRPr="00E06806">
              <w:rPr>
                <w:rFonts w:cstheme="minorHAnsi"/>
                <w:color w:val="231F20"/>
                <w:sz w:val="20"/>
                <w:szCs w:val="20"/>
              </w:rPr>
              <w:t>27,554</w:t>
            </w:r>
          </w:p>
        </w:tc>
        <w:tc>
          <w:tcPr>
            <w:tcW w:w="3086" w:type="dxa"/>
            <w:tcBorders>
              <w:top w:val="nil"/>
              <w:left w:val="nil"/>
              <w:bottom w:val="single" w:sz="8" w:space="0" w:color="231F20"/>
              <w:right w:val="single" w:sz="8" w:space="0" w:color="231F20"/>
            </w:tcBorders>
            <w:shd w:val="clear" w:color="auto" w:fill="E6E7E8"/>
            <w:vAlign w:val="center"/>
            <w:hideMark/>
          </w:tcPr>
          <w:p w14:paraId="0BED3E9D" w14:textId="77777777" w:rsidR="00FA007C" w:rsidRPr="00E06806" w:rsidRDefault="00FA007C" w:rsidP="00D63204">
            <w:pPr>
              <w:spacing w:before="45"/>
              <w:ind w:left="107"/>
              <w:rPr>
                <w:rFonts w:cstheme="minorHAnsi"/>
                <w:sz w:val="20"/>
                <w:szCs w:val="20"/>
              </w:rPr>
            </w:pPr>
            <w:r w:rsidRPr="00E06806">
              <w:rPr>
                <w:rFonts w:cstheme="minorHAnsi"/>
                <w:color w:val="231F20"/>
                <w:sz w:val="20"/>
                <w:szCs w:val="20"/>
              </w:rPr>
              <w:t>15,338</w:t>
            </w:r>
          </w:p>
        </w:tc>
      </w:tr>
      <w:tr w:rsidR="00FA007C" w:rsidRPr="00E06806" w14:paraId="5045786C" w14:textId="77777777" w:rsidTr="00215B47">
        <w:trPr>
          <w:trHeight w:hRule="exact" w:val="318"/>
        </w:trPr>
        <w:tc>
          <w:tcPr>
            <w:tcW w:w="3392" w:type="dxa"/>
            <w:tcBorders>
              <w:top w:val="nil"/>
              <w:left w:val="single" w:sz="8" w:space="0" w:color="231F20"/>
              <w:bottom w:val="single" w:sz="8" w:space="0" w:color="231F20"/>
              <w:right w:val="single" w:sz="8" w:space="0" w:color="231F20"/>
            </w:tcBorders>
            <w:vAlign w:val="center"/>
            <w:hideMark/>
          </w:tcPr>
          <w:p w14:paraId="1FC2DE50" w14:textId="77777777" w:rsidR="00FA007C" w:rsidRPr="00E06806" w:rsidRDefault="00FA007C" w:rsidP="00215B47">
            <w:pPr>
              <w:spacing w:before="45"/>
              <w:ind w:left="107"/>
              <w:rPr>
                <w:rFonts w:cstheme="minorHAnsi"/>
                <w:sz w:val="20"/>
                <w:szCs w:val="20"/>
              </w:rPr>
            </w:pPr>
            <w:r w:rsidRPr="00E06806">
              <w:rPr>
                <w:rFonts w:cstheme="minorHAnsi"/>
                <w:color w:val="231F20"/>
                <w:sz w:val="20"/>
                <w:szCs w:val="20"/>
              </w:rPr>
              <w:t>Dislocated</w:t>
            </w:r>
            <w:r w:rsidRPr="00E06806">
              <w:rPr>
                <w:rFonts w:cstheme="minorHAnsi"/>
                <w:color w:val="231F20"/>
                <w:spacing w:val="35"/>
                <w:sz w:val="20"/>
                <w:szCs w:val="20"/>
              </w:rPr>
              <w:t xml:space="preserve"> </w:t>
            </w:r>
            <w:r w:rsidRPr="00E06806">
              <w:rPr>
                <w:rFonts w:cstheme="minorHAnsi"/>
                <w:color w:val="231F20"/>
                <w:sz w:val="20"/>
                <w:szCs w:val="20"/>
              </w:rPr>
              <w:t>Workers</w:t>
            </w:r>
          </w:p>
        </w:tc>
        <w:tc>
          <w:tcPr>
            <w:tcW w:w="3686" w:type="dxa"/>
            <w:tcBorders>
              <w:top w:val="nil"/>
              <w:left w:val="nil"/>
              <w:bottom w:val="single" w:sz="8" w:space="0" w:color="231F20"/>
              <w:right w:val="single" w:sz="8" w:space="0" w:color="231F20"/>
            </w:tcBorders>
            <w:vAlign w:val="center"/>
            <w:hideMark/>
          </w:tcPr>
          <w:p w14:paraId="11D76D05" w14:textId="77777777" w:rsidR="00FA007C" w:rsidRPr="00E06806" w:rsidRDefault="00FA007C" w:rsidP="00D63204">
            <w:pPr>
              <w:spacing w:before="45"/>
              <w:ind w:left="107"/>
              <w:rPr>
                <w:rFonts w:cstheme="minorHAnsi"/>
                <w:sz w:val="20"/>
                <w:szCs w:val="20"/>
              </w:rPr>
            </w:pPr>
            <w:r w:rsidRPr="00E06806">
              <w:rPr>
                <w:rFonts w:cstheme="minorHAnsi"/>
                <w:color w:val="231F20"/>
                <w:sz w:val="20"/>
                <w:szCs w:val="20"/>
              </w:rPr>
              <w:t>8,437</w:t>
            </w:r>
          </w:p>
        </w:tc>
        <w:tc>
          <w:tcPr>
            <w:tcW w:w="3086" w:type="dxa"/>
            <w:tcBorders>
              <w:top w:val="nil"/>
              <w:left w:val="nil"/>
              <w:bottom w:val="single" w:sz="8" w:space="0" w:color="231F20"/>
              <w:right w:val="single" w:sz="8" w:space="0" w:color="231F20"/>
            </w:tcBorders>
            <w:vAlign w:val="center"/>
            <w:hideMark/>
          </w:tcPr>
          <w:p w14:paraId="107E1703" w14:textId="77777777" w:rsidR="00FA007C" w:rsidRPr="00E06806" w:rsidRDefault="00FA007C" w:rsidP="00D63204">
            <w:pPr>
              <w:spacing w:before="45"/>
              <w:ind w:left="107"/>
              <w:rPr>
                <w:rFonts w:cstheme="minorHAnsi"/>
                <w:sz w:val="20"/>
                <w:szCs w:val="20"/>
              </w:rPr>
            </w:pPr>
            <w:r w:rsidRPr="00E06806">
              <w:rPr>
                <w:rFonts w:cstheme="minorHAnsi"/>
                <w:color w:val="231F20"/>
                <w:spacing w:val="-2"/>
                <w:sz w:val="20"/>
                <w:szCs w:val="20"/>
              </w:rPr>
              <w:t>4,874</w:t>
            </w:r>
          </w:p>
        </w:tc>
      </w:tr>
      <w:tr w:rsidR="00FA007C" w:rsidRPr="00E06806" w14:paraId="0A2DCA10" w14:textId="77777777" w:rsidTr="00215B47">
        <w:trPr>
          <w:trHeight w:hRule="exact" w:val="318"/>
        </w:trPr>
        <w:tc>
          <w:tcPr>
            <w:tcW w:w="3392" w:type="dxa"/>
            <w:tcBorders>
              <w:top w:val="nil"/>
              <w:left w:val="single" w:sz="8" w:space="0" w:color="231F20"/>
              <w:bottom w:val="single" w:sz="8" w:space="0" w:color="231F20"/>
              <w:right w:val="single" w:sz="8" w:space="0" w:color="231F20"/>
            </w:tcBorders>
            <w:shd w:val="clear" w:color="auto" w:fill="E6E7E8"/>
            <w:vAlign w:val="center"/>
            <w:hideMark/>
          </w:tcPr>
          <w:p w14:paraId="1429B921" w14:textId="77777777" w:rsidR="00FA007C" w:rsidRPr="00E06806" w:rsidRDefault="00FA007C" w:rsidP="00215B47">
            <w:pPr>
              <w:spacing w:before="45"/>
              <w:ind w:left="107"/>
              <w:rPr>
                <w:rFonts w:cstheme="minorHAnsi"/>
                <w:sz w:val="20"/>
                <w:szCs w:val="20"/>
              </w:rPr>
            </w:pPr>
            <w:r w:rsidRPr="00E06806">
              <w:rPr>
                <w:rFonts w:cstheme="minorHAnsi"/>
                <w:color w:val="231F20"/>
                <w:sz w:val="20"/>
                <w:szCs w:val="20"/>
              </w:rPr>
              <w:t>Older</w:t>
            </w:r>
            <w:r w:rsidRPr="00E06806">
              <w:rPr>
                <w:rFonts w:cstheme="minorHAnsi"/>
                <w:color w:val="231F20"/>
                <w:spacing w:val="-15"/>
                <w:sz w:val="20"/>
                <w:szCs w:val="20"/>
              </w:rPr>
              <w:t xml:space="preserve"> </w:t>
            </w:r>
            <w:r w:rsidRPr="00E06806">
              <w:rPr>
                <w:rFonts w:cstheme="minorHAnsi"/>
                <w:color w:val="231F20"/>
                <w:spacing w:val="-5"/>
                <w:sz w:val="20"/>
                <w:szCs w:val="20"/>
              </w:rPr>
              <w:t>Youth</w:t>
            </w:r>
          </w:p>
        </w:tc>
        <w:tc>
          <w:tcPr>
            <w:tcW w:w="3686" w:type="dxa"/>
            <w:tcBorders>
              <w:top w:val="nil"/>
              <w:left w:val="nil"/>
              <w:bottom w:val="single" w:sz="8" w:space="0" w:color="231F20"/>
              <w:right w:val="single" w:sz="8" w:space="0" w:color="231F20"/>
            </w:tcBorders>
            <w:shd w:val="clear" w:color="auto" w:fill="E6E7E8"/>
            <w:vAlign w:val="center"/>
            <w:hideMark/>
          </w:tcPr>
          <w:p w14:paraId="1FAFDE10" w14:textId="77777777" w:rsidR="00FA007C" w:rsidRPr="00E06806" w:rsidRDefault="00FA007C" w:rsidP="00D63204">
            <w:pPr>
              <w:spacing w:before="45"/>
              <w:ind w:left="107"/>
              <w:rPr>
                <w:rFonts w:cstheme="minorHAnsi"/>
                <w:sz w:val="20"/>
                <w:szCs w:val="20"/>
              </w:rPr>
            </w:pPr>
            <w:r w:rsidRPr="00E06806">
              <w:rPr>
                <w:rFonts w:cstheme="minorHAnsi"/>
                <w:color w:val="231F20"/>
                <w:spacing w:val="-3"/>
                <w:sz w:val="20"/>
                <w:szCs w:val="20"/>
              </w:rPr>
              <w:t>4,500</w:t>
            </w:r>
          </w:p>
        </w:tc>
        <w:tc>
          <w:tcPr>
            <w:tcW w:w="3086" w:type="dxa"/>
            <w:tcBorders>
              <w:top w:val="nil"/>
              <w:left w:val="nil"/>
              <w:bottom w:val="single" w:sz="8" w:space="0" w:color="231F20"/>
              <w:right w:val="single" w:sz="8" w:space="0" w:color="231F20"/>
            </w:tcBorders>
            <w:shd w:val="clear" w:color="auto" w:fill="E6E7E8"/>
            <w:vAlign w:val="center"/>
            <w:hideMark/>
          </w:tcPr>
          <w:p w14:paraId="38E6D2B2" w14:textId="77777777" w:rsidR="00FA007C" w:rsidRPr="00E06806" w:rsidRDefault="00FA007C" w:rsidP="00D63204">
            <w:pPr>
              <w:spacing w:before="45"/>
              <w:ind w:left="107"/>
              <w:rPr>
                <w:rFonts w:cstheme="minorHAnsi"/>
                <w:sz w:val="20"/>
                <w:szCs w:val="20"/>
              </w:rPr>
            </w:pPr>
            <w:r w:rsidRPr="00E06806">
              <w:rPr>
                <w:rFonts w:cstheme="minorHAnsi"/>
                <w:color w:val="231F20"/>
                <w:spacing w:val="-3"/>
                <w:sz w:val="20"/>
                <w:szCs w:val="20"/>
              </w:rPr>
              <w:t>2,285</w:t>
            </w:r>
          </w:p>
        </w:tc>
      </w:tr>
      <w:tr w:rsidR="00FA007C" w:rsidRPr="00E06806" w14:paraId="0D371549" w14:textId="77777777" w:rsidTr="00215B47">
        <w:trPr>
          <w:trHeight w:hRule="exact" w:val="318"/>
        </w:trPr>
        <w:tc>
          <w:tcPr>
            <w:tcW w:w="3392" w:type="dxa"/>
            <w:tcBorders>
              <w:top w:val="nil"/>
              <w:left w:val="single" w:sz="8" w:space="0" w:color="231F20"/>
              <w:bottom w:val="single" w:sz="8" w:space="0" w:color="231F20"/>
              <w:right w:val="single" w:sz="8" w:space="0" w:color="231F20"/>
            </w:tcBorders>
            <w:vAlign w:val="center"/>
            <w:hideMark/>
          </w:tcPr>
          <w:p w14:paraId="19AD81A9" w14:textId="77777777" w:rsidR="00FA007C" w:rsidRPr="00E06806" w:rsidRDefault="00FA007C" w:rsidP="00215B47">
            <w:pPr>
              <w:spacing w:before="45"/>
              <w:ind w:left="107"/>
              <w:rPr>
                <w:rFonts w:cstheme="minorHAnsi"/>
                <w:sz w:val="20"/>
                <w:szCs w:val="20"/>
              </w:rPr>
            </w:pPr>
            <w:r w:rsidRPr="00E06806">
              <w:rPr>
                <w:rFonts w:cstheme="minorHAnsi"/>
                <w:color w:val="231F20"/>
                <w:spacing w:val="-3"/>
                <w:sz w:val="20"/>
                <w:szCs w:val="20"/>
              </w:rPr>
              <w:t>Younger</w:t>
            </w:r>
            <w:r w:rsidRPr="00E06806">
              <w:rPr>
                <w:rFonts w:cstheme="minorHAnsi"/>
                <w:color w:val="231F20"/>
                <w:spacing w:val="-4"/>
                <w:sz w:val="20"/>
                <w:szCs w:val="20"/>
              </w:rPr>
              <w:t xml:space="preserve"> </w:t>
            </w:r>
            <w:r w:rsidRPr="00E06806">
              <w:rPr>
                <w:rFonts w:cstheme="minorHAnsi"/>
                <w:color w:val="231F20"/>
                <w:spacing w:val="-5"/>
                <w:sz w:val="20"/>
                <w:szCs w:val="20"/>
              </w:rPr>
              <w:t>Youth</w:t>
            </w:r>
          </w:p>
        </w:tc>
        <w:tc>
          <w:tcPr>
            <w:tcW w:w="3686" w:type="dxa"/>
            <w:tcBorders>
              <w:top w:val="nil"/>
              <w:left w:val="nil"/>
              <w:bottom w:val="single" w:sz="8" w:space="0" w:color="231F20"/>
              <w:right w:val="single" w:sz="8" w:space="0" w:color="231F20"/>
            </w:tcBorders>
            <w:vAlign w:val="center"/>
            <w:hideMark/>
          </w:tcPr>
          <w:p w14:paraId="3053EC90" w14:textId="77777777" w:rsidR="00FA007C" w:rsidRPr="00E06806" w:rsidRDefault="00FA007C" w:rsidP="00D63204">
            <w:pPr>
              <w:spacing w:before="45"/>
              <w:ind w:left="107"/>
              <w:rPr>
                <w:rFonts w:cstheme="minorHAnsi"/>
                <w:sz w:val="20"/>
                <w:szCs w:val="20"/>
              </w:rPr>
            </w:pPr>
            <w:r w:rsidRPr="00E06806">
              <w:rPr>
                <w:rFonts w:cstheme="minorHAnsi"/>
                <w:color w:val="231F20"/>
                <w:spacing w:val="-3"/>
                <w:sz w:val="20"/>
                <w:szCs w:val="20"/>
              </w:rPr>
              <w:t>6,887</w:t>
            </w:r>
          </w:p>
        </w:tc>
        <w:tc>
          <w:tcPr>
            <w:tcW w:w="3086" w:type="dxa"/>
            <w:tcBorders>
              <w:top w:val="nil"/>
              <w:left w:val="nil"/>
              <w:bottom w:val="single" w:sz="8" w:space="0" w:color="231F20"/>
              <w:right w:val="single" w:sz="8" w:space="0" w:color="231F20"/>
            </w:tcBorders>
            <w:vAlign w:val="center"/>
            <w:hideMark/>
          </w:tcPr>
          <w:p w14:paraId="1EA724AF" w14:textId="77777777" w:rsidR="00FA007C" w:rsidRPr="00E06806" w:rsidRDefault="00FA007C" w:rsidP="00D63204">
            <w:pPr>
              <w:spacing w:before="45"/>
              <w:ind w:left="107"/>
              <w:rPr>
                <w:rFonts w:cstheme="minorHAnsi"/>
                <w:sz w:val="20"/>
                <w:szCs w:val="20"/>
              </w:rPr>
            </w:pPr>
            <w:r w:rsidRPr="00E06806">
              <w:rPr>
                <w:rFonts w:cstheme="minorHAnsi"/>
                <w:color w:val="231F20"/>
                <w:spacing w:val="-3"/>
                <w:sz w:val="20"/>
                <w:szCs w:val="20"/>
              </w:rPr>
              <w:t>4,234</w:t>
            </w:r>
          </w:p>
        </w:tc>
      </w:tr>
    </w:tbl>
    <w:p w14:paraId="15383E7B" w14:textId="77777777" w:rsidR="00FA007C" w:rsidRPr="00E06806" w:rsidRDefault="00FA007C" w:rsidP="00D63204">
      <w:pPr>
        <w:widowControl w:val="0"/>
        <w:spacing w:before="7" w:after="0" w:line="240" w:lineRule="auto"/>
        <w:ind w:left="107"/>
        <w:rPr>
          <w:rFonts w:cstheme="minorHAnsi"/>
          <w:b/>
          <w:bCs/>
          <w:sz w:val="27"/>
          <w:szCs w:val="27"/>
        </w:rPr>
      </w:pPr>
    </w:p>
    <w:p w14:paraId="1AE5C595" w14:textId="77777777" w:rsidR="00A210A1" w:rsidRDefault="00A210A1">
      <w:pPr>
        <w:rPr>
          <w:rFonts w:cstheme="minorHAnsi"/>
          <w:b/>
          <w:bCs/>
          <w:i/>
          <w:color w:val="231F20"/>
          <w:w w:val="105"/>
        </w:rPr>
      </w:pPr>
      <w:r>
        <w:rPr>
          <w:rFonts w:cstheme="minorHAnsi"/>
          <w:b/>
          <w:bCs/>
          <w:i/>
          <w:color w:val="231F20"/>
          <w:w w:val="105"/>
        </w:rPr>
        <w:br w:type="page"/>
      </w:r>
    </w:p>
    <w:p w14:paraId="1A0467F6" w14:textId="77777777" w:rsidR="00A210A1" w:rsidRDefault="00A210A1" w:rsidP="00D63204">
      <w:pPr>
        <w:widowControl w:val="0"/>
        <w:spacing w:before="63" w:after="0" w:line="240" w:lineRule="auto"/>
        <w:ind w:left="107"/>
        <w:outlineLvl w:val="3"/>
        <w:rPr>
          <w:rFonts w:cstheme="minorHAnsi"/>
          <w:b/>
          <w:bCs/>
          <w:i/>
          <w:color w:val="231F20"/>
          <w:w w:val="105"/>
        </w:rPr>
      </w:pPr>
    </w:p>
    <w:p w14:paraId="775083BC" w14:textId="77777777" w:rsidR="00C47FC0" w:rsidRDefault="00FA007C" w:rsidP="00D63204">
      <w:pPr>
        <w:widowControl w:val="0"/>
        <w:spacing w:before="63" w:after="0" w:line="240" w:lineRule="auto"/>
        <w:ind w:left="107"/>
        <w:outlineLvl w:val="3"/>
        <w:rPr>
          <w:rFonts w:cstheme="minorHAnsi"/>
          <w:b/>
          <w:bCs/>
          <w:i/>
          <w:color w:val="231F20"/>
          <w:w w:val="105"/>
        </w:rPr>
      </w:pPr>
      <w:r w:rsidRPr="00E06806">
        <w:rPr>
          <w:rFonts w:cstheme="minorHAnsi"/>
          <w:b/>
          <w:bCs/>
          <w:i/>
          <w:color w:val="231F20"/>
          <w:w w:val="105"/>
        </w:rPr>
        <w:t>WIOA Performance</w:t>
      </w:r>
      <w:r w:rsidRPr="00E06806">
        <w:rPr>
          <w:rFonts w:cstheme="minorHAnsi"/>
          <w:b/>
          <w:bCs/>
          <w:i/>
          <w:color w:val="231F20"/>
          <w:spacing w:val="-40"/>
          <w:w w:val="105"/>
        </w:rPr>
        <w:t xml:space="preserve"> </w:t>
      </w:r>
      <w:r w:rsidRPr="00E06806">
        <w:rPr>
          <w:rFonts w:cstheme="minorHAnsi"/>
          <w:b/>
          <w:bCs/>
          <w:i/>
          <w:color w:val="231F20"/>
          <w:w w:val="105"/>
        </w:rPr>
        <w:t>Measures</w:t>
      </w:r>
    </w:p>
    <w:p w14:paraId="0545FF9B" w14:textId="72FA6C27" w:rsidR="00FA007C" w:rsidRPr="00E06806" w:rsidRDefault="00FA007C" w:rsidP="00D63204">
      <w:pPr>
        <w:widowControl w:val="0"/>
        <w:spacing w:after="0" w:line="240" w:lineRule="auto"/>
        <w:ind w:left="107"/>
        <w:outlineLvl w:val="3"/>
        <w:rPr>
          <w:rFonts w:cstheme="minorHAnsi"/>
        </w:rPr>
      </w:pPr>
      <w:r w:rsidRPr="00E06806">
        <w:rPr>
          <w:rFonts w:cstheme="minorHAnsi"/>
          <w:color w:val="231F20"/>
          <w:w w:val="105"/>
        </w:rPr>
        <w:t>Data</w:t>
      </w:r>
      <w:r w:rsidRPr="00E06806">
        <w:rPr>
          <w:rFonts w:cstheme="minorHAnsi"/>
          <w:color w:val="231F20"/>
          <w:spacing w:val="12"/>
          <w:w w:val="105"/>
        </w:rPr>
        <w:t xml:space="preserve"> </w:t>
      </w:r>
      <w:r w:rsidRPr="00E06806">
        <w:rPr>
          <w:rFonts w:cstheme="minorHAnsi"/>
          <w:color w:val="231F20"/>
          <w:w w:val="105"/>
        </w:rPr>
        <w:t>on</w:t>
      </w:r>
      <w:r w:rsidRPr="00E06806">
        <w:rPr>
          <w:rFonts w:cstheme="minorHAnsi"/>
          <w:color w:val="231F20"/>
          <w:spacing w:val="12"/>
          <w:w w:val="105"/>
        </w:rPr>
        <w:t xml:space="preserve"> </w:t>
      </w:r>
      <w:r w:rsidRPr="00E06806">
        <w:rPr>
          <w:rFonts w:cstheme="minorHAnsi"/>
          <w:color w:val="231F20"/>
          <w:w w:val="105"/>
        </w:rPr>
        <w:t>core</w:t>
      </w:r>
      <w:r w:rsidRPr="00E06806">
        <w:rPr>
          <w:rFonts w:cstheme="minorHAnsi"/>
          <w:color w:val="231F20"/>
          <w:spacing w:val="12"/>
          <w:w w:val="105"/>
        </w:rPr>
        <w:t xml:space="preserve"> </w:t>
      </w:r>
      <w:r w:rsidRPr="00E06806">
        <w:rPr>
          <w:rFonts w:cstheme="minorHAnsi"/>
          <w:color w:val="231F20"/>
          <w:w w:val="105"/>
        </w:rPr>
        <w:t>measures</w:t>
      </w:r>
      <w:r w:rsidRPr="00E06806">
        <w:rPr>
          <w:rFonts w:cstheme="minorHAnsi"/>
          <w:color w:val="231F20"/>
          <w:spacing w:val="12"/>
          <w:w w:val="105"/>
        </w:rPr>
        <w:t xml:space="preserve"> </w:t>
      </w:r>
      <w:r w:rsidRPr="00E06806">
        <w:rPr>
          <w:rFonts w:cstheme="minorHAnsi"/>
          <w:color w:val="231F20"/>
          <w:w w:val="105"/>
        </w:rPr>
        <w:t>and</w:t>
      </w:r>
      <w:r w:rsidRPr="00E06806">
        <w:rPr>
          <w:rFonts w:cstheme="minorHAnsi"/>
          <w:color w:val="231F20"/>
          <w:spacing w:val="12"/>
          <w:w w:val="105"/>
        </w:rPr>
        <w:t xml:space="preserve"> </w:t>
      </w:r>
      <w:r w:rsidR="00C47FC0">
        <w:rPr>
          <w:rFonts w:cstheme="minorHAnsi"/>
          <w:color w:val="231F20"/>
          <w:w w:val="105"/>
        </w:rPr>
        <w:t xml:space="preserve">primary indicators of performance </w:t>
      </w:r>
      <w:r w:rsidR="00F8537A">
        <w:rPr>
          <w:rFonts w:cstheme="minorHAnsi"/>
          <w:color w:val="231F20"/>
          <w:w w:val="105"/>
        </w:rPr>
        <w:t>are</w:t>
      </w:r>
      <w:r w:rsidRPr="00E06806">
        <w:rPr>
          <w:rFonts w:cstheme="minorHAnsi"/>
          <w:color w:val="231F20"/>
          <w:spacing w:val="12"/>
          <w:w w:val="105"/>
        </w:rPr>
        <w:t xml:space="preserve"> </w:t>
      </w:r>
      <w:r w:rsidRPr="00E06806">
        <w:rPr>
          <w:rFonts w:cstheme="minorHAnsi"/>
          <w:color w:val="231F20"/>
          <w:w w:val="105"/>
        </w:rPr>
        <w:t>collected</w:t>
      </w:r>
      <w:r w:rsidRPr="00E06806">
        <w:rPr>
          <w:rFonts w:cstheme="minorHAnsi"/>
          <w:color w:val="231F20"/>
          <w:spacing w:val="12"/>
          <w:w w:val="105"/>
        </w:rPr>
        <w:t xml:space="preserve"> </w:t>
      </w:r>
      <w:r w:rsidRPr="00E06806">
        <w:rPr>
          <w:rFonts w:cstheme="minorHAnsi"/>
          <w:color w:val="231F20"/>
          <w:w w:val="105"/>
        </w:rPr>
        <w:t>from</w:t>
      </w:r>
      <w:r w:rsidRPr="00E06806">
        <w:rPr>
          <w:rFonts w:cstheme="minorHAnsi"/>
          <w:color w:val="231F20"/>
          <w:spacing w:val="12"/>
          <w:w w:val="105"/>
        </w:rPr>
        <w:t xml:space="preserve"> </w:t>
      </w:r>
      <w:r w:rsidRPr="00E06806">
        <w:rPr>
          <w:rFonts w:cstheme="minorHAnsi"/>
          <w:color w:val="231F20"/>
          <w:w w:val="105"/>
        </w:rPr>
        <w:t>Florida’s</w:t>
      </w:r>
      <w:r w:rsidRPr="00E06806">
        <w:rPr>
          <w:rFonts w:cstheme="minorHAnsi"/>
          <w:color w:val="231F20"/>
          <w:spacing w:val="12"/>
          <w:w w:val="105"/>
        </w:rPr>
        <w:t xml:space="preserve"> </w:t>
      </w:r>
      <w:r w:rsidRPr="00E06806">
        <w:rPr>
          <w:rFonts w:cstheme="minorHAnsi"/>
          <w:color w:val="231F20"/>
          <w:w w:val="105"/>
        </w:rPr>
        <w:t>Management</w:t>
      </w:r>
      <w:r w:rsidRPr="00E06806">
        <w:rPr>
          <w:rFonts w:cstheme="minorHAnsi"/>
          <w:color w:val="231F20"/>
          <w:spacing w:val="12"/>
          <w:w w:val="105"/>
        </w:rPr>
        <w:t xml:space="preserve"> </w:t>
      </w:r>
      <w:r w:rsidRPr="00E06806">
        <w:rPr>
          <w:rFonts w:cstheme="minorHAnsi"/>
          <w:color w:val="231F20"/>
          <w:w w:val="105"/>
        </w:rPr>
        <w:t>Information</w:t>
      </w:r>
      <w:r w:rsidRPr="00E06806">
        <w:rPr>
          <w:rFonts w:cstheme="minorHAnsi"/>
          <w:color w:val="231F20"/>
          <w:spacing w:val="-35"/>
          <w:w w:val="105"/>
        </w:rPr>
        <w:t xml:space="preserve"> </w:t>
      </w:r>
      <w:r w:rsidRPr="00E06806">
        <w:rPr>
          <w:rFonts w:cstheme="minorHAnsi"/>
          <w:color w:val="231F20"/>
          <w:w w:val="105"/>
        </w:rPr>
        <w:t>System</w:t>
      </w:r>
      <w:r w:rsidRPr="00E06806">
        <w:rPr>
          <w:rFonts w:cstheme="minorHAnsi"/>
          <w:color w:val="231F20"/>
          <w:spacing w:val="11"/>
          <w:w w:val="105"/>
        </w:rPr>
        <w:t xml:space="preserve"> </w:t>
      </w:r>
      <w:r w:rsidRPr="00E06806">
        <w:rPr>
          <w:rFonts w:cstheme="minorHAnsi"/>
          <w:color w:val="231F20"/>
          <w:w w:val="105"/>
        </w:rPr>
        <w:t>(MIS),</w:t>
      </w:r>
      <w:r w:rsidRPr="00E06806">
        <w:rPr>
          <w:rFonts w:cstheme="minorHAnsi"/>
          <w:color w:val="231F20"/>
          <w:spacing w:val="11"/>
          <w:w w:val="105"/>
        </w:rPr>
        <w:t xml:space="preserve"> </w:t>
      </w:r>
      <w:r w:rsidRPr="00E06806">
        <w:rPr>
          <w:rFonts w:cstheme="minorHAnsi"/>
          <w:color w:val="231F20"/>
          <w:w w:val="105"/>
        </w:rPr>
        <w:t>Reemployment</w:t>
      </w:r>
      <w:r w:rsidRPr="00E06806">
        <w:rPr>
          <w:rFonts w:cstheme="minorHAnsi"/>
          <w:color w:val="231F20"/>
          <w:spacing w:val="11"/>
          <w:w w:val="105"/>
        </w:rPr>
        <w:t xml:space="preserve"> </w:t>
      </w:r>
      <w:r w:rsidRPr="00E06806">
        <w:rPr>
          <w:rFonts w:cstheme="minorHAnsi"/>
          <w:color w:val="231F20"/>
          <w:w w:val="105"/>
        </w:rPr>
        <w:t>Assistance</w:t>
      </w:r>
      <w:r w:rsidRPr="00E06806">
        <w:rPr>
          <w:rFonts w:cstheme="minorHAnsi"/>
          <w:color w:val="231F20"/>
          <w:spacing w:val="11"/>
          <w:w w:val="105"/>
        </w:rPr>
        <w:t xml:space="preserve"> </w:t>
      </w:r>
      <w:r w:rsidRPr="00E06806">
        <w:rPr>
          <w:rFonts w:cstheme="minorHAnsi"/>
          <w:color w:val="231F20"/>
          <w:w w:val="105"/>
        </w:rPr>
        <w:t>(RA)</w:t>
      </w:r>
      <w:r w:rsidRPr="00E06806">
        <w:rPr>
          <w:rFonts w:cstheme="minorHAnsi"/>
          <w:color w:val="231F20"/>
          <w:spacing w:val="11"/>
          <w:w w:val="105"/>
        </w:rPr>
        <w:t xml:space="preserve"> </w:t>
      </w:r>
      <w:r w:rsidRPr="00E06806">
        <w:rPr>
          <w:rFonts w:cstheme="minorHAnsi"/>
          <w:color w:val="231F20"/>
          <w:spacing w:val="-3"/>
          <w:w w:val="105"/>
        </w:rPr>
        <w:t>Wage</w:t>
      </w:r>
      <w:r w:rsidRPr="00E06806">
        <w:rPr>
          <w:rFonts w:cstheme="minorHAnsi"/>
          <w:color w:val="231F20"/>
          <w:spacing w:val="11"/>
          <w:w w:val="105"/>
        </w:rPr>
        <w:t xml:space="preserve"> </w:t>
      </w:r>
      <w:r w:rsidRPr="00E06806">
        <w:rPr>
          <w:rFonts w:cstheme="minorHAnsi"/>
          <w:color w:val="231F20"/>
          <w:w w:val="105"/>
        </w:rPr>
        <w:t>Records</w:t>
      </w:r>
      <w:r w:rsidR="00D5537E">
        <w:rPr>
          <w:rFonts w:cstheme="minorHAnsi"/>
          <w:color w:val="231F20"/>
          <w:w w:val="105"/>
        </w:rPr>
        <w:t xml:space="preserve"> and</w:t>
      </w:r>
      <w:r w:rsidRPr="00E06806">
        <w:rPr>
          <w:rFonts w:cstheme="minorHAnsi"/>
          <w:color w:val="231F20"/>
          <w:spacing w:val="11"/>
          <w:w w:val="105"/>
        </w:rPr>
        <w:t xml:space="preserve"> </w:t>
      </w:r>
      <w:r w:rsidRPr="00E06806">
        <w:rPr>
          <w:rFonts w:cstheme="minorHAnsi"/>
          <w:color w:val="231F20"/>
          <w:w w:val="105"/>
        </w:rPr>
        <w:t>from</w:t>
      </w:r>
      <w:r w:rsidRPr="00E06806">
        <w:rPr>
          <w:rFonts w:cstheme="minorHAnsi"/>
          <w:color w:val="231F20"/>
          <w:spacing w:val="11"/>
          <w:w w:val="105"/>
        </w:rPr>
        <w:t xml:space="preserve"> </w:t>
      </w:r>
      <w:r w:rsidRPr="00E06806">
        <w:rPr>
          <w:rFonts w:cstheme="minorHAnsi"/>
          <w:color w:val="231F20"/>
          <w:w w:val="105"/>
        </w:rPr>
        <w:t>the</w:t>
      </w:r>
      <w:r w:rsidRPr="00E06806">
        <w:rPr>
          <w:rFonts w:cstheme="minorHAnsi"/>
          <w:color w:val="231F20"/>
          <w:spacing w:val="11"/>
          <w:w w:val="105"/>
        </w:rPr>
        <w:t xml:space="preserve"> </w:t>
      </w:r>
      <w:r w:rsidRPr="00E06806">
        <w:rPr>
          <w:rFonts w:cstheme="minorHAnsi"/>
          <w:color w:val="231F20"/>
          <w:spacing w:val="-3"/>
          <w:w w:val="105"/>
        </w:rPr>
        <w:t>Wage</w:t>
      </w:r>
      <w:r w:rsidRPr="00E06806">
        <w:rPr>
          <w:rFonts w:cstheme="minorHAnsi"/>
          <w:color w:val="231F20"/>
          <w:spacing w:val="11"/>
          <w:w w:val="105"/>
        </w:rPr>
        <w:t xml:space="preserve"> </w:t>
      </w:r>
      <w:r w:rsidRPr="00E06806">
        <w:rPr>
          <w:rFonts w:cstheme="minorHAnsi"/>
          <w:color w:val="231F20"/>
          <w:w w:val="105"/>
        </w:rPr>
        <w:t>Record</w:t>
      </w:r>
      <w:r w:rsidRPr="00E06806">
        <w:rPr>
          <w:rFonts w:cstheme="minorHAnsi"/>
          <w:color w:val="231F20"/>
          <w:spacing w:val="11"/>
          <w:w w:val="105"/>
        </w:rPr>
        <w:t xml:space="preserve"> </w:t>
      </w:r>
      <w:r w:rsidRPr="00E06806">
        <w:rPr>
          <w:rFonts w:cstheme="minorHAnsi"/>
          <w:color w:val="231F20"/>
          <w:w w:val="105"/>
        </w:rPr>
        <w:t>Information</w:t>
      </w:r>
      <w:r w:rsidRPr="00E06806">
        <w:rPr>
          <w:rFonts w:cstheme="minorHAnsi"/>
          <w:color w:val="231F20"/>
          <w:spacing w:val="-43"/>
          <w:w w:val="105"/>
        </w:rPr>
        <w:t xml:space="preserve"> </w:t>
      </w:r>
      <w:r w:rsidRPr="00E06806">
        <w:rPr>
          <w:rFonts w:cstheme="minorHAnsi"/>
          <w:color w:val="231F20"/>
          <w:w w:val="105"/>
        </w:rPr>
        <w:t>System (WRIS). The MIS system gathers exit information on participants and covers the real-time</w:t>
      </w:r>
      <w:r w:rsidRPr="00E06806">
        <w:rPr>
          <w:rFonts w:cstheme="minorHAnsi"/>
          <w:color w:val="231F20"/>
          <w:spacing w:val="20"/>
          <w:w w:val="105"/>
        </w:rPr>
        <w:t xml:space="preserve"> </w:t>
      </w:r>
      <w:r w:rsidRPr="00E06806">
        <w:rPr>
          <w:rFonts w:cstheme="minorHAnsi"/>
          <w:color w:val="231F20"/>
          <w:w w:val="105"/>
        </w:rPr>
        <w:t>data elements</w:t>
      </w:r>
      <w:r w:rsidRPr="00E06806">
        <w:rPr>
          <w:rFonts w:cstheme="minorHAnsi"/>
          <w:color w:val="231F20"/>
          <w:spacing w:val="17"/>
          <w:w w:val="105"/>
        </w:rPr>
        <w:t xml:space="preserve"> </w:t>
      </w:r>
      <w:r w:rsidRPr="00E06806">
        <w:rPr>
          <w:rFonts w:cstheme="minorHAnsi"/>
          <w:color w:val="231F20"/>
          <w:w w:val="105"/>
        </w:rPr>
        <w:t>referenced</w:t>
      </w:r>
      <w:r w:rsidRPr="00E06806">
        <w:rPr>
          <w:rFonts w:cstheme="minorHAnsi"/>
          <w:color w:val="231F20"/>
          <w:spacing w:val="17"/>
          <w:w w:val="105"/>
        </w:rPr>
        <w:t xml:space="preserve"> </w:t>
      </w:r>
      <w:r w:rsidRPr="00E06806">
        <w:rPr>
          <w:rFonts w:cstheme="minorHAnsi"/>
          <w:color w:val="231F20"/>
          <w:w w:val="105"/>
        </w:rPr>
        <w:t>above.</w:t>
      </w:r>
      <w:r w:rsidRPr="00E06806">
        <w:rPr>
          <w:rFonts w:cstheme="minorHAnsi"/>
          <w:color w:val="231F20"/>
          <w:spacing w:val="17"/>
          <w:w w:val="105"/>
        </w:rPr>
        <w:t xml:space="preserve"> </w:t>
      </w:r>
      <w:r w:rsidRPr="00E06806">
        <w:rPr>
          <w:rFonts w:cstheme="minorHAnsi"/>
          <w:color w:val="231F20"/>
          <w:w w:val="105"/>
        </w:rPr>
        <w:t>Reemployment</w:t>
      </w:r>
      <w:r w:rsidRPr="00E06806">
        <w:rPr>
          <w:rFonts w:cstheme="minorHAnsi"/>
          <w:color w:val="231F20"/>
          <w:spacing w:val="17"/>
          <w:w w:val="105"/>
        </w:rPr>
        <w:t xml:space="preserve"> </w:t>
      </w:r>
      <w:r w:rsidRPr="00E06806">
        <w:rPr>
          <w:rFonts w:cstheme="minorHAnsi"/>
          <w:color w:val="231F20"/>
          <w:w w:val="105"/>
        </w:rPr>
        <w:t>Assistance</w:t>
      </w:r>
      <w:r w:rsidRPr="00E06806">
        <w:rPr>
          <w:rFonts w:cstheme="minorHAnsi"/>
          <w:color w:val="231F20"/>
          <w:spacing w:val="17"/>
          <w:w w:val="105"/>
        </w:rPr>
        <w:t xml:space="preserve"> </w:t>
      </w:r>
      <w:r w:rsidRPr="00E06806">
        <w:rPr>
          <w:rFonts w:cstheme="minorHAnsi"/>
          <w:color w:val="231F20"/>
          <w:w w:val="105"/>
        </w:rPr>
        <w:t>(RA)</w:t>
      </w:r>
      <w:r w:rsidRPr="00E06806">
        <w:rPr>
          <w:rFonts w:cstheme="minorHAnsi"/>
          <w:color w:val="231F20"/>
          <w:spacing w:val="17"/>
          <w:w w:val="105"/>
        </w:rPr>
        <w:t xml:space="preserve"> </w:t>
      </w:r>
      <w:r w:rsidRPr="00E06806">
        <w:rPr>
          <w:rFonts w:cstheme="minorHAnsi"/>
          <w:color w:val="231F20"/>
          <w:spacing w:val="-3"/>
          <w:w w:val="105"/>
        </w:rPr>
        <w:t>Wage</w:t>
      </w:r>
      <w:r w:rsidRPr="00E06806">
        <w:rPr>
          <w:rFonts w:cstheme="minorHAnsi"/>
          <w:color w:val="231F20"/>
          <w:spacing w:val="17"/>
          <w:w w:val="105"/>
        </w:rPr>
        <w:t xml:space="preserve"> </w:t>
      </w:r>
      <w:r w:rsidRPr="00E06806">
        <w:rPr>
          <w:rFonts w:cstheme="minorHAnsi"/>
          <w:color w:val="231F20"/>
          <w:w w:val="105"/>
        </w:rPr>
        <w:t>records</w:t>
      </w:r>
      <w:r w:rsidRPr="00E06806">
        <w:rPr>
          <w:rFonts w:cstheme="minorHAnsi"/>
          <w:color w:val="231F20"/>
          <w:spacing w:val="17"/>
          <w:w w:val="105"/>
        </w:rPr>
        <w:t xml:space="preserve"> </w:t>
      </w:r>
      <w:r w:rsidRPr="00E06806">
        <w:rPr>
          <w:rFonts w:cstheme="minorHAnsi"/>
          <w:color w:val="231F20"/>
          <w:w w:val="105"/>
        </w:rPr>
        <w:t>contain</w:t>
      </w:r>
      <w:r w:rsidRPr="00E06806">
        <w:rPr>
          <w:rFonts w:cstheme="minorHAnsi"/>
          <w:color w:val="231F20"/>
          <w:spacing w:val="17"/>
          <w:w w:val="105"/>
        </w:rPr>
        <w:t xml:space="preserve"> </w:t>
      </w:r>
      <w:r w:rsidRPr="00E06806">
        <w:rPr>
          <w:rFonts w:cstheme="minorHAnsi"/>
          <w:color w:val="231F20"/>
          <w:w w:val="105"/>
        </w:rPr>
        <w:t>information</w:t>
      </w:r>
      <w:r w:rsidRPr="00E06806">
        <w:rPr>
          <w:rFonts w:cstheme="minorHAnsi"/>
          <w:color w:val="231F20"/>
          <w:spacing w:val="17"/>
          <w:w w:val="105"/>
        </w:rPr>
        <w:t xml:space="preserve"> </w:t>
      </w:r>
      <w:r w:rsidRPr="00E06806">
        <w:rPr>
          <w:rFonts w:cstheme="minorHAnsi"/>
          <w:color w:val="231F20"/>
          <w:w w:val="105"/>
        </w:rPr>
        <w:t>such</w:t>
      </w:r>
      <w:r w:rsidRPr="00E06806">
        <w:rPr>
          <w:rFonts w:cstheme="minorHAnsi"/>
          <w:color w:val="231F20"/>
          <w:spacing w:val="-25"/>
          <w:w w:val="105"/>
        </w:rPr>
        <w:t xml:space="preserve"> </w:t>
      </w:r>
      <w:r w:rsidRPr="00E06806">
        <w:rPr>
          <w:rFonts w:cstheme="minorHAnsi"/>
          <w:color w:val="231F20"/>
          <w:w w:val="105"/>
        </w:rPr>
        <w:t>as</w:t>
      </w:r>
      <w:r w:rsidRPr="00E06806">
        <w:rPr>
          <w:rFonts w:cstheme="minorHAnsi"/>
          <w:color w:val="231F20"/>
          <w:spacing w:val="14"/>
          <w:w w:val="105"/>
        </w:rPr>
        <w:t xml:space="preserve"> </w:t>
      </w:r>
      <w:r w:rsidRPr="00E06806">
        <w:rPr>
          <w:rFonts w:cstheme="minorHAnsi"/>
          <w:color w:val="231F20"/>
          <w:w w:val="105"/>
        </w:rPr>
        <w:t>wage used to determine</w:t>
      </w:r>
      <w:r w:rsidRPr="00E06806">
        <w:rPr>
          <w:rFonts w:cstheme="minorHAnsi"/>
          <w:color w:val="231F20"/>
          <w:spacing w:val="14"/>
          <w:w w:val="105"/>
        </w:rPr>
        <w:t xml:space="preserve"> </w:t>
      </w:r>
      <w:r w:rsidRPr="00E06806">
        <w:rPr>
          <w:rFonts w:cstheme="minorHAnsi"/>
          <w:color w:val="231F20"/>
          <w:w w:val="105"/>
        </w:rPr>
        <w:t>retention</w:t>
      </w:r>
      <w:r w:rsidRPr="00E06806">
        <w:rPr>
          <w:rFonts w:cstheme="minorHAnsi"/>
          <w:color w:val="231F20"/>
          <w:spacing w:val="14"/>
          <w:w w:val="105"/>
        </w:rPr>
        <w:t xml:space="preserve"> </w:t>
      </w:r>
      <w:r w:rsidRPr="00E06806">
        <w:rPr>
          <w:rFonts w:cstheme="minorHAnsi"/>
          <w:color w:val="231F20"/>
          <w:w w:val="105"/>
        </w:rPr>
        <w:t>information</w:t>
      </w:r>
      <w:r w:rsidRPr="00E06806">
        <w:rPr>
          <w:rFonts w:cstheme="minorHAnsi"/>
          <w:color w:val="231F20"/>
          <w:spacing w:val="14"/>
          <w:w w:val="105"/>
        </w:rPr>
        <w:t xml:space="preserve"> </w:t>
      </w:r>
      <w:r w:rsidRPr="00E06806">
        <w:rPr>
          <w:rFonts w:cstheme="minorHAnsi"/>
          <w:color w:val="231F20"/>
          <w:w w:val="105"/>
        </w:rPr>
        <w:t>after</w:t>
      </w:r>
      <w:r w:rsidRPr="00E06806">
        <w:rPr>
          <w:rFonts w:cstheme="minorHAnsi"/>
          <w:color w:val="231F20"/>
          <w:spacing w:val="14"/>
          <w:w w:val="105"/>
        </w:rPr>
        <w:t xml:space="preserve"> </w:t>
      </w:r>
      <w:r w:rsidRPr="00E06806">
        <w:rPr>
          <w:rFonts w:cstheme="minorHAnsi"/>
          <w:color w:val="231F20"/>
          <w:w w:val="105"/>
        </w:rPr>
        <w:t>exit.</w:t>
      </w:r>
      <w:r w:rsidRPr="00E06806">
        <w:rPr>
          <w:rFonts w:cstheme="minorHAnsi"/>
          <w:color w:val="231F20"/>
          <w:spacing w:val="14"/>
          <w:w w:val="105"/>
        </w:rPr>
        <w:t xml:space="preserve"> </w:t>
      </w:r>
      <w:r w:rsidRPr="00E06806">
        <w:rPr>
          <w:rFonts w:cstheme="minorHAnsi"/>
          <w:color w:val="231F20"/>
          <w:w w:val="105"/>
        </w:rPr>
        <w:t>The</w:t>
      </w:r>
      <w:r w:rsidRPr="00E06806">
        <w:rPr>
          <w:rFonts w:cstheme="minorHAnsi"/>
          <w:color w:val="231F20"/>
          <w:spacing w:val="14"/>
          <w:w w:val="105"/>
        </w:rPr>
        <w:t xml:space="preserve"> </w:t>
      </w:r>
      <w:r w:rsidRPr="00E06806">
        <w:rPr>
          <w:rFonts w:cstheme="minorHAnsi"/>
          <w:color w:val="231F20"/>
          <w:w w:val="105"/>
        </w:rPr>
        <w:t>WRIS</w:t>
      </w:r>
      <w:r w:rsidRPr="00E06806">
        <w:rPr>
          <w:rFonts w:cstheme="minorHAnsi"/>
          <w:color w:val="231F20"/>
          <w:spacing w:val="14"/>
          <w:w w:val="105"/>
        </w:rPr>
        <w:t xml:space="preserve"> </w:t>
      </w:r>
      <w:r w:rsidRPr="00E06806">
        <w:rPr>
          <w:rFonts w:cstheme="minorHAnsi"/>
          <w:color w:val="231F20"/>
          <w:w w:val="105"/>
        </w:rPr>
        <w:t>system</w:t>
      </w:r>
      <w:r w:rsidRPr="00E06806">
        <w:rPr>
          <w:rFonts w:cstheme="minorHAnsi"/>
          <w:color w:val="231F20"/>
          <w:spacing w:val="14"/>
          <w:w w:val="105"/>
        </w:rPr>
        <w:t xml:space="preserve"> </w:t>
      </w:r>
      <w:r w:rsidRPr="00E06806">
        <w:rPr>
          <w:rFonts w:cstheme="minorHAnsi"/>
          <w:color w:val="231F20"/>
          <w:w w:val="105"/>
        </w:rPr>
        <w:t>is</w:t>
      </w:r>
      <w:r w:rsidRPr="00E06806">
        <w:rPr>
          <w:rFonts w:cstheme="minorHAnsi"/>
          <w:color w:val="231F20"/>
          <w:spacing w:val="14"/>
          <w:w w:val="105"/>
        </w:rPr>
        <w:t xml:space="preserve"> </w:t>
      </w:r>
      <w:r w:rsidRPr="00E06806">
        <w:rPr>
          <w:rFonts w:cstheme="minorHAnsi"/>
          <w:color w:val="231F20"/>
          <w:w w:val="105"/>
        </w:rPr>
        <w:t>a</w:t>
      </w:r>
      <w:r w:rsidRPr="00E06806">
        <w:rPr>
          <w:rFonts w:cstheme="minorHAnsi"/>
          <w:color w:val="231F20"/>
          <w:spacing w:val="14"/>
          <w:w w:val="105"/>
        </w:rPr>
        <w:t xml:space="preserve"> </w:t>
      </w:r>
      <w:r w:rsidRPr="00E06806">
        <w:rPr>
          <w:rFonts w:cstheme="minorHAnsi"/>
          <w:color w:val="231F20"/>
          <w:w w:val="105"/>
        </w:rPr>
        <w:t>database</w:t>
      </w:r>
      <w:r w:rsidRPr="00E06806">
        <w:rPr>
          <w:rFonts w:cstheme="minorHAnsi"/>
          <w:color w:val="231F20"/>
          <w:spacing w:val="14"/>
          <w:w w:val="105"/>
        </w:rPr>
        <w:t xml:space="preserve"> </w:t>
      </w:r>
      <w:r w:rsidRPr="00E06806">
        <w:rPr>
          <w:rFonts w:cstheme="minorHAnsi"/>
          <w:color w:val="231F20"/>
          <w:w w:val="105"/>
        </w:rPr>
        <w:t>consisting</w:t>
      </w:r>
      <w:r w:rsidRPr="00E06806">
        <w:rPr>
          <w:rFonts w:cstheme="minorHAnsi"/>
          <w:color w:val="231F20"/>
          <w:spacing w:val="14"/>
          <w:w w:val="105"/>
        </w:rPr>
        <w:t xml:space="preserve"> </w:t>
      </w:r>
      <w:r w:rsidRPr="00E06806">
        <w:rPr>
          <w:rFonts w:cstheme="minorHAnsi"/>
          <w:color w:val="231F20"/>
          <w:w w:val="105"/>
        </w:rPr>
        <w:t>of</w:t>
      </w:r>
      <w:r w:rsidRPr="00E06806">
        <w:rPr>
          <w:rFonts w:cstheme="minorHAnsi"/>
          <w:color w:val="231F20"/>
          <w:spacing w:val="14"/>
          <w:w w:val="105"/>
        </w:rPr>
        <w:t xml:space="preserve"> </w:t>
      </w:r>
      <w:r w:rsidRPr="00E06806">
        <w:rPr>
          <w:rFonts w:cstheme="minorHAnsi"/>
          <w:color w:val="231F20"/>
          <w:w w:val="105"/>
        </w:rPr>
        <w:t>wage</w:t>
      </w:r>
      <w:r w:rsidRPr="00E06806">
        <w:rPr>
          <w:rFonts w:cstheme="minorHAnsi"/>
          <w:color w:val="231F20"/>
          <w:spacing w:val="15"/>
          <w:w w:val="105"/>
        </w:rPr>
        <w:t xml:space="preserve"> </w:t>
      </w:r>
      <w:r w:rsidRPr="00E06806">
        <w:rPr>
          <w:rFonts w:cstheme="minorHAnsi"/>
          <w:color w:val="231F20"/>
          <w:w w:val="105"/>
        </w:rPr>
        <w:t>and</w:t>
      </w:r>
      <w:r w:rsidRPr="00E06806">
        <w:rPr>
          <w:rFonts w:cstheme="minorHAnsi"/>
          <w:color w:val="231F20"/>
          <w:spacing w:val="15"/>
          <w:w w:val="105"/>
        </w:rPr>
        <w:t xml:space="preserve"> </w:t>
      </w:r>
      <w:r w:rsidRPr="00E06806">
        <w:rPr>
          <w:rFonts w:cstheme="minorHAnsi"/>
          <w:color w:val="231F20"/>
          <w:w w:val="105"/>
        </w:rPr>
        <w:t>employment records from other states.</w:t>
      </w:r>
      <w:r w:rsidRPr="00E06806">
        <w:rPr>
          <w:rFonts w:cstheme="minorHAnsi"/>
          <w:color w:val="231F20"/>
          <w:spacing w:val="15"/>
          <w:w w:val="105"/>
        </w:rPr>
        <w:t xml:space="preserve"> </w:t>
      </w:r>
      <w:r w:rsidRPr="00E06806">
        <w:rPr>
          <w:rFonts w:cstheme="minorHAnsi"/>
          <w:color w:val="231F20"/>
          <w:w w:val="105"/>
        </w:rPr>
        <w:t>WRIS</w:t>
      </w:r>
      <w:r w:rsidRPr="00E06806">
        <w:rPr>
          <w:rFonts w:cstheme="minorHAnsi"/>
          <w:color w:val="231F20"/>
          <w:spacing w:val="15"/>
          <w:w w:val="105"/>
        </w:rPr>
        <w:t xml:space="preserve"> </w:t>
      </w:r>
      <w:r w:rsidRPr="00E06806">
        <w:rPr>
          <w:rFonts w:cstheme="minorHAnsi"/>
          <w:color w:val="231F20"/>
          <w:w w:val="105"/>
        </w:rPr>
        <w:t>records</w:t>
      </w:r>
      <w:r w:rsidRPr="00E06806">
        <w:rPr>
          <w:rFonts w:cstheme="minorHAnsi"/>
          <w:color w:val="231F20"/>
          <w:spacing w:val="15"/>
          <w:w w:val="105"/>
        </w:rPr>
        <w:t xml:space="preserve"> </w:t>
      </w:r>
      <w:r w:rsidRPr="00E06806">
        <w:rPr>
          <w:rFonts w:cstheme="minorHAnsi"/>
          <w:color w:val="231F20"/>
          <w:w w:val="105"/>
        </w:rPr>
        <w:t>supplementing</w:t>
      </w:r>
      <w:r w:rsidRPr="00E06806">
        <w:rPr>
          <w:rFonts w:cstheme="minorHAnsi"/>
          <w:color w:val="231F20"/>
          <w:spacing w:val="15"/>
          <w:w w:val="105"/>
        </w:rPr>
        <w:t xml:space="preserve"> </w:t>
      </w:r>
      <w:r w:rsidRPr="00E06806">
        <w:rPr>
          <w:rFonts w:cstheme="minorHAnsi"/>
          <w:color w:val="231F20"/>
          <w:w w:val="105"/>
        </w:rPr>
        <w:t>Florida’s</w:t>
      </w:r>
      <w:r w:rsidRPr="00E06806">
        <w:rPr>
          <w:rFonts w:cstheme="minorHAnsi"/>
          <w:color w:val="231F20"/>
          <w:spacing w:val="15"/>
          <w:w w:val="105"/>
        </w:rPr>
        <w:t xml:space="preserve"> </w:t>
      </w:r>
      <w:r w:rsidRPr="00E06806">
        <w:rPr>
          <w:rFonts w:cstheme="minorHAnsi"/>
          <w:color w:val="231F20"/>
          <w:w w:val="105"/>
        </w:rPr>
        <w:t>RA</w:t>
      </w:r>
      <w:r w:rsidRPr="00E06806">
        <w:rPr>
          <w:rFonts w:cstheme="minorHAnsi"/>
          <w:color w:val="231F20"/>
          <w:spacing w:val="15"/>
          <w:w w:val="105"/>
        </w:rPr>
        <w:t xml:space="preserve"> </w:t>
      </w:r>
      <w:r w:rsidRPr="00E06806">
        <w:rPr>
          <w:rFonts w:cstheme="minorHAnsi"/>
          <w:color w:val="231F20"/>
          <w:w w:val="105"/>
        </w:rPr>
        <w:t>data provides a more comprehensive picture of participant outcomes.</w:t>
      </w:r>
    </w:p>
    <w:p w14:paraId="696B8AF0" w14:textId="77777777" w:rsidR="00FA007C" w:rsidRPr="00E06806" w:rsidRDefault="00FA007C" w:rsidP="00D63204">
      <w:pPr>
        <w:widowControl w:val="0"/>
        <w:spacing w:before="5" w:after="0" w:line="240" w:lineRule="auto"/>
        <w:ind w:left="107"/>
        <w:rPr>
          <w:rFonts w:cstheme="minorHAnsi"/>
          <w:sz w:val="16"/>
          <w:szCs w:val="16"/>
        </w:rPr>
      </w:pPr>
    </w:p>
    <w:p w14:paraId="5DBE0AC7" w14:textId="55CD48AD" w:rsidR="00FA007C" w:rsidRPr="00E06806" w:rsidRDefault="00FA007C" w:rsidP="00D63204">
      <w:pPr>
        <w:widowControl w:val="0"/>
        <w:spacing w:after="0" w:line="264" w:lineRule="exact"/>
        <w:ind w:left="107"/>
        <w:rPr>
          <w:rFonts w:cstheme="minorHAnsi"/>
        </w:rPr>
      </w:pPr>
      <w:r w:rsidRPr="00E06806">
        <w:rPr>
          <w:rFonts w:cstheme="minorHAnsi"/>
          <w:color w:val="231F20"/>
          <w:w w:val="110"/>
        </w:rPr>
        <w:t>The</w:t>
      </w:r>
      <w:r w:rsidRPr="00E06806">
        <w:rPr>
          <w:rFonts w:cstheme="minorHAnsi"/>
          <w:color w:val="231F20"/>
          <w:spacing w:val="-10"/>
          <w:w w:val="110"/>
        </w:rPr>
        <w:t xml:space="preserve"> </w:t>
      </w:r>
      <w:r w:rsidRPr="00E06806">
        <w:rPr>
          <w:rFonts w:cstheme="minorHAnsi"/>
          <w:color w:val="231F20"/>
          <w:w w:val="110"/>
        </w:rPr>
        <w:t>chart</w:t>
      </w:r>
      <w:r w:rsidRPr="00E06806">
        <w:rPr>
          <w:rFonts w:cstheme="minorHAnsi"/>
          <w:color w:val="231F20"/>
          <w:spacing w:val="-11"/>
          <w:w w:val="110"/>
        </w:rPr>
        <w:t xml:space="preserve"> </w:t>
      </w:r>
      <w:r w:rsidRPr="00E06806">
        <w:rPr>
          <w:rFonts w:cstheme="minorHAnsi"/>
          <w:color w:val="231F20"/>
          <w:w w:val="110"/>
        </w:rPr>
        <w:t>below</w:t>
      </w:r>
      <w:r w:rsidRPr="00E06806">
        <w:rPr>
          <w:rFonts w:cstheme="minorHAnsi"/>
          <w:color w:val="231F20"/>
          <w:spacing w:val="-10"/>
          <w:w w:val="110"/>
        </w:rPr>
        <w:t xml:space="preserve"> </w:t>
      </w:r>
      <w:r w:rsidRPr="00E06806">
        <w:rPr>
          <w:rFonts w:cstheme="minorHAnsi"/>
          <w:color w:val="231F20"/>
          <w:w w:val="110"/>
        </w:rPr>
        <w:t>illustrates Florida’s</w:t>
      </w:r>
      <w:r w:rsidRPr="00E06806">
        <w:rPr>
          <w:rFonts w:cstheme="minorHAnsi"/>
          <w:color w:val="231F20"/>
          <w:spacing w:val="-10"/>
          <w:w w:val="110"/>
        </w:rPr>
        <w:t xml:space="preserve"> </w:t>
      </w:r>
      <w:r w:rsidRPr="00E06806">
        <w:rPr>
          <w:rFonts w:cstheme="minorHAnsi"/>
          <w:color w:val="231F20"/>
          <w:w w:val="110"/>
        </w:rPr>
        <w:t>negotiated</w:t>
      </w:r>
      <w:r w:rsidRPr="00E06806">
        <w:rPr>
          <w:rFonts w:cstheme="minorHAnsi"/>
          <w:color w:val="231F20"/>
          <w:spacing w:val="-10"/>
          <w:w w:val="110"/>
        </w:rPr>
        <w:t xml:space="preserve"> </w:t>
      </w:r>
      <w:r w:rsidRPr="00E06806">
        <w:rPr>
          <w:rFonts w:cstheme="minorHAnsi"/>
          <w:color w:val="231F20"/>
          <w:w w:val="110"/>
        </w:rPr>
        <w:t>rate</w:t>
      </w:r>
      <w:r w:rsidRPr="00E06806">
        <w:rPr>
          <w:rFonts w:cstheme="minorHAnsi"/>
          <w:color w:val="231F20"/>
          <w:spacing w:val="-10"/>
          <w:w w:val="110"/>
        </w:rPr>
        <w:t xml:space="preserve"> </w:t>
      </w:r>
      <w:r w:rsidRPr="00E06806">
        <w:rPr>
          <w:rFonts w:cstheme="minorHAnsi"/>
          <w:color w:val="231F20"/>
          <w:w w:val="110"/>
        </w:rPr>
        <w:t>for</w:t>
      </w:r>
      <w:r w:rsidRPr="00E06806">
        <w:rPr>
          <w:rFonts w:cstheme="minorHAnsi"/>
          <w:color w:val="231F20"/>
          <w:spacing w:val="-10"/>
          <w:w w:val="110"/>
        </w:rPr>
        <w:t xml:space="preserve"> </w:t>
      </w:r>
      <w:r w:rsidRPr="00E06806">
        <w:rPr>
          <w:rFonts w:cstheme="minorHAnsi"/>
          <w:color w:val="231F20"/>
          <w:w w:val="110"/>
        </w:rPr>
        <w:t>each</w:t>
      </w:r>
      <w:r w:rsidRPr="00E06806">
        <w:rPr>
          <w:rFonts w:cstheme="minorHAnsi"/>
          <w:color w:val="231F20"/>
          <w:spacing w:val="-10"/>
          <w:w w:val="110"/>
        </w:rPr>
        <w:t xml:space="preserve"> </w:t>
      </w:r>
      <w:r w:rsidRPr="00E06806">
        <w:rPr>
          <w:rFonts w:cstheme="minorHAnsi"/>
          <w:color w:val="231F20"/>
          <w:w w:val="110"/>
        </w:rPr>
        <w:t>of</w:t>
      </w:r>
      <w:r w:rsidRPr="00E06806">
        <w:rPr>
          <w:rFonts w:cstheme="minorHAnsi"/>
          <w:color w:val="231F20"/>
          <w:spacing w:val="-10"/>
          <w:w w:val="110"/>
        </w:rPr>
        <w:t xml:space="preserve"> </w:t>
      </w:r>
      <w:r w:rsidRPr="00E06806">
        <w:rPr>
          <w:rFonts w:cstheme="minorHAnsi"/>
          <w:color w:val="231F20"/>
          <w:w w:val="110"/>
        </w:rPr>
        <w:t>the</w:t>
      </w:r>
      <w:r w:rsidRPr="00E06806">
        <w:rPr>
          <w:rFonts w:cstheme="minorHAnsi"/>
          <w:color w:val="231F20"/>
          <w:spacing w:val="-10"/>
          <w:w w:val="110"/>
        </w:rPr>
        <w:t xml:space="preserve"> </w:t>
      </w:r>
      <w:r w:rsidRPr="00E06806">
        <w:rPr>
          <w:rFonts w:cstheme="minorHAnsi"/>
          <w:color w:val="231F20"/>
          <w:w w:val="110"/>
        </w:rPr>
        <w:t>required</w:t>
      </w:r>
      <w:r w:rsidRPr="00E06806">
        <w:rPr>
          <w:rFonts w:cstheme="minorHAnsi"/>
          <w:color w:val="231F20"/>
          <w:spacing w:val="-10"/>
          <w:w w:val="110"/>
        </w:rPr>
        <w:t xml:space="preserve"> </w:t>
      </w:r>
      <w:r w:rsidR="00C47FC0">
        <w:rPr>
          <w:rFonts w:cstheme="minorHAnsi"/>
          <w:color w:val="231F20"/>
          <w:w w:val="110"/>
        </w:rPr>
        <w:t xml:space="preserve">primary indicators of performance </w:t>
      </w:r>
      <w:r w:rsidRPr="00E06806">
        <w:rPr>
          <w:rFonts w:cstheme="minorHAnsi"/>
          <w:color w:val="231F20"/>
          <w:w w:val="110"/>
        </w:rPr>
        <w:t>along</w:t>
      </w:r>
      <w:r w:rsidRPr="00E06806">
        <w:rPr>
          <w:rFonts w:cstheme="minorHAnsi"/>
          <w:color w:val="231F20"/>
          <w:w w:val="109"/>
        </w:rPr>
        <w:t xml:space="preserve"> </w:t>
      </w:r>
      <w:r w:rsidRPr="00E06806">
        <w:rPr>
          <w:rFonts w:cstheme="minorHAnsi"/>
          <w:color w:val="231F20"/>
          <w:w w:val="110"/>
        </w:rPr>
        <w:t>with</w:t>
      </w:r>
      <w:r w:rsidRPr="00E06806">
        <w:rPr>
          <w:rFonts w:cstheme="minorHAnsi"/>
          <w:color w:val="231F20"/>
          <w:spacing w:val="-12"/>
          <w:w w:val="110"/>
        </w:rPr>
        <w:t xml:space="preserve"> </w:t>
      </w:r>
      <w:r w:rsidRPr="00E06806">
        <w:rPr>
          <w:rFonts w:cstheme="minorHAnsi"/>
          <w:color w:val="231F20"/>
          <w:w w:val="110"/>
        </w:rPr>
        <w:t>the</w:t>
      </w:r>
      <w:r w:rsidRPr="00E06806">
        <w:rPr>
          <w:rFonts w:cstheme="minorHAnsi"/>
          <w:color w:val="231F20"/>
          <w:spacing w:val="-12"/>
          <w:w w:val="110"/>
        </w:rPr>
        <w:t xml:space="preserve"> </w:t>
      </w:r>
      <w:r w:rsidRPr="00E06806">
        <w:rPr>
          <w:rFonts w:cstheme="minorHAnsi"/>
          <w:color w:val="231F20"/>
          <w:w w:val="110"/>
        </w:rPr>
        <w:t>actual</w:t>
      </w:r>
      <w:r w:rsidRPr="00E06806">
        <w:rPr>
          <w:rFonts w:cstheme="minorHAnsi"/>
          <w:color w:val="231F20"/>
          <w:spacing w:val="-12"/>
          <w:w w:val="110"/>
        </w:rPr>
        <w:t xml:space="preserve"> </w:t>
      </w:r>
      <w:r w:rsidRPr="00E06806">
        <w:rPr>
          <w:rFonts w:cstheme="minorHAnsi"/>
          <w:color w:val="231F20"/>
          <w:w w:val="110"/>
        </w:rPr>
        <w:t>statewide</w:t>
      </w:r>
      <w:r w:rsidRPr="00E06806">
        <w:rPr>
          <w:rFonts w:cstheme="minorHAnsi"/>
          <w:color w:val="231F20"/>
          <w:spacing w:val="-12"/>
          <w:w w:val="110"/>
        </w:rPr>
        <w:t xml:space="preserve"> </w:t>
      </w:r>
      <w:r w:rsidRPr="00E06806">
        <w:rPr>
          <w:rFonts w:cstheme="minorHAnsi"/>
          <w:color w:val="231F20"/>
          <w:w w:val="110"/>
        </w:rPr>
        <w:t>outcomes</w:t>
      </w:r>
      <w:r w:rsidRPr="00E06806">
        <w:rPr>
          <w:rFonts w:cstheme="minorHAnsi"/>
          <w:color w:val="231F20"/>
          <w:spacing w:val="-12"/>
          <w:w w:val="110"/>
        </w:rPr>
        <w:t xml:space="preserve"> </w:t>
      </w:r>
      <w:r w:rsidRPr="00E06806">
        <w:rPr>
          <w:rFonts w:cstheme="minorHAnsi"/>
          <w:color w:val="231F20"/>
          <w:w w:val="110"/>
        </w:rPr>
        <w:t>achieved.</w:t>
      </w:r>
      <w:r w:rsidRPr="00E06806">
        <w:rPr>
          <w:rFonts w:cstheme="minorHAnsi"/>
          <w:color w:val="231F20"/>
          <w:spacing w:val="-12"/>
          <w:w w:val="110"/>
        </w:rPr>
        <w:t xml:space="preserve"> </w:t>
      </w:r>
      <w:r w:rsidRPr="00E06806">
        <w:rPr>
          <w:rFonts w:cstheme="minorHAnsi"/>
          <w:color w:val="231F20"/>
          <w:w w:val="110"/>
        </w:rPr>
        <w:t>Pursuant</w:t>
      </w:r>
      <w:r w:rsidRPr="00E06806">
        <w:rPr>
          <w:rFonts w:cstheme="minorHAnsi"/>
          <w:color w:val="231F20"/>
          <w:spacing w:val="-12"/>
          <w:w w:val="110"/>
        </w:rPr>
        <w:t xml:space="preserve"> </w:t>
      </w:r>
      <w:r w:rsidRPr="00E06806">
        <w:rPr>
          <w:rFonts w:cstheme="minorHAnsi"/>
          <w:color w:val="231F20"/>
          <w:w w:val="110"/>
        </w:rPr>
        <w:t>to</w:t>
      </w:r>
      <w:r w:rsidRPr="00E06806">
        <w:rPr>
          <w:rFonts w:cstheme="minorHAnsi"/>
          <w:color w:val="231F20"/>
          <w:spacing w:val="-12"/>
          <w:w w:val="110"/>
        </w:rPr>
        <w:t xml:space="preserve"> </w:t>
      </w:r>
      <w:r w:rsidRPr="00E06806">
        <w:rPr>
          <w:rFonts w:cstheme="minorHAnsi"/>
          <w:color w:val="231F20"/>
          <w:w w:val="110"/>
        </w:rPr>
        <w:t>federal</w:t>
      </w:r>
      <w:r w:rsidRPr="00E06806">
        <w:rPr>
          <w:rFonts w:cstheme="minorHAnsi"/>
          <w:color w:val="231F20"/>
          <w:spacing w:val="-12"/>
          <w:w w:val="110"/>
        </w:rPr>
        <w:t xml:space="preserve"> </w:t>
      </w:r>
      <w:r w:rsidRPr="00E06806">
        <w:rPr>
          <w:rFonts w:cstheme="minorHAnsi"/>
          <w:color w:val="231F20"/>
          <w:w w:val="110"/>
        </w:rPr>
        <w:t>policy,</w:t>
      </w:r>
      <w:r w:rsidRPr="00E06806">
        <w:rPr>
          <w:rFonts w:cstheme="minorHAnsi"/>
          <w:color w:val="231F20"/>
          <w:spacing w:val="-12"/>
          <w:w w:val="110"/>
        </w:rPr>
        <w:t xml:space="preserve"> </w:t>
      </w:r>
      <w:r w:rsidRPr="00E06806">
        <w:rPr>
          <w:rFonts w:cstheme="minorHAnsi"/>
          <w:color w:val="231F20"/>
          <w:w w:val="110"/>
        </w:rPr>
        <w:t>states</w:t>
      </w:r>
      <w:r w:rsidRPr="00E06806">
        <w:rPr>
          <w:rFonts w:cstheme="minorHAnsi"/>
          <w:color w:val="231F20"/>
          <w:spacing w:val="-12"/>
          <w:w w:val="110"/>
        </w:rPr>
        <w:t xml:space="preserve"> </w:t>
      </w:r>
      <w:r w:rsidRPr="00E06806">
        <w:rPr>
          <w:rFonts w:cstheme="minorHAnsi"/>
          <w:color w:val="231F20"/>
          <w:w w:val="110"/>
        </w:rPr>
        <w:t>achieving</w:t>
      </w:r>
      <w:r w:rsidRPr="00E06806">
        <w:rPr>
          <w:rFonts w:cstheme="minorHAnsi"/>
          <w:color w:val="231F20"/>
          <w:spacing w:val="-12"/>
          <w:w w:val="110"/>
        </w:rPr>
        <w:t xml:space="preserve"> </w:t>
      </w:r>
      <w:r w:rsidRPr="00E06806">
        <w:rPr>
          <w:rFonts w:cstheme="minorHAnsi"/>
          <w:color w:val="231F20"/>
          <w:w w:val="110"/>
        </w:rPr>
        <w:t>at</w:t>
      </w:r>
      <w:r w:rsidRPr="00E06806">
        <w:rPr>
          <w:rFonts w:cstheme="minorHAnsi"/>
          <w:color w:val="231F20"/>
          <w:spacing w:val="-12"/>
          <w:w w:val="110"/>
        </w:rPr>
        <w:t xml:space="preserve"> </w:t>
      </w:r>
      <w:r w:rsidRPr="00E06806">
        <w:rPr>
          <w:rFonts w:cstheme="minorHAnsi"/>
          <w:color w:val="231F20"/>
          <w:w w:val="110"/>
        </w:rPr>
        <w:t>least</w:t>
      </w:r>
      <w:r w:rsidRPr="00E06806">
        <w:rPr>
          <w:rFonts w:cstheme="minorHAnsi"/>
          <w:color w:val="231F20"/>
          <w:spacing w:val="-12"/>
          <w:w w:val="110"/>
        </w:rPr>
        <w:t xml:space="preserve"> </w:t>
      </w:r>
      <w:r w:rsidRPr="00E06806">
        <w:rPr>
          <w:rFonts w:cstheme="minorHAnsi"/>
          <w:color w:val="231F20"/>
          <w:w w:val="110"/>
        </w:rPr>
        <w:t>90</w:t>
      </w:r>
      <w:r w:rsidRPr="00E06806">
        <w:rPr>
          <w:rFonts w:cstheme="minorHAnsi"/>
          <w:color w:val="231F20"/>
          <w:w w:val="117"/>
        </w:rPr>
        <w:t xml:space="preserve"> </w:t>
      </w:r>
      <w:r w:rsidRPr="00E06806">
        <w:rPr>
          <w:rFonts w:cstheme="minorHAnsi"/>
          <w:color w:val="231F20"/>
          <w:w w:val="110"/>
        </w:rPr>
        <w:t>percent</w:t>
      </w:r>
      <w:r w:rsidRPr="00E06806">
        <w:rPr>
          <w:rFonts w:cstheme="minorHAnsi"/>
          <w:color w:val="231F20"/>
          <w:spacing w:val="-12"/>
          <w:w w:val="110"/>
        </w:rPr>
        <w:t xml:space="preserve"> </w:t>
      </w:r>
      <w:r w:rsidRPr="00E06806">
        <w:rPr>
          <w:rFonts w:cstheme="minorHAnsi"/>
          <w:color w:val="231F20"/>
          <w:w w:val="110"/>
        </w:rPr>
        <w:t>of</w:t>
      </w:r>
      <w:r w:rsidRPr="00E06806">
        <w:rPr>
          <w:rFonts w:cstheme="minorHAnsi"/>
          <w:color w:val="231F20"/>
          <w:spacing w:val="-12"/>
          <w:w w:val="110"/>
        </w:rPr>
        <w:t xml:space="preserve"> </w:t>
      </w:r>
      <w:r w:rsidRPr="00E06806">
        <w:rPr>
          <w:rFonts w:cstheme="minorHAnsi"/>
          <w:color w:val="231F20"/>
          <w:w w:val="110"/>
        </w:rPr>
        <w:t>the</w:t>
      </w:r>
      <w:r w:rsidRPr="00E06806">
        <w:rPr>
          <w:rFonts w:cstheme="minorHAnsi"/>
          <w:color w:val="231F20"/>
          <w:spacing w:val="-12"/>
          <w:w w:val="110"/>
        </w:rPr>
        <w:t xml:space="preserve"> </w:t>
      </w:r>
      <w:r w:rsidRPr="00E06806">
        <w:rPr>
          <w:rFonts w:cstheme="minorHAnsi"/>
          <w:color w:val="231F20"/>
          <w:w w:val="110"/>
        </w:rPr>
        <w:t>negotiated</w:t>
      </w:r>
      <w:r w:rsidRPr="00E06806">
        <w:rPr>
          <w:rFonts w:cstheme="minorHAnsi"/>
          <w:color w:val="231F20"/>
          <w:spacing w:val="-12"/>
          <w:w w:val="110"/>
        </w:rPr>
        <w:t xml:space="preserve"> </w:t>
      </w:r>
      <w:r w:rsidRPr="00E06806">
        <w:rPr>
          <w:rFonts w:cstheme="minorHAnsi"/>
          <w:color w:val="231F20"/>
          <w:w w:val="110"/>
        </w:rPr>
        <w:t>goal</w:t>
      </w:r>
      <w:r w:rsidRPr="00E06806">
        <w:rPr>
          <w:rFonts w:cstheme="minorHAnsi"/>
          <w:color w:val="231F20"/>
          <w:spacing w:val="-12"/>
          <w:w w:val="110"/>
        </w:rPr>
        <w:t xml:space="preserve"> </w:t>
      </w:r>
      <w:r w:rsidRPr="00E06806">
        <w:rPr>
          <w:rFonts w:cstheme="minorHAnsi"/>
          <w:color w:val="231F20"/>
          <w:w w:val="110"/>
        </w:rPr>
        <w:t>are</w:t>
      </w:r>
      <w:r w:rsidRPr="00E06806">
        <w:rPr>
          <w:rFonts w:cstheme="minorHAnsi"/>
          <w:color w:val="231F20"/>
          <w:spacing w:val="-12"/>
          <w:w w:val="110"/>
        </w:rPr>
        <w:t xml:space="preserve"> </w:t>
      </w:r>
      <w:r w:rsidRPr="00E06806">
        <w:rPr>
          <w:rFonts w:cstheme="minorHAnsi"/>
          <w:color w:val="231F20"/>
          <w:w w:val="110"/>
        </w:rPr>
        <w:t>considered</w:t>
      </w:r>
      <w:r w:rsidRPr="00E06806">
        <w:rPr>
          <w:rFonts w:cstheme="minorHAnsi"/>
          <w:color w:val="231F20"/>
          <w:spacing w:val="-12"/>
          <w:w w:val="110"/>
        </w:rPr>
        <w:t xml:space="preserve"> </w:t>
      </w:r>
      <w:r w:rsidRPr="00E06806">
        <w:rPr>
          <w:rFonts w:cstheme="minorHAnsi"/>
          <w:color w:val="231F20"/>
          <w:w w:val="110"/>
        </w:rPr>
        <w:t>to</w:t>
      </w:r>
      <w:r w:rsidRPr="00E06806">
        <w:rPr>
          <w:rFonts w:cstheme="minorHAnsi"/>
          <w:color w:val="231F20"/>
          <w:spacing w:val="-12"/>
          <w:w w:val="110"/>
        </w:rPr>
        <w:t xml:space="preserve"> </w:t>
      </w:r>
      <w:r w:rsidRPr="00E06806">
        <w:rPr>
          <w:rFonts w:cstheme="minorHAnsi"/>
          <w:color w:val="231F20"/>
          <w:w w:val="110"/>
        </w:rPr>
        <w:t>have</w:t>
      </w:r>
      <w:r w:rsidRPr="00E06806">
        <w:rPr>
          <w:rFonts w:cstheme="minorHAnsi"/>
          <w:color w:val="231F20"/>
          <w:spacing w:val="-12"/>
          <w:w w:val="110"/>
        </w:rPr>
        <w:t xml:space="preserve"> </w:t>
      </w:r>
      <w:r w:rsidRPr="00E06806">
        <w:rPr>
          <w:rFonts w:cstheme="minorHAnsi"/>
          <w:color w:val="231F20"/>
          <w:w w:val="110"/>
        </w:rPr>
        <w:t>met</w:t>
      </w:r>
      <w:r w:rsidRPr="00E06806">
        <w:rPr>
          <w:rFonts w:cstheme="minorHAnsi"/>
          <w:color w:val="231F20"/>
          <w:spacing w:val="-12"/>
          <w:w w:val="110"/>
        </w:rPr>
        <w:t xml:space="preserve"> </w:t>
      </w:r>
      <w:r w:rsidRPr="00E06806">
        <w:rPr>
          <w:rFonts w:cstheme="minorHAnsi"/>
          <w:color w:val="231F20"/>
          <w:w w:val="110"/>
        </w:rPr>
        <w:t>the</w:t>
      </w:r>
      <w:r w:rsidRPr="00E06806">
        <w:rPr>
          <w:rFonts w:cstheme="minorHAnsi"/>
          <w:color w:val="231F20"/>
          <w:spacing w:val="-12"/>
          <w:w w:val="110"/>
        </w:rPr>
        <w:t xml:space="preserve"> </w:t>
      </w:r>
      <w:r w:rsidRPr="00E06806">
        <w:rPr>
          <w:rFonts w:cstheme="minorHAnsi"/>
          <w:color w:val="231F20"/>
          <w:w w:val="110"/>
        </w:rPr>
        <w:t>goal.</w:t>
      </w:r>
      <w:r w:rsidRPr="00E06806">
        <w:rPr>
          <w:rFonts w:cstheme="minorHAnsi"/>
          <w:color w:val="231F20"/>
          <w:spacing w:val="-12"/>
          <w:w w:val="110"/>
        </w:rPr>
        <w:t xml:space="preserve"> </w:t>
      </w:r>
      <w:r w:rsidRPr="00E06806">
        <w:rPr>
          <w:rFonts w:cstheme="minorHAnsi"/>
          <w:color w:val="231F20"/>
          <w:w w:val="110"/>
        </w:rPr>
        <w:t>The</w:t>
      </w:r>
      <w:r w:rsidRPr="00E06806">
        <w:rPr>
          <w:rFonts w:cstheme="minorHAnsi"/>
          <w:color w:val="231F20"/>
          <w:spacing w:val="-12"/>
          <w:w w:val="110"/>
        </w:rPr>
        <w:t xml:space="preserve"> 9</w:t>
      </w:r>
      <w:r w:rsidRPr="00E06806">
        <w:rPr>
          <w:rFonts w:cstheme="minorHAnsi"/>
          <w:color w:val="231F20"/>
          <w:w w:val="110"/>
        </w:rPr>
        <w:t>0</w:t>
      </w:r>
      <w:r w:rsidRPr="00E06806">
        <w:rPr>
          <w:rFonts w:cstheme="minorHAnsi"/>
          <w:color w:val="231F20"/>
          <w:spacing w:val="-12"/>
          <w:w w:val="110"/>
        </w:rPr>
        <w:t xml:space="preserve"> </w:t>
      </w:r>
      <w:r w:rsidRPr="00E06806">
        <w:rPr>
          <w:rFonts w:cstheme="minorHAnsi"/>
          <w:color w:val="231F20"/>
          <w:w w:val="110"/>
        </w:rPr>
        <w:t>percent</w:t>
      </w:r>
      <w:r w:rsidRPr="00E06806">
        <w:rPr>
          <w:rFonts w:cstheme="minorHAnsi"/>
          <w:color w:val="231F20"/>
          <w:spacing w:val="-12"/>
          <w:w w:val="110"/>
        </w:rPr>
        <w:t xml:space="preserve"> </w:t>
      </w:r>
      <w:r w:rsidRPr="002B09DC">
        <w:rPr>
          <w:rFonts w:cstheme="minorHAnsi"/>
          <w:color w:val="231F20"/>
          <w:w w:val="110"/>
        </w:rPr>
        <w:t>criterion</w:t>
      </w:r>
      <w:r w:rsidRPr="002B09DC">
        <w:rPr>
          <w:rFonts w:cstheme="minorHAnsi"/>
          <w:color w:val="231F20"/>
          <w:spacing w:val="-12"/>
          <w:w w:val="110"/>
        </w:rPr>
        <w:t xml:space="preserve"> </w:t>
      </w:r>
      <w:r w:rsidRPr="002B09DC">
        <w:rPr>
          <w:rFonts w:cstheme="minorHAnsi"/>
          <w:color w:val="231F20"/>
          <w:w w:val="110"/>
        </w:rPr>
        <w:t>is</w:t>
      </w:r>
      <w:r w:rsidRPr="002B09DC">
        <w:rPr>
          <w:rFonts w:cstheme="minorHAnsi"/>
          <w:color w:val="231F20"/>
          <w:spacing w:val="-12"/>
          <w:w w:val="110"/>
        </w:rPr>
        <w:t xml:space="preserve"> </w:t>
      </w:r>
      <w:r w:rsidRPr="002B09DC">
        <w:rPr>
          <w:rFonts w:cstheme="minorHAnsi"/>
          <w:color w:val="231F20"/>
          <w:w w:val="110"/>
        </w:rPr>
        <w:t>shown</w:t>
      </w:r>
      <w:r w:rsidRPr="002B09DC">
        <w:rPr>
          <w:rFonts w:cstheme="minorHAnsi"/>
          <w:color w:val="231F20"/>
          <w:spacing w:val="-12"/>
          <w:w w:val="110"/>
        </w:rPr>
        <w:t xml:space="preserve"> </w:t>
      </w:r>
      <w:r w:rsidRPr="002B09DC">
        <w:rPr>
          <w:rFonts w:cstheme="minorHAnsi"/>
          <w:color w:val="231F20"/>
          <w:w w:val="110"/>
        </w:rPr>
        <w:t>in</w:t>
      </w:r>
      <w:r w:rsidRPr="002B09DC">
        <w:rPr>
          <w:rFonts w:cstheme="minorHAnsi"/>
          <w:color w:val="231F20"/>
          <w:w w:val="102"/>
        </w:rPr>
        <w:t xml:space="preserve"> </w:t>
      </w:r>
      <w:r w:rsidRPr="002B09DC">
        <w:rPr>
          <w:rFonts w:cstheme="minorHAnsi"/>
          <w:color w:val="231F20"/>
          <w:w w:val="110"/>
        </w:rPr>
        <w:t>parentheses.</w:t>
      </w:r>
      <w:r w:rsidRPr="00E06806">
        <w:rPr>
          <w:rFonts w:cstheme="minorHAnsi"/>
          <w:color w:val="231F20"/>
          <w:w w:val="110"/>
        </w:rPr>
        <w:t xml:space="preserve"> </w:t>
      </w:r>
    </w:p>
    <w:p w14:paraId="2ECEA7B6" w14:textId="77777777" w:rsidR="00FA007C" w:rsidRPr="00E06806" w:rsidRDefault="00FA007C" w:rsidP="00D63204">
      <w:pPr>
        <w:widowControl w:val="0"/>
        <w:spacing w:before="4" w:after="0" w:line="240" w:lineRule="auto"/>
        <w:ind w:left="107"/>
        <w:rPr>
          <w:rFonts w:cstheme="minorHAnsi"/>
          <w:sz w:val="14"/>
          <w:szCs w:val="14"/>
        </w:rPr>
      </w:pPr>
    </w:p>
    <w:p w14:paraId="4904C303" w14:textId="6A19FBFB" w:rsidR="00FA007C" w:rsidRPr="00E06806" w:rsidRDefault="00FA007C" w:rsidP="00D63204">
      <w:pPr>
        <w:widowControl w:val="0"/>
        <w:spacing w:before="57" w:after="0" w:line="266" w:lineRule="exact"/>
        <w:ind w:left="107"/>
        <w:outlineLvl w:val="2"/>
        <w:rPr>
          <w:rFonts w:cstheme="minorHAnsi"/>
        </w:rPr>
      </w:pPr>
      <w:r w:rsidRPr="00E06806">
        <w:rPr>
          <w:rFonts w:cstheme="minorHAnsi"/>
          <w:b/>
          <w:bCs/>
          <w:w w:val="110"/>
        </w:rPr>
        <w:t>Figure</w:t>
      </w:r>
      <w:r w:rsidRPr="00E06806">
        <w:rPr>
          <w:rFonts w:cstheme="minorHAnsi"/>
          <w:b/>
          <w:bCs/>
          <w:spacing w:val="-3"/>
          <w:w w:val="110"/>
        </w:rPr>
        <w:t xml:space="preserve"> </w:t>
      </w:r>
      <w:r w:rsidRPr="00E06806">
        <w:rPr>
          <w:rFonts w:cstheme="minorHAnsi"/>
          <w:b/>
          <w:bCs/>
          <w:spacing w:val="-6"/>
          <w:w w:val="110"/>
        </w:rPr>
        <w:t>3.11</w:t>
      </w:r>
    </w:p>
    <w:p w14:paraId="585636ED" w14:textId="0807A26B" w:rsidR="008B5C34" w:rsidRDefault="00FA007C" w:rsidP="00D63204">
      <w:pPr>
        <w:widowControl w:val="0"/>
        <w:spacing w:before="2" w:after="0" w:line="235" w:lineRule="auto"/>
        <w:ind w:left="107"/>
        <w:rPr>
          <w:rFonts w:cstheme="minorHAnsi"/>
          <w:b/>
          <w:w w:val="107"/>
        </w:rPr>
      </w:pPr>
      <w:bookmarkStart w:id="86" w:name="_Hlk504387868"/>
      <w:r w:rsidRPr="00E06806">
        <w:rPr>
          <w:rFonts w:cstheme="minorHAnsi"/>
          <w:b/>
          <w:w w:val="110"/>
        </w:rPr>
        <w:t>State</w:t>
      </w:r>
      <w:r w:rsidRPr="00E06806">
        <w:rPr>
          <w:rFonts w:cstheme="minorHAnsi"/>
          <w:b/>
          <w:spacing w:val="-15"/>
          <w:w w:val="110"/>
        </w:rPr>
        <w:t xml:space="preserve"> </w:t>
      </w:r>
      <w:r w:rsidRPr="00E06806">
        <w:rPr>
          <w:rFonts w:cstheme="minorHAnsi"/>
          <w:b/>
          <w:w w:val="110"/>
        </w:rPr>
        <w:t>WIOA</w:t>
      </w:r>
      <w:r w:rsidRPr="00E06806">
        <w:rPr>
          <w:rFonts w:cstheme="minorHAnsi"/>
          <w:b/>
          <w:spacing w:val="-15"/>
          <w:w w:val="110"/>
        </w:rPr>
        <w:t xml:space="preserve"> </w:t>
      </w:r>
      <w:r w:rsidRPr="00E06806">
        <w:rPr>
          <w:rFonts w:cstheme="minorHAnsi"/>
          <w:b/>
          <w:w w:val="110"/>
        </w:rPr>
        <w:t>Statewide</w:t>
      </w:r>
      <w:r w:rsidRPr="00E06806">
        <w:rPr>
          <w:rFonts w:cstheme="minorHAnsi"/>
          <w:b/>
          <w:spacing w:val="-15"/>
          <w:w w:val="110"/>
        </w:rPr>
        <w:t xml:space="preserve"> </w:t>
      </w:r>
      <w:r w:rsidR="00C47FC0">
        <w:rPr>
          <w:rFonts w:cstheme="minorHAnsi"/>
          <w:b/>
          <w:w w:val="110"/>
        </w:rPr>
        <w:t xml:space="preserve">Primary Indicators </w:t>
      </w:r>
      <w:r w:rsidRPr="00E06806">
        <w:rPr>
          <w:rFonts w:cstheme="minorHAnsi"/>
          <w:b/>
          <w:w w:val="110"/>
        </w:rPr>
        <w:t>of</w:t>
      </w:r>
      <w:r w:rsidRPr="00E06806">
        <w:rPr>
          <w:rFonts w:cstheme="minorHAnsi"/>
          <w:b/>
          <w:spacing w:val="-15"/>
          <w:w w:val="110"/>
        </w:rPr>
        <w:t xml:space="preserve"> </w:t>
      </w:r>
      <w:r w:rsidRPr="00E06806">
        <w:rPr>
          <w:rFonts w:cstheme="minorHAnsi"/>
          <w:b/>
          <w:w w:val="110"/>
        </w:rPr>
        <w:t>Performance</w:t>
      </w:r>
      <w:r w:rsidRPr="00E06806">
        <w:rPr>
          <w:rFonts w:cstheme="minorHAnsi"/>
          <w:b/>
          <w:w w:val="107"/>
        </w:rPr>
        <w:t xml:space="preserve"> </w:t>
      </w:r>
    </w:p>
    <w:p w14:paraId="56BA3862" w14:textId="78A7CBDA" w:rsidR="00FA007C" w:rsidRPr="00E06806" w:rsidRDefault="008B5C34" w:rsidP="00D63204">
      <w:pPr>
        <w:widowControl w:val="0"/>
        <w:spacing w:before="2" w:after="0" w:line="235" w:lineRule="auto"/>
        <w:ind w:left="107"/>
        <w:rPr>
          <w:rFonts w:cstheme="minorHAnsi"/>
        </w:rPr>
      </w:pPr>
      <w:r>
        <w:rPr>
          <w:rFonts w:cstheme="minorHAnsi"/>
          <w:b/>
          <w:color w:val="231F20"/>
          <w:w w:val="110"/>
        </w:rPr>
        <w:t xml:space="preserve">Program Year </w:t>
      </w:r>
      <w:r w:rsidR="00FA007C" w:rsidRPr="00E06806">
        <w:rPr>
          <w:rFonts w:cstheme="minorHAnsi"/>
          <w:b/>
          <w:color w:val="231F20"/>
          <w:w w:val="110"/>
        </w:rPr>
        <w:t>2016-2017</w:t>
      </w:r>
    </w:p>
    <w:bookmarkEnd w:id="86"/>
    <w:p w14:paraId="4111EFD4" w14:textId="77777777" w:rsidR="00FA007C" w:rsidRPr="00E06806" w:rsidRDefault="00FA007C" w:rsidP="00D63204">
      <w:pPr>
        <w:widowControl w:val="0"/>
        <w:spacing w:before="2" w:after="0" w:line="240" w:lineRule="auto"/>
        <w:ind w:left="107"/>
        <w:rPr>
          <w:rFonts w:cstheme="minorHAnsi"/>
          <w:b/>
          <w:bCs/>
          <w:sz w:val="18"/>
          <w:szCs w:val="18"/>
        </w:rPr>
      </w:pPr>
    </w:p>
    <w:tbl>
      <w:tblPr>
        <w:tblW w:w="0" w:type="auto"/>
        <w:tblInd w:w="108" w:type="dxa"/>
        <w:tblLayout w:type="fixed"/>
        <w:tblCellMar>
          <w:left w:w="0" w:type="dxa"/>
          <w:right w:w="0" w:type="dxa"/>
        </w:tblCellMar>
        <w:tblLook w:val="01E0" w:firstRow="1" w:lastRow="1" w:firstColumn="1" w:lastColumn="1" w:noHBand="0" w:noVBand="0"/>
      </w:tblPr>
      <w:tblGrid>
        <w:gridCol w:w="3360"/>
        <w:gridCol w:w="2499"/>
        <w:gridCol w:w="2207"/>
        <w:gridCol w:w="2093"/>
      </w:tblGrid>
      <w:tr w:rsidR="00FA007C" w:rsidRPr="00E06806" w14:paraId="45791D8B" w14:textId="77777777" w:rsidTr="009F1669">
        <w:trPr>
          <w:trHeight w:hRule="exact" w:val="798"/>
        </w:trPr>
        <w:tc>
          <w:tcPr>
            <w:tcW w:w="3360" w:type="dxa"/>
            <w:tcBorders>
              <w:top w:val="single" w:sz="2" w:space="0" w:color="231F20"/>
              <w:left w:val="single" w:sz="2" w:space="0" w:color="231F20"/>
              <w:bottom w:val="single" w:sz="2" w:space="0" w:color="231F20"/>
              <w:right w:val="single" w:sz="2" w:space="0" w:color="231F20"/>
            </w:tcBorders>
            <w:vAlign w:val="center"/>
          </w:tcPr>
          <w:p w14:paraId="682A64E4" w14:textId="77777777" w:rsidR="00FA007C" w:rsidRPr="00E06806" w:rsidRDefault="00FA007C" w:rsidP="009F1669">
            <w:pPr>
              <w:widowControl w:val="0"/>
              <w:spacing w:before="4" w:after="0" w:line="240" w:lineRule="auto"/>
              <w:ind w:left="107"/>
              <w:rPr>
                <w:rFonts w:cstheme="minorHAnsi"/>
                <w:b/>
                <w:bCs/>
                <w:sz w:val="23"/>
                <w:szCs w:val="23"/>
              </w:rPr>
            </w:pPr>
          </w:p>
          <w:p w14:paraId="3D6D669B" w14:textId="77777777" w:rsidR="00FA007C" w:rsidRPr="00E06806" w:rsidRDefault="00FA007C" w:rsidP="009F1669">
            <w:pPr>
              <w:widowControl w:val="0"/>
              <w:spacing w:after="0" w:line="240" w:lineRule="auto"/>
              <w:ind w:left="107"/>
              <w:rPr>
                <w:rFonts w:cstheme="minorHAnsi"/>
                <w:sz w:val="20"/>
                <w:szCs w:val="20"/>
              </w:rPr>
            </w:pPr>
            <w:r w:rsidRPr="00E06806">
              <w:rPr>
                <w:rFonts w:cstheme="minorHAnsi"/>
                <w:b/>
                <w:color w:val="231F20"/>
                <w:w w:val="115"/>
                <w:sz w:val="20"/>
              </w:rPr>
              <w:t>WIOA CORE</w:t>
            </w:r>
            <w:r w:rsidRPr="00E06806">
              <w:rPr>
                <w:rFonts w:cstheme="minorHAnsi"/>
                <w:b/>
                <w:color w:val="231F20"/>
                <w:spacing w:val="-38"/>
                <w:w w:val="115"/>
                <w:sz w:val="20"/>
              </w:rPr>
              <w:t xml:space="preserve">   </w:t>
            </w:r>
            <w:r w:rsidRPr="00E06806">
              <w:rPr>
                <w:rFonts w:cstheme="minorHAnsi"/>
                <w:b/>
                <w:color w:val="231F20"/>
                <w:w w:val="115"/>
                <w:sz w:val="20"/>
              </w:rPr>
              <w:t>MEASURE</w:t>
            </w:r>
          </w:p>
        </w:tc>
        <w:tc>
          <w:tcPr>
            <w:tcW w:w="2499" w:type="dxa"/>
            <w:tcBorders>
              <w:top w:val="single" w:sz="2" w:space="0" w:color="231F20"/>
              <w:left w:val="single" w:sz="2" w:space="0" w:color="231F20"/>
              <w:bottom w:val="single" w:sz="2" w:space="0" w:color="231F20"/>
              <w:right w:val="single" w:sz="2" w:space="0" w:color="231F20"/>
            </w:tcBorders>
            <w:vAlign w:val="center"/>
          </w:tcPr>
          <w:p w14:paraId="0B9C8ACB" w14:textId="77777777" w:rsidR="009F1669" w:rsidRDefault="00FA007C" w:rsidP="00D63204">
            <w:pPr>
              <w:widowControl w:val="0"/>
              <w:spacing w:before="165" w:after="0" w:line="242" w:lineRule="exact"/>
              <w:ind w:left="107"/>
              <w:rPr>
                <w:rFonts w:cstheme="minorHAnsi"/>
                <w:b/>
                <w:color w:val="231F20"/>
                <w:w w:val="115"/>
                <w:sz w:val="20"/>
              </w:rPr>
            </w:pPr>
            <w:r w:rsidRPr="00E06806">
              <w:rPr>
                <w:rFonts w:cstheme="minorHAnsi"/>
                <w:b/>
                <w:color w:val="231F20"/>
                <w:w w:val="115"/>
                <w:sz w:val="20"/>
              </w:rPr>
              <w:t>NEGOTIATED</w:t>
            </w:r>
            <w:r w:rsidRPr="00E06806">
              <w:rPr>
                <w:rFonts w:cstheme="minorHAnsi"/>
                <w:b/>
                <w:color w:val="231F20"/>
                <w:spacing w:val="-26"/>
                <w:w w:val="115"/>
                <w:sz w:val="20"/>
              </w:rPr>
              <w:t xml:space="preserve"> </w:t>
            </w:r>
            <w:r w:rsidRPr="00E06806">
              <w:rPr>
                <w:rFonts w:cstheme="minorHAnsi"/>
                <w:b/>
                <w:color w:val="231F20"/>
                <w:w w:val="115"/>
                <w:sz w:val="20"/>
              </w:rPr>
              <w:t>GOAL</w:t>
            </w:r>
          </w:p>
          <w:p w14:paraId="68E359CC" w14:textId="79F37C4A" w:rsidR="00FA007C" w:rsidRPr="00E06806" w:rsidRDefault="00FA007C" w:rsidP="00D63204">
            <w:pPr>
              <w:widowControl w:val="0"/>
              <w:spacing w:after="0" w:line="240" w:lineRule="auto"/>
              <w:ind w:left="107"/>
              <w:rPr>
                <w:rFonts w:cstheme="minorHAnsi"/>
                <w:sz w:val="20"/>
                <w:szCs w:val="20"/>
              </w:rPr>
            </w:pPr>
            <w:r w:rsidRPr="00E06806">
              <w:rPr>
                <w:rFonts w:cstheme="minorHAnsi"/>
                <w:b/>
                <w:color w:val="231F20"/>
                <w:spacing w:val="-26"/>
                <w:w w:val="115"/>
                <w:sz w:val="20"/>
              </w:rPr>
              <w:t xml:space="preserve"> </w:t>
            </w:r>
            <w:r w:rsidRPr="00E06806">
              <w:rPr>
                <w:rFonts w:cstheme="minorHAnsi"/>
                <w:b/>
                <w:color w:val="231F20"/>
                <w:w w:val="115"/>
                <w:sz w:val="20"/>
              </w:rPr>
              <w:t>(90%</w:t>
            </w:r>
            <w:r w:rsidR="009F1669">
              <w:rPr>
                <w:rFonts w:cstheme="minorHAnsi"/>
                <w:b/>
                <w:color w:val="231F20"/>
                <w:w w:val="115"/>
                <w:sz w:val="20"/>
              </w:rPr>
              <w:t xml:space="preserve"> </w:t>
            </w:r>
            <w:r w:rsidRPr="00E06806">
              <w:rPr>
                <w:rFonts w:cstheme="minorHAnsi"/>
                <w:b/>
                <w:color w:val="231F20"/>
                <w:w w:val="105"/>
                <w:sz w:val="20"/>
              </w:rPr>
              <w:t>of</w:t>
            </w:r>
            <w:r w:rsidRPr="00E06806">
              <w:rPr>
                <w:rFonts w:cstheme="minorHAnsi"/>
                <w:b/>
                <w:color w:val="231F20"/>
                <w:spacing w:val="14"/>
                <w:w w:val="105"/>
                <w:sz w:val="20"/>
              </w:rPr>
              <w:t xml:space="preserve"> </w:t>
            </w:r>
            <w:r w:rsidRPr="00E06806">
              <w:rPr>
                <w:rFonts w:cstheme="minorHAnsi"/>
                <w:b/>
                <w:color w:val="231F20"/>
                <w:w w:val="105"/>
                <w:sz w:val="20"/>
              </w:rPr>
              <w:t>Goal)</w:t>
            </w:r>
          </w:p>
        </w:tc>
        <w:tc>
          <w:tcPr>
            <w:tcW w:w="2207" w:type="dxa"/>
            <w:tcBorders>
              <w:top w:val="single" w:sz="2" w:space="0" w:color="231F20"/>
              <w:left w:val="single" w:sz="2" w:space="0" w:color="231F20"/>
              <w:bottom w:val="single" w:sz="2" w:space="0" w:color="231F20"/>
              <w:right w:val="single" w:sz="2" w:space="0" w:color="231F20"/>
            </w:tcBorders>
            <w:vAlign w:val="center"/>
          </w:tcPr>
          <w:p w14:paraId="74F8D4A7" w14:textId="77777777" w:rsidR="00FA007C" w:rsidRPr="00E06806" w:rsidRDefault="00FA007C" w:rsidP="00D63204">
            <w:pPr>
              <w:widowControl w:val="0"/>
              <w:spacing w:before="163" w:after="0" w:line="240" w:lineRule="exact"/>
              <w:ind w:left="107"/>
              <w:rPr>
                <w:rFonts w:cstheme="minorHAnsi"/>
                <w:sz w:val="20"/>
                <w:szCs w:val="20"/>
              </w:rPr>
            </w:pPr>
            <w:r w:rsidRPr="00E06806">
              <w:rPr>
                <w:rFonts w:cstheme="minorHAnsi"/>
                <w:b/>
                <w:color w:val="231F20"/>
                <w:spacing w:val="-3"/>
                <w:w w:val="115"/>
                <w:sz w:val="20"/>
              </w:rPr>
              <w:t>ACTUAL</w:t>
            </w:r>
            <w:r w:rsidRPr="00E06806">
              <w:rPr>
                <w:rFonts w:cstheme="minorHAnsi"/>
                <w:b/>
                <w:color w:val="231F20"/>
                <w:w w:val="117"/>
                <w:sz w:val="20"/>
              </w:rPr>
              <w:t xml:space="preserve"> </w:t>
            </w:r>
            <w:r w:rsidRPr="00E06806">
              <w:rPr>
                <w:rFonts w:cstheme="minorHAnsi"/>
                <w:b/>
                <w:color w:val="231F20"/>
                <w:w w:val="110"/>
                <w:sz w:val="20"/>
              </w:rPr>
              <w:t>PERFORMANCE</w:t>
            </w:r>
          </w:p>
        </w:tc>
        <w:tc>
          <w:tcPr>
            <w:tcW w:w="2093" w:type="dxa"/>
            <w:tcBorders>
              <w:top w:val="single" w:sz="2" w:space="0" w:color="231F20"/>
              <w:left w:val="single" w:sz="2" w:space="0" w:color="231F20"/>
              <w:bottom w:val="single" w:sz="2" w:space="0" w:color="231F20"/>
              <w:right w:val="single" w:sz="2" w:space="0" w:color="231F20"/>
            </w:tcBorders>
            <w:vAlign w:val="center"/>
          </w:tcPr>
          <w:p w14:paraId="7794831A" w14:textId="77777777" w:rsidR="009F1669" w:rsidRDefault="00FA007C" w:rsidP="00D63204">
            <w:pPr>
              <w:widowControl w:val="0"/>
              <w:spacing w:before="43" w:after="0" w:line="240" w:lineRule="exact"/>
              <w:ind w:left="107"/>
              <w:rPr>
                <w:rFonts w:cstheme="minorHAnsi"/>
                <w:b/>
                <w:color w:val="231F20"/>
                <w:spacing w:val="-35"/>
                <w:w w:val="115"/>
                <w:sz w:val="20"/>
              </w:rPr>
            </w:pPr>
            <w:r w:rsidRPr="00E06806">
              <w:rPr>
                <w:rFonts w:cstheme="minorHAnsi"/>
                <w:b/>
                <w:color w:val="231F20"/>
                <w:w w:val="115"/>
                <w:sz w:val="20"/>
              </w:rPr>
              <w:t>DIFFERENCE</w:t>
            </w:r>
            <w:r w:rsidRPr="00E06806">
              <w:rPr>
                <w:rFonts w:cstheme="minorHAnsi"/>
                <w:b/>
                <w:color w:val="231F20"/>
                <w:w w:val="118"/>
                <w:sz w:val="20"/>
              </w:rPr>
              <w:t xml:space="preserve"> </w:t>
            </w:r>
            <w:r w:rsidRPr="00E06806">
              <w:rPr>
                <w:rFonts w:cstheme="minorHAnsi"/>
                <w:b/>
                <w:color w:val="231F20"/>
                <w:w w:val="115"/>
                <w:sz w:val="20"/>
              </w:rPr>
              <w:t xml:space="preserve">COMPARED </w:t>
            </w:r>
            <w:r w:rsidRPr="00E06806">
              <w:rPr>
                <w:rFonts w:cstheme="minorHAnsi"/>
                <w:b/>
                <w:color w:val="231F20"/>
                <w:spacing w:val="-3"/>
                <w:w w:val="115"/>
                <w:sz w:val="20"/>
              </w:rPr>
              <w:t>TO</w:t>
            </w:r>
            <w:r w:rsidRPr="00E06806">
              <w:rPr>
                <w:rFonts w:cstheme="minorHAnsi"/>
                <w:b/>
                <w:color w:val="231F20"/>
                <w:spacing w:val="-35"/>
                <w:w w:val="115"/>
                <w:sz w:val="20"/>
              </w:rPr>
              <w:t xml:space="preserve"> </w:t>
            </w:r>
          </w:p>
          <w:p w14:paraId="523B3BFC" w14:textId="6F8ECA6D" w:rsidR="00FA007C" w:rsidRPr="00E06806" w:rsidRDefault="00FA007C" w:rsidP="00D63204">
            <w:pPr>
              <w:widowControl w:val="0"/>
              <w:spacing w:before="43" w:after="0" w:line="240" w:lineRule="exact"/>
              <w:ind w:left="107"/>
              <w:rPr>
                <w:rFonts w:cstheme="minorHAnsi"/>
                <w:sz w:val="20"/>
                <w:szCs w:val="20"/>
              </w:rPr>
            </w:pPr>
            <w:r w:rsidRPr="00E06806">
              <w:rPr>
                <w:rFonts w:cstheme="minorHAnsi"/>
                <w:b/>
                <w:color w:val="231F20"/>
                <w:spacing w:val="-35"/>
                <w:w w:val="115"/>
                <w:sz w:val="20"/>
              </w:rPr>
              <w:t>9</w:t>
            </w:r>
            <w:r w:rsidRPr="00E06806">
              <w:rPr>
                <w:rFonts w:cstheme="minorHAnsi"/>
                <w:b/>
                <w:color w:val="231F20"/>
                <w:w w:val="115"/>
                <w:sz w:val="20"/>
              </w:rPr>
              <w:t>0%</w:t>
            </w:r>
            <w:r w:rsidR="009F1669">
              <w:rPr>
                <w:rFonts w:cstheme="minorHAnsi"/>
                <w:b/>
                <w:color w:val="231F20"/>
                <w:w w:val="115"/>
                <w:sz w:val="20"/>
              </w:rPr>
              <w:t xml:space="preserve"> </w:t>
            </w:r>
            <w:r w:rsidRPr="00E06806">
              <w:rPr>
                <w:rFonts w:cstheme="minorHAnsi"/>
                <w:b/>
                <w:color w:val="231F20"/>
                <w:w w:val="105"/>
                <w:sz w:val="20"/>
              </w:rPr>
              <w:t>of</w:t>
            </w:r>
            <w:r w:rsidRPr="00E06806">
              <w:rPr>
                <w:rFonts w:cstheme="minorHAnsi"/>
                <w:b/>
                <w:color w:val="231F20"/>
                <w:spacing w:val="20"/>
                <w:w w:val="105"/>
                <w:sz w:val="20"/>
              </w:rPr>
              <w:t xml:space="preserve"> </w:t>
            </w:r>
            <w:r w:rsidRPr="00E06806">
              <w:rPr>
                <w:rFonts w:cstheme="minorHAnsi"/>
                <w:b/>
                <w:color w:val="231F20"/>
                <w:w w:val="105"/>
                <w:sz w:val="20"/>
              </w:rPr>
              <w:t>Goal</w:t>
            </w:r>
          </w:p>
        </w:tc>
      </w:tr>
      <w:tr w:rsidR="00FA007C" w:rsidRPr="00E06806" w14:paraId="6548FA3B" w14:textId="77777777" w:rsidTr="00452989">
        <w:trPr>
          <w:trHeight w:val="387"/>
        </w:trPr>
        <w:tc>
          <w:tcPr>
            <w:tcW w:w="3360" w:type="dxa"/>
            <w:tcBorders>
              <w:top w:val="single" w:sz="2" w:space="0" w:color="231F20"/>
              <w:left w:val="single" w:sz="2" w:space="0" w:color="231F20"/>
              <w:bottom w:val="single" w:sz="2" w:space="0" w:color="231F20"/>
              <w:right w:val="single" w:sz="2" w:space="0" w:color="231F20"/>
            </w:tcBorders>
            <w:shd w:val="clear" w:color="auto" w:fill="E6E7E8"/>
            <w:vAlign w:val="center"/>
          </w:tcPr>
          <w:p w14:paraId="526F4605" w14:textId="77777777" w:rsidR="00FA007C" w:rsidRPr="00E06806" w:rsidRDefault="00FA007C" w:rsidP="009F1669">
            <w:pPr>
              <w:widowControl w:val="0"/>
              <w:spacing w:before="45" w:after="0" w:line="240" w:lineRule="auto"/>
              <w:ind w:left="107"/>
              <w:rPr>
                <w:rFonts w:cstheme="minorHAnsi"/>
                <w:sz w:val="20"/>
                <w:szCs w:val="20"/>
              </w:rPr>
            </w:pPr>
            <w:r w:rsidRPr="00E06806">
              <w:rPr>
                <w:rFonts w:cstheme="minorHAnsi"/>
                <w:color w:val="231F20"/>
                <w:w w:val="105"/>
                <w:sz w:val="20"/>
              </w:rPr>
              <w:t>Adult Employed 2</w:t>
            </w:r>
            <w:r w:rsidRPr="00E06806">
              <w:rPr>
                <w:rFonts w:cstheme="minorHAnsi"/>
                <w:color w:val="231F20"/>
                <w:w w:val="105"/>
                <w:sz w:val="20"/>
                <w:vertAlign w:val="superscript"/>
              </w:rPr>
              <w:t>nd</w:t>
            </w:r>
            <w:r w:rsidRPr="00E06806">
              <w:rPr>
                <w:rFonts w:cstheme="minorHAnsi"/>
                <w:color w:val="231F20"/>
                <w:w w:val="105"/>
                <w:sz w:val="20"/>
              </w:rPr>
              <w:t xml:space="preserve"> Qtr. After Exit</w:t>
            </w:r>
          </w:p>
        </w:tc>
        <w:tc>
          <w:tcPr>
            <w:tcW w:w="2499" w:type="dxa"/>
            <w:tcBorders>
              <w:top w:val="single" w:sz="2" w:space="0" w:color="231F20"/>
              <w:left w:val="single" w:sz="2" w:space="0" w:color="231F20"/>
              <w:bottom w:val="single" w:sz="2" w:space="0" w:color="231F20"/>
              <w:right w:val="single" w:sz="2" w:space="0" w:color="231F20"/>
            </w:tcBorders>
            <w:shd w:val="clear" w:color="auto" w:fill="E6E7E8"/>
            <w:vAlign w:val="center"/>
          </w:tcPr>
          <w:p w14:paraId="11DE1692" w14:textId="77777777" w:rsidR="00FA007C" w:rsidRPr="00E06806" w:rsidRDefault="00FA007C" w:rsidP="00D63204">
            <w:pPr>
              <w:widowControl w:val="0"/>
              <w:spacing w:before="45" w:after="0" w:line="240" w:lineRule="auto"/>
              <w:ind w:left="107"/>
              <w:rPr>
                <w:rFonts w:cstheme="minorHAnsi"/>
                <w:sz w:val="20"/>
                <w:szCs w:val="20"/>
              </w:rPr>
            </w:pPr>
            <w:r w:rsidRPr="00E06806">
              <w:rPr>
                <w:rFonts w:cstheme="minorHAnsi"/>
                <w:color w:val="231F20"/>
                <w:w w:val="105"/>
                <w:sz w:val="20"/>
              </w:rPr>
              <w:t>86.0%</w:t>
            </w:r>
            <w:r w:rsidRPr="00E06806">
              <w:rPr>
                <w:rFonts w:cstheme="minorHAnsi"/>
                <w:color w:val="231F20"/>
                <w:spacing w:val="11"/>
                <w:w w:val="105"/>
                <w:sz w:val="20"/>
              </w:rPr>
              <w:t xml:space="preserve"> </w:t>
            </w:r>
            <w:r w:rsidRPr="00E06806">
              <w:rPr>
                <w:rFonts w:cstheme="minorHAnsi"/>
                <w:color w:val="231F20"/>
                <w:w w:val="105"/>
                <w:sz w:val="20"/>
              </w:rPr>
              <w:t>(77.4%)</w:t>
            </w:r>
          </w:p>
        </w:tc>
        <w:tc>
          <w:tcPr>
            <w:tcW w:w="2207" w:type="dxa"/>
            <w:tcBorders>
              <w:top w:val="single" w:sz="2" w:space="0" w:color="231F20"/>
              <w:left w:val="single" w:sz="2" w:space="0" w:color="231F20"/>
              <w:bottom w:val="single" w:sz="2" w:space="0" w:color="231F20"/>
              <w:right w:val="single" w:sz="2" w:space="0" w:color="231F20"/>
            </w:tcBorders>
            <w:shd w:val="clear" w:color="auto" w:fill="E6E7E8"/>
            <w:vAlign w:val="center"/>
          </w:tcPr>
          <w:p w14:paraId="10148FF8" w14:textId="77777777" w:rsidR="00FA007C" w:rsidRPr="00E06806" w:rsidRDefault="00FA007C" w:rsidP="00D63204">
            <w:pPr>
              <w:widowControl w:val="0"/>
              <w:spacing w:before="45" w:after="0" w:line="240" w:lineRule="auto"/>
              <w:ind w:left="107"/>
              <w:rPr>
                <w:rFonts w:cstheme="minorHAnsi"/>
                <w:sz w:val="20"/>
                <w:szCs w:val="20"/>
              </w:rPr>
            </w:pPr>
            <w:r w:rsidRPr="00E06806">
              <w:rPr>
                <w:rFonts w:cstheme="minorHAnsi"/>
                <w:color w:val="231F20"/>
                <w:w w:val="95"/>
                <w:sz w:val="20"/>
              </w:rPr>
              <w:t>84.0%</w:t>
            </w:r>
          </w:p>
        </w:tc>
        <w:tc>
          <w:tcPr>
            <w:tcW w:w="2093" w:type="dxa"/>
            <w:tcBorders>
              <w:top w:val="single" w:sz="2" w:space="0" w:color="231F20"/>
              <w:left w:val="single" w:sz="2" w:space="0" w:color="231F20"/>
              <w:bottom w:val="single" w:sz="2" w:space="0" w:color="231F20"/>
              <w:right w:val="single" w:sz="2" w:space="0" w:color="231F20"/>
            </w:tcBorders>
            <w:shd w:val="clear" w:color="auto" w:fill="E6E7E8"/>
            <w:vAlign w:val="center"/>
          </w:tcPr>
          <w:p w14:paraId="7FE3E805" w14:textId="699DE0A7" w:rsidR="00FA007C" w:rsidRPr="00E06806" w:rsidRDefault="00FA007C" w:rsidP="00D63204">
            <w:pPr>
              <w:widowControl w:val="0"/>
              <w:spacing w:before="45" w:after="0" w:line="240" w:lineRule="auto"/>
              <w:ind w:left="107"/>
              <w:rPr>
                <w:rFonts w:cstheme="minorHAnsi"/>
                <w:sz w:val="20"/>
                <w:szCs w:val="20"/>
              </w:rPr>
            </w:pPr>
            <w:r w:rsidRPr="00E06806">
              <w:rPr>
                <w:rFonts w:cstheme="minorHAnsi"/>
                <w:color w:val="231F20"/>
                <w:spacing w:val="-3"/>
                <w:w w:val="95"/>
                <w:sz w:val="20"/>
              </w:rPr>
              <w:t>+ 6.6%</w:t>
            </w:r>
          </w:p>
        </w:tc>
      </w:tr>
      <w:tr w:rsidR="00FA007C" w:rsidRPr="00E06806" w14:paraId="7962CE37" w14:textId="77777777" w:rsidTr="00452989">
        <w:trPr>
          <w:trHeight w:val="387"/>
        </w:trPr>
        <w:tc>
          <w:tcPr>
            <w:tcW w:w="3360" w:type="dxa"/>
            <w:tcBorders>
              <w:top w:val="single" w:sz="2" w:space="0" w:color="231F20"/>
              <w:left w:val="single" w:sz="2" w:space="0" w:color="231F20"/>
              <w:bottom w:val="single" w:sz="2" w:space="0" w:color="231F20"/>
              <w:right w:val="single" w:sz="2" w:space="0" w:color="231F20"/>
            </w:tcBorders>
            <w:vAlign w:val="center"/>
          </w:tcPr>
          <w:p w14:paraId="3BB4915C" w14:textId="77777777" w:rsidR="00FA007C" w:rsidRPr="00E06806" w:rsidRDefault="00FA007C" w:rsidP="009F1669">
            <w:pPr>
              <w:widowControl w:val="0"/>
              <w:spacing w:before="45" w:after="0" w:line="240" w:lineRule="auto"/>
              <w:ind w:left="107"/>
              <w:rPr>
                <w:rFonts w:cstheme="minorHAnsi"/>
                <w:sz w:val="20"/>
                <w:szCs w:val="20"/>
              </w:rPr>
            </w:pPr>
            <w:r w:rsidRPr="00E06806">
              <w:rPr>
                <w:rFonts w:cstheme="minorHAnsi"/>
                <w:color w:val="231F20"/>
                <w:w w:val="105"/>
                <w:sz w:val="20"/>
              </w:rPr>
              <w:t>Adult Employed 4</w:t>
            </w:r>
            <w:r w:rsidRPr="00E06806">
              <w:rPr>
                <w:rFonts w:cstheme="minorHAnsi"/>
                <w:color w:val="231F20"/>
                <w:w w:val="105"/>
                <w:sz w:val="20"/>
                <w:vertAlign w:val="superscript"/>
              </w:rPr>
              <w:t>th</w:t>
            </w:r>
            <w:r w:rsidRPr="00E06806">
              <w:rPr>
                <w:rFonts w:cstheme="minorHAnsi"/>
                <w:color w:val="231F20"/>
                <w:w w:val="105"/>
                <w:sz w:val="20"/>
              </w:rPr>
              <w:t xml:space="preserve"> Qtr. After Exit</w:t>
            </w:r>
          </w:p>
        </w:tc>
        <w:tc>
          <w:tcPr>
            <w:tcW w:w="2499" w:type="dxa"/>
            <w:tcBorders>
              <w:top w:val="single" w:sz="2" w:space="0" w:color="231F20"/>
              <w:left w:val="single" w:sz="2" w:space="0" w:color="231F20"/>
              <w:bottom w:val="single" w:sz="2" w:space="0" w:color="231F20"/>
              <w:right w:val="single" w:sz="2" w:space="0" w:color="231F20"/>
            </w:tcBorders>
            <w:vAlign w:val="center"/>
          </w:tcPr>
          <w:p w14:paraId="19394DCA" w14:textId="77777777" w:rsidR="00FA007C" w:rsidRPr="00E06806" w:rsidRDefault="00FA007C" w:rsidP="00D63204">
            <w:pPr>
              <w:widowControl w:val="0"/>
              <w:spacing w:before="45" w:after="0" w:line="240" w:lineRule="auto"/>
              <w:ind w:left="107"/>
              <w:rPr>
                <w:rFonts w:cstheme="minorHAnsi"/>
                <w:sz w:val="20"/>
                <w:szCs w:val="20"/>
              </w:rPr>
            </w:pPr>
            <w:r w:rsidRPr="00E06806">
              <w:rPr>
                <w:rFonts w:cstheme="minorHAnsi"/>
                <w:color w:val="231F20"/>
                <w:w w:val="105"/>
                <w:sz w:val="20"/>
              </w:rPr>
              <w:t>82.0% (73.8%)</w:t>
            </w:r>
          </w:p>
        </w:tc>
        <w:tc>
          <w:tcPr>
            <w:tcW w:w="2207" w:type="dxa"/>
            <w:tcBorders>
              <w:top w:val="single" w:sz="2" w:space="0" w:color="231F20"/>
              <w:left w:val="single" w:sz="2" w:space="0" w:color="231F20"/>
              <w:bottom w:val="single" w:sz="2" w:space="0" w:color="231F20"/>
              <w:right w:val="single" w:sz="2" w:space="0" w:color="231F20"/>
            </w:tcBorders>
            <w:vAlign w:val="center"/>
          </w:tcPr>
          <w:p w14:paraId="466A1048" w14:textId="77777777" w:rsidR="00FA007C" w:rsidRPr="00E06806" w:rsidRDefault="00FA007C" w:rsidP="00D63204">
            <w:pPr>
              <w:widowControl w:val="0"/>
              <w:spacing w:before="45" w:after="0" w:line="240" w:lineRule="auto"/>
              <w:ind w:left="107"/>
              <w:rPr>
                <w:rFonts w:cstheme="minorHAnsi"/>
                <w:sz w:val="20"/>
                <w:szCs w:val="20"/>
              </w:rPr>
            </w:pPr>
            <w:r w:rsidRPr="00E06806">
              <w:rPr>
                <w:rFonts w:cstheme="minorHAnsi"/>
                <w:color w:val="231F20"/>
                <w:w w:val="105"/>
                <w:sz w:val="20"/>
              </w:rPr>
              <w:t>81.3%</w:t>
            </w:r>
          </w:p>
        </w:tc>
        <w:tc>
          <w:tcPr>
            <w:tcW w:w="2093" w:type="dxa"/>
            <w:tcBorders>
              <w:top w:val="single" w:sz="2" w:space="0" w:color="231F20"/>
              <w:left w:val="single" w:sz="2" w:space="0" w:color="231F20"/>
              <w:bottom w:val="single" w:sz="2" w:space="0" w:color="231F20"/>
              <w:right w:val="single" w:sz="2" w:space="0" w:color="231F20"/>
            </w:tcBorders>
            <w:vAlign w:val="center"/>
          </w:tcPr>
          <w:p w14:paraId="6DFF6216" w14:textId="68C05EA1" w:rsidR="00FA007C" w:rsidRPr="00E06806" w:rsidRDefault="00FA007C" w:rsidP="00D63204">
            <w:pPr>
              <w:widowControl w:val="0"/>
              <w:spacing w:before="45" w:after="0" w:line="240" w:lineRule="auto"/>
              <w:ind w:left="107"/>
              <w:rPr>
                <w:rFonts w:cstheme="minorHAnsi"/>
                <w:sz w:val="20"/>
                <w:szCs w:val="20"/>
              </w:rPr>
            </w:pPr>
            <w:r w:rsidRPr="00E06806">
              <w:rPr>
                <w:rFonts w:cstheme="minorHAnsi"/>
                <w:color w:val="231F20"/>
                <w:spacing w:val="-3"/>
                <w:sz w:val="20"/>
              </w:rPr>
              <w:t>+ 7.5%</w:t>
            </w:r>
          </w:p>
        </w:tc>
      </w:tr>
      <w:tr w:rsidR="00FA007C" w:rsidRPr="00E06806" w14:paraId="110D4ECF" w14:textId="77777777" w:rsidTr="00452989">
        <w:trPr>
          <w:trHeight w:val="387"/>
        </w:trPr>
        <w:tc>
          <w:tcPr>
            <w:tcW w:w="3360" w:type="dxa"/>
            <w:tcBorders>
              <w:top w:val="single" w:sz="2" w:space="0" w:color="231F20"/>
              <w:left w:val="single" w:sz="2" w:space="0" w:color="231F20"/>
              <w:bottom w:val="single" w:sz="2" w:space="0" w:color="231F20"/>
              <w:right w:val="single" w:sz="2" w:space="0" w:color="231F20"/>
            </w:tcBorders>
            <w:shd w:val="clear" w:color="auto" w:fill="E6E7E8"/>
            <w:vAlign w:val="center"/>
          </w:tcPr>
          <w:p w14:paraId="5E8E074B" w14:textId="77777777" w:rsidR="00FA007C" w:rsidRPr="00E06806" w:rsidRDefault="00FA007C" w:rsidP="009F1669">
            <w:pPr>
              <w:widowControl w:val="0"/>
              <w:spacing w:before="45" w:after="0" w:line="240" w:lineRule="auto"/>
              <w:ind w:left="107"/>
              <w:rPr>
                <w:rFonts w:cstheme="minorHAnsi"/>
                <w:sz w:val="20"/>
                <w:szCs w:val="20"/>
              </w:rPr>
            </w:pPr>
            <w:r w:rsidRPr="00E06806">
              <w:rPr>
                <w:rFonts w:cstheme="minorHAnsi"/>
                <w:sz w:val="20"/>
                <w:szCs w:val="20"/>
              </w:rPr>
              <w:t>Adult Median Wage 2</w:t>
            </w:r>
            <w:r w:rsidRPr="00E06806">
              <w:rPr>
                <w:rFonts w:cstheme="minorHAnsi"/>
                <w:sz w:val="20"/>
                <w:szCs w:val="20"/>
                <w:vertAlign w:val="superscript"/>
              </w:rPr>
              <w:t>nd</w:t>
            </w:r>
            <w:r w:rsidRPr="00E06806">
              <w:rPr>
                <w:rFonts w:cstheme="minorHAnsi"/>
                <w:sz w:val="20"/>
                <w:szCs w:val="20"/>
              </w:rPr>
              <w:t xml:space="preserve"> Qtr. After Exit</w:t>
            </w:r>
          </w:p>
        </w:tc>
        <w:tc>
          <w:tcPr>
            <w:tcW w:w="2499" w:type="dxa"/>
            <w:tcBorders>
              <w:top w:val="single" w:sz="2" w:space="0" w:color="231F20"/>
              <w:left w:val="single" w:sz="2" w:space="0" w:color="231F20"/>
              <w:bottom w:val="single" w:sz="2" w:space="0" w:color="231F20"/>
              <w:right w:val="single" w:sz="2" w:space="0" w:color="231F20"/>
            </w:tcBorders>
            <w:shd w:val="clear" w:color="auto" w:fill="E6E7E8"/>
            <w:vAlign w:val="center"/>
          </w:tcPr>
          <w:p w14:paraId="09BAB712" w14:textId="36FB2460" w:rsidR="00FA007C" w:rsidRPr="00E06806" w:rsidRDefault="00FA007C" w:rsidP="00D63204">
            <w:pPr>
              <w:widowControl w:val="0"/>
              <w:spacing w:before="45" w:after="0" w:line="240" w:lineRule="auto"/>
              <w:ind w:left="107"/>
              <w:rPr>
                <w:rFonts w:cstheme="minorHAnsi"/>
                <w:sz w:val="20"/>
                <w:szCs w:val="20"/>
              </w:rPr>
            </w:pPr>
            <w:r w:rsidRPr="00E06806">
              <w:rPr>
                <w:rFonts w:cstheme="minorHAnsi"/>
                <w:sz w:val="20"/>
                <w:szCs w:val="20"/>
              </w:rPr>
              <w:t>$7,550 ($6,795)</w:t>
            </w:r>
          </w:p>
        </w:tc>
        <w:tc>
          <w:tcPr>
            <w:tcW w:w="2207" w:type="dxa"/>
            <w:tcBorders>
              <w:top w:val="single" w:sz="2" w:space="0" w:color="231F20"/>
              <w:left w:val="single" w:sz="2" w:space="0" w:color="231F20"/>
              <w:bottom w:val="single" w:sz="2" w:space="0" w:color="231F20"/>
              <w:right w:val="single" w:sz="2" w:space="0" w:color="231F20"/>
            </w:tcBorders>
            <w:shd w:val="clear" w:color="auto" w:fill="E6E7E8"/>
            <w:vAlign w:val="center"/>
          </w:tcPr>
          <w:p w14:paraId="5B0DD374" w14:textId="5BAF4134" w:rsidR="00FA007C" w:rsidRPr="00E06806" w:rsidRDefault="00FA007C" w:rsidP="00D63204">
            <w:pPr>
              <w:widowControl w:val="0"/>
              <w:spacing w:before="45" w:after="0" w:line="240" w:lineRule="auto"/>
              <w:ind w:left="107"/>
              <w:rPr>
                <w:rFonts w:cstheme="minorHAnsi"/>
                <w:sz w:val="20"/>
                <w:szCs w:val="20"/>
              </w:rPr>
            </w:pPr>
            <w:r w:rsidRPr="00E06806">
              <w:rPr>
                <w:rFonts w:cstheme="minorHAnsi"/>
                <w:sz w:val="20"/>
                <w:szCs w:val="20"/>
              </w:rPr>
              <w:t>$7,999</w:t>
            </w:r>
          </w:p>
        </w:tc>
        <w:tc>
          <w:tcPr>
            <w:tcW w:w="2093" w:type="dxa"/>
            <w:tcBorders>
              <w:top w:val="single" w:sz="2" w:space="0" w:color="231F20"/>
              <w:left w:val="single" w:sz="2" w:space="0" w:color="231F20"/>
              <w:bottom w:val="single" w:sz="2" w:space="0" w:color="231F20"/>
              <w:right w:val="single" w:sz="2" w:space="0" w:color="231F20"/>
            </w:tcBorders>
            <w:shd w:val="clear" w:color="auto" w:fill="E6E7E8"/>
            <w:vAlign w:val="center"/>
          </w:tcPr>
          <w:p w14:paraId="3C75DF89" w14:textId="6D6548EC" w:rsidR="00FA007C" w:rsidRPr="00E06806" w:rsidRDefault="00FA007C" w:rsidP="00D63204">
            <w:pPr>
              <w:widowControl w:val="0"/>
              <w:spacing w:before="45" w:after="0" w:line="240" w:lineRule="auto"/>
              <w:ind w:left="107"/>
              <w:rPr>
                <w:rFonts w:cstheme="minorHAnsi"/>
                <w:sz w:val="20"/>
                <w:szCs w:val="20"/>
              </w:rPr>
            </w:pPr>
            <w:r w:rsidRPr="00E06806">
              <w:rPr>
                <w:rFonts w:cstheme="minorHAnsi"/>
                <w:sz w:val="20"/>
                <w:szCs w:val="20"/>
              </w:rPr>
              <w:t>+ 17.7%</w:t>
            </w:r>
          </w:p>
        </w:tc>
      </w:tr>
      <w:tr w:rsidR="00FA007C" w:rsidRPr="00E06806" w14:paraId="2E6E9BA7" w14:textId="77777777" w:rsidTr="00452989">
        <w:trPr>
          <w:trHeight w:val="387"/>
        </w:trPr>
        <w:tc>
          <w:tcPr>
            <w:tcW w:w="3360" w:type="dxa"/>
            <w:tcBorders>
              <w:top w:val="single" w:sz="2" w:space="0" w:color="231F20"/>
              <w:left w:val="single" w:sz="2" w:space="0" w:color="231F20"/>
              <w:bottom w:val="single" w:sz="2" w:space="0" w:color="231F20"/>
              <w:right w:val="single" w:sz="2" w:space="0" w:color="231F20"/>
            </w:tcBorders>
            <w:vAlign w:val="center"/>
          </w:tcPr>
          <w:p w14:paraId="46950BFA" w14:textId="77777777" w:rsidR="00FA007C" w:rsidRPr="00E06806" w:rsidRDefault="00FA007C" w:rsidP="009F1669">
            <w:pPr>
              <w:widowControl w:val="0"/>
              <w:spacing w:before="43" w:after="0" w:line="240" w:lineRule="exact"/>
              <w:ind w:left="107"/>
              <w:rPr>
                <w:rFonts w:cstheme="minorHAnsi"/>
                <w:sz w:val="20"/>
                <w:szCs w:val="20"/>
              </w:rPr>
            </w:pPr>
            <w:r w:rsidRPr="00E06806">
              <w:rPr>
                <w:rFonts w:cstheme="minorHAnsi"/>
                <w:sz w:val="20"/>
                <w:szCs w:val="20"/>
              </w:rPr>
              <w:t>DW Employed 2</w:t>
            </w:r>
            <w:r w:rsidRPr="00E06806">
              <w:rPr>
                <w:rFonts w:cstheme="minorHAnsi"/>
                <w:sz w:val="20"/>
                <w:szCs w:val="20"/>
                <w:vertAlign w:val="superscript"/>
              </w:rPr>
              <w:t>nd</w:t>
            </w:r>
            <w:r w:rsidRPr="00E06806">
              <w:rPr>
                <w:rFonts w:cstheme="minorHAnsi"/>
                <w:sz w:val="20"/>
                <w:szCs w:val="20"/>
              </w:rPr>
              <w:t xml:space="preserve"> Qtr. After Exit</w:t>
            </w:r>
          </w:p>
        </w:tc>
        <w:tc>
          <w:tcPr>
            <w:tcW w:w="2499" w:type="dxa"/>
            <w:tcBorders>
              <w:top w:val="single" w:sz="2" w:space="0" w:color="231F20"/>
              <w:left w:val="single" w:sz="2" w:space="0" w:color="231F20"/>
              <w:bottom w:val="single" w:sz="2" w:space="0" w:color="231F20"/>
              <w:right w:val="single" w:sz="2" w:space="0" w:color="231F20"/>
            </w:tcBorders>
            <w:vAlign w:val="center"/>
          </w:tcPr>
          <w:p w14:paraId="5EF9592C" w14:textId="77777777" w:rsidR="00FA007C" w:rsidRPr="00E06806" w:rsidRDefault="00FA007C" w:rsidP="00D63204">
            <w:pPr>
              <w:widowControl w:val="0"/>
              <w:spacing w:before="45" w:after="0" w:line="240" w:lineRule="auto"/>
              <w:ind w:left="107"/>
              <w:rPr>
                <w:rFonts w:cstheme="minorHAnsi"/>
                <w:sz w:val="20"/>
                <w:szCs w:val="20"/>
              </w:rPr>
            </w:pPr>
            <w:r w:rsidRPr="00E06806">
              <w:rPr>
                <w:rFonts w:cstheme="minorHAnsi"/>
                <w:sz w:val="20"/>
                <w:szCs w:val="20"/>
              </w:rPr>
              <w:t>80.0% (72.0%)</w:t>
            </w:r>
          </w:p>
        </w:tc>
        <w:tc>
          <w:tcPr>
            <w:tcW w:w="2207" w:type="dxa"/>
            <w:tcBorders>
              <w:top w:val="single" w:sz="2" w:space="0" w:color="231F20"/>
              <w:left w:val="single" w:sz="2" w:space="0" w:color="231F20"/>
              <w:bottom w:val="single" w:sz="2" w:space="0" w:color="231F20"/>
              <w:right w:val="single" w:sz="2" w:space="0" w:color="231F20"/>
            </w:tcBorders>
            <w:vAlign w:val="center"/>
          </w:tcPr>
          <w:p w14:paraId="1EDEE7A5" w14:textId="77777777" w:rsidR="00FA007C" w:rsidRPr="00E06806" w:rsidRDefault="00FA007C" w:rsidP="00D63204">
            <w:pPr>
              <w:widowControl w:val="0"/>
              <w:spacing w:before="45" w:after="0" w:line="240" w:lineRule="auto"/>
              <w:ind w:left="107"/>
              <w:rPr>
                <w:rFonts w:cstheme="minorHAnsi"/>
                <w:sz w:val="20"/>
                <w:szCs w:val="20"/>
              </w:rPr>
            </w:pPr>
            <w:r w:rsidRPr="00E06806">
              <w:rPr>
                <w:rFonts w:cstheme="minorHAnsi"/>
                <w:sz w:val="20"/>
                <w:szCs w:val="20"/>
              </w:rPr>
              <w:t>78.8%</w:t>
            </w:r>
          </w:p>
        </w:tc>
        <w:tc>
          <w:tcPr>
            <w:tcW w:w="2093" w:type="dxa"/>
            <w:tcBorders>
              <w:top w:val="single" w:sz="2" w:space="0" w:color="231F20"/>
              <w:left w:val="single" w:sz="2" w:space="0" w:color="231F20"/>
              <w:bottom w:val="single" w:sz="2" w:space="0" w:color="231F20"/>
              <w:right w:val="single" w:sz="2" w:space="0" w:color="231F20"/>
            </w:tcBorders>
            <w:vAlign w:val="center"/>
          </w:tcPr>
          <w:p w14:paraId="686965AD" w14:textId="61AB6830" w:rsidR="00FA007C" w:rsidRPr="00E06806" w:rsidRDefault="00FA007C" w:rsidP="00D63204">
            <w:pPr>
              <w:widowControl w:val="0"/>
              <w:spacing w:before="45" w:after="0" w:line="240" w:lineRule="auto"/>
              <w:ind w:left="107"/>
              <w:rPr>
                <w:rFonts w:cstheme="minorHAnsi"/>
                <w:sz w:val="20"/>
                <w:szCs w:val="20"/>
              </w:rPr>
            </w:pPr>
            <w:r w:rsidRPr="00E06806">
              <w:rPr>
                <w:rFonts w:cstheme="minorHAnsi"/>
                <w:sz w:val="20"/>
                <w:szCs w:val="20"/>
              </w:rPr>
              <w:t>+ 6.8%</w:t>
            </w:r>
          </w:p>
        </w:tc>
      </w:tr>
      <w:tr w:rsidR="00FA007C" w:rsidRPr="00E06806" w14:paraId="42E37609" w14:textId="77777777" w:rsidTr="00452989">
        <w:trPr>
          <w:trHeight w:val="387"/>
        </w:trPr>
        <w:tc>
          <w:tcPr>
            <w:tcW w:w="3360" w:type="dxa"/>
            <w:tcBorders>
              <w:top w:val="single" w:sz="2" w:space="0" w:color="231F20"/>
              <w:left w:val="single" w:sz="2" w:space="0" w:color="231F20"/>
              <w:bottom w:val="single" w:sz="2" w:space="0" w:color="231F20"/>
              <w:right w:val="single" w:sz="2" w:space="0" w:color="231F20"/>
            </w:tcBorders>
            <w:shd w:val="clear" w:color="auto" w:fill="E6E7E8"/>
            <w:vAlign w:val="center"/>
          </w:tcPr>
          <w:p w14:paraId="64562E88" w14:textId="77777777" w:rsidR="00FA007C" w:rsidRPr="00E06806" w:rsidRDefault="00FA007C" w:rsidP="009F1669">
            <w:pPr>
              <w:widowControl w:val="0"/>
              <w:spacing w:before="43" w:after="0" w:line="240" w:lineRule="exact"/>
              <w:ind w:left="107"/>
              <w:rPr>
                <w:rFonts w:cstheme="minorHAnsi"/>
                <w:sz w:val="20"/>
                <w:szCs w:val="20"/>
              </w:rPr>
            </w:pPr>
            <w:r w:rsidRPr="00E06806">
              <w:rPr>
                <w:rFonts w:cstheme="minorHAnsi"/>
                <w:sz w:val="20"/>
                <w:szCs w:val="20"/>
              </w:rPr>
              <w:t>DW Employed 4</w:t>
            </w:r>
            <w:r w:rsidRPr="00E06806">
              <w:rPr>
                <w:rFonts w:cstheme="minorHAnsi"/>
                <w:sz w:val="20"/>
                <w:szCs w:val="20"/>
                <w:vertAlign w:val="superscript"/>
              </w:rPr>
              <w:t>th</w:t>
            </w:r>
            <w:r w:rsidRPr="00E06806">
              <w:rPr>
                <w:rFonts w:cstheme="minorHAnsi"/>
                <w:sz w:val="20"/>
                <w:szCs w:val="20"/>
              </w:rPr>
              <w:t xml:space="preserve"> Qtr. After Exit</w:t>
            </w:r>
          </w:p>
        </w:tc>
        <w:tc>
          <w:tcPr>
            <w:tcW w:w="2499" w:type="dxa"/>
            <w:tcBorders>
              <w:top w:val="single" w:sz="2" w:space="0" w:color="231F20"/>
              <w:left w:val="single" w:sz="2" w:space="0" w:color="231F20"/>
              <w:bottom w:val="single" w:sz="2" w:space="0" w:color="231F20"/>
              <w:right w:val="single" w:sz="2" w:space="0" w:color="231F20"/>
            </w:tcBorders>
            <w:shd w:val="clear" w:color="auto" w:fill="E6E7E8"/>
            <w:vAlign w:val="center"/>
          </w:tcPr>
          <w:p w14:paraId="59440194" w14:textId="77777777" w:rsidR="00FA007C" w:rsidRPr="00E06806" w:rsidRDefault="00FA007C" w:rsidP="00D63204">
            <w:pPr>
              <w:widowControl w:val="0"/>
              <w:spacing w:before="45" w:after="0" w:line="240" w:lineRule="auto"/>
              <w:ind w:left="107"/>
              <w:rPr>
                <w:rFonts w:cstheme="minorHAnsi"/>
                <w:sz w:val="20"/>
                <w:szCs w:val="20"/>
              </w:rPr>
            </w:pPr>
            <w:r w:rsidRPr="00E06806">
              <w:rPr>
                <w:rFonts w:cstheme="minorHAnsi"/>
                <w:sz w:val="20"/>
                <w:szCs w:val="20"/>
              </w:rPr>
              <w:t>76.0% (68.4%)</w:t>
            </w:r>
          </w:p>
        </w:tc>
        <w:tc>
          <w:tcPr>
            <w:tcW w:w="2207" w:type="dxa"/>
            <w:tcBorders>
              <w:top w:val="single" w:sz="2" w:space="0" w:color="231F20"/>
              <w:left w:val="single" w:sz="2" w:space="0" w:color="231F20"/>
              <w:bottom w:val="single" w:sz="2" w:space="0" w:color="231F20"/>
              <w:right w:val="single" w:sz="2" w:space="0" w:color="231F20"/>
            </w:tcBorders>
            <w:shd w:val="clear" w:color="auto" w:fill="E6E7E8"/>
            <w:vAlign w:val="center"/>
          </w:tcPr>
          <w:p w14:paraId="20FD735E" w14:textId="77777777" w:rsidR="00FA007C" w:rsidRPr="00E06806" w:rsidRDefault="00FA007C" w:rsidP="00D63204">
            <w:pPr>
              <w:widowControl w:val="0"/>
              <w:spacing w:before="45" w:after="0" w:line="240" w:lineRule="auto"/>
              <w:ind w:left="107"/>
              <w:rPr>
                <w:rFonts w:cstheme="minorHAnsi"/>
                <w:sz w:val="20"/>
                <w:szCs w:val="20"/>
              </w:rPr>
            </w:pPr>
            <w:r w:rsidRPr="00E06806">
              <w:rPr>
                <w:rFonts w:cstheme="minorHAnsi"/>
                <w:sz w:val="20"/>
                <w:szCs w:val="20"/>
              </w:rPr>
              <w:t>76.6%</w:t>
            </w:r>
          </w:p>
        </w:tc>
        <w:tc>
          <w:tcPr>
            <w:tcW w:w="2093" w:type="dxa"/>
            <w:tcBorders>
              <w:top w:val="single" w:sz="2" w:space="0" w:color="231F20"/>
              <w:left w:val="single" w:sz="2" w:space="0" w:color="231F20"/>
              <w:bottom w:val="single" w:sz="2" w:space="0" w:color="231F20"/>
              <w:right w:val="single" w:sz="2" w:space="0" w:color="231F20"/>
            </w:tcBorders>
            <w:shd w:val="clear" w:color="auto" w:fill="E6E7E8"/>
            <w:vAlign w:val="center"/>
          </w:tcPr>
          <w:p w14:paraId="363FA681" w14:textId="07C8ED5B" w:rsidR="00FA007C" w:rsidRPr="00E06806" w:rsidRDefault="00FA007C" w:rsidP="00D63204">
            <w:pPr>
              <w:widowControl w:val="0"/>
              <w:spacing w:before="45" w:after="0" w:line="240" w:lineRule="auto"/>
              <w:ind w:left="107"/>
              <w:rPr>
                <w:rFonts w:cstheme="minorHAnsi"/>
                <w:sz w:val="20"/>
                <w:szCs w:val="20"/>
              </w:rPr>
            </w:pPr>
            <w:r w:rsidRPr="00E06806">
              <w:rPr>
                <w:rFonts w:cstheme="minorHAnsi"/>
                <w:sz w:val="20"/>
                <w:szCs w:val="20"/>
              </w:rPr>
              <w:t>+ 8.2%</w:t>
            </w:r>
          </w:p>
        </w:tc>
      </w:tr>
      <w:tr w:rsidR="00FA007C" w:rsidRPr="00E06806" w14:paraId="24555520" w14:textId="77777777" w:rsidTr="00452989">
        <w:trPr>
          <w:trHeight w:val="387"/>
        </w:trPr>
        <w:tc>
          <w:tcPr>
            <w:tcW w:w="3360" w:type="dxa"/>
            <w:tcBorders>
              <w:top w:val="single" w:sz="2" w:space="0" w:color="231F20"/>
              <w:left w:val="single" w:sz="2" w:space="0" w:color="231F20"/>
              <w:bottom w:val="single" w:sz="2" w:space="0" w:color="231F20"/>
              <w:right w:val="single" w:sz="2" w:space="0" w:color="231F20"/>
            </w:tcBorders>
            <w:vAlign w:val="center"/>
          </w:tcPr>
          <w:p w14:paraId="2B340293" w14:textId="77777777" w:rsidR="00FA007C" w:rsidRPr="00E06806" w:rsidRDefault="00FA007C" w:rsidP="009F1669">
            <w:pPr>
              <w:widowControl w:val="0"/>
              <w:spacing w:before="45" w:after="0" w:line="240" w:lineRule="auto"/>
              <w:ind w:left="107"/>
              <w:rPr>
                <w:rFonts w:cstheme="minorHAnsi"/>
                <w:sz w:val="20"/>
                <w:szCs w:val="20"/>
              </w:rPr>
            </w:pPr>
            <w:r w:rsidRPr="00E06806">
              <w:rPr>
                <w:rFonts w:cstheme="minorHAnsi"/>
                <w:sz w:val="20"/>
                <w:szCs w:val="20"/>
              </w:rPr>
              <w:t>DW Median Wage 2</w:t>
            </w:r>
            <w:r w:rsidRPr="00E06806">
              <w:rPr>
                <w:rFonts w:cstheme="minorHAnsi"/>
                <w:sz w:val="20"/>
                <w:szCs w:val="20"/>
                <w:vertAlign w:val="superscript"/>
              </w:rPr>
              <w:t>nd</w:t>
            </w:r>
            <w:r w:rsidRPr="00E06806">
              <w:rPr>
                <w:rFonts w:cstheme="minorHAnsi"/>
                <w:sz w:val="20"/>
                <w:szCs w:val="20"/>
              </w:rPr>
              <w:t xml:space="preserve"> Qtr. After Exit</w:t>
            </w:r>
          </w:p>
        </w:tc>
        <w:tc>
          <w:tcPr>
            <w:tcW w:w="2499" w:type="dxa"/>
            <w:tcBorders>
              <w:top w:val="single" w:sz="2" w:space="0" w:color="231F20"/>
              <w:left w:val="single" w:sz="2" w:space="0" w:color="231F20"/>
              <w:bottom w:val="single" w:sz="2" w:space="0" w:color="231F20"/>
              <w:right w:val="single" w:sz="2" w:space="0" w:color="231F20"/>
            </w:tcBorders>
            <w:vAlign w:val="center"/>
          </w:tcPr>
          <w:p w14:paraId="055389F0" w14:textId="42466F76" w:rsidR="00FA007C" w:rsidRPr="00E06806" w:rsidRDefault="00FA007C" w:rsidP="00D63204">
            <w:pPr>
              <w:widowControl w:val="0"/>
              <w:spacing w:before="45" w:after="0" w:line="240" w:lineRule="auto"/>
              <w:ind w:left="107"/>
              <w:rPr>
                <w:rFonts w:cstheme="minorHAnsi"/>
                <w:sz w:val="20"/>
                <w:szCs w:val="20"/>
              </w:rPr>
            </w:pPr>
            <w:r w:rsidRPr="00E06806">
              <w:rPr>
                <w:rFonts w:cstheme="minorHAnsi"/>
                <w:sz w:val="20"/>
                <w:szCs w:val="20"/>
              </w:rPr>
              <w:t>$6,550 ($5,895)</w:t>
            </w:r>
          </w:p>
        </w:tc>
        <w:tc>
          <w:tcPr>
            <w:tcW w:w="2207" w:type="dxa"/>
            <w:tcBorders>
              <w:top w:val="single" w:sz="2" w:space="0" w:color="231F20"/>
              <w:left w:val="single" w:sz="2" w:space="0" w:color="231F20"/>
              <w:bottom w:val="single" w:sz="2" w:space="0" w:color="231F20"/>
              <w:right w:val="single" w:sz="2" w:space="0" w:color="231F20"/>
            </w:tcBorders>
            <w:vAlign w:val="center"/>
          </w:tcPr>
          <w:p w14:paraId="70DF6911" w14:textId="77777777" w:rsidR="00FA007C" w:rsidRPr="00E06806" w:rsidRDefault="00FA007C" w:rsidP="00D63204">
            <w:pPr>
              <w:widowControl w:val="0"/>
              <w:spacing w:before="45" w:after="0" w:line="240" w:lineRule="auto"/>
              <w:ind w:left="107"/>
              <w:rPr>
                <w:rFonts w:cstheme="minorHAnsi"/>
                <w:sz w:val="20"/>
                <w:szCs w:val="20"/>
              </w:rPr>
            </w:pPr>
            <w:r w:rsidRPr="00E06806">
              <w:rPr>
                <w:rFonts w:cstheme="minorHAnsi"/>
                <w:sz w:val="20"/>
                <w:szCs w:val="20"/>
              </w:rPr>
              <w:t>$7,635</w:t>
            </w:r>
          </w:p>
        </w:tc>
        <w:tc>
          <w:tcPr>
            <w:tcW w:w="2093" w:type="dxa"/>
            <w:tcBorders>
              <w:top w:val="single" w:sz="2" w:space="0" w:color="231F20"/>
              <w:left w:val="single" w:sz="2" w:space="0" w:color="231F20"/>
              <w:bottom w:val="single" w:sz="2" w:space="0" w:color="231F20"/>
              <w:right w:val="single" w:sz="2" w:space="0" w:color="231F20"/>
            </w:tcBorders>
            <w:vAlign w:val="center"/>
          </w:tcPr>
          <w:p w14:paraId="45CEA9CF" w14:textId="232ECC93" w:rsidR="00FA007C" w:rsidRPr="00E06806" w:rsidRDefault="00FA007C" w:rsidP="00D63204">
            <w:pPr>
              <w:widowControl w:val="0"/>
              <w:spacing w:before="45" w:after="0" w:line="240" w:lineRule="auto"/>
              <w:ind w:left="107"/>
              <w:rPr>
                <w:rFonts w:cstheme="minorHAnsi"/>
                <w:sz w:val="20"/>
                <w:szCs w:val="20"/>
              </w:rPr>
            </w:pPr>
            <w:r w:rsidRPr="00E06806">
              <w:rPr>
                <w:rFonts w:cstheme="minorHAnsi"/>
                <w:sz w:val="20"/>
                <w:szCs w:val="20"/>
              </w:rPr>
              <w:t>+ 29.5%</w:t>
            </w:r>
          </w:p>
        </w:tc>
      </w:tr>
      <w:tr w:rsidR="00FA007C" w:rsidRPr="00E06806" w14:paraId="506C2AB1" w14:textId="77777777" w:rsidTr="00452989">
        <w:trPr>
          <w:trHeight w:val="387"/>
        </w:trPr>
        <w:tc>
          <w:tcPr>
            <w:tcW w:w="3360" w:type="dxa"/>
            <w:tcBorders>
              <w:top w:val="single" w:sz="2" w:space="0" w:color="231F20"/>
              <w:left w:val="single" w:sz="2" w:space="0" w:color="231F20"/>
              <w:bottom w:val="single" w:sz="2" w:space="0" w:color="231F20"/>
              <w:right w:val="single" w:sz="2" w:space="0" w:color="231F20"/>
            </w:tcBorders>
            <w:shd w:val="clear" w:color="auto" w:fill="E6E7E8"/>
            <w:vAlign w:val="center"/>
          </w:tcPr>
          <w:p w14:paraId="78AF67D1" w14:textId="77777777" w:rsidR="00FA007C" w:rsidRPr="00E06806" w:rsidRDefault="00FA007C" w:rsidP="009F1669">
            <w:pPr>
              <w:widowControl w:val="0"/>
              <w:spacing w:before="43" w:after="0" w:line="240" w:lineRule="exact"/>
              <w:ind w:left="107"/>
              <w:rPr>
                <w:rFonts w:cstheme="minorHAnsi"/>
                <w:sz w:val="20"/>
                <w:szCs w:val="20"/>
              </w:rPr>
            </w:pPr>
            <w:r w:rsidRPr="00E06806">
              <w:rPr>
                <w:rFonts w:cstheme="minorHAnsi"/>
                <w:sz w:val="20"/>
                <w:szCs w:val="20"/>
              </w:rPr>
              <w:t>Youth Employed 2</w:t>
            </w:r>
            <w:r w:rsidRPr="00E06806">
              <w:rPr>
                <w:rFonts w:cstheme="minorHAnsi"/>
                <w:sz w:val="20"/>
                <w:szCs w:val="20"/>
                <w:vertAlign w:val="superscript"/>
              </w:rPr>
              <w:t>nd</w:t>
            </w:r>
            <w:r w:rsidRPr="00E06806">
              <w:rPr>
                <w:rFonts w:cstheme="minorHAnsi"/>
                <w:sz w:val="20"/>
                <w:szCs w:val="20"/>
              </w:rPr>
              <w:t xml:space="preserve"> Qtr. After Exit</w:t>
            </w:r>
          </w:p>
        </w:tc>
        <w:tc>
          <w:tcPr>
            <w:tcW w:w="2499" w:type="dxa"/>
            <w:tcBorders>
              <w:top w:val="single" w:sz="2" w:space="0" w:color="231F20"/>
              <w:left w:val="single" w:sz="2" w:space="0" w:color="231F20"/>
              <w:bottom w:val="single" w:sz="2" w:space="0" w:color="231F20"/>
              <w:right w:val="single" w:sz="2" w:space="0" w:color="231F20"/>
            </w:tcBorders>
            <w:shd w:val="clear" w:color="auto" w:fill="E6E7E8"/>
            <w:vAlign w:val="center"/>
          </w:tcPr>
          <w:p w14:paraId="7C2EA9CB" w14:textId="556ADA8C" w:rsidR="00FA007C" w:rsidRPr="00E06806" w:rsidRDefault="00FA007C" w:rsidP="00D63204">
            <w:pPr>
              <w:widowControl w:val="0"/>
              <w:spacing w:before="45" w:after="0" w:line="240" w:lineRule="auto"/>
              <w:ind w:left="107"/>
              <w:rPr>
                <w:rFonts w:cstheme="minorHAnsi"/>
                <w:sz w:val="20"/>
                <w:szCs w:val="20"/>
              </w:rPr>
            </w:pPr>
            <w:r w:rsidRPr="00E06806">
              <w:rPr>
                <w:rFonts w:cstheme="minorHAnsi"/>
                <w:sz w:val="20"/>
                <w:szCs w:val="20"/>
              </w:rPr>
              <w:t>73.0% (65.7%)</w:t>
            </w:r>
          </w:p>
        </w:tc>
        <w:tc>
          <w:tcPr>
            <w:tcW w:w="2207" w:type="dxa"/>
            <w:tcBorders>
              <w:top w:val="single" w:sz="2" w:space="0" w:color="231F20"/>
              <w:left w:val="single" w:sz="2" w:space="0" w:color="231F20"/>
              <w:bottom w:val="single" w:sz="2" w:space="0" w:color="231F20"/>
              <w:right w:val="single" w:sz="2" w:space="0" w:color="231F20"/>
            </w:tcBorders>
            <w:shd w:val="clear" w:color="auto" w:fill="E6E7E8"/>
            <w:vAlign w:val="center"/>
          </w:tcPr>
          <w:p w14:paraId="2534CE1A" w14:textId="77777777" w:rsidR="00FA007C" w:rsidRPr="00E06806" w:rsidRDefault="00FA007C" w:rsidP="00D63204">
            <w:pPr>
              <w:widowControl w:val="0"/>
              <w:spacing w:before="45" w:after="0" w:line="240" w:lineRule="auto"/>
              <w:ind w:left="107"/>
              <w:rPr>
                <w:rFonts w:cstheme="minorHAnsi"/>
                <w:sz w:val="20"/>
                <w:szCs w:val="20"/>
              </w:rPr>
            </w:pPr>
            <w:r w:rsidRPr="00E06806">
              <w:rPr>
                <w:rFonts w:cstheme="minorHAnsi"/>
                <w:sz w:val="20"/>
                <w:szCs w:val="20"/>
              </w:rPr>
              <w:t>70.9%</w:t>
            </w:r>
          </w:p>
        </w:tc>
        <w:tc>
          <w:tcPr>
            <w:tcW w:w="2093" w:type="dxa"/>
            <w:tcBorders>
              <w:top w:val="single" w:sz="2" w:space="0" w:color="231F20"/>
              <w:left w:val="single" w:sz="2" w:space="0" w:color="231F20"/>
              <w:bottom w:val="single" w:sz="2" w:space="0" w:color="231F20"/>
              <w:right w:val="single" w:sz="2" w:space="0" w:color="231F20"/>
            </w:tcBorders>
            <w:shd w:val="clear" w:color="auto" w:fill="E6E7E8"/>
            <w:vAlign w:val="center"/>
          </w:tcPr>
          <w:p w14:paraId="75D390EF" w14:textId="77777777" w:rsidR="00FA007C" w:rsidRPr="00E06806" w:rsidRDefault="00FA007C" w:rsidP="00D63204">
            <w:pPr>
              <w:widowControl w:val="0"/>
              <w:spacing w:before="45" w:after="0" w:line="240" w:lineRule="auto"/>
              <w:ind w:left="107"/>
              <w:rPr>
                <w:rFonts w:cstheme="minorHAnsi"/>
                <w:sz w:val="20"/>
                <w:szCs w:val="20"/>
              </w:rPr>
            </w:pPr>
            <w:r w:rsidRPr="00E06806">
              <w:rPr>
                <w:rFonts w:cstheme="minorHAnsi"/>
                <w:sz w:val="20"/>
                <w:szCs w:val="20"/>
              </w:rPr>
              <w:t>+ 5.2%</w:t>
            </w:r>
          </w:p>
        </w:tc>
      </w:tr>
      <w:tr w:rsidR="00FA007C" w:rsidRPr="00E06806" w14:paraId="6F01636A" w14:textId="77777777" w:rsidTr="00452989">
        <w:trPr>
          <w:trHeight w:val="387"/>
        </w:trPr>
        <w:tc>
          <w:tcPr>
            <w:tcW w:w="3360" w:type="dxa"/>
            <w:tcBorders>
              <w:top w:val="single" w:sz="2" w:space="0" w:color="231F20"/>
              <w:left w:val="single" w:sz="2" w:space="0" w:color="231F20"/>
              <w:bottom w:val="single" w:sz="2" w:space="0" w:color="231F20"/>
              <w:right w:val="single" w:sz="2" w:space="0" w:color="231F20"/>
            </w:tcBorders>
            <w:vAlign w:val="center"/>
          </w:tcPr>
          <w:p w14:paraId="60AEAA88" w14:textId="77777777" w:rsidR="00FA007C" w:rsidRPr="00E06806" w:rsidRDefault="00FA007C" w:rsidP="009F1669">
            <w:pPr>
              <w:widowControl w:val="0"/>
              <w:spacing w:before="43" w:after="0" w:line="240" w:lineRule="exact"/>
              <w:ind w:left="107"/>
              <w:rPr>
                <w:rFonts w:cstheme="minorHAnsi"/>
                <w:sz w:val="20"/>
                <w:szCs w:val="20"/>
              </w:rPr>
            </w:pPr>
            <w:r w:rsidRPr="00E06806">
              <w:rPr>
                <w:rFonts w:cstheme="minorHAnsi"/>
                <w:sz w:val="20"/>
                <w:szCs w:val="20"/>
              </w:rPr>
              <w:t>Youth Employed 4</w:t>
            </w:r>
            <w:r w:rsidRPr="00E06806">
              <w:rPr>
                <w:rFonts w:cstheme="minorHAnsi"/>
                <w:sz w:val="20"/>
                <w:szCs w:val="20"/>
                <w:vertAlign w:val="superscript"/>
              </w:rPr>
              <w:t>th</w:t>
            </w:r>
            <w:r w:rsidRPr="00E06806">
              <w:rPr>
                <w:rFonts w:cstheme="minorHAnsi"/>
                <w:sz w:val="20"/>
                <w:szCs w:val="20"/>
              </w:rPr>
              <w:t xml:space="preserve"> Qtr. After Exit</w:t>
            </w:r>
          </w:p>
        </w:tc>
        <w:tc>
          <w:tcPr>
            <w:tcW w:w="2499" w:type="dxa"/>
            <w:tcBorders>
              <w:top w:val="single" w:sz="2" w:space="0" w:color="231F20"/>
              <w:left w:val="single" w:sz="2" w:space="0" w:color="231F20"/>
              <w:bottom w:val="single" w:sz="2" w:space="0" w:color="231F20"/>
              <w:right w:val="single" w:sz="2" w:space="0" w:color="231F20"/>
            </w:tcBorders>
            <w:vAlign w:val="center"/>
          </w:tcPr>
          <w:p w14:paraId="27D10244" w14:textId="7F4F2112" w:rsidR="00FA007C" w:rsidRPr="00E06806" w:rsidRDefault="00FA007C" w:rsidP="00D63204">
            <w:pPr>
              <w:widowControl w:val="0"/>
              <w:spacing w:before="45" w:after="0" w:line="240" w:lineRule="auto"/>
              <w:ind w:left="107"/>
              <w:rPr>
                <w:rFonts w:cstheme="minorHAnsi"/>
                <w:sz w:val="20"/>
                <w:szCs w:val="20"/>
              </w:rPr>
            </w:pPr>
            <w:r w:rsidRPr="00E06806">
              <w:rPr>
                <w:rFonts w:cstheme="minorHAnsi"/>
                <w:sz w:val="20"/>
                <w:szCs w:val="20"/>
              </w:rPr>
              <w:t>66.0 % (59.4%)</w:t>
            </w:r>
          </w:p>
        </w:tc>
        <w:tc>
          <w:tcPr>
            <w:tcW w:w="2207" w:type="dxa"/>
            <w:tcBorders>
              <w:top w:val="single" w:sz="2" w:space="0" w:color="231F20"/>
              <w:left w:val="single" w:sz="2" w:space="0" w:color="231F20"/>
              <w:bottom w:val="single" w:sz="2" w:space="0" w:color="231F20"/>
              <w:right w:val="single" w:sz="2" w:space="0" w:color="231F20"/>
            </w:tcBorders>
            <w:vAlign w:val="center"/>
          </w:tcPr>
          <w:p w14:paraId="1850C2E5" w14:textId="77777777" w:rsidR="00FA007C" w:rsidRPr="00E06806" w:rsidRDefault="00FA007C" w:rsidP="00D63204">
            <w:pPr>
              <w:widowControl w:val="0"/>
              <w:spacing w:before="45" w:after="0" w:line="240" w:lineRule="auto"/>
              <w:ind w:left="107"/>
              <w:rPr>
                <w:rFonts w:cstheme="minorHAnsi"/>
                <w:sz w:val="20"/>
                <w:szCs w:val="20"/>
              </w:rPr>
            </w:pPr>
            <w:r w:rsidRPr="00E06806">
              <w:rPr>
                <w:rFonts w:cstheme="minorHAnsi"/>
                <w:sz w:val="20"/>
                <w:szCs w:val="20"/>
              </w:rPr>
              <w:t>72.1%</w:t>
            </w:r>
          </w:p>
        </w:tc>
        <w:tc>
          <w:tcPr>
            <w:tcW w:w="2093" w:type="dxa"/>
            <w:tcBorders>
              <w:top w:val="single" w:sz="2" w:space="0" w:color="231F20"/>
              <w:left w:val="single" w:sz="2" w:space="0" w:color="231F20"/>
              <w:bottom w:val="single" w:sz="2" w:space="0" w:color="231F20"/>
              <w:right w:val="single" w:sz="2" w:space="0" w:color="231F20"/>
            </w:tcBorders>
            <w:vAlign w:val="center"/>
          </w:tcPr>
          <w:p w14:paraId="6D519D03" w14:textId="77777777" w:rsidR="00FA007C" w:rsidRPr="00E06806" w:rsidRDefault="00FA007C" w:rsidP="00D63204">
            <w:pPr>
              <w:widowControl w:val="0"/>
              <w:spacing w:before="45" w:after="0" w:line="240" w:lineRule="auto"/>
              <w:ind w:left="107"/>
              <w:rPr>
                <w:rFonts w:cstheme="minorHAnsi"/>
                <w:sz w:val="20"/>
                <w:szCs w:val="20"/>
              </w:rPr>
            </w:pPr>
            <w:r w:rsidRPr="00E06806">
              <w:rPr>
                <w:rFonts w:cstheme="minorHAnsi"/>
                <w:sz w:val="20"/>
                <w:szCs w:val="20"/>
              </w:rPr>
              <w:t>+ 12.7%</w:t>
            </w:r>
          </w:p>
        </w:tc>
      </w:tr>
    </w:tbl>
    <w:p w14:paraId="234FC5EE" w14:textId="77777777" w:rsidR="00FA007C" w:rsidRPr="00E06806" w:rsidRDefault="00FA007C" w:rsidP="00D63204">
      <w:pPr>
        <w:widowControl w:val="0"/>
        <w:spacing w:before="5" w:after="0" w:line="240" w:lineRule="auto"/>
        <w:ind w:left="107"/>
        <w:rPr>
          <w:rFonts w:cstheme="minorHAnsi"/>
          <w:b/>
          <w:bCs/>
          <w:sz w:val="9"/>
          <w:szCs w:val="9"/>
        </w:rPr>
      </w:pPr>
    </w:p>
    <w:p w14:paraId="47718782" w14:textId="77777777" w:rsidR="00FA007C" w:rsidRPr="00E06806" w:rsidRDefault="00FA007C" w:rsidP="00D63204">
      <w:pPr>
        <w:widowControl w:val="0"/>
        <w:spacing w:after="0" w:line="264" w:lineRule="exact"/>
        <w:ind w:left="107"/>
        <w:rPr>
          <w:rFonts w:cstheme="minorHAnsi"/>
        </w:rPr>
        <w:sectPr w:rsidR="00FA007C" w:rsidRPr="00E06806">
          <w:footerReference w:type="default" r:id="rId125"/>
          <w:pgSz w:w="12240" w:h="15840"/>
          <w:pgMar w:top="1620" w:right="900" w:bottom="820" w:left="900" w:header="812" w:footer="624" w:gutter="0"/>
          <w:pgNumType w:start="81"/>
          <w:cols w:space="720"/>
        </w:sectPr>
      </w:pPr>
    </w:p>
    <w:p w14:paraId="69686083" w14:textId="77777777" w:rsidR="00FA007C" w:rsidRPr="00E06806" w:rsidRDefault="00FA007C" w:rsidP="00D63204">
      <w:pPr>
        <w:widowControl w:val="0"/>
        <w:spacing w:before="4" w:after="0" w:line="240" w:lineRule="auto"/>
        <w:ind w:left="107"/>
        <w:rPr>
          <w:rFonts w:cstheme="minorHAnsi"/>
          <w:sz w:val="14"/>
          <w:szCs w:val="14"/>
        </w:rPr>
      </w:pPr>
    </w:p>
    <w:p w14:paraId="644B7D12" w14:textId="467C1B82" w:rsidR="00FA007C" w:rsidRPr="00E06806" w:rsidRDefault="00FA007C" w:rsidP="00D63204">
      <w:pPr>
        <w:widowControl w:val="0"/>
        <w:spacing w:before="63" w:after="0" w:line="240" w:lineRule="auto"/>
        <w:ind w:left="107"/>
        <w:outlineLvl w:val="3"/>
        <w:rPr>
          <w:rFonts w:cstheme="minorHAnsi"/>
        </w:rPr>
      </w:pPr>
      <w:r w:rsidRPr="00E06806">
        <w:rPr>
          <w:rFonts w:cstheme="minorHAnsi"/>
          <w:b/>
          <w:bCs/>
          <w:i/>
          <w:color w:val="231F20"/>
          <w:w w:val="105"/>
        </w:rPr>
        <w:t>Local</w:t>
      </w:r>
      <w:r w:rsidRPr="00E06806">
        <w:rPr>
          <w:rFonts w:cstheme="minorHAnsi"/>
          <w:b/>
          <w:bCs/>
          <w:i/>
          <w:color w:val="231F20"/>
          <w:spacing w:val="-37"/>
          <w:w w:val="105"/>
        </w:rPr>
        <w:t xml:space="preserve"> </w:t>
      </w:r>
      <w:r w:rsidRPr="00E06806">
        <w:rPr>
          <w:rFonts w:cstheme="minorHAnsi"/>
          <w:b/>
          <w:bCs/>
          <w:i/>
          <w:color w:val="231F20"/>
          <w:w w:val="105"/>
        </w:rPr>
        <w:t xml:space="preserve">Performance </w:t>
      </w:r>
    </w:p>
    <w:p w14:paraId="3F0A0291" w14:textId="77777777" w:rsidR="00FA007C" w:rsidRPr="00E06806" w:rsidRDefault="00FA007C" w:rsidP="00D63204">
      <w:pPr>
        <w:widowControl w:val="0"/>
        <w:spacing w:before="2" w:after="0" w:line="264" w:lineRule="exact"/>
        <w:ind w:left="107"/>
        <w:rPr>
          <w:rFonts w:cstheme="minorHAnsi"/>
        </w:rPr>
      </w:pPr>
      <w:r w:rsidRPr="00E06806">
        <w:rPr>
          <w:rFonts w:cstheme="minorHAnsi"/>
          <w:color w:val="231F20"/>
          <w:w w:val="105"/>
        </w:rPr>
        <w:t>Expected</w:t>
      </w:r>
      <w:r w:rsidRPr="00E06806">
        <w:rPr>
          <w:rFonts w:cstheme="minorHAnsi"/>
          <w:color w:val="231F20"/>
          <w:spacing w:val="21"/>
          <w:w w:val="105"/>
        </w:rPr>
        <w:t xml:space="preserve"> </w:t>
      </w:r>
      <w:r w:rsidRPr="00E06806">
        <w:rPr>
          <w:rFonts w:cstheme="minorHAnsi"/>
          <w:color w:val="231F20"/>
          <w:w w:val="105"/>
        </w:rPr>
        <w:t>levels</w:t>
      </w:r>
      <w:r w:rsidRPr="00E06806">
        <w:rPr>
          <w:rFonts w:cstheme="minorHAnsi"/>
          <w:color w:val="231F20"/>
          <w:spacing w:val="21"/>
          <w:w w:val="105"/>
        </w:rPr>
        <w:t xml:space="preserve"> </w:t>
      </w:r>
      <w:r w:rsidRPr="00E06806">
        <w:rPr>
          <w:rFonts w:cstheme="minorHAnsi"/>
          <w:color w:val="231F20"/>
          <w:w w:val="105"/>
        </w:rPr>
        <w:t>of</w:t>
      </w:r>
      <w:r w:rsidRPr="00E06806">
        <w:rPr>
          <w:rFonts w:cstheme="minorHAnsi"/>
          <w:color w:val="231F20"/>
          <w:spacing w:val="21"/>
          <w:w w:val="105"/>
        </w:rPr>
        <w:t xml:space="preserve"> </w:t>
      </w:r>
      <w:r w:rsidRPr="00E06806">
        <w:rPr>
          <w:rFonts w:cstheme="minorHAnsi"/>
          <w:color w:val="231F20"/>
          <w:w w:val="105"/>
        </w:rPr>
        <w:t>performance</w:t>
      </w:r>
      <w:r w:rsidRPr="00E06806">
        <w:rPr>
          <w:rFonts w:cstheme="minorHAnsi"/>
          <w:color w:val="231F20"/>
          <w:spacing w:val="21"/>
          <w:w w:val="105"/>
        </w:rPr>
        <w:t xml:space="preserve"> </w:t>
      </w:r>
      <w:r w:rsidRPr="00E06806">
        <w:rPr>
          <w:rFonts w:cstheme="minorHAnsi"/>
          <w:color w:val="231F20"/>
          <w:w w:val="105"/>
        </w:rPr>
        <w:t>or</w:t>
      </w:r>
      <w:r w:rsidRPr="00E06806">
        <w:rPr>
          <w:rFonts w:cstheme="minorHAnsi"/>
          <w:color w:val="231F20"/>
          <w:spacing w:val="21"/>
          <w:w w:val="105"/>
        </w:rPr>
        <w:t xml:space="preserve"> </w:t>
      </w:r>
      <w:r w:rsidRPr="00E06806">
        <w:rPr>
          <w:rFonts w:cstheme="minorHAnsi"/>
          <w:color w:val="231F20"/>
          <w:w w:val="105"/>
        </w:rPr>
        <w:t>goals</w:t>
      </w:r>
      <w:r w:rsidRPr="00E06806">
        <w:rPr>
          <w:rFonts w:cstheme="minorHAnsi"/>
          <w:color w:val="231F20"/>
          <w:spacing w:val="21"/>
          <w:w w:val="105"/>
        </w:rPr>
        <w:t xml:space="preserve"> </w:t>
      </w:r>
      <w:r w:rsidRPr="00E06806">
        <w:rPr>
          <w:rFonts w:cstheme="minorHAnsi"/>
          <w:color w:val="231F20"/>
          <w:w w:val="105"/>
        </w:rPr>
        <w:t>were</w:t>
      </w:r>
      <w:r w:rsidRPr="00E06806">
        <w:rPr>
          <w:rFonts w:cstheme="minorHAnsi"/>
          <w:color w:val="231F20"/>
          <w:spacing w:val="21"/>
          <w:w w:val="105"/>
        </w:rPr>
        <w:t xml:space="preserve"> </w:t>
      </w:r>
      <w:r w:rsidRPr="00E06806">
        <w:rPr>
          <w:rFonts w:cstheme="minorHAnsi"/>
          <w:color w:val="231F20"/>
          <w:w w:val="105"/>
        </w:rPr>
        <w:t>agreed</w:t>
      </w:r>
      <w:r w:rsidRPr="00E06806">
        <w:rPr>
          <w:rFonts w:cstheme="minorHAnsi"/>
          <w:color w:val="231F20"/>
          <w:spacing w:val="21"/>
          <w:w w:val="105"/>
        </w:rPr>
        <w:t xml:space="preserve"> </w:t>
      </w:r>
      <w:r w:rsidRPr="00E06806">
        <w:rPr>
          <w:rFonts w:cstheme="minorHAnsi"/>
          <w:color w:val="231F20"/>
          <w:w w:val="105"/>
        </w:rPr>
        <w:t>upon</w:t>
      </w:r>
      <w:r w:rsidRPr="00E06806">
        <w:rPr>
          <w:rFonts w:cstheme="minorHAnsi"/>
          <w:color w:val="231F20"/>
          <w:spacing w:val="21"/>
          <w:w w:val="105"/>
        </w:rPr>
        <w:t xml:space="preserve"> </w:t>
      </w:r>
      <w:r w:rsidRPr="00E06806">
        <w:rPr>
          <w:rFonts w:cstheme="minorHAnsi"/>
          <w:color w:val="231F20"/>
          <w:w w:val="105"/>
        </w:rPr>
        <w:t>for</w:t>
      </w:r>
      <w:r w:rsidRPr="00E06806">
        <w:rPr>
          <w:rFonts w:cstheme="minorHAnsi"/>
          <w:color w:val="231F20"/>
          <w:spacing w:val="21"/>
          <w:w w:val="105"/>
        </w:rPr>
        <w:t xml:space="preserve"> </w:t>
      </w:r>
      <w:r w:rsidRPr="00E06806">
        <w:rPr>
          <w:rFonts w:cstheme="minorHAnsi"/>
          <w:color w:val="231F20"/>
          <w:w w:val="105"/>
        </w:rPr>
        <w:t>each</w:t>
      </w:r>
      <w:r w:rsidRPr="00E06806">
        <w:rPr>
          <w:rFonts w:cstheme="minorHAnsi"/>
          <w:color w:val="231F20"/>
          <w:spacing w:val="21"/>
          <w:w w:val="105"/>
        </w:rPr>
        <w:t xml:space="preserve"> </w:t>
      </w:r>
      <w:r w:rsidRPr="00E06806">
        <w:rPr>
          <w:rFonts w:cstheme="minorHAnsi"/>
          <w:color w:val="231F20"/>
          <w:spacing w:val="-3"/>
          <w:w w:val="105"/>
        </w:rPr>
        <w:t>LWDB.</w:t>
      </w:r>
      <w:r w:rsidRPr="00E06806">
        <w:rPr>
          <w:rFonts w:cstheme="minorHAnsi"/>
          <w:color w:val="231F20"/>
          <w:spacing w:val="21"/>
          <w:w w:val="105"/>
        </w:rPr>
        <w:t xml:space="preserve"> </w:t>
      </w:r>
      <w:r w:rsidRPr="00E06806">
        <w:rPr>
          <w:rFonts w:cstheme="minorHAnsi"/>
          <w:color w:val="231F20"/>
          <w:w w:val="105"/>
        </w:rPr>
        <w:t>The</w:t>
      </w:r>
      <w:r w:rsidRPr="00E06806">
        <w:rPr>
          <w:rFonts w:cstheme="minorHAnsi"/>
          <w:color w:val="231F20"/>
          <w:spacing w:val="21"/>
          <w:w w:val="105"/>
        </w:rPr>
        <w:t xml:space="preserve"> </w:t>
      </w:r>
      <w:r w:rsidRPr="00E06806">
        <w:rPr>
          <w:rFonts w:cstheme="minorHAnsi"/>
          <w:color w:val="231F20"/>
          <w:w w:val="105"/>
        </w:rPr>
        <w:t>chart</w:t>
      </w:r>
      <w:r w:rsidRPr="00E06806">
        <w:rPr>
          <w:rFonts w:cstheme="minorHAnsi"/>
          <w:color w:val="231F20"/>
          <w:spacing w:val="21"/>
          <w:w w:val="105"/>
        </w:rPr>
        <w:t xml:space="preserve"> </w:t>
      </w:r>
      <w:r w:rsidRPr="00E06806">
        <w:rPr>
          <w:rFonts w:cstheme="minorHAnsi"/>
          <w:color w:val="231F20"/>
          <w:w w:val="105"/>
        </w:rPr>
        <w:t>below</w:t>
      </w:r>
      <w:r w:rsidRPr="00E06806">
        <w:rPr>
          <w:rFonts w:cstheme="minorHAnsi"/>
          <w:color w:val="231F20"/>
          <w:spacing w:val="21"/>
          <w:w w:val="105"/>
        </w:rPr>
        <w:t xml:space="preserve"> </w:t>
      </w:r>
      <w:r w:rsidRPr="00E06806">
        <w:rPr>
          <w:rFonts w:cstheme="minorHAnsi"/>
          <w:color w:val="231F20"/>
          <w:w w:val="105"/>
        </w:rPr>
        <w:t>summarizes</w:t>
      </w:r>
      <w:r w:rsidRPr="00E06806">
        <w:rPr>
          <w:rFonts w:cstheme="minorHAnsi"/>
          <w:color w:val="231F20"/>
          <w:w w:val="107"/>
        </w:rPr>
        <w:t xml:space="preserve"> </w:t>
      </w:r>
      <w:r w:rsidRPr="00E06806">
        <w:rPr>
          <w:rFonts w:cstheme="minorHAnsi"/>
          <w:color w:val="231F20"/>
          <w:w w:val="105"/>
        </w:rPr>
        <w:t>outcomes</w:t>
      </w:r>
      <w:r w:rsidRPr="00E06806">
        <w:rPr>
          <w:rFonts w:cstheme="minorHAnsi"/>
          <w:color w:val="231F20"/>
          <w:spacing w:val="20"/>
          <w:w w:val="105"/>
        </w:rPr>
        <w:t xml:space="preserve"> </w:t>
      </w:r>
      <w:r w:rsidRPr="00E06806">
        <w:rPr>
          <w:rFonts w:cstheme="minorHAnsi"/>
          <w:color w:val="231F20"/>
          <w:w w:val="105"/>
        </w:rPr>
        <w:t>based</w:t>
      </w:r>
      <w:r w:rsidRPr="00E06806">
        <w:rPr>
          <w:rFonts w:cstheme="minorHAnsi"/>
          <w:color w:val="231F20"/>
          <w:spacing w:val="20"/>
          <w:w w:val="105"/>
        </w:rPr>
        <w:t xml:space="preserve"> </w:t>
      </w:r>
      <w:r w:rsidRPr="00E06806">
        <w:rPr>
          <w:rFonts w:cstheme="minorHAnsi"/>
          <w:color w:val="231F20"/>
          <w:w w:val="105"/>
        </w:rPr>
        <w:t>on</w:t>
      </w:r>
      <w:r w:rsidRPr="00E06806">
        <w:rPr>
          <w:rFonts w:cstheme="minorHAnsi"/>
          <w:color w:val="231F20"/>
          <w:spacing w:val="20"/>
          <w:w w:val="105"/>
        </w:rPr>
        <w:t xml:space="preserve"> </w:t>
      </w:r>
      <w:r w:rsidRPr="00E06806">
        <w:rPr>
          <w:rFonts w:cstheme="minorHAnsi"/>
          <w:color w:val="231F20"/>
          <w:w w:val="105"/>
        </w:rPr>
        <w:t>these</w:t>
      </w:r>
      <w:r w:rsidRPr="00E06806">
        <w:rPr>
          <w:rFonts w:cstheme="minorHAnsi"/>
          <w:color w:val="231F20"/>
          <w:spacing w:val="20"/>
          <w:w w:val="105"/>
        </w:rPr>
        <w:t xml:space="preserve"> </w:t>
      </w:r>
      <w:r w:rsidRPr="00E06806">
        <w:rPr>
          <w:rFonts w:cstheme="minorHAnsi"/>
          <w:color w:val="231F20"/>
          <w:w w:val="105"/>
        </w:rPr>
        <w:t>goals</w:t>
      </w:r>
      <w:r w:rsidRPr="00E06806">
        <w:rPr>
          <w:rFonts w:cstheme="minorHAnsi"/>
          <w:color w:val="231F20"/>
          <w:spacing w:val="20"/>
          <w:w w:val="105"/>
        </w:rPr>
        <w:t xml:space="preserve"> </w:t>
      </w:r>
      <w:r w:rsidRPr="00E06806">
        <w:rPr>
          <w:rFonts w:cstheme="minorHAnsi"/>
          <w:color w:val="231F20"/>
          <w:w w:val="105"/>
        </w:rPr>
        <w:t>and</w:t>
      </w:r>
      <w:r w:rsidRPr="00E06806">
        <w:rPr>
          <w:rFonts w:cstheme="minorHAnsi"/>
          <w:color w:val="231F20"/>
          <w:spacing w:val="20"/>
          <w:w w:val="105"/>
        </w:rPr>
        <w:t xml:space="preserve"> </w:t>
      </w:r>
      <w:r w:rsidRPr="00E06806">
        <w:rPr>
          <w:rFonts w:cstheme="minorHAnsi"/>
          <w:color w:val="231F20"/>
          <w:w w:val="105"/>
        </w:rPr>
        <w:t>the</w:t>
      </w:r>
      <w:r w:rsidRPr="00E06806">
        <w:rPr>
          <w:rFonts w:cstheme="minorHAnsi"/>
          <w:color w:val="231F20"/>
          <w:spacing w:val="20"/>
          <w:w w:val="105"/>
        </w:rPr>
        <w:t xml:space="preserve"> </w:t>
      </w:r>
      <w:r w:rsidRPr="00E06806">
        <w:rPr>
          <w:rFonts w:cstheme="minorHAnsi"/>
          <w:color w:val="231F20"/>
          <w:w w:val="105"/>
        </w:rPr>
        <w:t>previous</w:t>
      </w:r>
      <w:r w:rsidRPr="00E06806">
        <w:rPr>
          <w:rFonts w:cstheme="minorHAnsi"/>
          <w:color w:val="231F20"/>
          <w:spacing w:val="20"/>
          <w:w w:val="105"/>
        </w:rPr>
        <w:t xml:space="preserve"> </w:t>
      </w:r>
      <w:r w:rsidRPr="00E06806">
        <w:rPr>
          <w:rFonts w:cstheme="minorHAnsi"/>
          <w:color w:val="231F20"/>
          <w:w w:val="105"/>
        </w:rPr>
        <w:t>federal</w:t>
      </w:r>
      <w:r w:rsidRPr="00E06806">
        <w:rPr>
          <w:rFonts w:cstheme="minorHAnsi"/>
          <w:color w:val="231F20"/>
          <w:spacing w:val="20"/>
          <w:w w:val="105"/>
        </w:rPr>
        <w:t xml:space="preserve"> </w:t>
      </w:r>
      <w:r w:rsidRPr="00E06806">
        <w:rPr>
          <w:rFonts w:cstheme="minorHAnsi"/>
          <w:color w:val="231F20"/>
          <w:w w:val="105"/>
        </w:rPr>
        <w:t>90</w:t>
      </w:r>
      <w:r w:rsidRPr="00E06806">
        <w:rPr>
          <w:rFonts w:cstheme="minorHAnsi"/>
          <w:color w:val="231F20"/>
          <w:spacing w:val="20"/>
          <w:w w:val="105"/>
        </w:rPr>
        <w:t xml:space="preserve"> </w:t>
      </w:r>
      <w:r w:rsidRPr="00E06806">
        <w:rPr>
          <w:rFonts w:cstheme="minorHAnsi"/>
          <w:color w:val="231F20"/>
          <w:w w:val="105"/>
        </w:rPr>
        <w:t>percent</w:t>
      </w:r>
      <w:r w:rsidRPr="00E06806">
        <w:rPr>
          <w:rFonts w:cstheme="minorHAnsi"/>
          <w:color w:val="231F20"/>
          <w:spacing w:val="20"/>
          <w:w w:val="105"/>
        </w:rPr>
        <w:t xml:space="preserve"> </w:t>
      </w:r>
      <w:r w:rsidRPr="00E06806">
        <w:rPr>
          <w:rFonts w:cstheme="minorHAnsi"/>
          <w:color w:val="231F20"/>
          <w:w w:val="105"/>
        </w:rPr>
        <w:t>criterion.</w:t>
      </w:r>
    </w:p>
    <w:p w14:paraId="7E114525" w14:textId="77777777" w:rsidR="00FA007C" w:rsidRPr="00E06806" w:rsidRDefault="00FA007C" w:rsidP="00D63204">
      <w:pPr>
        <w:widowControl w:val="0"/>
        <w:spacing w:before="6" w:after="0" w:line="240" w:lineRule="auto"/>
        <w:ind w:left="107"/>
        <w:rPr>
          <w:rFonts w:cstheme="minorHAnsi"/>
          <w:sz w:val="16"/>
          <w:szCs w:val="16"/>
        </w:rPr>
      </w:pPr>
    </w:p>
    <w:p w14:paraId="77969FCA" w14:textId="3950A82D" w:rsidR="00FA007C" w:rsidRPr="00E06806" w:rsidRDefault="00FA007C" w:rsidP="00D63204">
      <w:pPr>
        <w:widowControl w:val="0"/>
        <w:spacing w:after="0" w:line="266" w:lineRule="exact"/>
        <w:ind w:left="107"/>
        <w:outlineLvl w:val="2"/>
        <w:rPr>
          <w:rFonts w:cstheme="minorHAnsi"/>
        </w:rPr>
      </w:pPr>
      <w:r w:rsidRPr="00E06806">
        <w:rPr>
          <w:rFonts w:cstheme="minorHAnsi"/>
          <w:b/>
          <w:bCs/>
          <w:w w:val="105"/>
        </w:rPr>
        <w:t>Figure</w:t>
      </w:r>
      <w:r w:rsidRPr="00E06806">
        <w:rPr>
          <w:rFonts w:cstheme="minorHAnsi"/>
          <w:b/>
          <w:bCs/>
          <w:spacing w:val="2"/>
          <w:w w:val="105"/>
        </w:rPr>
        <w:t xml:space="preserve"> </w:t>
      </w:r>
      <w:r w:rsidRPr="00E06806">
        <w:rPr>
          <w:rFonts w:cstheme="minorHAnsi"/>
          <w:b/>
          <w:bCs/>
          <w:spacing w:val="-6"/>
          <w:w w:val="105"/>
        </w:rPr>
        <w:t>3.12</w:t>
      </w:r>
    </w:p>
    <w:p w14:paraId="6B424894" w14:textId="77777777" w:rsidR="008B5C34" w:rsidRDefault="00FA007C" w:rsidP="00D63204">
      <w:pPr>
        <w:widowControl w:val="0"/>
        <w:spacing w:before="2" w:after="0" w:line="235" w:lineRule="auto"/>
        <w:ind w:left="107"/>
        <w:rPr>
          <w:rFonts w:cstheme="minorHAnsi"/>
          <w:b/>
          <w:w w:val="107"/>
        </w:rPr>
      </w:pPr>
      <w:r w:rsidRPr="00E06806">
        <w:rPr>
          <w:rFonts w:cstheme="minorHAnsi"/>
          <w:b/>
          <w:w w:val="110"/>
        </w:rPr>
        <w:t>Local</w:t>
      </w:r>
      <w:r w:rsidRPr="00E06806">
        <w:rPr>
          <w:rFonts w:cstheme="minorHAnsi"/>
          <w:b/>
          <w:spacing w:val="-19"/>
          <w:w w:val="110"/>
        </w:rPr>
        <w:t xml:space="preserve"> </w:t>
      </w:r>
      <w:r w:rsidRPr="00E06806">
        <w:rPr>
          <w:rFonts w:cstheme="minorHAnsi"/>
          <w:b/>
          <w:w w:val="110"/>
        </w:rPr>
        <w:t>Workforce</w:t>
      </w:r>
      <w:r w:rsidRPr="00E06806">
        <w:rPr>
          <w:rFonts w:cstheme="minorHAnsi"/>
          <w:b/>
          <w:spacing w:val="-19"/>
          <w:w w:val="110"/>
        </w:rPr>
        <w:t xml:space="preserve"> </w:t>
      </w:r>
      <w:r w:rsidRPr="00E06806">
        <w:rPr>
          <w:rFonts w:cstheme="minorHAnsi"/>
          <w:b/>
          <w:w w:val="110"/>
        </w:rPr>
        <w:t>Development</w:t>
      </w:r>
      <w:r w:rsidRPr="00E06806">
        <w:rPr>
          <w:rFonts w:cstheme="minorHAnsi"/>
          <w:b/>
          <w:spacing w:val="-19"/>
          <w:w w:val="110"/>
        </w:rPr>
        <w:t xml:space="preserve"> </w:t>
      </w:r>
      <w:r w:rsidRPr="00E06806">
        <w:rPr>
          <w:rFonts w:cstheme="minorHAnsi"/>
          <w:b/>
          <w:w w:val="110"/>
        </w:rPr>
        <w:t>Board</w:t>
      </w:r>
      <w:r w:rsidRPr="00E06806">
        <w:rPr>
          <w:rFonts w:cstheme="minorHAnsi"/>
          <w:b/>
          <w:spacing w:val="-19"/>
          <w:w w:val="110"/>
        </w:rPr>
        <w:t xml:space="preserve"> </w:t>
      </w:r>
      <w:r w:rsidRPr="00E06806">
        <w:rPr>
          <w:rFonts w:cstheme="minorHAnsi"/>
          <w:b/>
          <w:w w:val="110"/>
        </w:rPr>
        <w:t>WI</w:t>
      </w:r>
      <w:r w:rsidR="005E2625">
        <w:rPr>
          <w:rFonts w:cstheme="minorHAnsi"/>
          <w:b/>
          <w:w w:val="110"/>
        </w:rPr>
        <w:t>O</w:t>
      </w:r>
      <w:r w:rsidRPr="00E06806">
        <w:rPr>
          <w:rFonts w:cstheme="minorHAnsi"/>
          <w:b/>
          <w:w w:val="110"/>
        </w:rPr>
        <w:t>A</w:t>
      </w:r>
      <w:r w:rsidRPr="00E06806">
        <w:rPr>
          <w:rFonts w:cstheme="minorHAnsi"/>
          <w:b/>
          <w:spacing w:val="-19"/>
          <w:w w:val="110"/>
        </w:rPr>
        <w:t xml:space="preserve"> </w:t>
      </w:r>
      <w:r w:rsidRPr="00E06806">
        <w:rPr>
          <w:rFonts w:cstheme="minorHAnsi"/>
          <w:b/>
          <w:w w:val="110"/>
        </w:rPr>
        <w:t>Performance</w:t>
      </w:r>
      <w:r w:rsidRPr="00E06806">
        <w:rPr>
          <w:rFonts w:cstheme="minorHAnsi"/>
          <w:b/>
          <w:w w:val="107"/>
        </w:rPr>
        <w:t xml:space="preserve"> </w:t>
      </w:r>
    </w:p>
    <w:p w14:paraId="687CF241" w14:textId="59DF6C15" w:rsidR="00FA007C" w:rsidRPr="00E06806" w:rsidRDefault="00FA007C" w:rsidP="00D63204">
      <w:pPr>
        <w:widowControl w:val="0"/>
        <w:spacing w:before="2" w:after="0" w:line="235" w:lineRule="auto"/>
        <w:ind w:left="107"/>
        <w:rPr>
          <w:rFonts w:cstheme="minorHAnsi"/>
        </w:rPr>
      </w:pPr>
      <w:r w:rsidRPr="00E06806">
        <w:rPr>
          <w:rFonts w:cstheme="minorHAnsi"/>
          <w:b/>
          <w:color w:val="231F20"/>
          <w:w w:val="110"/>
        </w:rPr>
        <w:t xml:space="preserve">Program </w:t>
      </w:r>
      <w:r w:rsidRPr="00E06806">
        <w:rPr>
          <w:rFonts w:cstheme="minorHAnsi"/>
          <w:b/>
          <w:color w:val="231F20"/>
          <w:spacing w:val="-6"/>
          <w:w w:val="110"/>
        </w:rPr>
        <w:t>Year</w:t>
      </w:r>
      <w:r w:rsidRPr="00E06806">
        <w:rPr>
          <w:rFonts w:cstheme="minorHAnsi"/>
          <w:b/>
          <w:color w:val="231F20"/>
          <w:spacing w:val="-4"/>
          <w:w w:val="110"/>
        </w:rPr>
        <w:t xml:space="preserve"> </w:t>
      </w:r>
      <w:r w:rsidRPr="00E06806">
        <w:rPr>
          <w:rFonts w:cstheme="minorHAnsi"/>
          <w:b/>
          <w:color w:val="231F20"/>
          <w:w w:val="110"/>
        </w:rPr>
        <w:t>2016-2017</w:t>
      </w:r>
    </w:p>
    <w:p w14:paraId="1C669AC8" w14:textId="77777777" w:rsidR="00FA007C" w:rsidRPr="00E06806" w:rsidRDefault="00FA007C" w:rsidP="00D63204">
      <w:pPr>
        <w:widowControl w:val="0"/>
        <w:spacing w:before="2" w:after="0" w:line="240" w:lineRule="auto"/>
        <w:ind w:left="107"/>
        <w:rPr>
          <w:rFonts w:cstheme="minorHAnsi"/>
          <w:b/>
          <w:bCs/>
          <w:sz w:val="18"/>
          <w:szCs w:val="18"/>
        </w:rPr>
      </w:pPr>
    </w:p>
    <w:tbl>
      <w:tblPr>
        <w:tblW w:w="0" w:type="auto"/>
        <w:tblInd w:w="108" w:type="dxa"/>
        <w:tblLayout w:type="fixed"/>
        <w:tblCellMar>
          <w:left w:w="0" w:type="dxa"/>
          <w:right w:w="0" w:type="dxa"/>
        </w:tblCellMar>
        <w:tblLook w:val="01E0" w:firstRow="1" w:lastRow="1" w:firstColumn="1" w:lastColumn="1" w:noHBand="0" w:noVBand="0"/>
      </w:tblPr>
      <w:tblGrid>
        <w:gridCol w:w="4199"/>
        <w:gridCol w:w="1787"/>
        <w:gridCol w:w="2070"/>
        <w:gridCol w:w="2108"/>
      </w:tblGrid>
      <w:tr w:rsidR="00FA007C" w:rsidRPr="00E06806" w14:paraId="42DC1A3F" w14:textId="77777777" w:rsidTr="006D74A6">
        <w:trPr>
          <w:trHeight w:hRule="exact" w:val="834"/>
        </w:trPr>
        <w:tc>
          <w:tcPr>
            <w:tcW w:w="4199" w:type="dxa"/>
            <w:tcBorders>
              <w:top w:val="single" w:sz="2" w:space="0" w:color="000000"/>
              <w:left w:val="single" w:sz="2" w:space="0" w:color="000000"/>
              <w:bottom w:val="single" w:sz="2" w:space="0" w:color="000000"/>
              <w:right w:val="single" w:sz="2" w:space="0" w:color="000000"/>
            </w:tcBorders>
            <w:vAlign w:val="center"/>
          </w:tcPr>
          <w:p w14:paraId="274CA51A" w14:textId="77777777" w:rsidR="00FA007C" w:rsidRPr="00E06806" w:rsidRDefault="00FA007C" w:rsidP="006D74A6">
            <w:pPr>
              <w:widowControl w:val="0"/>
              <w:spacing w:before="10" w:after="0" w:line="240" w:lineRule="auto"/>
              <w:ind w:left="107"/>
              <w:rPr>
                <w:rFonts w:cstheme="minorHAnsi"/>
                <w:b/>
                <w:bCs/>
                <w:sz w:val="24"/>
                <w:szCs w:val="24"/>
              </w:rPr>
            </w:pPr>
          </w:p>
          <w:p w14:paraId="4266A3FF" w14:textId="77777777" w:rsidR="00FA007C" w:rsidRPr="00E06806" w:rsidRDefault="00FA007C" w:rsidP="006D74A6">
            <w:pPr>
              <w:widowControl w:val="0"/>
              <w:spacing w:after="0" w:line="240" w:lineRule="auto"/>
              <w:ind w:left="107"/>
              <w:rPr>
                <w:rFonts w:cstheme="minorHAnsi"/>
                <w:sz w:val="20"/>
                <w:szCs w:val="20"/>
              </w:rPr>
            </w:pPr>
            <w:r w:rsidRPr="00E06806">
              <w:rPr>
                <w:rFonts w:cstheme="minorHAnsi"/>
                <w:b/>
                <w:color w:val="231F20"/>
                <w:w w:val="110"/>
                <w:sz w:val="20"/>
              </w:rPr>
              <w:t>WIOA COMMON</w:t>
            </w:r>
            <w:r w:rsidRPr="00E06806">
              <w:rPr>
                <w:rFonts w:cstheme="minorHAnsi"/>
                <w:b/>
                <w:color w:val="231F20"/>
                <w:spacing w:val="-4"/>
                <w:w w:val="110"/>
                <w:sz w:val="20"/>
              </w:rPr>
              <w:t xml:space="preserve"> </w:t>
            </w:r>
            <w:r w:rsidRPr="00E06806">
              <w:rPr>
                <w:rFonts w:cstheme="minorHAnsi"/>
                <w:b/>
                <w:color w:val="231F20"/>
                <w:w w:val="110"/>
                <w:sz w:val="20"/>
              </w:rPr>
              <w:t>MEASURE</w:t>
            </w:r>
          </w:p>
        </w:tc>
        <w:tc>
          <w:tcPr>
            <w:tcW w:w="1787" w:type="dxa"/>
            <w:tcBorders>
              <w:top w:val="single" w:sz="2" w:space="0" w:color="000000"/>
              <w:left w:val="single" w:sz="2" w:space="0" w:color="000000"/>
              <w:bottom w:val="single" w:sz="2" w:space="0" w:color="000000"/>
              <w:right w:val="single" w:sz="2" w:space="0" w:color="000000"/>
            </w:tcBorders>
            <w:vAlign w:val="center"/>
          </w:tcPr>
          <w:p w14:paraId="76AE4766" w14:textId="77777777" w:rsidR="00FA007C" w:rsidRPr="00E06806" w:rsidRDefault="00FA007C" w:rsidP="00D63204">
            <w:pPr>
              <w:widowControl w:val="0"/>
              <w:spacing w:before="10" w:after="0" w:line="240" w:lineRule="auto"/>
              <w:ind w:left="107"/>
              <w:rPr>
                <w:rFonts w:cstheme="minorHAnsi"/>
                <w:b/>
                <w:bCs/>
                <w:sz w:val="24"/>
                <w:szCs w:val="24"/>
              </w:rPr>
            </w:pPr>
          </w:p>
          <w:p w14:paraId="16F60520" w14:textId="77777777" w:rsidR="00FA007C" w:rsidRPr="00E06806" w:rsidRDefault="00FA007C" w:rsidP="00D63204">
            <w:pPr>
              <w:widowControl w:val="0"/>
              <w:spacing w:after="0" w:line="240" w:lineRule="auto"/>
              <w:ind w:left="107"/>
              <w:rPr>
                <w:rFonts w:cstheme="minorHAnsi"/>
                <w:sz w:val="20"/>
                <w:szCs w:val="20"/>
              </w:rPr>
            </w:pPr>
            <w:r w:rsidRPr="00E06806">
              <w:rPr>
                <w:rFonts w:cstheme="minorHAnsi"/>
                <w:b/>
                <w:color w:val="231F20"/>
                <w:spacing w:val="-6"/>
                <w:w w:val="115"/>
                <w:sz w:val="20"/>
              </w:rPr>
              <w:t>STATE</w:t>
            </w:r>
            <w:r w:rsidRPr="00E06806">
              <w:rPr>
                <w:rFonts w:cstheme="minorHAnsi"/>
                <w:b/>
                <w:color w:val="231F20"/>
                <w:spacing w:val="11"/>
                <w:w w:val="115"/>
                <w:sz w:val="20"/>
              </w:rPr>
              <w:t xml:space="preserve"> </w:t>
            </w:r>
            <w:r w:rsidRPr="00E06806">
              <w:rPr>
                <w:rFonts w:cstheme="minorHAnsi"/>
                <w:b/>
                <w:color w:val="231F20"/>
                <w:w w:val="115"/>
                <w:sz w:val="20"/>
              </w:rPr>
              <w:t>GOAL</w:t>
            </w:r>
          </w:p>
        </w:tc>
        <w:tc>
          <w:tcPr>
            <w:tcW w:w="2070" w:type="dxa"/>
            <w:tcBorders>
              <w:top w:val="single" w:sz="2" w:space="0" w:color="000000"/>
              <w:left w:val="single" w:sz="2" w:space="0" w:color="000000"/>
              <w:bottom w:val="single" w:sz="2" w:space="0" w:color="000000"/>
              <w:right w:val="single" w:sz="2" w:space="0" w:color="000000"/>
            </w:tcBorders>
            <w:vAlign w:val="center"/>
          </w:tcPr>
          <w:p w14:paraId="772F53D8" w14:textId="77777777" w:rsidR="00FA007C" w:rsidRPr="00E06806" w:rsidRDefault="00FA007C" w:rsidP="00D63204">
            <w:pPr>
              <w:widowControl w:val="0"/>
              <w:spacing w:before="11" w:after="0" w:line="240" w:lineRule="auto"/>
              <w:ind w:left="107"/>
              <w:rPr>
                <w:rFonts w:cstheme="minorHAnsi"/>
                <w:b/>
                <w:bCs/>
                <w:sz w:val="14"/>
                <w:szCs w:val="14"/>
              </w:rPr>
            </w:pPr>
          </w:p>
          <w:p w14:paraId="6DB080A6" w14:textId="77777777" w:rsidR="00FA007C" w:rsidRPr="00E06806" w:rsidRDefault="00FA007C" w:rsidP="00D63204">
            <w:pPr>
              <w:widowControl w:val="0"/>
              <w:spacing w:after="0" w:line="240" w:lineRule="exact"/>
              <w:ind w:left="107"/>
              <w:rPr>
                <w:rFonts w:cstheme="minorHAnsi"/>
                <w:sz w:val="20"/>
                <w:szCs w:val="20"/>
              </w:rPr>
            </w:pPr>
            <w:r w:rsidRPr="00E06806">
              <w:rPr>
                <w:rFonts w:cstheme="minorHAnsi"/>
                <w:b/>
                <w:color w:val="231F20"/>
                <w:w w:val="115"/>
                <w:sz w:val="20"/>
              </w:rPr>
              <w:t># OF</w:t>
            </w:r>
            <w:r w:rsidRPr="00E06806">
              <w:rPr>
                <w:rFonts w:cstheme="minorHAnsi"/>
                <w:b/>
                <w:color w:val="231F20"/>
                <w:spacing w:val="1"/>
                <w:w w:val="115"/>
                <w:sz w:val="20"/>
              </w:rPr>
              <w:t xml:space="preserve"> </w:t>
            </w:r>
            <w:r w:rsidRPr="00E06806">
              <w:rPr>
                <w:rFonts w:cstheme="minorHAnsi"/>
                <w:b/>
                <w:color w:val="231F20"/>
                <w:spacing w:val="-3"/>
                <w:w w:val="115"/>
                <w:sz w:val="20"/>
              </w:rPr>
              <w:t>LWDBs</w:t>
            </w:r>
            <w:r w:rsidRPr="00E06806">
              <w:rPr>
                <w:rFonts w:cstheme="minorHAnsi"/>
                <w:b/>
                <w:color w:val="231F20"/>
                <w:w w:val="111"/>
                <w:sz w:val="20"/>
              </w:rPr>
              <w:t xml:space="preserve"> </w:t>
            </w:r>
            <w:r w:rsidRPr="00E06806">
              <w:rPr>
                <w:rFonts w:cstheme="minorHAnsi"/>
                <w:b/>
                <w:color w:val="231F20"/>
                <w:w w:val="115"/>
                <w:sz w:val="20"/>
              </w:rPr>
              <w:t>ACHIEVING</w:t>
            </w:r>
            <w:r w:rsidRPr="00E06806">
              <w:rPr>
                <w:rFonts w:cstheme="minorHAnsi"/>
                <w:b/>
                <w:color w:val="231F20"/>
                <w:spacing w:val="-18"/>
                <w:w w:val="115"/>
                <w:sz w:val="20"/>
              </w:rPr>
              <w:t xml:space="preserve"> </w:t>
            </w:r>
            <w:r w:rsidRPr="00E06806">
              <w:rPr>
                <w:rFonts w:cstheme="minorHAnsi"/>
                <w:b/>
                <w:color w:val="231F20"/>
                <w:w w:val="115"/>
                <w:sz w:val="20"/>
              </w:rPr>
              <w:t>GOAL</w:t>
            </w:r>
          </w:p>
        </w:tc>
        <w:tc>
          <w:tcPr>
            <w:tcW w:w="2108" w:type="dxa"/>
            <w:tcBorders>
              <w:top w:val="single" w:sz="2" w:space="0" w:color="000000"/>
              <w:left w:val="single" w:sz="2" w:space="0" w:color="000000"/>
              <w:bottom w:val="single" w:sz="2" w:space="0" w:color="000000"/>
              <w:right w:val="single" w:sz="2" w:space="0" w:color="000000"/>
            </w:tcBorders>
            <w:vAlign w:val="center"/>
          </w:tcPr>
          <w:p w14:paraId="274451D3" w14:textId="77777777" w:rsidR="00FA007C" w:rsidRPr="00E06806" w:rsidRDefault="00FA007C" w:rsidP="00D63204">
            <w:pPr>
              <w:widowControl w:val="0"/>
              <w:spacing w:before="11" w:after="0" w:line="240" w:lineRule="auto"/>
              <w:ind w:left="107"/>
              <w:rPr>
                <w:rFonts w:cstheme="minorHAnsi"/>
                <w:b/>
                <w:bCs/>
                <w:sz w:val="14"/>
                <w:szCs w:val="14"/>
              </w:rPr>
            </w:pPr>
          </w:p>
          <w:p w14:paraId="0303C653" w14:textId="77777777" w:rsidR="00FA007C" w:rsidRPr="00E06806" w:rsidRDefault="00FA007C" w:rsidP="00D63204">
            <w:pPr>
              <w:widowControl w:val="0"/>
              <w:spacing w:after="0" w:line="240" w:lineRule="exact"/>
              <w:ind w:left="107"/>
              <w:rPr>
                <w:rFonts w:cstheme="minorHAnsi"/>
                <w:sz w:val="20"/>
                <w:szCs w:val="20"/>
              </w:rPr>
            </w:pPr>
            <w:r w:rsidRPr="00E06806">
              <w:rPr>
                <w:rFonts w:cstheme="minorHAnsi"/>
                <w:b/>
                <w:color w:val="231F20"/>
                <w:w w:val="115"/>
                <w:sz w:val="20"/>
              </w:rPr>
              <w:t>% OF</w:t>
            </w:r>
            <w:r w:rsidRPr="00E06806">
              <w:rPr>
                <w:rFonts w:cstheme="minorHAnsi"/>
                <w:b/>
                <w:color w:val="231F20"/>
                <w:spacing w:val="-22"/>
                <w:w w:val="115"/>
                <w:sz w:val="20"/>
              </w:rPr>
              <w:t xml:space="preserve"> </w:t>
            </w:r>
            <w:r w:rsidRPr="00E06806">
              <w:rPr>
                <w:rFonts w:cstheme="minorHAnsi"/>
                <w:b/>
                <w:color w:val="231F20"/>
                <w:spacing w:val="-3"/>
                <w:w w:val="115"/>
                <w:sz w:val="20"/>
              </w:rPr>
              <w:t>LWDBs</w:t>
            </w:r>
            <w:r w:rsidRPr="00E06806">
              <w:rPr>
                <w:rFonts w:cstheme="minorHAnsi"/>
                <w:b/>
                <w:color w:val="231F20"/>
                <w:w w:val="111"/>
                <w:sz w:val="20"/>
              </w:rPr>
              <w:t xml:space="preserve"> </w:t>
            </w:r>
            <w:r w:rsidRPr="00E06806">
              <w:rPr>
                <w:rFonts w:cstheme="minorHAnsi"/>
                <w:b/>
                <w:color w:val="231F20"/>
                <w:w w:val="115"/>
                <w:sz w:val="20"/>
              </w:rPr>
              <w:t>ACHIEVING</w:t>
            </w:r>
            <w:r w:rsidRPr="00E06806">
              <w:rPr>
                <w:rFonts w:cstheme="minorHAnsi"/>
                <w:b/>
                <w:color w:val="231F20"/>
                <w:spacing w:val="-18"/>
                <w:w w:val="115"/>
                <w:sz w:val="20"/>
              </w:rPr>
              <w:t xml:space="preserve"> </w:t>
            </w:r>
            <w:r w:rsidRPr="00E06806">
              <w:rPr>
                <w:rFonts w:cstheme="minorHAnsi"/>
                <w:b/>
                <w:color w:val="231F20"/>
                <w:w w:val="115"/>
                <w:sz w:val="20"/>
              </w:rPr>
              <w:t>GOAL</w:t>
            </w:r>
          </w:p>
        </w:tc>
      </w:tr>
      <w:tr w:rsidR="00FA007C" w:rsidRPr="00E06806" w14:paraId="36ECBF8C" w14:textId="77777777" w:rsidTr="006D1E11">
        <w:trPr>
          <w:trHeight w:hRule="exact" w:val="698"/>
        </w:trPr>
        <w:tc>
          <w:tcPr>
            <w:tcW w:w="4199" w:type="dxa"/>
            <w:tcBorders>
              <w:top w:val="single" w:sz="2" w:space="0" w:color="000000"/>
              <w:left w:val="single" w:sz="2" w:space="0" w:color="000000"/>
              <w:bottom w:val="single" w:sz="2" w:space="0" w:color="000000"/>
              <w:right w:val="single" w:sz="2" w:space="0" w:color="000000"/>
            </w:tcBorders>
            <w:shd w:val="clear" w:color="auto" w:fill="E6E7E8"/>
            <w:vAlign w:val="center"/>
          </w:tcPr>
          <w:p w14:paraId="10E7B04B" w14:textId="77777777" w:rsidR="00FA007C" w:rsidRPr="00E06806" w:rsidRDefault="00FA007C" w:rsidP="006D74A6">
            <w:pPr>
              <w:widowControl w:val="0"/>
              <w:spacing w:before="111" w:after="0" w:line="240" w:lineRule="auto"/>
              <w:ind w:left="107"/>
              <w:rPr>
                <w:rFonts w:cstheme="minorHAnsi"/>
                <w:sz w:val="20"/>
                <w:szCs w:val="20"/>
              </w:rPr>
            </w:pPr>
            <w:r w:rsidRPr="00E06806">
              <w:rPr>
                <w:rFonts w:cstheme="minorHAnsi"/>
                <w:color w:val="231F20"/>
                <w:w w:val="105"/>
                <w:sz w:val="20"/>
              </w:rPr>
              <w:t>Adult Employed 2</w:t>
            </w:r>
            <w:r w:rsidRPr="00E06806">
              <w:rPr>
                <w:rFonts w:cstheme="minorHAnsi"/>
                <w:color w:val="231F20"/>
                <w:w w:val="105"/>
                <w:sz w:val="20"/>
                <w:vertAlign w:val="superscript"/>
              </w:rPr>
              <w:t>nd</w:t>
            </w:r>
            <w:r w:rsidRPr="00E06806">
              <w:rPr>
                <w:rFonts w:cstheme="minorHAnsi"/>
                <w:color w:val="231F20"/>
                <w:w w:val="105"/>
                <w:sz w:val="20"/>
              </w:rPr>
              <w:t xml:space="preserve"> Qtr. After Exit</w:t>
            </w:r>
          </w:p>
        </w:tc>
        <w:tc>
          <w:tcPr>
            <w:tcW w:w="1787" w:type="dxa"/>
            <w:tcBorders>
              <w:top w:val="single" w:sz="2" w:space="0" w:color="000000"/>
              <w:left w:val="single" w:sz="2" w:space="0" w:color="000000"/>
              <w:bottom w:val="single" w:sz="2" w:space="0" w:color="000000"/>
              <w:right w:val="single" w:sz="2" w:space="0" w:color="000000"/>
            </w:tcBorders>
            <w:shd w:val="clear" w:color="auto" w:fill="E6E7E8"/>
            <w:vAlign w:val="center"/>
          </w:tcPr>
          <w:p w14:paraId="2362E9B7" w14:textId="709E9BC4" w:rsidR="00FA007C" w:rsidRPr="00E06806" w:rsidRDefault="00FA007C" w:rsidP="00D63204">
            <w:pPr>
              <w:widowControl w:val="0"/>
              <w:spacing w:before="111" w:after="0" w:line="240" w:lineRule="auto"/>
              <w:ind w:left="107"/>
              <w:rPr>
                <w:rFonts w:cstheme="minorHAnsi"/>
                <w:sz w:val="20"/>
                <w:szCs w:val="20"/>
              </w:rPr>
            </w:pPr>
            <w:r w:rsidRPr="00E06806">
              <w:rPr>
                <w:rFonts w:cstheme="minorHAnsi"/>
                <w:sz w:val="20"/>
                <w:szCs w:val="20"/>
              </w:rPr>
              <w:t>86.00%</w:t>
            </w:r>
          </w:p>
        </w:tc>
        <w:tc>
          <w:tcPr>
            <w:tcW w:w="2070" w:type="dxa"/>
            <w:tcBorders>
              <w:top w:val="single" w:sz="2" w:space="0" w:color="000000"/>
              <w:left w:val="single" w:sz="2" w:space="0" w:color="000000"/>
              <w:bottom w:val="single" w:sz="2" w:space="0" w:color="000000"/>
              <w:right w:val="single" w:sz="2" w:space="0" w:color="000000"/>
            </w:tcBorders>
            <w:shd w:val="clear" w:color="auto" w:fill="E6E7E8"/>
            <w:vAlign w:val="center"/>
          </w:tcPr>
          <w:p w14:paraId="24ACDB5D" w14:textId="19B5FDDB" w:rsidR="00FA007C" w:rsidRPr="00E06806" w:rsidRDefault="00FA007C" w:rsidP="00D63204">
            <w:pPr>
              <w:widowControl w:val="0"/>
              <w:spacing w:before="111" w:after="0" w:line="240" w:lineRule="auto"/>
              <w:ind w:left="107"/>
              <w:rPr>
                <w:rFonts w:cstheme="minorHAnsi"/>
                <w:sz w:val="20"/>
                <w:szCs w:val="20"/>
              </w:rPr>
            </w:pPr>
            <w:r w:rsidRPr="00E06806">
              <w:rPr>
                <w:rFonts w:cstheme="minorHAnsi"/>
                <w:color w:val="231F20"/>
                <w:w w:val="110"/>
                <w:sz w:val="20"/>
              </w:rPr>
              <w:t>20 of 24</w:t>
            </w:r>
          </w:p>
        </w:tc>
        <w:tc>
          <w:tcPr>
            <w:tcW w:w="2108" w:type="dxa"/>
            <w:tcBorders>
              <w:top w:val="single" w:sz="2" w:space="0" w:color="000000"/>
              <w:left w:val="single" w:sz="2" w:space="0" w:color="000000"/>
              <w:bottom w:val="single" w:sz="2" w:space="0" w:color="000000"/>
              <w:right w:val="single" w:sz="2" w:space="0" w:color="000000"/>
            </w:tcBorders>
            <w:shd w:val="clear" w:color="auto" w:fill="E6E7E8"/>
            <w:vAlign w:val="center"/>
          </w:tcPr>
          <w:p w14:paraId="16683603" w14:textId="4C9AA838" w:rsidR="00FA007C" w:rsidRPr="00E06806" w:rsidRDefault="00FA007C" w:rsidP="00D63204">
            <w:pPr>
              <w:widowControl w:val="0"/>
              <w:spacing w:before="111" w:after="0" w:line="240" w:lineRule="auto"/>
              <w:ind w:left="107"/>
              <w:rPr>
                <w:rFonts w:cstheme="minorHAnsi"/>
                <w:sz w:val="20"/>
                <w:szCs w:val="20"/>
              </w:rPr>
            </w:pPr>
            <w:r w:rsidRPr="00E06806">
              <w:rPr>
                <w:rFonts w:cstheme="minorHAnsi"/>
                <w:color w:val="231F20"/>
                <w:spacing w:val="-4"/>
                <w:w w:val="95"/>
                <w:sz w:val="20"/>
              </w:rPr>
              <w:t>83.33%</w:t>
            </w:r>
          </w:p>
        </w:tc>
      </w:tr>
      <w:tr w:rsidR="00FA007C" w:rsidRPr="00E06806" w14:paraId="5D8EC021" w14:textId="77777777" w:rsidTr="006D1E11">
        <w:trPr>
          <w:trHeight w:hRule="exact" w:val="725"/>
        </w:trPr>
        <w:tc>
          <w:tcPr>
            <w:tcW w:w="4199" w:type="dxa"/>
            <w:tcBorders>
              <w:top w:val="single" w:sz="2" w:space="0" w:color="000000"/>
              <w:left w:val="single" w:sz="2" w:space="0" w:color="000000"/>
              <w:bottom w:val="single" w:sz="2" w:space="0" w:color="000000"/>
              <w:right w:val="single" w:sz="2" w:space="0" w:color="000000"/>
            </w:tcBorders>
            <w:vAlign w:val="center"/>
          </w:tcPr>
          <w:p w14:paraId="337D2903" w14:textId="77777777" w:rsidR="00FA007C" w:rsidRPr="00E06806" w:rsidRDefault="00FA007C" w:rsidP="006D74A6">
            <w:pPr>
              <w:widowControl w:val="0"/>
              <w:spacing w:before="111" w:after="0" w:line="240" w:lineRule="auto"/>
              <w:ind w:left="107"/>
              <w:rPr>
                <w:rFonts w:cstheme="minorHAnsi"/>
                <w:sz w:val="20"/>
                <w:szCs w:val="20"/>
              </w:rPr>
            </w:pPr>
            <w:r w:rsidRPr="00E06806">
              <w:rPr>
                <w:rFonts w:cstheme="minorHAnsi"/>
                <w:color w:val="231F20"/>
                <w:w w:val="105"/>
                <w:sz w:val="20"/>
              </w:rPr>
              <w:t>Adult Employed 4</w:t>
            </w:r>
            <w:r w:rsidRPr="00E06806">
              <w:rPr>
                <w:rFonts w:cstheme="minorHAnsi"/>
                <w:color w:val="231F20"/>
                <w:w w:val="105"/>
                <w:sz w:val="20"/>
                <w:vertAlign w:val="superscript"/>
              </w:rPr>
              <w:t>th</w:t>
            </w:r>
            <w:r w:rsidRPr="00E06806">
              <w:rPr>
                <w:rFonts w:cstheme="minorHAnsi"/>
                <w:color w:val="231F20"/>
                <w:w w:val="105"/>
                <w:sz w:val="20"/>
              </w:rPr>
              <w:t xml:space="preserve"> Qtr. After Exit</w:t>
            </w:r>
          </w:p>
        </w:tc>
        <w:tc>
          <w:tcPr>
            <w:tcW w:w="1787" w:type="dxa"/>
            <w:tcBorders>
              <w:top w:val="single" w:sz="2" w:space="0" w:color="000000"/>
              <w:left w:val="single" w:sz="2" w:space="0" w:color="000000"/>
              <w:bottom w:val="single" w:sz="2" w:space="0" w:color="000000"/>
              <w:right w:val="single" w:sz="2" w:space="0" w:color="000000"/>
            </w:tcBorders>
            <w:vAlign w:val="center"/>
          </w:tcPr>
          <w:p w14:paraId="639B390C" w14:textId="0FCAA664" w:rsidR="00FA007C" w:rsidRPr="00E06806" w:rsidRDefault="00FA007C" w:rsidP="00D63204">
            <w:pPr>
              <w:widowControl w:val="0"/>
              <w:spacing w:before="111" w:after="0" w:line="240" w:lineRule="auto"/>
              <w:ind w:left="107"/>
              <w:rPr>
                <w:rFonts w:cstheme="minorHAnsi"/>
                <w:sz w:val="20"/>
                <w:szCs w:val="20"/>
              </w:rPr>
            </w:pPr>
            <w:r w:rsidRPr="00E06806">
              <w:rPr>
                <w:rFonts w:cstheme="minorHAnsi"/>
                <w:sz w:val="20"/>
                <w:szCs w:val="20"/>
              </w:rPr>
              <w:t>82.00%</w:t>
            </w:r>
          </w:p>
          <w:p w14:paraId="54E85CD9" w14:textId="77777777" w:rsidR="00FA007C" w:rsidRPr="00E06806" w:rsidRDefault="00FA007C" w:rsidP="00D63204">
            <w:pPr>
              <w:widowControl w:val="0"/>
              <w:spacing w:before="111" w:after="0" w:line="240" w:lineRule="auto"/>
              <w:ind w:left="107"/>
              <w:rPr>
                <w:rFonts w:cstheme="minorHAnsi"/>
                <w:sz w:val="20"/>
                <w:szCs w:val="20"/>
              </w:rPr>
            </w:pPr>
            <w:r w:rsidRPr="00E06806">
              <w:rPr>
                <w:rFonts w:cstheme="minorHAnsi"/>
                <w:sz w:val="20"/>
                <w:szCs w:val="20"/>
              </w:rPr>
              <w:t>$7</w:t>
            </w:r>
          </w:p>
        </w:tc>
        <w:tc>
          <w:tcPr>
            <w:tcW w:w="2070" w:type="dxa"/>
            <w:tcBorders>
              <w:top w:val="single" w:sz="2" w:space="0" w:color="000000"/>
              <w:left w:val="single" w:sz="2" w:space="0" w:color="000000"/>
              <w:bottom w:val="single" w:sz="2" w:space="0" w:color="000000"/>
              <w:right w:val="single" w:sz="2" w:space="0" w:color="000000"/>
            </w:tcBorders>
            <w:vAlign w:val="center"/>
          </w:tcPr>
          <w:p w14:paraId="713EC25A" w14:textId="24D4B442" w:rsidR="00FA007C" w:rsidRPr="00E06806" w:rsidRDefault="00FA007C" w:rsidP="00D63204">
            <w:pPr>
              <w:widowControl w:val="0"/>
              <w:spacing w:before="111" w:after="0" w:line="240" w:lineRule="auto"/>
              <w:ind w:left="107"/>
              <w:rPr>
                <w:rFonts w:cstheme="minorHAnsi"/>
                <w:sz w:val="20"/>
                <w:szCs w:val="20"/>
              </w:rPr>
            </w:pPr>
            <w:r w:rsidRPr="00E06806">
              <w:rPr>
                <w:rFonts w:cstheme="minorHAnsi"/>
                <w:color w:val="231F20"/>
                <w:w w:val="110"/>
                <w:sz w:val="20"/>
              </w:rPr>
              <w:t>20 of 24</w:t>
            </w:r>
          </w:p>
        </w:tc>
        <w:tc>
          <w:tcPr>
            <w:tcW w:w="2108" w:type="dxa"/>
            <w:tcBorders>
              <w:top w:val="single" w:sz="2" w:space="0" w:color="000000"/>
              <w:left w:val="single" w:sz="2" w:space="0" w:color="000000"/>
              <w:bottom w:val="single" w:sz="2" w:space="0" w:color="000000"/>
              <w:right w:val="single" w:sz="2" w:space="0" w:color="000000"/>
            </w:tcBorders>
            <w:vAlign w:val="center"/>
          </w:tcPr>
          <w:p w14:paraId="0FB2E884" w14:textId="5F1AEFE3" w:rsidR="00FA007C" w:rsidRPr="00E06806" w:rsidRDefault="00FA007C" w:rsidP="00D63204">
            <w:pPr>
              <w:widowControl w:val="0"/>
              <w:spacing w:before="111" w:after="0" w:line="240" w:lineRule="auto"/>
              <w:ind w:left="107"/>
              <w:rPr>
                <w:rFonts w:cstheme="minorHAnsi"/>
                <w:sz w:val="20"/>
                <w:szCs w:val="20"/>
              </w:rPr>
            </w:pPr>
            <w:r w:rsidRPr="00E06806">
              <w:rPr>
                <w:rFonts w:cstheme="minorHAnsi"/>
                <w:color w:val="231F20"/>
                <w:spacing w:val="-4"/>
                <w:w w:val="95"/>
                <w:sz w:val="20"/>
              </w:rPr>
              <w:t>83.33%</w:t>
            </w:r>
          </w:p>
        </w:tc>
      </w:tr>
      <w:tr w:rsidR="00FA007C" w:rsidRPr="00E06806" w14:paraId="03436ED1" w14:textId="77777777" w:rsidTr="006D1E11">
        <w:trPr>
          <w:trHeight w:hRule="exact" w:val="635"/>
        </w:trPr>
        <w:tc>
          <w:tcPr>
            <w:tcW w:w="4199" w:type="dxa"/>
            <w:tcBorders>
              <w:top w:val="single" w:sz="2" w:space="0" w:color="000000"/>
              <w:left w:val="single" w:sz="2" w:space="0" w:color="000000"/>
              <w:bottom w:val="single" w:sz="2" w:space="0" w:color="000000"/>
              <w:right w:val="single" w:sz="2" w:space="0" w:color="000000"/>
            </w:tcBorders>
            <w:shd w:val="clear" w:color="auto" w:fill="E6E7E8"/>
            <w:vAlign w:val="center"/>
          </w:tcPr>
          <w:p w14:paraId="486DAA53" w14:textId="77777777" w:rsidR="00FA007C" w:rsidRPr="00E06806" w:rsidRDefault="00FA007C" w:rsidP="006D74A6">
            <w:pPr>
              <w:widowControl w:val="0"/>
              <w:spacing w:before="111" w:after="0" w:line="240" w:lineRule="auto"/>
              <w:ind w:left="107"/>
              <w:rPr>
                <w:rFonts w:cstheme="minorHAnsi"/>
                <w:sz w:val="20"/>
                <w:szCs w:val="20"/>
              </w:rPr>
            </w:pPr>
            <w:r w:rsidRPr="00E06806">
              <w:rPr>
                <w:rFonts w:cstheme="minorHAnsi"/>
                <w:color w:val="231F20"/>
                <w:w w:val="110"/>
                <w:sz w:val="20"/>
              </w:rPr>
              <w:t>Adult Median Wage 2</w:t>
            </w:r>
            <w:r w:rsidRPr="00E06806">
              <w:rPr>
                <w:rFonts w:cstheme="minorHAnsi"/>
                <w:color w:val="231F20"/>
                <w:w w:val="110"/>
                <w:sz w:val="20"/>
                <w:vertAlign w:val="superscript"/>
              </w:rPr>
              <w:t>nd</w:t>
            </w:r>
            <w:r w:rsidRPr="00E06806">
              <w:rPr>
                <w:rFonts w:cstheme="minorHAnsi"/>
                <w:color w:val="231F20"/>
                <w:w w:val="110"/>
                <w:sz w:val="20"/>
              </w:rPr>
              <w:t xml:space="preserve"> Qtr. After Exit</w:t>
            </w:r>
          </w:p>
        </w:tc>
        <w:tc>
          <w:tcPr>
            <w:tcW w:w="1787" w:type="dxa"/>
            <w:tcBorders>
              <w:top w:val="single" w:sz="2" w:space="0" w:color="000000"/>
              <w:left w:val="single" w:sz="2" w:space="0" w:color="000000"/>
              <w:bottom w:val="single" w:sz="2" w:space="0" w:color="000000"/>
              <w:right w:val="single" w:sz="2" w:space="0" w:color="000000"/>
            </w:tcBorders>
            <w:shd w:val="clear" w:color="auto" w:fill="E6E7E8"/>
            <w:vAlign w:val="center"/>
          </w:tcPr>
          <w:p w14:paraId="439E1944" w14:textId="1EDC9ECD" w:rsidR="00FA007C" w:rsidRPr="00E06806" w:rsidRDefault="00FA007C" w:rsidP="00D63204">
            <w:pPr>
              <w:widowControl w:val="0"/>
              <w:spacing w:before="111" w:after="0" w:line="240" w:lineRule="auto"/>
              <w:ind w:left="107"/>
              <w:rPr>
                <w:rFonts w:cstheme="minorHAnsi"/>
                <w:sz w:val="20"/>
                <w:szCs w:val="20"/>
              </w:rPr>
            </w:pPr>
            <w:r w:rsidRPr="00E06806">
              <w:rPr>
                <w:rFonts w:cstheme="minorHAnsi"/>
                <w:sz w:val="20"/>
                <w:szCs w:val="20"/>
              </w:rPr>
              <w:t>$7,550.00</w:t>
            </w:r>
          </w:p>
        </w:tc>
        <w:tc>
          <w:tcPr>
            <w:tcW w:w="2070" w:type="dxa"/>
            <w:tcBorders>
              <w:top w:val="single" w:sz="2" w:space="0" w:color="000000"/>
              <w:left w:val="single" w:sz="2" w:space="0" w:color="000000"/>
              <w:bottom w:val="single" w:sz="2" w:space="0" w:color="000000"/>
              <w:right w:val="single" w:sz="2" w:space="0" w:color="000000"/>
            </w:tcBorders>
            <w:shd w:val="clear" w:color="auto" w:fill="E6E7E8"/>
            <w:vAlign w:val="center"/>
          </w:tcPr>
          <w:p w14:paraId="233C29F6" w14:textId="2FE256DE" w:rsidR="00FA007C" w:rsidRPr="00E06806" w:rsidRDefault="00FA007C" w:rsidP="00D63204">
            <w:pPr>
              <w:widowControl w:val="0"/>
              <w:spacing w:before="111" w:after="0" w:line="240" w:lineRule="auto"/>
              <w:ind w:left="107"/>
              <w:rPr>
                <w:rFonts w:cstheme="minorHAnsi"/>
                <w:sz w:val="20"/>
                <w:szCs w:val="20"/>
              </w:rPr>
            </w:pPr>
            <w:r w:rsidRPr="00E06806">
              <w:rPr>
                <w:rFonts w:cstheme="minorHAnsi"/>
                <w:color w:val="231F20"/>
                <w:w w:val="110"/>
                <w:sz w:val="20"/>
              </w:rPr>
              <w:t>20 of</w:t>
            </w:r>
            <w:r w:rsidRPr="00E06806">
              <w:rPr>
                <w:rFonts w:cstheme="minorHAnsi"/>
                <w:color w:val="231F20"/>
                <w:spacing w:val="9"/>
                <w:w w:val="110"/>
                <w:sz w:val="20"/>
              </w:rPr>
              <w:t xml:space="preserve"> </w:t>
            </w:r>
            <w:r w:rsidRPr="00E06806">
              <w:rPr>
                <w:rFonts w:cstheme="minorHAnsi"/>
                <w:color w:val="231F20"/>
                <w:w w:val="110"/>
                <w:sz w:val="20"/>
              </w:rPr>
              <w:t>24</w:t>
            </w:r>
          </w:p>
        </w:tc>
        <w:tc>
          <w:tcPr>
            <w:tcW w:w="2108" w:type="dxa"/>
            <w:tcBorders>
              <w:top w:val="single" w:sz="2" w:space="0" w:color="000000"/>
              <w:left w:val="single" w:sz="2" w:space="0" w:color="000000"/>
              <w:bottom w:val="single" w:sz="2" w:space="0" w:color="000000"/>
              <w:right w:val="single" w:sz="2" w:space="0" w:color="000000"/>
            </w:tcBorders>
            <w:shd w:val="clear" w:color="auto" w:fill="E6E7E8"/>
            <w:vAlign w:val="center"/>
          </w:tcPr>
          <w:p w14:paraId="56227731" w14:textId="0654E9F1" w:rsidR="00FA007C" w:rsidRPr="00E06806" w:rsidRDefault="00FA007C" w:rsidP="00D63204">
            <w:pPr>
              <w:widowControl w:val="0"/>
              <w:spacing w:before="111" w:after="0" w:line="240" w:lineRule="auto"/>
              <w:ind w:left="107"/>
              <w:rPr>
                <w:rFonts w:cstheme="minorHAnsi"/>
                <w:sz w:val="20"/>
                <w:szCs w:val="20"/>
              </w:rPr>
            </w:pPr>
            <w:r w:rsidRPr="00E06806">
              <w:rPr>
                <w:rFonts w:cstheme="minorHAnsi"/>
                <w:color w:val="231F20"/>
                <w:spacing w:val="-4"/>
                <w:w w:val="95"/>
                <w:sz w:val="20"/>
              </w:rPr>
              <w:t>83.33%</w:t>
            </w:r>
          </w:p>
        </w:tc>
      </w:tr>
      <w:tr w:rsidR="00FA007C" w:rsidRPr="00E06806" w14:paraId="4CBFD724" w14:textId="77777777" w:rsidTr="006D1E11">
        <w:trPr>
          <w:trHeight w:hRule="exact" w:val="617"/>
        </w:trPr>
        <w:tc>
          <w:tcPr>
            <w:tcW w:w="4199" w:type="dxa"/>
            <w:tcBorders>
              <w:top w:val="single" w:sz="2" w:space="0" w:color="000000"/>
              <w:left w:val="single" w:sz="2" w:space="0" w:color="000000"/>
              <w:bottom w:val="single" w:sz="2" w:space="0" w:color="000000"/>
              <w:right w:val="single" w:sz="2" w:space="0" w:color="000000"/>
            </w:tcBorders>
            <w:vAlign w:val="center"/>
          </w:tcPr>
          <w:p w14:paraId="4CFEFD80" w14:textId="77777777" w:rsidR="00FA007C" w:rsidRPr="00E06806" w:rsidRDefault="00FA007C" w:rsidP="006D74A6">
            <w:pPr>
              <w:widowControl w:val="0"/>
              <w:spacing w:before="111" w:after="0" w:line="240" w:lineRule="auto"/>
              <w:ind w:left="107"/>
              <w:rPr>
                <w:rFonts w:cstheme="minorHAnsi"/>
                <w:sz w:val="20"/>
                <w:szCs w:val="20"/>
              </w:rPr>
            </w:pPr>
            <w:r w:rsidRPr="00E06806">
              <w:rPr>
                <w:rFonts w:cstheme="minorHAnsi"/>
                <w:color w:val="231F20"/>
                <w:w w:val="105"/>
                <w:sz w:val="20"/>
              </w:rPr>
              <w:t>Dislocated Worker Employed 2</w:t>
            </w:r>
            <w:r w:rsidRPr="00E06806">
              <w:rPr>
                <w:rFonts w:cstheme="minorHAnsi"/>
                <w:color w:val="231F20"/>
                <w:w w:val="105"/>
                <w:sz w:val="20"/>
                <w:vertAlign w:val="superscript"/>
              </w:rPr>
              <w:t>nd</w:t>
            </w:r>
            <w:r w:rsidRPr="00E06806">
              <w:rPr>
                <w:rFonts w:cstheme="minorHAnsi"/>
                <w:color w:val="231F20"/>
                <w:w w:val="105"/>
                <w:sz w:val="20"/>
              </w:rPr>
              <w:t xml:space="preserve"> Qtr. After Exit</w:t>
            </w:r>
          </w:p>
        </w:tc>
        <w:tc>
          <w:tcPr>
            <w:tcW w:w="1787" w:type="dxa"/>
            <w:tcBorders>
              <w:top w:val="single" w:sz="2" w:space="0" w:color="000000"/>
              <w:left w:val="single" w:sz="2" w:space="0" w:color="000000"/>
              <w:bottom w:val="single" w:sz="2" w:space="0" w:color="000000"/>
              <w:right w:val="single" w:sz="2" w:space="0" w:color="000000"/>
            </w:tcBorders>
            <w:vAlign w:val="center"/>
          </w:tcPr>
          <w:p w14:paraId="2E2FA7B0" w14:textId="5D6C658F" w:rsidR="00FA007C" w:rsidRPr="00E06806" w:rsidRDefault="00FA007C" w:rsidP="00D63204">
            <w:pPr>
              <w:widowControl w:val="0"/>
              <w:spacing w:before="111" w:after="0" w:line="240" w:lineRule="auto"/>
              <w:ind w:left="107"/>
              <w:rPr>
                <w:rFonts w:cstheme="minorHAnsi"/>
                <w:sz w:val="20"/>
                <w:szCs w:val="20"/>
              </w:rPr>
            </w:pPr>
            <w:r w:rsidRPr="00E06806">
              <w:rPr>
                <w:rFonts w:cstheme="minorHAnsi"/>
                <w:sz w:val="20"/>
                <w:szCs w:val="20"/>
              </w:rPr>
              <w:t>88.00%</w:t>
            </w:r>
          </w:p>
        </w:tc>
        <w:tc>
          <w:tcPr>
            <w:tcW w:w="2070" w:type="dxa"/>
            <w:tcBorders>
              <w:top w:val="single" w:sz="2" w:space="0" w:color="000000"/>
              <w:left w:val="single" w:sz="2" w:space="0" w:color="000000"/>
              <w:bottom w:val="single" w:sz="2" w:space="0" w:color="000000"/>
              <w:right w:val="single" w:sz="2" w:space="0" w:color="000000"/>
            </w:tcBorders>
            <w:vAlign w:val="center"/>
          </w:tcPr>
          <w:p w14:paraId="7540DA95" w14:textId="22C5716E" w:rsidR="00FA007C" w:rsidRPr="00E06806" w:rsidRDefault="00FA007C" w:rsidP="00D63204">
            <w:pPr>
              <w:widowControl w:val="0"/>
              <w:spacing w:before="111" w:after="0" w:line="240" w:lineRule="auto"/>
              <w:ind w:left="107"/>
              <w:rPr>
                <w:rFonts w:cstheme="minorHAnsi"/>
                <w:sz w:val="20"/>
                <w:szCs w:val="20"/>
              </w:rPr>
            </w:pPr>
            <w:r w:rsidRPr="00E06806">
              <w:rPr>
                <w:rFonts w:cstheme="minorHAnsi"/>
                <w:sz w:val="20"/>
                <w:szCs w:val="20"/>
              </w:rPr>
              <w:t>19 of 24</w:t>
            </w:r>
          </w:p>
        </w:tc>
        <w:tc>
          <w:tcPr>
            <w:tcW w:w="2108" w:type="dxa"/>
            <w:tcBorders>
              <w:top w:val="single" w:sz="2" w:space="0" w:color="000000"/>
              <w:left w:val="single" w:sz="2" w:space="0" w:color="000000"/>
              <w:bottom w:val="single" w:sz="2" w:space="0" w:color="000000"/>
              <w:right w:val="single" w:sz="2" w:space="0" w:color="000000"/>
            </w:tcBorders>
            <w:vAlign w:val="center"/>
          </w:tcPr>
          <w:p w14:paraId="540E898D" w14:textId="5F0AFC95" w:rsidR="00FA007C" w:rsidRPr="00E06806" w:rsidRDefault="00FA007C" w:rsidP="00D63204">
            <w:pPr>
              <w:widowControl w:val="0"/>
              <w:spacing w:before="111" w:after="0" w:line="240" w:lineRule="auto"/>
              <w:ind w:left="107"/>
              <w:rPr>
                <w:rFonts w:cstheme="minorHAnsi"/>
                <w:sz w:val="20"/>
                <w:szCs w:val="20"/>
              </w:rPr>
            </w:pPr>
            <w:r w:rsidRPr="00E06806">
              <w:rPr>
                <w:rFonts w:cstheme="minorHAnsi"/>
                <w:color w:val="231F20"/>
                <w:spacing w:val="-4"/>
                <w:w w:val="95"/>
                <w:sz w:val="20"/>
              </w:rPr>
              <w:t>79.17%</w:t>
            </w:r>
          </w:p>
        </w:tc>
      </w:tr>
      <w:tr w:rsidR="00FA007C" w:rsidRPr="00E06806" w14:paraId="601E4CC3" w14:textId="77777777" w:rsidTr="006D1E11">
        <w:trPr>
          <w:trHeight w:hRule="exact" w:val="558"/>
        </w:trPr>
        <w:tc>
          <w:tcPr>
            <w:tcW w:w="4199" w:type="dxa"/>
            <w:tcBorders>
              <w:top w:val="single" w:sz="2" w:space="0" w:color="000000"/>
              <w:left w:val="single" w:sz="2" w:space="0" w:color="000000"/>
              <w:bottom w:val="single" w:sz="2" w:space="0" w:color="000000"/>
              <w:right w:val="single" w:sz="2" w:space="0" w:color="000000"/>
            </w:tcBorders>
            <w:shd w:val="clear" w:color="auto" w:fill="E6E7E8"/>
            <w:vAlign w:val="center"/>
          </w:tcPr>
          <w:p w14:paraId="76AD4FA6" w14:textId="77777777" w:rsidR="00FA007C" w:rsidRPr="00E06806" w:rsidRDefault="00FA007C" w:rsidP="006D74A6">
            <w:pPr>
              <w:widowControl w:val="0"/>
              <w:spacing w:before="43" w:after="0" w:line="240" w:lineRule="exact"/>
              <w:ind w:left="107"/>
              <w:rPr>
                <w:rFonts w:cstheme="minorHAnsi"/>
                <w:sz w:val="20"/>
                <w:szCs w:val="20"/>
              </w:rPr>
            </w:pPr>
            <w:r w:rsidRPr="00E06806">
              <w:rPr>
                <w:rFonts w:cstheme="minorHAnsi"/>
                <w:color w:val="231F20"/>
                <w:w w:val="105"/>
                <w:sz w:val="20"/>
              </w:rPr>
              <w:t>Dislocated Worker</w:t>
            </w:r>
            <w:r w:rsidRPr="00E06806">
              <w:rPr>
                <w:rFonts w:cstheme="minorHAnsi"/>
                <w:color w:val="231F20"/>
                <w:spacing w:val="29"/>
                <w:w w:val="105"/>
                <w:sz w:val="20"/>
              </w:rPr>
              <w:t xml:space="preserve"> </w:t>
            </w:r>
            <w:r w:rsidRPr="00E06806">
              <w:rPr>
                <w:rFonts w:cstheme="minorHAnsi"/>
                <w:color w:val="231F20"/>
                <w:w w:val="105"/>
                <w:sz w:val="20"/>
              </w:rPr>
              <w:t>Employed 2</w:t>
            </w:r>
            <w:r w:rsidRPr="00E06806">
              <w:rPr>
                <w:rFonts w:cstheme="minorHAnsi"/>
                <w:color w:val="231F20"/>
                <w:w w:val="105"/>
                <w:sz w:val="20"/>
                <w:vertAlign w:val="superscript"/>
              </w:rPr>
              <w:t>nd</w:t>
            </w:r>
            <w:r w:rsidRPr="00E06806">
              <w:rPr>
                <w:rFonts w:cstheme="minorHAnsi"/>
                <w:color w:val="231F20"/>
                <w:w w:val="105"/>
                <w:sz w:val="20"/>
              </w:rPr>
              <w:t xml:space="preserve"> Qtr. After Exit</w:t>
            </w:r>
          </w:p>
        </w:tc>
        <w:tc>
          <w:tcPr>
            <w:tcW w:w="1787" w:type="dxa"/>
            <w:tcBorders>
              <w:top w:val="single" w:sz="2" w:space="0" w:color="000000"/>
              <w:left w:val="single" w:sz="2" w:space="0" w:color="000000"/>
              <w:bottom w:val="single" w:sz="2" w:space="0" w:color="000000"/>
              <w:right w:val="single" w:sz="2" w:space="0" w:color="000000"/>
            </w:tcBorders>
            <w:shd w:val="clear" w:color="auto" w:fill="E6E7E8"/>
            <w:vAlign w:val="center"/>
          </w:tcPr>
          <w:p w14:paraId="71D58FC2" w14:textId="77777777" w:rsidR="00FA007C" w:rsidRPr="00E06806" w:rsidRDefault="00FA007C" w:rsidP="00D63204">
            <w:pPr>
              <w:widowControl w:val="0"/>
              <w:spacing w:before="111" w:after="0" w:line="240" w:lineRule="auto"/>
              <w:ind w:left="107"/>
              <w:rPr>
                <w:rFonts w:cstheme="minorHAnsi"/>
                <w:sz w:val="20"/>
                <w:szCs w:val="20"/>
              </w:rPr>
            </w:pPr>
            <w:r w:rsidRPr="00E06806">
              <w:rPr>
                <w:rFonts w:cstheme="minorHAnsi"/>
                <w:sz w:val="20"/>
                <w:szCs w:val="20"/>
              </w:rPr>
              <w:t>76.00%</w:t>
            </w:r>
          </w:p>
        </w:tc>
        <w:tc>
          <w:tcPr>
            <w:tcW w:w="2070" w:type="dxa"/>
            <w:tcBorders>
              <w:top w:val="single" w:sz="2" w:space="0" w:color="000000"/>
              <w:left w:val="single" w:sz="2" w:space="0" w:color="000000"/>
              <w:bottom w:val="single" w:sz="2" w:space="0" w:color="000000"/>
              <w:right w:val="single" w:sz="2" w:space="0" w:color="000000"/>
            </w:tcBorders>
            <w:shd w:val="clear" w:color="auto" w:fill="E6E7E8"/>
            <w:vAlign w:val="center"/>
          </w:tcPr>
          <w:p w14:paraId="28F8FA71" w14:textId="77777777" w:rsidR="00FA007C" w:rsidRPr="00E06806" w:rsidRDefault="00FA007C" w:rsidP="00D63204">
            <w:pPr>
              <w:widowControl w:val="0"/>
              <w:spacing w:before="111" w:after="0" w:line="240" w:lineRule="auto"/>
              <w:ind w:left="107"/>
              <w:rPr>
                <w:rFonts w:cstheme="minorHAnsi"/>
                <w:sz w:val="20"/>
                <w:szCs w:val="20"/>
              </w:rPr>
            </w:pPr>
            <w:r w:rsidRPr="0033749E">
              <w:rPr>
                <w:rFonts w:cstheme="minorHAnsi"/>
                <w:sz w:val="20"/>
                <w:szCs w:val="20"/>
              </w:rPr>
              <w:t>19 of 24</w:t>
            </w:r>
          </w:p>
        </w:tc>
        <w:tc>
          <w:tcPr>
            <w:tcW w:w="2108" w:type="dxa"/>
            <w:tcBorders>
              <w:top w:val="single" w:sz="2" w:space="0" w:color="000000"/>
              <w:left w:val="single" w:sz="2" w:space="0" w:color="000000"/>
              <w:bottom w:val="single" w:sz="2" w:space="0" w:color="000000"/>
              <w:right w:val="single" w:sz="2" w:space="0" w:color="000000"/>
            </w:tcBorders>
            <w:shd w:val="clear" w:color="auto" w:fill="E6E7E8"/>
            <w:vAlign w:val="center"/>
          </w:tcPr>
          <w:p w14:paraId="72AC895B" w14:textId="77777777" w:rsidR="00FA007C" w:rsidRPr="00E06806" w:rsidRDefault="00FA007C" w:rsidP="00D63204">
            <w:pPr>
              <w:widowControl w:val="0"/>
              <w:spacing w:before="111" w:after="0" w:line="240" w:lineRule="auto"/>
              <w:ind w:left="107"/>
              <w:rPr>
                <w:rFonts w:cstheme="minorHAnsi"/>
                <w:sz w:val="20"/>
                <w:szCs w:val="20"/>
              </w:rPr>
            </w:pPr>
            <w:r w:rsidRPr="0033749E">
              <w:rPr>
                <w:rFonts w:cstheme="minorHAnsi"/>
                <w:sz w:val="20"/>
                <w:szCs w:val="20"/>
              </w:rPr>
              <w:t>79.17%</w:t>
            </w:r>
          </w:p>
        </w:tc>
      </w:tr>
      <w:tr w:rsidR="00FA007C" w:rsidRPr="00E06806" w14:paraId="4403C45E" w14:textId="77777777" w:rsidTr="006D1E11">
        <w:trPr>
          <w:trHeight w:hRule="exact" w:val="707"/>
        </w:trPr>
        <w:tc>
          <w:tcPr>
            <w:tcW w:w="4199" w:type="dxa"/>
            <w:tcBorders>
              <w:top w:val="single" w:sz="2" w:space="0" w:color="000000"/>
              <w:left w:val="single" w:sz="2" w:space="0" w:color="000000"/>
              <w:bottom w:val="single" w:sz="2" w:space="0" w:color="000000"/>
              <w:right w:val="single" w:sz="2" w:space="0" w:color="000000"/>
            </w:tcBorders>
            <w:vAlign w:val="center"/>
          </w:tcPr>
          <w:p w14:paraId="0573B37A" w14:textId="77777777" w:rsidR="00FA007C" w:rsidRPr="00E06806" w:rsidRDefault="00FA007C" w:rsidP="006D74A6">
            <w:pPr>
              <w:widowControl w:val="0"/>
              <w:spacing w:before="111" w:after="0" w:line="240" w:lineRule="auto"/>
              <w:ind w:left="107"/>
              <w:rPr>
                <w:rFonts w:cstheme="minorHAnsi"/>
                <w:sz w:val="20"/>
                <w:szCs w:val="20"/>
              </w:rPr>
            </w:pPr>
            <w:r w:rsidRPr="00E06806">
              <w:rPr>
                <w:rFonts w:cstheme="minorHAnsi"/>
                <w:color w:val="231F20"/>
                <w:w w:val="110"/>
                <w:sz w:val="20"/>
              </w:rPr>
              <w:t>Dislocated</w:t>
            </w:r>
            <w:r w:rsidRPr="00E06806">
              <w:rPr>
                <w:rFonts w:cstheme="minorHAnsi"/>
                <w:color w:val="231F20"/>
                <w:spacing w:val="-15"/>
                <w:w w:val="110"/>
                <w:sz w:val="20"/>
              </w:rPr>
              <w:t xml:space="preserve"> </w:t>
            </w:r>
            <w:r w:rsidRPr="00E06806">
              <w:rPr>
                <w:rFonts w:cstheme="minorHAnsi"/>
                <w:color w:val="231F20"/>
                <w:w w:val="110"/>
                <w:sz w:val="20"/>
              </w:rPr>
              <w:t>Worker</w:t>
            </w:r>
            <w:r w:rsidRPr="00E06806">
              <w:rPr>
                <w:rFonts w:cstheme="minorHAnsi"/>
                <w:color w:val="231F20"/>
                <w:spacing w:val="-15"/>
                <w:w w:val="110"/>
                <w:sz w:val="20"/>
              </w:rPr>
              <w:t xml:space="preserve"> Median Wage 2</w:t>
            </w:r>
            <w:r w:rsidRPr="00E06806">
              <w:rPr>
                <w:rFonts w:cstheme="minorHAnsi"/>
                <w:color w:val="231F20"/>
                <w:spacing w:val="-15"/>
                <w:w w:val="110"/>
                <w:sz w:val="20"/>
                <w:vertAlign w:val="superscript"/>
              </w:rPr>
              <w:t>nd</w:t>
            </w:r>
            <w:r w:rsidRPr="00E06806">
              <w:rPr>
                <w:rFonts w:cstheme="minorHAnsi"/>
                <w:color w:val="231F20"/>
                <w:spacing w:val="-15"/>
                <w:w w:val="110"/>
                <w:sz w:val="20"/>
              </w:rPr>
              <w:t xml:space="preserve"> Qtr. After Exit</w:t>
            </w:r>
          </w:p>
        </w:tc>
        <w:tc>
          <w:tcPr>
            <w:tcW w:w="1787" w:type="dxa"/>
            <w:tcBorders>
              <w:top w:val="single" w:sz="2" w:space="0" w:color="000000"/>
              <w:left w:val="single" w:sz="2" w:space="0" w:color="000000"/>
              <w:bottom w:val="single" w:sz="2" w:space="0" w:color="000000"/>
              <w:right w:val="single" w:sz="2" w:space="0" w:color="000000"/>
            </w:tcBorders>
            <w:vAlign w:val="center"/>
          </w:tcPr>
          <w:p w14:paraId="42B9129B" w14:textId="3C365E16" w:rsidR="00FA007C" w:rsidRPr="00E06806" w:rsidRDefault="00FA007C" w:rsidP="00D63204">
            <w:pPr>
              <w:widowControl w:val="0"/>
              <w:spacing w:before="111" w:after="0" w:line="240" w:lineRule="auto"/>
              <w:ind w:left="107"/>
              <w:rPr>
                <w:rFonts w:cstheme="minorHAnsi"/>
                <w:sz w:val="20"/>
                <w:szCs w:val="20"/>
              </w:rPr>
            </w:pPr>
            <w:r w:rsidRPr="00E06806">
              <w:rPr>
                <w:rFonts w:cstheme="minorHAnsi"/>
                <w:sz w:val="20"/>
                <w:szCs w:val="20"/>
              </w:rPr>
              <w:t>$6,550.00</w:t>
            </w:r>
          </w:p>
        </w:tc>
        <w:tc>
          <w:tcPr>
            <w:tcW w:w="2070" w:type="dxa"/>
            <w:tcBorders>
              <w:top w:val="single" w:sz="2" w:space="0" w:color="000000"/>
              <w:left w:val="single" w:sz="2" w:space="0" w:color="000000"/>
              <w:bottom w:val="single" w:sz="2" w:space="0" w:color="000000"/>
              <w:right w:val="single" w:sz="2" w:space="0" w:color="000000"/>
            </w:tcBorders>
            <w:vAlign w:val="center"/>
          </w:tcPr>
          <w:p w14:paraId="510BA27E" w14:textId="3C31FA43" w:rsidR="00FA007C" w:rsidRPr="00E06806" w:rsidRDefault="00FA007C" w:rsidP="00D63204">
            <w:pPr>
              <w:widowControl w:val="0"/>
              <w:spacing w:before="111" w:after="0" w:line="240" w:lineRule="auto"/>
              <w:ind w:left="107"/>
              <w:rPr>
                <w:rFonts w:cstheme="minorHAnsi"/>
                <w:sz w:val="20"/>
                <w:szCs w:val="20"/>
              </w:rPr>
            </w:pPr>
            <w:r w:rsidRPr="00E06806">
              <w:rPr>
                <w:rFonts w:cstheme="minorHAnsi"/>
                <w:color w:val="231F20"/>
                <w:w w:val="110"/>
                <w:sz w:val="20"/>
              </w:rPr>
              <w:t>23 of</w:t>
            </w:r>
            <w:r w:rsidRPr="00E06806">
              <w:rPr>
                <w:rFonts w:cstheme="minorHAnsi"/>
                <w:color w:val="231F20"/>
                <w:spacing w:val="2"/>
                <w:w w:val="110"/>
                <w:sz w:val="20"/>
              </w:rPr>
              <w:t xml:space="preserve"> </w:t>
            </w:r>
            <w:r w:rsidRPr="00E06806">
              <w:rPr>
                <w:rFonts w:cstheme="minorHAnsi"/>
                <w:color w:val="231F20"/>
                <w:w w:val="110"/>
                <w:sz w:val="20"/>
              </w:rPr>
              <w:t>24</w:t>
            </w:r>
          </w:p>
        </w:tc>
        <w:tc>
          <w:tcPr>
            <w:tcW w:w="2108" w:type="dxa"/>
            <w:tcBorders>
              <w:top w:val="single" w:sz="2" w:space="0" w:color="000000"/>
              <w:left w:val="single" w:sz="2" w:space="0" w:color="000000"/>
              <w:bottom w:val="single" w:sz="2" w:space="0" w:color="000000"/>
              <w:right w:val="single" w:sz="2" w:space="0" w:color="000000"/>
            </w:tcBorders>
            <w:vAlign w:val="center"/>
          </w:tcPr>
          <w:p w14:paraId="4665A1FA" w14:textId="4B453823" w:rsidR="00FA007C" w:rsidRPr="00E06806" w:rsidRDefault="00FA007C" w:rsidP="00D63204">
            <w:pPr>
              <w:widowControl w:val="0"/>
              <w:spacing w:before="111" w:after="0" w:line="240" w:lineRule="auto"/>
              <w:ind w:left="107"/>
              <w:rPr>
                <w:rFonts w:cstheme="minorHAnsi"/>
                <w:sz w:val="20"/>
                <w:szCs w:val="20"/>
              </w:rPr>
            </w:pPr>
            <w:r w:rsidRPr="00E06806">
              <w:rPr>
                <w:rFonts w:cstheme="minorHAnsi"/>
                <w:color w:val="231F20"/>
                <w:w w:val="105"/>
                <w:sz w:val="20"/>
              </w:rPr>
              <w:t>95.8%</w:t>
            </w:r>
          </w:p>
        </w:tc>
      </w:tr>
      <w:tr w:rsidR="00FA007C" w:rsidRPr="00E06806" w14:paraId="403F0E23" w14:textId="77777777" w:rsidTr="006D1E11">
        <w:trPr>
          <w:trHeight w:hRule="exact" w:val="725"/>
        </w:trPr>
        <w:tc>
          <w:tcPr>
            <w:tcW w:w="4199" w:type="dxa"/>
            <w:tcBorders>
              <w:top w:val="single" w:sz="2" w:space="0" w:color="000000"/>
              <w:left w:val="single" w:sz="2" w:space="0" w:color="000000"/>
              <w:bottom w:val="single" w:sz="2" w:space="0" w:color="000000"/>
              <w:right w:val="single" w:sz="2" w:space="0" w:color="000000"/>
            </w:tcBorders>
            <w:shd w:val="clear" w:color="auto" w:fill="E6E7E8"/>
            <w:vAlign w:val="center"/>
          </w:tcPr>
          <w:p w14:paraId="5F912E1A" w14:textId="77777777" w:rsidR="00FA007C" w:rsidRPr="00E06806" w:rsidRDefault="00FA007C" w:rsidP="006D74A6">
            <w:pPr>
              <w:widowControl w:val="0"/>
              <w:spacing w:before="111" w:after="0" w:line="240" w:lineRule="auto"/>
              <w:ind w:left="107"/>
              <w:rPr>
                <w:rFonts w:cstheme="minorHAnsi"/>
                <w:sz w:val="20"/>
                <w:szCs w:val="20"/>
              </w:rPr>
            </w:pPr>
            <w:r w:rsidRPr="00E06806">
              <w:rPr>
                <w:rFonts w:cstheme="minorHAnsi"/>
                <w:color w:val="231F20"/>
                <w:spacing w:val="-5"/>
                <w:w w:val="105"/>
                <w:sz w:val="20"/>
              </w:rPr>
              <w:t>Youth Employed 2</w:t>
            </w:r>
            <w:r w:rsidRPr="00E06806">
              <w:rPr>
                <w:rFonts w:cstheme="minorHAnsi"/>
                <w:color w:val="231F20"/>
                <w:spacing w:val="-5"/>
                <w:w w:val="105"/>
                <w:sz w:val="20"/>
                <w:vertAlign w:val="superscript"/>
              </w:rPr>
              <w:t>nd</w:t>
            </w:r>
            <w:r w:rsidRPr="00E06806">
              <w:rPr>
                <w:rFonts w:cstheme="minorHAnsi"/>
                <w:color w:val="231F20"/>
                <w:spacing w:val="-5"/>
                <w:w w:val="105"/>
                <w:sz w:val="20"/>
              </w:rPr>
              <w:t xml:space="preserve"> Qtr. After Exit</w:t>
            </w:r>
          </w:p>
        </w:tc>
        <w:tc>
          <w:tcPr>
            <w:tcW w:w="1787" w:type="dxa"/>
            <w:tcBorders>
              <w:top w:val="single" w:sz="2" w:space="0" w:color="000000"/>
              <w:left w:val="single" w:sz="2" w:space="0" w:color="000000"/>
              <w:bottom w:val="single" w:sz="2" w:space="0" w:color="000000"/>
              <w:right w:val="single" w:sz="2" w:space="0" w:color="000000"/>
            </w:tcBorders>
            <w:shd w:val="clear" w:color="auto" w:fill="E6E7E8"/>
            <w:vAlign w:val="center"/>
          </w:tcPr>
          <w:p w14:paraId="5FA2811F" w14:textId="0CC444F1" w:rsidR="00FA007C" w:rsidRPr="00E06806" w:rsidRDefault="00FA007C" w:rsidP="00D63204">
            <w:pPr>
              <w:widowControl w:val="0"/>
              <w:spacing w:before="111" w:after="0" w:line="240" w:lineRule="auto"/>
              <w:ind w:left="107"/>
              <w:rPr>
                <w:rFonts w:cstheme="minorHAnsi"/>
                <w:sz w:val="20"/>
                <w:szCs w:val="20"/>
              </w:rPr>
            </w:pPr>
            <w:r w:rsidRPr="00E06806">
              <w:rPr>
                <w:rFonts w:cstheme="minorHAnsi"/>
                <w:sz w:val="20"/>
                <w:szCs w:val="20"/>
              </w:rPr>
              <w:t>73.00%</w:t>
            </w:r>
          </w:p>
        </w:tc>
        <w:tc>
          <w:tcPr>
            <w:tcW w:w="2070" w:type="dxa"/>
            <w:tcBorders>
              <w:top w:val="single" w:sz="2" w:space="0" w:color="000000"/>
              <w:left w:val="single" w:sz="2" w:space="0" w:color="000000"/>
              <w:bottom w:val="single" w:sz="2" w:space="0" w:color="000000"/>
              <w:right w:val="single" w:sz="2" w:space="0" w:color="000000"/>
            </w:tcBorders>
            <w:shd w:val="clear" w:color="auto" w:fill="E6E7E8"/>
            <w:vAlign w:val="center"/>
          </w:tcPr>
          <w:p w14:paraId="78406EC1" w14:textId="635631C4" w:rsidR="00FA007C" w:rsidRPr="00E06806" w:rsidRDefault="00FA007C" w:rsidP="00D63204">
            <w:pPr>
              <w:widowControl w:val="0"/>
              <w:spacing w:before="111" w:after="0" w:line="240" w:lineRule="auto"/>
              <w:ind w:left="107"/>
              <w:rPr>
                <w:rFonts w:cstheme="minorHAnsi"/>
                <w:sz w:val="20"/>
                <w:szCs w:val="20"/>
              </w:rPr>
            </w:pPr>
            <w:r w:rsidRPr="00E06806">
              <w:rPr>
                <w:rFonts w:cstheme="minorHAnsi"/>
                <w:color w:val="231F20"/>
                <w:w w:val="110"/>
                <w:sz w:val="20"/>
              </w:rPr>
              <w:t>19 of 24</w:t>
            </w:r>
          </w:p>
        </w:tc>
        <w:tc>
          <w:tcPr>
            <w:tcW w:w="2108" w:type="dxa"/>
            <w:tcBorders>
              <w:top w:val="single" w:sz="2" w:space="0" w:color="000000"/>
              <w:left w:val="single" w:sz="2" w:space="0" w:color="000000"/>
              <w:bottom w:val="single" w:sz="2" w:space="0" w:color="000000"/>
              <w:right w:val="single" w:sz="2" w:space="0" w:color="000000"/>
            </w:tcBorders>
            <w:shd w:val="clear" w:color="auto" w:fill="E6E7E8"/>
            <w:vAlign w:val="center"/>
          </w:tcPr>
          <w:p w14:paraId="5AE5E2EA" w14:textId="19F6F219" w:rsidR="00FA007C" w:rsidRPr="00E06806" w:rsidRDefault="00FA007C" w:rsidP="00D63204">
            <w:pPr>
              <w:widowControl w:val="0"/>
              <w:spacing w:before="111" w:after="0" w:line="240" w:lineRule="auto"/>
              <w:ind w:left="107"/>
              <w:rPr>
                <w:rFonts w:cstheme="minorHAnsi"/>
                <w:sz w:val="20"/>
                <w:szCs w:val="20"/>
              </w:rPr>
            </w:pPr>
            <w:r w:rsidRPr="00E06806">
              <w:rPr>
                <w:rFonts w:cstheme="minorHAnsi"/>
                <w:color w:val="231F20"/>
                <w:w w:val="105"/>
                <w:sz w:val="20"/>
              </w:rPr>
              <w:t>79.17%</w:t>
            </w:r>
          </w:p>
        </w:tc>
      </w:tr>
      <w:tr w:rsidR="00FA007C" w:rsidRPr="00E06806" w14:paraId="1549364D" w14:textId="77777777" w:rsidTr="006D1E11">
        <w:trPr>
          <w:trHeight w:hRule="exact" w:val="707"/>
        </w:trPr>
        <w:tc>
          <w:tcPr>
            <w:tcW w:w="4199" w:type="dxa"/>
            <w:tcBorders>
              <w:top w:val="single" w:sz="2" w:space="0" w:color="000000"/>
              <w:left w:val="single" w:sz="2" w:space="0" w:color="000000"/>
              <w:bottom w:val="single" w:sz="2" w:space="0" w:color="000000"/>
              <w:right w:val="single" w:sz="2" w:space="0" w:color="000000"/>
            </w:tcBorders>
            <w:vAlign w:val="center"/>
          </w:tcPr>
          <w:p w14:paraId="4E0E3A78" w14:textId="77777777" w:rsidR="00FA007C" w:rsidRPr="00E06806" w:rsidRDefault="00FA007C" w:rsidP="006D74A6">
            <w:pPr>
              <w:widowControl w:val="0"/>
              <w:spacing w:before="111" w:after="0" w:line="240" w:lineRule="auto"/>
              <w:ind w:left="107"/>
              <w:rPr>
                <w:rFonts w:cstheme="minorHAnsi"/>
                <w:sz w:val="20"/>
                <w:szCs w:val="20"/>
              </w:rPr>
            </w:pPr>
            <w:r w:rsidRPr="00E06806">
              <w:rPr>
                <w:rFonts w:cstheme="minorHAnsi"/>
                <w:color w:val="231F20"/>
                <w:spacing w:val="-5"/>
                <w:w w:val="105"/>
                <w:sz w:val="20"/>
              </w:rPr>
              <w:t>Youth Employed 4</w:t>
            </w:r>
            <w:r w:rsidRPr="00E06806">
              <w:rPr>
                <w:rFonts w:cstheme="minorHAnsi"/>
                <w:color w:val="231F20"/>
                <w:spacing w:val="-5"/>
                <w:w w:val="105"/>
                <w:sz w:val="20"/>
                <w:vertAlign w:val="superscript"/>
              </w:rPr>
              <w:t>th</w:t>
            </w:r>
            <w:r w:rsidRPr="00E06806">
              <w:rPr>
                <w:rFonts w:cstheme="minorHAnsi"/>
                <w:color w:val="231F20"/>
                <w:spacing w:val="-5"/>
                <w:w w:val="105"/>
                <w:sz w:val="20"/>
              </w:rPr>
              <w:t xml:space="preserve"> Qtr. After Exit</w:t>
            </w:r>
          </w:p>
        </w:tc>
        <w:tc>
          <w:tcPr>
            <w:tcW w:w="1787" w:type="dxa"/>
            <w:tcBorders>
              <w:top w:val="single" w:sz="2" w:space="0" w:color="000000"/>
              <w:left w:val="single" w:sz="2" w:space="0" w:color="000000"/>
              <w:bottom w:val="single" w:sz="2" w:space="0" w:color="000000"/>
              <w:right w:val="single" w:sz="2" w:space="0" w:color="000000"/>
            </w:tcBorders>
            <w:vAlign w:val="center"/>
          </w:tcPr>
          <w:p w14:paraId="12E5DAB3" w14:textId="609587F2" w:rsidR="00FA007C" w:rsidRPr="00E06806" w:rsidRDefault="00FA007C" w:rsidP="00D63204">
            <w:pPr>
              <w:widowControl w:val="0"/>
              <w:spacing w:before="111" w:after="0" w:line="240" w:lineRule="auto"/>
              <w:ind w:left="107"/>
              <w:rPr>
                <w:rFonts w:cstheme="minorHAnsi"/>
                <w:sz w:val="20"/>
                <w:szCs w:val="20"/>
              </w:rPr>
            </w:pPr>
            <w:r w:rsidRPr="00E06806">
              <w:rPr>
                <w:rFonts w:cstheme="minorHAnsi"/>
                <w:sz w:val="20"/>
                <w:szCs w:val="20"/>
              </w:rPr>
              <w:t>66.00%</w:t>
            </w:r>
          </w:p>
        </w:tc>
        <w:tc>
          <w:tcPr>
            <w:tcW w:w="2070" w:type="dxa"/>
            <w:tcBorders>
              <w:top w:val="single" w:sz="2" w:space="0" w:color="000000"/>
              <w:left w:val="single" w:sz="2" w:space="0" w:color="000000"/>
              <w:bottom w:val="single" w:sz="2" w:space="0" w:color="000000"/>
              <w:right w:val="single" w:sz="2" w:space="0" w:color="000000"/>
            </w:tcBorders>
            <w:vAlign w:val="center"/>
          </w:tcPr>
          <w:p w14:paraId="1703B4FC" w14:textId="16C6D673" w:rsidR="00FA007C" w:rsidRPr="00E06806" w:rsidRDefault="00FA007C" w:rsidP="00D63204">
            <w:pPr>
              <w:widowControl w:val="0"/>
              <w:spacing w:before="111" w:after="0" w:line="240" w:lineRule="auto"/>
              <w:ind w:left="107"/>
              <w:rPr>
                <w:rFonts w:cstheme="minorHAnsi"/>
                <w:sz w:val="20"/>
                <w:szCs w:val="20"/>
              </w:rPr>
            </w:pPr>
            <w:r w:rsidRPr="00E06806">
              <w:rPr>
                <w:rFonts w:cstheme="minorHAnsi"/>
                <w:color w:val="231F20"/>
                <w:w w:val="110"/>
                <w:sz w:val="20"/>
              </w:rPr>
              <w:t>22 of 24</w:t>
            </w:r>
          </w:p>
        </w:tc>
        <w:tc>
          <w:tcPr>
            <w:tcW w:w="2108" w:type="dxa"/>
            <w:tcBorders>
              <w:top w:val="single" w:sz="2" w:space="0" w:color="000000"/>
              <w:left w:val="single" w:sz="2" w:space="0" w:color="000000"/>
              <w:bottom w:val="single" w:sz="2" w:space="0" w:color="000000"/>
              <w:right w:val="single" w:sz="2" w:space="0" w:color="000000"/>
            </w:tcBorders>
            <w:vAlign w:val="center"/>
          </w:tcPr>
          <w:p w14:paraId="0442E49E" w14:textId="4252D2B4" w:rsidR="00FA007C" w:rsidRPr="00E06806" w:rsidRDefault="00FA007C" w:rsidP="00D63204">
            <w:pPr>
              <w:widowControl w:val="0"/>
              <w:spacing w:before="111" w:after="0" w:line="240" w:lineRule="auto"/>
              <w:ind w:left="107"/>
              <w:rPr>
                <w:rFonts w:cstheme="minorHAnsi"/>
                <w:sz w:val="20"/>
                <w:szCs w:val="20"/>
              </w:rPr>
            </w:pPr>
            <w:r w:rsidRPr="00E06806">
              <w:rPr>
                <w:rFonts w:cstheme="minorHAnsi"/>
                <w:color w:val="231F20"/>
                <w:w w:val="105"/>
                <w:sz w:val="20"/>
              </w:rPr>
              <w:t>91.67%</w:t>
            </w:r>
          </w:p>
        </w:tc>
      </w:tr>
    </w:tbl>
    <w:p w14:paraId="34B4E497" w14:textId="77777777" w:rsidR="00FA007C" w:rsidRPr="00E06806" w:rsidRDefault="00FA007C" w:rsidP="00D63204">
      <w:pPr>
        <w:widowControl w:val="0"/>
        <w:spacing w:before="5" w:after="0" w:line="240" w:lineRule="auto"/>
        <w:ind w:left="107"/>
        <w:rPr>
          <w:rFonts w:cstheme="minorHAnsi"/>
          <w:b/>
          <w:bCs/>
          <w:sz w:val="9"/>
          <w:szCs w:val="9"/>
        </w:rPr>
      </w:pPr>
    </w:p>
    <w:p w14:paraId="1AB24CAD" w14:textId="63CE95A5" w:rsidR="00FA007C" w:rsidRPr="00E06806" w:rsidRDefault="00FA007C" w:rsidP="00D63204">
      <w:pPr>
        <w:widowControl w:val="0"/>
        <w:spacing w:before="58" w:after="0" w:line="264" w:lineRule="exact"/>
        <w:ind w:left="107"/>
        <w:rPr>
          <w:rFonts w:cstheme="minorHAnsi"/>
          <w:color w:val="231F20"/>
          <w:w w:val="105"/>
        </w:rPr>
      </w:pPr>
      <w:r w:rsidRPr="00E06806">
        <w:rPr>
          <w:rFonts w:cstheme="minorHAnsi"/>
          <w:color w:val="231F20"/>
          <w:w w:val="105"/>
        </w:rPr>
        <w:t>*Based</w:t>
      </w:r>
      <w:r w:rsidRPr="00E06806">
        <w:rPr>
          <w:rFonts w:cstheme="minorHAnsi"/>
          <w:color w:val="231F20"/>
          <w:spacing w:val="7"/>
          <w:w w:val="105"/>
        </w:rPr>
        <w:t xml:space="preserve"> </w:t>
      </w:r>
      <w:r w:rsidRPr="00E06806">
        <w:rPr>
          <w:rFonts w:cstheme="minorHAnsi"/>
          <w:color w:val="231F20"/>
          <w:w w:val="105"/>
        </w:rPr>
        <w:t>on</w:t>
      </w:r>
      <w:r w:rsidRPr="00E06806">
        <w:rPr>
          <w:rFonts w:cstheme="minorHAnsi"/>
          <w:color w:val="231F20"/>
          <w:spacing w:val="7"/>
          <w:w w:val="105"/>
        </w:rPr>
        <w:t xml:space="preserve"> </w:t>
      </w:r>
      <w:r w:rsidR="00343F1D">
        <w:rPr>
          <w:rFonts w:cstheme="minorHAnsi"/>
          <w:color w:val="231F20"/>
          <w:w w:val="105"/>
        </w:rPr>
        <w:t>U.S.</w:t>
      </w:r>
      <w:r w:rsidRPr="00E06806">
        <w:rPr>
          <w:rFonts w:cstheme="minorHAnsi"/>
          <w:color w:val="231F20"/>
          <w:spacing w:val="7"/>
          <w:w w:val="105"/>
        </w:rPr>
        <w:t xml:space="preserve"> </w:t>
      </w:r>
      <w:r w:rsidRPr="00E06806">
        <w:rPr>
          <w:rFonts w:cstheme="minorHAnsi"/>
          <w:color w:val="231F20"/>
          <w:w w:val="105"/>
        </w:rPr>
        <w:t>Department</w:t>
      </w:r>
      <w:r w:rsidRPr="00E06806">
        <w:rPr>
          <w:rFonts w:cstheme="minorHAnsi"/>
          <w:color w:val="231F20"/>
          <w:spacing w:val="7"/>
          <w:w w:val="105"/>
        </w:rPr>
        <w:t xml:space="preserve"> </w:t>
      </w:r>
      <w:r w:rsidRPr="00E06806">
        <w:rPr>
          <w:rFonts w:cstheme="minorHAnsi"/>
          <w:color w:val="231F20"/>
          <w:w w:val="105"/>
        </w:rPr>
        <w:t>of</w:t>
      </w:r>
      <w:r w:rsidRPr="00E06806">
        <w:rPr>
          <w:rFonts w:cstheme="minorHAnsi"/>
          <w:color w:val="231F20"/>
          <w:spacing w:val="7"/>
          <w:w w:val="105"/>
        </w:rPr>
        <w:t xml:space="preserve"> </w:t>
      </w:r>
      <w:r w:rsidRPr="00E06806">
        <w:rPr>
          <w:rFonts w:cstheme="minorHAnsi"/>
          <w:color w:val="231F20"/>
          <w:w w:val="105"/>
        </w:rPr>
        <w:t>Labor</w:t>
      </w:r>
      <w:r w:rsidRPr="00E06806">
        <w:rPr>
          <w:rFonts w:cstheme="minorHAnsi"/>
          <w:color w:val="231F20"/>
          <w:spacing w:val="7"/>
          <w:w w:val="105"/>
        </w:rPr>
        <w:t xml:space="preserve"> </w:t>
      </w:r>
      <w:r w:rsidRPr="00E06806">
        <w:rPr>
          <w:rFonts w:cstheme="minorHAnsi"/>
          <w:color w:val="231F20"/>
          <w:spacing w:val="-3"/>
          <w:w w:val="105"/>
        </w:rPr>
        <w:t>Training</w:t>
      </w:r>
      <w:r w:rsidRPr="00E06806">
        <w:rPr>
          <w:rFonts w:cstheme="minorHAnsi"/>
          <w:color w:val="231F20"/>
          <w:spacing w:val="7"/>
          <w:w w:val="105"/>
        </w:rPr>
        <w:t xml:space="preserve"> </w:t>
      </w:r>
      <w:r w:rsidRPr="00E06806">
        <w:rPr>
          <w:rFonts w:cstheme="minorHAnsi"/>
          <w:color w:val="231F20"/>
          <w:w w:val="105"/>
        </w:rPr>
        <w:t>and</w:t>
      </w:r>
      <w:r w:rsidRPr="00E06806">
        <w:rPr>
          <w:rFonts w:cstheme="minorHAnsi"/>
          <w:color w:val="231F20"/>
          <w:spacing w:val="7"/>
          <w:w w:val="105"/>
        </w:rPr>
        <w:t xml:space="preserve"> </w:t>
      </w:r>
      <w:r w:rsidRPr="00E06806">
        <w:rPr>
          <w:rFonts w:cstheme="minorHAnsi"/>
          <w:color w:val="231F20"/>
          <w:w w:val="105"/>
        </w:rPr>
        <w:t>Employment</w:t>
      </w:r>
      <w:r w:rsidRPr="00E06806">
        <w:rPr>
          <w:rFonts w:cstheme="minorHAnsi"/>
          <w:color w:val="231F20"/>
          <w:spacing w:val="7"/>
          <w:w w:val="105"/>
        </w:rPr>
        <w:t xml:space="preserve"> </w:t>
      </w:r>
      <w:r w:rsidRPr="00E06806">
        <w:rPr>
          <w:rFonts w:cstheme="minorHAnsi"/>
          <w:color w:val="231F20"/>
          <w:w w:val="105"/>
        </w:rPr>
        <w:t>Guidance</w:t>
      </w:r>
      <w:r w:rsidRPr="00E06806">
        <w:rPr>
          <w:rFonts w:cstheme="minorHAnsi"/>
          <w:color w:val="231F20"/>
          <w:spacing w:val="7"/>
          <w:w w:val="105"/>
        </w:rPr>
        <w:t xml:space="preserve"> </w:t>
      </w:r>
      <w:r w:rsidRPr="00E06806">
        <w:rPr>
          <w:rFonts w:cstheme="minorHAnsi"/>
          <w:color w:val="231F20"/>
          <w:w w:val="105"/>
        </w:rPr>
        <w:t>Letter</w:t>
      </w:r>
      <w:r w:rsidRPr="00E06806">
        <w:rPr>
          <w:rFonts w:cstheme="minorHAnsi"/>
          <w:color w:val="231F20"/>
          <w:spacing w:val="7"/>
          <w:w w:val="105"/>
        </w:rPr>
        <w:t xml:space="preserve"> </w:t>
      </w:r>
      <w:r w:rsidRPr="00E06806">
        <w:rPr>
          <w:rFonts w:cstheme="minorHAnsi"/>
          <w:color w:val="231F20"/>
          <w:w w:val="105"/>
        </w:rPr>
        <w:t>2</w:t>
      </w:r>
      <w:r w:rsidR="00DD43DA" w:rsidRPr="00E06806">
        <w:rPr>
          <w:rFonts w:cstheme="minorHAnsi"/>
          <w:color w:val="231F20"/>
          <w:w w:val="105"/>
        </w:rPr>
        <w:t>6</w:t>
      </w:r>
      <w:r w:rsidRPr="00E06806">
        <w:rPr>
          <w:rFonts w:cstheme="minorHAnsi"/>
          <w:color w:val="231F20"/>
          <w:w w:val="105"/>
        </w:rPr>
        <w:t>-1</w:t>
      </w:r>
      <w:r w:rsidR="00DD43DA" w:rsidRPr="00E06806">
        <w:rPr>
          <w:rFonts w:cstheme="minorHAnsi"/>
          <w:color w:val="231F20"/>
          <w:w w:val="105"/>
        </w:rPr>
        <w:t>5</w:t>
      </w:r>
      <w:r w:rsidRPr="00E06806">
        <w:rPr>
          <w:rFonts w:cstheme="minorHAnsi"/>
          <w:color w:val="231F20"/>
          <w:w w:val="105"/>
        </w:rPr>
        <w:t>,</w:t>
      </w:r>
      <w:r w:rsidRPr="00E06806">
        <w:rPr>
          <w:rFonts w:cstheme="minorHAnsi"/>
          <w:color w:val="231F20"/>
          <w:spacing w:val="7"/>
          <w:w w:val="105"/>
        </w:rPr>
        <w:t xml:space="preserve"> </w:t>
      </w:r>
      <w:r w:rsidRPr="00E06806">
        <w:rPr>
          <w:rFonts w:cstheme="minorHAnsi"/>
          <w:color w:val="231F20"/>
          <w:w w:val="105"/>
        </w:rPr>
        <w:t>August</w:t>
      </w:r>
      <w:r w:rsidRPr="00E06806">
        <w:rPr>
          <w:rFonts w:cstheme="minorHAnsi"/>
          <w:color w:val="231F20"/>
          <w:spacing w:val="7"/>
          <w:w w:val="105"/>
        </w:rPr>
        <w:t xml:space="preserve"> 23</w:t>
      </w:r>
      <w:r w:rsidRPr="00E06806">
        <w:rPr>
          <w:rFonts w:cstheme="minorHAnsi"/>
          <w:color w:val="231F20"/>
          <w:w w:val="105"/>
        </w:rPr>
        <w:t>, 2017,</w:t>
      </w:r>
      <w:r w:rsidRPr="00E06806">
        <w:rPr>
          <w:rFonts w:cstheme="minorHAnsi"/>
          <w:color w:val="231F20"/>
          <w:spacing w:val="11"/>
          <w:w w:val="105"/>
        </w:rPr>
        <w:t xml:space="preserve"> </w:t>
      </w:r>
      <w:r w:rsidRPr="00E06806">
        <w:rPr>
          <w:rFonts w:cstheme="minorHAnsi"/>
          <w:color w:val="231F20"/>
          <w:w w:val="105"/>
        </w:rPr>
        <w:t>“Fails”</w:t>
      </w:r>
      <w:r w:rsidRPr="00E06806">
        <w:rPr>
          <w:rFonts w:cstheme="minorHAnsi"/>
          <w:color w:val="231F20"/>
          <w:spacing w:val="11"/>
          <w:w w:val="105"/>
        </w:rPr>
        <w:t xml:space="preserve"> </w:t>
      </w:r>
      <w:r w:rsidRPr="00E06806">
        <w:rPr>
          <w:rFonts w:cstheme="minorHAnsi"/>
          <w:color w:val="231F20"/>
          <w:w w:val="105"/>
        </w:rPr>
        <w:t>is</w:t>
      </w:r>
      <w:r w:rsidRPr="00E06806">
        <w:rPr>
          <w:rFonts w:cstheme="minorHAnsi"/>
          <w:color w:val="231F20"/>
          <w:spacing w:val="11"/>
          <w:w w:val="105"/>
        </w:rPr>
        <w:t xml:space="preserve"> </w:t>
      </w:r>
      <w:r w:rsidRPr="00E06806">
        <w:rPr>
          <w:rFonts w:cstheme="minorHAnsi"/>
          <w:color w:val="231F20"/>
          <w:w w:val="105"/>
        </w:rPr>
        <w:t>defined</w:t>
      </w:r>
      <w:r w:rsidRPr="00E06806">
        <w:rPr>
          <w:rFonts w:cstheme="minorHAnsi"/>
          <w:color w:val="231F20"/>
          <w:spacing w:val="11"/>
          <w:w w:val="105"/>
        </w:rPr>
        <w:t xml:space="preserve"> </w:t>
      </w:r>
      <w:r w:rsidRPr="00E06806">
        <w:rPr>
          <w:rFonts w:cstheme="minorHAnsi"/>
          <w:color w:val="231F20"/>
          <w:w w:val="105"/>
        </w:rPr>
        <w:t>as</w:t>
      </w:r>
      <w:r w:rsidRPr="00E06806">
        <w:rPr>
          <w:rFonts w:cstheme="minorHAnsi"/>
          <w:color w:val="231F20"/>
          <w:spacing w:val="11"/>
          <w:w w:val="105"/>
        </w:rPr>
        <w:t xml:space="preserve"> </w:t>
      </w:r>
      <w:r w:rsidRPr="00E06806">
        <w:rPr>
          <w:rFonts w:cstheme="minorHAnsi"/>
          <w:color w:val="231F20"/>
          <w:w w:val="105"/>
        </w:rPr>
        <w:t>the</w:t>
      </w:r>
      <w:r w:rsidRPr="00E06806">
        <w:rPr>
          <w:rFonts w:cstheme="minorHAnsi"/>
          <w:color w:val="231F20"/>
          <w:spacing w:val="11"/>
          <w:w w:val="105"/>
        </w:rPr>
        <w:t xml:space="preserve"> </w:t>
      </w:r>
      <w:r w:rsidRPr="00E06806">
        <w:rPr>
          <w:rFonts w:cstheme="minorHAnsi"/>
          <w:color w:val="231F20"/>
          <w:w w:val="105"/>
        </w:rPr>
        <w:t>number</w:t>
      </w:r>
      <w:r w:rsidRPr="00E06806">
        <w:rPr>
          <w:rFonts w:cstheme="minorHAnsi"/>
          <w:color w:val="231F20"/>
          <w:spacing w:val="11"/>
          <w:w w:val="105"/>
        </w:rPr>
        <w:t xml:space="preserve"> </w:t>
      </w:r>
      <w:r w:rsidRPr="00E06806">
        <w:rPr>
          <w:rFonts w:cstheme="minorHAnsi"/>
          <w:color w:val="231F20"/>
          <w:w w:val="105"/>
        </w:rPr>
        <w:t>of</w:t>
      </w:r>
      <w:r w:rsidRPr="00E06806">
        <w:rPr>
          <w:rFonts w:cstheme="minorHAnsi"/>
          <w:color w:val="231F20"/>
          <w:spacing w:val="11"/>
          <w:w w:val="105"/>
        </w:rPr>
        <w:t xml:space="preserve"> </w:t>
      </w:r>
      <w:r w:rsidRPr="00E06806">
        <w:rPr>
          <w:rFonts w:cstheme="minorHAnsi"/>
          <w:color w:val="231F20"/>
          <w:w w:val="105"/>
        </w:rPr>
        <w:t>performance</w:t>
      </w:r>
      <w:r w:rsidRPr="00E06806">
        <w:rPr>
          <w:rFonts w:cstheme="minorHAnsi"/>
          <w:color w:val="231F20"/>
          <w:spacing w:val="11"/>
          <w:w w:val="105"/>
        </w:rPr>
        <w:t xml:space="preserve"> </w:t>
      </w:r>
      <w:r w:rsidRPr="00E06806">
        <w:rPr>
          <w:rFonts w:cstheme="minorHAnsi"/>
          <w:color w:val="231F20"/>
          <w:w w:val="105"/>
        </w:rPr>
        <w:t>measures</w:t>
      </w:r>
      <w:r w:rsidRPr="00E06806">
        <w:rPr>
          <w:rFonts w:cstheme="minorHAnsi"/>
          <w:color w:val="231F20"/>
          <w:spacing w:val="11"/>
          <w:w w:val="105"/>
        </w:rPr>
        <w:t xml:space="preserve"> </w:t>
      </w:r>
      <w:r w:rsidRPr="00E06806">
        <w:rPr>
          <w:rFonts w:cstheme="minorHAnsi"/>
          <w:color w:val="231F20"/>
          <w:w w:val="105"/>
        </w:rPr>
        <w:t>less</w:t>
      </w:r>
      <w:r w:rsidRPr="00E06806">
        <w:rPr>
          <w:rFonts w:cstheme="minorHAnsi"/>
          <w:color w:val="231F20"/>
          <w:spacing w:val="11"/>
          <w:w w:val="105"/>
        </w:rPr>
        <w:t xml:space="preserve"> </w:t>
      </w:r>
      <w:r w:rsidRPr="00E06806">
        <w:rPr>
          <w:rFonts w:cstheme="minorHAnsi"/>
          <w:color w:val="231F20"/>
          <w:w w:val="105"/>
        </w:rPr>
        <w:t>than</w:t>
      </w:r>
      <w:r w:rsidRPr="00E06806">
        <w:rPr>
          <w:rFonts w:cstheme="minorHAnsi"/>
          <w:color w:val="231F20"/>
          <w:spacing w:val="11"/>
          <w:w w:val="105"/>
        </w:rPr>
        <w:t xml:space="preserve"> </w:t>
      </w:r>
      <w:r w:rsidRPr="00E06806">
        <w:rPr>
          <w:rFonts w:cstheme="minorHAnsi"/>
          <w:color w:val="231F20"/>
          <w:w w:val="105"/>
        </w:rPr>
        <w:t>90</w:t>
      </w:r>
      <w:r w:rsidRPr="00E06806">
        <w:rPr>
          <w:rFonts w:cstheme="minorHAnsi"/>
          <w:color w:val="231F20"/>
          <w:spacing w:val="11"/>
          <w:w w:val="105"/>
        </w:rPr>
        <w:t xml:space="preserve"> </w:t>
      </w:r>
      <w:r w:rsidRPr="00E06806">
        <w:rPr>
          <w:rFonts w:cstheme="minorHAnsi"/>
          <w:color w:val="231F20"/>
          <w:w w:val="105"/>
        </w:rPr>
        <w:t>percent</w:t>
      </w:r>
      <w:r w:rsidRPr="00E06806">
        <w:rPr>
          <w:rFonts w:cstheme="minorHAnsi"/>
          <w:color w:val="231F20"/>
          <w:spacing w:val="11"/>
          <w:w w:val="105"/>
        </w:rPr>
        <w:t xml:space="preserve"> </w:t>
      </w:r>
      <w:r w:rsidRPr="00E06806">
        <w:rPr>
          <w:rFonts w:cstheme="minorHAnsi"/>
          <w:color w:val="231F20"/>
          <w:w w:val="105"/>
        </w:rPr>
        <w:t>of</w:t>
      </w:r>
      <w:r w:rsidRPr="00E06806">
        <w:rPr>
          <w:rFonts w:cstheme="minorHAnsi"/>
          <w:color w:val="231F20"/>
          <w:spacing w:val="11"/>
          <w:w w:val="105"/>
        </w:rPr>
        <w:t xml:space="preserve"> </w:t>
      </w:r>
      <w:r w:rsidRPr="00E06806">
        <w:rPr>
          <w:rFonts w:cstheme="minorHAnsi"/>
          <w:color w:val="231F20"/>
          <w:w w:val="105"/>
        </w:rPr>
        <w:t>the</w:t>
      </w:r>
      <w:r w:rsidRPr="00E06806">
        <w:rPr>
          <w:rFonts w:cstheme="minorHAnsi"/>
          <w:color w:val="231F20"/>
          <w:spacing w:val="11"/>
          <w:w w:val="105"/>
        </w:rPr>
        <w:t xml:space="preserve"> </w:t>
      </w:r>
      <w:r w:rsidRPr="00E06806">
        <w:rPr>
          <w:rFonts w:cstheme="minorHAnsi"/>
          <w:color w:val="231F20"/>
          <w:w w:val="105"/>
        </w:rPr>
        <w:t>negotiated</w:t>
      </w:r>
      <w:r w:rsidRPr="00E06806">
        <w:rPr>
          <w:rFonts w:cstheme="minorHAnsi"/>
          <w:color w:val="231F20"/>
          <w:spacing w:val="-33"/>
          <w:w w:val="105"/>
        </w:rPr>
        <w:t xml:space="preserve"> </w:t>
      </w:r>
      <w:r w:rsidRPr="00E06806">
        <w:rPr>
          <w:rFonts w:cstheme="minorHAnsi"/>
          <w:color w:val="231F20"/>
          <w:w w:val="105"/>
        </w:rPr>
        <w:t>goal.</w:t>
      </w:r>
      <w:r w:rsidRPr="00E06806">
        <w:rPr>
          <w:rFonts w:cstheme="minorHAnsi"/>
          <w:color w:val="231F20"/>
          <w:spacing w:val="11"/>
          <w:w w:val="105"/>
        </w:rPr>
        <w:t xml:space="preserve"> </w:t>
      </w:r>
      <w:r w:rsidRPr="00E06806">
        <w:rPr>
          <w:rFonts w:cstheme="minorHAnsi"/>
          <w:color w:val="231F20"/>
          <w:w w:val="105"/>
        </w:rPr>
        <w:t>“Meets”</w:t>
      </w:r>
      <w:r w:rsidRPr="00E06806">
        <w:rPr>
          <w:rFonts w:cstheme="minorHAnsi"/>
          <w:color w:val="231F20"/>
          <w:spacing w:val="11"/>
          <w:w w:val="105"/>
        </w:rPr>
        <w:t xml:space="preserve"> </w:t>
      </w:r>
      <w:r w:rsidRPr="00E06806">
        <w:rPr>
          <w:rFonts w:cstheme="minorHAnsi"/>
          <w:color w:val="231F20"/>
          <w:w w:val="105"/>
        </w:rPr>
        <w:t>is</w:t>
      </w:r>
      <w:r w:rsidRPr="00E06806">
        <w:rPr>
          <w:rFonts w:cstheme="minorHAnsi"/>
          <w:color w:val="231F20"/>
          <w:spacing w:val="11"/>
          <w:w w:val="105"/>
        </w:rPr>
        <w:t xml:space="preserve"> </w:t>
      </w:r>
      <w:r w:rsidRPr="00E06806">
        <w:rPr>
          <w:rFonts w:cstheme="minorHAnsi"/>
          <w:color w:val="231F20"/>
          <w:w w:val="105"/>
        </w:rPr>
        <w:t>defined</w:t>
      </w:r>
      <w:r w:rsidRPr="00E06806">
        <w:rPr>
          <w:rFonts w:cstheme="minorHAnsi"/>
          <w:color w:val="231F20"/>
          <w:spacing w:val="11"/>
          <w:w w:val="105"/>
        </w:rPr>
        <w:t xml:space="preserve"> </w:t>
      </w:r>
      <w:r w:rsidRPr="00E06806">
        <w:rPr>
          <w:rFonts w:cstheme="minorHAnsi"/>
          <w:color w:val="231F20"/>
          <w:w w:val="105"/>
        </w:rPr>
        <w:t>as</w:t>
      </w:r>
      <w:r w:rsidRPr="00E06806">
        <w:rPr>
          <w:rFonts w:cstheme="minorHAnsi"/>
          <w:color w:val="231F20"/>
          <w:spacing w:val="11"/>
          <w:w w:val="105"/>
        </w:rPr>
        <w:t xml:space="preserve"> </w:t>
      </w:r>
      <w:r w:rsidRPr="00E06806">
        <w:rPr>
          <w:rFonts w:cstheme="minorHAnsi"/>
          <w:color w:val="231F20"/>
          <w:w w:val="105"/>
        </w:rPr>
        <w:t>the</w:t>
      </w:r>
      <w:r w:rsidRPr="00E06806">
        <w:rPr>
          <w:rFonts w:cstheme="minorHAnsi"/>
          <w:color w:val="231F20"/>
          <w:spacing w:val="11"/>
          <w:w w:val="105"/>
        </w:rPr>
        <w:t xml:space="preserve"> </w:t>
      </w:r>
      <w:r w:rsidRPr="00E06806">
        <w:rPr>
          <w:rFonts w:cstheme="minorHAnsi"/>
          <w:color w:val="231F20"/>
          <w:w w:val="105"/>
        </w:rPr>
        <w:t>number</w:t>
      </w:r>
      <w:r w:rsidRPr="00E06806">
        <w:rPr>
          <w:rFonts w:cstheme="minorHAnsi"/>
          <w:color w:val="231F20"/>
          <w:spacing w:val="11"/>
          <w:w w:val="105"/>
        </w:rPr>
        <w:t xml:space="preserve"> </w:t>
      </w:r>
      <w:r w:rsidRPr="00E06806">
        <w:rPr>
          <w:rFonts w:cstheme="minorHAnsi"/>
          <w:color w:val="231F20"/>
          <w:w w:val="105"/>
        </w:rPr>
        <w:t>of</w:t>
      </w:r>
      <w:r w:rsidRPr="00E06806">
        <w:rPr>
          <w:rFonts w:cstheme="minorHAnsi"/>
          <w:color w:val="231F20"/>
          <w:spacing w:val="11"/>
          <w:w w:val="105"/>
        </w:rPr>
        <w:t xml:space="preserve"> </w:t>
      </w:r>
      <w:r w:rsidRPr="00E06806">
        <w:rPr>
          <w:rFonts w:cstheme="minorHAnsi"/>
          <w:color w:val="231F20"/>
          <w:w w:val="105"/>
        </w:rPr>
        <w:t>performance</w:t>
      </w:r>
      <w:r w:rsidRPr="00E06806">
        <w:rPr>
          <w:rFonts w:cstheme="minorHAnsi"/>
          <w:color w:val="231F20"/>
          <w:spacing w:val="11"/>
          <w:w w:val="105"/>
        </w:rPr>
        <w:t xml:space="preserve"> </w:t>
      </w:r>
      <w:r w:rsidRPr="00E06806">
        <w:rPr>
          <w:rFonts w:cstheme="minorHAnsi"/>
          <w:color w:val="231F20"/>
          <w:w w:val="105"/>
        </w:rPr>
        <w:t>measures</w:t>
      </w:r>
      <w:r w:rsidRPr="00E06806">
        <w:rPr>
          <w:rFonts w:cstheme="minorHAnsi"/>
          <w:color w:val="231F20"/>
          <w:spacing w:val="11"/>
          <w:w w:val="105"/>
        </w:rPr>
        <w:t xml:space="preserve"> </w:t>
      </w:r>
      <w:r w:rsidRPr="00E06806">
        <w:rPr>
          <w:rFonts w:cstheme="minorHAnsi"/>
          <w:color w:val="231F20"/>
          <w:w w:val="105"/>
        </w:rPr>
        <w:t>between</w:t>
      </w:r>
      <w:r w:rsidRPr="00E06806">
        <w:rPr>
          <w:rFonts w:cstheme="minorHAnsi"/>
          <w:color w:val="231F20"/>
          <w:spacing w:val="11"/>
          <w:w w:val="105"/>
        </w:rPr>
        <w:t xml:space="preserve"> 9</w:t>
      </w:r>
      <w:r w:rsidRPr="00E06806">
        <w:rPr>
          <w:rFonts w:cstheme="minorHAnsi"/>
          <w:color w:val="231F20"/>
          <w:w w:val="105"/>
        </w:rPr>
        <w:t>0</w:t>
      </w:r>
      <w:r w:rsidRPr="00E06806">
        <w:rPr>
          <w:rFonts w:cstheme="minorHAnsi"/>
          <w:color w:val="231F20"/>
          <w:spacing w:val="11"/>
          <w:w w:val="105"/>
        </w:rPr>
        <w:t xml:space="preserve"> </w:t>
      </w:r>
      <w:r w:rsidRPr="00E06806">
        <w:rPr>
          <w:rFonts w:cstheme="minorHAnsi"/>
          <w:color w:val="231F20"/>
          <w:w w:val="105"/>
        </w:rPr>
        <w:t>percent</w:t>
      </w:r>
      <w:r w:rsidRPr="00E06806">
        <w:rPr>
          <w:rFonts w:cstheme="minorHAnsi"/>
          <w:color w:val="231F20"/>
          <w:spacing w:val="11"/>
          <w:w w:val="105"/>
        </w:rPr>
        <w:t xml:space="preserve"> </w:t>
      </w:r>
      <w:r w:rsidRPr="00E06806">
        <w:rPr>
          <w:rFonts w:cstheme="minorHAnsi"/>
          <w:color w:val="231F20"/>
          <w:w w:val="105"/>
        </w:rPr>
        <w:t>–</w:t>
      </w:r>
      <w:r w:rsidRPr="00E06806">
        <w:rPr>
          <w:rFonts w:cstheme="minorHAnsi"/>
          <w:color w:val="231F20"/>
          <w:spacing w:val="11"/>
          <w:w w:val="105"/>
        </w:rPr>
        <w:t xml:space="preserve"> </w:t>
      </w:r>
      <w:r w:rsidRPr="00E06806">
        <w:rPr>
          <w:rFonts w:cstheme="minorHAnsi"/>
          <w:color w:val="231F20"/>
          <w:w w:val="105"/>
        </w:rPr>
        <w:t>100</w:t>
      </w:r>
      <w:r w:rsidRPr="00E06806">
        <w:rPr>
          <w:rFonts w:cstheme="minorHAnsi"/>
          <w:color w:val="231F20"/>
          <w:spacing w:val="11"/>
          <w:w w:val="105"/>
        </w:rPr>
        <w:t xml:space="preserve"> </w:t>
      </w:r>
      <w:r w:rsidRPr="00E06806">
        <w:rPr>
          <w:rFonts w:cstheme="minorHAnsi"/>
          <w:color w:val="231F20"/>
          <w:w w:val="105"/>
        </w:rPr>
        <w:t>percent</w:t>
      </w:r>
      <w:r w:rsidRPr="00E06806">
        <w:rPr>
          <w:rFonts w:cstheme="minorHAnsi"/>
          <w:color w:val="231F20"/>
          <w:spacing w:val="11"/>
          <w:w w:val="105"/>
        </w:rPr>
        <w:t xml:space="preserve"> </w:t>
      </w:r>
      <w:r w:rsidRPr="00E06806">
        <w:rPr>
          <w:rFonts w:cstheme="minorHAnsi"/>
          <w:color w:val="231F20"/>
          <w:w w:val="105"/>
        </w:rPr>
        <w:t>of</w:t>
      </w:r>
      <w:r w:rsidRPr="00E06806">
        <w:rPr>
          <w:rFonts w:cstheme="minorHAnsi"/>
          <w:color w:val="231F20"/>
          <w:spacing w:val="-35"/>
          <w:w w:val="105"/>
        </w:rPr>
        <w:t xml:space="preserve"> </w:t>
      </w:r>
      <w:r w:rsidRPr="00E06806">
        <w:rPr>
          <w:rFonts w:cstheme="minorHAnsi"/>
          <w:color w:val="231F20"/>
          <w:w w:val="105"/>
        </w:rPr>
        <w:t>the</w:t>
      </w:r>
      <w:r w:rsidRPr="00E06806">
        <w:rPr>
          <w:rFonts w:cstheme="minorHAnsi"/>
          <w:color w:val="231F20"/>
          <w:spacing w:val="15"/>
          <w:w w:val="105"/>
        </w:rPr>
        <w:t xml:space="preserve"> </w:t>
      </w:r>
      <w:r w:rsidRPr="00E06806">
        <w:rPr>
          <w:rFonts w:cstheme="minorHAnsi"/>
          <w:color w:val="231F20"/>
          <w:w w:val="105"/>
        </w:rPr>
        <w:t>negotiated</w:t>
      </w:r>
      <w:r w:rsidRPr="00E06806">
        <w:rPr>
          <w:rFonts w:cstheme="minorHAnsi"/>
          <w:color w:val="231F20"/>
          <w:spacing w:val="15"/>
          <w:w w:val="105"/>
        </w:rPr>
        <w:t xml:space="preserve"> </w:t>
      </w:r>
      <w:r w:rsidRPr="00E06806">
        <w:rPr>
          <w:rFonts w:cstheme="minorHAnsi"/>
          <w:color w:val="231F20"/>
          <w:w w:val="105"/>
        </w:rPr>
        <w:t>goal.</w:t>
      </w:r>
      <w:r w:rsidRPr="00E06806">
        <w:rPr>
          <w:rFonts w:cstheme="minorHAnsi"/>
          <w:color w:val="231F20"/>
          <w:spacing w:val="15"/>
          <w:w w:val="105"/>
        </w:rPr>
        <w:t xml:space="preserve"> </w:t>
      </w:r>
      <w:r w:rsidRPr="00E06806">
        <w:rPr>
          <w:rFonts w:cstheme="minorHAnsi"/>
          <w:color w:val="231F20"/>
          <w:w w:val="105"/>
        </w:rPr>
        <w:t>“Exceeds”</w:t>
      </w:r>
      <w:r w:rsidRPr="00E06806">
        <w:rPr>
          <w:rFonts w:cstheme="minorHAnsi"/>
          <w:color w:val="231F20"/>
          <w:spacing w:val="15"/>
          <w:w w:val="105"/>
        </w:rPr>
        <w:t xml:space="preserve"> </w:t>
      </w:r>
      <w:r w:rsidRPr="00E06806">
        <w:rPr>
          <w:rFonts w:cstheme="minorHAnsi"/>
          <w:color w:val="231F20"/>
          <w:w w:val="105"/>
        </w:rPr>
        <w:t>is</w:t>
      </w:r>
      <w:r w:rsidRPr="00E06806">
        <w:rPr>
          <w:rFonts w:cstheme="minorHAnsi"/>
          <w:color w:val="231F20"/>
          <w:spacing w:val="15"/>
          <w:w w:val="105"/>
        </w:rPr>
        <w:t xml:space="preserve"> </w:t>
      </w:r>
      <w:r w:rsidRPr="00E06806">
        <w:rPr>
          <w:rFonts w:cstheme="minorHAnsi"/>
          <w:color w:val="231F20"/>
          <w:w w:val="105"/>
        </w:rPr>
        <w:t>defined</w:t>
      </w:r>
      <w:r w:rsidRPr="00E06806">
        <w:rPr>
          <w:rFonts w:cstheme="minorHAnsi"/>
          <w:color w:val="231F20"/>
          <w:spacing w:val="15"/>
          <w:w w:val="105"/>
        </w:rPr>
        <w:t xml:space="preserve"> </w:t>
      </w:r>
      <w:r w:rsidRPr="00E06806">
        <w:rPr>
          <w:rFonts w:cstheme="minorHAnsi"/>
          <w:color w:val="231F20"/>
          <w:w w:val="105"/>
        </w:rPr>
        <w:t>as</w:t>
      </w:r>
      <w:r w:rsidRPr="00E06806">
        <w:rPr>
          <w:rFonts w:cstheme="minorHAnsi"/>
          <w:color w:val="231F20"/>
          <w:spacing w:val="15"/>
          <w:w w:val="105"/>
        </w:rPr>
        <w:t xml:space="preserve"> </w:t>
      </w:r>
      <w:r w:rsidRPr="00E06806">
        <w:rPr>
          <w:rFonts w:cstheme="minorHAnsi"/>
          <w:color w:val="231F20"/>
          <w:w w:val="105"/>
        </w:rPr>
        <w:t>the</w:t>
      </w:r>
      <w:r w:rsidRPr="00E06806">
        <w:rPr>
          <w:rFonts w:cstheme="minorHAnsi"/>
          <w:color w:val="231F20"/>
          <w:spacing w:val="15"/>
          <w:w w:val="105"/>
        </w:rPr>
        <w:t xml:space="preserve"> </w:t>
      </w:r>
      <w:r w:rsidRPr="00E06806">
        <w:rPr>
          <w:rFonts w:cstheme="minorHAnsi"/>
          <w:color w:val="231F20"/>
          <w:w w:val="105"/>
        </w:rPr>
        <w:t>number</w:t>
      </w:r>
      <w:r w:rsidRPr="00E06806">
        <w:rPr>
          <w:rFonts w:cstheme="minorHAnsi"/>
          <w:color w:val="231F20"/>
          <w:spacing w:val="15"/>
          <w:w w:val="105"/>
        </w:rPr>
        <w:t xml:space="preserve"> </w:t>
      </w:r>
      <w:r w:rsidRPr="00E06806">
        <w:rPr>
          <w:rFonts w:cstheme="minorHAnsi"/>
          <w:color w:val="231F20"/>
          <w:w w:val="105"/>
        </w:rPr>
        <w:t>of</w:t>
      </w:r>
      <w:r w:rsidRPr="00E06806">
        <w:rPr>
          <w:rFonts w:cstheme="minorHAnsi"/>
          <w:color w:val="231F20"/>
          <w:spacing w:val="15"/>
          <w:w w:val="105"/>
        </w:rPr>
        <w:t xml:space="preserve"> </w:t>
      </w:r>
      <w:r w:rsidRPr="00E06806">
        <w:rPr>
          <w:rFonts w:cstheme="minorHAnsi"/>
          <w:color w:val="231F20"/>
          <w:w w:val="105"/>
        </w:rPr>
        <w:t>performance</w:t>
      </w:r>
      <w:r w:rsidRPr="00E06806">
        <w:rPr>
          <w:rFonts w:cstheme="minorHAnsi"/>
          <w:color w:val="231F20"/>
          <w:spacing w:val="15"/>
          <w:w w:val="105"/>
        </w:rPr>
        <w:t xml:space="preserve"> </w:t>
      </w:r>
      <w:r w:rsidRPr="00E06806">
        <w:rPr>
          <w:rFonts w:cstheme="minorHAnsi"/>
          <w:color w:val="231F20"/>
          <w:w w:val="105"/>
        </w:rPr>
        <w:t>measures</w:t>
      </w:r>
      <w:r w:rsidRPr="00E06806">
        <w:rPr>
          <w:rFonts w:cstheme="minorHAnsi"/>
          <w:color w:val="231F20"/>
          <w:spacing w:val="15"/>
          <w:w w:val="105"/>
        </w:rPr>
        <w:t xml:space="preserve"> </w:t>
      </w:r>
      <w:r w:rsidRPr="00E06806">
        <w:rPr>
          <w:rFonts w:cstheme="minorHAnsi"/>
          <w:color w:val="231F20"/>
          <w:w w:val="105"/>
        </w:rPr>
        <w:t>above</w:t>
      </w:r>
      <w:r w:rsidRPr="00E06806">
        <w:rPr>
          <w:rFonts w:cstheme="minorHAnsi"/>
          <w:color w:val="231F20"/>
          <w:spacing w:val="15"/>
          <w:w w:val="105"/>
        </w:rPr>
        <w:t xml:space="preserve"> </w:t>
      </w:r>
      <w:r w:rsidRPr="00E06806">
        <w:rPr>
          <w:rFonts w:cstheme="minorHAnsi"/>
          <w:color w:val="231F20"/>
          <w:w w:val="105"/>
        </w:rPr>
        <w:t>100</w:t>
      </w:r>
      <w:r w:rsidRPr="00E06806">
        <w:rPr>
          <w:rFonts w:cstheme="minorHAnsi"/>
          <w:color w:val="231F20"/>
          <w:spacing w:val="15"/>
          <w:w w:val="105"/>
        </w:rPr>
        <w:t xml:space="preserve"> </w:t>
      </w:r>
      <w:r w:rsidRPr="00E06806">
        <w:rPr>
          <w:rFonts w:cstheme="minorHAnsi"/>
          <w:color w:val="231F20"/>
          <w:w w:val="105"/>
        </w:rPr>
        <w:t>percent</w:t>
      </w:r>
      <w:r w:rsidRPr="00E06806">
        <w:rPr>
          <w:rFonts w:cstheme="minorHAnsi"/>
          <w:color w:val="231F20"/>
          <w:spacing w:val="15"/>
          <w:w w:val="105"/>
        </w:rPr>
        <w:t xml:space="preserve"> </w:t>
      </w:r>
      <w:r w:rsidRPr="00E06806">
        <w:rPr>
          <w:rFonts w:cstheme="minorHAnsi"/>
          <w:color w:val="231F20"/>
          <w:w w:val="105"/>
        </w:rPr>
        <w:t>of</w:t>
      </w:r>
      <w:r w:rsidRPr="00E06806">
        <w:rPr>
          <w:rFonts w:cstheme="minorHAnsi"/>
          <w:color w:val="231F20"/>
          <w:w w:val="102"/>
        </w:rPr>
        <w:t xml:space="preserve"> </w:t>
      </w:r>
      <w:r w:rsidRPr="00E06806">
        <w:rPr>
          <w:rFonts w:cstheme="minorHAnsi"/>
          <w:color w:val="231F20"/>
          <w:w w:val="105"/>
        </w:rPr>
        <w:t>the negotiated</w:t>
      </w:r>
      <w:r w:rsidRPr="00E06806">
        <w:rPr>
          <w:rFonts w:cstheme="minorHAnsi"/>
          <w:color w:val="231F20"/>
          <w:spacing w:val="42"/>
          <w:w w:val="105"/>
        </w:rPr>
        <w:t xml:space="preserve"> </w:t>
      </w:r>
      <w:r w:rsidR="00A210A1">
        <w:rPr>
          <w:rFonts w:cstheme="minorHAnsi"/>
          <w:color w:val="231F20"/>
          <w:w w:val="105"/>
        </w:rPr>
        <w:t>goal.</w:t>
      </w:r>
    </w:p>
    <w:p w14:paraId="7F4E9595" w14:textId="675315B0" w:rsidR="00A210A1" w:rsidRDefault="00A210A1">
      <w:pPr>
        <w:rPr>
          <w:rFonts w:cstheme="minorHAnsi"/>
        </w:rPr>
      </w:pPr>
      <w:r>
        <w:rPr>
          <w:rFonts w:cstheme="minorHAnsi"/>
        </w:rPr>
        <w:br w:type="page"/>
      </w:r>
    </w:p>
    <w:p w14:paraId="7973FCDE" w14:textId="77777777" w:rsidR="00FA007C" w:rsidRPr="00E06806" w:rsidRDefault="00FA007C" w:rsidP="00D63204">
      <w:pPr>
        <w:widowControl w:val="0"/>
        <w:spacing w:before="58" w:after="0" w:line="264" w:lineRule="exact"/>
        <w:ind w:left="107"/>
        <w:rPr>
          <w:rFonts w:cstheme="minorHAnsi"/>
        </w:rPr>
      </w:pPr>
    </w:p>
    <w:p w14:paraId="04CD5F9B" w14:textId="4D9E467B" w:rsidR="00FA007C" w:rsidRPr="00E06806" w:rsidRDefault="00FA007C" w:rsidP="00D63204">
      <w:pPr>
        <w:widowControl w:val="0"/>
        <w:spacing w:after="0" w:line="264" w:lineRule="exact"/>
        <w:ind w:left="107"/>
        <w:rPr>
          <w:rFonts w:cstheme="minorHAnsi"/>
        </w:rPr>
      </w:pPr>
      <w:r w:rsidRPr="00E06806">
        <w:rPr>
          <w:rFonts w:cstheme="minorHAnsi"/>
          <w:b/>
          <w:i/>
          <w:color w:val="231F20"/>
          <w:w w:val="105"/>
        </w:rPr>
        <w:t xml:space="preserve">Performance Indicators: </w:t>
      </w:r>
      <w:r w:rsidRPr="00E06806">
        <w:rPr>
          <w:rFonts w:cstheme="minorHAnsi"/>
          <w:color w:val="231F20"/>
          <w:w w:val="105"/>
        </w:rPr>
        <w:t>Section 116 of WIOA identifies indicators of performance for the Adult,</w:t>
      </w:r>
      <w:r w:rsidRPr="00E06806">
        <w:rPr>
          <w:rFonts w:cstheme="minorHAnsi"/>
          <w:color w:val="231F20"/>
          <w:spacing w:val="43"/>
          <w:w w:val="105"/>
        </w:rPr>
        <w:t xml:space="preserve"> </w:t>
      </w:r>
      <w:r w:rsidRPr="00E06806">
        <w:rPr>
          <w:rFonts w:cstheme="minorHAnsi"/>
          <w:color w:val="231F20"/>
          <w:w w:val="105"/>
        </w:rPr>
        <w:t>Dislocated</w:t>
      </w:r>
      <w:r w:rsidRPr="00E06806">
        <w:rPr>
          <w:rFonts w:cstheme="minorHAnsi"/>
          <w:color w:val="231F20"/>
          <w:w w:val="109"/>
        </w:rPr>
        <w:t xml:space="preserve"> </w:t>
      </w:r>
      <w:r w:rsidRPr="00E06806">
        <w:rPr>
          <w:rFonts w:cstheme="minorHAnsi"/>
          <w:color w:val="231F20"/>
          <w:spacing w:val="-5"/>
          <w:w w:val="105"/>
        </w:rPr>
        <w:t>Worker</w:t>
      </w:r>
      <w:r w:rsidR="00D5537E">
        <w:rPr>
          <w:rFonts w:cstheme="minorHAnsi"/>
          <w:color w:val="231F20"/>
          <w:spacing w:val="-5"/>
          <w:w w:val="105"/>
        </w:rPr>
        <w:t xml:space="preserve"> and</w:t>
      </w:r>
      <w:r w:rsidRPr="00E06806">
        <w:rPr>
          <w:rFonts w:cstheme="minorHAnsi"/>
          <w:color w:val="231F20"/>
          <w:w w:val="105"/>
        </w:rPr>
        <w:t xml:space="preserve"> </w:t>
      </w:r>
      <w:r w:rsidRPr="00E06806">
        <w:rPr>
          <w:rFonts w:cstheme="minorHAnsi"/>
          <w:color w:val="231F20"/>
          <w:spacing w:val="-5"/>
          <w:w w:val="105"/>
        </w:rPr>
        <w:t xml:space="preserve">Youth </w:t>
      </w:r>
      <w:r w:rsidRPr="00E06806">
        <w:rPr>
          <w:rFonts w:cstheme="minorHAnsi"/>
          <w:color w:val="231F20"/>
          <w:w w:val="105"/>
        </w:rPr>
        <w:t>programs. These measures for PY 17-18 are below:</w:t>
      </w:r>
    </w:p>
    <w:p w14:paraId="55D97521" w14:textId="77777777" w:rsidR="00FA007C" w:rsidRPr="00E06806" w:rsidRDefault="00FA007C" w:rsidP="00D63204">
      <w:pPr>
        <w:widowControl w:val="0"/>
        <w:spacing w:before="58" w:after="0" w:line="264" w:lineRule="exact"/>
        <w:ind w:left="107"/>
        <w:rPr>
          <w:rFonts w:cstheme="minorHAnsi"/>
        </w:rPr>
      </w:pPr>
    </w:p>
    <w:p w14:paraId="126F5932" w14:textId="671CB39A" w:rsidR="00FA007C" w:rsidRPr="00E06806" w:rsidRDefault="00FA007C" w:rsidP="00D63204">
      <w:pPr>
        <w:widowControl w:val="0"/>
        <w:spacing w:after="0" w:line="266" w:lineRule="exact"/>
        <w:ind w:left="107"/>
        <w:outlineLvl w:val="2"/>
        <w:rPr>
          <w:rFonts w:cstheme="minorHAnsi"/>
        </w:rPr>
      </w:pPr>
      <w:r w:rsidRPr="00E06806">
        <w:rPr>
          <w:rFonts w:cstheme="minorHAnsi"/>
          <w:b/>
          <w:bCs/>
          <w:w w:val="115"/>
        </w:rPr>
        <w:t>Figure</w:t>
      </w:r>
      <w:r w:rsidRPr="00E06806">
        <w:rPr>
          <w:rFonts w:cstheme="minorHAnsi"/>
          <w:b/>
          <w:bCs/>
          <w:spacing w:val="-17"/>
          <w:w w:val="115"/>
        </w:rPr>
        <w:t xml:space="preserve"> </w:t>
      </w:r>
      <w:r w:rsidRPr="00E06806">
        <w:rPr>
          <w:rFonts w:cstheme="minorHAnsi"/>
          <w:b/>
          <w:bCs/>
          <w:w w:val="115"/>
        </w:rPr>
        <w:t>3.</w:t>
      </w:r>
      <w:r w:rsidR="00DD43DA" w:rsidRPr="00E06806">
        <w:rPr>
          <w:rFonts w:cstheme="minorHAnsi"/>
          <w:b/>
          <w:bCs/>
          <w:w w:val="115"/>
        </w:rPr>
        <w:t>13</w:t>
      </w:r>
    </w:p>
    <w:p w14:paraId="0A40ECF5" w14:textId="29EA3487" w:rsidR="008B5C34" w:rsidRDefault="00FA007C" w:rsidP="00D63204">
      <w:pPr>
        <w:widowControl w:val="0"/>
        <w:spacing w:before="2" w:after="0" w:line="235" w:lineRule="auto"/>
        <w:ind w:left="107"/>
        <w:rPr>
          <w:rFonts w:cstheme="minorHAnsi"/>
          <w:b/>
          <w:color w:val="231F20"/>
          <w:w w:val="110"/>
        </w:rPr>
      </w:pPr>
      <w:r w:rsidRPr="00E06806">
        <w:rPr>
          <w:rFonts w:cstheme="minorHAnsi"/>
          <w:b/>
          <w:w w:val="110"/>
        </w:rPr>
        <w:t xml:space="preserve">Florida </w:t>
      </w:r>
      <w:r w:rsidR="00C47FC0">
        <w:rPr>
          <w:rFonts w:cstheme="minorHAnsi"/>
          <w:b/>
          <w:w w:val="110"/>
        </w:rPr>
        <w:t xml:space="preserve">Primary Indicators of Performance </w:t>
      </w:r>
      <w:r w:rsidRPr="00E06806">
        <w:rPr>
          <w:rFonts w:cstheme="minorHAnsi"/>
          <w:b/>
          <w:w w:val="110"/>
        </w:rPr>
        <w:t xml:space="preserve">Goals </w:t>
      </w:r>
    </w:p>
    <w:p w14:paraId="54BD7D59" w14:textId="6E2B335E" w:rsidR="00FA007C" w:rsidRPr="00E06806" w:rsidRDefault="008B5C34" w:rsidP="00D63204">
      <w:pPr>
        <w:widowControl w:val="0"/>
        <w:spacing w:before="2" w:after="0" w:line="235" w:lineRule="auto"/>
        <w:ind w:left="107"/>
        <w:rPr>
          <w:rFonts w:cstheme="minorHAnsi"/>
        </w:rPr>
      </w:pPr>
      <w:r>
        <w:rPr>
          <w:rFonts w:cstheme="minorHAnsi"/>
          <w:b/>
          <w:color w:val="231F20"/>
          <w:w w:val="110"/>
        </w:rPr>
        <w:t xml:space="preserve">Program Year </w:t>
      </w:r>
      <w:r w:rsidR="00FA007C" w:rsidRPr="00E06806">
        <w:rPr>
          <w:rFonts w:cstheme="minorHAnsi"/>
          <w:b/>
          <w:color w:val="231F20"/>
          <w:w w:val="110"/>
        </w:rPr>
        <w:t>2017-2018</w:t>
      </w:r>
    </w:p>
    <w:p w14:paraId="047EA34A" w14:textId="77777777" w:rsidR="00FA007C" w:rsidRPr="00E06806" w:rsidRDefault="00FA007C" w:rsidP="00D63204">
      <w:pPr>
        <w:widowControl w:val="0"/>
        <w:spacing w:before="2" w:after="0" w:line="240" w:lineRule="auto"/>
        <w:ind w:left="107"/>
        <w:rPr>
          <w:rFonts w:cstheme="minorHAnsi"/>
          <w:b/>
          <w:bCs/>
          <w:sz w:val="18"/>
          <w:szCs w:val="18"/>
        </w:rPr>
      </w:pPr>
    </w:p>
    <w:tbl>
      <w:tblPr>
        <w:tblW w:w="0" w:type="auto"/>
        <w:tblInd w:w="108" w:type="dxa"/>
        <w:tblLayout w:type="fixed"/>
        <w:tblCellMar>
          <w:left w:w="0" w:type="dxa"/>
          <w:right w:w="0" w:type="dxa"/>
        </w:tblCellMar>
        <w:tblLook w:val="01E0" w:firstRow="1" w:lastRow="1" w:firstColumn="1" w:lastColumn="1" w:noHBand="0" w:noVBand="0"/>
      </w:tblPr>
      <w:tblGrid>
        <w:gridCol w:w="5287"/>
        <w:gridCol w:w="3292"/>
      </w:tblGrid>
      <w:tr w:rsidR="00FA007C" w:rsidRPr="00E06806" w14:paraId="60D2E4D5" w14:textId="77777777" w:rsidTr="00BE53E8">
        <w:trPr>
          <w:trHeight w:hRule="exact" w:val="398"/>
        </w:trPr>
        <w:tc>
          <w:tcPr>
            <w:tcW w:w="5287" w:type="dxa"/>
            <w:tcBorders>
              <w:top w:val="single" w:sz="4" w:space="0" w:color="000000"/>
              <w:left w:val="single" w:sz="4" w:space="0" w:color="000000"/>
              <w:bottom w:val="single" w:sz="4" w:space="0" w:color="000000"/>
              <w:right w:val="single" w:sz="4" w:space="0" w:color="000000"/>
            </w:tcBorders>
            <w:vAlign w:val="center"/>
          </w:tcPr>
          <w:p w14:paraId="094B0D33" w14:textId="77777777" w:rsidR="00FA007C" w:rsidRPr="00E06806" w:rsidRDefault="00FA007C" w:rsidP="0033749E">
            <w:pPr>
              <w:widowControl w:val="0"/>
              <w:spacing w:before="87" w:after="0" w:line="240" w:lineRule="auto"/>
              <w:ind w:left="107"/>
              <w:rPr>
                <w:rFonts w:cstheme="minorHAnsi"/>
                <w:sz w:val="20"/>
                <w:szCs w:val="20"/>
              </w:rPr>
            </w:pPr>
            <w:r w:rsidRPr="00E06806">
              <w:rPr>
                <w:rFonts w:cstheme="minorHAnsi"/>
                <w:b/>
                <w:color w:val="231F20"/>
                <w:w w:val="110"/>
                <w:sz w:val="20"/>
                <w:szCs w:val="20"/>
              </w:rPr>
              <w:t>Adult</w:t>
            </w:r>
            <w:r w:rsidRPr="00E06806">
              <w:rPr>
                <w:rFonts w:cstheme="minorHAnsi"/>
                <w:b/>
                <w:color w:val="231F20"/>
                <w:spacing w:val="-26"/>
                <w:w w:val="110"/>
                <w:sz w:val="20"/>
                <w:szCs w:val="20"/>
              </w:rPr>
              <w:t xml:space="preserve"> </w:t>
            </w:r>
            <w:r w:rsidRPr="00E06806">
              <w:rPr>
                <w:rFonts w:cstheme="minorHAnsi"/>
                <w:b/>
                <w:color w:val="231F20"/>
                <w:w w:val="110"/>
                <w:sz w:val="20"/>
                <w:szCs w:val="20"/>
              </w:rPr>
              <w:t>Measures</w:t>
            </w:r>
          </w:p>
        </w:tc>
        <w:tc>
          <w:tcPr>
            <w:tcW w:w="3292" w:type="dxa"/>
            <w:tcBorders>
              <w:top w:val="single" w:sz="4" w:space="0" w:color="000000"/>
              <w:left w:val="single" w:sz="4" w:space="0" w:color="000000"/>
              <w:bottom w:val="single" w:sz="4" w:space="0" w:color="000000"/>
              <w:right w:val="single" w:sz="4" w:space="0" w:color="000000"/>
            </w:tcBorders>
            <w:vAlign w:val="center"/>
          </w:tcPr>
          <w:p w14:paraId="1F4623AA" w14:textId="77777777" w:rsidR="00FA007C" w:rsidRPr="00E06806" w:rsidRDefault="00FA007C" w:rsidP="00D63204">
            <w:pPr>
              <w:widowControl w:val="0"/>
              <w:spacing w:before="87" w:after="0" w:line="240" w:lineRule="auto"/>
              <w:ind w:left="107"/>
              <w:rPr>
                <w:rFonts w:cstheme="minorHAnsi"/>
                <w:sz w:val="20"/>
                <w:szCs w:val="20"/>
              </w:rPr>
            </w:pPr>
            <w:r w:rsidRPr="00E06806">
              <w:rPr>
                <w:rFonts w:cstheme="minorHAnsi"/>
                <w:b/>
                <w:color w:val="231F20"/>
                <w:w w:val="110"/>
                <w:sz w:val="20"/>
                <w:szCs w:val="20"/>
              </w:rPr>
              <w:t>PY 2017-2018</w:t>
            </w:r>
            <w:r w:rsidRPr="00E06806">
              <w:rPr>
                <w:rFonts w:cstheme="minorHAnsi"/>
                <w:b/>
                <w:color w:val="231F20"/>
                <w:spacing w:val="21"/>
                <w:w w:val="110"/>
                <w:sz w:val="20"/>
                <w:szCs w:val="20"/>
              </w:rPr>
              <w:t xml:space="preserve"> </w:t>
            </w:r>
            <w:r w:rsidRPr="00E06806">
              <w:rPr>
                <w:rFonts w:cstheme="minorHAnsi"/>
                <w:b/>
                <w:color w:val="231F20"/>
                <w:w w:val="110"/>
                <w:sz w:val="20"/>
                <w:szCs w:val="20"/>
              </w:rPr>
              <w:t>Goals</w:t>
            </w:r>
          </w:p>
        </w:tc>
      </w:tr>
      <w:tr w:rsidR="00FA007C" w:rsidRPr="00E06806" w14:paraId="04711266" w14:textId="77777777" w:rsidTr="00BE53E8">
        <w:trPr>
          <w:trHeight w:hRule="exact" w:val="311"/>
        </w:trPr>
        <w:tc>
          <w:tcPr>
            <w:tcW w:w="5287" w:type="dxa"/>
            <w:tcBorders>
              <w:top w:val="single" w:sz="4" w:space="0" w:color="000000"/>
              <w:left w:val="single" w:sz="4" w:space="0" w:color="000000"/>
              <w:bottom w:val="single" w:sz="4" w:space="0" w:color="000000"/>
              <w:right w:val="single" w:sz="4" w:space="0" w:color="000000"/>
            </w:tcBorders>
            <w:shd w:val="clear" w:color="auto" w:fill="E6E7E8"/>
          </w:tcPr>
          <w:p w14:paraId="15A1A270" w14:textId="77777777" w:rsidR="00FA007C" w:rsidRPr="00E06806" w:rsidRDefault="00FA007C" w:rsidP="00D63204">
            <w:pPr>
              <w:widowControl w:val="0"/>
              <w:spacing w:before="42" w:after="0" w:line="240" w:lineRule="auto"/>
              <w:ind w:left="332"/>
              <w:rPr>
                <w:rFonts w:cstheme="minorHAnsi"/>
                <w:sz w:val="20"/>
                <w:szCs w:val="20"/>
              </w:rPr>
            </w:pPr>
            <w:r w:rsidRPr="00E06806">
              <w:rPr>
                <w:rFonts w:cstheme="minorHAnsi"/>
                <w:color w:val="231F20"/>
                <w:w w:val="105"/>
                <w:sz w:val="20"/>
                <w:szCs w:val="20"/>
              </w:rPr>
              <w:t>Employed 2nd Qtr. After Exit</w:t>
            </w:r>
          </w:p>
        </w:tc>
        <w:tc>
          <w:tcPr>
            <w:tcW w:w="3292" w:type="dxa"/>
            <w:tcBorders>
              <w:top w:val="single" w:sz="4" w:space="0" w:color="000000"/>
              <w:left w:val="single" w:sz="4" w:space="0" w:color="000000"/>
              <w:bottom w:val="single" w:sz="4" w:space="0" w:color="000000"/>
              <w:right w:val="single" w:sz="4" w:space="0" w:color="000000"/>
            </w:tcBorders>
            <w:shd w:val="clear" w:color="auto" w:fill="E6E7E8"/>
            <w:vAlign w:val="center"/>
          </w:tcPr>
          <w:p w14:paraId="74E15B1B" w14:textId="77777777" w:rsidR="00FA007C" w:rsidRPr="00E06806" w:rsidRDefault="00FA007C" w:rsidP="00D63204">
            <w:pPr>
              <w:widowControl w:val="0"/>
              <w:spacing w:before="42" w:after="0" w:line="240" w:lineRule="auto"/>
              <w:ind w:left="107"/>
              <w:rPr>
                <w:rFonts w:cstheme="minorHAnsi"/>
                <w:sz w:val="20"/>
                <w:szCs w:val="20"/>
              </w:rPr>
            </w:pPr>
            <w:r w:rsidRPr="00E06806">
              <w:rPr>
                <w:rFonts w:cstheme="minorHAnsi"/>
                <w:color w:val="231F20"/>
                <w:spacing w:val="-2"/>
                <w:w w:val="110"/>
                <w:sz w:val="20"/>
                <w:szCs w:val="20"/>
              </w:rPr>
              <w:t>89.0%</w:t>
            </w:r>
          </w:p>
        </w:tc>
      </w:tr>
      <w:tr w:rsidR="00FA007C" w:rsidRPr="00E06806" w14:paraId="35AE1358" w14:textId="77777777" w:rsidTr="00BE53E8">
        <w:trPr>
          <w:trHeight w:hRule="exact" w:val="311"/>
        </w:trPr>
        <w:tc>
          <w:tcPr>
            <w:tcW w:w="5287" w:type="dxa"/>
            <w:tcBorders>
              <w:top w:val="single" w:sz="4" w:space="0" w:color="000000"/>
              <w:left w:val="single" w:sz="4" w:space="0" w:color="000000"/>
              <w:bottom w:val="single" w:sz="4" w:space="0" w:color="000000"/>
              <w:right w:val="single" w:sz="4" w:space="0" w:color="000000"/>
            </w:tcBorders>
          </w:tcPr>
          <w:p w14:paraId="00DB82A3" w14:textId="77777777" w:rsidR="00FA007C" w:rsidRPr="00E06806" w:rsidRDefault="00FA007C" w:rsidP="00D63204">
            <w:pPr>
              <w:widowControl w:val="0"/>
              <w:spacing w:before="42" w:after="0" w:line="240" w:lineRule="auto"/>
              <w:ind w:left="332"/>
              <w:rPr>
                <w:rFonts w:cstheme="minorHAnsi"/>
                <w:sz w:val="20"/>
                <w:szCs w:val="20"/>
              </w:rPr>
            </w:pPr>
            <w:r w:rsidRPr="00E06806">
              <w:rPr>
                <w:rFonts w:cstheme="minorHAnsi"/>
                <w:color w:val="231F20"/>
                <w:w w:val="105"/>
                <w:sz w:val="20"/>
                <w:szCs w:val="20"/>
              </w:rPr>
              <w:t>Employed 4th Qtr. After Exit</w:t>
            </w:r>
          </w:p>
        </w:tc>
        <w:tc>
          <w:tcPr>
            <w:tcW w:w="3292" w:type="dxa"/>
            <w:tcBorders>
              <w:top w:val="single" w:sz="4" w:space="0" w:color="000000"/>
              <w:left w:val="single" w:sz="4" w:space="0" w:color="000000"/>
              <w:bottom w:val="single" w:sz="4" w:space="0" w:color="000000"/>
              <w:right w:val="single" w:sz="4" w:space="0" w:color="000000"/>
            </w:tcBorders>
            <w:vAlign w:val="center"/>
          </w:tcPr>
          <w:p w14:paraId="002F67CF" w14:textId="77777777" w:rsidR="00FA007C" w:rsidRPr="00E06806" w:rsidRDefault="00FA007C" w:rsidP="00D63204">
            <w:pPr>
              <w:widowControl w:val="0"/>
              <w:spacing w:before="42" w:after="0" w:line="240" w:lineRule="auto"/>
              <w:ind w:left="107"/>
              <w:rPr>
                <w:rFonts w:cstheme="minorHAnsi"/>
                <w:sz w:val="20"/>
                <w:szCs w:val="20"/>
              </w:rPr>
            </w:pPr>
            <w:r w:rsidRPr="00E06806">
              <w:rPr>
                <w:rFonts w:cstheme="minorHAnsi"/>
                <w:color w:val="231F20"/>
                <w:spacing w:val="-2"/>
                <w:w w:val="110"/>
                <w:sz w:val="20"/>
                <w:szCs w:val="20"/>
              </w:rPr>
              <w:t>85.0%</w:t>
            </w:r>
          </w:p>
        </w:tc>
      </w:tr>
      <w:tr w:rsidR="00FA007C" w:rsidRPr="00E06806" w14:paraId="3F427ADE" w14:textId="77777777" w:rsidTr="00BE53E8">
        <w:trPr>
          <w:trHeight w:hRule="exact" w:val="311"/>
        </w:trPr>
        <w:tc>
          <w:tcPr>
            <w:tcW w:w="5287" w:type="dxa"/>
            <w:tcBorders>
              <w:top w:val="single" w:sz="4" w:space="0" w:color="000000"/>
              <w:left w:val="single" w:sz="4" w:space="0" w:color="000000"/>
              <w:bottom w:val="single" w:sz="4" w:space="0" w:color="000000"/>
              <w:right w:val="single" w:sz="4" w:space="0" w:color="000000"/>
            </w:tcBorders>
            <w:shd w:val="clear" w:color="auto" w:fill="E6E7E8"/>
          </w:tcPr>
          <w:p w14:paraId="7228DD36" w14:textId="77777777" w:rsidR="00FA007C" w:rsidRPr="00E06806" w:rsidRDefault="00FA007C" w:rsidP="00D63204">
            <w:pPr>
              <w:widowControl w:val="0"/>
              <w:spacing w:before="42" w:after="0" w:line="240" w:lineRule="auto"/>
              <w:ind w:left="332"/>
              <w:rPr>
                <w:rFonts w:cstheme="minorHAnsi"/>
                <w:sz w:val="20"/>
                <w:szCs w:val="20"/>
              </w:rPr>
            </w:pPr>
            <w:r w:rsidRPr="00E06806">
              <w:rPr>
                <w:rFonts w:cstheme="minorHAnsi"/>
                <w:color w:val="231F20"/>
                <w:w w:val="110"/>
                <w:sz w:val="20"/>
                <w:szCs w:val="20"/>
              </w:rPr>
              <w:t>Median Wage 2nd Quarter After Exit</w:t>
            </w:r>
          </w:p>
        </w:tc>
        <w:tc>
          <w:tcPr>
            <w:tcW w:w="3292" w:type="dxa"/>
            <w:tcBorders>
              <w:top w:val="single" w:sz="4" w:space="0" w:color="000000"/>
              <w:left w:val="single" w:sz="4" w:space="0" w:color="000000"/>
              <w:bottom w:val="single" w:sz="4" w:space="0" w:color="000000"/>
              <w:right w:val="single" w:sz="4" w:space="0" w:color="000000"/>
            </w:tcBorders>
            <w:shd w:val="clear" w:color="auto" w:fill="E6E7E8"/>
            <w:vAlign w:val="center"/>
          </w:tcPr>
          <w:p w14:paraId="24BB4493" w14:textId="77777777" w:rsidR="00FA007C" w:rsidRPr="00E06806" w:rsidRDefault="00FA007C" w:rsidP="00D63204">
            <w:pPr>
              <w:widowControl w:val="0"/>
              <w:spacing w:before="42" w:after="0" w:line="240" w:lineRule="auto"/>
              <w:ind w:left="107"/>
              <w:rPr>
                <w:rFonts w:cstheme="minorHAnsi"/>
                <w:sz w:val="20"/>
                <w:szCs w:val="20"/>
              </w:rPr>
            </w:pPr>
            <w:r w:rsidRPr="00E06806">
              <w:rPr>
                <w:rFonts w:cstheme="minorHAnsi"/>
                <w:color w:val="231F20"/>
                <w:spacing w:val="-2"/>
                <w:w w:val="115"/>
                <w:sz w:val="20"/>
                <w:szCs w:val="20"/>
              </w:rPr>
              <w:t>$7,850</w:t>
            </w:r>
          </w:p>
        </w:tc>
      </w:tr>
      <w:tr w:rsidR="00FA007C" w:rsidRPr="00E06806" w14:paraId="783E4E82" w14:textId="77777777" w:rsidTr="00BE53E8">
        <w:trPr>
          <w:trHeight w:hRule="exact" w:val="311"/>
        </w:trPr>
        <w:tc>
          <w:tcPr>
            <w:tcW w:w="5287" w:type="dxa"/>
            <w:tcBorders>
              <w:top w:val="single" w:sz="4" w:space="0" w:color="000000"/>
              <w:left w:val="single" w:sz="4" w:space="0" w:color="000000"/>
              <w:bottom w:val="single" w:sz="4" w:space="0" w:color="000000"/>
              <w:right w:val="single" w:sz="4" w:space="0" w:color="000000"/>
            </w:tcBorders>
          </w:tcPr>
          <w:p w14:paraId="74706AB7" w14:textId="77777777" w:rsidR="00FA007C" w:rsidRPr="00E06806" w:rsidRDefault="00FA007C" w:rsidP="00D63204">
            <w:pPr>
              <w:widowControl w:val="0"/>
              <w:spacing w:before="42" w:after="0" w:line="240" w:lineRule="auto"/>
              <w:ind w:left="107"/>
              <w:rPr>
                <w:rFonts w:cstheme="minorHAnsi"/>
                <w:sz w:val="20"/>
                <w:szCs w:val="20"/>
              </w:rPr>
            </w:pPr>
            <w:r w:rsidRPr="00E06806">
              <w:rPr>
                <w:rFonts w:cstheme="minorHAnsi"/>
                <w:b/>
                <w:color w:val="231F20"/>
                <w:w w:val="110"/>
                <w:sz w:val="20"/>
                <w:szCs w:val="20"/>
              </w:rPr>
              <w:t>Dislocated</w:t>
            </w:r>
            <w:r w:rsidRPr="00E06806">
              <w:rPr>
                <w:rFonts w:cstheme="minorHAnsi"/>
                <w:b/>
                <w:color w:val="231F20"/>
                <w:spacing w:val="-26"/>
                <w:w w:val="110"/>
                <w:sz w:val="20"/>
                <w:szCs w:val="20"/>
              </w:rPr>
              <w:t xml:space="preserve"> </w:t>
            </w:r>
            <w:r w:rsidRPr="00E06806">
              <w:rPr>
                <w:rFonts w:cstheme="minorHAnsi"/>
                <w:b/>
                <w:color w:val="231F20"/>
                <w:w w:val="110"/>
                <w:sz w:val="20"/>
                <w:szCs w:val="20"/>
              </w:rPr>
              <w:t>Worker</w:t>
            </w:r>
            <w:r w:rsidRPr="00E06806">
              <w:rPr>
                <w:rFonts w:cstheme="minorHAnsi"/>
                <w:b/>
                <w:color w:val="231F20"/>
                <w:spacing w:val="-26"/>
                <w:w w:val="110"/>
                <w:sz w:val="20"/>
                <w:szCs w:val="20"/>
              </w:rPr>
              <w:t xml:space="preserve"> </w:t>
            </w:r>
            <w:r w:rsidRPr="00E06806">
              <w:rPr>
                <w:rFonts w:cstheme="minorHAnsi"/>
                <w:b/>
                <w:color w:val="231F20"/>
                <w:w w:val="110"/>
                <w:sz w:val="20"/>
                <w:szCs w:val="20"/>
              </w:rPr>
              <w:t>Measures</w:t>
            </w:r>
          </w:p>
        </w:tc>
        <w:tc>
          <w:tcPr>
            <w:tcW w:w="3292" w:type="dxa"/>
            <w:tcBorders>
              <w:top w:val="single" w:sz="4" w:space="0" w:color="000000"/>
              <w:left w:val="single" w:sz="4" w:space="0" w:color="000000"/>
              <w:bottom w:val="single" w:sz="4" w:space="0" w:color="000000"/>
              <w:right w:val="single" w:sz="4" w:space="0" w:color="000000"/>
            </w:tcBorders>
            <w:vAlign w:val="center"/>
          </w:tcPr>
          <w:p w14:paraId="17BAE70B" w14:textId="77777777" w:rsidR="00FA007C" w:rsidRPr="00E06806" w:rsidRDefault="00FA007C" w:rsidP="00D63204">
            <w:pPr>
              <w:widowControl w:val="0"/>
              <w:spacing w:after="0" w:line="240" w:lineRule="auto"/>
              <w:ind w:left="107"/>
              <w:rPr>
                <w:rFonts w:cstheme="minorHAnsi"/>
                <w:sz w:val="20"/>
                <w:szCs w:val="20"/>
              </w:rPr>
            </w:pPr>
          </w:p>
        </w:tc>
      </w:tr>
      <w:tr w:rsidR="00FA007C" w:rsidRPr="00E06806" w14:paraId="2A901523" w14:textId="77777777" w:rsidTr="00BE53E8">
        <w:trPr>
          <w:trHeight w:hRule="exact" w:val="311"/>
        </w:trPr>
        <w:tc>
          <w:tcPr>
            <w:tcW w:w="5287" w:type="dxa"/>
            <w:tcBorders>
              <w:top w:val="single" w:sz="4" w:space="0" w:color="000000"/>
              <w:left w:val="single" w:sz="4" w:space="0" w:color="000000"/>
              <w:bottom w:val="single" w:sz="4" w:space="0" w:color="000000"/>
              <w:right w:val="single" w:sz="4" w:space="0" w:color="000000"/>
            </w:tcBorders>
            <w:shd w:val="clear" w:color="auto" w:fill="E6E7E8"/>
          </w:tcPr>
          <w:p w14:paraId="0956D64E" w14:textId="77777777" w:rsidR="00FA007C" w:rsidRPr="00E06806" w:rsidRDefault="00FA007C" w:rsidP="00D63204">
            <w:pPr>
              <w:widowControl w:val="0"/>
              <w:spacing w:before="42" w:after="0" w:line="240" w:lineRule="auto"/>
              <w:ind w:left="332"/>
              <w:rPr>
                <w:rFonts w:cstheme="minorHAnsi"/>
                <w:sz w:val="20"/>
                <w:szCs w:val="20"/>
              </w:rPr>
            </w:pPr>
            <w:r w:rsidRPr="00E06806">
              <w:rPr>
                <w:rFonts w:cstheme="minorHAnsi"/>
                <w:color w:val="231F20"/>
                <w:w w:val="105"/>
                <w:sz w:val="20"/>
                <w:szCs w:val="20"/>
              </w:rPr>
              <w:t>Employed 2nd Qtr. After Exit</w:t>
            </w:r>
          </w:p>
        </w:tc>
        <w:tc>
          <w:tcPr>
            <w:tcW w:w="3292" w:type="dxa"/>
            <w:tcBorders>
              <w:top w:val="single" w:sz="4" w:space="0" w:color="000000"/>
              <w:left w:val="single" w:sz="4" w:space="0" w:color="000000"/>
              <w:bottom w:val="single" w:sz="4" w:space="0" w:color="000000"/>
              <w:right w:val="single" w:sz="4" w:space="0" w:color="000000"/>
            </w:tcBorders>
            <w:shd w:val="clear" w:color="auto" w:fill="E6E7E8"/>
            <w:vAlign w:val="center"/>
          </w:tcPr>
          <w:p w14:paraId="6368123A" w14:textId="77777777" w:rsidR="00FA007C" w:rsidRPr="00E06806" w:rsidRDefault="00FA007C" w:rsidP="00D63204">
            <w:pPr>
              <w:widowControl w:val="0"/>
              <w:spacing w:before="42" w:after="0" w:line="240" w:lineRule="auto"/>
              <w:ind w:left="107"/>
              <w:rPr>
                <w:rFonts w:cstheme="minorHAnsi"/>
                <w:sz w:val="20"/>
                <w:szCs w:val="20"/>
              </w:rPr>
            </w:pPr>
            <w:r w:rsidRPr="00E06806">
              <w:rPr>
                <w:rFonts w:cstheme="minorHAnsi"/>
                <w:color w:val="231F20"/>
                <w:spacing w:val="-3"/>
                <w:w w:val="110"/>
                <w:sz w:val="20"/>
                <w:szCs w:val="20"/>
              </w:rPr>
              <w:t>83.0%</w:t>
            </w:r>
          </w:p>
        </w:tc>
      </w:tr>
      <w:tr w:rsidR="00FA007C" w:rsidRPr="00E06806" w14:paraId="6D439CC2" w14:textId="77777777" w:rsidTr="00BE53E8">
        <w:trPr>
          <w:trHeight w:hRule="exact" w:val="311"/>
        </w:trPr>
        <w:tc>
          <w:tcPr>
            <w:tcW w:w="5287" w:type="dxa"/>
            <w:tcBorders>
              <w:top w:val="single" w:sz="4" w:space="0" w:color="000000"/>
              <w:left w:val="single" w:sz="4" w:space="0" w:color="000000"/>
              <w:bottom w:val="single" w:sz="4" w:space="0" w:color="000000"/>
              <w:right w:val="single" w:sz="4" w:space="0" w:color="000000"/>
            </w:tcBorders>
          </w:tcPr>
          <w:p w14:paraId="74879FED" w14:textId="77777777" w:rsidR="00FA007C" w:rsidRPr="00E06806" w:rsidRDefault="00FA007C" w:rsidP="00D63204">
            <w:pPr>
              <w:widowControl w:val="0"/>
              <w:spacing w:before="42" w:after="0" w:line="240" w:lineRule="auto"/>
              <w:ind w:left="332"/>
              <w:rPr>
                <w:rFonts w:cstheme="minorHAnsi"/>
                <w:sz w:val="20"/>
                <w:szCs w:val="20"/>
              </w:rPr>
            </w:pPr>
            <w:r w:rsidRPr="00E06806">
              <w:rPr>
                <w:rFonts w:cstheme="minorHAnsi"/>
                <w:color w:val="231F20"/>
                <w:w w:val="105"/>
                <w:sz w:val="20"/>
                <w:szCs w:val="20"/>
              </w:rPr>
              <w:t>Employed 4th Qtr. After Exit</w:t>
            </w:r>
          </w:p>
        </w:tc>
        <w:tc>
          <w:tcPr>
            <w:tcW w:w="3292" w:type="dxa"/>
            <w:tcBorders>
              <w:top w:val="single" w:sz="4" w:space="0" w:color="000000"/>
              <w:left w:val="single" w:sz="4" w:space="0" w:color="000000"/>
              <w:bottom w:val="single" w:sz="4" w:space="0" w:color="000000"/>
              <w:right w:val="single" w:sz="4" w:space="0" w:color="000000"/>
            </w:tcBorders>
            <w:vAlign w:val="center"/>
          </w:tcPr>
          <w:p w14:paraId="120F3A7E" w14:textId="77777777" w:rsidR="00FA007C" w:rsidRPr="00E06806" w:rsidRDefault="00FA007C" w:rsidP="00D63204">
            <w:pPr>
              <w:widowControl w:val="0"/>
              <w:spacing w:before="42" w:after="0" w:line="240" w:lineRule="auto"/>
              <w:ind w:left="107"/>
              <w:rPr>
                <w:rFonts w:cstheme="minorHAnsi"/>
                <w:sz w:val="20"/>
                <w:szCs w:val="20"/>
              </w:rPr>
            </w:pPr>
            <w:r w:rsidRPr="00E06806">
              <w:rPr>
                <w:rFonts w:cstheme="minorHAnsi"/>
                <w:color w:val="231F20"/>
                <w:w w:val="95"/>
                <w:sz w:val="20"/>
                <w:szCs w:val="20"/>
              </w:rPr>
              <w:t>79.0%</w:t>
            </w:r>
          </w:p>
        </w:tc>
      </w:tr>
      <w:tr w:rsidR="00FA007C" w:rsidRPr="00E06806" w14:paraId="5F336334" w14:textId="77777777" w:rsidTr="00BE53E8">
        <w:trPr>
          <w:trHeight w:hRule="exact" w:val="311"/>
        </w:trPr>
        <w:tc>
          <w:tcPr>
            <w:tcW w:w="5287" w:type="dxa"/>
            <w:tcBorders>
              <w:top w:val="single" w:sz="4" w:space="0" w:color="000000"/>
              <w:left w:val="single" w:sz="4" w:space="0" w:color="000000"/>
              <w:bottom w:val="single" w:sz="4" w:space="0" w:color="000000"/>
              <w:right w:val="single" w:sz="4" w:space="0" w:color="000000"/>
            </w:tcBorders>
            <w:shd w:val="clear" w:color="auto" w:fill="E6E7E8"/>
          </w:tcPr>
          <w:p w14:paraId="55E1A607" w14:textId="77777777" w:rsidR="00FA007C" w:rsidRPr="00E06806" w:rsidRDefault="00FA007C" w:rsidP="00D63204">
            <w:pPr>
              <w:widowControl w:val="0"/>
              <w:spacing w:before="42" w:after="0" w:line="240" w:lineRule="auto"/>
              <w:ind w:left="332"/>
              <w:rPr>
                <w:rFonts w:cstheme="minorHAnsi"/>
                <w:sz w:val="20"/>
                <w:szCs w:val="20"/>
              </w:rPr>
            </w:pPr>
            <w:r w:rsidRPr="00E06806">
              <w:rPr>
                <w:rFonts w:cstheme="minorHAnsi"/>
                <w:color w:val="231F20"/>
                <w:w w:val="110"/>
                <w:sz w:val="20"/>
                <w:szCs w:val="20"/>
              </w:rPr>
              <w:t>Median Wage 2nd Quarter After Exit</w:t>
            </w:r>
          </w:p>
        </w:tc>
        <w:tc>
          <w:tcPr>
            <w:tcW w:w="3292" w:type="dxa"/>
            <w:tcBorders>
              <w:top w:val="single" w:sz="4" w:space="0" w:color="000000"/>
              <w:left w:val="single" w:sz="4" w:space="0" w:color="000000"/>
              <w:bottom w:val="single" w:sz="4" w:space="0" w:color="000000"/>
              <w:right w:val="single" w:sz="4" w:space="0" w:color="000000"/>
            </w:tcBorders>
            <w:shd w:val="clear" w:color="auto" w:fill="E6E7E8"/>
            <w:vAlign w:val="center"/>
          </w:tcPr>
          <w:p w14:paraId="4CAB3595" w14:textId="77777777" w:rsidR="00FA007C" w:rsidRPr="00E06806" w:rsidRDefault="00FA007C" w:rsidP="00D63204">
            <w:pPr>
              <w:widowControl w:val="0"/>
              <w:spacing w:before="42" w:after="0" w:line="240" w:lineRule="auto"/>
              <w:ind w:left="107"/>
              <w:rPr>
                <w:rFonts w:cstheme="minorHAnsi"/>
                <w:sz w:val="20"/>
                <w:szCs w:val="20"/>
              </w:rPr>
            </w:pPr>
            <w:r w:rsidRPr="00E06806">
              <w:rPr>
                <w:rFonts w:cstheme="minorHAnsi"/>
                <w:color w:val="231F20"/>
                <w:spacing w:val="-5"/>
                <w:w w:val="95"/>
                <w:sz w:val="20"/>
                <w:szCs w:val="20"/>
              </w:rPr>
              <w:t>$6,850</w:t>
            </w:r>
          </w:p>
        </w:tc>
      </w:tr>
      <w:tr w:rsidR="00FA007C" w:rsidRPr="00E06806" w14:paraId="717AF69B" w14:textId="77777777" w:rsidTr="00BE53E8">
        <w:trPr>
          <w:trHeight w:hRule="exact" w:val="311"/>
        </w:trPr>
        <w:tc>
          <w:tcPr>
            <w:tcW w:w="5287" w:type="dxa"/>
            <w:tcBorders>
              <w:top w:val="single" w:sz="4" w:space="0" w:color="000000"/>
              <w:left w:val="single" w:sz="4" w:space="0" w:color="000000"/>
              <w:bottom w:val="single" w:sz="4" w:space="0" w:color="000000"/>
              <w:right w:val="single" w:sz="4" w:space="0" w:color="000000"/>
            </w:tcBorders>
          </w:tcPr>
          <w:p w14:paraId="5171A612" w14:textId="77777777" w:rsidR="00FA007C" w:rsidRPr="00E06806" w:rsidRDefault="00FA007C" w:rsidP="00D63204">
            <w:pPr>
              <w:widowControl w:val="0"/>
              <w:spacing w:before="42" w:after="0" w:line="240" w:lineRule="auto"/>
              <w:ind w:left="107"/>
              <w:rPr>
                <w:rFonts w:cstheme="minorHAnsi"/>
                <w:sz w:val="20"/>
                <w:szCs w:val="20"/>
              </w:rPr>
            </w:pPr>
            <w:r w:rsidRPr="00E06806">
              <w:rPr>
                <w:rFonts w:cstheme="minorHAnsi"/>
                <w:b/>
                <w:color w:val="231F20"/>
                <w:spacing w:val="-5"/>
                <w:w w:val="110"/>
                <w:sz w:val="20"/>
                <w:szCs w:val="20"/>
              </w:rPr>
              <w:t xml:space="preserve">Youth </w:t>
            </w:r>
            <w:r w:rsidRPr="00E06806">
              <w:rPr>
                <w:rFonts w:cstheme="minorHAnsi"/>
                <w:b/>
                <w:color w:val="231F20"/>
                <w:w w:val="110"/>
                <w:sz w:val="20"/>
                <w:szCs w:val="20"/>
              </w:rPr>
              <w:t>Common</w:t>
            </w:r>
            <w:r w:rsidRPr="00E06806">
              <w:rPr>
                <w:rFonts w:cstheme="minorHAnsi"/>
                <w:b/>
                <w:color w:val="231F20"/>
                <w:spacing w:val="-15"/>
                <w:w w:val="110"/>
                <w:sz w:val="20"/>
                <w:szCs w:val="20"/>
              </w:rPr>
              <w:t xml:space="preserve"> </w:t>
            </w:r>
            <w:r w:rsidRPr="00E06806">
              <w:rPr>
                <w:rFonts w:cstheme="minorHAnsi"/>
                <w:b/>
                <w:color w:val="231F20"/>
                <w:w w:val="110"/>
                <w:sz w:val="20"/>
                <w:szCs w:val="20"/>
              </w:rPr>
              <w:t>Measures</w:t>
            </w:r>
          </w:p>
        </w:tc>
        <w:tc>
          <w:tcPr>
            <w:tcW w:w="3292" w:type="dxa"/>
            <w:tcBorders>
              <w:top w:val="single" w:sz="4" w:space="0" w:color="000000"/>
              <w:left w:val="single" w:sz="4" w:space="0" w:color="000000"/>
              <w:bottom w:val="single" w:sz="4" w:space="0" w:color="000000"/>
              <w:right w:val="single" w:sz="4" w:space="0" w:color="000000"/>
            </w:tcBorders>
            <w:vAlign w:val="center"/>
          </w:tcPr>
          <w:p w14:paraId="0FFCD4C3" w14:textId="77777777" w:rsidR="00FA007C" w:rsidRPr="00E06806" w:rsidRDefault="00FA007C" w:rsidP="00D63204">
            <w:pPr>
              <w:widowControl w:val="0"/>
              <w:spacing w:after="0" w:line="240" w:lineRule="auto"/>
              <w:ind w:left="107"/>
              <w:rPr>
                <w:rFonts w:cstheme="minorHAnsi"/>
                <w:sz w:val="20"/>
                <w:szCs w:val="20"/>
              </w:rPr>
            </w:pPr>
          </w:p>
        </w:tc>
      </w:tr>
      <w:tr w:rsidR="00FA007C" w:rsidRPr="00E06806" w14:paraId="0D2645F6" w14:textId="77777777" w:rsidTr="00BE53E8">
        <w:trPr>
          <w:trHeight w:hRule="exact" w:val="311"/>
        </w:trPr>
        <w:tc>
          <w:tcPr>
            <w:tcW w:w="5287" w:type="dxa"/>
            <w:tcBorders>
              <w:top w:val="single" w:sz="4" w:space="0" w:color="000000"/>
              <w:left w:val="single" w:sz="4" w:space="0" w:color="000000"/>
              <w:bottom w:val="single" w:sz="4" w:space="0" w:color="000000"/>
              <w:right w:val="single" w:sz="4" w:space="0" w:color="000000"/>
            </w:tcBorders>
            <w:shd w:val="clear" w:color="auto" w:fill="E6E7E8"/>
          </w:tcPr>
          <w:p w14:paraId="15539A3D" w14:textId="77777777" w:rsidR="00FA007C" w:rsidRPr="00E06806" w:rsidRDefault="00FA007C" w:rsidP="00D63204">
            <w:pPr>
              <w:widowControl w:val="0"/>
              <w:spacing w:before="42" w:after="0" w:line="240" w:lineRule="auto"/>
              <w:ind w:left="332"/>
              <w:rPr>
                <w:rFonts w:cstheme="minorHAnsi"/>
                <w:sz w:val="20"/>
                <w:szCs w:val="20"/>
              </w:rPr>
            </w:pPr>
            <w:r w:rsidRPr="00E06806">
              <w:rPr>
                <w:rFonts w:cstheme="minorHAnsi"/>
                <w:color w:val="231F20"/>
                <w:w w:val="105"/>
                <w:sz w:val="20"/>
                <w:szCs w:val="20"/>
              </w:rPr>
              <w:t>Employed 2nd Qtr. After Exit</w:t>
            </w:r>
          </w:p>
        </w:tc>
        <w:tc>
          <w:tcPr>
            <w:tcW w:w="3292" w:type="dxa"/>
            <w:tcBorders>
              <w:top w:val="single" w:sz="4" w:space="0" w:color="000000"/>
              <w:left w:val="single" w:sz="4" w:space="0" w:color="000000"/>
              <w:bottom w:val="single" w:sz="4" w:space="0" w:color="000000"/>
              <w:right w:val="single" w:sz="4" w:space="0" w:color="000000"/>
            </w:tcBorders>
            <w:shd w:val="clear" w:color="auto" w:fill="E6E7E8"/>
            <w:vAlign w:val="center"/>
          </w:tcPr>
          <w:p w14:paraId="4350C870" w14:textId="77777777" w:rsidR="00FA007C" w:rsidRPr="00E06806" w:rsidRDefault="00FA007C" w:rsidP="00D63204">
            <w:pPr>
              <w:widowControl w:val="0"/>
              <w:spacing w:before="42" w:after="0" w:line="240" w:lineRule="auto"/>
              <w:ind w:left="107"/>
              <w:rPr>
                <w:rFonts w:cstheme="minorHAnsi"/>
                <w:sz w:val="20"/>
                <w:szCs w:val="20"/>
              </w:rPr>
            </w:pPr>
            <w:r w:rsidRPr="00E06806">
              <w:rPr>
                <w:rFonts w:cstheme="minorHAnsi"/>
                <w:color w:val="231F20"/>
                <w:spacing w:val="-3"/>
                <w:w w:val="110"/>
                <w:sz w:val="20"/>
                <w:szCs w:val="20"/>
              </w:rPr>
              <w:t>76.0%</w:t>
            </w:r>
          </w:p>
        </w:tc>
      </w:tr>
      <w:tr w:rsidR="00FA007C" w:rsidRPr="00E06806" w14:paraId="7A3C0BDD" w14:textId="77777777" w:rsidTr="00BE53E8">
        <w:trPr>
          <w:trHeight w:hRule="exact" w:val="311"/>
        </w:trPr>
        <w:tc>
          <w:tcPr>
            <w:tcW w:w="5287" w:type="dxa"/>
            <w:tcBorders>
              <w:top w:val="single" w:sz="4" w:space="0" w:color="000000"/>
              <w:left w:val="single" w:sz="4" w:space="0" w:color="000000"/>
              <w:bottom w:val="single" w:sz="4" w:space="0" w:color="000000"/>
              <w:right w:val="single" w:sz="4" w:space="0" w:color="000000"/>
            </w:tcBorders>
          </w:tcPr>
          <w:p w14:paraId="1056969B" w14:textId="77777777" w:rsidR="00FA007C" w:rsidRPr="00E06806" w:rsidRDefault="00FA007C" w:rsidP="00D63204">
            <w:pPr>
              <w:widowControl w:val="0"/>
              <w:spacing w:before="42" w:after="0" w:line="240" w:lineRule="auto"/>
              <w:ind w:left="332"/>
              <w:rPr>
                <w:rFonts w:cstheme="minorHAnsi"/>
                <w:sz w:val="20"/>
                <w:szCs w:val="20"/>
              </w:rPr>
            </w:pPr>
            <w:r w:rsidRPr="00E06806">
              <w:rPr>
                <w:rFonts w:cstheme="minorHAnsi"/>
                <w:color w:val="231F20"/>
                <w:w w:val="105"/>
                <w:sz w:val="20"/>
                <w:szCs w:val="20"/>
              </w:rPr>
              <w:t>Employed 4th Qtr. After Exit</w:t>
            </w:r>
          </w:p>
        </w:tc>
        <w:tc>
          <w:tcPr>
            <w:tcW w:w="3292" w:type="dxa"/>
            <w:tcBorders>
              <w:top w:val="single" w:sz="4" w:space="0" w:color="000000"/>
              <w:left w:val="single" w:sz="4" w:space="0" w:color="000000"/>
              <w:bottom w:val="single" w:sz="4" w:space="0" w:color="000000"/>
              <w:right w:val="single" w:sz="4" w:space="0" w:color="000000"/>
            </w:tcBorders>
            <w:vAlign w:val="center"/>
          </w:tcPr>
          <w:p w14:paraId="64DC808A" w14:textId="77777777" w:rsidR="00FA007C" w:rsidRPr="00E06806" w:rsidRDefault="00FA007C" w:rsidP="00D63204">
            <w:pPr>
              <w:widowControl w:val="0"/>
              <w:spacing w:before="42" w:after="0" w:line="240" w:lineRule="auto"/>
              <w:ind w:left="107"/>
              <w:rPr>
                <w:rFonts w:cstheme="minorHAnsi"/>
                <w:sz w:val="20"/>
                <w:szCs w:val="20"/>
              </w:rPr>
            </w:pPr>
            <w:r w:rsidRPr="00E06806">
              <w:rPr>
                <w:rFonts w:cstheme="minorHAnsi"/>
                <w:color w:val="231F20"/>
                <w:w w:val="105"/>
                <w:sz w:val="20"/>
                <w:szCs w:val="20"/>
              </w:rPr>
              <w:t>69.0%</w:t>
            </w:r>
          </w:p>
        </w:tc>
      </w:tr>
      <w:tr w:rsidR="00FA007C" w:rsidRPr="00E06806" w14:paraId="0954F5D4" w14:textId="77777777" w:rsidTr="00BE53E8">
        <w:trPr>
          <w:trHeight w:hRule="exact" w:val="311"/>
        </w:trPr>
        <w:tc>
          <w:tcPr>
            <w:tcW w:w="5287" w:type="dxa"/>
            <w:tcBorders>
              <w:top w:val="single" w:sz="4" w:space="0" w:color="000000"/>
              <w:left w:val="single" w:sz="4" w:space="0" w:color="000000"/>
              <w:bottom w:val="single" w:sz="4" w:space="0" w:color="000000"/>
              <w:right w:val="single" w:sz="4" w:space="0" w:color="000000"/>
            </w:tcBorders>
            <w:shd w:val="clear" w:color="auto" w:fill="E6E7E8"/>
          </w:tcPr>
          <w:p w14:paraId="6CA02667" w14:textId="77777777" w:rsidR="00FA007C" w:rsidRPr="00E06806" w:rsidRDefault="00FA007C" w:rsidP="00D63204">
            <w:pPr>
              <w:widowControl w:val="0"/>
              <w:spacing w:before="42" w:after="0" w:line="240" w:lineRule="auto"/>
              <w:ind w:left="332"/>
              <w:rPr>
                <w:rFonts w:cstheme="minorHAnsi"/>
                <w:sz w:val="20"/>
                <w:szCs w:val="20"/>
              </w:rPr>
            </w:pPr>
            <w:r w:rsidRPr="00E06806">
              <w:rPr>
                <w:rFonts w:cstheme="minorHAnsi"/>
                <w:color w:val="231F20"/>
                <w:w w:val="105"/>
                <w:sz w:val="20"/>
                <w:szCs w:val="20"/>
              </w:rPr>
              <w:t>Measurable Skills Gain</w:t>
            </w:r>
          </w:p>
        </w:tc>
        <w:tc>
          <w:tcPr>
            <w:tcW w:w="3292" w:type="dxa"/>
            <w:tcBorders>
              <w:top w:val="single" w:sz="4" w:space="0" w:color="000000"/>
              <w:left w:val="single" w:sz="4" w:space="0" w:color="000000"/>
              <w:bottom w:val="single" w:sz="4" w:space="0" w:color="000000"/>
              <w:right w:val="single" w:sz="4" w:space="0" w:color="000000"/>
            </w:tcBorders>
            <w:shd w:val="clear" w:color="auto" w:fill="E6E7E8"/>
            <w:vAlign w:val="center"/>
          </w:tcPr>
          <w:p w14:paraId="56EE26D7" w14:textId="77777777" w:rsidR="00FA007C" w:rsidRPr="00E06806" w:rsidRDefault="00FA007C" w:rsidP="00D63204">
            <w:pPr>
              <w:widowControl w:val="0"/>
              <w:spacing w:before="42" w:after="0" w:line="240" w:lineRule="auto"/>
              <w:ind w:left="107"/>
              <w:rPr>
                <w:rFonts w:cstheme="minorHAnsi"/>
                <w:sz w:val="20"/>
                <w:szCs w:val="20"/>
              </w:rPr>
            </w:pPr>
          </w:p>
        </w:tc>
      </w:tr>
      <w:tr w:rsidR="00FA007C" w:rsidRPr="00E06806" w14:paraId="034C268A" w14:textId="77777777" w:rsidTr="00BE53E8">
        <w:trPr>
          <w:trHeight w:hRule="exact" w:val="311"/>
        </w:trPr>
        <w:tc>
          <w:tcPr>
            <w:tcW w:w="5287" w:type="dxa"/>
            <w:tcBorders>
              <w:top w:val="single" w:sz="4" w:space="0" w:color="000000"/>
              <w:left w:val="single" w:sz="4" w:space="0" w:color="000000"/>
              <w:bottom w:val="single" w:sz="4" w:space="0" w:color="000000"/>
              <w:right w:val="single" w:sz="4" w:space="0" w:color="000000"/>
            </w:tcBorders>
          </w:tcPr>
          <w:p w14:paraId="1B6772D3" w14:textId="77777777" w:rsidR="00FA007C" w:rsidRPr="00E06806" w:rsidRDefault="00FA007C" w:rsidP="00D63204">
            <w:pPr>
              <w:widowControl w:val="0"/>
              <w:spacing w:before="42" w:after="0" w:line="240" w:lineRule="auto"/>
              <w:ind w:left="107"/>
              <w:rPr>
                <w:rFonts w:cstheme="minorHAnsi"/>
                <w:sz w:val="20"/>
                <w:szCs w:val="20"/>
              </w:rPr>
            </w:pPr>
            <w:r w:rsidRPr="00E06806">
              <w:rPr>
                <w:rFonts w:cstheme="minorHAnsi"/>
                <w:b/>
                <w:color w:val="231F20"/>
                <w:w w:val="105"/>
                <w:sz w:val="20"/>
                <w:szCs w:val="20"/>
              </w:rPr>
              <w:t>Wagner-Peyser Measures</w:t>
            </w:r>
          </w:p>
        </w:tc>
        <w:tc>
          <w:tcPr>
            <w:tcW w:w="3292" w:type="dxa"/>
            <w:tcBorders>
              <w:top w:val="single" w:sz="4" w:space="0" w:color="000000"/>
              <w:left w:val="single" w:sz="4" w:space="0" w:color="000000"/>
              <w:bottom w:val="single" w:sz="4" w:space="0" w:color="000000"/>
              <w:right w:val="single" w:sz="4" w:space="0" w:color="000000"/>
            </w:tcBorders>
            <w:vAlign w:val="center"/>
          </w:tcPr>
          <w:p w14:paraId="6AACD3F4" w14:textId="77777777" w:rsidR="00FA007C" w:rsidRPr="00E06806" w:rsidRDefault="00FA007C" w:rsidP="00D63204">
            <w:pPr>
              <w:widowControl w:val="0"/>
              <w:spacing w:after="0" w:line="240" w:lineRule="auto"/>
              <w:ind w:left="107"/>
              <w:rPr>
                <w:rFonts w:cstheme="minorHAnsi"/>
                <w:sz w:val="20"/>
                <w:szCs w:val="20"/>
              </w:rPr>
            </w:pPr>
          </w:p>
        </w:tc>
      </w:tr>
      <w:tr w:rsidR="00FA007C" w:rsidRPr="00E06806" w14:paraId="1F76CAFC" w14:textId="77777777" w:rsidTr="00BE53E8">
        <w:trPr>
          <w:trHeight w:hRule="exact" w:val="311"/>
        </w:trPr>
        <w:tc>
          <w:tcPr>
            <w:tcW w:w="5287" w:type="dxa"/>
            <w:tcBorders>
              <w:top w:val="single" w:sz="4" w:space="0" w:color="000000"/>
              <w:left w:val="single" w:sz="4" w:space="0" w:color="000000"/>
              <w:bottom w:val="single" w:sz="4" w:space="0" w:color="000000"/>
              <w:right w:val="single" w:sz="4" w:space="0" w:color="000000"/>
            </w:tcBorders>
            <w:shd w:val="clear" w:color="auto" w:fill="E6E7E8"/>
          </w:tcPr>
          <w:p w14:paraId="1B6F2904" w14:textId="77777777" w:rsidR="00FA007C" w:rsidRPr="00E06806" w:rsidRDefault="00FA007C" w:rsidP="00D63204">
            <w:pPr>
              <w:widowControl w:val="0"/>
              <w:spacing w:before="42" w:after="0" w:line="240" w:lineRule="auto"/>
              <w:ind w:left="332"/>
              <w:rPr>
                <w:rFonts w:cstheme="minorHAnsi"/>
                <w:sz w:val="20"/>
                <w:szCs w:val="20"/>
              </w:rPr>
            </w:pPr>
            <w:r w:rsidRPr="00E06806">
              <w:rPr>
                <w:rFonts w:cstheme="minorHAnsi"/>
                <w:color w:val="231F20"/>
                <w:w w:val="105"/>
                <w:sz w:val="20"/>
                <w:szCs w:val="20"/>
              </w:rPr>
              <w:t>Employed 2nd Qtr. After Exit</w:t>
            </w:r>
          </w:p>
        </w:tc>
        <w:tc>
          <w:tcPr>
            <w:tcW w:w="3292" w:type="dxa"/>
            <w:tcBorders>
              <w:top w:val="single" w:sz="4" w:space="0" w:color="000000"/>
              <w:left w:val="single" w:sz="4" w:space="0" w:color="000000"/>
              <w:bottom w:val="single" w:sz="4" w:space="0" w:color="000000"/>
              <w:right w:val="single" w:sz="4" w:space="0" w:color="000000"/>
            </w:tcBorders>
            <w:shd w:val="clear" w:color="auto" w:fill="E6E7E8"/>
            <w:vAlign w:val="center"/>
          </w:tcPr>
          <w:p w14:paraId="128550BB" w14:textId="77777777" w:rsidR="00FA007C" w:rsidRPr="00E06806" w:rsidRDefault="00FA007C" w:rsidP="00D63204">
            <w:pPr>
              <w:widowControl w:val="0"/>
              <w:spacing w:before="42" w:after="0" w:line="240" w:lineRule="auto"/>
              <w:ind w:left="107"/>
              <w:rPr>
                <w:rFonts w:cstheme="minorHAnsi"/>
                <w:sz w:val="20"/>
                <w:szCs w:val="20"/>
              </w:rPr>
            </w:pPr>
            <w:r w:rsidRPr="00E06806">
              <w:rPr>
                <w:rFonts w:cstheme="minorHAnsi"/>
                <w:color w:val="231F20"/>
                <w:w w:val="95"/>
                <w:sz w:val="20"/>
                <w:szCs w:val="20"/>
              </w:rPr>
              <w:t>64.0%</w:t>
            </w:r>
          </w:p>
        </w:tc>
      </w:tr>
      <w:tr w:rsidR="00FA007C" w:rsidRPr="00E06806" w14:paraId="73A6C6E8" w14:textId="77777777" w:rsidTr="00BE53E8">
        <w:trPr>
          <w:trHeight w:hRule="exact" w:val="311"/>
        </w:trPr>
        <w:tc>
          <w:tcPr>
            <w:tcW w:w="5287" w:type="dxa"/>
            <w:tcBorders>
              <w:top w:val="single" w:sz="4" w:space="0" w:color="000000"/>
              <w:left w:val="single" w:sz="4" w:space="0" w:color="000000"/>
              <w:bottom w:val="single" w:sz="4" w:space="0" w:color="000000"/>
              <w:right w:val="single" w:sz="4" w:space="0" w:color="000000"/>
            </w:tcBorders>
          </w:tcPr>
          <w:p w14:paraId="2B55F01A" w14:textId="77777777" w:rsidR="00FA007C" w:rsidRPr="00E06806" w:rsidRDefault="00FA007C" w:rsidP="00D63204">
            <w:pPr>
              <w:widowControl w:val="0"/>
              <w:spacing w:before="42" w:after="0" w:line="240" w:lineRule="auto"/>
              <w:ind w:left="332"/>
              <w:rPr>
                <w:rFonts w:cstheme="minorHAnsi"/>
                <w:sz w:val="20"/>
                <w:szCs w:val="20"/>
              </w:rPr>
            </w:pPr>
            <w:r w:rsidRPr="00E06806">
              <w:rPr>
                <w:rFonts w:cstheme="minorHAnsi"/>
                <w:color w:val="231F20"/>
                <w:w w:val="105"/>
                <w:sz w:val="20"/>
                <w:szCs w:val="20"/>
              </w:rPr>
              <w:t>Employed 4th Qtr. After Exit</w:t>
            </w:r>
          </w:p>
        </w:tc>
        <w:tc>
          <w:tcPr>
            <w:tcW w:w="3292" w:type="dxa"/>
            <w:tcBorders>
              <w:top w:val="single" w:sz="4" w:space="0" w:color="000000"/>
              <w:left w:val="single" w:sz="4" w:space="0" w:color="000000"/>
              <w:bottom w:val="single" w:sz="4" w:space="0" w:color="000000"/>
              <w:right w:val="single" w:sz="4" w:space="0" w:color="000000"/>
            </w:tcBorders>
            <w:vAlign w:val="center"/>
          </w:tcPr>
          <w:p w14:paraId="1AE8E506" w14:textId="77777777" w:rsidR="00FA007C" w:rsidRPr="00E06806" w:rsidRDefault="00FA007C" w:rsidP="00D63204">
            <w:pPr>
              <w:widowControl w:val="0"/>
              <w:spacing w:before="42" w:after="0" w:line="240" w:lineRule="auto"/>
              <w:ind w:left="107"/>
              <w:rPr>
                <w:rFonts w:cstheme="minorHAnsi"/>
                <w:sz w:val="20"/>
                <w:szCs w:val="20"/>
              </w:rPr>
            </w:pPr>
            <w:r w:rsidRPr="00E06806">
              <w:rPr>
                <w:rFonts w:cstheme="minorHAnsi"/>
                <w:color w:val="231F20"/>
                <w:spacing w:val="-2"/>
                <w:w w:val="110"/>
                <w:sz w:val="20"/>
                <w:szCs w:val="20"/>
              </w:rPr>
              <w:t>66.0%</w:t>
            </w:r>
          </w:p>
        </w:tc>
      </w:tr>
      <w:tr w:rsidR="00FA007C" w:rsidRPr="00E06806" w14:paraId="449F4968" w14:textId="77777777" w:rsidTr="00BE53E8">
        <w:trPr>
          <w:trHeight w:hRule="exact" w:val="311"/>
        </w:trPr>
        <w:tc>
          <w:tcPr>
            <w:tcW w:w="5287" w:type="dxa"/>
            <w:tcBorders>
              <w:top w:val="single" w:sz="4" w:space="0" w:color="000000"/>
              <w:left w:val="single" w:sz="4" w:space="0" w:color="000000"/>
              <w:bottom w:val="single" w:sz="4" w:space="0" w:color="000000"/>
              <w:right w:val="single" w:sz="4" w:space="0" w:color="000000"/>
            </w:tcBorders>
            <w:shd w:val="clear" w:color="auto" w:fill="E6E7E8"/>
          </w:tcPr>
          <w:p w14:paraId="6029A72B" w14:textId="77777777" w:rsidR="00FA007C" w:rsidRPr="00E06806" w:rsidRDefault="00FA007C" w:rsidP="00D63204">
            <w:pPr>
              <w:widowControl w:val="0"/>
              <w:spacing w:before="42" w:after="0" w:line="240" w:lineRule="auto"/>
              <w:ind w:left="332"/>
              <w:rPr>
                <w:rFonts w:cstheme="minorHAnsi"/>
                <w:sz w:val="20"/>
                <w:szCs w:val="20"/>
              </w:rPr>
            </w:pPr>
            <w:r w:rsidRPr="00E06806">
              <w:rPr>
                <w:rFonts w:cstheme="minorHAnsi"/>
                <w:color w:val="231F20"/>
                <w:w w:val="110"/>
                <w:sz w:val="20"/>
                <w:szCs w:val="20"/>
              </w:rPr>
              <w:t>Median Wage 2nd Quarter After Exit</w:t>
            </w:r>
          </w:p>
        </w:tc>
        <w:tc>
          <w:tcPr>
            <w:tcW w:w="3292" w:type="dxa"/>
            <w:tcBorders>
              <w:top w:val="single" w:sz="4" w:space="0" w:color="000000"/>
              <w:left w:val="single" w:sz="4" w:space="0" w:color="000000"/>
              <w:bottom w:val="single" w:sz="4" w:space="0" w:color="000000"/>
              <w:right w:val="single" w:sz="4" w:space="0" w:color="000000"/>
            </w:tcBorders>
            <w:shd w:val="clear" w:color="auto" w:fill="E6E7E8"/>
            <w:vAlign w:val="center"/>
          </w:tcPr>
          <w:p w14:paraId="38FF043F" w14:textId="77777777" w:rsidR="00FA007C" w:rsidRPr="00E06806" w:rsidRDefault="00FA007C" w:rsidP="00D63204">
            <w:pPr>
              <w:widowControl w:val="0"/>
              <w:spacing w:before="42" w:after="0" w:line="240" w:lineRule="auto"/>
              <w:ind w:left="107"/>
              <w:rPr>
                <w:rFonts w:cstheme="minorHAnsi"/>
                <w:color w:val="231F20"/>
                <w:w w:val="105"/>
                <w:sz w:val="20"/>
                <w:szCs w:val="20"/>
              </w:rPr>
            </w:pPr>
            <w:r w:rsidRPr="00E06806">
              <w:rPr>
                <w:rFonts w:cstheme="minorHAnsi"/>
                <w:color w:val="231F20"/>
                <w:w w:val="105"/>
                <w:sz w:val="20"/>
                <w:szCs w:val="20"/>
              </w:rPr>
              <w:t>$4,850</w:t>
            </w:r>
          </w:p>
          <w:p w14:paraId="2A52C6BF" w14:textId="77777777" w:rsidR="00FA007C" w:rsidRPr="00E06806" w:rsidRDefault="00FA007C" w:rsidP="00D63204">
            <w:pPr>
              <w:widowControl w:val="0"/>
              <w:spacing w:before="42" w:after="0" w:line="240" w:lineRule="auto"/>
              <w:ind w:left="107"/>
              <w:rPr>
                <w:rFonts w:cstheme="minorHAnsi"/>
                <w:sz w:val="20"/>
                <w:szCs w:val="20"/>
              </w:rPr>
            </w:pPr>
          </w:p>
        </w:tc>
      </w:tr>
    </w:tbl>
    <w:p w14:paraId="1AFFCAEE" w14:textId="77777777" w:rsidR="00FA007C" w:rsidRPr="00E06806" w:rsidRDefault="00FA007C" w:rsidP="00D63204">
      <w:pPr>
        <w:widowControl w:val="0"/>
        <w:spacing w:after="0" w:line="240" w:lineRule="auto"/>
        <w:ind w:left="107"/>
        <w:rPr>
          <w:rFonts w:cstheme="minorHAnsi"/>
        </w:rPr>
      </w:pPr>
    </w:p>
    <w:p w14:paraId="4206A57E" w14:textId="77777777" w:rsidR="00A210A1" w:rsidRPr="00A210A1" w:rsidRDefault="00FA007C" w:rsidP="00D63204">
      <w:pPr>
        <w:widowControl w:val="0"/>
        <w:spacing w:after="0" w:line="240" w:lineRule="auto"/>
        <w:ind w:left="107"/>
        <w:outlineLvl w:val="3"/>
        <w:rPr>
          <w:rFonts w:cstheme="minorHAnsi"/>
          <w:b/>
          <w:bCs/>
          <w:color w:val="231F20"/>
          <w:w w:val="105"/>
        </w:rPr>
      </w:pPr>
      <w:r w:rsidRPr="00A210A1">
        <w:rPr>
          <w:rFonts w:cstheme="minorHAnsi"/>
          <w:b/>
          <w:bCs/>
          <w:color w:val="231F20"/>
          <w:w w:val="105"/>
        </w:rPr>
        <w:t>Customer Satisfaction</w:t>
      </w:r>
      <w:r w:rsidRPr="00A210A1">
        <w:rPr>
          <w:rFonts w:cstheme="minorHAnsi"/>
          <w:b/>
          <w:bCs/>
          <w:color w:val="231F20"/>
          <w:spacing w:val="8"/>
          <w:w w:val="105"/>
        </w:rPr>
        <w:t xml:space="preserve"> </w:t>
      </w:r>
      <w:r w:rsidRPr="00A210A1">
        <w:rPr>
          <w:rFonts w:cstheme="minorHAnsi"/>
          <w:b/>
          <w:bCs/>
          <w:color w:val="231F20"/>
          <w:w w:val="105"/>
        </w:rPr>
        <w:t xml:space="preserve">Surveys </w:t>
      </w:r>
    </w:p>
    <w:p w14:paraId="607FB3C4" w14:textId="789BE79F" w:rsidR="00FA007C" w:rsidRDefault="00FA007C" w:rsidP="00D63204">
      <w:pPr>
        <w:widowControl w:val="0"/>
        <w:spacing w:after="0" w:line="240" w:lineRule="auto"/>
        <w:ind w:left="107"/>
        <w:outlineLvl w:val="3"/>
        <w:rPr>
          <w:rFonts w:cstheme="minorHAnsi"/>
          <w:color w:val="231F20"/>
          <w:w w:val="105"/>
        </w:rPr>
      </w:pPr>
      <w:r w:rsidRPr="00E06806">
        <w:rPr>
          <w:rFonts w:cstheme="minorHAnsi"/>
          <w:color w:val="231F20"/>
          <w:w w:val="105"/>
        </w:rPr>
        <w:t>Florida</w:t>
      </w:r>
      <w:r w:rsidRPr="00E06806">
        <w:rPr>
          <w:rFonts w:cstheme="minorHAnsi"/>
          <w:color w:val="231F20"/>
          <w:spacing w:val="14"/>
          <w:w w:val="105"/>
        </w:rPr>
        <w:t xml:space="preserve"> </w:t>
      </w:r>
      <w:r w:rsidRPr="00E06806">
        <w:rPr>
          <w:rFonts w:cstheme="minorHAnsi"/>
          <w:color w:val="231F20"/>
          <w:w w:val="105"/>
        </w:rPr>
        <w:t>integrated</w:t>
      </w:r>
      <w:r w:rsidRPr="00E06806">
        <w:rPr>
          <w:rFonts w:cstheme="minorHAnsi"/>
          <w:color w:val="231F20"/>
          <w:spacing w:val="14"/>
          <w:w w:val="105"/>
        </w:rPr>
        <w:t xml:space="preserve"> </w:t>
      </w:r>
      <w:r w:rsidRPr="00E06806">
        <w:rPr>
          <w:rFonts w:cstheme="minorHAnsi"/>
          <w:color w:val="231F20"/>
          <w:w w:val="105"/>
        </w:rPr>
        <w:t>customer</w:t>
      </w:r>
      <w:r w:rsidRPr="00E06806">
        <w:rPr>
          <w:rFonts w:cstheme="minorHAnsi"/>
          <w:color w:val="231F20"/>
          <w:spacing w:val="14"/>
          <w:w w:val="105"/>
        </w:rPr>
        <w:t xml:space="preserve"> </w:t>
      </w:r>
      <w:r w:rsidRPr="00E06806">
        <w:rPr>
          <w:rFonts w:cstheme="minorHAnsi"/>
          <w:color w:val="231F20"/>
          <w:w w:val="105"/>
        </w:rPr>
        <w:t>satisfaction</w:t>
      </w:r>
      <w:r w:rsidRPr="00E06806">
        <w:rPr>
          <w:rFonts w:cstheme="minorHAnsi"/>
          <w:color w:val="231F20"/>
          <w:spacing w:val="14"/>
          <w:w w:val="105"/>
        </w:rPr>
        <w:t xml:space="preserve"> </w:t>
      </w:r>
      <w:r w:rsidRPr="00E06806">
        <w:rPr>
          <w:rFonts w:cstheme="minorHAnsi"/>
          <w:color w:val="231F20"/>
          <w:w w:val="105"/>
        </w:rPr>
        <w:t>surveys</w:t>
      </w:r>
      <w:r w:rsidRPr="00E06806">
        <w:rPr>
          <w:rFonts w:cstheme="minorHAnsi"/>
          <w:color w:val="231F20"/>
          <w:spacing w:val="14"/>
          <w:w w:val="105"/>
        </w:rPr>
        <w:t xml:space="preserve"> </w:t>
      </w:r>
      <w:r w:rsidRPr="00E06806">
        <w:rPr>
          <w:rFonts w:cstheme="minorHAnsi"/>
          <w:color w:val="231F20"/>
          <w:w w:val="105"/>
        </w:rPr>
        <w:t>as</w:t>
      </w:r>
      <w:r w:rsidRPr="00E06806">
        <w:rPr>
          <w:rFonts w:cstheme="minorHAnsi"/>
          <w:color w:val="231F20"/>
          <w:spacing w:val="14"/>
          <w:w w:val="105"/>
        </w:rPr>
        <w:t xml:space="preserve"> </w:t>
      </w:r>
      <w:r w:rsidRPr="00E06806">
        <w:rPr>
          <w:rFonts w:cstheme="minorHAnsi"/>
          <w:color w:val="231F20"/>
          <w:w w:val="105"/>
        </w:rPr>
        <w:t>a</w:t>
      </w:r>
      <w:r w:rsidRPr="00E06806">
        <w:rPr>
          <w:rFonts w:cstheme="minorHAnsi"/>
          <w:color w:val="231F20"/>
          <w:spacing w:val="14"/>
          <w:w w:val="105"/>
        </w:rPr>
        <w:t xml:space="preserve"> </w:t>
      </w:r>
      <w:r w:rsidRPr="00E06806">
        <w:rPr>
          <w:rFonts w:cstheme="minorHAnsi"/>
          <w:color w:val="231F20"/>
          <w:w w:val="105"/>
        </w:rPr>
        <w:t>component</w:t>
      </w:r>
      <w:r w:rsidRPr="00E06806">
        <w:rPr>
          <w:rFonts w:cstheme="minorHAnsi"/>
          <w:color w:val="231F20"/>
          <w:spacing w:val="14"/>
          <w:w w:val="105"/>
        </w:rPr>
        <w:t xml:space="preserve"> </w:t>
      </w:r>
      <w:r w:rsidRPr="00E06806">
        <w:rPr>
          <w:rFonts w:cstheme="minorHAnsi"/>
          <w:color w:val="231F20"/>
          <w:w w:val="105"/>
        </w:rPr>
        <w:t>of</w:t>
      </w:r>
      <w:r w:rsidRPr="00E06806">
        <w:rPr>
          <w:rFonts w:cstheme="minorHAnsi"/>
          <w:color w:val="231F20"/>
          <w:spacing w:val="14"/>
          <w:w w:val="105"/>
        </w:rPr>
        <w:t xml:space="preserve"> </w:t>
      </w:r>
      <w:r w:rsidRPr="00E06806">
        <w:rPr>
          <w:rFonts w:cstheme="minorHAnsi"/>
          <w:color w:val="231F20"/>
          <w:w w:val="105"/>
        </w:rPr>
        <w:t>its</w:t>
      </w:r>
      <w:r w:rsidRPr="00E06806">
        <w:rPr>
          <w:rFonts w:cstheme="minorHAnsi"/>
          <w:color w:val="231F20"/>
          <w:spacing w:val="14"/>
          <w:w w:val="105"/>
        </w:rPr>
        <w:t xml:space="preserve"> </w:t>
      </w:r>
      <w:r w:rsidRPr="00E06806">
        <w:rPr>
          <w:rFonts w:cstheme="minorHAnsi"/>
          <w:color w:val="231F20"/>
          <w:w w:val="105"/>
        </w:rPr>
        <w:t>workforce</w:t>
      </w:r>
      <w:r w:rsidRPr="00E06806">
        <w:rPr>
          <w:rFonts w:cstheme="minorHAnsi"/>
          <w:color w:val="231F20"/>
          <w:spacing w:val="14"/>
          <w:w w:val="105"/>
        </w:rPr>
        <w:t xml:space="preserve"> </w:t>
      </w:r>
      <w:r w:rsidRPr="00E06806">
        <w:rPr>
          <w:rFonts w:cstheme="minorHAnsi"/>
          <w:color w:val="231F20"/>
          <w:w w:val="105"/>
        </w:rPr>
        <w:t>management</w:t>
      </w:r>
      <w:r w:rsidRPr="00E06806">
        <w:rPr>
          <w:rFonts w:cstheme="minorHAnsi"/>
          <w:color w:val="231F20"/>
          <w:w w:val="106"/>
        </w:rPr>
        <w:t xml:space="preserve"> </w:t>
      </w:r>
      <w:r w:rsidRPr="00E06806">
        <w:rPr>
          <w:rFonts w:cstheme="minorHAnsi"/>
          <w:color w:val="231F20"/>
          <w:w w:val="105"/>
        </w:rPr>
        <w:t>system,</w:t>
      </w:r>
      <w:r w:rsidRPr="00E06806">
        <w:rPr>
          <w:rFonts w:cstheme="minorHAnsi"/>
          <w:color w:val="231F20"/>
          <w:spacing w:val="9"/>
          <w:w w:val="105"/>
        </w:rPr>
        <w:t xml:space="preserve"> </w:t>
      </w:r>
      <w:r w:rsidRPr="00E06806">
        <w:rPr>
          <w:rFonts w:cstheme="minorHAnsi"/>
          <w:color w:val="231F20"/>
          <w:w w:val="105"/>
        </w:rPr>
        <w:t>Employ</w:t>
      </w:r>
      <w:r w:rsidRPr="00E06806">
        <w:rPr>
          <w:rFonts w:cstheme="minorHAnsi"/>
          <w:color w:val="231F20"/>
          <w:spacing w:val="9"/>
          <w:w w:val="105"/>
        </w:rPr>
        <w:t xml:space="preserve"> </w:t>
      </w:r>
      <w:r w:rsidRPr="00E06806">
        <w:rPr>
          <w:rFonts w:cstheme="minorHAnsi"/>
          <w:color w:val="231F20"/>
          <w:w w:val="105"/>
        </w:rPr>
        <w:t>Florida.</w:t>
      </w:r>
      <w:r w:rsidRPr="00E06806">
        <w:rPr>
          <w:rFonts w:cstheme="minorHAnsi"/>
          <w:color w:val="231F20"/>
          <w:spacing w:val="9"/>
          <w:w w:val="105"/>
        </w:rPr>
        <w:t xml:space="preserve"> </w:t>
      </w:r>
      <w:r w:rsidRPr="00E06806">
        <w:rPr>
          <w:rFonts w:cstheme="minorHAnsi"/>
          <w:color w:val="231F20"/>
          <w:w w:val="105"/>
        </w:rPr>
        <w:t>Customer satisfaction survey results are invaluable to the state as it identifies and improves on strategies implemented to better serve workforce services customers.</w:t>
      </w:r>
    </w:p>
    <w:p w14:paraId="1011C377" w14:textId="329CFBAF" w:rsidR="00A210A1" w:rsidRDefault="00A210A1" w:rsidP="00D63204">
      <w:pPr>
        <w:widowControl w:val="0"/>
        <w:spacing w:after="0" w:line="240" w:lineRule="auto"/>
        <w:ind w:left="107"/>
        <w:outlineLvl w:val="3"/>
        <w:rPr>
          <w:rFonts w:cstheme="minorHAnsi"/>
          <w:color w:val="231F20"/>
          <w:w w:val="105"/>
        </w:rPr>
      </w:pPr>
    </w:p>
    <w:p w14:paraId="4B702710" w14:textId="6C468B33" w:rsidR="00A210A1" w:rsidRDefault="00A210A1" w:rsidP="00D63204">
      <w:pPr>
        <w:widowControl w:val="0"/>
        <w:spacing w:after="0" w:line="240" w:lineRule="auto"/>
        <w:ind w:left="107"/>
        <w:outlineLvl w:val="3"/>
        <w:rPr>
          <w:rFonts w:cstheme="minorHAnsi"/>
          <w:b/>
          <w:color w:val="231F20"/>
          <w:w w:val="105"/>
        </w:rPr>
      </w:pPr>
      <w:r>
        <w:rPr>
          <w:rFonts w:cstheme="minorHAnsi"/>
          <w:b/>
          <w:color w:val="231F20"/>
          <w:w w:val="105"/>
        </w:rPr>
        <w:t>Figure 3.14</w:t>
      </w:r>
    </w:p>
    <w:p w14:paraId="54748F22" w14:textId="4F2069FE" w:rsidR="00A210A1" w:rsidRPr="00A210A1" w:rsidRDefault="00A1113F" w:rsidP="00D63204">
      <w:pPr>
        <w:ind w:left="107"/>
        <w:rPr>
          <w:rFonts w:cstheme="minorHAnsi"/>
          <w:b/>
        </w:rPr>
      </w:pPr>
      <w:r w:rsidRPr="00E06806">
        <w:rPr>
          <w:rFonts w:cstheme="minorHAnsi"/>
          <w:noProof/>
        </w:rPr>
        <w:drawing>
          <wp:anchor distT="0" distB="0" distL="114300" distR="114300" simplePos="0" relativeHeight="251658260" behindDoc="0" locked="0" layoutInCell="1" allowOverlap="1" wp14:anchorId="0483353C" wp14:editId="4D410C6B">
            <wp:simplePos x="0" y="0"/>
            <wp:positionH relativeFrom="column">
              <wp:posOffset>641237</wp:posOffset>
            </wp:positionH>
            <wp:positionV relativeFrom="paragraph">
              <wp:posOffset>277899</wp:posOffset>
            </wp:positionV>
            <wp:extent cx="5943600" cy="1518330"/>
            <wp:effectExtent l="0" t="0" r="0" b="5715"/>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5943600" cy="1518330"/>
                    </a:xfrm>
                    <a:prstGeom prst="rect">
                      <a:avLst/>
                    </a:prstGeom>
                    <a:noFill/>
                    <a:ln>
                      <a:noFill/>
                    </a:ln>
                  </pic:spPr>
                </pic:pic>
              </a:graphicData>
            </a:graphic>
          </wp:anchor>
        </w:drawing>
      </w:r>
      <w:r w:rsidR="00FA007C" w:rsidRPr="00A210A1">
        <w:rPr>
          <w:rFonts w:cstheme="minorHAnsi"/>
          <w:b/>
        </w:rPr>
        <w:t>Customer Satisfaction of the Employ Florida System</w:t>
      </w:r>
    </w:p>
    <w:p w14:paraId="5A8446C8" w14:textId="0A0724EE" w:rsidR="00FA007C" w:rsidRPr="00E06806" w:rsidRDefault="00FA007C" w:rsidP="00D63204">
      <w:pPr>
        <w:ind w:left="107"/>
        <w:rPr>
          <w:rFonts w:cstheme="minorHAnsi"/>
        </w:rPr>
      </w:pPr>
    </w:p>
    <w:p w14:paraId="1F9C4F2F" w14:textId="7FF8A480" w:rsidR="00FA007C" w:rsidRDefault="00FA007C" w:rsidP="00D63204">
      <w:pPr>
        <w:spacing w:after="8" w:line="262" w:lineRule="auto"/>
        <w:ind w:left="107"/>
        <w:rPr>
          <w:rFonts w:cstheme="minorHAnsi"/>
          <w:sz w:val="20"/>
          <w:szCs w:val="16"/>
        </w:rPr>
      </w:pPr>
      <w:r w:rsidRPr="00E06806">
        <w:rPr>
          <w:rFonts w:cstheme="minorHAnsi"/>
          <w:sz w:val="20"/>
          <w:szCs w:val="16"/>
        </w:rPr>
        <w:t>Response rate equals the percentage of visitors to the Customer Satisfaction Survey page responding to the survey (18,781 respondents for 2017)</w:t>
      </w:r>
      <w:r w:rsidR="005E7C49">
        <w:rPr>
          <w:rFonts w:cstheme="minorHAnsi"/>
          <w:sz w:val="20"/>
          <w:szCs w:val="16"/>
        </w:rPr>
        <w:t xml:space="preserve">. </w:t>
      </w:r>
    </w:p>
    <w:p w14:paraId="4A968076" w14:textId="77777777" w:rsidR="00FA007C" w:rsidRPr="00E06806" w:rsidRDefault="00FA007C" w:rsidP="00D63204">
      <w:pPr>
        <w:spacing w:after="8" w:line="262" w:lineRule="auto"/>
        <w:ind w:left="107"/>
        <w:rPr>
          <w:rFonts w:cstheme="minorHAnsi"/>
          <w:sz w:val="20"/>
          <w:szCs w:val="16"/>
        </w:rPr>
      </w:pPr>
      <w:r w:rsidRPr="00E06806">
        <w:rPr>
          <w:rFonts w:cstheme="minorHAnsi"/>
          <w:sz w:val="20"/>
          <w:szCs w:val="16"/>
        </w:rPr>
        <w:t xml:space="preserve">* Annual survey results for each year (Jan. – Dec.) with 2017 data through Dec. 31, 2017. </w:t>
      </w:r>
    </w:p>
    <w:p w14:paraId="0B265C70" w14:textId="77777777" w:rsidR="00A210A1" w:rsidRDefault="00A210A1" w:rsidP="00D63204">
      <w:pPr>
        <w:widowControl w:val="0"/>
        <w:spacing w:after="0" w:line="240" w:lineRule="auto"/>
        <w:ind w:left="107"/>
        <w:outlineLvl w:val="3"/>
        <w:rPr>
          <w:rFonts w:cstheme="minorHAnsi"/>
          <w:b/>
          <w:bCs/>
          <w:i/>
          <w:color w:val="231F20"/>
          <w:w w:val="105"/>
        </w:rPr>
      </w:pPr>
    </w:p>
    <w:p w14:paraId="65FC9337" w14:textId="678241E2" w:rsidR="00EA7458" w:rsidRPr="00A210A1" w:rsidRDefault="00EA7458" w:rsidP="00D63204">
      <w:pPr>
        <w:widowControl w:val="0"/>
        <w:spacing w:after="0" w:line="240" w:lineRule="auto"/>
        <w:ind w:left="107"/>
        <w:outlineLvl w:val="3"/>
        <w:rPr>
          <w:rFonts w:cstheme="minorHAnsi"/>
        </w:rPr>
      </w:pPr>
      <w:r w:rsidRPr="00A210A1">
        <w:rPr>
          <w:rFonts w:cstheme="minorHAnsi"/>
          <w:b/>
          <w:bCs/>
          <w:color w:val="231F20"/>
          <w:w w:val="105"/>
        </w:rPr>
        <w:t>Local</w:t>
      </w:r>
      <w:r w:rsidRPr="00A210A1">
        <w:rPr>
          <w:rFonts w:cstheme="minorHAnsi"/>
          <w:b/>
          <w:bCs/>
          <w:color w:val="231F20"/>
          <w:spacing w:val="-26"/>
          <w:w w:val="105"/>
        </w:rPr>
        <w:t xml:space="preserve"> </w:t>
      </w:r>
      <w:r w:rsidRPr="00A210A1">
        <w:rPr>
          <w:rFonts w:cstheme="minorHAnsi"/>
          <w:b/>
          <w:bCs/>
          <w:color w:val="231F20"/>
          <w:w w:val="105"/>
        </w:rPr>
        <w:t>Workforce</w:t>
      </w:r>
      <w:r w:rsidRPr="00A210A1">
        <w:rPr>
          <w:rFonts w:cstheme="minorHAnsi"/>
          <w:b/>
          <w:bCs/>
          <w:color w:val="231F20"/>
          <w:spacing w:val="-26"/>
          <w:w w:val="105"/>
        </w:rPr>
        <w:t xml:space="preserve"> </w:t>
      </w:r>
      <w:r w:rsidRPr="00A210A1">
        <w:rPr>
          <w:rFonts w:cstheme="minorHAnsi"/>
          <w:b/>
          <w:bCs/>
          <w:color w:val="231F20"/>
          <w:w w:val="105"/>
        </w:rPr>
        <w:t>Development</w:t>
      </w:r>
      <w:r w:rsidRPr="00A210A1">
        <w:rPr>
          <w:rFonts w:cstheme="minorHAnsi"/>
          <w:b/>
          <w:bCs/>
          <w:color w:val="231F20"/>
          <w:spacing w:val="-26"/>
          <w:w w:val="105"/>
        </w:rPr>
        <w:t xml:space="preserve"> </w:t>
      </w:r>
      <w:r w:rsidRPr="00A210A1">
        <w:rPr>
          <w:rFonts w:cstheme="minorHAnsi"/>
          <w:b/>
          <w:bCs/>
          <w:color w:val="231F20"/>
          <w:w w:val="105"/>
        </w:rPr>
        <w:t>Board</w:t>
      </w:r>
      <w:r w:rsidRPr="00A210A1">
        <w:rPr>
          <w:rFonts w:cstheme="minorHAnsi"/>
          <w:b/>
          <w:bCs/>
          <w:color w:val="231F20"/>
          <w:spacing w:val="-26"/>
          <w:w w:val="105"/>
        </w:rPr>
        <w:t xml:space="preserve"> </w:t>
      </w:r>
      <w:r w:rsidRPr="00A210A1">
        <w:rPr>
          <w:rFonts w:cstheme="minorHAnsi"/>
          <w:b/>
          <w:bCs/>
          <w:color w:val="231F20"/>
          <w:w w:val="105"/>
        </w:rPr>
        <w:t>Performance</w:t>
      </w:r>
      <w:r w:rsidRPr="00A210A1">
        <w:rPr>
          <w:rFonts w:cstheme="minorHAnsi"/>
          <w:b/>
          <w:bCs/>
          <w:color w:val="231F20"/>
          <w:spacing w:val="-26"/>
          <w:w w:val="105"/>
        </w:rPr>
        <w:t xml:space="preserve"> </w:t>
      </w:r>
      <w:r w:rsidRPr="00A210A1">
        <w:rPr>
          <w:rFonts w:cstheme="minorHAnsi"/>
          <w:b/>
          <w:bCs/>
          <w:color w:val="231F20"/>
          <w:w w:val="105"/>
        </w:rPr>
        <w:t>Reviews</w:t>
      </w:r>
    </w:p>
    <w:p w14:paraId="25A89A18" w14:textId="3A0F4604" w:rsidR="00EA7458" w:rsidRPr="00A50FD4" w:rsidRDefault="00EA7458" w:rsidP="00D63204">
      <w:pPr>
        <w:widowControl w:val="0"/>
        <w:spacing w:before="2" w:after="0" w:line="264" w:lineRule="exact"/>
        <w:ind w:left="107"/>
        <w:rPr>
          <w:rFonts w:cstheme="minorHAnsi"/>
          <w:color w:val="231F20"/>
          <w:w w:val="105"/>
        </w:rPr>
      </w:pPr>
      <w:r w:rsidRPr="00E06806">
        <w:rPr>
          <w:rFonts w:cstheme="minorHAnsi"/>
          <w:color w:val="5F5F5F"/>
          <w:w w:val="105"/>
          <w:u w:val="single" w:color="5F5F5F"/>
        </w:rPr>
        <w:t>Section</w:t>
      </w:r>
      <w:r w:rsidRPr="00E06806">
        <w:rPr>
          <w:rFonts w:cstheme="minorHAnsi"/>
          <w:color w:val="5F5F5F"/>
          <w:spacing w:val="26"/>
          <w:w w:val="105"/>
          <w:u w:val="single" w:color="5F5F5F"/>
        </w:rPr>
        <w:t xml:space="preserve"> </w:t>
      </w:r>
      <w:r w:rsidRPr="00E06806">
        <w:rPr>
          <w:rFonts w:cstheme="minorHAnsi"/>
          <w:color w:val="5F5F5F"/>
          <w:w w:val="105"/>
          <w:u w:val="single" w:color="5F5F5F"/>
        </w:rPr>
        <w:t>445.007(3),</w:t>
      </w:r>
      <w:r w:rsidRPr="00E06806">
        <w:rPr>
          <w:rFonts w:cstheme="minorHAnsi"/>
          <w:color w:val="5F5F5F"/>
          <w:spacing w:val="26"/>
          <w:w w:val="105"/>
          <w:u w:val="single" w:color="5F5F5F"/>
        </w:rPr>
        <w:t xml:space="preserve"> </w:t>
      </w:r>
      <w:r w:rsidRPr="00E06806">
        <w:rPr>
          <w:rFonts w:cstheme="minorHAnsi"/>
          <w:color w:val="5F5F5F"/>
          <w:w w:val="105"/>
          <w:u w:val="single" w:color="5F5F5F"/>
        </w:rPr>
        <w:t>Florida</w:t>
      </w:r>
      <w:r w:rsidRPr="00E06806">
        <w:rPr>
          <w:rFonts w:cstheme="minorHAnsi"/>
          <w:color w:val="5F5F5F"/>
          <w:spacing w:val="26"/>
          <w:w w:val="105"/>
          <w:u w:val="single" w:color="5F5F5F"/>
        </w:rPr>
        <w:t xml:space="preserve"> </w:t>
      </w:r>
      <w:r w:rsidRPr="00E06806">
        <w:rPr>
          <w:rFonts w:cstheme="minorHAnsi"/>
          <w:color w:val="5F5F5F"/>
          <w:w w:val="105"/>
          <w:u w:val="single" w:color="5F5F5F"/>
        </w:rPr>
        <w:t>Statutes</w:t>
      </w:r>
      <w:r w:rsidRPr="00E06806">
        <w:rPr>
          <w:rFonts w:cstheme="minorHAnsi"/>
          <w:color w:val="231F20"/>
          <w:w w:val="105"/>
        </w:rPr>
        <w:t>,</w:t>
      </w:r>
      <w:r w:rsidRPr="00E06806">
        <w:rPr>
          <w:rFonts w:cstheme="minorHAnsi"/>
          <w:color w:val="231F20"/>
          <w:spacing w:val="28"/>
          <w:w w:val="105"/>
        </w:rPr>
        <w:t xml:space="preserve"> </w:t>
      </w:r>
      <w:r w:rsidRPr="00E06806">
        <w:rPr>
          <w:rFonts w:cstheme="minorHAnsi"/>
          <w:color w:val="231F20"/>
          <w:w w:val="105"/>
        </w:rPr>
        <w:t>directs</w:t>
      </w:r>
      <w:r w:rsidRPr="00E06806">
        <w:rPr>
          <w:rFonts w:cstheme="minorHAnsi"/>
          <w:color w:val="231F20"/>
          <w:spacing w:val="28"/>
          <w:w w:val="105"/>
        </w:rPr>
        <w:t xml:space="preserve"> </w:t>
      </w:r>
      <w:r w:rsidRPr="00E06806">
        <w:rPr>
          <w:rFonts w:cstheme="minorHAnsi"/>
          <w:color w:val="231F20"/>
          <w:w w:val="105"/>
        </w:rPr>
        <w:t>DEO,</w:t>
      </w:r>
      <w:r w:rsidRPr="00E06806">
        <w:rPr>
          <w:rFonts w:cstheme="minorHAnsi"/>
          <w:color w:val="231F20"/>
          <w:spacing w:val="28"/>
          <w:w w:val="105"/>
        </w:rPr>
        <w:t xml:space="preserve"> </w:t>
      </w:r>
      <w:r w:rsidRPr="00E06806">
        <w:rPr>
          <w:rFonts w:cstheme="minorHAnsi"/>
          <w:color w:val="231F20"/>
          <w:w w:val="105"/>
        </w:rPr>
        <w:t>under</w:t>
      </w:r>
      <w:r w:rsidRPr="00E06806">
        <w:rPr>
          <w:rFonts w:cstheme="minorHAnsi"/>
          <w:color w:val="231F20"/>
          <w:spacing w:val="28"/>
          <w:w w:val="105"/>
        </w:rPr>
        <w:t xml:space="preserve"> </w:t>
      </w:r>
      <w:r w:rsidRPr="00E06806">
        <w:rPr>
          <w:rFonts w:cstheme="minorHAnsi"/>
          <w:color w:val="231F20"/>
          <w:w w:val="105"/>
        </w:rPr>
        <w:t>CareerSource</w:t>
      </w:r>
      <w:r w:rsidRPr="00E06806">
        <w:rPr>
          <w:rFonts w:cstheme="minorHAnsi"/>
          <w:color w:val="231F20"/>
          <w:spacing w:val="28"/>
          <w:w w:val="105"/>
        </w:rPr>
        <w:t xml:space="preserve"> </w:t>
      </w:r>
      <w:r w:rsidRPr="00E06806">
        <w:rPr>
          <w:rFonts w:cstheme="minorHAnsi"/>
          <w:color w:val="231F20"/>
          <w:w w:val="105"/>
        </w:rPr>
        <w:t>Florida’s</w:t>
      </w:r>
      <w:r w:rsidRPr="00E06806">
        <w:rPr>
          <w:rFonts w:cstheme="minorHAnsi"/>
          <w:color w:val="231F20"/>
          <w:spacing w:val="28"/>
          <w:w w:val="105"/>
        </w:rPr>
        <w:t xml:space="preserve"> </w:t>
      </w:r>
      <w:r w:rsidRPr="00E06806">
        <w:rPr>
          <w:rFonts w:cstheme="minorHAnsi"/>
          <w:color w:val="231F20"/>
          <w:w w:val="105"/>
        </w:rPr>
        <w:t>direction,</w:t>
      </w:r>
      <w:r w:rsidRPr="00E06806">
        <w:rPr>
          <w:rFonts w:cstheme="minorHAnsi"/>
          <w:color w:val="231F20"/>
          <w:spacing w:val="28"/>
          <w:w w:val="105"/>
        </w:rPr>
        <w:t xml:space="preserve"> </w:t>
      </w:r>
      <w:r w:rsidRPr="00E06806">
        <w:rPr>
          <w:rFonts w:cstheme="minorHAnsi"/>
          <w:color w:val="231F20"/>
          <w:w w:val="105"/>
        </w:rPr>
        <w:t>to</w:t>
      </w:r>
      <w:r w:rsidRPr="00A50FD4">
        <w:rPr>
          <w:rFonts w:cstheme="minorHAnsi"/>
          <w:color w:val="231F20"/>
          <w:w w:val="105"/>
        </w:rPr>
        <w:t xml:space="preserve"> </w:t>
      </w:r>
      <w:r w:rsidRPr="00E06806">
        <w:rPr>
          <w:rFonts w:cstheme="minorHAnsi"/>
          <w:color w:val="231F20"/>
          <w:w w:val="105"/>
        </w:rPr>
        <w:t>meet</w:t>
      </w:r>
      <w:r w:rsidRPr="00A50FD4">
        <w:rPr>
          <w:rFonts w:cstheme="minorHAnsi"/>
          <w:color w:val="231F20"/>
          <w:w w:val="105"/>
        </w:rPr>
        <w:t xml:space="preserve"> </w:t>
      </w:r>
      <w:r w:rsidRPr="00E06806">
        <w:rPr>
          <w:rFonts w:cstheme="minorHAnsi"/>
          <w:color w:val="231F20"/>
          <w:w w:val="105"/>
        </w:rPr>
        <w:t>annually</w:t>
      </w:r>
      <w:r w:rsidRPr="00E06806">
        <w:rPr>
          <w:rFonts w:cstheme="minorHAnsi"/>
          <w:color w:val="231F20"/>
          <w:spacing w:val="15"/>
          <w:w w:val="105"/>
        </w:rPr>
        <w:t xml:space="preserve"> </w:t>
      </w:r>
      <w:r w:rsidRPr="00E06806">
        <w:rPr>
          <w:rFonts w:cstheme="minorHAnsi"/>
          <w:color w:val="231F20"/>
          <w:w w:val="105"/>
        </w:rPr>
        <w:t>with</w:t>
      </w:r>
      <w:r w:rsidRPr="00E06806">
        <w:rPr>
          <w:rFonts w:cstheme="minorHAnsi"/>
          <w:color w:val="231F20"/>
          <w:spacing w:val="15"/>
          <w:w w:val="105"/>
        </w:rPr>
        <w:t xml:space="preserve"> </w:t>
      </w:r>
      <w:r w:rsidRPr="00E06806">
        <w:rPr>
          <w:rFonts w:cstheme="minorHAnsi"/>
          <w:color w:val="231F20"/>
          <w:w w:val="105"/>
        </w:rPr>
        <w:t>each</w:t>
      </w:r>
      <w:r w:rsidRPr="00E06806">
        <w:rPr>
          <w:rFonts w:cstheme="minorHAnsi"/>
          <w:color w:val="231F20"/>
          <w:spacing w:val="15"/>
          <w:w w:val="105"/>
        </w:rPr>
        <w:t xml:space="preserve"> </w:t>
      </w:r>
      <w:r w:rsidRPr="00E06806">
        <w:rPr>
          <w:rFonts w:cstheme="minorHAnsi"/>
          <w:color w:val="231F20"/>
          <w:spacing w:val="-3"/>
          <w:w w:val="105"/>
        </w:rPr>
        <w:t>LWDB</w:t>
      </w:r>
      <w:r w:rsidRPr="00E06806">
        <w:rPr>
          <w:rFonts w:cstheme="minorHAnsi"/>
          <w:color w:val="231F20"/>
          <w:spacing w:val="15"/>
          <w:w w:val="105"/>
        </w:rPr>
        <w:t xml:space="preserve"> </w:t>
      </w:r>
      <w:r w:rsidRPr="00E06806">
        <w:rPr>
          <w:rFonts w:cstheme="minorHAnsi"/>
          <w:color w:val="231F20"/>
          <w:w w:val="105"/>
        </w:rPr>
        <w:t>to</w:t>
      </w:r>
      <w:r w:rsidRPr="00E06806">
        <w:rPr>
          <w:rFonts w:cstheme="minorHAnsi"/>
          <w:color w:val="231F20"/>
          <w:spacing w:val="15"/>
          <w:w w:val="105"/>
        </w:rPr>
        <w:t xml:space="preserve"> </w:t>
      </w:r>
      <w:r w:rsidRPr="00E06806">
        <w:rPr>
          <w:rFonts w:cstheme="minorHAnsi"/>
          <w:color w:val="231F20"/>
          <w:w w:val="105"/>
        </w:rPr>
        <w:t>review</w:t>
      </w:r>
      <w:r w:rsidRPr="00E06806">
        <w:rPr>
          <w:rFonts w:cstheme="minorHAnsi"/>
          <w:color w:val="231F20"/>
          <w:spacing w:val="15"/>
          <w:w w:val="105"/>
        </w:rPr>
        <w:t xml:space="preserve"> </w:t>
      </w:r>
      <w:r w:rsidRPr="00E06806">
        <w:rPr>
          <w:rFonts w:cstheme="minorHAnsi"/>
          <w:color w:val="231F20"/>
          <w:w w:val="105"/>
        </w:rPr>
        <w:t>performance</w:t>
      </w:r>
      <w:r w:rsidRPr="00E06806">
        <w:rPr>
          <w:rFonts w:cstheme="minorHAnsi"/>
          <w:color w:val="231F20"/>
          <w:spacing w:val="15"/>
          <w:w w:val="105"/>
        </w:rPr>
        <w:t xml:space="preserve"> </w:t>
      </w:r>
      <w:r w:rsidRPr="00E06806">
        <w:rPr>
          <w:rFonts w:cstheme="minorHAnsi"/>
          <w:color w:val="231F20"/>
          <w:w w:val="105"/>
        </w:rPr>
        <w:t>and</w:t>
      </w:r>
      <w:r w:rsidRPr="00E06806">
        <w:rPr>
          <w:rFonts w:cstheme="minorHAnsi"/>
          <w:color w:val="231F20"/>
          <w:spacing w:val="15"/>
          <w:w w:val="105"/>
        </w:rPr>
        <w:t xml:space="preserve"> </w:t>
      </w:r>
      <w:r w:rsidRPr="00E06806">
        <w:rPr>
          <w:rFonts w:cstheme="minorHAnsi"/>
          <w:color w:val="231F20"/>
          <w:w w:val="105"/>
        </w:rPr>
        <w:t>certify</w:t>
      </w:r>
      <w:r w:rsidRPr="00E06806">
        <w:rPr>
          <w:rFonts w:cstheme="minorHAnsi"/>
          <w:color w:val="231F20"/>
          <w:spacing w:val="15"/>
          <w:w w:val="105"/>
        </w:rPr>
        <w:t xml:space="preserve"> </w:t>
      </w:r>
      <w:r w:rsidR="00B866EE" w:rsidRPr="00E06806">
        <w:rPr>
          <w:rFonts w:cstheme="minorHAnsi"/>
          <w:color w:val="231F20"/>
          <w:w w:val="105"/>
        </w:rPr>
        <w:t xml:space="preserve">compliance </w:t>
      </w:r>
      <w:r w:rsidRPr="00E06806">
        <w:rPr>
          <w:rFonts w:cstheme="minorHAnsi"/>
          <w:color w:val="231F20"/>
          <w:w w:val="105"/>
        </w:rPr>
        <w:t>with</w:t>
      </w:r>
      <w:r w:rsidRPr="00E06806">
        <w:rPr>
          <w:rFonts w:cstheme="minorHAnsi"/>
          <w:color w:val="231F20"/>
          <w:spacing w:val="15"/>
          <w:w w:val="105"/>
        </w:rPr>
        <w:t xml:space="preserve"> </w:t>
      </w:r>
      <w:r w:rsidRPr="00E06806">
        <w:rPr>
          <w:rFonts w:cstheme="minorHAnsi"/>
          <w:color w:val="231F20"/>
          <w:w w:val="105"/>
        </w:rPr>
        <w:t>state</w:t>
      </w:r>
      <w:r w:rsidRPr="00A50FD4">
        <w:rPr>
          <w:rFonts w:cstheme="minorHAnsi"/>
          <w:color w:val="231F20"/>
          <w:w w:val="105"/>
        </w:rPr>
        <w:t xml:space="preserve"> </w:t>
      </w:r>
      <w:r w:rsidRPr="00E06806">
        <w:rPr>
          <w:rFonts w:cstheme="minorHAnsi"/>
          <w:color w:val="231F20"/>
          <w:w w:val="105"/>
        </w:rPr>
        <w:t>and</w:t>
      </w:r>
      <w:r w:rsidRPr="00A50FD4">
        <w:rPr>
          <w:rFonts w:cstheme="minorHAnsi"/>
          <w:color w:val="231F20"/>
          <w:w w:val="105"/>
        </w:rPr>
        <w:t xml:space="preserve"> </w:t>
      </w:r>
      <w:r w:rsidRPr="00E06806">
        <w:rPr>
          <w:rFonts w:cstheme="minorHAnsi"/>
          <w:color w:val="231F20"/>
          <w:w w:val="105"/>
        </w:rPr>
        <w:t>federal</w:t>
      </w:r>
      <w:r w:rsidRPr="00A50FD4">
        <w:rPr>
          <w:rFonts w:cstheme="minorHAnsi"/>
          <w:color w:val="231F20"/>
          <w:w w:val="105"/>
        </w:rPr>
        <w:t xml:space="preserve"> </w:t>
      </w:r>
      <w:r w:rsidRPr="00E06806">
        <w:rPr>
          <w:rFonts w:cstheme="minorHAnsi"/>
          <w:color w:val="231F20"/>
          <w:w w:val="105"/>
        </w:rPr>
        <w:t>laws.</w:t>
      </w:r>
    </w:p>
    <w:p w14:paraId="502C60E3" w14:textId="77777777" w:rsidR="00EA7458" w:rsidRPr="00E06806" w:rsidRDefault="00EA7458" w:rsidP="00D63204">
      <w:pPr>
        <w:widowControl w:val="0"/>
        <w:spacing w:before="5" w:after="0" w:line="240" w:lineRule="auto"/>
        <w:ind w:left="107"/>
        <w:rPr>
          <w:rFonts w:cstheme="minorHAnsi"/>
          <w:sz w:val="16"/>
          <w:szCs w:val="16"/>
        </w:rPr>
      </w:pPr>
    </w:p>
    <w:p w14:paraId="5A8299E4" w14:textId="1AA7508F" w:rsidR="00DD43DA" w:rsidRPr="001E0694" w:rsidRDefault="00DD43DA" w:rsidP="00D63204">
      <w:pPr>
        <w:widowControl w:val="0"/>
        <w:spacing w:after="0" w:line="264" w:lineRule="exact"/>
        <w:ind w:left="107"/>
        <w:rPr>
          <w:rFonts w:cstheme="minorHAnsi"/>
          <w:color w:val="231F20"/>
          <w:w w:val="105"/>
        </w:rPr>
      </w:pPr>
      <w:r w:rsidRPr="00E06806">
        <w:rPr>
          <w:rFonts w:cstheme="minorHAnsi"/>
          <w:color w:val="231F20"/>
          <w:w w:val="105"/>
        </w:rPr>
        <w:t>During</w:t>
      </w:r>
      <w:r w:rsidRPr="00E06806">
        <w:rPr>
          <w:rFonts w:cstheme="minorHAnsi"/>
          <w:color w:val="231F20"/>
          <w:spacing w:val="32"/>
          <w:w w:val="105"/>
        </w:rPr>
        <w:t xml:space="preserve"> </w:t>
      </w:r>
      <w:r w:rsidRPr="00E06806">
        <w:rPr>
          <w:rFonts w:cstheme="minorHAnsi"/>
          <w:color w:val="231F20"/>
          <w:w w:val="105"/>
        </w:rPr>
        <w:t>PY</w:t>
      </w:r>
      <w:r w:rsidRPr="00E06806">
        <w:rPr>
          <w:rFonts w:cstheme="minorHAnsi"/>
          <w:color w:val="231F20"/>
          <w:spacing w:val="32"/>
          <w:w w:val="105"/>
        </w:rPr>
        <w:t xml:space="preserve"> </w:t>
      </w:r>
      <w:r w:rsidRPr="00E06806">
        <w:rPr>
          <w:rFonts w:cstheme="minorHAnsi"/>
          <w:color w:val="231F20"/>
          <w:w w:val="105"/>
        </w:rPr>
        <w:t>2016-2017,</w:t>
      </w:r>
      <w:r w:rsidRPr="00E06806">
        <w:rPr>
          <w:rFonts w:cstheme="minorHAnsi"/>
          <w:color w:val="231F20"/>
          <w:spacing w:val="32"/>
          <w:w w:val="105"/>
        </w:rPr>
        <w:t xml:space="preserve"> </w:t>
      </w:r>
      <w:r w:rsidRPr="00E06806">
        <w:rPr>
          <w:rFonts w:cstheme="minorHAnsi"/>
          <w:color w:val="231F20"/>
          <w:w w:val="105"/>
        </w:rPr>
        <w:t>DEO</w:t>
      </w:r>
      <w:r w:rsidRPr="00E06806">
        <w:rPr>
          <w:rFonts w:cstheme="minorHAnsi"/>
          <w:color w:val="231F20"/>
          <w:spacing w:val="32"/>
          <w:w w:val="105"/>
        </w:rPr>
        <w:t xml:space="preserve"> </w:t>
      </w:r>
      <w:r w:rsidRPr="00E06806">
        <w:rPr>
          <w:rFonts w:cstheme="minorHAnsi"/>
          <w:color w:val="231F20"/>
          <w:w w:val="105"/>
        </w:rPr>
        <w:t>staff</w:t>
      </w:r>
      <w:r w:rsidRPr="00E06806">
        <w:rPr>
          <w:rFonts w:cstheme="minorHAnsi"/>
          <w:color w:val="231F20"/>
          <w:spacing w:val="31"/>
          <w:w w:val="105"/>
        </w:rPr>
        <w:t xml:space="preserve"> </w:t>
      </w:r>
      <w:r w:rsidRPr="00E06806">
        <w:rPr>
          <w:rFonts w:cstheme="minorHAnsi"/>
          <w:color w:val="231F20"/>
          <w:w w:val="105"/>
        </w:rPr>
        <w:t>presented</w:t>
      </w:r>
      <w:r w:rsidRPr="00E06806">
        <w:rPr>
          <w:rFonts w:cstheme="minorHAnsi"/>
          <w:color w:val="231F20"/>
          <w:spacing w:val="32"/>
          <w:w w:val="105"/>
        </w:rPr>
        <w:t xml:space="preserve"> </w:t>
      </w:r>
      <w:r w:rsidRPr="00E06806">
        <w:rPr>
          <w:rFonts w:cstheme="minorHAnsi"/>
          <w:color w:val="231F20"/>
          <w:w w:val="105"/>
        </w:rPr>
        <w:t>information</w:t>
      </w:r>
      <w:r w:rsidRPr="00E06806">
        <w:rPr>
          <w:rFonts w:cstheme="minorHAnsi"/>
          <w:color w:val="231F20"/>
          <w:spacing w:val="21"/>
          <w:w w:val="105"/>
        </w:rPr>
        <w:t xml:space="preserve"> </w:t>
      </w:r>
      <w:r w:rsidRPr="00E06806">
        <w:rPr>
          <w:rFonts w:cstheme="minorHAnsi"/>
          <w:color w:val="231F20"/>
          <w:w w:val="105"/>
        </w:rPr>
        <w:t>on</w:t>
      </w:r>
      <w:r w:rsidRPr="00E06806">
        <w:rPr>
          <w:rFonts w:cstheme="minorHAnsi"/>
          <w:color w:val="231F20"/>
          <w:spacing w:val="21"/>
          <w:w w:val="105"/>
        </w:rPr>
        <w:t xml:space="preserve"> </w:t>
      </w:r>
      <w:r w:rsidRPr="00E06806">
        <w:rPr>
          <w:rFonts w:cstheme="minorHAnsi"/>
          <w:color w:val="231F20"/>
          <w:w w:val="105"/>
        </w:rPr>
        <w:t>the</w:t>
      </w:r>
      <w:r w:rsidRPr="00E06806">
        <w:rPr>
          <w:rFonts w:cstheme="minorHAnsi"/>
          <w:color w:val="231F20"/>
          <w:spacing w:val="21"/>
          <w:w w:val="105"/>
        </w:rPr>
        <w:t xml:space="preserve"> </w:t>
      </w:r>
      <w:r w:rsidRPr="00E06806">
        <w:rPr>
          <w:rFonts w:cstheme="minorHAnsi"/>
          <w:color w:val="231F20"/>
          <w:w w:val="105"/>
        </w:rPr>
        <w:t>local</w:t>
      </w:r>
      <w:r w:rsidRPr="00E06806">
        <w:rPr>
          <w:rFonts w:cstheme="minorHAnsi"/>
          <w:color w:val="231F20"/>
          <w:spacing w:val="21"/>
          <w:w w:val="105"/>
        </w:rPr>
        <w:t xml:space="preserve"> </w:t>
      </w:r>
      <w:r w:rsidRPr="00E06806">
        <w:rPr>
          <w:rFonts w:cstheme="minorHAnsi"/>
          <w:color w:val="231F20"/>
          <w:w w:val="105"/>
        </w:rPr>
        <w:t>board’s</w:t>
      </w:r>
      <w:r w:rsidRPr="00E06806">
        <w:rPr>
          <w:rFonts w:cstheme="minorHAnsi"/>
          <w:color w:val="231F20"/>
          <w:spacing w:val="21"/>
          <w:w w:val="105"/>
        </w:rPr>
        <w:t xml:space="preserve"> </w:t>
      </w:r>
      <w:r w:rsidRPr="00E06806">
        <w:rPr>
          <w:rFonts w:cstheme="minorHAnsi"/>
          <w:color w:val="231F20"/>
          <w:w w:val="105"/>
        </w:rPr>
        <w:t>program</w:t>
      </w:r>
      <w:r w:rsidRPr="00E06806">
        <w:rPr>
          <w:rFonts w:cstheme="minorHAnsi"/>
          <w:color w:val="231F20"/>
          <w:spacing w:val="21"/>
          <w:w w:val="105"/>
        </w:rPr>
        <w:t xml:space="preserve"> </w:t>
      </w:r>
      <w:r w:rsidRPr="00E06806">
        <w:rPr>
          <w:rFonts w:cstheme="minorHAnsi"/>
          <w:color w:val="231F20"/>
          <w:w w:val="105"/>
        </w:rPr>
        <w:t>and</w:t>
      </w:r>
      <w:r w:rsidRPr="00E06806">
        <w:rPr>
          <w:rFonts w:cstheme="minorHAnsi"/>
          <w:color w:val="231F20"/>
          <w:spacing w:val="21"/>
          <w:w w:val="105"/>
        </w:rPr>
        <w:t xml:space="preserve"> </w:t>
      </w:r>
      <w:r w:rsidRPr="00E06806">
        <w:rPr>
          <w:rFonts w:cstheme="minorHAnsi"/>
          <w:color w:val="231F20"/>
          <w:w w:val="105"/>
        </w:rPr>
        <w:t>financial</w:t>
      </w:r>
      <w:r w:rsidRPr="00E06806">
        <w:rPr>
          <w:rFonts w:cstheme="minorHAnsi"/>
          <w:color w:val="231F20"/>
          <w:spacing w:val="21"/>
          <w:w w:val="105"/>
        </w:rPr>
        <w:t xml:space="preserve"> </w:t>
      </w:r>
      <w:r w:rsidRPr="00E06806">
        <w:rPr>
          <w:rFonts w:cstheme="minorHAnsi"/>
          <w:color w:val="231F20"/>
          <w:w w:val="105"/>
        </w:rPr>
        <w:t>performance</w:t>
      </w:r>
      <w:r w:rsidR="005E7C49">
        <w:rPr>
          <w:rFonts w:cstheme="minorHAnsi"/>
          <w:color w:val="231F20"/>
          <w:w w:val="105"/>
        </w:rPr>
        <w:t xml:space="preserve">. </w:t>
      </w:r>
      <w:r w:rsidR="001E0694" w:rsidRPr="001E0694">
        <w:rPr>
          <w:rFonts w:cstheme="minorHAnsi"/>
          <w:color w:val="231F20"/>
          <w:w w:val="105"/>
        </w:rPr>
        <w:t>A</w:t>
      </w:r>
      <w:r w:rsidRPr="00E06806">
        <w:rPr>
          <w:rFonts w:cstheme="minorHAnsi"/>
          <w:color w:val="231F20"/>
          <w:w w:val="105"/>
        </w:rPr>
        <w:t>nnual</w:t>
      </w:r>
      <w:r w:rsidRPr="00E06806">
        <w:rPr>
          <w:rFonts w:cstheme="minorHAnsi"/>
          <w:color w:val="231F20"/>
          <w:spacing w:val="24"/>
          <w:w w:val="105"/>
        </w:rPr>
        <w:t xml:space="preserve"> </w:t>
      </w:r>
      <w:r w:rsidRPr="00E06806">
        <w:rPr>
          <w:rFonts w:cstheme="minorHAnsi"/>
          <w:color w:val="231F20"/>
          <w:w w:val="105"/>
        </w:rPr>
        <w:t>presentations</w:t>
      </w:r>
      <w:r w:rsidRPr="00E06806">
        <w:rPr>
          <w:rFonts w:cstheme="minorHAnsi"/>
          <w:color w:val="231F20"/>
          <w:spacing w:val="24"/>
          <w:w w:val="105"/>
        </w:rPr>
        <w:t xml:space="preserve"> </w:t>
      </w:r>
      <w:r w:rsidRPr="00E06806">
        <w:rPr>
          <w:rFonts w:cstheme="minorHAnsi"/>
          <w:color w:val="231F20"/>
          <w:w w:val="105"/>
        </w:rPr>
        <w:t>provide</w:t>
      </w:r>
      <w:r w:rsidRPr="00E06806">
        <w:rPr>
          <w:rFonts w:cstheme="minorHAnsi"/>
          <w:color w:val="231F20"/>
          <w:spacing w:val="24"/>
          <w:w w:val="105"/>
        </w:rPr>
        <w:t xml:space="preserve"> </w:t>
      </w:r>
      <w:r w:rsidRPr="00E06806">
        <w:rPr>
          <w:rFonts w:cstheme="minorHAnsi"/>
          <w:color w:val="231F20"/>
          <w:w w:val="105"/>
        </w:rPr>
        <w:t>a</w:t>
      </w:r>
      <w:r w:rsidR="00D66A1D">
        <w:rPr>
          <w:rFonts w:cstheme="minorHAnsi"/>
          <w:color w:val="231F20"/>
          <w:w w:val="105"/>
        </w:rPr>
        <w:t xml:space="preserve"> unique </w:t>
      </w:r>
      <w:r w:rsidRPr="00E06806">
        <w:rPr>
          <w:rFonts w:cstheme="minorHAnsi"/>
          <w:color w:val="231F20"/>
          <w:w w:val="105"/>
        </w:rPr>
        <w:t>opportunity</w:t>
      </w:r>
      <w:r w:rsidRPr="00E06806">
        <w:rPr>
          <w:rFonts w:cstheme="minorHAnsi"/>
          <w:color w:val="231F20"/>
          <w:spacing w:val="24"/>
          <w:w w:val="105"/>
        </w:rPr>
        <w:t xml:space="preserve"> </w:t>
      </w:r>
      <w:r w:rsidRPr="00E06806">
        <w:rPr>
          <w:rFonts w:cstheme="minorHAnsi"/>
          <w:color w:val="231F20"/>
          <w:w w:val="105"/>
        </w:rPr>
        <w:t>for</w:t>
      </w:r>
      <w:r w:rsidRPr="00E06806">
        <w:rPr>
          <w:rFonts w:cstheme="minorHAnsi"/>
          <w:color w:val="231F20"/>
          <w:spacing w:val="24"/>
          <w:w w:val="105"/>
        </w:rPr>
        <w:t xml:space="preserve"> </w:t>
      </w:r>
      <w:r w:rsidRPr="00E06806">
        <w:rPr>
          <w:rFonts w:cstheme="minorHAnsi"/>
          <w:color w:val="231F20"/>
          <w:w w:val="105"/>
        </w:rPr>
        <w:t>dialogue</w:t>
      </w:r>
      <w:r w:rsidRPr="00E06806">
        <w:rPr>
          <w:rFonts w:cstheme="minorHAnsi"/>
          <w:color w:val="231F20"/>
          <w:spacing w:val="24"/>
          <w:w w:val="105"/>
        </w:rPr>
        <w:t xml:space="preserve"> </w:t>
      </w:r>
      <w:r w:rsidRPr="00E06806">
        <w:rPr>
          <w:rFonts w:cstheme="minorHAnsi"/>
          <w:color w:val="231F20"/>
          <w:w w:val="105"/>
        </w:rPr>
        <w:t>with</w:t>
      </w:r>
      <w:r w:rsidRPr="00E06806">
        <w:rPr>
          <w:rFonts w:cstheme="minorHAnsi"/>
          <w:color w:val="231F20"/>
          <w:spacing w:val="24"/>
          <w:w w:val="105"/>
        </w:rPr>
        <w:t xml:space="preserve"> </w:t>
      </w:r>
      <w:r w:rsidRPr="00E06806">
        <w:rPr>
          <w:rFonts w:cstheme="minorHAnsi"/>
          <w:color w:val="231F20"/>
          <w:w w:val="105"/>
        </w:rPr>
        <w:t>local</w:t>
      </w:r>
      <w:r w:rsidRPr="00E06806">
        <w:rPr>
          <w:rFonts w:cstheme="minorHAnsi"/>
          <w:color w:val="231F20"/>
          <w:spacing w:val="24"/>
          <w:w w:val="105"/>
        </w:rPr>
        <w:t xml:space="preserve"> </w:t>
      </w:r>
      <w:r w:rsidRPr="00E06806">
        <w:rPr>
          <w:rFonts w:cstheme="minorHAnsi"/>
          <w:color w:val="231F20"/>
          <w:w w:val="105"/>
        </w:rPr>
        <w:t>board</w:t>
      </w:r>
      <w:r w:rsidRPr="00E06806">
        <w:rPr>
          <w:rFonts w:cstheme="minorHAnsi"/>
          <w:color w:val="231F20"/>
          <w:spacing w:val="24"/>
          <w:w w:val="105"/>
        </w:rPr>
        <w:t xml:space="preserve"> </w:t>
      </w:r>
      <w:r w:rsidRPr="00E06806">
        <w:rPr>
          <w:rFonts w:cstheme="minorHAnsi"/>
          <w:color w:val="231F20"/>
          <w:w w:val="105"/>
        </w:rPr>
        <w:t>members, offering them</w:t>
      </w:r>
      <w:r w:rsidRPr="00E06806">
        <w:rPr>
          <w:rFonts w:cstheme="minorHAnsi"/>
          <w:color w:val="231F20"/>
          <w:spacing w:val="21"/>
          <w:w w:val="105"/>
        </w:rPr>
        <w:t xml:space="preserve"> </w:t>
      </w:r>
      <w:r w:rsidRPr="00E06806">
        <w:rPr>
          <w:rFonts w:cstheme="minorHAnsi"/>
          <w:color w:val="231F20"/>
          <w:w w:val="105"/>
        </w:rPr>
        <w:t>a</w:t>
      </w:r>
      <w:r w:rsidRPr="00E06806">
        <w:rPr>
          <w:rFonts w:cstheme="minorHAnsi"/>
          <w:color w:val="231F20"/>
          <w:spacing w:val="21"/>
          <w:w w:val="105"/>
        </w:rPr>
        <w:t xml:space="preserve"> </w:t>
      </w:r>
      <w:r w:rsidRPr="00E06806">
        <w:rPr>
          <w:rFonts w:cstheme="minorHAnsi"/>
          <w:color w:val="231F20"/>
          <w:w w:val="105"/>
        </w:rPr>
        <w:t>complete understanding</w:t>
      </w:r>
      <w:r w:rsidRPr="001E0694">
        <w:rPr>
          <w:rFonts w:cstheme="minorHAnsi"/>
          <w:color w:val="231F20"/>
          <w:w w:val="105"/>
        </w:rPr>
        <w:t xml:space="preserve"> </w:t>
      </w:r>
      <w:r w:rsidRPr="00E06806">
        <w:rPr>
          <w:rFonts w:cstheme="minorHAnsi"/>
          <w:color w:val="231F20"/>
          <w:w w:val="105"/>
        </w:rPr>
        <w:t>of</w:t>
      </w:r>
      <w:r w:rsidRPr="001E0694">
        <w:rPr>
          <w:rFonts w:cstheme="minorHAnsi"/>
          <w:color w:val="231F20"/>
          <w:w w:val="105"/>
        </w:rPr>
        <w:t xml:space="preserve"> how </w:t>
      </w:r>
      <w:r w:rsidRPr="00E06806">
        <w:rPr>
          <w:rFonts w:cstheme="minorHAnsi"/>
          <w:color w:val="231F20"/>
          <w:w w:val="105"/>
        </w:rPr>
        <w:t>state</w:t>
      </w:r>
      <w:r w:rsidRPr="001E0694">
        <w:rPr>
          <w:rFonts w:cstheme="minorHAnsi"/>
          <w:color w:val="231F20"/>
          <w:w w:val="105"/>
        </w:rPr>
        <w:t xml:space="preserve"> </w:t>
      </w:r>
      <w:r w:rsidRPr="00E06806">
        <w:rPr>
          <w:rFonts w:cstheme="minorHAnsi"/>
          <w:color w:val="231F20"/>
          <w:w w:val="105"/>
        </w:rPr>
        <w:t>and</w:t>
      </w:r>
      <w:r w:rsidRPr="001E0694">
        <w:rPr>
          <w:rFonts w:cstheme="minorHAnsi"/>
          <w:color w:val="231F20"/>
          <w:w w:val="105"/>
        </w:rPr>
        <w:t xml:space="preserve"> </w:t>
      </w:r>
      <w:r w:rsidRPr="00E06806">
        <w:rPr>
          <w:rFonts w:cstheme="minorHAnsi"/>
          <w:color w:val="231F20"/>
          <w:w w:val="105"/>
        </w:rPr>
        <w:t>federal</w:t>
      </w:r>
      <w:r w:rsidRPr="001E0694">
        <w:rPr>
          <w:rFonts w:cstheme="minorHAnsi"/>
          <w:color w:val="231F20"/>
          <w:w w:val="105"/>
        </w:rPr>
        <w:t xml:space="preserve"> </w:t>
      </w:r>
      <w:r w:rsidRPr="00E06806">
        <w:rPr>
          <w:rFonts w:cstheme="minorHAnsi"/>
          <w:color w:val="231F20"/>
          <w:w w:val="105"/>
        </w:rPr>
        <w:t>performance</w:t>
      </w:r>
      <w:r w:rsidRPr="001E0694">
        <w:rPr>
          <w:rFonts w:cstheme="minorHAnsi"/>
          <w:color w:val="231F20"/>
          <w:w w:val="105"/>
        </w:rPr>
        <w:t xml:space="preserve"> </w:t>
      </w:r>
      <w:r w:rsidRPr="00E06806">
        <w:rPr>
          <w:rFonts w:cstheme="minorHAnsi"/>
          <w:color w:val="231F20"/>
          <w:w w:val="105"/>
        </w:rPr>
        <w:t>requirements</w:t>
      </w:r>
      <w:r w:rsidRPr="001E0694">
        <w:rPr>
          <w:rFonts w:cstheme="minorHAnsi"/>
          <w:color w:val="231F20"/>
          <w:w w:val="105"/>
        </w:rPr>
        <w:t xml:space="preserve"> </w:t>
      </w:r>
      <w:r w:rsidRPr="00E06806">
        <w:rPr>
          <w:rFonts w:cstheme="minorHAnsi"/>
          <w:color w:val="231F20"/>
          <w:w w:val="105"/>
        </w:rPr>
        <w:t>impact their</w:t>
      </w:r>
      <w:r w:rsidRPr="001E0694">
        <w:rPr>
          <w:rFonts w:cstheme="minorHAnsi"/>
          <w:color w:val="231F20"/>
          <w:w w:val="105"/>
        </w:rPr>
        <w:t xml:space="preserve"> </w:t>
      </w:r>
      <w:r w:rsidRPr="00E06806">
        <w:rPr>
          <w:rFonts w:cstheme="minorHAnsi"/>
          <w:color w:val="231F20"/>
          <w:w w:val="105"/>
        </w:rPr>
        <w:t>local</w:t>
      </w:r>
      <w:r w:rsidRPr="001E0694">
        <w:rPr>
          <w:rFonts w:cstheme="minorHAnsi"/>
          <w:color w:val="231F20"/>
          <w:w w:val="105"/>
        </w:rPr>
        <w:t xml:space="preserve"> </w:t>
      </w:r>
      <w:r w:rsidRPr="00E06806">
        <w:rPr>
          <w:rFonts w:cstheme="minorHAnsi"/>
          <w:color w:val="231F20"/>
          <w:w w:val="105"/>
        </w:rPr>
        <w:t>board’s</w:t>
      </w:r>
      <w:r w:rsidRPr="001E0694">
        <w:rPr>
          <w:rFonts w:cstheme="minorHAnsi"/>
          <w:color w:val="231F20"/>
          <w:w w:val="105"/>
        </w:rPr>
        <w:t xml:space="preserve"> </w:t>
      </w:r>
      <w:r w:rsidRPr="00E06806">
        <w:rPr>
          <w:rFonts w:cstheme="minorHAnsi"/>
          <w:color w:val="231F20"/>
          <w:w w:val="105"/>
        </w:rPr>
        <w:t>performance outcomes.</w:t>
      </w:r>
    </w:p>
    <w:p w14:paraId="4523CF82" w14:textId="77777777" w:rsidR="00EA7458" w:rsidRPr="00E06806" w:rsidRDefault="00EA7458" w:rsidP="00D63204">
      <w:pPr>
        <w:widowControl w:val="0"/>
        <w:spacing w:after="0" w:line="240" w:lineRule="auto"/>
        <w:ind w:left="107"/>
        <w:rPr>
          <w:rFonts w:cstheme="minorHAnsi"/>
        </w:rPr>
      </w:pPr>
    </w:p>
    <w:p w14:paraId="7CED42F9" w14:textId="2EED0D77" w:rsidR="00EA7458" w:rsidRPr="00E06806" w:rsidRDefault="00EA7458" w:rsidP="00D63204">
      <w:pPr>
        <w:widowControl w:val="0"/>
        <w:spacing w:before="2" w:after="0" w:line="264" w:lineRule="exact"/>
        <w:ind w:left="107"/>
        <w:rPr>
          <w:rFonts w:cstheme="minorHAnsi"/>
        </w:rPr>
      </w:pPr>
      <w:r w:rsidRPr="00E06806">
        <w:rPr>
          <w:rFonts w:cstheme="minorHAnsi"/>
          <w:color w:val="231F20"/>
          <w:w w:val="105"/>
        </w:rPr>
        <w:t xml:space="preserve">Florida’s approach </w:t>
      </w:r>
      <w:r w:rsidR="00FA1AB3" w:rsidRPr="00E06806">
        <w:rPr>
          <w:rFonts w:cstheme="minorHAnsi"/>
          <w:color w:val="231F20"/>
          <w:w w:val="105"/>
        </w:rPr>
        <w:t xml:space="preserve">to performance </w:t>
      </w:r>
      <w:r w:rsidRPr="00E06806">
        <w:rPr>
          <w:rFonts w:cstheme="minorHAnsi"/>
          <w:color w:val="231F20"/>
          <w:w w:val="105"/>
        </w:rPr>
        <w:t xml:space="preserve">provides for consequences in situations </w:t>
      </w:r>
      <w:r w:rsidR="00FA1AB3" w:rsidRPr="00E06806">
        <w:rPr>
          <w:rFonts w:cstheme="minorHAnsi"/>
          <w:color w:val="231F20"/>
          <w:w w:val="105"/>
        </w:rPr>
        <w:t xml:space="preserve">indicating </w:t>
      </w:r>
      <w:r w:rsidRPr="00E06806">
        <w:rPr>
          <w:rFonts w:cstheme="minorHAnsi"/>
          <w:color w:val="231F20"/>
          <w:w w:val="105"/>
        </w:rPr>
        <w:t xml:space="preserve">a pattern of low performance. </w:t>
      </w:r>
      <w:r w:rsidRPr="00E06806">
        <w:rPr>
          <w:rFonts w:cstheme="minorHAnsi"/>
          <w:color w:val="231F20"/>
          <w:spacing w:val="-3"/>
          <w:w w:val="105"/>
        </w:rPr>
        <w:t xml:space="preserve">Typically, </w:t>
      </w:r>
      <w:r w:rsidRPr="00E06806">
        <w:rPr>
          <w:rFonts w:cstheme="minorHAnsi"/>
          <w:color w:val="231F20"/>
          <w:w w:val="105"/>
        </w:rPr>
        <w:t>low-performing local workforce boards are required to develop and</w:t>
      </w:r>
      <w:r w:rsidRPr="00E06806">
        <w:rPr>
          <w:rFonts w:cstheme="minorHAnsi"/>
          <w:color w:val="231F20"/>
          <w:spacing w:val="35"/>
          <w:w w:val="105"/>
        </w:rPr>
        <w:t xml:space="preserve"> </w:t>
      </w:r>
      <w:r w:rsidRPr="00E06806">
        <w:rPr>
          <w:rFonts w:cstheme="minorHAnsi"/>
          <w:color w:val="231F20"/>
          <w:w w:val="105"/>
        </w:rPr>
        <w:t>implement</w:t>
      </w:r>
      <w:r w:rsidRPr="00E06806">
        <w:rPr>
          <w:rFonts w:cstheme="minorHAnsi"/>
          <w:color w:val="231F20"/>
          <w:w w:val="103"/>
        </w:rPr>
        <w:t xml:space="preserve"> </w:t>
      </w:r>
      <w:r w:rsidRPr="00E06806">
        <w:rPr>
          <w:rFonts w:cstheme="minorHAnsi"/>
          <w:color w:val="231F20"/>
          <w:w w:val="105"/>
        </w:rPr>
        <w:t>their</w:t>
      </w:r>
      <w:r w:rsidRPr="00E06806">
        <w:rPr>
          <w:rFonts w:cstheme="minorHAnsi"/>
          <w:color w:val="231F20"/>
          <w:spacing w:val="7"/>
          <w:w w:val="105"/>
        </w:rPr>
        <w:t xml:space="preserve"> </w:t>
      </w:r>
      <w:r w:rsidRPr="00E06806">
        <w:rPr>
          <w:rFonts w:cstheme="minorHAnsi"/>
          <w:color w:val="231F20"/>
          <w:w w:val="105"/>
        </w:rPr>
        <w:t>own</w:t>
      </w:r>
      <w:r w:rsidRPr="00E06806">
        <w:rPr>
          <w:rFonts w:cstheme="minorHAnsi"/>
          <w:color w:val="231F20"/>
          <w:spacing w:val="7"/>
          <w:w w:val="105"/>
        </w:rPr>
        <w:t xml:space="preserve"> </w:t>
      </w:r>
      <w:r w:rsidRPr="00E06806">
        <w:rPr>
          <w:rFonts w:cstheme="minorHAnsi"/>
          <w:color w:val="231F20"/>
          <w:w w:val="105"/>
        </w:rPr>
        <w:t>Corrective</w:t>
      </w:r>
      <w:r w:rsidRPr="00E06806">
        <w:rPr>
          <w:rFonts w:cstheme="minorHAnsi"/>
          <w:color w:val="231F20"/>
          <w:spacing w:val="7"/>
          <w:w w:val="105"/>
        </w:rPr>
        <w:t xml:space="preserve"> </w:t>
      </w:r>
      <w:r w:rsidRPr="00E06806">
        <w:rPr>
          <w:rFonts w:cstheme="minorHAnsi"/>
          <w:color w:val="231F20"/>
          <w:w w:val="105"/>
        </w:rPr>
        <w:t>Action</w:t>
      </w:r>
      <w:r w:rsidRPr="00E06806">
        <w:rPr>
          <w:rFonts w:cstheme="minorHAnsi"/>
          <w:color w:val="231F20"/>
          <w:spacing w:val="7"/>
          <w:w w:val="105"/>
        </w:rPr>
        <w:t xml:space="preserve"> </w:t>
      </w:r>
      <w:r w:rsidRPr="00E06806">
        <w:rPr>
          <w:rFonts w:cstheme="minorHAnsi"/>
          <w:color w:val="231F20"/>
          <w:w w:val="105"/>
        </w:rPr>
        <w:t>Plans.</w:t>
      </w:r>
      <w:r w:rsidRPr="00E06806">
        <w:rPr>
          <w:rFonts w:cstheme="minorHAnsi"/>
          <w:color w:val="231F20"/>
          <w:spacing w:val="7"/>
          <w:w w:val="105"/>
        </w:rPr>
        <w:t xml:space="preserve"> </w:t>
      </w:r>
      <w:r w:rsidRPr="00E06806">
        <w:rPr>
          <w:rFonts w:cstheme="minorHAnsi"/>
          <w:color w:val="231F20"/>
          <w:w w:val="105"/>
        </w:rPr>
        <w:t>If</w:t>
      </w:r>
      <w:r w:rsidRPr="00E06806">
        <w:rPr>
          <w:rFonts w:cstheme="minorHAnsi"/>
          <w:color w:val="231F20"/>
          <w:spacing w:val="7"/>
          <w:w w:val="105"/>
        </w:rPr>
        <w:t xml:space="preserve"> </w:t>
      </w:r>
      <w:r w:rsidRPr="00E06806">
        <w:rPr>
          <w:rFonts w:cstheme="minorHAnsi"/>
          <w:color w:val="231F20"/>
          <w:w w:val="105"/>
        </w:rPr>
        <w:t>low</w:t>
      </w:r>
      <w:r w:rsidRPr="00E06806">
        <w:rPr>
          <w:rFonts w:cstheme="minorHAnsi"/>
          <w:color w:val="231F20"/>
          <w:spacing w:val="7"/>
          <w:w w:val="105"/>
        </w:rPr>
        <w:t xml:space="preserve"> </w:t>
      </w:r>
      <w:r w:rsidRPr="00E06806">
        <w:rPr>
          <w:rFonts w:cstheme="minorHAnsi"/>
          <w:color w:val="231F20"/>
          <w:w w:val="105"/>
        </w:rPr>
        <w:t>performance</w:t>
      </w:r>
      <w:r w:rsidRPr="00E06806">
        <w:rPr>
          <w:rFonts w:cstheme="minorHAnsi"/>
          <w:color w:val="231F20"/>
          <w:spacing w:val="7"/>
          <w:w w:val="105"/>
        </w:rPr>
        <w:t xml:space="preserve"> </w:t>
      </w:r>
      <w:r w:rsidRPr="00E06806">
        <w:rPr>
          <w:rFonts w:cstheme="minorHAnsi"/>
          <w:color w:val="231F20"/>
          <w:w w:val="105"/>
        </w:rPr>
        <w:t>persists,</w:t>
      </w:r>
      <w:r w:rsidRPr="00E06806">
        <w:rPr>
          <w:rFonts w:cstheme="minorHAnsi"/>
          <w:color w:val="231F20"/>
          <w:spacing w:val="7"/>
          <w:w w:val="105"/>
        </w:rPr>
        <w:t xml:space="preserve"> </w:t>
      </w:r>
      <w:r w:rsidRPr="00E06806">
        <w:rPr>
          <w:rFonts w:cstheme="minorHAnsi"/>
          <w:color w:val="231F20"/>
          <w:w w:val="105"/>
        </w:rPr>
        <w:t>state-level</w:t>
      </w:r>
      <w:r w:rsidRPr="00E06806">
        <w:rPr>
          <w:rFonts w:cstheme="minorHAnsi"/>
          <w:color w:val="231F20"/>
          <w:spacing w:val="7"/>
          <w:w w:val="105"/>
        </w:rPr>
        <w:t xml:space="preserve"> </w:t>
      </w:r>
      <w:r w:rsidRPr="00E06806">
        <w:rPr>
          <w:rFonts w:cstheme="minorHAnsi"/>
          <w:color w:val="231F20"/>
          <w:w w:val="105"/>
        </w:rPr>
        <w:t>staff</w:t>
      </w:r>
      <w:r w:rsidRPr="00E06806">
        <w:rPr>
          <w:rFonts w:cstheme="minorHAnsi"/>
          <w:color w:val="231F20"/>
          <w:spacing w:val="7"/>
          <w:w w:val="105"/>
        </w:rPr>
        <w:t xml:space="preserve"> </w:t>
      </w:r>
      <w:r w:rsidRPr="00E06806">
        <w:rPr>
          <w:rFonts w:cstheme="minorHAnsi"/>
          <w:color w:val="231F20"/>
          <w:w w:val="105"/>
        </w:rPr>
        <w:t>work</w:t>
      </w:r>
      <w:r w:rsidRPr="00E06806">
        <w:rPr>
          <w:rFonts w:cstheme="minorHAnsi"/>
          <w:color w:val="231F20"/>
          <w:spacing w:val="7"/>
          <w:w w:val="105"/>
        </w:rPr>
        <w:t xml:space="preserve"> </w:t>
      </w:r>
      <w:r w:rsidRPr="00E06806">
        <w:rPr>
          <w:rFonts w:cstheme="minorHAnsi"/>
          <w:color w:val="231F20"/>
          <w:w w:val="105"/>
        </w:rPr>
        <w:t>with</w:t>
      </w:r>
      <w:r w:rsidRPr="00E06806">
        <w:rPr>
          <w:rFonts w:cstheme="minorHAnsi"/>
          <w:color w:val="231F20"/>
          <w:spacing w:val="7"/>
          <w:w w:val="105"/>
        </w:rPr>
        <w:t xml:space="preserve"> </w:t>
      </w:r>
      <w:r w:rsidRPr="00E06806">
        <w:rPr>
          <w:rFonts w:cstheme="minorHAnsi"/>
          <w:color w:val="231F20"/>
          <w:w w:val="105"/>
        </w:rPr>
        <w:t>local</w:t>
      </w:r>
      <w:r w:rsidRPr="00DC7D05">
        <w:rPr>
          <w:rFonts w:cstheme="minorHAnsi"/>
          <w:color w:val="231F20"/>
          <w:w w:val="105"/>
        </w:rPr>
        <w:t xml:space="preserve"> </w:t>
      </w:r>
      <w:r w:rsidR="00DC7D05" w:rsidRPr="00E06806">
        <w:rPr>
          <w:rFonts w:cstheme="minorHAnsi"/>
          <w:color w:val="231F20"/>
          <w:w w:val="105"/>
        </w:rPr>
        <w:t>workforce</w:t>
      </w:r>
      <w:r w:rsidR="00DC7D05" w:rsidRPr="00DC7D05">
        <w:rPr>
          <w:rFonts w:cstheme="minorHAnsi"/>
          <w:color w:val="231F20"/>
          <w:w w:val="105"/>
        </w:rPr>
        <w:t xml:space="preserve"> board</w:t>
      </w:r>
      <w:r w:rsidRPr="00DC7D05">
        <w:rPr>
          <w:rFonts w:cstheme="minorHAnsi"/>
          <w:color w:val="231F20"/>
          <w:w w:val="105"/>
        </w:rPr>
        <w:t xml:space="preserve"> </w:t>
      </w:r>
      <w:r w:rsidRPr="00E06806">
        <w:rPr>
          <w:rFonts w:cstheme="minorHAnsi"/>
          <w:color w:val="231F20"/>
          <w:w w:val="105"/>
        </w:rPr>
        <w:t>staff</w:t>
      </w:r>
      <w:r w:rsidRPr="00E06806">
        <w:rPr>
          <w:rFonts w:cstheme="minorHAnsi"/>
          <w:color w:val="231F20"/>
          <w:spacing w:val="12"/>
          <w:w w:val="105"/>
        </w:rPr>
        <w:t xml:space="preserve"> </w:t>
      </w:r>
      <w:r w:rsidRPr="00E06806">
        <w:rPr>
          <w:rFonts w:cstheme="minorHAnsi"/>
          <w:color w:val="231F20"/>
          <w:w w:val="105"/>
        </w:rPr>
        <w:t>to</w:t>
      </w:r>
      <w:r w:rsidRPr="00E06806">
        <w:rPr>
          <w:rFonts w:cstheme="minorHAnsi"/>
          <w:color w:val="231F20"/>
          <w:spacing w:val="12"/>
          <w:w w:val="105"/>
        </w:rPr>
        <w:t xml:space="preserve"> </w:t>
      </w:r>
      <w:r w:rsidRPr="00E06806">
        <w:rPr>
          <w:rFonts w:cstheme="minorHAnsi"/>
          <w:color w:val="231F20"/>
          <w:w w:val="105"/>
        </w:rPr>
        <w:t>design</w:t>
      </w:r>
      <w:r w:rsidRPr="00E06806">
        <w:rPr>
          <w:rFonts w:cstheme="minorHAnsi"/>
          <w:color w:val="231F20"/>
          <w:spacing w:val="12"/>
          <w:w w:val="105"/>
        </w:rPr>
        <w:t xml:space="preserve"> </w:t>
      </w:r>
      <w:r w:rsidRPr="00E06806">
        <w:rPr>
          <w:rFonts w:cstheme="minorHAnsi"/>
          <w:color w:val="231F20"/>
          <w:w w:val="105"/>
        </w:rPr>
        <w:t>a</w:t>
      </w:r>
      <w:r w:rsidRPr="00E06806">
        <w:rPr>
          <w:rFonts w:cstheme="minorHAnsi"/>
          <w:color w:val="231F20"/>
          <w:spacing w:val="12"/>
          <w:w w:val="105"/>
        </w:rPr>
        <w:t xml:space="preserve"> </w:t>
      </w:r>
      <w:r w:rsidRPr="00E06806">
        <w:rPr>
          <w:rFonts w:cstheme="minorHAnsi"/>
          <w:color w:val="231F20"/>
          <w:w w:val="105"/>
        </w:rPr>
        <w:t>state-approved</w:t>
      </w:r>
      <w:r w:rsidRPr="00E06806">
        <w:rPr>
          <w:rFonts w:cstheme="minorHAnsi"/>
          <w:color w:val="231F20"/>
          <w:spacing w:val="12"/>
          <w:w w:val="105"/>
        </w:rPr>
        <w:t xml:space="preserve"> </w:t>
      </w:r>
      <w:r w:rsidRPr="00E06806">
        <w:rPr>
          <w:rFonts w:cstheme="minorHAnsi"/>
          <w:color w:val="231F20"/>
          <w:w w:val="105"/>
        </w:rPr>
        <w:t>performance</w:t>
      </w:r>
      <w:r w:rsidRPr="00E06806">
        <w:rPr>
          <w:rFonts w:cstheme="minorHAnsi"/>
          <w:color w:val="231F20"/>
          <w:spacing w:val="12"/>
          <w:w w:val="105"/>
        </w:rPr>
        <w:t xml:space="preserve"> </w:t>
      </w:r>
      <w:r w:rsidRPr="00E06806">
        <w:rPr>
          <w:rFonts w:cstheme="minorHAnsi"/>
          <w:color w:val="231F20"/>
          <w:w w:val="105"/>
        </w:rPr>
        <w:t>improvement</w:t>
      </w:r>
      <w:r w:rsidRPr="00E06806">
        <w:rPr>
          <w:rFonts w:cstheme="minorHAnsi"/>
          <w:color w:val="231F20"/>
          <w:spacing w:val="12"/>
          <w:w w:val="105"/>
        </w:rPr>
        <w:t xml:space="preserve"> </w:t>
      </w:r>
      <w:r w:rsidRPr="00E06806">
        <w:rPr>
          <w:rFonts w:cstheme="minorHAnsi"/>
          <w:color w:val="231F20"/>
          <w:w w:val="105"/>
        </w:rPr>
        <w:t>plan</w:t>
      </w:r>
      <w:r w:rsidRPr="00E06806">
        <w:rPr>
          <w:rFonts w:cstheme="minorHAnsi"/>
          <w:color w:val="231F20"/>
          <w:spacing w:val="12"/>
          <w:w w:val="105"/>
        </w:rPr>
        <w:t xml:space="preserve"> </w:t>
      </w:r>
      <w:r w:rsidRPr="00E06806">
        <w:rPr>
          <w:rFonts w:cstheme="minorHAnsi"/>
          <w:color w:val="231F20"/>
          <w:w w:val="105"/>
        </w:rPr>
        <w:t>policy</w:t>
      </w:r>
      <w:r w:rsidRPr="00E06806">
        <w:rPr>
          <w:rFonts w:cstheme="minorHAnsi"/>
          <w:color w:val="231F20"/>
          <w:spacing w:val="12"/>
          <w:w w:val="105"/>
        </w:rPr>
        <w:t xml:space="preserve"> </w:t>
      </w:r>
      <w:r w:rsidRPr="00E06806">
        <w:rPr>
          <w:rFonts w:cstheme="minorHAnsi"/>
          <w:color w:val="231F20"/>
          <w:w w:val="105"/>
        </w:rPr>
        <w:t>with</w:t>
      </w:r>
      <w:r w:rsidRPr="00E06806">
        <w:rPr>
          <w:rFonts w:cstheme="minorHAnsi"/>
          <w:color w:val="231F20"/>
          <w:spacing w:val="12"/>
          <w:w w:val="105"/>
        </w:rPr>
        <w:t xml:space="preserve"> </w:t>
      </w:r>
      <w:r w:rsidRPr="00E06806">
        <w:rPr>
          <w:rFonts w:cstheme="minorHAnsi"/>
          <w:color w:val="231F20"/>
          <w:w w:val="105"/>
        </w:rPr>
        <w:t>specific</w:t>
      </w:r>
      <w:r w:rsidRPr="00E06806">
        <w:rPr>
          <w:rFonts w:cstheme="minorHAnsi"/>
          <w:color w:val="231F20"/>
          <w:spacing w:val="12"/>
          <w:w w:val="105"/>
        </w:rPr>
        <w:t xml:space="preserve"> </w:t>
      </w:r>
      <w:r w:rsidRPr="00E06806">
        <w:rPr>
          <w:rFonts w:cstheme="minorHAnsi"/>
          <w:color w:val="231F20"/>
          <w:w w:val="105"/>
        </w:rPr>
        <w:t>deliverables,</w:t>
      </w:r>
      <w:r w:rsidRPr="00E06806">
        <w:rPr>
          <w:rFonts w:cstheme="minorHAnsi"/>
          <w:color w:val="231F20"/>
          <w:spacing w:val="-12"/>
          <w:w w:val="105"/>
        </w:rPr>
        <w:t xml:space="preserve"> </w:t>
      </w:r>
      <w:r w:rsidRPr="00E06806">
        <w:rPr>
          <w:rFonts w:cstheme="minorHAnsi"/>
          <w:color w:val="231F20"/>
          <w:w w:val="105"/>
        </w:rPr>
        <w:t>often</w:t>
      </w:r>
      <w:r w:rsidRPr="00E06806">
        <w:rPr>
          <w:rFonts w:cstheme="minorHAnsi"/>
          <w:color w:val="231F20"/>
          <w:spacing w:val="18"/>
          <w:w w:val="105"/>
        </w:rPr>
        <w:t xml:space="preserve"> </w:t>
      </w:r>
      <w:r w:rsidRPr="00E06806">
        <w:rPr>
          <w:rFonts w:cstheme="minorHAnsi"/>
          <w:color w:val="231F20"/>
          <w:w w:val="105"/>
        </w:rPr>
        <w:t>supported</w:t>
      </w:r>
      <w:r w:rsidRPr="00E06806">
        <w:rPr>
          <w:rFonts w:cstheme="minorHAnsi"/>
          <w:color w:val="231F20"/>
          <w:spacing w:val="18"/>
          <w:w w:val="105"/>
        </w:rPr>
        <w:t xml:space="preserve"> </w:t>
      </w:r>
      <w:r w:rsidRPr="00E06806">
        <w:rPr>
          <w:rFonts w:cstheme="minorHAnsi"/>
          <w:color w:val="231F20"/>
          <w:w w:val="105"/>
        </w:rPr>
        <w:t>by</w:t>
      </w:r>
      <w:r w:rsidRPr="00E06806">
        <w:rPr>
          <w:rFonts w:cstheme="minorHAnsi"/>
          <w:color w:val="231F20"/>
          <w:spacing w:val="18"/>
          <w:w w:val="105"/>
        </w:rPr>
        <w:t xml:space="preserve"> </w:t>
      </w:r>
      <w:r w:rsidRPr="00E06806">
        <w:rPr>
          <w:rFonts w:cstheme="minorHAnsi"/>
          <w:color w:val="231F20"/>
          <w:w w:val="105"/>
        </w:rPr>
        <w:t>state</w:t>
      </w:r>
      <w:r w:rsidRPr="00E06806">
        <w:rPr>
          <w:rFonts w:cstheme="minorHAnsi"/>
          <w:color w:val="231F20"/>
          <w:spacing w:val="18"/>
          <w:w w:val="105"/>
        </w:rPr>
        <w:t xml:space="preserve"> </w:t>
      </w:r>
      <w:r w:rsidRPr="00E06806">
        <w:rPr>
          <w:rFonts w:cstheme="minorHAnsi"/>
          <w:color w:val="231F20"/>
          <w:w w:val="105"/>
        </w:rPr>
        <w:t>and</w:t>
      </w:r>
      <w:r w:rsidRPr="00E06806">
        <w:rPr>
          <w:rFonts w:cstheme="minorHAnsi"/>
          <w:color w:val="231F20"/>
          <w:spacing w:val="18"/>
          <w:w w:val="105"/>
        </w:rPr>
        <w:t xml:space="preserve"> </w:t>
      </w:r>
      <w:r w:rsidRPr="00E06806">
        <w:rPr>
          <w:rFonts w:cstheme="minorHAnsi"/>
          <w:color w:val="231F20"/>
          <w:w w:val="105"/>
        </w:rPr>
        <w:t>peer</w:t>
      </w:r>
      <w:r w:rsidRPr="00E06806">
        <w:rPr>
          <w:rFonts w:cstheme="minorHAnsi"/>
          <w:color w:val="231F20"/>
          <w:spacing w:val="18"/>
          <w:w w:val="105"/>
        </w:rPr>
        <w:t xml:space="preserve"> </w:t>
      </w:r>
      <w:r w:rsidRPr="00E06806">
        <w:rPr>
          <w:rFonts w:cstheme="minorHAnsi"/>
          <w:color w:val="231F20"/>
          <w:spacing w:val="-3"/>
          <w:w w:val="105"/>
        </w:rPr>
        <w:t>Technical</w:t>
      </w:r>
      <w:r w:rsidRPr="00E06806">
        <w:rPr>
          <w:rFonts w:cstheme="minorHAnsi"/>
          <w:color w:val="231F20"/>
          <w:spacing w:val="18"/>
          <w:w w:val="105"/>
        </w:rPr>
        <w:t xml:space="preserve"> </w:t>
      </w:r>
      <w:r w:rsidRPr="00E06806">
        <w:rPr>
          <w:rFonts w:cstheme="minorHAnsi"/>
          <w:color w:val="231F20"/>
          <w:w w:val="105"/>
        </w:rPr>
        <w:t>Assistance</w:t>
      </w:r>
      <w:r w:rsidRPr="00E06806">
        <w:rPr>
          <w:rFonts w:cstheme="minorHAnsi"/>
          <w:color w:val="231F20"/>
          <w:spacing w:val="18"/>
          <w:w w:val="105"/>
        </w:rPr>
        <w:t xml:space="preserve"> </w:t>
      </w:r>
      <w:r w:rsidRPr="00E06806">
        <w:rPr>
          <w:rFonts w:cstheme="minorHAnsi"/>
          <w:color w:val="231F20"/>
          <w:w w:val="105"/>
        </w:rPr>
        <w:t>and</w:t>
      </w:r>
      <w:r w:rsidRPr="00E06806">
        <w:rPr>
          <w:rFonts w:cstheme="minorHAnsi"/>
          <w:color w:val="231F20"/>
          <w:spacing w:val="18"/>
          <w:w w:val="105"/>
        </w:rPr>
        <w:t xml:space="preserve"> </w:t>
      </w:r>
      <w:r w:rsidRPr="00E06806">
        <w:rPr>
          <w:rFonts w:cstheme="minorHAnsi"/>
          <w:color w:val="231F20"/>
          <w:spacing w:val="-3"/>
          <w:w w:val="105"/>
        </w:rPr>
        <w:t>Training</w:t>
      </w:r>
      <w:r w:rsidRPr="00E06806">
        <w:rPr>
          <w:rFonts w:cstheme="minorHAnsi"/>
          <w:color w:val="231F20"/>
          <w:spacing w:val="18"/>
          <w:w w:val="105"/>
        </w:rPr>
        <w:t xml:space="preserve"> </w:t>
      </w:r>
      <w:r w:rsidRPr="00E06806">
        <w:rPr>
          <w:rFonts w:cstheme="minorHAnsi"/>
          <w:color w:val="231F20"/>
          <w:spacing w:val="-6"/>
          <w:w w:val="105"/>
        </w:rPr>
        <w:t>(TAT)</w:t>
      </w:r>
      <w:r w:rsidRPr="00E06806">
        <w:rPr>
          <w:rFonts w:cstheme="minorHAnsi"/>
          <w:color w:val="231F20"/>
          <w:spacing w:val="18"/>
          <w:w w:val="105"/>
        </w:rPr>
        <w:t xml:space="preserve"> </w:t>
      </w:r>
      <w:r w:rsidRPr="00E06806">
        <w:rPr>
          <w:rFonts w:cstheme="minorHAnsi"/>
          <w:color w:val="231F20"/>
          <w:w w:val="105"/>
        </w:rPr>
        <w:t>and</w:t>
      </w:r>
      <w:r w:rsidRPr="00E06806">
        <w:rPr>
          <w:rFonts w:cstheme="minorHAnsi"/>
          <w:color w:val="231F20"/>
          <w:spacing w:val="18"/>
          <w:w w:val="105"/>
        </w:rPr>
        <w:t xml:space="preserve"> </w:t>
      </w:r>
      <w:r w:rsidRPr="00E06806">
        <w:rPr>
          <w:rFonts w:cstheme="minorHAnsi"/>
          <w:color w:val="231F20"/>
          <w:w w:val="105"/>
        </w:rPr>
        <w:t>supplemental funding</w:t>
      </w:r>
      <w:r w:rsidRPr="00E06806">
        <w:rPr>
          <w:rFonts w:cstheme="minorHAnsi"/>
          <w:color w:val="231F20"/>
          <w:spacing w:val="12"/>
          <w:w w:val="105"/>
        </w:rPr>
        <w:t xml:space="preserve"> </w:t>
      </w:r>
      <w:r w:rsidRPr="00E06806">
        <w:rPr>
          <w:rFonts w:cstheme="minorHAnsi"/>
          <w:color w:val="231F20"/>
          <w:w w:val="105"/>
        </w:rPr>
        <w:t>for</w:t>
      </w:r>
      <w:r w:rsidRPr="00E06806">
        <w:rPr>
          <w:rFonts w:cstheme="minorHAnsi"/>
          <w:color w:val="231F20"/>
          <w:spacing w:val="12"/>
          <w:w w:val="105"/>
        </w:rPr>
        <w:t xml:space="preserve"> </w:t>
      </w:r>
      <w:r w:rsidRPr="00E06806">
        <w:rPr>
          <w:rFonts w:cstheme="minorHAnsi"/>
          <w:color w:val="231F20"/>
          <w:w w:val="105"/>
        </w:rPr>
        <w:t>specific</w:t>
      </w:r>
      <w:r w:rsidRPr="00E06806">
        <w:rPr>
          <w:rFonts w:cstheme="minorHAnsi"/>
          <w:color w:val="231F20"/>
          <w:spacing w:val="12"/>
          <w:w w:val="105"/>
        </w:rPr>
        <w:t xml:space="preserve"> </w:t>
      </w:r>
      <w:r w:rsidRPr="00E06806">
        <w:rPr>
          <w:rFonts w:cstheme="minorHAnsi"/>
          <w:color w:val="231F20"/>
          <w:w w:val="105"/>
        </w:rPr>
        <w:t>interventions.</w:t>
      </w:r>
      <w:r w:rsidRPr="00E06806">
        <w:rPr>
          <w:rFonts w:cstheme="minorHAnsi"/>
          <w:color w:val="231F20"/>
          <w:spacing w:val="12"/>
          <w:w w:val="105"/>
        </w:rPr>
        <w:t xml:space="preserve"> </w:t>
      </w:r>
      <w:r w:rsidR="001F2B80" w:rsidRPr="00E06806">
        <w:rPr>
          <w:rFonts w:cstheme="minorHAnsi"/>
          <w:color w:val="231F20"/>
          <w:w w:val="105"/>
        </w:rPr>
        <w:t>C</w:t>
      </w:r>
      <w:r w:rsidRPr="00E06806">
        <w:rPr>
          <w:rFonts w:cstheme="minorHAnsi"/>
          <w:color w:val="231F20"/>
          <w:w w:val="105"/>
        </w:rPr>
        <w:t>hronic</w:t>
      </w:r>
      <w:r w:rsidRPr="00E06806">
        <w:rPr>
          <w:rFonts w:cstheme="minorHAnsi"/>
          <w:color w:val="231F20"/>
          <w:spacing w:val="12"/>
          <w:w w:val="105"/>
        </w:rPr>
        <w:t xml:space="preserve"> </w:t>
      </w:r>
      <w:r w:rsidRPr="00E06806">
        <w:rPr>
          <w:rFonts w:cstheme="minorHAnsi"/>
          <w:color w:val="231F20"/>
          <w:w w:val="105"/>
        </w:rPr>
        <w:t>performance</w:t>
      </w:r>
      <w:r w:rsidRPr="00E06806">
        <w:rPr>
          <w:rFonts w:cstheme="minorHAnsi"/>
          <w:color w:val="231F20"/>
          <w:spacing w:val="12"/>
          <w:w w:val="105"/>
        </w:rPr>
        <w:t xml:space="preserve"> </w:t>
      </w:r>
      <w:r w:rsidRPr="00E06806">
        <w:rPr>
          <w:rFonts w:cstheme="minorHAnsi"/>
          <w:color w:val="231F20"/>
          <w:w w:val="105"/>
        </w:rPr>
        <w:t>and</w:t>
      </w:r>
      <w:r w:rsidRPr="00E06806">
        <w:rPr>
          <w:rFonts w:cstheme="minorHAnsi"/>
          <w:color w:val="231F20"/>
          <w:spacing w:val="12"/>
          <w:w w:val="105"/>
        </w:rPr>
        <w:t xml:space="preserve"> </w:t>
      </w:r>
      <w:r w:rsidRPr="00E06806">
        <w:rPr>
          <w:rFonts w:cstheme="minorHAnsi"/>
          <w:color w:val="231F20"/>
          <w:w w:val="105"/>
        </w:rPr>
        <w:t>operational</w:t>
      </w:r>
      <w:r w:rsidRPr="00E06806">
        <w:rPr>
          <w:rFonts w:cstheme="minorHAnsi"/>
          <w:color w:val="231F20"/>
          <w:spacing w:val="12"/>
          <w:w w:val="105"/>
        </w:rPr>
        <w:t xml:space="preserve"> </w:t>
      </w:r>
      <w:r w:rsidRPr="00E06806">
        <w:rPr>
          <w:rFonts w:cstheme="minorHAnsi"/>
          <w:color w:val="231F20"/>
          <w:w w:val="105"/>
        </w:rPr>
        <w:t>problems</w:t>
      </w:r>
      <w:r w:rsidRPr="00E06806">
        <w:rPr>
          <w:rFonts w:cstheme="minorHAnsi"/>
          <w:color w:val="231F20"/>
          <w:spacing w:val="12"/>
          <w:w w:val="105"/>
        </w:rPr>
        <w:t xml:space="preserve"> </w:t>
      </w:r>
      <w:r w:rsidRPr="00E06806">
        <w:rPr>
          <w:rFonts w:cstheme="minorHAnsi"/>
          <w:color w:val="231F20"/>
          <w:w w:val="105"/>
        </w:rPr>
        <w:t>can</w:t>
      </w:r>
      <w:r w:rsidRPr="00E06806">
        <w:rPr>
          <w:rFonts w:cstheme="minorHAnsi"/>
          <w:color w:val="231F20"/>
          <w:spacing w:val="12"/>
          <w:w w:val="105"/>
        </w:rPr>
        <w:t xml:space="preserve"> </w:t>
      </w:r>
      <w:r w:rsidRPr="00E06806">
        <w:rPr>
          <w:rFonts w:cstheme="minorHAnsi"/>
          <w:color w:val="231F20"/>
          <w:w w:val="105"/>
        </w:rPr>
        <w:t>result</w:t>
      </w:r>
      <w:r w:rsidRPr="00E06806">
        <w:rPr>
          <w:rFonts w:cstheme="minorHAnsi"/>
          <w:color w:val="231F20"/>
          <w:spacing w:val="12"/>
          <w:w w:val="105"/>
        </w:rPr>
        <w:t xml:space="preserve"> </w:t>
      </w:r>
      <w:r w:rsidRPr="00E06806">
        <w:rPr>
          <w:rFonts w:cstheme="minorHAnsi"/>
          <w:color w:val="231F20"/>
          <w:w w:val="105"/>
        </w:rPr>
        <w:t>in</w:t>
      </w:r>
      <w:r w:rsidRPr="00E06806">
        <w:rPr>
          <w:rFonts w:cstheme="minorHAnsi"/>
          <w:color w:val="231F20"/>
          <w:spacing w:val="-31"/>
          <w:w w:val="105"/>
        </w:rPr>
        <w:t xml:space="preserve"> </w:t>
      </w:r>
      <w:r w:rsidRPr="00E06806">
        <w:rPr>
          <w:rFonts w:cstheme="minorHAnsi"/>
          <w:color w:val="231F20"/>
          <w:w w:val="105"/>
        </w:rPr>
        <w:t>progressive</w:t>
      </w:r>
      <w:r w:rsidRPr="00E06806">
        <w:rPr>
          <w:rFonts w:cstheme="minorHAnsi"/>
          <w:color w:val="231F20"/>
          <w:spacing w:val="15"/>
          <w:w w:val="105"/>
        </w:rPr>
        <w:t xml:space="preserve"> </w:t>
      </w:r>
      <w:r w:rsidRPr="00E06806">
        <w:rPr>
          <w:rFonts w:cstheme="minorHAnsi"/>
          <w:color w:val="231F20"/>
          <w:w w:val="105"/>
        </w:rPr>
        <w:t>levels</w:t>
      </w:r>
      <w:r w:rsidRPr="00E06806">
        <w:rPr>
          <w:rFonts w:cstheme="minorHAnsi"/>
          <w:color w:val="231F20"/>
          <w:spacing w:val="15"/>
          <w:w w:val="105"/>
        </w:rPr>
        <w:t xml:space="preserve"> </w:t>
      </w:r>
      <w:r w:rsidRPr="00E06806">
        <w:rPr>
          <w:rFonts w:cstheme="minorHAnsi"/>
          <w:color w:val="231F20"/>
          <w:w w:val="105"/>
        </w:rPr>
        <w:t>of</w:t>
      </w:r>
      <w:r w:rsidRPr="00E06806">
        <w:rPr>
          <w:rFonts w:cstheme="minorHAnsi"/>
          <w:color w:val="231F20"/>
          <w:spacing w:val="15"/>
          <w:w w:val="105"/>
        </w:rPr>
        <w:t xml:space="preserve"> </w:t>
      </w:r>
      <w:r w:rsidRPr="00E06806">
        <w:rPr>
          <w:rFonts w:cstheme="minorHAnsi"/>
          <w:color w:val="231F20"/>
          <w:w w:val="105"/>
        </w:rPr>
        <w:t>direct,</w:t>
      </w:r>
      <w:r w:rsidRPr="00E06806">
        <w:rPr>
          <w:rFonts w:cstheme="minorHAnsi"/>
          <w:color w:val="231F20"/>
          <w:spacing w:val="15"/>
          <w:w w:val="105"/>
        </w:rPr>
        <w:t xml:space="preserve"> </w:t>
      </w:r>
      <w:r w:rsidRPr="00E06806">
        <w:rPr>
          <w:rFonts w:cstheme="minorHAnsi"/>
          <w:color w:val="231F20"/>
          <w:w w:val="105"/>
        </w:rPr>
        <w:t>sustained</w:t>
      </w:r>
      <w:r w:rsidRPr="00E06806">
        <w:rPr>
          <w:rFonts w:cstheme="minorHAnsi"/>
          <w:color w:val="231F20"/>
          <w:spacing w:val="15"/>
          <w:w w:val="105"/>
        </w:rPr>
        <w:t xml:space="preserve"> </w:t>
      </w:r>
      <w:r w:rsidR="00636731">
        <w:rPr>
          <w:rFonts w:cstheme="minorHAnsi"/>
          <w:color w:val="231F20"/>
          <w:w w:val="105"/>
        </w:rPr>
        <w:t>on</w:t>
      </w:r>
      <w:r w:rsidRPr="00E06806">
        <w:rPr>
          <w:rFonts w:cstheme="minorHAnsi"/>
          <w:color w:val="231F20"/>
          <w:w w:val="105"/>
        </w:rPr>
        <w:t>site</w:t>
      </w:r>
      <w:r w:rsidRPr="00E06806">
        <w:rPr>
          <w:rFonts w:cstheme="minorHAnsi"/>
          <w:color w:val="231F20"/>
          <w:spacing w:val="15"/>
          <w:w w:val="105"/>
        </w:rPr>
        <w:t xml:space="preserve"> </w:t>
      </w:r>
      <w:r w:rsidRPr="00E06806">
        <w:rPr>
          <w:rFonts w:cstheme="minorHAnsi"/>
          <w:color w:val="231F20"/>
          <w:w w:val="105"/>
        </w:rPr>
        <w:t>oversight</w:t>
      </w:r>
      <w:r w:rsidRPr="00E06806">
        <w:rPr>
          <w:rFonts w:cstheme="minorHAnsi"/>
          <w:color w:val="231F20"/>
          <w:spacing w:val="15"/>
          <w:w w:val="105"/>
        </w:rPr>
        <w:t xml:space="preserve"> </w:t>
      </w:r>
      <w:r w:rsidRPr="00E06806">
        <w:rPr>
          <w:rFonts w:cstheme="minorHAnsi"/>
          <w:color w:val="231F20"/>
          <w:w w:val="105"/>
        </w:rPr>
        <w:t>by</w:t>
      </w:r>
      <w:r w:rsidRPr="00E06806">
        <w:rPr>
          <w:rFonts w:cstheme="minorHAnsi"/>
          <w:color w:val="231F20"/>
          <w:spacing w:val="15"/>
          <w:w w:val="105"/>
        </w:rPr>
        <w:t xml:space="preserve"> </w:t>
      </w:r>
      <w:r w:rsidRPr="00E06806">
        <w:rPr>
          <w:rFonts w:cstheme="minorHAnsi"/>
          <w:color w:val="231F20"/>
          <w:w w:val="105"/>
        </w:rPr>
        <w:t>state</w:t>
      </w:r>
      <w:r w:rsidRPr="00E06806">
        <w:rPr>
          <w:rFonts w:cstheme="minorHAnsi"/>
          <w:color w:val="231F20"/>
          <w:spacing w:val="15"/>
          <w:w w:val="105"/>
        </w:rPr>
        <w:t xml:space="preserve"> </w:t>
      </w:r>
      <w:r w:rsidRPr="00E06806">
        <w:rPr>
          <w:rFonts w:cstheme="minorHAnsi"/>
          <w:color w:val="231F20"/>
          <w:w w:val="105"/>
        </w:rPr>
        <w:t>staff</w:t>
      </w:r>
      <w:r w:rsidRPr="00E06806">
        <w:rPr>
          <w:rFonts w:cstheme="minorHAnsi"/>
          <w:color w:val="231F20"/>
          <w:spacing w:val="15"/>
          <w:w w:val="105"/>
        </w:rPr>
        <w:t xml:space="preserve"> </w:t>
      </w:r>
      <w:r w:rsidRPr="00E06806">
        <w:rPr>
          <w:rFonts w:cstheme="minorHAnsi"/>
          <w:color w:val="231F20"/>
          <w:w w:val="105"/>
        </w:rPr>
        <w:t>or</w:t>
      </w:r>
      <w:r w:rsidRPr="00E06806">
        <w:rPr>
          <w:rFonts w:cstheme="minorHAnsi"/>
          <w:color w:val="231F20"/>
          <w:spacing w:val="15"/>
          <w:w w:val="105"/>
        </w:rPr>
        <w:t xml:space="preserve"> </w:t>
      </w:r>
      <w:r w:rsidRPr="00E06806">
        <w:rPr>
          <w:rFonts w:cstheme="minorHAnsi"/>
          <w:color w:val="231F20"/>
          <w:w w:val="105"/>
        </w:rPr>
        <w:t>state-designated</w:t>
      </w:r>
      <w:r w:rsidRPr="00E06806">
        <w:rPr>
          <w:rFonts w:cstheme="minorHAnsi"/>
          <w:color w:val="231F20"/>
          <w:spacing w:val="15"/>
          <w:w w:val="105"/>
        </w:rPr>
        <w:t xml:space="preserve"> </w:t>
      </w:r>
      <w:r w:rsidRPr="00E06806">
        <w:rPr>
          <w:rFonts w:cstheme="minorHAnsi"/>
          <w:color w:val="231F20"/>
          <w:w w:val="105"/>
        </w:rPr>
        <w:t>local</w:t>
      </w:r>
      <w:r w:rsidRPr="00E06806">
        <w:rPr>
          <w:rFonts w:cstheme="minorHAnsi"/>
          <w:color w:val="231F20"/>
          <w:spacing w:val="15"/>
          <w:w w:val="105"/>
        </w:rPr>
        <w:t xml:space="preserve"> </w:t>
      </w:r>
      <w:r w:rsidRPr="00E06806">
        <w:rPr>
          <w:rFonts w:cstheme="minorHAnsi"/>
          <w:color w:val="231F20"/>
          <w:w w:val="105"/>
        </w:rPr>
        <w:t>workforce</w:t>
      </w:r>
      <w:r w:rsidRPr="00E06806">
        <w:rPr>
          <w:rFonts w:cstheme="minorHAnsi"/>
          <w:color w:val="231F20"/>
          <w:spacing w:val="-18"/>
          <w:w w:val="105"/>
        </w:rPr>
        <w:t xml:space="preserve"> </w:t>
      </w:r>
      <w:r w:rsidRPr="00E06806">
        <w:rPr>
          <w:rFonts w:cstheme="minorHAnsi"/>
          <w:color w:val="231F20"/>
          <w:w w:val="105"/>
        </w:rPr>
        <w:t>board</w:t>
      </w:r>
      <w:r w:rsidRPr="00E06806">
        <w:rPr>
          <w:rFonts w:cstheme="minorHAnsi"/>
          <w:color w:val="231F20"/>
          <w:spacing w:val="9"/>
          <w:w w:val="105"/>
        </w:rPr>
        <w:t xml:space="preserve"> </w:t>
      </w:r>
      <w:r w:rsidRPr="00E06806">
        <w:rPr>
          <w:rFonts w:cstheme="minorHAnsi"/>
          <w:color w:val="231F20"/>
          <w:w w:val="105"/>
        </w:rPr>
        <w:t>peer</w:t>
      </w:r>
      <w:r w:rsidRPr="00E06806">
        <w:rPr>
          <w:rFonts w:cstheme="minorHAnsi"/>
          <w:color w:val="231F20"/>
          <w:spacing w:val="9"/>
          <w:w w:val="105"/>
        </w:rPr>
        <w:t xml:space="preserve"> </w:t>
      </w:r>
      <w:r w:rsidRPr="00E06806">
        <w:rPr>
          <w:rFonts w:cstheme="minorHAnsi"/>
          <w:color w:val="231F20"/>
          <w:w w:val="105"/>
        </w:rPr>
        <w:t>supervision,</w:t>
      </w:r>
      <w:r w:rsidRPr="00E06806">
        <w:rPr>
          <w:rFonts w:cstheme="minorHAnsi"/>
          <w:color w:val="231F20"/>
          <w:spacing w:val="9"/>
          <w:w w:val="105"/>
        </w:rPr>
        <w:t xml:space="preserve"> </w:t>
      </w:r>
      <w:r w:rsidRPr="00E06806">
        <w:rPr>
          <w:rFonts w:cstheme="minorHAnsi"/>
          <w:color w:val="231F20"/>
          <w:w w:val="105"/>
        </w:rPr>
        <w:t>receivership,</w:t>
      </w:r>
      <w:r w:rsidRPr="00E06806">
        <w:rPr>
          <w:rFonts w:cstheme="minorHAnsi"/>
          <w:color w:val="231F20"/>
          <w:spacing w:val="9"/>
          <w:w w:val="105"/>
        </w:rPr>
        <w:t xml:space="preserve"> </w:t>
      </w:r>
      <w:r w:rsidRPr="00E06806">
        <w:rPr>
          <w:rFonts w:cstheme="minorHAnsi"/>
          <w:color w:val="231F20"/>
          <w:w w:val="105"/>
        </w:rPr>
        <w:t>or</w:t>
      </w:r>
      <w:r w:rsidRPr="00E06806">
        <w:rPr>
          <w:rFonts w:cstheme="minorHAnsi"/>
          <w:color w:val="231F20"/>
          <w:spacing w:val="9"/>
          <w:w w:val="105"/>
        </w:rPr>
        <w:t xml:space="preserve"> </w:t>
      </w:r>
      <w:r w:rsidRPr="00E06806">
        <w:rPr>
          <w:rFonts w:cstheme="minorHAnsi"/>
          <w:color w:val="231F20"/>
          <w:w w:val="105"/>
        </w:rPr>
        <w:t>replacement</w:t>
      </w:r>
      <w:r w:rsidRPr="00E06806">
        <w:rPr>
          <w:rFonts w:cstheme="minorHAnsi"/>
          <w:color w:val="231F20"/>
          <w:spacing w:val="9"/>
          <w:w w:val="105"/>
        </w:rPr>
        <w:t xml:space="preserve"> </w:t>
      </w:r>
      <w:r w:rsidRPr="00E06806">
        <w:rPr>
          <w:rFonts w:cstheme="minorHAnsi"/>
          <w:color w:val="231F20"/>
          <w:w w:val="105"/>
        </w:rPr>
        <w:t>of</w:t>
      </w:r>
      <w:r w:rsidRPr="00E06806">
        <w:rPr>
          <w:rFonts w:cstheme="minorHAnsi"/>
          <w:color w:val="231F20"/>
          <w:spacing w:val="9"/>
          <w:w w:val="105"/>
        </w:rPr>
        <w:t xml:space="preserve"> </w:t>
      </w:r>
      <w:r w:rsidRPr="00E06806">
        <w:rPr>
          <w:rFonts w:cstheme="minorHAnsi"/>
          <w:color w:val="231F20"/>
          <w:w w:val="105"/>
        </w:rPr>
        <w:t>local</w:t>
      </w:r>
      <w:r w:rsidRPr="00E06806">
        <w:rPr>
          <w:rFonts w:cstheme="minorHAnsi"/>
          <w:color w:val="231F20"/>
          <w:spacing w:val="9"/>
          <w:w w:val="105"/>
        </w:rPr>
        <w:t xml:space="preserve"> </w:t>
      </w:r>
      <w:r w:rsidRPr="00E06806">
        <w:rPr>
          <w:rFonts w:cstheme="minorHAnsi"/>
          <w:color w:val="231F20"/>
          <w:w w:val="105"/>
        </w:rPr>
        <w:t>executive</w:t>
      </w:r>
      <w:r w:rsidRPr="00E06806">
        <w:rPr>
          <w:rFonts w:cstheme="minorHAnsi"/>
          <w:color w:val="231F20"/>
          <w:spacing w:val="9"/>
          <w:w w:val="105"/>
        </w:rPr>
        <w:t xml:space="preserve"> </w:t>
      </w:r>
      <w:r w:rsidRPr="00E06806">
        <w:rPr>
          <w:rFonts w:cstheme="minorHAnsi"/>
          <w:color w:val="231F20"/>
          <w:w w:val="105"/>
        </w:rPr>
        <w:t>staff.</w:t>
      </w:r>
      <w:r w:rsidRPr="00E06806">
        <w:rPr>
          <w:rFonts w:cstheme="minorHAnsi"/>
          <w:color w:val="231F20"/>
          <w:spacing w:val="9"/>
          <w:w w:val="105"/>
        </w:rPr>
        <w:t xml:space="preserve"> </w:t>
      </w:r>
      <w:r w:rsidRPr="00E06806">
        <w:rPr>
          <w:rFonts w:cstheme="minorHAnsi"/>
          <w:color w:val="231F20"/>
          <w:w w:val="105"/>
        </w:rPr>
        <w:t>As</w:t>
      </w:r>
      <w:r w:rsidRPr="00E06806">
        <w:rPr>
          <w:rFonts w:cstheme="minorHAnsi"/>
          <w:color w:val="231F20"/>
          <w:spacing w:val="9"/>
          <w:w w:val="105"/>
        </w:rPr>
        <w:t xml:space="preserve"> </w:t>
      </w:r>
      <w:r w:rsidRPr="00E06806">
        <w:rPr>
          <w:rFonts w:cstheme="minorHAnsi"/>
          <w:color w:val="231F20"/>
          <w:w w:val="105"/>
        </w:rPr>
        <w:t>an</w:t>
      </w:r>
      <w:r w:rsidRPr="00E06806">
        <w:rPr>
          <w:rFonts w:cstheme="minorHAnsi"/>
          <w:color w:val="231F20"/>
          <w:spacing w:val="9"/>
          <w:w w:val="105"/>
        </w:rPr>
        <w:t xml:space="preserve"> </w:t>
      </w:r>
      <w:r w:rsidRPr="00E06806">
        <w:rPr>
          <w:rFonts w:cstheme="minorHAnsi"/>
          <w:color w:val="231F20"/>
          <w:w w:val="105"/>
        </w:rPr>
        <w:t>ultimate</w:t>
      </w:r>
      <w:r w:rsidRPr="00E06806">
        <w:rPr>
          <w:rFonts w:cstheme="minorHAnsi"/>
          <w:color w:val="231F20"/>
          <w:spacing w:val="9"/>
          <w:w w:val="105"/>
        </w:rPr>
        <w:t xml:space="preserve"> </w:t>
      </w:r>
      <w:r w:rsidRPr="00E06806">
        <w:rPr>
          <w:rFonts w:cstheme="minorHAnsi"/>
          <w:color w:val="231F20"/>
          <w:w w:val="105"/>
        </w:rPr>
        <w:t>sanction,</w:t>
      </w:r>
      <w:r w:rsidRPr="00E06806">
        <w:rPr>
          <w:rFonts w:cstheme="minorHAnsi"/>
          <w:color w:val="231F20"/>
          <w:spacing w:val="9"/>
          <w:w w:val="105"/>
        </w:rPr>
        <w:t xml:space="preserve"> </w:t>
      </w:r>
      <w:r w:rsidRPr="00E06806">
        <w:rPr>
          <w:rFonts w:cstheme="minorHAnsi"/>
          <w:color w:val="231F20"/>
          <w:w w:val="105"/>
        </w:rPr>
        <w:t>a</w:t>
      </w:r>
      <w:r w:rsidRPr="00E06806">
        <w:rPr>
          <w:rFonts w:cstheme="minorHAnsi"/>
          <w:color w:val="231F20"/>
          <w:spacing w:val="-18"/>
          <w:w w:val="105"/>
        </w:rPr>
        <w:t xml:space="preserve"> </w:t>
      </w:r>
      <w:r w:rsidRPr="00E06806">
        <w:rPr>
          <w:rFonts w:cstheme="minorHAnsi"/>
          <w:color w:val="231F20"/>
          <w:w w:val="105"/>
        </w:rPr>
        <w:t>local</w:t>
      </w:r>
      <w:r w:rsidRPr="00E06806">
        <w:rPr>
          <w:rFonts w:cstheme="minorHAnsi"/>
          <w:color w:val="231F20"/>
          <w:spacing w:val="12"/>
          <w:w w:val="105"/>
        </w:rPr>
        <w:t xml:space="preserve"> </w:t>
      </w:r>
      <w:r w:rsidRPr="00E06806">
        <w:rPr>
          <w:rFonts w:cstheme="minorHAnsi"/>
          <w:color w:val="231F20"/>
          <w:w w:val="105"/>
        </w:rPr>
        <w:t>board</w:t>
      </w:r>
      <w:r w:rsidRPr="00E06806">
        <w:rPr>
          <w:rFonts w:cstheme="minorHAnsi"/>
          <w:color w:val="231F20"/>
          <w:spacing w:val="12"/>
          <w:w w:val="105"/>
        </w:rPr>
        <w:t xml:space="preserve"> </w:t>
      </w:r>
      <w:r w:rsidRPr="00E06806">
        <w:rPr>
          <w:rFonts w:cstheme="minorHAnsi"/>
          <w:color w:val="231F20"/>
          <w:w w:val="105"/>
        </w:rPr>
        <w:t>may</w:t>
      </w:r>
      <w:r w:rsidRPr="00E06806">
        <w:rPr>
          <w:rFonts w:cstheme="minorHAnsi"/>
          <w:color w:val="231F20"/>
          <w:spacing w:val="12"/>
          <w:w w:val="105"/>
        </w:rPr>
        <w:t xml:space="preserve"> </w:t>
      </w:r>
      <w:r w:rsidRPr="00E06806">
        <w:rPr>
          <w:rFonts w:cstheme="minorHAnsi"/>
          <w:color w:val="231F20"/>
          <w:w w:val="105"/>
        </w:rPr>
        <w:t>be</w:t>
      </w:r>
      <w:r w:rsidRPr="00E06806">
        <w:rPr>
          <w:rFonts w:cstheme="minorHAnsi"/>
          <w:color w:val="231F20"/>
          <w:spacing w:val="12"/>
          <w:w w:val="105"/>
        </w:rPr>
        <w:t xml:space="preserve"> </w:t>
      </w:r>
      <w:r w:rsidRPr="00E06806">
        <w:rPr>
          <w:rFonts w:cstheme="minorHAnsi"/>
          <w:color w:val="231F20"/>
          <w:w w:val="105"/>
        </w:rPr>
        <w:t>re-designated</w:t>
      </w:r>
      <w:r w:rsidRPr="00E06806">
        <w:rPr>
          <w:rFonts w:cstheme="minorHAnsi"/>
          <w:color w:val="231F20"/>
          <w:spacing w:val="12"/>
          <w:w w:val="105"/>
        </w:rPr>
        <w:t xml:space="preserve"> </w:t>
      </w:r>
      <w:r w:rsidRPr="00E06806">
        <w:rPr>
          <w:rFonts w:cstheme="minorHAnsi"/>
          <w:color w:val="231F20"/>
          <w:w w:val="105"/>
        </w:rPr>
        <w:t>or</w:t>
      </w:r>
      <w:r w:rsidRPr="00E06806">
        <w:rPr>
          <w:rFonts w:cstheme="minorHAnsi"/>
          <w:color w:val="231F20"/>
          <w:spacing w:val="12"/>
          <w:w w:val="105"/>
        </w:rPr>
        <w:t xml:space="preserve"> </w:t>
      </w:r>
      <w:r w:rsidRPr="00E06806">
        <w:rPr>
          <w:rFonts w:cstheme="minorHAnsi"/>
          <w:color w:val="231F20"/>
          <w:w w:val="105"/>
        </w:rPr>
        <w:t>consolidated</w:t>
      </w:r>
      <w:r w:rsidRPr="00E06806">
        <w:rPr>
          <w:rFonts w:cstheme="minorHAnsi"/>
          <w:color w:val="231F20"/>
          <w:spacing w:val="12"/>
          <w:w w:val="105"/>
        </w:rPr>
        <w:t xml:space="preserve"> </w:t>
      </w:r>
      <w:r w:rsidRPr="00E06806">
        <w:rPr>
          <w:rFonts w:cstheme="minorHAnsi"/>
          <w:color w:val="231F20"/>
          <w:w w:val="105"/>
        </w:rPr>
        <w:t>due</w:t>
      </w:r>
      <w:r w:rsidRPr="00E06806">
        <w:rPr>
          <w:rFonts w:cstheme="minorHAnsi"/>
          <w:color w:val="231F20"/>
          <w:spacing w:val="12"/>
          <w:w w:val="105"/>
        </w:rPr>
        <w:t xml:space="preserve"> </w:t>
      </w:r>
      <w:r w:rsidRPr="00E06806">
        <w:rPr>
          <w:rFonts w:cstheme="minorHAnsi"/>
          <w:color w:val="231F20"/>
          <w:w w:val="105"/>
        </w:rPr>
        <w:t>to</w:t>
      </w:r>
      <w:r w:rsidRPr="00E06806">
        <w:rPr>
          <w:rFonts w:cstheme="minorHAnsi"/>
          <w:color w:val="231F20"/>
          <w:spacing w:val="12"/>
          <w:w w:val="105"/>
        </w:rPr>
        <w:t xml:space="preserve"> </w:t>
      </w:r>
      <w:r w:rsidRPr="00E06806">
        <w:rPr>
          <w:rFonts w:cstheme="minorHAnsi"/>
          <w:color w:val="231F20"/>
          <w:w w:val="105"/>
        </w:rPr>
        <w:t>performance</w:t>
      </w:r>
      <w:r w:rsidRPr="00E06806">
        <w:rPr>
          <w:rFonts w:cstheme="minorHAnsi"/>
          <w:color w:val="231F20"/>
          <w:spacing w:val="12"/>
          <w:w w:val="105"/>
        </w:rPr>
        <w:t xml:space="preserve"> </w:t>
      </w:r>
      <w:r w:rsidR="00C127B7" w:rsidRPr="00E06806">
        <w:rPr>
          <w:rFonts w:cstheme="minorHAnsi"/>
          <w:color w:val="231F20"/>
          <w:w w:val="105"/>
        </w:rPr>
        <w:t>problems. To</w:t>
      </w:r>
      <w:r w:rsidR="001F2B80" w:rsidRPr="00E06806">
        <w:rPr>
          <w:rFonts w:cstheme="minorHAnsi"/>
          <w:color w:val="231F20"/>
          <w:w w:val="105"/>
        </w:rPr>
        <w:t xml:space="preserve"> </w:t>
      </w:r>
      <w:r w:rsidRPr="00E06806">
        <w:rPr>
          <w:rFonts w:cstheme="minorHAnsi"/>
          <w:color w:val="231F20"/>
          <w:w w:val="105"/>
        </w:rPr>
        <w:t>date,</w:t>
      </w:r>
      <w:r w:rsidRPr="00E06806">
        <w:rPr>
          <w:rFonts w:cstheme="minorHAnsi"/>
          <w:color w:val="231F20"/>
          <w:spacing w:val="12"/>
          <w:w w:val="105"/>
        </w:rPr>
        <w:t xml:space="preserve"> </w:t>
      </w:r>
      <w:r w:rsidRPr="00E06806">
        <w:rPr>
          <w:rFonts w:cstheme="minorHAnsi"/>
          <w:color w:val="231F20"/>
          <w:w w:val="105"/>
        </w:rPr>
        <w:t>no</w:t>
      </w:r>
      <w:r w:rsidRPr="00E06806">
        <w:rPr>
          <w:rFonts w:cstheme="minorHAnsi"/>
          <w:color w:val="231F20"/>
          <w:spacing w:val="12"/>
          <w:w w:val="105"/>
        </w:rPr>
        <w:t xml:space="preserve"> </w:t>
      </w:r>
      <w:r w:rsidRPr="00E06806">
        <w:rPr>
          <w:rFonts w:cstheme="minorHAnsi"/>
          <w:color w:val="231F20"/>
          <w:w w:val="105"/>
        </w:rPr>
        <w:t>local</w:t>
      </w:r>
      <w:r w:rsidRPr="00E06806">
        <w:rPr>
          <w:rFonts w:cstheme="minorHAnsi"/>
          <w:color w:val="231F20"/>
          <w:spacing w:val="12"/>
          <w:w w:val="105"/>
        </w:rPr>
        <w:t xml:space="preserve"> </w:t>
      </w:r>
      <w:r w:rsidRPr="00E06806">
        <w:rPr>
          <w:rFonts w:cstheme="minorHAnsi"/>
          <w:color w:val="231F20"/>
          <w:w w:val="105"/>
        </w:rPr>
        <w:t>board</w:t>
      </w:r>
      <w:r w:rsidRPr="00E06806">
        <w:rPr>
          <w:rFonts w:cstheme="minorHAnsi"/>
          <w:color w:val="231F20"/>
          <w:spacing w:val="-20"/>
          <w:w w:val="105"/>
        </w:rPr>
        <w:t xml:space="preserve"> </w:t>
      </w:r>
      <w:r w:rsidRPr="00E06806">
        <w:rPr>
          <w:rFonts w:cstheme="minorHAnsi"/>
          <w:color w:val="231F20"/>
          <w:w w:val="105"/>
        </w:rPr>
        <w:t xml:space="preserve">has been sanctioned in this </w:t>
      </w:r>
      <w:r w:rsidRPr="00E06806">
        <w:rPr>
          <w:rFonts w:cstheme="minorHAnsi"/>
          <w:color w:val="231F20"/>
          <w:spacing w:val="-3"/>
          <w:w w:val="105"/>
        </w:rPr>
        <w:t>manner.</w:t>
      </w:r>
    </w:p>
    <w:p w14:paraId="711F54D9" w14:textId="1DEC6F38" w:rsidR="00EA7458" w:rsidRDefault="00EA7458" w:rsidP="00D63204">
      <w:pPr>
        <w:widowControl w:val="0"/>
        <w:spacing w:before="4" w:after="0" w:line="240" w:lineRule="auto"/>
        <w:ind w:left="107"/>
        <w:rPr>
          <w:rFonts w:cstheme="minorHAnsi"/>
          <w:sz w:val="14"/>
          <w:szCs w:val="14"/>
        </w:rPr>
      </w:pPr>
    </w:p>
    <w:p w14:paraId="12737FCD" w14:textId="77777777" w:rsidR="00A210A1" w:rsidRPr="00E06806" w:rsidRDefault="00A210A1" w:rsidP="00D63204">
      <w:pPr>
        <w:widowControl w:val="0"/>
        <w:spacing w:before="4" w:after="0" w:line="240" w:lineRule="auto"/>
        <w:ind w:left="107"/>
        <w:rPr>
          <w:rFonts w:cstheme="minorHAnsi"/>
          <w:sz w:val="14"/>
          <w:szCs w:val="14"/>
        </w:rPr>
      </w:pPr>
    </w:p>
    <w:p w14:paraId="5A06F806" w14:textId="72215C85" w:rsidR="00EA7458" w:rsidRPr="00866A62" w:rsidRDefault="00EA7458" w:rsidP="00D63204">
      <w:pPr>
        <w:widowControl w:val="0"/>
        <w:spacing w:before="63" w:after="0" w:line="240" w:lineRule="auto"/>
        <w:ind w:left="107"/>
        <w:outlineLvl w:val="3"/>
        <w:rPr>
          <w:rFonts w:cstheme="minorHAnsi"/>
          <w:b/>
          <w:bCs/>
          <w:color w:val="231F20"/>
          <w:w w:val="105"/>
        </w:rPr>
      </w:pPr>
      <w:bookmarkStart w:id="87" w:name="_bookmark50"/>
      <w:bookmarkEnd w:id="87"/>
      <w:r w:rsidRPr="00866A62">
        <w:rPr>
          <w:rFonts w:cstheme="minorHAnsi"/>
          <w:b/>
          <w:bCs/>
          <w:color w:val="231F20"/>
          <w:w w:val="105"/>
        </w:rPr>
        <w:t>Division of Vocational Rehabilitation</w:t>
      </w:r>
    </w:p>
    <w:p w14:paraId="35FAAFFC" w14:textId="20AA4E01" w:rsidR="00664EFD" w:rsidRPr="00E06806" w:rsidRDefault="00664EFD" w:rsidP="00D63204">
      <w:pPr>
        <w:widowControl w:val="0"/>
        <w:spacing w:before="2" w:after="0" w:line="264" w:lineRule="exact"/>
        <w:ind w:left="107"/>
        <w:rPr>
          <w:rFonts w:cstheme="minorHAnsi"/>
        </w:rPr>
      </w:pPr>
      <w:r w:rsidRPr="00E06806">
        <w:rPr>
          <w:rFonts w:cstheme="minorHAnsi"/>
          <w:color w:val="231F20"/>
          <w:w w:val="105"/>
        </w:rPr>
        <w:t>VR</w:t>
      </w:r>
      <w:r>
        <w:rPr>
          <w:rFonts w:cstheme="minorHAnsi"/>
          <w:color w:val="231F20"/>
          <w:w w:val="105"/>
        </w:rPr>
        <w:t>’s rehabilitation rate remains below the federal target, but has increased over the past two years, as has the overall number of customer employment outcomes. This is expected as VR release</w:t>
      </w:r>
      <w:r w:rsidR="00556B0E">
        <w:rPr>
          <w:rFonts w:cstheme="minorHAnsi"/>
          <w:color w:val="231F20"/>
          <w:w w:val="105"/>
        </w:rPr>
        <w:t>s</w:t>
      </w:r>
      <w:r>
        <w:rPr>
          <w:rFonts w:cstheme="minorHAnsi"/>
          <w:color w:val="231F20"/>
          <w:w w:val="105"/>
        </w:rPr>
        <w:t xml:space="preserve"> customers from the Category 3 wait list. </w:t>
      </w:r>
    </w:p>
    <w:p w14:paraId="6D3E24B2" w14:textId="77777777" w:rsidR="00664EFD" w:rsidRPr="00E06806" w:rsidRDefault="00664EFD" w:rsidP="00D63204">
      <w:pPr>
        <w:widowControl w:val="0"/>
        <w:spacing w:before="5" w:after="0" w:line="240" w:lineRule="auto"/>
        <w:ind w:left="107"/>
        <w:rPr>
          <w:rFonts w:cstheme="minorHAnsi"/>
          <w:sz w:val="16"/>
          <w:szCs w:val="16"/>
        </w:rPr>
      </w:pPr>
    </w:p>
    <w:p w14:paraId="0412ABD1" w14:textId="77777777" w:rsidR="00664EFD" w:rsidRPr="00E06806" w:rsidRDefault="00664EFD" w:rsidP="00D63204">
      <w:pPr>
        <w:widowControl w:val="0"/>
        <w:spacing w:after="0" w:line="264" w:lineRule="exact"/>
        <w:ind w:left="107"/>
        <w:rPr>
          <w:rFonts w:cstheme="minorHAnsi"/>
        </w:rPr>
      </w:pPr>
      <w:r w:rsidRPr="00E06806">
        <w:rPr>
          <w:rFonts w:cstheme="minorHAnsi"/>
          <w:color w:val="231F20"/>
          <w:w w:val="105"/>
        </w:rPr>
        <w:t>VR</w:t>
      </w:r>
      <w:r w:rsidRPr="00E06806">
        <w:rPr>
          <w:rFonts w:cstheme="minorHAnsi"/>
          <w:color w:val="231F20"/>
          <w:spacing w:val="10"/>
          <w:w w:val="105"/>
        </w:rPr>
        <w:t xml:space="preserve"> </w:t>
      </w:r>
      <w:r w:rsidRPr="00E06806">
        <w:rPr>
          <w:rFonts w:cstheme="minorHAnsi"/>
          <w:color w:val="231F20"/>
          <w:w w:val="105"/>
        </w:rPr>
        <w:t>collaborates</w:t>
      </w:r>
      <w:r w:rsidRPr="00E06806">
        <w:rPr>
          <w:rFonts w:cstheme="minorHAnsi"/>
          <w:color w:val="231F20"/>
          <w:spacing w:val="10"/>
          <w:w w:val="105"/>
        </w:rPr>
        <w:t xml:space="preserve"> </w:t>
      </w:r>
      <w:r w:rsidRPr="00E06806">
        <w:rPr>
          <w:rFonts w:cstheme="minorHAnsi"/>
          <w:color w:val="231F20"/>
          <w:w w:val="105"/>
        </w:rPr>
        <w:t>with</w:t>
      </w:r>
      <w:r w:rsidRPr="00E06806">
        <w:rPr>
          <w:rFonts w:cstheme="minorHAnsi"/>
          <w:color w:val="231F20"/>
          <w:spacing w:val="10"/>
          <w:w w:val="105"/>
        </w:rPr>
        <w:t xml:space="preserve"> </w:t>
      </w:r>
      <w:r w:rsidRPr="00E06806">
        <w:rPr>
          <w:rFonts w:cstheme="minorHAnsi"/>
          <w:color w:val="231F20"/>
          <w:w w:val="105"/>
        </w:rPr>
        <w:t>partners</w:t>
      </w:r>
      <w:r w:rsidRPr="00E06806">
        <w:rPr>
          <w:rFonts w:cstheme="minorHAnsi"/>
          <w:color w:val="231F20"/>
          <w:spacing w:val="10"/>
          <w:w w:val="105"/>
        </w:rPr>
        <w:t xml:space="preserve"> </w:t>
      </w:r>
      <w:r w:rsidRPr="00E06806">
        <w:rPr>
          <w:rFonts w:cstheme="minorHAnsi"/>
          <w:color w:val="231F20"/>
          <w:w w:val="105"/>
        </w:rPr>
        <w:t>at</w:t>
      </w:r>
      <w:r w:rsidRPr="00E06806">
        <w:rPr>
          <w:rFonts w:cstheme="minorHAnsi"/>
          <w:color w:val="231F20"/>
          <w:spacing w:val="10"/>
          <w:w w:val="105"/>
        </w:rPr>
        <w:t xml:space="preserve"> </w:t>
      </w:r>
      <w:r w:rsidRPr="00E06806">
        <w:rPr>
          <w:rFonts w:cstheme="minorHAnsi"/>
          <w:color w:val="231F20"/>
          <w:w w:val="105"/>
        </w:rPr>
        <w:t>the</w:t>
      </w:r>
      <w:r w:rsidRPr="00E06806">
        <w:rPr>
          <w:rFonts w:cstheme="minorHAnsi"/>
          <w:color w:val="231F20"/>
          <w:spacing w:val="10"/>
          <w:w w:val="105"/>
        </w:rPr>
        <w:t xml:space="preserve"> </w:t>
      </w:r>
      <w:r w:rsidRPr="00E06806">
        <w:rPr>
          <w:rFonts w:cstheme="minorHAnsi"/>
          <w:color w:val="231F20"/>
          <w:w w:val="105"/>
        </w:rPr>
        <w:t>state</w:t>
      </w:r>
      <w:r w:rsidRPr="00E06806">
        <w:rPr>
          <w:rFonts w:cstheme="minorHAnsi"/>
          <w:color w:val="231F20"/>
          <w:spacing w:val="10"/>
          <w:w w:val="105"/>
        </w:rPr>
        <w:t xml:space="preserve"> </w:t>
      </w:r>
      <w:r w:rsidRPr="00E06806">
        <w:rPr>
          <w:rFonts w:cstheme="minorHAnsi"/>
          <w:color w:val="231F20"/>
          <w:w w:val="105"/>
        </w:rPr>
        <w:t>and</w:t>
      </w:r>
      <w:r w:rsidRPr="00E06806">
        <w:rPr>
          <w:rFonts w:cstheme="minorHAnsi"/>
          <w:color w:val="231F20"/>
          <w:spacing w:val="10"/>
          <w:w w:val="105"/>
        </w:rPr>
        <w:t xml:space="preserve"> </w:t>
      </w:r>
      <w:r w:rsidRPr="00E06806">
        <w:rPr>
          <w:rFonts w:cstheme="minorHAnsi"/>
          <w:color w:val="231F20"/>
          <w:w w:val="105"/>
        </w:rPr>
        <w:t>local</w:t>
      </w:r>
      <w:r w:rsidRPr="00E06806">
        <w:rPr>
          <w:rFonts w:cstheme="minorHAnsi"/>
          <w:color w:val="231F20"/>
          <w:spacing w:val="10"/>
          <w:w w:val="105"/>
        </w:rPr>
        <w:t xml:space="preserve"> </w:t>
      </w:r>
      <w:r w:rsidRPr="00E06806">
        <w:rPr>
          <w:rFonts w:cstheme="minorHAnsi"/>
          <w:color w:val="231F20"/>
          <w:w w:val="105"/>
        </w:rPr>
        <w:t>levels</w:t>
      </w:r>
      <w:r w:rsidRPr="00E06806">
        <w:rPr>
          <w:rFonts w:cstheme="minorHAnsi"/>
          <w:color w:val="231F20"/>
          <w:spacing w:val="10"/>
          <w:w w:val="105"/>
        </w:rPr>
        <w:t xml:space="preserve"> </w:t>
      </w:r>
      <w:r w:rsidRPr="00E06806">
        <w:rPr>
          <w:rFonts w:cstheme="minorHAnsi"/>
          <w:color w:val="231F20"/>
          <w:w w:val="105"/>
        </w:rPr>
        <w:t>to</w:t>
      </w:r>
      <w:r w:rsidRPr="00E06806">
        <w:rPr>
          <w:rFonts w:cstheme="minorHAnsi"/>
          <w:color w:val="231F20"/>
          <w:spacing w:val="10"/>
          <w:w w:val="105"/>
        </w:rPr>
        <w:t xml:space="preserve"> </w:t>
      </w:r>
      <w:r w:rsidRPr="00E06806">
        <w:rPr>
          <w:rFonts w:cstheme="minorHAnsi"/>
          <w:color w:val="231F20"/>
          <w:w w:val="105"/>
        </w:rPr>
        <w:t>maximize</w:t>
      </w:r>
      <w:r w:rsidRPr="00E06806">
        <w:rPr>
          <w:rFonts w:cstheme="minorHAnsi"/>
          <w:color w:val="231F20"/>
          <w:spacing w:val="10"/>
          <w:w w:val="105"/>
        </w:rPr>
        <w:t xml:space="preserve"> </w:t>
      </w:r>
      <w:r w:rsidRPr="00E06806">
        <w:rPr>
          <w:rFonts w:cstheme="minorHAnsi"/>
          <w:color w:val="231F20"/>
          <w:w w:val="105"/>
        </w:rPr>
        <w:t>employment</w:t>
      </w:r>
      <w:r w:rsidRPr="00E06806">
        <w:rPr>
          <w:rFonts w:cstheme="minorHAnsi"/>
          <w:color w:val="231F20"/>
          <w:spacing w:val="10"/>
          <w:w w:val="105"/>
        </w:rPr>
        <w:t xml:space="preserve"> </w:t>
      </w:r>
      <w:r w:rsidRPr="00E06806">
        <w:rPr>
          <w:rFonts w:cstheme="minorHAnsi"/>
          <w:color w:val="231F20"/>
          <w:w w:val="105"/>
        </w:rPr>
        <w:t>services</w:t>
      </w:r>
      <w:r w:rsidRPr="00E06806">
        <w:rPr>
          <w:rFonts w:cstheme="minorHAnsi"/>
          <w:color w:val="231F20"/>
          <w:w w:val="111"/>
        </w:rPr>
        <w:t xml:space="preserve"> </w:t>
      </w:r>
      <w:r w:rsidRPr="00E06806">
        <w:rPr>
          <w:rFonts w:cstheme="minorHAnsi"/>
          <w:color w:val="231F20"/>
          <w:w w:val="105"/>
        </w:rPr>
        <w:t>for</w:t>
      </w:r>
      <w:r w:rsidRPr="00E06806">
        <w:rPr>
          <w:rFonts w:cstheme="minorHAnsi"/>
          <w:color w:val="231F20"/>
          <w:spacing w:val="7"/>
          <w:w w:val="105"/>
        </w:rPr>
        <w:t xml:space="preserve"> </w:t>
      </w:r>
      <w:r w:rsidRPr="00E06806">
        <w:rPr>
          <w:rFonts w:cstheme="minorHAnsi"/>
          <w:color w:val="231F20"/>
          <w:w w:val="105"/>
        </w:rPr>
        <w:t>people with disabilities.</w:t>
      </w:r>
      <w:r w:rsidRPr="00E06806">
        <w:rPr>
          <w:rFonts w:cstheme="minorHAnsi"/>
          <w:color w:val="231F20"/>
          <w:spacing w:val="7"/>
          <w:w w:val="105"/>
        </w:rPr>
        <w:t xml:space="preserve"> </w:t>
      </w:r>
      <w:r w:rsidRPr="00E06806">
        <w:rPr>
          <w:rFonts w:cstheme="minorHAnsi"/>
          <w:color w:val="231F20"/>
          <w:w w:val="105"/>
        </w:rPr>
        <w:t>VR</w:t>
      </w:r>
      <w:r w:rsidRPr="00E06806">
        <w:rPr>
          <w:rFonts w:cstheme="minorHAnsi"/>
          <w:color w:val="231F20"/>
          <w:spacing w:val="7"/>
          <w:w w:val="105"/>
        </w:rPr>
        <w:t xml:space="preserve"> </w:t>
      </w:r>
      <w:r w:rsidRPr="00E06806">
        <w:rPr>
          <w:rFonts w:cstheme="minorHAnsi"/>
          <w:color w:val="231F20"/>
          <w:w w:val="105"/>
        </w:rPr>
        <w:t>anticipates</w:t>
      </w:r>
      <w:r w:rsidRPr="00E06806">
        <w:rPr>
          <w:rFonts w:cstheme="minorHAnsi"/>
          <w:color w:val="231F20"/>
          <w:spacing w:val="7"/>
          <w:w w:val="105"/>
        </w:rPr>
        <w:t xml:space="preserve"> </w:t>
      </w:r>
      <w:r>
        <w:rPr>
          <w:rFonts w:cstheme="minorHAnsi"/>
          <w:color w:val="231F20"/>
          <w:w w:val="105"/>
        </w:rPr>
        <w:t>that the following</w:t>
      </w:r>
      <w:r w:rsidRPr="00E06806">
        <w:rPr>
          <w:rFonts w:cstheme="minorHAnsi"/>
          <w:color w:val="231F20"/>
          <w:spacing w:val="7"/>
          <w:w w:val="105"/>
        </w:rPr>
        <w:t xml:space="preserve"> </w:t>
      </w:r>
      <w:r w:rsidRPr="00E06806">
        <w:rPr>
          <w:rFonts w:cstheme="minorHAnsi"/>
          <w:color w:val="231F20"/>
          <w:w w:val="105"/>
        </w:rPr>
        <w:t>projects</w:t>
      </w:r>
      <w:r w:rsidRPr="00E06806">
        <w:rPr>
          <w:rFonts w:cstheme="minorHAnsi"/>
          <w:color w:val="231F20"/>
          <w:spacing w:val="7"/>
          <w:w w:val="105"/>
        </w:rPr>
        <w:t xml:space="preserve"> </w:t>
      </w:r>
      <w:r w:rsidRPr="00E06806">
        <w:rPr>
          <w:rFonts w:cstheme="minorHAnsi"/>
          <w:color w:val="231F20"/>
          <w:w w:val="105"/>
        </w:rPr>
        <w:t>will</w:t>
      </w:r>
      <w:r w:rsidRPr="00E06806">
        <w:rPr>
          <w:rFonts w:cstheme="minorHAnsi"/>
          <w:color w:val="231F20"/>
          <w:spacing w:val="7"/>
          <w:w w:val="105"/>
        </w:rPr>
        <w:t xml:space="preserve"> </w:t>
      </w:r>
      <w:r w:rsidRPr="00E06806">
        <w:rPr>
          <w:rFonts w:cstheme="minorHAnsi"/>
          <w:color w:val="231F20"/>
          <w:w w:val="105"/>
        </w:rPr>
        <w:t>have</w:t>
      </w:r>
      <w:r w:rsidRPr="00E06806">
        <w:rPr>
          <w:rFonts w:cstheme="minorHAnsi"/>
          <w:color w:val="231F20"/>
          <w:spacing w:val="7"/>
          <w:w w:val="105"/>
        </w:rPr>
        <w:t xml:space="preserve"> </w:t>
      </w:r>
      <w:r w:rsidRPr="00E06806">
        <w:rPr>
          <w:rFonts w:cstheme="minorHAnsi"/>
          <w:color w:val="231F20"/>
          <w:w w:val="105"/>
        </w:rPr>
        <w:t>a</w:t>
      </w:r>
      <w:r w:rsidRPr="00E06806">
        <w:rPr>
          <w:rFonts w:cstheme="minorHAnsi"/>
          <w:color w:val="231F20"/>
          <w:spacing w:val="-24"/>
          <w:w w:val="105"/>
        </w:rPr>
        <w:t xml:space="preserve"> </w:t>
      </w:r>
      <w:r w:rsidRPr="00E06806">
        <w:rPr>
          <w:rFonts w:cstheme="minorHAnsi"/>
          <w:color w:val="231F20"/>
          <w:w w:val="105"/>
        </w:rPr>
        <w:t xml:space="preserve">positive impact on program performance. </w:t>
      </w:r>
    </w:p>
    <w:p w14:paraId="5B561ACF" w14:textId="77777777" w:rsidR="00664EFD" w:rsidRPr="00E06806" w:rsidRDefault="00664EFD" w:rsidP="00D63204">
      <w:pPr>
        <w:widowControl w:val="0"/>
        <w:spacing w:before="6" w:after="0" w:line="240" w:lineRule="auto"/>
        <w:ind w:left="107"/>
        <w:rPr>
          <w:rFonts w:cstheme="minorHAnsi"/>
          <w:sz w:val="16"/>
          <w:szCs w:val="16"/>
        </w:rPr>
      </w:pPr>
    </w:p>
    <w:p w14:paraId="114F65A6" w14:textId="77777777" w:rsidR="00664EFD" w:rsidRPr="001D1219" w:rsidRDefault="00664EFD" w:rsidP="00D63204">
      <w:pPr>
        <w:pStyle w:val="ListParagraph"/>
        <w:widowControl w:val="0"/>
        <w:numPr>
          <w:ilvl w:val="0"/>
          <w:numId w:val="29"/>
        </w:numPr>
        <w:spacing w:after="0" w:line="240" w:lineRule="auto"/>
        <w:rPr>
          <w:rFonts w:cstheme="minorHAnsi"/>
          <w:color w:val="231F20"/>
        </w:rPr>
      </w:pPr>
      <w:r>
        <w:rPr>
          <w:rFonts w:cstheme="minorHAnsi"/>
          <w:color w:val="231F20"/>
          <w:w w:val="105"/>
        </w:rPr>
        <w:t>Support employers and community partnerships through the Business Relations program.</w:t>
      </w:r>
    </w:p>
    <w:p w14:paraId="2DFB3ABE" w14:textId="77777777" w:rsidR="00664EFD" w:rsidRPr="001D1219" w:rsidRDefault="00664EFD" w:rsidP="00D63204">
      <w:pPr>
        <w:pStyle w:val="ListParagraph"/>
        <w:widowControl w:val="0"/>
        <w:spacing w:after="0" w:line="240" w:lineRule="auto"/>
        <w:ind w:left="827"/>
        <w:rPr>
          <w:rFonts w:cstheme="minorHAnsi"/>
          <w:color w:val="231F20"/>
        </w:rPr>
      </w:pPr>
    </w:p>
    <w:p w14:paraId="1A094FA9" w14:textId="77777777" w:rsidR="00664EFD" w:rsidRPr="001D1219" w:rsidRDefault="00664EFD" w:rsidP="00D63204">
      <w:pPr>
        <w:pStyle w:val="ListParagraph"/>
        <w:widowControl w:val="0"/>
        <w:numPr>
          <w:ilvl w:val="0"/>
          <w:numId w:val="29"/>
        </w:numPr>
        <w:spacing w:before="85" w:after="0" w:line="240" w:lineRule="auto"/>
        <w:rPr>
          <w:rFonts w:cstheme="minorHAnsi"/>
          <w:color w:val="231F20"/>
        </w:rPr>
      </w:pPr>
      <w:r>
        <w:rPr>
          <w:rFonts w:cstheme="minorHAnsi"/>
          <w:color w:val="231F20"/>
          <w:w w:val="105"/>
        </w:rPr>
        <w:t>Expand the Youth Peer Mentoring pilot to all VR areas.</w:t>
      </w:r>
    </w:p>
    <w:p w14:paraId="7241C88E" w14:textId="77777777" w:rsidR="00664EFD" w:rsidRPr="001D1219" w:rsidRDefault="00664EFD" w:rsidP="00D63204">
      <w:pPr>
        <w:pStyle w:val="ListParagraph"/>
        <w:widowControl w:val="0"/>
        <w:spacing w:after="0" w:line="240" w:lineRule="auto"/>
        <w:ind w:left="827"/>
        <w:rPr>
          <w:rFonts w:cstheme="minorHAnsi"/>
          <w:color w:val="231F20"/>
        </w:rPr>
      </w:pPr>
    </w:p>
    <w:p w14:paraId="60B7D856" w14:textId="5B4E76D5" w:rsidR="00664EFD" w:rsidRPr="001D1219" w:rsidRDefault="00664EFD" w:rsidP="00D63204">
      <w:pPr>
        <w:pStyle w:val="ListParagraph"/>
        <w:widowControl w:val="0"/>
        <w:numPr>
          <w:ilvl w:val="0"/>
          <w:numId w:val="29"/>
        </w:numPr>
        <w:spacing w:before="90" w:after="0" w:line="240" w:lineRule="auto"/>
        <w:rPr>
          <w:rFonts w:cstheme="minorHAnsi"/>
          <w:color w:val="231F20"/>
        </w:rPr>
      </w:pPr>
      <w:r>
        <w:rPr>
          <w:rFonts w:cstheme="minorHAnsi"/>
          <w:color w:val="231F20"/>
          <w:w w:val="105"/>
        </w:rPr>
        <w:t>Provide Career Counseling / Information and Referral (CCIR) services</w:t>
      </w:r>
      <w:r w:rsidRPr="001D1219">
        <w:rPr>
          <w:rFonts w:cstheme="minorHAnsi"/>
          <w:color w:val="231F20"/>
          <w:spacing w:val="14"/>
          <w:w w:val="105"/>
        </w:rPr>
        <w:t xml:space="preserve"> </w:t>
      </w:r>
      <w:r w:rsidRPr="001D1219">
        <w:rPr>
          <w:rFonts w:cstheme="minorHAnsi"/>
          <w:color w:val="231F20"/>
          <w:w w:val="105"/>
        </w:rPr>
        <w:t xml:space="preserve">to </w:t>
      </w:r>
      <w:r>
        <w:rPr>
          <w:rFonts w:cstheme="minorHAnsi"/>
          <w:color w:val="231F20"/>
          <w:w w:val="105"/>
        </w:rPr>
        <w:t>individuals</w:t>
      </w:r>
      <w:r w:rsidRPr="001D1219">
        <w:rPr>
          <w:rFonts w:cstheme="minorHAnsi"/>
          <w:color w:val="231F20"/>
          <w:spacing w:val="14"/>
          <w:w w:val="105"/>
        </w:rPr>
        <w:t xml:space="preserve"> </w:t>
      </w:r>
      <w:r>
        <w:rPr>
          <w:rFonts w:cstheme="minorHAnsi"/>
          <w:color w:val="231F20"/>
          <w:w w:val="105"/>
        </w:rPr>
        <w:t>participating in</w:t>
      </w:r>
      <w:r w:rsidRPr="001D1219">
        <w:rPr>
          <w:rFonts w:cstheme="minorHAnsi"/>
          <w:color w:val="231F20"/>
          <w:w w:val="105"/>
        </w:rPr>
        <w:t xml:space="preserve"> subminimum </w:t>
      </w:r>
      <w:r w:rsidR="00A01AA9" w:rsidRPr="001D1219">
        <w:rPr>
          <w:rFonts w:cstheme="minorHAnsi"/>
          <w:color w:val="231F20"/>
          <w:w w:val="105"/>
        </w:rPr>
        <w:t>wag</w:t>
      </w:r>
      <w:r w:rsidR="00A01AA9" w:rsidRPr="001D1219">
        <w:rPr>
          <w:rFonts w:cstheme="minorHAnsi"/>
          <w:color w:val="231F20"/>
          <w:spacing w:val="34"/>
          <w:w w:val="105"/>
        </w:rPr>
        <w:t>e</w:t>
      </w:r>
      <w:r w:rsidR="00A01AA9" w:rsidRPr="001D1219">
        <w:rPr>
          <w:rFonts w:cstheme="minorHAnsi"/>
          <w:color w:val="231F20"/>
          <w:w w:val="105"/>
        </w:rPr>
        <w:t xml:space="preserve"> employment</w:t>
      </w:r>
      <w:r w:rsidRPr="001D1219">
        <w:rPr>
          <w:rFonts w:cstheme="minorHAnsi"/>
          <w:color w:val="231F20"/>
          <w:w w:val="105"/>
        </w:rPr>
        <w:t>.</w:t>
      </w:r>
      <w:r>
        <w:rPr>
          <w:rFonts w:cstheme="minorHAnsi"/>
          <w:color w:val="231F20"/>
          <w:w w:val="105"/>
        </w:rPr>
        <w:t xml:space="preserve"> Due to the positive response to CCIR services, VR is developing an orientation and follow-up process for CCIR service recipients who expressed interest in VR services.</w:t>
      </w:r>
    </w:p>
    <w:p w14:paraId="07F332B0" w14:textId="77777777" w:rsidR="00664EFD" w:rsidRPr="001D1219" w:rsidRDefault="00664EFD" w:rsidP="00D63204">
      <w:pPr>
        <w:pStyle w:val="ListParagraph"/>
        <w:spacing w:line="240" w:lineRule="auto"/>
        <w:rPr>
          <w:rFonts w:cstheme="minorHAnsi"/>
          <w:color w:val="231F20"/>
          <w:w w:val="105"/>
        </w:rPr>
      </w:pPr>
    </w:p>
    <w:p w14:paraId="17EC3C71" w14:textId="77777777" w:rsidR="00664EFD" w:rsidRPr="001D1219" w:rsidRDefault="00664EFD" w:rsidP="00D63204">
      <w:pPr>
        <w:pStyle w:val="ListParagraph"/>
        <w:widowControl w:val="0"/>
        <w:numPr>
          <w:ilvl w:val="0"/>
          <w:numId w:val="29"/>
        </w:numPr>
        <w:spacing w:before="90" w:after="0" w:line="240" w:lineRule="auto"/>
        <w:rPr>
          <w:rFonts w:cstheme="minorHAnsi"/>
          <w:color w:val="231F20"/>
        </w:rPr>
      </w:pPr>
      <w:r>
        <w:rPr>
          <w:rFonts w:cstheme="minorHAnsi"/>
          <w:color w:val="231F20"/>
          <w:w w:val="105"/>
        </w:rPr>
        <w:t>Assist</w:t>
      </w:r>
      <w:r w:rsidRPr="001D1219">
        <w:rPr>
          <w:rFonts w:cstheme="minorHAnsi"/>
          <w:color w:val="231F20"/>
          <w:w w:val="105"/>
        </w:rPr>
        <w:t xml:space="preserve"> customers</w:t>
      </w:r>
      <w:r w:rsidRPr="001D1219">
        <w:rPr>
          <w:rFonts w:cstheme="minorHAnsi"/>
          <w:color w:val="231F20"/>
          <w:spacing w:val="15"/>
          <w:w w:val="105"/>
        </w:rPr>
        <w:t xml:space="preserve"> </w:t>
      </w:r>
      <w:r w:rsidRPr="001D1219">
        <w:rPr>
          <w:rFonts w:cstheme="minorHAnsi"/>
          <w:color w:val="231F20"/>
          <w:w w:val="105"/>
        </w:rPr>
        <w:t>in</w:t>
      </w:r>
      <w:r w:rsidRPr="001D1219">
        <w:rPr>
          <w:rFonts w:cstheme="minorHAnsi"/>
          <w:color w:val="231F20"/>
          <w:spacing w:val="15"/>
          <w:w w:val="105"/>
        </w:rPr>
        <w:t xml:space="preserve"> </w:t>
      </w:r>
      <w:r w:rsidRPr="001D1219">
        <w:rPr>
          <w:rFonts w:cstheme="minorHAnsi"/>
          <w:color w:val="231F20"/>
          <w:w w:val="105"/>
        </w:rPr>
        <w:t>making</w:t>
      </w:r>
      <w:r w:rsidRPr="001D1219">
        <w:rPr>
          <w:rFonts w:cstheme="minorHAnsi"/>
          <w:color w:val="231F20"/>
          <w:w w:val="108"/>
        </w:rPr>
        <w:t xml:space="preserve"> </w:t>
      </w:r>
      <w:r w:rsidRPr="001D1219">
        <w:rPr>
          <w:rFonts w:cstheme="minorHAnsi"/>
          <w:color w:val="231F20"/>
          <w:w w:val="105"/>
        </w:rPr>
        <w:t>informed choices about employment</w:t>
      </w:r>
      <w:r w:rsidRPr="001D1219">
        <w:rPr>
          <w:rFonts w:cstheme="minorHAnsi"/>
          <w:color w:val="231F20"/>
          <w:spacing w:val="21"/>
          <w:w w:val="105"/>
        </w:rPr>
        <w:t xml:space="preserve"> </w:t>
      </w:r>
      <w:r w:rsidRPr="001D1219">
        <w:rPr>
          <w:rFonts w:cstheme="minorHAnsi"/>
          <w:color w:val="231F20"/>
          <w:w w:val="105"/>
        </w:rPr>
        <w:t>providers</w:t>
      </w:r>
      <w:r>
        <w:rPr>
          <w:rFonts w:cstheme="minorHAnsi"/>
          <w:color w:val="231F20"/>
          <w:w w:val="105"/>
        </w:rPr>
        <w:t xml:space="preserve"> through use of the Services Provider Choice Directory</w:t>
      </w:r>
      <w:r w:rsidRPr="001D1219">
        <w:rPr>
          <w:rFonts w:cstheme="minorHAnsi"/>
          <w:color w:val="231F20"/>
          <w:w w:val="105"/>
        </w:rPr>
        <w:t>.</w:t>
      </w:r>
    </w:p>
    <w:p w14:paraId="5CD77EDC" w14:textId="77777777" w:rsidR="00664EFD" w:rsidRPr="001D1219" w:rsidRDefault="00664EFD" w:rsidP="00D63204">
      <w:pPr>
        <w:pStyle w:val="ListParagraph"/>
        <w:widowControl w:val="0"/>
        <w:spacing w:after="0" w:line="240" w:lineRule="auto"/>
        <w:ind w:left="827"/>
        <w:rPr>
          <w:rFonts w:cstheme="minorHAnsi"/>
          <w:color w:val="231F20"/>
        </w:rPr>
      </w:pPr>
    </w:p>
    <w:p w14:paraId="522AA685" w14:textId="77777777" w:rsidR="00664EFD" w:rsidRPr="001D1219" w:rsidRDefault="00664EFD" w:rsidP="00D63204">
      <w:pPr>
        <w:pStyle w:val="ListParagraph"/>
        <w:widowControl w:val="0"/>
        <w:numPr>
          <w:ilvl w:val="0"/>
          <w:numId w:val="29"/>
        </w:numPr>
        <w:spacing w:before="90" w:after="0" w:line="240" w:lineRule="auto"/>
        <w:rPr>
          <w:rFonts w:cstheme="minorHAnsi"/>
          <w:color w:val="231F20"/>
        </w:rPr>
      </w:pPr>
      <w:r w:rsidRPr="001D1219">
        <w:rPr>
          <w:rFonts w:cstheme="minorHAnsi"/>
          <w:color w:val="231F20"/>
          <w:w w:val="105"/>
        </w:rPr>
        <w:t>Implement additional mental health training for counselors and develop transitional</w:t>
      </w:r>
      <w:r w:rsidRPr="001D1219">
        <w:rPr>
          <w:rFonts w:cstheme="minorHAnsi"/>
          <w:color w:val="231F20"/>
          <w:spacing w:val="5"/>
          <w:w w:val="105"/>
        </w:rPr>
        <w:t xml:space="preserve"> </w:t>
      </w:r>
      <w:r w:rsidRPr="001D1219">
        <w:rPr>
          <w:rFonts w:cstheme="minorHAnsi"/>
          <w:color w:val="231F20"/>
          <w:w w:val="105"/>
        </w:rPr>
        <w:t>employment,</w:t>
      </w:r>
      <w:r w:rsidRPr="001D1219">
        <w:rPr>
          <w:rFonts w:cstheme="minorHAnsi"/>
          <w:color w:val="231F20"/>
          <w:w w:val="104"/>
        </w:rPr>
        <w:t xml:space="preserve"> </w:t>
      </w:r>
      <w:r w:rsidRPr="001D1219">
        <w:rPr>
          <w:rFonts w:cstheme="minorHAnsi"/>
          <w:color w:val="231F20"/>
          <w:w w:val="105"/>
        </w:rPr>
        <w:t>Individual</w:t>
      </w:r>
      <w:r w:rsidRPr="001D1219">
        <w:rPr>
          <w:rFonts w:cstheme="minorHAnsi"/>
          <w:color w:val="231F20"/>
          <w:spacing w:val="19"/>
          <w:w w:val="105"/>
        </w:rPr>
        <w:t xml:space="preserve"> </w:t>
      </w:r>
      <w:r w:rsidRPr="001D1219">
        <w:rPr>
          <w:rFonts w:cstheme="minorHAnsi"/>
          <w:color w:val="231F20"/>
          <w:w w:val="105"/>
        </w:rPr>
        <w:t>Placement</w:t>
      </w:r>
      <w:r w:rsidRPr="001D1219">
        <w:rPr>
          <w:rFonts w:cstheme="minorHAnsi"/>
          <w:color w:val="231F20"/>
          <w:spacing w:val="19"/>
          <w:w w:val="105"/>
        </w:rPr>
        <w:t xml:space="preserve"> </w:t>
      </w:r>
      <w:r w:rsidRPr="001D1219">
        <w:rPr>
          <w:rFonts w:cstheme="minorHAnsi"/>
          <w:color w:val="231F20"/>
          <w:w w:val="105"/>
        </w:rPr>
        <w:t>and</w:t>
      </w:r>
      <w:r w:rsidRPr="001D1219">
        <w:rPr>
          <w:rFonts w:cstheme="minorHAnsi"/>
          <w:color w:val="231F20"/>
          <w:spacing w:val="19"/>
          <w:w w:val="105"/>
        </w:rPr>
        <w:t xml:space="preserve"> </w:t>
      </w:r>
      <w:r w:rsidRPr="001D1219">
        <w:rPr>
          <w:rFonts w:cstheme="minorHAnsi"/>
          <w:color w:val="231F20"/>
          <w:w w:val="105"/>
        </w:rPr>
        <w:t>Support</w:t>
      </w:r>
      <w:r w:rsidRPr="001D1219">
        <w:rPr>
          <w:rFonts w:cstheme="minorHAnsi"/>
          <w:color w:val="231F20"/>
          <w:spacing w:val="19"/>
          <w:w w:val="105"/>
        </w:rPr>
        <w:t xml:space="preserve"> </w:t>
      </w:r>
      <w:r w:rsidRPr="001D1219">
        <w:rPr>
          <w:rFonts w:cstheme="minorHAnsi"/>
          <w:color w:val="231F20"/>
          <w:w w:val="105"/>
        </w:rPr>
        <w:t>and</w:t>
      </w:r>
      <w:r w:rsidRPr="001D1219">
        <w:rPr>
          <w:rFonts w:cstheme="minorHAnsi"/>
          <w:color w:val="231F20"/>
          <w:spacing w:val="19"/>
          <w:w w:val="105"/>
        </w:rPr>
        <w:t xml:space="preserve"> </w:t>
      </w:r>
      <w:r w:rsidRPr="001D1219">
        <w:rPr>
          <w:rFonts w:cstheme="minorHAnsi"/>
          <w:color w:val="231F20"/>
          <w:w w:val="105"/>
        </w:rPr>
        <w:t>peer</w:t>
      </w:r>
      <w:r w:rsidRPr="001D1219">
        <w:rPr>
          <w:rFonts w:cstheme="minorHAnsi"/>
          <w:color w:val="231F20"/>
          <w:spacing w:val="19"/>
          <w:w w:val="105"/>
        </w:rPr>
        <w:t xml:space="preserve"> </w:t>
      </w:r>
      <w:r w:rsidRPr="001D1219">
        <w:rPr>
          <w:rFonts w:cstheme="minorHAnsi"/>
          <w:color w:val="231F20"/>
          <w:w w:val="105"/>
        </w:rPr>
        <w:t>specialist</w:t>
      </w:r>
      <w:r w:rsidRPr="001D1219">
        <w:rPr>
          <w:rFonts w:cstheme="minorHAnsi"/>
          <w:color w:val="231F20"/>
          <w:spacing w:val="19"/>
          <w:w w:val="105"/>
        </w:rPr>
        <w:t xml:space="preserve"> </w:t>
      </w:r>
      <w:r w:rsidRPr="001D1219">
        <w:rPr>
          <w:rFonts w:cstheme="minorHAnsi"/>
          <w:color w:val="231F20"/>
          <w:w w:val="105"/>
        </w:rPr>
        <w:t>models</w:t>
      </w:r>
      <w:r w:rsidRPr="001D1219">
        <w:rPr>
          <w:rFonts w:cstheme="minorHAnsi"/>
          <w:color w:val="231F20"/>
          <w:spacing w:val="19"/>
          <w:w w:val="105"/>
        </w:rPr>
        <w:t xml:space="preserve"> </w:t>
      </w:r>
      <w:r w:rsidRPr="001D1219">
        <w:rPr>
          <w:rFonts w:cstheme="minorHAnsi"/>
          <w:color w:val="231F20"/>
          <w:w w:val="105"/>
        </w:rPr>
        <w:t>to</w:t>
      </w:r>
      <w:r w:rsidRPr="001D1219">
        <w:rPr>
          <w:rFonts w:cstheme="minorHAnsi"/>
          <w:color w:val="231F20"/>
          <w:spacing w:val="19"/>
          <w:w w:val="105"/>
        </w:rPr>
        <w:t xml:space="preserve"> </w:t>
      </w:r>
      <w:r w:rsidRPr="001D1219">
        <w:rPr>
          <w:rFonts w:cstheme="minorHAnsi"/>
          <w:color w:val="231F20"/>
          <w:w w:val="105"/>
        </w:rPr>
        <w:t>improve</w:t>
      </w:r>
      <w:r w:rsidRPr="001D1219">
        <w:rPr>
          <w:rFonts w:cstheme="minorHAnsi"/>
          <w:color w:val="231F20"/>
          <w:spacing w:val="19"/>
          <w:w w:val="105"/>
        </w:rPr>
        <w:t xml:space="preserve"> </w:t>
      </w:r>
      <w:r w:rsidRPr="001D1219">
        <w:rPr>
          <w:rFonts w:cstheme="minorHAnsi"/>
          <w:color w:val="231F20"/>
          <w:w w:val="105"/>
        </w:rPr>
        <w:t>success</w:t>
      </w:r>
      <w:r w:rsidRPr="001D1219">
        <w:rPr>
          <w:rFonts w:cstheme="minorHAnsi"/>
          <w:color w:val="231F20"/>
          <w:spacing w:val="19"/>
          <w:w w:val="105"/>
        </w:rPr>
        <w:t xml:space="preserve"> </w:t>
      </w:r>
      <w:r w:rsidRPr="001D1219">
        <w:rPr>
          <w:rFonts w:cstheme="minorHAnsi"/>
          <w:color w:val="231F20"/>
          <w:w w:val="105"/>
        </w:rPr>
        <w:t>for individuals</w:t>
      </w:r>
      <w:r w:rsidRPr="001D1219">
        <w:rPr>
          <w:rFonts w:cstheme="minorHAnsi"/>
          <w:color w:val="231F20"/>
          <w:w w:val="106"/>
        </w:rPr>
        <w:t xml:space="preserve"> </w:t>
      </w:r>
      <w:r w:rsidRPr="001D1219">
        <w:rPr>
          <w:rFonts w:cstheme="minorHAnsi"/>
          <w:color w:val="231F20"/>
          <w:w w:val="105"/>
        </w:rPr>
        <w:t>with severe and persistent mental</w:t>
      </w:r>
      <w:r w:rsidRPr="001D1219">
        <w:rPr>
          <w:rFonts w:cstheme="minorHAnsi"/>
          <w:color w:val="231F20"/>
          <w:spacing w:val="24"/>
          <w:w w:val="105"/>
        </w:rPr>
        <w:t xml:space="preserve"> </w:t>
      </w:r>
      <w:r w:rsidRPr="001D1219">
        <w:rPr>
          <w:rFonts w:cstheme="minorHAnsi"/>
          <w:color w:val="231F20"/>
          <w:w w:val="105"/>
        </w:rPr>
        <w:t>illness.</w:t>
      </w:r>
    </w:p>
    <w:p w14:paraId="49432C09" w14:textId="77777777" w:rsidR="00664EFD" w:rsidRPr="001D1219" w:rsidRDefault="00664EFD" w:rsidP="00D63204">
      <w:pPr>
        <w:pStyle w:val="ListParagraph"/>
        <w:widowControl w:val="0"/>
        <w:spacing w:after="0" w:line="240" w:lineRule="auto"/>
        <w:ind w:left="827"/>
        <w:rPr>
          <w:rFonts w:cstheme="minorHAnsi"/>
          <w:color w:val="231F20"/>
        </w:rPr>
      </w:pPr>
    </w:p>
    <w:p w14:paraId="30FD2871" w14:textId="77777777" w:rsidR="00664EFD" w:rsidRPr="009A5912" w:rsidRDefault="00664EFD" w:rsidP="00D63204">
      <w:pPr>
        <w:pStyle w:val="ListParagraph"/>
        <w:widowControl w:val="0"/>
        <w:numPr>
          <w:ilvl w:val="0"/>
          <w:numId w:val="29"/>
        </w:numPr>
        <w:spacing w:after="0" w:line="240" w:lineRule="auto"/>
        <w:rPr>
          <w:rFonts w:cstheme="minorHAnsi"/>
          <w:color w:val="231F20"/>
        </w:rPr>
      </w:pPr>
      <w:r>
        <w:rPr>
          <w:rFonts w:cstheme="minorHAnsi"/>
          <w:color w:val="231F20"/>
          <w:w w:val="105"/>
        </w:rPr>
        <w:t>Continue to increase provider capacity for</w:t>
      </w:r>
      <w:r w:rsidRPr="001D1219">
        <w:rPr>
          <w:rFonts w:cstheme="minorHAnsi"/>
          <w:color w:val="231F20"/>
          <w:w w:val="105"/>
        </w:rPr>
        <w:t xml:space="preserve"> Discovery</w:t>
      </w:r>
      <w:r>
        <w:rPr>
          <w:rFonts w:cstheme="minorHAnsi"/>
          <w:color w:val="231F20"/>
          <w:w w:val="105"/>
        </w:rPr>
        <w:t>,</w:t>
      </w:r>
      <w:r w:rsidRPr="001D1219">
        <w:rPr>
          <w:rFonts w:cstheme="minorHAnsi"/>
          <w:color w:val="231F20"/>
          <w:w w:val="105"/>
        </w:rPr>
        <w:t xml:space="preserve"> Customized Employment</w:t>
      </w:r>
      <w:r>
        <w:rPr>
          <w:rFonts w:cstheme="minorHAnsi"/>
          <w:color w:val="231F20"/>
          <w:w w:val="105"/>
        </w:rPr>
        <w:t xml:space="preserve"> and CBTAC</w:t>
      </w:r>
      <w:r w:rsidRPr="001D1219">
        <w:rPr>
          <w:rFonts w:cstheme="minorHAnsi"/>
          <w:color w:val="231F20"/>
          <w:spacing w:val="33"/>
          <w:w w:val="105"/>
        </w:rPr>
        <w:t xml:space="preserve"> </w:t>
      </w:r>
      <w:r w:rsidRPr="001D1219">
        <w:rPr>
          <w:rFonts w:cstheme="minorHAnsi"/>
          <w:color w:val="231F20"/>
          <w:w w:val="105"/>
        </w:rPr>
        <w:t>services.</w:t>
      </w:r>
    </w:p>
    <w:p w14:paraId="7B05425A" w14:textId="77777777" w:rsidR="00664EFD" w:rsidRPr="009A5912" w:rsidRDefault="00664EFD" w:rsidP="00D63204">
      <w:pPr>
        <w:pStyle w:val="ListParagraph"/>
        <w:spacing w:after="0" w:line="240" w:lineRule="auto"/>
        <w:rPr>
          <w:rFonts w:cstheme="minorHAnsi"/>
          <w:color w:val="231F20"/>
        </w:rPr>
      </w:pPr>
    </w:p>
    <w:p w14:paraId="13CF6598" w14:textId="2C04F7BA" w:rsidR="00664EFD" w:rsidRDefault="00664EFD" w:rsidP="00D63204">
      <w:pPr>
        <w:pStyle w:val="ListParagraph"/>
        <w:widowControl w:val="0"/>
        <w:numPr>
          <w:ilvl w:val="0"/>
          <w:numId w:val="29"/>
        </w:numPr>
        <w:spacing w:before="91" w:after="0" w:line="240" w:lineRule="auto"/>
        <w:rPr>
          <w:rFonts w:cstheme="minorHAnsi"/>
          <w:color w:val="231F20"/>
        </w:rPr>
      </w:pPr>
      <w:r>
        <w:rPr>
          <w:rFonts w:cstheme="minorHAnsi"/>
          <w:color w:val="231F20"/>
        </w:rPr>
        <w:t>Implement additional Project SEARCH sites, with support from the F</w:t>
      </w:r>
      <w:r w:rsidR="003D491C">
        <w:rPr>
          <w:rFonts w:cstheme="minorHAnsi"/>
          <w:color w:val="231F20"/>
        </w:rPr>
        <w:t>lorida</w:t>
      </w:r>
      <w:r>
        <w:rPr>
          <w:rFonts w:cstheme="minorHAnsi"/>
          <w:color w:val="231F20"/>
        </w:rPr>
        <w:t xml:space="preserve"> Developmental Disabilities Council.</w:t>
      </w:r>
    </w:p>
    <w:p w14:paraId="414D1774" w14:textId="77777777" w:rsidR="00664EFD" w:rsidRPr="009A5912" w:rsidRDefault="00664EFD" w:rsidP="00D63204">
      <w:pPr>
        <w:pStyle w:val="ListParagraph"/>
        <w:widowControl w:val="0"/>
        <w:spacing w:before="91" w:after="0" w:line="240" w:lineRule="auto"/>
        <w:ind w:left="827"/>
        <w:rPr>
          <w:rFonts w:cstheme="minorHAnsi"/>
          <w:color w:val="231F20"/>
        </w:rPr>
      </w:pPr>
    </w:p>
    <w:p w14:paraId="1679251B" w14:textId="77777777" w:rsidR="00664EFD" w:rsidRPr="001D1219" w:rsidRDefault="00664EFD" w:rsidP="00D63204">
      <w:pPr>
        <w:pStyle w:val="ListParagraph"/>
        <w:widowControl w:val="0"/>
        <w:numPr>
          <w:ilvl w:val="0"/>
          <w:numId w:val="29"/>
        </w:numPr>
        <w:spacing w:before="85" w:after="0" w:line="240" w:lineRule="auto"/>
        <w:rPr>
          <w:rFonts w:cstheme="minorHAnsi"/>
          <w:color w:val="231F20"/>
        </w:rPr>
      </w:pPr>
      <w:r w:rsidRPr="001D1219">
        <w:rPr>
          <w:rFonts w:cstheme="minorHAnsi"/>
          <w:color w:val="231F20"/>
          <w:w w:val="105"/>
        </w:rPr>
        <w:t>Establish additional casework quality assurance review practices to validate data</w:t>
      </w:r>
      <w:r w:rsidRPr="001D1219">
        <w:rPr>
          <w:rFonts w:cstheme="minorHAnsi"/>
          <w:color w:val="231F20"/>
          <w:spacing w:val="30"/>
          <w:w w:val="105"/>
        </w:rPr>
        <w:t xml:space="preserve"> </w:t>
      </w:r>
      <w:r w:rsidRPr="001D1219">
        <w:rPr>
          <w:rFonts w:cstheme="minorHAnsi"/>
          <w:color w:val="231F20"/>
          <w:spacing w:val="-3"/>
          <w:w w:val="105"/>
        </w:rPr>
        <w:t>entry.</w:t>
      </w:r>
    </w:p>
    <w:p w14:paraId="409128B8" w14:textId="77777777" w:rsidR="00664EFD" w:rsidRPr="001D1219" w:rsidRDefault="00664EFD" w:rsidP="00D63204">
      <w:pPr>
        <w:pStyle w:val="ListParagraph"/>
        <w:widowControl w:val="0"/>
        <w:spacing w:before="85" w:after="0" w:line="240" w:lineRule="auto"/>
        <w:ind w:left="827"/>
        <w:rPr>
          <w:rFonts w:cstheme="minorHAnsi"/>
          <w:color w:val="231F20"/>
        </w:rPr>
      </w:pPr>
    </w:p>
    <w:p w14:paraId="1BD3DF41" w14:textId="77777777" w:rsidR="00664EFD" w:rsidRPr="001D1219" w:rsidRDefault="00664EFD" w:rsidP="00D63204">
      <w:pPr>
        <w:pStyle w:val="ListParagraph"/>
        <w:widowControl w:val="0"/>
        <w:numPr>
          <w:ilvl w:val="0"/>
          <w:numId w:val="29"/>
        </w:numPr>
        <w:spacing w:before="85" w:after="0" w:line="240" w:lineRule="auto"/>
        <w:rPr>
          <w:rFonts w:cstheme="minorHAnsi"/>
          <w:color w:val="231F20"/>
        </w:rPr>
      </w:pPr>
      <w:r w:rsidRPr="001D1219">
        <w:rPr>
          <w:rFonts w:cstheme="minorHAnsi"/>
          <w:color w:val="231F20"/>
          <w:w w:val="105"/>
        </w:rPr>
        <w:t>Strengthen data validation practices to detect errors prior to</w:t>
      </w:r>
      <w:r w:rsidRPr="001D1219">
        <w:rPr>
          <w:rFonts w:cstheme="minorHAnsi"/>
          <w:color w:val="231F20"/>
          <w:spacing w:val="44"/>
          <w:w w:val="105"/>
        </w:rPr>
        <w:t xml:space="preserve"> </w:t>
      </w:r>
      <w:r w:rsidRPr="001D1219">
        <w:rPr>
          <w:rFonts w:cstheme="minorHAnsi"/>
          <w:color w:val="231F20"/>
          <w:w w:val="105"/>
        </w:rPr>
        <w:t>reporting.</w:t>
      </w:r>
    </w:p>
    <w:p w14:paraId="2A28943C" w14:textId="77777777" w:rsidR="00664EFD" w:rsidRPr="001D1219" w:rsidRDefault="00664EFD" w:rsidP="00D63204">
      <w:pPr>
        <w:pStyle w:val="ListParagraph"/>
        <w:widowControl w:val="0"/>
        <w:spacing w:before="85" w:after="0" w:line="240" w:lineRule="auto"/>
        <w:ind w:left="827"/>
        <w:rPr>
          <w:rFonts w:cstheme="minorHAnsi"/>
          <w:color w:val="231F20"/>
        </w:rPr>
      </w:pPr>
    </w:p>
    <w:p w14:paraId="72B82704" w14:textId="2D85B2D0" w:rsidR="001D1219" w:rsidRPr="001D1219" w:rsidRDefault="00664EFD" w:rsidP="00D63204">
      <w:pPr>
        <w:pStyle w:val="ListParagraph"/>
        <w:widowControl w:val="0"/>
        <w:numPr>
          <w:ilvl w:val="0"/>
          <w:numId w:val="29"/>
        </w:numPr>
        <w:spacing w:before="83" w:after="0" w:line="240" w:lineRule="auto"/>
        <w:rPr>
          <w:rFonts w:cstheme="minorHAnsi"/>
          <w:color w:val="231F20"/>
        </w:rPr>
      </w:pPr>
      <w:r w:rsidRPr="001D1219">
        <w:rPr>
          <w:rFonts w:cstheme="minorHAnsi"/>
          <w:color w:val="231F20"/>
          <w:w w:val="105"/>
        </w:rPr>
        <w:t>Expand</w:t>
      </w:r>
      <w:r w:rsidRPr="001D1219">
        <w:rPr>
          <w:rFonts w:cstheme="minorHAnsi"/>
          <w:color w:val="231F20"/>
          <w:spacing w:val="17"/>
          <w:w w:val="105"/>
        </w:rPr>
        <w:t xml:space="preserve"> </w:t>
      </w:r>
      <w:r w:rsidRPr="001D1219">
        <w:rPr>
          <w:rFonts w:cstheme="minorHAnsi"/>
          <w:color w:val="231F20"/>
          <w:w w:val="105"/>
        </w:rPr>
        <w:t>use</w:t>
      </w:r>
      <w:r w:rsidRPr="001D1219">
        <w:rPr>
          <w:rFonts w:cstheme="minorHAnsi"/>
          <w:color w:val="231F20"/>
          <w:spacing w:val="17"/>
          <w:w w:val="105"/>
        </w:rPr>
        <w:t xml:space="preserve"> </w:t>
      </w:r>
      <w:r w:rsidRPr="001D1219">
        <w:rPr>
          <w:rFonts w:cstheme="minorHAnsi"/>
          <w:color w:val="231F20"/>
          <w:w w:val="105"/>
        </w:rPr>
        <w:t>of</w:t>
      </w:r>
      <w:r w:rsidRPr="001D1219">
        <w:rPr>
          <w:rFonts w:cstheme="minorHAnsi"/>
          <w:color w:val="231F20"/>
          <w:spacing w:val="17"/>
          <w:w w:val="105"/>
        </w:rPr>
        <w:t xml:space="preserve"> </w:t>
      </w:r>
      <w:r w:rsidRPr="001D1219">
        <w:rPr>
          <w:rFonts w:cstheme="minorHAnsi"/>
          <w:color w:val="231F20"/>
          <w:w w:val="105"/>
        </w:rPr>
        <w:t>Benefits</w:t>
      </w:r>
      <w:r w:rsidRPr="001D1219">
        <w:rPr>
          <w:rFonts w:cstheme="minorHAnsi"/>
          <w:color w:val="231F20"/>
          <w:spacing w:val="17"/>
          <w:w w:val="105"/>
        </w:rPr>
        <w:t xml:space="preserve"> </w:t>
      </w:r>
      <w:r w:rsidRPr="001D1219">
        <w:rPr>
          <w:rFonts w:cstheme="minorHAnsi"/>
          <w:color w:val="231F20"/>
          <w:w w:val="105"/>
        </w:rPr>
        <w:t>Planning</w:t>
      </w:r>
      <w:r w:rsidRPr="001D1219">
        <w:rPr>
          <w:rFonts w:cstheme="minorHAnsi"/>
          <w:color w:val="231F20"/>
          <w:spacing w:val="17"/>
          <w:w w:val="105"/>
        </w:rPr>
        <w:t xml:space="preserve"> </w:t>
      </w:r>
      <w:r w:rsidRPr="001D1219">
        <w:rPr>
          <w:rFonts w:cstheme="minorHAnsi"/>
          <w:color w:val="231F20"/>
          <w:w w:val="105"/>
        </w:rPr>
        <w:t>services</w:t>
      </w:r>
      <w:r w:rsidRPr="001D1219">
        <w:rPr>
          <w:rFonts w:cstheme="minorHAnsi"/>
          <w:color w:val="231F20"/>
          <w:spacing w:val="17"/>
          <w:w w:val="105"/>
        </w:rPr>
        <w:t xml:space="preserve"> </w:t>
      </w:r>
      <w:r w:rsidRPr="001D1219">
        <w:rPr>
          <w:rFonts w:cstheme="minorHAnsi"/>
          <w:color w:val="231F20"/>
          <w:w w:val="105"/>
        </w:rPr>
        <w:t>for</w:t>
      </w:r>
      <w:r w:rsidRPr="001D1219">
        <w:rPr>
          <w:rFonts w:cstheme="minorHAnsi"/>
          <w:color w:val="231F20"/>
          <w:spacing w:val="17"/>
          <w:w w:val="105"/>
        </w:rPr>
        <w:t xml:space="preserve"> </w:t>
      </w:r>
      <w:r w:rsidRPr="001D1219">
        <w:rPr>
          <w:rFonts w:cstheme="minorHAnsi"/>
          <w:color w:val="231F20"/>
          <w:w w:val="105"/>
        </w:rPr>
        <w:t>Social</w:t>
      </w:r>
      <w:r w:rsidRPr="001D1219">
        <w:rPr>
          <w:rFonts w:cstheme="minorHAnsi"/>
          <w:color w:val="231F20"/>
          <w:spacing w:val="17"/>
          <w:w w:val="105"/>
        </w:rPr>
        <w:t xml:space="preserve"> </w:t>
      </w:r>
      <w:r w:rsidRPr="001D1219">
        <w:rPr>
          <w:rFonts w:cstheme="minorHAnsi"/>
          <w:color w:val="231F20"/>
          <w:w w:val="105"/>
        </w:rPr>
        <w:t>Security</w:t>
      </w:r>
      <w:r w:rsidRPr="001D1219">
        <w:rPr>
          <w:rFonts w:cstheme="minorHAnsi"/>
          <w:color w:val="231F20"/>
          <w:spacing w:val="17"/>
          <w:w w:val="105"/>
        </w:rPr>
        <w:t xml:space="preserve"> </w:t>
      </w:r>
      <w:r w:rsidRPr="001D1219">
        <w:rPr>
          <w:rFonts w:cstheme="minorHAnsi"/>
          <w:color w:val="231F20"/>
          <w:w w:val="105"/>
        </w:rPr>
        <w:t>recipients</w:t>
      </w:r>
      <w:r w:rsidRPr="001D1219">
        <w:rPr>
          <w:rFonts w:cstheme="minorHAnsi"/>
          <w:color w:val="231F20"/>
          <w:spacing w:val="17"/>
          <w:w w:val="105"/>
        </w:rPr>
        <w:t xml:space="preserve"> </w:t>
      </w:r>
      <w:r w:rsidRPr="001D1219">
        <w:rPr>
          <w:rFonts w:cstheme="minorHAnsi"/>
          <w:color w:val="231F20"/>
          <w:w w:val="105"/>
        </w:rPr>
        <w:t>to promote</w:t>
      </w:r>
      <w:r w:rsidRPr="001D1219">
        <w:rPr>
          <w:rFonts w:cstheme="minorHAnsi"/>
          <w:color w:val="231F20"/>
          <w:spacing w:val="17"/>
          <w:w w:val="105"/>
        </w:rPr>
        <w:t xml:space="preserve"> </w:t>
      </w:r>
      <w:r w:rsidRPr="001D1219">
        <w:rPr>
          <w:rFonts w:cstheme="minorHAnsi"/>
          <w:color w:val="231F20"/>
          <w:w w:val="105"/>
        </w:rPr>
        <w:t>self-support. Purchase these services when not available from</w:t>
      </w:r>
      <w:r w:rsidR="00A01C00">
        <w:rPr>
          <w:rFonts w:cstheme="minorHAnsi"/>
          <w:color w:val="231F20"/>
          <w:w w:val="105"/>
        </w:rPr>
        <w:t xml:space="preserve"> </w:t>
      </w:r>
      <w:r w:rsidRPr="001D1219">
        <w:rPr>
          <w:rFonts w:cstheme="minorHAnsi"/>
          <w:color w:val="231F20"/>
          <w:w w:val="105"/>
        </w:rPr>
        <w:t>SSA.</w:t>
      </w:r>
    </w:p>
    <w:p w14:paraId="06F12213" w14:textId="358B2872" w:rsidR="00EA7458" w:rsidRPr="001D1219" w:rsidRDefault="00EA7458" w:rsidP="00D63204">
      <w:pPr>
        <w:pStyle w:val="ListParagraph"/>
        <w:widowControl w:val="0"/>
        <w:spacing w:before="83" w:after="0" w:line="264" w:lineRule="exact"/>
        <w:ind w:left="827"/>
        <w:rPr>
          <w:rFonts w:cstheme="minorHAnsi"/>
          <w:color w:val="231F20"/>
        </w:rPr>
      </w:pPr>
    </w:p>
    <w:p w14:paraId="6BB4F240" w14:textId="52961F08" w:rsidR="00EA7458" w:rsidRPr="00E06806" w:rsidRDefault="00EA7458" w:rsidP="00D63204">
      <w:pPr>
        <w:widowControl w:val="0"/>
        <w:spacing w:before="181" w:after="0" w:line="266" w:lineRule="exact"/>
        <w:ind w:left="107"/>
        <w:outlineLvl w:val="2"/>
        <w:rPr>
          <w:rFonts w:cstheme="minorHAnsi"/>
        </w:rPr>
      </w:pPr>
      <w:r w:rsidRPr="00E06806">
        <w:rPr>
          <w:rFonts w:cstheme="minorHAnsi"/>
          <w:b/>
          <w:bCs/>
          <w:w w:val="110"/>
        </w:rPr>
        <w:t>Figure</w:t>
      </w:r>
      <w:r w:rsidRPr="00E06806">
        <w:rPr>
          <w:rFonts w:cstheme="minorHAnsi"/>
          <w:b/>
          <w:bCs/>
          <w:spacing w:val="-7"/>
          <w:w w:val="110"/>
        </w:rPr>
        <w:t xml:space="preserve"> </w:t>
      </w:r>
      <w:r w:rsidR="001D1219">
        <w:rPr>
          <w:rFonts w:cstheme="minorHAnsi"/>
          <w:b/>
          <w:bCs/>
          <w:spacing w:val="-6"/>
          <w:w w:val="110"/>
        </w:rPr>
        <w:t>3.15</w:t>
      </w:r>
    </w:p>
    <w:p w14:paraId="433DB061" w14:textId="77777777" w:rsidR="008B5C34" w:rsidRDefault="00EA7458" w:rsidP="00D63204">
      <w:pPr>
        <w:widowControl w:val="0"/>
        <w:spacing w:after="0" w:line="266" w:lineRule="exact"/>
        <w:ind w:left="107"/>
        <w:rPr>
          <w:rFonts w:cstheme="minorHAnsi"/>
          <w:b/>
          <w:color w:val="231F20"/>
          <w:spacing w:val="-13"/>
          <w:w w:val="110"/>
        </w:rPr>
      </w:pPr>
      <w:r w:rsidRPr="00E06806">
        <w:rPr>
          <w:rFonts w:cstheme="minorHAnsi"/>
          <w:b/>
          <w:color w:val="231F20"/>
          <w:w w:val="110"/>
        </w:rPr>
        <w:t>Florida</w:t>
      </w:r>
      <w:r w:rsidRPr="00E06806">
        <w:rPr>
          <w:rFonts w:cstheme="minorHAnsi"/>
          <w:b/>
          <w:color w:val="231F20"/>
          <w:spacing w:val="-13"/>
          <w:w w:val="110"/>
        </w:rPr>
        <w:t xml:space="preserve"> </w:t>
      </w:r>
      <w:r w:rsidRPr="00E06806">
        <w:rPr>
          <w:rFonts w:cstheme="minorHAnsi"/>
          <w:b/>
          <w:color w:val="231F20"/>
          <w:w w:val="110"/>
        </w:rPr>
        <w:t>Vocational</w:t>
      </w:r>
      <w:r w:rsidRPr="00E06806">
        <w:rPr>
          <w:rFonts w:cstheme="minorHAnsi"/>
          <w:b/>
          <w:color w:val="231F20"/>
          <w:spacing w:val="-13"/>
          <w:w w:val="110"/>
        </w:rPr>
        <w:t xml:space="preserve"> </w:t>
      </w:r>
      <w:r w:rsidRPr="00E06806">
        <w:rPr>
          <w:rFonts w:cstheme="minorHAnsi"/>
          <w:b/>
          <w:color w:val="231F20"/>
          <w:w w:val="110"/>
        </w:rPr>
        <w:t>Rehabilitation</w:t>
      </w:r>
      <w:r w:rsidRPr="00E06806">
        <w:rPr>
          <w:rFonts w:cstheme="minorHAnsi"/>
          <w:b/>
          <w:color w:val="231F20"/>
          <w:spacing w:val="-13"/>
          <w:w w:val="110"/>
        </w:rPr>
        <w:t xml:space="preserve"> </w:t>
      </w:r>
    </w:p>
    <w:p w14:paraId="17BE846A" w14:textId="37A154C4" w:rsidR="00EA7458" w:rsidRDefault="00EA7458" w:rsidP="00D63204">
      <w:pPr>
        <w:widowControl w:val="0"/>
        <w:spacing w:after="0" w:line="266" w:lineRule="exact"/>
        <w:ind w:left="107"/>
        <w:rPr>
          <w:rFonts w:cstheme="minorHAnsi"/>
          <w:b/>
          <w:color w:val="231F20"/>
          <w:spacing w:val="-3"/>
          <w:w w:val="110"/>
        </w:rPr>
      </w:pPr>
      <w:r w:rsidRPr="00E06806">
        <w:rPr>
          <w:rFonts w:cstheme="minorHAnsi"/>
          <w:b/>
          <w:color w:val="231F20"/>
          <w:w w:val="110"/>
        </w:rPr>
        <w:t>Federal</w:t>
      </w:r>
      <w:r w:rsidRPr="00E06806">
        <w:rPr>
          <w:rFonts w:cstheme="minorHAnsi"/>
          <w:b/>
          <w:color w:val="231F20"/>
          <w:spacing w:val="-13"/>
          <w:w w:val="110"/>
        </w:rPr>
        <w:t xml:space="preserve"> </w:t>
      </w:r>
      <w:r w:rsidRPr="00E06806">
        <w:rPr>
          <w:rFonts w:cstheme="minorHAnsi"/>
          <w:b/>
          <w:color w:val="231F20"/>
          <w:w w:val="110"/>
        </w:rPr>
        <w:t>Performance</w:t>
      </w:r>
      <w:r w:rsidRPr="00E06806">
        <w:rPr>
          <w:rFonts w:cstheme="minorHAnsi"/>
          <w:b/>
          <w:color w:val="231F20"/>
          <w:spacing w:val="-13"/>
          <w:w w:val="110"/>
        </w:rPr>
        <w:t xml:space="preserve"> </w:t>
      </w:r>
      <w:r w:rsidRPr="00E06806">
        <w:rPr>
          <w:rFonts w:cstheme="minorHAnsi"/>
          <w:b/>
          <w:color w:val="231F20"/>
          <w:w w:val="110"/>
        </w:rPr>
        <w:t>Indicators</w:t>
      </w:r>
      <w:r w:rsidRPr="00E06806">
        <w:rPr>
          <w:rFonts w:cstheme="minorHAnsi"/>
          <w:b/>
          <w:color w:val="231F20"/>
          <w:spacing w:val="-13"/>
          <w:w w:val="110"/>
        </w:rPr>
        <w:t xml:space="preserve"> </w:t>
      </w:r>
      <w:r w:rsidRPr="00E06806">
        <w:rPr>
          <w:rFonts w:cstheme="minorHAnsi"/>
          <w:b/>
          <w:color w:val="231F20"/>
          <w:w w:val="110"/>
        </w:rPr>
        <w:t>and</w:t>
      </w:r>
      <w:r w:rsidRPr="00E06806">
        <w:rPr>
          <w:rFonts w:cstheme="minorHAnsi"/>
          <w:b/>
          <w:color w:val="231F20"/>
          <w:spacing w:val="-13"/>
          <w:w w:val="110"/>
        </w:rPr>
        <w:t xml:space="preserve"> </w:t>
      </w:r>
      <w:r w:rsidRPr="00E06806">
        <w:rPr>
          <w:rFonts w:cstheme="minorHAnsi"/>
          <w:b/>
          <w:color w:val="231F20"/>
          <w:spacing w:val="-3"/>
          <w:w w:val="110"/>
        </w:rPr>
        <w:t>Targets</w:t>
      </w:r>
    </w:p>
    <w:p w14:paraId="1185AA0A" w14:textId="197B0B97" w:rsidR="00664EFD" w:rsidRDefault="00664EFD" w:rsidP="00D63204">
      <w:pPr>
        <w:widowControl w:val="0"/>
        <w:spacing w:after="0" w:line="266" w:lineRule="exact"/>
        <w:ind w:left="107"/>
        <w:rPr>
          <w:rFonts w:cstheme="minorHAnsi"/>
        </w:rPr>
      </w:pPr>
    </w:p>
    <w:tbl>
      <w:tblPr>
        <w:tblW w:w="10608" w:type="dxa"/>
        <w:tblInd w:w="108" w:type="dxa"/>
        <w:tblLayout w:type="fixed"/>
        <w:tblCellMar>
          <w:left w:w="0" w:type="dxa"/>
          <w:right w:w="0" w:type="dxa"/>
        </w:tblCellMar>
        <w:tblLook w:val="01E0" w:firstRow="1" w:lastRow="1" w:firstColumn="1" w:lastColumn="1" w:noHBand="0" w:noVBand="0"/>
      </w:tblPr>
      <w:tblGrid>
        <w:gridCol w:w="5748"/>
        <w:gridCol w:w="2430"/>
        <w:gridCol w:w="2430"/>
      </w:tblGrid>
      <w:tr w:rsidR="00664EFD" w:rsidRPr="00E06806" w14:paraId="7EF21D25" w14:textId="77777777" w:rsidTr="008F1873">
        <w:trPr>
          <w:trHeight w:hRule="exact" w:val="644"/>
        </w:trPr>
        <w:tc>
          <w:tcPr>
            <w:tcW w:w="5748" w:type="dxa"/>
            <w:tcBorders>
              <w:top w:val="single" w:sz="2" w:space="0" w:color="231F20"/>
              <w:left w:val="single" w:sz="2" w:space="0" w:color="231F20"/>
              <w:bottom w:val="single" w:sz="2" w:space="0" w:color="231F20"/>
              <w:right w:val="single" w:sz="2" w:space="0" w:color="231F20"/>
            </w:tcBorders>
            <w:vAlign w:val="center"/>
          </w:tcPr>
          <w:p w14:paraId="50BFF4D0" w14:textId="77777777" w:rsidR="00664EFD" w:rsidRPr="00E06806" w:rsidRDefault="00664EFD" w:rsidP="009F481E">
            <w:pPr>
              <w:widowControl w:val="0"/>
              <w:spacing w:before="170" w:after="0" w:line="240" w:lineRule="auto"/>
              <w:ind w:left="107"/>
              <w:rPr>
                <w:rFonts w:cstheme="minorHAnsi"/>
                <w:sz w:val="20"/>
                <w:szCs w:val="20"/>
              </w:rPr>
            </w:pPr>
            <w:r w:rsidRPr="00E06806">
              <w:rPr>
                <w:rFonts w:cstheme="minorHAnsi"/>
                <w:b/>
                <w:color w:val="231F20"/>
                <w:w w:val="110"/>
                <w:sz w:val="20"/>
              </w:rPr>
              <w:t>Federal Performance Indicators and</w:t>
            </w:r>
            <w:r w:rsidRPr="00E06806">
              <w:rPr>
                <w:rFonts w:cstheme="minorHAnsi"/>
                <w:b/>
                <w:color w:val="231F20"/>
                <w:spacing w:val="-32"/>
                <w:w w:val="110"/>
                <w:sz w:val="20"/>
              </w:rPr>
              <w:t xml:space="preserve"> </w:t>
            </w:r>
            <w:r w:rsidRPr="00E06806">
              <w:rPr>
                <w:rFonts w:cstheme="minorHAnsi"/>
                <w:b/>
                <w:color w:val="231F20"/>
                <w:w w:val="110"/>
                <w:sz w:val="20"/>
              </w:rPr>
              <w:t>Targets</w:t>
            </w:r>
          </w:p>
        </w:tc>
        <w:tc>
          <w:tcPr>
            <w:tcW w:w="2430" w:type="dxa"/>
            <w:tcBorders>
              <w:top w:val="single" w:sz="2" w:space="0" w:color="231F20"/>
              <w:left w:val="single" w:sz="2" w:space="0" w:color="231F20"/>
              <w:bottom w:val="single" w:sz="2" w:space="0" w:color="231F20"/>
              <w:right w:val="single" w:sz="2" w:space="0" w:color="231F20"/>
            </w:tcBorders>
          </w:tcPr>
          <w:p w14:paraId="6F1FA235" w14:textId="77777777" w:rsidR="00664EFD" w:rsidRPr="00E06806" w:rsidRDefault="00664EFD" w:rsidP="00D63204">
            <w:pPr>
              <w:widowControl w:val="0"/>
              <w:spacing w:before="50" w:after="0" w:line="242" w:lineRule="exact"/>
              <w:ind w:left="107"/>
              <w:rPr>
                <w:rFonts w:cstheme="minorHAnsi"/>
                <w:sz w:val="20"/>
                <w:szCs w:val="20"/>
              </w:rPr>
            </w:pPr>
            <w:r w:rsidRPr="00E06806">
              <w:rPr>
                <w:rFonts w:cstheme="minorHAnsi"/>
                <w:b/>
                <w:color w:val="231F20"/>
                <w:w w:val="110"/>
                <w:sz w:val="20"/>
              </w:rPr>
              <w:t>Actual</w:t>
            </w:r>
            <w:r w:rsidRPr="00E06806">
              <w:rPr>
                <w:rFonts w:cstheme="minorHAnsi"/>
                <w:b/>
                <w:color w:val="231F20"/>
                <w:spacing w:val="-22"/>
                <w:w w:val="110"/>
                <w:sz w:val="20"/>
              </w:rPr>
              <w:t xml:space="preserve"> </w:t>
            </w:r>
            <w:r w:rsidRPr="00E06806">
              <w:rPr>
                <w:rFonts w:cstheme="minorHAnsi"/>
                <w:b/>
                <w:color w:val="231F20"/>
                <w:w w:val="110"/>
                <w:sz w:val="20"/>
              </w:rPr>
              <w:t>Performance</w:t>
            </w:r>
          </w:p>
          <w:p w14:paraId="2B9EB282" w14:textId="77777777" w:rsidR="00664EFD" w:rsidRPr="00E06806" w:rsidRDefault="00664EFD" w:rsidP="00D63204">
            <w:pPr>
              <w:widowControl w:val="0"/>
              <w:spacing w:before="50" w:after="0" w:line="242" w:lineRule="exact"/>
              <w:ind w:left="107"/>
              <w:rPr>
                <w:rFonts w:cstheme="minorHAnsi"/>
                <w:b/>
                <w:color w:val="231F20"/>
                <w:w w:val="110"/>
                <w:sz w:val="20"/>
              </w:rPr>
            </w:pPr>
            <w:r w:rsidRPr="00E06806">
              <w:rPr>
                <w:rFonts w:cstheme="minorHAnsi"/>
                <w:b/>
                <w:color w:val="231F20"/>
                <w:w w:val="110"/>
                <w:sz w:val="20"/>
              </w:rPr>
              <w:t>(FFY</w:t>
            </w:r>
            <w:r w:rsidRPr="00E06806">
              <w:rPr>
                <w:rFonts w:cstheme="minorHAnsi"/>
                <w:b/>
                <w:color w:val="231F20"/>
                <w:spacing w:val="4"/>
                <w:w w:val="110"/>
                <w:sz w:val="20"/>
              </w:rPr>
              <w:t xml:space="preserve"> </w:t>
            </w:r>
            <w:r w:rsidRPr="00E06806">
              <w:rPr>
                <w:rFonts w:cstheme="minorHAnsi"/>
                <w:b/>
                <w:color w:val="231F20"/>
                <w:w w:val="110"/>
                <w:sz w:val="20"/>
              </w:rPr>
              <w:t>1</w:t>
            </w:r>
            <w:r>
              <w:rPr>
                <w:rFonts w:cstheme="minorHAnsi"/>
                <w:b/>
                <w:color w:val="231F20"/>
                <w:w w:val="110"/>
                <w:sz w:val="20"/>
              </w:rPr>
              <w:t>7</w:t>
            </w:r>
            <w:r w:rsidRPr="00E06806">
              <w:rPr>
                <w:rFonts w:cstheme="minorHAnsi"/>
                <w:b/>
                <w:color w:val="231F20"/>
                <w:w w:val="110"/>
                <w:sz w:val="20"/>
              </w:rPr>
              <w:t>)</w:t>
            </w:r>
          </w:p>
        </w:tc>
        <w:tc>
          <w:tcPr>
            <w:tcW w:w="2430" w:type="dxa"/>
            <w:tcBorders>
              <w:top w:val="single" w:sz="2" w:space="0" w:color="231F20"/>
              <w:left w:val="single" w:sz="2" w:space="0" w:color="231F20"/>
              <w:bottom w:val="single" w:sz="2" w:space="0" w:color="231F20"/>
              <w:right w:val="single" w:sz="2" w:space="0" w:color="231F20"/>
            </w:tcBorders>
          </w:tcPr>
          <w:p w14:paraId="0232E465" w14:textId="5881CE34" w:rsidR="00664EFD" w:rsidRPr="00E06806" w:rsidRDefault="00664EFD" w:rsidP="00D63204">
            <w:pPr>
              <w:widowControl w:val="0"/>
              <w:spacing w:before="50" w:after="0" w:line="242" w:lineRule="exact"/>
              <w:ind w:left="107"/>
              <w:rPr>
                <w:rFonts w:cstheme="minorHAnsi"/>
                <w:sz w:val="20"/>
                <w:szCs w:val="20"/>
              </w:rPr>
            </w:pPr>
            <w:r w:rsidRPr="00E06806">
              <w:rPr>
                <w:rFonts w:cstheme="minorHAnsi"/>
                <w:b/>
                <w:color w:val="231F20"/>
                <w:w w:val="110"/>
                <w:sz w:val="20"/>
              </w:rPr>
              <w:t>Previous</w:t>
            </w:r>
          </w:p>
          <w:p w14:paraId="7570AEE2" w14:textId="165190D8" w:rsidR="00664EFD" w:rsidRPr="00E06806" w:rsidRDefault="00664EFD" w:rsidP="00D63204">
            <w:pPr>
              <w:widowControl w:val="0"/>
              <w:spacing w:after="0" w:line="242" w:lineRule="exact"/>
              <w:ind w:left="107"/>
              <w:rPr>
                <w:rFonts w:cstheme="minorHAnsi"/>
                <w:sz w:val="20"/>
                <w:szCs w:val="20"/>
              </w:rPr>
            </w:pPr>
            <w:r w:rsidRPr="00E06806">
              <w:rPr>
                <w:rFonts w:cstheme="minorHAnsi"/>
                <w:b/>
                <w:color w:val="231F20"/>
                <w:w w:val="110"/>
                <w:sz w:val="20"/>
              </w:rPr>
              <w:t>(FFY</w:t>
            </w:r>
            <w:r w:rsidRPr="00E06806">
              <w:rPr>
                <w:rFonts w:cstheme="minorHAnsi"/>
                <w:b/>
                <w:color w:val="231F20"/>
                <w:spacing w:val="2"/>
                <w:w w:val="110"/>
                <w:sz w:val="20"/>
              </w:rPr>
              <w:t xml:space="preserve"> </w:t>
            </w:r>
            <w:r w:rsidRPr="00E06806">
              <w:rPr>
                <w:rFonts w:cstheme="minorHAnsi"/>
                <w:b/>
                <w:color w:val="231F20"/>
                <w:w w:val="110"/>
                <w:sz w:val="20"/>
              </w:rPr>
              <w:t>1</w:t>
            </w:r>
            <w:r w:rsidR="007F1A43">
              <w:rPr>
                <w:rFonts w:cstheme="minorHAnsi"/>
                <w:b/>
                <w:color w:val="231F20"/>
                <w:w w:val="110"/>
                <w:sz w:val="20"/>
              </w:rPr>
              <w:t>6</w:t>
            </w:r>
            <w:r w:rsidRPr="00E06806">
              <w:rPr>
                <w:rFonts w:cstheme="minorHAnsi"/>
                <w:b/>
                <w:color w:val="231F20"/>
                <w:w w:val="110"/>
                <w:sz w:val="20"/>
              </w:rPr>
              <w:t>)</w:t>
            </w:r>
          </w:p>
        </w:tc>
      </w:tr>
      <w:tr w:rsidR="007F1A43" w:rsidRPr="00E06806" w14:paraId="1BD02210" w14:textId="77777777" w:rsidTr="007F1A43">
        <w:trPr>
          <w:trHeight w:hRule="exact" w:val="632"/>
        </w:trPr>
        <w:tc>
          <w:tcPr>
            <w:tcW w:w="5748" w:type="dxa"/>
            <w:tcBorders>
              <w:top w:val="single" w:sz="2" w:space="0" w:color="231F20"/>
              <w:left w:val="single" w:sz="2" w:space="0" w:color="231F20"/>
              <w:bottom w:val="single" w:sz="2" w:space="0" w:color="231F20"/>
              <w:right w:val="single" w:sz="2" w:space="0" w:color="231F20"/>
            </w:tcBorders>
            <w:shd w:val="clear" w:color="auto" w:fill="E6E7E8"/>
            <w:vAlign w:val="center"/>
          </w:tcPr>
          <w:p w14:paraId="56C7A5FB" w14:textId="77777777" w:rsidR="007F1A43" w:rsidRDefault="007F1A43" w:rsidP="007F1A43">
            <w:pPr>
              <w:widowControl w:val="0"/>
              <w:spacing w:before="43" w:after="0" w:line="240" w:lineRule="exact"/>
              <w:ind w:left="107"/>
              <w:rPr>
                <w:rFonts w:cstheme="minorHAnsi"/>
                <w:color w:val="231F20"/>
                <w:w w:val="108"/>
                <w:sz w:val="20"/>
              </w:rPr>
            </w:pPr>
            <w:r w:rsidRPr="00E06806">
              <w:rPr>
                <w:rFonts w:cstheme="minorHAnsi"/>
                <w:b/>
                <w:color w:val="231F20"/>
                <w:w w:val="105"/>
                <w:sz w:val="20"/>
              </w:rPr>
              <w:t xml:space="preserve">Indicator </w:t>
            </w:r>
            <w:r w:rsidRPr="00E06806">
              <w:rPr>
                <w:rFonts w:cstheme="minorHAnsi"/>
                <w:b/>
                <w:color w:val="231F20"/>
                <w:spacing w:val="-6"/>
                <w:w w:val="105"/>
                <w:sz w:val="20"/>
              </w:rPr>
              <w:t>1.1</w:t>
            </w:r>
            <w:r w:rsidRPr="00E06806">
              <w:rPr>
                <w:rFonts w:cstheme="minorHAnsi"/>
                <w:color w:val="231F20"/>
                <w:spacing w:val="-6"/>
                <w:w w:val="105"/>
                <w:sz w:val="20"/>
              </w:rPr>
              <w:t xml:space="preserve">: </w:t>
            </w:r>
            <w:r w:rsidRPr="00E06806">
              <w:rPr>
                <w:rFonts w:cstheme="minorHAnsi"/>
                <w:color w:val="231F20"/>
                <w:w w:val="105"/>
                <w:sz w:val="20"/>
              </w:rPr>
              <w:t>Change in Employment</w:t>
            </w:r>
            <w:r w:rsidRPr="00E06806">
              <w:rPr>
                <w:rFonts w:cstheme="minorHAnsi"/>
                <w:color w:val="231F20"/>
                <w:spacing w:val="13"/>
                <w:w w:val="105"/>
                <w:sz w:val="20"/>
              </w:rPr>
              <w:t xml:space="preserve"> </w:t>
            </w:r>
            <w:r w:rsidRPr="00E06806">
              <w:rPr>
                <w:rFonts w:cstheme="minorHAnsi"/>
                <w:color w:val="231F20"/>
                <w:w w:val="105"/>
                <w:sz w:val="20"/>
              </w:rPr>
              <w:t>Outcomes</w:t>
            </w:r>
            <w:r w:rsidRPr="00E06806">
              <w:rPr>
                <w:rFonts w:cstheme="minorHAnsi"/>
                <w:color w:val="231F20"/>
                <w:w w:val="108"/>
                <w:sz w:val="20"/>
              </w:rPr>
              <w:t xml:space="preserve"> </w:t>
            </w:r>
          </w:p>
          <w:p w14:paraId="29550DC1" w14:textId="3BDE35ED" w:rsidR="007F1A43" w:rsidRPr="00E06806" w:rsidRDefault="007F1A43" w:rsidP="007F1A43">
            <w:pPr>
              <w:widowControl w:val="0"/>
              <w:spacing w:before="43" w:after="0" w:line="240" w:lineRule="exact"/>
              <w:ind w:left="107"/>
              <w:rPr>
                <w:rFonts w:cstheme="minorHAnsi"/>
                <w:sz w:val="20"/>
                <w:szCs w:val="20"/>
              </w:rPr>
            </w:pPr>
            <w:r w:rsidRPr="00E06806">
              <w:rPr>
                <w:rFonts w:cstheme="minorHAnsi"/>
                <w:color w:val="231F20"/>
                <w:w w:val="105"/>
                <w:sz w:val="20"/>
              </w:rPr>
              <w:t xml:space="preserve">(RSA </w:t>
            </w:r>
            <w:r w:rsidRPr="00E06806">
              <w:rPr>
                <w:rFonts w:cstheme="minorHAnsi"/>
                <w:color w:val="231F20"/>
                <w:spacing w:val="-3"/>
                <w:w w:val="105"/>
                <w:sz w:val="20"/>
              </w:rPr>
              <w:t xml:space="preserve">Target: </w:t>
            </w:r>
            <w:r w:rsidRPr="00E06806">
              <w:rPr>
                <w:rFonts w:cstheme="minorHAnsi"/>
                <w:color w:val="231F20"/>
                <w:w w:val="105"/>
                <w:sz w:val="20"/>
              </w:rPr>
              <w:t>Increase over prior year)</w:t>
            </w:r>
          </w:p>
        </w:tc>
        <w:tc>
          <w:tcPr>
            <w:tcW w:w="2430" w:type="dxa"/>
            <w:tcBorders>
              <w:top w:val="single" w:sz="2" w:space="0" w:color="231F20"/>
              <w:left w:val="single" w:sz="2" w:space="0" w:color="231F20"/>
              <w:bottom w:val="single" w:sz="2" w:space="0" w:color="231F20"/>
              <w:right w:val="single" w:sz="2" w:space="0" w:color="231F20"/>
            </w:tcBorders>
            <w:shd w:val="clear" w:color="auto" w:fill="E6E7E8"/>
            <w:vAlign w:val="center"/>
          </w:tcPr>
          <w:p w14:paraId="3EFD5B96" w14:textId="77777777" w:rsidR="007F1A43" w:rsidRPr="00E06806" w:rsidRDefault="007F1A43" w:rsidP="00D63204">
            <w:pPr>
              <w:widowControl w:val="0"/>
              <w:spacing w:before="165" w:after="0" w:line="240" w:lineRule="auto"/>
              <w:ind w:left="107"/>
              <w:rPr>
                <w:rFonts w:cstheme="minorHAnsi"/>
                <w:color w:val="231F20"/>
                <w:spacing w:val="-3"/>
                <w:w w:val="95"/>
                <w:sz w:val="20"/>
              </w:rPr>
            </w:pPr>
            <w:r>
              <w:rPr>
                <w:rFonts w:cstheme="minorHAnsi"/>
                <w:color w:val="231F20"/>
                <w:spacing w:val="-3"/>
                <w:w w:val="95"/>
                <w:sz w:val="20"/>
              </w:rPr>
              <w:t>+265</w:t>
            </w:r>
          </w:p>
        </w:tc>
        <w:tc>
          <w:tcPr>
            <w:tcW w:w="2430" w:type="dxa"/>
            <w:tcBorders>
              <w:top w:val="single" w:sz="2" w:space="0" w:color="231F20"/>
              <w:left w:val="single" w:sz="2" w:space="0" w:color="231F20"/>
              <w:bottom w:val="single" w:sz="2" w:space="0" w:color="231F20"/>
              <w:right w:val="single" w:sz="2" w:space="0" w:color="231F20"/>
            </w:tcBorders>
            <w:shd w:val="clear" w:color="auto" w:fill="E6E7E8"/>
            <w:vAlign w:val="center"/>
          </w:tcPr>
          <w:p w14:paraId="18AF655B" w14:textId="1F41AB36" w:rsidR="007F1A43" w:rsidRPr="00E06806" w:rsidRDefault="007F1A43" w:rsidP="00D63204">
            <w:pPr>
              <w:widowControl w:val="0"/>
              <w:spacing w:before="165" w:after="0" w:line="240" w:lineRule="auto"/>
              <w:ind w:left="107"/>
              <w:rPr>
                <w:rFonts w:cstheme="minorHAnsi"/>
                <w:sz w:val="20"/>
                <w:szCs w:val="20"/>
              </w:rPr>
            </w:pPr>
            <w:r>
              <w:rPr>
                <w:rFonts w:cstheme="minorHAnsi"/>
                <w:color w:val="231F20"/>
                <w:spacing w:val="-3"/>
                <w:w w:val="95"/>
                <w:sz w:val="20"/>
              </w:rPr>
              <w:t>+419</w:t>
            </w:r>
          </w:p>
        </w:tc>
      </w:tr>
      <w:tr w:rsidR="007F1A43" w:rsidRPr="00E06806" w14:paraId="403C652C" w14:textId="77777777" w:rsidTr="007F1A43">
        <w:trPr>
          <w:trHeight w:hRule="exact" w:val="662"/>
        </w:trPr>
        <w:tc>
          <w:tcPr>
            <w:tcW w:w="5748" w:type="dxa"/>
            <w:tcBorders>
              <w:top w:val="single" w:sz="2" w:space="0" w:color="231F20"/>
              <w:left w:val="single" w:sz="2" w:space="0" w:color="231F20"/>
              <w:bottom w:val="single" w:sz="2" w:space="0" w:color="231F20"/>
              <w:right w:val="single" w:sz="2" w:space="0" w:color="231F20"/>
            </w:tcBorders>
            <w:vAlign w:val="center"/>
          </w:tcPr>
          <w:p w14:paraId="1E259FCD" w14:textId="77777777" w:rsidR="007F1A43" w:rsidRDefault="007F1A43" w:rsidP="007F1A43">
            <w:pPr>
              <w:widowControl w:val="0"/>
              <w:spacing w:before="57" w:after="0" w:line="240" w:lineRule="exact"/>
              <w:ind w:left="107"/>
              <w:rPr>
                <w:rFonts w:cstheme="minorHAnsi"/>
                <w:color w:val="231F20"/>
                <w:w w:val="108"/>
                <w:sz w:val="20"/>
              </w:rPr>
            </w:pPr>
            <w:r w:rsidRPr="00E06806">
              <w:rPr>
                <w:rFonts w:cstheme="minorHAnsi"/>
                <w:b/>
                <w:color w:val="231F20"/>
                <w:w w:val="105"/>
                <w:sz w:val="20"/>
              </w:rPr>
              <w:t>Indicator 1.2</w:t>
            </w:r>
            <w:r w:rsidRPr="00E06806">
              <w:rPr>
                <w:rFonts w:cstheme="minorHAnsi"/>
                <w:color w:val="231F20"/>
                <w:w w:val="105"/>
                <w:sz w:val="20"/>
              </w:rPr>
              <w:t>: Percent of Employment</w:t>
            </w:r>
            <w:r w:rsidRPr="00E06806">
              <w:rPr>
                <w:rFonts w:cstheme="minorHAnsi"/>
                <w:color w:val="231F20"/>
                <w:spacing w:val="1"/>
                <w:w w:val="105"/>
                <w:sz w:val="20"/>
              </w:rPr>
              <w:t xml:space="preserve"> </w:t>
            </w:r>
            <w:r w:rsidRPr="00E06806">
              <w:rPr>
                <w:rFonts w:cstheme="minorHAnsi"/>
                <w:color w:val="231F20"/>
                <w:w w:val="105"/>
                <w:sz w:val="20"/>
              </w:rPr>
              <w:t>Outcomes</w:t>
            </w:r>
            <w:r w:rsidRPr="00E06806">
              <w:rPr>
                <w:rFonts w:cstheme="minorHAnsi"/>
                <w:color w:val="231F20"/>
                <w:w w:val="108"/>
                <w:sz w:val="20"/>
              </w:rPr>
              <w:t xml:space="preserve"> </w:t>
            </w:r>
          </w:p>
          <w:p w14:paraId="1AB776AA" w14:textId="461B3DFB" w:rsidR="007F1A43" w:rsidRPr="00E06806" w:rsidRDefault="007F1A43" w:rsidP="007F1A43">
            <w:pPr>
              <w:widowControl w:val="0"/>
              <w:spacing w:before="57" w:after="0" w:line="240" w:lineRule="exact"/>
              <w:ind w:left="107"/>
              <w:rPr>
                <w:rFonts w:cstheme="minorHAnsi"/>
                <w:sz w:val="20"/>
                <w:szCs w:val="20"/>
              </w:rPr>
            </w:pPr>
            <w:r w:rsidRPr="00E06806">
              <w:rPr>
                <w:rFonts w:cstheme="minorHAnsi"/>
                <w:color w:val="231F20"/>
                <w:w w:val="105"/>
                <w:sz w:val="20"/>
              </w:rPr>
              <w:t xml:space="preserve">(RSA </w:t>
            </w:r>
            <w:r w:rsidRPr="00E06806">
              <w:rPr>
                <w:rFonts w:cstheme="minorHAnsi"/>
                <w:color w:val="231F20"/>
                <w:spacing w:val="-3"/>
                <w:w w:val="105"/>
                <w:sz w:val="20"/>
              </w:rPr>
              <w:t>Target:</w:t>
            </w:r>
            <w:r w:rsidRPr="00E06806">
              <w:rPr>
                <w:rFonts w:cstheme="minorHAnsi"/>
                <w:color w:val="231F20"/>
                <w:spacing w:val="3"/>
                <w:w w:val="105"/>
                <w:sz w:val="20"/>
              </w:rPr>
              <w:t xml:space="preserve"> </w:t>
            </w:r>
            <w:r w:rsidRPr="00E06806">
              <w:rPr>
                <w:rFonts w:cstheme="minorHAnsi"/>
                <w:color w:val="231F20"/>
                <w:w w:val="105"/>
                <w:sz w:val="20"/>
              </w:rPr>
              <w:t>55.8%)</w:t>
            </w:r>
          </w:p>
        </w:tc>
        <w:tc>
          <w:tcPr>
            <w:tcW w:w="2430" w:type="dxa"/>
            <w:tcBorders>
              <w:top w:val="single" w:sz="2" w:space="0" w:color="231F20"/>
              <w:left w:val="single" w:sz="2" w:space="0" w:color="231F20"/>
              <w:bottom w:val="single" w:sz="2" w:space="0" w:color="231F20"/>
              <w:right w:val="single" w:sz="2" w:space="0" w:color="231F20"/>
            </w:tcBorders>
            <w:vAlign w:val="center"/>
          </w:tcPr>
          <w:p w14:paraId="0B5009BD" w14:textId="77777777" w:rsidR="007F1A43" w:rsidRPr="00E06806" w:rsidRDefault="007F1A43" w:rsidP="00D63204">
            <w:pPr>
              <w:widowControl w:val="0"/>
              <w:spacing w:before="178" w:after="0" w:line="240" w:lineRule="auto"/>
              <w:ind w:left="107"/>
              <w:rPr>
                <w:rFonts w:cstheme="minorHAnsi"/>
                <w:color w:val="231F20"/>
                <w:spacing w:val="-4"/>
                <w:sz w:val="20"/>
              </w:rPr>
            </w:pPr>
            <w:r>
              <w:rPr>
                <w:rFonts w:cstheme="minorHAnsi"/>
                <w:color w:val="231F20"/>
                <w:spacing w:val="-4"/>
                <w:sz w:val="20"/>
              </w:rPr>
              <w:t>37.9%</w:t>
            </w:r>
          </w:p>
        </w:tc>
        <w:tc>
          <w:tcPr>
            <w:tcW w:w="2430" w:type="dxa"/>
            <w:tcBorders>
              <w:top w:val="single" w:sz="2" w:space="0" w:color="231F20"/>
              <w:left w:val="single" w:sz="2" w:space="0" w:color="231F20"/>
              <w:bottom w:val="single" w:sz="2" w:space="0" w:color="231F20"/>
              <w:right w:val="single" w:sz="2" w:space="0" w:color="231F20"/>
            </w:tcBorders>
            <w:vAlign w:val="center"/>
          </w:tcPr>
          <w:p w14:paraId="1892510F" w14:textId="254EACB5" w:rsidR="007F1A43" w:rsidRPr="00E06806" w:rsidRDefault="007F1A43" w:rsidP="00D63204">
            <w:pPr>
              <w:widowControl w:val="0"/>
              <w:spacing w:before="178" w:after="0" w:line="240" w:lineRule="auto"/>
              <w:ind w:left="107"/>
              <w:rPr>
                <w:rFonts w:cstheme="minorHAnsi"/>
                <w:sz w:val="20"/>
                <w:szCs w:val="20"/>
              </w:rPr>
            </w:pPr>
            <w:r>
              <w:rPr>
                <w:rFonts w:cstheme="minorHAnsi"/>
                <w:color w:val="231F20"/>
                <w:spacing w:val="-4"/>
                <w:sz w:val="20"/>
              </w:rPr>
              <w:t>40.8</w:t>
            </w:r>
            <w:r w:rsidRPr="00E06806">
              <w:rPr>
                <w:rFonts w:cstheme="minorHAnsi"/>
                <w:color w:val="231F20"/>
                <w:spacing w:val="-4"/>
                <w:sz w:val="20"/>
              </w:rPr>
              <w:t>%</w:t>
            </w:r>
          </w:p>
        </w:tc>
      </w:tr>
      <w:tr w:rsidR="007F1A43" w:rsidRPr="00E06806" w14:paraId="5851DE04" w14:textId="77777777" w:rsidTr="007F1A43">
        <w:trPr>
          <w:trHeight w:hRule="exact" w:val="644"/>
        </w:trPr>
        <w:tc>
          <w:tcPr>
            <w:tcW w:w="5748" w:type="dxa"/>
            <w:tcBorders>
              <w:top w:val="single" w:sz="2" w:space="0" w:color="231F20"/>
              <w:left w:val="single" w:sz="2" w:space="0" w:color="231F20"/>
              <w:bottom w:val="single" w:sz="2" w:space="0" w:color="231F20"/>
              <w:right w:val="single" w:sz="2" w:space="0" w:color="231F20"/>
            </w:tcBorders>
            <w:shd w:val="clear" w:color="auto" w:fill="E6E7E8"/>
            <w:vAlign w:val="center"/>
          </w:tcPr>
          <w:p w14:paraId="1D87BC75" w14:textId="77777777" w:rsidR="007F1A43" w:rsidRDefault="007F1A43" w:rsidP="007F1A43">
            <w:pPr>
              <w:widowControl w:val="0"/>
              <w:spacing w:before="49" w:after="0" w:line="240" w:lineRule="exact"/>
              <w:ind w:left="107"/>
              <w:rPr>
                <w:rFonts w:cstheme="minorHAnsi"/>
                <w:color w:val="231F20"/>
                <w:sz w:val="20"/>
              </w:rPr>
            </w:pPr>
            <w:r w:rsidRPr="00E06806">
              <w:rPr>
                <w:rFonts w:cstheme="minorHAnsi"/>
                <w:b/>
                <w:color w:val="231F20"/>
                <w:w w:val="105"/>
                <w:sz w:val="20"/>
              </w:rPr>
              <w:t>Indicator 1.3</w:t>
            </w:r>
            <w:r w:rsidRPr="00E06806">
              <w:rPr>
                <w:rFonts w:cstheme="minorHAnsi"/>
                <w:color w:val="231F20"/>
                <w:w w:val="105"/>
                <w:sz w:val="20"/>
              </w:rPr>
              <w:t>: Competitive Employment Outcome</w:t>
            </w:r>
            <w:r w:rsidRPr="00E06806">
              <w:rPr>
                <w:rFonts w:cstheme="minorHAnsi"/>
                <w:color w:val="231F20"/>
                <w:spacing w:val="7"/>
                <w:w w:val="105"/>
                <w:sz w:val="20"/>
              </w:rPr>
              <w:t xml:space="preserve"> </w:t>
            </w:r>
            <w:r w:rsidRPr="00E06806">
              <w:rPr>
                <w:rFonts w:cstheme="minorHAnsi"/>
                <w:color w:val="231F20"/>
                <w:w w:val="105"/>
                <w:sz w:val="20"/>
              </w:rPr>
              <w:t>(Primary)</w:t>
            </w:r>
            <w:r w:rsidRPr="00E06806">
              <w:rPr>
                <w:rFonts w:cstheme="minorHAnsi"/>
                <w:color w:val="231F20"/>
                <w:sz w:val="20"/>
              </w:rPr>
              <w:t xml:space="preserve"> </w:t>
            </w:r>
          </w:p>
          <w:p w14:paraId="68020FB7" w14:textId="2FBA6A2B" w:rsidR="007F1A43" w:rsidRPr="00E06806" w:rsidRDefault="007F1A43" w:rsidP="007F1A43">
            <w:pPr>
              <w:widowControl w:val="0"/>
              <w:spacing w:before="49" w:after="0" w:line="240" w:lineRule="exact"/>
              <w:ind w:left="107"/>
              <w:rPr>
                <w:rFonts w:cstheme="minorHAnsi"/>
                <w:sz w:val="20"/>
                <w:szCs w:val="20"/>
              </w:rPr>
            </w:pPr>
            <w:r w:rsidRPr="00E06806">
              <w:rPr>
                <w:rFonts w:cstheme="minorHAnsi"/>
                <w:color w:val="231F20"/>
                <w:w w:val="105"/>
                <w:sz w:val="20"/>
              </w:rPr>
              <w:t xml:space="preserve">(RSA </w:t>
            </w:r>
            <w:r w:rsidRPr="00E06806">
              <w:rPr>
                <w:rFonts w:cstheme="minorHAnsi"/>
                <w:color w:val="231F20"/>
                <w:spacing w:val="-3"/>
                <w:w w:val="105"/>
                <w:sz w:val="20"/>
              </w:rPr>
              <w:t>Target:</w:t>
            </w:r>
            <w:r w:rsidRPr="00E06806">
              <w:rPr>
                <w:rFonts w:cstheme="minorHAnsi"/>
                <w:color w:val="231F20"/>
                <w:spacing w:val="30"/>
                <w:w w:val="105"/>
                <w:sz w:val="20"/>
              </w:rPr>
              <w:t xml:space="preserve"> </w:t>
            </w:r>
            <w:r w:rsidRPr="00E06806">
              <w:rPr>
                <w:rFonts w:cstheme="minorHAnsi"/>
                <w:color w:val="231F20"/>
                <w:w w:val="105"/>
                <w:sz w:val="20"/>
              </w:rPr>
              <w:t>72.6%)</w:t>
            </w:r>
          </w:p>
        </w:tc>
        <w:tc>
          <w:tcPr>
            <w:tcW w:w="2430" w:type="dxa"/>
            <w:tcBorders>
              <w:top w:val="single" w:sz="2" w:space="0" w:color="231F20"/>
              <w:left w:val="single" w:sz="2" w:space="0" w:color="231F20"/>
              <w:bottom w:val="single" w:sz="2" w:space="0" w:color="231F20"/>
              <w:right w:val="single" w:sz="2" w:space="0" w:color="231F20"/>
            </w:tcBorders>
            <w:shd w:val="clear" w:color="auto" w:fill="E6E7E8"/>
            <w:vAlign w:val="center"/>
          </w:tcPr>
          <w:p w14:paraId="3221CB4E" w14:textId="77777777" w:rsidR="007F1A43" w:rsidRPr="00E06806" w:rsidRDefault="007F1A43" w:rsidP="00D63204">
            <w:pPr>
              <w:widowControl w:val="0"/>
              <w:spacing w:before="170" w:after="0" w:line="240" w:lineRule="auto"/>
              <w:ind w:left="107"/>
              <w:rPr>
                <w:rFonts w:cstheme="minorHAnsi"/>
                <w:color w:val="231F20"/>
                <w:w w:val="110"/>
                <w:sz w:val="20"/>
              </w:rPr>
            </w:pPr>
            <w:r>
              <w:rPr>
                <w:rFonts w:cstheme="minorHAnsi"/>
                <w:color w:val="231F20"/>
                <w:w w:val="110"/>
                <w:sz w:val="20"/>
              </w:rPr>
              <w:t>96.94%</w:t>
            </w:r>
          </w:p>
        </w:tc>
        <w:tc>
          <w:tcPr>
            <w:tcW w:w="2430" w:type="dxa"/>
            <w:tcBorders>
              <w:top w:val="single" w:sz="2" w:space="0" w:color="231F20"/>
              <w:left w:val="single" w:sz="2" w:space="0" w:color="231F20"/>
              <w:bottom w:val="single" w:sz="2" w:space="0" w:color="231F20"/>
              <w:right w:val="single" w:sz="2" w:space="0" w:color="231F20"/>
            </w:tcBorders>
            <w:shd w:val="clear" w:color="auto" w:fill="E6E7E8"/>
            <w:vAlign w:val="center"/>
          </w:tcPr>
          <w:p w14:paraId="5581316C" w14:textId="197A4FC0" w:rsidR="007F1A43" w:rsidRPr="00E06806" w:rsidRDefault="007F1A43" w:rsidP="00D63204">
            <w:pPr>
              <w:widowControl w:val="0"/>
              <w:spacing w:before="170" w:after="0" w:line="240" w:lineRule="auto"/>
              <w:ind w:left="107"/>
              <w:rPr>
                <w:rFonts w:cstheme="minorHAnsi"/>
                <w:sz w:val="20"/>
                <w:szCs w:val="20"/>
              </w:rPr>
            </w:pPr>
            <w:r w:rsidRPr="00E06806">
              <w:rPr>
                <w:rFonts w:cstheme="minorHAnsi"/>
                <w:color w:val="231F20"/>
                <w:w w:val="110"/>
                <w:sz w:val="20"/>
              </w:rPr>
              <w:t>9</w:t>
            </w:r>
            <w:r>
              <w:rPr>
                <w:rFonts w:cstheme="minorHAnsi"/>
                <w:color w:val="231F20"/>
                <w:w w:val="110"/>
                <w:sz w:val="20"/>
              </w:rPr>
              <w:t>7.7</w:t>
            </w:r>
            <w:r w:rsidRPr="00E06806">
              <w:rPr>
                <w:rFonts w:cstheme="minorHAnsi"/>
                <w:color w:val="231F20"/>
                <w:w w:val="110"/>
                <w:sz w:val="20"/>
              </w:rPr>
              <w:t>%</w:t>
            </w:r>
          </w:p>
        </w:tc>
      </w:tr>
      <w:tr w:rsidR="007F1A43" w:rsidRPr="00E06806" w14:paraId="7ABEE652" w14:textId="77777777" w:rsidTr="007F1A43">
        <w:trPr>
          <w:trHeight w:hRule="exact" w:val="662"/>
        </w:trPr>
        <w:tc>
          <w:tcPr>
            <w:tcW w:w="5748" w:type="dxa"/>
            <w:tcBorders>
              <w:top w:val="single" w:sz="2" w:space="0" w:color="231F20"/>
              <w:left w:val="single" w:sz="2" w:space="0" w:color="231F20"/>
              <w:bottom w:val="single" w:sz="2" w:space="0" w:color="231F20"/>
              <w:right w:val="single" w:sz="2" w:space="0" w:color="231F20"/>
            </w:tcBorders>
            <w:vAlign w:val="center"/>
          </w:tcPr>
          <w:p w14:paraId="35BB0C74" w14:textId="77777777" w:rsidR="007F1A43" w:rsidRDefault="007F1A43" w:rsidP="007F1A43">
            <w:pPr>
              <w:widowControl w:val="0"/>
              <w:spacing w:before="57" w:after="0" w:line="240" w:lineRule="exact"/>
              <w:ind w:left="107"/>
              <w:rPr>
                <w:rFonts w:cstheme="minorHAnsi"/>
                <w:color w:val="231F20"/>
                <w:sz w:val="20"/>
              </w:rPr>
            </w:pPr>
            <w:r w:rsidRPr="00E06806">
              <w:rPr>
                <w:rFonts w:cstheme="minorHAnsi"/>
                <w:b/>
                <w:color w:val="231F20"/>
                <w:w w:val="105"/>
                <w:sz w:val="20"/>
              </w:rPr>
              <w:t>Indicator 1.4</w:t>
            </w:r>
            <w:r w:rsidRPr="00E06806">
              <w:rPr>
                <w:rFonts w:cstheme="minorHAnsi"/>
                <w:color w:val="231F20"/>
                <w:w w:val="105"/>
                <w:sz w:val="20"/>
              </w:rPr>
              <w:t>: Significance of Disability</w:t>
            </w:r>
            <w:r w:rsidRPr="00E06806">
              <w:rPr>
                <w:rFonts w:cstheme="minorHAnsi"/>
                <w:color w:val="231F20"/>
                <w:spacing w:val="32"/>
                <w:w w:val="105"/>
                <w:sz w:val="20"/>
              </w:rPr>
              <w:t xml:space="preserve"> </w:t>
            </w:r>
            <w:r w:rsidRPr="00E06806">
              <w:rPr>
                <w:rFonts w:cstheme="minorHAnsi"/>
                <w:color w:val="231F20"/>
                <w:w w:val="105"/>
                <w:sz w:val="20"/>
              </w:rPr>
              <w:t>(Primary)</w:t>
            </w:r>
            <w:r w:rsidRPr="00E06806">
              <w:rPr>
                <w:rFonts w:cstheme="minorHAnsi"/>
                <w:color w:val="231F20"/>
                <w:sz w:val="20"/>
              </w:rPr>
              <w:t xml:space="preserve"> </w:t>
            </w:r>
          </w:p>
          <w:p w14:paraId="57BF1ADD" w14:textId="4F060A04" w:rsidR="007F1A43" w:rsidRPr="00E06806" w:rsidRDefault="007F1A43" w:rsidP="007F1A43">
            <w:pPr>
              <w:widowControl w:val="0"/>
              <w:spacing w:before="57" w:after="0" w:line="240" w:lineRule="exact"/>
              <w:ind w:left="107"/>
              <w:rPr>
                <w:rFonts w:cstheme="minorHAnsi"/>
                <w:sz w:val="20"/>
                <w:szCs w:val="20"/>
              </w:rPr>
            </w:pPr>
            <w:r w:rsidRPr="00E06806">
              <w:rPr>
                <w:rFonts w:cstheme="minorHAnsi"/>
                <w:color w:val="231F20"/>
                <w:w w:val="105"/>
                <w:sz w:val="20"/>
              </w:rPr>
              <w:t xml:space="preserve">(RSA </w:t>
            </w:r>
            <w:r w:rsidRPr="00E06806">
              <w:rPr>
                <w:rFonts w:cstheme="minorHAnsi"/>
                <w:color w:val="231F20"/>
                <w:spacing w:val="-3"/>
                <w:w w:val="105"/>
                <w:sz w:val="20"/>
              </w:rPr>
              <w:t xml:space="preserve">Target: </w:t>
            </w:r>
            <w:r w:rsidRPr="00E06806">
              <w:rPr>
                <w:rFonts w:cstheme="minorHAnsi"/>
                <w:color w:val="231F20"/>
                <w:spacing w:val="1"/>
                <w:w w:val="105"/>
                <w:sz w:val="20"/>
              </w:rPr>
              <w:t xml:space="preserve"> </w:t>
            </w:r>
            <w:r w:rsidRPr="00E06806">
              <w:rPr>
                <w:rFonts w:cstheme="minorHAnsi"/>
                <w:color w:val="231F20"/>
                <w:w w:val="105"/>
                <w:sz w:val="20"/>
              </w:rPr>
              <w:t>62.4%)</w:t>
            </w:r>
          </w:p>
        </w:tc>
        <w:tc>
          <w:tcPr>
            <w:tcW w:w="2430" w:type="dxa"/>
            <w:tcBorders>
              <w:top w:val="single" w:sz="2" w:space="0" w:color="231F20"/>
              <w:left w:val="single" w:sz="2" w:space="0" w:color="231F20"/>
              <w:bottom w:val="single" w:sz="2" w:space="0" w:color="231F20"/>
              <w:right w:val="single" w:sz="2" w:space="0" w:color="231F20"/>
            </w:tcBorders>
            <w:vAlign w:val="center"/>
          </w:tcPr>
          <w:p w14:paraId="59768133" w14:textId="77777777" w:rsidR="007F1A43" w:rsidRPr="00E06806" w:rsidRDefault="007F1A43" w:rsidP="00D63204">
            <w:pPr>
              <w:widowControl w:val="0"/>
              <w:spacing w:before="178" w:after="0" w:line="240" w:lineRule="auto"/>
              <w:ind w:left="107"/>
              <w:rPr>
                <w:rFonts w:cstheme="minorHAnsi"/>
                <w:color w:val="231F20"/>
                <w:spacing w:val="-5"/>
                <w:sz w:val="20"/>
              </w:rPr>
            </w:pPr>
            <w:r>
              <w:rPr>
                <w:rFonts w:cstheme="minorHAnsi"/>
                <w:color w:val="231F20"/>
                <w:spacing w:val="-5"/>
                <w:sz w:val="20"/>
              </w:rPr>
              <w:t>92.56%</w:t>
            </w:r>
          </w:p>
        </w:tc>
        <w:tc>
          <w:tcPr>
            <w:tcW w:w="2430" w:type="dxa"/>
            <w:tcBorders>
              <w:top w:val="single" w:sz="2" w:space="0" w:color="231F20"/>
              <w:left w:val="single" w:sz="2" w:space="0" w:color="231F20"/>
              <w:bottom w:val="single" w:sz="2" w:space="0" w:color="231F20"/>
              <w:right w:val="single" w:sz="2" w:space="0" w:color="231F20"/>
            </w:tcBorders>
            <w:vAlign w:val="center"/>
          </w:tcPr>
          <w:p w14:paraId="32477777" w14:textId="6049554D" w:rsidR="007F1A43" w:rsidRPr="00E06806" w:rsidRDefault="007F1A43" w:rsidP="00D63204">
            <w:pPr>
              <w:widowControl w:val="0"/>
              <w:spacing w:before="178" w:after="0" w:line="240" w:lineRule="auto"/>
              <w:ind w:left="107"/>
              <w:rPr>
                <w:rFonts w:cstheme="minorHAnsi"/>
                <w:sz w:val="20"/>
                <w:szCs w:val="20"/>
              </w:rPr>
            </w:pPr>
            <w:r w:rsidRPr="00E06806">
              <w:rPr>
                <w:rFonts w:cstheme="minorHAnsi"/>
                <w:color w:val="231F20"/>
                <w:spacing w:val="-5"/>
                <w:sz w:val="20"/>
              </w:rPr>
              <w:t>99.</w:t>
            </w:r>
            <w:r>
              <w:rPr>
                <w:rFonts w:cstheme="minorHAnsi"/>
                <w:color w:val="231F20"/>
                <w:spacing w:val="-5"/>
                <w:sz w:val="20"/>
              </w:rPr>
              <w:t>5</w:t>
            </w:r>
            <w:r w:rsidRPr="00E06806">
              <w:rPr>
                <w:rFonts w:cstheme="minorHAnsi"/>
                <w:color w:val="231F20"/>
                <w:spacing w:val="-5"/>
                <w:sz w:val="20"/>
              </w:rPr>
              <w:t>%</w:t>
            </w:r>
          </w:p>
        </w:tc>
      </w:tr>
      <w:tr w:rsidR="007F1A43" w:rsidRPr="00E06806" w14:paraId="563494F1" w14:textId="77777777" w:rsidTr="007F1A43">
        <w:trPr>
          <w:trHeight w:hRule="exact" w:val="644"/>
        </w:trPr>
        <w:tc>
          <w:tcPr>
            <w:tcW w:w="5748" w:type="dxa"/>
            <w:tcBorders>
              <w:top w:val="single" w:sz="2" w:space="0" w:color="231F20"/>
              <w:left w:val="single" w:sz="2" w:space="0" w:color="231F20"/>
              <w:bottom w:val="single" w:sz="2" w:space="0" w:color="231F20"/>
              <w:right w:val="single" w:sz="2" w:space="0" w:color="231F20"/>
            </w:tcBorders>
            <w:shd w:val="clear" w:color="auto" w:fill="E6E7E8"/>
            <w:vAlign w:val="center"/>
          </w:tcPr>
          <w:p w14:paraId="77AA189E" w14:textId="77777777" w:rsidR="007F1A43" w:rsidRDefault="007F1A43" w:rsidP="007F1A43">
            <w:pPr>
              <w:widowControl w:val="0"/>
              <w:spacing w:before="87" w:after="0" w:line="240" w:lineRule="auto"/>
              <w:ind w:left="107"/>
              <w:rPr>
                <w:rFonts w:cstheme="minorHAnsi"/>
                <w:color w:val="231F20"/>
                <w:spacing w:val="-26"/>
                <w:w w:val="110"/>
                <w:sz w:val="20"/>
              </w:rPr>
            </w:pPr>
            <w:r w:rsidRPr="00E06806">
              <w:rPr>
                <w:rFonts w:cstheme="minorHAnsi"/>
                <w:b/>
                <w:color w:val="231F20"/>
                <w:w w:val="110"/>
                <w:sz w:val="20"/>
              </w:rPr>
              <w:t>Indicator</w:t>
            </w:r>
            <w:r w:rsidRPr="00E06806">
              <w:rPr>
                <w:rFonts w:cstheme="minorHAnsi"/>
                <w:b/>
                <w:color w:val="231F20"/>
                <w:spacing w:val="-26"/>
                <w:w w:val="110"/>
                <w:sz w:val="20"/>
              </w:rPr>
              <w:t xml:space="preserve"> </w:t>
            </w:r>
            <w:r w:rsidRPr="00E06806">
              <w:rPr>
                <w:rFonts w:cstheme="minorHAnsi"/>
                <w:b/>
                <w:color w:val="231F20"/>
                <w:w w:val="110"/>
                <w:sz w:val="20"/>
              </w:rPr>
              <w:t>1.5</w:t>
            </w:r>
            <w:r w:rsidRPr="00E06806">
              <w:rPr>
                <w:rFonts w:cstheme="minorHAnsi"/>
                <w:color w:val="231F20"/>
                <w:w w:val="110"/>
                <w:sz w:val="20"/>
              </w:rPr>
              <w:t>:</w:t>
            </w:r>
            <w:r w:rsidRPr="00E06806">
              <w:rPr>
                <w:rFonts w:cstheme="minorHAnsi"/>
                <w:color w:val="231F20"/>
                <w:spacing w:val="-26"/>
                <w:w w:val="110"/>
                <w:sz w:val="20"/>
              </w:rPr>
              <w:t xml:space="preserve"> </w:t>
            </w:r>
            <w:r w:rsidRPr="00E06806">
              <w:rPr>
                <w:rFonts w:cstheme="minorHAnsi"/>
                <w:color w:val="231F20"/>
                <w:w w:val="110"/>
                <w:sz w:val="20"/>
              </w:rPr>
              <w:t>Earnings</w:t>
            </w:r>
            <w:r w:rsidRPr="00E06806">
              <w:rPr>
                <w:rFonts w:cstheme="minorHAnsi"/>
                <w:color w:val="231F20"/>
                <w:spacing w:val="-26"/>
                <w:w w:val="110"/>
                <w:sz w:val="20"/>
              </w:rPr>
              <w:t xml:space="preserve"> </w:t>
            </w:r>
            <w:r w:rsidRPr="00E06806">
              <w:rPr>
                <w:rFonts w:cstheme="minorHAnsi"/>
                <w:color w:val="231F20"/>
                <w:w w:val="110"/>
                <w:sz w:val="20"/>
              </w:rPr>
              <w:t>Ratio</w:t>
            </w:r>
            <w:r w:rsidRPr="00E06806">
              <w:rPr>
                <w:rFonts w:cstheme="minorHAnsi"/>
                <w:color w:val="231F20"/>
                <w:spacing w:val="-26"/>
                <w:w w:val="110"/>
                <w:sz w:val="20"/>
              </w:rPr>
              <w:t xml:space="preserve"> </w:t>
            </w:r>
            <w:r w:rsidRPr="00E06806">
              <w:rPr>
                <w:rFonts w:cstheme="minorHAnsi"/>
                <w:color w:val="231F20"/>
                <w:w w:val="110"/>
                <w:sz w:val="20"/>
              </w:rPr>
              <w:t>(Primary)</w:t>
            </w:r>
            <w:r w:rsidRPr="00E06806">
              <w:rPr>
                <w:rFonts w:cstheme="minorHAnsi"/>
                <w:color w:val="231F20"/>
                <w:spacing w:val="-26"/>
                <w:w w:val="110"/>
                <w:sz w:val="20"/>
              </w:rPr>
              <w:t xml:space="preserve"> </w:t>
            </w:r>
          </w:p>
          <w:p w14:paraId="0896CCAE" w14:textId="65EE07B2" w:rsidR="007F1A43" w:rsidRPr="00E06806" w:rsidRDefault="007F1A43" w:rsidP="007F1A43">
            <w:pPr>
              <w:widowControl w:val="0"/>
              <w:spacing w:before="87" w:after="0" w:line="240" w:lineRule="auto"/>
              <w:ind w:left="107"/>
              <w:rPr>
                <w:rFonts w:cstheme="minorHAnsi"/>
                <w:sz w:val="20"/>
                <w:szCs w:val="20"/>
              </w:rPr>
            </w:pPr>
            <w:r w:rsidRPr="00E06806">
              <w:rPr>
                <w:rFonts w:cstheme="minorHAnsi"/>
                <w:color w:val="231F20"/>
                <w:w w:val="110"/>
                <w:sz w:val="20"/>
              </w:rPr>
              <w:t>(RSA</w:t>
            </w:r>
            <w:r w:rsidRPr="00E06806">
              <w:rPr>
                <w:rFonts w:cstheme="minorHAnsi"/>
                <w:color w:val="231F20"/>
                <w:spacing w:val="-26"/>
                <w:w w:val="110"/>
                <w:sz w:val="20"/>
              </w:rPr>
              <w:t xml:space="preserve"> </w:t>
            </w:r>
            <w:r w:rsidRPr="00E06806">
              <w:rPr>
                <w:rFonts w:cstheme="minorHAnsi"/>
                <w:color w:val="231F20"/>
                <w:spacing w:val="-3"/>
                <w:w w:val="110"/>
                <w:sz w:val="20"/>
              </w:rPr>
              <w:t>Target:</w:t>
            </w:r>
            <w:r w:rsidRPr="00E06806">
              <w:rPr>
                <w:rFonts w:cstheme="minorHAnsi"/>
                <w:color w:val="231F20"/>
                <w:spacing w:val="-26"/>
                <w:w w:val="110"/>
                <w:sz w:val="20"/>
              </w:rPr>
              <w:t xml:space="preserve"> </w:t>
            </w:r>
            <w:r w:rsidRPr="00E06806">
              <w:rPr>
                <w:rFonts w:cstheme="minorHAnsi"/>
                <w:color w:val="231F20"/>
                <w:w w:val="110"/>
                <w:sz w:val="20"/>
              </w:rPr>
              <w:t>52%)</w:t>
            </w:r>
          </w:p>
        </w:tc>
        <w:tc>
          <w:tcPr>
            <w:tcW w:w="2430" w:type="dxa"/>
            <w:tcBorders>
              <w:top w:val="single" w:sz="2" w:space="0" w:color="231F20"/>
              <w:left w:val="single" w:sz="2" w:space="0" w:color="231F20"/>
              <w:bottom w:val="single" w:sz="2" w:space="0" w:color="231F20"/>
              <w:right w:val="single" w:sz="2" w:space="0" w:color="231F20"/>
            </w:tcBorders>
            <w:shd w:val="clear" w:color="auto" w:fill="E6E7E8"/>
            <w:vAlign w:val="center"/>
          </w:tcPr>
          <w:p w14:paraId="1C36F07A" w14:textId="77777777" w:rsidR="007F1A43" w:rsidRPr="00E06806" w:rsidRDefault="007F1A43" w:rsidP="00D63204">
            <w:pPr>
              <w:widowControl w:val="0"/>
              <w:spacing w:before="87" w:after="0" w:line="240" w:lineRule="auto"/>
              <w:ind w:left="107"/>
              <w:rPr>
                <w:rFonts w:cstheme="minorHAnsi"/>
                <w:color w:val="231F20"/>
                <w:w w:val="105"/>
                <w:sz w:val="20"/>
              </w:rPr>
            </w:pPr>
            <w:r>
              <w:rPr>
                <w:rFonts w:cstheme="minorHAnsi"/>
                <w:color w:val="231F20"/>
                <w:w w:val="105"/>
                <w:sz w:val="20"/>
              </w:rPr>
              <w:t>55%</w:t>
            </w:r>
          </w:p>
        </w:tc>
        <w:tc>
          <w:tcPr>
            <w:tcW w:w="2430" w:type="dxa"/>
            <w:tcBorders>
              <w:top w:val="single" w:sz="2" w:space="0" w:color="231F20"/>
              <w:left w:val="single" w:sz="2" w:space="0" w:color="231F20"/>
              <w:bottom w:val="single" w:sz="2" w:space="0" w:color="231F20"/>
              <w:right w:val="single" w:sz="2" w:space="0" w:color="231F20"/>
            </w:tcBorders>
            <w:shd w:val="clear" w:color="auto" w:fill="E6E7E8"/>
            <w:vAlign w:val="center"/>
          </w:tcPr>
          <w:p w14:paraId="02B433D1" w14:textId="3AE64789" w:rsidR="007F1A43" w:rsidRPr="00E06806" w:rsidRDefault="007F1A43" w:rsidP="00D63204">
            <w:pPr>
              <w:widowControl w:val="0"/>
              <w:spacing w:before="87" w:after="0" w:line="240" w:lineRule="auto"/>
              <w:ind w:left="107"/>
              <w:rPr>
                <w:rFonts w:cstheme="minorHAnsi"/>
                <w:sz w:val="20"/>
                <w:szCs w:val="20"/>
              </w:rPr>
            </w:pPr>
            <w:r w:rsidRPr="00E06806">
              <w:rPr>
                <w:rFonts w:cstheme="minorHAnsi"/>
                <w:color w:val="231F20"/>
                <w:w w:val="105"/>
                <w:sz w:val="20"/>
              </w:rPr>
              <w:t>5</w:t>
            </w:r>
            <w:r>
              <w:rPr>
                <w:rFonts w:cstheme="minorHAnsi"/>
                <w:color w:val="231F20"/>
                <w:w w:val="105"/>
                <w:sz w:val="20"/>
              </w:rPr>
              <w:t>3</w:t>
            </w:r>
            <w:r w:rsidRPr="00E06806">
              <w:rPr>
                <w:rFonts w:cstheme="minorHAnsi"/>
                <w:color w:val="231F20"/>
                <w:w w:val="105"/>
                <w:sz w:val="20"/>
              </w:rPr>
              <w:t>%</w:t>
            </w:r>
          </w:p>
        </w:tc>
      </w:tr>
      <w:tr w:rsidR="007F1A43" w:rsidRPr="00E06806" w14:paraId="40294449" w14:textId="77777777" w:rsidTr="007F1A43">
        <w:trPr>
          <w:trHeight w:hRule="exact" w:val="635"/>
        </w:trPr>
        <w:tc>
          <w:tcPr>
            <w:tcW w:w="5748" w:type="dxa"/>
            <w:tcBorders>
              <w:top w:val="single" w:sz="2" w:space="0" w:color="231F20"/>
              <w:left w:val="single" w:sz="2" w:space="0" w:color="231F20"/>
              <w:bottom w:val="single" w:sz="2" w:space="0" w:color="231F20"/>
              <w:right w:val="single" w:sz="2" w:space="0" w:color="231F20"/>
            </w:tcBorders>
            <w:vAlign w:val="center"/>
          </w:tcPr>
          <w:p w14:paraId="770399DA" w14:textId="77777777" w:rsidR="007F1A43" w:rsidRDefault="007F1A43" w:rsidP="007F1A43">
            <w:pPr>
              <w:widowControl w:val="0"/>
              <w:spacing w:before="52" w:after="0" w:line="240" w:lineRule="auto"/>
              <w:ind w:left="107"/>
              <w:rPr>
                <w:rFonts w:cstheme="minorHAnsi"/>
                <w:color w:val="231F20"/>
                <w:w w:val="105"/>
                <w:sz w:val="20"/>
              </w:rPr>
            </w:pPr>
            <w:r w:rsidRPr="00E06806">
              <w:rPr>
                <w:rFonts w:cstheme="minorHAnsi"/>
                <w:b/>
                <w:color w:val="231F20"/>
                <w:w w:val="105"/>
                <w:sz w:val="20"/>
              </w:rPr>
              <w:t>Indicator 1.6</w:t>
            </w:r>
            <w:r w:rsidRPr="00E06806">
              <w:rPr>
                <w:rFonts w:cstheme="minorHAnsi"/>
                <w:color w:val="231F20"/>
                <w:w w:val="105"/>
                <w:sz w:val="20"/>
              </w:rPr>
              <w:t xml:space="preserve">: Self-Support </w:t>
            </w:r>
          </w:p>
          <w:p w14:paraId="3A42CE5A" w14:textId="02CFBFF4" w:rsidR="007F1A43" w:rsidRPr="00E06806" w:rsidRDefault="007F1A43" w:rsidP="007F1A43">
            <w:pPr>
              <w:widowControl w:val="0"/>
              <w:spacing w:before="52" w:after="0" w:line="240" w:lineRule="auto"/>
              <w:ind w:left="107"/>
              <w:rPr>
                <w:rFonts w:cstheme="minorHAnsi"/>
                <w:sz w:val="20"/>
                <w:szCs w:val="20"/>
              </w:rPr>
            </w:pPr>
            <w:r w:rsidRPr="00E06806">
              <w:rPr>
                <w:rFonts w:cstheme="minorHAnsi"/>
                <w:color w:val="231F20"/>
                <w:w w:val="105"/>
                <w:sz w:val="20"/>
              </w:rPr>
              <w:t xml:space="preserve">(RSA </w:t>
            </w:r>
            <w:r w:rsidRPr="00E06806">
              <w:rPr>
                <w:rFonts w:cstheme="minorHAnsi"/>
                <w:color w:val="231F20"/>
                <w:spacing w:val="-3"/>
                <w:w w:val="105"/>
                <w:sz w:val="20"/>
              </w:rPr>
              <w:t xml:space="preserve">Target: </w:t>
            </w:r>
            <w:r w:rsidRPr="00E06806">
              <w:rPr>
                <w:rFonts w:cstheme="minorHAnsi"/>
                <w:color w:val="231F20"/>
                <w:spacing w:val="23"/>
                <w:w w:val="105"/>
                <w:sz w:val="20"/>
              </w:rPr>
              <w:t xml:space="preserve"> </w:t>
            </w:r>
            <w:r w:rsidRPr="00E06806">
              <w:rPr>
                <w:rFonts w:cstheme="minorHAnsi"/>
                <w:color w:val="231F20"/>
                <w:w w:val="105"/>
                <w:sz w:val="20"/>
              </w:rPr>
              <w:t>53%)</w:t>
            </w:r>
          </w:p>
        </w:tc>
        <w:tc>
          <w:tcPr>
            <w:tcW w:w="2430" w:type="dxa"/>
            <w:tcBorders>
              <w:top w:val="single" w:sz="2" w:space="0" w:color="231F20"/>
              <w:left w:val="single" w:sz="2" w:space="0" w:color="231F20"/>
              <w:bottom w:val="single" w:sz="2" w:space="0" w:color="231F20"/>
              <w:right w:val="single" w:sz="2" w:space="0" w:color="231F20"/>
            </w:tcBorders>
            <w:vAlign w:val="center"/>
          </w:tcPr>
          <w:p w14:paraId="2FF31349" w14:textId="77777777" w:rsidR="007F1A43" w:rsidRPr="00E06806" w:rsidRDefault="007F1A43" w:rsidP="00D63204">
            <w:pPr>
              <w:widowControl w:val="0"/>
              <w:spacing w:before="52" w:after="0" w:line="240" w:lineRule="auto"/>
              <w:ind w:left="107"/>
              <w:rPr>
                <w:rFonts w:cstheme="minorHAnsi"/>
                <w:color w:val="231F20"/>
                <w:w w:val="105"/>
                <w:sz w:val="20"/>
              </w:rPr>
            </w:pPr>
            <w:r>
              <w:rPr>
                <w:rFonts w:cstheme="minorHAnsi"/>
                <w:color w:val="231F20"/>
                <w:w w:val="105"/>
                <w:sz w:val="20"/>
              </w:rPr>
              <w:t>54.53%</w:t>
            </w:r>
          </w:p>
        </w:tc>
        <w:tc>
          <w:tcPr>
            <w:tcW w:w="2430" w:type="dxa"/>
            <w:tcBorders>
              <w:top w:val="single" w:sz="2" w:space="0" w:color="231F20"/>
              <w:left w:val="single" w:sz="2" w:space="0" w:color="231F20"/>
              <w:bottom w:val="single" w:sz="2" w:space="0" w:color="231F20"/>
              <w:right w:val="single" w:sz="2" w:space="0" w:color="231F20"/>
            </w:tcBorders>
            <w:vAlign w:val="center"/>
          </w:tcPr>
          <w:p w14:paraId="1B37A107" w14:textId="248172BE" w:rsidR="007F1A43" w:rsidRPr="00E06806" w:rsidRDefault="007F1A43" w:rsidP="00D63204">
            <w:pPr>
              <w:widowControl w:val="0"/>
              <w:spacing w:before="52" w:after="0" w:line="240" w:lineRule="auto"/>
              <w:ind w:left="107"/>
              <w:rPr>
                <w:rFonts w:cstheme="minorHAnsi"/>
                <w:sz w:val="20"/>
                <w:szCs w:val="20"/>
              </w:rPr>
            </w:pPr>
            <w:r w:rsidRPr="00E06806">
              <w:rPr>
                <w:rFonts w:cstheme="minorHAnsi"/>
                <w:color w:val="231F20"/>
                <w:w w:val="105"/>
                <w:sz w:val="20"/>
              </w:rPr>
              <w:t>6</w:t>
            </w:r>
            <w:r>
              <w:rPr>
                <w:rFonts w:cstheme="minorHAnsi"/>
                <w:color w:val="231F20"/>
                <w:w w:val="105"/>
                <w:sz w:val="20"/>
              </w:rPr>
              <w:t>0</w:t>
            </w:r>
            <w:r w:rsidRPr="00E06806">
              <w:rPr>
                <w:rFonts w:cstheme="minorHAnsi"/>
                <w:color w:val="231F20"/>
                <w:w w:val="105"/>
                <w:sz w:val="20"/>
              </w:rPr>
              <w:t>.</w:t>
            </w:r>
            <w:r>
              <w:rPr>
                <w:rFonts w:cstheme="minorHAnsi"/>
                <w:color w:val="231F20"/>
                <w:w w:val="105"/>
                <w:sz w:val="20"/>
              </w:rPr>
              <w:t>2</w:t>
            </w:r>
            <w:r w:rsidRPr="00E06806">
              <w:rPr>
                <w:rFonts w:cstheme="minorHAnsi"/>
                <w:color w:val="231F20"/>
                <w:w w:val="105"/>
                <w:sz w:val="20"/>
              </w:rPr>
              <w:t>%</w:t>
            </w:r>
          </w:p>
        </w:tc>
      </w:tr>
      <w:tr w:rsidR="007F1A43" w:rsidRPr="00E06806" w14:paraId="397E788F" w14:textId="77777777" w:rsidTr="007F1A43">
        <w:trPr>
          <w:trHeight w:hRule="exact" w:val="702"/>
        </w:trPr>
        <w:tc>
          <w:tcPr>
            <w:tcW w:w="5748" w:type="dxa"/>
            <w:tcBorders>
              <w:top w:val="single" w:sz="2" w:space="0" w:color="231F20"/>
              <w:left w:val="single" w:sz="2" w:space="0" w:color="231F20"/>
              <w:bottom w:val="single" w:sz="2" w:space="0" w:color="231F20"/>
              <w:right w:val="single" w:sz="2" w:space="0" w:color="231F20"/>
            </w:tcBorders>
            <w:shd w:val="clear" w:color="auto" w:fill="E6E7E8"/>
            <w:vAlign w:val="center"/>
          </w:tcPr>
          <w:p w14:paraId="62030A6D" w14:textId="77777777" w:rsidR="007F1A43" w:rsidRDefault="007F1A43" w:rsidP="007F1A43">
            <w:pPr>
              <w:widowControl w:val="0"/>
              <w:spacing w:before="74" w:after="0" w:line="240" w:lineRule="exact"/>
              <w:ind w:left="107"/>
              <w:rPr>
                <w:rFonts w:cstheme="minorHAnsi"/>
                <w:color w:val="231F20"/>
                <w:w w:val="105"/>
                <w:sz w:val="20"/>
              </w:rPr>
            </w:pPr>
            <w:r w:rsidRPr="00E06806">
              <w:rPr>
                <w:rFonts w:cstheme="minorHAnsi"/>
                <w:b/>
                <w:color w:val="231F20"/>
                <w:w w:val="105"/>
                <w:sz w:val="20"/>
              </w:rPr>
              <w:t xml:space="preserve">Indicator </w:t>
            </w:r>
            <w:r w:rsidRPr="00E06806">
              <w:rPr>
                <w:rFonts w:cstheme="minorHAnsi"/>
                <w:b/>
                <w:color w:val="231F20"/>
                <w:spacing w:val="-5"/>
                <w:w w:val="105"/>
                <w:sz w:val="20"/>
              </w:rPr>
              <w:t>2.1</w:t>
            </w:r>
            <w:r w:rsidRPr="00E06806">
              <w:rPr>
                <w:rFonts w:cstheme="minorHAnsi"/>
                <w:color w:val="231F20"/>
                <w:spacing w:val="-5"/>
                <w:w w:val="105"/>
                <w:sz w:val="20"/>
              </w:rPr>
              <w:t xml:space="preserve">: </w:t>
            </w:r>
            <w:r w:rsidRPr="00E06806">
              <w:rPr>
                <w:rFonts w:cstheme="minorHAnsi"/>
                <w:color w:val="231F20"/>
                <w:w w:val="105"/>
                <w:sz w:val="20"/>
              </w:rPr>
              <w:t>Ratio of Minority to Non-Minority Service</w:t>
            </w:r>
            <w:r w:rsidRPr="00E06806">
              <w:rPr>
                <w:rFonts w:cstheme="minorHAnsi"/>
                <w:color w:val="231F20"/>
                <w:spacing w:val="-12"/>
                <w:w w:val="105"/>
                <w:sz w:val="20"/>
              </w:rPr>
              <w:t xml:space="preserve"> </w:t>
            </w:r>
            <w:r w:rsidRPr="00E06806">
              <w:rPr>
                <w:rFonts w:cstheme="minorHAnsi"/>
                <w:color w:val="231F20"/>
                <w:w w:val="105"/>
                <w:sz w:val="20"/>
              </w:rPr>
              <w:t xml:space="preserve">Rate </w:t>
            </w:r>
          </w:p>
          <w:p w14:paraId="0A2D8DF2" w14:textId="11C8DE40" w:rsidR="007F1A43" w:rsidRPr="00E06806" w:rsidRDefault="007F1A43" w:rsidP="007F1A43">
            <w:pPr>
              <w:widowControl w:val="0"/>
              <w:spacing w:before="74" w:after="0" w:line="240" w:lineRule="exact"/>
              <w:ind w:left="107"/>
              <w:rPr>
                <w:rFonts w:cstheme="minorHAnsi"/>
                <w:sz w:val="20"/>
                <w:szCs w:val="20"/>
              </w:rPr>
            </w:pPr>
            <w:r w:rsidRPr="00E06806">
              <w:rPr>
                <w:rFonts w:cstheme="minorHAnsi"/>
                <w:color w:val="231F20"/>
                <w:w w:val="105"/>
                <w:sz w:val="20"/>
              </w:rPr>
              <w:t xml:space="preserve">(RSA </w:t>
            </w:r>
            <w:r w:rsidRPr="00E06806">
              <w:rPr>
                <w:rFonts w:cstheme="minorHAnsi"/>
                <w:color w:val="231F20"/>
                <w:spacing w:val="-3"/>
                <w:w w:val="105"/>
                <w:sz w:val="20"/>
              </w:rPr>
              <w:t>Target:</w:t>
            </w:r>
            <w:r w:rsidRPr="00E06806">
              <w:rPr>
                <w:rFonts w:cstheme="minorHAnsi"/>
                <w:color w:val="231F20"/>
                <w:spacing w:val="3"/>
                <w:w w:val="105"/>
                <w:sz w:val="20"/>
              </w:rPr>
              <w:t xml:space="preserve"> </w:t>
            </w:r>
            <w:r w:rsidRPr="00E06806">
              <w:rPr>
                <w:rFonts w:cstheme="minorHAnsi"/>
                <w:color w:val="231F20"/>
                <w:w w:val="105"/>
                <w:sz w:val="20"/>
              </w:rPr>
              <w:t>80%)</w:t>
            </w:r>
          </w:p>
        </w:tc>
        <w:tc>
          <w:tcPr>
            <w:tcW w:w="2430" w:type="dxa"/>
            <w:tcBorders>
              <w:top w:val="single" w:sz="2" w:space="0" w:color="231F20"/>
              <w:left w:val="single" w:sz="2" w:space="0" w:color="231F20"/>
              <w:bottom w:val="single" w:sz="2" w:space="0" w:color="231F20"/>
              <w:right w:val="single" w:sz="2" w:space="0" w:color="231F20"/>
            </w:tcBorders>
            <w:shd w:val="clear" w:color="auto" w:fill="E6E7E8"/>
            <w:vAlign w:val="center"/>
          </w:tcPr>
          <w:p w14:paraId="10AB4632" w14:textId="77777777" w:rsidR="007F1A43" w:rsidRPr="00E06806" w:rsidRDefault="007F1A43" w:rsidP="00D63204">
            <w:pPr>
              <w:widowControl w:val="0"/>
              <w:spacing w:before="1" w:after="0" w:line="240" w:lineRule="auto"/>
              <w:ind w:left="107"/>
              <w:rPr>
                <w:rFonts w:cstheme="minorHAnsi"/>
                <w:b/>
                <w:bCs/>
                <w:sz w:val="16"/>
                <w:szCs w:val="16"/>
              </w:rPr>
            </w:pPr>
            <w:r w:rsidRPr="009A5912">
              <w:rPr>
                <w:rFonts w:cstheme="minorHAnsi"/>
                <w:bCs/>
                <w:sz w:val="20"/>
                <w:szCs w:val="16"/>
              </w:rPr>
              <w:t>94</w:t>
            </w:r>
            <w:r>
              <w:rPr>
                <w:rFonts w:cstheme="minorHAnsi"/>
                <w:b/>
                <w:bCs/>
                <w:sz w:val="16"/>
                <w:szCs w:val="16"/>
              </w:rPr>
              <w:t>%</w:t>
            </w:r>
          </w:p>
        </w:tc>
        <w:tc>
          <w:tcPr>
            <w:tcW w:w="2430" w:type="dxa"/>
            <w:tcBorders>
              <w:top w:val="single" w:sz="2" w:space="0" w:color="231F20"/>
              <w:left w:val="single" w:sz="2" w:space="0" w:color="231F20"/>
              <w:bottom w:val="single" w:sz="2" w:space="0" w:color="231F20"/>
              <w:right w:val="single" w:sz="2" w:space="0" w:color="231F20"/>
            </w:tcBorders>
            <w:shd w:val="clear" w:color="auto" w:fill="E6E7E8"/>
            <w:vAlign w:val="center"/>
          </w:tcPr>
          <w:p w14:paraId="621853C0" w14:textId="77777777" w:rsidR="007F1A43" w:rsidRPr="00E06806" w:rsidRDefault="007F1A43" w:rsidP="00D63204">
            <w:pPr>
              <w:widowControl w:val="0"/>
              <w:spacing w:before="1" w:after="0" w:line="240" w:lineRule="auto"/>
              <w:ind w:left="107"/>
              <w:rPr>
                <w:rFonts w:cstheme="minorHAnsi"/>
                <w:b/>
                <w:bCs/>
                <w:sz w:val="16"/>
                <w:szCs w:val="16"/>
              </w:rPr>
            </w:pPr>
          </w:p>
          <w:p w14:paraId="379DBD93" w14:textId="5A51E383" w:rsidR="007F1A43" w:rsidRPr="00E06806" w:rsidRDefault="007F1A43" w:rsidP="00D63204">
            <w:pPr>
              <w:widowControl w:val="0"/>
              <w:spacing w:after="0" w:line="240" w:lineRule="auto"/>
              <w:ind w:left="107"/>
              <w:rPr>
                <w:rFonts w:cstheme="minorHAnsi"/>
                <w:sz w:val="20"/>
                <w:szCs w:val="20"/>
              </w:rPr>
            </w:pPr>
            <w:r w:rsidRPr="00E06806">
              <w:rPr>
                <w:rFonts w:cstheme="minorHAnsi"/>
                <w:color w:val="231F20"/>
                <w:w w:val="110"/>
                <w:sz w:val="20"/>
              </w:rPr>
              <w:t>9</w:t>
            </w:r>
            <w:r>
              <w:rPr>
                <w:rFonts w:cstheme="minorHAnsi"/>
                <w:color w:val="231F20"/>
                <w:w w:val="110"/>
                <w:sz w:val="20"/>
              </w:rPr>
              <w:t>5</w:t>
            </w:r>
            <w:r w:rsidRPr="00E06806">
              <w:rPr>
                <w:rFonts w:cstheme="minorHAnsi"/>
                <w:color w:val="231F20"/>
                <w:w w:val="110"/>
                <w:sz w:val="20"/>
              </w:rPr>
              <w:t>%</w:t>
            </w:r>
          </w:p>
        </w:tc>
      </w:tr>
    </w:tbl>
    <w:p w14:paraId="20785D4D" w14:textId="77777777" w:rsidR="00664EFD" w:rsidRPr="00E06806" w:rsidRDefault="00664EFD" w:rsidP="00D63204">
      <w:pPr>
        <w:widowControl w:val="0"/>
        <w:spacing w:after="0" w:line="266" w:lineRule="exact"/>
        <w:ind w:left="107"/>
        <w:rPr>
          <w:rFonts w:cstheme="minorHAnsi"/>
        </w:rPr>
      </w:pPr>
    </w:p>
    <w:p w14:paraId="02EA9BD2" w14:textId="77777777" w:rsidR="00EA7458" w:rsidRPr="00E06806" w:rsidRDefault="00EA7458" w:rsidP="00D63204">
      <w:pPr>
        <w:widowControl w:val="0"/>
        <w:spacing w:before="1" w:after="0" w:line="240" w:lineRule="auto"/>
        <w:ind w:left="107"/>
        <w:rPr>
          <w:rFonts w:cstheme="minorHAnsi"/>
          <w:b/>
          <w:bCs/>
          <w:sz w:val="18"/>
          <w:szCs w:val="18"/>
        </w:rPr>
      </w:pPr>
    </w:p>
    <w:p w14:paraId="7ABBA785" w14:textId="77777777" w:rsidR="00EA7458" w:rsidRPr="00E06806" w:rsidRDefault="00EA7458" w:rsidP="00D63204">
      <w:pPr>
        <w:widowControl w:val="0"/>
        <w:spacing w:after="0" w:line="240" w:lineRule="auto"/>
        <w:ind w:left="107"/>
        <w:rPr>
          <w:rFonts w:cstheme="minorHAnsi"/>
          <w:sz w:val="20"/>
          <w:szCs w:val="20"/>
        </w:rPr>
        <w:sectPr w:rsidR="00EA7458" w:rsidRPr="00E06806">
          <w:footerReference w:type="default" r:id="rId127"/>
          <w:pgSz w:w="12240" w:h="15840"/>
          <w:pgMar w:top="1620" w:right="900" w:bottom="820" w:left="900" w:header="812" w:footer="624" w:gutter="0"/>
          <w:cols w:space="720"/>
        </w:sectPr>
      </w:pPr>
    </w:p>
    <w:p w14:paraId="0C1691CE" w14:textId="77777777" w:rsidR="00EA7458" w:rsidRPr="00E06806" w:rsidRDefault="00EA7458" w:rsidP="00D63204">
      <w:pPr>
        <w:widowControl w:val="0"/>
        <w:spacing w:before="4" w:after="0" w:line="240" w:lineRule="auto"/>
        <w:ind w:left="107"/>
        <w:rPr>
          <w:rFonts w:cstheme="minorHAnsi"/>
          <w:b/>
          <w:bCs/>
          <w:sz w:val="14"/>
          <w:szCs w:val="14"/>
        </w:rPr>
      </w:pPr>
    </w:p>
    <w:p w14:paraId="58E4424F" w14:textId="5110004E" w:rsidR="00EA7458" w:rsidRPr="001D1219" w:rsidRDefault="00EA7458" w:rsidP="00D63204">
      <w:pPr>
        <w:widowControl w:val="0"/>
        <w:spacing w:before="63" w:after="0" w:line="240" w:lineRule="auto"/>
        <w:ind w:left="107"/>
        <w:outlineLvl w:val="3"/>
        <w:rPr>
          <w:rFonts w:cstheme="minorHAnsi"/>
        </w:rPr>
      </w:pPr>
      <w:r w:rsidRPr="001D1219">
        <w:rPr>
          <w:rFonts w:cstheme="minorHAnsi"/>
          <w:b/>
          <w:bCs/>
          <w:color w:val="231F20"/>
          <w:w w:val="105"/>
        </w:rPr>
        <w:t>Division of Blind</w:t>
      </w:r>
      <w:r w:rsidRPr="001D1219">
        <w:rPr>
          <w:rFonts w:cstheme="minorHAnsi"/>
          <w:b/>
          <w:bCs/>
          <w:color w:val="231F20"/>
          <w:spacing w:val="-10"/>
          <w:w w:val="105"/>
        </w:rPr>
        <w:t xml:space="preserve"> </w:t>
      </w:r>
      <w:r w:rsidRPr="001D1219">
        <w:rPr>
          <w:rFonts w:cstheme="minorHAnsi"/>
          <w:b/>
          <w:bCs/>
          <w:color w:val="231F20"/>
          <w:w w:val="105"/>
        </w:rPr>
        <w:t>Services</w:t>
      </w:r>
      <w:r w:rsidR="00B5701D" w:rsidRPr="001D1219">
        <w:rPr>
          <w:rFonts w:cstheme="minorHAnsi"/>
          <w:b/>
          <w:bCs/>
          <w:color w:val="231F20"/>
          <w:w w:val="105"/>
        </w:rPr>
        <w:t xml:space="preserve"> </w:t>
      </w:r>
    </w:p>
    <w:p w14:paraId="47D0AC90" w14:textId="77777777" w:rsidR="00EA7458" w:rsidRPr="00E06806" w:rsidRDefault="00EA7458" w:rsidP="00D63204">
      <w:pPr>
        <w:widowControl w:val="0"/>
        <w:spacing w:after="0" w:line="240" w:lineRule="auto"/>
        <w:ind w:left="107"/>
        <w:rPr>
          <w:rFonts w:cstheme="minorHAnsi"/>
        </w:rPr>
      </w:pPr>
      <w:r w:rsidRPr="00E06806">
        <w:rPr>
          <w:rFonts w:cstheme="minorHAnsi"/>
          <w:color w:val="231F20"/>
          <w:w w:val="105"/>
        </w:rPr>
        <w:t>FDBS</w:t>
      </w:r>
      <w:r w:rsidRPr="00E06806">
        <w:rPr>
          <w:rFonts w:cstheme="minorHAnsi"/>
          <w:color w:val="231F20"/>
          <w:spacing w:val="24"/>
          <w:w w:val="105"/>
        </w:rPr>
        <w:t xml:space="preserve"> </w:t>
      </w:r>
      <w:r w:rsidRPr="00E06806">
        <w:rPr>
          <w:rFonts w:cstheme="minorHAnsi"/>
          <w:color w:val="231F20"/>
          <w:w w:val="105"/>
        </w:rPr>
        <w:t>contracted</w:t>
      </w:r>
      <w:r w:rsidRPr="00E06806">
        <w:rPr>
          <w:rFonts w:cstheme="minorHAnsi"/>
          <w:color w:val="231F20"/>
          <w:spacing w:val="24"/>
          <w:w w:val="105"/>
        </w:rPr>
        <w:t xml:space="preserve"> </w:t>
      </w:r>
      <w:r w:rsidRPr="00E06806">
        <w:rPr>
          <w:rFonts w:cstheme="minorHAnsi"/>
          <w:color w:val="231F20"/>
          <w:w w:val="105"/>
        </w:rPr>
        <w:t>with</w:t>
      </w:r>
      <w:r w:rsidRPr="00E06806">
        <w:rPr>
          <w:rFonts w:cstheme="minorHAnsi"/>
          <w:color w:val="231F20"/>
          <w:spacing w:val="24"/>
          <w:w w:val="105"/>
        </w:rPr>
        <w:t xml:space="preserve"> </w:t>
      </w:r>
      <w:r w:rsidRPr="00E06806">
        <w:rPr>
          <w:rFonts w:cstheme="minorHAnsi"/>
          <w:color w:val="231F20"/>
          <w:w w:val="105"/>
        </w:rPr>
        <w:t>Mississippi</w:t>
      </w:r>
      <w:r w:rsidRPr="00E06806">
        <w:rPr>
          <w:rFonts w:cstheme="minorHAnsi"/>
          <w:color w:val="231F20"/>
          <w:spacing w:val="24"/>
          <w:w w:val="105"/>
        </w:rPr>
        <w:t xml:space="preserve"> </w:t>
      </w:r>
      <w:r w:rsidRPr="00E06806">
        <w:rPr>
          <w:rFonts w:cstheme="minorHAnsi"/>
          <w:color w:val="231F20"/>
          <w:w w:val="105"/>
        </w:rPr>
        <w:t>State</w:t>
      </w:r>
      <w:r w:rsidRPr="00E06806">
        <w:rPr>
          <w:rFonts w:cstheme="minorHAnsi"/>
          <w:color w:val="231F20"/>
          <w:spacing w:val="24"/>
          <w:w w:val="105"/>
        </w:rPr>
        <w:t xml:space="preserve"> </w:t>
      </w:r>
      <w:r w:rsidRPr="00E06806">
        <w:rPr>
          <w:rFonts w:cstheme="minorHAnsi"/>
          <w:color w:val="231F20"/>
          <w:w w:val="105"/>
        </w:rPr>
        <w:t>University</w:t>
      </w:r>
      <w:r w:rsidRPr="00E06806">
        <w:rPr>
          <w:rFonts w:cstheme="minorHAnsi"/>
          <w:color w:val="231F20"/>
          <w:spacing w:val="24"/>
          <w:w w:val="105"/>
        </w:rPr>
        <w:t xml:space="preserve"> </w:t>
      </w:r>
      <w:r w:rsidRPr="00E06806">
        <w:rPr>
          <w:rFonts w:cstheme="minorHAnsi"/>
          <w:color w:val="231F20"/>
          <w:w w:val="105"/>
        </w:rPr>
        <w:t>to</w:t>
      </w:r>
      <w:r w:rsidRPr="00E06806">
        <w:rPr>
          <w:rFonts w:cstheme="minorHAnsi"/>
          <w:color w:val="231F20"/>
          <w:spacing w:val="24"/>
          <w:w w:val="105"/>
        </w:rPr>
        <w:t xml:space="preserve"> </w:t>
      </w:r>
      <w:r w:rsidRPr="00E06806">
        <w:rPr>
          <w:rFonts w:cstheme="minorHAnsi"/>
          <w:color w:val="231F20"/>
          <w:w w:val="105"/>
        </w:rPr>
        <w:t>conduct</w:t>
      </w:r>
      <w:r w:rsidRPr="00E06806">
        <w:rPr>
          <w:rFonts w:cstheme="minorHAnsi"/>
          <w:color w:val="231F20"/>
          <w:spacing w:val="24"/>
          <w:w w:val="105"/>
        </w:rPr>
        <w:t xml:space="preserve"> </w:t>
      </w:r>
      <w:r w:rsidRPr="00E06806">
        <w:rPr>
          <w:rFonts w:cstheme="minorHAnsi"/>
          <w:color w:val="231F20"/>
          <w:w w:val="105"/>
        </w:rPr>
        <w:t>a</w:t>
      </w:r>
      <w:r w:rsidRPr="00E06806">
        <w:rPr>
          <w:rFonts w:cstheme="minorHAnsi"/>
          <w:color w:val="231F20"/>
          <w:spacing w:val="24"/>
          <w:w w:val="105"/>
        </w:rPr>
        <w:t xml:space="preserve"> </w:t>
      </w:r>
      <w:r w:rsidRPr="00E06806">
        <w:rPr>
          <w:rFonts w:cstheme="minorHAnsi"/>
          <w:color w:val="231F20"/>
          <w:w w:val="105"/>
        </w:rPr>
        <w:t>needs</w:t>
      </w:r>
      <w:r w:rsidRPr="00E06806">
        <w:rPr>
          <w:rFonts w:cstheme="minorHAnsi"/>
          <w:color w:val="231F20"/>
          <w:spacing w:val="24"/>
          <w:w w:val="105"/>
        </w:rPr>
        <w:t xml:space="preserve"> </w:t>
      </w:r>
      <w:r w:rsidRPr="00E06806">
        <w:rPr>
          <w:rFonts w:cstheme="minorHAnsi"/>
          <w:color w:val="231F20"/>
          <w:w w:val="105"/>
        </w:rPr>
        <w:t>assessment.</w:t>
      </w:r>
      <w:r w:rsidRPr="00E06806">
        <w:rPr>
          <w:rFonts w:cstheme="minorHAnsi"/>
          <w:color w:val="231F20"/>
          <w:spacing w:val="48"/>
          <w:w w:val="105"/>
        </w:rPr>
        <w:t xml:space="preserve"> </w:t>
      </w:r>
      <w:r w:rsidRPr="00E06806">
        <w:rPr>
          <w:rFonts w:cstheme="minorHAnsi"/>
          <w:color w:val="231F20"/>
          <w:w w:val="105"/>
        </w:rPr>
        <w:t>The</w:t>
      </w:r>
      <w:r w:rsidRPr="00E06806">
        <w:rPr>
          <w:rFonts w:cstheme="minorHAnsi"/>
          <w:color w:val="231F20"/>
          <w:spacing w:val="24"/>
          <w:w w:val="105"/>
        </w:rPr>
        <w:t xml:space="preserve"> </w:t>
      </w:r>
      <w:r w:rsidRPr="00E06806">
        <w:rPr>
          <w:rFonts w:cstheme="minorHAnsi"/>
          <w:color w:val="231F20"/>
          <w:w w:val="105"/>
        </w:rPr>
        <w:t>assessment</w:t>
      </w:r>
      <w:r w:rsidRPr="00E06806">
        <w:rPr>
          <w:rFonts w:cstheme="minorHAnsi"/>
          <w:color w:val="231F20"/>
          <w:w w:val="109"/>
        </w:rPr>
        <w:t xml:space="preserve"> </w:t>
      </w:r>
      <w:r w:rsidRPr="00E06806">
        <w:rPr>
          <w:rFonts w:cstheme="minorHAnsi"/>
          <w:color w:val="231F20"/>
          <w:w w:val="105"/>
        </w:rPr>
        <w:t>revealed the following areas of need related to the workforce system:</w:t>
      </w:r>
    </w:p>
    <w:p w14:paraId="2B78DE50" w14:textId="77777777" w:rsidR="00EA7458" w:rsidRPr="00E06806" w:rsidRDefault="00EA7458" w:rsidP="00D63204">
      <w:pPr>
        <w:widowControl w:val="0"/>
        <w:spacing w:before="6" w:after="0" w:line="240" w:lineRule="auto"/>
        <w:ind w:left="107"/>
        <w:rPr>
          <w:rFonts w:cstheme="minorHAnsi"/>
          <w:sz w:val="16"/>
          <w:szCs w:val="16"/>
        </w:rPr>
      </w:pPr>
    </w:p>
    <w:p w14:paraId="56F58046" w14:textId="1EE04FC9" w:rsidR="00EA7458" w:rsidRPr="001D1219" w:rsidRDefault="00EA7458" w:rsidP="00D63204">
      <w:pPr>
        <w:pStyle w:val="ListParagraph"/>
        <w:widowControl w:val="0"/>
        <w:numPr>
          <w:ilvl w:val="0"/>
          <w:numId w:val="30"/>
        </w:numPr>
        <w:tabs>
          <w:tab w:val="left" w:pos="828"/>
        </w:tabs>
        <w:spacing w:after="0" w:line="240" w:lineRule="auto"/>
        <w:rPr>
          <w:rFonts w:cstheme="minorHAnsi"/>
        </w:rPr>
      </w:pPr>
      <w:r w:rsidRPr="001D1219">
        <w:rPr>
          <w:rFonts w:cstheme="minorHAnsi"/>
          <w:color w:val="231F20"/>
          <w:w w:val="105"/>
        </w:rPr>
        <w:t>Develop and strengthen employer</w:t>
      </w:r>
      <w:r w:rsidRPr="001D1219">
        <w:rPr>
          <w:rFonts w:cstheme="minorHAnsi"/>
          <w:color w:val="231F20"/>
          <w:spacing w:val="28"/>
          <w:w w:val="105"/>
        </w:rPr>
        <w:t xml:space="preserve"> </w:t>
      </w:r>
      <w:r w:rsidRPr="001D1219">
        <w:rPr>
          <w:rFonts w:cstheme="minorHAnsi"/>
          <w:color w:val="231F20"/>
          <w:w w:val="105"/>
        </w:rPr>
        <w:t>relationships.</w:t>
      </w:r>
    </w:p>
    <w:p w14:paraId="003B9C86" w14:textId="77777777" w:rsidR="001D1219" w:rsidRPr="001D1219" w:rsidRDefault="001D1219" w:rsidP="00D63204">
      <w:pPr>
        <w:pStyle w:val="ListParagraph"/>
        <w:widowControl w:val="0"/>
        <w:tabs>
          <w:tab w:val="left" w:pos="828"/>
        </w:tabs>
        <w:spacing w:after="0" w:line="240" w:lineRule="auto"/>
        <w:ind w:left="827"/>
        <w:rPr>
          <w:rFonts w:cstheme="minorHAnsi"/>
        </w:rPr>
      </w:pPr>
    </w:p>
    <w:p w14:paraId="2346D5C6" w14:textId="0D06B19E" w:rsidR="00EA7458" w:rsidRPr="001D1219" w:rsidRDefault="00EA7458" w:rsidP="00D63204">
      <w:pPr>
        <w:pStyle w:val="ListParagraph"/>
        <w:widowControl w:val="0"/>
        <w:numPr>
          <w:ilvl w:val="0"/>
          <w:numId w:val="30"/>
        </w:numPr>
        <w:tabs>
          <w:tab w:val="left" w:pos="828"/>
        </w:tabs>
        <w:spacing w:before="193" w:after="0" w:line="240" w:lineRule="auto"/>
        <w:rPr>
          <w:rFonts w:cstheme="minorHAnsi"/>
        </w:rPr>
      </w:pPr>
      <w:r w:rsidRPr="001D1219">
        <w:rPr>
          <w:rFonts w:cstheme="minorHAnsi"/>
          <w:color w:val="231F20"/>
          <w:w w:val="105"/>
        </w:rPr>
        <w:t>Expand services to Hispanic/Latino, African American, American Indian and other populations</w:t>
      </w:r>
      <w:r w:rsidRPr="001D1219">
        <w:rPr>
          <w:rFonts w:cstheme="minorHAnsi"/>
          <w:color w:val="231F20"/>
          <w:spacing w:val="6"/>
          <w:w w:val="105"/>
        </w:rPr>
        <w:t xml:space="preserve"> </w:t>
      </w:r>
      <w:r w:rsidR="00866E9F">
        <w:rPr>
          <w:rFonts w:cstheme="minorHAnsi"/>
          <w:color w:val="231F20"/>
          <w:w w:val="105"/>
        </w:rPr>
        <w:t xml:space="preserve">who </w:t>
      </w:r>
      <w:r w:rsidR="00866E9F" w:rsidRPr="001D1219">
        <w:rPr>
          <w:rFonts w:cstheme="minorHAnsi"/>
          <w:color w:val="231F20"/>
          <w:w w:val="99"/>
        </w:rPr>
        <w:t>identify</w:t>
      </w:r>
      <w:r w:rsidRPr="001D1219">
        <w:rPr>
          <w:rFonts w:cstheme="minorHAnsi"/>
          <w:color w:val="231F20"/>
          <w:w w:val="105"/>
        </w:rPr>
        <w:t xml:space="preserve"> themselves as multiple</w:t>
      </w:r>
      <w:r w:rsidRPr="001D1219">
        <w:rPr>
          <w:rFonts w:cstheme="minorHAnsi"/>
          <w:color w:val="231F20"/>
          <w:spacing w:val="19"/>
          <w:w w:val="105"/>
        </w:rPr>
        <w:t xml:space="preserve"> </w:t>
      </w:r>
      <w:r w:rsidRPr="001D1219">
        <w:rPr>
          <w:rFonts w:cstheme="minorHAnsi"/>
          <w:color w:val="231F20"/>
          <w:w w:val="105"/>
        </w:rPr>
        <w:t>races.</w:t>
      </w:r>
    </w:p>
    <w:p w14:paraId="6F83C652" w14:textId="77777777" w:rsidR="00EA7458" w:rsidRPr="00E06806" w:rsidRDefault="00EA7458" w:rsidP="00D63204">
      <w:pPr>
        <w:widowControl w:val="0"/>
        <w:spacing w:before="5" w:after="0" w:line="240" w:lineRule="auto"/>
        <w:ind w:left="107"/>
        <w:rPr>
          <w:rFonts w:cstheme="minorHAnsi"/>
          <w:sz w:val="16"/>
          <w:szCs w:val="16"/>
        </w:rPr>
      </w:pPr>
    </w:p>
    <w:p w14:paraId="2D5C3D3D" w14:textId="280AB210" w:rsidR="00EA7458" w:rsidRPr="001D1219" w:rsidRDefault="00EA7458" w:rsidP="00D63204">
      <w:pPr>
        <w:pStyle w:val="ListParagraph"/>
        <w:widowControl w:val="0"/>
        <w:numPr>
          <w:ilvl w:val="0"/>
          <w:numId w:val="30"/>
        </w:numPr>
        <w:tabs>
          <w:tab w:val="left" w:pos="828"/>
        </w:tabs>
        <w:spacing w:after="0" w:line="240" w:lineRule="auto"/>
        <w:rPr>
          <w:rFonts w:cstheme="minorHAnsi"/>
        </w:rPr>
      </w:pPr>
      <w:r w:rsidRPr="001D1219">
        <w:rPr>
          <w:rFonts w:cstheme="minorHAnsi"/>
          <w:color w:val="231F20"/>
          <w:w w:val="105"/>
        </w:rPr>
        <w:t>Improve</w:t>
      </w:r>
      <w:r w:rsidRPr="001D1219">
        <w:rPr>
          <w:rFonts w:cstheme="minorHAnsi"/>
          <w:color w:val="231F20"/>
          <w:spacing w:val="14"/>
          <w:w w:val="105"/>
        </w:rPr>
        <w:t xml:space="preserve"> </w:t>
      </w:r>
      <w:r w:rsidRPr="001D1219">
        <w:rPr>
          <w:rFonts w:cstheme="minorHAnsi"/>
          <w:color w:val="231F20"/>
          <w:w w:val="105"/>
        </w:rPr>
        <w:t>assistive</w:t>
      </w:r>
      <w:r w:rsidRPr="001D1219">
        <w:rPr>
          <w:rFonts w:cstheme="minorHAnsi"/>
          <w:color w:val="231F20"/>
          <w:spacing w:val="14"/>
          <w:w w:val="105"/>
        </w:rPr>
        <w:t xml:space="preserve"> </w:t>
      </w:r>
      <w:r w:rsidRPr="001D1219">
        <w:rPr>
          <w:rFonts w:cstheme="minorHAnsi"/>
          <w:color w:val="231F20"/>
          <w:w w:val="105"/>
        </w:rPr>
        <w:t>technology</w:t>
      </w:r>
      <w:r w:rsidRPr="001D1219">
        <w:rPr>
          <w:rFonts w:cstheme="minorHAnsi"/>
          <w:color w:val="231F20"/>
          <w:spacing w:val="14"/>
          <w:w w:val="105"/>
        </w:rPr>
        <w:t xml:space="preserve"> </w:t>
      </w:r>
      <w:r w:rsidRPr="001D1219">
        <w:rPr>
          <w:rFonts w:cstheme="minorHAnsi"/>
          <w:color w:val="231F20"/>
          <w:w w:val="105"/>
        </w:rPr>
        <w:t>services</w:t>
      </w:r>
      <w:r w:rsidRPr="001D1219">
        <w:rPr>
          <w:rFonts w:cstheme="minorHAnsi"/>
          <w:color w:val="231F20"/>
          <w:spacing w:val="29"/>
          <w:w w:val="105"/>
        </w:rPr>
        <w:t xml:space="preserve"> </w:t>
      </w:r>
      <w:r w:rsidRPr="001D1219">
        <w:rPr>
          <w:rFonts w:cstheme="minorHAnsi"/>
          <w:color w:val="231F20"/>
          <w:w w:val="105"/>
        </w:rPr>
        <w:t>such</w:t>
      </w:r>
      <w:r w:rsidRPr="001D1219">
        <w:rPr>
          <w:rFonts w:cstheme="minorHAnsi"/>
          <w:color w:val="231F20"/>
          <w:spacing w:val="14"/>
          <w:w w:val="105"/>
        </w:rPr>
        <w:t xml:space="preserve"> </w:t>
      </w:r>
      <w:r w:rsidRPr="001D1219">
        <w:rPr>
          <w:rFonts w:cstheme="minorHAnsi"/>
          <w:color w:val="231F20"/>
          <w:w w:val="105"/>
        </w:rPr>
        <w:t>as</w:t>
      </w:r>
      <w:r w:rsidRPr="001D1219">
        <w:rPr>
          <w:rFonts w:cstheme="minorHAnsi"/>
          <w:color w:val="231F20"/>
          <w:spacing w:val="14"/>
          <w:w w:val="105"/>
        </w:rPr>
        <w:t xml:space="preserve"> </w:t>
      </w:r>
      <w:r w:rsidRPr="001D1219">
        <w:rPr>
          <w:rFonts w:cstheme="minorHAnsi"/>
          <w:color w:val="231F20"/>
          <w:w w:val="105"/>
        </w:rPr>
        <w:t>standardizing</w:t>
      </w:r>
      <w:r w:rsidRPr="001D1219">
        <w:rPr>
          <w:rFonts w:cstheme="minorHAnsi"/>
          <w:color w:val="231F20"/>
          <w:spacing w:val="14"/>
          <w:w w:val="105"/>
        </w:rPr>
        <w:t xml:space="preserve"> </w:t>
      </w:r>
      <w:r w:rsidRPr="001D1219">
        <w:rPr>
          <w:rFonts w:cstheme="minorHAnsi"/>
          <w:color w:val="231F20"/>
          <w:w w:val="105"/>
        </w:rPr>
        <w:t>curriculum,</w:t>
      </w:r>
      <w:r w:rsidRPr="001D1219">
        <w:rPr>
          <w:rFonts w:cstheme="minorHAnsi"/>
          <w:color w:val="231F20"/>
          <w:spacing w:val="14"/>
          <w:w w:val="105"/>
        </w:rPr>
        <w:t xml:space="preserve"> </w:t>
      </w:r>
      <w:r w:rsidRPr="001D1219">
        <w:rPr>
          <w:rFonts w:cstheme="minorHAnsi"/>
          <w:color w:val="231F20"/>
          <w:w w:val="105"/>
        </w:rPr>
        <w:t>stay</w:t>
      </w:r>
      <w:r w:rsidR="00866E9F">
        <w:rPr>
          <w:rFonts w:cstheme="minorHAnsi"/>
          <w:color w:val="231F20"/>
          <w:w w:val="105"/>
        </w:rPr>
        <w:t>ing</w:t>
      </w:r>
      <w:r w:rsidRPr="001D1219">
        <w:rPr>
          <w:rFonts w:cstheme="minorHAnsi"/>
          <w:color w:val="231F20"/>
          <w:spacing w:val="-14"/>
          <w:w w:val="105"/>
        </w:rPr>
        <w:t xml:space="preserve"> </w:t>
      </w:r>
      <w:r w:rsidRPr="001D1219">
        <w:rPr>
          <w:rFonts w:cstheme="minorHAnsi"/>
          <w:color w:val="231F20"/>
          <w:w w:val="105"/>
        </w:rPr>
        <w:t>up-to-date on the most in-demand technology and job skills</w:t>
      </w:r>
      <w:r w:rsidR="00D5537E">
        <w:rPr>
          <w:rFonts w:cstheme="minorHAnsi"/>
          <w:color w:val="231F20"/>
          <w:w w:val="105"/>
        </w:rPr>
        <w:t xml:space="preserve"> and</w:t>
      </w:r>
      <w:r w:rsidRPr="001D1219">
        <w:rPr>
          <w:rFonts w:cstheme="minorHAnsi"/>
          <w:color w:val="231F20"/>
          <w:w w:val="105"/>
        </w:rPr>
        <w:t xml:space="preserve"> reworking trainings to make</w:t>
      </w:r>
      <w:r w:rsidRPr="00866E9F">
        <w:rPr>
          <w:rFonts w:cstheme="minorHAnsi"/>
          <w:color w:val="231F20"/>
          <w:w w:val="105"/>
        </w:rPr>
        <w:t xml:space="preserve"> </w:t>
      </w:r>
      <w:r w:rsidRPr="001D1219">
        <w:rPr>
          <w:rFonts w:cstheme="minorHAnsi"/>
          <w:color w:val="231F20"/>
          <w:w w:val="105"/>
        </w:rPr>
        <w:t>them</w:t>
      </w:r>
      <w:r w:rsidRPr="00866E9F">
        <w:rPr>
          <w:rFonts w:cstheme="minorHAnsi"/>
          <w:color w:val="231F20"/>
          <w:w w:val="105"/>
        </w:rPr>
        <w:t xml:space="preserve"> </w:t>
      </w:r>
      <w:r w:rsidRPr="001D1219">
        <w:rPr>
          <w:rFonts w:cstheme="minorHAnsi"/>
          <w:color w:val="231F20"/>
          <w:w w:val="105"/>
        </w:rPr>
        <w:t>more frequent and/or</w:t>
      </w:r>
      <w:r w:rsidRPr="001D1219">
        <w:rPr>
          <w:rFonts w:cstheme="minorHAnsi"/>
          <w:color w:val="231F20"/>
          <w:spacing w:val="12"/>
          <w:w w:val="105"/>
        </w:rPr>
        <w:t xml:space="preserve"> </w:t>
      </w:r>
      <w:r w:rsidRPr="001D1219">
        <w:rPr>
          <w:rFonts w:cstheme="minorHAnsi"/>
          <w:color w:val="231F20"/>
          <w:w w:val="105"/>
        </w:rPr>
        <w:t>in-depth.</w:t>
      </w:r>
    </w:p>
    <w:p w14:paraId="46A613F8" w14:textId="77777777" w:rsidR="00EA7458" w:rsidRPr="00E06806" w:rsidRDefault="00EA7458" w:rsidP="00D63204">
      <w:pPr>
        <w:widowControl w:val="0"/>
        <w:spacing w:before="6" w:after="0" w:line="240" w:lineRule="auto"/>
        <w:ind w:left="107"/>
        <w:rPr>
          <w:rFonts w:cstheme="minorHAnsi"/>
          <w:sz w:val="16"/>
          <w:szCs w:val="16"/>
        </w:rPr>
      </w:pPr>
    </w:p>
    <w:p w14:paraId="6C58DD85" w14:textId="4C70105C" w:rsidR="00EA7458" w:rsidRPr="001D1219" w:rsidRDefault="00EA7458" w:rsidP="00D63204">
      <w:pPr>
        <w:pStyle w:val="ListParagraph"/>
        <w:widowControl w:val="0"/>
        <w:numPr>
          <w:ilvl w:val="0"/>
          <w:numId w:val="30"/>
        </w:numPr>
        <w:tabs>
          <w:tab w:val="left" w:pos="828"/>
        </w:tabs>
        <w:spacing w:after="0" w:line="240" w:lineRule="auto"/>
        <w:rPr>
          <w:rFonts w:cstheme="minorHAnsi"/>
        </w:rPr>
      </w:pPr>
      <w:r w:rsidRPr="001D1219">
        <w:rPr>
          <w:rFonts w:cstheme="minorHAnsi"/>
          <w:color w:val="231F20"/>
          <w:w w:val="105"/>
        </w:rPr>
        <w:t>Increase outreach and community</w:t>
      </w:r>
      <w:r w:rsidRPr="001D1219">
        <w:rPr>
          <w:rFonts w:cstheme="minorHAnsi"/>
          <w:color w:val="231F20"/>
          <w:spacing w:val="18"/>
          <w:w w:val="105"/>
        </w:rPr>
        <w:t xml:space="preserve"> </w:t>
      </w:r>
      <w:r w:rsidRPr="001D1219">
        <w:rPr>
          <w:rFonts w:cstheme="minorHAnsi"/>
          <w:color w:val="231F20"/>
          <w:w w:val="105"/>
        </w:rPr>
        <w:t>visibility.</w:t>
      </w:r>
    </w:p>
    <w:p w14:paraId="0230646E" w14:textId="77777777" w:rsidR="001D1219" w:rsidRPr="001D1219" w:rsidRDefault="001D1219" w:rsidP="00D63204">
      <w:pPr>
        <w:pStyle w:val="ListParagraph"/>
        <w:widowControl w:val="0"/>
        <w:tabs>
          <w:tab w:val="left" w:pos="828"/>
        </w:tabs>
        <w:spacing w:after="0" w:line="240" w:lineRule="auto"/>
        <w:ind w:left="827"/>
        <w:rPr>
          <w:rFonts w:cstheme="minorHAnsi"/>
        </w:rPr>
      </w:pPr>
    </w:p>
    <w:p w14:paraId="28371BA6" w14:textId="51A04063" w:rsidR="00EA7458" w:rsidRPr="001D1219" w:rsidRDefault="00EA7458" w:rsidP="00D63204">
      <w:pPr>
        <w:pStyle w:val="ListParagraph"/>
        <w:widowControl w:val="0"/>
        <w:numPr>
          <w:ilvl w:val="0"/>
          <w:numId w:val="30"/>
        </w:numPr>
        <w:tabs>
          <w:tab w:val="left" w:pos="828"/>
        </w:tabs>
        <w:spacing w:before="195" w:after="0" w:line="240" w:lineRule="auto"/>
        <w:rPr>
          <w:rFonts w:cstheme="minorHAnsi"/>
        </w:rPr>
      </w:pPr>
      <w:r w:rsidRPr="001D1219">
        <w:rPr>
          <w:rFonts w:cstheme="minorHAnsi"/>
          <w:color w:val="231F20"/>
          <w:w w:val="105"/>
        </w:rPr>
        <w:t>Assist clients in identifying transportation resources to become and/or remain</w:t>
      </w:r>
      <w:r w:rsidRPr="001D1219">
        <w:rPr>
          <w:rFonts w:cstheme="minorHAnsi"/>
          <w:color w:val="231F20"/>
          <w:spacing w:val="19"/>
          <w:w w:val="105"/>
        </w:rPr>
        <w:t xml:space="preserve"> </w:t>
      </w:r>
      <w:r w:rsidRPr="001D1219">
        <w:rPr>
          <w:rFonts w:cstheme="minorHAnsi"/>
          <w:color w:val="231F20"/>
          <w:w w:val="105"/>
        </w:rPr>
        <w:t>employed.</w:t>
      </w:r>
    </w:p>
    <w:p w14:paraId="0BD2EE02" w14:textId="77777777" w:rsidR="001D1219" w:rsidRPr="001D1219" w:rsidRDefault="001D1219" w:rsidP="00D63204">
      <w:pPr>
        <w:pStyle w:val="ListParagraph"/>
        <w:widowControl w:val="0"/>
        <w:tabs>
          <w:tab w:val="left" w:pos="828"/>
        </w:tabs>
        <w:spacing w:before="195" w:after="0" w:line="240" w:lineRule="auto"/>
        <w:ind w:left="827"/>
        <w:rPr>
          <w:rFonts w:cstheme="minorHAnsi"/>
        </w:rPr>
      </w:pPr>
    </w:p>
    <w:p w14:paraId="652C6B2C" w14:textId="09900C88" w:rsidR="00EA7458" w:rsidRPr="002E55AE" w:rsidRDefault="00EA7458" w:rsidP="00D63204">
      <w:pPr>
        <w:pStyle w:val="ListParagraph"/>
        <w:widowControl w:val="0"/>
        <w:numPr>
          <w:ilvl w:val="0"/>
          <w:numId w:val="30"/>
        </w:numPr>
        <w:tabs>
          <w:tab w:val="left" w:pos="828"/>
        </w:tabs>
        <w:spacing w:before="195" w:after="0" w:line="240" w:lineRule="auto"/>
        <w:rPr>
          <w:rFonts w:cstheme="minorHAnsi"/>
          <w:color w:val="231F20"/>
          <w:w w:val="105"/>
        </w:rPr>
      </w:pPr>
      <w:r w:rsidRPr="001D1219">
        <w:rPr>
          <w:rFonts w:cstheme="minorHAnsi"/>
          <w:color w:val="231F20"/>
          <w:w w:val="105"/>
        </w:rPr>
        <w:t>Engage with CRPs to maximize outcomes for</w:t>
      </w:r>
      <w:r w:rsidRPr="002E55AE">
        <w:rPr>
          <w:rFonts w:cstheme="minorHAnsi"/>
          <w:color w:val="231F20"/>
          <w:w w:val="105"/>
        </w:rPr>
        <w:t xml:space="preserve"> </w:t>
      </w:r>
      <w:r w:rsidRPr="001D1219">
        <w:rPr>
          <w:rFonts w:cstheme="minorHAnsi"/>
          <w:color w:val="231F20"/>
          <w:w w:val="105"/>
        </w:rPr>
        <w:t>consumers.</w:t>
      </w:r>
    </w:p>
    <w:p w14:paraId="763D65F1" w14:textId="77777777" w:rsidR="001D1219" w:rsidRPr="001D1219" w:rsidRDefault="001D1219" w:rsidP="00D63204">
      <w:pPr>
        <w:pStyle w:val="ListParagraph"/>
        <w:widowControl w:val="0"/>
        <w:tabs>
          <w:tab w:val="left" w:pos="828"/>
        </w:tabs>
        <w:spacing w:before="195" w:after="0" w:line="240" w:lineRule="auto"/>
        <w:ind w:left="827"/>
        <w:rPr>
          <w:rFonts w:cstheme="minorHAnsi"/>
        </w:rPr>
      </w:pPr>
    </w:p>
    <w:p w14:paraId="741855D7" w14:textId="77777777" w:rsidR="00EA7458" w:rsidRPr="001D1219" w:rsidRDefault="00EA7458" w:rsidP="00D63204">
      <w:pPr>
        <w:pStyle w:val="ListParagraph"/>
        <w:widowControl w:val="0"/>
        <w:numPr>
          <w:ilvl w:val="0"/>
          <w:numId w:val="30"/>
        </w:numPr>
        <w:tabs>
          <w:tab w:val="left" w:pos="828"/>
        </w:tabs>
        <w:spacing w:before="195" w:after="0" w:line="240" w:lineRule="auto"/>
        <w:rPr>
          <w:rFonts w:cstheme="minorHAnsi"/>
        </w:rPr>
      </w:pPr>
      <w:r w:rsidRPr="001D1219">
        <w:rPr>
          <w:rFonts w:cstheme="minorHAnsi"/>
          <w:color w:val="231F20"/>
          <w:w w:val="105"/>
        </w:rPr>
        <w:t>Regular follow-up with</w:t>
      </w:r>
      <w:r w:rsidRPr="001D1219">
        <w:rPr>
          <w:rFonts w:cstheme="minorHAnsi"/>
          <w:color w:val="231F20"/>
          <w:spacing w:val="13"/>
          <w:w w:val="105"/>
        </w:rPr>
        <w:t xml:space="preserve"> </w:t>
      </w:r>
      <w:r w:rsidRPr="001D1219">
        <w:rPr>
          <w:rFonts w:cstheme="minorHAnsi"/>
          <w:color w:val="231F20"/>
          <w:w w:val="105"/>
        </w:rPr>
        <w:t>consumers.</w:t>
      </w:r>
    </w:p>
    <w:p w14:paraId="64A217A8" w14:textId="77777777" w:rsidR="00EA7458" w:rsidRPr="00AC2EEA" w:rsidRDefault="00EA7458" w:rsidP="00D63204">
      <w:pPr>
        <w:widowControl w:val="0"/>
        <w:spacing w:before="193" w:after="0" w:line="240" w:lineRule="auto"/>
        <w:ind w:left="107"/>
        <w:rPr>
          <w:rFonts w:cstheme="minorHAnsi"/>
          <w:color w:val="231F20"/>
          <w:w w:val="105"/>
        </w:rPr>
      </w:pPr>
      <w:r w:rsidRPr="00E06806">
        <w:rPr>
          <w:rFonts w:cstheme="minorHAnsi"/>
          <w:color w:val="231F20"/>
          <w:w w:val="105"/>
        </w:rPr>
        <w:t>Based</w:t>
      </w:r>
      <w:r w:rsidRPr="00AC2EEA">
        <w:rPr>
          <w:rFonts w:cstheme="minorHAnsi"/>
          <w:color w:val="231F20"/>
          <w:w w:val="105"/>
        </w:rPr>
        <w:t xml:space="preserve"> </w:t>
      </w:r>
      <w:r w:rsidRPr="00E06806">
        <w:rPr>
          <w:rFonts w:cstheme="minorHAnsi"/>
          <w:color w:val="231F20"/>
          <w:w w:val="105"/>
        </w:rPr>
        <w:t>upon</w:t>
      </w:r>
      <w:r w:rsidRPr="00AC2EEA">
        <w:rPr>
          <w:rFonts w:cstheme="minorHAnsi"/>
          <w:color w:val="231F20"/>
          <w:w w:val="105"/>
        </w:rPr>
        <w:t xml:space="preserve"> </w:t>
      </w:r>
      <w:r w:rsidRPr="00E06806">
        <w:rPr>
          <w:rFonts w:cstheme="minorHAnsi"/>
          <w:color w:val="231F20"/>
          <w:w w:val="105"/>
        </w:rPr>
        <w:t>the</w:t>
      </w:r>
      <w:r w:rsidRPr="00AC2EEA">
        <w:rPr>
          <w:rFonts w:cstheme="minorHAnsi"/>
          <w:color w:val="231F20"/>
          <w:w w:val="105"/>
        </w:rPr>
        <w:t xml:space="preserve"> </w:t>
      </w:r>
      <w:r w:rsidRPr="00E06806">
        <w:rPr>
          <w:rFonts w:cstheme="minorHAnsi"/>
          <w:color w:val="231F20"/>
          <w:w w:val="105"/>
        </w:rPr>
        <w:t>results</w:t>
      </w:r>
      <w:r w:rsidRPr="00AC2EEA">
        <w:rPr>
          <w:rFonts w:cstheme="minorHAnsi"/>
          <w:color w:val="231F20"/>
          <w:w w:val="105"/>
        </w:rPr>
        <w:t xml:space="preserve"> </w:t>
      </w:r>
      <w:r w:rsidRPr="00E06806">
        <w:rPr>
          <w:rFonts w:cstheme="minorHAnsi"/>
          <w:color w:val="231F20"/>
          <w:w w:val="105"/>
        </w:rPr>
        <w:t>of</w:t>
      </w:r>
      <w:r w:rsidRPr="00AC2EEA">
        <w:rPr>
          <w:rFonts w:cstheme="minorHAnsi"/>
          <w:color w:val="231F20"/>
          <w:w w:val="105"/>
        </w:rPr>
        <w:t xml:space="preserve"> </w:t>
      </w:r>
      <w:r w:rsidRPr="00E06806">
        <w:rPr>
          <w:rFonts w:cstheme="minorHAnsi"/>
          <w:color w:val="231F20"/>
          <w:w w:val="105"/>
        </w:rPr>
        <w:t>the</w:t>
      </w:r>
      <w:r w:rsidRPr="00AC2EEA">
        <w:rPr>
          <w:rFonts w:cstheme="minorHAnsi"/>
          <w:color w:val="231F20"/>
          <w:w w:val="105"/>
        </w:rPr>
        <w:t xml:space="preserve"> </w:t>
      </w:r>
      <w:r w:rsidRPr="00E06806">
        <w:rPr>
          <w:rFonts w:cstheme="minorHAnsi"/>
          <w:color w:val="231F20"/>
          <w:w w:val="105"/>
        </w:rPr>
        <w:t>needs</w:t>
      </w:r>
      <w:r w:rsidRPr="00AC2EEA">
        <w:rPr>
          <w:rFonts w:cstheme="minorHAnsi"/>
          <w:color w:val="231F20"/>
          <w:w w:val="105"/>
        </w:rPr>
        <w:t xml:space="preserve"> </w:t>
      </w:r>
      <w:r w:rsidRPr="00E06806">
        <w:rPr>
          <w:rFonts w:cstheme="minorHAnsi"/>
          <w:color w:val="231F20"/>
          <w:w w:val="105"/>
        </w:rPr>
        <w:t>assessment,</w:t>
      </w:r>
      <w:r w:rsidRPr="00AC2EEA">
        <w:rPr>
          <w:rFonts w:cstheme="minorHAnsi"/>
          <w:color w:val="231F20"/>
          <w:w w:val="105"/>
        </w:rPr>
        <w:t xml:space="preserve"> </w:t>
      </w:r>
      <w:r w:rsidRPr="00E06806">
        <w:rPr>
          <w:rFonts w:cstheme="minorHAnsi"/>
          <w:color w:val="231F20"/>
          <w:w w:val="105"/>
        </w:rPr>
        <w:t>FDBS</w:t>
      </w:r>
      <w:r w:rsidRPr="00AC2EEA">
        <w:rPr>
          <w:rFonts w:cstheme="minorHAnsi"/>
          <w:color w:val="231F20"/>
          <w:w w:val="105"/>
        </w:rPr>
        <w:t xml:space="preserve"> </w:t>
      </w:r>
      <w:r w:rsidRPr="00E06806">
        <w:rPr>
          <w:rFonts w:cstheme="minorHAnsi"/>
          <w:color w:val="231F20"/>
          <w:w w:val="105"/>
        </w:rPr>
        <w:t>has</w:t>
      </w:r>
      <w:r w:rsidRPr="00AC2EEA">
        <w:rPr>
          <w:rFonts w:cstheme="minorHAnsi"/>
          <w:color w:val="231F20"/>
          <w:w w:val="105"/>
        </w:rPr>
        <w:t xml:space="preserve"> </w:t>
      </w:r>
      <w:r w:rsidRPr="00E06806">
        <w:rPr>
          <w:rFonts w:cstheme="minorHAnsi"/>
          <w:color w:val="231F20"/>
          <w:w w:val="105"/>
        </w:rPr>
        <w:t>developed</w:t>
      </w:r>
      <w:r w:rsidRPr="00AC2EEA">
        <w:rPr>
          <w:rFonts w:cstheme="minorHAnsi"/>
          <w:color w:val="231F20"/>
          <w:w w:val="105"/>
        </w:rPr>
        <w:t xml:space="preserve"> </w:t>
      </w:r>
      <w:r w:rsidRPr="00E06806">
        <w:rPr>
          <w:rFonts w:cstheme="minorHAnsi"/>
          <w:color w:val="231F20"/>
          <w:w w:val="105"/>
        </w:rPr>
        <w:t>strategies</w:t>
      </w:r>
      <w:r w:rsidRPr="00AC2EEA">
        <w:rPr>
          <w:rFonts w:cstheme="minorHAnsi"/>
          <w:color w:val="231F20"/>
          <w:w w:val="105"/>
        </w:rPr>
        <w:t xml:space="preserve"> </w:t>
      </w:r>
      <w:r w:rsidRPr="00E06806">
        <w:rPr>
          <w:rFonts w:cstheme="minorHAnsi"/>
          <w:color w:val="231F20"/>
          <w:w w:val="105"/>
        </w:rPr>
        <w:t>to</w:t>
      </w:r>
      <w:r w:rsidRPr="00AC2EEA">
        <w:rPr>
          <w:rFonts w:cstheme="minorHAnsi"/>
          <w:color w:val="231F20"/>
          <w:w w:val="105"/>
        </w:rPr>
        <w:t xml:space="preserve"> </w:t>
      </w:r>
      <w:r w:rsidRPr="00E06806">
        <w:rPr>
          <w:rFonts w:cstheme="minorHAnsi"/>
          <w:color w:val="231F20"/>
          <w:w w:val="105"/>
        </w:rPr>
        <w:t>address</w:t>
      </w:r>
      <w:r w:rsidRPr="00AC2EEA">
        <w:rPr>
          <w:rFonts w:cstheme="minorHAnsi"/>
          <w:color w:val="231F20"/>
          <w:w w:val="105"/>
        </w:rPr>
        <w:t xml:space="preserve"> </w:t>
      </w:r>
      <w:r w:rsidRPr="00E06806">
        <w:rPr>
          <w:rFonts w:cstheme="minorHAnsi"/>
          <w:color w:val="231F20"/>
          <w:w w:val="105"/>
        </w:rPr>
        <w:t>the</w:t>
      </w:r>
      <w:r w:rsidRPr="00AC2EEA">
        <w:rPr>
          <w:rFonts w:cstheme="minorHAnsi"/>
          <w:color w:val="231F20"/>
          <w:w w:val="105"/>
        </w:rPr>
        <w:t xml:space="preserve"> </w:t>
      </w:r>
      <w:r w:rsidRPr="00E06806">
        <w:rPr>
          <w:rFonts w:cstheme="minorHAnsi"/>
          <w:color w:val="231F20"/>
          <w:w w:val="105"/>
        </w:rPr>
        <w:t>identified</w:t>
      </w:r>
      <w:r w:rsidRPr="00AC2EEA">
        <w:rPr>
          <w:rFonts w:cstheme="minorHAnsi"/>
          <w:color w:val="231F20"/>
          <w:w w:val="105"/>
        </w:rPr>
        <w:t xml:space="preserve"> </w:t>
      </w:r>
      <w:r w:rsidRPr="00E06806">
        <w:rPr>
          <w:rFonts w:cstheme="minorHAnsi"/>
          <w:color w:val="231F20"/>
          <w:w w:val="105"/>
        </w:rPr>
        <w:t>needs that are incorporated and described throughout this plan.</w:t>
      </w:r>
    </w:p>
    <w:p w14:paraId="3972804B" w14:textId="77777777" w:rsidR="00EA7458" w:rsidRPr="00E06806" w:rsidRDefault="00EA7458" w:rsidP="00D63204">
      <w:pPr>
        <w:widowControl w:val="0"/>
        <w:spacing w:before="6" w:after="0" w:line="240" w:lineRule="auto"/>
        <w:ind w:left="107"/>
        <w:rPr>
          <w:rFonts w:cstheme="minorHAnsi"/>
          <w:sz w:val="16"/>
          <w:szCs w:val="16"/>
        </w:rPr>
      </w:pPr>
    </w:p>
    <w:p w14:paraId="78B0852D" w14:textId="7B618320" w:rsidR="00EA7458" w:rsidRPr="001D1219" w:rsidRDefault="00BC1D20" w:rsidP="00D63204">
      <w:pPr>
        <w:widowControl w:val="0"/>
        <w:spacing w:after="0" w:line="240" w:lineRule="auto"/>
        <w:ind w:left="107"/>
        <w:rPr>
          <w:rFonts w:cstheme="minorHAnsi"/>
          <w:u w:val="single"/>
        </w:rPr>
      </w:pPr>
      <w:hyperlink w:anchor="_bookmark114" w:history="1">
        <w:r w:rsidR="00EA7458" w:rsidRPr="001D1219">
          <w:rPr>
            <w:rFonts w:cstheme="minorHAnsi"/>
            <w:w w:val="105"/>
            <w:u w:val="single" w:color="5F5F5F"/>
          </w:rPr>
          <w:t>See FDBS section X(j) for further details.</w:t>
        </w:r>
      </w:hyperlink>
    </w:p>
    <w:p w14:paraId="2BB38F5B" w14:textId="77777777" w:rsidR="00EA7458" w:rsidRPr="00E06806" w:rsidRDefault="00EA7458" w:rsidP="00D63204">
      <w:pPr>
        <w:widowControl w:val="0"/>
        <w:spacing w:before="4" w:after="0" w:line="240" w:lineRule="auto"/>
        <w:ind w:left="107"/>
        <w:rPr>
          <w:rFonts w:cstheme="minorHAnsi"/>
          <w:sz w:val="14"/>
          <w:szCs w:val="14"/>
        </w:rPr>
      </w:pPr>
    </w:p>
    <w:p w14:paraId="228F5E71" w14:textId="7FE9A9BB" w:rsidR="00EA7458" w:rsidRPr="001D1219" w:rsidRDefault="00AA5E72" w:rsidP="00D63204">
      <w:pPr>
        <w:widowControl w:val="0"/>
        <w:spacing w:before="63" w:after="0" w:line="240" w:lineRule="auto"/>
        <w:ind w:left="107"/>
        <w:outlineLvl w:val="3"/>
        <w:rPr>
          <w:rFonts w:cstheme="minorHAnsi"/>
        </w:rPr>
      </w:pPr>
      <w:bookmarkStart w:id="88" w:name="_bookmark51"/>
      <w:bookmarkEnd w:id="88"/>
      <w:r w:rsidRPr="00E06806">
        <w:rPr>
          <w:rFonts w:cstheme="minorHAnsi"/>
          <w:b/>
          <w:bCs/>
          <w:i/>
          <w:color w:val="231F20"/>
          <w:w w:val="105"/>
        </w:rPr>
        <w:br/>
      </w:r>
      <w:r w:rsidR="00EA7458" w:rsidRPr="001D1219">
        <w:rPr>
          <w:rFonts w:cstheme="minorHAnsi"/>
          <w:b/>
          <w:bCs/>
          <w:color w:val="231F20"/>
          <w:w w:val="105"/>
        </w:rPr>
        <w:t>Adult</w:t>
      </w:r>
      <w:r w:rsidR="00EA7458" w:rsidRPr="001D1219">
        <w:rPr>
          <w:rFonts w:cstheme="minorHAnsi"/>
          <w:b/>
          <w:bCs/>
          <w:color w:val="231F20"/>
          <w:spacing w:val="-31"/>
          <w:w w:val="105"/>
        </w:rPr>
        <w:t xml:space="preserve"> </w:t>
      </w:r>
      <w:r w:rsidR="00EA7458" w:rsidRPr="001D1219">
        <w:rPr>
          <w:rFonts w:cstheme="minorHAnsi"/>
          <w:b/>
          <w:bCs/>
          <w:color w:val="231F20"/>
          <w:w w:val="105"/>
        </w:rPr>
        <w:t>Education</w:t>
      </w:r>
    </w:p>
    <w:p w14:paraId="29F47294" w14:textId="346802FC" w:rsidR="001D1219" w:rsidRDefault="00EA7458" w:rsidP="00AC2EEA">
      <w:pPr>
        <w:widowControl w:val="0"/>
        <w:spacing w:before="193" w:after="0" w:line="240" w:lineRule="auto"/>
        <w:ind w:left="107"/>
        <w:rPr>
          <w:rFonts w:cstheme="minorHAnsi"/>
          <w:color w:val="231F20"/>
          <w:w w:val="105"/>
        </w:rPr>
      </w:pPr>
      <w:r w:rsidRPr="00E06806">
        <w:rPr>
          <w:rFonts w:cstheme="minorHAnsi"/>
          <w:color w:val="231F20"/>
          <w:w w:val="105"/>
        </w:rPr>
        <w:t>State</w:t>
      </w:r>
      <w:r w:rsidRPr="00AC2EEA">
        <w:rPr>
          <w:rFonts w:cstheme="minorHAnsi"/>
          <w:color w:val="231F20"/>
          <w:w w:val="105"/>
        </w:rPr>
        <w:t xml:space="preserve"> </w:t>
      </w:r>
      <w:r w:rsidRPr="00E06806">
        <w:rPr>
          <w:rFonts w:cstheme="minorHAnsi"/>
          <w:color w:val="231F20"/>
          <w:w w:val="105"/>
        </w:rPr>
        <w:t>targets</w:t>
      </w:r>
      <w:r w:rsidRPr="00AC2EEA">
        <w:rPr>
          <w:rFonts w:cstheme="minorHAnsi"/>
          <w:color w:val="231F20"/>
          <w:w w:val="105"/>
        </w:rPr>
        <w:t xml:space="preserve"> </w:t>
      </w:r>
      <w:r w:rsidRPr="00E06806">
        <w:rPr>
          <w:rFonts w:cstheme="minorHAnsi"/>
          <w:color w:val="231F20"/>
          <w:w w:val="105"/>
        </w:rPr>
        <w:t>are</w:t>
      </w:r>
      <w:r w:rsidRPr="00AC2EEA">
        <w:rPr>
          <w:rFonts w:cstheme="minorHAnsi"/>
          <w:color w:val="231F20"/>
          <w:w w:val="105"/>
        </w:rPr>
        <w:t xml:space="preserve"> </w:t>
      </w:r>
      <w:r w:rsidRPr="00E06806">
        <w:rPr>
          <w:rFonts w:cstheme="minorHAnsi"/>
          <w:color w:val="231F20"/>
          <w:w w:val="105"/>
        </w:rPr>
        <w:t>negotiated</w:t>
      </w:r>
      <w:r w:rsidRPr="00AC2EEA">
        <w:rPr>
          <w:rFonts w:cstheme="minorHAnsi"/>
          <w:color w:val="231F20"/>
          <w:w w:val="105"/>
        </w:rPr>
        <w:t xml:space="preserve"> </w:t>
      </w:r>
      <w:r w:rsidRPr="00E06806">
        <w:rPr>
          <w:rFonts w:cstheme="minorHAnsi"/>
          <w:color w:val="231F20"/>
          <w:w w:val="105"/>
        </w:rPr>
        <w:t>with</w:t>
      </w:r>
      <w:r w:rsidRPr="00AC2EEA">
        <w:rPr>
          <w:rFonts w:cstheme="minorHAnsi"/>
          <w:color w:val="231F20"/>
          <w:w w:val="105"/>
        </w:rPr>
        <w:t xml:space="preserve"> </w:t>
      </w:r>
      <w:r w:rsidRPr="00E06806">
        <w:rPr>
          <w:rFonts w:cstheme="minorHAnsi"/>
          <w:color w:val="231F20"/>
          <w:w w:val="105"/>
        </w:rPr>
        <w:t>the</w:t>
      </w:r>
      <w:r w:rsidRPr="00AC2EEA">
        <w:rPr>
          <w:rFonts w:cstheme="minorHAnsi"/>
          <w:color w:val="231F20"/>
          <w:w w:val="105"/>
        </w:rPr>
        <w:t xml:space="preserve"> </w:t>
      </w:r>
      <w:r w:rsidR="006008DA">
        <w:rPr>
          <w:rFonts w:cstheme="minorHAnsi"/>
          <w:color w:val="231F20"/>
          <w:w w:val="105"/>
        </w:rPr>
        <w:t xml:space="preserve">U.S. </w:t>
      </w:r>
      <w:r w:rsidRPr="00E06806">
        <w:rPr>
          <w:rFonts w:cstheme="minorHAnsi"/>
          <w:color w:val="231F20"/>
          <w:w w:val="105"/>
        </w:rPr>
        <w:t>Department</w:t>
      </w:r>
      <w:r w:rsidRPr="00AC2EEA">
        <w:rPr>
          <w:rFonts w:cstheme="minorHAnsi"/>
          <w:color w:val="231F20"/>
          <w:w w:val="105"/>
        </w:rPr>
        <w:t xml:space="preserve"> </w:t>
      </w:r>
      <w:r w:rsidRPr="00E06806">
        <w:rPr>
          <w:rFonts w:cstheme="minorHAnsi"/>
          <w:color w:val="231F20"/>
          <w:w w:val="105"/>
        </w:rPr>
        <w:t>of</w:t>
      </w:r>
      <w:r w:rsidRPr="00AC2EEA">
        <w:rPr>
          <w:rFonts w:cstheme="minorHAnsi"/>
          <w:color w:val="231F20"/>
          <w:w w:val="105"/>
        </w:rPr>
        <w:t xml:space="preserve"> </w:t>
      </w:r>
      <w:r w:rsidRPr="00E06806">
        <w:rPr>
          <w:rFonts w:cstheme="minorHAnsi"/>
          <w:color w:val="231F20"/>
          <w:w w:val="105"/>
        </w:rPr>
        <w:t>Education,</w:t>
      </w:r>
      <w:r w:rsidRPr="00AC2EEA">
        <w:rPr>
          <w:rFonts w:cstheme="minorHAnsi"/>
          <w:color w:val="231F20"/>
          <w:w w:val="105"/>
        </w:rPr>
        <w:t xml:space="preserve"> </w:t>
      </w:r>
      <w:r w:rsidRPr="00E06806">
        <w:rPr>
          <w:rFonts w:cstheme="minorHAnsi"/>
          <w:color w:val="231F20"/>
          <w:w w:val="105"/>
        </w:rPr>
        <w:t>Office</w:t>
      </w:r>
      <w:r w:rsidRPr="00AC2EEA">
        <w:rPr>
          <w:rFonts w:cstheme="minorHAnsi"/>
          <w:color w:val="231F20"/>
          <w:w w:val="105"/>
        </w:rPr>
        <w:t xml:space="preserve"> </w:t>
      </w:r>
      <w:r w:rsidRPr="00E06806">
        <w:rPr>
          <w:rFonts w:cstheme="minorHAnsi"/>
          <w:color w:val="231F20"/>
          <w:w w:val="105"/>
        </w:rPr>
        <w:t>of</w:t>
      </w:r>
      <w:r w:rsidRPr="00AC2EEA">
        <w:rPr>
          <w:rFonts w:cstheme="minorHAnsi"/>
          <w:color w:val="231F20"/>
          <w:w w:val="105"/>
        </w:rPr>
        <w:t xml:space="preserve"> </w:t>
      </w:r>
      <w:r w:rsidRPr="00E06806">
        <w:rPr>
          <w:rFonts w:cstheme="minorHAnsi"/>
          <w:color w:val="231F20"/>
          <w:w w:val="105"/>
        </w:rPr>
        <w:t>Career</w:t>
      </w:r>
      <w:r w:rsidRPr="00AC2EEA">
        <w:rPr>
          <w:rFonts w:cstheme="minorHAnsi"/>
          <w:color w:val="231F20"/>
          <w:w w:val="105"/>
        </w:rPr>
        <w:t xml:space="preserve"> Technical </w:t>
      </w:r>
      <w:r w:rsidRPr="00E06806">
        <w:rPr>
          <w:rFonts w:cstheme="minorHAnsi"/>
          <w:color w:val="231F20"/>
          <w:w w:val="105"/>
        </w:rPr>
        <w:t>and</w:t>
      </w:r>
      <w:r w:rsidRPr="00AC2EEA">
        <w:rPr>
          <w:rFonts w:cstheme="minorHAnsi"/>
          <w:color w:val="231F20"/>
          <w:w w:val="105"/>
        </w:rPr>
        <w:t xml:space="preserve"> </w:t>
      </w:r>
      <w:r w:rsidRPr="00E06806">
        <w:rPr>
          <w:rFonts w:cstheme="minorHAnsi"/>
          <w:color w:val="231F20"/>
          <w:w w:val="105"/>
        </w:rPr>
        <w:t>Adult</w:t>
      </w:r>
      <w:r w:rsidRPr="00AC2EEA">
        <w:rPr>
          <w:rFonts w:cstheme="minorHAnsi"/>
          <w:color w:val="231F20"/>
          <w:w w:val="105"/>
        </w:rPr>
        <w:t xml:space="preserve"> </w:t>
      </w:r>
      <w:r w:rsidRPr="00E06806">
        <w:rPr>
          <w:rFonts w:cstheme="minorHAnsi"/>
          <w:color w:val="231F20"/>
          <w:w w:val="105"/>
        </w:rPr>
        <w:t>Education</w:t>
      </w:r>
      <w:r w:rsidRPr="00AC2EEA">
        <w:rPr>
          <w:rFonts w:cstheme="minorHAnsi"/>
          <w:color w:val="231F20"/>
          <w:w w:val="105"/>
        </w:rPr>
        <w:t xml:space="preserve"> </w:t>
      </w:r>
      <w:r w:rsidRPr="00E06806">
        <w:rPr>
          <w:rFonts w:cstheme="minorHAnsi"/>
          <w:color w:val="231F20"/>
          <w:w w:val="105"/>
        </w:rPr>
        <w:t>(OCTAE)</w:t>
      </w:r>
      <w:r w:rsidRPr="00AC2EEA">
        <w:rPr>
          <w:rFonts w:cstheme="minorHAnsi"/>
          <w:color w:val="231F20"/>
          <w:w w:val="105"/>
        </w:rPr>
        <w:t xml:space="preserve"> </w:t>
      </w:r>
      <w:r w:rsidRPr="00E06806">
        <w:rPr>
          <w:rFonts w:cstheme="minorHAnsi"/>
          <w:color w:val="231F20"/>
          <w:w w:val="105"/>
        </w:rPr>
        <w:t>and</w:t>
      </w:r>
      <w:r w:rsidRPr="00AC2EEA">
        <w:rPr>
          <w:rFonts w:cstheme="minorHAnsi"/>
          <w:color w:val="231F20"/>
          <w:w w:val="105"/>
        </w:rPr>
        <w:t xml:space="preserve"> </w:t>
      </w:r>
      <w:r w:rsidRPr="00E06806">
        <w:rPr>
          <w:rFonts w:cstheme="minorHAnsi"/>
          <w:color w:val="231F20"/>
          <w:w w:val="105"/>
        </w:rPr>
        <w:t>established</w:t>
      </w:r>
      <w:r w:rsidRPr="00AC2EEA">
        <w:rPr>
          <w:rFonts w:cstheme="minorHAnsi"/>
          <w:color w:val="231F20"/>
          <w:w w:val="105"/>
        </w:rPr>
        <w:t xml:space="preserve"> </w:t>
      </w:r>
      <w:r w:rsidRPr="00E06806">
        <w:rPr>
          <w:rFonts w:cstheme="minorHAnsi"/>
          <w:color w:val="231F20"/>
          <w:w w:val="105"/>
        </w:rPr>
        <w:t>for</w:t>
      </w:r>
      <w:r w:rsidRPr="00AC2EEA">
        <w:rPr>
          <w:rFonts w:cstheme="minorHAnsi"/>
          <w:color w:val="231F20"/>
          <w:w w:val="105"/>
        </w:rPr>
        <w:t xml:space="preserve"> </w:t>
      </w:r>
      <w:r w:rsidRPr="00E06806">
        <w:rPr>
          <w:rFonts w:cstheme="minorHAnsi"/>
          <w:color w:val="231F20"/>
          <w:w w:val="105"/>
        </w:rPr>
        <w:t>each</w:t>
      </w:r>
      <w:r w:rsidRPr="00AC2EEA">
        <w:rPr>
          <w:rFonts w:cstheme="minorHAnsi"/>
          <w:color w:val="231F20"/>
          <w:w w:val="105"/>
        </w:rPr>
        <w:t xml:space="preserve"> </w:t>
      </w:r>
      <w:r w:rsidRPr="00E06806">
        <w:rPr>
          <w:rFonts w:cstheme="minorHAnsi"/>
          <w:color w:val="231F20"/>
          <w:w w:val="105"/>
        </w:rPr>
        <w:t>of</w:t>
      </w:r>
      <w:r w:rsidRPr="00AC2EEA">
        <w:rPr>
          <w:rFonts w:cstheme="minorHAnsi"/>
          <w:color w:val="231F20"/>
          <w:w w:val="105"/>
        </w:rPr>
        <w:t xml:space="preserve"> </w:t>
      </w:r>
      <w:r w:rsidRPr="00E06806">
        <w:rPr>
          <w:rFonts w:cstheme="minorHAnsi"/>
          <w:color w:val="231F20"/>
          <w:w w:val="105"/>
        </w:rPr>
        <w:t>the</w:t>
      </w:r>
      <w:r w:rsidRPr="00AC2EEA">
        <w:rPr>
          <w:rFonts w:cstheme="minorHAnsi"/>
          <w:color w:val="231F20"/>
          <w:w w:val="105"/>
        </w:rPr>
        <w:t xml:space="preserve"> </w:t>
      </w:r>
      <w:r w:rsidRPr="00E06806">
        <w:rPr>
          <w:rFonts w:cstheme="minorHAnsi"/>
          <w:color w:val="231F20"/>
          <w:w w:val="105"/>
        </w:rPr>
        <w:t>educational</w:t>
      </w:r>
      <w:r w:rsidRPr="00AC2EEA">
        <w:rPr>
          <w:rFonts w:cstheme="minorHAnsi"/>
          <w:color w:val="231F20"/>
          <w:w w:val="105"/>
        </w:rPr>
        <w:t xml:space="preserve"> </w:t>
      </w:r>
      <w:r w:rsidRPr="00E06806">
        <w:rPr>
          <w:rFonts w:cstheme="minorHAnsi"/>
          <w:color w:val="231F20"/>
          <w:w w:val="105"/>
        </w:rPr>
        <w:t>functioning</w:t>
      </w:r>
      <w:r w:rsidRPr="00AC2EEA">
        <w:rPr>
          <w:rFonts w:cstheme="minorHAnsi"/>
          <w:color w:val="231F20"/>
          <w:w w:val="105"/>
        </w:rPr>
        <w:t xml:space="preserve"> </w:t>
      </w:r>
      <w:r w:rsidRPr="00E06806">
        <w:rPr>
          <w:rFonts w:cstheme="minorHAnsi"/>
          <w:color w:val="231F20"/>
          <w:w w:val="105"/>
        </w:rPr>
        <w:t>levels</w:t>
      </w:r>
      <w:r w:rsidRPr="00AC2EEA">
        <w:rPr>
          <w:rFonts w:cstheme="minorHAnsi"/>
          <w:color w:val="231F20"/>
          <w:w w:val="105"/>
        </w:rPr>
        <w:t xml:space="preserve"> </w:t>
      </w:r>
      <w:r w:rsidRPr="00E06806">
        <w:rPr>
          <w:rFonts w:cstheme="minorHAnsi"/>
          <w:color w:val="231F20"/>
          <w:w w:val="105"/>
        </w:rPr>
        <w:t>for</w:t>
      </w:r>
      <w:r w:rsidRPr="00AC2EEA">
        <w:rPr>
          <w:rFonts w:cstheme="minorHAnsi"/>
          <w:color w:val="231F20"/>
          <w:w w:val="105"/>
        </w:rPr>
        <w:t xml:space="preserve"> </w:t>
      </w:r>
      <w:r w:rsidRPr="00E06806">
        <w:rPr>
          <w:rFonts w:cstheme="minorHAnsi"/>
          <w:color w:val="231F20"/>
          <w:w w:val="105"/>
        </w:rPr>
        <w:t>ABE,</w:t>
      </w:r>
      <w:r w:rsidRPr="00AC2EEA">
        <w:rPr>
          <w:rFonts w:cstheme="minorHAnsi"/>
          <w:color w:val="231F20"/>
          <w:w w:val="105"/>
        </w:rPr>
        <w:t xml:space="preserve"> </w:t>
      </w:r>
      <w:r w:rsidRPr="00E06806">
        <w:rPr>
          <w:rFonts w:cstheme="minorHAnsi"/>
          <w:color w:val="231F20"/>
          <w:w w:val="105"/>
        </w:rPr>
        <w:t>Adult Secondary</w:t>
      </w:r>
      <w:r w:rsidRPr="00AC2EEA">
        <w:rPr>
          <w:rFonts w:cstheme="minorHAnsi"/>
          <w:color w:val="231F20"/>
          <w:w w:val="105"/>
        </w:rPr>
        <w:t xml:space="preserve"> </w:t>
      </w:r>
      <w:r w:rsidRPr="00E06806">
        <w:rPr>
          <w:rFonts w:cstheme="minorHAnsi"/>
          <w:color w:val="231F20"/>
          <w:w w:val="105"/>
        </w:rPr>
        <w:t>Education</w:t>
      </w:r>
      <w:r w:rsidRPr="00AC2EEA">
        <w:rPr>
          <w:rFonts w:cstheme="minorHAnsi"/>
          <w:color w:val="231F20"/>
          <w:w w:val="105"/>
        </w:rPr>
        <w:t xml:space="preserve"> </w:t>
      </w:r>
      <w:r w:rsidRPr="00E06806">
        <w:rPr>
          <w:rFonts w:cstheme="minorHAnsi"/>
          <w:color w:val="231F20"/>
          <w:w w:val="105"/>
        </w:rPr>
        <w:t>(ASE)</w:t>
      </w:r>
      <w:r w:rsidR="00D5537E">
        <w:rPr>
          <w:rFonts w:cstheme="minorHAnsi"/>
          <w:color w:val="231F20"/>
          <w:w w:val="105"/>
        </w:rPr>
        <w:t xml:space="preserve"> and</w:t>
      </w:r>
      <w:r w:rsidRPr="00AC2EEA">
        <w:rPr>
          <w:rFonts w:cstheme="minorHAnsi"/>
          <w:color w:val="231F20"/>
          <w:w w:val="105"/>
        </w:rPr>
        <w:t xml:space="preserve"> </w:t>
      </w:r>
      <w:r w:rsidRPr="00E06806">
        <w:rPr>
          <w:rFonts w:cstheme="minorHAnsi"/>
          <w:color w:val="231F20"/>
          <w:w w:val="105"/>
        </w:rPr>
        <w:t>ESOL</w:t>
      </w:r>
      <w:r w:rsidRPr="00AC2EEA">
        <w:rPr>
          <w:rFonts w:cstheme="minorHAnsi"/>
          <w:color w:val="231F20"/>
          <w:w w:val="105"/>
        </w:rPr>
        <w:t xml:space="preserve"> </w:t>
      </w:r>
      <w:r w:rsidRPr="00E06806">
        <w:rPr>
          <w:rFonts w:cstheme="minorHAnsi"/>
          <w:color w:val="231F20"/>
          <w:w w:val="105"/>
        </w:rPr>
        <w:t>on</w:t>
      </w:r>
      <w:r w:rsidRPr="00AC2EEA">
        <w:rPr>
          <w:rFonts w:cstheme="minorHAnsi"/>
          <w:color w:val="231F20"/>
          <w:w w:val="105"/>
        </w:rPr>
        <w:t xml:space="preserve"> </w:t>
      </w:r>
      <w:r w:rsidRPr="00E06806">
        <w:rPr>
          <w:rFonts w:cstheme="minorHAnsi"/>
          <w:color w:val="231F20"/>
          <w:w w:val="105"/>
        </w:rPr>
        <w:t>an</w:t>
      </w:r>
      <w:r w:rsidRPr="00AC2EEA">
        <w:rPr>
          <w:rFonts w:cstheme="minorHAnsi"/>
          <w:color w:val="231F20"/>
          <w:w w:val="105"/>
        </w:rPr>
        <w:t xml:space="preserve"> </w:t>
      </w:r>
      <w:r w:rsidRPr="00E06806">
        <w:rPr>
          <w:rFonts w:cstheme="minorHAnsi"/>
          <w:color w:val="231F20"/>
          <w:w w:val="105"/>
        </w:rPr>
        <w:t>annual</w:t>
      </w:r>
      <w:r w:rsidRPr="00AC2EEA">
        <w:rPr>
          <w:rFonts w:cstheme="minorHAnsi"/>
          <w:color w:val="231F20"/>
          <w:w w:val="105"/>
        </w:rPr>
        <w:t xml:space="preserve"> </w:t>
      </w:r>
      <w:r w:rsidRPr="00E06806">
        <w:rPr>
          <w:rFonts w:cstheme="minorHAnsi"/>
          <w:color w:val="231F20"/>
          <w:w w:val="105"/>
        </w:rPr>
        <w:t>basis.</w:t>
      </w:r>
      <w:r w:rsidRPr="00AC2EEA">
        <w:rPr>
          <w:rFonts w:cstheme="minorHAnsi"/>
          <w:color w:val="231F20"/>
          <w:w w:val="105"/>
        </w:rPr>
        <w:t xml:space="preserve"> </w:t>
      </w:r>
      <w:r w:rsidRPr="00E06806">
        <w:rPr>
          <w:rFonts w:cstheme="minorHAnsi"/>
          <w:color w:val="231F20"/>
          <w:w w:val="105"/>
        </w:rPr>
        <w:t>The</w:t>
      </w:r>
      <w:r w:rsidRPr="00AC2EEA">
        <w:rPr>
          <w:rFonts w:cstheme="minorHAnsi"/>
          <w:color w:val="231F20"/>
          <w:w w:val="105"/>
        </w:rPr>
        <w:t xml:space="preserve"> </w:t>
      </w:r>
      <w:r w:rsidRPr="00E06806">
        <w:rPr>
          <w:rFonts w:cstheme="minorHAnsi"/>
          <w:color w:val="231F20"/>
          <w:w w:val="105"/>
        </w:rPr>
        <w:t>target</w:t>
      </w:r>
      <w:r w:rsidRPr="00AC2EEA">
        <w:rPr>
          <w:rFonts w:cstheme="minorHAnsi"/>
          <w:color w:val="231F20"/>
          <w:w w:val="105"/>
        </w:rPr>
        <w:t xml:space="preserve"> </w:t>
      </w:r>
      <w:r w:rsidRPr="00E06806">
        <w:rPr>
          <w:rFonts w:cstheme="minorHAnsi"/>
          <w:color w:val="231F20"/>
          <w:w w:val="105"/>
        </w:rPr>
        <w:t>percentage</w:t>
      </w:r>
      <w:r w:rsidRPr="00AC2EEA">
        <w:rPr>
          <w:rFonts w:cstheme="minorHAnsi"/>
          <w:color w:val="231F20"/>
          <w:w w:val="105"/>
        </w:rPr>
        <w:t xml:space="preserve"> </w:t>
      </w:r>
      <w:r w:rsidRPr="00E06806">
        <w:rPr>
          <w:rFonts w:cstheme="minorHAnsi"/>
          <w:color w:val="231F20"/>
          <w:w w:val="105"/>
        </w:rPr>
        <w:t>is</w:t>
      </w:r>
      <w:r w:rsidRPr="00AC2EEA">
        <w:rPr>
          <w:rFonts w:cstheme="minorHAnsi"/>
          <w:color w:val="231F20"/>
          <w:w w:val="105"/>
        </w:rPr>
        <w:t xml:space="preserve"> </w:t>
      </w:r>
      <w:r w:rsidRPr="00E06806">
        <w:rPr>
          <w:rFonts w:cstheme="minorHAnsi"/>
          <w:color w:val="231F20"/>
          <w:w w:val="105"/>
        </w:rPr>
        <w:t>based</w:t>
      </w:r>
      <w:r w:rsidRPr="00AC2EEA">
        <w:rPr>
          <w:rFonts w:cstheme="minorHAnsi"/>
          <w:color w:val="231F20"/>
          <w:w w:val="105"/>
        </w:rPr>
        <w:t xml:space="preserve"> </w:t>
      </w:r>
      <w:r w:rsidR="00912159" w:rsidRPr="00E06806">
        <w:rPr>
          <w:rFonts w:cstheme="minorHAnsi"/>
          <w:color w:val="231F20"/>
          <w:w w:val="105"/>
        </w:rPr>
        <w:t xml:space="preserve">on </w:t>
      </w:r>
      <w:r w:rsidRPr="00E06806">
        <w:rPr>
          <w:rFonts w:cstheme="minorHAnsi"/>
          <w:color w:val="231F20"/>
          <w:w w:val="105"/>
        </w:rPr>
        <w:t>prior</w:t>
      </w:r>
      <w:r w:rsidRPr="00AC2EEA">
        <w:rPr>
          <w:rFonts w:cstheme="minorHAnsi"/>
          <w:color w:val="231F20"/>
          <w:w w:val="105"/>
        </w:rPr>
        <w:t xml:space="preserve"> </w:t>
      </w:r>
      <w:r w:rsidRPr="00E06806">
        <w:rPr>
          <w:rFonts w:cstheme="minorHAnsi"/>
          <w:color w:val="231F20"/>
          <w:w w:val="105"/>
        </w:rPr>
        <w:t xml:space="preserve">program year performance and a comparison of the state with national averages. </w:t>
      </w:r>
    </w:p>
    <w:p w14:paraId="5F187A36" w14:textId="6BC982F4" w:rsidR="00437163" w:rsidRPr="00AC2EEA" w:rsidRDefault="00437163" w:rsidP="00AC2EEA">
      <w:pPr>
        <w:widowControl w:val="0"/>
        <w:spacing w:before="193" w:after="0" w:line="240" w:lineRule="auto"/>
        <w:ind w:left="107"/>
        <w:rPr>
          <w:rFonts w:cstheme="minorHAnsi"/>
          <w:color w:val="231F20"/>
          <w:w w:val="105"/>
        </w:rPr>
      </w:pPr>
      <w:r w:rsidRPr="00437163">
        <w:rPr>
          <w:rFonts w:cstheme="minorHAnsi"/>
          <w:color w:val="231F20"/>
          <w:w w:val="105"/>
        </w:rPr>
        <w:t>The percentages represent</w:t>
      </w:r>
      <w:r w:rsidRPr="00AC2EEA">
        <w:rPr>
          <w:rFonts w:cstheme="minorHAnsi"/>
          <w:color w:val="231F20"/>
          <w:w w:val="105"/>
        </w:rPr>
        <w:t xml:space="preserve"> </w:t>
      </w:r>
      <w:r w:rsidRPr="00437163">
        <w:rPr>
          <w:rFonts w:cstheme="minorHAnsi"/>
          <w:color w:val="231F20"/>
          <w:w w:val="105"/>
        </w:rPr>
        <w:t>the</w:t>
      </w:r>
      <w:r w:rsidRPr="00AC2EEA">
        <w:rPr>
          <w:rFonts w:cstheme="minorHAnsi"/>
          <w:color w:val="231F20"/>
          <w:w w:val="105"/>
        </w:rPr>
        <w:t xml:space="preserve"> </w:t>
      </w:r>
      <w:r w:rsidRPr="00437163">
        <w:rPr>
          <w:rFonts w:cstheme="minorHAnsi"/>
          <w:color w:val="231F20"/>
          <w:w w:val="105"/>
        </w:rPr>
        <w:t>portion</w:t>
      </w:r>
      <w:r w:rsidRPr="00AC2EEA">
        <w:rPr>
          <w:rFonts w:cstheme="minorHAnsi"/>
          <w:color w:val="231F20"/>
          <w:w w:val="105"/>
        </w:rPr>
        <w:t xml:space="preserve"> </w:t>
      </w:r>
      <w:r w:rsidRPr="00437163">
        <w:rPr>
          <w:rFonts w:cstheme="minorHAnsi"/>
          <w:color w:val="231F20"/>
          <w:w w:val="105"/>
        </w:rPr>
        <w:t>of</w:t>
      </w:r>
      <w:r w:rsidRPr="00AC2EEA">
        <w:rPr>
          <w:rFonts w:cstheme="minorHAnsi"/>
          <w:color w:val="231F20"/>
          <w:w w:val="105"/>
        </w:rPr>
        <w:t xml:space="preserve"> </w:t>
      </w:r>
      <w:r w:rsidRPr="00437163">
        <w:rPr>
          <w:rFonts w:cstheme="minorHAnsi"/>
          <w:color w:val="231F20"/>
          <w:w w:val="105"/>
        </w:rPr>
        <w:t>students</w:t>
      </w:r>
      <w:r w:rsidRPr="00AC2EEA">
        <w:rPr>
          <w:rFonts w:cstheme="minorHAnsi"/>
          <w:color w:val="231F20"/>
          <w:w w:val="105"/>
        </w:rPr>
        <w:t xml:space="preserve"> </w:t>
      </w:r>
      <w:r w:rsidRPr="00437163">
        <w:rPr>
          <w:rFonts w:cstheme="minorHAnsi"/>
          <w:color w:val="231F20"/>
          <w:w w:val="105"/>
        </w:rPr>
        <w:t>who must</w:t>
      </w:r>
      <w:r w:rsidRPr="00AC2EEA">
        <w:rPr>
          <w:rFonts w:cstheme="minorHAnsi"/>
          <w:color w:val="231F20"/>
          <w:w w:val="105"/>
        </w:rPr>
        <w:t xml:space="preserve"> </w:t>
      </w:r>
      <w:r w:rsidRPr="00437163">
        <w:rPr>
          <w:rFonts w:cstheme="minorHAnsi"/>
          <w:color w:val="231F20"/>
          <w:w w:val="105"/>
        </w:rPr>
        <w:t>meet</w:t>
      </w:r>
      <w:r w:rsidRPr="00AC2EEA">
        <w:rPr>
          <w:rFonts w:cstheme="minorHAnsi"/>
          <w:color w:val="231F20"/>
          <w:w w:val="105"/>
        </w:rPr>
        <w:t xml:space="preserve"> </w:t>
      </w:r>
      <w:r w:rsidRPr="00437163">
        <w:rPr>
          <w:rFonts w:cstheme="minorHAnsi"/>
          <w:color w:val="231F20"/>
          <w:w w:val="105"/>
        </w:rPr>
        <w:t>the</w:t>
      </w:r>
      <w:r w:rsidRPr="00AC2EEA">
        <w:rPr>
          <w:rFonts w:cstheme="minorHAnsi"/>
          <w:color w:val="231F20"/>
          <w:w w:val="105"/>
        </w:rPr>
        <w:t xml:space="preserve"> </w:t>
      </w:r>
      <w:r w:rsidRPr="00437163">
        <w:rPr>
          <w:rFonts w:cstheme="minorHAnsi"/>
          <w:color w:val="231F20"/>
          <w:w w:val="105"/>
        </w:rPr>
        <w:t>goal</w:t>
      </w:r>
      <w:r w:rsidRPr="00AC2EEA">
        <w:rPr>
          <w:rFonts w:cstheme="minorHAnsi"/>
          <w:color w:val="231F20"/>
          <w:w w:val="105"/>
        </w:rPr>
        <w:t xml:space="preserve"> </w:t>
      </w:r>
      <w:r w:rsidRPr="00437163">
        <w:rPr>
          <w:rFonts w:cstheme="minorHAnsi"/>
          <w:color w:val="231F20"/>
          <w:w w:val="105"/>
        </w:rPr>
        <w:t>for</w:t>
      </w:r>
      <w:r w:rsidRPr="00AC2EEA">
        <w:rPr>
          <w:rFonts w:cstheme="minorHAnsi"/>
          <w:color w:val="231F20"/>
          <w:w w:val="105"/>
        </w:rPr>
        <w:t xml:space="preserve"> </w:t>
      </w:r>
      <w:r w:rsidRPr="00437163">
        <w:rPr>
          <w:rFonts w:cstheme="minorHAnsi"/>
          <w:color w:val="231F20"/>
          <w:w w:val="105"/>
        </w:rPr>
        <w:t>each</w:t>
      </w:r>
      <w:r w:rsidRPr="00AC2EEA">
        <w:rPr>
          <w:rFonts w:cstheme="minorHAnsi"/>
          <w:color w:val="231F20"/>
          <w:w w:val="105"/>
        </w:rPr>
        <w:t xml:space="preserve"> </w:t>
      </w:r>
      <w:r w:rsidRPr="00437163">
        <w:rPr>
          <w:rFonts w:cstheme="minorHAnsi"/>
          <w:color w:val="231F20"/>
          <w:w w:val="105"/>
        </w:rPr>
        <w:t>educational</w:t>
      </w:r>
      <w:r w:rsidRPr="00AC2EEA">
        <w:rPr>
          <w:rFonts w:cstheme="minorHAnsi"/>
          <w:color w:val="231F20"/>
          <w:w w:val="105"/>
        </w:rPr>
        <w:t xml:space="preserve"> </w:t>
      </w:r>
      <w:r w:rsidRPr="00437163">
        <w:rPr>
          <w:rFonts w:cstheme="minorHAnsi"/>
          <w:color w:val="231F20"/>
          <w:w w:val="105"/>
        </w:rPr>
        <w:t>functioning</w:t>
      </w:r>
      <w:r w:rsidRPr="00AC2EEA">
        <w:rPr>
          <w:rFonts w:cstheme="minorHAnsi"/>
          <w:color w:val="231F20"/>
          <w:w w:val="105"/>
        </w:rPr>
        <w:t xml:space="preserve"> </w:t>
      </w:r>
      <w:r w:rsidRPr="00437163">
        <w:rPr>
          <w:rFonts w:cstheme="minorHAnsi"/>
          <w:color w:val="231F20"/>
          <w:w w:val="105"/>
        </w:rPr>
        <w:t>level.</w:t>
      </w:r>
      <w:r w:rsidRPr="00AC2EEA">
        <w:rPr>
          <w:rFonts w:cstheme="minorHAnsi"/>
          <w:color w:val="231F20"/>
          <w:w w:val="105"/>
        </w:rPr>
        <w:t xml:space="preserve"> </w:t>
      </w:r>
      <w:r w:rsidRPr="00437163">
        <w:rPr>
          <w:rFonts w:cstheme="minorHAnsi"/>
          <w:color w:val="231F20"/>
          <w:w w:val="105"/>
        </w:rPr>
        <w:t>The</w:t>
      </w:r>
      <w:r w:rsidRPr="00AC2EEA">
        <w:rPr>
          <w:rFonts w:cstheme="minorHAnsi"/>
          <w:color w:val="231F20"/>
          <w:w w:val="105"/>
        </w:rPr>
        <w:t xml:space="preserve"> </w:t>
      </w:r>
      <w:r w:rsidRPr="00437163">
        <w:rPr>
          <w:rFonts w:cstheme="minorHAnsi"/>
          <w:color w:val="231F20"/>
          <w:w w:val="105"/>
        </w:rPr>
        <w:t>same</w:t>
      </w:r>
      <w:r w:rsidRPr="00AC2EEA">
        <w:rPr>
          <w:rFonts w:cstheme="minorHAnsi"/>
          <w:color w:val="231F20"/>
          <w:w w:val="105"/>
        </w:rPr>
        <w:t xml:space="preserve"> </w:t>
      </w:r>
      <w:r w:rsidRPr="00437163">
        <w:rPr>
          <w:rFonts w:cstheme="minorHAnsi"/>
          <w:color w:val="231F20"/>
          <w:w w:val="105"/>
        </w:rPr>
        <w:t>targets</w:t>
      </w:r>
      <w:r w:rsidRPr="00AC2EEA">
        <w:rPr>
          <w:rFonts w:cstheme="minorHAnsi"/>
          <w:color w:val="231F20"/>
          <w:w w:val="105"/>
        </w:rPr>
        <w:t xml:space="preserve"> </w:t>
      </w:r>
      <w:r w:rsidRPr="00437163">
        <w:rPr>
          <w:rFonts w:cstheme="minorHAnsi"/>
          <w:color w:val="231F20"/>
          <w:w w:val="105"/>
        </w:rPr>
        <w:t>are</w:t>
      </w:r>
      <w:r w:rsidRPr="00AC2EEA">
        <w:rPr>
          <w:rFonts w:cstheme="minorHAnsi"/>
          <w:color w:val="231F20"/>
          <w:w w:val="105"/>
        </w:rPr>
        <w:t xml:space="preserve"> </w:t>
      </w:r>
      <w:r w:rsidRPr="00437163">
        <w:rPr>
          <w:rFonts w:cstheme="minorHAnsi"/>
          <w:color w:val="231F20"/>
          <w:w w:val="105"/>
        </w:rPr>
        <w:t>required</w:t>
      </w:r>
      <w:r w:rsidRPr="00AC2EEA">
        <w:rPr>
          <w:rFonts w:cstheme="minorHAnsi"/>
          <w:color w:val="231F20"/>
          <w:w w:val="105"/>
        </w:rPr>
        <w:t xml:space="preserve"> </w:t>
      </w:r>
      <w:r w:rsidRPr="00437163">
        <w:rPr>
          <w:rFonts w:cstheme="minorHAnsi"/>
          <w:color w:val="231F20"/>
          <w:w w:val="105"/>
        </w:rPr>
        <w:t>of</w:t>
      </w:r>
      <w:r w:rsidRPr="00AC2EEA">
        <w:rPr>
          <w:rFonts w:cstheme="minorHAnsi"/>
          <w:color w:val="231F20"/>
          <w:w w:val="105"/>
        </w:rPr>
        <w:t xml:space="preserve"> </w:t>
      </w:r>
      <w:r w:rsidRPr="00437163">
        <w:rPr>
          <w:rFonts w:cstheme="minorHAnsi"/>
          <w:color w:val="231F20"/>
          <w:w w:val="105"/>
        </w:rPr>
        <w:t>programs</w:t>
      </w:r>
      <w:r w:rsidRPr="00AC2EEA">
        <w:rPr>
          <w:rFonts w:cstheme="minorHAnsi"/>
          <w:color w:val="231F20"/>
          <w:w w:val="105"/>
        </w:rPr>
        <w:t xml:space="preserve"> </w:t>
      </w:r>
      <w:r w:rsidRPr="00437163">
        <w:rPr>
          <w:rFonts w:cstheme="minorHAnsi"/>
          <w:color w:val="231F20"/>
          <w:w w:val="105"/>
        </w:rPr>
        <w:t>receiving</w:t>
      </w:r>
      <w:r w:rsidRPr="00AC2EEA">
        <w:rPr>
          <w:rFonts w:cstheme="minorHAnsi"/>
          <w:color w:val="231F20"/>
          <w:w w:val="105"/>
        </w:rPr>
        <w:t xml:space="preserve"> </w:t>
      </w:r>
      <w:r w:rsidRPr="00437163">
        <w:rPr>
          <w:rFonts w:cstheme="minorHAnsi"/>
          <w:color w:val="231F20"/>
          <w:w w:val="105"/>
        </w:rPr>
        <w:t>a</w:t>
      </w:r>
      <w:r w:rsidRPr="00AC2EEA">
        <w:rPr>
          <w:rFonts w:cstheme="minorHAnsi"/>
          <w:color w:val="231F20"/>
          <w:w w:val="105"/>
        </w:rPr>
        <w:t xml:space="preserve"> </w:t>
      </w:r>
      <w:r w:rsidRPr="00437163">
        <w:rPr>
          <w:rFonts w:cstheme="minorHAnsi"/>
          <w:color w:val="231F20"/>
          <w:w w:val="105"/>
        </w:rPr>
        <w:t>federal</w:t>
      </w:r>
      <w:r w:rsidRPr="00AC2EEA">
        <w:rPr>
          <w:rFonts w:cstheme="minorHAnsi"/>
          <w:color w:val="231F20"/>
          <w:w w:val="105"/>
        </w:rPr>
        <w:t xml:space="preserve"> </w:t>
      </w:r>
      <w:r w:rsidRPr="00437163">
        <w:rPr>
          <w:rFonts w:cstheme="minorHAnsi"/>
          <w:color w:val="231F20"/>
          <w:w w:val="105"/>
        </w:rPr>
        <w:t>grant</w:t>
      </w:r>
      <w:r w:rsidRPr="00AC2EEA">
        <w:rPr>
          <w:rFonts w:cstheme="minorHAnsi"/>
          <w:color w:val="231F20"/>
          <w:w w:val="105"/>
        </w:rPr>
        <w:t xml:space="preserve"> </w:t>
      </w:r>
      <w:r w:rsidRPr="00437163">
        <w:rPr>
          <w:rFonts w:cstheme="minorHAnsi"/>
          <w:color w:val="231F20"/>
          <w:w w:val="105"/>
        </w:rPr>
        <w:t>and</w:t>
      </w:r>
      <w:r w:rsidRPr="00AC2EEA">
        <w:rPr>
          <w:rFonts w:cstheme="minorHAnsi"/>
          <w:color w:val="231F20"/>
          <w:w w:val="105"/>
        </w:rPr>
        <w:t xml:space="preserve"> </w:t>
      </w:r>
      <w:r w:rsidRPr="00437163">
        <w:rPr>
          <w:rFonts w:cstheme="minorHAnsi"/>
          <w:color w:val="231F20"/>
          <w:w w:val="105"/>
        </w:rPr>
        <w:t>the</w:t>
      </w:r>
      <w:r w:rsidRPr="00AC2EEA">
        <w:rPr>
          <w:rFonts w:cstheme="minorHAnsi"/>
          <w:color w:val="231F20"/>
          <w:w w:val="105"/>
        </w:rPr>
        <w:t xml:space="preserve"> </w:t>
      </w:r>
      <w:r w:rsidRPr="00437163">
        <w:rPr>
          <w:rFonts w:cstheme="minorHAnsi"/>
          <w:color w:val="231F20"/>
          <w:w w:val="105"/>
        </w:rPr>
        <w:t>target</w:t>
      </w:r>
      <w:r w:rsidRPr="00AC2EEA">
        <w:rPr>
          <w:rFonts w:cstheme="minorHAnsi"/>
          <w:color w:val="231F20"/>
          <w:w w:val="105"/>
        </w:rPr>
        <w:t xml:space="preserve"> </w:t>
      </w:r>
      <w:r w:rsidRPr="00437163">
        <w:rPr>
          <w:rFonts w:cstheme="minorHAnsi"/>
          <w:color w:val="231F20"/>
          <w:w w:val="105"/>
        </w:rPr>
        <w:t>must</w:t>
      </w:r>
      <w:r w:rsidRPr="00AC2EEA">
        <w:rPr>
          <w:rFonts w:cstheme="minorHAnsi"/>
          <w:color w:val="231F20"/>
          <w:w w:val="105"/>
        </w:rPr>
        <w:t xml:space="preserve"> </w:t>
      </w:r>
      <w:r w:rsidRPr="00437163">
        <w:rPr>
          <w:rFonts w:cstheme="minorHAnsi"/>
          <w:color w:val="231F20"/>
          <w:w w:val="105"/>
        </w:rPr>
        <w:t>be</w:t>
      </w:r>
      <w:r w:rsidRPr="00AC2EEA">
        <w:rPr>
          <w:rFonts w:cstheme="minorHAnsi"/>
          <w:color w:val="231F20"/>
          <w:w w:val="105"/>
        </w:rPr>
        <w:t xml:space="preserve"> </w:t>
      </w:r>
      <w:r w:rsidRPr="00437163">
        <w:rPr>
          <w:rFonts w:cstheme="minorHAnsi"/>
          <w:color w:val="231F20"/>
          <w:w w:val="105"/>
        </w:rPr>
        <w:t>met</w:t>
      </w:r>
      <w:r w:rsidRPr="00AC2EEA">
        <w:rPr>
          <w:rFonts w:cstheme="minorHAnsi"/>
          <w:color w:val="231F20"/>
          <w:w w:val="105"/>
        </w:rPr>
        <w:t xml:space="preserve"> </w:t>
      </w:r>
      <w:r w:rsidRPr="00437163">
        <w:rPr>
          <w:rFonts w:cstheme="minorHAnsi"/>
          <w:color w:val="231F20"/>
          <w:w w:val="105"/>
        </w:rPr>
        <w:t>(90</w:t>
      </w:r>
      <w:r w:rsidR="00762970">
        <w:rPr>
          <w:rFonts w:cstheme="minorHAnsi"/>
          <w:color w:val="231F20"/>
          <w:w w:val="105"/>
        </w:rPr>
        <w:t xml:space="preserve"> percent</w:t>
      </w:r>
      <w:r w:rsidRPr="00AC2EEA">
        <w:rPr>
          <w:rFonts w:cstheme="minorHAnsi"/>
          <w:color w:val="231F20"/>
          <w:w w:val="105"/>
        </w:rPr>
        <w:t xml:space="preserve"> </w:t>
      </w:r>
      <w:r w:rsidRPr="00437163">
        <w:rPr>
          <w:rFonts w:cstheme="minorHAnsi"/>
          <w:color w:val="231F20"/>
          <w:w w:val="105"/>
        </w:rPr>
        <w:t>of</w:t>
      </w:r>
      <w:r w:rsidRPr="00AC2EEA">
        <w:rPr>
          <w:rFonts w:cstheme="minorHAnsi"/>
          <w:color w:val="231F20"/>
          <w:w w:val="105"/>
        </w:rPr>
        <w:t xml:space="preserve"> </w:t>
      </w:r>
      <w:r w:rsidRPr="00437163">
        <w:rPr>
          <w:rFonts w:cstheme="minorHAnsi"/>
          <w:color w:val="231F20"/>
          <w:w w:val="105"/>
        </w:rPr>
        <w:t>each</w:t>
      </w:r>
      <w:r w:rsidRPr="00AC2EEA">
        <w:rPr>
          <w:rFonts w:cstheme="minorHAnsi"/>
          <w:color w:val="231F20"/>
          <w:w w:val="105"/>
        </w:rPr>
        <w:t xml:space="preserve"> </w:t>
      </w:r>
      <w:r w:rsidRPr="00437163">
        <w:rPr>
          <w:rFonts w:cstheme="minorHAnsi"/>
          <w:color w:val="231F20"/>
          <w:w w:val="105"/>
        </w:rPr>
        <w:t>EFL)</w:t>
      </w:r>
      <w:r w:rsidRPr="00AC2EEA">
        <w:rPr>
          <w:rFonts w:cstheme="minorHAnsi"/>
          <w:color w:val="231F20"/>
          <w:w w:val="105"/>
        </w:rPr>
        <w:t xml:space="preserve"> </w:t>
      </w:r>
      <w:r w:rsidRPr="00437163">
        <w:rPr>
          <w:rFonts w:cstheme="minorHAnsi"/>
          <w:color w:val="231F20"/>
          <w:w w:val="105"/>
        </w:rPr>
        <w:t>or show improvement. If these conditions aren’t met, the program is required to submit a</w:t>
      </w:r>
      <w:r w:rsidRPr="00AC2EEA">
        <w:rPr>
          <w:rFonts w:cstheme="minorHAnsi"/>
          <w:color w:val="231F20"/>
          <w:w w:val="105"/>
        </w:rPr>
        <w:t xml:space="preserve"> </w:t>
      </w:r>
      <w:r w:rsidRPr="00437163">
        <w:rPr>
          <w:rFonts w:cstheme="minorHAnsi"/>
          <w:color w:val="231F20"/>
          <w:w w:val="105"/>
        </w:rPr>
        <w:t>program</w:t>
      </w:r>
      <w:r w:rsidRPr="00AC2EEA">
        <w:rPr>
          <w:rFonts w:cstheme="minorHAnsi"/>
          <w:color w:val="231F20"/>
          <w:w w:val="105"/>
        </w:rPr>
        <w:t xml:space="preserve"> </w:t>
      </w:r>
      <w:r w:rsidRPr="00437163">
        <w:rPr>
          <w:rFonts w:cstheme="minorHAnsi"/>
          <w:color w:val="231F20"/>
          <w:w w:val="105"/>
        </w:rPr>
        <w:t>improvement</w:t>
      </w:r>
      <w:r w:rsidRPr="00AC2EEA">
        <w:rPr>
          <w:rFonts w:cstheme="minorHAnsi"/>
          <w:color w:val="231F20"/>
          <w:w w:val="105"/>
        </w:rPr>
        <w:t xml:space="preserve"> </w:t>
      </w:r>
      <w:r w:rsidRPr="00437163">
        <w:rPr>
          <w:rFonts w:cstheme="minorHAnsi"/>
          <w:color w:val="231F20"/>
          <w:w w:val="105"/>
        </w:rPr>
        <w:t>plan.</w:t>
      </w:r>
      <w:r w:rsidRPr="00AC2EEA">
        <w:rPr>
          <w:rFonts w:cstheme="minorHAnsi"/>
          <w:color w:val="231F20"/>
          <w:w w:val="105"/>
        </w:rPr>
        <w:t xml:space="preserve"> Technical </w:t>
      </w:r>
      <w:r w:rsidRPr="00437163">
        <w:rPr>
          <w:rFonts w:cstheme="minorHAnsi"/>
          <w:color w:val="231F20"/>
          <w:w w:val="105"/>
        </w:rPr>
        <w:t>assistance</w:t>
      </w:r>
      <w:r w:rsidRPr="00AC2EEA">
        <w:rPr>
          <w:rFonts w:cstheme="minorHAnsi"/>
          <w:color w:val="231F20"/>
          <w:w w:val="105"/>
        </w:rPr>
        <w:t xml:space="preserve"> </w:t>
      </w:r>
      <w:r w:rsidRPr="00437163">
        <w:rPr>
          <w:rFonts w:cstheme="minorHAnsi"/>
          <w:color w:val="231F20"/>
          <w:w w:val="105"/>
        </w:rPr>
        <w:t>and</w:t>
      </w:r>
      <w:r w:rsidRPr="00AC2EEA">
        <w:rPr>
          <w:rFonts w:cstheme="minorHAnsi"/>
          <w:color w:val="231F20"/>
          <w:w w:val="105"/>
        </w:rPr>
        <w:t xml:space="preserve"> </w:t>
      </w:r>
      <w:r w:rsidRPr="00437163">
        <w:rPr>
          <w:rFonts w:cstheme="minorHAnsi"/>
          <w:color w:val="231F20"/>
          <w:w w:val="105"/>
        </w:rPr>
        <w:t>training</w:t>
      </w:r>
      <w:r w:rsidRPr="00AC2EEA">
        <w:rPr>
          <w:rFonts w:cstheme="minorHAnsi"/>
          <w:color w:val="231F20"/>
          <w:w w:val="105"/>
        </w:rPr>
        <w:t xml:space="preserve"> </w:t>
      </w:r>
      <w:r w:rsidRPr="00437163">
        <w:rPr>
          <w:rFonts w:cstheme="minorHAnsi"/>
          <w:color w:val="231F20"/>
          <w:w w:val="105"/>
        </w:rPr>
        <w:t>is</w:t>
      </w:r>
      <w:r w:rsidRPr="00AC2EEA">
        <w:rPr>
          <w:rFonts w:cstheme="minorHAnsi"/>
          <w:color w:val="231F20"/>
          <w:w w:val="105"/>
        </w:rPr>
        <w:t xml:space="preserve"> </w:t>
      </w:r>
      <w:r w:rsidRPr="00437163">
        <w:rPr>
          <w:rFonts w:cstheme="minorHAnsi"/>
          <w:color w:val="231F20"/>
          <w:w w:val="105"/>
        </w:rPr>
        <w:t>provided.</w:t>
      </w:r>
      <w:r w:rsidRPr="00AC2EEA">
        <w:rPr>
          <w:rFonts w:cstheme="minorHAnsi"/>
          <w:color w:val="231F20"/>
          <w:w w:val="105"/>
        </w:rPr>
        <w:t xml:space="preserve"> </w:t>
      </w:r>
      <w:r w:rsidRPr="00437163">
        <w:rPr>
          <w:rFonts w:cstheme="minorHAnsi"/>
          <w:color w:val="231F20"/>
          <w:w w:val="105"/>
        </w:rPr>
        <w:t>The</w:t>
      </w:r>
      <w:r w:rsidRPr="00AC2EEA">
        <w:rPr>
          <w:rFonts w:cstheme="minorHAnsi"/>
          <w:color w:val="231F20"/>
          <w:w w:val="105"/>
        </w:rPr>
        <w:t xml:space="preserve"> </w:t>
      </w:r>
      <w:r w:rsidRPr="00437163">
        <w:rPr>
          <w:rFonts w:cstheme="minorHAnsi"/>
          <w:color w:val="231F20"/>
          <w:w w:val="105"/>
        </w:rPr>
        <w:t>chart</w:t>
      </w:r>
      <w:r w:rsidRPr="00AC2EEA">
        <w:rPr>
          <w:rFonts w:cstheme="minorHAnsi"/>
          <w:color w:val="231F20"/>
          <w:w w:val="105"/>
        </w:rPr>
        <w:t xml:space="preserve"> </w:t>
      </w:r>
      <w:r w:rsidRPr="00437163">
        <w:rPr>
          <w:rFonts w:cstheme="minorHAnsi"/>
          <w:color w:val="231F20"/>
          <w:w w:val="105"/>
        </w:rPr>
        <w:t>below</w:t>
      </w:r>
      <w:r w:rsidRPr="00AC2EEA">
        <w:rPr>
          <w:rFonts w:cstheme="minorHAnsi"/>
          <w:color w:val="231F20"/>
          <w:w w:val="105"/>
        </w:rPr>
        <w:t xml:space="preserve"> </w:t>
      </w:r>
      <w:r w:rsidRPr="00437163">
        <w:rPr>
          <w:rFonts w:cstheme="minorHAnsi"/>
          <w:color w:val="231F20"/>
          <w:w w:val="105"/>
        </w:rPr>
        <w:t>shows</w:t>
      </w:r>
      <w:r w:rsidRPr="00AC2EEA">
        <w:rPr>
          <w:rFonts w:cstheme="minorHAnsi"/>
          <w:color w:val="231F20"/>
          <w:w w:val="105"/>
        </w:rPr>
        <w:t xml:space="preserve"> </w:t>
      </w:r>
      <w:r w:rsidRPr="00437163">
        <w:rPr>
          <w:rFonts w:cstheme="minorHAnsi"/>
          <w:color w:val="231F20"/>
          <w:w w:val="105"/>
        </w:rPr>
        <w:t>the</w:t>
      </w:r>
      <w:r w:rsidRPr="00AC2EEA">
        <w:rPr>
          <w:rFonts w:cstheme="minorHAnsi"/>
          <w:color w:val="231F20"/>
          <w:w w:val="105"/>
        </w:rPr>
        <w:t xml:space="preserve"> </w:t>
      </w:r>
      <w:r w:rsidRPr="00437163">
        <w:rPr>
          <w:rFonts w:cstheme="minorHAnsi"/>
          <w:color w:val="231F20"/>
          <w:w w:val="105"/>
        </w:rPr>
        <w:t>target</w:t>
      </w:r>
      <w:r w:rsidRPr="00AC2EEA">
        <w:rPr>
          <w:rFonts w:cstheme="minorHAnsi"/>
          <w:color w:val="231F20"/>
          <w:w w:val="105"/>
        </w:rPr>
        <w:t xml:space="preserve"> </w:t>
      </w:r>
      <w:r w:rsidRPr="00437163">
        <w:rPr>
          <w:rFonts w:cstheme="minorHAnsi"/>
          <w:color w:val="231F20"/>
          <w:w w:val="105"/>
        </w:rPr>
        <w:t>and</w:t>
      </w:r>
      <w:r w:rsidRPr="00AC2EEA">
        <w:rPr>
          <w:rFonts w:cstheme="minorHAnsi"/>
          <w:color w:val="231F20"/>
          <w:w w:val="105"/>
        </w:rPr>
        <w:t xml:space="preserve"> </w:t>
      </w:r>
      <w:r w:rsidRPr="00437163">
        <w:rPr>
          <w:rFonts w:cstheme="minorHAnsi"/>
          <w:color w:val="231F20"/>
          <w:w w:val="105"/>
        </w:rPr>
        <w:t>performance for 2015-2016 and 2016-2017.</w:t>
      </w:r>
      <w:r w:rsidRPr="00E06806">
        <w:rPr>
          <w:rFonts w:cstheme="minorHAnsi"/>
          <w:color w:val="231F20"/>
          <w:w w:val="105"/>
        </w:rPr>
        <w:t xml:space="preserve"> </w:t>
      </w:r>
    </w:p>
    <w:p w14:paraId="14831BDA" w14:textId="77777777" w:rsidR="00EA7458" w:rsidRPr="00AC2EEA" w:rsidRDefault="00EA7458" w:rsidP="00AC2EEA">
      <w:pPr>
        <w:widowControl w:val="0"/>
        <w:spacing w:before="193" w:after="0" w:line="240" w:lineRule="auto"/>
        <w:ind w:left="107"/>
        <w:rPr>
          <w:rFonts w:cstheme="minorHAnsi"/>
          <w:color w:val="231F20"/>
          <w:w w:val="105"/>
        </w:rPr>
      </w:pPr>
    </w:p>
    <w:p w14:paraId="6F67A3E7" w14:textId="77777777" w:rsidR="001D1219" w:rsidRDefault="001D1219">
      <w:pPr>
        <w:rPr>
          <w:rFonts w:cstheme="minorHAnsi"/>
          <w:b/>
          <w:bCs/>
          <w:w w:val="110"/>
        </w:rPr>
      </w:pPr>
      <w:bookmarkStart w:id="89" w:name="_bookmark52"/>
      <w:bookmarkEnd w:id="89"/>
      <w:r>
        <w:rPr>
          <w:rFonts w:cstheme="minorHAnsi"/>
          <w:b/>
          <w:bCs/>
          <w:w w:val="110"/>
        </w:rPr>
        <w:br w:type="page"/>
      </w:r>
    </w:p>
    <w:p w14:paraId="7A72A350" w14:textId="77777777" w:rsidR="001D1219" w:rsidRDefault="001D1219" w:rsidP="00D63204">
      <w:pPr>
        <w:widowControl w:val="0"/>
        <w:spacing w:after="0" w:line="266" w:lineRule="exact"/>
        <w:ind w:left="107"/>
        <w:outlineLvl w:val="2"/>
        <w:rPr>
          <w:rFonts w:cstheme="minorHAnsi"/>
          <w:b/>
          <w:bCs/>
          <w:w w:val="110"/>
        </w:rPr>
      </w:pPr>
    </w:p>
    <w:p w14:paraId="25AD0EAC" w14:textId="15556F57" w:rsidR="00D749E1" w:rsidRPr="00E06806" w:rsidRDefault="00D749E1" w:rsidP="00D63204">
      <w:pPr>
        <w:widowControl w:val="0"/>
        <w:spacing w:after="0" w:line="266" w:lineRule="exact"/>
        <w:ind w:left="107"/>
        <w:outlineLvl w:val="2"/>
        <w:rPr>
          <w:rFonts w:cstheme="minorHAnsi"/>
        </w:rPr>
      </w:pPr>
      <w:r w:rsidRPr="00E06806">
        <w:rPr>
          <w:rFonts w:cstheme="minorHAnsi"/>
          <w:b/>
          <w:bCs/>
          <w:w w:val="110"/>
        </w:rPr>
        <w:t>Figure</w:t>
      </w:r>
      <w:r w:rsidRPr="00E06806">
        <w:rPr>
          <w:rFonts w:cstheme="minorHAnsi"/>
          <w:b/>
          <w:bCs/>
          <w:spacing w:val="-10"/>
          <w:w w:val="110"/>
        </w:rPr>
        <w:t xml:space="preserve"> </w:t>
      </w:r>
      <w:r w:rsidRPr="00E06806">
        <w:rPr>
          <w:rFonts w:cstheme="minorHAnsi"/>
          <w:b/>
          <w:bCs/>
          <w:spacing w:val="-6"/>
          <w:w w:val="110"/>
        </w:rPr>
        <w:t>3.1</w:t>
      </w:r>
      <w:r w:rsidR="001D1219">
        <w:rPr>
          <w:rFonts w:cstheme="minorHAnsi"/>
          <w:b/>
          <w:bCs/>
          <w:spacing w:val="-6"/>
          <w:w w:val="110"/>
        </w:rPr>
        <w:t>6</w:t>
      </w:r>
    </w:p>
    <w:p w14:paraId="7B18A5C3" w14:textId="77777777" w:rsidR="00D749E1" w:rsidRPr="00E06806" w:rsidRDefault="00D749E1" w:rsidP="00D63204">
      <w:pPr>
        <w:widowControl w:val="0"/>
        <w:spacing w:after="0" w:line="259" w:lineRule="exact"/>
        <w:ind w:left="107"/>
        <w:rPr>
          <w:rFonts w:cstheme="minorHAnsi"/>
        </w:rPr>
      </w:pPr>
      <w:r w:rsidRPr="00E06806">
        <w:rPr>
          <w:rFonts w:cstheme="minorHAnsi"/>
          <w:b/>
          <w:w w:val="110"/>
        </w:rPr>
        <w:t>Florida Adult Education State</w:t>
      </w:r>
      <w:r w:rsidRPr="00E06806">
        <w:rPr>
          <w:rFonts w:cstheme="minorHAnsi"/>
          <w:b/>
          <w:spacing w:val="-8"/>
          <w:w w:val="110"/>
        </w:rPr>
        <w:t xml:space="preserve"> </w:t>
      </w:r>
      <w:r w:rsidRPr="00E06806">
        <w:rPr>
          <w:rFonts w:cstheme="minorHAnsi"/>
          <w:b/>
          <w:spacing w:val="-3"/>
          <w:w w:val="110"/>
        </w:rPr>
        <w:t>Targets</w:t>
      </w:r>
    </w:p>
    <w:p w14:paraId="7B9C1C67" w14:textId="77777777" w:rsidR="00D749E1" w:rsidRPr="00E06806" w:rsidRDefault="00D749E1" w:rsidP="00D63204">
      <w:pPr>
        <w:widowControl w:val="0"/>
        <w:spacing w:after="0" w:line="261" w:lineRule="exact"/>
        <w:ind w:left="107"/>
        <w:rPr>
          <w:rFonts w:cstheme="minorHAnsi"/>
        </w:rPr>
      </w:pPr>
      <w:r w:rsidRPr="00E06806">
        <w:rPr>
          <w:rFonts w:cstheme="minorHAnsi"/>
          <w:b/>
          <w:color w:val="231F20"/>
          <w:w w:val="110"/>
        </w:rPr>
        <w:t>Adult Basic Education and Adult Secondary</w:t>
      </w:r>
      <w:r w:rsidRPr="00E06806">
        <w:rPr>
          <w:rFonts w:cstheme="minorHAnsi"/>
          <w:b/>
          <w:color w:val="231F20"/>
          <w:spacing w:val="-1"/>
          <w:w w:val="110"/>
        </w:rPr>
        <w:t xml:space="preserve"> </w:t>
      </w:r>
      <w:r w:rsidRPr="00E06806">
        <w:rPr>
          <w:rFonts w:cstheme="minorHAnsi"/>
          <w:b/>
          <w:color w:val="231F20"/>
          <w:w w:val="110"/>
        </w:rPr>
        <w:t>Education</w:t>
      </w:r>
    </w:p>
    <w:p w14:paraId="5DA4465B" w14:textId="77777777" w:rsidR="00D749E1" w:rsidRPr="00E06806" w:rsidRDefault="00D749E1" w:rsidP="00D63204">
      <w:pPr>
        <w:widowControl w:val="0"/>
        <w:spacing w:before="4" w:after="0" w:line="240" w:lineRule="auto"/>
        <w:ind w:left="107"/>
        <w:rPr>
          <w:rFonts w:cstheme="minorHAnsi"/>
          <w:b/>
          <w:bCs/>
          <w:sz w:val="14"/>
          <w:szCs w:val="14"/>
        </w:rPr>
      </w:pPr>
    </w:p>
    <w:p w14:paraId="022BEAAD" w14:textId="77777777" w:rsidR="00D749E1" w:rsidRPr="00E06806" w:rsidRDefault="00D749E1" w:rsidP="00D63204">
      <w:pPr>
        <w:widowControl w:val="0"/>
        <w:spacing w:before="4" w:after="0" w:line="240" w:lineRule="auto"/>
        <w:ind w:left="107"/>
        <w:rPr>
          <w:rFonts w:cstheme="minorHAnsi"/>
          <w:b/>
          <w:bCs/>
          <w:sz w:val="14"/>
          <w:szCs w:val="14"/>
        </w:rPr>
      </w:pPr>
    </w:p>
    <w:tbl>
      <w:tblPr>
        <w:tblpPr w:leftFromText="180" w:rightFromText="180" w:vertAnchor="text" w:horzAnchor="margin" w:tblpY="-66"/>
        <w:tblW w:w="0" w:type="auto"/>
        <w:tblLayout w:type="fixed"/>
        <w:tblCellMar>
          <w:left w:w="0" w:type="dxa"/>
          <w:right w:w="0" w:type="dxa"/>
        </w:tblCellMar>
        <w:tblLook w:val="01E0" w:firstRow="1" w:lastRow="1" w:firstColumn="1" w:lastColumn="1" w:noHBand="0" w:noVBand="0"/>
      </w:tblPr>
      <w:tblGrid>
        <w:gridCol w:w="1498"/>
        <w:gridCol w:w="1037"/>
        <w:gridCol w:w="1944"/>
        <w:gridCol w:w="1195"/>
        <w:gridCol w:w="1555"/>
        <w:gridCol w:w="1408"/>
        <w:gridCol w:w="1513"/>
      </w:tblGrid>
      <w:tr w:rsidR="00D749E1" w:rsidRPr="00E06806" w14:paraId="76FD5F30" w14:textId="77777777" w:rsidTr="000C4BB8">
        <w:trPr>
          <w:trHeight w:hRule="exact" w:val="672"/>
        </w:trPr>
        <w:tc>
          <w:tcPr>
            <w:tcW w:w="1498" w:type="dxa"/>
            <w:tcBorders>
              <w:top w:val="single" w:sz="2" w:space="0" w:color="231F20"/>
              <w:left w:val="single" w:sz="2" w:space="0" w:color="231F20"/>
              <w:bottom w:val="single" w:sz="2" w:space="0" w:color="231F20"/>
              <w:right w:val="single" w:sz="2" w:space="0" w:color="231F20"/>
            </w:tcBorders>
            <w:vAlign w:val="center"/>
          </w:tcPr>
          <w:p w14:paraId="69D6AB9D" w14:textId="77777777" w:rsidR="00D749E1" w:rsidRPr="00E06806" w:rsidRDefault="00D749E1" w:rsidP="007872A2">
            <w:pPr>
              <w:widowControl w:val="0"/>
              <w:spacing w:before="3" w:after="0" w:line="240" w:lineRule="auto"/>
              <w:ind w:left="107"/>
              <w:rPr>
                <w:rFonts w:cstheme="minorHAnsi"/>
                <w:b/>
                <w:bCs/>
                <w:sz w:val="18"/>
                <w:szCs w:val="18"/>
              </w:rPr>
            </w:pPr>
          </w:p>
          <w:p w14:paraId="6B828BCA" w14:textId="77777777" w:rsidR="00D749E1" w:rsidRPr="00E06806" w:rsidRDefault="00D749E1" w:rsidP="007872A2">
            <w:pPr>
              <w:widowControl w:val="0"/>
              <w:spacing w:after="0" w:line="240" w:lineRule="auto"/>
              <w:ind w:left="107"/>
              <w:rPr>
                <w:rFonts w:cstheme="minorHAnsi"/>
                <w:sz w:val="20"/>
                <w:szCs w:val="20"/>
              </w:rPr>
            </w:pPr>
            <w:r w:rsidRPr="00E06806">
              <w:rPr>
                <w:rFonts w:cstheme="minorHAnsi"/>
                <w:b/>
                <w:color w:val="231F20"/>
                <w:w w:val="105"/>
                <w:sz w:val="20"/>
              </w:rPr>
              <w:t>Measure</w:t>
            </w:r>
          </w:p>
        </w:tc>
        <w:tc>
          <w:tcPr>
            <w:tcW w:w="1037" w:type="dxa"/>
            <w:tcBorders>
              <w:top w:val="single" w:sz="2" w:space="0" w:color="231F20"/>
              <w:left w:val="single" w:sz="2" w:space="0" w:color="231F20"/>
              <w:bottom w:val="single" w:sz="2" w:space="0" w:color="231F20"/>
              <w:right w:val="single" w:sz="2" w:space="0" w:color="231F20"/>
            </w:tcBorders>
            <w:vAlign w:val="center"/>
          </w:tcPr>
          <w:p w14:paraId="0A39A87E" w14:textId="77777777" w:rsidR="00D749E1" w:rsidRPr="00E06806" w:rsidRDefault="00D749E1" w:rsidP="00D63204">
            <w:pPr>
              <w:widowControl w:val="0"/>
              <w:spacing w:before="102" w:after="0" w:line="242" w:lineRule="exact"/>
              <w:ind w:left="107"/>
              <w:rPr>
                <w:rFonts w:cstheme="minorHAnsi"/>
                <w:sz w:val="20"/>
                <w:szCs w:val="20"/>
              </w:rPr>
            </w:pPr>
            <w:r w:rsidRPr="00E06806">
              <w:rPr>
                <w:rFonts w:cstheme="minorHAnsi"/>
                <w:b/>
                <w:color w:val="231F20"/>
                <w:w w:val="105"/>
                <w:sz w:val="20"/>
              </w:rPr>
              <w:t>2015-16</w:t>
            </w:r>
          </w:p>
          <w:p w14:paraId="610190A9" w14:textId="77777777" w:rsidR="00D749E1" w:rsidRPr="00E06806" w:rsidRDefault="00D749E1" w:rsidP="00D63204">
            <w:pPr>
              <w:widowControl w:val="0"/>
              <w:spacing w:after="0" w:line="242" w:lineRule="exact"/>
              <w:ind w:left="107"/>
              <w:rPr>
                <w:rFonts w:cstheme="minorHAnsi"/>
                <w:sz w:val="20"/>
                <w:szCs w:val="20"/>
              </w:rPr>
            </w:pPr>
            <w:r w:rsidRPr="00E06806">
              <w:rPr>
                <w:rFonts w:cstheme="minorHAnsi"/>
                <w:b/>
                <w:color w:val="231F20"/>
                <w:spacing w:val="-3"/>
                <w:w w:val="110"/>
                <w:sz w:val="20"/>
              </w:rPr>
              <w:t>Target</w:t>
            </w:r>
          </w:p>
        </w:tc>
        <w:tc>
          <w:tcPr>
            <w:tcW w:w="1944" w:type="dxa"/>
            <w:tcBorders>
              <w:top w:val="single" w:sz="2" w:space="0" w:color="231F20"/>
              <w:left w:val="single" w:sz="2" w:space="0" w:color="231F20"/>
              <w:bottom w:val="single" w:sz="2" w:space="0" w:color="231F20"/>
              <w:right w:val="single" w:sz="2" w:space="0" w:color="231F20"/>
            </w:tcBorders>
            <w:vAlign w:val="center"/>
          </w:tcPr>
          <w:p w14:paraId="141787A7" w14:textId="77777777" w:rsidR="00D749E1" w:rsidRPr="00E06806" w:rsidRDefault="00D749E1" w:rsidP="00D63204">
            <w:pPr>
              <w:widowControl w:val="0"/>
              <w:spacing w:before="102" w:after="0" w:line="242" w:lineRule="exact"/>
              <w:ind w:left="107"/>
              <w:rPr>
                <w:rFonts w:cstheme="minorHAnsi"/>
                <w:sz w:val="20"/>
                <w:szCs w:val="20"/>
              </w:rPr>
            </w:pPr>
            <w:r w:rsidRPr="00E06806">
              <w:rPr>
                <w:rFonts w:cstheme="minorHAnsi"/>
                <w:b/>
                <w:color w:val="231F20"/>
                <w:w w:val="105"/>
                <w:sz w:val="20"/>
              </w:rPr>
              <w:t>2015-16</w:t>
            </w:r>
          </w:p>
          <w:p w14:paraId="65BBC67E" w14:textId="77777777" w:rsidR="00D749E1" w:rsidRPr="00E06806" w:rsidRDefault="00D749E1" w:rsidP="00D63204">
            <w:pPr>
              <w:widowControl w:val="0"/>
              <w:spacing w:after="0" w:line="242" w:lineRule="exact"/>
              <w:ind w:left="107"/>
              <w:rPr>
                <w:rFonts w:cstheme="minorHAnsi"/>
                <w:sz w:val="20"/>
                <w:szCs w:val="20"/>
              </w:rPr>
            </w:pPr>
            <w:r w:rsidRPr="00E06806">
              <w:rPr>
                <w:rFonts w:cstheme="minorHAnsi"/>
                <w:b/>
                <w:color w:val="231F20"/>
                <w:w w:val="110"/>
                <w:sz w:val="20"/>
              </w:rPr>
              <w:t>Performance</w:t>
            </w:r>
          </w:p>
        </w:tc>
        <w:tc>
          <w:tcPr>
            <w:tcW w:w="1195" w:type="dxa"/>
            <w:tcBorders>
              <w:top w:val="single" w:sz="2" w:space="0" w:color="231F20"/>
              <w:left w:val="single" w:sz="2" w:space="0" w:color="231F20"/>
              <w:bottom w:val="single" w:sz="2" w:space="0" w:color="231F20"/>
              <w:right w:val="single" w:sz="2" w:space="0" w:color="231F20"/>
            </w:tcBorders>
            <w:vAlign w:val="center"/>
          </w:tcPr>
          <w:p w14:paraId="6FBAABC8" w14:textId="77777777" w:rsidR="00D749E1" w:rsidRPr="00E06806" w:rsidRDefault="00D749E1" w:rsidP="00D63204">
            <w:pPr>
              <w:widowControl w:val="0"/>
              <w:spacing w:before="102" w:after="0" w:line="242" w:lineRule="exact"/>
              <w:ind w:left="107"/>
              <w:rPr>
                <w:rFonts w:cstheme="minorHAnsi"/>
                <w:sz w:val="20"/>
                <w:szCs w:val="20"/>
              </w:rPr>
            </w:pPr>
            <w:r w:rsidRPr="00E06806">
              <w:rPr>
                <w:rFonts w:cstheme="minorHAnsi"/>
                <w:b/>
                <w:color w:val="231F20"/>
                <w:w w:val="105"/>
                <w:sz w:val="20"/>
              </w:rPr>
              <w:t>2016-17</w:t>
            </w:r>
          </w:p>
          <w:p w14:paraId="675D19F4" w14:textId="77777777" w:rsidR="00D749E1" w:rsidRPr="00E06806" w:rsidRDefault="00D749E1" w:rsidP="00D63204">
            <w:pPr>
              <w:widowControl w:val="0"/>
              <w:spacing w:after="0" w:line="242" w:lineRule="exact"/>
              <w:ind w:left="107"/>
              <w:rPr>
                <w:rFonts w:cstheme="minorHAnsi"/>
                <w:sz w:val="20"/>
                <w:szCs w:val="20"/>
              </w:rPr>
            </w:pPr>
            <w:r w:rsidRPr="00E06806">
              <w:rPr>
                <w:rFonts w:cstheme="minorHAnsi"/>
                <w:b/>
                <w:color w:val="231F20"/>
                <w:spacing w:val="-3"/>
                <w:w w:val="110"/>
                <w:sz w:val="20"/>
              </w:rPr>
              <w:t>Target</w:t>
            </w:r>
          </w:p>
        </w:tc>
        <w:tc>
          <w:tcPr>
            <w:tcW w:w="1555" w:type="dxa"/>
            <w:tcBorders>
              <w:top w:val="single" w:sz="2" w:space="0" w:color="231F20"/>
              <w:left w:val="single" w:sz="2" w:space="0" w:color="231F20"/>
              <w:bottom w:val="single" w:sz="2" w:space="0" w:color="231F20"/>
              <w:right w:val="single" w:sz="2" w:space="0" w:color="231F20"/>
            </w:tcBorders>
            <w:vAlign w:val="center"/>
          </w:tcPr>
          <w:p w14:paraId="79B9A10B" w14:textId="77777777" w:rsidR="00D749E1" w:rsidRPr="00E06806" w:rsidRDefault="00D749E1" w:rsidP="00D63204">
            <w:pPr>
              <w:widowControl w:val="0"/>
              <w:spacing w:before="102" w:after="0" w:line="242" w:lineRule="exact"/>
              <w:ind w:left="107"/>
              <w:rPr>
                <w:rFonts w:cstheme="minorHAnsi"/>
                <w:sz w:val="20"/>
                <w:szCs w:val="20"/>
              </w:rPr>
            </w:pPr>
            <w:r w:rsidRPr="00E06806">
              <w:rPr>
                <w:rFonts w:cstheme="minorHAnsi"/>
                <w:b/>
                <w:color w:val="231F20"/>
                <w:w w:val="105"/>
                <w:sz w:val="20"/>
              </w:rPr>
              <w:t>2016-17</w:t>
            </w:r>
          </w:p>
          <w:p w14:paraId="6164296A" w14:textId="77777777" w:rsidR="00D749E1" w:rsidRPr="00E06806" w:rsidRDefault="00D749E1" w:rsidP="00D63204">
            <w:pPr>
              <w:widowControl w:val="0"/>
              <w:spacing w:after="0" w:line="242" w:lineRule="exact"/>
              <w:ind w:left="107"/>
              <w:rPr>
                <w:rFonts w:cstheme="minorHAnsi"/>
                <w:sz w:val="20"/>
                <w:szCs w:val="20"/>
              </w:rPr>
            </w:pPr>
            <w:r w:rsidRPr="00E06806">
              <w:rPr>
                <w:rFonts w:cstheme="minorHAnsi"/>
                <w:b/>
                <w:color w:val="231F20"/>
                <w:w w:val="110"/>
                <w:sz w:val="20"/>
              </w:rPr>
              <w:t>Performance</w:t>
            </w:r>
          </w:p>
        </w:tc>
        <w:tc>
          <w:tcPr>
            <w:tcW w:w="1408" w:type="dxa"/>
            <w:tcBorders>
              <w:top w:val="single" w:sz="2" w:space="0" w:color="231F20"/>
              <w:left w:val="single" w:sz="2" w:space="0" w:color="231F20"/>
              <w:bottom w:val="single" w:sz="2" w:space="0" w:color="231F20"/>
              <w:right w:val="single" w:sz="2" w:space="0" w:color="231F20"/>
            </w:tcBorders>
            <w:vAlign w:val="center"/>
          </w:tcPr>
          <w:p w14:paraId="5A95C29D" w14:textId="77777777" w:rsidR="00D749E1" w:rsidRPr="00E06806" w:rsidRDefault="00D749E1" w:rsidP="00D63204">
            <w:pPr>
              <w:widowControl w:val="0"/>
              <w:spacing w:before="102" w:after="0" w:line="242" w:lineRule="exact"/>
              <w:ind w:left="107"/>
              <w:rPr>
                <w:rFonts w:cstheme="minorHAnsi"/>
                <w:sz w:val="20"/>
                <w:szCs w:val="20"/>
              </w:rPr>
            </w:pPr>
            <w:r w:rsidRPr="00E06806">
              <w:rPr>
                <w:rFonts w:cstheme="minorHAnsi"/>
                <w:b/>
                <w:color w:val="231F20"/>
                <w:w w:val="105"/>
                <w:sz w:val="20"/>
              </w:rPr>
              <w:t>2017-18</w:t>
            </w:r>
          </w:p>
          <w:p w14:paraId="3E57EB95" w14:textId="77777777" w:rsidR="00D749E1" w:rsidRPr="00E06806" w:rsidRDefault="00D749E1" w:rsidP="00D63204">
            <w:pPr>
              <w:widowControl w:val="0"/>
              <w:spacing w:after="0" w:line="242" w:lineRule="exact"/>
              <w:ind w:left="107"/>
              <w:rPr>
                <w:rFonts w:cstheme="minorHAnsi"/>
                <w:sz w:val="20"/>
                <w:szCs w:val="20"/>
              </w:rPr>
            </w:pPr>
            <w:r w:rsidRPr="00E06806">
              <w:rPr>
                <w:rFonts w:cstheme="minorHAnsi"/>
                <w:b/>
                <w:color w:val="231F20"/>
                <w:spacing w:val="-3"/>
                <w:w w:val="110"/>
                <w:sz w:val="20"/>
              </w:rPr>
              <w:t>Target</w:t>
            </w:r>
          </w:p>
        </w:tc>
        <w:tc>
          <w:tcPr>
            <w:tcW w:w="1513" w:type="dxa"/>
            <w:tcBorders>
              <w:top w:val="single" w:sz="2" w:space="0" w:color="231F20"/>
              <w:left w:val="single" w:sz="2" w:space="0" w:color="231F20"/>
              <w:bottom w:val="single" w:sz="2" w:space="0" w:color="231F20"/>
              <w:right w:val="single" w:sz="2" w:space="0" w:color="231F20"/>
            </w:tcBorders>
            <w:vAlign w:val="center"/>
          </w:tcPr>
          <w:p w14:paraId="4DF59835" w14:textId="77777777" w:rsidR="00D749E1" w:rsidRPr="00E06806" w:rsidRDefault="00D749E1" w:rsidP="00D63204">
            <w:pPr>
              <w:widowControl w:val="0"/>
              <w:spacing w:before="102" w:after="0" w:line="242" w:lineRule="exact"/>
              <w:ind w:left="107"/>
              <w:rPr>
                <w:rFonts w:cstheme="minorHAnsi"/>
                <w:sz w:val="20"/>
                <w:szCs w:val="20"/>
              </w:rPr>
            </w:pPr>
            <w:r w:rsidRPr="00E06806">
              <w:rPr>
                <w:rFonts w:cstheme="minorHAnsi"/>
                <w:b/>
                <w:color w:val="231F20"/>
                <w:w w:val="105"/>
                <w:sz w:val="20"/>
              </w:rPr>
              <w:t>2017-18</w:t>
            </w:r>
          </w:p>
          <w:p w14:paraId="61DD045D" w14:textId="77777777" w:rsidR="00D749E1" w:rsidRPr="00E06806" w:rsidRDefault="00D749E1" w:rsidP="00D63204">
            <w:pPr>
              <w:widowControl w:val="0"/>
              <w:spacing w:after="0" w:line="242" w:lineRule="exact"/>
              <w:ind w:left="107"/>
              <w:rPr>
                <w:rFonts w:cstheme="minorHAnsi"/>
                <w:sz w:val="20"/>
                <w:szCs w:val="20"/>
              </w:rPr>
            </w:pPr>
            <w:r w:rsidRPr="00E06806">
              <w:rPr>
                <w:rFonts w:cstheme="minorHAnsi"/>
                <w:b/>
                <w:color w:val="231F20"/>
                <w:w w:val="110"/>
                <w:sz w:val="20"/>
              </w:rPr>
              <w:t>Performance</w:t>
            </w:r>
          </w:p>
        </w:tc>
      </w:tr>
      <w:tr w:rsidR="00D749E1" w:rsidRPr="00E06806" w14:paraId="76885887" w14:textId="77777777" w:rsidTr="00E3449F">
        <w:trPr>
          <w:trHeight w:hRule="exact" w:val="630"/>
        </w:trPr>
        <w:tc>
          <w:tcPr>
            <w:tcW w:w="1498" w:type="dxa"/>
            <w:tcBorders>
              <w:top w:val="single" w:sz="2" w:space="0" w:color="231F20"/>
              <w:left w:val="single" w:sz="2" w:space="0" w:color="231F20"/>
              <w:bottom w:val="single" w:sz="2" w:space="0" w:color="231F20"/>
              <w:right w:val="single" w:sz="2" w:space="0" w:color="231F20"/>
            </w:tcBorders>
            <w:shd w:val="clear" w:color="auto" w:fill="E6E7E8"/>
            <w:vAlign w:val="center"/>
          </w:tcPr>
          <w:p w14:paraId="7139BADB" w14:textId="77777777" w:rsidR="00D749E1" w:rsidRPr="00E06806" w:rsidRDefault="00D749E1" w:rsidP="00E3449F">
            <w:pPr>
              <w:widowControl w:val="0"/>
              <w:spacing w:before="79" w:after="0" w:line="240" w:lineRule="exact"/>
              <w:ind w:left="107"/>
              <w:rPr>
                <w:rFonts w:cstheme="minorHAnsi"/>
                <w:sz w:val="20"/>
                <w:szCs w:val="20"/>
              </w:rPr>
            </w:pPr>
            <w:r w:rsidRPr="00E06806">
              <w:rPr>
                <w:rFonts w:cstheme="minorHAnsi"/>
                <w:color w:val="231F20"/>
                <w:w w:val="110"/>
                <w:sz w:val="20"/>
              </w:rPr>
              <w:t>ABE</w:t>
            </w:r>
            <w:r w:rsidRPr="00E06806">
              <w:rPr>
                <w:rFonts w:cstheme="minorHAnsi"/>
                <w:color w:val="231F20"/>
                <w:spacing w:val="20"/>
                <w:w w:val="110"/>
                <w:sz w:val="20"/>
              </w:rPr>
              <w:t xml:space="preserve"> </w:t>
            </w:r>
            <w:r w:rsidRPr="00E06806">
              <w:rPr>
                <w:rFonts w:cstheme="minorHAnsi"/>
                <w:color w:val="231F20"/>
                <w:w w:val="110"/>
                <w:sz w:val="20"/>
              </w:rPr>
              <w:t>Beginning</w:t>
            </w:r>
            <w:r w:rsidRPr="00E06806">
              <w:rPr>
                <w:rFonts w:cstheme="minorHAnsi"/>
                <w:color w:val="231F20"/>
                <w:spacing w:val="-47"/>
                <w:w w:val="110"/>
                <w:sz w:val="20"/>
              </w:rPr>
              <w:t xml:space="preserve"> </w:t>
            </w:r>
            <w:r w:rsidRPr="00E06806">
              <w:rPr>
                <w:rFonts w:cstheme="minorHAnsi"/>
                <w:color w:val="231F20"/>
                <w:w w:val="110"/>
                <w:sz w:val="20"/>
              </w:rPr>
              <w:t>Literacy</w:t>
            </w:r>
          </w:p>
        </w:tc>
        <w:tc>
          <w:tcPr>
            <w:tcW w:w="1037" w:type="dxa"/>
            <w:tcBorders>
              <w:top w:val="single" w:sz="2" w:space="0" w:color="231F20"/>
              <w:left w:val="single" w:sz="2" w:space="0" w:color="231F20"/>
              <w:bottom w:val="single" w:sz="2" w:space="0" w:color="231F20"/>
              <w:right w:val="single" w:sz="2" w:space="0" w:color="231F20"/>
            </w:tcBorders>
            <w:shd w:val="clear" w:color="auto" w:fill="E6E7E8"/>
            <w:vAlign w:val="center"/>
          </w:tcPr>
          <w:p w14:paraId="11B68A62" w14:textId="77777777" w:rsidR="00D749E1" w:rsidRPr="00E06806" w:rsidRDefault="00D749E1" w:rsidP="00D63204">
            <w:pPr>
              <w:widowControl w:val="0"/>
              <w:spacing w:after="0" w:line="240" w:lineRule="auto"/>
              <w:ind w:left="107"/>
              <w:rPr>
                <w:rFonts w:cstheme="minorHAnsi"/>
                <w:sz w:val="20"/>
                <w:szCs w:val="20"/>
              </w:rPr>
            </w:pPr>
            <w:r w:rsidRPr="00E06806">
              <w:rPr>
                <w:rFonts w:cstheme="minorHAnsi"/>
                <w:color w:val="231F20"/>
                <w:sz w:val="20"/>
              </w:rPr>
              <w:t>38%</w:t>
            </w:r>
          </w:p>
        </w:tc>
        <w:tc>
          <w:tcPr>
            <w:tcW w:w="1944" w:type="dxa"/>
            <w:tcBorders>
              <w:top w:val="single" w:sz="2" w:space="0" w:color="231F20"/>
              <w:left w:val="single" w:sz="2" w:space="0" w:color="231F20"/>
              <w:bottom w:val="single" w:sz="2" w:space="0" w:color="231F20"/>
              <w:right w:val="single" w:sz="2" w:space="0" w:color="231F20"/>
            </w:tcBorders>
            <w:shd w:val="clear" w:color="auto" w:fill="E6E7E8"/>
            <w:vAlign w:val="center"/>
          </w:tcPr>
          <w:p w14:paraId="29A3A283" w14:textId="77777777" w:rsidR="00D749E1" w:rsidRPr="00E06806" w:rsidRDefault="00D749E1" w:rsidP="00D63204">
            <w:pPr>
              <w:widowControl w:val="0"/>
              <w:spacing w:after="0" w:line="240" w:lineRule="auto"/>
              <w:ind w:left="107"/>
              <w:rPr>
                <w:rFonts w:cstheme="minorHAnsi"/>
                <w:sz w:val="20"/>
                <w:szCs w:val="20"/>
              </w:rPr>
            </w:pPr>
            <w:r w:rsidRPr="00E06806">
              <w:rPr>
                <w:rFonts w:cstheme="minorHAnsi"/>
                <w:color w:val="231F20"/>
                <w:w w:val="105"/>
                <w:sz w:val="20"/>
              </w:rPr>
              <w:t>28%</w:t>
            </w:r>
          </w:p>
        </w:tc>
        <w:tc>
          <w:tcPr>
            <w:tcW w:w="1195" w:type="dxa"/>
            <w:tcBorders>
              <w:top w:val="single" w:sz="2" w:space="0" w:color="231F20"/>
              <w:left w:val="single" w:sz="2" w:space="0" w:color="231F20"/>
              <w:bottom w:val="single" w:sz="2" w:space="0" w:color="231F20"/>
              <w:right w:val="single" w:sz="2" w:space="0" w:color="231F20"/>
            </w:tcBorders>
            <w:shd w:val="clear" w:color="auto" w:fill="E6E7E8"/>
            <w:vAlign w:val="center"/>
          </w:tcPr>
          <w:p w14:paraId="25969644" w14:textId="77777777" w:rsidR="00D749E1" w:rsidRPr="00E06806" w:rsidRDefault="00D749E1" w:rsidP="00D63204">
            <w:pPr>
              <w:widowControl w:val="0"/>
              <w:spacing w:after="0" w:line="240" w:lineRule="auto"/>
              <w:ind w:left="107"/>
              <w:rPr>
                <w:rFonts w:cstheme="minorHAnsi"/>
                <w:sz w:val="20"/>
                <w:szCs w:val="20"/>
              </w:rPr>
            </w:pPr>
            <w:r w:rsidRPr="00E06806">
              <w:rPr>
                <w:rFonts w:cstheme="minorHAnsi"/>
                <w:color w:val="231F20"/>
                <w:w w:val="105"/>
                <w:sz w:val="20"/>
              </w:rPr>
              <w:t>40%</w:t>
            </w:r>
          </w:p>
        </w:tc>
        <w:tc>
          <w:tcPr>
            <w:tcW w:w="1555" w:type="dxa"/>
            <w:tcBorders>
              <w:top w:val="single" w:sz="2" w:space="0" w:color="231F20"/>
              <w:left w:val="single" w:sz="2" w:space="0" w:color="231F20"/>
              <w:bottom w:val="single" w:sz="2" w:space="0" w:color="231F20"/>
              <w:right w:val="single" w:sz="2" w:space="0" w:color="231F20"/>
            </w:tcBorders>
            <w:shd w:val="clear" w:color="auto" w:fill="E6E7E8"/>
            <w:vAlign w:val="center"/>
          </w:tcPr>
          <w:p w14:paraId="74165AC8" w14:textId="77777777" w:rsidR="00D749E1" w:rsidRPr="00E06806" w:rsidRDefault="00D749E1" w:rsidP="00D63204">
            <w:pPr>
              <w:widowControl w:val="0"/>
              <w:spacing w:after="0" w:line="240" w:lineRule="auto"/>
              <w:ind w:left="107"/>
              <w:rPr>
                <w:rFonts w:cstheme="minorHAnsi"/>
                <w:sz w:val="20"/>
                <w:szCs w:val="20"/>
              </w:rPr>
            </w:pPr>
            <w:r w:rsidRPr="00E06806">
              <w:rPr>
                <w:rFonts w:cstheme="minorHAnsi"/>
                <w:color w:val="231F20"/>
                <w:w w:val="105"/>
                <w:sz w:val="20"/>
              </w:rPr>
              <w:t>22.24%</w:t>
            </w:r>
          </w:p>
        </w:tc>
        <w:tc>
          <w:tcPr>
            <w:tcW w:w="1408" w:type="dxa"/>
            <w:tcBorders>
              <w:top w:val="single" w:sz="2" w:space="0" w:color="231F20"/>
              <w:left w:val="single" w:sz="2" w:space="0" w:color="231F20"/>
              <w:bottom w:val="single" w:sz="2" w:space="0" w:color="231F20"/>
              <w:right w:val="single" w:sz="2" w:space="0" w:color="231F20"/>
            </w:tcBorders>
            <w:shd w:val="clear" w:color="auto" w:fill="E6E7E8"/>
            <w:vAlign w:val="center"/>
          </w:tcPr>
          <w:p w14:paraId="26E0685D" w14:textId="77777777" w:rsidR="00D749E1" w:rsidRPr="00E06806" w:rsidRDefault="00D749E1" w:rsidP="00D63204">
            <w:pPr>
              <w:widowControl w:val="0"/>
              <w:spacing w:after="0" w:line="240" w:lineRule="auto"/>
              <w:ind w:left="107"/>
              <w:rPr>
                <w:rFonts w:cstheme="minorHAnsi"/>
                <w:sz w:val="20"/>
                <w:szCs w:val="20"/>
              </w:rPr>
            </w:pPr>
            <w:r w:rsidRPr="00E06806">
              <w:rPr>
                <w:rFonts w:cstheme="minorHAnsi"/>
                <w:sz w:val="20"/>
                <w:szCs w:val="20"/>
              </w:rPr>
              <w:t>43</w:t>
            </w:r>
          </w:p>
        </w:tc>
        <w:tc>
          <w:tcPr>
            <w:tcW w:w="1513" w:type="dxa"/>
            <w:tcBorders>
              <w:top w:val="single" w:sz="2" w:space="0" w:color="231F20"/>
              <w:left w:val="single" w:sz="2" w:space="0" w:color="231F20"/>
              <w:bottom w:val="single" w:sz="2" w:space="0" w:color="231F20"/>
              <w:right w:val="single" w:sz="2" w:space="0" w:color="231F20"/>
            </w:tcBorders>
            <w:shd w:val="clear" w:color="auto" w:fill="E6E7E8"/>
            <w:vAlign w:val="center"/>
          </w:tcPr>
          <w:p w14:paraId="34AD46F8" w14:textId="77777777" w:rsidR="00D749E1" w:rsidRPr="00E06806" w:rsidRDefault="00D749E1" w:rsidP="00D63204">
            <w:pPr>
              <w:widowControl w:val="0"/>
              <w:spacing w:after="0" w:line="240" w:lineRule="auto"/>
              <w:ind w:left="107"/>
              <w:rPr>
                <w:rFonts w:cstheme="minorHAnsi"/>
                <w:sz w:val="20"/>
                <w:szCs w:val="20"/>
              </w:rPr>
            </w:pPr>
            <w:r w:rsidRPr="00E06806">
              <w:rPr>
                <w:rFonts w:cstheme="minorHAnsi"/>
                <w:color w:val="231F20"/>
                <w:w w:val="105"/>
                <w:sz w:val="20"/>
              </w:rPr>
              <w:t>Not</w:t>
            </w:r>
            <w:r w:rsidRPr="00E06806">
              <w:rPr>
                <w:rFonts w:cstheme="minorHAnsi"/>
                <w:color w:val="231F20"/>
                <w:spacing w:val="22"/>
                <w:w w:val="105"/>
                <w:sz w:val="20"/>
              </w:rPr>
              <w:t xml:space="preserve"> </w:t>
            </w:r>
            <w:r w:rsidRPr="00E06806">
              <w:rPr>
                <w:rFonts w:cstheme="minorHAnsi"/>
                <w:color w:val="231F20"/>
                <w:w w:val="105"/>
                <w:sz w:val="20"/>
              </w:rPr>
              <w:t>available</w:t>
            </w:r>
          </w:p>
        </w:tc>
      </w:tr>
      <w:tr w:rsidR="00D749E1" w:rsidRPr="00E06806" w14:paraId="626FD6A0" w14:textId="77777777" w:rsidTr="002043E0">
        <w:trPr>
          <w:trHeight w:hRule="exact" w:val="475"/>
        </w:trPr>
        <w:tc>
          <w:tcPr>
            <w:tcW w:w="1498" w:type="dxa"/>
            <w:tcBorders>
              <w:top w:val="single" w:sz="2" w:space="0" w:color="231F20"/>
              <w:left w:val="single" w:sz="2" w:space="0" w:color="231F20"/>
              <w:bottom w:val="single" w:sz="2" w:space="0" w:color="231F20"/>
              <w:right w:val="single" w:sz="2" w:space="0" w:color="231F20"/>
            </w:tcBorders>
          </w:tcPr>
          <w:p w14:paraId="67B93B56" w14:textId="77777777" w:rsidR="00D749E1" w:rsidRPr="00E06806" w:rsidRDefault="00D749E1" w:rsidP="002043E0">
            <w:pPr>
              <w:widowControl w:val="0"/>
              <w:spacing w:before="123" w:after="0" w:line="240" w:lineRule="auto"/>
              <w:ind w:left="107"/>
              <w:rPr>
                <w:rFonts w:cstheme="minorHAnsi"/>
                <w:sz w:val="20"/>
                <w:szCs w:val="20"/>
              </w:rPr>
            </w:pPr>
            <w:r w:rsidRPr="00E06806">
              <w:rPr>
                <w:rFonts w:cstheme="minorHAnsi"/>
                <w:color w:val="231F20"/>
                <w:w w:val="110"/>
                <w:sz w:val="20"/>
              </w:rPr>
              <w:t>ABE</w:t>
            </w:r>
            <w:r w:rsidRPr="00E06806">
              <w:rPr>
                <w:rFonts w:cstheme="minorHAnsi"/>
                <w:color w:val="231F20"/>
                <w:spacing w:val="23"/>
                <w:w w:val="110"/>
                <w:sz w:val="20"/>
              </w:rPr>
              <w:t xml:space="preserve"> </w:t>
            </w:r>
            <w:r w:rsidRPr="00E06806">
              <w:rPr>
                <w:rFonts w:cstheme="minorHAnsi"/>
                <w:color w:val="231F20"/>
                <w:w w:val="110"/>
                <w:sz w:val="20"/>
              </w:rPr>
              <w:t>Beginning</w:t>
            </w:r>
          </w:p>
        </w:tc>
        <w:tc>
          <w:tcPr>
            <w:tcW w:w="1037" w:type="dxa"/>
            <w:tcBorders>
              <w:top w:val="single" w:sz="2" w:space="0" w:color="231F20"/>
              <w:left w:val="single" w:sz="2" w:space="0" w:color="231F20"/>
              <w:bottom w:val="single" w:sz="2" w:space="0" w:color="231F20"/>
              <w:right w:val="single" w:sz="2" w:space="0" w:color="231F20"/>
            </w:tcBorders>
          </w:tcPr>
          <w:p w14:paraId="48263BAB" w14:textId="77777777" w:rsidR="00D749E1" w:rsidRPr="00E06806" w:rsidRDefault="00D749E1" w:rsidP="00D63204">
            <w:pPr>
              <w:widowControl w:val="0"/>
              <w:spacing w:before="123" w:after="0" w:line="240" w:lineRule="auto"/>
              <w:ind w:left="107"/>
              <w:rPr>
                <w:rFonts w:cstheme="minorHAnsi"/>
                <w:sz w:val="20"/>
                <w:szCs w:val="20"/>
              </w:rPr>
            </w:pPr>
            <w:r w:rsidRPr="00E06806">
              <w:rPr>
                <w:rFonts w:cstheme="minorHAnsi"/>
                <w:color w:val="231F20"/>
                <w:w w:val="105"/>
                <w:sz w:val="20"/>
              </w:rPr>
              <w:t>43%</w:t>
            </w:r>
          </w:p>
        </w:tc>
        <w:tc>
          <w:tcPr>
            <w:tcW w:w="1944" w:type="dxa"/>
            <w:tcBorders>
              <w:top w:val="single" w:sz="2" w:space="0" w:color="231F20"/>
              <w:left w:val="single" w:sz="2" w:space="0" w:color="231F20"/>
              <w:bottom w:val="single" w:sz="2" w:space="0" w:color="231F20"/>
              <w:right w:val="single" w:sz="2" w:space="0" w:color="231F20"/>
            </w:tcBorders>
          </w:tcPr>
          <w:p w14:paraId="7DCBD866" w14:textId="77777777" w:rsidR="00D749E1" w:rsidRPr="00E06806" w:rsidRDefault="00D749E1" w:rsidP="00D63204">
            <w:pPr>
              <w:widowControl w:val="0"/>
              <w:spacing w:before="123" w:after="0" w:line="240" w:lineRule="auto"/>
              <w:ind w:left="107"/>
              <w:rPr>
                <w:rFonts w:cstheme="minorHAnsi"/>
                <w:sz w:val="20"/>
                <w:szCs w:val="20"/>
              </w:rPr>
            </w:pPr>
            <w:r w:rsidRPr="00E06806">
              <w:rPr>
                <w:rFonts w:cstheme="minorHAnsi"/>
                <w:color w:val="231F20"/>
                <w:w w:val="105"/>
                <w:sz w:val="20"/>
              </w:rPr>
              <w:t>32%</w:t>
            </w:r>
          </w:p>
        </w:tc>
        <w:tc>
          <w:tcPr>
            <w:tcW w:w="1195" w:type="dxa"/>
            <w:tcBorders>
              <w:top w:val="single" w:sz="2" w:space="0" w:color="231F20"/>
              <w:left w:val="single" w:sz="2" w:space="0" w:color="231F20"/>
              <w:bottom w:val="single" w:sz="2" w:space="0" w:color="231F20"/>
              <w:right w:val="single" w:sz="2" w:space="0" w:color="231F20"/>
            </w:tcBorders>
          </w:tcPr>
          <w:p w14:paraId="1039B3A0" w14:textId="77777777" w:rsidR="00D749E1" w:rsidRPr="00E06806" w:rsidRDefault="00D749E1" w:rsidP="00D63204">
            <w:pPr>
              <w:widowControl w:val="0"/>
              <w:spacing w:before="123" w:after="0" w:line="240" w:lineRule="auto"/>
              <w:ind w:left="107"/>
              <w:rPr>
                <w:rFonts w:cstheme="minorHAnsi"/>
                <w:sz w:val="20"/>
                <w:szCs w:val="20"/>
              </w:rPr>
            </w:pPr>
            <w:r w:rsidRPr="00E06806">
              <w:rPr>
                <w:rFonts w:cstheme="minorHAnsi"/>
                <w:color w:val="231F20"/>
                <w:w w:val="105"/>
                <w:sz w:val="20"/>
              </w:rPr>
              <w:t>40%</w:t>
            </w:r>
          </w:p>
        </w:tc>
        <w:tc>
          <w:tcPr>
            <w:tcW w:w="1555" w:type="dxa"/>
            <w:tcBorders>
              <w:top w:val="single" w:sz="2" w:space="0" w:color="231F20"/>
              <w:left w:val="single" w:sz="2" w:space="0" w:color="231F20"/>
              <w:bottom w:val="single" w:sz="2" w:space="0" w:color="231F20"/>
              <w:right w:val="single" w:sz="2" w:space="0" w:color="231F20"/>
            </w:tcBorders>
          </w:tcPr>
          <w:p w14:paraId="10ACAA44" w14:textId="77777777" w:rsidR="00D749E1" w:rsidRPr="00E06806" w:rsidRDefault="00D749E1" w:rsidP="00D63204">
            <w:pPr>
              <w:widowControl w:val="0"/>
              <w:spacing w:before="123" w:after="0" w:line="240" w:lineRule="auto"/>
              <w:ind w:left="107"/>
              <w:rPr>
                <w:rFonts w:cstheme="minorHAnsi"/>
                <w:sz w:val="20"/>
                <w:szCs w:val="20"/>
              </w:rPr>
            </w:pPr>
            <w:r w:rsidRPr="00E06806">
              <w:rPr>
                <w:rFonts w:cstheme="minorHAnsi"/>
                <w:color w:val="231F20"/>
                <w:w w:val="105"/>
                <w:sz w:val="20"/>
              </w:rPr>
              <w:t>27.34%</w:t>
            </w:r>
          </w:p>
        </w:tc>
        <w:tc>
          <w:tcPr>
            <w:tcW w:w="1408" w:type="dxa"/>
            <w:tcBorders>
              <w:top w:val="single" w:sz="2" w:space="0" w:color="231F20"/>
              <w:left w:val="single" w:sz="2" w:space="0" w:color="231F20"/>
              <w:bottom w:val="single" w:sz="2" w:space="0" w:color="231F20"/>
              <w:right w:val="single" w:sz="2" w:space="0" w:color="231F20"/>
            </w:tcBorders>
          </w:tcPr>
          <w:p w14:paraId="4B0C9B77" w14:textId="77777777" w:rsidR="00D749E1" w:rsidRPr="00E06806" w:rsidRDefault="00D749E1" w:rsidP="00D63204">
            <w:pPr>
              <w:widowControl w:val="0"/>
              <w:spacing w:before="123" w:after="0" w:line="240" w:lineRule="auto"/>
              <w:ind w:left="107"/>
              <w:rPr>
                <w:rFonts w:cstheme="minorHAnsi"/>
                <w:sz w:val="20"/>
                <w:szCs w:val="20"/>
              </w:rPr>
            </w:pPr>
            <w:r w:rsidRPr="00E06806">
              <w:rPr>
                <w:rFonts w:cstheme="minorHAnsi"/>
                <w:sz w:val="20"/>
                <w:szCs w:val="20"/>
              </w:rPr>
              <w:t>42</w:t>
            </w:r>
          </w:p>
        </w:tc>
        <w:tc>
          <w:tcPr>
            <w:tcW w:w="1513" w:type="dxa"/>
            <w:tcBorders>
              <w:top w:val="single" w:sz="2" w:space="0" w:color="231F20"/>
              <w:left w:val="single" w:sz="2" w:space="0" w:color="231F20"/>
              <w:bottom w:val="single" w:sz="2" w:space="0" w:color="231F20"/>
              <w:right w:val="single" w:sz="2" w:space="0" w:color="231F20"/>
            </w:tcBorders>
          </w:tcPr>
          <w:p w14:paraId="3DB4F6E0" w14:textId="77777777" w:rsidR="00D749E1" w:rsidRPr="00E06806" w:rsidRDefault="00D749E1" w:rsidP="00D63204">
            <w:pPr>
              <w:widowControl w:val="0"/>
              <w:spacing w:before="123" w:after="0" w:line="240" w:lineRule="auto"/>
              <w:ind w:left="107"/>
              <w:rPr>
                <w:rFonts w:cstheme="minorHAnsi"/>
                <w:sz w:val="20"/>
                <w:szCs w:val="20"/>
              </w:rPr>
            </w:pPr>
            <w:r w:rsidRPr="00E06806">
              <w:rPr>
                <w:rFonts w:cstheme="minorHAnsi"/>
                <w:color w:val="231F20"/>
                <w:w w:val="105"/>
                <w:sz w:val="20"/>
              </w:rPr>
              <w:t>Not</w:t>
            </w:r>
            <w:r w:rsidRPr="00E06806">
              <w:rPr>
                <w:rFonts w:cstheme="minorHAnsi"/>
                <w:color w:val="231F20"/>
                <w:spacing w:val="22"/>
                <w:w w:val="105"/>
                <w:sz w:val="20"/>
              </w:rPr>
              <w:t xml:space="preserve"> </w:t>
            </w:r>
            <w:r w:rsidRPr="00E06806">
              <w:rPr>
                <w:rFonts w:cstheme="minorHAnsi"/>
                <w:color w:val="231F20"/>
                <w:w w:val="105"/>
                <w:sz w:val="20"/>
              </w:rPr>
              <w:t>available</w:t>
            </w:r>
          </w:p>
        </w:tc>
      </w:tr>
      <w:tr w:rsidR="00D749E1" w:rsidRPr="00E06806" w14:paraId="54D61D24" w14:textId="77777777" w:rsidTr="00E3449F">
        <w:trPr>
          <w:trHeight w:hRule="exact" w:val="569"/>
        </w:trPr>
        <w:tc>
          <w:tcPr>
            <w:tcW w:w="1498" w:type="dxa"/>
            <w:tcBorders>
              <w:top w:val="single" w:sz="2" w:space="0" w:color="231F20"/>
              <w:left w:val="single" w:sz="2" w:space="0" w:color="231F20"/>
              <w:bottom w:val="single" w:sz="2" w:space="0" w:color="231F20"/>
              <w:right w:val="single" w:sz="2" w:space="0" w:color="231F20"/>
            </w:tcBorders>
            <w:shd w:val="clear" w:color="auto" w:fill="E6E7E8"/>
          </w:tcPr>
          <w:p w14:paraId="77899D80" w14:textId="77777777" w:rsidR="00D749E1" w:rsidRPr="00FD2E60" w:rsidRDefault="00D749E1" w:rsidP="00E3449F">
            <w:pPr>
              <w:widowControl w:val="0"/>
              <w:spacing w:before="79" w:after="0" w:line="240" w:lineRule="exact"/>
              <w:ind w:left="107"/>
              <w:rPr>
                <w:rFonts w:cstheme="minorHAnsi"/>
                <w:color w:val="231F20"/>
                <w:w w:val="110"/>
                <w:sz w:val="20"/>
              </w:rPr>
            </w:pPr>
            <w:r w:rsidRPr="00FD2E60">
              <w:rPr>
                <w:rFonts w:cstheme="minorHAnsi"/>
                <w:color w:val="231F20"/>
                <w:w w:val="110"/>
                <w:sz w:val="20"/>
              </w:rPr>
              <w:t>ABE Low Intermediate</w:t>
            </w:r>
          </w:p>
        </w:tc>
        <w:tc>
          <w:tcPr>
            <w:tcW w:w="1037" w:type="dxa"/>
            <w:tcBorders>
              <w:top w:val="single" w:sz="2" w:space="0" w:color="231F20"/>
              <w:left w:val="single" w:sz="2" w:space="0" w:color="231F20"/>
              <w:bottom w:val="single" w:sz="2" w:space="0" w:color="231F20"/>
              <w:right w:val="single" w:sz="2" w:space="0" w:color="231F20"/>
            </w:tcBorders>
            <w:shd w:val="clear" w:color="auto" w:fill="E6E7E8"/>
            <w:vAlign w:val="center"/>
          </w:tcPr>
          <w:p w14:paraId="756C2E7C" w14:textId="77777777" w:rsidR="00D749E1" w:rsidRPr="00E06806" w:rsidRDefault="00D749E1" w:rsidP="00D63204">
            <w:pPr>
              <w:widowControl w:val="0"/>
              <w:spacing w:before="170" w:after="0" w:line="240" w:lineRule="auto"/>
              <w:ind w:left="107"/>
              <w:rPr>
                <w:rFonts w:cstheme="minorHAnsi"/>
                <w:sz w:val="20"/>
                <w:szCs w:val="20"/>
              </w:rPr>
            </w:pPr>
            <w:r w:rsidRPr="00E06806">
              <w:rPr>
                <w:rFonts w:cstheme="minorHAnsi"/>
                <w:color w:val="231F20"/>
                <w:w w:val="105"/>
                <w:sz w:val="20"/>
              </w:rPr>
              <w:t>47%</w:t>
            </w:r>
          </w:p>
        </w:tc>
        <w:tc>
          <w:tcPr>
            <w:tcW w:w="1944" w:type="dxa"/>
            <w:tcBorders>
              <w:top w:val="single" w:sz="2" w:space="0" w:color="231F20"/>
              <w:left w:val="single" w:sz="2" w:space="0" w:color="231F20"/>
              <w:bottom w:val="single" w:sz="2" w:space="0" w:color="231F20"/>
              <w:right w:val="single" w:sz="2" w:space="0" w:color="231F20"/>
            </w:tcBorders>
            <w:shd w:val="clear" w:color="auto" w:fill="E6E7E8"/>
            <w:vAlign w:val="center"/>
          </w:tcPr>
          <w:p w14:paraId="524035F8" w14:textId="77777777" w:rsidR="00D749E1" w:rsidRPr="00E06806" w:rsidRDefault="00D749E1" w:rsidP="00D63204">
            <w:pPr>
              <w:widowControl w:val="0"/>
              <w:spacing w:before="170" w:after="0" w:line="240" w:lineRule="auto"/>
              <w:ind w:left="107"/>
              <w:rPr>
                <w:rFonts w:cstheme="minorHAnsi"/>
                <w:sz w:val="20"/>
                <w:szCs w:val="20"/>
              </w:rPr>
            </w:pPr>
            <w:r w:rsidRPr="00E06806">
              <w:rPr>
                <w:rFonts w:cstheme="minorHAnsi"/>
                <w:color w:val="231F20"/>
                <w:w w:val="95"/>
                <w:sz w:val="20"/>
              </w:rPr>
              <w:t>33%</w:t>
            </w:r>
          </w:p>
        </w:tc>
        <w:tc>
          <w:tcPr>
            <w:tcW w:w="1195" w:type="dxa"/>
            <w:tcBorders>
              <w:top w:val="single" w:sz="2" w:space="0" w:color="231F20"/>
              <w:left w:val="single" w:sz="2" w:space="0" w:color="231F20"/>
              <w:bottom w:val="single" w:sz="2" w:space="0" w:color="231F20"/>
              <w:right w:val="single" w:sz="2" w:space="0" w:color="231F20"/>
            </w:tcBorders>
            <w:shd w:val="clear" w:color="auto" w:fill="E6E7E8"/>
            <w:vAlign w:val="center"/>
          </w:tcPr>
          <w:p w14:paraId="04634CBB" w14:textId="77777777" w:rsidR="00D749E1" w:rsidRPr="00E06806" w:rsidRDefault="00D749E1" w:rsidP="00D63204">
            <w:pPr>
              <w:widowControl w:val="0"/>
              <w:spacing w:before="170" w:after="0" w:line="240" w:lineRule="auto"/>
              <w:ind w:left="107"/>
              <w:rPr>
                <w:rFonts w:cstheme="minorHAnsi"/>
                <w:sz w:val="20"/>
                <w:szCs w:val="20"/>
              </w:rPr>
            </w:pPr>
            <w:r w:rsidRPr="00E06806">
              <w:rPr>
                <w:rFonts w:cstheme="minorHAnsi"/>
                <w:color w:val="231F20"/>
                <w:w w:val="105"/>
                <w:sz w:val="20"/>
              </w:rPr>
              <w:t>39%</w:t>
            </w:r>
          </w:p>
        </w:tc>
        <w:tc>
          <w:tcPr>
            <w:tcW w:w="1555" w:type="dxa"/>
            <w:tcBorders>
              <w:top w:val="single" w:sz="2" w:space="0" w:color="231F20"/>
              <w:left w:val="single" w:sz="2" w:space="0" w:color="231F20"/>
              <w:bottom w:val="single" w:sz="2" w:space="0" w:color="231F20"/>
              <w:right w:val="single" w:sz="2" w:space="0" w:color="231F20"/>
            </w:tcBorders>
            <w:shd w:val="clear" w:color="auto" w:fill="E6E7E8"/>
            <w:vAlign w:val="center"/>
          </w:tcPr>
          <w:p w14:paraId="7083490B" w14:textId="77777777" w:rsidR="00D749E1" w:rsidRPr="00E06806" w:rsidRDefault="00D749E1" w:rsidP="00D63204">
            <w:pPr>
              <w:widowControl w:val="0"/>
              <w:spacing w:before="170" w:after="0" w:line="240" w:lineRule="auto"/>
              <w:ind w:left="107"/>
              <w:rPr>
                <w:rFonts w:cstheme="minorHAnsi"/>
                <w:sz w:val="20"/>
                <w:szCs w:val="20"/>
              </w:rPr>
            </w:pPr>
            <w:r w:rsidRPr="00E06806">
              <w:rPr>
                <w:rFonts w:cstheme="minorHAnsi"/>
                <w:color w:val="231F20"/>
                <w:w w:val="105"/>
                <w:sz w:val="20"/>
              </w:rPr>
              <w:t>31.26%</w:t>
            </w:r>
          </w:p>
        </w:tc>
        <w:tc>
          <w:tcPr>
            <w:tcW w:w="1408" w:type="dxa"/>
            <w:tcBorders>
              <w:top w:val="single" w:sz="2" w:space="0" w:color="231F20"/>
              <w:left w:val="single" w:sz="2" w:space="0" w:color="231F20"/>
              <w:bottom w:val="single" w:sz="2" w:space="0" w:color="231F20"/>
              <w:right w:val="single" w:sz="2" w:space="0" w:color="231F20"/>
            </w:tcBorders>
            <w:shd w:val="clear" w:color="auto" w:fill="E6E7E8"/>
            <w:vAlign w:val="center"/>
          </w:tcPr>
          <w:p w14:paraId="77962427" w14:textId="77777777" w:rsidR="00D749E1" w:rsidRPr="00E06806" w:rsidRDefault="00D749E1" w:rsidP="00D63204">
            <w:pPr>
              <w:widowControl w:val="0"/>
              <w:spacing w:before="170" w:after="0" w:line="240" w:lineRule="auto"/>
              <w:ind w:left="107"/>
              <w:rPr>
                <w:rFonts w:cstheme="minorHAnsi"/>
                <w:sz w:val="20"/>
                <w:szCs w:val="20"/>
              </w:rPr>
            </w:pPr>
            <w:r w:rsidRPr="00E06806">
              <w:rPr>
                <w:rFonts w:cstheme="minorHAnsi"/>
                <w:sz w:val="20"/>
                <w:szCs w:val="20"/>
              </w:rPr>
              <w:t>41</w:t>
            </w:r>
          </w:p>
        </w:tc>
        <w:tc>
          <w:tcPr>
            <w:tcW w:w="1513" w:type="dxa"/>
            <w:tcBorders>
              <w:top w:val="single" w:sz="2" w:space="0" w:color="231F20"/>
              <w:left w:val="single" w:sz="2" w:space="0" w:color="231F20"/>
              <w:bottom w:val="single" w:sz="2" w:space="0" w:color="231F20"/>
              <w:right w:val="single" w:sz="2" w:space="0" w:color="231F20"/>
            </w:tcBorders>
            <w:shd w:val="clear" w:color="auto" w:fill="E6E7E8"/>
            <w:vAlign w:val="center"/>
          </w:tcPr>
          <w:p w14:paraId="55F5E16E" w14:textId="77777777" w:rsidR="00D749E1" w:rsidRPr="00E06806" w:rsidRDefault="00D749E1" w:rsidP="00D63204">
            <w:pPr>
              <w:widowControl w:val="0"/>
              <w:spacing w:before="170" w:after="0" w:line="240" w:lineRule="auto"/>
              <w:ind w:left="107"/>
              <w:rPr>
                <w:rFonts w:cstheme="minorHAnsi"/>
                <w:sz w:val="20"/>
                <w:szCs w:val="20"/>
              </w:rPr>
            </w:pPr>
            <w:r w:rsidRPr="00E06806">
              <w:rPr>
                <w:rFonts w:cstheme="minorHAnsi"/>
                <w:color w:val="231F20"/>
                <w:w w:val="105"/>
                <w:sz w:val="20"/>
              </w:rPr>
              <w:t>Not</w:t>
            </w:r>
            <w:r w:rsidRPr="00E06806">
              <w:rPr>
                <w:rFonts w:cstheme="minorHAnsi"/>
                <w:color w:val="231F20"/>
                <w:spacing w:val="22"/>
                <w:w w:val="105"/>
                <w:sz w:val="20"/>
              </w:rPr>
              <w:t xml:space="preserve"> </w:t>
            </w:r>
            <w:r w:rsidRPr="00E06806">
              <w:rPr>
                <w:rFonts w:cstheme="minorHAnsi"/>
                <w:color w:val="231F20"/>
                <w:w w:val="105"/>
                <w:sz w:val="20"/>
              </w:rPr>
              <w:t>available</w:t>
            </w:r>
          </w:p>
        </w:tc>
      </w:tr>
      <w:tr w:rsidR="00D749E1" w:rsidRPr="00E06806" w14:paraId="7426FE0E" w14:textId="77777777" w:rsidTr="002043E0">
        <w:trPr>
          <w:trHeight w:hRule="exact" w:val="585"/>
        </w:trPr>
        <w:tc>
          <w:tcPr>
            <w:tcW w:w="1498" w:type="dxa"/>
            <w:tcBorders>
              <w:top w:val="single" w:sz="2" w:space="0" w:color="231F20"/>
              <w:left w:val="single" w:sz="2" w:space="0" w:color="231F20"/>
              <w:bottom w:val="single" w:sz="2" w:space="0" w:color="231F20"/>
              <w:right w:val="single" w:sz="2" w:space="0" w:color="231F20"/>
            </w:tcBorders>
          </w:tcPr>
          <w:p w14:paraId="3528C24C" w14:textId="77777777" w:rsidR="00D749E1" w:rsidRPr="00E06806" w:rsidRDefault="00D749E1" w:rsidP="002043E0">
            <w:pPr>
              <w:widowControl w:val="0"/>
              <w:spacing w:before="57" w:after="0" w:line="240" w:lineRule="exact"/>
              <w:ind w:left="107"/>
              <w:rPr>
                <w:rFonts w:cstheme="minorHAnsi"/>
                <w:sz w:val="20"/>
                <w:szCs w:val="20"/>
              </w:rPr>
            </w:pPr>
            <w:r w:rsidRPr="00E06806">
              <w:rPr>
                <w:rFonts w:cstheme="minorHAnsi"/>
                <w:color w:val="231F20"/>
                <w:w w:val="105"/>
                <w:sz w:val="20"/>
              </w:rPr>
              <w:t>ABE High</w:t>
            </w:r>
            <w:r w:rsidRPr="00E06806">
              <w:rPr>
                <w:rFonts w:cstheme="minorHAnsi"/>
                <w:color w:val="231F20"/>
                <w:spacing w:val="13"/>
                <w:w w:val="105"/>
                <w:sz w:val="20"/>
              </w:rPr>
              <w:t xml:space="preserve"> </w:t>
            </w:r>
            <w:r w:rsidRPr="00E06806">
              <w:rPr>
                <w:rFonts w:cstheme="minorHAnsi"/>
                <w:color w:val="231F20"/>
                <w:sz w:val="20"/>
              </w:rPr>
              <w:t>Intermediate</w:t>
            </w:r>
          </w:p>
        </w:tc>
        <w:tc>
          <w:tcPr>
            <w:tcW w:w="1037" w:type="dxa"/>
            <w:tcBorders>
              <w:top w:val="single" w:sz="2" w:space="0" w:color="231F20"/>
              <w:left w:val="single" w:sz="2" w:space="0" w:color="231F20"/>
              <w:bottom w:val="single" w:sz="2" w:space="0" w:color="231F20"/>
              <w:right w:val="single" w:sz="2" w:space="0" w:color="231F20"/>
            </w:tcBorders>
            <w:vAlign w:val="center"/>
          </w:tcPr>
          <w:p w14:paraId="77B2BDBD" w14:textId="77777777" w:rsidR="00D749E1" w:rsidRPr="00E06806" w:rsidRDefault="00D749E1" w:rsidP="00D63204">
            <w:pPr>
              <w:widowControl w:val="0"/>
              <w:spacing w:before="178" w:after="0" w:line="240" w:lineRule="auto"/>
              <w:ind w:left="107"/>
              <w:rPr>
                <w:rFonts w:cstheme="minorHAnsi"/>
                <w:sz w:val="20"/>
                <w:szCs w:val="20"/>
              </w:rPr>
            </w:pPr>
            <w:r w:rsidRPr="00E06806">
              <w:rPr>
                <w:rFonts w:cstheme="minorHAnsi"/>
                <w:color w:val="231F20"/>
                <w:w w:val="110"/>
                <w:sz w:val="20"/>
              </w:rPr>
              <w:t>51%</w:t>
            </w:r>
          </w:p>
        </w:tc>
        <w:tc>
          <w:tcPr>
            <w:tcW w:w="1944" w:type="dxa"/>
            <w:tcBorders>
              <w:top w:val="single" w:sz="2" w:space="0" w:color="231F20"/>
              <w:left w:val="single" w:sz="2" w:space="0" w:color="231F20"/>
              <w:bottom w:val="single" w:sz="2" w:space="0" w:color="231F20"/>
              <w:right w:val="single" w:sz="2" w:space="0" w:color="231F20"/>
            </w:tcBorders>
            <w:vAlign w:val="center"/>
          </w:tcPr>
          <w:p w14:paraId="1F25FD97" w14:textId="77777777" w:rsidR="00D749E1" w:rsidRPr="00E06806" w:rsidRDefault="00D749E1" w:rsidP="00D63204">
            <w:pPr>
              <w:widowControl w:val="0"/>
              <w:spacing w:before="178" w:after="0" w:line="240" w:lineRule="auto"/>
              <w:ind w:left="107"/>
              <w:rPr>
                <w:rFonts w:cstheme="minorHAnsi"/>
                <w:sz w:val="20"/>
                <w:szCs w:val="20"/>
              </w:rPr>
            </w:pPr>
            <w:r w:rsidRPr="00E06806">
              <w:rPr>
                <w:rFonts w:cstheme="minorHAnsi"/>
                <w:color w:val="231F20"/>
                <w:sz w:val="20"/>
              </w:rPr>
              <w:t>34%</w:t>
            </w:r>
          </w:p>
        </w:tc>
        <w:tc>
          <w:tcPr>
            <w:tcW w:w="1195" w:type="dxa"/>
            <w:tcBorders>
              <w:top w:val="single" w:sz="2" w:space="0" w:color="231F20"/>
              <w:left w:val="single" w:sz="2" w:space="0" w:color="231F20"/>
              <w:bottom w:val="single" w:sz="2" w:space="0" w:color="231F20"/>
              <w:right w:val="single" w:sz="2" w:space="0" w:color="231F20"/>
            </w:tcBorders>
            <w:vAlign w:val="center"/>
          </w:tcPr>
          <w:p w14:paraId="0F7E3C23" w14:textId="77777777" w:rsidR="00D749E1" w:rsidRPr="00E06806" w:rsidRDefault="00D749E1" w:rsidP="00D63204">
            <w:pPr>
              <w:widowControl w:val="0"/>
              <w:spacing w:before="178" w:after="0" w:line="240" w:lineRule="auto"/>
              <w:ind w:left="107"/>
              <w:rPr>
                <w:rFonts w:cstheme="minorHAnsi"/>
                <w:sz w:val="20"/>
                <w:szCs w:val="20"/>
              </w:rPr>
            </w:pPr>
            <w:r w:rsidRPr="00E06806">
              <w:rPr>
                <w:rFonts w:cstheme="minorHAnsi"/>
                <w:color w:val="231F20"/>
                <w:w w:val="110"/>
                <w:sz w:val="20"/>
              </w:rPr>
              <w:t>40%</w:t>
            </w:r>
          </w:p>
        </w:tc>
        <w:tc>
          <w:tcPr>
            <w:tcW w:w="1555" w:type="dxa"/>
            <w:tcBorders>
              <w:top w:val="single" w:sz="2" w:space="0" w:color="231F20"/>
              <w:left w:val="single" w:sz="2" w:space="0" w:color="231F20"/>
              <w:bottom w:val="single" w:sz="2" w:space="0" w:color="231F20"/>
              <w:right w:val="single" w:sz="2" w:space="0" w:color="231F20"/>
            </w:tcBorders>
            <w:vAlign w:val="center"/>
          </w:tcPr>
          <w:p w14:paraId="78D5B99E" w14:textId="77777777" w:rsidR="00D749E1" w:rsidRPr="00E06806" w:rsidRDefault="00D749E1" w:rsidP="00D63204">
            <w:pPr>
              <w:widowControl w:val="0"/>
              <w:spacing w:before="178" w:after="0" w:line="240" w:lineRule="auto"/>
              <w:ind w:left="107"/>
              <w:rPr>
                <w:rFonts w:cstheme="minorHAnsi"/>
                <w:sz w:val="20"/>
                <w:szCs w:val="20"/>
              </w:rPr>
            </w:pPr>
            <w:r w:rsidRPr="00E06806">
              <w:rPr>
                <w:rFonts w:cstheme="minorHAnsi"/>
                <w:color w:val="231F20"/>
                <w:w w:val="105"/>
                <w:sz w:val="20"/>
              </w:rPr>
              <w:t>33.93%</w:t>
            </w:r>
          </w:p>
        </w:tc>
        <w:tc>
          <w:tcPr>
            <w:tcW w:w="1408" w:type="dxa"/>
            <w:tcBorders>
              <w:top w:val="single" w:sz="2" w:space="0" w:color="231F20"/>
              <w:left w:val="single" w:sz="2" w:space="0" w:color="231F20"/>
              <w:bottom w:val="single" w:sz="2" w:space="0" w:color="231F20"/>
              <w:right w:val="single" w:sz="2" w:space="0" w:color="231F20"/>
            </w:tcBorders>
            <w:vAlign w:val="center"/>
          </w:tcPr>
          <w:p w14:paraId="3A3ED75D" w14:textId="77777777" w:rsidR="00D749E1" w:rsidRPr="00E06806" w:rsidRDefault="00D749E1" w:rsidP="00D63204">
            <w:pPr>
              <w:widowControl w:val="0"/>
              <w:spacing w:before="178" w:after="0" w:line="240" w:lineRule="auto"/>
              <w:ind w:left="107"/>
              <w:rPr>
                <w:rFonts w:cstheme="minorHAnsi"/>
                <w:sz w:val="20"/>
                <w:szCs w:val="20"/>
              </w:rPr>
            </w:pPr>
            <w:r w:rsidRPr="00E06806">
              <w:rPr>
                <w:rFonts w:cstheme="minorHAnsi"/>
                <w:sz w:val="20"/>
                <w:szCs w:val="20"/>
              </w:rPr>
              <w:t>42</w:t>
            </w:r>
          </w:p>
        </w:tc>
        <w:tc>
          <w:tcPr>
            <w:tcW w:w="1513" w:type="dxa"/>
            <w:tcBorders>
              <w:top w:val="single" w:sz="2" w:space="0" w:color="231F20"/>
              <w:left w:val="single" w:sz="2" w:space="0" w:color="231F20"/>
              <w:bottom w:val="single" w:sz="2" w:space="0" w:color="231F20"/>
              <w:right w:val="single" w:sz="2" w:space="0" w:color="231F20"/>
            </w:tcBorders>
            <w:vAlign w:val="center"/>
          </w:tcPr>
          <w:p w14:paraId="17D8D318" w14:textId="77777777" w:rsidR="00D749E1" w:rsidRPr="00E06806" w:rsidRDefault="00D749E1" w:rsidP="00D63204">
            <w:pPr>
              <w:widowControl w:val="0"/>
              <w:spacing w:before="178" w:after="0" w:line="240" w:lineRule="auto"/>
              <w:ind w:left="107"/>
              <w:rPr>
                <w:rFonts w:cstheme="minorHAnsi"/>
                <w:sz w:val="20"/>
                <w:szCs w:val="20"/>
              </w:rPr>
            </w:pPr>
            <w:r w:rsidRPr="00E06806">
              <w:rPr>
                <w:rFonts w:cstheme="minorHAnsi"/>
                <w:color w:val="231F20"/>
                <w:w w:val="105"/>
                <w:sz w:val="20"/>
              </w:rPr>
              <w:t>Not</w:t>
            </w:r>
            <w:r w:rsidRPr="00E06806">
              <w:rPr>
                <w:rFonts w:cstheme="minorHAnsi"/>
                <w:color w:val="231F20"/>
                <w:spacing w:val="22"/>
                <w:w w:val="105"/>
                <w:sz w:val="20"/>
              </w:rPr>
              <w:t xml:space="preserve"> </w:t>
            </w:r>
            <w:r w:rsidRPr="00E06806">
              <w:rPr>
                <w:rFonts w:cstheme="minorHAnsi"/>
                <w:color w:val="231F20"/>
                <w:w w:val="105"/>
                <w:sz w:val="20"/>
              </w:rPr>
              <w:t>available</w:t>
            </w:r>
          </w:p>
        </w:tc>
      </w:tr>
      <w:tr w:rsidR="00D749E1" w:rsidRPr="00E06806" w14:paraId="39D0E6B7" w14:textId="77777777" w:rsidTr="00E3449F">
        <w:trPr>
          <w:trHeight w:hRule="exact" w:val="569"/>
        </w:trPr>
        <w:tc>
          <w:tcPr>
            <w:tcW w:w="1498" w:type="dxa"/>
            <w:tcBorders>
              <w:top w:val="single" w:sz="2" w:space="0" w:color="231F20"/>
              <w:left w:val="single" w:sz="2" w:space="0" w:color="231F20"/>
              <w:bottom w:val="single" w:sz="2" w:space="0" w:color="231F20"/>
              <w:right w:val="single" w:sz="2" w:space="0" w:color="231F20"/>
            </w:tcBorders>
            <w:shd w:val="clear" w:color="auto" w:fill="E6E7E8"/>
            <w:vAlign w:val="center"/>
          </w:tcPr>
          <w:p w14:paraId="16ED6416" w14:textId="77777777" w:rsidR="00D749E1" w:rsidRPr="000C4BB8" w:rsidRDefault="00D749E1" w:rsidP="002043E0">
            <w:pPr>
              <w:widowControl w:val="0"/>
              <w:spacing w:before="57" w:after="0" w:line="240" w:lineRule="exact"/>
              <w:ind w:left="107"/>
              <w:rPr>
                <w:rFonts w:cstheme="minorHAnsi"/>
                <w:color w:val="231F20"/>
                <w:w w:val="105"/>
                <w:sz w:val="20"/>
              </w:rPr>
            </w:pPr>
            <w:r w:rsidRPr="000C4BB8">
              <w:rPr>
                <w:rFonts w:cstheme="minorHAnsi"/>
                <w:color w:val="231F20"/>
                <w:w w:val="105"/>
                <w:sz w:val="20"/>
              </w:rPr>
              <w:t>ASE Low</w:t>
            </w:r>
          </w:p>
        </w:tc>
        <w:tc>
          <w:tcPr>
            <w:tcW w:w="1037" w:type="dxa"/>
            <w:tcBorders>
              <w:top w:val="single" w:sz="2" w:space="0" w:color="231F20"/>
              <w:left w:val="single" w:sz="2" w:space="0" w:color="231F20"/>
              <w:bottom w:val="single" w:sz="2" w:space="0" w:color="231F20"/>
              <w:right w:val="single" w:sz="2" w:space="0" w:color="231F20"/>
            </w:tcBorders>
            <w:shd w:val="clear" w:color="auto" w:fill="E6E7E8"/>
          </w:tcPr>
          <w:p w14:paraId="2C25635B" w14:textId="77777777" w:rsidR="00D749E1" w:rsidRPr="00E06806" w:rsidRDefault="00D749E1" w:rsidP="00D63204">
            <w:pPr>
              <w:widowControl w:val="0"/>
              <w:spacing w:before="170" w:after="0" w:line="240" w:lineRule="auto"/>
              <w:ind w:left="107"/>
              <w:rPr>
                <w:rFonts w:cstheme="minorHAnsi"/>
                <w:sz w:val="20"/>
                <w:szCs w:val="20"/>
              </w:rPr>
            </w:pPr>
            <w:r w:rsidRPr="00E06806">
              <w:rPr>
                <w:rFonts w:cstheme="minorHAnsi"/>
                <w:color w:val="231F20"/>
                <w:w w:val="110"/>
                <w:sz w:val="20"/>
              </w:rPr>
              <w:t>56%</w:t>
            </w:r>
          </w:p>
        </w:tc>
        <w:tc>
          <w:tcPr>
            <w:tcW w:w="1944" w:type="dxa"/>
            <w:tcBorders>
              <w:top w:val="single" w:sz="2" w:space="0" w:color="231F20"/>
              <w:left w:val="single" w:sz="2" w:space="0" w:color="231F20"/>
              <w:bottom w:val="single" w:sz="2" w:space="0" w:color="231F20"/>
              <w:right w:val="single" w:sz="2" w:space="0" w:color="231F20"/>
            </w:tcBorders>
            <w:shd w:val="clear" w:color="auto" w:fill="E6E7E8"/>
          </w:tcPr>
          <w:p w14:paraId="316158DA" w14:textId="77777777" w:rsidR="00D749E1" w:rsidRPr="00E06806" w:rsidRDefault="00D749E1" w:rsidP="00D63204">
            <w:pPr>
              <w:widowControl w:val="0"/>
              <w:spacing w:before="170" w:after="0" w:line="240" w:lineRule="auto"/>
              <w:ind w:left="107"/>
              <w:rPr>
                <w:rFonts w:cstheme="minorHAnsi"/>
                <w:sz w:val="20"/>
                <w:szCs w:val="20"/>
              </w:rPr>
            </w:pPr>
            <w:r w:rsidRPr="00E06806">
              <w:rPr>
                <w:rFonts w:cstheme="minorHAnsi"/>
                <w:color w:val="231F20"/>
                <w:sz w:val="20"/>
              </w:rPr>
              <w:t>24%</w:t>
            </w:r>
          </w:p>
        </w:tc>
        <w:tc>
          <w:tcPr>
            <w:tcW w:w="1195" w:type="dxa"/>
            <w:tcBorders>
              <w:top w:val="single" w:sz="2" w:space="0" w:color="231F20"/>
              <w:left w:val="single" w:sz="2" w:space="0" w:color="231F20"/>
              <w:bottom w:val="single" w:sz="2" w:space="0" w:color="231F20"/>
              <w:right w:val="single" w:sz="2" w:space="0" w:color="231F20"/>
            </w:tcBorders>
            <w:shd w:val="clear" w:color="auto" w:fill="E6E7E8"/>
          </w:tcPr>
          <w:p w14:paraId="7E9A5EE9" w14:textId="77777777" w:rsidR="00D749E1" w:rsidRPr="00E06806" w:rsidRDefault="00D749E1" w:rsidP="00D63204">
            <w:pPr>
              <w:widowControl w:val="0"/>
              <w:spacing w:before="170" w:after="0" w:line="240" w:lineRule="auto"/>
              <w:ind w:left="107"/>
              <w:rPr>
                <w:rFonts w:cstheme="minorHAnsi"/>
                <w:sz w:val="20"/>
                <w:szCs w:val="20"/>
              </w:rPr>
            </w:pPr>
            <w:r w:rsidRPr="00E06806">
              <w:rPr>
                <w:rFonts w:cstheme="minorHAnsi"/>
                <w:color w:val="231F20"/>
                <w:w w:val="110"/>
                <w:sz w:val="20"/>
              </w:rPr>
              <w:t>42%</w:t>
            </w:r>
          </w:p>
        </w:tc>
        <w:tc>
          <w:tcPr>
            <w:tcW w:w="1555" w:type="dxa"/>
            <w:tcBorders>
              <w:top w:val="single" w:sz="2" w:space="0" w:color="231F20"/>
              <w:left w:val="single" w:sz="2" w:space="0" w:color="231F20"/>
              <w:bottom w:val="single" w:sz="2" w:space="0" w:color="231F20"/>
              <w:right w:val="single" w:sz="2" w:space="0" w:color="231F20"/>
            </w:tcBorders>
            <w:shd w:val="clear" w:color="auto" w:fill="E6E7E8"/>
          </w:tcPr>
          <w:p w14:paraId="033807EF" w14:textId="77777777" w:rsidR="00D749E1" w:rsidRPr="00E06806" w:rsidRDefault="00D749E1" w:rsidP="00D63204">
            <w:pPr>
              <w:widowControl w:val="0"/>
              <w:spacing w:before="170" w:after="0" w:line="240" w:lineRule="auto"/>
              <w:ind w:left="107"/>
              <w:rPr>
                <w:rFonts w:cstheme="minorHAnsi"/>
                <w:sz w:val="20"/>
                <w:szCs w:val="20"/>
              </w:rPr>
            </w:pPr>
            <w:r w:rsidRPr="00E06806">
              <w:rPr>
                <w:rFonts w:cstheme="minorHAnsi"/>
                <w:color w:val="231F20"/>
                <w:w w:val="105"/>
                <w:sz w:val="20"/>
              </w:rPr>
              <w:t>41.74%</w:t>
            </w:r>
          </w:p>
        </w:tc>
        <w:tc>
          <w:tcPr>
            <w:tcW w:w="1408" w:type="dxa"/>
            <w:tcBorders>
              <w:top w:val="single" w:sz="2" w:space="0" w:color="231F20"/>
              <w:left w:val="single" w:sz="2" w:space="0" w:color="231F20"/>
              <w:bottom w:val="single" w:sz="2" w:space="0" w:color="231F20"/>
              <w:right w:val="single" w:sz="2" w:space="0" w:color="231F20"/>
            </w:tcBorders>
            <w:shd w:val="clear" w:color="auto" w:fill="E6E7E8"/>
          </w:tcPr>
          <w:p w14:paraId="179515E5" w14:textId="77777777" w:rsidR="00D749E1" w:rsidRPr="00E06806" w:rsidRDefault="00D749E1" w:rsidP="00D63204">
            <w:pPr>
              <w:widowControl w:val="0"/>
              <w:spacing w:before="170" w:after="0" w:line="240" w:lineRule="auto"/>
              <w:ind w:left="107"/>
              <w:rPr>
                <w:rFonts w:cstheme="minorHAnsi"/>
                <w:sz w:val="20"/>
                <w:szCs w:val="20"/>
              </w:rPr>
            </w:pPr>
            <w:r w:rsidRPr="00E06806">
              <w:rPr>
                <w:rFonts w:cstheme="minorHAnsi"/>
                <w:sz w:val="20"/>
                <w:szCs w:val="20"/>
              </w:rPr>
              <w:t>44</w:t>
            </w:r>
          </w:p>
        </w:tc>
        <w:tc>
          <w:tcPr>
            <w:tcW w:w="1513" w:type="dxa"/>
            <w:tcBorders>
              <w:top w:val="single" w:sz="2" w:space="0" w:color="231F20"/>
              <w:left w:val="single" w:sz="2" w:space="0" w:color="231F20"/>
              <w:bottom w:val="single" w:sz="2" w:space="0" w:color="231F20"/>
              <w:right w:val="single" w:sz="2" w:space="0" w:color="231F20"/>
            </w:tcBorders>
            <w:shd w:val="clear" w:color="auto" w:fill="E6E7E8"/>
          </w:tcPr>
          <w:p w14:paraId="4D75C344" w14:textId="77777777" w:rsidR="00D749E1" w:rsidRPr="00E06806" w:rsidRDefault="00D749E1" w:rsidP="00D63204">
            <w:pPr>
              <w:widowControl w:val="0"/>
              <w:spacing w:before="170" w:after="0" w:line="240" w:lineRule="auto"/>
              <w:ind w:left="107"/>
              <w:rPr>
                <w:rFonts w:cstheme="minorHAnsi"/>
                <w:sz w:val="20"/>
                <w:szCs w:val="20"/>
              </w:rPr>
            </w:pPr>
            <w:r w:rsidRPr="00E06806">
              <w:rPr>
                <w:rFonts w:cstheme="minorHAnsi"/>
                <w:color w:val="231F20"/>
                <w:w w:val="105"/>
                <w:sz w:val="20"/>
              </w:rPr>
              <w:t>Not</w:t>
            </w:r>
            <w:r w:rsidRPr="00E06806">
              <w:rPr>
                <w:rFonts w:cstheme="minorHAnsi"/>
                <w:color w:val="231F20"/>
                <w:spacing w:val="22"/>
                <w:w w:val="105"/>
                <w:sz w:val="20"/>
              </w:rPr>
              <w:t xml:space="preserve"> </w:t>
            </w:r>
            <w:r w:rsidRPr="00E06806">
              <w:rPr>
                <w:rFonts w:cstheme="minorHAnsi"/>
                <w:color w:val="231F20"/>
                <w:w w:val="105"/>
                <w:sz w:val="20"/>
              </w:rPr>
              <w:t>available</w:t>
            </w:r>
          </w:p>
        </w:tc>
      </w:tr>
    </w:tbl>
    <w:p w14:paraId="1E2FBA3F" w14:textId="77777777" w:rsidR="00D749E1" w:rsidRPr="00E06806" w:rsidRDefault="00D749E1" w:rsidP="00D63204">
      <w:pPr>
        <w:widowControl w:val="0"/>
        <w:spacing w:before="4" w:after="0" w:line="240" w:lineRule="auto"/>
        <w:ind w:left="107"/>
        <w:rPr>
          <w:rFonts w:cstheme="minorHAnsi"/>
          <w:b/>
          <w:bCs/>
          <w:sz w:val="14"/>
          <w:szCs w:val="14"/>
        </w:rPr>
      </w:pPr>
    </w:p>
    <w:p w14:paraId="2808CC78" w14:textId="77777777" w:rsidR="00D749E1" w:rsidRPr="00E06806" w:rsidRDefault="00D749E1" w:rsidP="00D63204">
      <w:pPr>
        <w:widowControl w:val="0"/>
        <w:spacing w:before="4" w:after="0" w:line="240" w:lineRule="auto"/>
        <w:ind w:left="107"/>
        <w:rPr>
          <w:rFonts w:cstheme="minorHAnsi"/>
          <w:b/>
          <w:bCs/>
          <w:sz w:val="14"/>
          <w:szCs w:val="14"/>
        </w:rPr>
      </w:pPr>
    </w:p>
    <w:p w14:paraId="60AF08AB" w14:textId="363011C2" w:rsidR="00D749E1" w:rsidRPr="00E06806" w:rsidRDefault="00D749E1" w:rsidP="00D63204">
      <w:pPr>
        <w:widowControl w:val="0"/>
        <w:spacing w:before="57" w:after="0" w:line="266" w:lineRule="exact"/>
        <w:ind w:left="107"/>
        <w:rPr>
          <w:rFonts w:cstheme="minorHAnsi"/>
        </w:rPr>
      </w:pPr>
      <w:r w:rsidRPr="00E06806">
        <w:rPr>
          <w:rFonts w:cstheme="minorHAnsi"/>
          <w:b/>
          <w:w w:val="110"/>
        </w:rPr>
        <w:t>Figure</w:t>
      </w:r>
      <w:r w:rsidRPr="00E06806">
        <w:rPr>
          <w:rFonts w:cstheme="minorHAnsi"/>
          <w:b/>
          <w:spacing w:val="-8"/>
          <w:w w:val="110"/>
        </w:rPr>
        <w:t xml:space="preserve"> </w:t>
      </w:r>
      <w:r w:rsidR="003A4BF1" w:rsidRPr="00E06806">
        <w:rPr>
          <w:rFonts w:cstheme="minorHAnsi"/>
          <w:b/>
          <w:spacing w:val="-6"/>
          <w:w w:val="110"/>
        </w:rPr>
        <w:t>3.1</w:t>
      </w:r>
      <w:r w:rsidR="001D1219">
        <w:rPr>
          <w:rFonts w:cstheme="minorHAnsi"/>
          <w:b/>
          <w:spacing w:val="-6"/>
          <w:w w:val="110"/>
        </w:rPr>
        <w:t>7</w:t>
      </w:r>
    </w:p>
    <w:p w14:paraId="35EC6D80" w14:textId="77777777" w:rsidR="00D749E1" w:rsidRPr="00E06806" w:rsidRDefault="00D749E1" w:rsidP="00D63204">
      <w:pPr>
        <w:widowControl w:val="0"/>
        <w:spacing w:before="2" w:after="0" w:line="235" w:lineRule="auto"/>
        <w:ind w:left="107"/>
        <w:rPr>
          <w:rFonts w:cstheme="minorHAnsi"/>
        </w:rPr>
      </w:pPr>
      <w:r w:rsidRPr="00E06806">
        <w:rPr>
          <w:rFonts w:cstheme="minorHAnsi"/>
          <w:b/>
          <w:w w:val="110"/>
        </w:rPr>
        <w:t>Florida Adult Education State</w:t>
      </w:r>
      <w:r w:rsidRPr="00E06806">
        <w:rPr>
          <w:rFonts w:cstheme="minorHAnsi"/>
          <w:b/>
          <w:spacing w:val="-3"/>
          <w:w w:val="110"/>
        </w:rPr>
        <w:t xml:space="preserve"> Targets</w:t>
      </w:r>
      <w:r w:rsidRPr="00E06806">
        <w:rPr>
          <w:rFonts w:cstheme="minorHAnsi"/>
          <w:b/>
          <w:w w:val="111"/>
        </w:rPr>
        <w:t xml:space="preserve"> </w:t>
      </w:r>
      <w:r w:rsidRPr="00E06806">
        <w:rPr>
          <w:rFonts w:cstheme="minorHAnsi"/>
          <w:b/>
          <w:color w:val="231F20"/>
          <w:w w:val="110"/>
        </w:rPr>
        <w:t>English for Speakers of Other</w:t>
      </w:r>
      <w:r w:rsidRPr="00E06806">
        <w:rPr>
          <w:rFonts w:cstheme="minorHAnsi"/>
          <w:b/>
          <w:color w:val="231F20"/>
          <w:spacing w:val="45"/>
          <w:w w:val="110"/>
        </w:rPr>
        <w:t xml:space="preserve"> </w:t>
      </w:r>
      <w:r w:rsidRPr="00E06806">
        <w:rPr>
          <w:rFonts w:cstheme="minorHAnsi"/>
          <w:b/>
          <w:color w:val="231F20"/>
          <w:w w:val="110"/>
        </w:rPr>
        <w:t>Languages</w:t>
      </w:r>
    </w:p>
    <w:p w14:paraId="4A31981F" w14:textId="77777777" w:rsidR="00D749E1" w:rsidRPr="00E06806" w:rsidRDefault="00D749E1" w:rsidP="00D63204">
      <w:pPr>
        <w:widowControl w:val="0"/>
        <w:spacing w:before="2" w:after="0" w:line="240" w:lineRule="auto"/>
        <w:ind w:left="107"/>
        <w:rPr>
          <w:rFonts w:cstheme="minorHAnsi"/>
          <w:b/>
          <w:bCs/>
          <w:sz w:val="18"/>
          <w:szCs w:val="18"/>
        </w:rPr>
      </w:pPr>
    </w:p>
    <w:tbl>
      <w:tblPr>
        <w:tblW w:w="0" w:type="auto"/>
        <w:tblInd w:w="108" w:type="dxa"/>
        <w:tblLayout w:type="fixed"/>
        <w:tblCellMar>
          <w:left w:w="0" w:type="dxa"/>
          <w:right w:w="0" w:type="dxa"/>
        </w:tblCellMar>
        <w:tblLook w:val="01E0" w:firstRow="1" w:lastRow="1" w:firstColumn="1" w:lastColumn="1" w:noHBand="0" w:noVBand="0"/>
      </w:tblPr>
      <w:tblGrid>
        <w:gridCol w:w="1480"/>
        <w:gridCol w:w="1037"/>
        <w:gridCol w:w="1973"/>
        <w:gridCol w:w="1166"/>
        <w:gridCol w:w="1570"/>
        <w:gridCol w:w="1483"/>
        <w:gridCol w:w="1441"/>
      </w:tblGrid>
      <w:tr w:rsidR="00D749E1" w:rsidRPr="00E06806" w14:paraId="7611E479" w14:textId="77777777" w:rsidTr="007872A2">
        <w:trPr>
          <w:trHeight w:hRule="exact" w:val="745"/>
        </w:trPr>
        <w:tc>
          <w:tcPr>
            <w:tcW w:w="1480" w:type="dxa"/>
            <w:tcBorders>
              <w:top w:val="single" w:sz="2" w:space="0" w:color="231F20"/>
              <w:left w:val="single" w:sz="2" w:space="0" w:color="231F20"/>
              <w:bottom w:val="single" w:sz="2" w:space="0" w:color="231F20"/>
              <w:right w:val="single" w:sz="2" w:space="0" w:color="231F20"/>
            </w:tcBorders>
            <w:vAlign w:val="center"/>
          </w:tcPr>
          <w:p w14:paraId="6BA5C82F" w14:textId="77777777" w:rsidR="00D749E1" w:rsidRPr="00E06806" w:rsidRDefault="00D749E1" w:rsidP="007872A2">
            <w:pPr>
              <w:widowControl w:val="0"/>
              <w:spacing w:before="2" w:after="0" w:line="240" w:lineRule="auto"/>
              <w:ind w:left="107"/>
              <w:rPr>
                <w:rFonts w:cstheme="minorHAnsi"/>
                <w:b/>
                <w:bCs/>
                <w:sz w:val="21"/>
                <w:szCs w:val="21"/>
              </w:rPr>
            </w:pPr>
          </w:p>
          <w:p w14:paraId="51FD94A1" w14:textId="77777777" w:rsidR="00D749E1" w:rsidRPr="00E06806" w:rsidRDefault="00D749E1" w:rsidP="007872A2">
            <w:pPr>
              <w:widowControl w:val="0"/>
              <w:spacing w:after="0" w:line="240" w:lineRule="auto"/>
              <w:ind w:left="107"/>
              <w:rPr>
                <w:rFonts w:cstheme="minorHAnsi"/>
                <w:sz w:val="20"/>
                <w:szCs w:val="20"/>
              </w:rPr>
            </w:pPr>
            <w:r w:rsidRPr="00E06806">
              <w:rPr>
                <w:rFonts w:cstheme="minorHAnsi"/>
                <w:b/>
                <w:color w:val="231F20"/>
                <w:w w:val="105"/>
                <w:sz w:val="20"/>
              </w:rPr>
              <w:t>Measure</w:t>
            </w:r>
          </w:p>
        </w:tc>
        <w:tc>
          <w:tcPr>
            <w:tcW w:w="1037" w:type="dxa"/>
            <w:tcBorders>
              <w:top w:val="single" w:sz="2" w:space="0" w:color="231F20"/>
              <w:left w:val="single" w:sz="2" w:space="0" w:color="231F20"/>
              <w:bottom w:val="single" w:sz="2" w:space="0" w:color="231F20"/>
              <w:right w:val="single" w:sz="2" w:space="0" w:color="231F20"/>
            </w:tcBorders>
            <w:vAlign w:val="center"/>
          </w:tcPr>
          <w:p w14:paraId="083BD183" w14:textId="77777777" w:rsidR="00D749E1" w:rsidRPr="00E06806" w:rsidRDefault="00D749E1" w:rsidP="00D63204">
            <w:pPr>
              <w:widowControl w:val="0"/>
              <w:spacing w:before="138" w:after="0" w:line="242" w:lineRule="exact"/>
              <w:ind w:left="107"/>
              <w:rPr>
                <w:rFonts w:cstheme="minorHAnsi"/>
                <w:sz w:val="20"/>
                <w:szCs w:val="20"/>
              </w:rPr>
            </w:pPr>
            <w:r w:rsidRPr="00E06806">
              <w:rPr>
                <w:rFonts w:cstheme="minorHAnsi"/>
                <w:b/>
                <w:color w:val="231F20"/>
                <w:w w:val="105"/>
                <w:sz w:val="20"/>
              </w:rPr>
              <w:t>2015-16</w:t>
            </w:r>
          </w:p>
          <w:p w14:paraId="79E14D14" w14:textId="77777777" w:rsidR="00D749E1" w:rsidRPr="00E06806" w:rsidRDefault="00D749E1" w:rsidP="00D63204">
            <w:pPr>
              <w:widowControl w:val="0"/>
              <w:spacing w:after="0" w:line="242" w:lineRule="exact"/>
              <w:ind w:left="107"/>
              <w:rPr>
                <w:rFonts w:cstheme="minorHAnsi"/>
                <w:sz w:val="20"/>
                <w:szCs w:val="20"/>
              </w:rPr>
            </w:pPr>
            <w:r w:rsidRPr="00E06806">
              <w:rPr>
                <w:rFonts w:cstheme="minorHAnsi"/>
                <w:b/>
                <w:color w:val="231F20"/>
                <w:spacing w:val="-3"/>
                <w:w w:val="110"/>
                <w:sz w:val="20"/>
              </w:rPr>
              <w:t>Target</w:t>
            </w:r>
          </w:p>
        </w:tc>
        <w:tc>
          <w:tcPr>
            <w:tcW w:w="1973" w:type="dxa"/>
            <w:tcBorders>
              <w:top w:val="single" w:sz="2" w:space="0" w:color="231F20"/>
              <w:left w:val="single" w:sz="2" w:space="0" w:color="231F20"/>
              <w:bottom w:val="single" w:sz="2" w:space="0" w:color="231F20"/>
              <w:right w:val="single" w:sz="2" w:space="0" w:color="231F20"/>
            </w:tcBorders>
            <w:vAlign w:val="center"/>
          </w:tcPr>
          <w:p w14:paraId="5356E4D6" w14:textId="77777777" w:rsidR="00D749E1" w:rsidRPr="00E06806" w:rsidRDefault="00D749E1" w:rsidP="00D63204">
            <w:pPr>
              <w:widowControl w:val="0"/>
              <w:spacing w:before="138" w:after="0" w:line="242" w:lineRule="exact"/>
              <w:ind w:left="107"/>
              <w:rPr>
                <w:rFonts w:cstheme="minorHAnsi"/>
                <w:sz w:val="20"/>
                <w:szCs w:val="20"/>
              </w:rPr>
            </w:pPr>
            <w:r w:rsidRPr="00E06806">
              <w:rPr>
                <w:rFonts w:cstheme="minorHAnsi"/>
                <w:b/>
                <w:color w:val="231F20"/>
                <w:w w:val="105"/>
                <w:sz w:val="20"/>
              </w:rPr>
              <w:t>2015-16</w:t>
            </w:r>
          </w:p>
          <w:p w14:paraId="4795C739" w14:textId="77777777" w:rsidR="00D749E1" w:rsidRPr="00E06806" w:rsidRDefault="00D749E1" w:rsidP="00D63204">
            <w:pPr>
              <w:widowControl w:val="0"/>
              <w:spacing w:after="0" w:line="242" w:lineRule="exact"/>
              <w:ind w:left="107"/>
              <w:rPr>
                <w:rFonts w:cstheme="minorHAnsi"/>
                <w:sz w:val="20"/>
                <w:szCs w:val="20"/>
              </w:rPr>
            </w:pPr>
            <w:r w:rsidRPr="00E06806">
              <w:rPr>
                <w:rFonts w:cstheme="minorHAnsi"/>
                <w:b/>
                <w:color w:val="231F20"/>
                <w:w w:val="110"/>
                <w:sz w:val="20"/>
              </w:rPr>
              <w:t>Performance</w:t>
            </w:r>
          </w:p>
        </w:tc>
        <w:tc>
          <w:tcPr>
            <w:tcW w:w="1166" w:type="dxa"/>
            <w:tcBorders>
              <w:top w:val="single" w:sz="2" w:space="0" w:color="231F20"/>
              <w:left w:val="single" w:sz="2" w:space="0" w:color="231F20"/>
              <w:bottom w:val="single" w:sz="2" w:space="0" w:color="231F20"/>
              <w:right w:val="single" w:sz="2" w:space="0" w:color="231F20"/>
            </w:tcBorders>
            <w:vAlign w:val="center"/>
          </w:tcPr>
          <w:p w14:paraId="5808BB9C" w14:textId="77777777" w:rsidR="00D749E1" w:rsidRPr="00E06806" w:rsidRDefault="00D749E1" w:rsidP="00D63204">
            <w:pPr>
              <w:widowControl w:val="0"/>
              <w:spacing w:before="138" w:after="0" w:line="242" w:lineRule="exact"/>
              <w:ind w:left="107"/>
              <w:rPr>
                <w:rFonts w:cstheme="minorHAnsi"/>
                <w:sz w:val="20"/>
                <w:szCs w:val="20"/>
              </w:rPr>
            </w:pPr>
            <w:r w:rsidRPr="00E06806">
              <w:rPr>
                <w:rFonts w:cstheme="minorHAnsi"/>
                <w:b/>
                <w:color w:val="231F20"/>
                <w:w w:val="105"/>
                <w:sz w:val="20"/>
              </w:rPr>
              <w:t>2016-17</w:t>
            </w:r>
          </w:p>
          <w:p w14:paraId="62122AB5" w14:textId="77777777" w:rsidR="00D749E1" w:rsidRPr="00E06806" w:rsidRDefault="00D749E1" w:rsidP="00D63204">
            <w:pPr>
              <w:widowControl w:val="0"/>
              <w:spacing w:after="0" w:line="242" w:lineRule="exact"/>
              <w:ind w:left="107"/>
              <w:rPr>
                <w:rFonts w:cstheme="minorHAnsi"/>
                <w:sz w:val="20"/>
                <w:szCs w:val="20"/>
              </w:rPr>
            </w:pPr>
            <w:r w:rsidRPr="00E06806">
              <w:rPr>
                <w:rFonts w:cstheme="minorHAnsi"/>
                <w:b/>
                <w:color w:val="231F20"/>
                <w:spacing w:val="-3"/>
                <w:w w:val="110"/>
                <w:sz w:val="20"/>
              </w:rPr>
              <w:t>Target</w:t>
            </w:r>
          </w:p>
        </w:tc>
        <w:tc>
          <w:tcPr>
            <w:tcW w:w="1570" w:type="dxa"/>
            <w:tcBorders>
              <w:top w:val="single" w:sz="2" w:space="0" w:color="231F20"/>
              <w:left w:val="single" w:sz="2" w:space="0" w:color="231F20"/>
              <w:bottom w:val="single" w:sz="2" w:space="0" w:color="231F20"/>
              <w:right w:val="single" w:sz="2" w:space="0" w:color="231F20"/>
            </w:tcBorders>
            <w:vAlign w:val="center"/>
          </w:tcPr>
          <w:p w14:paraId="6DFD5631" w14:textId="77777777" w:rsidR="00D749E1" w:rsidRPr="00E06806" w:rsidRDefault="00D749E1" w:rsidP="00D63204">
            <w:pPr>
              <w:widowControl w:val="0"/>
              <w:spacing w:before="138" w:after="0" w:line="242" w:lineRule="exact"/>
              <w:ind w:left="107"/>
              <w:rPr>
                <w:rFonts w:cstheme="minorHAnsi"/>
                <w:sz w:val="20"/>
                <w:szCs w:val="20"/>
              </w:rPr>
            </w:pPr>
            <w:r w:rsidRPr="00E06806">
              <w:rPr>
                <w:rFonts w:cstheme="minorHAnsi"/>
                <w:b/>
                <w:color w:val="231F20"/>
                <w:w w:val="105"/>
                <w:sz w:val="20"/>
              </w:rPr>
              <w:t>2016-17</w:t>
            </w:r>
          </w:p>
          <w:p w14:paraId="2AE079FB" w14:textId="77777777" w:rsidR="00D749E1" w:rsidRPr="00E06806" w:rsidRDefault="00D749E1" w:rsidP="00D63204">
            <w:pPr>
              <w:widowControl w:val="0"/>
              <w:spacing w:after="0" w:line="242" w:lineRule="exact"/>
              <w:ind w:left="107"/>
              <w:rPr>
                <w:rFonts w:cstheme="minorHAnsi"/>
                <w:sz w:val="20"/>
                <w:szCs w:val="20"/>
              </w:rPr>
            </w:pPr>
            <w:r w:rsidRPr="00E06806">
              <w:rPr>
                <w:rFonts w:cstheme="minorHAnsi"/>
                <w:b/>
                <w:color w:val="231F20"/>
                <w:w w:val="110"/>
                <w:sz w:val="20"/>
              </w:rPr>
              <w:t>Performance</w:t>
            </w:r>
          </w:p>
        </w:tc>
        <w:tc>
          <w:tcPr>
            <w:tcW w:w="1483" w:type="dxa"/>
            <w:tcBorders>
              <w:top w:val="single" w:sz="2" w:space="0" w:color="231F20"/>
              <w:left w:val="single" w:sz="2" w:space="0" w:color="231F20"/>
              <w:bottom w:val="single" w:sz="2" w:space="0" w:color="231F20"/>
              <w:right w:val="single" w:sz="2" w:space="0" w:color="231F20"/>
            </w:tcBorders>
            <w:vAlign w:val="center"/>
          </w:tcPr>
          <w:p w14:paraId="00B4667B" w14:textId="77777777" w:rsidR="00D749E1" w:rsidRPr="00E06806" w:rsidRDefault="00D749E1" w:rsidP="00D63204">
            <w:pPr>
              <w:widowControl w:val="0"/>
              <w:spacing w:before="138" w:after="0" w:line="242" w:lineRule="exact"/>
              <w:ind w:left="107"/>
              <w:rPr>
                <w:rFonts w:cstheme="minorHAnsi"/>
                <w:sz w:val="20"/>
                <w:szCs w:val="20"/>
              </w:rPr>
            </w:pPr>
            <w:r w:rsidRPr="00E06806">
              <w:rPr>
                <w:rFonts w:cstheme="minorHAnsi"/>
                <w:b/>
                <w:color w:val="231F20"/>
                <w:w w:val="105"/>
                <w:sz w:val="20"/>
              </w:rPr>
              <w:t>2017-18</w:t>
            </w:r>
          </w:p>
          <w:p w14:paraId="23CC3D6C" w14:textId="77777777" w:rsidR="00D749E1" w:rsidRPr="00E06806" w:rsidRDefault="00D749E1" w:rsidP="00D63204">
            <w:pPr>
              <w:widowControl w:val="0"/>
              <w:spacing w:after="0" w:line="242" w:lineRule="exact"/>
              <w:ind w:left="107"/>
              <w:rPr>
                <w:rFonts w:cstheme="minorHAnsi"/>
                <w:sz w:val="20"/>
                <w:szCs w:val="20"/>
              </w:rPr>
            </w:pPr>
            <w:r w:rsidRPr="00E06806">
              <w:rPr>
                <w:rFonts w:cstheme="minorHAnsi"/>
                <w:b/>
                <w:color w:val="231F20"/>
                <w:spacing w:val="-3"/>
                <w:w w:val="110"/>
                <w:sz w:val="20"/>
              </w:rPr>
              <w:t>Target</w:t>
            </w:r>
          </w:p>
        </w:tc>
        <w:tc>
          <w:tcPr>
            <w:tcW w:w="1441" w:type="dxa"/>
            <w:tcBorders>
              <w:top w:val="single" w:sz="2" w:space="0" w:color="231F20"/>
              <w:left w:val="single" w:sz="2" w:space="0" w:color="231F20"/>
              <w:bottom w:val="single" w:sz="2" w:space="0" w:color="231F20"/>
              <w:right w:val="single" w:sz="2" w:space="0" w:color="231F20"/>
            </w:tcBorders>
            <w:vAlign w:val="center"/>
          </w:tcPr>
          <w:p w14:paraId="6D5D2FAD" w14:textId="77777777" w:rsidR="00D749E1" w:rsidRPr="00E06806" w:rsidRDefault="00D749E1" w:rsidP="00D63204">
            <w:pPr>
              <w:widowControl w:val="0"/>
              <w:spacing w:before="138" w:after="0" w:line="242" w:lineRule="exact"/>
              <w:ind w:left="107"/>
              <w:rPr>
                <w:rFonts w:cstheme="minorHAnsi"/>
                <w:sz w:val="20"/>
                <w:szCs w:val="20"/>
              </w:rPr>
            </w:pPr>
            <w:r w:rsidRPr="00E06806">
              <w:rPr>
                <w:rFonts w:cstheme="minorHAnsi"/>
                <w:b/>
                <w:color w:val="231F20"/>
                <w:w w:val="105"/>
                <w:sz w:val="20"/>
              </w:rPr>
              <w:t>2017-18</w:t>
            </w:r>
          </w:p>
          <w:p w14:paraId="2AFAE437" w14:textId="77777777" w:rsidR="00D749E1" w:rsidRPr="00E06806" w:rsidRDefault="00D749E1" w:rsidP="00D63204">
            <w:pPr>
              <w:widowControl w:val="0"/>
              <w:spacing w:after="0" w:line="242" w:lineRule="exact"/>
              <w:ind w:left="107"/>
              <w:rPr>
                <w:rFonts w:cstheme="minorHAnsi"/>
                <w:sz w:val="20"/>
                <w:szCs w:val="20"/>
              </w:rPr>
            </w:pPr>
            <w:r w:rsidRPr="00E06806">
              <w:rPr>
                <w:rFonts w:cstheme="minorHAnsi"/>
                <w:b/>
                <w:color w:val="231F20"/>
                <w:w w:val="110"/>
                <w:sz w:val="20"/>
              </w:rPr>
              <w:t>Performance</w:t>
            </w:r>
          </w:p>
        </w:tc>
      </w:tr>
      <w:tr w:rsidR="00D749E1" w:rsidRPr="00E06806" w14:paraId="64BB4B4F" w14:textId="77777777" w:rsidTr="007872A2">
        <w:trPr>
          <w:trHeight w:hRule="exact" w:val="578"/>
        </w:trPr>
        <w:tc>
          <w:tcPr>
            <w:tcW w:w="1480" w:type="dxa"/>
            <w:tcBorders>
              <w:top w:val="single" w:sz="2" w:space="0" w:color="231F20"/>
              <w:left w:val="single" w:sz="2" w:space="0" w:color="231F20"/>
              <w:bottom w:val="single" w:sz="2" w:space="0" w:color="231F20"/>
              <w:right w:val="single" w:sz="2" w:space="0" w:color="231F20"/>
            </w:tcBorders>
            <w:shd w:val="clear" w:color="auto" w:fill="E6E7E8"/>
            <w:vAlign w:val="center"/>
          </w:tcPr>
          <w:p w14:paraId="2776F5A3" w14:textId="77777777" w:rsidR="00D749E1" w:rsidRPr="00E06806" w:rsidRDefault="00D749E1" w:rsidP="007872A2">
            <w:pPr>
              <w:widowControl w:val="0"/>
              <w:spacing w:before="53" w:after="0" w:line="240" w:lineRule="exact"/>
              <w:ind w:left="107"/>
              <w:rPr>
                <w:rFonts w:cstheme="minorHAnsi"/>
                <w:sz w:val="20"/>
                <w:szCs w:val="20"/>
              </w:rPr>
            </w:pPr>
            <w:r w:rsidRPr="00E06806">
              <w:rPr>
                <w:rFonts w:cstheme="minorHAnsi"/>
                <w:color w:val="231F20"/>
                <w:w w:val="110"/>
                <w:sz w:val="20"/>
              </w:rPr>
              <w:t>ESL</w:t>
            </w:r>
            <w:r w:rsidRPr="00E06806">
              <w:rPr>
                <w:rFonts w:cstheme="minorHAnsi"/>
                <w:color w:val="231F20"/>
                <w:spacing w:val="33"/>
                <w:w w:val="110"/>
                <w:sz w:val="20"/>
              </w:rPr>
              <w:t xml:space="preserve"> </w:t>
            </w:r>
            <w:r w:rsidRPr="00E06806">
              <w:rPr>
                <w:rFonts w:cstheme="minorHAnsi"/>
                <w:color w:val="231F20"/>
                <w:w w:val="110"/>
                <w:sz w:val="20"/>
              </w:rPr>
              <w:t>Beginning</w:t>
            </w:r>
            <w:r w:rsidRPr="00E06806">
              <w:rPr>
                <w:rFonts w:cstheme="minorHAnsi"/>
                <w:color w:val="231F20"/>
                <w:spacing w:val="-45"/>
                <w:w w:val="110"/>
                <w:sz w:val="20"/>
              </w:rPr>
              <w:t xml:space="preserve"> </w:t>
            </w:r>
            <w:r w:rsidRPr="00E06806">
              <w:rPr>
                <w:rFonts w:cstheme="minorHAnsi"/>
                <w:color w:val="231F20"/>
                <w:w w:val="110"/>
                <w:sz w:val="20"/>
              </w:rPr>
              <w:t>Literacy</w:t>
            </w:r>
          </w:p>
        </w:tc>
        <w:tc>
          <w:tcPr>
            <w:tcW w:w="1037" w:type="dxa"/>
            <w:tcBorders>
              <w:top w:val="single" w:sz="2" w:space="0" w:color="231F20"/>
              <w:left w:val="single" w:sz="2" w:space="0" w:color="231F20"/>
              <w:bottom w:val="single" w:sz="2" w:space="0" w:color="231F20"/>
              <w:right w:val="single" w:sz="2" w:space="0" w:color="231F20"/>
            </w:tcBorders>
            <w:shd w:val="clear" w:color="auto" w:fill="E6E7E8"/>
            <w:vAlign w:val="center"/>
          </w:tcPr>
          <w:p w14:paraId="19BA3579" w14:textId="77777777" w:rsidR="00D749E1" w:rsidRPr="00E06806" w:rsidRDefault="00D749E1" w:rsidP="00D63204">
            <w:pPr>
              <w:widowControl w:val="0"/>
              <w:spacing w:before="175" w:after="0" w:line="240" w:lineRule="auto"/>
              <w:ind w:left="107"/>
              <w:rPr>
                <w:rFonts w:cstheme="minorHAnsi"/>
                <w:sz w:val="20"/>
                <w:szCs w:val="20"/>
              </w:rPr>
            </w:pPr>
            <w:r w:rsidRPr="00E06806">
              <w:rPr>
                <w:rFonts w:cstheme="minorHAnsi"/>
                <w:color w:val="231F20"/>
                <w:w w:val="105"/>
                <w:sz w:val="20"/>
              </w:rPr>
              <w:t>44%</w:t>
            </w:r>
          </w:p>
        </w:tc>
        <w:tc>
          <w:tcPr>
            <w:tcW w:w="1973" w:type="dxa"/>
            <w:tcBorders>
              <w:top w:val="single" w:sz="2" w:space="0" w:color="231F20"/>
              <w:left w:val="single" w:sz="2" w:space="0" w:color="231F20"/>
              <w:bottom w:val="single" w:sz="2" w:space="0" w:color="231F20"/>
              <w:right w:val="single" w:sz="2" w:space="0" w:color="231F20"/>
            </w:tcBorders>
            <w:shd w:val="clear" w:color="auto" w:fill="E6E7E8"/>
            <w:vAlign w:val="center"/>
          </w:tcPr>
          <w:p w14:paraId="17A232D5" w14:textId="77777777" w:rsidR="00D749E1" w:rsidRPr="00E06806" w:rsidRDefault="00D749E1" w:rsidP="00D63204">
            <w:pPr>
              <w:widowControl w:val="0"/>
              <w:spacing w:before="175" w:after="0" w:line="240" w:lineRule="auto"/>
              <w:ind w:left="107"/>
              <w:rPr>
                <w:rFonts w:cstheme="minorHAnsi"/>
                <w:sz w:val="20"/>
                <w:szCs w:val="20"/>
              </w:rPr>
            </w:pPr>
            <w:r w:rsidRPr="00E06806">
              <w:rPr>
                <w:rFonts w:cstheme="minorHAnsi"/>
                <w:color w:val="231F20"/>
                <w:w w:val="105"/>
                <w:sz w:val="20"/>
              </w:rPr>
              <w:t>40%</w:t>
            </w:r>
          </w:p>
        </w:tc>
        <w:tc>
          <w:tcPr>
            <w:tcW w:w="1166" w:type="dxa"/>
            <w:tcBorders>
              <w:top w:val="single" w:sz="2" w:space="0" w:color="231F20"/>
              <w:left w:val="single" w:sz="2" w:space="0" w:color="231F20"/>
              <w:bottom w:val="single" w:sz="2" w:space="0" w:color="231F20"/>
              <w:right w:val="single" w:sz="2" w:space="0" w:color="231F20"/>
            </w:tcBorders>
            <w:shd w:val="clear" w:color="auto" w:fill="E6E7E8"/>
            <w:vAlign w:val="center"/>
          </w:tcPr>
          <w:p w14:paraId="4484E0FB" w14:textId="77777777" w:rsidR="00D749E1" w:rsidRPr="00E06806" w:rsidRDefault="00D749E1" w:rsidP="00D63204">
            <w:pPr>
              <w:widowControl w:val="0"/>
              <w:spacing w:before="175" w:after="0" w:line="240" w:lineRule="auto"/>
              <w:ind w:left="107"/>
              <w:rPr>
                <w:rFonts w:cstheme="minorHAnsi"/>
                <w:sz w:val="20"/>
                <w:szCs w:val="20"/>
              </w:rPr>
            </w:pPr>
            <w:r w:rsidRPr="00E06806">
              <w:rPr>
                <w:rFonts w:cstheme="minorHAnsi"/>
                <w:color w:val="231F20"/>
                <w:w w:val="110"/>
                <w:sz w:val="20"/>
              </w:rPr>
              <w:t>42%</w:t>
            </w:r>
          </w:p>
        </w:tc>
        <w:tc>
          <w:tcPr>
            <w:tcW w:w="1570" w:type="dxa"/>
            <w:tcBorders>
              <w:top w:val="single" w:sz="2" w:space="0" w:color="231F20"/>
              <w:left w:val="single" w:sz="2" w:space="0" w:color="231F20"/>
              <w:bottom w:val="single" w:sz="2" w:space="0" w:color="231F20"/>
              <w:right w:val="single" w:sz="2" w:space="0" w:color="231F20"/>
            </w:tcBorders>
            <w:shd w:val="clear" w:color="auto" w:fill="E6E7E8"/>
            <w:vAlign w:val="center"/>
          </w:tcPr>
          <w:p w14:paraId="38B7E197" w14:textId="77777777" w:rsidR="00D749E1" w:rsidRPr="00E06806" w:rsidRDefault="00D749E1" w:rsidP="00D63204">
            <w:pPr>
              <w:widowControl w:val="0"/>
              <w:spacing w:before="175" w:after="0" w:line="240" w:lineRule="auto"/>
              <w:ind w:left="107"/>
              <w:rPr>
                <w:rFonts w:cstheme="minorHAnsi"/>
                <w:sz w:val="20"/>
                <w:szCs w:val="20"/>
              </w:rPr>
            </w:pPr>
            <w:r w:rsidRPr="00E06806">
              <w:rPr>
                <w:rFonts w:cstheme="minorHAnsi"/>
                <w:color w:val="231F20"/>
                <w:w w:val="105"/>
                <w:sz w:val="20"/>
              </w:rPr>
              <w:t>41.48%</w:t>
            </w:r>
          </w:p>
        </w:tc>
        <w:tc>
          <w:tcPr>
            <w:tcW w:w="1483" w:type="dxa"/>
            <w:tcBorders>
              <w:top w:val="single" w:sz="2" w:space="0" w:color="231F20"/>
              <w:left w:val="single" w:sz="2" w:space="0" w:color="231F20"/>
              <w:bottom w:val="single" w:sz="2" w:space="0" w:color="231F20"/>
              <w:right w:val="single" w:sz="2" w:space="0" w:color="231F20"/>
            </w:tcBorders>
            <w:shd w:val="clear" w:color="auto" w:fill="E6E7E8"/>
            <w:vAlign w:val="center"/>
          </w:tcPr>
          <w:p w14:paraId="0156209F" w14:textId="77777777" w:rsidR="00D749E1" w:rsidRPr="00E06806" w:rsidRDefault="00D749E1" w:rsidP="00D63204">
            <w:pPr>
              <w:widowControl w:val="0"/>
              <w:spacing w:before="175" w:after="0" w:line="240" w:lineRule="auto"/>
              <w:ind w:left="107"/>
              <w:rPr>
                <w:rFonts w:cstheme="minorHAnsi"/>
                <w:sz w:val="20"/>
                <w:szCs w:val="20"/>
              </w:rPr>
            </w:pPr>
            <w:r w:rsidRPr="00E06806">
              <w:rPr>
                <w:rFonts w:cstheme="minorHAnsi"/>
                <w:sz w:val="20"/>
                <w:szCs w:val="20"/>
              </w:rPr>
              <w:t>44%</w:t>
            </w:r>
          </w:p>
        </w:tc>
        <w:tc>
          <w:tcPr>
            <w:tcW w:w="1441" w:type="dxa"/>
            <w:tcBorders>
              <w:top w:val="single" w:sz="2" w:space="0" w:color="231F20"/>
              <w:left w:val="single" w:sz="2" w:space="0" w:color="231F20"/>
              <w:bottom w:val="single" w:sz="2" w:space="0" w:color="231F20"/>
              <w:right w:val="single" w:sz="2" w:space="0" w:color="231F20"/>
            </w:tcBorders>
            <w:shd w:val="clear" w:color="auto" w:fill="E6E7E8"/>
            <w:vAlign w:val="center"/>
          </w:tcPr>
          <w:p w14:paraId="602E212B" w14:textId="77777777" w:rsidR="00D749E1" w:rsidRPr="00E06806" w:rsidRDefault="00D749E1" w:rsidP="00D63204">
            <w:pPr>
              <w:widowControl w:val="0"/>
              <w:spacing w:before="175" w:after="0" w:line="240" w:lineRule="auto"/>
              <w:ind w:left="107"/>
              <w:rPr>
                <w:rFonts w:cstheme="minorHAnsi"/>
                <w:sz w:val="20"/>
                <w:szCs w:val="20"/>
              </w:rPr>
            </w:pPr>
            <w:r w:rsidRPr="00E06806">
              <w:rPr>
                <w:rFonts w:cstheme="minorHAnsi"/>
                <w:color w:val="231F20"/>
                <w:w w:val="105"/>
                <w:sz w:val="20"/>
              </w:rPr>
              <w:t>Not</w:t>
            </w:r>
            <w:r w:rsidRPr="00E06806">
              <w:rPr>
                <w:rFonts w:cstheme="minorHAnsi"/>
                <w:color w:val="231F20"/>
                <w:spacing w:val="22"/>
                <w:w w:val="105"/>
                <w:sz w:val="20"/>
              </w:rPr>
              <w:t xml:space="preserve"> </w:t>
            </w:r>
            <w:r w:rsidRPr="00E06806">
              <w:rPr>
                <w:rFonts w:cstheme="minorHAnsi"/>
                <w:color w:val="231F20"/>
                <w:w w:val="105"/>
                <w:sz w:val="20"/>
              </w:rPr>
              <w:t>available</w:t>
            </w:r>
          </w:p>
        </w:tc>
      </w:tr>
      <w:tr w:rsidR="00D749E1" w:rsidRPr="00E06806" w14:paraId="4167BA67" w14:textId="77777777" w:rsidTr="007872A2">
        <w:trPr>
          <w:trHeight w:hRule="exact" w:val="585"/>
        </w:trPr>
        <w:tc>
          <w:tcPr>
            <w:tcW w:w="1480" w:type="dxa"/>
            <w:tcBorders>
              <w:top w:val="single" w:sz="2" w:space="0" w:color="231F20"/>
              <w:left w:val="single" w:sz="2" w:space="0" w:color="231F20"/>
              <w:bottom w:val="single" w:sz="2" w:space="0" w:color="231F20"/>
              <w:right w:val="single" w:sz="2" w:space="0" w:color="231F20"/>
            </w:tcBorders>
            <w:vAlign w:val="center"/>
          </w:tcPr>
          <w:p w14:paraId="0044EF18" w14:textId="77777777" w:rsidR="00D749E1" w:rsidRPr="00E06806" w:rsidRDefault="00D749E1" w:rsidP="007872A2">
            <w:pPr>
              <w:widowControl w:val="0"/>
              <w:spacing w:before="57" w:after="0" w:line="240" w:lineRule="exact"/>
              <w:ind w:left="107"/>
              <w:rPr>
                <w:rFonts w:cstheme="minorHAnsi"/>
                <w:sz w:val="20"/>
                <w:szCs w:val="20"/>
              </w:rPr>
            </w:pPr>
            <w:r w:rsidRPr="00E06806">
              <w:rPr>
                <w:rFonts w:cstheme="minorHAnsi"/>
                <w:color w:val="231F20"/>
                <w:w w:val="110"/>
                <w:sz w:val="20"/>
              </w:rPr>
              <w:t>ESL Low</w:t>
            </w:r>
            <w:r w:rsidRPr="00E06806">
              <w:rPr>
                <w:rFonts w:cstheme="minorHAnsi"/>
                <w:color w:val="231F20"/>
                <w:spacing w:val="-24"/>
                <w:w w:val="110"/>
                <w:sz w:val="20"/>
              </w:rPr>
              <w:t xml:space="preserve"> </w:t>
            </w:r>
            <w:r w:rsidRPr="00E06806">
              <w:rPr>
                <w:rFonts w:cstheme="minorHAnsi"/>
                <w:color w:val="231F20"/>
                <w:w w:val="110"/>
                <w:sz w:val="20"/>
              </w:rPr>
              <w:t>Beginning</w:t>
            </w:r>
          </w:p>
        </w:tc>
        <w:tc>
          <w:tcPr>
            <w:tcW w:w="1037" w:type="dxa"/>
            <w:tcBorders>
              <w:top w:val="single" w:sz="2" w:space="0" w:color="231F20"/>
              <w:left w:val="single" w:sz="2" w:space="0" w:color="231F20"/>
              <w:bottom w:val="single" w:sz="2" w:space="0" w:color="231F20"/>
              <w:right w:val="single" w:sz="2" w:space="0" w:color="231F20"/>
            </w:tcBorders>
            <w:vAlign w:val="center"/>
          </w:tcPr>
          <w:p w14:paraId="6F951394" w14:textId="77777777" w:rsidR="00D749E1" w:rsidRPr="00E06806" w:rsidRDefault="00D749E1" w:rsidP="00D63204">
            <w:pPr>
              <w:widowControl w:val="0"/>
              <w:spacing w:before="178" w:after="0" w:line="240" w:lineRule="auto"/>
              <w:ind w:left="107"/>
              <w:rPr>
                <w:rFonts w:cstheme="minorHAnsi"/>
                <w:sz w:val="20"/>
                <w:szCs w:val="20"/>
              </w:rPr>
            </w:pPr>
            <w:r w:rsidRPr="00E06806">
              <w:rPr>
                <w:rFonts w:cstheme="minorHAnsi"/>
                <w:color w:val="231F20"/>
                <w:w w:val="110"/>
                <w:sz w:val="20"/>
              </w:rPr>
              <w:t>46%</w:t>
            </w:r>
          </w:p>
        </w:tc>
        <w:tc>
          <w:tcPr>
            <w:tcW w:w="1973" w:type="dxa"/>
            <w:tcBorders>
              <w:top w:val="single" w:sz="2" w:space="0" w:color="231F20"/>
              <w:left w:val="single" w:sz="2" w:space="0" w:color="231F20"/>
              <w:bottom w:val="single" w:sz="2" w:space="0" w:color="231F20"/>
              <w:right w:val="single" w:sz="2" w:space="0" w:color="231F20"/>
            </w:tcBorders>
            <w:vAlign w:val="center"/>
          </w:tcPr>
          <w:p w14:paraId="451D06E2" w14:textId="77777777" w:rsidR="00D749E1" w:rsidRPr="00E06806" w:rsidRDefault="00D749E1" w:rsidP="00D63204">
            <w:pPr>
              <w:widowControl w:val="0"/>
              <w:spacing w:before="178" w:after="0" w:line="240" w:lineRule="auto"/>
              <w:ind w:left="107"/>
              <w:rPr>
                <w:rFonts w:cstheme="minorHAnsi"/>
                <w:sz w:val="20"/>
                <w:szCs w:val="20"/>
              </w:rPr>
            </w:pPr>
            <w:r w:rsidRPr="00E06806">
              <w:rPr>
                <w:rFonts w:cstheme="minorHAnsi"/>
                <w:color w:val="231F20"/>
                <w:w w:val="105"/>
                <w:sz w:val="20"/>
              </w:rPr>
              <w:t>40%</w:t>
            </w:r>
          </w:p>
        </w:tc>
        <w:tc>
          <w:tcPr>
            <w:tcW w:w="1166" w:type="dxa"/>
            <w:tcBorders>
              <w:top w:val="single" w:sz="2" w:space="0" w:color="231F20"/>
              <w:left w:val="single" w:sz="2" w:space="0" w:color="231F20"/>
              <w:bottom w:val="single" w:sz="2" w:space="0" w:color="231F20"/>
              <w:right w:val="single" w:sz="2" w:space="0" w:color="231F20"/>
            </w:tcBorders>
            <w:vAlign w:val="center"/>
          </w:tcPr>
          <w:p w14:paraId="059DE68B" w14:textId="77777777" w:rsidR="00D749E1" w:rsidRPr="00E06806" w:rsidRDefault="00D749E1" w:rsidP="00D63204">
            <w:pPr>
              <w:widowControl w:val="0"/>
              <w:spacing w:before="178" w:after="0" w:line="240" w:lineRule="auto"/>
              <w:ind w:left="107"/>
              <w:rPr>
                <w:rFonts w:cstheme="minorHAnsi"/>
                <w:sz w:val="20"/>
                <w:szCs w:val="20"/>
              </w:rPr>
            </w:pPr>
            <w:r w:rsidRPr="00E06806">
              <w:rPr>
                <w:rFonts w:cstheme="minorHAnsi"/>
                <w:color w:val="231F20"/>
                <w:sz w:val="20"/>
              </w:rPr>
              <w:t>51%</w:t>
            </w:r>
          </w:p>
        </w:tc>
        <w:tc>
          <w:tcPr>
            <w:tcW w:w="1570" w:type="dxa"/>
            <w:tcBorders>
              <w:top w:val="single" w:sz="2" w:space="0" w:color="231F20"/>
              <w:left w:val="single" w:sz="2" w:space="0" w:color="231F20"/>
              <w:bottom w:val="single" w:sz="2" w:space="0" w:color="231F20"/>
              <w:right w:val="single" w:sz="2" w:space="0" w:color="231F20"/>
            </w:tcBorders>
            <w:vAlign w:val="center"/>
          </w:tcPr>
          <w:p w14:paraId="15A21F31" w14:textId="77777777" w:rsidR="00D749E1" w:rsidRPr="00E06806" w:rsidRDefault="00D749E1" w:rsidP="00D63204">
            <w:pPr>
              <w:widowControl w:val="0"/>
              <w:spacing w:before="178" w:after="0" w:line="240" w:lineRule="auto"/>
              <w:ind w:left="107"/>
              <w:rPr>
                <w:rFonts w:cstheme="minorHAnsi"/>
                <w:sz w:val="20"/>
                <w:szCs w:val="20"/>
              </w:rPr>
            </w:pPr>
            <w:r w:rsidRPr="00E06806">
              <w:rPr>
                <w:rFonts w:cstheme="minorHAnsi"/>
                <w:color w:val="231F20"/>
                <w:w w:val="105"/>
                <w:sz w:val="20"/>
              </w:rPr>
              <w:t>35.45%</w:t>
            </w:r>
          </w:p>
        </w:tc>
        <w:tc>
          <w:tcPr>
            <w:tcW w:w="1483" w:type="dxa"/>
            <w:tcBorders>
              <w:top w:val="single" w:sz="2" w:space="0" w:color="231F20"/>
              <w:left w:val="single" w:sz="2" w:space="0" w:color="231F20"/>
              <w:bottom w:val="single" w:sz="2" w:space="0" w:color="231F20"/>
              <w:right w:val="single" w:sz="2" w:space="0" w:color="231F20"/>
            </w:tcBorders>
            <w:vAlign w:val="center"/>
          </w:tcPr>
          <w:p w14:paraId="0793533A" w14:textId="77777777" w:rsidR="00D749E1" w:rsidRPr="00E06806" w:rsidRDefault="00D749E1" w:rsidP="00D63204">
            <w:pPr>
              <w:widowControl w:val="0"/>
              <w:spacing w:before="178" w:after="0" w:line="240" w:lineRule="auto"/>
              <w:ind w:left="107"/>
              <w:rPr>
                <w:rFonts w:cstheme="minorHAnsi"/>
                <w:sz w:val="20"/>
                <w:szCs w:val="20"/>
              </w:rPr>
            </w:pPr>
            <w:r w:rsidRPr="00E06806">
              <w:rPr>
                <w:rFonts w:cstheme="minorHAnsi"/>
                <w:sz w:val="20"/>
                <w:szCs w:val="20"/>
              </w:rPr>
              <w:t>53%</w:t>
            </w:r>
          </w:p>
        </w:tc>
        <w:tc>
          <w:tcPr>
            <w:tcW w:w="1441" w:type="dxa"/>
            <w:tcBorders>
              <w:top w:val="single" w:sz="2" w:space="0" w:color="231F20"/>
              <w:left w:val="single" w:sz="2" w:space="0" w:color="231F20"/>
              <w:bottom w:val="single" w:sz="2" w:space="0" w:color="231F20"/>
              <w:right w:val="single" w:sz="2" w:space="0" w:color="231F20"/>
            </w:tcBorders>
            <w:vAlign w:val="center"/>
          </w:tcPr>
          <w:p w14:paraId="39EC82EE" w14:textId="77777777" w:rsidR="00D749E1" w:rsidRPr="00E06806" w:rsidRDefault="00D749E1" w:rsidP="00D63204">
            <w:pPr>
              <w:widowControl w:val="0"/>
              <w:spacing w:before="178" w:after="0" w:line="240" w:lineRule="auto"/>
              <w:ind w:left="107"/>
              <w:rPr>
                <w:rFonts w:cstheme="minorHAnsi"/>
                <w:sz w:val="20"/>
                <w:szCs w:val="20"/>
              </w:rPr>
            </w:pPr>
            <w:r w:rsidRPr="00E06806">
              <w:rPr>
                <w:rFonts w:cstheme="minorHAnsi"/>
                <w:color w:val="231F20"/>
                <w:w w:val="105"/>
                <w:sz w:val="20"/>
              </w:rPr>
              <w:t>Not</w:t>
            </w:r>
            <w:r w:rsidRPr="00E06806">
              <w:rPr>
                <w:rFonts w:cstheme="minorHAnsi"/>
                <w:color w:val="231F20"/>
                <w:spacing w:val="22"/>
                <w:w w:val="105"/>
                <w:sz w:val="20"/>
              </w:rPr>
              <w:t xml:space="preserve"> </w:t>
            </w:r>
            <w:r w:rsidRPr="00E06806">
              <w:rPr>
                <w:rFonts w:cstheme="minorHAnsi"/>
                <w:color w:val="231F20"/>
                <w:w w:val="105"/>
                <w:sz w:val="20"/>
              </w:rPr>
              <w:t>available</w:t>
            </w:r>
          </w:p>
        </w:tc>
      </w:tr>
      <w:tr w:rsidR="00D749E1" w:rsidRPr="00E06806" w14:paraId="250D0D91" w14:textId="77777777" w:rsidTr="007872A2">
        <w:trPr>
          <w:trHeight w:hRule="exact" w:val="578"/>
        </w:trPr>
        <w:tc>
          <w:tcPr>
            <w:tcW w:w="1480" w:type="dxa"/>
            <w:tcBorders>
              <w:top w:val="single" w:sz="2" w:space="0" w:color="231F20"/>
              <w:left w:val="single" w:sz="2" w:space="0" w:color="231F20"/>
              <w:bottom w:val="single" w:sz="2" w:space="0" w:color="231F20"/>
              <w:right w:val="single" w:sz="2" w:space="0" w:color="231F20"/>
            </w:tcBorders>
            <w:shd w:val="clear" w:color="auto" w:fill="E6E7E8"/>
            <w:vAlign w:val="center"/>
          </w:tcPr>
          <w:p w14:paraId="4366E85F" w14:textId="77777777" w:rsidR="00D749E1" w:rsidRPr="006172CC" w:rsidRDefault="00D749E1" w:rsidP="007872A2">
            <w:pPr>
              <w:widowControl w:val="0"/>
              <w:spacing w:before="53" w:after="0" w:line="240" w:lineRule="exact"/>
              <w:ind w:left="107"/>
              <w:rPr>
                <w:rFonts w:cstheme="minorHAnsi"/>
                <w:color w:val="231F20"/>
                <w:w w:val="110"/>
                <w:sz w:val="20"/>
              </w:rPr>
            </w:pPr>
            <w:r w:rsidRPr="006172CC">
              <w:rPr>
                <w:rFonts w:cstheme="minorHAnsi"/>
                <w:color w:val="231F20"/>
                <w:w w:val="110"/>
                <w:sz w:val="20"/>
              </w:rPr>
              <w:t xml:space="preserve">ESL High </w:t>
            </w:r>
            <w:r w:rsidRPr="00E06806">
              <w:rPr>
                <w:rFonts w:cstheme="minorHAnsi"/>
                <w:color w:val="231F20"/>
                <w:w w:val="110"/>
                <w:sz w:val="20"/>
              </w:rPr>
              <w:t>Beginning</w:t>
            </w:r>
          </w:p>
        </w:tc>
        <w:tc>
          <w:tcPr>
            <w:tcW w:w="1037" w:type="dxa"/>
            <w:tcBorders>
              <w:top w:val="single" w:sz="2" w:space="0" w:color="231F20"/>
              <w:left w:val="single" w:sz="2" w:space="0" w:color="231F20"/>
              <w:bottom w:val="single" w:sz="2" w:space="0" w:color="231F20"/>
              <w:right w:val="single" w:sz="2" w:space="0" w:color="231F20"/>
            </w:tcBorders>
            <w:shd w:val="clear" w:color="auto" w:fill="E6E7E8"/>
            <w:vAlign w:val="center"/>
          </w:tcPr>
          <w:p w14:paraId="5DED4E04" w14:textId="77777777" w:rsidR="00D749E1" w:rsidRPr="00E06806" w:rsidRDefault="00D749E1" w:rsidP="00D63204">
            <w:pPr>
              <w:widowControl w:val="0"/>
              <w:spacing w:before="175" w:after="0" w:line="240" w:lineRule="auto"/>
              <w:ind w:left="107"/>
              <w:rPr>
                <w:rFonts w:cstheme="minorHAnsi"/>
                <w:sz w:val="20"/>
                <w:szCs w:val="20"/>
              </w:rPr>
            </w:pPr>
            <w:r w:rsidRPr="00E06806">
              <w:rPr>
                <w:rFonts w:cstheme="minorHAnsi"/>
                <w:color w:val="231F20"/>
                <w:w w:val="110"/>
                <w:sz w:val="20"/>
              </w:rPr>
              <w:t>46%</w:t>
            </w:r>
          </w:p>
        </w:tc>
        <w:tc>
          <w:tcPr>
            <w:tcW w:w="1973" w:type="dxa"/>
            <w:tcBorders>
              <w:top w:val="single" w:sz="2" w:space="0" w:color="231F20"/>
              <w:left w:val="single" w:sz="2" w:space="0" w:color="231F20"/>
              <w:bottom w:val="single" w:sz="2" w:space="0" w:color="231F20"/>
              <w:right w:val="single" w:sz="2" w:space="0" w:color="231F20"/>
            </w:tcBorders>
            <w:shd w:val="clear" w:color="auto" w:fill="E6E7E8"/>
            <w:vAlign w:val="center"/>
          </w:tcPr>
          <w:p w14:paraId="73D6D08F" w14:textId="77777777" w:rsidR="00D749E1" w:rsidRPr="00E06806" w:rsidRDefault="00D749E1" w:rsidP="00D63204">
            <w:pPr>
              <w:widowControl w:val="0"/>
              <w:spacing w:before="175" w:after="0" w:line="240" w:lineRule="auto"/>
              <w:ind w:left="107"/>
              <w:rPr>
                <w:rFonts w:cstheme="minorHAnsi"/>
                <w:sz w:val="20"/>
                <w:szCs w:val="20"/>
              </w:rPr>
            </w:pPr>
            <w:r w:rsidRPr="00E06806">
              <w:rPr>
                <w:rFonts w:cstheme="minorHAnsi"/>
                <w:color w:val="231F20"/>
                <w:w w:val="90"/>
                <w:sz w:val="20"/>
              </w:rPr>
              <w:t>34%</w:t>
            </w:r>
          </w:p>
        </w:tc>
        <w:tc>
          <w:tcPr>
            <w:tcW w:w="1166" w:type="dxa"/>
            <w:tcBorders>
              <w:top w:val="single" w:sz="2" w:space="0" w:color="231F20"/>
              <w:left w:val="single" w:sz="2" w:space="0" w:color="231F20"/>
              <w:bottom w:val="single" w:sz="2" w:space="0" w:color="231F20"/>
              <w:right w:val="single" w:sz="2" w:space="0" w:color="231F20"/>
            </w:tcBorders>
            <w:shd w:val="clear" w:color="auto" w:fill="E6E7E8"/>
            <w:vAlign w:val="center"/>
          </w:tcPr>
          <w:p w14:paraId="130BE760" w14:textId="77777777" w:rsidR="00D749E1" w:rsidRPr="00E06806" w:rsidRDefault="00D749E1" w:rsidP="00D63204">
            <w:pPr>
              <w:widowControl w:val="0"/>
              <w:spacing w:before="175" w:after="0" w:line="240" w:lineRule="auto"/>
              <w:ind w:left="107"/>
              <w:rPr>
                <w:rFonts w:cstheme="minorHAnsi"/>
                <w:sz w:val="20"/>
                <w:szCs w:val="20"/>
              </w:rPr>
            </w:pPr>
            <w:r w:rsidRPr="00E06806">
              <w:rPr>
                <w:rFonts w:cstheme="minorHAnsi"/>
                <w:color w:val="231F20"/>
                <w:w w:val="110"/>
                <w:sz w:val="20"/>
              </w:rPr>
              <w:t>42%</w:t>
            </w:r>
          </w:p>
        </w:tc>
        <w:tc>
          <w:tcPr>
            <w:tcW w:w="1570" w:type="dxa"/>
            <w:tcBorders>
              <w:top w:val="single" w:sz="2" w:space="0" w:color="231F20"/>
              <w:left w:val="single" w:sz="2" w:space="0" w:color="231F20"/>
              <w:bottom w:val="single" w:sz="2" w:space="0" w:color="231F20"/>
              <w:right w:val="single" w:sz="2" w:space="0" w:color="231F20"/>
            </w:tcBorders>
            <w:shd w:val="clear" w:color="auto" w:fill="E6E7E8"/>
            <w:vAlign w:val="center"/>
          </w:tcPr>
          <w:p w14:paraId="4AB8173B" w14:textId="77777777" w:rsidR="00D749E1" w:rsidRPr="00E06806" w:rsidRDefault="00D749E1" w:rsidP="00D63204">
            <w:pPr>
              <w:widowControl w:val="0"/>
              <w:spacing w:before="175" w:after="0" w:line="240" w:lineRule="auto"/>
              <w:ind w:left="107"/>
              <w:rPr>
                <w:rFonts w:cstheme="minorHAnsi"/>
                <w:sz w:val="20"/>
                <w:szCs w:val="20"/>
              </w:rPr>
            </w:pPr>
            <w:r w:rsidRPr="00E06806">
              <w:rPr>
                <w:rFonts w:cstheme="minorHAnsi"/>
                <w:color w:val="231F20"/>
                <w:w w:val="105"/>
                <w:sz w:val="20"/>
              </w:rPr>
              <w:t>28.86%</w:t>
            </w:r>
          </w:p>
        </w:tc>
        <w:tc>
          <w:tcPr>
            <w:tcW w:w="1483" w:type="dxa"/>
            <w:tcBorders>
              <w:top w:val="single" w:sz="2" w:space="0" w:color="231F20"/>
              <w:left w:val="single" w:sz="2" w:space="0" w:color="231F20"/>
              <w:bottom w:val="single" w:sz="2" w:space="0" w:color="231F20"/>
              <w:right w:val="single" w:sz="2" w:space="0" w:color="231F20"/>
            </w:tcBorders>
            <w:shd w:val="clear" w:color="auto" w:fill="E6E7E8"/>
            <w:vAlign w:val="center"/>
          </w:tcPr>
          <w:p w14:paraId="1360059B" w14:textId="77777777" w:rsidR="00D749E1" w:rsidRPr="00E06806" w:rsidRDefault="00D749E1" w:rsidP="00D63204">
            <w:pPr>
              <w:widowControl w:val="0"/>
              <w:spacing w:before="175" w:after="0" w:line="240" w:lineRule="auto"/>
              <w:ind w:left="107"/>
              <w:rPr>
                <w:rFonts w:cstheme="minorHAnsi"/>
                <w:sz w:val="20"/>
                <w:szCs w:val="20"/>
              </w:rPr>
            </w:pPr>
            <w:r w:rsidRPr="00E06806">
              <w:rPr>
                <w:rFonts w:cstheme="minorHAnsi"/>
                <w:sz w:val="20"/>
                <w:szCs w:val="20"/>
              </w:rPr>
              <w:t>44%</w:t>
            </w:r>
          </w:p>
        </w:tc>
        <w:tc>
          <w:tcPr>
            <w:tcW w:w="1441" w:type="dxa"/>
            <w:tcBorders>
              <w:top w:val="single" w:sz="2" w:space="0" w:color="231F20"/>
              <w:left w:val="single" w:sz="2" w:space="0" w:color="231F20"/>
              <w:bottom w:val="single" w:sz="2" w:space="0" w:color="231F20"/>
              <w:right w:val="single" w:sz="2" w:space="0" w:color="231F20"/>
            </w:tcBorders>
            <w:shd w:val="clear" w:color="auto" w:fill="E6E7E8"/>
            <w:vAlign w:val="center"/>
          </w:tcPr>
          <w:p w14:paraId="65C3D69C" w14:textId="77777777" w:rsidR="00D749E1" w:rsidRPr="00E06806" w:rsidRDefault="00D749E1" w:rsidP="00D63204">
            <w:pPr>
              <w:widowControl w:val="0"/>
              <w:spacing w:before="175" w:after="0" w:line="240" w:lineRule="auto"/>
              <w:ind w:left="107"/>
              <w:rPr>
                <w:rFonts w:cstheme="minorHAnsi"/>
                <w:sz w:val="20"/>
                <w:szCs w:val="20"/>
              </w:rPr>
            </w:pPr>
            <w:r w:rsidRPr="00E06806">
              <w:rPr>
                <w:rFonts w:cstheme="minorHAnsi"/>
                <w:color w:val="231F20"/>
                <w:w w:val="105"/>
                <w:sz w:val="20"/>
              </w:rPr>
              <w:t>Not</w:t>
            </w:r>
            <w:r w:rsidRPr="00E06806">
              <w:rPr>
                <w:rFonts w:cstheme="minorHAnsi"/>
                <w:color w:val="231F20"/>
                <w:spacing w:val="22"/>
                <w:w w:val="105"/>
                <w:sz w:val="20"/>
              </w:rPr>
              <w:t xml:space="preserve"> </w:t>
            </w:r>
            <w:r w:rsidRPr="00E06806">
              <w:rPr>
                <w:rFonts w:cstheme="minorHAnsi"/>
                <w:color w:val="231F20"/>
                <w:w w:val="105"/>
                <w:sz w:val="20"/>
              </w:rPr>
              <w:t>available</w:t>
            </w:r>
          </w:p>
        </w:tc>
      </w:tr>
      <w:tr w:rsidR="00D749E1" w:rsidRPr="00E06806" w14:paraId="6DBA2CA2" w14:textId="77777777" w:rsidTr="007872A2">
        <w:trPr>
          <w:trHeight w:hRule="exact" w:val="585"/>
        </w:trPr>
        <w:tc>
          <w:tcPr>
            <w:tcW w:w="1480" w:type="dxa"/>
            <w:tcBorders>
              <w:top w:val="single" w:sz="2" w:space="0" w:color="231F20"/>
              <w:left w:val="single" w:sz="2" w:space="0" w:color="231F20"/>
              <w:bottom w:val="single" w:sz="2" w:space="0" w:color="231F20"/>
              <w:right w:val="single" w:sz="2" w:space="0" w:color="231F20"/>
            </w:tcBorders>
            <w:vAlign w:val="center"/>
          </w:tcPr>
          <w:p w14:paraId="00CE46ED" w14:textId="77777777" w:rsidR="00D749E1" w:rsidRPr="00E06806" w:rsidRDefault="00D749E1" w:rsidP="007872A2">
            <w:pPr>
              <w:widowControl w:val="0"/>
              <w:spacing w:before="57" w:after="0" w:line="240" w:lineRule="exact"/>
              <w:ind w:left="107"/>
              <w:rPr>
                <w:rFonts w:cstheme="minorHAnsi"/>
                <w:sz w:val="20"/>
                <w:szCs w:val="20"/>
              </w:rPr>
            </w:pPr>
            <w:r w:rsidRPr="00E06806">
              <w:rPr>
                <w:rFonts w:cstheme="minorHAnsi"/>
                <w:color w:val="231F20"/>
                <w:w w:val="110"/>
                <w:sz w:val="20"/>
              </w:rPr>
              <w:t>ESL Low</w:t>
            </w:r>
            <w:r w:rsidRPr="00E06806">
              <w:rPr>
                <w:rFonts w:cstheme="minorHAnsi"/>
                <w:color w:val="231F20"/>
                <w:spacing w:val="-24"/>
                <w:w w:val="110"/>
                <w:sz w:val="20"/>
              </w:rPr>
              <w:t xml:space="preserve"> </w:t>
            </w:r>
            <w:r w:rsidRPr="00E06806">
              <w:rPr>
                <w:rFonts w:cstheme="minorHAnsi"/>
                <w:color w:val="231F20"/>
                <w:sz w:val="20"/>
              </w:rPr>
              <w:t>Intermediate</w:t>
            </w:r>
          </w:p>
        </w:tc>
        <w:tc>
          <w:tcPr>
            <w:tcW w:w="1037" w:type="dxa"/>
            <w:tcBorders>
              <w:top w:val="single" w:sz="2" w:space="0" w:color="231F20"/>
              <w:left w:val="single" w:sz="2" w:space="0" w:color="231F20"/>
              <w:bottom w:val="single" w:sz="2" w:space="0" w:color="231F20"/>
              <w:right w:val="single" w:sz="2" w:space="0" w:color="231F20"/>
            </w:tcBorders>
            <w:vAlign w:val="center"/>
          </w:tcPr>
          <w:p w14:paraId="04839E02" w14:textId="77777777" w:rsidR="00D749E1" w:rsidRPr="00E06806" w:rsidRDefault="00D749E1" w:rsidP="00D63204">
            <w:pPr>
              <w:widowControl w:val="0"/>
              <w:spacing w:before="178" w:after="0" w:line="240" w:lineRule="auto"/>
              <w:ind w:left="107"/>
              <w:rPr>
                <w:rFonts w:cstheme="minorHAnsi"/>
                <w:sz w:val="20"/>
                <w:szCs w:val="20"/>
              </w:rPr>
            </w:pPr>
            <w:r w:rsidRPr="00E06806">
              <w:rPr>
                <w:rFonts w:cstheme="minorHAnsi"/>
                <w:color w:val="231F20"/>
                <w:sz w:val="20"/>
              </w:rPr>
              <w:t>40%</w:t>
            </w:r>
          </w:p>
        </w:tc>
        <w:tc>
          <w:tcPr>
            <w:tcW w:w="1973" w:type="dxa"/>
            <w:tcBorders>
              <w:top w:val="single" w:sz="2" w:space="0" w:color="231F20"/>
              <w:left w:val="single" w:sz="2" w:space="0" w:color="231F20"/>
              <w:bottom w:val="single" w:sz="2" w:space="0" w:color="231F20"/>
              <w:right w:val="single" w:sz="2" w:space="0" w:color="231F20"/>
            </w:tcBorders>
            <w:vAlign w:val="center"/>
          </w:tcPr>
          <w:p w14:paraId="48517723" w14:textId="77777777" w:rsidR="00D749E1" w:rsidRPr="00E06806" w:rsidRDefault="00D749E1" w:rsidP="00D63204">
            <w:pPr>
              <w:widowControl w:val="0"/>
              <w:spacing w:before="178" w:after="0" w:line="240" w:lineRule="auto"/>
              <w:ind w:left="107"/>
              <w:rPr>
                <w:rFonts w:cstheme="minorHAnsi"/>
                <w:sz w:val="20"/>
                <w:szCs w:val="20"/>
              </w:rPr>
            </w:pPr>
            <w:r w:rsidRPr="00E06806">
              <w:rPr>
                <w:rFonts w:cstheme="minorHAnsi"/>
                <w:color w:val="231F20"/>
                <w:w w:val="105"/>
                <w:sz w:val="20"/>
              </w:rPr>
              <w:t>30%</w:t>
            </w:r>
          </w:p>
        </w:tc>
        <w:tc>
          <w:tcPr>
            <w:tcW w:w="1166" w:type="dxa"/>
            <w:tcBorders>
              <w:top w:val="single" w:sz="2" w:space="0" w:color="231F20"/>
              <w:left w:val="single" w:sz="2" w:space="0" w:color="231F20"/>
              <w:bottom w:val="single" w:sz="2" w:space="0" w:color="231F20"/>
              <w:right w:val="single" w:sz="2" w:space="0" w:color="231F20"/>
            </w:tcBorders>
            <w:vAlign w:val="center"/>
          </w:tcPr>
          <w:p w14:paraId="785458D4" w14:textId="77777777" w:rsidR="00D749E1" w:rsidRPr="00E06806" w:rsidRDefault="00D749E1" w:rsidP="00D63204">
            <w:pPr>
              <w:widowControl w:val="0"/>
              <w:spacing w:before="178" w:after="0" w:line="240" w:lineRule="auto"/>
              <w:ind w:left="107"/>
              <w:rPr>
                <w:rFonts w:cstheme="minorHAnsi"/>
                <w:sz w:val="20"/>
                <w:szCs w:val="20"/>
              </w:rPr>
            </w:pPr>
            <w:r w:rsidRPr="00E06806">
              <w:rPr>
                <w:rFonts w:cstheme="minorHAnsi"/>
                <w:color w:val="231F20"/>
                <w:w w:val="110"/>
                <w:sz w:val="20"/>
              </w:rPr>
              <w:t>39%</w:t>
            </w:r>
          </w:p>
        </w:tc>
        <w:tc>
          <w:tcPr>
            <w:tcW w:w="1570" w:type="dxa"/>
            <w:tcBorders>
              <w:top w:val="single" w:sz="2" w:space="0" w:color="231F20"/>
              <w:left w:val="single" w:sz="2" w:space="0" w:color="231F20"/>
              <w:bottom w:val="single" w:sz="2" w:space="0" w:color="231F20"/>
              <w:right w:val="single" w:sz="2" w:space="0" w:color="231F20"/>
            </w:tcBorders>
            <w:vAlign w:val="center"/>
          </w:tcPr>
          <w:p w14:paraId="56E0B92C" w14:textId="77777777" w:rsidR="00D749E1" w:rsidRPr="00E06806" w:rsidRDefault="00D749E1" w:rsidP="00D63204">
            <w:pPr>
              <w:widowControl w:val="0"/>
              <w:spacing w:before="178" w:after="0" w:line="240" w:lineRule="auto"/>
              <w:ind w:left="107"/>
              <w:rPr>
                <w:rFonts w:cstheme="minorHAnsi"/>
                <w:sz w:val="20"/>
                <w:szCs w:val="20"/>
              </w:rPr>
            </w:pPr>
            <w:r w:rsidRPr="00E06806">
              <w:rPr>
                <w:rFonts w:cstheme="minorHAnsi"/>
                <w:color w:val="231F20"/>
                <w:w w:val="105"/>
                <w:sz w:val="20"/>
              </w:rPr>
              <w:t>28.64%</w:t>
            </w:r>
          </w:p>
        </w:tc>
        <w:tc>
          <w:tcPr>
            <w:tcW w:w="1483" w:type="dxa"/>
            <w:tcBorders>
              <w:top w:val="single" w:sz="2" w:space="0" w:color="231F20"/>
              <w:left w:val="single" w:sz="2" w:space="0" w:color="231F20"/>
              <w:bottom w:val="single" w:sz="2" w:space="0" w:color="231F20"/>
              <w:right w:val="single" w:sz="2" w:space="0" w:color="231F20"/>
            </w:tcBorders>
            <w:vAlign w:val="center"/>
          </w:tcPr>
          <w:p w14:paraId="062CA614" w14:textId="77777777" w:rsidR="00D749E1" w:rsidRPr="00E06806" w:rsidRDefault="00D749E1" w:rsidP="00D63204">
            <w:pPr>
              <w:widowControl w:val="0"/>
              <w:spacing w:before="178" w:after="0" w:line="240" w:lineRule="auto"/>
              <w:ind w:left="107"/>
              <w:rPr>
                <w:rFonts w:cstheme="minorHAnsi"/>
                <w:sz w:val="20"/>
                <w:szCs w:val="20"/>
              </w:rPr>
            </w:pPr>
            <w:r w:rsidRPr="00E06806">
              <w:rPr>
                <w:rFonts w:cstheme="minorHAnsi"/>
                <w:sz w:val="20"/>
                <w:szCs w:val="20"/>
              </w:rPr>
              <w:t>41%</w:t>
            </w:r>
          </w:p>
        </w:tc>
        <w:tc>
          <w:tcPr>
            <w:tcW w:w="1441" w:type="dxa"/>
            <w:tcBorders>
              <w:top w:val="single" w:sz="2" w:space="0" w:color="231F20"/>
              <w:left w:val="single" w:sz="2" w:space="0" w:color="231F20"/>
              <w:bottom w:val="single" w:sz="2" w:space="0" w:color="231F20"/>
              <w:right w:val="single" w:sz="2" w:space="0" w:color="231F20"/>
            </w:tcBorders>
            <w:vAlign w:val="center"/>
          </w:tcPr>
          <w:p w14:paraId="79EBFF9D" w14:textId="77777777" w:rsidR="00D749E1" w:rsidRPr="00E06806" w:rsidRDefault="00D749E1" w:rsidP="00D63204">
            <w:pPr>
              <w:widowControl w:val="0"/>
              <w:spacing w:before="178" w:after="0" w:line="240" w:lineRule="auto"/>
              <w:ind w:left="107"/>
              <w:rPr>
                <w:rFonts w:cstheme="minorHAnsi"/>
                <w:sz w:val="20"/>
                <w:szCs w:val="20"/>
              </w:rPr>
            </w:pPr>
            <w:r w:rsidRPr="00E06806">
              <w:rPr>
                <w:rFonts w:cstheme="minorHAnsi"/>
                <w:color w:val="231F20"/>
                <w:w w:val="105"/>
                <w:sz w:val="20"/>
              </w:rPr>
              <w:t>Not</w:t>
            </w:r>
            <w:r w:rsidRPr="00E06806">
              <w:rPr>
                <w:rFonts w:cstheme="minorHAnsi"/>
                <w:color w:val="231F20"/>
                <w:spacing w:val="22"/>
                <w:w w:val="105"/>
                <w:sz w:val="20"/>
              </w:rPr>
              <w:t xml:space="preserve"> </w:t>
            </w:r>
            <w:r w:rsidRPr="00E06806">
              <w:rPr>
                <w:rFonts w:cstheme="minorHAnsi"/>
                <w:color w:val="231F20"/>
                <w:w w:val="105"/>
                <w:sz w:val="20"/>
              </w:rPr>
              <w:t>available</w:t>
            </w:r>
          </w:p>
        </w:tc>
      </w:tr>
      <w:tr w:rsidR="00D749E1" w:rsidRPr="00E06806" w14:paraId="7A6ED981" w14:textId="77777777" w:rsidTr="007872A2">
        <w:trPr>
          <w:trHeight w:hRule="exact" w:val="578"/>
        </w:trPr>
        <w:tc>
          <w:tcPr>
            <w:tcW w:w="1480" w:type="dxa"/>
            <w:tcBorders>
              <w:top w:val="single" w:sz="2" w:space="0" w:color="231F20"/>
              <w:left w:val="single" w:sz="2" w:space="0" w:color="231F20"/>
              <w:bottom w:val="single" w:sz="2" w:space="0" w:color="231F20"/>
              <w:right w:val="single" w:sz="2" w:space="0" w:color="231F20"/>
            </w:tcBorders>
            <w:shd w:val="clear" w:color="auto" w:fill="E6E7E8"/>
            <w:vAlign w:val="center"/>
          </w:tcPr>
          <w:p w14:paraId="1A4F33C5" w14:textId="77777777" w:rsidR="00D749E1" w:rsidRPr="00E06806" w:rsidRDefault="00D749E1" w:rsidP="007872A2">
            <w:pPr>
              <w:widowControl w:val="0"/>
              <w:spacing w:before="53" w:after="0" w:line="240" w:lineRule="exact"/>
              <w:ind w:left="107"/>
              <w:rPr>
                <w:rFonts w:cstheme="minorHAnsi"/>
                <w:sz w:val="20"/>
                <w:szCs w:val="20"/>
              </w:rPr>
            </w:pPr>
            <w:r w:rsidRPr="00E06806">
              <w:rPr>
                <w:rFonts w:cstheme="minorHAnsi"/>
                <w:color w:val="231F20"/>
                <w:w w:val="110"/>
                <w:sz w:val="20"/>
              </w:rPr>
              <w:t>ESL High</w:t>
            </w:r>
            <w:r w:rsidRPr="00E06806">
              <w:rPr>
                <w:rFonts w:cstheme="minorHAnsi"/>
                <w:color w:val="231F20"/>
                <w:spacing w:val="-10"/>
                <w:w w:val="110"/>
                <w:sz w:val="20"/>
              </w:rPr>
              <w:t xml:space="preserve"> </w:t>
            </w:r>
            <w:r w:rsidRPr="00E06806">
              <w:rPr>
                <w:rFonts w:cstheme="minorHAnsi"/>
                <w:color w:val="231F20"/>
                <w:sz w:val="20"/>
              </w:rPr>
              <w:t>Intermediate</w:t>
            </w:r>
          </w:p>
        </w:tc>
        <w:tc>
          <w:tcPr>
            <w:tcW w:w="1037" w:type="dxa"/>
            <w:tcBorders>
              <w:top w:val="single" w:sz="2" w:space="0" w:color="231F20"/>
              <w:left w:val="single" w:sz="2" w:space="0" w:color="231F20"/>
              <w:bottom w:val="single" w:sz="2" w:space="0" w:color="231F20"/>
              <w:right w:val="single" w:sz="2" w:space="0" w:color="231F20"/>
            </w:tcBorders>
            <w:shd w:val="clear" w:color="auto" w:fill="E6E7E8"/>
            <w:vAlign w:val="center"/>
          </w:tcPr>
          <w:p w14:paraId="6B81DC36" w14:textId="77777777" w:rsidR="00D749E1" w:rsidRPr="00E06806" w:rsidRDefault="00D749E1" w:rsidP="00D63204">
            <w:pPr>
              <w:widowControl w:val="0"/>
              <w:spacing w:before="175" w:after="0" w:line="240" w:lineRule="auto"/>
              <w:ind w:left="107"/>
              <w:rPr>
                <w:rFonts w:cstheme="minorHAnsi"/>
                <w:sz w:val="20"/>
                <w:szCs w:val="20"/>
              </w:rPr>
            </w:pPr>
            <w:r w:rsidRPr="00E06806">
              <w:rPr>
                <w:rFonts w:cstheme="minorHAnsi"/>
                <w:color w:val="231F20"/>
                <w:w w:val="110"/>
                <w:sz w:val="20"/>
              </w:rPr>
              <w:t>41%</w:t>
            </w:r>
          </w:p>
        </w:tc>
        <w:tc>
          <w:tcPr>
            <w:tcW w:w="1973" w:type="dxa"/>
            <w:tcBorders>
              <w:top w:val="single" w:sz="2" w:space="0" w:color="231F20"/>
              <w:left w:val="single" w:sz="2" w:space="0" w:color="231F20"/>
              <w:bottom w:val="single" w:sz="2" w:space="0" w:color="231F20"/>
              <w:right w:val="single" w:sz="2" w:space="0" w:color="231F20"/>
            </w:tcBorders>
            <w:shd w:val="clear" w:color="auto" w:fill="E6E7E8"/>
            <w:vAlign w:val="center"/>
          </w:tcPr>
          <w:p w14:paraId="6FEA070A" w14:textId="77777777" w:rsidR="00D749E1" w:rsidRPr="00E06806" w:rsidRDefault="00D749E1" w:rsidP="00D63204">
            <w:pPr>
              <w:widowControl w:val="0"/>
              <w:spacing w:before="175" w:after="0" w:line="240" w:lineRule="auto"/>
              <w:ind w:left="107"/>
              <w:rPr>
                <w:rFonts w:cstheme="minorHAnsi"/>
                <w:sz w:val="20"/>
                <w:szCs w:val="20"/>
              </w:rPr>
            </w:pPr>
            <w:r w:rsidRPr="00E06806">
              <w:rPr>
                <w:rFonts w:cstheme="minorHAnsi"/>
                <w:color w:val="231F20"/>
                <w:w w:val="105"/>
                <w:sz w:val="20"/>
              </w:rPr>
              <w:t>28%</w:t>
            </w:r>
          </w:p>
        </w:tc>
        <w:tc>
          <w:tcPr>
            <w:tcW w:w="1166" w:type="dxa"/>
            <w:tcBorders>
              <w:top w:val="single" w:sz="2" w:space="0" w:color="231F20"/>
              <w:left w:val="single" w:sz="2" w:space="0" w:color="231F20"/>
              <w:bottom w:val="single" w:sz="2" w:space="0" w:color="231F20"/>
              <w:right w:val="single" w:sz="2" w:space="0" w:color="231F20"/>
            </w:tcBorders>
            <w:shd w:val="clear" w:color="auto" w:fill="E6E7E8"/>
            <w:vAlign w:val="center"/>
          </w:tcPr>
          <w:p w14:paraId="001CFB8E" w14:textId="77777777" w:rsidR="00D749E1" w:rsidRPr="00E06806" w:rsidRDefault="00D749E1" w:rsidP="00D63204">
            <w:pPr>
              <w:widowControl w:val="0"/>
              <w:spacing w:before="175" w:after="0" w:line="240" w:lineRule="auto"/>
              <w:ind w:left="107"/>
              <w:rPr>
                <w:rFonts w:cstheme="minorHAnsi"/>
                <w:sz w:val="20"/>
                <w:szCs w:val="20"/>
              </w:rPr>
            </w:pPr>
            <w:r w:rsidRPr="00E06806">
              <w:rPr>
                <w:rFonts w:cstheme="minorHAnsi"/>
                <w:color w:val="231F20"/>
                <w:w w:val="110"/>
                <w:sz w:val="20"/>
              </w:rPr>
              <w:t>38%</w:t>
            </w:r>
          </w:p>
        </w:tc>
        <w:tc>
          <w:tcPr>
            <w:tcW w:w="1570" w:type="dxa"/>
            <w:tcBorders>
              <w:top w:val="single" w:sz="2" w:space="0" w:color="231F20"/>
              <w:left w:val="single" w:sz="2" w:space="0" w:color="231F20"/>
              <w:bottom w:val="single" w:sz="2" w:space="0" w:color="231F20"/>
              <w:right w:val="single" w:sz="2" w:space="0" w:color="231F20"/>
            </w:tcBorders>
            <w:shd w:val="clear" w:color="auto" w:fill="E6E7E8"/>
            <w:vAlign w:val="center"/>
          </w:tcPr>
          <w:p w14:paraId="72EB1FDE" w14:textId="77777777" w:rsidR="00D749E1" w:rsidRPr="00E06806" w:rsidRDefault="00D749E1" w:rsidP="00D63204">
            <w:pPr>
              <w:widowControl w:val="0"/>
              <w:spacing w:before="175" w:after="0" w:line="240" w:lineRule="auto"/>
              <w:ind w:left="107"/>
              <w:rPr>
                <w:rFonts w:cstheme="minorHAnsi"/>
                <w:sz w:val="20"/>
                <w:szCs w:val="20"/>
              </w:rPr>
            </w:pPr>
            <w:r w:rsidRPr="00E06806">
              <w:rPr>
                <w:rFonts w:cstheme="minorHAnsi"/>
                <w:color w:val="231F20"/>
                <w:w w:val="90"/>
                <w:sz w:val="20"/>
              </w:rPr>
              <w:t>28.89%</w:t>
            </w:r>
          </w:p>
        </w:tc>
        <w:tc>
          <w:tcPr>
            <w:tcW w:w="1483" w:type="dxa"/>
            <w:tcBorders>
              <w:top w:val="single" w:sz="2" w:space="0" w:color="231F20"/>
              <w:left w:val="single" w:sz="2" w:space="0" w:color="231F20"/>
              <w:bottom w:val="single" w:sz="2" w:space="0" w:color="231F20"/>
              <w:right w:val="single" w:sz="2" w:space="0" w:color="231F20"/>
            </w:tcBorders>
            <w:shd w:val="clear" w:color="auto" w:fill="E6E7E8"/>
            <w:vAlign w:val="center"/>
          </w:tcPr>
          <w:p w14:paraId="41328B13" w14:textId="77777777" w:rsidR="00D749E1" w:rsidRPr="00E06806" w:rsidRDefault="00D749E1" w:rsidP="00D63204">
            <w:pPr>
              <w:widowControl w:val="0"/>
              <w:spacing w:before="175" w:after="0" w:line="240" w:lineRule="auto"/>
              <w:ind w:left="107"/>
              <w:rPr>
                <w:rFonts w:cstheme="minorHAnsi"/>
                <w:sz w:val="20"/>
                <w:szCs w:val="20"/>
              </w:rPr>
            </w:pPr>
            <w:r w:rsidRPr="00E06806">
              <w:rPr>
                <w:rFonts w:cstheme="minorHAnsi"/>
                <w:sz w:val="20"/>
                <w:szCs w:val="20"/>
              </w:rPr>
              <w:t>41%</w:t>
            </w:r>
          </w:p>
        </w:tc>
        <w:tc>
          <w:tcPr>
            <w:tcW w:w="1441" w:type="dxa"/>
            <w:tcBorders>
              <w:top w:val="single" w:sz="2" w:space="0" w:color="231F20"/>
              <w:left w:val="single" w:sz="2" w:space="0" w:color="231F20"/>
              <w:bottom w:val="single" w:sz="2" w:space="0" w:color="231F20"/>
              <w:right w:val="single" w:sz="2" w:space="0" w:color="231F20"/>
            </w:tcBorders>
            <w:shd w:val="clear" w:color="auto" w:fill="E6E7E8"/>
            <w:vAlign w:val="center"/>
          </w:tcPr>
          <w:p w14:paraId="4B0E30B1" w14:textId="77777777" w:rsidR="00D749E1" w:rsidRPr="00E06806" w:rsidRDefault="00D749E1" w:rsidP="00D63204">
            <w:pPr>
              <w:widowControl w:val="0"/>
              <w:spacing w:before="175" w:after="0" w:line="240" w:lineRule="auto"/>
              <w:ind w:left="107"/>
              <w:rPr>
                <w:rFonts w:cstheme="minorHAnsi"/>
                <w:sz w:val="20"/>
                <w:szCs w:val="20"/>
              </w:rPr>
            </w:pPr>
            <w:r w:rsidRPr="00E06806">
              <w:rPr>
                <w:rFonts w:cstheme="minorHAnsi"/>
                <w:color w:val="231F20"/>
                <w:w w:val="105"/>
                <w:sz w:val="20"/>
              </w:rPr>
              <w:t>Not</w:t>
            </w:r>
            <w:r w:rsidRPr="00E06806">
              <w:rPr>
                <w:rFonts w:cstheme="minorHAnsi"/>
                <w:color w:val="231F20"/>
                <w:spacing w:val="22"/>
                <w:w w:val="105"/>
                <w:sz w:val="20"/>
              </w:rPr>
              <w:t xml:space="preserve"> </w:t>
            </w:r>
            <w:r w:rsidRPr="00E06806">
              <w:rPr>
                <w:rFonts w:cstheme="minorHAnsi"/>
                <w:color w:val="231F20"/>
                <w:w w:val="105"/>
                <w:sz w:val="20"/>
              </w:rPr>
              <w:t>available</w:t>
            </w:r>
          </w:p>
        </w:tc>
      </w:tr>
      <w:tr w:rsidR="00D749E1" w:rsidRPr="00E06806" w14:paraId="064EFFF4" w14:textId="77777777" w:rsidTr="007872A2">
        <w:trPr>
          <w:trHeight w:hRule="exact" w:val="529"/>
        </w:trPr>
        <w:tc>
          <w:tcPr>
            <w:tcW w:w="1480" w:type="dxa"/>
            <w:tcBorders>
              <w:top w:val="single" w:sz="2" w:space="0" w:color="231F20"/>
              <w:left w:val="single" w:sz="2" w:space="0" w:color="231F20"/>
              <w:bottom w:val="single" w:sz="2" w:space="0" w:color="231F20"/>
              <w:right w:val="single" w:sz="2" w:space="0" w:color="231F20"/>
            </w:tcBorders>
            <w:vAlign w:val="center"/>
          </w:tcPr>
          <w:p w14:paraId="099B1696" w14:textId="77777777" w:rsidR="00D749E1" w:rsidRPr="006172CC" w:rsidRDefault="00D749E1" w:rsidP="006172CC">
            <w:pPr>
              <w:widowControl w:val="0"/>
              <w:spacing w:before="57" w:after="0" w:line="240" w:lineRule="exact"/>
              <w:ind w:left="107"/>
              <w:rPr>
                <w:rFonts w:cstheme="minorHAnsi"/>
                <w:color w:val="231F20"/>
                <w:w w:val="110"/>
                <w:sz w:val="20"/>
              </w:rPr>
            </w:pPr>
            <w:r w:rsidRPr="006172CC">
              <w:rPr>
                <w:rFonts w:cstheme="minorHAnsi"/>
                <w:color w:val="231F20"/>
                <w:w w:val="110"/>
                <w:sz w:val="20"/>
              </w:rPr>
              <w:t>ESL Advanced</w:t>
            </w:r>
          </w:p>
        </w:tc>
        <w:tc>
          <w:tcPr>
            <w:tcW w:w="1037" w:type="dxa"/>
            <w:tcBorders>
              <w:top w:val="single" w:sz="2" w:space="0" w:color="231F20"/>
              <w:left w:val="single" w:sz="2" w:space="0" w:color="231F20"/>
              <w:bottom w:val="single" w:sz="2" w:space="0" w:color="231F20"/>
              <w:right w:val="single" w:sz="2" w:space="0" w:color="231F20"/>
            </w:tcBorders>
            <w:vAlign w:val="center"/>
          </w:tcPr>
          <w:p w14:paraId="1DBE418D" w14:textId="77777777" w:rsidR="00D749E1" w:rsidRPr="00E06806" w:rsidRDefault="00D749E1" w:rsidP="00D63204">
            <w:pPr>
              <w:widowControl w:val="0"/>
              <w:spacing w:before="150" w:after="0" w:line="240" w:lineRule="auto"/>
              <w:ind w:left="107"/>
              <w:rPr>
                <w:rFonts w:cstheme="minorHAnsi"/>
                <w:sz w:val="20"/>
                <w:szCs w:val="20"/>
              </w:rPr>
            </w:pPr>
            <w:r w:rsidRPr="00E06806">
              <w:rPr>
                <w:rFonts w:cstheme="minorHAnsi"/>
                <w:color w:val="231F20"/>
                <w:w w:val="110"/>
                <w:sz w:val="20"/>
              </w:rPr>
              <w:t>29%</w:t>
            </w:r>
          </w:p>
        </w:tc>
        <w:tc>
          <w:tcPr>
            <w:tcW w:w="1973" w:type="dxa"/>
            <w:tcBorders>
              <w:top w:val="single" w:sz="2" w:space="0" w:color="231F20"/>
              <w:left w:val="single" w:sz="2" w:space="0" w:color="231F20"/>
              <w:bottom w:val="single" w:sz="2" w:space="0" w:color="231F20"/>
              <w:right w:val="single" w:sz="2" w:space="0" w:color="231F20"/>
            </w:tcBorders>
            <w:vAlign w:val="center"/>
          </w:tcPr>
          <w:p w14:paraId="26E57586" w14:textId="77777777" w:rsidR="00D749E1" w:rsidRPr="00E06806" w:rsidRDefault="00D749E1" w:rsidP="00D63204">
            <w:pPr>
              <w:widowControl w:val="0"/>
              <w:spacing w:before="150" w:after="0" w:line="240" w:lineRule="auto"/>
              <w:ind w:left="107"/>
              <w:rPr>
                <w:rFonts w:cstheme="minorHAnsi"/>
                <w:sz w:val="20"/>
                <w:szCs w:val="20"/>
              </w:rPr>
            </w:pPr>
            <w:r w:rsidRPr="00E06806">
              <w:rPr>
                <w:rFonts w:cstheme="minorHAnsi"/>
                <w:color w:val="231F20"/>
                <w:w w:val="110"/>
                <w:sz w:val="20"/>
              </w:rPr>
              <w:t>23%</w:t>
            </w:r>
          </w:p>
        </w:tc>
        <w:tc>
          <w:tcPr>
            <w:tcW w:w="1166" w:type="dxa"/>
            <w:tcBorders>
              <w:top w:val="single" w:sz="2" w:space="0" w:color="231F20"/>
              <w:left w:val="single" w:sz="2" w:space="0" w:color="231F20"/>
              <w:bottom w:val="single" w:sz="2" w:space="0" w:color="231F20"/>
              <w:right w:val="single" w:sz="2" w:space="0" w:color="231F20"/>
            </w:tcBorders>
            <w:vAlign w:val="center"/>
          </w:tcPr>
          <w:p w14:paraId="4BDA4B1A" w14:textId="77777777" w:rsidR="00D749E1" w:rsidRPr="00E06806" w:rsidRDefault="00D749E1" w:rsidP="00D63204">
            <w:pPr>
              <w:widowControl w:val="0"/>
              <w:spacing w:before="150" w:after="0" w:line="240" w:lineRule="auto"/>
              <w:ind w:left="107"/>
              <w:rPr>
                <w:rFonts w:cstheme="minorHAnsi"/>
                <w:sz w:val="20"/>
                <w:szCs w:val="20"/>
              </w:rPr>
            </w:pPr>
            <w:r w:rsidRPr="00E06806">
              <w:rPr>
                <w:rFonts w:cstheme="minorHAnsi"/>
                <w:color w:val="231F20"/>
                <w:sz w:val="20"/>
              </w:rPr>
              <w:t>26%</w:t>
            </w:r>
          </w:p>
        </w:tc>
        <w:tc>
          <w:tcPr>
            <w:tcW w:w="1570" w:type="dxa"/>
            <w:tcBorders>
              <w:top w:val="single" w:sz="2" w:space="0" w:color="231F20"/>
              <w:left w:val="single" w:sz="2" w:space="0" w:color="231F20"/>
              <w:bottom w:val="single" w:sz="2" w:space="0" w:color="231F20"/>
              <w:right w:val="single" w:sz="2" w:space="0" w:color="231F20"/>
            </w:tcBorders>
            <w:vAlign w:val="center"/>
          </w:tcPr>
          <w:p w14:paraId="108011D8" w14:textId="77777777" w:rsidR="00D749E1" w:rsidRPr="00E06806" w:rsidRDefault="00D749E1" w:rsidP="00D63204">
            <w:pPr>
              <w:widowControl w:val="0"/>
              <w:spacing w:before="150" w:after="0" w:line="240" w:lineRule="auto"/>
              <w:ind w:left="107"/>
              <w:rPr>
                <w:rFonts w:cstheme="minorHAnsi"/>
                <w:sz w:val="20"/>
                <w:szCs w:val="20"/>
              </w:rPr>
            </w:pPr>
            <w:r w:rsidRPr="00E06806">
              <w:rPr>
                <w:rFonts w:cstheme="minorHAnsi"/>
                <w:color w:val="231F20"/>
                <w:w w:val="105"/>
                <w:sz w:val="20"/>
              </w:rPr>
              <w:t>22.32%</w:t>
            </w:r>
          </w:p>
        </w:tc>
        <w:tc>
          <w:tcPr>
            <w:tcW w:w="1483" w:type="dxa"/>
            <w:tcBorders>
              <w:top w:val="single" w:sz="2" w:space="0" w:color="231F20"/>
              <w:left w:val="single" w:sz="2" w:space="0" w:color="231F20"/>
              <w:bottom w:val="single" w:sz="2" w:space="0" w:color="231F20"/>
              <w:right w:val="single" w:sz="2" w:space="0" w:color="231F20"/>
            </w:tcBorders>
            <w:vAlign w:val="center"/>
          </w:tcPr>
          <w:p w14:paraId="1C394671" w14:textId="77777777" w:rsidR="00D749E1" w:rsidRPr="00E06806" w:rsidRDefault="00D749E1" w:rsidP="00D63204">
            <w:pPr>
              <w:widowControl w:val="0"/>
              <w:spacing w:before="150" w:after="0" w:line="240" w:lineRule="auto"/>
              <w:ind w:left="107"/>
              <w:rPr>
                <w:rFonts w:cstheme="minorHAnsi"/>
                <w:sz w:val="20"/>
                <w:szCs w:val="20"/>
              </w:rPr>
            </w:pPr>
            <w:r w:rsidRPr="00E06806">
              <w:rPr>
                <w:rFonts w:cstheme="minorHAnsi"/>
                <w:sz w:val="20"/>
                <w:szCs w:val="20"/>
              </w:rPr>
              <w:t>28%</w:t>
            </w:r>
          </w:p>
        </w:tc>
        <w:tc>
          <w:tcPr>
            <w:tcW w:w="1441" w:type="dxa"/>
            <w:tcBorders>
              <w:top w:val="single" w:sz="2" w:space="0" w:color="231F20"/>
              <w:left w:val="single" w:sz="2" w:space="0" w:color="231F20"/>
              <w:bottom w:val="single" w:sz="2" w:space="0" w:color="231F20"/>
              <w:right w:val="single" w:sz="2" w:space="0" w:color="231F20"/>
            </w:tcBorders>
            <w:vAlign w:val="center"/>
          </w:tcPr>
          <w:p w14:paraId="5C500EA7" w14:textId="77777777" w:rsidR="00D749E1" w:rsidRPr="00E06806" w:rsidRDefault="00D749E1" w:rsidP="00D63204">
            <w:pPr>
              <w:widowControl w:val="0"/>
              <w:spacing w:before="150" w:after="0" w:line="240" w:lineRule="auto"/>
              <w:ind w:left="107"/>
              <w:rPr>
                <w:rFonts w:cstheme="minorHAnsi"/>
                <w:sz w:val="20"/>
                <w:szCs w:val="20"/>
              </w:rPr>
            </w:pPr>
            <w:r w:rsidRPr="00E06806">
              <w:rPr>
                <w:rFonts w:cstheme="minorHAnsi"/>
                <w:color w:val="231F20"/>
                <w:w w:val="105"/>
                <w:sz w:val="20"/>
              </w:rPr>
              <w:t>Not</w:t>
            </w:r>
            <w:r w:rsidRPr="00E06806">
              <w:rPr>
                <w:rFonts w:cstheme="minorHAnsi"/>
                <w:color w:val="231F20"/>
                <w:spacing w:val="22"/>
                <w:w w:val="105"/>
                <w:sz w:val="20"/>
              </w:rPr>
              <w:t xml:space="preserve"> </w:t>
            </w:r>
            <w:r w:rsidRPr="00E06806">
              <w:rPr>
                <w:rFonts w:cstheme="minorHAnsi"/>
                <w:color w:val="231F20"/>
                <w:w w:val="105"/>
                <w:sz w:val="20"/>
              </w:rPr>
              <w:t>available</w:t>
            </w:r>
          </w:p>
        </w:tc>
      </w:tr>
    </w:tbl>
    <w:p w14:paraId="1FBDDA9B" w14:textId="77777777" w:rsidR="00D749E1" w:rsidRPr="00E06806" w:rsidRDefault="00D749E1" w:rsidP="00D63204">
      <w:pPr>
        <w:widowControl w:val="0"/>
        <w:spacing w:before="5" w:after="0" w:line="240" w:lineRule="auto"/>
        <w:ind w:left="107"/>
        <w:rPr>
          <w:rFonts w:cstheme="minorHAnsi"/>
          <w:b/>
          <w:bCs/>
          <w:sz w:val="9"/>
          <w:szCs w:val="9"/>
        </w:rPr>
      </w:pPr>
    </w:p>
    <w:p w14:paraId="4F70F4E6" w14:textId="72B92847" w:rsidR="001D1219" w:rsidRDefault="001D1219">
      <w:pPr>
        <w:rPr>
          <w:rFonts w:cstheme="minorHAnsi"/>
          <w:b/>
          <w:bCs/>
          <w:sz w:val="18"/>
          <w:szCs w:val="18"/>
        </w:rPr>
      </w:pPr>
      <w:r>
        <w:rPr>
          <w:rFonts w:cstheme="minorHAnsi"/>
          <w:b/>
          <w:bCs/>
          <w:sz w:val="18"/>
          <w:szCs w:val="18"/>
        </w:rPr>
        <w:br w:type="page"/>
      </w:r>
    </w:p>
    <w:p w14:paraId="444B196A" w14:textId="77777777" w:rsidR="00EA7458" w:rsidRPr="00E06806" w:rsidRDefault="00EA7458" w:rsidP="00D63204">
      <w:pPr>
        <w:widowControl w:val="0"/>
        <w:spacing w:before="2" w:after="0" w:line="240" w:lineRule="auto"/>
        <w:ind w:left="107"/>
        <w:rPr>
          <w:rFonts w:cstheme="minorHAnsi"/>
          <w:b/>
          <w:bCs/>
          <w:sz w:val="18"/>
          <w:szCs w:val="18"/>
        </w:rPr>
      </w:pPr>
    </w:p>
    <w:p w14:paraId="0651043F" w14:textId="77777777" w:rsidR="00EA7458" w:rsidRPr="00E06806" w:rsidRDefault="00EA7458" w:rsidP="00D63204">
      <w:pPr>
        <w:widowControl w:val="0"/>
        <w:spacing w:before="5" w:after="0" w:line="240" w:lineRule="auto"/>
        <w:ind w:left="107"/>
        <w:rPr>
          <w:rFonts w:cstheme="minorHAnsi"/>
          <w:b/>
          <w:bCs/>
          <w:sz w:val="9"/>
          <w:szCs w:val="9"/>
        </w:rPr>
      </w:pPr>
    </w:p>
    <w:p w14:paraId="6D1C90DE" w14:textId="5D07FDE4" w:rsidR="00EA7458" w:rsidRPr="001D1219" w:rsidRDefault="00EA7458" w:rsidP="00D63204">
      <w:pPr>
        <w:pStyle w:val="ListParagraph"/>
        <w:widowControl w:val="0"/>
        <w:numPr>
          <w:ilvl w:val="0"/>
          <w:numId w:val="28"/>
        </w:numPr>
        <w:tabs>
          <w:tab w:val="left" w:pos="2268"/>
        </w:tabs>
        <w:spacing w:before="59" w:after="0" w:line="240" w:lineRule="auto"/>
        <w:rPr>
          <w:rFonts w:cstheme="minorHAnsi"/>
        </w:rPr>
      </w:pPr>
      <w:r w:rsidRPr="001D1219">
        <w:rPr>
          <w:rFonts w:cstheme="minorHAnsi"/>
          <w:color w:val="295CA3"/>
          <w:w w:val="110"/>
        </w:rPr>
        <w:t>Evaluations and Research</w:t>
      </w:r>
      <w:r w:rsidRPr="001D1219">
        <w:rPr>
          <w:rFonts w:cstheme="minorHAnsi"/>
          <w:color w:val="295CA3"/>
          <w:spacing w:val="4"/>
          <w:w w:val="110"/>
        </w:rPr>
        <w:t xml:space="preserve"> </w:t>
      </w:r>
      <w:r w:rsidRPr="001D1219">
        <w:rPr>
          <w:rFonts w:cstheme="minorHAnsi"/>
          <w:color w:val="295CA3"/>
          <w:w w:val="110"/>
        </w:rPr>
        <w:t>Projects</w:t>
      </w:r>
    </w:p>
    <w:p w14:paraId="4B7B27C1" w14:textId="6CB26E6D" w:rsidR="00437163" w:rsidRPr="00437163" w:rsidRDefault="00437163" w:rsidP="00B52B55">
      <w:pPr>
        <w:widowControl w:val="0"/>
        <w:spacing w:before="193" w:after="0" w:line="240" w:lineRule="auto"/>
        <w:ind w:left="107"/>
        <w:rPr>
          <w:rFonts w:cstheme="minorHAnsi"/>
          <w:color w:val="231F20"/>
          <w:w w:val="105"/>
        </w:rPr>
      </w:pPr>
      <w:r w:rsidRPr="00437163">
        <w:rPr>
          <w:rFonts w:cstheme="minorHAnsi"/>
          <w:color w:val="231F20"/>
          <w:w w:val="105"/>
        </w:rPr>
        <w:t>Selected</w:t>
      </w:r>
      <w:r w:rsidRPr="00B52B55">
        <w:rPr>
          <w:rFonts w:cstheme="minorHAnsi"/>
          <w:color w:val="231F20"/>
          <w:w w:val="105"/>
        </w:rPr>
        <w:t xml:space="preserve"> </w:t>
      </w:r>
      <w:r w:rsidRPr="00437163">
        <w:rPr>
          <w:rFonts w:cstheme="minorHAnsi"/>
          <w:color w:val="231F20"/>
          <w:w w:val="105"/>
        </w:rPr>
        <w:t>research</w:t>
      </w:r>
      <w:r w:rsidRPr="00B52B55">
        <w:rPr>
          <w:rFonts w:cstheme="minorHAnsi"/>
          <w:color w:val="231F20"/>
          <w:w w:val="105"/>
        </w:rPr>
        <w:t xml:space="preserve"> </w:t>
      </w:r>
      <w:r w:rsidRPr="00437163">
        <w:rPr>
          <w:rFonts w:cstheme="minorHAnsi"/>
          <w:color w:val="231F20"/>
          <w:w w:val="105"/>
        </w:rPr>
        <w:t>and</w:t>
      </w:r>
      <w:r w:rsidRPr="00B52B55">
        <w:rPr>
          <w:rFonts w:cstheme="minorHAnsi"/>
          <w:color w:val="231F20"/>
          <w:w w:val="105"/>
        </w:rPr>
        <w:t xml:space="preserve"> </w:t>
      </w:r>
      <w:r w:rsidRPr="00437163">
        <w:rPr>
          <w:rFonts w:cstheme="minorHAnsi"/>
          <w:color w:val="231F20"/>
          <w:w w:val="105"/>
        </w:rPr>
        <w:t>improvement</w:t>
      </w:r>
      <w:r w:rsidRPr="00B52B55">
        <w:rPr>
          <w:rFonts w:cstheme="minorHAnsi"/>
          <w:color w:val="231F20"/>
          <w:w w:val="105"/>
        </w:rPr>
        <w:t xml:space="preserve"> </w:t>
      </w:r>
      <w:r w:rsidRPr="00437163">
        <w:rPr>
          <w:rFonts w:cstheme="minorHAnsi"/>
          <w:color w:val="231F20"/>
          <w:w w:val="105"/>
        </w:rPr>
        <w:t>projects</w:t>
      </w:r>
      <w:r w:rsidRPr="00B52B55">
        <w:rPr>
          <w:rFonts w:cstheme="minorHAnsi"/>
          <w:color w:val="231F20"/>
          <w:w w:val="105"/>
        </w:rPr>
        <w:t xml:space="preserve"> </w:t>
      </w:r>
      <w:r w:rsidRPr="00437163">
        <w:rPr>
          <w:rFonts w:cstheme="minorHAnsi"/>
          <w:color w:val="231F20"/>
          <w:w w:val="105"/>
        </w:rPr>
        <w:t>are aligned</w:t>
      </w:r>
      <w:r w:rsidRPr="00B52B55">
        <w:rPr>
          <w:rFonts w:cstheme="minorHAnsi"/>
          <w:color w:val="231F20"/>
          <w:w w:val="105"/>
        </w:rPr>
        <w:t xml:space="preserve"> </w:t>
      </w:r>
      <w:r w:rsidRPr="00437163">
        <w:rPr>
          <w:rFonts w:cstheme="minorHAnsi"/>
          <w:color w:val="231F20"/>
          <w:w w:val="105"/>
        </w:rPr>
        <w:t>to</w:t>
      </w:r>
      <w:r w:rsidRPr="00B52B55">
        <w:rPr>
          <w:rFonts w:cstheme="minorHAnsi"/>
          <w:color w:val="231F20"/>
          <w:w w:val="105"/>
        </w:rPr>
        <w:t xml:space="preserve"> </w:t>
      </w:r>
      <w:r w:rsidRPr="00437163">
        <w:rPr>
          <w:rFonts w:cstheme="minorHAnsi"/>
          <w:color w:val="231F20"/>
          <w:w w:val="105"/>
        </w:rPr>
        <w:t>strategies</w:t>
      </w:r>
      <w:r w:rsidRPr="00B52B55">
        <w:rPr>
          <w:rFonts w:cstheme="minorHAnsi"/>
          <w:color w:val="231F20"/>
          <w:w w:val="105"/>
        </w:rPr>
        <w:t xml:space="preserve"> </w:t>
      </w:r>
      <w:r w:rsidRPr="00437163">
        <w:rPr>
          <w:rFonts w:cstheme="minorHAnsi"/>
          <w:color w:val="231F20"/>
          <w:w w:val="105"/>
        </w:rPr>
        <w:t>in</w:t>
      </w:r>
      <w:r w:rsidRPr="00B52B55">
        <w:rPr>
          <w:rFonts w:cstheme="minorHAnsi"/>
          <w:color w:val="231F20"/>
          <w:w w:val="105"/>
        </w:rPr>
        <w:t xml:space="preserve"> </w:t>
      </w:r>
      <w:r w:rsidRPr="00437163">
        <w:rPr>
          <w:rFonts w:cstheme="minorHAnsi"/>
          <w:color w:val="231F20"/>
          <w:w w:val="105"/>
        </w:rPr>
        <w:t>this</w:t>
      </w:r>
      <w:r w:rsidRPr="00B52B55">
        <w:rPr>
          <w:rFonts w:cstheme="minorHAnsi"/>
          <w:color w:val="231F20"/>
          <w:w w:val="105"/>
        </w:rPr>
        <w:t xml:space="preserve"> unified </w:t>
      </w:r>
      <w:r w:rsidRPr="00437163">
        <w:rPr>
          <w:rFonts w:cstheme="minorHAnsi"/>
          <w:color w:val="231F20"/>
          <w:w w:val="105"/>
        </w:rPr>
        <w:t>plan</w:t>
      </w:r>
      <w:r w:rsidRPr="00B52B55">
        <w:rPr>
          <w:rFonts w:cstheme="minorHAnsi"/>
          <w:color w:val="231F20"/>
          <w:w w:val="105"/>
        </w:rPr>
        <w:t xml:space="preserve"> </w:t>
      </w:r>
      <w:r w:rsidRPr="00437163">
        <w:rPr>
          <w:rFonts w:cstheme="minorHAnsi"/>
          <w:color w:val="231F20"/>
          <w:w w:val="105"/>
        </w:rPr>
        <w:t>and</w:t>
      </w:r>
      <w:r w:rsidRPr="00B52B55">
        <w:rPr>
          <w:rFonts w:cstheme="minorHAnsi"/>
          <w:color w:val="231F20"/>
          <w:w w:val="105"/>
        </w:rPr>
        <w:t xml:space="preserve"> </w:t>
      </w:r>
      <w:r w:rsidRPr="00437163">
        <w:rPr>
          <w:rFonts w:cstheme="minorHAnsi"/>
          <w:color w:val="231F20"/>
          <w:w w:val="105"/>
        </w:rPr>
        <w:t>monitored</w:t>
      </w:r>
      <w:r w:rsidRPr="00B52B55">
        <w:rPr>
          <w:rFonts w:cstheme="minorHAnsi"/>
          <w:color w:val="231F20"/>
          <w:w w:val="105"/>
        </w:rPr>
        <w:t xml:space="preserve"> </w:t>
      </w:r>
      <w:r w:rsidRPr="00437163">
        <w:rPr>
          <w:rFonts w:cstheme="minorHAnsi"/>
          <w:color w:val="231F20"/>
          <w:w w:val="105"/>
        </w:rPr>
        <w:t xml:space="preserve">by the core program planning workgroup. </w:t>
      </w:r>
      <w:r w:rsidRPr="00B52B55">
        <w:rPr>
          <w:rFonts w:cstheme="minorHAnsi"/>
          <w:color w:val="231F20"/>
          <w:w w:val="105"/>
        </w:rPr>
        <w:t xml:space="preserve">To </w:t>
      </w:r>
      <w:r w:rsidRPr="00437163">
        <w:rPr>
          <w:rFonts w:cstheme="minorHAnsi"/>
          <w:color w:val="231F20"/>
          <w:w w:val="105"/>
        </w:rPr>
        <w:t>select projects, core program partners use the</w:t>
      </w:r>
      <w:r w:rsidRPr="00B52B55">
        <w:rPr>
          <w:rFonts w:cstheme="minorHAnsi"/>
          <w:color w:val="231F20"/>
          <w:w w:val="105"/>
        </w:rPr>
        <w:t xml:space="preserve"> </w:t>
      </w:r>
      <w:r w:rsidRPr="00437163">
        <w:rPr>
          <w:rFonts w:cstheme="minorHAnsi"/>
          <w:color w:val="231F20"/>
          <w:w w:val="105"/>
        </w:rPr>
        <w:t>working</w:t>
      </w:r>
      <w:r w:rsidRPr="00B52B55">
        <w:rPr>
          <w:rFonts w:cstheme="minorHAnsi"/>
          <w:color w:val="231F20"/>
          <w:w w:val="105"/>
        </w:rPr>
        <w:t xml:space="preserve"> </w:t>
      </w:r>
      <w:r w:rsidRPr="00437163">
        <w:rPr>
          <w:rFonts w:cstheme="minorHAnsi"/>
          <w:color w:val="231F20"/>
          <w:w w:val="105"/>
        </w:rPr>
        <w:t>group</w:t>
      </w:r>
      <w:r w:rsidRPr="00B52B55">
        <w:rPr>
          <w:rFonts w:cstheme="minorHAnsi"/>
          <w:color w:val="231F20"/>
          <w:w w:val="105"/>
        </w:rPr>
        <w:t xml:space="preserve"> </w:t>
      </w:r>
      <w:r w:rsidRPr="00437163">
        <w:rPr>
          <w:rFonts w:cstheme="minorHAnsi"/>
          <w:color w:val="231F20"/>
          <w:w w:val="105"/>
        </w:rPr>
        <w:t>flow</w:t>
      </w:r>
      <w:r w:rsidRPr="00B52B55">
        <w:rPr>
          <w:rFonts w:cstheme="minorHAnsi"/>
          <w:color w:val="231F20"/>
          <w:w w:val="105"/>
        </w:rPr>
        <w:t xml:space="preserve"> </w:t>
      </w:r>
      <w:r w:rsidRPr="00437163">
        <w:rPr>
          <w:rFonts w:cstheme="minorHAnsi"/>
          <w:color w:val="231F20"/>
          <w:w w:val="105"/>
        </w:rPr>
        <w:t>discussed</w:t>
      </w:r>
      <w:r w:rsidRPr="00B52B55">
        <w:rPr>
          <w:rFonts w:cstheme="minorHAnsi"/>
          <w:color w:val="231F20"/>
          <w:w w:val="105"/>
        </w:rPr>
        <w:t xml:space="preserve"> </w:t>
      </w:r>
      <w:r w:rsidRPr="00437163">
        <w:rPr>
          <w:rFonts w:cstheme="minorHAnsi"/>
          <w:color w:val="231F20"/>
          <w:w w:val="105"/>
        </w:rPr>
        <w:t>in</w:t>
      </w:r>
      <w:r w:rsidRPr="00B52B55">
        <w:rPr>
          <w:rFonts w:cstheme="minorHAnsi"/>
          <w:color w:val="231F20"/>
          <w:w w:val="105"/>
        </w:rPr>
        <w:t xml:space="preserve"> </w:t>
      </w:r>
      <w:r w:rsidR="00CE7E57" w:rsidRPr="00B52B55">
        <w:rPr>
          <w:rFonts w:cstheme="minorHAnsi"/>
          <w:color w:val="231F20"/>
          <w:w w:val="105"/>
        </w:rPr>
        <w:t>S</w:t>
      </w:r>
      <w:r w:rsidRPr="00437163">
        <w:rPr>
          <w:rFonts w:cstheme="minorHAnsi"/>
          <w:color w:val="231F20"/>
          <w:w w:val="105"/>
        </w:rPr>
        <w:t>ection</w:t>
      </w:r>
      <w:r w:rsidRPr="00B52B55">
        <w:rPr>
          <w:rFonts w:cstheme="minorHAnsi"/>
          <w:color w:val="231F20"/>
          <w:w w:val="105"/>
        </w:rPr>
        <w:t xml:space="preserve"> </w:t>
      </w:r>
      <w:r w:rsidRPr="00437163">
        <w:rPr>
          <w:rFonts w:cstheme="minorHAnsi"/>
          <w:color w:val="231F20"/>
          <w:w w:val="105"/>
        </w:rPr>
        <w:t>IV</w:t>
      </w:r>
      <w:r w:rsidRPr="00B52B55">
        <w:rPr>
          <w:rFonts w:cstheme="minorHAnsi"/>
          <w:color w:val="231F20"/>
          <w:w w:val="105"/>
        </w:rPr>
        <w:t xml:space="preserve"> </w:t>
      </w:r>
      <w:r w:rsidRPr="00437163">
        <w:rPr>
          <w:rFonts w:cstheme="minorHAnsi"/>
          <w:color w:val="231F20"/>
          <w:w w:val="105"/>
        </w:rPr>
        <w:t>to</w:t>
      </w:r>
      <w:r w:rsidRPr="00B52B55">
        <w:rPr>
          <w:rFonts w:cstheme="minorHAnsi"/>
          <w:color w:val="231F20"/>
          <w:w w:val="105"/>
        </w:rPr>
        <w:t xml:space="preserve"> </w:t>
      </w:r>
      <w:r w:rsidRPr="00437163">
        <w:rPr>
          <w:rFonts w:cstheme="minorHAnsi"/>
          <w:color w:val="231F20"/>
          <w:w w:val="105"/>
        </w:rPr>
        <w:t>recommend</w:t>
      </w:r>
      <w:r w:rsidRPr="00B52B55">
        <w:rPr>
          <w:rFonts w:cstheme="minorHAnsi"/>
          <w:color w:val="231F20"/>
          <w:w w:val="105"/>
        </w:rPr>
        <w:t xml:space="preserve"> </w:t>
      </w:r>
      <w:r w:rsidRPr="00437163">
        <w:rPr>
          <w:rFonts w:cstheme="minorHAnsi"/>
          <w:color w:val="231F20"/>
          <w:w w:val="105"/>
        </w:rPr>
        <w:t>areas</w:t>
      </w:r>
      <w:r w:rsidRPr="00B52B55">
        <w:rPr>
          <w:rFonts w:cstheme="minorHAnsi"/>
          <w:color w:val="231F20"/>
          <w:w w:val="105"/>
        </w:rPr>
        <w:t xml:space="preserve"> </w:t>
      </w:r>
      <w:r w:rsidRPr="00437163">
        <w:rPr>
          <w:rFonts w:cstheme="minorHAnsi"/>
          <w:color w:val="231F20"/>
          <w:w w:val="105"/>
        </w:rPr>
        <w:t>for</w:t>
      </w:r>
      <w:r w:rsidRPr="00B52B55">
        <w:rPr>
          <w:rFonts w:cstheme="minorHAnsi"/>
          <w:color w:val="231F20"/>
          <w:w w:val="105"/>
        </w:rPr>
        <w:t xml:space="preserve"> </w:t>
      </w:r>
      <w:r w:rsidRPr="00437163">
        <w:rPr>
          <w:rFonts w:cstheme="minorHAnsi"/>
          <w:color w:val="231F20"/>
          <w:w w:val="105"/>
        </w:rPr>
        <w:t>analysis</w:t>
      </w:r>
      <w:r w:rsidRPr="00B52B55">
        <w:rPr>
          <w:rFonts w:cstheme="minorHAnsi"/>
          <w:color w:val="231F20"/>
          <w:w w:val="105"/>
        </w:rPr>
        <w:t xml:space="preserve"> </w:t>
      </w:r>
      <w:r w:rsidRPr="00437163">
        <w:rPr>
          <w:rFonts w:cstheme="minorHAnsi"/>
          <w:color w:val="231F20"/>
          <w:w w:val="105"/>
        </w:rPr>
        <w:t>or</w:t>
      </w:r>
      <w:r w:rsidRPr="00B52B55">
        <w:rPr>
          <w:rFonts w:cstheme="minorHAnsi"/>
          <w:color w:val="231F20"/>
          <w:w w:val="105"/>
        </w:rPr>
        <w:t xml:space="preserve"> </w:t>
      </w:r>
      <w:r w:rsidRPr="00437163">
        <w:rPr>
          <w:rFonts w:cstheme="minorHAnsi"/>
          <w:color w:val="231F20"/>
          <w:w w:val="105"/>
        </w:rPr>
        <w:t>improvements.</w:t>
      </w:r>
      <w:r w:rsidRPr="00B52B55">
        <w:rPr>
          <w:rFonts w:cstheme="minorHAnsi"/>
          <w:color w:val="231F20"/>
          <w:w w:val="105"/>
        </w:rPr>
        <w:t xml:space="preserve"> </w:t>
      </w:r>
      <w:r w:rsidRPr="00437163">
        <w:rPr>
          <w:rFonts w:cstheme="minorHAnsi"/>
          <w:color w:val="231F20"/>
          <w:w w:val="105"/>
        </w:rPr>
        <w:t>These projects</w:t>
      </w:r>
      <w:r w:rsidRPr="00B52B55">
        <w:rPr>
          <w:rFonts w:cstheme="minorHAnsi"/>
          <w:color w:val="231F20"/>
          <w:w w:val="105"/>
        </w:rPr>
        <w:t xml:space="preserve"> </w:t>
      </w:r>
      <w:r w:rsidRPr="00437163">
        <w:rPr>
          <w:rFonts w:cstheme="minorHAnsi"/>
          <w:color w:val="231F20"/>
          <w:w w:val="105"/>
        </w:rPr>
        <w:t>are presented to and approved</w:t>
      </w:r>
      <w:r w:rsidRPr="00B52B55">
        <w:rPr>
          <w:rFonts w:cstheme="minorHAnsi"/>
          <w:color w:val="231F20"/>
          <w:w w:val="105"/>
        </w:rPr>
        <w:t xml:space="preserve"> </w:t>
      </w:r>
      <w:r w:rsidRPr="00437163">
        <w:rPr>
          <w:rFonts w:cstheme="minorHAnsi"/>
          <w:color w:val="231F20"/>
          <w:w w:val="105"/>
        </w:rPr>
        <w:t>by</w:t>
      </w:r>
      <w:r w:rsidRPr="00B52B55">
        <w:rPr>
          <w:rFonts w:cstheme="minorHAnsi"/>
          <w:color w:val="231F20"/>
          <w:w w:val="105"/>
        </w:rPr>
        <w:t xml:space="preserve"> </w:t>
      </w:r>
      <w:r w:rsidRPr="00437163">
        <w:rPr>
          <w:rFonts w:cstheme="minorHAnsi"/>
          <w:color w:val="231F20"/>
          <w:w w:val="105"/>
        </w:rPr>
        <w:t>the</w:t>
      </w:r>
      <w:r w:rsidRPr="00B52B55">
        <w:rPr>
          <w:rFonts w:cstheme="minorHAnsi"/>
          <w:color w:val="231F20"/>
          <w:w w:val="105"/>
        </w:rPr>
        <w:t xml:space="preserve"> </w:t>
      </w:r>
      <w:r w:rsidRPr="00437163">
        <w:rPr>
          <w:rFonts w:cstheme="minorHAnsi"/>
          <w:color w:val="231F20"/>
          <w:w w:val="105"/>
        </w:rPr>
        <w:t>leadership</w:t>
      </w:r>
      <w:r w:rsidRPr="00B52B55">
        <w:rPr>
          <w:rFonts w:cstheme="minorHAnsi"/>
          <w:color w:val="231F20"/>
          <w:w w:val="105"/>
        </w:rPr>
        <w:t xml:space="preserve"> </w:t>
      </w:r>
      <w:r w:rsidRPr="00437163">
        <w:rPr>
          <w:rFonts w:cstheme="minorHAnsi"/>
          <w:color w:val="231F20"/>
          <w:w w:val="105"/>
        </w:rPr>
        <w:t>of</w:t>
      </w:r>
      <w:r w:rsidRPr="00B52B55">
        <w:rPr>
          <w:rFonts w:cstheme="minorHAnsi"/>
          <w:color w:val="231F20"/>
          <w:w w:val="105"/>
        </w:rPr>
        <w:t xml:space="preserve"> </w:t>
      </w:r>
      <w:r w:rsidRPr="00437163">
        <w:rPr>
          <w:rFonts w:cstheme="minorHAnsi"/>
          <w:color w:val="231F20"/>
          <w:w w:val="105"/>
        </w:rPr>
        <w:t>the</w:t>
      </w:r>
      <w:r w:rsidRPr="00B52B55">
        <w:rPr>
          <w:rFonts w:cstheme="minorHAnsi"/>
          <w:color w:val="231F20"/>
          <w:w w:val="105"/>
        </w:rPr>
        <w:t xml:space="preserve"> </w:t>
      </w:r>
      <w:r w:rsidRPr="00437163">
        <w:rPr>
          <w:rFonts w:cstheme="minorHAnsi"/>
          <w:color w:val="231F20"/>
          <w:w w:val="105"/>
        </w:rPr>
        <w:t>core</w:t>
      </w:r>
      <w:r w:rsidRPr="00B52B55">
        <w:rPr>
          <w:rFonts w:cstheme="minorHAnsi"/>
          <w:color w:val="231F20"/>
          <w:w w:val="105"/>
        </w:rPr>
        <w:t xml:space="preserve"> </w:t>
      </w:r>
      <w:r w:rsidRPr="00437163">
        <w:rPr>
          <w:rFonts w:cstheme="minorHAnsi"/>
          <w:color w:val="231F20"/>
          <w:w w:val="105"/>
        </w:rPr>
        <w:t>program</w:t>
      </w:r>
      <w:r w:rsidRPr="00B52B55">
        <w:rPr>
          <w:rFonts w:cstheme="minorHAnsi"/>
          <w:color w:val="231F20"/>
          <w:w w:val="105"/>
        </w:rPr>
        <w:t xml:space="preserve"> </w:t>
      </w:r>
      <w:r w:rsidRPr="00437163">
        <w:rPr>
          <w:rFonts w:cstheme="minorHAnsi"/>
          <w:color w:val="231F20"/>
          <w:w w:val="105"/>
        </w:rPr>
        <w:t>partner</w:t>
      </w:r>
      <w:r w:rsidRPr="00B52B55">
        <w:rPr>
          <w:rFonts w:cstheme="minorHAnsi"/>
          <w:color w:val="231F20"/>
          <w:w w:val="105"/>
        </w:rPr>
        <w:t xml:space="preserve"> </w:t>
      </w:r>
      <w:r w:rsidRPr="00437163">
        <w:rPr>
          <w:rFonts w:cstheme="minorHAnsi"/>
          <w:color w:val="231F20"/>
          <w:w w:val="105"/>
        </w:rPr>
        <w:t>agencies</w:t>
      </w:r>
      <w:r w:rsidRPr="00B52B55">
        <w:rPr>
          <w:rFonts w:cstheme="minorHAnsi"/>
          <w:color w:val="231F20"/>
          <w:w w:val="105"/>
        </w:rPr>
        <w:t xml:space="preserve"> </w:t>
      </w:r>
      <w:r w:rsidRPr="00437163">
        <w:rPr>
          <w:rFonts w:cstheme="minorHAnsi"/>
          <w:color w:val="231F20"/>
          <w:w w:val="105"/>
        </w:rPr>
        <w:t>and</w:t>
      </w:r>
      <w:r w:rsidRPr="00B52B55">
        <w:rPr>
          <w:rFonts w:cstheme="minorHAnsi"/>
          <w:color w:val="231F20"/>
          <w:w w:val="105"/>
        </w:rPr>
        <w:t xml:space="preserve"> </w:t>
      </w:r>
      <w:r w:rsidRPr="00437163">
        <w:rPr>
          <w:rFonts w:cstheme="minorHAnsi"/>
          <w:color w:val="231F20"/>
          <w:w w:val="105"/>
        </w:rPr>
        <w:t>coordinated</w:t>
      </w:r>
      <w:r w:rsidRPr="00B52B55">
        <w:rPr>
          <w:rFonts w:cstheme="minorHAnsi"/>
          <w:color w:val="231F20"/>
          <w:w w:val="105"/>
        </w:rPr>
        <w:t xml:space="preserve"> as necessary </w:t>
      </w:r>
      <w:r w:rsidRPr="00437163">
        <w:rPr>
          <w:rFonts w:cstheme="minorHAnsi"/>
          <w:color w:val="231F20"/>
          <w:w w:val="105"/>
        </w:rPr>
        <w:t>with</w:t>
      </w:r>
      <w:r w:rsidRPr="00B52B55">
        <w:rPr>
          <w:rFonts w:cstheme="minorHAnsi"/>
          <w:color w:val="231F20"/>
          <w:w w:val="105"/>
        </w:rPr>
        <w:t xml:space="preserve"> </w:t>
      </w:r>
      <w:r w:rsidRPr="00437163">
        <w:rPr>
          <w:rFonts w:cstheme="minorHAnsi"/>
          <w:color w:val="231F20"/>
          <w:w w:val="105"/>
        </w:rPr>
        <w:t>the Secretaries of the Departments of Labor and Education.</w:t>
      </w:r>
    </w:p>
    <w:p w14:paraId="75A248F4" w14:textId="2D979C26" w:rsidR="00EA7458" w:rsidRPr="00E06806" w:rsidRDefault="001D1219" w:rsidP="00D63204">
      <w:pPr>
        <w:widowControl w:val="0"/>
        <w:spacing w:before="6" w:after="0" w:line="240" w:lineRule="auto"/>
        <w:ind w:left="107"/>
        <w:rPr>
          <w:rFonts w:cstheme="minorHAnsi"/>
          <w:sz w:val="16"/>
          <w:szCs w:val="16"/>
        </w:rPr>
      </w:pPr>
      <w:r>
        <w:rPr>
          <w:rFonts w:cstheme="minorHAnsi"/>
          <w:sz w:val="16"/>
          <w:szCs w:val="16"/>
        </w:rPr>
        <w:br/>
      </w:r>
    </w:p>
    <w:p w14:paraId="6DD5B060" w14:textId="0DB48E3B" w:rsidR="00EA7458" w:rsidRPr="001D1219" w:rsidRDefault="00EA7458" w:rsidP="00D63204">
      <w:pPr>
        <w:pStyle w:val="ListParagraph"/>
        <w:widowControl w:val="0"/>
        <w:numPr>
          <w:ilvl w:val="2"/>
          <w:numId w:val="6"/>
        </w:numPr>
        <w:tabs>
          <w:tab w:val="left" w:pos="1548"/>
        </w:tabs>
        <w:spacing w:after="0" w:line="240" w:lineRule="auto"/>
        <w:outlineLvl w:val="2"/>
        <w:rPr>
          <w:rFonts w:cstheme="minorHAnsi"/>
          <w:color w:val="295CA3"/>
        </w:rPr>
      </w:pPr>
      <w:r w:rsidRPr="001D1219">
        <w:rPr>
          <w:rFonts w:cstheme="minorHAnsi"/>
          <w:b/>
          <w:bCs/>
          <w:color w:val="295CA3"/>
          <w:w w:val="110"/>
        </w:rPr>
        <w:t>Distribution of Funds for Core</w:t>
      </w:r>
      <w:r w:rsidRPr="001D1219">
        <w:rPr>
          <w:rFonts w:cstheme="minorHAnsi"/>
          <w:b/>
          <w:bCs/>
          <w:color w:val="295CA3"/>
          <w:spacing w:val="3"/>
          <w:w w:val="110"/>
        </w:rPr>
        <w:t xml:space="preserve"> </w:t>
      </w:r>
      <w:r w:rsidRPr="001D1219">
        <w:rPr>
          <w:rFonts w:cstheme="minorHAnsi"/>
          <w:b/>
          <w:bCs/>
          <w:color w:val="295CA3"/>
          <w:w w:val="110"/>
        </w:rPr>
        <w:t>Programs</w:t>
      </w:r>
    </w:p>
    <w:p w14:paraId="62C13729" w14:textId="77777777" w:rsidR="001D1219" w:rsidRPr="001D1219" w:rsidRDefault="001D1219" w:rsidP="00D63204">
      <w:pPr>
        <w:pStyle w:val="ListParagraph"/>
        <w:widowControl w:val="0"/>
        <w:tabs>
          <w:tab w:val="left" w:pos="1548"/>
        </w:tabs>
        <w:spacing w:after="0" w:line="240" w:lineRule="auto"/>
        <w:ind w:left="2267"/>
        <w:outlineLvl w:val="2"/>
        <w:rPr>
          <w:rFonts w:cstheme="minorHAnsi"/>
          <w:color w:val="295CA3"/>
        </w:rPr>
      </w:pPr>
    </w:p>
    <w:p w14:paraId="39DC36E8" w14:textId="03227A9A" w:rsidR="00EA7458" w:rsidRPr="001D1219" w:rsidRDefault="00EA7458" w:rsidP="00D63204">
      <w:pPr>
        <w:pStyle w:val="ListParagraph"/>
        <w:widowControl w:val="0"/>
        <w:numPr>
          <w:ilvl w:val="0"/>
          <w:numId w:val="31"/>
        </w:numPr>
        <w:tabs>
          <w:tab w:val="left" w:pos="2268"/>
        </w:tabs>
        <w:spacing w:before="195" w:after="0" w:line="240" w:lineRule="auto"/>
        <w:rPr>
          <w:rFonts w:cstheme="minorHAnsi"/>
        </w:rPr>
      </w:pPr>
      <w:r w:rsidRPr="001D1219">
        <w:rPr>
          <w:rFonts w:cstheme="minorHAnsi"/>
          <w:color w:val="295CA3"/>
          <w:w w:val="105"/>
        </w:rPr>
        <w:t>State’s Methods and Factors Used to Distribute Funds to Local Areas for</w:t>
      </w:r>
      <w:r w:rsidRPr="001D1219">
        <w:rPr>
          <w:rFonts w:cstheme="minorHAnsi"/>
          <w:color w:val="295CA3"/>
          <w:spacing w:val="43"/>
          <w:w w:val="105"/>
        </w:rPr>
        <w:t xml:space="preserve"> </w:t>
      </w:r>
      <w:r w:rsidRPr="001D1219">
        <w:rPr>
          <w:rFonts w:cstheme="minorHAnsi"/>
          <w:color w:val="295CA3"/>
          <w:w w:val="105"/>
        </w:rPr>
        <w:t>—</w:t>
      </w:r>
    </w:p>
    <w:p w14:paraId="503328A3" w14:textId="6A181833" w:rsidR="00EA7458" w:rsidRPr="00E06806" w:rsidRDefault="00EA7458" w:rsidP="00D63204">
      <w:pPr>
        <w:widowControl w:val="0"/>
        <w:numPr>
          <w:ilvl w:val="3"/>
          <w:numId w:val="6"/>
        </w:numPr>
        <w:tabs>
          <w:tab w:val="left" w:pos="3168"/>
        </w:tabs>
        <w:spacing w:before="195" w:after="0" w:line="240" w:lineRule="auto"/>
        <w:rPr>
          <w:rFonts w:cstheme="minorHAnsi"/>
        </w:rPr>
      </w:pPr>
      <w:r w:rsidRPr="00E06806">
        <w:rPr>
          <w:rFonts w:cstheme="minorHAnsi"/>
          <w:color w:val="295CA3"/>
          <w:spacing w:val="-5"/>
          <w:w w:val="105"/>
        </w:rPr>
        <w:t xml:space="preserve">Youth </w:t>
      </w:r>
      <w:r w:rsidRPr="00E06806">
        <w:rPr>
          <w:rFonts w:cstheme="minorHAnsi"/>
          <w:color w:val="295CA3"/>
          <w:w w:val="105"/>
        </w:rPr>
        <w:t xml:space="preserve">Activities in Accordance </w:t>
      </w:r>
      <w:r w:rsidR="00A4089B">
        <w:rPr>
          <w:rFonts w:cstheme="minorHAnsi"/>
          <w:color w:val="295CA3"/>
          <w:w w:val="105"/>
        </w:rPr>
        <w:t>w</w:t>
      </w:r>
      <w:r w:rsidRPr="00E06806">
        <w:rPr>
          <w:rFonts w:cstheme="minorHAnsi"/>
          <w:color w:val="295CA3"/>
          <w:w w:val="105"/>
        </w:rPr>
        <w:t xml:space="preserve">ith </w:t>
      </w:r>
      <w:r w:rsidRPr="00E06806">
        <w:rPr>
          <w:rFonts w:cstheme="minorHAnsi"/>
          <w:color w:val="295CA3"/>
          <w:spacing w:val="-3"/>
          <w:w w:val="105"/>
        </w:rPr>
        <w:t xml:space="preserve">WIOA </w:t>
      </w:r>
      <w:r w:rsidRPr="00E06806">
        <w:rPr>
          <w:rFonts w:cstheme="minorHAnsi"/>
          <w:color w:val="295CA3"/>
          <w:w w:val="105"/>
        </w:rPr>
        <w:t>Section 128(b)(2) or</w:t>
      </w:r>
      <w:r w:rsidRPr="00E06806">
        <w:rPr>
          <w:rFonts w:cstheme="minorHAnsi"/>
          <w:color w:val="295CA3"/>
          <w:spacing w:val="40"/>
          <w:w w:val="105"/>
        </w:rPr>
        <w:t xml:space="preserve"> </w:t>
      </w:r>
      <w:r w:rsidRPr="00E06806">
        <w:rPr>
          <w:rFonts w:cstheme="minorHAnsi"/>
          <w:color w:val="295CA3"/>
          <w:w w:val="105"/>
        </w:rPr>
        <w:t>(b)(3)</w:t>
      </w:r>
    </w:p>
    <w:p w14:paraId="55AAE48F" w14:textId="3EA58B25" w:rsidR="00EA7458" w:rsidRPr="00B52B55" w:rsidRDefault="00EA7458" w:rsidP="00B52B55">
      <w:pPr>
        <w:widowControl w:val="0"/>
        <w:spacing w:before="193" w:after="0" w:line="240" w:lineRule="auto"/>
        <w:ind w:left="107"/>
        <w:rPr>
          <w:rFonts w:cstheme="minorHAnsi"/>
          <w:color w:val="231F20"/>
          <w:w w:val="105"/>
        </w:rPr>
      </w:pPr>
      <w:r w:rsidRPr="00E06806">
        <w:rPr>
          <w:rFonts w:cstheme="minorHAnsi"/>
          <w:color w:val="231F20"/>
          <w:w w:val="105"/>
        </w:rPr>
        <w:t>Seventy</w:t>
      </w:r>
      <w:r w:rsidRPr="00B52B55">
        <w:rPr>
          <w:rFonts w:cstheme="minorHAnsi"/>
          <w:color w:val="231F20"/>
          <w:w w:val="105"/>
        </w:rPr>
        <w:t xml:space="preserve"> </w:t>
      </w:r>
      <w:r w:rsidRPr="00E06806">
        <w:rPr>
          <w:rFonts w:cstheme="minorHAnsi"/>
          <w:color w:val="231F20"/>
          <w:w w:val="105"/>
        </w:rPr>
        <w:t>percent</w:t>
      </w:r>
      <w:r w:rsidRPr="00B52B55">
        <w:rPr>
          <w:rFonts w:cstheme="minorHAnsi"/>
          <w:color w:val="231F20"/>
          <w:w w:val="105"/>
        </w:rPr>
        <w:t xml:space="preserve"> </w:t>
      </w:r>
      <w:r w:rsidRPr="00E06806">
        <w:rPr>
          <w:rFonts w:cstheme="minorHAnsi"/>
          <w:color w:val="231F20"/>
          <w:w w:val="105"/>
        </w:rPr>
        <w:t>of</w:t>
      </w:r>
      <w:r w:rsidRPr="00B52B55">
        <w:rPr>
          <w:rFonts w:cstheme="minorHAnsi"/>
          <w:color w:val="231F20"/>
          <w:w w:val="105"/>
        </w:rPr>
        <w:t xml:space="preserve"> </w:t>
      </w:r>
      <w:r w:rsidRPr="00E06806">
        <w:rPr>
          <w:rFonts w:cstheme="minorHAnsi"/>
          <w:color w:val="231F20"/>
          <w:w w:val="105"/>
        </w:rPr>
        <w:t>the</w:t>
      </w:r>
      <w:r w:rsidRPr="00B52B55">
        <w:rPr>
          <w:rFonts w:cstheme="minorHAnsi"/>
          <w:color w:val="231F20"/>
          <w:w w:val="105"/>
        </w:rPr>
        <w:t xml:space="preserve"> </w:t>
      </w:r>
      <w:r w:rsidRPr="00E06806">
        <w:rPr>
          <w:rFonts w:cstheme="minorHAnsi"/>
          <w:color w:val="231F20"/>
          <w:w w:val="105"/>
        </w:rPr>
        <w:t>total</w:t>
      </w:r>
      <w:r w:rsidRPr="00B52B55">
        <w:rPr>
          <w:rFonts w:cstheme="minorHAnsi"/>
          <w:color w:val="231F20"/>
          <w:w w:val="105"/>
        </w:rPr>
        <w:t xml:space="preserve"> </w:t>
      </w:r>
      <w:r w:rsidRPr="00E06806">
        <w:rPr>
          <w:rFonts w:cstheme="minorHAnsi"/>
          <w:color w:val="231F20"/>
          <w:w w:val="105"/>
        </w:rPr>
        <w:t>regional</w:t>
      </w:r>
      <w:r w:rsidRPr="00B52B55">
        <w:rPr>
          <w:rFonts w:cstheme="minorHAnsi"/>
          <w:color w:val="231F20"/>
          <w:w w:val="105"/>
        </w:rPr>
        <w:t xml:space="preserve"> </w:t>
      </w:r>
      <w:r w:rsidRPr="00E06806">
        <w:rPr>
          <w:rFonts w:cstheme="minorHAnsi"/>
          <w:color w:val="231F20"/>
          <w:w w:val="105"/>
        </w:rPr>
        <w:t>allocation</w:t>
      </w:r>
      <w:r w:rsidRPr="00B52B55">
        <w:rPr>
          <w:rFonts w:cstheme="minorHAnsi"/>
          <w:color w:val="231F20"/>
          <w:w w:val="105"/>
        </w:rPr>
        <w:t xml:space="preserve"> </w:t>
      </w:r>
      <w:r w:rsidRPr="00E06806">
        <w:rPr>
          <w:rFonts w:cstheme="minorHAnsi"/>
          <w:color w:val="231F20"/>
          <w:w w:val="105"/>
        </w:rPr>
        <w:t>is</w:t>
      </w:r>
      <w:r w:rsidRPr="00B52B55">
        <w:rPr>
          <w:rFonts w:cstheme="minorHAnsi"/>
          <w:color w:val="231F20"/>
          <w:w w:val="105"/>
        </w:rPr>
        <w:t xml:space="preserve"> </w:t>
      </w:r>
      <w:r w:rsidRPr="00E06806">
        <w:rPr>
          <w:rFonts w:cstheme="minorHAnsi"/>
          <w:color w:val="231F20"/>
          <w:w w:val="105"/>
        </w:rPr>
        <w:t>based</w:t>
      </w:r>
      <w:r w:rsidRPr="00B52B55">
        <w:rPr>
          <w:rFonts w:cstheme="minorHAnsi"/>
          <w:color w:val="231F20"/>
          <w:w w:val="105"/>
        </w:rPr>
        <w:t xml:space="preserve"> </w:t>
      </w:r>
      <w:r w:rsidRPr="00E06806">
        <w:rPr>
          <w:rFonts w:cstheme="minorHAnsi"/>
          <w:color w:val="231F20"/>
          <w:w w:val="105"/>
        </w:rPr>
        <w:t>on</w:t>
      </w:r>
      <w:r w:rsidRPr="00B52B55">
        <w:rPr>
          <w:rFonts w:cstheme="minorHAnsi"/>
          <w:color w:val="231F20"/>
          <w:w w:val="105"/>
        </w:rPr>
        <w:t xml:space="preserve"> </w:t>
      </w:r>
      <w:r w:rsidRPr="00E06806">
        <w:rPr>
          <w:rFonts w:cstheme="minorHAnsi"/>
          <w:color w:val="231F20"/>
          <w:w w:val="105"/>
        </w:rPr>
        <w:t>the</w:t>
      </w:r>
      <w:r w:rsidRPr="00B52B55">
        <w:rPr>
          <w:rFonts w:cstheme="minorHAnsi"/>
          <w:color w:val="231F20"/>
          <w:w w:val="105"/>
        </w:rPr>
        <w:t xml:space="preserve"> </w:t>
      </w:r>
      <w:r w:rsidRPr="00E06806">
        <w:rPr>
          <w:rFonts w:cstheme="minorHAnsi"/>
          <w:color w:val="231F20"/>
          <w:w w:val="105"/>
        </w:rPr>
        <w:t>required</w:t>
      </w:r>
      <w:r w:rsidRPr="00B52B55">
        <w:rPr>
          <w:rFonts w:cstheme="minorHAnsi"/>
          <w:color w:val="231F20"/>
          <w:w w:val="105"/>
        </w:rPr>
        <w:t xml:space="preserve"> </w:t>
      </w:r>
      <w:r w:rsidRPr="00E06806">
        <w:rPr>
          <w:rFonts w:cstheme="minorHAnsi"/>
          <w:color w:val="231F20"/>
          <w:w w:val="105"/>
        </w:rPr>
        <w:t>allocation</w:t>
      </w:r>
      <w:r w:rsidRPr="00B52B55">
        <w:rPr>
          <w:rFonts w:cstheme="minorHAnsi"/>
          <w:color w:val="231F20"/>
          <w:w w:val="105"/>
        </w:rPr>
        <w:t xml:space="preserve"> </w:t>
      </w:r>
      <w:r w:rsidRPr="00E06806">
        <w:rPr>
          <w:rFonts w:cstheme="minorHAnsi"/>
          <w:color w:val="231F20"/>
          <w:w w:val="105"/>
        </w:rPr>
        <w:t>factors</w:t>
      </w:r>
      <w:r w:rsidRPr="00B52B55">
        <w:rPr>
          <w:rFonts w:cstheme="minorHAnsi"/>
          <w:color w:val="231F20"/>
          <w:w w:val="105"/>
        </w:rPr>
        <w:t xml:space="preserve"> </w:t>
      </w:r>
      <w:r w:rsidRPr="00E06806">
        <w:rPr>
          <w:rFonts w:cstheme="minorHAnsi"/>
          <w:color w:val="231F20"/>
          <w:w w:val="105"/>
        </w:rPr>
        <w:t>of</w:t>
      </w:r>
      <w:r w:rsidRPr="00B52B55">
        <w:rPr>
          <w:rFonts w:cstheme="minorHAnsi"/>
          <w:color w:val="231F20"/>
          <w:w w:val="105"/>
        </w:rPr>
        <w:t xml:space="preserve"> </w:t>
      </w:r>
      <w:r w:rsidRPr="00E06806">
        <w:rPr>
          <w:rFonts w:cstheme="minorHAnsi"/>
          <w:color w:val="231F20"/>
          <w:w w:val="105"/>
        </w:rPr>
        <w:t>the</w:t>
      </w:r>
      <w:r w:rsidRPr="00B52B55">
        <w:rPr>
          <w:rFonts w:cstheme="minorHAnsi"/>
          <w:color w:val="231F20"/>
          <w:w w:val="105"/>
        </w:rPr>
        <w:t xml:space="preserve"> </w:t>
      </w:r>
      <w:r w:rsidRPr="00E06806">
        <w:rPr>
          <w:rFonts w:cstheme="minorHAnsi"/>
          <w:color w:val="231F20"/>
          <w:w w:val="105"/>
        </w:rPr>
        <w:t>relative</w:t>
      </w:r>
      <w:r w:rsidRPr="00B52B55">
        <w:rPr>
          <w:rFonts w:cstheme="minorHAnsi"/>
          <w:color w:val="231F20"/>
          <w:w w:val="105"/>
        </w:rPr>
        <w:t xml:space="preserve"> </w:t>
      </w:r>
      <w:r w:rsidRPr="00E06806">
        <w:rPr>
          <w:rFonts w:cstheme="minorHAnsi"/>
          <w:color w:val="231F20"/>
          <w:w w:val="105"/>
        </w:rPr>
        <w:t>number</w:t>
      </w:r>
      <w:r w:rsidRPr="00B52B55">
        <w:rPr>
          <w:rFonts w:cstheme="minorHAnsi"/>
          <w:color w:val="231F20"/>
          <w:w w:val="105"/>
        </w:rPr>
        <w:t xml:space="preserve"> </w:t>
      </w:r>
      <w:r w:rsidRPr="00E06806">
        <w:rPr>
          <w:rFonts w:cstheme="minorHAnsi"/>
          <w:color w:val="231F20"/>
          <w:w w:val="105"/>
        </w:rPr>
        <w:t>of</w:t>
      </w:r>
      <w:r w:rsidRPr="00B52B55">
        <w:rPr>
          <w:rFonts w:cstheme="minorHAnsi"/>
          <w:color w:val="231F20"/>
          <w:w w:val="105"/>
        </w:rPr>
        <w:t xml:space="preserve"> </w:t>
      </w:r>
      <w:r w:rsidRPr="00E06806">
        <w:rPr>
          <w:rFonts w:cstheme="minorHAnsi"/>
          <w:color w:val="231F20"/>
          <w:w w:val="105"/>
        </w:rPr>
        <w:t>unemployed</w:t>
      </w:r>
      <w:r w:rsidRPr="00B52B55">
        <w:rPr>
          <w:rFonts w:cstheme="minorHAnsi"/>
          <w:color w:val="231F20"/>
          <w:w w:val="105"/>
        </w:rPr>
        <w:t xml:space="preserve"> </w:t>
      </w:r>
      <w:r w:rsidRPr="00E06806">
        <w:rPr>
          <w:rFonts w:cstheme="minorHAnsi"/>
          <w:color w:val="231F20"/>
          <w:w w:val="105"/>
        </w:rPr>
        <w:t>individuals</w:t>
      </w:r>
      <w:r w:rsidRPr="00B52B55">
        <w:rPr>
          <w:rFonts w:cstheme="minorHAnsi"/>
          <w:color w:val="231F20"/>
          <w:w w:val="105"/>
        </w:rPr>
        <w:t xml:space="preserve"> </w:t>
      </w:r>
      <w:r w:rsidRPr="00E06806">
        <w:rPr>
          <w:rFonts w:cstheme="minorHAnsi"/>
          <w:color w:val="231F20"/>
          <w:w w:val="105"/>
        </w:rPr>
        <w:t>in</w:t>
      </w:r>
      <w:r w:rsidRPr="00B52B55">
        <w:rPr>
          <w:rFonts w:cstheme="minorHAnsi"/>
          <w:color w:val="231F20"/>
          <w:w w:val="105"/>
        </w:rPr>
        <w:t xml:space="preserve"> </w:t>
      </w:r>
      <w:r w:rsidRPr="00E06806">
        <w:rPr>
          <w:rFonts w:cstheme="minorHAnsi"/>
          <w:color w:val="231F20"/>
          <w:w w:val="105"/>
        </w:rPr>
        <w:t>an</w:t>
      </w:r>
      <w:r w:rsidRPr="00B52B55">
        <w:rPr>
          <w:rFonts w:cstheme="minorHAnsi"/>
          <w:color w:val="231F20"/>
          <w:w w:val="105"/>
        </w:rPr>
        <w:t xml:space="preserve"> </w:t>
      </w:r>
      <w:r w:rsidRPr="00E06806">
        <w:rPr>
          <w:rFonts w:cstheme="minorHAnsi"/>
          <w:color w:val="231F20"/>
          <w:w w:val="105"/>
        </w:rPr>
        <w:t>area</w:t>
      </w:r>
      <w:r w:rsidRPr="00B52B55">
        <w:rPr>
          <w:rFonts w:cstheme="minorHAnsi"/>
          <w:color w:val="231F20"/>
          <w:w w:val="105"/>
        </w:rPr>
        <w:t xml:space="preserve"> </w:t>
      </w:r>
      <w:r w:rsidRPr="00E06806">
        <w:rPr>
          <w:rFonts w:cstheme="minorHAnsi"/>
          <w:color w:val="231F20"/>
          <w:w w:val="105"/>
        </w:rPr>
        <w:t>of</w:t>
      </w:r>
      <w:r w:rsidRPr="00B52B55">
        <w:rPr>
          <w:rFonts w:cstheme="minorHAnsi"/>
          <w:color w:val="231F20"/>
          <w:w w:val="105"/>
        </w:rPr>
        <w:t xml:space="preserve"> </w:t>
      </w:r>
      <w:r w:rsidRPr="00E06806">
        <w:rPr>
          <w:rFonts w:cstheme="minorHAnsi"/>
          <w:color w:val="231F20"/>
          <w:w w:val="105"/>
        </w:rPr>
        <w:t>substantial</w:t>
      </w:r>
      <w:r w:rsidRPr="00B52B55">
        <w:rPr>
          <w:rFonts w:cstheme="minorHAnsi"/>
          <w:color w:val="231F20"/>
          <w:w w:val="105"/>
        </w:rPr>
        <w:t xml:space="preserve"> </w:t>
      </w:r>
      <w:r w:rsidRPr="00E06806">
        <w:rPr>
          <w:rFonts w:cstheme="minorHAnsi"/>
          <w:color w:val="231F20"/>
          <w:w w:val="105"/>
        </w:rPr>
        <w:t>unemployment,</w:t>
      </w:r>
      <w:r w:rsidRPr="00B52B55">
        <w:rPr>
          <w:rFonts w:cstheme="minorHAnsi"/>
          <w:color w:val="231F20"/>
          <w:w w:val="105"/>
        </w:rPr>
        <w:t xml:space="preserve"> </w:t>
      </w:r>
      <w:r w:rsidRPr="00E06806">
        <w:rPr>
          <w:rFonts w:cstheme="minorHAnsi"/>
          <w:color w:val="231F20"/>
          <w:w w:val="105"/>
        </w:rPr>
        <w:t>the</w:t>
      </w:r>
      <w:r w:rsidRPr="00B52B55">
        <w:rPr>
          <w:rFonts w:cstheme="minorHAnsi"/>
          <w:color w:val="231F20"/>
          <w:w w:val="105"/>
        </w:rPr>
        <w:t xml:space="preserve"> </w:t>
      </w:r>
      <w:r w:rsidRPr="00E06806">
        <w:rPr>
          <w:rFonts w:cstheme="minorHAnsi"/>
          <w:color w:val="231F20"/>
          <w:w w:val="105"/>
        </w:rPr>
        <w:t>relative</w:t>
      </w:r>
      <w:r w:rsidRPr="00B52B55">
        <w:rPr>
          <w:rFonts w:cstheme="minorHAnsi"/>
          <w:color w:val="231F20"/>
          <w:w w:val="105"/>
        </w:rPr>
        <w:t xml:space="preserve"> </w:t>
      </w:r>
      <w:r w:rsidRPr="00E06806">
        <w:rPr>
          <w:rFonts w:cstheme="minorHAnsi"/>
          <w:color w:val="231F20"/>
          <w:w w:val="105"/>
        </w:rPr>
        <w:t>number</w:t>
      </w:r>
      <w:r w:rsidRPr="00B52B55">
        <w:rPr>
          <w:rFonts w:cstheme="minorHAnsi"/>
          <w:color w:val="231F20"/>
          <w:w w:val="105"/>
        </w:rPr>
        <w:t xml:space="preserve"> </w:t>
      </w:r>
      <w:r w:rsidRPr="00E06806">
        <w:rPr>
          <w:rFonts w:cstheme="minorHAnsi"/>
          <w:color w:val="231F20"/>
          <w:w w:val="105"/>
        </w:rPr>
        <w:t>of</w:t>
      </w:r>
      <w:r w:rsidRPr="00B52B55">
        <w:rPr>
          <w:rFonts w:cstheme="minorHAnsi"/>
          <w:color w:val="231F20"/>
          <w:w w:val="105"/>
        </w:rPr>
        <w:t xml:space="preserve"> </w:t>
      </w:r>
      <w:r w:rsidRPr="00E06806">
        <w:rPr>
          <w:rFonts w:cstheme="minorHAnsi"/>
          <w:color w:val="231F20"/>
          <w:w w:val="105"/>
        </w:rPr>
        <w:t>unemployed</w:t>
      </w:r>
      <w:r w:rsidRPr="00B52B55">
        <w:rPr>
          <w:rFonts w:cstheme="minorHAnsi"/>
          <w:color w:val="231F20"/>
          <w:w w:val="105"/>
        </w:rPr>
        <w:t xml:space="preserve"> </w:t>
      </w:r>
      <w:r w:rsidRPr="00E06806">
        <w:rPr>
          <w:rFonts w:cstheme="minorHAnsi"/>
          <w:color w:val="231F20"/>
          <w:w w:val="105"/>
        </w:rPr>
        <w:t>individuals</w:t>
      </w:r>
      <w:r w:rsidRPr="00B52B55">
        <w:rPr>
          <w:rFonts w:cstheme="minorHAnsi"/>
          <w:color w:val="231F20"/>
          <w:w w:val="105"/>
        </w:rPr>
        <w:t xml:space="preserve"> </w:t>
      </w:r>
      <w:r w:rsidR="00B52B55">
        <w:rPr>
          <w:rFonts w:cstheme="minorHAnsi"/>
          <w:color w:val="231F20"/>
          <w:w w:val="105"/>
        </w:rPr>
        <w:t>who</w:t>
      </w:r>
      <w:r w:rsidRPr="00B52B55">
        <w:rPr>
          <w:rFonts w:cstheme="minorHAnsi"/>
          <w:color w:val="231F20"/>
          <w:w w:val="105"/>
        </w:rPr>
        <w:t xml:space="preserve"> </w:t>
      </w:r>
      <w:r w:rsidRPr="00E06806">
        <w:rPr>
          <w:rFonts w:cstheme="minorHAnsi"/>
          <w:color w:val="231F20"/>
          <w:w w:val="105"/>
        </w:rPr>
        <w:t>exceed</w:t>
      </w:r>
      <w:r w:rsidRPr="00B52B55">
        <w:rPr>
          <w:rFonts w:cstheme="minorHAnsi"/>
          <w:color w:val="231F20"/>
          <w:w w:val="105"/>
        </w:rPr>
        <w:t xml:space="preserve"> </w:t>
      </w:r>
      <w:r w:rsidRPr="00E06806">
        <w:rPr>
          <w:rFonts w:cstheme="minorHAnsi"/>
          <w:color w:val="231F20"/>
          <w:w w:val="105"/>
        </w:rPr>
        <w:t>6.5</w:t>
      </w:r>
      <w:r w:rsidRPr="00B52B55">
        <w:rPr>
          <w:rFonts w:cstheme="minorHAnsi"/>
          <w:color w:val="231F20"/>
          <w:w w:val="105"/>
        </w:rPr>
        <w:t xml:space="preserve"> </w:t>
      </w:r>
      <w:r w:rsidRPr="00E06806">
        <w:rPr>
          <w:rFonts w:cstheme="minorHAnsi"/>
          <w:color w:val="231F20"/>
          <w:w w:val="105"/>
        </w:rPr>
        <w:t>percent</w:t>
      </w:r>
      <w:r w:rsidRPr="00B52B55">
        <w:rPr>
          <w:rFonts w:cstheme="minorHAnsi"/>
          <w:color w:val="231F20"/>
          <w:w w:val="105"/>
        </w:rPr>
        <w:t xml:space="preserve"> </w:t>
      </w:r>
      <w:r w:rsidRPr="00E06806">
        <w:rPr>
          <w:rFonts w:cstheme="minorHAnsi"/>
          <w:color w:val="231F20"/>
          <w:w w:val="105"/>
        </w:rPr>
        <w:t>of</w:t>
      </w:r>
      <w:r w:rsidRPr="00B52B55">
        <w:rPr>
          <w:rFonts w:cstheme="minorHAnsi"/>
          <w:color w:val="231F20"/>
          <w:w w:val="105"/>
        </w:rPr>
        <w:t xml:space="preserve"> </w:t>
      </w:r>
      <w:r w:rsidRPr="00E06806">
        <w:rPr>
          <w:rFonts w:cstheme="minorHAnsi"/>
          <w:color w:val="231F20"/>
          <w:w w:val="105"/>
        </w:rPr>
        <w:t>the</w:t>
      </w:r>
      <w:r w:rsidRPr="00B52B55">
        <w:rPr>
          <w:rFonts w:cstheme="minorHAnsi"/>
          <w:color w:val="231F20"/>
          <w:w w:val="105"/>
        </w:rPr>
        <w:t xml:space="preserve"> </w:t>
      </w:r>
      <w:r w:rsidRPr="00E06806">
        <w:rPr>
          <w:rFonts w:cstheme="minorHAnsi"/>
          <w:color w:val="231F20"/>
          <w:w w:val="105"/>
        </w:rPr>
        <w:t>civilian</w:t>
      </w:r>
      <w:r w:rsidRPr="00B52B55">
        <w:rPr>
          <w:rFonts w:cstheme="minorHAnsi"/>
          <w:color w:val="231F20"/>
          <w:w w:val="105"/>
        </w:rPr>
        <w:t xml:space="preserve"> </w:t>
      </w:r>
      <w:r w:rsidRPr="00E06806">
        <w:rPr>
          <w:rFonts w:cstheme="minorHAnsi"/>
          <w:color w:val="231F20"/>
          <w:w w:val="105"/>
        </w:rPr>
        <w:t>labor</w:t>
      </w:r>
      <w:r w:rsidRPr="00B52B55">
        <w:rPr>
          <w:rFonts w:cstheme="minorHAnsi"/>
          <w:color w:val="231F20"/>
          <w:w w:val="105"/>
        </w:rPr>
        <w:t xml:space="preserve"> </w:t>
      </w:r>
      <w:r w:rsidRPr="00E06806">
        <w:rPr>
          <w:rFonts w:cstheme="minorHAnsi"/>
          <w:color w:val="231F20"/>
          <w:w w:val="105"/>
        </w:rPr>
        <w:t>force</w:t>
      </w:r>
      <w:r w:rsidRPr="00B52B55">
        <w:rPr>
          <w:rFonts w:cstheme="minorHAnsi"/>
          <w:color w:val="231F20"/>
          <w:w w:val="105"/>
        </w:rPr>
        <w:t xml:space="preserve"> </w:t>
      </w:r>
      <w:r w:rsidRPr="00E06806">
        <w:rPr>
          <w:rFonts w:cstheme="minorHAnsi"/>
          <w:color w:val="231F20"/>
          <w:w w:val="105"/>
        </w:rPr>
        <w:t>in</w:t>
      </w:r>
      <w:r w:rsidRPr="00B52B55">
        <w:rPr>
          <w:rFonts w:cstheme="minorHAnsi"/>
          <w:color w:val="231F20"/>
          <w:w w:val="105"/>
        </w:rPr>
        <w:t xml:space="preserve"> </w:t>
      </w:r>
      <w:r w:rsidRPr="00E06806">
        <w:rPr>
          <w:rFonts w:cstheme="minorHAnsi"/>
          <w:color w:val="231F20"/>
          <w:w w:val="105"/>
        </w:rPr>
        <w:t>that</w:t>
      </w:r>
      <w:r w:rsidRPr="00B52B55">
        <w:rPr>
          <w:rFonts w:cstheme="minorHAnsi"/>
          <w:color w:val="231F20"/>
          <w:w w:val="105"/>
        </w:rPr>
        <w:t xml:space="preserve"> </w:t>
      </w:r>
      <w:r w:rsidRPr="00E06806">
        <w:rPr>
          <w:rFonts w:cstheme="minorHAnsi"/>
          <w:color w:val="231F20"/>
          <w:w w:val="105"/>
        </w:rPr>
        <w:t>workforce</w:t>
      </w:r>
      <w:r w:rsidRPr="00B52B55">
        <w:rPr>
          <w:rFonts w:cstheme="minorHAnsi"/>
          <w:color w:val="231F20"/>
          <w:w w:val="105"/>
        </w:rPr>
        <w:t xml:space="preserve"> </w:t>
      </w:r>
      <w:r w:rsidRPr="00E06806">
        <w:rPr>
          <w:rFonts w:cstheme="minorHAnsi"/>
          <w:color w:val="231F20"/>
          <w:w w:val="105"/>
        </w:rPr>
        <w:t>region</w:t>
      </w:r>
      <w:r w:rsidR="00D5537E">
        <w:rPr>
          <w:rFonts w:cstheme="minorHAnsi"/>
          <w:color w:val="231F20"/>
          <w:w w:val="105"/>
        </w:rPr>
        <w:t xml:space="preserve"> and</w:t>
      </w:r>
      <w:r w:rsidRPr="00B52B55">
        <w:rPr>
          <w:rFonts w:cstheme="minorHAnsi"/>
          <w:color w:val="231F20"/>
          <w:w w:val="105"/>
        </w:rPr>
        <w:t xml:space="preserve"> </w:t>
      </w:r>
      <w:r w:rsidRPr="00E06806">
        <w:rPr>
          <w:rFonts w:cstheme="minorHAnsi"/>
          <w:color w:val="231F20"/>
          <w:w w:val="105"/>
        </w:rPr>
        <w:t>the</w:t>
      </w:r>
      <w:r w:rsidRPr="00B52B55">
        <w:rPr>
          <w:rFonts w:cstheme="minorHAnsi"/>
          <w:color w:val="231F20"/>
          <w:w w:val="105"/>
        </w:rPr>
        <w:t xml:space="preserve"> </w:t>
      </w:r>
      <w:r w:rsidRPr="00E06806">
        <w:rPr>
          <w:rFonts w:cstheme="minorHAnsi"/>
          <w:color w:val="231F20"/>
          <w:w w:val="105"/>
        </w:rPr>
        <w:t>relative</w:t>
      </w:r>
      <w:r w:rsidRPr="00B52B55">
        <w:rPr>
          <w:rFonts w:cstheme="minorHAnsi"/>
          <w:color w:val="231F20"/>
          <w:w w:val="105"/>
        </w:rPr>
        <w:t xml:space="preserve"> </w:t>
      </w:r>
      <w:r w:rsidRPr="00E06806">
        <w:rPr>
          <w:rFonts w:cstheme="minorHAnsi"/>
          <w:color w:val="231F20"/>
          <w:w w:val="105"/>
        </w:rPr>
        <w:t>number</w:t>
      </w:r>
      <w:r w:rsidRPr="00B52B55">
        <w:rPr>
          <w:rFonts w:cstheme="minorHAnsi"/>
          <w:color w:val="231F20"/>
          <w:w w:val="105"/>
        </w:rPr>
        <w:t xml:space="preserve"> </w:t>
      </w:r>
      <w:r w:rsidRPr="00E06806">
        <w:rPr>
          <w:rFonts w:cstheme="minorHAnsi"/>
          <w:color w:val="231F20"/>
          <w:w w:val="105"/>
        </w:rPr>
        <w:t>of</w:t>
      </w:r>
      <w:r w:rsidRPr="00B52B55">
        <w:rPr>
          <w:rFonts w:cstheme="minorHAnsi"/>
          <w:color w:val="231F20"/>
          <w:w w:val="105"/>
        </w:rPr>
        <w:t xml:space="preserve"> </w:t>
      </w:r>
      <w:r w:rsidRPr="00E06806">
        <w:rPr>
          <w:rFonts w:cstheme="minorHAnsi"/>
          <w:color w:val="231F20"/>
          <w:w w:val="105"/>
        </w:rPr>
        <w:t>economically</w:t>
      </w:r>
      <w:r w:rsidRPr="00B52B55">
        <w:rPr>
          <w:rFonts w:cstheme="minorHAnsi"/>
          <w:color w:val="231F20"/>
          <w:w w:val="105"/>
        </w:rPr>
        <w:t xml:space="preserve"> </w:t>
      </w:r>
      <w:r w:rsidRPr="00E06806">
        <w:rPr>
          <w:rFonts w:cstheme="minorHAnsi"/>
          <w:color w:val="231F20"/>
          <w:w w:val="105"/>
        </w:rPr>
        <w:t>disadvantaged</w:t>
      </w:r>
      <w:r w:rsidRPr="00B52B55">
        <w:rPr>
          <w:rFonts w:cstheme="minorHAnsi"/>
          <w:color w:val="231F20"/>
          <w:w w:val="105"/>
        </w:rPr>
        <w:t xml:space="preserve"> </w:t>
      </w:r>
      <w:r w:rsidRPr="00E06806">
        <w:rPr>
          <w:rFonts w:cstheme="minorHAnsi"/>
          <w:color w:val="231F20"/>
          <w:w w:val="105"/>
        </w:rPr>
        <w:t>in</w:t>
      </w:r>
      <w:r w:rsidRPr="00B52B55">
        <w:rPr>
          <w:rFonts w:cstheme="minorHAnsi"/>
          <w:color w:val="231F20"/>
          <w:w w:val="105"/>
        </w:rPr>
        <w:t xml:space="preserve"> </w:t>
      </w:r>
      <w:r w:rsidRPr="00E06806">
        <w:rPr>
          <w:rFonts w:cstheme="minorHAnsi"/>
          <w:color w:val="231F20"/>
          <w:w w:val="105"/>
        </w:rPr>
        <w:t>the</w:t>
      </w:r>
      <w:r w:rsidRPr="00B52B55">
        <w:rPr>
          <w:rFonts w:cstheme="minorHAnsi"/>
          <w:color w:val="231F20"/>
          <w:w w:val="105"/>
        </w:rPr>
        <w:t xml:space="preserve"> </w:t>
      </w:r>
      <w:r w:rsidRPr="00E06806">
        <w:rPr>
          <w:rFonts w:cstheme="minorHAnsi"/>
          <w:color w:val="231F20"/>
          <w:w w:val="105"/>
        </w:rPr>
        <w:t>workforce</w:t>
      </w:r>
      <w:r w:rsidRPr="00B52B55">
        <w:rPr>
          <w:rFonts w:cstheme="minorHAnsi"/>
          <w:color w:val="231F20"/>
          <w:w w:val="105"/>
        </w:rPr>
        <w:t xml:space="preserve"> </w:t>
      </w:r>
      <w:r w:rsidRPr="00E06806">
        <w:rPr>
          <w:rFonts w:cstheme="minorHAnsi"/>
          <w:color w:val="231F20"/>
          <w:w w:val="105"/>
        </w:rPr>
        <w:t>region.</w:t>
      </w:r>
      <w:r w:rsidRPr="00B52B55">
        <w:rPr>
          <w:rFonts w:cstheme="minorHAnsi"/>
          <w:color w:val="231F20"/>
          <w:w w:val="105"/>
        </w:rPr>
        <w:t xml:space="preserve"> </w:t>
      </w:r>
      <w:r w:rsidRPr="00E06806">
        <w:rPr>
          <w:rFonts w:cstheme="minorHAnsi"/>
          <w:color w:val="231F20"/>
          <w:w w:val="105"/>
        </w:rPr>
        <w:t>The</w:t>
      </w:r>
      <w:r w:rsidRPr="00B52B55">
        <w:rPr>
          <w:rFonts w:cstheme="minorHAnsi"/>
          <w:color w:val="231F20"/>
          <w:w w:val="105"/>
        </w:rPr>
        <w:t xml:space="preserve"> </w:t>
      </w:r>
      <w:r w:rsidRPr="00E06806">
        <w:rPr>
          <w:rFonts w:cstheme="minorHAnsi"/>
          <w:color w:val="231F20"/>
          <w:w w:val="105"/>
        </w:rPr>
        <w:t>state</w:t>
      </w:r>
      <w:r w:rsidRPr="00B52B55">
        <w:rPr>
          <w:rFonts w:cstheme="minorHAnsi"/>
          <w:color w:val="231F20"/>
          <w:w w:val="105"/>
        </w:rPr>
        <w:t xml:space="preserve"> </w:t>
      </w:r>
      <w:r w:rsidRPr="00E06806">
        <w:rPr>
          <w:rFonts w:cstheme="minorHAnsi"/>
          <w:color w:val="231F20"/>
          <w:w w:val="105"/>
        </w:rPr>
        <w:t>board</w:t>
      </w:r>
      <w:r w:rsidRPr="00B52B55">
        <w:rPr>
          <w:rFonts w:cstheme="minorHAnsi"/>
          <w:color w:val="231F20"/>
          <w:w w:val="105"/>
        </w:rPr>
        <w:t xml:space="preserve"> </w:t>
      </w:r>
      <w:r w:rsidRPr="00E06806">
        <w:rPr>
          <w:rFonts w:cstheme="minorHAnsi"/>
          <w:color w:val="231F20"/>
          <w:w w:val="105"/>
        </w:rPr>
        <w:t>approved</w:t>
      </w:r>
      <w:r w:rsidRPr="00B52B55">
        <w:rPr>
          <w:rFonts w:cstheme="minorHAnsi"/>
          <w:color w:val="231F20"/>
          <w:w w:val="105"/>
        </w:rPr>
        <w:t xml:space="preserve"> </w:t>
      </w:r>
      <w:r w:rsidRPr="00E06806">
        <w:rPr>
          <w:rFonts w:cstheme="minorHAnsi"/>
          <w:color w:val="231F20"/>
          <w:w w:val="105"/>
        </w:rPr>
        <w:t>the application of the maximum allowable factor of 30 percent to the adult and youth regional</w:t>
      </w:r>
      <w:r w:rsidRPr="00B52B55">
        <w:rPr>
          <w:rFonts w:cstheme="minorHAnsi"/>
          <w:color w:val="231F20"/>
          <w:w w:val="105"/>
        </w:rPr>
        <w:t xml:space="preserve"> </w:t>
      </w:r>
      <w:r w:rsidRPr="00E06806">
        <w:rPr>
          <w:rFonts w:cstheme="minorHAnsi"/>
          <w:color w:val="231F20"/>
          <w:w w:val="105"/>
        </w:rPr>
        <w:t>calculations</w:t>
      </w:r>
      <w:r w:rsidRPr="00B52B55">
        <w:rPr>
          <w:rFonts w:cstheme="minorHAnsi"/>
          <w:color w:val="231F20"/>
          <w:w w:val="105"/>
        </w:rPr>
        <w:t xml:space="preserve"> </w:t>
      </w:r>
      <w:r w:rsidRPr="00E06806">
        <w:rPr>
          <w:rFonts w:cstheme="minorHAnsi"/>
          <w:color w:val="231F20"/>
          <w:w w:val="105"/>
        </w:rPr>
        <w:t>based</w:t>
      </w:r>
      <w:r w:rsidRPr="00B52B55">
        <w:rPr>
          <w:rFonts w:cstheme="minorHAnsi"/>
          <w:color w:val="231F20"/>
          <w:w w:val="105"/>
        </w:rPr>
        <w:t xml:space="preserve"> </w:t>
      </w:r>
      <w:r w:rsidRPr="00E06806">
        <w:rPr>
          <w:rFonts w:cstheme="minorHAnsi"/>
          <w:color w:val="231F20"/>
          <w:w w:val="105"/>
        </w:rPr>
        <w:t>on</w:t>
      </w:r>
      <w:r w:rsidRPr="00B52B55">
        <w:rPr>
          <w:rFonts w:cstheme="minorHAnsi"/>
          <w:color w:val="231F20"/>
          <w:w w:val="105"/>
        </w:rPr>
        <w:t xml:space="preserve"> </w:t>
      </w:r>
      <w:r w:rsidRPr="00E06806">
        <w:rPr>
          <w:rFonts w:cstheme="minorHAnsi"/>
          <w:color w:val="231F20"/>
          <w:w w:val="105"/>
        </w:rPr>
        <w:t>the</w:t>
      </w:r>
      <w:r w:rsidRPr="00B52B55">
        <w:rPr>
          <w:rFonts w:cstheme="minorHAnsi"/>
          <w:color w:val="231F20"/>
          <w:w w:val="105"/>
        </w:rPr>
        <w:t xml:space="preserve"> </w:t>
      </w:r>
      <w:r w:rsidRPr="00E06806">
        <w:rPr>
          <w:rFonts w:cstheme="minorHAnsi"/>
          <w:color w:val="231F20"/>
          <w:w w:val="105"/>
        </w:rPr>
        <w:t>relative</w:t>
      </w:r>
      <w:r w:rsidRPr="00B52B55">
        <w:rPr>
          <w:rFonts w:cstheme="minorHAnsi"/>
          <w:color w:val="231F20"/>
          <w:w w:val="105"/>
        </w:rPr>
        <w:t xml:space="preserve"> </w:t>
      </w:r>
      <w:r w:rsidRPr="00E06806">
        <w:rPr>
          <w:rFonts w:cstheme="minorHAnsi"/>
          <w:color w:val="231F20"/>
          <w:w w:val="105"/>
        </w:rPr>
        <w:t>excess</w:t>
      </w:r>
      <w:r w:rsidRPr="00B52B55">
        <w:rPr>
          <w:rFonts w:cstheme="minorHAnsi"/>
          <w:color w:val="231F20"/>
          <w:w w:val="105"/>
        </w:rPr>
        <w:t xml:space="preserve"> </w:t>
      </w:r>
      <w:r w:rsidRPr="00E06806">
        <w:rPr>
          <w:rFonts w:cstheme="minorHAnsi"/>
          <w:color w:val="231F20"/>
          <w:w w:val="105"/>
        </w:rPr>
        <w:t>poverty</w:t>
      </w:r>
      <w:r w:rsidRPr="00B52B55">
        <w:rPr>
          <w:rFonts w:cstheme="minorHAnsi"/>
          <w:color w:val="231F20"/>
          <w:w w:val="105"/>
        </w:rPr>
        <w:t xml:space="preserve"> </w:t>
      </w:r>
      <w:r w:rsidRPr="00E06806">
        <w:rPr>
          <w:rFonts w:cstheme="minorHAnsi"/>
          <w:color w:val="231F20"/>
          <w:w w:val="105"/>
        </w:rPr>
        <w:t>levels</w:t>
      </w:r>
      <w:r w:rsidRPr="00B52B55">
        <w:rPr>
          <w:rFonts w:cstheme="minorHAnsi"/>
          <w:color w:val="231F20"/>
          <w:w w:val="105"/>
        </w:rPr>
        <w:t xml:space="preserve"> </w:t>
      </w:r>
      <w:r w:rsidRPr="00E06806">
        <w:rPr>
          <w:rFonts w:cstheme="minorHAnsi"/>
          <w:color w:val="231F20"/>
          <w:w w:val="105"/>
        </w:rPr>
        <w:t>within</w:t>
      </w:r>
      <w:r w:rsidRPr="00B52B55">
        <w:rPr>
          <w:rFonts w:cstheme="minorHAnsi"/>
          <w:color w:val="231F20"/>
          <w:w w:val="105"/>
        </w:rPr>
        <w:t xml:space="preserve"> </w:t>
      </w:r>
      <w:r w:rsidRPr="00E06806">
        <w:rPr>
          <w:rFonts w:cstheme="minorHAnsi"/>
          <w:color w:val="231F20"/>
          <w:w w:val="105"/>
        </w:rPr>
        <w:t>the</w:t>
      </w:r>
      <w:r w:rsidRPr="00B52B55">
        <w:rPr>
          <w:rFonts w:cstheme="minorHAnsi"/>
          <w:color w:val="231F20"/>
          <w:w w:val="105"/>
        </w:rPr>
        <w:t xml:space="preserve"> </w:t>
      </w:r>
      <w:r w:rsidRPr="00E06806">
        <w:rPr>
          <w:rFonts w:cstheme="minorHAnsi"/>
          <w:color w:val="231F20"/>
          <w:w w:val="105"/>
        </w:rPr>
        <w:t>24</w:t>
      </w:r>
      <w:r w:rsidRPr="00B52B55">
        <w:rPr>
          <w:rFonts w:cstheme="minorHAnsi"/>
          <w:color w:val="231F20"/>
          <w:w w:val="105"/>
        </w:rPr>
        <w:t xml:space="preserve"> </w:t>
      </w:r>
      <w:r w:rsidRPr="00E06806">
        <w:rPr>
          <w:rFonts w:cstheme="minorHAnsi"/>
          <w:color w:val="231F20"/>
          <w:w w:val="105"/>
        </w:rPr>
        <w:t>local</w:t>
      </w:r>
      <w:r w:rsidRPr="00B52B55">
        <w:rPr>
          <w:rFonts w:cstheme="minorHAnsi"/>
          <w:color w:val="231F20"/>
          <w:w w:val="105"/>
        </w:rPr>
        <w:t xml:space="preserve"> </w:t>
      </w:r>
      <w:r w:rsidRPr="00E06806">
        <w:rPr>
          <w:rFonts w:cstheme="minorHAnsi"/>
          <w:color w:val="231F20"/>
          <w:w w:val="105"/>
        </w:rPr>
        <w:t>areas.</w:t>
      </w:r>
      <w:r w:rsidRPr="00B52B55">
        <w:rPr>
          <w:rFonts w:cstheme="minorHAnsi"/>
          <w:color w:val="231F20"/>
          <w:w w:val="105"/>
        </w:rPr>
        <w:t xml:space="preserve"> </w:t>
      </w:r>
      <w:r w:rsidRPr="00E06806">
        <w:rPr>
          <w:rFonts w:cstheme="minorHAnsi"/>
          <w:color w:val="231F20"/>
          <w:w w:val="105"/>
        </w:rPr>
        <w:t>Excess</w:t>
      </w:r>
      <w:r w:rsidRPr="00B52B55">
        <w:rPr>
          <w:rFonts w:cstheme="minorHAnsi"/>
          <w:color w:val="231F20"/>
          <w:w w:val="105"/>
        </w:rPr>
        <w:t xml:space="preserve"> </w:t>
      </w:r>
      <w:r w:rsidRPr="00E06806">
        <w:rPr>
          <w:rFonts w:cstheme="minorHAnsi"/>
          <w:color w:val="231F20"/>
          <w:w w:val="105"/>
        </w:rPr>
        <w:t>poverty</w:t>
      </w:r>
      <w:r w:rsidRPr="00B52B55">
        <w:rPr>
          <w:rFonts w:cstheme="minorHAnsi"/>
          <w:color w:val="231F20"/>
          <w:w w:val="105"/>
        </w:rPr>
        <w:t xml:space="preserve"> </w:t>
      </w:r>
      <w:r w:rsidRPr="00E06806">
        <w:rPr>
          <w:rFonts w:cstheme="minorHAnsi"/>
          <w:color w:val="231F20"/>
          <w:w w:val="105"/>
        </w:rPr>
        <w:t>is</w:t>
      </w:r>
      <w:r w:rsidRPr="00B52B55">
        <w:rPr>
          <w:rFonts w:cstheme="minorHAnsi"/>
          <w:color w:val="231F20"/>
          <w:w w:val="105"/>
        </w:rPr>
        <w:t xml:space="preserve"> </w:t>
      </w:r>
      <w:r w:rsidRPr="00E06806">
        <w:rPr>
          <w:rFonts w:cstheme="minorHAnsi"/>
          <w:color w:val="231F20"/>
          <w:w w:val="105"/>
        </w:rPr>
        <w:t>defined</w:t>
      </w:r>
      <w:r w:rsidRPr="00B52B55">
        <w:rPr>
          <w:rFonts w:cstheme="minorHAnsi"/>
          <w:color w:val="231F20"/>
          <w:w w:val="105"/>
        </w:rPr>
        <w:t xml:space="preserve"> </w:t>
      </w:r>
      <w:r w:rsidRPr="00E06806">
        <w:rPr>
          <w:rFonts w:cstheme="minorHAnsi"/>
          <w:color w:val="231F20"/>
          <w:w w:val="105"/>
        </w:rPr>
        <w:t>as</w:t>
      </w:r>
      <w:r w:rsidRPr="00B52B55">
        <w:rPr>
          <w:rFonts w:cstheme="minorHAnsi"/>
          <w:color w:val="231F20"/>
          <w:w w:val="105"/>
        </w:rPr>
        <w:t xml:space="preserve"> </w:t>
      </w:r>
      <w:r w:rsidRPr="00E06806">
        <w:rPr>
          <w:rFonts w:cstheme="minorHAnsi"/>
          <w:color w:val="231F20"/>
          <w:w w:val="105"/>
        </w:rPr>
        <w:t>the</w:t>
      </w:r>
      <w:r w:rsidRPr="00B52B55">
        <w:rPr>
          <w:rFonts w:cstheme="minorHAnsi"/>
          <w:color w:val="231F20"/>
          <w:w w:val="105"/>
        </w:rPr>
        <w:t xml:space="preserve"> </w:t>
      </w:r>
      <w:r w:rsidRPr="00E06806">
        <w:rPr>
          <w:rFonts w:cstheme="minorHAnsi"/>
          <w:color w:val="231F20"/>
          <w:w w:val="105"/>
        </w:rPr>
        <w:t>number</w:t>
      </w:r>
      <w:r w:rsidRPr="00B52B55">
        <w:rPr>
          <w:rFonts w:cstheme="minorHAnsi"/>
          <w:color w:val="231F20"/>
          <w:w w:val="105"/>
        </w:rPr>
        <w:t xml:space="preserve"> </w:t>
      </w:r>
      <w:r w:rsidRPr="00E06806">
        <w:rPr>
          <w:rFonts w:cstheme="minorHAnsi"/>
          <w:color w:val="231F20"/>
          <w:w w:val="105"/>
        </w:rPr>
        <w:t>of</w:t>
      </w:r>
      <w:r w:rsidRPr="00B52B55">
        <w:rPr>
          <w:rFonts w:cstheme="minorHAnsi"/>
          <w:color w:val="231F20"/>
          <w:w w:val="105"/>
        </w:rPr>
        <w:t xml:space="preserve"> </w:t>
      </w:r>
      <w:r w:rsidRPr="00E06806">
        <w:rPr>
          <w:rFonts w:cstheme="minorHAnsi"/>
          <w:color w:val="231F20"/>
          <w:w w:val="105"/>
        </w:rPr>
        <w:t>economically</w:t>
      </w:r>
      <w:r w:rsidRPr="00B52B55">
        <w:rPr>
          <w:rFonts w:cstheme="minorHAnsi"/>
          <w:color w:val="231F20"/>
          <w:w w:val="105"/>
        </w:rPr>
        <w:t xml:space="preserve"> </w:t>
      </w:r>
      <w:r w:rsidRPr="00E06806">
        <w:rPr>
          <w:rFonts w:cstheme="minorHAnsi"/>
          <w:color w:val="231F20"/>
          <w:w w:val="105"/>
        </w:rPr>
        <w:t>disadvantaged</w:t>
      </w:r>
      <w:r w:rsidRPr="00B52B55">
        <w:rPr>
          <w:rFonts w:cstheme="minorHAnsi"/>
          <w:color w:val="231F20"/>
          <w:w w:val="105"/>
        </w:rPr>
        <w:t xml:space="preserve"> </w:t>
      </w:r>
      <w:r w:rsidRPr="00E06806">
        <w:rPr>
          <w:rFonts w:cstheme="minorHAnsi"/>
          <w:color w:val="231F20"/>
          <w:w w:val="105"/>
        </w:rPr>
        <w:t>(adult</w:t>
      </w:r>
      <w:r w:rsidRPr="00B52B55">
        <w:rPr>
          <w:rFonts w:cstheme="minorHAnsi"/>
          <w:color w:val="231F20"/>
          <w:w w:val="105"/>
        </w:rPr>
        <w:t xml:space="preserve"> </w:t>
      </w:r>
      <w:r w:rsidRPr="00E06806">
        <w:rPr>
          <w:rFonts w:cstheme="minorHAnsi"/>
          <w:color w:val="231F20"/>
          <w:w w:val="105"/>
        </w:rPr>
        <w:t>or</w:t>
      </w:r>
      <w:r w:rsidRPr="00B52B55">
        <w:rPr>
          <w:rFonts w:cstheme="minorHAnsi"/>
          <w:color w:val="231F20"/>
          <w:w w:val="105"/>
        </w:rPr>
        <w:t xml:space="preserve"> </w:t>
      </w:r>
      <w:r w:rsidRPr="00E06806">
        <w:rPr>
          <w:rFonts w:cstheme="minorHAnsi"/>
          <w:color w:val="231F20"/>
          <w:w w:val="105"/>
        </w:rPr>
        <w:t>youth)</w:t>
      </w:r>
      <w:r w:rsidRPr="00B52B55">
        <w:rPr>
          <w:rFonts w:cstheme="minorHAnsi"/>
          <w:color w:val="231F20"/>
          <w:w w:val="105"/>
        </w:rPr>
        <w:t xml:space="preserve"> </w:t>
      </w:r>
      <w:r w:rsidRPr="00E06806">
        <w:rPr>
          <w:rFonts w:cstheme="minorHAnsi"/>
          <w:color w:val="231F20"/>
          <w:w w:val="105"/>
        </w:rPr>
        <w:t>in</w:t>
      </w:r>
      <w:r w:rsidRPr="00B52B55">
        <w:rPr>
          <w:rFonts w:cstheme="minorHAnsi"/>
          <w:color w:val="231F20"/>
          <w:w w:val="105"/>
        </w:rPr>
        <w:t xml:space="preserve"> </w:t>
      </w:r>
      <w:r w:rsidRPr="00E06806">
        <w:rPr>
          <w:rFonts w:cstheme="minorHAnsi"/>
          <w:color w:val="231F20"/>
          <w:w w:val="105"/>
        </w:rPr>
        <w:t>excess</w:t>
      </w:r>
      <w:r w:rsidRPr="00B52B55">
        <w:rPr>
          <w:rFonts w:cstheme="minorHAnsi"/>
          <w:color w:val="231F20"/>
          <w:w w:val="105"/>
        </w:rPr>
        <w:t xml:space="preserve"> </w:t>
      </w:r>
      <w:r w:rsidRPr="00E06806">
        <w:rPr>
          <w:rFonts w:cstheme="minorHAnsi"/>
          <w:color w:val="231F20"/>
          <w:w w:val="105"/>
        </w:rPr>
        <w:t>of</w:t>
      </w:r>
      <w:r w:rsidRPr="00B52B55">
        <w:rPr>
          <w:rFonts w:cstheme="minorHAnsi"/>
          <w:color w:val="231F20"/>
          <w:w w:val="105"/>
        </w:rPr>
        <w:t xml:space="preserve"> </w:t>
      </w:r>
      <w:r w:rsidRPr="00E06806">
        <w:rPr>
          <w:rFonts w:cstheme="minorHAnsi"/>
          <w:color w:val="231F20"/>
          <w:w w:val="105"/>
        </w:rPr>
        <w:t>1.25</w:t>
      </w:r>
      <w:r w:rsidRPr="00B52B55">
        <w:rPr>
          <w:rFonts w:cstheme="minorHAnsi"/>
          <w:color w:val="231F20"/>
          <w:w w:val="105"/>
        </w:rPr>
        <w:t xml:space="preserve"> </w:t>
      </w:r>
      <w:r w:rsidRPr="00E06806">
        <w:rPr>
          <w:rFonts w:cstheme="minorHAnsi"/>
          <w:color w:val="231F20"/>
          <w:w w:val="105"/>
        </w:rPr>
        <w:t>percent</w:t>
      </w:r>
      <w:r w:rsidRPr="00B52B55">
        <w:rPr>
          <w:rFonts w:cstheme="minorHAnsi"/>
          <w:color w:val="231F20"/>
          <w:w w:val="105"/>
        </w:rPr>
        <w:t xml:space="preserve"> </w:t>
      </w:r>
      <w:r w:rsidRPr="00E06806">
        <w:rPr>
          <w:rFonts w:cstheme="minorHAnsi"/>
          <w:color w:val="231F20"/>
          <w:w w:val="105"/>
        </w:rPr>
        <w:t>of</w:t>
      </w:r>
      <w:r w:rsidRPr="00B52B55">
        <w:rPr>
          <w:rFonts w:cstheme="minorHAnsi"/>
          <w:color w:val="231F20"/>
          <w:w w:val="105"/>
        </w:rPr>
        <w:t xml:space="preserve"> </w:t>
      </w:r>
      <w:r w:rsidRPr="00E06806">
        <w:rPr>
          <w:rFonts w:cstheme="minorHAnsi"/>
          <w:color w:val="231F20"/>
          <w:w w:val="105"/>
        </w:rPr>
        <w:t>the</w:t>
      </w:r>
      <w:r w:rsidRPr="00B52B55">
        <w:rPr>
          <w:rFonts w:cstheme="minorHAnsi"/>
          <w:color w:val="231F20"/>
          <w:w w:val="105"/>
        </w:rPr>
        <w:t xml:space="preserve"> </w:t>
      </w:r>
      <w:r w:rsidRPr="00E06806">
        <w:rPr>
          <w:rFonts w:cstheme="minorHAnsi"/>
          <w:color w:val="231F20"/>
          <w:w w:val="105"/>
        </w:rPr>
        <w:t>civilian</w:t>
      </w:r>
      <w:r w:rsidRPr="00B52B55">
        <w:rPr>
          <w:rFonts w:cstheme="minorHAnsi"/>
          <w:color w:val="231F20"/>
          <w:w w:val="105"/>
        </w:rPr>
        <w:t xml:space="preserve"> </w:t>
      </w:r>
      <w:r w:rsidRPr="00E06806">
        <w:rPr>
          <w:rFonts w:cstheme="minorHAnsi"/>
          <w:color w:val="231F20"/>
          <w:w w:val="105"/>
        </w:rPr>
        <w:t>labor</w:t>
      </w:r>
      <w:r w:rsidRPr="00B52B55">
        <w:rPr>
          <w:rFonts w:cstheme="minorHAnsi"/>
          <w:color w:val="231F20"/>
          <w:w w:val="105"/>
        </w:rPr>
        <w:t xml:space="preserve"> </w:t>
      </w:r>
      <w:r w:rsidRPr="00E06806">
        <w:rPr>
          <w:rFonts w:cstheme="minorHAnsi"/>
          <w:color w:val="231F20"/>
          <w:w w:val="105"/>
        </w:rPr>
        <w:t>force</w:t>
      </w:r>
      <w:r w:rsidRPr="00B52B55">
        <w:rPr>
          <w:rFonts w:cstheme="minorHAnsi"/>
          <w:color w:val="231F20"/>
          <w:w w:val="105"/>
        </w:rPr>
        <w:t xml:space="preserve"> </w:t>
      </w:r>
      <w:r w:rsidRPr="00E06806">
        <w:rPr>
          <w:rFonts w:cstheme="minorHAnsi"/>
          <w:color w:val="231F20"/>
          <w:w w:val="105"/>
        </w:rPr>
        <w:t>within the workforce</w:t>
      </w:r>
      <w:r w:rsidRPr="00B52B55">
        <w:rPr>
          <w:rFonts w:cstheme="minorHAnsi"/>
          <w:color w:val="231F20"/>
          <w:w w:val="105"/>
        </w:rPr>
        <w:t xml:space="preserve"> </w:t>
      </w:r>
      <w:r w:rsidRPr="00E06806">
        <w:rPr>
          <w:rFonts w:cstheme="minorHAnsi"/>
          <w:color w:val="231F20"/>
          <w:w w:val="105"/>
        </w:rPr>
        <w:t>region.</w:t>
      </w:r>
    </w:p>
    <w:p w14:paraId="16312B7D" w14:textId="77777777" w:rsidR="00EA7458" w:rsidRPr="00E06806" w:rsidRDefault="00EA7458" w:rsidP="00D63204">
      <w:pPr>
        <w:widowControl w:val="0"/>
        <w:spacing w:before="2" w:after="0" w:line="240" w:lineRule="auto"/>
        <w:ind w:left="107"/>
        <w:rPr>
          <w:rFonts w:cstheme="minorHAnsi"/>
          <w:sz w:val="14"/>
          <w:szCs w:val="14"/>
        </w:rPr>
      </w:pPr>
    </w:p>
    <w:p w14:paraId="71276E07" w14:textId="1EA5486B" w:rsidR="00EA7458" w:rsidRPr="00835CB8" w:rsidRDefault="00EA7458" w:rsidP="00D63204">
      <w:pPr>
        <w:widowControl w:val="0"/>
        <w:numPr>
          <w:ilvl w:val="3"/>
          <w:numId w:val="6"/>
        </w:numPr>
        <w:spacing w:before="59" w:after="0" w:line="266" w:lineRule="exact"/>
        <w:rPr>
          <w:rFonts w:cstheme="minorHAnsi"/>
          <w:color w:val="295CA3"/>
        </w:rPr>
      </w:pPr>
      <w:bookmarkStart w:id="90" w:name="_bookmark53"/>
      <w:bookmarkEnd w:id="90"/>
      <w:r w:rsidRPr="00835CB8">
        <w:rPr>
          <w:rFonts w:cstheme="minorHAnsi"/>
          <w:color w:val="295CA3"/>
          <w:w w:val="105"/>
        </w:rPr>
        <w:t xml:space="preserve">Adult and training activities in accordance with </w:t>
      </w:r>
      <w:r w:rsidRPr="00835CB8">
        <w:rPr>
          <w:rFonts w:cstheme="minorHAnsi"/>
          <w:color w:val="295CA3"/>
          <w:spacing w:val="-3"/>
          <w:w w:val="105"/>
        </w:rPr>
        <w:t xml:space="preserve">WIOA </w:t>
      </w:r>
      <w:r w:rsidRPr="00835CB8">
        <w:rPr>
          <w:rFonts w:cstheme="minorHAnsi"/>
          <w:color w:val="295CA3"/>
          <w:w w:val="105"/>
        </w:rPr>
        <w:t>section</w:t>
      </w:r>
      <w:r w:rsidR="00835CB8" w:rsidRPr="00835CB8">
        <w:rPr>
          <w:rFonts w:cstheme="minorHAnsi"/>
          <w:color w:val="295CA3"/>
          <w:w w:val="105"/>
        </w:rPr>
        <w:t xml:space="preserve"> </w:t>
      </w:r>
      <w:r w:rsidRPr="00835CB8">
        <w:rPr>
          <w:rFonts w:cstheme="minorHAnsi"/>
          <w:color w:val="295CA3"/>
          <w:w w:val="105"/>
        </w:rPr>
        <w:t>133(b)(2)</w:t>
      </w:r>
      <w:r w:rsidR="008D6512">
        <w:rPr>
          <w:rFonts w:cstheme="minorHAnsi"/>
          <w:color w:val="295CA3"/>
          <w:w w:val="105"/>
        </w:rPr>
        <w:t xml:space="preserve"> </w:t>
      </w:r>
      <w:r w:rsidRPr="00835CB8">
        <w:rPr>
          <w:rFonts w:cstheme="minorHAnsi"/>
          <w:color w:val="295CA3"/>
        </w:rPr>
        <w:t>or</w:t>
      </w:r>
      <w:r w:rsidRPr="00835CB8">
        <w:rPr>
          <w:rFonts w:cstheme="minorHAnsi"/>
          <w:color w:val="295CA3"/>
          <w:spacing w:val="-14"/>
        </w:rPr>
        <w:t xml:space="preserve"> </w:t>
      </w:r>
      <w:r w:rsidRPr="00835CB8">
        <w:rPr>
          <w:rFonts w:cstheme="minorHAnsi"/>
          <w:color w:val="295CA3"/>
        </w:rPr>
        <w:t>(b)(3)</w:t>
      </w:r>
    </w:p>
    <w:p w14:paraId="10B4EF44" w14:textId="77777777" w:rsidR="0012433B" w:rsidRPr="00E06806" w:rsidRDefault="0012433B" w:rsidP="00D63204">
      <w:pPr>
        <w:widowControl w:val="0"/>
        <w:spacing w:after="0" w:line="266" w:lineRule="exact"/>
        <w:ind w:left="107"/>
        <w:rPr>
          <w:rFonts w:cstheme="minorHAnsi"/>
          <w:color w:val="295CA3"/>
        </w:rPr>
      </w:pPr>
    </w:p>
    <w:p w14:paraId="084BCCC3" w14:textId="54FAB88C" w:rsidR="0012433B" w:rsidRPr="00E06806" w:rsidRDefault="0012433B" w:rsidP="00D63204">
      <w:pPr>
        <w:widowControl w:val="0"/>
        <w:spacing w:after="0" w:line="266" w:lineRule="exact"/>
        <w:ind w:left="2015" w:firstLine="613"/>
        <w:rPr>
          <w:rFonts w:cstheme="minorHAnsi"/>
        </w:rPr>
      </w:pPr>
      <w:r w:rsidRPr="00E06806">
        <w:rPr>
          <w:rFonts w:cstheme="minorHAnsi"/>
        </w:rPr>
        <w:t>Please see response for section III (5)(A)(i).</w:t>
      </w:r>
    </w:p>
    <w:p w14:paraId="5EFB0C23" w14:textId="77777777" w:rsidR="00EA7458" w:rsidRPr="00E06806" w:rsidRDefault="00EA7458" w:rsidP="00D63204">
      <w:pPr>
        <w:widowControl w:val="0"/>
        <w:numPr>
          <w:ilvl w:val="3"/>
          <w:numId w:val="6"/>
        </w:numPr>
        <w:tabs>
          <w:tab w:val="left" w:pos="3708"/>
        </w:tabs>
        <w:spacing w:before="193" w:after="0" w:line="264" w:lineRule="exact"/>
        <w:rPr>
          <w:rFonts w:cstheme="minorHAnsi"/>
        </w:rPr>
      </w:pPr>
      <w:r w:rsidRPr="00E06806">
        <w:rPr>
          <w:rFonts w:cstheme="minorHAnsi"/>
          <w:color w:val="295CA3"/>
          <w:w w:val="105"/>
        </w:rPr>
        <w:t>Dislocated worker employment and training activities in accordance</w:t>
      </w:r>
      <w:r w:rsidRPr="00E06806">
        <w:rPr>
          <w:rFonts w:cstheme="minorHAnsi"/>
          <w:color w:val="295CA3"/>
          <w:spacing w:val="11"/>
          <w:w w:val="105"/>
        </w:rPr>
        <w:t xml:space="preserve"> </w:t>
      </w:r>
      <w:r w:rsidRPr="00E06806">
        <w:rPr>
          <w:rFonts w:cstheme="minorHAnsi"/>
          <w:color w:val="295CA3"/>
          <w:w w:val="105"/>
        </w:rPr>
        <w:t>with</w:t>
      </w:r>
      <w:r w:rsidRPr="00E06806">
        <w:rPr>
          <w:rFonts w:cstheme="minorHAnsi"/>
          <w:color w:val="295CA3"/>
        </w:rPr>
        <w:t xml:space="preserve"> </w:t>
      </w:r>
      <w:r w:rsidRPr="00E06806">
        <w:rPr>
          <w:rFonts w:cstheme="minorHAnsi"/>
          <w:color w:val="295CA3"/>
          <w:spacing w:val="-3"/>
          <w:w w:val="105"/>
        </w:rPr>
        <w:t xml:space="preserve">WIOA </w:t>
      </w:r>
      <w:r w:rsidRPr="00E06806">
        <w:rPr>
          <w:rFonts w:cstheme="minorHAnsi"/>
          <w:color w:val="295CA3"/>
          <w:w w:val="105"/>
        </w:rPr>
        <w:t>section 133(b)(2) and based on data and weights</w:t>
      </w:r>
      <w:r w:rsidRPr="00E06806">
        <w:rPr>
          <w:rFonts w:cstheme="minorHAnsi"/>
          <w:color w:val="295CA3"/>
          <w:spacing w:val="29"/>
          <w:w w:val="105"/>
        </w:rPr>
        <w:t xml:space="preserve"> </w:t>
      </w:r>
      <w:r w:rsidRPr="00E06806">
        <w:rPr>
          <w:rFonts w:cstheme="minorHAnsi"/>
          <w:color w:val="295CA3"/>
          <w:w w:val="105"/>
        </w:rPr>
        <w:t>assigned</w:t>
      </w:r>
    </w:p>
    <w:p w14:paraId="600D7680" w14:textId="77777777" w:rsidR="00EA7458" w:rsidRPr="00E06806" w:rsidRDefault="00EA7458" w:rsidP="00D63204">
      <w:pPr>
        <w:widowControl w:val="0"/>
        <w:spacing w:before="5" w:after="0" w:line="240" w:lineRule="auto"/>
        <w:ind w:left="107"/>
        <w:rPr>
          <w:rFonts w:cstheme="minorHAnsi"/>
          <w:sz w:val="16"/>
          <w:szCs w:val="16"/>
        </w:rPr>
      </w:pPr>
    </w:p>
    <w:p w14:paraId="7F87F9E4" w14:textId="77777777" w:rsidR="00EA7458" w:rsidRPr="00E06806" w:rsidRDefault="00EA7458" w:rsidP="00D63204">
      <w:pPr>
        <w:widowControl w:val="0"/>
        <w:spacing w:after="0" w:line="264" w:lineRule="exact"/>
        <w:ind w:left="107"/>
        <w:rPr>
          <w:rFonts w:cstheme="minorHAnsi"/>
        </w:rPr>
      </w:pPr>
      <w:r w:rsidRPr="00E06806">
        <w:rPr>
          <w:rFonts w:cstheme="minorHAnsi"/>
          <w:w w:val="105"/>
        </w:rPr>
        <w:t>Florida uses the following four factors (with relative weight of each factor noted) in determining</w:t>
      </w:r>
      <w:r w:rsidRPr="00E06806">
        <w:rPr>
          <w:rFonts w:cstheme="minorHAnsi"/>
          <w:spacing w:val="35"/>
          <w:w w:val="105"/>
        </w:rPr>
        <w:t xml:space="preserve"> </w:t>
      </w:r>
      <w:r w:rsidRPr="00E06806">
        <w:rPr>
          <w:rFonts w:cstheme="minorHAnsi"/>
          <w:w w:val="105"/>
        </w:rPr>
        <w:t xml:space="preserve">allocation percentages used to distribute Dislocated Worker funding to the 24 </w:t>
      </w:r>
      <w:r w:rsidRPr="00E06806">
        <w:rPr>
          <w:rFonts w:cstheme="minorHAnsi"/>
          <w:spacing w:val="-3"/>
          <w:w w:val="105"/>
        </w:rPr>
        <w:t>LWDBs:</w:t>
      </w:r>
    </w:p>
    <w:p w14:paraId="1E8AA787" w14:textId="77777777" w:rsidR="00EA7458" w:rsidRPr="00E06806" w:rsidRDefault="00EA7458" w:rsidP="00D63204">
      <w:pPr>
        <w:widowControl w:val="0"/>
        <w:spacing w:before="6" w:after="0" w:line="240" w:lineRule="auto"/>
        <w:ind w:left="107"/>
        <w:rPr>
          <w:rFonts w:cstheme="minorHAnsi"/>
          <w:sz w:val="16"/>
          <w:szCs w:val="16"/>
        </w:rPr>
      </w:pPr>
    </w:p>
    <w:p w14:paraId="484997B8" w14:textId="37CEBEFE" w:rsidR="00EA7458" w:rsidRPr="00E06806" w:rsidRDefault="00EA7458" w:rsidP="00D63204">
      <w:pPr>
        <w:widowControl w:val="0"/>
        <w:spacing w:after="0" w:line="266" w:lineRule="exact"/>
        <w:ind w:left="107"/>
        <w:outlineLvl w:val="2"/>
        <w:rPr>
          <w:rFonts w:cstheme="minorHAnsi"/>
        </w:rPr>
      </w:pPr>
      <w:r w:rsidRPr="00E06806">
        <w:rPr>
          <w:rFonts w:cstheme="minorHAnsi"/>
          <w:b/>
          <w:bCs/>
          <w:w w:val="110"/>
        </w:rPr>
        <w:t>Figure</w:t>
      </w:r>
      <w:r w:rsidRPr="00E06806">
        <w:rPr>
          <w:rFonts w:cstheme="minorHAnsi"/>
          <w:b/>
          <w:bCs/>
          <w:spacing w:val="-5"/>
          <w:w w:val="110"/>
        </w:rPr>
        <w:t xml:space="preserve"> </w:t>
      </w:r>
      <w:r w:rsidR="00F25BED" w:rsidRPr="00E06806">
        <w:rPr>
          <w:rFonts w:cstheme="minorHAnsi"/>
          <w:b/>
          <w:bCs/>
          <w:spacing w:val="-6"/>
          <w:w w:val="110"/>
        </w:rPr>
        <w:t>3.1</w:t>
      </w:r>
      <w:r w:rsidR="00835CB8">
        <w:rPr>
          <w:rFonts w:cstheme="minorHAnsi"/>
          <w:b/>
          <w:bCs/>
          <w:spacing w:val="-6"/>
          <w:w w:val="110"/>
        </w:rPr>
        <w:t>8</w:t>
      </w:r>
    </w:p>
    <w:p w14:paraId="4A4E5817" w14:textId="77777777" w:rsidR="00EA7458" w:rsidRPr="00E06806" w:rsidRDefault="00EA7458" w:rsidP="00D63204">
      <w:pPr>
        <w:widowControl w:val="0"/>
        <w:spacing w:after="0" w:line="266" w:lineRule="exact"/>
        <w:ind w:left="107"/>
        <w:rPr>
          <w:rFonts w:cstheme="minorHAnsi"/>
        </w:rPr>
      </w:pPr>
      <w:r w:rsidRPr="00E06806">
        <w:rPr>
          <w:rFonts w:cstheme="minorHAnsi"/>
          <w:b/>
          <w:w w:val="110"/>
        </w:rPr>
        <w:t>Distribution</w:t>
      </w:r>
      <w:r w:rsidRPr="00E06806">
        <w:rPr>
          <w:rFonts w:cstheme="minorHAnsi"/>
          <w:b/>
          <w:spacing w:val="-10"/>
          <w:w w:val="110"/>
        </w:rPr>
        <w:t xml:space="preserve"> </w:t>
      </w:r>
      <w:r w:rsidRPr="00E06806">
        <w:rPr>
          <w:rFonts w:cstheme="minorHAnsi"/>
          <w:b/>
          <w:w w:val="110"/>
        </w:rPr>
        <w:t>of</w:t>
      </w:r>
      <w:r w:rsidRPr="00E06806">
        <w:rPr>
          <w:rFonts w:cstheme="minorHAnsi"/>
          <w:b/>
          <w:spacing w:val="-10"/>
          <w:w w:val="110"/>
        </w:rPr>
        <w:t xml:space="preserve"> </w:t>
      </w:r>
      <w:r w:rsidRPr="00E06806">
        <w:rPr>
          <w:rFonts w:cstheme="minorHAnsi"/>
          <w:b/>
          <w:w w:val="110"/>
        </w:rPr>
        <w:t>Dislocated</w:t>
      </w:r>
      <w:r w:rsidRPr="00E06806">
        <w:rPr>
          <w:rFonts w:cstheme="minorHAnsi"/>
          <w:b/>
          <w:spacing w:val="-10"/>
          <w:w w:val="110"/>
        </w:rPr>
        <w:t xml:space="preserve"> </w:t>
      </w:r>
      <w:r w:rsidRPr="00E06806">
        <w:rPr>
          <w:rFonts w:cstheme="minorHAnsi"/>
          <w:b/>
          <w:w w:val="110"/>
        </w:rPr>
        <w:t>Worker</w:t>
      </w:r>
      <w:r w:rsidRPr="00E06806">
        <w:rPr>
          <w:rFonts w:cstheme="minorHAnsi"/>
          <w:b/>
          <w:spacing w:val="-10"/>
          <w:w w:val="110"/>
        </w:rPr>
        <w:t xml:space="preserve"> </w:t>
      </w:r>
      <w:r w:rsidRPr="00E06806">
        <w:rPr>
          <w:rFonts w:cstheme="minorHAnsi"/>
          <w:b/>
          <w:w w:val="110"/>
        </w:rPr>
        <w:t>Funding</w:t>
      </w:r>
      <w:r w:rsidRPr="00E06806">
        <w:rPr>
          <w:rFonts w:cstheme="minorHAnsi"/>
          <w:b/>
          <w:spacing w:val="-10"/>
          <w:w w:val="110"/>
        </w:rPr>
        <w:t xml:space="preserve"> </w:t>
      </w:r>
      <w:r w:rsidRPr="00E06806">
        <w:rPr>
          <w:rFonts w:cstheme="minorHAnsi"/>
          <w:b/>
          <w:w w:val="110"/>
        </w:rPr>
        <w:t>Percentages</w:t>
      </w:r>
    </w:p>
    <w:p w14:paraId="3A9659ED" w14:textId="77777777" w:rsidR="00EA7458" w:rsidRPr="00E06806" w:rsidRDefault="00EA7458" w:rsidP="00D63204">
      <w:pPr>
        <w:widowControl w:val="0"/>
        <w:spacing w:before="1" w:after="0" w:line="240" w:lineRule="auto"/>
        <w:ind w:left="107"/>
        <w:rPr>
          <w:rFonts w:cstheme="minorHAnsi"/>
          <w:b/>
          <w:bCs/>
          <w:sz w:val="18"/>
          <w:szCs w:val="18"/>
        </w:rPr>
      </w:pPr>
    </w:p>
    <w:tbl>
      <w:tblPr>
        <w:tblW w:w="0" w:type="auto"/>
        <w:jc w:val="center"/>
        <w:tblLayout w:type="fixed"/>
        <w:tblCellMar>
          <w:left w:w="0" w:type="dxa"/>
          <w:right w:w="0" w:type="dxa"/>
        </w:tblCellMar>
        <w:tblLook w:val="01E0" w:firstRow="1" w:lastRow="1" w:firstColumn="1" w:lastColumn="1" w:noHBand="0" w:noVBand="0"/>
      </w:tblPr>
      <w:tblGrid>
        <w:gridCol w:w="7154"/>
        <w:gridCol w:w="2996"/>
      </w:tblGrid>
      <w:tr w:rsidR="00EA7458" w:rsidRPr="00E06806" w14:paraId="2A0C7B61" w14:textId="77777777" w:rsidTr="007872A2">
        <w:trPr>
          <w:trHeight w:hRule="exact" w:val="588"/>
          <w:jc w:val="center"/>
        </w:trPr>
        <w:tc>
          <w:tcPr>
            <w:tcW w:w="7154" w:type="dxa"/>
            <w:tcBorders>
              <w:top w:val="single" w:sz="2" w:space="0" w:color="231F20"/>
              <w:left w:val="single" w:sz="2" w:space="0" w:color="231F20"/>
              <w:bottom w:val="single" w:sz="2" w:space="0" w:color="231F20"/>
              <w:right w:val="single" w:sz="2" w:space="0" w:color="231F20"/>
            </w:tcBorders>
          </w:tcPr>
          <w:p w14:paraId="35049E55" w14:textId="77777777" w:rsidR="00EA7458" w:rsidRPr="00E06806" w:rsidRDefault="00EA7458" w:rsidP="00D63204">
            <w:pPr>
              <w:widowControl w:val="0"/>
              <w:spacing w:before="169" w:after="0" w:line="240" w:lineRule="auto"/>
              <w:ind w:left="107"/>
              <w:rPr>
                <w:rFonts w:cstheme="minorHAnsi"/>
              </w:rPr>
            </w:pPr>
            <w:r w:rsidRPr="00E06806">
              <w:rPr>
                <w:rFonts w:cstheme="minorHAnsi"/>
                <w:b/>
                <w:w w:val="110"/>
              </w:rPr>
              <w:t>Factor</w:t>
            </w:r>
          </w:p>
        </w:tc>
        <w:tc>
          <w:tcPr>
            <w:tcW w:w="2996" w:type="dxa"/>
            <w:tcBorders>
              <w:top w:val="single" w:sz="2" w:space="0" w:color="231F20"/>
              <w:left w:val="single" w:sz="2" w:space="0" w:color="231F20"/>
              <w:bottom w:val="single" w:sz="2" w:space="0" w:color="231F20"/>
              <w:right w:val="single" w:sz="2" w:space="0" w:color="231F20"/>
            </w:tcBorders>
          </w:tcPr>
          <w:p w14:paraId="0D3AF66D" w14:textId="77777777" w:rsidR="00EA7458" w:rsidRPr="00E06806" w:rsidRDefault="00EA7458" w:rsidP="00D63204">
            <w:pPr>
              <w:widowControl w:val="0"/>
              <w:spacing w:before="169" w:after="0" w:line="240" w:lineRule="auto"/>
              <w:ind w:left="107"/>
              <w:rPr>
                <w:rFonts w:cstheme="minorHAnsi"/>
              </w:rPr>
            </w:pPr>
            <w:r w:rsidRPr="00E06806">
              <w:rPr>
                <w:rFonts w:cstheme="minorHAnsi"/>
                <w:b/>
                <w:spacing w:val="-2"/>
                <w:w w:val="105"/>
              </w:rPr>
              <w:t>Weight</w:t>
            </w:r>
          </w:p>
        </w:tc>
      </w:tr>
      <w:tr w:rsidR="00EA7458" w:rsidRPr="00E06806" w14:paraId="2F63FDEC" w14:textId="77777777" w:rsidTr="007872A2">
        <w:trPr>
          <w:trHeight w:hRule="exact" w:val="334"/>
          <w:jc w:val="center"/>
        </w:trPr>
        <w:tc>
          <w:tcPr>
            <w:tcW w:w="7154" w:type="dxa"/>
            <w:tcBorders>
              <w:top w:val="single" w:sz="2" w:space="0" w:color="231F20"/>
              <w:left w:val="single" w:sz="2" w:space="0" w:color="231F20"/>
              <w:bottom w:val="single" w:sz="2" w:space="0" w:color="231F20"/>
              <w:right w:val="single" w:sz="2" w:space="0" w:color="231F20"/>
            </w:tcBorders>
            <w:shd w:val="clear" w:color="auto" w:fill="E6E7E8"/>
          </w:tcPr>
          <w:p w14:paraId="3BE61287" w14:textId="47FEB796" w:rsidR="00EA7458" w:rsidRPr="00E06806" w:rsidRDefault="00EA7458" w:rsidP="00D63204">
            <w:pPr>
              <w:widowControl w:val="0"/>
              <w:spacing w:before="42" w:after="0" w:line="240" w:lineRule="auto"/>
              <w:ind w:left="107"/>
              <w:rPr>
                <w:rFonts w:cstheme="minorHAnsi"/>
              </w:rPr>
            </w:pPr>
            <w:r w:rsidRPr="00E06806">
              <w:rPr>
                <w:rFonts w:cstheme="minorHAnsi"/>
                <w:w w:val="105"/>
              </w:rPr>
              <w:t>12-month average of reemployment assistance claimants</w:t>
            </w:r>
          </w:p>
        </w:tc>
        <w:tc>
          <w:tcPr>
            <w:tcW w:w="2996" w:type="dxa"/>
            <w:tcBorders>
              <w:top w:val="single" w:sz="2" w:space="0" w:color="231F20"/>
              <w:left w:val="single" w:sz="2" w:space="0" w:color="231F20"/>
              <w:bottom w:val="single" w:sz="2" w:space="0" w:color="231F20"/>
              <w:right w:val="single" w:sz="2" w:space="0" w:color="231F20"/>
            </w:tcBorders>
            <w:shd w:val="clear" w:color="auto" w:fill="E6E7E8"/>
          </w:tcPr>
          <w:p w14:paraId="04619A2A" w14:textId="77777777" w:rsidR="00EA7458" w:rsidRPr="00E06806" w:rsidRDefault="00EA7458" w:rsidP="00D63204">
            <w:pPr>
              <w:widowControl w:val="0"/>
              <w:spacing w:before="42" w:after="0" w:line="240" w:lineRule="auto"/>
              <w:ind w:left="107"/>
              <w:rPr>
                <w:rFonts w:cstheme="minorHAnsi"/>
              </w:rPr>
            </w:pPr>
            <w:r w:rsidRPr="00E06806">
              <w:rPr>
                <w:rFonts w:cstheme="minorHAnsi"/>
                <w:w w:val="110"/>
              </w:rPr>
              <w:t>20%</w:t>
            </w:r>
          </w:p>
        </w:tc>
      </w:tr>
      <w:tr w:rsidR="00EA7458" w:rsidRPr="00E06806" w14:paraId="569EF2F5" w14:textId="77777777" w:rsidTr="007872A2">
        <w:trPr>
          <w:trHeight w:hRule="exact" w:val="334"/>
          <w:jc w:val="center"/>
        </w:trPr>
        <w:tc>
          <w:tcPr>
            <w:tcW w:w="7154" w:type="dxa"/>
            <w:tcBorders>
              <w:top w:val="single" w:sz="2" w:space="0" w:color="231F20"/>
              <w:left w:val="single" w:sz="2" w:space="0" w:color="231F20"/>
              <w:bottom w:val="single" w:sz="2" w:space="0" w:color="231F20"/>
              <w:right w:val="single" w:sz="2" w:space="0" w:color="231F20"/>
            </w:tcBorders>
          </w:tcPr>
          <w:p w14:paraId="2A111736" w14:textId="77777777" w:rsidR="00EA7458" w:rsidRPr="00E06806" w:rsidRDefault="00EA7458" w:rsidP="00D63204">
            <w:pPr>
              <w:widowControl w:val="0"/>
              <w:spacing w:before="42" w:after="0" w:line="240" w:lineRule="auto"/>
              <w:ind w:left="107"/>
              <w:rPr>
                <w:rFonts w:cstheme="minorHAnsi"/>
              </w:rPr>
            </w:pPr>
            <w:r w:rsidRPr="00E06806">
              <w:rPr>
                <w:rFonts w:cstheme="minorHAnsi"/>
                <w:w w:val="105"/>
              </w:rPr>
              <w:t>12-month average of unemployed</w:t>
            </w:r>
            <w:r w:rsidRPr="00E06806">
              <w:rPr>
                <w:rFonts w:cstheme="minorHAnsi"/>
                <w:spacing w:val="46"/>
                <w:w w:val="105"/>
              </w:rPr>
              <w:t xml:space="preserve"> </w:t>
            </w:r>
            <w:r w:rsidRPr="00E06806">
              <w:rPr>
                <w:rFonts w:cstheme="minorHAnsi"/>
                <w:w w:val="105"/>
              </w:rPr>
              <w:t>individuals</w:t>
            </w:r>
          </w:p>
        </w:tc>
        <w:tc>
          <w:tcPr>
            <w:tcW w:w="2996" w:type="dxa"/>
            <w:tcBorders>
              <w:top w:val="single" w:sz="2" w:space="0" w:color="231F20"/>
              <w:left w:val="single" w:sz="2" w:space="0" w:color="231F20"/>
              <w:bottom w:val="single" w:sz="2" w:space="0" w:color="231F20"/>
              <w:right w:val="single" w:sz="2" w:space="0" w:color="231F20"/>
            </w:tcBorders>
          </w:tcPr>
          <w:p w14:paraId="6CB4293D" w14:textId="77777777" w:rsidR="00EA7458" w:rsidRPr="00E06806" w:rsidRDefault="00EA7458" w:rsidP="00D63204">
            <w:pPr>
              <w:widowControl w:val="0"/>
              <w:spacing w:before="42" w:after="0" w:line="240" w:lineRule="auto"/>
              <w:ind w:left="107"/>
              <w:rPr>
                <w:rFonts w:cstheme="minorHAnsi"/>
              </w:rPr>
            </w:pPr>
            <w:r w:rsidRPr="00E06806">
              <w:rPr>
                <w:rFonts w:cstheme="minorHAnsi"/>
                <w:w w:val="110"/>
              </w:rPr>
              <w:t>25%</w:t>
            </w:r>
          </w:p>
        </w:tc>
      </w:tr>
      <w:tr w:rsidR="00EA7458" w:rsidRPr="00E06806" w14:paraId="001E65CB" w14:textId="77777777" w:rsidTr="007872A2">
        <w:trPr>
          <w:trHeight w:hRule="exact" w:val="334"/>
          <w:jc w:val="center"/>
        </w:trPr>
        <w:tc>
          <w:tcPr>
            <w:tcW w:w="7154" w:type="dxa"/>
            <w:tcBorders>
              <w:top w:val="single" w:sz="2" w:space="0" w:color="231F20"/>
              <w:left w:val="single" w:sz="2" w:space="0" w:color="231F20"/>
              <w:bottom w:val="single" w:sz="2" w:space="0" w:color="231F20"/>
              <w:right w:val="single" w:sz="2" w:space="0" w:color="231F20"/>
            </w:tcBorders>
            <w:shd w:val="clear" w:color="auto" w:fill="E6E7E8"/>
          </w:tcPr>
          <w:p w14:paraId="2ADB8D21" w14:textId="77777777" w:rsidR="00EA7458" w:rsidRPr="00E06806" w:rsidRDefault="00EA7458" w:rsidP="00D63204">
            <w:pPr>
              <w:widowControl w:val="0"/>
              <w:spacing w:before="42" w:after="0" w:line="240" w:lineRule="auto"/>
              <w:ind w:left="107"/>
              <w:rPr>
                <w:rFonts w:cstheme="minorHAnsi"/>
              </w:rPr>
            </w:pPr>
            <w:r w:rsidRPr="00E06806">
              <w:rPr>
                <w:rFonts w:cstheme="minorHAnsi"/>
                <w:w w:val="105"/>
              </w:rPr>
              <w:t>Mass Layoff Statistics (number of initial</w:t>
            </w:r>
            <w:r w:rsidRPr="00E06806">
              <w:rPr>
                <w:rFonts w:cstheme="minorHAnsi"/>
                <w:spacing w:val="16"/>
                <w:w w:val="105"/>
              </w:rPr>
              <w:t xml:space="preserve"> </w:t>
            </w:r>
            <w:r w:rsidRPr="00E06806">
              <w:rPr>
                <w:rFonts w:cstheme="minorHAnsi"/>
                <w:w w:val="105"/>
              </w:rPr>
              <w:t>claims)</w:t>
            </w:r>
          </w:p>
        </w:tc>
        <w:tc>
          <w:tcPr>
            <w:tcW w:w="2996" w:type="dxa"/>
            <w:tcBorders>
              <w:top w:val="single" w:sz="2" w:space="0" w:color="231F20"/>
              <w:left w:val="single" w:sz="2" w:space="0" w:color="231F20"/>
              <w:bottom w:val="single" w:sz="2" w:space="0" w:color="231F20"/>
              <w:right w:val="single" w:sz="2" w:space="0" w:color="231F20"/>
            </w:tcBorders>
            <w:shd w:val="clear" w:color="auto" w:fill="E6E7E8"/>
          </w:tcPr>
          <w:p w14:paraId="43C1E296" w14:textId="77777777" w:rsidR="00EA7458" w:rsidRPr="00E06806" w:rsidRDefault="00EA7458" w:rsidP="00D63204">
            <w:pPr>
              <w:widowControl w:val="0"/>
              <w:spacing w:before="42" w:after="0" w:line="240" w:lineRule="auto"/>
              <w:ind w:left="107"/>
              <w:rPr>
                <w:rFonts w:cstheme="minorHAnsi"/>
              </w:rPr>
            </w:pPr>
            <w:r w:rsidRPr="00E06806">
              <w:rPr>
                <w:rFonts w:cstheme="minorHAnsi"/>
                <w:w w:val="110"/>
              </w:rPr>
              <w:t>25%</w:t>
            </w:r>
          </w:p>
        </w:tc>
      </w:tr>
      <w:tr w:rsidR="00EA7458" w:rsidRPr="00E06806" w14:paraId="73389432" w14:textId="77777777" w:rsidTr="007872A2">
        <w:trPr>
          <w:trHeight w:hRule="exact" w:val="598"/>
          <w:jc w:val="center"/>
        </w:trPr>
        <w:tc>
          <w:tcPr>
            <w:tcW w:w="7154" w:type="dxa"/>
            <w:tcBorders>
              <w:top w:val="single" w:sz="2" w:space="0" w:color="231F20"/>
              <w:left w:val="single" w:sz="2" w:space="0" w:color="231F20"/>
              <w:bottom w:val="single" w:sz="2" w:space="0" w:color="231F20"/>
              <w:right w:val="single" w:sz="2" w:space="0" w:color="231F20"/>
            </w:tcBorders>
          </w:tcPr>
          <w:p w14:paraId="2933D34C" w14:textId="77777777" w:rsidR="00EA7458" w:rsidRPr="00E06806" w:rsidRDefault="00EA7458" w:rsidP="00D63204">
            <w:pPr>
              <w:widowControl w:val="0"/>
              <w:spacing w:before="42" w:after="0" w:line="266" w:lineRule="exact"/>
              <w:ind w:left="107"/>
              <w:rPr>
                <w:rFonts w:cstheme="minorHAnsi"/>
              </w:rPr>
            </w:pPr>
            <w:r w:rsidRPr="00E06806">
              <w:rPr>
                <w:rFonts w:cstheme="minorHAnsi"/>
                <w:spacing w:val="-4"/>
                <w:w w:val="110"/>
              </w:rPr>
              <w:t>Long-Term</w:t>
            </w:r>
            <w:r w:rsidRPr="00E06806">
              <w:rPr>
                <w:rFonts w:cstheme="minorHAnsi"/>
                <w:spacing w:val="-30"/>
                <w:w w:val="110"/>
              </w:rPr>
              <w:t xml:space="preserve"> </w:t>
            </w:r>
            <w:r w:rsidRPr="00E06806">
              <w:rPr>
                <w:rFonts w:cstheme="minorHAnsi"/>
                <w:w w:val="110"/>
              </w:rPr>
              <w:t>Unemployed</w:t>
            </w:r>
          </w:p>
          <w:p w14:paraId="443DC714" w14:textId="77777777" w:rsidR="00EA7458" w:rsidRPr="00E06806" w:rsidRDefault="00EA7458" w:rsidP="00D63204">
            <w:pPr>
              <w:widowControl w:val="0"/>
              <w:spacing w:after="0" w:line="266" w:lineRule="exact"/>
              <w:ind w:left="107"/>
              <w:rPr>
                <w:rFonts w:cstheme="minorHAnsi"/>
              </w:rPr>
            </w:pPr>
            <w:r w:rsidRPr="00E06806">
              <w:rPr>
                <w:rFonts w:cstheme="minorHAnsi"/>
                <w:w w:val="105"/>
              </w:rPr>
              <w:t>(12-month average unemployment compensation Final</w:t>
            </w:r>
            <w:r w:rsidRPr="00E06806">
              <w:rPr>
                <w:rFonts w:cstheme="minorHAnsi"/>
                <w:spacing w:val="36"/>
                <w:w w:val="105"/>
              </w:rPr>
              <w:t xml:space="preserve"> </w:t>
            </w:r>
            <w:r w:rsidRPr="00E06806">
              <w:rPr>
                <w:rFonts w:cstheme="minorHAnsi"/>
                <w:w w:val="105"/>
              </w:rPr>
              <w:t>Payments)</w:t>
            </w:r>
          </w:p>
        </w:tc>
        <w:tc>
          <w:tcPr>
            <w:tcW w:w="2996" w:type="dxa"/>
            <w:tcBorders>
              <w:top w:val="single" w:sz="2" w:space="0" w:color="231F20"/>
              <w:left w:val="single" w:sz="2" w:space="0" w:color="231F20"/>
              <w:bottom w:val="single" w:sz="2" w:space="0" w:color="231F20"/>
              <w:right w:val="single" w:sz="2" w:space="0" w:color="231F20"/>
            </w:tcBorders>
          </w:tcPr>
          <w:p w14:paraId="110B2289" w14:textId="77777777" w:rsidR="00EA7458" w:rsidRPr="00E06806" w:rsidRDefault="00EA7458" w:rsidP="00D63204">
            <w:pPr>
              <w:widowControl w:val="0"/>
              <w:spacing w:before="174" w:after="0" w:line="240" w:lineRule="auto"/>
              <w:ind w:left="107"/>
              <w:rPr>
                <w:rFonts w:cstheme="minorHAnsi"/>
              </w:rPr>
            </w:pPr>
            <w:r w:rsidRPr="00E06806">
              <w:rPr>
                <w:rFonts w:cstheme="minorHAnsi"/>
                <w:w w:val="105"/>
              </w:rPr>
              <w:t>30%</w:t>
            </w:r>
          </w:p>
        </w:tc>
      </w:tr>
    </w:tbl>
    <w:p w14:paraId="5C9A255E" w14:textId="77777777" w:rsidR="00EA7458" w:rsidRPr="00E06806" w:rsidRDefault="00EA7458" w:rsidP="00D63204">
      <w:pPr>
        <w:widowControl w:val="0"/>
        <w:spacing w:before="5" w:after="0" w:line="240" w:lineRule="auto"/>
        <w:ind w:left="107"/>
        <w:rPr>
          <w:rFonts w:cstheme="minorHAnsi"/>
          <w:b/>
          <w:bCs/>
          <w:sz w:val="9"/>
          <w:szCs w:val="9"/>
        </w:rPr>
      </w:pPr>
    </w:p>
    <w:p w14:paraId="209873DF" w14:textId="1A60D426" w:rsidR="00EA7458" w:rsidRPr="00E06806" w:rsidRDefault="00EA7458" w:rsidP="00D63204">
      <w:pPr>
        <w:widowControl w:val="0"/>
        <w:spacing w:before="59" w:after="0" w:line="240" w:lineRule="auto"/>
        <w:ind w:left="107"/>
        <w:rPr>
          <w:rFonts w:cstheme="minorHAnsi"/>
        </w:rPr>
      </w:pPr>
      <w:r w:rsidRPr="00E06806">
        <w:rPr>
          <w:rFonts w:cstheme="minorHAnsi"/>
          <w:w w:val="105"/>
        </w:rPr>
        <w:t xml:space="preserve">Note: All factors are based on the most recent calendar year </w:t>
      </w:r>
      <w:r w:rsidR="00ED5E0F" w:rsidRPr="00E06806">
        <w:rPr>
          <w:rFonts w:cstheme="minorHAnsi"/>
          <w:w w:val="105"/>
        </w:rPr>
        <w:t xml:space="preserve">data </w:t>
      </w:r>
      <w:r w:rsidRPr="00E06806">
        <w:rPr>
          <w:rFonts w:cstheme="minorHAnsi"/>
          <w:w w:val="105"/>
        </w:rPr>
        <w:t>available.</w:t>
      </w:r>
    </w:p>
    <w:p w14:paraId="13A1FAFF" w14:textId="2A7E773A" w:rsidR="00EA7458" w:rsidRPr="00E06806" w:rsidRDefault="00EA7458" w:rsidP="00D63204">
      <w:pPr>
        <w:widowControl w:val="0"/>
        <w:spacing w:before="193" w:after="0" w:line="264" w:lineRule="exact"/>
        <w:ind w:left="107"/>
        <w:rPr>
          <w:rFonts w:cstheme="minorHAnsi"/>
        </w:rPr>
      </w:pPr>
      <w:r w:rsidRPr="00E06806">
        <w:rPr>
          <w:rFonts w:cstheme="minorHAnsi"/>
          <w:w w:val="105"/>
        </w:rPr>
        <w:lastRenderedPageBreak/>
        <w:t>For</w:t>
      </w:r>
      <w:r w:rsidRPr="00E06806">
        <w:rPr>
          <w:rFonts w:cstheme="minorHAnsi"/>
          <w:spacing w:val="12"/>
          <w:w w:val="105"/>
        </w:rPr>
        <w:t xml:space="preserve"> </w:t>
      </w:r>
      <w:r w:rsidRPr="00E06806">
        <w:rPr>
          <w:rFonts w:cstheme="minorHAnsi"/>
          <w:w w:val="105"/>
        </w:rPr>
        <w:t>each</w:t>
      </w:r>
      <w:r w:rsidRPr="00E06806">
        <w:rPr>
          <w:rFonts w:cstheme="minorHAnsi"/>
          <w:spacing w:val="12"/>
          <w:w w:val="105"/>
        </w:rPr>
        <w:t xml:space="preserve"> </w:t>
      </w:r>
      <w:r w:rsidRPr="00E06806">
        <w:rPr>
          <w:rFonts w:cstheme="minorHAnsi"/>
          <w:w w:val="105"/>
        </w:rPr>
        <w:t>of</w:t>
      </w:r>
      <w:r w:rsidRPr="00E06806">
        <w:rPr>
          <w:rFonts w:cstheme="minorHAnsi"/>
          <w:spacing w:val="12"/>
          <w:w w:val="105"/>
        </w:rPr>
        <w:t xml:space="preserve"> </w:t>
      </w:r>
      <w:r w:rsidRPr="00E06806">
        <w:rPr>
          <w:rFonts w:cstheme="minorHAnsi"/>
          <w:w w:val="105"/>
        </w:rPr>
        <w:t>these</w:t>
      </w:r>
      <w:r w:rsidRPr="00E06806">
        <w:rPr>
          <w:rFonts w:cstheme="minorHAnsi"/>
          <w:spacing w:val="12"/>
          <w:w w:val="105"/>
        </w:rPr>
        <w:t xml:space="preserve"> </w:t>
      </w:r>
      <w:r w:rsidRPr="00E06806">
        <w:rPr>
          <w:rFonts w:cstheme="minorHAnsi"/>
          <w:w w:val="105"/>
        </w:rPr>
        <w:t>four</w:t>
      </w:r>
      <w:r w:rsidRPr="00E06806">
        <w:rPr>
          <w:rFonts w:cstheme="minorHAnsi"/>
          <w:spacing w:val="12"/>
          <w:w w:val="105"/>
        </w:rPr>
        <w:t xml:space="preserve"> </w:t>
      </w:r>
      <w:r w:rsidRPr="00E06806">
        <w:rPr>
          <w:rFonts w:cstheme="minorHAnsi"/>
          <w:w w:val="105"/>
        </w:rPr>
        <w:t>factors,</w:t>
      </w:r>
      <w:r w:rsidRPr="00E06806">
        <w:rPr>
          <w:rFonts w:cstheme="minorHAnsi"/>
          <w:spacing w:val="12"/>
          <w:w w:val="105"/>
        </w:rPr>
        <w:t xml:space="preserve"> </w:t>
      </w:r>
      <w:r w:rsidRPr="00E06806">
        <w:rPr>
          <w:rFonts w:cstheme="minorHAnsi"/>
          <w:w w:val="105"/>
        </w:rPr>
        <w:t>relative</w:t>
      </w:r>
      <w:r w:rsidRPr="00E06806">
        <w:rPr>
          <w:rFonts w:cstheme="minorHAnsi"/>
          <w:spacing w:val="12"/>
          <w:w w:val="105"/>
        </w:rPr>
        <w:t xml:space="preserve"> </w:t>
      </w:r>
      <w:r w:rsidRPr="00E06806">
        <w:rPr>
          <w:rFonts w:cstheme="minorHAnsi"/>
          <w:w w:val="105"/>
        </w:rPr>
        <w:t>percentages</w:t>
      </w:r>
      <w:r w:rsidRPr="00E06806">
        <w:rPr>
          <w:rFonts w:cstheme="minorHAnsi"/>
          <w:spacing w:val="12"/>
          <w:w w:val="105"/>
        </w:rPr>
        <w:t xml:space="preserve"> </w:t>
      </w:r>
      <w:r w:rsidRPr="00E06806">
        <w:rPr>
          <w:rFonts w:cstheme="minorHAnsi"/>
          <w:w w:val="105"/>
        </w:rPr>
        <w:t>are</w:t>
      </w:r>
      <w:r w:rsidRPr="00E06806">
        <w:rPr>
          <w:rFonts w:cstheme="minorHAnsi"/>
          <w:spacing w:val="12"/>
          <w:w w:val="105"/>
        </w:rPr>
        <w:t xml:space="preserve"> </w:t>
      </w:r>
      <w:r w:rsidRPr="00E06806">
        <w:rPr>
          <w:rFonts w:cstheme="minorHAnsi"/>
          <w:w w:val="105"/>
        </w:rPr>
        <w:t>calculated</w:t>
      </w:r>
      <w:r w:rsidRPr="00E06806">
        <w:rPr>
          <w:rFonts w:cstheme="minorHAnsi"/>
          <w:spacing w:val="12"/>
          <w:w w:val="105"/>
        </w:rPr>
        <w:t xml:space="preserve"> </w:t>
      </w:r>
      <w:r w:rsidRPr="00E06806">
        <w:rPr>
          <w:rFonts w:cstheme="minorHAnsi"/>
          <w:w w:val="105"/>
        </w:rPr>
        <w:t>for</w:t>
      </w:r>
      <w:r w:rsidRPr="00E06806">
        <w:rPr>
          <w:rFonts w:cstheme="minorHAnsi"/>
          <w:spacing w:val="12"/>
          <w:w w:val="105"/>
        </w:rPr>
        <w:t xml:space="preserve"> </w:t>
      </w:r>
      <w:r w:rsidRPr="00E06806">
        <w:rPr>
          <w:rFonts w:cstheme="minorHAnsi"/>
          <w:w w:val="105"/>
        </w:rPr>
        <w:t>each</w:t>
      </w:r>
      <w:r w:rsidRPr="00E06806">
        <w:rPr>
          <w:rFonts w:cstheme="minorHAnsi"/>
          <w:spacing w:val="12"/>
          <w:w w:val="105"/>
        </w:rPr>
        <w:t xml:space="preserve"> </w:t>
      </w:r>
      <w:r w:rsidRPr="00E06806">
        <w:rPr>
          <w:rFonts w:cstheme="minorHAnsi"/>
          <w:spacing w:val="-3"/>
          <w:w w:val="105"/>
        </w:rPr>
        <w:t>LWDB,</w:t>
      </w:r>
      <w:r w:rsidRPr="00E06806">
        <w:rPr>
          <w:rFonts w:cstheme="minorHAnsi"/>
          <w:spacing w:val="12"/>
          <w:w w:val="105"/>
        </w:rPr>
        <w:t xml:space="preserve"> </w:t>
      </w:r>
      <w:r w:rsidRPr="00E06806">
        <w:rPr>
          <w:rFonts w:cstheme="minorHAnsi"/>
          <w:w w:val="105"/>
        </w:rPr>
        <w:t>weights</w:t>
      </w:r>
      <w:r w:rsidRPr="00E06806">
        <w:rPr>
          <w:rFonts w:cstheme="minorHAnsi"/>
          <w:spacing w:val="12"/>
          <w:w w:val="105"/>
        </w:rPr>
        <w:t xml:space="preserve"> </w:t>
      </w:r>
      <w:r w:rsidRPr="00E06806">
        <w:rPr>
          <w:rFonts w:cstheme="minorHAnsi"/>
          <w:w w:val="105"/>
        </w:rPr>
        <w:t>are</w:t>
      </w:r>
      <w:r w:rsidRPr="00E06806">
        <w:rPr>
          <w:rFonts w:cstheme="minorHAnsi"/>
          <w:spacing w:val="12"/>
          <w:w w:val="105"/>
        </w:rPr>
        <w:t xml:space="preserve"> </w:t>
      </w:r>
      <w:r w:rsidRPr="00E06806">
        <w:rPr>
          <w:rFonts w:cstheme="minorHAnsi"/>
          <w:w w:val="105"/>
        </w:rPr>
        <w:t>then</w:t>
      </w:r>
      <w:r w:rsidRPr="00E06806">
        <w:rPr>
          <w:rFonts w:cstheme="minorHAnsi"/>
          <w:spacing w:val="4"/>
          <w:w w:val="105"/>
        </w:rPr>
        <w:t xml:space="preserve"> </w:t>
      </w:r>
      <w:r w:rsidRPr="00E06806">
        <w:rPr>
          <w:rFonts w:cstheme="minorHAnsi"/>
          <w:w w:val="105"/>
        </w:rPr>
        <w:t xml:space="preserve">applied, </w:t>
      </w:r>
      <w:r w:rsidR="00E86E92">
        <w:rPr>
          <w:rFonts w:cstheme="minorHAnsi"/>
          <w:w w:val="105"/>
        </w:rPr>
        <w:t>and</w:t>
      </w:r>
      <w:r w:rsidRPr="00E06806">
        <w:rPr>
          <w:rFonts w:cstheme="minorHAnsi"/>
          <w:w w:val="105"/>
        </w:rPr>
        <w:t xml:space="preserve"> the resulting amounts combined to determine the full 100 percent factor for each</w:t>
      </w:r>
      <w:r w:rsidRPr="00E06806">
        <w:rPr>
          <w:rFonts w:cstheme="minorHAnsi"/>
          <w:spacing w:val="4"/>
          <w:w w:val="105"/>
        </w:rPr>
        <w:t xml:space="preserve"> </w:t>
      </w:r>
      <w:r w:rsidR="00E06EA3" w:rsidRPr="00E06806">
        <w:rPr>
          <w:rFonts w:cstheme="minorHAnsi"/>
          <w:w w:val="105"/>
        </w:rPr>
        <w:t>local workforce development board.</w:t>
      </w:r>
    </w:p>
    <w:p w14:paraId="4826B8F7" w14:textId="77777777" w:rsidR="00EA7458" w:rsidRPr="00E06806" w:rsidRDefault="00EA7458" w:rsidP="00D63204">
      <w:pPr>
        <w:widowControl w:val="0"/>
        <w:spacing w:before="5" w:after="0" w:line="240" w:lineRule="auto"/>
        <w:ind w:left="107"/>
        <w:rPr>
          <w:rFonts w:cstheme="minorHAnsi"/>
          <w:sz w:val="16"/>
          <w:szCs w:val="16"/>
        </w:rPr>
      </w:pPr>
    </w:p>
    <w:p w14:paraId="1092BBA4" w14:textId="77777777" w:rsidR="00EA7458" w:rsidRPr="00E06806" w:rsidRDefault="00EA7458" w:rsidP="00D63204">
      <w:pPr>
        <w:widowControl w:val="0"/>
        <w:spacing w:after="0" w:line="264" w:lineRule="exact"/>
        <w:ind w:left="107"/>
        <w:rPr>
          <w:rFonts w:cstheme="minorHAnsi"/>
        </w:rPr>
      </w:pPr>
      <w:r w:rsidRPr="00E06806">
        <w:rPr>
          <w:rFonts w:cstheme="minorHAnsi"/>
          <w:w w:val="105"/>
        </w:rPr>
        <w:t>Funds</w:t>
      </w:r>
      <w:r w:rsidRPr="00E06806">
        <w:rPr>
          <w:rFonts w:cstheme="minorHAnsi"/>
          <w:spacing w:val="11"/>
          <w:w w:val="105"/>
        </w:rPr>
        <w:t xml:space="preserve"> </w:t>
      </w:r>
      <w:r w:rsidRPr="00E06806">
        <w:rPr>
          <w:rFonts w:cstheme="minorHAnsi"/>
          <w:w w:val="105"/>
        </w:rPr>
        <w:t>not</w:t>
      </w:r>
      <w:r w:rsidRPr="00E06806">
        <w:rPr>
          <w:rFonts w:cstheme="minorHAnsi"/>
          <w:spacing w:val="11"/>
          <w:w w:val="105"/>
        </w:rPr>
        <w:t xml:space="preserve"> </w:t>
      </w:r>
      <w:r w:rsidRPr="00E06806">
        <w:rPr>
          <w:rFonts w:cstheme="minorHAnsi"/>
          <w:w w:val="105"/>
        </w:rPr>
        <w:t>distributed</w:t>
      </w:r>
      <w:r w:rsidRPr="00E06806">
        <w:rPr>
          <w:rFonts w:cstheme="minorHAnsi"/>
          <w:spacing w:val="11"/>
          <w:w w:val="105"/>
        </w:rPr>
        <w:t xml:space="preserve"> </w:t>
      </w:r>
      <w:r w:rsidRPr="00E06806">
        <w:rPr>
          <w:rFonts w:cstheme="minorHAnsi"/>
          <w:w w:val="105"/>
        </w:rPr>
        <w:t>using</w:t>
      </w:r>
      <w:r w:rsidRPr="00E06806">
        <w:rPr>
          <w:rFonts w:cstheme="minorHAnsi"/>
          <w:spacing w:val="11"/>
          <w:w w:val="105"/>
        </w:rPr>
        <w:t xml:space="preserve"> </w:t>
      </w:r>
      <w:r w:rsidRPr="00E06806">
        <w:rPr>
          <w:rFonts w:cstheme="minorHAnsi"/>
          <w:w w:val="105"/>
        </w:rPr>
        <w:t>these</w:t>
      </w:r>
      <w:r w:rsidRPr="00E06806">
        <w:rPr>
          <w:rFonts w:cstheme="minorHAnsi"/>
          <w:spacing w:val="11"/>
          <w:w w:val="105"/>
        </w:rPr>
        <w:t xml:space="preserve"> </w:t>
      </w:r>
      <w:r w:rsidRPr="00E06806">
        <w:rPr>
          <w:rFonts w:cstheme="minorHAnsi"/>
          <w:w w:val="105"/>
        </w:rPr>
        <w:t>formula</w:t>
      </w:r>
      <w:r w:rsidRPr="00E06806">
        <w:rPr>
          <w:rFonts w:cstheme="minorHAnsi"/>
          <w:spacing w:val="11"/>
          <w:w w:val="105"/>
        </w:rPr>
        <w:t xml:space="preserve"> </w:t>
      </w:r>
      <w:r w:rsidRPr="00E06806">
        <w:rPr>
          <w:rFonts w:cstheme="minorHAnsi"/>
          <w:w w:val="105"/>
        </w:rPr>
        <w:t>factors</w:t>
      </w:r>
      <w:r w:rsidRPr="00E06806">
        <w:rPr>
          <w:rFonts w:cstheme="minorHAnsi"/>
          <w:spacing w:val="11"/>
          <w:w w:val="105"/>
        </w:rPr>
        <w:t xml:space="preserve"> </w:t>
      </w:r>
      <w:r w:rsidRPr="00E06806">
        <w:rPr>
          <w:rFonts w:cstheme="minorHAnsi"/>
          <w:w w:val="105"/>
        </w:rPr>
        <w:t>are</w:t>
      </w:r>
      <w:r w:rsidRPr="00E06806">
        <w:rPr>
          <w:rFonts w:cstheme="minorHAnsi"/>
          <w:spacing w:val="11"/>
          <w:w w:val="105"/>
        </w:rPr>
        <w:t xml:space="preserve"> </w:t>
      </w:r>
      <w:r w:rsidRPr="00E06806">
        <w:rPr>
          <w:rFonts w:cstheme="minorHAnsi"/>
          <w:w w:val="105"/>
        </w:rPr>
        <w:t>reserved</w:t>
      </w:r>
      <w:r w:rsidRPr="00E06806">
        <w:rPr>
          <w:rFonts w:cstheme="minorHAnsi"/>
          <w:spacing w:val="11"/>
          <w:w w:val="105"/>
        </w:rPr>
        <w:t xml:space="preserve"> </w:t>
      </w:r>
      <w:r w:rsidRPr="00E06806">
        <w:rPr>
          <w:rFonts w:cstheme="minorHAnsi"/>
          <w:w w:val="105"/>
        </w:rPr>
        <w:t>at</w:t>
      </w:r>
      <w:r w:rsidRPr="00E06806">
        <w:rPr>
          <w:rFonts w:cstheme="minorHAnsi"/>
          <w:spacing w:val="11"/>
          <w:w w:val="105"/>
        </w:rPr>
        <w:t xml:space="preserve"> </w:t>
      </w:r>
      <w:r w:rsidRPr="00E06806">
        <w:rPr>
          <w:rFonts w:cstheme="minorHAnsi"/>
          <w:w w:val="105"/>
        </w:rPr>
        <w:t>the</w:t>
      </w:r>
      <w:r w:rsidRPr="00E06806">
        <w:rPr>
          <w:rFonts w:cstheme="minorHAnsi"/>
          <w:spacing w:val="11"/>
          <w:w w:val="105"/>
        </w:rPr>
        <w:t xml:space="preserve"> </w:t>
      </w:r>
      <w:r w:rsidRPr="00E06806">
        <w:rPr>
          <w:rFonts w:cstheme="minorHAnsi"/>
          <w:w w:val="105"/>
        </w:rPr>
        <w:t>state</w:t>
      </w:r>
      <w:r w:rsidRPr="00E06806">
        <w:rPr>
          <w:rFonts w:cstheme="minorHAnsi"/>
          <w:spacing w:val="11"/>
          <w:w w:val="105"/>
        </w:rPr>
        <w:t xml:space="preserve"> </w:t>
      </w:r>
      <w:r w:rsidRPr="00E06806">
        <w:rPr>
          <w:rFonts w:cstheme="minorHAnsi"/>
          <w:w w:val="105"/>
        </w:rPr>
        <w:t>level</w:t>
      </w:r>
      <w:r w:rsidRPr="00E06806">
        <w:rPr>
          <w:rFonts w:cstheme="minorHAnsi"/>
          <w:spacing w:val="11"/>
          <w:w w:val="105"/>
        </w:rPr>
        <w:t xml:space="preserve"> </w:t>
      </w:r>
      <w:r w:rsidRPr="00E06806">
        <w:rPr>
          <w:rFonts w:cstheme="minorHAnsi"/>
          <w:w w:val="105"/>
        </w:rPr>
        <w:t>for</w:t>
      </w:r>
      <w:r w:rsidRPr="00E06806">
        <w:rPr>
          <w:rFonts w:cstheme="minorHAnsi"/>
          <w:spacing w:val="11"/>
          <w:w w:val="105"/>
        </w:rPr>
        <w:t xml:space="preserve"> </w:t>
      </w:r>
      <w:r w:rsidRPr="00E06806">
        <w:rPr>
          <w:rFonts w:cstheme="minorHAnsi"/>
          <w:w w:val="105"/>
        </w:rPr>
        <w:t>discretionary</w:t>
      </w:r>
      <w:r w:rsidRPr="00E06806">
        <w:rPr>
          <w:rFonts w:cstheme="minorHAnsi"/>
          <w:spacing w:val="11"/>
          <w:w w:val="105"/>
        </w:rPr>
        <w:t xml:space="preserve"> </w:t>
      </w:r>
      <w:r w:rsidRPr="00E06806">
        <w:rPr>
          <w:rFonts w:cstheme="minorHAnsi"/>
          <w:w w:val="105"/>
        </w:rPr>
        <w:t>awards</w:t>
      </w:r>
      <w:r w:rsidRPr="00E06806">
        <w:rPr>
          <w:rFonts w:cstheme="minorHAnsi"/>
          <w:w w:val="107"/>
        </w:rPr>
        <w:t xml:space="preserve"> </w:t>
      </w:r>
      <w:r w:rsidRPr="00E06806">
        <w:rPr>
          <w:rFonts w:cstheme="minorHAnsi"/>
          <w:w w:val="105"/>
        </w:rPr>
        <w:t>to</w:t>
      </w:r>
      <w:r w:rsidRPr="00E06806">
        <w:rPr>
          <w:rFonts w:cstheme="minorHAnsi"/>
          <w:spacing w:val="17"/>
          <w:w w:val="105"/>
        </w:rPr>
        <w:t xml:space="preserve"> </w:t>
      </w:r>
      <w:r w:rsidRPr="00E06806">
        <w:rPr>
          <w:rFonts w:cstheme="minorHAnsi"/>
          <w:w w:val="105"/>
        </w:rPr>
        <w:t>address</w:t>
      </w:r>
      <w:r w:rsidRPr="00E06806">
        <w:rPr>
          <w:rFonts w:cstheme="minorHAnsi"/>
          <w:spacing w:val="17"/>
          <w:w w:val="105"/>
        </w:rPr>
        <w:t xml:space="preserve"> </w:t>
      </w:r>
      <w:r w:rsidRPr="00E06806">
        <w:rPr>
          <w:rFonts w:cstheme="minorHAnsi"/>
          <w:w w:val="105"/>
        </w:rPr>
        <w:t>specific</w:t>
      </w:r>
      <w:r w:rsidRPr="00E06806">
        <w:rPr>
          <w:rFonts w:cstheme="minorHAnsi"/>
          <w:spacing w:val="17"/>
          <w:w w:val="105"/>
        </w:rPr>
        <w:t xml:space="preserve"> </w:t>
      </w:r>
      <w:r w:rsidRPr="00E06806">
        <w:rPr>
          <w:rFonts w:cstheme="minorHAnsi"/>
          <w:w w:val="105"/>
        </w:rPr>
        <w:t>dislocation</w:t>
      </w:r>
      <w:r w:rsidRPr="00E06806">
        <w:rPr>
          <w:rFonts w:cstheme="minorHAnsi"/>
          <w:spacing w:val="17"/>
          <w:w w:val="105"/>
        </w:rPr>
        <w:t xml:space="preserve"> </w:t>
      </w:r>
      <w:r w:rsidRPr="00E06806">
        <w:rPr>
          <w:rFonts w:cstheme="minorHAnsi"/>
          <w:w w:val="105"/>
        </w:rPr>
        <w:t>events</w:t>
      </w:r>
      <w:r w:rsidRPr="00E06806">
        <w:rPr>
          <w:rFonts w:cstheme="minorHAnsi"/>
          <w:spacing w:val="17"/>
          <w:w w:val="105"/>
        </w:rPr>
        <w:t xml:space="preserve"> </w:t>
      </w:r>
      <w:r w:rsidRPr="00E06806">
        <w:rPr>
          <w:rFonts w:cstheme="minorHAnsi"/>
          <w:w w:val="105"/>
        </w:rPr>
        <w:t>and</w:t>
      </w:r>
      <w:r w:rsidRPr="00E06806">
        <w:rPr>
          <w:rFonts w:cstheme="minorHAnsi"/>
          <w:spacing w:val="17"/>
          <w:w w:val="105"/>
        </w:rPr>
        <w:t xml:space="preserve"> </w:t>
      </w:r>
      <w:r w:rsidRPr="00E06806">
        <w:rPr>
          <w:rFonts w:cstheme="minorHAnsi"/>
          <w:w w:val="105"/>
        </w:rPr>
        <w:t>operate</w:t>
      </w:r>
      <w:r w:rsidRPr="00E06806">
        <w:rPr>
          <w:rFonts w:cstheme="minorHAnsi"/>
          <w:spacing w:val="17"/>
          <w:w w:val="105"/>
        </w:rPr>
        <w:t xml:space="preserve"> </w:t>
      </w:r>
      <w:r w:rsidRPr="00E06806">
        <w:rPr>
          <w:rFonts w:cstheme="minorHAnsi"/>
          <w:w w:val="105"/>
        </w:rPr>
        <w:t>the</w:t>
      </w:r>
      <w:r w:rsidRPr="00E06806">
        <w:rPr>
          <w:rFonts w:cstheme="minorHAnsi"/>
          <w:spacing w:val="17"/>
          <w:w w:val="105"/>
        </w:rPr>
        <w:t xml:space="preserve"> </w:t>
      </w:r>
      <w:r w:rsidRPr="00E06806">
        <w:rPr>
          <w:rFonts w:cstheme="minorHAnsi"/>
          <w:w w:val="105"/>
        </w:rPr>
        <w:t>state’s</w:t>
      </w:r>
      <w:r w:rsidRPr="00E06806">
        <w:rPr>
          <w:rFonts w:cstheme="minorHAnsi"/>
          <w:spacing w:val="17"/>
          <w:w w:val="105"/>
        </w:rPr>
        <w:t xml:space="preserve"> </w:t>
      </w:r>
      <w:r w:rsidRPr="00E06806">
        <w:rPr>
          <w:rFonts w:cstheme="minorHAnsi"/>
          <w:w w:val="105"/>
        </w:rPr>
        <w:t>rapid</w:t>
      </w:r>
      <w:r w:rsidRPr="00E06806">
        <w:rPr>
          <w:rFonts w:cstheme="minorHAnsi"/>
          <w:spacing w:val="17"/>
          <w:w w:val="105"/>
        </w:rPr>
        <w:t xml:space="preserve"> </w:t>
      </w:r>
      <w:r w:rsidRPr="00E06806">
        <w:rPr>
          <w:rFonts w:cstheme="minorHAnsi"/>
          <w:w w:val="105"/>
        </w:rPr>
        <w:t>response</w:t>
      </w:r>
      <w:r w:rsidRPr="00E06806">
        <w:rPr>
          <w:rFonts w:cstheme="minorHAnsi"/>
          <w:spacing w:val="17"/>
          <w:w w:val="105"/>
        </w:rPr>
        <w:t xml:space="preserve"> </w:t>
      </w:r>
      <w:r w:rsidRPr="00E06806">
        <w:rPr>
          <w:rFonts w:cstheme="minorHAnsi"/>
          <w:w w:val="105"/>
        </w:rPr>
        <w:t>unit.</w:t>
      </w:r>
    </w:p>
    <w:p w14:paraId="6835493C" w14:textId="77777777" w:rsidR="00EA7458" w:rsidRPr="00E06806" w:rsidRDefault="00EA7458" w:rsidP="00D63204">
      <w:pPr>
        <w:widowControl w:val="0"/>
        <w:spacing w:before="6" w:after="0" w:line="240" w:lineRule="auto"/>
        <w:ind w:left="107"/>
        <w:rPr>
          <w:rFonts w:cstheme="minorHAnsi"/>
          <w:sz w:val="16"/>
          <w:szCs w:val="16"/>
        </w:rPr>
      </w:pPr>
    </w:p>
    <w:p w14:paraId="5F4767A6" w14:textId="355B766E" w:rsidR="00EA7458" w:rsidRPr="00835CB8" w:rsidRDefault="00EA7458" w:rsidP="00D63204">
      <w:pPr>
        <w:pStyle w:val="ListParagraph"/>
        <w:widowControl w:val="0"/>
        <w:numPr>
          <w:ilvl w:val="0"/>
          <w:numId w:val="31"/>
        </w:numPr>
        <w:tabs>
          <w:tab w:val="left" w:pos="2808"/>
        </w:tabs>
        <w:spacing w:after="0" w:line="240" w:lineRule="auto"/>
        <w:rPr>
          <w:rFonts w:cstheme="minorHAnsi"/>
        </w:rPr>
      </w:pPr>
      <w:r w:rsidRPr="00835CB8">
        <w:rPr>
          <w:rFonts w:cstheme="minorHAnsi"/>
          <w:color w:val="295CA3"/>
          <w:w w:val="105"/>
        </w:rPr>
        <w:t>For Title</w:t>
      </w:r>
      <w:r w:rsidRPr="00835CB8">
        <w:rPr>
          <w:rFonts w:cstheme="minorHAnsi"/>
          <w:color w:val="295CA3"/>
          <w:spacing w:val="8"/>
          <w:w w:val="105"/>
        </w:rPr>
        <w:t xml:space="preserve"> </w:t>
      </w:r>
      <w:r w:rsidRPr="00835CB8">
        <w:rPr>
          <w:rFonts w:cstheme="minorHAnsi"/>
          <w:color w:val="295CA3"/>
          <w:w w:val="105"/>
        </w:rPr>
        <w:t>II:</w:t>
      </w:r>
    </w:p>
    <w:p w14:paraId="10DB2E09" w14:textId="77777777" w:rsidR="00835CB8" w:rsidRPr="00835CB8" w:rsidRDefault="00835CB8" w:rsidP="00D63204">
      <w:pPr>
        <w:pStyle w:val="ListParagraph"/>
        <w:widowControl w:val="0"/>
        <w:tabs>
          <w:tab w:val="left" w:pos="2808"/>
        </w:tabs>
        <w:spacing w:after="0" w:line="240" w:lineRule="auto"/>
        <w:ind w:left="2627"/>
        <w:rPr>
          <w:rFonts w:cstheme="minorHAnsi"/>
        </w:rPr>
      </w:pPr>
    </w:p>
    <w:p w14:paraId="516037E0" w14:textId="3A0BD65C" w:rsidR="00EA7458" w:rsidRPr="00835CB8" w:rsidRDefault="00EA7458" w:rsidP="00D63204">
      <w:pPr>
        <w:pStyle w:val="ListParagraph"/>
        <w:widowControl w:val="0"/>
        <w:numPr>
          <w:ilvl w:val="0"/>
          <w:numId w:val="32"/>
        </w:numPr>
        <w:tabs>
          <w:tab w:val="left" w:pos="3708"/>
        </w:tabs>
        <w:spacing w:after="0" w:line="240" w:lineRule="auto"/>
        <w:rPr>
          <w:rFonts w:cstheme="minorHAnsi"/>
        </w:rPr>
      </w:pPr>
      <w:r w:rsidRPr="00835CB8">
        <w:rPr>
          <w:rFonts w:cstheme="minorHAnsi"/>
          <w:color w:val="295CA3"/>
          <w:w w:val="105"/>
        </w:rPr>
        <w:t>Awarding multi-year grants on contracts to eligible</w:t>
      </w:r>
      <w:r w:rsidRPr="00835CB8">
        <w:rPr>
          <w:rFonts w:cstheme="minorHAnsi"/>
          <w:color w:val="295CA3"/>
          <w:spacing w:val="44"/>
          <w:w w:val="105"/>
        </w:rPr>
        <w:t xml:space="preserve"> </w:t>
      </w:r>
      <w:r w:rsidRPr="00835CB8">
        <w:rPr>
          <w:rFonts w:cstheme="minorHAnsi"/>
          <w:color w:val="295CA3"/>
          <w:w w:val="105"/>
        </w:rPr>
        <w:t>providers</w:t>
      </w:r>
    </w:p>
    <w:p w14:paraId="39116E8F" w14:textId="3900D4C6" w:rsidR="004A45CE" w:rsidRPr="00E06806" w:rsidRDefault="004A45CE" w:rsidP="00D63204">
      <w:pPr>
        <w:widowControl w:val="0"/>
        <w:spacing w:before="193" w:after="0" w:line="264" w:lineRule="exact"/>
        <w:ind w:left="107"/>
        <w:rPr>
          <w:rFonts w:cstheme="minorHAnsi"/>
        </w:rPr>
      </w:pPr>
      <w:r w:rsidRPr="00E06806">
        <w:rPr>
          <w:rFonts w:cstheme="minorHAnsi"/>
          <w:w w:val="105"/>
        </w:rPr>
        <w:t>In</w:t>
      </w:r>
      <w:r w:rsidRPr="00E06806">
        <w:rPr>
          <w:rFonts w:cstheme="minorHAnsi"/>
          <w:spacing w:val="12"/>
          <w:w w:val="105"/>
        </w:rPr>
        <w:t xml:space="preserve"> </w:t>
      </w:r>
      <w:r w:rsidRPr="00E06806">
        <w:rPr>
          <w:rFonts w:cstheme="minorHAnsi"/>
          <w:w w:val="105"/>
        </w:rPr>
        <w:t>accordance</w:t>
      </w:r>
      <w:r w:rsidRPr="00E06806">
        <w:rPr>
          <w:rFonts w:cstheme="minorHAnsi"/>
          <w:spacing w:val="12"/>
          <w:w w:val="105"/>
        </w:rPr>
        <w:t xml:space="preserve"> </w:t>
      </w:r>
      <w:r w:rsidRPr="00E06806">
        <w:rPr>
          <w:rFonts w:cstheme="minorHAnsi"/>
          <w:w w:val="105"/>
        </w:rPr>
        <w:t>with</w:t>
      </w:r>
      <w:r w:rsidRPr="00E06806">
        <w:rPr>
          <w:rFonts w:cstheme="minorHAnsi"/>
          <w:spacing w:val="12"/>
          <w:w w:val="105"/>
        </w:rPr>
        <w:t xml:space="preserve"> </w:t>
      </w:r>
      <w:r w:rsidRPr="00E06806">
        <w:rPr>
          <w:rFonts w:cstheme="minorHAnsi"/>
          <w:w w:val="105"/>
        </w:rPr>
        <w:t>Section</w:t>
      </w:r>
      <w:r w:rsidRPr="00E06806">
        <w:rPr>
          <w:rFonts w:cstheme="minorHAnsi"/>
          <w:spacing w:val="12"/>
          <w:w w:val="105"/>
        </w:rPr>
        <w:t xml:space="preserve"> </w:t>
      </w:r>
      <w:r w:rsidRPr="00E06806">
        <w:rPr>
          <w:rFonts w:cstheme="minorHAnsi"/>
          <w:w w:val="105"/>
        </w:rPr>
        <w:t>231</w:t>
      </w:r>
      <w:r w:rsidRPr="00E06806">
        <w:rPr>
          <w:rFonts w:cstheme="minorHAnsi"/>
          <w:spacing w:val="12"/>
          <w:w w:val="105"/>
        </w:rPr>
        <w:t xml:space="preserve"> </w:t>
      </w:r>
      <w:r w:rsidRPr="00E06806">
        <w:rPr>
          <w:rFonts w:cstheme="minorHAnsi"/>
          <w:w w:val="105"/>
        </w:rPr>
        <w:t>under</w:t>
      </w:r>
      <w:r w:rsidRPr="00E06806">
        <w:rPr>
          <w:rFonts w:cstheme="minorHAnsi"/>
          <w:spacing w:val="12"/>
          <w:w w:val="105"/>
        </w:rPr>
        <w:t xml:space="preserve"> </w:t>
      </w:r>
      <w:r w:rsidRPr="00E06806">
        <w:rPr>
          <w:rFonts w:cstheme="minorHAnsi"/>
          <w:w w:val="105"/>
        </w:rPr>
        <w:t>Title</w:t>
      </w:r>
      <w:r w:rsidRPr="00E06806">
        <w:rPr>
          <w:rFonts w:cstheme="minorHAnsi"/>
          <w:spacing w:val="12"/>
          <w:w w:val="105"/>
        </w:rPr>
        <w:t xml:space="preserve"> </w:t>
      </w:r>
      <w:r w:rsidRPr="00E06806">
        <w:rPr>
          <w:rFonts w:cstheme="minorHAnsi"/>
          <w:w w:val="105"/>
        </w:rPr>
        <w:t>II</w:t>
      </w:r>
      <w:r w:rsidRPr="00E06806">
        <w:rPr>
          <w:rFonts w:cstheme="minorHAnsi"/>
          <w:spacing w:val="12"/>
          <w:w w:val="105"/>
        </w:rPr>
        <w:t xml:space="preserve"> </w:t>
      </w:r>
      <w:r w:rsidRPr="00E06806">
        <w:rPr>
          <w:rFonts w:cstheme="minorHAnsi"/>
          <w:w w:val="105"/>
        </w:rPr>
        <w:t>Adult</w:t>
      </w:r>
      <w:r w:rsidRPr="00E06806">
        <w:rPr>
          <w:rFonts w:cstheme="minorHAnsi"/>
          <w:spacing w:val="12"/>
          <w:w w:val="105"/>
        </w:rPr>
        <w:t xml:space="preserve"> </w:t>
      </w:r>
      <w:r w:rsidRPr="00E06806">
        <w:rPr>
          <w:rFonts w:cstheme="minorHAnsi"/>
          <w:w w:val="105"/>
        </w:rPr>
        <w:t>Education</w:t>
      </w:r>
      <w:r w:rsidRPr="00E06806">
        <w:rPr>
          <w:rFonts w:cstheme="minorHAnsi"/>
          <w:spacing w:val="12"/>
          <w:w w:val="105"/>
        </w:rPr>
        <w:t xml:space="preserve"> </w:t>
      </w:r>
      <w:r w:rsidRPr="00E06806">
        <w:rPr>
          <w:rFonts w:cstheme="minorHAnsi"/>
          <w:w w:val="105"/>
        </w:rPr>
        <w:t>and</w:t>
      </w:r>
      <w:r w:rsidRPr="00E06806">
        <w:rPr>
          <w:rFonts w:cstheme="minorHAnsi"/>
          <w:spacing w:val="12"/>
          <w:w w:val="105"/>
        </w:rPr>
        <w:t xml:space="preserve"> </w:t>
      </w:r>
      <w:r w:rsidRPr="00E06806">
        <w:rPr>
          <w:rFonts w:cstheme="minorHAnsi"/>
          <w:w w:val="105"/>
        </w:rPr>
        <w:t>Literacy</w:t>
      </w:r>
      <w:r w:rsidRPr="00E06806">
        <w:rPr>
          <w:rFonts w:cstheme="minorHAnsi"/>
          <w:spacing w:val="12"/>
          <w:w w:val="105"/>
        </w:rPr>
        <w:t xml:space="preserve"> </w:t>
      </w:r>
      <w:r w:rsidRPr="00E06806">
        <w:rPr>
          <w:rFonts w:cstheme="minorHAnsi"/>
          <w:w w:val="105"/>
        </w:rPr>
        <w:t>Act</w:t>
      </w:r>
      <w:r w:rsidRPr="00E06806">
        <w:rPr>
          <w:rFonts w:cstheme="minorHAnsi"/>
          <w:spacing w:val="12"/>
          <w:w w:val="105"/>
        </w:rPr>
        <w:t xml:space="preserve"> </w:t>
      </w:r>
      <w:r w:rsidRPr="00E06806">
        <w:rPr>
          <w:rFonts w:cstheme="minorHAnsi"/>
          <w:w w:val="105"/>
        </w:rPr>
        <w:t>of</w:t>
      </w:r>
      <w:r w:rsidRPr="00E06806">
        <w:rPr>
          <w:rFonts w:cstheme="minorHAnsi"/>
          <w:spacing w:val="12"/>
          <w:w w:val="105"/>
        </w:rPr>
        <w:t xml:space="preserve"> </w:t>
      </w:r>
      <w:r w:rsidRPr="00E06806">
        <w:rPr>
          <w:rFonts w:cstheme="minorHAnsi"/>
          <w:w w:val="105"/>
        </w:rPr>
        <w:t>WIOA,</w:t>
      </w:r>
      <w:r w:rsidRPr="00E06806">
        <w:rPr>
          <w:rFonts w:cstheme="minorHAnsi"/>
          <w:spacing w:val="12"/>
          <w:w w:val="105"/>
        </w:rPr>
        <w:t xml:space="preserve"> </w:t>
      </w:r>
      <w:r w:rsidRPr="00E06806">
        <w:rPr>
          <w:rFonts w:cstheme="minorHAnsi"/>
          <w:w w:val="105"/>
        </w:rPr>
        <w:t>the</w:t>
      </w:r>
      <w:r w:rsidRPr="00E06806">
        <w:rPr>
          <w:rFonts w:cstheme="minorHAnsi"/>
          <w:spacing w:val="12"/>
          <w:w w:val="105"/>
        </w:rPr>
        <w:t xml:space="preserve"> </w:t>
      </w:r>
      <w:r w:rsidRPr="00E06806">
        <w:rPr>
          <w:rFonts w:cstheme="minorHAnsi"/>
          <w:w w:val="105"/>
        </w:rPr>
        <w:t>DCAE</w:t>
      </w:r>
      <w:r w:rsidRPr="00E06806">
        <w:rPr>
          <w:rFonts w:cstheme="minorHAnsi"/>
          <w:spacing w:val="-41"/>
          <w:w w:val="105"/>
        </w:rPr>
        <w:t xml:space="preserve"> </w:t>
      </w:r>
      <w:r w:rsidRPr="00E06806">
        <w:rPr>
          <w:rFonts w:cstheme="minorHAnsi"/>
          <w:w w:val="105"/>
        </w:rPr>
        <w:t>provides funding</w:t>
      </w:r>
      <w:r w:rsidRPr="00E06806">
        <w:rPr>
          <w:rFonts w:cstheme="minorHAnsi"/>
          <w:spacing w:val="11"/>
          <w:w w:val="105"/>
        </w:rPr>
        <w:t xml:space="preserve"> </w:t>
      </w:r>
      <w:r w:rsidRPr="00E06806">
        <w:rPr>
          <w:rFonts w:cstheme="minorHAnsi"/>
          <w:w w:val="105"/>
        </w:rPr>
        <w:t>to</w:t>
      </w:r>
      <w:r w:rsidRPr="00E06806">
        <w:rPr>
          <w:rFonts w:cstheme="minorHAnsi"/>
          <w:spacing w:val="11"/>
          <w:w w:val="105"/>
        </w:rPr>
        <w:t xml:space="preserve"> </w:t>
      </w:r>
      <w:r w:rsidRPr="00E06806">
        <w:rPr>
          <w:rFonts w:cstheme="minorHAnsi"/>
          <w:w w:val="105"/>
        </w:rPr>
        <w:t>eligible</w:t>
      </w:r>
      <w:r w:rsidRPr="00E06806">
        <w:rPr>
          <w:rFonts w:cstheme="minorHAnsi"/>
          <w:spacing w:val="11"/>
          <w:w w:val="105"/>
        </w:rPr>
        <w:t xml:space="preserve"> </w:t>
      </w:r>
      <w:r w:rsidRPr="00E06806">
        <w:rPr>
          <w:rFonts w:cstheme="minorHAnsi"/>
          <w:w w:val="105"/>
        </w:rPr>
        <w:t>local</w:t>
      </w:r>
      <w:r w:rsidRPr="00E06806">
        <w:rPr>
          <w:rFonts w:cstheme="minorHAnsi"/>
          <w:spacing w:val="11"/>
          <w:w w:val="105"/>
        </w:rPr>
        <w:t xml:space="preserve"> </w:t>
      </w:r>
      <w:r w:rsidRPr="00E06806">
        <w:rPr>
          <w:rFonts w:cstheme="minorHAnsi"/>
          <w:w w:val="105"/>
        </w:rPr>
        <w:t>entities</w:t>
      </w:r>
      <w:r w:rsidRPr="00E06806">
        <w:rPr>
          <w:rFonts w:cstheme="minorHAnsi"/>
          <w:spacing w:val="11"/>
          <w:w w:val="105"/>
        </w:rPr>
        <w:t xml:space="preserve"> </w:t>
      </w:r>
      <w:r w:rsidRPr="00E06806">
        <w:rPr>
          <w:rFonts w:cstheme="minorHAnsi"/>
          <w:w w:val="105"/>
        </w:rPr>
        <w:t>to provide adult</w:t>
      </w:r>
      <w:r w:rsidRPr="00E06806">
        <w:rPr>
          <w:rFonts w:cstheme="minorHAnsi"/>
          <w:spacing w:val="11"/>
          <w:w w:val="105"/>
        </w:rPr>
        <w:t xml:space="preserve"> </w:t>
      </w:r>
      <w:r w:rsidRPr="00E06806">
        <w:rPr>
          <w:rFonts w:cstheme="minorHAnsi"/>
          <w:w w:val="105"/>
        </w:rPr>
        <w:t>education</w:t>
      </w:r>
      <w:r w:rsidRPr="00E06806">
        <w:rPr>
          <w:rFonts w:cstheme="minorHAnsi"/>
          <w:spacing w:val="11"/>
          <w:w w:val="105"/>
        </w:rPr>
        <w:t xml:space="preserve"> </w:t>
      </w:r>
      <w:r w:rsidRPr="00E06806">
        <w:rPr>
          <w:rFonts w:cstheme="minorHAnsi"/>
          <w:w w:val="105"/>
        </w:rPr>
        <w:t>services</w:t>
      </w:r>
      <w:r w:rsidRPr="00E06806">
        <w:rPr>
          <w:rFonts w:cstheme="minorHAnsi"/>
          <w:spacing w:val="11"/>
          <w:w w:val="105"/>
        </w:rPr>
        <w:t xml:space="preserve"> </w:t>
      </w:r>
      <w:r w:rsidRPr="00E06806">
        <w:rPr>
          <w:rFonts w:cstheme="minorHAnsi"/>
          <w:w w:val="105"/>
        </w:rPr>
        <w:t>through</w:t>
      </w:r>
      <w:r w:rsidRPr="00E06806">
        <w:rPr>
          <w:rFonts w:cstheme="minorHAnsi"/>
          <w:spacing w:val="11"/>
          <w:w w:val="105"/>
        </w:rPr>
        <w:t xml:space="preserve"> </w:t>
      </w:r>
      <w:r w:rsidRPr="00E06806">
        <w:rPr>
          <w:rFonts w:cstheme="minorHAnsi"/>
          <w:w w:val="105"/>
        </w:rPr>
        <w:t>a continuation process for 2016-2017 and a competitive process for 2017-2018. This includes awarded</w:t>
      </w:r>
      <w:r w:rsidRPr="00E06806">
        <w:rPr>
          <w:rFonts w:cstheme="minorHAnsi"/>
          <w:w w:val="107"/>
        </w:rPr>
        <w:t xml:space="preserve"> </w:t>
      </w:r>
      <w:r w:rsidRPr="00E06806">
        <w:rPr>
          <w:rFonts w:cstheme="minorHAnsi"/>
          <w:w w:val="105"/>
        </w:rPr>
        <w:t xml:space="preserve">grant projects funded under Section 225 </w:t>
      </w:r>
      <w:r w:rsidR="00975339">
        <w:rPr>
          <w:rFonts w:cstheme="minorHAnsi"/>
          <w:w w:val="105"/>
        </w:rPr>
        <w:t>–</w:t>
      </w:r>
      <w:r w:rsidRPr="00E06806">
        <w:rPr>
          <w:rFonts w:cstheme="minorHAnsi"/>
          <w:w w:val="105"/>
        </w:rPr>
        <w:t xml:space="preserve"> Corrections and Other Institutionalized.</w:t>
      </w:r>
    </w:p>
    <w:p w14:paraId="4CAF38D0" w14:textId="77777777" w:rsidR="004A45CE" w:rsidRPr="00E06806" w:rsidRDefault="004A45CE" w:rsidP="00D63204">
      <w:pPr>
        <w:widowControl w:val="0"/>
        <w:spacing w:before="2" w:after="0" w:line="240" w:lineRule="auto"/>
        <w:ind w:left="107"/>
        <w:rPr>
          <w:rFonts w:cstheme="minorHAnsi"/>
          <w:sz w:val="14"/>
          <w:szCs w:val="14"/>
        </w:rPr>
      </w:pPr>
    </w:p>
    <w:p w14:paraId="79235C80" w14:textId="67054DF4" w:rsidR="004A45CE" w:rsidRPr="00E06806" w:rsidRDefault="004A45CE" w:rsidP="00D63204">
      <w:pPr>
        <w:widowControl w:val="0"/>
        <w:spacing w:before="58" w:after="0" w:line="264" w:lineRule="exact"/>
        <w:ind w:left="107"/>
        <w:rPr>
          <w:rFonts w:cstheme="minorHAnsi"/>
        </w:rPr>
      </w:pPr>
      <w:r w:rsidRPr="00E06806">
        <w:rPr>
          <w:rFonts w:cstheme="minorHAnsi"/>
          <w:w w:val="105"/>
        </w:rPr>
        <w:t>A</w:t>
      </w:r>
      <w:r w:rsidRPr="00E06806">
        <w:rPr>
          <w:rFonts w:cstheme="minorHAnsi"/>
          <w:spacing w:val="9"/>
          <w:w w:val="105"/>
        </w:rPr>
        <w:t xml:space="preserve"> </w:t>
      </w:r>
      <w:r w:rsidR="00E4732C">
        <w:rPr>
          <w:rFonts w:cstheme="minorHAnsi"/>
          <w:w w:val="105"/>
        </w:rPr>
        <w:t xml:space="preserve">competitive bidding process </w:t>
      </w:r>
      <w:r w:rsidRPr="00E06806">
        <w:rPr>
          <w:rFonts w:cstheme="minorHAnsi"/>
          <w:w w:val="105"/>
        </w:rPr>
        <w:t>was conducted</w:t>
      </w:r>
      <w:r w:rsidRPr="00E06806">
        <w:rPr>
          <w:rFonts w:cstheme="minorHAnsi"/>
          <w:spacing w:val="9"/>
          <w:w w:val="105"/>
        </w:rPr>
        <w:t xml:space="preserve"> </w:t>
      </w:r>
      <w:r w:rsidRPr="00E06806">
        <w:rPr>
          <w:rFonts w:cstheme="minorHAnsi"/>
          <w:w w:val="105"/>
        </w:rPr>
        <w:t>in</w:t>
      </w:r>
      <w:r w:rsidRPr="00E06806">
        <w:rPr>
          <w:rFonts w:cstheme="minorHAnsi"/>
          <w:spacing w:val="9"/>
          <w:w w:val="105"/>
        </w:rPr>
        <w:t xml:space="preserve"> </w:t>
      </w:r>
      <w:r w:rsidRPr="00E06806">
        <w:rPr>
          <w:rFonts w:cstheme="minorHAnsi"/>
          <w:w w:val="105"/>
        </w:rPr>
        <w:t>the</w:t>
      </w:r>
      <w:r w:rsidRPr="00E06806">
        <w:rPr>
          <w:rFonts w:cstheme="minorHAnsi"/>
          <w:spacing w:val="9"/>
          <w:w w:val="105"/>
        </w:rPr>
        <w:t xml:space="preserve"> </w:t>
      </w:r>
      <w:r w:rsidRPr="00E06806">
        <w:rPr>
          <w:rFonts w:cstheme="minorHAnsi"/>
          <w:w w:val="105"/>
        </w:rPr>
        <w:t>spring</w:t>
      </w:r>
      <w:r w:rsidRPr="00E06806">
        <w:rPr>
          <w:rFonts w:cstheme="minorHAnsi"/>
          <w:spacing w:val="9"/>
          <w:w w:val="105"/>
        </w:rPr>
        <w:t xml:space="preserve"> </w:t>
      </w:r>
      <w:r w:rsidRPr="00E06806">
        <w:rPr>
          <w:rFonts w:cstheme="minorHAnsi"/>
          <w:w w:val="105"/>
        </w:rPr>
        <w:t>of</w:t>
      </w:r>
      <w:r w:rsidRPr="00E06806">
        <w:rPr>
          <w:rFonts w:cstheme="minorHAnsi"/>
          <w:spacing w:val="9"/>
          <w:w w:val="105"/>
        </w:rPr>
        <w:t xml:space="preserve"> </w:t>
      </w:r>
      <w:r w:rsidRPr="00E06806">
        <w:rPr>
          <w:rFonts w:cstheme="minorHAnsi"/>
          <w:spacing w:val="-5"/>
          <w:w w:val="105"/>
        </w:rPr>
        <w:t>2017.</w:t>
      </w:r>
      <w:r w:rsidRPr="00E06806">
        <w:rPr>
          <w:rFonts w:cstheme="minorHAnsi"/>
          <w:spacing w:val="9"/>
          <w:w w:val="105"/>
        </w:rPr>
        <w:t xml:space="preserve"> </w:t>
      </w:r>
      <w:r w:rsidRPr="00E06806">
        <w:rPr>
          <w:rFonts w:cstheme="minorHAnsi"/>
          <w:w w:val="105"/>
        </w:rPr>
        <w:t>DCAE</w:t>
      </w:r>
      <w:r w:rsidRPr="00E06806">
        <w:rPr>
          <w:rFonts w:cstheme="minorHAnsi"/>
          <w:spacing w:val="9"/>
          <w:w w:val="105"/>
        </w:rPr>
        <w:t xml:space="preserve"> </w:t>
      </w:r>
      <w:r w:rsidRPr="00E06806">
        <w:rPr>
          <w:rFonts w:cstheme="minorHAnsi"/>
          <w:w w:val="105"/>
        </w:rPr>
        <w:t>identified,</w:t>
      </w:r>
      <w:r w:rsidRPr="00E06806">
        <w:rPr>
          <w:rFonts w:cstheme="minorHAnsi"/>
          <w:spacing w:val="9"/>
          <w:w w:val="105"/>
        </w:rPr>
        <w:t xml:space="preserve"> </w:t>
      </w:r>
      <w:r w:rsidRPr="00E06806">
        <w:rPr>
          <w:rFonts w:cstheme="minorHAnsi"/>
          <w:w w:val="105"/>
        </w:rPr>
        <w:t>assessed</w:t>
      </w:r>
      <w:r w:rsidR="00D5537E">
        <w:rPr>
          <w:rFonts w:cstheme="minorHAnsi"/>
          <w:w w:val="105"/>
        </w:rPr>
        <w:t xml:space="preserve"> and</w:t>
      </w:r>
      <w:r w:rsidRPr="00E06806">
        <w:rPr>
          <w:rFonts w:cstheme="minorHAnsi"/>
          <w:spacing w:val="9"/>
          <w:w w:val="105"/>
        </w:rPr>
        <w:t xml:space="preserve"> </w:t>
      </w:r>
      <w:r w:rsidRPr="00E06806">
        <w:rPr>
          <w:rFonts w:cstheme="minorHAnsi"/>
          <w:w w:val="105"/>
        </w:rPr>
        <w:t>awarded</w:t>
      </w:r>
      <w:r w:rsidRPr="00E06806">
        <w:rPr>
          <w:rFonts w:cstheme="minorHAnsi"/>
          <w:spacing w:val="9"/>
          <w:w w:val="105"/>
        </w:rPr>
        <w:t xml:space="preserve"> </w:t>
      </w:r>
      <w:r w:rsidRPr="00E06806">
        <w:rPr>
          <w:rFonts w:cstheme="minorHAnsi"/>
          <w:w w:val="105"/>
        </w:rPr>
        <w:t>multi-year</w:t>
      </w:r>
      <w:r w:rsidRPr="00E06806">
        <w:rPr>
          <w:rFonts w:cstheme="minorHAnsi"/>
          <w:spacing w:val="10"/>
          <w:w w:val="105"/>
        </w:rPr>
        <w:t xml:space="preserve"> </w:t>
      </w:r>
      <w:r w:rsidRPr="00E06806">
        <w:rPr>
          <w:rFonts w:cstheme="minorHAnsi"/>
          <w:w w:val="105"/>
        </w:rPr>
        <w:t>grants</w:t>
      </w:r>
      <w:r w:rsidRPr="00E06806">
        <w:rPr>
          <w:rFonts w:cstheme="minorHAnsi"/>
          <w:spacing w:val="10"/>
          <w:w w:val="105"/>
        </w:rPr>
        <w:t xml:space="preserve"> </w:t>
      </w:r>
      <w:r w:rsidRPr="00E06806">
        <w:rPr>
          <w:rFonts w:cstheme="minorHAnsi"/>
          <w:w w:val="105"/>
        </w:rPr>
        <w:t>to</w:t>
      </w:r>
      <w:r w:rsidRPr="00E06806">
        <w:rPr>
          <w:rFonts w:cstheme="minorHAnsi"/>
          <w:spacing w:val="10"/>
          <w:w w:val="105"/>
        </w:rPr>
        <w:t xml:space="preserve"> </w:t>
      </w:r>
      <w:r w:rsidRPr="00E06806">
        <w:rPr>
          <w:rFonts w:cstheme="minorHAnsi"/>
          <w:w w:val="105"/>
        </w:rPr>
        <w:t>eligible</w:t>
      </w:r>
      <w:r w:rsidRPr="00E06806">
        <w:rPr>
          <w:rFonts w:cstheme="minorHAnsi"/>
          <w:spacing w:val="10"/>
          <w:w w:val="105"/>
        </w:rPr>
        <w:t xml:space="preserve"> </w:t>
      </w:r>
      <w:r w:rsidRPr="00E06806">
        <w:rPr>
          <w:rFonts w:cstheme="minorHAnsi"/>
          <w:w w:val="105"/>
        </w:rPr>
        <w:t>providers</w:t>
      </w:r>
      <w:r w:rsidRPr="00E06806">
        <w:rPr>
          <w:rFonts w:cstheme="minorHAnsi"/>
          <w:spacing w:val="10"/>
          <w:w w:val="105"/>
        </w:rPr>
        <w:t xml:space="preserve"> </w:t>
      </w:r>
      <w:r w:rsidRPr="00E06806">
        <w:rPr>
          <w:rFonts w:cstheme="minorHAnsi"/>
          <w:w w:val="105"/>
        </w:rPr>
        <w:t>throughout</w:t>
      </w:r>
      <w:r w:rsidRPr="00E06806">
        <w:rPr>
          <w:rFonts w:cstheme="minorHAnsi"/>
          <w:spacing w:val="10"/>
          <w:w w:val="105"/>
        </w:rPr>
        <w:t xml:space="preserve"> </w:t>
      </w:r>
      <w:r w:rsidRPr="00E06806">
        <w:rPr>
          <w:rFonts w:cstheme="minorHAnsi"/>
          <w:w w:val="105"/>
        </w:rPr>
        <w:t>the</w:t>
      </w:r>
      <w:r w:rsidRPr="00E06806">
        <w:rPr>
          <w:rFonts w:cstheme="minorHAnsi"/>
          <w:spacing w:val="10"/>
          <w:w w:val="105"/>
        </w:rPr>
        <w:t xml:space="preserve"> </w:t>
      </w:r>
      <w:r w:rsidRPr="00E06806">
        <w:rPr>
          <w:rFonts w:cstheme="minorHAnsi"/>
          <w:w w:val="105"/>
        </w:rPr>
        <w:t>state.</w:t>
      </w:r>
      <w:r w:rsidRPr="00E06806">
        <w:rPr>
          <w:rFonts w:cstheme="minorHAnsi"/>
          <w:spacing w:val="10"/>
          <w:w w:val="105"/>
        </w:rPr>
        <w:t xml:space="preserve"> </w:t>
      </w:r>
      <w:bookmarkStart w:id="91" w:name="_Hlk505000163"/>
      <w:r w:rsidRPr="00E06806">
        <w:rPr>
          <w:rFonts w:cstheme="minorHAnsi"/>
          <w:w w:val="105"/>
        </w:rPr>
        <w:t>An</w:t>
      </w:r>
      <w:r w:rsidRPr="00E06806">
        <w:rPr>
          <w:rFonts w:cstheme="minorHAnsi"/>
          <w:spacing w:val="10"/>
          <w:w w:val="105"/>
        </w:rPr>
        <w:t xml:space="preserve"> </w:t>
      </w:r>
      <w:r w:rsidRPr="00E06806">
        <w:rPr>
          <w:rFonts w:cstheme="minorHAnsi"/>
          <w:w w:val="105"/>
        </w:rPr>
        <w:t>eligible</w:t>
      </w:r>
      <w:r w:rsidRPr="00E06806">
        <w:rPr>
          <w:rFonts w:cstheme="minorHAnsi"/>
          <w:spacing w:val="10"/>
          <w:w w:val="105"/>
        </w:rPr>
        <w:t xml:space="preserve"> </w:t>
      </w:r>
      <w:r w:rsidRPr="00E06806">
        <w:rPr>
          <w:rFonts w:cstheme="minorHAnsi"/>
          <w:w w:val="105"/>
        </w:rPr>
        <w:t>provider</w:t>
      </w:r>
      <w:r w:rsidRPr="00E06806">
        <w:rPr>
          <w:rFonts w:cstheme="minorHAnsi"/>
          <w:spacing w:val="10"/>
          <w:w w:val="105"/>
        </w:rPr>
        <w:t xml:space="preserve"> </w:t>
      </w:r>
      <w:r w:rsidRPr="00E06806">
        <w:rPr>
          <w:rFonts w:cstheme="minorHAnsi"/>
          <w:w w:val="105"/>
        </w:rPr>
        <w:t>is</w:t>
      </w:r>
      <w:r w:rsidRPr="00E06806">
        <w:rPr>
          <w:rFonts w:cstheme="minorHAnsi"/>
          <w:spacing w:val="10"/>
          <w:w w:val="105"/>
        </w:rPr>
        <w:t xml:space="preserve"> </w:t>
      </w:r>
      <w:r w:rsidRPr="00E06806">
        <w:rPr>
          <w:rFonts w:cstheme="minorHAnsi"/>
          <w:w w:val="105"/>
        </w:rPr>
        <w:t>an</w:t>
      </w:r>
      <w:r w:rsidRPr="00E06806">
        <w:rPr>
          <w:rFonts w:cstheme="minorHAnsi"/>
          <w:spacing w:val="10"/>
          <w:w w:val="105"/>
        </w:rPr>
        <w:t xml:space="preserve"> </w:t>
      </w:r>
      <w:r w:rsidRPr="00E06806">
        <w:rPr>
          <w:rFonts w:cstheme="minorHAnsi"/>
          <w:w w:val="105"/>
        </w:rPr>
        <w:t>organization</w:t>
      </w:r>
      <w:r w:rsidRPr="00E06806">
        <w:rPr>
          <w:rFonts w:cstheme="minorHAnsi"/>
          <w:spacing w:val="10"/>
          <w:w w:val="105"/>
        </w:rPr>
        <w:t xml:space="preserve"> </w:t>
      </w:r>
      <w:r w:rsidRPr="00E06806">
        <w:rPr>
          <w:rFonts w:cstheme="minorHAnsi"/>
          <w:w w:val="105"/>
        </w:rPr>
        <w:t>that</w:t>
      </w:r>
      <w:r w:rsidRPr="00E06806">
        <w:rPr>
          <w:rFonts w:cstheme="minorHAnsi"/>
          <w:spacing w:val="10"/>
          <w:w w:val="105"/>
        </w:rPr>
        <w:t xml:space="preserve"> </w:t>
      </w:r>
      <w:r w:rsidRPr="00E06806">
        <w:rPr>
          <w:rFonts w:cstheme="minorHAnsi"/>
          <w:w w:val="105"/>
        </w:rPr>
        <w:t>has</w:t>
      </w:r>
      <w:r w:rsidRPr="00E06806">
        <w:rPr>
          <w:rFonts w:cstheme="minorHAnsi"/>
          <w:spacing w:val="-27"/>
          <w:w w:val="105"/>
        </w:rPr>
        <w:t xml:space="preserve"> </w:t>
      </w:r>
      <w:r w:rsidRPr="00E06806">
        <w:rPr>
          <w:rFonts w:cstheme="minorHAnsi"/>
          <w:w w:val="105"/>
        </w:rPr>
        <w:t>demonstrated effectiveness in providing adult education activities that may include a/an:</w:t>
      </w:r>
    </w:p>
    <w:p w14:paraId="5CA08BA4" w14:textId="77777777" w:rsidR="004A45CE" w:rsidRPr="00E06806" w:rsidRDefault="004A45CE" w:rsidP="00D63204">
      <w:pPr>
        <w:widowControl w:val="0"/>
        <w:spacing w:before="6" w:after="0" w:line="240" w:lineRule="auto"/>
        <w:ind w:left="107"/>
        <w:rPr>
          <w:rFonts w:cstheme="minorHAnsi"/>
          <w:sz w:val="16"/>
          <w:szCs w:val="16"/>
        </w:rPr>
      </w:pPr>
    </w:p>
    <w:p w14:paraId="1619F736" w14:textId="033A2D37" w:rsidR="004A45CE" w:rsidRPr="00C73226" w:rsidRDefault="004A45CE" w:rsidP="00D63204">
      <w:pPr>
        <w:pStyle w:val="ListParagraph"/>
        <w:widowControl w:val="0"/>
        <w:numPr>
          <w:ilvl w:val="0"/>
          <w:numId w:val="33"/>
        </w:numPr>
        <w:spacing w:after="0" w:line="240" w:lineRule="auto"/>
        <w:rPr>
          <w:rFonts w:cstheme="minorHAnsi"/>
          <w:color w:val="231F20"/>
        </w:rPr>
      </w:pPr>
      <w:r w:rsidRPr="00C73226">
        <w:rPr>
          <w:rFonts w:cstheme="minorHAnsi"/>
          <w:color w:val="231F20"/>
          <w:w w:val="110"/>
        </w:rPr>
        <w:t>local education</w:t>
      </w:r>
      <w:r w:rsidRPr="00C73226">
        <w:rPr>
          <w:rFonts w:cstheme="minorHAnsi"/>
          <w:color w:val="231F20"/>
          <w:spacing w:val="3"/>
          <w:w w:val="110"/>
        </w:rPr>
        <w:t xml:space="preserve"> </w:t>
      </w:r>
      <w:r w:rsidRPr="00C73226">
        <w:rPr>
          <w:rFonts w:cstheme="minorHAnsi"/>
          <w:color w:val="231F20"/>
          <w:w w:val="110"/>
        </w:rPr>
        <w:t>agency;</w:t>
      </w:r>
    </w:p>
    <w:p w14:paraId="69E53A45" w14:textId="77777777" w:rsidR="00C73226" w:rsidRPr="00C73226" w:rsidRDefault="00C73226" w:rsidP="00D63204">
      <w:pPr>
        <w:pStyle w:val="ListParagraph"/>
        <w:widowControl w:val="0"/>
        <w:spacing w:after="0" w:line="240" w:lineRule="auto"/>
        <w:ind w:left="827"/>
        <w:rPr>
          <w:rFonts w:cstheme="minorHAnsi"/>
          <w:color w:val="231F20"/>
        </w:rPr>
      </w:pPr>
    </w:p>
    <w:p w14:paraId="7D2D83EB" w14:textId="2AA24EAE" w:rsidR="004A45CE" w:rsidRPr="00C73226" w:rsidRDefault="004A45CE" w:rsidP="00D63204">
      <w:pPr>
        <w:pStyle w:val="ListParagraph"/>
        <w:widowControl w:val="0"/>
        <w:numPr>
          <w:ilvl w:val="0"/>
          <w:numId w:val="33"/>
        </w:numPr>
        <w:spacing w:before="85" w:after="0" w:line="240" w:lineRule="auto"/>
        <w:rPr>
          <w:rFonts w:cstheme="minorHAnsi"/>
          <w:color w:val="231F20"/>
        </w:rPr>
      </w:pPr>
      <w:r w:rsidRPr="00C73226">
        <w:rPr>
          <w:rFonts w:cstheme="minorHAnsi"/>
          <w:color w:val="231F20"/>
          <w:w w:val="105"/>
        </w:rPr>
        <w:t>community-based or faith-based</w:t>
      </w:r>
      <w:r w:rsidRPr="00C73226">
        <w:rPr>
          <w:rFonts w:cstheme="minorHAnsi"/>
          <w:color w:val="231F20"/>
          <w:spacing w:val="14"/>
          <w:w w:val="105"/>
        </w:rPr>
        <w:t xml:space="preserve"> </w:t>
      </w:r>
      <w:r w:rsidRPr="00C73226">
        <w:rPr>
          <w:rFonts w:cstheme="minorHAnsi"/>
          <w:color w:val="231F20"/>
          <w:w w:val="105"/>
        </w:rPr>
        <w:t>organization;</w:t>
      </w:r>
    </w:p>
    <w:p w14:paraId="2FB1393C" w14:textId="77777777" w:rsidR="00C73226" w:rsidRPr="00C73226" w:rsidRDefault="00C73226" w:rsidP="00D63204">
      <w:pPr>
        <w:pStyle w:val="ListParagraph"/>
        <w:widowControl w:val="0"/>
        <w:spacing w:before="85" w:after="0" w:line="240" w:lineRule="auto"/>
        <w:ind w:left="827"/>
        <w:rPr>
          <w:rFonts w:cstheme="minorHAnsi"/>
          <w:color w:val="231F20"/>
        </w:rPr>
      </w:pPr>
    </w:p>
    <w:p w14:paraId="562ABC24" w14:textId="3B0159A9" w:rsidR="004A45CE" w:rsidRPr="00C73226" w:rsidRDefault="004A45CE" w:rsidP="00D63204">
      <w:pPr>
        <w:pStyle w:val="ListParagraph"/>
        <w:widowControl w:val="0"/>
        <w:numPr>
          <w:ilvl w:val="0"/>
          <w:numId w:val="33"/>
        </w:numPr>
        <w:spacing w:before="85" w:after="0" w:line="240" w:lineRule="auto"/>
        <w:rPr>
          <w:rFonts w:cstheme="minorHAnsi"/>
          <w:color w:val="231F20"/>
        </w:rPr>
      </w:pPr>
      <w:r w:rsidRPr="00C73226">
        <w:rPr>
          <w:rFonts w:cstheme="minorHAnsi"/>
          <w:color w:val="231F20"/>
          <w:w w:val="105"/>
        </w:rPr>
        <w:t>volunteer literacy</w:t>
      </w:r>
      <w:r w:rsidRPr="00C73226">
        <w:rPr>
          <w:rFonts w:cstheme="minorHAnsi"/>
          <w:color w:val="231F20"/>
          <w:spacing w:val="9"/>
          <w:w w:val="105"/>
        </w:rPr>
        <w:t xml:space="preserve"> </w:t>
      </w:r>
      <w:r w:rsidRPr="00C73226">
        <w:rPr>
          <w:rFonts w:cstheme="minorHAnsi"/>
          <w:color w:val="231F20"/>
          <w:w w:val="105"/>
        </w:rPr>
        <w:t>organization;</w:t>
      </w:r>
    </w:p>
    <w:p w14:paraId="3DD97D10" w14:textId="77777777" w:rsidR="00C73226" w:rsidRPr="00C73226" w:rsidRDefault="00C73226" w:rsidP="00D63204">
      <w:pPr>
        <w:pStyle w:val="ListParagraph"/>
        <w:widowControl w:val="0"/>
        <w:spacing w:before="85" w:after="0" w:line="240" w:lineRule="auto"/>
        <w:ind w:left="827"/>
        <w:rPr>
          <w:rFonts w:cstheme="minorHAnsi"/>
          <w:color w:val="231F20"/>
        </w:rPr>
      </w:pPr>
    </w:p>
    <w:p w14:paraId="40808EF7" w14:textId="1EB0085C" w:rsidR="004A45CE" w:rsidRPr="00C73226" w:rsidRDefault="004A45CE" w:rsidP="00D63204">
      <w:pPr>
        <w:pStyle w:val="ListParagraph"/>
        <w:widowControl w:val="0"/>
        <w:numPr>
          <w:ilvl w:val="0"/>
          <w:numId w:val="33"/>
        </w:numPr>
        <w:spacing w:before="85" w:after="0" w:line="240" w:lineRule="auto"/>
        <w:rPr>
          <w:rFonts w:cstheme="minorHAnsi"/>
          <w:color w:val="231F20"/>
        </w:rPr>
      </w:pPr>
      <w:r w:rsidRPr="00C73226">
        <w:rPr>
          <w:rFonts w:cstheme="minorHAnsi"/>
          <w:color w:val="231F20"/>
          <w:w w:val="105"/>
        </w:rPr>
        <w:t>institution of higher</w:t>
      </w:r>
      <w:r w:rsidRPr="00C73226">
        <w:rPr>
          <w:rFonts w:cstheme="minorHAnsi"/>
          <w:color w:val="231F20"/>
          <w:spacing w:val="13"/>
          <w:w w:val="105"/>
        </w:rPr>
        <w:t xml:space="preserve"> </w:t>
      </w:r>
      <w:r w:rsidRPr="00C73226">
        <w:rPr>
          <w:rFonts w:cstheme="minorHAnsi"/>
          <w:color w:val="231F20"/>
          <w:w w:val="105"/>
        </w:rPr>
        <w:t>education;</w:t>
      </w:r>
    </w:p>
    <w:p w14:paraId="623D7F45" w14:textId="77777777" w:rsidR="00C73226" w:rsidRPr="00C73226" w:rsidRDefault="00C73226" w:rsidP="00D63204">
      <w:pPr>
        <w:pStyle w:val="ListParagraph"/>
        <w:widowControl w:val="0"/>
        <w:spacing w:before="85" w:after="0" w:line="240" w:lineRule="auto"/>
        <w:ind w:left="827"/>
        <w:rPr>
          <w:rFonts w:cstheme="minorHAnsi"/>
          <w:color w:val="231F20"/>
        </w:rPr>
      </w:pPr>
    </w:p>
    <w:p w14:paraId="1EF96410" w14:textId="629FB40A" w:rsidR="004A45CE" w:rsidRPr="00C73226" w:rsidRDefault="004A45CE" w:rsidP="00D63204">
      <w:pPr>
        <w:pStyle w:val="ListParagraph"/>
        <w:widowControl w:val="0"/>
        <w:numPr>
          <w:ilvl w:val="0"/>
          <w:numId w:val="33"/>
        </w:numPr>
        <w:spacing w:before="85" w:after="0" w:line="240" w:lineRule="auto"/>
        <w:rPr>
          <w:rFonts w:cstheme="minorHAnsi"/>
          <w:color w:val="231F20"/>
        </w:rPr>
      </w:pPr>
      <w:r w:rsidRPr="00C73226">
        <w:rPr>
          <w:rFonts w:cstheme="minorHAnsi"/>
          <w:color w:val="231F20"/>
          <w:w w:val="105"/>
        </w:rPr>
        <w:t>public or private nonprofit</w:t>
      </w:r>
      <w:r w:rsidRPr="00C73226">
        <w:rPr>
          <w:rFonts w:cstheme="minorHAnsi"/>
          <w:color w:val="231F20"/>
          <w:spacing w:val="18"/>
          <w:w w:val="105"/>
        </w:rPr>
        <w:t xml:space="preserve"> </w:t>
      </w:r>
      <w:r w:rsidRPr="00C73226">
        <w:rPr>
          <w:rFonts w:cstheme="minorHAnsi"/>
          <w:color w:val="231F20"/>
          <w:w w:val="105"/>
        </w:rPr>
        <w:t>agency;</w:t>
      </w:r>
    </w:p>
    <w:p w14:paraId="23CABC6D" w14:textId="77777777" w:rsidR="00C73226" w:rsidRPr="00C73226" w:rsidRDefault="00C73226" w:rsidP="00D63204">
      <w:pPr>
        <w:pStyle w:val="ListParagraph"/>
        <w:widowControl w:val="0"/>
        <w:spacing w:before="85" w:after="0" w:line="240" w:lineRule="auto"/>
        <w:ind w:left="827"/>
        <w:rPr>
          <w:rFonts w:cstheme="minorHAnsi"/>
          <w:color w:val="231F20"/>
        </w:rPr>
      </w:pPr>
    </w:p>
    <w:p w14:paraId="6080747B" w14:textId="13067E1E" w:rsidR="004A45CE" w:rsidRPr="00C73226" w:rsidRDefault="004A45CE" w:rsidP="00D63204">
      <w:pPr>
        <w:pStyle w:val="ListParagraph"/>
        <w:widowControl w:val="0"/>
        <w:numPr>
          <w:ilvl w:val="0"/>
          <w:numId w:val="33"/>
        </w:numPr>
        <w:spacing w:before="85" w:after="0" w:line="240" w:lineRule="auto"/>
        <w:rPr>
          <w:rFonts w:cstheme="minorHAnsi"/>
          <w:color w:val="231F20"/>
        </w:rPr>
      </w:pPr>
      <w:r w:rsidRPr="00C73226">
        <w:rPr>
          <w:rFonts w:cstheme="minorHAnsi"/>
          <w:color w:val="231F20"/>
          <w:w w:val="105"/>
        </w:rPr>
        <w:t>library; a public housing</w:t>
      </w:r>
      <w:r w:rsidRPr="00C73226">
        <w:rPr>
          <w:rFonts w:cstheme="minorHAnsi"/>
          <w:color w:val="231F20"/>
          <w:spacing w:val="17"/>
          <w:w w:val="105"/>
        </w:rPr>
        <w:t xml:space="preserve"> </w:t>
      </w:r>
      <w:r w:rsidRPr="00C73226">
        <w:rPr>
          <w:rFonts w:cstheme="minorHAnsi"/>
          <w:color w:val="231F20"/>
          <w:w w:val="105"/>
        </w:rPr>
        <w:t>authority;</w:t>
      </w:r>
    </w:p>
    <w:p w14:paraId="7B20EF01" w14:textId="77777777" w:rsidR="00C73226" w:rsidRPr="00C73226" w:rsidRDefault="00C73226" w:rsidP="00D63204">
      <w:pPr>
        <w:pStyle w:val="ListParagraph"/>
        <w:widowControl w:val="0"/>
        <w:spacing w:before="85" w:after="0" w:line="240" w:lineRule="auto"/>
        <w:ind w:left="827"/>
        <w:rPr>
          <w:rFonts w:cstheme="minorHAnsi"/>
          <w:color w:val="231F20"/>
        </w:rPr>
      </w:pPr>
    </w:p>
    <w:p w14:paraId="61DC9411" w14:textId="77777777" w:rsidR="00C73226" w:rsidRDefault="004A45CE" w:rsidP="00D63204">
      <w:pPr>
        <w:pStyle w:val="ListParagraph"/>
        <w:widowControl w:val="0"/>
        <w:numPr>
          <w:ilvl w:val="0"/>
          <w:numId w:val="33"/>
        </w:numPr>
        <w:spacing w:before="85" w:after="0" w:line="240" w:lineRule="auto"/>
        <w:rPr>
          <w:rFonts w:cstheme="minorHAnsi"/>
          <w:color w:val="231F20"/>
          <w:w w:val="105"/>
        </w:rPr>
      </w:pPr>
      <w:r w:rsidRPr="00C73226">
        <w:rPr>
          <w:rFonts w:cstheme="minorHAnsi"/>
          <w:color w:val="231F20"/>
          <w:w w:val="105"/>
        </w:rPr>
        <w:t xml:space="preserve">nonprofit institution with the ability to provide adult education and </w:t>
      </w:r>
      <w:r w:rsidRPr="00200690">
        <w:rPr>
          <w:rFonts w:cstheme="minorHAnsi"/>
          <w:w w:val="105"/>
        </w:rPr>
        <w:t>literacy services</w:t>
      </w:r>
      <w:r w:rsidRPr="00C73226">
        <w:rPr>
          <w:rFonts w:cstheme="minorHAnsi"/>
          <w:color w:val="231F20"/>
          <w:w w:val="105"/>
        </w:rPr>
        <w:t>;</w:t>
      </w:r>
    </w:p>
    <w:p w14:paraId="30ECFB0B" w14:textId="77777777" w:rsidR="00C73226" w:rsidRPr="00C73226" w:rsidRDefault="00C73226" w:rsidP="00C73226">
      <w:pPr>
        <w:pStyle w:val="ListParagraph"/>
        <w:rPr>
          <w:rFonts w:cstheme="minorHAnsi"/>
          <w:color w:val="231F20"/>
          <w:w w:val="105"/>
        </w:rPr>
      </w:pPr>
    </w:p>
    <w:p w14:paraId="41F7B37B" w14:textId="65B355A9" w:rsidR="004A45CE" w:rsidRDefault="004A45CE" w:rsidP="00D63204">
      <w:pPr>
        <w:pStyle w:val="ListParagraph"/>
        <w:widowControl w:val="0"/>
        <w:numPr>
          <w:ilvl w:val="0"/>
          <w:numId w:val="33"/>
        </w:numPr>
        <w:spacing w:before="85" w:after="0" w:line="240" w:lineRule="auto"/>
        <w:rPr>
          <w:rFonts w:cstheme="minorHAnsi"/>
          <w:color w:val="231F20"/>
          <w:w w:val="105"/>
        </w:rPr>
      </w:pPr>
      <w:r w:rsidRPr="00C73226">
        <w:rPr>
          <w:rFonts w:cstheme="minorHAnsi"/>
          <w:color w:val="231F20"/>
          <w:w w:val="105"/>
        </w:rPr>
        <w:t>consortium or coalition of agencies, organizations, institutions, libraries, or authorities</w:t>
      </w:r>
      <w:r w:rsidRPr="00C73226">
        <w:rPr>
          <w:rFonts w:cstheme="minorHAnsi"/>
          <w:color w:val="231F20"/>
          <w:spacing w:val="14"/>
          <w:w w:val="105"/>
        </w:rPr>
        <w:t xml:space="preserve"> </w:t>
      </w:r>
      <w:r w:rsidRPr="00C73226">
        <w:rPr>
          <w:rFonts w:cstheme="minorHAnsi"/>
          <w:color w:val="231F20"/>
          <w:w w:val="105"/>
        </w:rPr>
        <w:t>described</w:t>
      </w:r>
      <w:r w:rsidRPr="00C73226">
        <w:rPr>
          <w:rFonts w:cstheme="minorHAnsi"/>
          <w:color w:val="231F20"/>
          <w:w w:val="110"/>
        </w:rPr>
        <w:t xml:space="preserve"> </w:t>
      </w:r>
      <w:r w:rsidRPr="00C73226">
        <w:rPr>
          <w:rFonts w:cstheme="minorHAnsi"/>
          <w:color w:val="231F20"/>
          <w:w w:val="105"/>
        </w:rPr>
        <w:t>above;</w:t>
      </w:r>
      <w:r w:rsidR="00C73226" w:rsidRPr="00C73226">
        <w:rPr>
          <w:rFonts w:cstheme="minorHAnsi"/>
          <w:color w:val="231F20"/>
          <w:spacing w:val="4"/>
          <w:w w:val="105"/>
        </w:rPr>
        <w:t xml:space="preserve"> </w:t>
      </w:r>
      <w:r w:rsidRPr="00C73226">
        <w:rPr>
          <w:rFonts w:cstheme="minorHAnsi"/>
          <w:color w:val="231F20"/>
          <w:w w:val="105"/>
        </w:rPr>
        <w:t>and</w:t>
      </w:r>
      <w:r w:rsidR="00C73226">
        <w:rPr>
          <w:rFonts w:cstheme="minorHAnsi"/>
          <w:color w:val="231F20"/>
          <w:w w:val="105"/>
        </w:rPr>
        <w:t>,</w:t>
      </w:r>
      <w:r w:rsidR="00C73226">
        <w:rPr>
          <w:rFonts w:cstheme="minorHAnsi"/>
          <w:color w:val="231F20"/>
          <w:w w:val="105"/>
        </w:rPr>
        <w:br/>
      </w:r>
    </w:p>
    <w:p w14:paraId="56AD4183" w14:textId="6C371E18" w:rsidR="004A45CE" w:rsidRPr="006172CC" w:rsidRDefault="004A45CE" w:rsidP="00D63204">
      <w:pPr>
        <w:pStyle w:val="ListParagraph"/>
        <w:widowControl w:val="0"/>
        <w:numPr>
          <w:ilvl w:val="0"/>
          <w:numId w:val="33"/>
        </w:numPr>
        <w:spacing w:before="85" w:after="0" w:line="240" w:lineRule="auto"/>
        <w:rPr>
          <w:rFonts w:cstheme="minorHAnsi"/>
          <w:color w:val="231F20"/>
          <w:w w:val="105"/>
        </w:rPr>
      </w:pPr>
      <w:r w:rsidRPr="00C73226">
        <w:rPr>
          <w:rFonts w:cstheme="minorHAnsi"/>
          <w:color w:val="231F20"/>
          <w:w w:val="105"/>
        </w:rPr>
        <w:t>partnerships between an employer and an entity described</w:t>
      </w:r>
      <w:r w:rsidRPr="006172CC">
        <w:rPr>
          <w:rFonts w:cstheme="minorHAnsi"/>
          <w:color w:val="231F20"/>
          <w:w w:val="105"/>
        </w:rPr>
        <w:t xml:space="preserve"> </w:t>
      </w:r>
      <w:r w:rsidRPr="00C73226">
        <w:rPr>
          <w:rFonts w:cstheme="minorHAnsi"/>
          <w:color w:val="231F20"/>
          <w:w w:val="105"/>
        </w:rPr>
        <w:t>above.</w:t>
      </w:r>
      <w:bookmarkEnd w:id="91"/>
    </w:p>
    <w:p w14:paraId="198A6A78" w14:textId="77777777" w:rsidR="00C73226" w:rsidRPr="00C73226" w:rsidRDefault="00C73226" w:rsidP="00D63204">
      <w:pPr>
        <w:pStyle w:val="ListParagraph"/>
        <w:widowControl w:val="0"/>
        <w:tabs>
          <w:tab w:val="left" w:pos="668"/>
        </w:tabs>
        <w:spacing w:before="91" w:after="0" w:line="240" w:lineRule="auto"/>
        <w:ind w:left="827"/>
        <w:rPr>
          <w:rFonts w:cstheme="minorHAnsi"/>
          <w:color w:val="231F20"/>
        </w:rPr>
      </w:pPr>
    </w:p>
    <w:p w14:paraId="3D289188" w14:textId="4AC1EB6E" w:rsidR="004A45CE" w:rsidRPr="00E06806" w:rsidRDefault="004A45CE" w:rsidP="00A139DB">
      <w:pPr>
        <w:widowControl w:val="0"/>
        <w:spacing w:before="193" w:after="0" w:line="240" w:lineRule="auto"/>
        <w:ind w:left="107"/>
        <w:rPr>
          <w:rFonts w:cstheme="minorHAnsi"/>
          <w:sz w:val="16"/>
          <w:szCs w:val="16"/>
        </w:rPr>
      </w:pPr>
      <w:r w:rsidRPr="00A139DB">
        <w:rPr>
          <w:rFonts w:cstheme="minorHAnsi"/>
          <w:color w:val="231F20"/>
          <w:w w:val="105"/>
        </w:rPr>
        <w:t>In the grant and contract awarding process, the required 13 considerations identified in Section 231 were included in the evaluation and selection process. Other factors considered included: the ability of the eligible provider to meet the literacy needs of the area, the ability to comply with WIOA expectations, the past performance of the entity in providing literacy instruction and meeting programmatic goals</w:t>
      </w:r>
      <w:r w:rsidR="00D5537E" w:rsidRPr="00A139DB">
        <w:rPr>
          <w:rFonts w:cstheme="minorHAnsi"/>
          <w:color w:val="231F20"/>
          <w:w w:val="105"/>
        </w:rPr>
        <w:t xml:space="preserve"> and</w:t>
      </w:r>
      <w:r w:rsidRPr="00A139DB">
        <w:rPr>
          <w:rFonts w:cstheme="minorHAnsi"/>
          <w:color w:val="231F20"/>
          <w:w w:val="105"/>
        </w:rPr>
        <w:t xml:space="preserve"> the overall qualifications and expertise of the provider’s personnel.</w:t>
      </w:r>
    </w:p>
    <w:p w14:paraId="0BF15D8C" w14:textId="4C6A9961" w:rsidR="005B326C" w:rsidRDefault="00437163" w:rsidP="00A139DB">
      <w:pPr>
        <w:widowControl w:val="0"/>
        <w:spacing w:before="193" w:after="0" w:line="240" w:lineRule="auto"/>
        <w:ind w:left="107"/>
        <w:rPr>
          <w:rFonts w:cstheme="minorHAnsi"/>
        </w:rPr>
      </w:pPr>
      <w:r w:rsidRPr="00A139DB">
        <w:rPr>
          <w:rFonts w:cstheme="minorHAnsi"/>
          <w:color w:val="231F20"/>
          <w:w w:val="105"/>
        </w:rPr>
        <w:t xml:space="preserve">As part of the grant application awarding process, Florida incorporated integrated education and training services which provide adult education and literacy activities concurrently and contextually with workforce </w:t>
      </w:r>
      <w:r w:rsidRPr="00A139DB">
        <w:rPr>
          <w:rFonts w:cstheme="minorHAnsi"/>
          <w:color w:val="231F20"/>
          <w:w w:val="105"/>
        </w:rPr>
        <w:lastRenderedPageBreak/>
        <w:t>preparation and training for a specific occupation and occupational cluster for educational and career advancement. In total, 66 eligible providers were awarded more than $2.8M in AEFLA funds.</w:t>
      </w:r>
      <w:r>
        <w:rPr>
          <w:rFonts w:cstheme="minorHAnsi"/>
        </w:rPr>
        <w:t xml:space="preserve"> </w:t>
      </w:r>
    </w:p>
    <w:p w14:paraId="76DD4382" w14:textId="77777777" w:rsidR="004A45CE" w:rsidRPr="00E06806" w:rsidRDefault="004A45CE" w:rsidP="00D63204">
      <w:pPr>
        <w:widowControl w:val="0"/>
        <w:spacing w:before="6" w:after="0" w:line="240" w:lineRule="auto"/>
        <w:ind w:left="107"/>
        <w:rPr>
          <w:rFonts w:cstheme="minorHAnsi"/>
          <w:sz w:val="16"/>
          <w:szCs w:val="16"/>
        </w:rPr>
      </w:pPr>
    </w:p>
    <w:p w14:paraId="31512330" w14:textId="6EEB4F6F" w:rsidR="00EA7458" w:rsidRPr="00C73226" w:rsidRDefault="00EA7458" w:rsidP="00D63204">
      <w:pPr>
        <w:pStyle w:val="ListParagraph"/>
        <w:widowControl w:val="0"/>
        <w:numPr>
          <w:ilvl w:val="0"/>
          <w:numId w:val="32"/>
        </w:numPr>
        <w:tabs>
          <w:tab w:val="left" w:pos="3168"/>
        </w:tabs>
        <w:spacing w:after="0" w:line="240" w:lineRule="auto"/>
        <w:rPr>
          <w:rFonts w:cstheme="minorHAnsi"/>
        </w:rPr>
      </w:pPr>
      <w:r w:rsidRPr="00C73226">
        <w:rPr>
          <w:rFonts w:cstheme="minorHAnsi"/>
          <w:color w:val="295CA3"/>
          <w:w w:val="105"/>
        </w:rPr>
        <w:t>Direct and equitable access to all eligible</w:t>
      </w:r>
      <w:r w:rsidRPr="00C73226">
        <w:rPr>
          <w:rFonts w:cstheme="minorHAnsi"/>
          <w:color w:val="295CA3"/>
          <w:spacing w:val="49"/>
          <w:w w:val="105"/>
        </w:rPr>
        <w:t xml:space="preserve"> </w:t>
      </w:r>
      <w:r w:rsidRPr="00C73226">
        <w:rPr>
          <w:rFonts w:cstheme="minorHAnsi"/>
          <w:color w:val="295CA3"/>
          <w:w w:val="105"/>
        </w:rPr>
        <w:t>providers</w:t>
      </w:r>
    </w:p>
    <w:p w14:paraId="6D44E7EB" w14:textId="4B1DA485" w:rsidR="005B326C" w:rsidRPr="00563D9D" w:rsidRDefault="004A45CE" w:rsidP="00563D9D">
      <w:pPr>
        <w:widowControl w:val="0"/>
        <w:spacing w:before="193" w:after="0" w:line="240" w:lineRule="auto"/>
        <w:ind w:left="107"/>
        <w:rPr>
          <w:rFonts w:cstheme="minorHAnsi"/>
          <w:color w:val="231F20"/>
          <w:w w:val="105"/>
        </w:rPr>
      </w:pPr>
      <w:r w:rsidRPr="00563D9D">
        <w:rPr>
          <w:rFonts w:cstheme="minorHAnsi"/>
          <w:color w:val="231F20"/>
          <w:w w:val="105"/>
        </w:rPr>
        <w:t>DCAE ensures all eligible providers have direct and equitable access to apply and compete for grants and contracts. The Request for Proposal (RFP) announcement was distributed through various communication outlets including: Florida Department of Education (FDOE) communication system, regional</w:t>
      </w:r>
      <w:r w:rsidR="00D5537E" w:rsidRPr="00563D9D">
        <w:rPr>
          <w:rFonts w:cstheme="minorHAnsi"/>
          <w:color w:val="231F20"/>
          <w:w w:val="105"/>
        </w:rPr>
        <w:t xml:space="preserve"> and</w:t>
      </w:r>
      <w:r w:rsidRPr="00563D9D">
        <w:rPr>
          <w:rFonts w:cstheme="minorHAnsi"/>
          <w:color w:val="231F20"/>
          <w:w w:val="105"/>
        </w:rPr>
        <w:t xml:space="preserve"> local newspapers, formal press release, announcement on the FDOE website, major statewide educational publications, </w:t>
      </w:r>
      <w:r w:rsidR="00596AF3">
        <w:rPr>
          <w:rFonts w:cstheme="minorHAnsi"/>
          <w:color w:val="231F20"/>
          <w:w w:val="105"/>
        </w:rPr>
        <w:t xml:space="preserve">and </w:t>
      </w:r>
      <w:r w:rsidRPr="00563D9D">
        <w:rPr>
          <w:rFonts w:cstheme="minorHAnsi"/>
          <w:color w:val="231F20"/>
          <w:w w:val="105"/>
        </w:rPr>
        <w:t>radio</w:t>
      </w:r>
      <w:r w:rsidR="00D5537E" w:rsidRPr="00563D9D">
        <w:rPr>
          <w:rFonts w:cstheme="minorHAnsi"/>
          <w:color w:val="231F20"/>
          <w:w w:val="105"/>
        </w:rPr>
        <w:t xml:space="preserve"> and</w:t>
      </w:r>
      <w:r w:rsidRPr="00563D9D">
        <w:rPr>
          <w:rFonts w:cstheme="minorHAnsi"/>
          <w:color w:val="231F20"/>
          <w:w w:val="105"/>
        </w:rPr>
        <w:t xml:space="preserve"> television stations to ensure all prospective eligible providers had access to the same standardized information. An annual webinar was conducted to review the grant application process and facilitate any questions from prospective eligible providers. Grant application procedures were the same for all eligible providers</w:t>
      </w:r>
      <w:r w:rsidR="005E7C49" w:rsidRPr="00563D9D">
        <w:rPr>
          <w:rFonts w:cstheme="minorHAnsi"/>
          <w:color w:val="231F20"/>
          <w:w w:val="105"/>
        </w:rPr>
        <w:t xml:space="preserve">. </w:t>
      </w:r>
    </w:p>
    <w:p w14:paraId="5F16D56D" w14:textId="77777777" w:rsidR="00EA7458" w:rsidRPr="00E06806" w:rsidRDefault="00EA7458" w:rsidP="00D63204">
      <w:pPr>
        <w:widowControl w:val="0"/>
        <w:spacing w:before="6" w:after="0" w:line="240" w:lineRule="auto"/>
        <w:ind w:left="107"/>
        <w:rPr>
          <w:rFonts w:cstheme="minorHAnsi"/>
          <w:sz w:val="16"/>
          <w:szCs w:val="16"/>
        </w:rPr>
      </w:pPr>
    </w:p>
    <w:p w14:paraId="0A06A917" w14:textId="32DB8ECF" w:rsidR="00EA7458" w:rsidRPr="00C73226" w:rsidRDefault="00EA7458" w:rsidP="00D63204">
      <w:pPr>
        <w:pStyle w:val="ListParagraph"/>
        <w:widowControl w:val="0"/>
        <w:numPr>
          <w:ilvl w:val="0"/>
          <w:numId w:val="31"/>
        </w:numPr>
        <w:tabs>
          <w:tab w:val="left" w:pos="2268"/>
        </w:tabs>
        <w:spacing w:after="0" w:line="240" w:lineRule="auto"/>
        <w:rPr>
          <w:rFonts w:cstheme="minorHAnsi"/>
        </w:rPr>
      </w:pPr>
      <w:r w:rsidRPr="00C73226">
        <w:rPr>
          <w:rFonts w:cstheme="minorHAnsi"/>
          <w:color w:val="295CA3"/>
          <w:w w:val="105"/>
        </w:rPr>
        <w:t>Title IV Vocational</w:t>
      </w:r>
      <w:r w:rsidRPr="00C73226">
        <w:rPr>
          <w:rFonts w:cstheme="minorHAnsi"/>
          <w:color w:val="295CA3"/>
          <w:spacing w:val="13"/>
          <w:w w:val="105"/>
        </w:rPr>
        <w:t xml:space="preserve"> </w:t>
      </w:r>
      <w:r w:rsidRPr="00C73226">
        <w:rPr>
          <w:rFonts w:cstheme="minorHAnsi"/>
          <w:color w:val="295CA3"/>
          <w:w w:val="105"/>
        </w:rPr>
        <w:t>Rehabilitation</w:t>
      </w:r>
    </w:p>
    <w:p w14:paraId="3288A080" w14:textId="5D7EEF36" w:rsidR="00EA7458" w:rsidRDefault="004A45CE" w:rsidP="00563D9D">
      <w:pPr>
        <w:widowControl w:val="0"/>
        <w:spacing w:before="193" w:after="0" w:line="240" w:lineRule="auto"/>
        <w:ind w:left="107"/>
        <w:rPr>
          <w:rFonts w:cstheme="minorHAnsi"/>
          <w:color w:val="231F20"/>
          <w:w w:val="105"/>
        </w:rPr>
      </w:pPr>
      <w:r w:rsidRPr="00E06806">
        <w:rPr>
          <w:rFonts w:cstheme="minorHAnsi"/>
          <w:color w:val="231F20"/>
          <w:w w:val="105"/>
        </w:rPr>
        <w:t>In Florida, vocational rehabilitation services are delivered by the Division of Vocational</w:t>
      </w:r>
      <w:r w:rsidRPr="00563D9D">
        <w:rPr>
          <w:rFonts w:cstheme="minorHAnsi"/>
          <w:color w:val="231F20"/>
          <w:w w:val="105"/>
        </w:rPr>
        <w:t xml:space="preserve"> </w:t>
      </w:r>
      <w:r w:rsidRPr="00E06806">
        <w:rPr>
          <w:rFonts w:cstheme="minorHAnsi"/>
          <w:color w:val="231F20"/>
          <w:w w:val="105"/>
        </w:rPr>
        <w:t>Rehabilitation</w:t>
      </w:r>
      <w:r w:rsidRPr="00563D9D">
        <w:rPr>
          <w:rFonts w:cstheme="minorHAnsi"/>
          <w:color w:val="231F20"/>
          <w:w w:val="105"/>
        </w:rPr>
        <w:t xml:space="preserve"> </w:t>
      </w:r>
      <w:r w:rsidRPr="00E06806">
        <w:rPr>
          <w:rFonts w:cstheme="minorHAnsi"/>
          <w:color w:val="231F20"/>
          <w:w w:val="105"/>
        </w:rPr>
        <w:t>(VR)</w:t>
      </w:r>
      <w:r w:rsidR="00D5537E">
        <w:rPr>
          <w:rFonts w:cstheme="minorHAnsi"/>
          <w:color w:val="231F20"/>
          <w:w w:val="105"/>
        </w:rPr>
        <w:t xml:space="preserve"> and</w:t>
      </w:r>
      <w:r w:rsidRPr="00563D9D">
        <w:rPr>
          <w:rFonts w:cstheme="minorHAnsi"/>
          <w:color w:val="231F20"/>
          <w:w w:val="105"/>
        </w:rPr>
        <w:t xml:space="preserve"> </w:t>
      </w:r>
      <w:r w:rsidRPr="00E06806">
        <w:rPr>
          <w:rFonts w:cstheme="minorHAnsi"/>
          <w:color w:val="231F20"/>
          <w:w w:val="105"/>
        </w:rPr>
        <w:t>Division</w:t>
      </w:r>
      <w:r w:rsidRPr="00563D9D">
        <w:rPr>
          <w:rFonts w:cstheme="minorHAnsi"/>
          <w:color w:val="231F20"/>
          <w:w w:val="105"/>
        </w:rPr>
        <w:t xml:space="preserve"> </w:t>
      </w:r>
      <w:r w:rsidRPr="00E06806">
        <w:rPr>
          <w:rFonts w:cstheme="minorHAnsi"/>
          <w:color w:val="231F20"/>
          <w:w w:val="105"/>
        </w:rPr>
        <w:t>of</w:t>
      </w:r>
      <w:r w:rsidRPr="00563D9D">
        <w:rPr>
          <w:rFonts w:cstheme="minorHAnsi"/>
          <w:color w:val="231F20"/>
          <w:w w:val="105"/>
        </w:rPr>
        <w:t xml:space="preserve"> </w:t>
      </w:r>
      <w:r w:rsidRPr="00E06806">
        <w:rPr>
          <w:rFonts w:cstheme="minorHAnsi"/>
          <w:color w:val="231F20"/>
          <w:w w:val="105"/>
        </w:rPr>
        <w:t>Blind</w:t>
      </w:r>
      <w:r w:rsidRPr="00563D9D">
        <w:rPr>
          <w:rFonts w:cstheme="minorHAnsi"/>
          <w:color w:val="231F20"/>
          <w:w w:val="105"/>
        </w:rPr>
        <w:t xml:space="preserve"> </w:t>
      </w:r>
      <w:r w:rsidRPr="00E06806">
        <w:rPr>
          <w:rFonts w:cstheme="minorHAnsi"/>
          <w:color w:val="231F20"/>
          <w:w w:val="105"/>
        </w:rPr>
        <w:t>Services</w:t>
      </w:r>
      <w:r w:rsidRPr="00563D9D">
        <w:rPr>
          <w:rFonts w:cstheme="minorHAnsi"/>
          <w:color w:val="231F20"/>
          <w:w w:val="105"/>
        </w:rPr>
        <w:t xml:space="preserve"> </w:t>
      </w:r>
      <w:r w:rsidRPr="00E06806">
        <w:rPr>
          <w:rFonts w:cstheme="minorHAnsi"/>
          <w:color w:val="231F20"/>
          <w:w w:val="105"/>
        </w:rPr>
        <w:t>(FDBS), both of which are administratively housed in the Florida Department of Education.</w:t>
      </w:r>
      <w:r w:rsidRPr="00563D9D">
        <w:rPr>
          <w:rFonts w:cstheme="minorHAnsi"/>
          <w:color w:val="231F20"/>
          <w:w w:val="105"/>
        </w:rPr>
        <w:t xml:space="preserve"> </w:t>
      </w:r>
      <w:r w:rsidRPr="00E06806">
        <w:rPr>
          <w:rFonts w:cstheme="minorHAnsi"/>
          <w:color w:val="231F20"/>
          <w:w w:val="105"/>
        </w:rPr>
        <w:t>Based</w:t>
      </w:r>
      <w:r w:rsidRPr="00563D9D">
        <w:rPr>
          <w:rFonts w:cstheme="minorHAnsi"/>
          <w:color w:val="231F20"/>
          <w:w w:val="105"/>
        </w:rPr>
        <w:t xml:space="preserve"> </w:t>
      </w:r>
      <w:r w:rsidRPr="00E06806">
        <w:rPr>
          <w:rFonts w:cstheme="minorHAnsi"/>
          <w:color w:val="231F20"/>
          <w:w w:val="105"/>
        </w:rPr>
        <w:t>on</w:t>
      </w:r>
      <w:r w:rsidRPr="00563D9D">
        <w:rPr>
          <w:rFonts w:cstheme="minorHAnsi"/>
          <w:color w:val="231F20"/>
          <w:w w:val="105"/>
        </w:rPr>
        <w:t xml:space="preserve"> </w:t>
      </w:r>
      <w:r w:rsidRPr="00E06806">
        <w:rPr>
          <w:rFonts w:cstheme="minorHAnsi"/>
          <w:color w:val="231F20"/>
          <w:w w:val="105"/>
        </w:rPr>
        <w:t>a</w:t>
      </w:r>
      <w:r w:rsidRPr="00563D9D">
        <w:rPr>
          <w:rFonts w:cstheme="minorHAnsi"/>
          <w:color w:val="231F20"/>
          <w:w w:val="105"/>
        </w:rPr>
        <w:t xml:space="preserve"> </w:t>
      </w:r>
      <w:r w:rsidRPr="00E06806">
        <w:rPr>
          <w:rFonts w:cstheme="minorHAnsi"/>
          <w:color w:val="231F20"/>
          <w:w w:val="105"/>
        </w:rPr>
        <w:t>mutual</w:t>
      </w:r>
      <w:r w:rsidRPr="00563D9D">
        <w:rPr>
          <w:rFonts w:cstheme="minorHAnsi"/>
          <w:color w:val="231F20"/>
          <w:w w:val="105"/>
        </w:rPr>
        <w:t xml:space="preserve"> </w:t>
      </w:r>
      <w:r w:rsidRPr="00E06806">
        <w:rPr>
          <w:rFonts w:cstheme="minorHAnsi"/>
          <w:color w:val="231F20"/>
          <w:w w:val="105"/>
        </w:rPr>
        <w:t>letter</w:t>
      </w:r>
      <w:r w:rsidRPr="00563D9D">
        <w:rPr>
          <w:rFonts w:cstheme="minorHAnsi"/>
          <w:color w:val="231F20"/>
          <w:w w:val="105"/>
        </w:rPr>
        <w:t xml:space="preserve"> </w:t>
      </w:r>
      <w:r w:rsidRPr="00E06806">
        <w:rPr>
          <w:rFonts w:cstheme="minorHAnsi"/>
          <w:color w:val="231F20"/>
          <w:w w:val="105"/>
        </w:rPr>
        <w:t>of</w:t>
      </w:r>
      <w:r w:rsidRPr="00563D9D">
        <w:rPr>
          <w:rFonts w:cstheme="minorHAnsi"/>
          <w:color w:val="231F20"/>
          <w:w w:val="105"/>
        </w:rPr>
        <w:t xml:space="preserve"> </w:t>
      </w:r>
      <w:r w:rsidRPr="00E06806">
        <w:rPr>
          <w:rFonts w:cstheme="minorHAnsi"/>
          <w:color w:val="231F20"/>
          <w:w w:val="105"/>
        </w:rPr>
        <w:t>understanding,</w:t>
      </w:r>
      <w:r w:rsidRPr="00563D9D">
        <w:rPr>
          <w:rFonts w:cstheme="minorHAnsi"/>
          <w:color w:val="231F20"/>
          <w:w w:val="105"/>
        </w:rPr>
        <w:t xml:space="preserve"> </w:t>
      </w:r>
      <w:r w:rsidRPr="00E06806">
        <w:rPr>
          <w:rFonts w:cstheme="minorHAnsi"/>
          <w:color w:val="231F20"/>
          <w:w w:val="105"/>
        </w:rPr>
        <w:t>Florida’s</w:t>
      </w:r>
      <w:r w:rsidRPr="00563D9D">
        <w:rPr>
          <w:rFonts w:cstheme="minorHAnsi"/>
          <w:color w:val="231F20"/>
          <w:w w:val="105"/>
        </w:rPr>
        <w:t xml:space="preserve"> </w:t>
      </w:r>
      <w:r w:rsidRPr="00E06806">
        <w:rPr>
          <w:rFonts w:cstheme="minorHAnsi"/>
          <w:color w:val="231F20"/>
          <w:w w:val="105"/>
        </w:rPr>
        <w:t>federal</w:t>
      </w:r>
      <w:r w:rsidRPr="00563D9D">
        <w:rPr>
          <w:rFonts w:cstheme="minorHAnsi"/>
          <w:color w:val="231F20"/>
          <w:w w:val="105"/>
        </w:rPr>
        <w:t xml:space="preserve"> </w:t>
      </w:r>
      <w:r w:rsidRPr="00E06806">
        <w:rPr>
          <w:rFonts w:cstheme="minorHAnsi"/>
          <w:color w:val="231F20"/>
          <w:w w:val="105"/>
        </w:rPr>
        <w:t>grant</w:t>
      </w:r>
      <w:r w:rsidRPr="00563D9D">
        <w:rPr>
          <w:rFonts w:cstheme="minorHAnsi"/>
          <w:color w:val="231F20"/>
          <w:w w:val="105"/>
        </w:rPr>
        <w:t xml:space="preserve"> </w:t>
      </w:r>
      <w:r w:rsidRPr="00E06806">
        <w:rPr>
          <w:rFonts w:cstheme="minorHAnsi"/>
          <w:color w:val="231F20"/>
          <w:w w:val="105"/>
        </w:rPr>
        <w:t>funding</w:t>
      </w:r>
      <w:r w:rsidRPr="00563D9D">
        <w:rPr>
          <w:rFonts w:cstheme="minorHAnsi"/>
          <w:color w:val="231F20"/>
          <w:w w:val="105"/>
        </w:rPr>
        <w:t xml:space="preserve"> </w:t>
      </w:r>
      <w:r w:rsidRPr="00E06806">
        <w:rPr>
          <w:rFonts w:cstheme="minorHAnsi"/>
          <w:color w:val="231F20"/>
          <w:w w:val="105"/>
        </w:rPr>
        <w:t>for</w:t>
      </w:r>
      <w:r w:rsidRPr="00563D9D">
        <w:rPr>
          <w:rFonts w:cstheme="minorHAnsi"/>
          <w:color w:val="231F20"/>
          <w:w w:val="105"/>
        </w:rPr>
        <w:t xml:space="preserve"> </w:t>
      </w:r>
      <w:r w:rsidRPr="00E06806">
        <w:rPr>
          <w:rFonts w:cstheme="minorHAnsi"/>
          <w:color w:val="231F20"/>
          <w:w w:val="105"/>
        </w:rPr>
        <w:t>vocational</w:t>
      </w:r>
      <w:r w:rsidRPr="00563D9D">
        <w:rPr>
          <w:rFonts w:cstheme="minorHAnsi"/>
          <w:color w:val="231F20"/>
          <w:w w:val="105"/>
        </w:rPr>
        <w:t xml:space="preserve"> </w:t>
      </w:r>
      <w:r w:rsidRPr="00E06806">
        <w:rPr>
          <w:rFonts w:cstheme="minorHAnsi"/>
          <w:color w:val="231F20"/>
          <w:w w:val="105"/>
        </w:rPr>
        <w:t>rehabilitation</w:t>
      </w:r>
      <w:r w:rsidRPr="00563D9D">
        <w:rPr>
          <w:rFonts w:cstheme="minorHAnsi"/>
          <w:color w:val="231F20"/>
          <w:w w:val="105"/>
        </w:rPr>
        <w:t xml:space="preserve"> </w:t>
      </w:r>
      <w:r w:rsidRPr="00E06806">
        <w:rPr>
          <w:rFonts w:cstheme="minorHAnsi"/>
          <w:color w:val="231F20"/>
          <w:w w:val="105"/>
        </w:rPr>
        <w:t>services</w:t>
      </w:r>
      <w:r w:rsidRPr="00563D9D">
        <w:rPr>
          <w:rFonts w:cstheme="minorHAnsi"/>
          <w:color w:val="231F20"/>
          <w:w w:val="105"/>
        </w:rPr>
        <w:t xml:space="preserve"> </w:t>
      </w:r>
      <w:r w:rsidRPr="00E06806">
        <w:rPr>
          <w:rFonts w:cstheme="minorHAnsi"/>
          <w:color w:val="231F20"/>
          <w:w w:val="105"/>
        </w:rPr>
        <w:t>is</w:t>
      </w:r>
      <w:r w:rsidRPr="00563D9D">
        <w:rPr>
          <w:rFonts w:cstheme="minorHAnsi"/>
          <w:color w:val="231F20"/>
          <w:w w:val="105"/>
        </w:rPr>
        <w:t xml:space="preserve"> </w:t>
      </w:r>
      <w:r w:rsidRPr="00E06806">
        <w:rPr>
          <w:rFonts w:cstheme="minorHAnsi"/>
          <w:color w:val="231F20"/>
          <w:w w:val="105"/>
        </w:rPr>
        <w:t>allocated</w:t>
      </w:r>
      <w:r w:rsidRPr="00563D9D">
        <w:rPr>
          <w:rFonts w:cstheme="minorHAnsi"/>
          <w:color w:val="231F20"/>
          <w:w w:val="105"/>
        </w:rPr>
        <w:t xml:space="preserve"> </w:t>
      </w:r>
      <w:r w:rsidRPr="00E06806">
        <w:rPr>
          <w:rFonts w:cstheme="minorHAnsi"/>
          <w:color w:val="231F20"/>
          <w:w w:val="105"/>
        </w:rPr>
        <w:t>as</w:t>
      </w:r>
      <w:r w:rsidRPr="00563D9D">
        <w:rPr>
          <w:rFonts w:cstheme="minorHAnsi"/>
          <w:color w:val="231F20"/>
          <w:w w:val="105"/>
        </w:rPr>
        <w:t xml:space="preserve"> </w:t>
      </w:r>
      <w:r w:rsidRPr="00E06806">
        <w:rPr>
          <w:rFonts w:cstheme="minorHAnsi"/>
          <w:color w:val="231F20"/>
          <w:w w:val="105"/>
        </w:rPr>
        <w:t>follows:</w:t>
      </w:r>
      <w:r w:rsidRPr="00563D9D">
        <w:rPr>
          <w:rFonts w:cstheme="minorHAnsi"/>
          <w:color w:val="231F20"/>
          <w:w w:val="105"/>
        </w:rPr>
        <w:t xml:space="preserve"> </w:t>
      </w:r>
      <w:r w:rsidRPr="00E06806">
        <w:rPr>
          <w:rFonts w:cstheme="minorHAnsi"/>
          <w:color w:val="231F20"/>
          <w:w w:val="105"/>
        </w:rPr>
        <w:t>83</w:t>
      </w:r>
      <w:r w:rsidR="00B63324">
        <w:rPr>
          <w:rFonts w:cstheme="minorHAnsi"/>
          <w:color w:val="231F20"/>
          <w:w w:val="105"/>
        </w:rPr>
        <w:t xml:space="preserve"> percent</w:t>
      </w:r>
      <w:r w:rsidRPr="00563D9D">
        <w:rPr>
          <w:rFonts w:cstheme="minorHAnsi"/>
          <w:color w:val="231F20"/>
          <w:w w:val="105"/>
        </w:rPr>
        <w:t xml:space="preserve"> </w:t>
      </w:r>
      <w:r w:rsidRPr="00E06806">
        <w:rPr>
          <w:rFonts w:cstheme="minorHAnsi"/>
          <w:color w:val="231F20"/>
          <w:w w:val="105"/>
        </w:rPr>
        <w:t>of</w:t>
      </w:r>
      <w:r w:rsidRPr="00563D9D">
        <w:rPr>
          <w:rFonts w:cstheme="minorHAnsi"/>
          <w:color w:val="231F20"/>
          <w:w w:val="105"/>
        </w:rPr>
        <w:t xml:space="preserve"> </w:t>
      </w:r>
      <w:r w:rsidRPr="00E06806">
        <w:rPr>
          <w:rFonts w:cstheme="minorHAnsi"/>
          <w:color w:val="231F20"/>
          <w:w w:val="105"/>
        </w:rPr>
        <w:t>grant funding is allocated to VR and 17</w:t>
      </w:r>
      <w:r w:rsidR="00B63324">
        <w:rPr>
          <w:rFonts w:cstheme="minorHAnsi"/>
          <w:color w:val="231F20"/>
          <w:w w:val="105"/>
        </w:rPr>
        <w:t xml:space="preserve"> percent</w:t>
      </w:r>
      <w:r w:rsidRPr="00E06806">
        <w:rPr>
          <w:rFonts w:cstheme="minorHAnsi"/>
          <w:color w:val="231F20"/>
          <w:w w:val="105"/>
        </w:rPr>
        <w:t xml:space="preserve"> of grant funding is allocated to FDBS.</w:t>
      </w:r>
    </w:p>
    <w:p w14:paraId="2FC13EE5" w14:textId="77777777" w:rsidR="00C73226" w:rsidRPr="00E06806" w:rsidRDefault="00C73226" w:rsidP="00D63204">
      <w:pPr>
        <w:widowControl w:val="0"/>
        <w:spacing w:after="0" w:line="264" w:lineRule="exact"/>
        <w:ind w:left="107"/>
        <w:rPr>
          <w:rFonts w:cstheme="minorHAnsi"/>
          <w:sz w:val="14"/>
          <w:szCs w:val="14"/>
        </w:rPr>
      </w:pPr>
    </w:p>
    <w:p w14:paraId="3E821289" w14:textId="234F1D0F" w:rsidR="00EA7458" w:rsidRPr="00C73226" w:rsidRDefault="00EA7458" w:rsidP="00D63204">
      <w:pPr>
        <w:pStyle w:val="ListParagraph"/>
        <w:widowControl w:val="0"/>
        <w:numPr>
          <w:ilvl w:val="2"/>
          <w:numId w:val="6"/>
        </w:numPr>
        <w:tabs>
          <w:tab w:val="left" w:pos="1458"/>
        </w:tabs>
        <w:spacing w:before="59" w:after="0" w:line="240" w:lineRule="auto"/>
        <w:outlineLvl w:val="2"/>
        <w:rPr>
          <w:rFonts w:cstheme="minorHAnsi"/>
          <w:color w:val="295CA3"/>
        </w:rPr>
      </w:pPr>
      <w:r w:rsidRPr="00C73226">
        <w:rPr>
          <w:rFonts w:cstheme="minorHAnsi"/>
          <w:b/>
          <w:bCs/>
          <w:color w:val="295CA3"/>
          <w:w w:val="110"/>
        </w:rPr>
        <w:t>Program Data</w:t>
      </w:r>
    </w:p>
    <w:p w14:paraId="537A12A0" w14:textId="6FD61EE9" w:rsidR="00C73226" w:rsidRPr="00C73226" w:rsidRDefault="00C73226" w:rsidP="00D63204">
      <w:pPr>
        <w:pStyle w:val="ListParagraph"/>
        <w:widowControl w:val="0"/>
        <w:tabs>
          <w:tab w:val="left" w:pos="1458"/>
        </w:tabs>
        <w:spacing w:before="59" w:after="0" w:line="240" w:lineRule="auto"/>
        <w:ind w:left="2267"/>
        <w:outlineLvl w:val="2"/>
        <w:rPr>
          <w:rFonts w:cstheme="minorHAnsi"/>
          <w:color w:val="295CA3"/>
        </w:rPr>
      </w:pPr>
    </w:p>
    <w:p w14:paraId="1F0DE8EA" w14:textId="19E23729" w:rsidR="00EA7458" w:rsidRPr="00C73226" w:rsidRDefault="00EA7458" w:rsidP="00D63204">
      <w:pPr>
        <w:pStyle w:val="ListParagraph"/>
        <w:widowControl w:val="0"/>
        <w:numPr>
          <w:ilvl w:val="0"/>
          <w:numId w:val="34"/>
        </w:numPr>
        <w:tabs>
          <w:tab w:val="left" w:pos="2268"/>
        </w:tabs>
        <w:spacing w:before="195" w:after="0" w:line="240" w:lineRule="auto"/>
        <w:rPr>
          <w:rFonts w:cstheme="minorHAnsi"/>
        </w:rPr>
      </w:pPr>
      <w:r w:rsidRPr="00C73226">
        <w:rPr>
          <w:rFonts w:cstheme="minorHAnsi"/>
          <w:color w:val="295CA3"/>
          <w:w w:val="105"/>
        </w:rPr>
        <w:t>Data Alignment and</w:t>
      </w:r>
      <w:r w:rsidRPr="00C73226">
        <w:rPr>
          <w:rFonts w:cstheme="minorHAnsi"/>
          <w:color w:val="295CA3"/>
          <w:spacing w:val="14"/>
          <w:w w:val="105"/>
        </w:rPr>
        <w:t xml:space="preserve"> </w:t>
      </w:r>
      <w:r w:rsidRPr="00C73226">
        <w:rPr>
          <w:rFonts w:cstheme="minorHAnsi"/>
          <w:color w:val="295CA3"/>
          <w:w w:val="105"/>
        </w:rPr>
        <w:t>Integration</w:t>
      </w:r>
    </w:p>
    <w:p w14:paraId="166ADB64" w14:textId="77777777" w:rsidR="00C73226" w:rsidRPr="00C73226" w:rsidRDefault="00C73226" w:rsidP="00D63204">
      <w:pPr>
        <w:pStyle w:val="ListParagraph"/>
        <w:widowControl w:val="0"/>
        <w:tabs>
          <w:tab w:val="left" w:pos="2268"/>
        </w:tabs>
        <w:spacing w:before="195" w:after="0" w:line="240" w:lineRule="auto"/>
        <w:ind w:left="2520"/>
        <w:rPr>
          <w:rFonts w:cstheme="minorHAnsi"/>
        </w:rPr>
      </w:pPr>
    </w:p>
    <w:p w14:paraId="73AD15FF" w14:textId="7E81C14B" w:rsidR="00EA7458" w:rsidRPr="00C73226" w:rsidRDefault="00EA7458" w:rsidP="00D63204">
      <w:pPr>
        <w:pStyle w:val="ListParagraph"/>
        <w:widowControl w:val="0"/>
        <w:numPr>
          <w:ilvl w:val="3"/>
          <w:numId w:val="6"/>
        </w:numPr>
        <w:tabs>
          <w:tab w:val="left" w:pos="3168"/>
        </w:tabs>
        <w:spacing w:before="195" w:after="0" w:line="240" w:lineRule="auto"/>
        <w:rPr>
          <w:rFonts w:cstheme="minorHAnsi"/>
        </w:rPr>
      </w:pPr>
      <w:r w:rsidRPr="00C73226">
        <w:rPr>
          <w:rFonts w:cstheme="minorHAnsi"/>
          <w:color w:val="295CA3"/>
          <w:w w:val="105"/>
        </w:rPr>
        <w:t>Interoperable Management Information</w:t>
      </w:r>
      <w:r w:rsidRPr="00C73226">
        <w:rPr>
          <w:rFonts w:cstheme="minorHAnsi"/>
          <w:color w:val="295CA3"/>
          <w:spacing w:val="14"/>
          <w:w w:val="105"/>
        </w:rPr>
        <w:t xml:space="preserve"> </w:t>
      </w:r>
      <w:r w:rsidRPr="00C73226">
        <w:rPr>
          <w:rFonts w:cstheme="minorHAnsi"/>
          <w:color w:val="295CA3"/>
          <w:w w:val="105"/>
        </w:rPr>
        <w:t>System</w:t>
      </w:r>
    </w:p>
    <w:p w14:paraId="05AB7900" w14:textId="57D558E5" w:rsidR="004A45CE" w:rsidRPr="00FA0C77" w:rsidRDefault="004A45CE" w:rsidP="00D63204">
      <w:pPr>
        <w:widowControl w:val="0"/>
        <w:spacing w:before="193" w:after="0" w:line="264" w:lineRule="exact"/>
        <w:ind w:left="107"/>
        <w:rPr>
          <w:rFonts w:cstheme="minorHAnsi"/>
          <w:color w:val="231F20"/>
          <w:w w:val="105"/>
        </w:rPr>
      </w:pPr>
      <w:bookmarkStart w:id="92" w:name="_Hlk503875443"/>
      <w:r w:rsidRPr="00FA0C77">
        <w:rPr>
          <w:rFonts w:cstheme="minorHAnsi"/>
          <w:color w:val="231F20"/>
          <w:w w:val="105"/>
        </w:rPr>
        <w:t xml:space="preserve">In </w:t>
      </w:r>
      <w:r w:rsidR="005B326C" w:rsidRPr="00FA0C77">
        <w:rPr>
          <w:rFonts w:cstheme="minorHAnsi"/>
          <w:color w:val="231F20"/>
          <w:w w:val="105"/>
        </w:rPr>
        <w:t xml:space="preserve">2015, </w:t>
      </w:r>
      <w:r w:rsidRPr="00FA0C77">
        <w:rPr>
          <w:rFonts w:cstheme="minorHAnsi"/>
          <w:color w:val="231F20"/>
          <w:w w:val="105"/>
        </w:rPr>
        <w:t>core partner agencies convened a data workgroup to obtain information about the data systems and applications used by each partner and to identify essential actions to comply with data collection and reporting requirements for WIOA. These meetings revealed most state systems use the same database platforms</w:t>
      </w:r>
      <w:r w:rsidR="00820430">
        <w:rPr>
          <w:rFonts w:cstheme="minorHAnsi"/>
          <w:color w:val="231F20"/>
          <w:w w:val="105"/>
        </w:rPr>
        <w:t>,</w:t>
      </w:r>
      <w:r w:rsidRPr="00FA0C77">
        <w:rPr>
          <w:rFonts w:cstheme="minorHAnsi"/>
          <w:color w:val="231F20"/>
          <w:w w:val="105"/>
        </w:rPr>
        <w:t xml:space="preserve"> or platforms between partner agencies are highly extensible and interoperable. Florida </w:t>
      </w:r>
      <w:r w:rsidR="004A2AF2" w:rsidRPr="00FA0C77">
        <w:rPr>
          <w:rFonts w:cstheme="minorHAnsi"/>
          <w:color w:val="231F20"/>
          <w:w w:val="105"/>
        </w:rPr>
        <w:t xml:space="preserve">will </w:t>
      </w:r>
      <w:r w:rsidRPr="00FA0C77">
        <w:rPr>
          <w:rFonts w:cstheme="minorHAnsi"/>
          <w:color w:val="231F20"/>
          <w:w w:val="105"/>
        </w:rPr>
        <w:t>use a federated model with key systems interacting in intervals of real-time daily, monthly</w:t>
      </w:r>
      <w:r w:rsidR="00D5537E" w:rsidRPr="00FA0C77">
        <w:rPr>
          <w:rFonts w:cstheme="minorHAnsi"/>
          <w:color w:val="231F20"/>
          <w:w w:val="105"/>
        </w:rPr>
        <w:t xml:space="preserve"> and</w:t>
      </w:r>
      <w:r w:rsidRPr="00FA0C77">
        <w:rPr>
          <w:rFonts w:cstheme="minorHAnsi"/>
          <w:color w:val="231F20"/>
          <w:w w:val="105"/>
        </w:rPr>
        <w:t xml:space="preserve"> quarterly. This allows minimal interruption of the data collection, management</w:t>
      </w:r>
      <w:r w:rsidR="00D5537E" w:rsidRPr="00FA0C77">
        <w:rPr>
          <w:rFonts w:cstheme="minorHAnsi"/>
          <w:color w:val="231F20"/>
          <w:w w:val="105"/>
        </w:rPr>
        <w:t xml:space="preserve"> and</w:t>
      </w:r>
      <w:r w:rsidRPr="00FA0C77">
        <w:rPr>
          <w:rFonts w:cstheme="minorHAnsi"/>
          <w:color w:val="231F20"/>
          <w:w w:val="105"/>
        </w:rPr>
        <w:t xml:space="preserve"> reporting practices of each </w:t>
      </w:r>
      <w:r w:rsidR="00820430">
        <w:rPr>
          <w:rFonts w:cstheme="minorHAnsi"/>
          <w:color w:val="231F20"/>
          <w:w w:val="105"/>
        </w:rPr>
        <w:t xml:space="preserve">of the </w:t>
      </w:r>
      <w:r w:rsidRPr="00FA0C77">
        <w:rPr>
          <w:rFonts w:cstheme="minorHAnsi"/>
          <w:color w:val="231F20"/>
          <w:w w:val="105"/>
        </w:rPr>
        <w:t>core and sub-entities involved within the partner agencies. While systems providing required data remain unchanged, this federated model ensures effective, low-cost data collection with the ability to produce unified reports required by WIOA. The state possesses a statewide workforce analytics system accessible by state workforce practitioners and public stakeholders.</w:t>
      </w:r>
    </w:p>
    <w:bookmarkEnd w:id="92"/>
    <w:p w14:paraId="5C5D6E6C" w14:textId="77777777" w:rsidR="00EA7458" w:rsidRPr="00E06806" w:rsidRDefault="00EA7458" w:rsidP="00D63204">
      <w:pPr>
        <w:widowControl w:val="0"/>
        <w:spacing w:before="6" w:after="0" w:line="240" w:lineRule="auto"/>
        <w:ind w:left="107"/>
        <w:rPr>
          <w:rFonts w:cstheme="minorHAnsi"/>
          <w:sz w:val="16"/>
          <w:szCs w:val="16"/>
        </w:rPr>
      </w:pPr>
    </w:p>
    <w:p w14:paraId="076203A6" w14:textId="77777777" w:rsidR="00EA7458" w:rsidRPr="00E06806" w:rsidRDefault="00EA7458" w:rsidP="00D63204">
      <w:pPr>
        <w:widowControl w:val="0"/>
        <w:numPr>
          <w:ilvl w:val="3"/>
          <w:numId w:val="6"/>
        </w:numPr>
        <w:tabs>
          <w:tab w:val="left" w:pos="3169"/>
        </w:tabs>
        <w:spacing w:after="0" w:line="240" w:lineRule="auto"/>
        <w:rPr>
          <w:rFonts w:cstheme="minorHAnsi"/>
        </w:rPr>
      </w:pPr>
      <w:r w:rsidRPr="00E06806">
        <w:rPr>
          <w:rFonts w:cstheme="minorHAnsi"/>
          <w:color w:val="295CA3"/>
          <w:w w:val="105"/>
        </w:rPr>
        <w:t>State’s Plans to Integrate Data</w:t>
      </w:r>
      <w:r w:rsidRPr="00E06806">
        <w:rPr>
          <w:rFonts w:cstheme="minorHAnsi"/>
          <w:color w:val="295CA3"/>
          <w:spacing w:val="27"/>
          <w:w w:val="105"/>
        </w:rPr>
        <w:t xml:space="preserve"> </w:t>
      </w:r>
      <w:r w:rsidRPr="00E06806">
        <w:rPr>
          <w:rFonts w:cstheme="minorHAnsi"/>
          <w:color w:val="295CA3"/>
          <w:w w:val="105"/>
        </w:rPr>
        <w:t>Systems</w:t>
      </w:r>
    </w:p>
    <w:p w14:paraId="6A603542" w14:textId="6C7F344E" w:rsidR="004A45CE" w:rsidRDefault="004A45CE" w:rsidP="00D63204">
      <w:pPr>
        <w:widowControl w:val="0"/>
        <w:spacing w:before="193" w:after="0" w:line="264" w:lineRule="exact"/>
        <w:ind w:left="107"/>
        <w:rPr>
          <w:rFonts w:cstheme="minorHAnsi"/>
          <w:w w:val="105"/>
        </w:rPr>
      </w:pPr>
      <w:r w:rsidRPr="00E06806">
        <w:rPr>
          <w:rFonts w:cstheme="minorHAnsi"/>
          <w:w w:val="105"/>
        </w:rPr>
        <w:t>Streamlined</w:t>
      </w:r>
      <w:r w:rsidRPr="00E06806">
        <w:rPr>
          <w:rFonts w:cstheme="minorHAnsi"/>
          <w:spacing w:val="13"/>
          <w:w w:val="105"/>
        </w:rPr>
        <w:t xml:space="preserve"> </w:t>
      </w:r>
      <w:r w:rsidRPr="00E06806">
        <w:rPr>
          <w:rFonts w:cstheme="minorHAnsi"/>
          <w:w w:val="105"/>
        </w:rPr>
        <w:t>intake</w:t>
      </w:r>
      <w:r w:rsidRPr="00E06806">
        <w:rPr>
          <w:rFonts w:cstheme="minorHAnsi"/>
          <w:spacing w:val="13"/>
          <w:w w:val="105"/>
        </w:rPr>
        <w:t xml:space="preserve"> takes </w:t>
      </w:r>
      <w:r w:rsidRPr="00E06806">
        <w:rPr>
          <w:rFonts w:cstheme="minorHAnsi"/>
          <w:w w:val="105"/>
        </w:rPr>
        <w:t>place</w:t>
      </w:r>
      <w:r w:rsidRPr="00E06806">
        <w:rPr>
          <w:rFonts w:cstheme="minorHAnsi"/>
          <w:spacing w:val="13"/>
          <w:w w:val="105"/>
        </w:rPr>
        <w:t xml:space="preserve"> </w:t>
      </w:r>
      <w:r w:rsidRPr="00E06806">
        <w:rPr>
          <w:rFonts w:cstheme="minorHAnsi"/>
          <w:w w:val="105"/>
        </w:rPr>
        <w:t>at</w:t>
      </w:r>
      <w:r w:rsidRPr="00E06806">
        <w:rPr>
          <w:rFonts w:cstheme="minorHAnsi"/>
          <w:spacing w:val="13"/>
          <w:w w:val="105"/>
        </w:rPr>
        <w:t xml:space="preserve"> </w:t>
      </w:r>
      <w:r w:rsidRPr="00E06806">
        <w:rPr>
          <w:rFonts w:cstheme="minorHAnsi"/>
          <w:w w:val="105"/>
        </w:rPr>
        <w:t>the</w:t>
      </w:r>
      <w:r w:rsidRPr="00E06806">
        <w:rPr>
          <w:rFonts w:cstheme="minorHAnsi"/>
          <w:spacing w:val="13"/>
          <w:w w:val="105"/>
        </w:rPr>
        <w:t xml:space="preserve"> </w:t>
      </w:r>
      <w:r w:rsidRPr="00E06806">
        <w:rPr>
          <w:rFonts w:cstheme="minorHAnsi"/>
          <w:spacing w:val="-4"/>
          <w:w w:val="105"/>
        </w:rPr>
        <w:t>LWDB</w:t>
      </w:r>
      <w:r w:rsidRPr="00E06806">
        <w:rPr>
          <w:rFonts w:cstheme="minorHAnsi"/>
          <w:spacing w:val="13"/>
          <w:w w:val="105"/>
        </w:rPr>
        <w:t xml:space="preserve"> </w:t>
      </w:r>
      <w:r w:rsidRPr="00E06806">
        <w:rPr>
          <w:rFonts w:cstheme="minorHAnsi"/>
          <w:w w:val="105"/>
        </w:rPr>
        <w:t>level</w:t>
      </w:r>
      <w:r w:rsidRPr="00E06806">
        <w:rPr>
          <w:rFonts w:cstheme="minorHAnsi"/>
          <w:spacing w:val="13"/>
          <w:w w:val="105"/>
        </w:rPr>
        <w:t xml:space="preserve"> </w:t>
      </w:r>
      <w:r w:rsidRPr="00E06806">
        <w:rPr>
          <w:rFonts w:cstheme="minorHAnsi"/>
          <w:w w:val="105"/>
        </w:rPr>
        <w:t>instead of the</w:t>
      </w:r>
      <w:r w:rsidRPr="00E06806">
        <w:rPr>
          <w:rFonts w:cstheme="minorHAnsi"/>
          <w:spacing w:val="13"/>
          <w:w w:val="105"/>
        </w:rPr>
        <w:t xml:space="preserve"> </w:t>
      </w:r>
      <w:r w:rsidRPr="00E06806">
        <w:rPr>
          <w:rFonts w:cstheme="minorHAnsi"/>
          <w:w w:val="105"/>
        </w:rPr>
        <w:t>system</w:t>
      </w:r>
      <w:r w:rsidRPr="00E06806">
        <w:rPr>
          <w:rFonts w:cstheme="minorHAnsi"/>
          <w:spacing w:val="13"/>
          <w:w w:val="105"/>
        </w:rPr>
        <w:t xml:space="preserve"> </w:t>
      </w:r>
      <w:r w:rsidRPr="00E06806">
        <w:rPr>
          <w:rFonts w:cstheme="minorHAnsi"/>
          <w:w w:val="105"/>
        </w:rPr>
        <w:t>level</w:t>
      </w:r>
      <w:r w:rsidR="005E7C49">
        <w:rPr>
          <w:rFonts w:cstheme="minorHAnsi"/>
          <w:w w:val="105"/>
        </w:rPr>
        <w:t xml:space="preserve">. </w:t>
      </w:r>
      <w:r w:rsidRPr="00E06806">
        <w:rPr>
          <w:rFonts w:cstheme="minorHAnsi"/>
          <w:spacing w:val="-3"/>
          <w:w w:val="105"/>
        </w:rPr>
        <w:t>W</w:t>
      </w:r>
      <w:r w:rsidRPr="00E06806">
        <w:rPr>
          <w:rFonts w:cstheme="minorHAnsi"/>
          <w:w w:val="105"/>
        </w:rPr>
        <w:t>hen</w:t>
      </w:r>
      <w:r w:rsidRPr="00E06806">
        <w:rPr>
          <w:rFonts w:cstheme="minorHAnsi"/>
          <w:spacing w:val="-28"/>
          <w:w w:val="105"/>
        </w:rPr>
        <w:t xml:space="preserve"> </w:t>
      </w:r>
      <w:r w:rsidRPr="00E06806">
        <w:rPr>
          <w:rFonts w:cstheme="minorHAnsi"/>
          <w:w w:val="105"/>
        </w:rPr>
        <w:t>intake</w:t>
      </w:r>
      <w:r w:rsidRPr="00E06806">
        <w:rPr>
          <w:rFonts w:cstheme="minorHAnsi"/>
          <w:spacing w:val="14"/>
          <w:w w:val="105"/>
        </w:rPr>
        <w:t xml:space="preserve"> </w:t>
      </w:r>
      <w:r w:rsidRPr="00E06806">
        <w:rPr>
          <w:rFonts w:cstheme="minorHAnsi"/>
          <w:w w:val="105"/>
        </w:rPr>
        <w:t>data</w:t>
      </w:r>
      <w:r w:rsidRPr="00E06806">
        <w:rPr>
          <w:rFonts w:cstheme="minorHAnsi"/>
          <w:spacing w:val="14"/>
          <w:w w:val="105"/>
        </w:rPr>
        <w:t xml:space="preserve"> </w:t>
      </w:r>
      <w:r w:rsidR="003F5932">
        <w:rPr>
          <w:rFonts w:cstheme="minorHAnsi"/>
          <w:w w:val="105"/>
        </w:rPr>
        <w:t>are</w:t>
      </w:r>
      <w:r w:rsidRPr="00E06806">
        <w:rPr>
          <w:rFonts w:cstheme="minorHAnsi"/>
          <w:spacing w:val="14"/>
          <w:w w:val="105"/>
        </w:rPr>
        <w:t xml:space="preserve"> </w:t>
      </w:r>
      <w:r w:rsidRPr="00E06806">
        <w:rPr>
          <w:rFonts w:cstheme="minorHAnsi"/>
          <w:w w:val="105"/>
        </w:rPr>
        <w:t>captured</w:t>
      </w:r>
      <w:r w:rsidRPr="00E06806">
        <w:rPr>
          <w:rFonts w:cstheme="minorHAnsi"/>
          <w:spacing w:val="14"/>
          <w:w w:val="105"/>
        </w:rPr>
        <w:t xml:space="preserve"> </w:t>
      </w:r>
      <w:r w:rsidRPr="00E06806">
        <w:rPr>
          <w:rFonts w:cstheme="minorHAnsi"/>
          <w:w w:val="105"/>
        </w:rPr>
        <w:t>by</w:t>
      </w:r>
      <w:r w:rsidRPr="00E06806">
        <w:rPr>
          <w:rFonts w:cstheme="minorHAnsi"/>
          <w:spacing w:val="14"/>
          <w:w w:val="105"/>
        </w:rPr>
        <w:t xml:space="preserve"> </w:t>
      </w:r>
      <w:r w:rsidRPr="00E06806">
        <w:rPr>
          <w:rFonts w:cstheme="minorHAnsi"/>
          <w:w w:val="105"/>
        </w:rPr>
        <w:t>any</w:t>
      </w:r>
      <w:r w:rsidRPr="00E06806">
        <w:rPr>
          <w:rFonts w:cstheme="minorHAnsi"/>
          <w:spacing w:val="14"/>
          <w:w w:val="105"/>
        </w:rPr>
        <w:t xml:space="preserve"> </w:t>
      </w:r>
      <w:r w:rsidRPr="00E06806">
        <w:rPr>
          <w:rFonts w:cstheme="minorHAnsi"/>
          <w:w w:val="105"/>
        </w:rPr>
        <w:t>of</w:t>
      </w:r>
      <w:r w:rsidRPr="00E06806">
        <w:rPr>
          <w:rFonts w:cstheme="minorHAnsi"/>
          <w:spacing w:val="14"/>
          <w:w w:val="105"/>
        </w:rPr>
        <w:t xml:space="preserve"> </w:t>
      </w:r>
      <w:r w:rsidRPr="00E06806">
        <w:rPr>
          <w:rFonts w:cstheme="minorHAnsi"/>
          <w:w w:val="105"/>
        </w:rPr>
        <w:t>the</w:t>
      </w:r>
      <w:r w:rsidRPr="00E06806">
        <w:rPr>
          <w:rFonts w:cstheme="minorHAnsi"/>
          <w:spacing w:val="14"/>
          <w:w w:val="105"/>
        </w:rPr>
        <w:t xml:space="preserve"> core </w:t>
      </w:r>
      <w:r w:rsidRPr="00E06806">
        <w:rPr>
          <w:rFonts w:cstheme="minorHAnsi"/>
          <w:w w:val="105"/>
        </w:rPr>
        <w:t>partner</w:t>
      </w:r>
      <w:r w:rsidRPr="00E06806">
        <w:rPr>
          <w:rFonts w:cstheme="minorHAnsi"/>
          <w:spacing w:val="14"/>
          <w:w w:val="105"/>
        </w:rPr>
        <w:t xml:space="preserve"> </w:t>
      </w:r>
      <w:r w:rsidRPr="00E06806">
        <w:rPr>
          <w:rFonts w:cstheme="minorHAnsi"/>
          <w:w w:val="105"/>
        </w:rPr>
        <w:t>agencies</w:t>
      </w:r>
      <w:r w:rsidR="00D5537E">
        <w:rPr>
          <w:rFonts w:cstheme="minorHAnsi"/>
          <w:w w:val="105"/>
        </w:rPr>
        <w:t xml:space="preserve"> and</w:t>
      </w:r>
      <w:r w:rsidRPr="00E06806">
        <w:rPr>
          <w:rFonts w:cstheme="minorHAnsi"/>
          <w:spacing w:val="14"/>
          <w:w w:val="105"/>
        </w:rPr>
        <w:t xml:space="preserve"> </w:t>
      </w:r>
      <w:r w:rsidR="005423C3">
        <w:rPr>
          <w:rFonts w:cstheme="minorHAnsi"/>
          <w:w w:val="105"/>
        </w:rPr>
        <w:t>are</w:t>
      </w:r>
      <w:r w:rsidRPr="00E06806">
        <w:rPr>
          <w:rFonts w:cstheme="minorHAnsi"/>
          <w:spacing w:val="14"/>
          <w:w w:val="105"/>
        </w:rPr>
        <w:t xml:space="preserve"> </w:t>
      </w:r>
      <w:r w:rsidRPr="00E06806">
        <w:rPr>
          <w:rFonts w:cstheme="minorHAnsi"/>
          <w:w w:val="105"/>
        </w:rPr>
        <w:t>necessary</w:t>
      </w:r>
      <w:r w:rsidRPr="00E06806">
        <w:rPr>
          <w:rFonts w:cstheme="minorHAnsi"/>
          <w:spacing w:val="14"/>
          <w:w w:val="105"/>
        </w:rPr>
        <w:t xml:space="preserve"> </w:t>
      </w:r>
      <w:r w:rsidRPr="00E06806">
        <w:rPr>
          <w:rFonts w:cstheme="minorHAnsi"/>
          <w:w w:val="105"/>
        </w:rPr>
        <w:t>for</w:t>
      </w:r>
      <w:r w:rsidRPr="00E06806">
        <w:rPr>
          <w:rFonts w:cstheme="minorHAnsi"/>
          <w:spacing w:val="14"/>
          <w:w w:val="105"/>
        </w:rPr>
        <w:t xml:space="preserve"> </w:t>
      </w:r>
      <w:r w:rsidRPr="00E06806">
        <w:rPr>
          <w:rFonts w:cstheme="minorHAnsi"/>
          <w:w w:val="105"/>
        </w:rPr>
        <w:t>the</w:t>
      </w:r>
      <w:r w:rsidRPr="00E06806">
        <w:rPr>
          <w:rFonts w:cstheme="minorHAnsi"/>
          <w:spacing w:val="14"/>
          <w:w w:val="105"/>
        </w:rPr>
        <w:t xml:space="preserve"> </w:t>
      </w:r>
      <w:r w:rsidRPr="00E06806">
        <w:rPr>
          <w:rFonts w:cstheme="minorHAnsi"/>
          <w:w w:val="105"/>
        </w:rPr>
        <w:t>reporting</w:t>
      </w:r>
      <w:r w:rsidRPr="00E06806">
        <w:rPr>
          <w:rFonts w:cstheme="minorHAnsi"/>
          <w:spacing w:val="14"/>
          <w:w w:val="105"/>
        </w:rPr>
        <w:t xml:space="preserve"> </w:t>
      </w:r>
      <w:r w:rsidRPr="00E06806">
        <w:rPr>
          <w:rFonts w:cstheme="minorHAnsi"/>
          <w:w w:val="105"/>
        </w:rPr>
        <w:t>and</w:t>
      </w:r>
      <w:r w:rsidRPr="00E06806">
        <w:rPr>
          <w:rFonts w:cstheme="minorHAnsi"/>
          <w:spacing w:val="14"/>
          <w:w w:val="105"/>
        </w:rPr>
        <w:t xml:space="preserve"> </w:t>
      </w:r>
      <w:r w:rsidRPr="00E06806">
        <w:rPr>
          <w:rFonts w:cstheme="minorHAnsi"/>
          <w:w w:val="105"/>
        </w:rPr>
        <w:t>performance</w:t>
      </w:r>
      <w:r w:rsidRPr="00E06806">
        <w:rPr>
          <w:rFonts w:cstheme="minorHAnsi"/>
          <w:w w:val="106"/>
        </w:rPr>
        <w:t xml:space="preserve"> </w:t>
      </w:r>
      <w:r w:rsidRPr="00E06806">
        <w:rPr>
          <w:rFonts w:cstheme="minorHAnsi"/>
          <w:w w:val="105"/>
        </w:rPr>
        <w:t>of</w:t>
      </w:r>
      <w:r w:rsidRPr="00E06806">
        <w:rPr>
          <w:rFonts w:cstheme="minorHAnsi"/>
          <w:spacing w:val="6"/>
          <w:w w:val="105"/>
        </w:rPr>
        <w:t xml:space="preserve"> </w:t>
      </w:r>
      <w:r w:rsidRPr="00E06806">
        <w:rPr>
          <w:rFonts w:cstheme="minorHAnsi"/>
          <w:w w:val="105"/>
        </w:rPr>
        <w:t>other</w:t>
      </w:r>
      <w:r w:rsidRPr="00E06806">
        <w:rPr>
          <w:rFonts w:cstheme="minorHAnsi"/>
          <w:spacing w:val="6"/>
          <w:w w:val="105"/>
        </w:rPr>
        <w:t xml:space="preserve"> </w:t>
      </w:r>
      <w:r w:rsidRPr="00E06806">
        <w:rPr>
          <w:rFonts w:cstheme="minorHAnsi"/>
          <w:w w:val="105"/>
        </w:rPr>
        <w:t>partner</w:t>
      </w:r>
      <w:r w:rsidRPr="00E06806">
        <w:rPr>
          <w:rFonts w:cstheme="minorHAnsi"/>
          <w:spacing w:val="6"/>
          <w:w w:val="105"/>
        </w:rPr>
        <w:t xml:space="preserve"> </w:t>
      </w:r>
      <w:r w:rsidRPr="00E06806">
        <w:rPr>
          <w:rFonts w:cstheme="minorHAnsi"/>
          <w:w w:val="105"/>
        </w:rPr>
        <w:t>programs,</w:t>
      </w:r>
      <w:r w:rsidRPr="00E06806">
        <w:rPr>
          <w:rFonts w:cstheme="minorHAnsi"/>
          <w:spacing w:val="6"/>
          <w:w w:val="105"/>
        </w:rPr>
        <w:t xml:space="preserve"> </w:t>
      </w:r>
      <w:r w:rsidRPr="00E06806">
        <w:rPr>
          <w:rFonts w:cstheme="minorHAnsi"/>
          <w:w w:val="105"/>
        </w:rPr>
        <w:t>these</w:t>
      </w:r>
      <w:r w:rsidRPr="00E06806">
        <w:rPr>
          <w:rFonts w:cstheme="minorHAnsi"/>
          <w:spacing w:val="6"/>
          <w:w w:val="105"/>
        </w:rPr>
        <w:t xml:space="preserve"> </w:t>
      </w:r>
      <w:r w:rsidRPr="00E06806">
        <w:rPr>
          <w:rFonts w:cstheme="minorHAnsi"/>
          <w:w w:val="105"/>
        </w:rPr>
        <w:t>agencies</w:t>
      </w:r>
      <w:r w:rsidRPr="00E06806">
        <w:rPr>
          <w:rFonts w:cstheme="minorHAnsi"/>
          <w:spacing w:val="6"/>
          <w:w w:val="105"/>
        </w:rPr>
        <w:t xml:space="preserve"> </w:t>
      </w:r>
      <w:r w:rsidRPr="00E06806">
        <w:rPr>
          <w:rFonts w:cstheme="minorHAnsi"/>
          <w:w w:val="105"/>
        </w:rPr>
        <w:t>contribute</w:t>
      </w:r>
      <w:r w:rsidRPr="00E06806">
        <w:rPr>
          <w:rFonts w:cstheme="minorHAnsi"/>
          <w:spacing w:val="6"/>
          <w:w w:val="105"/>
        </w:rPr>
        <w:t xml:space="preserve"> </w:t>
      </w:r>
      <w:r w:rsidRPr="00E06806">
        <w:rPr>
          <w:rFonts w:cstheme="minorHAnsi"/>
          <w:w w:val="105"/>
        </w:rPr>
        <w:t>to</w:t>
      </w:r>
      <w:r w:rsidRPr="00E06806">
        <w:rPr>
          <w:rFonts w:cstheme="minorHAnsi"/>
          <w:spacing w:val="6"/>
          <w:w w:val="105"/>
        </w:rPr>
        <w:t xml:space="preserve"> </w:t>
      </w:r>
      <w:r w:rsidRPr="00E06806">
        <w:rPr>
          <w:rFonts w:cstheme="minorHAnsi"/>
          <w:w w:val="105"/>
        </w:rPr>
        <w:t>a</w:t>
      </w:r>
      <w:r w:rsidRPr="00E06806">
        <w:rPr>
          <w:rFonts w:cstheme="minorHAnsi"/>
          <w:spacing w:val="6"/>
          <w:w w:val="105"/>
        </w:rPr>
        <w:t xml:space="preserve"> </w:t>
      </w:r>
      <w:r w:rsidRPr="00E06806">
        <w:rPr>
          <w:rFonts w:cstheme="minorHAnsi"/>
          <w:w w:val="105"/>
        </w:rPr>
        <w:t>central</w:t>
      </w:r>
      <w:r w:rsidRPr="00E06806">
        <w:rPr>
          <w:rFonts w:cstheme="minorHAnsi"/>
          <w:spacing w:val="6"/>
          <w:w w:val="105"/>
        </w:rPr>
        <w:t xml:space="preserve"> </w:t>
      </w:r>
      <w:r w:rsidRPr="00E06806">
        <w:rPr>
          <w:rFonts w:cstheme="minorHAnsi"/>
          <w:w w:val="105"/>
        </w:rPr>
        <w:t>repository</w:t>
      </w:r>
      <w:r w:rsidRPr="00E06806">
        <w:rPr>
          <w:rFonts w:cstheme="minorHAnsi"/>
          <w:spacing w:val="6"/>
          <w:w w:val="105"/>
        </w:rPr>
        <w:t xml:space="preserve"> </w:t>
      </w:r>
      <w:r w:rsidRPr="00E06806">
        <w:rPr>
          <w:rFonts w:cstheme="minorHAnsi"/>
          <w:w w:val="105"/>
        </w:rPr>
        <w:t>system</w:t>
      </w:r>
      <w:r w:rsidRPr="00E06806">
        <w:rPr>
          <w:rFonts w:cstheme="minorHAnsi"/>
          <w:spacing w:val="6"/>
          <w:w w:val="105"/>
        </w:rPr>
        <w:t xml:space="preserve"> </w:t>
      </w:r>
      <w:r w:rsidRPr="00E06806">
        <w:rPr>
          <w:rFonts w:cstheme="minorHAnsi"/>
          <w:w w:val="105"/>
        </w:rPr>
        <w:t>either</w:t>
      </w:r>
      <w:r w:rsidRPr="00E06806">
        <w:rPr>
          <w:rFonts w:cstheme="minorHAnsi"/>
          <w:spacing w:val="6"/>
          <w:w w:val="105"/>
        </w:rPr>
        <w:t xml:space="preserve"> </w:t>
      </w:r>
      <w:r w:rsidRPr="00E06806">
        <w:rPr>
          <w:rFonts w:cstheme="minorHAnsi"/>
          <w:w w:val="105"/>
        </w:rPr>
        <w:t>in</w:t>
      </w:r>
      <w:r w:rsidRPr="00E06806">
        <w:rPr>
          <w:rFonts w:cstheme="minorHAnsi"/>
          <w:spacing w:val="6"/>
          <w:w w:val="105"/>
        </w:rPr>
        <w:t xml:space="preserve"> </w:t>
      </w:r>
      <w:r w:rsidRPr="00E06806">
        <w:rPr>
          <w:rFonts w:cstheme="minorHAnsi"/>
          <w:w w:val="105"/>
        </w:rPr>
        <w:t>real-</w:t>
      </w:r>
      <w:r w:rsidR="00E378EA" w:rsidRPr="00E06806">
        <w:rPr>
          <w:rFonts w:cstheme="minorHAnsi"/>
          <w:w w:val="105"/>
        </w:rPr>
        <w:t xml:space="preserve">time </w:t>
      </w:r>
      <w:r w:rsidR="00E378EA" w:rsidRPr="00E378EA">
        <w:t>or</w:t>
      </w:r>
      <w:r w:rsidRPr="00E378EA">
        <w:t xml:space="preserve"> </w:t>
      </w:r>
      <w:r w:rsidRPr="00E06806">
        <w:rPr>
          <w:rFonts w:cstheme="minorHAnsi"/>
          <w:w w:val="105"/>
        </w:rPr>
        <w:t>by system</w:t>
      </w:r>
      <w:r w:rsidRPr="00E06806">
        <w:rPr>
          <w:rFonts w:cstheme="minorHAnsi"/>
          <w:spacing w:val="23"/>
          <w:w w:val="105"/>
        </w:rPr>
        <w:t xml:space="preserve"> </w:t>
      </w:r>
      <w:r w:rsidRPr="00E06806">
        <w:rPr>
          <w:rFonts w:cstheme="minorHAnsi"/>
          <w:w w:val="105"/>
        </w:rPr>
        <w:t>interface.</w:t>
      </w:r>
    </w:p>
    <w:p w14:paraId="700B151F" w14:textId="02A19401" w:rsidR="005B326C" w:rsidRDefault="005B326C">
      <w:pPr>
        <w:rPr>
          <w:rFonts w:cstheme="minorHAnsi"/>
          <w:sz w:val="16"/>
          <w:szCs w:val="16"/>
        </w:rPr>
      </w:pPr>
      <w:r>
        <w:rPr>
          <w:rFonts w:cstheme="minorHAnsi"/>
          <w:sz w:val="16"/>
          <w:szCs w:val="16"/>
        </w:rPr>
        <w:br w:type="page"/>
      </w:r>
    </w:p>
    <w:p w14:paraId="0BB78B69" w14:textId="77777777" w:rsidR="00EA7458" w:rsidRPr="00E06806" w:rsidRDefault="00EA7458" w:rsidP="00D63204">
      <w:pPr>
        <w:widowControl w:val="0"/>
        <w:spacing w:before="5" w:after="0" w:line="240" w:lineRule="auto"/>
        <w:ind w:left="107"/>
        <w:rPr>
          <w:rFonts w:cstheme="minorHAnsi"/>
          <w:sz w:val="16"/>
          <w:szCs w:val="16"/>
        </w:rPr>
      </w:pPr>
    </w:p>
    <w:p w14:paraId="74362B56" w14:textId="77777777" w:rsidR="00EA7458" w:rsidRPr="00E06806" w:rsidRDefault="00EA7458" w:rsidP="00D63204">
      <w:pPr>
        <w:widowControl w:val="0"/>
        <w:numPr>
          <w:ilvl w:val="3"/>
          <w:numId w:val="6"/>
        </w:numPr>
        <w:tabs>
          <w:tab w:val="left" w:pos="3169"/>
        </w:tabs>
        <w:spacing w:after="0" w:line="264" w:lineRule="exact"/>
        <w:rPr>
          <w:rFonts w:cstheme="minorHAnsi"/>
        </w:rPr>
      </w:pPr>
      <w:r w:rsidRPr="00E06806">
        <w:rPr>
          <w:rFonts w:cstheme="minorHAnsi"/>
          <w:color w:val="295CA3"/>
          <w:w w:val="110"/>
        </w:rPr>
        <w:t>Aligning</w:t>
      </w:r>
      <w:r w:rsidRPr="00E06806">
        <w:rPr>
          <w:rFonts w:cstheme="minorHAnsi"/>
          <w:color w:val="295CA3"/>
          <w:spacing w:val="-8"/>
          <w:w w:val="110"/>
        </w:rPr>
        <w:t xml:space="preserve"> </w:t>
      </w:r>
      <w:r w:rsidRPr="00E06806">
        <w:rPr>
          <w:rFonts w:cstheme="minorHAnsi"/>
          <w:color w:val="295CA3"/>
          <w:spacing w:val="-3"/>
          <w:w w:val="110"/>
        </w:rPr>
        <w:t>Technology</w:t>
      </w:r>
      <w:r w:rsidRPr="00E06806">
        <w:rPr>
          <w:rFonts w:cstheme="minorHAnsi"/>
          <w:color w:val="295CA3"/>
          <w:spacing w:val="-8"/>
          <w:w w:val="110"/>
        </w:rPr>
        <w:t xml:space="preserve"> </w:t>
      </w:r>
      <w:r w:rsidRPr="00E06806">
        <w:rPr>
          <w:rFonts w:cstheme="minorHAnsi"/>
          <w:color w:val="295CA3"/>
          <w:w w:val="110"/>
        </w:rPr>
        <w:t>and</w:t>
      </w:r>
      <w:r w:rsidRPr="00E06806">
        <w:rPr>
          <w:rFonts w:cstheme="minorHAnsi"/>
          <w:color w:val="295CA3"/>
          <w:spacing w:val="-8"/>
          <w:w w:val="110"/>
        </w:rPr>
        <w:t xml:space="preserve"> </w:t>
      </w:r>
      <w:r w:rsidRPr="00E06806">
        <w:rPr>
          <w:rFonts w:cstheme="minorHAnsi"/>
          <w:color w:val="295CA3"/>
          <w:w w:val="110"/>
        </w:rPr>
        <w:t>Data</w:t>
      </w:r>
      <w:r w:rsidRPr="00E06806">
        <w:rPr>
          <w:rFonts w:cstheme="minorHAnsi"/>
          <w:color w:val="295CA3"/>
          <w:spacing w:val="-8"/>
          <w:w w:val="110"/>
        </w:rPr>
        <w:t xml:space="preserve"> </w:t>
      </w:r>
      <w:r w:rsidRPr="00E06806">
        <w:rPr>
          <w:rFonts w:cstheme="minorHAnsi"/>
          <w:color w:val="295CA3"/>
          <w:w w:val="110"/>
        </w:rPr>
        <w:t>Systems</w:t>
      </w:r>
      <w:r w:rsidRPr="00E06806">
        <w:rPr>
          <w:rFonts w:cstheme="minorHAnsi"/>
          <w:color w:val="295CA3"/>
          <w:spacing w:val="-8"/>
          <w:w w:val="110"/>
        </w:rPr>
        <w:t xml:space="preserve"> </w:t>
      </w:r>
      <w:r w:rsidRPr="00E06806">
        <w:rPr>
          <w:rFonts w:cstheme="minorHAnsi"/>
          <w:color w:val="295CA3"/>
          <w:w w:val="110"/>
        </w:rPr>
        <w:t>Across</w:t>
      </w:r>
      <w:r w:rsidRPr="00E06806">
        <w:rPr>
          <w:rFonts w:cstheme="minorHAnsi"/>
          <w:color w:val="295CA3"/>
          <w:spacing w:val="-8"/>
          <w:w w:val="110"/>
        </w:rPr>
        <w:t xml:space="preserve"> </w:t>
      </w:r>
      <w:r w:rsidRPr="00E06806">
        <w:rPr>
          <w:rFonts w:cstheme="minorHAnsi"/>
          <w:color w:val="295CA3"/>
          <w:w w:val="110"/>
        </w:rPr>
        <w:t>Mandatory</w:t>
      </w:r>
      <w:r w:rsidRPr="00E06806">
        <w:rPr>
          <w:rFonts w:cstheme="minorHAnsi"/>
          <w:color w:val="295CA3"/>
          <w:spacing w:val="-8"/>
          <w:w w:val="110"/>
        </w:rPr>
        <w:t xml:space="preserve"> </w:t>
      </w:r>
      <w:r w:rsidRPr="00E06806">
        <w:rPr>
          <w:rFonts w:cstheme="minorHAnsi"/>
          <w:color w:val="295CA3"/>
          <w:w w:val="110"/>
        </w:rPr>
        <w:t>One-Stop</w:t>
      </w:r>
      <w:r w:rsidRPr="00E06806">
        <w:rPr>
          <w:rFonts w:cstheme="minorHAnsi"/>
          <w:color w:val="295CA3"/>
          <w:w w:val="103"/>
        </w:rPr>
        <w:t xml:space="preserve"> </w:t>
      </w:r>
      <w:r w:rsidRPr="00E06806">
        <w:rPr>
          <w:rFonts w:cstheme="minorHAnsi"/>
          <w:color w:val="295CA3"/>
          <w:w w:val="110"/>
        </w:rPr>
        <w:t>Partner</w:t>
      </w:r>
      <w:r w:rsidRPr="00E06806">
        <w:rPr>
          <w:rFonts w:cstheme="minorHAnsi"/>
          <w:color w:val="295CA3"/>
          <w:spacing w:val="1"/>
          <w:w w:val="110"/>
        </w:rPr>
        <w:t xml:space="preserve"> </w:t>
      </w:r>
      <w:r w:rsidRPr="00E06806">
        <w:rPr>
          <w:rFonts w:cstheme="minorHAnsi"/>
          <w:color w:val="295CA3"/>
          <w:w w:val="110"/>
        </w:rPr>
        <w:t>Programs</w:t>
      </w:r>
    </w:p>
    <w:p w14:paraId="5D2983CB" w14:textId="77777777" w:rsidR="00EA7458" w:rsidRPr="00E06806" w:rsidRDefault="00EA7458" w:rsidP="00D63204">
      <w:pPr>
        <w:widowControl w:val="0"/>
        <w:spacing w:before="5" w:after="0" w:line="240" w:lineRule="auto"/>
        <w:ind w:left="107"/>
        <w:rPr>
          <w:rFonts w:cstheme="minorHAnsi"/>
          <w:sz w:val="16"/>
          <w:szCs w:val="16"/>
        </w:rPr>
      </w:pPr>
    </w:p>
    <w:p w14:paraId="412652EC" w14:textId="7CD92CB7" w:rsidR="004A45CE" w:rsidRPr="008754F4" w:rsidRDefault="004A45CE" w:rsidP="00D63204">
      <w:pPr>
        <w:widowControl w:val="0"/>
        <w:spacing w:after="0" w:line="264" w:lineRule="exact"/>
        <w:ind w:left="107"/>
        <w:rPr>
          <w:rFonts w:cstheme="minorHAnsi"/>
          <w:color w:val="231F20"/>
          <w:w w:val="105"/>
        </w:rPr>
      </w:pPr>
      <w:r w:rsidRPr="008754F4">
        <w:rPr>
          <w:rFonts w:cstheme="minorHAnsi"/>
          <w:color w:val="231F20"/>
          <w:w w:val="105"/>
        </w:rPr>
        <w:t xml:space="preserve">The state uses technology to assist with data collection across the mandatory one-stop career center partner programs. Most mandatory program data </w:t>
      </w:r>
      <w:r w:rsidR="003F5932" w:rsidRPr="008754F4">
        <w:rPr>
          <w:rFonts w:cstheme="minorHAnsi"/>
          <w:color w:val="231F20"/>
          <w:w w:val="105"/>
        </w:rPr>
        <w:t>are</w:t>
      </w:r>
      <w:r w:rsidRPr="008754F4">
        <w:rPr>
          <w:rFonts w:cstheme="minorHAnsi"/>
          <w:color w:val="231F20"/>
          <w:w w:val="105"/>
        </w:rPr>
        <w:t xml:space="preserve"> captured and shared extensively between three systems using a strong federated architecture. Partners intend to continue this direction by extending it to one-stop career center partner programs. Technologies from real-time web services to real</w:t>
      </w:r>
      <w:r w:rsidR="00690179" w:rsidRPr="008754F4">
        <w:rPr>
          <w:rFonts w:cstheme="minorHAnsi"/>
          <w:color w:val="231F20"/>
          <w:w w:val="105"/>
        </w:rPr>
        <w:t>-</w:t>
      </w:r>
      <w:r w:rsidRPr="008754F4">
        <w:rPr>
          <w:rFonts w:cstheme="minorHAnsi"/>
          <w:color w:val="231F20"/>
          <w:w w:val="105"/>
        </w:rPr>
        <w:t xml:space="preserve">time database interfaces are used. </w:t>
      </w:r>
      <w:r w:rsidR="005B425C" w:rsidRPr="008754F4">
        <w:rPr>
          <w:rFonts w:cstheme="minorHAnsi"/>
          <w:color w:val="231F20"/>
          <w:w w:val="105"/>
        </w:rPr>
        <w:t xml:space="preserve">As it evolves, this will allow </w:t>
      </w:r>
      <w:r w:rsidRPr="008754F4">
        <w:rPr>
          <w:rFonts w:cstheme="minorHAnsi"/>
          <w:color w:val="231F20"/>
          <w:w w:val="105"/>
        </w:rPr>
        <w:t>workforce assistance experts to see and assess the needs of job seeker</w:t>
      </w:r>
      <w:r w:rsidR="005B425C" w:rsidRPr="008754F4">
        <w:rPr>
          <w:rFonts w:cstheme="minorHAnsi"/>
          <w:color w:val="231F20"/>
          <w:w w:val="105"/>
        </w:rPr>
        <w:t>s</w:t>
      </w:r>
      <w:r w:rsidRPr="008754F4">
        <w:rPr>
          <w:rFonts w:cstheme="minorHAnsi"/>
          <w:color w:val="231F20"/>
          <w:w w:val="105"/>
        </w:rPr>
        <w:t xml:space="preserve"> including the unemployed, TANF, SNAP, VR</w:t>
      </w:r>
      <w:r w:rsidR="00D5537E" w:rsidRPr="008754F4">
        <w:rPr>
          <w:rFonts w:cstheme="minorHAnsi"/>
          <w:color w:val="231F20"/>
          <w:w w:val="105"/>
        </w:rPr>
        <w:t xml:space="preserve"> and</w:t>
      </w:r>
      <w:r w:rsidRPr="008754F4">
        <w:rPr>
          <w:rFonts w:cstheme="minorHAnsi"/>
          <w:color w:val="231F20"/>
          <w:w w:val="105"/>
        </w:rPr>
        <w:t xml:space="preserve"> Adult Education program participants. New partners </w:t>
      </w:r>
      <w:r w:rsidR="005B425C" w:rsidRPr="008754F4">
        <w:rPr>
          <w:rFonts w:cstheme="minorHAnsi"/>
          <w:color w:val="231F20"/>
          <w:w w:val="105"/>
        </w:rPr>
        <w:t xml:space="preserve">will </w:t>
      </w:r>
      <w:r w:rsidRPr="008754F4">
        <w:rPr>
          <w:rFonts w:cstheme="minorHAnsi"/>
          <w:color w:val="231F20"/>
          <w:w w:val="105"/>
        </w:rPr>
        <w:t>have access to the same streamlined services under one roof in addition to the new partners bringing their product lines to the partnership. All participants will have access to the labor exchange and lab</w:t>
      </w:r>
      <w:r w:rsidR="00C73226" w:rsidRPr="008754F4">
        <w:rPr>
          <w:rFonts w:cstheme="minorHAnsi"/>
          <w:color w:val="231F20"/>
          <w:w w:val="105"/>
        </w:rPr>
        <w:t xml:space="preserve">or market information systems. </w:t>
      </w:r>
    </w:p>
    <w:p w14:paraId="1B7FE55F" w14:textId="77777777" w:rsidR="00EA7458" w:rsidRPr="00E06806" w:rsidRDefault="00EA7458" w:rsidP="00D63204">
      <w:pPr>
        <w:widowControl w:val="0"/>
        <w:spacing w:before="5" w:after="0" w:line="240" w:lineRule="auto"/>
        <w:ind w:left="107"/>
        <w:rPr>
          <w:rFonts w:cstheme="minorHAnsi"/>
          <w:sz w:val="16"/>
          <w:szCs w:val="16"/>
        </w:rPr>
      </w:pPr>
    </w:p>
    <w:p w14:paraId="41C939A1" w14:textId="7EB7681E" w:rsidR="004A45CE" w:rsidRPr="00C73226" w:rsidRDefault="004A45CE" w:rsidP="00D63204">
      <w:pPr>
        <w:pStyle w:val="ListParagraph"/>
        <w:widowControl w:val="0"/>
        <w:numPr>
          <w:ilvl w:val="3"/>
          <w:numId w:val="6"/>
        </w:numPr>
        <w:tabs>
          <w:tab w:val="left" w:pos="3169"/>
        </w:tabs>
        <w:spacing w:after="0" w:line="264" w:lineRule="exact"/>
        <w:rPr>
          <w:rFonts w:cstheme="minorHAnsi"/>
        </w:rPr>
      </w:pPr>
      <w:r w:rsidRPr="00C73226">
        <w:rPr>
          <w:rFonts w:cstheme="minorHAnsi"/>
          <w:color w:val="295CA3"/>
          <w:w w:val="110"/>
        </w:rPr>
        <w:t>State’s</w:t>
      </w:r>
      <w:r w:rsidRPr="00C73226">
        <w:rPr>
          <w:rFonts w:cstheme="minorHAnsi"/>
          <w:color w:val="295CA3"/>
          <w:spacing w:val="-8"/>
          <w:w w:val="110"/>
        </w:rPr>
        <w:t xml:space="preserve"> </w:t>
      </w:r>
      <w:r w:rsidRPr="00C73226">
        <w:rPr>
          <w:rFonts w:cstheme="minorHAnsi"/>
          <w:color w:val="295CA3"/>
          <w:w w:val="110"/>
        </w:rPr>
        <w:t>Plans</w:t>
      </w:r>
      <w:r w:rsidRPr="00C73226">
        <w:rPr>
          <w:rFonts w:cstheme="minorHAnsi"/>
          <w:color w:val="295CA3"/>
          <w:spacing w:val="-8"/>
          <w:w w:val="110"/>
        </w:rPr>
        <w:t xml:space="preserve"> </w:t>
      </w:r>
      <w:r w:rsidRPr="00C73226">
        <w:rPr>
          <w:rFonts w:cstheme="minorHAnsi"/>
          <w:color w:val="295CA3"/>
          <w:spacing w:val="-12"/>
          <w:w w:val="110"/>
        </w:rPr>
        <w:t>to</w:t>
      </w:r>
      <w:r w:rsidRPr="00C73226">
        <w:rPr>
          <w:rFonts w:cstheme="minorHAnsi"/>
          <w:color w:val="295CA3"/>
          <w:spacing w:val="-8"/>
          <w:w w:val="110"/>
        </w:rPr>
        <w:t xml:space="preserve"> </w:t>
      </w:r>
      <w:r w:rsidRPr="00C73226">
        <w:rPr>
          <w:rFonts w:cstheme="minorHAnsi"/>
          <w:color w:val="295CA3"/>
          <w:w w:val="110"/>
        </w:rPr>
        <w:t>Develop</w:t>
      </w:r>
      <w:r w:rsidRPr="00C73226">
        <w:rPr>
          <w:rFonts w:cstheme="minorHAnsi"/>
          <w:color w:val="295CA3"/>
          <w:spacing w:val="-8"/>
          <w:w w:val="110"/>
        </w:rPr>
        <w:t xml:space="preserve"> </w:t>
      </w:r>
      <w:r w:rsidRPr="00C73226">
        <w:rPr>
          <w:rFonts w:cstheme="minorHAnsi"/>
          <w:color w:val="295CA3"/>
          <w:w w:val="110"/>
        </w:rPr>
        <w:t>and</w:t>
      </w:r>
      <w:r w:rsidRPr="00C73226">
        <w:rPr>
          <w:rFonts w:cstheme="minorHAnsi"/>
          <w:color w:val="295CA3"/>
          <w:spacing w:val="-8"/>
          <w:w w:val="110"/>
        </w:rPr>
        <w:t xml:space="preserve"> </w:t>
      </w:r>
      <w:r w:rsidRPr="00C73226">
        <w:rPr>
          <w:rFonts w:cstheme="minorHAnsi"/>
          <w:color w:val="295CA3"/>
          <w:w w:val="110"/>
        </w:rPr>
        <w:t>Produce</w:t>
      </w:r>
      <w:r w:rsidRPr="00C73226">
        <w:rPr>
          <w:rFonts w:cstheme="minorHAnsi"/>
          <w:color w:val="295CA3"/>
          <w:spacing w:val="-8"/>
          <w:w w:val="110"/>
        </w:rPr>
        <w:t xml:space="preserve"> </w:t>
      </w:r>
      <w:r w:rsidRPr="00C73226">
        <w:rPr>
          <w:rFonts w:cstheme="minorHAnsi"/>
          <w:color w:val="295CA3"/>
          <w:w w:val="110"/>
        </w:rPr>
        <w:t>Reports</w:t>
      </w:r>
      <w:r w:rsidRPr="00C73226">
        <w:rPr>
          <w:rFonts w:cstheme="minorHAnsi"/>
          <w:color w:val="295CA3"/>
          <w:spacing w:val="-8"/>
          <w:w w:val="110"/>
        </w:rPr>
        <w:t xml:space="preserve"> </w:t>
      </w:r>
      <w:r w:rsidRPr="00C73226">
        <w:rPr>
          <w:rFonts w:cstheme="minorHAnsi"/>
          <w:color w:val="295CA3"/>
          <w:w w:val="110"/>
        </w:rPr>
        <w:t>Required</w:t>
      </w:r>
      <w:r w:rsidRPr="00C73226">
        <w:rPr>
          <w:rFonts w:cstheme="minorHAnsi"/>
          <w:color w:val="295CA3"/>
          <w:spacing w:val="-8"/>
          <w:w w:val="110"/>
        </w:rPr>
        <w:t xml:space="preserve"> </w:t>
      </w:r>
      <w:r w:rsidRPr="00C73226">
        <w:rPr>
          <w:rFonts w:cstheme="minorHAnsi"/>
          <w:color w:val="295CA3"/>
          <w:w w:val="110"/>
        </w:rPr>
        <w:t>Under</w:t>
      </w:r>
      <w:r w:rsidRPr="00C73226">
        <w:rPr>
          <w:rFonts w:cstheme="minorHAnsi"/>
          <w:color w:val="295CA3"/>
          <w:w w:val="107"/>
        </w:rPr>
        <w:t xml:space="preserve"> </w:t>
      </w:r>
      <w:r w:rsidRPr="00C73226">
        <w:rPr>
          <w:rFonts w:cstheme="minorHAnsi"/>
          <w:color w:val="295CA3"/>
          <w:spacing w:val="-4"/>
          <w:w w:val="110"/>
        </w:rPr>
        <w:t xml:space="preserve">WIOA </w:t>
      </w:r>
      <w:r w:rsidRPr="00C73226">
        <w:rPr>
          <w:rFonts w:cstheme="minorHAnsi"/>
          <w:color w:val="295CA3"/>
          <w:w w:val="110"/>
        </w:rPr>
        <w:t>Section</w:t>
      </w:r>
      <w:r w:rsidRPr="00C73226">
        <w:rPr>
          <w:rFonts w:cstheme="minorHAnsi"/>
          <w:color w:val="295CA3"/>
          <w:spacing w:val="5"/>
          <w:w w:val="110"/>
        </w:rPr>
        <w:t xml:space="preserve"> </w:t>
      </w:r>
      <w:r w:rsidRPr="00C73226">
        <w:rPr>
          <w:rFonts w:cstheme="minorHAnsi"/>
          <w:color w:val="295CA3"/>
          <w:w w:val="110"/>
        </w:rPr>
        <w:t>116</w:t>
      </w:r>
    </w:p>
    <w:p w14:paraId="51E5DC19" w14:textId="77777777" w:rsidR="00EA7458" w:rsidRPr="00E06806" w:rsidRDefault="00EA7458" w:rsidP="00D63204">
      <w:pPr>
        <w:widowControl w:val="0"/>
        <w:spacing w:before="5" w:after="0" w:line="240" w:lineRule="auto"/>
        <w:ind w:left="107"/>
        <w:rPr>
          <w:rFonts w:cstheme="minorHAnsi"/>
          <w:sz w:val="16"/>
          <w:szCs w:val="16"/>
        </w:rPr>
      </w:pPr>
    </w:p>
    <w:p w14:paraId="703459EC" w14:textId="38628BA8" w:rsidR="00BA34BC" w:rsidRPr="00BA34BC" w:rsidRDefault="00BA34BC" w:rsidP="008754F4">
      <w:pPr>
        <w:widowControl w:val="0"/>
        <w:spacing w:after="0" w:line="264" w:lineRule="exact"/>
        <w:ind w:left="107"/>
        <w:rPr>
          <w:rFonts w:cstheme="minorHAnsi"/>
          <w:color w:val="231F20"/>
          <w:w w:val="105"/>
        </w:rPr>
      </w:pPr>
      <w:r w:rsidRPr="008754F4">
        <w:rPr>
          <w:rFonts w:cstheme="minorHAnsi"/>
          <w:color w:val="231F20"/>
          <w:w w:val="105"/>
        </w:rPr>
        <w:t xml:space="preserve">The state’s current infrastructure and proposed infrastructure is positioned to meet WIOA reporting </w:t>
      </w:r>
      <w:r w:rsidRPr="00BA34BC">
        <w:rPr>
          <w:rFonts w:cstheme="minorHAnsi"/>
          <w:color w:val="231F20"/>
          <w:w w:val="105"/>
        </w:rPr>
        <w:t>requirements.</w:t>
      </w:r>
      <w:r w:rsidRPr="008754F4">
        <w:rPr>
          <w:rFonts w:cstheme="minorHAnsi"/>
          <w:color w:val="231F20"/>
          <w:w w:val="105"/>
        </w:rPr>
        <w:t xml:space="preserve"> </w:t>
      </w:r>
      <w:r w:rsidRPr="00BA34BC">
        <w:rPr>
          <w:rFonts w:cstheme="minorHAnsi"/>
          <w:color w:val="231F20"/>
          <w:w w:val="105"/>
        </w:rPr>
        <w:t>Through</w:t>
      </w:r>
      <w:r w:rsidRPr="008754F4">
        <w:rPr>
          <w:rFonts w:cstheme="minorHAnsi"/>
          <w:color w:val="231F20"/>
          <w:w w:val="105"/>
        </w:rPr>
        <w:t xml:space="preserve"> </w:t>
      </w:r>
      <w:r w:rsidRPr="00BA34BC">
        <w:rPr>
          <w:rFonts w:cstheme="minorHAnsi"/>
          <w:color w:val="231F20"/>
          <w:w w:val="105"/>
        </w:rPr>
        <w:t>collaboration</w:t>
      </w:r>
      <w:r w:rsidRPr="008754F4">
        <w:rPr>
          <w:rFonts w:cstheme="minorHAnsi"/>
          <w:color w:val="231F20"/>
          <w:w w:val="105"/>
        </w:rPr>
        <w:t xml:space="preserve"> </w:t>
      </w:r>
      <w:r w:rsidRPr="00BA34BC">
        <w:rPr>
          <w:rFonts w:cstheme="minorHAnsi"/>
          <w:color w:val="231F20"/>
          <w:w w:val="105"/>
        </w:rPr>
        <w:t>with</w:t>
      </w:r>
      <w:r w:rsidRPr="008754F4">
        <w:rPr>
          <w:rFonts w:cstheme="minorHAnsi"/>
          <w:color w:val="231F20"/>
          <w:w w:val="105"/>
        </w:rPr>
        <w:t xml:space="preserve"> </w:t>
      </w:r>
      <w:r w:rsidRPr="00BA34BC">
        <w:rPr>
          <w:rFonts w:cstheme="minorHAnsi"/>
          <w:color w:val="231F20"/>
          <w:w w:val="105"/>
        </w:rPr>
        <w:t>the</w:t>
      </w:r>
      <w:r w:rsidRPr="008754F4">
        <w:rPr>
          <w:rFonts w:cstheme="minorHAnsi"/>
          <w:color w:val="231F20"/>
          <w:w w:val="105"/>
        </w:rPr>
        <w:t xml:space="preserve"> </w:t>
      </w:r>
      <w:r w:rsidRPr="00BA34BC">
        <w:rPr>
          <w:rFonts w:cstheme="minorHAnsi"/>
          <w:color w:val="231F20"/>
          <w:w w:val="105"/>
        </w:rPr>
        <w:t>vendor</w:t>
      </w:r>
      <w:r w:rsidRPr="008754F4">
        <w:rPr>
          <w:rFonts w:cstheme="minorHAnsi"/>
          <w:color w:val="231F20"/>
          <w:w w:val="105"/>
        </w:rPr>
        <w:t xml:space="preserve"> </w:t>
      </w:r>
      <w:r w:rsidRPr="00BA34BC">
        <w:rPr>
          <w:rFonts w:cstheme="minorHAnsi"/>
          <w:color w:val="231F20"/>
          <w:w w:val="105"/>
        </w:rPr>
        <w:t>of</w:t>
      </w:r>
      <w:r w:rsidRPr="008754F4">
        <w:rPr>
          <w:rFonts w:cstheme="minorHAnsi"/>
          <w:color w:val="231F20"/>
          <w:w w:val="105"/>
        </w:rPr>
        <w:t xml:space="preserve"> </w:t>
      </w:r>
      <w:r w:rsidRPr="00BA34BC">
        <w:rPr>
          <w:rFonts w:cstheme="minorHAnsi"/>
          <w:color w:val="231F20"/>
          <w:w w:val="105"/>
        </w:rPr>
        <w:t>Florida’s</w:t>
      </w:r>
      <w:r w:rsidRPr="008754F4">
        <w:rPr>
          <w:rFonts w:cstheme="minorHAnsi"/>
          <w:color w:val="231F20"/>
          <w:w w:val="105"/>
        </w:rPr>
        <w:t xml:space="preserve"> </w:t>
      </w:r>
      <w:r w:rsidRPr="00BA34BC">
        <w:rPr>
          <w:rFonts w:cstheme="minorHAnsi"/>
          <w:color w:val="231F20"/>
          <w:w w:val="105"/>
        </w:rPr>
        <w:t>online</w:t>
      </w:r>
      <w:r w:rsidRPr="008754F4">
        <w:rPr>
          <w:rFonts w:cstheme="minorHAnsi"/>
          <w:color w:val="231F20"/>
          <w:w w:val="105"/>
        </w:rPr>
        <w:t xml:space="preserve"> </w:t>
      </w:r>
      <w:r w:rsidRPr="00BA34BC">
        <w:rPr>
          <w:rFonts w:cstheme="minorHAnsi"/>
          <w:color w:val="231F20"/>
          <w:w w:val="105"/>
        </w:rPr>
        <w:t>job</w:t>
      </w:r>
      <w:r w:rsidRPr="008754F4">
        <w:rPr>
          <w:rFonts w:cstheme="minorHAnsi"/>
          <w:color w:val="231F20"/>
          <w:w w:val="105"/>
        </w:rPr>
        <w:t xml:space="preserve"> </w:t>
      </w:r>
      <w:r w:rsidRPr="00BA34BC">
        <w:rPr>
          <w:rFonts w:cstheme="minorHAnsi"/>
          <w:color w:val="231F20"/>
          <w:w w:val="105"/>
        </w:rPr>
        <w:t>matching</w:t>
      </w:r>
      <w:r w:rsidR="008754F4">
        <w:rPr>
          <w:rFonts w:cstheme="minorHAnsi"/>
          <w:color w:val="231F20"/>
          <w:w w:val="105"/>
        </w:rPr>
        <w:t xml:space="preserve"> portal</w:t>
      </w:r>
      <w:r w:rsidRPr="008754F4">
        <w:rPr>
          <w:rFonts w:cstheme="minorHAnsi"/>
          <w:color w:val="231F20"/>
          <w:w w:val="105"/>
        </w:rPr>
        <w:t xml:space="preserve">, </w:t>
      </w:r>
      <w:r w:rsidRPr="00BA34BC">
        <w:rPr>
          <w:rFonts w:cstheme="minorHAnsi"/>
          <w:color w:val="231F20"/>
          <w:w w:val="105"/>
        </w:rPr>
        <w:t>necessary</w:t>
      </w:r>
      <w:r w:rsidRPr="008754F4">
        <w:rPr>
          <w:rFonts w:cstheme="minorHAnsi"/>
          <w:color w:val="231F20"/>
          <w:w w:val="105"/>
        </w:rPr>
        <w:t xml:space="preserve"> </w:t>
      </w:r>
      <w:r w:rsidRPr="00BA34BC">
        <w:rPr>
          <w:rFonts w:cstheme="minorHAnsi"/>
          <w:color w:val="231F20"/>
          <w:w w:val="105"/>
        </w:rPr>
        <w:t>data</w:t>
      </w:r>
      <w:r w:rsidRPr="008754F4">
        <w:rPr>
          <w:rFonts w:cstheme="minorHAnsi"/>
          <w:color w:val="231F20"/>
          <w:w w:val="105"/>
        </w:rPr>
        <w:t xml:space="preserve"> </w:t>
      </w:r>
      <w:r w:rsidRPr="00BA34BC">
        <w:rPr>
          <w:rFonts w:cstheme="minorHAnsi"/>
          <w:color w:val="231F20"/>
          <w:w w:val="105"/>
        </w:rPr>
        <w:t>files</w:t>
      </w:r>
      <w:r w:rsidRPr="008754F4">
        <w:rPr>
          <w:rFonts w:cstheme="minorHAnsi"/>
          <w:color w:val="231F20"/>
          <w:w w:val="105"/>
        </w:rPr>
        <w:t xml:space="preserve"> </w:t>
      </w:r>
      <w:r w:rsidRPr="00BA34BC">
        <w:rPr>
          <w:rFonts w:cstheme="minorHAnsi"/>
          <w:color w:val="231F20"/>
          <w:w w:val="105"/>
        </w:rPr>
        <w:t>are</w:t>
      </w:r>
      <w:r w:rsidRPr="008754F4">
        <w:rPr>
          <w:rFonts w:cstheme="minorHAnsi"/>
          <w:color w:val="231F20"/>
          <w:w w:val="105"/>
        </w:rPr>
        <w:t xml:space="preserve"> </w:t>
      </w:r>
      <w:r w:rsidRPr="00BA34BC">
        <w:rPr>
          <w:rFonts w:cstheme="minorHAnsi"/>
          <w:color w:val="231F20"/>
          <w:w w:val="105"/>
        </w:rPr>
        <w:t>configured</w:t>
      </w:r>
      <w:r w:rsidRPr="008754F4">
        <w:rPr>
          <w:rFonts w:cstheme="minorHAnsi"/>
          <w:color w:val="231F20"/>
          <w:w w:val="105"/>
        </w:rPr>
        <w:t xml:space="preserve"> </w:t>
      </w:r>
      <w:r w:rsidRPr="00BA34BC">
        <w:rPr>
          <w:rFonts w:cstheme="minorHAnsi"/>
          <w:color w:val="231F20"/>
          <w:w w:val="105"/>
        </w:rPr>
        <w:t>on</w:t>
      </w:r>
      <w:r w:rsidRPr="008754F4">
        <w:rPr>
          <w:rFonts w:cstheme="minorHAnsi"/>
          <w:color w:val="231F20"/>
          <w:w w:val="105"/>
        </w:rPr>
        <w:t xml:space="preserve"> </w:t>
      </w:r>
      <w:r w:rsidRPr="00BA34BC">
        <w:rPr>
          <w:rFonts w:cstheme="minorHAnsi"/>
          <w:color w:val="231F20"/>
          <w:w w:val="105"/>
        </w:rPr>
        <w:t>a</w:t>
      </w:r>
      <w:r w:rsidRPr="008754F4">
        <w:rPr>
          <w:rFonts w:cstheme="minorHAnsi"/>
          <w:color w:val="231F20"/>
          <w:w w:val="105"/>
        </w:rPr>
        <w:t xml:space="preserve"> </w:t>
      </w:r>
      <w:r w:rsidRPr="00BA34BC">
        <w:rPr>
          <w:rFonts w:cstheme="minorHAnsi"/>
          <w:color w:val="231F20"/>
          <w:w w:val="105"/>
        </w:rPr>
        <w:t>quarterly</w:t>
      </w:r>
      <w:r w:rsidRPr="008754F4">
        <w:rPr>
          <w:rFonts w:cstheme="minorHAnsi"/>
          <w:color w:val="231F20"/>
          <w:w w:val="105"/>
        </w:rPr>
        <w:t xml:space="preserve"> </w:t>
      </w:r>
      <w:r w:rsidRPr="00BA34BC">
        <w:rPr>
          <w:rFonts w:cstheme="minorHAnsi"/>
          <w:color w:val="231F20"/>
          <w:w w:val="105"/>
        </w:rPr>
        <w:t>basis</w:t>
      </w:r>
      <w:r w:rsidRPr="008754F4">
        <w:rPr>
          <w:rFonts w:cstheme="minorHAnsi"/>
          <w:color w:val="231F20"/>
          <w:w w:val="105"/>
        </w:rPr>
        <w:t xml:space="preserve"> </w:t>
      </w:r>
      <w:r w:rsidRPr="00BA34BC">
        <w:rPr>
          <w:rFonts w:cstheme="minorHAnsi"/>
          <w:color w:val="231F20"/>
          <w:w w:val="105"/>
        </w:rPr>
        <w:t>for</w:t>
      </w:r>
      <w:r w:rsidRPr="008754F4">
        <w:rPr>
          <w:rFonts w:cstheme="minorHAnsi"/>
          <w:color w:val="231F20"/>
          <w:w w:val="105"/>
        </w:rPr>
        <w:t xml:space="preserve"> </w:t>
      </w:r>
      <w:r w:rsidRPr="00BA34BC">
        <w:rPr>
          <w:rFonts w:cstheme="minorHAnsi"/>
          <w:color w:val="231F20"/>
          <w:w w:val="105"/>
        </w:rPr>
        <w:t>federal</w:t>
      </w:r>
      <w:r w:rsidRPr="008754F4">
        <w:rPr>
          <w:rFonts w:cstheme="minorHAnsi"/>
          <w:color w:val="231F20"/>
          <w:w w:val="105"/>
        </w:rPr>
        <w:t xml:space="preserve"> </w:t>
      </w:r>
      <w:r w:rsidRPr="00BA34BC">
        <w:rPr>
          <w:rFonts w:cstheme="minorHAnsi"/>
          <w:color w:val="231F20"/>
          <w:w w:val="105"/>
        </w:rPr>
        <w:t>reporting</w:t>
      </w:r>
      <w:r w:rsidRPr="008754F4">
        <w:rPr>
          <w:rFonts w:cstheme="minorHAnsi"/>
          <w:color w:val="231F20"/>
          <w:w w:val="105"/>
        </w:rPr>
        <w:t xml:space="preserve"> </w:t>
      </w:r>
      <w:r w:rsidRPr="00BA34BC">
        <w:rPr>
          <w:rFonts w:cstheme="minorHAnsi"/>
          <w:color w:val="231F20"/>
          <w:w w:val="105"/>
        </w:rPr>
        <w:t>and</w:t>
      </w:r>
      <w:r w:rsidRPr="008754F4">
        <w:rPr>
          <w:rFonts w:cstheme="minorHAnsi"/>
          <w:color w:val="231F20"/>
          <w:w w:val="105"/>
        </w:rPr>
        <w:t xml:space="preserve"> </w:t>
      </w:r>
      <w:r w:rsidRPr="00BA34BC">
        <w:rPr>
          <w:rFonts w:cstheme="minorHAnsi"/>
          <w:color w:val="231F20"/>
          <w:w w:val="105"/>
        </w:rPr>
        <w:t>submitted</w:t>
      </w:r>
      <w:r w:rsidRPr="008754F4">
        <w:rPr>
          <w:rFonts w:cstheme="minorHAnsi"/>
          <w:color w:val="231F20"/>
          <w:w w:val="105"/>
        </w:rPr>
        <w:t xml:space="preserve"> </w:t>
      </w:r>
      <w:r w:rsidRPr="00BA34BC">
        <w:rPr>
          <w:rFonts w:cstheme="minorHAnsi"/>
          <w:color w:val="231F20"/>
          <w:w w:val="105"/>
        </w:rPr>
        <w:t>through</w:t>
      </w:r>
      <w:r w:rsidRPr="008754F4">
        <w:rPr>
          <w:rFonts w:cstheme="minorHAnsi"/>
          <w:color w:val="231F20"/>
          <w:w w:val="105"/>
        </w:rPr>
        <w:t xml:space="preserve"> </w:t>
      </w:r>
      <w:r w:rsidRPr="00BA34BC">
        <w:rPr>
          <w:rFonts w:cstheme="minorHAnsi"/>
          <w:color w:val="231F20"/>
          <w:w w:val="105"/>
        </w:rPr>
        <w:t>the</w:t>
      </w:r>
      <w:r w:rsidRPr="008754F4">
        <w:rPr>
          <w:rFonts w:cstheme="minorHAnsi"/>
          <w:color w:val="231F20"/>
          <w:w w:val="105"/>
        </w:rPr>
        <w:t xml:space="preserve"> </w:t>
      </w:r>
      <w:r w:rsidRPr="00BA34BC">
        <w:rPr>
          <w:rFonts w:cstheme="minorHAnsi"/>
          <w:color w:val="231F20"/>
          <w:w w:val="105"/>
        </w:rPr>
        <w:t>Enterprise</w:t>
      </w:r>
      <w:r w:rsidRPr="008754F4">
        <w:rPr>
          <w:rFonts w:cstheme="minorHAnsi"/>
          <w:color w:val="231F20"/>
          <w:w w:val="105"/>
        </w:rPr>
        <w:t xml:space="preserve"> </w:t>
      </w:r>
      <w:r w:rsidRPr="00BA34BC">
        <w:rPr>
          <w:rFonts w:cstheme="minorHAnsi"/>
          <w:color w:val="231F20"/>
          <w:w w:val="105"/>
        </w:rPr>
        <w:t>Data</w:t>
      </w:r>
      <w:r w:rsidRPr="008754F4">
        <w:rPr>
          <w:rFonts w:cstheme="minorHAnsi"/>
          <w:color w:val="231F20"/>
          <w:w w:val="105"/>
        </w:rPr>
        <w:t xml:space="preserve"> </w:t>
      </w:r>
      <w:r w:rsidRPr="00BA34BC">
        <w:rPr>
          <w:rFonts w:cstheme="minorHAnsi"/>
          <w:color w:val="231F20"/>
          <w:w w:val="105"/>
        </w:rPr>
        <w:t>Reporting</w:t>
      </w:r>
      <w:r w:rsidRPr="008754F4">
        <w:rPr>
          <w:rFonts w:cstheme="minorHAnsi"/>
          <w:color w:val="231F20"/>
          <w:w w:val="105"/>
        </w:rPr>
        <w:t xml:space="preserve"> </w:t>
      </w:r>
      <w:r w:rsidRPr="00BA34BC">
        <w:rPr>
          <w:rFonts w:cstheme="minorHAnsi"/>
          <w:color w:val="231F20"/>
          <w:w w:val="105"/>
        </w:rPr>
        <w:t>Validation</w:t>
      </w:r>
      <w:r w:rsidRPr="008754F4">
        <w:rPr>
          <w:rFonts w:cstheme="minorHAnsi"/>
          <w:color w:val="231F20"/>
          <w:w w:val="105"/>
        </w:rPr>
        <w:t xml:space="preserve"> </w:t>
      </w:r>
      <w:r w:rsidRPr="00BA34BC">
        <w:rPr>
          <w:rFonts w:cstheme="minorHAnsi"/>
          <w:color w:val="231F20"/>
          <w:w w:val="105"/>
        </w:rPr>
        <w:t>System.</w:t>
      </w:r>
      <w:r w:rsidRPr="008754F4">
        <w:rPr>
          <w:rFonts w:cstheme="minorHAnsi"/>
          <w:color w:val="231F20"/>
          <w:w w:val="105"/>
        </w:rPr>
        <w:t xml:space="preserve"> </w:t>
      </w:r>
      <w:r w:rsidRPr="00BA34BC">
        <w:rPr>
          <w:rFonts w:cstheme="minorHAnsi"/>
          <w:color w:val="231F20"/>
          <w:w w:val="105"/>
        </w:rPr>
        <w:t>Prior</w:t>
      </w:r>
      <w:r w:rsidRPr="008754F4">
        <w:rPr>
          <w:rFonts w:cstheme="minorHAnsi"/>
          <w:color w:val="231F20"/>
          <w:w w:val="105"/>
        </w:rPr>
        <w:t xml:space="preserve"> </w:t>
      </w:r>
      <w:r w:rsidRPr="00BA34BC">
        <w:rPr>
          <w:rFonts w:cstheme="minorHAnsi"/>
          <w:color w:val="231F20"/>
          <w:w w:val="105"/>
        </w:rPr>
        <w:t>to</w:t>
      </w:r>
      <w:r w:rsidRPr="008754F4">
        <w:rPr>
          <w:rFonts w:cstheme="minorHAnsi"/>
          <w:color w:val="231F20"/>
          <w:w w:val="105"/>
        </w:rPr>
        <w:t xml:space="preserve"> </w:t>
      </w:r>
      <w:r w:rsidRPr="00BA34BC">
        <w:rPr>
          <w:rFonts w:cstheme="minorHAnsi"/>
          <w:color w:val="231F20"/>
          <w:w w:val="105"/>
        </w:rPr>
        <w:t>submission,</w:t>
      </w:r>
      <w:r w:rsidRPr="008754F4">
        <w:rPr>
          <w:rFonts w:cstheme="minorHAnsi"/>
          <w:color w:val="231F20"/>
          <w:w w:val="105"/>
        </w:rPr>
        <w:t xml:space="preserve"> </w:t>
      </w:r>
      <w:r w:rsidRPr="00BA34BC">
        <w:rPr>
          <w:rFonts w:cstheme="minorHAnsi"/>
          <w:color w:val="231F20"/>
          <w:w w:val="105"/>
        </w:rPr>
        <w:t>files</w:t>
      </w:r>
      <w:r w:rsidRPr="008754F4">
        <w:rPr>
          <w:rFonts w:cstheme="minorHAnsi"/>
          <w:color w:val="231F20"/>
          <w:w w:val="105"/>
        </w:rPr>
        <w:t xml:space="preserve"> </w:t>
      </w:r>
      <w:r w:rsidRPr="00BA34BC">
        <w:rPr>
          <w:rFonts w:cstheme="minorHAnsi"/>
          <w:color w:val="231F20"/>
          <w:w w:val="105"/>
        </w:rPr>
        <w:t>are</w:t>
      </w:r>
      <w:r w:rsidRPr="008754F4">
        <w:rPr>
          <w:rFonts w:cstheme="minorHAnsi"/>
          <w:color w:val="231F20"/>
          <w:w w:val="105"/>
        </w:rPr>
        <w:t xml:space="preserve"> </w:t>
      </w:r>
      <w:r w:rsidRPr="00BA34BC">
        <w:rPr>
          <w:rFonts w:cstheme="minorHAnsi"/>
          <w:color w:val="231F20"/>
          <w:w w:val="105"/>
        </w:rPr>
        <w:t>analyzed</w:t>
      </w:r>
      <w:r w:rsidRPr="008754F4">
        <w:rPr>
          <w:rFonts w:cstheme="minorHAnsi"/>
          <w:color w:val="231F20"/>
          <w:w w:val="105"/>
        </w:rPr>
        <w:t xml:space="preserve"> </w:t>
      </w:r>
      <w:r w:rsidRPr="00BA34BC">
        <w:rPr>
          <w:rFonts w:cstheme="minorHAnsi"/>
          <w:color w:val="231F20"/>
          <w:w w:val="105"/>
        </w:rPr>
        <w:t>for</w:t>
      </w:r>
      <w:r w:rsidRPr="008754F4">
        <w:rPr>
          <w:rFonts w:cstheme="minorHAnsi"/>
          <w:color w:val="231F20"/>
          <w:w w:val="105"/>
        </w:rPr>
        <w:t xml:space="preserve"> </w:t>
      </w:r>
      <w:r w:rsidRPr="00BA34BC">
        <w:rPr>
          <w:rFonts w:cstheme="minorHAnsi"/>
          <w:color w:val="231F20"/>
          <w:w w:val="105"/>
        </w:rPr>
        <w:t>data</w:t>
      </w:r>
      <w:r w:rsidRPr="008754F4">
        <w:rPr>
          <w:rFonts w:cstheme="minorHAnsi"/>
          <w:color w:val="231F20"/>
          <w:w w:val="105"/>
        </w:rPr>
        <w:t xml:space="preserve"> </w:t>
      </w:r>
      <w:r w:rsidRPr="00BA34BC">
        <w:rPr>
          <w:rFonts w:cstheme="minorHAnsi"/>
          <w:color w:val="231F20"/>
          <w:w w:val="105"/>
        </w:rPr>
        <w:t>consistency</w:t>
      </w:r>
      <w:r w:rsidRPr="008754F4">
        <w:rPr>
          <w:rFonts w:cstheme="minorHAnsi"/>
          <w:color w:val="231F20"/>
          <w:w w:val="105"/>
        </w:rPr>
        <w:t xml:space="preserve"> </w:t>
      </w:r>
      <w:r w:rsidRPr="00BA34BC">
        <w:rPr>
          <w:rFonts w:cstheme="minorHAnsi"/>
          <w:color w:val="231F20"/>
          <w:w w:val="105"/>
        </w:rPr>
        <w:t>and</w:t>
      </w:r>
      <w:r w:rsidRPr="008754F4">
        <w:rPr>
          <w:rFonts w:cstheme="minorHAnsi"/>
          <w:color w:val="231F20"/>
          <w:w w:val="105"/>
        </w:rPr>
        <w:t xml:space="preserve"> </w:t>
      </w:r>
      <w:r w:rsidRPr="00BA34BC">
        <w:rPr>
          <w:rFonts w:cstheme="minorHAnsi"/>
          <w:color w:val="231F20"/>
          <w:w w:val="105"/>
        </w:rPr>
        <w:t>vetted</w:t>
      </w:r>
      <w:r w:rsidRPr="008754F4">
        <w:rPr>
          <w:rFonts w:cstheme="minorHAnsi"/>
          <w:color w:val="231F20"/>
          <w:w w:val="105"/>
        </w:rPr>
        <w:t xml:space="preserve"> </w:t>
      </w:r>
      <w:r w:rsidRPr="00BA34BC">
        <w:rPr>
          <w:rFonts w:cstheme="minorHAnsi"/>
          <w:color w:val="231F20"/>
          <w:w w:val="105"/>
        </w:rPr>
        <w:t>using internal</w:t>
      </w:r>
      <w:r w:rsidRPr="008754F4">
        <w:rPr>
          <w:rFonts w:cstheme="minorHAnsi"/>
          <w:color w:val="231F20"/>
          <w:w w:val="105"/>
        </w:rPr>
        <w:t xml:space="preserve"> </w:t>
      </w:r>
      <w:r w:rsidRPr="00BA34BC">
        <w:rPr>
          <w:rFonts w:cstheme="minorHAnsi"/>
          <w:color w:val="231F20"/>
          <w:w w:val="105"/>
        </w:rPr>
        <w:t>queries</w:t>
      </w:r>
      <w:r w:rsidRPr="008754F4">
        <w:rPr>
          <w:rFonts w:cstheme="minorHAnsi"/>
          <w:color w:val="231F20"/>
          <w:w w:val="105"/>
        </w:rPr>
        <w:t xml:space="preserve"> </w:t>
      </w:r>
      <w:r w:rsidRPr="00BA34BC">
        <w:rPr>
          <w:rFonts w:cstheme="minorHAnsi"/>
          <w:color w:val="231F20"/>
          <w:w w:val="105"/>
        </w:rPr>
        <w:t>and</w:t>
      </w:r>
      <w:r w:rsidRPr="008754F4">
        <w:rPr>
          <w:rFonts w:cstheme="minorHAnsi"/>
          <w:color w:val="231F20"/>
          <w:w w:val="105"/>
        </w:rPr>
        <w:t xml:space="preserve"> </w:t>
      </w:r>
      <w:r w:rsidRPr="00BA34BC">
        <w:rPr>
          <w:rFonts w:cstheme="minorHAnsi"/>
          <w:color w:val="231F20"/>
          <w:w w:val="105"/>
        </w:rPr>
        <w:t>tracking</w:t>
      </w:r>
      <w:r w:rsidRPr="008754F4">
        <w:rPr>
          <w:rFonts w:cstheme="minorHAnsi"/>
          <w:color w:val="231F20"/>
          <w:w w:val="105"/>
        </w:rPr>
        <w:t xml:space="preserve"> </w:t>
      </w:r>
      <w:r w:rsidRPr="00BA34BC">
        <w:rPr>
          <w:rFonts w:cstheme="minorHAnsi"/>
          <w:color w:val="231F20"/>
          <w:w w:val="105"/>
        </w:rPr>
        <w:t>reports.</w:t>
      </w:r>
      <w:r w:rsidRPr="008754F4">
        <w:rPr>
          <w:rFonts w:cstheme="minorHAnsi"/>
          <w:color w:val="231F20"/>
          <w:w w:val="105"/>
        </w:rPr>
        <w:t xml:space="preserve"> </w:t>
      </w:r>
      <w:r w:rsidRPr="00BA34BC">
        <w:rPr>
          <w:rFonts w:cstheme="minorHAnsi"/>
          <w:color w:val="231F20"/>
          <w:w w:val="105"/>
        </w:rPr>
        <w:t>All</w:t>
      </w:r>
      <w:r w:rsidRPr="008754F4">
        <w:rPr>
          <w:rFonts w:cstheme="minorHAnsi"/>
          <w:color w:val="231F20"/>
          <w:w w:val="105"/>
        </w:rPr>
        <w:t xml:space="preserve"> </w:t>
      </w:r>
      <w:r w:rsidRPr="00BA34BC">
        <w:rPr>
          <w:rFonts w:cstheme="minorHAnsi"/>
          <w:color w:val="231F20"/>
          <w:w w:val="105"/>
        </w:rPr>
        <w:t>reports</w:t>
      </w:r>
      <w:r w:rsidRPr="008754F4">
        <w:rPr>
          <w:rFonts w:cstheme="minorHAnsi"/>
          <w:color w:val="231F20"/>
          <w:w w:val="105"/>
        </w:rPr>
        <w:t xml:space="preserve"> </w:t>
      </w:r>
      <w:r w:rsidRPr="00BA34BC">
        <w:rPr>
          <w:rFonts w:cstheme="minorHAnsi"/>
          <w:color w:val="231F20"/>
          <w:w w:val="105"/>
        </w:rPr>
        <w:t>are</w:t>
      </w:r>
      <w:r w:rsidRPr="008754F4">
        <w:rPr>
          <w:rFonts w:cstheme="minorHAnsi"/>
          <w:color w:val="231F20"/>
          <w:w w:val="105"/>
        </w:rPr>
        <w:t xml:space="preserve"> </w:t>
      </w:r>
      <w:r w:rsidRPr="00BA34BC">
        <w:rPr>
          <w:rFonts w:cstheme="minorHAnsi"/>
          <w:color w:val="231F20"/>
          <w:w w:val="105"/>
        </w:rPr>
        <w:t>reviewed</w:t>
      </w:r>
      <w:r w:rsidRPr="008754F4">
        <w:rPr>
          <w:rFonts w:cstheme="minorHAnsi"/>
          <w:color w:val="231F20"/>
          <w:w w:val="105"/>
        </w:rPr>
        <w:t xml:space="preserve"> </w:t>
      </w:r>
      <w:r w:rsidRPr="00BA34BC">
        <w:rPr>
          <w:rFonts w:cstheme="minorHAnsi"/>
          <w:color w:val="231F20"/>
          <w:w w:val="105"/>
        </w:rPr>
        <w:t>and</w:t>
      </w:r>
      <w:r w:rsidRPr="008754F4">
        <w:rPr>
          <w:rFonts w:cstheme="minorHAnsi"/>
          <w:color w:val="231F20"/>
          <w:w w:val="105"/>
        </w:rPr>
        <w:t xml:space="preserve"> </w:t>
      </w:r>
      <w:r w:rsidRPr="00BA34BC">
        <w:rPr>
          <w:rFonts w:cstheme="minorHAnsi"/>
          <w:color w:val="231F20"/>
          <w:w w:val="105"/>
        </w:rPr>
        <w:t>approved</w:t>
      </w:r>
      <w:r w:rsidRPr="008754F4">
        <w:rPr>
          <w:rFonts w:cstheme="minorHAnsi"/>
          <w:color w:val="231F20"/>
          <w:w w:val="105"/>
        </w:rPr>
        <w:t xml:space="preserve"> </w:t>
      </w:r>
      <w:r w:rsidRPr="00BA34BC">
        <w:rPr>
          <w:rFonts w:cstheme="minorHAnsi"/>
          <w:color w:val="231F20"/>
          <w:w w:val="105"/>
        </w:rPr>
        <w:t>by</w:t>
      </w:r>
      <w:r w:rsidRPr="008754F4">
        <w:rPr>
          <w:rFonts w:cstheme="minorHAnsi"/>
          <w:color w:val="231F20"/>
          <w:w w:val="105"/>
        </w:rPr>
        <w:t xml:space="preserve"> </w:t>
      </w:r>
      <w:r w:rsidRPr="00BA34BC">
        <w:rPr>
          <w:rFonts w:cstheme="minorHAnsi"/>
          <w:color w:val="231F20"/>
          <w:w w:val="105"/>
        </w:rPr>
        <w:t>both</w:t>
      </w:r>
      <w:r w:rsidRPr="008754F4">
        <w:rPr>
          <w:rFonts w:cstheme="minorHAnsi"/>
          <w:color w:val="231F20"/>
          <w:w w:val="105"/>
        </w:rPr>
        <w:t xml:space="preserve"> </w:t>
      </w:r>
      <w:r w:rsidRPr="00BA34BC">
        <w:rPr>
          <w:rFonts w:cstheme="minorHAnsi"/>
          <w:color w:val="231F20"/>
          <w:w w:val="105"/>
        </w:rPr>
        <w:t>DEO</w:t>
      </w:r>
      <w:r w:rsidRPr="008754F4">
        <w:rPr>
          <w:rFonts w:cstheme="minorHAnsi"/>
          <w:color w:val="231F20"/>
          <w:w w:val="105"/>
        </w:rPr>
        <w:t xml:space="preserve"> </w:t>
      </w:r>
      <w:r w:rsidRPr="00BA34BC">
        <w:rPr>
          <w:rFonts w:cstheme="minorHAnsi"/>
          <w:color w:val="231F20"/>
          <w:w w:val="105"/>
        </w:rPr>
        <w:t>and</w:t>
      </w:r>
      <w:r w:rsidRPr="008754F4">
        <w:rPr>
          <w:rFonts w:cstheme="minorHAnsi"/>
          <w:color w:val="231F20"/>
          <w:w w:val="105"/>
        </w:rPr>
        <w:t xml:space="preserve"> </w:t>
      </w:r>
      <w:r w:rsidRPr="00BA34BC">
        <w:rPr>
          <w:rFonts w:cstheme="minorHAnsi"/>
          <w:color w:val="231F20"/>
          <w:w w:val="105"/>
        </w:rPr>
        <w:t>CareerSource</w:t>
      </w:r>
      <w:r w:rsidRPr="008754F4">
        <w:rPr>
          <w:rFonts w:cstheme="minorHAnsi"/>
          <w:color w:val="231F20"/>
          <w:w w:val="105"/>
        </w:rPr>
        <w:t xml:space="preserve"> </w:t>
      </w:r>
      <w:r w:rsidRPr="00BA34BC">
        <w:rPr>
          <w:rFonts w:cstheme="minorHAnsi"/>
          <w:color w:val="231F20"/>
          <w:w w:val="105"/>
        </w:rPr>
        <w:t>Florida</w:t>
      </w:r>
      <w:r w:rsidRPr="008754F4">
        <w:rPr>
          <w:rFonts w:cstheme="minorHAnsi"/>
          <w:color w:val="231F20"/>
          <w:w w:val="105"/>
        </w:rPr>
        <w:t xml:space="preserve"> </w:t>
      </w:r>
      <w:r w:rsidRPr="00BA34BC">
        <w:rPr>
          <w:rFonts w:cstheme="minorHAnsi"/>
          <w:color w:val="231F20"/>
          <w:w w:val="105"/>
        </w:rPr>
        <w:t>staff</w:t>
      </w:r>
      <w:r w:rsidRPr="008754F4">
        <w:rPr>
          <w:rFonts w:cstheme="minorHAnsi"/>
          <w:color w:val="231F20"/>
          <w:w w:val="105"/>
        </w:rPr>
        <w:t xml:space="preserve"> </w:t>
      </w:r>
      <w:r w:rsidRPr="00BA34BC">
        <w:rPr>
          <w:rFonts w:cstheme="minorHAnsi"/>
          <w:color w:val="231F20"/>
          <w:w w:val="105"/>
        </w:rPr>
        <w:t>prior</w:t>
      </w:r>
      <w:r w:rsidRPr="008754F4">
        <w:rPr>
          <w:rFonts w:cstheme="minorHAnsi"/>
          <w:color w:val="231F20"/>
          <w:w w:val="105"/>
        </w:rPr>
        <w:t xml:space="preserve"> </w:t>
      </w:r>
      <w:r w:rsidRPr="00BA34BC">
        <w:rPr>
          <w:rFonts w:cstheme="minorHAnsi"/>
          <w:color w:val="231F20"/>
          <w:w w:val="105"/>
        </w:rPr>
        <w:t>to</w:t>
      </w:r>
      <w:r w:rsidRPr="008754F4">
        <w:rPr>
          <w:rFonts w:cstheme="minorHAnsi"/>
          <w:color w:val="231F20"/>
          <w:w w:val="105"/>
        </w:rPr>
        <w:t xml:space="preserve"> c</w:t>
      </w:r>
      <w:r w:rsidRPr="00BA34BC">
        <w:rPr>
          <w:rFonts w:cstheme="minorHAnsi"/>
          <w:color w:val="231F20"/>
          <w:w w:val="105"/>
        </w:rPr>
        <w:t>ertification. Florida core partners continue to work toward improving the process via modified data sharing mechanisms and reporting protocols.</w:t>
      </w:r>
    </w:p>
    <w:p w14:paraId="236A9AE3" w14:textId="77777777" w:rsidR="00BA34BC" w:rsidRPr="00BA34BC" w:rsidRDefault="00BA34BC" w:rsidP="00D63204">
      <w:pPr>
        <w:widowControl w:val="0"/>
        <w:spacing w:before="2" w:after="0" w:line="240" w:lineRule="auto"/>
        <w:ind w:left="107"/>
        <w:rPr>
          <w:rFonts w:cstheme="minorHAnsi"/>
          <w:sz w:val="14"/>
          <w:szCs w:val="14"/>
        </w:rPr>
      </w:pPr>
    </w:p>
    <w:p w14:paraId="4BC4BC86" w14:textId="77777777" w:rsidR="00BA34BC" w:rsidRPr="00BA34BC" w:rsidRDefault="00BA34BC" w:rsidP="00D63204">
      <w:pPr>
        <w:pStyle w:val="ListParagraph"/>
        <w:widowControl w:val="0"/>
        <w:numPr>
          <w:ilvl w:val="0"/>
          <w:numId w:val="34"/>
        </w:numPr>
        <w:tabs>
          <w:tab w:val="left" w:pos="2268"/>
        </w:tabs>
        <w:spacing w:before="59" w:after="0" w:line="240" w:lineRule="auto"/>
        <w:rPr>
          <w:rFonts w:cstheme="minorHAnsi"/>
        </w:rPr>
      </w:pPr>
      <w:r w:rsidRPr="00BA34BC">
        <w:rPr>
          <w:rFonts w:cstheme="minorHAnsi"/>
          <w:color w:val="295CA3"/>
          <w:w w:val="105"/>
        </w:rPr>
        <w:t>Assessment of Participants’ Post-Program</w:t>
      </w:r>
      <w:r w:rsidRPr="00BA34BC">
        <w:rPr>
          <w:rFonts w:cstheme="minorHAnsi"/>
          <w:color w:val="295CA3"/>
          <w:spacing w:val="27"/>
          <w:w w:val="105"/>
        </w:rPr>
        <w:t xml:space="preserve"> </w:t>
      </w:r>
      <w:r w:rsidRPr="00BA34BC">
        <w:rPr>
          <w:rFonts w:cstheme="minorHAnsi"/>
          <w:color w:val="295CA3"/>
          <w:w w:val="105"/>
        </w:rPr>
        <w:t>Success</w:t>
      </w:r>
    </w:p>
    <w:p w14:paraId="55813426" w14:textId="0BBDF0E5" w:rsidR="00BA34BC" w:rsidRPr="00BA34BC" w:rsidRDefault="00BA34BC" w:rsidP="00D63204">
      <w:pPr>
        <w:widowControl w:val="0"/>
        <w:spacing w:before="193" w:after="0" w:line="264" w:lineRule="exact"/>
        <w:ind w:left="107"/>
        <w:rPr>
          <w:rFonts w:cstheme="minorHAnsi"/>
          <w:w w:val="105"/>
        </w:rPr>
      </w:pPr>
      <w:r w:rsidRPr="00BA34BC">
        <w:rPr>
          <w:rFonts w:cstheme="minorHAnsi"/>
          <w:w w:val="105"/>
        </w:rPr>
        <w:t xml:space="preserve">The Performance Funding Model (PFM) rewards annual achievement and drives systemic change to help Florida become </w:t>
      </w:r>
      <w:r w:rsidR="00375AFD">
        <w:rPr>
          <w:rFonts w:cstheme="minorHAnsi"/>
          <w:w w:val="105"/>
        </w:rPr>
        <w:t>a</w:t>
      </w:r>
      <w:r w:rsidRPr="00BA34BC">
        <w:rPr>
          <w:rFonts w:cstheme="minorHAnsi"/>
          <w:w w:val="105"/>
        </w:rPr>
        <w:t xml:space="preserve"> global leader for talent by encouraging the 24 local workforce development boards to enhance services for Florida businesses and job seekers. Participation in the PFM is voluntary. Local boards that do not opt in to the PFM remain eligible for other state funding.</w:t>
      </w:r>
    </w:p>
    <w:p w14:paraId="58BA7CFB" w14:textId="4DA6A34A" w:rsidR="00BA34BC" w:rsidRPr="00BA34BC" w:rsidRDefault="00BA34BC" w:rsidP="00D63204">
      <w:pPr>
        <w:widowControl w:val="0"/>
        <w:spacing w:before="193" w:after="0" w:line="264" w:lineRule="exact"/>
        <w:ind w:left="107"/>
        <w:rPr>
          <w:rFonts w:cstheme="minorHAnsi"/>
          <w:w w:val="105"/>
        </w:rPr>
      </w:pPr>
      <w:r w:rsidRPr="00BA34BC">
        <w:rPr>
          <w:rFonts w:cstheme="minorHAnsi"/>
          <w:w w:val="105"/>
        </w:rPr>
        <w:t xml:space="preserve">Participating local boards are awarded funding for superior performance on metrics within the PFM each fiscal year. To encourage local board participation, CareerSource Florida allots a portion of the </w:t>
      </w:r>
      <w:r w:rsidRPr="00BA34BC">
        <w:rPr>
          <w:rFonts w:cstheme="minorHAnsi"/>
        </w:rPr>
        <w:t>federal discretionary funds set aside for statewide activities</w:t>
      </w:r>
      <w:r w:rsidRPr="00BA34BC">
        <w:rPr>
          <w:rFonts w:cstheme="minorHAnsi"/>
          <w:w w:val="105"/>
        </w:rPr>
        <w:t xml:space="preserve"> to reward performance on PFM metrics. Local boards must perform on all metrics, by meeting minimum thresholds and a global performance target, to be considered for PFM performance funding. Local boards </w:t>
      </w:r>
      <w:r w:rsidR="00A41BA7">
        <w:rPr>
          <w:rFonts w:cstheme="minorHAnsi"/>
          <w:w w:val="105"/>
        </w:rPr>
        <w:t>that</w:t>
      </w:r>
      <w:r w:rsidRPr="00BA34BC">
        <w:rPr>
          <w:rFonts w:cstheme="minorHAnsi"/>
          <w:w w:val="105"/>
        </w:rPr>
        <w:t xml:space="preserve"> meet these requirements are then evaluated for Target, Improve and Excel funds within the PFM.</w:t>
      </w:r>
    </w:p>
    <w:p w14:paraId="05598799" w14:textId="7023B9E1" w:rsidR="00BA34BC" w:rsidRPr="00BA34BC" w:rsidRDefault="00BA34BC" w:rsidP="00D63204">
      <w:pPr>
        <w:widowControl w:val="0"/>
        <w:spacing w:before="193" w:after="0" w:line="264" w:lineRule="exact"/>
        <w:ind w:left="107"/>
        <w:rPr>
          <w:rFonts w:cstheme="minorHAnsi"/>
          <w:w w:val="105"/>
        </w:rPr>
      </w:pPr>
      <w:r w:rsidRPr="00BA34BC">
        <w:rPr>
          <w:rFonts w:cstheme="minorHAnsi"/>
          <w:w w:val="105"/>
        </w:rPr>
        <w:t xml:space="preserve">Local boards receive additional credits for serving the following </w:t>
      </w:r>
      <w:r w:rsidR="003E68D0">
        <w:rPr>
          <w:rFonts w:cstheme="minorHAnsi"/>
          <w:w w:val="105"/>
        </w:rPr>
        <w:t>people</w:t>
      </w:r>
      <w:r w:rsidRPr="00BA34BC">
        <w:rPr>
          <w:rFonts w:cstheme="minorHAnsi"/>
          <w:w w:val="105"/>
        </w:rPr>
        <w:t xml:space="preserve"> with barriers to employment:</w:t>
      </w:r>
    </w:p>
    <w:p w14:paraId="56B3A6F6" w14:textId="77777777" w:rsidR="00BA34BC" w:rsidRPr="00BA34BC" w:rsidRDefault="00BA34BC" w:rsidP="00D63204">
      <w:pPr>
        <w:widowControl w:val="0"/>
        <w:spacing w:after="0" w:line="264" w:lineRule="exact"/>
        <w:ind w:left="90"/>
        <w:rPr>
          <w:rFonts w:cstheme="minorHAnsi"/>
          <w:w w:val="105"/>
        </w:rPr>
      </w:pPr>
    </w:p>
    <w:p w14:paraId="451915EA" w14:textId="77777777" w:rsidR="00BA34BC" w:rsidRPr="00BA34BC" w:rsidRDefault="00BA34BC" w:rsidP="00D63204">
      <w:pPr>
        <w:pStyle w:val="ListParagraph"/>
        <w:widowControl w:val="0"/>
        <w:numPr>
          <w:ilvl w:val="0"/>
          <w:numId w:val="171"/>
        </w:numPr>
        <w:spacing w:after="0" w:line="264" w:lineRule="exact"/>
        <w:rPr>
          <w:rFonts w:cstheme="minorHAnsi"/>
          <w:w w:val="105"/>
        </w:rPr>
      </w:pPr>
      <w:r w:rsidRPr="00BA34BC">
        <w:rPr>
          <w:rFonts w:cstheme="minorHAnsi"/>
          <w:w w:val="105"/>
        </w:rPr>
        <w:t>Formerly incarcerated individuals</w:t>
      </w:r>
    </w:p>
    <w:p w14:paraId="6E6A9715" w14:textId="77777777" w:rsidR="00BA34BC" w:rsidRPr="00BA34BC" w:rsidRDefault="00BA34BC" w:rsidP="00D63204">
      <w:pPr>
        <w:pStyle w:val="ListParagraph"/>
        <w:widowControl w:val="0"/>
        <w:numPr>
          <w:ilvl w:val="0"/>
          <w:numId w:val="171"/>
        </w:numPr>
        <w:spacing w:after="0" w:line="264" w:lineRule="exact"/>
        <w:rPr>
          <w:rFonts w:cstheme="minorHAnsi"/>
          <w:w w:val="105"/>
        </w:rPr>
      </w:pPr>
      <w:r w:rsidRPr="00BA34BC">
        <w:rPr>
          <w:rFonts w:cstheme="minorHAnsi"/>
          <w:w w:val="105"/>
        </w:rPr>
        <w:t>Homeless individuals</w:t>
      </w:r>
    </w:p>
    <w:p w14:paraId="0A33021C" w14:textId="77777777" w:rsidR="00BA34BC" w:rsidRPr="00BA34BC" w:rsidRDefault="00BA34BC" w:rsidP="00D63204">
      <w:pPr>
        <w:pStyle w:val="ListParagraph"/>
        <w:widowControl w:val="0"/>
        <w:numPr>
          <w:ilvl w:val="0"/>
          <w:numId w:val="171"/>
        </w:numPr>
        <w:spacing w:after="0" w:line="264" w:lineRule="exact"/>
        <w:rPr>
          <w:rFonts w:cstheme="minorHAnsi"/>
          <w:w w:val="105"/>
        </w:rPr>
      </w:pPr>
      <w:r w:rsidRPr="00BA34BC">
        <w:rPr>
          <w:rFonts w:cstheme="minorHAnsi"/>
          <w:w w:val="105"/>
        </w:rPr>
        <w:t>Individuals with disabilities</w:t>
      </w:r>
    </w:p>
    <w:p w14:paraId="61E49ADA" w14:textId="77777777" w:rsidR="00BA34BC" w:rsidRPr="00BA34BC" w:rsidRDefault="00BA34BC" w:rsidP="00D63204">
      <w:pPr>
        <w:pStyle w:val="ListParagraph"/>
        <w:widowControl w:val="0"/>
        <w:numPr>
          <w:ilvl w:val="0"/>
          <w:numId w:val="171"/>
        </w:numPr>
        <w:spacing w:after="0" w:line="264" w:lineRule="exact"/>
        <w:rPr>
          <w:rFonts w:cstheme="minorHAnsi"/>
          <w:w w:val="105"/>
        </w:rPr>
      </w:pPr>
      <w:r w:rsidRPr="00BA34BC">
        <w:rPr>
          <w:rFonts w:cstheme="minorHAnsi"/>
          <w:w w:val="105"/>
        </w:rPr>
        <w:t>Reemployment Assistance claimants</w:t>
      </w:r>
    </w:p>
    <w:p w14:paraId="1A157D42" w14:textId="77777777" w:rsidR="00BA34BC" w:rsidRPr="00BA34BC" w:rsidRDefault="00BA34BC" w:rsidP="00D63204">
      <w:pPr>
        <w:pStyle w:val="ListParagraph"/>
        <w:widowControl w:val="0"/>
        <w:numPr>
          <w:ilvl w:val="0"/>
          <w:numId w:val="171"/>
        </w:numPr>
        <w:spacing w:after="0" w:line="264" w:lineRule="exact"/>
        <w:rPr>
          <w:rFonts w:cstheme="minorHAnsi"/>
          <w:w w:val="105"/>
        </w:rPr>
      </w:pPr>
      <w:r w:rsidRPr="00BA34BC">
        <w:rPr>
          <w:rFonts w:cstheme="minorHAnsi"/>
          <w:w w:val="105"/>
        </w:rPr>
        <w:t>Supplemental Nutrition Assistance Program participants</w:t>
      </w:r>
    </w:p>
    <w:p w14:paraId="4572FB35" w14:textId="77777777" w:rsidR="00BA34BC" w:rsidRPr="00BA34BC" w:rsidRDefault="00BA34BC" w:rsidP="00D63204">
      <w:pPr>
        <w:pStyle w:val="ListParagraph"/>
        <w:widowControl w:val="0"/>
        <w:numPr>
          <w:ilvl w:val="0"/>
          <w:numId w:val="171"/>
        </w:numPr>
        <w:spacing w:after="0" w:line="264" w:lineRule="exact"/>
        <w:rPr>
          <w:rFonts w:cstheme="minorHAnsi"/>
          <w:w w:val="105"/>
        </w:rPr>
      </w:pPr>
      <w:r w:rsidRPr="00BA34BC">
        <w:rPr>
          <w:rFonts w:cstheme="minorHAnsi"/>
          <w:w w:val="105"/>
        </w:rPr>
        <w:t>Veterans</w:t>
      </w:r>
    </w:p>
    <w:p w14:paraId="671BFCDD" w14:textId="77777777" w:rsidR="00BA34BC" w:rsidRPr="00BA34BC" w:rsidRDefault="00BA34BC" w:rsidP="00D63204">
      <w:pPr>
        <w:pStyle w:val="ListParagraph"/>
        <w:widowControl w:val="0"/>
        <w:numPr>
          <w:ilvl w:val="0"/>
          <w:numId w:val="171"/>
        </w:numPr>
        <w:spacing w:after="0" w:line="264" w:lineRule="exact"/>
        <w:rPr>
          <w:rFonts w:cstheme="minorHAnsi"/>
          <w:w w:val="105"/>
        </w:rPr>
      </w:pPr>
      <w:r w:rsidRPr="00BA34BC">
        <w:rPr>
          <w:rFonts w:cstheme="minorHAnsi"/>
          <w:w w:val="105"/>
        </w:rPr>
        <w:t>Welfare Transition Program participants</w:t>
      </w:r>
    </w:p>
    <w:p w14:paraId="37C0979B" w14:textId="77777777" w:rsidR="00BA34BC" w:rsidRPr="00BA34BC" w:rsidRDefault="00BA34BC" w:rsidP="00D63204">
      <w:pPr>
        <w:widowControl w:val="0"/>
        <w:spacing w:after="0" w:line="264" w:lineRule="exact"/>
        <w:ind w:left="107"/>
        <w:rPr>
          <w:rFonts w:cstheme="minorHAnsi"/>
          <w:w w:val="105"/>
        </w:rPr>
      </w:pPr>
    </w:p>
    <w:p w14:paraId="7284EFAB" w14:textId="77777777" w:rsidR="00BA34BC" w:rsidRPr="00BA34BC" w:rsidRDefault="00BA34BC" w:rsidP="00D63204">
      <w:pPr>
        <w:widowControl w:val="0"/>
        <w:spacing w:after="0" w:line="264" w:lineRule="exact"/>
        <w:ind w:left="107"/>
        <w:rPr>
          <w:rFonts w:cstheme="minorHAnsi"/>
          <w:w w:val="105"/>
        </w:rPr>
      </w:pPr>
      <w:r w:rsidRPr="00BA34BC">
        <w:rPr>
          <w:rFonts w:cstheme="minorHAnsi"/>
          <w:color w:val="231F20"/>
          <w:w w:val="105"/>
        </w:rPr>
        <w:t xml:space="preserve">CareerSource Florida and DEO offer ongoing technical assistance through webinars, one-on-one telephone </w:t>
      </w:r>
      <w:r w:rsidRPr="00BA34BC">
        <w:rPr>
          <w:rFonts w:cstheme="minorHAnsi"/>
          <w:color w:val="231F20"/>
          <w:w w:val="105"/>
        </w:rPr>
        <w:lastRenderedPageBreak/>
        <w:t>consultations and in-person presentations, including trainings at the Florida Workforce Professional Development Summit.</w:t>
      </w:r>
    </w:p>
    <w:p w14:paraId="70EB7592" w14:textId="77777777" w:rsidR="00BA34BC" w:rsidRPr="00BA34BC" w:rsidRDefault="00BA34BC" w:rsidP="00D63204">
      <w:pPr>
        <w:widowControl w:val="0"/>
        <w:spacing w:before="2" w:after="0" w:line="235" w:lineRule="auto"/>
        <w:ind w:left="107"/>
        <w:rPr>
          <w:rFonts w:cstheme="minorHAnsi"/>
          <w:color w:val="231F20"/>
          <w:w w:val="105"/>
        </w:rPr>
      </w:pPr>
    </w:p>
    <w:p w14:paraId="140A4506" w14:textId="440D5BCF" w:rsidR="00BA34BC" w:rsidRPr="00BA34BC" w:rsidRDefault="00BA34BC" w:rsidP="00D63204">
      <w:pPr>
        <w:widowControl w:val="0"/>
        <w:spacing w:before="2" w:after="0" w:line="235" w:lineRule="auto"/>
        <w:ind w:left="107"/>
        <w:rPr>
          <w:rFonts w:cstheme="minorHAnsi"/>
        </w:rPr>
      </w:pPr>
      <w:r w:rsidRPr="00BA34BC">
        <w:rPr>
          <w:rFonts w:cstheme="minorHAnsi"/>
          <w:color w:val="231F20"/>
          <w:w w:val="105"/>
        </w:rPr>
        <w:t>CareerSource Florida is currently conducting a comprehensive analysis of the PFM to determine the impact of the model on behavioral change across the local boards</w:t>
      </w:r>
      <w:r w:rsidR="00D5537E">
        <w:rPr>
          <w:rFonts w:cstheme="minorHAnsi"/>
          <w:color w:val="231F20"/>
          <w:w w:val="105"/>
        </w:rPr>
        <w:t xml:space="preserve"> and</w:t>
      </w:r>
      <w:r w:rsidRPr="00BA34BC">
        <w:rPr>
          <w:rFonts w:cstheme="minorHAnsi"/>
          <w:color w:val="231F20"/>
          <w:w w:val="105"/>
        </w:rPr>
        <w:t xml:space="preserve"> to assess the specific performance relationships between the metrics in the PFM and WIOA core measures. The intent of this assessment is to provide additional technical assistance to local boards as needed</w:t>
      </w:r>
      <w:r w:rsidR="00D5537E">
        <w:rPr>
          <w:rFonts w:cstheme="minorHAnsi"/>
          <w:color w:val="231F20"/>
          <w:w w:val="105"/>
        </w:rPr>
        <w:t xml:space="preserve"> and</w:t>
      </w:r>
      <w:r w:rsidRPr="00BA34BC">
        <w:rPr>
          <w:rFonts w:cstheme="minorHAnsi"/>
          <w:color w:val="231F20"/>
          <w:w w:val="105"/>
        </w:rPr>
        <w:t xml:space="preserve"> to inform the development of a long-term sustainable performance model that continues to support Florida’s priorities and needs</w:t>
      </w:r>
      <w:r w:rsidR="00D5537E">
        <w:rPr>
          <w:rFonts w:cstheme="minorHAnsi"/>
          <w:color w:val="231F20"/>
          <w:w w:val="105"/>
        </w:rPr>
        <w:t xml:space="preserve"> and</w:t>
      </w:r>
      <w:r w:rsidRPr="00BA34BC">
        <w:rPr>
          <w:rFonts w:cstheme="minorHAnsi"/>
          <w:color w:val="231F20"/>
          <w:w w:val="105"/>
        </w:rPr>
        <w:t xml:space="preserve"> more closely aligns with WIOA.</w:t>
      </w:r>
    </w:p>
    <w:p w14:paraId="6906A8B5" w14:textId="77777777" w:rsidR="00BA34BC" w:rsidRPr="00BA34BC" w:rsidRDefault="00BA34BC" w:rsidP="00D63204">
      <w:pPr>
        <w:widowControl w:val="0"/>
        <w:spacing w:after="0" w:line="264" w:lineRule="exact"/>
        <w:ind w:left="107"/>
        <w:rPr>
          <w:rFonts w:cstheme="minorHAnsi"/>
          <w:w w:val="105"/>
        </w:rPr>
      </w:pPr>
    </w:p>
    <w:p w14:paraId="7C129594" w14:textId="72859523" w:rsidR="00EA7458" w:rsidRPr="00E06806" w:rsidRDefault="00BA34BC" w:rsidP="00D63204">
      <w:pPr>
        <w:widowControl w:val="0"/>
        <w:spacing w:after="0" w:line="264" w:lineRule="exact"/>
        <w:ind w:left="107"/>
        <w:rPr>
          <w:rFonts w:cstheme="minorHAnsi"/>
          <w:sz w:val="16"/>
          <w:szCs w:val="16"/>
        </w:rPr>
      </w:pPr>
      <w:r w:rsidRPr="00BA34BC">
        <w:rPr>
          <w:rFonts w:cstheme="minorHAnsi"/>
          <w:w w:val="105"/>
        </w:rPr>
        <w:t>Additional information is collected</w:t>
      </w:r>
      <w:r w:rsidRPr="00BA34BC">
        <w:rPr>
          <w:rFonts w:cstheme="minorHAnsi"/>
          <w:spacing w:val="13"/>
          <w:w w:val="105"/>
        </w:rPr>
        <w:t xml:space="preserve"> </w:t>
      </w:r>
      <w:r w:rsidRPr="00BA34BC">
        <w:rPr>
          <w:rFonts w:cstheme="minorHAnsi"/>
          <w:w w:val="105"/>
        </w:rPr>
        <w:t>through</w:t>
      </w:r>
      <w:r w:rsidRPr="00BA34BC">
        <w:rPr>
          <w:rFonts w:cstheme="minorHAnsi"/>
          <w:spacing w:val="13"/>
          <w:w w:val="105"/>
        </w:rPr>
        <w:t xml:space="preserve"> </w:t>
      </w:r>
      <w:r w:rsidRPr="00BA34BC">
        <w:rPr>
          <w:rFonts w:cstheme="minorHAnsi"/>
          <w:w w:val="105"/>
        </w:rPr>
        <w:t>CareerSource</w:t>
      </w:r>
      <w:r w:rsidRPr="00BA34BC">
        <w:rPr>
          <w:rFonts w:cstheme="minorHAnsi"/>
          <w:spacing w:val="13"/>
          <w:w w:val="105"/>
        </w:rPr>
        <w:t xml:space="preserve"> </w:t>
      </w:r>
      <w:r w:rsidRPr="00BA34BC">
        <w:rPr>
          <w:rFonts w:cstheme="minorHAnsi"/>
          <w:w w:val="105"/>
        </w:rPr>
        <w:t>Florida</w:t>
      </w:r>
      <w:r w:rsidRPr="00BA34BC">
        <w:rPr>
          <w:rFonts w:cstheme="minorHAnsi"/>
          <w:spacing w:val="13"/>
          <w:w w:val="105"/>
        </w:rPr>
        <w:t xml:space="preserve"> </w:t>
      </w:r>
      <w:r w:rsidRPr="00BA34BC">
        <w:rPr>
          <w:rFonts w:cstheme="minorHAnsi"/>
          <w:w w:val="105"/>
        </w:rPr>
        <w:t>sector</w:t>
      </w:r>
      <w:r w:rsidRPr="00BA34BC">
        <w:rPr>
          <w:rFonts w:cstheme="minorHAnsi"/>
          <w:spacing w:val="13"/>
          <w:w w:val="105"/>
        </w:rPr>
        <w:t xml:space="preserve"> </w:t>
      </w:r>
      <w:r w:rsidRPr="00BA34BC">
        <w:rPr>
          <w:rFonts w:cstheme="minorHAnsi"/>
          <w:w w:val="105"/>
        </w:rPr>
        <w:t>initiatives,</w:t>
      </w:r>
      <w:r w:rsidRPr="00BA34BC">
        <w:rPr>
          <w:rFonts w:cstheme="minorHAnsi"/>
          <w:spacing w:val="13"/>
          <w:w w:val="105"/>
        </w:rPr>
        <w:t xml:space="preserve"> </w:t>
      </w:r>
      <w:r w:rsidRPr="00BA34BC">
        <w:rPr>
          <w:rFonts w:cstheme="minorHAnsi"/>
          <w:w w:val="105"/>
        </w:rPr>
        <w:t>local</w:t>
      </w:r>
      <w:r w:rsidRPr="00BA34BC">
        <w:rPr>
          <w:rFonts w:cstheme="minorHAnsi"/>
          <w:spacing w:val="13"/>
          <w:w w:val="105"/>
        </w:rPr>
        <w:t xml:space="preserve"> </w:t>
      </w:r>
      <w:r w:rsidRPr="00BA34BC">
        <w:rPr>
          <w:rFonts w:cstheme="minorHAnsi"/>
          <w:w w:val="105"/>
        </w:rPr>
        <w:t>board</w:t>
      </w:r>
      <w:r w:rsidRPr="00BA34BC">
        <w:rPr>
          <w:rFonts w:cstheme="minorHAnsi"/>
          <w:spacing w:val="13"/>
          <w:w w:val="105"/>
        </w:rPr>
        <w:t xml:space="preserve"> </w:t>
      </w:r>
      <w:r w:rsidRPr="00BA34BC">
        <w:rPr>
          <w:rFonts w:cstheme="minorHAnsi"/>
          <w:w w:val="105"/>
        </w:rPr>
        <w:t>pilot</w:t>
      </w:r>
      <w:r w:rsidRPr="00BA34BC">
        <w:rPr>
          <w:rFonts w:cstheme="minorHAnsi"/>
          <w:spacing w:val="-26"/>
          <w:w w:val="105"/>
        </w:rPr>
        <w:t xml:space="preserve"> </w:t>
      </w:r>
      <w:r w:rsidRPr="00BA34BC">
        <w:rPr>
          <w:rFonts w:cstheme="minorHAnsi"/>
          <w:w w:val="105"/>
        </w:rPr>
        <w:t>projects</w:t>
      </w:r>
      <w:r w:rsidR="00D5537E">
        <w:rPr>
          <w:rFonts w:cstheme="minorHAnsi"/>
          <w:w w:val="105"/>
        </w:rPr>
        <w:t xml:space="preserve"> and</w:t>
      </w:r>
      <w:r w:rsidRPr="00BA34BC">
        <w:rPr>
          <w:rFonts w:cstheme="minorHAnsi"/>
          <w:w w:val="105"/>
        </w:rPr>
        <w:t xml:space="preserve"> statewide higher education data to support market-informed decision-making and</w:t>
      </w:r>
      <w:r w:rsidRPr="00BA34BC">
        <w:rPr>
          <w:rFonts w:cstheme="minorHAnsi"/>
          <w:spacing w:val="15"/>
          <w:w w:val="105"/>
        </w:rPr>
        <w:t xml:space="preserve"> </w:t>
      </w:r>
      <w:r w:rsidRPr="00BA34BC">
        <w:rPr>
          <w:rFonts w:cstheme="minorHAnsi"/>
          <w:w w:val="105"/>
        </w:rPr>
        <w:t>enable</w:t>
      </w:r>
      <w:r w:rsidRPr="00BA34BC">
        <w:rPr>
          <w:rFonts w:cstheme="minorHAnsi"/>
          <w:w w:val="109"/>
        </w:rPr>
        <w:t xml:space="preserve"> </w:t>
      </w:r>
      <w:r w:rsidRPr="00BA34BC">
        <w:rPr>
          <w:rFonts w:cstheme="minorHAnsi"/>
          <w:w w:val="105"/>
        </w:rPr>
        <w:t>statewide policy</w:t>
      </w:r>
      <w:r w:rsidRPr="00BA34BC">
        <w:rPr>
          <w:rFonts w:cstheme="minorHAnsi"/>
          <w:spacing w:val="46"/>
          <w:w w:val="105"/>
        </w:rPr>
        <w:t xml:space="preserve"> </w:t>
      </w:r>
      <w:r w:rsidRPr="00BA34BC">
        <w:rPr>
          <w:rFonts w:cstheme="minorHAnsi"/>
          <w:w w:val="105"/>
        </w:rPr>
        <w:t>development.</w:t>
      </w:r>
    </w:p>
    <w:p w14:paraId="700149A5" w14:textId="0B8421AD" w:rsidR="00EA7458" w:rsidRPr="00862674" w:rsidRDefault="00EA7458" w:rsidP="00D63204">
      <w:pPr>
        <w:pStyle w:val="ListParagraph"/>
        <w:widowControl w:val="0"/>
        <w:numPr>
          <w:ilvl w:val="0"/>
          <w:numId w:val="34"/>
        </w:numPr>
        <w:tabs>
          <w:tab w:val="left" w:pos="2268"/>
        </w:tabs>
        <w:spacing w:after="0" w:line="240" w:lineRule="auto"/>
        <w:rPr>
          <w:rFonts w:cstheme="minorHAnsi"/>
        </w:rPr>
      </w:pPr>
      <w:r w:rsidRPr="001E08FD">
        <w:rPr>
          <w:rFonts w:cstheme="minorHAnsi"/>
          <w:color w:val="295CA3"/>
          <w:w w:val="105"/>
        </w:rPr>
        <w:t xml:space="preserve">Use of Unemployment Insurance (UI) </w:t>
      </w:r>
      <w:r w:rsidRPr="001E08FD">
        <w:rPr>
          <w:rFonts w:cstheme="minorHAnsi"/>
          <w:color w:val="295CA3"/>
          <w:spacing w:val="-3"/>
          <w:w w:val="105"/>
        </w:rPr>
        <w:t xml:space="preserve">Wage </w:t>
      </w:r>
      <w:r w:rsidRPr="001E08FD">
        <w:rPr>
          <w:rFonts w:cstheme="minorHAnsi"/>
          <w:color w:val="295CA3"/>
          <w:w w:val="105"/>
        </w:rPr>
        <w:t>Record</w:t>
      </w:r>
      <w:r w:rsidRPr="001E08FD">
        <w:rPr>
          <w:rFonts w:cstheme="minorHAnsi"/>
          <w:color w:val="295CA3"/>
          <w:spacing w:val="44"/>
          <w:w w:val="105"/>
        </w:rPr>
        <w:t xml:space="preserve"> </w:t>
      </w:r>
      <w:r w:rsidRPr="001E08FD">
        <w:rPr>
          <w:rFonts w:cstheme="minorHAnsi"/>
          <w:color w:val="295CA3"/>
          <w:w w:val="105"/>
        </w:rPr>
        <w:t>Data</w:t>
      </w:r>
    </w:p>
    <w:p w14:paraId="670CA603" w14:textId="77777777" w:rsidR="00862674" w:rsidRPr="001E08FD" w:rsidRDefault="00862674" w:rsidP="00646F79">
      <w:pPr>
        <w:pStyle w:val="ListParagraph"/>
        <w:widowControl w:val="0"/>
        <w:tabs>
          <w:tab w:val="left" w:pos="2268"/>
        </w:tabs>
        <w:spacing w:after="0" w:line="240" w:lineRule="auto"/>
        <w:ind w:left="2520"/>
        <w:rPr>
          <w:rFonts w:cstheme="minorHAnsi"/>
        </w:rPr>
      </w:pPr>
    </w:p>
    <w:p w14:paraId="62D3EBCA" w14:textId="6BCE06EF" w:rsidR="001E08FD" w:rsidRPr="001D7BFC" w:rsidRDefault="004A45CE" w:rsidP="00862674">
      <w:pPr>
        <w:widowControl w:val="0"/>
        <w:spacing w:after="0" w:line="264" w:lineRule="exact"/>
        <w:ind w:left="107"/>
        <w:rPr>
          <w:rFonts w:cstheme="minorHAnsi"/>
          <w:color w:val="231F20"/>
          <w:w w:val="105"/>
        </w:rPr>
      </w:pPr>
      <w:r w:rsidRPr="001D7BFC">
        <w:rPr>
          <w:rFonts w:cstheme="minorHAnsi"/>
          <w:color w:val="231F20"/>
          <w:w w:val="105"/>
        </w:rPr>
        <w:t>Pursuant to section 1008.39, Florida Statutes, FETPIP is mandated to provide outcome reporting on workforce and education programs in Florida</w:t>
      </w:r>
      <w:r w:rsidR="005E7C49" w:rsidRPr="001D7BFC">
        <w:rPr>
          <w:rFonts w:cstheme="minorHAnsi"/>
          <w:color w:val="231F20"/>
          <w:w w:val="105"/>
        </w:rPr>
        <w:t xml:space="preserve">. </w:t>
      </w:r>
      <w:r w:rsidRPr="001D7BFC">
        <w:rPr>
          <w:rFonts w:cstheme="minorHAnsi"/>
          <w:color w:val="231F20"/>
          <w:w w:val="105"/>
        </w:rPr>
        <w:t>The primary mechanism employed by FETPIP is UI and WRIS wage record data. All core partners report participant data to FETPIP under WIOA</w:t>
      </w:r>
      <w:r w:rsidR="005E7C49" w:rsidRPr="001D7BFC">
        <w:rPr>
          <w:rFonts w:cstheme="minorHAnsi"/>
          <w:color w:val="231F20"/>
          <w:w w:val="105"/>
        </w:rPr>
        <w:t xml:space="preserve">. </w:t>
      </w:r>
      <w:r w:rsidRPr="001D7BFC">
        <w:rPr>
          <w:rFonts w:cstheme="minorHAnsi"/>
          <w:color w:val="231F20"/>
          <w:w w:val="105"/>
        </w:rPr>
        <w:t xml:space="preserve">Florida UI wage information will be made available, as the law allows, to the core partners for employment and wage-related outcome identification for federal performance standards. With the use </w:t>
      </w:r>
      <w:r w:rsidR="002B3FF8" w:rsidRPr="001D7BFC">
        <w:rPr>
          <w:rFonts w:cstheme="minorHAnsi"/>
          <w:color w:val="231F20"/>
          <w:w w:val="105"/>
        </w:rPr>
        <w:t xml:space="preserve">of </w:t>
      </w:r>
      <w:r w:rsidRPr="001D7BFC">
        <w:rPr>
          <w:rFonts w:cstheme="minorHAnsi"/>
          <w:color w:val="231F20"/>
          <w:w w:val="105"/>
        </w:rPr>
        <w:t xml:space="preserve">wage record data, performance accountability and program evaluations for all core programs </w:t>
      </w:r>
      <w:r w:rsidR="006E43D3" w:rsidRPr="001D7BFC">
        <w:rPr>
          <w:rFonts w:cstheme="minorHAnsi"/>
          <w:color w:val="231F20"/>
          <w:w w:val="105"/>
        </w:rPr>
        <w:t xml:space="preserve">can be conducted </w:t>
      </w:r>
      <w:r w:rsidRPr="001D7BFC">
        <w:rPr>
          <w:rFonts w:cstheme="minorHAnsi"/>
          <w:color w:val="231F20"/>
          <w:w w:val="105"/>
        </w:rPr>
        <w:t xml:space="preserve">in a similar </w:t>
      </w:r>
      <w:r w:rsidR="005D7116" w:rsidRPr="001D7BFC">
        <w:rPr>
          <w:rFonts w:cstheme="minorHAnsi"/>
          <w:color w:val="231F20"/>
          <w:w w:val="105"/>
        </w:rPr>
        <w:t xml:space="preserve">manner. </w:t>
      </w:r>
    </w:p>
    <w:p w14:paraId="582627FE" w14:textId="77777777" w:rsidR="00EA7458" w:rsidRPr="00E06806" w:rsidRDefault="00EA7458" w:rsidP="00D63204">
      <w:pPr>
        <w:widowControl w:val="0"/>
        <w:spacing w:before="6" w:after="0" w:line="240" w:lineRule="auto"/>
        <w:ind w:left="107"/>
        <w:rPr>
          <w:rFonts w:cstheme="minorHAnsi"/>
          <w:sz w:val="16"/>
          <w:szCs w:val="16"/>
        </w:rPr>
      </w:pPr>
    </w:p>
    <w:p w14:paraId="4AD91DCE" w14:textId="35F05C70" w:rsidR="00EA7458" w:rsidRPr="001E08FD" w:rsidRDefault="00EA7458" w:rsidP="00D63204">
      <w:pPr>
        <w:pStyle w:val="ListParagraph"/>
        <w:widowControl w:val="0"/>
        <w:numPr>
          <w:ilvl w:val="0"/>
          <w:numId w:val="34"/>
        </w:numPr>
        <w:tabs>
          <w:tab w:val="left" w:pos="2268"/>
        </w:tabs>
        <w:spacing w:after="0" w:line="240" w:lineRule="auto"/>
        <w:rPr>
          <w:rFonts w:cstheme="minorHAnsi"/>
        </w:rPr>
      </w:pPr>
      <w:r w:rsidRPr="001E08FD">
        <w:rPr>
          <w:rFonts w:cstheme="minorHAnsi"/>
          <w:color w:val="295CA3"/>
          <w:w w:val="110"/>
        </w:rPr>
        <w:t>Privacy</w:t>
      </w:r>
      <w:r w:rsidRPr="001E08FD">
        <w:rPr>
          <w:rFonts w:cstheme="minorHAnsi"/>
          <w:color w:val="295CA3"/>
          <w:spacing w:val="2"/>
          <w:w w:val="110"/>
        </w:rPr>
        <w:t xml:space="preserve"> </w:t>
      </w:r>
      <w:r w:rsidRPr="001E08FD">
        <w:rPr>
          <w:rFonts w:cstheme="minorHAnsi"/>
          <w:color w:val="295CA3"/>
          <w:w w:val="110"/>
        </w:rPr>
        <w:t>Safeguards</w:t>
      </w:r>
    </w:p>
    <w:p w14:paraId="3D715F12" w14:textId="6644BD92" w:rsidR="004A45CE" w:rsidRDefault="004A45CE" w:rsidP="00D63204">
      <w:pPr>
        <w:widowControl w:val="0"/>
        <w:spacing w:before="193" w:after="0" w:line="264" w:lineRule="exact"/>
        <w:ind w:left="107"/>
        <w:rPr>
          <w:rFonts w:cstheme="minorHAnsi"/>
          <w:color w:val="231F20"/>
          <w:w w:val="105"/>
        </w:rPr>
      </w:pPr>
      <w:r w:rsidRPr="00E06806">
        <w:rPr>
          <w:rFonts w:cstheme="minorHAnsi"/>
          <w:color w:val="231F20"/>
          <w:w w:val="105"/>
        </w:rPr>
        <w:t>Core</w:t>
      </w:r>
      <w:r w:rsidRPr="00E06806">
        <w:rPr>
          <w:rFonts w:cstheme="minorHAnsi"/>
          <w:color w:val="231F20"/>
          <w:spacing w:val="9"/>
          <w:w w:val="105"/>
        </w:rPr>
        <w:t xml:space="preserve"> </w:t>
      </w:r>
      <w:r w:rsidRPr="00E06806">
        <w:rPr>
          <w:rFonts w:cstheme="minorHAnsi"/>
          <w:color w:val="231F20"/>
          <w:w w:val="105"/>
        </w:rPr>
        <w:t>partners</w:t>
      </w:r>
      <w:r w:rsidRPr="00E06806">
        <w:rPr>
          <w:rFonts w:cstheme="minorHAnsi"/>
          <w:color w:val="231F20"/>
          <w:spacing w:val="9"/>
          <w:w w:val="105"/>
        </w:rPr>
        <w:t xml:space="preserve"> </w:t>
      </w:r>
      <w:r w:rsidRPr="00E06806">
        <w:rPr>
          <w:rFonts w:cstheme="minorHAnsi"/>
          <w:color w:val="231F20"/>
          <w:w w:val="105"/>
        </w:rPr>
        <w:t>agree</w:t>
      </w:r>
      <w:r w:rsidRPr="00E06806">
        <w:rPr>
          <w:rFonts w:cstheme="minorHAnsi"/>
          <w:color w:val="231F20"/>
          <w:spacing w:val="9"/>
          <w:w w:val="105"/>
        </w:rPr>
        <w:t xml:space="preserve"> </w:t>
      </w:r>
      <w:r w:rsidRPr="00E06806">
        <w:rPr>
          <w:rFonts w:cstheme="minorHAnsi"/>
          <w:color w:val="231F20"/>
          <w:w w:val="105"/>
        </w:rPr>
        <w:t>to</w:t>
      </w:r>
      <w:r w:rsidRPr="00E06806">
        <w:rPr>
          <w:rFonts w:cstheme="minorHAnsi"/>
          <w:color w:val="231F20"/>
          <w:spacing w:val="9"/>
          <w:w w:val="105"/>
        </w:rPr>
        <w:t xml:space="preserve"> </w:t>
      </w:r>
      <w:r w:rsidRPr="00E06806">
        <w:rPr>
          <w:rFonts w:cstheme="minorHAnsi"/>
          <w:color w:val="231F20"/>
          <w:w w:val="105"/>
        </w:rPr>
        <w:t>follow</w:t>
      </w:r>
      <w:r w:rsidRPr="00E06806">
        <w:rPr>
          <w:rFonts w:cstheme="minorHAnsi"/>
          <w:color w:val="231F20"/>
          <w:spacing w:val="9"/>
          <w:w w:val="105"/>
        </w:rPr>
        <w:t xml:space="preserve"> </w:t>
      </w:r>
      <w:r w:rsidRPr="00E06806">
        <w:rPr>
          <w:rFonts w:cstheme="minorHAnsi"/>
          <w:color w:val="231F20"/>
          <w:w w:val="105"/>
        </w:rPr>
        <w:t>all</w:t>
      </w:r>
      <w:r w:rsidRPr="00E06806">
        <w:rPr>
          <w:rFonts w:cstheme="minorHAnsi"/>
          <w:color w:val="231F20"/>
          <w:spacing w:val="9"/>
          <w:w w:val="105"/>
        </w:rPr>
        <w:t xml:space="preserve"> </w:t>
      </w:r>
      <w:r w:rsidRPr="00E06806">
        <w:rPr>
          <w:rFonts w:cstheme="minorHAnsi"/>
          <w:color w:val="231F20"/>
          <w:w w:val="105"/>
        </w:rPr>
        <w:t>applicable</w:t>
      </w:r>
      <w:r w:rsidRPr="00E06806">
        <w:rPr>
          <w:rFonts w:cstheme="minorHAnsi"/>
          <w:color w:val="231F20"/>
          <w:spacing w:val="9"/>
          <w:w w:val="105"/>
        </w:rPr>
        <w:t xml:space="preserve"> </w:t>
      </w:r>
      <w:r w:rsidRPr="00E06806">
        <w:rPr>
          <w:rFonts w:cstheme="minorHAnsi"/>
          <w:color w:val="231F20"/>
          <w:w w:val="105"/>
        </w:rPr>
        <w:t>federal,</w:t>
      </w:r>
      <w:r w:rsidRPr="00E06806">
        <w:rPr>
          <w:rFonts w:cstheme="minorHAnsi"/>
          <w:color w:val="231F20"/>
          <w:spacing w:val="9"/>
          <w:w w:val="105"/>
        </w:rPr>
        <w:t xml:space="preserve"> </w:t>
      </w:r>
      <w:r w:rsidRPr="00E06806">
        <w:rPr>
          <w:rFonts w:cstheme="minorHAnsi"/>
          <w:color w:val="231F20"/>
          <w:w w:val="105"/>
        </w:rPr>
        <w:t>state</w:t>
      </w:r>
      <w:r w:rsidR="00D5537E">
        <w:rPr>
          <w:rFonts w:cstheme="minorHAnsi"/>
          <w:color w:val="231F20"/>
          <w:w w:val="105"/>
        </w:rPr>
        <w:t xml:space="preserve"> and</w:t>
      </w:r>
      <w:r w:rsidRPr="00E06806">
        <w:rPr>
          <w:rFonts w:cstheme="minorHAnsi"/>
          <w:color w:val="231F20"/>
          <w:spacing w:val="9"/>
          <w:w w:val="105"/>
        </w:rPr>
        <w:t xml:space="preserve"> </w:t>
      </w:r>
      <w:r w:rsidRPr="00E06806">
        <w:rPr>
          <w:rFonts w:cstheme="minorHAnsi"/>
          <w:color w:val="231F20"/>
          <w:w w:val="105"/>
        </w:rPr>
        <w:t>local</w:t>
      </w:r>
      <w:r w:rsidRPr="00E06806">
        <w:rPr>
          <w:rFonts w:cstheme="minorHAnsi"/>
          <w:color w:val="231F20"/>
          <w:spacing w:val="9"/>
          <w:w w:val="105"/>
        </w:rPr>
        <w:t xml:space="preserve"> </w:t>
      </w:r>
      <w:r w:rsidRPr="00E06806">
        <w:rPr>
          <w:rFonts w:cstheme="minorHAnsi"/>
          <w:color w:val="231F20"/>
          <w:w w:val="105"/>
        </w:rPr>
        <w:t>laws</w:t>
      </w:r>
      <w:r w:rsidRPr="00E06806">
        <w:rPr>
          <w:rFonts w:cstheme="minorHAnsi"/>
          <w:color w:val="231F20"/>
          <w:spacing w:val="9"/>
          <w:w w:val="105"/>
        </w:rPr>
        <w:t xml:space="preserve"> </w:t>
      </w:r>
      <w:r w:rsidRPr="00E06806">
        <w:rPr>
          <w:rFonts w:cstheme="minorHAnsi"/>
          <w:color w:val="231F20"/>
          <w:w w:val="105"/>
        </w:rPr>
        <w:t>pertaining</w:t>
      </w:r>
      <w:r w:rsidRPr="00E06806">
        <w:rPr>
          <w:rFonts w:cstheme="minorHAnsi"/>
          <w:color w:val="231F20"/>
          <w:spacing w:val="9"/>
          <w:w w:val="105"/>
        </w:rPr>
        <w:t xml:space="preserve"> </w:t>
      </w:r>
      <w:r w:rsidRPr="00E06806">
        <w:rPr>
          <w:rFonts w:cstheme="minorHAnsi"/>
          <w:color w:val="231F20"/>
          <w:w w:val="105"/>
        </w:rPr>
        <w:t>to</w:t>
      </w:r>
      <w:r w:rsidRPr="00E06806">
        <w:rPr>
          <w:rFonts w:cstheme="minorHAnsi"/>
          <w:color w:val="231F20"/>
          <w:spacing w:val="9"/>
          <w:w w:val="105"/>
        </w:rPr>
        <w:t xml:space="preserve"> </w:t>
      </w:r>
      <w:r w:rsidRPr="00E06806">
        <w:rPr>
          <w:rFonts w:cstheme="minorHAnsi"/>
          <w:color w:val="231F20"/>
          <w:w w:val="105"/>
        </w:rPr>
        <w:t>confidential information. Each partner ensure</w:t>
      </w:r>
      <w:r w:rsidR="006E43D3">
        <w:rPr>
          <w:rFonts w:cstheme="minorHAnsi"/>
          <w:color w:val="231F20"/>
          <w:w w:val="105"/>
        </w:rPr>
        <w:t>s</w:t>
      </w:r>
      <w:r w:rsidRPr="00E06806">
        <w:rPr>
          <w:rFonts w:cstheme="minorHAnsi"/>
          <w:color w:val="231F20"/>
          <w:w w:val="105"/>
        </w:rPr>
        <w:t xml:space="preserve"> the collection and use of information containing personally identifiable information is limited to purposes that support their programs and activities.</w:t>
      </w:r>
    </w:p>
    <w:p w14:paraId="286784F6" w14:textId="77777777" w:rsidR="00EA7458" w:rsidRPr="00E06806" w:rsidRDefault="00EA7458" w:rsidP="00D63204">
      <w:pPr>
        <w:widowControl w:val="0"/>
        <w:spacing w:before="6" w:after="0" w:line="240" w:lineRule="auto"/>
        <w:ind w:left="107"/>
        <w:rPr>
          <w:rFonts w:cstheme="minorHAnsi"/>
          <w:sz w:val="16"/>
          <w:szCs w:val="16"/>
        </w:rPr>
      </w:pPr>
    </w:p>
    <w:p w14:paraId="2664A4B0" w14:textId="218E52DE" w:rsidR="00EA7458" w:rsidRPr="001E08FD" w:rsidRDefault="00EA7458" w:rsidP="00D63204">
      <w:pPr>
        <w:pStyle w:val="ListParagraph"/>
        <w:widowControl w:val="0"/>
        <w:numPr>
          <w:ilvl w:val="2"/>
          <w:numId w:val="6"/>
        </w:numPr>
        <w:tabs>
          <w:tab w:val="left" w:pos="1548"/>
        </w:tabs>
        <w:spacing w:after="0" w:line="240" w:lineRule="auto"/>
        <w:outlineLvl w:val="2"/>
        <w:rPr>
          <w:rFonts w:cstheme="minorHAnsi"/>
          <w:color w:val="295CA3"/>
        </w:rPr>
      </w:pPr>
      <w:r w:rsidRPr="001E08FD">
        <w:rPr>
          <w:rFonts w:cstheme="minorHAnsi"/>
          <w:b/>
          <w:bCs/>
          <w:color w:val="295CA3"/>
          <w:w w:val="110"/>
        </w:rPr>
        <w:t>Priority of Service for</w:t>
      </w:r>
      <w:r w:rsidRPr="001E08FD">
        <w:rPr>
          <w:rFonts w:cstheme="minorHAnsi"/>
          <w:b/>
          <w:bCs/>
          <w:color w:val="295CA3"/>
          <w:spacing w:val="2"/>
          <w:w w:val="110"/>
        </w:rPr>
        <w:t xml:space="preserve"> </w:t>
      </w:r>
      <w:r w:rsidRPr="001E08FD">
        <w:rPr>
          <w:rFonts w:cstheme="minorHAnsi"/>
          <w:b/>
          <w:bCs/>
          <w:color w:val="295CA3"/>
          <w:w w:val="110"/>
        </w:rPr>
        <w:t>Veterans</w:t>
      </w:r>
    </w:p>
    <w:p w14:paraId="7E0ECD2C" w14:textId="4394E838" w:rsidR="00EA7458" w:rsidRPr="001D7BFC" w:rsidRDefault="00EA7458" w:rsidP="00D63204">
      <w:pPr>
        <w:widowControl w:val="0"/>
        <w:spacing w:before="193" w:after="0" w:line="240" w:lineRule="auto"/>
        <w:ind w:left="107"/>
        <w:rPr>
          <w:rFonts w:cstheme="minorHAnsi"/>
          <w:color w:val="231F20"/>
          <w:w w:val="105"/>
        </w:rPr>
      </w:pPr>
      <w:r w:rsidRPr="001D7BFC">
        <w:rPr>
          <w:rFonts w:cstheme="minorHAnsi"/>
          <w:color w:val="231F20"/>
          <w:w w:val="105"/>
        </w:rPr>
        <w:t xml:space="preserve">USDOL </w:t>
      </w:r>
      <w:r w:rsidR="002D3077" w:rsidRPr="001D7BFC">
        <w:rPr>
          <w:rFonts w:cstheme="minorHAnsi"/>
          <w:color w:val="231F20"/>
          <w:w w:val="105"/>
        </w:rPr>
        <w:t xml:space="preserve">implemented </w:t>
      </w:r>
      <w:r w:rsidRPr="001D7BFC">
        <w:rPr>
          <w:rFonts w:cstheme="minorHAnsi"/>
          <w:color w:val="231F20"/>
          <w:w w:val="105"/>
        </w:rPr>
        <w:t xml:space="preserve">priority of service </w:t>
      </w:r>
      <w:r w:rsidR="002D3077" w:rsidRPr="001D7BFC">
        <w:rPr>
          <w:rFonts w:cstheme="minorHAnsi"/>
          <w:color w:val="231F20"/>
          <w:w w:val="105"/>
        </w:rPr>
        <w:t xml:space="preserve">for </w:t>
      </w:r>
      <w:r w:rsidRPr="001D7BFC">
        <w:rPr>
          <w:rFonts w:cstheme="minorHAnsi"/>
          <w:color w:val="231F20"/>
          <w:w w:val="105"/>
        </w:rPr>
        <w:t xml:space="preserve">veterans and eligible spouses, as </w:t>
      </w:r>
      <w:r w:rsidR="00080B35" w:rsidRPr="001D7BFC">
        <w:rPr>
          <w:rFonts w:cstheme="minorHAnsi"/>
          <w:color w:val="231F20"/>
          <w:w w:val="105"/>
        </w:rPr>
        <w:t xml:space="preserve">required under the Jobs for </w:t>
      </w:r>
      <w:r w:rsidRPr="001D7BFC">
        <w:rPr>
          <w:rFonts w:cstheme="minorHAnsi"/>
          <w:color w:val="231F20"/>
          <w:w w:val="105"/>
        </w:rPr>
        <w:t>Veterans Act (JVA)</w:t>
      </w:r>
      <w:r w:rsidR="00D5537E" w:rsidRPr="001D7BFC">
        <w:rPr>
          <w:rFonts w:cstheme="minorHAnsi"/>
          <w:color w:val="231F20"/>
          <w:w w:val="105"/>
        </w:rPr>
        <w:t xml:space="preserve"> and</w:t>
      </w:r>
      <w:r w:rsidRPr="001D7BFC">
        <w:rPr>
          <w:rFonts w:cstheme="minorHAnsi"/>
          <w:color w:val="231F20"/>
          <w:w w:val="105"/>
        </w:rPr>
        <w:t xml:space="preserve"> as specified by the Veterans’ Benefits, Health Care</w:t>
      </w:r>
      <w:r w:rsidR="00D5537E" w:rsidRPr="001D7BFC">
        <w:rPr>
          <w:rFonts w:cstheme="minorHAnsi"/>
          <w:color w:val="231F20"/>
          <w:w w:val="105"/>
        </w:rPr>
        <w:t xml:space="preserve"> and</w:t>
      </w:r>
      <w:r w:rsidRPr="001D7BFC">
        <w:rPr>
          <w:rFonts w:cstheme="minorHAnsi"/>
          <w:color w:val="231F20"/>
          <w:w w:val="105"/>
        </w:rPr>
        <w:t xml:space="preserve"> Information Technology Act of 2006. JVA calls for priority of service to be implemented by all “qualified job training programs,” defined as “any workforce preparation, development or delivery program or service directly funded, in whole or in part, by the Department of Labor.”   Since enactment of JVA in 2002, priority of service has been implemented under </w:t>
      </w:r>
      <w:r w:rsidR="002D3077" w:rsidRPr="001D7BFC">
        <w:rPr>
          <w:rFonts w:cstheme="minorHAnsi"/>
          <w:color w:val="231F20"/>
          <w:w w:val="105"/>
        </w:rPr>
        <w:t xml:space="preserve">policy </w:t>
      </w:r>
      <w:r w:rsidRPr="001D7BFC">
        <w:rPr>
          <w:rFonts w:cstheme="minorHAnsi"/>
          <w:color w:val="231F20"/>
          <w:w w:val="105"/>
        </w:rPr>
        <w:t>guidance issued by the Employment and Training Administration (ETA). The purpose of these regulations is to further articulate how priority of service is to be applied across all new and existing qualified job training programs.</w:t>
      </w:r>
    </w:p>
    <w:p w14:paraId="35A5BA25" w14:textId="77777777" w:rsidR="00EA7458" w:rsidRPr="00E06806" w:rsidRDefault="00EA7458" w:rsidP="00D63204">
      <w:pPr>
        <w:widowControl w:val="0"/>
        <w:spacing w:before="4" w:after="0" w:line="240" w:lineRule="auto"/>
        <w:ind w:left="107"/>
        <w:rPr>
          <w:rFonts w:cstheme="minorHAnsi"/>
          <w:sz w:val="14"/>
          <w:szCs w:val="14"/>
        </w:rPr>
      </w:pPr>
    </w:p>
    <w:p w14:paraId="31E2F69B" w14:textId="77777777" w:rsidR="00EA7458" w:rsidRPr="00E06806" w:rsidRDefault="00EA7458" w:rsidP="00D63204">
      <w:pPr>
        <w:widowControl w:val="0"/>
        <w:spacing w:before="57" w:after="0" w:line="240" w:lineRule="auto"/>
        <w:ind w:left="107"/>
        <w:outlineLvl w:val="2"/>
        <w:rPr>
          <w:rFonts w:cstheme="minorHAnsi"/>
        </w:rPr>
      </w:pPr>
      <w:r w:rsidRPr="00E06806">
        <w:rPr>
          <w:rFonts w:cstheme="minorHAnsi"/>
          <w:b/>
          <w:bCs/>
          <w:color w:val="231F20"/>
          <w:w w:val="110"/>
        </w:rPr>
        <w:t>Key</w:t>
      </w:r>
      <w:r w:rsidRPr="00E06806">
        <w:rPr>
          <w:rFonts w:cstheme="minorHAnsi"/>
          <w:b/>
          <w:bCs/>
          <w:color w:val="231F20"/>
          <w:spacing w:val="-21"/>
          <w:w w:val="110"/>
        </w:rPr>
        <w:t xml:space="preserve"> </w:t>
      </w:r>
      <w:r w:rsidRPr="00E06806">
        <w:rPr>
          <w:rFonts w:cstheme="minorHAnsi"/>
          <w:b/>
          <w:bCs/>
          <w:color w:val="231F20"/>
          <w:w w:val="110"/>
        </w:rPr>
        <w:t>Definitions</w:t>
      </w:r>
    </w:p>
    <w:p w14:paraId="75F66002" w14:textId="77777777" w:rsidR="004D5944" w:rsidRDefault="004D5944" w:rsidP="00D63204">
      <w:pPr>
        <w:widowControl w:val="0"/>
        <w:tabs>
          <w:tab w:val="left" w:pos="828"/>
        </w:tabs>
        <w:spacing w:before="2" w:after="0" w:line="240" w:lineRule="auto"/>
        <w:ind w:left="107"/>
        <w:rPr>
          <w:rFonts w:cstheme="minorHAnsi"/>
          <w:i/>
          <w:w w:val="105"/>
        </w:rPr>
      </w:pPr>
    </w:p>
    <w:p w14:paraId="6B1B77FD" w14:textId="3B414C12" w:rsidR="00EA7458" w:rsidRPr="004D5944" w:rsidRDefault="00EA7458" w:rsidP="00D63204">
      <w:pPr>
        <w:pStyle w:val="ListParagraph"/>
        <w:widowControl w:val="0"/>
        <w:numPr>
          <w:ilvl w:val="0"/>
          <w:numId w:val="35"/>
        </w:numPr>
        <w:tabs>
          <w:tab w:val="left" w:pos="828"/>
        </w:tabs>
        <w:spacing w:before="2" w:after="0" w:line="240" w:lineRule="auto"/>
        <w:rPr>
          <w:rFonts w:cstheme="minorHAnsi"/>
        </w:rPr>
      </w:pPr>
      <w:r w:rsidRPr="004D5944">
        <w:rPr>
          <w:rFonts w:cstheme="minorHAnsi"/>
          <w:i/>
          <w:w w:val="105"/>
        </w:rPr>
        <w:t>Covered</w:t>
      </w:r>
      <w:r w:rsidRPr="004D5944">
        <w:rPr>
          <w:rFonts w:cstheme="minorHAnsi"/>
          <w:i/>
          <w:spacing w:val="20"/>
          <w:w w:val="105"/>
        </w:rPr>
        <w:t xml:space="preserve"> </w:t>
      </w:r>
      <w:r w:rsidRPr="004D5944">
        <w:rPr>
          <w:rFonts w:cstheme="minorHAnsi"/>
          <w:i/>
          <w:w w:val="105"/>
        </w:rPr>
        <w:t>person</w:t>
      </w:r>
      <w:r w:rsidRPr="004D5944">
        <w:rPr>
          <w:rFonts w:cstheme="minorHAnsi"/>
          <w:i/>
          <w:spacing w:val="20"/>
          <w:w w:val="105"/>
        </w:rPr>
        <w:t xml:space="preserve"> </w:t>
      </w:r>
      <w:r w:rsidRPr="004D5944">
        <w:rPr>
          <w:rFonts w:cstheme="minorHAnsi"/>
          <w:w w:val="105"/>
        </w:rPr>
        <w:t>–</w:t>
      </w:r>
      <w:r w:rsidRPr="004D5944">
        <w:rPr>
          <w:rFonts w:cstheme="minorHAnsi"/>
          <w:spacing w:val="20"/>
          <w:w w:val="105"/>
        </w:rPr>
        <w:t xml:space="preserve"> </w:t>
      </w:r>
      <w:r w:rsidRPr="004D5944">
        <w:rPr>
          <w:rFonts w:cstheme="minorHAnsi"/>
          <w:w w:val="105"/>
        </w:rPr>
        <w:t>The</w:t>
      </w:r>
      <w:r w:rsidRPr="004D5944">
        <w:rPr>
          <w:rFonts w:cstheme="minorHAnsi"/>
          <w:spacing w:val="20"/>
          <w:w w:val="105"/>
        </w:rPr>
        <w:t xml:space="preserve"> </w:t>
      </w:r>
      <w:r w:rsidRPr="004D5944">
        <w:rPr>
          <w:rFonts w:cstheme="minorHAnsi"/>
          <w:w w:val="105"/>
        </w:rPr>
        <w:t>regulations</w:t>
      </w:r>
      <w:r w:rsidRPr="004D5944">
        <w:rPr>
          <w:rFonts w:cstheme="minorHAnsi"/>
          <w:spacing w:val="20"/>
          <w:w w:val="105"/>
        </w:rPr>
        <w:t xml:space="preserve"> </w:t>
      </w:r>
      <w:r w:rsidRPr="004D5944">
        <w:rPr>
          <w:rFonts w:cstheme="minorHAnsi"/>
          <w:w w:val="105"/>
        </w:rPr>
        <w:t>adopt</w:t>
      </w:r>
      <w:r w:rsidRPr="004D5944">
        <w:rPr>
          <w:rFonts w:cstheme="minorHAnsi"/>
          <w:spacing w:val="20"/>
          <w:w w:val="105"/>
        </w:rPr>
        <w:t xml:space="preserve"> </w:t>
      </w:r>
      <w:r w:rsidRPr="004D5944">
        <w:rPr>
          <w:rFonts w:cstheme="minorHAnsi"/>
          <w:w w:val="105"/>
        </w:rPr>
        <w:t>and</w:t>
      </w:r>
      <w:r w:rsidRPr="004D5944">
        <w:rPr>
          <w:rFonts w:cstheme="minorHAnsi"/>
          <w:spacing w:val="20"/>
          <w:w w:val="105"/>
        </w:rPr>
        <w:t xml:space="preserve"> </w:t>
      </w:r>
      <w:r w:rsidRPr="004D5944">
        <w:rPr>
          <w:rFonts w:cstheme="minorHAnsi"/>
          <w:w w:val="105"/>
        </w:rPr>
        <w:t>apply</w:t>
      </w:r>
      <w:r w:rsidRPr="004D5944">
        <w:rPr>
          <w:rFonts w:cstheme="minorHAnsi"/>
          <w:spacing w:val="20"/>
          <w:w w:val="105"/>
        </w:rPr>
        <w:t xml:space="preserve"> </w:t>
      </w:r>
      <w:r w:rsidRPr="004D5944">
        <w:rPr>
          <w:rFonts w:cstheme="minorHAnsi"/>
          <w:w w:val="105"/>
        </w:rPr>
        <w:t>this</w:t>
      </w:r>
      <w:r w:rsidRPr="004D5944">
        <w:rPr>
          <w:rFonts w:cstheme="minorHAnsi"/>
          <w:spacing w:val="20"/>
          <w:w w:val="105"/>
        </w:rPr>
        <w:t xml:space="preserve"> </w:t>
      </w:r>
      <w:r w:rsidRPr="004D5944">
        <w:rPr>
          <w:rFonts w:cstheme="minorHAnsi"/>
          <w:w w:val="105"/>
        </w:rPr>
        <w:t>statutory</w:t>
      </w:r>
      <w:r w:rsidRPr="004D5944">
        <w:rPr>
          <w:rFonts w:cstheme="minorHAnsi"/>
          <w:spacing w:val="20"/>
          <w:w w:val="105"/>
        </w:rPr>
        <w:t xml:space="preserve"> </w:t>
      </w:r>
      <w:r w:rsidRPr="004D5944">
        <w:rPr>
          <w:rFonts w:cstheme="minorHAnsi"/>
          <w:w w:val="105"/>
        </w:rPr>
        <w:t>term,</w:t>
      </w:r>
      <w:r w:rsidRPr="004D5944">
        <w:rPr>
          <w:rFonts w:cstheme="minorHAnsi"/>
          <w:spacing w:val="20"/>
          <w:w w:val="105"/>
        </w:rPr>
        <w:t xml:space="preserve"> </w:t>
      </w:r>
      <w:r w:rsidRPr="004D5944">
        <w:rPr>
          <w:rFonts w:cstheme="minorHAnsi"/>
          <w:w w:val="105"/>
        </w:rPr>
        <w:t>which</w:t>
      </w:r>
      <w:r w:rsidRPr="004D5944">
        <w:rPr>
          <w:rFonts w:cstheme="minorHAnsi"/>
          <w:spacing w:val="20"/>
          <w:w w:val="105"/>
        </w:rPr>
        <w:t xml:space="preserve"> </w:t>
      </w:r>
      <w:r w:rsidRPr="004D5944">
        <w:rPr>
          <w:rFonts w:cstheme="minorHAnsi"/>
          <w:w w:val="105"/>
        </w:rPr>
        <w:t>includes</w:t>
      </w:r>
      <w:r w:rsidRPr="004D5944">
        <w:rPr>
          <w:rFonts w:cstheme="minorHAnsi"/>
          <w:spacing w:val="18"/>
          <w:w w:val="105"/>
        </w:rPr>
        <w:t xml:space="preserve"> </w:t>
      </w:r>
      <w:r w:rsidRPr="004D5944">
        <w:rPr>
          <w:rFonts w:cstheme="minorHAnsi"/>
          <w:i/>
          <w:w w:val="105"/>
        </w:rPr>
        <w:t>eligible</w:t>
      </w:r>
      <w:r w:rsidRPr="004D5944">
        <w:rPr>
          <w:rFonts w:cstheme="minorHAnsi"/>
          <w:i/>
          <w:w w:val="109"/>
        </w:rPr>
        <w:t xml:space="preserve"> </w:t>
      </w:r>
      <w:r w:rsidRPr="004D5944">
        <w:rPr>
          <w:rFonts w:cstheme="minorHAnsi"/>
          <w:i/>
          <w:w w:val="105"/>
        </w:rPr>
        <w:t>spouses.</w:t>
      </w:r>
    </w:p>
    <w:p w14:paraId="531033C4" w14:textId="77777777" w:rsidR="004D5944" w:rsidRPr="004D5944" w:rsidRDefault="004D5944" w:rsidP="00D63204">
      <w:pPr>
        <w:pStyle w:val="ListParagraph"/>
        <w:widowControl w:val="0"/>
        <w:tabs>
          <w:tab w:val="left" w:pos="828"/>
        </w:tabs>
        <w:spacing w:before="2" w:after="0" w:line="240" w:lineRule="auto"/>
        <w:ind w:left="827"/>
        <w:rPr>
          <w:rFonts w:cstheme="minorHAnsi"/>
        </w:rPr>
      </w:pPr>
    </w:p>
    <w:p w14:paraId="17D72364" w14:textId="081F22A4" w:rsidR="00EA7458" w:rsidRPr="004D5944" w:rsidRDefault="00EA7458" w:rsidP="00D63204">
      <w:pPr>
        <w:pStyle w:val="ListParagraph"/>
        <w:widowControl w:val="0"/>
        <w:numPr>
          <w:ilvl w:val="0"/>
          <w:numId w:val="35"/>
        </w:numPr>
        <w:tabs>
          <w:tab w:val="left" w:pos="828"/>
        </w:tabs>
        <w:spacing w:before="195" w:after="0" w:line="240" w:lineRule="auto"/>
        <w:rPr>
          <w:rFonts w:cstheme="minorHAnsi"/>
        </w:rPr>
      </w:pPr>
      <w:r w:rsidRPr="004D5944">
        <w:rPr>
          <w:rFonts w:cstheme="minorHAnsi"/>
          <w:i/>
          <w:w w:val="105"/>
        </w:rPr>
        <w:t xml:space="preserve">Veteran </w:t>
      </w:r>
      <w:r w:rsidRPr="004D5944">
        <w:rPr>
          <w:rFonts w:cstheme="minorHAnsi"/>
          <w:w w:val="105"/>
        </w:rPr>
        <w:t xml:space="preserve">– The regulations specify that the definition for </w:t>
      </w:r>
      <w:r w:rsidRPr="004D5944">
        <w:rPr>
          <w:rFonts w:cstheme="minorHAnsi"/>
          <w:i/>
          <w:w w:val="105"/>
        </w:rPr>
        <w:t xml:space="preserve">veteran </w:t>
      </w:r>
      <w:r w:rsidRPr="004D5944">
        <w:rPr>
          <w:rFonts w:cstheme="minorHAnsi"/>
          <w:w w:val="105"/>
        </w:rPr>
        <w:t>specified at 38 U.S.C.</w:t>
      </w:r>
      <w:r w:rsidRPr="004D5944">
        <w:rPr>
          <w:rFonts w:cstheme="minorHAnsi"/>
          <w:spacing w:val="17"/>
          <w:w w:val="105"/>
        </w:rPr>
        <w:t xml:space="preserve"> </w:t>
      </w:r>
      <w:r w:rsidRPr="004D5944">
        <w:rPr>
          <w:rFonts w:cstheme="minorHAnsi"/>
          <w:w w:val="105"/>
        </w:rPr>
        <w:t>101(2)</w:t>
      </w:r>
      <w:r w:rsidRPr="004D5944">
        <w:rPr>
          <w:rFonts w:cstheme="minorHAnsi"/>
          <w:w w:val="90"/>
        </w:rPr>
        <w:t xml:space="preserve"> </w:t>
      </w:r>
      <w:r w:rsidRPr="004D5944">
        <w:rPr>
          <w:rFonts w:cstheme="minorHAnsi"/>
          <w:w w:val="105"/>
        </w:rPr>
        <w:t>applies across all qualified job training programs for the purpose of priority of</w:t>
      </w:r>
      <w:r w:rsidRPr="004D5944">
        <w:rPr>
          <w:rFonts w:cstheme="minorHAnsi"/>
          <w:spacing w:val="3"/>
          <w:w w:val="105"/>
        </w:rPr>
        <w:t xml:space="preserve"> </w:t>
      </w:r>
      <w:r w:rsidRPr="004D5944">
        <w:rPr>
          <w:rFonts w:cstheme="minorHAnsi"/>
          <w:w w:val="105"/>
        </w:rPr>
        <w:t>service.</w:t>
      </w:r>
    </w:p>
    <w:p w14:paraId="33757E2F" w14:textId="77777777" w:rsidR="00EA7458" w:rsidRPr="00E06806" w:rsidRDefault="00EA7458" w:rsidP="00D63204">
      <w:pPr>
        <w:widowControl w:val="0"/>
        <w:spacing w:before="6" w:after="0" w:line="240" w:lineRule="auto"/>
        <w:ind w:left="107"/>
        <w:rPr>
          <w:rFonts w:cstheme="minorHAnsi"/>
          <w:sz w:val="16"/>
          <w:szCs w:val="16"/>
        </w:rPr>
      </w:pPr>
    </w:p>
    <w:p w14:paraId="3D769629" w14:textId="4694C56A" w:rsidR="00EA7458" w:rsidRPr="00E06806" w:rsidRDefault="00F54C3D" w:rsidP="00D63204">
      <w:pPr>
        <w:widowControl w:val="0"/>
        <w:spacing w:after="0" w:line="240" w:lineRule="auto"/>
        <w:ind w:left="1440"/>
        <w:rPr>
          <w:rFonts w:cstheme="minorHAnsi"/>
        </w:rPr>
      </w:pPr>
      <w:r w:rsidRPr="00E06806">
        <w:rPr>
          <w:rFonts w:cstheme="minorHAnsi"/>
          <w:w w:val="105"/>
        </w:rPr>
        <w:t xml:space="preserve">The </w:t>
      </w:r>
      <w:r w:rsidR="00EA7458" w:rsidRPr="00E06806">
        <w:rPr>
          <w:rFonts w:cstheme="minorHAnsi"/>
          <w:w w:val="105"/>
        </w:rPr>
        <w:t>definition includes two key</w:t>
      </w:r>
      <w:r w:rsidR="00EA7458" w:rsidRPr="00E06806">
        <w:rPr>
          <w:rFonts w:cstheme="minorHAnsi"/>
          <w:spacing w:val="30"/>
          <w:w w:val="105"/>
        </w:rPr>
        <w:t xml:space="preserve"> </w:t>
      </w:r>
      <w:r w:rsidR="00EA7458" w:rsidRPr="00E06806">
        <w:rPr>
          <w:rFonts w:cstheme="minorHAnsi"/>
          <w:w w:val="105"/>
        </w:rPr>
        <w:t>criteria:</w:t>
      </w:r>
    </w:p>
    <w:p w14:paraId="096B6882" w14:textId="7AAB223C" w:rsidR="00EA7458" w:rsidRPr="004D5944" w:rsidRDefault="00EA7458" w:rsidP="002C2E39">
      <w:pPr>
        <w:pStyle w:val="ListParagraph"/>
        <w:widowControl w:val="0"/>
        <w:numPr>
          <w:ilvl w:val="0"/>
          <w:numId w:val="35"/>
        </w:numPr>
        <w:tabs>
          <w:tab w:val="left" w:pos="2308"/>
        </w:tabs>
        <w:spacing w:before="195" w:after="0" w:line="240" w:lineRule="auto"/>
        <w:ind w:left="720"/>
        <w:rPr>
          <w:rFonts w:cstheme="minorHAnsi"/>
        </w:rPr>
      </w:pPr>
      <w:r w:rsidRPr="004D5944">
        <w:rPr>
          <w:rFonts w:cstheme="minorHAnsi"/>
          <w:color w:val="231F20"/>
          <w:w w:val="110"/>
        </w:rPr>
        <w:lastRenderedPageBreak/>
        <w:t>Service in the active military, naval, or air</w:t>
      </w:r>
      <w:r w:rsidRPr="004D5944">
        <w:rPr>
          <w:rFonts w:cstheme="minorHAnsi"/>
          <w:color w:val="231F20"/>
          <w:spacing w:val="-4"/>
          <w:w w:val="110"/>
        </w:rPr>
        <w:t xml:space="preserve"> </w:t>
      </w:r>
      <w:r w:rsidRPr="004D5944">
        <w:rPr>
          <w:rFonts w:cstheme="minorHAnsi"/>
          <w:color w:val="231F20"/>
          <w:w w:val="110"/>
        </w:rPr>
        <w:t>service</w:t>
      </w:r>
    </w:p>
    <w:p w14:paraId="124D58E7" w14:textId="77777777" w:rsidR="004D5944" w:rsidRPr="004D5944" w:rsidRDefault="004D5944" w:rsidP="002C2E39">
      <w:pPr>
        <w:pStyle w:val="ListParagraph"/>
        <w:widowControl w:val="0"/>
        <w:tabs>
          <w:tab w:val="left" w:pos="2308"/>
        </w:tabs>
        <w:spacing w:before="195" w:after="0" w:line="240" w:lineRule="auto"/>
        <w:rPr>
          <w:rFonts w:cstheme="minorHAnsi"/>
        </w:rPr>
      </w:pPr>
    </w:p>
    <w:p w14:paraId="74368A7F" w14:textId="77777777" w:rsidR="004D5944" w:rsidRPr="004D5944" w:rsidRDefault="00EA7458" w:rsidP="002C2E39">
      <w:pPr>
        <w:pStyle w:val="ListParagraph"/>
        <w:widowControl w:val="0"/>
        <w:numPr>
          <w:ilvl w:val="0"/>
          <w:numId w:val="35"/>
        </w:numPr>
        <w:tabs>
          <w:tab w:val="left" w:pos="2308"/>
        </w:tabs>
        <w:spacing w:before="85" w:after="0" w:line="240" w:lineRule="auto"/>
        <w:ind w:left="720"/>
        <w:rPr>
          <w:rFonts w:cstheme="minorHAnsi"/>
          <w:color w:val="231F20"/>
          <w:w w:val="105"/>
        </w:rPr>
      </w:pPr>
      <w:r w:rsidRPr="004D5944">
        <w:rPr>
          <w:rFonts w:cstheme="minorHAnsi"/>
          <w:color w:val="231F20"/>
          <w:w w:val="105"/>
        </w:rPr>
        <w:t>Discharge under conditions other than</w:t>
      </w:r>
      <w:r w:rsidRPr="004D5944">
        <w:rPr>
          <w:rFonts w:cstheme="minorHAnsi"/>
          <w:color w:val="231F20"/>
          <w:spacing w:val="30"/>
          <w:w w:val="105"/>
        </w:rPr>
        <w:t xml:space="preserve"> </w:t>
      </w:r>
      <w:r w:rsidRPr="004D5944">
        <w:rPr>
          <w:rFonts w:cstheme="minorHAnsi"/>
          <w:color w:val="231F20"/>
          <w:w w:val="105"/>
        </w:rPr>
        <w:t>dishonorable</w:t>
      </w:r>
    </w:p>
    <w:p w14:paraId="123E3BC7" w14:textId="27BA283D" w:rsidR="00636965" w:rsidRDefault="00EA7458" w:rsidP="00D63204">
      <w:pPr>
        <w:widowControl w:val="0"/>
        <w:spacing w:before="193" w:after="0" w:line="240" w:lineRule="auto"/>
        <w:ind w:left="107"/>
        <w:rPr>
          <w:rFonts w:cstheme="minorHAnsi"/>
          <w:w w:val="105"/>
        </w:rPr>
      </w:pPr>
      <w:r w:rsidRPr="005B326C">
        <w:rPr>
          <w:rFonts w:cstheme="minorHAnsi"/>
          <w:w w:val="105"/>
        </w:rPr>
        <w:t xml:space="preserve">Eligible veterans and covered persons identified at the point of entry shall be notified of programs and/or services available. Point of entry includes physical locations, such as CareerSource Florida centers, as well as </w:t>
      </w:r>
      <w:r w:rsidRPr="00180994">
        <w:rPr>
          <w:rFonts w:cstheme="minorHAnsi"/>
          <w:w w:val="105"/>
        </w:rPr>
        <w:t>websites and other virtual service delivery resources.</w:t>
      </w:r>
    </w:p>
    <w:p w14:paraId="040100AF" w14:textId="42825305" w:rsidR="005B326C" w:rsidRDefault="00EA7458" w:rsidP="00D63204">
      <w:pPr>
        <w:widowControl w:val="0"/>
        <w:spacing w:before="193" w:after="0" w:line="240" w:lineRule="auto"/>
        <w:ind w:left="107"/>
        <w:rPr>
          <w:rFonts w:cstheme="minorHAnsi"/>
          <w:w w:val="105"/>
        </w:rPr>
      </w:pPr>
      <w:r w:rsidRPr="005467E2">
        <w:rPr>
          <w:rFonts w:cstheme="minorHAnsi"/>
          <w:w w:val="105"/>
        </w:rPr>
        <w:t xml:space="preserve">LWDBs will ensure </w:t>
      </w:r>
      <w:r w:rsidR="000C2BFD" w:rsidRPr="005467E2">
        <w:rPr>
          <w:rFonts w:cstheme="minorHAnsi"/>
          <w:w w:val="105"/>
        </w:rPr>
        <w:t xml:space="preserve">their </w:t>
      </w:r>
      <w:r w:rsidR="00655198" w:rsidRPr="005467E2">
        <w:rPr>
          <w:rFonts w:cstheme="minorHAnsi"/>
          <w:w w:val="105"/>
        </w:rPr>
        <w:t xml:space="preserve">local </w:t>
      </w:r>
      <w:r w:rsidRPr="005467E2">
        <w:rPr>
          <w:rFonts w:cstheme="minorHAnsi"/>
          <w:w w:val="105"/>
        </w:rPr>
        <w:t>plan provides clear strategies</w:t>
      </w:r>
      <w:r w:rsidRPr="00E06806">
        <w:rPr>
          <w:rFonts w:cstheme="minorHAnsi"/>
          <w:w w:val="105"/>
        </w:rPr>
        <w:t xml:space="preserve"> and policies for providing veterans and</w:t>
      </w:r>
      <w:r w:rsidR="005E7C49">
        <w:rPr>
          <w:rFonts w:cstheme="minorHAnsi"/>
          <w:w w:val="105"/>
        </w:rPr>
        <w:t xml:space="preserve"> </w:t>
      </w:r>
      <w:r w:rsidRPr="00E06806">
        <w:rPr>
          <w:rFonts w:cstheme="minorHAnsi"/>
          <w:w w:val="105"/>
        </w:rPr>
        <w:t>covered</w:t>
      </w:r>
      <w:r w:rsidRPr="005B326C">
        <w:rPr>
          <w:rFonts w:cstheme="minorHAnsi"/>
          <w:w w:val="105"/>
        </w:rPr>
        <w:t xml:space="preserve"> </w:t>
      </w:r>
      <w:r w:rsidRPr="00E06806">
        <w:rPr>
          <w:rFonts w:cstheme="minorHAnsi"/>
          <w:w w:val="105"/>
        </w:rPr>
        <w:t>persons</w:t>
      </w:r>
      <w:r w:rsidRPr="005B326C">
        <w:rPr>
          <w:rFonts w:cstheme="minorHAnsi"/>
          <w:w w:val="105"/>
        </w:rPr>
        <w:t xml:space="preserve"> </w:t>
      </w:r>
      <w:r w:rsidRPr="00E06806">
        <w:rPr>
          <w:rFonts w:cstheme="minorHAnsi"/>
          <w:w w:val="105"/>
        </w:rPr>
        <w:t>with</w:t>
      </w:r>
      <w:r w:rsidRPr="005B326C">
        <w:rPr>
          <w:rFonts w:cstheme="minorHAnsi"/>
          <w:w w:val="105"/>
        </w:rPr>
        <w:t xml:space="preserve"> </w:t>
      </w:r>
      <w:r w:rsidRPr="00E06806">
        <w:rPr>
          <w:rFonts w:cstheme="minorHAnsi"/>
          <w:w w:val="105"/>
        </w:rPr>
        <w:t>the</w:t>
      </w:r>
      <w:r w:rsidRPr="005B326C">
        <w:rPr>
          <w:rFonts w:cstheme="minorHAnsi"/>
          <w:w w:val="105"/>
        </w:rPr>
        <w:t xml:space="preserve"> </w:t>
      </w:r>
      <w:r w:rsidRPr="00E06806">
        <w:rPr>
          <w:rFonts w:cstheme="minorHAnsi"/>
          <w:w w:val="105"/>
        </w:rPr>
        <w:t>highest</w:t>
      </w:r>
      <w:r w:rsidRPr="005B326C">
        <w:rPr>
          <w:rFonts w:cstheme="minorHAnsi"/>
          <w:w w:val="105"/>
        </w:rPr>
        <w:t xml:space="preserve"> </w:t>
      </w:r>
      <w:r w:rsidRPr="00E06806">
        <w:rPr>
          <w:rFonts w:cstheme="minorHAnsi"/>
          <w:w w:val="105"/>
        </w:rPr>
        <w:t>quality</w:t>
      </w:r>
      <w:r w:rsidRPr="005B326C">
        <w:rPr>
          <w:rFonts w:cstheme="minorHAnsi"/>
          <w:w w:val="105"/>
        </w:rPr>
        <w:t xml:space="preserve"> </w:t>
      </w:r>
      <w:r w:rsidRPr="00E06806">
        <w:rPr>
          <w:rFonts w:cstheme="minorHAnsi"/>
          <w:w w:val="105"/>
        </w:rPr>
        <w:t>of</w:t>
      </w:r>
      <w:r w:rsidRPr="005B326C">
        <w:rPr>
          <w:rFonts w:cstheme="minorHAnsi"/>
          <w:w w:val="105"/>
        </w:rPr>
        <w:t xml:space="preserve"> </w:t>
      </w:r>
      <w:r w:rsidRPr="00E06806">
        <w:rPr>
          <w:rFonts w:cstheme="minorHAnsi"/>
          <w:w w:val="105"/>
        </w:rPr>
        <w:t>service</w:t>
      </w:r>
      <w:r w:rsidRPr="005B326C">
        <w:rPr>
          <w:rFonts w:cstheme="minorHAnsi"/>
          <w:w w:val="105"/>
        </w:rPr>
        <w:t xml:space="preserve"> </w:t>
      </w:r>
      <w:r w:rsidRPr="00E06806">
        <w:rPr>
          <w:rFonts w:cstheme="minorHAnsi"/>
          <w:w w:val="105"/>
        </w:rPr>
        <w:t>at</w:t>
      </w:r>
      <w:r w:rsidRPr="005B326C">
        <w:rPr>
          <w:rFonts w:cstheme="minorHAnsi"/>
          <w:w w:val="105"/>
        </w:rPr>
        <w:t xml:space="preserve"> </w:t>
      </w:r>
      <w:r w:rsidRPr="00E06806">
        <w:rPr>
          <w:rFonts w:cstheme="minorHAnsi"/>
          <w:w w:val="105"/>
        </w:rPr>
        <w:t>every</w:t>
      </w:r>
      <w:r w:rsidRPr="005B326C">
        <w:rPr>
          <w:rFonts w:cstheme="minorHAnsi"/>
          <w:w w:val="105"/>
        </w:rPr>
        <w:t xml:space="preserve"> </w:t>
      </w:r>
      <w:r w:rsidRPr="00E06806">
        <w:rPr>
          <w:rFonts w:cstheme="minorHAnsi"/>
          <w:w w:val="105"/>
        </w:rPr>
        <w:t>phase</w:t>
      </w:r>
      <w:r w:rsidRPr="005B326C">
        <w:rPr>
          <w:rFonts w:cstheme="minorHAnsi"/>
          <w:w w:val="105"/>
        </w:rPr>
        <w:t xml:space="preserve"> </w:t>
      </w:r>
      <w:r w:rsidRPr="00E06806">
        <w:rPr>
          <w:rFonts w:cstheme="minorHAnsi"/>
          <w:w w:val="105"/>
        </w:rPr>
        <w:t>of</w:t>
      </w:r>
      <w:r w:rsidRPr="005B326C">
        <w:rPr>
          <w:rFonts w:cstheme="minorHAnsi"/>
          <w:w w:val="105"/>
        </w:rPr>
        <w:t xml:space="preserve"> </w:t>
      </w:r>
      <w:r w:rsidRPr="00E06806">
        <w:rPr>
          <w:rFonts w:cstheme="minorHAnsi"/>
          <w:w w:val="105"/>
        </w:rPr>
        <w:t>services</w:t>
      </w:r>
      <w:r w:rsidRPr="005B326C">
        <w:rPr>
          <w:rFonts w:cstheme="minorHAnsi"/>
          <w:w w:val="105"/>
        </w:rPr>
        <w:t xml:space="preserve"> </w:t>
      </w:r>
      <w:r w:rsidRPr="00E06806">
        <w:rPr>
          <w:rFonts w:cstheme="minorHAnsi"/>
          <w:w w:val="105"/>
        </w:rPr>
        <w:t>offered.</w:t>
      </w:r>
      <w:r w:rsidRPr="005B326C">
        <w:rPr>
          <w:rFonts w:cstheme="minorHAnsi"/>
          <w:w w:val="105"/>
        </w:rPr>
        <w:t xml:space="preserve"> </w:t>
      </w:r>
      <w:r w:rsidRPr="00E06806">
        <w:rPr>
          <w:rFonts w:cstheme="minorHAnsi"/>
          <w:w w:val="105"/>
        </w:rPr>
        <w:t>Policies</w:t>
      </w:r>
      <w:r w:rsidRPr="005B326C">
        <w:rPr>
          <w:rFonts w:cstheme="minorHAnsi"/>
          <w:w w:val="105"/>
        </w:rPr>
        <w:t xml:space="preserve"> </w:t>
      </w:r>
      <w:r w:rsidRPr="00E06806">
        <w:rPr>
          <w:rFonts w:cstheme="minorHAnsi"/>
          <w:w w:val="105"/>
        </w:rPr>
        <w:t>shall</w:t>
      </w:r>
      <w:r w:rsidRPr="005B326C">
        <w:rPr>
          <w:rFonts w:cstheme="minorHAnsi"/>
          <w:w w:val="105"/>
        </w:rPr>
        <w:t xml:space="preserve"> </w:t>
      </w:r>
      <w:r w:rsidRPr="00E06806">
        <w:rPr>
          <w:rFonts w:cstheme="minorHAnsi"/>
          <w:w w:val="105"/>
        </w:rPr>
        <w:t>be</w:t>
      </w:r>
      <w:r w:rsidRPr="005B326C">
        <w:rPr>
          <w:rFonts w:cstheme="minorHAnsi"/>
          <w:w w:val="105"/>
        </w:rPr>
        <w:t xml:space="preserve"> </w:t>
      </w:r>
      <w:r w:rsidRPr="00E06806">
        <w:rPr>
          <w:rFonts w:cstheme="minorHAnsi"/>
          <w:w w:val="105"/>
        </w:rPr>
        <w:t>implemented</w:t>
      </w:r>
      <w:r w:rsidRPr="005B326C">
        <w:rPr>
          <w:rFonts w:cstheme="minorHAnsi"/>
          <w:w w:val="105"/>
        </w:rPr>
        <w:t xml:space="preserve"> </w:t>
      </w:r>
      <w:r w:rsidRPr="00E06806">
        <w:rPr>
          <w:rFonts w:cstheme="minorHAnsi"/>
          <w:w w:val="105"/>
        </w:rPr>
        <w:t>to</w:t>
      </w:r>
      <w:r w:rsidRPr="005B326C">
        <w:rPr>
          <w:rFonts w:cstheme="minorHAnsi"/>
          <w:w w:val="105"/>
        </w:rPr>
        <w:t xml:space="preserve"> </w:t>
      </w:r>
      <w:r w:rsidRPr="00E06806">
        <w:rPr>
          <w:rFonts w:cstheme="minorHAnsi"/>
          <w:w w:val="105"/>
        </w:rPr>
        <w:t>ensure</w:t>
      </w:r>
      <w:r w:rsidRPr="005B326C">
        <w:rPr>
          <w:rFonts w:cstheme="minorHAnsi"/>
          <w:w w:val="105"/>
        </w:rPr>
        <w:t xml:space="preserve"> </w:t>
      </w:r>
      <w:r w:rsidRPr="00E06806">
        <w:rPr>
          <w:rFonts w:cstheme="minorHAnsi"/>
          <w:w w:val="105"/>
        </w:rPr>
        <w:t>eligible</w:t>
      </w:r>
      <w:r w:rsidRPr="005B326C">
        <w:rPr>
          <w:rFonts w:cstheme="minorHAnsi"/>
          <w:w w:val="105"/>
        </w:rPr>
        <w:t xml:space="preserve"> </w:t>
      </w:r>
      <w:r w:rsidRPr="00E06806">
        <w:rPr>
          <w:rFonts w:cstheme="minorHAnsi"/>
          <w:w w:val="105"/>
        </w:rPr>
        <w:t>veterans</w:t>
      </w:r>
      <w:r w:rsidRPr="005B326C">
        <w:rPr>
          <w:rFonts w:cstheme="minorHAnsi"/>
          <w:w w:val="105"/>
        </w:rPr>
        <w:t xml:space="preserve"> </w:t>
      </w:r>
      <w:r w:rsidRPr="00E06806">
        <w:rPr>
          <w:rFonts w:cstheme="minorHAnsi"/>
          <w:w w:val="105"/>
        </w:rPr>
        <w:t>and</w:t>
      </w:r>
      <w:r w:rsidRPr="005B326C">
        <w:rPr>
          <w:rFonts w:cstheme="minorHAnsi"/>
          <w:w w:val="105"/>
        </w:rPr>
        <w:t xml:space="preserve"> </w:t>
      </w:r>
      <w:r w:rsidRPr="00E06806">
        <w:rPr>
          <w:rFonts w:cstheme="minorHAnsi"/>
          <w:w w:val="105"/>
        </w:rPr>
        <w:t>eligible</w:t>
      </w:r>
      <w:r w:rsidRPr="005B326C">
        <w:rPr>
          <w:rFonts w:cstheme="minorHAnsi"/>
          <w:w w:val="105"/>
        </w:rPr>
        <w:t xml:space="preserve"> </w:t>
      </w:r>
      <w:r w:rsidRPr="00E06806">
        <w:rPr>
          <w:rFonts w:cstheme="minorHAnsi"/>
          <w:w w:val="105"/>
        </w:rPr>
        <w:t>spouses</w:t>
      </w:r>
      <w:r w:rsidRPr="005B326C">
        <w:rPr>
          <w:rFonts w:cstheme="minorHAnsi"/>
          <w:w w:val="105"/>
        </w:rPr>
        <w:t xml:space="preserve"> </w:t>
      </w:r>
      <w:r w:rsidRPr="00E06806">
        <w:rPr>
          <w:rFonts w:cstheme="minorHAnsi"/>
          <w:w w:val="105"/>
        </w:rPr>
        <w:t>are</w:t>
      </w:r>
      <w:r w:rsidRPr="005B326C">
        <w:rPr>
          <w:rFonts w:cstheme="minorHAnsi"/>
          <w:w w:val="105"/>
        </w:rPr>
        <w:t xml:space="preserve"> </w:t>
      </w:r>
      <w:r w:rsidRPr="00E06806">
        <w:rPr>
          <w:rFonts w:cstheme="minorHAnsi"/>
          <w:w w:val="105"/>
        </w:rPr>
        <w:t>aware</w:t>
      </w:r>
      <w:r w:rsidRPr="005B326C">
        <w:rPr>
          <w:rFonts w:cstheme="minorHAnsi"/>
          <w:w w:val="105"/>
        </w:rPr>
        <w:t xml:space="preserve"> </w:t>
      </w:r>
      <w:r w:rsidRPr="00E06806">
        <w:rPr>
          <w:rFonts w:cstheme="minorHAnsi"/>
          <w:w w:val="105"/>
        </w:rPr>
        <w:t>of:</w:t>
      </w:r>
    </w:p>
    <w:p w14:paraId="476BD5E0" w14:textId="50F9049E" w:rsidR="005B326C" w:rsidRDefault="00EA7458" w:rsidP="00D63204">
      <w:pPr>
        <w:pStyle w:val="ListParagraph"/>
        <w:widowControl w:val="0"/>
        <w:numPr>
          <w:ilvl w:val="0"/>
          <w:numId w:val="85"/>
        </w:numPr>
        <w:spacing w:before="193" w:after="0" w:line="240" w:lineRule="auto"/>
        <w:rPr>
          <w:rFonts w:cstheme="minorHAnsi"/>
          <w:w w:val="105"/>
        </w:rPr>
      </w:pPr>
      <w:r w:rsidRPr="005B326C">
        <w:rPr>
          <w:rFonts w:cstheme="minorHAnsi"/>
          <w:w w:val="105"/>
        </w:rPr>
        <w:t>Their entitlement to priority of service</w:t>
      </w:r>
    </w:p>
    <w:p w14:paraId="7C32F2EB" w14:textId="77777777" w:rsidR="005B326C" w:rsidRPr="005B326C" w:rsidRDefault="005B326C" w:rsidP="00D63204">
      <w:pPr>
        <w:pStyle w:val="ListParagraph"/>
        <w:widowControl w:val="0"/>
        <w:spacing w:before="193" w:after="0" w:line="240" w:lineRule="auto"/>
        <w:ind w:left="827"/>
        <w:rPr>
          <w:rFonts w:cstheme="minorHAnsi"/>
          <w:w w:val="105"/>
        </w:rPr>
      </w:pPr>
    </w:p>
    <w:p w14:paraId="5344334A" w14:textId="0ACD8DB8" w:rsidR="005B326C" w:rsidRDefault="00EA7458" w:rsidP="00D63204">
      <w:pPr>
        <w:pStyle w:val="ListParagraph"/>
        <w:widowControl w:val="0"/>
        <w:numPr>
          <w:ilvl w:val="0"/>
          <w:numId w:val="84"/>
        </w:numPr>
        <w:spacing w:before="193" w:after="0" w:line="240" w:lineRule="auto"/>
        <w:rPr>
          <w:rFonts w:cstheme="minorHAnsi"/>
          <w:w w:val="105"/>
        </w:rPr>
      </w:pPr>
      <w:r w:rsidRPr="005B326C">
        <w:rPr>
          <w:rFonts w:cstheme="minorHAnsi"/>
          <w:w w:val="105"/>
        </w:rPr>
        <w:t>The full array of programs and services available to them</w:t>
      </w:r>
    </w:p>
    <w:p w14:paraId="0AC28B50" w14:textId="77777777" w:rsidR="005B326C" w:rsidRDefault="005B326C" w:rsidP="00D63204">
      <w:pPr>
        <w:pStyle w:val="ListParagraph"/>
        <w:widowControl w:val="0"/>
        <w:spacing w:before="193" w:after="0" w:line="240" w:lineRule="auto"/>
        <w:ind w:left="827"/>
        <w:rPr>
          <w:rFonts w:cstheme="minorHAnsi"/>
          <w:w w:val="105"/>
        </w:rPr>
      </w:pPr>
    </w:p>
    <w:p w14:paraId="7D485FCE" w14:textId="34379462" w:rsidR="004D5944" w:rsidRPr="005B326C" w:rsidRDefault="00EA7458" w:rsidP="00D63204">
      <w:pPr>
        <w:pStyle w:val="ListParagraph"/>
        <w:widowControl w:val="0"/>
        <w:numPr>
          <w:ilvl w:val="0"/>
          <w:numId w:val="84"/>
        </w:numPr>
        <w:spacing w:before="193" w:after="0" w:line="240" w:lineRule="auto"/>
        <w:rPr>
          <w:rFonts w:cstheme="minorHAnsi"/>
          <w:w w:val="105"/>
        </w:rPr>
      </w:pPr>
      <w:r w:rsidRPr="005B326C">
        <w:rPr>
          <w:rFonts w:cstheme="minorHAnsi"/>
          <w:w w:val="105"/>
        </w:rPr>
        <w:t>Any applicable eligibility requirements for those programs and/or services</w:t>
      </w:r>
    </w:p>
    <w:p w14:paraId="04C5A74F" w14:textId="68029F05" w:rsidR="005B326C" w:rsidRDefault="00EA7458" w:rsidP="00D63204">
      <w:pPr>
        <w:widowControl w:val="0"/>
        <w:spacing w:before="193" w:after="0" w:line="240" w:lineRule="auto"/>
        <w:ind w:left="107"/>
        <w:rPr>
          <w:rFonts w:cstheme="minorHAnsi"/>
          <w:w w:val="105"/>
        </w:rPr>
      </w:pPr>
      <w:r w:rsidRPr="00E06806">
        <w:rPr>
          <w:rFonts w:cstheme="minorHAnsi"/>
          <w:w w:val="105"/>
        </w:rPr>
        <w:t>Priority</w:t>
      </w:r>
      <w:r w:rsidRPr="005B326C">
        <w:rPr>
          <w:rFonts w:cstheme="minorHAnsi"/>
          <w:w w:val="105"/>
        </w:rPr>
        <w:t xml:space="preserve"> </w:t>
      </w:r>
      <w:r w:rsidRPr="00E06806">
        <w:rPr>
          <w:rFonts w:cstheme="minorHAnsi"/>
          <w:w w:val="105"/>
        </w:rPr>
        <w:t>of</w:t>
      </w:r>
      <w:r w:rsidRPr="005B326C">
        <w:rPr>
          <w:rFonts w:cstheme="minorHAnsi"/>
          <w:w w:val="105"/>
        </w:rPr>
        <w:t xml:space="preserve"> </w:t>
      </w:r>
      <w:r w:rsidRPr="00E06806">
        <w:rPr>
          <w:rFonts w:cstheme="minorHAnsi"/>
          <w:w w:val="105"/>
        </w:rPr>
        <w:t>Service</w:t>
      </w:r>
      <w:r w:rsidRPr="005B326C">
        <w:rPr>
          <w:rFonts w:cstheme="minorHAnsi"/>
          <w:w w:val="105"/>
        </w:rPr>
        <w:t xml:space="preserve"> </w:t>
      </w:r>
      <w:r w:rsidRPr="00E06806">
        <w:rPr>
          <w:rFonts w:cstheme="minorHAnsi"/>
          <w:w w:val="105"/>
        </w:rPr>
        <w:t>means</w:t>
      </w:r>
      <w:r w:rsidRPr="005B326C">
        <w:rPr>
          <w:rFonts w:cstheme="minorHAnsi"/>
          <w:w w:val="105"/>
        </w:rPr>
        <w:t xml:space="preserve"> </w:t>
      </w:r>
      <w:r w:rsidRPr="00E06806">
        <w:rPr>
          <w:rFonts w:cstheme="minorHAnsi"/>
          <w:w w:val="105"/>
        </w:rPr>
        <w:t>the</w:t>
      </w:r>
      <w:r w:rsidRPr="005B326C">
        <w:rPr>
          <w:rFonts w:cstheme="minorHAnsi"/>
          <w:w w:val="105"/>
        </w:rPr>
        <w:t xml:space="preserve"> </w:t>
      </w:r>
      <w:r w:rsidRPr="00E06806">
        <w:rPr>
          <w:rFonts w:cstheme="minorHAnsi"/>
          <w:w w:val="105"/>
        </w:rPr>
        <w:t>right</w:t>
      </w:r>
      <w:r w:rsidRPr="005B326C">
        <w:rPr>
          <w:rFonts w:cstheme="minorHAnsi"/>
          <w:w w:val="105"/>
        </w:rPr>
        <w:t xml:space="preserve"> </w:t>
      </w:r>
      <w:r w:rsidRPr="00E06806">
        <w:rPr>
          <w:rFonts w:cstheme="minorHAnsi"/>
          <w:w w:val="105"/>
        </w:rPr>
        <w:t>of</w:t>
      </w:r>
      <w:r w:rsidRPr="005B326C">
        <w:rPr>
          <w:rFonts w:cstheme="minorHAnsi"/>
          <w:w w:val="105"/>
        </w:rPr>
        <w:t xml:space="preserve"> </w:t>
      </w:r>
      <w:r w:rsidRPr="00E06806">
        <w:rPr>
          <w:rFonts w:cstheme="minorHAnsi"/>
          <w:w w:val="105"/>
        </w:rPr>
        <w:t>eligible</w:t>
      </w:r>
      <w:r w:rsidRPr="005B326C">
        <w:rPr>
          <w:rFonts w:cstheme="minorHAnsi"/>
          <w:w w:val="105"/>
        </w:rPr>
        <w:t xml:space="preserve"> </w:t>
      </w:r>
      <w:r w:rsidRPr="00E06806">
        <w:rPr>
          <w:rFonts w:cstheme="minorHAnsi"/>
          <w:w w:val="105"/>
        </w:rPr>
        <w:t>veterans</w:t>
      </w:r>
      <w:r w:rsidRPr="005B326C">
        <w:rPr>
          <w:rFonts w:cstheme="minorHAnsi"/>
          <w:w w:val="105"/>
        </w:rPr>
        <w:t xml:space="preserve"> </w:t>
      </w:r>
      <w:r w:rsidRPr="00E06806">
        <w:rPr>
          <w:rFonts w:cstheme="minorHAnsi"/>
          <w:w w:val="105"/>
        </w:rPr>
        <w:t>and</w:t>
      </w:r>
      <w:r w:rsidRPr="005B326C">
        <w:rPr>
          <w:rFonts w:cstheme="minorHAnsi"/>
          <w:w w:val="105"/>
        </w:rPr>
        <w:t xml:space="preserve"> </w:t>
      </w:r>
      <w:r w:rsidRPr="00E06806">
        <w:rPr>
          <w:rFonts w:cstheme="minorHAnsi"/>
          <w:w w:val="105"/>
        </w:rPr>
        <w:t>covered</w:t>
      </w:r>
      <w:r w:rsidRPr="005B326C">
        <w:rPr>
          <w:rFonts w:cstheme="minorHAnsi"/>
          <w:w w:val="105"/>
        </w:rPr>
        <w:t xml:space="preserve"> </w:t>
      </w:r>
      <w:r w:rsidRPr="00E06806">
        <w:rPr>
          <w:rFonts w:cstheme="minorHAnsi"/>
          <w:w w:val="105"/>
        </w:rPr>
        <w:t>persons</w:t>
      </w:r>
      <w:r w:rsidRPr="005B326C">
        <w:rPr>
          <w:rFonts w:cstheme="minorHAnsi"/>
          <w:w w:val="105"/>
        </w:rPr>
        <w:t xml:space="preserve"> </w:t>
      </w:r>
      <w:r w:rsidRPr="00E06806">
        <w:rPr>
          <w:rFonts w:cstheme="minorHAnsi"/>
          <w:w w:val="105"/>
        </w:rPr>
        <w:t>to</w:t>
      </w:r>
      <w:r w:rsidRPr="005B326C">
        <w:rPr>
          <w:rFonts w:cstheme="minorHAnsi"/>
          <w:w w:val="105"/>
        </w:rPr>
        <w:t xml:space="preserve"> </w:t>
      </w:r>
      <w:r w:rsidRPr="00E06806">
        <w:rPr>
          <w:rFonts w:cstheme="minorHAnsi"/>
          <w:w w:val="105"/>
        </w:rPr>
        <w:t>take</w:t>
      </w:r>
      <w:r w:rsidRPr="005B326C">
        <w:rPr>
          <w:rFonts w:cstheme="minorHAnsi"/>
          <w:w w:val="105"/>
        </w:rPr>
        <w:t xml:space="preserve"> </w:t>
      </w:r>
      <w:r w:rsidRPr="00E06806">
        <w:rPr>
          <w:rFonts w:cstheme="minorHAnsi"/>
          <w:w w:val="105"/>
        </w:rPr>
        <w:t>precedence</w:t>
      </w:r>
      <w:r w:rsidRPr="005B326C">
        <w:rPr>
          <w:rFonts w:cstheme="minorHAnsi"/>
          <w:w w:val="105"/>
        </w:rPr>
        <w:t xml:space="preserve"> </w:t>
      </w:r>
      <w:r w:rsidRPr="00E06806">
        <w:rPr>
          <w:rFonts w:cstheme="minorHAnsi"/>
          <w:w w:val="105"/>
        </w:rPr>
        <w:t>over</w:t>
      </w:r>
      <w:r w:rsidRPr="005B326C">
        <w:rPr>
          <w:rFonts w:cstheme="minorHAnsi"/>
          <w:w w:val="105"/>
        </w:rPr>
        <w:t xml:space="preserve"> </w:t>
      </w:r>
      <w:r w:rsidRPr="00E06806">
        <w:rPr>
          <w:rFonts w:cstheme="minorHAnsi"/>
          <w:w w:val="105"/>
        </w:rPr>
        <w:t>eligible</w:t>
      </w:r>
      <w:r w:rsidRPr="005B326C">
        <w:rPr>
          <w:rFonts w:cstheme="minorHAnsi"/>
          <w:w w:val="105"/>
        </w:rPr>
        <w:t xml:space="preserve"> </w:t>
      </w:r>
      <w:r w:rsidRPr="00E06806">
        <w:rPr>
          <w:rFonts w:cstheme="minorHAnsi"/>
          <w:w w:val="105"/>
        </w:rPr>
        <w:t>non-covered</w:t>
      </w:r>
      <w:r w:rsidRPr="005B326C">
        <w:rPr>
          <w:rFonts w:cstheme="minorHAnsi"/>
          <w:w w:val="105"/>
        </w:rPr>
        <w:t xml:space="preserve"> </w:t>
      </w:r>
      <w:r w:rsidRPr="00E06806">
        <w:rPr>
          <w:rFonts w:cstheme="minorHAnsi"/>
          <w:w w:val="105"/>
        </w:rPr>
        <w:t>persons</w:t>
      </w:r>
      <w:r w:rsidRPr="005B326C">
        <w:rPr>
          <w:rFonts w:cstheme="minorHAnsi"/>
          <w:w w:val="105"/>
        </w:rPr>
        <w:t xml:space="preserve"> </w:t>
      </w:r>
      <w:r w:rsidRPr="00E06806">
        <w:rPr>
          <w:rFonts w:cstheme="minorHAnsi"/>
          <w:w w:val="105"/>
        </w:rPr>
        <w:t>for</w:t>
      </w:r>
      <w:r w:rsidRPr="005B326C">
        <w:rPr>
          <w:rFonts w:cstheme="minorHAnsi"/>
          <w:w w:val="105"/>
        </w:rPr>
        <w:t xml:space="preserve"> </w:t>
      </w:r>
      <w:r w:rsidRPr="00E06806">
        <w:rPr>
          <w:rFonts w:cstheme="minorHAnsi"/>
          <w:w w:val="105"/>
        </w:rPr>
        <w:t>the</w:t>
      </w:r>
      <w:r w:rsidRPr="005B326C">
        <w:rPr>
          <w:rFonts w:cstheme="minorHAnsi"/>
          <w:w w:val="105"/>
        </w:rPr>
        <w:t xml:space="preserve"> </w:t>
      </w:r>
      <w:r w:rsidRPr="00E06806">
        <w:rPr>
          <w:rFonts w:cstheme="minorHAnsi"/>
          <w:w w:val="105"/>
        </w:rPr>
        <w:t>receipt</w:t>
      </w:r>
      <w:r w:rsidRPr="005B326C">
        <w:rPr>
          <w:rFonts w:cstheme="minorHAnsi"/>
          <w:w w:val="105"/>
        </w:rPr>
        <w:t xml:space="preserve"> </w:t>
      </w:r>
      <w:r w:rsidRPr="00E06806">
        <w:rPr>
          <w:rFonts w:cstheme="minorHAnsi"/>
          <w:w w:val="105"/>
        </w:rPr>
        <w:t>of</w:t>
      </w:r>
      <w:r w:rsidRPr="005B326C">
        <w:rPr>
          <w:rFonts w:cstheme="minorHAnsi"/>
          <w:w w:val="105"/>
        </w:rPr>
        <w:t xml:space="preserve"> </w:t>
      </w:r>
      <w:r w:rsidRPr="00E06806">
        <w:rPr>
          <w:rFonts w:cstheme="minorHAnsi"/>
          <w:w w:val="105"/>
        </w:rPr>
        <w:t>employment,</w:t>
      </w:r>
      <w:r w:rsidRPr="005B326C">
        <w:rPr>
          <w:rFonts w:cstheme="minorHAnsi"/>
          <w:w w:val="105"/>
        </w:rPr>
        <w:t xml:space="preserve"> </w:t>
      </w:r>
      <w:r w:rsidRPr="00E06806">
        <w:rPr>
          <w:rFonts w:cstheme="minorHAnsi"/>
          <w:w w:val="105"/>
        </w:rPr>
        <w:t>training</w:t>
      </w:r>
      <w:r w:rsidR="00D5537E">
        <w:rPr>
          <w:rFonts w:cstheme="minorHAnsi"/>
          <w:w w:val="105"/>
        </w:rPr>
        <w:t xml:space="preserve"> and</w:t>
      </w:r>
      <w:r w:rsidRPr="005B326C">
        <w:rPr>
          <w:rFonts w:cstheme="minorHAnsi"/>
          <w:w w:val="105"/>
        </w:rPr>
        <w:t xml:space="preserve"> </w:t>
      </w:r>
      <w:r w:rsidRPr="00E06806">
        <w:rPr>
          <w:rFonts w:cstheme="minorHAnsi"/>
          <w:w w:val="105"/>
        </w:rPr>
        <w:t>placement</w:t>
      </w:r>
      <w:r w:rsidRPr="005B326C">
        <w:rPr>
          <w:rFonts w:cstheme="minorHAnsi"/>
          <w:w w:val="105"/>
        </w:rPr>
        <w:t xml:space="preserve"> </w:t>
      </w:r>
      <w:r w:rsidRPr="00E06806">
        <w:rPr>
          <w:rFonts w:cstheme="minorHAnsi"/>
          <w:w w:val="105"/>
        </w:rPr>
        <w:t>services</w:t>
      </w:r>
      <w:r w:rsidRPr="005B326C">
        <w:rPr>
          <w:rFonts w:cstheme="minorHAnsi"/>
          <w:w w:val="105"/>
        </w:rPr>
        <w:t xml:space="preserve"> </w:t>
      </w:r>
      <w:r w:rsidRPr="00E06806">
        <w:rPr>
          <w:rFonts w:cstheme="minorHAnsi"/>
          <w:w w:val="105"/>
        </w:rPr>
        <w:t>provided</w:t>
      </w:r>
      <w:r w:rsidRPr="005B326C">
        <w:rPr>
          <w:rFonts w:cstheme="minorHAnsi"/>
          <w:w w:val="105"/>
        </w:rPr>
        <w:t xml:space="preserve"> </w:t>
      </w:r>
      <w:r w:rsidRPr="00E06806">
        <w:rPr>
          <w:rFonts w:cstheme="minorHAnsi"/>
          <w:w w:val="105"/>
        </w:rPr>
        <w:t>under</w:t>
      </w:r>
      <w:r w:rsidRPr="005B326C">
        <w:rPr>
          <w:rFonts w:cstheme="minorHAnsi"/>
          <w:w w:val="105"/>
        </w:rPr>
        <w:t xml:space="preserve"> </w:t>
      </w:r>
      <w:r w:rsidRPr="00E06806">
        <w:rPr>
          <w:rFonts w:cstheme="minorHAnsi"/>
          <w:w w:val="105"/>
        </w:rPr>
        <w:t>new</w:t>
      </w:r>
      <w:r w:rsidRPr="005B326C">
        <w:rPr>
          <w:rFonts w:cstheme="minorHAnsi"/>
          <w:w w:val="105"/>
        </w:rPr>
        <w:t xml:space="preserve"> </w:t>
      </w:r>
      <w:r w:rsidRPr="00E06806">
        <w:rPr>
          <w:rFonts w:cstheme="minorHAnsi"/>
          <w:w w:val="105"/>
        </w:rPr>
        <w:t>or</w:t>
      </w:r>
      <w:r w:rsidRPr="005B326C">
        <w:rPr>
          <w:rFonts w:cstheme="minorHAnsi"/>
          <w:w w:val="105"/>
        </w:rPr>
        <w:t xml:space="preserve"> </w:t>
      </w:r>
      <w:r w:rsidRPr="00E06806">
        <w:rPr>
          <w:rFonts w:cstheme="minorHAnsi"/>
          <w:w w:val="105"/>
        </w:rPr>
        <w:t>existing</w:t>
      </w:r>
      <w:r w:rsidRPr="005B326C">
        <w:rPr>
          <w:rFonts w:cstheme="minorHAnsi"/>
          <w:w w:val="105"/>
        </w:rPr>
        <w:t xml:space="preserve"> </w:t>
      </w:r>
      <w:r w:rsidRPr="00E06806">
        <w:rPr>
          <w:rFonts w:cstheme="minorHAnsi"/>
          <w:w w:val="105"/>
        </w:rPr>
        <w:t>qualified</w:t>
      </w:r>
      <w:r w:rsidRPr="005B326C">
        <w:rPr>
          <w:rFonts w:cstheme="minorHAnsi"/>
          <w:w w:val="105"/>
        </w:rPr>
        <w:t xml:space="preserve"> </w:t>
      </w:r>
      <w:r w:rsidRPr="00E06806">
        <w:rPr>
          <w:rFonts w:cstheme="minorHAnsi"/>
          <w:w w:val="105"/>
        </w:rPr>
        <w:t>job</w:t>
      </w:r>
      <w:r w:rsidRPr="005B326C">
        <w:rPr>
          <w:rFonts w:cstheme="minorHAnsi"/>
          <w:w w:val="105"/>
        </w:rPr>
        <w:t xml:space="preserve"> </w:t>
      </w:r>
      <w:r w:rsidRPr="00E06806">
        <w:rPr>
          <w:rFonts w:cstheme="minorHAnsi"/>
          <w:w w:val="105"/>
        </w:rPr>
        <w:t>training</w:t>
      </w:r>
      <w:r w:rsidRPr="005B326C">
        <w:rPr>
          <w:rFonts w:cstheme="minorHAnsi"/>
          <w:w w:val="105"/>
        </w:rPr>
        <w:t xml:space="preserve"> </w:t>
      </w:r>
      <w:r w:rsidRPr="00E06806">
        <w:rPr>
          <w:rFonts w:cstheme="minorHAnsi"/>
          <w:w w:val="105"/>
        </w:rPr>
        <w:t>programs</w:t>
      </w:r>
      <w:r w:rsidR="00B40139" w:rsidRPr="00E06806">
        <w:rPr>
          <w:rFonts w:cstheme="minorHAnsi"/>
          <w:w w:val="105"/>
        </w:rPr>
        <w:t>. E</w:t>
      </w:r>
      <w:r w:rsidRPr="00E06806">
        <w:rPr>
          <w:rFonts w:cstheme="minorHAnsi"/>
          <w:w w:val="105"/>
        </w:rPr>
        <w:t>ligible</w:t>
      </w:r>
      <w:r w:rsidRPr="005B326C">
        <w:rPr>
          <w:rFonts w:cstheme="minorHAnsi"/>
          <w:w w:val="105"/>
        </w:rPr>
        <w:t xml:space="preserve"> </w:t>
      </w:r>
      <w:r w:rsidRPr="00E06806">
        <w:rPr>
          <w:rFonts w:cstheme="minorHAnsi"/>
          <w:w w:val="105"/>
        </w:rPr>
        <w:t>veterans</w:t>
      </w:r>
      <w:r w:rsidRPr="005B326C">
        <w:rPr>
          <w:rFonts w:cstheme="minorHAnsi"/>
          <w:w w:val="105"/>
        </w:rPr>
        <w:t xml:space="preserve"> </w:t>
      </w:r>
      <w:r w:rsidRPr="00E06806">
        <w:rPr>
          <w:rFonts w:cstheme="minorHAnsi"/>
          <w:w w:val="105"/>
        </w:rPr>
        <w:t>or</w:t>
      </w:r>
      <w:r w:rsidRPr="005B326C">
        <w:rPr>
          <w:rFonts w:cstheme="minorHAnsi"/>
          <w:w w:val="105"/>
        </w:rPr>
        <w:t xml:space="preserve"> </w:t>
      </w:r>
      <w:r w:rsidRPr="00E06806">
        <w:rPr>
          <w:rFonts w:cstheme="minorHAnsi"/>
          <w:w w:val="105"/>
        </w:rPr>
        <w:t>covered</w:t>
      </w:r>
      <w:r w:rsidRPr="005B326C">
        <w:rPr>
          <w:rFonts w:cstheme="minorHAnsi"/>
          <w:w w:val="105"/>
        </w:rPr>
        <w:t xml:space="preserve"> </w:t>
      </w:r>
      <w:r w:rsidRPr="00E06806">
        <w:rPr>
          <w:rFonts w:cstheme="minorHAnsi"/>
          <w:w w:val="105"/>
        </w:rPr>
        <w:t>persons</w:t>
      </w:r>
      <w:r w:rsidRPr="005B326C">
        <w:rPr>
          <w:rFonts w:cstheme="minorHAnsi"/>
          <w:w w:val="105"/>
        </w:rPr>
        <w:t xml:space="preserve"> </w:t>
      </w:r>
      <w:r w:rsidRPr="00E06806">
        <w:rPr>
          <w:rFonts w:cstheme="minorHAnsi"/>
          <w:w w:val="105"/>
        </w:rPr>
        <w:t>shall</w:t>
      </w:r>
      <w:r w:rsidRPr="005B326C">
        <w:rPr>
          <w:rFonts w:cstheme="minorHAnsi"/>
          <w:w w:val="105"/>
        </w:rPr>
        <w:t xml:space="preserve"> </w:t>
      </w:r>
      <w:r w:rsidRPr="00E06806">
        <w:rPr>
          <w:rFonts w:cstheme="minorHAnsi"/>
          <w:w w:val="105"/>
        </w:rPr>
        <w:t>receive</w:t>
      </w:r>
      <w:r w:rsidRPr="005B326C">
        <w:rPr>
          <w:rFonts w:cstheme="minorHAnsi"/>
          <w:w w:val="105"/>
        </w:rPr>
        <w:t xml:space="preserve"> </w:t>
      </w:r>
      <w:r w:rsidRPr="00E06806">
        <w:rPr>
          <w:rFonts w:cstheme="minorHAnsi"/>
          <w:w w:val="105"/>
        </w:rPr>
        <w:t>access</w:t>
      </w:r>
      <w:r w:rsidRPr="005B326C">
        <w:rPr>
          <w:rFonts w:cstheme="minorHAnsi"/>
          <w:w w:val="105"/>
        </w:rPr>
        <w:t xml:space="preserve"> </w:t>
      </w:r>
      <w:r w:rsidRPr="00E06806">
        <w:rPr>
          <w:rFonts w:cstheme="minorHAnsi"/>
          <w:w w:val="105"/>
        </w:rPr>
        <w:t>to</w:t>
      </w:r>
      <w:r w:rsidRPr="005B326C">
        <w:rPr>
          <w:rFonts w:cstheme="minorHAnsi"/>
          <w:w w:val="105"/>
        </w:rPr>
        <w:t xml:space="preserve"> </w:t>
      </w:r>
      <w:r w:rsidRPr="00E06806">
        <w:rPr>
          <w:rFonts w:cstheme="minorHAnsi"/>
          <w:w w:val="105"/>
        </w:rPr>
        <w:t>the</w:t>
      </w:r>
      <w:r w:rsidRPr="005B326C">
        <w:rPr>
          <w:rFonts w:cstheme="minorHAnsi"/>
          <w:w w:val="105"/>
        </w:rPr>
        <w:t xml:space="preserve"> </w:t>
      </w:r>
      <w:r w:rsidRPr="00E06806">
        <w:rPr>
          <w:rFonts w:cstheme="minorHAnsi"/>
          <w:w w:val="105"/>
        </w:rPr>
        <w:t>service</w:t>
      </w:r>
      <w:r w:rsidRPr="005B326C">
        <w:rPr>
          <w:rFonts w:cstheme="minorHAnsi"/>
          <w:w w:val="105"/>
        </w:rPr>
        <w:t xml:space="preserve"> </w:t>
      </w:r>
      <w:r w:rsidRPr="00E06806">
        <w:rPr>
          <w:rFonts w:cstheme="minorHAnsi"/>
          <w:w w:val="105"/>
        </w:rPr>
        <w:t>or</w:t>
      </w:r>
      <w:r w:rsidRPr="005B326C">
        <w:rPr>
          <w:rFonts w:cstheme="minorHAnsi"/>
          <w:w w:val="105"/>
        </w:rPr>
        <w:t xml:space="preserve"> </w:t>
      </w:r>
      <w:r w:rsidRPr="00E06806">
        <w:rPr>
          <w:rFonts w:cstheme="minorHAnsi"/>
          <w:w w:val="105"/>
        </w:rPr>
        <w:t>resources</w:t>
      </w:r>
      <w:r w:rsidRPr="005B326C">
        <w:rPr>
          <w:rFonts w:cstheme="minorHAnsi"/>
          <w:w w:val="105"/>
        </w:rPr>
        <w:t xml:space="preserve"> </w:t>
      </w:r>
      <w:r w:rsidR="00B40139" w:rsidRPr="00E06806">
        <w:rPr>
          <w:rFonts w:cstheme="minorHAnsi"/>
          <w:w w:val="105"/>
        </w:rPr>
        <w:t xml:space="preserve">before </w:t>
      </w:r>
      <w:r w:rsidRPr="00E06806">
        <w:rPr>
          <w:rFonts w:cstheme="minorHAnsi"/>
          <w:w w:val="105"/>
        </w:rPr>
        <w:t>non-covered</w:t>
      </w:r>
      <w:r w:rsidRPr="005B326C">
        <w:rPr>
          <w:rFonts w:cstheme="minorHAnsi"/>
          <w:w w:val="105"/>
        </w:rPr>
        <w:t xml:space="preserve"> </w:t>
      </w:r>
      <w:r w:rsidRPr="00E06806">
        <w:rPr>
          <w:rFonts w:cstheme="minorHAnsi"/>
          <w:w w:val="105"/>
        </w:rPr>
        <w:t>person</w:t>
      </w:r>
      <w:r w:rsidR="00B40139" w:rsidRPr="00E06806">
        <w:rPr>
          <w:rFonts w:cstheme="minorHAnsi"/>
          <w:w w:val="105"/>
        </w:rPr>
        <w:t>s</w:t>
      </w:r>
      <w:r w:rsidRPr="00E06806">
        <w:rPr>
          <w:rFonts w:cstheme="minorHAnsi"/>
          <w:w w:val="105"/>
        </w:rPr>
        <w:t>.</w:t>
      </w:r>
      <w:r w:rsidR="00B40139" w:rsidRPr="00E06806">
        <w:rPr>
          <w:rFonts w:cstheme="minorHAnsi"/>
          <w:w w:val="105"/>
        </w:rPr>
        <w:t xml:space="preserve"> </w:t>
      </w:r>
      <w:r w:rsidRPr="005B326C">
        <w:rPr>
          <w:rFonts w:cstheme="minorHAnsi"/>
          <w:w w:val="105"/>
        </w:rPr>
        <w:t xml:space="preserve">If the service or resource is limited, the veteran or covered person receives access to the service or resource instead of or before the non-covered person. Services can range from basic functions of the CareerSource Florida </w:t>
      </w:r>
      <w:r w:rsidR="003E4D10" w:rsidRPr="005B326C">
        <w:rPr>
          <w:rFonts w:cstheme="minorHAnsi"/>
          <w:w w:val="105"/>
        </w:rPr>
        <w:t>network</w:t>
      </w:r>
      <w:r w:rsidRPr="005B326C">
        <w:rPr>
          <w:rFonts w:cstheme="minorHAnsi"/>
          <w:w w:val="105"/>
        </w:rPr>
        <w:t>, such as assistance with job search and identification of needed skills, to more customized initiatives such as creating career pathways, with corresponding competency assessments and training opportunities.</w:t>
      </w:r>
    </w:p>
    <w:p w14:paraId="67FE45F9" w14:textId="77777777" w:rsidR="00636965" w:rsidRDefault="00636965" w:rsidP="00D63204">
      <w:pPr>
        <w:widowControl w:val="0"/>
        <w:spacing w:after="0" w:line="240" w:lineRule="auto"/>
        <w:ind w:left="107"/>
        <w:rPr>
          <w:rFonts w:cstheme="minorHAnsi"/>
          <w:w w:val="105"/>
        </w:rPr>
      </w:pPr>
    </w:p>
    <w:p w14:paraId="33C83A03" w14:textId="48FC8C2C" w:rsidR="005B326C" w:rsidRDefault="00EA7458" w:rsidP="00D63204">
      <w:pPr>
        <w:widowControl w:val="0"/>
        <w:spacing w:after="0" w:line="240" w:lineRule="auto"/>
        <w:ind w:left="107"/>
        <w:rPr>
          <w:rFonts w:cstheme="minorHAnsi"/>
          <w:w w:val="105"/>
        </w:rPr>
      </w:pPr>
      <w:r w:rsidRPr="005B326C">
        <w:rPr>
          <w:rFonts w:cstheme="minorHAnsi"/>
          <w:w w:val="105"/>
        </w:rPr>
        <w:t xml:space="preserve">To </w:t>
      </w:r>
      <w:r w:rsidRPr="00E06806">
        <w:rPr>
          <w:rFonts w:cstheme="minorHAnsi"/>
          <w:w w:val="105"/>
        </w:rPr>
        <w:t>accommodate</w:t>
      </w:r>
      <w:r w:rsidRPr="005B326C">
        <w:rPr>
          <w:rFonts w:cstheme="minorHAnsi"/>
          <w:w w:val="105"/>
        </w:rPr>
        <w:t xml:space="preserve"> </w:t>
      </w:r>
      <w:r w:rsidRPr="00E06806">
        <w:rPr>
          <w:rFonts w:cstheme="minorHAnsi"/>
          <w:w w:val="105"/>
        </w:rPr>
        <w:t>Priority</w:t>
      </w:r>
      <w:r w:rsidRPr="005B326C">
        <w:rPr>
          <w:rFonts w:cstheme="minorHAnsi"/>
          <w:w w:val="105"/>
        </w:rPr>
        <w:t xml:space="preserve"> </w:t>
      </w:r>
      <w:r w:rsidRPr="00E06806">
        <w:rPr>
          <w:rFonts w:cstheme="minorHAnsi"/>
          <w:w w:val="105"/>
        </w:rPr>
        <w:t>of</w:t>
      </w:r>
      <w:r w:rsidRPr="005B326C">
        <w:rPr>
          <w:rFonts w:cstheme="minorHAnsi"/>
          <w:w w:val="105"/>
        </w:rPr>
        <w:t xml:space="preserve"> </w:t>
      </w:r>
      <w:r w:rsidRPr="00E06806">
        <w:rPr>
          <w:rFonts w:cstheme="minorHAnsi"/>
          <w:w w:val="105"/>
        </w:rPr>
        <w:t>Service</w:t>
      </w:r>
      <w:r w:rsidRPr="005B326C">
        <w:rPr>
          <w:rFonts w:cstheme="minorHAnsi"/>
          <w:w w:val="105"/>
        </w:rPr>
        <w:t xml:space="preserve"> </w:t>
      </w:r>
      <w:r w:rsidRPr="00E06806">
        <w:rPr>
          <w:rFonts w:cstheme="minorHAnsi"/>
          <w:w w:val="105"/>
        </w:rPr>
        <w:t>at</w:t>
      </w:r>
      <w:r w:rsidRPr="005B326C">
        <w:rPr>
          <w:rFonts w:cstheme="minorHAnsi"/>
          <w:w w:val="105"/>
        </w:rPr>
        <w:t xml:space="preserve"> </w:t>
      </w:r>
      <w:r w:rsidRPr="00E06806">
        <w:rPr>
          <w:rFonts w:cstheme="minorHAnsi"/>
          <w:w w:val="105"/>
        </w:rPr>
        <w:t>point</w:t>
      </w:r>
      <w:r w:rsidRPr="005B326C">
        <w:rPr>
          <w:rFonts w:cstheme="minorHAnsi"/>
          <w:w w:val="105"/>
        </w:rPr>
        <w:t xml:space="preserve"> </w:t>
      </w:r>
      <w:r w:rsidRPr="00E06806">
        <w:rPr>
          <w:rFonts w:cstheme="minorHAnsi"/>
          <w:w w:val="105"/>
        </w:rPr>
        <w:t>of</w:t>
      </w:r>
      <w:r w:rsidRPr="005B326C">
        <w:rPr>
          <w:rFonts w:cstheme="minorHAnsi"/>
          <w:w w:val="105"/>
        </w:rPr>
        <w:t xml:space="preserve"> entry, </w:t>
      </w:r>
      <w:r w:rsidR="00B40139" w:rsidRPr="005B326C">
        <w:rPr>
          <w:rFonts w:cstheme="minorHAnsi"/>
          <w:w w:val="105"/>
        </w:rPr>
        <w:t xml:space="preserve">the vendor, </w:t>
      </w:r>
      <w:r w:rsidRPr="00E06806">
        <w:rPr>
          <w:rFonts w:cstheme="minorHAnsi"/>
          <w:w w:val="105"/>
        </w:rPr>
        <w:t>Geographic</w:t>
      </w:r>
      <w:r w:rsidRPr="005B326C">
        <w:rPr>
          <w:rFonts w:cstheme="minorHAnsi"/>
          <w:w w:val="105"/>
        </w:rPr>
        <w:t xml:space="preserve"> </w:t>
      </w:r>
      <w:r w:rsidRPr="00E06806">
        <w:rPr>
          <w:rFonts w:cstheme="minorHAnsi"/>
          <w:w w:val="105"/>
        </w:rPr>
        <w:t>Solutions</w:t>
      </w:r>
      <w:r w:rsidR="00A82169">
        <w:rPr>
          <w:rFonts w:cstheme="minorHAnsi"/>
          <w:w w:val="105"/>
        </w:rPr>
        <w:t>,</w:t>
      </w:r>
      <w:r w:rsidRPr="005B326C">
        <w:rPr>
          <w:rFonts w:cstheme="minorHAnsi"/>
          <w:w w:val="105"/>
        </w:rPr>
        <w:t xml:space="preserve"> </w:t>
      </w:r>
      <w:r w:rsidRPr="00E06806">
        <w:rPr>
          <w:rFonts w:cstheme="minorHAnsi"/>
          <w:w w:val="105"/>
        </w:rPr>
        <w:t>implemented</w:t>
      </w:r>
      <w:r w:rsidRPr="005B326C">
        <w:rPr>
          <w:rFonts w:cstheme="minorHAnsi"/>
          <w:w w:val="105"/>
        </w:rPr>
        <w:t xml:space="preserve"> </w:t>
      </w:r>
      <w:r w:rsidRPr="00E06806">
        <w:rPr>
          <w:rFonts w:cstheme="minorHAnsi"/>
          <w:w w:val="105"/>
        </w:rPr>
        <w:t>changes</w:t>
      </w:r>
      <w:r w:rsidRPr="005B326C">
        <w:rPr>
          <w:rFonts w:cstheme="minorHAnsi"/>
          <w:w w:val="105"/>
        </w:rPr>
        <w:t xml:space="preserve"> </w:t>
      </w:r>
      <w:r w:rsidRPr="00E06806">
        <w:rPr>
          <w:rFonts w:cstheme="minorHAnsi"/>
          <w:w w:val="105"/>
        </w:rPr>
        <w:t>to</w:t>
      </w:r>
      <w:r w:rsidRPr="005B326C">
        <w:rPr>
          <w:rFonts w:cstheme="minorHAnsi"/>
          <w:w w:val="105"/>
        </w:rPr>
        <w:t xml:space="preserve"> </w:t>
      </w:r>
      <w:r w:rsidR="00B40139" w:rsidRPr="00E06806">
        <w:rPr>
          <w:rFonts w:cstheme="minorHAnsi"/>
          <w:w w:val="105"/>
        </w:rPr>
        <w:t xml:space="preserve">Employ Florida </w:t>
      </w:r>
      <w:r w:rsidRPr="00E06806">
        <w:rPr>
          <w:rFonts w:cstheme="minorHAnsi"/>
          <w:w w:val="105"/>
        </w:rPr>
        <w:t>to</w:t>
      </w:r>
      <w:r w:rsidRPr="005B326C">
        <w:rPr>
          <w:rFonts w:cstheme="minorHAnsi"/>
          <w:w w:val="105"/>
        </w:rPr>
        <w:t xml:space="preserve"> </w:t>
      </w:r>
      <w:r w:rsidRPr="00E06806">
        <w:rPr>
          <w:rFonts w:cstheme="minorHAnsi"/>
          <w:w w:val="105"/>
        </w:rPr>
        <w:t>accommodate</w:t>
      </w:r>
      <w:r w:rsidRPr="005B326C">
        <w:rPr>
          <w:rFonts w:cstheme="minorHAnsi"/>
          <w:w w:val="105"/>
        </w:rPr>
        <w:t xml:space="preserve"> </w:t>
      </w:r>
      <w:r w:rsidRPr="00E06806">
        <w:rPr>
          <w:rFonts w:cstheme="minorHAnsi"/>
          <w:w w:val="105"/>
        </w:rPr>
        <w:t>changes</w:t>
      </w:r>
      <w:r w:rsidRPr="005B326C">
        <w:rPr>
          <w:rFonts w:cstheme="minorHAnsi"/>
          <w:w w:val="105"/>
        </w:rPr>
        <w:t xml:space="preserve"> </w:t>
      </w:r>
      <w:r w:rsidRPr="00E06806">
        <w:rPr>
          <w:rFonts w:cstheme="minorHAnsi"/>
          <w:w w:val="105"/>
        </w:rPr>
        <w:t>in</w:t>
      </w:r>
      <w:r w:rsidRPr="005B326C">
        <w:rPr>
          <w:rFonts w:cstheme="minorHAnsi"/>
          <w:w w:val="105"/>
        </w:rPr>
        <w:t xml:space="preserve"> </w:t>
      </w:r>
      <w:r w:rsidRPr="00E06806">
        <w:rPr>
          <w:rFonts w:cstheme="minorHAnsi"/>
          <w:w w:val="105"/>
        </w:rPr>
        <w:t>the</w:t>
      </w:r>
      <w:r w:rsidRPr="005B326C">
        <w:rPr>
          <w:rFonts w:cstheme="minorHAnsi"/>
          <w:w w:val="105"/>
        </w:rPr>
        <w:t xml:space="preserve"> </w:t>
      </w:r>
      <w:r w:rsidRPr="00E06806">
        <w:rPr>
          <w:rFonts w:cstheme="minorHAnsi"/>
          <w:w w:val="105"/>
        </w:rPr>
        <w:t>Priority</w:t>
      </w:r>
      <w:r w:rsidRPr="005B326C">
        <w:rPr>
          <w:rFonts w:cstheme="minorHAnsi"/>
          <w:w w:val="105"/>
        </w:rPr>
        <w:t xml:space="preserve"> </w:t>
      </w:r>
      <w:r w:rsidRPr="00E06806">
        <w:rPr>
          <w:rFonts w:cstheme="minorHAnsi"/>
          <w:w w:val="105"/>
        </w:rPr>
        <w:t>of</w:t>
      </w:r>
      <w:r w:rsidRPr="005B326C">
        <w:rPr>
          <w:rFonts w:cstheme="minorHAnsi"/>
          <w:w w:val="105"/>
        </w:rPr>
        <w:t xml:space="preserve"> </w:t>
      </w:r>
      <w:r w:rsidRPr="00E06806">
        <w:rPr>
          <w:rFonts w:cstheme="minorHAnsi"/>
          <w:w w:val="105"/>
        </w:rPr>
        <w:t>Service</w:t>
      </w:r>
      <w:r w:rsidRPr="005B326C">
        <w:rPr>
          <w:rFonts w:cstheme="minorHAnsi"/>
          <w:w w:val="105"/>
        </w:rPr>
        <w:t xml:space="preserve"> </w:t>
      </w:r>
      <w:r w:rsidRPr="00E06806">
        <w:rPr>
          <w:rFonts w:cstheme="minorHAnsi"/>
          <w:w w:val="105"/>
        </w:rPr>
        <w:t>to</w:t>
      </w:r>
      <w:r w:rsidRPr="005B326C">
        <w:rPr>
          <w:rFonts w:cstheme="minorHAnsi"/>
          <w:w w:val="105"/>
        </w:rPr>
        <w:t xml:space="preserve"> </w:t>
      </w:r>
      <w:r w:rsidRPr="00E06806">
        <w:rPr>
          <w:rFonts w:cstheme="minorHAnsi"/>
          <w:w w:val="105"/>
        </w:rPr>
        <w:t>veterans.</w:t>
      </w:r>
      <w:r w:rsidRPr="005B326C">
        <w:rPr>
          <w:rFonts w:cstheme="minorHAnsi"/>
          <w:w w:val="105"/>
        </w:rPr>
        <w:t xml:space="preserve"> </w:t>
      </w:r>
      <w:r w:rsidRPr="00E06806">
        <w:rPr>
          <w:rFonts w:cstheme="minorHAnsi"/>
          <w:w w:val="105"/>
        </w:rPr>
        <w:t>A</w:t>
      </w:r>
      <w:r w:rsidRPr="005B326C">
        <w:rPr>
          <w:rFonts w:cstheme="minorHAnsi"/>
          <w:w w:val="105"/>
        </w:rPr>
        <w:t xml:space="preserve"> </w:t>
      </w:r>
      <w:r w:rsidRPr="00E06806">
        <w:rPr>
          <w:rFonts w:cstheme="minorHAnsi"/>
          <w:w w:val="105"/>
        </w:rPr>
        <w:t>“pop-up”</w:t>
      </w:r>
      <w:r w:rsidRPr="005B326C">
        <w:rPr>
          <w:rFonts w:cstheme="minorHAnsi"/>
          <w:w w:val="105"/>
        </w:rPr>
        <w:t xml:space="preserve"> </w:t>
      </w:r>
      <w:r w:rsidRPr="00E06806">
        <w:rPr>
          <w:rFonts w:cstheme="minorHAnsi"/>
          <w:w w:val="105"/>
        </w:rPr>
        <w:t>targets</w:t>
      </w:r>
      <w:r w:rsidRPr="005B326C">
        <w:rPr>
          <w:rFonts w:cstheme="minorHAnsi"/>
          <w:w w:val="105"/>
        </w:rPr>
        <w:t xml:space="preserve"> </w:t>
      </w:r>
      <w:r w:rsidRPr="00E06806">
        <w:rPr>
          <w:rFonts w:cstheme="minorHAnsi"/>
          <w:w w:val="105"/>
        </w:rPr>
        <w:t>newly</w:t>
      </w:r>
      <w:r w:rsidRPr="005B326C">
        <w:rPr>
          <w:rFonts w:cstheme="minorHAnsi"/>
          <w:w w:val="105"/>
        </w:rPr>
        <w:t xml:space="preserve"> </w:t>
      </w:r>
      <w:r w:rsidRPr="00E06806">
        <w:rPr>
          <w:rFonts w:cstheme="minorHAnsi"/>
          <w:w w:val="105"/>
        </w:rPr>
        <w:t>registering</w:t>
      </w:r>
      <w:r w:rsidRPr="005B326C">
        <w:rPr>
          <w:rFonts w:cstheme="minorHAnsi"/>
          <w:w w:val="105"/>
        </w:rPr>
        <w:t xml:space="preserve"> </w:t>
      </w:r>
      <w:r w:rsidRPr="00E06806">
        <w:rPr>
          <w:rFonts w:cstheme="minorHAnsi"/>
          <w:w w:val="105"/>
        </w:rPr>
        <w:t>veterans</w:t>
      </w:r>
      <w:r w:rsidRPr="005B326C">
        <w:rPr>
          <w:rFonts w:cstheme="minorHAnsi"/>
          <w:w w:val="105"/>
        </w:rPr>
        <w:t xml:space="preserve"> </w:t>
      </w:r>
      <w:r w:rsidRPr="00E06806">
        <w:rPr>
          <w:rFonts w:cstheme="minorHAnsi"/>
          <w:w w:val="105"/>
        </w:rPr>
        <w:t>and</w:t>
      </w:r>
      <w:r w:rsidRPr="005B326C">
        <w:rPr>
          <w:rFonts w:cstheme="minorHAnsi"/>
          <w:w w:val="105"/>
        </w:rPr>
        <w:t xml:space="preserve"> </w:t>
      </w:r>
      <w:r w:rsidRPr="00E06806">
        <w:rPr>
          <w:rFonts w:cstheme="minorHAnsi"/>
          <w:w w:val="105"/>
        </w:rPr>
        <w:t>covered</w:t>
      </w:r>
      <w:r w:rsidRPr="005B326C">
        <w:rPr>
          <w:rFonts w:cstheme="minorHAnsi"/>
          <w:w w:val="105"/>
        </w:rPr>
        <w:t xml:space="preserve"> </w:t>
      </w:r>
      <w:r w:rsidRPr="00E06806">
        <w:rPr>
          <w:rFonts w:cstheme="minorHAnsi"/>
          <w:w w:val="105"/>
        </w:rPr>
        <w:t>persons.</w:t>
      </w:r>
      <w:r w:rsidRPr="005B326C">
        <w:rPr>
          <w:rFonts w:cstheme="minorHAnsi"/>
          <w:w w:val="105"/>
        </w:rPr>
        <w:t xml:space="preserve"> </w:t>
      </w:r>
      <w:r w:rsidR="00B40139" w:rsidRPr="00E06806">
        <w:rPr>
          <w:rFonts w:cstheme="minorHAnsi"/>
          <w:w w:val="105"/>
        </w:rPr>
        <w:t>T</w:t>
      </w:r>
      <w:r w:rsidRPr="00E06806">
        <w:rPr>
          <w:rFonts w:cstheme="minorHAnsi"/>
          <w:w w:val="105"/>
        </w:rPr>
        <w:t>his</w:t>
      </w:r>
      <w:r w:rsidRPr="005B326C">
        <w:rPr>
          <w:rFonts w:cstheme="minorHAnsi"/>
          <w:w w:val="105"/>
        </w:rPr>
        <w:t xml:space="preserve"> </w:t>
      </w:r>
      <w:r w:rsidRPr="00E06806">
        <w:rPr>
          <w:rFonts w:cstheme="minorHAnsi"/>
          <w:w w:val="105"/>
        </w:rPr>
        <w:t>pop-up</w:t>
      </w:r>
      <w:r w:rsidRPr="005B326C">
        <w:rPr>
          <w:rFonts w:cstheme="minorHAnsi"/>
          <w:w w:val="105"/>
        </w:rPr>
        <w:t xml:space="preserve"> </w:t>
      </w:r>
      <w:r w:rsidR="00B40139" w:rsidRPr="00E06806">
        <w:rPr>
          <w:rFonts w:cstheme="minorHAnsi"/>
          <w:w w:val="105"/>
        </w:rPr>
        <w:t xml:space="preserve">helps </w:t>
      </w:r>
      <w:r w:rsidRPr="00E06806">
        <w:rPr>
          <w:rFonts w:cstheme="minorHAnsi"/>
          <w:w w:val="105"/>
        </w:rPr>
        <w:t>ensure</w:t>
      </w:r>
      <w:r w:rsidRPr="005B326C">
        <w:rPr>
          <w:rFonts w:cstheme="minorHAnsi"/>
          <w:w w:val="105"/>
        </w:rPr>
        <w:t xml:space="preserve"> </w:t>
      </w:r>
      <w:r w:rsidRPr="00E06806">
        <w:rPr>
          <w:rFonts w:cstheme="minorHAnsi"/>
          <w:w w:val="105"/>
        </w:rPr>
        <w:t>newly</w:t>
      </w:r>
      <w:r w:rsidRPr="005B326C">
        <w:rPr>
          <w:rFonts w:cstheme="minorHAnsi"/>
          <w:w w:val="105"/>
        </w:rPr>
        <w:t xml:space="preserve"> </w:t>
      </w:r>
      <w:r w:rsidRPr="00E06806">
        <w:rPr>
          <w:rFonts w:cstheme="minorHAnsi"/>
          <w:w w:val="105"/>
        </w:rPr>
        <w:t>registered</w:t>
      </w:r>
      <w:r w:rsidRPr="005B326C">
        <w:rPr>
          <w:rFonts w:cstheme="minorHAnsi"/>
          <w:w w:val="105"/>
        </w:rPr>
        <w:t xml:space="preserve"> </w:t>
      </w:r>
      <w:r w:rsidRPr="00E06806">
        <w:rPr>
          <w:rFonts w:cstheme="minorHAnsi"/>
          <w:w w:val="105"/>
        </w:rPr>
        <w:t>veterans</w:t>
      </w:r>
      <w:r w:rsidRPr="005B326C">
        <w:rPr>
          <w:rFonts w:cstheme="minorHAnsi"/>
          <w:w w:val="105"/>
        </w:rPr>
        <w:t xml:space="preserve"> </w:t>
      </w:r>
      <w:r w:rsidRPr="00E06806">
        <w:rPr>
          <w:rFonts w:cstheme="minorHAnsi"/>
          <w:w w:val="105"/>
        </w:rPr>
        <w:t>and</w:t>
      </w:r>
      <w:r w:rsidRPr="005B326C">
        <w:rPr>
          <w:rFonts w:cstheme="minorHAnsi"/>
          <w:w w:val="105"/>
        </w:rPr>
        <w:t xml:space="preserve"> </w:t>
      </w:r>
      <w:r w:rsidRPr="00E06806">
        <w:rPr>
          <w:rFonts w:cstheme="minorHAnsi"/>
          <w:w w:val="105"/>
        </w:rPr>
        <w:t>covered</w:t>
      </w:r>
      <w:r w:rsidRPr="005B326C">
        <w:rPr>
          <w:rFonts w:cstheme="minorHAnsi"/>
          <w:w w:val="105"/>
        </w:rPr>
        <w:t xml:space="preserve"> </w:t>
      </w:r>
      <w:r w:rsidRPr="00E06806">
        <w:rPr>
          <w:rFonts w:cstheme="minorHAnsi"/>
          <w:w w:val="105"/>
        </w:rPr>
        <w:t>persons</w:t>
      </w:r>
      <w:r w:rsidRPr="005B326C">
        <w:rPr>
          <w:rFonts w:cstheme="minorHAnsi"/>
          <w:w w:val="105"/>
        </w:rPr>
        <w:t xml:space="preserve"> </w:t>
      </w:r>
      <w:r w:rsidRPr="00E06806">
        <w:rPr>
          <w:rFonts w:cstheme="minorHAnsi"/>
          <w:w w:val="105"/>
        </w:rPr>
        <w:t>are</w:t>
      </w:r>
      <w:r w:rsidRPr="005B326C">
        <w:rPr>
          <w:rFonts w:cstheme="minorHAnsi"/>
          <w:w w:val="105"/>
        </w:rPr>
        <w:t xml:space="preserve"> </w:t>
      </w:r>
      <w:r w:rsidRPr="00E06806">
        <w:rPr>
          <w:rFonts w:cstheme="minorHAnsi"/>
          <w:w w:val="105"/>
        </w:rPr>
        <w:t>aware</w:t>
      </w:r>
      <w:r w:rsidRPr="005B326C">
        <w:rPr>
          <w:rFonts w:cstheme="minorHAnsi"/>
          <w:w w:val="105"/>
        </w:rPr>
        <w:t xml:space="preserve"> </w:t>
      </w:r>
      <w:r w:rsidRPr="00E06806">
        <w:rPr>
          <w:rFonts w:cstheme="minorHAnsi"/>
          <w:w w:val="105"/>
        </w:rPr>
        <w:t>of</w:t>
      </w:r>
      <w:r w:rsidRPr="005B326C">
        <w:rPr>
          <w:rFonts w:cstheme="minorHAnsi"/>
          <w:w w:val="105"/>
        </w:rPr>
        <w:t xml:space="preserve"> </w:t>
      </w:r>
      <w:r w:rsidRPr="00E06806">
        <w:rPr>
          <w:rFonts w:cstheme="minorHAnsi"/>
          <w:w w:val="105"/>
        </w:rPr>
        <w:t>their</w:t>
      </w:r>
      <w:r w:rsidRPr="005B326C">
        <w:rPr>
          <w:rFonts w:cstheme="minorHAnsi"/>
          <w:w w:val="105"/>
        </w:rPr>
        <w:t xml:space="preserve"> </w:t>
      </w:r>
      <w:r w:rsidRPr="00E06806">
        <w:rPr>
          <w:rFonts w:cstheme="minorHAnsi"/>
          <w:w w:val="105"/>
        </w:rPr>
        <w:t>entitlement</w:t>
      </w:r>
      <w:r w:rsidRPr="005B326C">
        <w:rPr>
          <w:rFonts w:cstheme="minorHAnsi"/>
          <w:w w:val="105"/>
        </w:rPr>
        <w:t xml:space="preserve"> </w:t>
      </w:r>
      <w:r w:rsidRPr="00E06806">
        <w:rPr>
          <w:rFonts w:cstheme="minorHAnsi"/>
          <w:w w:val="105"/>
        </w:rPr>
        <w:t>to</w:t>
      </w:r>
      <w:r w:rsidRPr="005B326C">
        <w:rPr>
          <w:rFonts w:cstheme="minorHAnsi"/>
          <w:w w:val="105"/>
        </w:rPr>
        <w:t xml:space="preserve"> </w:t>
      </w:r>
      <w:r w:rsidRPr="00E06806">
        <w:rPr>
          <w:rFonts w:cstheme="minorHAnsi"/>
          <w:w w:val="105"/>
        </w:rPr>
        <w:t>priority</w:t>
      </w:r>
      <w:r w:rsidRPr="005B326C">
        <w:rPr>
          <w:rFonts w:cstheme="minorHAnsi"/>
          <w:w w:val="105"/>
        </w:rPr>
        <w:t xml:space="preserve"> </w:t>
      </w:r>
      <w:r w:rsidRPr="00E06806">
        <w:rPr>
          <w:rFonts w:cstheme="minorHAnsi"/>
          <w:w w:val="105"/>
        </w:rPr>
        <w:t>of</w:t>
      </w:r>
      <w:r w:rsidRPr="005B326C">
        <w:rPr>
          <w:rFonts w:cstheme="minorHAnsi"/>
          <w:w w:val="105"/>
        </w:rPr>
        <w:t xml:space="preserve"> </w:t>
      </w:r>
      <w:r w:rsidRPr="00E06806">
        <w:rPr>
          <w:rFonts w:cstheme="minorHAnsi"/>
          <w:w w:val="105"/>
        </w:rPr>
        <w:t>services</w:t>
      </w:r>
      <w:r w:rsidRPr="005B326C">
        <w:rPr>
          <w:rFonts w:cstheme="minorHAnsi"/>
          <w:w w:val="105"/>
        </w:rPr>
        <w:t xml:space="preserve"> </w:t>
      </w:r>
      <w:r w:rsidRPr="00E06806">
        <w:rPr>
          <w:rFonts w:cstheme="minorHAnsi"/>
          <w:w w:val="105"/>
        </w:rPr>
        <w:t>and</w:t>
      </w:r>
      <w:r w:rsidRPr="005B326C">
        <w:rPr>
          <w:rFonts w:cstheme="minorHAnsi"/>
          <w:w w:val="105"/>
        </w:rPr>
        <w:t xml:space="preserve"> </w:t>
      </w:r>
      <w:r w:rsidRPr="00E06806">
        <w:rPr>
          <w:rFonts w:cstheme="minorHAnsi"/>
          <w:w w:val="105"/>
        </w:rPr>
        <w:t>the</w:t>
      </w:r>
      <w:r w:rsidRPr="005B326C">
        <w:rPr>
          <w:rFonts w:cstheme="minorHAnsi"/>
          <w:w w:val="105"/>
        </w:rPr>
        <w:t xml:space="preserve"> </w:t>
      </w:r>
      <w:r w:rsidRPr="00E06806">
        <w:rPr>
          <w:rFonts w:cstheme="minorHAnsi"/>
          <w:w w:val="105"/>
        </w:rPr>
        <w:t>types</w:t>
      </w:r>
      <w:r w:rsidRPr="005B326C">
        <w:rPr>
          <w:rFonts w:cstheme="minorHAnsi"/>
          <w:w w:val="105"/>
        </w:rPr>
        <w:t xml:space="preserve"> </w:t>
      </w:r>
      <w:r w:rsidRPr="00E06806">
        <w:rPr>
          <w:rFonts w:cstheme="minorHAnsi"/>
          <w:w w:val="105"/>
        </w:rPr>
        <w:t>of</w:t>
      </w:r>
      <w:r w:rsidRPr="005B326C">
        <w:rPr>
          <w:rFonts w:cstheme="minorHAnsi"/>
          <w:w w:val="105"/>
        </w:rPr>
        <w:t xml:space="preserve"> </w:t>
      </w:r>
      <w:r w:rsidRPr="00E06806">
        <w:rPr>
          <w:rFonts w:cstheme="minorHAnsi"/>
          <w:w w:val="105"/>
        </w:rPr>
        <w:t>services available under priority of service.</w:t>
      </w:r>
    </w:p>
    <w:p w14:paraId="427FF038" w14:textId="77777777" w:rsidR="005B326C" w:rsidRDefault="005B326C" w:rsidP="00D63204">
      <w:pPr>
        <w:widowControl w:val="0"/>
        <w:spacing w:after="0" w:line="240" w:lineRule="auto"/>
        <w:ind w:left="107"/>
        <w:rPr>
          <w:rFonts w:cstheme="minorHAnsi"/>
          <w:w w:val="105"/>
        </w:rPr>
      </w:pPr>
    </w:p>
    <w:p w14:paraId="50CDE25C" w14:textId="3C9BDD27" w:rsidR="00EA7458" w:rsidRPr="00E06806" w:rsidRDefault="00EA7458" w:rsidP="00D63204">
      <w:pPr>
        <w:widowControl w:val="0"/>
        <w:spacing w:after="0" w:line="240" w:lineRule="auto"/>
        <w:ind w:left="107"/>
        <w:rPr>
          <w:rFonts w:cstheme="minorHAnsi"/>
        </w:rPr>
      </w:pPr>
      <w:bookmarkStart w:id="93" w:name="_Hlk505120805"/>
      <w:bookmarkStart w:id="94" w:name="_Hlk503875694"/>
      <w:r w:rsidRPr="00E06806">
        <w:rPr>
          <w:rFonts w:cstheme="minorHAnsi"/>
          <w:b/>
          <w:bCs/>
          <w:color w:val="231F20"/>
          <w:w w:val="105"/>
        </w:rPr>
        <w:t>Monitoring Priority of Service</w:t>
      </w:r>
    </w:p>
    <w:p w14:paraId="4EF46B16" w14:textId="5085D8F5" w:rsidR="003E4D10" w:rsidRPr="00E06806" w:rsidRDefault="003E4D10" w:rsidP="00D63204">
      <w:pPr>
        <w:widowControl w:val="0"/>
        <w:spacing w:before="2" w:after="0" w:line="235" w:lineRule="auto"/>
        <w:ind w:left="107"/>
        <w:rPr>
          <w:rFonts w:cstheme="minorHAnsi"/>
        </w:rPr>
      </w:pPr>
      <w:r w:rsidRPr="00E06806">
        <w:rPr>
          <w:rFonts w:cstheme="minorHAnsi"/>
          <w:w w:val="105"/>
        </w:rPr>
        <w:t>A</w:t>
      </w:r>
      <w:r w:rsidRPr="00E06806">
        <w:rPr>
          <w:rFonts w:cstheme="minorHAnsi"/>
          <w:spacing w:val="14"/>
          <w:w w:val="105"/>
        </w:rPr>
        <w:t xml:space="preserve"> </w:t>
      </w:r>
      <w:r w:rsidRPr="00E06806">
        <w:rPr>
          <w:rFonts w:cstheme="minorHAnsi"/>
          <w:w w:val="105"/>
        </w:rPr>
        <w:t>veteran’s</w:t>
      </w:r>
      <w:r w:rsidRPr="00E06806">
        <w:rPr>
          <w:rFonts w:cstheme="minorHAnsi"/>
          <w:spacing w:val="14"/>
          <w:w w:val="105"/>
        </w:rPr>
        <w:t xml:space="preserve"> </w:t>
      </w:r>
      <w:r w:rsidRPr="00E06806">
        <w:rPr>
          <w:rFonts w:cstheme="minorHAnsi"/>
          <w:w w:val="105"/>
        </w:rPr>
        <w:t>self-registration</w:t>
      </w:r>
      <w:r w:rsidRPr="00E06806">
        <w:rPr>
          <w:rFonts w:cstheme="minorHAnsi"/>
          <w:spacing w:val="14"/>
          <w:w w:val="105"/>
        </w:rPr>
        <w:t xml:space="preserve"> </w:t>
      </w:r>
      <w:r w:rsidRPr="00E06806">
        <w:rPr>
          <w:rFonts w:cstheme="minorHAnsi"/>
          <w:w w:val="105"/>
        </w:rPr>
        <w:t>automatically</w:t>
      </w:r>
      <w:r w:rsidRPr="00E06806">
        <w:rPr>
          <w:rFonts w:cstheme="minorHAnsi"/>
          <w:spacing w:val="14"/>
          <w:w w:val="105"/>
        </w:rPr>
        <w:t xml:space="preserve"> </w:t>
      </w:r>
      <w:r w:rsidRPr="00E06806">
        <w:rPr>
          <w:rFonts w:cstheme="minorHAnsi"/>
          <w:w w:val="105"/>
        </w:rPr>
        <w:t>records</w:t>
      </w:r>
      <w:r w:rsidRPr="00E06806">
        <w:rPr>
          <w:rFonts w:cstheme="minorHAnsi"/>
          <w:spacing w:val="14"/>
          <w:w w:val="105"/>
        </w:rPr>
        <w:t xml:space="preserve"> </w:t>
      </w:r>
      <w:r w:rsidRPr="00E06806">
        <w:rPr>
          <w:rFonts w:cstheme="minorHAnsi"/>
          <w:w w:val="105"/>
        </w:rPr>
        <w:t>service</w:t>
      </w:r>
      <w:r w:rsidRPr="00E06806">
        <w:rPr>
          <w:rFonts w:cstheme="minorHAnsi"/>
          <w:spacing w:val="14"/>
          <w:w w:val="105"/>
        </w:rPr>
        <w:t xml:space="preserve"> </w:t>
      </w:r>
      <w:r w:rsidRPr="00E06806">
        <w:rPr>
          <w:rFonts w:cstheme="minorHAnsi"/>
          <w:w w:val="105"/>
        </w:rPr>
        <w:t>code</w:t>
      </w:r>
      <w:r w:rsidRPr="00E06806">
        <w:rPr>
          <w:rFonts w:cstheme="minorHAnsi"/>
          <w:spacing w:val="14"/>
          <w:w w:val="105"/>
        </w:rPr>
        <w:t xml:space="preserve"> </w:t>
      </w:r>
      <w:r w:rsidRPr="00E06806">
        <w:rPr>
          <w:rFonts w:cstheme="minorHAnsi"/>
          <w:w w:val="105"/>
        </w:rPr>
        <w:t>089,</w:t>
      </w:r>
      <w:r w:rsidRPr="00E06806">
        <w:rPr>
          <w:rFonts w:cstheme="minorHAnsi"/>
          <w:spacing w:val="14"/>
          <w:w w:val="105"/>
        </w:rPr>
        <w:t xml:space="preserve"> </w:t>
      </w:r>
      <w:r w:rsidRPr="00E06806">
        <w:rPr>
          <w:rFonts w:cstheme="minorHAnsi"/>
          <w:w w:val="105"/>
        </w:rPr>
        <w:t>“Notification</w:t>
      </w:r>
      <w:r w:rsidRPr="00E06806">
        <w:rPr>
          <w:rFonts w:cstheme="minorHAnsi"/>
          <w:spacing w:val="14"/>
          <w:w w:val="105"/>
        </w:rPr>
        <w:t xml:space="preserve"> </w:t>
      </w:r>
      <w:r w:rsidRPr="00E06806">
        <w:rPr>
          <w:rFonts w:cstheme="minorHAnsi"/>
          <w:w w:val="105"/>
        </w:rPr>
        <w:t>of</w:t>
      </w:r>
      <w:r w:rsidRPr="00E06806">
        <w:rPr>
          <w:rFonts w:cstheme="minorHAnsi"/>
          <w:spacing w:val="14"/>
          <w:w w:val="105"/>
        </w:rPr>
        <w:t xml:space="preserve"> </w:t>
      </w:r>
      <w:r w:rsidRPr="00E06806">
        <w:rPr>
          <w:rFonts w:cstheme="minorHAnsi"/>
          <w:w w:val="105"/>
        </w:rPr>
        <w:t>Veterans</w:t>
      </w:r>
      <w:r w:rsidRPr="00E06806">
        <w:rPr>
          <w:rFonts w:cstheme="minorHAnsi"/>
          <w:spacing w:val="14"/>
          <w:w w:val="105"/>
        </w:rPr>
        <w:t xml:space="preserve"> </w:t>
      </w:r>
      <w:r w:rsidRPr="00E06806">
        <w:rPr>
          <w:rFonts w:cstheme="minorHAnsi"/>
          <w:w w:val="105"/>
        </w:rPr>
        <w:t>Priority</w:t>
      </w:r>
      <w:r w:rsidRPr="00E06806">
        <w:rPr>
          <w:rFonts w:cstheme="minorHAnsi"/>
          <w:w w:val="102"/>
        </w:rPr>
        <w:t xml:space="preserve"> </w:t>
      </w:r>
      <w:r w:rsidRPr="00E06806">
        <w:rPr>
          <w:rFonts w:cstheme="minorHAnsi"/>
          <w:w w:val="105"/>
        </w:rPr>
        <w:t>of</w:t>
      </w:r>
      <w:r w:rsidRPr="00E06806">
        <w:rPr>
          <w:rFonts w:cstheme="minorHAnsi"/>
          <w:spacing w:val="9"/>
          <w:w w:val="105"/>
        </w:rPr>
        <w:t xml:space="preserve"> </w:t>
      </w:r>
      <w:r w:rsidRPr="00E06806">
        <w:rPr>
          <w:rFonts w:cstheme="minorHAnsi"/>
          <w:spacing w:val="-3"/>
          <w:w w:val="105"/>
        </w:rPr>
        <w:t xml:space="preserve">Service.” </w:t>
      </w:r>
      <w:r w:rsidRPr="00E06806">
        <w:rPr>
          <w:rFonts w:cstheme="minorHAnsi"/>
          <w:spacing w:val="21"/>
          <w:w w:val="105"/>
        </w:rPr>
        <w:t xml:space="preserve"> </w:t>
      </w:r>
      <w:r w:rsidRPr="00E06806">
        <w:rPr>
          <w:rFonts w:cstheme="minorHAnsi"/>
          <w:w w:val="105"/>
        </w:rPr>
        <w:t>A</w:t>
      </w:r>
      <w:r w:rsidRPr="00E06806">
        <w:rPr>
          <w:rFonts w:cstheme="minorHAnsi"/>
          <w:spacing w:val="9"/>
          <w:w w:val="105"/>
        </w:rPr>
        <w:t xml:space="preserve"> </w:t>
      </w:r>
      <w:r w:rsidRPr="00E06806">
        <w:rPr>
          <w:rFonts w:cstheme="minorHAnsi"/>
          <w:w w:val="105"/>
        </w:rPr>
        <w:t>manual</w:t>
      </w:r>
      <w:r w:rsidRPr="00E06806">
        <w:rPr>
          <w:rFonts w:cstheme="minorHAnsi"/>
          <w:spacing w:val="9"/>
          <w:w w:val="105"/>
        </w:rPr>
        <w:t xml:space="preserve"> </w:t>
      </w:r>
      <w:r w:rsidRPr="00E06806">
        <w:rPr>
          <w:rFonts w:cstheme="minorHAnsi"/>
          <w:w w:val="105"/>
        </w:rPr>
        <w:t>service</w:t>
      </w:r>
      <w:r w:rsidRPr="00E06806">
        <w:rPr>
          <w:rFonts w:cstheme="minorHAnsi"/>
          <w:spacing w:val="9"/>
          <w:w w:val="105"/>
        </w:rPr>
        <w:t xml:space="preserve"> </w:t>
      </w:r>
      <w:r w:rsidRPr="00E06806">
        <w:rPr>
          <w:rFonts w:cstheme="minorHAnsi"/>
          <w:w w:val="105"/>
        </w:rPr>
        <w:t>code</w:t>
      </w:r>
      <w:r w:rsidRPr="00E06806">
        <w:rPr>
          <w:rFonts w:cstheme="minorHAnsi"/>
          <w:spacing w:val="9"/>
          <w:w w:val="105"/>
        </w:rPr>
        <w:t xml:space="preserve"> </w:t>
      </w:r>
      <w:r w:rsidRPr="00E06806">
        <w:rPr>
          <w:rFonts w:cstheme="minorHAnsi"/>
          <w:w w:val="105"/>
        </w:rPr>
        <w:t>189</w:t>
      </w:r>
      <w:r w:rsidRPr="00E06806">
        <w:rPr>
          <w:rFonts w:cstheme="minorHAnsi"/>
          <w:spacing w:val="9"/>
          <w:w w:val="105"/>
        </w:rPr>
        <w:t xml:space="preserve"> </w:t>
      </w:r>
      <w:r w:rsidRPr="00E06806">
        <w:rPr>
          <w:rFonts w:cstheme="minorHAnsi"/>
          <w:w w:val="105"/>
        </w:rPr>
        <w:t>is used</w:t>
      </w:r>
      <w:r w:rsidRPr="00E06806">
        <w:rPr>
          <w:rFonts w:cstheme="minorHAnsi"/>
          <w:spacing w:val="9"/>
          <w:w w:val="105"/>
        </w:rPr>
        <w:t xml:space="preserve"> </w:t>
      </w:r>
      <w:r w:rsidRPr="00E06806">
        <w:rPr>
          <w:rFonts w:cstheme="minorHAnsi"/>
          <w:w w:val="105"/>
        </w:rPr>
        <w:t>when</w:t>
      </w:r>
      <w:r w:rsidRPr="00E06806">
        <w:rPr>
          <w:rFonts w:cstheme="minorHAnsi"/>
          <w:spacing w:val="9"/>
          <w:w w:val="105"/>
        </w:rPr>
        <w:t xml:space="preserve"> </w:t>
      </w:r>
      <w:r w:rsidRPr="00E06806">
        <w:rPr>
          <w:rFonts w:cstheme="minorHAnsi"/>
          <w:w w:val="105"/>
        </w:rPr>
        <w:t>the</w:t>
      </w:r>
      <w:r w:rsidRPr="00E06806">
        <w:rPr>
          <w:rFonts w:cstheme="minorHAnsi"/>
          <w:spacing w:val="9"/>
          <w:w w:val="105"/>
        </w:rPr>
        <w:t xml:space="preserve"> </w:t>
      </w:r>
      <w:r w:rsidRPr="00E06806">
        <w:rPr>
          <w:rFonts w:cstheme="minorHAnsi"/>
          <w:w w:val="105"/>
        </w:rPr>
        <w:t>“Notification</w:t>
      </w:r>
      <w:r w:rsidRPr="00E06806">
        <w:rPr>
          <w:rFonts w:cstheme="minorHAnsi"/>
          <w:spacing w:val="9"/>
          <w:w w:val="105"/>
        </w:rPr>
        <w:t xml:space="preserve"> </w:t>
      </w:r>
      <w:r w:rsidRPr="00E06806">
        <w:rPr>
          <w:rFonts w:cstheme="minorHAnsi"/>
          <w:w w:val="105"/>
        </w:rPr>
        <w:t>of</w:t>
      </w:r>
      <w:r w:rsidRPr="00E06806">
        <w:rPr>
          <w:rFonts w:cstheme="minorHAnsi"/>
          <w:spacing w:val="9"/>
          <w:w w:val="105"/>
        </w:rPr>
        <w:t xml:space="preserve"> </w:t>
      </w:r>
      <w:r w:rsidRPr="00E06806">
        <w:rPr>
          <w:rFonts w:cstheme="minorHAnsi"/>
          <w:w w:val="105"/>
        </w:rPr>
        <w:t>Veteran</w:t>
      </w:r>
      <w:r w:rsidRPr="00E06806">
        <w:rPr>
          <w:rFonts w:cstheme="minorHAnsi"/>
          <w:spacing w:val="9"/>
          <w:w w:val="105"/>
        </w:rPr>
        <w:t xml:space="preserve"> </w:t>
      </w:r>
      <w:r w:rsidRPr="00E06806">
        <w:rPr>
          <w:rFonts w:cstheme="minorHAnsi"/>
          <w:w w:val="105"/>
        </w:rPr>
        <w:t>Priority</w:t>
      </w:r>
      <w:r w:rsidRPr="00E06806">
        <w:rPr>
          <w:rFonts w:cstheme="minorHAnsi"/>
          <w:spacing w:val="9"/>
          <w:w w:val="105"/>
        </w:rPr>
        <w:t xml:space="preserve"> </w:t>
      </w:r>
      <w:r w:rsidRPr="00E06806">
        <w:rPr>
          <w:rFonts w:cstheme="minorHAnsi"/>
          <w:w w:val="105"/>
        </w:rPr>
        <w:t>of</w:t>
      </w:r>
      <w:r w:rsidRPr="00E06806">
        <w:rPr>
          <w:rFonts w:cstheme="minorHAnsi"/>
          <w:spacing w:val="9"/>
          <w:w w:val="105"/>
        </w:rPr>
        <w:t xml:space="preserve"> </w:t>
      </w:r>
      <w:r w:rsidRPr="00E06806">
        <w:rPr>
          <w:rFonts w:cstheme="minorHAnsi"/>
          <w:w w:val="105"/>
        </w:rPr>
        <w:t>Service”</w:t>
      </w:r>
      <w:r w:rsidRPr="00E06806">
        <w:rPr>
          <w:rFonts w:cstheme="minorHAnsi"/>
          <w:spacing w:val="-44"/>
          <w:w w:val="105"/>
        </w:rPr>
        <w:t xml:space="preserve"> </w:t>
      </w:r>
      <w:r w:rsidRPr="00E06806">
        <w:rPr>
          <w:rFonts w:cstheme="minorHAnsi"/>
          <w:w w:val="105"/>
        </w:rPr>
        <w:t>is</w:t>
      </w:r>
      <w:r w:rsidRPr="00E06806">
        <w:rPr>
          <w:rFonts w:cstheme="minorHAnsi"/>
          <w:spacing w:val="16"/>
          <w:w w:val="105"/>
        </w:rPr>
        <w:t xml:space="preserve"> </w:t>
      </w:r>
      <w:r w:rsidRPr="00E06806">
        <w:rPr>
          <w:rFonts w:cstheme="minorHAnsi"/>
          <w:w w:val="105"/>
        </w:rPr>
        <w:t>given</w:t>
      </w:r>
      <w:r w:rsidRPr="00E06806">
        <w:rPr>
          <w:rFonts w:cstheme="minorHAnsi"/>
          <w:spacing w:val="16"/>
          <w:w w:val="105"/>
        </w:rPr>
        <w:t xml:space="preserve"> </w:t>
      </w:r>
      <w:r w:rsidRPr="00E06806">
        <w:rPr>
          <w:rFonts w:cstheme="minorHAnsi"/>
          <w:w w:val="105"/>
        </w:rPr>
        <w:t>as</w:t>
      </w:r>
      <w:r w:rsidRPr="00E06806">
        <w:rPr>
          <w:rFonts w:cstheme="minorHAnsi"/>
          <w:spacing w:val="16"/>
          <w:w w:val="105"/>
        </w:rPr>
        <w:t xml:space="preserve"> </w:t>
      </w:r>
      <w:r w:rsidRPr="00E06806">
        <w:rPr>
          <w:rFonts w:cstheme="minorHAnsi"/>
          <w:w w:val="105"/>
        </w:rPr>
        <w:t>a</w:t>
      </w:r>
      <w:r w:rsidRPr="00E06806">
        <w:rPr>
          <w:rFonts w:cstheme="minorHAnsi"/>
          <w:spacing w:val="16"/>
          <w:w w:val="105"/>
        </w:rPr>
        <w:t xml:space="preserve"> </w:t>
      </w:r>
      <w:r w:rsidRPr="00E06806">
        <w:rPr>
          <w:rFonts w:cstheme="minorHAnsi"/>
          <w:w w:val="105"/>
        </w:rPr>
        <w:t>staff-assisted</w:t>
      </w:r>
      <w:r w:rsidRPr="00E06806">
        <w:rPr>
          <w:rFonts w:cstheme="minorHAnsi"/>
          <w:spacing w:val="16"/>
          <w:w w:val="105"/>
        </w:rPr>
        <w:t xml:space="preserve"> </w:t>
      </w:r>
      <w:r w:rsidRPr="00E06806">
        <w:rPr>
          <w:rFonts w:cstheme="minorHAnsi"/>
          <w:w w:val="105"/>
        </w:rPr>
        <w:t>service.</w:t>
      </w:r>
      <w:r w:rsidRPr="00E06806">
        <w:rPr>
          <w:rFonts w:cstheme="minorHAnsi"/>
          <w:spacing w:val="33"/>
          <w:w w:val="105"/>
        </w:rPr>
        <w:t xml:space="preserve"> </w:t>
      </w:r>
      <w:r w:rsidRPr="00E06806">
        <w:rPr>
          <w:rFonts w:cstheme="minorHAnsi"/>
          <w:w w:val="105"/>
        </w:rPr>
        <w:t>Veterans</w:t>
      </w:r>
      <w:r w:rsidRPr="00E06806">
        <w:rPr>
          <w:rFonts w:cstheme="minorHAnsi"/>
          <w:spacing w:val="16"/>
          <w:w w:val="105"/>
        </w:rPr>
        <w:t xml:space="preserve"> </w:t>
      </w:r>
      <w:r w:rsidRPr="00E06806">
        <w:rPr>
          <w:rFonts w:cstheme="minorHAnsi"/>
          <w:w w:val="105"/>
        </w:rPr>
        <w:t>and</w:t>
      </w:r>
      <w:r w:rsidRPr="00E06806">
        <w:rPr>
          <w:rFonts w:cstheme="minorHAnsi"/>
          <w:spacing w:val="16"/>
          <w:w w:val="105"/>
        </w:rPr>
        <w:t xml:space="preserve"> </w:t>
      </w:r>
      <w:r w:rsidRPr="00E06806">
        <w:rPr>
          <w:rFonts w:cstheme="minorHAnsi"/>
          <w:w w:val="105"/>
        </w:rPr>
        <w:t>covered</w:t>
      </w:r>
      <w:r w:rsidRPr="00E06806">
        <w:rPr>
          <w:rFonts w:cstheme="minorHAnsi"/>
          <w:spacing w:val="16"/>
          <w:w w:val="105"/>
        </w:rPr>
        <w:t xml:space="preserve"> </w:t>
      </w:r>
      <w:r w:rsidRPr="00E06806">
        <w:rPr>
          <w:rFonts w:cstheme="minorHAnsi"/>
          <w:w w:val="105"/>
        </w:rPr>
        <w:t>persons</w:t>
      </w:r>
      <w:r w:rsidRPr="00E06806">
        <w:rPr>
          <w:rFonts w:cstheme="minorHAnsi"/>
          <w:spacing w:val="16"/>
          <w:w w:val="105"/>
        </w:rPr>
        <w:t xml:space="preserve"> </w:t>
      </w:r>
      <w:r w:rsidRPr="00E06806">
        <w:rPr>
          <w:rFonts w:cstheme="minorHAnsi"/>
          <w:w w:val="105"/>
        </w:rPr>
        <w:t>who</w:t>
      </w:r>
      <w:r w:rsidRPr="00E06806">
        <w:rPr>
          <w:rFonts w:cstheme="minorHAnsi"/>
          <w:spacing w:val="16"/>
          <w:w w:val="105"/>
        </w:rPr>
        <w:t xml:space="preserve"> </w:t>
      </w:r>
      <w:r w:rsidRPr="00E06806">
        <w:rPr>
          <w:rFonts w:cstheme="minorHAnsi"/>
          <w:w w:val="105"/>
        </w:rPr>
        <w:t>register</w:t>
      </w:r>
      <w:r w:rsidRPr="00E06806">
        <w:rPr>
          <w:rFonts w:cstheme="minorHAnsi"/>
          <w:spacing w:val="16"/>
          <w:w w:val="105"/>
        </w:rPr>
        <w:t xml:space="preserve"> </w:t>
      </w:r>
      <w:r w:rsidRPr="00E06806">
        <w:rPr>
          <w:rFonts w:cstheme="minorHAnsi"/>
          <w:w w:val="105"/>
        </w:rPr>
        <w:t>in</w:t>
      </w:r>
      <w:r w:rsidRPr="00E06806">
        <w:rPr>
          <w:rFonts w:cstheme="minorHAnsi"/>
          <w:spacing w:val="16"/>
          <w:w w:val="105"/>
        </w:rPr>
        <w:t xml:space="preserve"> </w:t>
      </w:r>
      <w:r w:rsidR="004D5944">
        <w:rPr>
          <w:rFonts w:cstheme="minorHAnsi"/>
          <w:w w:val="105"/>
        </w:rPr>
        <w:t xml:space="preserve">Employ Florida </w:t>
      </w:r>
      <w:r w:rsidRPr="00E06806">
        <w:rPr>
          <w:rFonts w:cstheme="minorHAnsi"/>
          <w:w w:val="105"/>
        </w:rPr>
        <w:t>or</w:t>
      </w:r>
      <w:r w:rsidRPr="00E06806">
        <w:rPr>
          <w:rFonts w:cstheme="minorHAnsi"/>
          <w:spacing w:val="16"/>
          <w:w w:val="105"/>
        </w:rPr>
        <w:t xml:space="preserve"> </w:t>
      </w:r>
      <w:r w:rsidRPr="00E06806">
        <w:rPr>
          <w:rFonts w:cstheme="minorHAnsi"/>
          <w:w w:val="105"/>
        </w:rPr>
        <w:t>who</w:t>
      </w:r>
      <w:r w:rsidRPr="00E06806">
        <w:rPr>
          <w:rFonts w:cstheme="minorHAnsi"/>
          <w:spacing w:val="16"/>
          <w:w w:val="105"/>
        </w:rPr>
        <w:t xml:space="preserve"> </w:t>
      </w:r>
      <w:r w:rsidRPr="00E06806">
        <w:rPr>
          <w:rFonts w:cstheme="minorHAnsi"/>
          <w:w w:val="105"/>
        </w:rPr>
        <w:t>are</w:t>
      </w:r>
      <w:r w:rsidRPr="00E06806">
        <w:rPr>
          <w:rFonts w:cstheme="minorHAnsi"/>
          <w:spacing w:val="16"/>
          <w:w w:val="105"/>
        </w:rPr>
        <w:t xml:space="preserve"> </w:t>
      </w:r>
      <w:r w:rsidRPr="00E06806">
        <w:rPr>
          <w:rFonts w:cstheme="minorHAnsi"/>
          <w:w w:val="105"/>
        </w:rPr>
        <w:t>being</w:t>
      </w:r>
      <w:r w:rsidRPr="00E06806">
        <w:rPr>
          <w:rFonts w:cstheme="minorHAnsi"/>
          <w:spacing w:val="-25"/>
          <w:w w:val="105"/>
        </w:rPr>
        <w:t xml:space="preserve"> </w:t>
      </w:r>
      <w:r w:rsidRPr="00E06806">
        <w:rPr>
          <w:rFonts w:cstheme="minorHAnsi"/>
          <w:w w:val="105"/>
        </w:rPr>
        <w:t>entered into Employ Florida by staff will be advised of their entitlement to priority of services and the code 189 is entered</w:t>
      </w:r>
      <w:r w:rsidRPr="00E06806">
        <w:rPr>
          <w:rFonts w:cstheme="minorHAnsi"/>
          <w:spacing w:val="15"/>
          <w:w w:val="105"/>
        </w:rPr>
        <w:t xml:space="preserve"> </w:t>
      </w:r>
      <w:r w:rsidRPr="00E06806">
        <w:rPr>
          <w:rFonts w:cstheme="minorHAnsi"/>
          <w:w w:val="105"/>
        </w:rPr>
        <w:t>on</w:t>
      </w:r>
      <w:r w:rsidRPr="00E06806">
        <w:rPr>
          <w:rFonts w:cstheme="minorHAnsi"/>
          <w:spacing w:val="15"/>
          <w:w w:val="105"/>
        </w:rPr>
        <w:t xml:space="preserve"> </w:t>
      </w:r>
      <w:r w:rsidRPr="00E06806">
        <w:rPr>
          <w:rFonts w:cstheme="minorHAnsi"/>
          <w:w w:val="105"/>
        </w:rPr>
        <w:t>the</w:t>
      </w:r>
      <w:r w:rsidRPr="00E06806">
        <w:rPr>
          <w:rFonts w:cstheme="minorHAnsi"/>
          <w:spacing w:val="15"/>
          <w:w w:val="105"/>
        </w:rPr>
        <w:t xml:space="preserve"> </w:t>
      </w:r>
      <w:r w:rsidRPr="00E06806">
        <w:rPr>
          <w:rFonts w:cstheme="minorHAnsi"/>
          <w:w w:val="105"/>
        </w:rPr>
        <w:t>service</w:t>
      </w:r>
      <w:r w:rsidRPr="00E06806">
        <w:rPr>
          <w:rFonts w:cstheme="minorHAnsi"/>
          <w:spacing w:val="15"/>
          <w:w w:val="105"/>
        </w:rPr>
        <w:t xml:space="preserve"> </w:t>
      </w:r>
      <w:r w:rsidRPr="00E06806">
        <w:rPr>
          <w:rFonts w:cstheme="minorHAnsi"/>
          <w:w w:val="105"/>
        </w:rPr>
        <w:t>plan</w:t>
      </w:r>
      <w:r w:rsidRPr="00E06806">
        <w:rPr>
          <w:rFonts w:cstheme="minorHAnsi"/>
          <w:spacing w:val="15"/>
          <w:w w:val="105"/>
        </w:rPr>
        <w:t xml:space="preserve"> </w:t>
      </w:r>
      <w:r w:rsidRPr="00E06806">
        <w:rPr>
          <w:rFonts w:cstheme="minorHAnsi"/>
          <w:w w:val="105"/>
        </w:rPr>
        <w:t>screen</w:t>
      </w:r>
      <w:r w:rsidRPr="00E06806">
        <w:rPr>
          <w:rFonts w:cstheme="minorHAnsi"/>
          <w:spacing w:val="15"/>
          <w:w w:val="105"/>
        </w:rPr>
        <w:t xml:space="preserve"> </w:t>
      </w:r>
      <w:r w:rsidRPr="00E06806">
        <w:rPr>
          <w:rFonts w:cstheme="minorHAnsi"/>
          <w:w w:val="105"/>
        </w:rPr>
        <w:t>in</w:t>
      </w:r>
      <w:r w:rsidRPr="00E06806">
        <w:rPr>
          <w:rFonts w:cstheme="minorHAnsi"/>
          <w:spacing w:val="15"/>
          <w:w w:val="105"/>
        </w:rPr>
        <w:t xml:space="preserve"> </w:t>
      </w:r>
      <w:r w:rsidRPr="00E06806">
        <w:rPr>
          <w:rFonts w:cstheme="minorHAnsi"/>
          <w:w w:val="105"/>
        </w:rPr>
        <w:t>Employ Florida.</w:t>
      </w:r>
      <w:r w:rsidRPr="00E06806">
        <w:rPr>
          <w:rFonts w:cstheme="minorHAnsi"/>
          <w:spacing w:val="31"/>
          <w:w w:val="105"/>
        </w:rPr>
        <w:t xml:space="preserve"> </w:t>
      </w:r>
      <w:r w:rsidRPr="00E06806">
        <w:rPr>
          <w:rFonts w:cstheme="minorHAnsi"/>
          <w:w w:val="105"/>
        </w:rPr>
        <w:t>The</w:t>
      </w:r>
      <w:r w:rsidRPr="00E06806">
        <w:rPr>
          <w:rFonts w:cstheme="minorHAnsi"/>
          <w:spacing w:val="15"/>
          <w:w w:val="105"/>
        </w:rPr>
        <w:t xml:space="preserve"> </w:t>
      </w:r>
      <w:r w:rsidRPr="00E06806">
        <w:rPr>
          <w:rFonts w:cstheme="minorHAnsi"/>
          <w:w w:val="105"/>
        </w:rPr>
        <w:t>089</w:t>
      </w:r>
      <w:r w:rsidRPr="00E06806">
        <w:rPr>
          <w:rFonts w:cstheme="minorHAnsi"/>
          <w:spacing w:val="15"/>
          <w:w w:val="105"/>
        </w:rPr>
        <w:t xml:space="preserve"> </w:t>
      </w:r>
      <w:r w:rsidRPr="00E06806">
        <w:rPr>
          <w:rFonts w:cstheme="minorHAnsi"/>
          <w:w w:val="105"/>
        </w:rPr>
        <w:t>and</w:t>
      </w:r>
      <w:r w:rsidRPr="00E06806">
        <w:rPr>
          <w:rFonts w:cstheme="minorHAnsi"/>
          <w:spacing w:val="15"/>
          <w:w w:val="105"/>
        </w:rPr>
        <w:t xml:space="preserve"> </w:t>
      </w:r>
      <w:r w:rsidRPr="00E06806">
        <w:rPr>
          <w:rFonts w:cstheme="minorHAnsi"/>
          <w:w w:val="105"/>
        </w:rPr>
        <w:t>189</w:t>
      </w:r>
      <w:r w:rsidRPr="00E06806">
        <w:rPr>
          <w:rFonts w:cstheme="minorHAnsi"/>
          <w:spacing w:val="15"/>
          <w:w w:val="105"/>
        </w:rPr>
        <w:t xml:space="preserve"> </w:t>
      </w:r>
      <w:r w:rsidRPr="00E06806">
        <w:rPr>
          <w:rFonts w:cstheme="minorHAnsi"/>
          <w:w w:val="105"/>
        </w:rPr>
        <w:t>service</w:t>
      </w:r>
      <w:r w:rsidRPr="00E06806">
        <w:rPr>
          <w:rFonts w:cstheme="minorHAnsi"/>
          <w:spacing w:val="15"/>
          <w:w w:val="105"/>
        </w:rPr>
        <w:t xml:space="preserve"> </w:t>
      </w:r>
      <w:r w:rsidRPr="00E06806">
        <w:rPr>
          <w:rFonts w:cstheme="minorHAnsi"/>
          <w:w w:val="105"/>
        </w:rPr>
        <w:t>plan</w:t>
      </w:r>
      <w:r w:rsidRPr="00E06806">
        <w:rPr>
          <w:rFonts w:cstheme="minorHAnsi"/>
          <w:spacing w:val="15"/>
          <w:w w:val="105"/>
        </w:rPr>
        <w:t xml:space="preserve"> </w:t>
      </w:r>
      <w:r w:rsidRPr="00E06806">
        <w:rPr>
          <w:rFonts w:cstheme="minorHAnsi"/>
          <w:w w:val="105"/>
        </w:rPr>
        <w:t>codes</w:t>
      </w:r>
      <w:r w:rsidRPr="00E06806">
        <w:rPr>
          <w:rFonts w:cstheme="minorHAnsi"/>
          <w:spacing w:val="15"/>
          <w:w w:val="105"/>
        </w:rPr>
        <w:t xml:space="preserve"> </w:t>
      </w:r>
      <w:r w:rsidRPr="00E06806">
        <w:rPr>
          <w:rFonts w:cstheme="minorHAnsi"/>
          <w:w w:val="105"/>
        </w:rPr>
        <w:t>serve</w:t>
      </w:r>
      <w:r w:rsidRPr="00E06806">
        <w:rPr>
          <w:rFonts w:cstheme="minorHAnsi"/>
          <w:spacing w:val="15"/>
          <w:w w:val="105"/>
        </w:rPr>
        <w:t xml:space="preserve"> </w:t>
      </w:r>
      <w:r w:rsidRPr="00E06806">
        <w:rPr>
          <w:rFonts w:cstheme="minorHAnsi"/>
          <w:w w:val="105"/>
        </w:rPr>
        <w:t>as</w:t>
      </w:r>
      <w:r w:rsidRPr="00E06806">
        <w:rPr>
          <w:rFonts w:cstheme="minorHAnsi"/>
          <w:spacing w:val="15"/>
          <w:w w:val="105"/>
        </w:rPr>
        <w:t xml:space="preserve"> </w:t>
      </w:r>
      <w:r w:rsidRPr="00E06806">
        <w:rPr>
          <w:rFonts w:cstheme="minorHAnsi"/>
          <w:w w:val="105"/>
        </w:rPr>
        <w:t>a</w:t>
      </w:r>
      <w:r w:rsidRPr="00E06806">
        <w:rPr>
          <w:rFonts w:cstheme="minorHAnsi"/>
          <w:spacing w:val="15"/>
          <w:w w:val="105"/>
        </w:rPr>
        <w:t xml:space="preserve"> </w:t>
      </w:r>
      <w:r w:rsidRPr="00E06806">
        <w:rPr>
          <w:rFonts w:cstheme="minorHAnsi"/>
          <w:w w:val="105"/>
        </w:rPr>
        <w:t>priority</w:t>
      </w:r>
      <w:r w:rsidRPr="00E06806">
        <w:rPr>
          <w:rFonts w:cstheme="minorHAnsi"/>
          <w:w w:val="101"/>
        </w:rPr>
        <w:t xml:space="preserve"> </w:t>
      </w:r>
      <w:r w:rsidRPr="00E06806">
        <w:rPr>
          <w:rFonts w:cstheme="minorHAnsi"/>
          <w:w w:val="105"/>
        </w:rPr>
        <w:t>of</w:t>
      </w:r>
      <w:r w:rsidRPr="00E06806">
        <w:rPr>
          <w:rFonts w:cstheme="minorHAnsi"/>
          <w:spacing w:val="11"/>
          <w:w w:val="105"/>
        </w:rPr>
        <w:t xml:space="preserve"> </w:t>
      </w:r>
      <w:r w:rsidRPr="00E06806">
        <w:rPr>
          <w:rFonts w:cstheme="minorHAnsi"/>
          <w:w w:val="105"/>
        </w:rPr>
        <w:t>service</w:t>
      </w:r>
      <w:r w:rsidRPr="00E06806">
        <w:rPr>
          <w:rFonts w:cstheme="minorHAnsi"/>
          <w:spacing w:val="11"/>
          <w:w w:val="105"/>
        </w:rPr>
        <w:t xml:space="preserve"> </w:t>
      </w:r>
      <w:r w:rsidRPr="00E06806">
        <w:rPr>
          <w:rFonts w:cstheme="minorHAnsi"/>
          <w:w w:val="105"/>
        </w:rPr>
        <w:t>indicator</w:t>
      </w:r>
      <w:r w:rsidRPr="00E06806">
        <w:rPr>
          <w:rFonts w:cstheme="minorHAnsi"/>
          <w:spacing w:val="11"/>
          <w:w w:val="105"/>
        </w:rPr>
        <w:t xml:space="preserve"> </w:t>
      </w:r>
      <w:r w:rsidRPr="00E06806">
        <w:rPr>
          <w:rFonts w:cstheme="minorHAnsi"/>
          <w:w w:val="105"/>
        </w:rPr>
        <w:t>in</w:t>
      </w:r>
      <w:r w:rsidRPr="00E06806">
        <w:rPr>
          <w:rFonts w:cstheme="minorHAnsi"/>
          <w:spacing w:val="11"/>
          <w:w w:val="105"/>
        </w:rPr>
        <w:t xml:space="preserve"> </w:t>
      </w:r>
      <w:r w:rsidRPr="00E06806">
        <w:rPr>
          <w:rFonts w:cstheme="minorHAnsi"/>
          <w:w w:val="105"/>
        </w:rPr>
        <w:t>conjunction</w:t>
      </w:r>
      <w:r w:rsidRPr="00E06806">
        <w:rPr>
          <w:rFonts w:cstheme="minorHAnsi"/>
          <w:spacing w:val="11"/>
          <w:w w:val="105"/>
        </w:rPr>
        <w:t xml:space="preserve"> </w:t>
      </w:r>
      <w:r w:rsidRPr="00E06806">
        <w:rPr>
          <w:rFonts w:cstheme="minorHAnsi"/>
          <w:w w:val="105"/>
        </w:rPr>
        <w:t>with</w:t>
      </w:r>
      <w:r w:rsidRPr="00E06806">
        <w:rPr>
          <w:rFonts w:cstheme="minorHAnsi"/>
          <w:spacing w:val="11"/>
          <w:w w:val="105"/>
        </w:rPr>
        <w:t xml:space="preserve"> </w:t>
      </w:r>
      <w:r w:rsidRPr="00E06806">
        <w:rPr>
          <w:rFonts w:cstheme="minorHAnsi"/>
          <w:w w:val="105"/>
        </w:rPr>
        <w:t>periodic</w:t>
      </w:r>
      <w:r w:rsidRPr="00E06806">
        <w:rPr>
          <w:rFonts w:cstheme="minorHAnsi"/>
          <w:spacing w:val="11"/>
          <w:w w:val="105"/>
        </w:rPr>
        <w:t xml:space="preserve"> </w:t>
      </w:r>
      <w:r w:rsidRPr="00E06806">
        <w:rPr>
          <w:rFonts w:cstheme="minorHAnsi"/>
          <w:w w:val="105"/>
        </w:rPr>
        <w:t>state</w:t>
      </w:r>
      <w:r w:rsidRPr="00E06806">
        <w:rPr>
          <w:rFonts w:cstheme="minorHAnsi"/>
          <w:spacing w:val="11"/>
          <w:w w:val="105"/>
        </w:rPr>
        <w:t xml:space="preserve"> </w:t>
      </w:r>
      <w:r w:rsidRPr="00E06806">
        <w:rPr>
          <w:rFonts w:cstheme="minorHAnsi"/>
          <w:w w:val="105"/>
        </w:rPr>
        <w:t>and</w:t>
      </w:r>
      <w:r w:rsidRPr="00E06806">
        <w:rPr>
          <w:rFonts w:cstheme="minorHAnsi"/>
          <w:spacing w:val="11"/>
          <w:w w:val="105"/>
        </w:rPr>
        <w:t xml:space="preserve"> </w:t>
      </w:r>
      <w:r w:rsidRPr="00E06806">
        <w:rPr>
          <w:rFonts w:cstheme="minorHAnsi"/>
          <w:w w:val="105"/>
        </w:rPr>
        <w:t>local</w:t>
      </w:r>
      <w:r w:rsidRPr="00E06806">
        <w:rPr>
          <w:rFonts w:cstheme="minorHAnsi"/>
          <w:spacing w:val="11"/>
          <w:w w:val="105"/>
        </w:rPr>
        <w:t xml:space="preserve"> </w:t>
      </w:r>
      <w:r w:rsidRPr="00E06806">
        <w:rPr>
          <w:rFonts w:cstheme="minorHAnsi"/>
          <w:w w:val="105"/>
        </w:rPr>
        <w:t>level</w:t>
      </w:r>
      <w:r w:rsidRPr="00E06806">
        <w:rPr>
          <w:rFonts w:cstheme="minorHAnsi"/>
          <w:spacing w:val="11"/>
          <w:w w:val="105"/>
        </w:rPr>
        <w:t xml:space="preserve"> </w:t>
      </w:r>
      <w:r w:rsidRPr="00E06806">
        <w:rPr>
          <w:rFonts w:cstheme="minorHAnsi"/>
          <w:w w:val="105"/>
        </w:rPr>
        <w:t>program</w:t>
      </w:r>
      <w:r w:rsidRPr="00E06806">
        <w:rPr>
          <w:rFonts w:cstheme="minorHAnsi"/>
          <w:spacing w:val="11"/>
          <w:w w:val="105"/>
        </w:rPr>
        <w:t xml:space="preserve"> </w:t>
      </w:r>
      <w:r w:rsidRPr="00E06806">
        <w:rPr>
          <w:rFonts w:cstheme="minorHAnsi"/>
          <w:w w:val="105"/>
        </w:rPr>
        <w:t>reviews</w:t>
      </w:r>
      <w:r w:rsidRPr="00E06806">
        <w:rPr>
          <w:rFonts w:cstheme="minorHAnsi"/>
          <w:spacing w:val="11"/>
          <w:w w:val="105"/>
        </w:rPr>
        <w:t xml:space="preserve"> </w:t>
      </w:r>
      <w:r w:rsidRPr="00E06806">
        <w:rPr>
          <w:rFonts w:cstheme="minorHAnsi"/>
          <w:w w:val="105"/>
        </w:rPr>
        <w:t>to</w:t>
      </w:r>
      <w:r w:rsidRPr="00E06806">
        <w:rPr>
          <w:rFonts w:cstheme="minorHAnsi"/>
          <w:spacing w:val="11"/>
          <w:w w:val="105"/>
        </w:rPr>
        <w:t xml:space="preserve"> </w:t>
      </w:r>
      <w:r w:rsidRPr="00E06806">
        <w:rPr>
          <w:rFonts w:cstheme="minorHAnsi"/>
          <w:w w:val="105"/>
        </w:rPr>
        <w:t>ensure</w:t>
      </w:r>
      <w:r w:rsidRPr="00E06806">
        <w:rPr>
          <w:rFonts w:cstheme="minorHAnsi"/>
          <w:spacing w:val="-36"/>
          <w:w w:val="105"/>
        </w:rPr>
        <w:t xml:space="preserve"> </w:t>
      </w:r>
      <w:r w:rsidRPr="00E06806">
        <w:rPr>
          <w:rFonts w:cstheme="minorHAnsi"/>
          <w:w w:val="105"/>
        </w:rPr>
        <w:t>compliance</w:t>
      </w:r>
      <w:r w:rsidRPr="00E06806">
        <w:rPr>
          <w:rFonts w:cstheme="minorHAnsi"/>
          <w:spacing w:val="8"/>
          <w:w w:val="105"/>
        </w:rPr>
        <w:t xml:space="preserve"> </w:t>
      </w:r>
      <w:r w:rsidRPr="00E06806">
        <w:rPr>
          <w:rFonts w:cstheme="minorHAnsi"/>
          <w:w w:val="105"/>
        </w:rPr>
        <w:t>with</w:t>
      </w:r>
      <w:r w:rsidRPr="00E06806">
        <w:rPr>
          <w:rFonts w:cstheme="minorHAnsi"/>
          <w:spacing w:val="8"/>
          <w:w w:val="105"/>
        </w:rPr>
        <w:t xml:space="preserve"> </w:t>
      </w:r>
      <w:r w:rsidRPr="00E06806">
        <w:rPr>
          <w:rFonts w:cstheme="minorHAnsi"/>
          <w:w w:val="105"/>
        </w:rPr>
        <w:t>priority</w:t>
      </w:r>
      <w:r w:rsidRPr="00E06806">
        <w:rPr>
          <w:rFonts w:cstheme="minorHAnsi"/>
          <w:spacing w:val="8"/>
          <w:w w:val="105"/>
        </w:rPr>
        <w:t xml:space="preserve"> </w:t>
      </w:r>
      <w:r w:rsidRPr="00E06806">
        <w:rPr>
          <w:rFonts w:cstheme="minorHAnsi"/>
          <w:w w:val="105"/>
        </w:rPr>
        <w:t>of</w:t>
      </w:r>
      <w:r w:rsidRPr="00E06806">
        <w:rPr>
          <w:rFonts w:cstheme="minorHAnsi"/>
          <w:spacing w:val="8"/>
          <w:w w:val="105"/>
        </w:rPr>
        <w:t xml:space="preserve"> </w:t>
      </w:r>
      <w:r w:rsidRPr="00E06806">
        <w:rPr>
          <w:rFonts w:cstheme="minorHAnsi"/>
          <w:w w:val="105"/>
        </w:rPr>
        <w:t>service.</w:t>
      </w:r>
      <w:r w:rsidRPr="00E06806">
        <w:rPr>
          <w:rFonts w:cstheme="minorHAnsi"/>
          <w:spacing w:val="16"/>
          <w:w w:val="105"/>
        </w:rPr>
        <w:t xml:space="preserve"> </w:t>
      </w:r>
      <w:r w:rsidRPr="00E06806">
        <w:rPr>
          <w:rFonts w:cstheme="minorHAnsi"/>
          <w:w w:val="105"/>
        </w:rPr>
        <w:t>Additional</w:t>
      </w:r>
      <w:r w:rsidRPr="00E06806">
        <w:rPr>
          <w:rFonts w:cstheme="minorHAnsi"/>
          <w:spacing w:val="8"/>
          <w:w w:val="105"/>
        </w:rPr>
        <w:t xml:space="preserve"> </w:t>
      </w:r>
      <w:r w:rsidRPr="00E06806">
        <w:rPr>
          <w:rFonts w:cstheme="minorHAnsi"/>
          <w:w w:val="105"/>
        </w:rPr>
        <w:t>monitoring</w:t>
      </w:r>
      <w:r w:rsidRPr="00E06806">
        <w:rPr>
          <w:rFonts w:cstheme="minorHAnsi"/>
          <w:spacing w:val="8"/>
          <w:w w:val="105"/>
        </w:rPr>
        <w:t xml:space="preserve"> </w:t>
      </w:r>
      <w:r w:rsidRPr="00E06806">
        <w:rPr>
          <w:rFonts w:cstheme="minorHAnsi"/>
          <w:w w:val="105"/>
        </w:rPr>
        <w:t>guidance</w:t>
      </w:r>
      <w:r w:rsidRPr="00E06806">
        <w:rPr>
          <w:rFonts w:cstheme="minorHAnsi"/>
          <w:spacing w:val="8"/>
          <w:w w:val="105"/>
        </w:rPr>
        <w:t xml:space="preserve"> </w:t>
      </w:r>
      <w:r w:rsidRPr="00E06806">
        <w:rPr>
          <w:rFonts w:cstheme="minorHAnsi"/>
          <w:w w:val="105"/>
        </w:rPr>
        <w:t>from</w:t>
      </w:r>
      <w:r w:rsidRPr="00E06806">
        <w:rPr>
          <w:rFonts w:cstheme="minorHAnsi"/>
          <w:spacing w:val="8"/>
          <w:w w:val="105"/>
        </w:rPr>
        <w:t xml:space="preserve"> </w:t>
      </w:r>
      <w:r w:rsidRPr="00E06806">
        <w:rPr>
          <w:rFonts w:cstheme="minorHAnsi"/>
          <w:w w:val="105"/>
        </w:rPr>
        <w:t>the</w:t>
      </w:r>
      <w:r w:rsidR="003C446B">
        <w:rPr>
          <w:rFonts w:cstheme="minorHAnsi"/>
          <w:spacing w:val="8"/>
          <w:w w:val="105"/>
        </w:rPr>
        <w:t xml:space="preserve"> </w:t>
      </w:r>
      <w:r w:rsidRPr="00E06806">
        <w:rPr>
          <w:rFonts w:cstheme="minorHAnsi"/>
          <w:spacing w:val="-3"/>
          <w:w w:val="105"/>
        </w:rPr>
        <w:t>ETA</w:t>
      </w:r>
      <w:r w:rsidRPr="00E06806">
        <w:rPr>
          <w:rFonts w:cstheme="minorHAnsi"/>
          <w:spacing w:val="8"/>
          <w:w w:val="105"/>
        </w:rPr>
        <w:t xml:space="preserve"> </w:t>
      </w:r>
      <w:r w:rsidRPr="00E06806">
        <w:rPr>
          <w:rFonts w:cstheme="minorHAnsi"/>
          <w:w w:val="105"/>
        </w:rPr>
        <w:t>is</w:t>
      </w:r>
      <w:r w:rsidRPr="00E06806">
        <w:rPr>
          <w:rFonts w:cstheme="minorHAnsi"/>
          <w:spacing w:val="8"/>
          <w:w w:val="105"/>
        </w:rPr>
        <w:t xml:space="preserve"> </w:t>
      </w:r>
      <w:r w:rsidRPr="00E06806">
        <w:rPr>
          <w:rFonts w:cstheme="minorHAnsi"/>
          <w:w w:val="105"/>
        </w:rPr>
        <w:t>forthcoming</w:t>
      </w:r>
      <w:r w:rsidRPr="00E06806">
        <w:rPr>
          <w:rFonts w:cstheme="minorHAnsi"/>
          <w:spacing w:val="8"/>
          <w:w w:val="105"/>
        </w:rPr>
        <w:t xml:space="preserve"> </w:t>
      </w:r>
      <w:r w:rsidRPr="00E06806">
        <w:rPr>
          <w:rFonts w:cstheme="minorHAnsi"/>
          <w:w w:val="105"/>
        </w:rPr>
        <w:t>in</w:t>
      </w:r>
      <w:r w:rsidRPr="00E06806">
        <w:rPr>
          <w:rFonts w:cstheme="minorHAnsi"/>
          <w:spacing w:val="8"/>
          <w:w w:val="105"/>
        </w:rPr>
        <w:t xml:space="preserve"> </w:t>
      </w:r>
      <w:r w:rsidRPr="00E06806">
        <w:rPr>
          <w:rFonts w:cstheme="minorHAnsi"/>
          <w:w w:val="105"/>
        </w:rPr>
        <w:t>accordance</w:t>
      </w:r>
      <w:r w:rsidRPr="00E06806">
        <w:rPr>
          <w:rFonts w:cstheme="minorHAnsi"/>
          <w:spacing w:val="8"/>
          <w:w w:val="105"/>
        </w:rPr>
        <w:t xml:space="preserve"> </w:t>
      </w:r>
      <w:r w:rsidRPr="00E06806">
        <w:rPr>
          <w:rFonts w:cstheme="minorHAnsi"/>
          <w:w w:val="105"/>
        </w:rPr>
        <w:t>with</w:t>
      </w:r>
      <w:r w:rsidRPr="00E06806">
        <w:rPr>
          <w:rFonts w:cstheme="minorHAnsi"/>
          <w:spacing w:val="8"/>
          <w:w w:val="105"/>
        </w:rPr>
        <w:t xml:space="preserve"> </w:t>
      </w:r>
      <w:r w:rsidRPr="00E06806">
        <w:rPr>
          <w:rFonts w:cstheme="minorHAnsi"/>
          <w:w w:val="105"/>
        </w:rPr>
        <w:t>20</w:t>
      </w:r>
      <w:r w:rsidRPr="00E06806">
        <w:rPr>
          <w:rFonts w:cstheme="minorHAnsi"/>
          <w:spacing w:val="8"/>
          <w:w w:val="105"/>
        </w:rPr>
        <w:t xml:space="preserve"> </w:t>
      </w:r>
      <w:r w:rsidRPr="00E06806">
        <w:rPr>
          <w:rFonts w:cstheme="minorHAnsi"/>
          <w:w w:val="105"/>
        </w:rPr>
        <w:t>CFR</w:t>
      </w:r>
      <w:r w:rsidRPr="00E06806">
        <w:rPr>
          <w:rFonts w:cstheme="minorHAnsi"/>
          <w:spacing w:val="8"/>
          <w:w w:val="105"/>
        </w:rPr>
        <w:t xml:space="preserve"> </w:t>
      </w:r>
      <w:r w:rsidRPr="00E06806">
        <w:rPr>
          <w:rFonts w:cstheme="minorHAnsi"/>
          <w:w w:val="105"/>
        </w:rPr>
        <w:t>Part</w:t>
      </w:r>
      <w:r w:rsidRPr="00E06806">
        <w:rPr>
          <w:rFonts w:cstheme="minorHAnsi"/>
          <w:spacing w:val="8"/>
          <w:w w:val="105"/>
        </w:rPr>
        <w:t xml:space="preserve"> </w:t>
      </w:r>
      <w:r w:rsidRPr="00E06806">
        <w:rPr>
          <w:rFonts w:cstheme="minorHAnsi"/>
          <w:w w:val="105"/>
        </w:rPr>
        <w:t>1010,</w:t>
      </w:r>
      <w:r w:rsidRPr="00E06806">
        <w:rPr>
          <w:rFonts w:cstheme="minorHAnsi"/>
          <w:spacing w:val="7"/>
          <w:w w:val="105"/>
        </w:rPr>
        <w:t xml:space="preserve"> </w:t>
      </w:r>
      <w:r w:rsidRPr="00E06806">
        <w:rPr>
          <w:rFonts w:cstheme="minorHAnsi"/>
          <w:w w:val="105"/>
        </w:rPr>
        <w:t>Priority</w:t>
      </w:r>
      <w:r w:rsidRPr="00E06806">
        <w:rPr>
          <w:rFonts w:cstheme="minorHAnsi"/>
          <w:spacing w:val="8"/>
          <w:w w:val="105"/>
        </w:rPr>
        <w:t xml:space="preserve"> </w:t>
      </w:r>
      <w:r w:rsidRPr="00E06806">
        <w:rPr>
          <w:rFonts w:cstheme="minorHAnsi"/>
          <w:w w:val="105"/>
        </w:rPr>
        <w:t>of</w:t>
      </w:r>
      <w:r w:rsidRPr="00E06806">
        <w:rPr>
          <w:rFonts w:cstheme="minorHAnsi"/>
          <w:spacing w:val="8"/>
          <w:w w:val="105"/>
        </w:rPr>
        <w:t xml:space="preserve"> </w:t>
      </w:r>
      <w:r w:rsidRPr="00E06806">
        <w:rPr>
          <w:rFonts w:cstheme="minorHAnsi"/>
          <w:w w:val="105"/>
        </w:rPr>
        <w:t>Service</w:t>
      </w:r>
      <w:r w:rsidRPr="00E06806">
        <w:rPr>
          <w:rFonts w:cstheme="minorHAnsi"/>
          <w:spacing w:val="8"/>
          <w:w w:val="105"/>
        </w:rPr>
        <w:t xml:space="preserve"> </w:t>
      </w:r>
      <w:r w:rsidRPr="00E06806">
        <w:rPr>
          <w:rFonts w:cstheme="minorHAnsi"/>
          <w:w w:val="105"/>
        </w:rPr>
        <w:t>for</w:t>
      </w:r>
      <w:r w:rsidRPr="00E06806">
        <w:rPr>
          <w:rFonts w:cstheme="minorHAnsi"/>
          <w:spacing w:val="8"/>
          <w:w w:val="105"/>
        </w:rPr>
        <w:t xml:space="preserve"> </w:t>
      </w:r>
      <w:r w:rsidRPr="00E06806">
        <w:rPr>
          <w:rFonts w:cstheme="minorHAnsi"/>
          <w:w w:val="105"/>
        </w:rPr>
        <w:t>covered</w:t>
      </w:r>
      <w:r w:rsidRPr="00E06806">
        <w:rPr>
          <w:rFonts w:cstheme="minorHAnsi"/>
          <w:spacing w:val="-33"/>
          <w:w w:val="105"/>
        </w:rPr>
        <w:t xml:space="preserve"> </w:t>
      </w:r>
      <w:r w:rsidRPr="00E06806">
        <w:rPr>
          <w:rFonts w:cstheme="minorHAnsi"/>
          <w:w w:val="105"/>
        </w:rPr>
        <w:t>persons’ final</w:t>
      </w:r>
      <w:r w:rsidRPr="00E06806">
        <w:rPr>
          <w:rFonts w:cstheme="minorHAnsi"/>
          <w:spacing w:val="8"/>
          <w:w w:val="105"/>
        </w:rPr>
        <w:t xml:space="preserve"> </w:t>
      </w:r>
      <w:r w:rsidRPr="00E06806">
        <w:rPr>
          <w:rFonts w:cstheme="minorHAnsi"/>
          <w:w w:val="105"/>
        </w:rPr>
        <w:t>rule.</w:t>
      </w:r>
    </w:p>
    <w:bookmarkEnd w:id="93"/>
    <w:p w14:paraId="11BD05E2" w14:textId="7E038524" w:rsidR="003E4D10" w:rsidRDefault="003E4D10" w:rsidP="00D63204">
      <w:pPr>
        <w:widowControl w:val="0"/>
        <w:spacing w:before="195" w:after="0" w:line="264" w:lineRule="exact"/>
        <w:ind w:left="107"/>
        <w:rPr>
          <w:rFonts w:cstheme="minorHAnsi"/>
          <w:spacing w:val="-3"/>
          <w:w w:val="105"/>
        </w:rPr>
      </w:pPr>
      <w:r w:rsidRPr="00E06806">
        <w:rPr>
          <w:rFonts w:cstheme="minorHAnsi"/>
          <w:w w:val="105"/>
        </w:rPr>
        <w:t>Eligible</w:t>
      </w:r>
      <w:r w:rsidRPr="00E06806">
        <w:rPr>
          <w:rFonts w:cstheme="minorHAnsi"/>
          <w:spacing w:val="17"/>
          <w:w w:val="105"/>
        </w:rPr>
        <w:t xml:space="preserve"> </w:t>
      </w:r>
      <w:r w:rsidRPr="00E06806">
        <w:rPr>
          <w:rFonts w:cstheme="minorHAnsi"/>
          <w:w w:val="105"/>
        </w:rPr>
        <w:t>veterans</w:t>
      </w:r>
      <w:r w:rsidRPr="00E06806">
        <w:rPr>
          <w:rFonts w:cstheme="minorHAnsi"/>
          <w:spacing w:val="17"/>
          <w:w w:val="105"/>
        </w:rPr>
        <w:t xml:space="preserve"> </w:t>
      </w:r>
      <w:r w:rsidRPr="00E06806">
        <w:rPr>
          <w:rFonts w:cstheme="minorHAnsi"/>
          <w:w w:val="105"/>
        </w:rPr>
        <w:t>and</w:t>
      </w:r>
      <w:r w:rsidRPr="00E06806">
        <w:rPr>
          <w:rFonts w:cstheme="minorHAnsi"/>
          <w:spacing w:val="17"/>
          <w:w w:val="105"/>
        </w:rPr>
        <w:t xml:space="preserve"> </w:t>
      </w:r>
      <w:r w:rsidRPr="00E06806">
        <w:rPr>
          <w:rFonts w:cstheme="minorHAnsi"/>
          <w:w w:val="105"/>
        </w:rPr>
        <w:t>covered</w:t>
      </w:r>
      <w:r w:rsidRPr="00E06806">
        <w:rPr>
          <w:rFonts w:cstheme="minorHAnsi"/>
          <w:spacing w:val="17"/>
          <w:w w:val="105"/>
        </w:rPr>
        <w:t xml:space="preserve"> </w:t>
      </w:r>
      <w:r w:rsidRPr="00E06806">
        <w:rPr>
          <w:rFonts w:cstheme="minorHAnsi"/>
          <w:w w:val="105"/>
        </w:rPr>
        <w:t>persons</w:t>
      </w:r>
      <w:r w:rsidRPr="00E06806">
        <w:rPr>
          <w:rFonts w:cstheme="minorHAnsi"/>
          <w:spacing w:val="17"/>
          <w:w w:val="105"/>
        </w:rPr>
        <w:t xml:space="preserve"> </w:t>
      </w:r>
      <w:r w:rsidRPr="00E06806">
        <w:rPr>
          <w:rFonts w:cstheme="minorHAnsi"/>
          <w:w w:val="105"/>
        </w:rPr>
        <w:t>receive</w:t>
      </w:r>
      <w:r w:rsidRPr="00E06806">
        <w:rPr>
          <w:rFonts w:cstheme="minorHAnsi"/>
          <w:spacing w:val="17"/>
          <w:w w:val="105"/>
        </w:rPr>
        <w:t xml:space="preserve"> </w:t>
      </w:r>
      <w:r w:rsidRPr="00E06806">
        <w:rPr>
          <w:rFonts w:cstheme="minorHAnsi"/>
          <w:w w:val="105"/>
        </w:rPr>
        <w:t>priority</w:t>
      </w:r>
      <w:r w:rsidRPr="00E06806">
        <w:rPr>
          <w:rFonts w:cstheme="minorHAnsi"/>
          <w:spacing w:val="17"/>
          <w:w w:val="105"/>
        </w:rPr>
        <w:t xml:space="preserve"> </w:t>
      </w:r>
      <w:r w:rsidRPr="00E06806">
        <w:rPr>
          <w:rFonts w:cstheme="minorHAnsi"/>
          <w:w w:val="105"/>
        </w:rPr>
        <w:t>in</w:t>
      </w:r>
      <w:r w:rsidRPr="00E06806">
        <w:rPr>
          <w:rFonts w:cstheme="minorHAnsi"/>
          <w:spacing w:val="17"/>
          <w:w w:val="105"/>
        </w:rPr>
        <w:t xml:space="preserve"> </w:t>
      </w:r>
      <w:r w:rsidRPr="00E06806">
        <w:rPr>
          <w:rFonts w:cstheme="minorHAnsi"/>
          <w:w w:val="105"/>
        </w:rPr>
        <w:t>all</w:t>
      </w:r>
      <w:r w:rsidRPr="00E06806">
        <w:rPr>
          <w:rFonts w:cstheme="minorHAnsi"/>
          <w:spacing w:val="17"/>
          <w:w w:val="105"/>
        </w:rPr>
        <w:t xml:space="preserve"> </w:t>
      </w:r>
      <w:r w:rsidRPr="00E06806">
        <w:rPr>
          <w:rFonts w:cstheme="minorHAnsi"/>
          <w:w w:val="105"/>
        </w:rPr>
        <w:t>USDOL</w:t>
      </w:r>
      <w:r w:rsidRPr="00E06806">
        <w:rPr>
          <w:rFonts w:cstheme="minorHAnsi"/>
          <w:w w:val="110"/>
        </w:rPr>
        <w:t xml:space="preserve"> </w:t>
      </w:r>
      <w:r w:rsidRPr="00E06806">
        <w:rPr>
          <w:rFonts w:cstheme="minorHAnsi"/>
          <w:w w:val="105"/>
        </w:rPr>
        <w:t>programs</w:t>
      </w:r>
      <w:r w:rsidRPr="00E06806">
        <w:rPr>
          <w:rFonts w:cstheme="minorHAnsi"/>
          <w:spacing w:val="14"/>
          <w:w w:val="105"/>
        </w:rPr>
        <w:t xml:space="preserve"> </w:t>
      </w:r>
      <w:r w:rsidRPr="00E06806">
        <w:rPr>
          <w:rFonts w:cstheme="minorHAnsi"/>
          <w:w w:val="105"/>
        </w:rPr>
        <w:t>funded</w:t>
      </w:r>
      <w:r w:rsidRPr="00E06806">
        <w:rPr>
          <w:rFonts w:cstheme="minorHAnsi"/>
          <w:spacing w:val="14"/>
          <w:w w:val="105"/>
        </w:rPr>
        <w:t xml:space="preserve"> </w:t>
      </w:r>
      <w:r w:rsidRPr="00E06806">
        <w:rPr>
          <w:rFonts w:cstheme="minorHAnsi"/>
          <w:w w:val="105"/>
        </w:rPr>
        <w:t>in</w:t>
      </w:r>
      <w:r w:rsidRPr="00E06806">
        <w:rPr>
          <w:rFonts w:cstheme="minorHAnsi"/>
          <w:spacing w:val="14"/>
          <w:w w:val="105"/>
        </w:rPr>
        <w:t xml:space="preserve"> </w:t>
      </w:r>
      <w:r w:rsidRPr="00E06806">
        <w:rPr>
          <w:rFonts w:cstheme="minorHAnsi"/>
          <w:w w:val="105"/>
        </w:rPr>
        <w:t>whole</w:t>
      </w:r>
      <w:r w:rsidRPr="00E06806">
        <w:rPr>
          <w:rFonts w:cstheme="minorHAnsi"/>
          <w:spacing w:val="14"/>
          <w:w w:val="105"/>
        </w:rPr>
        <w:t xml:space="preserve"> </w:t>
      </w:r>
      <w:r w:rsidRPr="00E06806">
        <w:rPr>
          <w:rFonts w:cstheme="minorHAnsi"/>
          <w:w w:val="105"/>
        </w:rPr>
        <w:t>or</w:t>
      </w:r>
      <w:r w:rsidRPr="00E06806">
        <w:rPr>
          <w:rFonts w:cstheme="minorHAnsi"/>
          <w:spacing w:val="14"/>
          <w:w w:val="105"/>
        </w:rPr>
        <w:t xml:space="preserve"> </w:t>
      </w:r>
      <w:r w:rsidRPr="00E06806">
        <w:rPr>
          <w:rFonts w:cstheme="minorHAnsi"/>
          <w:w w:val="105"/>
        </w:rPr>
        <w:t>in</w:t>
      </w:r>
      <w:r w:rsidRPr="00E06806">
        <w:rPr>
          <w:rFonts w:cstheme="minorHAnsi"/>
          <w:spacing w:val="14"/>
          <w:w w:val="105"/>
        </w:rPr>
        <w:t xml:space="preserve"> </w:t>
      </w:r>
      <w:r w:rsidRPr="00E06806">
        <w:rPr>
          <w:rFonts w:cstheme="minorHAnsi"/>
          <w:w w:val="105"/>
        </w:rPr>
        <w:t>part</w:t>
      </w:r>
      <w:r w:rsidRPr="00E06806">
        <w:rPr>
          <w:rFonts w:cstheme="minorHAnsi"/>
          <w:spacing w:val="14"/>
          <w:w w:val="105"/>
        </w:rPr>
        <w:t xml:space="preserve"> </w:t>
      </w:r>
      <w:r w:rsidRPr="00E06806">
        <w:rPr>
          <w:rFonts w:cstheme="minorHAnsi"/>
          <w:w w:val="105"/>
        </w:rPr>
        <w:t>operating</w:t>
      </w:r>
      <w:r w:rsidRPr="00E06806">
        <w:rPr>
          <w:rFonts w:cstheme="minorHAnsi"/>
          <w:spacing w:val="14"/>
          <w:w w:val="105"/>
        </w:rPr>
        <w:t xml:space="preserve"> </w:t>
      </w:r>
      <w:r w:rsidRPr="00E06806">
        <w:rPr>
          <w:rFonts w:cstheme="minorHAnsi"/>
          <w:w w:val="105"/>
        </w:rPr>
        <w:t>in</w:t>
      </w:r>
      <w:r w:rsidRPr="00E06806">
        <w:rPr>
          <w:rFonts w:cstheme="minorHAnsi"/>
          <w:spacing w:val="14"/>
          <w:w w:val="105"/>
        </w:rPr>
        <w:t xml:space="preserve"> </w:t>
      </w:r>
      <w:r w:rsidRPr="00E06806">
        <w:rPr>
          <w:rFonts w:cstheme="minorHAnsi"/>
          <w:w w:val="105"/>
        </w:rPr>
        <w:t>Florida’s</w:t>
      </w:r>
      <w:r w:rsidRPr="00E06806">
        <w:rPr>
          <w:rFonts w:cstheme="minorHAnsi"/>
          <w:spacing w:val="14"/>
          <w:w w:val="105"/>
        </w:rPr>
        <w:t xml:space="preserve"> </w:t>
      </w:r>
      <w:r w:rsidRPr="00E06806">
        <w:rPr>
          <w:rFonts w:cstheme="minorHAnsi"/>
          <w:w w:val="105"/>
        </w:rPr>
        <w:t>career</w:t>
      </w:r>
      <w:r w:rsidRPr="00E06806">
        <w:rPr>
          <w:rFonts w:cstheme="minorHAnsi"/>
          <w:spacing w:val="14"/>
          <w:w w:val="105"/>
        </w:rPr>
        <w:t xml:space="preserve"> </w:t>
      </w:r>
      <w:r w:rsidRPr="00E06806">
        <w:rPr>
          <w:rFonts w:cstheme="minorHAnsi"/>
          <w:spacing w:val="-3"/>
          <w:w w:val="105"/>
        </w:rPr>
        <w:t>centers.</w:t>
      </w:r>
    </w:p>
    <w:p w14:paraId="6817B4DB" w14:textId="77777777" w:rsidR="003C446B" w:rsidRPr="00E06806" w:rsidRDefault="003C446B" w:rsidP="00D63204">
      <w:pPr>
        <w:widowControl w:val="0"/>
        <w:spacing w:before="195" w:after="0" w:line="264" w:lineRule="exact"/>
        <w:ind w:left="107"/>
        <w:rPr>
          <w:rFonts w:cstheme="minorHAnsi"/>
        </w:rPr>
      </w:pPr>
    </w:p>
    <w:bookmarkEnd w:id="94"/>
    <w:p w14:paraId="714778FD" w14:textId="77777777" w:rsidR="003E4D10" w:rsidRPr="00E06806" w:rsidRDefault="003E4D10" w:rsidP="00D63204">
      <w:pPr>
        <w:widowControl w:val="0"/>
        <w:spacing w:after="0" w:line="240" w:lineRule="auto"/>
        <w:ind w:left="107"/>
        <w:outlineLvl w:val="2"/>
        <w:rPr>
          <w:rFonts w:cstheme="minorHAnsi"/>
          <w:b/>
          <w:bCs/>
          <w:color w:val="231F20"/>
          <w:w w:val="105"/>
        </w:rPr>
      </w:pPr>
    </w:p>
    <w:p w14:paraId="6D442CDB" w14:textId="4D8E906D" w:rsidR="00EA7458" w:rsidRPr="00E06806" w:rsidRDefault="00EA7458" w:rsidP="00D63204">
      <w:pPr>
        <w:widowControl w:val="0"/>
        <w:spacing w:after="0" w:line="240" w:lineRule="auto"/>
        <w:ind w:left="107"/>
        <w:outlineLvl w:val="2"/>
        <w:rPr>
          <w:rFonts w:cstheme="minorHAnsi"/>
        </w:rPr>
      </w:pPr>
      <w:r w:rsidRPr="00E06806">
        <w:rPr>
          <w:rFonts w:cstheme="minorHAnsi"/>
          <w:b/>
          <w:bCs/>
          <w:color w:val="231F20"/>
          <w:w w:val="105"/>
        </w:rPr>
        <w:lastRenderedPageBreak/>
        <w:t>Programs include but are not limited</w:t>
      </w:r>
      <w:r w:rsidRPr="00E06806">
        <w:rPr>
          <w:rFonts w:cstheme="minorHAnsi"/>
          <w:b/>
          <w:bCs/>
          <w:color w:val="231F20"/>
          <w:spacing w:val="25"/>
          <w:w w:val="105"/>
        </w:rPr>
        <w:t xml:space="preserve"> </w:t>
      </w:r>
      <w:r w:rsidRPr="00E06806">
        <w:rPr>
          <w:rFonts w:cstheme="minorHAnsi"/>
          <w:b/>
          <w:bCs/>
          <w:color w:val="231F20"/>
          <w:w w:val="105"/>
        </w:rPr>
        <w:t>to:</w:t>
      </w:r>
    </w:p>
    <w:p w14:paraId="3DB1EBD6" w14:textId="5CB62E69" w:rsidR="003E4D10" w:rsidRPr="004D5944" w:rsidRDefault="003E4D10" w:rsidP="00D63204">
      <w:pPr>
        <w:pStyle w:val="ListParagraph"/>
        <w:widowControl w:val="0"/>
        <w:numPr>
          <w:ilvl w:val="0"/>
          <w:numId w:val="36"/>
        </w:numPr>
        <w:tabs>
          <w:tab w:val="left" w:pos="668"/>
        </w:tabs>
        <w:spacing w:before="195" w:after="0" w:line="240" w:lineRule="auto"/>
        <w:rPr>
          <w:rFonts w:cstheme="minorHAnsi"/>
          <w:color w:val="231F20"/>
        </w:rPr>
      </w:pPr>
      <w:r w:rsidRPr="004D5944">
        <w:rPr>
          <w:rFonts w:cstheme="minorHAnsi"/>
          <w:color w:val="231F20"/>
          <w:spacing w:val="-3"/>
          <w:w w:val="105"/>
        </w:rPr>
        <w:t>WIOA</w:t>
      </w:r>
      <w:r w:rsidRPr="004D5944">
        <w:rPr>
          <w:rFonts w:cstheme="minorHAnsi"/>
          <w:color w:val="231F20"/>
          <w:spacing w:val="4"/>
          <w:w w:val="105"/>
        </w:rPr>
        <w:t xml:space="preserve"> </w:t>
      </w:r>
      <w:r w:rsidRPr="004D5944">
        <w:rPr>
          <w:rFonts w:cstheme="minorHAnsi"/>
          <w:color w:val="231F20"/>
          <w:w w:val="105"/>
        </w:rPr>
        <w:t>Adult</w:t>
      </w:r>
    </w:p>
    <w:p w14:paraId="541F50C7" w14:textId="77777777" w:rsidR="004D5944" w:rsidRPr="004D5944" w:rsidRDefault="004D5944" w:rsidP="00D63204">
      <w:pPr>
        <w:pStyle w:val="ListParagraph"/>
        <w:widowControl w:val="0"/>
        <w:tabs>
          <w:tab w:val="left" w:pos="668"/>
        </w:tabs>
        <w:spacing w:before="195" w:after="0" w:line="240" w:lineRule="auto"/>
        <w:ind w:left="827"/>
        <w:rPr>
          <w:rFonts w:cstheme="minorHAnsi"/>
          <w:color w:val="231F20"/>
        </w:rPr>
      </w:pPr>
    </w:p>
    <w:p w14:paraId="6DB139F2" w14:textId="777D37DA" w:rsidR="003E4D10" w:rsidRPr="004D5944" w:rsidRDefault="003E4D10" w:rsidP="00D63204">
      <w:pPr>
        <w:pStyle w:val="ListParagraph"/>
        <w:widowControl w:val="0"/>
        <w:numPr>
          <w:ilvl w:val="0"/>
          <w:numId w:val="36"/>
        </w:numPr>
        <w:tabs>
          <w:tab w:val="left" w:pos="668"/>
        </w:tabs>
        <w:spacing w:before="85" w:after="0" w:line="240" w:lineRule="auto"/>
        <w:rPr>
          <w:rFonts w:cstheme="minorHAnsi"/>
          <w:color w:val="231F20"/>
        </w:rPr>
      </w:pPr>
      <w:r w:rsidRPr="004D5944">
        <w:rPr>
          <w:rFonts w:cstheme="minorHAnsi"/>
          <w:color w:val="231F20"/>
          <w:spacing w:val="-3"/>
          <w:w w:val="105"/>
        </w:rPr>
        <w:t xml:space="preserve">WIOA </w:t>
      </w:r>
      <w:r w:rsidRPr="004D5944">
        <w:rPr>
          <w:rFonts w:cstheme="minorHAnsi"/>
          <w:color w:val="231F20"/>
          <w:w w:val="105"/>
        </w:rPr>
        <w:t>Dislocated</w:t>
      </w:r>
      <w:r w:rsidRPr="004D5944">
        <w:rPr>
          <w:rFonts w:cstheme="minorHAnsi"/>
          <w:color w:val="231F20"/>
          <w:spacing w:val="12"/>
          <w:w w:val="105"/>
        </w:rPr>
        <w:t xml:space="preserve"> </w:t>
      </w:r>
      <w:r w:rsidRPr="004D5944">
        <w:rPr>
          <w:rFonts w:cstheme="minorHAnsi"/>
          <w:color w:val="231F20"/>
          <w:w w:val="105"/>
        </w:rPr>
        <w:t>Worker</w:t>
      </w:r>
    </w:p>
    <w:p w14:paraId="19D49864" w14:textId="77777777" w:rsidR="004D5944" w:rsidRPr="004D5944" w:rsidRDefault="004D5944" w:rsidP="00D63204">
      <w:pPr>
        <w:pStyle w:val="ListParagraph"/>
        <w:widowControl w:val="0"/>
        <w:tabs>
          <w:tab w:val="left" w:pos="668"/>
        </w:tabs>
        <w:spacing w:before="85" w:after="0" w:line="240" w:lineRule="auto"/>
        <w:ind w:left="827"/>
        <w:rPr>
          <w:rFonts w:cstheme="minorHAnsi"/>
          <w:color w:val="231F20"/>
        </w:rPr>
      </w:pPr>
    </w:p>
    <w:p w14:paraId="4308E483" w14:textId="1F8637BA" w:rsidR="003E4D10" w:rsidRPr="004D5944" w:rsidRDefault="003E4D10" w:rsidP="00D63204">
      <w:pPr>
        <w:pStyle w:val="ListParagraph"/>
        <w:widowControl w:val="0"/>
        <w:numPr>
          <w:ilvl w:val="0"/>
          <w:numId w:val="36"/>
        </w:numPr>
        <w:tabs>
          <w:tab w:val="left" w:pos="668"/>
        </w:tabs>
        <w:spacing w:before="85" w:after="0" w:line="240" w:lineRule="auto"/>
        <w:rPr>
          <w:rFonts w:cstheme="minorHAnsi"/>
          <w:color w:val="231F20"/>
        </w:rPr>
      </w:pPr>
      <w:r w:rsidRPr="004D5944">
        <w:rPr>
          <w:rFonts w:cstheme="minorHAnsi"/>
          <w:color w:val="231F20"/>
          <w:w w:val="105"/>
        </w:rPr>
        <w:t>National Dislocated Worker Grants</w:t>
      </w:r>
      <w:r w:rsidRPr="004D5944">
        <w:rPr>
          <w:rFonts w:cstheme="minorHAnsi"/>
          <w:color w:val="231F20"/>
          <w:spacing w:val="14"/>
          <w:w w:val="105"/>
        </w:rPr>
        <w:t xml:space="preserve"> </w:t>
      </w:r>
      <w:r w:rsidRPr="004D5944">
        <w:rPr>
          <w:rFonts w:cstheme="minorHAnsi"/>
          <w:color w:val="231F20"/>
          <w:w w:val="105"/>
        </w:rPr>
        <w:t>(NDWG)</w:t>
      </w:r>
    </w:p>
    <w:p w14:paraId="7B14ADD0" w14:textId="77777777" w:rsidR="004D5944" w:rsidRPr="004D5944" w:rsidRDefault="004D5944" w:rsidP="00D63204">
      <w:pPr>
        <w:pStyle w:val="ListParagraph"/>
        <w:widowControl w:val="0"/>
        <w:tabs>
          <w:tab w:val="left" w:pos="668"/>
        </w:tabs>
        <w:spacing w:before="85" w:after="0" w:line="240" w:lineRule="auto"/>
        <w:ind w:left="827"/>
        <w:rPr>
          <w:rFonts w:cstheme="minorHAnsi"/>
          <w:color w:val="231F20"/>
        </w:rPr>
      </w:pPr>
    </w:p>
    <w:p w14:paraId="47334923" w14:textId="4343F0CF" w:rsidR="003E4D10" w:rsidRPr="004D5944" w:rsidRDefault="003E4D10" w:rsidP="00D63204">
      <w:pPr>
        <w:pStyle w:val="ListParagraph"/>
        <w:widowControl w:val="0"/>
        <w:numPr>
          <w:ilvl w:val="0"/>
          <w:numId w:val="36"/>
        </w:numPr>
        <w:tabs>
          <w:tab w:val="left" w:pos="668"/>
        </w:tabs>
        <w:spacing w:before="85" w:after="0" w:line="240" w:lineRule="auto"/>
        <w:rPr>
          <w:rFonts w:cstheme="minorHAnsi"/>
          <w:color w:val="231F20"/>
        </w:rPr>
      </w:pPr>
      <w:r w:rsidRPr="004D5944">
        <w:rPr>
          <w:rFonts w:cstheme="minorHAnsi"/>
          <w:color w:val="231F20"/>
          <w:w w:val="105"/>
        </w:rPr>
        <w:t>Wagner-Peyser State</w:t>
      </w:r>
      <w:r w:rsidRPr="004D5944">
        <w:rPr>
          <w:rFonts w:cstheme="minorHAnsi"/>
          <w:color w:val="231F20"/>
          <w:spacing w:val="9"/>
          <w:w w:val="105"/>
        </w:rPr>
        <w:t xml:space="preserve"> </w:t>
      </w:r>
      <w:r w:rsidRPr="004D5944">
        <w:rPr>
          <w:rFonts w:cstheme="minorHAnsi"/>
          <w:color w:val="231F20"/>
          <w:w w:val="105"/>
        </w:rPr>
        <w:t>Grants</w:t>
      </w:r>
    </w:p>
    <w:p w14:paraId="207A1449" w14:textId="77777777" w:rsidR="004D5944" w:rsidRPr="004D5944" w:rsidRDefault="004D5944" w:rsidP="00D63204">
      <w:pPr>
        <w:pStyle w:val="ListParagraph"/>
        <w:widowControl w:val="0"/>
        <w:tabs>
          <w:tab w:val="left" w:pos="668"/>
        </w:tabs>
        <w:spacing w:before="85" w:after="0" w:line="240" w:lineRule="auto"/>
        <w:ind w:left="827"/>
        <w:rPr>
          <w:rFonts w:cstheme="minorHAnsi"/>
          <w:color w:val="231F20"/>
        </w:rPr>
      </w:pPr>
    </w:p>
    <w:p w14:paraId="15898B80" w14:textId="07593BC7" w:rsidR="003E4D10" w:rsidRPr="004D5944" w:rsidRDefault="003E4D10" w:rsidP="00D63204">
      <w:pPr>
        <w:pStyle w:val="ListParagraph"/>
        <w:widowControl w:val="0"/>
        <w:numPr>
          <w:ilvl w:val="0"/>
          <w:numId w:val="36"/>
        </w:numPr>
        <w:tabs>
          <w:tab w:val="left" w:pos="668"/>
        </w:tabs>
        <w:spacing w:before="85" w:after="0" w:line="240" w:lineRule="auto"/>
        <w:rPr>
          <w:rFonts w:cstheme="minorHAnsi"/>
          <w:color w:val="231F20"/>
        </w:rPr>
      </w:pPr>
      <w:r w:rsidRPr="004D5944">
        <w:rPr>
          <w:rFonts w:cstheme="minorHAnsi"/>
          <w:color w:val="231F20"/>
          <w:spacing w:val="-4"/>
          <w:w w:val="110"/>
        </w:rPr>
        <w:t xml:space="preserve">Trade </w:t>
      </w:r>
      <w:r w:rsidRPr="004D5944">
        <w:rPr>
          <w:rFonts w:cstheme="minorHAnsi"/>
          <w:color w:val="231F20"/>
          <w:w w:val="110"/>
        </w:rPr>
        <w:t>Adjustment Assistance</w:t>
      </w:r>
      <w:r w:rsidRPr="004D5944">
        <w:rPr>
          <w:rFonts w:cstheme="minorHAnsi"/>
          <w:color w:val="231F20"/>
          <w:spacing w:val="8"/>
          <w:w w:val="110"/>
        </w:rPr>
        <w:t xml:space="preserve"> </w:t>
      </w:r>
      <w:r w:rsidRPr="004D5944">
        <w:rPr>
          <w:rFonts w:cstheme="minorHAnsi"/>
          <w:color w:val="231F20"/>
          <w:spacing w:val="-3"/>
          <w:w w:val="110"/>
        </w:rPr>
        <w:t>(TAA)</w:t>
      </w:r>
    </w:p>
    <w:p w14:paraId="0556F48A" w14:textId="77777777" w:rsidR="004D5944" w:rsidRPr="004D5944" w:rsidRDefault="004D5944" w:rsidP="00D63204">
      <w:pPr>
        <w:pStyle w:val="ListParagraph"/>
        <w:widowControl w:val="0"/>
        <w:tabs>
          <w:tab w:val="left" w:pos="668"/>
        </w:tabs>
        <w:spacing w:before="85" w:after="0" w:line="240" w:lineRule="auto"/>
        <w:ind w:left="827"/>
        <w:rPr>
          <w:rFonts w:cstheme="minorHAnsi"/>
          <w:color w:val="231F20"/>
        </w:rPr>
      </w:pPr>
    </w:p>
    <w:p w14:paraId="58B9616D" w14:textId="77777777" w:rsidR="003E4D10" w:rsidRPr="004D5944" w:rsidRDefault="003E4D10" w:rsidP="00D63204">
      <w:pPr>
        <w:pStyle w:val="ListParagraph"/>
        <w:widowControl w:val="0"/>
        <w:numPr>
          <w:ilvl w:val="0"/>
          <w:numId w:val="36"/>
        </w:numPr>
        <w:tabs>
          <w:tab w:val="left" w:pos="668"/>
        </w:tabs>
        <w:spacing w:before="85" w:after="0" w:line="240" w:lineRule="auto"/>
        <w:rPr>
          <w:rFonts w:cstheme="minorHAnsi"/>
          <w:color w:val="231F20"/>
        </w:rPr>
      </w:pPr>
      <w:r w:rsidRPr="004D5944">
        <w:rPr>
          <w:rFonts w:cstheme="minorHAnsi"/>
          <w:color w:val="231F20"/>
          <w:w w:val="105"/>
        </w:rPr>
        <w:t>Senior Community Service Employment</w:t>
      </w:r>
      <w:r w:rsidRPr="004D5944">
        <w:rPr>
          <w:rFonts w:cstheme="minorHAnsi"/>
          <w:color w:val="231F20"/>
          <w:spacing w:val="21"/>
          <w:w w:val="105"/>
        </w:rPr>
        <w:t xml:space="preserve"> </w:t>
      </w:r>
      <w:r w:rsidRPr="004D5944">
        <w:rPr>
          <w:rFonts w:cstheme="minorHAnsi"/>
          <w:color w:val="231F20"/>
          <w:w w:val="105"/>
        </w:rPr>
        <w:t>Program</w:t>
      </w:r>
    </w:p>
    <w:p w14:paraId="6A811A29" w14:textId="77777777" w:rsidR="00EA7458" w:rsidRPr="00E06806" w:rsidRDefault="00EA7458" w:rsidP="00D63204">
      <w:pPr>
        <w:widowControl w:val="0"/>
        <w:spacing w:before="8" w:after="0" w:line="240" w:lineRule="auto"/>
        <w:ind w:left="107"/>
        <w:rPr>
          <w:rFonts w:cstheme="minorHAnsi"/>
          <w:sz w:val="28"/>
          <w:szCs w:val="28"/>
        </w:rPr>
      </w:pPr>
    </w:p>
    <w:p w14:paraId="75D58F3A" w14:textId="239DC139" w:rsidR="00EA7458" w:rsidRPr="00E06806" w:rsidRDefault="00EA7458" w:rsidP="00D63204">
      <w:pPr>
        <w:widowControl w:val="0"/>
        <w:spacing w:after="0" w:line="240" w:lineRule="auto"/>
        <w:ind w:left="107"/>
        <w:outlineLvl w:val="2"/>
        <w:rPr>
          <w:rFonts w:cstheme="minorHAnsi"/>
        </w:rPr>
      </w:pPr>
      <w:r w:rsidRPr="00E06806">
        <w:rPr>
          <w:rFonts w:cstheme="minorHAnsi"/>
          <w:b/>
          <w:bCs/>
          <w:color w:val="231F20"/>
          <w:w w:val="105"/>
        </w:rPr>
        <w:t>Additional programs include:</w:t>
      </w:r>
    </w:p>
    <w:p w14:paraId="1CE49956" w14:textId="222845FB" w:rsidR="00EA7458" w:rsidRPr="00E06806" w:rsidRDefault="00454139" w:rsidP="00D63204">
      <w:pPr>
        <w:widowControl w:val="0"/>
        <w:tabs>
          <w:tab w:val="left" w:pos="668"/>
        </w:tabs>
        <w:spacing w:before="195" w:after="0" w:line="240" w:lineRule="auto"/>
        <w:rPr>
          <w:rFonts w:cstheme="minorHAnsi"/>
          <w:color w:val="231F20"/>
        </w:rPr>
      </w:pPr>
      <w:r>
        <w:rPr>
          <w:rFonts w:cstheme="minorHAnsi"/>
          <w:color w:val="231F20"/>
          <w:spacing w:val="-3"/>
          <w:w w:val="105"/>
        </w:rPr>
        <w:t xml:space="preserve">  </w:t>
      </w:r>
      <w:r w:rsidR="00EA7458" w:rsidRPr="00E06806">
        <w:rPr>
          <w:rFonts w:cstheme="minorHAnsi"/>
          <w:color w:val="231F20"/>
          <w:spacing w:val="-3"/>
          <w:w w:val="105"/>
        </w:rPr>
        <w:t xml:space="preserve">WIOA </w:t>
      </w:r>
      <w:r w:rsidR="00EA7458" w:rsidRPr="00E06806">
        <w:rPr>
          <w:rFonts w:cstheme="minorHAnsi"/>
          <w:color w:val="231F20"/>
          <w:spacing w:val="-5"/>
          <w:w w:val="105"/>
        </w:rPr>
        <w:t>Youth</w:t>
      </w:r>
      <w:r w:rsidR="00EA7458" w:rsidRPr="00E06806">
        <w:rPr>
          <w:rFonts w:cstheme="minorHAnsi"/>
          <w:color w:val="231F20"/>
          <w:spacing w:val="12"/>
          <w:w w:val="105"/>
        </w:rPr>
        <w:t xml:space="preserve"> </w:t>
      </w:r>
      <w:r w:rsidR="00EA7458" w:rsidRPr="00E06806">
        <w:rPr>
          <w:rFonts w:cstheme="minorHAnsi"/>
          <w:color w:val="231F20"/>
          <w:w w:val="105"/>
        </w:rPr>
        <w:t>Program</w:t>
      </w:r>
    </w:p>
    <w:p w14:paraId="08DB3610" w14:textId="3866A58D" w:rsidR="00EA7458" w:rsidRDefault="00EA7458" w:rsidP="00D63204">
      <w:pPr>
        <w:pStyle w:val="ListParagraph"/>
        <w:widowControl w:val="0"/>
        <w:numPr>
          <w:ilvl w:val="0"/>
          <w:numId w:val="36"/>
        </w:numPr>
        <w:tabs>
          <w:tab w:val="left" w:pos="668"/>
        </w:tabs>
        <w:spacing w:before="195" w:after="0" w:line="240" w:lineRule="auto"/>
        <w:rPr>
          <w:rFonts w:cstheme="minorHAnsi"/>
          <w:color w:val="231F20"/>
          <w:spacing w:val="-3"/>
          <w:w w:val="105"/>
        </w:rPr>
      </w:pPr>
      <w:r w:rsidRPr="004D5944">
        <w:rPr>
          <w:rFonts w:cstheme="minorHAnsi"/>
          <w:color w:val="231F20"/>
          <w:spacing w:val="-3"/>
          <w:w w:val="105"/>
        </w:rPr>
        <w:t>Community-Based Job Funding Grants</w:t>
      </w:r>
    </w:p>
    <w:p w14:paraId="54E9F2E1" w14:textId="77777777" w:rsidR="004D5944" w:rsidRPr="004D5944" w:rsidRDefault="004D5944" w:rsidP="00D63204">
      <w:pPr>
        <w:pStyle w:val="ListParagraph"/>
        <w:widowControl w:val="0"/>
        <w:tabs>
          <w:tab w:val="left" w:pos="668"/>
        </w:tabs>
        <w:spacing w:before="195" w:after="0" w:line="240" w:lineRule="auto"/>
        <w:ind w:left="827"/>
        <w:rPr>
          <w:rFonts w:cstheme="minorHAnsi"/>
          <w:color w:val="231F20"/>
          <w:spacing w:val="-3"/>
          <w:w w:val="105"/>
        </w:rPr>
      </w:pPr>
    </w:p>
    <w:p w14:paraId="5CB5B1AB" w14:textId="2A64A9E9" w:rsidR="00EA7458" w:rsidRDefault="00EA7458" w:rsidP="00D63204">
      <w:pPr>
        <w:pStyle w:val="ListParagraph"/>
        <w:widowControl w:val="0"/>
        <w:numPr>
          <w:ilvl w:val="0"/>
          <w:numId w:val="36"/>
        </w:numPr>
        <w:tabs>
          <w:tab w:val="left" w:pos="668"/>
        </w:tabs>
        <w:spacing w:before="195" w:after="0" w:line="240" w:lineRule="auto"/>
        <w:rPr>
          <w:rFonts w:cstheme="minorHAnsi"/>
          <w:color w:val="231F20"/>
          <w:spacing w:val="-3"/>
          <w:w w:val="105"/>
        </w:rPr>
      </w:pPr>
      <w:r w:rsidRPr="004D5944">
        <w:rPr>
          <w:rFonts w:cstheme="minorHAnsi"/>
          <w:color w:val="231F20"/>
          <w:spacing w:val="-3"/>
          <w:w w:val="105"/>
        </w:rPr>
        <w:t>Migrant and Seasonal Farm Worker Program (MSFW)</w:t>
      </w:r>
    </w:p>
    <w:p w14:paraId="72D70D28" w14:textId="1358C56B" w:rsidR="004D5944" w:rsidRPr="004D5944" w:rsidRDefault="004D5944" w:rsidP="004D5944">
      <w:pPr>
        <w:pStyle w:val="ListParagraph"/>
        <w:rPr>
          <w:rFonts w:cstheme="minorHAnsi"/>
          <w:color w:val="231F20"/>
          <w:spacing w:val="-3"/>
          <w:w w:val="105"/>
        </w:rPr>
      </w:pPr>
    </w:p>
    <w:p w14:paraId="416DCD41" w14:textId="75347AA8" w:rsidR="00EA7458" w:rsidRDefault="00EA7458" w:rsidP="00D63204">
      <w:pPr>
        <w:pStyle w:val="ListParagraph"/>
        <w:widowControl w:val="0"/>
        <w:numPr>
          <w:ilvl w:val="0"/>
          <w:numId w:val="36"/>
        </w:numPr>
        <w:tabs>
          <w:tab w:val="left" w:pos="668"/>
        </w:tabs>
        <w:spacing w:before="195" w:after="0" w:line="240" w:lineRule="auto"/>
        <w:rPr>
          <w:rFonts w:cstheme="minorHAnsi"/>
          <w:color w:val="231F20"/>
          <w:spacing w:val="-3"/>
          <w:w w:val="105"/>
        </w:rPr>
      </w:pPr>
      <w:r w:rsidRPr="004D5944">
        <w:rPr>
          <w:rFonts w:cstheme="minorHAnsi"/>
          <w:color w:val="231F20"/>
          <w:spacing w:val="-3"/>
          <w:w w:val="105"/>
        </w:rPr>
        <w:t>Indian and Native American Program</w:t>
      </w:r>
    </w:p>
    <w:p w14:paraId="79526707" w14:textId="31A7214B" w:rsidR="004D5944" w:rsidRPr="004D5944" w:rsidRDefault="004D5944" w:rsidP="004D5944">
      <w:pPr>
        <w:pStyle w:val="ListParagraph"/>
        <w:rPr>
          <w:rFonts w:cstheme="minorHAnsi"/>
          <w:color w:val="231F20"/>
          <w:spacing w:val="-3"/>
          <w:w w:val="105"/>
        </w:rPr>
      </w:pPr>
    </w:p>
    <w:p w14:paraId="2C68122D" w14:textId="5E36F5A8" w:rsidR="00EA7458" w:rsidRDefault="00EA7458" w:rsidP="00D63204">
      <w:pPr>
        <w:pStyle w:val="ListParagraph"/>
        <w:widowControl w:val="0"/>
        <w:numPr>
          <w:ilvl w:val="0"/>
          <w:numId w:val="36"/>
        </w:numPr>
        <w:tabs>
          <w:tab w:val="left" w:pos="668"/>
        </w:tabs>
        <w:spacing w:before="195" w:after="0" w:line="240" w:lineRule="auto"/>
        <w:rPr>
          <w:rFonts w:cstheme="minorHAnsi"/>
          <w:color w:val="231F20"/>
          <w:spacing w:val="-3"/>
          <w:w w:val="105"/>
        </w:rPr>
      </w:pPr>
      <w:r w:rsidRPr="004D5944">
        <w:rPr>
          <w:rFonts w:cstheme="minorHAnsi"/>
          <w:color w:val="231F20"/>
          <w:spacing w:val="-3"/>
          <w:w w:val="105"/>
        </w:rPr>
        <w:t xml:space="preserve">H-1B </w:t>
      </w:r>
      <w:r w:rsidRPr="00E06806">
        <w:rPr>
          <w:rFonts w:cstheme="minorHAnsi"/>
          <w:color w:val="231F20"/>
          <w:spacing w:val="-3"/>
          <w:w w:val="105"/>
        </w:rPr>
        <w:t xml:space="preserve">Technical </w:t>
      </w:r>
      <w:r w:rsidRPr="004D5944">
        <w:rPr>
          <w:rFonts w:cstheme="minorHAnsi"/>
          <w:color w:val="231F20"/>
          <w:spacing w:val="-3"/>
          <w:w w:val="105"/>
        </w:rPr>
        <w:t xml:space="preserve">Skills </w:t>
      </w:r>
      <w:r w:rsidRPr="00E06806">
        <w:rPr>
          <w:rFonts w:cstheme="minorHAnsi"/>
          <w:color w:val="231F20"/>
          <w:spacing w:val="-3"/>
          <w:w w:val="105"/>
        </w:rPr>
        <w:t>Training</w:t>
      </w:r>
      <w:r w:rsidRPr="004D5944">
        <w:rPr>
          <w:rFonts w:cstheme="minorHAnsi"/>
          <w:color w:val="231F20"/>
          <w:spacing w:val="-3"/>
          <w:w w:val="105"/>
        </w:rPr>
        <w:t xml:space="preserve"> Grants</w:t>
      </w:r>
    </w:p>
    <w:p w14:paraId="7D7B1820" w14:textId="59D08202" w:rsidR="004D5944" w:rsidRPr="004D5944" w:rsidRDefault="004D5944" w:rsidP="004D5944">
      <w:pPr>
        <w:pStyle w:val="ListParagraph"/>
        <w:rPr>
          <w:rFonts w:cstheme="minorHAnsi"/>
          <w:color w:val="231F20"/>
          <w:spacing w:val="-3"/>
          <w:w w:val="105"/>
        </w:rPr>
      </w:pPr>
    </w:p>
    <w:p w14:paraId="2F8E20D7" w14:textId="2AC9E077" w:rsidR="00EA7458" w:rsidRDefault="00EA7458" w:rsidP="00D63204">
      <w:pPr>
        <w:pStyle w:val="ListParagraph"/>
        <w:widowControl w:val="0"/>
        <w:numPr>
          <w:ilvl w:val="0"/>
          <w:numId w:val="36"/>
        </w:numPr>
        <w:tabs>
          <w:tab w:val="left" w:pos="668"/>
        </w:tabs>
        <w:spacing w:before="195" w:after="0" w:line="240" w:lineRule="auto"/>
        <w:rPr>
          <w:rFonts w:cstheme="minorHAnsi"/>
          <w:color w:val="231F20"/>
          <w:spacing w:val="-3"/>
          <w:w w:val="105"/>
        </w:rPr>
      </w:pPr>
      <w:r w:rsidRPr="004D5944">
        <w:rPr>
          <w:rFonts w:cstheme="minorHAnsi"/>
          <w:color w:val="231F20"/>
          <w:spacing w:val="-3"/>
          <w:w w:val="105"/>
        </w:rPr>
        <w:t>Office of Disability Employment Programs</w:t>
      </w:r>
    </w:p>
    <w:p w14:paraId="165115DB" w14:textId="77777777" w:rsidR="005B326C" w:rsidRPr="005B326C" w:rsidRDefault="005B326C" w:rsidP="005B326C">
      <w:pPr>
        <w:pStyle w:val="ListParagraph"/>
        <w:rPr>
          <w:rFonts w:cstheme="minorHAnsi"/>
          <w:color w:val="231F20"/>
          <w:spacing w:val="-3"/>
          <w:w w:val="105"/>
        </w:rPr>
      </w:pPr>
    </w:p>
    <w:p w14:paraId="7A8E9F6F" w14:textId="1F7E3983" w:rsidR="00EA7458" w:rsidRDefault="00EA7458" w:rsidP="00D63204">
      <w:pPr>
        <w:pStyle w:val="ListParagraph"/>
        <w:widowControl w:val="0"/>
        <w:numPr>
          <w:ilvl w:val="0"/>
          <w:numId w:val="36"/>
        </w:numPr>
        <w:tabs>
          <w:tab w:val="left" w:pos="668"/>
        </w:tabs>
        <w:spacing w:before="195" w:after="0" w:line="240" w:lineRule="auto"/>
        <w:rPr>
          <w:rFonts w:cstheme="minorHAnsi"/>
          <w:color w:val="231F20"/>
          <w:spacing w:val="-3"/>
          <w:w w:val="105"/>
        </w:rPr>
      </w:pPr>
      <w:r w:rsidRPr="004D5944">
        <w:rPr>
          <w:rFonts w:cstheme="minorHAnsi"/>
          <w:color w:val="231F20"/>
          <w:spacing w:val="-3"/>
          <w:w w:val="105"/>
        </w:rPr>
        <w:t>Labor Market Information Formula Grants</w:t>
      </w:r>
    </w:p>
    <w:p w14:paraId="48711B4D" w14:textId="60F9B0E2" w:rsidR="004D5944" w:rsidRPr="004D5944" w:rsidRDefault="004D5944" w:rsidP="004D5944">
      <w:pPr>
        <w:pStyle w:val="ListParagraph"/>
        <w:rPr>
          <w:rFonts w:cstheme="minorHAnsi"/>
          <w:color w:val="231F20"/>
          <w:spacing w:val="-3"/>
          <w:w w:val="105"/>
        </w:rPr>
      </w:pPr>
    </w:p>
    <w:p w14:paraId="4C876287" w14:textId="41AC257B" w:rsidR="00EA7458" w:rsidRDefault="00EA7458" w:rsidP="00D63204">
      <w:pPr>
        <w:pStyle w:val="ListParagraph"/>
        <w:widowControl w:val="0"/>
        <w:numPr>
          <w:ilvl w:val="0"/>
          <w:numId w:val="36"/>
        </w:numPr>
        <w:tabs>
          <w:tab w:val="left" w:pos="668"/>
        </w:tabs>
        <w:spacing w:before="195" w:after="0" w:line="240" w:lineRule="auto"/>
        <w:rPr>
          <w:rFonts w:cstheme="minorHAnsi"/>
          <w:color w:val="231F20"/>
          <w:spacing w:val="-3"/>
          <w:w w:val="105"/>
        </w:rPr>
      </w:pPr>
      <w:r w:rsidRPr="004D5944">
        <w:rPr>
          <w:rFonts w:cstheme="minorHAnsi"/>
          <w:color w:val="231F20"/>
          <w:spacing w:val="-3"/>
          <w:w w:val="105"/>
        </w:rPr>
        <w:t>Pilots and Demonstration Grants</w:t>
      </w:r>
    </w:p>
    <w:p w14:paraId="0426B15C" w14:textId="436049F0" w:rsidR="004D5944" w:rsidRPr="004D5944" w:rsidRDefault="004D5944" w:rsidP="004D5944">
      <w:pPr>
        <w:pStyle w:val="ListParagraph"/>
        <w:rPr>
          <w:rFonts w:cstheme="minorHAnsi"/>
          <w:color w:val="231F20"/>
          <w:spacing w:val="-3"/>
          <w:w w:val="105"/>
        </w:rPr>
      </w:pPr>
    </w:p>
    <w:p w14:paraId="00DBC2F8" w14:textId="494196E4" w:rsidR="00EA7458" w:rsidRDefault="00EA7458" w:rsidP="00D63204">
      <w:pPr>
        <w:pStyle w:val="ListParagraph"/>
        <w:widowControl w:val="0"/>
        <w:numPr>
          <w:ilvl w:val="0"/>
          <w:numId w:val="36"/>
        </w:numPr>
        <w:tabs>
          <w:tab w:val="left" w:pos="668"/>
        </w:tabs>
        <w:spacing w:before="195" w:after="0" w:line="240" w:lineRule="auto"/>
        <w:rPr>
          <w:rFonts w:cstheme="minorHAnsi"/>
          <w:color w:val="231F20"/>
          <w:spacing w:val="-3"/>
          <w:w w:val="105"/>
        </w:rPr>
      </w:pPr>
      <w:r w:rsidRPr="004D5944">
        <w:rPr>
          <w:rFonts w:cstheme="minorHAnsi"/>
          <w:color w:val="231F20"/>
          <w:spacing w:val="-3"/>
          <w:w w:val="105"/>
        </w:rPr>
        <w:t>Research and Development</w:t>
      </w:r>
    </w:p>
    <w:p w14:paraId="74467F38" w14:textId="4FEBEC3D" w:rsidR="004D5944" w:rsidRPr="004D5944" w:rsidRDefault="004D5944" w:rsidP="004D5944">
      <w:pPr>
        <w:pStyle w:val="ListParagraph"/>
        <w:rPr>
          <w:rFonts w:cstheme="minorHAnsi"/>
          <w:color w:val="231F20"/>
          <w:spacing w:val="-3"/>
          <w:w w:val="105"/>
        </w:rPr>
      </w:pPr>
    </w:p>
    <w:p w14:paraId="09D3431E" w14:textId="26C11139" w:rsidR="00EA7458" w:rsidRDefault="00EA7458" w:rsidP="00D63204">
      <w:pPr>
        <w:pStyle w:val="ListParagraph"/>
        <w:widowControl w:val="0"/>
        <w:numPr>
          <w:ilvl w:val="0"/>
          <w:numId w:val="36"/>
        </w:numPr>
        <w:tabs>
          <w:tab w:val="left" w:pos="668"/>
        </w:tabs>
        <w:spacing w:before="195" w:after="0" w:line="240" w:lineRule="auto"/>
        <w:rPr>
          <w:rFonts w:cstheme="minorHAnsi"/>
          <w:color w:val="231F20"/>
          <w:spacing w:val="-3"/>
          <w:w w:val="105"/>
        </w:rPr>
      </w:pPr>
      <w:r w:rsidRPr="004D5944">
        <w:rPr>
          <w:rFonts w:cstheme="minorHAnsi"/>
          <w:color w:val="231F20"/>
          <w:spacing w:val="-3"/>
          <w:w w:val="105"/>
        </w:rPr>
        <w:t xml:space="preserve">Other </w:t>
      </w:r>
      <w:r w:rsidR="005B2162">
        <w:rPr>
          <w:rFonts w:cstheme="minorHAnsi"/>
          <w:color w:val="231F20"/>
          <w:spacing w:val="-3"/>
          <w:w w:val="105"/>
        </w:rPr>
        <w:t>i</w:t>
      </w:r>
      <w:r w:rsidRPr="004D5944">
        <w:rPr>
          <w:rFonts w:cstheme="minorHAnsi"/>
          <w:color w:val="231F20"/>
          <w:spacing w:val="-3"/>
          <w:w w:val="105"/>
        </w:rPr>
        <w:t>nternet</w:t>
      </w:r>
      <w:r w:rsidR="005B2162">
        <w:rPr>
          <w:rFonts w:cstheme="minorHAnsi"/>
          <w:color w:val="231F20"/>
          <w:spacing w:val="-3"/>
          <w:w w:val="105"/>
        </w:rPr>
        <w:t>-</w:t>
      </w:r>
      <w:r w:rsidRPr="004D5944">
        <w:rPr>
          <w:rFonts w:cstheme="minorHAnsi"/>
          <w:color w:val="231F20"/>
          <w:spacing w:val="-3"/>
          <w:w w:val="105"/>
        </w:rPr>
        <w:t>based tools operated by USDOL grantees</w:t>
      </w:r>
    </w:p>
    <w:p w14:paraId="1871A9AD" w14:textId="77777777" w:rsidR="004D5944" w:rsidRPr="004D5944" w:rsidRDefault="004D5944" w:rsidP="004D5944">
      <w:pPr>
        <w:pStyle w:val="ListParagraph"/>
        <w:rPr>
          <w:rFonts w:cstheme="minorHAnsi"/>
          <w:color w:val="231F20"/>
          <w:spacing w:val="-3"/>
          <w:w w:val="105"/>
        </w:rPr>
      </w:pPr>
    </w:p>
    <w:p w14:paraId="08C29106" w14:textId="77777777" w:rsidR="00EA7458" w:rsidRPr="00E06806" w:rsidRDefault="00EA7458" w:rsidP="00D63204">
      <w:pPr>
        <w:widowControl w:val="0"/>
        <w:spacing w:before="85" w:after="0" w:line="240" w:lineRule="auto"/>
        <w:ind w:left="107"/>
        <w:outlineLvl w:val="2"/>
        <w:rPr>
          <w:rFonts w:cstheme="minorHAnsi"/>
        </w:rPr>
      </w:pPr>
      <w:r w:rsidRPr="00E06806">
        <w:rPr>
          <w:rFonts w:cstheme="minorHAnsi"/>
          <w:b/>
          <w:bCs/>
          <w:color w:val="231F20"/>
          <w:w w:val="105"/>
        </w:rPr>
        <w:t>Other examples of Priority of Services for veterans include the following:</w:t>
      </w:r>
    </w:p>
    <w:p w14:paraId="2B4237DC" w14:textId="51A53324" w:rsidR="00EA7458" w:rsidRPr="00454139" w:rsidRDefault="00EA7458" w:rsidP="00D63204">
      <w:pPr>
        <w:pStyle w:val="ListParagraph"/>
        <w:widowControl w:val="0"/>
        <w:numPr>
          <w:ilvl w:val="0"/>
          <w:numId w:val="36"/>
        </w:numPr>
        <w:tabs>
          <w:tab w:val="left" w:pos="668"/>
        </w:tabs>
        <w:spacing w:before="195" w:after="0" w:line="240" w:lineRule="auto"/>
        <w:ind w:left="720" w:hanging="270"/>
        <w:rPr>
          <w:rFonts w:cstheme="minorHAnsi"/>
          <w:color w:val="231F20"/>
          <w:spacing w:val="-3"/>
          <w:w w:val="105"/>
        </w:rPr>
      </w:pPr>
      <w:r w:rsidRPr="00454139">
        <w:rPr>
          <w:rFonts w:cstheme="minorHAnsi"/>
          <w:color w:val="231F20"/>
          <w:spacing w:val="-3"/>
          <w:w w:val="105"/>
        </w:rPr>
        <w:t>Referral of qualified veterans to new job openings, especially federal contractor job orders, prior to all non-veteran job referral activity</w:t>
      </w:r>
    </w:p>
    <w:p w14:paraId="49A7DA26" w14:textId="77777777" w:rsidR="004D5944" w:rsidRPr="00454139" w:rsidRDefault="004D5944" w:rsidP="00D63204">
      <w:pPr>
        <w:pStyle w:val="ListParagraph"/>
        <w:widowControl w:val="0"/>
        <w:tabs>
          <w:tab w:val="left" w:pos="668"/>
        </w:tabs>
        <w:spacing w:before="195" w:after="0" w:line="240" w:lineRule="auto"/>
        <w:ind w:left="827"/>
        <w:rPr>
          <w:rFonts w:cstheme="minorHAnsi"/>
          <w:color w:val="231F20"/>
          <w:spacing w:val="-3"/>
          <w:w w:val="105"/>
        </w:rPr>
      </w:pPr>
    </w:p>
    <w:p w14:paraId="2665B63F" w14:textId="228E3797" w:rsidR="00EA7458" w:rsidRPr="00454139" w:rsidRDefault="00EA7458" w:rsidP="00D63204">
      <w:pPr>
        <w:pStyle w:val="ListParagraph"/>
        <w:widowControl w:val="0"/>
        <w:numPr>
          <w:ilvl w:val="0"/>
          <w:numId w:val="36"/>
        </w:numPr>
        <w:tabs>
          <w:tab w:val="left" w:pos="668"/>
        </w:tabs>
        <w:spacing w:before="195" w:after="0" w:line="240" w:lineRule="auto"/>
        <w:rPr>
          <w:rFonts w:cstheme="minorHAnsi"/>
          <w:color w:val="231F20"/>
          <w:spacing w:val="-3"/>
          <w:w w:val="105"/>
        </w:rPr>
      </w:pPr>
      <w:r w:rsidRPr="00454139">
        <w:rPr>
          <w:rFonts w:cstheme="minorHAnsi"/>
          <w:color w:val="231F20"/>
          <w:spacing w:val="-3"/>
          <w:w w:val="105"/>
        </w:rPr>
        <w:t>Job fairs for veterans</w:t>
      </w:r>
      <w:r w:rsidR="00FF0D31" w:rsidRPr="00454139">
        <w:rPr>
          <w:rFonts w:cstheme="minorHAnsi"/>
          <w:color w:val="231F20"/>
          <w:spacing w:val="-3"/>
          <w:w w:val="105"/>
        </w:rPr>
        <w:t xml:space="preserve"> and all-inclusive job fairs giving priority to veterans</w:t>
      </w:r>
    </w:p>
    <w:p w14:paraId="46C3FCD6" w14:textId="77777777" w:rsidR="00EA7458" w:rsidRPr="00E06806" w:rsidRDefault="00EA7458" w:rsidP="00D63204">
      <w:pPr>
        <w:widowControl w:val="0"/>
        <w:spacing w:before="4" w:after="0" w:line="240" w:lineRule="auto"/>
        <w:ind w:left="107"/>
        <w:rPr>
          <w:rFonts w:cstheme="minorHAnsi"/>
          <w:sz w:val="14"/>
          <w:szCs w:val="14"/>
        </w:rPr>
      </w:pPr>
    </w:p>
    <w:p w14:paraId="67C76E7A" w14:textId="5A1560AD" w:rsidR="00EA7458" w:rsidRPr="00E06806" w:rsidRDefault="00B77AC4" w:rsidP="00D63204">
      <w:pPr>
        <w:widowControl w:val="0"/>
        <w:spacing w:after="0" w:line="240" w:lineRule="auto"/>
        <w:ind w:left="107"/>
        <w:outlineLvl w:val="2"/>
        <w:rPr>
          <w:rFonts w:cstheme="minorHAnsi"/>
        </w:rPr>
      </w:pPr>
      <w:r>
        <w:rPr>
          <w:rFonts w:cstheme="minorHAnsi"/>
          <w:b/>
          <w:bCs/>
          <w:color w:val="231F20"/>
          <w:w w:val="110"/>
        </w:rPr>
        <w:br/>
      </w:r>
      <w:r w:rsidR="00EA7458" w:rsidRPr="00E06806">
        <w:rPr>
          <w:rFonts w:cstheme="minorHAnsi"/>
          <w:b/>
          <w:bCs/>
          <w:color w:val="231F20"/>
          <w:w w:val="110"/>
        </w:rPr>
        <w:t>Significant Barriers to Employment</w:t>
      </w:r>
      <w:r w:rsidR="00EA7458" w:rsidRPr="00E06806">
        <w:rPr>
          <w:rFonts w:cstheme="minorHAnsi"/>
          <w:b/>
          <w:bCs/>
          <w:color w:val="231F20"/>
          <w:spacing w:val="-21"/>
          <w:w w:val="110"/>
        </w:rPr>
        <w:t xml:space="preserve"> </w:t>
      </w:r>
      <w:r w:rsidR="00EA7458" w:rsidRPr="00E06806">
        <w:rPr>
          <w:rFonts w:cstheme="minorHAnsi"/>
          <w:b/>
          <w:bCs/>
          <w:color w:val="231F20"/>
          <w:w w:val="110"/>
        </w:rPr>
        <w:t>(SBE)</w:t>
      </w:r>
    </w:p>
    <w:p w14:paraId="27518E58" w14:textId="01700BDC" w:rsidR="003E4D10" w:rsidRPr="00F91106" w:rsidRDefault="003E4D10" w:rsidP="00F91106">
      <w:pPr>
        <w:widowControl w:val="0"/>
        <w:spacing w:before="193" w:after="0" w:line="264" w:lineRule="exact"/>
        <w:ind w:left="107"/>
        <w:rPr>
          <w:rFonts w:cstheme="minorHAnsi"/>
          <w:color w:val="231F20"/>
          <w:w w:val="105"/>
        </w:rPr>
      </w:pPr>
      <w:r w:rsidRPr="00F91106">
        <w:rPr>
          <w:rFonts w:cstheme="minorHAnsi"/>
          <w:color w:val="231F20"/>
          <w:w w:val="105"/>
        </w:rPr>
        <w:lastRenderedPageBreak/>
        <w:t xml:space="preserve">Florida’s Jobs for Veterans State Grant (JVSG) refocusing is a partnership between DEO and the </w:t>
      </w:r>
      <w:r w:rsidR="006008DA" w:rsidRPr="00F91106">
        <w:rPr>
          <w:rFonts w:cstheme="minorHAnsi"/>
          <w:color w:val="231F20"/>
          <w:w w:val="105"/>
        </w:rPr>
        <w:t xml:space="preserve">U.S. </w:t>
      </w:r>
      <w:r w:rsidRPr="00F91106">
        <w:rPr>
          <w:rFonts w:cstheme="minorHAnsi"/>
          <w:color w:val="231F20"/>
          <w:w w:val="105"/>
        </w:rPr>
        <w:t>Department of Labor/Veterans Employment and Training Service (VETS) established to meet the employment needs of veterans and eligible customers who contact local career centers throughout the state. Frontline/WP/WIOA staff focus on providing core services and initial assessment to veterans seeking employment assistance (majority of veterans will be served by frontline/WP/WIOA staff).</w:t>
      </w:r>
    </w:p>
    <w:p w14:paraId="5665AA6C" w14:textId="5B482726" w:rsidR="003E4D10" w:rsidRPr="00E06806" w:rsidRDefault="003E4D10" w:rsidP="00E142FE">
      <w:pPr>
        <w:widowControl w:val="0"/>
        <w:spacing w:before="193" w:after="0" w:line="264" w:lineRule="exact"/>
        <w:ind w:left="107"/>
        <w:rPr>
          <w:rFonts w:cstheme="minorHAnsi"/>
          <w:sz w:val="16"/>
          <w:szCs w:val="16"/>
        </w:rPr>
      </w:pPr>
      <w:r w:rsidRPr="00E142FE">
        <w:rPr>
          <w:rFonts w:cstheme="minorHAnsi"/>
          <w:color w:val="231F20"/>
          <w:w w:val="105"/>
        </w:rPr>
        <w:t>DVOP specialists only provide intensive services to veterans with identified SBE(s). DVOP specialists determine potential SBE population using ETA 9173, which is a quarterly report and the ETA 9169, which is an annual report.</w:t>
      </w:r>
    </w:p>
    <w:p w14:paraId="2943E921" w14:textId="2468822D" w:rsidR="00EA7458" w:rsidRPr="00E142FE" w:rsidRDefault="003E4D10" w:rsidP="00E142FE">
      <w:pPr>
        <w:widowControl w:val="0"/>
        <w:spacing w:before="193" w:after="0" w:line="264" w:lineRule="exact"/>
        <w:ind w:left="107"/>
        <w:rPr>
          <w:rFonts w:cstheme="minorHAnsi"/>
          <w:color w:val="231F20"/>
          <w:w w:val="105"/>
        </w:rPr>
      </w:pPr>
      <w:r w:rsidRPr="00E142FE">
        <w:rPr>
          <w:rFonts w:cstheme="minorHAnsi"/>
          <w:color w:val="231F20"/>
          <w:w w:val="105"/>
        </w:rPr>
        <w:t xml:space="preserve">Local Veterans’ Employment Representative </w:t>
      </w:r>
      <w:r w:rsidR="00AA6045" w:rsidRPr="00E142FE">
        <w:rPr>
          <w:rFonts w:cstheme="minorHAnsi"/>
          <w:color w:val="231F20"/>
          <w:w w:val="105"/>
        </w:rPr>
        <w:t>(</w:t>
      </w:r>
      <w:r w:rsidRPr="00E142FE">
        <w:rPr>
          <w:rFonts w:cstheme="minorHAnsi"/>
          <w:color w:val="231F20"/>
          <w:w w:val="105"/>
        </w:rPr>
        <w:t>LVER</w:t>
      </w:r>
      <w:r w:rsidR="00AA6045" w:rsidRPr="00E142FE">
        <w:rPr>
          <w:rFonts w:cstheme="minorHAnsi"/>
          <w:color w:val="231F20"/>
          <w:w w:val="105"/>
        </w:rPr>
        <w:t>)</w:t>
      </w:r>
      <w:r w:rsidRPr="00E142FE">
        <w:rPr>
          <w:rFonts w:cstheme="minorHAnsi"/>
          <w:color w:val="231F20"/>
          <w:w w:val="105"/>
        </w:rPr>
        <w:t xml:space="preserve"> staff conduct employer outreach and job development in local communities on behalf of all veterans served through local career centers, including working directly with the DVOPs with case managed veterans with SBE(s).</w:t>
      </w:r>
    </w:p>
    <w:p w14:paraId="2D537194" w14:textId="4AE8DD63" w:rsidR="00EA7458" w:rsidRPr="00E142FE" w:rsidRDefault="00F85559" w:rsidP="00E142FE">
      <w:pPr>
        <w:widowControl w:val="0"/>
        <w:spacing w:before="193" w:after="0" w:line="264" w:lineRule="exact"/>
        <w:ind w:left="107"/>
        <w:rPr>
          <w:rFonts w:cstheme="minorHAnsi"/>
          <w:color w:val="231F20"/>
          <w:w w:val="105"/>
        </w:rPr>
      </w:pPr>
      <w:r w:rsidRPr="00E142FE">
        <w:rPr>
          <w:rFonts w:cstheme="minorHAnsi"/>
          <w:color w:val="231F20"/>
          <w:w w:val="105"/>
        </w:rPr>
        <w:t xml:space="preserve">Veterans entering career centers </w:t>
      </w:r>
      <w:r w:rsidR="00EA7458" w:rsidRPr="00E142FE">
        <w:rPr>
          <w:rFonts w:cstheme="minorHAnsi"/>
          <w:color w:val="231F20"/>
          <w:w w:val="105"/>
        </w:rPr>
        <w:t xml:space="preserve">are identified and asked to complete the veterans’ initial intake questionnaire. </w:t>
      </w:r>
      <w:r w:rsidRPr="00E142FE">
        <w:rPr>
          <w:rFonts w:cstheme="minorHAnsi"/>
          <w:color w:val="231F20"/>
          <w:w w:val="105"/>
        </w:rPr>
        <w:t xml:space="preserve">Customers </w:t>
      </w:r>
      <w:r w:rsidR="00EA7458" w:rsidRPr="00E142FE">
        <w:rPr>
          <w:rFonts w:cstheme="minorHAnsi"/>
          <w:color w:val="231F20"/>
          <w:w w:val="105"/>
        </w:rPr>
        <w:t>are directed to the first available career center staff with their completed initial intake form.</w:t>
      </w:r>
    </w:p>
    <w:p w14:paraId="2790CA3C" w14:textId="1AD95C3B" w:rsidR="00EA7458" w:rsidRPr="00E142FE" w:rsidRDefault="00F85559" w:rsidP="00E142FE">
      <w:pPr>
        <w:widowControl w:val="0"/>
        <w:spacing w:before="193" w:after="0" w:line="264" w:lineRule="exact"/>
        <w:ind w:left="107"/>
        <w:rPr>
          <w:rFonts w:cstheme="minorHAnsi"/>
          <w:color w:val="231F20"/>
          <w:w w:val="105"/>
        </w:rPr>
      </w:pPr>
      <w:r w:rsidRPr="00E142FE">
        <w:rPr>
          <w:rFonts w:cstheme="minorHAnsi"/>
          <w:color w:val="231F20"/>
          <w:w w:val="105"/>
        </w:rPr>
        <w:t xml:space="preserve">Veterans </w:t>
      </w:r>
      <w:r w:rsidR="00EA7458" w:rsidRPr="00E142FE">
        <w:rPr>
          <w:rFonts w:cstheme="minorHAnsi"/>
          <w:color w:val="231F20"/>
          <w:w w:val="105"/>
        </w:rPr>
        <w:t>are notified of Veterans Priority of Service (POS) and their intake questionnaire is reviewed</w:t>
      </w:r>
      <w:r w:rsidRPr="00E142FE">
        <w:rPr>
          <w:rFonts w:cstheme="minorHAnsi"/>
          <w:color w:val="231F20"/>
          <w:w w:val="105"/>
        </w:rPr>
        <w:t xml:space="preserve">. A </w:t>
      </w:r>
      <w:r w:rsidR="00EA7458" w:rsidRPr="00E142FE">
        <w:rPr>
          <w:rFonts w:cstheme="minorHAnsi"/>
          <w:color w:val="231F20"/>
          <w:w w:val="105"/>
        </w:rPr>
        <w:t xml:space="preserve">complete initial assessment is conducted. </w:t>
      </w:r>
      <w:r w:rsidRPr="00E142FE">
        <w:rPr>
          <w:rFonts w:cstheme="minorHAnsi"/>
          <w:color w:val="231F20"/>
          <w:w w:val="105"/>
        </w:rPr>
        <w:t xml:space="preserve">Customers </w:t>
      </w:r>
      <w:r w:rsidR="00EA7458" w:rsidRPr="00E142FE">
        <w:rPr>
          <w:rFonts w:cstheme="minorHAnsi"/>
          <w:color w:val="231F20"/>
          <w:w w:val="105"/>
        </w:rPr>
        <w:t>are only referred to a DVOP specialist if an SBE is identified during the initial assessment. The identified SBE(s) is documented in the case notes prior to referral.</w:t>
      </w:r>
    </w:p>
    <w:p w14:paraId="4CC7AF84" w14:textId="1ECE7A2F" w:rsidR="005B326C" w:rsidRPr="00E142FE" w:rsidRDefault="00EA7458" w:rsidP="00E142FE">
      <w:pPr>
        <w:widowControl w:val="0"/>
        <w:spacing w:before="193" w:after="0" w:line="264" w:lineRule="exact"/>
        <w:ind w:left="107"/>
        <w:rPr>
          <w:rFonts w:cstheme="minorHAnsi"/>
          <w:color w:val="231F20"/>
          <w:w w:val="105"/>
        </w:rPr>
      </w:pPr>
      <w:r w:rsidRPr="00E142FE">
        <w:rPr>
          <w:rFonts w:cstheme="minorHAnsi"/>
          <w:color w:val="231F20"/>
          <w:w w:val="105"/>
        </w:rPr>
        <w:t>The DVOP complete</w:t>
      </w:r>
      <w:r w:rsidR="00F85559" w:rsidRPr="00E142FE">
        <w:rPr>
          <w:rFonts w:cstheme="minorHAnsi"/>
          <w:color w:val="231F20"/>
          <w:w w:val="105"/>
        </w:rPr>
        <w:t>s</w:t>
      </w:r>
      <w:r w:rsidRPr="00E142FE">
        <w:rPr>
          <w:rFonts w:cstheme="minorHAnsi"/>
          <w:color w:val="231F20"/>
          <w:w w:val="105"/>
        </w:rPr>
        <w:t xml:space="preserve"> an objective assessment</w:t>
      </w:r>
      <w:r w:rsidR="00F85559" w:rsidRPr="00E142FE">
        <w:rPr>
          <w:rFonts w:cstheme="minorHAnsi"/>
          <w:color w:val="231F20"/>
          <w:w w:val="105"/>
        </w:rPr>
        <w:t>,</w:t>
      </w:r>
      <w:r w:rsidRPr="00E142FE">
        <w:rPr>
          <w:rFonts w:cstheme="minorHAnsi"/>
          <w:color w:val="231F20"/>
          <w:w w:val="105"/>
        </w:rPr>
        <w:t xml:space="preserve"> then proceed</w:t>
      </w:r>
      <w:r w:rsidR="00F85559" w:rsidRPr="00E142FE">
        <w:rPr>
          <w:rFonts w:cstheme="minorHAnsi"/>
          <w:color w:val="231F20"/>
          <w:w w:val="105"/>
        </w:rPr>
        <w:t>s</w:t>
      </w:r>
      <w:r w:rsidRPr="00E142FE">
        <w:rPr>
          <w:rFonts w:cstheme="minorHAnsi"/>
          <w:color w:val="231F20"/>
          <w:w w:val="105"/>
        </w:rPr>
        <w:t xml:space="preserve"> as appropriate for each individual veteran job seeker.</w:t>
      </w:r>
    </w:p>
    <w:p w14:paraId="1FECF0F8" w14:textId="77777777" w:rsidR="007247F3" w:rsidRPr="00E06806" w:rsidRDefault="007247F3" w:rsidP="00D63204">
      <w:pPr>
        <w:widowControl w:val="0"/>
        <w:spacing w:before="5" w:after="0" w:line="240" w:lineRule="auto"/>
        <w:ind w:left="107"/>
        <w:rPr>
          <w:rFonts w:cstheme="minorHAnsi"/>
          <w:sz w:val="16"/>
          <w:szCs w:val="16"/>
        </w:rPr>
      </w:pPr>
    </w:p>
    <w:p w14:paraId="0164472F" w14:textId="27C1E384" w:rsidR="00EA7458" w:rsidRPr="007247F3" w:rsidRDefault="00EA7458" w:rsidP="00D63204">
      <w:pPr>
        <w:pStyle w:val="ListParagraph"/>
        <w:widowControl w:val="0"/>
        <w:numPr>
          <w:ilvl w:val="2"/>
          <w:numId w:val="6"/>
        </w:numPr>
        <w:tabs>
          <w:tab w:val="left" w:pos="1548"/>
        </w:tabs>
        <w:spacing w:before="5" w:after="0" w:line="240" w:lineRule="auto"/>
        <w:outlineLvl w:val="2"/>
        <w:rPr>
          <w:rFonts w:cstheme="minorHAnsi"/>
          <w:b/>
          <w:bCs/>
          <w:sz w:val="16"/>
          <w:szCs w:val="16"/>
        </w:rPr>
      </w:pPr>
      <w:r w:rsidRPr="007247F3">
        <w:rPr>
          <w:rFonts w:cstheme="minorHAnsi"/>
          <w:b/>
          <w:bCs/>
          <w:color w:val="295CA3"/>
          <w:w w:val="110"/>
        </w:rPr>
        <w:t>Addressing</w:t>
      </w:r>
      <w:r w:rsidRPr="007247F3">
        <w:rPr>
          <w:rFonts w:cstheme="minorHAnsi"/>
          <w:b/>
          <w:bCs/>
          <w:color w:val="295CA3"/>
          <w:spacing w:val="-7"/>
          <w:w w:val="110"/>
        </w:rPr>
        <w:t xml:space="preserve"> </w:t>
      </w:r>
      <w:r w:rsidRPr="007247F3">
        <w:rPr>
          <w:rFonts w:cstheme="minorHAnsi"/>
          <w:b/>
          <w:bCs/>
          <w:color w:val="295CA3"/>
          <w:w w:val="110"/>
        </w:rPr>
        <w:t>the</w:t>
      </w:r>
      <w:r w:rsidRPr="007247F3">
        <w:rPr>
          <w:rFonts w:cstheme="minorHAnsi"/>
          <w:b/>
          <w:bCs/>
          <w:color w:val="295CA3"/>
          <w:spacing w:val="-7"/>
          <w:w w:val="110"/>
        </w:rPr>
        <w:t xml:space="preserve"> </w:t>
      </w:r>
      <w:r w:rsidRPr="007247F3">
        <w:rPr>
          <w:rFonts w:cstheme="minorHAnsi"/>
          <w:b/>
          <w:bCs/>
          <w:color w:val="295CA3"/>
          <w:w w:val="110"/>
        </w:rPr>
        <w:t>Accessibility</w:t>
      </w:r>
      <w:r w:rsidRPr="007247F3">
        <w:rPr>
          <w:rFonts w:cstheme="minorHAnsi"/>
          <w:b/>
          <w:bCs/>
          <w:color w:val="295CA3"/>
          <w:spacing w:val="-7"/>
          <w:w w:val="110"/>
        </w:rPr>
        <w:t xml:space="preserve"> </w:t>
      </w:r>
      <w:r w:rsidRPr="007247F3">
        <w:rPr>
          <w:rFonts w:cstheme="minorHAnsi"/>
          <w:b/>
          <w:bCs/>
          <w:color w:val="295CA3"/>
          <w:w w:val="110"/>
        </w:rPr>
        <w:t>of</w:t>
      </w:r>
      <w:r w:rsidRPr="007247F3">
        <w:rPr>
          <w:rFonts w:cstheme="minorHAnsi"/>
          <w:b/>
          <w:bCs/>
          <w:color w:val="295CA3"/>
          <w:spacing w:val="-7"/>
          <w:w w:val="110"/>
        </w:rPr>
        <w:t xml:space="preserve"> </w:t>
      </w:r>
      <w:r w:rsidRPr="007247F3">
        <w:rPr>
          <w:rFonts w:cstheme="minorHAnsi"/>
          <w:b/>
          <w:bCs/>
          <w:color w:val="295CA3"/>
          <w:w w:val="110"/>
        </w:rPr>
        <w:t>the</w:t>
      </w:r>
      <w:r w:rsidRPr="007247F3">
        <w:rPr>
          <w:rFonts w:cstheme="minorHAnsi"/>
          <w:b/>
          <w:bCs/>
          <w:color w:val="295CA3"/>
          <w:spacing w:val="-7"/>
          <w:w w:val="110"/>
        </w:rPr>
        <w:t xml:space="preserve"> </w:t>
      </w:r>
      <w:r w:rsidRPr="007247F3">
        <w:rPr>
          <w:rFonts w:cstheme="minorHAnsi"/>
          <w:b/>
          <w:bCs/>
          <w:color w:val="295CA3"/>
          <w:w w:val="110"/>
        </w:rPr>
        <w:t>One-Stop</w:t>
      </w:r>
      <w:r w:rsidRPr="007247F3">
        <w:rPr>
          <w:rFonts w:cstheme="minorHAnsi"/>
          <w:b/>
          <w:bCs/>
          <w:color w:val="295CA3"/>
          <w:spacing w:val="-7"/>
          <w:w w:val="110"/>
        </w:rPr>
        <w:t xml:space="preserve"> </w:t>
      </w:r>
      <w:r w:rsidRPr="007247F3">
        <w:rPr>
          <w:rFonts w:cstheme="minorHAnsi"/>
          <w:b/>
          <w:bCs/>
          <w:color w:val="295CA3"/>
          <w:w w:val="110"/>
        </w:rPr>
        <w:t>Delivery</w:t>
      </w:r>
      <w:r w:rsidRPr="007247F3">
        <w:rPr>
          <w:rFonts w:cstheme="minorHAnsi"/>
          <w:b/>
          <w:bCs/>
          <w:color w:val="295CA3"/>
          <w:spacing w:val="-7"/>
          <w:w w:val="110"/>
        </w:rPr>
        <w:t xml:space="preserve"> </w:t>
      </w:r>
      <w:r w:rsidRPr="007247F3">
        <w:rPr>
          <w:rFonts w:cstheme="minorHAnsi"/>
          <w:b/>
          <w:bCs/>
          <w:color w:val="295CA3"/>
          <w:w w:val="110"/>
        </w:rPr>
        <w:t>System</w:t>
      </w:r>
      <w:r w:rsidRPr="007247F3">
        <w:rPr>
          <w:rFonts w:cstheme="minorHAnsi"/>
          <w:b/>
          <w:bCs/>
          <w:color w:val="295CA3"/>
          <w:spacing w:val="-7"/>
          <w:w w:val="110"/>
        </w:rPr>
        <w:t xml:space="preserve"> </w:t>
      </w:r>
      <w:r w:rsidRPr="007247F3">
        <w:rPr>
          <w:rFonts w:cstheme="minorHAnsi"/>
          <w:b/>
          <w:bCs/>
          <w:color w:val="295CA3"/>
          <w:w w:val="110"/>
        </w:rPr>
        <w:t>for</w:t>
      </w:r>
      <w:r w:rsidRPr="007247F3">
        <w:rPr>
          <w:rFonts w:cstheme="minorHAnsi"/>
          <w:b/>
          <w:bCs/>
          <w:color w:val="295CA3"/>
          <w:spacing w:val="-7"/>
          <w:w w:val="110"/>
        </w:rPr>
        <w:t xml:space="preserve"> </w:t>
      </w:r>
      <w:r w:rsidR="004A45CE" w:rsidRPr="007247F3">
        <w:rPr>
          <w:rFonts w:cstheme="minorHAnsi"/>
          <w:b/>
          <w:bCs/>
          <w:color w:val="295CA3"/>
          <w:spacing w:val="-7"/>
          <w:w w:val="110"/>
        </w:rPr>
        <w:t>People with Disabilities</w:t>
      </w:r>
      <w:r w:rsidR="004A45CE" w:rsidRPr="007247F3">
        <w:rPr>
          <w:rFonts w:cstheme="minorHAnsi"/>
          <w:b/>
          <w:bCs/>
          <w:color w:val="295CA3"/>
          <w:spacing w:val="-7"/>
          <w:w w:val="110"/>
        </w:rPr>
        <w:br/>
      </w:r>
    </w:p>
    <w:p w14:paraId="7F0B770A" w14:textId="4FB2D205" w:rsidR="00EA7458" w:rsidRPr="00E06806" w:rsidRDefault="00EA7458" w:rsidP="00D63204">
      <w:pPr>
        <w:widowControl w:val="0"/>
        <w:spacing w:after="0" w:line="264" w:lineRule="exact"/>
        <w:ind w:left="107"/>
        <w:rPr>
          <w:rFonts w:cstheme="minorHAnsi"/>
        </w:rPr>
      </w:pPr>
      <w:r w:rsidRPr="00E06806">
        <w:rPr>
          <w:rFonts w:cstheme="minorHAnsi"/>
          <w:color w:val="231F20"/>
          <w:w w:val="105"/>
        </w:rPr>
        <w:t>The</w:t>
      </w:r>
      <w:r w:rsidRPr="00E06806">
        <w:rPr>
          <w:rFonts w:cstheme="minorHAnsi"/>
          <w:color w:val="231F20"/>
          <w:spacing w:val="11"/>
          <w:w w:val="105"/>
        </w:rPr>
        <w:t xml:space="preserve"> </w:t>
      </w:r>
      <w:r w:rsidRPr="00E06806">
        <w:rPr>
          <w:rFonts w:cstheme="minorHAnsi"/>
          <w:color w:val="231F20"/>
          <w:w w:val="105"/>
        </w:rPr>
        <w:t>DEO</w:t>
      </w:r>
      <w:r w:rsidRPr="00E06806">
        <w:rPr>
          <w:rFonts w:cstheme="minorHAnsi"/>
          <w:color w:val="231F20"/>
          <w:spacing w:val="11"/>
          <w:w w:val="105"/>
        </w:rPr>
        <w:t xml:space="preserve"> </w:t>
      </w:r>
      <w:r w:rsidRPr="00E06806">
        <w:rPr>
          <w:rFonts w:cstheme="minorHAnsi"/>
          <w:color w:val="231F20"/>
          <w:w w:val="105"/>
        </w:rPr>
        <w:t>was</w:t>
      </w:r>
      <w:r w:rsidRPr="00E06806">
        <w:rPr>
          <w:rFonts w:cstheme="minorHAnsi"/>
          <w:color w:val="231F20"/>
          <w:spacing w:val="11"/>
          <w:w w:val="105"/>
        </w:rPr>
        <w:t xml:space="preserve"> </w:t>
      </w:r>
      <w:r w:rsidRPr="00E06806">
        <w:rPr>
          <w:rFonts w:cstheme="minorHAnsi"/>
          <w:color w:val="231F20"/>
          <w:w w:val="105"/>
        </w:rPr>
        <w:t>one</w:t>
      </w:r>
      <w:r w:rsidRPr="00E06806">
        <w:rPr>
          <w:rFonts w:cstheme="minorHAnsi"/>
          <w:color w:val="231F20"/>
          <w:spacing w:val="11"/>
          <w:w w:val="105"/>
        </w:rPr>
        <w:t xml:space="preserve"> </w:t>
      </w:r>
      <w:r w:rsidRPr="00E06806">
        <w:rPr>
          <w:rFonts w:cstheme="minorHAnsi"/>
          <w:color w:val="231F20"/>
          <w:w w:val="105"/>
        </w:rPr>
        <w:t>of</w:t>
      </w:r>
      <w:r w:rsidRPr="00E06806">
        <w:rPr>
          <w:rFonts w:cstheme="minorHAnsi"/>
          <w:color w:val="231F20"/>
          <w:spacing w:val="11"/>
          <w:w w:val="105"/>
        </w:rPr>
        <w:t xml:space="preserve"> </w:t>
      </w:r>
      <w:r w:rsidRPr="00E06806">
        <w:rPr>
          <w:rFonts w:cstheme="minorHAnsi"/>
          <w:color w:val="231F20"/>
          <w:w w:val="105"/>
        </w:rPr>
        <w:t>the</w:t>
      </w:r>
      <w:r w:rsidRPr="00E06806">
        <w:rPr>
          <w:rFonts w:cstheme="minorHAnsi"/>
          <w:color w:val="231F20"/>
          <w:spacing w:val="11"/>
          <w:w w:val="105"/>
        </w:rPr>
        <w:t xml:space="preserve"> </w:t>
      </w:r>
      <w:r w:rsidRPr="00E06806">
        <w:rPr>
          <w:rFonts w:cstheme="minorHAnsi"/>
          <w:color w:val="231F20"/>
          <w:w w:val="105"/>
        </w:rPr>
        <w:t>original</w:t>
      </w:r>
      <w:r w:rsidRPr="00E06806">
        <w:rPr>
          <w:rFonts w:cstheme="minorHAnsi"/>
          <w:color w:val="231F20"/>
          <w:spacing w:val="11"/>
          <w:w w:val="105"/>
        </w:rPr>
        <w:t xml:space="preserve"> </w:t>
      </w:r>
      <w:r w:rsidRPr="00E06806">
        <w:rPr>
          <w:rFonts w:cstheme="minorHAnsi"/>
          <w:color w:val="231F20"/>
          <w:w w:val="105"/>
        </w:rPr>
        <w:t>recipients</w:t>
      </w:r>
      <w:r w:rsidRPr="00E06806">
        <w:rPr>
          <w:rFonts w:cstheme="minorHAnsi"/>
          <w:color w:val="231F20"/>
          <w:spacing w:val="11"/>
          <w:w w:val="105"/>
        </w:rPr>
        <w:t xml:space="preserve"> </w:t>
      </w:r>
      <w:r w:rsidRPr="00E06806">
        <w:rPr>
          <w:rFonts w:cstheme="minorHAnsi"/>
          <w:color w:val="231F20"/>
          <w:w w:val="105"/>
        </w:rPr>
        <w:t>of</w:t>
      </w:r>
      <w:r w:rsidRPr="00E06806">
        <w:rPr>
          <w:rFonts w:cstheme="minorHAnsi"/>
          <w:color w:val="231F20"/>
          <w:spacing w:val="11"/>
          <w:w w:val="105"/>
        </w:rPr>
        <w:t xml:space="preserve"> </w:t>
      </w:r>
      <w:r w:rsidRPr="00E06806">
        <w:rPr>
          <w:rFonts w:cstheme="minorHAnsi"/>
          <w:color w:val="231F20"/>
          <w:w w:val="105"/>
        </w:rPr>
        <w:t>the</w:t>
      </w:r>
      <w:r w:rsidRPr="00E06806">
        <w:rPr>
          <w:rFonts w:cstheme="minorHAnsi"/>
          <w:color w:val="231F20"/>
          <w:spacing w:val="11"/>
          <w:w w:val="105"/>
        </w:rPr>
        <w:t xml:space="preserve"> </w:t>
      </w:r>
      <w:r w:rsidRPr="00E06806">
        <w:rPr>
          <w:rFonts w:cstheme="minorHAnsi"/>
          <w:color w:val="231F20"/>
          <w:w w:val="105"/>
        </w:rPr>
        <w:t>Department</w:t>
      </w:r>
      <w:r w:rsidRPr="00E06806">
        <w:rPr>
          <w:rFonts w:cstheme="minorHAnsi"/>
          <w:color w:val="231F20"/>
          <w:spacing w:val="11"/>
          <w:w w:val="105"/>
        </w:rPr>
        <w:t xml:space="preserve"> </w:t>
      </w:r>
      <w:r w:rsidRPr="00E06806">
        <w:rPr>
          <w:rFonts w:cstheme="minorHAnsi"/>
          <w:color w:val="231F20"/>
          <w:w w:val="105"/>
        </w:rPr>
        <w:t>of</w:t>
      </w:r>
      <w:r w:rsidRPr="00E06806">
        <w:rPr>
          <w:rFonts w:cstheme="minorHAnsi"/>
          <w:color w:val="231F20"/>
          <w:spacing w:val="11"/>
          <w:w w:val="105"/>
        </w:rPr>
        <w:t xml:space="preserve"> </w:t>
      </w:r>
      <w:r w:rsidRPr="00E06806">
        <w:rPr>
          <w:rFonts w:cstheme="minorHAnsi"/>
          <w:color w:val="231F20"/>
          <w:w w:val="105"/>
        </w:rPr>
        <w:t>Labor’s</w:t>
      </w:r>
      <w:r w:rsidRPr="00E06806">
        <w:rPr>
          <w:rFonts w:cstheme="minorHAnsi"/>
          <w:color w:val="231F20"/>
          <w:spacing w:val="11"/>
          <w:w w:val="105"/>
        </w:rPr>
        <w:t xml:space="preserve"> </w:t>
      </w:r>
      <w:r w:rsidRPr="00E06806">
        <w:rPr>
          <w:rFonts w:cstheme="minorHAnsi"/>
          <w:color w:val="231F20"/>
          <w:w w:val="105"/>
        </w:rPr>
        <w:t>Disability</w:t>
      </w:r>
      <w:r w:rsidRPr="00E06806">
        <w:rPr>
          <w:rFonts w:cstheme="minorHAnsi"/>
          <w:color w:val="231F20"/>
          <w:spacing w:val="11"/>
          <w:w w:val="105"/>
        </w:rPr>
        <w:t xml:space="preserve"> </w:t>
      </w:r>
      <w:r w:rsidRPr="00E06806">
        <w:rPr>
          <w:rFonts w:cstheme="minorHAnsi"/>
          <w:color w:val="231F20"/>
          <w:w w:val="105"/>
        </w:rPr>
        <w:t>Program</w:t>
      </w:r>
      <w:r w:rsidRPr="00E06806">
        <w:rPr>
          <w:rFonts w:cstheme="minorHAnsi"/>
          <w:color w:val="231F20"/>
          <w:spacing w:val="11"/>
          <w:w w:val="105"/>
        </w:rPr>
        <w:t xml:space="preserve"> </w:t>
      </w:r>
      <w:r w:rsidRPr="00E06806">
        <w:rPr>
          <w:rFonts w:cstheme="minorHAnsi"/>
          <w:color w:val="231F20"/>
          <w:w w:val="105"/>
        </w:rPr>
        <w:t>Navigator</w:t>
      </w:r>
      <w:r w:rsidRPr="00E06806">
        <w:rPr>
          <w:rFonts w:cstheme="minorHAnsi"/>
          <w:color w:val="231F20"/>
          <w:spacing w:val="-5"/>
          <w:w w:val="105"/>
        </w:rPr>
        <w:t xml:space="preserve"> </w:t>
      </w:r>
      <w:r w:rsidRPr="00E06806">
        <w:rPr>
          <w:rFonts w:cstheme="minorHAnsi"/>
          <w:color w:val="231F20"/>
          <w:w w:val="105"/>
        </w:rPr>
        <w:t>(DPN)</w:t>
      </w:r>
      <w:r w:rsidRPr="00E06806">
        <w:rPr>
          <w:rFonts w:cstheme="minorHAnsi"/>
          <w:color w:val="231F20"/>
          <w:spacing w:val="11"/>
          <w:w w:val="105"/>
        </w:rPr>
        <w:t xml:space="preserve"> </w:t>
      </w:r>
      <w:r w:rsidRPr="00E06806">
        <w:rPr>
          <w:rFonts w:cstheme="minorHAnsi"/>
          <w:color w:val="231F20"/>
          <w:w w:val="105"/>
        </w:rPr>
        <w:t>grant</w:t>
      </w:r>
      <w:r w:rsidRPr="00E06806">
        <w:rPr>
          <w:rFonts w:cstheme="minorHAnsi"/>
          <w:color w:val="231F20"/>
          <w:spacing w:val="11"/>
          <w:w w:val="105"/>
        </w:rPr>
        <w:t xml:space="preserve"> </w:t>
      </w:r>
      <w:r w:rsidRPr="00E06806">
        <w:rPr>
          <w:rFonts w:cstheme="minorHAnsi"/>
          <w:color w:val="231F20"/>
          <w:w w:val="105"/>
        </w:rPr>
        <w:t>in</w:t>
      </w:r>
      <w:r w:rsidRPr="00E06806">
        <w:rPr>
          <w:rFonts w:cstheme="minorHAnsi"/>
          <w:color w:val="231F20"/>
          <w:spacing w:val="11"/>
          <w:w w:val="105"/>
        </w:rPr>
        <w:t xml:space="preserve"> </w:t>
      </w:r>
      <w:r w:rsidRPr="00E06806">
        <w:rPr>
          <w:rFonts w:cstheme="minorHAnsi"/>
          <w:color w:val="231F20"/>
          <w:w w:val="105"/>
        </w:rPr>
        <w:t>2002</w:t>
      </w:r>
      <w:r w:rsidR="00190E3E" w:rsidRPr="00E06806">
        <w:rPr>
          <w:rFonts w:cstheme="minorHAnsi"/>
          <w:color w:val="231F20"/>
          <w:w w:val="105"/>
        </w:rPr>
        <w:t xml:space="preserve"> </w:t>
      </w:r>
      <w:r w:rsidRPr="00E06806">
        <w:rPr>
          <w:rFonts w:cstheme="minorHAnsi"/>
          <w:color w:val="231F20"/>
          <w:w w:val="105"/>
        </w:rPr>
        <w:t>and</w:t>
      </w:r>
      <w:r w:rsidRPr="00E06806">
        <w:rPr>
          <w:rFonts w:cstheme="minorHAnsi"/>
          <w:color w:val="231F20"/>
          <w:spacing w:val="11"/>
          <w:w w:val="105"/>
        </w:rPr>
        <w:t xml:space="preserve"> </w:t>
      </w:r>
      <w:r w:rsidRPr="00E06806">
        <w:rPr>
          <w:rFonts w:cstheme="minorHAnsi"/>
          <w:color w:val="231F20"/>
          <w:w w:val="105"/>
        </w:rPr>
        <w:t>has</w:t>
      </w:r>
      <w:r w:rsidRPr="00E06806">
        <w:rPr>
          <w:rFonts w:cstheme="minorHAnsi"/>
          <w:color w:val="231F20"/>
          <w:spacing w:val="11"/>
          <w:w w:val="105"/>
        </w:rPr>
        <w:t xml:space="preserve"> </w:t>
      </w:r>
      <w:r w:rsidRPr="00E06806">
        <w:rPr>
          <w:rFonts w:cstheme="minorHAnsi"/>
          <w:color w:val="231F20"/>
          <w:w w:val="105"/>
        </w:rPr>
        <w:t>expand</w:t>
      </w:r>
      <w:r w:rsidR="00190E3E" w:rsidRPr="00E06806">
        <w:rPr>
          <w:rFonts w:cstheme="minorHAnsi"/>
          <w:color w:val="231F20"/>
          <w:w w:val="105"/>
        </w:rPr>
        <w:t>ed</w:t>
      </w:r>
      <w:r w:rsidRPr="00E06806">
        <w:rPr>
          <w:rFonts w:cstheme="minorHAnsi"/>
          <w:color w:val="231F20"/>
          <w:spacing w:val="11"/>
          <w:w w:val="105"/>
        </w:rPr>
        <w:t xml:space="preserve"> </w:t>
      </w:r>
      <w:r w:rsidRPr="00E06806">
        <w:rPr>
          <w:rFonts w:cstheme="minorHAnsi"/>
          <w:color w:val="231F20"/>
          <w:w w:val="105"/>
        </w:rPr>
        <w:t>services</w:t>
      </w:r>
      <w:r w:rsidRPr="00E06806">
        <w:rPr>
          <w:rFonts w:cstheme="minorHAnsi"/>
          <w:color w:val="231F20"/>
          <w:spacing w:val="11"/>
          <w:w w:val="105"/>
        </w:rPr>
        <w:t xml:space="preserve"> </w:t>
      </w:r>
      <w:r w:rsidRPr="00E06806">
        <w:rPr>
          <w:rFonts w:cstheme="minorHAnsi"/>
          <w:color w:val="231F20"/>
          <w:w w:val="105"/>
        </w:rPr>
        <w:t>to</w:t>
      </w:r>
      <w:r w:rsidRPr="00E06806">
        <w:rPr>
          <w:rFonts w:cstheme="minorHAnsi"/>
          <w:color w:val="231F20"/>
          <w:spacing w:val="11"/>
          <w:w w:val="105"/>
        </w:rPr>
        <w:t xml:space="preserve"> </w:t>
      </w:r>
      <w:r w:rsidR="004A45CE" w:rsidRPr="00E06806">
        <w:rPr>
          <w:rFonts w:cstheme="minorHAnsi"/>
          <w:color w:val="231F20"/>
          <w:w w:val="105"/>
        </w:rPr>
        <w:t>people with disabilities</w:t>
      </w:r>
      <w:r w:rsidRPr="00E06806">
        <w:rPr>
          <w:rFonts w:cstheme="minorHAnsi"/>
          <w:color w:val="231F20"/>
          <w:spacing w:val="11"/>
          <w:w w:val="105"/>
        </w:rPr>
        <w:t xml:space="preserve"> </w:t>
      </w:r>
      <w:r w:rsidR="00190E3E" w:rsidRPr="00E06806">
        <w:rPr>
          <w:rFonts w:cstheme="minorHAnsi"/>
          <w:color w:val="231F20"/>
          <w:w w:val="105"/>
        </w:rPr>
        <w:t xml:space="preserve">at </w:t>
      </w:r>
      <w:r w:rsidRPr="00E06806">
        <w:rPr>
          <w:rFonts w:cstheme="minorHAnsi"/>
          <w:color w:val="231F20"/>
          <w:w w:val="105"/>
        </w:rPr>
        <w:t>CareerSource</w:t>
      </w:r>
      <w:r w:rsidRPr="00E06806">
        <w:rPr>
          <w:rFonts w:cstheme="minorHAnsi"/>
          <w:color w:val="231F20"/>
          <w:spacing w:val="20"/>
          <w:w w:val="105"/>
        </w:rPr>
        <w:t xml:space="preserve"> </w:t>
      </w:r>
      <w:r w:rsidRPr="00E06806">
        <w:rPr>
          <w:rFonts w:cstheme="minorHAnsi"/>
          <w:color w:val="231F20"/>
          <w:w w:val="105"/>
        </w:rPr>
        <w:t>Florida</w:t>
      </w:r>
      <w:r w:rsidRPr="00E06806">
        <w:rPr>
          <w:rFonts w:cstheme="minorHAnsi"/>
          <w:color w:val="231F20"/>
          <w:spacing w:val="20"/>
          <w:w w:val="105"/>
        </w:rPr>
        <w:t xml:space="preserve"> </w:t>
      </w:r>
      <w:r w:rsidRPr="00E06806">
        <w:rPr>
          <w:rFonts w:cstheme="minorHAnsi"/>
          <w:color w:val="231F20"/>
          <w:w w:val="105"/>
        </w:rPr>
        <w:t>centers</w:t>
      </w:r>
      <w:r w:rsidRPr="00E06806">
        <w:rPr>
          <w:rFonts w:cstheme="minorHAnsi"/>
          <w:color w:val="231F20"/>
          <w:spacing w:val="20"/>
          <w:w w:val="105"/>
        </w:rPr>
        <w:t xml:space="preserve"> </w:t>
      </w:r>
      <w:r w:rsidRPr="00E06806">
        <w:rPr>
          <w:rFonts w:cstheme="minorHAnsi"/>
          <w:color w:val="231F20"/>
          <w:w w:val="105"/>
        </w:rPr>
        <w:t>throughout</w:t>
      </w:r>
      <w:r w:rsidRPr="00E06806">
        <w:rPr>
          <w:rFonts w:cstheme="minorHAnsi"/>
          <w:color w:val="231F20"/>
          <w:spacing w:val="20"/>
          <w:w w:val="105"/>
        </w:rPr>
        <w:t xml:space="preserve"> </w:t>
      </w:r>
      <w:r w:rsidRPr="00E06806">
        <w:rPr>
          <w:rFonts w:cstheme="minorHAnsi"/>
          <w:color w:val="231F20"/>
          <w:w w:val="105"/>
        </w:rPr>
        <w:t>the</w:t>
      </w:r>
      <w:r w:rsidRPr="00E06806">
        <w:rPr>
          <w:rFonts w:cstheme="minorHAnsi"/>
          <w:color w:val="231F20"/>
          <w:spacing w:val="20"/>
          <w:w w:val="105"/>
        </w:rPr>
        <w:t xml:space="preserve"> </w:t>
      </w:r>
      <w:r w:rsidRPr="00E06806">
        <w:rPr>
          <w:rFonts w:cstheme="minorHAnsi"/>
          <w:color w:val="231F20"/>
          <w:w w:val="105"/>
        </w:rPr>
        <w:t>state.</w:t>
      </w:r>
      <w:r w:rsidRPr="00E06806">
        <w:rPr>
          <w:rFonts w:cstheme="minorHAnsi"/>
          <w:color w:val="231F20"/>
          <w:spacing w:val="20"/>
          <w:w w:val="105"/>
        </w:rPr>
        <w:t xml:space="preserve"> </w:t>
      </w:r>
      <w:r w:rsidRPr="00E06806">
        <w:rPr>
          <w:rFonts w:cstheme="minorHAnsi"/>
          <w:color w:val="231F20"/>
          <w:w w:val="105"/>
        </w:rPr>
        <w:t>The</w:t>
      </w:r>
      <w:r w:rsidRPr="00E06806">
        <w:rPr>
          <w:rFonts w:cstheme="minorHAnsi"/>
          <w:color w:val="231F20"/>
          <w:spacing w:val="20"/>
          <w:w w:val="105"/>
        </w:rPr>
        <w:t xml:space="preserve"> </w:t>
      </w:r>
      <w:r w:rsidRPr="00E06806">
        <w:rPr>
          <w:rFonts w:cstheme="minorHAnsi"/>
          <w:color w:val="231F20"/>
          <w:w w:val="105"/>
        </w:rPr>
        <w:t>DPN</w:t>
      </w:r>
      <w:r w:rsidRPr="00E06806">
        <w:rPr>
          <w:rFonts w:cstheme="minorHAnsi"/>
          <w:color w:val="231F20"/>
          <w:spacing w:val="20"/>
          <w:w w:val="105"/>
        </w:rPr>
        <w:t xml:space="preserve"> </w:t>
      </w:r>
      <w:r w:rsidRPr="00E06806">
        <w:rPr>
          <w:rFonts w:cstheme="minorHAnsi"/>
          <w:color w:val="231F20"/>
          <w:w w:val="105"/>
        </w:rPr>
        <w:t>grant</w:t>
      </w:r>
      <w:r w:rsidRPr="00E06806">
        <w:rPr>
          <w:rFonts w:cstheme="minorHAnsi"/>
          <w:color w:val="231F20"/>
          <w:spacing w:val="20"/>
          <w:w w:val="105"/>
        </w:rPr>
        <w:t xml:space="preserve"> </w:t>
      </w:r>
      <w:r w:rsidRPr="00E06806">
        <w:rPr>
          <w:rFonts w:cstheme="minorHAnsi"/>
          <w:color w:val="231F20"/>
          <w:w w:val="105"/>
        </w:rPr>
        <w:t>focused</w:t>
      </w:r>
      <w:r w:rsidRPr="00E06806">
        <w:rPr>
          <w:rFonts w:cstheme="minorHAnsi"/>
          <w:color w:val="231F20"/>
          <w:spacing w:val="20"/>
          <w:w w:val="105"/>
        </w:rPr>
        <w:t xml:space="preserve"> </w:t>
      </w:r>
      <w:r w:rsidRPr="00E06806">
        <w:rPr>
          <w:rFonts w:cstheme="minorHAnsi"/>
          <w:color w:val="231F20"/>
          <w:w w:val="105"/>
        </w:rPr>
        <w:t>on</w:t>
      </w:r>
      <w:r w:rsidRPr="00E06806">
        <w:rPr>
          <w:rFonts w:cstheme="minorHAnsi"/>
          <w:color w:val="231F20"/>
          <w:spacing w:val="20"/>
          <w:w w:val="105"/>
        </w:rPr>
        <w:t xml:space="preserve"> </w:t>
      </w:r>
      <w:r w:rsidRPr="00E06806">
        <w:rPr>
          <w:rFonts w:cstheme="minorHAnsi"/>
          <w:color w:val="231F20"/>
          <w:w w:val="105"/>
        </w:rPr>
        <w:t>developing</w:t>
      </w:r>
      <w:r w:rsidRPr="00E06806">
        <w:rPr>
          <w:rFonts w:cstheme="minorHAnsi"/>
          <w:color w:val="231F20"/>
          <w:spacing w:val="20"/>
          <w:w w:val="105"/>
        </w:rPr>
        <w:t xml:space="preserve"> </w:t>
      </w:r>
      <w:r w:rsidRPr="00E06806">
        <w:rPr>
          <w:rFonts w:cstheme="minorHAnsi"/>
          <w:color w:val="231F20"/>
          <w:w w:val="105"/>
        </w:rPr>
        <w:t>relationships</w:t>
      </w:r>
      <w:r w:rsidRPr="00E06806">
        <w:rPr>
          <w:rFonts w:cstheme="minorHAnsi"/>
          <w:color w:val="231F20"/>
          <w:spacing w:val="-3"/>
          <w:w w:val="105"/>
        </w:rPr>
        <w:t xml:space="preserve"> </w:t>
      </w:r>
      <w:r w:rsidRPr="00E06806">
        <w:rPr>
          <w:rFonts w:cstheme="minorHAnsi"/>
          <w:color w:val="231F20"/>
          <w:w w:val="105"/>
        </w:rPr>
        <w:t>across</w:t>
      </w:r>
      <w:r w:rsidRPr="00E06806">
        <w:rPr>
          <w:rFonts w:cstheme="minorHAnsi"/>
          <w:color w:val="231F20"/>
          <w:spacing w:val="21"/>
          <w:w w:val="105"/>
        </w:rPr>
        <w:t xml:space="preserve"> </w:t>
      </w:r>
      <w:r w:rsidRPr="00E06806">
        <w:rPr>
          <w:rFonts w:cstheme="minorHAnsi"/>
          <w:color w:val="231F20"/>
          <w:w w:val="105"/>
        </w:rPr>
        <w:t>agency</w:t>
      </w:r>
      <w:r w:rsidRPr="00E06806">
        <w:rPr>
          <w:rFonts w:cstheme="minorHAnsi"/>
          <w:color w:val="231F20"/>
          <w:spacing w:val="21"/>
          <w:w w:val="105"/>
        </w:rPr>
        <w:t xml:space="preserve"> </w:t>
      </w:r>
      <w:r w:rsidRPr="00E06806">
        <w:rPr>
          <w:rFonts w:cstheme="minorHAnsi"/>
          <w:color w:val="231F20"/>
          <w:w w:val="105"/>
        </w:rPr>
        <w:t>and</w:t>
      </w:r>
      <w:r w:rsidRPr="00E06806">
        <w:rPr>
          <w:rFonts w:cstheme="minorHAnsi"/>
          <w:color w:val="231F20"/>
          <w:spacing w:val="21"/>
          <w:w w:val="105"/>
        </w:rPr>
        <w:t xml:space="preserve"> </w:t>
      </w:r>
      <w:r w:rsidRPr="00E06806">
        <w:rPr>
          <w:rFonts w:cstheme="minorHAnsi"/>
          <w:color w:val="231F20"/>
          <w:w w:val="105"/>
        </w:rPr>
        <w:t>entity</w:t>
      </w:r>
      <w:r w:rsidRPr="00E06806">
        <w:rPr>
          <w:rFonts w:cstheme="minorHAnsi"/>
          <w:color w:val="231F20"/>
          <w:spacing w:val="21"/>
          <w:w w:val="105"/>
        </w:rPr>
        <w:t xml:space="preserve"> </w:t>
      </w:r>
      <w:r w:rsidRPr="00E06806">
        <w:rPr>
          <w:rFonts w:cstheme="minorHAnsi"/>
          <w:color w:val="231F20"/>
          <w:w w:val="105"/>
        </w:rPr>
        <w:t>lines</w:t>
      </w:r>
      <w:r w:rsidRPr="00E06806">
        <w:rPr>
          <w:rFonts w:cstheme="minorHAnsi"/>
          <w:color w:val="231F20"/>
          <w:spacing w:val="21"/>
          <w:w w:val="105"/>
        </w:rPr>
        <w:t xml:space="preserve"> </w:t>
      </w:r>
      <w:r w:rsidRPr="00E06806">
        <w:rPr>
          <w:rFonts w:cstheme="minorHAnsi"/>
          <w:color w:val="231F20"/>
          <w:w w:val="105"/>
        </w:rPr>
        <w:t>to</w:t>
      </w:r>
      <w:r w:rsidRPr="00E06806">
        <w:rPr>
          <w:rFonts w:cstheme="minorHAnsi"/>
          <w:color w:val="231F20"/>
          <w:spacing w:val="21"/>
          <w:w w:val="105"/>
        </w:rPr>
        <w:t xml:space="preserve"> </w:t>
      </w:r>
      <w:r w:rsidRPr="00E06806">
        <w:rPr>
          <w:rFonts w:cstheme="minorHAnsi"/>
          <w:color w:val="231F20"/>
          <w:w w:val="105"/>
        </w:rPr>
        <w:t>leverage</w:t>
      </w:r>
      <w:r w:rsidRPr="00E06806">
        <w:rPr>
          <w:rFonts w:cstheme="minorHAnsi"/>
          <w:color w:val="231F20"/>
          <w:spacing w:val="21"/>
          <w:w w:val="105"/>
        </w:rPr>
        <w:t xml:space="preserve"> </w:t>
      </w:r>
      <w:r w:rsidRPr="00E06806">
        <w:rPr>
          <w:rFonts w:cstheme="minorHAnsi"/>
          <w:color w:val="231F20"/>
          <w:w w:val="105"/>
        </w:rPr>
        <w:t>resources</w:t>
      </w:r>
      <w:r w:rsidRPr="00E06806">
        <w:rPr>
          <w:rFonts w:cstheme="minorHAnsi"/>
          <w:color w:val="231F20"/>
          <w:spacing w:val="21"/>
          <w:w w:val="105"/>
        </w:rPr>
        <w:t xml:space="preserve"> </w:t>
      </w:r>
      <w:r w:rsidRPr="00E06806">
        <w:rPr>
          <w:rFonts w:cstheme="minorHAnsi"/>
          <w:color w:val="231F20"/>
          <w:w w:val="105"/>
        </w:rPr>
        <w:t>and</w:t>
      </w:r>
      <w:r w:rsidRPr="00E06806">
        <w:rPr>
          <w:rFonts w:cstheme="minorHAnsi"/>
          <w:color w:val="231F20"/>
          <w:spacing w:val="21"/>
          <w:w w:val="105"/>
        </w:rPr>
        <w:t xml:space="preserve"> </w:t>
      </w:r>
      <w:r w:rsidRPr="00E06806">
        <w:rPr>
          <w:rFonts w:cstheme="minorHAnsi"/>
          <w:color w:val="231F20"/>
          <w:w w:val="105"/>
        </w:rPr>
        <w:t>enhance</w:t>
      </w:r>
      <w:r w:rsidRPr="00E06806">
        <w:rPr>
          <w:rFonts w:cstheme="minorHAnsi"/>
          <w:color w:val="231F20"/>
          <w:spacing w:val="21"/>
          <w:w w:val="105"/>
        </w:rPr>
        <w:t xml:space="preserve"> </w:t>
      </w:r>
      <w:r w:rsidRPr="00E06806">
        <w:rPr>
          <w:rFonts w:cstheme="minorHAnsi"/>
          <w:color w:val="231F20"/>
          <w:w w:val="105"/>
        </w:rPr>
        <w:t>employment</w:t>
      </w:r>
      <w:r w:rsidRPr="00E06806">
        <w:rPr>
          <w:rFonts w:cstheme="minorHAnsi"/>
          <w:color w:val="231F20"/>
          <w:spacing w:val="21"/>
          <w:w w:val="105"/>
        </w:rPr>
        <w:t xml:space="preserve"> </w:t>
      </w:r>
      <w:r w:rsidRPr="00E06806">
        <w:rPr>
          <w:rFonts w:cstheme="minorHAnsi"/>
          <w:color w:val="231F20"/>
          <w:w w:val="105"/>
        </w:rPr>
        <w:t>opportunities</w:t>
      </w:r>
      <w:r w:rsidRPr="00E06806">
        <w:rPr>
          <w:rFonts w:cstheme="minorHAnsi"/>
          <w:color w:val="231F20"/>
          <w:spacing w:val="21"/>
          <w:w w:val="105"/>
        </w:rPr>
        <w:t xml:space="preserve"> </w:t>
      </w:r>
      <w:r w:rsidRPr="00E06806">
        <w:rPr>
          <w:rFonts w:cstheme="minorHAnsi"/>
          <w:color w:val="231F20"/>
          <w:w w:val="105"/>
        </w:rPr>
        <w:t>for</w:t>
      </w:r>
      <w:r w:rsidRPr="00E06806">
        <w:rPr>
          <w:rFonts w:cstheme="minorHAnsi"/>
          <w:color w:val="231F20"/>
          <w:spacing w:val="21"/>
          <w:w w:val="105"/>
        </w:rPr>
        <w:t xml:space="preserve"> </w:t>
      </w:r>
      <w:r w:rsidR="004A45CE" w:rsidRPr="00E06806">
        <w:rPr>
          <w:rFonts w:cstheme="minorHAnsi"/>
          <w:color w:val="231F20"/>
          <w:w w:val="105"/>
        </w:rPr>
        <w:t>people with disabilities</w:t>
      </w:r>
      <w:r w:rsidR="00190E3E" w:rsidRPr="00E06806">
        <w:rPr>
          <w:rFonts w:cstheme="minorHAnsi"/>
          <w:color w:val="231F20"/>
          <w:w w:val="105"/>
        </w:rPr>
        <w:t xml:space="preserve">. The grant was </w:t>
      </w:r>
      <w:r w:rsidRPr="00E06806">
        <w:rPr>
          <w:rFonts w:cstheme="minorHAnsi"/>
          <w:color w:val="231F20"/>
          <w:w w:val="105"/>
        </w:rPr>
        <w:t>a catalyst</w:t>
      </w:r>
      <w:r w:rsidRPr="00E06806">
        <w:rPr>
          <w:rFonts w:cstheme="minorHAnsi"/>
          <w:color w:val="231F20"/>
          <w:spacing w:val="36"/>
          <w:w w:val="105"/>
        </w:rPr>
        <w:t xml:space="preserve"> </w:t>
      </w:r>
      <w:r w:rsidRPr="00E06806">
        <w:rPr>
          <w:rFonts w:cstheme="minorHAnsi"/>
          <w:color w:val="231F20"/>
          <w:w w:val="105"/>
        </w:rPr>
        <w:t>to:</w:t>
      </w:r>
    </w:p>
    <w:p w14:paraId="75E2B7D6" w14:textId="77777777" w:rsidR="00EA7458" w:rsidRPr="00E06806" w:rsidRDefault="00EA7458" w:rsidP="00D63204">
      <w:pPr>
        <w:widowControl w:val="0"/>
        <w:spacing w:before="5" w:after="0" w:line="240" w:lineRule="auto"/>
        <w:ind w:left="107"/>
        <w:rPr>
          <w:rFonts w:cstheme="minorHAnsi"/>
          <w:sz w:val="16"/>
          <w:szCs w:val="16"/>
        </w:rPr>
      </w:pPr>
    </w:p>
    <w:p w14:paraId="18C216B5" w14:textId="4F0F0ADB" w:rsidR="007247F3" w:rsidRPr="005B326C" w:rsidRDefault="00EA7458" w:rsidP="00D63204">
      <w:pPr>
        <w:pStyle w:val="ListParagraph"/>
        <w:widowControl w:val="0"/>
        <w:numPr>
          <w:ilvl w:val="0"/>
          <w:numId w:val="37"/>
        </w:numPr>
        <w:spacing w:after="0" w:line="264" w:lineRule="exact"/>
        <w:rPr>
          <w:rFonts w:cstheme="minorHAnsi"/>
          <w:color w:val="231F20"/>
        </w:rPr>
      </w:pPr>
      <w:r w:rsidRPr="005B326C">
        <w:rPr>
          <w:rFonts w:cstheme="minorHAnsi"/>
          <w:color w:val="231F20"/>
          <w:w w:val="105"/>
        </w:rPr>
        <w:t>Expand</w:t>
      </w:r>
      <w:r w:rsidRPr="005B326C">
        <w:rPr>
          <w:rFonts w:cstheme="minorHAnsi"/>
          <w:color w:val="231F20"/>
          <w:spacing w:val="18"/>
          <w:w w:val="105"/>
        </w:rPr>
        <w:t xml:space="preserve"> </w:t>
      </w:r>
      <w:r w:rsidRPr="005B326C">
        <w:rPr>
          <w:rFonts w:cstheme="minorHAnsi"/>
          <w:color w:val="231F20"/>
          <w:w w:val="105"/>
        </w:rPr>
        <w:t>opportunities</w:t>
      </w:r>
      <w:r w:rsidRPr="005B326C">
        <w:rPr>
          <w:rFonts w:cstheme="minorHAnsi"/>
          <w:color w:val="231F20"/>
          <w:spacing w:val="18"/>
          <w:w w:val="105"/>
        </w:rPr>
        <w:t xml:space="preserve"> </w:t>
      </w:r>
      <w:r w:rsidR="00190E3E" w:rsidRPr="005B326C">
        <w:rPr>
          <w:rFonts w:cstheme="minorHAnsi"/>
          <w:color w:val="231F20"/>
          <w:w w:val="105"/>
        </w:rPr>
        <w:t xml:space="preserve">and </w:t>
      </w:r>
      <w:r w:rsidRPr="005B326C">
        <w:rPr>
          <w:rFonts w:cstheme="minorHAnsi"/>
          <w:color w:val="231F20"/>
          <w:w w:val="105"/>
        </w:rPr>
        <w:t>increase</w:t>
      </w:r>
      <w:r w:rsidRPr="005B326C">
        <w:rPr>
          <w:rFonts w:cstheme="minorHAnsi"/>
          <w:color w:val="231F20"/>
          <w:spacing w:val="18"/>
          <w:w w:val="105"/>
        </w:rPr>
        <w:t xml:space="preserve"> </w:t>
      </w:r>
      <w:r w:rsidRPr="005B326C">
        <w:rPr>
          <w:rFonts w:cstheme="minorHAnsi"/>
          <w:color w:val="231F20"/>
          <w:w w:val="105"/>
        </w:rPr>
        <w:t>staff</w:t>
      </w:r>
      <w:r w:rsidRPr="005B326C">
        <w:rPr>
          <w:rFonts w:cstheme="minorHAnsi"/>
          <w:color w:val="231F20"/>
          <w:spacing w:val="18"/>
          <w:w w:val="105"/>
        </w:rPr>
        <w:t xml:space="preserve"> </w:t>
      </w:r>
      <w:r w:rsidRPr="005B326C">
        <w:rPr>
          <w:rFonts w:cstheme="minorHAnsi"/>
          <w:color w:val="231F20"/>
          <w:w w:val="105"/>
        </w:rPr>
        <w:t>awareness</w:t>
      </w:r>
      <w:r w:rsidRPr="005B326C">
        <w:rPr>
          <w:rFonts w:cstheme="minorHAnsi"/>
          <w:color w:val="231F20"/>
          <w:spacing w:val="18"/>
          <w:w w:val="105"/>
        </w:rPr>
        <w:t xml:space="preserve"> </w:t>
      </w:r>
      <w:r w:rsidRPr="005B326C">
        <w:rPr>
          <w:rFonts w:cstheme="minorHAnsi"/>
          <w:color w:val="231F20"/>
          <w:w w:val="105"/>
        </w:rPr>
        <w:t>of</w:t>
      </w:r>
      <w:r w:rsidRPr="005B326C">
        <w:rPr>
          <w:rFonts w:cstheme="minorHAnsi"/>
          <w:color w:val="231F20"/>
          <w:spacing w:val="18"/>
          <w:w w:val="105"/>
        </w:rPr>
        <w:t xml:space="preserve"> </w:t>
      </w:r>
      <w:r w:rsidRPr="005B326C">
        <w:rPr>
          <w:rFonts w:cstheme="minorHAnsi"/>
          <w:color w:val="231F20"/>
          <w:w w:val="105"/>
        </w:rPr>
        <w:t>the</w:t>
      </w:r>
      <w:r w:rsidRPr="005B326C">
        <w:rPr>
          <w:rFonts w:cstheme="minorHAnsi"/>
          <w:color w:val="231F20"/>
          <w:spacing w:val="18"/>
          <w:w w:val="105"/>
        </w:rPr>
        <w:t xml:space="preserve"> </w:t>
      </w:r>
      <w:r w:rsidRPr="005B326C">
        <w:rPr>
          <w:rFonts w:cstheme="minorHAnsi"/>
          <w:color w:val="231F20"/>
          <w:w w:val="105"/>
        </w:rPr>
        <w:t>variety</w:t>
      </w:r>
      <w:r w:rsidRPr="005B326C">
        <w:rPr>
          <w:rFonts w:cstheme="minorHAnsi"/>
          <w:color w:val="231F20"/>
          <w:spacing w:val="18"/>
          <w:w w:val="105"/>
        </w:rPr>
        <w:t xml:space="preserve"> </w:t>
      </w:r>
      <w:r w:rsidRPr="005B326C">
        <w:rPr>
          <w:rFonts w:cstheme="minorHAnsi"/>
          <w:color w:val="231F20"/>
          <w:w w:val="105"/>
        </w:rPr>
        <w:t>of</w:t>
      </w:r>
      <w:r w:rsidRPr="005B326C">
        <w:rPr>
          <w:rFonts w:cstheme="minorHAnsi"/>
          <w:color w:val="231F20"/>
          <w:spacing w:val="18"/>
          <w:w w:val="105"/>
        </w:rPr>
        <w:t xml:space="preserve"> </w:t>
      </w:r>
      <w:r w:rsidRPr="005B326C">
        <w:rPr>
          <w:rFonts w:cstheme="minorHAnsi"/>
          <w:color w:val="231F20"/>
          <w:w w:val="105"/>
        </w:rPr>
        <w:t>assistive</w:t>
      </w:r>
      <w:r w:rsidRPr="005B326C">
        <w:rPr>
          <w:rFonts w:cstheme="minorHAnsi"/>
          <w:color w:val="231F20"/>
          <w:spacing w:val="18"/>
          <w:w w:val="105"/>
        </w:rPr>
        <w:t xml:space="preserve"> </w:t>
      </w:r>
      <w:r w:rsidRPr="005B326C">
        <w:rPr>
          <w:rFonts w:cstheme="minorHAnsi"/>
          <w:color w:val="231F20"/>
          <w:w w:val="105"/>
        </w:rPr>
        <w:t>technologies</w:t>
      </w:r>
      <w:r w:rsidRPr="005B326C">
        <w:rPr>
          <w:rFonts w:cstheme="minorHAnsi"/>
          <w:color w:val="231F20"/>
          <w:spacing w:val="18"/>
          <w:w w:val="105"/>
        </w:rPr>
        <w:t xml:space="preserve"> </w:t>
      </w:r>
      <w:r w:rsidRPr="005B326C">
        <w:rPr>
          <w:rFonts w:cstheme="minorHAnsi"/>
          <w:color w:val="231F20"/>
          <w:w w:val="105"/>
        </w:rPr>
        <w:t>and</w:t>
      </w:r>
      <w:r w:rsidRPr="005B326C">
        <w:rPr>
          <w:rFonts w:cstheme="minorHAnsi"/>
          <w:color w:val="231F20"/>
          <w:w w:val="108"/>
        </w:rPr>
        <w:t xml:space="preserve"> </w:t>
      </w:r>
      <w:r w:rsidRPr="005B326C">
        <w:rPr>
          <w:rFonts w:cstheme="minorHAnsi"/>
          <w:color w:val="231F20"/>
          <w:w w:val="105"/>
        </w:rPr>
        <w:t>services</w:t>
      </w:r>
      <w:r w:rsidRPr="005B326C">
        <w:rPr>
          <w:rFonts w:cstheme="minorHAnsi"/>
          <w:color w:val="231F20"/>
          <w:spacing w:val="5"/>
          <w:w w:val="105"/>
        </w:rPr>
        <w:t xml:space="preserve"> </w:t>
      </w:r>
      <w:r w:rsidRPr="005B326C">
        <w:rPr>
          <w:rFonts w:cstheme="minorHAnsi"/>
          <w:color w:val="231F20"/>
          <w:w w:val="105"/>
        </w:rPr>
        <w:t>available</w:t>
      </w:r>
    </w:p>
    <w:p w14:paraId="37F60606" w14:textId="77777777" w:rsidR="007247F3" w:rsidRPr="007247F3" w:rsidRDefault="007247F3" w:rsidP="00D63204">
      <w:pPr>
        <w:pStyle w:val="ListParagraph"/>
        <w:widowControl w:val="0"/>
        <w:spacing w:after="0" w:line="264" w:lineRule="exact"/>
        <w:ind w:left="827"/>
        <w:rPr>
          <w:rFonts w:cstheme="minorHAnsi"/>
          <w:color w:val="231F20"/>
        </w:rPr>
      </w:pPr>
    </w:p>
    <w:p w14:paraId="23303D4D" w14:textId="083F1D01" w:rsidR="00EA7458" w:rsidRPr="007247F3" w:rsidRDefault="00EA7458" w:rsidP="00D63204">
      <w:pPr>
        <w:pStyle w:val="ListParagraph"/>
        <w:widowControl w:val="0"/>
        <w:numPr>
          <w:ilvl w:val="0"/>
          <w:numId w:val="37"/>
        </w:numPr>
        <w:spacing w:before="91" w:after="0" w:line="240" w:lineRule="auto"/>
        <w:rPr>
          <w:rFonts w:cstheme="minorHAnsi"/>
          <w:color w:val="231F20"/>
        </w:rPr>
      </w:pPr>
      <w:r w:rsidRPr="007247F3">
        <w:rPr>
          <w:rFonts w:cstheme="minorHAnsi"/>
          <w:color w:val="231F20"/>
          <w:w w:val="105"/>
        </w:rPr>
        <w:t xml:space="preserve">Provide technical assistance and training on </w:t>
      </w:r>
      <w:r w:rsidR="00190E3E" w:rsidRPr="007247F3">
        <w:rPr>
          <w:rFonts w:cstheme="minorHAnsi"/>
          <w:color w:val="231F20"/>
          <w:w w:val="105"/>
        </w:rPr>
        <w:t xml:space="preserve">assisting </w:t>
      </w:r>
      <w:r w:rsidR="006C74CC" w:rsidRPr="007247F3">
        <w:rPr>
          <w:rFonts w:cstheme="minorHAnsi"/>
          <w:color w:val="231F20"/>
          <w:w w:val="105"/>
        </w:rPr>
        <w:t xml:space="preserve">people </w:t>
      </w:r>
      <w:r w:rsidRPr="007247F3">
        <w:rPr>
          <w:rFonts w:cstheme="minorHAnsi"/>
          <w:color w:val="231F20"/>
          <w:w w:val="105"/>
        </w:rPr>
        <w:t>with varying</w:t>
      </w:r>
      <w:r w:rsidRPr="007247F3">
        <w:rPr>
          <w:rFonts w:cstheme="minorHAnsi"/>
          <w:color w:val="231F20"/>
          <w:spacing w:val="47"/>
          <w:w w:val="105"/>
        </w:rPr>
        <w:t xml:space="preserve"> </w:t>
      </w:r>
      <w:r w:rsidRPr="007247F3">
        <w:rPr>
          <w:rFonts w:cstheme="minorHAnsi"/>
          <w:color w:val="231F20"/>
          <w:w w:val="105"/>
        </w:rPr>
        <w:t>disabilities</w:t>
      </w:r>
    </w:p>
    <w:p w14:paraId="78486D40" w14:textId="77777777" w:rsidR="007247F3" w:rsidRPr="007247F3" w:rsidRDefault="007247F3" w:rsidP="00D63204">
      <w:pPr>
        <w:pStyle w:val="ListParagraph"/>
        <w:widowControl w:val="0"/>
        <w:spacing w:before="91" w:after="0" w:line="240" w:lineRule="auto"/>
        <w:ind w:left="827"/>
        <w:rPr>
          <w:rFonts w:cstheme="minorHAnsi"/>
          <w:color w:val="231F20"/>
        </w:rPr>
      </w:pPr>
    </w:p>
    <w:p w14:paraId="0CAC8699" w14:textId="5D3AD1E6" w:rsidR="00EA7458" w:rsidRPr="007247F3" w:rsidRDefault="00EA7458" w:rsidP="00D63204">
      <w:pPr>
        <w:pStyle w:val="ListParagraph"/>
        <w:widowControl w:val="0"/>
        <w:numPr>
          <w:ilvl w:val="0"/>
          <w:numId w:val="37"/>
        </w:numPr>
        <w:spacing w:before="85" w:after="0" w:line="240" w:lineRule="auto"/>
        <w:rPr>
          <w:rFonts w:cstheme="minorHAnsi"/>
          <w:color w:val="231F20"/>
        </w:rPr>
      </w:pPr>
      <w:r w:rsidRPr="007247F3">
        <w:rPr>
          <w:rFonts w:cstheme="minorHAnsi"/>
          <w:color w:val="231F20"/>
          <w:w w:val="110"/>
        </w:rPr>
        <w:t xml:space="preserve">Assure </w:t>
      </w:r>
      <w:r w:rsidR="003E4D10" w:rsidRPr="007247F3">
        <w:rPr>
          <w:rFonts w:cstheme="minorHAnsi"/>
          <w:color w:val="231F20"/>
          <w:w w:val="110"/>
        </w:rPr>
        <w:t xml:space="preserve">career </w:t>
      </w:r>
      <w:r w:rsidRPr="007247F3">
        <w:rPr>
          <w:rFonts w:cstheme="minorHAnsi"/>
          <w:color w:val="231F20"/>
          <w:w w:val="110"/>
        </w:rPr>
        <w:t>centers were readily</w:t>
      </w:r>
      <w:r w:rsidRPr="007247F3">
        <w:rPr>
          <w:rFonts w:cstheme="minorHAnsi"/>
          <w:color w:val="231F20"/>
          <w:spacing w:val="6"/>
          <w:w w:val="110"/>
        </w:rPr>
        <w:t xml:space="preserve"> </w:t>
      </w:r>
      <w:r w:rsidRPr="007247F3">
        <w:rPr>
          <w:rFonts w:cstheme="minorHAnsi"/>
          <w:color w:val="231F20"/>
          <w:w w:val="110"/>
        </w:rPr>
        <w:t>accessible.</w:t>
      </w:r>
    </w:p>
    <w:p w14:paraId="34935998" w14:textId="77777777" w:rsidR="007247F3" w:rsidRPr="007247F3" w:rsidRDefault="007247F3" w:rsidP="00D63204">
      <w:pPr>
        <w:pStyle w:val="ListParagraph"/>
        <w:widowControl w:val="0"/>
        <w:spacing w:before="85" w:after="0" w:line="240" w:lineRule="auto"/>
        <w:ind w:left="827"/>
        <w:rPr>
          <w:rFonts w:cstheme="minorHAnsi"/>
          <w:color w:val="231F20"/>
        </w:rPr>
      </w:pPr>
    </w:p>
    <w:p w14:paraId="1221A2A6" w14:textId="3B59E161" w:rsidR="005B326C" w:rsidRDefault="00EA7458" w:rsidP="00D63204">
      <w:pPr>
        <w:widowControl w:val="0"/>
        <w:spacing w:after="0" w:line="264" w:lineRule="exact"/>
        <w:ind w:left="107"/>
        <w:rPr>
          <w:rFonts w:cstheme="minorHAnsi"/>
          <w:color w:val="231F20"/>
          <w:w w:val="105"/>
        </w:rPr>
      </w:pPr>
      <w:r w:rsidRPr="00E06806">
        <w:rPr>
          <w:rFonts w:cstheme="minorHAnsi"/>
          <w:color w:val="231F20"/>
          <w:w w:val="105"/>
        </w:rPr>
        <w:t>After</w:t>
      </w:r>
      <w:r w:rsidRPr="005B326C">
        <w:rPr>
          <w:rFonts w:cstheme="minorHAnsi"/>
          <w:color w:val="231F20"/>
          <w:w w:val="105"/>
        </w:rPr>
        <w:t xml:space="preserve"> </w:t>
      </w:r>
      <w:r w:rsidRPr="00E06806">
        <w:rPr>
          <w:rFonts w:cstheme="minorHAnsi"/>
          <w:color w:val="231F20"/>
          <w:w w:val="105"/>
        </w:rPr>
        <w:t>the</w:t>
      </w:r>
      <w:r w:rsidRPr="005B326C">
        <w:rPr>
          <w:rFonts w:cstheme="minorHAnsi"/>
          <w:color w:val="231F20"/>
          <w:w w:val="105"/>
        </w:rPr>
        <w:t xml:space="preserve"> </w:t>
      </w:r>
      <w:r w:rsidRPr="00E06806">
        <w:rPr>
          <w:rFonts w:cstheme="minorHAnsi"/>
          <w:color w:val="231F20"/>
          <w:w w:val="105"/>
        </w:rPr>
        <w:t>U.S.</w:t>
      </w:r>
      <w:r w:rsidRPr="005B326C">
        <w:rPr>
          <w:rFonts w:cstheme="minorHAnsi"/>
          <w:color w:val="231F20"/>
          <w:w w:val="105"/>
        </w:rPr>
        <w:t xml:space="preserve"> </w:t>
      </w:r>
      <w:r w:rsidRPr="00E06806">
        <w:rPr>
          <w:rFonts w:cstheme="minorHAnsi"/>
          <w:color w:val="231F20"/>
          <w:w w:val="105"/>
        </w:rPr>
        <w:t>Department</w:t>
      </w:r>
      <w:r w:rsidRPr="005B326C">
        <w:rPr>
          <w:rFonts w:cstheme="minorHAnsi"/>
          <w:color w:val="231F20"/>
          <w:w w:val="105"/>
        </w:rPr>
        <w:t xml:space="preserve"> </w:t>
      </w:r>
      <w:r w:rsidRPr="00E06806">
        <w:rPr>
          <w:rFonts w:cstheme="minorHAnsi"/>
          <w:color w:val="231F20"/>
          <w:w w:val="105"/>
        </w:rPr>
        <w:t>of</w:t>
      </w:r>
      <w:r w:rsidRPr="005B326C">
        <w:rPr>
          <w:rFonts w:cstheme="minorHAnsi"/>
          <w:color w:val="231F20"/>
          <w:w w:val="105"/>
        </w:rPr>
        <w:t xml:space="preserve"> </w:t>
      </w:r>
      <w:r w:rsidRPr="00E06806">
        <w:rPr>
          <w:rFonts w:cstheme="minorHAnsi"/>
          <w:color w:val="231F20"/>
          <w:w w:val="105"/>
        </w:rPr>
        <w:t>Labor’s</w:t>
      </w:r>
      <w:r w:rsidRPr="005B326C">
        <w:rPr>
          <w:rFonts w:cstheme="minorHAnsi"/>
          <w:color w:val="231F20"/>
          <w:w w:val="105"/>
        </w:rPr>
        <w:t xml:space="preserve"> </w:t>
      </w:r>
      <w:r w:rsidRPr="00E06806">
        <w:rPr>
          <w:rFonts w:cstheme="minorHAnsi"/>
          <w:color w:val="231F20"/>
          <w:w w:val="105"/>
        </w:rPr>
        <w:t>DPN</w:t>
      </w:r>
      <w:r w:rsidRPr="005B326C">
        <w:rPr>
          <w:rFonts w:cstheme="minorHAnsi"/>
          <w:color w:val="231F20"/>
          <w:w w:val="105"/>
        </w:rPr>
        <w:t xml:space="preserve"> </w:t>
      </w:r>
      <w:r w:rsidRPr="00E06806">
        <w:rPr>
          <w:rFonts w:cstheme="minorHAnsi"/>
          <w:color w:val="231F20"/>
          <w:w w:val="105"/>
        </w:rPr>
        <w:t>ended,</w:t>
      </w:r>
      <w:r w:rsidRPr="005B326C">
        <w:rPr>
          <w:rFonts w:cstheme="minorHAnsi"/>
          <w:color w:val="231F20"/>
          <w:w w:val="105"/>
        </w:rPr>
        <w:t xml:space="preserve"> </w:t>
      </w:r>
      <w:r w:rsidRPr="00E06806">
        <w:rPr>
          <w:rFonts w:cstheme="minorHAnsi"/>
          <w:color w:val="231F20"/>
          <w:w w:val="105"/>
        </w:rPr>
        <w:t>CareerSource</w:t>
      </w:r>
      <w:r w:rsidRPr="005B326C">
        <w:rPr>
          <w:rFonts w:cstheme="minorHAnsi"/>
          <w:color w:val="231F20"/>
          <w:w w:val="105"/>
        </w:rPr>
        <w:t xml:space="preserve"> </w:t>
      </w:r>
      <w:r w:rsidRPr="00E06806">
        <w:rPr>
          <w:rFonts w:cstheme="minorHAnsi"/>
          <w:color w:val="231F20"/>
          <w:w w:val="105"/>
        </w:rPr>
        <w:t>Florida</w:t>
      </w:r>
      <w:r w:rsidRPr="005B326C">
        <w:rPr>
          <w:rFonts w:cstheme="minorHAnsi"/>
          <w:color w:val="231F20"/>
          <w:w w:val="105"/>
        </w:rPr>
        <w:t xml:space="preserve"> </w:t>
      </w:r>
      <w:r w:rsidRPr="00E06806">
        <w:rPr>
          <w:rFonts w:cstheme="minorHAnsi"/>
          <w:color w:val="231F20"/>
          <w:w w:val="105"/>
        </w:rPr>
        <w:t>awarded</w:t>
      </w:r>
      <w:r w:rsidRPr="005B326C">
        <w:rPr>
          <w:rFonts w:cstheme="minorHAnsi"/>
          <w:color w:val="231F20"/>
          <w:w w:val="105"/>
        </w:rPr>
        <w:t xml:space="preserve"> </w:t>
      </w:r>
      <w:r w:rsidRPr="00E06806">
        <w:rPr>
          <w:rFonts w:cstheme="minorHAnsi"/>
          <w:color w:val="231F20"/>
          <w:w w:val="105"/>
        </w:rPr>
        <w:t>state-level</w:t>
      </w:r>
      <w:r w:rsidRPr="005B326C">
        <w:rPr>
          <w:rFonts w:cstheme="minorHAnsi"/>
          <w:color w:val="231F20"/>
          <w:w w:val="105"/>
        </w:rPr>
        <w:t xml:space="preserve"> </w:t>
      </w:r>
      <w:r w:rsidRPr="00E06806">
        <w:rPr>
          <w:rFonts w:cstheme="minorHAnsi"/>
          <w:color w:val="231F20"/>
          <w:w w:val="105"/>
        </w:rPr>
        <w:t>funding</w:t>
      </w:r>
      <w:r w:rsidRPr="005B326C">
        <w:rPr>
          <w:rFonts w:cstheme="minorHAnsi"/>
          <w:color w:val="231F20"/>
          <w:w w:val="105"/>
        </w:rPr>
        <w:t xml:space="preserve"> </w:t>
      </w:r>
      <w:r w:rsidRPr="00E06806">
        <w:rPr>
          <w:rFonts w:cstheme="minorHAnsi"/>
          <w:color w:val="231F20"/>
          <w:w w:val="105"/>
        </w:rPr>
        <w:t>to</w:t>
      </w:r>
      <w:r w:rsidRPr="005B326C">
        <w:rPr>
          <w:rFonts w:cstheme="minorHAnsi"/>
          <w:color w:val="231F20"/>
          <w:w w:val="105"/>
        </w:rPr>
        <w:t xml:space="preserve"> LWDBs </w:t>
      </w:r>
      <w:r w:rsidRPr="00E06806">
        <w:rPr>
          <w:rFonts w:cstheme="minorHAnsi"/>
          <w:color w:val="231F20"/>
          <w:w w:val="105"/>
        </w:rPr>
        <w:t>to</w:t>
      </w:r>
      <w:r w:rsidRPr="005B326C">
        <w:rPr>
          <w:rFonts w:cstheme="minorHAnsi"/>
          <w:color w:val="231F20"/>
          <w:w w:val="105"/>
        </w:rPr>
        <w:t xml:space="preserve"> </w:t>
      </w:r>
      <w:r w:rsidRPr="00E06806">
        <w:rPr>
          <w:rFonts w:cstheme="minorHAnsi"/>
          <w:color w:val="231F20"/>
          <w:w w:val="105"/>
        </w:rPr>
        <w:t>support</w:t>
      </w:r>
      <w:r w:rsidRPr="005B326C">
        <w:rPr>
          <w:rFonts w:cstheme="minorHAnsi"/>
          <w:color w:val="231F20"/>
          <w:w w:val="105"/>
        </w:rPr>
        <w:t xml:space="preserve"> </w:t>
      </w:r>
      <w:r w:rsidRPr="00E06806">
        <w:rPr>
          <w:rFonts w:cstheme="minorHAnsi"/>
          <w:color w:val="231F20"/>
          <w:w w:val="105"/>
        </w:rPr>
        <w:t>accomplishments</w:t>
      </w:r>
      <w:r w:rsidRPr="005B326C">
        <w:rPr>
          <w:rFonts w:cstheme="minorHAnsi"/>
          <w:color w:val="231F20"/>
          <w:w w:val="105"/>
        </w:rPr>
        <w:t xml:space="preserve"> </w:t>
      </w:r>
      <w:r w:rsidRPr="00E06806">
        <w:rPr>
          <w:rFonts w:cstheme="minorHAnsi"/>
          <w:color w:val="231F20"/>
          <w:w w:val="105"/>
        </w:rPr>
        <w:t>of</w:t>
      </w:r>
      <w:r w:rsidRPr="005B326C">
        <w:rPr>
          <w:rFonts w:cstheme="minorHAnsi"/>
          <w:color w:val="231F20"/>
          <w:w w:val="105"/>
        </w:rPr>
        <w:t xml:space="preserve"> </w:t>
      </w:r>
      <w:r w:rsidRPr="00E06806">
        <w:rPr>
          <w:rFonts w:cstheme="minorHAnsi"/>
          <w:color w:val="231F20"/>
          <w:w w:val="105"/>
        </w:rPr>
        <w:t>the</w:t>
      </w:r>
      <w:r w:rsidRPr="005B326C">
        <w:rPr>
          <w:rFonts w:cstheme="minorHAnsi"/>
          <w:color w:val="231F20"/>
          <w:w w:val="105"/>
        </w:rPr>
        <w:t xml:space="preserve"> </w:t>
      </w:r>
      <w:r w:rsidRPr="00E06806">
        <w:rPr>
          <w:rFonts w:cstheme="minorHAnsi"/>
          <w:color w:val="231F20"/>
          <w:w w:val="105"/>
        </w:rPr>
        <w:t>DPN</w:t>
      </w:r>
      <w:r w:rsidRPr="005B326C">
        <w:rPr>
          <w:rFonts w:cstheme="minorHAnsi"/>
          <w:color w:val="231F20"/>
          <w:w w:val="105"/>
        </w:rPr>
        <w:t xml:space="preserve"> </w:t>
      </w:r>
      <w:r w:rsidRPr="00E06806">
        <w:rPr>
          <w:rFonts w:cstheme="minorHAnsi"/>
          <w:color w:val="231F20"/>
          <w:w w:val="105"/>
        </w:rPr>
        <w:t>grant</w:t>
      </w:r>
      <w:r w:rsidRPr="005B326C">
        <w:rPr>
          <w:rFonts w:cstheme="minorHAnsi"/>
          <w:color w:val="231F20"/>
          <w:w w:val="105"/>
        </w:rPr>
        <w:t xml:space="preserve"> </w:t>
      </w:r>
      <w:r w:rsidRPr="00E06806">
        <w:rPr>
          <w:rFonts w:cstheme="minorHAnsi"/>
          <w:color w:val="231F20"/>
          <w:w w:val="105"/>
        </w:rPr>
        <w:t>and</w:t>
      </w:r>
      <w:r w:rsidRPr="005B326C">
        <w:rPr>
          <w:rFonts w:cstheme="minorHAnsi"/>
          <w:color w:val="231F20"/>
          <w:w w:val="105"/>
        </w:rPr>
        <w:t xml:space="preserve"> </w:t>
      </w:r>
      <w:r w:rsidRPr="00E06806">
        <w:rPr>
          <w:rFonts w:cstheme="minorHAnsi"/>
          <w:color w:val="231F20"/>
          <w:w w:val="105"/>
        </w:rPr>
        <w:t>assist</w:t>
      </w:r>
      <w:r w:rsidRPr="005B326C">
        <w:rPr>
          <w:rFonts w:cstheme="minorHAnsi"/>
          <w:color w:val="231F20"/>
          <w:w w:val="105"/>
        </w:rPr>
        <w:t xml:space="preserve"> </w:t>
      </w:r>
      <w:r w:rsidRPr="00E06806">
        <w:rPr>
          <w:rFonts w:cstheme="minorHAnsi"/>
          <w:color w:val="231F20"/>
          <w:w w:val="105"/>
        </w:rPr>
        <w:t>local</w:t>
      </w:r>
      <w:r w:rsidRPr="005B326C">
        <w:rPr>
          <w:rFonts w:cstheme="minorHAnsi"/>
          <w:color w:val="231F20"/>
          <w:w w:val="105"/>
        </w:rPr>
        <w:t xml:space="preserve"> </w:t>
      </w:r>
      <w:r w:rsidRPr="00E06806">
        <w:rPr>
          <w:rFonts w:cstheme="minorHAnsi"/>
          <w:color w:val="231F20"/>
          <w:w w:val="105"/>
        </w:rPr>
        <w:t>areas</w:t>
      </w:r>
      <w:r w:rsidRPr="005B326C">
        <w:rPr>
          <w:rFonts w:cstheme="minorHAnsi"/>
          <w:color w:val="231F20"/>
          <w:w w:val="105"/>
        </w:rPr>
        <w:t xml:space="preserve"> </w:t>
      </w:r>
      <w:r w:rsidRPr="00E06806">
        <w:rPr>
          <w:rFonts w:cstheme="minorHAnsi"/>
          <w:color w:val="231F20"/>
          <w:w w:val="105"/>
        </w:rPr>
        <w:t>with</w:t>
      </w:r>
      <w:r w:rsidRPr="005B326C">
        <w:rPr>
          <w:rFonts w:cstheme="minorHAnsi"/>
          <w:color w:val="231F20"/>
          <w:w w:val="105"/>
        </w:rPr>
        <w:t xml:space="preserve"> </w:t>
      </w:r>
      <w:r w:rsidRPr="00E06806">
        <w:rPr>
          <w:rFonts w:cstheme="minorHAnsi"/>
          <w:color w:val="231F20"/>
          <w:w w:val="105"/>
        </w:rPr>
        <w:t>staffing,</w:t>
      </w:r>
      <w:r w:rsidR="007247F3">
        <w:rPr>
          <w:rFonts w:cstheme="minorHAnsi"/>
          <w:color w:val="231F20"/>
          <w:w w:val="105"/>
        </w:rPr>
        <w:t xml:space="preserve"> </w:t>
      </w:r>
      <w:r w:rsidRPr="00E06806">
        <w:rPr>
          <w:rFonts w:cstheme="minorHAnsi"/>
          <w:color w:val="231F20"/>
          <w:w w:val="105"/>
        </w:rPr>
        <w:t>purchasing</w:t>
      </w:r>
      <w:r w:rsidRPr="005B326C">
        <w:rPr>
          <w:rFonts w:cstheme="minorHAnsi"/>
          <w:color w:val="231F20"/>
          <w:w w:val="105"/>
        </w:rPr>
        <w:t xml:space="preserve"> </w:t>
      </w:r>
      <w:r w:rsidRPr="00E06806">
        <w:rPr>
          <w:rFonts w:cstheme="minorHAnsi"/>
          <w:color w:val="231F20"/>
          <w:w w:val="105"/>
        </w:rPr>
        <w:t>of</w:t>
      </w:r>
      <w:r w:rsidRPr="005B326C">
        <w:rPr>
          <w:rFonts w:cstheme="minorHAnsi"/>
          <w:color w:val="231F20"/>
          <w:w w:val="105"/>
        </w:rPr>
        <w:t xml:space="preserve"> </w:t>
      </w:r>
      <w:r w:rsidRPr="00E06806">
        <w:rPr>
          <w:rFonts w:cstheme="minorHAnsi"/>
          <w:color w:val="231F20"/>
          <w:w w:val="105"/>
        </w:rPr>
        <w:t>assistive</w:t>
      </w:r>
      <w:r w:rsidRPr="005B326C">
        <w:rPr>
          <w:rFonts w:cstheme="minorHAnsi"/>
          <w:color w:val="231F20"/>
          <w:w w:val="105"/>
        </w:rPr>
        <w:t xml:space="preserve"> </w:t>
      </w:r>
      <w:r w:rsidRPr="00E06806">
        <w:rPr>
          <w:rFonts w:cstheme="minorHAnsi"/>
          <w:color w:val="231F20"/>
          <w:w w:val="105"/>
        </w:rPr>
        <w:t>technology</w:t>
      </w:r>
      <w:r w:rsidRPr="005B326C">
        <w:rPr>
          <w:rFonts w:cstheme="minorHAnsi"/>
          <w:color w:val="231F20"/>
          <w:w w:val="105"/>
        </w:rPr>
        <w:t xml:space="preserve"> </w:t>
      </w:r>
      <w:r w:rsidRPr="00E06806">
        <w:rPr>
          <w:rFonts w:cstheme="minorHAnsi"/>
          <w:color w:val="231F20"/>
          <w:w w:val="105"/>
        </w:rPr>
        <w:t>and</w:t>
      </w:r>
      <w:r w:rsidRPr="005B326C">
        <w:rPr>
          <w:rFonts w:cstheme="minorHAnsi"/>
          <w:color w:val="231F20"/>
          <w:w w:val="105"/>
        </w:rPr>
        <w:t xml:space="preserve"> </w:t>
      </w:r>
      <w:r w:rsidRPr="00E06806">
        <w:rPr>
          <w:rFonts w:cstheme="minorHAnsi"/>
          <w:color w:val="231F20"/>
          <w:w w:val="105"/>
        </w:rPr>
        <w:t>services</w:t>
      </w:r>
      <w:r w:rsidR="00190E3E" w:rsidRPr="00E06806">
        <w:rPr>
          <w:rFonts w:cstheme="minorHAnsi"/>
          <w:color w:val="231F20"/>
          <w:w w:val="105"/>
        </w:rPr>
        <w:t>;</w:t>
      </w:r>
      <w:r w:rsidR="00190E3E" w:rsidRPr="005B326C">
        <w:rPr>
          <w:rFonts w:cstheme="minorHAnsi"/>
          <w:color w:val="231F20"/>
          <w:w w:val="105"/>
        </w:rPr>
        <w:t xml:space="preserve"> </w:t>
      </w:r>
      <w:r w:rsidRPr="00E06806">
        <w:rPr>
          <w:rFonts w:cstheme="minorHAnsi"/>
          <w:color w:val="231F20"/>
          <w:w w:val="105"/>
        </w:rPr>
        <w:t>and</w:t>
      </w:r>
      <w:r w:rsidR="00190E3E" w:rsidRPr="00E06806">
        <w:rPr>
          <w:rFonts w:cstheme="minorHAnsi"/>
          <w:color w:val="231F20"/>
          <w:w w:val="105"/>
        </w:rPr>
        <w:t>,</w:t>
      </w:r>
      <w:r w:rsidRPr="005B326C">
        <w:rPr>
          <w:rFonts w:cstheme="minorHAnsi"/>
          <w:color w:val="231F20"/>
          <w:w w:val="105"/>
        </w:rPr>
        <w:t xml:space="preserve"> </w:t>
      </w:r>
      <w:r w:rsidRPr="00E06806">
        <w:rPr>
          <w:rFonts w:cstheme="minorHAnsi"/>
          <w:color w:val="231F20"/>
          <w:w w:val="105"/>
        </w:rPr>
        <w:t>modifications</w:t>
      </w:r>
      <w:r w:rsidRPr="005B326C">
        <w:rPr>
          <w:rFonts w:cstheme="minorHAnsi"/>
          <w:color w:val="231F20"/>
          <w:w w:val="105"/>
        </w:rPr>
        <w:t xml:space="preserve"> </w:t>
      </w:r>
      <w:r w:rsidRPr="00E06806">
        <w:rPr>
          <w:rFonts w:cstheme="minorHAnsi"/>
          <w:color w:val="231F20"/>
          <w:w w:val="105"/>
        </w:rPr>
        <w:t>to</w:t>
      </w:r>
      <w:r w:rsidRPr="005B326C">
        <w:rPr>
          <w:rFonts w:cstheme="minorHAnsi"/>
          <w:color w:val="231F20"/>
          <w:w w:val="105"/>
        </w:rPr>
        <w:t xml:space="preserve"> </w:t>
      </w:r>
      <w:r w:rsidRPr="00E06806">
        <w:rPr>
          <w:rFonts w:cstheme="minorHAnsi"/>
          <w:color w:val="231F20"/>
          <w:w w:val="105"/>
        </w:rPr>
        <w:t>workstations</w:t>
      </w:r>
      <w:r w:rsidRPr="005B326C">
        <w:rPr>
          <w:rFonts w:cstheme="minorHAnsi"/>
          <w:color w:val="231F20"/>
          <w:w w:val="105"/>
        </w:rPr>
        <w:t xml:space="preserve"> </w:t>
      </w:r>
      <w:r w:rsidRPr="00E06806">
        <w:rPr>
          <w:rFonts w:cstheme="minorHAnsi"/>
          <w:color w:val="231F20"/>
          <w:w w:val="105"/>
        </w:rPr>
        <w:t>and</w:t>
      </w:r>
      <w:r w:rsidRPr="005B326C">
        <w:rPr>
          <w:rFonts w:cstheme="minorHAnsi"/>
          <w:color w:val="231F20"/>
          <w:w w:val="105"/>
        </w:rPr>
        <w:t xml:space="preserve"> </w:t>
      </w:r>
      <w:r w:rsidRPr="00E06806">
        <w:rPr>
          <w:rFonts w:cstheme="minorHAnsi"/>
          <w:color w:val="231F20"/>
          <w:w w:val="105"/>
        </w:rPr>
        <w:t>offices</w:t>
      </w:r>
      <w:r w:rsidRPr="005B326C">
        <w:rPr>
          <w:rFonts w:cstheme="minorHAnsi"/>
          <w:color w:val="231F20"/>
          <w:w w:val="105"/>
        </w:rPr>
        <w:t xml:space="preserve"> </w:t>
      </w:r>
      <w:r w:rsidRPr="00E06806">
        <w:rPr>
          <w:rFonts w:cstheme="minorHAnsi"/>
          <w:color w:val="231F20"/>
          <w:w w:val="105"/>
        </w:rPr>
        <w:t>to</w:t>
      </w:r>
      <w:r w:rsidRPr="005B326C">
        <w:rPr>
          <w:rFonts w:cstheme="minorHAnsi"/>
          <w:color w:val="231F20"/>
          <w:w w:val="105"/>
        </w:rPr>
        <w:t xml:space="preserve"> </w:t>
      </w:r>
      <w:r w:rsidRPr="00E06806">
        <w:rPr>
          <w:rFonts w:cstheme="minorHAnsi"/>
          <w:color w:val="231F20"/>
          <w:w w:val="105"/>
        </w:rPr>
        <w:t>better</w:t>
      </w:r>
      <w:r w:rsidRPr="005B326C">
        <w:rPr>
          <w:rFonts w:cstheme="minorHAnsi"/>
          <w:color w:val="231F20"/>
          <w:w w:val="105"/>
        </w:rPr>
        <w:t xml:space="preserve"> </w:t>
      </w:r>
      <w:r w:rsidRPr="00E06806">
        <w:rPr>
          <w:rFonts w:cstheme="minorHAnsi"/>
          <w:color w:val="231F20"/>
          <w:w w:val="105"/>
        </w:rPr>
        <w:t>accommodate</w:t>
      </w:r>
      <w:r w:rsidRPr="005B326C">
        <w:rPr>
          <w:rFonts w:cstheme="minorHAnsi"/>
          <w:color w:val="231F20"/>
          <w:w w:val="105"/>
        </w:rPr>
        <w:t xml:space="preserve"> </w:t>
      </w:r>
      <w:r w:rsidR="004A45CE" w:rsidRPr="00E06806">
        <w:rPr>
          <w:rFonts w:cstheme="minorHAnsi"/>
          <w:color w:val="231F20"/>
          <w:w w:val="105"/>
        </w:rPr>
        <w:t>people with disabilities</w:t>
      </w:r>
      <w:r w:rsidRPr="00E06806">
        <w:rPr>
          <w:rFonts w:cstheme="minorHAnsi"/>
          <w:color w:val="231F20"/>
          <w:w w:val="105"/>
        </w:rPr>
        <w:t>.</w:t>
      </w:r>
      <w:r w:rsidRPr="005B326C">
        <w:rPr>
          <w:rFonts w:cstheme="minorHAnsi"/>
          <w:color w:val="231F20"/>
          <w:w w:val="105"/>
        </w:rPr>
        <w:t xml:space="preserve"> </w:t>
      </w:r>
      <w:r w:rsidRPr="00E06806">
        <w:rPr>
          <w:rFonts w:cstheme="minorHAnsi"/>
          <w:color w:val="231F20"/>
          <w:w w:val="105"/>
        </w:rPr>
        <w:t>The</w:t>
      </w:r>
      <w:r w:rsidRPr="005B326C">
        <w:rPr>
          <w:rFonts w:cstheme="minorHAnsi"/>
          <w:color w:val="231F20"/>
          <w:w w:val="105"/>
        </w:rPr>
        <w:t xml:space="preserve"> </w:t>
      </w:r>
      <w:r w:rsidRPr="00E06806">
        <w:rPr>
          <w:rFonts w:cstheme="minorHAnsi"/>
          <w:color w:val="231F20"/>
          <w:w w:val="105"/>
        </w:rPr>
        <w:t>CareerSource</w:t>
      </w:r>
      <w:r w:rsidRPr="005B326C">
        <w:rPr>
          <w:rFonts w:cstheme="minorHAnsi"/>
          <w:color w:val="231F20"/>
          <w:w w:val="105"/>
        </w:rPr>
        <w:t xml:space="preserve"> </w:t>
      </w:r>
      <w:r w:rsidR="00E941F7">
        <w:rPr>
          <w:rFonts w:cstheme="minorHAnsi"/>
          <w:color w:val="231F20"/>
          <w:w w:val="105"/>
        </w:rPr>
        <w:t xml:space="preserve">Florida </w:t>
      </w:r>
      <w:r w:rsidRPr="00E06806">
        <w:rPr>
          <w:rFonts w:cstheme="minorHAnsi"/>
          <w:color w:val="231F20"/>
          <w:w w:val="105"/>
        </w:rPr>
        <w:t>center</w:t>
      </w:r>
      <w:r w:rsidRPr="005B326C">
        <w:rPr>
          <w:rFonts w:cstheme="minorHAnsi"/>
          <w:color w:val="231F20"/>
          <w:w w:val="105"/>
        </w:rPr>
        <w:t xml:space="preserve"> </w:t>
      </w:r>
      <w:r w:rsidRPr="00E06806">
        <w:rPr>
          <w:rFonts w:cstheme="minorHAnsi"/>
          <w:color w:val="231F20"/>
          <w:w w:val="105"/>
        </w:rPr>
        <w:t>system</w:t>
      </w:r>
      <w:r w:rsidRPr="005B326C">
        <w:rPr>
          <w:rFonts w:cstheme="minorHAnsi"/>
          <w:color w:val="231F20"/>
          <w:w w:val="105"/>
        </w:rPr>
        <w:t xml:space="preserve"> </w:t>
      </w:r>
      <w:r w:rsidRPr="00E06806">
        <w:rPr>
          <w:rFonts w:cstheme="minorHAnsi"/>
          <w:color w:val="231F20"/>
          <w:w w:val="105"/>
        </w:rPr>
        <w:t>expanded</w:t>
      </w:r>
      <w:r w:rsidRPr="005B326C">
        <w:rPr>
          <w:rFonts w:cstheme="minorHAnsi"/>
          <w:color w:val="231F20"/>
          <w:w w:val="105"/>
        </w:rPr>
        <w:t xml:space="preserve"> </w:t>
      </w:r>
      <w:r w:rsidRPr="00E06806">
        <w:rPr>
          <w:rFonts w:cstheme="minorHAnsi"/>
          <w:color w:val="231F20"/>
          <w:w w:val="105"/>
        </w:rPr>
        <w:t>the</w:t>
      </w:r>
      <w:r w:rsidRPr="005B326C">
        <w:rPr>
          <w:rFonts w:cstheme="minorHAnsi"/>
          <w:color w:val="231F20"/>
          <w:w w:val="105"/>
        </w:rPr>
        <w:t xml:space="preserve"> </w:t>
      </w:r>
      <w:r w:rsidRPr="00E06806">
        <w:rPr>
          <w:rFonts w:cstheme="minorHAnsi"/>
          <w:color w:val="231F20"/>
          <w:w w:val="105"/>
        </w:rPr>
        <w:t>range</w:t>
      </w:r>
      <w:r w:rsidRPr="005B326C">
        <w:rPr>
          <w:rFonts w:cstheme="minorHAnsi"/>
          <w:color w:val="231F20"/>
          <w:w w:val="105"/>
        </w:rPr>
        <w:t xml:space="preserve"> </w:t>
      </w:r>
      <w:r w:rsidRPr="00E06806">
        <w:rPr>
          <w:rFonts w:cstheme="minorHAnsi"/>
          <w:color w:val="231F20"/>
          <w:w w:val="105"/>
        </w:rPr>
        <w:t>of</w:t>
      </w:r>
      <w:r w:rsidRPr="005B326C">
        <w:rPr>
          <w:rFonts w:cstheme="minorHAnsi"/>
          <w:color w:val="231F20"/>
          <w:w w:val="105"/>
        </w:rPr>
        <w:t xml:space="preserve"> </w:t>
      </w:r>
      <w:r w:rsidRPr="00E06806">
        <w:rPr>
          <w:rFonts w:cstheme="minorHAnsi"/>
          <w:color w:val="231F20"/>
          <w:w w:val="105"/>
        </w:rPr>
        <w:t>local</w:t>
      </w:r>
      <w:r w:rsidRPr="005B326C">
        <w:rPr>
          <w:rFonts w:cstheme="minorHAnsi"/>
          <w:color w:val="231F20"/>
          <w:w w:val="105"/>
        </w:rPr>
        <w:t xml:space="preserve"> </w:t>
      </w:r>
      <w:r w:rsidRPr="00E06806">
        <w:rPr>
          <w:rFonts w:cstheme="minorHAnsi"/>
          <w:color w:val="231F20"/>
          <w:w w:val="105"/>
        </w:rPr>
        <w:t>partners</w:t>
      </w:r>
      <w:r w:rsidRPr="005B326C">
        <w:rPr>
          <w:rFonts w:cstheme="minorHAnsi"/>
          <w:color w:val="231F20"/>
          <w:w w:val="105"/>
        </w:rPr>
        <w:t xml:space="preserve"> </w:t>
      </w:r>
      <w:r w:rsidRPr="00E06806">
        <w:rPr>
          <w:rFonts w:cstheme="minorHAnsi"/>
          <w:color w:val="231F20"/>
          <w:w w:val="105"/>
        </w:rPr>
        <w:t>who</w:t>
      </w:r>
      <w:r w:rsidRPr="005B326C">
        <w:rPr>
          <w:rFonts w:cstheme="minorHAnsi"/>
          <w:color w:val="231F20"/>
          <w:w w:val="105"/>
        </w:rPr>
        <w:t xml:space="preserve"> </w:t>
      </w:r>
      <w:r w:rsidRPr="00E06806">
        <w:rPr>
          <w:rFonts w:cstheme="minorHAnsi"/>
          <w:color w:val="231F20"/>
          <w:w w:val="105"/>
        </w:rPr>
        <w:t>provide</w:t>
      </w:r>
      <w:r w:rsidRPr="005B326C">
        <w:rPr>
          <w:rFonts w:cstheme="minorHAnsi"/>
          <w:color w:val="231F20"/>
          <w:w w:val="105"/>
        </w:rPr>
        <w:t xml:space="preserve"> </w:t>
      </w:r>
      <w:r w:rsidRPr="00E06806">
        <w:rPr>
          <w:rFonts w:cstheme="minorHAnsi"/>
          <w:color w:val="231F20"/>
          <w:w w:val="105"/>
        </w:rPr>
        <w:t>supplemental</w:t>
      </w:r>
      <w:r w:rsidRPr="005B326C">
        <w:rPr>
          <w:rFonts w:cstheme="minorHAnsi"/>
          <w:color w:val="231F20"/>
          <w:w w:val="105"/>
        </w:rPr>
        <w:t xml:space="preserve"> </w:t>
      </w:r>
      <w:r w:rsidRPr="00E06806">
        <w:rPr>
          <w:rFonts w:cstheme="minorHAnsi"/>
          <w:color w:val="231F20"/>
          <w:w w:val="105"/>
        </w:rPr>
        <w:t>services</w:t>
      </w:r>
      <w:r w:rsidRPr="005B326C">
        <w:rPr>
          <w:rFonts w:cstheme="minorHAnsi"/>
          <w:color w:val="231F20"/>
          <w:w w:val="105"/>
        </w:rPr>
        <w:t xml:space="preserve"> </w:t>
      </w:r>
      <w:r w:rsidRPr="00E06806">
        <w:rPr>
          <w:rFonts w:cstheme="minorHAnsi"/>
          <w:color w:val="231F20"/>
          <w:w w:val="105"/>
        </w:rPr>
        <w:t>to</w:t>
      </w:r>
      <w:r w:rsidRPr="005B326C">
        <w:rPr>
          <w:rFonts w:cstheme="minorHAnsi"/>
          <w:color w:val="231F20"/>
          <w:w w:val="105"/>
        </w:rPr>
        <w:t xml:space="preserve"> </w:t>
      </w:r>
      <w:r w:rsidRPr="00E06806">
        <w:rPr>
          <w:rFonts w:cstheme="minorHAnsi"/>
          <w:color w:val="231F20"/>
          <w:w w:val="105"/>
        </w:rPr>
        <w:t>maximize</w:t>
      </w:r>
      <w:r w:rsidRPr="005B326C">
        <w:rPr>
          <w:rFonts w:cstheme="minorHAnsi"/>
          <w:color w:val="231F20"/>
          <w:w w:val="105"/>
        </w:rPr>
        <w:t xml:space="preserve"> </w:t>
      </w:r>
      <w:r w:rsidRPr="00E06806">
        <w:rPr>
          <w:rFonts w:cstheme="minorHAnsi"/>
          <w:color w:val="231F20"/>
          <w:w w:val="105"/>
        </w:rPr>
        <w:t>the</w:t>
      </w:r>
      <w:r w:rsidRPr="005B326C">
        <w:rPr>
          <w:rFonts w:cstheme="minorHAnsi"/>
          <w:color w:val="231F20"/>
          <w:w w:val="105"/>
        </w:rPr>
        <w:t xml:space="preserve"> </w:t>
      </w:r>
      <w:r w:rsidRPr="00E06806">
        <w:rPr>
          <w:rFonts w:cstheme="minorHAnsi"/>
          <w:color w:val="231F20"/>
          <w:w w:val="105"/>
        </w:rPr>
        <w:t>success</w:t>
      </w:r>
      <w:r w:rsidRPr="005B326C">
        <w:rPr>
          <w:rFonts w:cstheme="minorHAnsi"/>
          <w:color w:val="231F20"/>
          <w:w w:val="105"/>
        </w:rPr>
        <w:t xml:space="preserve"> </w:t>
      </w:r>
      <w:r w:rsidRPr="00E06806">
        <w:rPr>
          <w:rFonts w:cstheme="minorHAnsi"/>
          <w:color w:val="231F20"/>
          <w:w w:val="105"/>
        </w:rPr>
        <w:t>of</w:t>
      </w:r>
      <w:r w:rsidRPr="005B326C">
        <w:rPr>
          <w:rFonts w:cstheme="minorHAnsi"/>
          <w:color w:val="231F20"/>
          <w:w w:val="105"/>
        </w:rPr>
        <w:t xml:space="preserve"> </w:t>
      </w:r>
      <w:r w:rsidR="004A45CE" w:rsidRPr="00E06806">
        <w:rPr>
          <w:rFonts w:cstheme="minorHAnsi"/>
          <w:color w:val="231F20"/>
          <w:w w:val="105"/>
        </w:rPr>
        <w:t xml:space="preserve">people with disabilities </w:t>
      </w:r>
      <w:r w:rsidRPr="00E06806">
        <w:rPr>
          <w:rFonts w:cstheme="minorHAnsi"/>
          <w:color w:val="231F20"/>
          <w:w w:val="105"/>
        </w:rPr>
        <w:t>in</w:t>
      </w:r>
      <w:r w:rsidRPr="005B326C">
        <w:rPr>
          <w:rFonts w:cstheme="minorHAnsi"/>
          <w:color w:val="231F20"/>
          <w:w w:val="105"/>
        </w:rPr>
        <w:t xml:space="preserve"> </w:t>
      </w:r>
      <w:r w:rsidRPr="00E06806">
        <w:rPr>
          <w:rFonts w:cstheme="minorHAnsi"/>
          <w:color w:val="231F20"/>
          <w:w w:val="105"/>
        </w:rPr>
        <w:t>the</w:t>
      </w:r>
      <w:r w:rsidRPr="005B326C">
        <w:rPr>
          <w:rFonts w:cstheme="minorHAnsi"/>
          <w:color w:val="231F20"/>
          <w:w w:val="105"/>
        </w:rPr>
        <w:t xml:space="preserve"> </w:t>
      </w:r>
      <w:r w:rsidRPr="00E06806">
        <w:rPr>
          <w:rFonts w:cstheme="minorHAnsi"/>
          <w:color w:val="231F20"/>
          <w:w w:val="105"/>
        </w:rPr>
        <w:t>workplace.</w:t>
      </w:r>
    </w:p>
    <w:p w14:paraId="7B8C4A27" w14:textId="77777777" w:rsidR="005B326C" w:rsidRDefault="005B326C" w:rsidP="00D63204">
      <w:pPr>
        <w:widowControl w:val="0"/>
        <w:spacing w:after="0" w:line="264" w:lineRule="exact"/>
        <w:ind w:left="107"/>
        <w:rPr>
          <w:rFonts w:cstheme="minorHAnsi"/>
          <w:color w:val="231F20"/>
          <w:w w:val="105"/>
        </w:rPr>
      </w:pPr>
    </w:p>
    <w:p w14:paraId="5CBB6055" w14:textId="1293A338" w:rsidR="00EA7458" w:rsidRPr="005B326C" w:rsidRDefault="00EA7458" w:rsidP="00D63204">
      <w:pPr>
        <w:widowControl w:val="0"/>
        <w:spacing w:after="0" w:line="264" w:lineRule="exact"/>
        <w:ind w:left="107"/>
        <w:rPr>
          <w:rFonts w:cstheme="minorHAnsi"/>
          <w:color w:val="231F20"/>
          <w:w w:val="105"/>
        </w:rPr>
      </w:pPr>
      <w:r w:rsidRPr="005B326C">
        <w:rPr>
          <w:rFonts w:cstheme="minorHAnsi"/>
          <w:color w:val="231F20"/>
          <w:w w:val="105"/>
        </w:rPr>
        <w:t xml:space="preserve">LWDBs </w:t>
      </w:r>
      <w:r w:rsidRPr="00E06806">
        <w:rPr>
          <w:rFonts w:cstheme="minorHAnsi"/>
          <w:color w:val="231F20"/>
          <w:w w:val="105"/>
        </w:rPr>
        <w:t>continue</w:t>
      </w:r>
      <w:r w:rsidRPr="005B326C">
        <w:rPr>
          <w:rFonts w:cstheme="minorHAnsi"/>
          <w:color w:val="231F20"/>
          <w:w w:val="105"/>
        </w:rPr>
        <w:t xml:space="preserve"> </w:t>
      </w:r>
      <w:r w:rsidR="00771639" w:rsidRPr="00E06806">
        <w:rPr>
          <w:rFonts w:cstheme="minorHAnsi"/>
          <w:color w:val="231F20"/>
          <w:w w:val="105"/>
        </w:rPr>
        <w:t xml:space="preserve">expanding </w:t>
      </w:r>
      <w:r w:rsidRPr="00E06806">
        <w:rPr>
          <w:rFonts w:cstheme="minorHAnsi"/>
          <w:color w:val="231F20"/>
          <w:w w:val="105"/>
        </w:rPr>
        <w:t>employment</w:t>
      </w:r>
      <w:r w:rsidRPr="005B326C">
        <w:rPr>
          <w:rFonts w:cstheme="minorHAnsi"/>
          <w:color w:val="231F20"/>
          <w:w w:val="105"/>
        </w:rPr>
        <w:t xml:space="preserve"> </w:t>
      </w:r>
      <w:r w:rsidRPr="00E06806">
        <w:rPr>
          <w:rFonts w:cstheme="minorHAnsi"/>
          <w:color w:val="231F20"/>
          <w:w w:val="105"/>
        </w:rPr>
        <w:t>and</w:t>
      </w:r>
      <w:r w:rsidRPr="005B326C">
        <w:rPr>
          <w:rFonts w:cstheme="minorHAnsi"/>
          <w:color w:val="231F20"/>
          <w:w w:val="105"/>
        </w:rPr>
        <w:t xml:space="preserve"> </w:t>
      </w:r>
      <w:r w:rsidRPr="00E06806">
        <w:rPr>
          <w:rFonts w:cstheme="minorHAnsi"/>
          <w:color w:val="231F20"/>
          <w:w w:val="105"/>
        </w:rPr>
        <w:t>training</w:t>
      </w:r>
      <w:r w:rsidRPr="005B326C">
        <w:rPr>
          <w:rFonts w:cstheme="minorHAnsi"/>
          <w:color w:val="231F20"/>
          <w:w w:val="105"/>
        </w:rPr>
        <w:t xml:space="preserve"> </w:t>
      </w:r>
      <w:r w:rsidRPr="00E06806">
        <w:rPr>
          <w:rFonts w:cstheme="minorHAnsi"/>
          <w:color w:val="231F20"/>
          <w:w w:val="105"/>
        </w:rPr>
        <w:t>services</w:t>
      </w:r>
      <w:r w:rsidRPr="005B326C">
        <w:rPr>
          <w:rFonts w:cstheme="minorHAnsi"/>
          <w:color w:val="231F20"/>
          <w:w w:val="105"/>
        </w:rPr>
        <w:t xml:space="preserve"> </w:t>
      </w:r>
      <w:r w:rsidRPr="00E06806">
        <w:rPr>
          <w:rFonts w:cstheme="minorHAnsi"/>
          <w:color w:val="231F20"/>
          <w:w w:val="105"/>
        </w:rPr>
        <w:t>for</w:t>
      </w:r>
      <w:r w:rsidRPr="005B326C">
        <w:rPr>
          <w:rFonts w:cstheme="minorHAnsi"/>
          <w:color w:val="231F20"/>
          <w:w w:val="105"/>
        </w:rPr>
        <w:t xml:space="preserve"> </w:t>
      </w:r>
      <w:r w:rsidR="004A45CE" w:rsidRPr="00E06806">
        <w:rPr>
          <w:rFonts w:cstheme="minorHAnsi"/>
          <w:color w:val="231F20"/>
          <w:w w:val="105"/>
        </w:rPr>
        <w:t>people with disabilities</w:t>
      </w:r>
      <w:r w:rsidRPr="00E06806">
        <w:rPr>
          <w:rFonts w:cstheme="minorHAnsi"/>
          <w:color w:val="231F20"/>
          <w:w w:val="105"/>
        </w:rPr>
        <w:t>.</w:t>
      </w:r>
      <w:r w:rsidRPr="005B326C">
        <w:rPr>
          <w:rFonts w:cstheme="minorHAnsi"/>
          <w:color w:val="231F20"/>
          <w:w w:val="105"/>
        </w:rPr>
        <w:t xml:space="preserve"> </w:t>
      </w:r>
      <w:r w:rsidR="00664EFD">
        <w:rPr>
          <w:rFonts w:cstheme="minorHAnsi"/>
          <w:color w:val="231F20"/>
          <w:w w:val="105"/>
        </w:rPr>
        <w:t xml:space="preserve">Eighteen </w:t>
      </w:r>
      <w:r w:rsidRPr="00E06806">
        <w:rPr>
          <w:rFonts w:cstheme="minorHAnsi"/>
          <w:color w:val="231F20"/>
          <w:w w:val="105"/>
        </w:rPr>
        <w:t>of</w:t>
      </w:r>
      <w:r w:rsidRPr="005B326C">
        <w:rPr>
          <w:rFonts w:cstheme="minorHAnsi"/>
          <w:color w:val="231F20"/>
          <w:w w:val="105"/>
        </w:rPr>
        <w:t xml:space="preserve"> </w:t>
      </w:r>
      <w:r w:rsidRPr="00E06806">
        <w:rPr>
          <w:rFonts w:cstheme="minorHAnsi"/>
          <w:color w:val="231F20"/>
          <w:w w:val="105"/>
        </w:rPr>
        <w:t>Florida’s</w:t>
      </w:r>
      <w:r w:rsidRPr="005B326C">
        <w:rPr>
          <w:rFonts w:cstheme="minorHAnsi"/>
          <w:color w:val="231F20"/>
          <w:w w:val="105"/>
        </w:rPr>
        <w:t xml:space="preserve"> </w:t>
      </w:r>
      <w:r w:rsidRPr="00E06806">
        <w:rPr>
          <w:rFonts w:cstheme="minorHAnsi"/>
          <w:color w:val="231F20"/>
          <w:w w:val="105"/>
        </w:rPr>
        <w:t>24</w:t>
      </w:r>
      <w:r w:rsidRPr="005B326C">
        <w:rPr>
          <w:rFonts w:cstheme="minorHAnsi"/>
          <w:color w:val="231F20"/>
          <w:w w:val="105"/>
        </w:rPr>
        <w:t xml:space="preserve"> LWDBs </w:t>
      </w:r>
      <w:r w:rsidRPr="00E06806">
        <w:rPr>
          <w:rFonts w:cstheme="minorHAnsi"/>
          <w:color w:val="231F20"/>
          <w:w w:val="105"/>
        </w:rPr>
        <w:t>have</w:t>
      </w:r>
      <w:r w:rsidRPr="005B326C">
        <w:rPr>
          <w:rFonts w:cstheme="minorHAnsi"/>
          <w:color w:val="231F20"/>
          <w:w w:val="105"/>
        </w:rPr>
        <w:t xml:space="preserve"> </w:t>
      </w:r>
      <w:r w:rsidRPr="00E06806">
        <w:rPr>
          <w:rFonts w:cstheme="minorHAnsi"/>
          <w:color w:val="231F20"/>
          <w:w w:val="105"/>
        </w:rPr>
        <w:t>been</w:t>
      </w:r>
      <w:r w:rsidRPr="005B326C">
        <w:rPr>
          <w:rFonts w:cstheme="minorHAnsi"/>
          <w:color w:val="231F20"/>
          <w:w w:val="105"/>
        </w:rPr>
        <w:t xml:space="preserve"> </w:t>
      </w:r>
      <w:r w:rsidRPr="00E06806">
        <w:rPr>
          <w:rFonts w:cstheme="minorHAnsi"/>
          <w:color w:val="231F20"/>
          <w:w w:val="105"/>
        </w:rPr>
        <w:t>approved</w:t>
      </w:r>
      <w:r w:rsidRPr="005B326C">
        <w:rPr>
          <w:rFonts w:cstheme="minorHAnsi"/>
          <w:color w:val="231F20"/>
          <w:w w:val="105"/>
        </w:rPr>
        <w:t xml:space="preserve"> </w:t>
      </w:r>
      <w:r w:rsidRPr="00E06806">
        <w:rPr>
          <w:rFonts w:cstheme="minorHAnsi"/>
          <w:color w:val="231F20"/>
          <w:w w:val="105"/>
        </w:rPr>
        <w:t>as</w:t>
      </w:r>
      <w:r w:rsidRPr="005B326C">
        <w:rPr>
          <w:rFonts w:cstheme="minorHAnsi"/>
          <w:color w:val="231F20"/>
          <w:w w:val="105"/>
        </w:rPr>
        <w:t xml:space="preserve"> </w:t>
      </w:r>
      <w:r w:rsidRPr="00E06806">
        <w:rPr>
          <w:rFonts w:cstheme="minorHAnsi"/>
          <w:color w:val="231F20"/>
          <w:w w:val="105"/>
        </w:rPr>
        <w:t>Employment</w:t>
      </w:r>
      <w:r w:rsidRPr="005B326C">
        <w:rPr>
          <w:rFonts w:cstheme="minorHAnsi"/>
          <w:color w:val="231F20"/>
          <w:w w:val="105"/>
        </w:rPr>
        <w:t xml:space="preserve"> </w:t>
      </w:r>
      <w:r w:rsidRPr="00E06806">
        <w:rPr>
          <w:rFonts w:cstheme="minorHAnsi"/>
          <w:color w:val="231F20"/>
          <w:w w:val="105"/>
        </w:rPr>
        <w:t>Networks</w:t>
      </w:r>
      <w:r w:rsidRPr="005B326C">
        <w:rPr>
          <w:rFonts w:cstheme="minorHAnsi"/>
          <w:color w:val="231F20"/>
          <w:w w:val="105"/>
        </w:rPr>
        <w:t xml:space="preserve"> </w:t>
      </w:r>
      <w:r w:rsidRPr="00E06806">
        <w:rPr>
          <w:rFonts w:cstheme="minorHAnsi"/>
          <w:color w:val="231F20"/>
          <w:w w:val="105"/>
        </w:rPr>
        <w:t>(EN)</w:t>
      </w:r>
      <w:r w:rsidRPr="005B326C">
        <w:rPr>
          <w:rFonts w:cstheme="minorHAnsi"/>
          <w:color w:val="231F20"/>
          <w:w w:val="105"/>
        </w:rPr>
        <w:t xml:space="preserve"> </w:t>
      </w:r>
      <w:r w:rsidRPr="00E06806">
        <w:rPr>
          <w:rFonts w:cstheme="minorHAnsi"/>
          <w:color w:val="231F20"/>
          <w:w w:val="105"/>
        </w:rPr>
        <w:t>under</w:t>
      </w:r>
      <w:r w:rsidRPr="005B326C">
        <w:rPr>
          <w:rFonts w:cstheme="minorHAnsi"/>
          <w:color w:val="231F20"/>
          <w:w w:val="105"/>
        </w:rPr>
        <w:t xml:space="preserve"> </w:t>
      </w:r>
      <w:r w:rsidRPr="00E06806">
        <w:rPr>
          <w:rFonts w:cstheme="minorHAnsi"/>
          <w:color w:val="231F20"/>
          <w:w w:val="105"/>
        </w:rPr>
        <w:t>the</w:t>
      </w:r>
      <w:r w:rsidRPr="005B326C">
        <w:rPr>
          <w:rFonts w:cstheme="minorHAnsi"/>
          <w:color w:val="231F20"/>
          <w:w w:val="105"/>
        </w:rPr>
        <w:t xml:space="preserve"> </w:t>
      </w:r>
      <w:r w:rsidRPr="00E06806">
        <w:rPr>
          <w:rFonts w:cstheme="minorHAnsi"/>
          <w:color w:val="231F20"/>
          <w:w w:val="105"/>
        </w:rPr>
        <w:t>Ticket</w:t>
      </w:r>
      <w:r w:rsidRPr="005B326C">
        <w:rPr>
          <w:rFonts w:cstheme="minorHAnsi"/>
          <w:color w:val="231F20"/>
          <w:w w:val="105"/>
        </w:rPr>
        <w:t xml:space="preserve"> </w:t>
      </w:r>
      <w:r w:rsidRPr="00E06806">
        <w:rPr>
          <w:rFonts w:cstheme="minorHAnsi"/>
          <w:color w:val="231F20"/>
          <w:w w:val="105"/>
        </w:rPr>
        <w:t>to</w:t>
      </w:r>
      <w:r w:rsidRPr="005B326C">
        <w:rPr>
          <w:rFonts w:cstheme="minorHAnsi"/>
          <w:color w:val="231F20"/>
          <w:w w:val="105"/>
        </w:rPr>
        <w:t xml:space="preserve"> Work </w:t>
      </w:r>
      <w:r w:rsidRPr="00E06806">
        <w:rPr>
          <w:rFonts w:cstheme="minorHAnsi"/>
          <w:color w:val="231F20"/>
          <w:w w:val="105"/>
        </w:rPr>
        <w:t>program.</w:t>
      </w:r>
    </w:p>
    <w:p w14:paraId="1B6B7BBE" w14:textId="77777777" w:rsidR="00EA7458" w:rsidRPr="00E06806" w:rsidRDefault="00EA7458" w:rsidP="00D63204">
      <w:pPr>
        <w:widowControl w:val="0"/>
        <w:spacing w:before="5" w:after="0" w:line="240" w:lineRule="auto"/>
        <w:ind w:left="107"/>
        <w:rPr>
          <w:rFonts w:cstheme="minorHAnsi"/>
          <w:sz w:val="16"/>
          <w:szCs w:val="16"/>
        </w:rPr>
      </w:pPr>
    </w:p>
    <w:p w14:paraId="0576D9DB" w14:textId="118F52E7" w:rsidR="00EA7458" w:rsidRPr="00E06806" w:rsidRDefault="00771639" w:rsidP="00D63204">
      <w:pPr>
        <w:widowControl w:val="0"/>
        <w:spacing w:after="0" w:line="264" w:lineRule="exact"/>
        <w:ind w:left="107"/>
        <w:rPr>
          <w:rFonts w:cstheme="minorHAnsi"/>
        </w:rPr>
      </w:pPr>
      <w:r w:rsidRPr="00E06806">
        <w:rPr>
          <w:rFonts w:cstheme="minorHAnsi"/>
          <w:color w:val="231F20"/>
          <w:w w:val="105"/>
        </w:rPr>
        <w:lastRenderedPageBreak/>
        <w:t>T</w:t>
      </w:r>
      <w:r w:rsidR="00EA7458" w:rsidRPr="00E06806">
        <w:rPr>
          <w:rFonts w:cstheme="minorHAnsi"/>
          <w:color w:val="231F20"/>
          <w:w w:val="105"/>
        </w:rPr>
        <w:t>he</w:t>
      </w:r>
      <w:r w:rsidR="00EA7458" w:rsidRPr="00E06806">
        <w:rPr>
          <w:rFonts w:cstheme="minorHAnsi"/>
          <w:color w:val="231F20"/>
          <w:spacing w:val="23"/>
          <w:w w:val="105"/>
        </w:rPr>
        <w:t xml:space="preserve"> </w:t>
      </w:r>
      <w:r w:rsidR="00EA7458" w:rsidRPr="00E06806">
        <w:rPr>
          <w:rFonts w:cstheme="minorHAnsi"/>
          <w:color w:val="231F20"/>
          <w:w w:val="105"/>
        </w:rPr>
        <w:t>state</w:t>
      </w:r>
      <w:r w:rsidR="00EA7458" w:rsidRPr="00E06806">
        <w:rPr>
          <w:rFonts w:cstheme="minorHAnsi"/>
          <w:color w:val="231F20"/>
          <w:spacing w:val="23"/>
          <w:w w:val="105"/>
        </w:rPr>
        <w:t xml:space="preserve"> </w:t>
      </w:r>
      <w:r w:rsidR="00EA7458" w:rsidRPr="00E06806">
        <w:rPr>
          <w:rFonts w:cstheme="minorHAnsi"/>
          <w:color w:val="231F20"/>
          <w:w w:val="105"/>
        </w:rPr>
        <w:t>and</w:t>
      </w:r>
      <w:r w:rsidR="00EA7458" w:rsidRPr="00E06806">
        <w:rPr>
          <w:rFonts w:cstheme="minorHAnsi"/>
          <w:color w:val="231F20"/>
          <w:spacing w:val="23"/>
          <w:w w:val="105"/>
        </w:rPr>
        <w:t xml:space="preserve"> </w:t>
      </w:r>
      <w:r w:rsidR="00EA7458" w:rsidRPr="00E06806">
        <w:rPr>
          <w:rFonts w:cstheme="minorHAnsi"/>
          <w:color w:val="231F20"/>
          <w:w w:val="105"/>
        </w:rPr>
        <w:t>several</w:t>
      </w:r>
      <w:r w:rsidR="00EA7458" w:rsidRPr="00E06806">
        <w:rPr>
          <w:rFonts w:cstheme="minorHAnsi"/>
          <w:color w:val="231F20"/>
          <w:spacing w:val="23"/>
          <w:w w:val="105"/>
        </w:rPr>
        <w:t xml:space="preserve"> </w:t>
      </w:r>
      <w:r w:rsidR="00EA7458" w:rsidRPr="00E06806">
        <w:rPr>
          <w:rFonts w:cstheme="minorHAnsi"/>
          <w:color w:val="231F20"/>
          <w:spacing w:val="-3"/>
          <w:w w:val="105"/>
        </w:rPr>
        <w:t>LWDBs</w:t>
      </w:r>
      <w:r w:rsidR="00EA7458" w:rsidRPr="00E06806">
        <w:rPr>
          <w:rFonts w:cstheme="minorHAnsi"/>
          <w:color w:val="231F20"/>
          <w:spacing w:val="23"/>
          <w:w w:val="105"/>
        </w:rPr>
        <w:t xml:space="preserve"> </w:t>
      </w:r>
      <w:r w:rsidR="00EA7458" w:rsidRPr="00E06806">
        <w:rPr>
          <w:rFonts w:cstheme="minorHAnsi"/>
          <w:color w:val="231F20"/>
          <w:w w:val="105"/>
        </w:rPr>
        <w:t>have</w:t>
      </w:r>
      <w:r w:rsidR="00EA7458" w:rsidRPr="00E06806">
        <w:rPr>
          <w:rFonts w:cstheme="minorHAnsi"/>
          <w:color w:val="231F20"/>
          <w:spacing w:val="23"/>
          <w:w w:val="105"/>
        </w:rPr>
        <w:t xml:space="preserve"> </w:t>
      </w:r>
      <w:r w:rsidR="00EA7458" w:rsidRPr="00E06806">
        <w:rPr>
          <w:rFonts w:cstheme="minorHAnsi"/>
          <w:color w:val="231F20"/>
          <w:w w:val="105"/>
        </w:rPr>
        <w:t>accessible</w:t>
      </w:r>
      <w:r w:rsidR="00EA7458" w:rsidRPr="00E06806">
        <w:rPr>
          <w:rFonts w:cstheme="minorHAnsi"/>
          <w:color w:val="231F20"/>
          <w:spacing w:val="23"/>
          <w:w w:val="105"/>
        </w:rPr>
        <w:t xml:space="preserve"> </w:t>
      </w:r>
      <w:r w:rsidR="00EA7458" w:rsidRPr="00E06806">
        <w:rPr>
          <w:rFonts w:cstheme="minorHAnsi"/>
          <w:color w:val="231F20"/>
          <w:w w:val="105"/>
        </w:rPr>
        <w:t>mobile</w:t>
      </w:r>
      <w:r w:rsidR="00EA7458" w:rsidRPr="00E06806">
        <w:rPr>
          <w:rFonts w:cstheme="minorHAnsi"/>
          <w:color w:val="231F20"/>
          <w:spacing w:val="23"/>
          <w:w w:val="105"/>
        </w:rPr>
        <w:t xml:space="preserve"> </w:t>
      </w:r>
      <w:r w:rsidR="00EA7458" w:rsidRPr="00E06806">
        <w:rPr>
          <w:rFonts w:cstheme="minorHAnsi"/>
          <w:color w:val="231F20"/>
          <w:w w:val="105"/>
        </w:rPr>
        <w:t>CareerSource</w:t>
      </w:r>
      <w:r w:rsidR="00EA7458" w:rsidRPr="00E06806">
        <w:rPr>
          <w:rFonts w:cstheme="minorHAnsi"/>
          <w:color w:val="231F20"/>
          <w:spacing w:val="23"/>
          <w:w w:val="105"/>
        </w:rPr>
        <w:t xml:space="preserve"> </w:t>
      </w:r>
      <w:r w:rsidR="00EA7458" w:rsidRPr="00E06806">
        <w:rPr>
          <w:rFonts w:cstheme="minorHAnsi"/>
          <w:color w:val="231F20"/>
          <w:w w:val="105"/>
        </w:rPr>
        <w:t>Florida</w:t>
      </w:r>
      <w:r w:rsidR="00EA7458" w:rsidRPr="00E06806">
        <w:rPr>
          <w:rFonts w:cstheme="minorHAnsi"/>
          <w:color w:val="231F20"/>
          <w:spacing w:val="23"/>
          <w:w w:val="105"/>
        </w:rPr>
        <w:t xml:space="preserve"> </w:t>
      </w:r>
      <w:r w:rsidR="00EA7458" w:rsidRPr="00E06806">
        <w:rPr>
          <w:rFonts w:cstheme="minorHAnsi"/>
          <w:color w:val="231F20"/>
          <w:w w:val="105"/>
        </w:rPr>
        <w:t>centers</w:t>
      </w:r>
      <w:r w:rsidR="00EA7458" w:rsidRPr="00E06806">
        <w:rPr>
          <w:rFonts w:cstheme="minorHAnsi"/>
          <w:color w:val="231F20"/>
          <w:spacing w:val="23"/>
          <w:w w:val="105"/>
        </w:rPr>
        <w:t xml:space="preserve"> </w:t>
      </w:r>
      <w:r w:rsidRPr="00E06806">
        <w:rPr>
          <w:rFonts w:cstheme="minorHAnsi"/>
          <w:color w:val="231F20"/>
          <w:w w:val="105"/>
        </w:rPr>
        <w:t xml:space="preserve">that </w:t>
      </w:r>
      <w:r w:rsidR="00EA7458" w:rsidRPr="00E06806">
        <w:rPr>
          <w:rFonts w:cstheme="minorHAnsi"/>
          <w:color w:val="231F20"/>
          <w:w w:val="105"/>
        </w:rPr>
        <w:t xml:space="preserve">provide </w:t>
      </w:r>
      <w:r w:rsidR="00636731">
        <w:rPr>
          <w:rFonts w:cstheme="minorHAnsi"/>
          <w:color w:val="231F20"/>
          <w:w w:val="105"/>
        </w:rPr>
        <w:t>on</w:t>
      </w:r>
      <w:r w:rsidR="00EA7458" w:rsidRPr="00E06806">
        <w:rPr>
          <w:rFonts w:cstheme="minorHAnsi"/>
          <w:color w:val="231F20"/>
          <w:w w:val="105"/>
        </w:rPr>
        <w:t>site services</w:t>
      </w:r>
      <w:r w:rsidRPr="00E06806">
        <w:rPr>
          <w:rFonts w:cstheme="minorHAnsi"/>
          <w:color w:val="231F20"/>
          <w:w w:val="105"/>
        </w:rPr>
        <w:t xml:space="preserve"> to </w:t>
      </w:r>
      <w:r w:rsidR="00CB78C2" w:rsidRPr="00E06806">
        <w:rPr>
          <w:rFonts w:cstheme="minorHAnsi"/>
          <w:color w:val="231F20"/>
          <w:w w:val="105"/>
        </w:rPr>
        <w:t>people with disabilities</w:t>
      </w:r>
      <w:r w:rsidRPr="00E06806">
        <w:rPr>
          <w:rFonts w:cstheme="minorHAnsi"/>
          <w:color w:val="231F20"/>
          <w:w w:val="105"/>
        </w:rPr>
        <w:t xml:space="preserve">. This provides additional access to </w:t>
      </w:r>
      <w:r w:rsidR="00EA7458" w:rsidRPr="00E06806">
        <w:rPr>
          <w:rFonts w:cstheme="minorHAnsi"/>
          <w:color w:val="231F20"/>
          <w:w w:val="105"/>
        </w:rPr>
        <w:t>remote job fairs</w:t>
      </w:r>
      <w:r w:rsidR="00A071D6">
        <w:rPr>
          <w:rFonts w:cstheme="minorHAnsi"/>
          <w:color w:val="231F20"/>
          <w:w w:val="105"/>
        </w:rPr>
        <w:t>;</w:t>
      </w:r>
      <w:r w:rsidRPr="00E06806">
        <w:rPr>
          <w:rFonts w:cstheme="minorHAnsi"/>
          <w:color w:val="231F20"/>
          <w:w w:val="105"/>
        </w:rPr>
        <w:t xml:space="preserve"> to those impacted by mass </w:t>
      </w:r>
      <w:r w:rsidR="00535EA3" w:rsidRPr="00E06806">
        <w:rPr>
          <w:rFonts w:cstheme="minorHAnsi"/>
          <w:color w:val="231F20"/>
          <w:w w:val="105"/>
        </w:rPr>
        <w:t>layoffs; and</w:t>
      </w:r>
      <w:r w:rsidR="00EA7458" w:rsidRPr="00E06806">
        <w:rPr>
          <w:rFonts w:cstheme="minorHAnsi"/>
          <w:color w:val="231F20"/>
          <w:w w:val="105"/>
        </w:rPr>
        <w:t xml:space="preserve"> other employment and training events</w:t>
      </w:r>
      <w:r w:rsidR="004A45CE" w:rsidRPr="00E06806">
        <w:rPr>
          <w:rFonts w:cstheme="minorHAnsi"/>
          <w:color w:val="231F20"/>
          <w:w w:val="105"/>
        </w:rPr>
        <w:t xml:space="preserve"> for people with disabilities.</w:t>
      </w:r>
    </w:p>
    <w:p w14:paraId="3B905205" w14:textId="77777777" w:rsidR="00EA7458" w:rsidRPr="00E06806" w:rsidRDefault="00EA7458" w:rsidP="00D63204">
      <w:pPr>
        <w:widowControl w:val="0"/>
        <w:spacing w:before="5" w:after="0" w:line="240" w:lineRule="auto"/>
        <w:ind w:left="107"/>
        <w:rPr>
          <w:rFonts w:cstheme="minorHAnsi"/>
          <w:sz w:val="16"/>
          <w:szCs w:val="16"/>
        </w:rPr>
      </w:pPr>
    </w:p>
    <w:p w14:paraId="2AA74AC8" w14:textId="2F475CA6" w:rsidR="00EA7458" w:rsidRPr="007222F0" w:rsidRDefault="00EA7458" w:rsidP="00D63204">
      <w:pPr>
        <w:widowControl w:val="0"/>
        <w:spacing w:after="0" w:line="264" w:lineRule="exact"/>
        <w:ind w:left="107"/>
        <w:outlineLvl w:val="2"/>
        <w:rPr>
          <w:rFonts w:cstheme="minorHAnsi"/>
          <w:b/>
        </w:rPr>
      </w:pPr>
      <w:r w:rsidRPr="007222F0">
        <w:rPr>
          <w:rFonts w:cstheme="minorHAnsi"/>
          <w:b/>
          <w:bCs/>
          <w:color w:val="231F20"/>
          <w:w w:val="105"/>
        </w:rPr>
        <w:t>At</w:t>
      </w:r>
      <w:r w:rsidRPr="007222F0">
        <w:rPr>
          <w:rFonts w:cstheme="minorHAnsi"/>
          <w:b/>
          <w:bCs/>
          <w:color w:val="231F20"/>
          <w:spacing w:val="35"/>
          <w:w w:val="105"/>
        </w:rPr>
        <w:t xml:space="preserve"> </w:t>
      </w:r>
      <w:r w:rsidRPr="007222F0">
        <w:rPr>
          <w:rFonts w:cstheme="minorHAnsi"/>
          <w:b/>
          <w:bCs/>
          <w:color w:val="231F20"/>
          <w:w w:val="105"/>
        </w:rPr>
        <w:t>the</w:t>
      </w:r>
      <w:r w:rsidRPr="007222F0">
        <w:rPr>
          <w:rFonts w:cstheme="minorHAnsi"/>
          <w:b/>
          <w:bCs/>
          <w:color w:val="231F20"/>
          <w:spacing w:val="35"/>
          <w:w w:val="105"/>
        </w:rPr>
        <w:t xml:space="preserve"> </w:t>
      </w:r>
      <w:r w:rsidRPr="007222F0">
        <w:rPr>
          <w:rFonts w:cstheme="minorHAnsi"/>
          <w:b/>
          <w:bCs/>
          <w:color w:val="231F20"/>
          <w:w w:val="105"/>
        </w:rPr>
        <w:t>state</w:t>
      </w:r>
      <w:r w:rsidRPr="007222F0">
        <w:rPr>
          <w:rFonts w:cstheme="minorHAnsi"/>
          <w:b/>
          <w:bCs/>
          <w:color w:val="231F20"/>
          <w:spacing w:val="35"/>
          <w:w w:val="105"/>
        </w:rPr>
        <w:t xml:space="preserve"> </w:t>
      </w:r>
      <w:r w:rsidRPr="007222F0">
        <w:rPr>
          <w:rFonts w:cstheme="minorHAnsi"/>
          <w:b/>
          <w:bCs/>
          <w:color w:val="231F20"/>
          <w:w w:val="105"/>
        </w:rPr>
        <w:t>level,</w:t>
      </w:r>
      <w:r w:rsidRPr="007222F0">
        <w:rPr>
          <w:rFonts w:cstheme="minorHAnsi"/>
          <w:b/>
          <w:bCs/>
          <w:color w:val="231F20"/>
          <w:spacing w:val="35"/>
          <w:w w:val="105"/>
        </w:rPr>
        <w:t xml:space="preserve"> </w:t>
      </w:r>
      <w:r w:rsidRPr="007222F0">
        <w:rPr>
          <w:rFonts w:cstheme="minorHAnsi"/>
          <w:b/>
          <w:bCs/>
          <w:color w:val="231F20"/>
          <w:w w:val="105"/>
        </w:rPr>
        <w:t>the</w:t>
      </w:r>
      <w:r w:rsidRPr="007222F0">
        <w:rPr>
          <w:rFonts w:cstheme="minorHAnsi"/>
          <w:b/>
          <w:bCs/>
          <w:color w:val="231F20"/>
          <w:spacing w:val="35"/>
          <w:w w:val="105"/>
        </w:rPr>
        <w:t xml:space="preserve"> </w:t>
      </w:r>
      <w:r w:rsidRPr="007222F0">
        <w:rPr>
          <w:rFonts w:cstheme="minorHAnsi"/>
          <w:b/>
          <w:bCs/>
          <w:color w:val="231F20"/>
          <w:w w:val="105"/>
        </w:rPr>
        <w:t>workforce</w:t>
      </w:r>
      <w:r w:rsidRPr="007222F0">
        <w:rPr>
          <w:rFonts w:cstheme="minorHAnsi"/>
          <w:b/>
          <w:bCs/>
          <w:color w:val="231F20"/>
          <w:spacing w:val="35"/>
          <w:w w:val="105"/>
        </w:rPr>
        <w:t xml:space="preserve"> </w:t>
      </w:r>
      <w:r w:rsidRPr="007222F0">
        <w:rPr>
          <w:rFonts w:cstheme="minorHAnsi"/>
          <w:b/>
          <w:bCs/>
          <w:color w:val="231F20"/>
          <w:w w:val="105"/>
        </w:rPr>
        <w:t>system</w:t>
      </w:r>
      <w:r w:rsidRPr="007222F0">
        <w:rPr>
          <w:rFonts w:cstheme="minorHAnsi"/>
          <w:b/>
          <w:bCs/>
          <w:color w:val="231F20"/>
          <w:spacing w:val="35"/>
          <w:w w:val="105"/>
        </w:rPr>
        <w:t xml:space="preserve"> </w:t>
      </w:r>
      <w:r w:rsidRPr="007222F0">
        <w:rPr>
          <w:rFonts w:cstheme="minorHAnsi"/>
          <w:b/>
          <w:bCs/>
          <w:color w:val="231F20"/>
          <w:w w:val="105"/>
        </w:rPr>
        <w:t>increased</w:t>
      </w:r>
      <w:r w:rsidRPr="007222F0">
        <w:rPr>
          <w:rFonts w:cstheme="minorHAnsi"/>
          <w:b/>
          <w:bCs/>
          <w:color w:val="231F20"/>
          <w:spacing w:val="35"/>
          <w:w w:val="105"/>
        </w:rPr>
        <w:t xml:space="preserve"> </w:t>
      </w:r>
      <w:r w:rsidRPr="007222F0">
        <w:rPr>
          <w:rFonts w:cstheme="minorHAnsi"/>
          <w:b/>
          <w:bCs/>
          <w:color w:val="231F20"/>
          <w:w w:val="105"/>
        </w:rPr>
        <w:t>active</w:t>
      </w:r>
      <w:r w:rsidRPr="007222F0">
        <w:rPr>
          <w:rFonts w:cstheme="minorHAnsi"/>
          <w:b/>
          <w:bCs/>
          <w:color w:val="231F20"/>
          <w:spacing w:val="35"/>
          <w:w w:val="105"/>
        </w:rPr>
        <w:t xml:space="preserve"> </w:t>
      </w:r>
      <w:r w:rsidRPr="007222F0">
        <w:rPr>
          <w:rFonts w:cstheme="minorHAnsi"/>
          <w:b/>
          <w:bCs/>
          <w:color w:val="231F20"/>
          <w:w w:val="105"/>
        </w:rPr>
        <w:t>participation</w:t>
      </w:r>
      <w:r w:rsidRPr="007222F0">
        <w:rPr>
          <w:rFonts w:cstheme="minorHAnsi"/>
          <w:b/>
          <w:bCs/>
          <w:color w:val="231F20"/>
          <w:spacing w:val="35"/>
          <w:w w:val="105"/>
        </w:rPr>
        <w:t xml:space="preserve"> </w:t>
      </w:r>
      <w:r w:rsidRPr="007222F0">
        <w:rPr>
          <w:rFonts w:cstheme="minorHAnsi"/>
          <w:b/>
          <w:bCs/>
          <w:color w:val="231F20"/>
          <w:w w:val="105"/>
        </w:rPr>
        <w:t>on</w:t>
      </w:r>
      <w:r w:rsidRPr="007222F0">
        <w:rPr>
          <w:rFonts w:cstheme="minorHAnsi"/>
          <w:b/>
          <w:bCs/>
          <w:color w:val="231F20"/>
          <w:spacing w:val="35"/>
          <w:w w:val="105"/>
        </w:rPr>
        <w:t xml:space="preserve"> </w:t>
      </w:r>
      <w:r w:rsidRPr="007222F0">
        <w:rPr>
          <w:rFonts w:cstheme="minorHAnsi"/>
          <w:b/>
          <w:bCs/>
          <w:color w:val="231F20"/>
          <w:w w:val="105"/>
        </w:rPr>
        <w:t>boards</w:t>
      </w:r>
      <w:r w:rsidRPr="007222F0">
        <w:rPr>
          <w:rFonts w:cstheme="minorHAnsi"/>
          <w:b/>
          <w:bCs/>
          <w:color w:val="231F20"/>
          <w:spacing w:val="35"/>
          <w:w w:val="105"/>
        </w:rPr>
        <w:t xml:space="preserve"> </w:t>
      </w:r>
      <w:r w:rsidR="00585EB7" w:rsidRPr="007222F0">
        <w:rPr>
          <w:rFonts w:cstheme="minorHAnsi"/>
          <w:b/>
          <w:bCs/>
          <w:color w:val="231F20"/>
          <w:w w:val="105"/>
        </w:rPr>
        <w:t xml:space="preserve">working </w:t>
      </w:r>
      <w:r w:rsidRPr="007222F0">
        <w:rPr>
          <w:rFonts w:cstheme="minorHAnsi"/>
          <w:b/>
          <w:bCs/>
          <w:color w:val="231F20"/>
          <w:w w:val="105"/>
        </w:rPr>
        <w:t>to</w:t>
      </w:r>
      <w:r w:rsidRPr="007222F0">
        <w:rPr>
          <w:rFonts w:cstheme="minorHAnsi"/>
          <w:b/>
          <w:bCs/>
          <w:color w:val="231F20"/>
        </w:rPr>
        <w:t xml:space="preserve"> </w:t>
      </w:r>
      <w:r w:rsidRPr="007222F0">
        <w:rPr>
          <w:rFonts w:cstheme="minorHAnsi"/>
          <w:b/>
          <w:bCs/>
          <w:color w:val="231F20"/>
          <w:w w:val="105"/>
        </w:rPr>
        <w:t xml:space="preserve">improve the quality of life of </w:t>
      </w:r>
      <w:r w:rsidR="004A45CE" w:rsidRPr="007222F0">
        <w:rPr>
          <w:rFonts w:cstheme="minorHAnsi"/>
          <w:b/>
          <w:bCs/>
          <w:color w:val="231F20"/>
          <w:w w:val="105"/>
        </w:rPr>
        <w:t xml:space="preserve">people </w:t>
      </w:r>
      <w:r w:rsidR="00CB78C2" w:rsidRPr="007222F0">
        <w:rPr>
          <w:rFonts w:cstheme="minorHAnsi"/>
          <w:b/>
          <w:bCs/>
          <w:color w:val="231F20"/>
          <w:w w:val="105"/>
        </w:rPr>
        <w:t>with disabilities</w:t>
      </w:r>
      <w:r w:rsidRPr="007222F0">
        <w:rPr>
          <w:rFonts w:cstheme="minorHAnsi"/>
          <w:b/>
          <w:bCs/>
          <w:color w:val="231F20"/>
          <w:w w:val="105"/>
        </w:rPr>
        <w:t xml:space="preserve"> such as:</w:t>
      </w:r>
    </w:p>
    <w:p w14:paraId="6EECA0A3" w14:textId="77777777" w:rsidR="00EA7458" w:rsidRPr="00E06806" w:rsidRDefault="00EA7458" w:rsidP="00D63204">
      <w:pPr>
        <w:widowControl w:val="0"/>
        <w:spacing w:before="6" w:after="0" w:line="240" w:lineRule="auto"/>
        <w:ind w:left="107"/>
        <w:rPr>
          <w:rFonts w:cstheme="minorHAnsi"/>
          <w:b/>
          <w:bCs/>
          <w:sz w:val="16"/>
          <w:szCs w:val="16"/>
        </w:rPr>
      </w:pPr>
    </w:p>
    <w:p w14:paraId="06DB8015" w14:textId="2C2D0A88" w:rsidR="00EA7458" w:rsidRPr="007247F3" w:rsidRDefault="00EA7458" w:rsidP="00D63204">
      <w:pPr>
        <w:pStyle w:val="ListParagraph"/>
        <w:widowControl w:val="0"/>
        <w:numPr>
          <w:ilvl w:val="0"/>
          <w:numId w:val="37"/>
        </w:numPr>
        <w:spacing w:after="0" w:line="240" w:lineRule="auto"/>
        <w:rPr>
          <w:rFonts w:cstheme="minorHAnsi"/>
          <w:color w:val="231F20"/>
        </w:rPr>
      </w:pPr>
      <w:r w:rsidRPr="007247F3">
        <w:rPr>
          <w:rFonts w:cstheme="minorHAnsi"/>
          <w:color w:val="231F20"/>
          <w:w w:val="110"/>
        </w:rPr>
        <w:t xml:space="preserve">Florida Alliance for Assistive Services and </w:t>
      </w:r>
      <w:r w:rsidRPr="007247F3">
        <w:rPr>
          <w:rFonts w:cstheme="minorHAnsi"/>
          <w:color w:val="231F20"/>
          <w:spacing w:val="-3"/>
          <w:w w:val="110"/>
        </w:rPr>
        <w:t>Technology</w:t>
      </w:r>
      <w:r w:rsidRPr="007247F3">
        <w:rPr>
          <w:rFonts w:cstheme="minorHAnsi"/>
          <w:color w:val="231F20"/>
          <w:spacing w:val="11"/>
          <w:w w:val="110"/>
        </w:rPr>
        <w:t xml:space="preserve"> </w:t>
      </w:r>
      <w:r w:rsidRPr="007247F3">
        <w:rPr>
          <w:rFonts w:cstheme="minorHAnsi"/>
          <w:color w:val="231F20"/>
          <w:w w:val="110"/>
        </w:rPr>
        <w:t>(FAAST)</w:t>
      </w:r>
    </w:p>
    <w:p w14:paraId="56F9D5D4" w14:textId="77777777" w:rsidR="007247F3" w:rsidRPr="007247F3" w:rsidRDefault="007247F3" w:rsidP="00D63204">
      <w:pPr>
        <w:pStyle w:val="ListParagraph"/>
        <w:widowControl w:val="0"/>
        <w:spacing w:after="0" w:line="240" w:lineRule="auto"/>
        <w:ind w:left="827"/>
        <w:rPr>
          <w:rFonts w:cstheme="minorHAnsi"/>
          <w:color w:val="231F20"/>
        </w:rPr>
      </w:pPr>
    </w:p>
    <w:p w14:paraId="2DCD6AA4" w14:textId="2B2D836E" w:rsidR="00EA7458" w:rsidRPr="007247F3" w:rsidRDefault="00EA7458" w:rsidP="00D63204">
      <w:pPr>
        <w:pStyle w:val="ListParagraph"/>
        <w:widowControl w:val="0"/>
        <w:numPr>
          <w:ilvl w:val="0"/>
          <w:numId w:val="37"/>
        </w:numPr>
        <w:spacing w:before="83" w:after="0" w:line="240" w:lineRule="auto"/>
        <w:rPr>
          <w:rFonts w:cstheme="minorHAnsi"/>
          <w:color w:val="231F20"/>
        </w:rPr>
      </w:pPr>
      <w:r w:rsidRPr="007247F3">
        <w:rPr>
          <w:rFonts w:cstheme="minorHAnsi"/>
          <w:color w:val="231F20"/>
          <w:w w:val="105"/>
        </w:rPr>
        <w:t>Florida Developmental Disability Council</w:t>
      </w:r>
      <w:r w:rsidR="00545EA8">
        <w:rPr>
          <w:rFonts w:cstheme="minorHAnsi"/>
          <w:color w:val="231F20"/>
          <w:w w:val="105"/>
        </w:rPr>
        <w:t>-</w:t>
      </w:r>
      <w:r w:rsidRPr="007247F3">
        <w:rPr>
          <w:rFonts w:cstheme="minorHAnsi"/>
          <w:color w:val="231F20"/>
          <w:w w:val="105"/>
        </w:rPr>
        <w:t xml:space="preserve">led Employment First Initiative and </w:t>
      </w:r>
      <w:r w:rsidR="00DA0898">
        <w:rPr>
          <w:rFonts w:cstheme="minorHAnsi"/>
          <w:color w:val="231F20"/>
          <w:w w:val="105"/>
        </w:rPr>
        <w:t>its</w:t>
      </w:r>
      <w:r w:rsidRPr="007247F3">
        <w:rPr>
          <w:rFonts w:cstheme="minorHAnsi"/>
          <w:color w:val="231F20"/>
          <w:w w:val="105"/>
        </w:rPr>
        <w:t xml:space="preserve"> Employment</w:t>
      </w:r>
      <w:r w:rsidRPr="007247F3">
        <w:rPr>
          <w:rFonts w:cstheme="minorHAnsi"/>
          <w:color w:val="231F20"/>
          <w:spacing w:val="36"/>
          <w:w w:val="105"/>
        </w:rPr>
        <w:t xml:space="preserve"> </w:t>
      </w:r>
      <w:r w:rsidRPr="007247F3">
        <w:rPr>
          <w:rFonts w:cstheme="minorHAnsi"/>
          <w:color w:val="231F20"/>
          <w:w w:val="105"/>
        </w:rPr>
        <w:t>and</w:t>
      </w:r>
      <w:r w:rsidRPr="007247F3">
        <w:rPr>
          <w:rFonts w:cstheme="minorHAnsi"/>
          <w:color w:val="231F20"/>
          <w:w w:val="108"/>
        </w:rPr>
        <w:t xml:space="preserve"> </w:t>
      </w:r>
      <w:r w:rsidR="007247F3">
        <w:rPr>
          <w:rFonts w:cstheme="minorHAnsi"/>
          <w:color w:val="231F20"/>
          <w:w w:val="108"/>
        </w:rPr>
        <w:t>T</w:t>
      </w:r>
      <w:r w:rsidRPr="007247F3">
        <w:rPr>
          <w:rFonts w:cstheme="minorHAnsi"/>
          <w:color w:val="231F20"/>
          <w:w w:val="105"/>
        </w:rPr>
        <w:t xml:space="preserve">ransportation </w:t>
      </w:r>
      <w:r w:rsidRPr="007247F3">
        <w:rPr>
          <w:rFonts w:cstheme="minorHAnsi"/>
          <w:color w:val="231F20"/>
          <w:spacing w:val="-5"/>
          <w:w w:val="105"/>
        </w:rPr>
        <w:t>Task</w:t>
      </w:r>
      <w:r w:rsidRPr="007247F3">
        <w:rPr>
          <w:rFonts w:cstheme="minorHAnsi"/>
          <w:color w:val="231F20"/>
          <w:spacing w:val="9"/>
          <w:w w:val="105"/>
        </w:rPr>
        <w:t xml:space="preserve"> </w:t>
      </w:r>
      <w:r w:rsidRPr="007247F3">
        <w:rPr>
          <w:rFonts w:cstheme="minorHAnsi"/>
          <w:color w:val="231F20"/>
          <w:w w:val="105"/>
        </w:rPr>
        <w:t>Force</w:t>
      </w:r>
    </w:p>
    <w:p w14:paraId="4A52BE52" w14:textId="77777777" w:rsidR="007247F3" w:rsidRPr="007247F3" w:rsidRDefault="007247F3" w:rsidP="00D63204">
      <w:pPr>
        <w:pStyle w:val="ListParagraph"/>
        <w:widowControl w:val="0"/>
        <w:spacing w:before="83" w:after="0" w:line="240" w:lineRule="auto"/>
        <w:ind w:left="827"/>
        <w:rPr>
          <w:rFonts w:cstheme="minorHAnsi"/>
          <w:color w:val="231F20"/>
        </w:rPr>
      </w:pPr>
    </w:p>
    <w:p w14:paraId="3C80D438" w14:textId="374E7D76" w:rsidR="00EA7458" w:rsidRPr="007247F3" w:rsidRDefault="00EA7458" w:rsidP="00D63204">
      <w:pPr>
        <w:pStyle w:val="ListParagraph"/>
        <w:widowControl w:val="0"/>
        <w:numPr>
          <w:ilvl w:val="0"/>
          <w:numId w:val="37"/>
        </w:numPr>
        <w:spacing w:before="91" w:after="0" w:line="240" w:lineRule="auto"/>
        <w:rPr>
          <w:rFonts w:cstheme="minorHAnsi"/>
          <w:color w:val="231F20"/>
        </w:rPr>
      </w:pPr>
      <w:r w:rsidRPr="007247F3">
        <w:rPr>
          <w:rFonts w:cstheme="minorHAnsi"/>
          <w:color w:val="231F20"/>
          <w:w w:val="110"/>
        </w:rPr>
        <w:t>Community Services Block Grant Advisory</w:t>
      </w:r>
      <w:r w:rsidRPr="007247F3">
        <w:rPr>
          <w:rFonts w:cstheme="minorHAnsi"/>
          <w:color w:val="231F20"/>
          <w:spacing w:val="6"/>
          <w:w w:val="110"/>
        </w:rPr>
        <w:t xml:space="preserve"> </w:t>
      </w:r>
      <w:r w:rsidRPr="007247F3">
        <w:rPr>
          <w:rFonts w:cstheme="minorHAnsi"/>
          <w:color w:val="231F20"/>
          <w:w w:val="110"/>
        </w:rPr>
        <w:t>Council</w:t>
      </w:r>
    </w:p>
    <w:p w14:paraId="592FFB5F" w14:textId="77777777" w:rsidR="007247F3" w:rsidRPr="007247F3" w:rsidRDefault="007247F3" w:rsidP="00D63204">
      <w:pPr>
        <w:pStyle w:val="ListParagraph"/>
        <w:widowControl w:val="0"/>
        <w:spacing w:before="91" w:after="0" w:line="240" w:lineRule="auto"/>
        <w:ind w:left="827"/>
        <w:rPr>
          <w:rFonts w:cstheme="minorHAnsi"/>
          <w:color w:val="231F20"/>
        </w:rPr>
      </w:pPr>
    </w:p>
    <w:p w14:paraId="355A3C7D" w14:textId="53A85340" w:rsidR="00EA7458" w:rsidRPr="007247F3" w:rsidRDefault="00EA7458" w:rsidP="00D63204">
      <w:pPr>
        <w:pStyle w:val="ListParagraph"/>
        <w:widowControl w:val="0"/>
        <w:numPr>
          <w:ilvl w:val="0"/>
          <w:numId w:val="37"/>
        </w:numPr>
        <w:spacing w:before="85" w:after="0" w:line="240" w:lineRule="auto"/>
        <w:rPr>
          <w:rFonts w:cstheme="minorHAnsi"/>
          <w:color w:val="231F20"/>
        </w:rPr>
      </w:pPr>
      <w:r w:rsidRPr="007247F3">
        <w:rPr>
          <w:rFonts w:cstheme="minorHAnsi"/>
          <w:color w:val="231F20"/>
          <w:w w:val="105"/>
        </w:rPr>
        <w:t>Commission for the Transportation</w:t>
      </w:r>
      <w:r w:rsidRPr="007247F3">
        <w:rPr>
          <w:rFonts w:cstheme="minorHAnsi"/>
          <w:color w:val="231F20"/>
          <w:spacing w:val="20"/>
          <w:w w:val="105"/>
        </w:rPr>
        <w:t xml:space="preserve"> </w:t>
      </w:r>
      <w:r w:rsidRPr="007247F3">
        <w:rPr>
          <w:rFonts w:cstheme="minorHAnsi"/>
          <w:color w:val="231F20"/>
          <w:w w:val="105"/>
        </w:rPr>
        <w:t>Disadvantaged</w:t>
      </w:r>
    </w:p>
    <w:p w14:paraId="7B8E9F94" w14:textId="77777777" w:rsidR="007247F3" w:rsidRPr="007247F3" w:rsidRDefault="007247F3" w:rsidP="00D63204">
      <w:pPr>
        <w:pStyle w:val="ListParagraph"/>
        <w:widowControl w:val="0"/>
        <w:spacing w:before="85" w:after="0" w:line="240" w:lineRule="auto"/>
        <w:ind w:left="827"/>
        <w:rPr>
          <w:rFonts w:cstheme="minorHAnsi"/>
          <w:color w:val="231F20"/>
        </w:rPr>
      </w:pPr>
    </w:p>
    <w:p w14:paraId="61CF6093" w14:textId="78E03DE9" w:rsidR="00EA7458" w:rsidRPr="00E06806" w:rsidRDefault="00EA7458" w:rsidP="00D63204">
      <w:pPr>
        <w:widowControl w:val="0"/>
        <w:spacing w:before="83" w:after="0" w:line="264" w:lineRule="exact"/>
        <w:ind w:left="107"/>
        <w:rPr>
          <w:rFonts w:cstheme="minorHAnsi"/>
        </w:rPr>
      </w:pPr>
      <w:r w:rsidRPr="00E06806">
        <w:rPr>
          <w:rFonts w:cstheme="minorHAnsi"/>
          <w:color w:val="231F20"/>
          <w:w w:val="105"/>
        </w:rPr>
        <w:t>The</w:t>
      </w:r>
      <w:r w:rsidRPr="00E06806">
        <w:rPr>
          <w:rFonts w:cstheme="minorHAnsi"/>
          <w:color w:val="231F20"/>
          <w:spacing w:val="13"/>
          <w:w w:val="105"/>
        </w:rPr>
        <w:t xml:space="preserve"> </w:t>
      </w:r>
      <w:r w:rsidRPr="00E06806">
        <w:rPr>
          <w:rFonts w:cstheme="minorHAnsi"/>
          <w:color w:val="231F20"/>
          <w:w w:val="105"/>
        </w:rPr>
        <w:t>Agency</w:t>
      </w:r>
      <w:r w:rsidRPr="00E06806">
        <w:rPr>
          <w:rFonts w:cstheme="minorHAnsi"/>
          <w:color w:val="231F20"/>
          <w:spacing w:val="13"/>
          <w:w w:val="105"/>
        </w:rPr>
        <w:t xml:space="preserve"> </w:t>
      </w:r>
      <w:r w:rsidRPr="00E06806">
        <w:rPr>
          <w:rFonts w:cstheme="minorHAnsi"/>
          <w:color w:val="231F20"/>
          <w:w w:val="105"/>
        </w:rPr>
        <w:t>for</w:t>
      </w:r>
      <w:r w:rsidRPr="00E06806">
        <w:rPr>
          <w:rFonts w:cstheme="minorHAnsi"/>
          <w:color w:val="231F20"/>
          <w:spacing w:val="13"/>
          <w:w w:val="105"/>
        </w:rPr>
        <w:t xml:space="preserve"> </w:t>
      </w:r>
      <w:r w:rsidRPr="00E06806">
        <w:rPr>
          <w:rFonts w:cstheme="minorHAnsi"/>
          <w:color w:val="231F20"/>
          <w:w w:val="105"/>
        </w:rPr>
        <w:t>Persons</w:t>
      </w:r>
      <w:r w:rsidRPr="00E06806">
        <w:rPr>
          <w:rFonts w:cstheme="minorHAnsi"/>
          <w:color w:val="231F20"/>
          <w:spacing w:val="13"/>
          <w:w w:val="105"/>
        </w:rPr>
        <w:t xml:space="preserve"> </w:t>
      </w:r>
      <w:r w:rsidRPr="00E06806">
        <w:rPr>
          <w:rFonts w:cstheme="minorHAnsi"/>
          <w:color w:val="231F20"/>
          <w:w w:val="105"/>
        </w:rPr>
        <w:t>with</w:t>
      </w:r>
      <w:r w:rsidRPr="00E06806">
        <w:rPr>
          <w:rFonts w:cstheme="minorHAnsi"/>
          <w:color w:val="231F20"/>
          <w:spacing w:val="13"/>
          <w:w w:val="105"/>
        </w:rPr>
        <w:t xml:space="preserve"> </w:t>
      </w:r>
      <w:r w:rsidRPr="00E06806">
        <w:rPr>
          <w:rFonts w:cstheme="minorHAnsi"/>
          <w:color w:val="231F20"/>
          <w:w w:val="105"/>
        </w:rPr>
        <w:t>Disabilities</w:t>
      </w:r>
      <w:r w:rsidRPr="00E06806">
        <w:rPr>
          <w:rFonts w:cstheme="minorHAnsi"/>
          <w:color w:val="231F20"/>
          <w:spacing w:val="13"/>
          <w:w w:val="105"/>
        </w:rPr>
        <w:t xml:space="preserve"> </w:t>
      </w:r>
      <w:r w:rsidRPr="00E06806">
        <w:rPr>
          <w:rFonts w:cstheme="minorHAnsi"/>
          <w:color w:val="231F20"/>
          <w:w w:val="105"/>
        </w:rPr>
        <w:t>(APD)</w:t>
      </w:r>
      <w:r w:rsidRPr="00E06806">
        <w:rPr>
          <w:rFonts w:cstheme="minorHAnsi"/>
          <w:color w:val="231F20"/>
          <w:spacing w:val="13"/>
          <w:w w:val="105"/>
        </w:rPr>
        <w:t xml:space="preserve"> </w:t>
      </w:r>
      <w:r w:rsidRPr="00E06806">
        <w:rPr>
          <w:rFonts w:cstheme="minorHAnsi"/>
          <w:color w:val="231F20"/>
          <w:w w:val="105"/>
        </w:rPr>
        <w:t>has</w:t>
      </w:r>
      <w:r w:rsidRPr="00E06806">
        <w:rPr>
          <w:rFonts w:cstheme="minorHAnsi"/>
          <w:color w:val="231F20"/>
          <w:spacing w:val="13"/>
          <w:w w:val="105"/>
        </w:rPr>
        <w:t xml:space="preserve"> </w:t>
      </w:r>
      <w:r w:rsidRPr="00E06806">
        <w:rPr>
          <w:rFonts w:cstheme="minorHAnsi"/>
          <w:color w:val="231F20"/>
          <w:w w:val="105"/>
        </w:rPr>
        <w:t>representation</w:t>
      </w:r>
      <w:r w:rsidRPr="00E06806">
        <w:rPr>
          <w:rFonts w:cstheme="minorHAnsi"/>
          <w:color w:val="231F20"/>
          <w:spacing w:val="13"/>
          <w:w w:val="105"/>
        </w:rPr>
        <w:t xml:space="preserve"> </w:t>
      </w:r>
      <w:r w:rsidRPr="00E06806">
        <w:rPr>
          <w:rFonts w:cstheme="minorHAnsi"/>
          <w:color w:val="231F20"/>
          <w:w w:val="105"/>
        </w:rPr>
        <w:t>within</w:t>
      </w:r>
      <w:r w:rsidRPr="00E06806">
        <w:rPr>
          <w:rFonts w:cstheme="minorHAnsi"/>
          <w:color w:val="231F20"/>
          <w:spacing w:val="13"/>
          <w:w w:val="105"/>
        </w:rPr>
        <w:t xml:space="preserve"> </w:t>
      </w:r>
      <w:r w:rsidRPr="00E06806">
        <w:rPr>
          <w:rFonts w:cstheme="minorHAnsi"/>
          <w:color w:val="231F20"/>
          <w:w w:val="105"/>
        </w:rPr>
        <w:t>the</w:t>
      </w:r>
      <w:r w:rsidRPr="00E06806">
        <w:rPr>
          <w:rFonts w:cstheme="minorHAnsi"/>
          <w:color w:val="231F20"/>
          <w:spacing w:val="13"/>
          <w:w w:val="105"/>
        </w:rPr>
        <w:t xml:space="preserve"> </w:t>
      </w:r>
      <w:r w:rsidRPr="00E06806">
        <w:rPr>
          <w:rFonts w:cstheme="minorHAnsi"/>
          <w:color w:val="231F20"/>
          <w:w w:val="105"/>
        </w:rPr>
        <w:t>workforce</w:t>
      </w:r>
      <w:r w:rsidRPr="00E06806">
        <w:rPr>
          <w:rFonts w:cstheme="minorHAnsi"/>
          <w:color w:val="231F20"/>
          <w:spacing w:val="13"/>
          <w:w w:val="105"/>
        </w:rPr>
        <w:t xml:space="preserve"> </w:t>
      </w:r>
      <w:r w:rsidRPr="00E06806">
        <w:rPr>
          <w:rFonts w:cstheme="minorHAnsi"/>
          <w:color w:val="231F20"/>
          <w:w w:val="105"/>
        </w:rPr>
        <w:t>system</w:t>
      </w:r>
      <w:r w:rsidRPr="00E06806">
        <w:rPr>
          <w:rFonts w:cstheme="minorHAnsi"/>
          <w:color w:val="231F20"/>
          <w:spacing w:val="13"/>
          <w:w w:val="105"/>
        </w:rPr>
        <w:t xml:space="preserve"> </w:t>
      </w:r>
      <w:r w:rsidRPr="00E06806">
        <w:rPr>
          <w:rFonts w:cstheme="minorHAnsi"/>
          <w:color w:val="231F20"/>
          <w:w w:val="105"/>
        </w:rPr>
        <w:t>and</w:t>
      </w:r>
      <w:r w:rsidRPr="00E06806">
        <w:rPr>
          <w:rFonts w:cstheme="minorHAnsi"/>
          <w:color w:val="231F20"/>
          <w:spacing w:val="-17"/>
          <w:w w:val="105"/>
        </w:rPr>
        <w:t xml:space="preserve"> </w:t>
      </w:r>
      <w:r w:rsidRPr="00E06806">
        <w:rPr>
          <w:rFonts w:cstheme="minorHAnsi"/>
          <w:color w:val="231F20"/>
          <w:w w:val="105"/>
        </w:rPr>
        <w:t>several</w:t>
      </w:r>
      <w:r w:rsidRPr="00E06806">
        <w:rPr>
          <w:rFonts w:cstheme="minorHAnsi"/>
          <w:color w:val="231F20"/>
          <w:spacing w:val="13"/>
          <w:w w:val="105"/>
        </w:rPr>
        <w:t xml:space="preserve"> </w:t>
      </w:r>
      <w:r w:rsidRPr="00E06806">
        <w:rPr>
          <w:rFonts w:cstheme="minorHAnsi"/>
          <w:color w:val="231F20"/>
          <w:w w:val="105"/>
        </w:rPr>
        <w:t>members</w:t>
      </w:r>
      <w:r w:rsidRPr="00E06806">
        <w:rPr>
          <w:rFonts w:cstheme="minorHAnsi"/>
          <w:color w:val="231F20"/>
          <w:spacing w:val="13"/>
          <w:w w:val="105"/>
        </w:rPr>
        <w:t xml:space="preserve"> </w:t>
      </w:r>
      <w:r w:rsidRPr="00E06806">
        <w:rPr>
          <w:rFonts w:cstheme="minorHAnsi"/>
          <w:color w:val="231F20"/>
          <w:w w:val="105"/>
        </w:rPr>
        <w:t>of</w:t>
      </w:r>
      <w:r w:rsidRPr="00E06806">
        <w:rPr>
          <w:rFonts w:cstheme="minorHAnsi"/>
          <w:color w:val="231F20"/>
          <w:spacing w:val="13"/>
          <w:w w:val="105"/>
        </w:rPr>
        <w:t xml:space="preserve"> </w:t>
      </w:r>
      <w:r w:rsidRPr="00E06806">
        <w:rPr>
          <w:rFonts w:cstheme="minorHAnsi"/>
          <w:color w:val="231F20"/>
          <w:w w:val="105"/>
        </w:rPr>
        <w:t>the</w:t>
      </w:r>
      <w:r w:rsidRPr="00E06806">
        <w:rPr>
          <w:rFonts w:cstheme="minorHAnsi"/>
          <w:color w:val="231F20"/>
          <w:spacing w:val="13"/>
          <w:w w:val="105"/>
        </w:rPr>
        <w:t xml:space="preserve"> </w:t>
      </w:r>
      <w:r w:rsidRPr="00E06806">
        <w:rPr>
          <w:rFonts w:cstheme="minorHAnsi"/>
          <w:color w:val="231F20"/>
          <w:w w:val="105"/>
        </w:rPr>
        <w:t>Statewide</w:t>
      </w:r>
      <w:r w:rsidRPr="00E06806">
        <w:rPr>
          <w:rFonts w:cstheme="minorHAnsi"/>
          <w:color w:val="231F20"/>
          <w:spacing w:val="13"/>
          <w:w w:val="105"/>
        </w:rPr>
        <w:t xml:space="preserve"> </w:t>
      </w:r>
      <w:r w:rsidRPr="00E06806">
        <w:rPr>
          <w:rFonts w:cstheme="minorHAnsi"/>
          <w:color w:val="231F20"/>
          <w:w w:val="105"/>
        </w:rPr>
        <w:t>Strengthening</w:t>
      </w:r>
      <w:r w:rsidRPr="00E06806">
        <w:rPr>
          <w:rFonts w:cstheme="minorHAnsi"/>
          <w:color w:val="231F20"/>
          <w:spacing w:val="13"/>
          <w:w w:val="105"/>
        </w:rPr>
        <w:t xml:space="preserve"> </w:t>
      </w:r>
      <w:r w:rsidRPr="00E06806">
        <w:rPr>
          <w:rFonts w:cstheme="minorHAnsi"/>
          <w:color w:val="231F20"/>
          <w:spacing w:val="-5"/>
          <w:w w:val="105"/>
        </w:rPr>
        <w:t>Youth</w:t>
      </w:r>
      <w:r w:rsidRPr="00E06806">
        <w:rPr>
          <w:rFonts w:cstheme="minorHAnsi"/>
          <w:color w:val="231F20"/>
          <w:spacing w:val="13"/>
          <w:w w:val="105"/>
        </w:rPr>
        <w:t xml:space="preserve"> </w:t>
      </w:r>
      <w:r w:rsidRPr="00E06806">
        <w:rPr>
          <w:rFonts w:cstheme="minorHAnsi"/>
          <w:color w:val="231F20"/>
          <w:w w:val="105"/>
        </w:rPr>
        <w:t>Partnership</w:t>
      </w:r>
      <w:r w:rsidRPr="00E06806">
        <w:rPr>
          <w:rFonts w:cstheme="minorHAnsi"/>
          <w:color w:val="231F20"/>
          <w:spacing w:val="13"/>
          <w:w w:val="105"/>
        </w:rPr>
        <w:t xml:space="preserve"> </w:t>
      </w:r>
      <w:r w:rsidRPr="00E06806">
        <w:rPr>
          <w:rFonts w:cstheme="minorHAnsi"/>
          <w:color w:val="231F20"/>
          <w:w w:val="105"/>
        </w:rPr>
        <w:t>are</w:t>
      </w:r>
      <w:r w:rsidRPr="00E06806">
        <w:rPr>
          <w:rFonts w:cstheme="minorHAnsi"/>
          <w:color w:val="231F20"/>
          <w:spacing w:val="13"/>
          <w:w w:val="105"/>
        </w:rPr>
        <w:t xml:space="preserve"> </w:t>
      </w:r>
      <w:r w:rsidRPr="00E06806">
        <w:rPr>
          <w:rFonts w:cstheme="minorHAnsi"/>
          <w:color w:val="231F20"/>
          <w:w w:val="105"/>
        </w:rPr>
        <w:t>entities</w:t>
      </w:r>
      <w:r w:rsidRPr="00E06806">
        <w:rPr>
          <w:rFonts w:cstheme="minorHAnsi"/>
          <w:color w:val="231F20"/>
          <w:spacing w:val="13"/>
          <w:w w:val="105"/>
        </w:rPr>
        <w:t xml:space="preserve"> </w:t>
      </w:r>
      <w:r w:rsidR="00682908" w:rsidRPr="00E06806">
        <w:rPr>
          <w:rFonts w:cstheme="minorHAnsi"/>
          <w:color w:val="231F20"/>
          <w:w w:val="105"/>
        </w:rPr>
        <w:t xml:space="preserve">focusing on providing quality </w:t>
      </w:r>
      <w:r w:rsidRPr="00E06806">
        <w:rPr>
          <w:rFonts w:cstheme="minorHAnsi"/>
          <w:color w:val="231F20"/>
          <w:w w:val="105"/>
        </w:rPr>
        <w:t>services</w:t>
      </w:r>
      <w:r w:rsidRPr="00E06806">
        <w:rPr>
          <w:rFonts w:cstheme="minorHAnsi"/>
          <w:color w:val="231F20"/>
          <w:spacing w:val="13"/>
          <w:w w:val="105"/>
        </w:rPr>
        <w:t xml:space="preserve"> </w:t>
      </w:r>
      <w:r w:rsidRPr="00E06806">
        <w:rPr>
          <w:rFonts w:cstheme="minorHAnsi"/>
          <w:color w:val="231F20"/>
          <w:w w:val="105"/>
        </w:rPr>
        <w:t>to</w:t>
      </w:r>
      <w:r w:rsidRPr="00E06806">
        <w:rPr>
          <w:rFonts w:cstheme="minorHAnsi"/>
          <w:color w:val="231F20"/>
        </w:rPr>
        <w:t xml:space="preserve"> </w:t>
      </w:r>
      <w:r w:rsidR="004A45CE" w:rsidRPr="00E06806">
        <w:rPr>
          <w:rFonts w:cstheme="minorHAnsi"/>
          <w:color w:val="231F20"/>
          <w:w w:val="105"/>
        </w:rPr>
        <w:t xml:space="preserve">people </w:t>
      </w:r>
      <w:r w:rsidR="00CB78C2" w:rsidRPr="00E06806">
        <w:rPr>
          <w:rFonts w:cstheme="minorHAnsi"/>
          <w:color w:val="231F20"/>
          <w:w w:val="105"/>
        </w:rPr>
        <w:t>with disabilities</w:t>
      </w:r>
      <w:r w:rsidRPr="00E06806">
        <w:rPr>
          <w:rFonts w:cstheme="minorHAnsi"/>
          <w:color w:val="231F20"/>
          <w:w w:val="105"/>
        </w:rPr>
        <w:t>.</w:t>
      </w:r>
    </w:p>
    <w:p w14:paraId="6BB8C715" w14:textId="77777777" w:rsidR="00EA7458" w:rsidRPr="00E06806" w:rsidRDefault="00EA7458" w:rsidP="00D63204">
      <w:pPr>
        <w:widowControl w:val="0"/>
        <w:spacing w:before="5" w:after="0" w:line="240" w:lineRule="auto"/>
        <w:ind w:left="107"/>
        <w:rPr>
          <w:rFonts w:cstheme="minorHAnsi"/>
          <w:sz w:val="16"/>
          <w:szCs w:val="16"/>
        </w:rPr>
      </w:pPr>
    </w:p>
    <w:p w14:paraId="771BE1A0" w14:textId="550C176F" w:rsidR="00EA7458" w:rsidRPr="00E06806" w:rsidRDefault="00EA7458" w:rsidP="005E1339">
      <w:pPr>
        <w:widowControl w:val="0"/>
        <w:spacing w:after="0" w:line="264" w:lineRule="exact"/>
        <w:ind w:left="107"/>
        <w:rPr>
          <w:rFonts w:cstheme="minorHAnsi"/>
          <w:sz w:val="16"/>
          <w:szCs w:val="16"/>
        </w:rPr>
      </w:pPr>
      <w:r w:rsidRPr="00E06806">
        <w:rPr>
          <w:rFonts w:cstheme="minorHAnsi"/>
          <w:color w:val="231F20"/>
          <w:w w:val="105"/>
        </w:rPr>
        <w:t>VR</w:t>
      </w:r>
      <w:r w:rsidRPr="00E06806">
        <w:rPr>
          <w:rFonts w:cstheme="minorHAnsi"/>
          <w:color w:val="231F20"/>
          <w:spacing w:val="11"/>
          <w:w w:val="105"/>
        </w:rPr>
        <w:t xml:space="preserve"> </w:t>
      </w:r>
      <w:r w:rsidRPr="00E06806">
        <w:rPr>
          <w:rFonts w:cstheme="minorHAnsi"/>
          <w:color w:val="231F20"/>
          <w:w w:val="105"/>
        </w:rPr>
        <w:t>has</w:t>
      </w:r>
      <w:r w:rsidRPr="00E06806">
        <w:rPr>
          <w:rFonts w:cstheme="minorHAnsi"/>
          <w:color w:val="231F20"/>
          <w:spacing w:val="11"/>
          <w:w w:val="105"/>
        </w:rPr>
        <w:t xml:space="preserve"> </w:t>
      </w:r>
      <w:r w:rsidRPr="00E06806">
        <w:rPr>
          <w:rFonts w:cstheme="minorHAnsi"/>
          <w:color w:val="231F20"/>
          <w:w w:val="105"/>
        </w:rPr>
        <w:t>been</w:t>
      </w:r>
      <w:r w:rsidRPr="00E06806">
        <w:rPr>
          <w:rFonts w:cstheme="minorHAnsi"/>
          <w:color w:val="231F20"/>
          <w:spacing w:val="11"/>
          <w:w w:val="105"/>
        </w:rPr>
        <w:t xml:space="preserve"> </w:t>
      </w:r>
      <w:r w:rsidRPr="00E06806">
        <w:rPr>
          <w:rFonts w:cstheme="minorHAnsi"/>
          <w:color w:val="231F20"/>
          <w:w w:val="105"/>
        </w:rPr>
        <w:t>a</w:t>
      </w:r>
      <w:r w:rsidRPr="00E06806">
        <w:rPr>
          <w:rFonts w:cstheme="minorHAnsi"/>
          <w:color w:val="231F20"/>
          <w:spacing w:val="11"/>
          <w:w w:val="105"/>
        </w:rPr>
        <w:t xml:space="preserve"> </w:t>
      </w:r>
      <w:r w:rsidRPr="00E06806">
        <w:rPr>
          <w:rFonts w:cstheme="minorHAnsi"/>
          <w:color w:val="231F20"/>
          <w:w w:val="105"/>
        </w:rPr>
        <w:t>partner</w:t>
      </w:r>
      <w:r w:rsidRPr="00E06806">
        <w:rPr>
          <w:rFonts w:cstheme="minorHAnsi"/>
          <w:color w:val="231F20"/>
          <w:spacing w:val="11"/>
          <w:w w:val="105"/>
        </w:rPr>
        <w:t xml:space="preserve"> </w:t>
      </w:r>
      <w:r w:rsidRPr="00E06806">
        <w:rPr>
          <w:rFonts w:cstheme="minorHAnsi"/>
          <w:color w:val="231F20"/>
          <w:w w:val="105"/>
        </w:rPr>
        <w:t>in</w:t>
      </w:r>
      <w:r w:rsidRPr="00E06806">
        <w:rPr>
          <w:rFonts w:cstheme="minorHAnsi"/>
          <w:color w:val="231F20"/>
          <w:spacing w:val="11"/>
          <w:w w:val="105"/>
        </w:rPr>
        <w:t xml:space="preserve"> </w:t>
      </w:r>
      <w:r w:rsidRPr="00E06806">
        <w:rPr>
          <w:rFonts w:cstheme="minorHAnsi"/>
          <w:color w:val="231F20"/>
          <w:w w:val="105"/>
        </w:rPr>
        <w:t>the</w:t>
      </w:r>
      <w:r w:rsidRPr="00E06806">
        <w:rPr>
          <w:rFonts w:cstheme="minorHAnsi"/>
          <w:color w:val="231F20"/>
          <w:spacing w:val="11"/>
          <w:w w:val="105"/>
        </w:rPr>
        <w:t xml:space="preserve"> </w:t>
      </w:r>
      <w:r w:rsidRPr="00E06806">
        <w:rPr>
          <w:rFonts w:cstheme="minorHAnsi"/>
          <w:color w:val="231F20"/>
          <w:w w:val="105"/>
        </w:rPr>
        <w:t>CareerSource</w:t>
      </w:r>
      <w:r w:rsidRPr="00E06806">
        <w:rPr>
          <w:rFonts w:cstheme="minorHAnsi"/>
          <w:color w:val="231F20"/>
          <w:spacing w:val="11"/>
          <w:w w:val="105"/>
        </w:rPr>
        <w:t xml:space="preserve"> </w:t>
      </w:r>
      <w:r w:rsidRPr="00E06806">
        <w:rPr>
          <w:rFonts w:cstheme="minorHAnsi"/>
          <w:color w:val="231F20"/>
          <w:w w:val="105"/>
        </w:rPr>
        <w:t>Florida</w:t>
      </w:r>
      <w:r w:rsidRPr="00E06806">
        <w:rPr>
          <w:rFonts w:cstheme="minorHAnsi"/>
          <w:color w:val="231F20"/>
          <w:spacing w:val="11"/>
          <w:w w:val="105"/>
        </w:rPr>
        <w:t xml:space="preserve"> </w:t>
      </w:r>
      <w:r w:rsidRPr="00E06806">
        <w:rPr>
          <w:rFonts w:cstheme="minorHAnsi"/>
          <w:color w:val="231F20"/>
          <w:w w:val="105"/>
        </w:rPr>
        <w:t>network</w:t>
      </w:r>
      <w:r w:rsidRPr="00E06806">
        <w:rPr>
          <w:rFonts w:cstheme="minorHAnsi"/>
          <w:color w:val="231F20"/>
          <w:spacing w:val="11"/>
          <w:w w:val="105"/>
        </w:rPr>
        <w:t xml:space="preserve"> </w:t>
      </w:r>
      <w:r w:rsidRPr="00E06806">
        <w:rPr>
          <w:rFonts w:cstheme="minorHAnsi"/>
          <w:color w:val="231F20"/>
          <w:w w:val="105"/>
        </w:rPr>
        <w:t>since</w:t>
      </w:r>
      <w:r w:rsidRPr="00E06806">
        <w:rPr>
          <w:rFonts w:cstheme="minorHAnsi"/>
          <w:color w:val="231F20"/>
          <w:spacing w:val="11"/>
          <w:w w:val="105"/>
        </w:rPr>
        <w:t xml:space="preserve"> </w:t>
      </w:r>
      <w:r w:rsidRPr="00E06806">
        <w:rPr>
          <w:rFonts w:cstheme="minorHAnsi"/>
          <w:color w:val="231F20"/>
          <w:w w:val="105"/>
        </w:rPr>
        <w:t>the</w:t>
      </w:r>
      <w:r w:rsidRPr="00E06806">
        <w:rPr>
          <w:rFonts w:cstheme="minorHAnsi"/>
          <w:color w:val="231F20"/>
          <w:spacing w:val="11"/>
          <w:w w:val="105"/>
        </w:rPr>
        <w:t xml:space="preserve"> </w:t>
      </w:r>
      <w:r w:rsidRPr="00E06806">
        <w:rPr>
          <w:rFonts w:cstheme="minorHAnsi"/>
          <w:color w:val="231F20"/>
          <w:w w:val="105"/>
        </w:rPr>
        <w:t>inception</w:t>
      </w:r>
      <w:r w:rsidRPr="00E06806">
        <w:rPr>
          <w:rFonts w:cstheme="minorHAnsi"/>
          <w:color w:val="231F20"/>
          <w:spacing w:val="11"/>
          <w:w w:val="105"/>
        </w:rPr>
        <w:t xml:space="preserve"> </w:t>
      </w:r>
      <w:r w:rsidRPr="00E06806">
        <w:rPr>
          <w:rFonts w:cstheme="minorHAnsi"/>
          <w:color w:val="231F20"/>
          <w:w w:val="105"/>
        </w:rPr>
        <w:t>of</w:t>
      </w:r>
      <w:r w:rsidRPr="00E06806">
        <w:rPr>
          <w:rFonts w:cstheme="minorHAnsi"/>
          <w:color w:val="231F20"/>
          <w:spacing w:val="11"/>
          <w:w w:val="105"/>
        </w:rPr>
        <w:t xml:space="preserve"> </w:t>
      </w:r>
      <w:r w:rsidRPr="00E06806">
        <w:rPr>
          <w:rFonts w:cstheme="minorHAnsi"/>
          <w:color w:val="231F20"/>
          <w:w w:val="105"/>
        </w:rPr>
        <w:t>WIA.</w:t>
      </w:r>
      <w:r w:rsidRPr="00E06806">
        <w:rPr>
          <w:rFonts w:cstheme="minorHAnsi"/>
          <w:color w:val="231F20"/>
          <w:spacing w:val="11"/>
          <w:w w:val="105"/>
        </w:rPr>
        <w:t xml:space="preserve"> </w:t>
      </w:r>
      <w:r w:rsidRPr="00E06806">
        <w:rPr>
          <w:rFonts w:cstheme="minorHAnsi"/>
          <w:color w:val="231F20"/>
          <w:w w:val="105"/>
        </w:rPr>
        <w:t>Many</w:t>
      </w:r>
      <w:r w:rsidRPr="00E06806">
        <w:rPr>
          <w:rFonts w:cstheme="minorHAnsi"/>
          <w:color w:val="231F20"/>
          <w:spacing w:val="11"/>
          <w:w w:val="105"/>
        </w:rPr>
        <w:t xml:space="preserve"> </w:t>
      </w:r>
      <w:r w:rsidRPr="00E06806">
        <w:rPr>
          <w:rFonts w:cstheme="minorHAnsi"/>
          <w:color w:val="231F20"/>
          <w:w w:val="105"/>
        </w:rPr>
        <w:t>other</w:t>
      </w:r>
      <w:r w:rsidRPr="00E06806">
        <w:rPr>
          <w:rFonts w:cstheme="minorHAnsi"/>
          <w:color w:val="231F20"/>
          <w:spacing w:val="11"/>
          <w:w w:val="105"/>
        </w:rPr>
        <w:t xml:space="preserve"> </w:t>
      </w:r>
      <w:r w:rsidRPr="00E06806">
        <w:rPr>
          <w:rFonts w:cstheme="minorHAnsi"/>
          <w:color w:val="231F20"/>
          <w:w w:val="105"/>
        </w:rPr>
        <w:t>state</w:t>
      </w:r>
      <w:r w:rsidRPr="00E06806">
        <w:rPr>
          <w:rFonts w:cstheme="minorHAnsi"/>
          <w:color w:val="231F20"/>
          <w:spacing w:val="-32"/>
          <w:w w:val="105"/>
        </w:rPr>
        <w:t xml:space="preserve"> </w:t>
      </w:r>
      <w:r w:rsidRPr="00E06806">
        <w:rPr>
          <w:rFonts w:cstheme="minorHAnsi"/>
          <w:color w:val="231F20"/>
          <w:w w:val="105"/>
        </w:rPr>
        <w:t xml:space="preserve">and local entities provide resources that help to maximize employment opportunities for </w:t>
      </w:r>
      <w:r w:rsidR="00CA1499" w:rsidRPr="00E06806">
        <w:rPr>
          <w:rFonts w:cstheme="minorHAnsi"/>
          <w:color w:val="231F20"/>
          <w:w w:val="105"/>
        </w:rPr>
        <w:t xml:space="preserve">people with </w:t>
      </w:r>
      <w:r w:rsidR="00CB78C2" w:rsidRPr="00E06806">
        <w:rPr>
          <w:rFonts w:cstheme="minorHAnsi"/>
          <w:color w:val="231F20"/>
          <w:w w:val="105"/>
        </w:rPr>
        <w:t>disabilities</w:t>
      </w:r>
      <w:r w:rsidRPr="00E06806">
        <w:rPr>
          <w:rFonts w:cstheme="minorHAnsi"/>
          <w:color w:val="231F20"/>
          <w:w w:val="105"/>
        </w:rPr>
        <w:t>.</w:t>
      </w:r>
      <w:r w:rsidRPr="00E06806">
        <w:rPr>
          <w:rFonts w:cstheme="minorHAnsi"/>
          <w:color w:val="231F20"/>
          <w:spacing w:val="13"/>
          <w:w w:val="105"/>
        </w:rPr>
        <w:t xml:space="preserve"> </w:t>
      </w:r>
      <w:r w:rsidRPr="00E06806">
        <w:rPr>
          <w:rFonts w:cstheme="minorHAnsi"/>
          <w:color w:val="231F20"/>
          <w:w w:val="105"/>
        </w:rPr>
        <w:t>These</w:t>
      </w:r>
      <w:r w:rsidRPr="00E06806">
        <w:rPr>
          <w:rFonts w:cstheme="minorHAnsi"/>
          <w:color w:val="231F20"/>
          <w:spacing w:val="13"/>
          <w:w w:val="105"/>
        </w:rPr>
        <w:t xml:space="preserve"> </w:t>
      </w:r>
      <w:r w:rsidRPr="00E06806">
        <w:rPr>
          <w:rFonts w:cstheme="minorHAnsi"/>
          <w:color w:val="231F20"/>
          <w:w w:val="105"/>
        </w:rPr>
        <w:t>partners</w:t>
      </w:r>
      <w:r w:rsidRPr="00E06806">
        <w:rPr>
          <w:rFonts w:cstheme="minorHAnsi"/>
          <w:color w:val="231F20"/>
          <w:spacing w:val="13"/>
          <w:w w:val="105"/>
        </w:rPr>
        <w:t xml:space="preserve"> </w:t>
      </w:r>
      <w:r w:rsidRPr="00E06806">
        <w:rPr>
          <w:rFonts w:cstheme="minorHAnsi"/>
          <w:color w:val="231F20"/>
          <w:w w:val="105"/>
        </w:rPr>
        <w:t>enhance</w:t>
      </w:r>
      <w:r w:rsidRPr="00E06806">
        <w:rPr>
          <w:rFonts w:cstheme="minorHAnsi"/>
          <w:color w:val="231F20"/>
          <w:spacing w:val="13"/>
          <w:w w:val="105"/>
        </w:rPr>
        <w:t xml:space="preserve"> </w:t>
      </w:r>
      <w:r w:rsidRPr="00E06806">
        <w:rPr>
          <w:rFonts w:cstheme="minorHAnsi"/>
          <w:color w:val="231F20"/>
          <w:w w:val="105"/>
        </w:rPr>
        <w:t>services</w:t>
      </w:r>
      <w:r w:rsidRPr="00E06806">
        <w:rPr>
          <w:rFonts w:cstheme="minorHAnsi"/>
          <w:color w:val="231F20"/>
          <w:spacing w:val="13"/>
          <w:w w:val="105"/>
        </w:rPr>
        <w:t xml:space="preserve"> </w:t>
      </w:r>
      <w:r w:rsidRPr="00E06806">
        <w:rPr>
          <w:rFonts w:cstheme="minorHAnsi"/>
          <w:color w:val="231F20"/>
          <w:w w:val="105"/>
        </w:rPr>
        <w:t>career</w:t>
      </w:r>
      <w:r w:rsidRPr="00E06806">
        <w:rPr>
          <w:rFonts w:cstheme="minorHAnsi"/>
          <w:color w:val="231F20"/>
          <w:spacing w:val="13"/>
          <w:w w:val="105"/>
        </w:rPr>
        <w:t xml:space="preserve"> </w:t>
      </w:r>
      <w:r w:rsidRPr="00E06806">
        <w:rPr>
          <w:rFonts w:cstheme="minorHAnsi"/>
          <w:color w:val="231F20"/>
          <w:w w:val="105"/>
        </w:rPr>
        <w:t>centers</w:t>
      </w:r>
      <w:r w:rsidRPr="00E06806">
        <w:rPr>
          <w:rFonts w:cstheme="minorHAnsi"/>
          <w:color w:val="231F20"/>
          <w:spacing w:val="13"/>
          <w:w w:val="105"/>
        </w:rPr>
        <w:t xml:space="preserve"> </w:t>
      </w:r>
      <w:r w:rsidRPr="00E06806">
        <w:rPr>
          <w:rFonts w:cstheme="minorHAnsi"/>
          <w:color w:val="231F20"/>
          <w:w w:val="105"/>
        </w:rPr>
        <w:t>offer</w:t>
      </w:r>
      <w:r w:rsidRPr="00E06806">
        <w:rPr>
          <w:rFonts w:cstheme="minorHAnsi"/>
          <w:color w:val="231F20"/>
          <w:spacing w:val="13"/>
          <w:w w:val="105"/>
        </w:rPr>
        <w:t xml:space="preserve"> </w:t>
      </w:r>
      <w:r w:rsidRPr="00E06806">
        <w:rPr>
          <w:rFonts w:cstheme="minorHAnsi"/>
          <w:color w:val="231F20"/>
          <w:w w:val="105"/>
        </w:rPr>
        <w:t>customers</w:t>
      </w:r>
      <w:r w:rsidRPr="00E06806">
        <w:rPr>
          <w:rFonts w:cstheme="minorHAnsi"/>
          <w:color w:val="231F20"/>
          <w:spacing w:val="13"/>
          <w:w w:val="105"/>
        </w:rPr>
        <w:t xml:space="preserve"> </w:t>
      </w:r>
      <w:r w:rsidRPr="00E06806">
        <w:rPr>
          <w:rFonts w:cstheme="minorHAnsi"/>
          <w:color w:val="231F20"/>
          <w:w w:val="105"/>
        </w:rPr>
        <w:t>and</w:t>
      </w:r>
      <w:r w:rsidRPr="00E06806">
        <w:rPr>
          <w:rFonts w:cstheme="minorHAnsi"/>
          <w:color w:val="231F20"/>
          <w:spacing w:val="13"/>
          <w:w w:val="105"/>
        </w:rPr>
        <w:t xml:space="preserve"> </w:t>
      </w:r>
      <w:r w:rsidRPr="00E06806">
        <w:rPr>
          <w:rFonts w:cstheme="minorHAnsi"/>
          <w:color w:val="231F20"/>
          <w:w w:val="105"/>
        </w:rPr>
        <w:t>provide</w:t>
      </w:r>
      <w:r w:rsidRPr="00E06806">
        <w:rPr>
          <w:rFonts w:cstheme="minorHAnsi"/>
          <w:color w:val="231F20"/>
          <w:spacing w:val="3"/>
          <w:w w:val="105"/>
        </w:rPr>
        <w:t xml:space="preserve"> </w:t>
      </w:r>
      <w:r w:rsidRPr="00E06806">
        <w:rPr>
          <w:rFonts w:cstheme="minorHAnsi"/>
          <w:color w:val="231F20"/>
          <w:w w:val="105"/>
        </w:rPr>
        <w:t>support</w:t>
      </w:r>
      <w:r w:rsidRPr="00E06806">
        <w:rPr>
          <w:rFonts w:cstheme="minorHAnsi"/>
          <w:color w:val="231F20"/>
          <w:spacing w:val="12"/>
          <w:w w:val="105"/>
        </w:rPr>
        <w:t xml:space="preserve"> </w:t>
      </w:r>
      <w:r w:rsidRPr="00E06806">
        <w:rPr>
          <w:rFonts w:cstheme="minorHAnsi"/>
          <w:color w:val="231F20"/>
          <w:w w:val="105"/>
        </w:rPr>
        <w:t>the</w:t>
      </w:r>
      <w:r w:rsidRPr="00E06806">
        <w:rPr>
          <w:rFonts w:cstheme="minorHAnsi"/>
          <w:color w:val="231F20"/>
          <w:spacing w:val="12"/>
          <w:w w:val="105"/>
        </w:rPr>
        <w:t xml:space="preserve"> </w:t>
      </w:r>
      <w:r w:rsidRPr="00E06806">
        <w:rPr>
          <w:rFonts w:cstheme="minorHAnsi"/>
          <w:color w:val="231F20"/>
          <w:w w:val="105"/>
        </w:rPr>
        <w:t>workforce</w:t>
      </w:r>
      <w:r w:rsidRPr="00E06806">
        <w:rPr>
          <w:rFonts w:cstheme="minorHAnsi"/>
          <w:color w:val="231F20"/>
          <w:spacing w:val="12"/>
          <w:w w:val="105"/>
        </w:rPr>
        <w:t xml:space="preserve"> </w:t>
      </w:r>
      <w:r w:rsidRPr="00E06806">
        <w:rPr>
          <w:rFonts w:cstheme="minorHAnsi"/>
          <w:color w:val="231F20"/>
          <w:w w:val="105"/>
        </w:rPr>
        <w:t>system</w:t>
      </w:r>
      <w:r w:rsidRPr="00E06806">
        <w:rPr>
          <w:rFonts w:cstheme="minorHAnsi"/>
          <w:color w:val="231F20"/>
          <w:spacing w:val="12"/>
          <w:w w:val="105"/>
        </w:rPr>
        <w:t xml:space="preserve"> </w:t>
      </w:r>
      <w:r w:rsidRPr="00E06806">
        <w:rPr>
          <w:rFonts w:cstheme="minorHAnsi"/>
          <w:color w:val="231F20"/>
          <w:w w:val="105"/>
        </w:rPr>
        <w:t>cannot.</w:t>
      </w:r>
      <w:r w:rsidRPr="00E06806">
        <w:rPr>
          <w:rFonts w:cstheme="minorHAnsi"/>
          <w:color w:val="231F20"/>
          <w:spacing w:val="12"/>
          <w:w w:val="105"/>
        </w:rPr>
        <w:t xml:space="preserve"> </w:t>
      </w:r>
      <w:r w:rsidR="00682908" w:rsidRPr="00E06806">
        <w:rPr>
          <w:rFonts w:cstheme="minorHAnsi"/>
          <w:color w:val="231F20"/>
          <w:spacing w:val="-3"/>
          <w:w w:val="105"/>
        </w:rPr>
        <w:t xml:space="preserve">Non-core partners </w:t>
      </w:r>
      <w:r w:rsidRPr="00E06806">
        <w:rPr>
          <w:rFonts w:cstheme="minorHAnsi"/>
          <w:color w:val="231F20"/>
          <w:w w:val="105"/>
        </w:rPr>
        <w:t>and</w:t>
      </w:r>
      <w:r w:rsidRPr="00E06806">
        <w:rPr>
          <w:rFonts w:cstheme="minorHAnsi"/>
          <w:color w:val="231F20"/>
          <w:spacing w:val="12"/>
          <w:w w:val="105"/>
        </w:rPr>
        <w:t xml:space="preserve"> </w:t>
      </w:r>
      <w:r w:rsidRPr="00E06806">
        <w:rPr>
          <w:rFonts w:cstheme="minorHAnsi"/>
          <w:color w:val="231F20"/>
          <w:w w:val="105"/>
        </w:rPr>
        <w:t>the</w:t>
      </w:r>
      <w:r w:rsidRPr="00E06806">
        <w:rPr>
          <w:rFonts w:cstheme="minorHAnsi"/>
          <w:color w:val="231F20"/>
          <w:spacing w:val="12"/>
          <w:w w:val="105"/>
        </w:rPr>
        <w:t xml:space="preserve"> </w:t>
      </w:r>
      <w:r w:rsidRPr="00E06806">
        <w:rPr>
          <w:rFonts w:cstheme="minorHAnsi"/>
          <w:color w:val="231F20"/>
          <w:w w:val="105"/>
        </w:rPr>
        <w:t>workforce</w:t>
      </w:r>
      <w:r w:rsidRPr="00E06806">
        <w:rPr>
          <w:rFonts w:cstheme="minorHAnsi"/>
          <w:color w:val="231F20"/>
          <w:spacing w:val="12"/>
          <w:w w:val="105"/>
        </w:rPr>
        <w:t xml:space="preserve"> </w:t>
      </w:r>
      <w:r w:rsidRPr="00E06806">
        <w:rPr>
          <w:rFonts w:cstheme="minorHAnsi"/>
          <w:color w:val="231F20"/>
          <w:w w:val="105"/>
        </w:rPr>
        <w:t>system</w:t>
      </w:r>
      <w:r w:rsidRPr="00E06806">
        <w:rPr>
          <w:rFonts w:cstheme="minorHAnsi"/>
          <w:color w:val="231F20"/>
          <w:spacing w:val="12"/>
          <w:w w:val="105"/>
        </w:rPr>
        <w:t xml:space="preserve"> </w:t>
      </w:r>
      <w:r w:rsidR="00682908" w:rsidRPr="00E06806">
        <w:rPr>
          <w:rFonts w:cstheme="minorHAnsi"/>
          <w:color w:val="231F20"/>
          <w:w w:val="105"/>
        </w:rPr>
        <w:t xml:space="preserve">maximize </w:t>
      </w:r>
      <w:r w:rsidRPr="00E06806">
        <w:rPr>
          <w:rFonts w:cstheme="minorHAnsi"/>
          <w:color w:val="231F20"/>
          <w:w w:val="105"/>
        </w:rPr>
        <w:t xml:space="preserve">comprehensive services for job seekers </w:t>
      </w:r>
      <w:r w:rsidR="00682908" w:rsidRPr="00E06806">
        <w:rPr>
          <w:rFonts w:cstheme="minorHAnsi"/>
          <w:color w:val="231F20"/>
          <w:w w:val="105"/>
        </w:rPr>
        <w:t xml:space="preserve">offering </w:t>
      </w:r>
      <w:r w:rsidRPr="00E06806">
        <w:rPr>
          <w:rFonts w:cstheme="minorHAnsi"/>
          <w:color w:val="231F20"/>
          <w:w w:val="105"/>
        </w:rPr>
        <w:t>the opportunity for self-sufficiency</w:t>
      </w:r>
      <w:r w:rsidRPr="00E06806">
        <w:rPr>
          <w:rFonts w:cstheme="minorHAnsi"/>
          <w:color w:val="231F20"/>
          <w:spacing w:val="28"/>
          <w:w w:val="105"/>
        </w:rPr>
        <w:t xml:space="preserve"> </w:t>
      </w:r>
      <w:r w:rsidRPr="00E06806">
        <w:rPr>
          <w:rFonts w:cstheme="minorHAnsi"/>
          <w:color w:val="231F20"/>
          <w:w w:val="105"/>
        </w:rPr>
        <w:t>through meaningful</w:t>
      </w:r>
      <w:r w:rsidRPr="00E06806">
        <w:rPr>
          <w:rFonts w:cstheme="minorHAnsi"/>
          <w:color w:val="231F20"/>
          <w:spacing w:val="6"/>
          <w:w w:val="105"/>
        </w:rPr>
        <w:t xml:space="preserve"> </w:t>
      </w:r>
      <w:r w:rsidRPr="00E06806">
        <w:rPr>
          <w:rFonts w:cstheme="minorHAnsi"/>
          <w:color w:val="231F20"/>
          <w:w w:val="105"/>
        </w:rPr>
        <w:t>employment.</w:t>
      </w:r>
    </w:p>
    <w:p w14:paraId="4912EC6E" w14:textId="1AC7210E" w:rsidR="007247F3" w:rsidRDefault="00682908" w:rsidP="005F0EE6">
      <w:pPr>
        <w:widowControl w:val="0"/>
        <w:spacing w:before="193" w:after="0" w:line="264" w:lineRule="exact"/>
        <w:ind w:left="107"/>
        <w:rPr>
          <w:rFonts w:cstheme="minorHAnsi"/>
          <w:color w:val="231F20"/>
          <w:w w:val="105"/>
        </w:rPr>
      </w:pPr>
      <w:r w:rsidRPr="00E06806">
        <w:rPr>
          <w:rFonts w:cstheme="minorHAnsi"/>
          <w:color w:val="231F20"/>
          <w:w w:val="105"/>
        </w:rPr>
        <w:t xml:space="preserve">In </w:t>
      </w:r>
      <w:r w:rsidR="00EA7458" w:rsidRPr="00E06806">
        <w:rPr>
          <w:rFonts w:cstheme="minorHAnsi"/>
          <w:color w:val="231F20"/>
          <w:w w:val="105"/>
        </w:rPr>
        <w:t>2014</w:t>
      </w:r>
      <w:r w:rsidR="007369AF">
        <w:rPr>
          <w:rFonts w:cstheme="minorHAnsi"/>
          <w:color w:val="231F20"/>
          <w:w w:val="105"/>
        </w:rPr>
        <w:t>,</w:t>
      </w:r>
      <w:r w:rsidR="00EA7458" w:rsidRPr="00E06806">
        <w:rPr>
          <w:rFonts w:cstheme="minorHAnsi"/>
          <w:color w:val="231F20"/>
          <w:w w:val="105"/>
        </w:rPr>
        <w:t xml:space="preserve"> </w:t>
      </w:r>
      <w:r w:rsidRPr="00E06806">
        <w:rPr>
          <w:rFonts w:cstheme="minorHAnsi"/>
          <w:color w:val="231F20"/>
          <w:w w:val="105"/>
        </w:rPr>
        <w:t xml:space="preserve">VR launched </w:t>
      </w:r>
      <w:r w:rsidR="00EA7458" w:rsidRPr="00E06806">
        <w:rPr>
          <w:rFonts w:cstheme="minorHAnsi"/>
          <w:color w:val="231F20"/>
          <w:w w:val="105"/>
        </w:rPr>
        <w:t xml:space="preserve">the Abilities </w:t>
      </w:r>
      <w:r w:rsidR="00EA7458" w:rsidRPr="005F0EE6">
        <w:rPr>
          <w:rFonts w:cstheme="minorHAnsi"/>
          <w:color w:val="231F20"/>
          <w:w w:val="105"/>
        </w:rPr>
        <w:t xml:space="preserve">Work </w:t>
      </w:r>
      <w:r w:rsidR="00EA7458" w:rsidRPr="00E06806">
        <w:rPr>
          <w:rFonts w:cstheme="minorHAnsi"/>
          <w:color w:val="231F20"/>
          <w:w w:val="105"/>
        </w:rPr>
        <w:t>web portal within the state MIS,</w:t>
      </w:r>
      <w:r w:rsidR="00AA5A73">
        <w:rPr>
          <w:rFonts w:cstheme="minorHAnsi"/>
          <w:color w:val="231F20"/>
          <w:w w:val="105"/>
        </w:rPr>
        <w:t xml:space="preserve"> Employ Florida</w:t>
      </w:r>
      <w:r w:rsidR="00EA7458" w:rsidRPr="00E06806">
        <w:rPr>
          <w:rFonts w:cstheme="minorHAnsi"/>
          <w:color w:val="231F20"/>
          <w:w w:val="105"/>
        </w:rPr>
        <w:t>. The</w:t>
      </w:r>
      <w:r w:rsidR="00EA7458" w:rsidRPr="005F0EE6">
        <w:rPr>
          <w:rFonts w:cstheme="minorHAnsi"/>
          <w:color w:val="231F20"/>
          <w:w w:val="105"/>
        </w:rPr>
        <w:t xml:space="preserve"> </w:t>
      </w:r>
      <w:r w:rsidR="00EA7458" w:rsidRPr="00E06806">
        <w:rPr>
          <w:rFonts w:cstheme="minorHAnsi"/>
          <w:color w:val="231F20"/>
          <w:w w:val="105"/>
        </w:rPr>
        <w:t>portal</w:t>
      </w:r>
      <w:r w:rsidR="00EA7458" w:rsidRPr="005F0EE6">
        <w:rPr>
          <w:rFonts w:cstheme="minorHAnsi"/>
          <w:color w:val="231F20"/>
          <w:w w:val="105"/>
        </w:rPr>
        <w:t xml:space="preserve"> </w:t>
      </w:r>
      <w:r w:rsidR="00EA7458" w:rsidRPr="00E06806">
        <w:rPr>
          <w:rFonts w:cstheme="minorHAnsi"/>
          <w:color w:val="231F20"/>
          <w:w w:val="105"/>
        </w:rPr>
        <w:t>was</w:t>
      </w:r>
      <w:r w:rsidR="00EA7458" w:rsidRPr="005F0EE6">
        <w:rPr>
          <w:rFonts w:cstheme="minorHAnsi"/>
          <w:color w:val="231F20"/>
          <w:w w:val="105"/>
        </w:rPr>
        <w:t xml:space="preserve"> </w:t>
      </w:r>
      <w:r w:rsidRPr="005F0EE6">
        <w:rPr>
          <w:rFonts w:cstheme="minorHAnsi"/>
          <w:color w:val="231F20"/>
          <w:w w:val="105"/>
        </w:rPr>
        <w:t xml:space="preserve">created </w:t>
      </w:r>
      <w:r w:rsidR="00EA7458" w:rsidRPr="00E06806">
        <w:rPr>
          <w:rFonts w:cstheme="minorHAnsi"/>
          <w:color w:val="231F20"/>
          <w:w w:val="105"/>
        </w:rPr>
        <w:t>in</w:t>
      </w:r>
      <w:r w:rsidR="00EA7458" w:rsidRPr="005F0EE6">
        <w:rPr>
          <w:rFonts w:cstheme="minorHAnsi"/>
          <w:color w:val="231F20"/>
          <w:w w:val="105"/>
        </w:rPr>
        <w:t xml:space="preserve"> </w:t>
      </w:r>
      <w:r w:rsidR="00EA7458" w:rsidRPr="00E06806">
        <w:rPr>
          <w:rFonts w:cstheme="minorHAnsi"/>
          <w:color w:val="231F20"/>
          <w:w w:val="105"/>
        </w:rPr>
        <w:t>response</w:t>
      </w:r>
      <w:r w:rsidR="00EA7458" w:rsidRPr="005F0EE6">
        <w:rPr>
          <w:rFonts w:cstheme="minorHAnsi"/>
          <w:color w:val="231F20"/>
          <w:w w:val="105"/>
        </w:rPr>
        <w:t xml:space="preserve"> </w:t>
      </w:r>
      <w:r w:rsidR="00EA7458" w:rsidRPr="00E06806">
        <w:rPr>
          <w:rFonts w:cstheme="minorHAnsi"/>
          <w:color w:val="231F20"/>
          <w:w w:val="105"/>
        </w:rPr>
        <w:t>to</w:t>
      </w:r>
      <w:r w:rsidR="00EA7458" w:rsidRPr="005F0EE6">
        <w:rPr>
          <w:rFonts w:cstheme="minorHAnsi"/>
          <w:color w:val="231F20"/>
          <w:w w:val="105"/>
        </w:rPr>
        <w:t xml:space="preserve"> </w:t>
      </w:r>
      <w:r w:rsidR="00EA7458" w:rsidRPr="00E06806">
        <w:rPr>
          <w:rFonts w:cstheme="minorHAnsi"/>
          <w:color w:val="231F20"/>
          <w:w w:val="105"/>
        </w:rPr>
        <w:t>recommendation</w:t>
      </w:r>
      <w:r w:rsidRPr="00E06806">
        <w:rPr>
          <w:rFonts w:cstheme="minorHAnsi"/>
          <w:color w:val="231F20"/>
          <w:w w:val="105"/>
        </w:rPr>
        <w:t>s</w:t>
      </w:r>
      <w:r w:rsidR="00EA7458" w:rsidRPr="005F0EE6">
        <w:rPr>
          <w:rFonts w:cstheme="minorHAnsi"/>
          <w:color w:val="231F20"/>
          <w:w w:val="105"/>
        </w:rPr>
        <w:t xml:space="preserve"> </w:t>
      </w:r>
      <w:r w:rsidR="00EA7458" w:rsidRPr="00E06806">
        <w:rPr>
          <w:rFonts w:cstheme="minorHAnsi"/>
          <w:color w:val="231F20"/>
          <w:w w:val="105"/>
        </w:rPr>
        <w:t>made</w:t>
      </w:r>
      <w:r w:rsidR="00EA7458" w:rsidRPr="005F0EE6">
        <w:rPr>
          <w:rFonts w:cstheme="minorHAnsi"/>
          <w:color w:val="231F20"/>
          <w:w w:val="105"/>
        </w:rPr>
        <w:t xml:space="preserve"> </w:t>
      </w:r>
      <w:r w:rsidR="00EA7458" w:rsidRPr="00E06806">
        <w:rPr>
          <w:rFonts w:cstheme="minorHAnsi"/>
          <w:color w:val="231F20"/>
          <w:w w:val="105"/>
        </w:rPr>
        <w:t>by</w:t>
      </w:r>
      <w:r w:rsidR="00EA7458" w:rsidRPr="005F0EE6">
        <w:rPr>
          <w:rFonts w:cstheme="minorHAnsi"/>
          <w:color w:val="231F20"/>
          <w:w w:val="105"/>
        </w:rPr>
        <w:t xml:space="preserve"> </w:t>
      </w:r>
      <w:r w:rsidR="00EA7458" w:rsidRPr="00E06806">
        <w:rPr>
          <w:rFonts w:cstheme="minorHAnsi"/>
          <w:color w:val="231F20"/>
          <w:w w:val="105"/>
        </w:rPr>
        <w:t>the</w:t>
      </w:r>
      <w:r w:rsidR="00EA7458" w:rsidRPr="005F0EE6">
        <w:rPr>
          <w:rFonts w:cstheme="minorHAnsi"/>
          <w:color w:val="231F20"/>
          <w:w w:val="105"/>
        </w:rPr>
        <w:t xml:space="preserve"> </w:t>
      </w:r>
      <w:r w:rsidR="00EA7458" w:rsidRPr="00E06806">
        <w:rPr>
          <w:rFonts w:cstheme="minorHAnsi"/>
          <w:color w:val="231F20"/>
          <w:w w:val="105"/>
        </w:rPr>
        <w:t>Governor’s</w:t>
      </w:r>
      <w:r w:rsidR="00EA7458" w:rsidRPr="005F0EE6">
        <w:rPr>
          <w:rFonts w:cstheme="minorHAnsi"/>
          <w:color w:val="231F20"/>
          <w:w w:val="105"/>
        </w:rPr>
        <w:t xml:space="preserve"> </w:t>
      </w:r>
      <w:r w:rsidR="00EA7458" w:rsidRPr="00E06806">
        <w:rPr>
          <w:rFonts w:cstheme="minorHAnsi"/>
          <w:color w:val="231F20"/>
          <w:w w:val="105"/>
        </w:rPr>
        <w:t>Commission</w:t>
      </w:r>
      <w:r w:rsidR="00EA7458" w:rsidRPr="005F0EE6">
        <w:rPr>
          <w:rFonts w:cstheme="minorHAnsi"/>
          <w:color w:val="231F20"/>
          <w:w w:val="105"/>
        </w:rPr>
        <w:t xml:space="preserve"> </w:t>
      </w:r>
      <w:r w:rsidR="00EA7458" w:rsidRPr="00E06806">
        <w:rPr>
          <w:rFonts w:cstheme="minorHAnsi"/>
          <w:color w:val="231F20"/>
          <w:w w:val="105"/>
        </w:rPr>
        <w:t>on</w:t>
      </w:r>
      <w:r w:rsidR="00EA7458" w:rsidRPr="005F0EE6">
        <w:rPr>
          <w:rFonts w:cstheme="minorHAnsi"/>
          <w:color w:val="231F20"/>
          <w:w w:val="105"/>
        </w:rPr>
        <w:t xml:space="preserve"> </w:t>
      </w:r>
      <w:r w:rsidR="00EA7458" w:rsidRPr="00E06806">
        <w:rPr>
          <w:rFonts w:cstheme="minorHAnsi"/>
          <w:color w:val="231F20"/>
          <w:w w:val="105"/>
        </w:rPr>
        <w:t>Jobs</w:t>
      </w:r>
      <w:r w:rsidR="00EA7458" w:rsidRPr="005F0EE6">
        <w:rPr>
          <w:rFonts w:cstheme="minorHAnsi"/>
          <w:color w:val="231F20"/>
          <w:w w:val="105"/>
        </w:rPr>
        <w:t xml:space="preserve"> </w:t>
      </w:r>
      <w:r w:rsidR="00EA7458" w:rsidRPr="00E06806">
        <w:rPr>
          <w:rFonts w:cstheme="minorHAnsi"/>
          <w:color w:val="231F20"/>
          <w:w w:val="105"/>
        </w:rPr>
        <w:t>for</w:t>
      </w:r>
      <w:r w:rsidR="00EA7458" w:rsidRPr="005F0EE6">
        <w:rPr>
          <w:rFonts w:cstheme="minorHAnsi"/>
          <w:color w:val="231F20"/>
          <w:w w:val="105"/>
        </w:rPr>
        <w:t xml:space="preserve"> </w:t>
      </w:r>
      <w:r w:rsidR="00EA7458" w:rsidRPr="00E06806">
        <w:rPr>
          <w:rFonts w:cstheme="minorHAnsi"/>
          <w:color w:val="231F20"/>
          <w:w w:val="105"/>
        </w:rPr>
        <w:t>Floridians</w:t>
      </w:r>
      <w:r w:rsidR="00EA7458" w:rsidRPr="005F0EE6">
        <w:rPr>
          <w:rFonts w:cstheme="minorHAnsi"/>
          <w:color w:val="231F20"/>
          <w:w w:val="105"/>
        </w:rPr>
        <w:t xml:space="preserve"> </w:t>
      </w:r>
      <w:r w:rsidR="00EA7458" w:rsidRPr="00E06806">
        <w:rPr>
          <w:rFonts w:cstheme="minorHAnsi"/>
          <w:color w:val="231F20"/>
          <w:w w:val="105"/>
        </w:rPr>
        <w:t>with</w:t>
      </w:r>
      <w:r w:rsidR="00EA7458" w:rsidRPr="005F0EE6">
        <w:rPr>
          <w:rFonts w:cstheme="minorHAnsi"/>
          <w:color w:val="231F20"/>
          <w:w w:val="105"/>
        </w:rPr>
        <w:t xml:space="preserve"> </w:t>
      </w:r>
      <w:r w:rsidR="00EA7458" w:rsidRPr="00E06806">
        <w:rPr>
          <w:rFonts w:cstheme="minorHAnsi"/>
          <w:color w:val="231F20"/>
          <w:w w:val="105"/>
        </w:rPr>
        <w:t>Disabilities</w:t>
      </w:r>
      <w:r w:rsidRPr="00E06806">
        <w:rPr>
          <w:rFonts w:cstheme="minorHAnsi"/>
          <w:color w:val="231F20"/>
          <w:w w:val="105"/>
        </w:rPr>
        <w:t>. The Abilities Work web portal was</w:t>
      </w:r>
      <w:r w:rsidRPr="005F0EE6">
        <w:rPr>
          <w:rFonts w:cstheme="minorHAnsi"/>
          <w:color w:val="231F20"/>
          <w:w w:val="105"/>
        </w:rPr>
        <w:t xml:space="preserve"> </w:t>
      </w:r>
      <w:r w:rsidRPr="00E06806">
        <w:rPr>
          <w:rFonts w:cstheme="minorHAnsi"/>
          <w:color w:val="231F20"/>
          <w:w w:val="105"/>
        </w:rPr>
        <w:t>developed</w:t>
      </w:r>
      <w:r w:rsidRPr="005F0EE6">
        <w:rPr>
          <w:rFonts w:cstheme="minorHAnsi"/>
          <w:color w:val="231F20"/>
          <w:w w:val="105"/>
        </w:rPr>
        <w:t xml:space="preserve"> </w:t>
      </w:r>
      <w:r w:rsidRPr="00E06806">
        <w:rPr>
          <w:rFonts w:cstheme="minorHAnsi"/>
          <w:color w:val="231F20"/>
          <w:w w:val="105"/>
        </w:rPr>
        <w:t>by</w:t>
      </w:r>
      <w:r w:rsidRPr="005F0EE6">
        <w:rPr>
          <w:rFonts w:cstheme="minorHAnsi"/>
          <w:color w:val="231F20"/>
          <w:w w:val="105"/>
        </w:rPr>
        <w:t xml:space="preserve"> </w:t>
      </w:r>
      <w:r w:rsidRPr="00E06806">
        <w:rPr>
          <w:rFonts w:cstheme="minorHAnsi"/>
          <w:color w:val="231F20"/>
          <w:w w:val="105"/>
        </w:rPr>
        <w:t>DEO</w:t>
      </w:r>
      <w:r w:rsidRPr="005F0EE6">
        <w:rPr>
          <w:rFonts w:cstheme="minorHAnsi"/>
          <w:color w:val="231F20"/>
          <w:w w:val="105"/>
        </w:rPr>
        <w:t xml:space="preserve"> </w:t>
      </w:r>
      <w:r w:rsidRPr="00E06806">
        <w:rPr>
          <w:rFonts w:cstheme="minorHAnsi"/>
          <w:color w:val="231F20"/>
          <w:w w:val="105"/>
        </w:rPr>
        <w:t>in</w:t>
      </w:r>
      <w:r w:rsidRPr="005F0EE6">
        <w:rPr>
          <w:rFonts w:cstheme="minorHAnsi"/>
          <w:color w:val="231F20"/>
          <w:w w:val="105"/>
        </w:rPr>
        <w:t xml:space="preserve"> </w:t>
      </w:r>
      <w:r w:rsidRPr="00E06806">
        <w:rPr>
          <w:rFonts w:cstheme="minorHAnsi"/>
          <w:color w:val="231F20"/>
          <w:w w:val="105"/>
        </w:rPr>
        <w:t>partnership</w:t>
      </w:r>
      <w:r w:rsidRPr="005F0EE6">
        <w:rPr>
          <w:rFonts w:cstheme="minorHAnsi"/>
          <w:color w:val="231F20"/>
          <w:w w:val="105"/>
        </w:rPr>
        <w:t xml:space="preserve"> </w:t>
      </w:r>
      <w:r w:rsidRPr="00E06806">
        <w:rPr>
          <w:rFonts w:cstheme="minorHAnsi"/>
          <w:color w:val="231F20"/>
          <w:w w:val="105"/>
        </w:rPr>
        <w:t>with</w:t>
      </w:r>
      <w:r w:rsidRPr="005F0EE6">
        <w:rPr>
          <w:rFonts w:cstheme="minorHAnsi"/>
          <w:color w:val="231F20"/>
          <w:w w:val="105"/>
        </w:rPr>
        <w:t xml:space="preserve"> </w:t>
      </w:r>
      <w:r w:rsidRPr="00E06806">
        <w:rPr>
          <w:rFonts w:cstheme="minorHAnsi"/>
          <w:color w:val="231F20"/>
          <w:w w:val="105"/>
        </w:rPr>
        <w:t>VR,</w:t>
      </w:r>
      <w:r w:rsidRPr="005F0EE6">
        <w:rPr>
          <w:rFonts w:cstheme="minorHAnsi"/>
          <w:color w:val="231F20"/>
          <w:w w:val="105"/>
        </w:rPr>
        <w:t xml:space="preserve"> </w:t>
      </w:r>
      <w:r w:rsidRPr="00E06806">
        <w:rPr>
          <w:rFonts w:cstheme="minorHAnsi"/>
          <w:color w:val="231F20"/>
          <w:w w:val="105"/>
        </w:rPr>
        <w:t>FDBS,</w:t>
      </w:r>
      <w:r w:rsidRPr="005F0EE6">
        <w:rPr>
          <w:rFonts w:cstheme="minorHAnsi"/>
          <w:color w:val="231F20"/>
          <w:w w:val="105"/>
        </w:rPr>
        <w:t xml:space="preserve"> </w:t>
      </w:r>
      <w:r w:rsidRPr="00E06806">
        <w:rPr>
          <w:rFonts w:cstheme="minorHAnsi"/>
          <w:color w:val="231F20"/>
          <w:w w:val="105"/>
        </w:rPr>
        <w:t>APD,</w:t>
      </w:r>
      <w:r w:rsidRPr="005F0EE6">
        <w:rPr>
          <w:rFonts w:cstheme="minorHAnsi"/>
          <w:color w:val="231F20"/>
          <w:w w:val="105"/>
        </w:rPr>
        <w:t xml:space="preserve"> </w:t>
      </w:r>
      <w:r w:rsidRPr="00E06806">
        <w:rPr>
          <w:rFonts w:cstheme="minorHAnsi"/>
          <w:color w:val="231F20"/>
          <w:w w:val="105"/>
        </w:rPr>
        <w:t>the</w:t>
      </w:r>
      <w:r w:rsidRPr="005F0EE6">
        <w:rPr>
          <w:rFonts w:cstheme="minorHAnsi"/>
          <w:color w:val="231F20"/>
          <w:w w:val="105"/>
        </w:rPr>
        <w:t xml:space="preserve"> </w:t>
      </w:r>
      <w:r w:rsidRPr="00E06806">
        <w:rPr>
          <w:rFonts w:cstheme="minorHAnsi"/>
          <w:color w:val="231F20"/>
          <w:w w:val="105"/>
        </w:rPr>
        <w:t>Florida</w:t>
      </w:r>
      <w:r w:rsidRPr="005F0EE6">
        <w:rPr>
          <w:rFonts w:cstheme="minorHAnsi"/>
          <w:color w:val="231F20"/>
          <w:w w:val="105"/>
        </w:rPr>
        <w:t xml:space="preserve"> </w:t>
      </w:r>
      <w:r w:rsidRPr="00E06806">
        <w:rPr>
          <w:rFonts w:cstheme="minorHAnsi"/>
          <w:color w:val="231F20"/>
          <w:w w:val="105"/>
        </w:rPr>
        <w:t>Developmental</w:t>
      </w:r>
      <w:r w:rsidRPr="005F0EE6">
        <w:rPr>
          <w:rFonts w:cstheme="minorHAnsi"/>
          <w:color w:val="231F20"/>
          <w:w w:val="105"/>
        </w:rPr>
        <w:t xml:space="preserve"> </w:t>
      </w:r>
      <w:r w:rsidRPr="00E06806">
        <w:rPr>
          <w:rFonts w:cstheme="minorHAnsi"/>
          <w:color w:val="231F20"/>
          <w:w w:val="105"/>
        </w:rPr>
        <w:t>Disabilities</w:t>
      </w:r>
      <w:r w:rsidRPr="005F0EE6">
        <w:rPr>
          <w:rFonts w:cstheme="minorHAnsi"/>
          <w:color w:val="231F20"/>
          <w:w w:val="105"/>
        </w:rPr>
        <w:t xml:space="preserve"> </w:t>
      </w:r>
      <w:r w:rsidRPr="00E06806">
        <w:rPr>
          <w:rFonts w:cstheme="minorHAnsi"/>
          <w:color w:val="231F20"/>
          <w:w w:val="105"/>
        </w:rPr>
        <w:t>Council</w:t>
      </w:r>
      <w:r w:rsidRPr="005F0EE6">
        <w:rPr>
          <w:rFonts w:cstheme="minorHAnsi"/>
          <w:color w:val="231F20"/>
          <w:w w:val="105"/>
        </w:rPr>
        <w:t xml:space="preserve"> </w:t>
      </w:r>
      <w:r w:rsidRPr="00E06806">
        <w:rPr>
          <w:rFonts w:cstheme="minorHAnsi"/>
          <w:color w:val="231F20"/>
          <w:w w:val="105"/>
        </w:rPr>
        <w:t>and</w:t>
      </w:r>
      <w:r w:rsidRPr="005F0EE6">
        <w:rPr>
          <w:rFonts w:cstheme="minorHAnsi"/>
          <w:color w:val="231F20"/>
          <w:w w:val="105"/>
        </w:rPr>
        <w:t xml:space="preserve"> </w:t>
      </w:r>
      <w:r w:rsidRPr="00E06806">
        <w:rPr>
          <w:rFonts w:cstheme="minorHAnsi"/>
          <w:color w:val="231F20"/>
          <w:w w:val="105"/>
        </w:rPr>
        <w:t>stakeholders</w:t>
      </w:r>
      <w:r w:rsidRPr="005F0EE6">
        <w:rPr>
          <w:rFonts w:cstheme="minorHAnsi"/>
          <w:color w:val="231F20"/>
          <w:w w:val="105"/>
        </w:rPr>
        <w:t xml:space="preserve"> </w:t>
      </w:r>
      <w:r w:rsidRPr="00E06806">
        <w:rPr>
          <w:rFonts w:cstheme="minorHAnsi"/>
          <w:color w:val="231F20"/>
          <w:w w:val="105"/>
        </w:rPr>
        <w:t>from</w:t>
      </w:r>
      <w:r w:rsidRPr="005F0EE6">
        <w:rPr>
          <w:rFonts w:cstheme="minorHAnsi"/>
          <w:color w:val="231F20"/>
          <w:w w:val="105"/>
        </w:rPr>
        <w:t xml:space="preserve"> </w:t>
      </w:r>
      <w:r w:rsidRPr="00E06806">
        <w:rPr>
          <w:rFonts w:cstheme="minorHAnsi"/>
          <w:color w:val="231F20"/>
          <w:w w:val="105"/>
        </w:rPr>
        <w:t>around</w:t>
      </w:r>
      <w:r w:rsidRPr="005F0EE6">
        <w:rPr>
          <w:rFonts w:cstheme="minorHAnsi"/>
          <w:color w:val="231F20"/>
          <w:w w:val="105"/>
        </w:rPr>
        <w:t xml:space="preserve"> </w:t>
      </w:r>
      <w:r w:rsidRPr="00E06806">
        <w:rPr>
          <w:rFonts w:cstheme="minorHAnsi"/>
          <w:color w:val="231F20"/>
          <w:w w:val="105"/>
        </w:rPr>
        <w:t>the</w:t>
      </w:r>
      <w:r w:rsidRPr="005F0EE6">
        <w:rPr>
          <w:rFonts w:cstheme="minorHAnsi"/>
          <w:color w:val="231F20"/>
          <w:w w:val="105"/>
        </w:rPr>
        <w:t xml:space="preserve"> </w:t>
      </w:r>
      <w:r w:rsidRPr="00E06806">
        <w:rPr>
          <w:rFonts w:cstheme="minorHAnsi"/>
          <w:color w:val="231F20"/>
          <w:w w:val="105"/>
        </w:rPr>
        <w:t xml:space="preserve">state to </w:t>
      </w:r>
      <w:r w:rsidR="00535EA3" w:rsidRPr="00E06806">
        <w:rPr>
          <w:rFonts w:cstheme="minorHAnsi"/>
          <w:color w:val="231F20"/>
          <w:w w:val="105"/>
        </w:rPr>
        <w:t>provide</w:t>
      </w:r>
      <w:r w:rsidR="00EA7458" w:rsidRPr="005F0EE6">
        <w:rPr>
          <w:rFonts w:cstheme="minorHAnsi"/>
          <w:color w:val="231F20"/>
          <w:w w:val="105"/>
        </w:rPr>
        <w:t xml:space="preserve"> </w:t>
      </w:r>
      <w:r w:rsidR="00EA7458" w:rsidRPr="00E06806">
        <w:rPr>
          <w:rFonts w:cstheme="minorHAnsi"/>
          <w:color w:val="231F20"/>
          <w:w w:val="105"/>
        </w:rPr>
        <w:t>single</w:t>
      </w:r>
      <w:r w:rsidR="00EA7458" w:rsidRPr="005F0EE6">
        <w:rPr>
          <w:rFonts w:cstheme="minorHAnsi"/>
          <w:color w:val="231F20"/>
          <w:w w:val="105"/>
        </w:rPr>
        <w:t xml:space="preserve"> </w:t>
      </w:r>
      <w:r w:rsidR="00EA7458" w:rsidRPr="00E06806">
        <w:rPr>
          <w:rFonts w:cstheme="minorHAnsi"/>
          <w:color w:val="231F20"/>
          <w:w w:val="105"/>
        </w:rPr>
        <w:t>point</w:t>
      </w:r>
      <w:r w:rsidR="00EA7458" w:rsidRPr="005F0EE6">
        <w:rPr>
          <w:rFonts w:cstheme="minorHAnsi"/>
          <w:color w:val="231F20"/>
          <w:w w:val="105"/>
        </w:rPr>
        <w:t xml:space="preserve"> </w:t>
      </w:r>
      <w:r w:rsidR="00EA7458" w:rsidRPr="00E06806">
        <w:rPr>
          <w:rFonts w:cstheme="minorHAnsi"/>
          <w:color w:val="231F20"/>
          <w:w w:val="105"/>
        </w:rPr>
        <w:t>of</w:t>
      </w:r>
      <w:r w:rsidR="00EA7458" w:rsidRPr="005F0EE6">
        <w:rPr>
          <w:rFonts w:cstheme="minorHAnsi"/>
          <w:color w:val="231F20"/>
          <w:w w:val="105"/>
        </w:rPr>
        <w:t xml:space="preserve"> </w:t>
      </w:r>
      <w:r w:rsidR="00EA7458" w:rsidRPr="00E06806">
        <w:rPr>
          <w:rFonts w:cstheme="minorHAnsi"/>
          <w:color w:val="231F20"/>
          <w:w w:val="105"/>
        </w:rPr>
        <w:t>contact</w:t>
      </w:r>
      <w:r w:rsidR="00EA7458" w:rsidRPr="005F0EE6">
        <w:rPr>
          <w:rFonts w:cstheme="minorHAnsi"/>
          <w:color w:val="231F20"/>
          <w:w w:val="105"/>
        </w:rPr>
        <w:t xml:space="preserve"> </w:t>
      </w:r>
      <w:r w:rsidR="00EA7458" w:rsidRPr="00E06806">
        <w:rPr>
          <w:rFonts w:cstheme="minorHAnsi"/>
          <w:color w:val="231F20"/>
          <w:w w:val="105"/>
        </w:rPr>
        <w:t>for</w:t>
      </w:r>
      <w:r w:rsidR="00EA7458" w:rsidRPr="005F0EE6">
        <w:rPr>
          <w:rFonts w:cstheme="minorHAnsi"/>
          <w:color w:val="231F20"/>
          <w:w w:val="105"/>
        </w:rPr>
        <w:t xml:space="preserve"> </w:t>
      </w:r>
      <w:r w:rsidR="00EA7458" w:rsidRPr="00E06806">
        <w:rPr>
          <w:rFonts w:cstheme="minorHAnsi"/>
          <w:color w:val="231F20"/>
          <w:w w:val="105"/>
        </w:rPr>
        <w:t>employers</w:t>
      </w:r>
      <w:r w:rsidR="00EA7458" w:rsidRPr="005F0EE6">
        <w:rPr>
          <w:rFonts w:cstheme="minorHAnsi"/>
          <w:color w:val="231F20"/>
          <w:w w:val="105"/>
        </w:rPr>
        <w:t xml:space="preserve"> </w:t>
      </w:r>
      <w:r w:rsidRPr="00E06806">
        <w:rPr>
          <w:rFonts w:cstheme="minorHAnsi"/>
          <w:color w:val="231F20"/>
          <w:w w:val="105"/>
        </w:rPr>
        <w:t xml:space="preserve">who seek </w:t>
      </w:r>
      <w:r w:rsidR="00EA7458" w:rsidRPr="00E06806">
        <w:rPr>
          <w:rFonts w:cstheme="minorHAnsi"/>
          <w:color w:val="231F20"/>
          <w:w w:val="105"/>
        </w:rPr>
        <w:t>to</w:t>
      </w:r>
      <w:r w:rsidR="00EA7458" w:rsidRPr="005F0EE6">
        <w:rPr>
          <w:rFonts w:cstheme="minorHAnsi"/>
          <w:color w:val="231F20"/>
          <w:w w:val="105"/>
        </w:rPr>
        <w:t xml:space="preserve"> </w:t>
      </w:r>
      <w:r w:rsidR="00EA7458" w:rsidRPr="00E06806">
        <w:rPr>
          <w:rFonts w:cstheme="minorHAnsi"/>
          <w:color w:val="231F20"/>
          <w:w w:val="105"/>
        </w:rPr>
        <w:t>hire</w:t>
      </w:r>
      <w:r w:rsidR="00EA7458" w:rsidRPr="005F0EE6">
        <w:rPr>
          <w:rFonts w:cstheme="minorHAnsi"/>
          <w:color w:val="231F20"/>
          <w:w w:val="105"/>
        </w:rPr>
        <w:t xml:space="preserve"> </w:t>
      </w:r>
      <w:r w:rsidR="00EA7458" w:rsidRPr="00E06806">
        <w:rPr>
          <w:rFonts w:cstheme="minorHAnsi"/>
          <w:color w:val="231F20"/>
          <w:w w:val="105"/>
        </w:rPr>
        <w:t>individual</w:t>
      </w:r>
      <w:r w:rsidRPr="00E06806">
        <w:rPr>
          <w:rFonts w:cstheme="minorHAnsi"/>
          <w:color w:val="231F20"/>
          <w:w w:val="105"/>
        </w:rPr>
        <w:t>s</w:t>
      </w:r>
      <w:r w:rsidR="00EA7458" w:rsidRPr="005F0EE6">
        <w:rPr>
          <w:rFonts w:cstheme="minorHAnsi"/>
          <w:color w:val="231F20"/>
          <w:w w:val="105"/>
        </w:rPr>
        <w:t xml:space="preserve"> </w:t>
      </w:r>
      <w:r w:rsidR="00EA7458" w:rsidRPr="00E06806">
        <w:rPr>
          <w:rFonts w:cstheme="minorHAnsi"/>
          <w:color w:val="231F20"/>
          <w:w w:val="105"/>
        </w:rPr>
        <w:t>with</w:t>
      </w:r>
      <w:r w:rsidR="00EA7458" w:rsidRPr="005F0EE6">
        <w:rPr>
          <w:rFonts w:cstheme="minorHAnsi"/>
          <w:color w:val="231F20"/>
          <w:w w:val="105"/>
        </w:rPr>
        <w:t xml:space="preserve"> </w:t>
      </w:r>
      <w:r w:rsidR="00EA7458" w:rsidRPr="00E06806">
        <w:rPr>
          <w:rFonts w:cstheme="minorHAnsi"/>
          <w:color w:val="231F20"/>
          <w:w w:val="105"/>
        </w:rPr>
        <w:t>a</w:t>
      </w:r>
      <w:r w:rsidR="00EA7458" w:rsidRPr="005F0EE6">
        <w:rPr>
          <w:rFonts w:cstheme="minorHAnsi"/>
          <w:color w:val="231F20"/>
          <w:w w:val="105"/>
        </w:rPr>
        <w:t xml:space="preserve"> </w:t>
      </w:r>
      <w:r w:rsidR="00EA7458" w:rsidRPr="00E06806">
        <w:rPr>
          <w:rFonts w:cstheme="minorHAnsi"/>
          <w:color w:val="231F20"/>
          <w:w w:val="105"/>
        </w:rPr>
        <w:t>disability</w:t>
      </w:r>
      <w:r w:rsidRPr="00E06806">
        <w:rPr>
          <w:rFonts w:cstheme="minorHAnsi"/>
          <w:color w:val="231F20"/>
          <w:w w:val="105"/>
        </w:rPr>
        <w:t xml:space="preserve">. The portal provides </w:t>
      </w:r>
      <w:r w:rsidR="00EA7458" w:rsidRPr="00E06806">
        <w:rPr>
          <w:rFonts w:cstheme="minorHAnsi"/>
          <w:color w:val="231F20"/>
          <w:w w:val="105"/>
        </w:rPr>
        <w:t>guidance</w:t>
      </w:r>
      <w:r w:rsidR="00EA7458" w:rsidRPr="005F0EE6">
        <w:rPr>
          <w:rFonts w:cstheme="minorHAnsi"/>
          <w:color w:val="231F20"/>
          <w:w w:val="105"/>
        </w:rPr>
        <w:t xml:space="preserve"> </w:t>
      </w:r>
      <w:r w:rsidR="00EA7458" w:rsidRPr="00E06806">
        <w:rPr>
          <w:rFonts w:cstheme="minorHAnsi"/>
          <w:color w:val="231F20"/>
          <w:w w:val="105"/>
        </w:rPr>
        <w:t>and</w:t>
      </w:r>
      <w:r w:rsidR="00EA7458" w:rsidRPr="005F0EE6">
        <w:rPr>
          <w:rFonts w:cstheme="minorHAnsi"/>
          <w:color w:val="231F20"/>
          <w:w w:val="105"/>
        </w:rPr>
        <w:t xml:space="preserve"> </w:t>
      </w:r>
      <w:r w:rsidR="00EA7458" w:rsidRPr="00E06806">
        <w:rPr>
          <w:rFonts w:cstheme="minorHAnsi"/>
          <w:color w:val="231F20"/>
          <w:w w:val="105"/>
        </w:rPr>
        <w:t>information.</w:t>
      </w:r>
      <w:r w:rsidR="00EA7458" w:rsidRPr="005F0EE6">
        <w:rPr>
          <w:rFonts w:cstheme="minorHAnsi"/>
          <w:color w:val="231F20"/>
          <w:w w:val="105"/>
        </w:rPr>
        <w:t xml:space="preserve"> </w:t>
      </w:r>
      <w:r w:rsidR="00EA7458" w:rsidRPr="00E06806">
        <w:rPr>
          <w:rFonts w:cstheme="minorHAnsi"/>
          <w:color w:val="231F20"/>
          <w:w w:val="105"/>
        </w:rPr>
        <w:t>The</w:t>
      </w:r>
      <w:r w:rsidR="00EA7458" w:rsidRPr="005F0EE6">
        <w:rPr>
          <w:rFonts w:cstheme="minorHAnsi"/>
          <w:color w:val="231F20"/>
          <w:w w:val="105"/>
        </w:rPr>
        <w:t xml:space="preserve"> </w:t>
      </w:r>
      <w:r w:rsidR="00EA7458" w:rsidRPr="00E06806">
        <w:rPr>
          <w:rFonts w:cstheme="minorHAnsi"/>
          <w:color w:val="231F20"/>
          <w:w w:val="105"/>
        </w:rPr>
        <w:t>portal</w:t>
      </w:r>
      <w:r w:rsidR="00F15785" w:rsidRPr="00E06806">
        <w:rPr>
          <w:rFonts w:cstheme="minorHAnsi"/>
          <w:color w:val="231F20"/>
          <w:w w:val="105"/>
        </w:rPr>
        <w:t xml:space="preserve">’s </w:t>
      </w:r>
      <w:r w:rsidR="005E1339">
        <w:rPr>
          <w:rFonts w:cstheme="minorHAnsi"/>
          <w:color w:val="231F20"/>
          <w:w w:val="105"/>
        </w:rPr>
        <w:t>h</w:t>
      </w:r>
      <w:r w:rsidR="00EA7458" w:rsidRPr="00E06806">
        <w:rPr>
          <w:rFonts w:cstheme="minorHAnsi"/>
          <w:color w:val="231F20"/>
          <w:w w:val="105"/>
        </w:rPr>
        <w:t>elp</w:t>
      </w:r>
      <w:r w:rsidR="00EA7458" w:rsidRPr="005F0EE6">
        <w:rPr>
          <w:rFonts w:cstheme="minorHAnsi"/>
          <w:color w:val="231F20"/>
          <w:w w:val="105"/>
        </w:rPr>
        <w:t xml:space="preserve"> </w:t>
      </w:r>
      <w:r w:rsidR="005E1339">
        <w:rPr>
          <w:rFonts w:cstheme="minorHAnsi"/>
          <w:color w:val="231F20"/>
          <w:w w:val="105"/>
        </w:rPr>
        <w:t>d</w:t>
      </w:r>
      <w:r w:rsidR="00EA7458" w:rsidRPr="00E06806">
        <w:rPr>
          <w:rFonts w:cstheme="minorHAnsi"/>
          <w:color w:val="231F20"/>
          <w:w w:val="105"/>
        </w:rPr>
        <w:t>esk</w:t>
      </w:r>
      <w:r w:rsidR="00EA7458" w:rsidRPr="005F0EE6">
        <w:rPr>
          <w:rFonts w:cstheme="minorHAnsi"/>
          <w:color w:val="231F20"/>
          <w:w w:val="105"/>
        </w:rPr>
        <w:t xml:space="preserve"> </w:t>
      </w:r>
      <w:r w:rsidR="00EA7458" w:rsidRPr="00E06806">
        <w:rPr>
          <w:rFonts w:cstheme="minorHAnsi"/>
          <w:color w:val="231F20"/>
          <w:w w:val="105"/>
        </w:rPr>
        <w:t>is</w:t>
      </w:r>
      <w:r w:rsidR="00EA7458" w:rsidRPr="005F0EE6">
        <w:rPr>
          <w:rFonts w:cstheme="minorHAnsi"/>
          <w:color w:val="231F20"/>
          <w:w w:val="105"/>
        </w:rPr>
        <w:t xml:space="preserve"> </w:t>
      </w:r>
      <w:r w:rsidR="00EA7458" w:rsidRPr="00E06806">
        <w:rPr>
          <w:rFonts w:cstheme="minorHAnsi"/>
          <w:color w:val="231F20"/>
          <w:w w:val="105"/>
        </w:rPr>
        <w:t>operated</w:t>
      </w:r>
      <w:r w:rsidR="00EA7458" w:rsidRPr="005F0EE6">
        <w:rPr>
          <w:rFonts w:cstheme="minorHAnsi"/>
          <w:color w:val="231F20"/>
          <w:w w:val="105"/>
        </w:rPr>
        <w:t xml:space="preserve"> </w:t>
      </w:r>
      <w:r w:rsidR="00EA7458" w:rsidRPr="00E06806">
        <w:rPr>
          <w:rFonts w:cstheme="minorHAnsi"/>
          <w:color w:val="231F20"/>
          <w:w w:val="105"/>
        </w:rPr>
        <w:t>by</w:t>
      </w:r>
      <w:r w:rsidR="00EA7458" w:rsidRPr="005F0EE6">
        <w:rPr>
          <w:rFonts w:cstheme="minorHAnsi"/>
          <w:color w:val="231F20"/>
          <w:w w:val="105"/>
        </w:rPr>
        <w:t xml:space="preserve"> </w:t>
      </w:r>
      <w:r w:rsidR="00EA7458" w:rsidRPr="00E06806">
        <w:rPr>
          <w:rFonts w:cstheme="minorHAnsi"/>
          <w:color w:val="231F20"/>
          <w:w w:val="105"/>
        </w:rPr>
        <w:t>VR</w:t>
      </w:r>
      <w:r w:rsidR="00EA7458" w:rsidRPr="005F0EE6">
        <w:rPr>
          <w:rFonts w:cstheme="minorHAnsi"/>
          <w:color w:val="231F20"/>
          <w:w w:val="105"/>
        </w:rPr>
        <w:t xml:space="preserve"> </w:t>
      </w:r>
      <w:r w:rsidR="00EA7458" w:rsidRPr="00E06806">
        <w:rPr>
          <w:rFonts w:cstheme="minorHAnsi"/>
          <w:color w:val="231F20"/>
          <w:w w:val="105"/>
        </w:rPr>
        <w:t>staff</w:t>
      </w:r>
      <w:r w:rsidR="00EA7458" w:rsidRPr="005F0EE6">
        <w:rPr>
          <w:rFonts w:cstheme="minorHAnsi"/>
          <w:color w:val="231F20"/>
          <w:w w:val="105"/>
        </w:rPr>
        <w:t xml:space="preserve"> </w:t>
      </w:r>
      <w:r w:rsidR="00EA7458" w:rsidRPr="00E06806">
        <w:rPr>
          <w:rFonts w:cstheme="minorHAnsi"/>
          <w:color w:val="231F20"/>
          <w:w w:val="105"/>
        </w:rPr>
        <w:t>with</w:t>
      </w:r>
      <w:r w:rsidR="00EA7458" w:rsidRPr="005F0EE6">
        <w:rPr>
          <w:rFonts w:cstheme="minorHAnsi"/>
          <w:color w:val="231F20"/>
          <w:w w:val="105"/>
        </w:rPr>
        <w:t xml:space="preserve"> </w:t>
      </w:r>
      <w:r w:rsidR="00EA7458" w:rsidRPr="00E06806">
        <w:rPr>
          <w:rFonts w:cstheme="minorHAnsi"/>
          <w:color w:val="231F20"/>
          <w:w w:val="105"/>
        </w:rPr>
        <w:t>specialized</w:t>
      </w:r>
      <w:r w:rsidR="00EA7458" w:rsidRPr="005F0EE6">
        <w:rPr>
          <w:rFonts w:cstheme="minorHAnsi"/>
          <w:color w:val="231F20"/>
          <w:w w:val="105"/>
        </w:rPr>
        <w:t xml:space="preserve"> </w:t>
      </w:r>
      <w:r w:rsidR="00EA7458" w:rsidRPr="00E06806">
        <w:rPr>
          <w:rFonts w:cstheme="minorHAnsi"/>
          <w:color w:val="231F20"/>
          <w:w w:val="105"/>
        </w:rPr>
        <w:t>knowledge</w:t>
      </w:r>
      <w:r w:rsidR="00EA7458" w:rsidRPr="005F0EE6">
        <w:rPr>
          <w:rFonts w:cstheme="minorHAnsi"/>
          <w:color w:val="231F20"/>
          <w:w w:val="105"/>
        </w:rPr>
        <w:t xml:space="preserve"> </w:t>
      </w:r>
      <w:r w:rsidR="00EA7458" w:rsidRPr="00E06806">
        <w:rPr>
          <w:rFonts w:cstheme="minorHAnsi"/>
          <w:color w:val="231F20"/>
          <w:w w:val="105"/>
        </w:rPr>
        <w:t>in</w:t>
      </w:r>
      <w:r w:rsidR="00EA7458" w:rsidRPr="005F0EE6">
        <w:rPr>
          <w:rFonts w:cstheme="minorHAnsi"/>
          <w:color w:val="231F20"/>
          <w:w w:val="105"/>
        </w:rPr>
        <w:t xml:space="preserve"> </w:t>
      </w:r>
      <w:r w:rsidR="00EA7458" w:rsidRPr="00E06806">
        <w:rPr>
          <w:rFonts w:cstheme="minorHAnsi"/>
          <w:color w:val="231F20"/>
          <w:w w:val="105"/>
        </w:rPr>
        <w:t>disability</w:t>
      </w:r>
      <w:r w:rsidR="00EA7458" w:rsidRPr="005F0EE6">
        <w:rPr>
          <w:rFonts w:cstheme="minorHAnsi"/>
          <w:color w:val="231F20"/>
          <w:w w:val="105"/>
        </w:rPr>
        <w:t xml:space="preserve"> </w:t>
      </w:r>
      <w:r w:rsidR="00EA7458" w:rsidRPr="00E06806">
        <w:rPr>
          <w:rFonts w:cstheme="minorHAnsi"/>
          <w:color w:val="231F20"/>
          <w:w w:val="105"/>
        </w:rPr>
        <w:t>resources</w:t>
      </w:r>
      <w:r w:rsidR="00EA7458" w:rsidRPr="005F0EE6">
        <w:rPr>
          <w:rFonts w:cstheme="minorHAnsi"/>
          <w:color w:val="231F20"/>
          <w:w w:val="105"/>
        </w:rPr>
        <w:t xml:space="preserve"> </w:t>
      </w:r>
      <w:r w:rsidR="004358E3">
        <w:rPr>
          <w:rFonts w:cstheme="minorHAnsi"/>
          <w:color w:val="231F20"/>
          <w:w w:val="105"/>
        </w:rPr>
        <w:t>who can</w:t>
      </w:r>
      <w:r w:rsidR="00EA7458" w:rsidRPr="005F0EE6">
        <w:rPr>
          <w:rFonts w:cstheme="minorHAnsi"/>
          <w:color w:val="231F20"/>
          <w:w w:val="105"/>
        </w:rPr>
        <w:t xml:space="preserve"> </w:t>
      </w:r>
      <w:r w:rsidR="00EA7458" w:rsidRPr="00E06806">
        <w:rPr>
          <w:rFonts w:cstheme="minorHAnsi"/>
          <w:color w:val="231F20"/>
          <w:w w:val="105"/>
        </w:rPr>
        <w:t>guide</w:t>
      </w:r>
      <w:r w:rsidR="00EA7458" w:rsidRPr="005F0EE6">
        <w:rPr>
          <w:rFonts w:cstheme="minorHAnsi"/>
          <w:color w:val="231F20"/>
          <w:w w:val="105"/>
        </w:rPr>
        <w:t xml:space="preserve"> </w:t>
      </w:r>
      <w:r w:rsidR="00EA7458" w:rsidRPr="00E06806">
        <w:rPr>
          <w:rFonts w:cstheme="minorHAnsi"/>
          <w:color w:val="231F20"/>
          <w:w w:val="105"/>
        </w:rPr>
        <w:t>job</w:t>
      </w:r>
      <w:r w:rsidR="00EA7458" w:rsidRPr="005F0EE6">
        <w:rPr>
          <w:rFonts w:cstheme="minorHAnsi"/>
          <w:color w:val="231F20"/>
          <w:w w:val="105"/>
        </w:rPr>
        <w:t xml:space="preserve"> </w:t>
      </w:r>
      <w:r w:rsidR="00EA7458" w:rsidRPr="00E06806">
        <w:rPr>
          <w:rFonts w:cstheme="minorHAnsi"/>
          <w:color w:val="231F20"/>
          <w:w w:val="105"/>
        </w:rPr>
        <w:t>seekers</w:t>
      </w:r>
      <w:r w:rsidR="00EA7458" w:rsidRPr="005F0EE6">
        <w:rPr>
          <w:rFonts w:cstheme="minorHAnsi"/>
          <w:color w:val="231F20"/>
          <w:w w:val="105"/>
        </w:rPr>
        <w:t xml:space="preserve"> </w:t>
      </w:r>
      <w:r w:rsidR="00EA7458" w:rsidRPr="00E06806">
        <w:rPr>
          <w:rFonts w:cstheme="minorHAnsi"/>
          <w:color w:val="231F20"/>
          <w:w w:val="105"/>
        </w:rPr>
        <w:t>and</w:t>
      </w:r>
      <w:r w:rsidR="00EA7458" w:rsidRPr="005F0EE6">
        <w:rPr>
          <w:rFonts w:cstheme="minorHAnsi"/>
          <w:color w:val="231F20"/>
          <w:w w:val="105"/>
        </w:rPr>
        <w:t xml:space="preserve"> </w:t>
      </w:r>
      <w:r w:rsidR="00EA7458" w:rsidRPr="00E06806">
        <w:rPr>
          <w:rFonts w:cstheme="minorHAnsi"/>
          <w:color w:val="231F20"/>
          <w:w w:val="105"/>
        </w:rPr>
        <w:t>employers</w:t>
      </w:r>
      <w:r w:rsidR="00EA7458" w:rsidRPr="005F0EE6">
        <w:rPr>
          <w:rFonts w:cstheme="minorHAnsi"/>
          <w:color w:val="231F20"/>
          <w:w w:val="105"/>
        </w:rPr>
        <w:t xml:space="preserve"> </w:t>
      </w:r>
      <w:r w:rsidRPr="00E06806">
        <w:rPr>
          <w:rFonts w:cstheme="minorHAnsi"/>
          <w:color w:val="231F20"/>
          <w:w w:val="105"/>
        </w:rPr>
        <w:t xml:space="preserve">navigating </w:t>
      </w:r>
      <w:r w:rsidR="00EA7458" w:rsidRPr="00E06806">
        <w:rPr>
          <w:rFonts w:cstheme="minorHAnsi"/>
          <w:color w:val="231F20"/>
          <w:w w:val="105"/>
        </w:rPr>
        <w:t>the</w:t>
      </w:r>
      <w:r w:rsidR="00EA7458" w:rsidRPr="005F0EE6">
        <w:rPr>
          <w:rFonts w:cstheme="minorHAnsi"/>
          <w:color w:val="231F20"/>
          <w:w w:val="105"/>
        </w:rPr>
        <w:t xml:space="preserve"> </w:t>
      </w:r>
      <w:r w:rsidR="00EA7458" w:rsidRPr="00E06806">
        <w:rPr>
          <w:rFonts w:cstheme="minorHAnsi"/>
          <w:color w:val="231F20"/>
          <w:w w:val="105"/>
        </w:rPr>
        <w:t>employment</w:t>
      </w:r>
      <w:r w:rsidR="00EA7458" w:rsidRPr="005F0EE6">
        <w:rPr>
          <w:rFonts w:cstheme="minorHAnsi"/>
          <w:color w:val="231F20"/>
          <w:w w:val="105"/>
        </w:rPr>
        <w:t xml:space="preserve"> </w:t>
      </w:r>
      <w:r w:rsidR="00EA7458" w:rsidRPr="00E06806">
        <w:rPr>
          <w:rFonts w:cstheme="minorHAnsi"/>
          <w:color w:val="231F20"/>
          <w:w w:val="105"/>
        </w:rPr>
        <w:t>system.</w:t>
      </w:r>
      <w:r w:rsidR="00EA7458" w:rsidRPr="005F0EE6">
        <w:rPr>
          <w:rFonts w:cstheme="minorHAnsi"/>
          <w:color w:val="231F20"/>
          <w:w w:val="105"/>
        </w:rPr>
        <w:t xml:space="preserve"> </w:t>
      </w:r>
      <w:r w:rsidR="00EA7458" w:rsidRPr="00E06806">
        <w:rPr>
          <w:rFonts w:cstheme="minorHAnsi"/>
          <w:color w:val="231F20"/>
          <w:w w:val="105"/>
        </w:rPr>
        <w:t>DEO</w:t>
      </w:r>
      <w:r w:rsidR="00EA7458" w:rsidRPr="005F0EE6">
        <w:rPr>
          <w:rFonts w:cstheme="minorHAnsi"/>
          <w:color w:val="231F20"/>
          <w:w w:val="105"/>
        </w:rPr>
        <w:t xml:space="preserve"> </w:t>
      </w:r>
      <w:r w:rsidRPr="005F0EE6">
        <w:rPr>
          <w:rFonts w:cstheme="minorHAnsi"/>
          <w:color w:val="231F20"/>
          <w:w w:val="105"/>
        </w:rPr>
        <w:t xml:space="preserve">and these partners </w:t>
      </w:r>
      <w:r w:rsidR="00EA7458" w:rsidRPr="00E06806">
        <w:rPr>
          <w:rFonts w:cstheme="minorHAnsi"/>
          <w:color w:val="231F20"/>
          <w:w w:val="105"/>
        </w:rPr>
        <w:t>continue</w:t>
      </w:r>
      <w:r w:rsidR="00EA7458" w:rsidRPr="005F0EE6">
        <w:rPr>
          <w:rFonts w:cstheme="minorHAnsi"/>
          <w:color w:val="231F20"/>
          <w:w w:val="105"/>
        </w:rPr>
        <w:t xml:space="preserve"> </w:t>
      </w:r>
      <w:r w:rsidRPr="00E06806">
        <w:rPr>
          <w:rFonts w:cstheme="minorHAnsi"/>
          <w:color w:val="231F20"/>
          <w:w w:val="105"/>
        </w:rPr>
        <w:t xml:space="preserve">monitoring the web portal </w:t>
      </w:r>
      <w:r w:rsidR="00EA7458" w:rsidRPr="00E06806">
        <w:rPr>
          <w:rFonts w:cstheme="minorHAnsi"/>
          <w:color w:val="231F20"/>
          <w:w w:val="105"/>
        </w:rPr>
        <w:t>and</w:t>
      </w:r>
      <w:r w:rsidR="00EA7458" w:rsidRPr="005F0EE6">
        <w:rPr>
          <w:rFonts w:cstheme="minorHAnsi"/>
          <w:color w:val="231F20"/>
          <w:w w:val="105"/>
        </w:rPr>
        <w:t xml:space="preserve"> </w:t>
      </w:r>
      <w:r w:rsidR="00EA7458" w:rsidRPr="00E06806">
        <w:rPr>
          <w:rFonts w:cstheme="minorHAnsi"/>
          <w:color w:val="231F20"/>
          <w:w w:val="105"/>
        </w:rPr>
        <w:t>make</w:t>
      </w:r>
      <w:r w:rsidR="00EA7458" w:rsidRPr="005F0EE6">
        <w:rPr>
          <w:rFonts w:cstheme="minorHAnsi"/>
          <w:color w:val="231F20"/>
          <w:w w:val="105"/>
        </w:rPr>
        <w:t xml:space="preserve"> </w:t>
      </w:r>
      <w:r w:rsidR="00EA7458" w:rsidRPr="00E06806">
        <w:rPr>
          <w:rFonts w:cstheme="minorHAnsi"/>
          <w:color w:val="231F20"/>
          <w:w w:val="105"/>
        </w:rPr>
        <w:t>improvements</w:t>
      </w:r>
      <w:r w:rsidR="00EA7458" w:rsidRPr="005F0EE6">
        <w:rPr>
          <w:rFonts w:cstheme="minorHAnsi"/>
          <w:color w:val="231F20"/>
          <w:w w:val="105"/>
        </w:rPr>
        <w:t xml:space="preserve"> </w:t>
      </w:r>
      <w:r w:rsidR="00EA7458" w:rsidRPr="00E06806">
        <w:rPr>
          <w:rFonts w:cstheme="minorHAnsi"/>
          <w:color w:val="231F20"/>
          <w:w w:val="105"/>
        </w:rPr>
        <w:t>in</w:t>
      </w:r>
      <w:r w:rsidR="00EA7458" w:rsidRPr="005F0EE6">
        <w:rPr>
          <w:rFonts w:cstheme="minorHAnsi"/>
          <w:color w:val="231F20"/>
          <w:w w:val="105"/>
        </w:rPr>
        <w:t xml:space="preserve"> </w:t>
      </w:r>
      <w:r w:rsidR="00EA7458" w:rsidRPr="00E06806">
        <w:rPr>
          <w:rFonts w:cstheme="minorHAnsi"/>
          <w:color w:val="231F20"/>
          <w:w w:val="105"/>
        </w:rPr>
        <w:t>response</w:t>
      </w:r>
      <w:r w:rsidR="00EA7458" w:rsidRPr="005F0EE6">
        <w:rPr>
          <w:rFonts w:cstheme="minorHAnsi"/>
          <w:color w:val="231F20"/>
          <w:w w:val="105"/>
        </w:rPr>
        <w:t xml:space="preserve"> </w:t>
      </w:r>
      <w:r w:rsidR="00EA7458" w:rsidRPr="00E06806">
        <w:rPr>
          <w:rFonts w:cstheme="minorHAnsi"/>
          <w:color w:val="231F20"/>
          <w:w w:val="105"/>
        </w:rPr>
        <w:t>to</w:t>
      </w:r>
      <w:r w:rsidR="00EA7458" w:rsidRPr="005F0EE6">
        <w:rPr>
          <w:rFonts w:cstheme="minorHAnsi"/>
          <w:color w:val="231F20"/>
          <w:w w:val="105"/>
        </w:rPr>
        <w:t xml:space="preserve"> </w:t>
      </w:r>
      <w:r w:rsidR="00EA7458" w:rsidRPr="00E06806">
        <w:rPr>
          <w:rFonts w:cstheme="minorHAnsi"/>
          <w:color w:val="231F20"/>
          <w:w w:val="105"/>
        </w:rPr>
        <w:t>suggestions</w:t>
      </w:r>
      <w:r w:rsidR="00EA7458" w:rsidRPr="005F0EE6">
        <w:rPr>
          <w:rFonts w:cstheme="minorHAnsi"/>
          <w:color w:val="231F20"/>
          <w:w w:val="105"/>
        </w:rPr>
        <w:t xml:space="preserve"> </w:t>
      </w:r>
      <w:r w:rsidR="00EA7458" w:rsidRPr="00E06806">
        <w:rPr>
          <w:rFonts w:cstheme="minorHAnsi"/>
          <w:color w:val="231F20"/>
          <w:w w:val="105"/>
        </w:rPr>
        <w:t>from</w:t>
      </w:r>
      <w:r w:rsidR="00EA7458" w:rsidRPr="005F0EE6">
        <w:rPr>
          <w:rFonts w:cstheme="minorHAnsi"/>
          <w:color w:val="231F20"/>
          <w:w w:val="105"/>
        </w:rPr>
        <w:t xml:space="preserve"> </w:t>
      </w:r>
      <w:r w:rsidR="00EA7458" w:rsidRPr="00E06806">
        <w:rPr>
          <w:rFonts w:cstheme="minorHAnsi"/>
          <w:color w:val="231F20"/>
          <w:w w:val="105"/>
        </w:rPr>
        <w:t xml:space="preserve">users and </w:t>
      </w:r>
      <w:r w:rsidRPr="00E06806">
        <w:rPr>
          <w:rFonts w:cstheme="minorHAnsi"/>
          <w:color w:val="231F20"/>
          <w:w w:val="105"/>
        </w:rPr>
        <w:t>staff.</w:t>
      </w:r>
    </w:p>
    <w:p w14:paraId="70DBF1F7" w14:textId="43CF5BE7" w:rsidR="007247F3" w:rsidRDefault="007247F3" w:rsidP="00D63204">
      <w:pPr>
        <w:widowControl w:val="0"/>
        <w:spacing w:after="0" w:line="264" w:lineRule="exact"/>
        <w:ind w:left="107"/>
        <w:rPr>
          <w:rFonts w:cstheme="minorHAnsi"/>
          <w:color w:val="231F20"/>
          <w:w w:val="110"/>
        </w:rPr>
      </w:pPr>
    </w:p>
    <w:p w14:paraId="3070F0DA" w14:textId="4E65F461" w:rsidR="00ED6BF9" w:rsidRPr="00156950" w:rsidRDefault="00F15785" w:rsidP="00D63204">
      <w:pPr>
        <w:widowControl w:val="0"/>
        <w:spacing w:after="0" w:line="264" w:lineRule="exact"/>
        <w:ind w:left="107"/>
        <w:rPr>
          <w:rFonts w:cstheme="minorHAnsi"/>
          <w:color w:val="231F20"/>
          <w:w w:val="105"/>
        </w:rPr>
      </w:pPr>
      <w:r w:rsidRPr="00156950">
        <w:rPr>
          <w:rFonts w:cstheme="minorHAnsi"/>
          <w:color w:val="231F20"/>
          <w:w w:val="105"/>
        </w:rPr>
        <w:t>Re</w:t>
      </w:r>
      <w:r w:rsidR="00EA7458" w:rsidRPr="00156950">
        <w:rPr>
          <w:rFonts w:cstheme="minorHAnsi"/>
          <w:color w:val="231F20"/>
          <w:w w:val="105"/>
        </w:rPr>
        <w:t>sources described above provide a strong foundation for accessibility in the CareerSource Florida Network service delivery system. To support and strengthen existing resources, DEO’s Office of Civil Rights (OCR) conducts regular onsite and desktop reviews of each LWDB’s compliance with the</w:t>
      </w:r>
      <w:r w:rsidR="00B46232" w:rsidRPr="00156950">
        <w:rPr>
          <w:rFonts w:cstheme="minorHAnsi"/>
          <w:color w:val="231F20"/>
          <w:w w:val="105"/>
        </w:rPr>
        <w:t xml:space="preserve"> </w:t>
      </w:r>
      <w:r w:rsidR="00EA7458" w:rsidRPr="00E06806">
        <w:rPr>
          <w:rFonts w:cstheme="minorHAnsi"/>
          <w:color w:val="231F20"/>
          <w:w w:val="105"/>
        </w:rPr>
        <w:t>Americans</w:t>
      </w:r>
      <w:r w:rsidR="00EA7458" w:rsidRPr="00156950">
        <w:rPr>
          <w:rFonts w:cstheme="minorHAnsi"/>
          <w:color w:val="231F20"/>
          <w:w w:val="105"/>
        </w:rPr>
        <w:t xml:space="preserve"> </w:t>
      </w:r>
      <w:r w:rsidR="00EA7458" w:rsidRPr="00E06806">
        <w:rPr>
          <w:rFonts w:cstheme="minorHAnsi"/>
          <w:color w:val="231F20"/>
          <w:w w:val="105"/>
        </w:rPr>
        <w:t>with</w:t>
      </w:r>
      <w:r w:rsidR="00EA7458" w:rsidRPr="00156950">
        <w:rPr>
          <w:rFonts w:cstheme="minorHAnsi"/>
          <w:color w:val="231F20"/>
          <w:w w:val="105"/>
        </w:rPr>
        <w:t xml:space="preserve"> </w:t>
      </w:r>
      <w:r w:rsidR="00EA7458" w:rsidRPr="00E06806">
        <w:rPr>
          <w:rFonts w:cstheme="minorHAnsi"/>
          <w:color w:val="231F20"/>
          <w:w w:val="105"/>
        </w:rPr>
        <w:t>Disabilities</w:t>
      </w:r>
      <w:r w:rsidR="00EA7458" w:rsidRPr="00156950">
        <w:rPr>
          <w:rFonts w:cstheme="minorHAnsi"/>
          <w:color w:val="231F20"/>
          <w:w w:val="105"/>
        </w:rPr>
        <w:t xml:space="preserve"> </w:t>
      </w:r>
      <w:r w:rsidR="00EA7458" w:rsidRPr="00E06806">
        <w:rPr>
          <w:rFonts w:cstheme="minorHAnsi"/>
          <w:color w:val="231F20"/>
          <w:w w:val="105"/>
        </w:rPr>
        <w:t>Act</w:t>
      </w:r>
      <w:r w:rsidR="00EA7458" w:rsidRPr="00156950">
        <w:rPr>
          <w:rFonts w:cstheme="minorHAnsi"/>
          <w:color w:val="231F20"/>
          <w:w w:val="105"/>
        </w:rPr>
        <w:t xml:space="preserve"> </w:t>
      </w:r>
      <w:r w:rsidR="00EA7458" w:rsidRPr="00E06806">
        <w:rPr>
          <w:rFonts w:cstheme="minorHAnsi"/>
          <w:color w:val="231F20"/>
          <w:w w:val="105"/>
        </w:rPr>
        <w:t>(ADA)</w:t>
      </w:r>
      <w:r w:rsidR="00EA7458" w:rsidRPr="00156950">
        <w:rPr>
          <w:rFonts w:cstheme="minorHAnsi"/>
          <w:color w:val="231F20"/>
          <w:w w:val="105"/>
        </w:rPr>
        <w:t xml:space="preserve"> </w:t>
      </w:r>
      <w:r w:rsidR="00EA7458" w:rsidRPr="00E06806">
        <w:rPr>
          <w:rFonts w:cstheme="minorHAnsi"/>
          <w:color w:val="231F20"/>
          <w:w w:val="105"/>
        </w:rPr>
        <w:t>of</w:t>
      </w:r>
      <w:r w:rsidR="00EA7458" w:rsidRPr="00156950">
        <w:rPr>
          <w:rFonts w:cstheme="minorHAnsi"/>
          <w:color w:val="231F20"/>
          <w:w w:val="105"/>
        </w:rPr>
        <w:t xml:space="preserve"> </w:t>
      </w:r>
      <w:r w:rsidR="00EA7458" w:rsidRPr="00E06806">
        <w:rPr>
          <w:rFonts w:cstheme="minorHAnsi"/>
          <w:color w:val="231F20"/>
          <w:w w:val="105"/>
        </w:rPr>
        <w:t>1990,</w:t>
      </w:r>
      <w:r w:rsidR="00EA7458" w:rsidRPr="00156950">
        <w:rPr>
          <w:rFonts w:cstheme="minorHAnsi"/>
          <w:color w:val="231F20"/>
          <w:w w:val="105"/>
        </w:rPr>
        <w:t xml:space="preserve"> </w:t>
      </w:r>
      <w:r w:rsidR="00EA7458" w:rsidRPr="00E06806">
        <w:rPr>
          <w:rFonts w:cstheme="minorHAnsi"/>
          <w:color w:val="231F20"/>
          <w:w w:val="105"/>
        </w:rPr>
        <w:t>as</w:t>
      </w:r>
      <w:r w:rsidR="00EA7458" w:rsidRPr="00156950">
        <w:rPr>
          <w:rFonts w:cstheme="minorHAnsi"/>
          <w:color w:val="231F20"/>
          <w:w w:val="105"/>
        </w:rPr>
        <w:t xml:space="preserve"> </w:t>
      </w:r>
      <w:r w:rsidR="00EA7458" w:rsidRPr="00E06806">
        <w:rPr>
          <w:rFonts w:cstheme="minorHAnsi"/>
          <w:color w:val="231F20"/>
          <w:w w:val="105"/>
        </w:rPr>
        <w:t>amended</w:t>
      </w:r>
      <w:r w:rsidR="00D5537E">
        <w:rPr>
          <w:rFonts w:cstheme="minorHAnsi"/>
          <w:color w:val="231F20"/>
          <w:w w:val="105"/>
        </w:rPr>
        <w:t xml:space="preserve"> and</w:t>
      </w:r>
      <w:r w:rsidR="00EA7458" w:rsidRPr="00156950">
        <w:rPr>
          <w:rFonts w:cstheme="minorHAnsi"/>
          <w:color w:val="231F20"/>
          <w:w w:val="105"/>
        </w:rPr>
        <w:t xml:space="preserve"> </w:t>
      </w:r>
      <w:r w:rsidR="00EA7458" w:rsidRPr="00E06806">
        <w:rPr>
          <w:rFonts w:cstheme="minorHAnsi"/>
          <w:color w:val="231F20"/>
          <w:w w:val="105"/>
        </w:rPr>
        <w:t>29</w:t>
      </w:r>
      <w:r w:rsidR="00EA7458" w:rsidRPr="00156950">
        <w:rPr>
          <w:rFonts w:cstheme="minorHAnsi"/>
          <w:color w:val="231F20"/>
          <w:w w:val="105"/>
        </w:rPr>
        <w:t xml:space="preserve"> </w:t>
      </w:r>
      <w:r w:rsidR="00EA7458" w:rsidRPr="00E06806">
        <w:rPr>
          <w:rFonts w:cstheme="minorHAnsi"/>
          <w:color w:val="231F20"/>
          <w:w w:val="105"/>
        </w:rPr>
        <w:t>CFR</w:t>
      </w:r>
      <w:r w:rsidR="00EA7458" w:rsidRPr="00156950">
        <w:rPr>
          <w:rFonts w:cstheme="minorHAnsi"/>
          <w:color w:val="231F20"/>
          <w:w w:val="105"/>
        </w:rPr>
        <w:t xml:space="preserve"> </w:t>
      </w:r>
      <w:r w:rsidR="00EA7458" w:rsidRPr="00E06806">
        <w:rPr>
          <w:rFonts w:cstheme="minorHAnsi"/>
          <w:color w:val="231F20"/>
          <w:w w:val="105"/>
        </w:rPr>
        <w:t>Parts</w:t>
      </w:r>
      <w:r w:rsidR="00EA7458" w:rsidRPr="00156950">
        <w:rPr>
          <w:rFonts w:cstheme="minorHAnsi"/>
          <w:color w:val="231F20"/>
          <w:w w:val="105"/>
        </w:rPr>
        <w:t xml:space="preserve"> </w:t>
      </w:r>
      <w:r w:rsidR="00EA7458" w:rsidRPr="00E06806">
        <w:rPr>
          <w:rFonts w:cstheme="minorHAnsi"/>
          <w:color w:val="231F20"/>
          <w:w w:val="105"/>
        </w:rPr>
        <w:t>32</w:t>
      </w:r>
      <w:r w:rsidR="00EA7458" w:rsidRPr="00156950">
        <w:rPr>
          <w:rFonts w:cstheme="minorHAnsi"/>
          <w:color w:val="231F20"/>
          <w:w w:val="105"/>
        </w:rPr>
        <w:t xml:space="preserve"> </w:t>
      </w:r>
      <w:r w:rsidR="00EA7458" w:rsidRPr="00E06806">
        <w:rPr>
          <w:rFonts w:cstheme="minorHAnsi"/>
          <w:color w:val="231F20"/>
          <w:w w:val="105"/>
        </w:rPr>
        <w:t>and</w:t>
      </w:r>
      <w:r w:rsidR="00EA7458" w:rsidRPr="00156950">
        <w:rPr>
          <w:rFonts w:cstheme="minorHAnsi"/>
          <w:color w:val="231F20"/>
          <w:w w:val="105"/>
        </w:rPr>
        <w:t xml:space="preserve"> 37. </w:t>
      </w:r>
    </w:p>
    <w:p w14:paraId="77D4A466" w14:textId="77777777" w:rsidR="00ED6BF9" w:rsidRPr="00E06806" w:rsidRDefault="00ED6BF9" w:rsidP="00D63204">
      <w:pPr>
        <w:widowControl w:val="0"/>
        <w:spacing w:after="0" w:line="264" w:lineRule="exact"/>
        <w:ind w:left="107"/>
        <w:rPr>
          <w:rFonts w:cstheme="minorHAnsi"/>
          <w:color w:val="231F20"/>
          <w:spacing w:val="12"/>
          <w:w w:val="105"/>
        </w:rPr>
      </w:pPr>
    </w:p>
    <w:p w14:paraId="33B3C8A7" w14:textId="0D5A9571" w:rsidR="00EA7458" w:rsidRDefault="00EA7458" w:rsidP="00D63204">
      <w:pPr>
        <w:widowControl w:val="0"/>
        <w:spacing w:after="0" w:line="264" w:lineRule="exact"/>
        <w:ind w:left="107"/>
        <w:rPr>
          <w:rFonts w:cstheme="minorHAnsi"/>
          <w:color w:val="231F20"/>
          <w:w w:val="105"/>
        </w:rPr>
      </w:pPr>
      <w:r w:rsidRPr="00156950">
        <w:rPr>
          <w:rFonts w:cstheme="minorHAnsi"/>
          <w:color w:val="231F20"/>
          <w:w w:val="105"/>
        </w:rPr>
        <w:t>LWDBs</w:t>
      </w:r>
      <w:r w:rsidR="00ED6BF9" w:rsidRPr="00156950">
        <w:rPr>
          <w:rFonts w:cstheme="minorHAnsi"/>
          <w:color w:val="231F20"/>
          <w:w w:val="105"/>
        </w:rPr>
        <w:t xml:space="preserve"> </w:t>
      </w:r>
      <w:r w:rsidRPr="00E06806">
        <w:rPr>
          <w:rFonts w:cstheme="minorHAnsi"/>
          <w:color w:val="231F20"/>
          <w:w w:val="105"/>
        </w:rPr>
        <w:t xml:space="preserve">are required to conduct self-audits and participant data analysis to </w:t>
      </w:r>
      <w:r w:rsidR="00BE5946" w:rsidRPr="00E06806">
        <w:rPr>
          <w:rFonts w:cstheme="minorHAnsi"/>
          <w:color w:val="231F20"/>
          <w:w w:val="105"/>
        </w:rPr>
        <w:t xml:space="preserve">annually </w:t>
      </w:r>
      <w:r w:rsidRPr="00E06806">
        <w:rPr>
          <w:rFonts w:cstheme="minorHAnsi"/>
          <w:color w:val="231F20"/>
          <w:w w:val="105"/>
        </w:rPr>
        <w:t>monitor their own compliance with</w:t>
      </w:r>
      <w:r w:rsidRPr="00156950">
        <w:rPr>
          <w:rFonts w:cstheme="minorHAnsi"/>
          <w:color w:val="231F20"/>
          <w:w w:val="105"/>
        </w:rPr>
        <w:t xml:space="preserve"> </w:t>
      </w:r>
      <w:r w:rsidRPr="00E06806">
        <w:rPr>
          <w:rFonts w:cstheme="minorHAnsi"/>
          <w:color w:val="231F20"/>
          <w:w w:val="105"/>
        </w:rPr>
        <w:t>the</w:t>
      </w:r>
      <w:r w:rsidRPr="00156950">
        <w:rPr>
          <w:rFonts w:cstheme="minorHAnsi"/>
          <w:color w:val="231F20"/>
          <w:w w:val="105"/>
        </w:rPr>
        <w:t xml:space="preserve"> ADA</w:t>
      </w:r>
      <w:r w:rsidRPr="00E06806">
        <w:rPr>
          <w:rFonts w:cstheme="minorHAnsi"/>
          <w:color w:val="231F20"/>
          <w:w w:val="105"/>
        </w:rPr>
        <w:t>.</w:t>
      </w:r>
      <w:r w:rsidRPr="00156950">
        <w:rPr>
          <w:rFonts w:cstheme="minorHAnsi"/>
          <w:color w:val="231F20"/>
          <w:w w:val="105"/>
        </w:rPr>
        <w:t xml:space="preserve"> </w:t>
      </w:r>
      <w:r w:rsidRPr="00E06806">
        <w:rPr>
          <w:rFonts w:cstheme="minorHAnsi"/>
          <w:color w:val="231F20"/>
          <w:w w:val="105"/>
        </w:rPr>
        <w:t>The</w:t>
      </w:r>
      <w:r w:rsidRPr="00156950">
        <w:rPr>
          <w:rFonts w:cstheme="minorHAnsi"/>
          <w:color w:val="231F20"/>
          <w:w w:val="105"/>
        </w:rPr>
        <w:t xml:space="preserve"> </w:t>
      </w:r>
      <w:r w:rsidRPr="00E06806">
        <w:rPr>
          <w:rFonts w:cstheme="minorHAnsi"/>
          <w:color w:val="231F20"/>
          <w:w w:val="105"/>
        </w:rPr>
        <w:t>primary</w:t>
      </w:r>
      <w:r w:rsidRPr="00156950">
        <w:rPr>
          <w:rFonts w:cstheme="minorHAnsi"/>
          <w:color w:val="231F20"/>
          <w:w w:val="105"/>
        </w:rPr>
        <w:t xml:space="preserve"> </w:t>
      </w:r>
      <w:r w:rsidRPr="00E06806">
        <w:rPr>
          <w:rFonts w:cstheme="minorHAnsi"/>
          <w:color w:val="231F20"/>
          <w:w w:val="105"/>
        </w:rPr>
        <w:t>compliance</w:t>
      </w:r>
      <w:r w:rsidRPr="00156950">
        <w:rPr>
          <w:rFonts w:cstheme="minorHAnsi"/>
          <w:color w:val="231F20"/>
          <w:w w:val="105"/>
        </w:rPr>
        <w:t xml:space="preserve"> </w:t>
      </w:r>
      <w:r w:rsidRPr="00E06806">
        <w:rPr>
          <w:rFonts w:cstheme="minorHAnsi"/>
          <w:color w:val="231F20"/>
          <w:w w:val="105"/>
        </w:rPr>
        <w:t>criteria</w:t>
      </w:r>
      <w:r w:rsidRPr="00156950">
        <w:rPr>
          <w:rFonts w:cstheme="minorHAnsi"/>
          <w:color w:val="231F20"/>
          <w:w w:val="105"/>
        </w:rPr>
        <w:t xml:space="preserve"> </w:t>
      </w:r>
      <w:r w:rsidRPr="00E06806">
        <w:rPr>
          <w:rFonts w:cstheme="minorHAnsi"/>
          <w:color w:val="231F20"/>
          <w:w w:val="105"/>
        </w:rPr>
        <w:t>are</w:t>
      </w:r>
      <w:r w:rsidRPr="00156950">
        <w:rPr>
          <w:rFonts w:cstheme="minorHAnsi"/>
          <w:color w:val="231F20"/>
          <w:w w:val="105"/>
        </w:rPr>
        <w:t xml:space="preserve"> </w:t>
      </w:r>
      <w:r w:rsidRPr="00E06806">
        <w:rPr>
          <w:rFonts w:cstheme="minorHAnsi"/>
          <w:color w:val="231F20"/>
          <w:w w:val="105"/>
        </w:rPr>
        <w:t>contained</w:t>
      </w:r>
      <w:r w:rsidRPr="00156950">
        <w:rPr>
          <w:rFonts w:cstheme="minorHAnsi"/>
          <w:color w:val="231F20"/>
          <w:w w:val="105"/>
        </w:rPr>
        <w:t xml:space="preserve"> </w:t>
      </w:r>
      <w:r w:rsidRPr="00E06806">
        <w:rPr>
          <w:rFonts w:cstheme="minorHAnsi"/>
          <w:color w:val="231F20"/>
          <w:w w:val="105"/>
        </w:rPr>
        <w:t>in</w:t>
      </w:r>
      <w:r w:rsidRPr="00156950">
        <w:rPr>
          <w:rFonts w:cstheme="minorHAnsi"/>
          <w:color w:val="231F20"/>
          <w:w w:val="105"/>
        </w:rPr>
        <w:t xml:space="preserve"> </w:t>
      </w:r>
      <w:r w:rsidRPr="00E06806">
        <w:rPr>
          <w:rFonts w:cstheme="minorHAnsi"/>
          <w:color w:val="231F20"/>
          <w:w w:val="105"/>
        </w:rPr>
        <w:t>Florida’s</w:t>
      </w:r>
      <w:r w:rsidRPr="00156950">
        <w:rPr>
          <w:rFonts w:cstheme="minorHAnsi"/>
          <w:color w:val="231F20"/>
          <w:w w:val="105"/>
        </w:rPr>
        <w:t xml:space="preserve"> </w:t>
      </w:r>
      <w:r w:rsidRPr="00E06806">
        <w:rPr>
          <w:rFonts w:cstheme="minorHAnsi"/>
          <w:color w:val="231F20"/>
          <w:w w:val="105"/>
        </w:rPr>
        <w:t>Methods</w:t>
      </w:r>
      <w:r w:rsidRPr="00156950">
        <w:rPr>
          <w:rFonts w:cstheme="minorHAnsi"/>
          <w:color w:val="231F20"/>
          <w:w w:val="105"/>
        </w:rPr>
        <w:t xml:space="preserve"> </w:t>
      </w:r>
      <w:r w:rsidRPr="00E06806">
        <w:rPr>
          <w:rFonts w:cstheme="minorHAnsi"/>
          <w:color w:val="231F20"/>
          <w:w w:val="105"/>
        </w:rPr>
        <w:t>of</w:t>
      </w:r>
      <w:r w:rsidRPr="00156950">
        <w:rPr>
          <w:rFonts w:cstheme="minorHAnsi"/>
          <w:color w:val="231F20"/>
          <w:w w:val="105"/>
        </w:rPr>
        <w:t xml:space="preserve"> </w:t>
      </w:r>
      <w:r w:rsidRPr="00E06806">
        <w:rPr>
          <w:rFonts w:cstheme="minorHAnsi"/>
          <w:color w:val="231F20"/>
          <w:w w:val="105"/>
        </w:rPr>
        <w:t>Administration,</w:t>
      </w:r>
      <w:r w:rsidRPr="00156950">
        <w:rPr>
          <w:rFonts w:cstheme="minorHAnsi"/>
          <w:color w:val="231F20"/>
          <w:w w:val="105"/>
        </w:rPr>
        <w:t xml:space="preserve"> </w:t>
      </w:r>
      <w:r w:rsidRPr="00E06806">
        <w:rPr>
          <w:rFonts w:cstheme="minorHAnsi"/>
          <w:color w:val="231F20"/>
          <w:w w:val="105"/>
        </w:rPr>
        <w:t>as</w:t>
      </w:r>
      <w:r w:rsidRPr="00156950">
        <w:rPr>
          <w:rFonts w:cstheme="minorHAnsi"/>
          <w:color w:val="231F20"/>
          <w:w w:val="105"/>
        </w:rPr>
        <w:t xml:space="preserve"> </w:t>
      </w:r>
      <w:r w:rsidRPr="00E06806">
        <w:rPr>
          <w:rFonts w:cstheme="minorHAnsi"/>
          <w:color w:val="231F20"/>
          <w:w w:val="105"/>
        </w:rPr>
        <w:t xml:space="preserve">required by federal equal opportunity regulations. </w:t>
      </w:r>
      <w:r w:rsidR="00BE5946" w:rsidRPr="00E06806">
        <w:rPr>
          <w:rFonts w:cstheme="minorHAnsi"/>
          <w:color w:val="231F20"/>
          <w:w w:val="105"/>
        </w:rPr>
        <w:t xml:space="preserve">To </w:t>
      </w:r>
      <w:r w:rsidRPr="00E06806">
        <w:rPr>
          <w:rFonts w:cstheme="minorHAnsi"/>
          <w:color w:val="231F20"/>
          <w:w w:val="105"/>
        </w:rPr>
        <w:t>obtain meaningful</w:t>
      </w:r>
      <w:r w:rsidRPr="00156950">
        <w:rPr>
          <w:rFonts w:cstheme="minorHAnsi"/>
          <w:color w:val="231F20"/>
          <w:w w:val="105"/>
        </w:rPr>
        <w:t xml:space="preserve"> </w:t>
      </w:r>
      <w:r w:rsidRPr="00E06806">
        <w:rPr>
          <w:rFonts w:cstheme="minorHAnsi"/>
          <w:color w:val="231F20"/>
          <w:w w:val="105"/>
        </w:rPr>
        <w:t>information</w:t>
      </w:r>
      <w:r w:rsidRPr="00156950">
        <w:rPr>
          <w:rFonts w:cstheme="minorHAnsi"/>
          <w:color w:val="231F20"/>
          <w:w w:val="105"/>
        </w:rPr>
        <w:t xml:space="preserve"> </w:t>
      </w:r>
      <w:r w:rsidR="00BE5946" w:rsidRPr="00E06806">
        <w:rPr>
          <w:rFonts w:cstheme="minorHAnsi"/>
          <w:color w:val="231F20"/>
          <w:w w:val="105"/>
        </w:rPr>
        <w:t xml:space="preserve">about </w:t>
      </w:r>
      <w:r w:rsidRPr="00E06806">
        <w:rPr>
          <w:rFonts w:cstheme="minorHAnsi"/>
          <w:color w:val="231F20"/>
          <w:w w:val="105"/>
        </w:rPr>
        <w:t>the</w:t>
      </w:r>
      <w:r w:rsidRPr="00156950">
        <w:rPr>
          <w:rFonts w:cstheme="minorHAnsi"/>
          <w:color w:val="231F20"/>
          <w:w w:val="105"/>
        </w:rPr>
        <w:t xml:space="preserve"> </w:t>
      </w:r>
      <w:r w:rsidRPr="00E06806">
        <w:rPr>
          <w:rFonts w:cstheme="minorHAnsi"/>
          <w:color w:val="231F20"/>
          <w:w w:val="105"/>
        </w:rPr>
        <w:t>level</w:t>
      </w:r>
      <w:r w:rsidRPr="00156950">
        <w:rPr>
          <w:rFonts w:cstheme="minorHAnsi"/>
          <w:color w:val="231F20"/>
          <w:w w:val="105"/>
        </w:rPr>
        <w:t xml:space="preserve"> </w:t>
      </w:r>
      <w:r w:rsidRPr="00E06806">
        <w:rPr>
          <w:rFonts w:cstheme="minorHAnsi"/>
          <w:color w:val="231F20"/>
          <w:w w:val="105"/>
        </w:rPr>
        <w:t>of</w:t>
      </w:r>
      <w:r w:rsidRPr="00156950">
        <w:rPr>
          <w:rFonts w:cstheme="minorHAnsi"/>
          <w:color w:val="231F20"/>
          <w:w w:val="105"/>
        </w:rPr>
        <w:t xml:space="preserve"> </w:t>
      </w:r>
      <w:r w:rsidRPr="00E06806">
        <w:rPr>
          <w:rFonts w:cstheme="minorHAnsi"/>
          <w:color w:val="231F20"/>
          <w:w w:val="105"/>
        </w:rPr>
        <w:t>service</w:t>
      </w:r>
      <w:r w:rsidRPr="00156950">
        <w:rPr>
          <w:rFonts w:cstheme="minorHAnsi"/>
          <w:color w:val="231F20"/>
          <w:w w:val="105"/>
        </w:rPr>
        <w:t xml:space="preserve"> </w:t>
      </w:r>
      <w:r w:rsidRPr="00E06806">
        <w:rPr>
          <w:rFonts w:cstheme="minorHAnsi"/>
          <w:color w:val="231F20"/>
          <w:w w:val="105"/>
        </w:rPr>
        <w:t>to</w:t>
      </w:r>
      <w:r w:rsidRPr="00156950">
        <w:rPr>
          <w:rFonts w:cstheme="minorHAnsi"/>
          <w:color w:val="231F20"/>
          <w:w w:val="105"/>
        </w:rPr>
        <w:t xml:space="preserve"> </w:t>
      </w:r>
      <w:r w:rsidR="00CA1499" w:rsidRPr="00E06806">
        <w:rPr>
          <w:rFonts w:cstheme="minorHAnsi"/>
          <w:color w:val="231F20"/>
          <w:w w:val="105"/>
        </w:rPr>
        <w:t xml:space="preserve">people </w:t>
      </w:r>
      <w:r w:rsidR="00CB78C2" w:rsidRPr="00E06806">
        <w:rPr>
          <w:rFonts w:cstheme="minorHAnsi"/>
          <w:color w:val="231F20"/>
          <w:w w:val="105"/>
        </w:rPr>
        <w:t>with disabilities</w:t>
      </w:r>
      <w:r w:rsidRPr="00E06806">
        <w:rPr>
          <w:rFonts w:cstheme="minorHAnsi"/>
          <w:color w:val="231F20"/>
          <w:w w:val="105"/>
        </w:rPr>
        <w:t>,</w:t>
      </w:r>
      <w:r w:rsidRPr="00156950">
        <w:rPr>
          <w:rFonts w:cstheme="minorHAnsi"/>
          <w:color w:val="231F20"/>
          <w:w w:val="105"/>
        </w:rPr>
        <w:t xml:space="preserve"> </w:t>
      </w:r>
      <w:r w:rsidRPr="00E06806">
        <w:rPr>
          <w:rFonts w:cstheme="minorHAnsi"/>
          <w:color w:val="231F20"/>
          <w:w w:val="105"/>
        </w:rPr>
        <w:t>OCR</w:t>
      </w:r>
      <w:r w:rsidRPr="00156950">
        <w:rPr>
          <w:rFonts w:cstheme="minorHAnsi"/>
          <w:color w:val="231F20"/>
          <w:w w:val="105"/>
        </w:rPr>
        <w:t xml:space="preserve"> </w:t>
      </w:r>
      <w:r w:rsidR="00BE5946" w:rsidRPr="00E06806">
        <w:rPr>
          <w:rFonts w:cstheme="minorHAnsi"/>
          <w:color w:val="231F20"/>
          <w:w w:val="105"/>
        </w:rPr>
        <w:t xml:space="preserve">conducts </w:t>
      </w:r>
      <w:r w:rsidRPr="00E06806">
        <w:rPr>
          <w:rFonts w:cstheme="minorHAnsi"/>
          <w:color w:val="231F20"/>
          <w:w w:val="105"/>
        </w:rPr>
        <w:t>the</w:t>
      </w:r>
      <w:r w:rsidRPr="00156950">
        <w:rPr>
          <w:rFonts w:cstheme="minorHAnsi"/>
          <w:color w:val="231F20"/>
          <w:w w:val="105"/>
        </w:rPr>
        <w:t xml:space="preserve"> </w:t>
      </w:r>
      <w:r w:rsidRPr="00E06806">
        <w:rPr>
          <w:rFonts w:cstheme="minorHAnsi"/>
          <w:color w:val="231F20"/>
          <w:w w:val="105"/>
        </w:rPr>
        <w:t>following</w:t>
      </w:r>
      <w:r w:rsidRPr="00156950">
        <w:rPr>
          <w:rFonts w:cstheme="minorHAnsi"/>
          <w:color w:val="231F20"/>
          <w:w w:val="105"/>
        </w:rPr>
        <w:t xml:space="preserve"> </w:t>
      </w:r>
      <w:r w:rsidRPr="00E06806">
        <w:rPr>
          <w:rFonts w:cstheme="minorHAnsi"/>
          <w:color w:val="231F20"/>
          <w:w w:val="105"/>
        </w:rPr>
        <w:t>reviews</w:t>
      </w:r>
      <w:r w:rsidR="00BE5946" w:rsidRPr="00E06806">
        <w:rPr>
          <w:rFonts w:cstheme="minorHAnsi"/>
          <w:color w:val="231F20"/>
          <w:w w:val="105"/>
        </w:rPr>
        <w:t xml:space="preserve"> as necessary</w:t>
      </w:r>
      <w:r w:rsidRPr="00E06806">
        <w:rPr>
          <w:rFonts w:cstheme="minorHAnsi"/>
          <w:color w:val="231F20"/>
          <w:w w:val="105"/>
        </w:rPr>
        <w:t>:</w:t>
      </w:r>
    </w:p>
    <w:p w14:paraId="13258237" w14:textId="77777777" w:rsidR="00EA7458" w:rsidRPr="00E06806" w:rsidRDefault="00EA7458" w:rsidP="00D63204">
      <w:pPr>
        <w:widowControl w:val="0"/>
        <w:spacing w:before="6" w:after="0" w:line="240" w:lineRule="auto"/>
        <w:ind w:left="107"/>
        <w:rPr>
          <w:rFonts w:cstheme="minorHAnsi"/>
          <w:sz w:val="16"/>
          <w:szCs w:val="16"/>
        </w:rPr>
      </w:pPr>
    </w:p>
    <w:p w14:paraId="21013FC4" w14:textId="11A26088" w:rsidR="00EA7458" w:rsidRPr="007247F3" w:rsidRDefault="00EA7458" w:rsidP="00D63204">
      <w:pPr>
        <w:pStyle w:val="ListParagraph"/>
        <w:widowControl w:val="0"/>
        <w:numPr>
          <w:ilvl w:val="0"/>
          <w:numId w:val="37"/>
        </w:numPr>
        <w:spacing w:after="0" w:line="240" w:lineRule="auto"/>
        <w:rPr>
          <w:rFonts w:cstheme="minorHAnsi"/>
          <w:color w:val="231F20"/>
        </w:rPr>
      </w:pPr>
      <w:r w:rsidRPr="007247F3">
        <w:rPr>
          <w:rFonts w:cstheme="minorHAnsi"/>
          <w:color w:val="231F20"/>
          <w:w w:val="105"/>
        </w:rPr>
        <w:t>Staff</w:t>
      </w:r>
      <w:r w:rsidRPr="007247F3">
        <w:rPr>
          <w:rFonts w:cstheme="minorHAnsi"/>
          <w:color w:val="231F20"/>
          <w:spacing w:val="4"/>
          <w:w w:val="105"/>
        </w:rPr>
        <w:t xml:space="preserve"> </w:t>
      </w:r>
      <w:r w:rsidRPr="007247F3">
        <w:rPr>
          <w:rFonts w:cstheme="minorHAnsi"/>
          <w:color w:val="231F20"/>
          <w:w w:val="105"/>
        </w:rPr>
        <w:t>interviews</w:t>
      </w:r>
    </w:p>
    <w:p w14:paraId="1D5E01D9" w14:textId="77777777" w:rsidR="007247F3" w:rsidRPr="007247F3" w:rsidRDefault="007247F3" w:rsidP="00D63204">
      <w:pPr>
        <w:pStyle w:val="ListParagraph"/>
        <w:widowControl w:val="0"/>
        <w:spacing w:after="0" w:line="240" w:lineRule="auto"/>
        <w:ind w:left="827"/>
        <w:rPr>
          <w:rFonts w:cstheme="minorHAnsi"/>
          <w:color w:val="231F20"/>
        </w:rPr>
      </w:pPr>
    </w:p>
    <w:p w14:paraId="47F7F621" w14:textId="1FBA4110" w:rsidR="00EA7458" w:rsidRPr="007247F3" w:rsidRDefault="00EA7458" w:rsidP="00D63204">
      <w:pPr>
        <w:pStyle w:val="ListParagraph"/>
        <w:widowControl w:val="0"/>
        <w:numPr>
          <w:ilvl w:val="0"/>
          <w:numId w:val="37"/>
        </w:numPr>
        <w:spacing w:before="85" w:after="0" w:line="240" w:lineRule="auto"/>
        <w:rPr>
          <w:rFonts w:cstheme="minorHAnsi"/>
          <w:color w:val="231F20"/>
        </w:rPr>
      </w:pPr>
      <w:r w:rsidRPr="007247F3">
        <w:rPr>
          <w:rFonts w:cstheme="minorHAnsi"/>
          <w:color w:val="231F20"/>
          <w:w w:val="110"/>
        </w:rPr>
        <w:t>Customer surveys and</w:t>
      </w:r>
      <w:r w:rsidRPr="007247F3">
        <w:rPr>
          <w:rFonts w:cstheme="minorHAnsi"/>
          <w:color w:val="231F20"/>
          <w:spacing w:val="4"/>
          <w:w w:val="110"/>
        </w:rPr>
        <w:t xml:space="preserve"> </w:t>
      </w:r>
      <w:r w:rsidRPr="007247F3">
        <w:rPr>
          <w:rFonts w:cstheme="minorHAnsi"/>
          <w:color w:val="231F20"/>
          <w:w w:val="110"/>
        </w:rPr>
        <w:t>interviews</w:t>
      </w:r>
    </w:p>
    <w:p w14:paraId="0EAA251C" w14:textId="75BB38FE" w:rsidR="00EA7458" w:rsidRPr="007247F3" w:rsidRDefault="00EA7458" w:rsidP="00D63204">
      <w:pPr>
        <w:pStyle w:val="ListParagraph"/>
        <w:widowControl w:val="0"/>
        <w:numPr>
          <w:ilvl w:val="0"/>
          <w:numId w:val="37"/>
        </w:numPr>
        <w:spacing w:before="85" w:after="0" w:line="240" w:lineRule="auto"/>
        <w:rPr>
          <w:rFonts w:cstheme="minorHAnsi"/>
          <w:color w:val="231F20"/>
        </w:rPr>
      </w:pPr>
      <w:r w:rsidRPr="007247F3">
        <w:rPr>
          <w:rFonts w:cstheme="minorHAnsi"/>
          <w:color w:val="231F20"/>
          <w:w w:val="110"/>
        </w:rPr>
        <w:lastRenderedPageBreak/>
        <w:t>Facility accessibility survey review and</w:t>
      </w:r>
      <w:r w:rsidRPr="007247F3">
        <w:rPr>
          <w:rFonts w:cstheme="minorHAnsi"/>
          <w:color w:val="231F20"/>
          <w:spacing w:val="6"/>
          <w:w w:val="110"/>
        </w:rPr>
        <w:t xml:space="preserve"> </w:t>
      </w:r>
      <w:r w:rsidRPr="007247F3">
        <w:rPr>
          <w:rFonts w:cstheme="minorHAnsi"/>
          <w:color w:val="231F20"/>
          <w:w w:val="110"/>
        </w:rPr>
        <w:t>assessment</w:t>
      </w:r>
    </w:p>
    <w:p w14:paraId="2A86524C" w14:textId="77777777" w:rsidR="007247F3" w:rsidRPr="007247F3" w:rsidRDefault="007247F3" w:rsidP="00D63204">
      <w:pPr>
        <w:pStyle w:val="ListParagraph"/>
        <w:widowControl w:val="0"/>
        <w:spacing w:before="85" w:after="0" w:line="240" w:lineRule="auto"/>
        <w:ind w:left="827"/>
        <w:rPr>
          <w:rFonts w:cstheme="minorHAnsi"/>
          <w:color w:val="231F20"/>
        </w:rPr>
      </w:pPr>
    </w:p>
    <w:p w14:paraId="305E63D6" w14:textId="05093074" w:rsidR="00EA7458" w:rsidRPr="007247F3" w:rsidRDefault="00EA7458" w:rsidP="00D63204">
      <w:pPr>
        <w:pStyle w:val="ListParagraph"/>
        <w:widowControl w:val="0"/>
        <w:numPr>
          <w:ilvl w:val="0"/>
          <w:numId w:val="37"/>
        </w:numPr>
        <w:spacing w:before="83" w:after="0" w:line="264" w:lineRule="exact"/>
        <w:rPr>
          <w:rFonts w:cstheme="minorHAnsi"/>
          <w:color w:val="231F20"/>
        </w:rPr>
      </w:pPr>
      <w:r w:rsidRPr="007247F3">
        <w:rPr>
          <w:rFonts w:cstheme="minorHAnsi"/>
          <w:color w:val="231F20"/>
          <w:w w:val="105"/>
        </w:rPr>
        <w:t>Review of customer informational materials, including materials in alternative formats and</w:t>
      </w:r>
      <w:r w:rsidRPr="007247F3">
        <w:rPr>
          <w:rFonts w:cstheme="minorHAnsi"/>
          <w:color w:val="231F20"/>
          <w:spacing w:val="46"/>
          <w:w w:val="105"/>
        </w:rPr>
        <w:t xml:space="preserve"> </w:t>
      </w:r>
      <w:r w:rsidRPr="007247F3">
        <w:rPr>
          <w:rFonts w:cstheme="minorHAnsi"/>
          <w:color w:val="231F20"/>
          <w:w w:val="105"/>
        </w:rPr>
        <w:t>languages</w:t>
      </w:r>
      <w:r w:rsidRPr="007247F3">
        <w:rPr>
          <w:rFonts w:cstheme="minorHAnsi"/>
          <w:color w:val="231F20"/>
          <w:w w:val="112"/>
        </w:rPr>
        <w:t xml:space="preserve"> </w:t>
      </w:r>
      <w:r w:rsidRPr="007247F3">
        <w:rPr>
          <w:rFonts w:cstheme="minorHAnsi"/>
          <w:color w:val="231F20"/>
          <w:w w:val="105"/>
        </w:rPr>
        <w:t>other than</w:t>
      </w:r>
      <w:r w:rsidRPr="007247F3">
        <w:rPr>
          <w:rFonts w:cstheme="minorHAnsi"/>
          <w:color w:val="231F20"/>
          <w:spacing w:val="9"/>
          <w:w w:val="105"/>
        </w:rPr>
        <w:t xml:space="preserve"> </w:t>
      </w:r>
      <w:r w:rsidRPr="007247F3">
        <w:rPr>
          <w:rFonts w:cstheme="minorHAnsi"/>
          <w:color w:val="231F20"/>
          <w:w w:val="105"/>
        </w:rPr>
        <w:t>English</w:t>
      </w:r>
    </w:p>
    <w:p w14:paraId="4C948E28" w14:textId="77777777" w:rsidR="007247F3" w:rsidRPr="007247F3" w:rsidRDefault="007247F3" w:rsidP="00D63204">
      <w:pPr>
        <w:pStyle w:val="ListParagraph"/>
        <w:widowControl w:val="0"/>
        <w:spacing w:before="83" w:after="0" w:line="264" w:lineRule="exact"/>
        <w:ind w:left="827"/>
        <w:rPr>
          <w:rFonts w:cstheme="minorHAnsi"/>
          <w:color w:val="231F20"/>
        </w:rPr>
      </w:pPr>
    </w:p>
    <w:p w14:paraId="3028D937" w14:textId="13D20954" w:rsidR="00EA7458" w:rsidRPr="007247F3" w:rsidRDefault="00EA7458" w:rsidP="00D63204">
      <w:pPr>
        <w:pStyle w:val="ListParagraph"/>
        <w:widowControl w:val="0"/>
        <w:numPr>
          <w:ilvl w:val="0"/>
          <w:numId w:val="37"/>
        </w:numPr>
        <w:spacing w:before="91" w:after="0" w:line="240" w:lineRule="auto"/>
        <w:rPr>
          <w:rFonts w:cstheme="minorHAnsi"/>
          <w:color w:val="231F20"/>
        </w:rPr>
      </w:pPr>
      <w:r w:rsidRPr="007247F3">
        <w:rPr>
          <w:rFonts w:cstheme="minorHAnsi"/>
          <w:color w:val="231F20"/>
          <w:w w:val="105"/>
        </w:rPr>
        <w:t>Review of community contact</w:t>
      </w:r>
      <w:r w:rsidRPr="007247F3">
        <w:rPr>
          <w:rFonts w:cstheme="minorHAnsi"/>
          <w:color w:val="231F20"/>
          <w:spacing w:val="19"/>
          <w:w w:val="105"/>
        </w:rPr>
        <w:t xml:space="preserve"> </w:t>
      </w:r>
      <w:r w:rsidRPr="007247F3">
        <w:rPr>
          <w:rFonts w:cstheme="minorHAnsi"/>
          <w:color w:val="231F20"/>
          <w:w w:val="105"/>
        </w:rPr>
        <w:t>programs</w:t>
      </w:r>
    </w:p>
    <w:p w14:paraId="7BBCA59E" w14:textId="77777777" w:rsidR="007247F3" w:rsidRPr="007247F3" w:rsidRDefault="007247F3" w:rsidP="00D63204">
      <w:pPr>
        <w:pStyle w:val="ListParagraph"/>
        <w:widowControl w:val="0"/>
        <w:spacing w:before="91" w:after="0" w:line="240" w:lineRule="auto"/>
        <w:ind w:left="827"/>
        <w:rPr>
          <w:rFonts w:cstheme="minorHAnsi"/>
          <w:color w:val="231F20"/>
        </w:rPr>
      </w:pPr>
    </w:p>
    <w:p w14:paraId="2A21EFF8" w14:textId="75790058" w:rsidR="00EA7458" w:rsidRPr="007247F3" w:rsidRDefault="00EA7458" w:rsidP="00D63204">
      <w:pPr>
        <w:pStyle w:val="ListParagraph"/>
        <w:widowControl w:val="0"/>
        <w:numPr>
          <w:ilvl w:val="0"/>
          <w:numId w:val="37"/>
        </w:numPr>
        <w:spacing w:before="85" w:after="0" w:line="240" w:lineRule="auto"/>
        <w:rPr>
          <w:rFonts w:cstheme="minorHAnsi"/>
          <w:color w:val="231F20"/>
        </w:rPr>
      </w:pPr>
      <w:r w:rsidRPr="007247F3">
        <w:rPr>
          <w:rFonts w:cstheme="minorHAnsi"/>
          <w:color w:val="231F20"/>
          <w:w w:val="105"/>
        </w:rPr>
        <w:t>Observation of center</w:t>
      </w:r>
      <w:r w:rsidRPr="007247F3">
        <w:rPr>
          <w:rFonts w:cstheme="minorHAnsi"/>
          <w:color w:val="231F20"/>
          <w:spacing w:val="14"/>
          <w:w w:val="105"/>
        </w:rPr>
        <w:t xml:space="preserve"> </w:t>
      </w:r>
      <w:r w:rsidRPr="007247F3">
        <w:rPr>
          <w:rFonts w:cstheme="minorHAnsi"/>
          <w:color w:val="231F20"/>
          <w:w w:val="105"/>
        </w:rPr>
        <w:t>activities</w:t>
      </w:r>
    </w:p>
    <w:p w14:paraId="3E0F1499" w14:textId="77777777" w:rsidR="007247F3" w:rsidRPr="007247F3" w:rsidRDefault="007247F3" w:rsidP="00D63204">
      <w:pPr>
        <w:pStyle w:val="ListParagraph"/>
        <w:widowControl w:val="0"/>
        <w:spacing w:before="85" w:after="0" w:line="240" w:lineRule="auto"/>
        <w:ind w:left="827"/>
        <w:rPr>
          <w:rFonts w:cstheme="minorHAnsi"/>
          <w:color w:val="231F20"/>
        </w:rPr>
      </w:pPr>
    </w:p>
    <w:p w14:paraId="72FFC087" w14:textId="61B0BC42" w:rsidR="00EA7458" w:rsidRPr="007247F3" w:rsidRDefault="00EA7458" w:rsidP="00D63204">
      <w:pPr>
        <w:pStyle w:val="ListParagraph"/>
        <w:widowControl w:val="0"/>
        <w:numPr>
          <w:ilvl w:val="0"/>
          <w:numId w:val="37"/>
        </w:numPr>
        <w:spacing w:before="85" w:after="0" w:line="240" w:lineRule="auto"/>
        <w:rPr>
          <w:rFonts w:cstheme="minorHAnsi"/>
          <w:color w:val="231F20"/>
        </w:rPr>
      </w:pPr>
      <w:r w:rsidRPr="007247F3">
        <w:rPr>
          <w:rFonts w:cstheme="minorHAnsi"/>
          <w:color w:val="231F20"/>
          <w:w w:val="105"/>
        </w:rPr>
        <w:t>Complaint file</w:t>
      </w:r>
      <w:r w:rsidRPr="007247F3">
        <w:rPr>
          <w:rFonts w:cstheme="minorHAnsi"/>
          <w:color w:val="231F20"/>
          <w:spacing w:val="9"/>
          <w:w w:val="105"/>
        </w:rPr>
        <w:t xml:space="preserve"> </w:t>
      </w:r>
      <w:r w:rsidRPr="007247F3">
        <w:rPr>
          <w:rFonts w:cstheme="minorHAnsi"/>
          <w:color w:val="231F20"/>
          <w:w w:val="105"/>
        </w:rPr>
        <w:t>review</w:t>
      </w:r>
    </w:p>
    <w:p w14:paraId="54332CA8" w14:textId="77777777" w:rsidR="007247F3" w:rsidRPr="007247F3" w:rsidRDefault="007247F3" w:rsidP="00D63204">
      <w:pPr>
        <w:pStyle w:val="ListParagraph"/>
        <w:widowControl w:val="0"/>
        <w:spacing w:before="85" w:after="0" w:line="240" w:lineRule="auto"/>
        <w:ind w:left="827"/>
        <w:rPr>
          <w:rFonts w:cstheme="minorHAnsi"/>
          <w:color w:val="231F20"/>
        </w:rPr>
      </w:pPr>
    </w:p>
    <w:p w14:paraId="5889E72A" w14:textId="15798F3E" w:rsidR="00EA7458" w:rsidRPr="007247F3" w:rsidRDefault="00EA7458" w:rsidP="00D63204">
      <w:pPr>
        <w:pStyle w:val="ListParagraph"/>
        <w:widowControl w:val="0"/>
        <w:numPr>
          <w:ilvl w:val="0"/>
          <w:numId w:val="37"/>
        </w:numPr>
        <w:spacing w:before="83" w:after="0" w:line="264" w:lineRule="exact"/>
        <w:rPr>
          <w:rFonts w:cstheme="minorHAnsi"/>
          <w:color w:val="231F20"/>
        </w:rPr>
      </w:pPr>
      <w:r w:rsidRPr="007247F3">
        <w:rPr>
          <w:rFonts w:cstheme="minorHAnsi"/>
          <w:color w:val="231F20"/>
          <w:w w:val="105"/>
        </w:rPr>
        <w:t>Discussion</w:t>
      </w:r>
      <w:r w:rsidRPr="007247F3">
        <w:rPr>
          <w:rFonts w:cstheme="minorHAnsi"/>
          <w:color w:val="231F20"/>
          <w:spacing w:val="26"/>
          <w:w w:val="105"/>
        </w:rPr>
        <w:t xml:space="preserve"> </w:t>
      </w:r>
      <w:r w:rsidRPr="007247F3">
        <w:rPr>
          <w:rFonts w:cstheme="minorHAnsi"/>
          <w:color w:val="231F20"/>
          <w:w w:val="105"/>
        </w:rPr>
        <w:t>of</w:t>
      </w:r>
      <w:r w:rsidRPr="007247F3">
        <w:rPr>
          <w:rFonts w:cstheme="minorHAnsi"/>
          <w:color w:val="231F20"/>
          <w:spacing w:val="26"/>
          <w:w w:val="105"/>
        </w:rPr>
        <w:t xml:space="preserve"> </w:t>
      </w:r>
      <w:r w:rsidRPr="007247F3">
        <w:rPr>
          <w:rFonts w:cstheme="minorHAnsi"/>
          <w:color w:val="231F20"/>
          <w:w w:val="105"/>
        </w:rPr>
        <w:t>intake</w:t>
      </w:r>
      <w:r w:rsidRPr="007247F3">
        <w:rPr>
          <w:rFonts w:cstheme="minorHAnsi"/>
          <w:color w:val="231F20"/>
          <w:spacing w:val="26"/>
          <w:w w:val="105"/>
        </w:rPr>
        <w:t xml:space="preserve"> </w:t>
      </w:r>
      <w:r w:rsidRPr="007247F3">
        <w:rPr>
          <w:rFonts w:cstheme="minorHAnsi"/>
          <w:color w:val="231F20"/>
          <w:w w:val="105"/>
        </w:rPr>
        <w:t>and</w:t>
      </w:r>
      <w:r w:rsidRPr="007247F3">
        <w:rPr>
          <w:rFonts w:cstheme="minorHAnsi"/>
          <w:color w:val="231F20"/>
          <w:spacing w:val="26"/>
          <w:w w:val="105"/>
        </w:rPr>
        <w:t xml:space="preserve"> </w:t>
      </w:r>
      <w:r w:rsidRPr="007247F3">
        <w:rPr>
          <w:rFonts w:cstheme="minorHAnsi"/>
          <w:color w:val="231F20"/>
          <w:w w:val="105"/>
        </w:rPr>
        <w:t>assessment</w:t>
      </w:r>
      <w:r w:rsidRPr="007247F3">
        <w:rPr>
          <w:rFonts w:cstheme="minorHAnsi"/>
          <w:color w:val="231F20"/>
          <w:spacing w:val="26"/>
          <w:w w:val="105"/>
        </w:rPr>
        <w:t xml:space="preserve"> </w:t>
      </w:r>
      <w:r w:rsidRPr="007247F3">
        <w:rPr>
          <w:rFonts w:cstheme="minorHAnsi"/>
          <w:color w:val="231F20"/>
          <w:w w:val="105"/>
        </w:rPr>
        <w:t>processes,</w:t>
      </w:r>
      <w:r w:rsidRPr="007247F3">
        <w:rPr>
          <w:rFonts w:cstheme="minorHAnsi"/>
          <w:color w:val="231F20"/>
          <w:spacing w:val="26"/>
          <w:w w:val="105"/>
        </w:rPr>
        <w:t xml:space="preserve"> </w:t>
      </w:r>
      <w:r w:rsidRPr="007247F3">
        <w:rPr>
          <w:rFonts w:cstheme="minorHAnsi"/>
          <w:color w:val="231F20"/>
          <w:w w:val="105"/>
        </w:rPr>
        <w:t>including</w:t>
      </w:r>
      <w:r w:rsidRPr="007247F3">
        <w:rPr>
          <w:rFonts w:cstheme="minorHAnsi"/>
          <w:color w:val="231F20"/>
          <w:spacing w:val="26"/>
          <w:w w:val="105"/>
        </w:rPr>
        <w:t xml:space="preserve"> </w:t>
      </w:r>
      <w:r w:rsidRPr="007247F3">
        <w:rPr>
          <w:rFonts w:cstheme="minorHAnsi"/>
          <w:color w:val="231F20"/>
          <w:w w:val="105"/>
        </w:rPr>
        <w:t>provisions</w:t>
      </w:r>
      <w:r w:rsidRPr="007247F3">
        <w:rPr>
          <w:rFonts w:cstheme="minorHAnsi"/>
          <w:color w:val="231F20"/>
          <w:spacing w:val="26"/>
          <w:w w:val="105"/>
        </w:rPr>
        <w:t xml:space="preserve"> </w:t>
      </w:r>
      <w:r w:rsidRPr="007247F3">
        <w:rPr>
          <w:rFonts w:cstheme="minorHAnsi"/>
          <w:color w:val="231F20"/>
          <w:w w:val="105"/>
        </w:rPr>
        <w:t>to</w:t>
      </w:r>
      <w:r w:rsidRPr="007247F3">
        <w:rPr>
          <w:rFonts w:cstheme="minorHAnsi"/>
          <w:color w:val="231F20"/>
          <w:spacing w:val="26"/>
          <w:w w:val="105"/>
        </w:rPr>
        <w:t xml:space="preserve"> </w:t>
      </w:r>
      <w:r w:rsidRPr="007247F3">
        <w:rPr>
          <w:rFonts w:cstheme="minorHAnsi"/>
          <w:color w:val="231F20"/>
          <w:w w:val="105"/>
        </w:rPr>
        <w:t>serve</w:t>
      </w:r>
      <w:r w:rsidRPr="007247F3">
        <w:rPr>
          <w:rFonts w:cstheme="minorHAnsi"/>
          <w:color w:val="231F20"/>
          <w:spacing w:val="26"/>
          <w:w w:val="105"/>
        </w:rPr>
        <w:t xml:space="preserve"> </w:t>
      </w:r>
      <w:r w:rsidR="00CA1499" w:rsidRPr="007247F3">
        <w:rPr>
          <w:rFonts w:cstheme="minorHAnsi"/>
          <w:color w:val="231F20"/>
          <w:w w:val="105"/>
        </w:rPr>
        <w:t xml:space="preserve">people </w:t>
      </w:r>
      <w:r w:rsidR="00CB78C2" w:rsidRPr="007247F3">
        <w:rPr>
          <w:rFonts w:cstheme="minorHAnsi"/>
          <w:color w:val="231F20"/>
          <w:w w:val="105"/>
        </w:rPr>
        <w:t>with disabilities</w:t>
      </w:r>
      <w:r w:rsidRPr="007247F3">
        <w:rPr>
          <w:rFonts w:cstheme="minorHAnsi"/>
          <w:color w:val="231F20"/>
          <w:w w:val="105"/>
        </w:rPr>
        <w:t xml:space="preserve"> or who are non-English</w:t>
      </w:r>
      <w:r w:rsidRPr="007247F3">
        <w:rPr>
          <w:rFonts w:cstheme="minorHAnsi"/>
          <w:color w:val="231F20"/>
          <w:spacing w:val="28"/>
          <w:w w:val="105"/>
        </w:rPr>
        <w:t xml:space="preserve"> </w:t>
      </w:r>
      <w:r w:rsidRPr="007247F3">
        <w:rPr>
          <w:rFonts w:cstheme="minorHAnsi"/>
          <w:color w:val="231F20"/>
          <w:w w:val="105"/>
        </w:rPr>
        <w:t>speaking</w:t>
      </w:r>
    </w:p>
    <w:p w14:paraId="7378F51E" w14:textId="77777777" w:rsidR="007247F3" w:rsidRPr="007247F3" w:rsidRDefault="007247F3" w:rsidP="00D63204">
      <w:pPr>
        <w:pStyle w:val="ListParagraph"/>
        <w:widowControl w:val="0"/>
        <w:spacing w:before="83" w:after="0" w:line="264" w:lineRule="exact"/>
        <w:ind w:left="827"/>
        <w:rPr>
          <w:rFonts w:cstheme="minorHAnsi"/>
          <w:color w:val="231F20"/>
        </w:rPr>
      </w:pPr>
    </w:p>
    <w:p w14:paraId="3D76144B" w14:textId="587ED892" w:rsidR="00EA7458" w:rsidRPr="007247F3" w:rsidRDefault="00EA7458" w:rsidP="00D63204">
      <w:pPr>
        <w:pStyle w:val="ListParagraph"/>
        <w:widowControl w:val="0"/>
        <w:numPr>
          <w:ilvl w:val="0"/>
          <w:numId w:val="37"/>
        </w:numPr>
        <w:spacing w:before="91" w:after="0" w:line="240" w:lineRule="auto"/>
        <w:rPr>
          <w:rFonts w:cstheme="minorHAnsi"/>
          <w:color w:val="231F20"/>
        </w:rPr>
      </w:pPr>
      <w:r w:rsidRPr="007247F3">
        <w:rPr>
          <w:rFonts w:cstheme="minorHAnsi"/>
          <w:color w:val="231F20"/>
          <w:w w:val="105"/>
        </w:rPr>
        <w:t>Review of compliance monitoring reports prepared by or on behalf of the</w:t>
      </w:r>
      <w:r w:rsidRPr="007247F3">
        <w:rPr>
          <w:rFonts w:cstheme="minorHAnsi"/>
          <w:color w:val="231F20"/>
          <w:spacing w:val="24"/>
          <w:w w:val="105"/>
        </w:rPr>
        <w:t xml:space="preserve"> </w:t>
      </w:r>
      <w:r w:rsidRPr="007247F3">
        <w:rPr>
          <w:rFonts w:cstheme="minorHAnsi"/>
          <w:color w:val="231F20"/>
          <w:spacing w:val="-4"/>
          <w:w w:val="105"/>
        </w:rPr>
        <w:t>LWDB</w:t>
      </w:r>
    </w:p>
    <w:p w14:paraId="1547380D" w14:textId="77777777" w:rsidR="007247F3" w:rsidRPr="007247F3" w:rsidRDefault="007247F3" w:rsidP="00D63204">
      <w:pPr>
        <w:pStyle w:val="ListParagraph"/>
        <w:widowControl w:val="0"/>
        <w:spacing w:before="91" w:after="0" w:line="240" w:lineRule="auto"/>
        <w:ind w:left="827"/>
        <w:rPr>
          <w:rFonts w:cstheme="minorHAnsi"/>
          <w:color w:val="231F20"/>
        </w:rPr>
      </w:pPr>
    </w:p>
    <w:p w14:paraId="75F55982" w14:textId="77777777" w:rsidR="00EA7458" w:rsidRPr="007247F3" w:rsidRDefault="00EA7458" w:rsidP="00D63204">
      <w:pPr>
        <w:pStyle w:val="ListParagraph"/>
        <w:widowControl w:val="0"/>
        <w:numPr>
          <w:ilvl w:val="0"/>
          <w:numId w:val="37"/>
        </w:numPr>
        <w:spacing w:before="85" w:after="0" w:line="240" w:lineRule="auto"/>
        <w:rPr>
          <w:rFonts w:cstheme="minorHAnsi"/>
          <w:color w:val="231F20"/>
        </w:rPr>
      </w:pPr>
      <w:r w:rsidRPr="007247F3">
        <w:rPr>
          <w:rFonts w:cstheme="minorHAnsi"/>
          <w:color w:val="231F20"/>
          <w:w w:val="105"/>
        </w:rPr>
        <w:t>Review of program and equipment</w:t>
      </w:r>
      <w:r w:rsidRPr="007247F3">
        <w:rPr>
          <w:rFonts w:cstheme="minorHAnsi"/>
          <w:color w:val="231F20"/>
          <w:spacing w:val="25"/>
          <w:w w:val="105"/>
        </w:rPr>
        <w:t xml:space="preserve"> </w:t>
      </w:r>
      <w:r w:rsidRPr="007247F3">
        <w:rPr>
          <w:rFonts w:cstheme="minorHAnsi"/>
          <w:color w:val="231F20"/>
          <w:w w:val="105"/>
        </w:rPr>
        <w:t>available</w:t>
      </w:r>
    </w:p>
    <w:p w14:paraId="6077CF61" w14:textId="77777777" w:rsidR="00EA7458" w:rsidRPr="00E06806" w:rsidRDefault="00EA7458" w:rsidP="00D63204">
      <w:pPr>
        <w:widowControl w:val="0"/>
        <w:spacing w:before="6" w:after="0" w:line="240" w:lineRule="auto"/>
        <w:ind w:left="107"/>
        <w:rPr>
          <w:rFonts w:cstheme="minorHAnsi"/>
          <w:sz w:val="28"/>
          <w:szCs w:val="28"/>
        </w:rPr>
      </w:pPr>
    </w:p>
    <w:p w14:paraId="6F5B9F84" w14:textId="7527EC95" w:rsidR="00EA7458" w:rsidRPr="00E06806" w:rsidRDefault="00EA7458" w:rsidP="00D63204">
      <w:pPr>
        <w:widowControl w:val="0"/>
        <w:spacing w:after="0" w:line="264" w:lineRule="exact"/>
        <w:ind w:left="107"/>
        <w:rPr>
          <w:rFonts w:cstheme="minorHAnsi"/>
        </w:rPr>
      </w:pPr>
      <w:r w:rsidRPr="00E06806">
        <w:rPr>
          <w:rFonts w:cstheme="minorHAnsi"/>
          <w:color w:val="231F20"/>
          <w:w w:val="105"/>
        </w:rPr>
        <w:t>OCR</w:t>
      </w:r>
      <w:r w:rsidRPr="00E06806">
        <w:rPr>
          <w:rFonts w:cstheme="minorHAnsi"/>
          <w:color w:val="231F20"/>
          <w:spacing w:val="22"/>
          <w:w w:val="105"/>
        </w:rPr>
        <w:t xml:space="preserve"> </w:t>
      </w:r>
      <w:r w:rsidRPr="00E06806">
        <w:rPr>
          <w:rFonts w:cstheme="minorHAnsi"/>
          <w:color w:val="231F20"/>
          <w:w w:val="105"/>
        </w:rPr>
        <w:t>provides</w:t>
      </w:r>
      <w:r w:rsidRPr="00E06806">
        <w:rPr>
          <w:rFonts w:cstheme="minorHAnsi"/>
          <w:color w:val="231F20"/>
          <w:spacing w:val="22"/>
          <w:w w:val="105"/>
        </w:rPr>
        <w:t xml:space="preserve"> </w:t>
      </w:r>
      <w:r w:rsidRPr="00E06806">
        <w:rPr>
          <w:rFonts w:cstheme="minorHAnsi"/>
          <w:color w:val="231F20"/>
          <w:w w:val="105"/>
        </w:rPr>
        <w:t>ongoing</w:t>
      </w:r>
      <w:r w:rsidRPr="00E06806">
        <w:rPr>
          <w:rFonts w:cstheme="minorHAnsi"/>
          <w:color w:val="231F20"/>
          <w:spacing w:val="22"/>
          <w:w w:val="105"/>
        </w:rPr>
        <w:t xml:space="preserve"> </w:t>
      </w:r>
      <w:r w:rsidRPr="00E06806">
        <w:rPr>
          <w:rFonts w:cstheme="minorHAnsi"/>
          <w:color w:val="231F20"/>
          <w:w w:val="105"/>
        </w:rPr>
        <w:t>technical</w:t>
      </w:r>
      <w:r w:rsidRPr="00E06806">
        <w:rPr>
          <w:rFonts w:cstheme="minorHAnsi"/>
          <w:color w:val="231F20"/>
          <w:spacing w:val="22"/>
          <w:w w:val="105"/>
        </w:rPr>
        <w:t xml:space="preserve"> </w:t>
      </w:r>
      <w:r w:rsidRPr="00E06806">
        <w:rPr>
          <w:rFonts w:cstheme="minorHAnsi"/>
          <w:color w:val="231F20"/>
          <w:w w:val="105"/>
        </w:rPr>
        <w:t>assistance</w:t>
      </w:r>
      <w:r w:rsidRPr="00E06806">
        <w:rPr>
          <w:rFonts w:cstheme="minorHAnsi"/>
          <w:color w:val="231F20"/>
          <w:spacing w:val="22"/>
          <w:w w:val="105"/>
        </w:rPr>
        <w:t xml:space="preserve"> </w:t>
      </w:r>
      <w:r w:rsidRPr="00E06806">
        <w:rPr>
          <w:rFonts w:cstheme="minorHAnsi"/>
          <w:color w:val="231F20"/>
          <w:w w:val="105"/>
        </w:rPr>
        <w:t>to</w:t>
      </w:r>
      <w:r w:rsidRPr="00E06806">
        <w:rPr>
          <w:rFonts w:cstheme="minorHAnsi"/>
          <w:color w:val="231F20"/>
          <w:spacing w:val="22"/>
          <w:w w:val="105"/>
        </w:rPr>
        <w:t xml:space="preserve"> </w:t>
      </w:r>
      <w:r w:rsidRPr="00E06806">
        <w:rPr>
          <w:rFonts w:cstheme="minorHAnsi"/>
          <w:color w:val="231F20"/>
          <w:w w:val="105"/>
        </w:rPr>
        <w:t>LWDB/career</w:t>
      </w:r>
      <w:r w:rsidRPr="00E06806">
        <w:rPr>
          <w:rFonts w:cstheme="minorHAnsi"/>
          <w:color w:val="231F20"/>
          <w:spacing w:val="22"/>
          <w:w w:val="105"/>
        </w:rPr>
        <w:t xml:space="preserve"> </w:t>
      </w:r>
      <w:r w:rsidRPr="00E06806">
        <w:rPr>
          <w:rFonts w:cstheme="minorHAnsi"/>
          <w:color w:val="231F20"/>
          <w:w w:val="105"/>
        </w:rPr>
        <w:t>center</w:t>
      </w:r>
      <w:r w:rsidRPr="00E06806">
        <w:rPr>
          <w:rFonts w:cstheme="minorHAnsi"/>
          <w:color w:val="231F20"/>
          <w:spacing w:val="22"/>
          <w:w w:val="105"/>
        </w:rPr>
        <w:t xml:space="preserve"> </w:t>
      </w:r>
      <w:r w:rsidRPr="00E06806">
        <w:rPr>
          <w:rFonts w:cstheme="minorHAnsi"/>
          <w:color w:val="231F20"/>
          <w:w w:val="105"/>
        </w:rPr>
        <w:t>staff</w:t>
      </w:r>
      <w:r w:rsidRPr="00E06806">
        <w:rPr>
          <w:rFonts w:cstheme="minorHAnsi"/>
          <w:color w:val="231F20"/>
          <w:spacing w:val="22"/>
          <w:w w:val="105"/>
        </w:rPr>
        <w:t xml:space="preserve"> </w:t>
      </w:r>
      <w:r w:rsidR="008833E5" w:rsidRPr="00E06806">
        <w:rPr>
          <w:rFonts w:cstheme="minorHAnsi"/>
          <w:color w:val="231F20"/>
          <w:w w:val="105"/>
        </w:rPr>
        <w:t xml:space="preserve">on </w:t>
      </w:r>
      <w:r w:rsidRPr="00E06806">
        <w:rPr>
          <w:rFonts w:cstheme="minorHAnsi"/>
          <w:color w:val="231F20"/>
          <w:w w:val="105"/>
        </w:rPr>
        <w:t>such</w:t>
      </w:r>
      <w:r w:rsidRPr="00E06806">
        <w:rPr>
          <w:rFonts w:cstheme="minorHAnsi"/>
          <w:color w:val="231F20"/>
          <w:spacing w:val="22"/>
          <w:w w:val="105"/>
        </w:rPr>
        <w:t xml:space="preserve"> </w:t>
      </w:r>
      <w:r w:rsidRPr="00E06806">
        <w:rPr>
          <w:rFonts w:cstheme="minorHAnsi"/>
          <w:color w:val="231F20"/>
          <w:w w:val="105"/>
        </w:rPr>
        <w:t>topics</w:t>
      </w:r>
      <w:r w:rsidRPr="00E06806">
        <w:rPr>
          <w:rFonts w:cstheme="minorHAnsi"/>
          <w:color w:val="231F20"/>
          <w:spacing w:val="22"/>
          <w:w w:val="105"/>
        </w:rPr>
        <w:t xml:space="preserve"> </w:t>
      </w:r>
      <w:r w:rsidRPr="00E06806">
        <w:rPr>
          <w:rFonts w:cstheme="minorHAnsi"/>
          <w:color w:val="231F20"/>
          <w:w w:val="105"/>
        </w:rPr>
        <w:t>as</w:t>
      </w:r>
      <w:r w:rsidRPr="00E06806">
        <w:rPr>
          <w:rFonts w:cstheme="minorHAnsi"/>
          <w:color w:val="231F20"/>
          <w:spacing w:val="-4"/>
          <w:w w:val="105"/>
        </w:rPr>
        <w:t xml:space="preserve"> </w:t>
      </w:r>
      <w:r w:rsidRPr="00E06806">
        <w:rPr>
          <w:rFonts w:cstheme="minorHAnsi"/>
          <w:color w:val="231F20"/>
          <w:w w:val="105"/>
        </w:rPr>
        <w:t>reasonable</w:t>
      </w:r>
      <w:r w:rsidRPr="00E06806">
        <w:rPr>
          <w:rFonts w:cstheme="minorHAnsi"/>
          <w:color w:val="231F20"/>
          <w:spacing w:val="19"/>
          <w:w w:val="105"/>
        </w:rPr>
        <w:t xml:space="preserve"> </w:t>
      </w:r>
      <w:r w:rsidRPr="00E06806">
        <w:rPr>
          <w:rFonts w:cstheme="minorHAnsi"/>
          <w:color w:val="231F20"/>
          <w:w w:val="105"/>
        </w:rPr>
        <w:t>accommodation</w:t>
      </w:r>
      <w:r w:rsidRPr="00E06806">
        <w:rPr>
          <w:rFonts w:cstheme="minorHAnsi"/>
          <w:color w:val="231F20"/>
          <w:spacing w:val="19"/>
          <w:w w:val="105"/>
        </w:rPr>
        <w:t xml:space="preserve"> </w:t>
      </w:r>
      <w:r w:rsidRPr="00E06806">
        <w:rPr>
          <w:rFonts w:cstheme="minorHAnsi"/>
          <w:color w:val="231F20"/>
          <w:w w:val="105"/>
        </w:rPr>
        <w:t>requests</w:t>
      </w:r>
      <w:r w:rsidRPr="00E06806">
        <w:rPr>
          <w:rFonts w:cstheme="minorHAnsi"/>
          <w:color w:val="231F20"/>
          <w:spacing w:val="19"/>
          <w:w w:val="105"/>
        </w:rPr>
        <w:t xml:space="preserve"> </w:t>
      </w:r>
      <w:r w:rsidRPr="00E06806">
        <w:rPr>
          <w:rFonts w:cstheme="minorHAnsi"/>
          <w:color w:val="231F20"/>
          <w:w w:val="105"/>
        </w:rPr>
        <w:t>from</w:t>
      </w:r>
      <w:r w:rsidRPr="00E06806">
        <w:rPr>
          <w:rFonts w:cstheme="minorHAnsi"/>
          <w:color w:val="231F20"/>
          <w:spacing w:val="19"/>
          <w:w w:val="105"/>
        </w:rPr>
        <w:t xml:space="preserve"> </w:t>
      </w:r>
      <w:r w:rsidRPr="00E06806">
        <w:rPr>
          <w:rFonts w:cstheme="minorHAnsi"/>
          <w:color w:val="231F20"/>
          <w:w w:val="105"/>
        </w:rPr>
        <w:t>customers</w:t>
      </w:r>
      <w:r w:rsidRPr="00E06806">
        <w:rPr>
          <w:rFonts w:cstheme="minorHAnsi"/>
          <w:color w:val="231F20"/>
          <w:spacing w:val="19"/>
          <w:w w:val="105"/>
        </w:rPr>
        <w:t xml:space="preserve"> </w:t>
      </w:r>
      <w:r w:rsidRPr="00E06806">
        <w:rPr>
          <w:rFonts w:cstheme="minorHAnsi"/>
          <w:color w:val="231F20"/>
          <w:w w:val="105"/>
        </w:rPr>
        <w:t>and</w:t>
      </w:r>
      <w:r w:rsidRPr="00E06806">
        <w:rPr>
          <w:rFonts w:cstheme="minorHAnsi"/>
          <w:color w:val="231F20"/>
          <w:spacing w:val="19"/>
          <w:w w:val="105"/>
        </w:rPr>
        <w:t xml:space="preserve"> </w:t>
      </w:r>
      <w:r w:rsidRPr="00E06806">
        <w:rPr>
          <w:rFonts w:cstheme="minorHAnsi"/>
          <w:color w:val="231F20"/>
          <w:w w:val="105"/>
        </w:rPr>
        <w:t>employees.</w:t>
      </w:r>
      <w:r w:rsidRPr="00E06806">
        <w:rPr>
          <w:rFonts w:cstheme="minorHAnsi"/>
          <w:color w:val="231F20"/>
          <w:spacing w:val="38"/>
          <w:w w:val="105"/>
        </w:rPr>
        <w:t xml:space="preserve"> </w:t>
      </w:r>
      <w:r w:rsidRPr="00E06806">
        <w:rPr>
          <w:rFonts w:cstheme="minorHAnsi"/>
          <w:color w:val="231F20"/>
          <w:w w:val="105"/>
        </w:rPr>
        <w:t>Based</w:t>
      </w:r>
      <w:r w:rsidRPr="00E06806">
        <w:rPr>
          <w:rFonts w:cstheme="minorHAnsi"/>
          <w:color w:val="231F20"/>
          <w:spacing w:val="19"/>
          <w:w w:val="105"/>
        </w:rPr>
        <w:t xml:space="preserve"> </w:t>
      </w:r>
      <w:r w:rsidRPr="00E06806">
        <w:rPr>
          <w:rFonts w:cstheme="minorHAnsi"/>
          <w:color w:val="231F20"/>
          <w:w w:val="105"/>
        </w:rPr>
        <w:t>on</w:t>
      </w:r>
      <w:r w:rsidRPr="00E06806">
        <w:rPr>
          <w:rFonts w:cstheme="minorHAnsi"/>
          <w:color w:val="231F20"/>
          <w:spacing w:val="19"/>
          <w:w w:val="105"/>
        </w:rPr>
        <w:t xml:space="preserve"> </w:t>
      </w:r>
      <w:r w:rsidRPr="00E06806">
        <w:rPr>
          <w:rFonts w:cstheme="minorHAnsi"/>
          <w:color w:val="231F20"/>
          <w:w w:val="105"/>
        </w:rPr>
        <w:t>these</w:t>
      </w:r>
      <w:r w:rsidRPr="00E06806">
        <w:rPr>
          <w:rFonts w:cstheme="minorHAnsi"/>
          <w:color w:val="231F20"/>
          <w:spacing w:val="19"/>
          <w:w w:val="105"/>
        </w:rPr>
        <w:t xml:space="preserve"> </w:t>
      </w:r>
      <w:r w:rsidRPr="00E06806">
        <w:rPr>
          <w:rFonts w:cstheme="minorHAnsi"/>
          <w:color w:val="231F20"/>
          <w:w w:val="105"/>
        </w:rPr>
        <w:t>technical</w:t>
      </w:r>
      <w:r w:rsidRPr="00E06806">
        <w:rPr>
          <w:rFonts w:cstheme="minorHAnsi"/>
          <w:color w:val="231F20"/>
          <w:spacing w:val="-2"/>
          <w:w w:val="105"/>
        </w:rPr>
        <w:t xml:space="preserve"> </w:t>
      </w:r>
      <w:r w:rsidRPr="00E06806">
        <w:rPr>
          <w:rFonts w:cstheme="minorHAnsi"/>
          <w:color w:val="231F20"/>
          <w:w w:val="105"/>
        </w:rPr>
        <w:t>assistance</w:t>
      </w:r>
      <w:r w:rsidRPr="00E06806">
        <w:rPr>
          <w:rFonts w:cstheme="minorHAnsi"/>
          <w:color w:val="231F20"/>
          <w:spacing w:val="21"/>
          <w:w w:val="105"/>
        </w:rPr>
        <w:t xml:space="preserve"> </w:t>
      </w:r>
      <w:r w:rsidRPr="00E06806">
        <w:rPr>
          <w:rFonts w:cstheme="minorHAnsi"/>
          <w:color w:val="231F20"/>
          <w:w w:val="105"/>
        </w:rPr>
        <w:t>requests</w:t>
      </w:r>
      <w:r w:rsidRPr="00E06806">
        <w:rPr>
          <w:rFonts w:cstheme="minorHAnsi"/>
          <w:color w:val="231F20"/>
          <w:spacing w:val="21"/>
          <w:w w:val="105"/>
        </w:rPr>
        <w:t xml:space="preserve"> </w:t>
      </w:r>
      <w:r w:rsidRPr="00E06806">
        <w:rPr>
          <w:rFonts w:cstheme="minorHAnsi"/>
          <w:color w:val="231F20"/>
          <w:w w:val="105"/>
        </w:rPr>
        <w:t>and</w:t>
      </w:r>
      <w:r w:rsidRPr="00E06806">
        <w:rPr>
          <w:rFonts w:cstheme="minorHAnsi"/>
          <w:color w:val="231F20"/>
          <w:spacing w:val="21"/>
          <w:w w:val="105"/>
        </w:rPr>
        <w:t xml:space="preserve"> </w:t>
      </w:r>
      <w:r w:rsidRPr="00E06806">
        <w:rPr>
          <w:rFonts w:cstheme="minorHAnsi"/>
          <w:color w:val="231F20"/>
          <w:w w:val="105"/>
        </w:rPr>
        <w:t>its</w:t>
      </w:r>
      <w:r w:rsidRPr="00E06806">
        <w:rPr>
          <w:rFonts w:cstheme="minorHAnsi"/>
          <w:color w:val="231F20"/>
          <w:spacing w:val="21"/>
          <w:w w:val="105"/>
        </w:rPr>
        <w:t xml:space="preserve"> </w:t>
      </w:r>
      <w:r w:rsidRPr="00E06806">
        <w:rPr>
          <w:rFonts w:cstheme="minorHAnsi"/>
          <w:color w:val="231F20"/>
          <w:w w:val="105"/>
        </w:rPr>
        <w:t>reviews</w:t>
      </w:r>
      <w:r w:rsidRPr="00E06806">
        <w:rPr>
          <w:rFonts w:cstheme="minorHAnsi"/>
          <w:color w:val="231F20"/>
          <w:spacing w:val="21"/>
          <w:w w:val="105"/>
        </w:rPr>
        <w:t xml:space="preserve"> </w:t>
      </w:r>
      <w:r w:rsidRPr="00E06806">
        <w:rPr>
          <w:rFonts w:cstheme="minorHAnsi"/>
          <w:color w:val="231F20"/>
          <w:w w:val="105"/>
        </w:rPr>
        <w:t>of</w:t>
      </w:r>
      <w:r w:rsidRPr="00E06806">
        <w:rPr>
          <w:rFonts w:cstheme="minorHAnsi"/>
          <w:color w:val="231F20"/>
          <w:spacing w:val="21"/>
          <w:w w:val="105"/>
        </w:rPr>
        <w:t xml:space="preserve"> </w:t>
      </w:r>
      <w:r w:rsidRPr="00E06806">
        <w:rPr>
          <w:rFonts w:cstheme="minorHAnsi"/>
          <w:color w:val="231F20"/>
          <w:spacing w:val="-3"/>
          <w:w w:val="105"/>
        </w:rPr>
        <w:t>LWDBs’</w:t>
      </w:r>
      <w:r w:rsidRPr="00E06806">
        <w:rPr>
          <w:rFonts w:cstheme="minorHAnsi"/>
          <w:color w:val="231F20"/>
          <w:spacing w:val="21"/>
          <w:w w:val="105"/>
        </w:rPr>
        <w:t xml:space="preserve"> </w:t>
      </w:r>
      <w:r w:rsidRPr="00E06806">
        <w:rPr>
          <w:rFonts w:cstheme="minorHAnsi"/>
          <w:color w:val="231F20"/>
          <w:w w:val="105"/>
        </w:rPr>
        <w:t>compliance</w:t>
      </w:r>
      <w:r w:rsidRPr="00E06806">
        <w:rPr>
          <w:rFonts w:cstheme="minorHAnsi"/>
          <w:color w:val="231F20"/>
          <w:spacing w:val="21"/>
          <w:w w:val="105"/>
        </w:rPr>
        <w:t xml:space="preserve"> </w:t>
      </w:r>
      <w:r w:rsidRPr="00E06806">
        <w:rPr>
          <w:rFonts w:cstheme="minorHAnsi"/>
          <w:color w:val="231F20"/>
          <w:w w:val="105"/>
        </w:rPr>
        <w:t>with</w:t>
      </w:r>
      <w:r w:rsidRPr="00E06806">
        <w:rPr>
          <w:rFonts w:cstheme="minorHAnsi"/>
          <w:color w:val="231F20"/>
          <w:spacing w:val="21"/>
          <w:w w:val="105"/>
        </w:rPr>
        <w:t xml:space="preserve"> </w:t>
      </w:r>
      <w:r w:rsidRPr="00E06806">
        <w:rPr>
          <w:rFonts w:cstheme="minorHAnsi"/>
          <w:color w:val="231F20"/>
          <w:spacing w:val="-3"/>
          <w:w w:val="105"/>
        </w:rPr>
        <w:t>ADA</w:t>
      </w:r>
      <w:r w:rsidRPr="00E06806">
        <w:rPr>
          <w:rFonts w:cstheme="minorHAnsi"/>
          <w:color w:val="231F20"/>
          <w:spacing w:val="21"/>
          <w:w w:val="105"/>
        </w:rPr>
        <w:t xml:space="preserve"> </w:t>
      </w:r>
      <w:r w:rsidRPr="00E06806">
        <w:rPr>
          <w:rFonts w:cstheme="minorHAnsi"/>
          <w:color w:val="231F20"/>
          <w:w w:val="105"/>
        </w:rPr>
        <w:t>requirements,</w:t>
      </w:r>
      <w:r w:rsidRPr="00E06806">
        <w:rPr>
          <w:rFonts w:cstheme="minorHAnsi"/>
          <w:color w:val="231F20"/>
          <w:spacing w:val="21"/>
          <w:w w:val="105"/>
        </w:rPr>
        <w:t xml:space="preserve"> </w:t>
      </w:r>
      <w:r w:rsidRPr="00E06806">
        <w:rPr>
          <w:rFonts w:cstheme="minorHAnsi"/>
          <w:color w:val="231F20"/>
          <w:w w:val="105"/>
        </w:rPr>
        <w:t>OCR</w:t>
      </w:r>
      <w:r w:rsidRPr="00E06806">
        <w:rPr>
          <w:rFonts w:cstheme="minorHAnsi"/>
          <w:color w:val="231F20"/>
          <w:spacing w:val="21"/>
          <w:w w:val="105"/>
        </w:rPr>
        <w:t xml:space="preserve"> </w:t>
      </w:r>
      <w:r w:rsidR="00E33D24" w:rsidRPr="00E06806">
        <w:rPr>
          <w:rFonts w:cstheme="minorHAnsi"/>
          <w:color w:val="231F20"/>
          <w:w w:val="105"/>
        </w:rPr>
        <w:t xml:space="preserve">provides </w:t>
      </w:r>
      <w:r w:rsidRPr="00E06806">
        <w:rPr>
          <w:rFonts w:cstheme="minorHAnsi"/>
          <w:color w:val="231F20"/>
          <w:w w:val="105"/>
        </w:rPr>
        <w:t xml:space="preserve">formal training onsite or </w:t>
      </w:r>
      <w:r w:rsidR="00E33D24" w:rsidRPr="00E06806">
        <w:rPr>
          <w:rFonts w:cstheme="minorHAnsi"/>
          <w:color w:val="231F20"/>
          <w:w w:val="105"/>
        </w:rPr>
        <w:t xml:space="preserve">on critical topics by </w:t>
      </w:r>
      <w:r w:rsidRPr="00E06806">
        <w:rPr>
          <w:rFonts w:cstheme="minorHAnsi"/>
          <w:color w:val="231F20"/>
          <w:w w:val="105"/>
        </w:rPr>
        <w:t>webinar</w:t>
      </w:r>
      <w:r w:rsidR="00E33D24" w:rsidRPr="00E06806">
        <w:rPr>
          <w:rFonts w:cstheme="minorHAnsi"/>
          <w:color w:val="231F20"/>
          <w:w w:val="105"/>
        </w:rPr>
        <w:t>.</w:t>
      </w:r>
    </w:p>
    <w:p w14:paraId="29037EA5" w14:textId="77777777" w:rsidR="00EA7458" w:rsidRPr="00E06806" w:rsidRDefault="00EA7458" w:rsidP="00D63204">
      <w:pPr>
        <w:widowControl w:val="0"/>
        <w:spacing w:before="5" w:after="0" w:line="240" w:lineRule="auto"/>
        <w:ind w:left="107"/>
        <w:rPr>
          <w:rFonts w:cstheme="minorHAnsi"/>
          <w:sz w:val="16"/>
          <w:szCs w:val="16"/>
        </w:rPr>
      </w:pPr>
    </w:p>
    <w:p w14:paraId="061E44CE" w14:textId="4D1E4802" w:rsidR="00EA7458" w:rsidRPr="00D401C6" w:rsidRDefault="00EA7458" w:rsidP="00D63204">
      <w:pPr>
        <w:widowControl w:val="0"/>
        <w:spacing w:after="0" w:line="264" w:lineRule="exact"/>
        <w:ind w:left="107"/>
        <w:rPr>
          <w:rFonts w:cstheme="minorHAnsi"/>
          <w:color w:val="231F20"/>
          <w:w w:val="105"/>
        </w:rPr>
      </w:pPr>
      <w:r w:rsidRPr="00E06806">
        <w:rPr>
          <w:rFonts w:cstheme="minorHAnsi"/>
          <w:color w:val="231F20"/>
          <w:w w:val="105"/>
        </w:rPr>
        <w:t>In</w:t>
      </w:r>
      <w:r w:rsidRPr="00D401C6">
        <w:rPr>
          <w:rFonts w:cstheme="minorHAnsi"/>
          <w:color w:val="231F20"/>
          <w:w w:val="105"/>
        </w:rPr>
        <w:t xml:space="preserve"> </w:t>
      </w:r>
      <w:r w:rsidRPr="00E06806">
        <w:rPr>
          <w:rFonts w:cstheme="minorHAnsi"/>
          <w:color w:val="231F20"/>
          <w:w w:val="105"/>
        </w:rPr>
        <w:t>2013,</w:t>
      </w:r>
      <w:r w:rsidRPr="00D401C6">
        <w:rPr>
          <w:rFonts w:cstheme="minorHAnsi"/>
          <w:color w:val="231F20"/>
          <w:w w:val="105"/>
        </w:rPr>
        <w:t xml:space="preserve"> </w:t>
      </w:r>
      <w:r w:rsidRPr="00E06806">
        <w:rPr>
          <w:rFonts w:cstheme="minorHAnsi"/>
          <w:color w:val="231F20"/>
          <w:w w:val="105"/>
        </w:rPr>
        <w:t>VR</w:t>
      </w:r>
      <w:r w:rsidRPr="00D401C6">
        <w:rPr>
          <w:rFonts w:cstheme="minorHAnsi"/>
          <w:color w:val="231F20"/>
          <w:w w:val="105"/>
        </w:rPr>
        <w:t xml:space="preserve"> </w:t>
      </w:r>
      <w:r w:rsidRPr="00E06806">
        <w:rPr>
          <w:rFonts w:cstheme="minorHAnsi"/>
          <w:color w:val="231F20"/>
          <w:w w:val="105"/>
        </w:rPr>
        <w:t>introduced</w:t>
      </w:r>
      <w:r w:rsidRPr="00D401C6">
        <w:rPr>
          <w:rFonts w:cstheme="minorHAnsi"/>
          <w:color w:val="231F20"/>
          <w:w w:val="105"/>
        </w:rPr>
        <w:t xml:space="preserve"> </w:t>
      </w:r>
      <w:r w:rsidRPr="00E06806">
        <w:rPr>
          <w:rFonts w:cstheme="minorHAnsi"/>
          <w:color w:val="231F20"/>
          <w:w w:val="105"/>
        </w:rPr>
        <w:t>a</w:t>
      </w:r>
      <w:r w:rsidRPr="00D401C6">
        <w:rPr>
          <w:rFonts w:cstheme="minorHAnsi"/>
          <w:color w:val="231F20"/>
          <w:w w:val="105"/>
        </w:rPr>
        <w:t xml:space="preserve"> </w:t>
      </w:r>
      <w:r w:rsidRPr="00E06806">
        <w:rPr>
          <w:rFonts w:cstheme="minorHAnsi"/>
          <w:color w:val="231F20"/>
          <w:w w:val="105"/>
        </w:rPr>
        <w:t>strategic</w:t>
      </w:r>
      <w:r w:rsidRPr="00D401C6">
        <w:rPr>
          <w:rFonts w:cstheme="minorHAnsi"/>
          <w:color w:val="231F20"/>
          <w:w w:val="105"/>
        </w:rPr>
        <w:t xml:space="preserve"> </w:t>
      </w:r>
      <w:r w:rsidRPr="00E06806">
        <w:rPr>
          <w:rFonts w:cstheme="minorHAnsi"/>
          <w:color w:val="231F20"/>
          <w:w w:val="105"/>
        </w:rPr>
        <w:t>initiative</w:t>
      </w:r>
      <w:r w:rsidRPr="00D401C6">
        <w:rPr>
          <w:rFonts w:cstheme="minorHAnsi"/>
          <w:color w:val="231F20"/>
          <w:w w:val="105"/>
        </w:rPr>
        <w:t xml:space="preserve"> </w:t>
      </w:r>
      <w:r w:rsidRPr="00E06806">
        <w:rPr>
          <w:rFonts w:cstheme="minorHAnsi"/>
          <w:color w:val="231F20"/>
          <w:w w:val="105"/>
        </w:rPr>
        <w:t>to</w:t>
      </w:r>
      <w:r w:rsidRPr="00D401C6">
        <w:rPr>
          <w:rFonts w:cstheme="minorHAnsi"/>
          <w:color w:val="231F20"/>
          <w:w w:val="105"/>
        </w:rPr>
        <w:t xml:space="preserve"> </w:t>
      </w:r>
      <w:r w:rsidRPr="00E06806">
        <w:rPr>
          <w:rFonts w:cstheme="minorHAnsi"/>
          <w:color w:val="231F20"/>
          <w:w w:val="105"/>
        </w:rPr>
        <w:t>ensure</w:t>
      </w:r>
      <w:r w:rsidRPr="00D401C6">
        <w:rPr>
          <w:rFonts w:cstheme="minorHAnsi"/>
          <w:color w:val="231F20"/>
          <w:w w:val="105"/>
        </w:rPr>
        <w:t xml:space="preserve"> </w:t>
      </w:r>
      <w:r w:rsidRPr="00E06806">
        <w:rPr>
          <w:rFonts w:cstheme="minorHAnsi"/>
          <w:color w:val="231F20"/>
          <w:w w:val="105"/>
        </w:rPr>
        <w:t>accessibility</w:t>
      </w:r>
      <w:r w:rsidRPr="00D401C6">
        <w:rPr>
          <w:rFonts w:cstheme="minorHAnsi"/>
          <w:color w:val="231F20"/>
          <w:w w:val="105"/>
        </w:rPr>
        <w:t xml:space="preserve"> </w:t>
      </w:r>
      <w:r w:rsidRPr="00E06806">
        <w:rPr>
          <w:rFonts w:cstheme="minorHAnsi"/>
          <w:color w:val="231F20"/>
          <w:w w:val="105"/>
        </w:rPr>
        <w:t>of</w:t>
      </w:r>
      <w:r w:rsidRPr="00D401C6">
        <w:rPr>
          <w:rFonts w:cstheme="minorHAnsi"/>
          <w:color w:val="231F20"/>
          <w:w w:val="105"/>
        </w:rPr>
        <w:t xml:space="preserve"> </w:t>
      </w:r>
      <w:r w:rsidRPr="00E06806">
        <w:rPr>
          <w:rFonts w:cstheme="minorHAnsi"/>
          <w:color w:val="231F20"/>
          <w:w w:val="105"/>
        </w:rPr>
        <w:t>all</w:t>
      </w:r>
      <w:r w:rsidRPr="00D401C6">
        <w:rPr>
          <w:rFonts w:cstheme="minorHAnsi"/>
          <w:color w:val="231F20"/>
          <w:w w:val="105"/>
        </w:rPr>
        <w:t xml:space="preserve"> </w:t>
      </w:r>
      <w:r w:rsidRPr="00E06806">
        <w:rPr>
          <w:rFonts w:cstheme="minorHAnsi"/>
          <w:color w:val="231F20"/>
          <w:w w:val="105"/>
        </w:rPr>
        <w:t>agency</w:t>
      </w:r>
      <w:r w:rsidRPr="00D401C6">
        <w:rPr>
          <w:rFonts w:cstheme="minorHAnsi"/>
          <w:color w:val="231F20"/>
          <w:w w:val="105"/>
        </w:rPr>
        <w:t xml:space="preserve"> </w:t>
      </w:r>
      <w:r w:rsidRPr="00E06806">
        <w:rPr>
          <w:rFonts w:cstheme="minorHAnsi"/>
          <w:color w:val="231F20"/>
          <w:w w:val="105"/>
        </w:rPr>
        <w:t>components</w:t>
      </w:r>
      <w:r w:rsidR="00E33D24" w:rsidRPr="00E06806">
        <w:rPr>
          <w:rFonts w:cstheme="minorHAnsi"/>
          <w:color w:val="231F20"/>
          <w:w w:val="105"/>
        </w:rPr>
        <w:t xml:space="preserve"> including </w:t>
      </w:r>
      <w:r w:rsidRPr="00E06806">
        <w:rPr>
          <w:rFonts w:cstheme="minorHAnsi"/>
          <w:color w:val="231F20"/>
          <w:w w:val="105"/>
        </w:rPr>
        <w:t>programs,</w:t>
      </w:r>
      <w:r w:rsidRPr="00D401C6">
        <w:rPr>
          <w:rFonts w:cstheme="minorHAnsi"/>
          <w:color w:val="231F20"/>
          <w:w w:val="105"/>
        </w:rPr>
        <w:t xml:space="preserve"> </w:t>
      </w:r>
      <w:r w:rsidRPr="00E06806">
        <w:rPr>
          <w:rFonts w:cstheme="minorHAnsi"/>
          <w:color w:val="231F20"/>
          <w:w w:val="105"/>
        </w:rPr>
        <w:t>facilities, personnel and hiring practices, online resources, internal and external communications</w:t>
      </w:r>
      <w:r w:rsidR="000F30C3">
        <w:rPr>
          <w:rFonts w:cstheme="minorHAnsi"/>
          <w:color w:val="231F20"/>
          <w:w w:val="105"/>
        </w:rPr>
        <w:t>,</w:t>
      </w:r>
    </w:p>
    <w:p w14:paraId="55412734" w14:textId="11CEF27F" w:rsidR="00826367" w:rsidRPr="00D401C6" w:rsidRDefault="00E33D24" w:rsidP="00D63204">
      <w:pPr>
        <w:widowControl w:val="0"/>
        <w:spacing w:after="0" w:line="264" w:lineRule="exact"/>
        <w:ind w:left="107"/>
        <w:rPr>
          <w:rFonts w:cstheme="minorHAnsi"/>
          <w:color w:val="231F20"/>
          <w:w w:val="105"/>
        </w:rPr>
      </w:pPr>
      <w:r w:rsidRPr="00E06806">
        <w:rPr>
          <w:rFonts w:cstheme="minorHAnsi"/>
          <w:color w:val="231F20"/>
          <w:w w:val="105"/>
        </w:rPr>
        <w:t>a</w:t>
      </w:r>
      <w:r w:rsidR="00EA7458" w:rsidRPr="00E06806">
        <w:rPr>
          <w:rFonts w:cstheme="minorHAnsi"/>
          <w:color w:val="231F20"/>
          <w:w w:val="105"/>
        </w:rPr>
        <w:t>nd</w:t>
      </w:r>
      <w:r w:rsidR="00EA7458" w:rsidRPr="00D401C6">
        <w:rPr>
          <w:rFonts w:cstheme="minorHAnsi"/>
          <w:color w:val="231F20"/>
          <w:w w:val="105"/>
        </w:rPr>
        <w:t xml:space="preserve"> </w:t>
      </w:r>
      <w:r w:rsidR="00EA7458" w:rsidRPr="00E06806">
        <w:rPr>
          <w:rFonts w:cstheme="minorHAnsi"/>
          <w:color w:val="231F20"/>
          <w:w w:val="105"/>
        </w:rPr>
        <w:t>technology</w:t>
      </w:r>
      <w:r w:rsidR="00EA7458" w:rsidRPr="00D401C6">
        <w:rPr>
          <w:rFonts w:cstheme="minorHAnsi"/>
          <w:color w:val="231F20"/>
          <w:w w:val="105"/>
        </w:rPr>
        <w:t xml:space="preserve"> </w:t>
      </w:r>
      <w:r w:rsidR="00EA7458" w:rsidRPr="00E06806">
        <w:rPr>
          <w:rFonts w:cstheme="minorHAnsi"/>
          <w:color w:val="231F20"/>
          <w:w w:val="105"/>
        </w:rPr>
        <w:t>systems.</w:t>
      </w:r>
      <w:r w:rsidR="00EA7458" w:rsidRPr="00D401C6">
        <w:rPr>
          <w:rFonts w:cstheme="minorHAnsi"/>
          <w:color w:val="231F20"/>
          <w:w w:val="105"/>
        </w:rPr>
        <w:t xml:space="preserve"> </w:t>
      </w:r>
      <w:r w:rsidRPr="00E06806">
        <w:rPr>
          <w:rFonts w:cstheme="minorHAnsi"/>
          <w:color w:val="231F20"/>
          <w:w w:val="105"/>
        </w:rPr>
        <w:t>S</w:t>
      </w:r>
      <w:r w:rsidR="00EA7458" w:rsidRPr="00E06806">
        <w:rPr>
          <w:rFonts w:cstheme="minorHAnsi"/>
          <w:color w:val="231F20"/>
          <w:w w:val="105"/>
        </w:rPr>
        <w:t>trategies</w:t>
      </w:r>
      <w:r w:rsidR="00EA7458" w:rsidRPr="00D401C6">
        <w:rPr>
          <w:rFonts w:cstheme="minorHAnsi"/>
          <w:color w:val="231F20"/>
          <w:w w:val="105"/>
        </w:rPr>
        <w:t xml:space="preserve"> </w:t>
      </w:r>
      <w:r w:rsidR="00EA7458" w:rsidRPr="00E06806">
        <w:rPr>
          <w:rFonts w:cstheme="minorHAnsi"/>
          <w:color w:val="231F20"/>
          <w:w w:val="105"/>
        </w:rPr>
        <w:t>are</w:t>
      </w:r>
      <w:r w:rsidR="00EA7458" w:rsidRPr="00D401C6">
        <w:rPr>
          <w:rFonts w:cstheme="minorHAnsi"/>
          <w:color w:val="231F20"/>
          <w:w w:val="105"/>
        </w:rPr>
        <w:t xml:space="preserve"> </w:t>
      </w:r>
      <w:r w:rsidR="00EA7458" w:rsidRPr="00E06806">
        <w:rPr>
          <w:rFonts w:cstheme="minorHAnsi"/>
          <w:color w:val="231F20"/>
          <w:w w:val="105"/>
        </w:rPr>
        <w:t>now</w:t>
      </w:r>
      <w:r w:rsidR="00EA7458" w:rsidRPr="00D401C6">
        <w:rPr>
          <w:rFonts w:cstheme="minorHAnsi"/>
          <w:color w:val="231F20"/>
          <w:w w:val="105"/>
        </w:rPr>
        <w:t xml:space="preserve"> </w:t>
      </w:r>
      <w:r w:rsidR="00EA7458" w:rsidRPr="00E06806">
        <w:rPr>
          <w:rFonts w:cstheme="minorHAnsi"/>
          <w:color w:val="231F20"/>
          <w:w w:val="105"/>
        </w:rPr>
        <w:t>built</w:t>
      </w:r>
      <w:r w:rsidR="00EA7458" w:rsidRPr="00D401C6">
        <w:rPr>
          <w:rFonts w:cstheme="minorHAnsi"/>
          <w:color w:val="231F20"/>
          <w:w w:val="105"/>
        </w:rPr>
        <w:t xml:space="preserve"> </w:t>
      </w:r>
      <w:r w:rsidR="00EA7458" w:rsidRPr="00E06806">
        <w:rPr>
          <w:rFonts w:cstheme="minorHAnsi"/>
          <w:color w:val="231F20"/>
          <w:w w:val="105"/>
        </w:rPr>
        <w:t>into</w:t>
      </w:r>
      <w:r w:rsidR="00EA7458" w:rsidRPr="00D401C6">
        <w:rPr>
          <w:rFonts w:cstheme="minorHAnsi"/>
          <w:color w:val="231F20"/>
          <w:w w:val="105"/>
        </w:rPr>
        <w:t xml:space="preserve"> </w:t>
      </w:r>
      <w:r w:rsidR="00EA7458" w:rsidRPr="00E06806">
        <w:rPr>
          <w:rFonts w:cstheme="minorHAnsi"/>
          <w:color w:val="231F20"/>
          <w:w w:val="105"/>
        </w:rPr>
        <w:t>VR</w:t>
      </w:r>
      <w:r w:rsidR="00EA7458" w:rsidRPr="00D401C6">
        <w:rPr>
          <w:rFonts w:cstheme="minorHAnsi"/>
          <w:color w:val="231F20"/>
          <w:w w:val="105"/>
        </w:rPr>
        <w:t xml:space="preserve"> </w:t>
      </w:r>
      <w:r w:rsidR="00EA7458" w:rsidRPr="00E06806">
        <w:rPr>
          <w:rFonts w:cstheme="minorHAnsi"/>
          <w:color w:val="231F20"/>
          <w:w w:val="105"/>
        </w:rPr>
        <w:t>operational</w:t>
      </w:r>
      <w:r w:rsidR="00EA7458" w:rsidRPr="00D401C6">
        <w:rPr>
          <w:rFonts w:cstheme="minorHAnsi"/>
          <w:color w:val="231F20"/>
          <w:w w:val="105"/>
        </w:rPr>
        <w:t xml:space="preserve"> </w:t>
      </w:r>
      <w:r w:rsidR="00EA7458" w:rsidRPr="00E06806">
        <w:rPr>
          <w:rFonts w:cstheme="minorHAnsi"/>
          <w:color w:val="231F20"/>
          <w:w w:val="105"/>
        </w:rPr>
        <w:t>procedures.</w:t>
      </w:r>
      <w:r w:rsidR="00EA7458" w:rsidRPr="00D401C6">
        <w:rPr>
          <w:rFonts w:cstheme="minorHAnsi"/>
          <w:color w:val="231F20"/>
          <w:w w:val="105"/>
        </w:rPr>
        <w:t xml:space="preserve"> </w:t>
      </w:r>
      <w:r w:rsidRPr="00D401C6">
        <w:rPr>
          <w:rFonts w:cstheme="minorHAnsi"/>
          <w:color w:val="231F20"/>
          <w:w w:val="105"/>
        </w:rPr>
        <w:t>F</w:t>
      </w:r>
      <w:r w:rsidRPr="00E06806">
        <w:rPr>
          <w:rFonts w:cstheme="minorHAnsi"/>
          <w:color w:val="231F20"/>
          <w:w w:val="105"/>
        </w:rPr>
        <w:t>ollowing</w:t>
      </w:r>
      <w:r w:rsidRPr="00D401C6">
        <w:rPr>
          <w:rFonts w:cstheme="minorHAnsi"/>
          <w:color w:val="231F20"/>
          <w:w w:val="105"/>
        </w:rPr>
        <w:t xml:space="preserve"> ADA </w:t>
      </w:r>
      <w:r w:rsidRPr="00E06806">
        <w:rPr>
          <w:rFonts w:cstheme="minorHAnsi"/>
          <w:color w:val="231F20"/>
          <w:w w:val="105"/>
        </w:rPr>
        <w:t>Title</w:t>
      </w:r>
      <w:r w:rsidRPr="00D401C6">
        <w:rPr>
          <w:rFonts w:cstheme="minorHAnsi"/>
          <w:color w:val="231F20"/>
          <w:w w:val="105"/>
        </w:rPr>
        <w:t xml:space="preserve"> </w:t>
      </w:r>
      <w:r w:rsidRPr="00E06806">
        <w:rPr>
          <w:rFonts w:cstheme="minorHAnsi"/>
          <w:color w:val="231F20"/>
          <w:w w:val="105"/>
        </w:rPr>
        <w:t>II</w:t>
      </w:r>
      <w:r w:rsidRPr="00D401C6">
        <w:rPr>
          <w:rFonts w:cstheme="minorHAnsi"/>
          <w:color w:val="231F20"/>
          <w:w w:val="105"/>
        </w:rPr>
        <w:t xml:space="preserve"> </w:t>
      </w:r>
      <w:r w:rsidRPr="00E06806">
        <w:rPr>
          <w:rFonts w:cstheme="minorHAnsi"/>
          <w:color w:val="231F20"/>
          <w:w w:val="105"/>
        </w:rPr>
        <w:t xml:space="preserve">requirements, </w:t>
      </w:r>
      <w:r w:rsidR="00EA7458" w:rsidRPr="00E06806">
        <w:rPr>
          <w:rFonts w:cstheme="minorHAnsi"/>
          <w:color w:val="231F20"/>
          <w:w w:val="105"/>
        </w:rPr>
        <w:t>FDOE</w:t>
      </w:r>
      <w:r w:rsidR="00EA7458" w:rsidRPr="00D401C6">
        <w:rPr>
          <w:rFonts w:cstheme="minorHAnsi"/>
          <w:color w:val="231F20"/>
          <w:w w:val="105"/>
        </w:rPr>
        <w:t xml:space="preserve"> </w:t>
      </w:r>
      <w:r w:rsidR="00EA7458" w:rsidRPr="00E06806">
        <w:rPr>
          <w:rFonts w:cstheme="minorHAnsi"/>
          <w:color w:val="231F20"/>
          <w:w w:val="105"/>
        </w:rPr>
        <w:t>Leasing</w:t>
      </w:r>
      <w:r w:rsidR="00EA7458" w:rsidRPr="00D401C6">
        <w:rPr>
          <w:rFonts w:cstheme="minorHAnsi"/>
          <w:color w:val="231F20"/>
          <w:w w:val="105"/>
        </w:rPr>
        <w:t xml:space="preserve"> </w:t>
      </w:r>
      <w:r w:rsidR="00EA7458" w:rsidRPr="00E06806">
        <w:rPr>
          <w:rFonts w:cstheme="minorHAnsi"/>
          <w:color w:val="231F20"/>
          <w:w w:val="105"/>
        </w:rPr>
        <w:t>staff</w:t>
      </w:r>
      <w:r w:rsidR="00EA7458" w:rsidRPr="00D401C6">
        <w:rPr>
          <w:rFonts w:cstheme="minorHAnsi"/>
          <w:color w:val="231F20"/>
          <w:w w:val="105"/>
        </w:rPr>
        <w:t xml:space="preserve"> </w:t>
      </w:r>
      <w:r w:rsidR="00EA7458" w:rsidRPr="00E06806">
        <w:rPr>
          <w:rFonts w:cstheme="minorHAnsi"/>
          <w:color w:val="231F20"/>
          <w:w w:val="105"/>
        </w:rPr>
        <w:t>conducts</w:t>
      </w:r>
      <w:r w:rsidR="00EA7458" w:rsidRPr="00D401C6">
        <w:rPr>
          <w:rFonts w:cstheme="minorHAnsi"/>
          <w:color w:val="231F20"/>
          <w:w w:val="105"/>
        </w:rPr>
        <w:t xml:space="preserve"> ADA </w:t>
      </w:r>
      <w:r w:rsidR="00EA7458" w:rsidRPr="00E06806">
        <w:rPr>
          <w:rFonts w:cstheme="minorHAnsi"/>
          <w:color w:val="231F20"/>
          <w:w w:val="105"/>
        </w:rPr>
        <w:t>inspections</w:t>
      </w:r>
      <w:r w:rsidR="00EA7458" w:rsidRPr="00D401C6">
        <w:rPr>
          <w:rFonts w:cstheme="minorHAnsi"/>
          <w:color w:val="231F20"/>
          <w:w w:val="105"/>
        </w:rPr>
        <w:t xml:space="preserve"> </w:t>
      </w:r>
      <w:r w:rsidR="00EA7458" w:rsidRPr="00E06806">
        <w:rPr>
          <w:rFonts w:cstheme="minorHAnsi"/>
          <w:color w:val="231F20"/>
          <w:w w:val="105"/>
        </w:rPr>
        <w:t>of</w:t>
      </w:r>
      <w:r w:rsidR="00EA7458" w:rsidRPr="00D401C6">
        <w:rPr>
          <w:rFonts w:cstheme="minorHAnsi"/>
          <w:color w:val="231F20"/>
          <w:w w:val="105"/>
        </w:rPr>
        <w:t xml:space="preserve"> </w:t>
      </w:r>
      <w:r w:rsidR="00EA7458" w:rsidRPr="00E06806">
        <w:rPr>
          <w:rFonts w:cstheme="minorHAnsi"/>
          <w:color w:val="231F20"/>
          <w:w w:val="105"/>
        </w:rPr>
        <w:t>all</w:t>
      </w:r>
      <w:r w:rsidR="00EA7458" w:rsidRPr="00D401C6">
        <w:rPr>
          <w:rFonts w:cstheme="minorHAnsi"/>
          <w:color w:val="231F20"/>
          <w:w w:val="105"/>
        </w:rPr>
        <w:t xml:space="preserve"> </w:t>
      </w:r>
      <w:r w:rsidR="00EA7458" w:rsidRPr="00E06806">
        <w:rPr>
          <w:rFonts w:cstheme="minorHAnsi"/>
          <w:color w:val="231F20"/>
          <w:w w:val="105"/>
        </w:rPr>
        <w:t>new</w:t>
      </w:r>
      <w:r w:rsidR="00EA7458" w:rsidRPr="00D401C6">
        <w:rPr>
          <w:rFonts w:cstheme="minorHAnsi"/>
          <w:color w:val="231F20"/>
          <w:w w:val="105"/>
        </w:rPr>
        <w:t xml:space="preserve"> </w:t>
      </w:r>
      <w:r w:rsidR="00EA7458" w:rsidRPr="00E06806">
        <w:rPr>
          <w:rFonts w:cstheme="minorHAnsi"/>
          <w:color w:val="231F20"/>
          <w:w w:val="105"/>
        </w:rPr>
        <w:t>or</w:t>
      </w:r>
      <w:r w:rsidR="00EA7458" w:rsidRPr="00D401C6">
        <w:rPr>
          <w:rFonts w:cstheme="minorHAnsi"/>
          <w:color w:val="231F20"/>
          <w:w w:val="105"/>
        </w:rPr>
        <w:t xml:space="preserve"> </w:t>
      </w:r>
      <w:r w:rsidR="00EA7458" w:rsidRPr="00E06806">
        <w:rPr>
          <w:rFonts w:cstheme="minorHAnsi"/>
          <w:color w:val="231F20"/>
          <w:w w:val="105"/>
        </w:rPr>
        <w:t>renewed</w:t>
      </w:r>
      <w:r w:rsidR="00EA7458" w:rsidRPr="00D401C6">
        <w:rPr>
          <w:rFonts w:cstheme="minorHAnsi"/>
          <w:color w:val="231F20"/>
          <w:w w:val="105"/>
        </w:rPr>
        <w:t xml:space="preserve"> </w:t>
      </w:r>
      <w:r w:rsidR="00EA7458" w:rsidRPr="00E06806">
        <w:rPr>
          <w:rFonts w:cstheme="minorHAnsi"/>
          <w:color w:val="231F20"/>
          <w:w w:val="105"/>
        </w:rPr>
        <w:t>VR</w:t>
      </w:r>
      <w:r w:rsidR="00EA7458" w:rsidRPr="00D401C6">
        <w:rPr>
          <w:rFonts w:cstheme="minorHAnsi"/>
          <w:color w:val="231F20"/>
          <w:w w:val="105"/>
        </w:rPr>
        <w:t xml:space="preserve"> </w:t>
      </w:r>
      <w:r w:rsidR="00EA7458" w:rsidRPr="00E06806">
        <w:rPr>
          <w:rFonts w:cstheme="minorHAnsi"/>
          <w:color w:val="231F20"/>
          <w:w w:val="105"/>
        </w:rPr>
        <w:t>office</w:t>
      </w:r>
      <w:r w:rsidR="00EA7458" w:rsidRPr="00D401C6">
        <w:rPr>
          <w:rFonts w:cstheme="minorHAnsi"/>
          <w:color w:val="231F20"/>
          <w:w w:val="105"/>
        </w:rPr>
        <w:t xml:space="preserve"> </w:t>
      </w:r>
      <w:r w:rsidR="00EA7458" w:rsidRPr="00E06806">
        <w:rPr>
          <w:rFonts w:cstheme="minorHAnsi"/>
          <w:color w:val="231F20"/>
          <w:w w:val="105"/>
        </w:rPr>
        <w:t>leases.</w:t>
      </w:r>
      <w:r w:rsidR="00EA7458" w:rsidRPr="00D401C6">
        <w:rPr>
          <w:rFonts w:cstheme="minorHAnsi"/>
          <w:color w:val="231F20"/>
          <w:w w:val="105"/>
        </w:rPr>
        <w:t xml:space="preserve"> </w:t>
      </w:r>
      <w:r w:rsidR="00EA7458" w:rsidRPr="00E06806">
        <w:rPr>
          <w:rFonts w:cstheme="minorHAnsi"/>
          <w:color w:val="231F20"/>
          <w:w w:val="105"/>
        </w:rPr>
        <w:t>VR</w:t>
      </w:r>
      <w:r w:rsidR="00EA7458" w:rsidRPr="00D401C6">
        <w:rPr>
          <w:rFonts w:cstheme="minorHAnsi"/>
          <w:color w:val="231F20"/>
          <w:w w:val="105"/>
        </w:rPr>
        <w:t xml:space="preserve"> </w:t>
      </w:r>
      <w:r w:rsidR="00EA7458" w:rsidRPr="00E06806">
        <w:rPr>
          <w:rFonts w:cstheme="minorHAnsi"/>
          <w:color w:val="231F20"/>
          <w:w w:val="105"/>
        </w:rPr>
        <w:t>offices</w:t>
      </w:r>
      <w:r w:rsidR="00EA7458" w:rsidRPr="00D401C6">
        <w:rPr>
          <w:rFonts w:cstheme="minorHAnsi"/>
          <w:color w:val="231F20"/>
          <w:w w:val="105"/>
        </w:rPr>
        <w:t xml:space="preserve"> </w:t>
      </w:r>
      <w:r w:rsidR="00EA7458" w:rsidRPr="00E06806">
        <w:rPr>
          <w:rFonts w:cstheme="minorHAnsi"/>
          <w:color w:val="231F20"/>
          <w:w w:val="105"/>
        </w:rPr>
        <w:t>inspected</w:t>
      </w:r>
      <w:r w:rsidR="00EA7458" w:rsidRPr="00D401C6">
        <w:rPr>
          <w:rFonts w:cstheme="minorHAnsi"/>
          <w:color w:val="231F20"/>
          <w:w w:val="105"/>
        </w:rPr>
        <w:t xml:space="preserve"> </w:t>
      </w:r>
      <w:r w:rsidR="00EA7458" w:rsidRPr="00E06806">
        <w:rPr>
          <w:rFonts w:cstheme="minorHAnsi"/>
          <w:color w:val="231F20"/>
          <w:w w:val="105"/>
        </w:rPr>
        <w:t>and</w:t>
      </w:r>
      <w:r w:rsidR="00EA7458" w:rsidRPr="00D401C6">
        <w:rPr>
          <w:rFonts w:cstheme="minorHAnsi"/>
          <w:color w:val="231F20"/>
          <w:w w:val="105"/>
        </w:rPr>
        <w:t xml:space="preserve"> </w:t>
      </w:r>
      <w:r w:rsidR="00EA7458" w:rsidRPr="00E06806">
        <w:rPr>
          <w:rFonts w:cstheme="minorHAnsi"/>
          <w:color w:val="231F20"/>
          <w:w w:val="105"/>
        </w:rPr>
        <w:t>found</w:t>
      </w:r>
      <w:r w:rsidR="00EA7458" w:rsidRPr="00D401C6">
        <w:rPr>
          <w:rFonts w:cstheme="minorHAnsi"/>
          <w:color w:val="231F20"/>
          <w:w w:val="105"/>
        </w:rPr>
        <w:t xml:space="preserve"> </w:t>
      </w:r>
      <w:r w:rsidRPr="00E06806">
        <w:rPr>
          <w:rFonts w:cstheme="minorHAnsi"/>
          <w:color w:val="231F20"/>
          <w:w w:val="105"/>
        </w:rPr>
        <w:t xml:space="preserve">out of </w:t>
      </w:r>
      <w:r w:rsidR="00EA7458" w:rsidRPr="00E06806">
        <w:rPr>
          <w:rFonts w:cstheme="minorHAnsi"/>
          <w:color w:val="231F20"/>
          <w:w w:val="105"/>
        </w:rPr>
        <w:t>compliance</w:t>
      </w:r>
      <w:r w:rsidR="00EA7458" w:rsidRPr="00D401C6">
        <w:rPr>
          <w:rFonts w:cstheme="minorHAnsi"/>
          <w:color w:val="231F20"/>
          <w:w w:val="105"/>
        </w:rPr>
        <w:t xml:space="preserve"> </w:t>
      </w:r>
      <w:r w:rsidR="00EA7458" w:rsidRPr="00E06806">
        <w:rPr>
          <w:rFonts w:cstheme="minorHAnsi"/>
          <w:color w:val="231F20"/>
          <w:w w:val="105"/>
        </w:rPr>
        <w:t>have</w:t>
      </w:r>
      <w:r w:rsidR="00EA7458" w:rsidRPr="00D401C6">
        <w:rPr>
          <w:rFonts w:cstheme="minorHAnsi"/>
          <w:color w:val="231F20"/>
          <w:w w:val="105"/>
        </w:rPr>
        <w:t xml:space="preserve"> </w:t>
      </w:r>
      <w:r w:rsidR="00EA7458" w:rsidRPr="00E06806">
        <w:rPr>
          <w:rFonts w:cstheme="minorHAnsi"/>
          <w:color w:val="231F20"/>
          <w:w w:val="105"/>
        </w:rPr>
        <w:t>a</w:t>
      </w:r>
      <w:r w:rsidR="00EA7458" w:rsidRPr="00D401C6">
        <w:rPr>
          <w:rFonts w:cstheme="minorHAnsi"/>
          <w:color w:val="231F20"/>
          <w:w w:val="105"/>
        </w:rPr>
        <w:t xml:space="preserve"> </w:t>
      </w:r>
      <w:r w:rsidR="00EA7458" w:rsidRPr="00E06806">
        <w:rPr>
          <w:rFonts w:cstheme="minorHAnsi"/>
          <w:color w:val="231F20"/>
          <w:w w:val="105"/>
        </w:rPr>
        <w:t>504</w:t>
      </w:r>
      <w:r w:rsidR="00EA7458" w:rsidRPr="00D401C6">
        <w:rPr>
          <w:rFonts w:cstheme="minorHAnsi"/>
          <w:color w:val="231F20"/>
          <w:w w:val="105"/>
        </w:rPr>
        <w:t xml:space="preserve"> </w:t>
      </w:r>
      <w:r w:rsidR="00EA7458" w:rsidRPr="00E06806">
        <w:rPr>
          <w:rFonts w:cstheme="minorHAnsi"/>
          <w:color w:val="231F20"/>
          <w:w w:val="105"/>
        </w:rPr>
        <w:t>Plan</w:t>
      </w:r>
      <w:r w:rsidRPr="00E06806">
        <w:rPr>
          <w:rFonts w:cstheme="minorHAnsi"/>
          <w:color w:val="231F20"/>
          <w:w w:val="105"/>
        </w:rPr>
        <w:t xml:space="preserve"> </w:t>
      </w:r>
      <w:r w:rsidR="00EA7458" w:rsidRPr="00E06806">
        <w:rPr>
          <w:rFonts w:cstheme="minorHAnsi"/>
          <w:color w:val="231F20"/>
          <w:w w:val="105"/>
        </w:rPr>
        <w:t>which</w:t>
      </w:r>
      <w:r w:rsidR="00EA7458" w:rsidRPr="00D401C6">
        <w:rPr>
          <w:rFonts w:cstheme="minorHAnsi"/>
          <w:color w:val="231F20"/>
          <w:w w:val="105"/>
        </w:rPr>
        <w:t xml:space="preserve"> </w:t>
      </w:r>
      <w:r w:rsidR="00EA7458" w:rsidRPr="00E06806">
        <w:rPr>
          <w:rFonts w:cstheme="minorHAnsi"/>
          <w:color w:val="231F20"/>
          <w:w w:val="105"/>
        </w:rPr>
        <w:t>describes</w:t>
      </w:r>
      <w:r w:rsidR="00EA7458" w:rsidRPr="00D401C6">
        <w:rPr>
          <w:rFonts w:cstheme="minorHAnsi"/>
          <w:color w:val="231F20"/>
          <w:w w:val="105"/>
        </w:rPr>
        <w:t xml:space="preserve"> </w:t>
      </w:r>
      <w:r w:rsidR="00EA7458" w:rsidRPr="00E06806">
        <w:rPr>
          <w:rFonts w:cstheme="minorHAnsi"/>
          <w:color w:val="231F20"/>
          <w:w w:val="105"/>
        </w:rPr>
        <w:t>accessibility</w:t>
      </w:r>
      <w:r w:rsidR="00EA7458" w:rsidRPr="00D401C6">
        <w:rPr>
          <w:rFonts w:cstheme="minorHAnsi"/>
          <w:color w:val="231F20"/>
          <w:w w:val="105"/>
        </w:rPr>
        <w:t xml:space="preserve"> </w:t>
      </w:r>
      <w:r w:rsidR="00EA7458" w:rsidRPr="00E06806">
        <w:rPr>
          <w:rFonts w:cstheme="minorHAnsi"/>
          <w:color w:val="231F20"/>
          <w:w w:val="105"/>
        </w:rPr>
        <w:t>improvements</w:t>
      </w:r>
      <w:r w:rsidR="00EA7458" w:rsidRPr="00D401C6">
        <w:rPr>
          <w:rFonts w:cstheme="minorHAnsi"/>
          <w:color w:val="231F20"/>
          <w:w w:val="105"/>
        </w:rPr>
        <w:t xml:space="preserve"> </w:t>
      </w:r>
      <w:r w:rsidR="00EA7458" w:rsidRPr="00E06806">
        <w:rPr>
          <w:rFonts w:cstheme="minorHAnsi"/>
          <w:color w:val="231F20"/>
          <w:w w:val="105"/>
        </w:rPr>
        <w:t>planned</w:t>
      </w:r>
      <w:r w:rsidR="00EA7458" w:rsidRPr="00D401C6">
        <w:rPr>
          <w:rFonts w:cstheme="minorHAnsi"/>
          <w:color w:val="231F20"/>
          <w:w w:val="105"/>
        </w:rPr>
        <w:t xml:space="preserve"> </w:t>
      </w:r>
      <w:r w:rsidR="00EA7458" w:rsidRPr="00E06806">
        <w:rPr>
          <w:rFonts w:cstheme="minorHAnsi"/>
          <w:color w:val="231F20"/>
          <w:w w:val="105"/>
        </w:rPr>
        <w:t>for</w:t>
      </w:r>
      <w:r w:rsidR="00EA7458" w:rsidRPr="00D401C6">
        <w:rPr>
          <w:rFonts w:cstheme="minorHAnsi"/>
          <w:color w:val="231F20"/>
          <w:w w:val="105"/>
        </w:rPr>
        <w:t xml:space="preserve"> </w:t>
      </w:r>
      <w:r w:rsidR="00EA7458" w:rsidRPr="00E06806">
        <w:rPr>
          <w:rFonts w:cstheme="minorHAnsi"/>
          <w:color w:val="231F20"/>
          <w:w w:val="105"/>
        </w:rPr>
        <w:t>the</w:t>
      </w:r>
      <w:r w:rsidR="00EA7458" w:rsidRPr="00D401C6">
        <w:rPr>
          <w:rFonts w:cstheme="minorHAnsi"/>
          <w:color w:val="231F20"/>
          <w:w w:val="105"/>
        </w:rPr>
        <w:t xml:space="preserve"> </w:t>
      </w:r>
      <w:r w:rsidR="00EA7458" w:rsidRPr="00E06806">
        <w:rPr>
          <w:rFonts w:cstheme="minorHAnsi"/>
          <w:color w:val="231F20"/>
          <w:w w:val="105"/>
        </w:rPr>
        <w:t>facility.</w:t>
      </w:r>
      <w:r w:rsidR="00EA7458" w:rsidRPr="00D401C6">
        <w:rPr>
          <w:rFonts w:cstheme="minorHAnsi"/>
          <w:color w:val="231F20"/>
          <w:w w:val="105"/>
        </w:rPr>
        <w:t xml:space="preserve"> </w:t>
      </w:r>
      <w:r w:rsidR="00EA7458" w:rsidRPr="00E06806">
        <w:rPr>
          <w:rFonts w:cstheme="minorHAnsi"/>
          <w:color w:val="231F20"/>
          <w:w w:val="105"/>
        </w:rPr>
        <w:t>VR</w:t>
      </w:r>
      <w:r w:rsidR="00EA7458" w:rsidRPr="00D401C6">
        <w:rPr>
          <w:rFonts w:cstheme="minorHAnsi"/>
          <w:color w:val="231F20"/>
          <w:w w:val="105"/>
        </w:rPr>
        <w:t xml:space="preserve"> </w:t>
      </w:r>
      <w:r w:rsidR="00EA7458" w:rsidRPr="00E06806">
        <w:rPr>
          <w:rFonts w:cstheme="minorHAnsi"/>
          <w:color w:val="231F20"/>
          <w:w w:val="105"/>
        </w:rPr>
        <w:t>customers</w:t>
      </w:r>
      <w:r w:rsidR="00EA7458" w:rsidRPr="00D401C6">
        <w:rPr>
          <w:rFonts w:cstheme="minorHAnsi"/>
          <w:color w:val="231F20"/>
          <w:w w:val="105"/>
        </w:rPr>
        <w:t xml:space="preserve"> </w:t>
      </w:r>
      <w:r w:rsidR="00EA7458" w:rsidRPr="00E06806">
        <w:rPr>
          <w:rFonts w:cstheme="minorHAnsi"/>
          <w:color w:val="231F20"/>
          <w:w w:val="105"/>
        </w:rPr>
        <w:t>are</w:t>
      </w:r>
      <w:r w:rsidR="00EA7458" w:rsidRPr="00D401C6">
        <w:rPr>
          <w:rFonts w:cstheme="minorHAnsi"/>
          <w:color w:val="231F20"/>
          <w:w w:val="105"/>
        </w:rPr>
        <w:t xml:space="preserve"> </w:t>
      </w:r>
      <w:r w:rsidR="00EA7458" w:rsidRPr="00E06806">
        <w:rPr>
          <w:rFonts w:cstheme="minorHAnsi"/>
          <w:color w:val="231F20"/>
          <w:w w:val="105"/>
        </w:rPr>
        <w:t>included</w:t>
      </w:r>
      <w:r w:rsidR="00EA7458" w:rsidRPr="00D401C6">
        <w:rPr>
          <w:rFonts w:cstheme="minorHAnsi"/>
          <w:color w:val="231F20"/>
          <w:w w:val="105"/>
        </w:rPr>
        <w:t xml:space="preserve"> </w:t>
      </w:r>
      <w:r w:rsidR="00EA7458" w:rsidRPr="00E06806">
        <w:rPr>
          <w:rFonts w:cstheme="minorHAnsi"/>
          <w:color w:val="231F20"/>
          <w:w w:val="105"/>
        </w:rPr>
        <w:t>in</w:t>
      </w:r>
      <w:r w:rsidR="00EA7458" w:rsidRPr="00D401C6">
        <w:rPr>
          <w:rFonts w:cstheme="minorHAnsi"/>
          <w:color w:val="231F20"/>
          <w:w w:val="105"/>
        </w:rPr>
        <w:t xml:space="preserve"> </w:t>
      </w:r>
      <w:r w:rsidR="00EA7458" w:rsidRPr="00E06806">
        <w:rPr>
          <w:rFonts w:cstheme="minorHAnsi"/>
          <w:color w:val="231F20"/>
          <w:w w:val="105"/>
        </w:rPr>
        <w:t>this</w:t>
      </w:r>
      <w:r w:rsidR="00EA7458" w:rsidRPr="00D401C6">
        <w:rPr>
          <w:rFonts w:cstheme="minorHAnsi"/>
          <w:color w:val="231F20"/>
          <w:w w:val="105"/>
        </w:rPr>
        <w:t xml:space="preserve"> </w:t>
      </w:r>
      <w:r w:rsidR="00EA7458" w:rsidRPr="00E06806">
        <w:rPr>
          <w:rFonts w:cstheme="minorHAnsi"/>
          <w:color w:val="231F20"/>
          <w:w w:val="105"/>
        </w:rPr>
        <w:t>process</w:t>
      </w:r>
      <w:r w:rsidR="00EA7458" w:rsidRPr="00D401C6">
        <w:rPr>
          <w:rFonts w:cstheme="minorHAnsi"/>
          <w:color w:val="231F20"/>
          <w:w w:val="105"/>
        </w:rPr>
        <w:t xml:space="preserve"> </w:t>
      </w:r>
      <w:r w:rsidR="00EA7458" w:rsidRPr="00E06806">
        <w:rPr>
          <w:rFonts w:cstheme="minorHAnsi"/>
          <w:color w:val="231F20"/>
          <w:w w:val="105"/>
        </w:rPr>
        <w:t>when</w:t>
      </w:r>
      <w:r w:rsidR="00EA7458" w:rsidRPr="00D401C6">
        <w:rPr>
          <w:rFonts w:cstheme="minorHAnsi"/>
          <w:color w:val="231F20"/>
          <w:w w:val="105"/>
        </w:rPr>
        <w:t xml:space="preserve"> </w:t>
      </w:r>
      <w:r w:rsidR="00EA7458" w:rsidRPr="00E06806">
        <w:rPr>
          <w:rFonts w:cstheme="minorHAnsi"/>
          <w:color w:val="231F20"/>
          <w:w w:val="105"/>
        </w:rPr>
        <w:t>possible.</w:t>
      </w:r>
      <w:r w:rsidR="00EA7458" w:rsidRPr="00D401C6">
        <w:rPr>
          <w:rFonts w:cstheme="minorHAnsi"/>
          <w:color w:val="231F20"/>
          <w:w w:val="105"/>
        </w:rPr>
        <w:t xml:space="preserve"> </w:t>
      </w:r>
      <w:r w:rsidR="00EA7458" w:rsidRPr="00E06806">
        <w:rPr>
          <w:rFonts w:cstheme="minorHAnsi"/>
          <w:color w:val="231F20"/>
          <w:w w:val="105"/>
        </w:rPr>
        <w:t>VR</w:t>
      </w:r>
      <w:r w:rsidR="00EA7458" w:rsidRPr="00D401C6">
        <w:rPr>
          <w:rFonts w:cstheme="minorHAnsi"/>
          <w:color w:val="231F20"/>
          <w:w w:val="105"/>
        </w:rPr>
        <w:t xml:space="preserve"> </w:t>
      </w:r>
      <w:r w:rsidR="00EA7458" w:rsidRPr="00E06806">
        <w:rPr>
          <w:rFonts w:cstheme="minorHAnsi"/>
          <w:color w:val="231F20"/>
          <w:w w:val="105"/>
        </w:rPr>
        <w:t>employees</w:t>
      </w:r>
      <w:r w:rsidR="00EA7458" w:rsidRPr="00D401C6">
        <w:rPr>
          <w:rFonts w:cstheme="minorHAnsi"/>
          <w:color w:val="231F20"/>
          <w:w w:val="105"/>
        </w:rPr>
        <w:t xml:space="preserve"> </w:t>
      </w:r>
      <w:r w:rsidR="00EA7458" w:rsidRPr="00E06806">
        <w:rPr>
          <w:rFonts w:cstheme="minorHAnsi"/>
          <w:color w:val="231F20"/>
          <w:w w:val="105"/>
        </w:rPr>
        <w:t>in</w:t>
      </w:r>
      <w:r w:rsidR="00EA7458" w:rsidRPr="00D401C6">
        <w:rPr>
          <w:rFonts w:cstheme="minorHAnsi"/>
          <w:color w:val="231F20"/>
          <w:w w:val="105"/>
        </w:rPr>
        <w:t xml:space="preserve"> </w:t>
      </w:r>
      <w:r w:rsidR="00EA7458" w:rsidRPr="00E06806">
        <w:rPr>
          <w:rFonts w:cstheme="minorHAnsi"/>
          <w:color w:val="231F20"/>
          <w:w w:val="105"/>
        </w:rPr>
        <w:t>every</w:t>
      </w:r>
      <w:r w:rsidR="00EA7458" w:rsidRPr="00D401C6">
        <w:rPr>
          <w:rFonts w:cstheme="minorHAnsi"/>
          <w:color w:val="231F20"/>
          <w:w w:val="105"/>
        </w:rPr>
        <w:t xml:space="preserve"> </w:t>
      </w:r>
      <w:r w:rsidR="00EA7458" w:rsidRPr="00E06806">
        <w:rPr>
          <w:rFonts w:cstheme="minorHAnsi"/>
          <w:color w:val="231F20"/>
          <w:w w:val="105"/>
        </w:rPr>
        <w:t>area</w:t>
      </w:r>
      <w:r w:rsidR="00EA7458" w:rsidRPr="00D401C6">
        <w:rPr>
          <w:rFonts w:cstheme="minorHAnsi"/>
          <w:color w:val="231F20"/>
          <w:w w:val="105"/>
        </w:rPr>
        <w:t xml:space="preserve"> </w:t>
      </w:r>
      <w:r w:rsidRPr="00E06806">
        <w:rPr>
          <w:rFonts w:cstheme="minorHAnsi"/>
          <w:color w:val="231F20"/>
          <w:w w:val="105"/>
        </w:rPr>
        <w:t xml:space="preserve">are required to complete </w:t>
      </w:r>
      <w:r w:rsidR="00EA7458" w:rsidRPr="00D401C6">
        <w:rPr>
          <w:rFonts w:cstheme="minorHAnsi"/>
          <w:color w:val="231F20"/>
          <w:w w:val="105"/>
        </w:rPr>
        <w:t xml:space="preserve">ADA </w:t>
      </w:r>
      <w:r w:rsidR="00EA7458" w:rsidRPr="00E06806">
        <w:rPr>
          <w:rFonts w:cstheme="minorHAnsi"/>
          <w:color w:val="231F20"/>
          <w:w w:val="105"/>
        </w:rPr>
        <w:t>Coordinator certification training</w:t>
      </w:r>
      <w:r w:rsidRPr="00E06806">
        <w:rPr>
          <w:rFonts w:cstheme="minorHAnsi"/>
          <w:color w:val="231F20"/>
          <w:w w:val="105"/>
        </w:rPr>
        <w:t xml:space="preserve"> and </w:t>
      </w:r>
      <w:r w:rsidRPr="00D401C6">
        <w:rPr>
          <w:rFonts w:cstheme="minorHAnsi"/>
          <w:color w:val="231F20"/>
          <w:w w:val="105"/>
        </w:rPr>
        <w:t>ADA informational training</w:t>
      </w:r>
      <w:r w:rsidR="00EA7458" w:rsidRPr="00E06806">
        <w:rPr>
          <w:rFonts w:cstheme="minorHAnsi"/>
          <w:color w:val="231F20"/>
          <w:w w:val="105"/>
        </w:rPr>
        <w:t>. Hearing loops and other adaptive equipment and/or software</w:t>
      </w:r>
      <w:r w:rsidRPr="00E06806">
        <w:rPr>
          <w:rFonts w:cstheme="minorHAnsi"/>
          <w:color w:val="231F20"/>
          <w:w w:val="105"/>
        </w:rPr>
        <w:t xml:space="preserve"> </w:t>
      </w:r>
      <w:r w:rsidR="00EA7458" w:rsidRPr="00E06806">
        <w:rPr>
          <w:rFonts w:cstheme="minorHAnsi"/>
          <w:color w:val="231F20"/>
          <w:w w:val="105"/>
        </w:rPr>
        <w:t>is</w:t>
      </w:r>
      <w:r w:rsidR="00EA7458" w:rsidRPr="00D401C6">
        <w:rPr>
          <w:rFonts w:cstheme="minorHAnsi"/>
          <w:color w:val="231F20"/>
          <w:w w:val="105"/>
        </w:rPr>
        <w:t xml:space="preserve"> </w:t>
      </w:r>
      <w:r w:rsidR="00EA7458" w:rsidRPr="00E06806">
        <w:rPr>
          <w:rFonts w:cstheme="minorHAnsi"/>
          <w:color w:val="231F20"/>
          <w:w w:val="105"/>
        </w:rPr>
        <w:t>available</w:t>
      </w:r>
      <w:r w:rsidR="00EA7458" w:rsidRPr="00D401C6">
        <w:rPr>
          <w:rFonts w:cstheme="minorHAnsi"/>
          <w:color w:val="231F20"/>
          <w:w w:val="105"/>
        </w:rPr>
        <w:t xml:space="preserve"> </w:t>
      </w:r>
      <w:r w:rsidR="00EA7458" w:rsidRPr="00E06806">
        <w:rPr>
          <w:rFonts w:cstheme="minorHAnsi"/>
          <w:color w:val="231F20"/>
          <w:w w:val="105"/>
        </w:rPr>
        <w:t>in</w:t>
      </w:r>
      <w:r w:rsidR="00EA7458" w:rsidRPr="00D401C6">
        <w:rPr>
          <w:rFonts w:cstheme="minorHAnsi"/>
          <w:color w:val="231F20"/>
          <w:w w:val="105"/>
        </w:rPr>
        <w:t xml:space="preserve"> </w:t>
      </w:r>
      <w:r w:rsidR="00EA7458" w:rsidRPr="00E06806">
        <w:rPr>
          <w:rFonts w:cstheme="minorHAnsi"/>
          <w:color w:val="231F20"/>
          <w:w w:val="105"/>
        </w:rPr>
        <w:t>VR</w:t>
      </w:r>
      <w:r w:rsidR="00EA7458" w:rsidRPr="00D401C6">
        <w:rPr>
          <w:rFonts w:cstheme="minorHAnsi"/>
          <w:color w:val="231F20"/>
          <w:w w:val="105"/>
        </w:rPr>
        <w:t xml:space="preserve"> </w:t>
      </w:r>
      <w:r w:rsidR="00EA7458" w:rsidRPr="00E06806">
        <w:rPr>
          <w:rFonts w:cstheme="minorHAnsi"/>
          <w:color w:val="231F20"/>
          <w:w w:val="105"/>
        </w:rPr>
        <w:t>facilities</w:t>
      </w:r>
      <w:r w:rsidRPr="00E06806">
        <w:rPr>
          <w:rFonts w:cstheme="minorHAnsi"/>
          <w:color w:val="231F20"/>
          <w:w w:val="105"/>
        </w:rPr>
        <w:t>. S</w:t>
      </w:r>
      <w:r w:rsidR="00EA7458" w:rsidRPr="00E06806">
        <w:rPr>
          <w:rFonts w:cstheme="minorHAnsi"/>
          <w:color w:val="231F20"/>
          <w:w w:val="105"/>
        </w:rPr>
        <w:t>pecific</w:t>
      </w:r>
      <w:r w:rsidR="00EA7458" w:rsidRPr="00D401C6">
        <w:rPr>
          <w:rFonts w:cstheme="minorHAnsi"/>
          <w:color w:val="231F20"/>
          <w:w w:val="105"/>
        </w:rPr>
        <w:t xml:space="preserve"> </w:t>
      </w:r>
      <w:r w:rsidR="00EA7458" w:rsidRPr="00E06806">
        <w:rPr>
          <w:rFonts w:cstheme="minorHAnsi"/>
          <w:color w:val="231F20"/>
          <w:w w:val="105"/>
        </w:rPr>
        <w:t>applications</w:t>
      </w:r>
      <w:r w:rsidR="00EA7458" w:rsidRPr="00D401C6">
        <w:rPr>
          <w:rFonts w:cstheme="minorHAnsi"/>
          <w:color w:val="231F20"/>
          <w:w w:val="105"/>
        </w:rPr>
        <w:t xml:space="preserve"> </w:t>
      </w:r>
      <w:r w:rsidRPr="00E06806">
        <w:rPr>
          <w:rFonts w:cstheme="minorHAnsi"/>
          <w:color w:val="231F20"/>
          <w:w w:val="105"/>
        </w:rPr>
        <w:t xml:space="preserve">were </w:t>
      </w:r>
      <w:r w:rsidR="00EA7458" w:rsidRPr="00E06806">
        <w:rPr>
          <w:rFonts w:cstheme="minorHAnsi"/>
          <w:color w:val="231F20"/>
          <w:w w:val="105"/>
        </w:rPr>
        <w:t>developed</w:t>
      </w:r>
      <w:r w:rsidR="00EA7458" w:rsidRPr="00D401C6">
        <w:rPr>
          <w:rFonts w:cstheme="minorHAnsi"/>
          <w:color w:val="231F20"/>
          <w:w w:val="105"/>
        </w:rPr>
        <w:t xml:space="preserve"> </w:t>
      </w:r>
      <w:r w:rsidR="00EA7458" w:rsidRPr="00E06806">
        <w:rPr>
          <w:rFonts w:cstheme="minorHAnsi"/>
          <w:color w:val="231F20"/>
          <w:w w:val="105"/>
        </w:rPr>
        <w:t>using</w:t>
      </w:r>
      <w:r w:rsidR="00EA7458" w:rsidRPr="00D401C6">
        <w:rPr>
          <w:rFonts w:cstheme="minorHAnsi"/>
          <w:color w:val="231F20"/>
          <w:w w:val="105"/>
        </w:rPr>
        <w:t xml:space="preserve"> </w:t>
      </w:r>
      <w:r w:rsidR="00EA7458" w:rsidRPr="00E06806">
        <w:rPr>
          <w:rFonts w:cstheme="minorHAnsi"/>
          <w:color w:val="231F20"/>
          <w:w w:val="105"/>
        </w:rPr>
        <w:t>custom</w:t>
      </w:r>
      <w:r w:rsidR="00EA7458" w:rsidRPr="00D401C6">
        <w:rPr>
          <w:rFonts w:cstheme="minorHAnsi"/>
          <w:color w:val="231F20"/>
          <w:w w:val="105"/>
        </w:rPr>
        <w:t xml:space="preserve"> JAWS </w:t>
      </w:r>
      <w:r w:rsidR="00EA7458" w:rsidRPr="00E06806">
        <w:rPr>
          <w:rFonts w:cstheme="minorHAnsi"/>
          <w:color w:val="231F20"/>
          <w:w w:val="105"/>
        </w:rPr>
        <w:t>script</w:t>
      </w:r>
      <w:r w:rsidR="00EA7458" w:rsidRPr="00D401C6">
        <w:rPr>
          <w:rFonts w:cstheme="minorHAnsi"/>
          <w:color w:val="231F20"/>
          <w:w w:val="105"/>
        </w:rPr>
        <w:t xml:space="preserve"> </w:t>
      </w:r>
      <w:r w:rsidR="00EA7458" w:rsidRPr="00E06806">
        <w:rPr>
          <w:rFonts w:cstheme="minorHAnsi"/>
          <w:color w:val="231F20"/>
          <w:w w:val="105"/>
        </w:rPr>
        <w:t>and</w:t>
      </w:r>
      <w:r w:rsidR="00EA7458" w:rsidRPr="00D401C6">
        <w:rPr>
          <w:rFonts w:cstheme="minorHAnsi"/>
          <w:color w:val="231F20"/>
          <w:w w:val="105"/>
        </w:rPr>
        <w:t xml:space="preserve"> </w:t>
      </w:r>
      <w:r w:rsidR="00EA7458" w:rsidRPr="00E06806">
        <w:rPr>
          <w:rFonts w:cstheme="minorHAnsi"/>
          <w:color w:val="231F20"/>
          <w:w w:val="105"/>
        </w:rPr>
        <w:t>workflow</w:t>
      </w:r>
      <w:r w:rsidR="00EA7458" w:rsidRPr="00D401C6">
        <w:rPr>
          <w:rFonts w:cstheme="minorHAnsi"/>
          <w:color w:val="231F20"/>
          <w:w w:val="105"/>
        </w:rPr>
        <w:t xml:space="preserve"> </w:t>
      </w:r>
      <w:r w:rsidR="00EA7458" w:rsidRPr="00E06806">
        <w:rPr>
          <w:rFonts w:cstheme="minorHAnsi"/>
          <w:color w:val="231F20"/>
          <w:w w:val="105"/>
        </w:rPr>
        <w:t>documentation</w:t>
      </w:r>
      <w:r w:rsidR="00EA7458" w:rsidRPr="00D401C6">
        <w:rPr>
          <w:rFonts w:cstheme="minorHAnsi"/>
          <w:color w:val="231F20"/>
          <w:w w:val="105"/>
        </w:rPr>
        <w:t xml:space="preserve"> </w:t>
      </w:r>
      <w:r w:rsidR="00EA7458" w:rsidRPr="00E06806">
        <w:rPr>
          <w:rFonts w:cstheme="minorHAnsi"/>
          <w:color w:val="231F20"/>
          <w:w w:val="105"/>
        </w:rPr>
        <w:t>to</w:t>
      </w:r>
      <w:r w:rsidR="00EA7458" w:rsidRPr="00D401C6">
        <w:rPr>
          <w:rFonts w:cstheme="minorHAnsi"/>
          <w:color w:val="231F20"/>
          <w:w w:val="105"/>
        </w:rPr>
        <w:t xml:space="preserve"> </w:t>
      </w:r>
      <w:r w:rsidR="00EA7458" w:rsidRPr="00E06806">
        <w:rPr>
          <w:rFonts w:cstheme="minorHAnsi"/>
          <w:color w:val="231F20"/>
          <w:w w:val="105"/>
        </w:rPr>
        <w:t>meet</w:t>
      </w:r>
      <w:r w:rsidR="00EA7458" w:rsidRPr="00D401C6">
        <w:rPr>
          <w:rFonts w:cstheme="minorHAnsi"/>
          <w:color w:val="231F20"/>
          <w:w w:val="105"/>
        </w:rPr>
        <w:t xml:space="preserve"> </w:t>
      </w:r>
      <w:r w:rsidR="00EA7458" w:rsidRPr="00E06806">
        <w:rPr>
          <w:rFonts w:cstheme="minorHAnsi"/>
          <w:color w:val="231F20"/>
          <w:w w:val="105"/>
        </w:rPr>
        <w:t>the</w:t>
      </w:r>
      <w:r w:rsidR="00EA7458" w:rsidRPr="00D401C6">
        <w:rPr>
          <w:rFonts w:cstheme="minorHAnsi"/>
          <w:color w:val="231F20"/>
          <w:w w:val="105"/>
        </w:rPr>
        <w:t xml:space="preserve"> </w:t>
      </w:r>
      <w:r w:rsidR="00EA7458" w:rsidRPr="00E06806">
        <w:rPr>
          <w:rFonts w:cstheme="minorHAnsi"/>
          <w:color w:val="231F20"/>
          <w:w w:val="105"/>
        </w:rPr>
        <w:t>needs</w:t>
      </w:r>
      <w:r w:rsidR="00EA7458" w:rsidRPr="00D401C6">
        <w:rPr>
          <w:rFonts w:cstheme="minorHAnsi"/>
          <w:color w:val="231F20"/>
          <w:w w:val="105"/>
        </w:rPr>
        <w:t xml:space="preserve"> </w:t>
      </w:r>
      <w:r w:rsidR="00EA7458" w:rsidRPr="00E06806">
        <w:rPr>
          <w:rFonts w:cstheme="minorHAnsi"/>
          <w:color w:val="231F20"/>
          <w:w w:val="105"/>
        </w:rPr>
        <w:t>of</w:t>
      </w:r>
      <w:r w:rsidR="00EA7458" w:rsidRPr="00D401C6">
        <w:rPr>
          <w:rFonts w:cstheme="minorHAnsi"/>
          <w:color w:val="231F20"/>
          <w:w w:val="105"/>
        </w:rPr>
        <w:t xml:space="preserve"> </w:t>
      </w:r>
      <w:r w:rsidR="00EA7458" w:rsidRPr="00E06806">
        <w:rPr>
          <w:rFonts w:cstheme="minorHAnsi"/>
          <w:color w:val="231F20"/>
          <w:w w:val="105"/>
        </w:rPr>
        <w:t>users.</w:t>
      </w:r>
      <w:r w:rsidR="00EA7458" w:rsidRPr="00D401C6">
        <w:rPr>
          <w:rFonts w:cstheme="minorHAnsi"/>
          <w:color w:val="231F20"/>
          <w:w w:val="105"/>
        </w:rPr>
        <w:t xml:space="preserve"> </w:t>
      </w:r>
    </w:p>
    <w:p w14:paraId="11E989E0" w14:textId="77777777" w:rsidR="00826367" w:rsidRDefault="00826367" w:rsidP="00D63204">
      <w:pPr>
        <w:widowControl w:val="0"/>
        <w:spacing w:after="0" w:line="264" w:lineRule="exact"/>
        <w:ind w:left="107"/>
        <w:rPr>
          <w:rFonts w:cstheme="minorHAnsi"/>
          <w:color w:val="231F20"/>
          <w:spacing w:val="14"/>
          <w:w w:val="105"/>
        </w:rPr>
      </w:pPr>
    </w:p>
    <w:p w14:paraId="53F50179" w14:textId="08D18625" w:rsidR="00EA7458" w:rsidRPr="00E06806" w:rsidRDefault="00EA7458" w:rsidP="00D63204">
      <w:pPr>
        <w:widowControl w:val="0"/>
        <w:spacing w:after="0" w:line="264" w:lineRule="exact"/>
        <w:ind w:left="107"/>
        <w:rPr>
          <w:rFonts w:cstheme="minorHAnsi"/>
        </w:rPr>
      </w:pPr>
      <w:r w:rsidRPr="00E06806">
        <w:rPr>
          <w:rFonts w:cstheme="minorHAnsi"/>
          <w:b/>
          <w:bCs/>
          <w:color w:val="231F20"/>
          <w:w w:val="105"/>
        </w:rPr>
        <w:t>Additional</w:t>
      </w:r>
      <w:r w:rsidRPr="00E06806">
        <w:rPr>
          <w:rFonts w:cstheme="minorHAnsi"/>
          <w:b/>
          <w:bCs/>
          <w:color w:val="231F20"/>
          <w:spacing w:val="13"/>
          <w:w w:val="105"/>
        </w:rPr>
        <w:t xml:space="preserve"> </w:t>
      </w:r>
      <w:r w:rsidRPr="00E06806">
        <w:rPr>
          <w:rFonts w:cstheme="minorHAnsi"/>
          <w:b/>
          <w:bCs/>
          <w:color w:val="231F20"/>
          <w:w w:val="105"/>
        </w:rPr>
        <w:t>VR</w:t>
      </w:r>
      <w:r w:rsidRPr="00E06806">
        <w:rPr>
          <w:rFonts w:cstheme="minorHAnsi"/>
          <w:b/>
          <w:bCs/>
          <w:color w:val="231F20"/>
          <w:spacing w:val="13"/>
          <w:w w:val="105"/>
        </w:rPr>
        <w:t xml:space="preserve"> </w:t>
      </w:r>
      <w:r w:rsidRPr="00E06806">
        <w:rPr>
          <w:rFonts w:cstheme="minorHAnsi"/>
          <w:b/>
          <w:bCs/>
          <w:color w:val="231F20"/>
          <w:w w:val="105"/>
        </w:rPr>
        <w:t>internal</w:t>
      </w:r>
      <w:r w:rsidRPr="00E06806">
        <w:rPr>
          <w:rFonts w:cstheme="minorHAnsi"/>
          <w:b/>
          <w:bCs/>
          <w:color w:val="231F20"/>
          <w:spacing w:val="13"/>
          <w:w w:val="105"/>
        </w:rPr>
        <w:t xml:space="preserve"> </w:t>
      </w:r>
      <w:r w:rsidRPr="00E06806">
        <w:rPr>
          <w:rFonts w:cstheme="minorHAnsi"/>
          <w:b/>
          <w:bCs/>
          <w:color w:val="231F20"/>
          <w:w w:val="105"/>
        </w:rPr>
        <w:t>strategies</w:t>
      </w:r>
      <w:r w:rsidRPr="00E06806">
        <w:rPr>
          <w:rFonts w:cstheme="minorHAnsi"/>
          <w:b/>
          <w:bCs/>
          <w:color w:val="231F20"/>
          <w:spacing w:val="13"/>
          <w:w w:val="105"/>
        </w:rPr>
        <w:t xml:space="preserve"> </w:t>
      </w:r>
      <w:r w:rsidRPr="00E06806">
        <w:rPr>
          <w:rFonts w:cstheme="minorHAnsi"/>
          <w:b/>
          <w:bCs/>
          <w:color w:val="231F20"/>
          <w:w w:val="105"/>
        </w:rPr>
        <w:t>and</w:t>
      </w:r>
      <w:r w:rsidRPr="00E06806">
        <w:rPr>
          <w:rFonts w:cstheme="minorHAnsi"/>
          <w:b/>
          <w:bCs/>
          <w:color w:val="231F20"/>
          <w:spacing w:val="13"/>
          <w:w w:val="105"/>
        </w:rPr>
        <w:t xml:space="preserve"> </w:t>
      </w:r>
      <w:r w:rsidRPr="00E06806">
        <w:rPr>
          <w:rFonts w:cstheme="minorHAnsi"/>
          <w:b/>
          <w:bCs/>
          <w:color w:val="231F20"/>
          <w:w w:val="105"/>
        </w:rPr>
        <w:t>activities</w:t>
      </w:r>
      <w:r w:rsidRPr="00E06806">
        <w:rPr>
          <w:rFonts w:cstheme="minorHAnsi"/>
          <w:b/>
          <w:bCs/>
          <w:color w:val="231F20"/>
          <w:spacing w:val="13"/>
          <w:w w:val="105"/>
        </w:rPr>
        <w:t xml:space="preserve"> </w:t>
      </w:r>
      <w:r w:rsidRPr="00E06806">
        <w:rPr>
          <w:rFonts w:cstheme="minorHAnsi"/>
          <w:b/>
          <w:bCs/>
          <w:color w:val="231F20"/>
          <w:w w:val="105"/>
        </w:rPr>
        <w:t>to</w:t>
      </w:r>
      <w:r w:rsidRPr="00E06806">
        <w:rPr>
          <w:rFonts w:cstheme="minorHAnsi"/>
          <w:b/>
          <w:bCs/>
          <w:color w:val="231F20"/>
          <w:spacing w:val="13"/>
          <w:w w:val="105"/>
        </w:rPr>
        <w:t xml:space="preserve"> </w:t>
      </w:r>
      <w:r w:rsidRPr="00E06806">
        <w:rPr>
          <w:rFonts w:cstheme="minorHAnsi"/>
          <w:b/>
          <w:bCs/>
          <w:color w:val="231F20"/>
          <w:w w:val="105"/>
        </w:rPr>
        <w:t>increase</w:t>
      </w:r>
      <w:r w:rsidRPr="00E06806">
        <w:rPr>
          <w:rFonts w:cstheme="minorHAnsi"/>
          <w:b/>
          <w:bCs/>
          <w:color w:val="231F20"/>
          <w:spacing w:val="13"/>
          <w:w w:val="105"/>
        </w:rPr>
        <w:t xml:space="preserve"> </w:t>
      </w:r>
      <w:r w:rsidRPr="00E06806">
        <w:rPr>
          <w:rFonts w:cstheme="minorHAnsi"/>
          <w:b/>
          <w:bCs/>
          <w:color w:val="231F20"/>
          <w:w w:val="105"/>
        </w:rPr>
        <w:t>equal</w:t>
      </w:r>
      <w:r w:rsidRPr="00E06806">
        <w:rPr>
          <w:rFonts w:cstheme="minorHAnsi"/>
          <w:b/>
          <w:bCs/>
          <w:color w:val="231F20"/>
          <w:spacing w:val="13"/>
          <w:w w:val="105"/>
        </w:rPr>
        <w:t xml:space="preserve"> </w:t>
      </w:r>
      <w:r w:rsidRPr="00E06806">
        <w:rPr>
          <w:rFonts w:cstheme="minorHAnsi"/>
          <w:b/>
          <w:bCs/>
          <w:color w:val="231F20"/>
          <w:w w:val="105"/>
        </w:rPr>
        <w:t>access</w:t>
      </w:r>
      <w:r w:rsidRPr="00E06806">
        <w:rPr>
          <w:rFonts w:cstheme="minorHAnsi"/>
          <w:b/>
          <w:bCs/>
          <w:color w:val="231F20"/>
          <w:spacing w:val="13"/>
          <w:w w:val="105"/>
        </w:rPr>
        <w:t xml:space="preserve"> </w:t>
      </w:r>
      <w:r w:rsidRPr="00E06806">
        <w:rPr>
          <w:rFonts w:cstheme="minorHAnsi"/>
          <w:b/>
          <w:bCs/>
          <w:color w:val="231F20"/>
          <w:w w:val="105"/>
        </w:rPr>
        <w:t>to</w:t>
      </w:r>
      <w:r w:rsidRPr="00E06806">
        <w:rPr>
          <w:rFonts w:cstheme="minorHAnsi"/>
          <w:b/>
          <w:bCs/>
          <w:color w:val="231F20"/>
          <w:spacing w:val="13"/>
          <w:w w:val="105"/>
        </w:rPr>
        <w:t xml:space="preserve"> </w:t>
      </w:r>
      <w:r w:rsidRPr="00E06806">
        <w:rPr>
          <w:rFonts w:cstheme="minorHAnsi"/>
          <w:b/>
          <w:bCs/>
          <w:color w:val="231F20"/>
          <w:w w:val="105"/>
        </w:rPr>
        <w:t>individuals</w:t>
      </w:r>
      <w:r w:rsidRPr="00E06806">
        <w:rPr>
          <w:rFonts w:cstheme="minorHAnsi"/>
          <w:b/>
          <w:bCs/>
          <w:color w:val="231F20"/>
          <w:spacing w:val="13"/>
          <w:w w:val="105"/>
        </w:rPr>
        <w:t xml:space="preserve"> </w:t>
      </w:r>
      <w:r w:rsidRPr="00E06806">
        <w:rPr>
          <w:rFonts w:cstheme="minorHAnsi"/>
          <w:b/>
          <w:bCs/>
          <w:color w:val="231F20"/>
          <w:w w:val="105"/>
        </w:rPr>
        <w:t>requesting</w:t>
      </w:r>
      <w:r w:rsidRPr="00E06806">
        <w:rPr>
          <w:rFonts w:cstheme="minorHAnsi"/>
          <w:b/>
          <w:bCs/>
          <w:color w:val="231F20"/>
          <w:spacing w:val="13"/>
          <w:w w:val="105"/>
        </w:rPr>
        <w:t xml:space="preserve"> </w:t>
      </w:r>
      <w:r w:rsidRPr="00E06806">
        <w:rPr>
          <w:rFonts w:cstheme="minorHAnsi"/>
          <w:b/>
          <w:bCs/>
          <w:color w:val="231F20"/>
          <w:w w:val="105"/>
        </w:rPr>
        <w:t>services</w:t>
      </w:r>
      <w:r w:rsidRPr="00E06806">
        <w:rPr>
          <w:rFonts w:cstheme="minorHAnsi"/>
          <w:b/>
          <w:bCs/>
          <w:color w:val="231F20"/>
          <w:spacing w:val="-50"/>
          <w:w w:val="105"/>
        </w:rPr>
        <w:t xml:space="preserve"> </w:t>
      </w:r>
      <w:r w:rsidRPr="00E06806">
        <w:rPr>
          <w:rFonts w:cstheme="minorHAnsi"/>
          <w:b/>
          <w:bCs/>
          <w:color w:val="231F20"/>
          <w:w w:val="105"/>
        </w:rPr>
        <w:t>are as</w:t>
      </w:r>
      <w:r w:rsidRPr="00E06806">
        <w:rPr>
          <w:rFonts w:cstheme="minorHAnsi"/>
          <w:b/>
          <w:bCs/>
          <w:color w:val="231F20"/>
          <w:spacing w:val="15"/>
          <w:w w:val="105"/>
        </w:rPr>
        <w:t xml:space="preserve"> </w:t>
      </w:r>
      <w:r w:rsidRPr="00E06806">
        <w:rPr>
          <w:rFonts w:cstheme="minorHAnsi"/>
          <w:b/>
          <w:bCs/>
          <w:color w:val="231F20"/>
          <w:w w:val="105"/>
        </w:rPr>
        <w:t>follows.</w:t>
      </w:r>
    </w:p>
    <w:p w14:paraId="79466A2D" w14:textId="77777777" w:rsidR="00EA7458" w:rsidRPr="00E06806" w:rsidRDefault="00EA7458" w:rsidP="00D63204">
      <w:pPr>
        <w:widowControl w:val="0"/>
        <w:spacing w:before="5" w:after="0" w:line="240" w:lineRule="auto"/>
        <w:ind w:left="107"/>
        <w:rPr>
          <w:rFonts w:cstheme="minorHAnsi"/>
          <w:b/>
          <w:bCs/>
          <w:sz w:val="16"/>
          <w:szCs w:val="16"/>
        </w:rPr>
      </w:pPr>
    </w:p>
    <w:p w14:paraId="3866787A" w14:textId="2C8E76B8" w:rsidR="006944E1" w:rsidRPr="00D401C6" w:rsidRDefault="006944E1" w:rsidP="00D401C6">
      <w:pPr>
        <w:pStyle w:val="ListParagraph"/>
        <w:widowControl w:val="0"/>
        <w:numPr>
          <w:ilvl w:val="0"/>
          <w:numId w:val="173"/>
        </w:numPr>
        <w:spacing w:after="0" w:line="264" w:lineRule="exact"/>
        <w:rPr>
          <w:rFonts w:cstheme="minorHAnsi"/>
          <w:color w:val="231F20"/>
          <w:w w:val="105"/>
        </w:rPr>
      </w:pPr>
      <w:r w:rsidRPr="00D401C6">
        <w:rPr>
          <w:rFonts w:cstheme="minorHAnsi"/>
          <w:color w:val="231F20"/>
          <w:w w:val="105"/>
        </w:rPr>
        <w:t>Use a comprehensive safety plan for monitoring VR facilities statewide. Specific components include a process for reporting defective/unsafe working conditions, safety and facilities management training for area staff, a move manual, a statewide safety manual, statewide first aid info, furniture inspection instructions</w:t>
      </w:r>
      <w:r w:rsidR="00D5537E" w:rsidRPr="00D401C6">
        <w:rPr>
          <w:rFonts w:cstheme="minorHAnsi"/>
          <w:color w:val="231F20"/>
          <w:w w:val="105"/>
        </w:rPr>
        <w:t xml:space="preserve"> and</w:t>
      </w:r>
      <w:r w:rsidRPr="00D401C6">
        <w:rPr>
          <w:rFonts w:cstheme="minorHAnsi"/>
          <w:color w:val="231F20"/>
          <w:w w:val="105"/>
        </w:rPr>
        <w:t xml:space="preserve"> a facility security / building access policy at HQ.</w:t>
      </w:r>
    </w:p>
    <w:p w14:paraId="4E28BD75" w14:textId="77777777" w:rsidR="006944E1" w:rsidRPr="00D401C6" w:rsidRDefault="006944E1" w:rsidP="00D401C6">
      <w:pPr>
        <w:widowControl w:val="0"/>
        <w:spacing w:after="0" w:line="264" w:lineRule="exact"/>
        <w:ind w:left="107"/>
        <w:rPr>
          <w:rFonts w:cstheme="minorHAnsi"/>
          <w:color w:val="231F20"/>
          <w:w w:val="105"/>
        </w:rPr>
      </w:pPr>
    </w:p>
    <w:p w14:paraId="0BF902E1" w14:textId="77777777" w:rsidR="006944E1" w:rsidRPr="00D401C6" w:rsidRDefault="006944E1" w:rsidP="00D401C6">
      <w:pPr>
        <w:pStyle w:val="ListParagraph"/>
        <w:widowControl w:val="0"/>
        <w:numPr>
          <w:ilvl w:val="0"/>
          <w:numId w:val="173"/>
        </w:numPr>
        <w:spacing w:after="0" w:line="264" w:lineRule="exact"/>
        <w:rPr>
          <w:rFonts w:cstheme="minorHAnsi"/>
          <w:color w:val="231F20"/>
          <w:w w:val="105"/>
        </w:rPr>
      </w:pPr>
      <w:r w:rsidRPr="00D401C6">
        <w:rPr>
          <w:rFonts w:cstheme="minorHAnsi"/>
          <w:color w:val="231F20"/>
          <w:w w:val="105"/>
        </w:rPr>
        <w:t>Continue to use interpreters, translators, VR’s online resources, as well as websites of other partners and stakeholders, to reach underserved populations and increase communication with customers.</w:t>
      </w:r>
    </w:p>
    <w:p w14:paraId="6AF02F41" w14:textId="77777777" w:rsidR="006944E1" w:rsidRPr="00D401C6" w:rsidRDefault="006944E1" w:rsidP="00D401C6">
      <w:pPr>
        <w:widowControl w:val="0"/>
        <w:spacing w:after="0" w:line="264" w:lineRule="exact"/>
        <w:ind w:left="107"/>
        <w:rPr>
          <w:rFonts w:cstheme="minorHAnsi"/>
          <w:color w:val="231F20"/>
          <w:w w:val="105"/>
        </w:rPr>
      </w:pPr>
    </w:p>
    <w:p w14:paraId="1B51AF53" w14:textId="1513CC0B" w:rsidR="006944E1" w:rsidRPr="00D401C6" w:rsidRDefault="006944E1" w:rsidP="00D401C6">
      <w:pPr>
        <w:pStyle w:val="ListParagraph"/>
        <w:widowControl w:val="0"/>
        <w:numPr>
          <w:ilvl w:val="0"/>
          <w:numId w:val="173"/>
        </w:numPr>
        <w:spacing w:after="0" w:line="264" w:lineRule="exact"/>
        <w:rPr>
          <w:rFonts w:cstheme="minorHAnsi"/>
          <w:color w:val="231F20"/>
          <w:w w:val="105"/>
        </w:rPr>
      </w:pPr>
      <w:r w:rsidRPr="00D401C6">
        <w:rPr>
          <w:rFonts w:cstheme="minorHAnsi"/>
          <w:color w:val="231F20"/>
          <w:w w:val="105"/>
        </w:rPr>
        <w:t>Offer expanded access to services</w:t>
      </w:r>
      <w:r w:rsidR="00D5537E" w:rsidRPr="00D401C6">
        <w:rPr>
          <w:rFonts w:cstheme="minorHAnsi"/>
          <w:color w:val="231F20"/>
          <w:w w:val="105"/>
        </w:rPr>
        <w:t xml:space="preserve"> and</w:t>
      </w:r>
      <w:r w:rsidRPr="00D401C6">
        <w:rPr>
          <w:rFonts w:cstheme="minorHAnsi"/>
          <w:color w:val="231F20"/>
          <w:w w:val="105"/>
        </w:rPr>
        <w:t xml:space="preserve"> provide materials and program information in English, Spanish</w:t>
      </w:r>
      <w:r w:rsidR="00D5537E" w:rsidRPr="00D401C6">
        <w:rPr>
          <w:rFonts w:cstheme="minorHAnsi"/>
          <w:color w:val="231F20"/>
          <w:w w:val="105"/>
        </w:rPr>
        <w:t xml:space="preserve"> and</w:t>
      </w:r>
      <w:r w:rsidRPr="00D401C6">
        <w:rPr>
          <w:rFonts w:cstheme="minorHAnsi"/>
          <w:color w:val="231F20"/>
          <w:w w:val="105"/>
        </w:rPr>
        <w:t xml:space="preserve"> Haitian-Creole for various agencies, employers, churches, community leaders, health clinics</w:t>
      </w:r>
      <w:r w:rsidR="00D5537E" w:rsidRPr="00D401C6">
        <w:rPr>
          <w:rFonts w:cstheme="minorHAnsi"/>
          <w:color w:val="231F20"/>
          <w:w w:val="105"/>
        </w:rPr>
        <w:t xml:space="preserve"> and</w:t>
      </w:r>
      <w:r w:rsidRPr="00D401C6">
        <w:rPr>
          <w:rFonts w:cstheme="minorHAnsi"/>
          <w:color w:val="231F20"/>
          <w:w w:val="105"/>
        </w:rPr>
        <w:t xml:space="preserve"> other settings.</w:t>
      </w:r>
    </w:p>
    <w:p w14:paraId="27BFCD68" w14:textId="77777777" w:rsidR="006944E1" w:rsidRPr="007247F3" w:rsidRDefault="006944E1" w:rsidP="00D63204">
      <w:pPr>
        <w:pStyle w:val="ListParagraph"/>
        <w:widowControl w:val="0"/>
        <w:spacing w:before="90" w:after="0" w:line="240" w:lineRule="auto"/>
        <w:ind w:left="827"/>
        <w:rPr>
          <w:rFonts w:cstheme="minorHAnsi"/>
          <w:color w:val="231F20"/>
        </w:rPr>
      </w:pPr>
    </w:p>
    <w:p w14:paraId="0437E8D9" w14:textId="66521D32" w:rsidR="006944E1" w:rsidRPr="007247F3" w:rsidRDefault="006944E1" w:rsidP="00D63204">
      <w:pPr>
        <w:pStyle w:val="ListParagraph"/>
        <w:widowControl w:val="0"/>
        <w:numPr>
          <w:ilvl w:val="0"/>
          <w:numId w:val="37"/>
        </w:numPr>
        <w:spacing w:before="90" w:after="0" w:line="240" w:lineRule="auto"/>
        <w:rPr>
          <w:rFonts w:cstheme="minorHAnsi"/>
          <w:color w:val="231F20"/>
        </w:rPr>
      </w:pPr>
      <w:r w:rsidRPr="007247F3">
        <w:rPr>
          <w:rFonts w:cstheme="minorHAnsi"/>
          <w:color w:val="231F20"/>
          <w:w w:val="105"/>
        </w:rPr>
        <w:t>Continue</w:t>
      </w:r>
      <w:r w:rsidRPr="007247F3">
        <w:rPr>
          <w:rFonts w:cstheme="minorHAnsi"/>
          <w:color w:val="231F20"/>
          <w:spacing w:val="22"/>
          <w:w w:val="105"/>
        </w:rPr>
        <w:t xml:space="preserve"> </w:t>
      </w:r>
      <w:r w:rsidRPr="007247F3">
        <w:rPr>
          <w:rFonts w:cstheme="minorHAnsi"/>
          <w:color w:val="231F20"/>
          <w:w w:val="105"/>
        </w:rPr>
        <w:t>assigning counselors</w:t>
      </w:r>
      <w:r w:rsidRPr="007247F3">
        <w:rPr>
          <w:rFonts w:cstheme="minorHAnsi"/>
          <w:color w:val="231F20"/>
          <w:spacing w:val="22"/>
          <w:w w:val="105"/>
        </w:rPr>
        <w:t xml:space="preserve"> </w:t>
      </w:r>
      <w:r w:rsidRPr="007247F3">
        <w:rPr>
          <w:rFonts w:cstheme="minorHAnsi"/>
          <w:color w:val="231F20"/>
          <w:w w:val="105"/>
        </w:rPr>
        <w:t>and</w:t>
      </w:r>
      <w:r w:rsidRPr="007247F3">
        <w:rPr>
          <w:rFonts w:cstheme="minorHAnsi"/>
          <w:color w:val="231F20"/>
          <w:spacing w:val="22"/>
          <w:w w:val="105"/>
        </w:rPr>
        <w:t xml:space="preserve"> </w:t>
      </w:r>
      <w:r w:rsidRPr="007247F3">
        <w:rPr>
          <w:rFonts w:cstheme="minorHAnsi"/>
          <w:color w:val="231F20"/>
          <w:w w:val="105"/>
        </w:rPr>
        <w:t>consultants</w:t>
      </w:r>
      <w:r w:rsidRPr="007247F3">
        <w:rPr>
          <w:rFonts w:cstheme="minorHAnsi"/>
          <w:color w:val="231F20"/>
          <w:spacing w:val="22"/>
          <w:w w:val="105"/>
        </w:rPr>
        <w:t xml:space="preserve"> </w:t>
      </w:r>
      <w:r w:rsidRPr="007247F3">
        <w:rPr>
          <w:rFonts w:cstheme="minorHAnsi"/>
          <w:color w:val="231F20"/>
          <w:w w:val="105"/>
        </w:rPr>
        <w:t>to</w:t>
      </w:r>
      <w:r w:rsidRPr="007247F3">
        <w:rPr>
          <w:rFonts w:cstheme="minorHAnsi"/>
          <w:color w:val="231F20"/>
          <w:spacing w:val="22"/>
          <w:w w:val="105"/>
        </w:rPr>
        <w:t xml:space="preserve"> </w:t>
      </w:r>
      <w:r w:rsidRPr="007247F3">
        <w:rPr>
          <w:rFonts w:cstheme="minorHAnsi"/>
          <w:color w:val="231F20"/>
          <w:w w:val="105"/>
        </w:rPr>
        <w:t>serve</w:t>
      </w:r>
      <w:r w:rsidRPr="007247F3">
        <w:rPr>
          <w:rFonts w:cstheme="minorHAnsi"/>
          <w:color w:val="231F20"/>
          <w:spacing w:val="22"/>
          <w:w w:val="105"/>
        </w:rPr>
        <w:t xml:space="preserve"> </w:t>
      </w:r>
      <w:r w:rsidRPr="007247F3">
        <w:rPr>
          <w:rFonts w:cstheme="minorHAnsi"/>
          <w:color w:val="231F20"/>
          <w:w w:val="105"/>
        </w:rPr>
        <w:t>specialized</w:t>
      </w:r>
      <w:r w:rsidRPr="007247F3">
        <w:rPr>
          <w:rFonts w:cstheme="minorHAnsi"/>
          <w:color w:val="231F20"/>
          <w:spacing w:val="22"/>
          <w:w w:val="105"/>
        </w:rPr>
        <w:t xml:space="preserve"> </w:t>
      </w:r>
      <w:r w:rsidRPr="007247F3">
        <w:rPr>
          <w:rFonts w:cstheme="minorHAnsi"/>
          <w:color w:val="231F20"/>
          <w:w w:val="105"/>
        </w:rPr>
        <w:t>populations,</w:t>
      </w:r>
      <w:r w:rsidRPr="007247F3">
        <w:rPr>
          <w:rFonts w:cstheme="minorHAnsi"/>
          <w:color w:val="231F20"/>
          <w:spacing w:val="22"/>
          <w:w w:val="105"/>
        </w:rPr>
        <w:t xml:space="preserve"> </w:t>
      </w:r>
      <w:r w:rsidRPr="007247F3">
        <w:rPr>
          <w:rFonts w:cstheme="minorHAnsi"/>
          <w:color w:val="231F20"/>
          <w:w w:val="105"/>
        </w:rPr>
        <w:t>such</w:t>
      </w:r>
      <w:r w:rsidRPr="007247F3">
        <w:rPr>
          <w:rFonts w:cstheme="minorHAnsi"/>
          <w:color w:val="231F20"/>
          <w:spacing w:val="22"/>
          <w:w w:val="105"/>
        </w:rPr>
        <w:t xml:space="preserve"> </w:t>
      </w:r>
      <w:r w:rsidRPr="007247F3">
        <w:rPr>
          <w:rFonts w:cstheme="minorHAnsi"/>
          <w:color w:val="231F20"/>
          <w:w w:val="105"/>
        </w:rPr>
        <w:t>as</w:t>
      </w:r>
      <w:r w:rsidRPr="007247F3">
        <w:rPr>
          <w:rFonts w:cstheme="minorHAnsi"/>
          <w:color w:val="231F20"/>
          <w:spacing w:val="22"/>
          <w:w w:val="105"/>
        </w:rPr>
        <w:t xml:space="preserve"> </w:t>
      </w:r>
      <w:r w:rsidRPr="007247F3">
        <w:rPr>
          <w:rFonts w:cstheme="minorHAnsi"/>
          <w:color w:val="231F20"/>
          <w:w w:val="105"/>
        </w:rPr>
        <w:t>deaf</w:t>
      </w:r>
      <w:r w:rsidRPr="007247F3">
        <w:rPr>
          <w:rFonts w:cstheme="minorHAnsi"/>
          <w:color w:val="231F20"/>
          <w:spacing w:val="-34"/>
          <w:w w:val="105"/>
        </w:rPr>
        <w:t xml:space="preserve"> </w:t>
      </w:r>
      <w:r w:rsidRPr="007247F3">
        <w:rPr>
          <w:rFonts w:cstheme="minorHAnsi"/>
          <w:color w:val="231F20"/>
          <w:w w:val="105"/>
        </w:rPr>
        <w:t>and hard-of-hearing</w:t>
      </w:r>
      <w:r w:rsidR="00DD7197">
        <w:rPr>
          <w:rFonts w:cstheme="minorHAnsi"/>
          <w:color w:val="231F20"/>
          <w:w w:val="105"/>
        </w:rPr>
        <w:t xml:space="preserve"> customers</w:t>
      </w:r>
      <w:r w:rsidRPr="007247F3">
        <w:rPr>
          <w:rFonts w:cstheme="minorHAnsi"/>
          <w:color w:val="231F20"/>
          <w:w w:val="105"/>
        </w:rPr>
        <w:t>, transition students, mental health customers</w:t>
      </w:r>
      <w:r w:rsidR="00D5537E">
        <w:rPr>
          <w:rFonts w:cstheme="minorHAnsi"/>
          <w:color w:val="231F20"/>
          <w:w w:val="105"/>
        </w:rPr>
        <w:t xml:space="preserve"> and</w:t>
      </w:r>
      <w:r w:rsidRPr="007247F3">
        <w:rPr>
          <w:rFonts w:cstheme="minorHAnsi"/>
          <w:color w:val="231F20"/>
          <w:w w:val="105"/>
        </w:rPr>
        <w:t xml:space="preserve"> brain and spinal cord</w:t>
      </w:r>
      <w:r w:rsidRPr="007247F3">
        <w:rPr>
          <w:rFonts w:cstheme="minorHAnsi"/>
          <w:color w:val="231F20"/>
          <w:spacing w:val="35"/>
          <w:w w:val="105"/>
        </w:rPr>
        <w:t xml:space="preserve"> </w:t>
      </w:r>
      <w:r w:rsidRPr="007247F3">
        <w:rPr>
          <w:rFonts w:cstheme="minorHAnsi"/>
          <w:color w:val="231F20"/>
          <w:w w:val="105"/>
        </w:rPr>
        <w:t>injury</w:t>
      </w:r>
      <w:r w:rsidRPr="007247F3">
        <w:rPr>
          <w:rFonts w:cstheme="minorHAnsi"/>
          <w:color w:val="231F20"/>
          <w:w w:val="102"/>
        </w:rPr>
        <w:t xml:space="preserve"> </w:t>
      </w:r>
      <w:r w:rsidRPr="007247F3">
        <w:rPr>
          <w:rFonts w:cstheme="minorHAnsi"/>
          <w:color w:val="231F20"/>
          <w:w w:val="105"/>
        </w:rPr>
        <w:t>customers.</w:t>
      </w:r>
    </w:p>
    <w:p w14:paraId="6FEC8D0B" w14:textId="77777777" w:rsidR="006944E1" w:rsidRPr="007247F3" w:rsidRDefault="006944E1" w:rsidP="00D63204">
      <w:pPr>
        <w:pStyle w:val="ListParagraph"/>
        <w:widowControl w:val="0"/>
        <w:spacing w:before="90" w:after="0" w:line="240" w:lineRule="auto"/>
        <w:ind w:left="827"/>
        <w:rPr>
          <w:rFonts w:cstheme="minorHAnsi"/>
          <w:color w:val="231F20"/>
        </w:rPr>
      </w:pPr>
    </w:p>
    <w:p w14:paraId="5605AB4C" w14:textId="21F1A555" w:rsidR="00636965" w:rsidRDefault="006944E1" w:rsidP="005F263B">
      <w:pPr>
        <w:pStyle w:val="ListParagraph"/>
        <w:widowControl w:val="0"/>
        <w:numPr>
          <w:ilvl w:val="0"/>
          <w:numId w:val="37"/>
        </w:numPr>
        <w:spacing w:before="90" w:after="0" w:line="240" w:lineRule="auto"/>
        <w:rPr>
          <w:rFonts w:cstheme="minorHAnsi"/>
          <w:color w:val="231F20"/>
          <w:w w:val="105"/>
        </w:rPr>
      </w:pPr>
      <w:r w:rsidRPr="007247F3">
        <w:rPr>
          <w:rFonts w:cstheme="minorHAnsi"/>
          <w:color w:val="231F20"/>
          <w:w w:val="105"/>
        </w:rPr>
        <w:t>Collaborate</w:t>
      </w:r>
      <w:r w:rsidRPr="007247F3">
        <w:rPr>
          <w:rFonts w:cstheme="minorHAnsi"/>
          <w:color w:val="231F20"/>
          <w:spacing w:val="14"/>
          <w:w w:val="105"/>
        </w:rPr>
        <w:t xml:space="preserve"> </w:t>
      </w:r>
      <w:r w:rsidRPr="007247F3">
        <w:rPr>
          <w:rFonts w:cstheme="minorHAnsi"/>
          <w:color w:val="231F20"/>
          <w:w w:val="105"/>
        </w:rPr>
        <w:t>with</w:t>
      </w:r>
      <w:r w:rsidRPr="007247F3">
        <w:rPr>
          <w:rFonts w:cstheme="minorHAnsi"/>
          <w:color w:val="231F20"/>
          <w:spacing w:val="14"/>
          <w:w w:val="105"/>
        </w:rPr>
        <w:t xml:space="preserve"> </w:t>
      </w:r>
      <w:r w:rsidRPr="007247F3">
        <w:rPr>
          <w:rFonts w:cstheme="minorHAnsi"/>
          <w:color w:val="231F20"/>
          <w:w w:val="105"/>
        </w:rPr>
        <w:t>CareerSource</w:t>
      </w:r>
      <w:r w:rsidRPr="007247F3">
        <w:rPr>
          <w:rFonts w:cstheme="minorHAnsi"/>
          <w:color w:val="231F20"/>
          <w:spacing w:val="14"/>
          <w:w w:val="105"/>
        </w:rPr>
        <w:t xml:space="preserve"> </w:t>
      </w:r>
      <w:r w:rsidRPr="007247F3">
        <w:rPr>
          <w:rFonts w:cstheme="minorHAnsi"/>
          <w:color w:val="231F20"/>
          <w:w w:val="105"/>
        </w:rPr>
        <w:t>Florida</w:t>
      </w:r>
      <w:r w:rsidRPr="007247F3">
        <w:rPr>
          <w:rFonts w:cstheme="minorHAnsi"/>
          <w:color w:val="231F20"/>
          <w:spacing w:val="14"/>
          <w:w w:val="105"/>
        </w:rPr>
        <w:t xml:space="preserve"> </w:t>
      </w:r>
      <w:r w:rsidRPr="007247F3">
        <w:rPr>
          <w:rFonts w:cstheme="minorHAnsi"/>
          <w:color w:val="231F20"/>
          <w:w w:val="105"/>
        </w:rPr>
        <w:t>and</w:t>
      </w:r>
      <w:r w:rsidRPr="007247F3">
        <w:rPr>
          <w:rFonts w:cstheme="minorHAnsi"/>
          <w:color w:val="231F20"/>
          <w:spacing w:val="14"/>
          <w:w w:val="105"/>
        </w:rPr>
        <w:t xml:space="preserve"> </w:t>
      </w:r>
      <w:r w:rsidRPr="007247F3">
        <w:rPr>
          <w:rFonts w:cstheme="minorHAnsi"/>
          <w:color w:val="231F20"/>
          <w:w w:val="105"/>
        </w:rPr>
        <w:t>other</w:t>
      </w:r>
      <w:r w:rsidRPr="007247F3">
        <w:rPr>
          <w:rFonts w:cstheme="minorHAnsi"/>
          <w:color w:val="231F20"/>
          <w:spacing w:val="14"/>
          <w:w w:val="105"/>
        </w:rPr>
        <w:t xml:space="preserve"> </w:t>
      </w:r>
      <w:r w:rsidRPr="007247F3">
        <w:rPr>
          <w:rFonts w:cstheme="minorHAnsi"/>
          <w:color w:val="231F20"/>
          <w:w w:val="105"/>
        </w:rPr>
        <w:t>career</w:t>
      </w:r>
      <w:r w:rsidRPr="007247F3">
        <w:rPr>
          <w:rFonts w:cstheme="minorHAnsi"/>
          <w:color w:val="231F20"/>
          <w:spacing w:val="14"/>
          <w:w w:val="105"/>
        </w:rPr>
        <w:t xml:space="preserve"> </w:t>
      </w:r>
      <w:r w:rsidRPr="007247F3">
        <w:rPr>
          <w:rFonts w:cstheme="minorHAnsi"/>
          <w:color w:val="231F20"/>
          <w:w w:val="105"/>
        </w:rPr>
        <w:t>center</w:t>
      </w:r>
      <w:r w:rsidRPr="007247F3">
        <w:rPr>
          <w:rFonts w:cstheme="minorHAnsi"/>
          <w:color w:val="231F20"/>
          <w:spacing w:val="14"/>
          <w:w w:val="105"/>
        </w:rPr>
        <w:t xml:space="preserve"> </w:t>
      </w:r>
      <w:r w:rsidRPr="007247F3">
        <w:rPr>
          <w:rFonts w:cstheme="minorHAnsi"/>
          <w:color w:val="231F20"/>
          <w:w w:val="105"/>
        </w:rPr>
        <w:t>partners</w:t>
      </w:r>
      <w:r w:rsidRPr="007247F3">
        <w:rPr>
          <w:rFonts w:cstheme="minorHAnsi"/>
          <w:color w:val="231F20"/>
          <w:spacing w:val="14"/>
          <w:w w:val="105"/>
        </w:rPr>
        <w:t xml:space="preserve"> </w:t>
      </w:r>
      <w:r w:rsidRPr="007247F3">
        <w:rPr>
          <w:rFonts w:cstheme="minorHAnsi"/>
          <w:color w:val="231F20"/>
          <w:w w:val="105"/>
        </w:rPr>
        <w:t>to</w:t>
      </w:r>
      <w:r w:rsidRPr="007247F3">
        <w:rPr>
          <w:rFonts w:cstheme="minorHAnsi"/>
          <w:color w:val="231F20"/>
          <w:spacing w:val="14"/>
          <w:w w:val="105"/>
        </w:rPr>
        <w:t xml:space="preserve"> </w:t>
      </w:r>
      <w:r w:rsidRPr="007247F3">
        <w:rPr>
          <w:rFonts w:cstheme="minorHAnsi"/>
          <w:color w:val="231F20"/>
          <w:w w:val="105"/>
        </w:rPr>
        <w:t>implement</w:t>
      </w:r>
      <w:r w:rsidRPr="007247F3">
        <w:rPr>
          <w:rFonts w:cstheme="minorHAnsi"/>
          <w:color w:val="231F20"/>
          <w:spacing w:val="14"/>
          <w:w w:val="105"/>
        </w:rPr>
        <w:t xml:space="preserve"> </w:t>
      </w:r>
      <w:r w:rsidRPr="007247F3">
        <w:rPr>
          <w:rFonts w:cstheme="minorHAnsi"/>
          <w:color w:val="231F20"/>
          <w:w w:val="105"/>
        </w:rPr>
        <w:t>universal</w:t>
      </w:r>
      <w:r w:rsidRPr="007247F3">
        <w:rPr>
          <w:rFonts w:cstheme="minorHAnsi"/>
          <w:color w:val="231F20"/>
          <w:spacing w:val="-43"/>
          <w:w w:val="105"/>
        </w:rPr>
        <w:t xml:space="preserve"> </w:t>
      </w:r>
      <w:r w:rsidRPr="007247F3">
        <w:rPr>
          <w:rFonts w:cstheme="minorHAnsi"/>
          <w:color w:val="231F20"/>
          <w:w w:val="105"/>
        </w:rPr>
        <w:t>design</w:t>
      </w:r>
      <w:r w:rsidRPr="007247F3">
        <w:rPr>
          <w:rFonts w:cstheme="minorHAnsi"/>
          <w:color w:val="231F20"/>
          <w:spacing w:val="10"/>
          <w:w w:val="105"/>
        </w:rPr>
        <w:t xml:space="preserve"> </w:t>
      </w:r>
      <w:r w:rsidRPr="007247F3">
        <w:rPr>
          <w:rFonts w:cstheme="minorHAnsi"/>
          <w:color w:val="231F20"/>
          <w:w w:val="105"/>
        </w:rPr>
        <w:t>principles</w:t>
      </w:r>
      <w:r w:rsidRPr="007247F3">
        <w:rPr>
          <w:rFonts w:cstheme="minorHAnsi"/>
          <w:color w:val="231F20"/>
          <w:spacing w:val="10"/>
          <w:w w:val="105"/>
        </w:rPr>
        <w:t xml:space="preserve"> </w:t>
      </w:r>
      <w:r w:rsidRPr="007247F3">
        <w:rPr>
          <w:rFonts w:cstheme="minorHAnsi"/>
          <w:color w:val="231F20"/>
          <w:w w:val="105"/>
        </w:rPr>
        <w:t>into</w:t>
      </w:r>
      <w:r w:rsidRPr="007247F3">
        <w:rPr>
          <w:rFonts w:cstheme="minorHAnsi"/>
          <w:color w:val="231F20"/>
          <w:spacing w:val="10"/>
          <w:w w:val="105"/>
        </w:rPr>
        <w:t xml:space="preserve"> </w:t>
      </w:r>
      <w:r w:rsidRPr="007247F3">
        <w:rPr>
          <w:rFonts w:cstheme="minorHAnsi"/>
          <w:color w:val="231F20"/>
          <w:w w:val="105"/>
        </w:rPr>
        <w:t>the</w:t>
      </w:r>
      <w:r w:rsidRPr="007247F3">
        <w:rPr>
          <w:rFonts w:cstheme="minorHAnsi"/>
          <w:color w:val="231F20"/>
          <w:spacing w:val="10"/>
          <w:w w:val="105"/>
        </w:rPr>
        <w:t xml:space="preserve"> </w:t>
      </w:r>
      <w:r w:rsidRPr="007247F3">
        <w:rPr>
          <w:rFonts w:cstheme="minorHAnsi"/>
          <w:color w:val="231F20"/>
          <w:w w:val="105"/>
        </w:rPr>
        <w:t>workforce</w:t>
      </w:r>
      <w:r w:rsidRPr="007247F3">
        <w:rPr>
          <w:rFonts w:cstheme="minorHAnsi"/>
          <w:color w:val="231F20"/>
          <w:spacing w:val="10"/>
          <w:w w:val="105"/>
        </w:rPr>
        <w:t xml:space="preserve"> </w:t>
      </w:r>
      <w:r w:rsidRPr="007247F3">
        <w:rPr>
          <w:rFonts w:cstheme="minorHAnsi"/>
          <w:color w:val="231F20"/>
          <w:w w:val="105"/>
        </w:rPr>
        <w:t>development</w:t>
      </w:r>
      <w:r w:rsidRPr="007247F3">
        <w:rPr>
          <w:rFonts w:cstheme="minorHAnsi"/>
          <w:color w:val="231F20"/>
          <w:spacing w:val="10"/>
          <w:w w:val="105"/>
        </w:rPr>
        <w:t xml:space="preserve"> </w:t>
      </w:r>
      <w:r w:rsidRPr="007247F3">
        <w:rPr>
          <w:rFonts w:cstheme="minorHAnsi"/>
          <w:color w:val="231F20"/>
          <w:w w:val="105"/>
        </w:rPr>
        <w:t>system’s</w:t>
      </w:r>
      <w:r w:rsidRPr="007247F3">
        <w:rPr>
          <w:rFonts w:cstheme="minorHAnsi"/>
          <w:color w:val="231F20"/>
          <w:spacing w:val="10"/>
          <w:w w:val="105"/>
        </w:rPr>
        <w:t xml:space="preserve"> </w:t>
      </w:r>
      <w:r w:rsidRPr="007247F3">
        <w:rPr>
          <w:rFonts w:cstheme="minorHAnsi"/>
          <w:color w:val="231F20"/>
          <w:w w:val="105"/>
        </w:rPr>
        <w:t>facilities</w:t>
      </w:r>
      <w:r w:rsidRPr="007247F3">
        <w:rPr>
          <w:rFonts w:cstheme="minorHAnsi"/>
          <w:color w:val="231F20"/>
          <w:spacing w:val="10"/>
          <w:w w:val="105"/>
        </w:rPr>
        <w:t xml:space="preserve"> </w:t>
      </w:r>
      <w:r w:rsidRPr="007247F3">
        <w:rPr>
          <w:rFonts w:cstheme="minorHAnsi"/>
          <w:color w:val="231F20"/>
          <w:w w:val="105"/>
        </w:rPr>
        <w:t>and</w:t>
      </w:r>
      <w:r w:rsidRPr="007247F3">
        <w:rPr>
          <w:rFonts w:cstheme="minorHAnsi"/>
          <w:color w:val="231F20"/>
          <w:spacing w:val="10"/>
          <w:w w:val="105"/>
        </w:rPr>
        <w:t xml:space="preserve"> </w:t>
      </w:r>
      <w:r w:rsidRPr="007247F3">
        <w:rPr>
          <w:rFonts w:cstheme="minorHAnsi"/>
          <w:color w:val="231F20"/>
          <w:w w:val="105"/>
        </w:rPr>
        <w:t>operations,</w:t>
      </w:r>
      <w:r w:rsidRPr="007247F3">
        <w:rPr>
          <w:rFonts w:cstheme="minorHAnsi"/>
          <w:color w:val="231F20"/>
          <w:spacing w:val="10"/>
          <w:w w:val="105"/>
        </w:rPr>
        <w:t xml:space="preserve"> </w:t>
      </w:r>
      <w:r w:rsidRPr="007247F3">
        <w:rPr>
          <w:rFonts w:cstheme="minorHAnsi"/>
          <w:color w:val="231F20"/>
          <w:w w:val="105"/>
        </w:rPr>
        <w:t>with</w:t>
      </w:r>
      <w:r w:rsidRPr="007247F3">
        <w:rPr>
          <w:rFonts w:cstheme="minorHAnsi"/>
          <w:color w:val="231F20"/>
          <w:spacing w:val="10"/>
          <w:w w:val="105"/>
        </w:rPr>
        <w:t xml:space="preserve"> </w:t>
      </w:r>
      <w:r w:rsidRPr="00B46232">
        <w:t>intent to</w:t>
      </w:r>
      <w:r w:rsidRPr="007247F3">
        <w:rPr>
          <w:rFonts w:cstheme="minorHAnsi"/>
          <w:color w:val="231F20"/>
          <w:spacing w:val="16"/>
          <w:w w:val="105"/>
        </w:rPr>
        <w:t xml:space="preserve"> </w:t>
      </w:r>
      <w:r w:rsidRPr="007247F3">
        <w:rPr>
          <w:rFonts w:cstheme="minorHAnsi"/>
          <w:color w:val="231F20"/>
          <w:w w:val="105"/>
        </w:rPr>
        <w:t>include</w:t>
      </w:r>
      <w:r w:rsidRPr="007247F3">
        <w:rPr>
          <w:rFonts w:cstheme="minorHAnsi"/>
          <w:color w:val="231F20"/>
          <w:spacing w:val="16"/>
          <w:w w:val="105"/>
        </w:rPr>
        <w:t xml:space="preserve"> </w:t>
      </w:r>
      <w:r w:rsidRPr="007247F3">
        <w:rPr>
          <w:rFonts w:cstheme="minorHAnsi"/>
          <w:color w:val="231F20"/>
          <w:w w:val="105"/>
        </w:rPr>
        <w:t>universal</w:t>
      </w:r>
      <w:r w:rsidRPr="007247F3">
        <w:rPr>
          <w:rFonts w:cstheme="minorHAnsi"/>
          <w:color w:val="231F20"/>
          <w:spacing w:val="16"/>
          <w:w w:val="105"/>
        </w:rPr>
        <w:t xml:space="preserve"> </w:t>
      </w:r>
      <w:r w:rsidRPr="007247F3">
        <w:rPr>
          <w:rFonts w:cstheme="minorHAnsi"/>
          <w:color w:val="231F20"/>
          <w:w w:val="105"/>
        </w:rPr>
        <w:t>design</w:t>
      </w:r>
      <w:r w:rsidRPr="007247F3">
        <w:rPr>
          <w:rFonts w:cstheme="minorHAnsi"/>
          <w:color w:val="231F20"/>
          <w:spacing w:val="16"/>
          <w:w w:val="105"/>
        </w:rPr>
        <w:t xml:space="preserve"> </w:t>
      </w:r>
      <w:r w:rsidRPr="007247F3">
        <w:rPr>
          <w:rFonts w:cstheme="minorHAnsi"/>
          <w:color w:val="231F20"/>
          <w:w w:val="105"/>
        </w:rPr>
        <w:t>as</w:t>
      </w:r>
      <w:r w:rsidRPr="007247F3">
        <w:rPr>
          <w:rFonts w:cstheme="minorHAnsi"/>
          <w:color w:val="231F20"/>
          <w:spacing w:val="16"/>
          <w:w w:val="105"/>
        </w:rPr>
        <w:t xml:space="preserve"> </w:t>
      </w:r>
      <w:r w:rsidRPr="007247F3">
        <w:rPr>
          <w:rFonts w:cstheme="minorHAnsi"/>
          <w:color w:val="231F20"/>
          <w:w w:val="105"/>
        </w:rPr>
        <w:t>a</w:t>
      </w:r>
      <w:r w:rsidRPr="007247F3">
        <w:rPr>
          <w:rFonts w:cstheme="minorHAnsi"/>
          <w:color w:val="231F20"/>
          <w:spacing w:val="16"/>
          <w:w w:val="105"/>
        </w:rPr>
        <w:t xml:space="preserve"> </w:t>
      </w:r>
      <w:r w:rsidRPr="007247F3">
        <w:rPr>
          <w:rFonts w:cstheme="minorHAnsi"/>
          <w:color w:val="231F20"/>
          <w:w w:val="105"/>
        </w:rPr>
        <w:t>separate</w:t>
      </w:r>
      <w:r w:rsidRPr="007247F3">
        <w:rPr>
          <w:rFonts w:cstheme="minorHAnsi"/>
          <w:color w:val="231F20"/>
          <w:spacing w:val="16"/>
          <w:w w:val="105"/>
        </w:rPr>
        <w:t xml:space="preserve"> </w:t>
      </w:r>
      <w:r w:rsidRPr="007247F3">
        <w:rPr>
          <w:rFonts w:cstheme="minorHAnsi"/>
          <w:color w:val="231F20"/>
          <w:w w:val="105"/>
        </w:rPr>
        <w:t>component</w:t>
      </w:r>
      <w:r w:rsidRPr="007247F3">
        <w:rPr>
          <w:rFonts w:cstheme="minorHAnsi"/>
          <w:color w:val="231F20"/>
          <w:spacing w:val="16"/>
          <w:w w:val="105"/>
        </w:rPr>
        <w:t xml:space="preserve"> </w:t>
      </w:r>
      <w:r w:rsidRPr="007247F3">
        <w:rPr>
          <w:rFonts w:cstheme="minorHAnsi"/>
          <w:color w:val="231F20"/>
          <w:w w:val="105"/>
        </w:rPr>
        <w:t>of</w:t>
      </w:r>
      <w:r w:rsidRPr="007247F3">
        <w:rPr>
          <w:rFonts w:cstheme="minorHAnsi"/>
          <w:color w:val="231F20"/>
          <w:spacing w:val="16"/>
          <w:w w:val="105"/>
        </w:rPr>
        <w:t xml:space="preserve"> </w:t>
      </w:r>
      <w:r w:rsidRPr="007247F3">
        <w:rPr>
          <w:rFonts w:cstheme="minorHAnsi"/>
          <w:color w:val="231F20"/>
          <w:w w:val="105"/>
        </w:rPr>
        <w:t>the</w:t>
      </w:r>
      <w:r w:rsidRPr="007247F3">
        <w:rPr>
          <w:rFonts w:cstheme="minorHAnsi"/>
          <w:color w:val="231F20"/>
          <w:spacing w:val="16"/>
          <w:w w:val="105"/>
        </w:rPr>
        <w:t xml:space="preserve"> </w:t>
      </w:r>
      <w:r w:rsidR="00FB324B">
        <w:rPr>
          <w:rFonts w:cstheme="minorHAnsi"/>
          <w:color w:val="231F20"/>
          <w:w w:val="105"/>
        </w:rPr>
        <w:t>o</w:t>
      </w:r>
      <w:r w:rsidRPr="007247F3">
        <w:rPr>
          <w:rFonts w:cstheme="minorHAnsi"/>
          <w:color w:val="231F20"/>
          <w:w w:val="105"/>
        </w:rPr>
        <w:t>ne-stop</w:t>
      </w:r>
      <w:r w:rsidRPr="007247F3">
        <w:rPr>
          <w:rFonts w:cstheme="minorHAnsi"/>
          <w:color w:val="231F20"/>
          <w:spacing w:val="16"/>
          <w:w w:val="105"/>
        </w:rPr>
        <w:t xml:space="preserve"> </w:t>
      </w:r>
      <w:r w:rsidRPr="007247F3">
        <w:rPr>
          <w:rFonts w:cstheme="minorHAnsi"/>
          <w:color w:val="231F20"/>
          <w:w w:val="105"/>
        </w:rPr>
        <w:t>career</w:t>
      </w:r>
      <w:r w:rsidRPr="007247F3">
        <w:rPr>
          <w:rFonts w:cstheme="minorHAnsi"/>
          <w:color w:val="231F20"/>
          <w:spacing w:val="16"/>
          <w:w w:val="105"/>
        </w:rPr>
        <w:t xml:space="preserve"> </w:t>
      </w:r>
      <w:r w:rsidRPr="007247F3">
        <w:rPr>
          <w:rFonts w:cstheme="minorHAnsi"/>
          <w:color w:val="231F20"/>
          <w:w w:val="105"/>
        </w:rPr>
        <w:t>center</w:t>
      </w:r>
      <w:r w:rsidRPr="007247F3">
        <w:rPr>
          <w:rFonts w:cstheme="minorHAnsi"/>
          <w:color w:val="231F20"/>
          <w:spacing w:val="16"/>
          <w:w w:val="105"/>
        </w:rPr>
        <w:t xml:space="preserve"> </w:t>
      </w:r>
      <w:r w:rsidRPr="007247F3">
        <w:rPr>
          <w:rFonts w:cstheme="minorHAnsi"/>
          <w:color w:val="231F20"/>
          <w:w w:val="105"/>
        </w:rPr>
        <w:t>certification</w:t>
      </w:r>
      <w:r w:rsidRPr="007247F3">
        <w:rPr>
          <w:rFonts w:cstheme="minorHAnsi"/>
          <w:color w:val="231F20"/>
          <w:w w:val="103"/>
        </w:rPr>
        <w:t xml:space="preserve"> </w:t>
      </w:r>
      <w:r w:rsidRPr="007247F3">
        <w:rPr>
          <w:rFonts w:cstheme="minorHAnsi"/>
          <w:color w:val="231F20"/>
          <w:w w:val="105"/>
        </w:rPr>
        <w:t>process.</w:t>
      </w:r>
    </w:p>
    <w:p w14:paraId="0CFB6A3F" w14:textId="77777777" w:rsidR="007247F3" w:rsidRPr="007247F3" w:rsidRDefault="007247F3" w:rsidP="00D63204">
      <w:pPr>
        <w:pStyle w:val="ListParagraph"/>
        <w:widowControl w:val="0"/>
        <w:spacing w:before="90" w:after="0" w:line="264" w:lineRule="exact"/>
        <w:ind w:left="827"/>
        <w:rPr>
          <w:rFonts w:cstheme="minorHAnsi"/>
          <w:color w:val="231F20"/>
        </w:rPr>
      </w:pPr>
    </w:p>
    <w:p w14:paraId="75E346BD" w14:textId="242CA57F" w:rsidR="00EA7458" w:rsidRPr="00F23CA2" w:rsidRDefault="00EA7458" w:rsidP="00D63204">
      <w:pPr>
        <w:pStyle w:val="ListParagraph"/>
        <w:widowControl w:val="0"/>
        <w:numPr>
          <w:ilvl w:val="2"/>
          <w:numId w:val="6"/>
        </w:numPr>
        <w:tabs>
          <w:tab w:val="left" w:pos="1548"/>
        </w:tabs>
        <w:spacing w:before="90" w:after="0" w:line="264" w:lineRule="exact"/>
        <w:outlineLvl w:val="2"/>
        <w:rPr>
          <w:rFonts w:cstheme="minorHAnsi"/>
          <w:color w:val="295CA3"/>
        </w:rPr>
      </w:pPr>
      <w:r w:rsidRPr="00F23CA2">
        <w:rPr>
          <w:rFonts w:cstheme="minorHAnsi"/>
          <w:b/>
          <w:bCs/>
          <w:color w:val="295CA3"/>
          <w:w w:val="110"/>
        </w:rPr>
        <w:t>Addressing</w:t>
      </w:r>
      <w:r w:rsidRPr="00F23CA2">
        <w:rPr>
          <w:rFonts w:cstheme="minorHAnsi"/>
          <w:b/>
          <w:bCs/>
          <w:color w:val="295CA3"/>
          <w:spacing w:val="-7"/>
          <w:w w:val="110"/>
        </w:rPr>
        <w:t xml:space="preserve"> </w:t>
      </w:r>
      <w:r w:rsidRPr="00F23CA2">
        <w:rPr>
          <w:rFonts w:cstheme="minorHAnsi"/>
          <w:b/>
          <w:bCs/>
          <w:color w:val="295CA3"/>
          <w:w w:val="110"/>
        </w:rPr>
        <w:t>the</w:t>
      </w:r>
      <w:r w:rsidRPr="00F23CA2">
        <w:rPr>
          <w:rFonts w:cstheme="minorHAnsi"/>
          <w:b/>
          <w:bCs/>
          <w:color w:val="295CA3"/>
          <w:spacing w:val="-7"/>
          <w:w w:val="110"/>
        </w:rPr>
        <w:t xml:space="preserve"> </w:t>
      </w:r>
      <w:r w:rsidRPr="00F23CA2">
        <w:rPr>
          <w:rFonts w:cstheme="minorHAnsi"/>
          <w:b/>
          <w:bCs/>
          <w:color w:val="295CA3"/>
          <w:w w:val="110"/>
        </w:rPr>
        <w:t>Accessibility</w:t>
      </w:r>
      <w:r w:rsidRPr="00F23CA2">
        <w:rPr>
          <w:rFonts w:cstheme="minorHAnsi"/>
          <w:b/>
          <w:bCs/>
          <w:color w:val="295CA3"/>
          <w:spacing w:val="-7"/>
          <w:w w:val="110"/>
        </w:rPr>
        <w:t xml:space="preserve"> </w:t>
      </w:r>
      <w:r w:rsidRPr="00F23CA2">
        <w:rPr>
          <w:rFonts w:cstheme="minorHAnsi"/>
          <w:b/>
          <w:bCs/>
          <w:color w:val="295CA3"/>
          <w:w w:val="110"/>
        </w:rPr>
        <w:t>of</w:t>
      </w:r>
      <w:r w:rsidRPr="00F23CA2">
        <w:rPr>
          <w:rFonts w:cstheme="minorHAnsi"/>
          <w:b/>
          <w:bCs/>
          <w:color w:val="295CA3"/>
          <w:spacing w:val="-7"/>
          <w:w w:val="110"/>
        </w:rPr>
        <w:t xml:space="preserve"> </w:t>
      </w:r>
      <w:r w:rsidRPr="00F23CA2">
        <w:rPr>
          <w:rFonts w:cstheme="minorHAnsi"/>
          <w:b/>
          <w:bCs/>
          <w:color w:val="295CA3"/>
          <w:w w:val="110"/>
        </w:rPr>
        <w:t>the</w:t>
      </w:r>
      <w:r w:rsidRPr="00F23CA2">
        <w:rPr>
          <w:rFonts w:cstheme="minorHAnsi"/>
          <w:b/>
          <w:bCs/>
          <w:color w:val="295CA3"/>
          <w:spacing w:val="-7"/>
          <w:w w:val="110"/>
        </w:rPr>
        <w:t xml:space="preserve"> </w:t>
      </w:r>
      <w:r w:rsidRPr="00F23CA2">
        <w:rPr>
          <w:rFonts w:cstheme="minorHAnsi"/>
          <w:b/>
          <w:bCs/>
          <w:color w:val="295CA3"/>
          <w:w w:val="110"/>
        </w:rPr>
        <w:t>One-Stop</w:t>
      </w:r>
      <w:r w:rsidRPr="00F23CA2">
        <w:rPr>
          <w:rFonts w:cstheme="minorHAnsi"/>
          <w:b/>
          <w:bCs/>
          <w:color w:val="295CA3"/>
          <w:spacing w:val="-7"/>
          <w:w w:val="110"/>
        </w:rPr>
        <w:t xml:space="preserve"> </w:t>
      </w:r>
      <w:r w:rsidRPr="00F23CA2">
        <w:rPr>
          <w:rFonts w:cstheme="minorHAnsi"/>
          <w:b/>
          <w:bCs/>
          <w:color w:val="295CA3"/>
          <w:w w:val="110"/>
        </w:rPr>
        <w:t>Delivery</w:t>
      </w:r>
      <w:r w:rsidRPr="00F23CA2">
        <w:rPr>
          <w:rFonts w:cstheme="minorHAnsi"/>
          <w:b/>
          <w:bCs/>
          <w:color w:val="295CA3"/>
          <w:spacing w:val="-7"/>
          <w:w w:val="110"/>
        </w:rPr>
        <w:t xml:space="preserve"> </w:t>
      </w:r>
      <w:r w:rsidRPr="00F23CA2">
        <w:rPr>
          <w:rFonts w:cstheme="minorHAnsi"/>
          <w:b/>
          <w:bCs/>
          <w:color w:val="295CA3"/>
          <w:w w:val="110"/>
        </w:rPr>
        <w:t>System</w:t>
      </w:r>
      <w:r w:rsidRPr="00F23CA2">
        <w:rPr>
          <w:rFonts w:cstheme="minorHAnsi"/>
          <w:b/>
          <w:bCs/>
          <w:color w:val="295CA3"/>
          <w:spacing w:val="-7"/>
          <w:w w:val="110"/>
        </w:rPr>
        <w:t xml:space="preserve"> </w:t>
      </w:r>
      <w:r w:rsidRPr="00F23CA2">
        <w:rPr>
          <w:rFonts w:cstheme="minorHAnsi"/>
          <w:b/>
          <w:bCs/>
          <w:color w:val="295CA3"/>
          <w:w w:val="110"/>
        </w:rPr>
        <w:t>for</w:t>
      </w:r>
      <w:r w:rsidRPr="00F23CA2">
        <w:rPr>
          <w:rFonts w:cstheme="minorHAnsi"/>
          <w:b/>
          <w:bCs/>
          <w:color w:val="295CA3"/>
          <w:spacing w:val="-7"/>
          <w:w w:val="110"/>
        </w:rPr>
        <w:t xml:space="preserve"> </w:t>
      </w:r>
      <w:r w:rsidRPr="00F23CA2">
        <w:rPr>
          <w:rFonts w:cstheme="minorHAnsi"/>
          <w:b/>
          <w:bCs/>
          <w:color w:val="295CA3"/>
          <w:w w:val="110"/>
        </w:rPr>
        <w:t>Individuals</w:t>
      </w:r>
      <w:r w:rsidRPr="00F23CA2">
        <w:rPr>
          <w:rFonts w:cstheme="minorHAnsi"/>
          <w:b/>
          <w:bCs/>
          <w:color w:val="295CA3"/>
          <w:spacing w:val="-7"/>
          <w:w w:val="110"/>
        </w:rPr>
        <w:t xml:space="preserve"> </w:t>
      </w:r>
      <w:r w:rsidRPr="00F23CA2">
        <w:rPr>
          <w:rFonts w:cstheme="minorHAnsi"/>
          <w:b/>
          <w:bCs/>
          <w:color w:val="295CA3"/>
          <w:w w:val="110"/>
        </w:rPr>
        <w:t>with</w:t>
      </w:r>
      <w:r w:rsidRPr="00F23CA2">
        <w:rPr>
          <w:rFonts w:cstheme="minorHAnsi"/>
          <w:b/>
          <w:bCs/>
          <w:color w:val="295CA3"/>
          <w:w w:val="103"/>
        </w:rPr>
        <w:t xml:space="preserve"> </w:t>
      </w:r>
      <w:r w:rsidRPr="00F23CA2">
        <w:rPr>
          <w:rFonts w:cstheme="minorHAnsi"/>
          <w:b/>
          <w:bCs/>
          <w:color w:val="295CA3"/>
          <w:w w:val="110"/>
        </w:rPr>
        <w:t>Limited English</w:t>
      </w:r>
      <w:r w:rsidRPr="00F23CA2">
        <w:rPr>
          <w:rFonts w:cstheme="minorHAnsi"/>
          <w:b/>
          <w:bCs/>
          <w:color w:val="295CA3"/>
          <w:spacing w:val="2"/>
          <w:w w:val="110"/>
        </w:rPr>
        <w:t xml:space="preserve"> </w:t>
      </w:r>
      <w:r w:rsidRPr="00F23CA2">
        <w:rPr>
          <w:rFonts w:cstheme="minorHAnsi"/>
          <w:b/>
          <w:bCs/>
          <w:color w:val="295CA3"/>
          <w:w w:val="110"/>
        </w:rPr>
        <w:t>Proficiency</w:t>
      </w:r>
    </w:p>
    <w:p w14:paraId="2B1DA61D" w14:textId="77777777" w:rsidR="00EA7458" w:rsidRPr="00E06806" w:rsidRDefault="00EA7458" w:rsidP="00D63204">
      <w:pPr>
        <w:widowControl w:val="0"/>
        <w:spacing w:before="5" w:after="0" w:line="240" w:lineRule="auto"/>
        <w:ind w:left="107"/>
        <w:rPr>
          <w:rFonts w:cstheme="minorHAnsi"/>
          <w:b/>
          <w:bCs/>
          <w:sz w:val="16"/>
          <w:szCs w:val="16"/>
        </w:rPr>
      </w:pPr>
    </w:p>
    <w:p w14:paraId="01B6A350" w14:textId="5EAF0BA5" w:rsidR="00EA7458" w:rsidRDefault="00EA7458" w:rsidP="00A9151B">
      <w:pPr>
        <w:widowControl w:val="0"/>
        <w:spacing w:after="0" w:line="264" w:lineRule="exact"/>
        <w:ind w:left="107"/>
        <w:rPr>
          <w:rFonts w:cstheme="minorHAnsi"/>
          <w:color w:val="231F20"/>
          <w:w w:val="105"/>
        </w:rPr>
      </w:pPr>
      <w:r w:rsidRPr="00636965">
        <w:rPr>
          <w:rFonts w:cstheme="minorHAnsi"/>
          <w:color w:val="231F20"/>
          <w:w w:val="105"/>
        </w:rPr>
        <w:t xml:space="preserve">Florida’s adult education programs offer Adult English for Speakers of Other Languages (ESOL) instruction for adults to improve </w:t>
      </w:r>
      <w:r w:rsidR="00535EA3" w:rsidRPr="00636965">
        <w:rPr>
          <w:rFonts w:cstheme="minorHAnsi"/>
          <w:color w:val="231F20"/>
          <w:w w:val="105"/>
        </w:rPr>
        <w:t>written</w:t>
      </w:r>
      <w:r w:rsidR="00583F30" w:rsidRPr="00636965">
        <w:rPr>
          <w:rFonts w:cstheme="minorHAnsi"/>
          <w:color w:val="231F20"/>
          <w:w w:val="105"/>
        </w:rPr>
        <w:t xml:space="preserve"> and spoken </w:t>
      </w:r>
      <w:r w:rsidRPr="00636965">
        <w:rPr>
          <w:rFonts w:cstheme="minorHAnsi"/>
          <w:color w:val="231F20"/>
          <w:w w:val="105"/>
        </w:rPr>
        <w:t>English skills</w:t>
      </w:r>
      <w:r w:rsidR="00583F30" w:rsidRPr="00636965">
        <w:rPr>
          <w:rFonts w:cstheme="minorHAnsi"/>
          <w:color w:val="231F20"/>
          <w:w w:val="105"/>
        </w:rPr>
        <w:t xml:space="preserve">. This program assists customers in improving </w:t>
      </w:r>
      <w:r w:rsidRPr="00636965">
        <w:rPr>
          <w:rFonts w:cstheme="minorHAnsi"/>
          <w:color w:val="231F20"/>
          <w:w w:val="105"/>
        </w:rPr>
        <w:t xml:space="preserve">academic skills </w:t>
      </w:r>
      <w:r w:rsidR="00583F30" w:rsidRPr="00636965">
        <w:rPr>
          <w:rFonts w:cstheme="minorHAnsi"/>
          <w:color w:val="231F20"/>
          <w:w w:val="105"/>
        </w:rPr>
        <w:t xml:space="preserve">to provide a path to earning </w:t>
      </w:r>
      <w:r w:rsidRPr="00636965">
        <w:rPr>
          <w:rFonts w:cstheme="minorHAnsi"/>
          <w:color w:val="231F20"/>
          <w:w w:val="105"/>
        </w:rPr>
        <w:t>a high school credential</w:t>
      </w:r>
      <w:r w:rsidR="00963E82" w:rsidRPr="00636965">
        <w:rPr>
          <w:rFonts w:cstheme="minorHAnsi"/>
          <w:color w:val="231F20"/>
          <w:w w:val="105"/>
        </w:rPr>
        <w:t xml:space="preserve">, </w:t>
      </w:r>
      <w:r w:rsidRPr="00636965">
        <w:rPr>
          <w:rFonts w:cstheme="minorHAnsi"/>
          <w:color w:val="231F20"/>
          <w:w w:val="105"/>
        </w:rPr>
        <w:t>enter</w:t>
      </w:r>
      <w:r w:rsidR="00963E82" w:rsidRPr="00636965">
        <w:rPr>
          <w:rFonts w:cstheme="minorHAnsi"/>
          <w:color w:val="231F20"/>
          <w:w w:val="105"/>
        </w:rPr>
        <w:t>ing</w:t>
      </w:r>
      <w:r w:rsidRPr="00636965">
        <w:rPr>
          <w:rFonts w:cstheme="minorHAnsi"/>
          <w:color w:val="231F20"/>
          <w:w w:val="105"/>
        </w:rPr>
        <w:t xml:space="preserve"> postsecondary education </w:t>
      </w:r>
      <w:r w:rsidR="00963E82" w:rsidRPr="00636965">
        <w:rPr>
          <w:rFonts w:cstheme="minorHAnsi"/>
          <w:color w:val="231F20"/>
          <w:w w:val="105"/>
        </w:rPr>
        <w:t xml:space="preserve">and improving individual </w:t>
      </w:r>
      <w:r w:rsidRPr="00636965">
        <w:rPr>
          <w:rFonts w:cstheme="minorHAnsi"/>
          <w:color w:val="231F20"/>
          <w:w w:val="105"/>
        </w:rPr>
        <w:t xml:space="preserve">career </w:t>
      </w:r>
      <w:r w:rsidR="00F15785" w:rsidRPr="00636965">
        <w:rPr>
          <w:rFonts w:cstheme="minorHAnsi"/>
          <w:color w:val="231F20"/>
          <w:w w:val="105"/>
        </w:rPr>
        <w:t>options</w:t>
      </w:r>
      <w:r w:rsidRPr="00636965">
        <w:rPr>
          <w:rFonts w:cstheme="minorHAnsi"/>
          <w:color w:val="231F20"/>
          <w:w w:val="105"/>
        </w:rPr>
        <w:t xml:space="preserve">. Florida’s one-stop career center partners collaborate to provide </w:t>
      </w:r>
      <w:r w:rsidR="00963E82" w:rsidRPr="00636965">
        <w:rPr>
          <w:rFonts w:cstheme="minorHAnsi"/>
          <w:color w:val="231F20"/>
          <w:w w:val="105"/>
        </w:rPr>
        <w:t xml:space="preserve">quality </w:t>
      </w:r>
      <w:r w:rsidRPr="00636965">
        <w:rPr>
          <w:rFonts w:cstheme="minorHAnsi"/>
          <w:color w:val="231F20"/>
          <w:w w:val="105"/>
        </w:rPr>
        <w:t xml:space="preserve">services, resources and referrals to </w:t>
      </w:r>
      <w:r w:rsidR="00EB646F">
        <w:rPr>
          <w:rFonts w:cstheme="minorHAnsi"/>
          <w:color w:val="231F20"/>
          <w:w w:val="105"/>
        </w:rPr>
        <w:t>job seekers</w:t>
      </w:r>
      <w:r w:rsidR="00963E82" w:rsidRPr="00636965">
        <w:rPr>
          <w:rFonts w:cstheme="minorHAnsi"/>
          <w:color w:val="231F20"/>
          <w:w w:val="105"/>
        </w:rPr>
        <w:t xml:space="preserve"> with </w:t>
      </w:r>
      <w:r w:rsidRPr="00636965">
        <w:rPr>
          <w:rFonts w:cstheme="minorHAnsi"/>
          <w:color w:val="231F20"/>
          <w:w w:val="105"/>
        </w:rPr>
        <w:t xml:space="preserve">limited </w:t>
      </w:r>
      <w:r w:rsidR="00636965" w:rsidRPr="00636965">
        <w:rPr>
          <w:rFonts w:cstheme="minorHAnsi"/>
          <w:color w:val="231F20"/>
          <w:w w:val="105"/>
        </w:rPr>
        <w:t>English-speaking</w:t>
      </w:r>
      <w:r w:rsidR="00F15785" w:rsidRPr="00636965">
        <w:rPr>
          <w:rFonts w:cstheme="minorHAnsi"/>
          <w:color w:val="231F20"/>
          <w:w w:val="105"/>
        </w:rPr>
        <w:t xml:space="preserve"> skills</w:t>
      </w:r>
      <w:r w:rsidR="00963E82" w:rsidRPr="00636965">
        <w:rPr>
          <w:rFonts w:cstheme="minorHAnsi"/>
          <w:color w:val="231F20"/>
          <w:w w:val="105"/>
        </w:rPr>
        <w:t>.</w:t>
      </w:r>
    </w:p>
    <w:p w14:paraId="7C5E9506" w14:textId="77777777" w:rsidR="00A9151B" w:rsidRDefault="00A9151B">
      <w:pPr>
        <w:rPr>
          <w:rFonts w:cstheme="minorHAnsi"/>
          <w:color w:val="231F20"/>
          <w:w w:val="105"/>
        </w:rPr>
      </w:pPr>
      <w:bookmarkStart w:id="95" w:name="IV._Coordination_with_State_Plan_Program"/>
      <w:bookmarkStart w:id="96" w:name="_bookmark54"/>
      <w:bookmarkEnd w:id="95"/>
      <w:bookmarkEnd w:id="96"/>
      <w:r>
        <w:rPr>
          <w:rFonts w:cstheme="minorHAnsi"/>
          <w:color w:val="231F20"/>
          <w:w w:val="105"/>
        </w:rPr>
        <w:br w:type="page"/>
      </w:r>
    </w:p>
    <w:p w14:paraId="670C51E7" w14:textId="77777777" w:rsidR="00EA7458" w:rsidRPr="00EA7458" w:rsidRDefault="00EA7458" w:rsidP="00A9151B">
      <w:pPr>
        <w:widowControl w:val="0"/>
        <w:spacing w:after="0" w:line="264" w:lineRule="exact"/>
        <w:ind w:left="107"/>
        <w:rPr>
          <w:rFonts w:ascii="Calibri" w:hAnsi="Calibri" w:cs="Calibri"/>
          <w:sz w:val="14"/>
          <w:szCs w:val="14"/>
        </w:rPr>
      </w:pPr>
    </w:p>
    <w:p w14:paraId="56A3F7CC" w14:textId="77777777" w:rsidR="00EA7458" w:rsidRPr="00EA7458" w:rsidRDefault="00EA7458" w:rsidP="00664EFD">
      <w:pPr>
        <w:widowControl w:val="0"/>
        <w:numPr>
          <w:ilvl w:val="0"/>
          <w:numId w:val="8"/>
        </w:numPr>
        <w:tabs>
          <w:tab w:val="left" w:pos="612"/>
          <w:tab w:val="left" w:pos="10331"/>
        </w:tabs>
        <w:spacing w:before="30" w:after="0" w:line="240" w:lineRule="auto"/>
        <w:ind w:left="611" w:hanging="503"/>
        <w:outlineLvl w:val="0"/>
        <w:rPr>
          <w:rFonts w:ascii="Calibri" w:hAnsi="Calibri"/>
          <w:sz w:val="36"/>
          <w:szCs w:val="36"/>
        </w:rPr>
      </w:pPr>
      <w:r w:rsidRPr="00EA7458">
        <w:rPr>
          <w:rFonts w:ascii="Calibri" w:hAnsi="Calibri"/>
          <w:b/>
          <w:bCs/>
          <w:color w:val="295CA3"/>
          <w:spacing w:val="-3"/>
          <w:w w:val="115"/>
          <w:sz w:val="36"/>
          <w:szCs w:val="36"/>
          <w:u w:val="single" w:color="231F20"/>
        </w:rPr>
        <w:t>COORDINATION</w:t>
      </w:r>
      <w:r w:rsidRPr="00EA7458">
        <w:rPr>
          <w:rFonts w:ascii="Calibri" w:hAnsi="Calibri"/>
          <w:b/>
          <w:bCs/>
          <w:color w:val="295CA3"/>
          <w:spacing w:val="-26"/>
          <w:w w:val="115"/>
          <w:sz w:val="36"/>
          <w:szCs w:val="36"/>
          <w:u w:val="single" w:color="231F20"/>
        </w:rPr>
        <w:t xml:space="preserve"> </w:t>
      </w:r>
      <w:r w:rsidRPr="00EA7458">
        <w:rPr>
          <w:rFonts w:ascii="Calibri" w:hAnsi="Calibri"/>
          <w:b/>
          <w:bCs/>
          <w:color w:val="295CA3"/>
          <w:spacing w:val="-4"/>
          <w:w w:val="115"/>
          <w:sz w:val="36"/>
          <w:szCs w:val="36"/>
          <w:u w:val="single" w:color="231F20"/>
        </w:rPr>
        <w:t>WITH</w:t>
      </w:r>
      <w:r w:rsidRPr="00EA7458">
        <w:rPr>
          <w:rFonts w:ascii="Calibri" w:hAnsi="Calibri"/>
          <w:b/>
          <w:bCs/>
          <w:color w:val="295CA3"/>
          <w:spacing w:val="-26"/>
          <w:w w:val="115"/>
          <w:sz w:val="36"/>
          <w:szCs w:val="36"/>
          <w:u w:val="single" w:color="231F20"/>
        </w:rPr>
        <w:t xml:space="preserve"> </w:t>
      </w:r>
      <w:r w:rsidRPr="00EA7458">
        <w:rPr>
          <w:rFonts w:ascii="Calibri" w:hAnsi="Calibri"/>
          <w:b/>
          <w:bCs/>
          <w:color w:val="295CA3"/>
          <w:spacing w:val="-12"/>
          <w:w w:val="115"/>
          <w:sz w:val="36"/>
          <w:szCs w:val="36"/>
          <w:u w:val="single" w:color="231F20"/>
        </w:rPr>
        <w:t>STATE</w:t>
      </w:r>
      <w:r w:rsidRPr="00EA7458">
        <w:rPr>
          <w:rFonts w:ascii="Calibri" w:hAnsi="Calibri"/>
          <w:b/>
          <w:bCs/>
          <w:color w:val="295CA3"/>
          <w:spacing w:val="-26"/>
          <w:w w:val="115"/>
          <w:sz w:val="36"/>
          <w:szCs w:val="36"/>
          <w:u w:val="single" w:color="231F20"/>
        </w:rPr>
        <w:t xml:space="preserve"> </w:t>
      </w:r>
      <w:r w:rsidRPr="00EA7458">
        <w:rPr>
          <w:rFonts w:ascii="Calibri" w:hAnsi="Calibri"/>
          <w:b/>
          <w:bCs/>
          <w:color w:val="295CA3"/>
          <w:w w:val="115"/>
          <w:sz w:val="36"/>
          <w:szCs w:val="36"/>
          <w:u w:val="single" w:color="231F20"/>
        </w:rPr>
        <w:t>PLAN</w:t>
      </w:r>
      <w:r w:rsidRPr="00EA7458">
        <w:rPr>
          <w:rFonts w:ascii="Calibri" w:hAnsi="Calibri"/>
          <w:b/>
          <w:bCs/>
          <w:color w:val="295CA3"/>
          <w:spacing w:val="-26"/>
          <w:w w:val="115"/>
          <w:sz w:val="36"/>
          <w:szCs w:val="36"/>
          <w:u w:val="single" w:color="231F20"/>
        </w:rPr>
        <w:t xml:space="preserve"> </w:t>
      </w:r>
      <w:r w:rsidRPr="00EA7458">
        <w:rPr>
          <w:rFonts w:ascii="Calibri" w:hAnsi="Calibri"/>
          <w:b/>
          <w:bCs/>
          <w:color w:val="295CA3"/>
          <w:w w:val="115"/>
          <w:sz w:val="36"/>
          <w:szCs w:val="36"/>
          <w:u w:val="single" w:color="231F20"/>
        </w:rPr>
        <w:t>PROGRAMS</w:t>
      </w:r>
      <w:r w:rsidRPr="00EA7458">
        <w:rPr>
          <w:rFonts w:ascii="Calibri" w:hAnsi="Calibri"/>
          <w:b/>
          <w:bCs/>
          <w:color w:val="295CA3"/>
          <w:w w:val="113"/>
          <w:sz w:val="36"/>
          <w:szCs w:val="36"/>
          <w:u w:val="single" w:color="231F20"/>
        </w:rPr>
        <w:t xml:space="preserve"> </w:t>
      </w:r>
      <w:r w:rsidRPr="00EA7458">
        <w:rPr>
          <w:rFonts w:ascii="Calibri" w:hAnsi="Calibri"/>
          <w:b/>
          <w:bCs/>
          <w:color w:val="295CA3"/>
          <w:sz w:val="36"/>
          <w:szCs w:val="36"/>
          <w:u w:val="single" w:color="231F20"/>
        </w:rPr>
        <w:tab/>
      </w:r>
    </w:p>
    <w:p w14:paraId="6B662EBE" w14:textId="3E910E58" w:rsidR="00EA7458" w:rsidRPr="00EA7458" w:rsidRDefault="00EA7458" w:rsidP="00D63204">
      <w:pPr>
        <w:widowControl w:val="0"/>
        <w:spacing w:before="78" w:after="0" w:line="240" w:lineRule="auto"/>
        <w:ind w:left="107"/>
        <w:outlineLvl w:val="2"/>
        <w:rPr>
          <w:rFonts w:ascii="Calibri" w:hAnsi="Calibri"/>
        </w:rPr>
      </w:pPr>
      <w:r w:rsidRPr="00EA7458">
        <w:rPr>
          <w:rFonts w:ascii="Calibri" w:hAnsi="Calibri"/>
          <w:b/>
          <w:bCs/>
          <w:color w:val="231F20"/>
          <w:w w:val="110"/>
        </w:rPr>
        <w:t>Florida</w:t>
      </w:r>
      <w:r w:rsidRPr="00EA7458">
        <w:rPr>
          <w:rFonts w:ascii="Calibri" w:hAnsi="Calibri"/>
          <w:b/>
          <w:bCs/>
          <w:color w:val="231F20"/>
          <w:spacing w:val="-26"/>
          <w:w w:val="110"/>
        </w:rPr>
        <w:t xml:space="preserve"> </w:t>
      </w:r>
      <w:r w:rsidRPr="00EA7458">
        <w:rPr>
          <w:rFonts w:ascii="Calibri" w:hAnsi="Calibri"/>
          <w:b/>
          <w:bCs/>
          <w:color w:val="231F20"/>
          <w:w w:val="110"/>
        </w:rPr>
        <w:t>Workforce</w:t>
      </w:r>
      <w:r w:rsidRPr="00EA7458">
        <w:rPr>
          <w:rFonts w:ascii="Calibri" w:hAnsi="Calibri"/>
          <w:b/>
          <w:bCs/>
          <w:color w:val="231F20"/>
          <w:spacing w:val="-26"/>
          <w:w w:val="110"/>
        </w:rPr>
        <w:t xml:space="preserve"> </w:t>
      </w:r>
      <w:r w:rsidRPr="00EA7458">
        <w:rPr>
          <w:rFonts w:ascii="Calibri" w:hAnsi="Calibri"/>
          <w:b/>
          <w:bCs/>
          <w:color w:val="231F20"/>
          <w:w w:val="110"/>
        </w:rPr>
        <w:t>Innovation</w:t>
      </w:r>
      <w:r w:rsidRPr="00EA7458">
        <w:rPr>
          <w:rFonts w:ascii="Calibri" w:hAnsi="Calibri"/>
          <w:b/>
          <w:bCs/>
          <w:color w:val="231F20"/>
          <w:spacing w:val="-26"/>
          <w:w w:val="110"/>
        </w:rPr>
        <w:t xml:space="preserve"> </w:t>
      </w:r>
      <w:r w:rsidRPr="00EA7458">
        <w:rPr>
          <w:rFonts w:ascii="Calibri" w:hAnsi="Calibri"/>
          <w:b/>
          <w:bCs/>
          <w:color w:val="231F20"/>
          <w:w w:val="110"/>
        </w:rPr>
        <w:t>and</w:t>
      </w:r>
      <w:r w:rsidRPr="00EA7458">
        <w:rPr>
          <w:rFonts w:ascii="Calibri" w:hAnsi="Calibri"/>
          <w:b/>
          <w:bCs/>
          <w:color w:val="231F20"/>
          <w:spacing w:val="-26"/>
          <w:w w:val="110"/>
        </w:rPr>
        <w:t xml:space="preserve"> </w:t>
      </w:r>
      <w:r w:rsidRPr="00EA7458">
        <w:rPr>
          <w:rFonts w:ascii="Calibri" w:hAnsi="Calibri"/>
          <w:b/>
          <w:bCs/>
          <w:color w:val="231F20"/>
          <w:w w:val="110"/>
        </w:rPr>
        <w:t>Opportunity</w:t>
      </w:r>
      <w:r w:rsidRPr="00EA7458">
        <w:rPr>
          <w:rFonts w:ascii="Calibri" w:hAnsi="Calibri"/>
          <w:b/>
          <w:bCs/>
          <w:color w:val="231F20"/>
          <w:spacing w:val="-26"/>
          <w:w w:val="110"/>
        </w:rPr>
        <w:t xml:space="preserve"> </w:t>
      </w:r>
      <w:r w:rsidRPr="00EA7458">
        <w:rPr>
          <w:rFonts w:ascii="Calibri" w:hAnsi="Calibri"/>
          <w:b/>
          <w:bCs/>
          <w:color w:val="231F20"/>
          <w:w w:val="110"/>
        </w:rPr>
        <w:t>Act</w:t>
      </w:r>
      <w:r w:rsidRPr="00EA7458">
        <w:rPr>
          <w:rFonts w:ascii="Calibri" w:hAnsi="Calibri"/>
          <w:b/>
          <w:bCs/>
          <w:color w:val="231F20"/>
          <w:spacing w:val="-26"/>
          <w:w w:val="110"/>
        </w:rPr>
        <w:t xml:space="preserve"> </w:t>
      </w:r>
      <w:r w:rsidRPr="00EA7458">
        <w:rPr>
          <w:rFonts w:ascii="Calibri" w:hAnsi="Calibri"/>
          <w:b/>
          <w:bCs/>
          <w:color w:val="231F20"/>
          <w:w w:val="110"/>
        </w:rPr>
        <w:t>Implementation</w:t>
      </w:r>
      <w:r w:rsidRPr="00EA7458">
        <w:rPr>
          <w:rFonts w:ascii="Calibri" w:hAnsi="Calibri"/>
          <w:b/>
          <w:bCs/>
          <w:color w:val="231F20"/>
          <w:spacing w:val="-26"/>
          <w:w w:val="110"/>
        </w:rPr>
        <w:t xml:space="preserve"> </w:t>
      </w:r>
      <w:r w:rsidRPr="00EA7458">
        <w:rPr>
          <w:rFonts w:ascii="Calibri" w:hAnsi="Calibri"/>
          <w:b/>
          <w:bCs/>
          <w:color w:val="231F20"/>
          <w:spacing w:val="-5"/>
          <w:w w:val="110"/>
        </w:rPr>
        <w:t>Team</w:t>
      </w:r>
    </w:p>
    <w:p w14:paraId="45D70E74" w14:textId="1F1024EE" w:rsidR="00FC3CDB" w:rsidRPr="00FC3CDB" w:rsidRDefault="008C0CD7" w:rsidP="00FC3CDB">
      <w:pPr>
        <w:widowControl w:val="0"/>
        <w:spacing w:after="0" w:line="264" w:lineRule="exact"/>
        <w:ind w:left="107"/>
        <w:rPr>
          <w:rFonts w:cstheme="minorHAnsi"/>
          <w:color w:val="231F20"/>
          <w:w w:val="105"/>
        </w:rPr>
      </w:pPr>
      <w:r w:rsidRPr="00DA5789">
        <w:rPr>
          <w:rFonts w:cstheme="minorHAnsi"/>
          <w:color w:val="231F20"/>
          <w:w w:val="105"/>
        </w:rPr>
        <w:t>Parallel to the work of the Florida WIOA Task Force described in section (II)(c)(2) above, a WIOA Interagency Implementation Team was created including professional team members from all core programs. This team met monthly to learn about each core</w:t>
      </w:r>
      <w:r w:rsidR="00F8305C" w:rsidRPr="00DA5789">
        <w:rPr>
          <w:rFonts w:cstheme="minorHAnsi"/>
          <w:color w:val="231F20"/>
          <w:w w:val="105"/>
        </w:rPr>
        <w:t xml:space="preserve"> </w:t>
      </w:r>
      <w:r w:rsidRPr="00853CCE">
        <w:rPr>
          <w:rFonts w:cstheme="minorHAnsi"/>
          <w:color w:val="231F20"/>
          <w:w w:val="105"/>
        </w:rPr>
        <w:t>program</w:t>
      </w:r>
      <w:r w:rsidR="00E21633" w:rsidRPr="00853CCE">
        <w:rPr>
          <w:rFonts w:cstheme="minorHAnsi"/>
          <w:color w:val="231F20"/>
          <w:w w:val="105"/>
        </w:rPr>
        <w:t xml:space="preserve"> –</w:t>
      </w:r>
      <w:r w:rsidR="00F8305C" w:rsidRPr="00853CCE">
        <w:rPr>
          <w:rFonts w:cstheme="minorHAnsi"/>
          <w:color w:val="231F20"/>
          <w:w w:val="105"/>
        </w:rPr>
        <w:t xml:space="preserve"> </w:t>
      </w:r>
      <w:r w:rsidR="00E21633" w:rsidRPr="00853CCE">
        <w:rPr>
          <w:rFonts w:cstheme="minorHAnsi"/>
          <w:color w:val="231F20"/>
          <w:w w:val="105"/>
        </w:rPr>
        <w:t>i</w:t>
      </w:r>
      <w:r w:rsidRPr="00853CCE">
        <w:rPr>
          <w:rFonts w:cstheme="minorHAnsi"/>
          <w:color w:val="231F20"/>
          <w:w w:val="105"/>
        </w:rPr>
        <w:t>ts structure</w:t>
      </w:r>
      <w:r w:rsidRPr="00DA5789">
        <w:rPr>
          <w:rFonts w:cstheme="minorHAnsi"/>
          <w:color w:val="231F20"/>
          <w:w w:val="105"/>
        </w:rPr>
        <w:t>, purpose and customer base</w:t>
      </w:r>
      <w:r w:rsidR="003722F8">
        <w:rPr>
          <w:rFonts w:cstheme="minorHAnsi"/>
          <w:color w:val="231F20"/>
          <w:w w:val="105"/>
        </w:rPr>
        <w:t xml:space="preserve"> –</w:t>
      </w:r>
      <w:r w:rsidRPr="00DA5789">
        <w:rPr>
          <w:rFonts w:cstheme="minorHAnsi"/>
          <w:color w:val="231F20"/>
          <w:w w:val="105"/>
        </w:rPr>
        <w:t xml:space="preserve"> and what contributions could improve the statewide system. This work set the stage for program alignment and identifying opportunities for interagency collaboration on implementation activities. Once understanding of each program deepened, the team’s focus turned to identifying how major components of WIOA should be implemented. For example, interagency workgroups formed for measurement/ performance accountability and</w:t>
      </w:r>
      <w:r w:rsidR="00F8305C" w:rsidRPr="00DA5789">
        <w:rPr>
          <w:rFonts w:cstheme="minorHAnsi"/>
          <w:color w:val="231F20"/>
          <w:w w:val="105"/>
        </w:rPr>
        <w:t xml:space="preserve"> </w:t>
      </w:r>
      <w:r w:rsidRPr="00DA5789">
        <w:rPr>
          <w:rFonts w:cstheme="minorHAnsi"/>
          <w:color w:val="231F20"/>
          <w:w w:val="105"/>
        </w:rPr>
        <w:t>strategic planning/statewide plan development</w:t>
      </w:r>
      <w:r w:rsidR="00F8305C" w:rsidRPr="00DA5789">
        <w:rPr>
          <w:rFonts w:cstheme="minorHAnsi"/>
          <w:color w:val="231F20"/>
          <w:w w:val="105"/>
        </w:rPr>
        <w:t xml:space="preserve">. </w:t>
      </w:r>
      <w:r w:rsidRPr="00DA5789">
        <w:rPr>
          <w:rFonts w:cstheme="minorHAnsi"/>
          <w:color w:val="231F20"/>
          <w:w w:val="105"/>
        </w:rPr>
        <w:t>Additional workgroups may be formed to address implementation of other WIOA components.</w:t>
      </w:r>
    </w:p>
    <w:p w14:paraId="7BFDDA0C" w14:textId="77777777" w:rsidR="001916A1" w:rsidRPr="00DA5789" w:rsidRDefault="001916A1" w:rsidP="00DA5789">
      <w:pPr>
        <w:widowControl w:val="0"/>
        <w:spacing w:after="0" w:line="264" w:lineRule="exact"/>
        <w:ind w:left="107"/>
        <w:rPr>
          <w:rFonts w:cstheme="minorHAnsi"/>
          <w:color w:val="231F20"/>
          <w:w w:val="105"/>
        </w:rPr>
      </w:pPr>
    </w:p>
    <w:p w14:paraId="6D5F9F91" w14:textId="2A327DF8" w:rsidR="008601E5" w:rsidRPr="001916A1" w:rsidRDefault="008601E5" w:rsidP="001916A1">
      <w:pPr>
        <w:widowControl w:val="0"/>
        <w:spacing w:after="0" w:line="264" w:lineRule="exact"/>
        <w:ind w:left="107"/>
        <w:rPr>
          <w:rFonts w:cstheme="minorHAnsi"/>
          <w:color w:val="231F20"/>
          <w:w w:val="105"/>
        </w:rPr>
      </w:pPr>
      <w:r w:rsidRPr="001916A1">
        <w:rPr>
          <w:rFonts w:cstheme="minorHAnsi"/>
          <w:color w:val="231F20"/>
          <w:w w:val="105"/>
        </w:rPr>
        <w:t>Workgroups take the same process-driven approach as the interagency team. Each workgroup developed a charter and mission, a process flowchart, a timeline for deliverables, requirements matrices and other management documents. Meetings are managed using detailed agendas with meeting minutes</w:t>
      </w:r>
      <w:r w:rsidR="00731C10">
        <w:rPr>
          <w:rFonts w:cstheme="minorHAnsi"/>
          <w:color w:val="231F20"/>
          <w:w w:val="105"/>
        </w:rPr>
        <w:t xml:space="preserve"> and</w:t>
      </w:r>
      <w:r w:rsidRPr="001916A1">
        <w:rPr>
          <w:rFonts w:cstheme="minorHAnsi"/>
          <w:color w:val="231F20"/>
          <w:w w:val="105"/>
        </w:rPr>
        <w:t xml:space="preserve"> action items</w:t>
      </w:r>
      <w:r w:rsidR="00731C10">
        <w:rPr>
          <w:rFonts w:cstheme="minorHAnsi"/>
          <w:color w:val="231F20"/>
          <w:w w:val="105"/>
        </w:rPr>
        <w:t>,</w:t>
      </w:r>
      <w:r w:rsidRPr="001916A1">
        <w:rPr>
          <w:rFonts w:cstheme="minorHAnsi"/>
          <w:color w:val="231F20"/>
          <w:w w:val="105"/>
        </w:rPr>
        <w:t xml:space="preserve"> and workgroup documents are accessible to the </w:t>
      </w:r>
      <w:r w:rsidR="00524857">
        <w:rPr>
          <w:rFonts w:cstheme="minorHAnsi"/>
          <w:color w:val="231F20"/>
          <w:w w:val="105"/>
        </w:rPr>
        <w:t>i</w:t>
      </w:r>
      <w:r w:rsidRPr="001916A1">
        <w:rPr>
          <w:rFonts w:cstheme="minorHAnsi"/>
          <w:color w:val="231F20"/>
          <w:w w:val="105"/>
        </w:rPr>
        <w:t xml:space="preserve">nteragency </w:t>
      </w:r>
      <w:r w:rsidR="00524857">
        <w:rPr>
          <w:rFonts w:cstheme="minorHAnsi"/>
          <w:color w:val="231F20"/>
          <w:w w:val="105"/>
        </w:rPr>
        <w:t>t</w:t>
      </w:r>
      <w:r w:rsidRPr="001916A1">
        <w:rPr>
          <w:rFonts w:cstheme="minorHAnsi"/>
          <w:color w:val="231F20"/>
          <w:w w:val="105"/>
        </w:rPr>
        <w:t xml:space="preserve">eam. Forming workgroups specific to major WIOA components was beneficial in providing opportunities for agency subject matter experts to collaborate peripheral to </w:t>
      </w:r>
      <w:r w:rsidR="00771F6D">
        <w:rPr>
          <w:rFonts w:cstheme="minorHAnsi"/>
          <w:color w:val="231F20"/>
          <w:w w:val="105"/>
        </w:rPr>
        <w:t>i</w:t>
      </w:r>
      <w:r w:rsidRPr="001916A1">
        <w:rPr>
          <w:rFonts w:cstheme="minorHAnsi"/>
          <w:color w:val="231F20"/>
          <w:w w:val="105"/>
        </w:rPr>
        <w:t xml:space="preserve">nteragency </w:t>
      </w:r>
      <w:r w:rsidR="00771F6D">
        <w:rPr>
          <w:rFonts w:cstheme="minorHAnsi"/>
          <w:color w:val="231F20"/>
          <w:w w:val="105"/>
        </w:rPr>
        <w:t>t</w:t>
      </w:r>
      <w:r w:rsidRPr="001916A1">
        <w:rPr>
          <w:rFonts w:cstheme="minorHAnsi"/>
          <w:color w:val="231F20"/>
          <w:w w:val="105"/>
        </w:rPr>
        <w:t xml:space="preserve">eam meetings to discuss specific details and requirements. This allowed subject matter experts to plan and report back to the entire team with a progress update or decision points. Decision points, recommendations and progress updates from the workgroups were vetted through the </w:t>
      </w:r>
      <w:r w:rsidR="00771F6D">
        <w:rPr>
          <w:rFonts w:cstheme="minorHAnsi"/>
          <w:color w:val="231F20"/>
          <w:w w:val="105"/>
        </w:rPr>
        <w:t>i</w:t>
      </w:r>
      <w:r w:rsidRPr="001916A1">
        <w:rPr>
          <w:rFonts w:cstheme="minorHAnsi"/>
          <w:color w:val="231F20"/>
          <w:w w:val="105"/>
        </w:rPr>
        <w:t xml:space="preserve">nteragency </w:t>
      </w:r>
      <w:r w:rsidR="00771F6D">
        <w:rPr>
          <w:rFonts w:cstheme="minorHAnsi"/>
          <w:color w:val="231F20"/>
          <w:w w:val="105"/>
        </w:rPr>
        <w:t>t</w:t>
      </w:r>
      <w:r w:rsidRPr="001916A1">
        <w:rPr>
          <w:rFonts w:cstheme="minorHAnsi"/>
          <w:color w:val="231F20"/>
          <w:w w:val="105"/>
        </w:rPr>
        <w:t xml:space="preserve">eam and </w:t>
      </w:r>
      <w:r w:rsidR="00771F6D">
        <w:rPr>
          <w:rFonts w:cstheme="minorHAnsi"/>
          <w:color w:val="231F20"/>
          <w:w w:val="105"/>
        </w:rPr>
        <w:t>c</w:t>
      </w:r>
      <w:r w:rsidRPr="001916A1">
        <w:rPr>
          <w:rFonts w:cstheme="minorHAnsi"/>
          <w:color w:val="231F20"/>
          <w:w w:val="105"/>
        </w:rPr>
        <w:t xml:space="preserve">ore </w:t>
      </w:r>
      <w:r w:rsidR="00771F6D">
        <w:rPr>
          <w:rFonts w:cstheme="minorHAnsi"/>
          <w:color w:val="231F20"/>
          <w:w w:val="105"/>
        </w:rPr>
        <w:t>p</w:t>
      </w:r>
      <w:r w:rsidRPr="001916A1">
        <w:rPr>
          <w:rFonts w:cstheme="minorHAnsi"/>
          <w:color w:val="231F20"/>
          <w:w w:val="105"/>
        </w:rPr>
        <w:t xml:space="preserve">rogram </w:t>
      </w:r>
      <w:r w:rsidR="00771F6D">
        <w:rPr>
          <w:rFonts w:cstheme="minorHAnsi"/>
          <w:color w:val="231F20"/>
          <w:w w:val="105"/>
        </w:rPr>
        <w:t>l</w:t>
      </w:r>
      <w:r w:rsidRPr="001916A1">
        <w:rPr>
          <w:rFonts w:cstheme="minorHAnsi"/>
          <w:color w:val="231F20"/>
          <w:w w:val="105"/>
        </w:rPr>
        <w:t xml:space="preserve">eadership prior to their presentation to the CareerSource Florida Board. This encourages and ensures transparency, flow of information and open communication between all core programs. </w:t>
      </w:r>
    </w:p>
    <w:p w14:paraId="747D4EAA" w14:textId="12EB7007" w:rsidR="000677B9" w:rsidRDefault="008C0CD7" w:rsidP="00D63204">
      <w:pPr>
        <w:widowControl w:val="0"/>
        <w:spacing w:before="195" w:after="0" w:line="240" w:lineRule="auto"/>
        <w:ind w:left="107"/>
        <w:rPr>
          <w:rFonts w:ascii="Calibri" w:hAnsi="Calibri"/>
          <w:color w:val="231F20"/>
          <w:w w:val="105"/>
        </w:rPr>
      </w:pPr>
      <w:r>
        <w:rPr>
          <w:rFonts w:ascii="Calibri" w:hAnsi="Calibri"/>
          <w:color w:val="231F20"/>
          <w:w w:val="105"/>
        </w:rPr>
        <w:t>Core partners used the WIOA Unified Plan Two-Year Modification as an opportunity to review and update coordination with state plan programs</w:t>
      </w:r>
      <w:r w:rsidR="005E7C49">
        <w:rPr>
          <w:rFonts w:ascii="Calibri" w:hAnsi="Calibri"/>
          <w:color w:val="231F20"/>
          <w:w w:val="105"/>
        </w:rPr>
        <w:t xml:space="preserve">. </w:t>
      </w:r>
      <w:r>
        <w:rPr>
          <w:rFonts w:ascii="Calibri" w:hAnsi="Calibri"/>
          <w:color w:val="231F20"/>
          <w:w w:val="105"/>
        </w:rPr>
        <w:t xml:space="preserve">WIOA core program leadership </w:t>
      </w:r>
      <w:r w:rsidR="00F8305C">
        <w:rPr>
          <w:rFonts w:ascii="Calibri" w:hAnsi="Calibri"/>
          <w:color w:val="231F20"/>
          <w:w w:val="105"/>
        </w:rPr>
        <w:t xml:space="preserve">revised </w:t>
      </w:r>
      <w:r>
        <w:rPr>
          <w:rFonts w:ascii="Calibri" w:hAnsi="Calibri"/>
          <w:color w:val="231F20"/>
          <w:w w:val="105"/>
        </w:rPr>
        <w:t>WIOA teams and streamlined the approach for implementation and tracking of progress. Proposed changes are summarized below:</w:t>
      </w:r>
    </w:p>
    <w:p w14:paraId="6378D7F9" w14:textId="61F023A9" w:rsidR="00F8305C" w:rsidRDefault="00F8305C" w:rsidP="00D63204">
      <w:pPr>
        <w:pStyle w:val="ListParagraph"/>
        <w:widowControl w:val="0"/>
        <w:numPr>
          <w:ilvl w:val="0"/>
          <w:numId w:val="87"/>
        </w:numPr>
        <w:spacing w:before="195" w:after="0" w:line="240" w:lineRule="auto"/>
        <w:rPr>
          <w:rFonts w:ascii="Calibri" w:hAnsi="Calibri"/>
        </w:rPr>
      </w:pPr>
      <w:r w:rsidRPr="00B36E9A">
        <w:rPr>
          <w:rFonts w:ascii="Calibri" w:hAnsi="Calibri"/>
        </w:rPr>
        <w:t>Dismissed the WIOA Interagency Implementation Team. This team concluded its work in bringing the partner programs together to learn about respective systems</w:t>
      </w:r>
      <w:r w:rsidR="00D5537E">
        <w:rPr>
          <w:rFonts w:ascii="Calibri" w:hAnsi="Calibri"/>
        </w:rPr>
        <w:t xml:space="preserve"> and</w:t>
      </w:r>
      <w:r w:rsidRPr="00B36E9A">
        <w:rPr>
          <w:rFonts w:ascii="Calibri" w:hAnsi="Calibri"/>
        </w:rPr>
        <w:t xml:space="preserve"> provid</w:t>
      </w:r>
      <w:r w:rsidR="001E3813">
        <w:rPr>
          <w:rFonts w:ascii="Calibri" w:hAnsi="Calibri"/>
        </w:rPr>
        <w:t>e</w:t>
      </w:r>
      <w:r w:rsidRPr="00B36E9A">
        <w:rPr>
          <w:rFonts w:ascii="Calibri" w:hAnsi="Calibri"/>
        </w:rPr>
        <w:t xml:space="preserve"> recommendations to the Governor’s Task Force and</w:t>
      </w:r>
      <w:r w:rsidR="00240AE1">
        <w:rPr>
          <w:rFonts w:ascii="Calibri" w:hAnsi="Calibri"/>
        </w:rPr>
        <w:t xml:space="preserve"> the</w:t>
      </w:r>
      <w:r w:rsidRPr="00B36E9A">
        <w:rPr>
          <w:rFonts w:ascii="Calibri" w:hAnsi="Calibri"/>
        </w:rPr>
        <w:t xml:space="preserve"> CareerSource</w:t>
      </w:r>
      <w:r w:rsidR="00240AE1">
        <w:rPr>
          <w:rFonts w:ascii="Calibri" w:hAnsi="Calibri"/>
        </w:rPr>
        <w:t xml:space="preserve"> Florida</w:t>
      </w:r>
      <w:r w:rsidRPr="00B36E9A">
        <w:rPr>
          <w:rFonts w:ascii="Calibri" w:hAnsi="Calibri"/>
        </w:rPr>
        <w:t xml:space="preserve"> Board of Directors. </w:t>
      </w:r>
    </w:p>
    <w:p w14:paraId="683FD4CA" w14:textId="77777777" w:rsidR="00F8305C" w:rsidRPr="00B36E9A" w:rsidRDefault="00F8305C" w:rsidP="00D63204">
      <w:pPr>
        <w:pStyle w:val="ListParagraph"/>
        <w:widowControl w:val="0"/>
        <w:spacing w:before="195" w:after="0" w:line="240" w:lineRule="auto"/>
        <w:ind w:left="827"/>
        <w:rPr>
          <w:rFonts w:ascii="Calibri" w:hAnsi="Calibri"/>
        </w:rPr>
      </w:pPr>
    </w:p>
    <w:p w14:paraId="5F8D13DD" w14:textId="0238C1EF" w:rsidR="00F8305C" w:rsidRDefault="00F8305C" w:rsidP="00D63204">
      <w:pPr>
        <w:pStyle w:val="ListParagraph"/>
        <w:widowControl w:val="0"/>
        <w:numPr>
          <w:ilvl w:val="0"/>
          <w:numId w:val="87"/>
        </w:numPr>
        <w:spacing w:before="195" w:after="0" w:line="240" w:lineRule="auto"/>
        <w:rPr>
          <w:rFonts w:ascii="Calibri" w:hAnsi="Calibri"/>
        </w:rPr>
      </w:pPr>
      <w:r w:rsidRPr="00F8305C">
        <w:rPr>
          <w:rFonts w:ascii="Calibri" w:hAnsi="Calibri"/>
        </w:rPr>
        <w:t>Shifted the responsibility for receiving workgroup updates to the State Plan Implementation Team. This team will use tracking and communication tools to ensure that workgroups have a venue to report progress, identify resource needs</w:t>
      </w:r>
      <w:r w:rsidR="00D5537E">
        <w:rPr>
          <w:rFonts w:ascii="Calibri" w:hAnsi="Calibri"/>
        </w:rPr>
        <w:t xml:space="preserve"> and</w:t>
      </w:r>
      <w:r w:rsidRPr="00F8305C">
        <w:rPr>
          <w:rFonts w:ascii="Calibri" w:hAnsi="Calibri"/>
        </w:rPr>
        <w:t xml:space="preserve"> make recommendations for additional workgroups to implement key components of the unified state plan.</w:t>
      </w:r>
    </w:p>
    <w:p w14:paraId="78D7A52A" w14:textId="77777777" w:rsidR="00F8305C" w:rsidRPr="00F8305C" w:rsidRDefault="00F8305C" w:rsidP="00F8305C">
      <w:pPr>
        <w:pStyle w:val="ListParagraph"/>
        <w:rPr>
          <w:rFonts w:ascii="Calibri" w:hAnsi="Calibri"/>
        </w:rPr>
      </w:pPr>
    </w:p>
    <w:p w14:paraId="44FF0174" w14:textId="7631D1F9" w:rsidR="00F8305C" w:rsidRDefault="00F8305C" w:rsidP="00D63204">
      <w:pPr>
        <w:pStyle w:val="ListParagraph"/>
        <w:widowControl w:val="0"/>
        <w:numPr>
          <w:ilvl w:val="0"/>
          <w:numId w:val="87"/>
        </w:numPr>
        <w:spacing w:before="195" w:after="0" w:line="240" w:lineRule="auto"/>
        <w:rPr>
          <w:rFonts w:ascii="Calibri" w:hAnsi="Calibri"/>
        </w:rPr>
      </w:pPr>
      <w:r w:rsidRPr="00F8305C">
        <w:rPr>
          <w:rFonts w:ascii="Calibri" w:hAnsi="Calibri"/>
        </w:rPr>
        <w:t>Adjusted membership for the WIOA Core Leader Team and the State Plan Implementation Team to include at least two members from each core partner (adding members from new partners as needed) to ensure appropriate representation. Membership structures are designed to ensure a “thread” of participants throughout the system so that key issues are identified at each level and brought for discussion at the WIOA Core Program Leadership meetings.</w:t>
      </w:r>
    </w:p>
    <w:p w14:paraId="1921F77A" w14:textId="77777777" w:rsidR="00F8305C" w:rsidRPr="00F8305C" w:rsidRDefault="00F8305C" w:rsidP="00F8305C">
      <w:pPr>
        <w:pStyle w:val="ListParagraph"/>
        <w:rPr>
          <w:rFonts w:ascii="Calibri" w:hAnsi="Calibri"/>
        </w:rPr>
      </w:pPr>
    </w:p>
    <w:p w14:paraId="53F00E07" w14:textId="50E38F58" w:rsidR="00F8305C" w:rsidRPr="00F8305C" w:rsidRDefault="00F8305C" w:rsidP="00D63204">
      <w:pPr>
        <w:pStyle w:val="ListParagraph"/>
        <w:widowControl w:val="0"/>
        <w:numPr>
          <w:ilvl w:val="0"/>
          <w:numId w:val="87"/>
        </w:numPr>
        <w:spacing w:before="195" w:after="0" w:line="240" w:lineRule="auto"/>
        <w:rPr>
          <w:rFonts w:ascii="Calibri" w:hAnsi="Calibri"/>
        </w:rPr>
      </w:pPr>
      <w:r w:rsidRPr="00F8305C">
        <w:rPr>
          <w:rFonts w:ascii="Calibri" w:hAnsi="Calibri"/>
        </w:rPr>
        <w:t>Specialized personnel with experience such as legal or information technology programming may be requested as subject matter experts for specific meetings.</w:t>
      </w:r>
    </w:p>
    <w:p w14:paraId="3B570825" w14:textId="5674916A" w:rsidR="00F8305C" w:rsidRPr="00F8305C" w:rsidRDefault="00F8305C" w:rsidP="00D63204">
      <w:pPr>
        <w:widowControl w:val="0"/>
        <w:spacing w:before="195" w:after="0" w:line="240" w:lineRule="auto"/>
        <w:ind w:left="107"/>
        <w:rPr>
          <w:rFonts w:ascii="Calibri" w:hAnsi="Calibri"/>
        </w:rPr>
      </w:pPr>
      <w:r w:rsidRPr="00F8305C">
        <w:rPr>
          <w:rFonts w:ascii="Calibri" w:hAnsi="Calibri"/>
        </w:rPr>
        <w:lastRenderedPageBreak/>
        <w:t>These adjustments provide many advantages. Redundancy between planning and implementation teams is eliminated, the decision-making process is streamlined, the number of participants (and associated time commitments) is reduced</w:t>
      </w:r>
      <w:r w:rsidR="00D5537E">
        <w:rPr>
          <w:rFonts w:ascii="Calibri" w:hAnsi="Calibri"/>
        </w:rPr>
        <w:t xml:space="preserve"> and</w:t>
      </w:r>
      <w:r w:rsidRPr="00F8305C">
        <w:rPr>
          <w:rFonts w:ascii="Calibri" w:hAnsi="Calibri"/>
        </w:rPr>
        <w:t xml:space="preserve"> administrative support requirements are reduced. Florida now has a more streamlined and efficient approach for coordinating across WIOA programs made up of three key business relationships</w:t>
      </w:r>
      <w:r w:rsidR="005E7C49">
        <w:rPr>
          <w:rFonts w:ascii="Calibri" w:hAnsi="Calibri"/>
        </w:rPr>
        <w:t xml:space="preserve">. </w:t>
      </w:r>
      <w:r w:rsidRPr="00F8305C">
        <w:rPr>
          <w:rFonts w:ascii="Calibri" w:hAnsi="Calibri"/>
        </w:rPr>
        <w:t>Each group and associated coordination activities are listed below:</w:t>
      </w:r>
    </w:p>
    <w:p w14:paraId="4FF985A8" w14:textId="5090A23E" w:rsidR="00F8305C" w:rsidRPr="00F8305C" w:rsidRDefault="00F8305C" w:rsidP="00D63204">
      <w:pPr>
        <w:pStyle w:val="ListParagraph"/>
        <w:widowControl w:val="0"/>
        <w:numPr>
          <w:ilvl w:val="0"/>
          <w:numId w:val="88"/>
        </w:numPr>
        <w:spacing w:before="195" w:after="0" w:line="240" w:lineRule="auto"/>
        <w:rPr>
          <w:rFonts w:ascii="Calibri" w:hAnsi="Calibri"/>
          <w:b/>
        </w:rPr>
      </w:pPr>
      <w:r w:rsidRPr="00F8305C">
        <w:rPr>
          <w:rFonts w:ascii="Calibri" w:hAnsi="Calibri"/>
          <w:b/>
        </w:rPr>
        <w:t xml:space="preserve">The State </w:t>
      </w:r>
      <w:r w:rsidR="0046501D">
        <w:rPr>
          <w:rFonts w:ascii="Calibri" w:hAnsi="Calibri"/>
          <w:b/>
        </w:rPr>
        <w:t xml:space="preserve">Workforce Investment </w:t>
      </w:r>
      <w:r w:rsidRPr="00F8305C">
        <w:rPr>
          <w:rFonts w:ascii="Calibri" w:hAnsi="Calibri"/>
          <w:b/>
        </w:rPr>
        <w:t>Board (CareerSource Florida Board of Directors)</w:t>
      </w:r>
    </w:p>
    <w:p w14:paraId="553C2E44" w14:textId="74DAC578" w:rsidR="00F8305C" w:rsidRPr="00F8305C" w:rsidRDefault="00F8305C" w:rsidP="00D63204">
      <w:pPr>
        <w:widowControl w:val="0"/>
        <w:spacing w:before="195" w:after="0" w:line="240" w:lineRule="auto"/>
        <w:ind w:left="107"/>
        <w:rPr>
          <w:rFonts w:ascii="Calibri" w:hAnsi="Calibri"/>
        </w:rPr>
      </w:pPr>
      <w:r w:rsidRPr="00F8305C">
        <w:rPr>
          <w:rFonts w:ascii="Calibri" w:hAnsi="Calibri"/>
        </w:rPr>
        <w:t>Membership: Appointed workforce and policy investment board of business and government leaders</w:t>
      </w:r>
      <w:r>
        <w:rPr>
          <w:rFonts w:ascii="Calibri" w:hAnsi="Calibri"/>
        </w:rPr>
        <w:t>.</w:t>
      </w:r>
    </w:p>
    <w:p w14:paraId="374A26CE" w14:textId="0D5B90A2" w:rsidR="00F8305C" w:rsidRDefault="00F8305C" w:rsidP="00D63204">
      <w:pPr>
        <w:pStyle w:val="ListParagraph"/>
        <w:widowControl w:val="0"/>
        <w:numPr>
          <w:ilvl w:val="0"/>
          <w:numId w:val="89"/>
        </w:numPr>
        <w:spacing w:before="195" w:after="0" w:line="240" w:lineRule="auto"/>
        <w:rPr>
          <w:rFonts w:ascii="Calibri" w:hAnsi="Calibri"/>
        </w:rPr>
      </w:pPr>
      <w:r w:rsidRPr="00F8305C">
        <w:rPr>
          <w:rFonts w:ascii="Calibri" w:hAnsi="Calibri"/>
        </w:rPr>
        <w:t>Approve state workforce system policies pertaining to the implementation and management of WIOA</w:t>
      </w:r>
    </w:p>
    <w:p w14:paraId="0CC840AA" w14:textId="77777777" w:rsidR="00F8305C" w:rsidRPr="00F8305C" w:rsidRDefault="00F8305C" w:rsidP="00D63204">
      <w:pPr>
        <w:pStyle w:val="ListParagraph"/>
        <w:widowControl w:val="0"/>
        <w:spacing w:before="195" w:after="0" w:line="240" w:lineRule="auto"/>
        <w:ind w:left="827"/>
        <w:rPr>
          <w:rFonts w:ascii="Calibri" w:hAnsi="Calibri"/>
        </w:rPr>
      </w:pPr>
    </w:p>
    <w:p w14:paraId="4049B967" w14:textId="63532C7D" w:rsidR="00F8305C" w:rsidRDefault="00F8305C" w:rsidP="00D63204">
      <w:pPr>
        <w:pStyle w:val="ListParagraph"/>
        <w:widowControl w:val="0"/>
        <w:numPr>
          <w:ilvl w:val="0"/>
          <w:numId w:val="89"/>
        </w:numPr>
        <w:spacing w:before="195" w:after="0" w:line="240" w:lineRule="auto"/>
        <w:rPr>
          <w:rFonts w:ascii="Calibri" w:hAnsi="Calibri"/>
        </w:rPr>
      </w:pPr>
      <w:r w:rsidRPr="00F8305C">
        <w:rPr>
          <w:rFonts w:ascii="Calibri" w:hAnsi="Calibri"/>
        </w:rPr>
        <w:t>Review overall state and local performance from all WIOA core partners</w:t>
      </w:r>
    </w:p>
    <w:p w14:paraId="08DE9167" w14:textId="77777777" w:rsidR="00F8305C" w:rsidRPr="00F8305C" w:rsidRDefault="00F8305C" w:rsidP="00D63204">
      <w:pPr>
        <w:pStyle w:val="ListParagraph"/>
        <w:widowControl w:val="0"/>
        <w:spacing w:before="195" w:after="0" w:line="240" w:lineRule="auto"/>
        <w:ind w:left="827"/>
        <w:rPr>
          <w:rFonts w:ascii="Calibri" w:hAnsi="Calibri"/>
        </w:rPr>
      </w:pPr>
    </w:p>
    <w:p w14:paraId="1358F2B0" w14:textId="1C784EF1" w:rsidR="00F8305C" w:rsidRDefault="00F8305C" w:rsidP="00D63204">
      <w:pPr>
        <w:pStyle w:val="ListParagraph"/>
        <w:widowControl w:val="0"/>
        <w:numPr>
          <w:ilvl w:val="0"/>
          <w:numId w:val="89"/>
        </w:numPr>
        <w:spacing w:before="195" w:after="0" w:line="240" w:lineRule="auto"/>
        <w:rPr>
          <w:rFonts w:ascii="Calibri" w:hAnsi="Calibri"/>
        </w:rPr>
      </w:pPr>
      <w:r w:rsidRPr="00F8305C">
        <w:rPr>
          <w:rFonts w:ascii="Calibri" w:hAnsi="Calibri"/>
        </w:rPr>
        <w:t>Arrange for resource supports as needed and available</w:t>
      </w:r>
    </w:p>
    <w:p w14:paraId="4E7930B1" w14:textId="77777777" w:rsidR="00F8305C" w:rsidRPr="00F8305C" w:rsidRDefault="00F8305C" w:rsidP="00D63204">
      <w:pPr>
        <w:pStyle w:val="ListParagraph"/>
        <w:widowControl w:val="0"/>
        <w:spacing w:before="195" w:after="0" w:line="240" w:lineRule="auto"/>
        <w:ind w:left="827"/>
        <w:rPr>
          <w:rFonts w:ascii="Calibri" w:hAnsi="Calibri"/>
        </w:rPr>
      </w:pPr>
    </w:p>
    <w:p w14:paraId="3CF8A1E9" w14:textId="50FB7410" w:rsidR="00F8305C" w:rsidRPr="00F8305C" w:rsidRDefault="00F8305C" w:rsidP="00D63204">
      <w:pPr>
        <w:pStyle w:val="ListParagraph"/>
        <w:widowControl w:val="0"/>
        <w:numPr>
          <w:ilvl w:val="0"/>
          <w:numId w:val="89"/>
        </w:numPr>
        <w:spacing w:before="195" w:after="0" w:line="240" w:lineRule="auto"/>
        <w:rPr>
          <w:rFonts w:ascii="Calibri" w:hAnsi="Calibri"/>
        </w:rPr>
      </w:pPr>
      <w:r w:rsidRPr="00F8305C">
        <w:rPr>
          <w:rFonts w:ascii="Calibri" w:hAnsi="Calibri"/>
        </w:rPr>
        <w:t>Provide support and assistance in delivering key policy messages and recommendations to the governor, legislators, federal entities</w:t>
      </w:r>
      <w:r w:rsidR="00D5537E">
        <w:rPr>
          <w:rFonts w:ascii="Calibri" w:hAnsi="Calibri"/>
        </w:rPr>
        <w:t xml:space="preserve"> and</w:t>
      </w:r>
      <w:r w:rsidRPr="00F8305C">
        <w:rPr>
          <w:rFonts w:ascii="Calibri" w:hAnsi="Calibri"/>
        </w:rPr>
        <w:t xml:space="preserve"> other key stakeholder groups as needed.</w:t>
      </w:r>
    </w:p>
    <w:p w14:paraId="296844C8" w14:textId="77777777" w:rsidR="00F8305C" w:rsidRPr="008C62D5" w:rsidRDefault="00F8305C" w:rsidP="00D63204">
      <w:pPr>
        <w:pStyle w:val="ListParagraph"/>
        <w:widowControl w:val="0"/>
        <w:spacing w:before="195" w:after="0" w:line="240" w:lineRule="auto"/>
        <w:ind w:left="107"/>
        <w:rPr>
          <w:rFonts w:ascii="Calibri" w:hAnsi="Calibri"/>
        </w:rPr>
      </w:pPr>
    </w:p>
    <w:p w14:paraId="20237E08" w14:textId="14B0DF80" w:rsidR="00F8305C" w:rsidRPr="00F8305C" w:rsidRDefault="00F8305C" w:rsidP="00D63204">
      <w:pPr>
        <w:pStyle w:val="ListParagraph"/>
        <w:widowControl w:val="0"/>
        <w:numPr>
          <w:ilvl w:val="0"/>
          <w:numId w:val="88"/>
        </w:numPr>
        <w:spacing w:before="195" w:after="0" w:line="240" w:lineRule="auto"/>
        <w:rPr>
          <w:rFonts w:ascii="Calibri" w:hAnsi="Calibri"/>
          <w:b/>
        </w:rPr>
      </w:pPr>
      <w:r w:rsidRPr="00F8305C">
        <w:rPr>
          <w:rFonts w:ascii="Calibri" w:hAnsi="Calibri"/>
          <w:b/>
        </w:rPr>
        <w:t>WIOA Core Program Leadership Team</w:t>
      </w:r>
    </w:p>
    <w:p w14:paraId="0CA6B66D" w14:textId="7BF8101D" w:rsidR="00F8305C" w:rsidRPr="008C62D5" w:rsidRDefault="00F8305C" w:rsidP="00D63204">
      <w:pPr>
        <w:widowControl w:val="0"/>
        <w:spacing w:before="195" w:after="0" w:line="240" w:lineRule="auto"/>
        <w:ind w:left="107"/>
        <w:rPr>
          <w:rFonts w:ascii="Calibri" w:hAnsi="Calibri"/>
        </w:rPr>
      </w:pPr>
      <w:r w:rsidRPr="008C62D5">
        <w:rPr>
          <w:rFonts w:ascii="Calibri" w:hAnsi="Calibri"/>
        </w:rPr>
        <w:t xml:space="preserve">Membership: WIOA Partner Program Directors </w:t>
      </w:r>
      <w:r w:rsidRPr="00A85FC3">
        <w:rPr>
          <w:rFonts w:ascii="Calibri" w:hAnsi="Calibri"/>
        </w:rPr>
        <w:t>–</w:t>
      </w:r>
      <w:r w:rsidRPr="008C62D5">
        <w:rPr>
          <w:rFonts w:ascii="Calibri" w:hAnsi="Calibri"/>
        </w:rPr>
        <w:t xml:space="preserve"> CareerSource Florida; Department of Economic Opportunity Division of Workforce Services; Department of Education Divisions of Vocational Rehabilitation, Blind Services, Career and Adult Education</w:t>
      </w:r>
      <w:r w:rsidR="000906CB">
        <w:rPr>
          <w:rFonts w:ascii="Calibri" w:hAnsi="Calibri"/>
        </w:rPr>
        <w:t>;</w:t>
      </w:r>
      <w:r w:rsidR="00D5537E">
        <w:rPr>
          <w:rFonts w:ascii="Calibri" w:hAnsi="Calibri"/>
        </w:rPr>
        <w:t xml:space="preserve"> and</w:t>
      </w:r>
      <w:r w:rsidRPr="008C62D5">
        <w:rPr>
          <w:rFonts w:ascii="Calibri" w:hAnsi="Calibri"/>
        </w:rPr>
        <w:t xml:space="preserve"> Colleges and Universities</w:t>
      </w:r>
    </w:p>
    <w:p w14:paraId="5D766352" w14:textId="2F0F1766" w:rsidR="00F8305C" w:rsidRDefault="00F8305C" w:rsidP="00D63204">
      <w:pPr>
        <w:pStyle w:val="ListParagraph"/>
        <w:widowControl w:val="0"/>
        <w:numPr>
          <w:ilvl w:val="0"/>
          <w:numId w:val="90"/>
        </w:numPr>
        <w:spacing w:before="195" w:after="0" w:line="240" w:lineRule="auto"/>
        <w:rPr>
          <w:rFonts w:ascii="Calibri" w:hAnsi="Calibri"/>
        </w:rPr>
      </w:pPr>
      <w:r w:rsidRPr="008C62D5">
        <w:rPr>
          <w:rFonts w:ascii="Calibri" w:hAnsi="Calibri"/>
        </w:rPr>
        <w:t xml:space="preserve">Receive and consider recommendations for WIOA implementation and management from the </w:t>
      </w:r>
      <w:r>
        <w:rPr>
          <w:rFonts w:ascii="Calibri" w:hAnsi="Calibri"/>
        </w:rPr>
        <w:t>WIOA S</w:t>
      </w:r>
      <w:r w:rsidRPr="008C62D5">
        <w:rPr>
          <w:rFonts w:ascii="Calibri" w:hAnsi="Calibri"/>
        </w:rPr>
        <w:t xml:space="preserve">tate </w:t>
      </w:r>
      <w:r>
        <w:rPr>
          <w:rFonts w:ascii="Calibri" w:hAnsi="Calibri"/>
        </w:rPr>
        <w:t>P</w:t>
      </w:r>
      <w:r w:rsidRPr="008C62D5">
        <w:rPr>
          <w:rFonts w:ascii="Calibri" w:hAnsi="Calibri"/>
        </w:rPr>
        <w:t xml:space="preserve">lan </w:t>
      </w:r>
      <w:r>
        <w:rPr>
          <w:rFonts w:ascii="Calibri" w:hAnsi="Calibri"/>
        </w:rPr>
        <w:t>I</w:t>
      </w:r>
      <w:r w:rsidRPr="008C62D5">
        <w:rPr>
          <w:rFonts w:ascii="Calibri" w:hAnsi="Calibri"/>
        </w:rPr>
        <w:t xml:space="preserve">mplementation </w:t>
      </w:r>
      <w:r>
        <w:rPr>
          <w:rFonts w:ascii="Calibri" w:hAnsi="Calibri"/>
        </w:rPr>
        <w:t>T</w:t>
      </w:r>
      <w:r w:rsidRPr="008C62D5">
        <w:rPr>
          <w:rFonts w:ascii="Calibri" w:hAnsi="Calibri"/>
        </w:rPr>
        <w:t>eam</w:t>
      </w:r>
    </w:p>
    <w:p w14:paraId="71017C18" w14:textId="77777777" w:rsidR="00F8305C" w:rsidRDefault="00F8305C" w:rsidP="00D63204">
      <w:pPr>
        <w:pStyle w:val="ListParagraph"/>
        <w:widowControl w:val="0"/>
        <w:spacing w:before="195" w:after="0" w:line="240" w:lineRule="auto"/>
        <w:ind w:left="827"/>
        <w:rPr>
          <w:rFonts w:ascii="Calibri" w:hAnsi="Calibri"/>
        </w:rPr>
      </w:pPr>
    </w:p>
    <w:p w14:paraId="1B7F6D80" w14:textId="634DC24E" w:rsidR="00F8305C" w:rsidRDefault="00F8305C" w:rsidP="00D63204">
      <w:pPr>
        <w:pStyle w:val="ListParagraph"/>
        <w:widowControl w:val="0"/>
        <w:numPr>
          <w:ilvl w:val="0"/>
          <w:numId w:val="90"/>
        </w:numPr>
        <w:spacing w:before="195" w:after="0" w:line="240" w:lineRule="auto"/>
        <w:rPr>
          <w:rFonts w:ascii="Calibri" w:hAnsi="Calibri"/>
        </w:rPr>
      </w:pPr>
      <w:r w:rsidRPr="00AE2DA0">
        <w:rPr>
          <w:rFonts w:ascii="Calibri" w:hAnsi="Calibri"/>
        </w:rPr>
        <w:t>Discuss potential “hot topic” issues of mutual concern and seek solutions</w:t>
      </w:r>
    </w:p>
    <w:p w14:paraId="39241868" w14:textId="77777777" w:rsidR="00F8305C" w:rsidRDefault="00F8305C" w:rsidP="00D63204">
      <w:pPr>
        <w:pStyle w:val="ListParagraph"/>
        <w:widowControl w:val="0"/>
        <w:spacing w:before="195" w:after="0" w:line="240" w:lineRule="auto"/>
        <w:ind w:left="827"/>
        <w:rPr>
          <w:rFonts w:ascii="Calibri" w:hAnsi="Calibri"/>
        </w:rPr>
      </w:pPr>
    </w:p>
    <w:p w14:paraId="4BE7725B" w14:textId="4AE56DB7" w:rsidR="00F8305C" w:rsidRDefault="00F8305C" w:rsidP="00D63204">
      <w:pPr>
        <w:pStyle w:val="ListParagraph"/>
        <w:widowControl w:val="0"/>
        <w:numPr>
          <w:ilvl w:val="0"/>
          <w:numId w:val="90"/>
        </w:numPr>
        <w:spacing w:before="195" w:after="0" w:line="240" w:lineRule="auto"/>
        <w:rPr>
          <w:rFonts w:ascii="Calibri" w:hAnsi="Calibri"/>
        </w:rPr>
      </w:pPr>
      <w:r w:rsidRPr="00AE2DA0">
        <w:rPr>
          <w:rFonts w:ascii="Calibri" w:hAnsi="Calibri"/>
        </w:rPr>
        <w:t>Provide thorough vetting of complex issues prior to submitting key information and recommendations from the WIOA State Plan Implementation Team</w:t>
      </w:r>
      <w:r>
        <w:rPr>
          <w:rFonts w:ascii="Calibri" w:hAnsi="Calibri"/>
        </w:rPr>
        <w:t xml:space="preserve"> to the CareerSource Florida Board of Directors</w:t>
      </w:r>
    </w:p>
    <w:p w14:paraId="5EAEDD25" w14:textId="77777777" w:rsidR="00F8305C" w:rsidRDefault="00F8305C" w:rsidP="00D63204">
      <w:pPr>
        <w:pStyle w:val="ListParagraph"/>
        <w:widowControl w:val="0"/>
        <w:spacing w:before="195" w:after="0" w:line="240" w:lineRule="auto"/>
        <w:ind w:left="827"/>
        <w:rPr>
          <w:rFonts w:ascii="Calibri" w:hAnsi="Calibri"/>
        </w:rPr>
      </w:pPr>
    </w:p>
    <w:p w14:paraId="68E389C3" w14:textId="2D1D4180" w:rsidR="00F8305C" w:rsidRDefault="00F8305C" w:rsidP="00D63204">
      <w:pPr>
        <w:pStyle w:val="ListParagraph"/>
        <w:widowControl w:val="0"/>
        <w:numPr>
          <w:ilvl w:val="0"/>
          <w:numId w:val="90"/>
        </w:numPr>
        <w:spacing w:before="195" w:after="0" w:line="240" w:lineRule="auto"/>
        <w:rPr>
          <w:rFonts w:ascii="Calibri" w:hAnsi="Calibri"/>
        </w:rPr>
      </w:pPr>
      <w:r w:rsidRPr="00E659C3">
        <w:rPr>
          <w:rFonts w:ascii="Calibri" w:hAnsi="Calibri"/>
        </w:rPr>
        <w:t>Commission implementation workgroups as needed</w:t>
      </w:r>
    </w:p>
    <w:p w14:paraId="5666844B" w14:textId="77777777" w:rsidR="00F8305C" w:rsidRDefault="00F8305C" w:rsidP="00D63204">
      <w:pPr>
        <w:pStyle w:val="ListParagraph"/>
        <w:widowControl w:val="0"/>
        <w:spacing w:before="195" w:after="0" w:line="240" w:lineRule="auto"/>
        <w:ind w:left="827"/>
        <w:rPr>
          <w:rFonts w:ascii="Calibri" w:hAnsi="Calibri"/>
        </w:rPr>
      </w:pPr>
    </w:p>
    <w:p w14:paraId="46FD7B71" w14:textId="712C1838" w:rsidR="00F8305C" w:rsidRDefault="00F8305C" w:rsidP="00D63204">
      <w:pPr>
        <w:pStyle w:val="ListParagraph"/>
        <w:widowControl w:val="0"/>
        <w:numPr>
          <w:ilvl w:val="0"/>
          <w:numId w:val="90"/>
        </w:numPr>
        <w:spacing w:before="195" w:after="0" w:line="240" w:lineRule="auto"/>
        <w:rPr>
          <w:rFonts w:ascii="Calibri" w:hAnsi="Calibri"/>
        </w:rPr>
      </w:pPr>
      <w:r w:rsidRPr="00AE2DA0">
        <w:rPr>
          <w:rFonts w:ascii="Calibri" w:hAnsi="Calibri"/>
        </w:rPr>
        <w:t>Arrange for resource supports as needed</w:t>
      </w:r>
    </w:p>
    <w:p w14:paraId="43AA0684" w14:textId="77777777" w:rsidR="00F8305C" w:rsidRDefault="00F8305C" w:rsidP="00D63204">
      <w:pPr>
        <w:pStyle w:val="ListParagraph"/>
        <w:widowControl w:val="0"/>
        <w:spacing w:before="195" w:after="0" w:line="240" w:lineRule="auto"/>
        <w:ind w:left="827"/>
        <w:rPr>
          <w:rFonts w:ascii="Calibri" w:hAnsi="Calibri"/>
        </w:rPr>
      </w:pPr>
    </w:p>
    <w:p w14:paraId="675E2A07" w14:textId="6BD09BC4" w:rsidR="00F8305C" w:rsidRDefault="00F8305C" w:rsidP="00D63204">
      <w:pPr>
        <w:pStyle w:val="ListParagraph"/>
        <w:widowControl w:val="0"/>
        <w:numPr>
          <w:ilvl w:val="0"/>
          <w:numId w:val="90"/>
        </w:numPr>
        <w:spacing w:before="195" w:after="0" w:line="240" w:lineRule="auto"/>
        <w:rPr>
          <w:rFonts w:ascii="Calibri" w:hAnsi="Calibri"/>
        </w:rPr>
      </w:pPr>
      <w:r w:rsidRPr="00E0691F">
        <w:rPr>
          <w:rFonts w:ascii="Calibri" w:hAnsi="Calibri"/>
        </w:rPr>
        <w:t>Prepare and deliver key information and recommendations on implementation, strategy</w:t>
      </w:r>
      <w:r w:rsidR="00D5537E">
        <w:rPr>
          <w:rFonts w:ascii="Calibri" w:hAnsi="Calibri"/>
        </w:rPr>
        <w:t xml:space="preserve"> and</w:t>
      </w:r>
      <w:r w:rsidRPr="00E0691F">
        <w:rPr>
          <w:rFonts w:ascii="Calibri" w:hAnsi="Calibri"/>
        </w:rPr>
        <w:t xml:space="preserve"> performance to the governor, agency heads, legislators, the state workforce </w:t>
      </w:r>
      <w:r w:rsidR="0046501D">
        <w:rPr>
          <w:rFonts w:ascii="Calibri" w:hAnsi="Calibri"/>
        </w:rPr>
        <w:t xml:space="preserve">investment </w:t>
      </w:r>
      <w:r w:rsidRPr="00E0691F">
        <w:rPr>
          <w:rFonts w:ascii="Calibri" w:hAnsi="Calibri"/>
        </w:rPr>
        <w:t>board</w:t>
      </w:r>
      <w:r w:rsidR="00D5537E">
        <w:rPr>
          <w:rFonts w:ascii="Calibri" w:hAnsi="Calibri"/>
        </w:rPr>
        <w:t xml:space="preserve"> and</w:t>
      </w:r>
      <w:r w:rsidRPr="00E0691F">
        <w:rPr>
          <w:rFonts w:ascii="Calibri" w:hAnsi="Calibri"/>
        </w:rPr>
        <w:t xml:space="preserve"> federal Departments of Labor and Education</w:t>
      </w:r>
    </w:p>
    <w:p w14:paraId="6E2B66A0" w14:textId="77777777" w:rsidR="00F8305C" w:rsidRPr="00E0691F" w:rsidRDefault="00F8305C" w:rsidP="00D63204">
      <w:pPr>
        <w:pStyle w:val="ListParagraph"/>
        <w:widowControl w:val="0"/>
        <w:spacing w:before="195" w:after="0" w:line="240" w:lineRule="auto"/>
        <w:ind w:left="107"/>
        <w:rPr>
          <w:rFonts w:ascii="Calibri" w:hAnsi="Calibri"/>
        </w:rPr>
      </w:pPr>
    </w:p>
    <w:p w14:paraId="227F3B91" w14:textId="77777777" w:rsidR="00F8305C" w:rsidRPr="009A5912" w:rsidRDefault="00F8305C" w:rsidP="00D63204">
      <w:pPr>
        <w:pStyle w:val="ListParagraph"/>
        <w:widowControl w:val="0"/>
        <w:numPr>
          <w:ilvl w:val="0"/>
          <w:numId w:val="88"/>
        </w:numPr>
        <w:spacing w:before="195" w:after="0" w:line="240" w:lineRule="auto"/>
        <w:rPr>
          <w:rFonts w:ascii="Calibri" w:hAnsi="Calibri"/>
          <w:b/>
        </w:rPr>
      </w:pPr>
      <w:r w:rsidRPr="009A5912">
        <w:rPr>
          <w:rFonts w:ascii="Calibri" w:hAnsi="Calibri"/>
          <w:b/>
        </w:rPr>
        <w:t>WIOA State Plan Implementation Team</w:t>
      </w:r>
    </w:p>
    <w:p w14:paraId="061CE82B" w14:textId="77777777" w:rsidR="00F8305C" w:rsidRPr="008C62D5" w:rsidRDefault="00F8305C" w:rsidP="00D63204">
      <w:pPr>
        <w:widowControl w:val="0"/>
        <w:spacing w:before="195" w:after="0" w:line="240" w:lineRule="auto"/>
        <w:ind w:left="107"/>
        <w:rPr>
          <w:rFonts w:ascii="Calibri" w:hAnsi="Calibri"/>
        </w:rPr>
      </w:pPr>
      <w:r w:rsidRPr="008C62D5">
        <w:rPr>
          <w:rFonts w:ascii="Calibri" w:hAnsi="Calibri"/>
        </w:rPr>
        <w:t>Membership: Planning Directors and Program Leadership for WIOA partner programs</w:t>
      </w:r>
    </w:p>
    <w:p w14:paraId="6DE5AF2D" w14:textId="4556E248" w:rsidR="00F8305C" w:rsidRDefault="00F8305C" w:rsidP="00D63204">
      <w:pPr>
        <w:pStyle w:val="ListParagraph"/>
        <w:widowControl w:val="0"/>
        <w:numPr>
          <w:ilvl w:val="0"/>
          <w:numId w:val="91"/>
        </w:numPr>
        <w:spacing w:before="195" w:after="0" w:line="240" w:lineRule="auto"/>
        <w:rPr>
          <w:rFonts w:ascii="Calibri" w:hAnsi="Calibri"/>
        </w:rPr>
      </w:pPr>
      <w:r w:rsidRPr="00F8305C">
        <w:rPr>
          <w:rFonts w:ascii="Calibri" w:hAnsi="Calibri"/>
        </w:rPr>
        <w:t>Review and interpret legal and regulatory requirements of WIOA</w:t>
      </w:r>
    </w:p>
    <w:p w14:paraId="3133B60E" w14:textId="77777777" w:rsidR="00F8305C" w:rsidRDefault="00F8305C" w:rsidP="00D63204">
      <w:pPr>
        <w:pStyle w:val="ListParagraph"/>
        <w:widowControl w:val="0"/>
        <w:spacing w:before="195" w:after="0" w:line="240" w:lineRule="auto"/>
        <w:ind w:left="827"/>
        <w:rPr>
          <w:rFonts w:ascii="Calibri" w:hAnsi="Calibri"/>
        </w:rPr>
      </w:pPr>
    </w:p>
    <w:p w14:paraId="10D9F2B8" w14:textId="3463DAA7" w:rsidR="00F8305C" w:rsidRDefault="00F8305C" w:rsidP="00D63204">
      <w:pPr>
        <w:pStyle w:val="ListParagraph"/>
        <w:widowControl w:val="0"/>
        <w:numPr>
          <w:ilvl w:val="0"/>
          <w:numId w:val="91"/>
        </w:numPr>
        <w:spacing w:before="195" w:after="0" w:line="240" w:lineRule="auto"/>
        <w:rPr>
          <w:rFonts w:ascii="Calibri" w:hAnsi="Calibri"/>
        </w:rPr>
      </w:pPr>
      <w:r w:rsidRPr="00F8305C">
        <w:rPr>
          <w:rFonts w:ascii="Calibri" w:hAnsi="Calibri"/>
        </w:rPr>
        <w:t>Incorporate the requirements into the state planning and performance processes</w:t>
      </w:r>
    </w:p>
    <w:p w14:paraId="75C8023F" w14:textId="77777777" w:rsidR="00F8305C" w:rsidRPr="00F8305C" w:rsidRDefault="00F8305C" w:rsidP="00D63204">
      <w:pPr>
        <w:pStyle w:val="ListParagraph"/>
        <w:widowControl w:val="0"/>
        <w:spacing w:before="195" w:after="0" w:line="240" w:lineRule="auto"/>
        <w:ind w:left="827"/>
        <w:rPr>
          <w:rFonts w:ascii="Calibri" w:hAnsi="Calibri"/>
        </w:rPr>
      </w:pPr>
    </w:p>
    <w:p w14:paraId="59E47D41" w14:textId="35233411" w:rsidR="00F8305C" w:rsidRDefault="00F8305C" w:rsidP="00D63204">
      <w:pPr>
        <w:pStyle w:val="ListParagraph"/>
        <w:widowControl w:val="0"/>
        <w:numPr>
          <w:ilvl w:val="0"/>
          <w:numId w:val="91"/>
        </w:numPr>
        <w:spacing w:before="195" w:after="0" w:line="240" w:lineRule="auto"/>
        <w:rPr>
          <w:rFonts w:ascii="Calibri" w:hAnsi="Calibri"/>
        </w:rPr>
      </w:pPr>
      <w:r w:rsidRPr="00E659C3">
        <w:rPr>
          <w:rFonts w:ascii="Calibri" w:hAnsi="Calibri"/>
        </w:rPr>
        <w:t>Identify and communicate resource and information supports across all WIOA partner programs</w:t>
      </w:r>
    </w:p>
    <w:p w14:paraId="22914E10" w14:textId="77777777" w:rsidR="00F8305C" w:rsidRDefault="00F8305C" w:rsidP="00D63204">
      <w:pPr>
        <w:pStyle w:val="ListParagraph"/>
        <w:widowControl w:val="0"/>
        <w:spacing w:before="195" w:after="0" w:line="240" w:lineRule="auto"/>
        <w:ind w:left="827"/>
        <w:rPr>
          <w:rFonts w:ascii="Calibri" w:hAnsi="Calibri"/>
        </w:rPr>
      </w:pPr>
    </w:p>
    <w:p w14:paraId="3C9C7CD8" w14:textId="19E1882B" w:rsidR="00F8305C" w:rsidRDefault="00F8305C" w:rsidP="00D63204">
      <w:pPr>
        <w:pStyle w:val="ListParagraph"/>
        <w:widowControl w:val="0"/>
        <w:numPr>
          <w:ilvl w:val="0"/>
          <w:numId w:val="91"/>
        </w:numPr>
        <w:spacing w:before="195" w:after="0" w:line="240" w:lineRule="auto"/>
        <w:rPr>
          <w:rFonts w:ascii="Calibri" w:hAnsi="Calibri"/>
        </w:rPr>
      </w:pPr>
      <w:r w:rsidRPr="00AE2DA0">
        <w:rPr>
          <w:rFonts w:ascii="Calibri" w:hAnsi="Calibri"/>
        </w:rPr>
        <w:t xml:space="preserve">Draft policies, guidelines and tools for developing and tracking the state plan </w:t>
      </w:r>
    </w:p>
    <w:p w14:paraId="7C31AA77" w14:textId="77777777" w:rsidR="00F8305C" w:rsidRDefault="00F8305C" w:rsidP="00D63204">
      <w:pPr>
        <w:pStyle w:val="ListParagraph"/>
        <w:widowControl w:val="0"/>
        <w:spacing w:before="195" w:after="0" w:line="240" w:lineRule="auto"/>
        <w:ind w:left="827"/>
        <w:rPr>
          <w:rFonts w:ascii="Calibri" w:hAnsi="Calibri"/>
        </w:rPr>
      </w:pPr>
    </w:p>
    <w:p w14:paraId="2B6B299E" w14:textId="5BA1D342" w:rsidR="00F8305C" w:rsidRDefault="00F8305C" w:rsidP="00D63204">
      <w:pPr>
        <w:pStyle w:val="ListParagraph"/>
        <w:widowControl w:val="0"/>
        <w:numPr>
          <w:ilvl w:val="0"/>
          <w:numId w:val="91"/>
        </w:numPr>
        <w:spacing w:before="195" w:after="0" w:line="240" w:lineRule="auto"/>
        <w:rPr>
          <w:rFonts w:ascii="Calibri" w:hAnsi="Calibri"/>
        </w:rPr>
      </w:pPr>
      <w:r w:rsidRPr="00AE2DA0">
        <w:rPr>
          <w:rFonts w:ascii="Calibri" w:hAnsi="Calibri"/>
        </w:rPr>
        <w:t>Prepare and deliver state plan (and plan updates); coordinate the development and delivery of local plans</w:t>
      </w:r>
    </w:p>
    <w:p w14:paraId="6A3272C0" w14:textId="77777777" w:rsidR="00F8305C" w:rsidRDefault="00F8305C" w:rsidP="00D63204">
      <w:pPr>
        <w:pStyle w:val="ListParagraph"/>
        <w:widowControl w:val="0"/>
        <w:spacing w:before="195" w:after="0" w:line="240" w:lineRule="auto"/>
        <w:ind w:left="827"/>
        <w:rPr>
          <w:rFonts w:ascii="Calibri" w:hAnsi="Calibri"/>
        </w:rPr>
      </w:pPr>
    </w:p>
    <w:p w14:paraId="3A910F2C" w14:textId="5DAC1554" w:rsidR="00F8305C" w:rsidRDefault="00F8305C" w:rsidP="00D63204">
      <w:pPr>
        <w:pStyle w:val="ListParagraph"/>
        <w:widowControl w:val="0"/>
        <w:numPr>
          <w:ilvl w:val="0"/>
          <w:numId w:val="91"/>
        </w:numPr>
        <w:spacing w:before="195" w:after="0" w:line="240" w:lineRule="auto"/>
        <w:rPr>
          <w:rFonts w:ascii="Calibri" w:hAnsi="Calibri"/>
        </w:rPr>
      </w:pPr>
      <w:r w:rsidRPr="00AE2DA0">
        <w:rPr>
          <w:rFonts w:ascii="Calibri" w:hAnsi="Calibri"/>
        </w:rPr>
        <w:t>Track approved state plan workgroups and activities to ensure that goals are achieved</w:t>
      </w:r>
    </w:p>
    <w:p w14:paraId="2DBB1301" w14:textId="77777777" w:rsidR="00F8305C" w:rsidRDefault="00F8305C" w:rsidP="00D63204">
      <w:pPr>
        <w:pStyle w:val="ListParagraph"/>
        <w:widowControl w:val="0"/>
        <w:spacing w:before="195" w:after="0" w:line="240" w:lineRule="auto"/>
        <w:ind w:left="827"/>
        <w:rPr>
          <w:rFonts w:ascii="Calibri" w:hAnsi="Calibri"/>
        </w:rPr>
      </w:pPr>
    </w:p>
    <w:p w14:paraId="749B448E" w14:textId="278E8AD6" w:rsidR="00F8305C" w:rsidRDefault="00F8305C" w:rsidP="00D63204">
      <w:pPr>
        <w:pStyle w:val="ListParagraph"/>
        <w:widowControl w:val="0"/>
        <w:numPr>
          <w:ilvl w:val="0"/>
          <w:numId w:val="91"/>
        </w:numPr>
        <w:spacing w:before="195" w:after="0" w:line="240" w:lineRule="auto"/>
        <w:rPr>
          <w:rFonts w:ascii="Calibri" w:hAnsi="Calibri"/>
        </w:rPr>
      </w:pPr>
      <w:r w:rsidRPr="00E0691F">
        <w:rPr>
          <w:rFonts w:ascii="Calibri" w:hAnsi="Calibri"/>
        </w:rPr>
        <w:t>Consider and approve recommendations of workgroups</w:t>
      </w:r>
    </w:p>
    <w:p w14:paraId="2270FBAD" w14:textId="77777777" w:rsidR="00F8305C" w:rsidRDefault="00F8305C" w:rsidP="00D63204">
      <w:pPr>
        <w:pStyle w:val="ListParagraph"/>
        <w:widowControl w:val="0"/>
        <w:spacing w:before="195" w:after="0" w:line="240" w:lineRule="auto"/>
        <w:ind w:left="827"/>
        <w:rPr>
          <w:rFonts w:ascii="Calibri" w:hAnsi="Calibri"/>
        </w:rPr>
      </w:pPr>
    </w:p>
    <w:p w14:paraId="3DD39E70" w14:textId="4617C54D" w:rsidR="00F8305C" w:rsidRDefault="00F8305C" w:rsidP="00D63204">
      <w:pPr>
        <w:pStyle w:val="ListParagraph"/>
        <w:widowControl w:val="0"/>
        <w:numPr>
          <w:ilvl w:val="0"/>
          <w:numId w:val="91"/>
        </w:numPr>
        <w:spacing w:before="195" w:after="0" w:line="240" w:lineRule="auto"/>
        <w:rPr>
          <w:rFonts w:ascii="Calibri" w:hAnsi="Calibri"/>
        </w:rPr>
      </w:pPr>
      <w:r w:rsidRPr="00E0691F">
        <w:rPr>
          <w:rFonts w:ascii="Calibri" w:hAnsi="Calibri"/>
        </w:rPr>
        <w:t>Report plan progress to WIOA Core Program Leadership Team</w:t>
      </w:r>
    </w:p>
    <w:p w14:paraId="18F8F8C9" w14:textId="77777777" w:rsidR="00F8305C" w:rsidRDefault="00F8305C" w:rsidP="00D63204">
      <w:pPr>
        <w:pStyle w:val="ListParagraph"/>
        <w:widowControl w:val="0"/>
        <w:spacing w:before="195" w:after="0" w:line="240" w:lineRule="auto"/>
        <w:ind w:left="827"/>
        <w:rPr>
          <w:rFonts w:ascii="Calibri" w:hAnsi="Calibri"/>
        </w:rPr>
      </w:pPr>
    </w:p>
    <w:p w14:paraId="37812D7E" w14:textId="04FC2EBB" w:rsidR="00F8305C" w:rsidRDefault="00F8305C" w:rsidP="00D63204">
      <w:pPr>
        <w:pStyle w:val="ListParagraph"/>
        <w:widowControl w:val="0"/>
        <w:numPr>
          <w:ilvl w:val="0"/>
          <w:numId w:val="91"/>
        </w:numPr>
        <w:spacing w:before="195" w:after="0" w:line="240" w:lineRule="auto"/>
        <w:rPr>
          <w:rFonts w:ascii="Calibri" w:hAnsi="Calibri"/>
        </w:rPr>
      </w:pPr>
      <w:r w:rsidRPr="00E0691F">
        <w:rPr>
          <w:rFonts w:ascii="Calibri" w:hAnsi="Calibri"/>
        </w:rPr>
        <w:t>Make recommendations for additional teams or resources to maintain progress</w:t>
      </w:r>
    </w:p>
    <w:p w14:paraId="59998164" w14:textId="77777777" w:rsidR="00F8305C" w:rsidRDefault="00F8305C" w:rsidP="00D63204">
      <w:pPr>
        <w:pStyle w:val="ListParagraph"/>
        <w:widowControl w:val="0"/>
        <w:spacing w:before="195" w:after="0" w:line="240" w:lineRule="auto"/>
        <w:ind w:left="827"/>
        <w:rPr>
          <w:rFonts w:ascii="Calibri" w:hAnsi="Calibri"/>
        </w:rPr>
      </w:pPr>
    </w:p>
    <w:p w14:paraId="2B4D1510" w14:textId="2AD138EA" w:rsidR="00F8305C" w:rsidRDefault="00F8305C" w:rsidP="00D63204">
      <w:pPr>
        <w:pStyle w:val="ListParagraph"/>
        <w:widowControl w:val="0"/>
        <w:numPr>
          <w:ilvl w:val="0"/>
          <w:numId w:val="91"/>
        </w:numPr>
        <w:spacing w:before="195" w:after="0" w:line="240" w:lineRule="auto"/>
        <w:rPr>
          <w:rFonts w:ascii="Calibri" w:hAnsi="Calibri"/>
        </w:rPr>
      </w:pPr>
      <w:r w:rsidRPr="008C62D5">
        <w:rPr>
          <w:rFonts w:ascii="Calibri" w:hAnsi="Calibri"/>
        </w:rPr>
        <w:t>Communicate key messages and issues to agency heads</w:t>
      </w:r>
    </w:p>
    <w:p w14:paraId="472DC71A" w14:textId="0175AA0C" w:rsidR="00F8305C" w:rsidRPr="00F8305C" w:rsidRDefault="00F8305C" w:rsidP="00D63204">
      <w:pPr>
        <w:widowControl w:val="0"/>
        <w:spacing w:before="195" w:after="0" w:line="240" w:lineRule="auto"/>
        <w:ind w:left="107"/>
        <w:rPr>
          <w:rFonts w:ascii="Calibri" w:hAnsi="Calibri"/>
        </w:rPr>
      </w:pPr>
      <w:r w:rsidRPr="00F8305C">
        <w:rPr>
          <w:rFonts w:ascii="Calibri" w:hAnsi="Calibri"/>
        </w:rPr>
        <w:t>These activities allow the formation of workgroups to engage in coordinated projects designed to continue implementation and enhancement of the workforce system within the WIOA framework</w:t>
      </w:r>
      <w:r w:rsidR="005E7C49">
        <w:rPr>
          <w:rFonts w:ascii="Calibri" w:hAnsi="Calibri"/>
        </w:rPr>
        <w:t xml:space="preserve">. </w:t>
      </w:r>
      <w:r w:rsidRPr="00F8305C">
        <w:rPr>
          <w:rFonts w:ascii="Calibri" w:hAnsi="Calibri"/>
        </w:rPr>
        <w:t>These workgroups include planning directors, program leadership</w:t>
      </w:r>
      <w:r w:rsidR="00D5537E">
        <w:rPr>
          <w:rFonts w:ascii="Calibri" w:hAnsi="Calibri"/>
        </w:rPr>
        <w:t xml:space="preserve"> and</w:t>
      </w:r>
      <w:r w:rsidRPr="00F8305C">
        <w:rPr>
          <w:rFonts w:ascii="Calibri" w:hAnsi="Calibri"/>
        </w:rPr>
        <w:t xml:space="preserve"> subject matter experts for WIOA partner programs. Examples of these workgroups include the following:</w:t>
      </w:r>
    </w:p>
    <w:p w14:paraId="423C0471" w14:textId="1AC03FB8" w:rsidR="00F8305C" w:rsidRDefault="00F8305C" w:rsidP="00D63204">
      <w:pPr>
        <w:pStyle w:val="ListParagraph"/>
        <w:widowControl w:val="0"/>
        <w:numPr>
          <w:ilvl w:val="0"/>
          <w:numId w:val="92"/>
        </w:numPr>
        <w:spacing w:before="195" w:after="0" w:line="240" w:lineRule="auto"/>
        <w:rPr>
          <w:rFonts w:ascii="Calibri" w:hAnsi="Calibri"/>
        </w:rPr>
      </w:pPr>
      <w:r w:rsidRPr="00F8305C">
        <w:rPr>
          <w:rFonts w:ascii="Calibri" w:hAnsi="Calibri"/>
        </w:rPr>
        <w:t>Conduct pilot for career center integration</w:t>
      </w:r>
    </w:p>
    <w:p w14:paraId="5C5943FE" w14:textId="77777777" w:rsidR="00F8305C" w:rsidRPr="00F8305C" w:rsidRDefault="00F8305C" w:rsidP="00D63204">
      <w:pPr>
        <w:pStyle w:val="ListParagraph"/>
        <w:widowControl w:val="0"/>
        <w:spacing w:before="195" w:after="0" w:line="240" w:lineRule="auto"/>
        <w:ind w:left="827"/>
        <w:rPr>
          <w:rFonts w:ascii="Calibri" w:hAnsi="Calibri"/>
        </w:rPr>
      </w:pPr>
    </w:p>
    <w:p w14:paraId="13832E48" w14:textId="28D07621" w:rsidR="00F8305C" w:rsidRDefault="00F8305C" w:rsidP="00D63204">
      <w:pPr>
        <w:pStyle w:val="ListParagraph"/>
        <w:widowControl w:val="0"/>
        <w:numPr>
          <w:ilvl w:val="0"/>
          <w:numId w:val="92"/>
        </w:numPr>
        <w:spacing w:before="195" w:after="0" w:line="240" w:lineRule="auto"/>
        <w:rPr>
          <w:rFonts w:ascii="Calibri" w:hAnsi="Calibri"/>
        </w:rPr>
      </w:pPr>
      <w:r w:rsidRPr="00F8305C">
        <w:rPr>
          <w:rFonts w:ascii="Calibri" w:hAnsi="Calibri"/>
        </w:rPr>
        <w:t>Design of comprehensive one-stop career center system with the inclusion of universal design principles as a certification requirement</w:t>
      </w:r>
    </w:p>
    <w:p w14:paraId="60509D2A" w14:textId="77777777" w:rsidR="00F8305C" w:rsidRPr="00F8305C" w:rsidRDefault="00F8305C" w:rsidP="00D63204">
      <w:pPr>
        <w:pStyle w:val="ListParagraph"/>
        <w:widowControl w:val="0"/>
        <w:spacing w:before="195" w:after="0" w:line="240" w:lineRule="auto"/>
        <w:ind w:left="827"/>
        <w:rPr>
          <w:rFonts w:ascii="Calibri" w:hAnsi="Calibri"/>
        </w:rPr>
      </w:pPr>
    </w:p>
    <w:p w14:paraId="2A9341B8" w14:textId="22B8B08D" w:rsidR="00F8305C" w:rsidRDefault="00F8305C" w:rsidP="00D63204">
      <w:pPr>
        <w:pStyle w:val="ListParagraph"/>
        <w:widowControl w:val="0"/>
        <w:numPr>
          <w:ilvl w:val="0"/>
          <w:numId w:val="92"/>
        </w:numPr>
        <w:spacing w:before="195" w:after="0" w:line="240" w:lineRule="auto"/>
        <w:rPr>
          <w:rFonts w:ascii="Calibri" w:hAnsi="Calibri"/>
        </w:rPr>
      </w:pPr>
      <w:r w:rsidRPr="00F8305C">
        <w:rPr>
          <w:rFonts w:ascii="Calibri" w:hAnsi="Calibri"/>
        </w:rPr>
        <w:t>Enhance infrastructure and data sharing processes</w:t>
      </w:r>
    </w:p>
    <w:p w14:paraId="2259C659" w14:textId="77777777" w:rsidR="00F8305C" w:rsidRPr="00F8305C" w:rsidRDefault="00F8305C" w:rsidP="00D63204">
      <w:pPr>
        <w:pStyle w:val="ListParagraph"/>
        <w:widowControl w:val="0"/>
        <w:spacing w:before="195" w:after="0" w:line="240" w:lineRule="auto"/>
        <w:ind w:left="827"/>
        <w:rPr>
          <w:rFonts w:ascii="Calibri" w:hAnsi="Calibri"/>
        </w:rPr>
      </w:pPr>
    </w:p>
    <w:p w14:paraId="6E4D0735" w14:textId="2D275606" w:rsidR="00F8305C" w:rsidRDefault="00F8305C" w:rsidP="00D63204">
      <w:pPr>
        <w:pStyle w:val="ListParagraph"/>
        <w:widowControl w:val="0"/>
        <w:numPr>
          <w:ilvl w:val="0"/>
          <w:numId w:val="92"/>
        </w:numPr>
        <w:spacing w:before="195" w:after="0" w:line="240" w:lineRule="auto"/>
        <w:rPr>
          <w:rFonts w:ascii="Calibri" w:hAnsi="Calibri"/>
        </w:rPr>
      </w:pPr>
      <w:r w:rsidRPr="00F8305C">
        <w:rPr>
          <w:rFonts w:ascii="Calibri" w:hAnsi="Calibri"/>
        </w:rPr>
        <w:t>Coordination of membership in state and local workforce boards</w:t>
      </w:r>
    </w:p>
    <w:p w14:paraId="591BE178" w14:textId="77777777" w:rsidR="00F8305C" w:rsidRPr="00F8305C" w:rsidRDefault="00F8305C" w:rsidP="00D63204">
      <w:pPr>
        <w:pStyle w:val="ListParagraph"/>
        <w:widowControl w:val="0"/>
        <w:spacing w:before="195" w:after="0" w:line="240" w:lineRule="auto"/>
        <w:ind w:left="827"/>
        <w:rPr>
          <w:rFonts w:ascii="Calibri" w:hAnsi="Calibri"/>
        </w:rPr>
      </w:pPr>
    </w:p>
    <w:p w14:paraId="1C1A7484" w14:textId="38934653" w:rsidR="00F8305C" w:rsidRPr="00F8305C" w:rsidRDefault="00F8305C" w:rsidP="00D63204">
      <w:pPr>
        <w:pStyle w:val="ListParagraph"/>
        <w:widowControl w:val="0"/>
        <w:numPr>
          <w:ilvl w:val="0"/>
          <w:numId w:val="92"/>
        </w:numPr>
        <w:spacing w:before="195" w:after="0" w:line="240" w:lineRule="auto"/>
        <w:rPr>
          <w:rFonts w:ascii="Calibri" w:hAnsi="Calibri"/>
        </w:rPr>
      </w:pPr>
      <w:r w:rsidRPr="00F8305C">
        <w:rPr>
          <w:rFonts w:ascii="Calibri" w:hAnsi="Calibri"/>
          <w:color w:val="231F20"/>
          <w:w w:val="105"/>
        </w:rPr>
        <w:t>Coordinated development of a network of qualified benefits planners to augment Social Security Administration contracts for Work Incentives Planning and Assistance (WIPA) services.</w:t>
      </w:r>
    </w:p>
    <w:p w14:paraId="04FDC123" w14:textId="77777777" w:rsidR="00F8305C" w:rsidRPr="00F8305C" w:rsidRDefault="00F8305C" w:rsidP="00D63204">
      <w:pPr>
        <w:pStyle w:val="ListParagraph"/>
        <w:widowControl w:val="0"/>
        <w:spacing w:before="195" w:after="0" w:line="240" w:lineRule="auto"/>
        <w:ind w:left="827"/>
        <w:rPr>
          <w:rFonts w:ascii="Calibri" w:hAnsi="Calibri"/>
        </w:rPr>
      </w:pPr>
    </w:p>
    <w:p w14:paraId="3DF4B3F6" w14:textId="0F9E7184" w:rsidR="00F8305C" w:rsidRDefault="00F8305C" w:rsidP="00D63204">
      <w:pPr>
        <w:pStyle w:val="ListParagraph"/>
        <w:widowControl w:val="0"/>
        <w:numPr>
          <w:ilvl w:val="0"/>
          <w:numId w:val="92"/>
        </w:numPr>
        <w:spacing w:before="195" w:after="0" w:line="240" w:lineRule="auto"/>
        <w:rPr>
          <w:rFonts w:ascii="Calibri" w:hAnsi="Calibri"/>
          <w:color w:val="231F20"/>
          <w:w w:val="105"/>
        </w:rPr>
      </w:pPr>
      <w:r w:rsidRPr="00F8305C">
        <w:rPr>
          <w:rFonts w:ascii="Calibri" w:hAnsi="Calibri"/>
          <w:color w:val="231F20"/>
          <w:w w:val="105"/>
        </w:rPr>
        <w:t>Complete a stakeholder engagement analysis to determine where to target outreach efforts, including business engagement.</w:t>
      </w:r>
    </w:p>
    <w:p w14:paraId="4C759564" w14:textId="77777777" w:rsidR="00F8305C" w:rsidRPr="00F8305C" w:rsidRDefault="00F8305C" w:rsidP="00D63204">
      <w:pPr>
        <w:pStyle w:val="ListParagraph"/>
        <w:widowControl w:val="0"/>
        <w:spacing w:before="195" w:after="0" w:line="240" w:lineRule="auto"/>
        <w:ind w:left="827"/>
        <w:rPr>
          <w:rFonts w:ascii="Calibri" w:hAnsi="Calibri"/>
          <w:color w:val="231F20"/>
          <w:w w:val="105"/>
        </w:rPr>
      </w:pPr>
    </w:p>
    <w:p w14:paraId="6FA8AD32" w14:textId="213E1EC7" w:rsidR="00F8305C" w:rsidRDefault="00F8305C" w:rsidP="00D63204">
      <w:pPr>
        <w:pStyle w:val="ListParagraph"/>
        <w:widowControl w:val="0"/>
        <w:numPr>
          <w:ilvl w:val="0"/>
          <w:numId w:val="92"/>
        </w:numPr>
        <w:spacing w:before="195" w:after="0" w:line="240" w:lineRule="auto"/>
        <w:rPr>
          <w:rFonts w:ascii="Calibri" w:hAnsi="Calibri"/>
          <w:color w:val="231F20"/>
          <w:w w:val="105"/>
        </w:rPr>
      </w:pPr>
      <w:r w:rsidRPr="00F8305C">
        <w:rPr>
          <w:rFonts w:ascii="Calibri" w:hAnsi="Calibri"/>
          <w:color w:val="231F20"/>
          <w:w w:val="105"/>
        </w:rPr>
        <w:t>Review services, programs and partnerships of core WIOA programs to reduce duplication of efforts as well as gaps between programs.</w:t>
      </w:r>
    </w:p>
    <w:p w14:paraId="00062B20" w14:textId="77777777" w:rsidR="00F8305C" w:rsidRPr="00F8305C" w:rsidRDefault="00F8305C" w:rsidP="00D63204">
      <w:pPr>
        <w:pStyle w:val="ListParagraph"/>
        <w:widowControl w:val="0"/>
        <w:spacing w:before="195" w:after="0" w:line="240" w:lineRule="auto"/>
        <w:ind w:left="827"/>
        <w:rPr>
          <w:rFonts w:ascii="Calibri" w:hAnsi="Calibri"/>
          <w:color w:val="231F20"/>
          <w:w w:val="105"/>
        </w:rPr>
      </w:pPr>
    </w:p>
    <w:p w14:paraId="35094649" w14:textId="1CE21C77" w:rsidR="00F8305C" w:rsidRDefault="00F8305C" w:rsidP="00D63204">
      <w:pPr>
        <w:pStyle w:val="ListParagraph"/>
        <w:widowControl w:val="0"/>
        <w:numPr>
          <w:ilvl w:val="0"/>
          <w:numId w:val="92"/>
        </w:numPr>
        <w:spacing w:before="195" w:after="0" w:line="240" w:lineRule="auto"/>
        <w:rPr>
          <w:rFonts w:ascii="Calibri" w:hAnsi="Calibri"/>
          <w:color w:val="231F20"/>
          <w:w w:val="105"/>
        </w:rPr>
      </w:pPr>
      <w:r w:rsidRPr="00F8305C">
        <w:rPr>
          <w:rFonts w:ascii="Calibri" w:hAnsi="Calibri"/>
          <w:color w:val="231F20"/>
          <w:spacing w:val="-3"/>
          <w:w w:val="105"/>
        </w:rPr>
        <w:t xml:space="preserve">Work </w:t>
      </w:r>
      <w:r w:rsidRPr="00F8305C">
        <w:rPr>
          <w:rFonts w:ascii="Calibri" w:hAnsi="Calibri"/>
          <w:color w:val="231F20"/>
          <w:w w:val="105"/>
        </w:rPr>
        <w:t>collaboratively to ensure that disability coordinators are cross trained with core</w:t>
      </w:r>
      <w:r w:rsidRPr="00F8305C">
        <w:rPr>
          <w:rFonts w:ascii="Calibri" w:hAnsi="Calibri"/>
          <w:color w:val="231F20"/>
          <w:w w:val="109"/>
        </w:rPr>
        <w:t xml:space="preserve"> </w:t>
      </w:r>
      <w:r w:rsidRPr="00F8305C">
        <w:rPr>
          <w:rFonts w:ascii="Calibri" w:hAnsi="Calibri"/>
          <w:color w:val="231F20"/>
          <w:w w:val="105"/>
        </w:rPr>
        <w:t>partner</w:t>
      </w:r>
      <w:r w:rsidRPr="00F8305C">
        <w:rPr>
          <w:rFonts w:ascii="Calibri" w:hAnsi="Calibri"/>
          <w:color w:val="231F20"/>
          <w:spacing w:val="4"/>
          <w:w w:val="105"/>
        </w:rPr>
        <w:t xml:space="preserve"> </w:t>
      </w:r>
      <w:r w:rsidRPr="00F8305C">
        <w:rPr>
          <w:rFonts w:ascii="Calibri" w:hAnsi="Calibri"/>
          <w:color w:val="231F20"/>
          <w:w w:val="105"/>
        </w:rPr>
        <w:t>processes</w:t>
      </w:r>
    </w:p>
    <w:p w14:paraId="296ABBE7" w14:textId="77777777" w:rsidR="00F8305C" w:rsidRPr="00F8305C" w:rsidRDefault="00F8305C" w:rsidP="00D63204">
      <w:pPr>
        <w:pStyle w:val="ListParagraph"/>
        <w:widowControl w:val="0"/>
        <w:spacing w:before="195" w:after="0" w:line="240" w:lineRule="auto"/>
        <w:ind w:left="827"/>
        <w:rPr>
          <w:rFonts w:ascii="Calibri" w:hAnsi="Calibri"/>
          <w:color w:val="231F20"/>
          <w:w w:val="105"/>
        </w:rPr>
      </w:pPr>
    </w:p>
    <w:p w14:paraId="45EEEA09" w14:textId="4A17A657" w:rsidR="00EA7458" w:rsidRPr="00F8305C" w:rsidRDefault="00F8305C" w:rsidP="00D63204">
      <w:pPr>
        <w:pStyle w:val="ListParagraph"/>
        <w:widowControl w:val="0"/>
        <w:numPr>
          <w:ilvl w:val="0"/>
          <w:numId w:val="92"/>
        </w:numPr>
        <w:spacing w:before="195" w:after="0" w:line="240" w:lineRule="auto"/>
        <w:rPr>
          <w:rFonts w:ascii="Calibri" w:hAnsi="Calibri" w:cs="Calibri"/>
        </w:rPr>
        <w:sectPr w:rsidR="00EA7458" w:rsidRPr="00F8305C">
          <w:footerReference w:type="default" r:id="rId128"/>
          <w:pgSz w:w="12240" w:h="15840"/>
          <w:pgMar w:top="1620" w:right="900" w:bottom="820" w:left="900" w:header="812" w:footer="624" w:gutter="0"/>
          <w:cols w:space="720"/>
        </w:sectPr>
      </w:pPr>
      <w:r w:rsidRPr="00F8305C">
        <w:rPr>
          <w:rFonts w:ascii="Calibri" w:hAnsi="Calibri"/>
          <w:color w:val="231F20"/>
          <w:w w:val="105"/>
        </w:rPr>
        <w:t>Identify o</w:t>
      </w:r>
      <w:r w:rsidRPr="00F8305C">
        <w:rPr>
          <w:rFonts w:ascii="Calibri" w:hAnsi="Calibri"/>
          <w:w w:val="105"/>
        </w:rPr>
        <w:t>pportunities to expand services/programs to meet ongoing needs of</w:t>
      </w:r>
      <w:r w:rsidRPr="00F8305C">
        <w:rPr>
          <w:rFonts w:ascii="Calibri" w:hAnsi="Calibri"/>
          <w:spacing w:val="13"/>
          <w:w w:val="105"/>
        </w:rPr>
        <w:t xml:space="preserve"> </w:t>
      </w:r>
      <w:r w:rsidRPr="00F8305C">
        <w:rPr>
          <w:rFonts w:ascii="Calibri" w:hAnsi="Calibri"/>
          <w:w w:val="105"/>
        </w:rPr>
        <w:t>people with barriers to employment, including people with disabilities.</w:t>
      </w:r>
    </w:p>
    <w:p w14:paraId="79954464" w14:textId="77777777" w:rsidR="00EA7458" w:rsidRPr="00EA7458" w:rsidRDefault="00EA7458" w:rsidP="00EA7458">
      <w:pPr>
        <w:widowControl w:val="0"/>
        <w:spacing w:before="8" w:after="0" w:line="240" w:lineRule="auto"/>
        <w:rPr>
          <w:rFonts w:ascii="Calibri" w:hAnsi="Calibri" w:cs="Calibri"/>
          <w:sz w:val="14"/>
          <w:szCs w:val="14"/>
        </w:rPr>
      </w:pPr>
    </w:p>
    <w:p w14:paraId="6E6DAA75" w14:textId="77777777" w:rsidR="00EA7458" w:rsidRPr="00EA7458" w:rsidRDefault="00EA7458" w:rsidP="00664EFD">
      <w:pPr>
        <w:widowControl w:val="0"/>
        <w:numPr>
          <w:ilvl w:val="0"/>
          <w:numId w:val="8"/>
        </w:numPr>
        <w:tabs>
          <w:tab w:val="left" w:pos="513"/>
          <w:tab w:val="left" w:pos="10331"/>
        </w:tabs>
        <w:spacing w:before="30" w:after="0" w:line="240" w:lineRule="auto"/>
        <w:ind w:left="512" w:hanging="404"/>
        <w:outlineLvl w:val="0"/>
        <w:rPr>
          <w:rFonts w:ascii="Calibri" w:hAnsi="Calibri"/>
          <w:sz w:val="36"/>
          <w:szCs w:val="36"/>
        </w:rPr>
      </w:pPr>
      <w:bookmarkStart w:id="97" w:name="V._Common_Assurances"/>
      <w:bookmarkStart w:id="98" w:name="_bookmark55"/>
      <w:bookmarkEnd w:id="97"/>
      <w:bookmarkEnd w:id="98"/>
      <w:r w:rsidRPr="00EA7458">
        <w:rPr>
          <w:rFonts w:ascii="Calibri" w:hAnsi="Calibri"/>
          <w:b/>
          <w:bCs/>
          <w:color w:val="295CA3"/>
          <w:w w:val="115"/>
          <w:sz w:val="36"/>
          <w:szCs w:val="36"/>
          <w:u w:val="single" w:color="231F20"/>
        </w:rPr>
        <w:t>COMMON</w:t>
      </w:r>
      <w:r w:rsidRPr="00EA7458">
        <w:rPr>
          <w:rFonts w:ascii="Calibri" w:hAnsi="Calibri"/>
          <w:b/>
          <w:bCs/>
          <w:color w:val="295CA3"/>
          <w:spacing w:val="-26"/>
          <w:w w:val="115"/>
          <w:sz w:val="36"/>
          <w:szCs w:val="36"/>
          <w:u w:val="single" w:color="231F20"/>
        </w:rPr>
        <w:t xml:space="preserve"> </w:t>
      </w:r>
      <w:r w:rsidRPr="00EA7458">
        <w:rPr>
          <w:rFonts w:ascii="Calibri" w:hAnsi="Calibri"/>
          <w:b/>
          <w:bCs/>
          <w:color w:val="295CA3"/>
          <w:w w:val="115"/>
          <w:sz w:val="36"/>
          <w:szCs w:val="36"/>
          <w:u w:val="single" w:color="231F20"/>
        </w:rPr>
        <w:t>ASSURANCES</w:t>
      </w:r>
      <w:r w:rsidRPr="00EA7458">
        <w:rPr>
          <w:rFonts w:ascii="Calibri" w:hAnsi="Calibri"/>
          <w:b/>
          <w:bCs/>
          <w:color w:val="295CA3"/>
          <w:w w:val="113"/>
          <w:sz w:val="36"/>
          <w:szCs w:val="36"/>
          <w:u w:val="single" w:color="231F20"/>
        </w:rPr>
        <w:t xml:space="preserve"> </w:t>
      </w:r>
      <w:r w:rsidRPr="00EA7458">
        <w:rPr>
          <w:rFonts w:ascii="Calibri" w:hAnsi="Calibri"/>
          <w:b/>
          <w:bCs/>
          <w:color w:val="295CA3"/>
          <w:sz w:val="36"/>
          <w:szCs w:val="36"/>
          <w:u w:val="single" w:color="231F20"/>
        </w:rPr>
        <w:tab/>
      </w:r>
    </w:p>
    <w:p w14:paraId="00314DB5" w14:textId="77777777" w:rsidR="00EA7458" w:rsidRPr="00EA7458" w:rsidRDefault="00EA7458" w:rsidP="00EA7458">
      <w:pPr>
        <w:widowControl w:val="0"/>
        <w:spacing w:before="6" w:after="0" w:line="240" w:lineRule="auto"/>
        <w:rPr>
          <w:rFonts w:ascii="Calibri" w:hAnsi="Calibri" w:cs="Calibri"/>
          <w:b/>
          <w:bCs/>
          <w:sz w:val="8"/>
          <w:szCs w:val="8"/>
        </w:rPr>
      </w:pPr>
    </w:p>
    <w:tbl>
      <w:tblPr>
        <w:tblW w:w="0" w:type="auto"/>
        <w:tblInd w:w="108" w:type="dxa"/>
        <w:tblLayout w:type="fixed"/>
        <w:tblCellMar>
          <w:left w:w="0" w:type="dxa"/>
          <w:right w:w="0" w:type="dxa"/>
        </w:tblCellMar>
        <w:tblLook w:val="01E0" w:firstRow="1" w:lastRow="1" w:firstColumn="1" w:lastColumn="1" w:noHBand="0" w:noVBand="0"/>
      </w:tblPr>
      <w:tblGrid>
        <w:gridCol w:w="558"/>
        <w:gridCol w:w="9602"/>
      </w:tblGrid>
      <w:tr w:rsidR="00EA7458" w:rsidRPr="00EA7458" w14:paraId="17573D87" w14:textId="77777777" w:rsidTr="00E65FFA">
        <w:trPr>
          <w:trHeight w:hRule="exact" w:val="3046"/>
        </w:trPr>
        <w:tc>
          <w:tcPr>
            <w:tcW w:w="558" w:type="dxa"/>
            <w:tcBorders>
              <w:top w:val="single" w:sz="2" w:space="0" w:color="231F20"/>
              <w:left w:val="single" w:sz="2" w:space="0" w:color="231F20"/>
              <w:bottom w:val="single" w:sz="2" w:space="0" w:color="231F20"/>
              <w:right w:val="single" w:sz="2" w:space="0" w:color="231F20"/>
            </w:tcBorders>
            <w:shd w:val="clear" w:color="auto" w:fill="E6E7E8"/>
          </w:tcPr>
          <w:p w14:paraId="7E7ECE53" w14:textId="77777777" w:rsidR="00EA7458" w:rsidRPr="00EA7458" w:rsidRDefault="00EA7458" w:rsidP="00EA7458">
            <w:pPr>
              <w:widowControl w:val="0"/>
              <w:spacing w:before="42" w:after="0" w:line="240" w:lineRule="auto"/>
              <w:ind w:left="77"/>
              <w:rPr>
                <w:rFonts w:ascii="Calibri" w:hAnsi="Calibri" w:cs="Calibri"/>
              </w:rPr>
            </w:pPr>
            <w:r w:rsidRPr="00EA7458">
              <w:rPr>
                <w:rFonts w:ascii="Calibri" w:hAnsi="Calibri"/>
                <w:color w:val="231F20"/>
                <w:w w:val="85"/>
              </w:rPr>
              <w:t>1.</w:t>
            </w:r>
          </w:p>
        </w:tc>
        <w:tc>
          <w:tcPr>
            <w:tcW w:w="9602" w:type="dxa"/>
            <w:tcBorders>
              <w:top w:val="single" w:sz="2" w:space="0" w:color="231F20"/>
              <w:left w:val="single" w:sz="2" w:space="0" w:color="231F20"/>
              <w:bottom w:val="single" w:sz="2" w:space="0" w:color="231F20"/>
              <w:right w:val="single" w:sz="2" w:space="0" w:color="231F20"/>
            </w:tcBorders>
            <w:shd w:val="clear" w:color="auto" w:fill="E6E7E8"/>
          </w:tcPr>
          <w:p w14:paraId="61BE417C" w14:textId="1EF0FB84" w:rsidR="00EA7458" w:rsidRPr="00EA7458" w:rsidRDefault="008F4A31" w:rsidP="00D63204">
            <w:pPr>
              <w:widowControl w:val="0"/>
              <w:spacing w:before="40" w:after="0" w:line="264" w:lineRule="exact"/>
              <w:ind w:left="77" w:right="127"/>
              <w:rPr>
                <w:rFonts w:ascii="Calibri" w:hAnsi="Calibri" w:cs="Calibri"/>
              </w:rPr>
            </w:pPr>
            <w:r>
              <w:rPr>
                <w:rFonts w:ascii="Calibri" w:hAnsi="Calibri"/>
                <w:color w:val="231F20"/>
                <w:w w:val="105"/>
              </w:rPr>
              <w:t xml:space="preserve">The state </w:t>
            </w:r>
            <w:r w:rsidR="00680C4D">
              <w:rPr>
                <w:rFonts w:ascii="Calibri" w:hAnsi="Calibri"/>
                <w:color w:val="231F20"/>
                <w:w w:val="105"/>
              </w:rPr>
              <w:t xml:space="preserve">has </w:t>
            </w:r>
            <w:r w:rsidR="00EA7458" w:rsidRPr="00EA7458">
              <w:rPr>
                <w:rFonts w:ascii="Calibri" w:hAnsi="Calibri"/>
                <w:color w:val="231F20"/>
                <w:w w:val="105"/>
              </w:rPr>
              <w:t>a</w:t>
            </w:r>
            <w:r w:rsidR="00EA7458" w:rsidRPr="00EA7458">
              <w:rPr>
                <w:rFonts w:ascii="Calibri" w:hAnsi="Calibri"/>
                <w:color w:val="231F20"/>
                <w:spacing w:val="14"/>
                <w:w w:val="105"/>
              </w:rPr>
              <w:t xml:space="preserve"> </w:t>
            </w:r>
            <w:r w:rsidR="00EA7458" w:rsidRPr="00EA7458">
              <w:rPr>
                <w:rFonts w:ascii="Calibri" w:hAnsi="Calibri"/>
                <w:color w:val="231F20"/>
                <w:w w:val="105"/>
              </w:rPr>
              <w:t>policy</w:t>
            </w:r>
            <w:r w:rsidR="00EA7458" w:rsidRPr="00EA7458">
              <w:rPr>
                <w:rFonts w:ascii="Calibri" w:hAnsi="Calibri"/>
                <w:color w:val="231F20"/>
                <w:spacing w:val="14"/>
                <w:w w:val="105"/>
              </w:rPr>
              <w:t xml:space="preserve"> </w:t>
            </w:r>
            <w:r w:rsidR="00EA7458" w:rsidRPr="00EA7458">
              <w:rPr>
                <w:rFonts w:ascii="Calibri" w:hAnsi="Calibri"/>
                <w:color w:val="231F20"/>
                <w:w w:val="105"/>
              </w:rPr>
              <w:t>identifying</w:t>
            </w:r>
            <w:r w:rsidR="00EA7458" w:rsidRPr="00EA7458">
              <w:rPr>
                <w:rFonts w:ascii="Calibri" w:hAnsi="Calibri"/>
                <w:color w:val="231F20"/>
                <w:spacing w:val="14"/>
                <w:w w:val="105"/>
              </w:rPr>
              <w:t xml:space="preserve"> </w:t>
            </w:r>
            <w:r w:rsidR="00EA7458" w:rsidRPr="00EA7458">
              <w:rPr>
                <w:rFonts w:ascii="Calibri" w:hAnsi="Calibri"/>
                <w:color w:val="231F20"/>
                <w:w w:val="105"/>
              </w:rPr>
              <w:t>circumstances</w:t>
            </w:r>
            <w:r w:rsidR="00EA7458" w:rsidRPr="00EA7458">
              <w:rPr>
                <w:rFonts w:ascii="Calibri" w:hAnsi="Calibri"/>
                <w:color w:val="231F20"/>
                <w:spacing w:val="14"/>
                <w:w w:val="105"/>
              </w:rPr>
              <w:t xml:space="preserve"> </w:t>
            </w:r>
            <w:r w:rsidR="00EA7458" w:rsidRPr="00EA7458">
              <w:rPr>
                <w:rFonts w:ascii="Calibri" w:hAnsi="Calibri"/>
                <w:color w:val="231F20"/>
                <w:w w:val="105"/>
              </w:rPr>
              <w:t>that</w:t>
            </w:r>
            <w:r w:rsidR="00EA7458" w:rsidRPr="00EA7458">
              <w:rPr>
                <w:rFonts w:ascii="Calibri" w:hAnsi="Calibri"/>
                <w:color w:val="231F20"/>
                <w:spacing w:val="14"/>
                <w:w w:val="105"/>
              </w:rPr>
              <w:t xml:space="preserve"> </w:t>
            </w:r>
            <w:r w:rsidR="00EA7458" w:rsidRPr="00EA7458">
              <w:rPr>
                <w:rFonts w:ascii="Calibri" w:hAnsi="Calibri"/>
                <w:color w:val="231F20"/>
                <w:w w:val="105"/>
              </w:rPr>
              <w:t>may</w:t>
            </w:r>
            <w:r w:rsidR="00EA7458" w:rsidRPr="00EA7458">
              <w:rPr>
                <w:rFonts w:ascii="Calibri" w:hAnsi="Calibri"/>
                <w:color w:val="231F20"/>
                <w:spacing w:val="14"/>
                <w:w w:val="105"/>
              </w:rPr>
              <w:t xml:space="preserve"> </w:t>
            </w:r>
            <w:r w:rsidR="00EA7458" w:rsidRPr="00EA7458">
              <w:rPr>
                <w:rFonts w:ascii="Calibri" w:hAnsi="Calibri"/>
                <w:color w:val="231F20"/>
                <w:w w:val="105"/>
              </w:rPr>
              <w:t>present</w:t>
            </w:r>
            <w:r w:rsidR="00EA7458" w:rsidRPr="00EA7458">
              <w:rPr>
                <w:rFonts w:ascii="Calibri" w:hAnsi="Calibri"/>
                <w:color w:val="231F20"/>
                <w:spacing w:val="14"/>
                <w:w w:val="105"/>
              </w:rPr>
              <w:t xml:space="preserve"> </w:t>
            </w:r>
            <w:r w:rsidR="00EA7458" w:rsidRPr="00EA7458">
              <w:rPr>
                <w:rFonts w:ascii="Calibri" w:hAnsi="Calibri"/>
                <w:color w:val="231F20"/>
                <w:w w:val="105"/>
              </w:rPr>
              <w:t>a</w:t>
            </w:r>
            <w:r w:rsidR="00EA7458" w:rsidRPr="00EA7458">
              <w:rPr>
                <w:rFonts w:ascii="Calibri" w:hAnsi="Calibri"/>
                <w:color w:val="231F20"/>
                <w:spacing w:val="14"/>
                <w:w w:val="105"/>
              </w:rPr>
              <w:t xml:space="preserve"> </w:t>
            </w:r>
            <w:r w:rsidR="00EA7458" w:rsidRPr="00EA7458">
              <w:rPr>
                <w:rFonts w:ascii="Calibri" w:hAnsi="Calibri"/>
                <w:color w:val="231F20"/>
                <w:w w:val="105"/>
              </w:rPr>
              <w:t>conflict</w:t>
            </w:r>
            <w:r w:rsidR="00EA7458" w:rsidRPr="00EA7458">
              <w:rPr>
                <w:rFonts w:ascii="Calibri" w:hAnsi="Calibri"/>
                <w:color w:val="231F20"/>
                <w:spacing w:val="14"/>
                <w:w w:val="105"/>
              </w:rPr>
              <w:t xml:space="preserve"> </w:t>
            </w:r>
            <w:r w:rsidR="00EA7458" w:rsidRPr="00EA7458">
              <w:rPr>
                <w:rFonts w:ascii="Calibri" w:hAnsi="Calibri"/>
                <w:color w:val="231F20"/>
                <w:w w:val="105"/>
              </w:rPr>
              <w:t>of</w:t>
            </w:r>
            <w:r w:rsidR="00EA7458" w:rsidRPr="00EA7458">
              <w:rPr>
                <w:rFonts w:ascii="Calibri" w:hAnsi="Calibri"/>
                <w:color w:val="231F20"/>
                <w:spacing w:val="14"/>
                <w:w w:val="105"/>
              </w:rPr>
              <w:t xml:space="preserve"> </w:t>
            </w:r>
            <w:r w:rsidR="00EA7458" w:rsidRPr="00EA7458">
              <w:rPr>
                <w:rFonts w:ascii="Calibri" w:hAnsi="Calibri"/>
                <w:color w:val="231F20"/>
                <w:w w:val="105"/>
              </w:rPr>
              <w:t>interest</w:t>
            </w:r>
            <w:r w:rsidR="00EA7458" w:rsidRPr="00EA7458">
              <w:rPr>
                <w:rFonts w:ascii="Calibri" w:hAnsi="Calibri"/>
                <w:color w:val="231F20"/>
                <w:w w:val="103"/>
              </w:rPr>
              <w:t xml:space="preserve"> </w:t>
            </w:r>
            <w:r w:rsidR="00EA7458" w:rsidRPr="00EA7458">
              <w:rPr>
                <w:rFonts w:ascii="Calibri" w:hAnsi="Calibri"/>
                <w:color w:val="231F20"/>
                <w:w w:val="105"/>
              </w:rPr>
              <w:t>for</w:t>
            </w:r>
            <w:r w:rsidR="00EA7458" w:rsidRPr="00EA7458">
              <w:rPr>
                <w:rFonts w:ascii="Calibri" w:hAnsi="Calibri"/>
                <w:color w:val="231F20"/>
                <w:spacing w:val="5"/>
                <w:w w:val="105"/>
              </w:rPr>
              <w:t xml:space="preserve"> </w:t>
            </w:r>
            <w:r w:rsidR="00EA7458" w:rsidRPr="00EA7458">
              <w:rPr>
                <w:rFonts w:ascii="Calibri" w:hAnsi="Calibri"/>
                <w:color w:val="231F20"/>
                <w:w w:val="105"/>
              </w:rPr>
              <w:t>a</w:t>
            </w:r>
            <w:r w:rsidR="00EA7458" w:rsidRPr="00EA7458">
              <w:rPr>
                <w:rFonts w:ascii="Calibri" w:hAnsi="Calibri"/>
                <w:color w:val="231F20"/>
                <w:spacing w:val="5"/>
                <w:w w:val="105"/>
              </w:rPr>
              <w:t xml:space="preserve"> </w:t>
            </w:r>
            <w:r w:rsidR="00A7664F">
              <w:rPr>
                <w:rFonts w:ascii="Calibri" w:hAnsi="Calibri"/>
                <w:color w:val="231F20"/>
                <w:spacing w:val="5"/>
                <w:w w:val="105"/>
              </w:rPr>
              <w:t>s</w:t>
            </w:r>
            <w:r w:rsidR="00EA7458" w:rsidRPr="00EA7458">
              <w:rPr>
                <w:rFonts w:ascii="Calibri" w:hAnsi="Calibri"/>
                <w:color w:val="231F20"/>
                <w:w w:val="105"/>
              </w:rPr>
              <w:t>tate</w:t>
            </w:r>
            <w:r w:rsidR="00EA7458" w:rsidRPr="00EA7458">
              <w:rPr>
                <w:rFonts w:ascii="Calibri" w:hAnsi="Calibri"/>
                <w:color w:val="231F20"/>
                <w:spacing w:val="5"/>
                <w:w w:val="105"/>
              </w:rPr>
              <w:t xml:space="preserve"> </w:t>
            </w:r>
            <w:r w:rsidR="00A7664F">
              <w:rPr>
                <w:rFonts w:ascii="Calibri" w:hAnsi="Calibri"/>
                <w:color w:val="231F20"/>
                <w:w w:val="105"/>
              </w:rPr>
              <w:t>b</w:t>
            </w:r>
            <w:r w:rsidR="00EA7458" w:rsidRPr="00EA7458">
              <w:rPr>
                <w:rFonts w:ascii="Calibri" w:hAnsi="Calibri"/>
                <w:color w:val="231F20"/>
                <w:w w:val="105"/>
              </w:rPr>
              <w:t>oard</w:t>
            </w:r>
            <w:r w:rsidR="00EA7458" w:rsidRPr="00EA7458">
              <w:rPr>
                <w:rFonts w:ascii="Calibri" w:hAnsi="Calibri"/>
                <w:color w:val="231F20"/>
                <w:spacing w:val="5"/>
                <w:w w:val="105"/>
              </w:rPr>
              <w:t xml:space="preserve"> </w:t>
            </w:r>
            <w:r w:rsidR="00EA7458" w:rsidRPr="00EA7458">
              <w:rPr>
                <w:rFonts w:ascii="Calibri" w:hAnsi="Calibri"/>
                <w:color w:val="231F20"/>
                <w:w w:val="105"/>
              </w:rPr>
              <w:t>or</w:t>
            </w:r>
            <w:r w:rsidR="00EA7458" w:rsidRPr="00EA7458">
              <w:rPr>
                <w:rFonts w:ascii="Calibri" w:hAnsi="Calibri"/>
                <w:color w:val="231F20"/>
                <w:spacing w:val="5"/>
                <w:w w:val="105"/>
              </w:rPr>
              <w:t xml:space="preserve"> </w:t>
            </w:r>
            <w:r w:rsidR="00EA7458" w:rsidRPr="00EA7458">
              <w:rPr>
                <w:rFonts w:ascii="Calibri" w:hAnsi="Calibri"/>
                <w:color w:val="231F20"/>
                <w:w w:val="105"/>
              </w:rPr>
              <w:t>local</w:t>
            </w:r>
            <w:r w:rsidR="00EA7458" w:rsidRPr="00EA7458">
              <w:rPr>
                <w:rFonts w:ascii="Calibri" w:hAnsi="Calibri"/>
                <w:color w:val="231F20"/>
                <w:spacing w:val="5"/>
                <w:w w:val="105"/>
              </w:rPr>
              <w:t xml:space="preserve"> </w:t>
            </w:r>
            <w:r w:rsidR="00EA7458" w:rsidRPr="00EA7458">
              <w:rPr>
                <w:rFonts w:ascii="Calibri" w:hAnsi="Calibri"/>
                <w:color w:val="231F20"/>
                <w:w w:val="105"/>
              </w:rPr>
              <w:t>board</w:t>
            </w:r>
            <w:r w:rsidR="00EA7458" w:rsidRPr="00EA7458">
              <w:rPr>
                <w:rFonts w:ascii="Calibri" w:hAnsi="Calibri"/>
                <w:color w:val="231F20"/>
                <w:spacing w:val="5"/>
                <w:w w:val="105"/>
              </w:rPr>
              <w:t xml:space="preserve"> </w:t>
            </w:r>
            <w:r w:rsidR="00EA7458" w:rsidRPr="00EA7458">
              <w:rPr>
                <w:rFonts w:ascii="Calibri" w:hAnsi="Calibri"/>
                <w:color w:val="231F20"/>
                <w:spacing w:val="-3"/>
                <w:w w:val="105"/>
              </w:rPr>
              <w:t>member,</w:t>
            </w:r>
            <w:r w:rsidR="00EA7458" w:rsidRPr="00EA7458">
              <w:rPr>
                <w:rFonts w:ascii="Calibri" w:hAnsi="Calibri"/>
                <w:color w:val="231F20"/>
                <w:spacing w:val="5"/>
                <w:w w:val="105"/>
              </w:rPr>
              <w:t xml:space="preserve"> </w:t>
            </w:r>
            <w:r w:rsidR="00EA7458" w:rsidRPr="00EA7458">
              <w:rPr>
                <w:rFonts w:ascii="Calibri" w:hAnsi="Calibri"/>
                <w:color w:val="231F20"/>
                <w:w w:val="105"/>
              </w:rPr>
              <w:t>or</w:t>
            </w:r>
            <w:r w:rsidR="00EA7458" w:rsidRPr="00EA7458">
              <w:rPr>
                <w:rFonts w:ascii="Calibri" w:hAnsi="Calibri"/>
                <w:color w:val="231F20"/>
                <w:spacing w:val="5"/>
                <w:w w:val="105"/>
              </w:rPr>
              <w:t xml:space="preserve"> </w:t>
            </w:r>
            <w:r w:rsidR="00EA7458" w:rsidRPr="00EA7458">
              <w:rPr>
                <w:rFonts w:ascii="Calibri" w:hAnsi="Calibri"/>
                <w:color w:val="231F20"/>
                <w:w w:val="105"/>
              </w:rPr>
              <w:t>the</w:t>
            </w:r>
            <w:r w:rsidR="00EA7458" w:rsidRPr="00EA7458">
              <w:rPr>
                <w:rFonts w:ascii="Calibri" w:hAnsi="Calibri"/>
                <w:color w:val="231F20"/>
                <w:spacing w:val="5"/>
                <w:w w:val="105"/>
              </w:rPr>
              <w:t xml:space="preserve"> </w:t>
            </w:r>
            <w:r w:rsidR="00EA7458" w:rsidRPr="00EA7458">
              <w:rPr>
                <w:rFonts w:ascii="Calibri" w:hAnsi="Calibri"/>
                <w:color w:val="231F20"/>
                <w:w w:val="105"/>
              </w:rPr>
              <w:t>entity</w:t>
            </w:r>
            <w:r w:rsidR="00EA7458" w:rsidRPr="00EA7458">
              <w:rPr>
                <w:rFonts w:ascii="Calibri" w:hAnsi="Calibri"/>
                <w:color w:val="231F20"/>
                <w:spacing w:val="5"/>
                <w:w w:val="105"/>
              </w:rPr>
              <w:t xml:space="preserve"> </w:t>
            </w:r>
            <w:r w:rsidR="00EA7458" w:rsidRPr="00EA7458">
              <w:rPr>
                <w:rFonts w:ascii="Calibri" w:hAnsi="Calibri"/>
                <w:color w:val="231F20"/>
                <w:w w:val="105"/>
              </w:rPr>
              <w:t>or</w:t>
            </w:r>
            <w:r w:rsidR="00EA7458" w:rsidRPr="00EA7458">
              <w:rPr>
                <w:rFonts w:ascii="Calibri" w:hAnsi="Calibri"/>
                <w:color w:val="231F20"/>
                <w:spacing w:val="5"/>
                <w:w w:val="105"/>
              </w:rPr>
              <w:t xml:space="preserve"> </w:t>
            </w:r>
            <w:r w:rsidR="00EA7458" w:rsidRPr="00EA7458">
              <w:rPr>
                <w:rFonts w:ascii="Calibri" w:hAnsi="Calibri"/>
                <w:color w:val="231F20"/>
                <w:w w:val="105"/>
              </w:rPr>
              <w:t>class</w:t>
            </w:r>
            <w:r w:rsidR="00EA7458" w:rsidRPr="00EA7458">
              <w:rPr>
                <w:rFonts w:ascii="Calibri" w:hAnsi="Calibri"/>
                <w:color w:val="231F20"/>
                <w:spacing w:val="5"/>
                <w:w w:val="105"/>
              </w:rPr>
              <w:t xml:space="preserve"> </w:t>
            </w:r>
            <w:r w:rsidR="00EA7458" w:rsidRPr="00EA7458">
              <w:rPr>
                <w:rFonts w:ascii="Calibri" w:hAnsi="Calibri"/>
                <w:color w:val="231F20"/>
                <w:w w:val="105"/>
              </w:rPr>
              <w:t>of</w:t>
            </w:r>
            <w:r w:rsidR="00EA7458" w:rsidRPr="00EA7458">
              <w:rPr>
                <w:rFonts w:ascii="Calibri" w:hAnsi="Calibri"/>
                <w:color w:val="231F20"/>
                <w:spacing w:val="5"/>
                <w:w w:val="105"/>
              </w:rPr>
              <w:t xml:space="preserve"> </w:t>
            </w:r>
            <w:r w:rsidR="00EA7458" w:rsidRPr="00EA7458">
              <w:rPr>
                <w:rFonts w:ascii="Calibri" w:hAnsi="Calibri"/>
                <w:color w:val="231F20"/>
                <w:w w:val="105"/>
              </w:rPr>
              <w:t>officials</w:t>
            </w:r>
            <w:r w:rsidR="00EA7458" w:rsidRPr="00EA7458">
              <w:rPr>
                <w:rFonts w:ascii="Calibri" w:hAnsi="Calibri"/>
                <w:color w:val="231F20"/>
                <w:spacing w:val="5"/>
                <w:w w:val="105"/>
              </w:rPr>
              <w:t xml:space="preserve"> </w:t>
            </w:r>
            <w:r w:rsidR="00EA7458" w:rsidRPr="00EA7458">
              <w:rPr>
                <w:rFonts w:ascii="Calibri" w:hAnsi="Calibri"/>
                <w:color w:val="231F20"/>
                <w:w w:val="105"/>
              </w:rPr>
              <w:t>that</w:t>
            </w:r>
            <w:r w:rsidR="00EA7458" w:rsidRPr="00EA7458">
              <w:rPr>
                <w:rFonts w:ascii="Calibri" w:hAnsi="Calibri"/>
                <w:color w:val="231F20"/>
                <w:spacing w:val="5"/>
                <w:w w:val="105"/>
              </w:rPr>
              <w:t xml:space="preserve"> </w:t>
            </w:r>
            <w:r w:rsidR="00EA7458" w:rsidRPr="00EA7458">
              <w:rPr>
                <w:rFonts w:ascii="Calibri" w:hAnsi="Calibri"/>
                <w:color w:val="231F20"/>
                <w:w w:val="105"/>
              </w:rPr>
              <w:t>the</w:t>
            </w:r>
            <w:r w:rsidR="00EA7458" w:rsidRPr="00EA7458">
              <w:rPr>
                <w:rFonts w:ascii="Calibri" w:hAnsi="Calibri"/>
                <w:color w:val="231F20"/>
                <w:spacing w:val="5"/>
                <w:w w:val="105"/>
              </w:rPr>
              <w:t xml:space="preserve"> </w:t>
            </w:r>
            <w:r w:rsidR="00EA7458" w:rsidRPr="00EA7458">
              <w:rPr>
                <w:rFonts w:ascii="Calibri" w:hAnsi="Calibri"/>
                <w:color w:val="231F20"/>
                <w:w w:val="105"/>
              </w:rPr>
              <w:t>member</w:t>
            </w:r>
            <w:r w:rsidR="00EA7458" w:rsidRPr="00EA7458">
              <w:rPr>
                <w:rFonts w:ascii="Calibri" w:hAnsi="Calibri"/>
                <w:color w:val="231F20"/>
                <w:spacing w:val="5"/>
                <w:w w:val="105"/>
              </w:rPr>
              <w:t xml:space="preserve"> </w:t>
            </w:r>
            <w:r w:rsidR="00EA7458" w:rsidRPr="00EA7458">
              <w:rPr>
                <w:rFonts w:ascii="Calibri" w:hAnsi="Calibri"/>
                <w:color w:val="231F20"/>
                <w:w w:val="105"/>
              </w:rPr>
              <w:t>rep</w:t>
            </w:r>
            <w:r w:rsidR="00EA7458" w:rsidRPr="00EA7458">
              <w:rPr>
                <w:rFonts w:ascii="Calibri" w:hAnsi="Calibri"/>
                <w:color w:val="231F20"/>
                <w:spacing w:val="-45"/>
                <w:w w:val="105"/>
              </w:rPr>
              <w:t xml:space="preserve"> </w:t>
            </w:r>
            <w:r w:rsidR="00EA7458" w:rsidRPr="00EA7458">
              <w:rPr>
                <w:rFonts w:ascii="Calibri" w:hAnsi="Calibri"/>
                <w:color w:val="231F20"/>
                <w:w w:val="105"/>
              </w:rPr>
              <w:t>resents</w:t>
            </w:r>
            <w:r w:rsidR="00D5537E">
              <w:rPr>
                <w:rFonts w:ascii="Calibri" w:hAnsi="Calibri"/>
                <w:color w:val="231F20"/>
                <w:w w:val="105"/>
              </w:rPr>
              <w:t xml:space="preserve"> and</w:t>
            </w:r>
            <w:r w:rsidR="00EA7458" w:rsidRPr="00EA7458">
              <w:rPr>
                <w:rFonts w:ascii="Calibri" w:hAnsi="Calibri"/>
                <w:color w:val="231F20"/>
                <w:w w:val="105"/>
              </w:rPr>
              <w:t xml:space="preserve"> procedures to resolve such conflicts;</w:t>
            </w:r>
          </w:p>
          <w:p w14:paraId="2CAD4B90" w14:textId="77777777" w:rsidR="0085729E" w:rsidRDefault="00BC1D20" w:rsidP="00D63204">
            <w:pPr>
              <w:widowControl w:val="0"/>
              <w:spacing w:before="193" w:after="0" w:line="264" w:lineRule="exact"/>
              <w:ind w:left="77" w:right="244"/>
            </w:pPr>
            <w:hyperlink r:id="rId129" w:history="1">
              <w:r w:rsidR="008F4A31" w:rsidRPr="00BD2654">
                <w:rPr>
                  <w:rStyle w:val="Hyperlink"/>
                </w:rPr>
                <w:t>http://careersourceflorida.com/wp-content/uploads/2017/05/2012.05.24.A.2-State_LWDB-COI-Policy.pdf</w:t>
              </w:r>
            </w:hyperlink>
          </w:p>
          <w:p w14:paraId="5F176229" w14:textId="5642670E" w:rsidR="00EA7458" w:rsidRDefault="00BC1D20" w:rsidP="00D63204">
            <w:pPr>
              <w:widowControl w:val="0"/>
              <w:spacing w:before="193" w:after="0" w:line="264" w:lineRule="exact"/>
              <w:ind w:left="77" w:right="244"/>
            </w:pPr>
            <w:hyperlink r:id="rId130" w:history="1">
              <w:r w:rsidR="0085729E" w:rsidRPr="00BD2654">
                <w:rPr>
                  <w:rStyle w:val="Hyperlink"/>
                </w:rPr>
                <w:t>https://careersourceflorida.com/wp-content/uploads/2017/05/2012.05.24.A.2-Amended-State_LWDB-Contracting-COI-Policy.pdf</w:t>
              </w:r>
            </w:hyperlink>
            <w:r w:rsidR="0085729E">
              <w:t xml:space="preserve"> </w:t>
            </w:r>
          </w:p>
          <w:p w14:paraId="4C786844" w14:textId="7FC79B9F" w:rsidR="0085729E" w:rsidRDefault="00BC1D20" w:rsidP="00D63204">
            <w:pPr>
              <w:widowControl w:val="0"/>
              <w:spacing w:before="193" w:after="0" w:line="264" w:lineRule="exact"/>
              <w:ind w:left="77" w:right="244"/>
            </w:pPr>
            <w:hyperlink r:id="rId131" w:history="1">
              <w:r w:rsidR="0085729E" w:rsidRPr="00BD2654">
                <w:rPr>
                  <w:rStyle w:val="Hyperlink"/>
                </w:rPr>
                <w:t>https://careersourceflorida.com/wp-content/uploads/2017/05/2012.05.24.A.2-State_LWDB-Contracting-COI-Policy-FORMS.pdf</w:t>
              </w:r>
            </w:hyperlink>
            <w:r w:rsidR="0085729E">
              <w:t xml:space="preserve"> </w:t>
            </w:r>
          </w:p>
          <w:p w14:paraId="6E463B20" w14:textId="367FC78E" w:rsidR="0085729E" w:rsidRPr="00EA7458" w:rsidRDefault="0085729E" w:rsidP="0085729E">
            <w:pPr>
              <w:widowControl w:val="0"/>
              <w:spacing w:before="193" w:after="0" w:line="264" w:lineRule="exact"/>
              <w:ind w:left="77" w:right="244"/>
              <w:rPr>
                <w:rFonts w:ascii="Calibri" w:hAnsi="Calibri" w:cs="Calibri"/>
              </w:rPr>
            </w:pPr>
          </w:p>
        </w:tc>
      </w:tr>
      <w:tr w:rsidR="00EA7458" w:rsidRPr="00EA7458" w14:paraId="0D6B5B46" w14:textId="77777777" w:rsidTr="00E65FFA">
        <w:trPr>
          <w:trHeight w:hRule="exact" w:val="1854"/>
        </w:trPr>
        <w:tc>
          <w:tcPr>
            <w:tcW w:w="558" w:type="dxa"/>
            <w:tcBorders>
              <w:top w:val="single" w:sz="2" w:space="0" w:color="231F20"/>
              <w:left w:val="single" w:sz="2" w:space="0" w:color="231F20"/>
              <w:bottom w:val="single" w:sz="2" w:space="0" w:color="231F20"/>
              <w:right w:val="single" w:sz="2" w:space="0" w:color="231F20"/>
            </w:tcBorders>
          </w:tcPr>
          <w:p w14:paraId="08E0241C" w14:textId="77777777" w:rsidR="00EA7458" w:rsidRPr="00EA7458" w:rsidRDefault="00EA7458" w:rsidP="00EA7458">
            <w:pPr>
              <w:widowControl w:val="0"/>
              <w:spacing w:before="42" w:after="0" w:line="240" w:lineRule="auto"/>
              <w:ind w:left="77"/>
              <w:rPr>
                <w:rFonts w:ascii="Calibri" w:hAnsi="Calibri" w:cs="Calibri"/>
              </w:rPr>
            </w:pPr>
            <w:r w:rsidRPr="00EA7458">
              <w:rPr>
                <w:rFonts w:ascii="Calibri" w:hAnsi="Calibri"/>
                <w:color w:val="231F20"/>
                <w:w w:val="110"/>
              </w:rPr>
              <w:t>2.</w:t>
            </w:r>
          </w:p>
        </w:tc>
        <w:tc>
          <w:tcPr>
            <w:tcW w:w="9602" w:type="dxa"/>
            <w:tcBorders>
              <w:top w:val="single" w:sz="2" w:space="0" w:color="231F20"/>
              <w:left w:val="single" w:sz="2" w:space="0" w:color="231F20"/>
              <w:bottom w:val="single" w:sz="2" w:space="0" w:color="231F20"/>
              <w:right w:val="single" w:sz="2" w:space="0" w:color="231F20"/>
            </w:tcBorders>
          </w:tcPr>
          <w:p w14:paraId="19D60544" w14:textId="7A7FBC7A" w:rsidR="00EA7458" w:rsidRPr="00EA7458" w:rsidRDefault="00EA7458" w:rsidP="00D63204">
            <w:pPr>
              <w:widowControl w:val="0"/>
              <w:spacing w:before="40" w:after="0" w:line="264" w:lineRule="exact"/>
              <w:ind w:left="77" w:right="179"/>
              <w:rPr>
                <w:rFonts w:ascii="Calibri" w:hAnsi="Calibri" w:cs="Calibri"/>
              </w:rPr>
            </w:pPr>
            <w:r w:rsidRPr="00EA7458">
              <w:rPr>
                <w:rFonts w:ascii="Calibri" w:hAnsi="Calibri"/>
                <w:color w:val="231F20"/>
                <w:w w:val="105"/>
              </w:rPr>
              <w:t>The</w:t>
            </w:r>
            <w:r w:rsidRPr="00EA7458">
              <w:rPr>
                <w:rFonts w:ascii="Calibri" w:hAnsi="Calibri"/>
                <w:color w:val="231F20"/>
                <w:spacing w:val="11"/>
                <w:w w:val="105"/>
              </w:rPr>
              <w:t xml:space="preserve"> </w:t>
            </w:r>
            <w:r w:rsidR="00214005">
              <w:rPr>
                <w:rFonts w:ascii="Calibri" w:hAnsi="Calibri"/>
                <w:color w:val="231F20"/>
                <w:spacing w:val="11"/>
                <w:w w:val="105"/>
              </w:rPr>
              <w:t>s</w:t>
            </w:r>
            <w:r w:rsidRPr="00EA7458">
              <w:rPr>
                <w:rFonts w:ascii="Calibri" w:hAnsi="Calibri"/>
                <w:color w:val="231F20"/>
                <w:w w:val="105"/>
              </w:rPr>
              <w:t>tate</w:t>
            </w:r>
            <w:r w:rsidRPr="00EA7458">
              <w:rPr>
                <w:rFonts w:ascii="Calibri" w:hAnsi="Calibri"/>
                <w:color w:val="231F20"/>
                <w:spacing w:val="11"/>
                <w:w w:val="105"/>
              </w:rPr>
              <w:t xml:space="preserve"> </w:t>
            </w:r>
            <w:r w:rsidR="00A15268">
              <w:rPr>
                <w:rFonts w:ascii="Calibri" w:hAnsi="Calibri"/>
                <w:color w:val="231F20"/>
                <w:spacing w:val="11"/>
                <w:w w:val="105"/>
              </w:rPr>
              <w:t xml:space="preserve">has </w:t>
            </w:r>
            <w:r w:rsidRPr="00EA7458">
              <w:rPr>
                <w:rFonts w:ascii="Calibri" w:hAnsi="Calibri"/>
                <w:color w:val="231F20"/>
                <w:w w:val="105"/>
              </w:rPr>
              <w:t>established</w:t>
            </w:r>
            <w:r w:rsidRPr="00EA7458">
              <w:rPr>
                <w:rFonts w:ascii="Calibri" w:hAnsi="Calibri"/>
                <w:color w:val="231F20"/>
                <w:spacing w:val="11"/>
                <w:w w:val="105"/>
              </w:rPr>
              <w:t xml:space="preserve"> </w:t>
            </w:r>
            <w:r w:rsidRPr="00EA7458">
              <w:rPr>
                <w:rFonts w:ascii="Calibri" w:hAnsi="Calibri"/>
                <w:color w:val="231F20"/>
                <w:w w:val="105"/>
              </w:rPr>
              <w:t>a</w:t>
            </w:r>
            <w:r w:rsidRPr="00EA7458">
              <w:rPr>
                <w:rFonts w:ascii="Calibri" w:hAnsi="Calibri"/>
                <w:color w:val="231F20"/>
                <w:spacing w:val="11"/>
                <w:w w:val="105"/>
              </w:rPr>
              <w:t xml:space="preserve"> </w:t>
            </w:r>
            <w:r w:rsidRPr="00EA7458">
              <w:rPr>
                <w:rFonts w:ascii="Calibri" w:hAnsi="Calibri"/>
                <w:color w:val="231F20"/>
                <w:w w:val="105"/>
              </w:rPr>
              <w:t>policy</w:t>
            </w:r>
            <w:r w:rsidRPr="00EA7458">
              <w:rPr>
                <w:rFonts w:ascii="Calibri" w:hAnsi="Calibri"/>
                <w:color w:val="231F20"/>
                <w:spacing w:val="11"/>
                <w:w w:val="105"/>
              </w:rPr>
              <w:t xml:space="preserve"> </w:t>
            </w:r>
            <w:r w:rsidRPr="00EA7458">
              <w:rPr>
                <w:rFonts w:ascii="Calibri" w:hAnsi="Calibri"/>
                <w:color w:val="231F20"/>
                <w:w w:val="105"/>
              </w:rPr>
              <w:t>to</w:t>
            </w:r>
            <w:r w:rsidRPr="00EA7458">
              <w:rPr>
                <w:rFonts w:ascii="Calibri" w:hAnsi="Calibri"/>
                <w:color w:val="231F20"/>
                <w:spacing w:val="11"/>
                <w:w w:val="105"/>
              </w:rPr>
              <w:t xml:space="preserve"> </w:t>
            </w:r>
            <w:r w:rsidRPr="00EA7458">
              <w:rPr>
                <w:rFonts w:ascii="Calibri" w:hAnsi="Calibri"/>
                <w:color w:val="231F20"/>
                <w:w w:val="105"/>
              </w:rPr>
              <w:t>provide</w:t>
            </w:r>
            <w:r w:rsidRPr="00EA7458">
              <w:rPr>
                <w:rFonts w:ascii="Calibri" w:hAnsi="Calibri"/>
                <w:color w:val="231F20"/>
                <w:spacing w:val="11"/>
                <w:w w:val="105"/>
              </w:rPr>
              <w:t xml:space="preserve"> </w:t>
            </w:r>
            <w:r w:rsidRPr="00EA7458">
              <w:rPr>
                <w:rFonts w:ascii="Calibri" w:hAnsi="Calibri"/>
                <w:color w:val="231F20"/>
                <w:w w:val="105"/>
              </w:rPr>
              <w:t>the</w:t>
            </w:r>
            <w:r w:rsidRPr="00EA7458">
              <w:rPr>
                <w:rFonts w:ascii="Calibri" w:hAnsi="Calibri"/>
                <w:color w:val="231F20"/>
                <w:spacing w:val="11"/>
                <w:w w:val="105"/>
              </w:rPr>
              <w:t xml:space="preserve"> </w:t>
            </w:r>
            <w:r w:rsidRPr="00EA7458">
              <w:rPr>
                <w:rFonts w:ascii="Calibri" w:hAnsi="Calibri"/>
                <w:color w:val="231F20"/>
                <w:w w:val="105"/>
              </w:rPr>
              <w:t>public</w:t>
            </w:r>
            <w:r w:rsidR="00E74FEC">
              <w:rPr>
                <w:rFonts w:ascii="Calibri" w:hAnsi="Calibri"/>
                <w:color w:val="231F20"/>
                <w:w w:val="105"/>
              </w:rPr>
              <w:t xml:space="preserve"> (</w:t>
            </w:r>
            <w:r w:rsidRPr="00EA7458">
              <w:rPr>
                <w:rFonts w:ascii="Calibri" w:hAnsi="Calibri"/>
                <w:color w:val="231F20"/>
                <w:w w:val="105"/>
              </w:rPr>
              <w:t>including</w:t>
            </w:r>
            <w:r w:rsidRPr="00EA7458">
              <w:rPr>
                <w:rFonts w:ascii="Calibri" w:hAnsi="Calibri"/>
                <w:color w:val="231F20"/>
                <w:spacing w:val="11"/>
                <w:w w:val="105"/>
              </w:rPr>
              <w:t xml:space="preserve"> </w:t>
            </w:r>
            <w:r w:rsidR="00E74FEC">
              <w:rPr>
                <w:rFonts w:ascii="Calibri" w:hAnsi="Calibri"/>
                <w:color w:val="231F20"/>
                <w:w w:val="105"/>
              </w:rPr>
              <w:t>individuals</w:t>
            </w:r>
            <w:r w:rsidR="00CA1499">
              <w:rPr>
                <w:rFonts w:ascii="Calibri" w:hAnsi="Calibri"/>
                <w:color w:val="231F20"/>
                <w:w w:val="105"/>
              </w:rPr>
              <w:t xml:space="preserve"> </w:t>
            </w:r>
            <w:r w:rsidR="00CB78C2">
              <w:rPr>
                <w:rFonts w:ascii="Calibri" w:hAnsi="Calibri"/>
                <w:color w:val="231F20"/>
                <w:w w:val="105"/>
              </w:rPr>
              <w:t>with disabilities</w:t>
            </w:r>
            <w:r w:rsidR="00D566C3">
              <w:rPr>
                <w:rFonts w:ascii="Calibri" w:hAnsi="Calibri"/>
                <w:color w:val="231F20"/>
                <w:spacing w:val="-34"/>
                <w:w w:val="105"/>
              </w:rPr>
              <w:t>)</w:t>
            </w:r>
            <w:r w:rsidR="00282000">
              <w:rPr>
                <w:rFonts w:ascii="Calibri" w:hAnsi="Calibri"/>
                <w:color w:val="231F20"/>
                <w:spacing w:val="-34"/>
                <w:w w:val="105"/>
              </w:rPr>
              <w:t xml:space="preserve"> </w:t>
            </w:r>
            <w:r w:rsidRPr="00EA7458">
              <w:rPr>
                <w:rFonts w:ascii="Calibri" w:hAnsi="Calibri"/>
                <w:color w:val="231F20"/>
                <w:w w:val="105"/>
              </w:rPr>
              <w:t>access</w:t>
            </w:r>
            <w:r w:rsidRPr="00EA7458">
              <w:rPr>
                <w:rFonts w:ascii="Calibri" w:hAnsi="Calibri"/>
                <w:color w:val="231F20"/>
                <w:spacing w:val="16"/>
                <w:w w:val="105"/>
              </w:rPr>
              <w:t xml:space="preserve"> </w:t>
            </w:r>
            <w:r w:rsidRPr="00EA7458">
              <w:rPr>
                <w:rFonts w:ascii="Calibri" w:hAnsi="Calibri"/>
                <w:color w:val="231F20"/>
                <w:w w:val="105"/>
              </w:rPr>
              <w:t>to</w:t>
            </w:r>
            <w:r w:rsidRPr="00EA7458">
              <w:rPr>
                <w:rFonts w:ascii="Calibri" w:hAnsi="Calibri"/>
                <w:color w:val="231F20"/>
                <w:spacing w:val="16"/>
                <w:w w:val="105"/>
              </w:rPr>
              <w:t xml:space="preserve"> </w:t>
            </w:r>
            <w:r w:rsidRPr="00EA7458">
              <w:rPr>
                <w:rFonts w:ascii="Calibri" w:hAnsi="Calibri"/>
                <w:color w:val="231F20"/>
                <w:w w:val="105"/>
              </w:rPr>
              <w:t>meetings</w:t>
            </w:r>
            <w:r w:rsidRPr="00EA7458">
              <w:rPr>
                <w:rFonts w:ascii="Calibri" w:hAnsi="Calibri"/>
                <w:color w:val="231F20"/>
                <w:spacing w:val="16"/>
                <w:w w:val="105"/>
              </w:rPr>
              <w:t xml:space="preserve"> </w:t>
            </w:r>
            <w:r w:rsidRPr="00EA7458">
              <w:rPr>
                <w:rFonts w:ascii="Calibri" w:hAnsi="Calibri"/>
                <w:color w:val="231F20"/>
                <w:w w:val="105"/>
              </w:rPr>
              <w:t>of</w:t>
            </w:r>
            <w:r w:rsidRPr="00EA7458">
              <w:rPr>
                <w:rFonts w:ascii="Calibri" w:hAnsi="Calibri"/>
                <w:color w:val="231F20"/>
                <w:spacing w:val="16"/>
                <w:w w:val="105"/>
              </w:rPr>
              <w:t xml:space="preserve"> </w:t>
            </w:r>
            <w:r w:rsidR="00E74FEC">
              <w:rPr>
                <w:rFonts w:ascii="Calibri" w:hAnsi="Calibri"/>
                <w:color w:val="231F20"/>
                <w:spacing w:val="16"/>
                <w:w w:val="105"/>
              </w:rPr>
              <w:t>S</w:t>
            </w:r>
            <w:r w:rsidRPr="00EA7458">
              <w:rPr>
                <w:rFonts w:ascii="Calibri" w:hAnsi="Calibri"/>
                <w:color w:val="231F20"/>
                <w:w w:val="105"/>
              </w:rPr>
              <w:t>tate</w:t>
            </w:r>
            <w:r w:rsidRPr="00EA7458">
              <w:rPr>
                <w:rFonts w:ascii="Calibri" w:hAnsi="Calibri"/>
                <w:color w:val="231F20"/>
                <w:spacing w:val="16"/>
                <w:w w:val="105"/>
              </w:rPr>
              <w:t xml:space="preserve"> </w:t>
            </w:r>
            <w:r w:rsidR="000257E5">
              <w:rPr>
                <w:rFonts w:ascii="Calibri" w:hAnsi="Calibri"/>
                <w:color w:val="231F20"/>
                <w:spacing w:val="16"/>
                <w:w w:val="105"/>
              </w:rPr>
              <w:t>B</w:t>
            </w:r>
            <w:r w:rsidR="00E74FEC">
              <w:rPr>
                <w:rFonts w:ascii="Calibri" w:hAnsi="Calibri"/>
                <w:color w:val="231F20"/>
                <w:spacing w:val="16"/>
                <w:w w:val="105"/>
              </w:rPr>
              <w:t>oards</w:t>
            </w:r>
            <w:r w:rsidRPr="00EA7458">
              <w:rPr>
                <w:rFonts w:ascii="Calibri" w:hAnsi="Calibri"/>
                <w:color w:val="231F20"/>
                <w:spacing w:val="16"/>
                <w:w w:val="105"/>
              </w:rPr>
              <w:t xml:space="preserve"> </w:t>
            </w:r>
            <w:r w:rsidRPr="00EA7458">
              <w:rPr>
                <w:rFonts w:ascii="Calibri" w:hAnsi="Calibri"/>
                <w:color w:val="231F20"/>
                <w:w w:val="105"/>
              </w:rPr>
              <w:t>and</w:t>
            </w:r>
            <w:r w:rsidRPr="00EA7458">
              <w:rPr>
                <w:rFonts w:ascii="Calibri" w:hAnsi="Calibri"/>
                <w:color w:val="231F20"/>
                <w:spacing w:val="16"/>
                <w:w w:val="105"/>
              </w:rPr>
              <w:t xml:space="preserve"> </w:t>
            </w:r>
            <w:r w:rsidRPr="00EA7458">
              <w:rPr>
                <w:rFonts w:ascii="Calibri" w:hAnsi="Calibri"/>
                <w:color w:val="231F20"/>
                <w:w w:val="105"/>
              </w:rPr>
              <w:t>local</w:t>
            </w:r>
            <w:r w:rsidRPr="00EA7458">
              <w:rPr>
                <w:rFonts w:ascii="Calibri" w:hAnsi="Calibri"/>
                <w:color w:val="231F20"/>
                <w:spacing w:val="16"/>
                <w:w w:val="105"/>
              </w:rPr>
              <w:t xml:space="preserve"> </w:t>
            </w:r>
            <w:r w:rsidRPr="00EA7458">
              <w:rPr>
                <w:rFonts w:ascii="Calibri" w:hAnsi="Calibri"/>
                <w:color w:val="231F20"/>
                <w:w w:val="105"/>
              </w:rPr>
              <w:t>boards</w:t>
            </w:r>
            <w:r w:rsidR="00D5537E">
              <w:rPr>
                <w:rFonts w:ascii="Calibri" w:hAnsi="Calibri"/>
                <w:color w:val="231F20"/>
                <w:w w:val="105"/>
              </w:rPr>
              <w:t xml:space="preserve"> and</w:t>
            </w:r>
            <w:r w:rsidRPr="00EA7458">
              <w:rPr>
                <w:rFonts w:ascii="Calibri" w:hAnsi="Calibri"/>
                <w:color w:val="231F20"/>
                <w:spacing w:val="16"/>
                <w:w w:val="105"/>
              </w:rPr>
              <w:t xml:space="preserve"> </w:t>
            </w:r>
            <w:r w:rsidRPr="00EA7458">
              <w:rPr>
                <w:rFonts w:ascii="Calibri" w:hAnsi="Calibri"/>
                <w:color w:val="231F20"/>
                <w:w w:val="105"/>
              </w:rPr>
              <w:t>information</w:t>
            </w:r>
            <w:r w:rsidRPr="00EA7458">
              <w:rPr>
                <w:rFonts w:ascii="Calibri" w:hAnsi="Calibri"/>
                <w:color w:val="231F20"/>
                <w:spacing w:val="16"/>
                <w:w w:val="105"/>
              </w:rPr>
              <w:t xml:space="preserve"> </w:t>
            </w:r>
            <w:r w:rsidR="00282000">
              <w:rPr>
                <w:rFonts w:ascii="Calibri" w:hAnsi="Calibri"/>
                <w:color w:val="231F20"/>
                <w:w w:val="105"/>
              </w:rPr>
              <w:t xml:space="preserve">about </w:t>
            </w:r>
            <w:r w:rsidRPr="00EA7458">
              <w:rPr>
                <w:rFonts w:ascii="Calibri" w:hAnsi="Calibri"/>
                <w:color w:val="231F20"/>
                <w:w w:val="105"/>
              </w:rPr>
              <w:t>activities</w:t>
            </w:r>
            <w:r w:rsidRPr="00EA7458">
              <w:rPr>
                <w:rFonts w:ascii="Calibri" w:hAnsi="Calibri"/>
                <w:color w:val="231F20"/>
                <w:spacing w:val="16"/>
                <w:w w:val="105"/>
              </w:rPr>
              <w:t xml:space="preserve"> </w:t>
            </w:r>
            <w:r w:rsidRPr="00EA7458">
              <w:rPr>
                <w:rFonts w:ascii="Calibri" w:hAnsi="Calibri"/>
                <w:color w:val="231F20"/>
                <w:w w:val="105"/>
              </w:rPr>
              <w:t>of</w:t>
            </w:r>
            <w:r w:rsidRPr="00EA7458">
              <w:rPr>
                <w:rFonts w:ascii="Calibri" w:hAnsi="Calibri"/>
                <w:color w:val="231F20"/>
                <w:spacing w:val="16"/>
                <w:w w:val="105"/>
              </w:rPr>
              <w:t xml:space="preserve"> </w:t>
            </w:r>
            <w:r w:rsidR="000257E5">
              <w:rPr>
                <w:rFonts w:ascii="Calibri" w:hAnsi="Calibri"/>
                <w:color w:val="231F20"/>
                <w:w w:val="105"/>
              </w:rPr>
              <w:t>State Boards</w:t>
            </w:r>
            <w:r w:rsidR="0032222F">
              <w:rPr>
                <w:rFonts w:ascii="Calibri" w:hAnsi="Calibri"/>
                <w:color w:val="231F20"/>
                <w:w w:val="105"/>
              </w:rPr>
              <w:t xml:space="preserve"> </w:t>
            </w:r>
            <w:r w:rsidRPr="00EA7458">
              <w:rPr>
                <w:rFonts w:ascii="Calibri" w:hAnsi="Calibri"/>
                <w:color w:val="231F20"/>
                <w:w w:val="105"/>
              </w:rPr>
              <w:t>and</w:t>
            </w:r>
            <w:r w:rsidRPr="00EA7458">
              <w:rPr>
                <w:rFonts w:ascii="Calibri" w:hAnsi="Calibri"/>
                <w:color w:val="231F20"/>
                <w:spacing w:val="17"/>
                <w:w w:val="105"/>
              </w:rPr>
              <w:t xml:space="preserve"> </w:t>
            </w:r>
            <w:r w:rsidRPr="00EA7458">
              <w:rPr>
                <w:rFonts w:ascii="Calibri" w:hAnsi="Calibri"/>
                <w:color w:val="231F20"/>
                <w:w w:val="105"/>
              </w:rPr>
              <w:t>local</w:t>
            </w:r>
            <w:r w:rsidRPr="00EA7458">
              <w:rPr>
                <w:rFonts w:ascii="Calibri" w:hAnsi="Calibri"/>
                <w:color w:val="231F20"/>
                <w:spacing w:val="17"/>
                <w:w w:val="105"/>
              </w:rPr>
              <w:t xml:space="preserve"> </w:t>
            </w:r>
            <w:r w:rsidRPr="00EA7458">
              <w:rPr>
                <w:rFonts w:ascii="Calibri" w:hAnsi="Calibri"/>
                <w:color w:val="231F20"/>
                <w:w w:val="105"/>
              </w:rPr>
              <w:t>boards,</w:t>
            </w:r>
            <w:r w:rsidRPr="00EA7458">
              <w:rPr>
                <w:rFonts w:ascii="Calibri" w:hAnsi="Calibri"/>
                <w:color w:val="231F20"/>
                <w:spacing w:val="17"/>
                <w:w w:val="105"/>
              </w:rPr>
              <w:t xml:space="preserve"> </w:t>
            </w:r>
            <w:r w:rsidRPr="00EA7458">
              <w:rPr>
                <w:rFonts w:ascii="Calibri" w:hAnsi="Calibri"/>
                <w:color w:val="231F20"/>
                <w:w w:val="105"/>
              </w:rPr>
              <w:t>such</w:t>
            </w:r>
            <w:r w:rsidRPr="00EA7458">
              <w:rPr>
                <w:rFonts w:ascii="Calibri" w:hAnsi="Calibri"/>
                <w:color w:val="231F20"/>
                <w:spacing w:val="17"/>
                <w:w w:val="105"/>
              </w:rPr>
              <w:t xml:space="preserve"> </w:t>
            </w:r>
            <w:r w:rsidRPr="00EA7458">
              <w:rPr>
                <w:rFonts w:ascii="Calibri" w:hAnsi="Calibri"/>
                <w:color w:val="231F20"/>
                <w:w w:val="105"/>
              </w:rPr>
              <w:t>as</w:t>
            </w:r>
            <w:r w:rsidRPr="00EA7458">
              <w:rPr>
                <w:rFonts w:ascii="Calibri" w:hAnsi="Calibri"/>
                <w:color w:val="231F20"/>
                <w:spacing w:val="17"/>
                <w:w w:val="105"/>
              </w:rPr>
              <w:t xml:space="preserve"> </w:t>
            </w:r>
            <w:r w:rsidRPr="00EA7458">
              <w:rPr>
                <w:rFonts w:ascii="Calibri" w:hAnsi="Calibri"/>
                <w:color w:val="231F20"/>
                <w:w w:val="105"/>
              </w:rPr>
              <w:t>data</w:t>
            </w:r>
            <w:r w:rsidRPr="00EA7458">
              <w:rPr>
                <w:rFonts w:ascii="Calibri" w:hAnsi="Calibri"/>
                <w:color w:val="231F20"/>
                <w:spacing w:val="17"/>
                <w:w w:val="105"/>
              </w:rPr>
              <w:t xml:space="preserve"> </w:t>
            </w:r>
            <w:r w:rsidRPr="00EA7458">
              <w:rPr>
                <w:rFonts w:ascii="Calibri" w:hAnsi="Calibri"/>
                <w:color w:val="231F20"/>
                <w:w w:val="105"/>
              </w:rPr>
              <w:t>on</w:t>
            </w:r>
            <w:r w:rsidRPr="00EA7458">
              <w:rPr>
                <w:rFonts w:ascii="Calibri" w:hAnsi="Calibri"/>
                <w:color w:val="231F20"/>
                <w:spacing w:val="17"/>
                <w:w w:val="105"/>
              </w:rPr>
              <w:t xml:space="preserve"> </w:t>
            </w:r>
            <w:r w:rsidRPr="00EA7458">
              <w:rPr>
                <w:rFonts w:ascii="Calibri" w:hAnsi="Calibri"/>
                <w:color w:val="231F20"/>
                <w:w w:val="105"/>
              </w:rPr>
              <w:t>board</w:t>
            </w:r>
            <w:r w:rsidRPr="00EA7458">
              <w:rPr>
                <w:rFonts w:ascii="Calibri" w:hAnsi="Calibri"/>
                <w:color w:val="231F20"/>
                <w:spacing w:val="17"/>
                <w:w w:val="105"/>
              </w:rPr>
              <w:t xml:space="preserve"> </w:t>
            </w:r>
            <w:r w:rsidRPr="00EA7458">
              <w:rPr>
                <w:rFonts w:ascii="Calibri" w:hAnsi="Calibri"/>
                <w:color w:val="231F20"/>
                <w:w w:val="105"/>
              </w:rPr>
              <w:t>membership</w:t>
            </w:r>
            <w:r w:rsidRPr="00EA7458">
              <w:rPr>
                <w:rFonts w:ascii="Calibri" w:hAnsi="Calibri"/>
                <w:color w:val="231F20"/>
                <w:spacing w:val="17"/>
                <w:w w:val="105"/>
              </w:rPr>
              <w:t xml:space="preserve"> </w:t>
            </w:r>
            <w:r w:rsidRPr="00EA7458">
              <w:rPr>
                <w:rFonts w:ascii="Calibri" w:hAnsi="Calibri"/>
                <w:color w:val="231F20"/>
                <w:w w:val="105"/>
              </w:rPr>
              <w:t>and</w:t>
            </w:r>
            <w:r w:rsidRPr="00EA7458">
              <w:rPr>
                <w:rFonts w:ascii="Calibri" w:hAnsi="Calibri"/>
                <w:color w:val="231F20"/>
                <w:spacing w:val="17"/>
                <w:w w:val="105"/>
              </w:rPr>
              <w:t xml:space="preserve"> </w:t>
            </w:r>
            <w:r w:rsidRPr="00EA7458">
              <w:rPr>
                <w:rFonts w:ascii="Calibri" w:hAnsi="Calibri"/>
                <w:color w:val="231F20"/>
                <w:w w:val="105"/>
              </w:rPr>
              <w:t>minutes;</w:t>
            </w:r>
          </w:p>
          <w:p w14:paraId="4294B2EE" w14:textId="77777777" w:rsidR="00EA7458" w:rsidRPr="00EA7458" w:rsidRDefault="00EA7458" w:rsidP="00D63204">
            <w:pPr>
              <w:widowControl w:val="0"/>
              <w:spacing w:before="5" w:after="0" w:line="240" w:lineRule="auto"/>
              <w:rPr>
                <w:rFonts w:ascii="Calibri" w:hAnsi="Calibri" w:cs="Calibri"/>
                <w:b/>
                <w:bCs/>
                <w:sz w:val="16"/>
                <w:szCs w:val="16"/>
              </w:rPr>
            </w:pPr>
          </w:p>
          <w:p w14:paraId="5B76D768" w14:textId="2E3CBD27" w:rsidR="00EA7458" w:rsidRDefault="00EA7458" w:rsidP="00D63204">
            <w:pPr>
              <w:widowControl w:val="0"/>
              <w:spacing w:after="0" w:line="264" w:lineRule="exact"/>
              <w:ind w:left="77" w:right="159"/>
              <w:rPr>
                <w:rFonts w:ascii="Calibri" w:hAnsi="Calibri"/>
                <w:color w:val="5F5F5F"/>
                <w:w w:val="105"/>
                <w:u w:val="single" w:color="5F5F5F"/>
              </w:rPr>
            </w:pPr>
            <w:r w:rsidRPr="00EA7458">
              <w:rPr>
                <w:rFonts w:ascii="Calibri" w:hAnsi="Calibri"/>
                <w:color w:val="231F20"/>
                <w:w w:val="105"/>
              </w:rPr>
              <w:t>Please see the Florida Statute related to the general state policy on public records found at</w:t>
            </w:r>
            <w:r w:rsidRPr="00EA7458">
              <w:rPr>
                <w:rFonts w:ascii="Calibri" w:hAnsi="Calibri"/>
                <w:color w:val="231F20"/>
                <w:spacing w:val="37"/>
                <w:w w:val="105"/>
              </w:rPr>
              <w:t xml:space="preserve"> </w:t>
            </w:r>
            <w:hyperlink r:id="rId132" w:history="1">
              <w:r w:rsidR="0085729E" w:rsidRPr="00BD2654">
                <w:rPr>
                  <w:rStyle w:val="Hyperlink"/>
                  <w:rFonts w:ascii="Calibri" w:hAnsi="Calibri"/>
                  <w:w w:val="105"/>
                  <w:u w:color="5F5F5F"/>
                </w:rPr>
                <w:t>http://www.leg.state.fl.us/statutes/index.cfm?App_mode=Display_Statute&amp;URL=0100-0199/0119/0119.html</w:t>
              </w:r>
            </w:hyperlink>
          </w:p>
          <w:p w14:paraId="5DA13B43" w14:textId="6A04F6A4" w:rsidR="0085729E" w:rsidRPr="00EA7458" w:rsidRDefault="0085729E" w:rsidP="00EA7458">
            <w:pPr>
              <w:widowControl w:val="0"/>
              <w:spacing w:after="0" w:line="264" w:lineRule="exact"/>
              <w:ind w:left="77" w:right="159"/>
              <w:rPr>
                <w:rFonts w:ascii="Calibri" w:hAnsi="Calibri" w:cs="Calibri"/>
              </w:rPr>
            </w:pPr>
          </w:p>
        </w:tc>
      </w:tr>
      <w:tr w:rsidR="00EA7458" w:rsidRPr="00EA7458" w14:paraId="0D5DA167" w14:textId="77777777" w:rsidTr="00E65FFA">
        <w:trPr>
          <w:trHeight w:hRule="exact" w:val="1126"/>
        </w:trPr>
        <w:tc>
          <w:tcPr>
            <w:tcW w:w="558" w:type="dxa"/>
            <w:tcBorders>
              <w:top w:val="single" w:sz="2" w:space="0" w:color="231F20"/>
              <w:left w:val="single" w:sz="2" w:space="0" w:color="231F20"/>
              <w:bottom w:val="single" w:sz="2" w:space="0" w:color="231F20"/>
              <w:right w:val="single" w:sz="2" w:space="0" w:color="231F20"/>
            </w:tcBorders>
            <w:shd w:val="clear" w:color="auto" w:fill="E6E7E8"/>
          </w:tcPr>
          <w:p w14:paraId="6A994F6A" w14:textId="77777777" w:rsidR="00EA7458" w:rsidRPr="00EA7458" w:rsidRDefault="00EA7458" w:rsidP="00EA7458">
            <w:pPr>
              <w:widowControl w:val="0"/>
              <w:spacing w:before="42" w:after="0" w:line="240" w:lineRule="auto"/>
              <w:ind w:left="77"/>
              <w:rPr>
                <w:rFonts w:ascii="Calibri" w:hAnsi="Calibri" w:cs="Calibri"/>
              </w:rPr>
            </w:pPr>
            <w:r w:rsidRPr="00EA7458">
              <w:rPr>
                <w:rFonts w:ascii="Calibri" w:hAnsi="Calibri"/>
                <w:color w:val="231F20"/>
                <w:w w:val="105"/>
              </w:rPr>
              <w:t>3.</w:t>
            </w:r>
          </w:p>
        </w:tc>
        <w:tc>
          <w:tcPr>
            <w:tcW w:w="9602" w:type="dxa"/>
            <w:tcBorders>
              <w:top w:val="single" w:sz="2" w:space="0" w:color="231F20"/>
              <w:left w:val="single" w:sz="2" w:space="0" w:color="231F20"/>
              <w:bottom w:val="single" w:sz="2" w:space="0" w:color="231F20"/>
              <w:right w:val="single" w:sz="2" w:space="0" w:color="231F20"/>
            </w:tcBorders>
            <w:shd w:val="clear" w:color="auto" w:fill="E6E7E8"/>
          </w:tcPr>
          <w:p w14:paraId="16887E2F" w14:textId="208E946F" w:rsidR="00EA7458" w:rsidRPr="00EA7458" w:rsidRDefault="00EA7458" w:rsidP="00D63204">
            <w:pPr>
              <w:widowControl w:val="0"/>
              <w:spacing w:before="40" w:after="0" w:line="264" w:lineRule="exact"/>
              <w:ind w:left="77" w:right="398"/>
              <w:rPr>
                <w:rFonts w:ascii="Calibri" w:hAnsi="Calibri" w:cs="Calibri"/>
              </w:rPr>
            </w:pPr>
            <w:r w:rsidRPr="00EA7458">
              <w:rPr>
                <w:rFonts w:ascii="Calibri" w:hAnsi="Calibri"/>
                <w:w w:val="105"/>
              </w:rPr>
              <w:t>The</w:t>
            </w:r>
            <w:r w:rsidRPr="00EA7458">
              <w:rPr>
                <w:rFonts w:ascii="Calibri" w:hAnsi="Calibri"/>
                <w:spacing w:val="11"/>
                <w:w w:val="105"/>
              </w:rPr>
              <w:t xml:space="preserve"> </w:t>
            </w:r>
            <w:r w:rsidRPr="00EA7458">
              <w:rPr>
                <w:rFonts w:ascii="Calibri" w:hAnsi="Calibri"/>
                <w:w w:val="105"/>
              </w:rPr>
              <w:t>lead</w:t>
            </w:r>
            <w:r w:rsidRPr="00EA7458">
              <w:rPr>
                <w:rFonts w:ascii="Calibri" w:hAnsi="Calibri"/>
                <w:spacing w:val="11"/>
                <w:w w:val="105"/>
              </w:rPr>
              <w:t xml:space="preserve"> </w:t>
            </w:r>
            <w:r w:rsidR="00910289">
              <w:rPr>
                <w:rFonts w:ascii="Calibri" w:hAnsi="Calibri"/>
                <w:w w:val="105"/>
              </w:rPr>
              <w:t>s</w:t>
            </w:r>
            <w:r w:rsidRPr="00EA7458">
              <w:rPr>
                <w:rFonts w:ascii="Calibri" w:hAnsi="Calibri"/>
                <w:w w:val="105"/>
              </w:rPr>
              <w:t>tate</w:t>
            </w:r>
            <w:r w:rsidRPr="00EA7458">
              <w:rPr>
                <w:rFonts w:ascii="Calibri" w:hAnsi="Calibri"/>
                <w:spacing w:val="11"/>
                <w:w w:val="105"/>
              </w:rPr>
              <w:t xml:space="preserve"> </w:t>
            </w:r>
            <w:r w:rsidRPr="00EA7458">
              <w:rPr>
                <w:rFonts w:ascii="Calibri" w:hAnsi="Calibri"/>
                <w:w w:val="105"/>
              </w:rPr>
              <w:t>agencies</w:t>
            </w:r>
            <w:r w:rsidRPr="00EA7458">
              <w:rPr>
                <w:rFonts w:ascii="Calibri" w:hAnsi="Calibri"/>
                <w:spacing w:val="11"/>
                <w:w w:val="105"/>
              </w:rPr>
              <w:t xml:space="preserve"> </w:t>
            </w:r>
            <w:r w:rsidRPr="00EA7458">
              <w:rPr>
                <w:rFonts w:ascii="Calibri" w:hAnsi="Calibri"/>
                <w:w w:val="105"/>
              </w:rPr>
              <w:t>with</w:t>
            </w:r>
            <w:r w:rsidRPr="00EA7458">
              <w:rPr>
                <w:rFonts w:ascii="Calibri" w:hAnsi="Calibri"/>
                <w:spacing w:val="11"/>
                <w:w w:val="105"/>
              </w:rPr>
              <w:t xml:space="preserve"> </w:t>
            </w:r>
            <w:r w:rsidR="00627E6D">
              <w:rPr>
                <w:rFonts w:ascii="Calibri" w:hAnsi="Calibri"/>
                <w:spacing w:val="11"/>
                <w:w w:val="105"/>
              </w:rPr>
              <w:t xml:space="preserve">optimal policy-making authority and </w:t>
            </w:r>
            <w:r w:rsidRPr="00EA7458">
              <w:rPr>
                <w:rFonts w:ascii="Calibri" w:hAnsi="Calibri"/>
                <w:w w:val="105"/>
              </w:rPr>
              <w:t>responsibility</w:t>
            </w:r>
            <w:r w:rsidRPr="00EA7458">
              <w:rPr>
                <w:rFonts w:ascii="Calibri" w:hAnsi="Calibri"/>
                <w:spacing w:val="11"/>
                <w:w w:val="105"/>
              </w:rPr>
              <w:t xml:space="preserve"> </w:t>
            </w:r>
            <w:r w:rsidRPr="00EA7458">
              <w:rPr>
                <w:rFonts w:ascii="Calibri" w:hAnsi="Calibri"/>
                <w:w w:val="105"/>
              </w:rPr>
              <w:t>for</w:t>
            </w:r>
            <w:r w:rsidRPr="00EA7458">
              <w:rPr>
                <w:rFonts w:ascii="Calibri" w:hAnsi="Calibri"/>
                <w:spacing w:val="11"/>
                <w:w w:val="105"/>
              </w:rPr>
              <w:t xml:space="preserve"> </w:t>
            </w:r>
            <w:r w:rsidRPr="00EA7458">
              <w:rPr>
                <w:rFonts w:ascii="Calibri" w:hAnsi="Calibri"/>
                <w:w w:val="105"/>
              </w:rPr>
              <w:t>the</w:t>
            </w:r>
            <w:r w:rsidRPr="00EA7458">
              <w:rPr>
                <w:rFonts w:ascii="Calibri" w:hAnsi="Calibri"/>
                <w:spacing w:val="11"/>
                <w:w w:val="105"/>
              </w:rPr>
              <w:t xml:space="preserve"> </w:t>
            </w:r>
            <w:r w:rsidRPr="00EA7458">
              <w:rPr>
                <w:rFonts w:ascii="Calibri" w:hAnsi="Calibri"/>
                <w:w w:val="105"/>
              </w:rPr>
              <w:t>administration</w:t>
            </w:r>
            <w:r w:rsidRPr="00EA7458">
              <w:rPr>
                <w:rFonts w:ascii="Calibri" w:hAnsi="Calibri"/>
                <w:spacing w:val="11"/>
                <w:w w:val="105"/>
              </w:rPr>
              <w:t xml:space="preserve"> </w:t>
            </w:r>
            <w:r w:rsidRPr="00EA7458">
              <w:rPr>
                <w:rFonts w:ascii="Calibri" w:hAnsi="Calibri"/>
                <w:w w:val="105"/>
              </w:rPr>
              <w:t>of</w:t>
            </w:r>
            <w:r w:rsidRPr="00EA7458">
              <w:rPr>
                <w:rFonts w:ascii="Calibri" w:hAnsi="Calibri"/>
                <w:spacing w:val="11"/>
                <w:w w:val="105"/>
              </w:rPr>
              <w:t xml:space="preserve"> </w:t>
            </w:r>
            <w:r w:rsidRPr="00EA7458">
              <w:rPr>
                <w:rFonts w:ascii="Calibri" w:hAnsi="Calibri"/>
                <w:w w:val="105"/>
              </w:rPr>
              <w:t>core</w:t>
            </w:r>
            <w:r w:rsidRPr="00EA7458">
              <w:rPr>
                <w:rFonts w:ascii="Calibri" w:hAnsi="Calibri"/>
                <w:spacing w:val="11"/>
                <w:w w:val="105"/>
              </w:rPr>
              <w:t xml:space="preserve"> </w:t>
            </w:r>
            <w:r w:rsidRPr="00EA7458">
              <w:rPr>
                <w:rFonts w:ascii="Calibri" w:hAnsi="Calibri"/>
                <w:w w:val="105"/>
              </w:rPr>
              <w:t>programs</w:t>
            </w:r>
            <w:r w:rsidRPr="00EA7458">
              <w:rPr>
                <w:rFonts w:ascii="Calibri" w:hAnsi="Calibri"/>
                <w:spacing w:val="11"/>
                <w:w w:val="105"/>
              </w:rPr>
              <w:t xml:space="preserve"> </w:t>
            </w:r>
            <w:r w:rsidRPr="00EA7458">
              <w:rPr>
                <w:rFonts w:ascii="Calibri" w:hAnsi="Calibri"/>
                <w:w w:val="105"/>
              </w:rPr>
              <w:t>reviewed</w:t>
            </w:r>
            <w:r w:rsidRPr="00EA7458">
              <w:rPr>
                <w:rFonts w:ascii="Calibri" w:hAnsi="Calibri"/>
                <w:spacing w:val="-19"/>
                <w:w w:val="105"/>
              </w:rPr>
              <w:t xml:space="preserve"> </w:t>
            </w:r>
            <w:r w:rsidRPr="00EA7458">
              <w:rPr>
                <w:rFonts w:ascii="Calibri" w:hAnsi="Calibri"/>
                <w:w w:val="105"/>
              </w:rPr>
              <w:t xml:space="preserve">and commented on the appropriate operational planning elements of the </w:t>
            </w:r>
            <w:r w:rsidR="00E75153">
              <w:rPr>
                <w:rFonts w:ascii="Calibri" w:hAnsi="Calibri"/>
                <w:w w:val="105"/>
              </w:rPr>
              <w:t>u</w:t>
            </w:r>
            <w:r w:rsidR="00136065">
              <w:rPr>
                <w:rFonts w:ascii="Calibri" w:hAnsi="Calibri"/>
                <w:w w:val="105"/>
              </w:rPr>
              <w:t>nified</w:t>
            </w:r>
            <w:r w:rsidRPr="00EA7458">
              <w:rPr>
                <w:rFonts w:ascii="Calibri" w:hAnsi="Calibri"/>
                <w:w w:val="105"/>
              </w:rPr>
              <w:t xml:space="preserve"> or </w:t>
            </w:r>
            <w:r w:rsidR="00E75153">
              <w:rPr>
                <w:rFonts w:ascii="Calibri" w:hAnsi="Calibri"/>
                <w:w w:val="105"/>
              </w:rPr>
              <w:t>c</w:t>
            </w:r>
            <w:r w:rsidRPr="00EA7458">
              <w:rPr>
                <w:rFonts w:ascii="Calibri" w:hAnsi="Calibri"/>
                <w:w w:val="105"/>
              </w:rPr>
              <w:t>ombined</w:t>
            </w:r>
            <w:r w:rsidRPr="00EA7458">
              <w:rPr>
                <w:rFonts w:ascii="Calibri" w:hAnsi="Calibri"/>
                <w:w w:val="109"/>
              </w:rPr>
              <w:t xml:space="preserve"> </w:t>
            </w:r>
            <w:r w:rsidR="00E75153">
              <w:rPr>
                <w:rFonts w:ascii="Calibri" w:hAnsi="Calibri"/>
                <w:w w:val="109"/>
              </w:rPr>
              <w:t>s</w:t>
            </w:r>
            <w:r w:rsidRPr="00EA7458">
              <w:rPr>
                <w:rFonts w:ascii="Calibri" w:hAnsi="Calibri"/>
                <w:w w:val="105"/>
              </w:rPr>
              <w:t>tate</w:t>
            </w:r>
            <w:r w:rsidRPr="00EA7458">
              <w:rPr>
                <w:rFonts w:ascii="Calibri" w:hAnsi="Calibri"/>
                <w:spacing w:val="18"/>
                <w:w w:val="105"/>
              </w:rPr>
              <w:t xml:space="preserve"> </w:t>
            </w:r>
            <w:r w:rsidR="00E75153">
              <w:rPr>
                <w:rFonts w:ascii="Calibri" w:hAnsi="Calibri"/>
                <w:spacing w:val="18"/>
                <w:w w:val="105"/>
              </w:rPr>
              <w:t>p</w:t>
            </w:r>
            <w:r w:rsidRPr="00EA7458">
              <w:rPr>
                <w:rFonts w:ascii="Calibri" w:hAnsi="Calibri"/>
                <w:w w:val="105"/>
              </w:rPr>
              <w:t>lan</w:t>
            </w:r>
            <w:r w:rsidR="00D5537E">
              <w:rPr>
                <w:rFonts w:ascii="Calibri" w:hAnsi="Calibri"/>
                <w:w w:val="105"/>
              </w:rPr>
              <w:t xml:space="preserve"> and</w:t>
            </w:r>
            <w:r w:rsidRPr="00EA7458">
              <w:rPr>
                <w:rFonts w:ascii="Calibri" w:hAnsi="Calibri"/>
                <w:spacing w:val="18"/>
                <w:w w:val="105"/>
              </w:rPr>
              <w:t xml:space="preserve"> </w:t>
            </w:r>
            <w:r w:rsidRPr="00EA7458">
              <w:rPr>
                <w:rFonts w:ascii="Calibri" w:hAnsi="Calibri"/>
                <w:w w:val="105"/>
              </w:rPr>
              <w:t>approved</w:t>
            </w:r>
            <w:r w:rsidRPr="00EA7458">
              <w:rPr>
                <w:rFonts w:ascii="Calibri" w:hAnsi="Calibri"/>
                <w:spacing w:val="18"/>
                <w:w w:val="105"/>
              </w:rPr>
              <w:t xml:space="preserve"> </w:t>
            </w:r>
            <w:r w:rsidRPr="00EA7458">
              <w:rPr>
                <w:rFonts w:ascii="Calibri" w:hAnsi="Calibri"/>
                <w:w w:val="105"/>
              </w:rPr>
              <w:t>the</w:t>
            </w:r>
            <w:r w:rsidRPr="00EA7458">
              <w:rPr>
                <w:rFonts w:ascii="Calibri" w:hAnsi="Calibri"/>
                <w:spacing w:val="18"/>
                <w:w w:val="105"/>
              </w:rPr>
              <w:t xml:space="preserve"> </w:t>
            </w:r>
            <w:r w:rsidRPr="00EA7458">
              <w:rPr>
                <w:rFonts w:ascii="Calibri" w:hAnsi="Calibri"/>
                <w:w w:val="105"/>
              </w:rPr>
              <w:t>elements</w:t>
            </w:r>
            <w:r w:rsidRPr="00EA7458">
              <w:rPr>
                <w:rFonts w:ascii="Calibri" w:hAnsi="Calibri"/>
                <w:spacing w:val="18"/>
                <w:w w:val="105"/>
              </w:rPr>
              <w:t xml:space="preserve"> </w:t>
            </w:r>
            <w:r w:rsidRPr="00EA7458">
              <w:rPr>
                <w:rFonts w:ascii="Calibri" w:hAnsi="Calibri"/>
                <w:w w:val="105"/>
              </w:rPr>
              <w:t>as</w:t>
            </w:r>
            <w:r w:rsidRPr="00EA7458">
              <w:rPr>
                <w:rFonts w:ascii="Calibri" w:hAnsi="Calibri"/>
                <w:spacing w:val="18"/>
                <w:w w:val="105"/>
              </w:rPr>
              <w:t xml:space="preserve"> </w:t>
            </w:r>
            <w:r w:rsidRPr="00EA7458">
              <w:rPr>
                <w:rFonts w:ascii="Calibri" w:hAnsi="Calibri"/>
                <w:w w:val="105"/>
              </w:rPr>
              <w:t>serving</w:t>
            </w:r>
            <w:r w:rsidRPr="00EA7458">
              <w:rPr>
                <w:rFonts w:ascii="Calibri" w:hAnsi="Calibri"/>
                <w:spacing w:val="18"/>
                <w:w w:val="105"/>
              </w:rPr>
              <w:t xml:space="preserve"> </w:t>
            </w:r>
            <w:r w:rsidRPr="00EA7458">
              <w:rPr>
                <w:rFonts w:ascii="Calibri" w:hAnsi="Calibri"/>
                <w:w w:val="105"/>
              </w:rPr>
              <w:t>the</w:t>
            </w:r>
            <w:r w:rsidRPr="00EA7458">
              <w:rPr>
                <w:rFonts w:ascii="Calibri" w:hAnsi="Calibri"/>
                <w:spacing w:val="18"/>
                <w:w w:val="105"/>
              </w:rPr>
              <w:t xml:space="preserve"> </w:t>
            </w:r>
            <w:r w:rsidRPr="00EA7458">
              <w:rPr>
                <w:rFonts w:ascii="Calibri" w:hAnsi="Calibri"/>
                <w:w w:val="105"/>
              </w:rPr>
              <w:t>needs</w:t>
            </w:r>
            <w:r w:rsidRPr="00EA7458">
              <w:rPr>
                <w:rFonts w:ascii="Calibri" w:hAnsi="Calibri"/>
                <w:spacing w:val="18"/>
                <w:w w:val="105"/>
              </w:rPr>
              <w:t xml:space="preserve"> </w:t>
            </w:r>
            <w:r w:rsidRPr="00EA7458">
              <w:rPr>
                <w:rFonts w:ascii="Calibri" w:hAnsi="Calibri"/>
                <w:w w:val="105"/>
              </w:rPr>
              <w:t>of</w:t>
            </w:r>
            <w:r w:rsidRPr="00EA7458">
              <w:rPr>
                <w:rFonts w:ascii="Calibri" w:hAnsi="Calibri"/>
                <w:spacing w:val="18"/>
                <w:w w:val="105"/>
              </w:rPr>
              <w:t xml:space="preserve"> </w:t>
            </w:r>
            <w:r w:rsidRPr="00EA7458">
              <w:rPr>
                <w:rFonts w:ascii="Calibri" w:hAnsi="Calibri"/>
                <w:w w:val="105"/>
              </w:rPr>
              <w:t>the</w:t>
            </w:r>
            <w:r w:rsidRPr="00EA7458">
              <w:rPr>
                <w:rFonts w:ascii="Calibri" w:hAnsi="Calibri"/>
                <w:spacing w:val="18"/>
                <w:w w:val="105"/>
              </w:rPr>
              <w:t xml:space="preserve"> </w:t>
            </w:r>
            <w:r w:rsidRPr="00EA7458">
              <w:rPr>
                <w:rFonts w:ascii="Calibri" w:hAnsi="Calibri"/>
                <w:w w:val="105"/>
              </w:rPr>
              <w:t>populations</w:t>
            </w:r>
            <w:r w:rsidRPr="00EA7458">
              <w:rPr>
                <w:rFonts w:ascii="Calibri" w:hAnsi="Calibri"/>
                <w:spacing w:val="18"/>
                <w:w w:val="105"/>
              </w:rPr>
              <w:t xml:space="preserve"> </w:t>
            </w:r>
            <w:r w:rsidRPr="00EA7458">
              <w:rPr>
                <w:rFonts w:ascii="Calibri" w:hAnsi="Calibri"/>
                <w:w w:val="105"/>
              </w:rPr>
              <w:t>served</w:t>
            </w:r>
            <w:r w:rsidRPr="00EA7458">
              <w:rPr>
                <w:rFonts w:ascii="Calibri" w:hAnsi="Calibri"/>
                <w:spacing w:val="18"/>
                <w:w w:val="105"/>
              </w:rPr>
              <w:t xml:space="preserve"> </w:t>
            </w:r>
            <w:r w:rsidRPr="00EA7458">
              <w:rPr>
                <w:rFonts w:ascii="Calibri" w:hAnsi="Calibri"/>
                <w:w w:val="105"/>
              </w:rPr>
              <w:t>by</w:t>
            </w:r>
            <w:r w:rsidRPr="00EA7458">
              <w:rPr>
                <w:rFonts w:ascii="Calibri" w:hAnsi="Calibri"/>
                <w:spacing w:val="18"/>
                <w:w w:val="105"/>
              </w:rPr>
              <w:t xml:space="preserve"> </w:t>
            </w:r>
            <w:r w:rsidRPr="00EA7458">
              <w:rPr>
                <w:rFonts w:ascii="Calibri" w:hAnsi="Calibri"/>
                <w:w w:val="105"/>
              </w:rPr>
              <w:t>such</w:t>
            </w:r>
            <w:r>
              <w:rPr>
                <w:rFonts w:ascii="Calibri" w:hAnsi="Calibri"/>
                <w:w w:val="105"/>
              </w:rPr>
              <w:t xml:space="preserve"> </w:t>
            </w:r>
            <w:r w:rsidRPr="00EA7458">
              <w:rPr>
                <w:rFonts w:ascii="Calibri" w:hAnsi="Calibri"/>
                <w:w w:val="105"/>
              </w:rPr>
              <w:t>programs;</w:t>
            </w:r>
          </w:p>
        </w:tc>
      </w:tr>
    </w:tbl>
    <w:p w14:paraId="5C05951A" w14:textId="77777777" w:rsidR="00EA7458" w:rsidRPr="00EA7458" w:rsidRDefault="00EA7458" w:rsidP="00EA7458">
      <w:pPr>
        <w:widowControl w:val="0"/>
        <w:spacing w:after="0" w:line="264" w:lineRule="exact"/>
        <w:rPr>
          <w:rFonts w:ascii="Calibri" w:hAnsi="Calibri" w:cs="Calibri"/>
        </w:rPr>
        <w:sectPr w:rsidR="00EA7458" w:rsidRPr="00EA7458">
          <w:footerReference w:type="default" r:id="rId133"/>
          <w:pgSz w:w="12240" w:h="15840"/>
          <w:pgMar w:top="1620" w:right="900" w:bottom="820" w:left="900" w:header="812" w:footer="624" w:gutter="0"/>
          <w:cols w:space="720"/>
        </w:sectPr>
      </w:pPr>
    </w:p>
    <w:p w14:paraId="5D35F87C" w14:textId="77777777" w:rsidR="00EA7458" w:rsidRPr="00EA7458" w:rsidRDefault="00EA7458" w:rsidP="00EA7458">
      <w:pPr>
        <w:widowControl w:val="0"/>
        <w:spacing w:before="4" w:after="0" w:line="240" w:lineRule="auto"/>
        <w:rPr>
          <w:rFonts w:ascii="Times New Roman" w:hAnsi="Times New Roman"/>
          <w:sz w:val="23"/>
          <w:szCs w:val="23"/>
        </w:rPr>
      </w:pPr>
    </w:p>
    <w:tbl>
      <w:tblPr>
        <w:tblW w:w="0" w:type="auto"/>
        <w:tblInd w:w="108" w:type="dxa"/>
        <w:tblLayout w:type="fixed"/>
        <w:tblCellMar>
          <w:left w:w="0" w:type="dxa"/>
          <w:right w:w="0" w:type="dxa"/>
        </w:tblCellMar>
        <w:tblLook w:val="01E0" w:firstRow="1" w:lastRow="1" w:firstColumn="1" w:lastColumn="1" w:noHBand="0" w:noVBand="0"/>
      </w:tblPr>
      <w:tblGrid>
        <w:gridCol w:w="558"/>
        <w:gridCol w:w="9602"/>
      </w:tblGrid>
      <w:tr w:rsidR="00EA7458" w:rsidRPr="00EA7458" w14:paraId="29D9488F" w14:textId="77777777" w:rsidTr="00F8286F">
        <w:trPr>
          <w:trHeight w:hRule="exact" w:val="2813"/>
        </w:trPr>
        <w:tc>
          <w:tcPr>
            <w:tcW w:w="558" w:type="dxa"/>
            <w:tcBorders>
              <w:top w:val="single" w:sz="2" w:space="0" w:color="231F20"/>
              <w:left w:val="single" w:sz="2" w:space="0" w:color="231F20"/>
              <w:bottom w:val="single" w:sz="2" w:space="0" w:color="231F20"/>
              <w:right w:val="single" w:sz="2" w:space="0" w:color="231F20"/>
            </w:tcBorders>
          </w:tcPr>
          <w:p w14:paraId="7A8A986A" w14:textId="77777777" w:rsidR="00EA7458" w:rsidRPr="00EA7458" w:rsidRDefault="00EA7458" w:rsidP="00EA7458">
            <w:pPr>
              <w:widowControl w:val="0"/>
              <w:spacing w:before="42" w:after="0" w:line="240" w:lineRule="auto"/>
              <w:ind w:left="77"/>
              <w:rPr>
                <w:rFonts w:ascii="Calibri" w:hAnsi="Calibri" w:cs="Calibri"/>
              </w:rPr>
            </w:pPr>
            <w:r w:rsidRPr="00EA7458">
              <w:rPr>
                <w:rFonts w:ascii="Calibri" w:hAnsi="Calibri"/>
                <w:color w:val="231F20"/>
                <w:w w:val="105"/>
              </w:rPr>
              <w:t>4.</w:t>
            </w:r>
          </w:p>
        </w:tc>
        <w:tc>
          <w:tcPr>
            <w:tcW w:w="9602" w:type="dxa"/>
            <w:tcBorders>
              <w:top w:val="single" w:sz="2" w:space="0" w:color="231F20"/>
              <w:left w:val="single" w:sz="2" w:space="0" w:color="231F20"/>
              <w:bottom w:val="single" w:sz="2" w:space="0" w:color="231F20"/>
              <w:right w:val="single" w:sz="2" w:space="0" w:color="231F20"/>
            </w:tcBorders>
          </w:tcPr>
          <w:p w14:paraId="2E95ECF7" w14:textId="6AD69FBD" w:rsidR="00680C4D" w:rsidRPr="00EA7458" w:rsidRDefault="002A4D3D" w:rsidP="00D63204">
            <w:pPr>
              <w:widowControl w:val="0"/>
              <w:numPr>
                <w:ilvl w:val="0"/>
                <w:numId w:val="5"/>
              </w:numPr>
              <w:tabs>
                <w:tab w:val="left" w:pos="417"/>
              </w:tabs>
              <w:spacing w:before="40" w:after="0" w:line="264" w:lineRule="exact"/>
              <w:ind w:right="241"/>
              <w:rPr>
                <w:rFonts w:ascii="Calibri" w:hAnsi="Calibri" w:cs="Calibri"/>
              </w:rPr>
            </w:pPr>
            <w:r>
              <w:rPr>
                <w:rFonts w:ascii="Calibri" w:hAnsi="Calibri"/>
                <w:w w:val="105"/>
              </w:rPr>
              <w:t xml:space="preserve">(a)  </w:t>
            </w:r>
            <w:r w:rsidR="00680C4D" w:rsidRPr="00EA7458">
              <w:rPr>
                <w:rFonts w:ascii="Calibri" w:hAnsi="Calibri"/>
                <w:w w:val="105"/>
              </w:rPr>
              <w:t xml:space="preserve">The </w:t>
            </w:r>
            <w:r w:rsidR="007E4A3D">
              <w:rPr>
                <w:rFonts w:ascii="Calibri" w:hAnsi="Calibri"/>
                <w:w w:val="105"/>
              </w:rPr>
              <w:t>s</w:t>
            </w:r>
            <w:r w:rsidR="00680C4D" w:rsidRPr="00EA7458">
              <w:rPr>
                <w:rFonts w:ascii="Calibri" w:hAnsi="Calibri"/>
                <w:w w:val="105"/>
              </w:rPr>
              <w:t xml:space="preserve">tate obtained input into the development of the </w:t>
            </w:r>
            <w:r w:rsidR="00900054">
              <w:rPr>
                <w:rFonts w:ascii="Calibri" w:hAnsi="Calibri"/>
                <w:w w:val="105"/>
              </w:rPr>
              <w:t>u</w:t>
            </w:r>
            <w:r w:rsidR="00680C4D" w:rsidRPr="00EA7458">
              <w:rPr>
                <w:rFonts w:ascii="Calibri" w:hAnsi="Calibri"/>
                <w:w w:val="105"/>
              </w:rPr>
              <w:t xml:space="preserve">nified </w:t>
            </w:r>
            <w:r w:rsidR="00900054">
              <w:rPr>
                <w:rFonts w:ascii="Calibri" w:hAnsi="Calibri"/>
                <w:w w:val="105"/>
              </w:rPr>
              <w:t>p</w:t>
            </w:r>
            <w:r w:rsidR="00680C4D">
              <w:rPr>
                <w:rFonts w:ascii="Calibri" w:hAnsi="Calibri"/>
                <w:w w:val="105"/>
              </w:rPr>
              <w:t xml:space="preserve">lan </w:t>
            </w:r>
            <w:r w:rsidR="00680C4D" w:rsidRPr="00EA7458">
              <w:rPr>
                <w:rFonts w:ascii="Calibri" w:hAnsi="Calibri"/>
                <w:w w:val="105"/>
              </w:rPr>
              <w:t>and</w:t>
            </w:r>
            <w:r w:rsidR="00680C4D" w:rsidRPr="00EA7458">
              <w:rPr>
                <w:rFonts w:ascii="Calibri" w:hAnsi="Calibri"/>
                <w:w w:val="108"/>
              </w:rPr>
              <w:t xml:space="preserve"> </w:t>
            </w:r>
            <w:r w:rsidR="00680C4D" w:rsidRPr="00EA7458">
              <w:rPr>
                <w:rFonts w:ascii="Calibri" w:hAnsi="Calibri"/>
                <w:w w:val="105"/>
              </w:rPr>
              <w:t>provided</w:t>
            </w:r>
            <w:r w:rsidR="00680C4D" w:rsidRPr="00EA7458">
              <w:rPr>
                <w:rFonts w:ascii="Calibri" w:hAnsi="Calibri"/>
                <w:spacing w:val="9"/>
                <w:w w:val="105"/>
              </w:rPr>
              <w:t xml:space="preserve"> </w:t>
            </w:r>
            <w:r w:rsidR="00680C4D" w:rsidRPr="00EA7458">
              <w:rPr>
                <w:rFonts w:ascii="Calibri" w:hAnsi="Calibri"/>
                <w:w w:val="105"/>
              </w:rPr>
              <w:t>an</w:t>
            </w:r>
            <w:r w:rsidR="00680C4D" w:rsidRPr="00EA7458">
              <w:rPr>
                <w:rFonts w:ascii="Calibri" w:hAnsi="Calibri"/>
                <w:spacing w:val="9"/>
                <w:w w:val="105"/>
              </w:rPr>
              <w:t xml:space="preserve"> </w:t>
            </w:r>
            <w:r w:rsidR="00680C4D" w:rsidRPr="00EA7458">
              <w:rPr>
                <w:rFonts w:ascii="Calibri" w:hAnsi="Calibri"/>
                <w:w w:val="105"/>
              </w:rPr>
              <w:t>opportunity</w:t>
            </w:r>
            <w:r w:rsidR="00680C4D" w:rsidRPr="00EA7458">
              <w:rPr>
                <w:rFonts w:ascii="Calibri" w:hAnsi="Calibri"/>
                <w:spacing w:val="9"/>
                <w:w w:val="105"/>
              </w:rPr>
              <w:t xml:space="preserve"> </w:t>
            </w:r>
            <w:r w:rsidR="00680C4D" w:rsidRPr="00EA7458">
              <w:rPr>
                <w:rFonts w:ascii="Calibri" w:hAnsi="Calibri"/>
                <w:w w:val="105"/>
              </w:rPr>
              <w:t>for</w:t>
            </w:r>
            <w:r w:rsidR="00680C4D" w:rsidRPr="00EA7458">
              <w:rPr>
                <w:rFonts w:ascii="Calibri" w:hAnsi="Calibri"/>
                <w:spacing w:val="9"/>
                <w:w w:val="105"/>
              </w:rPr>
              <w:t xml:space="preserve"> </w:t>
            </w:r>
            <w:r w:rsidR="00680C4D" w:rsidRPr="00EA7458">
              <w:rPr>
                <w:rFonts w:ascii="Calibri" w:hAnsi="Calibri"/>
                <w:w w:val="105"/>
              </w:rPr>
              <w:t>comment</w:t>
            </w:r>
            <w:r w:rsidR="00680C4D" w:rsidRPr="00EA7458">
              <w:rPr>
                <w:rFonts w:ascii="Calibri" w:hAnsi="Calibri"/>
                <w:spacing w:val="18"/>
                <w:w w:val="105"/>
              </w:rPr>
              <w:t xml:space="preserve"> </w:t>
            </w:r>
            <w:r w:rsidR="00680C4D" w:rsidRPr="00EA7458">
              <w:rPr>
                <w:rFonts w:ascii="Calibri" w:hAnsi="Calibri"/>
                <w:w w:val="105"/>
              </w:rPr>
              <w:t>on</w:t>
            </w:r>
            <w:r w:rsidR="00680C4D" w:rsidRPr="00EA7458">
              <w:rPr>
                <w:rFonts w:ascii="Calibri" w:hAnsi="Calibri"/>
                <w:spacing w:val="18"/>
                <w:w w:val="105"/>
              </w:rPr>
              <w:t xml:space="preserve"> </w:t>
            </w:r>
            <w:r w:rsidR="00680C4D" w:rsidRPr="00EA7458">
              <w:rPr>
                <w:rFonts w:ascii="Calibri" w:hAnsi="Calibri"/>
                <w:w w:val="105"/>
              </w:rPr>
              <w:t>the</w:t>
            </w:r>
            <w:r w:rsidR="00680C4D" w:rsidRPr="00EA7458">
              <w:rPr>
                <w:rFonts w:ascii="Calibri" w:hAnsi="Calibri"/>
                <w:spacing w:val="18"/>
                <w:w w:val="105"/>
              </w:rPr>
              <w:t xml:space="preserve"> </w:t>
            </w:r>
            <w:r w:rsidR="00680C4D" w:rsidRPr="00EA7458">
              <w:rPr>
                <w:rFonts w:ascii="Calibri" w:hAnsi="Calibri"/>
                <w:w w:val="105"/>
              </w:rPr>
              <w:t>plan</w:t>
            </w:r>
            <w:r w:rsidR="00680C4D" w:rsidRPr="00EA7458">
              <w:rPr>
                <w:rFonts w:ascii="Calibri" w:hAnsi="Calibri"/>
                <w:spacing w:val="18"/>
                <w:w w:val="105"/>
              </w:rPr>
              <w:t xml:space="preserve"> </w:t>
            </w:r>
            <w:r w:rsidR="00680C4D" w:rsidRPr="00EA7458">
              <w:rPr>
                <w:rFonts w:ascii="Calibri" w:hAnsi="Calibri"/>
                <w:w w:val="105"/>
              </w:rPr>
              <w:t>by</w:t>
            </w:r>
            <w:r w:rsidR="00680C4D" w:rsidRPr="00EA7458">
              <w:rPr>
                <w:rFonts w:ascii="Calibri" w:hAnsi="Calibri"/>
                <w:spacing w:val="18"/>
                <w:w w:val="105"/>
              </w:rPr>
              <w:t xml:space="preserve"> </w:t>
            </w:r>
            <w:r w:rsidR="00680C4D" w:rsidRPr="00EA7458">
              <w:rPr>
                <w:rFonts w:ascii="Calibri" w:hAnsi="Calibri"/>
                <w:w w:val="105"/>
              </w:rPr>
              <w:t>representatives</w:t>
            </w:r>
            <w:r w:rsidR="00680C4D" w:rsidRPr="00EA7458">
              <w:rPr>
                <w:rFonts w:ascii="Calibri" w:hAnsi="Calibri"/>
                <w:spacing w:val="9"/>
                <w:w w:val="105"/>
              </w:rPr>
              <w:t xml:space="preserve"> </w:t>
            </w:r>
            <w:r w:rsidR="00680C4D" w:rsidRPr="00EA7458">
              <w:rPr>
                <w:rFonts w:ascii="Calibri" w:hAnsi="Calibri"/>
                <w:w w:val="105"/>
              </w:rPr>
              <w:t>of</w:t>
            </w:r>
            <w:r w:rsidR="00680C4D" w:rsidRPr="00EA7458">
              <w:rPr>
                <w:rFonts w:ascii="Calibri" w:hAnsi="Calibri"/>
                <w:spacing w:val="9"/>
                <w:w w:val="105"/>
              </w:rPr>
              <w:t xml:space="preserve"> </w:t>
            </w:r>
            <w:r w:rsidR="00680C4D" w:rsidRPr="00EA7458">
              <w:rPr>
                <w:rFonts w:ascii="Calibri" w:hAnsi="Calibri"/>
                <w:w w:val="105"/>
              </w:rPr>
              <w:t>local</w:t>
            </w:r>
            <w:r w:rsidR="00680C4D" w:rsidRPr="00EA7458">
              <w:rPr>
                <w:rFonts w:ascii="Calibri" w:hAnsi="Calibri"/>
                <w:spacing w:val="9"/>
                <w:w w:val="105"/>
              </w:rPr>
              <w:t xml:space="preserve"> </w:t>
            </w:r>
            <w:r w:rsidR="00680C4D" w:rsidRPr="00EA7458">
              <w:rPr>
                <w:rFonts w:ascii="Calibri" w:hAnsi="Calibri"/>
                <w:w w:val="105"/>
              </w:rPr>
              <w:t>boards</w:t>
            </w:r>
            <w:r w:rsidR="00680C4D" w:rsidRPr="00EA7458">
              <w:rPr>
                <w:rFonts w:ascii="Calibri" w:hAnsi="Calibri"/>
                <w:spacing w:val="9"/>
                <w:w w:val="105"/>
              </w:rPr>
              <w:t xml:space="preserve"> </w:t>
            </w:r>
            <w:r w:rsidR="00680C4D" w:rsidRPr="00EA7458">
              <w:rPr>
                <w:rFonts w:ascii="Calibri" w:hAnsi="Calibri"/>
                <w:w w:val="105"/>
              </w:rPr>
              <w:t>and</w:t>
            </w:r>
            <w:r w:rsidR="00680C4D" w:rsidRPr="00EA7458">
              <w:rPr>
                <w:rFonts w:ascii="Calibri" w:hAnsi="Calibri"/>
                <w:spacing w:val="9"/>
                <w:w w:val="105"/>
              </w:rPr>
              <w:t xml:space="preserve"> </w:t>
            </w:r>
            <w:r w:rsidR="00680C4D" w:rsidRPr="00EA7458">
              <w:rPr>
                <w:rFonts w:ascii="Calibri" w:hAnsi="Calibri"/>
                <w:w w:val="105"/>
              </w:rPr>
              <w:t>chief</w:t>
            </w:r>
            <w:r w:rsidR="00680C4D" w:rsidRPr="00EA7458">
              <w:rPr>
                <w:rFonts w:ascii="Calibri" w:hAnsi="Calibri"/>
                <w:w w:val="106"/>
              </w:rPr>
              <w:t xml:space="preserve"> </w:t>
            </w:r>
            <w:r w:rsidR="00680C4D" w:rsidRPr="00EA7458">
              <w:rPr>
                <w:rFonts w:ascii="Calibri" w:hAnsi="Calibri"/>
                <w:w w:val="105"/>
              </w:rPr>
              <w:t>elected</w:t>
            </w:r>
            <w:r w:rsidR="00680C4D" w:rsidRPr="00EA7458">
              <w:rPr>
                <w:rFonts w:ascii="Calibri" w:hAnsi="Calibri"/>
                <w:spacing w:val="11"/>
                <w:w w:val="105"/>
              </w:rPr>
              <w:t xml:space="preserve"> </w:t>
            </w:r>
            <w:r w:rsidR="00680C4D" w:rsidRPr="00EA7458">
              <w:rPr>
                <w:rFonts w:ascii="Calibri" w:hAnsi="Calibri"/>
                <w:w w:val="105"/>
              </w:rPr>
              <w:t>officials,</w:t>
            </w:r>
            <w:r w:rsidR="00680C4D" w:rsidRPr="00EA7458">
              <w:rPr>
                <w:rFonts w:ascii="Calibri" w:hAnsi="Calibri"/>
                <w:spacing w:val="11"/>
                <w:w w:val="105"/>
              </w:rPr>
              <w:t xml:space="preserve"> </w:t>
            </w:r>
            <w:r w:rsidR="00680C4D" w:rsidRPr="00EA7458">
              <w:rPr>
                <w:rFonts w:ascii="Calibri" w:hAnsi="Calibri"/>
                <w:w w:val="105"/>
              </w:rPr>
              <w:t>businesses,</w:t>
            </w:r>
            <w:r w:rsidR="00680C4D" w:rsidRPr="00EA7458">
              <w:rPr>
                <w:rFonts w:ascii="Calibri" w:hAnsi="Calibri"/>
                <w:spacing w:val="11"/>
                <w:w w:val="105"/>
              </w:rPr>
              <w:t xml:space="preserve"> </w:t>
            </w:r>
            <w:r w:rsidR="00680C4D" w:rsidRPr="00EA7458">
              <w:rPr>
                <w:rFonts w:ascii="Calibri" w:hAnsi="Calibri"/>
                <w:w w:val="105"/>
              </w:rPr>
              <w:t>labor</w:t>
            </w:r>
            <w:r w:rsidR="00680C4D" w:rsidRPr="00EA7458">
              <w:rPr>
                <w:rFonts w:ascii="Calibri" w:hAnsi="Calibri"/>
                <w:spacing w:val="11"/>
                <w:w w:val="105"/>
              </w:rPr>
              <w:t xml:space="preserve"> </w:t>
            </w:r>
            <w:r w:rsidR="00680C4D" w:rsidRPr="00EA7458">
              <w:rPr>
                <w:rFonts w:ascii="Calibri" w:hAnsi="Calibri"/>
                <w:w w:val="105"/>
              </w:rPr>
              <w:t>organizations,</w:t>
            </w:r>
            <w:r w:rsidR="00680C4D" w:rsidRPr="00EA7458">
              <w:rPr>
                <w:rFonts w:ascii="Calibri" w:hAnsi="Calibri"/>
                <w:spacing w:val="11"/>
                <w:w w:val="105"/>
              </w:rPr>
              <w:t xml:space="preserve"> </w:t>
            </w:r>
            <w:r w:rsidR="00680C4D" w:rsidRPr="00EA7458">
              <w:rPr>
                <w:rFonts w:ascii="Calibri" w:hAnsi="Calibri"/>
                <w:w w:val="105"/>
              </w:rPr>
              <w:t>institutions</w:t>
            </w:r>
            <w:r w:rsidR="00680C4D" w:rsidRPr="00EA7458">
              <w:rPr>
                <w:rFonts w:ascii="Calibri" w:hAnsi="Calibri"/>
                <w:spacing w:val="11"/>
                <w:w w:val="105"/>
              </w:rPr>
              <w:t xml:space="preserve"> </w:t>
            </w:r>
            <w:r w:rsidR="00680C4D" w:rsidRPr="00EA7458">
              <w:rPr>
                <w:rFonts w:ascii="Calibri" w:hAnsi="Calibri"/>
                <w:w w:val="105"/>
              </w:rPr>
              <w:t>of</w:t>
            </w:r>
            <w:r w:rsidR="00680C4D" w:rsidRPr="00EA7458">
              <w:rPr>
                <w:rFonts w:ascii="Calibri" w:hAnsi="Calibri"/>
                <w:spacing w:val="11"/>
                <w:w w:val="105"/>
              </w:rPr>
              <w:t xml:space="preserve"> </w:t>
            </w:r>
            <w:r w:rsidR="00680C4D" w:rsidRPr="00EA7458">
              <w:rPr>
                <w:rFonts w:ascii="Calibri" w:hAnsi="Calibri"/>
                <w:w w:val="105"/>
              </w:rPr>
              <w:t>higher</w:t>
            </w:r>
            <w:r w:rsidR="00680C4D" w:rsidRPr="00EA7458">
              <w:rPr>
                <w:rFonts w:ascii="Calibri" w:hAnsi="Calibri"/>
                <w:spacing w:val="11"/>
                <w:w w:val="105"/>
              </w:rPr>
              <w:t xml:space="preserve"> </w:t>
            </w:r>
            <w:r w:rsidR="00680C4D" w:rsidRPr="00EA7458">
              <w:rPr>
                <w:rFonts w:ascii="Calibri" w:hAnsi="Calibri"/>
                <w:w w:val="105"/>
              </w:rPr>
              <w:t>education,</w:t>
            </w:r>
            <w:r w:rsidR="00680C4D" w:rsidRPr="00EA7458">
              <w:rPr>
                <w:rFonts w:ascii="Calibri" w:hAnsi="Calibri"/>
                <w:spacing w:val="11"/>
                <w:w w:val="105"/>
              </w:rPr>
              <w:t xml:space="preserve"> </w:t>
            </w:r>
            <w:r w:rsidR="00680C4D" w:rsidRPr="00EA7458">
              <w:rPr>
                <w:rFonts w:ascii="Calibri" w:hAnsi="Calibri"/>
                <w:w w:val="105"/>
              </w:rPr>
              <w:t>the</w:t>
            </w:r>
            <w:r w:rsidR="00680C4D" w:rsidRPr="00EA7458">
              <w:rPr>
                <w:rFonts w:ascii="Calibri" w:hAnsi="Calibri"/>
                <w:spacing w:val="11"/>
                <w:w w:val="105"/>
              </w:rPr>
              <w:t xml:space="preserve"> </w:t>
            </w:r>
            <w:r w:rsidR="00680C4D" w:rsidRPr="00EA7458">
              <w:rPr>
                <w:rFonts w:ascii="Calibri" w:hAnsi="Calibri"/>
                <w:w w:val="105"/>
              </w:rPr>
              <w:t>entities</w:t>
            </w:r>
            <w:r w:rsidR="00680C4D" w:rsidRPr="00EA7458">
              <w:rPr>
                <w:rFonts w:ascii="Calibri" w:hAnsi="Calibri"/>
                <w:spacing w:val="-7"/>
                <w:w w:val="105"/>
              </w:rPr>
              <w:t xml:space="preserve"> </w:t>
            </w:r>
            <w:r w:rsidR="00680C4D" w:rsidRPr="00EA7458">
              <w:rPr>
                <w:rFonts w:ascii="Calibri" w:hAnsi="Calibri"/>
                <w:w w:val="105"/>
              </w:rPr>
              <w:t>responsible for planning or a</w:t>
            </w:r>
            <w:r w:rsidR="00680C4D">
              <w:rPr>
                <w:rFonts w:ascii="Calibri" w:hAnsi="Calibri"/>
                <w:w w:val="105"/>
              </w:rPr>
              <w:t>dministering</w:t>
            </w:r>
            <w:r w:rsidR="00680C4D" w:rsidRPr="00EA7458">
              <w:rPr>
                <w:rFonts w:ascii="Calibri" w:hAnsi="Calibri"/>
                <w:w w:val="105"/>
              </w:rPr>
              <w:t xml:space="preserve"> the core programs and the other programs</w:t>
            </w:r>
            <w:r w:rsidR="00680C4D" w:rsidRPr="00EA7458">
              <w:rPr>
                <w:rFonts w:ascii="Calibri" w:hAnsi="Calibri"/>
                <w:spacing w:val="7"/>
                <w:w w:val="105"/>
              </w:rPr>
              <w:t xml:space="preserve"> </w:t>
            </w:r>
            <w:r w:rsidR="00680C4D" w:rsidRPr="00EA7458">
              <w:rPr>
                <w:rFonts w:ascii="Calibri" w:hAnsi="Calibri"/>
                <w:w w:val="105"/>
              </w:rPr>
              <w:t>included</w:t>
            </w:r>
            <w:r w:rsidR="00680C4D" w:rsidRPr="00EA7458">
              <w:rPr>
                <w:rFonts w:ascii="Calibri" w:hAnsi="Calibri"/>
                <w:spacing w:val="7"/>
                <w:w w:val="105"/>
              </w:rPr>
              <w:t xml:space="preserve"> </w:t>
            </w:r>
            <w:r w:rsidR="00680C4D" w:rsidRPr="00EA7458">
              <w:rPr>
                <w:rFonts w:ascii="Calibri" w:hAnsi="Calibri"/>
                <w:w w:val="105"/>
              </w:rPr>
              <w:t>in</w:t>
            </w:r>
            <w:r w:rsidR="00680C4D" w:rsidRPr="00EA7458">
              <w:rPr>
                <w:rFonts w:ascii="Calibri" w:hAnsi="Calibri"/>
                <w:spacing w:val="7"/>
                <w:w w:val="105"/>
              </w:rPr>
              <w:t xml:space="preserve"> </w:t>
            </w:r>
            <w:r w:rsidR="00680C4D" w:rsidRPr="00EA7458">
              <w:rPr>
                <w:rFonts w:ascii="Calibri" w:hAnsi="Calibri"/>
                <w:w w:val="105"/>
              </w:rPr>
              <w:t>the</w:t>
            </w:r>
            <w:r w:rsidR="00680C4D" w:rsidRPr="00EA7458">
              <w:rPr>
                <w:rFonts w:ascii="Calibri" w:hAnsi="Calibri"/>
                <w:spacing w:val="7"/>
                <w:w w:val="105"/>
              </w:rPr>
              <w:t xml:space="preserve"> </w:t>
            </w:r>
            <w:r w:rsidR="000716EA">
              <w:rPr>
                <w:rFonts w:ascii="Calibri" w:hAnsi="Calibri"/>
                <w:w w:val="105"/>
              </w:rPr>
              <w:t>s</w:t>
            </w:r>
            <w:r w:rsidR="00680C4D" w:rsidRPr="00EA7458">
              <w:rPr>
                <w:rFonts w:ascii="Calibri" w:hAnsi="Calibri"/>
                <w:w w:val="105"/>
              </w:rPr>
              <w:t>tate</w:t>
            </w:r>
            <w:r w:rsidR="00680C4D" w:rsidRPr="00EA7458">
              <w:rPr>
                <w:rFonts w:ascii="Calibri" w:hAnsi="Calibri"/>
                <w:spacing w:val="7"/>
                <w:w w:val="105"/>
              </w:rPr>
              <w:t xml:space="preserve"> </w:t>
            </w:r>
            <w:r w:rsidR="000716EA">
              <w:rPr>
                <w:rFonts w:ascii="Calibri" w:hAnsi="Calibri"/>
                <w:w w:val="105"/>
              </w:rPr>
              <w:t>p</w:t>
            </w:r>
            <w:r w:rsidR="00680C4D" w:rsidRPr="00EA7458">
              <w:rPr>
                <w:rFonts w:ascii="Calibri" w:hAnsi="Calibri"/>
                <w:w w:val="105"/>
              </w:rPr>
              <w:t>lan,</w:t>
            </w:r>
            <w:r w:rsidR="00680C4D" w:rsidRPr="00EA7458">
              <w:rPr>
                <w:rFonts w:ascii="Calibri" w:hAnsi="Calibri"/>
                <w:spacing w:val="7"/>
                <w:w w:val="105"/>
              </w:rPr>
              <w:t xml:space="preserve"> </w:t>
            </w:r>
            <w:r w:rsidR="00680C4D" w:rsidRPr="00EA7458">
              <w:rPr>
                <w:rFonts w:ascii="Calibri" w:hAnsi="Calibri"/>
                <w:w w:val="105"/>
              </w:rPr>
              <w:t>other</w:t>
            </w:r>
            <w:r w:rsidR="00680C4D" w:rsidRPr="00EA7458">
              <w:rPr>
                <w:rFonts w:ascii="Calibri" w:hAnsi="Calibri"/>
                <w:spacing w:val="14"/>
                <w:w w:val="105"/>
              </w:rPr>
              <w:t xml:space="preserve"> </w:t>
            </w:r>
            <w:r w:rsidR="00680C4D" w:rsidRPr="00EA7458">
              <w:rPr>
                <w:rFonts w:ascii="Calibri" w:hAnsi="Calibri"/>
                <w:w w:val="105"/>
              </w:rPr>
              <w:t>primary</w:t>
            </w:r>
            <w:r w:rsidR="00680C4D" w:rsidRPr="00EA7458">
              <w:rPr>
                <w:rFonts w:ascii="Calibri" w:hAnsi="Calibri"/>
                <w:spacing w:val="14"/>
                <w:w w:val="105"/>
              </w:rPr>
              <w:t xml:space="preserve"> </w:t>
            </w:r>
            <w:r w:rsidR="00680C4D" w:rsidRPr="00EA7458">
              <w:rPr>
                <w:rFonts w:ascii="Calibri" w:hAnsi="Calibri"/>
                <w:w w:val="105"/>
              </w:rPr>
              <w:t xml:space="preserve">stakeholders, </w:t>
            </w:r>
            <w:r w:rsidR="00680C4D" w:rsidRPr="00EA7458">
              <w:rPr>
                <w:rFonts w:ascii="Calibri" w:hAnsi="Calibri"/>
                <w:spacing w:val="14"/>
                <w:w w:val="105"/>
              </w:rPr>
              <w:t xml:space="preserve"> </w:t>
            </w:r>
            <w:r w:rsidR="00680C4D" w:rsidRPr="00EA7458">
              <w:rPr>
                <w:rFonts w:ascii="Calibri" w:hAnsi="Calibri"/>
                <w:w w:val="105"/>
              </w:rPr>
              <w:t xml:space="preserve">and </w:t>
            </w:r>
            <w:r w:rsidR="00680C4D" w:rsidRPr="00EA7458">
              <w:rPr>
                <w:rFonts w:ascii="Calibri" w:hAnsi="Calibri"/>
                <w:spacing w:val="14"/>
                <w:w w:val="105"/>
              </w:rPr>
              <w:t xml:space="preserve"> </w:t>
            </w:r>
            <w:r w:rsidR="00680C4D" w:rsidRPr="00EA7458">
              <w:rPr>
                <w:rFonts w:ascii="Calibri" w:hAnsi="Calibri"/>
                <w:w w:val="105"/>
              </w:rPr>
              <w:t xml:space="preserve">the </w:t>
            </w:r>
            <w:r w:rsidR="00680C4D" w:rsidRPr="00EA7458">
              <w:rPr>
                <w:rFonts w:ascii="Calibri" w:hAnsi="Calibri"/>
                <w:spacing w:val="14"/>
                <w:w w:val="105"/>
              </w:rPr>
              <w:t xml:space="preserve"> </w:t>
            </w:r>
            <w:r w:rsidR="00680C4D" w:rsidRPr="00EA7458">
              <w:rPr>
                <w:rFonts w:ascii="Calibri" w:hAnsi="Calibri"/>
                <w:w w:val="105"/>
              </w:rPr>
              <w:t xml:space="preserve">general </w:t>
            </w:r>
            <w:r w:rsidR="00680C4D" w:rsidRPr="00EA7458">
              <w:rPr>
                <w:rFonts w:ascii="Calibri" w:hAnsi="Calibri"/>
                <w:spacing w:val="14"/>
                <w:w w:val="105"/>
              </w:rPr>
              <w:t xml:space="preserve"> </w:t>
            </w:r>
            <w:r w:rsidR="00680C4D" w:rsidRPr="00EA7458">
              <w:rPr>
                <w:rFonts w:ascii="Calibri" w:hAnsi="Calibri"/>
                <w:w w:val="105"/>
              </w:rPr>
              <w:t>public</w:t>
            </w:r>
            <w:r w:rsidR="00D5537E">
              <w:rPr>
                <w:rFonts w:ascii="Calibri" w:hAnsi="Calibri"/>
                <w:w w:val="105"/>
              </w:rPr>
              <w:t xml:space="preserve"> and</w:t>
            </w:r>
            <w:r w:rsidR="00680C4D" w:rsidRPr="00EA7458">
              <w:rPr>
                <w:rFonts w:ascii="Calibri" w:hAnsi="Calibri"/>
                <w:spacing w:val="12"/>
                <w:w w:val="105"/>
              </w:rPr>
              <w:t xml:space="preserve"> </w:t>
            </w:r>
            <w:r w:rsidR="00680C4D" w:rsidRPr="00EA7458">
              <w:rPr>
                <w:rFonts w:ascii="Calibri" w:hAnsi="Calibri"/>
                <w:w w:val="105"/>
              </w:rPr>
              <w:t>that</w:t>
            </w:r>
            <w:r w:rsidR="00680C4D" w:rsidRPr="00EA7458">
              <w:rPr>
                <w:rFonts w:ascii="Calibri" w:hAnsi="Calibri"/>
                <w:spacing w:val="12"/>
                <w:w w:val="105"/>
              </w:rPr>
              <w:t xml:space="preserve"> </w:t>
            </w:r>
            <w:r w:rsidR="00680C4D" w:rsidRPr="00EA7458">
              <w:rPr>
                <w:rFonts w:ascii="Calibri" w:hAnsi="Calibri"/>
                <w:w w:val="105"/>
              </w:rPr>
              <w:t>the</w:t>
            </w:r>
            <w:r w:rsidR="00680C4D" w:rsidRPr="00EA7458">
              <w:rPr>
                <w:rFonts w:ascii="Calibri" w:hAnsi="Calibri"/>
                <w:spacing w:val="12"/>
                <w:w w:val="105"/>
              </w:rPr>
              <w:t xml:space="preserve"> </w:t>
            </w:r>
            <w:r w:rsidR="006B18B2">
              <w:rPr>
                <w:rFonts w:ascii="Calibri" w:hAnsi="Calibri"/>
                <w:w w:val="105"/>
              </w:rPr>
              <w:t>u</w:t>
            </w:r>
            <w:r w:rsidR="00680C4D" w:rsidRPr="00EA7458">
              <w:rPr>
                <w:rFonts w:ascii="Calibri" w:hAnsi="Calibri"/>
                <w:w w:val="105"/>
              </w:rPr>
              <w:t>nified</w:t>
            </w:r>
            <w:r w:rsidR="00680C4D" w:rsidRPr="00EA7458">
              <w:rPr>
                <w:rFonts w:ascii="Calibri" w:hAnsi="Calibri"/>
                <w:spacing w:val="12"/>
                <w:w w:val="105"/>
              </w:rPr>
              <w:t xml:space="preserve"> </w:t>
            </w:r>
            <w:r w:rsidR="006B18B2">
              <w:rPr>
                <w:rFonts w:ascii="Calibri" w:hAnsi="Calibri"/>
                <w:w w:val="105"/>
              </w:rPr>
              <w:t>p</w:t>
            </w:r>
            <w:r w:rsidR="00680C4D" w:rsidRPr="00EA7458">
              <w:rPr>
                <w:rFonts w:ascii="Calibri" w:hAnsi="Calibri"/>
                <w:w w:val="105"/>
              </w:rPr>
              <w:t>lan</w:t>
            </w:r>
            <w:r w:rsidR="00680C4D" w:rsidRPr="00EA7458">
              <w:rPr>
                <w:rFonts w:ascii="Calibri" w:hAnsi="Calibri"/>
                <w:spacing w:val="12"/>
                <w:w w:val="105"/>
              </w:rPr>
              <w:t xml:space="preserve"> </w:t>
            </w:r>
            <w:r w:rsidR="00680C4D" w:rsidRPr="00EA7458">
              <w:rPr>
                <w:rFonts w:ascii="Calibri" w:hAnsi="Calibri"/>
                <w:w w:val="105"/>
              </w:rPr>
              <w:t>is</w:t>
            </w:r>
            <w:r w:rsidR="00680C4D" w:rsidRPr="00EA7458">
              <w:rPr>
                <w:rFonts w:ascii="Calibri" w:hAnsi="Calibri"/>
                <w:spacing w:val="12"/>
                <w:w w:val="105"/>
              </w:rPr>
              <w:t xml:space="preserve"> </w:t>
            </w:r>
            <w:r w:rsidR="00680C4D" w:rsidRPr="00EA7458">
              <w:rPr>
                <w:rFonts w:ascii="Calibri" w:hAnsi="Calibri"/>
                <w:w w:val="105"/>
              </w:rPr>
              <w:t>available</w:t>
            </w:r>
            <w:r w:rsidR="00680C4D" w:rsidRPr="00EA7458">
              <w:rPr>
                <w:rFonts w:ascii="Calibri" w:hAnsi="Calibri"/>
                <w:spacing w:val="12"/>
                <w:w w:val="105"/>
              </w:rPr>
              <w:t xml:space="preserve"> </w:t>
            </w:r>
            <w:r w:rsidR="00680C4D" w:rsidRPr="00EA7458">
              <w:rPr>
                <w:rFonts w:ascii="Calibri" w:hAnsi="Calibri"/>
                <w:w w:val="105"/>
              </w:rPr>
              <w:t>and</w:t>
            </w:r>
            <w:r w:rsidR="00680C4D" w:rsidRPr="00EA7458">
              <w:rPr>
                <w:rFonts w:ascii="Calibri" w:hAnsi="Calibri"/>
                <w:spacing w:val="12"/>
                <w:w w:val="105"/>
              </w:rPr>
              <w:t xml:space="preserve"> </w:t>
            </w:r>
            <w:r w:rsidR="00680C4D" w:rsidRPr="00EA7458">
              <w:rPr>
                <w:rFonts w:ascii="Calibri" w:hAnsi="Calibri"/>
                <w:w w:val="105"/>
              </w:rPr>
              <w:t>accessible</w:t>
            </w:r>
            <w:r w:rsidR="00680C4D" w:rsidRPr="00EA7458">
              <w:rPr>
                <w:rFonts w:ascii="Calibri" w:hAnsi="Calibri"/>
                <w:spacing w:val="12"/>
                <w:w w:val="105"/>
              </w:rPr>
              <w:t xml:space="preserve"> </w:t>
            </w:r>
            <w:r w:rsidR="00680C4D" w:rsidRPr="00EA7458">
              <w:rPr>
                <w:rFonts w:ascii="Calibri" w:hAnsi="Calibri"/>
                <w:w w:val="105"/>
              </w:rPr>
              <w:t>to</w:t>
            </w:r>
            <w:r w:rsidR="00680C4D" w:rsidRPr="00EA7458">
              <w:rPr>
                <w:rFonts w:ascii="Calibri" w:hAnsi="Calibri"/>
                <w:spacing w:val="12"/>
                <w:w w:val="105"/>
              </w:rPr>
              <w:t xml:space="preserve"> </w:t>
            </w:r>
            <w:r w:rsidR="00680C4D" w:rsidRPr="00EA7458">
              <w:rPr>
                <w:rFonts w:ascii="Calibri" w:hAnsi="Calibri"/>
                <w:w w:val="105"/>
              </w:rPr>
              <w:t>the</w:t>
            </w:r>
            <w:r w:rsidR="00680C4D" w:rsidRPr="00EA7458">
              <w:rPr>
                <w:rFonts w:ascii="Calibri" w:hAnsi="Calibri"/>
                <w:spacing w:val="12"/>
                <w:w w:val="105"/>
              </w:rPr>
              <w:t xml:space="preserve"> </w:t>
            </w:r>
            <w:r w:rsidR="00680C4D" w:rsidRPr="00EA7458">
              <w:rPr>
                <w:rFonts w:ascii="Calibri" w:hAnsi="Calibri"/>
                <w:w w:val="105"/>
              </w:rPr>
              <w:t>general</w:t>
            </w:r>
            <w:r w:rsidR="00680C4D" w:rsidRPr="00EA7458">
              <w:rPr>
                <w:rFonts w:ascii="Calibri" w:hAnsi="Calibri"/>
                <w:spacing w:val="12"/>
                <w:w w:val="105"/>
              </w:rPr>
              <w:t xml:space="preserve"> </w:t>
            </w:r>
            <w:r w:rsidR="00680C4D" w:rsidRPr="00EA7458">
              <w:rPr>
                <w:rFonts w:ascii="Calibri" w:hAnsi="Calibri"/>
                <w:w w:val="105"/>
              </w:rPr>
              <w:t>public;</w:t>
            </w:r>
          </w:p>
          <w:p w14:paraId="48B080D8" w14:textId="77777777" w:rsidR="00680C4D" w:rsidRPr="00EA7458" w:rsidRDefault="00680C4D" w:rsidP="00D63204">
            <w:pPr>
              <w:widowControl w:val="0"/>
              <w:spacing w:before="5" w:after="0" w:line="240" w:lineRule="auto"/>
              <w:rPr>
                <w:rFonts w:ascii="Times New Roman" w:hAnsi="Times New Roman"/>
                <w:sz w:val="17"/>
                <w:szCs w:val="17"/>
              </w:rPr>
            </w:pPr>
          </w:p>
          <w:p w14:paraId="364BB264" w14:textId="04DDAF8F" w:rsidR="00680C4D" w:rsidRPr="00EA7458" w:rsidRDefault="00F8286F" w:rsidP="00D63204">
            <w:pPr>
              <w:widowControl w:val="0"/>
              <w:numPr>
                <w:ilvl w:val="0"/>
                <w:numId w:val="5"/>
              </w:numPr>
              <w:tabs>
                <w:tab w:val="left" w:pos="370"/>
              </w:tabs>
              <w:spacing w:after="0" w:line="264" w:lineRule="exact"/>
              <w:ind w:right="486"/>
              <w:rPr>
                <w:rFonts w:ascii="Calibri" w:hAnsi="Calibri" w:cs="Calibri"/>
              </w:rPr>
            </w:pPr>
            <w:r>
              <w:rPr>
                <w:rFonts w:ascii="Calibri" w:hAnsi="Calibri"/>
                <w:w w:val="105"/>
              </w:rPr>
              <w:t xml:space="preserve">(b)  </w:t>
            </w:r>
            <w:r w:rsidR="00680C4D" w:rsidRPr="00EA7458">
              <w:rPr>
                <w:rFonts w:ascii="Calibri" w:hAnsi="Calibri"/>
                <w:w w:val="105"/>
              </w:rPr>
              <w:t xml:space="preserve">The </w:t>
            </w:r>
            <w:r w:rsidR="000716EA">
              <w:rPr>
                <w:rFonts w:ascii="Calibri" w:hAnsi="Calibri"/>
                <w:w w:val="105"/>
              </w:rPr>
              <w:t>s</w:t>
            </w:r>
            <w:r w:rsidR="00680C4D" w:rsidRPr="00EA7458">
              <w:rPr>
                <w:rFonts w:ascii="Calibri" w:hAnsi="Calibri"/>
                <w:w w:val="105"/>
              </w:rPr>
              <w:t xml:space="preserve">tate provided an opportunity for review and comment on the plan by the </w:t>
            </w:r>
            <w:r w:rsidR="000716EA">
              <w:rPr>
                <w:rFonts w:ascii="Calibri" w:hAnsi="Calibri"/>
                <w:w w:val="105"/>
              </w:rPr>
              <w:t>s</w:t>
            </w:r>
            <w:r w:rsidR="00680C4D" w:rsidRPr="00EA7458">
              <w:rPr>
                <w:rFonts w:ascii="Calibri" w:hAnsi="Calibri"/>
                <w:w w:val="105"/>
              </w:rPr>
              <w:t>tate</w:t>
            </w:r>
            <w:r w:rsidR="00680C4D" w:rsidRPr="00EA7458">
              <w:rPr>
                <w:rFonts w:ascii="Calibri" w:hAnsi="Calibri"/>
                <w:spacing w:val="32"/>
                <w:w w:val="105"/>
              </w:rPr>
              <w:t xml:space="preserve"> </w:t>
            </w:r>
            <w:r w:rsidR="00ED06E0">
              <w:rPr>
                <w:rFonts w:ascii="Calibri" w:hAnsi="Calibri"/>
                <w:spacing w:val="32"/>
                <w:w w:val="105"/>
              </w:rPr>
              <w:t>b</w:t>
            </w:r>
            <w:r w:rsidR="00680C4D" w:rsidRPr="00EA7458">
              <w:rPr>
                <w:rFonts w:ascii="Calibri" w:hAnsi="Calibri"/>
                <w:w w:val="105"/>
              </w:rPr>
              <w:t>oard,</w:t>
            </w:r>
            <w:r w:rsidR="00680C4D" w:rsidRPr="00EA7458">
              <w:rPr>
                <w:rFonts w:ascii="Calibri" w:hAnsi="Calibri"/>
                <w:w w:val="107"/>
              </w:rPr>
              <w:t xml:space="preserve"> </w:t>
            </w:r>
            <w:r w:rsidR="00680C4D" w:rsidRPr="00EA7458">
              <w:rPr>
                <w:rFonts w:ascii="Calibri" w:hAnsi="Calibri"/>
                <w:w w:val="105"/>
              </w:rPr>
              <w:t>including</w:t>
            </w:r>
            <w:r w:rsidR="00680C4D" w:rsidRPr="00EA7458">
              <w:rPr>
                <w:rFonts w:ascii="Calibri" w:hAnsi="Calibri"/>
                <w:spacing w:val="13"/>
                <w:w w:val="105"/>
              </w:rPr>
              <w:t xml:space="preserve"> </w:t>
            </w:r>
            <w:r w:rsidR="00A7670E">
              <w:rPr>
                <w:rFonts w:ascii="Calibri" w:hAnsi="Calibri"/>
                <w:w w:val="105"/>
              </w:rPr>
              <w:t>state</w:t>
            </w:r>
            <w:r w:rsidR="00680C4D" w:rsidRPr="00EA7458">
              <w:rPr>
                <w:rFonts w:ascii="Calibri" w:hAnsi="Calibri"/>
                <w:spacing w:val="13"/>
                <w:w w:val="105"/>
              </w:rPr>
              <w:t xml:space="preserve"> </w:t>
            </w:r>
            <w:r w:rsidR="00680C4D" w:rsidRPr="00EA7458">
              <w:rPr>
                <w:rFonts w:ascii="Calibri" w:hAnsi="Calibri"/>
                <w:w w:val="105"/>
              </w:rPr>
              <w:t>agency</w:t>
            </w:r>
            <w:r w:rsidR="00680C4D" w:rsidRPr="00EA7458">
              <w:rPr>
                <w:rFonts w:ascii="Calibri" w:hAnsi="Calibri"/>
                <w:spacing w:val="13"/>
                <w:w w:val="105"/>
              </w:rPr>
              <w:t xml:space="preserve"> </w:t>
            </w:r>
            <w:r w:rsidR="00680C4D" w:rsidRPr="00EA7458">
              <w:rPr>
                <w:rFonts w:ascii="Calibri" w:hAnsi="Calibri"/>
                <w:w w:val="105"/>
              </w:rPr>
              <w:t>official(s)</w:t>
            </w:r>
            <w:r w:rsidR="00680C4D" w:rsidRPr="00EA7458">
              <w:rPr>
                <w:rFonts w:ascii="Calibri" w:hAnsi="Calibri"/>
                <w:spacing w:val="13"/>
                <w:w w:val="105"/>
              </w:rPr>
              <w:t xml:space="preserve"> </w:t>
            </w:r>
            <w:r w:rsidR="00680C4D" w:rsidRPr="00EA7458">
              <w:rPr>
                <w:rFonts w:ascii="Calibri" w:hAnsi="Calibri"/>
                <w:w w:val="105"/>
              </w:rPr>
              <w:t>for</w:t>
            </w:r>
            <w:r w:rsidR="00680C4D" w:rsidRPr="00EA7458">
              <w:rPr>
                <w:rFonts w:ascii="Calibri" w:hAnsi="Calibri"/>
                <w:spacing w:val="13"/>
                <w:w w:val="105"/>
              </w:rPr>
              <w:t xml:space="preserve"> </w:t>
            </w:r>
            <w:r w:rsidR="00680C4D" w:rsidRPr="00EA7458">
              <w:rPr>
                <w:rFonts w:ascii="Calibri" w:hAnsi="Calibri"/>
                <w:w w:val="105"/>
              </w:rPr>
              <w:t>the</w:t>
            </w:r>
            <w:r w:rsidR="00680C4D" w:rsidRPr="00EA7458">
              <w:rPr>
                <w:rFonts w:ascii="Calibri" w:hAnsi="Calibri"/>
                <w:spacing w:val="13"/>
                <w:w w:val="105"/>
              </w:rPr>
              <w:t xml:space="preserve"> </w:t>
            </w:r>
            <w:r w:rsidR="00680C4D" w:rsidRPr="00EA7458">
              <w:rPr>
                <w:rFonts w:ascii="Calibri" w:hAnsi="Calibri"/>
                <w:w w:val="105"/>
              </w:rPr>
              <w:t>Unemployment</w:t>
            </w:r>
            <w:r w:rsidR="00680C4D" w:rsidRPr="00EA7458">
              <w:rPr>
                <w:rFonts w:ascii="Calibri" w:hAnsi="Calibri"/>
                <w:spacing w:val="13"/>
                <w:w w:val="105"/>
              </w:rPr>
              <w:t xml:space="preserve"> </w:t>
            </w:r>
            <w:r w:rsidR="00680C4D" w:rsidRPr="00EA7458">
              <w:rPr>
                <w:rFonts w:ascii="Calibri" w:hAnsi="Calibri"/>
                <w:w w:val="105"/>
              </w:rPr>
              <w:t>Insurance</w:t>
            </w:r>
            <w:r w:rsidR="00680C4D" w:rsidRPr="00EA7458">
              <w:rPr>
                <w:rFonts w:ascii="Calibri" w:hAnsi="Calibri"/>
                <w:spacing w:val="13"/>
                <w:w w:val="105"/>
              </w:rPr>
              <w:t xml:space="preserve"> </w:t>
            </w:r>
            <w:r w:rsidR="00680C4D" w:rsidRPr="00EA7458">
              <w:rPr>
                <w:rFonts w:ascii="Calibri" w:hAnsi="Calibri"/>
                <w:w w:val="105"/>
              </w:rPr>
              <w:t>Agency</w:t>
            </w:r>
            <w:r w:rsidR="00680C4D" w:rsidRPr="00EA7458">
              <w:rPr>
                <w:rFonts w:ascii="Calibri" w:hAnsi="Calibri"/>
                <w:spacing w:val="13"/>
                <w:w w:val="105"/>
              </w:rPr>
              <w:t xml:space="preserve"> </w:t>
            </w:r>
            <w:r w:rsidR="00680C4D" w:rsidRPr="00EA7458">
              <w:rPr>
                <w:rFonts w:ascii="Calibri" w:hAnsi="Calibri"/>
                <w:w w:val="105"/>
              </w:rPr>
              <w:t>if</w:t>
            </w:r>
            <w:r w:rsidR="00680C4D" w:rsidRPr="00EA7458">
              <w:rPr>
                <w:rFonts w:ascii="Calibri" w:hAnsi="Calibri"/>
                <w:spacing w:val="13"/>
                <w:w w:val="105"/>
              </w:rPr>
              <w:t xml:space="preserve"> </w:t>
            </w:r>
            <w:r w:rsidR="00680C4D" w:rsidRPr="00EA7458">
              <w:rPr>
                <w:rFonts w:ascii="Calibri" w:hAnsi="Calibri"/>
                <w:w w:val="105"/>
              </w:rPr>
              <w:t>such</w:t>
            </w:r>
            <w:r w:rsidR="00680C4D" w:rsidRPr="00EA7458">
              <w:rPr>
                <w:rFonts w:ascii="Calibri" w:hAnsi="Calibri"/>
                <w:spacing w:val="13"/>
                <w:w w:val="105"/>
              </w:rPr>
              <w:t xml:space="preserve"> </w:t>
            </w:r>
            <w:r w:rsidR="00680C4D" w:rsidRPr="00EA7458">
              <w:rPr>
                <w:rFonts w:ascii="Calibri" w:hAnsi="Calibri"/>
                <w:w w:val="105"/>
              </w:rPr>
              <w:t>official(s)</w:t>
            </w:r>
            <w:r w:rsidR="00680C4D" w:rsidRPr="00EA7458">
              <w:rPr>
                <w:rFonts w:ascii="Calibri" w:hAnsi="Calibri"/>
                <w:spacing w:val="13"/>
                <w:w w:val="105"/>
              </w:rPr>
              <w:t xml:space="preserve"> </w:t>
            </w:r>
            <w:r w:rsidR="00680C4D" w:rsidRPr="00EA7458">
              <w:rPr>
                <w:rFonts w:ascii="Calibri" w:hAnsi="Calibri"/>
                <w:w w:val="105"/>
              </w:rPr>
              <w:t>is</w:t>
            </w:r>
            <w:r w:rsidR="00680C4D" w:rsidRPr="00EA7458">
              <w:rPr>
                <w:rFonts w:ascii="Calibri" w:hAnsi="Calibri"/>
                <w:spacing w:val="13"/>
                <w:w w:val="105"/>
              </w:rPr>
              <w:t xml:space="preserve"> </w:t>
            </w:r>
            <w:r w:rsidR="00680C4D" w:rsidRPr="00EA7458">
              <w:rPr>
                <w:rFonts w:ascii="Calibri" w:hAnsi="Calibri"/>
                <w:w w:val="105"/>
              </w:rPr>
              <w:t>a</w:t>
            </w:r>
            <w:r w:rsidR="00680C4D" w:rsidRPr="00EA7458">
              <w:rPr>
                <w:rFonts w:ascii="Calibri" w:hAnsi="Calibri"/>
                <w:w w:val="110"/>
              </w:rPr>
              <w:t xml:space="preserve"> </w:t>
            </w:r>
            <w:r w:rsidR="00680C4D" w:rsidRPr="00EA7458">
              <w:rPr>
                <w:rFonts w:ascii="Calibri" w:hAnsi="Calibri"/>
                <w:w w:val="105"/>
              </w:rPr>
              <w:t xml:space="preserve">member of the </w:t>
            </w:r>
            <w:r w:rsidR="00ED06E0">
              <w:rPr>
                <w:rFonts w:ascii="Calibri" w:hAnsi="Calibri"/>
                <w:w w:val="105"/>
              </w:rPr>
              <w:t>s</w:t>
            </w:r>
            <w:r w:rsidR="00680C4D" w:rsidRPr="00EA7458">
              <w:rPr>
                <w:rFonts w:ascii="Calibri" w:hAnsi="Calibri"/>
                <w:w w:val="105"/>
              </w:rPr>
              <w:t>tate</w:t>
            </w:r>
            <w:r w:rsidR="00680C4D" w:rsidRPr="00EA7458">
              <w:rPr>
                <w:rFonts w:ascii="Calibri" w:hAnsi="Calibri"/>
                <w:spacing w:val="18"/>
                <w:w w:val="105"/>
              </w:rPr>
              <w:t xml:space="preserve"> </w:t>
            </w:r>
            <w:r w:rsidR="00ED06E0">
              <w:rPr>
                <w:rFonts w:ascii="Calibri" w:hAnsi="Calibri"/>
                <w:w w:val="105"/>
              </w:rPr>
              <w:t>b</w:t>
            </w:r>
            <w:r w:rsidR="00680C4D" w:rsidRPr="00EA7458">
              <w:rPr>
                <w:rFonts w:ascii="Calibri" w:hAnsi="Calibri"/>
                <w:w w:val="105"/>
              </w:rPr>
              <w:t>oard;</w:t>
            </w:r>
          </w:p>
          <w:p w14:paraId="11076A97" w14:textId="77777777" w:rsidR="00680C4D" w:rsidRPr="00EA7458" w:rsidRDefault="00680C4D" w:rsidP="00D63204">
            <w:pPr>
              <w:widowControl w:val="0"/>
              <w:spacing w:before="5" w:after="0" w:line="240" w:lineRule="auto"/>
              <w:rPr>
                <w:rFonts w:ascii="Times New Roman" w:hAnsi="Times New Roman"/>
                <w:sz w:val="17"/>
                <w:szCs w:val="17"/>
              </w:rPr>
            </w:pPr>
          </w:p>
          <w:p w14:paraId="096CB145" w14:textId="05441EF8" w:rsidR="00EA7458" w:rsidRPr="00EA7458" w:rsidRDefault="00EA7458" w:rsidP="00D63204">
            <w:pPr>
              <w:widowControl w:val="0"/>
              <w:spacing w:after="0" w:line="264" w:lineRule="exact"/>
              <w:ind w:left="77" w:right="289"/>
              <w:rPr>
                <w:rFonts w:ascii="Calibri" w:hAnsi="Calibri" w:cs="Calibri"/>
              </w:rPr>
            </w:pPr>
          </w:p>
        </w:tc>
      </w:tr>
      <w:tr w:rsidR="00EA7458" w:rsidRPr="00EA7458" w14:paraId="0BC2E0C4" w14:textId="77777777" w:rsidTr="00E65FFA">
        <w:trPr>
          <w:trHeight w:hRule="exact" w:val="1126"/>
        </w:trPr>
        <w:tc>
          <w:tcPr>
            <w:tcW w:w="558" w:type="dxa"/>
            <w:tcBorders>
              <w:top w:val="single" w:sz="2" w:space="0" w:color="231F20"/>
              <w:left w:val="single" w:sz="2" w:space="0" w:color="231F20"/>
              <w:bottom w:val="single" w:sz="2" w:space="0" w:color="231F20"/>
              <w:right w:val="single" w:sz="2" w:space="0" w:color="231F20"/>
            </w:tcBorders>
            <w:shd w:val="clear" w:color="auto" w:fill="E6E7E8"/>
          </w:tcPr>
          <w:p w14:paraId="0FC15B09" w14:textId="77777777" w:rsidR="00EA7458" w:rsidRPr="00EA7458" w:rsidRDefault="00EA7458" w:rsidP="00EA7458">
            <w:pPr>
              <w:widowControl w:val="0"/>
              <w:spacing w:before="42" w:after="0" w:line="240" w:lineRule="auto"/>
              <w:ind w:left="77"/>
              <w:rPr>
                <w:rFonts w:ascii="Calibri" w:hAnsi="Calibri" w:cs="Calibri"/>
              </w:rPr>
            </w:pPr>
            <w:r w:rsidRPr="00EA7458">
              <w:rPr>
                <w:rFonts w:ascii="Calibri" w:hAnsi="Calibri"/>
                <w:color w:val="231F20"/>
                <w:w w:val="110"/>
              </w:rPr>
              <w:t>5.</w:t>
            </w:r>
          </w:p>
        </w:tc>
        <w:tc>
          <w:tcPr>
            <w:tcW w:w="9602" w:type="dxa"/>
            <w:tcBorders>
              <w:top w:val="single" w:sz="2" w:space="0" w:color="231F20"/>
              <w:left w:val="single" w:sz="2" w:space="0" w:color="231F20"/>
              <w:bottom w:val="single" w:sz="2" w:space="0" w:color="231F20"/>
              <w:right w:val="single" w:sz="2" w:space="0" w:color="231F20"/>
            </w:tcBorders>
            <w:shd w:val="clear" w:color="auto" w:fill="E6E7E8"/>
          </w:tcPr>
          <w:p w14:paraId="07CE2DE2" w14:textId="60AEED29" w:rsidR="00EA7458" w:rsidRPr="00EA7458" w:rsidRDefault="00EA7458" w:rsidP="00D63204">
            <w:pPr>
              <w:widowControl w:val="0"/>
              <w:spacing w:before="40" w:after="0" w:line="264" w:lineRule="exact"/>
              <w:ind w:left="77" w:right="112"/>
              <w:rPr>
                <w:rFonts w:ascii="Calibri" w:hAnsi="Calibri" w:cs="Calibri"/>
              </w:rPr>
            </w:pPr>
            <w:r w:rsidRPr="00EA7458">
              <w:rPr>
                <w:rFonts w:ascii="Calibri" w:hAnsi="Calibri"/>
                <w:w w:val="105"/>
              </w:rPr>
              <w:t>The</w:t>
            </w:r>
            <w:r w:rsidRPr="00EA7458">
              <w:rPr>
                <w:rFonts w:ascii="Calibri" w:hAnsi="Calibri"/>
                <w:spacing w:val="6"/>
                <w:w w:val="105"/>
              </w:rPr>
              <w:t xml:space="preserve"> </w:t>
            </w:r>
            <w:r w:rsidR="00BD3F43">
              <w:rPr>
                <w:rFonts w:ascii="Calibri" w:hAnsi="Calibri"/>
                <w:spacing w:val="6"/>
                <w:w w:val="105"/>
              </w:rPr>
              <w:t>s</w:t>
            </w:r>
            <w:r w:rsidRPr="00EA7458">
              <w:rPr>
                <w:rFonts w:ascii="Calibri" w:hAnsi="Calibri"/>
                <w:w w:val="105"/>
              </w:rPr>
              <w:t>tate</w:t>
            </w:r>
            <w:r w:rsidRPr="00EA7458">
              <w:rPr>
                <w:rFonts w:ascii="Calibri" w:hAnsi="Calibri"/>
                <w:spacing w:val="6"/>
                <w:w w:val="105"/>
              </w:rPr>
              <w:t xml:space="preserve"> </w:t>
            </w:r>
            <w:r w:rsidR="007C1EC6">
              <w:rPr>
                <w:rFonts w:ascii="Calibri" w:hAnsi="Calibri"/>
                <w:spacing w:val="6"/>
                <w:w w:val="105"/>
              </w:rPr>
              <w:t>has</w:t>
            </w:r>
            <w:r w:rsidRPr="00EA7458">
              <w:rPr>
                <w:rFonts w:ascii="Calibri" w:hAnsi="Calibri"/>
                <w:spacing w:val="6"/>
                <w:w w:val="105"/>
              </w:rPr>
              <w:t xml:space="preserve"> </w:t>
            </w:r>
            <w:r w:rsidRPr="00EA7458">
              <w:rPr>
                <w:rFonts w:ascii="Calibri" w:hAnsi="Calibri"/>
                <w:w w:val="105"/>
              </w:rPr>
              <w:t>established,</w:t>
            </w:r>
            <w:r w:rsidRPr="00EA7458">
              <w:rPr>
                <w:rFonts w:ascii="Calibri" w:hAnsi="Calibri"/>
                <w:spacing w:val="6"/>
                <w:w w:val="105"/>
              </w:rPr>
              <w:t xml:space="preserve"> </w:t>
            </w:r>
            <w:r w:rsidRPr="00EA7458">
              <w:rPr>
                <w:rFonts w:ascii="Calibri" w:hAnsi="Calibri"/>
                <w:w w:val="105"/>
              </w:rPr>
              <w:t>in</w:t>
            </w:r>
            <w:r w:rsidRPr="00EA7458">
              <w:rPr>
                <w:rFonts w:ascii="Calibri" w:hAnsi="Calibri"/>
                <w:spacing w:val="6"/>
                <w:w w:val="105"/>
              </w:rPr>
              <w:t xml:space="preserve"> </w:t>
            </w:r>
            <w:r w:rsidRPr="00EA7458">
              <w:rPr>
                <w:rFonts w:ascii="Calibri" w:hAnsi="Calibri"/>
                <w:w w:val="105"/>
              </w:rPr>
              <w:t>accordance</w:t>
            </w:r>
            <w:r w:rsidRPr="00EA7458">
              <w:rPr>
                <w:rFonts w:ascii="Calibri" w:hAnsi="Calibri"/>
                <w:spacing w:val="6"/>
                <w:w w:val="105"/>
              </w:rPr>
              <w:t xml:space="preserve"> </w:t>
            </w:r>
            <w:r w:rsidRPr="00EA7458">
              <w:rPr>
                <w:rFonts w:ascii="Calibri" w:hAnsi="Calibri"/>
                <w:w w:val="105"/>
              </w:rPr>
              <w:t>with</w:t>
            </w:r>
            <w:r w:rsidRPr="00EA7458">
              <w:rPr>
                <w:rFonts w:ascii="Calibri" w:hAnsi="Calibri"/>
                <w:spacing w:val="6"/>
                <w:w w:val="105"/>
              </w:rPr>
              <w:t xml:space="preserve"> </w:t>
            </w:r>
            <w:r w:rsidRPr="00EA7458">
              <w:rPr>
                <w:rFonts w:ascii="Calibri" w:hAnsi="Calibri"/>
                <w:spacing w:val="-3"/>
                <w:w w:val="105"/>
              </w:rPr>
              <w:t>WIOA</w:t>
            </w:r>
            <w:r w:rsidRPr="00EA7458">
              <w:rPr>
                <w:rFonts w:ascii="Calibri" w:hAnsi="Calibri"/>
                <w:spacing w:val="6"/>
                <w:w w:val="105"/>
              </w:rPr>
              <w:t xml:space="preserve"> </w:t>
            </w:r>
            <w:r w:rsidRPr="00EA7458">
              <w:rPr>
                <w:rFonts w:ascii="Calibri" w:hAnsi="Calibri"/>
                <w:w w:val="105"/>
              </w:rPr>
              <w:t>section</w:t>
            </w:r>
            <w:r w:rsidRPr="00EA7458">
              <w:rPr>
                <w:rFonts w:ascii="Calibri" w:hAnsi="Calibri"/>
                <w:spacing w:val="6"/>
                <w:w w:val="105"/>
              </w:rPr>
              <w:t xml:space="preserve"> </w:t>
            </w:r>
            <w:r w:rsidRPr="00EA7458">
              <w:rPr>
                <w:rFonts w:ascii="Calibri" w:hAnsi="Calibri"/>
                <w:w w:val="105"/>
              </w:rPr>
              <w:t>116(i),</w:t>
            </w:r>
            <w:r w:rsidRPr="00EA7458">
              <w:rPr>
                <w:rFonts w:ascii="Calibri" w:hAnsi="Calibri"/>
                <w:spacing w:val="6"/>
                <w:w w:val="105"/>
              </w:rPr>
              <w:t xml:space="preserve"> </w:t>
            </w:r>
            <w:r w:rsidRPr="00EA7458">
              <w:rPr>
                <w:rFonts w:ascii="Calibri" w:hAnsi="Calibri"/>
                <w:w w:val="105"/>
              </w:rPr>
              <w:t>fiscal</w:t>
            </w:r>
            <w:r w:rsidRPr="00EA7458">
              <w:rPr>
                <w:rFonts w:ascii="Calibri" w:hAnsi="Calibri"/>
                <w:spacing w:val="6"/>
                <w:w w:val="105"/>
              </w:rPr>
              <w:t xml:space="preserve"> </w:t>
            </w:r>
            <w:r w:rsidRPr="00EA7458">
              <w:rPr>
                <w:rFonts w:ascii="Calibri" w:hAnsi="Calibri"/>
                <w:w w:val="105"/>
              </w:rPr>
              <w:t>control</w:t>
            </w:r>
            <w:r w:rsidRPr="00EA7458">
              <w:rPr>
                <w:rFonts w:ascii="Calibri" w:hAnsi="Calibri"/>
                <w:spacing w:val="6"/>
                <w:w w:val="105"/>
              </w:rPr>
              <w:t xml:space="preserve"> </w:t>
            </w:r>
            <w:r w:rsidRPr="00EA7458">
              <w:rPr>
                <w:rFonts w:ascii="Calibri" w:hAnsi="Calibri"/>
                <w:w w:val="105"/>
              </w:rPr>
              <w:t>and</w:t>
            </w:r>
            <w:r w:rsidRPr="00EA7458">
              <w:rPr>
                <w:rFonts w:ascii="Calibri" w:hAnsi="Calibri"/>
                <w:spacing w:val="6"/>
                <w:w w:val="105"/>
              </w:rPr>
              <w:t xml:space="preserve"> </w:t>
            </w:r>
            <w:r w:rsidRPr="00EA7458">
              <w:rPr>
                <w:rFonts w:ascii="Calibri" w:hAnsi="Calibri"/>
                <w:w w:val="105"/>
              </w:rPr>
              <w:t>fund</w:t>
            </w:r>
            <w:r w:rsidRPr="00EA7458">
              <w:rPr>
                <w:rFonts w:ascii="Calibri" w:hAnsi="Calibri"/>
                <w:spacing w:val="-28"/>
                <w:w w:val="105"/>
              </w:rPr>
              <w:t xml:space="preserve"> </w:t>
            </w:r>
            <w:r w:rsidRPr="00EA7458">
              <w:rPr>
                <w:rFonts w:ascii="Calibri" w:hAnsi="Calibri"/>
                <w:w w:val="105"/>
              </w:rPr>
              <w:t xml:space="preserve">accounting procedures necessary to ensure the proper disbursement </w:t>
            </w:r>
            <w:r w:rsidRPr="00EA7458">
              <w:rPr>
                <w:rFonts w:ascii="Calibri" w:hAnsi="Calibri"/>
                <w:spacing w:val="-4"/>
                <w:w w:val="105"/>
              </w:rPr>
              <w:t>of</w:t>
            </w:r>
            <w:r w:rsidR="00D5537E">
              <w:rPr>
                <w:rFonts w:ascii="Calibri" w:hAnsi="Calibri"/>
                <w:spacing w:val="-4"/>
                <w:w w:val="105"/>
              </w:rPr>
              <w:t xml:space="preserve"> and</w:t>
            </w:r>
            <w:r w:rsidRPr="00EA7458">
              <w:rPr>
                <w:rFonts w:ascii="Calibri" w:hAnsi="Calibri"/>
                <w:w w:val="105"/>
              </w:rPr>
              <w:t xml:space="preserve"> accounting </w:t>
            </w:r>
            <w:r w:rsidRPr="00EA7458">
              <w:rPr>
                <w:rFonts w:ascii="Calibri" w:hAnsi="Calibri"/>
                <w:spacing w:val="-5"/>
                <w:w w:val="105"/>
              </w:rPr>
              <w:t xml:space="preserve">for, </w:t>
            </w:r>
            <w:r w:rsidRPr="00EA7458">
              <w:rPr>
                <w:rFonts w:ascii="Calibri" w:hAnsi="Calibri"/>
                <w:w w:val="105"/>
              </w:rPr>
              <w:t xml:space="preserve">funds paid to the </w:t>
            </w:r>
            <w:r w:rsidR="00BD3F43">
              <w:rPr>
                <w:rFonts w:ascii="Calibri" w:hAnsi="Calibri"/>
                <w:w w:val="105"/>
              </w:rPr>
              <w:t>s</w:t>
            </w:r>
            <w:r w:rsidRPr="00EA7458">
              <w:rPr>
                <w:rFonts w:ascii="Calibri" w:hAnsi="Calibri"/>
                <w:w w:val="105"/>
              </w:rPr>
              <w:t>tate through allotments made for the core programs to carry</w:t>
            </w:r>
            <w:r w:rsidRPr="00EA7458">
              <w:rPr>
                <w:rFonts w:ascii="Calibri" w:hAnsi="Calibri"/>
                <w:spacing w:val="14"/>
                <w:w w:val="105"/>
              </w:rPr>
              <w:t xml:space="preserve"> </w:t>
            </w:r>
            <w:r w:rsidRPr="00EA7458">
              <w:rPr>
                <w:rFonts w:ascii="Calibri" w:hAnsi="Calibri"/>
                <w:w w:val="105"/>
              </w:rPr>
              <w:t>out</w:t>
            </w:r>
            <w:r w:rsidRPr="00EA7458">
              <w:rPr>
                <w:rFonts w:ascii="Calibri" w:hAnsi="Calibri"/>
                <w:w w:val="102"/>
              </w:rPr>
              <w:t xml:space="preserve"> </w:t>
            </w:r>
            <w:r w:rsidRPr="00EA7458">
              <w:rPr>
                <w:rFonts w:ascii="Calibri" w:hAnsi="Calibri"/>
                <w:w w:val="105"/>
              </w:rPr>
              <w:t>workforce development</w:t>
            </w:r>
            <w:r w:rsidRPr="00EA7458">
              <w:rPr>
                <w:rFonts w:ascii="Calibri" w:hAnsi="Calibri"/>
                <w:spacing w:val="31"/>
                <w:w w:val="105"/>
              </w:rPr>
              <w:t xml:space="preserve"> </w:t>
            </w:r>
            <w:r w:rsidRPr="00EA7458">
              <w:rPr>
                <w:rFonts w:ascii="Calibri" w:hAnsi="Calibri"/>
                <w:w w:val="105"/>
              </w:rPr>
              <w:t>activities;</w:t>
            </w:r>
          </w:p>
        </w:tc>
      </w:tr>
      <w:tr w:rsidR="00EA7458" w:rsidRPr="00EA7458" w14:paraId="702E65ED" w14:textId="77777777" w:rsidTr="00E65FFA">
        <w:trPr>
          <w:trHeight w:hRule="exact" w:val="1126"/>
        </w:trPr>
        <w:tc>
          <w:tcPr>
            <w:tcW w:w="558" w:type="dxa"/>
            <w:tcBorders>
              <w:top w:val="single" w:sz="2" w:space="0" w:color="231F20"/>
              <w:left w:val="single" w:sz="2" w:space="0" w:color="231F20"/>
              <w:bottom w:val="single" w:sz="2" w:space="0" w:color="231F20"/>
              <w:right w:val="single" w:sz="2" w:space="0" w:color="231F20"/>
            </w:tcBorders>
          </w:tcPr>
          <w:p w14:paraId="4E357261" w14:textId="77777777" w:rsidR="00EA7458" w:rsidRPr="00EA7458" w:rsidRDefault="00EA7458" w:rsidP="00EA7458">
            <w:pPr>
              <w:widowControl w:val="0"/>
              <w:spacing w:before="42" w:after="0" w:line="240" w:lineRule="auto"/>
              <w:ind w:left="77"/>
              <w:rPr>
                <w:rFonts w:ascii="Calibri" w:hAnsi="Calibri" w:cs="Calibri"/>
              </w:rPr>
            </w:pPr>
            <w:r w:rsidRPr="00EA7458">
              <w:rPr>
                <w:rFonts w:ascii="Calibri" w:hAnsi="Calibri"/>
                <w:color w:val="231F20"/>
                <w:w w:val="110"/>
              </w:rPr>
              <w:t>6.</w:t>
            </w:r>
          </w:p>
        </w:tc>
        <w:tc>
          <w:tcPr>
            <w:tcW w:w="9602" w:type="dxa"/>
            <w:tcBorders>
              <w:top w:val="single" w:sz="2" w:space="0" w:color="231F20"/>
              <w:left w:val="single" w:sz="2" w:space="0" w:color="231F20"/>
              <w:bottom w:val="single" w:sz="2" w:space="0" w:color="231F20"/>
              <w:right w:val="single" w:sz="2" w:space="0" w:color="231F20"/>
            </w:tcBorders>
          </w:tcPr>
          <w:p w14:paraId="7371CF66" w14:textId="582AD363" w:rsidR="00EA7458" w:rsidRPr="00EA7458" w:rsidRDefault="00EA7458" w:rsidP="00D63204">
            <w:pPr>
              <w:widowControl w:val="0"/>
              <w:spacing w:before="40" w:after="0" w:line="264" w:lineRule="exact"/>
              <w:ind w:left="77" w:right="112"/>
              <w:rPr>
                <w:rFonts w:ascii="Calibri" w:hAnsi="Calibri" w:cs="Calibri"/>
              </w:rPr>
            </w:pPr>
            <w:r w:rsidRPr="00CB6D48">
              <w:rPr>
                <w:rFonts w:ascii="Calibri" w:hAnsi="Calibri"/>
                <w:w w:val="105"/>
              </w:rPr>
              <w:t xml:space="preserve">The </w:t>
            </w:r>
            <w:r w:rsidR="00BD3F43">
              <w:rPr>
                <w:rFonts w:ascii="Calibri" w:hAnsi="Calibri"/>
                <w:w w:val="105"/>
              </w:rPr>
              <w:t>state</w:t>
            </w:r>
            <w:r w:rsidRPr="00CB6D48">
              <w:rPr>
                <w:rFonts w:ascii="Calibri" w:hAnsi="Calibri"/>
                <w:w w:val="105"/>
              </w:rPr>
              <w:t xml:space="preserve"> has taken appropriate action to secure compliance with uniform administrative requirements in this </w:t>
            </w:r>
            <w:r w:rsidR="00C246BD">
              <w:rPr>
                <w:rFonts w:ascii="Calibri" w:hAnsi="Calibri"/>
                <w:w w:val="105"/>
              </w:rPr>
              <w:t>a</w:t>
            </w:r>
            <w:r w:rsidR="00BD3F43">
              <w:rPr>
                <w:rFonts w:ascii="Calibri" w:hAnsi="Calibri"/>
                <w:w w:val="105"/>
              </w:rPr>
              <w:t>ct</w:t>
            </w:r>
            <w:r w:rsidRPr="00CB6D48">
              <w:rPr>
                <w:rFonts w:ascii="Calibri" w:hAnsi="Calibri"/>
                <w:w w:val="105"/>
              </w:rPr>
              <w:t xml:space="preserve">, including that the </w:t>
            </w:r>
            <w:r w:rsidR="00BD3F43">
              <w:rPr>
                <w:rFonts w:ascii="Calibri" w:hAnsi="Calibri"/>
                <w:w w:val="105"/>
              </w:rPr>
              <w:t>s</w:t>
            </w:r>
            <w:r w:rsidRPr="00CB6D48">
              <w:rPr>
                <w:rFonts w:ascii="Calibri" w:hAnsi="Calibri"/>
                <w:w w:val="105"/>
              </w:rPr>
              <w:t>tate will annually monitor local areas to ensure compliance and otherwise take appropriate action to secure compliance with the uniform administrative requirements under WIOA section 184(a)(3);</w:t>
            </w:r>
          </w:p>
        </w:tc>
      </w:tr>
      <w:tr w:rsidR="00EA7458" w:rsidRPr="00EA7458" w14:paraId="147F16E3" w14:textId="77777777" w:rsidTr="00EB3A91">
        <w:trPr>
          <w:trHeight w:hRule="exact" w:val="2147"/>
        </w:trPr>
        <w:tc>
          <w:tcPr>
            <w:tcW w:w="558" w:type="dxa"/>
            <w:tcBorders>
              <w:top w:val="single" w:sz="2" w:space="0" w:color="231F20"/>
              <w:left w:val="single" w:sz="2" w:space="0" w:color="231F20"/>
              <w:bottom w:val="single" w:sz="2" w:space="0" w:color="231F20"/>
              <w:right w:val="single" w:sz="2" w:space="0" w:color="231F20"/>
            </w:tcBorders>
            <w:shd w:val="clear" w:color="auto" w:fill="E6E7E8"/>
          </w:tcPr>
          <w:p w14:paraId="3F092843" w14:textId="77777777" w:rsidR="00EA7458" w:rsidRPr="00EA7458" w:rsidRDefault="00EA7458" w:rsidP="00EA7458">
            <w:pPr>
              <w:widowControl w:val="0"/>
              <w:spacing w:before="42" w:after="0" w:line="240" w:lineRule="auto"/>
              <w:ind w:left="77"/>
              <w:rPr>
                <w:rFonts w:ascii="Calibri" w:hAnsi="Calibri" w:cs="Calibri"/>
              </w:rPr>
            </w:pPr>
            <w:r w:rsidRPr="00EA7458">
              <w:rPr>
                <w:rFonts w:ascii="Calibri" w:hAnsi="Calibri"/>
                <w:color w:val="231F20"/>
                <w:spacing w:val="-23"/>
              </w:rPr>
              <w:t>7.</w:t>
            </w:r>
          </w:p>
        </w:tc>
        <w:tc>
          <w:tcPr>
            <w:tcW w:w="9602" w:type="dxa"/>
            <w:tcBorders>
              <w:top w:val="single" w:sz="2" w:space="0" w:color="231F20"/>
              <w:left w:val="single" w:sz="2" w:space="0" w:color="231F20"/>
              <w:bottom w:val="single" w:sz="2" w:space="0" w:color="231F20"/>
              <w:right w:val="single" w:sz="2" w:space="0" w:color="231F20"/>
            </w:tcBorders>
            <w:shd w:val="clear" w:color="auto" w:fill="E6E7E8"/>
          </w:tcPr>
          <w:p w14:paraId="5D5A7338" w14:textId="2D76B485" w:rsidR="00EA7458" w:rsidRDefault="00EA7458" w:rsidP="00D63204">
            <w:pPr>
              <w:widowControl w:val="0"/>
              <w:spacing w:before="40" w:after="0" w:line="264" w:lineRule="exact"/>
              <w:ind w:left="77" w:right="112"/>
              <w:rPr>
                <w:rFonts w:ascii="Calibri" w:hAnsi="Calibri"/>
                <w:w w:val="105"/>
              </w:rPr>
            </w:pPr>
            <w:r w:rsidRPr="00EA7458">
              <w:rPr>
                <w:rFonts w:ascii="Calibri" w:hAnsi="Calibri"/>
                <w:w w:val="105"/>
              </w:rPr>
              <w:t>The</w:t>
            </w:r>
            <w:r w:rsidRPr="00CB6D48">
              <w:rPr>
                <w:rFonts w:ascii="Calibri" w:hAnsi="Calibri"/>
                <w:w w:val="105"/>
              </w:rPr>
              <w:t xml:space="preserve"> </w:t>
            </w:r>
            <w:r w:rsidR="00E9294B">
              <w:rPr>
                <w:rFonts w:ascii="Calibri" w:hAnsi="Calibri"/>
                <w:w w:val="105"/>
              </w:rPr>
              <w:t>s</w:t>
            </w:r>
            <w:r w:rsidRPr="00EA7458">
              <w:rPr>
                <w:rFonts w:ascii="Calibri" w:hAnsi="Calibri"/>
                <w:w w:val="105"/>
              </w:rPr>
              <w:t>tate</w:t>
            </w:r>
            <w:r w:rsidRPr="00CB6D48">
              <w:rPr>
                <w:rFonts w:ascii="Calibri" w:hAnsi="Calibri"/>
                <w:w w:val="105"/>
              </w:rPr>
              <w:t xml:space="preserve"> </w:t>
            </w:r>
            <w:r w:rsidRPr="00EA7458">
              <w:rPr>
                <w:rFonts w:ascii="Calibri" w:hAnsi="Calibri"/>
                <w:w w:val="105"/>
              </w:rPr>
              <w:t>has</w:t>
            </w:r>
            <w:r w:rsidRPr="00CB6D48">
              <w:rPr>
                <w:rFonts w:ascii="Calibri" w:hAnsi="Calibri"/>
                <w:w w:val="105"/>
              </w:rPr>
              <w:t xml:space="preserve"> </w:t>
            </w:r>
            <w:r w:rsidRPr="00EA7458">
              <w:rPr>
                <w:rFonts w:ascii="Calibri" w:hAnsi="Calibri"/>
                <w:w w:val="105"/>
              </w:rPr>
              <w:t>taken</w:t>
            </w:r>
            <w:r w:rsidRPr="00CB6D48">
              <w:rPr>
                <w:rFonts w:ascii="Calibri" w:hAnsi="Calibri"/>
                <w:w w:val="105"/>
              </w:rPr>
              <w:t xml:space="preserve"> </w:t>
            </w:r>
            <w:r w:rsidRPr="00EA7458">
              <w:rPr>
                <w:rFonts w:ascii="Calibri" w:hAnsi="Calibri"/>
                <w:w w:val="105"/>
              </w:rPr>
              <w:t>the</w:t>
            </w:r>
            <w:r w:rsidRPr="00CB6D48">
              <w:rPr>
                <w:rFonts w:ascii="Calibri" w:hAnsi="Calibri"/>
                <w:w w:val="105"/>
              </w:rPr>
              <w:t xml:space="preserve"> </w:t>
            </w:r>
            <w:r w:rsidRPr="00EA7458">
              <w:rPr>
                <w:rFonts w:ascii="Calibri" w:hAnsi="Calibri"/>
                <w:w w:val="105"/>
              </w:rPr>
              <w:t>appropriate</w:t>
            </w:r>
            <w:r w:rsidRPr="00CB6D48">
              <w:rPr>
                <w:rFonts w:ascii="Calibri" w:hAnsi="Calibri"/>
                <w:w w:val="105"/>
              </w:rPr>
              <w:t xml:space="preserve"> </w:t>
            </w:r>
            <w:r w:rsidRPr="00EA7458">
              <w:rPr>
                <w:rFonts w:ascii="Calibri" w:hAnsi="Calibri"/>
                <w:w w:val="105"/>
              </w:rPr>
              <w:t>action</w:t>
            </w:r>
            <w:r w:rsidRPr="00CB6D48">
              <w:rPr>
                <w:rFonts w:ascii="Calibri" w:hAnsi="Calibri"/>
                <w:w w:val="105"/>
              </w:rPr>
              <w:t xml:space="preserve"> </w:t>
            </w:r>
            <w:r w:rsidRPr="00EA7458">
              <w:rPr>
                <w:rFonts w:ascii="Calibri" w:hAnsi="Calibri"/>
                <w:w w:val="105"/>
              </w:rPr>
              <w:t>to</w:t>
            </w:r>
            <w:r w:rsidRPr="00CB6D48">
              <w:rPr>
                <w:rFonts w:ascii="Calibri" w:hAnsi="Calibri"/>
                <w:w w:val="105"/>
              </w:rPr>
              <w:t xml:space="preserve"> </w:t>
            </w:r>
            <w:r w:rsidR="00431737">
              <w:rPr>
                <w:rFonts w:ascii="Calibri" w:hAnsi="Calibri"/>
                <w:w w:val="105"/>
              </w:rPr>
              <w:t xml:space="preserve">comply with </w:t>
            </w:r>
            <w:r w:rsidRPr="00CB6D48">
              <w:rPr>
                <w:rFonts w:ascii="Calibri" w:hAnsi="Calibri"/>
                <w:w w:val="105"/>
              </w:rPr>
              <w:t xml:space="preserve">WIOA </w:t>
            </w:r>
            <w:r w:rsidRPr="00EA7458">
              <w:rPr>
                <w:rFonts w:ascii="Calibri" w:hAnsi="Calibri"/>
                <w:w w:val="105"/>
              </w:rPr>
              <w:t>section</w:t>
            </w:r>
            <w:r w:rsidRPr="00CB6D48">
              <w:rPr>
                <w:rFonts w:ascii="Calibri" w:hAnsi="Calibri"/>
                <w:w w:val="105"/>
              </w:rPr>
              <w:t xml:space="preserve"> </w:t>
            </w:r>
            <w:r w:rsidRPr="00EA7458">
              <w:rPr>
                <w:rFonts w:ascii="Calibri" w:hAnsi="Calibri"/>
                <w:w w:val="105"/>
              </w:rPr>
              <w:t>188,</w:t>
            </w:r>
            <w:r w:rsidRPr="00CB6D48">
              <w:rPr>
                <w:rFonts w:ascii="Calibri" w:hAnsi="Calibri"/>
                <w:w w:val="105"/>
              </w:rPr>
              <w:t xml:space="preserve"> </w:t>
            </w:r>
            <w:r w:rsidR="007B3DC5">
              <w:rPr>
                <w:rFonts w:ascii="Calibri" w:hAnsi="Calibri"/>
                <w:w w:val="105"/>
              </w:rPr>
              <w:t xml:space="preserve">Nondiscrimination </w:t>
            </w:r>
            <w:r w:rsidRPr="00EA7458">
              <w:rPr>
                <w:rFonts w:ascii="Calibri" w:hAnsi="Calibri"/>
                <w:w w:val="105"/>
              </w:rPr>
              <w:t>as</w:t>
            </w:r>
            <w:r w:rsidRPr="00CB6D48">
              <w:rPr>
                <w:rFonts w:ascii="Calibri" w:hAnsi="Calibri"/>
                <w:w w:val="105"/>
              </w:rPr>
              <w:t xml:space="preserve"> </w:t>
            </w:r>
            <w:r w:rsidRPr="00EA7458">
              <w:rPr>
                <w:rFonts w:ascii="Calibri" w:hAnsi="Calibri"/>
                <w:w w:val="105"/>
              </w:rPr>
              <w:t>applicable;</w:t>
            </w:r>
          </w:p>
          <w:p w14:paraId="3224CF4A" w14:textId="77777777" w:rsidR="00CB6D48" w:rsidRPr="00CB6D48" w:rsidRDefault="00CB6D48" w:rsidP="00D63204">
            <w:pPr>
              <w:widowControl w:val="0"/>
              <w:spacing w:before="40" w:after="0" w:line="264" w:lineRule="exact"/>
              <w:ind w:left="77" w:right="112"/>
              <w:rPr>
                <w:rFonts w:ascii="Calibri" w:hAnsi="Calibri"/>
                <w:w w:val="105"/>
              </w:rPr>
            </w:pPr>
          </w:p>
          <w:p w14:paraId="7DDE54B6" w14:textId="2E666EC9" w:rsidR="00EA7458" w:rsidRPr="00704DA7" w:rsidRDefault="00BC1D20" w:rsidP="00D63204">
            <w:pPr>
              <w:widowControl w:val="0"/>
              <w:spacing w:before="40" w:after="0" w:line="264" w:lineRule="exact"/>
              <w:ind w:left="77" w:right="112"/>
              <w:rPr>
                <w:rStyle w:val="Hyperlink"/>
              </w:rPr>
            </w:pPr>
            <w:hyperlink r:id="rId134">
              <w:r w:rsidR="00EA7458" w:rsidRPr="00704DA7">
                <w:rPr>
                  <w:rStyle w:val="Hyperlink"/>
                </w:rPr>
                <w:t>http://www.floridajobs.org/PDG/guidancepapers/042ADACompGuid042604_rev030608.pdf</w:t>
              </w:r>
            </w:hyperlink>
          </w:p>
          <w:p w14:paraId="2AB4E14C" w14:textId="77777777" w:rsidR="00CB6D48" w:rsidRPr="00CB6D48" w:rsidRDefault="00CB6D48" w:rsidP="00D63204">
            <w:pPr>
              <w:widowControl w:val="0"/>
              <w:spacing w:before="40" w:after="0" w:line="264" w:lineRule="exact"/>
              <w:ind w:left="77" w:right="112"/>
              <w:rPr>
                <w:rFonts w:ascii="Calibri" w:hAnsi="Calibri"/>
                <w:w w:val="105"/>
              </w:rPr>
            </w:pPr>
          </w:p>
          <w:p w14:paraId="5564BBA2" w14:textId="77777777" w:rsidR="00EA7458" w:rsidRPr="00EA7458" w:rsidRDefault="00EA7458" w:rsidP="00D63204">
            <w:pPr>
              <w:widowControl w:val="0"/>
              <w:spacing w:before="40" w:after="0" w:line="264" w:lineRule="exact"/>
              <w:ind w:left="77" w:right="112"/>
              <w:rPr>
                <w:rFonts w:ascii="Calibri" w:hAnsi="Calibri" w:cs="Calibri"/>
              </w:rPr>
            </w:pPr>
            <w:r w:rsidRPr="00CB6D48">
              <w:rPr>
                <w:rFonts w:ascii="Calibri" w:hAnsi="Calibri"/>
                <w:w w:val="105"/>
              </w:rPr>
              <w:t>All programs are monitored for compliance with the non-discrimination and equal employment opportunity provisions of WIOA.</w:t>
            </w:r>
          </w:p>
        </w:tc>
      </w:tr>
      <w:tr w:rsidR="00EA7458" w:rsidRPr="00EA7458" w14:paraId="786BE585" w14:textId="77777777" w:rsidTr="00E65FFA">
        <w:trPr>
          <w:trHeight w:hRule="exact" w:val="598"/>
        </w:trPr>
        <w:tc>
          <w:tcPr>
            <w:tcW w:w="558" w:type="dxa"/>
            <w:tcBorders>
              <w:top w:val="single" w:sz="2" w:space="0" w:color="231F20"/>
              <w:left w:val="single" w:sz="2" w:space="0" w:color="231F20"/>
              <w:bottom w:val="single" w:sz="2" w:space="0" w:color="231F20"/>
              <w:right w:val="single" w:sz="2" w:space="0" w:color="231F20"/>
            </w:tcBorders>
          </w:tcPr>
          <w:p w14:paraId="6A9DBE8E" w14:textId="77777777" w:rsidR="00EA7458" w:rsidRPr="00EA7458" w:rsidRDefault="00EA7458" w:rsidP="00EA7458">
            <w:pPr>
              <w:widowControl w:val="0"/>
              <w:spacing w:before="42" w:after="0" w:line="240" w:lineRule="auto"/>
              <w:ind w:left="77"/>
              <w:rPr>
                <w:rFonts w:ascii="Calibri" w:hAnsi="Calibri" w:cs="Calibri"/>
              </w:rPr>
            </w:pPr>
            <w:r w:rsidRPr="00EA7458">
              <w:rPr>
                <w:rFonts w:ascii="Calibri" w:hAnsi="Calibri"/>
                <w:color w:val="231F20"/>
                <w:w w:val="105"/>
              </w:rPr>
              <w:t>8.</w:t>
            </w:r>
          </w:p>
        </w:tc>
        <w:tc>
          <w:tcPr>
            <w:tcW w:w="9602" w:type="dxa"/>
            <w:tcBorders>
              <w:top w:val="single" w:sz="2" w:space="0" w:color="231F20"/>
              <w:left w:val="single" w:sz="2" w:space="0" w:color="231F20"/>
              <w:bottom w:val="single" w:sz="2" w:space="0" w:color="231F20"/>
              <w:right w:val="single" w:sz="2" w:space="0" w:color="231F20"/>
            </w:tcBorders>
          </w:tcPr>
          <w:p w14:paraId="40A4415A" w14:textId="22D4B07B" w:rsidR="00EA7458" w:rsidRPr="00EA7458" w:rsidRDefault="00E14FF8" w:rsidP="00D63204">
            <w:pPr>
              <w:widowControl w:val="0"/>
              <w:spacing w:before="40" w:after="0" w:line="264" w:lineRule="exact"/>
              <w:ind w:left="77" w:right="112"/>
              <w:rPr>
                <w:rFonts w:ascii="Calibri" w:hAnsi="Calibri" w:cs="Calibri"/>
              </w:rPr>
            </w:pPr>
            <w:r>
              <w:rPr>
                <w:rFonts w:ascii="Calibri" w:hAnsi="Calibri"/>
                <w:w w:val="105"/>
              </w:rPr>
              <w:t>The f</w:t>
            </w:r>
            <w:r w:rsidR="00EA7458" w:rsidRPr="00EA7458">
              <w:rPr>
                <w:rFonts w:ascii="Calibri" w:hAnsi="Calibri"/>
                <w:w w:val="105"/>
              </w:rPr>
              <w:t>ederal</w:t>
            </w:r>
            <w:r w:rsidR="00EA7458" w:rsidRPr="00CB6D48">
              <w:rPr>
                <w:rFonts w:ascii="Calibri" w:hAnsi="Calibri"/>
                <w:w w:val="105"/>
              </w:rPr>
              <w:t xml:space="preserve"> </w:t>
            </w:r>
            <w:r w:rsidR="00EA7458" w:rsidRPr="00EA7458">
              <w:rPr>
                <w:rFonts w:ascii="Calibri" w:hAnsi="Calibri"/>
                <w:w w:val="105"/>
              </w:rPr>
              <w:t>funds</w:t>
            </w:r>
            <w:r w:rsidR="00EA7458" w:rsidRPr="00CB6D48">
              <w:rPr>
                <w:rFonts w:ascii="Calibri" w:hAnsi="Calibri"/>
                <w:w w:val="105"/>
              </w:rPr>
              <w:t xml:space="preserve"> </w:t>
            </w:r>
            <w:r w:rsidR="00EA7458" w:rsidRPr="00EA7458">
              <w:rPr>
                <w:rFonts w:ascii="Calibri" w:hAnsi="Calibri"/>
                <w:w w:val="105"/>
              </w:rPr>
              <w:t>received</w:t>
            </w:r>
            <w:r w:rsidR="00EA7458" w:rsidRPr="00CB6D48">
              <w:rPr>
                <w:rFonts w:ascii="Calibri" w:hAnsi="Calibri"/>
                <w:w w:val="105"/>
              </w:rPr>
              <w:t xml:space="preserve"> </w:t>
            </w:r>
            <w:r w:rsidR="00EA7458" w:rsidRPr="00EA7458">
              <w:rPr>
                <w:rFonts w:ascii="Calibri" w:hAnsi="Calibri"/>
                <w:w w:val="105"/>
              </w:rPr>
              <w:t>to</w:t>
            </w:r>
            <w:r w:rsidR="00EA7458" w:rsidRPr="00CB6D48">
              <w:rPr>
                <w:rFonts w:ascii="Calibri" w:hAnsi="Calibri"/>
                <w:w w:val="105"/>
              </w:rPr>
              <w:t xml:space="preserve"> </w:t>
            </w:r>
            <w:r w:rsidR="00EA7458" w:rsidRPr="00EA7458">
              <w:rPr>
                <w:rFonts w:ascii="Calibri" w:hAnsi="Calibri"/>
                <w:w w:val="105"/>
              </w:rPr>
              <w:t>carry</w:t>
            </w:r>
            <w:r w:rsidR="00EA7458" w:rsidRPr="00CB6D48">
              <w:rPr>
                <w:rFonts w:ascii="Calibri" w:hAnsi="Calibri"/>
                <w:w w:val="105"/>
              </w:rPr>
              <w:t xml:space="preserve"> </w:t>
            </w:r>
            <w:r w:rsidR="00EA7458" w:rsidRPr="00EA7458">
              <w:rPr>
                <w:rFonts w:ascii="Calibri" w:hAnsi="Calibri"/>
                <w:w w:val="105"/>
              </w:rPr>
              <w:t>out</w:t>
            </w:r>
            <w:r w:rsidR="00EA7458" w:rsidRPr="00CB6D48">
              <w:rPr>
                <w:rFonts w:ascii="Calibri" w:hAnsi="Calibri"/>
                <w:w w:val="105"/>
              </w:rPr>
              <w:t xml:space="preserve"> </w:t>
            </w:r>
            <w:r w:rsidR="00EA7458" w:rsidRPr="00EA7458">
              <w:rPr>
                <w:rFonts w:ascii="Calibri" w:hAnsi="Calibri"/>
                <w:w w:val="105"/>
              </w:rPr>
              <w:t>a</w:t>
            </w:r>
            <w:r w:rsidR="00EA7458" w:rsidRPr="00CB6D48">
              <w:rPr>
                <w:rFonts w:ascii="Calibri" w:hAnsi="Calibri"/>
                <w:w w:val="105"/>
              </w:rPr>
              <w:t xml:space="preserve"> </w:t>
            </w:r>
            <w:r w:rsidR="00EA7458" w:rsidRPr="00EA7458">
              <w:rPr>
                <w:rFonts w:ascii="Calibri" w:hAnsi="Calibri"/>
                <w:w w:val="105"/>
              </w:rPr>
              <w:t>core</w:t>
            </w:r>
            <w:r w:rsidR="00EA7458" w:rsidRPr="00CB6D48">
              <w:rPr>
                <w:rFonts w:ascii="Calibri" w:hAnsi="Calibri"/>
                <w:w w:val="105"/>
              </w:rPr>
              <w:t xml:space="preserve"> </w:t>
            </w:r>
            <w:r w:rsidR="00EA7458" w:rsidRPr="00EA7458">
              <w:rPr>
                <w:rFonts w:ascii="Calibri" w:hAnsi="Calibri"/>
                <w:w w:val="105"/>
              </w:rPr>
              <w:t>program</w:t>
            </w:r>
            <w:r w:rsidR="00EA7458" w:rsidRPr="00CB6D48">
              <w:rPr>
                <w:rFonts w:ascii="Calibri" w:hAnsi="Calibri"/>
                <w:w w:val="105"/>
              </w:rPr>
              <w:t xml:space="preserve"> </w:t>
            </w:r>
            <w:r w:rsidR="00EA7458" w:rsidRPr="00EA7458">
              <w:rPr>
                <w:rFonts w:ascii="Calibri" w:hAnsi="Calibri"/>
                <w:w w:val="105"/>
              </w:rPr>
              <w:t>will</w:t>
            </w:r>
            <w:r w:rsidR="00EA7458" w:rsidRPr="00CB6D48">
              <w:rPr>
                <w:rFonts w:ascii="Calibri" w:hAnsi="Calibri"/>
                <w:w w:val="105"/>
              </w:rPr>
              <w:t xml:space="preserve"> </w:t>
            </w:r>
            <w:r w:rsidR="00EA7458" w:rsidRPr="00EA7458">
              <w:rPr>
                <w:rFonts w:ascii="Calibri" w:hAnsi="Calibri"/>
                <w:w w:val="105"/>
              </w:rPr>
              <w:t>not</w:t>
            </w:r>
            <w:r w:rsidR="00EA7458" w:rsidRPr="00CB6D48">
              <w:rPr>
                <w:rFonts w:ascii="Calibri" w:hAnsi="Calibri"/>
                <w:w w:val="105"/>
              </w:rPr>
              <w:t xml:space="preserve"> </w:t>
            </w:r>
            <w:r w:rsidR="00EA7458" w:rsidRPr="00EA7458">
              <w:rPr>
                <w:rFonts w:ascii="Calibri" w:hAnsi="Calibri"/>
                <w:w w:val="105"/>
              </w:rPr>
              <w:t>be</w:t>
            </w:r>
            <w:r w:rsidR="00EA7458" w:rsidRPr="00CB6D48">
              <w:rPr>
                <w:rFonts w:ascii="Calibri" w:hAnsi="Calibri"/>
                <w:w w:val="105"/>
              </w:rPr>
              <w:t xml:space="preserve"> </w:t>
            </w:r>
            <w:r w:rsidR="00EA7458" w:rsidRPr="00EA7458">
              <w:rPr>
                <w:rFonts w:ascii="Calibri" w:hAnsi="Calibri"/>
                <w:w w:val="105"/>
              </w:rPr>
              <w:t>expended</w:t>
            </w:r>
            <w:r w:rsidR="00EA7458" w:rsidRPr="00CB6D48">
              <w:rPr>
                <w:rFonts w:ascii="Calibri" w:hAnsi="Calibri"/>
                <w:w w:val="105"/>
              </w:rPr>
              <w:t xml:space="preserve"> </w:t>
            </w:r>
            <w:r w:rsidR="00EA7458" w:rsidRPr="00EA7458">
              <w:rPr>
                <w:rFonts w:ascii="Calibri" w:hAnsi="Calibri"/>
                <w:w w:val="105"/>
              </w:rPr>
              <w:t>for</w:t>
            </w:r>
            <w:r w:rsidR="00EA7458" w:rsidRPr="00CB6D48">
              <w:rPr>
                <w:rFonts w:ascii="Calibri" w:hAnsi="Calibri"/>
                <w:w w:val="105"/>
              </w:rPr>
              <w:t xml:space="preserve"> </w:t>
            </w:r>
            <w:r w:rsidR="00EA7458" w:rsidRPr="00EA7458">
              <w:rPr>
                <w:rFonts w:ascii="Calibri" w:hAnsi="Calibri"/>
                <w:w w:val="105"/>
              </w:rPr>
              <w:t>any</w:t>
            </w:r>
            <w:r w:rsidR="00EA7458" w:rsidRPr="00CB6D48">
              <w:rPr>
                <w:rFonts w:ascii="Calibri" w:hAnsi="Calibri"/>
                <w:w w:val="105"/>
              </w:rPr>
              <w:t xml:space="preserve"> </w:t>
            </w:r>
            <w:r w:rsidR="00EA7458" w:rsidRPr="00EA7458">
              <w:rPr>
                <w:rFonts w:ascii="Calibri" w:hAnsi="Calibri"/>
                <w:w w:val="105"/>
              </w:rPr>
              <w:t>purpose</w:t>
            </w:r>
            <w:r w:rsidR="00EA7458" w:rsidRPr="00CB6D48">
              <w:rPr>
                <w:rFonts w:ascii="Calibri" w:hAnsi="Calibri"/>
                <w:w w:val="105"/>
              </w:rPr>
              <w:t xml:space="preserve"> </w:t>
            </w:r>
            <w:r w:rsidR="00EA7458" w:rsidRPr="00EA7458">
              <w:rPr>
                <w:rFonts w:ascii="Calibri" w:hAnsi="Calibri"/>
                <w:w w:val="105"/>
              </w:rPr>
              <w:t>other than for activities authorized with respect to such funds under that core program;</w:t>
            </w:r>
          </w:p>
        </w:tc>
      </w:tr>
      <w:tr w:rsidR="00EA7458" w:rsidRPr="00EA7458" w14:paraId="43BB4F3B" w14:textId="77777777" w:rsidTr="00E65FFA">
        <w:trPr>
          <w:trHeight w:hRule="exact" w:val="598"/>
        </w:trPr>
        <w:tc>
          <w:tcPr>
            <w:tcW w:w="558" w:type="dxa"/>
            <w:tcBorders>
              <w:top w:val="single" w:sz="2" w:space="0" w:color="231F20"/>
              <w:left w:val="single" w:sz="2" w:space="0" w:color="231F20"/>
              <w:bottom w:val="single" w:sz="2" w:space="0" w:color="231F20"/>
              <w:right w:val="single" w:sz="2" w:space="0" w:color="231F20"/>
            </w:tcBorders>
            <w:shd w:val="clear" w:color="auto" w:fill="E6E7E8"/>
          </w:tcPr>
          <w:p w14:paraId="5E5118A0" w14:textId="77777777" w:rsidR="00EA7458" w:rsidRPr="00EA7458" w:rsidRDefault="00EA7458" w:rsidP="00EA7458">
            <w:pPr>
              <w:widowControl w:val="0"/>
              <w:spacing w:before="42" w:after="0" w:line="240" w:lineRule="auto"/>
              <w:ind w:left="77"/>
              <w:rPr>
                <w:rFonts w:ascii="Calibri" w:hAnsi="Calibri" w:cs="Calibri"/>
              </w:rPr>
            </w:pPr>
            <w:r w:rsidRPr="00EA7458">
              <w:rPr>
                <w:rFonts w:ascii="Calibri" w:hAnsi="Calibri"/>
                <w:color w:val="231F20"/>
                <w:spacing w:val="-7"/>
                <w:w w:val="110"/>
              </w:rPr>
              <w:t>9.</w:t>
            </w:r>
          </w:p>
        </w:tc>
        <w:tc>
          <w:tcPr>
            <w:tcW w:w="9602" w:type="dxa"/>
            <w:tcBorders>
              <w:top w:val="single" w:sz="2" w:space="0" w:color="231F20"/>
              <w:left w:val="single" w:sz="2" w:space="0" w:color="231F20"/>
              <w:bottom w:val="single" w:sz="2" w:space="0" w:color="231F20"/>
              <w:right w:val="single" w:sz="2" w:space="0" w:color="231F20"/>
            </w:tcBorders>
            <w:shd w:val="clear" w:color="auto" w:fill="E6E7E8"/>
          </w:tcPr>
          <w:p w14:paraId="682A8EF6" w14:textId="3DF511E9" w:rsidR="00EA7458" w:rsidRPr="00EA7458" w:rsidRDefault="00EA7458" w:rsidP="00EA7458">
            <w:pPr>
              <w:widowControl w:val="0"/>
              <w:spacing w:before="40" w:after="0" w:line="264" w:lineRule="exact"/>
              <w:ind w:left="77" w:right="123"/>
              <w:rPr>
                <w:rFonts w:ascii="Calibri" w:hAnsi="Calibri" w:cs="Calibri"/>
              </w:rPr>
            </w:pPr>
            <w:r w:rsidRPr="00EA7458">
              <w:rPr>
                <w:rFonts w:ascii="Calibri" w:hAnsi="Calibri"/>
                <w:w w:val="105"/>
              </w:rPr>
              <w:t>The</w:t>
            </w:r>
            <w:r w:rsidRPr="00EA7458">
              <w:rPr>
                <w:rFonts w:ascii="Calibri" w:hAnsi="Calibri"/>
                <w:spacing w:val="10"/>
                <w:w w:val="105"/>
              </w:rPr>
              <w:t xml:space="preserve"> </w:t>
            </w:r>
            <w:r w:rsidR="00E9294B">
              <w:rPr>
                <w:rFonts w:ascii="Calibri" w:hAnsi="Calibri"/>
                <w:w w:val="105"/>
              </w:rPr>
              <w:t>s</w:t>
            </w:r>
            <w:r w:rsidRPr="00EA7458">
              <w:rPr>
                <w:rFonts w:ascii="Calibri" w:hAnsi="Calibri"/>
                <w:w w:val="105"/>
              </w:rPr>
              <w:t>tate</w:t>
            </w:r>
            <w:r w:rsidRPr="00EA7458">
              <w:rPr>
                <w:rFonts w:ascii="Calibri" w:hAnsi="Calibri"/>
                <w:spacing w:val="10"/>
                <w:w w:val="105"/>
              </w:rPr>
              <w:t xml:space="preserve"> </w:t>
            </w:r>
            <w:r w:rsidRPr="00EA7458">
              <w:rPr>
                <w:rFonts w:ascii="Calibri" w:hAnsi="Calibri"/>
                <w:w w:val="105"/>
              </w:rPr>
              <w:t>will</w:t>
            </w:r>
            <w:r w:rsidRPr="00EA7458">
              <w:rPr>
                <w:rFonts w:ascii="Calibri" w:hAnsi="Calibri"/>
                <w:spacing w:val="10"/>
                <w:w w:val="105"/>
              </w:rPr>
              <w:t xml:space="preserve"> </w:t>
            </w:r>
            <w:r w:rsidRPr="00EA7458">
              <w:rPr>
                <w:rFonts w:ascii="Calibri" w:hAnsi="Calibri"/>
                <w:w w:val="105"/>
              </w:rPr>
              <w:t>pay</w:t>
            </w:r>
            <w:r w:rsidRPr="00EA7458">
              <w:rPr>
                <w:rFonts w:ascii="Calibri" w:hAnsi="Calibri"/>
                <w:spacing w:val="10"/>
                <w:w w:val="105"/>
              </w:rPr>
              <w:t xml:space="preserve"> </w:t>
            </w:r>
            <w:r w:rsidRPr="00EA7458">
              <w:rPr>
                <w:rFonts w:ascii="Calibri" w:hAnsi="Calibri"/>
                <w:w w:val="105"/>
              </w:rPr>
              <w:t>an</w:t>
            </w:r>
            <w:r w:rsidRPr="00EA7458">
              <w:rPr>
                <w:rFonts w:ascii="Calibri" w:hAnsi="Calibri"/>
                <w:spacing w:val="10"/>
                <w:w w:val="105"/>
              </w:rPr>
              <w:t xml:space="preserve"> </w:t>
            </w:r>
            <w:r w:rsidRPr="00EA7458">
              <w:rPr>
                <w:rFonts w:ascii="Calibri" w:hAnsi="Calibri"/>
                <w:w w:val="105"/>
              </w:rPr>
              <w:t>appropriate</w:t>
            </w:r>
            <w:r w:rsidRPr="00EA7458">
              <w:rPr>
                <w:rFonts w:ascii="Calibri" w:hAnsi="Calibri"/>
                <w:spacing w:val="10"/>
                <w:w w:val="105"/>
              </w:rPr>
              <w:t xml:space="preserve"> </w:t>
            </w:r>
            <w:r w:rsidRPr="00EA7458">
              <w:rPr>
                <w:rFonts w:ascii="Calibri" w:hAnsi="Calibri"/>
                <w:w w:val="105"/>
              </w:rPr>
              <w:t>share</w:t>
            </w:r>
            <w:r w:rsidRPr="00EA7458">
              <w:rPr>
                <w:rFonts w:ascii="Calibri" w:hAnsi="Calibri"/>
                <w:spacing w:val="10"/>
                <w:w w:val="105"/>
              </w:rPr>
              <w:t xml:space="preserve"> </w:t>
            </w:r>
            <w:r w:rsidRPr="00EA7458">
              <w:rPr>
                <w:rFonts w:ascii="Calibri" w:hAnsi="Calibri"/>
                <w:w w:val="105"/>
              </w:rPr>
              <w:t>(as</w:t>
            </w:r>
            <w:r w:rsidRPr="00EA7458">
              <w:rPr>
                <w:rFonts w:ascii="Calibri" w:hAnsi="Calibri"/>
                <w:spacing w:val="10"/>
                <w:w w:val="105"/>
              </w:rPr>
              <w:t xml:space="preserve"> </w:t>
            </w:r>
            <w:r w:rsidRPr="00EA7458">
              <w:rPr>
                <w:rFonts w:ascii="Calibri" w:hAnsi="Calibri"/>
                <w:w w:val="105"/>
              </w:rPr>
              <w:t>defined</w:t>
            </w:r>
            <w:r w:rsidRPr="00EA7458">
              <w:rPr>
                <w:rFonts w:ascii="Calibri" w:hAnsi="Calibri"/>
                <w:spacing w:val="10"/>
                <w:w w:val="105"/>
              </w:rPr>
              <w:t xml:space="preserve"> </w:t>
            </w:r>
            <w:r w:rsidRPr="00EA7458">
              <w:rPr>
                <w:rFonts w:ascii="Calibri" w:hAnsi="Calibri"/>
                <w:w w:val="105"/>
              </w:rPr>
              <w:t>by</w:t>
            </w:r>
            <w:r w:rsidRPr="00EA7458">
              <w:rPr>
                <w:rFonts w:ascii="Calibri" w:hAnsi="Calibri"/>
                <w:spacing w:val="10"/>
                <w:w w:val="105"/>
              </w:rPr>
              <w:t xml:space="preserve"> </w:t>
            </w:r>
            <w:r w:rsidRPr="00EA7458">
              <w:rPr>
                <w:rFonts w:ascii="Calibri" w:hAnsi="Calibri"/>
                <w:w w:val="105"/>
              </w:rPr>
              <w:t>the</w:t>
            </w:r>
            <w:r>
              <w:rPr>
                <w:rFonts w:ascii="Calibri" w:hAnsi="Calibri"/>
                <w:w w:val="105"/>
              </w:rPr>
              <w:t xml:space="preserve"> </w:t>
            </w:r>
            <w:r w:rsidR="004A0A4B">
              <w:rPr>
                <w:rFonts w:ascii="Calibri" w:hAnsi="Calibri"/>
                <w:w w:val="105"/>
              </w:rPr>
              <w:t>s</w:t>
            </w:r>
            <w:r w:rsidRPr="00EA7458">
              <w:rPr>
                <w:rFonts w:ascii="Calibri" w:hAnsi="Calibri"/>
                <w:w w:val="105"/>
              </w:rPr>
              <w:t>tate</w:t>
            </w:r>
            <w:r w:rsidRPr="00EA7458">
              <w:rPr>
                <w:rFonts w:ascii="Calibri" w:hAnsi="Calibri"/>
                <w:spacing w:val="10"/>
                <w:w w:val="105"/>
              </w:rPr>
              <w:t xml:space="preserve"> </w:t>
            </w:r>
            <w:r w:rsidR="00E9294B">
              <w:rPr>
                <w:rFonts w:ascii="Calibri" w:hAnsi="Calibri"/>
                <w:w w:val="105"/>
              </w:rPr>
              <w:t>b</w:t>
            </w:r>
            <w:r w:rsidRPr="00EA7458">
              <w:rPr>
                <w:rFonts w:ascii="Calibri" w:hAnsi="Calibri"/>
                <w:w w:val="105"/>
              </w:rPr>
              <w:t>oard)</w:t>
            </w:r>
            <w:r w:rsidRPr="00EA7458">
              <w:rPr>
                <w:rFonts w:ascii="Calibri" w:hAnsi="Calibri"/>
                <w:spacing w:val="10"/>
                <w:w w:val="105"/>
              </w:rPr>
              <w:t xml:space="preserve"> </w:t>
            </w:r>
            <w:r w:rsidRPr="00EA7458">
              <w:rPr>
                <w:rFonts w:ascii="Calibri" w:hAnsi="Calibri"/>
                <w:w w:val="105"/>
              </w:rPr>
              <w:t>of</w:t>
            </w:r>
            <w:r w:rsidRPr="00EA7458">
              <w:rPr>
                <w:rFonts w:ascii="Calibri" w:hAnsi="Calibri"/>
                <w:spacing w:val="10"/>
                <w:w w:val="105"/>
              </w:rPr>
              <w:t xml:space="preserve"> </w:t>
            </w:r>
            <w:r w:rsidRPr="00EA7458">
              <w:rPr>
                <w:rFonts w:ascii="Calibri" w:hAnsi="Calibri"/>
                <w:w w:val="105"/>
              </w:rPr>
              <w:t>the</w:t>
            </w:r>
            <w:r w:rsidRPr="00EA7458">
              <w:rPr>
                <w:rFonts w:ascii="Calibri" w:hAnsi="Calibri"/>
                <w:spacing w:val="10"/>
                <w:w w:val="105"/>
              </w:rPr>
              <w:t xml:space="preserve"> </w:t>
            </w:r>
            <w:r w:rsidRPr="00EA7458">
              <w:rPr>
                <w:rFonts w:ascii="Calibri" w:hAnsi="Calibri"/>
                <w:w w:val="105"/>
              </w:rPr>
              <w:t>costs</w:t>
            </w:r>
            <w:r w:rsidRPr="00EA7458">
              <w:rPr>
                <w:rFonts w:ascii="Calibri" w:hAnsi="Calibri"/>
                <w:spacing w:val="10"/>
                <w:w w:val="105"/>
              </w:rPr>
              <w:t xml:space="preserve"> </w:t>
            </w:r>
            <w:r w:rsidRPr="00EA7458">
              <w:rPr>
                <w:rFonts w:ascii="Calibri" w:hAnsi="Calibri"/>
                <w:w w:val="105"/>
              </w:rPr>
              <w:t>of</w:t>
            </w:r>
            <w:r w:rsidRPr="00EA7458">
              <w:rPr>
                <w:rFonts w:ascii="Calibri" w:hAnsi="Calibri"/>
                <w:spacing w:val="10"/>
                <w:w w:val="105"/>
              </w:rPr>
              <w:t xml:space="preserve"> </w:t>
            </w:r>
            <w:r w:rsidRPr="00EA7458">
              <w:rPr>
                <w:rFonts w:ascii="Calibri" w:hAnsi="Calibri"/>
                <w:w w:val="105"/>
              </w:rPr>
              <w:t>carrying</w:t>
            </w:r>
            <w:r w:rsidRPr="00EA7458">
              <w:rPr>
                <w:rFonts w:ascii="Calibri" w:hAnsi="Calibri"/>
                <w:spacing w:val="10"/>
                <w:w w:val="105"/>
              </w:rPr>
              <w:t xml:space="preserve"> </w:t>
            </w:r>
            <w:r w:rsidRPr="00EA7458">
              <w:rPr>
                <w:rFonts w:ascii="Calibri" w:hAnsi="Calibri"/>
                <w:w w:val="105"/>
              </w:rPr>
              <w:t>out</w:t>
            </w:r>
            <w:r w:rsidRPr="00EA7458">
              <w:rPr>
                <w:rFonts w:ascii="Calibri" w:hAnsi="Calibri"/>
                <w:w w:val="102"/>
              </w:rPr>
              <w:t xml:space="preserve"> </w:t>
            </w:r>
            <w:r w:rsidRPr="00EA7458">
              <w:rPr>
                <w:rFonts w:ascii="Calibri" w:hAnsi="Calibri"/>
                <w:w w:val="105"/>
              </w:rPr>
              <w:t>section 116, from funds made available through each of the core programs;</w:t>
            </w:r>
          </w:p>
        </w:tc>
      </w:tr>
      <w:tr w:rsidR="00EA7458" w:rsidRPr="00EA7458" w14:paraId="74E29B1B" w14:textId="77777777" w:rsidTr="00CB6D48">
        <w:trPr>
          <w:trHeight w:hRule="exact" w:val="1508"/>
        </w:trPr>
        <w:tc>
          <w:tcPr>
            <w:tcW w:w="558" w:type="dxa"/>
            <w:tcBorders>
              <w:top w:val="single" w:sz="2" w:space="0" w:color="231F20"/>
              <w:left w:val="single" w:sz="2" w:space="0" w:color="231F20"/>
              <w:bottom w:val="single" w:sz="2" w:space="0" w:color="231F20"/>
              <w:right w:val="single" w:sz="2" w:space="0" w:color="231F20"/>
            </w:tcBorders>
          </w:tcPr>
          <w:p w14:paraId="03DB5870" w14:textId="77777777" w:rsidR="00EA7458" w:rsidRPr="00EA7458" w:rsidRDefault="00EA7458" w:rsidP="00EA7458">
            <w:pPr>
              <w:widowControl w:val="0"/>
              <w:spacing w:before="42" w:after="0" w:line="240" w:lineRule="auto"/>
              <w:ind w:left="77"/>
              <w:rPr>
                <w:rFonts w:ascii="Calibri" w:hAnsi="Calibri" w:cs="Calibri"/>
              </w:rPr>
            </w:pPr>
            <w:r w:rsidRPr="00EA7458">
              <w:rPr>
                <w:rFonts w:ascii="Calibri" w:hAnsi="Calibri"/>
                <w:color w:val="231F20"/>
                <w:spacing w:val="-5"/>
              </w:rPr>
              <w:t>10.</w:t>
            </w:r>
          </w:p>
        </w:tc>
        <w:tc>
          <w:tcPr>
            <w:tcW w:w="9602" w:type="dxa"/>
            <w:tcBorders>
              <w:top w:val="single" w:sz="2" w:space="0" w:color="231F20"/>
              <w:left w:val="single" w:sz="2" w:space="0" w:color="231F20"/>
              <w:bottom w:val="single" w:sz="2" w:space="0" w:color="231F20"/>
              <w:right w:val="single" w:sz="2" w:space="0" w:color="231F20"/>
            </w:tcBorders>
          </w:tcPr>
          <w:p w14:paraId="177F503E" w14:textId="5015B875" w:rsidR="0085729E" w:rsidRDefault="00EA7458" w:rsidP="00D63204">
            <w:pPr>
              <w:widowControl w:val="0"/>
              <w:spacing w:before="40" w:after="0" w:line="264" w:lineRule="exact"/>
              <w:ind w:left="77" w:right="112"/>
              <w:rPr>
                <w:rFonts w:ascii="Calibri" w:hAnsi="Calibri"/>
                <w:w w:val="105"/>
              </w:rPr>
            </w:pPr>
            <w:r w:rsidRPr="00EA7458">
              <w:rPr>
                <w:rFonts w:ascii="Calibri" w:hAnsi="Calibri"/>
                <w:w w:val="105"/>
              </w:rPr>
              <w:t>The</w:t>
            </w:r>
            <w:r w:rsidRPr="00CB6D48">
              <w:rPr>
                <w:rFonts w:ascii="Calibri" w:hAnsi="Calibri"/>
                <w:w w:val="105"/>
              </w:rPr>
              <w:t xml:space="preserve"> </w:t>
            </w:r>
            <w:r w:rsidR="00E9294B">
              <w:rPr>
                <w:rFonts w:ascii="Calibri" w:hAnsi="Calibri"/>
                <w:w w:val="105"/>
              </w:rPr>
              <w:t>s</w:t>
            </w:r>
            <w:r w:rsidRPr="00EA7458">
              <w:rPr>
                <w:rFonts w:ascii="Calibri" w:hAnsi="Calibri"/>
                <w:w w:val="105"/>
              </w:rPr>
              <w:t>tate</w:t>
            </w:r>
            <w:r w:rsidRPr="00CB6D48">
              <w:rPr>
                <w:rFonts w:ascii="Calibri" w:hAnsi="Calibri"/>
                <w:w w:val="105"/>
              </w:rPr>
              <w:t xml:space="preserve"> </w:t>
            </w:r>
            <w:r w:rsidRPr="00EA7458">
              <w:rPr>
                <w:rFonts w:ascii="Calibri" w:hAnsi="Calibri"/>
                <w:w w:val="105"/>
              </w:rPr>
              <w:t>has</w:t>
            </w:r>
            <w:r w:rsidRPr="00CB6D48">
              <w:rPr>
                <w:rFonts w:ascii="Calibri" w:hAnsi="Calibri"/>
                <w:w w:val="105"/>
              </w:rPr>
              <w:t xml:space="preserve"> </w:t>
            </w:r>
            <w:r w:rsidRPr="00EA7458">
              <w:rPr>
                <w:rFonts w:ascii="Calibri" w:hAnsi="Calibri"/>
                <w:w w:val="105"/>
              </w:rPr>
              <w:t>a</w:t>
            </w:r>
            <w:r w:rsidRPr="00CB6D48">
              <w:rPr>
                <w:rFonts w:ascii="Calibri" w:hAnsi="Calibri"/>
                <w:w w:val="105"/>
              </w:rPr>
              <w:t xml:space="preserve"> </w:t>
            </w:r>
            <w:r w:rsidRPr="00EA7458">
              <w:rPr>
                <w:rFonts w:ascii="Calibri" w:hAnsi="Calibri"/>
                <w:w w:val="105"/>
              </w:rPr>
              <w:t>one-stop</w:t>
            </w:r>
            <w:r w:rsidRPr="00CB6D48">
              <w:rPr>
                <w:rFonts w:ascii="Calibri" w:hAnsi="Calibri"/>
                <w:w w:val="105"/>
              </w:rPr>
              <w:t xml:space="preserve"> </w:t>
            </w:r>
            <w:r w:rsidRPr="00EA7458">
              <w:rPr>
                <w:rFonts w:ascii="Calibri" w:hAnsi="Calibri"/>
                <w:w w:val="105"/>
              </w:rPr>
              <w:t>certification</w:t>
            </w:r>
            <w:r w:rsidRPr="00CB6D48">
              <w:rPr>
                <w:rFonts w:ascii="Calibri" w:hAnsi="Calibri"/>
                <w:w w:val="105"/>
              </w:rPr>
              <w:t xml:space="preserve"> </w:t>
            </w:r>
            <w:r w:rsidRPr="00EA7458">
              <w:rPr>
                <w:rFonts w:ascii="Calibri" w:hAnsi="Calibri"/>
                <w:w w:val="105"/>
              </w:rPr>
              <w:t>policy</w:t>
            </w:r>
            <w:r w:rsidRPr="00CB6D48">
              <w:rPr>
                <w:rFonts w:ascii="Calibri" w:hAnsi="Calibri"/>
                <w:w w:val="105"/>
              </w:rPr>
              <w:t xml:space="preserve"> </w:t>
            </w:r>
            <w:r w:rsidRPr="00EA7458">
              <w:rPr>
                <w:rFonts w:ascii="Calibri" w:hAnsi="Calibri"/>
                <w:w w:val="105"/>
              </w:rPr>
              <w:t>that</w:t>
            </w:r>
            <w:r w:rsidRPr="00CB6D48">
              <w:rPr>
                <w:rFonts w:ascii="Calibri" w:hAnsi="Calibri"/>
                <w:w w:val="105"/>
              </w:rPr>
              <w:t xml:space="preserve"> </w:t>
            </w:r>
            <w:r w:rsidRPr="00EA7458">
              <w:rPr>
                <w:rFonts w:ascii="Calibri" w:hAnsi="Calibri"/>
                <w:w w:val="105"/>
              </w:rPr>
              <w:t>ensures</w:t>
            </w:r>
            <w:r w:rsidRPr="00CB6D48">
              <w:rPr>
                <w:rFonts w:ascii="Calibri" w:hAnsi="Calibri"/>
                <w:w w:val="105"/>
              </w:rPr>
              <w:t xml:space="preserve"> </w:t>
            </w:r>
            <w:r w:rsidRPr="00EA7458">
              <w:rPr>
                <w:rFonts w:ascii="Calibri" w:hAnsi="Calibri"/>
                <w:w w:val="105"/>
              </w:rPr>
              <w:t>the</w:t>
            </w:r>
            <w:r w:rsidRPr="00CB6D48">
              <w:rPr>
                <w:rFonts w:ascii="Calibri" w:hAnsi="Calibri"/>
                <w:w w:val="105"/>
              </w:rPr>
              <w:t xml:space="preserve"> </w:t>
            </w:r>
            <w:r w:rsidRPr="00EA7458">
              <w:rPr>
                <w:rFonts w:ascii="Calibri" w:hAnsi="Calibri"/>
                <w:w w:val="105"/>
              </w:rPr>
              <w:t>physical</w:t>
            </w:r>
            <w:r w:rsidRPr="00CB6D48">
              <w:rPr>
                <w:rFonts w:ascii="Calibri" w:hAnsi="Calibri"/>
                <w:w w:val="105"/>
              </w:rPr>
              <w:t xml:space="preserve"> </w:t>
            </w:r>
            <w:r w:rsidRPr="00EA7458">
              <w:rPr>
                <w:rFonts w:ascii="Calibri" w:hAnsi="Calibri"/>
                <w:w w:val="105"/>
              </w:rPr>
              <w:t>and</w:t>
            </w:r>
            <w:r w:rsidRPr="00CB6D48">
              <w:rPr>
                <w:rFonts w:ascii="Calibri" w:hAnsi="Calibri"/>
                <w:w w:val="105"/>
              </w:rPr>
              <w:t xml:space="preserve"> </w:t>
            </w:r>
            <w:r w:rsidRPr="00EA7458">
              <w:rPr>
                <w:rFonts w:ascii="Calibri" w:hAnsi="Calibri"/>
                <w:w w:val="105"/>
              </w:rPr>
              <w:t>programmatic</w:t>
            </w:r>
            <w:r w:rsidRPr="00CB6D48">
              <w:rPr>
                <w:rFonts w:ascii="Calibri" w:hAnsi="Calibri"/>
                <w:w w:val="105"/>
              </w:rPr>
              <w:t xml:space="preserve"> </w:t>
            </w:r>
            <w:r w:rsidRPr="00EA7458">
              <w:rPr>
                <w:rFonts w:ascii="Calibri" w:hAnsi="Calibri"/>
                <w:w w:val="105"/>
              </w:rPr>
              <w:t>accessibility of all one-stop centers with the Americans with Disabilities Act of 1990 (ADA);</w:t>
            </w:r>
          </w:p>
          <w:p w14:paraId="521AC6A1" w14:textId="77777777" w:rsidR="00CB6D48" w:rsidRDefault="00CB6D48" w:rsidP="00D63204">
            <w:pPr>
              <w:widowControl w:val="0"/>
              <w:spacing w:before="40" w:after="0" w:line="264" w:lineRule="exact"/>
              <w:ind w:left="77" w:right="112"/>
              <w:rPr>
                <w:rFonts w:ascii="Calibri" w:hAnsi="Calibri"/>
                <w:w w:val="105"/>
              </w:rPr>
            </w:pPr>
          </w:p>
          <w:p w14:paraId="7BFDD0E0" w14:textId="5BBBA564" w:rsidR="00EA7458" w:rsidRDefault="00BC1D20" w:rsidP="00D63204">
            <w:pPr>
              <w:widowControl w:val="0"/>
              <w:spacing w:before="40" w:after="0" w:line="264" w:lineRule="exact"/>
              <w:ind w:left="77" w:right="112"/>
              <w:rPr>
                <w:rFonts w:ascii="Calibri" w:hAnsi="Calibri"/>
                <w:w w:val="105"/>
              </w:rPr>
            </w:pPr>
            <w:hyperlink r:id="rId135" w:history="1">
              <w:r w:rsidR="0085729E" w:rsidRPr="00704DA7">
                <w:rPr>
                  <w:rStyle w:val="Hyperlink"/>
                </w:rPr>
                <w:t>http://www.floridajobs.org/docs/default-source/2017-guidance-papers/oscc_certification-ap93.pdf?sfvrsn=2</w:t>
              </w:r>
            </w:hyperlink>
            <w:r w:rsidR="0085729E">
              <w:rPr>
                <w:rFonts w:ascii="Calibri" w:hAnsi="Calibri"/>
                <w:w w:val="105"/>
              </w:rPr>
              <w:t xml:space="preserve"> </w:t>
            </w:r>
            <w:r w:rsidR="0085729E">
              <w:rPr>
                <w:rFonts w:ascii="Calibri" w:hAnsi="Calibri"/>
                <w:w w:val="105"/>
              </w:rPr>
              <w:br/>
            </w:r>
          </w:p>
          <w:p w14:paraId="10DC778A" w14:textId="76F3A495" w:rsidR="0085729E" w:rsidRPr="00EA7458" w:rsidRDefault="0085729E" w:rsidP="00EA7458">
            <w:pPr>
              <w:widowControl w:val="0"/>
              <w:spacing w:before="40" w:after="0" w:line="264" w:lineRule="exact"/>
              <w:ind w:left="77" w:right="915"/>
              <w:rPr>
                <w:rFonts w:ascii="Calibri" w:hAnsi="Calibri" w:cs="Calibri"/>
              </w:rPr>
            </w:pPr>
          </w:p>
        </w:tc>
      </w:tr>
      <w:tr w:rsidR="00EA7458" w:rsidRPr="00EA7458" w14:paraId="6ACCE7B3" w14:textId="77777777" w:rsidTr="00CB6D48">
        <w:trPr>
          <w:trHeight w:hRule="exact" w:val="1625"/>
        </w:trPr>
        <w:tc>
          <w:tcPr>
            <w:tcW w:w="558" w:type="dxa"/>
            <w:tcBorders>
              <w:top w:val="single" w:sz="2" w:space="0" w:color="231F20"/>
              <w:left w:val="single" w:sz="2" w:space="0" w:color="231F20"/>
              <w:bottom w:val="single" w:sz="2" w:space="0" w:color="231F20"/>
              <w:right w:val="single" w:sz="2" w:space="0" w:color="231F20"/>
            </w:tcBorders>
            <w:shd w:val="clear" w:color="auto" w:fill="E6E7E8"/>
          </w:tcPr>
          <w:p w14:paraId="346560EE" w14:textId="77777777" w:rsidR="00EA7458" w:rsidRPr="00EA7458" w:rsidRDefault="00EA7458" w:rsidP="00EA7458">
            <w:pPr>
              <w:widowControl w:val="0"/>
              <w:spacing w:before="42" w:after="0" w:line="240" w:lineRule="auto"/>
              <w:ind w:left="77"/>
              <w:rPr>
                <w:rFonts w:ascii="Calibri" w:hAnsi="Calibri" w:cs="Calibri"/>
              </w:rPr>
            </w:pPr>
            <w:r w:rsidRPr="00EA7458">
              <w:rPr>
                <w:rFonts w:ascii="Calibri" w:hAnsi="Calibri"/>
                <w:color w:val="231F20"/>
                <w:w w:val="80"/>
              </w:rPr>
              <w:t>11.</w:t>
            </w:r>
          </w:p>
        </w:tc>
        <w:tc>
          <w:tcPr>
            <w:tcW w:w="9602" w:type="dxa"/>
            <w:tcBorders>
              <w:top w:val="single" w:sz="2" w:space="0" w:color="231F20"/>
              <w:left w:val="single" w:sz="2" w:space="0" w:color="231F20"/>
              <w:bottom w:val="single" w:sz="2" w:space="0" w:color="231F20"/>
              <w:right w:val="single" w:sz="2" w:space="0" w:color="231F20"/>
            </w:tcBorders>
            <w:shd w:val="clear" w:color="auto" w:fill="E6E7E8"/>
          </w:tcPr>
          <w:p w14:paraId="304469B2" w14:textId="77777777" w:rsidR="00EA7458" w:rsidRPr="00CB6D48" w:rsidRDefault="00EA7458" w:rsidP="00D63204">
            <w:pPr>
              <w:widowControl w:val="0"/>
              <w:spacing w:before="40" w:after="0" w:line="264" w:lineRule="exact"/>
              <w:ind w:left="77" w:right="112"/>
              <w:rPr>
                <w:rFonts w:ascii="Calibri" w:hAnsi="Calibri"/>
                <w:w w:val="105"/>
              </w:rPr>
            </w:pPr>
            <w:r w:rsidRPr="00EA7458">
              <w:rPr>
                <w:rFonts w:ascii="Calibri" w:hAnsi="Calibri"/>
                <w:w w:val="105"/>
              </w:rPr>
              <w:t>Service</w:t>
            </w:r>
            <w:r w:rsidRPr="00CB6D48">
              <w:rPr>
                <w:rFonts w:ascii="Calibri" w:hAnsi="Calibri"/>
                <w:w w:val="105"/>
              </w:rPr>
              <w:t xml:space="preserve"> </w:t>
            </w:r>
            <w:r w:rsidRPr="00EA7458">
              <w:rPr>
                <w:rFonts w:ascii="Calibri" w:hAnsi="Calibri"/>
                <w:w w:val="105"/>
              </w:rPr>
              <w:t>providers</w:t>
            </w:r>
            <w:r w:rsidRPr="00CB6D48">
              <w:rPr>
                <w:rFonts w:ascii="Calibri" w:hAnsi="Calibri"/>
                <w:w w:val="105"/>
              </w:rPr>
              <w:t xml:space="preserve"> </w:t>
            </w:r>
            <w:r w:rsidRPr="00EA7458">
              <w:rPr>
                <w:rFonts w:ascii="Calibri" w:hAnsi="Calibri"/>
                <w:w w:val="105"/>
              </w:rPr>
              <w:t>have</w:t>
            </w:r>
            <w:r w:rsidRPr="00CB6D48">
              <w:rPr>
                <w:rFonts w:ascii="Calibri" w:hAnsi="Calibri"/>
                <w:w w:val="105"/>
              </w:rPr>
              <w:t xml:space="preserve"> </w:t>
            </w:r>
            <w:r w:rsidRPr="00EA7458">
              <w:rPr>
                <w:rFonts w:ascii="Calibri" w:hAnsi="Calibri"/>
                <w:w w:val="105"/>
              </w:rPr>
              <w:t>a</w:t>
            </w:r>
            <w:r w:rsidRPr="00CB6D48">
              <w:rPr>
                <w:rFonts w:ascii="Calibri" w:hAnsi="Calibri"/>
                <w:w w:val="105"/>
              </w:rPr>
              <w:t xml:space="preserve"> </w:t>
            </w:r>
            <w:r w:rsidRPr="00EA7458">
              <w:rPr>
                <w:rFonts w:ascii="Calibri" w:hAnsi="Calibri"/>
                <w:w w:val="105"/>
              </w:rPr>
              <w:t>referral</w:t>
            </w:r>
            <w:r w:rsidRPr="00CB6D48">
              <w:rPr>
                <w:rFonts w:ascii="Calibri" w:hAnsi="Calibri"/>
                <w:w w:val="105"/>
              </w:rPr>
              <w:t xml:space="preserve"> </w:t>
            </w:r>
            <w:r w:rsidRPr="00EA7458">
              <w:rPr>
                <w:rFonts w:ascii="Calibri" w:hAnsi="Calibri"/>
                <w:w w:val="105"/>
              </w:rPr>
              <w:t>process</w:t>
            </w:r>
            <w:r w:rsidRPr="00CB6D48">
              <w:rPr>
                <w:rFonts w:ascii="Calibri" w:hAnsi="Calibri"/>
                <w:w w:val="105"/>
              </w:rPr>
              <w:t xml:space="preserve"> </w:t>
            </w:r>
            <w:r w:rsidRPr="00EA7458">
              <w:rPr>
                <w:rFonts w:ascii="Calibri" w:hAnsi="Calibri"/>
                <w:w w:val="105"/>
              </w:rPr>
              <w:t>in</w:t>
            </w:r>
            <w:r w:rsidRPr="00CB6D48">
              <w:rPr>
                <w:rFonts w:ascii="Calibri" w:hAnsi="Calibri"/>
                <w:w w:val="105"/>
              </w:rPr>
              <w:t xml:space="preserve"> </w:t>
            </w:r>
            <w:r w:rsidRPr="00EA7458">
              <w:rPr>
                <w:rFonts w:ascii="Calibri" w:hAnsi="Calibri"/>
                <w:w w:val="105"/>
              </w:rPr>
              <w:t>place</w:t>
            </w:r>
            <w:r w:rsidRPr="00CB6D48">
              <w:rPr>
                <w:rFonts w:ascii="Calibri" w:hAnsi="Calibri"/>
                <w:w w:val="105"/>
              </w:rPr>
              <w:t xml:space="preserve"> </w:t>
            </w:r>
            <w:r w:rsidRPr="00EA7458">
              <w:rPr>
                <w:rFonts w:ascii="Calibri" w:hAnsi="Calibri"/>
                <w:w w:val="105"/>
              </w:rPr>
              <w:t>for</w:t>
            </w:r>
            <w:r w:rsidRPr="00CB6D48">
              <w:rPr>
                <w:rFonts w:ascii="Calibri" w:hAnsi="Calibri"/>
                <w:w w:val="105"/>
              </w:rPr>
              <w:t xml:space="preserve"> </w:t>
            </w:r>
            <w:r w:rsidRPr="00EA7458">
              <w:rPr>
                <w:rFonts w:ascii="Calibri" w:hAnsi="Calibri"/>
                <w:w w:val="105"/>
              </w:rPr>
              <w:t>directing</w:t>
            </w:r>
            <w:r w:rsidRPr="00CB6D48">
              <w:rPr>
                <w:rFonts w:ascii="Calibri" w:hAnsi="Calibri"/>
                <w:w w:val="105"/>
              </w:rPr>
              <w:t xml:space="preserve"> </w:t>
            </w:r>
            <w:r w:rsidRPr="00EA7458">
              <w:rPr>
                <w:rFonts w:ascii="Calibri" w:hAnsi="Calibri"/>
                <w:w w:val="105"/>
              </w:rPr>
              <w:t>Veterans</w:t>
            </w:r>
            <w:r w:rsidRPr="00CB6D48">
              <w:rPr>
                <w:rFonts w:ascii="Calibri" w:hAnsi="Calibri"/>
                <w:w w:val="105"/>
              </w:rPr>
              <w:t xml:space="preserve"> </w:t>
            </w:r>
            <w:r w:rsidRPr="00EA7458">
              <w:rPr>
                <w:rFonts w:ascii="Calibri" w:hAnsi="Calibri"/>
                <w:w w:val="105"/>
              </w:rPr>
              <w:t>with</w:t>
            </w:r>
            <w:r w:rsidRPr="00CB6D48">
              <w:rPr>
                <w:rFonts w:ascii="Calibri" w:hAnsi="Calibri"/>
                <w:w w:val="105"/>
              </w:rPr>
              <w:t xml:space="preserve"> </w:t>
            </w:r>
            <w:r w:rsidRPr="00EA7458">
              <w:rPr>
                <w:rFonts w:ascii="Calibri" w:hAnsi="Calibri"/>
                <w:w w:val="105"/>
              </w:rPr>
              <w:t>Significant</w:t>
            </w:r>
            <w:r w:rsidRPr="00CB6D48">
              <w:rPr>
                <w:rFonts w:ascii="Calibri" w:hAnsi="Calibri"/>
                <w:w w:val="105"/>
              </w:rPr>
              <w:t xml:space="preserve"> </w:t>
            </w:r>
            <w:r w:rsidRPr="00EA7458">
              <w:rPr>
                <w:rFonts w:ascii="Calibri" w:hAnsi="Calibri"/>
                <w:w w:val="105"/>
              </w:rPr>
              <w:t>Barriers</w:t>
            </w:r>
            <w:r w:rsidRPr="00CB6D48">
              <w:rPr>
                <w:rFonts w:ascii="Calibri" w:hAnsi="Calibri"/>
                <w:w w:val="105"/>
              </w:rPr>
              <w:t xml:space="preserve"> </w:t>
            </w:r>
            <w:r w:rsidRPr="00EA7458">
              <w:rPr>
                <w:rFonts w:ascii="Calibri" w:hAnsi="Calibri"/>
                <w:w w:val="105"/>
              </w:rPr>
              <w:t xml:space="preserve">to Employment (SBE) to </w:t>
            </w:r>
            <w:r w:rsidRPr="00CB6D48">
              <w:rPr>
                <w:rFonts w:ascii="Calibri" w:hAnsi="Calibri"/>
                <w:w w:val="105"/>
              </w:rPr>
              <w:t xml:space="preserve">DVOP </w:t>
            </w:r>
            <w:r w:rsidRPr="00EA7458">
              <w:rPr>
                <w:rFonts w:ascii="Calibri" w:hAnsi="Calibri"/>
                <w:w w:val="105"/>
              </w:rPr>
              <w:t>services, when appropriate; and</w:t>
            </w:r>
          </w:p>
          <w:p w14:paraId="4B97A655" w14:textId="77777777" w:rsidR="00EA7458" w:rsidRPr="00CB6D48" w:rsidRDefault="00EA7458" w:rsidP="00D63204">
            <w:pPr>
              <w:widowControl w:val="0"/>
              <w:spacing w:before="40" w:after="0" w:line="264" w:lineRule="exact"/>
              <w:ind w:left="77" w:right="112"/>
              <w:rPr>
                <w:rFonts w:ascii="Calibri" w:hAnsi="Calibri"/>
                <w:w w:val="105"/>
              </w:rPr>
            </w:pPr>
          </w:p>
          <w:p w14:paraId="13D4EE76" w14:textId="740D0128" w:rsidR="00EA7458" w:rsidRPr="00EA7458" w:rsidRDefault="00BC1D20" w:rsidP="00D63204">
            <w:pPr>
              <w:widowControl w:val="0"/>
              <w:spacing w:before="40" w:after="0" w:line="264" w:lineRule="exact"/>
              <w:ind w:left="77" w:right="112"/>
              <w:rPr>
                <w:rFonts w:ascii="Calibri" w:hAnsi="Calibri" w:cs="Calibri"/>
              </w:rPr>
            </w:pPr>
            <w:hyperlink r:id="rId136">
              <w:r w:rsidR="00EA7458" w:rsidRPr="00704DA7">
                <w:rPr>
                  <w:rStyle w:val="Hyperlink"/>
                </w:rPr>
                <w:t xml:space="preserve">http://www.floridajobs.org/docs/default-source/2015-memoranda/memo_vets-homelessness_ </w:t>
              </w:r>
            </w:hyperlink>
            <w:hyperlink r:id="rId137">
              <w:r w:rsidR="00EA7458" w:rsidRPr="00704DA7">
                <w:rPr>
                  <w:rStyle w:val="Hyperlink"/>
                </w:rPr>
                <w:t>significantbarrier_to_employment.pdf ?sfvrsn=2</w:t>
              </w:r>
            </w:hyperlink>
            <w:r w:rsidR="0085729E">
              <w:rPr>
                <w:rFonts w:ascii="Calibri" w:hAnsi="Calibri"/>
                <w:color w:val="5F5F5F"/>
                <w:w w:val="105"/>
                <w:u w:val="single" w:color="5F5F5F"/>
              </w:rPr>
              <w:t xml:space="preserve"> </w:t>
            </w:r>
          </w:p>
        </w:tc>
      </w:tr>
      <w:tr w:rsidR="00AD2785" w:rsidRPr="00EA7458" w14:paraId="2B12835B" w14:textId="77777777" w:rsidTr="005850AD">
        <w:trPr>
          <w:trHeight w:hRule="exact" w:val="1067"/>
        </w:trPr>
        <w:tc>
          <w:tcPr>
            <w:tcW w:w="558" w:type="dxa"/>
            <w:tcBorders>
              <w:top w:val="single" w:sz="2" w:space="0" w:color="231F20"/>
              <w:left w:val="single" w:sz="2" w:space="0" w:color="231F20"/>
              <w:bottom w:val="single" w:sz="2" w:space="0" w:color="231F20"/>
              <w:right w:val="single" w:sz="2" w:space="0" w:color="231F20"/>
            </w:tcBorders>
            <w:shd w:val="clear" w:color="auto" w:fill="E6E7E8"/>
          </w:tcPr>
          <w:p w14:paraId="634865B5" w14:textId="3AA50909" w:rsidR="00AD2785" w:rsidRPr="00EA7458" w:rsidRDefault="005850AD" w:rsidP="00D63204">
            <w:pPr>
              <w:widowControl w:val="0"/>
              <w:spacing w:before="42" w:after="0" w:line="240" w:lineRule="auto"/>
              <w:ind w:left="77"/>
              <w:rPr>
                <w:rFonts w:ascii="Calibri" w:hAnsi="Calibri"/>
                <w:color w:val="231F20"/>
                <w:w w:val="80"/>
              </w:rPr>
            </w:pPr>
            <w:r>
              <w:rPr>
                <w:rFonts w:ascii="Calibri" w:hAnsi="Calibri"/>
                <w:color w:val="231F20"/>
                <w:w w:val="80"/>
              </w:rPr>
              <w:t>12.</w:t>
            </w:r>
          </w:p>
        </w:tc>
        <w:tc>
          <w:tcPr>
            <w:tcW w:w="9602" w:type="dxa"/>
            <w:tcBorders>
              <w:top w:val="single" w:sz="2" w:space="0" w:color="231F20"/>
              <w:left w:val="single" w:sz="2" w:space="0" w:color="231F20"/>
              <w:bottom w:val="single" w:sz="2" w:space="0" w:color="231F20"/>
              <w:right w:val="single" w:sz="2" w:space="0" w:color="231F20"/>
            </w:tcBorders>
            <w:shd w:val="clear" w:color="auto" w:fill="E6E7E8"/>
          </w:tcPr>
          <w:p w14:paraId="6B72B83A" w14:textId="1AF4013E" w:rsidR="00AD2785" w:rsidRPr="00EA7458" w:rsidRDefault="005850AD" w:rsidP="00D63204">
            <w:pPr>
              <w:widowControl w:val="0"/>
              <w:spacing w:before="40" w:after="0" w:line="264" w:lineRule="exact"/>
              <w:ind w:left="77" w:right="112"/>
              <w:rPr>
                <w:rFonts w:ascii="Calibri" w:hAnsi="Calibri"/>
                <w:w w:val="105"/>
              </w:rPr>
            </w:pPr>
            <w:r>
              <w:rPr>
                <w:rFonts w:ascii="Calibri" w:hAnsi="Calibri"/>
                <w:w w:val="105"/>
              </w:rPr>
              <w:t>Priority of service for veterans and eligible sp</w:t>
            </w:r>
            <w:r w:rsidR="00AB3DEA">
              <w:rPr>
                <w:rFonts w:ascii="Calibri" w:hAnsi="Calibri"/>
                <w:w w:val="105"/>
              </w:rPr>
              <w:t>o</w:t>
            </w:r>
            <w:r>
              <w:rPr>
                <w:rFonts w:ascii="Calibri" w:hAnsi="Calibri"/>
                <w:w w:val="105"/>
              </w:rPr>
              <w:t>uses is provided in accordance with 38 USC 4215 in all workforce preparation, development or delivery of programs or services funded directly, in whole or in part, by the Department of Labor.</w:t>
            </w:r>
          </w:p>
        </w:tc>
      </w:tr>
    </w:tbl>
    <w:p w14:paraId="51E1BF21" w14:textId="77777777" w:rsidR="00EA7458" w:rsidRPr="00EA7458" w:rsidRDefault="00EA7458" w:rsidP="00EA7458">
      <w:pPr>
        <w:widowControl w:val="0"/>
        <w:spacing w:after="0" w:line="264" w:lineRule="exact"/>
        <w:rPr>
          <w:rFonts w:ascii="Calibri" w:hAnsi="Calibri" w:cs="Calibri"/>
        </w:rPr>
        <w:sectPr w:rsidR="00EA7458" w:rsidRPr="00EA7458">
          <w:footerReference w:type="default" r:id="rId138"/>
          <w:pgSz w:w="12240" w:h="15840"/>
          <w:pgMar w:top="1620" w:right="900" w:bottom="820" w:left="900" w:header="812" w:footer="624" w:gutter="0"/>
          <w:pgNumType w:start="101"/>
          <w:cols w:space="720"/>
        </w:sectPr>
      </w:pPr>
    </w:p>
    <w:p w14:paraId="5C6E2DA1" w14:textId="77777777" w:rsidR="00EA7458" w:rsidRPr="00EA7458" w:rsidRDefault="00EA7458" w:rsidP="00EA7458">
      <w:pPr>
        <w:widowControl w:val="0"/>
        <w:spacing w:before="2" w:after="0" w:line="240" w:lineRule="auto"/>
        <w:rPr>
          <w:rFonts w:ascii="Times New Roman" w:hAnsi="Times New Roman"/>
          <w:sz w:val="15"/>
          <w:szCs w:val="15"/>
        </w:rPr>
      </w:pPr>
    </w:p>
    <w:p w14:paraId="09D94EC3" w14:textId="77777777" w:rsidR="00EA7458" w:rsidRPr="00EA7458" w:rsidRDefault="00EA7458" w:rsidP="00EA7458">
      <w:pPr>
        <w:widowControl w:val="0"/>
        <w:spacing w:before="57" w:after="0" w:line="240" w:lineRule="auto"/>
        <w:ind w:left="107"/>
        <w:outlineLvl w:val="2"/>
        <w:rPr>
          <w:rFonts w:ascii="Calibri" w:hAnsi="Calibri"/>
        </w:rPr>
      </w:pPr>
      <w:r w:rsidRPr="00EA7458">
        <w:rPr>
          <w:rFonts w:ascii="Calibri" w:hAnsi="Calibri"/>
          <w:b/>
          <w:bCs/>
          <w:color w:val="231F20"/>
          <w:w w:val="110"/>
        </w:rPr>
        <w:t>CareerSource</w:t>
      </w:r>
      <w:r w:rsidRPr="00EA7458">
        <w:rPr>
          <w:rFonts w:ascii="Calibri" w:hAnsi="Calibri"/>
          <w:b/>
          <w:bCs/>
          <w:color w:val="231F20"/>
          <w:spacing w:val="18"/>
          <w:w w:val="110"/>
        </w:rPr>
        <w:t xml:space="preserve"> </w:t>
      </w:r>
      <w:r w:rsidRPr="00EA7458">
        <w:rPr>
          <w:rFonts w:ascii="Calibri" w:hAnsi="Calibri"/>
          <w:b/>
          <w:bCs/>
          <w:color w:val="231F20"/>
          <w:w w:val="110"/>
        </w:rPr>
        <w:t>Florida</w:t>
      </w:r>
    </w:p>
    <w:p w14:paraId="70AF3713" w14:textId="77777777" w:rsidR="00EA7458" w:rsidRPr="00EA7458" w:rsidRDefault="00EA7458" w:rsidP="00EA7458">
      <w:pPr>
        <w:widowControl w:val="0"/>
        <w:spacing w:after="0" w:line="240" w:lineRule="auto"/>
        <w:rPr>
          <w:rFonts w:ascii="Calibri" w:hAnsi="Calibri" w:cs="Calibri"/>
          <w:b/>
          <w:bCs/>
          <w:sz w:val="20"/>
          <w:szCs w:val="20"/>
        </w:rPr>
      </w:pPr>
    </w:p>
    <w:p w14:paraId="0CE0C280" w14:textId="77777777" w:rsidR="00EA7458" w:rsidRPr="00EA7458" w:rsidRDefault="00EA7458" w:rsidP="00EA7458">
      <w:pPr>
        <w:widowControl w:val="0"/>
        <w:spacing w:after="0" w:line="240" w:lineRule="auto"/>
        <w:rPr>
          <w:rFonts w:ascii="Calibri" w:hAnsi="Calibri" w:cs="Calibri"/>
          <w:b/>
          <w:bCs/>
          <w:sz w:val="20"/>
          <w:szCs w:val="20"/>
        </w:rPr>
      </w:pPr>
    </w:p>
    <w:p w14:paraId="25925FE0" w14:textId="77777777" w:rsidR="00EA7458" w:rsidRPr="00EA7458" w:rsidRDefault="00EA7458" w:rsidP="00EA7458">
      <w:pPr>
        <w:widowControl w:val="0"/>
        <w:spacing w:after="0" w:line="240" w:lineRule="auto"/>
        <w:rPr>
          <w:rFonts w:ascii="Calibri" w:hAnsi="Calibri" w:cs="Calibri"/>
          <w:b/>
          <w:bCs/>
          <w:sz w:val="20"/>
          <w:szCs w:val="20"/>
        </w:rPr>
      </w:pPr>
    </w:p>
    <w:p w14:paraId="7B74D0C4" w14:textId="77777777" w:rsidR="00EA7458" w:rsidRPr="00EA7458" w:rsidRDefault="00EA7458" w:rsidP="00EA7458">
      <w:pPr>
        <w:widowControl w:val="0"/>
        <w:spacing w:after="0" w:line="240" w:lineRule="auto"/>
        <w:rPr>
          <w:rFonts w:ascii="Calibri" w:hAnsi="Calibri" w:cs="Calibri"/>
          <w:b/>
          <w:bCs/>
          <w:sz w:val="19"/>
          <w:szCs w:val="19"/>
        </w:rPr>
      </w:pPr>
    </w:p>
    <w:p w14:paraId="74C19ADB" w14:textId="289E7E31" w:rsidR="00EA7458" w:rsidRPr="00EA7458" w:rsidRDefault="00EA7458" w:rsidP="0085729E">
      <w:pPr>
        <w:widowControl w:val="0"/>
        <w:tabs>
          <w:tab w:val="left" w:pos="6154"/>
          <w:tab w:val="left" w:pos="9238"/>
        </w:tabs>
        <w:spacing w:after="0" w:line="240" w:lineRule="auto"/>
        <w:ind w:left="107"/>
        <w:rPr>
          <w:rFonts w:ascii="Calibri" w:hAnsi="Calibri"/>
        </w:rPr>
      </w:pPr>
      <w:r w:rsidRPr="00EA7458">
        <w:rPr>
          <w:rFonts w:ascii="Calibri" w:hAnsi="Calibri"/>
          <w:b/>
          <w:color w:val="231F20"/>
          <w:w w:val="113"/>
          <w:sz w:val="16"/>
          <w:u w:val="single" w:color="221E1F"/>
        </w:rPr>
        <w:t xml:space="preserve"> </w:t>
      </w:r>
      <w:r w:rsidRPr="00EA7458">
        <w:rPr>
          <w:rFonts w:ascii="Calibri" w:hAnsi="Calibri"/>
          <w:b/>
          <w:color w:val="231F20"/>
          <w:sz w:val="16"/>
          <w:u w:val="single" w:color="221E1F"/>
        </w:rPr>
        <w:tab/>
      </w:r>
      <w:r w:rsidRPr="00EA7458">
        <w:rPr>
          <w:rFonts w:ascii="Calibri" w:hAnsi="Calibri"/>
          <w:b/>
          <w:color w:val="231F20"/>
          <w:sz w:val="16"/>
        </w:rPr>
        <w:t xml:space="preserve"> </w:t>
      </w:r>
      <w:r w:rsidRPr="00EA7458">
        <w:rPr>
          <w:rFonts w:ascii="Calibri" w:hAnsi="Calibri"/>
          <w:b/>
          <w:color w:val="231F20"/>
          <w:spacing w:val="-4"/>
          <w:w w:val="115"/>
          <w:sz w:val="16"/>
        </w:rPr>
        <w:t>DATE:</w:t>
      </w:r>
      <w:r w:rsidRPr="00EA7458">
        <w:rPr>
          <w:rFonts w:ascii="Calibri" w:hAnsi="Calibri"/>
          <w:b/>
          <w:color w:val="231F20"/>
          <w:spacing w:val="4"/>
          <w:sz w:val="16"/>
        </w:rPr>
        <w:t xml:space="preserve"> </w:t>
      </w:r>
      <w:r w:rsidRPr="00EA7458">
        <w:rPr>
          <w:rFonts w:ascii="Calibri" w:hAnsi="Calibri"/>
          <w:b/>
          <w:color w:val="231F20"/>
          <w:w w:val="113"/>
          <w:sz w:val="16"/>
          <w:u w:val="single" w:color="221E1F"/>
        </w:rPr>
        <w:t xml:space="preserve"> </w:t>
      </w:r>
      <w:r w:rsidRPr="00EA7458">
        <w:rPr>
          <w:rFonts w:ascii="Calibri" w:hAnsi="Calibri"/>
          <w:b/>
          <w:color w:val="231F20"/>
          <w:sz w:val="16"/>
          <w:u w:val="single" w:color="221E1F"/>
        </w:rPr>
        <w:tab/>
      </w:r>
      <w:r w:rsidR="0085729E">
        <w:rPr>
          <w:rFonts w:ascii="Calibri" w:hAnsi="Calibri"/>
          <w:b/>
          <w:color w:val="231F20"/>
          <w:sz w:val="16"/>
          <w:u w:val="single" w:color="221E1F"/>
        </w:rPr>
        <w:br/>
      </w:r>
      <w:r w:rsidR="009A395E">
        <w:rPr>
          <w:rFonts w:ascii="Calibri" w:hAnsi="Calibri"/>
          <w:color w:val="231F20"/>
          <w:w w:val="110"/>
        </w:rPr>
        <w:t>Michelle Dennard</w:t>
      </w:r>
      <w:r w:rsidRPr="00EA7458">
        <w:rPr>
          <w:rFonts w:ascii="Calibri" w:hAnsi="Calibri"/>
          <w:color w:val="231F20"/>
          <w:spacing w:val="-7"/>
          <w:w w:val="110"/>
        </w:rPr>
        <w:t xml:space="preserve">, </w:t>
      </w:r>
      <w:r w:rsidRPr="00EA7458">
        <w:rPr>
          <w:rFonts w:ascii="Calibri" w:hAnsi="Calibri"/>
          <w:color w:val="231F20"/>
          <w:w w:val="110"/>
        </w:rPr>
        <w:t>President and</w:t>
      </w:r>
      <w:r w:rsidRPr="00EA7458">
        <w:rPr>
          <w:rFonts w:ascii="Calibri" w:hAnsi="Calibri"/>
          <w:color w:val="231F20"/>
          <w:spacing w:val="-5"/>
          <w:w w:val="110"/>
        </w:rPr>
        <w:t xml:space="preserve"> </w:t>
      </w:r>
      <w:r w:rsidRPr="00EA7458">
        <w:rPr>
          <w:rFonts w:ascii="Calibri" w:hAnsi="Calibri"/>
          <w:color w:val="231F20"/>
          <w:w w:val="110"/>
        </w:rPr>
        <w:t>CEO</w:t>
      </w:r>
    </w:p>
    <w:p w14:paraId="425EB47A" w14:textId="77777777" w:rsidR="00EA7458" w:rsidRPr="00EA7458" w:rsidRDefault="00EA7458" w:rsidP="00EA7458">
      <w:pPr>
        <w:widowControl w:val="0"/>
        <w:spacing w:after="0" w:line="240" w:lineRule="auto"/>
        <w:rPr>
          <w:rFonts w:ascii="Calibri" w:hAnsi="Calibri" w:cs="Calibri"/>
        </w:rPr>
      </w:pPr>
    </w:p>
    <w:p w14:paraId="463E7BF8" w14:textId="77777777" w:rsidR="00EA7458" w:rsidRPr="00EA7458" w:rsidRDefault="00EA7458" w:rsidP="00EA7458">
      <w:pPr>
        <w:widowControl w:val="0"/>
        <w:spacing w:after="0" w:line="240" w:lineRule="auto"/>
        <w:rPr>
          <w:rFonts w:ascii="Calibri" w:hAnsi="Calibri" w:cs="Calibri"/>
        </w:rPr>
      </w:pPr>
    </w:p>
    <w:p w14:paraId="6626B627" w14:textId="77777777" w:rsidR="00EA7458" w:rsidRPr="00EA7458" w:rsidRDefault="00EA7458" w:rsidP="00EA7458">
      <w:pPr>
        <w:widowControl w:val="0"/>
        <w:spacing w:after="0" w:line="240" w:lineRule="auto"/>
        <w:rPr>
          <w:rFonts w:ascii="Calibri" w:hAnsi="Calibri" w:cs="Calibri"/>
        </w:rPr>
      </w:pPr>
    </w:p>
    <w:p w14:paraId="7626E6EF" w14:textId="77777777" w:rsidR="00EA7458" w:rsidRPr="00EA7458" w:rsidRDefault="00EA7458" w:rsidP="00EA7458">
      <w:pPr>
        <w:widowControl w:val="0"/>
        <w:spacing w:before="173" w:after="0" w:line="240" w:lineRule="auto"/>
        <w:ind w:left="107"/>
        <w:outlineLvl w:val="2"/>
        <w:rPr>
          <w:rFonts w:ascii="Calibri" w:hAnsi="Calibri"/>
        </w:rPr>
      </w:pPr>
      <w:r w:rsidRPr="00EA7458">
        <w:rPr>
          <w:rFonts w:ascii="Calibri" w:hAnsi="Calibri"/>
          <w:b/>
          <w:bCs/>
          <w:color w:val="231F20"/>
          <w:w w:val="105"/>
        </w:rPr>
        <w:t>Department of Economic</w:t>
      </w:r>
      <w:r w:rsidRPr="00EA7458">
        <w:rPr>
          <w:rFonts w:ascii="Calibri" w:hAnsi="Calibri"/>
          <w:b/>
          <w:bCs/>
          <w:color w:val="231F20"/>
          <w:spacing w:val="-7"/>
          <w:w w:val="105"/>
        </w:rPr>
        <w:t xml:space="preserve"> </w:t>
      </w:r>
      <w:r w:rsidRPr="00EA7458">
        <w:rPr>
          <w:rFonts w:ascii="Calibri" w:hAnsi="Calibri"/>
          <w:b/>
          <w:bCs/>
          <w:color w:val="231F20"/>
          <w:w w:val="105"/>
        </w:rPr>
        <w:t>Opportunity</w:t>
      </w:r>
    </w:p>
    <w:p w14:paraId="4D7646D3" w14:textId="77777777" w:rsidR="00EA7458" w:rsidRPr="00EA7458" w:rsidRDefault="00EA7458" w:rsidP="00EA7458">
      <w:pPr>
        <w:widowControl w:val="0"/>
        <w:spacing w:after="0" w:line="240" w:lineRule="auto"/>
        <w:rPr>
          <w:rFonts w:ascii="Calibri" w:hAnsi="Calibri" w:cs="Calibri"/>
          <w:b/>
          <w:bCs/>
          <w:sz w:val="20"/>
          <w:szCs w:val="20"/>
        </w:rPr>
      </w:pPr>
    </w:p>
    <w:p w14:paraId="4D87EAFD" w14:textId="77777777" w:rsidR="00EA7458" w:rsidRPr="00EA7458" w:rsidRDefault="00EA7458" w:rsidP="00EA7458">
      <w:pPr>
        <w:widowControl w:val="0"/>
        <w:spacing w:after="0" w:line="240" w:lineRule="auto"/>
        <w:rPr>
          <w:rFonts w:ascii="Calibri" w:hAnsi="Calibri" w:cs="Calibri"/>
          <w:b/>
          <w:bCs/>
          <w:sz w:val="20"/>
          <w:szCs w:val="20"/>
        </w:rPr>
      </w:pPr>
    </w:p>
    <w:p w14:paraId="724EB9AF" w14:textId="77777777" w:rsidR="00EA7458" w:rsidRPr="00EA7458" w:rsidRDefault="00EA7458" w:rsidP="00EA7458">
      <w:pPr>
        <w:widowControl w:val="0"/>
        <w:spacing w:after="0" w:line="240" w:lineRule="auto"/>
        <w:rPr>
          <w:rFonts w:ascii="Calibri" w:hAnsi="Calibri" w:cs="Calibri"/>
          <w:b/>
          <w:bCs/>
          <w:sz w:val="20"/>
          <w:szCs w:val="20"/>
        </w:rPr>
      </w:pPr>
    </w:p>
    <w:p w14:paraId="51365D3E" w14:textId="77777777" w:rsidR="00EA7458" w:rsidRPr="00EA7458" w:rsidRDefault="00EA7458" w:rsidP="00EA7458">
      <w:pPr>
        <w:widowControl w:val="0"/>
        <w:spacing w:after="0" w:line="240" w:lineRule="auto"/>
        <w:rPr>
          <w:rFonts w:ascii="Calibri" w:hAnsi="Calibri" w:cs="Calibri"/>
          <w:b/>
          <w:bCs/>
          <w:sz w:val="19"/>
          <w:szCs w:val="19"/>
        </w:rPr>
      </w:pPr>
    </w:p>
    <w:p w14:paraId="7F52F7ED" w14:textId="293EC8A3" w:rsidR="00EA7458" w:rsidRPr="00EA7458" w:rsidRDefault="00EA7458" w:rsidP="0085729E">
      <w:pPr>
        <w:widowControl w:val="0"/>
        <w:tabs>
          <w:tab w:val="left" w:pos="6154"/>
          <w:tab w:val="left" w:pos="9238"/>
        </w:tabs>
        <w:spacing w:after="0" w:line="240" w:lineRule="auto"/>
        <w:ind w:left="107"/>
        <w:rPr>
          <w:rFonts w:ascii="Calibri" w:hAnsi="Calibri"/>
        </w:rPr>
      </w:pPr>
      <w:r w:rsidRPr="00EA7458">
        <w:rPr>
          <w:rFonts w:ascii="Calibri" w:hAnsi="Calibri"/>
          <w:b/>
          <w:color w:val="231F20"/>
          <w:w w:val="113"/>
          <w:sz w:val="16"/>
          <w:u w:val="single" w:color="221E1F"/>
        </w:rPr>
        <w:t xml:space="preserve"> </w:t>
      </w:r>
      <w:r w:rsidRPr="00EA7458">
        <w:rPr>
          <w:rFonts w:ascii="Calibri" w:hAnsi="Calibri"/>
          <w:b/>
          <w:color w:val="231F20"/>
          <w:sz w:val="16"/>
          <w:u w:val="single" w:color="221E1F"/>
        </w:rPr>
        <w:tab/>
      </w:r>
      <w:r w:rsidRPr="00EA7458">
        <w:rPr>
          <w:rFonts w:ascii="Calibri" w:hAnsi="Calibri"/>
          <w:b/>
          <w:color w:val="231F20"/>
          <w:sz w:val="16"/>
        </w:rPr>
        <w:t xml:space="preserve"> </w:t>
      </w:r>
      <w:r w:rsidRPr="00EA7458">
        <w:rPr>
          <w:rFonts w:ascii="Calibri" w:hAnsi="Calibri"/>
          <w:b/>
          <w:color w:val="231F20"/>
          <w:spacing w:val="-4"/>
          <w:w w:val="115"/>
          <w:sz w:val="16"/>
        </w:rPr>
        <w:t>DATE:</w:t>
      </w:r>
      <w:r w:rsidRPr="00EA7458">
        <w:rPr>
          <w:rFonts w:ascii="Calibri" w:hAnsi="Calibri"/>
          <w:b/>
          <w:color w:val="231F20"/>
          <w:spacing w:val="4"/>
          <w:sz w:val="16"/>
        </w:rPr>
        <w:t xml:space="preserve"> </w:t>
      </w:r>
      <w:r w:rsidRPr="00EA7458">
        <w:rPr>
          <w:rFonts w:ascii="Calibri" w:hAnsi="Calibri"/>
          <w:b/>
          <w:color w:val="231F20"/>
          <w:w w:val="113"/>
          <w:sz w:val="16"/>
          <w:u w:val="single" w:color="221E1F"/>
        </w:rPr>
        <w:t xml:space="preserve"> </w:t>
      </w:r>
      <w:r w:rsidRPr="00EA7458">
        <w:rPr>
          <w:rFonts w:ascii="Calibri" w:hAnsi="Calibri"/>
          <w:b/>
          <w:color w:val="231F20"/>
          <w:sz w:val="16"/>
          <w:u w:val="single" w:color="221E1F"/>
        </w:rPr>
        <w:tab/>
      </w:r>
      <w:r w:rsidR="0085729E">
        <w:rPr>
          <w:rFonts w:ascii="Calibri" w:hAnsi="Calibri"/>
          <w:b/>
          <w:color w:val="231F20"/>
          <w:sz w:val="16"/>
          <w:u w:val="single" w:color="221E1F"/>
        </w:rPr>
        <w:br/>
      </w:r>
      <w:r w:rsidRPr="00EA7458">
        <w:rPr>
          <w:rFonts w:ascii="Calibri" w:hAnsi="Calibri"/>
          <w:color w:val="231F20"/>
          <w:w w:val="110"/>
        </w:rPr>
        <w:t>Cissy</w:t>
      </w:r>
      <w:r w:rsidRPr="00EA7458">
        <w:rPr>
          <w:rFonts w:ascii="Calibri" w:hAnsi="Calibri"/>
          <w:color w:val="231F20"/>
          <w:spacing w:val="-18"/>
          <w:w w:val="110"/>
        </w:rPr>
        <w:t xml:space="preserve"> </w:t>
      </w:r>
      <w:r w:rsidRPr="00EA7458">
        <w:rPr>
          <w:rFonts w:ascii="Calibri" w:hAnsi="Calibri"/>
          <w:color w:val="231F20"/>
          <w:spacing w:val="-3"/>
          <w:w w:val="110"/>
        </w:rPr>
        <w:t>Proctor,</w:t>
      </w:r>
      <w:r w:rsidRPr="00EA7458">
        <w:rPr>
          <w:rFonts w:ascii="Calibri" w:hAnsi="Calibri"/>
          <w:color w:val="231F20"/>
          <w:spacing w:val="-18"/>
          <w:w w:val="110"/>
        </w:rPr>
        <w:t xml:space="preserve"> </w:t>
      </w:r>
      <w:r w:rsidRPr="00EA7458">
        <w:rPr>
          <w:rFonts w:ascii="Calibri" w:hAnsi="Calibri"/>
          <w:color w:val="231F20"/>
          <w:w w:val="110"/>
        </w:rPr>
        <w:t>Executive</w:t>
      </w:r>
      <w:r w:rsidRPr="00EA7458">
        <w:rPr>
          <w:rFonts w:ascii="Calibri" w:hAnsi="Calibri"/>
          <w:color w:val="231F20"/>
          <w:spacing w:val="-18"/>
          <w:w w:val="110"/>
        </w:rPr>
        <w:t xml:space="preserve"> </w:t>
      </w:r>
      <w:r w:rsidRPr="00EA7458">
        <w:rPr>
          <w:rFonts w:ascii="Calibri" w:hAnsi="Calibri"/>
          <w:color w:val="231F20"/>
          <w:w w:val="110"/>
        </w:rPr>
        <w:t>Director</w:t>
      </w:r>
    </w:p>
    <w:p w14:paraId="2CFE4406" w14:textId="77777777" w:rsidR="00EA7458" w:rsidRPr="00EA7458" w:rsidRDefault="00EA7458" w:rsidP="00EA7458">
      <w:pPr>
        <w:widowControl w:val="0"/>
        <w:spacing w:after="0" w:line="240" w:lineRule="auto"/>
        <w:rPr>
          <w:rFonts w:ascii="Calibri" w:hAnsi="Calibri" w:cs="Calibri"/>
        </w:rPr>
      </w:pPr>
    </w:p>
    <w:p w14:paraId="318456A6" w14:textId="77777777" w:rsidR="00EA7458" w:rsidRPr="00EA7458" w:rsidRDefault="00EA7458" w:rsidP="00EA7458">
      <w:pPr>
        <w:widowControl w:val="0"/>
        <w:spacing w:after="0" w:line="240" w:lineRule="auto"/>
        <w:rPr>
          <w:rFonts w:ascii="Calibri" w:hAnsi="Calibri" w:cs="Calibri"/>
        </w:rPr>
      </w:pPr>
    </w:p>
    <w:p w14:paraId="3CFCE82F" w14:textId="77777777" w:rsidR="00EA7458" w:rsidRPr="00EA7458" w:rsidRDefault="00EA7458" w:rsidP="00EA7458">
      <w:pPr>
        <w:widowControl w:val="0"/>
        <w:spacing w:after="0" w:line="240" w:lineRule="auto"/>
        <w:rPr>
          <w:rFonts w:ascii="Calibri" w:hAnsi="Calibri" w:cs="Calibri"/>
        </w:rPr>
      </w:pPr>
    </w:p>
    <w:p w14:paraId="4D6430A9" w14:textId="77777777" w:rsidR="00EA7458" w:rsidRPr="00EA7458" w:rsidRDefault="00EA7458" w:rsidP="00EA7458">
      <w:pPr>
        <w:widowControl w:val="0"/>
        <w:spacing w:before="173" w:after="0" w:line="240" w:lineRule="auto"/>
        <w:ind w:left="107"/>
        <w:outlineLvl w:val="2"/>
        <w:rPr>
          <w:rFonts w:ascii="Calibri" w:hAnsi="Calibri"/>
        </w:rPr>
      </w:pPr>
      <w:r w:rsidRPr="00EA7458">
        <w:rPr>
          <w:rFonts w:ascii="Calibri" w:hAnsi="Calibri"/>
          <w:b/>
          <w:bCs/>
          <w:color w:val="231F20"/>
          <w:w w:val="110"/>
        </w:rPr>
        <w:t>Florida</w:t>
      </w:r>
      <w:r w:rsidRPr="00EA7458">
        <w:rPr>
          <w:rFonts w:ascii="Calibri" w:hAnsi="Calibri"/>
          <w:b/>
          <w:bCs/>
          <w:color w:val="231F20"/>
          <w:spacing w:val="-17"/>
          <w:w w:val="110"/>
        </w:rPr>
        <w:t xml:space="preserve"> </w:t>
      </w:r>
      <w:r w:rsidRPr="00EA7458">
        <w:rPr>
          <w:rFonts w:ascii="Calibri" w:hAnsi="Calibri"/>
          <w:b/>
          <w:bCs/>
          <w:color w:val="231F20"/>
          <w:w w:val="110"/>
        </w:rPr>
        <w:t>Department</w:t>
      </w:r>
      <w:r w:rsidRPr="00EA7458">
        <w:rPr>
          <w:rFonts w:ascii="Calibri" w:hAnsi="Calibri"/>
          <w:b/>
          <w:bCs/>
          <w:color w:val="231F20"/>
          <w:spacing w:val="-17"/>
          <w:w w:val="110"/>
        </w:rPr>
        <w:t xml:space="preserve"> </w:t>
      </w:r>
      <w:r w:rsidRPr="00EA7458">
        <w:rPr>
          <w:rFonts w:ascii="Calibri" w:hAnsi="Calibri"/>
          <w:b/>
          <w:bCs/>
          <w:color w:val="231F20"/>
          <w:w w:val="110"/>
        </w:rPr>
        <w:t>of</w:t>
      </w:r>
      <w:r w:rsidRPr="00EA7458">
        <w:rPr>
          <w:rFonts w:ascii="Calibri" w:hAnsi="Calibri"/>
          <w:b/>
          <w:bCs/>
          <w:color w:val="231F20"/>
          <w:spacing w:val="-17"/>
          <w:w w:val="110"/>
        </w:rPr>
        <w:t xml:space="preserve"> </w:t>
      </w:r>
      <w:r w:rsidRPr="00EA7458">
        <w:rPr>
          <w:rFonts w:ascii="Calibri" w:hAnsi="Calibri"/>
          <w:b/>
          <w:bCs/>
          <w:color w:val="231F20"/>
          <w:w w:val="110"/>
        </w:rPr>
        <w:t>Education</w:t>
      </w:r>
    </w:p>
    <w:p w14:paraId="17AB9837" w14:textId="77777777" w:rsidR="00EA7458" w:rsidRPr="00EA7458" w:rsidRDefault="00EA7458" w:rsidP="00EA7458">
      <w:pPr>
        <w:widowControl w:val="0"/>
        <w:spacing w:after="0" w:line="240" w:lineRule="auto"/>
        <w:rPr>
          <w:rFonts w:ascii="Calibri" w:hAnsi="Calibri" w:cs="Calibri"/>
          <w:b/>
          <w:bCs/>
          <w:sz w:val="20"/>
          <w:szCs w:val="20"/>
        </w:rPr>
      </w:pPr>
    </w:p>
    <w:p w14:paraId="2CFB4123" w14:textId="77777777" w:rsidR="00EA7458" w:rsidRPr="00EA7458" w:rsidRDefault="00EA7458" w:rsidP="00EA7458">
      <w:pPr>
        <w:widowControl w:val="0"/>
        <w:spacing w:after="0" w:line="240" w:lineRule="auto"/>
        <w:rPr>
          <w:rFonts w:ascii="Calibri" w:hAnsi="Calibri" w:cs="Calibri"/>
          <w:b/>
          <w:bCs/>
          <w:sz w:val="20"/>
          <w:szCs w:val="20"/>
        </w:rPr>
      </w:pPr>
    </w:p>
    <w:p w14:paraId="3DFE964F" w14:textId="77777777" w:rsidR="00EA7458" w:rsidRPr="00EA7458" w:rsidRDefault="00EA7458" w:rsidP="00EA7458">
      <w:pPr>
        <w:widowControl w:val="0"/>
        <w:spacing w:after="0" w:line="240" w:lineRule="auto"/>
        <w:rPr>
          <w:rFonts w:ascii="Calibri" w:hAnsi="Calibri" w:cs="Calibri"/>
          <w:b/>
          <w:bCs/>
          <w:sz w:val="20"/>
          <w:szCs w:val="20"/>
        </w:rPr>
      </w:pPr>
    </w:p>
    <w:p w14:paraId="6AD9302F" w14:textId="77777777" w:rsidR="00EA7458" w:rsidRPr="00EA7458" w:rsidRDefault="00EA7458" w:rsidP="00EA7458">
      <w:pPr>
        <w:widowControl w:val="0"/>
        <w:spacing w:after="0" w:line="240" w:lineRule="auto"/>
        <w:rPr>
          <w:rFonts w:ascii="Calibri" w:hAnsi="Calibri" w:cs="Calibri"/>
          <w:b/>
          <w:bCs/>
          <w:sz w:val="19"/>
          <w:szCs w:val="19"/>
        </w:rPr>
      </w:pPr>
    </w:p>
    <w:p w14:paraId="3513D8C2" w14:textId="6490380F" w:rsidR="00EA7458" w:rsidRPr="00EA7458" w:rsidRDefault="00EA7458" w:rsidP="0085729E">
      <w:pPr>
        <w:widowControl w:val="0"/>
        <w:tabs>
          <w:tab w:val="left" w:pos="6154"/>
          <w:tab w:val="left" w:pos="9238"/>
        </w:tabs>
        <w:spacing w:after="0" w:line="240" w:lineRule="auto"/>
        <w:ind w:left="107"/>
        <w:rPr>
          <w:rFonts w:ascii="Calibri" w:hAnsi="Calibri"/>
        </w:rPr>
      </w:pPr>
      <w:r w:rsidRPr="00EA7458">
        <w:rPr>
          <w:rFonts w:ascii="Calibri" w:hAnsi="Calibri"/>
          <w:b/>
          <w:color w:val="231F20"/>
          <w:w w:val="113"/>
          <w:sz w:val="16"/>
          <w:u w:val="single" w:color="221E1F"/>
        </w:rPr>
        <w:t xml:space="preserve"> </w:t>
      </w:r>
      <w:r w:rsidRPr="00EA7458">
        <w:rPr>
          <w:rFonts w:ascii="Calibri" w:hAnsi="Calibri"/>
          <w:b/>
          <w:color w:val="231F20"/>
          <w:sz w:val="16"/>
          <w:u w:val="single" w:color="221E1F"/>
        </w:rPr>
        <w:tab/>
      </w:r>
      <w:r w:rsidRPr="00EA7458">
        <w:rPr>
          <w:rFonts w:ascii="Calibri" w:hAnsi="Calibri"/>
          <w:b/>
          <w:color w:val="231F20"/>
          <w:sz w:val="16"/>
        </w:rPr>
        <w:t xml:space="preserve"> </w:t>
      </w:r>
      <w:r w:rsidRPr="00EA7458">
        <w:rPr>
          <w:rFonts w:ascii="Calibri" w:hAnsi="Calibri"/>
          <w:b/>
          <w:color w:val="231F20"/>
          <w:spacing w:val="-4"/>
          <w:w w:val="115"/>
          <w:sz w:val="16"/>
        </w:rPr>
        <w:t>DATE:</w:t>
      </w:r>
      <w:r w:rsidRPr="00EA7458">
        <w:rPr>
          <w:rFonts w:ascii="Calibri" w:hAnsi="Calibri"/>
          <w:b/>
          <w:color w:val="231F20"/>
          <w:spacing w:val="4"/>
          <w:sz w:val="16"/>
        </w:rPr>
        <w:t xml:space="preserve"> </w:t>
      </w:r>
      <w:r w:rsidRPr="00EA7458">
        <w:rPr>
          <w:rFonts w:ascii="Calibri" w:hAnsi="Calibri"/>
          <w:b/>
          <w:color w:val="231F20"/>
          <w:w w:val="113"/>
          <w:sz w:val="16"/>
          <w:u w:val="single" w:color="221E1F"/>
        </w:rPr>
        <w:t xml:space="preserve"> </w:t>
      </w:r>
      <w:r w:rsidRPr="00EA7458">
        <w:rPr>
          <w:rFonts w:ascii="Calibri" w:hAnsi="Calibri"/>
          <w:b/>
          <w:color w:val="231F20"/>
          <w:sz w:val="16"/>
          <w:u w:val="single" w:color="221E1F"/>
        </w:rPr>
        <w:tab/>
      </w:r>
      <w:r w:rsidR="0085729E">
        <w:rPr>
          <w:rFonts w:ascii="Calibri" w:hAnsi="Calibri"/>
          <w:b/>
          <w:color w:val="231F20"/>
          <w:sz w:val="16"/>
          <w:u w:val="single" w:color="221E1F"/>
        </w:rPr>
        <w:br/>
      </w:r>
      <w:r w:rsidRPr="00EA7458">
        <w:rPr>
          <w:rFonts w:ascii="Calibri" w:hAnsi="Calibri"/>
          <w:color w:val="231F20"/>
          <w:w w:val="105"/>
        </w:rPr>
        <w:t>Commissioner Pam</w:t>
      </w:r>
      <w:r w:rsidRPr="00EA7458">
        <w:rPr>
          <w:rFonts w:ascii="Calibri" w:hAnsi="Calibri"/>
          <w:color w:val="231F20"/>
          <w:spacing w:val="46"/>
          <w:w w:val="105"/>
        </w:rPr>
        <w:t xml:space="preserve"> </w:t>
      </w:r>
      <w:r w:rsidRPr="00EA7458">
        <w:rPr>
          <w:rFonts w:ascii="Calibri" w:hAnsi="Calibri"/>
          <w:color w:val="231F20"/>
          <w:w w:val="105"/>
        </w:rPr>
        <w:t>Stewart</w:t>
      </w:r>
    </w:p>
    <w:p w14:paraId="556F55A1" w14:textId="77777777" w:rsidR="00EA7458" w:rsidRPr="00EA7458" w:rsidRDefault="00EA7458" w:rsidP="00EA7458">
      <w:pPr>
        <w:widowControl w:val="0"/>
        <w:spacing w:after="0" w:line="240" w:lineRule="auto"/>
        <w:rPr>
          <w:rFonts w:ascii="Calibri" w:hAnsi="Calibri"/>
        </w:rPr>
        <w:sectPr w:rsidR="00EA7458" w:rsidRPr="00EA7458">
          <w:pgSz w:w="12240" w:h="15840"/>
          <w:pgMar w:top="1620" w:right="900" w:bottom="820" w:left="900" w:header="812" w:footer="624" w:gutter="0"/>
          <w:cols w:space="720"/>
        </w:sectPr>
      </w:pPr>
    </w:p>
    <w:p w14:paraId="2B34E272" w14:textId="77777777" w:rsidR="00EA7458" w:rsidRPr="00EA7458" w:rsidRDefault="00EA7458" w:rsidP="00EA7458">
      <w:pPr>
        <w:widowControl w:val="0"/>
        <w:spacing w:before="8" w:after="0" w:line="240" w:lineRule="auto"/>
        <w:rPr>
          <w:rFonts w:ascii="Calibri" w:hAnsi="Calibri" w:cs="Calibri"/>
          <w:sz w:val="14"/>
          <w:szCs w:val="14"/>
        </w:rPr>
      </w:pPr>
    </w:p>
    <w:p w14:paraId="26E00AE7" w14:textId="07325D58" w:rsidR="00EA7458" w:rsidRPr="00013E6E" w:rsidRDefault="00EA7458" w:rsidP="00664EFD">
      <w:pPr>
        <w:widowControl w:val="0"/>
        <w:numPr>
          <w:ilvl w:val="0"/>
          <w:numId w:val="8"/>
        </w:numPr>
        <w:spacing w:before="27" w:after="0" w:line="432" w:lineRule="exact"/>
        <w:ind w:left="90" w:firstLine="0"/>
        <w:rPr>
          <w:rFonts w:cstheme="minorHAnsi"/>
          <w:sz w:val="36"/>
          <w:szCs w:val="36"/>
        </w:rPr>
      </w:pPr>
      <w:bookmarkStart w:id="99" w:name="VI._Program-Specific_Requirements_for_Co"/>
      <w:bookmarkStart w:id="100" w:name="(a)_General_Requirements_"/>
      <w:bookmarkStart w:id="101" w:name="_bookmark57"/>
      <w:bookmarkStart w:id="102" w:name="_bookmark56"/>
      <w:bookmarkEnd w:id="99"/>
      <w:bookmarkEnd w:id="100"/>
      <w:bookmarkEnd w:id="101"/>
      <w:bookmarkEnd w:id="102"/>
      <w:r w:rsidRPr="00013E6E">
        <w:rPr>
          <w:rFonts w:cstheme="minorHAnsi"/>
          <w:b/>
          <w:bCs/>
          <w:color w:val="295CA3"/>
          <w:w w:val="110"/>
          <w:sz w:val="36"/>
          <w:szCs w:val="36"/>
        </w:rPr>
        <w:t>PROGRAM-SPECIFIC REQUIREMENTS FOR</w:t>
      </w:r>
      <w:r w:rsidRPr="00013E6E">
        <w:rPr>
          <w:rFonts w:cstheme="minorHAnsi"/>
          <w:b/>
          <w:bCs/>
          <w:color w:val="295CA3"/>
          <w:spacing w:val="53"/>
          <w:w w:val="110"/>
          <w:sz w:val="36"/>
          <w:szCs w:val="36"/>
        </w:rPr>
        <w:t xml:space="preserve"> </w:t>
      </w:r>
      <w:r w:rsidRPr="00013E6E">
        <w:rPr>
          <w:rFonts w:cstheme="minorHAnsi"/>
          <w:b/>
          <w:bCs/>
          <w:color w:val="295CA3"/>
          <w:w w:val="110"/>
          <w:sz w:val="36"/>
          <w:szCs w:val="36"/>
        </w:rPr>
        <w:t>CORE</w:t>
      </w:r>
      <w:r w:rsidRPr="00013E6E">
        <w:rPr>
          <w:rFonts w:cstheme="minorHAnsi"/>
          <w:b/>
          <w:bCs/>
          <w:color w:val="295CA3"/>
          <w:w w:val="119"/>
          <w:sz w:val="36"/>
          <w:szCs w:val="36"/>
        </w:rPr>
        <w:t xml:space="preserve"> </w:t>
      </w:r>
      <w:r w:rsidRPr="00013E6E">
        <w:rPr>
          <w:rFonts w:cstheme="minorHAnsi"/>
          <w:b/>
          <w:bCs/>
          <w:color w:val="295CA3"/>
          <w:spacing w:val="-6"/>
          <w:w w:val="110"/>
          <w:sz w:val="36"/>
          <w:szCs w:val="36"/>
          <w:u w:val="single" w:color="231F20"/>
        </w:rPr>
        <w:t>PROGRAMS</w:t>
      </w:r>
      <w:r w:rsidRPr="00013E6E">
        <w:rPr>
          <w:rFonts w:cstheme="minorHAnsi"/>
          <w:b/>
          <w:bCs/>
          <w:i/>
          <w:color w:val="295CA3"/>
          <w:spacing w:val="-6"/>
          <w:w w:val="110"/>
          <w:sz w:val="36"/>
          <w:szCs w:val="36"/>
          <w:u w:val="single" w:color="231F20"/>
        </w:rPr>
        <w:t>–ADULT, DISLOCATED WORKER</w:t>
      </w:r>
      <w:r w:rsidR="00D5537E">
        <w:rPr>
          <w:rFonts w:cstheme="minorHAnsi"/>
          <w:b/>
          <w:bCs/>
          <w:i/>
          <w:color w:val="295CA3"/>
          <w:spacing w:val="-6"/>
          <w:w w:val="110"/>
          <w:sz w:val="36"/>
          <w:szCs w:val="36"/>
          <w:u w:val="single" w:color="231F20"/>
        </w:rPr>
        <w:t xml:space="preserve"> and</w:t>
      </w:r>
      <w:r w:rsidRPr="00013E6E">
        <w:rPr>
          <w:rFonts w:cstheme="minorHAnsi"/>
          <w:b/>
          <w:bCs/>
          <w:i/>
          <w:color w:val="295CA3"/>
          <w:spacing w:val="-6"/>
          <w:w w:val="110"/>
          <w:sz w:val="36"/>
          <w:szCs w:val="36"/>
          <w:u w:val="single" w:color="231F20"/>
        </w:rPr>
        <w:t xml:space="preserve"> YOUTH ACTIVITIES</w:t>
      </w:r>
      <w:r w:rsidR="00013E6E">
        <w:rPr>
          <w:rFonts w:cstheme="minorHAnsi"/>
          <w:b/>
          <w:bCs/>
          <w:i/>
          <w:color w:val="295CA3"/>
          <w:spacing w:val="-6"/>
          <w:w w:val="92"/>
          <w:sz w:val="36"/>
          <w:szCs w:val="36"/>
          <w:u w:val="single" w:color="231F20"/>
        </w:rPr>
        <w:br/>
      </w:r>
    </w:p>
    <w:p w14:paraId="7C0F1170" w14:textId="16D13D9F" w:rsidR="00EA7458" w:rsidRPr="009F06AF" w:rsidRDefault="00EA7458" w:rsidP="00D63204">
      <w:pPr>
        <w:widowControl w:val="0"/>
        <w:spacing w:after="0" w:line="264" w:lineRule="exact"/>
        <w:ind w:left="107"/>
        <w:rPr>
          <w:rFonts w:cstheme="minorHAnsi"/>
        </w:rPr>
      </w:pPr>
      <w:r w:rsidRPr="009F06AF">
        <w:rPr>
          <w:rFonts w:cstheme="minorHAnsi"/>
          <w:b/>
          <w:w w:val="105"/>
        </w:rPr>
        <w:t>Adult,</w:t>
      </w:r>
      <w:r w:rsidRPr="009F06AF">
        <w:rPr>
          <w:rFonts w:cstheme="minorHAnsi"/>
          <w:b/>
          <w:spacing w:val="18"/>
          <w:w w:val="105"/>
        </w:rPr>
        <w:t xml:space="preserve"> </w:t>
      </w:r>
      <w:r w:rsidRPr="009F06AF">
        <w:rPr>
          <w:rFonts w:cstheme="minorHAnsi"/>
          <w:b/>
          <w:w w:val="105"/>
        </w:rPr>
        <w:t>Dislocated</w:t>
      </w:r>
      <w:r w:rsidRPr="009F06AF">
        <w:rPr>
          <w:rFonts w:cstheme="minorHAnsi"/>
          <w:b/>
          <w:spacing w:val="18"/>
          <w:w w:val="105"/>
        </w:rPr>
        <w:t xml:space="preserve"> </w:t>
      </w:r>
      <w:r w:rsidRPr="009F06AF">
        <w:rPr>
          <w:rFonts w:cstheme="minorHAnsi"/>
          <w:b/>
          <w:spacing w:val="-5"/>
          <w:w w:val="105"/>
        </w:rPr>
        <w:t>Worker</w:t>
      </w:r>
      <w:r w:rsidR="00D5537E">
        <w:rPr>
          <w:rFonts w:cstheme="minorHAnsi"/>
          <w:b/>
          <w:spacing w:val="-5"/>
          <w:w w:val="105"/>
        </w:rPr>
        <w:t xml:space="preserve"> and</w:t>
      </w:r>
      <w:r w:rsidRPr="009F06AF">
        <w:rPr>
          <w:rFonts w:cstheme="minorHAnsi"/>
          <w:b/>
          <w:spacing w:val="18"/>
          <w:w w:val="105"/>
        </w:rPr>
        <w:t xml:space="preserve"> </w:t>
      </w:r>
      <w:r w:rsidRPr="009F06AF">
        <w:rPr>
          <w:rFonts w:cstheme="minorHAnsi"/>
          <w:b/>
          <w:spacing w:val="-5"/>
          <w:w w:val="105"/>
        </w:rPr>
        <w:t>Youth</w:t>
      </w:r>
      <w:r w:rsidRPr="009F06AF">
        <w:rPr>
          <w:rFonts w:cstheme="minorHAnsi"/>
          <w:b/>
          <w:spacing w:val="18"/>
          <w:w w:val="105"/>
        </w:rPr>
        <w:t xml:space="preserve"> </w:t>
      </w:r>
      <w:r w:rsidRPr="009F06AF">
        <w:rPr>
          <w:rFonts w:cstheme="minorHAnsi"/>
          <w:b/>
          <w:w w:val="105"/>
        </w:rPr>
        <w:t>Activities</w:t>
      </w:r>
      <w:r w:rsidRPr="009F06AF">
        <w:rPr>
          <w:rFonts w:cstheme="minorHAnsi"/>
          <w:b/>
          <w:spacing w:val="18"/>
          <w:w w:val="105"/>
        </w:rPr>
        <w:t xml:space="preserve"> </w:t>
      </w:r>
      <w:r w:rsidRPr="009F06AF">
        <w:rPr>
          <w:rFonts w:cstheme="minorHAnsi"/>
          <w:b/>
          <w:w w:val="105"/>
        </w:rPr>
        <w:t>under</w:t>
      </w:r>
      <w:r w:rsidRPr="009F06AF">
        <w:rPr>
          <w:rFonts w:cstheme="minorHAnsi"/>
          <w:b/>
          <w:spacing w:val="18"/>
          <w:w w:val="105"/>
        </w:rPr>
        <w:t xml:space="preserve"> </w:t>
      </w:r>
      <w:r w:rsidRPr="009F06AF">
        <w:rPr>
          <w:rFonts w:cstheme="minorHAnsi"/>
          <w:b/>
          <w:w w:val="105"/>
        </w:rPr>
        <w:t>Title</w:t>
      </w:r>
      <w:r w:rsidRPr="009F06AF">
        <w:rPr>
          <w:rFonts w:cstheme="minorHAnsi"/>
          <w:b/>
          <w:spacing w:val="18"/>
          <w:w w:val="105"/>
        </w:rPr>
        <w:t xml:space="preserve"> </w:t>
      </w:r>
      <w:r w:rsidRPr="009F06AF">
        <w:rPr>
          <w:rFonts w:cstheme="minorHAnsi"/>
          <w:b/>
          <w:w w:val="105"/>
        </w:rPr>
        <w:t>I-B.</w:t>
      </w:r>
      <w:r w:rsidRPr="009F06AF">
        <w:rPr>
          <w:rFonts w:cstheme="minorHAnsi"/>
          <w:b/>
          <w:spacing w:val="18"/>
          <w:w w:val="105"/>
        </w:rPr>
        <w:t xml:space="preserve"> </w:t>
      </w:r>
      <w:r w:rsidRPr="009F06AF">
        <w:rPr>
          <w:rFonts w:cstheme="minorHAnsi"/>
          <w:color w:val="231F20"/>
          <w:w w:val="105"/>
        </w:rPr>
        <w:t>The</w:t>
      </w:r>
      <w:r w:rsidRPr="009F06AF">
        <w:rPr>
          <w:rFonts w:cstheme="minorHAnsi"/>
          <w:color w:val="231F20"/>
          <w:spacing w:val="19"/>
          <w:w w:val="105"/>
        </w:rPr>
        <w:t xml:space="preserve"> </w:t>
      </w:r>
      <w:r w:rsidR="00E9294B">
        <w:rPr>
          <w:rFonts w:cstheme="minorHAnsi"/>
          <w:color w:val="231F20"/>
          <w:spacing w:val="19"/>
          <w:w w:val="105"/>
        </w:rPr>
        <w:t>u</w:t>
      </w:r>
      <w:r w:rsidRPr="009F06AF">
        <w:rPr>
          <w:rFonts w:cstheme="minorHAnsi"/>
          <w:color w:val="231F20"/>
          <w:w w:val="105"/>
        </w:rPr>
        <w:t>nified</w:t>
      </w:r>
      <w:r w:rsidRPr="009F06AF">
        <w:rPr>
          <w:rFonts w:cstheme="minorHAnsi"/>
          <w:color w:val="231F20"/>
          <w:spacing w:val="19"/>
          <w:w w:val="105"/>
        </w:rPr>
        <w:t xml:space="preserve"> </w:t>
      </w:r>
      <w:r w:rsidRPr="009F06AF">
        <w:rPr>
          <w:rFonts w:cstheme="minorHAnsi"/>
          <w:color w:val="231F20"/>
          <w:w w:val="105"/>
        </w:rPr>
        <w:t>or</w:t>
      </w:r>
      <w:r w:rsidRPr="009F06AF">
        <w:rPr>
          <w:rFonts w:cstheme="minorHAnsi"/>
          <w:color w:val="231F20"/>
          <w:spacing w:val="19"/>
          <w:w w:val="105"/>
        </w:rPr>
        <w:t xml:space="preserve"> </w:t>
      </w:r>
      <w:r w:rsidR="00E9294B">
        <w:rPr>
          <w:rFonts w:cstheme="minorHAnsi"/>
          <w:color w:val="231F20"/>
          <w:w w:val="105"/>
        </w:rPr>
        <w:t>co</w:t>
      </w:r>
      <w:r w:rsidRPr="009F06AF">
        <w:rPr>
          <w:rFonts w:cstheme="minorHAnsi"/>
          <w:color w:val="231F20"/>
          <w:w w:val="105"/>
        </w:rPr>
        <w:t>mbined</w:t>
      </w:r>
      <w:r w:rsidRPr="009F06AF">
        <w:rPr>
          <w:rFonts w:cstheme="minorHAnsi"/>
          <w:color w:val="231F20"/>
          <w:spacing w:val="19"/>
          <w:w w:val="105"/>
        </w:rPr>
        <w:t xml:space="preserve"> </w:t>
      </w:r>
      <w:r w:rsidR="00E9294B">
        <w:rPr>
          <w:rFonts w:cstheme="minorHAnsi"/>
          <w:color w:val="231F20"/>
          <w:w w:val="105"/>
        </w:rPr>
        <w:t>s</w:t>
      </w:r>
      <w:r w:rsidRPr="009F06AF">
        <w:rPr>
          <w:rFonts w:cstheme="minorHAnsi"/>
          <w:color w:val="231F20"/>
          <w:w w:val="105"/>
        </w:rPr>
        <w:t>tate</w:t>
      </w:r>
      <w:r w:rsidR="00E9294B">
        <w:rPr>
          <w:rFonts w:cstheme="minorHAnsi"/>
          <w:color w:val="231F20"/>
          <w:spacing w:val="19"/>
          <w:w w:val="105"/>
        </w:rPr>
        <w:t xml:space="preserve"> p</w:t>
      </w:r>
      <w:r w:rsidRPr="009F06AF">
        <w:rPr>
          <w:rFonts w:cstheme="minorHAnsi"/>
          <w:color w:val="231F20"/>
          <w:w w:val="105"/>
        </w:rPr>
        <w:t>lan</w:t>
      </w:r>
      <w:r w:rsidRPr="009F06AF">
        <w:rPr>
          <w:rFonts w:cstheme="minorHAnsi"/>
          <w:color w:val="231F20"/>
          <w:spacing w:val="19"/>
          <w:w w:val="105"/>
        </w:rPr>
        <w:t xml:space="preserve"> </w:t>
      </w:r>
      <w:r w:rsidRPr="009F06AF">
        <w:rPr>
          <w:rFonts w:cstheme="minorHAnsi"/>
          <w:color w:val="231F20"/>
          <w:w w:val="105"/>
        </w:rPr>
        <w:t>must</w:t>
      </w:r>
      <w:r w:rsidRPr="009F06AF">
        <w:rPr>
          <w:rFonts w:cstheme="minorHAnsi"/>
          <w:color w:val="231F20"/>
          <w:spacing w:val="-49"/>
          <w:w w:val="105"/>
        </w:rPr>
        <w:t xml:space="preserve"> </w:t>
      </w:r>
      <w:r w:rsidRPr="009F06AF">
        <w:rPr>
          <w:rFonts w:cstheme="minorHAnsi"/>
          <w:color w:val="231F20"/>
          <w:w w:val="105"/>
        </w:rPr>
        <w:t>include the following with respect to activities carried out under subtitle B:</w:t>
      </w:r>
    </w:p>
    <w:p w14:paraId="691CE780" w14:textId="77777777" w:rsidR="00EA7458" w:rsidRPr="009F06AF" w:rsidRDefault="00EA7458" w:rsidP="00D63204">
      <w:pPr>
        <w:widowControl w:val="0"/>
        <w:spacing w:before="4" w:after="0" w:line="240" w:lineRule="auto"/>
        <w:ind w:left="107"/>
        <w:rPr>
          <w:rFonts w:cstheme="minorHAnsi"/>
          <w:sz w:val="17"/>
          <w:szCs w:val="17"/>
        </w:rPr>
      </w:pPr>
    </w:p>
    <w:p w14:paraId="14EA1669" w14:textId="73C7B87E" w:rsidR="00EA7458" w:rsidRPr="00B86BAE" w:rsidRDefault="00B86BAE" w:rsidP="00D63204">
      <w:pPr>
        <w:pStyle w:val="ListParagraph"/>
        <w:widowControl w:val="0"/>
        <w:numPr>
          <w:ilvl w:val="0"/>
          <w:numId w:val="4"/>
        </w:numPr>
        <w:spacing w:after="0" w:line="240" w:lineRule="auto"/>
        <w:outlineLvl w:val="1"/>
        <w:rPr>
          <w:rFonts w:cstheme="minorHAnsi"/>
          <w:sz w:val="26"/>
          <w:szCs w:val="26"/>
        </w:rPr>
      </w:pPr>
      <w:r>
        <w:rPr>
          <w:w w:val="110"/>
        </w:rPr>
        <w:t xml:space="preserve"> </w:t>
      </w:r>
      <w:r w:rsidR="00EA7458" w:rsidRPr="00B86BAE">
        <w:rPr>
          <w:rFonts w:cstheme="minorHAnsi"/>
          <w:b/>
          <w:bCs/>
          <w:color w:val="295CA3"/>
          <w:w w:val="110"/>
          <w:sz w:val="26"/>
          <w:szCs w:val="26"/>
        </w:rPr>
        <w:t>General Requirements</w:t>
      </w:r>
    </w:p>
    <w:p w14:paraId="736A65C0" w14:textId="77777777" w:rsidR="00EA7458" w:rsidRPr="009F06AF" w:rsidRDefault="00EA7458" w:rsidP="00D63204">
      <w:pPr>
        <w:widowControl w:val="0"/>
        <w:numPr>
          <w:ilvl w:val="1"/>
          <w:numId w:val="4"/>
        </w:numPr>
        <w:tabs>
          <w:tab w:val="left" w:pos="1548"/>
        </w:tabs>
        <w:spacing w:before="184" w:after="0" w:line="240" w:lineRule="auto"/>
        <w:outlineLvl w:val="2"/>
        <w:rPr>
          <w:rFonts w:cstheme="minorHAnsi"/>
        </w:rPr>
      </w:pPr>
      <w:r w:rsidRPr="009F06AF">
        <w:rPr>
          <w:rFonts w:cstheme="minorHAnsi"/>
          <w:b/>
          <w:bCs/>
          <w:color w:val="295CA3"/>
          <w:w w:val="110"/>
        </w:rPr>
        <w:t>Regions and Local Workforce Development</w:t>
      </w:r>
      <w:r w:rsidRPr="009F06AF">
        <w:rPr>
          <w:rFonts w:cstheme="minorHAnsi"/>
          <w:b/>
          <w:bCs/>
          <w:color w:val="295CA3"/>
          <w:spacing w:val="2"/>
          <w:w w:val="110"/>
        </w:rPr>
        <w:t xml:space="preserve"> </w:t>
      </w:r>
      <w:r w:rsidRPr="009F06AF">
        <w:rPr>
          <w:rFonts w:cstheme="minorHAnsi"/>
          <w:b/>
          <w:bCs/>
          <w:color w:val="295CA3"/>
          <w:w w:val="110"/>
        </w:rPr>
        <w:t>Areas</w:t>
      </w:r>
    </w:p>
    <w:p w14:paraId="53CE6C03" w14:textId="77777777" w:rsidR="00EA7458" w:rsidRPr="00347890" w:rsidRDefault="00EA7458" w:rsidP="00D63204">
      <w:pPr>
        <w:widowControl w:val="0"/>
        <w:spacing w:before="195" w:after="0" w:line="240" w:lineRule="auto"/>
        <w:ind w:left="107"/>
        <w:rPr>
          <w:rFonts w:cstheme="minorHAnsi"/>
          <w:b/>
        </w:rPr>
      </w:pPr>
      <w:r w:rsidRPr="00347890">
        <w:rPr>
          <w:rFonts w:cstheme="minorHAnsi"/>
          <w:b/>
          <w:color w:val="295CA3"/>
          <w:w w:val="105"/>
        </w:rPr>
        <w:t>Regions</w:t>
      </w:r>
      <w:r w:rsidRPr="00347890">
        <w:rPr>
          <w:rFonts w:cstheme="minorHAnsi"/>
          <w:b/>
          <w:color w:val="295CA3"/>
          <w:spacing w:val="22"/>
          <w:w w:val="105"/>
        </w:rPr>
        <w:t xml:space="preserve"> </w:t>
      </w:r>
      <w:r w:rsidRPr="00347890">
        <w:rPr>
          <w:rFonts w:cstheme="minorHAnsi"/>
          <w:b/>
          <w:color w:val="295CA3"/>
          <w:w w:val="105"/>
        </w:rPr>
        <w:t>and</w:t>
      </w:r>
      <w:r w:rsidRPr="00347890">
        <w:rPr>
          <w:rFonts w:cstheme="minorHAnsi"/>
          <w:b/>
          <w:color w:val="295CA3"/>
          <w:spacing w:val="22"/>
          <w:w w:val="105"/>
        </w:rPr>
        <w:t xml:space="preserve"> </w:t>
      </w:r>
      <w:r w:rsidRPr="00347890">
        <w:rPr>
          <w:rFonts w:cstheme="minorHAnsi"/>
          <w:b/>
          <w:color w:val="295CA3"/>
          <w:w w:val="105"/>
        </w:rPr>
        <w:t>the</w:t>
      </w:r>
      <w:r w:rsidRPr="00347890">
        <w:rPr>
          <w:rFonts w:cstheme="minorHAnsi"/>
          <w:b/>
          <w:color w:val="295CA3"/>
          <w:spacing w:val="22"/>
          <w:w w:val="105"/>
        </w:rPr>
        <w:t xml:space="preserve"> </w:t>
      </w:r>
      <w:r w:rsidRPr="00347890">
        <w:rPr>
          <w:rFonts w:cstheme="minorHAnsi"/>
          <w:b/>
          <w:color w:val="295CA3"/>
          <w:w w:val="105"/>
        </w:rPr>
        <w:t>Local</w:t>
      </w:r>
      <w:r w:rsidRPr="00347890">
        <w:rPr>
          <w:rFonts w:cstheme="minorHAnsi"/>
          <w:b/>
          <w:color w:val="295CA3"/>
          <w:spacing w:val="22"/>
          <w:w w:val="105"/>
        </w:rPr>
        <w:t xml:space="preserve"> </w:t>
      </w:r>
      <w:r w:rsidRPr="00347890">
        <w:rPr>
          <w:rFonts w:cstheme="minorHAnsi"/>
          <w:b/>
          <w:color w:val="295CA3"/>
          <w:w w:val="105"/>
        </w:rPr>
        <w:t>Workforce</w:t>
      </w:r>
      <w:r w:rsidRPr="00347890">
        <w:rPr>
          <w:rFonts w:cstheme="minorHAnsi"/>
          <w:b/>
          <w:color w:val="295CA3"/>
          <w:spacing w:val="22"/>
          <w:w w:val="105"/>
        </w:rPr>
        <w:t xml:space="preserve"> </w:t>
      </w:r>
      <w:r w:rsidRPr="00347890">
        <w:rPr>
          <w:rFonts w:cstheme="minorHAnsi"/>
          <w:b/>
          <w:color w:val="295CA3"/>
          <w:w w:val="105"/>
        </w:rPr>
        <w:t>Development</w:t>
      </w:r>
      <w:r w:rsidRPr="00347890">
        <w:rPr>
          <w:rFonts w:cstheme="minorHAnsi"/>
          <w:b/>
          <w:color w:val="295CA3"/>
          <w:spacing w:val="22"/>
          <w:w w:val="105"/>
        </w:rPr>
        <w:t xml:space="preserve"> </w:t>
      </w:r>
      <w:r w:rsidRPr="00347890">
        <w:rPr>
          <w:rFonts w:cstheme="minorHAnsi"/>
          <w:b/>
          <w:color w:val="295CA3"/>
          <w:w w:val="105"/>
        </w:rPr>
        <w:t>Areas</w:t>
      </w:r>
      <w:r w:rsidRPr="00347890">
        <w:rPr>
          <w:rFonts w:cstheme="minorHAnsi"/>
          <w:b/>
          <w:color w:val="295CA3"/>
          <w:spacing w:val="22"/>
          <w:w w:val="105"/>
        </w:rPr>
        <w:t xml:space="preserve"> </w:t>
      </w:r>
      <w:r w:rsidRPr="00347890">
        <w:rPr>
          <w:rFonts w:cstheme="minorHAnsi"/>
          <w:b/>
          <w:color w:val="295CA3"/>
          <w:w w:val="105"/>
        </w:rPr>
        <w:t>Designated</w:t>
      </w:r>
      <w:r w:rsidRPr="00347890">
        <w:rPr>
          <w:rFonts w:cstheme="minorHAnsi"/>
          <w:b/>
          <w:color w:val="295CA3"/>
          <w:spacing w:val="22"/>
          <w:w w:val="105"/>
        </w:rPr>
        <w:t xml:space="preserve"> </w:t>
      </w:r>
      <w:r w:rsidRPr="00347890">
        <w:rPr>
          <w:rFonts w:cstheme="minorHAnsi"/>
          <w:b/>
          <w:color w:val="295CA3"/>
          <w:w w:val="105"/>
        </w:rPr>
        <w:t>in</w:t>
      </w:r>
      <w:r w:rsidRPr="00347890">
        <w:rPr>
          <w:rFonts w:cstheme="minorHAnsi"/>
          <w:b/>
          <w:color w:val="295CA3"/>
          <w:spacing w:val="22"/>
          <w:w w:val="105"/>
        </w:rPr>
        <w:t xml:space="preserve"> </w:t>
      </w:r>
      <w:r w:rsidRPr="00347890">
        <w:rPr>
          <w:rFonts w:cstheme="minorHAnsi"/>
          <w:b/>
          <w:color w:val="295CA3"/>
          <w:w w:val="105"/>
        </w:rPr>
        <w:t>the</w:t>
      </w:r>
      <w:r w:rsidRPr="00347890">
        <w:rPr>
          <w:rFonts w:cstheme="minorHAnsi"/>
          <w:b/>
          <w:color w:val="295CA3"/>
          <w:spacing w:val="22"/>
          <w:w w:val="105"/>
        </w:rPr>
        <w:t xml:space="preserve"> </w:t>
      </w:r>
      <w:r w:rsidRPr="00347890">
        <w:rPr>
          <w:rFonts w:cstheme="minorHAnsi"/>
          <w:b/>
          <w:color w:val="295CA3"/>
          <w:w w:val="105"/>
        </w:rPr>
        <w:t>State</w:t>
      </w:r>
    </w:p>
    <w:p w14:paraId="31129345" w14:textId="77777777" w:rsidR="00EA7458" w:rsidRPr="009F06AF" w:rsidRDefault="00EA7458" w:rsidP="00D63204">
      <w:pPr>
        <w:widowControl w:val="0"/>
        <w:spacing w:before="193" w:after="0" w:line="264" w:lineRule="exact"/>
        <w:ind w:left="107"/>
        <w:rPr>
          <w:rFonts w:cstheme="minorHAnsi"/>
        </w:rPr>
      </w:pPr>
      <w:r w:rsidRPr="009F06AF">
        <w:rPr>
          <w:rFonts w:cstheme="minorHAnsi"/>
          <w:color w:val="231F20"/>
          <w:w w:val="105"/>
        </w:rPr>
        <w:t>Florida’s</w:t>
      </w:r>
      <w:r w:rsidRPr="009F06AF">
        <w:rPr>
          <w:rFonts w:cstheme="minorHAnsi"/>
          <w:color w:val="231F20"/>
          <w:spacing w:val="19"/>
          <w:w w:val="105"/>
        </w:rPr>
        <w:t xml:space="preserve"> </w:t>
      </w:r>
      <w:r w:rsidRPr="009F06AF">
        <w:rPr>
          <w:rFonts w:cstheme="minorHAnsi"/>
          <w:color w:val="231F20"/>
          <w:w w:val="105"/>
        </w:rPr>
        <w:t>24</w:t>
      </w:r>
      <w:r w:rsidRPr="009F06AF">
        <w:rPr>
          <w:rFonts w:cstheme="minorHAnsi"/>
          <w:color w:val="231F20"/>
          <w:spacing w:val="19"/>
          <w:w w:val="105"/>
        </w:rPr>
        <w:t xml:space="preserve"> </w:t>
      </w:r>
      <w:r w:rsidRPr="009F06AF">
        <w:rPr>
          <w:rFonts w:cstheme="minorHAnsi"/>
          <w:color w:val="231F20"/>
          <w:w w:val="105"/>
        </w:rPr>
        <w:t>local</w:t>
      </w:r>
      <w:r w:rsidRPr="009F06AF">
        <w:rPr>
          <w:rFonts w:cstheme="minorHAnsi"/>
          <w:color w:val="231F20"/>
          <w:spacing w:val="19"/>
          <w:w w:val="105"/>
        </w:rPr>
        <w:t xml:space="preserve"> </w:t>
      </w:r>
      <w:r w:rsidRPr="009F06AF">
        <w:rPr>
          <w:rFonts w:cstheme="minorHAnsi"/>
          <w:color w:val="231F20"/>
          <w:w w:val="105"/>
        </w:rPr>
        <w:t>workforce</w:t>
      </w:r>
      <w:r w:rsidRPr="009F06AF">
        <w:rPr>
          <w:rFonts w:cstheme="minorHAnsi"/>
          <w:color w:val="231F20"/>
          <w:spacing w:val="19"/>
          <w:w w:val="105"/>
        </w:rPr>
        <w:t xml:space="preserve"> </w:t>
      </w:r>
      <w:r w:rsidRPr="009F06AF">
        <w:rPr>
          <w:rFonts w:cstheme="minorHAnsi"/>
          <w:color w:val="231F20"/>
          <w:w w:val="105"/>
        </w:rPr>
        <w:t>development</w:t>
      </w:r>
      <w:r w:rsidRPr="009F06AF">
        <w:rPr>
          <w:rFonts w:cstheme="minorHAnsi"/>
          <w:color w:val="231F20"/>
          <w:spacing w:val="19"/>
          <w:w w:val="105"/>
        </w:rPr>
        <w:t xml:space="preserve"> </w:t>
      </w:r>
      <w:r w:rsidRPr="009F06AF">
        <w:rPr>
          <w:rFonts w:cstheme="minorHAnsi"/>
          <w:color w:val="231F20"/>
          <w:w w:val="105"/>
        </w:rPr>
        <w:t>boards</w:t>
      </w:r>
      <w:r w:rsidRPr="009F06AF">
        <w:rPr>
          <w:rFonts w:cstheme="minorHAnsi"/>
          <w:color w:val="231F20"/>
          <w:spacing w:val="19"/>
          <w:w w:val="105"/>
        </w:rPr>
        <w:t xml:space="preserve"> </w:t>
      </w:r>
      <w:r w:rsidRPr="009F06AF">
        <w:rPr>
          <w:rFonts w:cstheme="minorHAnsi"/>
          <w:color w:val="231F20"/>
          <w:spacing w:val="-3"/>
          <w:w w:val="105"/>
        </w:rPr>
        <w:t>(LWDBs)</w:t>
      </w:r>
      <w:r w:rsidRPr="009F06AF">
        <w:rPr>
          <w:rFonts w:cstheme="minorHAnsi"/>
          <w:color w:val="231F20"/>
          <w:spacing w:val="19"/>
          <w:w w:val="105"/>
        </w:rPr>
        <w:t xml:space="preserve"> </w:t>
      </w:r>
      <w:r w:rsidRPr="009F06AF">
        <w:rPr>
          <w:rFonts w:cstheme="minorHAnsi"/>
          <w:color w:val="231F20"/>
          <w:w w:val="105"/>
        </w:rPr>
        <w:t>and</w:t>
      </w:r>
      <w:r w:rsidRPr="009F06AF">
        <w:rPr>
          <w:rFonts w:cstheme="minorHAnsi"/>
          <w:color w:val="231F20"/>
          <w:spacing w:val="19"/>
          <w:w w:val="105"/>
        </w:rPr>
        <w:t xml:space="preserve"> </w:t>
      </w:r>
      <w:r w:rsidRPr="009F06AF">
        <w:rPr>
          <w:rFonts w:cstheme="minorHAnsi"/>
          <w:color w:val="231F20"/>
          <w:w w:val="105"/>
        </w:rPr>
        <w:t>the</w:t>
      </w:r>
      <w:r w:rsidRPr="009F06AF">
        <w:rPr>
          <w:rFonts w:cstheme="minorHAnsi"/>
          <w:color w:val="231F20"/>
          <w:spacing w:val="19"/>
          <w:w w:val="105"/>
        </w:rPr>
        <w:t xml:space="preserve"> </w:t>
      </w:r>
      <w:r w:rsidRPr="009F06AF">
        <w:rPr>
          <w:rFonts w:cstheme="minorHAnsi"/>
          <w:color w:val="231F20"/>
          <w:w w:val="105"/>
        </w:rPr>
        <w:t>local</w:t>
      </w:r>
      <w:r w:rsidRPr="009F06AF">
        <w:rPr>
          <w:rFonts w:cstheme="minorHAnsi"/>
          <w:color w:val="231F20"/>
          <w:spacing w:val="19"/>
          <w:w w:val="105"/>
        </w:rPr>
        <w:t xml:space="preserve"> </w:t>
      </w:r>
      <w:r w:rsidRPr="009F06AF">
        <w:rPr>
          <w:rFonts w:cstheme="minorHAnsi"/>
          <w:color w:val="231F20"/>
          <w:w w:val="105"/>
        </w:rPr>
        <w:t>workforce</w:t>
      </w:r>
      <w:r w:rsidRPr="009F06AF">
        <w:rPr>
          <w:rFonts w:cstheme="minorHAnsi"/>
          <w:color w:val="231F20"/>
          <w:spacing w:val="19"/>
          <w:w w:val="105"/>
        </w:rPr>
        <w:t xml:space="preserve"> </w:t>
      </w:r>
      <w:r w:rsidRPr="009F06AF">
        <w:rPr>
          <w:rFonts w:cstheme="minorHAnsi"/>
          <w:color w:val="231F20"/>
          <w:w w:val="105"/>
        </w:rPr>
        <w:t>development</w:t>
      </w:r>
      <w:r w:rsidRPr="009F06AF">
        <w:rPr>
          <w:rFonts w:cstheme="minorHAnsi"/>
          <w:color w:val="231F20"/>
          <w:spacing w:val="19"/>
          <w:w w:val="105"/>
        </w:rPr>
        <w:t xml:space="preserve"> </w:t>
      </w:r>
      <w:r w:rsidRPr="009F06AF">
        <w:rPr>
          <w:rFonts w:cstheme="minorHAnsi"/>
          <w:color w:val="231F20"/>
          <w:w w:val="105"/>
        </w:rPr>
        <w:t>areas</w:t>
      </w:r>
      <w:r w:rsidRPr="009F06AF">
        <w:rPr>
          <w:rFonts w:cstheme="minorHAnsi"/>
          <w:color w:val="231F20"/>
          <w:w w:val="109"/>
        </w:rPr>
        <w:t xml:space="preserve"> </w:t>
      </w:r>
      <w:r w:rsidRPr="009F06AF">
        <w:rPr>
          <w:rFonts w:cstheme="minorHAnsi"/>
          <w:color w:val="231F20"/>
          <w:spacing w:val="-4"/>
          <w:w w:val="105"/>
        </w:rPr>
        <w:t xml:space="preserve">(LWDAs) </w:t>
      </w:r>
      <w:r w:rsidRPr="009F06AF">
        <w:rPr>
          <w:rFonts w:cstheme="minorHAnsi"/>
          <w:color w:val="231F20"/>
          <w:w w:val="105"/>
        </w:rPr>
        <w:t xml:space="preserve">they serve are shown in the map below and are listed at </w:t>
      </w:r>
      <w:hyperlink r:id="rId139">
        <w:r w:rsidRPr="00704DA7">
          <w:rPr>
            <w:rStyle w:val="Hyperlink"/>
          </w:rPr>
          <w:t>www.</w:t>
        </w:r>
      </w:hyperlink>
      <w:hyperlink r:id="rId140">
        <w:r w:rsidRPr="00704DA7">
          <w:rPr>
            <w:rStyle w:val="Hyperlink"/>
          </w:rPr>
          <w:t>careersourceflorida.com</w:t>
        </w:r>
      </w:hyperlink>
      <w:r w:rsidRPr="00704DA7">
        <w:rPr>
          <w:rStyle w:val="Hyperlink"/>
        </w:rPr>
        <w:t>.</w:t>
      </w:r>
    </w:p>
    <w:p w14:paraId="30A89249" w14:textId="77777777" w:rsidR="00EA7458" w:rsidRPr="009F06AF" w:rsidRDefault="00EA7458" w:rsidP="00D63204">
      <w:pPr>
        <w:widowControl w:val="0"/>
        <w:spacing w:before="6" w:after="0" w:line="240" w:lineRule="auto"/>
        <w:ind w:left="107"/>
        <w:rPr>
          <w:rFonts w:cstheme="minorHAnsi"/>
          <w:sz w:val="16"/>
          <w:szCs w:val="16"/>
        </w:rPr>
      </w:pPr>
    </w:p>
    <w:p w14:paraId="4E00DAA7" w14:textId="52923AFF" w:rsidR="00EA7458" w:rsidRDefault="00EA7458" w:rsidP="00D63204">
      <w:pPr>
        <w:widowControl w:val="0"/>
        <w:spacing w:after="0" w:line="240" w:lineRule="auto"/>
        <w:ind w:left="107"/>
        <w:outlineLvl w:val="2"/>
        <w:rPr>
          <w:rFonts w:cstheme="minorHAnsi"/>
          <w:b/>
          <w:bCs/>
          <w:w w:val="110"/>
        </w:rPr>
      </w:pPr>
      <w:r w:rsidRPr="009F06AF">
        <w:rPr>
          <w:rFonts w:cstheme="minorHAnsi"/>
          <w:b/>
          <w:bCs/>
          <w:w w:val="110"/>
        </w:rPr>
        <w:t>Figure</w:t>
      </w:r>
      <w:r w:rsidRPr="009F06AF">
        <w:rPr>
          <w:rFonts w:cstheme="minorHAnsi"/>
          <w:b/>
          <w:bCs/>
          <w:spacing w:val="-5"/>
          <w:w w:val="110"/>
        </w:rPr>
        <w:t xml:space="preserve"> </w:t>
      </w:r>
      <w:r w:rsidRPr="009F06AF">
        <w:rPr>
          <w:rFonts w:cstheme="minorHAnsi"/>
          <w:b/>
          <w:bCs/>
          <w:w w:val="110"/>
        </w:rPr>
        <w:t>6.01</w:t>
      </w:r>
    </w:p>
    <w:p w14:paraId="4EEE3A9A" w14:textId="1C639461" w:rsidR="00063390" w:rsidRDefault="00063390" w:rsidP="00D63204">
      <w:pPr>
        <w:widowControl w:val="0"/>
        <w:spacing w:after="0" w:line="240" w:lineRule="auto"/>
        <w:ind w:left="107"/>
        <w:outlineLvl w:val="2"/>
        <w:rPr>
          <w:rFonts w:cstheme="minorHAnsi"/>
          <w:b/>
          <w:bCs/>
          <w:w w:val="110"/>
        </w:rPr>
      </w:pPr>
      <w:r>
        <w:rPr>
          <w:rFonts w:cstheme="minorHAnsi"/>
          <w:b/>
          <w:bCs/>
          <w:w w:val="110"/>
        </w:rPr>
        <w:t>CareerSource Florida Network Map</w:t>
      </w:r>
    </w:p>
    <w:p w14:paraId="11D1143C" w14:textId="7B6C2794" w:rsidR="00EA7458" w:rsidRPr="009F06AF" w:rsidRDefault="00C84EFE" w:rsidP="007D2256">
      <w:pPr>
        <w:widowControl w:val="0"/>
        <w:spacing w:after="0" w:line="240" w:lineRule="auto"/>
        <w:ind w:left="107"/>
        <w:jc w:val="center"/>
        <w:outlineLvl w:val="2"/>
        <w:rPr>
          <w:rFonts w:cstheme="minorHAnsi"/>
          <w:sz w:val="20"/>
          <w:szCs w:val="20"/>
        </w:rPr>
      </w:pPr>
      <w:r>
        <w:rPr>
          <w:noProof/>
        </w:rPr>
        <w:drawing>
          <wp:inline distT="0" distB="0" distL="0" distR="0" wp14:anchorId="002CFB99" wp14:editId="328B8BE7">
            <wp:extent cx="5469988" cy="4779277"/>
            <wp:effectExtent l="0" t="0" r="0" b="2540"/>
            <wp:docPr id="3" name="Picture 3" descr="Graphic depicts the CareerSource Florida Network and the location of its twenty-four local workforce development boards. The numbered local areas are as follows: CareerSource Escarosa includes Escambia, Santa Rosa CareerSource Okaloosa Walton includes Okaloosa, Walton CareerSource Chipola includes Calhoun, Holmes, Jackson, Liberty, Washington CareerSource Gulf Coast includes Bay, Franklin, Gulf CareerSource Capital Region includes Gadsden, Leon, Wakulla CareerSource North Florida includes Hamilton, Jefferson, Lafayette, Madison, Suwannee, Taylor CareerSource Florida Crown includes Columbia, Dixie, Gilchrist, Union CareerSource Northeast Florida includes  Baker, Clay, Duval, Nassau, Putnam, St. Johns CareerSource North Central Florida includes Alachua, Bradford CareerSource Citrus Levy Marion includes Citrus, Levy, Marion CareerSource Flagler Volusia includes Flagler, Volusia CareerSource Central Florida includes Lake, Orange, Osceola, Seminole, Sumter CareerSource Brevard includes Brevard CareerSource Pinellas includes Pinellas CareerSource Tampa Bay includes Hillsborough CareerSource Pasco Hernando includes Pasco, Hernando CareerSource Polk includes Polk CareerSource Suncoast includes Manatee, Sarasota CareerSource Heartland includes Desoto, Hardee, Highlands, Okeechobee CareerSource Research Coast includes Indian River, Martin, St. Lucie CareerSource Palm Beach County includes Palm Beach CareerSource Broward includes Broward CareerSource South Florida includes Miami-Dade, Monroe CareerSource Southwest Florida includes Charlotte, Collier, Glades, Hendry, Lee " title="Figure 6.01 CareerSource Florida Network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wdavis\AppData\Local\Microsoft\Windows\INetCache\Content.Word\LWDB Map with title.jpg"/>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480832" cy="4788752"/>
                    </a:xfrm>
                    <a:prstGeom prst="rect">
                      <a:avLst/>
                    </a:prstGeom>
                    <a:noFill/>
                    <a:ln>
                      <a:noFill/>
                    </a:ln>
                  </pic:spPr>
                </pic:pic>
              </a:graphicData>
            </a:graphic>
          </wp:inline>
        </w:drawing>
      </w:r>
    </w:p>
    <w:p w14:paraId="1D01F3ED" w14:textId="0F02C42F" w:rsidR="00EA7458" w:rsidRPr="009F06AF" w:rsidRDefault="00EA7458" w:rsidP="00D63204">
      <w:pPr>
        <w:widowControl w:val="0"/>
        <w:spacing w:after="0" w:line="5726" w:lineRule="exact"/>
        <w:ind w:left="720"/>
        <w:rPr>
          <w:rFonts w:cstheme="minorHAnsi"/>
          <w:sz w:val="20"/>
          <w:szCs w:val="20"/>
        </w:rPr>
        <w:sectPr w:rsidR="00EA7458" w:rsidRPr="009F06AF">
          <w:footerReference w:type="default" r:id="rId142"/>
          <w:pgSz w:w="12240" w:h="15840"/>
          <w:pgMar w:top="1620" w:right="900" w:bottom="820" w:left="900" w:header="812" w:footer="624" w:gutter="0"/>
          <w:pgNumType w:start="103"/>
          <w:cols w:space="720"/>
        </w:sectPr>
      </w:pPr>
    </w:p>
    <w:p w14:paraId="6EF7926D" w14:textId="77777777" w:rsidR="00EA7458" w:rsidRPr="009F06AF" w:rsidRDefault="00EA7458" w:rsidP="00D63204">
      <w:pPr>
        <w:widowControl w:val="0"/>
        <w:spacing w:before="2" w:after="0" w:line="240" w:lineRule="auto"/>
        <w:rPr>
          <w:rFonts w:cstheme="minorHAnsi"/>
          <w:b/>
          <w:bCs/>
          <w:sz w:val="14"/>
          <w:szCs w:val="14"/>
        </w:rPr>
      </w:pPr>
    </w:p>
    <w:p w14:paraId="2AB95CCE" w14:textId="190BA428" w:rsidR="00EA7458" w:rsidRPr="0019067F" w:rsidRDefault="00EA7458" w:rsidP="00D63204">
      <w:pPr>
        <w:widowControl w:val="0"/>
        <w:numPr>
          <w:ilvl w:val="2"/>
          <w:numId w:val="4"/>
        </w:numPr>
        <w:tabs>
          <w:tab w:val="left" w:pos="2268"/>
        </w:tabs>
        <w:spacing w:before="59" w:after="0" w:line="240" w:lineRule="auto"/>
        <w:rPr>
          <w:rFonts w:cstheme="minorHAnsi"/>
        </w:rPr>
      </w:pPr>
      <w:r w:rsidRPr="009F06AF">
        <w:rPr>
          <w:rFonts w:cstheme="minorHAnsi"/>
          <w:color w:val="295CA3"/>
          <w:w w:val="110"/>
        </w:rPr>
        <w:t>Process Used for Designating Local</w:t>
      </w:r>
      <w:r w:rsidRPr="009F06AF">
        <w:rPr>
          <w:rFonts w:cstheme="minorHAnsi"/>
          <w:color w:val="295CA3"/>
          <w:spacing w:val="10"/>
          <w:w w:val="110"/>
        </w:rPr>
        <w:t xml:space="preserve"> </w:t>
      </w:r>
      <w:r w:rsidRPr="009F06AF">
        <w:rPr>
          <w:rFonts w:cstheme="minorHAnsi"/>
          <w:color w:val="295CA3"/>
          <w:w w:val="110"/>
        </w:rPr>
        <w:t>Areas</w:t>
      </w:r>
    </w:p>
    <w:p w14:paraId="242A1265" w14:textId="77777777" w:rsidR="00EA7458" w:rsidRPr="009F06AF" w:rsidRDefault="00EA7458" w:rsidP="00D63204">
      <w:pPr>
        <w:widowControl w:val="0"/>
        <w:spacing w:before="195" w:after="0" w:line="266" w:lineRule="exact"/>
        <w:ind w:left="107"/>
        <w:outlineLvl w:val="2"/>
        <w:rPr>
          <w:rFonts w:cstheme="minorHAnsi"/>
        </w:rPr>
      </w:pPr>
      <w:r w:rsidRPr="009F06AF">
        <w:rPr>
          <w:rFonts w:cstheme="minorHAnsi"/>
          <w:b/>
          <w:bCs/>
          <w:color w:val="231F20"/>
          <w:w w:val="110"/>
        </w:rPr>
        <w:t>Local</w:t>
      </w:r>
      <w:r w:rsidRPr="009F06AF">
        <w:rPr>
          <w:rFonts w:cstheme="minorHAnsi"/>
          <w:b/>
          <w:bCs/>
          <w:color w:val="231F20"/>
          <w:spacing w:val="16"/>
          <w:w w:val="110"/>
        </w:rPr>
        <w:t xml:space="preserve"> </w:t>
      </w:r>
      <w:r w:rsidRPr="009F06AF">
        <w:rPr>
          <w:rFonts w:cstheme="minorHAnsi"/>
          <w:b/>
          <w:bCs/>
          <w:color w:val="231F20"/>
          <w:w w:val="110"/>
        </w:rPr>
        <w:t>Areas</w:t>
      </w:r>
    </w:p>
    <w:p w14:paraId="5340A092" w14:textId="61C084B7" w:rsidR="00680C4D" w:rsidRPr="00C50CA2" w:rsidRDefault="00EA7458" w:rsidP="00D63204">
      <w:pPr>
        <w:widowControl w:val="0"/>
        <w:spacing w:before="2" w:after="0" w:line="235" w:lineRule="auto"/>
        <w:ind w:left="107"/>
        <w:rPr>
          <w:rFonts w:cstheme="minorHAnsi"/>
          <w:color w:val="231F20"/>
          <w:w w:val="105"/>
        </w:rPr>
      </w:pPr>
      <w:r w:rsidRPr="009F06AF">
        <w:rPr>
          <w:rFonts w:cstheme="minorHAnsi"/>
          <w:color w:val="231F20"/>
          <w:w w:val="105"/>
        </w:rPr>
        <w:t>CareerSource</w:t>
      </w:r>
      <w:r w:rsidRPr="00C50CA2">
        <w:rPr>
          <w:rFonts w:cstheme="minorHAnsi"/>
          <w:color w:val="231F20"/>
          <w:w w:val="105"/>
        </w:rPr>
        <w:t xml:space="preserve"> </w:t>
      </w:r>
      <w:r w:rsidRPr="009F06AF">
        <w:rPr>
          <w:rFonts w:cstheme="minorHAnsi"/>
          <w:color w:val="231F20"/>
          <w:w w:val="105"/>
        </w:rPr>
        <w:t>Florida</w:t>
      </w:r>
      <w:r w:rsidRPr="00C50CA2">
        <w:rPr>
          <w:rFonts w:cstheme="minorHAnsi"/>
          <w:color w:val="231F20"/>
          <w:w w:val="105"/>
        </w:rPr>
        <w:t xml:space="preserve"> </w:t>
      </w:r>
      <w:r w:rsidRPr="009F06AF">
        <w:rPr>
          <w:rFonts w:cstheme="minorHAnsi"/>
          <w:color w:val="231F20"/>
          <w:w w:val="105"/>
        </w:rPr>
        <w:t>in</w:t>
      </w:r>
      <w:r w:rsidRPr="00C50CA2">
        <w:rPr>
          <w:rFonts w:cstheme="minorHAnsi"/>
          <w:color w:val="231F20"/>
          <w:w w:val="105"/>
        </w:rPr>
        <w:t xml:space="preserve"> </w:t>
      </w:r>
      <w:r w:rsidRPr="009F06AF">
        <w:rPr>
          <w:rFonts w:cstheme="minorHAnsi"/>
          <w:color w:val="231F20"/>
          <w:w w:val="105"/>
        </w:rPr>
        <w:t>coordination</w:t>
      </w:r>
      <w:r w:rsidRPr="00C50CA2">
        <w:rPr>
          <w:rFonts w:cstheme="minorHAnsi"/>
          <w:color w:val="231F20"/>
          <w:w w:val="105"/>
        </w:rPr>
        <w:t xml:space="preserve"> </w:t>
      </w:r>
      <w:r w:rsidRPr="009F06AF">
        <w:rPr>
          <w:rFonts w:cstheme="minorHAnsi"/>
          <w:color w:val="231F20"/>
          <w:w w:val="105"/>
        </w:rPr>
        <w:t>with</w:t>
      </w:r>
      <w:r w:rsidRPr="00C50CA2">
        <w:rPr>
          <w:rFonts w:cstheme="minorHAnsi"/>
          <w:color w:val="231F20"/>
          <w:w w:val="105"/>
        </w:rPr>
        <w:t xml:space="preserve"> </w:t>
      </w:r>
      <w:r w:rsidRPr="009F06AF">
        <w:rPr>
          <w:rFonts w:cstheme="minorHAnsi"/>
          <w:color w:val="231F20"/>
          <w:w w:val="105"/>
        </w:rPr>
        <w:t>the</w:t>
      </w:r>
      <w:r w:rsidRPr="00C50CA2">
        <w:rPr>
          <w:rFonts w:cstheme="minorHAnsi"/>
          <w:color w:val="231F20"/>
          <w:w w:val="105"/>
        </w:rPr>
        <w:t xml:space="preserve"> </w:t>
      </w:r>
      <w:r w:rsidRPr="009F06AF">
        <w:rPr>
          <w:rFonts w:cstheme="minorHAnsi"/>
          <w:color w:val="231F20"/>
          <w:w w:val="105"/>
        </w:rPr>
        <w:t>Department</w:t>
      </w:r>
      <w:r w:rsidRPr="00C50CA2">
        <w:rPr>
          <w:rFonts w:cstheme="minorHAnsi"/>
          <w:color w:val="231F20"/>
          <w:w w:val="105"/>
        </w:rPr>
        <w:t xml:space="preserve"> </w:t>
      </w:r>
      <w:r w:rsidRPr="009F06AF">
        <w:rPr>
          <w:rFonts w:cstheme="minorHAnsi"/>
          <w:color w:val="231F20"/>
          <w:w w:val="105"/>
        </w:rPr>
        <w:t>of</w:t>
      </w:r>
      <w:r w:rsidRPr="00C50CA2">
        <w:rPr>
          <w:rFonts w:cstheme="minorHAnsi"/>
          <w:color w:val="231F20"/>
          <w:w w:val="105"/>
        </w:rPr>
        <w:t xml:space="preserve"> </w:t>
      </w:r>
      <w:r w:rsidRPr="009F06AF">
        <w:rPr>
          <w:rFonts w:cstheme="minorHAnsi"/>
          <w:color w:val="231F20"/>
          <w:w w:val="105"/>
        </w:rPr>
        <w:t>Economic</w:t>
      </w:r>
      <w:r w:rsidRPr="00C50CA2">
        <w:rPr>
          <w:rFonts w:cstheme="minorHAnsi"/>
          <w:color w:val="231F20"/>
          <w:w w:val="105"/>
        </w:rPr>
        <w:t xml:space="preserve"> </w:t>
      </w:r>
      <w:r w:rsidRPr="009F06AF">
        <w:rPr>
          <w:rFonts w:cstheme="minorHAnsi"/>
          <w:color w:val="231F20"/>
          <w:w w:val="105"/>
        </w:rPr>
        <w:t>Opportunity</w:t>
      </w:r>
      <w:r w:rsidRPr="00C50CA2">
        <w:rPr>
          <w:rFonts w:cstheme="minorHAnsi"/>
          <w:color w:val="231F20"/>
          <w:w w:val="105"/>
        </w:rPr>
        <w:t xml:space="preserve"> </w:t>
      </w:r>
      <w:r w:rsidRPr="009F06AF">
        <w:rPr>
          <w:rFonts w:cstheme="minorHAnsi"/>
          <w:color w:val="231F20"/>
          <w:w w:val="105"/>
        </w:rPr>
        <w:t>(DEO)</w:t>
      </w:r>
      <w:r w:rsidRPr="00C50CA2">
        <w:rPr>
          <w:rFonts w:cstheme="minorHAnsi"/>
          <w:color w:val="231F20"/>
          <w:w w:val="105"/>
        </w:rPr>
        <w:t xml:space="preserve"> </w:t>
      </w:r>
      <w:r w:rsidRPr="009F06AF">
        <w:rPr>
          <w:rFonts w:cstheme="minorHAnsi"/>
          <w:color w:val="231F20"/>
          <w:w w:val="105"/>
        </w:rPr>
        <w:t>reviewed</w:t>
      </w:r>
      <w:r w:rsidRPr="00C50CA2">
        <w:rPr>
          <w:rFonts w:cstheme="minorHAnsi"/>
          <w:color w:val="231F20"/>
          <w:w w:val="105"/>
        </w:rPr>
        <w:t xml:space="preserve"> </w:t>
      </w:r>
      <w:r w:rsidRPr="009F06AF">
        <w:rPr>
          <w:rFonts w:cstheme="minorHAnsi"/>
          <w:color w:val="231F20"/>
          <w:w w:val="105"/>
        </w:rPr>
        <w:t>the</w:t>
      </w:r>
      <w:r w:rsidRPr="00C50CA2">
        <w:rPr>
          <w:rFonts w:cstheme="minorHAnsi"/>
          <w:color w:val="231F20"/>
          <w:w w:val="105"/>
        </w:rPr>
        <w:t xml:space="preserve"> </w:t>
      </w:r>
      <w:r w:rsidRPr="009F06AF">
        <w:rPr>
          <w:rFonts w:cstheme="minorHAnsi"/>
          <w:color w:val="231F20"/>
          <w:w w:val="105"/>
        </w:rPr>
        <w:t>performance</w:t>
      </w:r>
      <w:r w:rsidRPr="00C50CA2">
        <w:rPr>
          <w:rFonts w:cstheme="minorHAnsi"/>
          <w:color w:val="231F20"/>
          <w:w w:val="105"/>
        </w:rPr>
        <w:t xml:space="preserve"> </w:t>
      </w:r>
      <w:r w:rsidRPr="009F06AF">
        <w:rPr>
          <w:rFonts w:cstheme="minorHAnsi"/>
          <w:color w:val="231F20"/>
          <w:w w:val="105"/>
        </w:rPr>
        <w:t>and</w:t>
      </w:r>
      <w:r w:rsidRPr="00C50CA2">
        <w:rPr>
          <w:rFonts w:cstheme="minorHAnsi"/>
          <w:color w:val="231F20"/>
          <w:w w:val="105"/>
        </w:rPr>
        <w:t xml:space="preserve"> </w:t>
      </w:r>
      <w:r w:rsidRPr="009F06AF">
        <w:rPr>
          <w:rFonts w:cstheme="minorHAnsi"/>
          <w:color w:val="231F20"/>
          <w:w w:val="105"/>
        </w:rPr>
        <w:t>financial</w:t>
      </w:r>
      <w:r w:rsidRPr="00C50CA2">
        <w:rPr>
          <w:rFonts w:cstheme="minorHAnsi"/>
          <w:color w:val="231F20"/>
          <w:w w:val="105"/>
        </w:rPr>
        <w:t xml:space="preserve"> </w:t>
      </w:r>
      <w:r w:rsidRPr="009F06AF">
        <w:rPr>
          <w:rFonts w:cstheme="minorHAnsi"/>
          <w:color w:val="231F20"/>
          <w:w w:val="105"/>
        </w:rPr>
        <w:t>integrity</w:t>
      </w:r>
      <w:r w:rsidRPr="00C50CA2">
        <w:rPr>
          <w:rFonts w:cstheme="minorHAnsi"/>
          <w:color w:val="231F20"/>
          <w:w w:val="105"/>
        </w:rPr>
        <w:t xml:space="preserve"> </w:t>
      </w:r>
      <w:r w:rsidRPr="009F06AF">
        <w:rPr>
          <w:rFonts w:cstheme="minorHAnsi"/>
          <w:color w:val="231F20"/>
          <w:w w:val="105"/>
        </w:rPr>
        <w:t>of</w:t>
      </w:r>
      <w:r w:rsidRPr="00C50CA2">
        <w:rPr>
          <w:rFonts w:cstheme="minorHAnsi"/>
          <w:color w:val="231F20"/>
          <w:w w:val="105"/>
        </w:rPr>
        <w:t xml:space="preserve"> </w:t>
      </w:r>
      <w:r w:rsidRPr="009F06AF">
        <w:rPr>
          <w:rFonts w:cstheme="minorHAnsi"/>
          <w:color w:val="231F20"/>
          <w:w w:val="105"/>
        </w:rPr>
        <w:t>each</w:t>
      </w:r>
      <w:r w:rsidRPr="00C50CA2">
        <w:rPr>
          <w:rFonts w:cstheme="minorHAnsi"/>
          <w:color w:val="231F20"/>
          <w:w w:val="105"/>
        </w:rPr>
        <w:t xml:space="preserve"> </w:t>
      </w:r>
      <w:r w:rsidRPr="009F06AF">
        <w:rPr>
          <w:rFonts w:cstheme="minorHAnsi"/>
          <w:color w:val="231F20"/>
          <w:w w:val="105"/>
        </w:rPr>
        <w:t>of</w:t>
      </w:r>
      <w:r w:rsidRPr="00C50CA2">
        <w:rPr>
          <w:rFonts w:cstheme="minorHAnsi"/>
          <w:color w:val="231F20"/>
          <w:w w:val="105"/>
        </w:rPr>
        <w:t xml:space="preserve"> </w:t>
      </w:r>
      <w:r w:rsidRPr="009F06AF">
        <w:rPr>
          <w:rFonts w:cstheme="minorHAnsi"/>
          <w:color w:val="231F20"/>
          <w:w w:val="105"/>
        </w:rPr>
        <w:t>the</w:t>
      </w:r>
      <w:r w:rsidRPr="00C50CA2">
        <w:rPr>
          <w:rFonts w:cstheme="minorHAnsi"/>
          <w:color w:val="231F20"/>
          <w:w w:val="105"/>
        </w:rPr>
        <w:t xml:space="preserve"> </w:t>
      </w:r>
      <w:r w:rsidRPr="009F06AF">
        <w:rPr>
          <w:rFonts w:cstheme="minorHAnsi"/>
          <w:color w:val="231F20"/>
          <w:w w:val="105"/>
        </w:rPr>
        <w:t>state’s</w:t>
      </w:r>
      <w:r w:rsidRPr="00C50CA2">
        <w:rPr>
          <w:rFonts w:cstheme="minorHAnsi"/>
          <w:color w:val="231F20"/>
          <w:w w:val="105"/>
        </w:rPr>
        <w:t xml:space="preserve"> </w:t>
      </w:r>
      <w:r w:rsidRPr="009F06AF">
        <w:rPr>
          <w:rFonts w:cstheme="minorHAnsi"/>
          <w:color w:val="231F20"/>
          <w:w w:val="105"/>
        </w:rPr>
        <w:t>24</w:t>
      </w:r>
      <w:r w:rsidRPr="00C50CA2">
        <w:rPr>
          <w:rFonts w:cstheme="minorHAnsi"/>
          <w:color w:val="231F20"/>
          <w:w w:val="105"/>
        </w:rPr>
        <w:t xml:space="preserve"> </w:t>
      </w:r>
      <w:r w:rsidRPr="009F06AF">
        <w:rPr>
          <w:rFonts w:cstheme="minorHAnsi"/>
          <w:color w:val="231F20"/>
          <w:w w:val="105"/>
        </w:rPr>
        <w:t>currently</w:t>
      </w:r>
      <w:r w:rsidRPr="00C50CA2">
        <w:rPr>
          <w:rFonts w:cstheme="minorHAnsi"/>
          <w:color w:val="231F20"/>
          <w:w w:val="105"/>
        </w:rPr>
        <w:t xml:space="preserve"> </w:t>
      </w:r>
      <w:r w:rsidRPr="009F06AF">
        <w:rPr>
          <w:rFonts w:cstheme="minorHAnsi"/>
          <w:color w:val="231F20"/>
          <w:w w:val="105"/>
        </w:rPr>
        <w:t>designated</w:t>
      </w:r>
      <w:r w:rsidRPr="00C50CA2">
        <w:rPr>
          <w:rFonts w:cstheme="minorHAnsi"/>
          <w:color w:val="231F20"/>
          <w:w w:val="105"/>
        </w:rPr>
        <w:t xml:space="preserve"> </w:t>
      </w:r>
      <w:r w:rsidRPr="009F06AF">
        <w:rPr>
          <w:rFonts w:cstheme="minorHAnsi"/>
          <w:color w:val="231F20"/>
          <w:w w:val="105"/>
        </w:rPr>
        <w:t>workforce</w:t>
      </w:r>
      <w:r w:rsidRPr="00C50CA2">
        <w:rPr>
          <w:rFonts w:cstheme="minorHAnsi"/>
          <w:color w:val="231F20"/>
          <w:w w:val="105"/>
        </w:rPr>
        <w:t xml:space="preserve"> </w:t>
      </w:r>
      <w:r w:rsidRPr="009F06AF">
        <w:rPr>
          <w:rFonts w:cstheme="minorHAnsi"/>
          <w:color w:val="231F20"/>
          <w:w w:val="105"/>
        </w:rPr>
        <w:t>local</w:t>
      </w:r>
      <w:r w:rsidRPr="00C50CA2">
        <w:rPr>
          <w:rFonts w:cstheme="minorHAnsi"/>
          <w:color w:val="231F20"/>
          <w:w w:val="105"/>
        </w:rPr>
        <w:t xml:space="preserve"> </w:t>
      </w:r>
      <w:r w:rsidRPr="009F06AF">
        <w:rPr>
          <w:rFonts w:cstheme="minorHAnsi"/>
          <w:color w:val="231F20"/>
          <w:w w:val="105"/>
        </w:rPr>
        <w:t>areas</w:t>
      </w:r>
      <w:r w:rsidRPr="00C50CA2">
        <w:rPr>
          <w:rFonts w:cstheme="minorHAnsi"/>
          <w:color w:val="231F20"/>
          <w:w w:val="105"/>
        </w:rPr>
        <w:t xml:space="preserve"> </w:t>
      </w:r>
      <w:r w:rsidRPr="009F06AF">
        <w:rPr>
          <w:rFonts w:cstheme="minorHAnsi"/>
          <w:color w:val="231F20"/>
          <w:w w:val="105"/>
        </w:rPr>
        <w:t>and</w:t>
      </w:r>
      <w:r w:rsidRPr="00C50CA2">
        <w:rPr>
          <w:rFonts w:cstheme="minorHAnsi"/>
          <w:color w:val="231F20"/>
          <w:w w:val="105"/>
        </w:rPr>
        <w:t xml:space="preserve"> </w:t>
      </w:r>
      <w:r w:rsidRPr="009F06AF">
        <w:rPr>
          <w:rFonts w:cstheme="minorHAnsi"/>
          <w:color w:val="231F20"/>
          <w:w w:val="105"/>
        </w:rPr>
        <w:t>existing</w:t>
      </w:r>
      <w:r w:rsidRPr="00C50CA2">
        <w:rPr>
          <w:rFonts w:cstheme="minorHAnsi"/>
          <w:color w:val="231F20"/>
          <w:w w:val="105"/>
        </w:rPr>
        <w:t xml:space="preserve"> LWDBs. </w:t>
      </w:r>
      <w:r w:rsidR="007D4B4F" w:rsidRPr="009F06AF">
        <w:rPr>
          <w:rFonts w:cstheme="minorHAnsi"/>
          <w:color w:val="231F20"/>
          <w:w w:val="105"/>
        </w:rPr>
        <w:t xml:space="preserve">A </w:t>
      </w:r>
      <w:r w:rsidRPr="009F06AF">
        <w:rPr>
          <w:rFonts w:cstheme="minorHAnsi"/>
          <w:color w:val="231F20"/>
          <w:w w:val="105"/>
        </w:rPr>
        <w:t>recommendation</w:t>
      </w:r>
      <w:r w:rsidRPr="00C50CA2">
        <w:rPr>
          <w:rFonts w:cstheme="minorHAnsi"/>
          <w:color w:val="231F20"/>
          <w:w w:val="105"/>
        </w:rPr>
        <w:t xml:space="preserve"> </w:t>
      </w:r>
      <w:r w:rsidRPr="009F06AF">
        <w:rPr>
          <w:rFonts w:cstheme="minorHAnsi"/>
          <w:color w:val="231F20"/>
          <w:w w:val="105"/>
        </w:rPr>
        <w:t>was</w:t>
      </w:r>
      <w:r w:rsidRPr="00C50CA2">
        <w:rPr>
          <w:rFonts w:cstheme="minorHAnsi"/>
          <w:color w:val="231F20"/>
          <w:w w:val="105"/>
        </w:rPr>
        <w:t xml:space="preserve"> </w:t>
      </w:r>
      <w:r w:rsidRPr="009F06AF">
        <w:rPr>
          <w:rFonts w:cstheme="minorHAnsi"/>
          <w:color w:val="231F20"/>
          <w:w w:val="105"/>
        </w:rPr>
        <w:t>presented</w:t>
      </w:r>
      <w:r w:rsidRPr="00C50CA2">
        <w:rPr>
          <w:rFonts w:cstheme="minorHAnsi"/>
          <w:color w:val="231F20"/>
          <w:w w:val="105"/>
        </w:rPr>
        <w:t xml:space="preserve"> </w:t>
      </w:r>
      <w:r w:rsidRPr="009F06AF">
        <w:rPr>
          <w:rFonts w:cstheme="minorHAnsi"/>
          <w:color w:val="231F20"/>
          <w:w w:val="105"/>
        </w:rPr>
        <w:t>to</w:t>
      </w:r>
      <w:r w:rsidRPr="00C50CA2">
        <w:rPr>
          <w:rFonts w:cstheme="minorHAnsi"/>
          <w:color w:val="231F20"/>
          <w:w w:val="105"/>
        </w:rPr>
        <w:t xml:space="preserve"> </w:t>
      </w:r>
      <w:r w:rsidRPr="009F06AF">
        <w:rPr>
          <w:rFonts w:cstheme="minorHAnsi"/>
          <w:color w:val="231F20"/>
          <w:w w:val="105"/>
        </w:rPr>
        <w:t>the</w:t>
      </w:r>
      <w:r w:rsidRPr="00C50CA2">
        <w:rPr>
          <w:rFonts w:cstheme="minorHAnsi"/>
          <w:color w:val="231F20"/>
          <w:w w:val="105"/>
        </w:rPr>
        <w:t xml:space="preserve"> </w:t>
      </w:r>
      <w:r w:rsidRPr="009F06AF">
        <w:rPr>
          <w:rFonts w:cstheme="minorHAnsi"/>
          <w:color w:val="231F20"/>
          <w:w w:val="105"/>
        </w:rPr>
        <w:t>CareerSource</w:t>
      </w:r>
      <w:r w:rsidRPr="00C50CA2">
        <w:rPr>
          <w:rFonts w:cstheme="minorHAnsi"/>
          <w:color w:val="231F20"/>
          <w:w w:val="105"/>
        </w:rPr>
        <w:t xml:space="preserve"> </w:t>
      </w:r>
      <w:r w:rsidRPr="009F06AF">
        <w:rPr>
          <w:rFonts w:cstheme="minorHAnsi"/>
          <w:color w:val="231F20"/>
          <w:w w:val="105"/>
        </w:rPr>
        <w:t>Florida</w:t>
      </w:r>
      <w:r w:rsidRPr="00C50CA2">
        <w:rPr>
          <w:rFonts w:cstheme="minorHAnsi"/>
          <w:color w:val="231F20"/>
          <w:w w:val="105"/>
        </w:rPr>
        <w:t xml:space="preserve"> </w:t>
      </w:r>
      <w:r w:rsidRPr="009F06AF">
        <w:rPr>
          <w:rFonts w:cstheme="minorHAnsi"/>
          <w:color w:val="231F20"/>
          <w:w w:val="105"/>
        </w:rPr>
        <w:t>Board</w:t>
      </w:r>
      <w:r w:rsidRPr="00C50CA2">
        <w:rPr>
          <w:rFonts w:cstheme="minorHAnsi"/>
          <w:color w:val="231F20"/>
          <w:w w:val="105"/>
        </w:rPr>
        <w:t xml:space="preserve"> </w:t>
      </w:r>
      <w:r w:rsidRPr="009F06AF">
        <w:rPr>
          <w:rFonts w:cstheme="minorHAnsi"/>
          <w:color w:val="231F20"/>
          <w:w w:val="105"/>
        </w:rPr>
        <w:t>of</w:t>
      </w:r>
      <w:r w:rsidRPr="00C50CA2">
        <w:rPr>
          <w:rFonts w:cstheme="minorHAnsi"/>
          <w:color w:val="231F20"/>
          <w:w w:val="105"/>
        </w:rPr>
        <w:t xml:space="preserve"> </w:t>
      </w:r>
      <w:r w:rsidRPr="009F06AF">
        <w:rPr>
          <w:rFonts w:cstheme="minorHAnsi"/>
          <w:color w:val="231F20"/>
          <w:w w:val="105"/>
        </w:rPr>
        <w:t>Directors</w:t>
      </w:r>
      <w:r w:rsidRPr="00C50CA2">
        <w:rPr>
          <w:rFonts w:cstheme="minorHAnsi"/>
          <w:color w:val="231F20"/>
          <w:w w:val="105"/>
        </w:rPr>
        <w:t xml:space="preserve"> </w:t>
      </w:r>
      <w:r w:rsidRPr="009F06AF">
        <w:rPr>
          <w:rFonts w:cstheme="minorHAnsi"/>
          <w:color w:val="231F20"/>
          <w:w w:val="105"/>
        </w:rPr>
        <w:t>to</w:t>
      </w:r>
      <w:r w:rsidRPr="00C50CA2">
        <w:rPr>
          <w:rFonts w:cstheme="minorHAnsi"/>
          <w:color w:val="231F20"/>
          <w:w w:val="105"/>
        </w:rPr>
        <w:t xml:space="preserve"> </w:t>
      </w:r>
      <w:r w:rsidRPr="009F06AF">
        <w:rPr>
          <w:rFonts w:cstheme="minorHAnsi"/>
          <w:color w:val="231F20"/>
          <w:w w:val="105"/>
        </w:rPr>
        <w:t>initially</w:t>
      </w:r>
      <w:r w:rsidRPr="00C50CA2">
        <w:rPr>
          <w:rFonts w:cstheme="minorHAnsi"/>
          <w:color w:val="231F20"/>
          <w:w w:val="105"/>
        </w:rPr>
        <w:t xml:space="preserve"> </w:t>
      </w:r>
      <w:r w:rsidRPr="009F06AF">
        <w:rPr>
          <w:rFonts w:cstheme="minorHAnsi"/>
          <w:color w:val="231F20"/>
          <w:w w:val="105"/>
        </w:rPr>
        <w:t>designate</w:t>
      </w:r>
      <w:r w:rsidRPr="00C50CA2">
        <w:rPr>
          <w:rFonts w:cstheme="minorHAnsi"/>
          <w:color w:val="231F20"/>
          <w:w w:val="105"/>
        </w:rPr>
        <w:t xml:space="preserve"> </w:t>
      </w:r>
      <w:r w:rsidRPr="009F06AF">
        <w:rPr>
          <w:rFonts w:cstheme="minorHAnsi"/>
          <w:color w:val="231F20"/>
          <w:w w:val="105"/>
        </w:rPr>
        <w:t>all</w:t>
      </w:r>
      <w:r w:rsidRPr="00C50CA2">
        <w:rPr>
          <w:rFonts w:cstheme="minorHAnsi"/>
          <w:color w:val="231F20"/>
          <w:w w:val="105"/>
        </w:rPr>
        <w:t xml:space="preserve"> </w:t>
      </w:r>
      <w:r w:rsidR="00D27D26" w:rsidRPr="009F06AF">
        <w:rPr>
          <w:rFonts w:cstheme="minorHAnsi"/>
          <w:color w:val="231F20"/>
          <w:w w:val="105"/>
        </w:rPr>
        <w:t>24</w:t>
      </w:r>
      <w:r w:rsidR="001253B8">
        <w:rPr>
          <w:rFonts w:cstheme="minorHAnsi"/>
          <w:color w:val="231F20"/>
          <w:w w:val="105"/>
        </w:rPr>
        <w:t xml:space="preserve"> </w:t>
      </w:r>
      <w:r w:rsidR="00D27D26" w:rsidRPr="00C50CA2">
        <w:rPr>
          <w:rFonts w:cstheme="minorHAnsi"/>
          <w:color w:val="231F20"/>
          <w:w w:val="105"/>
        </w:rPr>
        <w:t>workforce</w:t>
      </w:r>
      <w:r w:rsidRPr="00C50CA2">
        <w:rPr>
          <w:rFonts w:cstheme="minorHAnsi"/>
          <w:color w:val="231F20"/>
          <w:w w:val="105"/>
        </w:rPr>
        <w:t xml:space="preserve"> </w:t>
      </w:r>
      <w:r w:rsidRPr="009F06AF">
        <w:rPr>
          <w:rFonts w:cstheme="minorHAnsi"/>
          <w:color w:val="231F20"/>
          <w:w w:val="105"/>
        </w:rPr>
        <w:t>local</w:t>
      </w:r>
      <w:r w:rsidRPr="00C50CA2">
        <w:rPr>
          <w:rFonts w:cstheme="minorHAnsi"/>
          <w:color w:val="231F20"/>
          <w:w w:val="105"/>
        </w:rPr>
        <w:t xml:space="preserve"> </w:t>
      </w:r>
      <w:r w:rsidR="007D4B4F" w:rsidRPr="00C50CA2">
        <w:rPr>
          <w:rFonts w:cstheme="minorHAnsi"/>
          <w:color w:val="231F20"/>
          <w:w w:val="105"/>
        </w:rPr>
        <w:t>a</w:t>
      </w:r>
      <w:r w:rsidRPr="009F06AF">
        <w:rPr>
          <w:rFonts w:cstheme="minorHAnsi"/>
          <w:color w:val="231F20"/>
          <w:w w:val="105"/>
        </w:rPr>
        <w:t>reas</w:t>
      </w:r>
      <w:r w:rsidRPr="00C50CA2">
        <w:rPr>
          <w:rFonts w:cstheme="minorHAnsi"/>
          <w:color w:val="231F20"/>
          <w:w w:val="105"/>
        </w:rPr>
        <w:t xml:space="preserve"> </w:t>
      </w:r>
      <w:r w:rsidRPr="009F06AF">
        <w:rPr>
          <w:rFonts w:cstheme="minorHAnsi"/>
          <w:color w:val="231F20"/>
          <w:w w:val="105"/>
        </w:rPr>
        <w:t>previously</w:t>
      </w:r>
      <w:r w:rsidRPr="00C50CA2">
        <w:rPr>
          <w:rFonts w:cstheme="minorHAnsi"/>
          <w:color w:val="231F20"/>
          <w:w w:val="105"/>
        </w:rPr>
        <w:t xml:space="preserve"> </w:t>
      </w:r>
      <w:r w:rsidRPr="009F06AF">
        <w:rPr>
          <w:rFonts w:cstheme="minorHAnsi"/>
          <w:color w:val="231F20"/>
          <w:w w:val="105"/>
        </w:rPr>
        <w:t>designated</w:t>
      </w:r>
      <w:r w:rsidRPr="00C50CA2">
        <w:rPr>
          <w:rFonts w:cstheme="minorHAnsi"/>
          <w:color w:val="231F20"/>
          <w:w w:val="105"/>
        </w:rPr>
        <w:t xml:space="preserve"> </w:t>
      </w:r>
      <w:r w:rsidRPr="009F06AF">
        <w:rPr>
          <w:rFonts w:cstheme="minorHAnsi"/>
          <w:color w:val="231F20"/>
          <w:w w:val="105"/>
        </w:rPr>
        <w:t>under</w:t>
      </w:r>
      <w:r w:rsidRPr="00C50CA2">
        <w:rPr>
          <w:rFonts w:cstheme="minorHAnsi"/>
          <w:color w:val="231F20"/>
          <w:w w:val="105"/>
        </w:rPr>
        <w:t xml:space="preserve"> </w:t>
      </w:r>
      <w:r w:rsidRPr="009F06AF">
        <w:rPr>
          <w:rFonts w:cstheme="minorHAnsi"/>
          <w:color w:val="231F20"/>
          <w:w w:val="105"/>
        </w:rPr>
        <w:t>the</w:t>
      </w:r>
      <w:r w:rsidRPr="00C50CA2">
        <w:rPr>
          <w:rFonts w:cstheme="minorHAnsi"/>
          <w:color w:val="231F20"/>
          <w:w w:val="105"/>
        </w:rPr>
        <w:t xml:space="preserve"> </w:t>
      </w:r>
      <w:r w:rsidRPr="009F06AF">
        <w:rPr>
          <w:rFonts w:cstheme="minorHAnsi"/>
          <w:color w:val="231F20"/>
          <w:w w:val="105"/>
        </w:rPr>
        <w:t>Workforce</w:t>
      </w:r>
      <w:r w:rsidRPr="00C50CA2">
        <w:rPr>
          <w:rFonts w:cstheme="minorHAnsi"/>
          <w:color w:val="231F20"/>
          <w:w w:val="105"/>
        </w:rPr>
        <w:t xml:space="preserve"> </w:t>
      </w:r>
      <w:r w:rsidRPr="009F06AF">
        <w:rPr>
          <w:rFonts w:cstheme="minorHAnsi"/>
          <w:color w:val="231F20"/>
          <w:w w:val="105"/>
        </w:rPr>
        <w:t>Investment</w:t>
      </w:r>
      <w:r w:rsidRPr="00C50CA2">
        <w:rPr>
          <w:rFonts w:cstheme="minorHAnsi"/>
          <w:color w:val="231F20"/>
          <w:w w:val="105"/>
        </w:rPr>
        <w:t xml:space="preserve"> </w:t>
      </w:r>
      <w:r w:rsidRPr="009F06AF">
        <w:rPr>
          <w:rFonts w:cstheme="minorHAnsi"/>
          <w:color w:val="231F20"/>
          <w:w w:val="105"/>
        </w:rPr>
        <w:t>Act</w:t>
      </w:r>
      <w:r w:rsidRPr="00C50CA2">
        <w:rPr>
          <w:rFonts w:cstheme="minorHAnsi"/>
          <w:color w:val="231F20"/>
          <w:w w:val="105"/>
        </w:rPr>
        <w:t xml:space="preserve"> </w:t>
      </w:r>
      <w:r w:rsidRPr="009F06AF">
        <w:rPr>
          <w:rFonts w:cstheme="minorHAnsi"/>
          <w:color w:val="231F20"/>
          <w:w w:val="105"/>
        </w:rPr>
        <w:t>and</w:t>
      </w:r>
      <w:r w:rsidRPr="00C50CA2">
        <w:rPr>
          <w:rFonts w:cstheme="minorHAnsi"/>
          <w:color w:val="231F20"/>
          <w:w w:val="105"/>
        </w:rPr>
        <w:t xml:space="preserve"> </w:t>
      </w:r>
      <w:r w:rsidRPr="009F06AF">
        <w:rPr>
          <w:rFonts w:cstheme="minorHAnsi"/>
          <w:color w:val="231F20"/>
          <w:w w:val="105"/>
        </w:rPr>
        <w:t>to</w:t>
      </w:r>
      <w:r w:rsidRPr="00C50CA2">
        <w:rPr>
          <w:rFonts w:cstheme="minorHAnsi"/>
          <w:color w:val="231F20"/>
          <w:w w:val="105"/>
        </w:rPr>
        <w:t xml:space="preserve"> </w:t>
      </w:r>
      <w:r w:rsidRPr="009F06AF">
        <w:rPr>
          <w:rFonts w:cstheme="minorHAnsi"/>
          <w:color w:val="231F20"/>
          <w:w w:val="105"/>
        </w:rPr>
        <w:t>continue</w:t>
      </w:r>
      <w:r w:rsidRPr="00C50CA2">
        <w:rPr>
          <w:rFonts w:cstheme="minorHAnsi"/>
          <w:color w:val="231F20"/>
          <w:w w:val="105"/>
        </w:rPr>
        <w:t xml:space="preserve"> </w:t>
      </w:r>
      <w:r w:rsidRPr="009F06AF">
        <w:rPr>
          <w:rFonts w:cstheme="minorHAnsi"/>
          <w:color w:val="231F20"/>
          <w:w w:val="105"/>
        </w:rPr>
        <w:t>the</w:t>
      </w:r>
      <w:r w:rsidRPr="00C50CA2">
        <w:rPr>
          <w:rFonts w:cstheme="minorHAnsi"/>
          <w:color w:val="231F20"/>
          <w:w w:val="105"/>
        </w:rPr>
        <w:t xml:space="preserve"> </w:t>
      </w:r>
      <w:r w:rsidRPr="009F06AF">
        <w:rPr>
          <w:rFonts w:cstheme="minorHAnsi"/>
          <w:color w:val="231F20"/>
          <w:w w:val="105"/>
        </w:rPr>
        <w:t>charter</w:t>
      </w:r>
      <w:r w:rsidRPr="00C50CA2">
        <w:rPr>
          <w:rFonts w:cstheme="minorHAnsi"/>
          <w:color w:val="231F20"/>
          <w:w w:val="105"/>
        </w:rPr>
        <w:t xml:space="preserve"> </w:t>
      </w:r>
      <w:r w:rsidRPr="009F06AF">
        <w:rPr>
          <w:rFonts w:cstheme="minorHAnsi"/>
          <w:color w:val="231F20"/>
          <w:w w:val="105"/>
        </w:rPr>
        <w:t>of</w:t>
      </w:r>
      <w:r w:rsidRPr="00C50CA2">
        <w:rPr>
          <w:rFonts w:cstheme="minorHAnsi"/>
          <w:color w:val="231F20"/>
          <w:w w:val="105"/>
        </w:rPr>
        <w:t xml:space="preserve"> </w:t>
      </w:r>
      <w:r w:rsidRPr="009F06AF">
        <w:rPr>
          <w:rFonts w:cstheme="minorHAnsi"/>
          <w:color w:val="231F20"/>
          <w:w w:val="105"/>
        </w:rPr>
        <w:t>existing</w:t>
      </w:r>
      <w:r w:rsidRPr="00C50CA2">
        <w:rPr>
          <w:rFonts w:cstheme="minorHAnsi"/>
          <w:color w:val="231F20"/>
          <w:w w:val="105"/>
        </w:rPr>
        <w:t xml:space="preserve"> </w:t>
      </w:r>
      <w:r w:rsidRPr="009F06AF">
        <w:rPr>
          <w:rFonts w:cstheme="minorHAnsi"/>
          <w:color w:val="231F20"/>
          <w:w w:val="105"/>
        </w:rPr>
        <w:t>local</w:t>
      </w:r>
      <w:r w:rsidRPr="00C50CA2">
        <w:rPr>
          <w:rFonts w:cstheme="minorHAnsi"/>
          <w:color w:val="231F20"/>
          <w:w w:val="105"/>
        </w:rPr>
        <w:t xml:space="preserve"> </w:t>
      </w:r>
      <w:r w:rsidRPr="009F06AF">
        <w:rPr>
          <w:rFonts w:cstheme="minorHAnsi"/>
          <w:color w:val="231F20"/>
          <w:w w:val="105"/>
        </w:rPr>
        <w:t>workforce</w:t>
      </w:r>
      <w:r w:rsidRPr="00C50CA2">
        <w:rPr>
          <w:rFonts w:cstheme="minorHAnsi"/>
          <w:color w:val="231F20"/>
          <w:w w:val="105"/>
        </w:rPr>
        <w:t xml:space="preserve"> </w:t>
      </w:r>
      <w:r w:rsidRPr="009F06AF">
        <w:rPr>
          <w:rFonts w:cstheme="minorHAnsi"/>
          <w:color w:val="231F20"/>
          <w:w w:val="105"/>
        </w:rPr>
        <w:t>boards</w:t>
      </w:r>
      <w:r w:rsidRPr="00C50CA2">
        <w:rPr>
          <w:rFonts w:cstheme="minorHAnsi"/>
          <w:color w:val="231F20"/>
          <w:w w:val="105"/>
        </w:rPr>
        <w:t xml:space="preserve"> </w:t>
      </w:r>
      <w:r w:rsidRPr="009F06AF">
        <w:rPr>
          <w:rFonts w:cstheme="minorHAnsi"/>
          <w:color w:val="231F20"/>
          <w:w w:val="105"/>
        </w:rPr>
        <w:t>for</w:t>
      </w:r>
      <w:r w:rsidRPr="00C50CA2">
        <w:rPr>
          <w:rFonts w:cstheme="minorHAnsi"/>
          <w:color w:val="231F20"/>
          <w:w w:val="105"/>
        </w:rPr>
        <w:t xml:space="preserve"> </w:t>
      </w:r>
      <w:r w:rsidRPr="009F06AF">
        <w:rPr>
          <w:rFonts w:cstheme="minorHAnsi"/>
          <w:color w:val="231F20"/>
          <w:w w:val="105"/>
        </w:rPr>
        <w:t>the</w:t>
      </w:r>
      <w:r w:rsidRPr="00C50CA2">
        <w:rPr>
          <w:rFonts w:cstheme="minorHAnsi"/>
          <w:color w:val="231F20"/>
          <w:w w:val="105"/>
        </w:rPr>
        <w:t xml:space="preserve"> </w:t>
      </w:r>
      <w:r w:rsidRPr="009F06AF">
        <w:rPr>
          <w:rFonts w:cstheme="minorHAnsi"/>
          <w:color w:val="231F20"/>
          <w:w w:val="105"/>
        </w:rPr>
        <w:t>period</w:t>
      </w:r>
      <w:r w:rsidRPr="00C50CA2">
        <w:rPr>
          <w:rFonts w:cstheme="minorHAnsi"/>
          <w:color w:val="231F20"/>
          <w:w w:val="105"/>
        </w:rPr>
        <w:t xml:space="preserve"> </w:t>
      </w:r>
      <w:r w:rsidRPr="009F06AF">
        <w:rPr>
          <w:rFonts w:cstheme="minorHAnsi"/>
          <w:color w:val="231F20"/>
          <w:w w:val="105"/>
        </w:rPr>
        <w:t>from</w:t>
      </w:r>
      <w:r w:rsidRPr="00C50CA2">
        <w:rPr>
          <w:rFonts w:cstheme="minorHAnsi"/>
          <w:color w:val="231F20"/>
          <w:w w:val="105"/>
        </w:rPr>
        <w:t xml:space="preserve"> </w:t>
      </w:r>
      <w:r w:rsidRPr="009F06AF">
        <w:rPr>
          <w:rFonts w:cstheme="minorHAnsi"/>
          <w:color w:val="231F20"/>
          <w:w w:val="105"/>
        </w:rPr>
        <w:t>July</w:t>
      </w:r>
      <w:r w:rsidRPr="00C50CA2">
        <w:rPr>
          <w:rFonts w:cstheme="minorHAnsi"/>
          <w:color w:val="231F20"/>
          <w:w w:val="105"/>
        </w:rPr>
        <w:t xml:space="preserve"> </w:t>
      </w:r>
      <w:r w:rsidRPr="009F06AF">
        <w:rPr>
          <w:rFonts w:cstheme="minorHAnsi"/>
          <w:color w:val="231F20"/>
          <w:w w:val="105"/>
        </w:rPr>
        <w:t>1,</w:t>
      </w:r>
      <w:r w:rsidRPr="00C50CA2">
        <w:rPr>
          <w:rFonts w:cstheme="minorHAnsi"/>
          <w:color w:val="231F20"/>
          <w:w w:val="105"/>
        </w:rPr>
        <w:t xml:space="preserve"> </w:t>
      </w:r>
      <w:r w:rsidRPr="009F06AF">
        <w:rPr>
          <w:rFonts w:cstheme="minorHAnsi"/>
          <w:color w:val="231F20"/>
          <w:w w:val="105"/>
        </w:rPr>
        <w:t>2015</w:t>
      </w:r>
      <w:r w:rsidR="001253B8">
        <w:rPr>
          <w:rFonts w:cstheme="minorHAnsi"/>
          <w:color w:val="231F20"/>
          <w:w w:val="105"/>
        </w:rPr>
        <w:t>,</w:t>
      </w:r>
      <w:r w:rsidRPr="00C50CA2">
        <w:rPr>
          <w:rFonts w:cstheme="minorHAnsi"/>
          <w:color w:val="231F20"/>
          <w:w w:val="105"/>
        </w:rPr>
        <w:t xml:space="preserve"> </w:t>
      </w:r>
      <w:r w:rsidRPr="009F06AF">
        <w:rPr>
          <w:rFonts w:cstheme="minorHAnsi"/>
          <w:color w:val="231F20"/>
          <w:w w:val="105"/>
        </w:rPr>
        <w:t>through</w:t>
      </w:r>
      <w:r w:rsidRPr="00C50CA2">
        <w:rPr>
          <w:rFonts w:cstheme="minorHAnsi"/>
          <w:color w:val="231F20"/>
          <w:w w:val="105"/>
        </w:rPr>
        <w:t xml:space="preserve"> </w:t>
      </w:r>
      <w:r w:rsidRPr="009F06AF">
        <w:rPr>
          <w:rFonts w:cstheme="minorHAnsi"/>
          <w:color w:val="231F20"/>
          <w:w w:val="105"/>
        </w:rPr>
        <w:t>June</w:t>
      </w:r>
      <w:r w:rsidRPr="00C50CA2">
        <w:rPr>
          <w:rFonts w:cstheme="minorHAnsi"/>
          <w:color w:val="231F20"/>
          <w:w w:val="105"/>
        </w:rPr>
        <w:t xml:space="preserve"> 30, 2017. </w:t>
      </w:r>
      <w:r w:rsidRPr="009F06AF">
        <w:rPr>
          <w:rFonts w:cstheme="minorHAnsi"/>
          <w:color w:val="231F20"/>
          <w:w w:val="105"/>
        </w:rPr>
        <w:t>In</w:t>
      </w:r>
      <w:r w:rsidRPr="00C50CA2">
        <w:rPr>
          <w:rFonts w:cstheme="minorHAnsi"/>
          <w:color w:val="231F20"/>
          <w:w w:val="105"/>
        </w:rPr>
        <w:t xml:space="preserve"> </w:t>
      </w:r>
      <w:r w:rsidRPr="009F06AF">
        <w:rPr>
          <w:rFonts w:cstheme="minorHAnsi"/>
          <w:color w:val="231F20"/>
          <w:w w:val="105"/>
        </w:rPr>
        <w:t>a</w:t>
      </w:r>
      <w:r w:rsidRPr="00C50CA2">
        <w:rPr>
          <w:rFonts w:cstheme="minorHAnsi"/>
          <w:color w:val="231F20"/>
          <w:w w:val="105"/>
        </w:rPr>
        <w:t xml:space="preserve"> </w:t>
      </w:r>
      <w:r w:rsidRPr="009F06AF">
        <w:rPr>
          <w:rFonts w:cstheme="minorHAnsi"/>
          <w:color w:val="231F20"/>
          <w:w w:val="105"/>
        </w:rPr>
        <w:t>public</w:t>
      </w:r>
      <w:r w:rsidRPr="00C50CA2">
        <w:rPr>
          <w:rFonts w:cstheme="minorHAnsi"/>
          <w:color w:val="231F20"/>
          <w:w w:val="105"/>
        </w:rPr>
        <w:t xml:space="preserve"> </w:t>
      </w:r>
      <w:r w:rsidRPr="009F06AF">
        <w:rPr>
          <w:rFonts w:cstheme="minorHAnsi"/>
          <w:color w:val="231F20"/>
          <w:w w:val="105"/>
        </w:rPr>
        <w:t>meeting,</w:t>
      </w:r>
      <w:r w:rsidRPr="00C50CA2">
        <w:rPr>
          <w:rFonts w:cstheme="minorHAnsi"/>
          <w:color w:val="231F20"/>
          <w:w w:val="105"/>
        </w:rPr>
        <w:t xml:space="preserve"> </w:t>
      </w:r>
      <w:r w:rsidRPr="009F06AF">
        <w:rPr>
          <w:rFonts w:cstheme="minorHAnsi"/>
          <w:color w:val="231F20"/>
          <w:w w:val="105"/>
        </w:rPr>
        <w:t>the</w:t>
      </w:r>
      <w:r w:rsidRPr="00C50CA2">
        <w:rPr>
          <w:rFonts w:cstheme="minorHAnsi"/>
          <w:color w:val="231F20"/>
          <w:w w:val="105"/>
        </w:rPr>
        <w:t xml:space="preserve"> </w:t>
      </w:r>
      <w:r w:rsidRPr="009F06AF">
        <w:rPr>
          <w:rFonts w:cstheme="minorHAnsi"/>
          <w:color w:val="231F20"/>
          <w:w w:val="105"/>
        </w:rPr>
        <w:t>CareerSource</w:t>
      </w:r>
      <w:r w:rsidRPr="00C50CA2">
        <w:rPr>
          <w:rFonts w:cstheme="minorHAnsi"/>
          <w:color w:val="231F20"/>
          <w:w w:val="105"/>
        </w:rPr>
        <w:t xml:space="preserve"> </w:t>
      </w:r>
      <w:r w:rsidRPr="009F06AF">
        <w:rPr>
          <w:rFonts w:cstheme="minorHAnsi"/>
          <w:color w:val="231F20"/>
          <w:w w:val="105"/>
        </w:rPr>
        <w:t>Florida</w:t>
      </w:r>
      <w:r w:rsidRPr="00C50CA2">
        <w:rPr>
          <w:rFonts w:cstheme="minorHAnsi"/>
          <w:color w:val="231F20"/>
          <w:w w:val="105"/>
        </w:rPr>
        <w:t xml:space="preserve"> </w:t>
      </w:r>
      <w:r w:rsidRPr="009F06AF">
        <w:rPr>
          <w:rFonts w:cstheme="minorHAnsi"/>
          <w:color w:val="231F20"/>
          <w:w w:val="105"/>
        </w:rPr>
        <w:t>Board</w:t>
      </w:r>
      <w:r w:rsidRPr="00C50CA2">
        <w:rPr>
          <w:rFonts w:cstheme="minorHAnsi"/>
          <w:color w:val="231F20"/>
          <w:w w:val="105"/>
        </w:rPr>
        <w:t xml:space="preserve"> </w:t>
      </w:r>
      <w:r w:rsidRPr="009F06AF">
        <w:rPr>
          <w:rFonts w:cstheme="minorHAnsi"/>
          <w:color w:val="231F20"/>
          <w:w w:val="105"/>
        </w:rPr>
        <w:t>reviewed</w:t>
      </w:r>
      <w:r w:rsidRPr="00C50CA2">
        <w:rPr>
          <w:rFonts w:cstheme="minorHAnsi"/>
          <w:color w:val="231F20"/>
          <w:w w:val="105"/>
        </w:rPr>
        <w:t xml:space="preserve"> </w:t>
      </w:r>
      <w:r w:rsidRPr="009F06AF">
        <w:rPr>
          <w:rFonts w:cstheme="minorHAnsi"/>
          <w:color w:val="231F20"/>
          <w:w w:val="105"/>
        </w:rPr>
        <w:t>the</w:t>
      </w:r>
      <w:r w:rsidRPr="00C50CA2">
        <w:rPr>
          <w:rFonts w:cstheme="minorHAnsi"/>
          <w:color w:val="231F20"/>
          <w:w w:val="105"/>
        </w:rPr>
        <w:t xml:space="preserve"> </w:t>
      </w:r>
      <w:r w:rsidRPr="009F06AF">
        <w:rPr>
          <w:rFonts w:cstheme="minorHAnsi"/>
          <w:color w:val="231F20"/>
          <w:w w:val="105"/>
        </w:rPr>
        <w:t>action</w:t>
      </w:r>
      <w:r w:rsidRPr="00C50CA2">
        <w:rPr>
          <w:rFonts w:cstheme="minorHAnsi"/>
          <w:color w:val="231F20"/>
          <w:w w:val="105"/>
        </w:rPr>
        <w:t xml:space="preserve"> </w:t>
      </w:r>
      <w:r w:rsidRPr="009F06AF">
        <w:rPr>
          <w:rFonts w:cstheme="minorHAnsi"/>
          <w:color w:val="231F20"/>
          <w:w w:val="105"/>
        </w:rPr>
        <w:t>to</w:t>
      </w:r>
      <w:r w:rsidRPr="00C50CA2">
        <w:rPr>
          <w:rFonts w:cstheme="minorHAnsi"/>
          <w:color w:val="231F20"/>
          <w:w w:val="105"/>
        </w:rPr>
        <w:t xml:space="preserve"> </w:t>
      </w:r>
      <w:r w:rsidRPr="009F06AF">
        <w:rPr>
          <w:rFonts w:cstheme="minorHAnsi"/>
          <w:color w:val="231F20"/>
          <w:w w:val="105"/>
        </w:rPr>
        <w:t>provide</w:t>
      </w:r>
      <w:r w:rsidRPr="00C50CA2">
        <w:rPr>
          <w:rFonts w:cstheme="minorHAnsi"/>
          <w:color w:val="231F20"/>
          <w:w w:val="105"/>
        </w:rPr>
        <w:t xml:space="preserve"> </w:t>
      </w:r>
      <w:r w:rsidRPr="009F06AF">
        <w:rPr>
          <w:rFonts w:cstheme="minorHAnsi"/>
          <w:color w:val="231F20"/>
          <w:w w:val="105"/>
        </w:rPr>
        <w:t>the</w:t>
      </w:r>
      <w:r w:rsidRPr="00C50CA2">
        <w:rPr>
          <w:rFonts w:cstheme="minorHAnsi"/>
          <w:color w:val="231F20"/>
          <w:w w:val="105"/>
        </w:rPr>
        <w:t xml:space="preserve"> </w:t>
      </w:r>
      <w:r w:rsidRPr="009F06AF">
        <w:rPr>
          <w:rFonts w:cstheme="minorHAnsi"/>
          <w:color w:val="231F20"/>
          <w:w w:val="105"/>
        </w:rPr>
        <w:t>initial</w:t>
      </w:r>
      <w:r w:rsidRPr="00C50CA2">
        <w:rPr>
          <w:rFonts w:cstheme="minorHAnsi"/>
          <w:color w:val="231F20"/>
          <w:w w:val="105"/>
        </w:rPr>
        <w:t xml:space="preserve"> </w:t>
      </w:r>
      <w:r w:rsidRPr="009F06AF">
        <w:rPr>
          <w:rFonts w:cstheme="minorHAnsi"/>
          <w:color w:val="231F20"/>
          <w:w w:val="105"/>
        </w:rPr>
        <w:t>designation</w:t>
      </w:r>
      <w:r w:rsidRPr="00C50CA2">
        <w:rPr>
          <w:rFonts w:cstheme="minorHAnsi"/>
          <w:color w:val="231F20"/>
          <w:w w:val="105"/>
        </w:rPr>
        <w:t xml:space="preserve"> </w:t>
      </w:r>
      <w:r w:rsidRPr="009F06AF">
        <w:rPr>
          <w:rFonts w:cstheme="minorHAnsi"/>
          <w:color w:val="231F20"/>
          <w:w w:val="105"/>
        </w:rPr>
        <w:t>to</w:t>
      </w:r>
      <w:r w:rsidRPr="00C50CA2">
        <w:rPr>
          <w:rFonts w:cstheme="minorHAnsi"/>
          <w:color w:val="231F20"/>
          <w:w w:val="105"/>
        </w:rPr>
        <w:t xml:space="preserve"> </w:t>
      </w:r>
      <w:r w:rsidRPr="009F06AF">
        <w:rPr>
          <w:rFonts w:cstheme="minorHAnsi"/>
          <w:color w:val="231F20"/>
          <w:w w:val="105"/>
        </w:rPr>
        <w:t>the</w:t>
      </w:r>
      <w:r w:rsidRPr="00C50CA2">
        <w:rPr>
          <w:rFonts w:cstheme="minorHAnsi"/>
          <w:color w:val="231F20"/>
          <w:w w:val="105"/>
        </w:rPr>
        <w:t xml:space="preserve"> </w:t>
      </w:r>
      <w:r w:rsidRPr="009F06AF">
        <w:rPr>
          <w:rFonts w:cstheme="minorHAnsi"/>
          <w:color w:val="231F20"/>
          <w:w w:val="105"/>
        </w:rPr>
        <w:t>existing</w:t>
      </w:r>
      <w:r w:rsidRPr="00C50CA2">
        <w:rPr>
          <w:rFonts w:cstheme="minorHAnsi"/>
          <w:color w:val="231F20"/>
          <w:w w:val="105"/>
        </w:rPr>
        <w:t xml:space="preserve"> </w:t>
      </w:r>
      <w:r w:rsidRPr="009F06AF">
        <w:rPr>
          <w:rFonts w:cstheme="minorHAnsi"/>
          <w:color w:val="231F20"/>
          <w:w w:val="105"/>
        </w:rPr>
        <w:t>workforce</w:t>
      </w:r>
      <w:r w:rsidRPr="00C50CA2">
        <w:rPr>
          <w:rFonts w:cstheme="minorHAnsi"/>
          <w:color w:val="231F20"/>
          <w:w w:val="105"/>
        </w:rPr>
        <w:t xml:space="preserve"> </w:t>
      </w:r>
      <w:r w:rsidRPr="009F06AF">
        <w:rPr>
          <w:rFonts w:cstheme="minorHAnsi"/>
          <w:color w:val="231F20"/>
          <w:w w:val="105"/>
        </w:rPr>
        <w:t>local</w:t>
      </w:r>
      <w:r w:rsidRPr="00C50CA2">
        <w:rPr>
          <w:rFonts w:cstheme="minorHAnsi"/>
          <w:color w:val="231F20"/>
          <w:w w:val="105"/>
        </w:rPr>
        <w:t xml:space="preserve"> </w:t>
      </w:r>
      <w:r w:rsidRPr="009F06AF">
        <w:rPr>
          <w:rFonts w:cstheme="minorHAnsi"/>
          <w:color w:val="231F20"/>
          <w:w w:val="105"/>
        </w:rPr>
        <w:t>areas</w:t>
      </w:r>
      <w:r w:rsidRPr="00C50CA2">
        <w:rPr>
          <w:rFonts w:cstheme="minorHAnsi"/>
          <w:color w:val="231F20"/>
          <w:w w:val="105"/>
        </w:rPr>
        <w:t xml:space="preserve"> </w:t>
      </w:r>
      <w:r w:rsidRPr="009F06AF">
        <w:rPr>
          <w:rFonts w:cstheme="minorHAnsi"/>
          <w:color w:val="231F20"/>
          <w:w w:val="105"/>
        </w:rPr>
        <w:t>and</w:t>
      </w:r>
      <w:r w:rsidRPr="00C50CA2">
        <w:rPr>
          <w:rFonts w:cstheme="minorHAnsi"/>
          <w:color w:val="231F20"/>
          <w:w w:val="105"/>
        </w:rPr>
        <w:t xml:space="preserve"> </w:t>
      </w:r>
      <w:r w:rsidRPr="009F06AF">
        <w:rPr>
          <w:rFonts w:cstheme="minorHAnsi"/>
          <w:color w:val="231F20"/>
          <w:w w:val="105"/>
        </w:rPr>
        <w:t>to</w:t>
      </w:r>
      <w:r w:rsidRPr="00C50CA2">
        <w:rPr>
          <w:rFonts w:cstheme="minorHAnsi"/>
          <w:color w:val="231F20"/>
          <w:w w:val="105"/>
        </w:rPr>
        <w:t xml:space="preserve"> </w:t>
      </w:r>
      <w:r w:rsidRPr="009F06AF">
        <w:rPr>
          <w:rFonts w:cstheme="minorHAnsi"/>
          <w:color w:val="231F20"/>
          <w:w w:val="105"/>
        </w:rPr>
        <w:t>continue</w:t>
      </w:r>
      <w:r w:rsidRPr="00C50CA2">
        <w:rPr>
          <w:rFonts w:cstheme="minorHAnsi"/>
          <w:color w:val="231F20"/>
          <w:w w:val="105"/>
        </w:rPr>
        <w:t xml:space="preserve"> </w:t>
      </w:r>
      <w:r w:rsidRPr="009F06AF">
        <w:rPr>
          <w:rFonts w:cstheme="minorHAnsi"/>
          <w:color w:val="231F20"/>
          <w:w w:val="105"/>
        </w:rPr>
        <w:t>the</w:t>
      </w:r>
      <w:r w:rsidRPr="00C50CA2">
        <w:rPr>
          <w:rFonts w:cstheme="minorHAnsi"/>
          <w:color w:val="231F20"/>
          <w:w w:val="105"/>
        </w:rPr>
        <w:t xml:space="preserve"> </w:t>
      </w:r>
      <w:r w:rsidRPr="009F06AF">
        <w:rPr>
          <w:rFonts w:cstheme="minorHAnsi"/>
          <w:color w:val="231F20"/>
          <w:w w:val="105"/>
        </w:rPr>
        <w:t>charter</w:t>
      </w:r>
      <w:r w:rsidRPr="00C50CA2">
        <w:rPr>
          <w:rFonts w:cstheme="minorHAnsi"/>
          <w:color w:val="231F20"/>
          <w:w w:val="105"/>
        </w:rPr>
        <w:t xml:space="preserve"> </w:t>
      </w:r>
      <w:r w:rsidRPr="009F06AF">
        <w:rPr>
          <w:rFonts w:cstheme="minorHAnsi"/>
          <w:color w:val="231F20"/>
          <w:w w:val="105"/>
        </w:rPr>
        <w:t>to</w:t>
      </w:r>
      <w:r w:rsidRPr="00C50CA2">
        <w:rPr>
          <w:rFonts w:cstheme="minorHAnsi"/>
          <w:color w:val="231F20"/>
          <w:w w:val="105"/>
        </w:rPr>
        <w:t xml:space="preserve"> </w:t>
      </w:r>
      <w:r w:rsidRPr="009F06AF">
        <w:rPr>
          <w:rFonts w:cstheme="minorHAnsi"/>
          <w:color w:val="231F20"/>
          <w:w w:val="105"/>
        </w:rPr>
        <w:t>the</w:t>
      </w:r>
      <w:r w:rsidRPr="00C50CA2">
        <w:rPr>
          <w:rFonts w:cstheme="minorHAnsi"/>
          <w:color w:val="231F20"/>
          <w:w w:val="105"/>
        </w:rPr>
        <w:t xml:space="preserve"> </w:t>
      </w:r>
      <w:r w:rsidRPr="009F06AF">
        <w:rPr>
          <w:rFonts w:cstheme="minorHAnsi"/>
          <w:color w:val="231F20"/>
          <w:w w:val="105"/>
        </w:rPr>
        <w:t>existing</w:t>
      </w:r>
      <w:r w:rsidRPr="00C50CA2">
        <w:rPr>
          <w:rFonts w:cstheme="minorHAnsi"/>
          <w:color w:val="231F20"/>
          <w:w w:val="105"/>
        </w:rPr>
        <w:t xml:space="preserve"> LWDBs </w:t>
      </w:r>
      <w:r w:rsidRPr="009F06AF">
        <w:rPr>
          <w:rFonts w:cstheme="minorHAnsi"/>
          <w:color w:val="231F20"/>
          <w:w w:val="105"/>
        </w:rPr>
        <w:t>contingent</w:t>
      </w:r>
      <w:r w:rsidRPr="00C50CA2">
        <w:rPr>
          <w:rFonts w:cstheme="minorHAnsi"/>
          <w:color w:val="231F20"/>
          <w:w w:val="105"/>
        </w:rPr>
        <w:t xml:space="preserve"> </w:t>
      </w:r>
      <w:r w:rsidRPr="009F06AF">
        <w:rPr>
          <w:rFonts w:cstheme="minorHAnsi"/>
          <w:color w:val="231F20"/>
          <w:w w:val="105"/>
        </w:rPr>
        <w:t>upon</w:t>
      </w:r>
      <w:r w:rsidRPr="00C50CA2">
        <w:rPr>
          <w:rFonts w:cstheme="minorHAnsi"/>
          <w:color w:val="231F20"/>
          <w:w w:val="105"/>
        </w:rPr>
        <w:t xml:space="preserve"> </w:t>
      </w:r>
      <w:r w:rsidRPr="009F06AF">
        <w:rPr>
          <w:rFonts w:cstheme="minorHAnsi"/>
          <w:color w:val="231F20"/>
          <w:w w:val="105"/>
        </w:rPr>
        <w:t>receipt</w:t>
      </w:r>
      <w:r w:rsidRPr="00C50CA2">
        <w:rPr>
          <w:rFonts w:cstheme="minorHAnsi"/>
          <w:color w:val="231F20"/>
          <w:w w:val="105"/>
        </w:rPr>
        <w:t xml:space="preserve"> </w:t>
      </w:r>
      <w:r w:rsidRPr="009F06AF">
        <w:rPr>
          <w:rFonts w:cstheme="minorHAnsi"/>
          <w:color w:val="231F20"/>
          <w:w w:val="105"/>
        </w:rPr>
        <w:t>of</w:t>
      </w:r>
      <w:r w:rsidRPr="00C50CA2">
        <w:rPr>
          <w:rFonts w:cstheme="minorHAnsi"/>
          <w:color w:val="231F20"/>
          <w:w w:val="105"/>
        </w:rPr>
        <w:t xml:space="preserve"> </w:t>
      </w:r>
      <w:r w:rsidRPr="009F06AF">
        <w:rPr>
          <w:rFonts w:cstheme="minorHAnsi"/>
          <w:color w:val="231F20"/>
          <w:w w:val="105"/>
        </w:rPr>
        <w:t>an</w:t>
      </w:r>
      <w:r w:rsidRPr="00C50CA2">
        <w:rPr>
          <w:rFonts w:cstheme="minorHAnsi"/>
          <w:color w:val="231F20"/>
          <w:w w:val="105"/>
        </w:rPr>
        <w:t xml:space="preserve"> </w:t>
      </w:r>
      <w:r w:rsidRPr="009F06AF">
        <w:rPr>
          <w:rFonts w:cstheme="minorHAnsi"/>
          <w:color w:val="231F20"/>
          <w:w w:val="105"/>
        </w:rPr>
        <w:t>official</w:t>
      </w:r>
      <w:r w:rsidRPr="00C50CA2">
        <w:rPr>
          <w:rFonts w:cstheme="minorHAnsi"/>
          <w:color w:val="231F20"/>
          <w:w w:val="105"/>
        </w:rPr>
        <w:t xml:space="preserve"> </w:t>
      </w:r>
      <w:r w:rsidRPr="009F06AF">
        <w:rPr>
          <w:rFonts w:cstheme="minorHAnsi"/>
          <w:color w:val="231F20"/>
          <w:w w:val="105"/>
        </w:rPr>
        <w:t>completed</w:t>
      </w:r>
      <w:r w:rsidRPr="00C50CA2">
        <w:rPr>
          <w:rFonts w:cstheme="minorHAnsi"/>
          <w:color w:val="231F20"/>
          <w:w w:val="105"/>
        </w:rPr>
        <w:t xml:space="preserve"> </w:t>
      </w:r>
      <w:r w:rsidRPr="009F06AF">
        <w:rPr>
          <w:rFonts w:cstheme="minorHAnsi"/>
          <w:color w:val="231F20"/>
          <w:w w:val="105"/>
        </w:rPr>
        <w:t>request</w:t>
      </w:r>
      <w:r w:rsidRPr="00C50CA2">
        <w:rPr>
          <w:rFonts w:cstheme="minorHAnsi"/>
          <w:color w:val="231F20"/>
          <w:w w:val="105"/>
        </w:rPr>
        <w:t xml:space="preserve"> </w:t>
      </w:r>
      <w:r w:rsidRPr="009F06AF">
        <w:rPr>
          <w:rFonts w:cstheme="minorHAnsi"/>
          <w:color w:val="231F20"/>
          <w:w w:val="105"/>
        </w:rPr>
        <w:t>from</w:t>
      </w:r>
      <w:r w:rsidRPr="00C50CA2">
        <w:rPr>
          <w:rFonts w:cstheme="minorHAnsi"/>
          <w:color w:val="231F20"/>
          <w:w w:val="105"/>
        </w:rPr>
        <w:t xml:space="preserve"> </w:t>
      </w:r>
      <w:r w:rsidRPr="009F06AF">
        <w:rPr>
          <w:rFonts w:cstheme="minorHAnsi"/>
          <w:color w:val="231F20"/>
          <w:w w:val="105"/>
        </w:rPr>
        <w:t>each</w:t>
      </w:r>
      <w:r w:rsidRPr="00C50CA2">
        <w:rPr>
          <w:rFonts w:cstheme="minorHAnsi"/>
          <w:color w:val="231F20"/>
          <w:w w:val="105"/>
        </w:rPr>
        <w:t xml:space="preserve"> </w:t>
      </w:r>
      <w:r w:rsidRPr="009F06AF">
        <w:rPr>
          <w:rFonts w:cstheme="minorHAnsi"/>
          <w:color w:val="231F20"/>
          <w:w w:val="105"/>
        </w:rPr>
        <w:t>local</w:t>
      </w:r>
      <w:r w:rsidRPr="00C50CA2">
        <w:rPr>
          <w:rFonts w:cstheme="minorHAnsi"/>
          <w:color w:val="231F20"/>
          <w:w w:val="105"/>
        </w:rPr>
        <w:t xml:space="preserve"> </w:t>
      </w:r>
      <w:r w:rsidRPr="009F06AF">
        <w:rPr>
          <w:rFonts w:cstheme="minorHAnsi"/>
          <w:color w:val="231F20"/>
          <w:w w:val="105"/>
        </w:rPr>
        <w:t>Area</w:t>
      </w:r>
      <w:r w:rsidRPr="00C50CA2">
        <w:rPr>
          <w:rFonts w:cstheme="minorHAnsi"/>
          <w:color w:val="231F20"/>
          <w:w w:val="105"/>
        </w:rPr>
        <w:t xml:space="preserve"> </w:t>
      </w:r>
      <w:r w:rsidRPr="009F06AF">
        <w:rPr>
          <w:rFonts w:cstheme="minorHAnsi"/>
          <w:color w:val="231F20"/>
          <w:w w:val="105"/>
        </w:rPr>
        <w:t>that</w:t>
      </w:r>
      <w:r w:rsidRPr="00C50CA2">
        <w:rPr>
          <w:rFonts w:cstheme="minorHAnsi"/>
          <w:color w:val="231F20"/>
          <w:w w:val="105"/>
        </w:rPr>
        <w:t xml:space="preserve"> </w:t>
      </w:r>
      <w:r w:rsidRPr="009F06AF">
        <w:rPr>
          <w:rFonts w:cstheme="minorHAnsi"/>
          <w:color w:val="231F20"/>
          <w:w w:val="105"/>
        </w:rPr>
        <w:t>demonstrated local elected official consultation</w:t>
      </w:r>
      <w:r w:rsidRPr="00C50CA2">
        <w:rPr>
          <w:rFonts w:cstheme="minorHAnsi"/>
          <w:color w:val="231F20"/>
          <w:w w:val="105"/>
        </w:rPr>
        <w:t xml:space="preserve">. </w:t>
      </w:r>
      <w:hyperlink r:id="rId143" w:history="1">
        <w:r w:rsidR="00680C4D" w:rsidRPr="00C50CA2">
          <w:rPr>
            <w:color w:val="231F20"/>
          </w:rPr>
          <w:t>Consistent</w:t>
        </w:r>
      </w:hyperlink>
      <w:r w:rsidR="00680C4D" w:rsidRPr="00C50CA2">
        <w:rPr>
          <w:rFonts w:cstheme="minorHAnsi"/>
          <w:color w:val="231F20"/>
          <w:w w:val="105"/>
        </w:rPr>
        <w:t xml:space="preserve"> with language established under WIOA which states that local workforce development areas that receive an initial designation shall be granted a subsequent designation if they met the requirements outlined in WIOA Sec. 106(c)(1), CareerSource Florida and DEO issued policy which describes the requirements and process by which subsequent area designation would be determined and granted</w:t>
      </w:r>
      <w:r w:rsidR="005E7C49">
        <w:rPr>
          <w:rFonts w:cstheme="minorHAnsi"/>
          <w:color w:val="231F20"/>
          <w:w w:val="105"/>
        </w:rPr>
        <w:t xml:space="preserve">. </w:t>
      </w:r>
      <w:r w:rsidR="00680C4D" w:rsidRPr="00C50CA2">
        <w:rPr>
          <w:rFonts w:cstheme="minorHAnsi"/>
          <w:color w:val="231F20"/>
          <w:w w:val="105"/>
        </w:rPr>
        <w:t>Each of</w:t>
      </w:r>
      <w:r w:rsidR="001253B8">
        <w:rPr>
          <w:rFonts w:cstheme="minorHAnsi"/>
          <w:color w:val="231F20"/>
          <w:w w:val="105"/>
        </w:rPr>
        <w:t xml:space="preserve"> the</w:t>
      </w:r>
      <w:r w:rsidR="00680C4D" w:rsidRPr="00C50CA2">
        <w:rPr>
          <w:rFonts w:cstheme="minorHAnsi"/>
          <w:color w:val="231F20"/>
          <w:w w:val="105"/>
        </w:rPr>
        <w:t xml:space="preserve"> 24 local workforce areas submitted the required documents and were all granted subsequent area designation</w:t>
      </w:r>
      <w:r w:rsidR="00F80233">
        <w:rPr>
          <w:rFonts w:cstheme="minorHAnsi"/>
          <w:color w:val="231F20"/>
          <w:w w:val="105"/>
        </w:rPr>
        <w:t>.</w:t>
      </w:r>
    </w:p>
    <w:p w14:paraId="7AF52461" w14:textId="6A8A35D8" w:rsidR="00EA7458" w:rsidRPr="009F06AF" w:rsidRDefault="00EA7458" w:rsidP="00D63204">
      <w:pPr>
        <w:widowControl w:val="0"/>
        <w:spacing w:before="2" w:after="0" w:line="235" w:lineRule="auto"/>
        <w:ind w:left="107"/>
        <w:rPr>
          <w:rFonts w:cstheme="minorHAnsi"/>
        </w:rPr>
      </w:pPr>
    </w:p>
    <w:p w14:paraId="2981A995" w14:textId="77777777" w:rsidR="00EA7458" w:rsidRPr="009F06AF" w:rsidRDefault="00EA7458" w:rsidP="00D63204">
      <w:pPr>
        <w:widowControl w:val="0"/>
        <w:spacing w:before="192" w:after="0" w:line="266" w:lineRule="exact"/>
        <w:ind w:left="107"/>
        <w:outlineLvl w:val="2"/>
        <w:rPr>
          <w:rFonts w:cstheme="minorHAnsi"/>
        </w:rPr>
      </w:pPr>
      <w:r w:rsidRPr="009F06AF">
        <w:rPr>
          <w:rFonts w:cstheme="minorHAnsi"/>
          <w:b/>
          <w:bCs/>
          <w:color w:val="231F20"/>
          <w:w w:val="110"/>
        </w:rPr>
        <w:t>Planning</w:t>
      </w:r>
      <w:r w:rsidRPr="009F06AF">
        <w:rPr>
          <w:rFonts w:cstheme="minorHAnsi"/>
          <w:b/>
          <w:bCs/>
          <w:color w:val="231F20"/>
          <w:spacing w:val="18"/>
          <w:w w:val="110"/>
        </w:rPr>
        <w:t xml:space="preserve"> </w:t>
      </w:r>
      <w:r w:rsidRPr="009F06AF">
        <w:rPr>
          <w:rFonts w:cstheme="minorHAnsi"/>
          <w:b/>
          <w:bCs/>
          <w:color w:val="231F20"/>
          <w:w w:val="110"/>
        </w:rPr>
        <w:t>Regions</w:t>
      </w:r>
    </w:p>
    <w:p w14:paraId="12BEDEFA" w14:textId="5842071D" w:rsidR="0019067F" w:rsidRDefault="00EA7458" w:rsidP="00D63204">
      <w:pPr>
        <w:widowControl w:val="0"/>
        <w:spacing w:before="2" w:after="0" w:line="235" w:lineRule="auto"/>
        <w:ind w:left="107"/>
        <w:rPr>
          <w:rFonts w:cstheme="minorHAnsi"/>
        </w:rPr>
      </w:pPr>
      <w:r w:rsidRPr="009F06AF">
        <w:rPr>
          <w:rFonts w:cstheme="minorHAnsi"/>
          <w:color w:val="231F20"/>
          <w:w w:val="105"/>
        </w:rPr>
        <w:t>Florida</w:t>
      </w:r>
      <w:r w:rsidRPr="009F06AF">
        <w:rPr>
          <w:rFonts w:cstheme="minorHAnsi"/>
          <w:color w:val="231F20"/>
          <w:spacing w:val="21"/>
          <w:w w:val="105"/>
        </w:rPr>
        <w:t xml:space="preserve"> </w:t>
      </w:r>
      <w:r w:rsidRPr="009F06AF">
        <w:rPr>
          <w:rFonts w:cstheme="minorHAnsi"/>
          <w:color w:val="231F20"/>
          <w:w w:val="105"/>
        </w:rPr>
        <w:t>designated</w:t>
      </w:r>
      <w:r w:rsidRPr="009F06AF">
        <w:rPr>
          <w:rFonts w:cstheme="minorHAnsi"/>
          <w:color w:val="231F20"/>
          <w:spacing w:val="21"/>
          <w:w w:val="105"/>
        </w:rPr>
        <w:t xml:space="preserve"> </w:t>
      </w:r>
      <w:r w:rsidRPr="009F06AF">
        <w:rPr>
          <w:rFonts w:cstheme="minorHAnsi"/>
          <w:color w:val="231F20"/>
          <w:w w:val="105"/>
        </w:rPr>
        <w:t>each</w:t>
      </w:r>
      <w:r w:rsidRPr="009F06AF">
        <w:rPr>
          <w:rFonts w:cstheme="minorHAnsi"/>
          <w:color w:val="231F20"/>
          <w:spacing w:val="21"/>
          <w:w w:val="105"/>
        </w:rPr>
        <w:t xml:space="preserve"> </w:t>
      </w:r>
      <w:r w:rsidRPr="009F06AF">
        <w:rPr>
          <w:rFonts w:cstheme="minorHAnsi"/>
          <w:color w:val="231F20"/>
          <w:w w:val="105"/>
        </w:rPr>
        <w:t>local</w:t>
      </w:r>
      <w:r w:rsidRPr="009F06AF">
        <w:rPr>
          <w:rFonts w:cstheme="minorHAnsi"/>
          <w:color w:val="231F20"/>
          <w:spacing w:val="21"/>
          <w:w w:val="105"/>
        </w:rPr>
        <w:t xml:space="preserve"> </w:t>
      </w:r>
      <w:r w:rsidRPr="009F06AF">
        <w:rPr>
          <w:rFonts w:cstheme="minorHAnsi"/>
          <w:color w:val="231F20"/>
          <w:w w:val="105"/>
        </w:rPr>
        <w:t>area</w:t>
      </w:r>
      <w:r w:rsidRPr="009F06AF">
        <w:rPr>
          <w:rFonts w:cstheme="minorHAnsi"/>
          <w:color w:val="231F20"/>
          <w:spacing w:val="21"/>
          <w:w w:val="105"/>
        </w:rPr>
        <w:t xml:space="preserve"> </w:t>
      </w:r>
      <w:r w:rsidRPr="009F06AF">
        <w:rPr>
          <w:rFonts w:cstheme="minorHAnsi"/>
          <w:color w:val="231F20"/>
          <w:w w:val="105"/>
        </w:rPr>
        <w:t>a</w:t>
      </w:r>
      <w:r w:rsidRPr="009F06AF">
        <w:rPr>
          <w:rFonts w:cstheme="minorHAnsi"/>
          <w:color w:val="231F20"/>
          <w:spacing w:val="21"/>
          <w:w w:val="105"/>
        </w:rPr>
        <w:t xml:space="preserve"> </w:t>
      </w:r>
      <w:r w:rsidRPr="009F06AF">
        <w:rPr>
          <w:rFonts w:cstheme="minorHAnsi"/>
          <w:color w:val="231F20"/>
          <w:w w:val="105"/>
        </w:rPr>
        <w:t>planning</w:t>
      </w:r>
      <w:r w:rsidRPr="009F06AF">
        <w:rPr>
          <w:rFonts w:cstheme="minorHAnsi"/>
          <w:color w:val="231F20"/>
          <w:spacing w:val="21"/>
          <w:w w:val="105"/>
        </w:rPr>
        <w:t xml:space="preserve"> </w:t>
      </w:r>
      <w:r w:rsidRPr="009F06AF">
        <w:rPr>
          <w:rFonts w:cstheme="minorHAnsi"/>
          <w:color w:val="231F20"/>
          <w:w w:val="105"/>
        </w:rPr>
        <w:t>region.</w:t>
      </w:r>
      <w:r w:rsidRPr="009F06AF">
        <w:rPr>
          <w:rFonts w:cstheme="minorHAnsi"/>
          <w:color w:val="231F20"/>
          <w:spacing w:val="21"/>
          <w:w w:val="105"/>
        </w:rPr>
        <w:t xml:space="preserve"> </w:t>
      </w:r>
      <w:r w:rsidRPr="009F06AF">
        <w:rPr>
          <w:rFonts w:cstheme="minorHAnsi"/>
          <w:color w:val="231F20"/>
          <w:w w:val="105"/>
        </w:rPr>
        <w:t>This</w:t>
      </w:r>
      <w:r w:rsidRPr="009F06AF">
        <w:rPr>
          <w:rFonts w:cstheme="minorHAnsi"/>
          <w:color w:val="231F20"/>
          <w:spacing w:val="21"/>
          <w:w w:val="105"/>
        </w:rPr>
        <w:t xml:space="preserve"> </w:t>
      </w:r>
      <w:r w:rsidRPr="009F06AF">
        <w:rPr>
          <w:rFonts w:cstheme="minorHAnsi"/>
          <w:color w:val="231F20"/>
          <w:w w:val="105"/>
        </w:rPr>
        <w:t>designation</w:t>
      </w:r>
      <w:r w:rsidRPr="009F06AF">
        <w:rPr>
          <w:rFonts w:cstheme="minorHAnsi"/>
          <w:color w:val="231F20"/>
          <w:spacing w:val="21"/>
          <w:w w:val="105"/>
        </w:rPr>
        <w:t xml:space="preserve"> </w:t>
      </w:r>
      <w:r w:rsidRPr="009F06AF">
        <w:rPr>
          <w:rFonts w:cstheme="minorHAnsi"/>
          <w:color w:val="231F20"/>
          <w:w w:val="105"/>
        </w:rPr>
        <w:t>was</w:t>
      </w:r>
      <w:r w:rsidRPr="009F06AF">
        <w:rPr>
          <w:rFonts w:cstheme="minorHAnsi"/>
          <w:color w:val="231F20"/>
          <w:spacing w:val="21"/>
          <w:w w:val="105"/>
        </w:rPr>
        <w:t xml:space="preserve"> </w:t>
      </w:r>
      <w:r w:rsidRPr="009F06AF">
        <w:rPr>
          <w:rFonts w:cstheme="minorHAnsi"/>
          <w:color w:val="231F20"/>
          <w:w w:val="105"/>
        </w:rPr>
        <w:t>agreed</w:t>
      </w:r>
      <w:r w:rsidRPr="009F06AF">
        <w:rPr>
          <w:rFonts w:cstheme="minorHAnsi"/>
          <w:color w:val="231F20"/>
          <w:w w:val="111"/>
        </w:rPr>
        <w:t xml:space="preserve"> </w:t>
      </w:r>
      <w:r w:rsidRPr="009F06AF">
        <w:rPr>
          <w:rFonts w:cstheme="minorHAnsi"/>
          <w:color w:val="231F20"/>
          <w:w w:val="105"/>
        </w:rPr>
        <w:t>upon</w:t>
      </w:r>
      <w:r w:rsidRPr="009F06AF">
        <w:rPr>
          <w:rFonts w:cstheme="minorHAnsi"/>
          <w:color w:val="231F20"/>
          <w:spacing w:val="17"/>
          <w:w w:val="105"/>
        </w:rPr>
        <w:t xml:space="preserve"> </w:t>
      </w:r>
      <w:r w:rsidRPr="009F06AF">
        <w:rPr>
          <w:rFonts w:cstheme="minorHAnsi"/>
          <w:color w:val="231F20"/>
          <w:w w:val="105"/>
        </w:rPr>
        <w:t>based</w:t>
      </w:r>
      <w:r w:rsidRPr="009F06AF">
        <w:rPr>
          <w:rFonts w:cstheme="minorHAnsi"/>
          <w:color w:val="231F20"/>
          <w:spacing w:val="17"/>
          <w:w w:val="105"/>
        </w:rPr>
        <w:t xml:space="preserve"> </w:t>
      </w:r>
      <w:r w:rsidRPr="009F06AF">
        <w:rPr>
          <w:rFonts w:cstheme="minorHAnsi"/>
          <w:color w:val="231F20"/>
          <w:w w:val="105"/>
        </w:rPr>
        <w:t>on</w:t>
      </w:r>
      <w:r w:rsidRPr="009F06AF">
        <w:rPr>
          <w:rFonts w:cstheme="minorHAnsi"/>
          <w:color w:val="231F20"/>
          <w:spacing w:val="17"/>
          <w:w w:val="105"/>
        </w:rPr>
        <w:t xml:space="preserve"> </w:t>
      </w:r>
      <w:r w:rsidRPr="009F06AF">
        <w:rPr>
          <w:rFonts w:cstheme="minorHAnsi"/>
          <w:color w:val="231F20"/>
          <w:w w:val="105"/>
        </w:rPr>
        <w:t>consultation</w:t>
      </w:r>
      <w:r w:rsidRPr="009F06AF">
        <w:rPr>
          <w:rFonts w:cstheme="minorHAnsi"/>
          <w:color w:val="231F20"/>
          <w:spacing w:val="17"/>
          <w:w w:val="105"/>
        </w:rPr>
        <w:t xml:space="preserve"> </w:t>
      </w:r>
      <w:r w:rsidRPr="009F06AF">
        <w:rPr>
          <w:rFonts w:cstheme="minorHAnsi"/>
          <w:color w:val="231F20"/>
          <w:w w:val="105"/>
        </w:rPr>
        <w:t>with</w:t>
      </w:r>
      <w:r w:rsidRPr="009F06AF">
        <w:rPr>
          <w:rFonts w:cstheme="minorHAnsi"/>
          <w:color w:val="231F20"/>
          <w:spacing w:val="17"/>
          <w:w w:val="105"/>
        </w:rPr>
        <w:t xml:space="preserve"> </w:t>
      </w:r>
      <w:r w:rsidRPr="009F06AF">
        <w:rPr>
          <w:rFonts w:cstheme="minorHAnsi"/>
          <w:color w:val="231F20"/>
          <w:w w:val="105"/>
        </w:rPr>
        <w:t>the</w:t>
      </w:r>
      <w:r w:rsidRPr="009F06AF">
        <w:rPr>
          <w:rFonts w:cstheme="minorHAnsi"/>
          <w:color w:val="231F20"/>
          <w:spacing w:val="17"/>
          <w:w w:val="105"/>
        </w:rPr>
        <w:t xml:space="preserve"> </w:t>
      </w:r>
      <w:r w:rsidRPr="009F06AF">
        <w:rPr>
          <w:rFonts w:cstheme="minorHAnsi"/>
          <w:color w:val="231F20"/>
          <w:w w:val="105"/>
        </w:rPr>
        <w:t>Florida</w:t>
      </w:r>
      <w:r w:rsidRPr="009F06AF">
        <w:rPr>
          <w:rFonts w:cstheme="minorHAnsi"/>
          <w:color w:val="231F20"/>
          <w:spacing w:val="17"/>
          <w:w w:val="105"/>
        </w:rPr>
        <w:t xml:space="preserve"> </w:t>
      </w:r>
      <w:r w:rsidRPr="009F06AF">
        <w:rPr>
          <w:rFonts w:cstheme="minorHAnsi"/>
          <w:color w:val="231F20"/>
          <w:spacing w:val="-3"/>
          <w:w w:val="105"/>
        </w:rPr>
        <w:t>WIOA</w:t>
      </w:r>
      <w:r w:rsidRPr="009F06AF">
        <w:rPr>
          <w:rFonts w:cstheme="minorHAnsi"/>
          <w:color w:val="231F20"/>
          <w:spacing w:val="17"/>
          <w:w w:val="105"/>
        </w:rPr>
        <w:t xml:space="preserve"> </w:t>
      </w:r>
      <w:r w:rsidRPr="009F06AF">
        <w:rPr>
          <w:rFonts w:cstheme="minorHAnsi"/>
          <w:color w:val="231F20"/>
          <w:spacing w:val="-5"/>
          <w:w w:val="105"/>
        </w:rPr>
        <w:t>Task</w:t>
      </w:r>
      <w:r w:rsidRPr="009F06AF">
        <w:rPr>
          <w:rFonts w:cstheme="minorHAnsi"/>
          <w:color w:val="231F20"/>
          <w:spacing w:val="17"/>
          <w:w w:val="105"/>
        </w:rPr>
        <w:t xml:space="preserve"> </w:t>
      </w:r>
      <w:r w:rsidRPr="009F06AF">
        <w:rPr>
          <w:rFonts w:cstheme="minorHAnsi"/>
          <w:color w:val="231F20"/>
          <w:w w:val="105"/>
        </w:rPr>
        <w:t>Force,</w:t>
      </w:r>
      <w:r w:rsidRPr="009F06AF">
        <w:rPr>
          <w:rFonts w:cstheme="minorHAnsi"/>
          <w:color w:val="231F20"/>
          <w:spacing w:val="17"/>
          <w:w w:val="105"/>
        </w:rPr>
        <w:t xml:space="preserve"> </w:t>
      </w:r>
      <w:r w:rsidRPr="009F06AF">
        <w:rPr>
          <w:rFonts w:cstheme="minorHAnsi"/>
          <w:color w:val="231F20"/>
          <w:w w:val="105"/>
        </w:rPr>
        <w:t>state</w:t>
      </w:r>
      <w:r w:rsidRPr="009F06AF">
        <w:rPr>
          <w:rFonts w:cstheme="minorHAnsi"/>
          <w:color w:val="231F20"/>
          <w:spacing w:val="17"/>
          <w:w w:val="105"/>
        </w:rPr>
        <w:t xml:space="preserve"> </w:t>
      </w:r>
      <w:r w:rsidRPr="009F06AF">
        <w:rPr>
          <w:rFonts w:cstheme="minorHAnsi"/>
          <w:color w:val="231F20"/>
          <w:w w:val="105"/>
        </w:rPr>
        <w:t>stakeholder</w:t>
      </w:r>
      <w:r w:rsidRPr="009F06AF">
        <w:rPr>
          <w:rFonts w:cstheme="minorHAnsi"/>
          <w:color w:val="231F20"/>
          <w:spacing w:val="17"/>
          <w:w w:val="105"/>
        </w:rPr>
        <w:t xml:space="preserve"> </w:t>
      </w:r>
      <w:r w:rsidRPr="009F06AF">
        <w:rPr>
          <w:rFonts w:cstheme="minorHAnsi"/>
          <w:color w:val="231F20"/>
          <w:w w:val="105"/>
        </w:rPr>
        <w:t>groups</w:t>
      </w:r>
      <w:r w:rsidR="00D5537E">
        <w:rPr>
          <w:rFonts w:cstheme="minorHAnsi"/>
          <w:color w:val="231F20"/>
          <w:w w:val="105"/>
        </w:rPr>
        <w:t xml:space="preserve"> and</w:t>
      </w:r>
      <w:r w:rsidRPr="009F06AF">
        <w:rPr>
          <w:rFonts w:cstheme="minorHAnsi"/>
          <w:color w:val="231F20"/>
          <w:spacing w:val="17"/>
          <w:w w:val="105"/>
        </w:rPr>
        <w:t xml:space="preserve"> </w:t>
      </w:r>
      <w:r w:rsidRPr="009F06AF">
        <w:rPr>
          <w:rFonts w:cstheme="minorHAnsi"/>
          <w:color w:val="231F20"/>
          <w:w w:val="105"/>
        </w:rPr>
        <w:t>the</w:t>
      </w:r>
      <w:r w:rsidRPr="009F06AF">
        <w:rPr>
          <w:rFonts w:cstheme="minorHAnsi"/>
          <w:color w:val="231F20"/>
          <w:spacing w:val="17"/>
          <w:w w:val="105"/>
        </w:rPr>
        <w:t xml:space="preserve"> </w:t>
      </w:r>
      <w:r w:rsidRPr="009F06AF">
        <w:rPr>
          <w:rFonts w:cstheme="minorHAnsi"/>
          <w:color w:val="231F20"/>
          <w:spacing w:val="-3"/>
          <w:w w:val="105"/>
        </w:rPr>
        <w:t>LWDBs.</w:t>
      </w:r>
      <w:r>
        <w:rPr>
          <w:rFonts w:cstheme="minorHAnsi"/>
          <w:color w:val="231F20"/>
          <w:spacing w:val="-3"/>
          <w:w w:val="105"/>
        </w:rPr>
        <w:t xml:space="preserve"> </w:t>
      </w:r>
      <w:r w:rsidRPr="009F06AF">
        <w:rPr>
          <w:rFonts w:cstheme="minorHAnsi"/>
          <w:color w:val="231F20"/>
          <w:spacing w:val="-36"/>
          <w:w w:val="105"/>
        </w:rPr>
        <w:t xml:space="preserve"> </w:t>
      </w:r>
      <w:r w:rsidRPr="009F06AF">
        <w:rPr>
          <w:rFonts w:cstheme="minorHAnsi"/>
          <w:color w:val="231F20"/>
          <w:w w:val="105"/>
        </w:rPr>
        <w:t>Florida</w:t>
      </w:r>
      <w:r w:rsidRPr="009F06AF">
        <w:rPr>
          <w:rFonts w:cstheme="minorHAnsi"/>
          <w:color w:val="231F20"/>
          <w:spacing w:val="11"/>
          <w:w w:val="105"/>
        </w:rPr>
        <w:t xml:space="preserve"> </w:t>
      </w:r>
      <w:r w:rsidRPr="009F06AF">
        <w:rPr>
          <w:rFonts w:cstheme="minorHAnsi"/>
          <w:color w:val="231F20"/>
          <w:w w:val="105"/>
        </w:rPr>
        <w:t>identified</w:t>
      </w:r>
      <w:r w:rsidRPr="009F06AF">
        <w:rPr>
          <w:rFonts w:cstheme="minorHAnsi"/>
          <w:color w:val="231F20"/>
          <w:spacing w:val="11"/>
          <w:w w:val="105"/>
        </w:rPr>
        <w:t xml:space="preserve"> </w:t>
      </w:r>
      <w:r w:rsidRPr="009F06AF">
        <w:rPr>
          <w:rFonts w:cstheme="minorHAnsi"/>
          <w:color w:val="231F20"/>
          <w:w w:val="105"/>
        </w:rPr>
        <w:t>six</w:t>
      </w:r>
      <w:r w:rsidRPr="009F06AF">
        <w:rPr>
          <w:rFonts w:cstheme="minorHAnsi"/>
          <w:color w:val="231F20"/>
          <w:spacing w:val="11"/>
          <w:w w:val="105"/>
        </w:rPr>
        <w:t xml:space="preserve"> </w:t>
      </w:r>
      <w:r w:rsidRPr="009F06AF">
        <w:rPr>
          <w:rFonts w:cstheme="minorHAnsi"/>
          <w:color w:val="231F20"/>
          <w:w w:val="105"/>
        </w:rPr>
        <w:t>factors</w:t>
      </w:r>
      <w:r w:rsidRPr="009F06AF">
        <w:rPr>
          <w:rFonts w:cstheme="minorHAnsi"/>
          <w:color w:val="231F20"/>
          <w:spacing w:val="11"/>
          <w:w w:val="105"/>
        </w:rPr>
        <w:t xml:space="preserve"> </w:t>
      </w:r>
      <w:r w:rsidRPr="009F06AF">
        <w:rPr>
          <w:rFonts w:cstheme="minorHAnsi"/>
          <w:color w:val="231F20"/>
          <w:w w:val="105"/>
        </w:rPr>
        <w:t>for</w:t>
      </w:r>
      <w:r w:rsidRPr="009F06AF">
        <w:rPr>
          <w:rFonts w:cstheme="minorHAnsi"/>
          <w:color w:val="231F20"/>
          <w:spacing w:val="11"/>
          <w:w w:val="105"/>
        </w:rPr>
        <w:t xml:space="preserve"> </w:t>
      </w:r>
      <w:r w:rsidRPr="009F06AF">
        <w:rPr>
          <w:rFonts w:cstheme="minorHAnsi"/>
          <w:color w:val="231F20"/>
          <w:w w:val="105"/>
        </w:rPr>
        <w:t>the</w:t>
      </w:r>
      <w:r w:rsidRPr="009F06AF">
        <w:rPr>
          <w:rFonts w:cstheme="minorHAnsi"/>
          <w:color w:val="231F20"/>
          <w:spacing w:val="-14"/>
          <w:w w:val="105"/>
        </w:rPr>
        <w:t xml:space="preserve"> </w:t>
      </w:r>
      <w:r w:rsidRPr="009F06AF">
        <w:rPr>
          <w:rFonts w:cstheme="minorHAnsi"/>
          <w:color w:val="231F20"/>
          <w:w w:val="105"/>
        </w:rPr>
        <w:t>development of regions</w:t>
      </w:r>
      <w:r w:rsidR="001625D6" w:rsidRPr="009F06AF">
        <w:rPr>
          <w:rFonts w:cstheme="minorHAnsi"/>
          <w:color w:val="231F20"/>
          <w:w w:val="105"/>
        </w:rPr>
        <w:t xml:space="preserve"> including:</w:t>
      </w:r>
    </w:p>
    <w:p w14:paraId="5E28619D" w14:textId="77777777" w:rsidR="0019067F" w:rsidRDefault="0019067F" w:rsidP="00D63204">
      <w:pPr>
        <w:widowControl w:val="0"/>
        <w:spacing w:before="2" w:after="0" w:line="235" w:lineRule="auto"/>
        <w:ind w:left="107"/>
        <w:rPr>
          <w:rFonts w:cstheme="minorHAnsi"/>
        </w:rPr>
      </w:pPr>
    </w:p>
    <w:p w14:paraId="12B679C2" w14:textId="60B72D1E" w:rsidR="00EA7458" w:rsidRPr="0019067F" w:rsidRDefault="00EA7458" w:rsidP="00D63204">
      <w:pPr>
        <w:pStyle w:val="ListParagraph"/>
        <w:widowControl w:val="0"/>
        <w:numPr>
          <w:ilvl w:val="0"/>
          <w:numId w:val="38"/>
        </w:numPr>
        <w:spacing w:before="2" w:after="0" w:line="235" w:lineRule="auto"/>
        <w:rPr>
          <w:rFonts w:cstheme="minorHAnsi"/>
        </w:rPr>
      </w:pPr>
      <w:r w:rsidRPr="0019067F">
        <w:rPr>
          <w:rFonts w:cstheme="minorHAnsi"/>
          <w:color w:val="231F20"/>
          <w:w w:val="110"/>
        </w:rPr>
        <w:t>Single Labor</w:t>
      </w:r>
      <w:r w:rsidRPr="0019067F">
        <w:rPr>
          <w:rFonts w:cstheme="minorHAnsi"/>
          <w:color w:val="231F20"/>
          <w:spacing w:val="3"/>
          <w:w w:val="110"/>
        </w:rPr>
        <w:t xml:space="preserve"> </w:t>
      </w:r>
      <w:r w:rsidRPr="0019067F">
        <w:rPr>
          <w:rFonts w:cstheme="minorHAnsi"/>
          <w:color w:val="231F20"/>
          <w:w w:val="110"/>
        </w:rPr>
        <w:t>Market</w:t>
      </w:r>
    </w:p>
    <w:p w14:paraId="6E4AB003" w14:textId="77777777" w:rsidR="0019067F" w:rsidRPr="0019067F" w:rsidRDefault="0019067F" w:rsidP="00D63204">
      <w:pPr>
        <w:pStyle w:val="ListParagraph"/>
        <w:widowControl w:val="0"/>
        <w:spacing w:before="2" w:after="0" w:line="235" w:lineRule="auto"/>
        <w:ind w:left="827"/>
        <w:rPr>
          <w:rFonts w:cstheme="minorHAnsi"/>
        </w:rPr>
      </w:pPr>
    </w:p>
    <w:p w14:paraId="7D69C18B" w14:textId="75AD7282" w:rsidR="00EA7458" w:rsidRPr="0019067F" w:rsidRDefault="00EA7458" w:rsidP="00D63204">
      <w:pPr>
        <w:pStyle w:val="ListParagraph"/>
        <w:widowControl w:val="0"/>
        <w:numPr>
          <w:ilvl w:val="0"/>
          <w:numId w:val="38"/>
        </w:numPr>
        <w:tabs>
          <w:tab w:val="left" w:pos="828"/>
        </w:tabs>
        <w:spacing w:before="195" w:after="0" w:line="240" w:lineRule="auto"/>
        <w:rPr>
          <w:rFonts w:cstheme="minorHAnsi"/>
        </w:rPr>
      </w:pPr>
      <w:r w:rsidRPr="0019067F">
        <w:rPr>
          <w:rFonts w:cstheme="minorHAnsi"/>
          <w:color w:val="231F20"/>
          <w:w w:val="110"/>
        </w:rPr>
        <w:t>Common Economic Development</w:t>
      </w:r>
      <w:r w:rsidRPr="0019067F">
        <w:rPr>
          <w:rFonts w:cstheme="minorHAnsi"/>
          <w:color w:val="231F20"/>
          <w:spacing w:val="4"/>
          <w:w w:val="110"/>
        </w:rPr>
        <w:t xml:space="preserve"> </w:t>
      </w:r>
      <w:r w:rsidRPr="0019067F">
        <w:rPr>
          <w:rFonts w:cstheme="minorHAnsi"/>
          <w:color w:val="231F20"/>
          <w:w w:val="110"/>
        </w:rPr>
        <w:t>Area</w:t>
      </w:r>
    </w:p>
    <w:p w14:paraId="1A0ED5C6" w14:textId="77777777" w:rsidR="0019067F" w:rsidRPr="0019067F" w:rsidRDefault="0019067F" w:rsidP="00D63204">
      <w:pPr>
        <w:pStyle w:val="ListParagraph"/>
        <w:widowControl w:val="0"/>
        <w:tabs>
          <w:tab w:val="left" w:pos="828"/>
        </w:tabs>
        <w:spacing w:before="195" w:after="0" w:line="240" w:lineRule="auto"/>
        <w:ind w:left="827"/>
        <w:rPr>
          <w:rFonts w:cstheme="minorHAnsi"/>
        </w:rPr>
      </w:pPr>
    </w:p>
    <w:p w14:paraId="5D32E8EE" w14:textId="34C3EFF0" w:rsidR="00EA7458" w:rsidRPr="0019067F" w:rsidRDefault="00EA7458" w:rsidP="00D63204">
      <w:pPr>
        <w:pStyle w:val="ListParagraph"/>
        <w:widowControl w:val="0"/>
        <w:numPr>
          <w:ilvl w:val="0"/>
          <w:numId w:val="38"/>
        </w:numPr>
        <w:tabs>
          <w:tab w:val="left" w:pos="828"/>
        </w:tabs>
        <w:spacing w:before="195" w:after="0" w:line="240" w:lineRule="auto"/>
        <w:rPr>
          <w:rFonts w:cstheme="minorHAnsi"/>
        </w:rPr>
      </w:pPr>
      <w:r w:rsidRPr="0019067F">
        <w:rPr>
          <w:rFonts w:cstheme="minorHAnsi"/>
          <w:color w:val="231F20"/>
          <w:w w:val="110"/>
        </w:rPr>
        <w:t xml:space="preserve">Federal and Non-Federal Resources to Carry Out </w:t>
      </w:r>
      <w:r w:rsidRPr="0019067F">
        <w:rPr>
          <w:rFonts w:cstheme="minorHAnsi"/>
          <w:color w:val="231F20"/>
          <w:spacing w:val="-3"/>
          <w:w w:val="110"/>
        </w:rPr>
        <w:t>WIOA</w:t>
      </w:r>
      <w:r w:rsidRPr="0019067F">
        <w:rPr>
          <w:rFonts w:cstheme="minorHAnsi"/>
          <w:color w:val="231F20"/>
          <w:spacing w:val="3"/>
          <w:w w:val="110"/>
        </w:rPr>
        <w:t xml:space="preserve"> </w:t>
      </w:r>
      <w:r w:rsidRPr="0019067F">
        <w:rPr>
          <w:rFonts w:cstheme="minorHAnsi"/>
          <w:color w:val="231F20"/>
          <w:w w:val="110"/>
        </w:rPr>
        <w:t>Activities</w:t>
      </w:r>
    </w:p>
    <w:p w14:paraId="5BD893C4" w14:textId="77777777" w:rsidR="0019067F" w:rsidRPr="0019067F" w:rsidRDefault="0019067F" w:rsidP="00D63204">
      <w:pPr>
        <w:pStyle w:val="ListParagraph"/>
        <w:widowControl w:val="0"/>
        <w:tabs>
          <w:tab w:val="left" w:pos="828"/>
        </w:tabs>
        <w:spacing w:before="195" w:after="0" w:line="240" w:lineRule="auto"/>
        <w:ind w:left="827"/>
        <w:rPr>
          <w:rFonts w:cstheme="minorHAnsi"/>
        </w:rPr>
      </w:pPr>
    </w:p>
    <w:p w14:paraId="051EE0FC" w14:textId="59680A1E" w:rsidR="00EA7458" w:rsidRPr="0019067F" w:rsidRDefault="00EA7458" w:rsidP="00D63204">
      <w:pPr>
        <w:pStyle w:val="ListParagraph"/>
        <w:widowControl w:val="0"/>
        <w:numPr>
          <w:ilvl w:val="0"/>
          <w:numId w:val="38"/>
        </w:numPr>
        <w:tabs>
          <w:tab w:val="left" w:pos="828"/>
        </w:tabs>
        <w:spacing w:before="195" w:after="0" w:line="240" w:lineRule="auto"/>
        <w:rPr>
          <w:rFonts w:cstheme="minorHAnsi"/>
        </w:rPr>
      </w:pPr>
      <w:r w:rsidRPr="0019067F">
        <w:rPr>
          <w:rFonts w:cstheme="minorHAnsi"/>
          <w:color w:val="231F20"/>
          <w:w w:val="110"/>
        </w:rPr>
        <w:t>Population</w:t>
      </w:r>
      <w:r w:rsidRPr="0019067F">
        <w:rPr>
          <w:rFonts w:cstheme="minorHAnsi"/>
          <w:color w:val="231F20"/>
          <w:spacing w:val="1"/>
          <w:w w:val="110"/>
        </w:rPr>
        <w:t xml:space="preserve"> </w:t>
      </w:r>
      <w:r w:rsidRPr="0019067F">
        <w:rPr>
          <w:rFonts w:cstheme="minorHAnsi"/>
          <w:color w:val="231F20"/>
          <w:w w:val="110"/>
        </w:rPr>
        <w:t>Centers</w:t>
      </w:r>
    </w:p>
    <w:p w14:paraId="0758F7AB" w14:textId="77777777" w:rsidR="0019067F" w:rsidRPr="0019067F" w:rsidRDefault="0019067F" w:rsidP="00D63204">
      <w:pPr>
        <w:pStyle w:val="ListParagraph"/>
        <w:widowControl w:val="0"/>
        <w:tabs>
          <w:tab w:val="left" w:pos="828"/>
        </w:tabs>
        <w:spacing w:before="195" w:after="0" w:line="240" w:lineRule="auto"/>
        <w:ind w:left="827"/>
        <w:rPr>
          <w:rFonts w:cstheme="minorHAnsi"/>
        </w:rPr>
      </w:pPr>
    </w:p>
    <w:p w14:paraId="0CA9D3F4" w14:textId="3289CAC5" w:rsidR="00EA7458" w:rsidRPr="0019067F" w:rsidRDefault="00EA7458" w:rsidP="00D63204">
      <w:pPr>
        <w:pStyle w:val="ListParagraph"/>
        <w:widowControl w:val="0"/>
        <w:numPr>
          <w:ilvl w:val="0"/>
          <w:numId w:val="38"/>
        </w:numPr>
        <w:tabs>
          <w:tab w:val="left" w:pos="828"/>
        </w:tabs>
        <w:spacing w:before="195" w:after="0" w:line="240" w:lineRule="auto"/>
        <w:rPr>
          <w:rFonts w:cstheme="minorHAnsi"/>
        </w:rPr>
      </w:pPr>
      <w:r w:rsidRPr="0019067F">
        <w:rPr>
          <w:rFonts w:cstheme="minorHAnsi"/>
          <w:color w:val="231F20"/>
          <w:w w:val="105"/>
        </w:rPr>
        <w:t>Commuting</w:t>
      </w:r>
      <w:r w:rsidRPr="0019067F">
        <w:rPr>
          <w:rFonts w:cstheme="minorHAnsi"/>
          <w:color w:val="231F20"/>
          <w:spacing w:val="4"/>
          <w:w w:val="105"/>
        </w:rPr>
        <w:t xml:space="preserve"> </w:t>
      </w:r>
      <w:r w:rsidRPr="0019067F">
        <w:rPr>
          <w:rFonts w:cstheme="minorHAnsi"/>
          <w:color w:val="231F20"/>
          <w:w w:val="105"/>
        </w:rPr>
        <w:t>Patterns</w:t>
      </w:r>
    </w:p>
    <w:p w14:paraId="6B34C526" w14:textId="77777777" w:rsidR="0019067F" w:rsidRPr="0019067F" w:rsidRDefault="0019067F" w:rsidP="00D63204">
      <w:pPr>
        <w:pStyle w:val="ListParagraph"/>
        <w:widowControl w:val="0"/>
        <w:tabs>
          <w:tab w:val="left" w:pos="828"/>
        </w:tabs>
        <w:spacing w:before="195" w:after="0" w:line="240" w:lineRule="auto"/>
        <w:ind w:left="827"/>
        <w:rPr>
          <w:rFonts w:cstheme="minorHAnsi"/>
        </w:rPr>
      </w:pPr>
    </w:p>
    <w:p w14:paraId="6A34F827" w14:textId="77777777" w:rsidR="00EA7458" w:rsidRPr="0019067F" w:rsidRDefault="00EA7458" w:rsidP="00D63204">
      <w:pPr>
        <w:pStyle w:val="ListParagraph"/>
        <w:widowControl w:val="0"/>
        <w:numPr>
          <w:ilvl w:val="0"/>
          <w:numId w:val="38"/>
        </w:numPr>
        <w:tabs>
          <w:tab w:val="left" w:pos="828"/>
        </w:tabs>
        <w:spacing w:before="195" w:after="0" w:line="240" w:lineRule="auto"/>
        <w:rPr>
          <w:rFonts w:cstheme="minorHAnsi"/>
        </w:rPr>
      </w:pPr>
      <w:r w:rsidRPr="0019067F">
        <w:rPr>
          <w:rFonts w:cstheme="minorHAnsi"/>
          <w:color w:val="231F20"/>
          <w:w w:val="105"/>
        </w:rPr>
        <w:t>Industrial Composition and Sector</w:t>
      </w:r>
      <w:r w:rsidRPr="0019067F">
        <w:rPr>
          <w:rFonts w:cstheme="minorHAnsi"/>
          <w:color w:val="231F20"/>
          <w:spacing w:val="20"/>
          <w:w w:val="105"/>
        </w:rPr>
        <w:t xml:space="preserve"> </w:t>
      </w:r>
      <w:r w:rsidRPr="0019067F">
        <w:rPr>
          <w:rFonts w:cstheme="minorHAnsi"/>
          <w:color w:val="231F20"/>
          <w:w w:val="105"/>
        </w:rPr>
        <w:t>Alignment</w:t>
      </w:r>
    </w:p>
    <w:p w14:paraId="0D20D912" w14:textId="2BF8F155" w:rsidR="00EA7458" w:rsidRPr="009F06AF" w:rsidRDefault="001625D6" w:rsidP="00D63204">
      <w:pPr>
        <w:widowControl w:val="0"/>
        <w:spacing w:before="193" w:after="0" w:line="264" w:lineRule="exact"/>
        <w:ind w:left="107"/>
        <w:rPr>
          <w:rFonts w:cstheme="minorHAnsi"/>
        </w:rPr>
      </w:pPr>
      <w:r w:rsidRPr="009F06AF">
        <w:rPr>
          <w:rFonts w:cstheme="minorHAnsi"/>
          <w:color w:val="231F20"/>
          <w:w w:val="105"/>
        </w:rPr>
        <w:t xml:space="preserve">Using </w:t>
      </w:r>
      <w:r w:rsidR="00EA7458" w:rsidRPr="009F06AF">
        <w:rPr>
          <w:rFonts w:cstheme="minorHAnsi"/>
          <w:color w:val="231F20"/>
          <w:w w:val="105"/>
        </w:rPr>
        <w:t>these</w:t>
      </w:r>
      <w:r w:rsidR="00EA7458" w:rsidRPr="009F06AF">
        <w:rPr>
          <w:rFonts w:cstheme="minorHAnsi"/>
          <w:color w:val="231F20"/>
          <w:spacing w:val="15"/>
          <w:w w:val="105"/>
        </w:rPr>
        <w:t xml:space="preserve"> </w:t>
      </w:r>
      <w:r w:rsidR="00EA7458" w:rsidRPr="009F06AF">
        <w:rPr>
          <w:rFonts w:cstheme="minorHAnsi"/>
          <w:color w:val="231F20"/>
          <w:w w:val="105"/>
        </w:rPr>
        <w:t>six</w:t>
      </w:r>
      <w:r w:rsidR="00EA7458" w:rsidRPr="009F06AF">
        <w:rPr>
          <w:rFonts w:cstheme="minorHAnsi"/>
          <w:color w:val="231F20"/>
          <w:spacing w:val="15"/>
          <w:w w:val="105"/>
        </w:rPr>
        <w:t xml:space="preserve"> </w:t>
      </w:r>
      <w:r w:rsidR="00EA7458" w:rsidRPr="009F06AF">
        <w:rPr>
          <w:rFonts w:cstheme="minorHAnsi"/>
          <w:color w:val="231F20"/>
          <w:w w:val="105"/>
        </w:rPr>
        <w:t>factors,</w:t>
      </w:r>
      <w:r w:rsidR="00EA7458" w:rsidRPr="009F06AF">
        <w:rPr>
          <w:rFonts w:cstheme="minorHAnsi"/>
          <w:color w:val="231F20"/>
          <w:spacing w:val="15"/>
          <w:w w:val="105"/>
        </w:rPr>
        <w:t xml:space="preserve"> </w:t>
      </w:r>
      <w:r w:rsidR="00EA7458" w:rsidRPr="009F06AF">
        <w:rPr>
          <w:rFonts w:cstheme="minorHAnsi"/>
          <w:color w:val="231F20"/>
          <w:w w:val="105"/>
        </w:rPr>
        <w:t>various</w:t>
      </w:r>
      <w:r w:rsidR="00EA7458" w:rsidRPr="009F06AF">
        <w:rPr>
          <w:rFonts w:cstheme="minorHAnsi"/>
          <w:color w:val="231F20"/>
          <w:spacing w:val="15"/>
          <w:w w:val="105"/>
        </w:rPr>
        <w:t xml:space="preserve"> </w:t>
      </w:r>
      <w:r w:rsidR="00EA7458" w:rsidRPr="009F06AF">
        <w:rPr>
          <w:rFonts w:cstheme="minorHAnsi"/>
          <w:color w:val="231F20"/>
          <w:w w:val="105"/>
        </w:rPr>
        <w:t>regional</w:t>
      </w:r>
      <w:r w:rsidR="00EA7458" w:rsidRPr="009F06AF">
        <w:rPr>
          <w:rFonts w:cstheme="minorHAnsi"/>
          <w:color w:val="231F20"/>
          <w:spacing w:val="15"/>
          <w:w w:val="105"/>
        </w:rPr>
        <w:t xml:space="preserve"> </w:t>
      </w:r>
      <w:r w:rsidR="00EA7458" w:rsidRPr="009F06AF">
        <w:rPr>
          <w:rFonts w:cstheme="minorHAnsi"/>
          <w:color w:val="231F20"/>
          <w:w w:val="105"/>
        </w:rPr>
        <w:t>alignments</w:t>
      </w:r>
      <w:r w:rsidR="00EA7458" w:rsidRPr="009F06AF">
        <w:rPr>
          <w:rFonts w:cstheme="minorHAnsi"/>
          <w:color w:val="231F20"/>
          <w:spacing w:val="15"/>
          <w:w w:val="105"/>
        </w:rPr>
        <w:t xml:space="preserve"> </w:t>
      </w:r>
      <w:r w:rsidR="00EA7458" w:rsidRPr="009F06AF">
        <w:rPr>
          <w:rFonts w:cstheme="minorHAnsi"/>
          <w:color w:val="231F20"/>
          <w:w w:val="105"/>
        </w:rPr>
        <w:t>may</w:t>
      </w:r>
      <w:r w:rsidR="00EA7458" w:rsidRPr="009F06AF">
        <w:rPr>
          <w:rFonts w:cstheme="minorHAnsi"/>
          <w:color w:val="231F20"/>
          <w:spacing w:val="15"/>
          <w:w w:val="105"/>
        </w:rPr>
        <w:t xml:space="preserve"> </w:t>
      </w:r>
      <w:r w:rsidR="00EA7458" w:rsidRPr="009F06AF">
        <w:rPr>
          <w:rFonts w:cstheme="minorHAnsi"/>
          <w:color w:val="231F20"/>
          <w:w w:val="105"/>
        </w:rPr>
        <w:t>be</w:t>
      </w:r>
      <w:r w:rsidR="00EA7458" w:rsidRPr="009F06AF">
        <w:rPr>
          <w:rFonts w:cstheme="minorHAnsi"/>
          <w:color w:val="231F20"/>
          <w:spacing w:val="15"/>
          <w:w w:val="105"/>
        </w:rPr>
        <w:t xml:space="preserve"> </w:t>
      </w:r>
      <w:r w:rsidR="00EA7458" w:rsidRPr="009F06AF">
        <w:rPr>
          <w:rFonts w:cstheme="minorHAnsi"/>
          <w:color w:val="231F20"/>
          <w:w w:val="105"/>
        </w:rPr>
        <w:t>considered</w:t>
      </w:r>
      <w:r w:rsidR="00EA7458" w:rsidRPr="009F06AF">
        <w:rPr>
          <w:rFonts w:cstheme="minorHAnsi"/>
          <w:color w:val="231F20"/>
          <w:spacing w:val="15"/>
          <w:w w:val="105"/>
        </w:rPr>
        <w:t xml:space="preserve"> </w:t>
      </w:r>
      <w:r w:rsidR="00EA7458" w:rsidRPr="009F06AF">
        <w:rPr>
          <w:rFonts w:cstheme="minorHAnsi"/>
          <w:color w:val="231F20"/>
          <w:w w:val="105"/>
        </w:rPr>
        <w:t>and</w:t>
      </w:r>
      <w:r w:rsidR="00EA7458" w:rsidRPr="009F06AF">
        <w:rPr>
          <w:rFonts w:cstheme="minorHAnsi"/>
          <w:color w:val="231F20"/>
          <w:spacing w:val="15"/>
          <w:w w:val="105"/>
        </w:rPr>
        <w:t xml:space="preserve"> </w:t>
      </w:r>
      <w:r w:rsidR="00EA7458" w:rsidRPr="009F06AF">
        <w:rPr>
          <w:rFonts w:cstheme="minorHAnsi"/>
          <w:color w:val="231F20"/>
          <w:w w:val="105"/>
        </w:rPr>
        <w:t>proposed</w:t>
      </w:r>
      <w:r w:rsidR="00EA7458" w:rsidRPr="009F06AF">
        <w:rPr>
          <w:rFonts w:cstheme="minorHAnsi"/>
          <w:color w:val="231F20"/>
          <w:spacing w:val="15"/>
          <w:w w:val="105"/>
        </w:rPr>
        <w:t xml:space="preserve"> </w:t>
      </w:r>
      <w:r w:rsidR="00EA7458" w:rsidRPr="009F06AF">
        <w:rPr>
          <w:rFonts w:cstheme="minorHAnsi"/>
          <w:color w:val="231F20"/>
          <w:w w:val="105"/>
        </w:rPr>
        <w:t>by</w:t>
      </w:r>
      <w:r w:rsidR="00EA7458" w:rsidRPr="009F06AF">
        <w:rPr>
          <w:rFonts w:cstheme="minorHAnsi"/>
          <w:color w:val="231F20"/>
          <w:spacing w:val="15"/>
          <w:w w:val="105"/>
        </w:rPr>
        <w:t xml:space="preserve"> </w:t>
      </w:r>
      <w:r w:rsidR="00EA7458" w:rsidRPr="009F06AF">
        <w:rPr>
          <w:rFonts w:cstheme="minorHAnsi"/>
          <w:color w:val="231F20"/>
          <w:w w:val="105"/>
        </w:rPr>
        <w:t>workforce</w:t>
      </w:r>
      <w:r w:rsidR="00EA7458" w:rsidRPr="009F06AF">
        <w:rPr>
          <w:rFonts w:cstheme="minorHAnsi"/>
          <w:color w:val="231F20"/>
          <w:spacing w:val="20"/>
          <w:w w:val="105"/>
        </w:rPr>
        <w:t xml:space="preserve"> </w:t>
      </w:r>
      <w:r w:rsidR="00EA7458" w:rsidRPr="009F06AF">
        <w:rPr>
          <w:rFonts w:cstheme="minorHAnsi"/>
          <w:color w:val="231F20"/>
          <w:w w:val="105"/>
        </w:rPr>
        <w:t>system</w:t>
      </w:r>
      <w:r w:rsidR="00EA7458" w:rsidRPr="009F06AF">
        <w:rPr>
          <w:rFonts w:cstheme="minorHAnsi"/>
          <w:color w:val="231F20"/>
          <w:spacing w:val="20"/>
          <w:w w:val="105"/>
        </w:rPr>
        <w:t xml:space="preserve"> </w:t>
      </w:r>
      <w:r w:rsidR="00EA7458" w:rsidRPr="009F06AF">
        <w:rPr>
          <w:rFonts w:cstheme="minorHAnsi"/>
          <w:color w:val="231F20"/>
          <w:w w:val="105"/>
        </w:rPr>
        <w:t>stakeholders</w:t>
      </w:r>
      <w:r w:rsidR="00EA7458" w:rsidRPr="009F06AF">
        <w:rPr>
          <w:rFonts w:cstheme="minorHAnsi"/>
          <w:color w:val="231F20"/>
          <w:spacing w:val="20"/>
          <w:w w:val="105"/>
        </w:rPr>
        <w:t xml:space="preserve"> </w:t>
      </w:r>
      <w:r w:rsidRPr="009F06AF">
        <w:rPr>
          <w:rFonts w:cstheme="minorHAnsi"/>
          <w:color w:val="231F20"/>
          <w:w w:val="105"/>
        </w:rPr>
        <w:t xml:space="preserve">including </w:t>
      </w:r>
      <w:r w:rsidR="00EA7458" w:rsidRPr="009F06AF">
        <w:rPr>
          <w:rFonts w:cstheme="minorHAnsi"/>
          <w:color w:val="231F20"/>
          <w:w w:val="105"/>
        </w:rPr>
        <w:t>state</w:t>
      </w:r>
      <w:r w:rsidR="00EA7458" w:rsidRPr="009F06AF">
        <w:rPr>
          <w:rFonts w:cstheme="minorHAnsi"/>
          <w:color w:val="231F20"/>
          <w:spacing w:val="20"/>
          <w:w w:val="105"/>
        </w:rPr>
        <w:t xml:space="preserve"> </w:t>
      </w:r>
      <w:r w:rsidR="00EA7458" w:rsidRPr="009F06AF">
        <w:rPr>
          <w:rFonts w:cstheme="minorHAnsi"/>
          <w:color w:val="231F20"/>
          <w:w w:val="105"/>
        </w:rPr>
        <w:t>policymakers,</w:t>
      </w:r>
      <w:r w:rsidR="00EA7458" w:rsidRPr="009F06AF">
        <w:rPr>
          <w:rFonts w:cstheme="minorHAnsi"/>
          <w:color w:val="231F20"/>
          <w:spacing w:val="20"/>
          <w:w w:val="105"/>
        </w:rPr>
        <w:t xml:space="preserve"> </w:t>
      </w:r>
      <w:r w:rsidR="00EA7458" w:rsidRPr="009F06AF">
        <w:rPr>
          <w:rFonts w:cstheme="minorHAnsi"/>
          <w:color w:val="231F20"/>
          <w:w w:val="105"/>
        </w:rPr>
        <w:t>state</w:t>
      </w:r>
      <w:r w:rsidR="00EA7458" w:rsidRPr="009F06AF">
        <w:rPr>
          <w:rFonts w:cstheme="minorHAnsi"/>
          <w:color w:val="231F20"/>
          <w:spacing w:val="20"/>
          <w:w w:val="105"/>
        </w:rPr>
        <w:t xml:space="preserve"> </w:t>
      </w:r>
      <w:r w:rsidR="00EA7458" w:rsidRPr="009F06AF">
        <w:rPr>
          <w:rFonts w:cstheme="minorHAnsi"/>
          <w:color w:val="231F20"/>
          <w:w w:val="105"/>
        </w:rPr>
        <w:t>and</w:t>
      </w:r>
      <w:r w:rsidR="00EA7458" w:rsidRPr="009F06AF">
        <w:rPr>
          <w:rFonts w:cstheme="minorHAnsi"/>
          <w:color w:val="231F20"/>
          <w:spacing w:val="20"/>
          <w:w w:val="105"/>
        </w:rPr>
        <w:t xml:space="preserve"> </w:t>
      </w:r>
      <w:r w:rsidR="00EA7458" w:rsidRPr="009F06AF">
        <w:rPr>
          <w:rFonts w:cstheme="minorHAnsi"/>
          <w:color w:val="231F20"/>
          <w:w w:val="105"/>
        </w:rPr>
        <w:t>local</w:t>
      </w:r>
      <w:r w:rsidR="00EA7458" w:rsidRPr="009F06AF">
        <w:rPr>
          <w:rFonts w:cstheme="minorHAnsi"/>
          <w:color w:val="231F20"/>
          <w:spacing w:val="20"/>
          <w:w w:val="105"/>
        </w:rPr>
        <w:t xml:space="preserve"> </w:t>
      </w:r>
      <w:r w:rsidR="00EA7458" w:rsidRPr="009F06AF">
        <w:rPr>
          <w:rFonts w:cstheme="minorHAnsi"/>
          <w:color w:val="231F20"/>
          <w:w w:val="105"/>
        </w:rPr>
        <w:t>CareerSource</w:t>
      </w:r>
      <w:r w:rsidR="00EA7458" w:rsidRPr="009F06AF">
        <w:rPr>
          <w:rFonts w:cstheme="minorHAnsi"/>
          <w:color w:val="231F20"/>
          <w:spacing w:val="20"/>
          <w:w w:val="105"/>
        </w:rPr>
        <w:t xml:space="preserve"> </w:t>
      </w:r>
      <w:r w:rsidR="00EA7458" w:rsidRPr="009F06AF">
        <w:rPr>
          <w:rFonts w:cstheme="minorHAnsi"/>
          <w:color w:val="231F20"/>
          <w:w w:val="105"/>
        </w:rPr>
        <w:t>Florida</w:t>
      </w:r>
      <w:r w:rsidR="00EA7458" w:rsidRPr="009F06AF">
        <w:rPr>
          <w:rFonts w:cstheme="minorHAnsi"/>
          <w:color w:val="231F20"/>
          <w:spacing w:val="20"/>
          <w:w w:val="105"/>
        </w:rPr>
        <w:t xml:space="preserve"> </w:t>
      </w:r>
      <w:r w:rsidR="00EA7458" w:rsidRPr="009F06AF">
        <w:rPr>
          <w:rFonts w:cstheme="minorHAnsi"/>
          <w:color w:val="231F20"/>
          <w:w w:val="105"/>
        </w:rPr>
        <w:t>Board</w:t>
      </w:r>
      <w:r w:rsidR="00EA7458" w:rsidRPr="009F06AF">
        <w:rPr>
          <w:rFonts w:cstheme="minorHAnsi"/>
          <w:color w:val="231F20"/>
          <w:spacing w:val="14"/>
          <w:w w:val="105"/>
        </w:rPr>
        <w:t xml:space="preserve"> </w:t>
      </w:r>
      <w:r w:rsidR="00EA7458" w:rsidRPr="009F06AF">
        <w:rPr>
          <w:rFonts w:cstheme="minorHAnsi"/>
          <w:color w:val="231F20"/>
          <w:w w:val="105"/>
        </w:rPr>
        <w:t>members,</w:t>
      </w:r>
      <w:r w:rsidR="00EA7458" w:rsidRPr="009F06AF">
        <w:rPr>
          <w:rFonts w:cstheme="minorHAnsi"/>
          <w:color w:val="231F20"/>
          <w:spacing w:val="6"/>
          <w:w w:val="105"/>
        </w:rPr>
        <w:t xml:space="preserve"> </w:t>
      </w:r>
      <w:r w:rsidR="00EA7458" w:rsidRPr="009F06AF">
        <w:rPr>
          <w:rFonts w:cstheme="minorHAnsi"/>
          <w:color w:val="231F20"/>
          <w:w w:val="105"/>
        </w:rPr>
        <w:t>state</w:t>
      </w:r>
      <w:r w:rsidR="00EA7458" w:rsidRPr="009F06AF">
        <w:rPr>
          <w:rFonts w:cstheme="minorHAnsi"/>
          <w:color w:val="231F20"/>
          <w:spacing w:val="6"/>
          <w:w w:val="105"/>
        </w:rPr>
        <w:t xml:space="preserve"> </w:t>
      </w:r>
      <w:r w:rsidR="00EA7458" w:rsidRPr="009F06AF">
        <w:rPr>
          <w:rFonts w:cstheme="minorHAnsi"/>
          <w:color w:val="231F20"/>
          <w:w w:val="105"/>
        </w:rPr>
        <w:t>and</w:t>
      </w:r>
      <w:r w:rsidR="00EA7458" w:rsidRPr="009F06AF">
        <w:rPr>
          <w:rFonts w:cstheme="minorHAnsi"/>
          <w:color w:val="231F20"/>
          <w:spacing w:val="6"/>
          <w:w w:val="105"/>
        </w:rPr>
        <w:t xml:space="preserve"> </w:t>
      </w:r>
      <w:r w:rsidR="00EA7458" w:rsidRPr="009F06AF">
        <w:rPr>
          <w:rFonts w:cstheme="minorHAnsi"/>
          <w:color w:val="231F20"/>
          <w:w w:val="105"/>
        </w:rPr>
        <w:t>local</w:t>
      </w:r>
      <w:r w:rsidR="00EA7458" w:rsidRPr="009F06AF">
        <w:rPr>
          <w:rFonts w:cstheme="minorHAnsi"/>
          <w:color w:val="231F20"/>
          <w:spacing w:val="6"/>
          <w:w w:val="105"/>
        </w:rPr>
        <w:t xml:space="preserve"> </w:t>
      </w:r>
      <w:r w:rsidR="00EA7458" w:rsidRPr="009F06AF">
        <w:rPr>
          <w:rFonts w:cstheme="minorHAnsi"/>
          <w:color w:val="231F20"/>
          <w:w w:val="105"/>
        </w:rPr>
        <w:t>workforce</w:t>
      </w:r>
      <w:r w:rsidR="00EA7458" w:rsidRPr="009F06AF">
        <w:rPr>
          <w:rFonts w:cstheme="minorHAnsi"/>
          <w:color w:val="231F20"/>
          <w:spacing w:val="6"/>
          <w:w w:val="105"/>
        </w:rPr>
        <w:t xml:space="preserve"> </w:t>
      </w:r>
      <w:r w:rsidR="00EA7458" w:rsidRPr="009F06AF">
        <w:rPr>
          <w:rFonts w:cstheme="minorHAnsi"/>
          <w:color w:val="231F20"/>
          <w:w w:val="105"/>
        </w:rPr>
        <w:t>staff,</w:t>
      </w:r>
      <w:r w:rsidR="00EA7458" w:rsidRPr="009F06AF">
        <w:rPr>
          <w:rFonts w:cstheme="minorHAnsi"/>
          <w:color w:val="231F20"/>
          <w:spacing w:val="6"/>
          <w:w w:val="105"/>
        </w:rPr>
        <w:t xml:space="preserve"> </w:t>
      </w:r>
      <w:r w:rsidR="00EA7458" w:rsidRPr="009F06AF">
        <w:rPr>
          <w:rFonts w:cstheme="minorHAnsi"/>
          <w:color w:val="231F20"/>
          <w:w w:val="105"/>
        </w:rPr>
        <w:t>partner</w:t>
      </w:r>
      <w:r w:rsidR="00EA7458" w:rsidRPr="009F06AF">
        <w:rPr>
          <w:rFonts w:cstheme="minorHAnsi"/>
          <w:color w:val="231F20"/>
          <w:spacing w:val="6"/>
          <w:w w:val="105"/>
        </w:rPr>
        <w:t xml:space="preserve"> </w:t>
      </w:r>
      <w:r w:rsidR="00EA7458" w:rsidRPr="009F06AF">
        <w:rPr>
          <w:rFonts w:cstheme="minorHAnsi"/>
          <w:color w:val="231F20"/>
          <w:w w:val="105"/>
        </w:rPr>
        <w:t>program</w:t>
      </w:r>
      <w:r w:rsidR="00EA7458" w:rsidRPr="009F06AF">
        <w:rPr>
          <w:rFonts w:cstheme="minorHAnsi"/>
          <w:color w:val="231F20"/>
          <w:spacing w:val="6"/>
          <w:w w:val="105"/>
        </w:rPr>
        <w:t xml:space="preserve"> </w:t>
      </w:r>
      <w:r w:rsidR="00EA7458" w:rsidRPr="009F06AF">
        <w:rPr>
          <w:rFonts w:cstheme="minorHAnsi"/>
          <w:color w:val="231F20"/>
          <w:w w:val="105"/>
        </w:rPr>
        <w:t>staff,</w:t>
      </w:r>
      <w:r w:rsidR="00EA7458" w:rsidRPr="009F06AF">
        <w:rPr>
          <w:rFonts w:cstheme="minorHAnsi"/>
          <w:color w:val="231F20"/>
          <w:spacing w:val="6"/>
          <w:w w:val="105"/>
        </w:rPr>
        <w:t xml:space="preserve"> </w:t>
      </w:r>
      <w:r w:rsidR="00EA7458" w:rsidRPr="009F06AF">
        <w:rPr>
          <w:rFonts w:cstheme="minorHAnsi"/>
          <w:color w:val="231F20"/>
          <w:w w:val="105"/>
        </w:rPr>
        <w:t>business</w:t>
      </w:r>
      <w:r w:rsidR="00EA7458" w:rsidRPr="009F06AF">
        <w:rPr>
          <w:rFonts w:cstheme="minorHAnsi"/>
          <w:color w:val="231F20"/>
          <w:spacing w:val="6"/>
          <w:w w:val="105"/>
        </w:rPr>
        <w:t xml:space="preserve"> </w:t>
      </w:r>
      <w:r w:rsidR="00EA7458" w:rsidRPr="009F06AF">
        <w:rPr>
          <w:rFonts w:cstheme="minorHAnsi"/>
          <w:color w:val="231F20"/>
          <w:w w:val="105"/>
        </w:rPr>
        <w:t>and</w:t>
      </w:r>
      <w:r w:rsidR="00EA7458" w:rsidRPr="009F06AF">
        <w:rPr>
          <w:rFonts w:cstheme="minorHAnsi"/>
          <w:color w:val="231F20"/>
          <w:spacing w:val="6"/>
          <w:w w:val="105"/>
        </w:rPr>
        <w:t xml:space="preserve"> </w:t>
      </w:r>
      <w:r w:rsidR="00EA7458" w:rsidRPr="009F06AF">
        <w:rPr>
          <w:rFonts w:cstheme="minorHAnsi"/>
          <w:color w:val="231F20"/>
          <w:w w:val="105"/>
        </w:rPr>
        <w:t>industry</w:t>
      </w:r>
      <w:r w:rsidR="00EA7458" w:rsidRPr="009F06AF">
        <w:rPr>
          <w:rFonts w:cstheme="minorHAnsi"/>
          <w:color w:val="231F20"/>
          <w:spacing w:val="6"/>
          <w:w w:val="105"/>
        </w:rPr>
        <w:t xml:space="preserve"> </w:t>
      </w:r>
      <w:r w:rsidR="00EA7458" w:rsidRPr="009F06AF">
        <w:rPr>
          <w:rFonts w:cstheme="minorHAnsi"/>
          <w:color w:val="231F20"/>
          <w:w w:val="105"/>
        </w:rPr>
        <w:t>partners</w:t>
      </w:r>
      <w:r w:rsidR="00EA7458" w:rsidRPr="009F06AF">
        <w:rPr>
          <w:rFonts w:cstheme="minorHAnsi"/>
          <w:color w:val="231F20"/>
          <w:spacing w:val="6"/>
          <w:w w:val="105"/>
        </w:rPr>
        <w:t xml:space="preserve"> </w:t>
      </w:r>
      <w:r w:rsidR="00EA7458" w:rsidRPr="009F06AF">
        <w:rPr>
          <w:rFonts w:cstheme="minorHAnsi"/>
          <w:color w:val="231F20"/>
          <w:w w:val="105"/>
        </w:rPr>
        <w:t>and</w:t>
      </w:r>
      <w:r w:rsidR="00EA7458" w:rsidRPr="009F06AF">
        <w:rPr>
          <w:rFonts w:cstheme="minorHAnsi"/>
          <w:color w:val="231F20"/>
          <w:spacing w:val="-32"/>
          <w:w w:val="105"/>
        </w:rPr>
        <w:t xml:space="preserve"> </w:t>
      </w:r>
      <w:r w:rsidR="00EA7458" w:rsidRPr="009F06AF">
        <w:rPr>
          <w:rFonts w:cstheme="minorHAnsi"/>
          <w:color w:val="231F20"/>
          <w:w w:val="105"/>
        </w:rPr>
        <w:t>workforce</w:t>
      </w:r>
      <w:r w:rsidR="00EA7458" w:rsidRPr="009F06AF">
        <w:rPr>
          <w:rFonts w:cstheme="minorHAnsi"/>
          <w:color w:val="231F20"/>
          <w:spacing w:val="11"/>
          <w:w w:val="105"/>
        </w:rPr>
        <w:t xml:space="preserve"> </w:t>
      </w:r>
      <w:r w:rsidR="00EA7458" w:rsidRPr="009F06AF">
        <w:rPr>
          <w:rFonts w:cstheme="minorHAnsi"/>
          <w:color w:val="231F20"/>
          <w:w w:val="105"/>
        </w:rPr>
        <w:t>and</w:t>
      </w:r>
      <w:r w:rsidR="00EA7458" w:rsidRPr="009F06AF">
        <w:rPr>
          <w:rFonts w:cstheme="minorHAnsi"/>
          <w:color w:val="231F20"/>
          <w:spacing w:val="11"/>
          <w:w w:val="105"/>
        </w:rPr>
        <w:t xml:space="preserve"> </w:t>
      </w:r>
      <w:r w:rsidR="00EA7458" w:rsidRPr="009F06AF">
        <w:rPr>
          <w:rFonts w:cstheme="minorHAnsi"/>
          <w:color w:val="231F20"/>
          <w:w w:val="105"/>
        </w:rPr>
        <w:t>education</w:t>
      </w:r>
      <w:r w:rsidR="00EA7458" w:rsidRPr="009F06AF">
        <w:rPr>
          <w:rFonts w:cstheme="minorHAnsi"/>
          <w:color w:val="231F20"/>
          <w:spacing w:val="11"/>
          <w:w w:val="105"/>
        </w:rPr>
        <w:t xml:space="preserve"> </w:t>
      </w:r>
      <w:r w:rsidR="00EA7458" w:rsidRPr="009F06AF">
        <w:rPr>
          <w:rFonts w:cstheme="minorHAnsi"/>
          <w:color w:val="231F20"/>
          <w:w w:val="105"/>
        </w:rPr>
        <w:t>associations.</w:t>
      </w:r>
      <w:r w:rsidR="00EA7458" w:rsidRPr="009F06AF">
        <w:rPr>
          <w:rFonts w:cstheme="minorHAnsi"/>
          <w:color w:val="231F20"/>
          <w:spacing w:val="23"/>
          <w:w w:val="105"/>
        </w:rPr>
        <w:t xml:space="preserve"> </w:t>
      </w:r>
      <w:r w:rsidRPr="009F06AF">
        <w:rPr>
          <w:rFonts w:cstheme="minorHAnsi"/>
          <w:color w:val="231F20"/>
          <w:w w:val="105"/>
        </w:rPr>
        <w:t>F</w:t>
      </w:r>
      <w:r w:rsidR="00EA7458" w:rsidRPr="009F06AF">
        <w:rPr>
          <w:rFonts w:cstheme="minorHAnsi"/>
          <w:color w:val="231F20"/>
          <w:w w:val="105"/>
        </w:rPr>
        <w:t>or</w:t>
      </w:r>
      <w:r w:rsidR="00EA7458" w:rsidRPr="009F06AF">
        <w:rPr>
          <w:rFonts w:cstheme="minorHAnsi"/>
          <w:color w:val="231F20"/>
          <w:spacing w:val="11"/>
          <w:w w:val="105"/>
        </w:rPr>
        <w:t xml:space="preserve"> </w:t>
      </w:r>
      <w:r w:rsidR="00EA7458" w:rsidRPr="009F06AF">
        <w:rPr>
          <w:rFonts w:cstheme="minorHAnsi"/>
          <w:color w:val="231F20"/>
          <w:w w:val="105"/>
        </w:rPr>
        <w:t>the</w:t>
      </w:r>
      <w:r w:rsidR="00EA7458" w:rsidRPr="009F06AF">
        <w:rPr>
          <w:rFonts w:cstheme="minorHAnsi"/>
          <w:color w:val="231F20"/>
          <w:spacing w:val="11"/>
          <w:w w:val="105"/>
        </w:rPr>
        <w:t xml:space="preserve"> </w:t>
      </w:r>
      <w:r w:rsidR="00A13404">
        <w:rPr>
          <w:rFonts w:cstheme="minorHAnsi"/>
          <w:color w:val="231F20"/>
          <w:w w:val="105"/>
        </w:rPr>
        <w:t>s</w:t>
      </w:r>
      <w:r w:rsidR="00EA7458" w:rsidRPr="009F06AF">
        <w:rPr>
          <w:rFonts w:cstheme="minorHAnsi"/>
          <w:color w:val="231F20"/>
          <w:w w:val="105"/>
        </w:rPr>
        <w:t>tate</w:t>
      </w:r>
      <w:r w:rsidR="00EA7458" w:rsidRPr="009F06AF">
        <w:rPr>
          <w:rFonts w:cstheme="minorHAnsi"/>
          <w:color w:val="231F20"/>
          <w:spacing w:val="11"/>
          <w:w w:val="105"/>
        </w:rPr>
        <w:t xml:space="preserve"> </w:t>
      </w:r>
      <w:r w:rsidR="00EA7458" w:rsidRPr="009F06AF">
        <w:rPr>
          <w:rFonts w:cstheme="minorHAnsi"/>
          <w:color w:val="231F20"/>
          <w:w w:val="105"/>
        </w:rPr>
        <w:t>to</w:t>
      </w:r>
      <w:r w:rsidR="00EA7458" w:rsidRPr="009F06AF">
        <w:rPr>
          <w:rFonts w:cstheme="minorHAnsi"/>
          <w:color w:val="231F20"/>
          <w:spacing w:val="11"/>
          <w:w w:val="105"/>
        </w:rPr>
        <w:t xml:space="preserve"> </w:t>
      </w:r>
      <w:r w:rsidR="00EA7458" w:rsidRPr="009F06AF">
        <w:rPr>
          <w:rFonts w:cstheme="minorHAnsi"/>
          <w:color w:val="231F20"/>
          <w:w w:val="105"/>
        </w:rPr>
        <w:t>consider</w:t>
      </w:r>
      <w:r w:rsidR="00EA7458" w:rsidRPr="009F06AF">
        <w:rPr>
          <w:rFonts w:cstheme="minorHAnsi"/>
          <w:color w:val="231F20"/>
          <w:spacing w:val="11"/>
          <w:w w:val="105"/>
        </w:rPr>
        <w:t xml:space="preserve"> </w:t>
      </w:r>
      <w:r w:rsidR="00EA7458" w:rsidRPr="009F06AF">
        <w:rPr>
          <w:rFonts w:cstheme="minorHAnsi"/>
          <w:color w:val="231F20"/>
          <w:w w:val="105"/>
        </w:rPr>
        <w:t>and</w:t>
      </w:r>
      <w:r w:rsidR="00EA7458" w:rsidRPr="009F06AF">
        <w:rPr>
          <w:rFonts w:cstheme="minorHAnsi"/>
          <w:color w:val="231F20"/>
          <w:spacing w:val="11"/>
          <w:w w:val="105"/>
        </w:rPr>
        <w:t xml:space="preserve"> </w:t>
      </w:r>
      <w:r w:rsidR="00EA7458" w:rsidRPr="009F06AF">
        <w:rPr>
          <w:rFonts w:cstheme="minorHAnsi"/>
          <w:color w:val="231F20"/>
          <w:w w:val="105"/>
        </w:rPr>
        <w:t>designate</w:t>
      </w:r>
      <w:r w:rsidR="00EA7458" w:rsidRPr="009F06AF">
        <w:rPr>
          <w:rFonts w:cstheme="minorHAnsi"/>
          <w:color w:val="231F20"/>
          <w:spacing w:val="11"/>
          <w:w w:val="105"/>
        </w:rPr>
        <w:t xml:space="preserve"> </w:t>
      </w:r>
      <w:r w:rsidR="00EA7458" w:rsidRPr="009F06AF">
        <w:rPr>
          <w:rFonts w:cstheme="minorHAnsi"/>
          <w:color w:val="231F20"/>
          <w:w w:val="105"/>
        </w:rPr>
        <w:t>local</w:t>
      </w:r>
      <w:r w:rsidR="00EA7458" w:rsidRPr="009F06AF">
        <w:rPr>
          <w:rFonts w:cstheme="minorHAnsi"/>
          <w:color w:val="231F20"/>
          <w:spacing w:val="11"/>
          <w:w w:val="105"/>
        </w:rPr>
        <w:t xml:space="preserve"> </w:t>
      </w:r>
      <w:r w:rsidR="00EA7458" w:rsidRPr="009F06AF">
        <w:rPr>
          <w:rFonts w:cstheme="minorHAnsi"/>
          <w:color w:val="231F20"/>
          <w:w w:val="105"/>
        </w:rPr>
        <w:t>areas,</w:t>
      </w:r>
      <w:r w:rsidR="00EA7458" w:rsidRPr="009F06AF">
        <w:rPr>
          <w:rFonts w:cstheme="minorHAnsi"/>
          <w:color w:val="231F20"/>
          <w:spacing w:val="11"/>
          <w:w w:val="105"/>
        </w:rPr>
        <w:t xml:space="preserve"> </w:t>
      </w:r>
      <w:r w:rsidR="00EA7458" w:rsidRPr="009F06AF">
        <w:rPr>
          <w:rFonts w:cstheme="minorHAnsi"/>
          <w:color w:val="231F20"/>
          <w:w w:val="105"/>
        </w:rPr>
        <w:t>a</w:t>
      </w:r>
      <w:r w:rsidR="00EA7458" w:rsidRPr="009F06AF">
        <w:rPr>
          <w:rFonts w:cstheme="minorHAnsi"/>
          <w:color w:val="231F20"/>
          <w:spacing w:val="5"/>
          <w:w w:val="105"/>
        </w:rPr>
        <w:t xml:space="preserve"> </w:t>
      </w:r>
      <w:r w:rsidR="00EA7458" w:rsidRPr="009F06AF">
        <w:rPr>
          <w:rFonts w:cstheme="minorHAnsi"/>
          <w:color w:val="231F20"/>
          <w:w w:val="105"/>
        </w:rPr>
        <w:t>formal</w:t>
      </w:r>
      <w:r w:rsidR="00EA7458" w:rsidRPr="009F06AF">
        <w:rPr>
          <w:rFonts w:cstheme="minorHAnsi"/>
          <w:color w:val="231F20"/>
          <w:spacing w:val="12"/>
          <w:w w:val="105"/>
        </w:rPr>
        <w:t xml:space="preserve"> </w:t>
      </w:r>
      <w:r w:rsidR="00EA7458" w:rsidRPr="009F06AF">
        <w:rPr>
          <w:rFonts w:cstheme="minorHAnsi"/>
          <w:color w:val="231F20"/>
          <w:w w:val="105"/>
        </w:rPr>
        <w:t>proposal</w:t>
      </w:r>
      <w:r w:rsidR="00EA7458" w:rsidRPr="009F06AF">
        <w:rPr>
          <w:rFonts w:cstheme="minorHAnsi"/>
          <w:color w:val="231F20"/>
          <w:spacing w:val="12"/>
          <w:w w:val="105"/>
        </w:rPr>
        <w:t xml:space="preserve"> </w:t>
      </w:r>
      <w:r w:rsidRPr="009F06AF">
        <w:rPr>
          <w:rFonts w:cstheme="minorHAnsi"/>
          <w:color w:val="231F20"/>
          <w:w w:val="105"/>
        </w:rPr>
        <w:t xml:space="preserve">must be </w:t>
      </w:r>
      <w:r w:rsidR="00EA7458" w:rsidRPr="009F06AF">
        <w:rPr>
          <w:rFonts w:cstheme="minorHAnsi"/>
          <w:color w:val="231F20"/>
          <w:w w:val="105"/>
        </w:rPr>
        <w:t>presented</w:t>
      </w:r>
      <w:r w:rsidR="00EA7458" w:rsidRPr="009F06AF">
        <w:rPr>
          <w:rFonts w:cstheme="minorHAnsi"/>
          <w:color w:val="231F20"/>
          <w:spacing w:val="12"/>
          <w:w w:val="105"/>
        </w:rPr>
        <w:t xml:space="preserve"> </w:t>
      </w:r>
      <w:r w:rsidR="00EA7458" w:rsidRPr="009F06AF">
        <w:rPr>
          <w:rFonts w:cstheme="minorHAnsi"/>
          <w:color w:val="231F20"/>
          <w:w w:val="105"/>
        </w:rPr>
        <w:t>to</w:t>
      </w:r>
      <w:r w:rsidR="00EA7458" w:rsidRPr="009F06AF">
        <w:rPr>
          <w:rFonts w:cstheme="minorHAnsi"/>
          <w:color w:val="231F20"/>
          <w:spacing w:val="12"/>
          <w:w w:val="105"/>
        </w:rPr>
        <w:t xml:space="preserve"> </w:t>
      </w:r>
      <w:r w:rsidR="00EA7458" w:rsidRPr="009F06AF">
        <w:rPr>
          <w:rFonts w:cstheme="minorHAnsi"/>
          <w:color w:val="231F20"/>
          <w:w w:val="105"/>
        </w:rPr>
        <w:t>the</w:t>
      </w:r>
      <w:r w:rsidR="00EA7458" w:rsidRPr="009F06AF">
        <w:rPr>
          <w:rFonts w:cstheme="minorHAnsi"/>
          <w:color w:val="231F20"/>
          <w:spacing w:val="12"/>
          <w:w w:val="105"/>
        </w:rPr>
        <w:t xml:space="preserve"> </w:t>
      </w:r>
      <w:r w:rsidR="00EA7458" w:rsidRPr="009F06AF">
        <w:rPr>
          <w:rFonts w:cstheme="minorHAnsi"/>
          <w:color w:val="231F20"/>
          <w:w w:val="105"/>
        </w:rPr>
        <w:t>CareerSource</w:t>
      </w:r>
      <w:r w:rsidR="00EA7458" w:rsidRPr="009F06AF">
        <w:rPr>
          <w:rFonts w:cstheme="minorHAnsi"/>
          <w:color w:val="231F20"/>
          <w:spacing w:val="12"/>
          <w:w w:val="105"/>
        </w:rPr>
        <w:t xml:space="preserve"> </w:t>
      </w:r>
      <w:r w:rsidR="00EA7458" w:rsidRPr="009F06AF">
        <w:rPr>
          <w:rFonts w:cstheme="minorHAnsi"/>
          <w:color w:val="231F20"/>
          <w:w w:val="105"/>
        </w:rPr>
        <w:t>Florida</w:t>
      </w:r>
      <w:r w:rsidR="00EA7458" w:rsidRPr="009F06AF">
        <w:rPr>
          <w:rFonts w:cstheme="minorHAnsi"/>
          <w:color w:val="231F20"/>
          <w:spacing w:val="12"/>
          <w:w w:val="105"/>
        </w:rPr>
        <w:t xml:space="preserve"> </w:t>
      </w:r>
      <w:r w:rsidR="00EA7458" w:rsidRPr="009F06AF">
        <w:rPr>
          <w:rFonts w:cstheme="minorHAnsi"/>
          <w:color w:val="231F20"/>
          <w:w w:val="105"/>
        </w:rPr>
        <w:t>Board</w:t>
      </w:r>
      <w:r w:rsidR="00EA7458" w:rsidRPr="009F06AF">
        <w:rPr>
          <w:rFonts w:cstheme="minorHAnsi"/>
          <w:color w:val="231F20"/>
          <w:spacing w:val="12"/>
          <w:w w:val="105"/>
        </w:rPr>
        <w:t xml:space="preserve"> </w:t>
      </w:r>
      <w:r w:rsidRPr="009F06AF">
        <w:rPr>
          <w:rFonts w:cstheme="minorHAnsi"/>
          <w:color w:val="231F20"/>
          <w:w w:val="105"/>
        </w:rPr>
        <w:t xml:space="preserve">including </w:t>
      </w:r>
      <w:r w:rsidR="00EA7458" w:rsidRPr="009F06AF">
        <w:rPr>
          <w:rFonts w:cstheme="minorHAnsi"/>
          <w:color w:val="231F20"/>
          <w:w w:val="105"/>
        </w:rPr>
        <w:t>a</w:t>
      </w:r>
      <w:r w:rsidR="00EA7458" w:rsidRPr="009F06AF">
        <w:rPr>
          <w:rFonts w:cstheme="minorHAnsi"/>
          <w:color w:val="231F20"/>
          <w:spacing w:val="12"/>
          <w:w w:val="105"/>
        </w:rPr>
        <w:t xml:space="preserve"> </w:t>
      </w:r>
      <w:r w:rsidR="00EA7458" w:rsidRPr="009F06AF">
        <w:rPr>
          <w:rFonts w:cstheme="minorHAnsi"/>
          <w:color w:val="231F20"/>
          <w:w w:val="105"/>
        </w:rPr>
        <w:t>rationale</w:t>
      </w:r>
      <w:r w:rsidR="00EA7458" w:rsidRPr="009F06AF">
        <w:rPr>
          <w:rFonts w:cstheme="minorHAnsi"/>
          <w:color w:val="231F20"/>
          <w:spacing w:val="12"/>
          <w:w w:val="105"/>
        </w:rPr>
        <w:t xml:space="preserve"> </w:t>
      </w:r>
      <w:r w:rsidR="00EA7458" w:rsidRPr="009F06AF">
        <w:rPr>
          <w:rFonts w:cstheme="minorHAnsi"/>
          <w:color w:val="231F20"/>
          <w:w w:val="105"/>
        </w:rPr>
        <w:t>for</w:t>
      </w:r>
      <w:r w:rsidR="00EA7458" w:rsidRPr="009F06AF">
        <w:rPr>
          <w:rFonts w:cstheme="minorHAnsi"/>
          <w:color w:val="231F20"/>
          <w:spacing w:val="12"/>
          <w:w w:val="105"/>
        </w:rPr>
        <w:t xml:space="preserve"> </w:t>
      </w:r>
      <w:r w:rsidR="00EA7458" w:rsidRPr="009F06AF">
        <w:rPr>
          <w:rFonts w:cstheme="minorHAnsi"/>
          <w:color w:val="231F20"/>
          <w:w w:val="105"/>
        </w:rPr>
        <w:t>the</w:t>
      </w:r>
      <w:r w:rsidR="00EA7458" w:rsidRPr="009F06AF">
        <w:rPr>
          <w:rFonts w:cstheme="minorHAnsi"/>
          <w:color w:val="231F20"/>
          <w:spacing w:val="12"/>
          <w:w w:val="105"/>
        </w:rPr>
        <w:t xml:space="preserve"> </w:t>
      </w:r>
      <w:r w:rsidR="00EA7458" w:rsidRPr="009F06AF">
        <w:rPr>
          <w:rFonts w:cstheme="minorHAnsi"/>
          <w:color w:val="231F20"/>
          <w:w w:val="105"/>
        </w:rPr>
        <w:t>local</w:t>
      </w:r>
      <w:r w:rsidR="00EA7458" w:rsidRPr="009F06AF">
        <w:rPr>
          <w:rFonts w:cstheme="minorHAnsi"/>
          <w:color w:val="231F20"/>
          <w:w w:val="108"/>
        </w:rPr>
        <w:t xml:space="preserve"> </w:t>
      </w:r>
      <w:r w:rsidR="00EA7458" w:rsidRPr="009F06AF">
        <w:rPr>
          <w:rFonts w:cstheme="minorHAnsi"/>
          <w:color w:val="231F20"/>
          <w:w w:val="105"/>
        </w:rPr>
        <w:t>area</w:t>
      </w:r>
      <w:r w:rsidR="00EA7458" w:rsidRPr="009F06AF">
        <w:rPr>
          <w:rFonts w:cstheme="minorHAnsi"/>
          <w:color w:val="231F20"/>
          <w:spacing w:val="12"/>
          <w:w w:val="105"/>
        </w:rPr>
        <w:t xml:space="preserve"> </w:t>
      </w:r>
      <w:r w:rsidR="00EA7458" w:rsidRPr="009F06AF">
        <w:rPr>
          <w:rFonts w:cstheme="minorHAnsi"/>
          <w:color w:val="231F20"/>
          <w:w w:val="105"/>
        </w:rPr>
        <w:t>designation</w:t>
      </w:r>
      <w:r w:rsidR="00EA7458" w:rsidRPr="009F06AF">
        <w:rPr>
          <w:rFonts w:cstheme="minorHAnsi"/>
          <w:color w:val="231F20"/>
          <w:spacing w:val="12"/>
          <w:w w:val="105"/>
        </w:rPr>
        <w:t xml:space="preserve"> </w:t>
      </w:r>
      <w:r w:rsidR="00EA7458" w:rsidRPr="009F06AF">
        <w:rPr>
          <w:rFonts w:cstheme="minorHAnsi"/>
          <w:color w:val="231F20"/>
          <w:w w:val="105"/>
        </w:rPr>
        <w:t>using</w:t>
      </w:r>
      <w:r w:rsidR="00EA7458" w:rsidRPr="009F06AF">
        <w:rPr>
          <w:rFonts w:cstheme="minorHAnsi"/>
          <w:color w:val="231F20"/>
          <w:spacing w:val="12"/>
          <w:w w:val="105"/>
        </w:rPr>
        <w:t xml:space="preserve"> </w:t>
      </w:r>
      <w:r w:rsidR="00EA7458" w:rsidRPr="009F06AF">
        <w:rPr>
          <w:rFonts w:cstheme="minorHAnsi"/>
          <w:color w:val="231F20"/>
          <w:w w:val="105"/>
        </w:rPr>
        <w:t>the</w:t>
      </w:r>
      <w:r w:rsidR="00EA7458" w:rsidRPr="009F06AF">
        <w:rPr>
          <w:rFonts w:cstheme="minorHAnsi"/>
          <w:color w:val="231F20"/>
          <w:spacing w:val="12"/>
          <w:w w:val="105"/>
        </w:rPr>
        <w:t xml:space="preserve"> </w:t>
      </w:r>
      <w:r w:rsidR="00EA7458" w:rsidRPr="009F06AF">
        <w:rPr>
          <w:rFonts w:cstheme="minorHAnsi"/>
          <w:color w:val="231F20"/>
          <w:w w:val="105"/>
        </w:rPr>
        <w:t>six</w:t>
      </w:r>
      <w:r w:rsidR="00EA7458" w:rsidRPr="009F06AF">
        <w:rPr>
          <w:rFonts w:cstheme="minorHAnsi"/>
          <w:color w:val="231F20"/>
          <w:spacing w:val="12"/>
          <w:w w:val="105"/>
        </w:rPr>
        <w:t xml:space="preserve"> </w:t>
      </w:r>
      <w:r w:rsidR="00EA7458" w:rsidRPr="009F06AF">
        <w:rPr>
          <w:rFonts w:cstheme="minorHAnsi"/>
          <w:color w:val="231F20"/>
          <w:w w:val="105"/>
        </w:rPr>
        <w:t>factors</w:t>
      </w:r>
      <w:r w:rsidR="00D5537E">
        <w:rPr>
          <w:rFonts w:cstheme="minorHAnsi"/>
          <w:color w:val="231F20"/>
          <w:w w:val="105"/>
        </w:rPr>
        <w:t xml:space="preserve"> and</w:t>
      </w:r>
      <w:r w:rsidR="00EA7458" w:rsidRPr="009F06AF">
        <w:rPr>
          <w:rFonts w:cstheme="minorHAnsi"/>
          <w:color w:val="231F20"/>
          <w:spacing w:val="12"/>
          <w:w w:val="105"/>
        </w:rPr>
        <w:t xml:space="preserve"> </w:t>
      </w:r>
      <w:r w:rsidR="00EA7458" w:rsidRPr="009F06AF">
        <w:rPr>
          <w:rFonts w:cstheme="minorHAnsi"/>
          <w:color w:val="231F20"/>
          <w:w w:val="105"/>
        </w:rPr>
        <w:t>a</w:t>
      </w:r>
      <w:r w:rsidR="00EA7458" w:rsidRPr="009F06AF">
        <w:rPr>
          <w:rFonts w:cstheme="minorHAnsi"/>
          <w:color w:val="231F20"/>
          <w:spacing w:val="12"/>
          <w:w w:val="105"/>
        </w:rPr>
        <w:t xml:space="preserve"> </w:t>
      </w:r>
      <w:r w:rsidR="00EA7458" w:rsidRPr="009F06AF">
        <w:rPr>
          <w:rFonts w:cstheme="minorHAnsi"/>
          <w:color w:val="231F20"/>
          <w:w w:val="105"/>
        </w:rPr>
        <w:t>description</w:t>
      </w:r>
      <w:r w:rsidR="00EA7458" w:rsidRPr="009F06AF">
        <w:rPr>
          <w:rFonts w:cstheme="minorHAnsi"/>
          <w:color w:val="231F20"/>
          <w:spacing w:val="12"/>
          <w:w w:val="105"/>
        </w:rPr>
        <w:t xml:space="preserve"> </w:t>
      </w:r>
      <w:r w:rsidR="00EA7458" w:rsidRPr="009F06AF">
        <w:rPr>
          <w:rFonts w:cstheme="minorHAnsi"/>
          <w:color w:val="231F20"/>
          <w:w w:val="105"/>
        </w:rPr>
        <w:t>of</w:t>
      </w:r>
      <w:r w:rsidR="00EA7458" w:rsidRPr="009F06AF">
        <w:rPr>
          <w:rFonts w:cstheme="minorHAnsi"/>
          <w:color w:val="231F20"/>
          <w:spacing w:val="12"/>
          <w:w w:val="105"/>
        </w:rPr>
        <w:t xml:space="preserve"> </w:t>
      </w:r>
      <w:r w:rsidR="00EA7458" w:rsidRPr="009F06AF">
        <w:rPr>
          <w:rFonts w:cstheme="minorHAnsi"/>
          <w:color w:val="231F20"/>
          <w:w w:val="105"/>
        </w:rPr>
        <w:t>why</w:t>
      </w:r>
      <w:r w:rsidR="00EA7458" w:rsidRPr="009F06AF">
        <w:rPr>
          <w:rFonts w:cstheme="minorHAnsi"/>
          <w:color w:val="231F20"/>
          <w:spacing w:val="12"/>
          <w:w w:val="105"/>
        </w:rPr>
        <w:t xml:space="preserve"> </w:t>
      </w:r>
      <w:r w:rsidR="00EA7458" w:rsidRPr="009F06AF">
        <w:rPr>
          <w:rFonts w:cstheme="minorHAnsi"/>
          <w:color w:val="231F20"/>
          <w:w w:val="105"/>
        </w:rPr>
        <w:t>the</w:t>
      </w:r>
      <w:r w:rsidR="00EA7458" w:rsidRPr="009F06AF">
        <w:rPr>
          <w:rFonts w:cstheme="minorHAnsi"/>
          <w:color w:val="231F20"/>
          <w:spacing w:val="12"/>
          <w:w w:val="105"/>
        </w:rPr>
        <w:t xml:space="preserve"> </w:t>
      </w:r>
      <w:r w:rsidR="00EA7458" w:rsidRPr="009F06AF">
        <w:rPr>
          <w:rFonts w:cstheme="minorHAnsi"/>
          <w:color w:val="231F20"/>
          <w:w w:val="105"/>
        </w:rPr>
        <w:t>regional</w:t>
      </w:r>
      <w:r w:rsidR="00EA7458" w:rsidRPr="009F06AF">
        <w:rPr>
          <w:rFonts w:cstheme="minorHAnsi"/>
          <w:color w:val="231F20"/>
          <w:spacing w:val="12"/>
          <w:w w:val="105"/>
        </w:rPr>
        <w:t xml:space="preserve"> </w:t>
      </w:r>
      <w:r w:rsidR="00EA7458" w:rsidRPr="009F06AF">
        <w:rPr>
          <w:rFonts w:cstheme="minorHAnsi"/>
          <w:color w:val="231F20"/>
          <w:w w:val="105"/>
        </w:rPr>
        <w:t>alignment</w:t>
      </w:r>
      <w:r w:rsidR="00EA7458" w:rsidRPr="009F06AF">
        <w:rPr>
          <w:rFonts w:cstheme="minorHAnsi"/>
          <w:color w:val="231F20"/>
          <w:spacing w:val="2"/>
          <w:w w:val="105"/>
        </w:rPr>
        <w:t xml:space="preserve"> </w:t>
      </w:r>
      <w:r w:rsidR="00EA7458" w:rsidRPr="009F06AF">
        <w:rPr>
          <w:rFonts w:cstheme="minorHAnsi"/>
          <w:color w:val="231F20"/>
          <w:w w:val="105"/>
        </w:rPr>
        <w:t>proposed</w:t>
      </w:r>
      <w:r w:rsidR="00EA7458" w:rsidRPr="009F06AF">
        <w:rPr>
          <w:rFonts w:cstheme="minorHAnsi"/>
          <w:color w:val="231F20"/>
          <w:spacing w:val="13"/>
          <w:w w:val="105"/>
        </w:rPr>
        <w:t xml:space="preserve"> </w:t>
      </w:r>
      <w:r w:rsidR="00EA7458" w:rsidRPr="009F06AF">
        <w:rPr>
          <w:rFonts w:cstheme="minorHAnsi"/>
          <w:color w:val="231F20"/>
          <w:w w:val="105"/>
        </w:rPr>
        <w:t>is</w:t>
      </w:r>
      <w:r w:rsidR="00EA7458" w:rsidRPr="009F06AF">
        <w:rPr>
          <w:rFonts w:cstheme="minorHAnsi"/>
          <w:color w:val="231F20"/>
          <w:spacing w:val="13"/>
          <w:w w:val="105"/>
        </w:rPr>
        <w:t xml:space="preserve"> </w:t>
      </w:r>
      <w:r w:rsidR="00EA7458" w:rsidRPr="009F06AF">
        <w:rPr>
          <w:rFonts w:cstheme="minorHAnsi"/>
          <w:color w:val="231F20"/>
          <w:w w:val="105"/>
        </w:rPr>
        <w:t>in</w:t>
      </w:r>
      <w:r w:rsidR="00EA7458" w:rsidRPr="009F06AF">
        <w:rPr>
          <w:rFonts w:cstheme="minorHAnsi"/>
          <w:color w:val="231F20"/>
          <w:spacing w:val="13"/>
          <w:w w:val="105"/>
        </w:rPr>
        <w:t xml:space="preserve"> </w:t>
      </w:r>
      <w:r w:rsidR="00EA7458" w:rsidRPr="009F06AF">
        <w:rPr>
          <w:rFonts w:cstheme="minorHAnsi"/>
          <w:color w:val="231F20"/>
          <w:w w:val="105"/>
        </w:rPr>
        <w:t>the</w:t>
      </w:r>
      <w:r w:rsidR="00EA7458" w:rsidRPr="009F06AF">
        <w:rPr>
          <w:rFonts w:cstheme="minorHAnsi"/>
          <w:color w:val="231F20"/>
          <w:spacing w:val="13"/>
          <w:w w:val="105"/>
        </w:rPr>
        <w:t xml:space="preserve"> </w:t>
      </w:r>
      <w:r w:rsidR="00EA7458" w:rsidRPr="009F06AF">
        <w:rPr>
          <w:rFonts w:cstheme="minorHAnsi"/>
          <w:color w:val="231F20"/>
          <w:w w:val="105"/>
        </w:rPr>
        <w:t>best</w:t>
      </w:r>
      <w:r w:rsidR="00EA7458" w:rsidRPr="009F06AF">
        <w:rPr>
          <w:rFonts w:cstheme="minorHAnsi"/>
          <w:color w:val="231F20"/>
          <w:spacing w:val="13"/>
          <w:w w:val="105"/>
        </w:rPr>
        <w:t xml:space="preserve"> </w:t>
      </w:r>
      <w:r w:rsidR="00EA7458" w:rsidRPr="009F06AF">
        <w:rPr>
          <w:rFonts w:cstheme="minorHAnsi"/>
          <w:color w:val="231F20"/>
          <w:w w:val="105"/>
        </w:rPr>
        <w:t>interests</w:t>
      </w:r>
      <w:r w:rsidR="00EA7458" w:rsidRPr="009F06AF">
        <w:rPr>
          <w:rFonts w:cstheme="minorHAnsi"/>
          <w:color w:val="231F20"/>
          <w:spacing w:val="13"/>
          <w:w w:val="105"/>
        </w:rPr>
        <w:t xml:space="preserve"> </w:t>
      </w:r>
      <w:r w:rsidR="00EA7458" w:rsidRPr="009F06AF">
        <w:rPr>
          <w:rFonts w:cstheme="minorHAnsi"/>
          <w:color w:val="231F20"/>
          <w:w w:val="105"/>
        </w:rPr>
        <w:t>of</w:t>
      </w:r>
      <w:r w:rsidR="00EA7458" w:rsidRPr="009F06AF">
        <w:rPr>
          <w:rFonts w:cstheme="minorHAnsi"/>
          <w:color w:val="231F20"/>
          <w:spacing w:val="13"/>
          <w:w w:val="105"/>
        </w:rPr>
        <w:t xml:space="preserve"> </w:t>
      </w:r>
      <w:r w:rsidR="00EA7458" w:rsidRPr="009F06AF">
        <w:rPr>
          <w:rFonts w:cstheme="minorHAnsi"/>
          <w:color w:val="231F20"/>
          <w:w w:val="105"/>
        </w:rPr>
        <w:t>the</w:t>
      </w:r>
      <w:r w:rsidR="00EA7458" w:rsidRPr="009F06AF">
        <w:rPr>
          <w:rFonts w:cstheme="minorHAnsi"/>
          <w:color w:val="231F20"/>
          <w:spacing w:val="13"/>
          <w:w w:val="105"/>
        </w:rPr>
        <w:t xml:space="preserve"> </w:t>
      </w:r>
      <w:r w:rsidR="00A13404">
        <w:rPr>
          <w:rFonts w:cstheme="minorHAnsi"/>
          <w:color w:val="231F20"/>
          <w:w w:val="105"/>
        </w:rPr>
        <w:t>s</w:t>
      </w:r>
      <w:r w:rsidR="00EA7458" w:rsidRPr="009F06AF">
        <w:rPr>
          <w:rFonts w:cstheme="minorHAnsi"/>
          <w:color w:val="231F20"/>
          <w:w w:val="105"/>
        </w:rPr>
        <w:t>tate,</w:t>
      </w:r>
      <w:r w:rsidR="00EA7458" w:rsidRPr="009F06AF">
        <w:rPr>
          <w:rFonts w:cstheme="minorHAnsi"/>
          <w:color w:val="231F20"/>
          <w:spacing w:val="13"/>
          <w:w w:val="105"/>
        </w:rPr>
        <w:t xml:space="preserve"> </w:t>
      </w:r>
      <w:r w:rsidR="00EA7458" w:rsidRPr="009F06AF">
        <w:rPr>
          <w:rFonts w:cstheme="minorHAnsi"/>
          <w:color w:val="231F20"/>
          <w:w w:val="105"/>
        </w:rPr>
        <w:t>business</w:t>
      </w:r>
      <w:r w:rsidR="00EA7458" w:rsidRPr="009F06AF">
        <w:rPr>
          <w:rFonts w:cstheme="minorHAnsi"/>
          <w:color w:val="231F20"/>
          <w:spacing w:val="13"/>
          <w:w w:val="105"/>
        </w:rPr>
        <w:t xml:space="preserve"> </w:t>
      </w:r>
      <w:r w:rsidR="00EA7458" w:rsidRPr="009F06AF">
        <w:rPr>
          <w:rFonts w:cstheme="minorHAnsi"/>
          <w:color w:val="231F20"/>
          <w:w w:val="105"/>
        </w:rPr>
        <w:t>and</w:t>
      </w:r>
      <w:r w:rsidR="00EA7458" w:rsidRPr="009F06AF">
        <w:rPr>
          <w:rFonts w:cstheme="minorHAnsi"/>
          <w:color w:val="231F20"/>
          <w:spacing w:val="13"/>
          <w:w w:val="105"/>
        </w:rPr>
        <w:t xml:space="preserve"> </w:t>
      </w:r>
      <w:r w:rsidR="00EA7458" w:rsidRPr="009F06AF">
        <w:rPr>
          <w:rFonts w:cstheme="minorHAnsi"/>
          <w:color w:val="231F20"/>
          <w:w w:val="105"/>
        </w:rPr>
        <w:t>industry</w:t>
      </w:r>
      <w:r w:rsidR="00D5537E">
        <w:rPr>
          <w:rFonts w:cstheme="minorHAnsi"/>
          <w:color w:val="231F20"/>
          <w:w w:val="105"/>
        </w:rPr>
        <w:t xml:space="preserve"> and</w:t>
      </w:r>
      <w:r w:rsidR="00EA7458" w:rsidRPr="009F06AF">
        <w:rPr>
          <w:rFonts w:cstheme="minorHAnsi"/>
          <w:color w:val="231F20"/>
          <w:spacing w:val="13"/>
          <w:w w:val="105"/>
        </w:rPr>
        <w:t xml:space="preserve"> </w:t>
      </w:r>
      <w:r w:rsidR="00EA7458" w:rsidRPr="009F06AF">
        <w:rPr>
          <w:rFonts w:cstheme="minorHAnsi"/>
          <w:color w:val="231F20"/>
          <w:w w:val="105"/>
        </w:rPr>
        <w:t>workers</w:t>
      </w:r>
      <w:r w:rsidR="00EA7458" w:rsidRPr="009F06AF">
        <w:rPr>
          <w:rFonts w:cstheme="minorHAnsi"/>
          <w:color w:val="231F20"/>
          <w:spacing w:val="13"/>
          <w:w w:val="105"/>
        </w:rPr>
        <w:t xml:space="preserve"> </w:t>
      </w:r>
      <w:r w:rsidR="00EA7458" w:rsidRPr="009F06AF">
        <w:rPr>
          <w:rFonts w:cstheme="minorHAnsi"/>
          <w:color w:val="231F20"/>
          <w:w w:val="105"/>
        </w:rPr>
        <w:t>and</w:t>
      </w:r>
      <w:r w:rsidR="00EA7458" w:rsidRPr="009F06AF">
        <w:rPr>
          <w:rFonts w:cstheme="minorHAnsi"/>
          <w:color w:val="231F20"/>
          <w:spacing w:val="13"/>
          <w:w w:val="105"/>
        </w:rPr>
        <w:t xml:space="preserve"> </w:t>
      </w:r>
      <w:r w:rsidR="00EA7458" w:rsidRPr="009F06AF">
        <w:rPr>
          <w:rFonts w:cstheme="minorHAnsi"/>
          <w:color w:val="231F20"/>
          <w:w w:val="105"/>
        </w:rPr>
        <w:t>job</w:t>
      </w:r>
      <w:r w:rsidR="00EA7458" w:rsidRPr="009F06AF">
        <w:rPr>
          <w:rFonts w:cstheme="minorHAnsi"/>
          <w:color w:val="231F20"/>
          <w:spacing w:val="13"/>
          <w:w w:val="105"/>
        </w:rPr>
        <w:t xml:space="preserve"> </w:t>
      </w:r>
      <w:r w:rsidR="00EA7458" w:rsidRPr="009F06AF">
        <w:rPr>
          <w:rFonts w:cstheme="minorHAnsi"/>
          <w:color w:val="231F20"/>
          <w:w w:val="105"/>
        </w:rPr>
        <w:t>seekers.</w:t>
      </w:r>
      <w:r w:rsidR="00EA7458" w:rsidRPr="009F06AF">
        <w:rPr>
          <w:rFonts w:cstheme="minorHAnsi"/>
          <w:color w:val="231F20"/>
          <w:spacing w:val="26"/>
          <w:w w:val="105"/>
        </w:rPr>
        <w:t xml:space="preserve"> </w:t>
      </w:r>
      <w:r w:rsidR="00EA7458" w:rsidRPr="009F06AF">
        <w:rPr>
          <w:rFonts w:cstheme="minorHAnsi"/>
          <w:color w:val="231F20"/>
          <w:w w:val="105"/>
        </w:rPr>
        <w:t>Each</w:t>
      </w:r>
      <w:r w:rsidR="00EA7458" w:rsidRPr="009F06AF">
        <w:rPr>
          <w:rFonts w:cstheme="minorHAnsi"/>
          <w:color w:val="231F20"/>
          <w:spacing w:val="-27"/>
          <w:w w:val="105"/>
        </w:rPr>
        <w:t xml:space="preserve"> </w:t>
      </w:r>
      <w:r w:rsidR="00C03BB6" w:rsidRPr="009F06AF">
        <w:rPr>
          <w:rFonts w:cstheme="minorHAnsi"/>
          <w:color w:val="231F20"/>
          <w:spacing w:val="-6"/>
          <w:w w:val="105"/>
        </w:rPr>
        <w:t xml:space="preserve">local workforce development board </w:t>
      </w:r>
      <w:r w:rsidR="00EA7458" w:rsidRPr="009F06AF">
        <w:rPr>
          <w:rFonts w:cstheme="minorHAnsi"/>
          <w:color w:val="231F20"/>
          <w:w w:val="105"/>
        </w:rPr>
        <w:t>plan</w:t>
      </w:r>
      <w:r w:rsidR="00EA7458" w:rsidRPr="009F06AF">
        <w:rPr>
          <w:rFonts w:cstheme="minorHAnsi"/>
          <w:color w:val="231F20"/>
          <w:spacing w:val="9"/>
          <w:w w:val="105"/>
        </w:rPr>
        <w:t xml:space="preserve"> </w:t>
      </w:r>
      <w:r w:rsidR="00EA7458" w:rsidRPr="009F06AF">
        <w:rPr>
          <w:rFonts w:cstheme="minorHAnsi"/>
          <w:color w:val="231F20"/>
          <w:w w:val="105"/>
        </w:rPr>
        <w:t>incorporate</w:t>
      </w:r>
      <w:r w:rsidRPr="009F06AF">
        <w:rPr>
          <w:rFonts w:cstheme="minorHAnsi"/>
          <w:color w:val="231F20"/>
          <w:w w:val="105"/>
        </w:rPr>
        <w:t>s</w:t>
      </w:r>
      <w:r w:rsidR="00EA7458" w:rsidRPr="009F06AF">
        <w:rPr>
          <w:rFonts w:cstheme="minorHAnsi"/>
          <w:color w:val="231F20"/>
          <w:spacing w:val="9"/>
          <w:w w:val="105"/>
        </w:rPr>
        <w:t xml:space="preserve"> </w:t>
      </w:r>
      <w:r w:rsidR="00EA7458" w:rsidRPr="009F06AF">
        <w:rPr>
          <w:rFonts w:cstheme="minorHAnsi"/>
          <w:color w:val="231F20"/>
          <w:w w:val="105"/>
        </w:rPr>
        <w:t>their</w:t>
      </w:r>
      <w:r w:rsidR="00EA7458" w:rsidRPr="009F06AF">
        <w:rPr>
          <w:rFonts w:cstheme="minorHAnsi"/>
          <w:color w:val="231F20"/>
          <w:spacing w:val="9"/>
          <w:w w:val="105"/>
        </w:rPr>
        <w:t xml:space="preserve"> </w:t>
      </w:r>
      <w:r w:rsidR="00EA7458" w:rsidRPr="009F06AF">
        <w:rPr>
          <w:rFonts w:cstheme="minorHAnsi"/>
          <w:color w:val="231F20"/>
          <w:w w:val="105"/>
        </w:rPr>
        <w:t>respective</w:t>
      </w:r>
      <w:r w:rsidR="00EA7458" w:rsidRPr="009F06AF">
        <w:rPr>
          <w:rFonts w:cstheme="minorHAnsi"/>
          <w:color w:val="231F20"/>
          <w:spacing w:val="9"/>
          <w:w w:val="105"/>
        </w:rPr>
        <w:t xml:space="preserve"> </w:t>
      </w:r>
      <w:r w:rsidR="00EA7458" w:rsidRPr="009F06AF">
        <w:rPr>
          <w:rFonts w:cstheme="minorHAnsi"/>
          <w:color w:val="231F20"/>
          <w:w w:val="105"/>
        </w:rPr>
        <w:t>strategies</w:t>
      </w:r>
      <w:r w:rsidR="00EA7458" w:rsidRPr="009F06AF">
        <w:rPr>
          <w:rFonts w:cstheme="minorHAnsi"/>
          <w:color w:val="231F20"/>
          <w:spacing w:val="9"/>
          <w:w w:val="105"/>
        </w:rPr>
        <w:t xml:space="preserve"> </w:t>
      </w:r>
      <w:r w:rsidRPr="009F06AF">
        <w:rPr>
          <w:rFonts w:cstheme="minorHAnsi"/>
          <w:color w:val="231F20"/>
          <w:w w:val="105"/>
        </w:rPr>
        <w:t xml:space="preserve">to continue evaluating </w:t>
      </w:r>
      <w:r w:rsidR="00EA7458" w:rsidRPr="009F06AF">
        <w:rPr>
          <w:rFonts w:cstheme="minorHAnsi"/>
          <w:color w:val="231F20"/>
          <w:w w:val="105"/>
        </w:rPr>
        <w:t>potential</w:t>
      </w:r>
      <w:r w:rsidR="00EA7458" w:rsidRPr="009F06AF">
        <w:rPr>
          <w:rFonts w:cstheme="minorHAnsi"/>
          <w:color w:val="231F20"/>
          <w:spacing w:val="9"/>
          <w:w w:val="105"/>
        </w:rPr>
        <w:t xml:space="preserve"> </w:t>
      </w:r>
      <w:r w:rsidR="00EA7458" w:rsidRPr="009F06AF">
        <w:rPr>
          <w:rFonts w:cstheme="minorHAnsi"/>
          <w:color w:val="231F20"/>
          <w:w w:val="105"/>
        </w:rPr>
        <w:t>regional</w:t>
      </w:r>
      <w:r w:rsidR="00EA7458" w:rsidRPr="009F06AF">
        <w:rPr>
          <w:rFonts w:cstheme="minorHAnsi"/>
          <w:color w:val="231F20"/>
          <w:spacing w:val="-22"/>
          <w:w w:val="105"/>
        </w:rPr>
        <w:t xml:space="preserve"> </w:t>
      </w:r>
      <w:r w:rsidR="00EA7458" w:rsidRPr="009F06AF">
        <w:rPr>
          <w:rFonts w:cstheme="minorHAnsi"/>
          <w:color w:val="231F20"/>
          <w:w w:val="105"/>
        </w:rPr>
        <w:t>planning</w:t>
      </w:r>
      <w:r w:rsidR="00EA7458" w:rsidRPr="009F06AF">
        <w:rPr>
          <w:rFonts w:cstheme="minorHAnsi"/>
          <w:color w:val="231F20"/>
          <w:spacing w:val="40"/>
          <w:w w:val="105"/>
        </w:rPr>
        <w:t xml:space="preserve"> </w:t>
      </w:r>
      <w:r w:rsidR="00EA7458" w:rsidRPr="009F06AF">
        <w:rPr>
          <w:rFonts w:cstheme="minorHAnsi"/>
          <w:color w:val="231F20"/>
          <w:w w:val="105"/>
        </w:rPr>
        <w:t>areas.</w:t>
      </w:r>
    </w:p>
    <w:p w14:paraId="40344667" w14:textId="77777777" w:rsidR="00EA7458" w:rsidRPr="009F06AF" w:rsidRDefault="00EA7458" w:rsidP="00D63204">
      <w:pPr>
        <w:widowControl w:val="0"/>
        <w:spacing w:after="0" w:line="264" w:lineRule="exact"/>
        <w:ind w:left="107"/>
        <w:rPr>
          <w:rFonts w:cstheme="minorHAnsi"/>
        </w:rPr>
        <w:sectPr w:rsidR="00EA7458" w:rsidRPr="009F06AF">
          <w:pgSz w:w="12240" w:h="15840"/>
          <w:pgMar w:top="1620" w:right="900" w:bottom="820" w:left="900" w:header="812" w:footer="624" w:gutter="0"/>
          <w:cols w:space="720"/>
        </w:sectPr>
      </w:pPr>
    </w:p>
    <w:p w14:paraId="307DC678" w14:textId="77777777" w:rsidR="00EA7458" w:rsidRPr="009F06AF" w:rsidRDefault="00EA7458" w:rsidP="00D63204">
      <w:pPr>
        <w:widowControl w:val="0"/>
        <w:spacing w:before="2" w:after="0" w:line="240" w:lineRule="auto"/>
        <w:ind w:left="107"/>
        <w:rPr>
          <w:rFonts w:cstheme="minorHAnsi"/>
          <w:sz w:val="14"/>
          <w:szCs w:val="14"/>
        </w:rPr>
      </w:pPr>
    </w:p>
    <w:p w14:paraId="6433B665" w14:textId="77777777" w:rsidR="00EA7458" w:rsidRPr="009F06AF" w:rsidRDefault="00EA7458" w:rsidP="00D63204">
      <w:pPr>
        <w:widowControl w:val="0"/>
        <w:numPr>
          <w:ilvl w:val="2"/>
          <w:numId w:val="4"/>
        </w:numPr>
        <w:tabs>
          <w:tab w:val="left" w:pos="2268"/>
        </w:tabs>
        <w:spacing w:before="59" w:after="0" w:line="240" w:lineRule="auto"/>
        <w:rPr>
          <w:rFonts w:cstheme="minorHAnsi"/>
        </w:rPr>
      </w:pPr>
      <w:r w:rsidRPr="009F06AF">
        <w:rPr>
          <w:rFonts w:cstheme="minorHAnsi"/>
          <w:color w:val="295CA3"/>
          <w:w w:val="105"/>
        </w:rPr>
        <w:t xml:space="preserve">Appeals Process Referred to in </w:t>
      </w:r>
      <w:r w:rsidRPr="009F06AF">
        <w:rPr>
          <w:rFonts w:cstheme="minorHAnsi"/>
          <w:color w:val="295CA3"/>
          <w:spacing w:val="-3"/>
          <w:w w:val="105"/>
        </w:rPr>
        <w:t xml:space="preserve">WIOA </w:t>
      </w:r>
      <w:r w:rsidRPr="009F06AF">
        <w:rPr>
          <w:rFonts w:cstheme="minorHAnsi"/>
          <w:color w:val="295CA3"/>
          <w:w w:val="105"/>
        </w:rPr>
        <w:t>Section</w:t>
      </w:r>
      <w:r w:rsidRPr="009F06AF">
        <w:rPr>
          <w:rFonts w:cstheme="minorHAnsi"/>
          <w:color w:val="295CA3"/>
          <w:spacing w:val="43"/>
          <w:w w:val="105"/>
        </w:rPr>
        <w:t xml:space="preserve"> </w:t>
      </w:r>
      <w:r w:rsidRPr="009F06AF">
        <w:rPr>
          <w:rFonts w:cstheme="minorHAnsi"/>
          <w:color w:val="295CA3"/>
          <w:w w:val="105"/>
        </w:rPr>
        <w:t>106(b)(5)</w:t>
      </w:r>
    </w:p>
    <w:p w14:paraId="0381C428" w14:textId="5D11DC84" w:rsidR="00680C4D" w:rsidRPr="009F06AF" w:rsidRDefault="00680C4D" w:rsidP="00D63204">
      <w:pPr>
        <w:pStyle w:val="ListParagraph"/>
        <w:widowControl w:val="0"/>
        <w:spacing w:before="193" w:after="0" w:line="264" w:lineRule="exact"/>
        <w:ind w:left="107"/>
        <w:rPr>
          <w:rFonts w:cstheme="minorHAnsi"/>
          <w:color w:val="231F20"/>
          <w:w w:val="105"/>
        </w:rPr>
      </w:pPr>
      <w:r w:rsidRPr="009F06AF">
        <w:rPr>
          <w:rFonts w:cstheme="minorHAnsi"/>
          <w:color w:val="231F20"/>
          <w:w w:val="105"/>
        </w:rPr>
        <w:t>Florida</w:t>
      </w:r>
      <w:r w:rsidRPr="009F06AF">
        <w:rPr>
          <w:rFonts w:cstheme="minorHAnsi"/>
          <w:color w:val="231F20"/>
          <w:spacing w:val="23"/>
          <w:w w:val="105"/>
        </w:rPr>
        <w:t xml:space="preserve"> </w:t>
      </w:r>
      <w:r w:rsidRPr="009F06AF">
        <w:rPr>
          <w:rFonts w:cstheme="minorHAnsi"/>
          <w:color w:val="231F20"/>
          <w:w w:val="105"/>
        </w:rPr>
        <w:t>established</w:t>
      </w:r>
      <w:r w:rsidRPr="009F06AF">
        <w:rPr>
          <w:rFonts w:cstheme="minorHAnsi"/>
          <w:color w:val="231F20"/>
          <w:spacing w:val="23"/>
          <w:w w:val="105"/>
        </w:rPr>
        <w:t xml:space="preserve"> </w:t>
      </w:r>
      <w:r w:rsidRPr="009F06AF">
        <w:rPr>
          <w:rFonts w:cstheme="minorHAnsi"/>
          <w:color w:val="231F20"/>
          <w:w w:val="105"/>
        </w:rPr>
        <w:t>an</w:t>
      </w:r>
      <w:r w:rsidRPr="009F06AF">
        <w:rPr>
          <w:rFonts w:cstheme="minorHAnsi"/>
          <w:color w:val="231F20"/>
          <w:spacing w:val="23"/>
          <w:w w:val="105"/>
        </w:rPr>
        <w:t xml:space="preserve"> </w:t>
      </w:r>
      <w:r w:rsidRPr="009F06AF">
        <w:rPr>
          <w:rFonts w:cstheme="minorHAnsi"/>
          <w:color w:val="231F20"/>
          <w:w w:val="105"/>
        </w:rPr>
        <w:t>appeal</w:t>
      </w:r>
      <w:r w:rsidRPr="009F06AF">
        <w:rPr>
          <w:rFonts w:cstheme="minorHAnsi"/>
          <w:color w:val="231F20"/>
          <w:spacing w:val="23"/>
          <w:w w:val="105"/>
        </w:rPr>
        <w:t xml:space="preserve"> </w:t>
      </w:r>
      <w:r w:rsidRPr="009F06AF">
        <w:rPr>
          <w:rFonts w:cstheme="minorHAnsi"/>
          <w:color w:val="231F20"/>
          <w:w w:val="105"/>
        </w:rPr>
        <w:t>process</w:t>
      </w:r>
      <w:r w:rsidRPr="009F06AF">
        <w:rPr>
          <w:rFonts w:cstheme="minorHAnsi"/>
          <w:color w:val="231F20"/>
          <w:spacing w:val="23"/>
          <w:w w:val="105"/>
        </w:rPr>
        <w:t xml:space="preserve"> </w:t>
      </w:r>
      <w:r w:rsidRPr="009F06AF">
        <w:rPr>
          <w:rFonts w:cstheme="minorHAnsi"/>
          <w:color w:val="231F20"/>
          <w:w w:val="105"/>
        </w:rPr>
        <w:t>specific</w:t>
      </w:r>
      <w:r w:rsidRPr="009F06AF">
        <w:rPr>
          <w:rFonts w:cstheme="minorHAnsi"/>
          <w:color w:val="231F20"/>
          <w:spacing w:val="23"/>
          <w:w w:val="105"/>
        </w:rPr>
        <w:t xml:space="preserve"> </w:t>
      </w:r>
      <w:r w:rsidRPr="009F06AF">
        <w:rPr>
          <w:rFonts w:cstheme="minorHAnsi"/>
          <w:color w:val="231F20"/>
          <w:w w:val="105"/>
        </w:rPr>
        <w:t>to</w:t>
      </w:r>
      <w:r w:rsidRPr="009F06AF">
        <w:rPr>
          <w:rFonts w:cstheme="minorHAnsi"/>
          <w:color w:val="231F20"/>
          <w:spacing w:val="23"/>
          <w:w w:val="105"/>
        </w:rPr>
        <w:t xml:space="preserve"> </w:t>
      </w:r>
      <w:r w:rsidRPr="009F06AF">
        <w:rPr>
          <w:rFonts w:cstheme="minorHAnsi"/>
          <w:color w:val="231F20"/>
          <w:w w:val="105"/>
        </w:rPr>
        <w:t>objections on local</w:t>
      </w:r>
      <w:r w:rsidRPr="009F06AF">
        <w:rPr>
          <w:rFonts w:cstheme="minorHAnsi"/>
          <w:color w:val="231F20"/>
          <w:spacing w:val="23"/>
          <w:w w:val="105"/>
        </w:rPr>
        <w:t xml:space="preserve"> </w:t>
      </w:r>
      <w:r w:rsidRPr="009F06AF">
        <w:rPr>
          <w:rFonts w:cstheme="minorHAnsi"/>
          <w:color w:val="231F20"/>
          <w:w w:val="105"/>
        </w:rPr>
        <w:t>area</w:t>
      </w:r>
      <w:r w:rsidRPr="009F06AF">
        <w:rPr>
          <w:rFonts w:cstheme="minorHAnsi"/>
          <w:color w:val="231F20"/>
          <w:spacing w:val="23"/>
          <w:w w:val="105"/>
        </w:rPr>
        <w:t xml:space="preserve"> </w:t>
      </w:r>
      <w:r w:rsidRPr="009F06AF">
        <w:rPr>
          <w:rFonts w:cstheme="minorHAnsi"/>
          <w:color w:val="231F20"/>
          <w:w w:val="105"/>
        </w:rPr>
        <w:t xml:space="preserve">designations. This process is published in Guidance Paper 005 found online at: </w:t>
      </w:r>
      <w:hyperlink r:id="rId144" w:history="1">
        <w:r w:rsidRPr="009F06AF">
          <w:rPr>
            <w:rStyle w:val="Hyperlink"/>
            <w:rFonts w:cstheme="minorHAnsi"/>
            <w:w w:val="105"/>
          </w:rPr>
          <w:t>http://www.floridajobs.org/docs/default-source/2017-guidance-papers/localareadesignatn-ap94.pdf?sfvrsn=2</w:t>
        </w:r>
      </w:hyperlink>
    </w:p>
    <w:p w14:paraId="4A403122" w14:textId="77777777" w:rsidR="00680C4D" w:rsidRPr="009F06AF" w:rsidRDefault="00680C4D" w:rsidP="00D63204">
      <w:pPr>
        <w:pStyle w:val="ListParagraph"/>
        <w:widowControl w:val="0"/>
        <w:spacing w:before="193" w:after="0" w:line="264" w:lineRule="exact"/>
        <w:ind w:left="107"/>
        <w:rPr>
          <w:rFonts w:cstheme="minorHAnsi"/>
          <w:color w:val="231F20"/>
          <w:w w:val="105"/>
        </w:rPr>
      </w:pPr>
    </w:p>
    <w:p w14:paraId="244ED872" w14:textId="34F8E05C" w:rsidR="00680C4D" w:rsidRPr="009F06AF" w:rsidRDefault="00680C4D" w:rsidP="00D63204">
      <w:pPr>
        <w:pStyle w:val="ListParagraph"/>
        <w:widowControl w:val="0"/>
        <w:spacing w:before="193" w:after="0" w:line="264" w:lineRule="exact"/>
        <w:ind w:left="107"/>
        <w:rPr>
          <w:rFonts w:cstheme="minorHAnsi"/>
        </w:rPr>
      </w:pPr>
      <w:r w:rsidRPr="009F06AF">
        <w:rPr>
          <w:rFonts w:cstheme="minorHAnsi"/>
          <w:color w:val="231F20"/>
          <w:w w:val="105"/>
        </w:rPr>
        <w:t>The Appeal</w:t>
      </w:r>
      <w:r w:rsidRPr="009F06AF">
        <w:rPr>
          <w:rFonts w:cstheme="minorHAnsi"/>
          <w:color w:val="231F20"/>
          <w:w w:val="109"/>
        </w:rPr>
        <w:t xml:space="preserve"> </w:t>
      </w:r>
      <w:r w:rsidRPr="009F06AF">
        <w:rPr>
          <w:rFonts w:cstheme="minorHAnsi"/>
          <w:color w:val="231F20"/>
          <w:w w:val="105"/>
        </w:rPr>
        <w:t>Process</w:t>
      </w:r>
      <w:r w:rsidRPr="009F06AF">
        <w:rPr>
          <w:rFonts w:cstheme="minorHAnsi"/>
          <w:color w:val="231F20"/>
          <w:spacing w:val="24"/>
          <w:w w:val="105"/>
        </w:rPr>
        <w:t xml:space="preserve"> </w:t>
      </w:r>
      <w:r w:rsidRPr="009F06AF">
        <w:rPr>
          <w:rFonts w:cstheme="minorHAnsi"/>
          <w:color w:val="231F20"/>
          <w:w w:val="105"/>
        </w:rPr>
        <w:t>for</w:t>
      </w:r>
      <w:r w:rsidRPr="009F06AF">
        <w:rPr>
          <w:rFonts w:cstheme="minorHAnsi"/>
          <w:color w:val="231F20"/>
          <w:spacing w:val="24"/>
          <w:w w:val="105"/>
        </w:rPr>
        <w:t xml:space="preserve"> </w:t>
      </w:r>
      <w:r w:rsidRPr="009F06AF">
        <w:rPr>
          <w:rFonts w:cstheme="minorHAnsi"/>
          <w:color w:val="231F20"/>
          <w:w w:val="105"/>
        </w:rPr>
        <w:t>Denial</w:t>
      </w:r>
      <w:r w:rsidRPr="009F06AF">
        <w:rPr>
          <w:rFonts w:cstheme="minorHAnsi"/>
          <w:color w:val="231F20"/>
          <w:spacing w:val="24"/>
          <w:w w:val="105"/>
        </w:rPr>
        <w:t xml:space="preserve"> </w:t>
      </w:r>
      <w:r w:rsidRPr="009F06AF">
        <w:rPr>
          <w:rFonts w:cstheme="minorHAnsi"/>
          <w:color w:val="231F20"/>
          <w:w w:val="105"/>
        </w:rPr>
        <w:t>of</w:t>
      </w:r>
      <w:r w:rsidRPr="009F06AF">
        <w:rPr>
          <w:rFonts w:cstheme="minorHAnsi"/>
          <w:color w:val="231F20"/>
          <w:spacing w:val="24"/>
          <w:w w:val="105"/>
        </w:rPr>
        <w:t xml:space="preserve"> </w:t>
      </w:r>
      <w:r w:rsidRPr="009F06AF">
        <w:rPr>
          <w:rFonts w:cstheme="minorHAnsi"/>
          <w:color w:val="231F20"/>
          <w:spacing w:val="-3"/>
          <w:w w:val="105"/>
        </w:rPr>
        <w:t>WIOA</w:t>
      </w:r>
      <w:r w:rsidRPr="009F06AF">
        <w:rPr>
          <w:rFonts w:cstheme="minorHAnsi"/>
          <w:color w:val="231F20"/>
          <w:spacing w:val="24"/>
          <w:w w:val="105"/>
        </w:rPr>
        <w:t xml:space="preserve"> </w:t>
      </w:r>
      <w:r w:rsidRPr="009F06AF">
        <w:rPr>
          <w:rFonts w:cstheme="minorHAnsi"/>
          <w:color w:val="231F20"/>
          <w:w w:val="105"/>
        </w:rPr>
        <w:t>Area</w:t>
      </w:r>
      <w:r w:rsidRPr="009F06AF">
        <w:rPr>
          <w:rFonts w:cstheme="minorHAnsi"/>
          <w:color w:val="231F20"/>
          <w:spacing w:val="24"/>
          <w:w w:val="105"/>
        </w:rPr>
        <w:t xml:space="preserve"> </w:t>
      </w:r>
      <w:r w:rsidRPr="009F06AF">
        <w:rPr>
          <w:rFonts w:cstheme="minorHAnsi"/>
          <w:color w:val="231F20"/>
          <w:w w:val="105"/>
        </w:rPr>
        <w:t>Designation.</w:t>
      </w:r>
      <w:r w:rsidRPr="009F06AF">
        <w:rPr>
          <w:rFonts w:cstheme="minorHAnsi"/>
          <w:color w:val="231F20"/>
          <w:spacing w:val="24"/>
          <w:w w:val="105"/>
        </w:rPr>
        <w:t xml:space="preserve"> </w:t>
      </w:r>
      <w:r w:rsidRPr="009F06AF">
        <w:rPr>
          <w:rFonts w:cstheme="minorHAnsi"/>
          <w:color w:val="231F20"/>
          <w:w w:val="105"/>
        </w:rPr>
        <w:t>The</w:t>
      </w:r>
      <w:r w:rsidRPr="009F06AF">
        <w:rPr>
          <w:rFonts w:cstheme="minorHAnsi"/>
          <w:color w:val="231F20"/>
          <w:spacing w:val="24"/>
          <w:w w:val="105"/>
        </w:rPr>
        <w:t xml:space="preserve"> </w:t>
      </w:r>
      <w:r w:rsidRPr="009F06AF">
        <w:rPr>
          <w:rFonts w:cstheme="minorHAnsi"/>
          <w:color w:val="231F20"/>
          <w:w w:val="105"/>
        </w:rPr>
        <w:t>appeal</w:t>
      </w:r>
      <w:r w:rsidRPr="009F06AF">
        <w:rPr>
          <w:rFonts w:cstheme="minorHAnsi"/>
          <w:color w:val="231F20"/>
          <w:spacing w:val="24"/>
          <w:w w:val="105"/>
        </w:rPr>
        <w:t xml:space="preserve"> </w:t>
      </w:r>
      <w:r w:rsidRPr="009F06AF">
        <w:rPr>
          <w:rFonts w:cstheme="minorHAnsi"/>
          <w:color w:val="231F20"/>
          <w:w w:val="105"/>
        </w:rPr>
        <w:t>process</w:t>
      </w:r>
      <w:r w:rsidRPr="009F06AF">
        <w:rPr>
          <w:rFonts w:cstheme="minorHAnsi"/>
          <w:color w:val="231F20"/>
          <w:spacing w:val="24"/>
          <w:w w:val="105"/>
        </w:rPr>
        <w:t xml:space="preserve"> </w:t>
      </w:r>
      <w:r w:rsidRPr="009F06AF">
        <w:rPr>
          <w:rFonts w:cstheme="minorHAnsi"/>
          <w:color w:val="231F20"/>
          <w:w w:val="105"/>
        </w:rPr>
        <w:t>has</w:t>
      </w:r>
      <w:r w:rsidRPr="009F06AF">
        <w:rPr>
          <w:rFonts w:cstheme="minorHAnsi"/>
          <w:color w:val="231F20"/>
          <w:spacing w:val="24"/>
          <w:w w:val="105"/>
        </w:rPr>
        <w:t xml:space="preserve"> </w:t>
      </w:r>
      <w:r w:rsidRPr="009F06AF">
        <w:rPr>
          <w:rFonts w:cstheme="minorHAnsi"/>
          <w:color w:val="231F20"/>
          <w:w w:val="105"/>
        </w:rPr>
        <w:t>never</w:t>
      </w:r>
      <w:r w:rsidRPr="009F06AF">
        <w:rPr>
          <w:rFonts w:cstheme="minorHAnsi"/>
          <w:color w:val="231F20"/>
          <w:spacing w:val="24"/>
          <w:w w:val="105"/>
        </w:rPr>
        <w:t xml:space="preserve"> </w:t>
      </w:r>
      <w:r w:rsidRPr="009F06AF">
        <w:rPr>
          <w:rFonts w:cstheme="minorHAnsi"/>
          <w:color w:val="231F20"/>
          <w:w w:val="105"/>
        </w:rPr>
        <w:t>been</w:t>
      </w:r>
      <w:r w:rsidRPr="009F06AF">
        <w:rPr>
          <w:rFonts w:cstheme="minorHAnsi"/>
          <w:color w:val="231F20"/>
          <w:spacing w:val="24"/>
          <w:w w:val="105"/>
        </w:rPr>
        <w:t xml:space="preserve"> </w:t>
      </w:r>
      <w:r w:rsidRPr="009F06AF">
        <w:rPr>
          <w:rFonts w:cstheme="minorHAnsi"/>
          <w:color w:val="231F20"/>
          <w:w w:val="105"/>
        </w:rPr>
        <w:t>invoked</w:t>
      </w:r>
      <w:r w:rsidRPr="009F06AF">
        <w:rPr>
          <w:rFonts w:cstheme="minorHAnsi"/>
          <w:color w:val="231F20"/>
          <w:spacing w:val="24"/>
          <w:w w:val="105"/>
        </w:rPr>
        <w:t xml:space="preserve"> </w:t>
      </w:r>
      <w:r w:rsidRPr="009F06AF">
        <w:rPr>
          <w:rFonts w:cstheme="minorHAnsi"/>
          <w:color w:val="231F20"/>
          <w:w w:val="105"/>
        </w:rPr>
        <w:t>or</w:t>
      </w:r>
      <w:r w:rsidRPr="009F06AF">
        <w:rPr>
          <w:rFonts w:cstheme="minorHAnsi"/>
          <w:color w:val="231F20"/>
          <w:spacing w:val="24"/>
          <w:w w:val="105"/>
        </w:rPr>
        <w:t xml:space="preserve"> </w:t>
      </w:r>
      <w:r w:rsidRPr="009F06AF">
        <w:rPr>
          <w:rFonts w:cstheme="minorHAnsi"/>
          <w:color w:val="231F20"/>
          <w:w w:val="105"/>
        </w:rPr>
        <w:t>used.</w:t>
      </w:r>
    </w:p>
    <w:p w14:paraId="40B6F90D" w14:textId="77777777" w:rsidR="00EA7458" w:rsidRPr="009F06AF" w:rsidRDefault="00EA7458" w:rsidP="00D63204">
      <w:pPr>
        <w:widowControl w:val="0"/>
        <w:spacing w:before="6" w:after="0" w:line="240" w:lineRule="auto"/>
        <w:ind w:left="107"/>
        <w:rPr>
          <w:rFonts w:cstheme="minorHAnsi"/>
          <w:sz w:val="16"/>
          <w:szCs w:val="16"/>
        </w:rPr>
      </w:pPr>
    </w:p>
    <w:p w14:paraId="467D417D" w14:textId="77777777" w:rsidR="00EA7458" w:rsidRPr="00AC40F6" w:rsidRDefault="00EA7458" w:rsidP="00D63204">
      <w:pPr>
        <w:widowControl w:val="0"/>
        <w:numPr>
          <w:ilvl w:val="2"/>
          <w:numId w:val="4"/>
        </w:numPr>
        <w:tabs>
          <w:tab w:val="left" w:pos="2268"/>
        </w:tabs>
        <w:spacing w:after="0" w:line="240" w:lineRule="auto"/>
        <w:rPr>
          <w:rFonts w:cstheme="minorHAnsi"/>
        </w:rPr>
      </w:pPr>
      <w:r w:rsidRPr="009F06AF">
        <w:rPr>
          <w:rFonts w:cstheme="minorHAnsi"/>
          <w:color w:val="295CA3"/>
          <w:w w:val="105"/>
        </w:rPr>
        <w:t xml:space="preserve">Appeals Process Referred to in </w:t>
      </w:r>
      <w:r w:rsidRPr="009F06AF">
        <w:rPr>
          <w:rFonts w:cstheme="minorHAnsi"/>
          <w:color w:val="295CA3"/>
          <w:spacing w:val="-3"/>
          <w:w w:val="105"/>
        </w:rPr>
        <w:t xml:space="preserve">WIOA </w:t>
      </w:r>
      <w:r w:rsidRPr="009F06AF">
        <w:rPr>
          <w:rFonts w:cstheme="minorHAnsi"/>
          <w:color w:val="295CA3"/>
          <w:w w:val="105"/>
        </w:rPr>
        <w:t>Section</w:t>
      </w:r>
      <w:r w:rsidRPr="009F06AF">
        <w:rPr>
          <w:rFonts w:cstheme="minorHAnsi"/>
          <w:color w:val="295CA3"/>
          <w:spacing w:val="33"/>
          <w:w w:val="105"/>
        </w:rPr>
        <w:t xml:space="preserve"> </w:t>
      </w:r>
      <w:r w:rsidRPr="009F06AF">
        <w:rPr>
          <w:rFonts w:cstheme="minorHAnsi"/>
          <w:color w:val="295CA3"/>
          <w:w w:val="105"/>
        </w:rPr>
        <w:t>121(h)(2)(E)</w:t>
      </w:r>
    </w:p>
    <w:p w14:paraId="30F73AA5" w14:textId="77777777" w:rsidR="00AC40F6" w:rsidRPr="009F06AF" w:rsidRDefault="00AC40F6" w:rsidP="00D63204">
      <w:pPr>
        <w:widowControl w:val="0"/>
        <w:tabs>
          <w:tab w:val="left" w:pos="2268"/>
        </w:tabs>
        <w:spacing w:after="0" w:line="240" w:lineRule="auto"/>
        <w:ind w:left="2823"/>
        <w:rPr>
          <w:rFonts w:cstheme="minorHAnsi"/>
        </w:rPr>
      </w:pPr>
    </w:p>
    <w:p w14:paraId="73BDED0B" w14:textId="2101169A" w:rsidR="00EA7458" w:rsidRDefault="00AC40F6" w:rsidP="00D63204">
      <w:pPr>
        <w:widowControl w:val="0"/>
        <w:spacing w:before="6" w:after="0" w:line="240" w:lineRule="auto"/>
        <w:ind w:left="107"/>
        <w:rPr>
          <w:rFonts w:cstheme="minorHAnsi"/>
          <w:color w:val="231F20"/>
          <w:w w:val="105"/>
        </w:rPr>
      </w:pPr>
      <w:r w:rsidRPr="00AC40F6">
        <w:rPr>
          <w:rFonts w:cstheme="minorHAnsi"/>
          <w:color w:val="231F20"/>
          <w:w w:val="105"/>
        </w:rPr>
        <w:t xml:space="preserve">LWDBs use federal guidelines to work with required partners to determine and agree upon infrastructure funding. They are required to make every effort to resolve any disputes at the local level. A process for formal resolution exists with gradual escalation from the LWDB </w:t>
      </w:r>
      <w:r w:rsidR="00D85BA2">
        <w:rPr>
          <w:rFonts w:cstheme="minorHAnsi"/>
          <w:color w:val="231F20"/>
          <w:w w:val="105"/>
        </w:rPr>
        <w:t>executive c</w:t>
      </w:r>
      <w:r w:rsidRPr="00AC40F6">
        <w:rPr>
          <w:rFonts w:cstheme="minorHAnsi"/>
          <w:color w:val="231F20"/>
          <w:w w:val="105"/>
        </w:rPr>
        <w:t>ommittees to senior leadership in the affected agencies (e.g., CareerSource Florida, DEO</w:t>
      </w:r>
      <w:r w:rsidR="00D5537E">
        <w:rPr>
          <w:rFonts w:cstheme="minorHAnsi"/>
          <w:color w:val="231F20"/>
          <w:w w:val="105"/>
        </w:rPr>
        <w:t xml:space="preserve"> and</w:t>
      </w:r>
      <w:r w:rsidRPr="00AC40F6">
        <w:rPr>
          <w:rFonts w:cstheme="minorHAnsi"/>
          <w:color w:val="231F20"/>
          <w:w w:val="105"/>
        </w:rPr>
        <w:t xml:space="preserve"> DOE). The senior leadership would review concerns and choose to remand the issue back to the board. If the LWDB cannot reach agreement with the partner, then the state funding mechanism would be instituted according to federal guidelines.</w:t>
      </w:r>
    </w:p>
    <w:p w14:paraId="66542739" w14:textId="77777777" w:rsidR="00AC40F6" w:rsidRPr="009F06AF" w:rsidRDefault="00AC40F6" w:rsidP="00D63204">
      <w:pPr>
        <w:widowControl w:val="0"/>
        <w:spacing w:before="6" w:after="0" w:line="240" w:lineRule="auto"/>
        <w:ind w:left="107"/>
        <w:rPr>
          <w:rFonts w:cstheme="minorHAnsi"/>
          <w:sz w:val="16"/>
          <w:szCs w:val="16"/>
        </w:rPr>
      </w:pPr>
    </w:p>
    <w:p w14:paraId="583BB335" w14:textId="77777777" w:rsidR="00EA7458" w:rsidRPr="009F06AF" w:rsidRDefault="00EA7458" w:rsidP="00D63204">
      <w:pPr>
        <w:widowControl w:val="0"/>
        <w:numPr>
          <w:ilvl w:val="1"/>
          <w:numId w:val="4"/>
        </w:numPr>
        <w:tabs>
          <w:tab w:val="left" w:pos="1548"/>
        </w:tabs>
        <w:spacing w:after="0" w:line="240" w:lineRule="auto"/>
        <w:outlineLvl w:val="2"/>
        <w:rPr>
          <w:rFonts w:cstheme="minorHAnsi"/>
        </w:rPr>
      </w:pPr>
      <w:r w:rsidRPr="009F06AF">
        <w:rPr>
          <w:rFonts w:cstheme="minorHAnsi"/>
          <w:b/>
          <w:bCs/>
          <w:color w:val="295CA3"/>
          <w:w w:val="110"/>
        </w:rPr>
        <w:t>Statewide Activities</w:t>
      </w:r>
    </w:p>
    <w:p w14:paraId="0556EDF8" w14:textId="77777777" w:rsidR="00EA7458" w:rsidRPr="009F06AF" w:rsidRDefault="00EA7458" w:rsidP="00D63204">
      <w:pPr>
        <w:widowControl w:val="0"/>
        <w:numPr>
          <w:ilvl w:val="2"/>
          <w:numId w:val="4"/>
        </w:numPr>
        <w:tabs>
          <w:tab w:val="left" w:pos="2268"/>
        </w:tabs>
        <w:spacing w:before="195" w:after="0" w:line="240" w:lineRule="auto"/>
        <w:rPr>
          <w:rFonts w:cstheme="minorHAnsi"/>
        </w:rPr>
      </w:pPr>
      <w:r w:rsidRPr="009F06AF">
        <w:rPr>
          <w:rFonts w:cstheme="minorHAnsi"/>
          <w:color w:val="295CA3"/>
          <w:w w:val="105"/>
        </w:rPr>
        <w:t>State Policies or Guidance for the Statewide Workforce Development</w:t>
      </w:r>
      <w:r w:rsidRPr="009F06AF">
        <w:rPr>
          <w:rFonts w:cstheme="minorHAnsi"/>
          <w:color w:val="295CA3"/>
          <w:spacing w:val="34"/>
          <w:w w:val="105"/>
        </w:rPr>
        <w:t xml:space="preserve"> </w:t>
      </w:r>
      <w:r w:rsidRPr="009F06AF">
        <w:rPr>
          <w:rFonts w:cstheme="minorHAnsi"/>
          <w:color w:val="295CA3"/>
          <w:w w:val="105"/>
        </w:rPr>
        <w:t>System</w:t>
      </w:r>
    </w:p>
    <w:p w14:paraId="72F40447" w14:textId="7B2617F9" w:rsidR="00EA7458" w:rsidRPr="009F06AF" w:rsidRDefault="00EA7458" w:rsidP="00D63204">
      <w:pPr>
        <w:widowControl w:val="0"/>
        <w:spacing w:before="193" w:after="0" w:line="264" w:lineRule="exact"/>
        <w:ind w:left="107"/>
        <w:rPr>
          <w:rFonts w:cstheme="minorHAnsi"/>
        </w:rPr>
      </w:pPr>
      <w:r w:rsidRPr="009F06AF">
        <w:rPr>
          <w:rFonts w:cstheme="minorHAnsi"/>
          <w:color w:val="231F20"/>
          <w:w w:val="105"/>
        </w:rPr>
        <w:t>Federal</w:t>
      </w:r>
      <w:r w:rsidRPr="009F06AF">
        <w:rPr>
          <w:rFonts w:cstheme="minorHAnsi"/>
          <w:color w:val="231F20"/>
          <w:spacing w:val="14"/>
          <w:w w:val="105"/>
        </w:rPr>
        <w:t xml:space="preserve"> </w:t>
      </w:r>
      <w:r w:rsidRPr="009F06AF">
        <w:rPr>
          <w:rFonts w:cstheme="minorHAnsi"/>
          <w:color w:val="231F20"/>
          <w:w w:val="105"/>
        </w:rPr>
        <w:t>and</w:t>
      </w:r>
      <w:r w:rsidRPr="009F06AF">
        <w:rPr>
          <w:rFonts w:cstheme="minorHAnsi"/>
          <w:color w:val="231F20"/>
          <w:spacing w:val="14"/>
          <w:w w:val="105"/>
        </w:rPr>
        <w:t xml:space="preserve"> </w:t>
      </w:r>
      <w:r w:rsidRPr="009F06AF">
        <w:rPr>
          <w:rFonts w:cstheme="minorHAnsi"/>
          <w:color w:val="231F20"/>
          <w:w w:val="105"/>
        </w:rPr>
        <w:t>state</w:t>
      </w:r>
      <w:r w:rsidRPr="009F06AF">
        <w:rPr>
          <w:rFonts w:cstheme="minorHAnsi"/>
          <w:color w:val="231F20"/>
          <w:spacing w:val="14"/>
          <w:w w:val="105"/>
        </w:rPr>
        <w:t xml:space="preserve"> </w:t>
      </w:r>
      <w:r w:rsidRPr="009F06AF">
        <w:rPr>
          <w:rFonts w:cstheme="minorHAnsi"/>
          <w:color w:val="231F20"/>
          <w:w w:val="105"/>
        </w:rPr>
        <w:t>program</w:t>
      </w:r>
      <w:r w:rsidRPr="009F06AF">
        <w:rPr>
          <w:rFonts w:cstheme="minorHAnsi"/>
          <w:color w:val="231F20"/>
          <w:spacing w:val="14"/>
          <w:w w:val="105"/>
        </w:rPr>
        <w:t xml:space="preserve"> </w:t>
      </w:r>
      <w:r w:rsidRPr="009F06AF">
        <w:rPr>
          <w:rFonts w:cstheme="minorHAnsi"/>
          <w:color w:val="231F20"/>
          <w:w w:val="105"/>
        </w:rPr>
        <w:t>guidance</w:t>
      </w:r>
      <w:r w:rsidRPr="009F06AF">
        <w:rPr>
          <w:rFonts w:cstheme="minorHAnsi"/>
          <w:color w:val="231F20"/>
          <w:spacing w:val="14"/>
          <w:w w:val="105"/>
        </w:rPr>
        <w:t xml:space="preserve"> </w:t>
      </w:r>
      <w:r w:rsidRPr="009F06AF">
        <w:rPr>
          <w:rFonts w:cstheme="minorHAnsi"/>
          <w:color w:val="231F20"/>
          <w:w w:val="105"/>
        </w:rPr>
        <w:t>is</w:t>
      </w:r>
      <w:r w:rsidRPr="009F06AF">
        <w:rPr>
          <w:rFonts w:cstheme="minorHAnsi"/>
          <w:color w:val="231F20"/>
          <w:spacing w:val="14"/>
          <w:w w:val="105"/>
        </w:rPr>
        <w:t xml:space="preserve"> </w:t>
      </w:r>
      <w:r w:rsidRPr="009F06AF">
        <w:rPr>
          <w:rFonts w:cstheme="minorHAnsi"/>
          <w:color w:val="231F20"/>
          <w:w w:val="105"/>
        </w:rPr>
        <w:t>communicated</w:t>
      </w:r>
      <w:r w:rsidRPr="009F06AF">
        <w:rPr>
          <w:rFonts w:cstheme="minorHAnsi"/>
          <w:color w:val="231F20"/>
          <w:spacing w:val="14"/>
          <w:w w:val="105"/>
        </w:rPr>
        <w:t xml:space="preserve"> </w:t>
      </w:r>
      <w:r w:rsidRPr="009F06AF">
        <w:rPr>
          <w:rFonts w:cstheme="minorHAnsi"/>
          <w:color w:val="231F20"/>
          <w:w w:val="105"/>
        </w:rPr>
        <w:t>to</w:t>
      </w:r>
      <w:r w:rsidRPr="009F06AF">
        <w:rPr>
          <w:rFonts w:cstheme="minorHAnsi"/>
          <w:color w:val="231F20"/>
          <w:spacing w:val="14"/>
          <w:w w:val="105"/>
        </w:rPr>
        <w:t xml:space="preserve"> </w:t>
      </w:r>
      <w:r w:rsidRPr="009F06AF">
        <w:rPr>
          <w:rFonts w:cstheme="minorHAnsi"/>
          <w:color w:val="231F20"/>
          <w:w w:val="105"/>
        </w:rPr>
        <w:t>local</w:t>
      </w:r>
      <w:r w:rsidRPr="009F06AF">
        <w:rPr>
          <w:rFonts w:cstheme="minorHAnsi"/>
          <w:color w:val="231F20"/>
          <w:spacing w:val="14"/>
          <w:w w:val="105"/>
        </w:rPr>
        <w:t xml:space="preserve"> </w:t>
      </w:r>
      <w:r w:rsidRPr="009F06AF">
        <w:rPr>
          <w:rFonts w:cstheme="minorHAnsi"/>
          <w:color w:val="231F20"/>
          <w:w w:val="105"/>
        </w:rPr>
        <w:t>workforce</w:t>
      </w:r>
      <w:r w:rsidRPr="009F06AF">
        <w:rPr>
          <w:rFonts w:cstheme="minorHAnsi"/>
          <w:color w:val="231F20"/>
          <w:spacing w:val="14"/>
          <w:w w:val="105"/>
        </w:rPr>
        <w:t xml:space="preserve"> </w:t>
      </w:r>
      <w:r w:rsidRPr="009F06AF">
        <w:rPr>
          <w:rFonts w:cstheme="minorHAnsi"/>
          <w:color w:val="231F20"/>
          <w:w w:val="105"/>
        </w:rPr>
        <w:t>partners</w:t>
      </w:r>
      <w:r w:rsidRPr="009F06AF">
        <w:rPr>
          <w:rFonts w:cstheme="minorHAnsi"/>
          <w:color w:val="231F20"/>
          <w:spacing w:val="14"/>
          <w:w w:val="105"/>
        </w:rPr>
        <w:t xml:space="preserve"> </w:t>
      </w:r>
      <w:r w:rsidRPr="009F06AF">
        <w:rPr>
          <w:rFonts w:cstheme="minorHAnsi"/>
          <w:color w:val="231F20"/>
          <w:w w:val="105"/>
        </w:rPr>
        <w:t>through</w:t>
      </w:r>
      <w:r w:rsidRPr="009F06AF">
        <w:rPr>
          <w:rFonts w:cstheme="minorHAnsi"/>
          <w:color w:val="231F20"/>
          <w:spacing w:val="14"/>
          <w:w w:val="105"/>
        </w:rPr>
        <w:t xml:space="preserve"> </w:t>
      </w:r>
      <w:r w:rsidRPr="009F06AF">
        <w:rPr>
          <w:rFonts w:cstheme="minorHAnsi"/>
          <w:color w:val="231F20"/>
          <w:w w:val="105"/>
        </w:rPr>
        <w:t>participation</w:t>
      </w:r>
      <w:r w:rsidRPr="009F06AF">
        <w:rPr>
          <w:rFonts w:cstheme="minorHAnsi"/>
          <w:color w:val="231F20"/>
          <w:spacing w:val="14"/>
          <w:w w:val="105"/>
        </w:rPr>
        <w:t xml:space="preserve"> </w:t>
      </w:r>
      <w:r w:rsidRPr="009F06AF">
        <w:rPr>
          <w:rFonts w:cstheme="minorHAnsi"/>
          <w:color w:val="231F20"/>
          <w:w w:val="105"/>
        </w:rPr>
        <w:t>in</w:t>
      </w:r>
      <w:r w:rsidRPr="009F06AF">
        <w:rPr>
          <w:rFonts w:cstheme="minorHAnsi"/>
          <w:color w:val="231F20"/>
          <w:w w:val="102"/>
        </w:rPr>
        <w:t xml:space="preserve"> </w:t>
      </w:r>
      <w:r w:rsidRPr="009F06AF">
        <w:rPr>
          <w:rFonts w:cstheme="minorHAnsi"/>
          <w:color w:val="231F20"/>
          <w:w w:val="105"/>
        </w:rPr>
        <w:t>state-level</w:t>
      </w:r>
      <w:r w:rsidRPr="009F06AF">
        <w:rPr>
          <w:rFonts w:cstheme="minorHAnsi"/>
          <w:color w:val="231F20"/>
          <w:spacing w:val="13"/>
          <w:w w:val="105"/>
        </w:rPr>
        <w:t xml:space="preserve"> </w:t>
      </w:r>
      <w:r w:rsidRPr="009F06AF">
        <w:rPr>
          <w:rFonts w:cstheme="minorHAnsi"/>
          <w:color w:val="231F20"/>
          <w:w w:val="105"/>
        </w:rPr>
        <w:t>policy</w:t>
      </w:r>
      <w:r w:rsidRPr="009F06AF">
        <w:rPr>
          <w:rFonts w:cstheme="minorHAnsi"/>
          <w:color w:val="231F20"/>
          <w:spacing w:val="13"/>
          <w:w w:val="105"/>
        </w:rPr>
        <w:t xml:space="preserve"> </w:t>
      </w:r>
      <w:r w:rsidRPr="009F06AF">
        <w:rPr>
          <w:rFonts w:cstheme="minorHAnsi"/>
          <w:color w:val="231F20"/>
          <w:w w:val="105"/>
        </w:rPr>
        <w:t>development</w:t>
      </w:r>
      <w:r w:rsidRPr="009F06AF">
        <w:rPr>
          <w:rFonts w:cstheme="minorHAnsi"/>
          <w:color w:val="231F20"/>
          <w:spacing w:val="13"/>
          <w:w w:val="105"/>
        </w:rPr>
        <w:t xml:space="preserve"> </w:t>
      </w:r>
      <w:r w:rsidRPr="009F06AF">
        <w:rPr>
          <w:rFonts w:cstheme="minorHAnsi"/>
          <w:color w:val="231F20"/>
          <w:w w:val="105"/>
        </w:rPr>
        <w:t>activities,</w:t>
      </w:r>
      <w:r w:rsidRPr="009F06AF">
        <w:rPr>
          <w:rFonts w:cstheme="minorHAnsi"/>
          <w:color w:val="231F20"/>
          <w:spacing w:val="13"/>
          <w:w w:val="105"/>
        </w:rPr>
        <w:t xml:space="preserve"> </w:t>
      </w:r>
      <w:r w:rsidRPr="009F06AF">
        <w:rPr>
          <w:rFonts w:cstheme="minorHAnsi"/>
          <w:color w:val="231F20"/>
          <w:w w:val="105"/>
        </w:rPr>
        <w:t>formally</w:t>
      </w:r>
      <w:r w:rsidRPr="009F06AF">
        <w:rPr>
          <w:rFonts w:cstheme="minorHAnsi"/>
          <w:color w:val="231F20"/>
          <w:spacing w:val="13"/>
          <w:w w:val="105"/>
        </w:rPr>
        <w:t xml:space="preserve"> </w:t>
      </w:r>
      <w:r w:rsidRPr="009F06AF">
        <w:rPr>
          <w:rFonts w:cstheme="minorHAnsi"/>
          <w:color w:val="231F20"/>
          <w:w w:val="105"/>
        </w:rPr>
        <w:t>promulgated</w:t>
      </w:r>
      <w:r w:rsidRPr="009F06AF">
        <w:rPr>
          <w:rFonts w:cstheme="minorHAnsi"/>
          <w:color w:val="231F20"/>
          <w:spacing w:val="13"/>
          <w:w w:val="105"/>
        </w:rPr>
        <w:t xml:space="preserve"> </w:t>
      </w:r>
      <w:r w:rsidRPr="009F06AF">
        <w:rPr>
          <w:rFonts w:cstheme="minorHAnsi"/>
          <w:color w:val="231F20"/>
          <w:w w:val="105"/>
        </w:rPr>
        <w:t>and</w:t>
      </w:r>
      <w:r w:rsidRPr="009F06AF">
        <w:rPr>
          <w:rFonts w:cstheme="minorHAnsi"/>
          <w:color w:val="231F20"/>
          <w:spacing w:val="13"/>
          <w:w w:val="105"/>
        </w:rPr>
        <w:t xml:space="preserve"> </w:t>
      </w:r>
      <w:r w:rsidRPr="009F06AF">
        <w:rPr>
          <w:rFonts w:cstheme="minorHAnsi"/>
          <w:color w:val="231F20"/>
          <w:w w:val="105"/>
        </w:rPr>
        <w:t>documented</w:t>
      </w:r>
      <w:r w:rsidRPr="009F06AF">
        <w:rPr>
          <w:rFonts w:cstheme="minorHAnsi"/>
          <w:color w:val="231F20"/>
          <w:spacing w:val="13"/>
          <w:w w:val="105"/>
        </w:rPr>
        <w:t xml:space="preserve"> </w:t>
      </w:r>
      <w:r w:rsidRPr="009F06AF">
        <w:rPr>
          <w:rFonts w:cstheme="minorHAnsi"/>
          <w:color w:val="231F20"/>
          <w:w w:val="105"/>
        </w:rPr>
        <w:t>in</w:t>
      </w:r>
      <w:r w:rsidRPr="009F06AF">
        <w:rPr>
          <w:rFonts w:cstheme="minorHAnsi"/>
          <w:color w:val="231F20"/>
          <w:spacing w:val="13"/>
          <w:w w:val="105"/>
        </w:rPr>
        <w:t xml:space="preserve"> </w:t>
      </w:r>
      <w:r w:rsidRPr="009F06AF">
        <w:rPr>
          <w:rFonts w:cstheme="minorHAnsi"/>
          <w:color w:val="231F20"/>
          <w:w w:val="105"/>
        </w:rPr>
        <w:t>a</w:t>
      </w:r>
      <w:r w:rsidRPr="009F06AF">
        <w:rPr>
          <w:rFonts w:cstheme="minorHAnsi"/>
          <w:color w:val="231F20"/>
          <w:spacing w:val="13"/>
          <w:w w:val="105"/>
        </w:rPr>
        <w:t xml:space="preserve"> </w:t>
      </w:r>
      <w:r w:rsidRPr="009F06AF">
        <w:rPr>
          <w:rFonts w:cstheme="minorHAnsi"/>
          <w:color w:val="231F20"/>
          <w:w w:val="105"/>
        </w:rPr>
        <w:t>series</w:t>
      </w:r>
      <w:r w:rsidRPr="009F06AF">
        <w:rPr>
          <w:rFonts w:cstheme="minorHAnsi"/>
          <w:color w:val="231F20"/>
          <w:spacing w:val="13"/>
          <w:w w:val="105"/>
        </w:rPr>
        <w:t xml:space="preserve"> </w:t>
      </w:r>
      <w:r w:rsidRPr="009F06AF">
        <w:rPr>
          <w:rFonts w:cstheme="minorHAnsi"/>
          <w:color w:val="231F20"/>
          <w:w w:val="105"/>
        </w:rPr>
        <w:t>of</w:t>
      </w:r>
      <w:r w:rsidRPr="009F06AF">
        <w:rPr>
          <w:rFonts w:cstheme="minorHAnsi"/>
          <w:color w:val="231F20"/>
          <w:spacing w:val="13"/>
          <w:w w:val="105"/>
        </w:rPr>
        <w:t xml:space="preserve"> </w:t>
      </w:r>
      <w:r w:rsidR="00FE0357" w:rsidRPr="009F06AF">
        <w:rPr>
          <w:rFonts w:cstheme="minorHAnsi"/>
          <w:color w:val="231F20"/>
          <w:spacing w:val="13"/>
          <w:w w:val="105"/>
        </w:rPr>
        <w:t>administrative g</w:t>
      </w:r>
      <w:r w:rsidRPr="009F06AF">
        <w:rPr>
          <w:rFonts w:cstheme="minorHAnsi"/>
          <w:color w:val="231F20"/>
          <w:w w:val="105"/>
        </w:rPr>
        <w:t>uidance</w:t>
      </w:r>
      <w:r w:rsidRPr="009F06AF">
        <w:rPr>
          <w:rFonts w:cstheme="minorHAnsi"/>
          <w:color w:val="231F20"/>
          <w:spacing w:val="-25"/>
          <w:w w:val="105"/>
        </w:rPr>
        <w:t xml:space="preserve"> </w:t>
      </w:r>
      <w:r w:rsidR="00FE0357" w:rsidRPr="009F06AF">
        <w:rPr>
          <w:rFonts w:cstheme="minorHAnsi"/>
          <w:color w:val="231F20"/>
          <w:spacing w:val="-25"/>
          <w:w w:val="105"/>
        </w:rPr>
        <w:t>p</w:t>
      </w:r>
      <w:r w:rsidRPr="009F06AF">
        <w:rPr>
          <w:rFonts w:cstheme="minorHAnsi"/>
          <w:color w:val="231F20"/>
          <w:w w:val="105"/>
        </w:rPr>
        <w:t>apers</w:t>
      </w:r>
      <w:r w:rsidRPr="009F06AF">
        <w:rPr>
          <w:rFonts w:cstheme="minorHAnsi"/>
          <w:color w:val="231F20"/>
          <w:spacing w:val="15"/>
          <w:w w:val="105"/>
        </w:rPr>
        <w:t xml:space="preserve"> </w:t>
      </w:r>
      <w:r w:rsidRPr="009F06AF">
        <w:rPr>
          <w:rFonts w:cstheme="minorHAnsi"/>
          <w:color w:val="231F20"/>
          <w:w w:val="105"/>
        </w:rPr>
        <w:t>developed</w:t>
      </w:r>
      <w:r w:rsidRPr="009F06AF">
        <w:rPr>
          <w:rFonts w:cstheme="minorHAnsi"/>
          <w:color w:val="231F20"/>
          <w:spacing w:val="15"/>
          <w:w w:val="105"/>
        </w:rPr>
        <w:t xml:space="preserve"> </w:t>
      </w:r>
      <w:r w:rsidRPr="009F06AF">
        <w:rPr>
          <w:rFonts w:cstheme="minorHAnsi"/>
          <w:color w:val="231F20"/>
          <w:w w:val="105"/>
        </w:rPr>
        <w:t>by</w:t>
      </w:r>
      <w:r w:rsidRPr="009F06AF">
        <w:rPr>
          <w:rFonts w:cstheme="minorHAnsi"/>
          <w:color w:val="231F20"/>
          <w:spacing w:val="15"/>
          <w:w w:val="105"/>
        </w:rPr>
        <w:t xml:space="preserve"> </w:t>
      </w:r>
      <w:r w:rsidRPr="009F06AF">
        <w:rPr>
          <w:rFonts w:cstheme="minorHAnsi"/>
          <w:color w:val="231F20"/>
          <w:w w:val="105"/>
        </w:rPr>
        <w:t>DEO.</w:t>
      </w:r>
      <w:r w:rsidRPr="009F06AF">
        <w:rPr>
          <w:rFonts w:cstheme="minorHAnsi"/>
          <w:color w:val="231F20"/>
          <w:spacing w:val="15"/>
          <w:w w:val="105"/>
        </w:rPr>
        <w:t xml:space="preserve"> </w:t>
      </w:r>
      <w:r w:rsidRPr="009F06AF">
        <w:rPr>
          <w:rFonts w:cstheme="minorHAnsi"/>
          <w:color w:val="231F20"/>
          <w:w w:val="105"/>
        </w:rPr>
        <w:t>These</w:t>
      </w:r>
      <w:r w:rsidRPr="009F06AF">
        <w:rPr>
          <w:rFonts w:cstheme="minorHAnsi"/>
          <w:color w:val="231F20"/>
          <w:spacing w:val="15"/>
          <w:w w:val="105"/>
        </w:rPr>
        <w:t xml:space="preserve"> </w:t>
      </w:r>
      <w:r w:rsidRPr="009F06AF">
        <w:rPr>
          <w:rFonts w:cstheme="minorHAnsi"/>
          <w:color w:val="231F20"/>
          <w:w w:val="105"/>
        </w:rPr>
        <w:t>policy</w:t>
      </w:r>
      <w:r w:rsidRPr="009F06AF">
        <w:rPr>
          <w:rFonts w:cstheme="minorHAnsi"/>
          <w:color w:val="231F20"/>
          <w:spacing w:val="15"/>
          <w:w w:val="105"/>
        </w:rPr>
        <w:t xml:space="preserve"> </w:t>
      </w:r>
      <w:r w:rsidRPr="009F06AF">
        <w:rPr>
          <w:rFonts w:cstheme="minorHAnsi"/>
          <w:color w:val="231F20"/>
          <w:w w:val="105"/>
        </w:rPr>
        <w:t>documents</w:t>
      </w:r>
      <w:r w:rsidRPr="009F06AF">
        <w:rPr>
          <w:rFonts w:cstheme="minorHAnsi"/>
          <w:color w:val="231F20"/>
          <w:spacing w:val="15"/>
          <w:w w:val="105"/>
        </w:rPr>
        <w:t xml:space="preserve"> </w:t>
      </w:r>
      <w:r w:rsidRPr="009F06AF">
        <w:rPr>
          <w:rFonts w:cstheme="minorHAnsi"/>
          <w:color w:val="231F20"/>
          <w:w w:val="105"/>
        </w:rPr>
        <w:t>are</w:t>
      </w:r>
      <w:r w:rsidRPr="009F06AF">
        <w:rPr>
          <w:rFonts w:cstheme="minorHAnsi"/>
          <w:color w:val="231F20"/>
          <w:spacing w:val="15"/>
          <w:w w:val="105"/>
        </w:rPr>
        <w:t xml:space="preserve"> </w:t>
      </w:r>
      <w:r w:rsidR="00086DA7" w:rsidRPr="009F06AF">
        <w:rPr>
          <w:rFonts w:cstheme="minorHAnsi"/>
          <w:color w:val="231F20"/>
          <w:w w:val="105"/>
        </w:rPr>
        <w:t xml:space="preserve">evaluated </w:t>
      </w:r>
      <w:r w:rsidRPr="009F06AF">
        <w:rPr>
          <w:rFonts w:cstheme="minorHAnsi"/>
          <w:color w:val="231F20"/>
          <w:w w:val="105"/>
        </w:rPr>
        <w:t>by</w:t>
      </w:r>
      <w:r w:rsidRPr="009F06AF">
        <w:rPr>
          <w:rFonts w:cstheme="minorHAnsi"/>
          <w:color w:val="231F20"/>
          <w:spacing w:val="15"/>
          <w:w w:val="105"/>
        </w:rPr>
        <w:t xml:space="preserve"> </w:t>
      </w:r>
      <w:r w:rsidRPr="009F06AF">
        <w:rPr>
          <w:rFonts w:cstheme="minorHAnsi"/>
          <w:color w:val="231F20"/>
          <w:w w:val="105"/>
        </w:rPr>
        <w:t>state</w:t>
      </w:r>
      <w:r w:rsidRPr="009F06AF">
        <w:rPr>
          <w:rFonts w:cstheme="minorHAnsi"/>
          <w:color w:val="231F20"/>
          <w:spacing w:val="15"/>
          <w:w w:val="105"/>
        </w:rPr>
        <w:t xml:space="preserve"> </w:t>
      </w:r>
      <w:r w:rsidRPr="009F06AF">
        <w:rPr>
          <w:rFonts w:cstheme="minorHAnsi"/>
          <w:color w:val="231F20"/>
          <w:w w:val="105"/>
        </w:rPr>
        <w:t>and</w:t>
      </w:r>
      <w:r w:rsidRPr="009F06AF">
        <w:rPr>
          <w:rFonts w:cstheme="minorHAnsi"/>
          <w:color w:val="231F20"/>
          <w:spacing w:val="15"/>
          <w:w w:val="105"/>
        </w:rPr>
        <w:t xml:space="preserve"> </w:t>
      </w:r>
      <w:r w:rsidRPr="009F06AF">
        <w:rPr>
          <w:rFonts w:cstheme="minorHAnsi"/>
          <w:color w:val="231F20"/>
          <w:w w:val="105"/>
        </w:rPr>
        <w:t>local</w:t>
      </w:r>
      <w:r w:rsidRPr="009F06AF">
        <w:rPr>
          <w:rFonts w:cstheme="minorHAnsi"/>
          <w:color w:val="231F20"/>
          <w:spacing w:val="15"/>
          <w:w w:val="105"/>
        </w:rPr>
        <w:t xml:space="preserve"> </w:t>
      </w:r>
      <w:r w:rsidRPr="009F06AF">
        <w:rPr>
          <w:rFonts w:cstheme="minorHAnsi"/>
          <w:color w:val="231F20"/>
          <w:w w:val="105"/>
        </w:rPr>
        <w:t>partners</w:t>
      </w:r>
      <w:r w:rsidRPr="009F06AF">
        <w:rPr>
          <w:rFonts w:cstheme="minorHAnsi"/>
          <w:color w:val="231F20"/>
          <w:spacing w:val="15"/>
          <w:w w:val="105"/>
        </w:rPr>
        <w:t xml:space="preserve"> </w:t>
      </w:r>
      <w:r w:rsidRPr="009F06AF">
        <w:rPr>
          <w:rFonts w:cstheme="minorHAnsi"/>
          <w:color w:val="231F20"/>
          <w:w w:val="105"/>
        </w:rPr>
        <w:t>before</w:t>
      </w:r>
      <w:r w:rsidRPr="009F06AF">
        <w:rPr>
          <w:rFonts w:cstheme="minorHAnsi"/>
          <w:color w:val="231F20"/>
          <w:spacing w:val="15"/>
          <w:w w:val="105"/>
        </w:rPr>
        <w:t xml:space="preserve"> </w:t>
      </w:r>
      <w:r w:rsidRPr="009F06AF">
        <w:rPr>
          <w:rFonts w:cstheme="minorHAnsi"/>
          <w:color w:val="231F20"/>
          <w:w w:val="105"/>
        </w:rPr>
        <w:t>final</w:t>
      </w:r>
      <w:r w:rsidRPr="009F06AF">
        <w:rPr>
          <w:rFonts w:cstheme="minorHAnsi"/>
          <w:color w:val="231F20"/>
          <w:spacing w:val="12"/>
          <w:w w:val="105"/>
        </w:rPr>
        <w:t xml:space="preserve"> </w:t>
      </w:r>
      <w:r w:rsidRPr="009F06AF">
        <w:rPr>
          <w:rFonts w:cstheme="minorHAnsi"/>
          <w:color w:val="231F20"/>
          <w:w w:val="105"/>
        </w:rPr>
        <w:t>issuance. This policy and administrative information can be found at:</w:t>
      </w:r>
    </w:p>
    <w:p w14:paraId="1655190C" w14:textId="77777777" w:rsidR="00EA7458" w:rsidRPr="00704DA7" w:rsidRDefault="00BC1D20" w:rsidP="00D63204">
      <w:pPr>
        <w:widowControl w:val="0"/>
        <w:spacing w:before="1" w:after="0" w:line="240" w:lineRule="auto"/>
        <w:ind w:left="107"/>
        <w:rPr>
          <w:rStyle w:val="Hyperlink"/>
          <w:rFonts w:cstheme="minorHAnsi"/>
          <w:w w:val="105"/>
        </w:rPr>
      </w:pPr>
      <w:hyperlink r:id="rId145">
        <w:r w:rsidR="00EA7458" w:rsidRPr="00704DA7">
          <w:rPr>
            <w:rStyle w:val="Hyperlink"/>
            <w:rFonts w:cstheme="minorHAnsi"/>
          </w:rPr>
          <w:t>http://www.floridajobs.org/workforce-board-resources/policy-and-guidance/guidance-papers</w:t>
        </w:r>
      </w:hyperlink>
      <w:r w:rsidR="00EA7458" w:rsidRPr="00704DA7">
        <w:rPr>
          <w:rStyle w:val="Hyperlink"/>
          <w:rFonts w:cstheme="minorHAnsi"/>
        </w:rPr>
        <w:t>.</w:t>
      </w:r>
    </w:p>
    <w:p w14:paraId="59AEA192" w14:textId="75CB5644" w:rsidR="00EA7458" w:rsidRPr="009F06AF" w:rsidRDefault="00EA7458" w:rsidP="00D63204">
      <w:pPr>
        <w:widowControl w:val="0"/>
        <w:spacing w:before="193" w:after="0" w:line="264" w:lineRule="exact"/>
        <w:ind w:left="107"/>
        <w:rPr>
          <w:rFonts w:cstheme="minorHAnsi"/>
        </w:rPr>
      </w:pPr>
      <w:r w:rsidRPr="009F06AF">
        <w:rPr>
          <w:rFonts w:cstheme="minorHAnsi"/>
          <w:color w:val="231F20"/>
          <w:w w:val="105"/>
        </w:rPr>
        <w:t>Programmatic</w:t>
      </w:r>
      <w:r w:rsidRPr="009F06AF">
        <w:rPr>
          <w:rFonts w:cstheme="minorHAnsi"/>
          <w:color w:val="231F20"/>
          <w:spacing w:val="9"/>
          <w:w w:val="105"/>
        </w:rPr>
        <w:t xml:space="preserve"> </w:t>
      </w:r>
      <w:r w:rsidRPr="009F06AF">
        <w:rPr>
          <w:rFonts w:cstheme="minorHAnsi"/>
          <w:color w:val="231F20"/>
          <w:w w:val="105"/>
        </w:rPr>
        <w:t>and</w:t>
      </w:r>
      <w:r w:rsidRPr="009F06AF">
        <w:rPr>
          <w:rFonts w:cstheme="minorHAnsi"/>
          <w:color w:val="231F20"/>
          <w:spacing w:val="9"/>
          <w:w w:val="105"/>
        </w:rPr>
        <w:t xml:space="preserve"> </w:t>
      </w:r>
      <w:r w:rsidRPr="009F06AF">
        <w:rPr>
          <w:rFonts w:cstheme="minorHAnsi"/>
          <w:color w:val="231F20"/>
          <w:w w:val="105"/>
        </w:rPr>
        <w:t>administrative</w:t>
      </w:r>
      <w:r w:rsidRPr="009F06AF">
        <w:rPr>
          <w:rFonts w:cstheme="minorHAnsi"/>
          <w:color w:val="231F20"/>
          <w:spacing w:val="9"/>
          <w:w w:val="105"/>
        </w:rPr>
        <w:t xml:space="preserve"> </w:t>
      </w:r>
      <w:r w:rsidRPr="009F06AF">
        <w:rPr>
          <w:rFonts w:cstheme="minorHAnsi"/>
          <w:color w:val="231F20"/>
          <w:w w:val="105"/>
        </w:rPr>
        <w:t>requirements</w:t>
      </w:r>
      <w:r w:rsidRPr="009F06AF">
        <w:rPr>
          <w:rFonts w:cstheme="minorHAnsi"/>
          <w:color w:val="231F20"/>
          <w:spacing w:val="9"/>
          <w:w w:val="105"/>
        </w:rPr>
        <w:t xml:space="preserve"> </w:t>
      </w:r>
      <w:r w:rsidRPr="009F06AF">
        <w:rPr>
          <w:rFonts w:cstheme="minorHAnsi"/>
          <w:color w:val="231F20"/>
          <w:w w:val="105"/>
        </w:rPr>
        <w:t>are</w:t>
      </w:r>
      <w:r w:rsidRPr="009F06AF">
        <w:rPr>
          <w:rFonts w:cstheme="minorHAnsi"/>
          <w:color w:val="231F20"/>
          <w:spacing w:val="9"/>
          <w:w w:val="105"/>
        </w:rPr>
        <w:t xml:space="preserve"> </w:t>
      </w:r>
      <w:r w:rsidR="00086DA7" w:rsidRPr="009F06AF">
        <w:rPr>
          <w:rFonts w:cstheme="minorHAnsi"/>
          <w:color w:val="231F20"/>
          <w:w w:val="105"/>
        </w:rPr>
        <w:t xml:space="preserve">described </w:t>
      </w:r>
      <w:r w:rsidRPr="009F06AF">
        <w:rPr>
          <w:rFonts w:cstheme="minorHAnsi"/>
          <w:color w:val="231F20"/>
          <w:w w:val="105"/>
        </w:rPr>
        <w:t>in</w:t>
      </w:r>
      <w:r w:rsidRPr="009F06AF">
        <w:rPr>
          <w:rFonts w:cstheme="minorHAnsi"/>
          <w:color w:val="231F20"/>
          <w:spacing w:val="9"/>
          <w:w w:val="105"/>
        </w:rPr>
        <w:t xml:space="preserve"> </w:t>
      </w:r>
      <w:r w:rsidRPr="009F06AF">
        <w:rPr>
          <w:rFonts w:cstheme="minorHAnsi"/>
          <w:color w:val="231F20"/>
          <w:w w:val="105"/>
        </w:rPr>
        <w:t>a</w:t>
      </w:r>
      <w:r w:rsidRPr="009F06AF">
        <w:rPr>
          <w:rFonts w:cstheme="minorHAnsi"/>
          <w:color w:val="231F20"/>
          <w:spacing w:val="9"/>
          <w:w w:val="105"/>
        </w:rPr>
        <w:t xml:space="preserve"> </w:t>
      </w:r>
      <w:r w:rsidRPr="009F06AF">
        <w:rPr>
          <w:rFonts w:cstheme="minorHAnsi"/>
          <w:color w:val="231F20"/>
          <w:w w:val="105"/>
        </w:rPr>
        <w:t>Grantee-Sub-</w:t>
      </w:r>
      <w:r w:rsidR="00D27D26" w:rsidRPr="009F06AF">
        <w:rPr>
          <w:rFonts w:cstheme="minorHAnsi"/>
          <w:color w:val="231F20"/>
          <w:w w:val="105"/>
        </w:rPr>
        <w:t>Grantee</w:t>
      </w:r>
      <w:r w:rsidRPr="009F06AF">
        <w:rPr>
          <w:rFonts w:cstheme="minorHAnsi"/>
          <w:color w:val="231F20"/>
          <w:spacing w:val="9"/>
          <w:w w:val="105"/>
        </w:rPr>
        <w:t xml:space="preserve"> </w:t>
      </w:r>
      <w:r w:rsidRPr="009F06AF">
        <w:rPr>
          <w:rFonts w:cstheme="minorHAnsi"/>
          <w:color w:val="231F20"/>
          <w:w w:val="105"/>
        </w:rPr>
        <w:t>Agreement</w:t>
      </w:r>
      <w:r w:rsidRPr="009F06AF">
        <w:rPr>
          <w:rFonts w:cstheme="minorHAnsi"/>
          <w:color w:val="231F20"/>
          <w:spacing w:val="-18"/>
          <w:w w:val="105"/>
        </w:rPr>
        <w:t xml:space="preserve"> </w:t>
      </w:r>
      <w:r w:rsidRPr="009F06AF">
        <w:rPr>
          <w:rFonts w:cstheme="minorHAnsi"/>
          <w:color w:val="231F20"/>
          <w:w w:val="105"/>
        </w:rPr>
        <w:t>executed</w:t>
      </w:r>
      <w:r w:rsidRPr="009F06AF">
        <w:rPr>
          <w:rFonts w:cstheme="minorHAnsi"/>
          <w:color w:val="231F20"/>
          <w:spacing w:val="15"/>
          <w:w w:val="105"/>
        </w:rPr>
        <w:t xml:space="preserve"> </w:t>
      </w:r>
      <w:r w:rsidRPr="009F06AF">
        <w:rPr>
          <w:rFonts w:cstheme="minorHAnsi"/>
          <w:color w:val="231F20"/>
          <w:w w:val="105"/>
        </w:rPr>
        <w:t>by</w:t>
      </w:r>
      <w:r w:rsidRPr="009F06AF">
        <w:rPr>
          <w:rFonts w:cstheme="minorHAnsi"/>
          <w:color w:val="231F20"/>
          <w:spacing w:val="15"/>
          <w:w w:val="105"/>
        </w:rPr>
        <w:t xml:space="preserve"> </w:t>
      </w:r>
      <w:r w:rsidRPr="009F06AF">
        <w:rPr>
          <w:rFonts w:cstheme="minorHAnsi"/>
          <w:color w:val="231F20"/>
          <w:w w:val="105"/>
        </w:rPr>
        <w:t>DEO</w:t>
      </w:r>
      <w:r w:rsidRPr="009F06AF">
        <w:rPr>
          <w:rFonts w:cstheme="minorHAnsi"/>
          <w:color w:val="231F20"/>
          <w:spacing w:val="15"/>
          <w:w w:val="105"/>
        </w:rPr>
        <w:t xml:space="preserve"> </w:t>
      </w:r>
      <w:r w:rsidRPr="009F06AF">
        <w:rPr>
          <w:rFonts w:cstheme="minorHAnsi"/>
          <w:color w:val="231F20"/>
          <w:w w:val="105"/>
        </w:rPr>
        <w:t>and</w:t>
      </w:r>
      <w:r w:rsidRPr="009F06AF">
        <w:rPr>
          <w:rFonts w:cstheme="minorHAnsi"/>
          <w:color w:val="231F20"/>
          <w:spacing w:val="15"/>
          <w:w w:val="105"/>
        </w:rPr>
        <w:t xml:space="preserve"> </w:t>
      </w:r>
      <w:r w:rsidRPr="009F06AF">
        <w:rPr>
          <w:rFonts w:cstheme="minorHAnsi"/>
          <w:color w:val="231F20"/>
          <w:w w:val="105"/>
        </w:rPr>
        <w:t>each</w:t>
      </w:r>
      <w:r w:rsidRPr="009F06AF">
        <w:rPr>
          <w:rFonts w:cstheme="minorHAnsi"/>
          <w:color w:val="231F20"/>
          <w:spacing w:val="15"/>
          <w:w w:val="105"/>
        </w:rPr>
        <w:t xml:space="preserve"> </w:t>
      </w:r>
      <w:r w:rsidRPr="009F06AF">
        <w:rPr>
          <w:rFonts w:cstheme="minorHAnsi"/>
          <w:color w:val="231F20"/>
          <w:w w:val="105"/>
        </w:rPr>
        <w:t>local</w:t>
      </w:r>
      <w:r w:rsidRPr="009F06AF">
        <w:rPr>
          <w:rFonts w:cstheme="minorHAnsi"/>
          <w:color w:val="231F20"/>
          <w:spacing w:val="15"/>
          <w:w w:val="105"/>
        </w:rPr>
        <w:t xml:space="preserve"> </w:t>
      </w:r>
      <w:r w:rsidRPr="009F06AF">
        <w:rPr>
          <w:rFonts w:cstheme="minorHAnsi"/>
          <w:color w:val="231F20"/>
          <w:w w:val="105"/>
        </w:rPr>
        <w:t>workforce</w:t>
      </w:r>
      <w:r w:rsidRPr="009F06AF">
        <w:rPr>
          <w:rFonts w:cstheme="minorHAnsi"/>
          <w:color w:val="231F20"/>
          <w:spacing w:val="15"/>
          <w:w w:val="105"/>
        </w:rPr>
        <w:t xml:space="preserve"> </w:t>
      </w:r>
      <w:r w:rsidR="00086DA7" w:rsidRPr="009F06AF">
        <w:rPr>
          <w:rFonts w:cstheme="minorHAnsi"/>
          <w:color w:val="231F20"/>
          <w:spacing w:val="15"/>
          <w:w w:val="105"/>
        </w:rPr>
        <w:t xml:space="preserve">development </w:t>
      </w:r>
      <w:r w:rsidRPr="009F06AF">
        <w:rPr>
          <w:rFonts w:cstheme="minorHAnsi"/>
          <w:color w:val="231F20"/>
          <w:w w:val="105"/>
        </w:rPr>
        <w:t>board</w:t>
      </w:r>
      <w:r w:rsidRPr="009F06AF">
        <w:rPr>
          <w:rFonts w:cstheme="minorHAnsi"/>
          <w:color w:val="231F20"/>
          <w:spacing w:val="15"/>
          <w:w w:val="105"/>
        </w:rPr>
        <w:t xml:space="preserve"> </w:t>
      </w:r>
      <w:r w:rsidRPr="009F06AF">
        <w:rPr>
          <w:rFonts w:cstheme="minorHAnsi"/>
          <w:color w:val="231F20"/>
          <w:w w:val="105"/>
        </w:rPr>
        <w:t>requiring</w:t>
      </w:r>
      <w:r w:rsidRPr="009F06AF">
        <w:rPr>
          <w:rFonts w:cstheme="minorHAnsi"/>
          <w:color w:val="231F20"/>
          <w:spacing w:val="15"/>
          <w:w w:val="105"/>
        </w:rPr>
        <w:t xml:space="preserve"> </w:t>
      </w:r>
      <w:r w:rsidRPr="009F06AF">
        <w:rPr>
          <w:rFonts w:cstheme="minorHAnsi"/>
          <w:color w:val="231F20"/>
          <w:w w:val="105"/>
        </w:rPr>
        <w:t>their</w:t>
      </w:r>
      <w:r w:rsidRPr="009F06AF">
        <w:rPr>
          <w:rFonts w:cstheme="minorHAnsi"/>
          <w:color w:val="231F20"/>
          <w:spacing w:val="15"/>
          <w:w w:val="105"/>
        </w:rPr>
        <w:t xml:space="preserve"> </w:t>
      </w:r>
      <w:r w:rsidRPr="009F06AF">
        <w:rPr>
          <w:rFonts w:cstheme="minorHAnsi"/>
          <w:color w:val="231F20"/>
          <w:w w:val="105"/>
        </w:rPr>
        <w:t>compliance</w:t>
      </w:r>
      <w:r w:rsidRPr="009F06AF">
        <w:rPr>
          <w:rFonts w:cstheme="minorHAnsi"/>
          <w:color w:val="231F20"/>
          <w:spacing w:val="15"/>
          <w:w w:val="105"/>
        </w:rPr>
        <w:t xml:space="preserve"> </w:t>
      </w:r>
      <w:r w:rsidRPr="009F06AF">
        <w:rPr>
          <w:rFonts w:cstheme="minorHAnsi"/>
          <w:color w:val="231F20"/>
          <w:w w:val="105"/>
        </w:rPr>
        <w:t>with</w:t>
      </w:r>
      <w:r w:rsidRPr="009F06AF">
        <w:rPr>
          <w:rFonts w:cstheme="minorHAnsi"/>
          <w:color w:val="231F20"/>
          <w:spacing w:val="15"/>
          <w:w w:val="105"/>
        </w:rPr>
        <w:t xml:space="preserve"> </w:t>
      </w:r>
      <w:r w:rsidRPr="009F06AF">
        <w:rPr>
          <w:rFonts w:cstheme="minorHAnsi"/>
          <w:color w:val="231F20"/>
          <w:w w:val="105"/>
        </w:rPr>
        <w:t>all</w:t>
      </w:r>
      <w:r w:rsidRPr="009F06AF">
        <w:rPr>
          <w:rFonts w:cstheme="minorHAnsi"/>
          <w:color w:val="231F20"/>
          <w:spacing w:val="15"/>
          <w:w w:val="105"/>
        </w:rPr>
        <w:t xml:space="preserve"> </w:t>
      </w:r>
      <w:r w:rsidRPr="009F06AF">
        <w:rPr>
          <w:rFonts w:cstheme="minorHAnsi"/>
          <w:color w:val="231F20"/>
          <w:w w:val="105"/>
        </w:rPr>
        <w:t>federal</w:t>
      </w:r>
      <w:r w:rsidRPr="009F06AF">
        <w:rPr>
          <w:rFonts w:cstheme="minorHAnsi"/>
          <w:color w:val="231F20"/>
          <w:spacing w:val="15"/>
          <w:w w:val="105"/>
        </w:rPr>
        <w:t xml:space="preserve"> </w:t>
      </w:r>
      <w:r w:rsidRPr="009F06AF">
        <w:rPr>
          <w:rFonts w:cstheme="minorHAnsi"/>
          <w:color w:val="231F20"/>
          <w:w w:val="105"/>
        </w:rPr>
        <w:t>and</w:t>
      </w:r>
      <w:r w:rsidRPr="009F06AF">
        <w:rPr>
          <w:rFonts w:cstheme="minorHAnsi"/>
          <w:color w:val="231F20"/>
          <w:spacing w:val="15"/>
          <w:w w:val="105"/>
        </w:rPr>
        <w:t xml:space="preserve"> </w:t>
      </w:r>
      <w:r w:rsidRPr="009F06AF">
        <w:rPr>
          <w:rFonts w:cstheme="minorHAnsi"/>
          <w:color w:val="231F20"/>
          <w:w w:val="105"/>
        </w:rPr>
        <w:t>state laws, regulations and any special state requirements.</w:t>
      </w:r>
    </w:p>
    <w:p w14:paraId="1B79516E" w14:textId="77777777" w:rsidR="00EA7458" w:rsidRPr="009F06AF" w:rsidRDefault="00EA7458" w:rsidP="00D63204">
      <w:pPr>
        <w:widowControl w:val="0"/>
        <w:spacing w:before="6" w:after="0" w:line="240" w:lineRule="auto"/>
        <w:ind w:left="107"/>
        <w:rPr>
          <w:rFonts w:cstheme="minorHAnsi"/>
          <w:sz w:val="16"/>
          <w:szCs w:val="16"/>
        </w:rPr>
      </w:pPr>
    </w:p>
    <w:p w14:paraId="1835B850" w14:textId="77777777" w:rsidR="00EA7458" w:rsidRPr="009F06AF" w:rsidRDefault="00EA7458" w:rsidP="00D63204">
      <w:pPr>
        <w:widowControl w:val="0"/>
        <w:spacing w:after="0" w:line="240" w:lineRule="auto"/>
        <w:ind w:left="107"/>
        <w:rPr>
          <w:rFonts w:cstheme="minorHAnsi"/>
        </w:rPr>
      </w:pPr>
      <w:r w:rsidRPr="009F06AF">
        <w:rPr>
          <w:rFonts w:cstheme="minorHAnsi"/>
          <w:color w:val="231F20"/>
          <w:w w:val="105"/>
        </w:rPr>
        <w:t>State Policy Guidance</w:t>
      </w:r>
      <w:r w:rsidRPr="009F06AF">
        <w:rPr>
          <w:rFonts w:cstheme="minorHAnsi"/>
          <w:color w:val="231F20"/>
          <w:spacing w:val="34"/>
          <w:w w:val="105"/>
        </w:rPr>
        <w:t xml:space="preserve"> </w:t>
      </w:r>
      <w:r w:rsidRPr="009F06AF">
        <w:rPr>
          <w:rFonts w:cstheme="minorHAnsi"/>
          <w:color w:val="231F20"/>
          <w:w w:val="105"/>
        </w:rPr>
        <w:t>Information:</w:t>
      </w:r>
    </w:p>
    <w:p w14:paraId="5FEC9640" w14:textId="2A4B0622" w:rsidR="00EA7458" w:rsidRPr="00293E84" w:rsidRDefault="00EA7458" w:rsidP="00D63204">
      <w:pPr>
        <w:pStyle w:val="ListParagraph"/>
        <w:widowControl w:val="0"/>
        <w:numPr>
          <w:ilvl w:val="0"/>
          <w:numId w:val="39"/>
        </w:numPr>
        <w:spacing w:before="193" w:after="0" w:line="264" w:lineRule="exact"/>
        <w:rPr>
          <w:rFonts w:cstheme="minorHAnsi"/>
        </w:rPr>
      </w:pPr>
      <w:r w:rsidRPr="00293E84">
        <w:rPr>
          <w:rFonts w:cstheme="minorHAnsi"/>
          <w:color w:val="231F20"/>
          <w:w w:val="105"/>
        </w:rPr>
        <w:t xml:space="preserve">Florida Statutes Section 445 (Workforce Innovation Act), Section 1008 </w:t>
      </w:r>
      <w:r w:rsidRPr="00293E84">
        <w:rPr>
          <w:rFonts w:cstheme="minorHAnsi"/>
          <w:color w:val="231F20"/>
          <w:spacing w:val="-3"/>
          <w:w w:val="105"/>
        </w:rPr>
        <w:t>FETPIP</w:t>
      </w:r>
      <w:r w:rsidR="00D5537E">
        <w:rPr>
          <w:rFonts w:cstheme="minorHAnsi"/>
          <w:color w:val="231F20"/>
          <w:spacing w:val="-3"/>
          <w:w w:val="105"/>
        </w:rPr>
        <w:t xml:space="preserve"> and</w:t>
      </w:r>
      <w:r w:rsidRPr="00293E84">
        <w:rPr>
          <w:rFonts w:cstheme="minorHAnsi"/>
          <w:color w:val="231F20"/>
          <w:w w:val="105"/>
        </w:rPr>
        <w:t xml:space="preserve"> other</w:t>
      </w:r>
      <w:r w:rsidRPr="00293E84">
        <w:rPr>
          <w:rFonts w:cstheme="minorHAnsi"/>
          <w:color w:val="231F20"/>
          <w:spacing w:val="14"/>
          <w:w w:val="105"/>
        </w:rPr>
        <w:t xml:space="preserve"> </w:t>
      </w:r>
      <w:r w:rsidRPr="00293E84">
        <w:rPr>
          <w:rFonts w:cstheme="minorHAnsi"/>
          <w:color w:val="231F20"/>
          <w:w w:val="105"/>
        </w:rPr>
        <w:t>administrative requirements described in State Guidance,</w:t>
      </w:r>
      <w:r w:rsidRPr="00293E84">
        <w:rPr>
          <w:rFonts w:cstheme="minorHAnsi"/>
          <w:color w:val="231F20"/>
          <w:spacing w:val="17"/>
          <w:w w:val="105"/>
        </w:rPr>
        <w:t xml:space="preserve"> </w:t>
      </w:r>
      <w:hyperlink r:id="rId146">
        <w:r w:rsidRPr="00704DA7">
          <w:rPr>
            <w:rStyle w:val="Hyperlink"/>
            <w:rFonts w:cstheme="minorHAnsi"/>
          </w:rPr>
          <w:t>http://www.leg.state.fl.us/STATUTES</w:t>
        </w:r>
      </w:hyperlink>
      <w:r w:rsidRPr="00704DA7">
        <w:rPr>
          <w:rStyle w:val="Hyperlink"/>
          <w:rFonts w:cstheme="minorHAnsi"/>
        </w:rPr>
        <w:t>/</w:t>
      </w:r>
      <w:r w:rsidRPr="00293E84">
        <w:rPr>
          <w:rFonts w:cstheme="minorHAnsi"/>
          <w:color w:val="5F5F5F"/>
          <w:w w:val="114"/>
          <w:u w:val="single" w:color="5F5F5F"/>
        </w:rPr>
        <w:t xml:space="preserve"> </w:t>
      </w:r>
    </w:p>
    <w:p w14:paraId="372695DC" w14:textId="77777777" w:rsidR="00293E84" w:rsidRPr="00293E84" w:rsidRDefault="00293E84" w:rsidP="00D63204">
      <w:pPr>
        <w:pStyle w:val="ListParagraph"/>
        <w:widowControl w:val="0"/>
        <w:spacing w:before="193" w:after="0" w:line="264" w:lineRule="exact"/>
        <w:ind w:left="827"/>
        <w:rPr>
          <w:rFonts w:cstheme="minorHAnsi"/>
        </w:rPr>
      </w:pPr>
    </w:p>
    <w:p w14:paraId="124CF024" w14:textId="2F1D7819" w:rsidR="00EA7458" w:rsidRPr="00293E84" w:rsidRDefault="00EA7458" w:rsidP="00D63204">
      <w:pPr>
        <w:pStyle w:val="ListParagraph"/>
        <w:widowControl w:val="0"/>
        <w:numPr>
          <w:ilvl w:val="0"/>
          <w:numId w:val="39"/>
        </w:numPr>
        <w:spacing w:before="91" w:after="0" w:line="240" w:lineRule="auto"/>
        <w:rPr>
          <w:rFonts w:cstheme="minorHAnsi"/>
        </w:rPr>
      </w:pPr>
      <w:r w:rsidRPr="00293E84">
        <w:rPr>
          <w:rFonts w:cstheme="minorHAnsi"/>
          <w:color w:val="231F20"/>
          <w:w w:val="105"/>
        </w:rPr>
        <w:t>State Workforce Plan</w:t>
      </w:r>
      <w:r w:rsidRPr="00293E84">
        <w:rPr>
          <w:rFonts w:cstheme="minorHAnsi"/>
          <w:color w:val="231F20"/>
          <w:spacing w:val="14"/>
          <w:w w:val="105"/>
        </w:rPr>
        <w:t xml:space="preserve"> </w:t>
      </w:r>
      <w:hyperlink r:id="rId147">
        <w:r w:rsidR="007B1E62">
          <w:rPr>
            <w:rStyle w:val="Hyperlink"/>
            <w:rFonts w:cstheme="minorHAnsi"/>
          </w:rPr>
          <w:t>http://</w:t>
        </w:r>
        <w:r w:rsidRPr="00704DA7">
          <w:rPr>
            <w:rStyle w:val="Hyperlink"/>
            <w:rFonts w:cstheme="minorHAnsi"/>
          </w:rPr>
          <w:t>careersourceflorida.com</w:t>
        </w:r>
        <w:r w:rsidR="007B1E62">
          <w:rPr>
            <w:rStyle w:val="Hyperlink"/>
            <w:rFonts w:cstheme="minorHAnsi"/>
          </w:rPr>
          <w:t>/</w:t>
        </w:r>
      </w:hyperlink>
    </w:p>
    <w:p w14:paraId="1570ABC8" w14:textId="77777777" w:rsidR="00293E84" w:rsidRPr="00293E84" w:rsidRDefault="00293E84" w:rsidP="00D63204">
      <w:pPr>
        <w:pStyle w:val="ListParagraph"/>
        <w:widowControl w:val="0"/>
        <w:spacing w:before="91" w:after="0" w:line="240" w:lineRule="auto"/>
        <w:ind w:left="827"/>
        <w:rPr>
          <w:rFonts w:cstheme="minorHAnsi"/>
        </w:rPr>
      </w:pPr>
    </w:p>
    <w:p w14:paraId="6534EEEA" w14:textId="0ECFD3AB" w:rsidR="00FE0357" w:rsidRPr="00293E84" w:rsidRDefault="00EA7458" w:rsidP="00D63204">
      <w:pPr>
        <w:pStyle w:val="ListParagraph"/>
        <w:widowControl w:val="0"/>
        <w:numPr>
          <w:ilvl w:val="0"/>
          <w:numId w:val="39"/>
        </w:numPr>
        <w:spacing w:before="83" w:after="0" w:line="264" w:lineRule="exact"/>
        <w:rPr>
          <w:rStyle w:val="Hyperlink"/>
          <w:rFonts w:cstheme="minorHAnsi"/>
          <w:color w:val="auto"/>
          <w:u w:val="none"/>
        </w:rPr>
      </w:pPr>
      <w:r w:rsidRPr="00293E84">
        <w:rPr>
          <w:rFonts w:cstheme="minorHAnsi"/>
          <w:color w:val="231F20"/>
          <w:w w:val="105"/>
        </w:rPr>
        <w:t>State Board Strategic Policies</w:t>
      </w:r>
      <w:r w:rsidRPr="00293E84">
        <w:rPr>
          <w:rFonts w:cstheme="minorHAnsi"/>
          <w:color w:val="231F20"/>
          <w:spacing w:val="28"/>
          <w:w w:val="105"/>
        </w:rPr>
        <w:t xml:space="preserve"> </w:t>
      </w:r>
      <w:hyperlink r:id="rId148" w:history="1">
        <w:r w:rsidR="00FE0357" w:rsidRPr="00293E84">
          <w:rPr>
            <w:rStyle w:val="Hyperlink"/>
            <w:rFonts w:cstheme="minorHAnsi"/>
          </w:rPr>
          <w:t>https://careersourceflorida.com/</w:t>
        </w:r>
      </w:hyperlink>
      <w:r w:rsidR="00106559" w:rsidRPr="00293E84">
        <w:rPr>
          <w:rStyle w:val="Hyperlink"/>
          <w:rFonts w:cstheme="minorHAnsi"/>
          <w:color w:val="auto"/>
          <w:u w:val="none"/>
        </w:rPr>
        <w:t xml:space="preserve"> </w:t>
      </w:r>
    </w:p>
    <w:p w14:paraId="3B3809AA" w14:textId="77777777" w:rsidR="00293E84" w:rsidRPr="00293E84" w:rsidRDefault="00293E84" w:rsidP="00D63204">
      <w:pPr>
        <w:pStyle w:val="ListParagraph"/>
        <w:widowControl w:val="0"/>
        <w:spacing w:before="83" w:after="0" w:line="264" w:lineRule="exact"/>
        <w:ind w:left="827"/>
        <w:rPr>
          <w:rFonts w:cstheme="minorHAnsi"/>
        </w:rPr>
      </w:pPr>
    </w:p>
    <w:p w14:paraId="38F9F83E" w14:textId="3C61C375" w:rsidR="00BD2ED9" w:rsidRPr="00BD2ED9" w:rsidRDefault="00EA7458" w:rsidP="00D63204">
      <w:pPr>
        <w:pStyle w:val="ListParagraph"/>
        <w:widowControl w:val="0"/>
        <w:numPr>
          <w:ilvl w:val="0"/>
          <w:numId w:val="39"/>
        </w:numPr>
        <w:spacing w:before="83" w:after="0" w:line="264" w:lineRule="exact"/>
        <w:rPr>
          <w:rFonts w:cstheme="minorHAnsi"/>
          <w:color w:val="231F20"/>
          <w:w w:val="105"/>
        </w:rPr>
      </w:pPr>
      <w:r w:rsidRPr="00BD2ED9">
        <w:rPr>
          <w:rFonts w:cstheme="minorHAnsi"/>
          <w:color w:val="231F20"/>
          <w:w w:val="105"/>
        </w:rPr>
        <w:t>Local Planning Instructions</w:t>
      </w:r>
      <w:r w:rsidR="00BD2ED9" w:rsidRPr="00BD2ED9">
        <w:rPr>
          <w:rFonts w:cstheme="minorHAnsi"/>
          <w:color w:val="231F20"/>
          <w:w w:val="105"/>
        </w:rPr>
        <w:t xml:space="preserve">: </w:t>
      </w:r>
    </w:p>
    <w:p w14:paraId="61960994" w14:textId="7CEB8A60" w:rsidR="009F1BFB" w:rsidRPr="00704DA7" w:rsidRDefault="00BC1D20" w:rsidP="00D63204">
      <w:pPr>
        <w:pStyle w:val="ListParagraph"/>
        <w:widowControl w:val="0"/>
        <w:spacing w:after="0" w:line="264" w:lineRule="exact"/>
        <w:ind w:left="827"/>
        <w:rPr>
          <w:rStyle w:val="Hyperlink"/>
          <w:rFonts w:cstheme="minorHAnsi"/>
        </w:rPr>
      </w:pPr>
      <w:hyperlink r:id="rId149" w:history="1">
        <w:r w:rsidR="00BD2ED9" w:rsidRPr="00704DA7">
          <w:rPr>
            <w:rStyle w:val="Hyperlink"/>
            <w:rFonts w:cstheme="minorHAnsi"/>
          </w:rPr>
          <w:t>https://careersourceflorida.com/docking/WIOALocalPlanningInstructionsTwo-year-modification.docx</w:t>
        </w:r>
      </w:hyperlink>
    </w:p>
    <w:p w14:paraId="7C200656" w14:textId="77777777" w:rsidR="00293E84" w:rsidRPr="00293E84" w:rsidRDefault="00293E84" w:rsidP="00D63204">
      <w:pPr>
        <w:pStyle w:val="ListParagraph"/>
        <w:widowControl w:val="0"/>
        <w:spacing w:before="83" w:after="0" w:line="264" w:lineRule="exact"/>
        <w:ind w:left="827"/>
        <w:rPr>
          <w:rFonts w:cstheme="minorHAnsi"/>
        </w:rPr>
      </w:pPr>
    </w:p>
    <w:p w14:paraId="1E9941E4" w14:textId="066D32E4" w:rsidR="00EA7458" w:rsidRPr="00293E84" w:rsidRDefault="00EA7458" w:rsidP="00D63204">
      <w:pPr>
        <w:pStyle w:val="ListParagraph"/>
        <w:widowControl w:val="0"/>
        <w:numPr>
          <w:ilvl w:val="0"/>
          <w:numId w:val="39"/>
        </w:numPr>
        <w:spacing w:before="90" w:after="0" w:line="264" w:lineRule="exact"/>
        <w:rPr>
          <w:rFonts w:cstheme="minorHAnsi"/>
        </w:rPr>
      </w:pPr>
      <w:r w:rsidRPr="00293E84">
        <w:rPr>
          <w:rFonts w:cstheme="minorHAnsi"/>
          <w:color w:val="231F20"/>
          <w:w w:val="105"/>
        </w:rPr>
        <w:t>Department of Economic Opportunity Regulations, Division of Workforce Services,</w:t>
      </w:r>
      <w:r w:rsidRPr="00293E84">
        <w:rPr>
          <w:rFonts w:cstheme="minorHAnsi"/>
          <w:color w:val="231F20"/>
          <w:spacing w:val="52"/>
          <w:w w:val="105"/>
        </w:rPr>
        <w:t xml:space="preserve"> </w:t>
      </w:r>
      <w:r w:rsidRPr="00293E84">
        <w:rPr>
          <w:rFonts w:cstheme="minorHAnsi"/>
          <w:color w:val="231F20"/>
          <w:w w:val="105"/>
        </w:rPr>
        <w:t>Florida</w:t>
      </w:r>
      <w:r w:rsidRPr="00293E84">
        <w:rPr>
          <w:rFonts w:cstheme="minorHAnsi"/>
          <w:color w:val="231F20"/>
          <w:w w:val="107"/>
        </w:rPr>
        <w:t xml:space="preserve"> </w:t>
      </w:r>
      <w:r w:rsidRPr="00293E84">
        <w:rPr>
          <w:rFonts w:cstheme="minorHAnsi"/>
          <w:color w:val="231F20"/>
          <w:w w:val="105"/>
        </w:rPr>
        <w:t>Administrative Code, Chapter 73B,</w:t>
      </w:r>
      <w:r w:rsidRPr="00293E84">
        <w:rPr>
          <w:rFonts w:cstheme="minorHAnsi"/>
          <w:color w:val="231F20"/>
          <w:spacing w:val="19"/>
          <w:w w:val="105"/>
        </w:rPr>
        <w:t xml:space="preserve"> </w:t>
      </w:r>
      <w:hyperlink r:id="rId150">
        <w:r w:rsidRPr="00704DA7">
          <w:rPr>
            <w:rStyle w:val="Hyperlink"/>
            <w:rFonts w:cstheme="minorHAnsi"/>
          </w:rPr>
          <w:t>www.flrules.org</w:t>
        </w:r>
      </w:hyperlink>
    </w:p>
    <w:p w14:paraId="26460C4E" w14:textId="77777777" w:rsidR="00293E84" w:rsidRPr="00293E84" w:rsidRDefault="00293E84" w:rsidP="00D63204">
      <w:pPr>
        <w:pStyle w:val="ListParagraph"/>
        <w:widowControl w:val="0"/>
        <w:spacing w:before="90" w:after="0" w:line="264" w:lineRule="exact"/>
        <w:ind w:left="827"/>
        <w:rPr>
          <w:rFonts w:cstheme="minorHAnsi"/>
        </w:rPr>
      </w:pPr>
    </w:p>
    <w:p w14:paraId="7888A67F" w14:textId="77777777" w:rsidR="009F1BFB" w:rsidRPr="009F1BFB" w:rsidRDefault="00EA7458" w:rsidP="00D63204">
      <w:pPr>
        <w:pStyle w:val="ListParagraph"/>
        <w:widowControl w:val="0"/>
        <w:numPr>
          <w:ilvl w:val="0"/>
          <w:numId w:val="39"/>
        </w:numPr>
        <w:spacing w:before="90" w:after="0" w:line="264" w:lineRule="exact"/>
        <w:rPr>
          <w:rFonts w:cstheme="minorHAnsi"/>
        </w:rPr>
      </w:pPr>
      <w:r w:rsidRPr="00293E84">
        <w:rPr>
          <w:rFonts w:cstheme="minorHAnsi"/>
          <w:color w:val="231F20"/>
          <w:w w:val="105"/>
        </w:rPr>
        <w:t>DEO Guidance Papers organized by workforce program,</w:t>
      </w:r>
      <w:r w:rsidRPr="00293E84">
        <w:rPr>
          <w:rFonts w:cstheme="minorHAnsi"/>
          <w:color w:val="231F20"/>
          <w:spacing w:val="26"/>
          <w:w w:val="105"/>
        </w:rPr>
        <w:t xml:space="preserve"> </w:t>
      </w:r>
    </w:p>
    <w:p w14:paraId="788188A3" w14:textId="2FCD7830" w:rsidR="00EA7458" w:rsidRPr="00704DA7" w:rsidRDefault="00BC1D20" w:rsidP="00D63204">
      <w:pPr>
        <w:pStyle w:val="ListParagraph"/>
        <w:widowControl w:val="0"/>
        <w:spacing w:after="0" w:line="264" w:lineRule="exact"/>
        <w:ind w:left="827"/>
        <w:rPr>
          <w:rStyle w:val="Hyperlink"/>
          <w:rFonts w:cstheme="minorHAnsi"/>
        </w:rPr>
      </w:pPr>
      <w:hyperlink r:id="rId151">
        <w:r w:rsidR="00EA7458" w:rsidRPr="00704DA7">
          <w:rPr>
            <w:rStyle w:val="Hyperlink"/>
            <w:rFonts w:cstheme="minorHAnsi"/>
          </w:rPr>
          <w:t>http://www.floridajobs.org/workforce-board-</w:t>
        </w:r>
      </w:hyperlink>
      <w:r w:rsidR="00EA7458" w:rsidRPr="00704DA7">
        <w:rPr>
          <w:rStyle w:val="Hyperlink"/>
          <w:rFonts w:cstheme="minorHAnsi"/>
        </w:rPr>
        <w:t xml:space="preserve"> </w:t>
      </w:r>
      <w:hyperlink r:id="rId152">
        <w:r w:rsidR="00EA7458" w:rsidRPr="00704DA7">
          <w:rPr>
            <w:rStyle w:val="Hyperlink"/>
            <w:rFonts w:cstheme="minorHAnsi"/>
          </w:rPr>
          <w:t>resources/policy-and-guidance/guidance-papers</w:t>
        </w:r>
      </w:hyperlink>
    </w:p>
    <w:p w14:paraId="43C35F5E" w14:textId="77777777" w:rsidR="00293E84" w:rsidRPr="00293E84" w:rsidRDefault="00293E84" w:rsidP="00D63204">
      <w:pPr>
        <w:pStyle w:val="ListParagraph"/>
        <w:widowControl w:val="0"/>
        <w:spacing w:before="90" w:after="0" w:line="264" w:lineRule="exact"/>
        <w:ind w:left="827"/>
        <w:rPr>
          <w:rFonts w:cstheme="minorHAnsi"/>
        </w:rPr>
      </w:pPr>
    </w:p>
    <w:p w14:paraId="70F32704" w14:textId="77777777" w:rsidR="009F1BFB" w:rsidRPr="009F1BFB" w:rsidRDefault="00EA7458" w:rsidP="00D63204">
      <w:pPr>
        <w:pStyle w:val="ListParagraph"/>
        <w:widowControl w:val="0"/>
        <w:numPr>
          <w:ilvl w:val="0"/>
          <w:numId w:val="39"/>
        </w:numPr>
        <w:spacing w:before="90" w:after="0" w:line="264" w:lineRule="exact"/>
        <w:rPr>
          <w:rFonts w:cstheme="minorHAnsi"/>
        </w:rPr>
      </w:pPr>
      <w:r w:rsidRPr="00293E84">
        <w:rPr>
          <w:rFonts w:cstheme="minorHAnsi"/>
          <w:color w:val="231F20"/>
          <w:w w:val="105"/>
        </w:rPr>
        <w:t>DEO Memoranda, organized by year of issuance,</w:t>
      </w:r>
      <w:r w:rsidRPr="00293E84">
        <w:rPr>
          <w:rFonts w:cstheme="minorHAnsi"/>
          <w:color w:val="231F20"/>
          <w:spacing w:val="25"/>
          <w:w w:val="105"/>
        </w:rPr>
        <w:t xml:space="preserve"> </w:t>
      </w:r>
    </w:p>
    <w:p w14:paraId="1C63D9FE" w14:textId="5D084745" w:rsidR="00EA7458" w:rsidRPr="00704DA7" w:rsidRDefault="00BC1D20" w:rsidP="00D63204">
      <w:pPr>
        <w:pStyle w:val="ListParagraph"/>
        <w:widowControl w:val="0"/>
        <w:spacing w:after="0" w:line="264" w:lineRule="exact"/>
        <w:ind w:left="827"/>
        <w:rPr>
          <w:rStyle w:val="Hyperlink"/>
          <w:rFonts w:cstheme="minorHAnsi"/>
        </w:rPr>
      </w:pPr>
      <w:hyperlink r:id="rId153">
        <w:r w:rsidR="00EA7458" w:rsidRPr="00704DA7">
          <w:rPr>
            <w:rStyle w:val="Hyperlink"/>
            <w:rFonts w:cstheme="minorHAnsi"/>
          </w:rPr>
          <w:t>www.floridajobs.org/workforce-board-resources/</w:t>
        </w:r>
      </w:hyperlink>
      <w:hyperlink r:id="rId154">
        <w:r w:rsidR="00EA7458" w:rsidRPr="00704DA7">
          <w:rPr>
            <w:rStyle w:val="Hyperlink"/>
            <w:rFonts w:cstheme="minorHAnsi"/>
          </w:rPr>
          <w:t>professional-development-and-training/training-materials</w:t>
        </w:r>
      </w:hyperlink>
      <w:r w:rsidR="00EA7458" w:rsidRPr="00704DA7">
        <w:rPr>
          <w:rStyle w:val="Hyperlink"/>
          <w:rFonts w:cstheme="minorHAnsi"/>
        </w:rPr>
        <w:t xml:space="preserve"> </w:t>
      </w:r>
    </w:p>
    <w:p w14:paraId="15D7D79C" w14:textId="77777777" w:rsidR="009F1BFB" w:rsidRPr="00293E84" w:rsidRDefault="009F1BFB" w:rsidP="00293E84">
      <w:pPr>
        <w:pStyle w:val="ListParagraph"/>
        <w:rPr>
          <w:rFonts w:cstheme="minorHAnsi"/>
        </w:rPr>
      </w:pPr>
    </w:p>
    <w:p w14:paraId="3F34D5F8" w14:textId="1B370C69" w:rsidR="009F1BFB" w:rsidRDefault="00EA7458" w:rsidP="00D63204">
      <w:pPr>
        <w:pStyle w:val="ListParagraph"/>
        <w:widowControl w:val="0"/>
        <w:numPr>
          <w:ilvl w:val="0"/>
          <w:numId w:val="39"/>
        </w:numPr>
        <w:spacing w:before="90" w:after="0" w:line="264" w:lineRule="exact"/>
        <w:rPr>
          <w:rFonts w:cstheme="minorHAnsi"/>
          <w:color w:val="231F20"/>
        </w:rPr>
      </w:pPr>
      <w:r w:rsidRPr="00293E84">
        <w:rPr>
          <w:rFonts w:cstheme="minorHAnsi"/>
          <w:color w:val="231F20"/>
          <w:w w:val="105"/>
        </w:rPr>
        <w:t xml:space="preserve">DEO Monitoring </w:t>
      </w:r>
      <w:r w:rsidRPr="00293E84">
        <w:rPr>
          <w:rFonts w:cstheme="minorHAnsi"/>
          <w:color w:val="231F20"/>
          <w:spacing w:val="-4"/>
          <w:w w:val="105"/>
        </w:rPr>
        <w:t xml:space="preserve">Tools, </w:t>
      </w:r>
      <w:r w:rsidRPr="00293E84">
        <w:rPr>
          <w:rFonts w:cstheme="minorHAnsi"/>
          <w:color w:val="231F20"/>
          <w:w w:val="105"/>
        </w:rPr>
        <w:t>board-resources/program-monitoring and reports</w:t>
      </w:r>
      <w:r w:rsidR="00D5537E">
        <w:rPr>
          <w:rFonts w:cstheme="minorHAnsi"/>
          <w:color w:val="231F20"/>
          <w:w w:val="105"/>
        </w:rPr>
        <w:t xml:space="preserve"> and</w:t>
      </w:r>
      <w:r w:rsidRPr="00293E84">
        <w:rPr>
          <w:rFonts w:cstheme="minorHAnsi"/>
          <w:color w:val="231F20"/>
          <w:spacing w:val="45"/>
          <w:w w:val="105"/>
        </w:rPr>
        <w:t xml:space="preserve"> </w:t>
      </w:r>
      <w:r w:rsidRPr="00293E84">
        <w:rPr>
          <w:rFonts w:cstheme="minorHAnsi"/>
          <w:color w:val="231F20"/>
          <w:w w:val="105"/>
        </w:rPr>
        <w:t>program-monitoring-</w:t>
      </w:r>
      <w:r w:rsidRPr="00293E84">
        <w:rPr>
          <w:rFonts w:cstheme="minorHAnsi"/>
          <w:color w:val="231F20"/>
          <w:w w:val="104"/>
        </w:rPr>
        <w:t xml:space="preserve"> </w:t>
      </w:r>
      <w:r w:rsidRPr="00293E84">
        <w:rPr>
          <w:rFonts w:cstheme="minorHAnsi"/>
          <w:color w:val="231F20"/>
        </w:rPr>
        <w:t>review</w:t>
      </w:r>
      <w:r w:rsidR="00680C4D" w:rsidRPr="00293E84">
        <w:rPr>
          <w:rFonts w:cstheme="minorHAnsi"/>
          <w:color w:val="231F20"/>
        </w:rPr>
        <w:t>:</w:t>
      </w:r>
      <w:r w:rsidR="00293E84" w:rsidRPr="00293E84">
        <w:rPr>
          <w:rFonts w:cstheme="minorHAnsi"/>
          <w:color w:val="231F20"/>
        </w:rPr>
        <w:t xml:space="preserve"> </w:t>
      </w:r>
    </w:p>
    <w:p w14:paraId="037FE428" w14:textId="02FEBF70" w:rsidR="00BC5BA1" w:rsidRPr="00704DA7" w:rsidRDefault="00BC1D20" w:rsidP="00D63204">
      <w:pPr>
        <w:pStyle w:val="ListParagraph"/>
        <w:widowControl w:val="0"/>
        <w:spacing w:before="90" w:after="0" w:line="264" w:lineRule="exact"/>
        <w:ind w:left="827"/>
        <w:rPr>
          <w:rStyle w:val="Hyperlink"/>
          <w:rFonts w:cstheme="minorHAnsi"/>
        </w:rPr>
      </w:pPr>
      <w:hyperlink r:id="rId155" w:history="1">
        <w:r w:rsidR="009F1BFB" w:rsidRPr="004B6B98">
          <w:rPr>
            <w:rStyle w:val="Hyperlink"/>
            <w:rFonts w:cstheme="minorHAnsi"/>
          </w:rPr>
          <w:t>http://www.floridajobs.org/local-workforce-development-board-resources/program-monitoring-and-reports/Programmatic</w:t>
        </w:r>
      </w:hyperlink>
    </w:p>
    <w:p w14:paraId="2A7C3020" w14:textId="77777777" w:rsidR="009F1BFB" w:rsidRDefault="009F1BFB" w:rsidP="00D63204">
      <w:pPr>
        <w:widowControl w:val="0"/>
        <w:spacing w:before="58" w:after="0" w:line="264" w:lineRule="exact"/>
        <w:ind w:left="107"/>
        <w:rPr>
          <w:rFonts w:cstheme="minorHAnsi"/>
          <w:color w:val="231F20"/>
          <w:w w:val="105"/>
        </w:rPr>
      </w:pPr>
    </w:p>
    <w:p w14:paraId="709DEE39" w14:textId="44F0295E" w:rsidR="00EA7458" w:rsidRPr="009F06AF" w:rsidRDefault="008D0D8E" w:rsidP="00D63204">
      <w:pPr>
        <w:widowControl w:val="0"/>
        <w:spacing w:after="0" w:line="264" w:lineRule="exact"/>
        <w:ind w:left="107"/>
        <w:rPr>
          <w:rFonts w:cstheme="minorHAnsi"/>
        </w:rPr>
      </w:pPr>
      <w:r>
        <w:rPr>
          <w:rFonts w:cstheme="minorHAnsi"/>
          <w:color w:val="231F20"/>
          <w:w w:val="105"/>
        </w:rPr>
        <w:t>DEO</w:t>
      </w:r>
      <w:r w:rsidR="00EA7458" w:rsidRPr="009F06AF">
        <w:rPr>
          <w:rFonts w:cstheme="minorHAnsi"/>
          <w:color w:val="231F20"/>
          <w:spacing w:val="16"/>
          <w:w w:val="105"/>
        </w:rPr>
        <w:t xml:space="preserve"> </w:t>
      </w:r>
      <w:r w:rsidR="00EA7458" w:rsidRPr="009F06AF">
        <w:rPr>
          <w:rFonts w:cstheme="minorHAnsi"/>
          <w:color w:val="231F20"/>
          <w:w w:val="105"/>
        </w:rPr>
        <w:t>forwards</w:t>
      </w:r>
      <w:r w:rsidR="00EA7458" w:rsidRPr="009F06AF">
        <w:rPr>
          <w:rFonts w:cstheme="minorHAnsi"/>
          <w:color w:val="231F20"/>
          <w:spacing w:val="16"/>
          <w:w w:val="105"/>
        </w:rPr>
        <w:t xml:space="preserve"> </w:t>
      </w:r>
      <w:r w:rsidR="00EA7458" w:rsidRPr="009F06AF">
        <w:rPr>
          <w:rFonts w:cstheme="minorHAnsi"/>
          <w:color w:val="231F20"/>
          <w:w w:val="105"/>
        </w:rPr>
        <w:t>federal</w:t>
      </w:r>
      <w:r w:rsidR="00EA7458" w:rsidRPr="009F06AF">
        <w:rPr>
          <w:rFonts w:cstheme="minorHAnsi"/>
          <w:color w:val="231F20"/>
          <w:spacing w:val="16"/>
          <w:w w:val="105"/>
        </w:rPr>
        <w:t xml:space="preserve"> </w:t>
      </w:r>
      <w:r w:rsidR="00EA7458" w:rsidRPr="009F06AF">
        <w:rPr>
          <w:rFonts w:cstheme="minorHAnsi"/>
          <w:color w:val="231F20"/>
          <w:w w:val="105"/>
        </w:rPr>
        <w:t>directives</w:t>
      </w:r>
      <w:r w:rsidR="00EA7458" w:rsidRPr="009F06AF">
        <w:rPr>
          <w:rFonts w:cstheme="minorHAnsi"/>
          <w:color w:val="231F20"/>
          <w:spacing w:val="16"/>
          <w:w w:val="105"/>
        </w:rPr>
        <w:t xml:space="preserve"> </w:t>
      </w:r>
      <w:r w:rsidR="00EA7458" w:rsidRPr="009F06AF">
        <w:rPr>
          <w:rFonts w:cstheme="minorHAnsi"/>
          <w:color w:val="231F20"/>
          <w:w w:val="105"/>
        </w:rPr>
        <w:t>and</w:t>
      </w:r>
      <w:r w:rsidR="00EA7458" w:rsidRPr="009F06AF">
        <w:rPr>
          <w:rFonts w:cstheme="minorHAnsi"/>
          <w:color w:val="231F20"/>
          <w:spacing w:val="16"/>
          <w:w w:val="105"/>
        </w:rPr>
        <w:t xml:space="preserve"> </w:t>
      </w:r>
      <w:r w:rsidR="00EA7458" w:rsidRPr="009F06AF">
        <w:rPr>
          <w:rFonts w:cstheme="minorHAnsi"/>
          <w:color w:val="231F20"/>
          <w:w w:val="105"/>
        </w:rPr>
        <w:t>other</w:t>
      </w:r>
      <w:r w:rsidR="00EA7458" w:rsidRPr="009F06AF">
        <w:rPr>
          <w:rFonts w:cstheme="minorHAnsi"/>
          <w:color w:val="231F20"/>
          <w:spacing w:val="16"/>
          <w:w w:val="105"/>
        </w:rPr>
        <w:t xml:space="preserve"> </w:t>
      </w:r>
      <w:r w:rsidR="00EA7458" w:rsidRPr="009F06AF">
        <w:rPr>
          <w:rFonts w:cstheme="minorHAnsi"/>
          <w:color w:val="231F20"/>
          <w:w w:val="105"/>
        </w:rPr>
        <w:t>resource</w:t>
      </w:r>
      <w:r w:rsidR="00EA7458" w:rsidRPr="009F06AF">
        <w:rPr>
          <w:rFonts w:cstheme="minorHAnsi"/>
          <w:color w:val="231F20"/>
          <w:spacing w:val="16"/>
          <w:w w:val="105"/>
        </w:rPr>
        <w:t xml:space="preserve"> </w:t>
      </w:r>
      <w:r w:rsidR="00EA7458" w:rsidRPr="009F06AF">
        <w:rPr>
          <w:rFonts w:cstheme="minorHAnsi"/>
          <w:color w:val="231F20"/>
          <w:w w:val="105"/>
        </w:rPr>
        <w:t>materials</w:t>
      </w:r>
      <w:r w:rsidR="00EA7458" w:rsidRPr="009F06AF">
        <w:rPr>
          <w:rFonts w:cstheme="minorHAnsi"/>
          <w:color w:val="231F20"/>
          <w:spacing w:val="16"/>
          <w:w w:val="105"/>
        </w:rPr>
        <w:t xml:space="preserve"> </w:t>
      </w:r>
      <w:r w:rsidR="00EA7458" w:rsidRPr="009F06AF">
        <w:rPr>
          <w:rFonts w:cstheme="minorHAnsi"/>
          <w:color w:val="231F20"/>
          <w:w w:val="105"/>
        </w:rPr>
        <w:t>via</w:t>
      </w:r>
      <w:r w:rsidR="00EA7458" w:rsidRPr="009F06AF">
        <w:rPr>
          <w:rFonts w:cstheme="minorHAnsi"/>
          <w:color w:val="231F20"/>
          <w:spacing w:val="16"/>
          <w:w w:val="105"/>
        </w:rPr>
        <w:t xml:space="preserve"> </w:t>
      </w:r>
      <w:r w:rsidR="000203BB" w:rsidRPr="009F06AF">
        <w:rPr>
          <w:rFonts w:cstheme="minorHAnsi"/>
          <w:color w:val="231F20"/>
          <w:spacing w:val="16"/>
          <w:w w:val="105"/>
        </w:rPr>
        <w:t>c</w:t>
      </w:r>
      <w:r w:rsidR="00EA7458" w:rsidRPr="009F06AF">
        <w:rPr>
          <w:rFonts w:cstheme="minorHAnsi"/>
          <w:color w:val="231F20"/>
          <w:w w:val="105"/>
        </w:rPr>
        <w:t>ommuniqués</w:t>
      </w:r>
      <w:r w:rsidR="00EA7458" w:rsidRPr="009F06AF">
        <w:rPr>
          <w:rFonts w:cstheme="minorHAnsi"/>
          <w:color w:val="231F20"/>
          <w:spacing w:val="16"/>
          <w:w w:val="105"/>
        </w:rPr>
        <w:t xml:space="preserve"> </w:t>
      </w:r>
      <w:r w:rsidR="00EA7458" w:rsidRPr="009F06AF">
        <w:rPr>
          <w:rFonts w:cstheme="minorHAnsi"/>
          <w:color w:val="231F20"/>
          <w:w w:val="105"/>
        </w:rPr>
        <w:t>(issued</w:t>
      </w:r>
      <w:r w:rsidR="00EA7458" w:rsidRPr="009F06AF">
        <w:rPr>
          <w:rFonts w:cstheme="minorHAnsi"/>
          <w:color w:val="231F20"/>
          <w:spacing w:val="16"/>
          <w:w w:val="105"/>
        </w:rPr>
        <w:t xml:space="preserve"> </w:t>
      </w:r>
      <w:r w:rsidR="00EA7458" w:rsidRPr="009F06AF">
        <w:rPr>
          <w:rFonts w:cstheme="minorHAnsi"/>
          <w:color w:val="231F20"/>
          <w:w w:val="105"/>
        </w:rPr>
        <w:t>when</w:t>
      </w:r>
      <w:r w:rsidR="00EA7458" w:rsidRPr="009F06AF">
        <w:rPr>
          <w:rFonts w:cstheme="minorHAnsi"/>
          <w:color w:val="231F20"/>
          <w:w w:val="106"/>
        </w:rPr>
        <w:t xml:space="preserve"> </w:t>
      </w:r>
      <w:r w:rsidR="00EA7458" w:rsidRPr="009F06AF">
        <w:rPr>
          <w:rFonts w:cstheme="minorHAnsi"/>
          <w:color w:val="231F20"/>
          <w:w w:val="105"/>
        </w:rPr>
        <w:t>DEO</w:t>
      </w:r>
      <w:r w:rsidR="00EA7458" w:rsidRPr="009F06AF">
        <w:rPr>
          <w:rFonts w:cstheme="minorHAnsi"/>
          <w:color w:val="231F20"/>
          <w:spacing w:val="11"/>
          <w:w w:val="105"/>
        </w:rPr>
        <w:t xml:space="preserve"> </w:t>
      </w:r>
      <w:r w:rsidR="00EA7458" w:rsidRPr="009F06AF">
        <w:rPr>
          <w:rFonts w:cstheme="minorHAnsi"/>
          <w:color w:val="231F20"/>
          <w:w w:val="105"/>
        </w:rPr>
        <w:t>comments</w:t>
      </w:r>
      <w:r w:rsidR="00EA7458" w:rsidRPr="009F06AF">
        <w:rPr>
          <w:rFonts w:cstheme="minorHAnsi"/>
          <w:color w:val="231F20"/>
          <w:spacing w:val="11"/>
          <w:w w:val="105"/>
        </w:rPr>
        <w:t xml:space="preserve"> </w:t>
      </w:r>
      <w:r w:rsidR="00EA7458" w:rsidRPr="009F06AF">
        <w:rPr>
          <w:rFonts w:cstheme="minorHAnsi"/>
          <w:color w:val="231F20"/>
          <w:w w:val="105"/>
        </w:rPr>
        <w:t>on</w:t>
      </w:r>
      <w:r w:rsidR="00EA7458" w:rsidRPr="009F06AF">
        <w:rPr>
          <w:rFonts w:cstheme="minorHAnsi"/>
          <w:color w:val="231F20"/>
          <w:spacing w:val="11"/>
          <w:w w:val="105"/>
        </w:rPr>
        <w:t xml:space="preserve"> </w:t>
      </w:r>
      <w:r w:rsidR="00EA7458" w:rsidRPr="009F06AF">
        <w:rPr>
          <w:rFonts w:cstheme="minorHAnsi"/>
          <w:color w:val="231F20"/>
          <w:w w:val="105"/>
        </w:rPr>
        <w:t>the</w:t>
      </w:r>
      <w:r w:rsidR="00EA7458" w:rsidRPr="009F06AF">
        <w:rPr>
          <w:rFonts w:cstheme="minorHAnsi"/>
          <w:color w:val="231F20"/>
          <w:spacing w:val="11"/>
          <w:w w:val="105"/>
        </w:rPr>
        <w:t xml:space="preserve"> </w:t>
      </w:r>
      <w:r w:rsidR="00EA7458" w:rsidRPr="009F06AF">
        <w:rPr>
          <w:rFonts w:cstheme="minorHAnsi"/>
          <w:color w:val="231F20"/>
          <w:w w:val="105"/>
        </w:rPr>
        <w:t>federal</w:t>
      </w:r>
      <w:r w:rsidR="00EA7458" w:rsidRPr="009F06AF">
        <w:rPr>
          <w:rFonts w:cstheme="minorHAnsi"/>
          <w:color w:val="231F20"/>
          <w:spacing w:val="11"/>
          <w:w w:val="105"/>
        </w:rPr>
        <w:t xml:space="preserve"> </w:t>
      </w:r>
      <w:r w:rsidR="00EA7458" w:rsidRPr="009F06AF">
        <w:rPr>
          <w:rFonts w:cstheme="minorHAnsi"/>
          <w:color w:val="231F20"/>
          <w:w w:val="105"/>
        </w:rPr>
        <w:t>document)</w:t>
      </w:r>
      <w:r w:rsidR="00EA7458" w:rsidRPr="009F06AF">
        <w:rPr>
          <w:rFonts w:cstheme="minorHAnsi"/>
          <w:color w:val="231F20"/>
          <w:spacing w:val="11"/>
          <w:w w:val="105"/>
        </w:rPr>
        <w:t xml:space="preserve"> </w:t>
      </w:r>
      <w:r w:rsidR="00EA7458" w:rsidRPr="009F06AF">
        <w:rPr>
          <w:rFonts w:cstheme="minorHAnsi"/>
          <w:color w:val="231F20"/>
          <w:w w:val="105"/>
        </w:rPr>
        <w:t>or</w:t>
      </w:r>
      <w:r w:rsidR="00EA7458" w:rsidRPr="009F06AF">
        <w:rPr>
          <w:rFonts w:cstheme="minorHAnsi"/>
          <w:color w:val="231F20"/>
          <w:spacing w:val="11"/>
          <w:w w:val="105"/>
        </w:rPr>
        <w:t xml:space="preserve"> </w:t>
      </w:r>
      <w:r w:rsidR="00EA7458" w:rsidRPr="009F06AF">
        <w:rPr>
          <w:rFonts w:cstheme="minorHAnsi"/>
          <w:color w:val="231F20"/>
          <w:w w:val="105"/>
        </w:rPr>
        <w:t>via</w:t>
      </w:r>
      <w:r w:rsidR="00EA7458" w:rsidRPr="009F06AF">
        <w:rPr>
          <w:rFonts w:cstheme="minorHAnsi"/>
          <w:color w:val="231F20"/>
          <w:spacing w:val="11"/>
          <w:w w:val="105"/>
        </w:rPr>
        <w:t xml:space="preserve"> </w:t>
      </w:r>
      <w:r w:rsidR="00EA7458" w:rsidRPr="009F06AF">
        <w:rPr>
          <w:rFonts w:cstheme="minorHAnsi"/>
          <w:color w:val="231F20"/>
          <w:w w:val="105"/>
        </w:rPr>
        <w:t>e-mail</w:t>
      </w:r>
      <w:r w:rsidR="00EA7458" w:rsidRPr="009F06AF">
        <w:rPr>
          <w:rFonts w:cstheme="minorHAnsi"/>
          <w:color w:val="231F20"/>
          <w:spacing w:val="11"/>
          <w:w w:val="105"/>
        </w:rPr>
        <w:t xml:space="preserve"> </w:t>
      </w:r>
      <w:r w:rsidR="00EA7458" w:rsidRPr="009F06AF">
        <w:rPr>
          <w:rFonts w:cstheme="minorHAnsi"/>
          <w:color w:val="231F20"/>
          <w:w w:val="105"/>
        </w:rPr>
        <w:t>notification</w:t>
      </w:r>
      <w:r w:rsidR="00EA7458" w:rsidRPr="009F06AF">
        <w:rPr>
          <w:rFonts w:cstheme="minorHAnsi"/>
          <w:color w:val="231F20"/>
          <w:spacing w:val="11"/>
          <w:w w:val="105"/>
        </w:rPr>
        <w:t xml:space="preserve"> </w:t>
      </w:r>
      <w:r w:rsidR="00EA7458" w:rsidRPr="009F06AF">
        <w:rPr>
          <w:rFonts w:cstheme="minorHAnsi"/>
          <w:color w:val="231F20"/>
          <w:w w:val="105"/>
        </w:rPr>
        <w:t>and</w:t>
      </w:r>
      <w:r w:rsidR="00EA7458" w:rsidRPr="009F06AF">
        <w:rPr>
          <w:rFonts w:cstheme="minorHAnsi"/>
          <w:color w:val="231F20"/>
          <w:spacing w:val="11"/>
          <w:w w:val="105"/>
        </w:rPr>
        <w:t xml:space="preserve"> </w:t>
      </w:r>
      <w:r w:rsidR="00EA7458" w:rsidRPr="009F06AF">
        <w:rPr>
          <w:rFonts w:cstheme="minorHAnsi"/>
          <w:color w:val="231F20"/>
          <w:w w:val="105"/>
        </w:rPr>
        <w:t>posting</w:t>
      </w:r>
      <w:r w:rsidR="00EA7458" w:rsidRPr="009F06AF">
        <w:rPr>
          <w:rFonts w:cstheme="minorHAnsi"/>
          <w:color w:val="231F20"/>
          <w:spacing w:val="11"/>
          <w:w w:val="105"/>
        </w:rPr>
        <w:t xml:space="preserve"> </w:t>
      </w:r>
      <w:r w:rsidR="00EA7458" w:rsidRPr="009F06AF">
        <w:rPr>
          <w:rFonts w:cstheme="minorHAnsi"/>
          <w:color w:val="231F20"/>
          <w:w w:val="105"/>
        </w:rPr>
        <w:t>on</w:t>
      </w:r>
      <w:r w:rsidR="00EA7458" w:rsidRPr="009F06AF">
        <w:rPr>
          <w:rFonts w:cstheme="minorHAnsi"/>
          <w:color w:val="231F20"/>
          <w:spacing w:val="11"/>
          <w:w w:val="105"/>
        </w:rPr>
        <w:t xml:space="preserve"> </w:t>
      </w:r>
      <w:r w:rsidR="00EA7458" w:rsidRPr="009F06AF">
        <w:rPr>
          <w:rFonts w:cstheme="minorHAnsi"/>
          <w:color w:val="231F20"/>
          <w:w w:val="105"/>
        </w:rPr>
        <w:t>the</w:t>
      </w:r>
      <w:r w:rsidR="00EA7458" w:rsidRPr="009F06AF">
        <w:rPr>
          <w:rFonts w:cstheme="minorHAnsi"/>
          <w:color w:val="231F20"/>
          <w:spacing w:val="11"/>
          <w:w w:val="105"/>
        </w:rPr>
        <w:t xml:space="preserve"> </w:t>
      </w:r>
      <w:r w:rsidR="00EA7458" w:rsidRPr="009F06AF">
        <w:rPr>
          <w:rFonts w:cstheme="minorHAnsi"/>
          <w:color w:val="231F20"/>
          <w:w w:val="105"/>
        </w:rPr>
        <w:t>DEO</w:t>
      </w:r>
      <w:r w:rsidR="00EA7458" w:rsidRPr="009F06AF">
        <w:rPr>
          <w:rFonts w:cstheme="minorHAnsi"/>
          <w:color w:val="231F20"/>
          <w:spacing w:val="11"/>
          <w:w w:val="105"/>
        </w:rPr>
        <w:t xml:space="preserve"> </w:t>
      </w:r>
      <w:r w:rsidR="00EA7458" w:rsidRPr="009F06AF">
        <w:rPr>
          <w:rFonts w:cstheme="minorHAnsi"/>
          <w:color w:val="231F20"/>
          <w:w w:val="105"/>
        </w:rPr>
        <w:t>website.</w:t>
      </w:r>
    </w:p>
    <w:p w14:paraId="75C90301" w14:textId="77777777" w:rsidR="00EA7458" w:rsidRPr="009F06AF" w:rsidRDefault="00EA7458" w:rsidP="00D63204">
      <w:pPr>
        <w:widowControl w:val="0"/>
        <w:spacing w:before="6" w:after="0" w:line="240" w:lineRule="auto"/>
        <w:ind w:left="107"/>
        <w:rPr>
          <w:rFonts w:cstheme="minorHAnsi"/>
          <w:sz w:val="16"/>
          <w:szCs w:val="16"/>
        </w:rPr>
      </w:pPr>
    </w:p>
    <w:p w14:paraId="3B8538C5" w14:textId="77777777" w:rsidR="00EA7458" w:rsidRPr="009F06AF" w:rsidRDefault="00EA7458" w:rsidP="00D63204">
      <w:pPr>
        <w:widowControl w:val="0"/>
        <w:numPr>
          <w:ilvl w:val="2"/>
          <w:numId w:val="4"/>
        </w:numPr>
        <w:spacing w:after="0" w:line="240" w:lineRule="auto"/>
        <w:rPr>
          <w:rFonts w:cstheme="minorHAnsi"/>
        </w:rPr>
      </w:pPr>
      <w:r w:rsidRPr="009F06AF">
        <w:rPr>
          <w:rFonts w:cstheme="minorHAnsi"/>
          <w:color w:val="295CA3"/>
          <w:w w:val="110"/>
        </w:rPr>
        <w:t>Governor’s Set Aside Funding and Rapid Response</w:t>
      </w:r>
      <w:r w:rsidRPr="009F06AF">
        <w:rPr>
          <w:rFonts w:cstheme="minorHAnsi"/>
          <w:color w:val="295CA3"/>
          <w:spacing w:val="10"/>
          <w:w w:val="110"/>
        </w:rPr>
        <w:t xml:space="preserve"> </w:t>
      </w:r>
      <w:r w:rsidRPr="009F06AF">
        <w:rPr>
          <w:rFonts w:cstheme="minorHAnsi"/>
          <w:color w:val="295CA3"/>
          <w:w w:val="110"/>
        </w:rPr>
        <w:t>Funds</w:t>
      </w:r>
    </w:p>
    <w:p w14:paraId="6A87A832" w14:textId="2C3C1E72" w:rsidR="00006C32" w:rsidRPr="009F06AF" w:rsidRDefault="00006C32" w:rsidP="00D63204">
      <w:pPr>
        <w:widowControl w:val="0"/>
        <w:spacing w:before="195" w:after="0" w:line="266" w:lineRule="exact"/>
        <w:ind w:left="107"/>
        <w:outlineLvl w:val="2"/>
        <w:rPr>
          <w:rFonts w:cstheme="minorHAnsi"/>
        </w:rPr>
      </w:pPr>
      <w:r w:rsidRPr="009F06AF">
        <w:rPr>
          <w:rFonts w:cstheme="minorHAnsi"/>
          <w:b/>
          <w:bCs/>
          <w:color w:val="231F20"/>
          <w:w w:val="110"/>
        </w:rPr>
        <w:t>Governor’s Set Aside</w:t>
      </w:r>
      <w:r w:rsidRPr="009F06AF">
        <w:rPr>
          <w:rFonts w:cstheme="minorHAnsi"/>
          <w:b/>
          <w:bCs/>
          <w:color w:val="231F20"/>
          <w:spacing w:val="7"/>
          <w:w w:val="110"/>
        </w:rPr>
        <w:t xml:space="preserve"> </w:t>
      </w:r>
      <w:r w:rsidR="000203BB" w:rsidRPr="009F06AF">
        <w:rPr>
          <w:rFonts w:cstheme="minorHAnsi"/>
          <w:b/>
          <w:bCs/>
          <w:color w:val="231F20"/>
          <w:w w:val="110"/>
        </w:rPr>
        <w:t>Funding</w:t>
      </w:r>
    </w:p>
    <w:p w14:paraId="714C7428" w14:textId="3155D056" w:rsidR="00006C32" w:rsidRPr="009F06AF" w:rsidRDefault="00006C32" w:rsidP="00D63204">
      <w:pPr>
        <w:widowControl w:val="0"/>
        <w:spacing w:before="2" w:after="0" w:line="235" w:lineRule="auto"/>
        <w:ind w:left="107"/>
        <w:rPr>
          <w:rFonts w:cstheme="minorHAnsi"/>
        </w:rPr>
      </w:pPr>
      <w:r w:rsidRPr="009F06AF">
        <w:rPr>
          <w:rFonts w:cstheme="minorHAnsi"/>
          <w:color w:val="231F20"/>
          <w:w w:val="105"/>
        </w:rPr>
        <w:t>From</w:t>
      </w:r>
      <w:r w:rsidRPr="009F06AF">
        <w:rPr>
          <w:rFonts w:cstheme="minorHAnsi"/>
          <w:color w:val="231F20"/>
          <w:spacing w:val="13"/>
          <w:w w:val="105"/>
        </w:rPr>
        <w:t xml:space="preserve"> </w:t>
      </w:r>
      <w:r w:rsidRPr="009F06AF">
        <w:rPr>
          <w:rFonts w:cstheme="minorHAnsi"/>
          <w:color w:val="231F20"/>
          <w:w w:val="105"/>
        </w:rPr>
        <w:t>these</w:t>
      </w:r>
      <w:r w:rsidRPr="009F06AF">
        <w:rPr>
          <w:rFonts w:cstheme="minorHAnsi"/>
          <w:color w:val="231F20"/>
          <w:spacing w:val="13"/>
          <w:w w:val="105"/>
        </w:rPr>
        <w:t xml:space="preserve"> </w:t>
      </w:r>
      <w:r w:rsidRPr="009F06AF">
        <w:rPr>
          <w:rFonts w:cstheme="minorHAnsi"/>
          <w:color w:val="231F20"/>
          <w:w w:val="105"/>
        </w:rPr>
        <w:t>state-level</w:t>
      </w:r>
      <w:r w:rsidRPr="009F06AF">
        <w:rPr>
          <w:rFonts w:cstheme="minorHAnsi"/>
          <w:color w:val="231F20"/>
          <w:spacing w:val="13"/>
          <w:w w:val="105"/>
        </w:rPr>
        <w:t xml:space="preserve"> </w:t>
      </w:r>
      <w:r w:rsidRPr="009F06AF">
        <w:rPr>
          <w:rFonts w:cstheme="minorHAnsi"/>
          <w:color w:val="231F20"/>
          <w:w w:val="105"/>
        </w:rPr>
        <w:t>funds,</w:t>
      </w:r>
      <w:r w:rsidRPr="009F06AF">
        <w:rPr>
          <w:rFonts w:cstheme="minorHAnsi"/>
          <w:color w:val="231F20"/>
          <w:spacing w:val="13"/>
          <w:w w:val="105"/>
        </w:rPr>
        <w:t xml:space="preserve"> </w:t>
      </w:r>
      <w:r w:rsidRPr="009F06AF">
        <w:rPr>
          <w:rFonts w:cstheme="minorHAnsi"/>
          <w:color w:val="231F20"/>
          <w:w w:val="105"/>
        </w:rPr>
        <w:t>the</w:t>
      </w:r>
      <w:r w:rsidRPr="009F06AF">
        <w:rPr>
          <w:rFonts w:cstheme="minorHAnsi"/>
          <w:color w:val="231F20"/>
          <w:spacing w:val="13"/>
          <w:w w:val="105"/>
        </w:rPr>
        <w:t xml:space="preserve"> </w:t>
      </w:r>
      <w:r w:rsidRPr="009F06AF">
        <w:rPr>
          <w:rFonts w:cstheme="minorHAnsi"/>
          <w:color w:val="231F20"/>
          <w:w w:val="105"/>
        </w:rPr>
        <w:t>CareerSource</w:t>
      </w:r>
      <w:r w:rsidRPr="009F06AF">
        <w:rPr>
          <w:rFonts w:cstheme="minorHAnsi"/>
          <w:color w:val="231F20"/>
          <w:spacing w:val="13"/>
          <w:w w:val="105"/>
        </w:rPr>
        <w:t xml:space="preserve"> </w:t>
      </w:r>
      <w:r w:rsidRPr="009F06AF">
        <w:rPr>
          <w:rFonts w:cstheme="minorHAnsi"/>
          <w:color w:val="231F20"/>
          <w:w w:val="105"/>
        </w:rPr>
        <w:t>Florida</w:t>
      </w:r>
      <w:r w:rsidRPr="009F06AF">
        <w:rPr>
          <w:rFonts w:cstheme="minorHAnsi"/>
          <w:color w:val="231F20"/>
          <w:spacing w:val="12"/>
          <w:w w:val="105"/>
        </w:rPr>
        <w:t xml:space="preserve"> </w:t>
      </w:r>
      <w:r w:rsidRPr="009F06AF">
        <w:rPr>
          <w:rFonts w:cstheme="minorHAnsi"/>
          <w:color w:val="231F20"/>
          <w:w w:val="105"/>
        </w:rPr>
        <w:t>Board</w:t>
      </w:r>
      <w:r w:rsidRPr="009F06AF">
        <w:rPr>
          <w:rFonts w:cstheme="minorHAnsi"/>
          <w:color w:val="231F20"/>
          <w:spacing w:val="13"/>
          <w:w w:val="105"/>
        </w:rPr>
        <w:t xml:space="preserve"> </w:t>
      </w:r>
      <w:r w:rsidRPr="009F06AF">
        <w:rPr>
          <w:rFonts w:cstheme="minorHAnsi"/>
          <w:color w:val="231F20"/>
          <w:w w:val="105"/>
        </w:rPr>
        <w:t>allocates</w:t>
      </w:r>
      <w:r w:rsidRPr="009F06AF">
        <w:rPr>
          <w:rFonts w:cstheme="minorHAnsi"/>
          <w:color w:val="231F20"/>
          <w:spacing w:val="13"/>
          <w:w w:val="105"/>
        </w:rPr>
        <w:t xml:space="preserve"> </w:t>
      </w:r>
      <w:r w:rsidRPr="009F06AF">
        <w:rPr>
          <w:rFonts w:cstheme="minorHAnsi"/>
          <w:color w:val="231F20"/>
          <w:w w:val="105"/>
        </w:rPr>
        <w:t>certain</w:t>
      </w:r>
      <w:r w:rsidRPr="009F06AF">
        <w:rPr>
          <w:rFonts w:cstheme="minorHAnsi"/>
          <w:color w:val="231F20"/>
          <w:spacing w:val="13"/>
          <w:w w:val="105"/>
        </w:rPr>
        <w:t xml:space="preserve"> </w:t>
      </w:r>
      <w:r w:rsidRPr="009F06AF">
        <w:rPr>
          <w:rFonts w:cstheme="minorHAnsi"/>
          <w:color w:val="231F20"/>
          <w:w w:val="105"/>
        </w:rPr>
        <w:t>funds</w:t>
      </w:r>
      <w:r w:rsidRPr="009F06AF">
        <w:rPr>
          <w:rFonts w:cstheme="minorHAnsi"/>
          <w:color w:val="231F20"/>
          <w:spacing w:val="13"/>
          <w:w w:val="105"/>
        </w:rPr>
        <w:t xml:space="preserve"> </w:t>
      </w:r>
      <w:r w:rsidRPr="009F06AF">
        <w:rPr>
          <w:rFonts w:cstheme="minorHAnsi"/>
          <w:color w:val="231F20"/>
          <w:w w:val="105"/>
        </w:rPr>
        <w:t>for</w:t>
      </w:r>
      <w:r w:rsidRPr="009F06AF">
        <w:rPr>
          <w:rFonts w:cstheme="minorHAnsi"/>
          <w:color w:val="231F20"/>
          <w:spacing w:val="13"/>
          <w:w w:val="105"/>
        </w:rPr>
        <w:t xml:space="preserve"> </w:t>
      </w:r>
      <w:r w:rsidRPr="009F06AF">
        <w:rPr>
          <w:rFonts w:cstheme="minorHAnsi"/>
          <w:color w:val="231F20"/>
          <w:w w:val="105"/>
        </w:rPr>
        <w:t>administrative</w:t>
      </w:r>
      <w:r w:rsidRPr="009F06AF">
        <w:rPr>
          <w:rFonts w:cstheme="minorHAnsi"/>
          <w:color w:val="231F20"/>
          <w:spacing w:val="-8"/>
          <w:w w:val="105"/>
        </w:rPr>
        <w:t xml:space="preserve"> </w:t>
      </w:r>
      <w:r w:rsidRPr="009F06AF">
        <w:rPr>
          <w:rFonts w:cstheme="minorHAnsi"/>
          <w:color w:val="231F20"/>
          <w:w w:val="105"/>
        </w:rPr>
        <w:t>and</w:t>
      </w:r>
      <w:r w:rsidRPr="009F06AF">
        <w:rPr>
          <w:rFonts w:cstheme="minorHAnsi"/>
          <w:color w:val="231F20"/>
          <w:spacing w:val="22"/>
          <w:w w:val="105"/>
        </w:rPr>
        <w:t xml:space="preserve"> </w:t>
      </w:r>
      <w:r w:rsidRPr="009F06AF">
        <w:rPr>
          <w:rFonts w:cstheme="minorHAnsi"/>
          <w:color w:val="231F20"/>
          <w:w w:val="105"/>
        </w:rPr>
        <w:t>program</w:t>
      </w:r>
      <w:r w:rsidRPr="009F06AF">
        <w:rPr>
          <w:rFonts w:cstheme="minorHAnsi"/>
          <w:color w:val="231F20"/>
          <w:spacing w:val="22"/>
          <w:w w:val="105"/>
        </w:rPr>
        <w:t xml:space="preserve"> </w:t>
      </w:r>
      <w:r w:rsidRPr="009F06AF">
        <w:rPr>
          <w:rFonts w:cstheme="minorHAnsi"/>
          <w:color w:val="231F20"/>
          <w:w w:val="105"/>
        </w:rPr>
        <w:t>costs</w:t>
      </w:r>
      <w:r w:rsidRPr="009F06AF">
        <w:rPr>
          <w:rFonts w:cstheme="minorHAnsi"/>
          <w:color w:val="231F20"/>
          <w:spacing w:val="22"/>
          <w:w w:val="105"/>
        </w:rPr>
        <w:t xml:space="preserve"> </w:t>
      </w:r>
      <w:r w:rsidRPr="009F06AF">
        <w:rPr>
          <w:rFonts w:cstheme="minorHAnsi"/>
          <w:color w:val="231F20"/>
          <w:w w:val="105"/>
        </w:rPr>
        <w:t>of</w:t>
      </w:r>
      <w:r w:rsidRPr="009F06AF">
        <w:rPr>
          <w:rFonts w:cstheme="minorHAnsi"/>
          <w:color w:val="231F20"/>
          <w:spacing w:val="22"/>
          <w:w w:val="105"/>
        </w:rPr>
        <w:t xml:space="preserve"> </w:t>
      </w:r>
      <w:r w:rsidRPr="009F06AF">
        <w:rPr>
          <w:rFonts w:cstheme="minorHAnsi"/>
          <w:color w:val="231F20"/>
          <w:w w:val="105"/>
        </w:rPr>
        <w:t>DEO</w:t>
      </w:r>
      <w:r w:rsidRPr="009F06AF">
        <w:rPr>
          <w:rFonts w:cstheme="minorHAnsi"/>
          <w:color w:val="231F20"/>
          <w:spacing w:val="22"/>
          <w:w w:val="105"/>
        </w:rPr>
        <w:t xml:space="preserve"> </w:t>
      </w:r>
      <w:r w:rsidRPr="009F06AF">
        <w:rPr>
          <w:rFonts w:cstheme="minorHAnsi"/>
          <w:color w:val="231F20"/>
          <w:w w:val="105"/>
        </w:rPr>
        <w:t>and</w:t>
      </w:r>
      <w:r w:rsidRPr="009F06AF">
        <w:rPr>
          <w:rFonts w:cstheme="minorHAnsi"/>
          <w:color w:val="231F20"/>
          <w:spacing w:val="22"/>
          <w:w w:val="105"/>
        </w:rPr>
        <w:t xml:space="preserve"> </w:t>
      </w:r>
      <w:r w:rsidRPr="009F06AF">
        <w:rPr>
          <w:rFonts w:cstheme="minorHAnsi"/>
          <w:color w:val="231F20"/>
          <w:w w:val="105"/>
        </w:rPr>
        <w:t>CareerSource</w:t>
      </w:r>
      <w:r w:rsidRPr="009F06AF">
        <w:rPr>
          <w:rFonts w:cstheme="minorHAnsi"/>
          <w:color w:val="231F20"/>
          <w:spacing w:val="22"/>
          <w:w w:val="105"/>
        </w:rPr>
        <w:t xml:space="preserve"> </w:t>
      </w:r>
      <w:r w:rsidRPr="009F06AF">
        <w:rPr>
          <w:rFonts w:cstheme="minorHAnsi"/>
          <w:color w:val="231F20"/>
          <w:w w:val="105"/>
        </w:rPr>
        <w:t>Florida.</w:t>
      </w:r>
      <w:r w:rsidRPr="009F06AF">
        <w:rPr>
          <w:rFonts w:cstheme="minorHAnsi"/>
          <w:color w:val="231F20"/>
          <w:spacing w:val="22"/>
          <w:w w:val="105"/>
        </w:rPr>
        <w:t xml:space="preserve"> </w:t>
      </w:r>
      <w:r w:rsidR="00366711">
        <w:rPr>
          <w:rFonts w:cstheme="minorHAnsi"/>
          <w:color w:val="231F20"/>
          <w:w w:val="105"/>
        </w:rPr>
        <w:t>I</w:t>
      </w:r>
      <w:r w:rsidRPr="009F06AF">
        <w:rPr>
          <w:rFonts w:cstheme="minorHAnsi"/>
          <w:color w:val="231F20"/>
          <w:w w:val="105"/>
        </w:rPr>
        <w:t>n</w:t>
      </w:r>
      <w:r w:rsidRPr="009F06AF">
        <w:rPr>
          <w:rFonts w:cstheme="minorHAnsi"/>
          <w:color w:val="231F20"/>
          <w:spacing w:val="22"/>
          <w:w w:val="105"/>
        </w:rPr>
        <w:t xml:space="preserve"> </w:t>
      </w:r>
      <w:r w:rsidRPr="009F06AF">
        <w:rPr>
          <w:rFonts w:cstheme="minorHAnsi"/>
          <w:color w:val="231F20"/>
          <w:w w:val="105"/>
        </w:rPr>
        <w:t>accordance</w:t>
      </w:r>
      <w:r w:rsidRPr="009F06AF">
        <w:rPr>
          <w:rFonts w:cstheme="minorHAnsi"/>
          <w:color w:val="231F20"/>
          <w:spacing w:val="22"/>
          <w:w w:val="105"/>
        </w:rPr>
        <w:t xml:space="preserve"> </w:t>
      </w:r>
      <w:r w:rsidRPr="009F06AF">
        <w:rPr>
          <w:rFonts w:cstheme="minorHAnsi"/>
          <w:color w:val="231F20"/>
          <w:w w:val="105"/>
        </w:rPr>
        <w:t>with</w:t>
      </w:r>
      <w:r w:rsidRPr="009F06AF">
        <w:rPr>
          <w:rFonts w:cstheme="minorHAnsi"/>
          <w:color w:val="231F20"/>
          <w:spacing w:val="22"/>
          <w:w w:val="105"/>
        </w:rPr>
        <w:t xml:space="preserve"> </w:t>
      </w:r>
      <w:r w:rsidRPr="009F06AF">
        <w:rPr>
          <w:rFonts w:cstheme="minorHAnsi"/>
          <w:color w:val="231F20"/>
          <w:w w:val="105"/>
        </w:rPr>
        <w:t>Section</w:t>
      </w:r>
      <w:r w:rsidRPr="009F06AF">
        <w:rPr>
          <w:rFonts w:cstheme="minorHAnsi"/>
          <w:color w:val="231F20"/>
          <w:spacing w:val="22"/>
          <w:w w:val="105"/>
        </w:rPr>
        <w:t xml:space="preserve"> </w:t>
      </w:r>
      <w:r w:rsidRPr="009F06AF">
        <w:rPr>
          <w:rFonts w:cstheme="minorHAnsi"/>
          <w:color w:val="231F20"/>
          <w:w w:val="105"/>
        </w:rPr>
        <w:t>445.003(3)</w:t>
      </w:r>
      <w:r w:rsidRPr="009F06AF">
        <w:rPr>
          <w:rFonts w:cstheme="minorHAnsi"/>
          <w:color w:val="231F20"/>
          <w:spacing w:val="-47"/>
          <w:w w:val="105"/>
        </w:rPr>
        <w:t xml:space="preserve"> </w:t>
      </w:r>
      <w:r w:rsidRPr="009F06AF">
        <w:rPr>
          <w:rFonts w:cstheme="minorHAnsi"/>
          <w:color w:val="231F20"/>
          <w:w w:val="105"/>
        </w:rPr>
        <w:t>(a)2,</w:t>
      </w:r>
      <w:r w:rsidRPr="009F06AF">
        <w:rPr>
          <w:rFonts w:cstheme="minorHAnsi"/>
          <w:color w:val="231F20"/>
          <w:spacing w:val="6"/>
          <w:w w:val="105"/>
        </w:rPr>
        <w:t xml:space="preserve"> </w:t>
      </w:r>
      <w:r w:rsidRPr="009F06AF">
        <w:rPr>
          <w:rFonts w:cstheme="minorHAnsi"/>
          <w:color w:val="231F20"/>
          <w:w w:val="105"/>
        </w:rPr>
        <w:t>Florida</w:t>
      </w:r>
      <w:r w:rsidRPr="009F06AF">
        <w:rPr>
          <w:rFonts w:cstheme="minorHAnsi"/>
          <w:color w:val="231F20"/>
          <w:spacing w:val="6"/>
          <w:w w:val="105"/>
        </w:rPr>
        <w:t xml:space="preserve"> </w:t>
      </w:r>
      <w:r w:rsidRPr="009F06AF">
        <w:rPr>
          <w:rFonts w:cstheme="minorHAnsi"/>
          <w:color w:val="231F20"/>
          <w:w w:val="105"/>
        </w:rPr>
        <w:t>Statutes,</w:t>
      </w:r>
      <w:r w:rsidRPr="009F06AF">
        <w:rPr>
          <w:rFonts w:cstheme="minorHAnsi"/>
          <w:color w:val="231F20"/>
          <w:spacing w:val="6"/>
          <w:w w:val="105"/>
        </w:rPr>
        <w:t xml:space="preserve"> </w:t>
      </w:r>
      <w:r w:rsidRPr="009F06AF">
        <w:rPr>
          <w:rFonts w:cstheme="minorHAnsi"/>
          <w:color w:val="231F20"/>
          <w:w w:val="105"/>
        </w:rPr>
        <w:t>$2</w:t>
      </w:r>
      <w:r w:rsidRPr="009F06AF">
        <w:rPr>
          <w:rFonts w:cstheme="minorHAnsi"/>
          <w:color w:val="231F20"/>
          <w:spacing w:val="6"/>
          <w:w w:val="105"/>
        </w:rPr>
        <w:t xml:space="preserve"> </w:t>
      </w:r>
      <w:r w:rsidRPr="009F06AF">
        <w:rPr>
          <w:rFonts w:cstheme="minorHAnsi"/>
          <w:color w:val="231F20"/>
          <w:w w:val="105"/>
        </w:rPr>
        <w:t>million</w:t>
      </w:r>
      <w:r w:rsidRPr="009F06AF">
        <w:rPr>
          <w:rFonts w:cstheme="minorHAnsi"/>
          <w:color w:val="231F20"/>
          <w:spacing w:val="6"/>
          <w:w w:val="105"/>
        </w:rPr>
        <w:t xml:space="preserve"> </w:t>
      </w:r>
      <w:r w:rsidRPr="009F06AF">
        <w:rPr>
          <w:rFonts w:cstheme="minorHAnsi"/>
          <w:color w:val="231F20"/>
          <w:w w:val="105"/>
        </w:rPr>
        <w:t>in</w:t>
      </w:r>
      <w:r w:rsidRPr="009F06AF">
        <w:rPr>
          <w:rFonts w:cstheme="minorHAnsi"/>
          <w:color w:val="231F20"/>
          <w:spacing w:val="6"/>
          <w:w w:val="105"/>
        </w:rPr>
        <w:t xml:space="preserve"> </w:t>
      </w:r>
      <w:r w:rsidRPr="009F06AF">
        <w:rPr>
          <w:rFonts w:cstheme="minorHAnsi"/>
          <w:color w:val="231F20"/>
          <w:spacing w:val="-3"/>
          <w:w w:val="105"/>
        </w:rPr>
        <w:t>WIOA</w:t>
      </w:r>
      <w:r w:rsidRPr="009F06AF">
        <w:rPr>
          <w:rFonts w:cstheme="minorHAnsi"/>
          <w:color w:val="231F20"/>
          <w:spacing w:val="6"/>
          <w:w w:val="105"/>
        </w:rPr>
        <w:t xml:space="preserve"> </w:t>
      </w:r>
      <w:r w:rsidRPr="009F06AF">
        <w:rPr>
          <w:rFonts w:cstheme="minorHAnsi"/>
          <w:color w:val="231F20"/>
          <w:w w:val="105"/>
        </w:rPr>
        <w:t>set-aside</w:t>
      </w:r>
      <w:r w:rsidRPr="009F06AF">
        <w:rPr>
          <w:rFonts w:cstheme="minorHAnsi"/>
          <w:color w:val="231F20"/>
          <w:spacing w:val="6"/>
          <w:w w:val="105"/>
        </w:rPr>
        <w:t xml:space="preserve"> </w:t>
      </w:r>
      <w:r w:rsidRPr="009F06AF">
        <w:rPr>
          <w:rFonts w:cstheme="minorHAnsi"/>
          <w:color w:val="231F20"/>
          <w:w w:val="105"/>
        </w:rPr>
        <w:t>funds</w:t>
      </w:r>
      <w:r w:rsidRPr="009F06AF">
        <w:rPr>
          <w:rFonts w:cstheme="minorHAnsi"/>
          <w:color w:val="231F20"/>
          <w:spacing w:val="6"/>
          <w:w w:val="105"/>
        </w:rPr>
        <w:t xml:space="preserve"> </w:t>
      </w:r>
      <w:r w:rsidRPr="009F06AF">
        <w:rPr>
          <w:rFonts w:cstheme="minorHAnsi"/>
          <w:color w:val="231F20"/>
          <w:w w:val="105"/>
        </w:rPr>
        <w:t>must</w:t>
      </w:r>
      <w:r w:rsidRPr="009F06AF">
        <w:rPr>
          <w:rFonts w:cstheme="minorHAnsi"/>
          <w:color w:val="231F20"/>
          <w:spacing w:val="6"/>
          <w:w w:val="105"/>
        </w:rPr>
        <w:t xml:space="preserve"> </w:t>
      </w:r>
      <w:r w:rsidRPr="009F06AF">
        <w:rPr>
          <w:rFonts w:cstheme="minorHAnsi"/>
          <w:color w:val="231F20"/>
          <w:w w:val="105"/>
        </w:rPr>
        <w:t>be</w:t>
      </w:r>
      <w:r w:rsidRPr="009F06AF">
        <w:rPr>
          <w:rFonts w:cstheme="minorHAnsi"/>
          <w:color w:val="231F20"/>
          <w:spacing w:val="6"/>
          <w:w w:val="105"/>
        </w:rPr>
        <w:t xml:space="preserve"> </w:t>
      </w:r>
      <w:r w:rsidRPr="009F06AF">
        <w:rPr>
          <w:rFonts w:cstheme="minorHAnsi"/>
          <w:color w:val="231F20"/>
          <w:w w:val="105"/>
        </w:rPr>
        <w:t>allocated</w:t>
      </w:r>
      <w:r w:rsidRPr="009F06AF">
        <w:rPr>
          <w:rFonts w:cstheme="minorHAnsi"/>
          <w:color w:val="231F20"/>
          <w:spacing w:val="6"/>
          <w:w w:val="105"/>
        </w:rPr>
        <w:t xml:space="preserve"> </w:t>
      </w:r>
      <w:r w:rsidRPr="009F06AF">
        <w:rPr>
          <w:rFonts w:cstheme="minorHAnsi"/>
          <w:color w:val="231F20"/>
          <w:w w:val="105"/>
        </w:rPr>
        <w:t>for</w:t>
      </w:r>
      <w:r w:rsidRPr="009F06AF">
        <w:rPr>
          <w:rFonts w:cstheme="minorHAnsi"/>
          <w:color w:val="231F20"/>
          <w:spacing w:val="6"/>
          <w:w w:val="105"/>
        </w:rPr>
        <w:t xml:space="preserve"> </w:t>
      </w:r>
      <w:r w:rsidRPr="009F06AF">
        <w:rPr>
          <w:rFonts w:cstheme="minorHAnsi"/>
          <w:color w:val="231F20"/>
          <w:w w:val="105"/>
        </w:rPr>
        <w:t>the</w:t>
      </w:r>
      <w:r w:rsidRPr="009F06AF">
        <w:rPr>
          <w:rFonts w:cstheme="minorHAnsi"/>
          <w:color w:val="231F20"/>
          <w:spacing w:val="6"/>
          <w:w w:val="105"/>
        </w:rPr>
        <w:t xml:space="preserve"> </w:t>
      </w:r>
      <w:r w:rsidRPr="009F06AF">
        <w:rPr>
          <w:rFonts w:cstheme="minorHAnsi"/>
          <w:color w:val="231F20"/>
          <w:w w:val="105"/>
        </w:rPr>
        <w:t>Incumbent</w:t>
      </w:r>
      <w:r w:rsidRPr="009F06AF">
        <w:rPr>
          <w:rFonts w:cstheme="minorHAnsi"/>
          <w:color w:val="231F20"/>
          <w:spacing w:val="6"/>
          <w:w w:val="105"/>
        </w:rPr>
        <w:t xml:space="preserve"> </w:t>
      </w:r>
      <w:r w:rsidRPr="009F06AF">
        <w:rPr>
          <w:rFonts w:cstheme="minorHAnsi"/>
          <w:color w:val="231F20"/>
          <w:w w:val="105"/>
        </w:rPr>
        <w:t>Worker</w:t>
      </w:r>
      <w:r w:rsidRPr="009F06AF">
        <w:rPr>
          <w:rFonts w:cstheme="minorHAnsi"/>
          <w:color w:val="231F20"/>
          <w:spacing w:val="-36"/>
          <w:w w:val="105"/>
        </w:rPr>
        <w:t xml:space="preserve"> </w:t>
      </w:r>
      <w:r w:rsidRPr="009F06AF">
        <w:rPr>
          <w:rFonts w:cstheme="minorHAnsi"/>
          <w:color w:val="231F20"/>
          <w:spacing w:val="-3"/>
          <w:w w:val="105"/>
        </w:rPr>
        <w:t>Training</w:t>
      </w:r>
      <w:r w:rsidRPr="009F06AF">
        <w:rPr>
          <w:rFonts w:cstheme="minorHAnsi"/>
          <w:color w:val="231F20"/>
          <w:spacing w:val="14"/>
          <w:w w:val="105"/>
        </w:rPr>
        <w:t xml:space="preserve"> </w:t>
      </w:r>
      <w:r w:rsidRPr="009F06AF">
        <w:rPr>
          <w:rFonts w:cstheme="minorHAnsi"/>
          <w:color w:val="231F20"/>
          <w:w w:val="105"/>
        </w:rPr>
        <w:t>(IWT)</w:t>
      </w:r>
      <w:r w:rsidRPr="009F06AF">
        <w:rPr>
          <w:rFonts w:cstheme="minorHAnsi"/>
          <w:color w:val="231F20"/>
          <w:spacing w:val="14"/>
          <w:w w:val="105"/>
        </w:rPr>
        <w:t xml:space="preserve"> </w:t>
      </w:r>
      <w:r w:rsidRPr="009F06AF">
        <w:rPr>
          <w:rFonts w:cstheme="minorHAnsi"/>
          <w:color w:val="231F20"/>
          <w:w w:val="105"/>
        </w:rPr>
        <w:t>program,</w:t>
      </w:r>
      <w:r w:rsidRPr="009F06AF">
        <w:rPr>
          <w:rFonts w:cstheme="minorHAnsi"/>
          <w:color w:val="231F20"/>
          <w:spacing w:val="14"/>
          <w:w w:val="105"/>
        </w:rPr>
        <w:t xml:space="preserve"> </w:t>
      </w:r>
      <w:r w:rsidRPr="009F06AF">
        <w:rPr>
          <w:rFonts w:cstheme="minorHAnsi"/>
          <w:color w:val="231F20"/>
          <w:w w:val="105"/>
        </w:rPr>
        <w:t>administered</w:t>
      </w:r>
      <w:r w:rsidRPr="009F06AF">
        <w:rPr>
          <w:rFonts w:cstheme="minorHAnsi"/>
          <w:color w:val="231F20"/>
          <w:spacing w:val="14"/>
          <w:w w:val="105"/>
        </w:rPr>
        <w:t xml:space="preserve"> </w:t>
      </w:r>
      <w:r w:rsidRPr="009F06AF">
        <w:rPr>
          <w:rFonts w:cstheme="minorHAnsi"/>
          <w:color w:val="231F20"/>
          <w:w w:val="105"/>
        </w:rPr>
        <w:t>by</w:t>
      </w:r>
      <w:r w:rsidRPr="009F06AF">
        <w:rPr>
          <w:rFonts w:cstheme="minorHAnsi"/>
          <w:color w:val="231F20"/>
          <w:spacing w:val="14"/>
          <w:w w:val="105"/>
        </w:rPr>
        <w:t xml:space="preserve"> </w:t>
      </w:r>
      <w:r w:rsidRPr="009F06AF">
        <w:rPr>
          <w:rFonts w:cstheme="minorHAnsi"/>
          <w:color w:val="231F20"/>
          <w:w w:val="105"/>
        </w:rPr>
        <w:t>the</w:t>
      </w:r>
      <w:r w:rsidRPr="009F06AF">
        <w:rPr>
          <w:rFonts w:cstheme="minorHAnsi"/>
          <w:color w:val="231F20"/>
          <w:spacing w:val="14"/>
          <w:w w:val="105"/>
        </w:rPr>
        <w:t xml:space="preserve"> </w:t>
      </w:r>
      <w:r w:rsidRPr="009F06AF">
        <w:rPr>
          <w:rFonts w:cstheme="minorHAnsi"/>
          <w:color w:val="231F20"/>
          <w:w w:val="105"/>
        </w:rPr>
        <w:t>CareerSource</w:t>
      </w:r>
      <w:r w:rsidRPr="009F06AF">
        <w:rPr>
          <w:rFonts w:cstheme="minorHAnsi"/>
          <w:color w:val="231F20"/>
          <w:spacing w:val="14"/>
          <w:w w:val="105"/>
        </w:rPr>
        <w:t xml:space="preserve"> </w:t>
      </w:r>
      <w:r w:rsidRPr="009F06AF">
        <w:rPr>
          <w:rFonts w:cstheme="minorHAnsi"/>
          <w:color w:val="231F20"/>
          <w:w w:val="105"/>
        </w:rPr>
        <w:t>Florida</w:t>
      </w:r>
      <w:r w:rsidRPr="009F06AF">
        <w:rPr>
          <w:rFonts w:cstheme="minorHAnsi"/>
          <w:color w:val="231F20"/>
          <w:spacing w:val="14"/>
          <w:w w:val="105"/>
        </w:rPr>
        <w:t xml:space="preserve"> </w:t>
      </w:r>
      <w:r w:rsidRPr="009F06AF">
        <w:rPr>
          <w:rFonts w:cstheme="minorHAnsi"/>
          <w:color w:val="231F20"/>
          <w:w w:val="105"/>
        </w:rPr>
        <w:t>professional</w:t>
      </w:r>
      <w:r w:rsidRPr="009F06AF">
        <w:rPr>
          <w:rFonts w:cstheme="minorHAnsi"/>
          <w:color w:val="231F20"/>
          <w:spacing w:val="14"/>
          <w:w w:val="105"/>
        </w:rPr>
        <w:t xml:space="preserve"> </w:t>
      </w:r>
      <w:r w:rsidRPr="009F06AF">
        <w:rPr>
          <w:rFonts w:cstheme="minorHAnsi"/>
          <w:color w:val="231F20"/>
          <w:w w:val="105"/>
        </w:rPr>
        <w:t>team.</w:t>
      </w:r>
      <w:r w:rsidRPr="009F06AF">
        <w:rPr>
          <w:rFonts w:cstheme="minorHAnsi"/>
          <w:color w:val="231F20"/>
          <w:spacing w:val="14"/>
          <w:w w:val="105"/>
        </w:rPr>
        <w:t xml:space="preserve"> </w:t>
      </w:r>
      <w:r w:rsidRPr="009F06AF">
        <w:rPr>
          <w:rFonts w:cstheme="minorHAnsi"/>
          <w:color w:val="231F20"/>
          <w:w w:val="105"/>
        </w:rPr>
        <w:t>From</w:t>
      </w:r>
      <w:r w:rsidRPr="009F06AF">
        <w:rPr>
          <w:rFonts w:cstheme="minorHAnsi"/>
          <w:color w:val="231F20"/>
          <w:spacing w:val="14"/>
          <w:w w:val="105"/>
        </w:rPr>
        <w:t xml:space="preserve"> </w:t>
      </w:r>
      <w:r w:rsidRPr="009F06AF">
        <w:rPr>
          <w:rFonts w:cstheme="minorHAnsi"/>
          <w:color w:val="231F20"/>
          <w:w w:val="105"/>
        </w:rPr>
        <w:t>the</w:t>
      </w:r>
      <w:r w:rsidRPr="009F06AF">
        <w:rPr>
          <w:rFonts w:cstheme="minorHAnsi"/>
          <w:color w:val="231F20"/>
          <w:spacing w:val="14"/>
          <w:w w:val="105"/>
        </w:rPr>
        <w:t xml:space="preserve"> </w:t>
      </w:r>
      <w:r w:rsidRPr="009F06AF">
        <w:rPr>
          <w:rFonts w:cstheme="minorHAnsi"/>
          <w:color w:val="231F20"/>
          <w:w w:val="105"/>
        </w:rPr>
        <w:t>balance</w:t>
      </w:r>
      <w:r w:rsidRPr="009F06AF">
        <w:rPr>
          <w:rFonts w:cstheme="minorHAnsi"/>
          <w:color w:val="231F20"/>
          <w:spacing w:val="14"/>
          <w:w w:val="105"/>
        </w:rPr>
        <w:t xml:space="preserve"> </w:t>
      </w:r>
      <w:r w:rsidRPr="009F06AF">
        <w:rPr>
          <w:rFonts w:cstheme="minorHAnsi"/>
          <w:color w:val="231F20"/>
          <w:w w:val="105"/>
        </w:rPr>
        <w:t>of</w:t>
      </w:r>
      <w:r w:rsidRPr="009F06AF">
        <w:rPr>
          <w:rFonts w:cstheme="minorHAnsi"/>
          <w:color w:val="231F20"/>
          <w:w w:val="102"/>
        </w:rPr>
        <w:t xml:space="preserve"> </w:t>
      </w:r>
      <w:r w:rsidRPr="009F06AF">
        <w:rPr>
          <w:rFonts w:cstheme="minorHAnsi"/>
          <w:color w:val="231F20"/>
          <w:w w:val="105"/>
        </w:rPr>
        <w:t>state-level</w:t>
      </w:r>
      <w:r w:rsidRPr="009F06AF">
        <w:rPr>
          <w:rFonts w:cstheme="minorHAnsi"/>
          <w:color w:val="231F20"/>
          <w:spacing w:val="10"/>
          <w:w w:val="105"/>
        </w:rPr>
        <w:t xml:space="preserve"> </w:t>
      </w:r>
      <w:r w:rsidRPr="009F06AF">
        <w:rPr>
          <w:rFonts w:cstheme="minorHAnsi"/>
          <w:color w:val="231F20"/>
          <w:spacing w:val="-3"/>
          <w:w w:val="105"/>
        </w:rPr>
        <w:t>WIOA</w:t>
      </w:r>
      <w:r w:rsidRPr="009F06AF">
        <w:rPr>
          <w:rFonts w:cstheme="minorHAnsi"/>
          <w:color w:val="231F20"/>
          <w:spacing w:val="10"/>
          <w:w w:val="105"/>
        </w:rPr>
        <w:t xml:space="preserve"> </w:t>
      </w:r>
      <w:r w:rsidRPr="009F06AF">
        <w:rPr>
          <w:rFonts w:cstheme="minorHAnsi"/>
          <w:color w:val="231F20"/>
          <w:w w:val="105"/>
        </w:rPr>
        <w:t>funds,</w:t>
      </w:r>
      <w:r w:rsidRPr="009F06AF">
        <w:rPr>
          <w:rFonts w:cstheme="minorHAnsi"/>
          <w:color w:val="231F20"/>
          <w:spacing w:val="10"/>
          <w:w w:val="105"/>
        </w:rPr>
        <w:t xml:space="preserve"> </w:t>
      </w:r>
      <w:r w:rsidRPr="009F06AF">
        <w:rPr>
          <w:rFonts w:cstheme="minorHAnsi"/>
          <w:color w:val="231F20"/>
          <w:w w:val="105"/>
        </w:rPr>
        <w:t>this</w:t>
      </w:r>
      <w:r w:rsidRPr="009F06AF">
        <w:rPr>
          <w:rFonts w:cstheme="minorHAnsi"/>
          <w:color w:val="231F20"/>
          <w:spacing w:val="10"/>
          <w:w w:val="105"/>
        </w:rPr>
        <w:t xml:space="preserve"> </w:t>
      </w:r>
      <w:r w:rsidRPr="009F06AF">
        <w:rPr>
          <w:rFonts w:cstheme="minorHAnsi"/>
          <w:color w:val="231F20"/>
          <w:w w:val="105"/>
        </w:rPr>
        <w:t>board</w:t>
      </w:r>
      <w:r w:rsidRPr="009F06AF">
        <w:rPr>
          <w:rFonts w:cstheme="minorHAnsi"/>
          <w:color w:val="231F20"/>
          <w:spacing w:val="10"/>
          <w:w w:val="105"/>
        </w:rPr>
        <w:t xml:space="preserve"> </w:t>
      </w:r>
      <w:r w:rsidRPr="009F06AF">
        <w:rPr>
          <w:rFonts w:cstheme="minorHAnsi"/>
          <w:color w:val="231F20"/>
          <w:w w:val="105"/>
        </w:rPr>
        <w:t>determines</w:t>
      </w:r>
      <w:r w:rsidRPr="009F06AF">
        <w:rPr>
          <w:rFonts w:cstheme="minorHAnsi"/>
          <w:color w:val="231F20"/>
          <w:spacing w:val="10"/>
          <w:w w:val="105"/>
        </w:rPr>
        <w:t xml:space="preserve"> </w:t>
      </w:r>
      <w:r w:rsidRPr="009F06AF">
        <w:rPr>
          <w:rFonts w:cstheme="minorHAnsi"/>
          <w:color w:val="231F20"/>
          <w:w w:val="105"/>
        </w:rPr>
        <w:t>any</w:t>
      </w:r>
      <w:r w:rsidRPr="009F06AF">
        <w:rPr>
          <w:rFonts w:cstheme="minorHAnsi"/>
          <w:color w:val="231F20"/>
          <w:spacing w:val="10"/>
          <w:w w:val="105"/>
        </w:rPr>
        <w:t xml:space="preserve"> </w:t>
      </w:r>
      <w:r w:rsidRPr="009F06AF">
        <w:rPr>
          <w:rFonts w:cstheme="minorHAnsi"/>
          <w:color w:val="231F20"/>
          <w:w w:val="105"/>
        </w:rPr>
        <w:t>additional</w:t>
      </w:r>
      <w:r w:rsidRPr="009F06AF">
        <w:rPr>
          <w:rFonts w:cstheme="minorHAnsi"/>
          <w:color w:val="231F20"/>
          <w:spacing w:val="10"/>
          <w:w w:val="105"/>
        </w:rPr>
        <w:t xml:space="preserve"> </w:t>
      </w:r>
      <w:r w:rsidRPr="009F06AF">
        <w:rPr>
          <w:rFonts w:cstheme="minorHAnsi"/>
          <w:color w:val="231F20"/>
          <w:w w:val="105"/>
        </w:rPr>
        <w:t>or</w:t>
      </w:r>
      <w:r w:rsidRPr="009F06AF">
        <w:rPr>
          <w:rFonts w:cstheme="minorHAnsi"/>
          <w:color w:val="231F20"/>
          <w:spacing w:val="10"/>
          <w:w w:val="105"/>
        </w:rPr>
        <w:t xml:space="preserve"> </w:t>
      </w:r>
      <w:r w:rsidRPr="009F06AF">
        <w:rPr>
          <w:rFonts w:cstheme="minorHAnsi"/>
          <w:color w:val="231F20"/>
          <w:w w:val="105"/>
        </w:rPr>
        <w:t>specific</w:t>
      </w:r>
      <w:r w:rsidRPr="009F06AF">
        <w:rPr>
          <w:rFonts w:cstheme="minorHAnsi"/>
          <w:color w:val="231F20"/>
          <w:spacing w:val="10"/>
          <w:w w:val="105"/>
        </w:rPr>
        <w:t xml:space="preserve"> </w:t>
      </w:r>
      <w:r w:rsidRPr="009F06AF">
        <w:rPr>
          <w:rFonts w:cstheme="minorHAnsi"/>
          <w:color w:val="231F20"/>
          <w:w w:val="105"/>
        </w:rPr>
        <w:t>allotments</w:t>
      </w:r>
      <w:r w:rsidRPr="009F06AF">
        <w:rPr>
          <w:rFonts w:cstheme="minorHAnsi"/>
          <w:color w:val="231F20"/>
          <w:spacing w:val="10"/>
          <w:w w:val="105"/>
        </w:rPr>
        <w:t xml:space="preserve"> </w:t>
      </w:r>
      <w:r w:rsidRPr="009F06AF">
        <w:rPr>
          <w:rFonts w:cstheme="minorHAnsi"/>
          <w:color w:val="231F20"/>
          <w:w w:val="105"/>
        </w:rPr>
        <w:t>for</w:t>
      </w:r>
      <w:r w:rsidRPr="009F06AF">
        <w:rPr>
          <w:rFonts w:cstheme="minorHAnsi"/>
          <w:color w:val="231F20"/>
          <w:spacing w:val="10"/>
          <w:w w:val="105"/>
        </w:rPr>
        <w:t xml:space="preserve"> </w:t>
      </w:r>
      <w:r w:rsidRPr="009F06AF">
        <w:rPr>
          <w:rFonts w:cstheme="minorHAnsi"/>
          <w:color w:val="231F20"/>
          <w:w w:val="105"/>
        </w:rPr>
        <w:t>purposes</w:t>
      </w:r>
      <w:r w:rsidRPr="009F06AF">
        <w:rPr>
          <w:rFonts w:cstheme="minorHAnsi"/>
          <w:color w:val="231F20"/>
          <w:spacing w:val="10"/>
          <w:w w:val="105"/>
        </w:rPr>
        <w:t xml:space="preserve"> </w:t>
      </w:r>
      <w:r w:rsidRPr="009F06AF">
        <w:rPr>
          <w:rFonts w:cstheme="minorHAnsi"/>
          <w:color w:val="231F20"/>
          <w:w w:val="105"/>
        </w:rPr>
        <w:t>of</w:t>
      </w:r>
      <w:r w:rsidRPr="009F06AF">
        <w:rPr>
          <w:rFonts w:cstheme="minorHAnsi"/>
          <w:color w:val="231F20"/>
          <w:spacing w:val="10"/>
          <w:w w:val="105"/>
        </w:rPr>
        <w:t xml:space="preserve"> </w:t>
      </w:r>
      <w:r w:rsidRPr="009F06AF">
        <w:rPr>
          <w:rFonts w:cstheme="minorHAnsi"/>
          <w:color w:val="231F20"/>
          <w:w w:val="105"/>
        </w:rPr>
        <w:t>state</w:t>
      </w:r>
      <w:r>
        <w:rPr>
          <w:rFonts w:cstheme="minorHAnsi"/>
          <w:color w:val="231F20"/>
          <w:w w:val="105"/>
        </w:rPr>
        <w:t xml:space="preserve"> </w:t>
      </w:r>
      <w:r w:rsidRPr="009F06AF">
        <w:rPr>
          <w:rFonts w:cstheme="minorHAnsi"/>
          <w:color w:val="231F20"/>
          <w:w w:val="105"/>
        </w:rPr>
        <w:t>demonstration and pilot projects as well as other workforce development initiatives.</w:t>
      </w:r>
    </w:p>
    <w:p w14:paraId="3D961459" w14:textId="77777777" w:rsidR="00EA7458" w:rsidRPr="009F06AF" w:rsidRDefault="00EA7458" w:rsidP="00D63204">
      <w:pPr>
        <w:widowControl w:val="0"/>
        <w:spacing w:after="0" w:line="240" w:lineRule="auto"/>
        <w:ind w:left="107"/>
        <w:rPr>
          <w:rFonts w:cstheme="minorHAnsi"/>
        </w:rPr>
      </w:pPr>
    </w:p>
    <w:p w14:paraId="41976D2A" w14:textId="77777777" w:rsidR="00EA7458" w:rsidRPr="009F06AF" w:rsidRDefault="00EA7458" w:rsidP="00D63204">
      <w:pPr>
        <w:widowControl w:val="0"/>
        <w:spacing w:before="192" w:after="0" w:line="266" w:lineRule="exact"/>
        <w:ind w:left="107"/>
        <w:outlineLvl w:val="2"/>
        <w:rPr>
          <w:rFonts w:cstheme="minorHAnsi"/>
        </w:rPr>
      </w:pPr>
      <w:r w:rsidRPr="009F06AF">
        <w:rPr>
          <w:rFonts w:cstheme="minorHAnsi"/>
          <w:b/>
          <w:bCs/>
          <w:color w:val="231F20"/>
          <w:w w:val="110"/>
        </w:rPr>
        <w:t>Rapid Response Funding to Respond to</w:t>
      </w:r>
      <w:r w:rsidRPr="009F06AF">
        <w:rPr>
          <w:rFonts w:cstheme="minorHAnsi"/>
          <w:b/>
          <w:bCs/>
          <w:color w:val="231F20"/>
          <w:spacing w:val="-4"/>
          <w:w w:val="110"/>
        </w:rPr>
        <w:t xml:space="preserve"> </w:t>
      </w:r>
      <w:r w:rsidRPr="009F06AF">
        <w:rPr>
          <w:rFonts w:cstheme="minorHAnsi"/>
          <w:b/>
          <w:bCs/>
          <w:color w:val="231F20"/>
          <w:w w:val="110"/>
        </w:rPr>
        <w:t>Layoffs</w:t>
      </w:r>
    </w:p>
    <w:p w14:paraId="29BD0E5F" w14:textId="77777777" w:rsidR="00751FC0" w:rsidRPr="009F06AF" w:rsidRDefault="00751FC0" w:rsidP="00D63204">
      <w:pPr>
        <w:widowControl w:val="0"/>
        <w:spacing w:before="2" w:after="0" w:line="235" w:lineRule="auto"/>
        <w:ind w:left="107"/>
        <w:rPr>
          <w:rFonts w:cstheme="minorHAnsi"/>
        </w:rPr>
      </w:pPr>
      <w:r w:rsidRPr="009F06AF">
        <w:rPr>
          <w:rFonts w:cstheme="minorHAnsi"/>
          <w:color w:val="231F20"/>
          <w:w w:val="105"/>
        </w:rPr>
        <w:t>DEO</w:t>
      </w:r>
      <w:r w:rsidRPr="009F06AF">
        <w:rPr>
          <w:rFonts w:cstheme="minorHAnsi"/>
          <w:color w:val="231F20"/>
          <w:spacing w:val="46"/>
          <w:w w:val="105"/>
        </w:rPr>
        <w:t xml:space="preserve"> </w:t>
      </w:r>
      <w:r w:rsidRPr="009F06AF">
        <w:rPr>
          <w:rFonts w:cstheme="minorHAnsi"/>
          <w:color w:val="231F20"/>
          <w:w w:val="105"/>
        </w:rPr>
        <w:t>Reemployment</w:t>
      </w:r>
      <w:r w:rsidRPr="009F06AF">
        <w:rPr>
          <w:rFonts w:cstheme="minorHAnsi"/>
          <w:color w:val="231F20"/>
          <w:spacing w:val="46"/>
          <w:w w:val="105"/>
        </w:rPr>
        <w:t xml:space="preserve"> </w:t>
      </w:r>
      <w:r w:rsidRPr="009F06AF">
        <w:rPr>
          <w:rFonts w:cstheme="minorHAnsi"/>
          <w:color w:val="231F20"/>
          <w:w w:val="105"/>
        </w:rPr>
        <w:t>and</w:t>
      </w:r>
      <w:r w:rsidRPr="009F06AF">
        <w:rPr>
          <w:rFonts w:cstheme="minorHAnsi"/>
          <w:color w:val="231F20"/>
          <w:spacing w:val="46"/>
          <w:w w:val="105"/>
        </w:rPr>
        <w:t xml:space="preserve"> </w:t>
      </w:r>
      <w:r w:rsidRPr="009F06AF">
        <w:rPr>
          <w:rFonts w:cstheme="minorHAnsi"/>
          <w:color w:val="231F20"/>
          <w:w w:val="105"/>
        </w:rPr>
        <w:t>Emergency</w:t>
      </w:r>
      <w:r w:rsidRPr="009F06AF">
        <w:rPr>
          <w:rFonts w:cstheme="minorHAnsi"/>
          <w:color w:val="231F20"/>
          <w:spacing w:val="46"/>
          <w:w w:val="105"/>
        </w:rPr>
        <w:t xml:space="preserve"> </w:t>
      </w:r>
      <w:r w:rsidRPr="009F06AF">
        <w:rPr>
          <w:rFonts w:cstheme="minorHAnsi"/>
          <w:color w:val="231F20"/>
          <w:w w:val="105"/>
        </w:rPr>
        <w:t>Assistance</w:t>
      </w:r>
      <w:r w:rsidRPr="009F06AF">
        <w:rPr>
          <w:rFonts w:cstheme="minorHAnsi"/>
          <w:color w:val="231F20"/>
          <w:spacing w:val="46"/>
          <w:w w:val="105"/>
        </w:rPr>
        <w:t xml:space="preserve"> </w:t>
      </w:r>
      <w:r w:rsidRPr="009F06AF">
        <w:rPr>
          <w:rFonts w:cstheme="minorHAnsi"/>
          <w:color w:val="231F20"/>
          <w:w w:val="105"/>
        </w:rPr>
        <w:t>Coordination</w:t>
      </w:r>
      <w:r w:rsidRPr="009F06AF">
        <w:rPr>
          <w:rFonts w:cstheme="minorHAnsi"/>
          <w:color w:val="231F20"/>
          <w:spacing w:val="46"/>
          <w:w w:val="105"/>
        </w:rPr>
        <w:t xml:space="preserve"> </w:t>
      </w:r>
      <w:r w:rsidRPr="009F06AF">
        <w:rPr>
          <w:rFonts w:cstheme="minorHAnsi"/>
          <w:color w:val="231F20"/>
          <w:spacing w:val="-5"/>
          <w:w w:val="105"/>
        </w:rPr>
        <w:t>Team</w:t>
      </w:r>
      <w:r w:rsidRPr="009F06AF">
        <w:rPr>
          <w:rFonts w:cstheme="minorHAnsi"/>
          <w:color w:val="231F20"/>
          <w:spacing w:val="-1"/>
          <w:w w:val="105"/>
        </w:rPr>
        <w:t xml:space="preserve"> </w:t>
      </w:r>
      <w:r w:rsidRPr="009F06AF">
        <w:rPr>
          <w:rFonts w:cstheme="minorHAnsi"/>
          <w:color w:val="231F20"/>
          <w:w w:val="105"/>
        </w:rPr>
        <w:t>(REACT)</w:t>
      </w:r>
      <w:r w:rsidRPr="009F06AF">
        <w:rPr>
          <w:rFonts w:cstheme="minorHAnsi"/>
          <w:color w:val="231F20"/>
          <w:spacing w:val="46"/>
          <w:w w:val="105"/>
        </w:rPr>
        <w:t xml:space="preserve"> </w:t>
      </w:r>
      <w:r w:rsidRPr="009F06AF">
        <w:rPr>
          <w:rFonts w:cstheme="minorHAnsi"/>
          <w:color w:val="231F20"/>
          <w:w w:val="105"/>
        </w:rPr>
        <w:t>serves</w:t>
      </w:r>
      <w:r w:rsidRPr="009F06AF">
        <w:rPr>
          <w:rFonts w:cstheme="minorHAnsi"/>
          <w:color w:val="231F20"/>
          <w:spacing w:val="46"/>
          <w:w w:val="105"/>
        </w:rPr>
        <w:t xml:space="preserve"> </w:t>
      </w:r>
      <w:r w:rsidRPr="009F06AF">
        <w:rPr>
          <w:rFonts w:cstheme="minorHAnsi"/>
          <w:color w:val="231F20"/>
          <w:w w:val="105"/>
        </w:rPr>
        <w:t>as</w:t>
      </w:r>
      <w:r w:rsidRPr="009F06AF">
        <w:rPr>
          <w:rFonts w:cstheme="minorHAnsi"/>
          <w:color w:val="231F20"/>
          <w:spacing w:val="46"/>
          <w:w w:val="105"/>
        </w:rPr>
        <w:t xml:space="preserve"> </w:t>
      </w:r>
      <w:r w:rsidRPr="009F06AF">
        <w:rPr>
          <w:rFonts w:cstheme="minorHAnsi"/>
          <w:color w:val="231F20"/>
          <w:w w:val="105"/>
        </w:rPr>
        <w:t>Florida’s</w:t>
      </w:r>
      <w:r w:rsidRPr="009F06AF">
        <w:rPr>
          <w:rFonts w:cstheme="minorHAnsi"/>
          <w:color w:val="231F20"/>
          <w:spacing w:val="46"/>
          <w:w w:val="105"/>
        </w:rPr>
        <w:t xml:space="preserve"> </w:t>
      </w:r>
      <w:r w:rsidRPr="009F06AF">
        <w:rPr>
          <w:rFonts w:cstheme="minorHAnsi"/>
          <w:color w:val="231F20"/>
          <w:w w:val="105"/>
        </w:rPr>
        <w:t>state-</w:t>
      </w:r>
      <w:r w:rsidRPr="009F06AF">
        <w:rPr>
          <w:rFonts w:cstheme="minorHAnsi"/>
          <w:color w:val="231F20"/>
          <w:spacing w:val="-37"/>
          <w:w w:val="105"/>
        </w:rPr>
        <w:t xml:space="preserve"> </w:t>
      </w:r>
      <w:r w:rsidRPr="009F06AF">
        <w:rPr>
          <w:rFonts w:cstheme="minorHAnsi"/>
          <w:color w:val="231F20"/>
          <w:w w:val="105"/>
        </w:rPr>
        <w:t>level</w:t>
      </w:r>
      <w:r w:rsidRPr="009F06AF">
        <w:rPr>
          <w:rFonts w:cstheme="minorHAnsi"/>
          <w:color w:val="231F20"/>
          <w:spacing w:val="25"/>
          <w:w w:val="105"/>
        </w:rPr>
        <w:t xml:space="preserve"> </w:t>
      </w:r>
      <w:r w:rsidRPr="009F06AF">
        <w:rPr>
          <w:rFonts w:cstheme="minorHAnsi"/>
          <w:color w:val="231F20"/>
          <w:w w:val="105"/>
        </w:rPr>
        <w:t>Dislocated</w:t>
      </w:r>
      <w:r w:rsidRPr="009F06AF">
        <w:rPr>
          <w:rFonts w:cstheme="minorHAnsi"/>
          <w:color w:val="231F20"/>
          <w:spacing w:val="25"/>
          <w:w w:val="105"/>
        </w:rPr>
        <w:t xml:space="preserve"> </w:t>
      </w:r>
      <w:r w:rsidRPr="009F06AF">
        <w:rPr>
          <w:rFonts w:cstheme="minorHAnsi"/>
          <w:color w:val="231F20"/>
          <w:w w:val="105"/>
        </w:rPr>
        <w:t>Worker</w:t>
      </w:r>
      <w:r w:rsidRPr="009F06AF">
        <w:rPr>
          <w:rFonts w:cstheme="minorHAnsi"/>
          <w:color w:val="231F20"/>
          <w:spacing w:val="25"/>
          <w:w w:val="105"/>
        </w:rPr>
        <w:t xml:space="preserve"> </w:t>
      </w:r>
      <w:r w:rsidRPr="009F06AF">
        <w:rPr>
          <w:rFonts w:cstheme="minorHAnsi"/>
          <w:color w:val="231F20"/>
          <w:w w:val="105"/>
        </w:rPr>
        <w:t>Unit.</w:t>
      </w:r>
      <w:r w:rsidRPr="009F06AF">
        <w:rPr>
          <w:rFonts w:cstheme="minorHAnsi"/>
          <w:color w:val="231F20"/>
          <w:spacing w:val="25"/>
          <w:w w:val="105"/>
        </w:rPr>
        <w:t xml:space="preserve"> </w:t>
      </w:r>
      <w:r w:rsidRPr="009F06AF">
        <w:rPr>
          <w:rFonts w:cstheme="minorHAnsi"/>
          <w:color w:val="231F20"/>
          <w:w w:val="105"/>
        </w:rPr>
        <w:t>When</w:t>
      </w:r>
      <w:r w:rsidRPr="009F06AF">
        <w:rPr>
          <w:rFonts w:cstheme="minorHAnsi"/>
          <w:color w:val="231F20"/>
          <w:spacing w:val="25"/>
          <w:w w:val="105"/>
        </w:rPr>
        <w:t xml:space="preserve"> </w:t>
      </w:r>
      <w:r w:rsidRPr="009F06AF">
        <w:rPr>
          <w:rFonts w:cstheme="minorHAnsi"/>
          <w:color w:val="231F20"/>
          <w:w w:val="105"/>
        </w:rPr>
        <w:t>employers</w:t>
      </w:r>
      <w:r w:rsidRPr="009F06AF">
        <w:rPr>
          <w:rFonts w:cstheme="minorHAnsi"/>
          <w:color w:val="231F20"/>
          <w:spacing w:val="25"/>
          <w:w w:val="105"/>
        </w:rPr>
        <w:t xml:space="preserve"> </w:t>
      </w:r>
      <w:r w:rsidRPr="009F06AF">
        <w:rPr>
          <w:rFonts w:cstheme="minorHAnsi"/>
          <w:color w:val="231F20"/>
          <w:w w:val="105"/>
        </w:rPr>
        <w:t>submit</w:t>
      </w:r>
      <w:r w:rsidRPr="009F06AF">
        <w:rPr>
          <w:rFonts w:cstheme="minorHAnsi"/>
          <w:color w:val="231F20"/>
          <w:spacing w:val="25"/>
          <w:w w:val="105"/>
        </w:rPr>
        <w:t xml:space="preserve"> </w:t>
      </w:r>
      <w:r w:rsidRPr="009F06AF">
        <w:rPr>
          <w:rFonts w:cstheme="minorHAnsi"/>
          <w:color w:val="231F20"/>
          <w:w w:val="105"/>
        </w:rPr>
        <w:t>layoff</w:t>
      </w:r>
      <w:r w:rsidRPr="009F06AF">
        <w:rPr>
          <w:rFonts w:cstheme="minorHAnsi"/>
          <w:color w:val="231F20"/>
          <w:spacing w:val="24"/>
          <w:w w:val="105"/>
        </w:rPr>
        <w:t xml:space="preserve"> </w:t>
      </w:r>
      <w:r w:rsidRPr="009F06AF">
        <w:rPr>
          <w:rFonts w:cstheme="minorHAnsi"/>
          <w:color w:val="231F20"/>
          <w:w w:val="105"/>
        </w:rPr>
        <w:t>and</w:t>
      </w:r>
      <w:r w:rsidRPr="009F06AF">
        <w:rPr>
          <w:rFonts w:cstheme="minorHAnsi"/>
          <w:color w:val="231F20"/>
          <w:spacing w:val="25"/>
          <w:w w:val="105"/>
        </w:rPr>
        <w:t xml:space="preserve"> </w:t>
      </w:r>
      <w:r w:rsidRPr="009F06AF">
        <w:rPr>
          <w:rFonts w:cstheme="minorHAnsi"/>
          <w:color w:val="231F20"/>
          <w:w w:val="105"/>
        </w:rPr>
        <w:t>business</w:t>
      </w:r>
      <w:r w:rsidRPr="009F06AF">
        <w:rPr>
          <w:rFonts w:cstheme="minorHAnsi"/>
          <w:color w:val="231F20"/>
          <w:spacing w:val="25"/>
          <w:w w:val="105"/>
        </w:rPr>
        <w:t xml:space="preserve"> </w:t>
      </w:r>
      <w:r w:rsidRPr="009F06AF">
        <w:rPr>
          <w:rFonts w:cstheme="minorHAnsi"/>
          <w:color w:val="231F20"/>
          <w:w w:val="105"/>
        </w:rPr>
        <w:t>closing</w:t>
      </w:r>
      <w:r w:rsidRPr="009F06AF">
        <w:rPr>
          <w:rFonts w:cstheme="minorHAnsi"/>
          <w:color w:val="231F20"/>
          <w:spacing w:val="25"/>
          <w:w w:val="105"/>
        </w:rPr>
        <w:t xml:space="preserve"> </w:t>
      </w:r>
      <w:r w:rsidRPr="009F06AF">
        <w:rPr>
          <w:rFonts w:cstheme="minorHAnsi"/>
          <w:color w:val="231F20"/>
          <w:w w:val="105"/>
        </w:rPr>
        <w:t>notices</w:t>
      </w:r>
      <w:r w:rsidRPr="009F06AF">
        <w:rPr>
          <w:rFonts w:cstheme="minorHAnsi"/>
          <w:color w:val="231F20"/>
          <w:spacing w:val="25"/>
          <w:w w:val="105"/>
        </w:rPr>
        <w:t xml:space="preserve"> </w:t>
      </w:r>
      <w:r w:rsidRPr="009F06AF">
        <w:rPr>
          <w:rFonts w:cstheme="minorHAnsi"/>
          <w:color w:val="231F20"/>
          <w:w w:val="105"/>
        </w:rPr>
        <w:t>under</w:t>
      </w:r>
      <w:r w:rsidRPr="009F06AF">
        <w:rPr>
          <w:rFonts w:cstheme="minorHAnsi"/>
          <w:color w:val="231F20"/>
          <w:spacing w:val="25"/>
          <w:w w:val="105"/>
        </w:rPr>
        <w:t xml:space="preserve"> </w:t>
      </w:r>
      <w:r w:rsidRPr="009F06AF">
        <w:rPr>
          <w:rFonts w:cstheme="minorHAnsi"/>
          <w:color w:val="231F20"/>
          <w:w w:val="105"/>
        </w:rPr>
        <w:t>the</w:t>
      </w:r>
      <w:r w:rsidRPr="009F06AF">
        <w:rPr>
          <w:rFonts w:cstheme="minorHAnsi"/>
          <w:color w:val="231F20"/>
          <w:spacing w:val="8"/>
          <w:w w:val="105"/>
        </w:rPr>
        <w:t xml:space="preserve"> </w:t>
      </w:r>
      <w:r w:rsidRPr="009F06AF">
        <w:rPr>
          <w:rFonts w:cstheme="minorHAnsi"/>
          <w:color w:val="231F20"/>
          <w:w w:val="105"/>
        </w:rPr>
        <w:t>WARN</w:t>
      </w:r>
      <w:r w:rsidRPr="009F06AF">
        <w:rPr>
          <w:rFonts w:cstheme="minorHAnsi"/>
          <w:color w:val="231F20"/>
          <w:spacing w:val="20"/>
          <w:w w:val="105"/>
        </w:rPr>
        <w:t xml:space="preserve"> </w:t>
      </w:r>
      <w:r w:rsidRPr="009F06AF">
        <w:rPr>
          <w:rFonts w:cstheme="minorHAnsi"/>
          <w:color w:val="231F20"/>
          <w:w w:val="105"/>
        </w:rPr>
        <w:t>(Worker</w:t>
      </w:r>
      <w:r w:rsidRPr="009F06AF">
        <w:rPr>
          <w:rFonts w:cstheme="minorHAnsi"/>
          <w:color w:val="231F20"/>
          <w:spacing w:val="20"/>
          <w:w w:val="105"/>
        </w:rPr>
        <w:t xml:space="preserve"> </w:t>
      </w:r>
      <w:r w:rsidRPr="009F06AF">
        <w:rPr>
          <w:rFonts w:cstheme="minorHAnsi"/>
          <w:color w:val="231F20"/>
          <w:w w:val="105"/>
        </w:rPr>
        <w:t>Adjustment</w:t>
      </w:r>
      <w:r w:rsidRPr="009F06AF">
        <w:rPr>
          <w:rFonts w:cstheme="minorHAnsi"/>
          <w:color w:val="231F20"/>
          <w:spacing w:val="20"/>
          <w:w w:val="105"/>
        </w:rPr>
        <w:t xml:space="preserve"> </w:t>
      </w:r>
      <w:r w:rsidRPr="009F06AF">
        <w:rPr>
          <w:rFonts w:cstheme="minorHAnsi"/>
          <w:color w:val="231F20"/>
          <w:w w:val="105"/>
        </w:rPr>
        <w:t>and</w:t>
      </w:r>
      <w:r w:rsidRPr="009F06AF">
        <w:rPr>
          <w:rFonts w:cstheme="minorHAnsi"/>
          <w:color w:val="231F20"/>
          <w:spacing w:val="20"/>
          <w:w w:val="105"/>
        </w:rPr>
        <w:t xml:space="preserve"> </w:t>
      </w:r>
      <w:r w:rsidRPr="009F06AF">
        <w:rPr>
          <w:rFonts w:cstheme="minorHAnsi"/>
          <w:color w:val="231F20"/>
          <w:w w:val="105"/>
        </w:rPr>
        <w:t>Retraining</w:t>
      </w:r>
      <w:r w:rsidRPr="009F06AF">
        <w:rPr>
          <w:rFonts w:cstheme="minorHAnsi"/>
          <w:color w:val="231F20"/>
          <w:spacing w:val="20"/>
          <w:w w:val="105"/>
        </w:rPr>
        <w:t xml:space="preserve"> </w:t>
      </w:r>
      <w:r w:rsidRPr="009F06AF">
        <w:rPr>
          <w:rFonts w:cstheme="minorHAnsi"/>
          <w:color w:val="231F20"/>
          <w:w w:val="105"/>
        </w:rPr>
        <w:t>Notification)</w:t>
      </w:r>
      <w:r w:rsidRPr="009F06AF">
        <w:rPr>
          <w:rFonts w:cstheme="minorHAnsi"/>
          <w:color w:val="231F20"/>
          <w:spacing w:val="20"/>
          <w:w w:val="105"/>
        </w:rPr>
        <w:t xml:space="preserve"> </w:t>
      </w:r>
      <w:r w:rsidRPr="009F06AF">
        <w:rPr>
          <w:rFonts w:cstheme="minorHAnsi"/>
          <w:color w:val="231F20"/>
          <w:w w:val="105"/>
        </w:rPr>
        <w:t>Act,</w:t>
      </w:r>
      <w:r w:rsidRPr="009F06AF">
        <w:rPr>
          <w:rFonts w:cstheme="minorHAnsi"/>
          <w:color w:val="231F20"/>
          <w:spacing w:val="20"/>
          <w:w w:val="105"/>
        </w:rPr>
        <w:t xml:space="preserve"> </w:t>
      </w:r>
      <w:r w:rsidRPr="009F06AF">
        <w:rPr>
          <w:rFonts w:cstheme="minorHAnsi"/>
          <w:color w:val="231F20"/>
          <w:w w:val="105"/>
        </w:rPr>
        <w:t>DEO</w:t>
      </w:r>
      <w:r w:rsidRPr="009F06AF">
        <w:rPr>
          <w:rFonts w:cstheme="minorHAnsi"/>
          <w:color w:val="231F20"/>
          <w:spacing w:val="20"/>
          <w:w w:val="105"/>
        </w:rPr>
        <w:t xml:space="preserve"> </w:t>
      </w:r>
      <w:r w:rsidRPr="009F06AF">
        <w:rPr>
          <w:rFonts w:cstheme="minorHAnsi"/>
          <w:color w:val="231F20"/>
          <w:w w:val="105"/>
        </w:rPr>
        <w:t>REACT</w:t>
      </w:r>
      <w:r w:rsidRPr="009F06AF">
        <w:rPr>
          <w:rFonts w:cstheme="minorHAnsi"/>
          <w:color w:val="231F20"/>
          <w:spacing w:val="20"/>
          <w:w w:val="105"/>
        </w:rPr>
        <w:t xml:space="preserve"> </w:t>
      </w:r>
      <w:r w:rsidRPr="009F06AF">
        <w:rPr>
          <w:rFonts w:cstheme="minorHAnsi"/>
          <w:color w:val="231F20"/>
          <w:w w:val="105"/>
        </w:rPr>
        <w:t>staff</w:t>
      </w:r>
      <w:r w:rsidRPr="009F06AF">
        <w:rPr>
          <w:rFonts w:cstheme="minorHAnsi"/>
          <w:color w:val="231F20"/>
          <w:spacing w:val="19"/>
          <w:w w:val="105"/>
        </w:rPr>
        <w:t xml:space="preserve"> </w:t>
      </w:r>
      <w:r w:rsidRPr="009F06AF">
        <w:rPr>
          <w:rFonts w:cstheme="minorHAnsi"/>
          <w:color w:val="231F20"/>
          <w:w w:val="105"/>
        </w:rPr>
        <w:t>make</w:t>
      </w:r>
      <w:r w:rsidRPr="009F06AF">
        <w:rPr>
          <w:rFonts w:cstheme="minorHAnsi"/>
          <w:color w:val="231F20"/>
          <w:spacing w:val="20"/>
          <w:w w:val="105"/>
        </w:rPr>
        <w:t xml:space="preserve"> </w:t>
      </w:r>
      <w:r w:rsidRPr="009F06AF">
        <w:rPr>
          <w:rFonts w:cstheme="minorHAnsi"/>
          <w:color w:val="231F20"/>
          <w:w w:val="105"/>
        </w:rPr>
        <w:t>initial</w:t>
      </w:r>
      <w:r w:rsidRPr="009F06AF">
        <w:rPr>
          <w:rFonts w:cstheme="minorHAnsi"/>
          <w:color w:val="231F20"/>
          <w:spacing w:val="20"/>
          <w:w w:val="105"/>
        </w:rPr>
        <w:t xml:space="preserve"> </w:t>
      </w:r>
      <w:r w:rsidRPr="009F06AF">
        <w:rPr>
          <w:rFonts w:cstheme="minorHAnsi"/>
          <w:color w:val="231F20"/>
          <w:w w:val="105"/>
        </w:rPr>
        <w:t>contact</w:t>
      </w:r>
      <w:r w:rsidRPr="009F06AF">
        <w:rPr>
          <w:rFonts w:cstheme="minorHAnsi"/>
          <w:color w:val="231F20"/>
          <w:spacing w:val="-25"/>
          <w:w w:val="105"/>
        </w:rPr>
        <w:t xml:space="preserve"> </w:t>
      </w:r>
      <w:r w:rsidRPr="009F06AF">
        <w:rPr>
          <w:rFonts w:cstheme="minorHAnsi"/>
          <w:color w:val="231F20"/>
          <w:w w:val="105"/>
        </w:rPr>
        <w:t>with the</w:t>
      </w:r>
      <w:r w:rsidRPr="009F06AF">
        <w:rPr>
          <w:rFonts w:cstheme="minorHAnsi"/>
          <w:color w:val="231F20"/>
          <w:spacing w:val="4"/>
          <w:w w:val="105"/>
        </w:rPr>
        <w:t xml:space="preserve"> </w:t>
      </w:r>
      <w:r w:rsidRPr="009F06AF">
        <w:rPr>
          <w:rFonts w:cstheme="minorHAnsi"/>
          <w:color w:val="231F20"/>
          <w:w w:val="105"/>
        </w:rPr>
        <w:t>employer.</w:t>
      </w:r>
    </w:p>
    <w:p w14:paraId="54DD0E3B" w14:textId="5D176F06" w:rsidR="00751FC0" w:rsidRPr="009F06AF" w:rsidRDefault="00751FC0" w:rsidP="00D63204">
      <w:pPr>
        <w:widowControl w:val="0"/>
        <w:spacing w:before="195" w:after="0" w:line="264" w:lineRule="exact"/>
        <w:ind w:left="107"/>
        <w:rPr>
          <w:rFonts w:cstheme="minorHAnsi"/>
        </w:rPr>
      </w:pPr>
      <w:r w:rsidRPr="009F06AF">
        <w:rPr>
          <w:rFonts w:cstheme="minorHAnsi"/>
          <w:color w:val="231F20"/>
          <w:w w:val="105"/>
        </w:rPr>
        <w:t>REACT</w:t>
      </w:r>
      <w:r w:rsidRPr="009F06AF">
        <w:rPr>
          <w:rFonts w:cstheme="minorHAnsi"/>
          <w:color w:val="231F20"/>
          <w:spacing w:val="13"/>
          <w:w w:val="105"/>
        </w:rPr>
        <w:t xml:space="preserve"> </w:t>
      </w:r>
      <w:r w:rsidRPr="009F06AF">
        <w:rPr>
          <w:rFonts w:cstheme="minorHAnsi"/>
          <w:color w:val="231F20"/>
          <w:w w:val="105"/>
        </w:rPr>
        <w:t>staff</w:t>
      </w:r>
      <w:r w:rsidRPr="009F06AF">
        <w:rPr>
          <w:rFonts w:cstheme="minorHAnsi"/>
          <w:color w:val="231F20"/>
          <w:spacing w:val="13"/>
          <w:w w:val="105"/>
        </w:rPr>
        <w:t xml:space="preserve"> </w:t>
      </w:r>
      <w:r w:rsidRPr="009F06AF">
        <w:rPr>
          <w:rFonts w:cstheme="minorHAnsi"/>
          <w:color w:val="231F20"/>
          <w:w w:val="105"/>
        </w:rPr>
        <w:t>request</w:t>
      </w:r>
      <w:r w:rsidRPr="009F06AF">
        <w:rPr>
          <w:rFonts w:cstheme="minorHAnsi"/>
          <w:color w:val="231F20"/>
          <w:spacing w:val="13"/>
          <w:w w:val="105"/>
        </w:rPr>
        <w:t xml:space="preserve"> </w:t>
      </w:r>
      <w:r w:rsidRPr="009F06AF">
        <w:rPr>
          <w:rFonts w:cstheme="minorHAnsi"/>
          <w:color w:val="231F20"/>
          <w:w w:val="105"/>
        </w:rPr>
        <w:t>information</w:t>
      </w:r>
      <w:r w:rsidRPr="009F06AF">
        <w:rPr>
          <w:rFonts w:cstheme="minorHAnsi"/>
          <w:color w:val="231F20"/>
          <w:spacing w:val="13"/>
          <w:w w:val="105"/>
        </w:rPr>
        <w:t xml:space="preserve"> such </w:t>
      </w:r>
      <w:r w:rsidRPr="009F06AF">
        <w:rPr>
          <w:rFonts w:cstheme="minorHAnsi"/>
          <w:color w:val="231F20"/>
          <w:w w:val="105"/>
        </w:rPr>
        <w:t>as</w:t>
      </w:r>
      <w:r w:rsidRPr="009F06AF">
        <w:rPr>
          <w:rFonts w:cstheme="minorHAnsi"/>
          <w:color w:val="231F20"/>
          <w:spacing w:val="13"/>
          <w:w w:val="105"/>
        </w:rPr>
        <w:t xml:space="preserve"> </w:t>
      </w:r>
      <w:r w:rsidRPr="009F06AF">
        <w:rPr>
          <w:rFonts w:cstheme="minorHAnsi"/>
          <w:color w:val="231F20"/>
          <w:w w:val="105"/>
        </w:rPr>
        <w:t>the</w:t>
      </w:r>
      <w:r w:rsidRPr="009F06AF">
        <w:rPr>
          <w:rFonts w:cstheme="minorHAnsi"/>
          <w:color w:val="231F20"/>
          <w:spacing w:val="13"/>
          <w:w w:val="105"/>
        </w:rPr>
        <w:t xml:space="preserve"> </w:t>
      </w:r>
      <w:r w:rsidRPr="009F06AF">
        <w:rPr>
          <w:rFonts w:cstheme="minorHAnsi"/>
          <w:color w:val="231F20"/>
          <w:w w:val="105"/>
        </w:rPr>
        <w:t>name</w:t>
      </w:r>
      <w:r w:rsidRPr="009F06AF">
        <w:rPr>
          <w:rFonts w:cstheme="minorHAnsi"/>
          <w:color w:val="231F20"/>
          <w:spacing w:val="13"/>
          <w:w w:val="105"/>
        </w:rPr>
        <w:t xml:space="preserve"> </w:t>
      </w:r>
      <w:r w:rsidRPr="009F06AF">
        <w:rPr>
          <w:rFonts w:cstheme="minorHAnsi"/>
          <w:color w:val="231F20"/>
          <w:w w:val="105"/>
        </w:rPr>
        <w:t>and</w:t>
      </w:r>
      <w:r w:rsidRPr="009F06AF">
        <w:rPr>
          <w:rFonts w:cstheme="minorHAnsi"/>
          <w:color w:val="231F20"/>
          <w:spacing w:val="13"/>
          <w:w w:val="105"/>
        </w:rPr>
        <w:t xml:space="preserve"> </w:t>
      </w:r>
      <w:r w:rsidRPr="009F06AF">
        <w:rPr>
          <w:rFonts w:cstheme="minorHAnsi"/>
          <w:color w:val="231F20"/>
          <w:w w:val="105"/>
        </w:rPr>
        <w:t>telephone</w:t>
      </w:r>
      <w:r w:rsidRPr="009F06AF">
        <w:rPr>
          <w:rFonts w:cstheme="minorHAnsi"/>
          <w:color w:val="231F20"/>
          <w:spacing w:val="13"/>
          <w:w w:val="105"/>
        </w:rPr>
        <w:t xml:space="preserve"> </w:t>
      </w:r>
      <w:r w:rsidRPr="009F06AF">
        <w:rPr>
          <w:rFonts w:cstheme="minorHAnsi"/>
          <w:color w:val="231F20"/>
          <w:w w:val="105"/>
        </w:rPr>
        <w:t>number</w:t>
      </w:r>
      <w:r w:rsidRPr="009F06AF">
        <w:rPr>
          <w:rFonts w:cstheme="minorHAnsi"/>
          <w:color w:val="231F20"/>
          <w:spacing w:val="13"/>
          <w:w w:val="105"/>
        </w:rPr>
        <w:t xml:space="preserve"> </w:t>
      </w:r>
      <w:r w:rsidRPr="009F06AF">
        <w:rPr>
          <w:rFonts w:cstheme="minorHAnsi"/>
          <w:color w:val="231F20"/>
          <w:w w:val="105"/>
        </w:rPr>
        <w:t>of</w:t>
      </w:r>
      <w:r w:rsidRPr="009F06AF">
        <w:rPr>
          <w:rFonts w:cstheme="minorHAnsi"/>
          <w:color w:val="231F20"/>
          <w:spacing w:val="13"/>
          <w:w w:val="105"/>
        </w:rPr>
        <w:t xml:space="preserve"> </w:t>
      </w:r>
      <w:r w:rsidRPr="009F06AF">
        <w:rPr>
          <w:rFonts w:cstheme="minorHAnsi"/>
          <w:color w:val="231F20"/>
          <w:w w:val="105"/>
        </w:rPr>
        <w:t>the</w:t>
      </w:r>
      <w:r w:rsidRPr="009F06AF">
        <w:rPr>
          <w:rFonts w:cstheme="minorHAnsi"/>
          <w:color w:val="231F20"/>
          <w:spacing w:val="13"/>
          <w:w w:val="105"/>
        </w:rPr>
        <w:t xml:space="preserve"> </w:t>
      </w:r>
      <w:r w:rsidRPr="009F06AF">
        <w:rPr>
          <w:rFonts w:cstheme="minorHAnsi"/>
          <w:color w:val="231F20"/>
          <w:w w:val="105"/>
        </w:rPr>
        <w:t>employer’s</w:t>
      </w:r>
      <w:r w:rsidRPr="009F06AF">
        <w:rPr>
          <w:rFonts w:cstheme="minorHAnsi"/>
          <w:color w:val="231F20"/>
          <w:spacing w:val="13"/>
          <w:w w:val="105"/>
        </w:rPr>
        <w:t xml:space="preserve"> </w:t>
      </w:r>
      <w:r w:rsidRPr="009F06AF">
        <w:rPr>
          <w:rFonts w:cstheme="minorHAnsi"/>
          <w:color w:val="231F20"/>
          <w:w w:val="105"/>
        </w:rPr>
        <w:t>local</w:t>
      </w:r>
      <w:r w:rsidRPr="009F06AF">
        <w:rPr>
          <w:rFonts w:cstheme="minorHAnsi"/>
          <w:color w:val="231F20"/>
          <w:spacing w:val="13"/>
          <w:w w:val="105"/>
        </w:rPr>
        <w:t xml:space="preserve"> </w:t>
      </w:r>
      <w:r w:rsidRPr="009F06AF">
        <w:rPr>
          <w:rFonts w:cstheme="minorHAnsi"/>
          <w:color w:val="231F20"/>
          <w:w w:val="105"/>
        </w:rPr>
        <w:t>contact person</w:t>
      </w:r>
      <w:r w:rsidRPr="009F06AF">
        <w:rPr>
          <w:rFonts w:cstheme="minorHAnsi"/>
          <w:color w:val="231F20"/>
          <w:spacing w:val="10"/>
          <w:w w:val="105"/>
        </w:rPr>
        <w:t xml:space="preserve"> </w:t>
      </w:r>
      <w:r w:rsidRPr="009F06AF">
        <w:rPr>
          <w:rFonts w:cstheme="minorHAnsi"/>
          <w:color w:val="231F20"/>
          <w:w w:val="105"/>
        </w:rPr>
        <w:t>at</w:t>
      </w:r>
      <w:r w:rsidRPr="009F06AF">
        <w:rPr>
          <w:rFonts w:cstheme="minorHAnsi"/>
          <w:color w:val="231F20"/>
          <w:spacing w:val="10"/>
          <w:w w:val="105"/>
        </w:rPr>
        <w:t xml:space="preserve"> </w:t>
      </w:r>
      <w:r w:rsidRPr="009F06AF">
        <w:rPr>
          <w:rFonts w:cstheme="minorHAnsi"/>
          <w:color w:val="231F20"/>
          <w:w w:val="105"/>
        </w:rPr>
        <w:t>each</w:t>
      </w:r>
      <w:r w:rsidRPr="009F06AF">
        <w:rPr>
          <w:rFonts w:cstheme="minorHAnsi"/>
          <w:color w:val="231F20"/>
          <w:spacing w:val="10"/>
          <w:w w:val="105"/>
        </w:rPr>
        <w:t xml:space="preserve"> </w:t>
      </w:r>
      <w:r w:rsidRPr="009F06AF">
        <w:rPr>
          <w:rFonts w:cstheme="minorHAnsi"/>
          <w:color w:val="231F20"/>
          <w:w w:val="105"/>
        </w:rPr>
        <w:t>location,</w:t>
      </w:r>
      <w:r w:rsidRPr="009F06AF">
        <w:rPr>
          <w:rFonts w:cstheme="minorHAnsi"/>
          <w:color w:val="231F20"/>
          <w:spacing w:val="10"/>
          <w:w w:val="105"/>
        </w:rPr>
        <w:t xml:space="preserve"> </w:t>
      </w:r>
      <w:r w:rsidRPr="009F06AF">
        <w:rPr>
          <w:rFonts w:cstheme="minorHAnsi"/>
          <w:color w:val="231F20"/>
          <w:w w:val="105"/>
        </w:rPr>
        <w:t>the</w:t>
      </w:r>
      <w:r w:rsidRPr="009F06AF">
        <w:rPr>
          <w:rFonts w:cstheme="minorHAnsi"/>
          <w:color w:val="231F20"/>
          <w:spacing w:val="10"/>
          <w:w w:val="105"/>
        </w:rPr>
        <w:t xml:space="preserve"> </w:t>
      </w:r>
      <w:r w:rsidRPr="009F06AF">
        <w:rPr>
          <w:rFonts w:cstheme="minorHAnsi"/>
          <w:color w:val="231F20"/>
          <w:w w:val="105"/>
        </w:rPr>
        <w:t>type</w:t>
      </w:r>
      <w:r w:rsidRPr="009F06AF">
        <w:rPr>
          <w:rFonts w:cstheme="minorHAnsi"/>
          <w:color w:val="231F20"/>
          <w:spacing w:val="10"/>
          <w:w w:val="105"/>
        </w:rPr>
        <w:t xml:space="preserve"> </w:t>
      </w:r>
      <w:r w:rsidRPr="009F06AF">
        <w:rPr>
          <w:rFonts w:cstheme="minorHAnsi"/>
          <w:color w:val="231F20"/>
          <w:w w:val="105"/>
        </w:rPr>
        <w:t>of</w:t>
      </w:r>
      <w:r w:rsidRPr="009F06AF">
        <w:rPr>
          <w:rFonts w:cstheme="minorHAnsi"/>
          <w:color w:val="231F20"/>
          <w:spacing w:val="10"/>
          <w:w w:val="105"/>
        </w:rPr>
        <w:t xml:space="preserve"> </w:t>
      </w:r>
      <w:r w:rsidRPr="009F06AF">
        <w:rPr>
          <w:rFonts w:cstheme="minorHAnsi"/>
          <w:color w:val="231F20"/>
          <w:w w:val="105"/>
        </w:rPr>
        <w:t>business</w:t>
      </w:r>
      <w:r w:rsidRPr="009F06AF">
        <w:rPr>
          <w:rFonts w:cstheme="minorHAnsi"/>
          <w:color w:val="231F20"/>
          <w:spacing w:val="10"/>
          <w:w w:val="105"/>
        </w:rPr>
        <w:t xml:space="preserve"> </w:t>
      </w:r>
      <w:r w:rsidRPr="009F06AF">
        <w:rPr>
          <w:rFonts w:cstheme="minorHAnsi"/>
          <w:color w:val="231F20"/>
          <w:w w:val="105"/>
        </w:rPr>
        <w:t>issuing</w:t>
      </w:r>
      <w:r w:rsidRPr="009F06AF">
        <w:rPr>
          <w:rFonts w:cstheme="minorHAnsi"/>
          <w:color w:val="231F20"/>
          <w:spacing w:val="10"/>
          <w:w w:val="105"/>
        </w:rPr>
        <w:t xml:space="preserve"> </w:t>
      </w:r>
      <w:r w:rsidRPr="009F06AF">
        <w:rPr>
          <w:rFonts w:cstheme="minorHAnsi"/>
          <w:color w:val="231F20"/>
          <w:w w:val="105"/>
        </w:rPr>
        <w:t>the</w:t>
      </w:r>
      <w:r w:rsidRPr="009F06AF">
        <w:rPr>
          <w:rFonts w:cstheme="minorHAnsi"/>
          <w:color w:val="231F20"/>
          <w:spacing w:val="10"/>
          <w:w w:val="105"/>
        </w:rPr>
        <w:t xml:space="preserve"> </w:t>
      </w:r>
      <w:r w:rsidRPr="009F06AF">
        <w:rPr>
          <w:rFonts w:cstheme="minorHAnsi"/>
          <w:color w:val="231F20"/>
          <w:spacing w:val="-3"/>
          <w:w w:val="105"/>
        </w:rPr>
        <w:t>WARN,</w:t>
      </w:r>
      <w:r w:rsidRPr="009F06AF">
        <w:rPr>
          <w:rFonts w:cstheme="minorHAnsi"/>
          <w:color w:val="231F20"/>
          <w:spacing w:val="10"/>
          <w:w w:val="105"/>
        </w:rPr>
        <w:t xml:space="preserve"> </w:t>
      </w:r>
      <w:r w:rsidRPr="009F06AF">
        <w:rPr>
          <w:rFonts w:cstheme="minorHAnsi"/>
          <w:color w:val="231F20"/>
          <w:w w:val="105"/>
        </w:rPr>
        <w:t>the</w:t>
      </w:r>
      <w:r w:rsidRPr="009F06AF">
        <w:rPr>
          <w:rFonts w:cstheme="minorHAnsi"/>
          <w:color w:val="231F20"/>
          <w:spacing w:val="10"/>
          <w:w w:val="105"/>
        </w:rPr>
        <w:t xml:space="preserve"> </w:t>
      </w:r>
      <w:r w:rsidRPr="009F06AF">
        <w:rPr>
          <w:rFonts w:cstheme="minorHAnsi"/>
          <w:color w:val="231F20"/>
          <w:w w:val="105"/>
        </w:rPr>
        <w:t>reason</w:t>
      </w:r>
      <w:r w:rsidRPr="009F06AF">
        <w:rPr>
          <w:rFonts w:cstheme="minorHAnsi"/>
          <w:color w:val="231F20"/>
          <w:spacing w:val="10"/>
          <w:w w:val="105"/>
        </w:rPr>
        <w:t xml:space="preserve"> </w:t>
      </w:r>
      <w:r w:rsidRPr="009F06AF">
        <w:rPr>
          <w:rFonts w:cstheme="minorHAnsi"/>
          <w:color w:val="231F20"/>
          <w:w w:val="105"/>
        </w:rPr>
        <w:t>for</w:t>
      </w:r>
      <w:r w:rsidRPr="009F06AF">
        <w:rPr>
          <w:rFonts w:cstheme="minorHAnsi"/>
          <w:color w:val="231F20"/>
          <w:spacing w:val="10"/>
          <w:w w:val="105"/>
        </w:rPr>
        <w:t xml:space="preserve"> </w:t>
      </w:r>
      <w:r w:rsidRPr="009F06AF">
        <w:rPr>
          <w:rFonts w:cstheme="minorHAnsi"/>
          <w:color w:val="231F20"/>
          <w:w w:val="105"/>
        </w:rPr>
        <w:t>the</w:t>
      </w:r>
      <w:r w:rsidRPr="009F06AF">
        <w:rPr>
          <w:rFonts w:cstheme="minorHAnsi"/>
          <w:color w:val="231F20"/>
          <w:spacing w:val="10"/>
          <w:w w:val="105"/>
        </w:rPr>
        <w:t xml:space="preserve"> </w:t>
      </w:r>
      <w:r w:rsidRPr="009F06AF">
        <w:rPr>
          <w:rFonts w:cstheme="minorHAnsi"/>
          <w:color w:val="231F20"/>
          <w:w w:val="105"/>
        </w:rPr>
        <w:t>layoff</w:t>
      </w:r>
      <w:r w:rsidRPr="009F06AF">
        <w:rPr>
          <w:rFonts w:cstheme="minorHAnsi"/>
          <w:color w:val="231F20"/>
          <w:spacing w:val="10"/>
          <w:w w:val="105"/>
        </w:rPr>
        <w:t xml:space="preserve"> </w:t>
      </w:r>
      <w:r w:rsidRPr="009F06AF">
        <w:rPr>
          <w:rFonts w:cstheme="minorHAnsi"/>
          <w:color w:val="231F20"/>
          <w:w w:val="105"/>
        </w:rPr>
        <w:t>or</w:t>
      </w:r>
      <w:r w:rsidRPr="009F06AF">
        <w:rPr>
          <w:rFonts w:cstheme="minorHAnsi"/>
          <w:color w:val="231F20"/>
          <w:spacing w:val="10"/>
          <w:w w:val="105"/>
        </w:rPr>
        <w:t xml:space="preserve"> </w:t>
      </w:r>
      <w:r w:rsidRPr="009F06AF">
        <w:rPr>
          <w:rFonts w:cstheme="minorHAnsi"/>
          <w:color w:val="231F20"/>
          <w:w w:val="105"/>
        </w:rPr>
        <w:t>business</w:t>
      </w:r>
      <w:r w:rsidRPr="009F06AF">
        <w:rPr>
          <w:rFonts w:cstheme="minorHAnsi"/>
          <w:color w:val="231F20"/>
          <w:spacing w:val="-3"/>
          <w:w w:val="105"/>
        </w:rPr>
        <w:t xml:space="preserve"> </w:t>
      </w:r>
      <w:r w:rsidRPr="009F06AF">
        <w:rPr>
          <w:rFonts w:cstheme="minorHAnsi"/>
          <w:color w:val="231F20"/>
          <w:w w:val="105"/>
        </w:rPr>
        <w:t>closing</w:t>
      </w:r>
      <w:r w:rsidR="00D5537E">
        <w:rPr>
          <w:rFonts w:cstheme="minorHAnsi"/>
          <w:color w:val="231F20"/>
          <w:w w:val="105"/>
        </w:rPr>
        <w:t xml:space="preserve"> and</w:t>
      </w:r>
      <w:r w:rsidRPr="009F06AF">
        <w:rPr>
          <w:rFonts w:cstheme="minorHAnsi"/>
          <w:color w:val="231F20"/>
          <w:spacing w:val="12"/>
          <w:w w:val="105"/>
        </w:rPr>
        <w:t xml:space="preserve"> </w:t>
      </w:r>
      <w:r w:rsidRPr="009F06AF">
        <w:rPr>
          <w:rFonts w:cstheme="minorHAnsi"/>
          <w:color w:val="231F20"/>
          <w:w w:val="105"/>
        </w:rPr>
        <w:t>the</w:t>
      </w:r>
      <w:r w:rsidRPr="009F06AF">
        <w:rPr>
          <w:rFonts w:cstheme="minorHAnsi"/>
          <w:color w:val="231F20"/>
          <w:spacing w:val="12"/>
          <w:w w:val="105"/>
        </w:rPr>
        <w:t xml:space="preserve"> </w:t>
      </w:r>
      <w:r w:rsidRPr="009F06AF">
        <w:rPr>
          <w:rFonts w:cstheme="minorHAnsi"/>
          <w:color w:val="231F20"/>
          <w:w w:val="105"/>
        </w:rPr>
        <w:t>possible</w:t>
      </w:r>
      <w:r w:rsidRPr="009F06AF">
        <w:rPr>
          <w:rFonts w:cstheme="minorHAnsi"/>
          <w:color w:val="231F20"/>
          <w:spacing w:val="12"/>
          <w:w w:val="105"/>
        </w:rPr>
        <w:t xml:space="preserve"> </w:t>
      </w:r>
      <w:r w:rsidRPr="009F06AF">
        <w:rPr>
          <w:rFonts w:cstheme="minorHAnsi"/>
          <w:color w:val="231F20"/>
          <w:w w:val="105"/>
        </w:rPr>
        <w:t>applicability</w:t>
      </w:r>
      <w:r w:rsidRPr="009F06AF">
        <w:rPr>
          <w:rFonts w:cstheme="minorHAnsi"/>
          <w:color w:val="231F20"/>
          <w:spacing w:val="12"/>
          <w:w w:val="105"/>
        </w:rPr>
        <w:t xml:space="preserve"> </w:t>
      </w:r>
      <w:r w:rsidRPr="009F06AF">
        <w:rPr>
          <w:rFonts w:cstheme="minorHAnsi"/>
          <w:color w:val="231F20"/>
          <w:w w:val="105"/>
        </w:rPr>
        <w:t>of</w:t>
      </w:r>
      <w:r w:rsidRPr="009F06AF">
        <w:rPr>
          <w:rFonts w:cstheme="minorHAnsi"/>
          <w:color w:val="231F20"/>
          <w:spacing w:val="12"/>
          <w:w w:val="105"/>
        </w:rPr>
        <w:t xml:space="preserve"> </w:t>
      </w:r>
      <w:r w:rsidRPr="009F06AF">
        <w:rPr>
          <w:rFonts w:cstheme="minorHAnsi"/>
          <w:color w:val="231F20"/>
          <w:w w:val="105"/>
        </w:rPr>
        <w:t>the</w:t>
      </w:r>
      <w:r w:rsidRPr="009F06AF">
        <w:rPr>
          <w:rFonts w:cstheme="minorHAnsi"/>
          <w:color w:val="231F20"/>
          <w:spacing w:val="12"/>
          <w:w w:val="105"/>
        </w:rPr>
        <w:t xml:space="preserve"> </w:t>
      </w:r>
      <w:r w:rsidRPr="009F06AF">
        <w:rPr>
          <w:rFonts w:cstheme="minorHAnsi"/>
          <w:color w:val="231F20"/>
          <w:spacing w:val="-4"/>
          <w:w w:val="105"/>
        </w:rPr>
        <w:t>Trade</w:t>
      </w:r>
      <w:r w:rsidRPr="009F06AF">
        <w:rPr>
          <w:rFonts w:cstheme="minorHAnsi"/>
          <w:color w:val="231F20"/>
          <w:spacing w:val="12"/>
          <w:w w:val="105"/>
        </w:rPr>
        <w:t xml:space="preserve"> </w:t>
      </w:r>
      <w:r w:rsidRPr="009F06AF">
        <w:rPr>
          <w:rFonts w:cstheme="minorHAnsi"/>
          <w:color w:val="231F20"/>
          <w:w w:val="105"/>
        </w:rPr>
        <w:t>Act.</w:t>
      </w:r>
      <w:r w:rsidRPr="009F06AF">
        <w:rPr>
          <w:rFonts w:cstheme="minorHAnsi"/>
          <w:color w:val="231F20"/>
          <w:spacing w:val="12"/>
          <w:w w:val="105"/>
        </w:rPr>
        <w:t xml:space="preserve"> </w:t>
      </w:r>
      <w:r w:rsidRPr="009F06AF">
        <w:rPr>
          <w:rFonts w:cstheme="minorHAnsi"/>
          <w:color w:val="231F20"/>
          <w:w w:val="105"/>
        </w:rPr>
        <w:t>REACT</w:t>
      </w:r>
      <w:r w:rsidRPr="009F06AF">
        <w:rPr>
          <w:rFonts w:cstheme="minorHAnsi"/>
          <w:color w:val="231F20"/>
          <w:spacing w:val="12"/>
          <w:w w:val="105"/>
        </w:rPr>
        <w:t xml:space="preserve"> </w:t>
      </w:r>
      <w:r w:rsidRPr="009F06AF">
        <w:rPr>
          <w:rFonts w:cstheme="minorHAnsi"/>
          <w:color w:val="231F20"/>
          <w:w w:val="105"/>
        </w:rPr>
        <w:t>staff</w:t>
      </w:r>
      <w:r w:rsidRPr="009F06AF">
        <w:rPr>
          <w:rFonts w:cstheme="minorHAnsi"/>
          <w:color w:val="231F20"/>
          <w:spacing w:val="12"/>
          <w:w w:val="105"/>
        </w:rPr>
        <w:t xml:space="preserve"> </w:t>
      </w:r>
      <w:r w:rsidRPr="009F06AF">
        <w:rPr>
          <w:rFonts w:cstheme="minorHAnsi"/>
          <w:color w:val="231F20"/>
          <w:w w:val="105"/>
        </w:rPr>
        <w:t>enter</w:t>
      </w:r>
      <w:r w:rsidRPr="009F06AF">
        <w:rPr>
          <w:rFonts w:cstheme="minorHAnsi"/>
          <w:color w:val="231F20"/>
          <w:spacing w:val="12"/>
          <w:w w:val="105"/>
        </w:rPr>
        <w:t xml:space="preserve"> </w:t>
      </w:r>
      <w:r w:rsidRPr="009F06AF">
        <w:rPr>
          <w:rFonts w:cstheme="minorHAnsi"/>
          <w:color w:val="231F20"/>
          <w:w w:val="105"/>
        </w:rPr>
        <w:t>the</w:t>
      </w:r>
      <w:r w:rsidRPr="009F06AF">
        <w:rPr>
          <w:rFonts w:cstheme="minorHAnsi"/>
          <w:color w:val="231F20"/>
          <w:spacing w:val="12"/>
          <w:w w:val="105"/>
        </w:rPr>
        <w:t xml:space="preserve"> </w:t>
      </w:r>
      <w:r w:rsidRPr="009F06AF">
        <w:rPr>
          <w:rFonts w:cstheme="minorHAnsi"/>
          <w:color w:val="231F20"/>
          <w:spacing w:val="-3"/>
          <w:w w:val="105"/>
        </w:rPr>
        <w:t>WARN</w:t>
      </w:r>
      <w:r w:rsidRPr="009F06AF">
        <w:rPr>
          <w:rFonts w:cstheme="minorHAnsi"/>
          <w:color w:val="231F20"/>
          <w:spacing w:val="12"/>
          <w:w w:val="105"/>
        </w:rPr>
        <w:t xml:space="preserve"> </w:t>
      </w:r>
      <w:r w:rsidRPr="009F06AF">
        <w:rPr>
          <w:rFonts w:cstheme="minorHAnsi"/>
          <w:color w:val="231F20"/>
          <w:w w:val="105"/>
        </w:rPr>
        <w:t>notice</w:t>
      </w:r>
      <w:r w:rsidRPr="009F06AF">
        <w:rPr>
          <w:rFonts w:cstheme="minorHAnsi"/>
          <w:color w:val="231F20"/>
          <w:spacing w:val="12"/>
          <w:w w:val="105"/>
        </w:rPr>
        <w:t xml:space="preserve"> </w:t>
      </w:r>
      <w:r w:rsidRPr="009F06AF">
        <w:rPr>
          <w:rFonts w:cstheme="minorHAnsi"/>
          <w:color w:val="231F20"/>
          <w:w w:val="105"/>
        </w:rPr>
        <w:t>into</w:t>
      </w:r>
      <w:r w:rsidRPr="009F06AF">
        <w:rPr>
          <w:rFonts w:cstheme="minorHAnsi"/>
          <w:color w:val="231F20"/>
          <w:spacing w:val="12"/>
          <w:w w:val="105"/>
        </w:rPr>
        <w:t xml:space="preserve"> </w:t>
      </w:r>
      <w:r w:rsidRPr="009F06AF">
        <w:rPr>
          <w:rFonts w:cstheme="minorHAnsi"/>
          <w:color w:val="231F20"/>
          <w:w w:val="105"/>
        </w:rPr>
        <w:t>the</w:t>
      </w:r>
      <w:r w:rsidRPr="009F06AF">
        <w:rPr>
          <w:rFonts w:cstheme="minorHAnsi"/>
          <w:color w:val="231F20"/>
          <w:spacing w:val="-34"/>
          <w:w w:val="105"/>
        </w:rPr>
        <w:t xml:space="preserve"> </w:t>
      </w:r>
      <w:r w:rsidRPr="009F06AF">
        <w:rPr>
          <w:rFonts w:cstheme="minorHAnsi"/>
          <w:color w:val="231F20"/>
          <w:w w:val="105"/>
        </w:rPr>
        <w:t>REACT</w:t>
      </w:r>
      <w:r w:rsidRPr="009F06AF">
        <w:rPr>
          <w:rFonts w:cstheme="minorHAnsi"/>
          <w:color w:val="231F20"/>
          <w:spacing w:val="16"/>
          <w:w w:val="105"/>
        </w:rPr>
        <w:t xml:space="preserve"> </w:t>
      </w:r>
      <w:r w:rsidRPr="009F06AF">
        <w:rPr>
          <w:rFonts w:cstheme="minorHAnsi"/>
          <w:color w:val="231F20"/>
          <w:w w:val="105"/>
        </w:rPr>
        <w:t>database</w:t>
      </w:r>
      <w:r w:rsidRPr="009F06AF">
        <w:rPr>
          <w:rFonts w:cstheme="minorHAnsi"/>
          <w:color w:val="231F20"/>
          <w:spacing w:val="16"/>
          <w:w w:val="105"/>
        </w:rPr>
        <w:t xml:space="preserve"> </w:t>
      </w:r>
      <w:r w:rsidRPr="009F06AF">
        <w:rPr>
          <w:rFonts w:cstheme="minorHAnsi"/>
          <w:color w:val="231F20"/>
          <w:w w:val="105"/>
        </w:rPr>
        <w:t>and</w:t>
      </w:r>
      <w:r w:rsidRPr="009F06AF">
        <w:rPr>
          <w:rFonts w:cstheme="minorHAnsi"/>
          <w:color w:val="231F20"/>
          <w:spacing w:val="16"/>
          <w:w w:val="105"/>
        </w:rPr>
        <w:t xml:space="preserve"> </w:t>
      </w:r>
      <w:r w:rsidRPr="009F06AF">
        <w:rPr>
          <w:rFonts w:cstheme="minorHAnsi"/>
          <w:color w:val="231F20"/>
          <w:w w:val="105"/>
        </w:rPr>
        <w:t>distribute</w:t>
      </w:r>
      <w:r w:rsidRPr="009F06AF">
        <w:rPr>
          <w:rFonts w:cstheme="minorHAnsi"/>
          <w:color w:val="231F20"/>
          <w:spacing w:val="16"/>
          <w:w w:val="105"/>
        </w:rPr>
        <w:t xml:space="preserve"> </w:t>
      </w:r>
      <w:r w:rsidRPr="009F06AF">
        <w:rPr>
          <w:rFonts w:cstheme="minorHAnsi"/>
          <w:color w:val="231F20"/>
          <w:w w:val="105"/>
        </w:rPr>
        <w:t>the</w:t>
      </w:r>
      <w:r w:rsidRPr="009F06AF">
        <w:rPr>
          <w:rFonts w:cstheme="minorHAnsi"/>
          <w:color w:val="231F20"/>
          <w:spacing w:val="16"/>
          <w:w w:val="105"/>
        </w:rPr>
        <w:t xml:space="preserve"> </w:t>
      </w:r>
      <w:r w:rsidRPr="009F06AF">
        <w:rPr>
          <w:rFonts w:cstheme="minorHAnsi"/>
          <w:color w:val="231F20"/>
          <w:spacing w:val="-3"/>
          <w:w w:val="105"/>
        </w:rPr>
        <w:t>WARN</w:t>
      </w:r>
      <w:r w:rsidRPr="009F06AF">
        <w:rPr>
          <w:rFonts w:cstheme="minorHAnsi"/>
          <w:color w:val="231F20"/>
          <w:spacing w:val="16"/>
          <w:w w:val="105"/>
        </w:rPr>
        <w:t xml:space="preserve"> </w:t>
      </w:r>
      <w:r w:rsidRPr="009F06AF">
        <w:rPr>
          <w:rFonts w:cstheme="minorHAnsi"/>
          <w:color w:val="231F20"/>
          <w:w w:val="105"/>
        </w:rPr>
        <w:t>and</w:t>
      </w:r>
      <w:r w:rsidRPr="009F06AF">
        <w:rPr>
          <w:rFonts w:cstheme="minorHAnsi"/>
          <w:color w:val="231F20"/>
          <w:spacing w:val="16"/>
          <w:w w:val="105"/>
        </w:rPr>
        <w:t xml:space="preserve"> </w:t>
      </w:r>
      <w:r w:rsidRPr="009F06AF">
        <w:rPr>
          <w:rFonts w:cstheme="minorHAnsi"/>
          <w:color w:val="231F20"/>
          <w:w w:val="105"/>
        </w:rPr>
        <w:t>the</w:t>
      </w:r>
      <w:r w:rsidRPr="009F06AF">
        <w:rPr>
          <w:rFonts w:cstheme="minorHAnsi"/>
          <w:color w:val="231F20"/>
          <w:spacing w:val="16"/>
          <w:w w:val="105"/>
        </w:rPr>
        <w:t xml:space="preserve"> </w:t>
      </w:r>
      <w:r w:rsidRPr="009F06AF">
        <w:rPr>
          <w:rFonts w:cstheme="minorHAnsi"/>
          <w:color w:val="231F20"/>
          <w:w w:val="105"/>
        </w:rPr>
        <w:t>background</w:t>
      </w:r>
      <w:r w:rsidRPr="009F06AF">
        <w:rPr>
          <w:rFonts w:cstheme="minorHAnsi"/>
          <w:color w:val="231F20"/>
          <w:spacing w:val="16"/>
          <w:w w:val="105"/>
        </w:rPr>
        <w:t xml:space="preserve"> </w:t>
      </w:r>
      <w:r w:rsidRPr="009F06AF">
        <w:rPr>
          <w:rFonts w:cstheme="minorHAnsi"/>
          <w:color w:val="231F20"/>
          <w:w w:val="105"/>
        </w:rPr>
        <w:t>information</w:t>
      </w:r>
      <w:r w:rsidRPr="009F06AF">
        <w:rPr>
          <w:rFonts w:cstheme="minorHAnsi"/>
          <w:color w:val="231F20"/>
          <w:spacing w:val="16"/>
          <w:w w:val="105"/>
        </w:rPr>
        <w:t xml:space="preserve"> </w:t>
      </w:r>
      <w:r w:rsidRPr="009F06AF">
        <w:rPr>
          <w:rFonts w:cstheme="minorHAnsi"/>
          <w:color w:val="231F20"/>
          <w:w w:val="105"/>
        </w:rPr>
        <w:t>to</w:t>
      </w:r>
      <w:r w:rsidRPr="009F06AF">
        <w:rPr>
          <w:rFonts w:cstheme="minorHAnsi"/>
          <w:color w:val="231F20"/>
          <w:spacing w:val="16"/>
          <w:w w:val="105"/>
        </w:rPr>
        <w:t xml:space="preserve"> </w:t>
      </w:r>
      <w:r w:rsidRPr="009F06AF">
        <w:rPr>
          <w:rFonts w:cstheme="minorHAnsi"/>
          <w:color w:val="231F20"/>
          <w:w w:val="105"/>
        </w:rPr>
        <w:t>the</w:t>
      </w:r>
      <w:r w:rsidRPr="009F06AF">
        <w:rPr>
          <w:rFonts w:cstheme="minorHAnsi"/>
          <w:color w:val="231F20"/>
          <w:spacing w:val="16"/>
          <w:w w:val="105"/>
        </w:rPr>
        <w:t xml:space="preserve"> </w:t>
      </w:r>
      <w:r w:rsidRPr="009F06AF">
        <w:rPr>
          <w:rFonts w:cstheme="minorHAnsi"/>
          <w:color w:val="231F20"/>
          <w:w w:val="105"/>
        </w:rPr>
        <w:t>affected</w:t>
      </w:r>
      <w:r w:rsidRPr="009F06AF">
        <w:rPr>
          <w:rFonts w:cstheme="minorHAnsi"/>
          <w:color w:val="231F20"/>
          <w:spacing w:val="16"/>
          <w:w w:val="105"/>
        </w:rPr>
        <w:t xml:space="preserve"> </w:t>
      </w:r>
      <w:r w:rsidR="000203BB" w:rsidRPr="009F06AF">
        <w:rPr>
          <w:rFonts w:cstheme="minorHAnsi"/>
          <w:color w:val="231F20"/>
          <w:spacing w:val="-5"/>
          <w:w w:val="105"/>
        </w:rPr>
        <w:t>local workforce development boards.</w:t>
      </w:r>
    </w:p>
    <w:p w14:paraId="3F77BE5B" w14:textId="77777777" w:rsidR="00751FC0" w:rsidRPr="009F06AF" w:rsidRDefault="00751FC0" w:rsidP="00D63204">
      <w:pPr>
        <w:widowControl w:val="0"/>
        <w:spacing w:before="5" w:after="0" w:line="240" w:lineRule="auto"/>
        <w:ind w:left="107"/>
        <w:rPr>
          <w:rFonts w:cstheme="minorHAnsi"/>
          <w:sz w:val="16"/>
          <w:szCs w:val="16"/>
        </w:rPr>
      </w:pPr>
    </w:p>
    <w:p w14:paraId="6FCE897D" w14:textId="5F666689" w:rsidR="00751FC0" w:rsidRPr="009F06AF" w:rsidRDefault="00751FC0" w:rsidP="00D63204">
      <w:pPr>
        <w:widowControl w:val="0"/>
        <w:spacing w:after="0" w:line="264" w:lineRule="exact"/>
        <w:ind w:left="107"/>
        <w:rPr>
          <w:rFonts w:cstheme="minorHAnsi"/>
        </w:rPr>
      </w:pPr>
      <w:r w:rsidRPr="009F06AF">
        <w:rPr>
          <w:rFonts w:cstheme="minorHAnsi"/>
          <w:color w:val="231F20"/>
          <w:w w:val="105"/>
        </w:rPr>
        <w:t>Each</w:t>
      </w:r>
      <w:r w:rsidRPr="009F06AF">
        <w:rPr>
          <w:rFonts w:cstheme="minorHAnsi"/>
          <w:color w:val="231F20"/>
          <w:spacing w:val="19"/>
          <w:w w:val="105"/>
        </w:rPr>
        <w:t xml:space="preserve"> </w:t>
      </w:r>
      <w:r w:rsidRPr="009F06AF">
        <w:rPr>
          <w:rFonts w:cstheme="minorHAnsi"/>
          <w:color w:val="231F20"/>
          <w:spacing w:val="-4"/>
          <w:w w:val="105"/>
        </w:rPr>
        <w:t>LWDB</w:t>
      </w:r>
      <w:r w:rsidRPr="009F06AF">
        <w:rPr>
          <w:rFonts w:cstheme="minorHAnsi"/>
          <w:color w:val="231F20"/>
          <w:spacing w:val="19"/>
          <w:w w:val="105"/>
        </w:rPr>
        <w:t xml:space="preserve"> </w:t>
      </w:r>
      <w:r w:rsidRPr="009F06AF">
        <w:rPr>
          <w:rFonts w:cstheme="minorHAnsi"/>
          <w:color w:val="231F20"/>
          <w:w w:val="105"/>
        </w:rPr>
        <w:t>has</w:t>
      </w:r>
      <w:r w:rsidRPr="009F06AF">
        <w:rPr>
          <w:rFonts w:cstheme="minorHAnsi"/>
          <w:color w:val="231F20"/>
          <w:spacing w:val="19"/>
          <w:w w:val="105"/>
        </w:rPr>
        <w:t xml:space="preserve"> </w:t>
      </w:r>
      <w:r w:rsidRPr="009F06AF">
        <w:rPr>
          <w:rFonts w:cstheme="minorHAnsi"/>
          <w:color w:val="231F20"/>
          <w:w w:val="105"/>
        </w:rPr>
        <w:t>a</w:t>
      </w:r>
      <w:r w:rsidRPr="009F06AF">
        <w:rPr>
          <w:rFonts w:cstheme="minorHAnsi"/>
          <w:color w:val="231F20"/>
          <w:spacing w:val="19"/>
          <w:w w:val="105"/>
        </w:rPr>
        <w:t xml:space="preserve"> </w:t>
      </w:r>
      <w:r w:rsidRPr="009F06AF">
        <w:rPr>
          <w:rFonts w:cstheme="minorHAnsi"/>
          <w:color w:val="231F20"/>
          <w:w w:val="105"/>
        </w:rPr>
        <w:t>Business</w:t>
      </w:r>
      <w:r w:rsidRPr="009F06AF">
        <w:rPr>
          <w:rFonts w:cstheme="minorHAnsi"/>
          <w:color w:val="231F20"/>
          <w:spacing w:val="19"/>
          <w:w w:val="105"/>
        </w:rPr>
        <w:t xml:space="preserve"> </w:t>
      </w:r>
      <w:r w:rsidRPr="009F06AF">
        <w:rPr>
          <w:rFonts w:cstheme="minorHAnsi"/>
          <w:color w:val="231F20"/>
          <w:w w:val="105"/>
        </w:rPr>
        <w:t>Service</w:t>
      </w:r>
      <w:r w:rsidR="007F04E8">
        <w:rPr>
          <w:rFonts w:cstheme="minorHAnsi"/>
          <w:color w:val="231F20"/>
          <w:w w:val="105"/>
        </w:rPr>
        <w:t>s</w:t>
      </w:r>
      <w:r w:rsidRPr="009F06AF">
        <w:rPr>
          <w:rFonts w:cstheme="minorHAnsi"/>
          <w:color w:val="231F20"/>
          <w:spacing w:val="19"/>
          <w:w w:val="105"/>
        </w:rPr>
        <w:t xml:space="preserve"> </w:t>
      </w:r>
      <w:r w:rsidR="007F04E8">
        <w:rPr>
          <w:rFonts w:cstheme="minorHAnsi"/>
          <w:color w:val="231F20"/>
          <w:spacing w:val="19"/>
          <w:w w:val="105"/>
        </w:rPr>
        <w:t>u</w:t>
      </w:r>
      <w:r w:rsidRPr="009F06AF">
        <w:rPr>
          <w:rFonts w:cstheme="minorHAnsi"/>
          <w:color w:val="231F20"/>
          <w:w w:val="105"/>
        </w:rPr>
        <w:t>nit</w:t>
      </w:r>
      <w:r w:rsidRPr="009F06AF">
        <w:rPr>
          <w:rFonts w:cstheme="minorHAnsi"/>
          <w:color w:val="231F20"/>
          <w:spacing w:val="19"/>
          <w:w w:val="105"/>
        </w:rPr>
        <w:t xml:space="preserve"> </w:t>
      </w:r>
      <w:r w:rsidRPr="009F06AF">
        <w:rPr>
          <w:rFonts w:cstheme="minorHAnsi"/>
          <w:color w:val="231F20"/>
          <w:w w:val="105"/>
        </w:rPr>
        <w:t>that</w:t>
      </w:r>
      <w:r w:rsidRPr="009F06AF">
        <w:rPr>
          <w:rFonts w:cstheme="minorHAnsi"/>
          <w:color w:val="231F20"/>
          <w:spacing w:val="19"/>
          <w:w w:val="105"/>
        </w:rPr>
        <w:t xml:space="preserve"> </w:t>
      </w:r>
      <w:r w:rsidRPr="009F06AF">
        <w:rPr>
          <w:rFonts w:cstheme="minorHAnsi"/>
          <w:color w:val="231F20"/>
          <w:w w:val="105"/>
        </w:rPr>
        <w:t>includes</w:t>
      </w:r>
      <w:r w:rsidRPr="009F06AF">
        <w:rPr>
          <w:rFonts w:cstheme="minorHAnsi"/>
          <w:color w:val="231F20"/>
          <w:spacing w:val="19"/>
          <w:w w:val="105"/>
        </w:rPr>
        <w:t xml:space="preserve"> </w:t>
      </w:r>
      <w:r w:rsidRPr="009F06AF">
        <w:rPr>
          <w:rFonts w:cstheme="minorHAnsi"/>
          <w:color w:val="231F20"/>
          <w:w w:val="105"/>
        </w:rPr>
        <w:t>a</w:t>
      </w:r>
      <w:r w:rsidRPr="009F06AF">
        <w:rPr>
          <w:rFonts w:cstheme="minorHAnsi"/>
          <w:color w:val="231F20"/>
          <w:spacing w:val="19"/>
          <w:w w:val="105"/>
        </w:rPr>
        <w:t xml:space="preserve"> </w:t>
      </w:r>
      <w:r w:rsidRPr="009F06AF">
        <w:rPr>
          <w:rFonts w:cstheme="minorHAnsi"/>
          <w:color w:val="231F20"/>
          <w:w w:val="105"/>
        </w:rPr>
        <w:t>Rapid</w:t>
      </w:r>
      <w:r w:rsidRPr="009F06AF">
        <w:rPr>
          <w:rFonts w:cstheme="minorHAnsi"/>
          <w:color w:val="231F20"/>
          <w:spacing w:val="19"/>
          <w:w w:val="105"/>
        </w:rPr>
        <w:t xml:space="preserve"> </w:t>
      </w:r>
      <w:r w:rsidRPr="009F06AF">
        <w:rPr>
          <w:rFonts w:cstheme="minorHAnsi"/>
          <w:color w:val="231F20"/>
          <w:w w:val="105"/>
        </w:rPr>
        <w:t>Response</w:t>
      </w:r>
      <w:r w:rsidRPr="009F06AF">
        <w:rPr>
          <w:rFonts w:cstheme="minorHAnsi"/>
          <w:color w:val="231F20"/>
          <w:spacing w:val="19"/>
          <w:w w:val="105"/>
        </w:rPr>
        <w:t xml:space="preserve"> </w:t>
      </w:r>
      <w:r w:rsidRPr="009F06AF">
        <w:rPr>
          <w:rFonts w:cstheme="minorHAnsi"/>
          <w:color w:val="231F20"/>
          <w:w w:val="105"/>
        </w:rPr>
        <w:t>Coordinator.</w:t>
      </w:r>
      <w:r w:rsidRPr="009F06AF">
        <w:rPr>
          <w:rFonts w:cstheme="minorHAnsi"/>
          <w:color w:val="231F20"/>
          <w:spacing w:val="19"/>
          <w:w w:val="105"/>
        </w:rPr>
        <w:t xml:space="preserve"> Local</w:t>
      </w:r>
      <w:r w:rsidR="00BE4CEF">
        <w:rPr>
          <w:rFonts w:cstheme="minorHAnsi"/>
          <w:color w:val="231F20"/>
          <w:spacing w:val="19"/>
          <w:w w:val="105"/>
        </w:rPr>
        <w:t xml:space="preserve"> board</w:t>
      </w:r>
      <w:r w:rsidRPr="009F06AF">
        <w:rPr>
          <w:rFonts w:cstheme="minorHAnsi"/>
          <w:color w:val="231F20"/>
          <w:spacing w:val="19"/>
          <w:w w:val="105"/>
        </w:rPr>
        <w:t xml:space="preserve"> s</w:t>
      </w:r>
      <w:r w:rsidRPr="009F06AF">
        <w:rPr>
          <w:rFonts w:cstheme="minorHAnsi"/>
          <w:color w:val="231F20"/>
          <w:w w:val="105"/>
        </w:rPr>
        <w:t>taff</w:t>
      </w:r>
      <w:r w:rsidRPr="009F06AF">
        <w:rPr>
          <w:rFonts w:cstheme="minorHAnsi"/>
          <w:color w:val="231F20"/>
          <w:spacing w:val="19"/>
          <w:w w:val="105"/>
        </w:rPr>
        <w:t xml:space="preserve"> </w:t>
      </w:r>
      <w:r w:rsidRPr="009F06AF">
        <w:rPr>
          <w:rFonts w:cstheme="minorHAnsi"/>
          <w:color w:val="231F20"/>
          <w:w w:val="105"/>
        </w:rPr>
        <w:t>respond</w:t>
      </w:r>
      <w:r w:rsidRPr="009F06AF">
        <w:rPr>
          <w:rFonts w:cstheme="minorHAnsi"/>
          <w:color w:val="231F20"/>
          <w:spacing w:val="19"/>
          <w:w w:val="105"/>
        </w:rPr>
        <w:t xml:space="preserve"> </w:t>
      </w:r>
      <w:r w:rsidRPr="009F06AF">
        <w:rPr>
          <w:rFonts w:cstheme="minorHAnsi"/>
          <w:color w:val="231F20"/>
          <w:w w:val="105"/>
        </w:rPr>
        <w:t>and</w:t>
      </w:r>
      <w:r w:rsidRPr="009F06AF">
        <w:rPr>
          <w:rFonts w:cstheme="minorHAnsi"/>
          <w:color w:val="231F20"/>
          <w:spacing w:val="-11"/>
          <w:w w:val="105"/>
        </w:rPr>
        <w:t xml:space="preserve"> </w:t>
      </w:r>
      <w:r w:rsidRPr="009F06AF">
        <w:rPr>
          <w:rFonts w:cstheme="minorHAnsi"/>
          <w:color w:val="231F20"/>
          <w:w w:val="105"/>
        </w:rPr>
        <w:t>provide</w:t>
      </w:r>
      <w:r w:rsidRPr="009F06AF">
        <w:rPr>
          <w:rFonts w:cstheme="minorHAnsi"/>
          <w:color w:val="231F20"/>
          <w:spacing w:val="16"/>
          <w:w w:val="105"/>
        </w:rPr>
        <w:t xml:space="preserve"> r</w:t>
      </w:r>
      <w:r w:rsidRPr="009F06AF">
        <w:rPr>
          <w:rFonts w:cstheme="minorHAnsi"/>
          <w:color w:val="231F20"/>
          <w:w w:val="105"/>
        </w:rPr>
        <w:t>apid</w:t>
      </w:r>
      <w:r w:rsidRPr="009F06AF">
        <w:rPr>
          <w:rFonts w:cstheme="minorHAnsi"/>
          <w:color w:val="231F20"/>
          <w:spacing w:val="16"/>
          <w:w w:val="105"/>
        </w:rPr>
        <w:t xml:space="preserve"> r</w:t>
      </w:r>
      <w:r w:rsidRPr="009F06AF">
        <w:rPr>
          <w:rFonts w:cstheme="minorHAnsi"/>
          <w:color w:val="231F20"/>
          <w:w w:val="105"/>
        </w:rPr>
        <w:t>esponse</w:t>
      </w:r>
      <w:r w:rsidRPr="009F06AF">
        <w:rPr>
          <w:rFonts w:cstheme="minorHAnsi"/>
          <w:color w:val="231F20"/>
          <w:spacing w:val="16"/>
          <w:w w:val="105"/>
        </w:rPr>
        <w:t xml:space="preserve"> </w:t>
      </w:r>
      <w:r w:rsidRPr="009F06AF">
        <w:rPr>
          <w:rFonts w:cstheme="minorHAnsi"/>
          <w:color w:val="231F20"/>
          <w:w w:val="105"/>
        </w:rPr>
        <w:t>services</w:t>
      </w:r>
      <w:r w:rsidRPr="009F06AF">
        <w:rPr>
          <w:rFonts w:cstheme="minorHAnsi"/>
          <w:color w:val="231F20"/>
          <w:spacing w:val="16"/>
          <w:w w:val="105"/>
        </w:rPr>
        <w:t xml:space="preserve"> </w:t>
      </w:r>
      <w:r w:rsidRPr="009F06AF">
        <w:rPr>
          <w:rFonts w:cstheme="minorHAnsi"/>
          <w:color w:val="231F20"/>
          <w:w w:val="105"/>
        </w:rPr>
        <w:t>to</w:t>
      </w:r>
      <w:r w:rsidRPr="009F06AF">
        <w:rPr>
          <w:rFonts w:cstheme="minorHAnsi"/>
          <w:color w:val="231F20"/>
          <w:spacing w:val="16"/>
          <w:w w:val="105"/>
        </w:rPr>
        <w:t xml:space="preserve"> </w:t>
      </w:r>
      <w:r w:rsidRPr="009F06AF">
        <w:rPr>
          <w:rFonts w:cstheme="minorHAnsi"/>
          <w:color w:val="231F20"/>
          <w:w w:val="105"/>
        </w:rPr>
        <w:t>employers</w:t>
      </w:r>
      <w:r w:rsidRPr="009F06AF">
        <w:rPr>
          <w:rFonts w:cstheme="minorHAnsi"/>
          <w:color w:val="231F20"/>
          <w:spacing w:val="16"/>
          <w:w w:val="105"/>
        </w:rPr>
        <w:t xml:space="preserve"> </w:t>
      </w:r>
      <w:r w:rsidRPr="009F06AF">
        <w:rPr>
          <w:rFonts w:cstheme="minorHAnsi"/>
          <w:color w:val="231F20"/>
          <w:w w:val="105"/>
        </w:rPr>
        <w:t xml:space="preserve">submitting </w:t>
      </w:r>
      <w:r w:rsidRPr="009F06AF">
        <w:rPr>
          <w:rFonts w:cstheme="minorHAnsi"/>
          <w:color w:val="231F20"/>
          <w:spacing w:val="-3"/>
          <w:w w:val="105"/>
        </w:rPr>
        <w:t>WARN</w:t>
      </w:r>
      <w:r w:rsidRPr="009F06AF">
        <w:rPr>
          <w:rFonts w:cstheme="minorHAnsi"/>
          <w:color w:val="231F20"/>
          <w:spacing w:val="16"/>
          <w:w w:val="105"/>
        </w:rPr>
        <w:t xml:space="preserve"> </w:t>
      </w:r>
      <w:r w:rsidRPr="009F06AF">
        <w:rPr>
          <w:rFonts w:cstheme="minorHAnsi"/>
          <w:color w:val="231F20"/>
          <w:w w:val="105"/>
        </w:rPr>
        <w:t>notices</w:t>
      </w:r>
      <w:r w:rsidRPr="009F06AF">
        <w:rPr>
          <w:rFonts w:cstheme="minorHAnsi"/>
          <w:color w:val="231F20"/>
          <w:spacing w:val="16"/>
          <w:w w:val="105"/>
        </w:rPr>
        <w:t xml:space="preserve"> </w:t>
      </w:r>
      <w:r w:rsidRPr="009F06AF">
        <w:rPr>
          <w:rFonts w:cstheme="minorHAnsi"/>
          <w:color w:val="231F20"/>
          <w:w w:val="105"/>
        </w:rPr>
        <w:t>and Trade Act Petitions.</w:t>
      </w:r>
      <w:r w:rsidR="00E840CE">
        <w:rPr>
          <w:rFonts w:cstheme="minorHAnsi"/>
          <w:color w:val="231F20"/>
          <w:w w:val="105"/>
        </w:rPr>
        <w:t xml:space="preserve"> </w:t>
      </w:r>
      <w:r w:rsidRPr="009F06AF">
        <w:rPr>
          <w:rFonts w:cstheme="minorHAnsi"/>
          <w:color w:val="231F20"/>
          <w:w w:val="105"/>
        </w:rPr>
        <w:t>Local</w:t>
      </w:r>
      <w:r w:rsidRPr="009F06AF">
        <w:rPr>
          <w:rFonts w:cstheme="minorHAnsi"/>
          <w:color w:val="231F20"/>
          <w:spacing w:val="6"/>
          <w:w w:val="105"/>
        </w:rPr>
        <w:t xml:space="preserve"> </w:t>
      </w:r>
      <w:r w:rsidR="00BE4CEF">
        <w:rPr>
          <w:rFonts w:cstheme="minorHAnsi"/>
          <w:color w:val="231F20"/>
          <w:spacing w:val="6"/>
          <w:w w:val="105"/>
        </w:rPr>
        <w:t>board</w:t>
      </w:r>
      <w:r w:rsidRPr="009F06AF">
        <w:rPr>
          <w:rFonts w:cstheme="minorHAnsi"/>
          <w:color w:val="231F20"/>
          <w:spacing w:val="6"/>
          <w:w w:val="105"/>
        </w:rPr>
        <w:t xml:space="preserve"> </w:t>
      </w:r>
      <w:r w:rsidRPr="009F06AF">
        <w:rPr>
          <w:rFonts w:cstheme="minorHAnsi"/>
          <w:color w:val="231F20"/>
          <w:w w:val="105"/>
        </w:rPr>
        <w:t>staff</w:t>
      </w:r>
      <w:r w:rsidRPr="009F06AF">
        <w:rPr>
          <w:rFonts w:cstheme="minorHAnsi"/>
          <w:color w:val="231F20"/>
          <w:spacing w:val="6"/>
          <w:w w:val="105"/>
        </w:rPr>
        <w:t xml:space="preserve"> </w:t>
      </w:r>
      <w:r w:rsidRPr="009F06AF">
        <w:rPr>
          <w:rFonts w:cstheme="minorHAnsi"/>
          <w:color w:val="231F20"/>
          <w:w w:val="105"/>
        </w:rPr>
        <w:t>are</w:t>
      </w:r>
      <w:r w:rsidRPr="009F06AF">
        <w:rPr>
          <w:rFonts w:cstheme="minorHAnsi"/>
          <w:color w:val="231F20"/>
          <w:spacing w:val="6"/>
          <w:w w:val="105"/>
        </w:rPr>
        <w:t xml:space="preserve"> </w:t>
      </w:r>
      <w:r w:rsidRPr="009F06AF">
        <w:rPr>
          <w:rFonts w:cstheme="minorHAnsi"/>
          <w:color w:val="231F20"/>
          <w:w w:val="105"/>
        </w:rPr>
        <w:t>responsible</w:t>
      </w:r>
      <w:r w:rsidRPr="009F06AF">
        <w:rPr>
          <w:rFonts w:cstheme="minorHAnsi"/>
          <w:color w:val="231F20"/>
          <w:spacing w:val="6"/>
          <w:w w:val="105"/>
        </w:rPr>
        <w:t xml:space="preserve"> </w:t>
      </w:r>
      <w:r w:rsidRPr="009F06AF">
        <w:rPr>
          <w:rFonts w:cstheme="minorHAnsi"/>
          <w:color w:val="231F20"/>
          <w:w w:val="105"/>
        </w:rPr>
        <w:t>for</w:t>
      </w:r>
      <w:r w:rsidRPr="009F06AF">
        <w:rPr>
          <w:rFonts w:cstheme="minorHAnsi"/>
          <w:color w:val="231F20"/>
          <w:spacing w:val="6"/>
          <w:w w:val="105"/>
        </w:rPr>
        <w:t xml:space="preserve"> </w:t>
      </w:r>
      <w:r w:rsidRPr="009F06AF">
        <w:rPr>
          <w:rFonts w:cstheme="minorHAnsi"/>
          <w:color w:val="231F20"/>
          <w:w w:val="105"/>
        </w:rPr>
        <w:t>making</w:t>
      </w:r>
      <w:r w:rsidRPr="009F06AF">
        <w:rPr>
          <w:rFonts w:cstheme="minorHAnsi"/>
          <w:color w:val="231F20"/>
          <w:spacing w:val="6"/>
          <w:w w:val="105"/>
        </w:rPr>
        <w:t xml:space="preserve"> </w:t>
      </w:r>
      <w:r w:rsidRPr="009F06AF">
        <w:rPr>
          <w:rFonts w:cstheme="minorHAnsi"/>
          <w:color w:val="231F20"/>
          <w:w w:val="105"/>
        </w:rPr>
        <w:t>initial</w:t>
      </w:r>
      <w:r w:rsidRPr="009F06AF">
        <w:rPr>
          <w:rFonts w:cstheme="minorHAnsi"/>
          <w:color w:val="231F20"/>
          <w:spacing w:val="6"/>
          <w:w w:val="105"/>
        </w:rPr>
        <w:t xml:space="preserve"> </w:t>
      </w:r>
      <w:r w:rsidRPr="009F06AF">
        <w:rPr>
          <w:rFonts w:cstheme="minorHAnsi"/>
          <w:color w:val="231F20"/>
          <w:w w:val="105"/>
        </w:rPr>
        <w:t>contact</w:t>
      </w:r>
      <w:r w:rsidRPr="009F06AF">
        <w:rPr>
          <w:rFonts w:cstheme="minorHAnsi"/>
          <w:color w:val="231F20"/>
          <w:spacing w:val="6"/>
          <w:w w:val="105"/>
        </w:rPr>
        <w:t xml:space="preserve"> </w:t>
      </w:r>
      <w:r w:rsidRPr="009F06AF">
        <w:rPr>
          <w:rFonts w:cstheme="minorHAnsi"/>
          <w:color w:val="231F20"/>
          <w:w w:val="105"/>
        </w:rPr>
        <w:t>with</w:t>
      </w:r>
      <w:r w:rsidRPr="009F06AF">
        <w:rPr>
          <w:rFonts w:cstheme="minorHAnsi"/>
          <w:color w:val="231F20"/>
          <w:spacing w:val="6"/>
          <w:w w:val="105"/>
        </w:rPr>
        <w:t xml:space="preserve"> </w:t>
      </w:r>
      <w:r w:rsidRPr="009F06AF">
        <w:rPr>
          <w:rFonts w:cstheme="minorHAnsi"/>
          <w:color w:val="231F20"/>
          <w:w w:val="105"/>
        </w:rPr>
        <w:t>a</w:t>
      </w:r>
      <w:r w:rsidRPr="009F06AF">
        <w:rPr>
          <w:rFonts w:cstheme="minorHAnsi"/>
          <w:color w:val="231F20"/>
          <w:spacing w:val="6"/>
          <w:w w:val="105"/>
        </w:rPr>
        <w:t xml:space="preserve"> </w:t>
      </w:r>
      <w:r w:rsidRPr="009F06AF">
        <w:rPr>
          <w:rFonts w:cstheme="minorHAnsi"/>
          <w:color w:val="231F20"/>
          <w:w w:val="105"/>
        </w:rPr>
        <w:t>company</w:t>
      </w:r>
      <w:r w:rsidRPr="009F06AF">
        <w:rPr>
          <w:rFonts w:cstheme="minorHAnsi"/>
          <w:color w:val="231F20"/>
          <w:spacing w:val="6"/>
          <w:w w:val="105"/>
        </w:rPr>
        <w:t xml:space="preserve"> </w:t>
      </w:r>
      <w:r w:rsidRPr="009F06AF">
        <w:rPr>
          <w:rFonts w:cstheme="minorHAnsi"/>
          <w:color w:val="231F20"/>
          <w:w w:val="105"/>
        </w:rPr>
        <w:t>official</w:t>
      </w:r>
      <w:r w:rsidRPr="009F06AF">
        <w:rPr>
          <w:rFonts w:cstheme="minorHAnsi"/>
          <w:color w:val="231F20"/>
          <w:spacing w:val="6"/>
          <w:w w:val="105"/>
        </w:rPr>
        <w:t xml:space="preserve"> </w:t>
      </w:r>
      <w:r w:rsidRPr="009F06AF">
        <w:rPr>
          <w:rFonts w:cstheme="minorHAnsi"/>
          <w:color w:val="231F20"/>
          <w:w w:val="105"/>
        </w:rPr>
        <w:t>to</w:t>
      </w:r>
      <w:r>
        <w:rPr>
          <w:rFonts w:cstheme="minorHAnsi"/>
          <w:color w:val="231F20"/>
          <w:w w:val="105"/>
        </w:rPr>
        <w:t xml:space="preserve"> </w:t>
      </w:r>
      <w:r w:rsidRPr="009F06AF">
        <w:rPr>
          <w:rFonts w:cstheme="minorHAnsi"/>
          <w:color w:val="231F20"/>
          <w:w w:val="105"/>
        </w:rPr>
        <w:t>obtain information about the layoff. If workers are still attached to the employer, the Rapid</w:t>
      </w:r>
      <w:r w:rsidRPr="009F06AF">
        <w:rPr>
          <w:rFonts w:cstheme="minorHAnsi"/>
          <w:color w:val="231F20"/>
          <w:spacing w:val="47"/>
          <w:w w:val="105"/>
        </w:rPr>
        <w:t xml:space="preserve"> </w:t>
      </w:r>
      <w:r w:rsidRPr="009F06AF">
        <w:rPr>
          <w:rFonts w:cstheme="minorHAnsi"/>
          <w:color w:val="231F20"/>
          <w:w w:val="105"/>
        </w:rPr>
        <w:t>Response</w:t>
      </w:r>
      <w:r w:rsidRPr="009F06AF">
        <w:rPr>
          <w:rFonts w:cstheme="minorHAnsi"/>
          <w:color w:val="231F20"/>
          <w:w w:val="111"/>
        </w:rPr>
        <w:t xml:space="preserve"> </w:t>
      </w:r>
      <w:r w:rsidRPr="009F06AF">
        <w:rPr>
          <w:rFonts w:cstheme="minorHAnsi"/>
          <w:color w:val="231F20"/>
          <w:w w:val="105"/>
        </w:rPr>
        <w:t>Coordinator conducts Rapid Response Information Meetings to the workers providing information on various services offered in the CareerSource Florida One-Stop Career Center and through partner programs.</w:t>
      </w:r>
      <w:r w:rsidRPr="009F06AF">
        <w:rPr>
          <w:rFonts w:cstheme="minorHAnsi"/>
          <w:color w:val="231F20"/>
          <w:spacing w:val="25"/>
          <w:w w:val="105"/>
        </w:rPr>
        <w:t xml:space="preserve"> </w:t>
      </w:r>
      <w:r w:rsidRPr="009F06AF">
        <w:rPr>
          <w:rFonts w:cstheme="minorHAnsi"/>
          <w:color w:val="231F20"/>
          <w:w w:val="105"/>
        </w:rPr>
        <w:t>Information provided includes Reemployment Assistance, Labor Market Information, training opportunities,</w:t>
      </w:r>
      <w:r w:rsidRPr="009F06AF">
        <w:rPr>
          <w:rFonts w:cstheme="minorHAnsi"/>
          <w:color w:val="231F20"/>
          <w:spacing w:val="3"/>
          <w:w w:val="105"/>
        </w:rPr>
        <w:t xml:space="preserve"> </w:t>
      </w:r>
      <w:r w:rsidRPr="009F06AF">
        <w:rPr>
          <w:rFonts w:cstheme="minorHAnsi"/>
          <w:color w:val="231F20"/>
          <w:w w:val="105"/>
        </w:rPr>
        <w:t>seminars,</w:t>
      </w:r>
      <w:r w:rsidRPr="009F06AF">
        <w:rPr>
          <w:rFonts w:cstheme="minorHAnsi"/>
          <w:color w:val="231F20"/>
          <w:w w:val="106"/>
        </w:rPr>
        <w:t xml:space="preserve"> </w:t>
      </w:r>
      <w:r w:rsidRPr="009F06AF">
        <w:rPr>
          <w:rFonts w:cstheme="minorHAnsi"/>
          <w:color w:val="231F20"/>
          <w:w w:val="105"/>
        </w:rPr>
        <w:t>workshops, job search assistance</w:t>
      </w:r>
      <w:r w:rsidR="00D5537E">
        <w:rPr>
          <w:rFonts w:cstheme="minorHAnsi"/>
          <w:color w:val="231F20"/>
          <w:w w:val="105"/>
        </w:rPr>
        <w:t xml:space="preserve"> and</w:t>
      </w:r>
      <w:r w:rsidRPr="009F06AF">
        <w:rPr>
          <w:rFonts w:cstheme="minorHAnsi"/>
          <w:color w:val="231F20"/>
          <w:w w:val="105"/>
        </w:rPr>
        <w:t xml:space="preserve"> other services.</w:t>
      </w:r>
    </w:p>
    <w:p w14:paraId="617D77D8" w14:textId="77777777" w:rsidR="00751FC0" w:rsidRPr="009F06AF" w:rsidRDefault="00751FC0" w:rsidP="00D63204">
      <w:pPr>
        <w:widowControl w:val="0"/>
        <w:spacing w:before="5" w:after="0" w:line="240" w:lineRule="auto"/>
        <w:ind w:left="107"/>
        <w:rPr>
          <w:rFonts w:cstheme="minorHAnsi"/>
          <w:sz w:val="16"/>
          <w:szCs w:val="16"/>
        </w:rPr>
      </w:pPr>
    </w:p>
    <w:p w14:paraId="256B87FD" w14:textId="5319F7F8" w:rsidR="009F1BFB" w:rsidRDefault="00751FC0" w:rsidP="00D63204">
      <w:pPr>
        <w:widowControl w:val="0"/>
        <w:spacing w:after="0" w:line="264" w:lineRule="exact"/>
        <w:ind w:left="107"/>
        <w:rPr>
          <w:rFonts w:cstheme="minorHAnsi"/>
          <w:color w:val="231F20"/>
          <w:w w:val="110"/>
        </w:rPr>
      </w:pPr>
      <w:r w:rsidRPr="009F06AF">
        <w:rPr>
          <w:rFonts w:cstheme="minorHAnsi"/>
          <w:color w:val="231F20"/>
          <w:w w:val="110"/>
        </w:rPr>
        <w:t xml:space="preserve">When possible, </w:t>
      </w:r>
      <w:r w:rsidR="00636731">
        <w:rPr>
          <w:rFonts w:cstheme="minorHAnsi"/>
          <w:color w:val="231F20"/>
          <w:w w:val="110"/>
        </w:rPr>
        <w:t>on</w:t>
      </w:r>
      <w:r w:rsidRPr="009F06AF">
        <w:rPr>
          <w:rFonts w:cstheme="minorHAnsi"/>
          <w:color w:val="231F20"/>
          <w:w w:val="110"/>
        </w:rPr>
        <w:t>site</w:t>
      </w:r>
      <w:r w:rsidRPr="009F06AF">
        <w:rPr>
          <w:rFonts w:cstheme="minorHAnsi"/>
          <w:color w:val="231F20"/>
          <w:spacing w:val="-13"/>
          <w:w w:val="110"/>
        </w:rPr>
        <w:t xml:space="preserve"> </w:t>
      </w:r>
      <w:r w:rsidRPr="009F06AF">
        <w:rPr>
          <w:rFonts w:cstheme="minorHAnsi"/>
          <w:color w:val="231F20"/>
          <w:w w:val="110"/>
        </w:rPr>
        <w:t>services</w:t>
      </w:r>
      <w:r w:rsidRPr="009F06AF">
        <w:rPr>
          <w:rFonts w:cstheme="minorHAnsi"/>
          <w:color w:val="231F20"/>
          <w:spacing w:val="-13"/>
          <w:w w:val="110"/>
        </w:rPr>
        <w:t xml:space="preserve"> </w:t>
      </w:r>
      <w:r w:rsidRPr="009F06AF">
        <w:rPr>
          <w:rFonts w:cstheme="minorHAnsi"/>
          <w:color w:val="231F20"/>
          <w:w w:val="110"/>
        </w:rPr>
        <w:t>are</w:t>
      </w:r>
      <w:r w:rsidRPr="009F06AF">
        <w:rPr>
          <w:rFonts w:cstheme="minorHAnsi"/>
          <w:color w:val="231F20"/>
          <w:spacing w:val="-13"/>
          <w:w w:val="110"/>
        </w:rPr>
        <w:t xml:space="preserve"> </w:t>
      </w:r>
      <w:r w:rsidRPr="009F06AF">
        <w:rPr>
          <w:rFonts w:cstheme="minorHAnsi"/>
          <w:color w:val="231F20"/>
          <w:w w:val="110"/>
        </w:rPr>
        <w:t>offered</w:t>
      </w:r>
      <w:r w:rsidRPr="009F06AF">
        <w:rPr>
          <w:rFonts w:cstheme="minorHAnsi"/>
          <w:color w:val="231F20"/>
          <w:spacing w:val="-13"/>
          <w:w w:val="110"/>
        </w:rPr>
        <w:t xml:space="preserve"> </w:t>
      </w:r>
      <w:r w:rsidRPr="009F06AF">
        <w:rPr>
          <w:rFonts w:cstheme="minorHAnsi"/>
          <w:color w:val="231F20"/>
          <w:w w:val="110"/>
        </w:rPr>
        <w:t>to</w:t>
      </w:r>
      <w:r w:rsidRPr="009F06AF">
        <w:rPr>
          <w:rFonts w:cstheme="minorHAnsi"/>
          <w:color w:val="231F20"/>
          <w:spacing w:val="-13"/>
          <w:w w:val="110"/>
        </w:rPr>
        <w:t xml:space="preserve"> </w:t>
      </w:r>
      <w:r w:rsidRPr="009F06AF">
        <w:rPr>
          <w:rFonts w:cstheme="minorHAnsi"/>
          <w:color w:val="231F20"/>
          <w:w w:val="110"/>
        </w:rPr>
        <w:t>employers</w:t>
      </w:r>
      <w:r w:rsidRPr="009F06AF">
        <w:rPr>
          <w:rFonts w:cstheme="minorHAnsi"/>
          <w:color w:val="231F20"/>
          <w:spacing w:val="-13"/>
          <w:w w:val="110"/>
        </w:rPr>
        <w:t xml:space="preserve"> </w:t>
      </w:r>
      <w:r w:rsidRPr="009F06AF">
        <w:rPr>
          <w:rFonts w:cstheme="minorHAnsi"/>
          <w:color w:val="231F20"/>
          <w:w w:val="110"/>
        </w:rPr>
        <w:t>requesting</w:t>
      </w:r>
      <w:r w:rsidRPr="009F06AF">
        <w:rPr>
          <w:rFonts w:cstheme="minorHAnsi"/>
          <w:color w:val="231F20"/>
          <w:spacing w:val="-13"/>
          <w:w w:val="110"/>
        </w:rPr>
        <w:t xml:space="preserve"> </w:t>
      </w:r>
      <w:r w:rsidRPr="009F06AF">
        <w:rPr>
          <w:rFonts w:cstheme="minorHAnsi"/>
          <w:color w:val="231F20"/>
          <w:w w:val="110"/>
        </w:rPr>
        <w:t>Rapid</w:t>
      </w:r>
      <w:r w:rsidRPr="009F06AF">
        <w:rPr>
          <w:rFonts w:cstheme="minorHAnsi"/>
          <w:color w:val="231F20"/>
          <w:spacing w:val="-13"/>
          <w:w w:val="110"/>
        </w:rPr>
        <w:t xml:space="preserve"> </w:t>
      </w:r>
      <w:r w:rsidRPr="009F06AF">
        <w:rPr>
          <w:rFonts w:cstheme="minorHAnsi"/>
          <w:color w:val="231F20"/>
          <w:w w:val="110"/>
        </w:rPr>
        <w:t xml:space="preserve">Response </w:t>
      </w:r>
      <w:r w:rsidR="00900156">
        <w:rPr>
          <w:rFonts w:cstheme="minorHAnsi"/>
          <w:color w:val="231F20"/>
          <w:w w:val="110"/>
        </w:rPr>
        <w:t>A</w:t>
      </w:r>
      <w:r w:rsidRPr="009F06AF">
        <w:rPr>
          <w:rFonts w:cstheme="minorHAnsi"/>
          <w:color w:val="231F20"/>
          <w:w w:val="110"/>
        </w:rPr>
        <w:t>ssistance.</w:t>
      </w:r>
      <w:r w:rsidRPr="009F06AF">
        <w:rPr>
          <w:rFonts w:cstheme="minorHAnsi"/>
          <w:color w:val="231F20"/>
          <w:spacing w:val="-13"/>
          <w:w w:val="110"/>
        </w:rPr>
        <w:t xml:space="preserve"> </w:t>
      </w:r>
      <w:r w:rsidRPr="009F06AF">
        <w:rPr>
          <w:rFonts w:cstheme="minorHAnsi"/>
          <w:color w:val="231F20"/>
          <w:w w:val="110"/>
        </w:rPr>
        <w:t>Rapid response visits</w:t>
      </w:r>
      <w:r w:rsidRPr="009F06AF">
        <w:rPr>
          <w:rFonts w:cstheme="minorHAnsi"/>
          <w:color w:val="231F20"/>
          <w:spacing w:val="-15"/>
          <w:w w:val="110"/>
        </w:rPr>
        <w:t xml:space="preserve"> </w:t>
      </w:r>
      <w:r w:rsidRPr="009F06AF">
        <w:rPr>
          <w:rFonts w:cstheme="minorHAnsi"/>
          <w:color w:val="231F20"/>
          <w:w w:val="110"/>
        </w:rPr>
        <w:t>are</w:t>
      </w:r>
      <w:r w:rsidRPr="009F06AF">
        <w:rPr>
          <w:rFonts w:cstheme="minorHAnsi"/>
          <w:color w:val="231F20"/>
          <w:spacing w:val="-15"/>
          <w:w w:val="110"/>
        </w:rPr>
        <w:t xml:space="preserve"> usually </w:t>
      </w:r>
      <w:r w:rsidRPr="009F06AF">
        <w:rPr>
          <w:rFonts w:cstheme="minorHAnsi"/>
          <w:color w:val="231F20"/>
          <w:w w:val="110"/>
        </w:rPr>
        <w:t>made</w:t>
      </w:r>
      <w:r w:rsidRPr="009F06AF">
        <w:rPr>
          <w:rFonts w:cstheme="minorHAnsi"/>
          <w:color w:val="231F20"/>
          <w:spacing w:val="-15"/>
          <w:w w:val="110"/>
        </w:rPr>
        <w:t xml:space="preserve"> </w:t>
      </w:r>
      <w:r w:rsidRPr="009F06AF">
        <w:rPr>
          <w:rFonts w:cstheme="minorHAnsi"/>
          <w:color w:val="231F20"/>
          <w:w w:val="110"/>
        </w:rPr>
        <w:t>to</w:t>
      </w:r>
      <w:r w:rsidRPr="009F06AF">
        <w:rPr>
          <w:rFonts w:cstheme="minorHAnsi"/>
          <w:color w:val="231F20"/>
          <w:spacing w:val="-15"/>
          <w:w w:val="110"/>
        </w:rPr>
        <w:t xml:space="preserve"> </w:t>
      </w:r>
      <w:r w:rsidRPr="009F06AF">
        <w:rPr>
          <w:rFonts w:cstheme="minorHAnsi"/>
          <w:color w:val="231F20"/>
          <w:w w:val="110"/>
        </w:rPr>
        <w:t>employers</w:t>
      </w:r>
      <w:r w:rsidRPr="009F06AF">
        <w:rPr>
          <w:rFonts w:cstheme="minorHAnsi"/>
          <w:color w:val="231F20"/>
          <w:spacing w:val="-15"/>
          <w:w w:val="110"/>
        </w:rPr>
        <w:t xml:space="preserve"> </w:t>
      </w:r>
      <w:r w:rsidRPr="009F06AF">
        <w:rPr>
          <w:rFonts w:cstheme="minorHAnsi"/>
          <w:color w:val="231F20"/>
          <w:w w:val="110"/>
        </w:rPr>
        <w:t>laying</w:t>
      </w:r>
      <w:r w:rsidRPr="009F06AF">
        <w:rPr>
          <w:rFonts w:cstheme="minorHAnsi"/>
          <w:color w:val="231F20"/>
          <w:spacing w:val="-15"/>
          <w:w w:val="110"/>
        </w:rPr>
        <w:t xml:space="preserve"> </w:t>
      </w:r>
      <w:r w:rsidRPr="009F06AF">
        <w:rPr>
          <w:rFonts w:cstheme="minorHAnsi"/>
          <w:color w:val="231F20"/>
          <w:w w:val="110"/>
        </w:rPr>
        <w:t>off</w:t>
      </w:r>
      <w:r w:rsidRPr="009F06AF">
        <w:rPr>
          <w:rFonts w:cstheme="minorHAnsi"/>
          <w:color w:val="231F20"/>
          <w:spacing w:val="-15"/>
          <w:w w:val="110"/>
        </w:rPr>
        <w:t xml:space="preserve"> </w:t>
      </w:r>
      <w:r w:rsidRPr="009F06AF">
        <w:rPr>
          <w:rFonts w:cstheme="minorHAnsi"/>
          <w:color w:val="231F20"/>
          <w:w w:val="110"/>
        </w:rPr>
        <w:t>50</w:t>
      </w:r>
      <w:r w:rsidRPr="009F06AF">
        <w:rPr>
          <w:rFonts w:cstheme="minorHAnsi"/>
          <w:color w:val="231F20"/>
          <w:spacing w:val="-15"/>
          <w:w w:val="110"/>
        </w:rPr>
        <w:t xml:space="preserve"> </w:t>
      </w:r>
      <w:r w:rsidRPr="009F06AF">
        <w:rPr>
          <w:rFonts w:cstheme="minorHAnsi"/>
          <w:color w:val="231F20"/>
          <w:w w:val="110"/>
        </w:rPr>
        <w:t>or</w:t>
      </w:r>
      <w:r w:rsidRPr="009F06AF">
        <w:rPr>
          <w:rFonts w:cstheme="minorHAnsi"/>
          <w:color w:val="231F20"/>
          <w:spacing w:val="-15"/>
          <w:w w:val="110"/>
        </w:rPr>
        <w:t xml:space="preserve"> </w:t>
      </w:r>
      <w:r w:rsidRPr="009F06AF">
        <w:rPr>
          <w:rFonts w:cstheme="minorHAnsi"/>
          <w:color w:val="231F20"/>
          <w:w w:val="110"/>
        </w:rPr>
        <w:t>more</w:t>
      </w:r>
      <w:r w:rsidRPr="009F06AF">
        <w:rPr>
          <w:rFonts w:cstheme="minorHAnsi"/>
          <w:color w:val="231F20"/>
          <w:spacing w:val="-15"/>
          <w:w w:val="110"/>
        </w:rPr>
        <w:t xml:space="preserve"> </w:t>
      </w:r>
      <w:r w:rsidRPr="009F06AF">
        <w:rPr>
          <w:rFonts w:cstheme="minorHAnsi"/>
          <w:color w:val="231F20"/>
          <w:w w:val="110"/>
        </w:rPr>
        <w:t>workers.</w:t>
      </w:r>
      <w:r w:rsidRPr="009F06AF">
        <w:rPr>
          <w:rFonts w:cstheme="minorHAnsi"/>
          <w:color w:val="231F20"/>
          <w:spacing w:val="-15"/>
          <w:w w:val="110"/>
        </w:rPr>
        <w:t xml:space="preserve"> </w:t>
      </w:r>
      <w:r w:rsidRPr="009F06AF">
        <w:rPr>
          <w:rFonts w:cstheme="minorHAnsi"/>
          <w:color w:val="231F20"/>
          <w:w w:val="110"/>
        </w:rPr>
        <w:t>When</w:t>
      </w:r>
      <w:r w:rsidRPr="009F06AF">
        <w:rPr>
          <w:rFonts w:cstheme="minorHAnsi"/>
          <w:color w:val="231F20"/>
          <w:spacing w:val="-15"/>
          <w:w w:val="110"/>
        </w:rPr>
        <w:t xml:space="preserve"> </w:t>
      </w:r>
      <w:r w:rsidRPr="009F06AF">
        <w:rPr>
          <w:rFonts w:cstheme="minorHAnsi"/>
          <w:color w:val="231F20"/>
          <w:w w:val="110"/>
        </w:rPr>
        <w:t>a</w:t>
      </w:r>
      <w:r w:rsidRPr="009F06AF">
        <w:rPr>
          <w:rFonts w:cstheme="minorHAnsi"/>
          <w:color w:val="231F20"/>
          <w:spacing w:val="-15"/>
          <w:w w:val="110"/>
        </w:rPr>
        <w:t xml:space="preserve"> </w:t>
      </w:r>
      <w:r w:rsidRPr="009F06AF">
        <w:rPr>
          <w:rFonts w:cstheme="minorHAnsi"/>
          <w:color w:val="231F20"/>
          <w:w w:val="110"/>
        </w:rPr>
        <w:t>layoff</w:t>
      </w:r>
      <w:r w:rsidRPr="009F06AF">
        <w:rPr>
          <w:rFonts w:cstheme="minorHAnsi"/>
          <w:color w:val="231F20"/>
          <w:spacing w:val="-15"/>
          <w:w w:val="110"/>
        </w:rPr>
        <w:t xml:space="preserve"> </w:t>
      </w:r>
      <w:r w:rsidRPr="009F06AF">
        <w:rPr>
          <w:rFonts w:cstheme="minorHAnsi"/>
          <w:color w:val="231F20"/>
          <w:w w:val="110"/>
        </w:rPr>
        <w:t>is</w:t>
      </w:r>
      <w:r w:rsidRPr="009F06AF">
        <w:rPr>
          <w:rFonts w:cstheme="minorHAnsi"/>
          <w:color w:val="231F20"/>
          <w:spacing w:val="-15"/>
          <w:w w:val="110"/>
        </w:rPr>
        <w:t xml:space="preserve"> </w:t>
      </w:r>
      <w:r w:rsidRPr="009F06AF">
        <w:rPr>
          <w:rFonts w:cstheme="minorHAnsi"/>
          <w:color w:val="231F20"/>
          <w:w w:val="110"/>
        </w:rPr>
        <w:t>fewer than</w:t>
      </w:r>
      <w:r w:rsidRPr="009F06AF">
        <w:rPr>
          <w:rFonts w:cstheme="minorHAnsi"/>
          <w:color w:val="231F20"/>
          <w:w w:val="103"/>
        </w:rPr>
        <w:t xml:space="preserve"> </w:t>
      </w:r>
      <w:r w:rsidRPr="009F06AF">
        <w:rPr>
          <w:rFonts w:cstheme="minorHAnsi"/>
          <w:color w:val="231F20"/>
          <w:w w:val="110"/>
        </w:rPr>
        <w:t>50</w:t>
      </w:r>
      <w:r w:rsidRPr="009F06AF">
        <w:rPr>
          <w:rFonts w:cstheme="minorHAnsi"/>
          <w:color w:val="231F20"/>
          <w:spacing w:val="-14"/>
          <w:w w:val="110"/>
        </w:rPr>
        <w:t xml:space="preserve"> </w:t>
      </w:r>
      <w:r w:rsidRPr="009F06AF">
        <w:rPr>
          <w:rFonts w:cstheme="minorHAnsi"/>
          <w:color w:val="231F20"/>
          <w:w w:val="110"/>
        </w:rPr>
        <w:t>workers,</w:t>
      </w:r>
      <w:r w:rsidRPr="009F06AF">
        <w:rPr>
          <w:rFonts w:cstheme="minorHAnsi"/>
          <w:color w:val="231F20"/>
          <w:spacing w:val="-14"/>
          <w:w w:val="110"/>
        </w:rPr>
        <w:t xml:space="preserve"> </w:t>
      </w:r>
      <w:r w:rsidRPr="009F06AF">
        <w:rPr>
          <w:rFonts w:cstheme="minorHAnsi"/>
          <w:color w:val="231F20"/>
          <w:w w:val="110"/>
        </w:rPr>
        <w:t>affected</w:t>
      </w:r>
      <w:r w:rsidRPr="009F06AF">
        <w:rPr>
          <w:rFonts w:cstheme="minorHAnsi"/>
          <w:color w:val="231F20"/>
          <w:spacing w:val="-14"/>
          <w:w w:val="110"/>
        </w:rPr>
        <w:t xml:space="preserve"> </w:t>
      </w:r>
      <w:r w:rsidRPr="009F06AF">
        <w:rPr>
          <w:rFonts w:cstheme="minorHAnsi"/>
          <w:color w:val="231F20"/>
          <w:w w:val="110"/>
        </w:rPr>
        <w:t>workers</w:t>
      </w:r>
      <w:r w:rsidRPr="009F06AF">
        <w:rPr>
          <w:rFonts w:cstheme="minorHAnsi"/>
          <w:color w:val="231F20"/>
          <w:spacing w:val="-14"/>
          <w:w w:val="110"/>
        </w:rPr>
        <w:t xml:space="preserve"> </w:t>
      </w:r>
      <w:r w:rsidRPr="009F06AF">
        <w:rPr>
          <w:rFonts w:cstheme="minorHAnsi"/>
          <w:color w:val="231F20"/>
          <w:w w:val="110"/>
        </w:rPr>
        <w:t>are directed</w:t>
      </w:r>
      <w:r w:rsidRPr="009F06AF">
        <w:rPr>
          <w:rFonts w:cstheme="minorHAnsi"/>
          <w:color w:val="231F20"/>
          <w:spacing w:val="-14"/>
          <w:w w:val="110"/>
        </w:rPr>
        <w:t xml:space="preserve"> </w:t>
      </w:r>
      <w:r w:rsidRPr="009F06AF">
        <w:rPr>
          <w:rFonts w:cstheme="minorHAnsi"/>
          <w:color w:val="231F20"/>
          <w:w w:val="110"/>
        </w:rPr>
        <w:t>to</w:t>
      </w:r>
      <w:r w:rsidRPr="009F06AF">
        <w:rPr>
          <w:rFonts w:cstheme="minorHAnsi"/>
          <w:color w:val="231F20"/>
          <w:spacing w:val="-14"/>
          <w:w w:val="110"/>
        </w:rPr>
        <w:t xml:space="preserve"> </w:t>
      </w:r>
      <w:r w:rsidRPr="009F06AF">
        <w:rPr>
          <w:rFonts w:cstheme="minorHAnsi"/>
          <w:color w:val="231F20"/>
          <w:w w:val="110"/>
        </w:rPr>
        <w:t>the</w:t>
      </w:r>
      <w:r w:rsidRPr="009F06AF">
        <w:rPr>
          <w:rFonts w:cstheme="minorHAnsi"/>
          <w:color w:val="231F20"/>
          <w:spacing w:val="-14"/>
          <w:w w:val="110"/>
        </w:rPr>
        <w:t xml:space="preserve"> </w:t>
      </w:r>
      <w:r w:rsidRPr="009F06AF">
        <w:rPr>
          <w:rFonts w:cstheme="minorHAnsi"/>
          <w:color w:val="231F20"/>
          <w:w w:val="110"/>
        </w:rPr>
        <w:t>nearest</w:t>
      </w:r>
      <w:r w:rsidRPr="009F06AF">
        <w:rPr>
          <w:rFonts w:cstheme="minorHAnsi"/>
          <w:color w:val="231F20"/>
          <w:spacing w:val="-14"/>
          <w:w w:val="110"/>
        </w:rPr>
        <w:t xml:space="preserve"> one-stop </w:t>
      </w:r>
      <w:r w:rsidRPr="009F06AF">
        <w:rPr>
          <w:rFonts w:cstheme="minorHAnsi"/>
          <w:color w:val="231F20"/>
          <w:w w:val="110"/>
        </w:rPr>
        <w:t>career</w:t>
      </w:r>
      <w:r w:rsidRPr="009F06AF">
        <w:rPr>
          <w:rFonts w:cstheme="minorHAnsi"/>
          <w:color w:val="231F20"/>
          <w:spacing w:val="-14"/>
          <w:w w:val="110"/>
        </w:rPr>
        <w:t xml:space="preserve"> </w:t>
      </w:r>
      <w:r w:rsidRPr="009F06AF">
        <w:rPr>
          <w:rFonts w:cstheme="minorHAnsi"/>
          <w:color w:val="231F20"/>
          <w:w w:val="110"/>
        </w:rPr>
        <w:t>center</w:t>
      </w:r>
      <w:r w:rsidRPr="009F06AF">
        <w:rPr>
          <w:rFonts w:cstheme="minorHAnsi"/>
          <w:color w:val="231F20"/>
          <w:spacing w:val="-14"/>
          <w:w w:val="110"/>
        </w:rPr>
        <w:t xml:space="preserve"> </w:t>
      </w:r>
      <w:r w:rsidRPr="009F06AF">
        <w:rPr>
          <w:rFonts w:cstheme="minorHAnsi"/>
          <w:color w:val="231F20"/>
          <w:w w:val="110"/>
        </w:rPr>
        <w:t>for</w:t>
      </w:r>
      <w:r w:rsidRPr="009F06AF">
        <w:rPr>
          <w:rFonts w:cstheme="minorHAnsi"/>
          <w:color w:val="231F20"/>
          <w:spacing w:val="-14"/>
          <w:w w:val="110"/>
        </w:rPr>
        <w:t xml:space="preserve"> re-employment </w:t>
      </w:r>
      <w:r w:rsidRPr="009F06AF">
        <w:rPr>
          <w:rFonts w:cstheme="minorHAnsi"/>
          <w:color w:val="231F20"/>
          <w:w w:val="110"/>
        </w:rPr>
        <w:t>services.</w:t>
      </w:r>
    </w:p>
    <w:p w14:paraId="7B6AEB23" w14:textId="77777777" w:rsidR="009F1BFB" w:rsidRDefault="009F1BFB">
      <w:pPr>
        <w:rPr>
          <w:rFonts w:cstheme="minorHAnsi"/>
          <w:color w:val="231F20"/>
          <w:w w:val="110"/>
        </w:rPr>
      </w:pPr>
      <w:r>
        <w:rPr>
          <w:rFonts w:cstheme="minorHAnsi"/>
          <w:color w:val="231F20"/>
          <w:w w:val="110"/>
        </w:rPr>
        <w:br w:type="page"/>
      </w:r>
    </w:p>
    <w:p w14:paraId="1643D693" w14:textId="77777777" w:rsidR="00EA7458" w:rsidRPr="009F06AF" w:rsidRDefault="00EA7458" w:rsidP="00D63204">
      <w:pPr>
        <w:widowControl w:val="0"/>
        <w:numPr>
          <w:ilvl w:val="2"/>
          <w:numId w:val="4"/>
        </w:numPr>
        <w:tabs>
          <w:tab w:val="left" w:pos="2268"/>
        </w:tabs>
        <w:spacing w:after="0" w:line="240" w:lineRule="auto"/>
        <w:rPr>
          <w:rFonts w:cstheme="minorHAnsi"/>
        </w:rPr>
      </w:pPr>
      <w:r w:rsidRPr="009F06AF">
        <w:rPr>
          <w:rFonts w:cstheme="minorHAnsi"/>
          <w:color w:val="295CA3"/>
          <w:w w:val="110"/>
        </w:rPr>
        <w:lastRenderedPageBreak/>
        <w:t>Rapid Responses in Cases of Natural</w:t>
      </w:r>
      <w:r w:rsidRPr="009F06AF">
        <w:rPr>
          <w:rFonts w:cstheme="minorHAnsi"/>
          <w:color w:val="295CA3"/>
          <w:spacing w:val="10"/>
          <w:w w:val="110"/>
        </w:rPr>
        <w:t xml:space="preserve"> </w:t>
      </w:r>
      <w:r w:rsidRPr="009F06AF">
        <w:rPr>
          <w:rFonts w:cstheme="minorHAnsi"/>
          <w:color w:val="295CA3"/>
          <w:w w:val="110"/>
        </w:rPr>
        <w:t>Disasters</w:t>
      </w:r>
    </w:p>
    <w:p w14:paraId="67D11871" w14:textId="7E132EFB" w:rsidR="009F1BFB" w:rsidRDefault="00751FC0" w:rsidP="00D63204">
      <w:pPr>
        <w:widowControl w:val="0"/>
        <w:spacing w:before="193" w:after="0" w:line="264" w:lineRule="exact"/>
        <w:ind w:left="107"/>
        <w:rPr>
          <w:rFonts w:cstheme="minorHAnsi"/>
          <w:color w:val="231F20"/>
          <w:w w:val="105"/>
        </w:rPr>
      </w:pPr>
      <w:r w:rsidRPr="009F06AF">
        <w:rPr>
          <w:rFonts w:cstheme="minorHAnsi"/>
          <w:color w:val="231F20"/>
          <w:w w:val="105"/>
        </w:rPr>
        <w:t>In</w:t>
      </w:r>
      <w:r w:rsidRPr="009F06AF">
        <w:rPr>
          <w:rFonts w:cstheme="minorHAnsi"/>
          <w:color w:val="231F20"/>
          <w:spacing w:val="16"/>
          <w:w w:val="105"/>
        </w:rPr>
        <w:t xml:space="preserve"> </w:t>
      </w:r>
      <w:r w:rsidRPr="009F06AF">
        <w:rPr>
          <w:rFonts w:cstheme="minorHAnsi"/>
          <w:color w:val="231F20"/>
          <w:w w:val="105"/>
        </w:rPr>
        <w:t>cases</w:t>
      </w:r>
      <w:r w:rsidRPr="009F06AF">
        <w:rPr>
          <w:rFonts w:cstheme="minorHAnsi"/>
          <w:color w:val="231F20"/>
          <w:spacing w:val="16"/>
          <w:w w:val="105"/>
        </w:rPr>
        <w:t xml:space="preserve"> </w:t>
      </w:r>
      <w:r w:rsidRPr="009F06AF">
        <w:rPr>
          <w:rFonts w:cstheme="minorHAnsi"/>
          <w:color w:val="231F20"/>
          <w:w w:val="105"/>
        </w:rPr>
        <w:t>of</w:t>
      </w:r>
      <w:r w:rsidRPr="009F06AF">
        <w:rPr>
          <w:rFonts w:cstheme="minorHAnsi"/>
          <w:color w:val="231F20"/>
          <w:spacing w:val="16"/>
          <w:w w:val="105"/>
        </w:rPr>
        <w:t xml:space="preserve"> </w:t>
      </w:r>
      <w:r w:rsidRPr="009F06AF">
        <w:rPr>
          <w:rFonts w:cstheme="minorHAnsi"/>
          <w:color w:val="231F20"/>
          <w:w w:val="105"/>
        </w:rPr>
        <w:t>natural</w:t>
      </w:r>
      <w:r w:rsidRPr="009F06AF">
        <w:rPr>
          <w:rFonts w:cstheme="minorHAnsi"/>
          <w:color w:val="231F20"/>
          <w:spacing w:val="16"/>
          <w:w w:val="105"/>
        </w:rPr>
        <w:t xml:space="preserve"> </w:t>
      </w:r>
      <w:r w:rsidRPr="009F06AF">
        <w:rPr>
          <w:rFonts w:cstheme="minorHAnsi"/>
          <w:color w:val="231F20"/>
          <w:w w:val="105"/>
        </w:rPr>
        <w:t>disasters,</w:t>
      </w:r>
      <w:r w:rsidRPr="009F06AF">
        <w:rPr>
          <w:rFonts w:cstheme="minorHAnsi"/>
          <w:color w:val="231F20"/>
          <w:spacing w:val="16"/>
          <w:w w:val="105"/>
        </w:rPr>
        <w:t xml:space="preserve"> </w:t>
      </w:r>
      <w:r w:rsidRPr="009F06AF">
        <w:rPr>
          <w:rFonts w:cstheme="minorHAnsi"/>
          <w:color w:val="231F20"/>
          <w:w w:val="105"/>
        </w:rPr>
        <w:t>the</w:t>
      </w:r>
      <w:r w:rsidRPr="009F06AF">
        <w:rPr>
          <w:rFonts w:cstheme="minorHAnsi"/>
          <w:color w:val="231F20"/>
          <w:spacing w:val="16"/>
          <w:w w:val="105"/>
        </w:rPr>
        <w:t xml:space="preserve"> </w:t>
      </w:r>
      <w:r w:rsidRPr="009F06AF">
        <w:rPr>
          <w:rFonts w:cstheme="minorHAnsi"/>
          <w:color w:val="231F20"/>
          <w:w w:val="105"/>
        </w:rPr>
        <w:t>DEO</w:t>
      </w:r>
      <w:r w:rsidRPr="009F06AF">
        <w:rPr>
          <w:rFonts w:cstheme="minorHAnsi"/>
          <w:color w:val="231F20"/>
          <w:spacing w:val="16"/>
          <w:w w:val="105"/>
        </w:rPr>
        <w:t xml:space="preserve"> </w:t>
      </w:r>
      <w:r w:rsidRPr="009F06AF">
        <w:rPr>
          <w:rFonts w:cstheme="minorHAnsi"/>
          <w:color w:val="231F20"/>
          <w:w w:val="105"/>
        </w:rPr>
        <w:t>Rapid</w:t>
      </w:r>
      <w:r w:rsidRPr="009F06AF">
        <w:rPr>
          <w:rFonts w:cstheme="minorHAnsi"/>
          <w:color w:val="231F20"/>
          <w:spacing w:val="16"/>
          <w:w w:val="105"/>
        </w:rPr>
        <w:t xml:space="preserve"> </w:t>
      </w:r>
      <w:r w:rsidRPr="009F06AF">
        <w:rPr>
          <w:rFonts w:cstheme="minorHAnsi"/>
          <w:color w:val="231F20"/>
          <w:w w:val="105"/>
        </w:rPr>
        <w:t>Response</w:t>
      </w:r>
      <w:r w:rsidRPr="009F06AF">
        <w:rPr>
          <w:rFonts w:cstheme="minorHAnsi"/>
          <w:color w:val="231F20"/>
          <w:spacing w:val="16"/>
          <w:w w:val="105"/>
        </w:rPr>
        <w:t xml:space="preserve"> </w:t>
      </w:r>
      <w:r w:rsidRPr="009F06AF">
        <w:rPr>
          <w:rFonts w:cstheme="minorHAnsi"/>
          <w:color w:val="231F20"/>
          <w:w w:val="105"/>
        </w:rPr>
        <w:t>Coordinator</w:t>
      </w:r>
      <w:r w:rsidRPr="009F06AF">
        <w:rPr>
          <w:rFonts w:cstheme="minorHAnsi"/>
          <w:color w:val="231F20"/>
          <w:spacing w:val="16"/>
          <w:w w:val="105"/>
        </w:rPr>
        <w:t xml:space="preserve"> </w:t>
      </w:r>
      <w:r w:rsidRPr="009F06AF">
        <w:rPr>
          <w:rFonts w:cstheme="minorHAnsi"/>
          <w:color w:val="231F20"/>
          <w:w w:val="105"/>
        </w:rPr>
        <w:t>works</w:t>
      </w:r>
      <w:r w:rsidRPr="009F06AF">
        <w:rPr>
          <w:rFonts w:cstheme="minorHAnsi"/>
          <w:color w:val="231F20"/>
          <w:spacing w:val="16"/>
          <w:w w:val="105"/>
        </w:rPr>
        <w:t xml:space="preserve"> </w:t>
      </w:r>
      <w:r w:rsidRPr="009F06AF">
        <w:rPr>
          <w:rFonts w:cstheme="minorHAnsi"/>
          <w:color w:val="231F20"/>
          <w:w w:val="105"/>
        </w:rPr>
        <w:t>closely</w:t>
      </w:r>
      <w:r w:rsidRPr="009F06AF">
        <w:rPr>
          <w:rFonts w:cstheme="minorHAnsi"/>
          <w:color w:val="231F20"/>
          <w:spacing w:val="16"/>
          <w:w w:val="105"/>
        </w:rPr>
        <w:t xml:space="preserve"> </w:t>
      </w:r>
      <w:r w:rsidRPr="009F06AF">
        <w:rPr>
          <w:rFonts w:cstheme="minorHAnsi"/>
          <w:color w:val="231F20"/>
          <w:w w:val="105"/>
        </w:rPr>
        <w:t>with</w:t>
      </w:r>
      <w:r w:rsidRPr="009F06AF">
        <w:rPr>
          <w:rFonts w:cstheme="minorHAnsi"/>
          <w:color w:val="231F20"/>
          <w:spacing w:val="16"/>
          <w:w w:val="105"/>
        </w:rPr>
        <w:t xml:space="preserve"> </w:t>
      </w:r>
      <w:r w:rsidRPr="009F06AF">
        <w:rPr>
          <w:rFonts w:cstheme="minorHAnsi"/>
          <w:color w:val="231F20"/>
          <w:w w:val="105"/>
        </w:rPr>
        <w:t>the</w:t>
      </w:r>
      <w:r w:rsidRPr="009F06AF">
        <w:rPr>
          <w:rFonts w:cstheme="minorHAnsi"/>
          <w:color w:val="231F20"/>
          <w:spacing w:val="16"/>
          <w:w w:val="105"/>
        </w:rPr>
        <w:t xml:space="preserve"> </w:t>
      </w:r>
      <w:r w:rsidRPr="009F06AF">
        <w:rPr>
          <w:rFonts w:cstheme="minorHAnsi"/>
          <w:color w:val="231F20"/>
          <w:w w:val="105"/>
        </w:rPr>
        <w:t>DEO</w:t>
      </w:r>
      <w:r w:rsidRPr="009F06AF">
        <w:rPr>
          <w:rFonts w:cstheme="minorHAnsi"/>
          <w:color w:val="231F20"/>
          <w:spacing w:val="4"/>
          <w:w w:val="105"/>
        </w:rPr>
        <w:t xml:space="preserve"> </w:t>
      </w:r>
      <w:r w:rsidRPr="009F06AF">
        <w:rPr>
          <w:rFonts w:cstheme="minorHAnsi"/>
          <w:color w:val="231F20"/>
          <w:w w:val="105"/>
        </w:rPr>
        <w:t>Emergency</w:t>
      </w:r>
      <w:r w:rsidRPr="009F06AF">
        <w:rPr>
          <w:rFonts w:cstheme="minorHAnsi"/>
          <w:color w:val="231F20"/>
          <w:spacing w:val="10"/>
          <w:w w:val="105"/>
        </w:rPr>
        <w:t xml:space="preserve"> </w:t>
      </w:r>
      <w:r w:rsidRPr="009F06AF">
        <w:rPr>
          <w:rFonts w:cstheme="minorHAnsi"/>
          <w:color w:val="231F20"/>
          <w:w w:val="105"/>
        </w:rPr>
        <w:t>Coordination</w:t>
      </w:r>
      <w:r w:rsidRPr="009F06AF">
        <w:rPr>
          <w:rFonts w:cstheme="minorHAnsi"/>
          <w:color w:val="231F20"/>
          <w:spacing w:val="10"/>
          <w:w w:val="105"/>
        </w:rPr>
        <w:t xml:space="preserve"> </w:t>
      </w:r>
      <w:r w:rsidRPr="009F06AF">
        <w:rPr>
          <w:rFonts w:cstheme="minorHAnsi"/>
          <w:color w:val="231F20"/>
          <w:spacing w:val="-3"/>
          <w:w w:val="105"/>
        </w:rPr>
        <w:t>Officer,</w:t>
      </w:r>
      <w:r w:rsidRPr="009F06AF">
        <w:rPr>
          <w:rFonts w:cstheme="minorHAnsi"/>
          <w:color w:val="231F20"/>
          <w:spacing w:val="10"/>
          <w:w w:val="105"/>
        </w:rPr>
        <w:t xml:space="preserve"> </w:t>
      </w:r>
      <w:r w:rsidRPr="009F06AF">
        <w:rPr>
          <w:rFonts w:cstheme="minorHAnsi"/>
          <w:color w:val="231F20"/>
          <w:w w:val="105"/>
        </w:rPr>
        <w:t>who</w:t>
      </w:r>
      <w:r w:rsidRPr="009F06AF">
        <w:rPr>
          <w:rFonts w:cstheme="minorHAnsi"/>
          <w:color w:val="231F20"/>
          <w:spacing w:val="10"/>
          <w:w w:val="105"/>
        </w:rPr>
        <w:t xml:space="preserve"> </w:t>
      </w:r>
      <w:r w:rsidRPr="009F06AF">
        <w:rPr>
          <w:rFonts w:cstheme="minorHAnsi"/>
          <w:color w:val="231F20"/>
          <w:w w:val="105"/>
        </w:rPr>
        <w:t>collaborates with</w:t>
      </w:r>
      <w:r w:rsidRPr="009F06AF">
        <w:rPr>
          <w:rFonts w:cstheme="minorHAnsi"/>
          <w:color w:val="231F20"/>
          <w:spacing w:val="10"/>
          <w:w w:val="105"/>
        </w:rPr>
        <w:t xml:space="preserve"> </w:t>
      </w:r>
      <w:r w:rsidRPr="009F06AF">
        <w:rPr>
          <w:rFonts w:cstheme="minorHAnsi"/>
          <w:color w:val="231F20"/>
          <w:w w:val="105"/>
        </w:rPr>
        <w:t>the</w:t>
      </w:r>
      <w:r w:rsidRPr="009F06AF">
        <w:rPr>
          <w:rFonts w:cstheme="minorHAnsi"/>
          <w:color w:val="231F20"/>
          <w:spacing w:val="10"/>
          <w:w w:val="105"/>
        </w:rPr>
        <w:t xml:space="preserve"> </w:t>
      </w:r>
      <w:r w:rsidR="00A13404">
        <w:rPr>
          <w:rFonts w:cstheme="minorHAnsi"/>
          <w:color w:val="231F20"/>
          <w:w w:val="105"/>
        </w:rPr>
        <w:t>Florida</w:t>
      </w:r>
      <w:r w:rsidRPr="009F06AF">
        <w:rPr>
          <w:rFonts w:cstheme="minorHAnsi"/>
          <w:color w:val="231F20"/>
          <w:spacing w:val="10"/>
          <w:w w:val="105"/>
        </w:rPr>
        <w:t xml:space="preserve"> </w:t>
      </w:r>
      <w:r w:rsidRPr="009F06AF">
        <w:rPr>
          <w:rFonts w:cstheme="minorHAnsi"/>
          <w:color w:val="231F20"/>
          <w:w w:val="105"/>
        </w:rPr>
        <w:t>Division</w:t>
      </w:r>
      <w:r w:rsidRPr="009F06AF">
        <w:rPr>
          <w:rFonts w:cstheme="minorHAnsi"/>
          <w:color w:val="231F20"/>
          <w:spacing w:val="10"/>
          <w:w w:val="105"/>
        </w:rPr>
        <w:t xml:space="preserve"> </w:t>
      </w:r>
      <w:r w:rsidRPr="009F06AF">
        <w:rPr>
          <w:rFonts w:cstheme="minorHAnsi"/>
          <w:color w:val="231F20"/>
          <w:w w:val="105"/>
        </w:rPr>
        <w:t>of</w:t>
      </w:r>
      <w:r w:rsidRPr="009F06AF">
        <w:rPr>
          <w:rFonts w:cstheme="minorHAnsi"/>
          <w:color w:val="231F20"/>
          <w:spacing w:val="10"/>
          <w:w w:val="105"/>
        </w:rPr>
        <w:t xml:space="preserve"> </w:t>
      </w:r>
      <w:r w:rsidRPr="009F06AF">
        <w:rPr>
          <w:rFonts w:cstheme="minorHAnsi"/>
          <w:color w:val="231F20"/>
          <w:w w:val="105"/>
        </w:rPr>
        <w:t>Emergency</w:t>
      </w:r>
      <w:r w:rsidRPr="009F06AF">
        <w:rPr>
          <w:rFonts w:cstheme="minorHAnsi"/>
          <w:color w:val="231F20"/>
          <w:spacing w:val="-35"/>
          <w:w w:val="105"/>
        </w:rPr>
        <w:t xml:space="preserve"> </w:t>
      </w:r>
      <w:r w:rsidRPr="009F06AF">
        <w:rPr>
          <w:rFonts w:cstheme="minorHAnsi"/>
          <w:color w:val="231F20"/>
          <w:w w:val="105"/>
        </w:rPr>
        <w:t>Management,</w:t>
      </w:r>
      <w:r w:rsidRPr="009F06AF">
        <w:rPr>
          <w:rFonts w:cstheme="minorHAnsi"/>
          <w:color w:val="231F20"/>
          <w:spacing w:val="16"/>
          <w:w w:val="105"/>
        </w:rPr>
        <w:t xml:space="preserve"> </w:t>
      </w:r>
      <w:r w:rsidRPr="009F06AF">
        <w:rPr>
          <w:rFonts w:cstheme="minorHAnsi"/>
          <w:color w:val="231F20"/>
          <w:w w:val="105"/>
        </w:rPr>
        <w:t>local</w:t>
      </w:r>
      <w:r w:rsidRPr="009F06AF">
        <w:rPr>
          <w:rFonts w:cstheme="minorHAnsi"/>
          <w:color w:val="231F20"/>
          <w:spacing w:val="16"/>
          <w:w w:val="105"/>
        </w:rPr>
        <w:t xml:space="preserve"> </w:t>
      </w:r>
      <w:r w:rsidRPr="009F06AF">
        <w:rPr>
          <w:rFonts w:cstheme="minorHAnsi"/>
          <w:color w:val="231F20"/>
          <w:w w:val="105"/>
        </w:rPr>
        <w:t>county</w:t>
      </w:r>
      <w:r w:rsidRPr="009F06AF">
        <w:rPr>
          <w:rFonts w:cstheme="minorHAnsi"/>
          <w:color w:val="231F20"/>
          <w:spacing w:val="16"/>
          <w:w w:val="105"/>
        </w:rPr>
        <w:t xml:space="preserve"> </w:t>
      </w:r>
      <w:r w:rsidRPr="009F06AF">
        <w:rPr>
          <w:rFonts w:cstheme="minorHAnsi"/>
          <w:color w:val="231F20"/>
          <w:w w:val="105"/>
        </w:rPr>
        <w:t>emergency</w:t>
      </w:r>
      <w:r w:rsidRPr="009F06AF">
        <w:rPr>
          <w:rFonts w:cstheme="minorHAnsi"/>
          <w:color w:val="231F20"/>
          <w:spacing w:val="16"/>
          <w:w w:val="105"/>
        </w:rPr>
        <w:t xml:space="preserve"> </w:t>
      </w:r>
      <w:r w:rsidRPr="009F06AF">
        <w:rPr>
          <w:rFonts w:cstheme="minorHAnsi"/>
          <w:color w:val="231F20"/>
          <w:w w:val="105"/>
        </w:rPr>
        <w:t>management</w:t>
      </w:r>
      <w:r w:rsidRPr="009F06AF">
        <w:rPr>
          <w:rFonts w:cstheme="minorHAnsi"/>
          <w:color w:val="231F20"/>
          <w:spacing w:val="16"/>
          <w:w w:val="105"/>
        </w:rPr>
        <w:t xml:space="preserve"> </w:t>
      </w:r>
      <w:r w:rsidRPr="009F06AF">
        <w:rPr>
          <w:rFonts w:cstheme="minorHAnsi"/>
          <w:color w:val="231F20"/>
          <w:w w:val="105"/>
        </w:rPr>
        <w:t>staff</w:t>
      </w:r>
      <w:r w:rsidR="00D5537E">
        <w:rPr>
          <w:rFonts w:cstheme="minorHAnsi"/>
          <w:color w:val="231F20"/>
          <w:w w:val="105"/>
        </w:rPr>
        <w:t xml:space="preserve"> and</w:t>
      </w:r>
      <w:r w:rsidRPr="009F06AF">
        <w:rPr>
          <w:rFonts w:cstheme="minorHAnsi"/>
          <w:color w:val="231F20"/>
          <w:spacing w:val="16"/>
          <w:w w:val="105"/>
        </w:rPr>
        <w:t xml:space="preserve"> </w:t>
      </w:r>
      <w:r w:rsidRPr="009F06AF">
        <w:rPr>
          <w:rFonts w:cstheme="minorHAnsi"/>
          <w:color w:val="231F20"/>
          <w:w w:val="105"/>
        </w:rPr>
        <w:t>FEMA</w:t>
      </w:r>
      <w:r w:rsidRPr="009F06AF">
        <w:rPr>
          <w:rFonts w:cstheme="minorHAnsi"/>
          <w:color w:val="231F20"/>
          <w:spacing w:val="16"/>
          <w:w w:val="105"/>
        </w:rPr>
        <w:t xml:space="preserve"> </w:t>
      </w:r>
      <w:r w:rsidRPr="009F06AF">
        <w:rPr>
          <w:rFonts w:cstheme="minorHAnsi"/>
          <w:color w:val="231F20"/>
          <w:w w:val="105"/>
        </w:rPr>
        <w:t>to</w:t>
      </w:r>
      <w:r w:rsidRPr="009F06AF">
        <w:rPr>
          <w:rFonts w:cstheme="minorHAnsi"/>
          <w:color w:val="231F20"/>
          <w:spacing w:val="16"/>
          <w:w w:val="105"/>
        </w:rPr>
        <w:t xml:space="preserve"> </w:t>
      </w:r>
      <w:r w:rsidRPr="009F06AF">
        <w:rPr>
          <w:rFonts w:cstheme="minorHAnsi"/>
          <w:color w:val="231F20"/>
          <w:w w:val="105"/>
        </w:rPr>
        <w:t>assess</w:t>
      </w:r>
      <w:r w:rsidRPr="009F06AF">
        <w:rPr>
          <w:rFonts w:cstheme="minorHAnsi"/>
          <w:color w:val="231F20"/>
          <w:spacing w:val="16"/>
          <w:w w:val="105"/>
        </w:rPr>
        <w:t xml:space="preserve"> </w:t>
      </w:r>
      <w:r w:rsidRPr="009F06AF">
        <w:rPr>
          <w:rFonts w:cstheme="minorHAnsi"/>
          <w:color w:val="231F20"/>
          <w:w w:val="105"/>
        </w:rPr>
        <w:t>the</w:t>
      </w:r>
      <w:r w:rsidRPr="009F06AF">
        <w:rPr>
          <w:rFonts w:cstheme="minorHAnsi"/>
          <w:color w:val="231F20"/>
          <w:spacing w:val="16"/>
          <w:w w:val="105"/>
        </w:rPr>
        <w:t xml:space="preserve"> </w:t>
      </w:r>
      <w:r w:rsidRPr="009F06AF">
        <w:rPr>
          <w:rFonts w:cstheme="minorHAnsi"/>
          <w:color w:val="231F20"/>
          <w:w w:val="105"/>
        </w:rPr>
        <w:t>situation</w:t>
      </w:r>
      <w:r w:rsidRPr="009F06AF">
        <w:rPr>
          <w:rFonts w:cstheme="minorHAnsi"/>
          <w:color w:val="231F20"/>
          <w:spacing w:val="16"/>
          <w:w w:val="105"/>
        </w:rPr>
        <w:t xml:space="preserve"> </w:t>
      </w:r>
      <w:r w:rsidRPr="009F06AF">
        <w:rPr>
          <w:rFonts w:cstheme="minorHAnsi"/>
          <w:color w:val="231F20"/>
          <w:w w:val="105"/>
        </w:rPr>
        <w:t>and</w:t>
      </w:r>
      <w:r w:rsidRPr="009F06AF">
        <w:rPr>
          <w:rFonts w:cstheme="minorHAnsi"/>
          <w:color w:val="231F20"/>
          <w:spacing w:val="16"/>
          <w:w w:val="105"/>
        </w:rPr>
        <w:t xml:space="preserve"> </w:t>
      </w:r>
      <w:r w:rsidRPr="009F06AF">
        <w:rPr>
          <w:rFonts w:cstheme="minorHAnsi"/>
          <w:color w:val="231F20"/>
          <w:w w:val="105"/>
        </w:rPr>
        <w:t>needs</w:t>
      </w:r>
      <w:r w:rsidRPr="009F06AF">
        <w:rPr>
          <w:rFonts w:cstheme="minorHAnsi"/>
          <w:color w:val="231F20"/>
          <w:spacing w:val="16"/>
          <w:w w:val="105"/>
        </w:rPr>
        <w:t xml:space="preserve"> </w:t>
      </w:r>
      <w:r w:rsidRPr="009F06AF">
        <w:rPr>
          <w:rFonts w:cstheme="minorHAnsi"/>
          <w:color w:val="231F20"/>
          <w:w w:val="105"/>
        </w:rPr>
        <w:t>of</w:t>
      </w:r>
      <w:r w:rsidRPr="009F06AF">
        <w:rPr>
          <w:rFonts w:cstheme="minorHAnsi"/>
          <w:color w:val="231F20"/>
          <w:w w:val="102"/>
        </w:rPr>
        <w:t xml:space="preserve"> </w:t>
      </w:r>
      <w:r w:rsidRPr="009F06AF">
        <w:rPr>
          <w:rFonts w:cstheme="minorHAnsi"/>
          <w:color w:val="231F20"/>
          <w:w w:val="105"/>
        </w:rPr>
        <w:t>the</w:t>
      </w:r>
      <w:r w:rsidRPr="009F06AF">
        <w:rPr>
          <w:rFonts w:cstheme="minorHAnsi"/>
          <w:color w:val="231F20"/>
          <w:spacing w:val="13"/>
          <w:w w:val="105"/>
        </w:rPr>
        <w:t xml:space="preserve"> </w:t>
      </w:r>
      <w:r w:rsidRPr="009F06AF">
        <w:rPr>
          <w:rFonts w:cstheme="minorHAnsi"/>
          <w:color w:val="231F20"/>
          <w:w w:val="105"/>
        </w:rPr>
        <w:t>affected</w:t>
      </w:r>
      <w:r w:rsidRPr="009F06AF">
        <w:rPr>
          <w:rFonts w:cstheme="minorHAnsi"/>
          <w:color w:val="231F20"/>
          <w:spacing w:val="13"/>
          <w:w w:val="105"/>
        </w:rPr>
        <w:t xml:space="preserve"> </w:t>
      </w:r>
      <w:r w:rsidRPr="009F06AF">
        <w:rPr>
          <w:rFonts w:cstheme="minorHAnsi"/>
          <w:color w:val="231F20"/>
          <w:w w:val="105"/>
        </w:rPr>
        <w:t>area.</w:t>
      </w:r>
      <w:r w:rsidRPr="009F06AF">
        <w:rPr>
          <w:rFonts w:cstheme="minorHAnsi"/>
          <w:color w:val="231F20"/>
          <w:spacing w:val="13"/>
          <w:w w:val="105"/>
        </w:rPr>
        <w:t xml:space="preserve"> </w:t>
      </w:r>
      <w:r w:rsidRPr="009F06AF">
        <w:rPr>
          <w:rFonts w:cstheme="minorHAnsi"/>
          <w:color w:val="231F20"/>
          <w:w w:val="105"/>
        </w:rPr>
        <w:t>Once</w:t>
      </w:r>
      <w:r w:rsidRPr="009F06AF">
        <w:rPr>
          <w:rFonts w:cstheme="minorHAnsi"/>
          <w:color w:val="231F20"/>
          <w:spacing w:val="13"/>
          <w:w w:val="105"/>
        </w:rPr>
        <w:t xml:space="preserve"> </w:t>
      </w:r>
      <w:r w:rsidRPr="009F06AF">
        <w:rPr>
          <w:rFonts w:cstheme="minorHAnsi"/>
          <w:color w:val="231F20"/>
          <w:w w:val="105"/>
        </w:rPr>
        <w:t>it</w:t>
      </w:r>
      <w:r w:rsidRPr="009F06AF">
        <w:rPr>
          <w:rFonts w:cstheme="minorHAnsi"/>
          <w:color w:val="231F20"/>
          <w:spacing w:val="13"/>
          <w:w w:val="105"/>
        </w:rPr>
        <w:t xml:space="preserve"> </w:t>
      </w:r>
      <w:r w:rsidRPr="009F06AF">
        <w:rPr>
          <w:rFonts w:cstheme="minorHAnsi"/>
          <w:color w:val="231F20"/>
          <w:w w:val="105"/>
        </w:rPr>
        <w:t>is</w:t>
      </w:r>
      <w:r w:rsidRPr="009F06AF">
        <w:rPr>
          <w:rFonts w:cstheme="minorHAnsi"/>
          <w:color w:val="231F20"/>
          <w:spacing w:val="13"/>
          <w:w w:val="105"/>
        </w:rPr>
        <w:t xml:space="preserve"> </w:t>
      </w:r>
      <w:r w:rsidRPr="009F06AF">
        <w:rPr>
          <w:rFonts w:cstheme="minorHAnsi"/>
          <w:color w:val="231F20"/>
          <w:w w:val="105"/>
        </w:rPr>
        <w:t>approved</w:t>
      </w:r>
      <w:r w:rsidRPr="009F06AF">
        <w:rPr>
          <w:rFonts w:cstheme="minorHAnsi"/>
          <w:color w:val="231F20"/>
          <w:spacing w:val="13"/>
          <w:w w:val="105"/>
        </w:rPr>
        <w:t xml:space="preserve"> </w:t>
      </w:r>
      <w:r w:rsidRPr="009F06AF">
        <w:rPr>
          <w:rFonts w:cstheme="minorHAnsi"/>
          <w:color w:val="231F20"/>
          <w:w w:val="105"/>
        </w:rPr>
        <w:t>by</w:t>
      </w:r>
      <w:r w:rsidRPr="009F06AF">
        <w:rPr>
          <w:rFonts w:cstheme="minorHAnsi"/>
          <w:color w:val="231F20"/>
          <w:spacing w:val="13"/>
          <w:w w:val="105"/>
        </w:rPr>
        <w:t xml:space="preserve"> </w:t>
      </w:r>
      <w:r w:rsidRPr="009F06AF">
        <w:rPr>
          <w:rFonts w:cstheme="minorHAnsi"/>
          <w:color w:val="231F20"/>
          <w:w w:val="105"/>
        </w:rPr>
        <w:t>the</w:t>
      </w:r>
      <w:r w:rsidRPr="009F06AF">
        <w:rPr>
          <w:rFonts w:cstheme="minorHAnsi"/>
          <w:color w:val="231F20"/>
          <w:spacing w:val="13"/>
          <w:w w:val="105"/>
        </w:rPr>
        <w:t xml:space="preserve"> </w:t>
      </w:r>
      <w:r w:rsidRPr="009F06AF">
        <w:rPr>
          <w:rFonts w:cstheme="minorHAnsi"/>
          <w:color w:val="231F20"/>
          <w:w w:val="105"/>
        </w:rPr>
        <w:t>local</w:t>
      </w:r>
      <w:r w:rsidRPr="009F06AF">
        <w:rPr>
          <w:rFonts w:cstheme="minorHAnsi"/>
          <w:color w:val="231F20"/>
          <w:spacing w:val="13"/>
          <w:w w:val="105"/>
        </w:rPr>
        <w:t xml:space="preserve"> </w:t>
      </w:r>
      <w:r w:rsidRPr="009F06AF">
        <w:rPr>
          <w:rFonts w:cstheme="minorHAnsi"/>
          <w:color w:val="231F20"/>
          <w:w w:val="105"/>
        </w:rPr>
        <w:t>emergency</w:t>
      </w:r>
      <w:r w:rsidRPr="009F06AF">
        <w:rPr>
          <w:rFonts w:cstheme="minorHAnsi"/>
          <w:color w:val="231F20"/>
          <w:spacing w:val="13"/>
          <w:w w:val="105"/>
        </w:rPr>
        <w:t xml:space="preserve"> </w:t>
      </w:r>
      <w:r w:rsidRPr="009F06AF">
        <w:rPr>
          <w:rFonts w:cstheme="minorHAnsi"/>
          <w:color w:val="231F20"/>
          <w:w w:val="105"/>
        </w:rPr>
        <w:t>management</w:t>
      </w:r>
      <w:r w:rsidRPr="009F06AF">
        <w:rPr>
          <w:rFonts w:cstheme="minorHAnsi"/>
          <w:color w:val="231F20"/>
          <w:spacing w:val="13"/>
          <w:w w:val="105"/>
        </w:rPr>
        <w:t xml:space="preserve"> </w:t>
      </w:r>
      <w:r w:rsidRPr="009F06AF">
        <w:rPr>
          <w:rFonts w:cstheme="minorHAnsi"/>
          <w:color w:val="231F20"/>
          <w:w w:val="105"/>
        </w:rPr>
        <w:t>officials,</w:t>
      </w:r>
      <w:r w:rsidRPr="009F06AF">
        <w:rPr>
          <w:rFonts w:cstheme="minorHAnsi"/>
          <w:color w:val="231F20"/>
          <w:spacing w:val="13"/>
          <w:w w:val="105"/>
        </w:rPr>
        <w:t xml:space="preserve"> </w:t>
      </w:r>
      <w:r w:rsidRPr="009F06AF">
        <w:rPr>
          <w:rFonts w:cstheme="minorHAnsi"/>
          <w:color w:val="231F20"/>
          <w:w w:val="105"/>
        </w:rPr>
        <w:t>staff</w:t>
      </w:r>
      <w:r w:rsidRPr="009F06AF">
        <w:rPr>
          <w:rFonts w:cstheme="minorHAnsi"/>
          <w:color w:val="231F20"/>
          <w:spacing w:val="13"/>
          <w:w w:val="105"/>
        </w:rPr>
        <w:t xml:space="preserve"> </w:t>
      </w:r>
      <w:r w:rsidRPr="009F06AF">
        <w:rPr>
          <w:rFonts w:cstheme="minorHAnsi"/>
          <w:color w:val="231F20"/>
          <w:w w:val="105"/>
        </w:rPr>
        <w:t>from</w:t>
      </w:r>
      <w:r w:rsidRPr="009F06AF">
        <w:rPr>
          <w:rFonts w:cstheme="minorHAnsi"/>
          <w:color w:val="231F20"/>
          <w:spacing w:val="13"/>
          <w:w w:val="105"/>
        </w:rPr>
        <w:t xml:space="preserve"> </w:t>
      </w:r>
      <w:r w:rsidRPr="009F06AF">
        <w:rPr>
          <w:rFonts w:cstheme="minorHAnsi"/>
          <w:color w:val="231F20"/>
          <w:w w:val="105"/>
        </w:rPr>
        <w:t>DEO</w:t>
      </w:r>
      <w:r w:rsidRPr="009F06AF">
        <w:rPr>
          <w:rFonts w:cstheme="minorHAnsi"/>
          <w:color w:val="231F20"/>
          <w:spacing w:val="13"/>
          <w:w w:val="105"/>
        </w:rPr>
        <w:t xml:space="preserve"> </w:t>
      </w:r>
      <w:r w:rsidRPr="009F06AF">
        <w:rPr>
          <w:rFonts w:cstheme="minorHAnsi"/>
          <w:color w:val="231F20"/>
          <w:w w:val="105"/>
        </w:rPr>
        <w:t>and</w:t>
      </w:r>
      <w:r>
        <w:rPr>
          <w:rFonts w:cstheme="minorHAnsi"/>
          <w:color w:val="231F20"/>
          <w:w w:val="105"/>
        </w:rPr>
        <w:t xml:space="preserve"> </w:t>
      </w:r>
      <w:r w:rsidRPr="009F06AF">
        <w:rPr>
          <w:rFonts w:cstheme="minorHAnsi"/>
          <w:color w:val="231F20"/>
          <w:w w:val="105"/>
        </w:rPr>
        <w:t>the</w:t>
      </w:r>
      <w:r w:rsidRPr="009F06AF">
        <w:rPr>
          <w:rFonts w:cstheme="minorHAnsi"/>
          <w:color w:val="231F20"/>
          <w:spacing w:val="17"/>
          <w:w w:val="105"/>
        </w:rPr>
        <w:t xml:space="preserve"> </w:t>
      </w:r>
      <w:r w:rsidRPr="009F06AF">
        <w:rPr>
          <w:rFonts w:cstheme="minorHAnsi"/>
          <w:color w:val="231F20"/>
          <w:w w:val="105"/>
        </w:rPr>
        <w:t>CareerSource</w:t>
      </w:r>
      <w:r w:rsidRPr="009F06AF">
        <w:rPr>
          <w:rFonts w:cstheme="minorHAnsi"/>
          <w:color w:val="231F20"/>
          <w:spacing w:val="17"/>
          <w:w w:val="105"/>
        </w:rPr>
        <w:t xml:space="preserve"> </w:t>
      </w:r>
      <w:r w:rsidRPr="009F06AF">
        <w:rPr>
          <w:rFonts w:cstheme="minorHAnsi"/>
          <w:color w:val="231F20"/>
          <w:w w:val="105"/>
        </w:rPr>
        <w:t>Florida</w:t>
      </w:r>
      <w:r w:rsidRPr="009F06AF">
        <w:rPr>
          <w:rFonts w:cstheme="minorHAnsi"/>
          <w:color w:val="231F20"/>
          <w:spacing w:val="17"/>
          <w:w w:val="105"/>
        </w:rPr>
        <w:t xml:space="preserve"> </w:t>
      </w:r>
      <w:r w:rsidRPr="009F06AF">
        <w:rPr>
          <w:rFonts w:cstheme="minorHAnsi"/>
          <w:color w:val="231F20"/>
          <w:w w:val="105"/>
        </w:rPr>
        <w:t>network</w:t>
      </w:r>
      <w:r w:rsidRPr="009F06AF">
        <w:rPr>
          <w:rFonts w:cstheme="minorHAnsi"/>
          <w:color w:val="231F20"/>
          <w:spacing w:val="17"/>
          <w:w w:val="105"/>
        </w:rPr>
        <w:t xml:space="preserve"> </w:t>
      </w:r>
      <w:r w:rsidRPr="009F06AF">
        <w:rPr>
          <w:rFonts w:cstheme="minorHAnsi"/>
          <w:color w:val="231F20"/>
          <w:w w:val="105"/>
        </w:rPr>
        <w:t>deploy</w:t>
      </w:r>
      <w:r w:rsidRPr="009F06AF">
        <w:rPr>
          <w:rFonts w:cstheme="minorHAnsi"/>
          <w:color w:val="231F20"/>
          <w:spacing w:val="17"/>
          <w:w w:val="105"/>
        </w:rPr>
        <w:t xml:space="preserve"> </w:t>
      </w:r>
      <w:r w:rsidRPr="009F06AF">
        <w:rPr>
          <w:rFonts w:cstheme="minorHAnsi"/>
          <w:color w:val="231F20"/>
          <w:w w:val="105"/>
        </w:rPr>
        <w:t>to</w:t>
      </w:r>
      <w:r w:rsidRPr="009F06AF">
        <w:rPr>
          <w:rFonts w:cstheme="minorHAnsi"/>
          <w:color w:val="231F20"/>
          <w:spacing w:val="17"/>
          <w:w w:val="105"/>
        </w:rPr>
        <w:t xml:space="preserve"> </w:t>
      </w:r>
      <w:r w:rsidRPr="009F06AF">
        <w:rPr>
          <w:rFonts w:cstheme="minorHAnsi"/>
          <w:color w:val="231F20"/>
          <w:w w:val="105"/>
        </w:rPr>
        <w:t>affected</w:t>
      </w:r>
      <w:r w:rsidRPr="009F06AF">
        <w:rPr>
          <w:rFonts w:cstheme="minorHAnsi"/>
          <w:color w:val="231F20"/>
          <w:spacing w:val="17"/>
          <w:w w:val="105"/>
        </w:rPr>
        <w:t xml:space="preserve"> </w:t>
      </w:r>
      <w:r w:rsidRPr="009F06AF">
        <w:rPr>
          <w:rFonts w:cstheme="minorHAnsi"/>
          <w:color w:val="231F20"/>
          <w:w w:val="105"/>
        </w:rPr>
        <w:t>areas</w:t>
      </w:r>
      <w:r w:rsidRPr="009F06AF">
        <w:rPr>
          <w:rFonts w:cstheme="minorHAnsi"/>
          <w:color w:val="231F20"/>
          <w:spacing w:val="17"/>
          <w:w w:val="105"/>
        </w:rPr>
        <w:t xml:space="preserve"> </w:t>
      </w:r>
      <w:r w:rsidRPr="009F06AF">
        <w:rPr>
          <w:rFonts w:cstheme="minorHAnsi"/>
          <w:color w:val="231F20"/>
          <w:w w:val="105"/>
        </w:rPr>
        <w:t>to</w:t>
      </w:r>
      <w:r w:rsidRPr="009F06AF">
        <w:rPr>
          <w:rFonts w:cstheme="minorHAnsi"/>
          <w:color w:val="231F20"/>
          <w:spacing w:val="17"/>
          <w:w w:val="105"/>
        </w:rPr>
        <w:t xml:space="preserve"> </w:t>
      </w:r>
      <w:r w:rsidRPr="009F06AF">
        <w:rPr>
          <w:rFonts w:cstheme="minorHAnsi"/>
          <w:color w:val="231F20"/>
          <w:w w:val="105"/>
        </w:rPr>
        <w:t>deliver</w:t>
      </w:r>
      <w:r w:rsidRPr="009F06AF">
        <w:rPr>
          <w:rFonts w:cstheme="minorHAnsi"/>
          <w:color w:val="231F20"/>
          <w:spacing w:val="17"/>
          <w:w w:val="105"/>
        </w:rPr>
        <w:t xml:space="preserve"> </w:t>
      </w:r>
      <w:r w:rsidRPr="009F06AF">
        <w:rPr>
          <w:rFonts w:cstheme="minorHAnsi"/>
          <w:color w:val="231F20"/>
          <w:w w:val="105"/>
        </w:rPr>
        <w:t>rapid</w:t>
      </w:r>
      <w:r w:rsidRPr="009F06AF">
        <w:rPr>
          <w:rFonts w:cstheme="minorHAnsi"/>
          <w:color w:val="231F20"/>
          <w:spacing w:val="17"/>
          <w:w w:val="105"/>
        </w:rPr>
        <w:t xml:space="preserve"> </w:t>
      </w:r>
      <w:r w:rsidRPr="009F06AF">
        <w:rPr>
          <w:rFonts w:cstheme="minorHAnsi"/>
          <w:color w:val="231F20"/>
          <w:w w:val="105"/>
        </w:rPr>
        <w:t>response</w:t>
      </w:r>
      <w:r w:rsidRPr="009F06AF">
        <w:rPr>
          <w:rFonts w:cstheme="minorHAnsi"/>
          <w:color w:val="231F20"/>
          <w:spacing w:val="17"/>
          <w:w w:val="105"/>
        </w:rPr>
        <w:t xml:space="preserve"> </w:t>
      </w:r>
      <w:r w:rsidRPr="009F06AF">
        <w:rPr>
          <w:rFonts w:cstheme="minorHAnsi"/>
          <w:color w:val="231F20"/>
          <w:w w:val="105"/>
        </w:rPr>
        <w:t>services.</w:t>
      </w:r>
    </w:p>
    <w:p w14:paraId="4B0F5149" w14:textId="7C5C2A30" w:rsidR="00EA7458" w:rsidRDefault="00700B21" w:rsidP="00D63204">
      <w:pPr>
        <w:widowControl w:val="0"/>
        <w:spacing w:before="193" w:after="0" w:line="264" w:lineRule="exact"/>
        <w:ind w:left="107"/>
        <w:rPr>
          <w:rFonts w:cstheme="minorHAnsi"/>
          <w:color w:val="231F20"/>
          <w:w w:val="105"/>
        </w:rPr>
      </w:pPr>
      <w:r w:rsidRPr="009F06AF">
        <w:rPr>
          <w:rFonts w:cstheme="minorHAnsi"/>
          <w:color w:val="231F20"/>
          <w:w w:val="105"/>
        </w:rPr>
        <w:t>DEO</w:t>
      </w:r>
      <w:r w:rsidRPr="009F06AF">
        <w:rPr>
          <w:rFonts w:cstheme="minorHAnsi"/>
          <w:color w:val="231F20"/>
          <w:spacing w:val="17"/>
          <w:w w:val="105"/>
        </w:rPr>
        <w:t xml:space="preserve"> </w:t>
      </w:r>
      <w:r w:rsidRPr="009F06AF">
        <w:rPr>
          <w:rFonts w:cstheme="minorHAnsi"/>
          <w:color w:val="231F20"/>
          <w:w w:val="105"/>
        </w:rPr>
        <w:t>and</w:t>
      </w:r>
      <w:r w:rsidRPr="009F06AF">
        <w:rPr>
          <w:rFonts w:cstheme="minorHAnsi"/>
          <w:color w:val="231F20"/>
          <w:spacing w:val="17"/>
          <w:w w:val="105"/>
        </w:rPr>
        <w:t xml:space="preserve"> </w:t>
      </w:r>
      <w:r w:rsidRPr="009F06AF">
        <w:rPr>
          <w:rFonts w:cstheme="minorHAnsi"/>
          <w:color w:val="231F20"/>
          <w:w w:val="105"/>
        </w:rPr>
        <w:t>the</w:t>
      </w:r>
      <w:r w:rsidRPr="009F06AF">
        <w:rPr>
          <w:rFonts w:cstheme="minorHAnsi"/>
          <w:color w:val="231F20"/>
          <w:spacing w:val="17"/>
          <w:w w:val="105"/>
        </w:rPr>
        <w:t xml:space="preserve"> </w:t>
      </w:r>
      <w:r w:rsidRPr="009F06AF">
        <w:rPr>
          <w:rFonts w:cstheme="minorHAnsi"/>
          <w:color w:val="231F20"/>
          <w:w w:val="105"/>
        </w:rPr>
        <w:t>CareerSource</w:t>
      </w:r>
      <w:r w:rsidRPr="009F06AF">
        <w:rPr>
          <w:rFonts w:cstheme="minorHAnsi"/>
          <w:color w:val="231F20"/>
          <w:spacing w:val="17"/>
          <w:w w:val="105"/>
        </w:rPr>
        <w:t xml:space="preserve"> </w:t>
      </w:r>
      <w:r w:rsidRPr="009F06AF">
        <w:rPr>
          <w:rFonts w:cstheme="minorHAnsi"/>
          <w:color w:val="231F20"/>
          <w:w w:val="105"/>
        </w:rPr>
        <w:t>Florida</w:t>
      </w:r>
      <w:r w:rsidRPr="009F06AF">
        <w:rPr>
          <w:rFonts w:cstheme="minorHAnsi"/>
          <w:color w:val="231F20"/>
          <w:spacing w:val="17"/>
          <w:w w:val="105"/>
        </w:rPr>
        <w:t xml:space="preserve"> </w:t>
      </w:r>
      <w:r w:rsidRPr="009F06AF">
        <w:rPr>
          <w:rFonts w:cstheme="minorHAnsi"/>
          <w:color w:val="231F20"/>
          <w:w w:val="105"/>
        </w:rPr>
        <w:t>network</w:t>
      </w:r>
      <w:r w:rsidRPr="009F06AF">
        <w:rPr>
          <w:rFonts w:cstheme="minorHAnsi"/>
          <w:color w:val="231F20"/>
          <w:spacing w:val="17"/>
          <w:w w:val="105"/>
        </w:rPr>
        <w:t xml:space="preserve"> </w:t>
      </w:r>
      <w:r w:rsidRPr="009F06AF">
        <w:rPr>
          <w:rFonts w:cstheme="minorHAnsi"/>
          <w:color w:val="231F20"/>
          <w:w w:val="105"/>
        </w:rPr>
        <w:t>has</w:t>
      </w:r>
      <w:r w:rsidRPr="009F06AF">
        <w:rPr>
          <w:rFonts w:cstheme="minorHAnsi"/>
          <w:color w:val="231F20"/>
          <w:spacing w:val="17"/>
          <w:w w:val="105"/>
        </w:rPr>
        <w:t xml:space="preserve"> </w:t>
      </w:r>
      <w:r w:rsidRPr="009F06AF">
        <w:rPr>
          <w:rFonts w:cstheme="minorHAnsi"/>
          <w:color w:val="231F20"/>
          <w:w w:val="105"/>
        </w:rPr>
        <w:t>22</w:t>
      </w:r>
      <w:r w:rsidRPr="009F06AF">
        <w:rPr>
          <w:rFonts w:cstheme="minorHAnsi"/>
          <w:color w:val="231F20"/>
          <w:spacing w:val="17"/>
          <w:w w:val="105"/>
        </w:rPr>
        <w:t xml:space="preserve"> </w:t>
      </w:r>
      <w:r w:rsidRPr="009F06AF">
        <w:rPr>
          <w:rFonts w:cstheme="minorHAnsi"/>
          <w:color w:val="231F20"/>
          <w:w w:val="105"/>
        </w:rPr>
        <w:t>Mobile</w:t>
      </w:r>
      <w:r w:rsidRPr="009F06AF">
        <w:rPr>
          <w:rFonts w:cstheme="minorHAnsi"/>
          <w:color w:val="231F20"/>
          <w:spacing w:val="17"/>
          <w:w w:val="105"/>
        </w:rPr>
        <w:t xml:space="preserve"> </w:t>
      </w:r>
      <w:r w:rsidRPr="009F06AF">
        <w:rPr>
          <w:rFonts w:cstheme="minorHAnsi"/>
          <w:color w:val="231F20"/>
          <w:w w:val="105"/>
        </w:rPr>
        <w:t>Career</w:t>
      </w:r>
      <w:r w:rsidRPr="009F06AF">
        <w:rPr>
          <w:rFonts w:cstheme="minorHAnsi"/>
          <w:color w:val="231F20"/>
          <w:spacing w:val="17"/>
          <w:w w:val="105"/>
        </w:rPr>
        <w:t xml:space="preserve"> </w:t>
      </w:r>
      <w:r w:rsidRPr="009F06AF">
        <w:rPr>
          <w:rFonts w:cstheme="minorHAnsi"/>
          <w:color w:val="231F20"/>
          <w:w w:val="105"/>
        </w:rPr>
        <w:t>Centers</w:t>
      </w:r>
      <w:r w:rsidRPr="009F06AF">
        <w:rPr>
          <w:rFonts w:cstheme="minorHAnsi"/>
          <w:color w:val="231F20"/>
          <w:spacing w:val="17"/>
          <w:w w:val="105"/>
        </w:rPr>
        <w:t xml:space="preserve"> </w:t>
      </w:r>
      <w:r w:rsidRPr="009F06AF">
        <w:rPr>
          <w:rFonts w:cstheme="minorHAnsi"/>
          <w:color w:val="231F20"/>
          <w:w w:val="105"/>
        </w:rPr>
        <w:t>equipped</w:t>
      </w:r>
      <w:r w:rsidRPr="009F06AF">
        <w:rPr>
          <w:rFonts w:cstheme="minorHAnsi"/>
          <w:color w:val="231F20"/>
          <w:spacing w:val="17"/>
          <w:w w:val="105"/>
        </w:rPr>
        <w:t xml:space="preserve"> </w:t>
      </w:r>
      <w:r w:rsidRPr="009F06AF">
        <w:rPr>
          <w:rFonts w:cstheme="minorHAnsi"/>
          <w:color w:val="231F20"/>
          <w:w w:val="105"/>
        </w:rPr>
        <w:t>with</w:t>
      </w:r>
      <w:r w:rsidRPr="009F06AF">
        <w:rPr>
          <w:rFonts w:cstheme="minorHAnsi"/>
          <w:color w:val="231F20"/>
          <w:spacing w:val="17"/>
          <w:w w:val="105"/>
        </w:rPr>
        <w:t xml:space="preserve"> </w:t>
      </w:r>
      <w:r w:rsidRPr="009F06AF">
        <w:rPr>
          <w:rFonts w:cstheme="minorHAnsi"/>
          <w:color w:val="231F20"/>
          <w:w w:val="105"/>
        </w:rPr>
        <w:t>telecommunications</w:t>
      </w:r>
      <w:r w:rsidRPr="009F06AF">
        <w:rPr>
          <w:rFonts w:cstheme="minorHAnsi"/>
          <w:color w:val="231F20"/>
          <w:spacing w:val="8"/>
          <w:w w:val="105"/>
        </w:rPr>
        <w:t xml:space="preserve"> </w:t>
      </w:r>
      <w:r w:rsidRPr="009F06AF">
        <w:rPr>
          <w:rFonts w:cstheme="minorHAnsi"/>
          <w:color w:val="231F20"/>
          <w:w w:val="105"/>
        </w:rPr>
        <w:t>equipment.</w:t>
      </w:r>
      <w:r w:rsidRPr="009F06AF">
        <w:rPr>
          <w:rFonts w:cstheme="minorHAnsi"/>
          <w:color w:val="231F20"/>
          <w:spacing w:val="17"/>
          <w:w w:val="105"/>
        </w:rPr>
        <w:t xml:space="preserve"> </w:t>
      </w:r>
      <w:r w:rsidRPr="009F06AF">
        <w:rPr>
          <w:rFonts w:cstheme="minorHAnsi"/>
          <w:color w:val="231F20"/>
          <w:w w:val="105"/>
        </w:rPr>
        <w:t>These</w:t>
      </w:r>
      <w:r w:rsidRPr="009F06AF">
        <w:rPr>
          <w:rFonts w:cstheme="minorHAnsi"/>
          <w:color w:val="231F20"/>
          <w:spacing w:val="8"/>
          <w:w w:val="105"/>
        </w:rPr>
        <w:t xml:space="preserve"> </w:t>
      </w:r>
      <w:r w:rsidRPr="009F06AF">
        <w:rPr>
          <w:rFonts w:cstheme="minorHAnsi"/>
          <w:color w:val="231F20"/>
          <w:w w:val="105"/>
        </w:rPr>
        <w:t>mobile</w:t>
      </w:r>
      <w:r w:rsidRPr="009F06AF">
        <w:rPr>
          <w:rFonts w:cstheme="minorHAnsi"/>
          <w:color w:val="231F20"/>
          <w:spacing w:val="8"/>
          <w:w w:val="105"/>
        </w:rPr>
        <w:t xml:space="preserve"> </w:t>
      </w:r>
      <w:r w:rsidRPr="009F06AF">
        <w:rPr>
          <w:rFonts w:cstheme="minorHAnsi"/>
          <w:color w:val="231F20"/>
          <w:w w:val="105"/>
        </w:rPr>
        <w:t>units</w:t>
      </w:r>
      <w:r w:rsidRPr="009F06AF">
        <w:rPr>
          <w:rFonts w:cstheme="minorHAnsi"/>
          <w:color w:val="231F20"/>
          <w:spacing w:val="8"/>
          <w:w w:val="105"/>
        </w:rPr>
        <w:t xml:space="preserve"> </w:t>
      </w:r>
      <w:r w:rsidRPr="009F06AF">
        <w:rPr>
          <w:rFonts w:cstheme="minorHAnsi"/>
          <w:color w:val="231F20"/>
          <w:w w:val="105"/>
        </w:rPr>
        <w:t>contain</w:t>
      </w:r>
      <w:r w:rsidRPr="009F06AF">
        <w:rPr>
          <w:rFonts w:cstheme="minorHAnsi"/>
          <w:color w:val="231F20"/>
          <w:spacing w:val="8"/>
          <w:w w:val="105"/>
        </w:rPr>
        <w:t xml:space="preserve"> </w:t>
      </w:r>
      <w:r w:rsidRPr="009F06AF">
        <w:rPr>
          <w:rFonts w:cstheme="minorHAnsi"/>
          <w:color w:val="231F20"/>
          <w:w w:val="105"/>
        </w:rPr>
        <w:t>computers,</w:t>
      </w:r>
      <w:r w:rsidRPr="009F06AF">
        <w:rPr>
          <w:rFonts w:cstheme="minorHAnsi"/>
          <w:color w:val="231F20"/>
          <w:spacing w:val="8"/>
          <w:w w:val="105"/>
        </w:rPr>
        <w:t xml:space="preserve"> </w:t>
      </w:r>
      <w:r w:rsidRPr="009F06AF">
        <w:rPr>
          <w:rFonts w:cstheme="minorHAnsi"/>
          <w:color w:val="231F20"/>
          <w:w w:val="105"/>
        </w:rPr>
        <w:t>workstations</w:t>
      </w:r>
      <w:r w:rsidRPr="009F06AF">
        <w:rPr>
          <w:rFonts w:cstheme="minorHAnsi"/>
          <w:color w:val="231F20"/>
          <w:spacing w:val="8"/>
          <w:w w:val="105"/>
        </w:rPr>
        <w:t xml:space="preserve"> </w:t>
      </w:r>
      <w:r w:rsidRPr="009F06AF">
        <w:rPr>
          <w:rFonts w:cstheme="minorHAnsi"/>
          <w:color w:val="231F20"/>
          <w:w w:val="105"/>
        </w:rPr>
        <w:t>and</w:t>
      </w:r>
      <w:r>
        <w:rPr>
          <w:rFonts w:cstheme="minorHAnsi"/>
          <w:color w:val="231F20"/>
          <w:w w:val="105"/>
        </w:rPr>
        <w:t xml:space="preserve"> </w:t>
      </w:r>
      <w:r w:rsidRPr="009F06AF">
        <w:rPr>
          <w:rFonts w:cstheme="minorHAnsi"/>
          <w:color w:val="231F20"/>
          <w:w w:val="105"/>
        </w:rPr>
        <w:t>supplies</w:t>
      </w:r>
      <w:r w:rsidRPr="009F06AF">
        <w:rPr>
          <w:rFonts w:cstheme="minorHAnsi"/>
          <w:color w:val="231F20"/>
          <w:spacing w:val="22"/>
          <w:w w:val="105"/>
        </w:rPr>
        <w:t xml:space="preserve"> </w:t>
      </w:r>
      <w:r w:rsidRPr="009F06AF">
        <w:rPr>
          <w:rFonts w:cstheme="minorHAnsi"/>
          <w:color w:val="231F20"/>
          <w:w w:val="105"/>
        </w:rPr>
        <w:t>for providing rapid</w:t>
      </w:r>
      <w:r w:rsidRPr="009F06AF">
        <w:rPr>
          <w:rFonts w:cstheme="minorHAnsi"/>
          <w:color w:val="231F20"/>
          <w:spacing w:val="22"/>
          <w:w w:val="105"/>
        </w:rPr>
        <w:t xml:space="preserve"> </w:t>
      </w:r>
      <w:r w:rsidRPr="009F06AF">
        <w:rPr>
          <w:rFonts w:cstheme="minorHAnsi"/>
          <w:color w:val="231F20"/>
          <w:w w:val="105"/>
        </w:rPr>
        <w:t>response</w:t>
      </w:r>
      <w:r w:rsidRPr="009F06AF">
        <w:rPr>
          <w:rFonts w:cstheme="minorHAnsi"/>
          <w:color w:val="231F20"/>
          <w:spacing w:val="22"/>
          <w:w w:val="105"/>
        </w:rPr>
        <w:t xml:space="preserve"> </w:t>
      </w:r>
      <w:r w:rsidRPr="009F06AF">
        <w:rPr>
          <w:rFonts w:cstheme="minorHAnsi"/>
          <w:color w:val="231F20"/>
          <w:w w:val="105"/>
        </w:rPr>
        <w:t>assistance</w:t>
      </w:r>
      <w:r w:rsidR="005E7C49">
        <w:rPr>
          <w:rFonts w:cstheme="minorHAnsi"/>
          <w:color w:val="231F20"/>
          <w:w w:val="105"/>
        </w:rPr>
        <w:t xml:space="preserve">. </w:t>
      </w:r>
      <w:r w:rsidRPr="009F06AF">
        <w:rPr>
          <w:rFonts w:cstheme="minorHAnsi"/>
          <w:color w:val="231F20"/>
          <w:w w:val="105"/>
        </w:rPr>
        <w:t>After</w:t>
      </w:r>
      <w:r w:rsidRPr="009F06AF">
        <w:rPr>
          <w:rFonts w:cstheme="minorHAnsi"/>
          <w:color w:val="231F20"/>
          <w:spacing w:val="22"/>
          <w:w w:val="105"/>
        </w:rPr>
        <w:t xml:space="preserve"> </w:t>
      </w:r>
      <w:r w:rsidRPr="009F06AF">
        <w:rPr>
          <w:rFonts w:cstheme="minorHAnsi"/>
          <w:color w:val="231F20"/>
          <w:w w:val="105"/>
        </w:rPr>
        <w:t>natural</w:t>
      </w:r>
      <w:r w:rsidRPr="009F06AF">
        <w:rPr>
          <w:rFonts w:cstheme="minorHAnsi"/>
          <w:color w:val="231F20"/>
          <w:spacing w:val="22"/>
          <w:w w:val="105"/>
        </w:rPr>
        <w:t xml:space="preserve"> </w:t>
      </w:r>
      <w:r w:rsidRPr="009F06AF">
        <w:rPr>
          <w:rFonts w:cstheme="minorHAnsi"/>
          <w:color w:val="231F20"/>
          <w:w w:val="105"/>
        </w:rPr>
        <w:t>disasters,</w:t>
      </w:r>
      <w:r w:rsidRPr="009F06AF">
        <w:rPr>
          <w:rFonts w:cstheme="minorHAnsi"/>
          <w:color w:val="231F20"/>
          <w:spacing w:val="22"/>
          <w:w w:val="105"/>
        </w:rPr>
        <w:t xml:space="preserve"> </w:t>
      </w:r>
      <w:r w:rsidRPr="009F06AF">
        <w:rPr>
          <w:rFonts w:cstheme="minorHAnsi"/>
          <w:color w:val="231F20"/>
          <w:w w:val="105"/>
        </w:rPr>
        <w:t>these</w:t>
      </w:r>
      <w:r w:rsidRPr="009F06AF">
        <w:rPr>
          <w:rFonts w:cstheme="minorHAnsi"/>
          <w:color w:val="231F20"/>
          <w:spacing w:val="22"/>
          <w:w w:val="105"/>
        </w:rPr>
        <w:t xml:space="preserve"> </w:t>
      </w:r>
      <w:r w:rsidRPr="009F06AF">
        <w:rPr>
          <w:rFonts w:cstheme="minorHAnsi"/>
          <w:color w:val="231F20"/>
          <w:w w:val="105"/>
        </w:rPr>
        <w:t>units</w:t>
      </w:r>
      <w:r w:rsidRPr="009F06AF">
        <w:rPr>
          <w:rFonts w:cstheme="minorHAnsi"/>
          <w:color w:val="231F20"/>
          <w:spacing w:val="22"/>
          <w:w w:val="105"/>
        </w:rPr>
        <w:t xml:space="preserve"> </w:t>
      </w:r>
      <w:r w:rsidRPr="009F06AF">
        <w:rPr>
          <w:rFonts w:cstheme="minorHAnsi"/>
          <w:color w:val="231F20"/>
          <w:w w:val="105"/>
        </w:rPr>
        <w:t>can</w:t>
      </w:r>
      <w:r w:rsidRPr="009F06AF">
        <w:rPr>
          <w:rFonts w:cstheme="minorHAnsi"/>
          <w:color w:val="231F20"/>
          <w:spacing w:val="22"/>
          <w:w w:val="105"/>
        </w:rPr>
        <w:t xml:space="preserve"> </w:t>
      </w:r>
      <w:r w:rsidRPr="009F06AF">
        <w:rPr>
          <w:rFonts w:cstheme="minorHAnsi"/>
          <w:color w:val="231F20"/>
          <w:w w:val="105"/>
        </w:rPr>
        <w:t>go</w:t>
      </w:r>
      <w:r w:rsidRPr="009F06AF">
        <w:rPr>
          <w:rFonts w:cstheme="minorHAnsi"/>
          <w:color w:val="231F20"/>
          <w:spacing w:val="16"/>
          <w:w w:val="105"/>
        </w:rPr>
        <w:t xml:space="preserve"> </w:t>
      </w:r>
      <w:r w:rsidRPr="009F06AF">
        <w:rPr>
          <w:rFonts w:cstheme="minorHAnsi"/>
          <w:color w:val="231F20"/>
          <w:w w:val="105"/>
        </w:rPr>
        <w:t>into</w:t>
      </w:r>
      <w:r w:rsidRPr="009F06AF">
        <w:rPr>
          <w:rFonts w:cstheme="minorHAnsi"/>
          <w:color w:val="231F20"/>
          <w:spacing w:val="16"/>
          <w:w w:val="105"/>
        </w:rPr>
        <w:t xml:space="preserve"> </w:t>
      </w:r>
      <w:r w:rsidRPr="009F06AF">
        <w:rPr>
          <w:rFonts w:cstheme="minorHAnsi"/>
          <w:color w:val="231F20"/>
          <w:w w:val="105"/>
        </w:rPr>
        <w:t>affected</w:t>
      </w:r>
      <w:r w:rsidRPr="009F06AF">
        <w:rPr>
          <w:rFonts w:cstheme="minorHAnsi"/>
          <w:color w:val="231F20"/>
          <w:spacing w:val="16"/>
          <w:w w:val="105"/>
        </w:rPr>
        <w:t xml:space="preserve"> </w:t>
      </w:r>
      <w:r w:rsidRPr="009F06AF">
        <w:rPr>
          <w:rFonts w:cstheme="minorHAnsi"/>
          <w:color w:val="231F20"/>
          <w:w w:val="105"/>
        </w:rPr>
        <w:t>areas</w:t>
      </w:r>
      <w:r w:rsidRPr="009F06AF">
        <w:rPr>
          <w:rFonts w:cstheme="minorHAnsi"/>
          <w:color w:val="231F20"/>
          <w:spacing w:val="16"/>
          <w:w w:val="105"/>
        </w:rPr>
        <w:t xml:space="preserve"> </w:t>
      </w:r>
      <w:r w:rsidRPr="009F06AF">
        <w:rPr>
          <w:rFonts w:cstheme="minorHAnsi"/>
          <w:color w:val="231F20"/>
          <w:w w:val="105"/>
        </w:rPr>
        <w:t>and</w:t>
      </w:r>
      <w:r w:rsidRPr="009F06AF">
        <w:rPr>
          <w:rFonts w:cstheme="minorHAnsi"/>
          <w:color w:val="231F20"/>
          <w:spacing w:val="16"/>
          <w:w w:val="105"/>
        </w:rPr>
        <w:t xml:space="preserve"> </w:t>
      </w:r>
      <w:r w:rsidRPr="009F06AF">
        <w:rPr>
          <w:rFonts w:cstheme="minorHAnsi"/>
          <w:color w:val="231F20"/>
          <w:w w:val="105"/>
        </w:rPr>
        <w:t>serve</w:t>
      </w:r>
      <w:r w:rsidRPr="009F06AF">
        <w:rPr>
          <w:rFonts w:cstheme="minorHAnsi"/>
          <w:color w:val="231F20"/>
          <w:spacing w:val="16"/>
          <w:w w:val="105"/>
        </w:rPr>
        <w:t xml:space="preserve"> </w:t>
      </w:r>
      <w:r w:rsidRPr="009F06AF">
        <w:rPr>
          <w:rFonts w:cstheme="minorHAnsi"/>
          <w:color w:val="231F20"/>
          <w:w w:val="105"/>
        </w:rPr>
        <w:t>as</w:t>
      </w:r>
      <w:r w:rsidRPr="009F06AF">
        <w:rPr>
          <w:rFonts w:cstheme="minorHAnsi"/>
          <w:color w:val="231F20"/>
          <w:spacing w:val="16"/>
          <w:w w:val="105"/>
        </w:rPr>
        <w:t xml:space="preserve"> </w:t>
      </w:r>
      <w:r w:rsidRPr="009F06AF">
        <w:rPr>
          <w:rFonts w:cstheme="minorHAnsi"/>
          <w:color w:val="231F20"/>
          <w:w w:val="105"/>
        </w:rPr>
        <w:t>a</w:t>
      </w:r>
      <w:r w:rsidRPr="009F06AF">
        <w:rPr>
          <w:rFonts w:cstheme="minorHAnsi"/>
          <w:color w:val="231F20"/>
          <w:spacing w:val="16"/>
          <w:w w:val="105"/>
        </w:rPr>
        <w:t xml:space="preserve"> </w:t>
      </w:r>
      <w:r w:rsidRPr="009F06AF">
        <w:rPr>
          <w:rFonts w:cstheme="minorHAnsi"/>
          <w:color w:val="231F20"/>
          <w:w w:val="105"/>
        </w:rPr>
        <w:t>mobile</w:t>
      </w:r>
      <w:r w:rsidRPr="009F06AF">
        <w:rPr>
          <w:rFonts w:cstheme="minorHAnsi"/>
          <w:color w:val="231F20"/>
          <w:spacing w:val="16"/>
          <w:w w:val="105"/>
        </w:rPr>
        <w:t xml:space="preserve"> </w:t>
      </w:r>
      <w:r w:rsidRPr="009F06AF">
        <w:rPr>
          <w:rFonts w:cstheme="minorHAnsi"/>
          <w:color w:val="231F20"/>
          <w:w w:val="105"/>
        </w:rPr>
        <w:t>career</w:t>
      </w:r>
      <w:r w:rsidRPr="009F06AF">
        <w:rPr>
          <w:rFonts w:cstheme="minorHAnsi"/>
          <w:color w:val="231F20"/>
          <w:spacing w:val="16"/>
          <w:w w:val="105"/>
        </w:rPr>
        <w:t xml:space="preserve"> </w:t>
      </w:r>
      <w:r w:rsidRPr="009F06AF">
        <w:rPr>
          <w:rFonts w:cstheme="minorHAnsi"/>
          <w:color w:val="231F20"/>
          <w:w w:val="105"/>
        </w:rPr>
        <w:t>center</w:t>
      </w:r>
      <w:r w:rsidRPr="009F06AF">
        <w:rPr>
          <w:rFonts w:cstheme="minorHAnsi"/>
          <w:color w:val="231F20"/>
          <w:spacing w:val="16"/>
          <w:w w:val="105"/>
        </w:rPr>
        <w:t xml:space="preserve"> </w:t>
      </w:r>
      <w:r w:rsidRPr="009F06AF">
        <w:rPr>
          <w:rFonts w:cstheme="minorHAnsi"/>
          <w:color w:val="231F20"/>
          <w:w w:val="105"/>
        </w:rPr>
        <w:t>when</w:t>
      </w:r>
      <w:r w:rsidRPr="009F06AF">
        <w:rPr>
          <w:rFonts w:cstheme="minorHAnsi"/>
          <w:color w:val="231F20"/>
          <w:spacing w:val="16"/>
          <w:w w:val="105"/>
        </w:rPr>
        <w:t xml:space="preserve"> </w:t>
      </w:r>
      <w:r w:rsidRPr="009F06AF">
        <w:rPr>
          <w:rFonts w:cstheme="minorHAnsi"/>
          <w:color w:val="231F20"/>
          <w:w w:val="105"/>
        </w:rPr>
        <w:t>local</w:t>
      </w:r>
      <w:r w:rsidRPr="009F06AF">
        <w:rPr>
          <w:rFonts w:cstheme="minorHAnsi"/>
          <w:color w:val="231F20"/>
          <w:spacing w:val="16"/>
          <w:w w:val="105"/>
        </w:rPr>
        <w:t xml:space="preserve"> </w:t>
      </w:r>
      <w:r w:rsidRPr="009F06AF">
        <w:rPr>
          <w:rFonts w:cstheme="minorHAnsi"/>
          <w:color w:val="231F20"/>
          <w:w w:val="105"/>
        </w:rPr>
        <w:t>offices</w:t>
      </w:r>
      <w:r w:rsidRPr="009F06AF">
        <w:rPr>
          <w:rFonts w:cstheme="minorHAnsi"/>
          <w:color w:val="231F20"/>
          <w:spacing w:val="16"/>
          <w:w w:val="105"/>
        </w:rPr>
        <w:t xml:space="preserve"> </w:t>
      </w:r>
      <w:r w:rsidRPr="009F06AF">
        <w:rPr>
          <w:rFonts w:cstheme="minorHAnsi"/>
          <w:color w:val="231F20"/>
          <w:w w:val="105"/>
        </w:rPr>
        <w:t>are flooded</w:t>
      </w:r>
      <w:r w:rsidRPr="009F06AF">
        <w:rPr>
          <w:rFonts w:cstheme="minorHAnsi"/>
          <w:color w:val="231F20"/>
          <w:spacing w:val="16"/>
          <w:w w:val="105"/>
        </w:rPr>
        <w:t xml:space="preserve"> </w:t>
      </w:r>
      <w:r w:rsidRPr="009F06AF">
        <w:rPr>
          <w:rFonts w:cstheme="minorHAnsi"/>
          <w:color w:val="231F20"/>
          <w:w w:val="105"/>
        </w:rPr>
        <w:t>or without</w:t>
      </w:r>
      <w:r w:rsidRPr="009F06AF">
        <w:rPr>
          <w:rFonts w:cstheme="minorHAnsi"/>
          <w:color w:val="231F20"/>
          <w:spacing w:val="13"/>
          <w:w w:val="105"/>
        </w:rPr>
        <w:t xml:space="preserve"> </w:t>
      </w:r>
      <w:r w:rsidRPr="009F06AF">
        <w:rPr>
          <w:rFonts w:cstheme="minorHAnsi"/>
          <w:color w:val="231F20"/>
          <w:spacing w:val="-3"/>
          <w:w w:val="105"/>
        </w:rPr>
        <w:t>power.</w:t>
      </w:r>
      <w:r w:rsidRPr="009F06AF">
        <w:rPr>
          <w:rFonts w:cstheme="minorHAnsi"/>
          <w:color w:val="231F20"/>
          <w:spacing w:val="13"/>
          <w:w w:val="105"/>
        </w:rPr>
        <w:t xml:space="preserve"> Mobile centers </w:t>
      </w:r>
      <w:r w:rsidRPr="009F06AF">
        <w:rPr>
          <w:rFonts w:cstheme="minorHAnsi"/>
          <w:color w:val="231F20"/>
          <w:w w:val="105"/>
        </w:rPr>
        <w:t>serve</w:t>
      </w:r>
      <w:r w:rsidRPr="009F06AF">
        <w:rPr>
          <w:rFonts w:cstheme="minorHAnsi"/>
          <w:color w:val="231F20"/>
          <w:spacing w:val="13"/>
          <w:w w:val="105"/>
        </w:rPr>
        <w:t xml:space="preserve"> </w:t>
      </w:r>
      <w:r w:rsidRPr="009F06AF">
        <w:rPr>
          <w:rFonts w:cstheme="minorHAnsi"/>
          <w:color w:val="231F20"/>
          <w:w w:val="105"/>
        </w:rPr>
        <w:t>as</w:t>
      </w:r>
      <w:r w:rsidRPr="009F06AF">
        <w:rPr>
          <w:rFonts w:cstheme="minorHAnsi"/>
          <w:color w:val="231F20"/>
          <w:spacing w:val="13"/>
          <w:w w:val="105"/>
        </w:rPr>
        <w:t xml:space="preserve"> </w:t>
      </w:r>
      <w:r w:rsidRPr="009F06AF">
        <w:rPr>
          <w:rFonts w:cstheme="minorHAnsi"/>
          <w:color w:val="231F20"/>
          <w:w w:val="105"/>
        </w:rPr>
        <w:t>branch</w:t>
      </w:r>
      <w:r w:rsidRPr="009F06AF">
        <w:rPr>
          <w:rFonts w:cstheme="minorHAnsi"/>
          <w:color w:val="231F20"/>
          <w:spacing w:val="13"/>
          <w:w w:val="105"/>
        </w:rPr>
        <w:t xml:space="preserve"> </w:t>
      </w:r>
      <w:r w:rsidRPr="009F06AF">
        <w:rPr>
          <w:rFonts w:cstheme="minorHAnsi"/>
          <w:color w:val="231F20"/>
          <w:w w:val="105"/>
        </w:rPr>
        <w:t>offices</w:t>
      </w:r>
      <w:r w:rsidRPr="009F06AF">
        <w:rPr>
          <w:rFonts w:cstheme="minorHAnsi"/>
          <w:color w:val="231F20"/>
          <w:spacing w:val="13"/>
          <w:w w:val="105"/>
        </w:rPr>
        <w:t xml:space="preserve"> </w:t>
      </w:r>
      <w:r w:rsidR="00AA0A5F">
        <w:rPr>
          <w:rFonts w:cstheme="minorHAnsi"/>
          <w:color w:val="231F20"/>
          <w:w w:val="105"/>
        </w:rPr>
        <w:t>if</w:t>
      </w:r>
      <w:r>
        <w:rPr>
          <w:rFonts w:cstheme="minorHAnsi"/>
          <w:color w:val="231F20"/>
          <w:w w:val="105"/>
        </w:rPr>
        <w:t xml:space="preserve"> </w:t>
      </w:r>
      <w:r w:rsidR="00E35B0B">
        <w:rPr>
          <w:rFonts w:cstheme="minorHAnsi"/>
          <w:color w:val="231F20"/>
          <w:w w:val="105"/>
        </w:rPr>
        <w:t>local services are disrupted</w:t>
      </w:r>
      <w:r>
        <w:rPr>
          <w:rFonts w:cstheme="minorHAnsi"/>
          <w:color w:val="231F20"/>
          <w:w w:val="105"/>
        </w:rPr>
        <w:t xml:space="preserve"> </w:t>
      </w:r>
      <w:r w:rsidR="0093489A">
        <w:rPr>
          <w:rFonts w:cstheme="minorHAnsi"/>
          <w:color w:val="231F20"/>
          <w:w w:val="105"/>
        </w:rPr>
        <w:t>by natural disasters</w:t>
      </w:r>
      <w:r w:rsidRPr="009F06AF">
        <w:rPr>
          <w:rFonts w:cstheme="minorHAnsi"/>
          <w:color w:val="231F20"/>
          <w:w w:val="105"/>
        </w:rPr>
        <w:t>.</w:t>
      </w:r>
    </w:p>
    <w:p w14:paraId="1AF50AB8" w14:textId="6A70DA1D" w:rsidR="00DC425F" w:rsidRDefault="00DC425F" w:rsidP="00D63204">
      <w:pPr>
        <w:widowControl w:val="0"/>
        <w:spacing w:before="193" w:after="0" w:line="264" w:lineRule="exact"/>
        <w:ind w:left="107"/>
        <w:rPr>
          <w:rFonts w:cstheme="minorHAnsi"/>
          <w:color w:val="231F20"/>
          <w:w w:val="105"/>
        </w:rPr>
      </w:pPr>
      <w:r w:rsidRPr="00DC425F">
        <w:rPr>
          <w:rFonts w:cstheme="minorHAnsi"/>
          <w:color w:val="231F20"/>
          <w:w w:val="105"/>
        </w:rPr>
        <w:t>DEO has a memorandum of understanding with the Mississippi Department of Employment Security (MDES) allowing DEO to use mobile units owned by MDES if needed.</w:t>
      </w:r>
    </w:p>
    <w:p w14:paraId="5EBDCCBA" w14:textId="77777777" w:rsidR="00EA7458" w:rsidRPr="009F06AF" w:rsidRDefault="00EA7458" w:rsidP="00D63204">
      <w:pPr>
        <w:widowControl w:val="0"/>
        <w:spacing w:before="5" w:after="0" w:line="240" w:lineRule="auto"/>
        <w:ind w:left="107"/>
        <w:rPr>
          <w:rFonts w:cstheme="minorHAnsi"/>
          <w:sz w:val="16"/>
          <w:szCs w:val="16"/>
        </w:rPr>
      </w:pPr>
      <w:bookmarkStart w:id="103" w:name="(b)_Adult_and_Dislocated_Worker_Program_"/>
      <w:bookmarkStart w:id="104" w:name="_bookmark58"/>
      <w:bookmarkEnd w:id="103"/>
      <w:bookmarkEnd w:id="104"/>
    </w:p>
    <w:p w14:paraId="3263EA04" w14:textId="77777777" w:rsidR="00EA7458" w:rsidRPr="009F06AF" w:rsidRDefault="00EA7458" w:rsidP="00D63204">
      <w:pPr>
        <w:widowControl w:val="0"/>
        <w:numPr>
          <w:ilvl w:val="2"/>
          <w:numId w:val="4"/>
        </w:numPr>
        <w:tabs>
          <w:tab w:val="left" w:pos="2268"/>
        </w:tabs>
        <w:spacing w:after="0" w:line="264" w:lineRule="exact"/>
        <w:rPr>
          <w:rFonts w:cstheme="minorHAnsi"/>
        </w:rPr>
      </w:pPr>
      <w:r w:rsidRPr="009F06AF">
        <w:rPr>
          <w:rFonts w:cstheme="minorHAnsi"/>
          <w:color w:val="295CA3"/>
          <w:w w:val="105"/>
        </w:rPr>
        <w:t xml:space="preserve">Early Intervention to Worker Groups on Whose Behalf a </w:t>
      </w:r>
      <w:r w:rsidRPr="009F06AF">
        <w:rPr>
          <w:rFonts w:cstheme="minorHAnsi"/>
          <w:color w:val="295CA3"/>
          <w:spacing w:val="-4"/>
          <w:w w:val="105"/>
        </w:rPr>
        <w:t>Trade</w:t>
      </w:r>
      <w:r w:rsidRPr="009F06AF">
        <w:rPr>
          <w:rFonts w:cstheme="minorHAnsi"/>
          <w:color w:val="295CA3"/>
          <w:spacing w:val="1"/>
          <w:w w:val="105"/>
        </w:rPr>
        <w:t xml:space="preserve"> </w:t>
      </w:r>
      <w:r w:rsidRPr="009F06AF">
        <w:rPr>
          <w:rFonts w:cstheme="minorHAnsi"/>
          <w:color w:val="295CA3"/>
          <w:w w:val="105"/>
        </w:rPr>
        <w:t>Adjustment</w:t>
      </w:r>
      <w:r w:rsidRPr="009F06AF">
        <w:rPr>
          <w:rFonts w:cstheme="minorHAnsi"/>
          <w:color w:val="295CA3"/>
          <w:w w:val="104"/>
        </w:rPr>
        <w:t xml:space="preserve"> </w:t>
      </w:r>
      <w:r w:rsidRPr="009F06AF">
        <w:rPr>
          <w:rFonts w:cstheme="minorHAnsi"/>
          <w:color w:val="295CA3"/>
          <w:w w:val="105"/>
        </w:rPr>
        <w:t xml:space="preserve">Assistance </w:t>
      </w:r>
      <w:r w:rsidRPr="009F06AF">
        <w:rPr>
          <w:rFonts w:cstheme="minorHAnsi"/>
          <w:color w:val="295CA3"/>
          <w:spacing w:val="-3"/>
          <w:w w:val="105"/>
        </w:rPr>
        <w:t xml:space="preserve">(TAA) </w:t>
      </w:r>
      <w:r w:rsidRPr="009F06AF">
        <w:rPr>
          <w:rFonts w:cstheme="minorHAnsi"/>
          <w:color w:val="295CA3"/>
          <w:w w:val="105"/>
        </w:rPr>
        <w:t>Petition Has Been</w:t>
      </w:r>
      <w:r w:rsidRPr="009F06AF">
        <w:rPr>
          <w:rFonts w:cstheme="minorHAnsi"/>
          <w:color w:val="295CA3"/>
          <w:spacing w:val="36"/>
          <w:w w:val="105"/>
        </w:rPr>
        <w:t xml:space="preserve"> </w:t>
      </w:r>
      <w:r w:rsidRPr="009F06AF">
        <w:rPr>
          <w:rFonts w:cstheme="minorHAnsi"/>
          <w:color w:val="295CA3"/>
          <w:w w:val="105"/>
        </w:rPr>
        <w:t>Filed</w:t>
      </w:r>
    </w:p>
    <w:p w14:paraId="3E156B41" w14:textId="77777777" w:rsidR="00EA7458" w:rsidRPr="009F06AF" w:rsidRDefault="00EA7458" w:rsidP="00D63204">
      <w:pPr>
        <w:widowControl w:val="0"/>
        <w:spacing w:before="5" w:after="0" w:line="240" w:lineRule="auto"/>
        <w:ind w:left="107"/>
        <w:rPr>
          <w:rFonts w:cstheme="minorHAnsi"/>
          <w:sz w:val="16"/>
          <w:szCs w:val="16"/>
        </w:rPr>
      </w:pPr>
    </w:p>
    <w:p w14:paraId="56C0613F" w14:textId="44622CA2" w:rsidR="00EA7458" w:rsidRPr="008601E5" w:rsidRDefault="00EA7458" w:rsidP="00D63204">
      <w:pPr>
        <w:widowControl w:val="0"/>
        <w:spacing w:after="0" w:line="264" w:lineRule="exact"/>
        <w:ind w:left="107"/>
        <w:rPr>
          <w:rFonts w:cstheme="minorHAnsi"/>
          <w:color w:val="231F20"/>
          <w:w w:val="105"/>
        </w:rPr>
      </w:pPr>
      <w:r w:rsidRPr="009F06AF">
        <w:rPr>
          <w:rFonts w:cstheme="minorHAnsi"/>
          <w:color w:val="231F20"/>
          <w:w w:val="105"/>
        </w:rPr>
        <w:t>DEO</w:t>
      </w:r>
      <w:r w:rsidRPr="008601E5">
        <w:rPr>
          <w:rFonts w:cstheme="minorHAnsi"/>
          <w:color w:val="231F20"/>
          <w:w w:val="105"/>
        </w:rPr>
        <w:t xml:space="preserve"> </w:t>
      </w:r>
      <w:r w:rsidRPr="009F06AF">
        <w:rPr>
          <w:rFonts w:cstheme="minorHAnsi"/>
          <w:color w:val="231F20"/>
          <w:w w:val="105"/>
        </w:rPr>
        <w:t>uses</w:t>
      </w:r>
      <w:r w:rsidRPr="008601E5">
        <w:rPr>
          <w:rFonts w:cstheme="minorHAnsi"/>
          <w:color w:val="231F20"/>
          <w:w w:val="105"/>
        </w:rPr>
        <w:t xml:space="preserve"> </w:t>
      </w:r>
      <w:r w:rsidRPr="009F06AF">
        <w:rPr>
          <w:rFonts w:cstheme="minorHAnsi"/>
          <w:color w:val="231F20"/>
          <w:w w:val="105"/>
        </w:rPr>
        <w:t>either</w:t>
      </w:r>
      <w:r w:rsidRPr="008601E5">
        <w:rPr>
          <w:rFonts w:cstheme="minorHAnsi"/>
          <w:color w:val="231F20"/>
          <w:w w:val="105"/>
        </w:rPr>
        <w:t xml:space="preserve"> </w:t>
      </w:r>
      <w:r w:rsidRPr="009F06AF">
        <w:rPr>
          <w:rFonts w:cstheme="minorHAnsi"/>
          <w:color w:val="231F20"/>
          <w:w w:val="105"/>
        </w:rPr>
        <w:t>a</w:t>
      </w:r>
      <w:r w:rsidRPr="008601E5">
        <w:rPr>
          <w:rFonts w:cstheme="minorHAnsi"/>
          <w:color w:val="231F20"/>
          <w:w w:val="105"/>
        </w:rPr>
        <w:t xml:space="preserve"> WARN, Trade </w:t>
      </w:r>
      <w:r w:rsidRPr="009F06AF">
        <w:rPr>
          <w:rFonts w:cstheme="minorHAnsi"/>
          <w:color w:val="231F20"/>
          <w:w w:val="105"/>
        </w:rPr>
        <w:t>Petition</w:t>
      </w:r>
      <w:r w:rsidRPr="008601E5">
        <w:rPr>
          <w:rFonts w:cstheme="minorHAnsi"/>
          <w:color w:val="231F20"/>
          <w:w w:val="105"/>
        </w:rPr>
        <w:t xml:space="preserve"> </w:t>
      </w:r>
      <w:r w:rsidRPr="009F06AF">
        <w:rPr>
          <w:rFonts w:cstheme="minorHAnsi"/>
          <w:color w:val="231F20"/>
          <w:w w:val="105"/>
        </w:rPr>
        <w:t>Filing,</w:t>
      </w:r>
      <w:r w:rsidRPr="008601E5">
        <w:rPr>
          <w:rFonts w:cstheme="minorHAnsi"/>
          <w:color w:val="231F20"/>
          <w:w w:val="105"/>
        </w:rPr>
        <w:t xml:space="preserve"> </w:t>
      </w:r>
      <w:r w:rsidRPr="009F06AF">
        <w:rPr>
          <w:rFonts w:cstheme="minorHAnsi"/>
          <w:color w:val="231F20"/>
          <w:w w:val="105"/>
        </w:rPr>
        <w:t>newspaper</w:t>
      </w:r>
      <w:r w:rsidRPr="008601E5">
        <w:rPr>
          <w:rFonts w:cstheme="minorHAnsi"/>
          <w:color w:val="231F20"/>
          <w:w w:val="105"/>
        </w:rPr>
        <w:t xml:space="preserve"> </w:t>
      </w:r>
      <w:r w:rsidRPr="009F06AF">
        <w:rPr>
          <w:rFonts w:cstheme="minorHAnsi"/>
          <w:color w:val="231F20"/>
          <w:w w:val="105"/>
        </w:rPr>
        <w:t>article</w:t>
      </w:r>
      <w:r w:rsidRPr="008601E5">
        <w:rPr>
          <w:rFonts w:cstheme="minorHAnsi"/>
          <w:color w:val="231F20"/>
          <w:w w:val="105"/>
        </w:rPr>
        <w:t xml:space="preserve"> </w:t>
      </w:r>
      <w:r w:rsidRPr="009F06AF">
        <w:rPr>
          <w:rFonts w:cstheme="minorHAnsi"/>
          <w:color w:val="231F20"/>
          <w:w w:val="105"/>
        </w:rPr>
        <w:t>or</w:t>
      </w:r>
      <w:r w:rsidRPr="008601E5">
        <w:rPr>
          <w:rFonts w:cstheme="minorHAnsi"/>
          <w:color w:val="231F20"/>
          <w:w w:val="105"/>
        </w:rPr>
        <w:t xml:space="preserve"> </w:t>
      </w:r>
      <w:r w:rsidRPr="009F06AF">
        <w:rPr>
          <w:rFonts w:cstheme="minorHAnsi"/>
          <w:color w:val="231F20"/>
          <w:w w:val="105"/>
        </w:rPr>
        <w:t>other</w:t>
      </w:r>
      <w:r w:rsidRPr="008601E5">
        <w:rPr>
          <w:rFonts w:cstheme="minorHAnsi"/>
          <w:color w:val="231F20"/>
          <w:w w:val="105"/>
        </w:rPr>
        <w:t xml:space="preserve"> </w:t>
      </w:r>
      <w:r w:rsidRPr="009F06AF">
        <w:rPr>
          <w:rFonts w:cstheme="minorHAnsi"/>
          <w:color w:val="231F20"/>
          <w:w w:val="105"/>
        </w:rPr>
        <w:t>reliable</w:t>
      </w:r>
      <w:r w:rsidRPr="008601E5">
        <w:rPr>
          <w:rFonts w:cstheme="minorHAnsi"/>
          <w:color w:val="231F20"/>
          <w:w w:val="105"/>
        </w:rPr>
        <w:t xml:space="preserve"> </w:t>
      </w:r>
      <w:r w:rsidRPr="009F06AF">
        <w:rPr>
          <w:rFonts w:cstheme="minorHAnsi"/>
          <w:color w:val="231F20"/>
          <w:w w:val="105"/>
        </w:rPr>
        <w:t>means</w:t>
      </w:r>
      <w:r w:rsidRPr="008601E5">
        <w:rPr>
          <w:rFonts w:cstheme="minorHAnsi"/>
          <w:color w:val="231F20"/>
          <w:w w:val="105"/>
        </w:rPr>
        <w:t xml:space="preserve"> </w:t>
      </w:r>
      <w:r w:rsidRPr="009F06AF">
        <w:rPr>
          <w:rFonts w:cstheme="minorHAnsi"/>
          <w:color w:val="231F20"/>
          <w:w w:val="105"/>
        </w:rPr>
        <w:t>of</w:t>
      </w:r>
      <w:r w:rsidRPr="008601E5">
        <w:rPr>
          <w:rFonts w:cstheme="minorHAnsi"/>
          <w:color w:val="231F20"/>
          <w:w w:val="105"/>
        </w:rPr>
        <w:t xml:space="preserve"> </w:t>
      </w:r>
      <w:r w:rsidRPr="009F06AF">
        <w:rPr>
          <w:rFonts w:cstheme="minorHAnsi"/>
          <w:color w:val="231F20"/>
          <w:w w:val="105"/>
        </w:rPr>
        <w:t>notification</w:t>
      </w:r>
      <w:r w:rsidRPr="008601E5">
        <w:rPr>
          <w:rFonts w:cstheme="minorHAnsi"/>
          <w:color w:val="231F20"/>
          <w:w w:val="105"/>
        </w:rPr>
        <w:t xml:space="preserve"> </w:t>
      </w:r>
      <w:r w:rsidRPr="009F06AF">
        <w:rPr>
          <w:rFonts w:cstheme="minorHAnsi"/>
          <w:color w:val="231F20"/>
          <w:w w:val="105"/>
        </w:rPr>
        <w:t>to</w:t>
      </w:r>
      <w:r w:rsidRPr="008601E5">
        <w:rPr>
          <w:rFonts w:cstheme="minorHAnsi"/>
          <w:color w:val="231F20"/>
          <w:w w:val="105"/>
        </w:rPr>
        <w:t xml:space="preserve"> </w:t>
      </w:r>
      <w:r w:rsidRPr="009F06AF">
        <w:rPr>
          <w:rFonts w:cstheme="minorHAnsi"/>
          <w:color w:val="231F20"/>
          <w:w w:val="105"/>
        </w:rPr>
        <w:t>initiate</w:t>
      </w:r>
      <w:r w:rsidRPr="008601E5">
        <w:rPr>
          <w:rFonts w:cstheme="minorHAnsi"/>
          <w:color w:val="231F20"/>
          <w:w w:val="105"/>
        </w:rPr>
        <w:t xml:space="preserve"> </w:t>
      </w:r>
      <w:r w:rsidRPr="009F06AF">
        <w:rPr>
          <w:rFonts w:cstheme="minorHAnsi"/>
          <w:color w:val="231F20"/>
          <w:w w:val="105"/>
        </w:rPr>
        <w:t>rapid</w:t>
      </w:r>
      <w:r w:rsidRPr="008601E5">
        <w:rPr>
          <w:rFonts w:cstheme="minorHAnsi"/>
          <w:color w:val="231F20"/>
          <w:w w:val="105"/>
        </w:rPr>
        <w:t xml:space="preserve"> </w:t>
      </w:r>
      <w:r w:rsidRPr="009F06AF">
        <w:rPr>
          <w:rFonts w:cstheme="minorHAnsi"/>
          <w:color w:val="231F20"/>
          <w:w w:val="105"/>
        </w:rPr>
        <w:t>response</w:t>
      </w:r>
      <w:r w:rsidRPr="008601E5">
        <w:rPr>
          <w:rFonts w:cstheme="minorHAnsi"/>
          <w:color w:val="231F20"/>
          <w:w w:val="105"/>
        </w:rPr>
        <w:t xml:space="preserve"> </w:t>
      </w:r>
      <w:r w:rsidRPr="009F06AF">
        <w:rPr>
          <w:rFonts w:cstheme="minorHAnsi"/>
          <w:color w:val="231F20"/>
          <w:w w:val="105"/>
        </w:rPr>
        <w:t>assistance</w:t>
      </w:r>
      <w:r w:rsidRPr="008601E5">
        <w:rPr>
          <w:rFonts w:cstheme="minorHAnsi"/>
          <w:color w:val="231F20"/>
          <w:w w:val="105"/>
        </w:rPr>
        <w:t xml:space="preserve"> </w:t>
      </w:r>
      <w:r w:rsidRPr="009F06AF">
        <w:rPr>
          <w:rFonts w:cstheme="minorHAnsi"/>
          <w:color w:val="231F20"/>
          <w:w w:val="105"/>
        </w:rPr>
        <w:t>to</w:t>
      </w:r>
      <w:r w:rsidRPr="008601E5">
        <w:rPr>
          <w:rFonts w:cstheme="minorHAnsi"/>
          <w:color w:val="231F20"/>
          <w:w w:val="105"/>
        </w:rPr>
        <w:t xml:space="preserve"> </w:t>
      </w:r>
      <w:r w:rsidRPr="009F06AF">
        <w:rPr>
          <w:rFonts w:cstheme="minorHAnsi"/>
          <w:color w:val="231F20"/>
          <w:w w:val="105"/>
        </w:rPr>
        <w:t>workers</w:t>
      </w:r>
      <w:r w:rsidRPr="008601E5">
        <w:rPr>
          <w:rFonts w:cstheme="minorHAnsi"/>
          <w:color w:val="231F20"/>
          <w:w w:val="105"/>
        </w:rPr>
        <w:t xml:space="preserve"> </w:t>
      </w:r>
      <w:r w:rsidRPr="009F06AF">
        <w:rPr>
          <w:rFonts w:cstheme="minorHAnsi"/>
          <w:color w:val="231F20"/>
          <w:w w:val="105"/>
        </w:rPr>
        <w:t>who</w:t>
      </w:r>
      <w:r w:rsidRPr="008601E5">
        <w:rPr>
          <w:rFonts w:cstheme="minorHAnsi"/>
          <w:color w:val="231F20"/>
          <w:w w:val="105"/>
        </w:rPr>
        <w:t xml:space="preserve"> </w:t>
      </w:r>
      <w:r w:rsidRPr="009F06AF">
        <w:rPr>
          <w:rFonts w:cstheme="minorHAnsi"/>
          <w:color w:val="231F20"/>
          <w:w w:val="105"/>
        </w:rPr>
        <w:t>have</w:t>
      </w:r>
      <w:r w:rsidRPr="008601E5">
        <w:rPr>
          <w:rFonts w:cstheme="minorHAnsi"/>
          <w:color w:val="231F20"/>
          <w:w w:val="105"/>
        </w:rPr>
        <w:t xml:space="preserve"> </w:t>
      </w:r>
      <w:r w:rsidRPr="009F06AF">
        <w:rPr>
          <w:rFonts w:cstheme="minorHAnsi"/>
          <w:color w:val="231F20"/>
          <w:w w:val="105"/>
        </w:rPr>
        <w:t>been</w:t>
      </w:r>
      <w:r w:rsidRPr="008601E5">
        <w:rPr>
          <w:rFonts w:cstheme="minorHAnsi"/>
          <w:color w:val="231F20"/>
          <w:w w:val="105"/>
        </w:rPr>
        <w:t xml:space="preserve"> </w:t>
      </w:r>
      <w:r w:rsidRPr="009F06AF">
        <w:rPr>
          <w:rFonts w:cstheme="minorHAnsi"/>
          <w:color w:val="231F20"/>
          <w:w w:val="105"/>
        </w:rPr>
        <w:t>notified</w:t>
      </w:r>
      <w:r w:rsidRPr="008601E5">
        <w:rPr>
          <w:rFonts w:cstheme="minorHAnsi"/>
          <w:color w:val="231F20"/>
          <w:w w:val="105"/>
        </w:rPr>
        <w:t xml:space="preserve"> </w:t>
      </w:r>
      <w:r w:rsidRPr="009F06AF">
        <w:rPr>
          <w:rFonts w:cstheme="minorHAnsi"/>
          <w:color w:val="231F20"/>
          <w:w w:val="105"/>
        </w:rPr>
        <w:t>of</w:t>
      </w:r>
      <w:r w:rsidRPr="008601E5">
        <w:rPr>
          <w:rFonts w:cstheme="minorHAnsi"/>
          <w:color w:val="231F20"/>
          <w:w w:val="105"/>
        </w:rPr>
        <w:t xml:space="preserve"> </w:t>
      </w:r>
      <w:r w:rsidRPr="009F06AF">
        <w:rPr>
          <w:rFonts w:cstheme="minorHAnsi"/>
          <w:color w:val="231F20"/>
          <w:w w:val="105"/>
        </w:rPr>
        <w:t>potential</w:t>
      </w:r>
      <w:r w:rsidRPr="008601E5">
        <w:rPr>
          <w:rFonts w:cstheme="minorHAnsi"/>
          <w:color w:val="231F20"/>
          <w:w w:val="105"/>
        </w:rPr>
        <w:t xml:space="preserve"> </w:t>
      </w:r>
      <w:r w:rsidRPr="009F06AF">
        <w:rPr>
          <w:rFonts w:cstheme="minorHAnsi"/>
          <w:color w:val="231F20"/>
          <w:w w:val="105"/>
        </w:rPr>
        <w:t>layoff</w:t>
      </w:r>
      <w:r w:rsidRPr="008601E5">
        <w:rPr>
          <w:rFonts w:cstheme="minorHAnsi"/>
          <w:color w:val="231F20"/>
          <w:w w:val="105"/>
        </w:rPr>
        <w:t xml:space="preserve"> </w:t>
      </w:r>
      <w:r w:rsidRPr="009F06AF">
        <w:rPr>
          <w:rFonts w:cstheme="minorHAnsi"/>
          <w:color w:val="231F20"/>
          <w:w w:val="105"/>
        </w:rPr>
        <w:t>or</w:t>
      </w:r>
      <w:r w:rsidRPr="008601E5">
        <w:rPr>
          <w:rFonts w:cstheme="minorHAnsi"/>
          <w:color w:val="231F20"/>
          <w:w w:val="105"/>
        </w:rPr>
        <w:t xml:space="preserve"> </w:t>
      </w:r>
      <w:r w:rsidRPr="009F06AF">
        <w:rPr>
          <w:rFonts w:cstheme="minorHAnsi"/>
          <w:color w:val="231F20"/>
          <w:w w:val="105"/>
        </w:rPr>
        <w:t>have</w:t>
      </w:r>
      <w:r w:rsidRPr="008601E5">
        <w:rPr>
          <w:rFonts w:cstheme="minorHAnsi"/>
          <w:color w:val="231F20"/>
          <w:w w:val="105"/>
        </w:rPr>
        <w:t xml:space="preserve"> </w:t>
      </w:r>
      <w:r w:rsidRPr="009F06AF">
        <w:rPr>
          <w:rFonts w:cstheme="minorHAnsi"/>
          <w:color w:val="231F20"/>
          <w:w w:val="105"/>
        </w:rPr>
        <w:t>been</w:t>
      </w:r>
      <w:r w:rsidRPr="008601E5">
        <w:rPr>
          <w:rFonts w:cstheme="minorHAnsi"/>
          <w:color w:val="231F20"/>
          <w:w w:val="105"/>
        </w:rPr>
        <w:t xml:space="preserve"> </w:t>
      </w:r>
      <w:r w:rsidRPr="009F06AF">
        <w:rPr>
          <w:rFonts w:cstheme="minorHAnsi"/>
          <w:color w:val="231F20"/>
          <w:w w:val="105"/>
        </w:rPr>
        <w:t>laid</w:t>
      </w:r>
      <w:r w:rsidRPr="008601E5">
        <w:rPr>
          <w:rFonts w:cstheme="minorHAnsi"/>
          <w:color w:val="231F20"/>
          <w:w w:val="105"/>
        </w:rPr>
        <w:t xml:space="preserve"> </w:t>
      </w:r>
      <w:r w:rsidRPr="009F06AF">
        <w:rPr>
          <w:rFonts w:cstheme="minorHAnsi"/>
          <w:color w:val="231F20"/>
          <w:w w:val="105"/>
        </w:rPr>
        <w:t>off</w:t>
      </w:r>
      <w:r w:rsidRPr="008601E5">
        <w:rPr>
          <w:rFonts w:cstheme="minorHAnsi"/>
          <w:color w:val="231F20"/>
          <w:w w:val="105"/>
        </w:rPr>
        <w:t xml:space="preserve"> </w:t>
      </w:r>
      <w:r w:rsidR="00CD35F6" w:rsidRPr="009F06AF">
        <w:rPr>
          <w:rFonts w:cstheme="minorHAnsi"/>
          <w:color w:val="231F20"/>
          <w:w w:val="105"/>
        </w:rPr>
        <w:t>because of</w:t>
      </w:r>
      <w:r w:rsidRPr="008601E5">
        <w:rPr>
          <w:rFonts w:cstheme="minorHAnsi"/>
          <w:color w:val="231F20"/>
          <w:w w:val="105"/>
        </w:rPr>
        <w:t xml:space="preserve"> </w:t>
      </w:r>
      <w:r w:rsidRPr="009F06AF">
        <w:rPr>
          <w:rFonts w:cstheme="minorHAnsi"/>
          <w:color w:val="231F20"/>
          <w:w w:val="105"/>
        </w:rPr>
        <w:t>trade.</w:t>
      </w:r>
      <w:r w:rsidRPr="008601E5">
        <w:rPr>
          <w:rFonts w:cstheme="minorHAnsi"/>
          <w:color w:val="231F20"/>
          <w:w w:val="105"/>
        </w:rPr>
        <w:t xml:space="preserve"> </w:t>
      </w:r>
      <w:r w:rsidRPr="009F06AF">
        <w:rPr>
          <w:rFonts w:cstheme="minorHAnsi"/>
          <w:color w:val="231F20"/>
          <w:w w:val="105"/>
        </w:rPr>
        <w:t>Each</w:t>
      </w:r>
      <w:r w:rsidRPr="008601E5">
        <w:rPr>
          <w:rFonts w:cstheme="minorHAnsi"/>
          <w:color w:val="231F20"/>
          <w:w w:val="105"/>
        </w:rPr>
        <w:t xml:space="preserve"> LWDB </w:t>
      </w:r>
      <w:r w:rsidRPr="009F06AF">
        <w:rPr>
          <w:rFonts w:cstheme="minorHAnsi"/>
          <w:color w:val="231F20"/>
          <w:w w:val="105"/>
        </w:rPr>
        <w:t>has</w:t>
      </w:r>
      <w:r w:rsidRPr="008601E5">
        <w:rPr>
          <w:rFonts w:cstheme="minorHAnsi"/>
          <w:color w:val="231F20"/>
          <w:w w:val="105"/>
        </w:rPr>
        <w:t xml:space="preserve"> </w:t>
      </w:r>
      <w:r w:rsidRPr="009F06AF">
        <w:rPr>
          <w:rFonts w:cstheme="minorHAnsi"/>
          <w:color w:val="231F20"/>
          <w:w w:val="105"/>
        </w:rPr>
        <w:t>a</w:t>
      </w:r>
      <w:r w:rsidRPr="008601E5">
        <w:rPr>
          <w:rFonts w:cstheme="minorHAnsi"/>
          <w:color w:val="231F20"/>
          <w:w w:val="105"/>
        </w:rPr>
        <w:t xml:space="preserve"> </w:t>
      </w:r>
      <w:r w:rsidRPr="009F06AF">
        <w:rPr>
          <w:rFonts w:cstheme="minorHAnsi"/>
          <w:color w:val="231F20"/>
          <w:w w:val="105"/>
        </w:rPr>
        <w:t>Business</w:t>
      </w:r>
      <w:r w:rsidRPr="008601E5">
        <w:rPr>
          <w:rFonts w:cstheme="minorHAnsi"/>
          <w:color w:val="231F20"/>
          <w:w w:val="105"/>
        </w:rPr>
        <w:t xml:space="preserve"> </w:t>
      </w:r>
      <w:r w:rsidRPr="009F06AF">
        <w:rPr>
          <w:rFonts w:cstheme="minorHAnsi"/>
          <w:color w:val="231F20"/>
          <w:w w:val="105"/>
        </w:rPr>
        <w:t>Service</w:t>
      </w:r>
      <w:r w:rsidR="00D868A6">
        <w:rPr>
          <w:rFonts w:cstheme="minorHAnsi"/>
          <w:color w:val="231F20"/>
          <w:w w:val="105"/>
        </w:rPr>
        <w:t>s</w:t>
      </w:r>
      <w:r w:rsidRPr="008601E5">
        <w:rPr>
          <w:rFonts w:cstheme="minorHAnsi"/>
          <w:color w:val="231F20"/>
          <w:w w:val="105"/>
        </w:rPr>
        <w:t xml:space="preserve"> </w:t>
      </w:r>
      <w:r w:rsidRPr="009F06AF">
        <w:rPr>
          <w:rFonts w:cstheme="minorHAnsi"/>
          <w:color w:val="231F20"/>
          <w:w w:val="105"/>
        </w:rPr>
        <w:t>Unit</w:t>
      </w:r>
      <w:r w:rsidRPr="008601E5">
        <w:rPr>
          <w:rFonts w:cstheme="minorHAnsi"/>
          <w:color w:val="231F20"/>
          <w:w w:val="105"/>
        </w:rPr>
        <w:t xml:space="preserve"> </w:t>
      </w:r>
      <w:r w:rsidR="00A37D91">
        <w:rPr>
          <w:rFonts w:cstheme="minorHAnsi"/>
          <w:color w:val="231F20"/>
          <w:w w:val="105"/>
        </w:rPr>
        <w:t>that includes</w:t>
      </w:r>
      <w:r w:rsidR="00EF4E96">
        <w:rPr>
          <w:rFonts w:cstheme="minorHAnsi"/>
          <w:color w:val="231F20"/>
          <w:w w:val="105"/>
        </w:rPr>
        <w:t xml:space="preserve"> a</w:t>
      </w:r>
      <w:r w:rsidRPr="008601E5">
        <w:rPr>
          <w:rFonts w:cstheme="minorHAnsi"/>
          <w:color w:val="231F20"/>
          <w:w w:val="105"/>
        </w:rPr>
        <w:t xml:space="preserve"> </w:t>
      </w:r>
      <w:r w:rsidRPr="009F06AF">
        <w:rPr>
          <w:rFonts w:cstheme="minorHAnsi"/>
          <w:color w:val="231F20"/>
          <w:w w:val="105"/>
        </w:rPr>
        <w:t>Rapid</w:t>
      </w:r>
      <w:r w:rsidRPr="008601E5">
        <w:rPr>
          <w:rFonts w:cstheme="minorHAnsi"/>
          <w:color w:val="231F20"/>
          <w:w w:val="105"/>
        </w:rPr>
        <w:t xml:space="preserve"> </w:t>
      </w:r>
      <w:r w:rsidRPr="009F06AF">
        <w:rPr>
          <w:rFonts w:cstheme="minorHAnsi"/>
          <w:color w:val="231F20"/>
          <w:w w:val="105"/>
        </w:rPr>
        <w:t>Response</w:t>
      </w:r>
      <w:r w:rsidRPr="008601E5">
        <w:rPr>
          <w:rFonts w:cstheme="minorHAnsi"/>
          <w:color w:val="231F20"/>
          <w:w w:val="105"/>
        </w:rPr>
        <w:t xml:space="preserve"> </w:t>
      </w:r>
      <w:r w:rsidRPr="009F06AF">
        <w:rPr>
          <w:rFonts w:cstheme="minorHAnsi"/>
          <w:color w:val="231F20"/>
          <w:w w:val="105"/>
        </w:rPr>
        <w:t>Coordinator</w:t>
      </w:r>
      <w:r w:rsidRPr="008601E5">
        <w:rPr>
          <w:rFonts w:cstheme="minorHAnsi"/>
          <w:color w:val="231F20"/>
          <w:w w:val="105"/>
        </w:rPr>
        <w:t xml:space="preserve"> </w:t>
      </w:r>
      <w:r w:rsidRPr="009F06AF">
        <w:rPr>
          <w:rFonts w:cstheme="minorHAnsi"/>
          <w:color w:val="231F20"/>
          <w:w w:val="105"/>
        </w:rPr>
        <w:t>responsible</w:t>
      </w:r>
      <w:r w:rsidRPr="008601E5">
        <w:rPr>
          <w:rFonts w:cstheme="minorHAnsi"/>
          <w:color w:val="231F20"/>
          <w:w w:val="105"/>
        </w:rPr>
        <w:t xml:space="preserve"> </w:t>
      </w:r>
      <w:r w:rsidRPr="009F06AF">
        <w:rPr>
          <w:rFonts w:cstheme="minorHAnsi"/>
          <w:color w:val="231F20"/>
          <w:w w:val="105"/>
        </w:rPr>
        <w:t>for</w:t>
      </w:r>
      <w:r w:rsidRPr="008601E5">
        <w:rPr>
          <w:rFonts w:cstheme="minorHAnsi"/>
          <w:color w:val="231F20"/>
          <w:w w:val="105"/>
        </w:rPr>
        <w:t xml:space="preserve"> </w:t>
      </w:r>
      <w:r w:rsidRPr="009F06AF">
        <w:rPr>
          <w:rFonts w:cstheme="minorHAnsi"/>
          <w:color w:val="231F20"/>
          <w:w w:val="105"/>
        </w:rPr>
        <w:t>making</w:t>
      </w:r>
      <w:r w:rsidRPr="008601E5">
        <w:rPr>
          <w:rFonts w:cstheme="minorHAnsi"/>
          <w:color w:val="231F20"/>
          <w:w w:val="105"/>
        </w:rPr>
        <w:t xml:space="preserve"> </w:t>
      </w:r>
      <w:r w:rsidRPr="009F06AF">
        <w:rPr>
          <w:rFonts w:cstheme="minorHAnsi"/>
          <w:color w:val="231F20"/>
          <w:w w:val="105"/>
        </w:rPr>
        <w:t>initial</w:t>
      </w:r>
      <w:r w:rsidRPr="008601E5">
        <w:rPr>
          <w:rFonts w:cstheme="minorHAnsi"/>
          <w:color w:val="231F20"/>
          <w:w w:val="105"/>
        </w:rPr>
        <w:t xml:space="preserve"> </w:t>
      </w:r>
      <w:r w:rsidRPr="009F06AF">
        <w:rPr>
          <w:rFonts w:cstheme="minorHAnsi"/>
          <w:color w:val="231F20"/>
          <w:w w:val="105"/>
        </w:rPr>
        <w:t>contact</w:t>
      </w:r>
      <w:r w:rsidRPr="008601E5">
        <w:rPr>
          <w:rFonts w:cstheme="minorHAnsi"/>
          <w:color w:val="231F20"/>
          <w:w w:val="105"/>
        </w:rPr>
        <w:t xml:space="preserve"> </w:t>
      </w:r>
      <w:r w:rsidRPr="009F06AF">
        <w:rPr>
          <w:rFonts w:cstheme="minorHAnsi"/>
          <w:color w:val="231F20"/>
          <w:w w:val="105"/>
        </w:rPr>
        <w:t>with</w:t>
      </w:r>
      <w:r w:rsidRPr="008601E5">
        <w:rPr>
          <w:rFonts w:cstheme="minorHAnsi"/>
          <w:color w:val="231F20"/>
          <w:w w:val="105"/>
        </w:rPr>
        <w:t xml:space="preserve"> </w:t>
      </w:r>
      <w:r w:rsidRPr="009F06AF">
        <w:rPr>
          <w:rFonts w:cstheme="minorHAnsi"/>
          <w:color w:val="231F20"/>
          <w:w w:val="105"/>
        </w:rPr>
        <w:t>a</w:t>
      </w:r>
      <w:r w:rsidRPr="008601E5">
        <w:rPr>
          <w:rFonts w:cstheme="minorHAnsi"/>
          <w:color w:val="231F20"/>
          <w:w w:val="105"/>
        </w:rPr>
        <w:t xml:space="preserve"> </w:t>
      </w:r>
      <w:r w:rsidRPr="009F06AF">
        <w:rPr>
          <w:rFonts w:cstheme="minorHAnsi"/>
          <w:color w:val="231F20"/>
          <w:w w:val="105"/>
        </w:rPr>
        <w:t>company</w:t>
      </w:r>
      <w:r w:rsidRPr="008601E5">
        <w:rPr>
          <w:rFonts w:cstheme="minorHAnsi"/>
          <w:color w:val="231F20"/>
          <w:w w:val="105"/>
        </w:rPr>
        <w:t xml:space="preserve"> </w:t>
      </w:r>
      <w:r w:rsidRPr="009F06AF">
        <w:rPr>
          <w:rFonts w:cstheme="minorHAnsi"/>
          <w:color w:val="231F20"/>
          <w:w w:val="105"/>
        </w:rPr>
        <w:t>official</w:t>
      </w:r>
      <w:r w:rsidRPr="008601E5">
        <w:rPr>
          <w:rFonts w:cstheme="minorHAnsi"/>
          <w:color w:val="231F20"/>
          <w:w w:val="105"/>
        </w:rPr>
        <w:t xml:space="preserve"> </w:t>
      </w:r>
      <w:r w:rsidRPr="009F06AF">
        <w:rPr>
          <w:rFonts w:cstheme="minorHAnsi"/>
          <w:color w:val="231F20"/>
          <w:w w:val="105"/>
        </w:rPr>
        <w:t>to</w:t>
      </w:r>
      <w:r w:rsidRPr="008601E5">
        <w:rPr>
          <w:rFonts w:cstheme="minorHAnsi"/>
          <w:color w:val="231F20"/>
          <w:w w:val="105"/>
        </w:rPr>
        <w:t xml:space="preserve"> </w:t>
      </w:r>
      <w:r w:rsidRPr="009F06AF">
        <w:rPr>
          <w:rFonts w:cstheme="minorHAnsi"/>
          <w:color w:val="231F20"/>
          <w:w w:val="105"/>
        </w:rPr>
        <w:t>obtain</w:t>
      </w:r>
      <w:r w:rsidRPr="008601E5">
        <w:rPr>
          <w:rFonts w:cstheme="minorHAnsi"/>
          <w:color w:val="231F20"/>
          <w:w w:val="105"/>
        </w:rPr>
        <w:t xml:space="preserve"> </w:t>
      </w:r>
      <w:r w:rsidR="00234200" w:rsidRPr="009F06AF">
        <w:rPr>
          <w:rFonts w:cstheme="minorHAnsi"/>
          <w:color w:val="231F20"/>
          <w:w w:val="105"/>
        </w:rPr>
        <w:t>information</w:t>
      </w:r>
      <w:r w:rsidR="00234200" w:rsidRPr="008601E5">
        <w:rPr>
          <w:rFonts w:cstheme="minorHAnsi"/>
          <w:color w:val="231F20"/>
          <w:w w:val="105"/>
        </w:rPr>
        <w:t xml:space="preserve"> </w:t>
      </w:r>
      <w:r w:rsidR="00234200" w:rsidRPr="009F06AF">
        <w:rPr>
          <w:rFonts w:cstheme="minorHAnsi"/>
          <w:color w:val="231F20"/>
          <w:w w:val="105"/>
        </w:rPr>
        <w:t>about</w:t>
      </w:r>
      <w:r w:rsidR="00492C20" w:rsidRPr="009F06AF">
        <w:rPr>
          <w:rFonts w:cstheme="minorHAnsi"/>
          <w:color w:val="231F20"/>
          <w:w w:val="105"/>
        </w:rPr>
        <w:t xml:space="preserve"> </w:t>
      </w:r>
      <w:r w:rsidRPr="009F06AF">
        <w:rPr>
          <w:rFonts w:cstheme="minorHAnsi"/>
          <w:color w:val="231F20"/>
          <w:w w:val="105"/>
        </w:rPr>
        <w:t>the layoff. If workers are still attached to the employer, the Rapid Response Coordinator</w:t>
      </w:r>
      <w:r w:rsidRPr="008601E5">
        <w:rPr>
          <w:rFonts w:cstheme="minorHAnsi"/>
          <w:color w:val="231F20"/>
          <w:w w:val="105"/>
        </w:rPr>
        <w:t xml:space="preserve"> </w:t>
      </w:r>
      <w:r w:rsidRPr="009F06AF">
        <w:rPr>
          <w:rFonts w:cstheme="minorHAnsi"/>
          <w:color w:val="231F20"/>
          <w:w w:val="105"/>
        </w:rPr>
        <w:t>conduct</w:t>
      </w:r>
      <w:r w:rsidR="00492C20" w:rsidRPr="009F06AF">
        <w:rPr>
          <w:rFonts w:cstheme="minorHAnsi"/>
          <w:color w:val="231F20"/>
          <w:w w:val="105"/>
        </w:rPr>
        <w:t>s</w:t>
      </w:r>
      <w:r w:rsidRPr="009F06AF">
        <w:rPr>
          <w:rFonts w:cstheme="minorHAnsi"/>
          <w:color w:val="231F20"/>
          <w:w w:val="105"/>
        </w:rPr>
        <w:t xml:space="preserve"> Rapid Response </w:t>
      </w:r>
      <w:r w:rsidR="008D4447">
        <w:rPr>
          <w:rFonts w:cstheme="minorHAnsi"/>
          <w:color w:val="231F20"/>
          <w:w w:val="105"/>
        </w:rPr>
        <w:t>i</w:t>
      </w:r>
      <w:r w:rsidR="00C24E29">
        <w:rPr>
          <w:rFonts w:cstheme="minorHAnsi"/>
          <w:color w:val="231F20"/>
          <w:w w:val="105"/>
        </w:rPr>
        <w:t>nformation</w:t>
      </w:r>
      <w:r w:rsidRPr="009F06AF">
        <w:rPr>
          <w:rFonts w:cstheme="minorHAnsi"/>
          <w:color w:val="231F20"/>
          <w:w w:val="105"/>
        </w:rPr>
        <w:t xml:space="preserve"> </w:t>
      </w:r>
      <w:r w:rsidR="00C24E29">
        <w:rPr>
          <w:rFonts w:cstheme="minorHAnsi"/>
          <w:color w:val="231F20"/>
          <w:w w:val="105"/>
        </w:rPr>
        <w:t>m</w:t>
      </w:r>
      <w:r w:rsidRPr="009F06AF">
        <w:rPr>
          <w:rFonts w:cstheme="minorHAnsi"/>
          <w:color w:val="231F20"/>
          <w:w w:val="105"/>
        </w:rPr>
        <w:t xml:space="preserve">eetings providing workers </w:t>
      </w:r>
      <w:r w:rsidR="00C03FF8">
        <w:rPr>
          <w:rFonts w:cstheme="minorHAnsi"/>
          <w:color w:val="231F20"/>
          <w:w w:val="105"/>
        </w:rPr>
        <w:t>with</w:t>
      </w:r>
      <w:r w:rsidRPr="009F06AF">
        <w:rPr>
          <w:rFonts w:cstheme="minorHAnsi"/>
          <w:color w:val="231F20"/>
          <w:w w:val="105"/>
        </w:rPr>
        <w:t xml:space="preserve"> information </w:t>
      </w:r>
      <w:r w:rsidR="00C03FF8">
        <w:rPr>
          <w:rFonts w:cstheme="minorHAnsi"/>
          <w:color w:val="231F20"/>
          <w:w w:val="105"/>
        </w:rPr>
        <w:t>about the</w:t>
      </w:r>
      <w:r w:rsidRPr="008601E5">
        <w:rPr>
          <w:rFonts w:cstheme="minorHAnsi"/>
          <w:color w:val="231F20"/>
          <w:w w:val="105"/>
        </w:rPr>
        <w:t xml:space="preserve"> </w:t>
      </w:r>
      <w:r w:rsidRPr="009F06AF">
        <w:rPr>
          <w:rFonts w:cstheme="minorHAnsi"/>
          <w:color w:val="231F20"/>
          <w:w w:val="105"/>
        </w:rPr>
        <w:t>services</w:t>
      </w:r>
      <w:r w:rsidRPr="008601E5">
        <w:rPr>
          <w:rFonts w:cstheme="minorHAnsi"/>
          <w:color w:val="231F20"/>
          <w:w w:val="105"/>
        </w:rPr>
        <w:t xml:space="preserve"> </w:t>
      </w:r>
      <w:r w:rsidRPr="009F06AF">
        <w:rPr>
          <w:rFonts w:cstheme="minorHAnsi"/>
          <w:color w:val="231F20"/>
          <w:w w:val="105"/>
        </w:rPr>
        <w:t>offered</w:t>
      </w:r>
      <w:r w:rsidRPr="008601E5">
        <w:rPr>
          <w:rFonts w:cstheme="minorHAnsi"/>
          <w:color w:val="231F20"/>
          <w:w w:val="105"/>
        </w:rPr>
        <w:t xml:space="preserve"> </w:t>
      </w:r>
      <w:r w:rsidRPr="009F06AF">
        <w:rPr>
          <w:rFonts w:cstheme="minorHAnsi"/>
          <w:color w:val="231F20"/>
          <w:w w:val="105"/>
        </w:rPr>
        <w:t>in</w:t>
      </w:r>
      <w:r w:rsidRPr="008601E5">
        <w:rPr>
          <w:rFonts w:cstheme="minorHAnsi"/>
          <w:color w:val="231F20"/>
          <w:w w:val="105"/>
        </w:rPr>
        <w:t xml:space="preserve"> </w:t>
      </w:r>
      <w:r w:rsidRPr="009F06AF">
        <w:rPr>
          <w:rFonts w:cstheme="minorHAnsi"/>
          <w:color w:val="231F20"/>
          <w:w w:val="105"/>
        </w:rPr>
        <w:t>the</w:t>
      </w:r>
      <w:r w:rsidRPr="008601E5">
        <w:rPr>
          <w:rFonts w:cstheme="minorHAnsi"/>
          <w:color w:val="231F20"/>
          <w:w w:val="105"/>
        </w:rPr>
        <w:t xml:space="preserve"> </w:t>
      </w:r>
      <w:r w:rsidRPr="009F06AF">
        <w:rPr>
          <w:rFonts w:cstheme="minorHAnsi"/>
          <w:color w:val="231F20"/>
          <w:w w:val="105"/>
        </w:rPr>
        <w:t>CareerSource</w:t>
      </w:r>
      <w:r w:rsidRPr="008601E5">
        <w:rPr>
          <w:rFonts w:cstheme="minorHAnsi"/>
          <w:color w:val="231F20"/>
          <w:w w:val="105"/>
        </w:rPr>
        <w:t xml:space="preserve"> </w:t>
      </w:r>
      <w:r w:rsidRPr="009F06AF">
        <w:rPr>
          <w:rFonts w:cstheme="minorHAnsi"/>
          <w:color w:val="231F20"/>
          <w:w w:val="105"/>
        </w:rPr>
        <w:t>Florida</w:t>
      </w:r>
      <w:r w:rsidRPr="008601E5">
        <w:rPr>
          <w:rFonts w:cstheme="minorHAnsi"/>
          <w:color w:val="231F20"/>
          <w:w w:val="105"/>
        </w:rPr>
        <w:t xml:space="preserve"> </w:t>
      </w:r>
      <w:r w:rsidR="00492C20" w:rsidRPr="008601E5">
        <w:rPr>
          <w:rFonts w:cstheme="minorHAnsi"/>
          <w:color w:val="231F20"/>
          <w:w w:val="105"/>
        </w:rPr>
        <w:t xml:space="preserve">One-Stop Career </w:t>
      </w:r>
      <w:r w:rsidRPr="009F06AF">
        <w:rPr>
          <w:rFonts w:cstheme="minorHAnsi"/>
          <w:color w:val="231F20"/>
          <w:w w:val="105"/>
        </w:rPr>
        <w:t>Center</w:t>
      </w:r>
      <w:r w:rsidRPr="008601E5">
        <w:rPr>
          <w:rFonts w:cstheme="minorHAnsi"/>
          <w:color w:val="231F20"/>
          <w:w w:val="105"/>
        </w:rPr>
        <w:t xml:space="preserve"> </w:t>
      </w:r>
      <w:r w:rsidRPr="009F06AF">
        <w:rPr>
          <w:rFonts w:cstheme="minorHAnsi"/>
          <w:color w:val="231F20"/>
          <w:w w:val="105"/>
        </w:rPr>
        <w:t>and</w:t>
      </w:r>
      <w:r w:rsidRPr="008601E5">
        <w:rPr>
          <w:rFonts w:cstheme="minorHAnsi"/>
          <w:color w:val="231F20"/>
          <w:w w:val="105"/>
        </w:rPr>
        <w:t xml:space="preserve"> </w:t>
      </w:r>
      <w:r w:rsidRPr="009F06AF">
        <w:rPr>
          <w:rFonts w:cstheme="minorHAnsi"/>
          <w:color w:val="231F20"/>
          <w:w w:val="105"/>
        </w:rPr>
        <w:t>through</w:t>
      </w:r>
      <w:r w:rsidRPr="008601E5">
        <w:rPr>
          <w:rFonts w:cstheme="minorHAnsi"/>
          <w:color w:val="231F20"/>
          <w:w w:val="105"/>
        </w:rPr>
        <w:t xml:space="preserve"> </w:t>
      </w:r>
      <w:r w:rsidRPr="009F06AF">
        <w:rPr>
          <w:rFonts w:cstheme="minorHAnsi"/>
          <w:color w:val="231F20"/>
          <w:w w:val="105"/>
        </w:rPr>
        <w:t>partner</w:t>
      </w:r>
      <w:r w:rsidRPr="008601E5">
        <w:rPr>
          <w:rFonts w:cstheme="minorHAnsi"/>
          <w:color w:val="231F20"/>
          <w:w w:val="105"/>
        </w:rPr>
        <w:t xml:space="preserve"> </w:t>
      </w:r>
      <w:r w:rsidRPr="009F06AF">
        <w:rPr>
          <w:rFonts w:cstheme="minorHAnsi"/>
          <w:color w:val="231F20"/>
          <w:w w:val="105"/>
        </w:rPr>
        <w:t>programs. If</w:t>
      </w:r>
      <w:r w:rsidRPr="008601E5">
        <w:rPr>
          <w:rFonts w:cstheme="minorHAnsi"/>
          <w:color w:val="231F20"/>
          <w:w w:val="105"/>
        </w:rPr>
        <w:t xml:space="preserve"> </w:t>
      </w:r>
      <w:r w:rsidRPr="009F06AF">
        <w:rPr>
          <w:rFonts w:cstheme="minorHAnsi"/>
          <w:color w:val="231F20"/>
          <w:w w:val="105"/>
        </w:rPr>
        <w:t>the</w:t>
      </w:r>
      <w:r w:rsidRPr="008601E5">
        <w:rPr>
          <w:rFonts w:cstheme="minorHAnsi"/>
          <w:color w:val="231F20"/>
          <w:w w:val="105"/>
        </w:rPr>
        <w:t xml:space="preserve"> </w:t>
      </w:r>
      <w:r w:rsidR="00492C20" w:rsidRPr="008601E5">
        <w:rPr>
          <w:rFonts w:cstheme="minorHAnsi"/>
          <w:color w:val="231F20"/>
          <w:w w:val="105"/>
        </w:rPr>
        <w:t>t</w:t>
      </w:r>
      <w:r w:rsidRPr="008601E5">
        <w:rPr>
          <w:rFonts w:cstheme="minorHAnsi"/>
          <w:color w:val="231F20"/>
          <w:w w:val="105"/>
        </w:rPr>
        <w:t xml:space="preserve">rade </w:t>
      </w:r>
      <w:r w:rsidRPr="009F06AF">
        <w:rPr>
          <w:rFonts w:cstheme="minorHAnsi"/>
          <w:color w:val="231F20"/>
          <w:w w:val="105"/>
        </w:rPr>
        <w:t>petition</w:t>
      </w:r>
      <w:r w:rsidRPr="008601E5">
        <w:rPr>
          <w:rFonts w:cstheme="minorHAnsi"/>
          <w:color w:val="231F20"/>
          <w:w w:val="105"/>
        </w:rPr>
        <w:t xml:space="preserve"> </w:t>
      </w:r>
      <w:r w:rsidR="00492C20" w:rsidRPr="009F06AF">
        <w:rPr>
          <w:rFonts w:cstheme="minorHAnsi"/>
          <w:color w:val="231F20"/>
          <w:w w:val="105"/>
        </w:rPr>
        <w:t xml:space="preserve">is </w:t>
      </w:r>
      <w:r w:rsidRPr="009F06AF">
        <w:rPr>
          <w:rFonts w:cstheme="minorHAnsi"/>
          <w:color w:val="231F20"/>
          <w:w w:val="105"/>
        </w:rPr>
        <w:t>filed</w:t>
      </w:r>
      <w:r w:rsidRPr="008601E5">
        <w:rPr>
          <w:rFonts w:cstheme="minorHAnsi"/>
          <w:color w:val="231F20"/>
          <w:w w:val="105"/>
        </w:rPr>
        <w:t xml:space="preserve"> </w:t>
      </w:r>
      <w:r w:rsidRPr="009F06AF">
        <w:rPr>
          <w:rFonts w:cstheme="minorHAnsi"/>
          <w:color w:val="231F20"/>
          <w:w w:val="105"/>
        </w:rPr>
        <w:t>and</w:t>
      </w:r>
      <w:r w:rsidRPr="008601E5">
        <w:rPr>
          <w:rFonts w:cstheme="minorHAnsi"/>
          <w:color w:val="231F20"/>
          <w:w w:val="105"/>
        </w:rPr>
        <w:t xml:space="preserve"> </w:t>
      </w:r>
      <w:r w:rsidRPr="009F06AF">
        <w:rPr>
          <w:rFonts w:cstheme="minorHAnsi"/>
          <w:color w:val="231F20"/>
          <w:w w:val="105"/>
        </w:rPr>
        <w:t>not</w:t>
      </w:r>
      <w:r w:rsidRPr="008601E5">
        <w:rPr>
          <w:rFonts w:cstheme="minorHAnsi"/>
          <w:color w:val="231F20"/>
          <w:w w:val="105"/>
        </w:rPr>
        <w:t xml:space="preserve"> </w:t>
      </w:r>
      <w:r w:rsidRPr="009F06AF">
        <w:rPr>
          <w:rFonts w:cstheme="minorHAnsi"/>
          <w:color w:val="231F20"/>
          <w:w w:val="105"/>
        </w:rPr>
        <w:t>approved</w:t>
      </w:r>
      <w:r w:rsidRPr="008601E5">
        <w:rPr>
          <w:rFonts w:cstheme="minorHAnsi"/>
          <w:color w:val="231F20"/>
          <w:w w:val="105"/>
        </w:rPr>
        <w:t xml:space="preserve"> </w:t>
      </w:r>
      <w:r w:rsidRPr="009F06AF">
        <w:rPr>
          <w:rFonts w:cstheme="minorHAnsi"/>
          <w:color w:val="231F20"/>
          <w:w w:val="105"/>
        </w:rPr>
        <w:t>during</w:t>
      </w:r>
      <w:r w:rsidRPr="008601E5">
        <w:rPr>
          <w:rFonts w:cstheme="minorHAnsi"/>
          <w:color w:val="231F20"/>
          <w:w w:val="105"/>
        </w:rPr>
        <w:t xml:space="preserve"> </w:t>
      </w:r>
      <w:r w:rsidRPr="009F06AF">
        <w:rPr>
          <w:rFonts w:cstheme="minorHAnsi"/>
          <w:color w:val="231F20"/>
          <w:w w:val="105"/>
        </w:rPr>
        <w:t>the</w:t>
      </w:r>
      <w:r w:rsidRPr="008601E5">
        <w:rPr>
          <w:rFonts w:cstheme="minorHAnsi"/>
          <w:color w:val="231F20"/>
          <w:w w:val="105"/>
        </w:rPr>
        <w:t xml:space="preserve"> </w:t>
      </w:r>
      <w:r w:rsidRPr="009F06AF">
        <w:rPr>
          <w:rFonts w:cstheme="minorHAnsi"/>
          <w:color w:val="231F20"/>
          <w:w w:val="105"/>
        </w:rPr>
        <w:t>Rapid</w:t>
      </w:r>
      <w:r w:rsidRPr="008601E5">
        <w:rPr>
          <w:rFonts w:cstheme="minorHAnsi"/>
          <w:color w:val="231F20"/>
          <w:w w:val="105"/>
        </w:rPr>
        <w:t xml:space="preserve"> </w:t>
      </w:r>
      <w:r w:rsidRPr="009F06AF">
        <w:rPr>
          <w:rFonts w:cstheme="minorHAnsi"/>
          <w:color w:val="231F20"/>
          <w:w w:val="105"/>
        </w:rPr>
        <w:t>Response</w:t>
      </w:r>
      <w:r w:rsidRPr="008601E5">
        <w:rPr>
          <w:rFonts w:cstheme="minorHAnsi"/>
          <w:color w:val="231F20"/>
          <w:w w:val="105"/>
        </w:rPr>
        <w:t xml:space="preserve"> </w:t>
      </w:r>
      <w:r w:rsidRPr="009F06AF">
        <w:rPr>
          <w:rFonts w:cstheme="minorHAnsi"/>
          <w:color w:val="231F20"/>
          <w:w w:val="105"/>
        </w:rPr>
        <w:t>meeting,</w:t>
      </w:r>
      <w:r w:rsidRPr="008601E5">
        <w:rPr>
          <w:rFonts w:cstheme="minorHAnsi"/>
          <w:color w:val="231F20"/>
          <w:w w:val="105"/>
        </w:rPr>
        <w:t xml:space="preserve"> </w:t>
      </w:r>
      <w:r w:rsidR="00FC5DF4">
        <w:rPr>
          <w:rFonts w:cstheme="minorHAnsi"/>
          <w:color w:val="231F20"/>
          <w:w w:val="105"/>
        </w:rPr>
        <w:t xml:space="preserve">the customer is provided </w:t>
      </w:r>
      <w:r w:rsidRPr="009F06AF">
        <w:rPr>
          <w:rFonts w:cstheme="minorHAnsi"/>
          <w:color w:val="231F20"/>
          <w:w w:val="105"/>
        </w:rPr>
        <w:t>a</w:t>
      </w:r>
      <w:r w:rsidRPr="008601E5">
        <w:rPr>
          <w:rFonts w:cstheme="minorHAnsi"/>
          <w:color w:val="231F20"/>
          <w:w w:val="105"/>
        </w:rPr>
        <w:t xml:space="preserve"> </w:t>
      </w:r>
      <w:r w:rsidRPr="009F06AF">
        <w:rPr>
          <w:rFonts w:cstheme="minorHAnsi"/>
          <w:color w:val="231F20"/>
          <w:w w:val="105"/>
        </w:rPr>
        <w:t>brief</w:t>
      </w:r>
      <w:r w:rsidRPr="008601E5">
        <w:rPr>
          <w:rFonts w:cstheme="minorHAnsi"/>
          <w:color w:val="231F20"/>
          <w:w w:val="105"/>
        </w:rPr>
        <w:t xml:space="preserve"> </w:t>
      </w:r>
      <w:r w:rsidRPr="009F06AF">
        <w:rPr>
          <w:rFonts w:cstheme="minorHAnsi"/>
          <w:color w:val="231F20"/>
          <w:w w:val="105"/>
        </w:rPr>
        <w:t>description</w:t>
      </w:r>
      <w:r w:rsidRPr="008601E5">
        <w:rPr>
          <w:rFonts w:cstheme="minorHAnsi"/>
          <w:color w:val="231F20"/>
          <w:w w:val="105"/>
        </w:rPr>
        <w:t xml:space="preserve"> </w:t>
      </w:r>
      <w:r w:rsidRPr="009F06AF">
        <w:rPr>
          <w:rFonts w:cstheme="minorHAnsi"/>
          <w:color w:val="231F20"/>
          <w:w w:val="105"/>
        </w:rPr>
        <w:t>of</w:t>
      </w:r>
      <w:r w:rsidRPr="008601E5">
        <w:rPr>
          <w:rFonts w:cstheme="minorHAnsi"/>
          <w:color w:val="231F20"/>
          <w:w w:val="105"/>
        </w:rPr>
        <w:t xml:space="preserve"> </w:t>
      </w:r>
      <w:r w:rsidRPr="009F06AF">
        <w:rPr>
          <w:rFonts w:cstheme="minorHAnsi"/>
          <w:color w:val="231F20"/>
          <w:w w:val="105"/>
        </w:rPr>
        <w:t>program</w:t>
      </w:r>
      <w:r w:rsidRPr="008601E5">
        <w:rPr>
          <w:rFonts w:cstheme="minorHAnsi"/>
          <w:color w:val="231F20"/>
          <w:w w:val="105"/>
        </w:rPr>
        <w:t xml:space="preserve"> </w:t>
      </w:r>
      <w:r w:rsidRPr="009F06AF">
        <w:rPr>
          <w:rFonts w:cstheme="minorHAnsi"/>
          <w:color w:val="231F20"/>
          <w:w w:val="105"/>
        </w:rPr>
        <w:t>services.</w:t>
      </w:r>
      <w:r w:rsidRPr="008601E5">
        <w:rPr>
          <w:rFonts w:cstheme="minorHAnsi"/>
          <w:color w:val="231F20"/>
          <w:w w:val="105"/>
        </w:rPr>
        <w:t xml:space="preserve"> </w:t>
      </w:r>
      <w:r w:rsidR="00492C20" w:rsidRPr="009F06AF">
        <w:rPr>
          <w:rFonts w:cstheme="minorHAnsi"/>
          <w:color w:val="231F20"/>
          <w:w w:val="105"/>
        </w:rPr>
        <w:t>W</w:t>
      </w:r>
      <w:r w:rsidRPr="009F06AF">
        <w:rPr>
          <w:rFonts w:cstheme="minorHAnsi"/>
          <w:color w:val="231F20"/>
          <w:w w:val="105"/>
        </w:rPr>
        <w:t>orkers</w:t>
      </w:r>
      <w:r w:rsidRPr="008601E5">
        <w:rPr>
          <w:rFonts w:cstheme="minorHAnsi"/>
          <w:color w:val="231F20"/>
          <w:w w:val="105"/>
        </w:rPr>
        <w:t xml:space="preserve"> </w:t>
      </w:r>
      <w:r w:rsidRPr="009F06AF">
        <w:rPr>
          <w:rFonts w:cstheme="minorHAnsi"/>
          <w:color w:val="231F20"/>
          <w:w w:val="105"/>
        </w:rPr>
        <w:t>are</w:t>
      </w:r>
      <w:r w:rsidRPr="008601E5">
        <w:rPr>
          <w:rFonts w:cstheme="minorHAnsi"/>
          <w:color w:val="231F20"/>
          <w:w w:val="105"/>
        </w:rPr>
        <w:t xml:space="preserve"> </w:t>
      </w:r>
      <w:r w:rsidRPr="009F06AF">
        <w:rPr>
          <w:rFonts w:cstheme="minorHAnsi"/>
          <w:color w:val="231F20"/>
          <w:w w:val="105"/>
        </w:rPr>
        <w:t>advised</w:t>
      </w:r>
      <w:r w:rsidRPr="008601E5">
        <w:rPr>
          <w:rFonts w:cstheme="minorHAnsi"/>
          <w:color w:val="231F20"/>
          <w:w w:val="105"/>
        </w:rPr>
        <w:t xml:space="preserve"> </w:t>
      </w:r>
      <w:r w:rsidRPr="009F06AF">
        <w:rPr>
          <w:rFonts w:cstheme="minorHAnsi"/>
          <w:color w:val="231F20"/>
          <w:w w:val="105"/>
        </w:rPr>
        <w:t>that</w:t>
      </w:r>
      <w:r w:rsidRPr="008601E5">
        <w:rPr>
          <w:rFonts w:cstheme="minorHAnsi"/>
          <w:color w:val="231F20"/>
          <w:w w:val="105"/>
        </w:rPr>
        <w:t xml:space="preserve"> </w:t>
      </w:r>
      <w:r w:rsidRPr="009F06AF">
        <w:rPr>
          <w:rFonts w:cstheme="minorHAnsi"/>
          <w:color w:val="231F20"/>
          <w:w w:val="105"/>
        </w:rPr>
        <w:t>once</w:t>
      </w:r>
      <w:r w:rsidRPr="008601E5">
        <w:rPr>
          <w:rFonts w:cstheme="minorHAnsi"/>
          <w:color w:val="231F20"/>
          <w:w w:val="105"/>
        </w:rPr>
        <w:t xml:space="preserve"> </w:t>
      </w:r>
      <w:r w:rsidRPr="009F06AF">
        <w:rPr>
          <w:rFonts w:cstheme="minorHAnsi"/>
          <w:color w:val="231F20"/>
          <w:w w:val="105"/>
        </w:rPr>
        <w:t>the</w:t>
      </w:r>
      <w:r w:rsidRPr="008601E5">
        <w:rPr>
          <w:rFonts w:cstheme="minorHAnsi"/>
          <w:color w:val="231F20"/>
          <w:w w:val="105"/>
        </w:rPr>
        <w:t xml:space="preserve"> </w:t>
      </w:r>
      <w:r w:rsidRPr="009F06AF">
        <w:rPr>
          <w:rFonts w:cstheme="minorHAnsi"/>
          <w:color w:val="231F20"/>
          <w:w w:val="105"/>
        </w:rPr>
        <w:t>petition</w:t>
      </w:r>
      <w:r w:rsidRPr="008601E5">
        <w:rPr>
          <w:rFonts w:cstheme="minorHAnsi"/>
          <w:color w:val="231F20"/>
          <w:w w:val="105"/>
        </w:rPr>
        <w:t xml:space="preserve"> </w:t>
      </w:r>
      <w:r w:rsidRPr="009F06AF">
        <w:rPr>
          <w:rFonts w:cstheme="minorHAnsi"/>
          <w:color w:val="231F20"/>
          <w:w w:val="105"/>
        </w:rPr>
        <w:t>is</w:t>
      </w:r>
      <w:r w:rsidRPr="008601E5">
        <w:rPr>
          <w:rFonts w:cstheme="minorHAnsi"/>
          <w:color w:val="231F20"/>
          <w:w w:val="105"/>
        </w:rPr>
        <w:t xml:space="preserve"> </w:t>
      </w:r>
      <w:r w:rsidRPr="009F06AF">
        <w:rPr>
          <w:rFonts w:cstheme="minorHAnsi"/>
          <w:color w:val="231F20"/>
          <w:w w:val="105"/>
        </w:rPr>
        <w:t>filed</w:t>
      </w:r>
      <w:r w:rsidRPr="008601E5">
        <w:rPr>
          <w:rFonts w:cstheme="minorHAnsi"/>
          <w:color w:val="231F20"/>
          <w:w w:val="105"/>
        </w:rPr>
        <w:t xml:space="preserve"> </w:t>
      </w:r>
      <w:r w:rsidRPr="009F06AF">
        <w:rPr>
          <w:rFonts w:cstheme="minorHAnsi"/>
          <w:color w:val="231F20"/>
          <w:w w:val="105"/>
        </w:rPr>
        <w:t>and</w:t>
      </w:r>
      <w:r w:rsidRPr="008601E5">
        <w:rPr>
          <w:rFonts w:cstheme="minorHAnsi"/>
          <w:color w:val="231F20"/>
          <w:w w:val="105"/>
        </w:rPr>
        <w:t xml:space="preserve"> </w:t>
      </w:r>
      <w:r w:rsidRPr="009F06AF">
        <w:rPr>
          <w:rFonts w:cstheme="minorHAnsi"/>
          <w:color w:val="231F20"/>
          <w:w w:val="105"/>
        </w:rPr>
        <w:t>approved,</w:t>
      </w:r>
      <w:r w:rsidRPr="008601E5">
        <w:rPr>
          <w:rFonts w:cstheme="minorHAnsi"/>
          <w:color w:val="231F20"/>
          <w:w w:val="105"/>
        </w:rPr>
        <w:t xml:space="preserve"> </w:t>
      </w:r>
      <w:r w:rsidRPr="009F06AF">
        <w:rPr>
          <w:rFonts w:cstheme="minorHAnsi"/>
          <w:color w:val="231F20"/>
          <w:w w:val="105"/>
        </w:rPr>
        <w:t>a</w:t>
      </w:r>
      <w:r w:rsidRPr="008601E5">
        <w:rPr>
          <w:rFonts w:cstheme="minorHAnsi"/>
          <w:color w:val="231F20"/>
          <w:w w:val="105"/>
        </w:rPr>
        <w:t xml:space="preserve"> </w:t>
      </w:r>
      <w:r w:rsidRPr="009F06AF">
        <w:rPr>
          <w:rFonts w:cstheme="minorHAnsi"/>
          <w:color w:val="231F20"/>
          <w:w w:val="105"/>
        </w:rPr>
        <w:t>scheduled</w:t>
      </w:r>
      <w:r w:rsidRPr="008601E5">
        <w:rPr>
          <w:rFonts w:cstheme="minorHAnsi"/>
          <w:color w:val="231F20"/>
          <w:w w:val="105"/>
        </w:rPr>
        <w:t xml:space="preserve"> TAA </w:t>
      </w:r>
      <w:r w:rsidR="008D4447">
        <w:rPr>
          <w:rFonts w:cstheme="minorHAnsi"/>
          <w:color w:val="231F20"/>
          <w:w w:val="105"/>
        </w:rPr>
        <w:t>i</w:t>
      </w:r>
      <w:r w:rsidRPr="009F06AF">
        <w:rPr>
          <w:rFonts w:cstheme="minorHAnsi"/>
          <w:color w:val="231F20"/>
          <w:w w:val="105"/>
        </w:rPr>
        <w:t>nformation</w:t>
      </w:r>
      <w:r w:rsidRPr="008601E5">
        <w:rPr>
          <w:rFonts w:cstheme="minorHAnsi"/>
          <w:color w:val="231F20"/>
          <w:w w:val="105"/>
        </w:rPr>
        <w:t xml:space="preserve"> </w:t>
      </w:r>
      <w:r w:rsidR="008D4447">
        <w:rPr>
          <w:rFonts w:cstheme="minorHAnsi"/>
          <w:color w:val="231F20"/>
          <w:w w:val="105"/>
        </w:rPr>
        <w:t>m</w:t>
      </w:r>
      <w:r w:rsidRPr="009F06AF">
        <w:rPr>
          <w:rFonts w:cstheme="minorHAnsi"/>
          <w:color w:val="231F20"/>
          <w:w w:val="105"/>
        </w:rPr>
        <w:t>eeting</w:t>
      </w:r>
      <w:r w:rsidRPr="008601E5">
        <w:rPr>
          <w:rFonts w:cstheme="minorHAnsi"/>
          <w:color w:val="231F20"/>
          <w:w w:val="105"/>
        </w:rPr>
        <w:t xml:space="preserve"> </w:t>
      </w:r>
      <w:r w:rsidRPr="009F06AF">
        <w:rPr>
          <w:rFonts w:cstheme="minorHAnsi"/>
          <w:color w:val="231F20"/>
          <w:w w:val="105"/>
        </w:rPr>
        <w:t>will</w:t>
      </w:r>
      <w:r w:rsidRPr="008601E5">
        <w:rPr>
          <w:rFonts w:cstheme="minorHAnsi"/>
          <w:color w:val="231F20"/>
          <w:w w:val="105"/>
        </w:rPr>
        <w:t xml:space="preserve"> </w:t>
      </w:r>
      <w:r w:rsidRPr="009F06AF">
        <w:rPr>
          <w:rFonts w:cstheme="minorHAnsi"/>
          <w:color w:val="231F20"/>
          <w:w w:val="105"/>
        </w:rPr>
        <w:t>be</w:t>
      </w:r>
      <w:r w:rsidRPr="008601E5">
        <w:rPr>
          <w:rFonts w:cstheme="minorHAnsi"/>
          <w:color w:val="231F20"/>
          <w:w w:val="105"/>
        </w:rPr>
        <w:t xml:space="preserve"> </w:t>
      </w:r>
      <w:r w:rsidRPr="009F06AF">
        <w:rPr>
          <w:rFonts w:cstheme="minorHAnsi"/>
          <w:color w:val="231F20"/>
          <w:w w:val="105"/>
        </w:rPr>
        <w:t>made</w:t>
      </w:r>
      <w:r w:rsidRPr="008601E5">
        <w:rPr>
          <w:rFonts w:cstheme="minorHAnsi"/>
          <w:color w:val="231F20"/>
          <w:w w:val="105"/>
        </w:rPr>
        <w:t xml:space="preserve"> </w:t>
      </w:r>
      <w:r w:rsidRPr="009F06AF">
        <w:rPr>
          <w:rFonts w:cstheme="minorHAnsi"/>
          <w:color w:val="231F20"/>
          <w:w w:val="105"/>
        </w:rPr>
        <w:t>available</w:t>
      </w:r>
      <w:r w:rsidRPr="008601E5">
        <w:rPr>
          <w:rFonts w:cstheme="minorHAnsi"/>
          <w:color w:val="231F20"/>
          <w:w w:val="105"/>
        </w:rPr>
        <w:t xml:space="preserve"> </w:t>
      </w:r>
      <w:r w:rsidRPr="009F06AF">
        <w:rPr>
          <w:rFonts w:cstheme="minorHAnsi"/>
          <w:color w:val="231F20"/>
          <w:w w:val="105"/>
        </w:rPr>
        <w:t>and</w:t>
      </w:r>
      <w:r w:rsidRPr="008601E5">
        <w:rPr>
          <w:rFonts w:cstheme="minorHAnsi"/>
          <w:color w:val="231F20"/>
          <w:w w:val="105"/>
        </w:rPr>
        <w:t xml:space="preserve"> </w:t>
      </w:r>
      <w:r w:rsidRPr="009F06AF">
        <w:rPr>
          <w:rFonts w:cstheme="minorHAnsi"/>
          <w:color w:val="231F20"/>
          <w:w w:val="105"/>
        </w:rPr>
        <w:t>an</w:t>
      </w:r>
      <w:r w:rsidRPr="008601E5">
        <w:rPr>
          <w:rFonts w:cstheme="minorHAnsi"/>
          <w:color w:val="231F20"/>
          <w:w w:val="105"/>
        </w:rPr>
        <w:t xml:space="preserve"> </w:t>
      </w:r>
      <w:r w:rsidRPr="009F06AF">
        <w:rPr>
          <w:rFonts w:cstheme="minorHAnsi"/>
          <w:color w:val="231F20"/>
          <w:w w:val="105"/>
        </w:rPr>
        <w:t>official</w:t>
      </w:r>
      <w:r w:rsidRPr="008601E5">
        <w:rPr>
          <w:rFonts w:cstheme="minorHAnsi"/>
          <w:color w:val="231F20"/>
          <w:w w:val="105"/>
        </w:rPr>
        <w:t xml:space="preserve"> </w:t>
      </w:r>
      <w:r w:rsidRPr="009F06AF">
        <w:rPr>
          <w:rFonts w:cstheme="minorHAnsi"/>
          <w:color w:val="231F20"/>
          <w:w w:val="105"/>
        </w:rPr>
        <w:t>notice</w:t>
      </w:r>
      <w:r w:rsidRPr="008601E5">
        <w:rPr>
          <w:rFonts w:cstheme="minorHAnsi"/>
          <w:color w:val="231F20"/>
          <w:w w:val="105"/>
        </w:rPr>
        <w:t xml:space="preserve"> </w:t>
      </w:r>
      <w:r w:rsidRPr="009F06AF">
        <w:rPr>
          <w:rFonts w:cstheme="minorHAnsi"/>
          <w:color w:val="231F20"/>
          <w:w w:val="105"/>
        </w:rPr>
        <w:t>will</w:t>
      </w:r>
      <w:r w:rsidRPr="008601E5">
        <w:rPr>
          <w:rFonts w:cstheme="minorHAnsi"/>
          <w:color w:val="231F20"/>
          <w:w w:val="105"/>
        </w:rPr>
        <w:t xml:space="preserve"> </w:t>
      </w:r>
      <w:r w:rsidRPr="009F06AF">
        <w:rPr>
          <w:rFonts w:cstheme="minorHAnsi"/>
          <w:color w:val="231F20"/>
          <w:w w:val="105"/>
        </w:rPr>
        <w:t>be</w:t>
      </w:r>
      <w:r w:rsidRPr="008601E5">
        <w:rPr>
          <w:rFonts w:cstheme="minorHAnsi"/>
          <w:color w:val="231F20"/>
          <w:w w:val="105"/>
        </w:rPr>
        <w:t xml:space="preserve"> </w:t>
      </w:r>
      <w:r w:rsidRPr="009F06AF">
        <w:rPr>
          <w:rFonts w:cstheme="minorHAnsi"/>
          <w:color w:val="231F20"/>
          <w:w w:val="105"/>
        </w:rPr>
        <w:t>mailed</w:t>
      </w:r>
      <w:r w:rsidRPr="008601E5">
        <w:rPr>
          <w:rFonts w:cstheme="minorHAnsi"/>
          <w:color w:val="231F20"/>
          <w:w w:val="105"/>
        </w:rPr>
        <w:t xml:space="preserve"> </w:t>
      </w:r>
      <w:r w:rsidRPr="009F06AF">
        <w:rPr>
          <w:rFonts w:cstheme="minorHAnsi"/>
          <w:color w:val="231F20"/>
          <w:w w:val="105"/>
        </w:rPr>
        <w:t>to</w:t>
      </w:r>
      <w:r w:rsidRPr="008601E5">
        <w:rPr>
          <w:rFonts w:cstheme="minorHAnsi"/>
          <w:color w:val="231F20"/>
          <w:w w:val="105"/>
        </w:rPr>
        <w:t xml:space="preserve"> </w:t>
      </w:r>
      <w:r w:rsidRPr="009F06AF">
        <w:rPr>
          <w:rFonts w:cstheme="minorHAnsi"/>
          <w:color w:val="231F20"/>
          <w:w w:val="105"/>
        </w:rPr>
        <w:t>the</w:t>
      </w:r>
      <w:r w:rsidRPr="008601E5">
        <w:rPr>
          <w:rFonts w:cstheme="minorHAnsi"/>
          <w:color w:val="231F20"/>
          <w:w w:val="105"/>
        </w:rPr>
        <w:t xml:space="preserve"> </w:t>
      </w:r>
      <w:r w:rsidRPr="009F06AF">
        <w:rPr>
          <w:rFonts w:cstheme="minorHAnsi"/>
          <w:color w:val="231F20"/>
          <w:w w:val="105"/>
        </w:rPr>
        <w:t>workers.</w:t>
      </w:r>
      <w:r w:rsidRPr="008601E5">
        <w:rPr>
          <w:rFonts w:cstheme="minorHAnsi"/>
          <w:color w:val="231F20"/>
          <w:w w:val="105"/>
        </w:rPr>
        <w:t xml:space="preserve"> </w:t>
      </w:r>
      <w:r w:rsidRPr="009F06AF">
        <w:rPr>
          <w:rFonts w:cstheme="minorHAnsi"/>
          <w:color w:val="231F20"/>
          <w:w w:val="105"/>
        </w:rPr>
        <w:t>It</w:t>
      </w:r>
      <w:r w:rsidRPr="008601E5">
        <w:rPr>
          <w:rFonts w:cstheme="minorHAnsi"/>
          <w:color w:val="231F20"/>
          <w:w w:val="105"/>
        </w:rPr>
        <w:t xml:space="preserve"> </w:t>
      </w:r>
      <w:r w:rsidRPr="009F06AF">
        <w:rPr>
          <w:rFonts w:cstheme="minorHAnsi"/>
          <w:color w:val="231F20"/>
          <w:w w:val="105"/>
        </w:rPr>
        <w:t>is</w:t>
      </w:r>
      <w:r w:rsidRPr="008601E5">
        <w:rPr>
          <w:rFonts w:cstheme="minorHAnsi"/>
          <w:color w:val="231F20"/>
          <w:w w:val="105"/>
        </w:rPr>
        <w:t xml:space="preserve"> </w:t>
      </w:r>
      <w:r w:rsidRPr="009F06AF">
        <w:rPr>
          <w:rFonts w:cstheme="minorHAnsi"/>
          <w:color w:val="231F20"/>
          <w:w w:val="105"/>
        </w:rPr>
        <w:t>the</w:t>
      </w:r>
      <w:r w:rsidRPr="008601E5">
        <w:rPr>
          <w:rFonts w:cstheme="minorHAnsi"/>
          <w:color w:val="231F20"/>
          <w:w w:val="105"/>
        </w:rPr>
        <w:t xml:space="preserve"> </w:t>
      </w:r>
      <w:r w:rsidRPr="009F06AF">
        <w:rPr>
          <w:rFonts w:cstheme="minorHAnsi"/>
          <w:color w:val="231F20"/>
          <w:w w:val="105"/>
        </w:rPr>
        <w:t>state’s</w:t>
      </w:r>
      <w:r w:rsidRPr="008601E5">
        <w:rPr>
          <w:rFonts w:cstheme="minorHAnsi"/>
          <w:color w:val="231F20"/>
          <w:w w:val="105"/>
        </w:rPr>
        <w:t xml:space="preserve"> </w:t>
      </w:r>
      <w:r w:rsidRPr="009F06AF">
        <w:rPr>
          <w:rFonts w:cstheme="minorHAnsi"/>
          <w:color w:val="231F20"/>
          <w:w w:val="105"/>
        </w:rPr>
        <w:t>practice</w:t>
      </w:r>
      <w:r w:rsidRPr="008601E5">
        <w:rPr>
          <w:rFonts w:cstheme="minorHAnsi"/>
          <w:color w:val="231F20"/>
          <w:w w:val="105"/>
        </w:rPr>
        <w:t xml:space="preserve"> </w:t>
      </w:r>
      <w:r w:rsidRPr="009F06AF">
        <w:rPr>
          <w:rFonts w:cstheme="minorHAnsi"/>
          <w:color w:val="231F20"/>
          <w:w w:val="105"/>
        </w:rPr>
        <w:t>not</w:t>
      </w:r>
      <w:r w:rsidRPr="008601E5">
        <w:rPr>
          <w:rFonts w:cstheme="minorHAnsi"/>
          <w:color w:val="231F20"/>
          <w:w w:val="105"/>
        </w:rPr>
        <w:t xml:space="preserve"> </w:t>
      </w:r>
      <w:r w:rsidRPr="009F06AF">
        <w:rPr>
          <w:rFonts w:cstheme="minorHAnsi"/>
          <w:color w:val="231F20"/>
          <w:w w:val="105"/>
        </w:rPr>
        <w:t>to</w:t>
      </w:r>
      <w:r w:rsidRPr="008601E5">
        <w:rPr>
          <w:rFonts w:cstheme="minorHAnsi"/>
          <w:color w:val="231F20"/>
          <w:w w:val="105"/>
        </w:rPr>
        <w:t xml:space="preserve"> </w:t>
      </w:r>
      <w:r w:rsidRPr="009F06AF">
        <w:rPr>
          <w:rFonts w:cstheme="minorHAnsi"/>
          <w:color w:val="231F20"/>
          <w:w w:val="105"/>
        </w:rPr>
        <w:t>conduct</w:t>
      </w:r>
      <w:r w:rsidRPr="008601E5">
        <w:rPr>
          <w:rFonts w:cstheme="minorHAnsi"/>
          <w:color w:val="231F20"/>
          <w:w w:val="105"/>
        </w:rPr>
        <w:t xml:space="preserve"> </w:t>
      </w:r>
      <w:r w:rsidRPr="009F06AF">
        <w:rPr>
          <w:rFonts w:cstheme="minorHAnsi"/>
          <w:color w:val="231F20"/>
          <w:w w:val="105"/>
        </w:rPr>
        <w:t>an</w:t>
      </w:r>
      <w:r w:rsidRPr="008601E5">
        <w:rPr>
          <w:rFonts w:cstheme="minorHAnsi"/>
          <w:color w:val="231F20"/>
          <w:w w:val="105"/>
        </w:rPr>
        <w:t xml:space="preserve"> </w:t>
      </w:r>
      <w:r w:rsidRPr="009F06AF">
        <w:rPr>
          <w:rFonts w:cstheme="minorHAnsi"/>
          <w:color w:val="231F20"/>
          <w:w w:val="105"/>
        </w:rPr>
        <w:t>actual</w:t>
      </w:r>
      <w:r w:rsidRPr="008601E5">
        <w:rPr>
          <w:rFonts w:cstheme="minorHAnsi"/>
          <w:color w:val="231F20"/>
          <w:w w:val="105"/>
        </w:rPr>
        <w:t xml:space="preserve"> TAA </w:t>
      </w:r>
      <w:r w:rsidR="007E733D">
        <w:rPr>
          <w:rFonts w:cstheme="minorHAnsi"/>
          <w:color w:val="231F20"/>
          <w:w w:val="105"/>
        </w:rPr>
        <w:t>i</w:t>
      </w:r>
      <w:r w:rsidRPr="009F06AF">
        <w:rPr>
          <w:rFonts w:cstheme="minorHAnsi"/>
          <w:color w:val="231F20"/>
          <w:w w:val="105"/>
        </w:rPr>
        <w:t>nformation</w:t>
      </w:r>
      <w:r w:rsidRPr="008601E5">
        <w:rPr>
          <w:rFonts w:cstheme="minorHAnsi"/>
          <w:color w:val="231F20"/>
          <w:w w:val="105"/>
        </w:rPr>
        <w:t xml:space="preserve"> </w:t>
      </w:r>
      <w:r w:rsidR="008D4447">
        <w:rPr>
          <w:rFonts w:cstheme="minorHAnsi"/>
          <w:color w:val="231F20"/>
          <w:w w:val="105"/>
        </w:rPr>
        <w:t>m</w:t>
      </w:r>
      <w:r w:rsidRPr="009F06AF">
        <w:rPr>
          <w:rFonts w:cstheme="minorHAnsi"/>
          <w:color w:val="231F20"/>
          <w:w w:val="105"/>
        </w:rPr>
        <w:t>eeting</w:t>
      </w:r>
      <w:r w:rsidRPr="008601E5">
        <w:rPr>
          <w:rFonts w:cstheme="minorHAnsi"/>
          <w:color w:val="231F20"/>
          <w:w w:val="105"/>
        </w:rPr>
        <w:t xml:space="preserve"> </w:t>
      </w:r>
      <w:r w:rsidRPr="009F06AF">
        <w:rPr>
          <w:rFonts w:cstheme="minorHAnsi"/>
          <w:color w:val="231F20"/>
          <w:w w:val="105"/>
        </w:rPr>
        <w:t>unless</w:t>
      </w:r>
      <w:r w:rsidRPr="008601E5">
        <w:rPr>
          <w:rFonts w:cstheme="minorHAnsi"/>
          <w:color w:val="231F20"/>
          <w:w w:val="105"/>
        </w:rPr>
        <w:t xml:space="preserve"> </w:t>
      </w:r>
      <w:r w:rsidRPr="009F06AF">
        <w:rPr>
          <w:rFonts w:cstheme="minorHAnsi"/>
          <w:color w:val="231F20"/>
          <w:w w:val="105"/>
        </w:rPr>
        <w:t>the</w:t>
      </w:r>
      <w:r w:rsidRPr="008601E5">
        <w:rPr>
          <w:rFonts w:cstheme="minorHAnsi"/>
          <w:color w:val="231F20"/>
          <w:w w:val="105"/>
        </w:rPr>
        <w:t xml:space="preserve"> </w:t>
      </w:r>
      <w:r w:rsidRPr="009F06AF">
        <w:rPr>
          <w:rFonts w:cstheme="minorHAnsi"/>
          <w:color w:val="231F20"/>
          <w:w w:val="105"/>
        </w:rPr>
        <w:t>petition</w:t>
      </w:r>
      <w:r w:rsidRPr="008601E5">
        <w:rPr>
          <w:rFonts w:cstheme="minorHAnsi"/>
          <w:color w:val="231F20"/>
          <w:w w:val="105"/>
        </w:rPr>
        <w:t xml:space="preserve"> </w:t>
      </w:r>
      <w:r w:rsidR="00492C20" w:rsidRPr="009F06AF">
        <w:rPr>
          <w:rFonts w:cstheme="minorHAnsi"/>
          <w:color w:val="231F20"/>
          <w:w w:val="105"/>
        </w:rPr>
        <w:t xml:space="preserve">is </w:t>
      </w:r>
      <w:r w:rsidRPr="009F06AF">
        <w:rPr>
          <w:rFonts w:cstheme="minorHAnsi"/>
          <w:color w:val="231F20"/>
          <w:w w:val="105"/>
        </w:rPr>
        <w:t>certified.</w:t>
      </w:r>
      <w:r w:rsidRPr="008601E5">
        <w:rPr>
          <w:rFonts w:cstheme="minorHAnsi"/>
          <w:color w:val="231F20"/>
          <w:w w:val="105"/>
        </w:rPr>
        <w:t xml:space="preserve"> </w:t>
      </w:r>
      <w:r w:rsidR="00492C20" w:rsidRPr="009F06AF">
        <w:rPr>
          <w:rFonts w:cstheme="minorHAnsi"/>
          <w:color w:val="231F20"/>
          <w:w w:val="105"/>
        </w:rPr>
        <w:t>I</w:t>
      </w:r>
      <w:r w:rsidRPr="009F06AF">
        <w:rPr>
          <w:rFonts w:cstheme="minorHAnsi"/>
          <w:color w:val="231F20"/>
          <w:w w:val="105"/>
        </w:rPr>
        <w:t>f</w:t>
      </w:r>
      <w:r w:rsidRPr="008601E5">
        <w:rPr>
          <w:rFonts w:cstheme="minorHAnsi"/>
          <w:color w:val="231F20"/>
          <w:w w:val="105"/>
        </w:rPr>
        <w:t xml:space="preserve"> </w:t>
      </w:r>
      <w:r w:rsidRPr="009F06AF">
        <w:rPr>
          <w:rFonts w:cstheme="minorHAnsi"/>
          <w:color w:val="231F20"/>
          <w:w w:val="105"/>
        </w:rPr>
        <w:t>the</w:t>
      </w:r>
      <w:r w:rsidRPr="008601E5">
        <w:rPr>
          <w:rFonts w:cstheme="minorHAnsi"/>
          <w:color w:val="231F20"/>
          <w:w w:val="105"/>
        </w:rPr>
        <w:t xml:space="preserve"> </w:t>
      </w:r>
      <w:r w:rsidRPr="009F06AF">
        <w:rPr>
          <w:rFonts w:cstheme="minorHAnsi"/>
          <w:color w:val="231F20"/>
          <w:w w:val="105"/>
        </w:rPr>
        <w:t>worker</w:t>
      </w:r>
      <w:r w:rsidRPr="008601E5">
        <w:rPr>
          <w:rFonts w:cstheme="minorHAnsi"/>
          <w:color w:val="231F20"/>
          <w:w w:val="105"/>
        </w:rPr>
        <w:t xml:space="preserve"> </w:t>
      </w:r>
      <w:r w:rsidRPr="009F06AF">
        <w:rPr>
          <w:rFonts w:cstheme="minorHAnsi"/>
          <w:color w:val="231F20"/>
          <w:w w:val="105"/>
        </w:rPr>
        <w:t>group</w:t>
      </w:r>
      <w:r w:rsidRPr="008601E5">
        <w:rPr>
          <w:rFonts w:cstheme="minorHAnsi"/>
          <w:color w:val="231F20"/>
          <w:w w:val="105"/>
        </w:rPr>
        <w:t xml:space="preserve"> </w:t>
      </w:r>
      <w:r w:rsidRPr="009F06AF">
        <w:rPr>
          <w:rFonts w:cstheme="minorHAnsi"/>
          <w:color w:val="231F20"/>
          <w:w w:val="105"/>
        </w:rPr>
        <w:t>has</w:t>
      </w:r>
      <w:r w:rsidRPr="008601E5">
        <w:rPr>
          <w:rFonts w:cstheme="minorHAnsi"/>
          <w:color w:val="231F20"/>
          <w:w w:val="105"/>
        </w:rPr>
        <w:t xml:space="preserve"> </w:t>
      </w:r>
      <w:r w:rsidRPr="009F06AF">
        <w:rPr>
          <w:rFonts w:cstheme="minorHAnsi"/>
          <w:color w:val="231F20"/>
          <w:w w:val="105"/>
        </w:rPr>
        <w:t>not</w:t>
      </w:r>
      <w:r w:rsidRPr="008601E5">
        <w:rPr>
          <w:rFonts w:cstheme="minorHAnsi"/>
          <w:color w:val="231F20"/>
          <w:w w:val="105"/>
        </w:rPr>
        <w:t xml:space="preserve"> </w:t>
      </w:r>
      <w:r w:rsidRPr="009F06AF">
        <w:rPr>
          <w:rFonts w:cstheme="minorHAnsi"/>
          <w:color w:val="231F20"/>
          <w:w w:val="105"/>
        </w:rPr>
        <w:t>received</w:t>
      </w:r>
      <w:r w:rsidRPr="008601E5">
        <w:rPr>
          <w:rFonts w:cstheme="minorHAnsi"/>
          <w:color w:val="231F20"/>
          <w:w w:val="105"/>
        </w:rPr>
        <w:t xml:space="preserve"> </w:t>
      </w:r>
      <w:r w:rsidRPr="009F06AF">
        <w:rPr>
          <w:rFonts w:cstheme="minorHAnsi"/>
          <w:color w:val="231F20"/>
          <w:w w:val="105"/>
        </w:rPr>
        <w:t>rapid</w:t>
      </w:r>
      <w:r w:rsidRPr="008601E5">
        <w:rPr>
          <w:rFonts w:cstheme="minorHAnsi"/>
          <w:color w:val="231F20"/>
          <w:w w:val="105"/>
        </w:rPr>
        <w:t xml:space="preserve"> </w:t>
      </w:r>
      <w:r w:rsidRPr="009F06AF">
        <w:rPr>
          <w:rFonts w:cstheme="minorHAnsi"/>
          <w:color w:val="231F20"/>
          <w:w w:val="105"/>
        </w:rPr>
        <w:t>response</w:t>
      </w:r>
      <w:r w:rsidRPr="008601E5">
        <w:rPr>
          <w:rFonts w:cstheme="minorHAnsi"/>
          <w:color w:val="231F20"/>
          <w:w w:val="105"/>
        </w:rPr>
        <w:t xml:space="preserve"> </w:t>
      </w:r>
      <w:r w:rsidRPr="009F06AF">
        <w:rPr>
          <w:rFonts w:cstheme="minorHAnsi"/>
          <w:color w:val="231F20"/>
          <w:w w:val="105"/>
        </w:rPr>
        <w:t>assistance</w:t>
      </w:r>
      <w:r w:rsidR="004201B5">
        <w:rPr>
          <w:rFonts w:cstheme="minorHAnsi"/>
          <w:color w:val="231F20"/>
          <w:w w:val="105"/>
        </w:rPr>
        <w:t>,</w:t>
      </w:r>
      <w:r w:rsidRPr="008601E5">
        <w:rPr>
          <w:rFonts w:cstheme="minorHAnsi"/>
          <w:color w:val="231F20"/>
          <w:w w:val="105"/>
        </w:rPr>
        <w:t xml:space="preserve"> </w:t>
      </w:r>
      <w:r w:rsidRPr="009F06AF">
        <w:rPr>
          <w:rFonts w:cstheme="minorHAnsi"/>
          <w:color w:val="231F20"/>
          <w:w w:val="105"/>
        </w:rPr>
        <w:t>although</w:t>
      </w:r>
      <w:r w:rsidRPr="008601E5">
        <w:rPr>
          <w:rFonts w:cstheme="minorHAnsi"/>
          <w:color w:val="231F20"/>
          <w:w w:val="105"/>
        </w:rPr>
        <w:t xml:space="preserve"> </w:t>
      </w:r>
      <w:r w:rsidR="00D27D26" w:rsidRPr="009F06AF">
        <w:rPr>
          <w:rFonts w:cstheme="minorHAnsi"/>
          <w:color w:val="231F20"/>
          <w:w w:val="105"/>
        </w:rPr>
        <w:t xml:space="preserve">workers </w:t>
      </w:r>
      <w:r w:rsidR="00D27D26" w:rsidRPr="008601E5">
        <w:rPr>
          <w:rFonts w:cstheme="minorHAnsi"/>
          <w:color w:val="231F20"/>
          <w:w w:val="105"/>
        </w:rPr>
        <w:t>may</w:t>
      </w:r>
      <w:r w:rsidRPr="008601E5">
        <w:rPr>
          <w:rFonts w:cstheme="minorHAnsi"/>
          <w:color w:val="231F20"/>
          <w:w w:val="105"/>
        </w:rPr>
        <w:t xml:space="preserve"> </w:t>
      </w:r>
      <w:r w:rsidRPr="009F06AF">
        <w:rPr>
          <w:rFonts w:cstheme="minorHAnsi"/>
          <w:color w:val="231F20"/>
          <w:w w:val="105"/>
        </w:rPr>
        <w:t>have</w:t>
      </w:r>
      <w:r w:rsidRPr="008601E5">
        <w:rPr>
          <w:rFonts w:cstheme="minorHAnsi"/>
          <w:color w:val="231F20"/>
          <w:w w:val="105"/>
        </w:rPr>
        <w:t xml:space="preserve"> </w:t>
      </w:r>
      <w:r w:rsidRPr="009F06AF">
        <w:rPr>
          <w:rFonts w:cstheme="minorHAnsi"/>
          <w:color w:val="231F20"/>
          <w:w w:val="105"/>
        </w:rPr>
        <w:t>officially</w:t>
      </w:r>
      <w:r w:rsidRPr="008601E5">
        <w:rPr>
          <w:rFonts w:cstheme="minorHAnsi"/>
          <w:color w:val="231F20"/>
          <w:w w:val="105"/>
        </w:rPr>
        <w:t xml:space="preserve"> </w:t>
      </w:r>
      <w:r w:rsidRPr="009F06AF">
        <w:rPr>
          <w:rFonts w:cstheme="minorHAnsi"/>
          <w:color w:val="231F20"/>
          <w:w w:val="105"/>
        </w:rPr>
        <w:t>separated</w:t>
      </w:r>
      <w:r w:rsidRPr="008601E5">
        <w:rPr>
          <w:rFonts w:cstheme="minorHAnsi"/>
          <w:color w:val="231F20"/>
          <w:w w:val="105"/>
        </w:rPr>
        <w:t xml:space="preserve"> </w:t>
      </w:r>
      <w:r w:rsidRPr="009F06AF">
        <w:rPr>
          <w:rFonts w:cstheme="minorHAnsi"/>
          <w:color w:val="231F20"/>
          <w:w w:val="105"/>
        </w:rPr>
        <w:t>from</w:t>
      </w:r>
      <w:r w:rsidRPr="008601E5">
        <w:rPr>
          <w:rFonts w:cstheme="minorHAnsi"/>
          <w:color w:val="231F20"/>
          <w:w w:val="105"/>
        </w:rPr>
        <w:t xml:space="preserve"> </w:t>
      </w:r>
      <w:r w:rsidRPr="009F06AF">
        <w:rPr>
          <w:rFonts w:cstheme="minorHAnsi"/>
          <w:color w:val="231F20"/>
          <w:w w:val="105"/>
        </w:rPr>
        <w:t>the</w:t>
      </w:r>
      <w:r w:rsidRPr="008601E5">
        <w:rPr>
          <w:rFonts w:cstheme="minorHAnsi"/>
          <w:color w:val="231F20"/>
          <w:w w:val="105"/>
        </w:rPr>
        <w:t xml:space="preserve"> </w:t>
      </w:r>
      <w:r w:rsidRPr="009F06AF">
        <w:rPr>
          <w:rFonts w:cstheme="minorHAnsi"/>
          <w:color w:val="231F20"/>
          <w:w w:val="105"/>
        </w:rPr>
        <w:t>company</w:t>
      </w:r>
      <w:r w:rsidR="00492C20" w:rsidRPr="009F06AF">
        <w:rPr>
          <w:rFonts w:cstheme="minorHAnsi"/>
          <w:color w:val="231F20"/>
          <w:w w:val="105"/>
        </w:rPr>
        <w:t xml:space="preserve"> or </w:t>
      </w:r>
      <w:r w:rsidRPr="009F06AF">
        <w:rPr>
          <w:rFonts w:cstheme="minorHAnsi"/>
          <w:color w:val="231F20"/>
          <w:w w:val="105"/>
        </w:rPr>
        <w:t>firm,</w:t>
      </w:r>
      <w:r w:rsidRPr="008601E5">
        <w:rPr>
          <w:rFonts w:cstheme="minorHAnsi"/>
          <w:color w:val="231F20"/>
          <w:w w:val="105"/>
        </w:rPr>
        <w:t xml:space="preserve"> </w:t>
      </w:r>
      <w:r w:rsidRPr="009F06AF">
        <w:rPr>
          <w:rFonts w:cstheme="minorHAnsi"/>
          <w:color w:val="231F20"/>
          <w:w w:val="105"/>
        </w:rPr>
        <w:t>it</w:t>
      </w:r>
      <w:r w:rsidRPr="008601E5">
        <w:rPr>
          <w:rFonts w:cstheme="minorHAnsi"/>
          <w:color w:val="231F20"/>
          <w:w w:val="105"/>
        </w:rPr>
        <w:t xml:space="preserve"> </w:t>
      </w:r>
      <w:r w:rsidRPr="009F06AF">
        <w:rPr>
          <w:rFonts w:cstheme="minorHAnsi"/>
          <w:color w:val="231F20"/>
          <w:w w:val="105"/>
        </w:rPr>
        <w:t>is</w:t>
      </w:r>
      <w:r w:rsidRPr="008601E5">
        <w:rPr>
          <w:rFonts w:cstheme="minorHAnsi"/>
          <w:color w:val="231F20"/>
          <w:w w:val="105"/>
        </w:rPr>
        <w:t xml:space="preserve"> </w:t>
      </w:r>
      <w:r w:rsidRPr="009F06AF">
        <w:rPr>
          <w:rFonts w:cstheme="minorHAnsi"/>
          <w:color w:val="231F20"/>
          <w:w w:val="105"/>
        </w:rPr>
        <w:t>encouraged</w:t>
      </w:r>
      <w:r w:rsidRPr="008601E5">
        <w:rPr>
          <w:rFonts w:cstheme="minorHAnsi"/>
          <w:color w:val="231F20"/>
          <w:w w:val="105"/>
        </w:rPr>
        <w:t xml:space="preserve"> </w:t>
      </w:r>
      <w:r w:rsidRPr="009F06AF">
        <w:rPr>
          <w:rFonts w:cstheme="minorHAnsi"/>
          <w:color w:val="231F20"/>
          <w:w w:val="105"/>
        </w:rPr>
        <w:t>that</w:t>
      </w:r>
      <w:r w:rsidRPr="008601E5">
        <w:rPr>
          <w:rFonts w:cstheme="minorHAnsi"/>
          <w:color w:val="231F20"/>
          <w:w w:val="105"/>
        </w:rPr>
        <w:t xml:space="preserve"> </w:t>
      </w:r>
      <w:r w:rsidRPr="009F06AF">
        <w:rPr>
          <w:rFonts w:cstheme="minorHAnsi"/>
          <w:color w:val="231F20"/>
          <w:w w:val="105"/>
        </w:rPr>
        <w:t>a</w:t>
      </w:r>
      <w:r w:rsidRPr="008601E5">
        <w:rPr>
          <w:rFonts w:cstheme="minorHAnsi"/>
          <w:color w:val="231F20"/>
          <w:w w:val="105"/>
        </w:rPr>
        <w:t xml:space="preserve"> </w:t>
      </w:r>
      <w:r w:rsidRPr="009F06AF">
        <w:rPr>
          <w:rFonts w:cstheme="minorHAnsi"/>
          <w:color w:val="231F20"/>
          <w:w w:val="105"/>
        </w:rPr>
        <w:t>Rapid</w:t>
      </w:r>
      <w:r w:rsidRPr="008601E5">
        <w:rPr>
          <w:rFonts w:cstheme="minorHAnsi"/>
          <w:color w:val="231F20"/>
          <w:w w:val="105"/>
        </w:rPr>
        <w:t xml:space="preserve"> </w:t>
      </w:r>
      <w:r w:rsidRPr="009F06AF">
        <w:rPr>
          <w:rFonts w:cstheme="minorHAnsi"/>
          <w:color w:val="231F20"/>
          <w:w w:val="105"/>
        </w:rPr>
        <w:t>Response</w:t>
      </w:r>
      <w:r w:rsidRPr="008601E5">
        <w:rPr>
          <w:rFonts w:cstheme="minorHAnsi"/>
          <w:color w:val="231F20"/>
          <w:w w:val="105"/>
        </w:rPr>
        <w:t xml:space="preserve"> </w:t>
      </w:r>
      <w:r w:rsidR="008D4447">
        <w:rPr>
          <w:rFonts w:cstheme="minorHAnsi"/>
          <w:color w:val="231F20"/>
          <w:w w:val="105"/>
        </w:rPr>
        <w:t>m</w:t>
      </w:r>
      <w:r w:rsidRPr="009F06AF">
        <w:rPr>
          <w:rFonts w:cstheme="minorHAnsi"/>
          <w:color w:val="231F20"/>
          <w:w w:val="105"/>
        </w:rPr>
        <w:t>eeting</w:t>
      </w:r>
      <w:r w:rsidRPr="008601E5">
        <w:rPr>
          <w:rFonts w:cstheme="minorHAnsi"/>
          <w:color w:val="231F20"/>
          <w:w w:val="105"/>
        </w:rPr>
        <w:t xml:space="preserve"> </w:t>
      </w:r>
      <w:r w:rsidR="00492C20" w:rsidRPr="009F06AF">
        <w:rPr>
          <w:rFonts w:cstheme="minorHAnsi"/>
          <w:color w:val="231F20"/>
          <w:w w:val="105"/>
        </w:rPr>
        <w:t xml:space="preserve">be </w:t>
      </w:r>
      <w:r w:rsidRPr="009F06AF">
        <w:rPr>
          <w:rFonts w:cstheme="minorHAnsi"/>
          <w:color w:val="231F20"/>
          <w:w w:val="105"/>
        </w:rPr>
        <w:t>conducted.</w:t>
      </w:r>
      <w:r w:rsidRPr="008601E5">
        <w:rPr>
          <w:rFonts w:cstheme="minorHAnsi"/>
          <w:color w:val="231F20"/>
          <w:w w:val="105"/>
        </w:rPr>
        <w:t xml:space="preserve"> </w:t>
      </w:r>
      <w:r w:rsidRPr="009F06AF">
        <w:rPr>
          <w:rFonts w:cstheme="minorHAnsi"/>
          <w:color w:val="231F20"/>
          <w:w w:val="105"/>
        </w:rPr>
        <w:t>If</w:t>
      </w:r>
      <w:r w:rsidRPr="008601E5">
        <w:rPr>
          <w:rFonts w:cstheme="minorHAnsi"/>
          <w:color w:val="231F20"/>
          <w:w w:val="105"/>
        </w:rPr>
        <w:t xml:space="preserve"> </w:t>
      </w:r>
      <w:r w:rsidRPr="009F06AF">
        <w:rPr>
          <w:rFonts w:cstheme="minorHAnsi"/>
          <w:color w:val="231F20"/>
          <w:w w:val="105"/>
        </w:rPr>
        <w:t>the</w:t>
      </w:r>
      <w:r w:rsidRPr="008601E5">
        <w:rPr>
          <w:rFonts w:cstheme="minorHAnsi"/>
          <w:color w:val="231F20"/>
          <w:w w:val="105"/>
        </w:rPr>
        <w:t xml:space="preserve"> </w:t>
      </w:r>
      <w:r w:rsidRPr="009F06AF">
        <w:rPr>
          <w:rFonts w:cstheme="minorHAnsi"/>
          <w:color w:val="231F20"/>
          <w:w w:val="105"/>
        </w:rPr>
        <w:t>petition</w:t>
      </w:r>
      <w:r w:rsidRPr="008601E5">
        <w:rPr>
          <w:rFonts w:cstheme="minorHAnsi"/>
          <w:color w:val="231F20"/>
          <w:w w:val="105"/>
        </w:rPr>
        <w:t xml:space="preserve"> </w:t>
      </w:r>
      <w:r w:rsidR="00492C20" w:rsidRPr="009F06AF">
        <w:rPr>
          <w:rFonts w:cstheme="minorHAnsi"/>
          <w:color w:val="231F20"/>
          <w:w w:val="105"/>
        </w:rPr>
        <w:t xml:space="preserve">is </w:t>
      </w:r>
      <w:r w:rsidRPr="009F06AF">
        <w:rPr>
          <w:rFonts w:cstheme="minorHAnsi"/>
          <w:color w:val="231F20"/>
          <w:w w:val="105"/>
        </w:rPr>
        <w:t>approved</w:t>
      </w:r>
      <w:r w:rsidRPr="008601E5">
        <w:rPr>
          <w:rFonts w:cstheme="minorHAnsi"/>
          <w:color w:val="231F20"/>
          <w:w w:val="105"/>
        </w:rPr>
        <w:t xml:space="preserve"> </w:t>
      </w:r>
      <w:r w:rsidRPr="009F06AF">
        <w:rPr>
          <w:rFonts w:cstheme="minorHAnsi"/>
          <w:color w:val="231F20"/>
          <w:w w:val="105"/>
        </w:rPr>
        <w:t>and</w:t>
      </w:r>
      <w:r w:rsidRPr="008601E5">
        <w:rPr>
          <w:rFonts w:cstheme="minorHAnsi"/>
          <w:color w:val="231F20"/>
          <w:w w:val="105"/>
        </w:rPr>
        <w:t xml:space="preserve"> </w:t>
      </w:r>
      <w:r w:rsidRPr="009F06AF">
        <w:rPr>
          <w:rFonts w:cstheme="minorHAnsi"/>
          <w:color w:val="231F20"/>
          <w:w w:val="105"/>
        </w:rPr>
        <w:t>rapid</w:t>
      </w:r>
      <w:r w:rsidRPr="008601E5">
        <w:rPr>
          <w:rFonts w:cstheme="minorHAnsi"/>
          <w:color w:val="231F20"/>
          <w:w w:val="105"/>
        </w:rPr>
        <w:t xml:space="preserve"> </w:t>
      </w:r>
      <w:r w:rsidRPr="009F06AF">
        <w:rPr>
          <w:rFonts w:cstheme="minorHAnsi"/>
          <w:color w:val="231F20"/>
          <w:w w:val="105"/>
        </w:rPr>
        <w:t>response</w:t>
      </w:r>
      <w:r w:rsidRPr="008601E5">
        <w:rPr>
          <w:rFonts w:cstheme="minorHAnsi"/>
          <w:color w:val="231F20"/>
          <w:w w:val="105"/>
        </w:rPr>
        <w:t xml:space="preserve"> </w:t>
      </w:r>
      <w:r w:rsidRPr="009F06AF">
        <w:rPr>
          <w:rFonts w:cstheme="minorHAnsi"/>
          <w:color w:val="231F20"/>
          <w:w w:val="105"/>
        </w:rPr>
        <w:t>has</w:t>
      </w:r>
      <w:r w:rsidRPr="008601E5">
        <w:rPr>
          <w:rFonts w:cstheme="minorHAnsi"/>
          <w:color w:val="231F20"/>
          <w:w w:val="105"/>
        </w:rPr>
        <w:t xml:space="preserve"> </w:t>
      </w:r>
      <w:r w:rsidRPr="009F06AF">
        <w:rPr>
          <w:rFonts w:cstheme="minorHAnsi"/>
          <w:color w:val="231F20"/>
          <w:w w:val="105"/>
        </w:rPr>
        <w:t>not</w:t>
      </w:r>
      <w:r w:rsidRPr="008601E5">
        <w:rPr>
          <w:rFonts w:cstheme="minorHAnsi"/>
          <w:color w:val="231F20"/>
          <w:w w:val="105"/>
        </w:rPr>
        <w:t xml:space="preserve"> </w:t>
      </w:r>
      <w:r w:rsidRPr="009F06AF">
        <w:rPr>
          <w:rFonts w:cstheme="minorHAnsi"/>
          <w:color w:val="231F20"/>
          <w:w w:val="105"/>
        </w:rPr>
        <w:t>been</w:t>
      </w:r>
      <w:r w:rsidRPr="008601E5">
        <w:rPr>
          <w:rFonts w:cstheme="minorHAnsi"/>
          <w:color w:val="231F20"/>
          <w:w w:val="105"/>
        </w:rPr>
        <w:t xml:space="preserve"> </w:t>
      </w:r>
      <w:r w:rsidRPr="009F06AF">
        <w:rPr>
          <w:rFonts w:cstheme="minorHAnsi"/>
          <w:color w:val="231F20"/>
          <w:w w:val="105"/>
        </w:rPr>
        <w:t>conducted,</w:t>
      </w:r>
      <w:r w:rsidRPr="008601E5">
        <w:rPr>
          <w:rFonts w:cstheme="minorHAnsi"/>
          <w:color w:val="231F20"/>
          <w:w w:val="105"/>
        </w:rPr>
        <w:t xml:space="preserve"> </w:t>
      </w:r>
      <w:r w:rsidRPr="009F06AF">
        <w:rPr>
          <w:rFonts w:cstheme="minorHAnsi"/>
          <w:color w:val="231F20"/>
          <w:w w:val="105"/>
        </w:rPr>
        <w:t>the</w:t>
      </w:r>
      <w:r w:rsidRPr="008601E5">
        <w:rPr>
          <w:rFonts w:cstheme="minorHAnsi"/>
          <w:color w:val="231F20"/>
          <w:w w:val="105"/>
        </w:rPr>
        <w:t xml:space="preserve"> </w:t>
      </w:r>
      <w:r w:rsidRPr="009F06AF">
        <w:rPr>
          <w:rFonts w:cstheme="minorHAnsi"/>
          <w:color w:val="231F20"/>
          <w:w w:val="105"/>
        </w:rPr>
        <w:t>State</w:t>
      </w:r>
      <w:r w:rsidRPr="008601E5">
        <w:rPr>
          <w:rFonts w:cstheme="minorHAnsi"/>
          <w:color w:val="231F20"/>
          <w:w w:val="105"/>
        </w:rPr>
        <w:t xml:space="preserve"> Trade </w:t>
      </w:r>
      <w:r w:rsidRPr="009F06AF">
        <w:rPr>
          <w:rFonts w:cstheme="minorHAnsi"/>
          <w:color w:val="231F20"/>
          <w:w w:val="105"/>
        </w:rPr>
        <w:t>Coordinator</w:t>
      </w:r>
      <w:r w:rsidRPr="008601E5">
        <w:rPr>
          <w:rFonts w:cstheme="minorHAnsi"/>
          <w:color w:val="231F20"/>
          <w:w w:val="105"/>
        </w:rPr>
        <w:t xml:space="preserve"> </w:t>
      </w:r>
      <w:r w:rsidRPr="009F06AF">
        <w:rPr>
          <w:rFonts w:cstheme="minorHAnsi"/>
          <w:color w:val="231F20"/>
          <w:w w:val="105"/>
        </w:rPr>
        <w:t>ensures</w:t>
      </w:r>
      <w:r w:rsidRPr="008601E5">
        <w:rPr>
          <w:rFonts w:cstheme="minorHAnsi"/>
          <w:color w:val="231F20"/>
          <w:w w:val="105"/>
        </w:rPr>
        <w:t xml:space="preserve"> </w:t>
      </w:r>
      <w:r w:rsidRPr="009F06AF">
        <w:rPr>
          <w:rFonts w:cstheme="minorHAnsi"/>
          <w:color w:val="231F20"/>
          <w:w w:val="105"/>
        </w:rPr>
        <w:t>a</w:t>
      </w:r>
      <w:r w:rsidRPr="008601E5">
        <w:rPr>
          <w:rFonts w:cstheme="minorHAnsi"/>
          <w:color w:val="231F20"/>
          <w:w w:val="105"/>
        </w:rPr>
        <w:t xml:space="preserve"> </w:t>
      </w:r>
      <w:r w:rsidRPr="009F06AF">
        <w:rPr>
          <w:rFonts w:cstheme="minorHAnsi"/>
          <w:color w:val="231F20"/>
          <w:w w:val="105"/>
        </w:rPr>
        <w:t>combined</w:t>
      </w:r>
      <w:r w:rsidRPr="008601E5">
        <w:rPr>
          <w:rFonts w:cstheme="minorHAnsi"/>
          <w:color w:val="231F20"/>
          <w:w w:val="105"/>
        </w:rPr>
        <w:t xml:space="preserve"> </w:t>
      </w:r>
      <w:r w:rsidRPr="009F06AF">
        <w:rPr>
          <w:rFonts w:cstheme="minorHAnsi"/>
          <w:color w:val="231F20"/>
          <w:w w:val="105"/>
        </w:rPr>
        <w:t>Rapid</w:t>
      </w:r>
      <w:r w:rsidRPr="008601E5">
        <w:rPr>
          <w:rFonts w:cstheme="minorHAnsi"/>
          <w:color w:val="231F20"/>
          <w:w w:val="105"/>
        </w:rPr>
        <w:t xml:space="preserve"> </w:t>
      </w:r>
      <w:r w:rsidRPr="009F06AF">
        <w:rPr>
          <w:rFonts w:cstheme="minorHAnsi"/>
          <w:color w:val="231F20"/>
          <w:w w:val="105"/>
        </w:rPr>
        <w:t>Response/TAA</w:t>
      </w:r>
      <w:r w:rsidRPr="008601E5">
        <w:rPr>
          <w:rFonts w:cstheme="minorHAnsi"/>
          <w:color w:val="231F20"/>
          <w:w w:val="105"/>
        </w:rPr>
        <w:t xml:space="preserve"> </w:t>
      </w:r>
      <w:r w:rsidR="004201B5">
        <w:rPr>
          <w:rFonts w:cstheme="minorHAnsi"/>
          <w:color w:val="231F20"/>
          <w:w w:val="105"/>
        </w:rPr>
        <w:t>i</w:t>
      </w:r>
      <w:r w:rsidRPr="009F06AF">
        <w:rPr>
          <w:rFonts w:cstheme="minorHAnsi"/>
          <w:color w:val="231F20"/>
          <w:w w:val="105"/>
        </w:rPr>
        <w:t>nformation</w:t>
      </w:r>
      <w:r w:rsidRPr="008601E5">
        <w:rPr>
          <w:rFonts w:cstheme="minorHAnsi"/>
          <w:color w:val="231F20"/>
          <w:w w:val="105"/>
        </w:rPr>
        <w:t xml:space="preserve"> </w:t>
      </w:r>
      <w:r w:rsidR="004201B5">
        <w:rPr>
          <w:rFonts w:cstheme="minorHAnsi"/>
          <w:color w:val="231F20"/>
          <w:w w:val="105"/>
        </w:rPr>
        <w:t>m</w:t>
      </w:r>
      <w:r w:rsidRPr="009F06AF">
        <w:rPr>
          <w:rFonts w:cstheme="minorHAnsi"/>
          <w:color w:val="231F20"/>
          <w:w w:val="105"/>
        </w:rPr>
        <w:t>eeting</w:t>
      </w:r>
      <w:r w:rsidRPr="008601E5">
        <w:rPr>
          <w:rFonts w:cstheme="minorHAnsi"/>
          <w:color w:val="231F20"/>
          <w:w w:val="105"/>
        </w:rPr>
        <w:t xml:space="preserve"> </w:t>
      </w:r>
      <w:r w:rsidRPr="009F06AF">
        <w:rPr>
          <w:rFonts w:cstheme="minorHAnsi"/>
          <w:color w:val="231F20"/>
          <w:w w:val="105"/>
        </w:rPr>
        <w:t>is</w:t>
      </w:r>
      <w:r w:rsidRPr="008601E5">
        <w:rPr>
          <w:rFonts w:cstheme="minorHAnsi"/>
          <w:color w:val="231F20"/>
          <w:w w:val="105"/>
        </w:rPr>
        <w:t xml:space="preserve"> </w:t>
      </w:r>
      <w:r w:rsidRPr="009F06AF">
        <w:rPr>
          <w:rFonts w:cstheme="minorHAnsi"/>
          <w:color w:val="231F20"/>
          <w:w w:val="105"/>
        </w:rPr>
        <w:t>conducted</w:t>
      </w:r>
      <w:r w:rsidRPr="008601E5">
        <w:rPr>
          <w:rFonts w:cstheme="minorHAnsi"/>
          <w:color w:val="231F20"/>
          <w:w w:val="105"/>
        </w:rPr>
        <w:t xml:space="preserve"> </w:t>
      </w:r>
      <w:r w:rsidRPr="009F06AF">
        <w:rPr>
          <w:rFonts w:cstheme="minorHAnsi"/>
          <w:color w:val="231F20"/>
          <w:w w:val="105"/>
        </w:rPr>
        <w:t>for</w:t>
      </w:r>
      <w:r w:rsidRPr="008601E5">
        <w:rPr>
          <w:rFonts w:cstheme="minorHAnsi"/>
          <w:color w:val="231F20"/>
          <w:w w:val="105"/>
        </w:rPr>
        <w:t xml:space="preserve"> </w:t>
      </w:r>
      <w:r w:rsidRPr="009F06AF">
        <w:rPr>
          <w:rFonts w:cstheme="minorHAnsi"/>
          <w:color w:val="231F20"/>
          <w:w w:val="105"/>
        </w:rPr>
        <w:t>the</w:t>
      </w:r>
      <w:r w:rsidRPr="008601E5">
        <w:rPr>
          <w:rFonts w:cstheme="minorHAnsi"/>
          <w:color w:val="231F20"/>
          <w:w w:val="105"/>
        </w:rPr>
        <w:t xml:space="preserve"> </w:t>
      </w:r>
      <w:r w:rsidRPr="009F06AF">
        <w:rPr>
          <w:rFonts w:cstheme="minorHAnsi"/>
          <w:color w:val="231F20"/>
          <w:w w:val="105"/>
        </w:rPr>
        <w:t>group.</w:t>
      </w:r>
      <w:r w:rsidRPr="008601E5">
        <w:rPr>
          <w:rFonts w:cstheme="minorHAnsi"/>
          <w:color w:val="231F20"/>
          <w:w w:val="105"/>
        </w:rPr>
        <w:t xml:space="preserve"> </w:t>
      </w:r>
      <w:r w:rsidRPr="009F06AF">
        <w:rPr>
          <w:rFonts w:cstheme="minorHAnsi"/>
          <w:color w:val="231F20"/>
          <w:w w:val="105"/>
        </w:rPr>
        <w:t>Staff</w:t>
      </w:r>
      <w:r w:rsidRPr="008601E5">
        <w:rPr>
          <w:rFonts w:cstheme="minorHAnsi"/>
          <w:color w:val="231F20"/>
          <w:w w:val="105"/>
        </w:rPr>
        <w:t xml:space="preserve"> </w:t>
      </w:r>
      <w:r w:rsidRPr="009F06AF">
        <w:rPr>
          <w:rFonts w:cstheme="minorHAnsi"/>
          <w:color w:val="231F20"/>
          <w:w w:val="105"/>
        </w:rPr>
        <w:t>maintains</w:t>
      </w:r>
      <w:r w:rsidRPr="008601E5">
        <w:rPr>
          <w:rFonts w:cstheme="minorHAnsi"/>
          <w:color w:val="231F20"/>
          <w:w w:val="105"/>
        </w:rPr>
        <w:t xml:space="preserve"> </w:t>
      </w:r>
      <w:r w:rsidRPr="009F06AF">
        <w:rPr>
          <w:rFonts w:cstheme="minorHAnsi"/>
          <w:color w:val="231F20"/>
          <w:w w:val="105"/>
        </w:rPr>
        <w:t>a</w:t>
      </w:r>
      <w:r w:rsidRPr="008601E5">
        <w:rPr>
          <w:rFonts w:cstheme="minorHAnsi"/>
          <w:color w:val="231F20"/>
          <w:w w:val="105"/>
        </w:rPr>
        <w:t xml:space="preserve"> </w:t>
      </w:r>
      <w:r w:rsidRPr="009F06AF">
        <w:rPr>
          <w:rFonts w:cstheme="minorHAnsi"/>
          <w:color w:val="231F20"/>
          <w:w w:val="105"/>
        </w:rPr>
        <w:t>roster</w:t>
      </w:r>
      <w:r w:rsidRPr="008601E5">
        <w:rPr>
          <w:rFonts w:cstheme="minorHAnsi"/>
          <w:color w:val="231F20"/>
          <w:w w:val="105"/>
        </w:rPr>
        <w:t xml:space="preserve"> </w:t>
      </w:r>
      <w:r w:rsidRPr="009F06AF">
        <w:rPr>
          <w:rFonts w:cstheme="minorHAnsi"/>
          <w:color w:val="231F20"/>
          <w:w w:val="105"/>
        </w:rPr>
        <w:t>of</w:t>
      </w:r>
      <w:r w:rsidRPr="008601E5">
        <w:rPr>
          <w:rFonts w:cstheme="minorHAnsi"/>
          <w:color w:val="231F20"/>
          <w:w w:val="105"/>
        </w:rPr>
        <w:t xml:space="preserve"> </w:t>
      </w:r>
      <w:r w:rsidRPr="009F06AF">
        <w:rPr>
          <w:rFonts w:cstheme="minorHAnsi"/>
          <w:color w:val="231F20"/>
          <w:w w:val="105"/>
        </w:rPr>
        <w:t>customers</w:t>
      </w:r>
      <w:r w:rsidRPr="008601E5">
        <w:rPr>
          <w:rFonts w:cstheme="minorHAnsi"/>
          <w:color w:val="231F20"/>
          <w:w w:val="105"/>
        </w:rPr>
        <w:t xml:space="preserve"> </w:t>
      </w:r>
      <w:r w:rsidRPr="009F06AF">
        <w:rPr>
          <w:rFonts w:cstheme="minorHAnsi"/>
          <w:color w:val="231F20"/>
          <w:w w:val="105"/>
        </w:rPr>
        <w:t>who</w:t>
      </w:r>
      <w:r w:rsidRPr="008601E5">
        <w:rPr>
          <w:rFonts w:cstheme="minorHAnsi"/>
          <w:color w:val="231F20"/>
          <w:w w:val="105"/>
        </w:rPr>
        <w:t xml:space="preserve"> </w:t>
      </w:r>
      <w:r w:rsidRPr="009F06AF">
        <w:rPr>
          <w:rFonts w:cstheme="minorHAnsi"/>
          <w:color w:val="231F20"/>
          <w:w w:val="105"/>
        </w:rPr>
        <w:t>attended</w:t>
      </w:r>
      <w:r w:rsidRPr="008601E5">
        <w:rPr>
          <w:rFonts w:cstheme="minorHAnsi"/>
          <w:color w:val="231F20"/>
          <w:w w:val="105"/>
        </w:rPr>
        <w:t xml:space="preserve"> </w:t>
      </w:r>
      <w:r w:rsidRPr="009F06AF">
        <w:rPr>
          <w:rFonts w:cstheme="minorHAnsi"/>
          <w:color w:val="231F20"/>
          <w:w w:val="105"/>
        </w:rPr>
        <w:t>orientation</w:t>
      </w:r>
      <w:r w:rsidRPr="008601E5">
        <w:rPr>
          <w:rFonts w:cstheme="minorHAnsi"/>
          <w:color w:val="231F20"/>
          <w:w w:val="105"/>
        </w:rPr>
        <w:t xml:space="preserve"> </w:t>
      </w:r>
      <w:r w:rsidRPr="009F06AF">
        <w:rPr>
          <w:rFonts w:cstheme="minorHAnsi"/>
          <w:color w:val="231F20"/>
          <w:w w:val="105"/>
        </w:rPr>
        <w:t>meetings</w:t>
      </w:r>
      <w:r w:rsidRPr="008601E5">
        <w:rPr>
          <w:rFonts w:cstheme="minorHAnsi"/>
          <w:color w:val="231F20"/>
          <w:w w:val="105"/>
        </w:rPr>
        <w:t xml:space="preserve"> </w:t>
      </w:r>
      <w:r w:rsidRPr="009F06AF">
        <w:rPr>
          <w:rFonts w:cstheme="minorHAnsi"/>
          <w:color w:val="231F20"/>
          <w:w w:val="105"/>
        </w:rPr>
        <w:t>and</w:t>
      </w:r>
      <w:r w:rsidRPr="008601E5">
        <w:rPr>
          <w:rFonts w:cstheme="minorHAnsi"/>
          <w:color w:val="231F20"/>
          <w:w w:val="105"/>
        </w:rPr>
        <w:t xml:space="preserve"> </w:t>
      </w:r>
      <w:r w:rsidRPr="009F06AF">
        <w:rPr>
          <w:rFonts w:cstheme="minorHAnsi"/>
          <w:color w:val="231F20"/>
          <w:w w:val="105"/>
        </w:rPr>
        <w:t>record</w:t>
      </w:r>
      <w:r w:rsidR="00492C20" w:rsidRPr="009F06AF">
        <w:rPr>
          <w:rFonts w:cstheme="minorHAnsi"/>
          <w:color w:val="231F20"/>
          <w:w w:val="105"/>
        </w:rPr>
        <w:t>s</w:t>
      </w:r>
      <w:r w:rsidRPr="008601E5">
        <w:rPr>
          <w:rFonts w:cstheme="minorHAnsi"/>
          <w:color w:val="231F20"/>
          <w:w w:val="105"/>
        </w:rPr>
        <w:t xml:space="preserve"> </w:t>
      </w:r>
      <w:r w:rsidRPr="009F06AF">
        <w:rPr>
          <w:rFonts w:cstheme="minorHAnsi"/>
          <w:color w:val="231F20"/>
          <w:w w:val="105"/>
        </w:rPr>
        <w:t>information in the state management information system (Employ Florida</w:t>
      </w:r>
      <w:r w:rsidRPr="008601E5">
        <w:rPr>
          <w:rFonts w:cstheme="minorHAnsi"/>
          <w:color w:val="231F20"/>
          <w:w w:val="105"/>
        </w:rPr>
        <w:t xml:space="preserve"> </w:t>
      </w:r>
      <w:r w:rsidRPr="009F06AF">
        <w:rPr>
          <w:rFonts w:cstheme="minorHAnsi"/>
          <w:color w:val="231F20"/>
          <w:w w:val="105"/>
        </w:rPr>
        <w:t>Marketplace).</w:t>
      </w:r>
    </w:p>
    <w:p w14:paraId="2D5F966A" w14:textId="77777777" w:rsidR="00EA7458" w:rsidRPr="009F06AF" w:rsidRDefault="00EA7458" w:rsidP="00D63204">
      <w:pPr>
        <w:widowControl w:val="0"/>
        <w:spacing w:before="5" w:after="0" w:line="240" w:lineRule="auto"/>
        <w:ind w:left="107"/>
        <w:rPr>
          <w:rFonts w:cstheme="minorHAnsi"/>
          <w:sz w:val="16"/>
          <w:szCs w:val="16"/>
        </w:rPr>
      </w:pPr>
    </w:p>
    <w:p w14:paraId="471A22E5" w14:textId="4F5339CB" w:rsidR="00EA7458" w:rsidRPr="009F06AF" w:rsidRDefault="00EA7458" w:rsidP="00D63204">
      <w:pPr>
        <w:widowControl w:val="0"/>
        <w:spacing w:after="0" w:line="264" w:lineRule="exact"/>
        <w:ind w:left="107"/>
        <w:rPr>
          <w:rFonts w:cstheme="minorHAnsi"/>
        </w:rPr>
      </w:pPr>
      <w:r w:rsidRPr="009F06AF">
        <w:rPr>
          <w:rFonts w:cstheme="minorHAnsi"/>
          <w:color w:val="231F20"/>
          <w:w w:val="105"/>
        </w:rPr>
        <w:t>When</w:t>
      </w:r>
      <w:r w:rsidRPr="009F06AF">
        <w:rPr>
          <w:rFonts w:cstheme="minorHAnsi"/>
          <w:color w:val="231F20"/>
          <w:spacing w:val="16"/>
          <w:w w:val="105"/>
        </w:rPr>
        <w:t xml:space="preserve"> </w:t>
      </w:r>
      <w:r w:rsidRPr="009F06AF">
        <w:rPr>
          <w:rFonts w:cstheme="minorHAnsi"/>
          <w:color w:val="231F20"/>
          <w:w w:val="105"/>
        </w:rPr>
        <w:t>mass</w:t>
      </w:r>
      <w:r w:rsidRPr="009F06AF">
        <w:rPr>
          <w:rFonts w:cstheme="minorHAnsi"/>
          <w:color w:val="231F20"/>
          <w:spacing w:val="16"/>
          <w:w w:val="105"/>
        </w:rPr>
        <w:t xml:space="preserve"> </w:t>
      </w:r>
      <w:r w:rsidRPr="009F06AF">
        <w:rPr>
          <w:rFonts w:cstheme="minorHAnsi"/>
          <w:color w:val="231F20"/>
          <w:w w:val="105"/>
        </w:rPr>
        <w:t>layoffs</w:t>
      </w:r>
      <w:r w:rsidRPr="009F06AF">
        <w:rPr>
          <w:rFonts w:cstheme="minorHAnsi"/>
          <w:color w:val="231F20"/>
          <w:spacing w:val="16"/>
          <w:w w:val="105"/>
        </w:rPr>
        <w:t xml:space="preserve"> </w:t>
      </w:r>
      <w:r w:rsidRPr="009F06AF">
        <w:rPr>
          <w:rFonts w:cstheme="minorHAnsi"/>
          <w:color w:val="231F20"/>
          <w:w w:val="105"/>
        </w:rPr>
        <w:t>occur</w:t>
      </w:r>
      <w:r w:rsidRPr="009F06AF">
        <w:rPr>
          <w:rFonts w:cstheme="minorHAnsi"/>
          <w:color w:val="231F20"/>
          <w:spacing w:val="16"/>
          <w:w w:val="105"/>
        </w:rPr>
        <w:t xml:space="preserve"> </w:t>
      </w:r>
      <w:r w:rsidR="00492C20" w:rsidRPr="009F06AF">
        <w:rPr>
          <w:rFonts w:cstheme="minorHAnsi"/>
          <w:color w:val="231F20"/>
          <w:w w:val="105"/>
        </w:rPr>
        <w:t xml:space="preserve">and </w:t>
      </w:r>
      <w:r w:rsidRPr="009F06AF">
        <w:rPr>
          <w:rFonts w:cstheme="minorHAnsi"/>
          <w:color w:val="231F20"/>
          <w:w w:val="105"/>
        </w:rPr>
        <w:t>state</w:t>
      </w:r>
      <w:r w:rsidRPr="009F06AF">
        <w:rPr>
          <w:rFonts w:cstheme="minorHAnsi"/>
          <w:color w:val="231F20"/>
          <w:spacing w:val="16"/>
          <w:w w:val="105"/>
        </w:rPr>
        <w:t xml:space="preserve"> </w:t>
      </w:r>
      <w:r w:rsidRPr="009F06AF">
        <w:rPr>
          <w:rFonts w:cstheme="minorHAnsi"/>
          <w:color w:val="231F20"/>
          <w:w w:val="105"/>
        </w:rPr>
        <w:t>level</w:t>
      </w:r>
      <w:r w:rsidRPr="009F06AF">
        <w:rPr>
          <w:rFonts w:cstheme="minorHAnsi"/>
          <w:color w:val="231F20"/>
          <w:spacing w:val="16"/>
          <w:w w:val="105"/>
        </w:rPr>
        <w:t xml:space="preserve"> </w:t>
      </w:r>
      <w:r w:rsidRPr="009F06AF">
        <w:rPr>
          <w:rFonts w:cstheme="minorHAnsi"/>
          <w:color w:val="231F20"/>
          <w:w w:val="105"/>
        </w:rPr>
        <w:t>rapid</w:t>
      </w:r>
      <w:r w:rsidRPr="009F06AF">
        <w:rPr>
          <w:rFonts w:cstheme="minorHAnsi"/>
          <w:color w:val="231F20"/>
          <w:spacing w:val="16"/>
          <w:w w:val="105"/>
        </w:rPr>
        <w:t xml:space="preserve"> </w:t>
      </w:r>
      <w:r w:rsidRPr="009F06AF">
        <w:rPr>
          <w:rFonts w:cstheme="minorHAnsi"/>
          <w:color w:val="231F20"/>
          <w:w w:val="105"/>
        </w:rPr>
        <w:t>response</w:t>
      </w:r>
      <w:r w:rsidRPr="009F06AF">
        <w:rPr>
          <w:rFonts w:cstheme="minorHAnsi"/>
          <w:color w:val="231F20"/>
          <w:spacing w:val="16"/>
          <w:w w:val="105"/>
        </w:rPr>
        <w:t xml:space="preserve"> </w:t>
      </w:r>
      <w:r w:rsidRPr="009F06AF">
        <w:rPr>
          <w:rFonts w:cstheme="minorHAnsi"/>
          <w:color w:val="231F20"/>
          <w:w w:val="105"/>
        </w:rPr>
        <w:t>funding</w:t>
      </w:r>
      <w:r w:rsidRPr="009F06AF">
        <w:rPr>
          <w:rFonts w:cstheme="minorHAnsi"/>
          <w:color w:val="231F20"/>
          <w:spacing w:val="16"/>
          <w:w w:val="105"/>
        </w:rPr>
        <w:t xml:space="preserve"> </w:t>
      </w:r>
      <w:r w:rsidRPr="009F06AF">
        <w:rPr>
          <w:rFonts w:cstheme="minorHAnsi"/>
          <w:color w:val="231F20"/>
          <w:w w:val="105"/>
        </w:rPr>
        <w:t>is</w:t>
      </w:r>
      <w:r w:rsidRPr="009F06AF">
        <w:rPr>
          <w:rFonts w:cstheme="minorHAnsi"/>
          <w:color w:val="231F20"/>
          <w:spacing w:val="16"/>
          <w:w w:val="105"/>
        </w:rPr>
        <w:t xml:space="preserve"> </w:t>
      </w:r>
      <w:r w:rsidRPr="009F06AF">
        <w:rPr>
          <w:rFonts w:cstheme="minorHAnsi"/>
          <w:color w:val="231F20"/>
          <w:w w:val="105"/>
        </w:rPr>
        <w:t>needed,</w:t>
      </w:r>
      <w:r w:rsidRPr="009F06AF">
        <w:rPr>
          <w:rFonts w:cstheme="minorHAnsi"/>
          <w:color w:val="231F20"/>
          <w:spacing w:val="16"/>
          <w:w w:val="105"/>
        </w:rPr>
        <w:t xml:space="preserve"> </w:t>
      </w:r>
      <w:r w:rsidR="00492C20" w:rsidRPr="009F06AF">
        <w:rPr>
          <w:rFonts w:cstheme="minorHAnsi"/>
          <w:color w:val="231F20"/>
          <w:spacing w:val="-4"/>
          <w:w w:val="105"/>
        </w:rPr>
        <w:t xml:space="preserve">local workforce development boards </w:t>
      </w:r>
      <w:r w:rsidR="00492C20" w:rsidRPr="009F06AF">
        <w:rPr>
          <w:rFonts w:cstheme="minorHAnsi"/>
          <w:color w:val="231F20"/>
          <w:w w:val="105"/>
        </w:rPr>
        <w:t xml:space="preserve">may </w:t>
      </w:r>
      <w:r w:rsidRPr="009F06AF">
        <w:rPr>
          <w:rFonts w:cstheme="minorHAnsi"/>
          <w:color w:val="231F20"/>
          <w:w w:val="105"/>
        </w:rPr>
        <w:t>request</w:t>
      </w:r>
      <w:r w:rsidRPr="009F06AF">
        <w:rPr>
          <w:rFonts w:cstheme="minorHAnsi"/>
          <w:color w:val="231F20"/>
          <w:spacing w:val="16"/>
          <w:w w:val="105"/>
        </w:rPr>
        <w:t xml:space="preserve"> </w:t>
      </w:r>
      <w:r w:rsidRPr="009F06AF">
        <w:rPr>
          <w:rFonts w:cstheme="minorHAnsi"/>
          <w:color w:val="231F20"/>
          <w:w w:val="105"/>
        </w:rPr>
        <w:t>funds</w:t>
      </w:r>
      <w:r w:rsidRPr="009F06AF">
        <w:rPr>
          <w:rFonts w:cstheme="minorHAnsi"/>
          <w:color w:val="231F20"/>
          <w:w w:val="106"/>
        </w:rPr>
        <w:t xml:space="preserve"> </w:t>
      </w:r>
      <w:r w:rsidRPr="009F06AF">
        <w:rPr>
          <w:rFonts w:cstheme="minorHAnsi"/>
          <w:color w:val="231F20"/>
          <w:w w:val="105"/>
        </w:rPr>
        <w:t>to</w:t>
      </w:r>
      <w:r w:rsidRPr="009F06AF">
        <w:rPr>
          <w:rFonts w:cstheme="minorHAnsi"/>
          <w:color w:val="231F20"/>
          <w:spacing w:val="9"/>
          <w:w w:val="105"/>
        </w:rPr>
        <w:t xml:space="preserve"> </w:t>
      </w:r>
      <w:r w:rsidRPr="009F06AF">
        <w:rPr>
          <w:rFonts w:cstheme="minorHAnsi"/>
          <w:color w:val="231F20"/>
          <w:w w:val="105"/>
        </w:rPr>
        <w:t>assist</w:t>
      </w:r>
      <w:r w:rsidRPr="009F06AF">
        <w:rPr>
          <w:rFonts w:cstheme="minorHAnsi"/>
          <w:color w:val="231F20"/>
          <w:spacing w:val="9"/>
          <w:w w:val="105"/>
        </w:rPr>
        <w:t xml:space="preserve"> </w:t>
      </w:r>
      <w:r w:rsidRPr="009F06AF">
        <w:rPr>
          <w:rFonts w:cstheme="minorHAnsi"/>
          <w:color w:val="231F20"/>
          <w:w w:val="105"/>
        </w:rPr>
        <w:t>workers</w:t>
      </w:r>
      <w:r w:rsidRPr="009F06AF">
        <w:rPr>
          <w:rFonts w:cstheme="minorHAnsi"/>
          <w:color w:val="231F20"/>
          <w:spacing w:val="9"/>
          <w:w w:val="105"/>
        </w:rPr>
        <w:t xml:space="preserve"> </w:t>
      </w:r>
      <w:r w:rsidRPr="009F06AF">
        <w:rPr>
          <w:rFonts w:cstheme="minorHAnsi"/>
          <w:color w:val="231F20"/>
          <w:w w:val="105"/>
        </w:rPr>
        <w:t>in</w:t>
      </w:r>
      <w:r w:rsidRPr="009F06AF">
        <w:rPr>
          <w:rFonts w:cstheme="minorHAnsi"/>
          <w:color w:val="231F20"/>
          <w:spacing w:val="9"/>
          <w:w w:val="105"/>
        </w:rPr>
        <w:t xml:space="preserve"> </w:t>
      </w:r>
      <w:r w:rsidRPr="009F06AF">
        <w:rPr>
          <w:rFonts w:cstheme="minorHAnsi"/>
          <w:color w:val="231F20"/>
          <w:w w:val="105"/>
        </w:rPr>
        <w:t>need</w:t>
      </w:r>
      <w:r w:rsidRPr="009F06AF">
        <w:rPr>
          <w:rFonts w:cstheme="minorHAnsi"/>
          <w:color w:val="231F20"/>
          <w:spacing w:val="9"/>
          <w:w w:val="105"/>
        </w:rPr>
        <w:t xml:space="preserve"> </w:t>
      </w:r>
      <w:r w:rsidRPr="009F06AF">
        <w:rPr>
          <w:rFonts w:cstheme="minorHAnsi"/>
          <w:color w:val="231F20"/>
          <w:w w:val="105"/>
        </w:rPr>
        <w:t>of</w:t>
      </w:r>
      <w:r w:rsidRPr="009F06AF">
        <w:rPr>
          <w:rFonts w:cstheme="minorHAnsi"/>
          <w:color w:val="231F20"/>
          <w:spacing w:val="9"/>
          <w:w w:val="105"/>
        </w:rPr>
        <w:t xml:space="preserve"> </w:t>
      </w:r>
      <w:r w:rsidRPr="009F06AF">
        <w:rPr>
          <w:rFonts w:cstheme="minorHAnsi"/>
          <w:color w:val="231F20"/>
          <w:w w:val="105"/>
        </w:rPr>
        <w:t>career</w:t>
      </w:r>
      <w:r w:rsidRPr="009F06AF">
        <w:rPr>
          <w:rFonts w:cstheme="minorHAnsi"/>
          <w:color w:val="231F20"/>
          <w:spacing w:val="9"/>
          <w:w w:val="105"/>
        </w:rPr>
        <w:t xml:space="preserve"> </w:t>
      </w:r>
      <w:r w:rsidRPr="009F06AF">
        <w:rPr>
          <w:rFonts w:cstheme="minorHAnsi"/>
          <w:color w:val="231F20"/>
          <w:w w:val="105"/>
        </w:rPr>
        <w:t>counseling,</w:t>
      </w:r>
      <w:r w:rsidRPr="009F06AF">
        <w:rPr>
          <w:rFonts w:cstheme="minorHAnsi"/>
          <w:color w:val="231F20"/>
          <w:spacing w:val="9"/>
          <w:w w:val="105"/>
        </w:rPr>
        <w:t xml:space="preserve"> </w:t>
      </w:r>
      <w:r w:rsidRPr="009F06AF">
        <w:rPr>
          <w:rFonts w:cstheme="minorHAnsi"/>
          <w:color w:val="231F20"/>
          <w:w w:val="105"/>
        </w:rPr>
        <w:t>resume</w:t>
      </w:r>
      <w:r w:rsidRPr="009F06AF">
        <w:rPr>
          <w:rFonts w:cstheme="minorHAnsi"/>
          <w:color w:val="231F20"/>
          <w:spacing w:val="9"/>
          <w:w w:val="105"/>
        </w:rPr>
        <w:t xml:space="preserve"> </w:t>
      </w:r>
      <w:r w:rsidRPr="009F06AF">
        <w:rPr>
          <w:rFonts w:cstheme="minorHAnsi"/>
          <w:color w:val="231F20"/>
          <w:w w:val="105"/>
        </w:rPr>
        <w:t>preparation,</w:t>
      </w:r>
      <w:r w:rsidRPr="009F06AF">
        <w:rPr>
          <w:rFonts w:cstheme="minorHAnsi"/>
          <w:color w:val="231F20"/>
          <w:spacing w:val="9"/>
          <w:w w:val="105"/>
        </w:rPr>
        <w:t xml:space="preserve"> </w:t>
      </w:r>
      <w:r w:rsidRPr="009F06AF">
        <w:rPr>
          <w:rFonts w:cstheme="minorHAnsi"/>
          <w:color w:val="231F20"/>
          <w:w w:val="105"/>
        </w:rPr>
        <w:t>interviewing</w:t>
      </w:r>
      <w:r w:rsidRPr="009F06AF">
        <w:rPr>
          <w:rFonts w:cstheme="minorHAnsi"/>
          <w:color w:val="231F20"/>
          <w:spacing w:val="9"/>
          <w:w w:val="105"/>
        </w:rPr>
        <w:t xml:space="preserve"> </w:t>
      </w:r>
      <w:r w:rsidRPr="009F06AF">
        <w:rPr>
          <w:rFonts w:cstheme="minorHAnsi"/>
          <w:color w:val="231F20"/>
          <w:w w:val="105"/>
        </w:rPr>
        <w:t>skills</w:t>
      </w:r>
      <w:r w:rsidR="00D5537E">
        <w:rPr>
          <w:rFonts w:cstheme="minorHAnsi"/>
          <w:color w:val="231F20"/>
          <w:w w:val="105"/>
        </w:rPr>
        <w:t xml:space="preserve"> and</w:t>
      </w:r>
      <w:r w:rsidR="00492C20" w:rsidRPr="009F06AF">
        <w:rPr>
          <w:rFonts w:cstheme="minorHAnsi"/>
          <w:color w:val="231F20"/>
          <w:w w:val="105"/>
        </w:rPr>
        <w:t xml:space="preserve"> other workforce services.</w:t>
      </w:r>
      <w:r w:rsidRPr="009F06AF">
        <w:rPr>
          <w:rFonts w:cstheme="minorHAnsi"/>
          <w:color w:val="231F20"/>
          <w:spacing w:val="18"/>
          <w:w w:val="105"/>
        </w:rPr>
        <w:t xml:space="preserve"> </w:t>
      </w:r>
      <w:r w:rsidR="00492C20" w:rsidRPr="009F06AF">
        <w:rPr>
          <w:rFonts w:cstheme="minorHAnsi"/>
          <w:color w:val="231F20"/>
          <w:w w:val="105"/>
        </w:rPr>
        <w:t xml:space="preserve">The </w:t>
      </w:r>
      <w:r w:rsidRPr="009F06AF">
        <w:rPr>
          <w:rFonts w:cstheme="minorHAnsi"/>
          <w:color w:val="231F20"/>
          <w:w w:val="105"/>
        </w:rPr>
        <w:t>state-level</w:t>
      </w:r>
      <w:r w:rsidRPr="009F06AF">
        <w:rPr>
          <w:rFonts w:cstheme="minorHAnsi"/>
          <w:color w:val="231F20"/>
          <w:spacing w:val="13"/>
          <w:w w:val="105"/>
        </w:rPr>
        <w:t xml:space="preserve"> </w:t>
      </w:r>
      <w:r w:rsidRPr="009F06AF">
        <w:rPr>
          <w:rFonts w:cstheme="minorHAnsi"/>
          <w:color w:val="231F20"/>
          <w:w w:val="105"/>
        </w:rPr>
        <w:t>rapid</w:t>
      </w:r>
      <w:r w:rsidRPr="009F06AF">
        <w:rPr>
          <w:rFonts w:cstheme="minorHAnsi"/>
          <w:color w:val="231F20"/>
          <w:spacing w:val="13"/>
          <w:w w:val="105"/>
        </w:rPr>
        <w:t xml:space="preserve"> </w:t>
      </w:r>
      <w:r w:rsidRPr="009F06AF">
        <w:rPr>
          <w:rFonts w:cstheme="minorHAnsi"/>
          <w:color w:val="231F20"/>
          <w:w w:val="105"/>
        </w:rPr>
        <w:t>response</w:t>
      </w:r>
      <w:r w:rsidRPr="009F06AF">
        <w:rPr>
          <w:rFonts w:cstheme="minorHAnsi"/>
          <w:color w:val="231F20"/>
          <w:spacing w:val="13"/>
          <w:w w:val="105"/>
        </w:rPr>
        <w:t xml:space="preserve"> </w:t>
      </w:r>
      <w:r w:rsidRPr="009F06AF">
        <w:rPr>
          <w:rFonts w:cstheme="minorHAnsi"/>
          <w:color w:val="231F20"/>
          <w:w w:val="105"/>
        </w:rPr>
        <w:t>funding</w:t>
      </w:r>
      <w:r w:rsidRPr="009F06AF">
        <w:rPr>
          <w:rFonts w:cstheme="minorHAnsi"/>
          <w:color w:val="231F20"/>
          <w:spacing w:val="13"/>
          <w:w w:val="105"/>
        </w:rPr>
        <w:t xml:space="preserve"> </w:t>
      </w:r>
      <w:r w:rsidRPr="009F06AF">
        <w:rPr>
          <w:rFonts w:cstheme="minorHAnsi"/>
          <w:color w:val="231F20"/>
          <w:w w:val="105"/>
        </w:rPr>
        <w:t>may</w:t>
      </w:r>
      <w:r w:rsidRPr="009F06AF">
        <w:rPr>
          <w:rFonts w:cstheme="minorHAnsi"/>
          <w:color w:val="231F20"/>
          <w:spacing w:val="13"/>
          <w:w w:val="105"/>
        </w:rPr>
        <w:t xml:space="preserve"> </w:t>
      </w:r>
      <w:r w:rsidRPr="009F06AF">
        <w:rPr>
          <w:rFonts w:cstheme="minorHAnsi"/>
          <w:color w:val="231F20"/>
          <w:w w:val="105"/>
        </w:rPr>
        <w:t>be</w:t>
      </w:r>
      <w:r w:rsidRPr="009F06AF">
        <w:rPr>
          <w:rFonts w:cstheme="minorHAnsi"/>
          <w:color w:val="231F20"/>
          <w:spacing w:val="13"/>
          <w:w w:val="105"/>
        </w:rPr>
        <w:t xml:space="preserve"> </w:t>
      </w:r>
      <w:r w:rsidRPr="009F06AF">
        <w:rPr>
          <w:rFonts w:cstheme="minorHAnsi"/>
          <w:color w:val="231F20"/>
          <w:w w:val="105"/>
        </w:rPr>
        <w:t>used</w:t>
      </w:r>
      <w:r w:rsidRPr="009F06AF">
        <w:rPr>
          <w:rFonts w:cstheme="minorHAnsi"/>
          <w:color w:val="231F20"/>
          <w:spacing w:val="13"/>
          <w:w w:val="105"/>
        </w:rPr>
        <w:t xml:space="preserve"> </w:t>
      </w:r>
      <w:r w:rsidRPr="009F06AF">
        <w:rPr>
          <w:rFonts w:cstheme="minorHAnsi"/>
          <w:color w:val="231F20"/>
          <w:w w:val="105"/>
        </w:rPr>
        <w:t>for</w:t>
      </w:r>
      <w:r w:rsidRPr="009F06AF">
        <w:rPr>
          <w:rFonts w:cstheme="minorHAnsi"/>
          <w:color w:val="231F20"/>
          <w:spacing w:val="13"/>
          <w:w w:val="105"/>
        </w:rPr>
        <w:t xml:space="preserve"> </w:t>
      </w:r>
      <w:r w:rsidR="00472294">
        <w:rPr>
          <w:rFonts w:cstheme="minorHAnsi"/>
          <w:color w:val="231F20"/>
          <w:w w:val="105"/>
        </w:rPr>
        <w:t>lay</w:t>
      </w:r>
      <w:r w:rsidRPr="009F06AF">
        <w:rPr>
          <w:rFonts w:cstheme="minorHAnsi"/>
          <w:color w:val="231F20"/>
          <w:w w:val="105"/>
        </w:rPr>
        <w:t>off</w:t>
      </w:r>
      <w:r w:rsidRPr="009F06AF">
        <w:rPr>
          <w:rFonts w:cstheme="minorHAnsi"/>
          <w:color w:val="231F20"/>
          <w:spacing w:val="13"/>
          <w:w w:val="105"/>
        </w:rPr>
        <w:t xml:space="preserve"> </w:t>
      </w:r>
      <w:r w:rsidRPr="009F06AF">
        <w:rPr>
          <w:rFonts w:cstheme="minorHAnsi"/>
          <w:color w:val="231F20"/>
          <w:w w:val="105"/>
        </w:rPr>
        <w:t>aversion.</w:t>
      </w:r>
      <w:bookmarkStart w:id="105" w:name="_Hlk503877145"/>
    </w:p>
    <w:p w14:paraId="50B9827B" w14:textId="77777777" w:rsidR="00EA7458" w:rsidRPr="009F06AF" w:rsidRDefault="00EA7458" w:rsidP="00D63204">
      <w:pPr>
        <w:widowControl w:val="0"/>
        <w:spacing w:before="4" w:after="0" w:line="240" w:lineRule="auto"/>
        <w:ind w:left="107"/>
        <w:rPr>
          <w:rFonts w:cstheme="minorHAnsi"/>
          <w:sz w:val="17"/>
          <w:szCs w:val="17"/>
        </w:rPr>
      </w:pPr>
    </w:p>
    <w:p w14:paraId="77CF99F9" w14:textId="77777777" w:rsidR="00EA7458" w:rsidRPr="009F06AF" w:rsidRDefault="00EA7458" w:rsidP="00D63204">
      <w:pPr>
        <w:widowControl w:val="0"/>
        <w:numPr>
          <w:ilvl w:val="0"/>
          <w:numId w:val="4"/>
        </w:numPr>
        <w:tabs>
          <w:tab w:val="left" w:pos="828"/>
        </w:tabs>
        <w:spacing w:after="0" w:line="240" w:lineRule="auto"/>
        <w:outlineLvl w:val="1"/>
        <w:rPr>
          <w:rFonts w:cstheme="minorHAnsi"/>
          <w:sz w:val="26"/>
          <w:szCs w:val="26"/>
        </w:rPr>
      </w:pPr>
      <w:r w:rsidRPr="009F06AF">
        <w:rPr>
          <w:rFonts w:cstheme="minorHAnsi"/>
          <w:b/>
          <w:bCs/>
          <w:color w:val="295CA3"/>
          <w:w w:val="110"/>
          <w:sz w:val="26"/>
          <w:szCs w:val="26"/>
        </w:rPr>
        <w:t xml:space="preserve">Adult and Dislocated </w:t>
      </w:r>
      <w:r w:rsidRPr="009F06AF">
        <w:rPr>
          <w:rFonts w:cstheme="minorHAnsi"/>
          <w:b/>
          <w:bCs/>
          <w:color w:val="295CA3"/>
          <w:spacing w:val="-3"/>
          <w:w w:val="110"/>
          <w:sz w:val="26"/>
          <w:szCs w:val="26"/>
        </w:rPr>
        <w:t xml:space="preserve">Worker </w:t>
      </w:r>
      <w:r w:rsidRPr="009F06AF">
        <w:rPr>
          <w:rFonts w:cstheme="minorHAnsi"/>
          <w:b/>
          <w:bCs/>
          <w:color w:val="295CA3"/>
          <w:w w:val="110"/>
          <w:sz w:val="26"/>
          <w:szCs w:val="26"/>
        </w:rPr>
        <w:t>Program Requirements</w:t>
      </w:r>
    </w:p>
    <w:p w14:paraId="5793C128" w14:textId="67F3A9B0" w:rsidR="009E5D66" w:rsidRPr="009E5D66" w:rsidRDefault="00EA7458" w:rsidP="00D63204">
      <w:pPr>
        <w:widowControl w:val="0"/>
        <w:numPr>
          <w:ilvl w:val="1"/>
          <w:numId w:val="4"/>
        </w:numPr>
        <w:tabs>
          <w:tab w:val="left" w:pos="1548"/>
        </w:tabs>
        <w:spacing w:before="184" w:after="0" w:line="240" w:lineRule="auto"/>
        <w:outlineLvl w:val="2"/>
        <w:rPr>
          <w:rFonts w:cstheme="minorHAnsi"/>
        </w:rPr>
      </w:pPr>
      <w:r w:rsidRPr="009E5D66">
        <w:rPr>
          <w:rFonts w:cstheme="minorHAnsi"/>
          <w:b/>
          <w:bCs/>
          <w:color w:val="295CA3"/>
          <w:w w:val="110"/>
        </w:rPr>
        <w:t>Work-Based Training Models</w:t>
      </w:r>
    </w:p>
    <w:p w14:paraId="2FF667A1" w14:textId="61B31EB2" w:rsidR="00EA7458" w:rsidRDefault="009E5D66" w:rsidP="00D63204">
      <w:pPr>
        <w:widowControl w:val="0"/>
        <w:spacing w:after="0" w:line="264" w:lineRule="exact"/>
        <w:ind w:left="107"/>
        <w:rPr>
          <w:rFonts w:cstheme="minorHAnsi"/>
          <w:color w:val="231F20"/>
          <w:w w:val="105"/>
        </w:rPr>
      </w:pPr>
      <w:r>
        <w:rPr>
          <w:rFonts w:cstheme="minorHAnsi"/>
          <w:color w:val="231F20"/>
          <w:w w:val="105"/>
        </w:rPr>
        <w:br/>
      </w:r>
      <w:r w:rsidR="00EA7458" w:rsidRPr="009F06AF">
        <w:rPr>
          <w:rFonts w:cstheme="minorHAnsi"/>
          <w:color w:val="231F20"/>
          <w:w w:val="105"/>
        </w:rPr>
        <w:t xml:space="preserve">Quick Response </w:t>
      </w:r>
      <w:r w:rsidR="00EA7458" w:rsidRPr="009E5D66">
        <w:rPr>
          <w:rFonts w:cstheme="minorHAnsi"/>
          <w:color w:val="231F20"/>
          <w:w w:val="105"/>
        </w:rPr>
        <w:t xml:space="preserve">Training </w:t>
      </w:r>
      <w:r w:rsidR="00EA7458" w:rsidRPr="009F06AF">
        <w:rPr>
          <w:rFonts w:cstheme="minorHAnsi"/>
          <w:color w:val="231F20"/>
          <w:w w:val="105"/>
        </w:rPr>
        <w:t>(QRT)</w:t>
      </w:r>
      <w:r>
        <w:rPr>
          <w:rFonts w:cstheme="minorHAnsi"/>
          <w:color w:val="231F20"/>
          <w:w w:val="105"/>
        </w:rPr>
        <w:t xml:space="preserve"> and </w:t>
      </w:r>
      <w:r w:rsidR="00EA7458" w:rsidRPr="009F06AF">
        <w:rPr>
          <w:rFonts w:cstheme="minorHAnsi"/>
          <w:color w:val="231F20"/>
          <w:w w:val="105"/>
        </w:rPr>
        <w:t xml:space="preserve">Incumbent Worker </w:t>
      </w:r>
      <w:r w:rsidR="00EA7458" w:rsidRPr="009E5D66">
        <w:rPr>
          <w:rFonts w:cstheme="minorHAnsi"/>
          <w:color w:val="231F20"/>
          <w:w w:val="105"/>
        </w:rPr>
        <w:t xml:space="preserve">Training </w:t>
      </w:r>
      <w:r w:rsidR="00EA7458" w:rsidRPr="009F06AF">
        <w:rPr>
          <w:rFonts w:cstheme="minorHAnsi"/>
          <w:color w:val="231F20"/>
          <w:w w:val="105"/>
        </w:rPr>
        <w:t xml:space="preserve">(IWT) </w:t>
      </w:r>
      <w:r w:rsidR="0016768D">
        <w:rPr>
          <w:rFonts w:cstheme="minorHAnsi"/>
          <w:color w:val="231F20"/>
          <w:w w:val="105"/>
        </w:rPr>
        <w:t>p</w:t>
      </w:r>
      <w:r w:rsidR="00EA7458" w:rsidRPr="009F06AF">
        <w:rPr>
          <w:rFonts w:cstheme="minorHAnsi"/>
          <w:color w:val="231F20"/>
          <w:w w:val="105"/>
        </w:rPr>
        <w:t xml:space="preserve">rograms </w:t>
      </w:r>
      <w:r w:rsidR="0016768D">
        <w:rPr>
          <w:rFonts w:cstheme="minorHAnsi"/>
          <w:color w:val="231F20"/>
          <w:w w:val="105"/>
        </w:rPr>
        <w:t>are</w:t>
      </w:r>
      <w:r w:rsidR="00EA7458" w:rsidRPr="009F06AF">
        <w:rPr>
          <w:rFonts w:cstheme="minorHAnsi"/>
          <w:color w:val="231F20"/>
          <w:w w:val="105"/>
        </w:rPr>
        <w:t xml:space="preserve"> flagship</w:t>
      </w:r>
      <w:r w:rsidR="00EA7458" w:rsidRPr="009E5D66">
        <w:rPr>
          <w:rFonts w:cstheme="minorHAnsi"/>
          <w:color w:val="231F20"/>
          <w:w w:val="105"/>
        </w:rPr>
        <w:t xml:space="preserve"> </w:t>
      </w:r>
      <w:r w:rsidR="00EA7458" w:rsidRPr="009F06AF">
        <w:rPr>
          <w:rFonts w:cstheme="minorHAnsi"/>
          <w:color w:val="231F20"/>
          <w:w w:val="105"/>
        </w:rPr>
        <w:t>training</w:t>
      </w:r>
      <w:r w:rsidR="00EA7458" w:rsidRPr="009E5D66">
        <w:rPr>
          <w:rFonts w:cstheme="minorHAnsi"/>
          <w:color w:val="231F20"/>
          <w:w w:val="105"/>
        </w:rPr>
        <w:t xml:space="preserve"> </w:t>
      </w:r>
      <w:r w:rsidR="00EA7458" w:rsidRPr="009F06AF">
        <w:rPr>
          <w:rFonts w:cstheme="minorHAnsi"/>
          <w:color w:val="231F20"/>
          <w:w w:val="105"/>
        </w:rPr>
        <w:t>programs</w:t>
      </w:r>
      <w:r w:rsidR="00EA7458" w:rsidRPr="009E5D66">
        <w:rPr>
          <w:rFonts w:cstheme="minorHAnsi"/>
          <w:color w:val="231F20"/>
          <w:w w:val="105"/>
        </w:rPr>
        <w:t xml:space="preserve"> </w:t>
      </w:r>
      <w:r w:rsidR="0016768D">
        <w:rPr>
          <w:rFonts w:cstheme="minorHAnsi"/>
          <w:color w:val="231F20"/>
          <w:w w:val="105"/>
        </w:rPr>
        <w:t>of</w:t>
      </w:r>
      <w:r w:rsidR="00EA7458" w:rsidRPr="009E5D66">
        <w:rPr>
          <w:rFonts w:cstheme="minorHAnsi"/>
          <w:color w:val="231F20"/>
          <w:w w:val="105"/>
        </w:rPr>
        <w:t xml:space="preserve"> </w:t>
      </w:r>
      <w:r w:rsidR="00EA7458" w:rsidRPr="009F06AF">
        <w:rPr>
          <w:rFonts w:cstheme="minorHAnsi"/>
          <w:color w:val="231F20"/>
          <w:w w:val="105"/>
        </w:rPr>
        <w:t>CareerSource</w:t>
      </w:r>
      <w:r w:rsidR="00EA7458" w:rsidRPr="009E5D66">
        <w:rPr>
          <w:rFonts w:cstheme="minorHAnsi"/>
          <w:color w:val="231F20"/>
          <w:w w:val="105"/>
        </w:rPr>
        <w:t xml:space="preserve"> </w:t>
      </w:r>
      <w:r w:rsidR="00EA7458" w:rsidRPr="009F06AF">
        <w:rPr>
          <w:rFonts w:cstheme="minorHAnsi"/>
          <w:color w:val="231F20"/>
          <w:w w:val="105"/>
        </w:rPr>
        <w:t>Florida</w:t>
      </w:r>
      <w:r w:rsidR="00226D23" w:rsidRPr="009F06AF">
        <w:rPr>
          <w:rFonts w:cstheme="minorHAnsi"/>
          <w:color w:val="231F20"/>
          <w:w w:val="105"/>
        </w:rPr>
        <w:t xml:space="preserve">. These </w:t>
      </w:r>
      <w:r w:rsidR="00EA7458" w:rsidRPr="009F06AF">
        <w:rPr>
          <w:rFonts w:cstheme="minorHAnsi"/>
          <w:color w:val="231F20"/>
          <w:w w:val="105"/>
        </w:rPr>
        <w:t>market</w:t>
      </w:r>
      <w:r w:rsidR="00EA7458" w:rsidRPr="009E5D66">
        <w:rPr>
          <w:rFonts w:cstheme="minorHAnsi"/>
          <w:color w:val="231F20"/>
          <w:w w:val="105"/>
        </w:rPr>
        <w:t xml:space="preserve"> </w:t>
      </w:r>
      <w:r w:rsidR="00EA7458" w:rsidRPr="009F06AF">
        <w:rPr>
          <w:rFonts w:cstheme="minorHAnsi"/>
          <w:color w:val="231F20"/>
          <w:w w:val="105"/>
        </w:rPr>
        <w:t>relevant</w:t>
      </w:r>
      <w:r w:rsidR="00EA7458" w:rsidRPr="009E5D66">
        <w:rPr>
          <w:rFonts w:cstheme="minorHAnsi"/>
          <w:color w:val="231F20"/>
          <w:w w:val="105"/>
        </w:rPr>
        <w:t xml:space="preserve"> </w:t>
      </w:r>
      <w:r w:rsidR="00226D23" w:rsidRPr="009E5D66">
        <w:rPr>
          <w:rFonts w:cstheme="minorHAnsi"/>
          <w:color w:val="231F20"/>
          <w:w w:val="105"/>
        </w:rPr>
        <w:t xml:space="preserve">programs </w:t>
      </w:r>
      <w:r w:rsidR="00EA7458" w:rsidRPr="009F06AF">
        <w:rPr>
          <w:rFonts w:cstheme="minorHAnsi"/>
          <w:color w:val="231F20"/>
          <w:w w:val="105"/>
        </w:rPr>
        <w:t>provide</w:t>
      </w:r>
      <w:r w:rsidR="00EA7458" w:rsidRPr="009E5D66">
        <w:rPr>
          <w:rFonts w:cstheme="minorHAnsi"/>
          <w:color w:val="231F20"/>
          <w:w w:val="105"/>
        </w:rPr>
        <w:t xml:space="preserve"> </w:t>
      </w:r>
      <w:r w:rsidR="00EA7458" w:rsidRPr="009F06AF">
        <w:rPr>
          <w:rFonts w:cstheme="minorHAnsi"/>
          <w:color w:val="231F20"/>
          <w:w w:val="105"/>
        </w:rPr>
        <w:t>timely</w:t>
      </w:r>
      <w:r w:rsidR="00EA7458" w:rsidRPr="009E5D66">
        <w:rPr>
          <w:rFonts w:cstheme="minorHAnsi"/>
          <w:color w:val="231F20"/>
          <w:w w:val="105"/>
        </w:rPr>
        <w:t xml:space="preserve"> </w:t>
      </w:r>
      <w:r w:rsidR="00EA7458" w:rsidRPr="009F06AF">
        <w:rPr>
          <w:rFonts w:cstheme="minorHAnsi"/>
          <w:color w:val="231F20"/>
          <w:w w:val="105"/>
        </w:rPr>
        <w:t>training</w:t>
      </w:r>
      <w:r w:rsidR="00EA7458" w:rsidRPr="009E5D66">
        <w:rPr>
          <w:rFonts w:cstheme="minorHAnsi"/>
          <w:color w:val="231F20"/>
          <w:w w:val="105"/>
        </w:rPr>
        <w:t xml:space="preserve"> </w:t>
      </w:r>
      <w:r w:rsidR="00EA7458" w:rsidRPr="009F06AF">
        <w:rPr>
          <w:rFonts w:cstheme="minorHAnsi"/>
          <w:color w:val="231F20"/>
          <w:w w:val="105"/>
        </w:rPr>
        <w:t>driven</w:t>
      </w:r>
      <w:r w:rsidR="00EA7458" w:rsidRPr="009E5D66">
        <w:rPr>
          <w:rFonts w:cstheme="minorHAnsi"/>
          <w:color w:val="231F20"/>
          <w:w w:val="105"/>
        </w:rPr>
        <w:t xml:space="preserve"> </w:t>
      </w:r>
      <w:r w:rsidR="00EA7458" w:rsidRPr="009F06AF">
        <w:rPr>
          <w:rFonts w:cstheme="minorHAnsi"/>
          <w:color w:val="231F20"/>
          <w:w w:val="105"/>
        </w:rPr>
        <w:t>by</w:t>
      </w:r>
      <w:r w:rsidR="00EA7458" w:rsidRPr="009E5D66">
        <w:rPr>
          <w:rFonts w:cstheme="minorHAnsi"/>
          <w:color w:val="231F20"/>
          <w:w w:val="105"/>
        </w:rPr>
        <w:t xml:space="preserve"> </w:t>
      </w:r>
      <w:r w:rsidR="00EA7458" w:rsidRPr="009F06AF">
        <w:rPr>
          <w:rFonts w:cstheme="minorHAnsi"/>
          <w:color w:val="231F20"/>
          <w:w w:val="105"/>
        </w:rPr>
        <w:t>industry’s</w:t>
      </w:r>
      <w:r w:rsidR="00EA7458" w:rsidRPr="009E5D66">
        <w:rPr>
          <w:rFonts w:cstheme="minorHAnsi"/>
          <w:color w:val="231F20"/>
          <w:w w:val="105"/>
        </w:rPr>
        <w:t xml:space="preserve"> </w:t>
      </w:r>
      <w:r w:rsidR="00EA7458" w:rsidRPr="009F06AF">
        <w:rPr>
          <w:rFonts w:cstheme="minorHAnsi"/>
          <w:color w:val="231F20"/>
          <w:w w:val="105"/>
        </w:rPr>
        <w:t>needs</w:t>
      </w:r>
      <w:r w:rsidR="00EA7458" w:rsidRPr="009E5D66">
        <w:rPr>
          <w:rFonts w:cstheme="minorHAnsi"/>
          <w:color w:val="231F20"/>
          <w:w w:val="105"/>
        </w:rPr>
        <w:t xml:space="preserve"> </w:t>
      </w:r>
      <w:r w:rsidR="00EA7458" w:rsidRPr="009F06AF">
        <w:rPr>
          <w:rFonts w:cstheme="minorHAnsi"/>
          <w:color w:val="231F20"/>
          <w:w w:val="105"/>
        </w:rPr>
        <w:t>and</w:t>
      </w:r>
      <w:r w:rsidR="00EA7458" w:rsidRPr="009E5D66">
        <w:rPr>
          <w:rFonts w:cstheme="minorHAnsi"/>
          <w:color w:val="231F20"/>
          <w:w w:val="105"/>
        </w:rPr>
        <w:t xml:space="preserve"> </w:t>
      </w:r>
      <w:r w:rsidR="00EA7458" w:rsidRPr="009F06AF">
        <w:rPr>
          <w:rFonts w:cstheme="minorHAnsi"/>
          <w:color w:val="231F20"/>
          <w:w w:val="105"/>
        </w:rPr>
        <w:t>choice</w:t>
      </w:r>
      <w:r w:rsidR="00EA7458" w:rsidRPr="009E5D66">
        <w:rPr>
          <w:rFonts w:cstheme="minorHAnsi"/>
          <w:color w:val="231F20"/>
          <w:w w:val="105"/>
        </w:rPr>
        <w:t xml:space="preserve"> </w:t>
      </w:r>
      <w:r w:rsidR="00EA7458" w:rsidRPr="009F06AF">
        <w:rPr>
          <w:rFonts w:cstheme="minorHAnsi"/>
          <w:color w:val="231F20"/>
          <w:w w:val="105"/>
        </w:rPr>
        <w:t>of</w:t>
      </w:r>
      <w:r w:rsidR="00EA7458" w:rsidRPr="009E5D66">
        <w:rPr>
          <w:rFonts w:cstheme="minorHAnsi"/>
          <w:color w:val="231F20"/>
          <w:w w:val="105"/>
        </w:rPr>
        <w:t xml:space="preserve"> </w:t>
      </w:r>
      <w:r w:rsidR="00EA7458" w:rsidRPr="009F06AF">
        <w:rPr>
          <w:rFonts w:cstheme="minorHAnsi"/>
          <w:color w:val="231F20"/>
          <w:w w:val="105"/>
        </w:rPr>
        <w:t>training</w:t>
      </w:r>
      <w:r w:rsidR="00EA7458" w:rsidRPr="009E5D66">
        <w:rPr>
          <w:rFonts w:cstheme="minorHAnsi"/>
          <w:color w:val="231F20"/>
          <w:w w:val="105"/>
        </w:rPr>
        <w:t xml:space="preserve"> </w:t>
      </w:r>
      <w:r w:rsidR="00EA7458" w:rsidRPr="009F06AF">
        <w:rPr>
          <w:rFonts w:cstheme="minorHAnsi"/>
          <w:color w:val="231F20"/>
          <w:w w:val="105"/>
        </w:rPr>
        <w:t>providers.</w:t>
      </w:r>
      <w:r w:rsidR="00EA7458" w:rsidRPr="009E5D66">
        <w:rPr>
          <w:rFonts w:cstheme="minorHAnsi"/>
          <w:color w:val="231F20"/>
          <w:w w:val="105"/>
        </w:rPr>
        <w:t xml:space="preserve"> </w:t>
      </w:r>
      <w:r w:rsidR="00EA7458" w:rsidRPr="009F06AF">
        <w:rPr>
          <w:rFonts w:cstheme="minorHAnsi"/>
          <w:color w:val="231F20"/>
          <w:w w:val="105"/>
        </w:rPr>
        <w:t>QRT</w:t>
      </w:r>
      <w:r>
        <w:rPr>
          <w:rFonts w:cstheme="minorHAnsi"/>
          <w:color w:val="231F20"/>
          <w:w w:val="105"/>
        </w:rPr>
        <w:t xml:space="preserve"> </w:t>
      </w:r>
      <w:r w:rsidR="00EA7458" w:rsidRPr="009F06AF">
        <w:rPr>
          <w:rFonts w:cstheme="minorHAnsi"/>
          <w:color w:val="231F20"/>
          <w:w w:val="105"/>
        </w:rPr>
        <w:t>and</w:t>
      </w:r>
      <w:r w:rsidR="00EA7458" w:rsidRPr="009E5D66">
        <w:rPr>
          <w:rFonts w:cstheme="minorHAnsi"/>
          <w:color w:val="231F20"/>
          <w:w w:val="105"/>
        </w:rPr>
        <w:t xml:space="preserve"> </w:t>
      </w:r>
      <w:r w:rsidR="00EA7458" w:rsidRPr="009F06AF">
        <w:rPr>
          <w:rFonts w:cstheme="minorHAnsi"/>
          <w:color w:val="231F20"/>
          <w:w w:val="105"/>
        </w:rPr>
        <w:t>IWT</w:t>
      </w:r>
      <w:r w:rsidR="00EA7458" w:rsidRPr="009E5D66">
        <w:rPr>
          <w:rFonts w:cstheme="minorHAnsi"/>
          <w:color w:val="231F20"/>
          <w:w w:val="105"/>
        </w:rPr>
        <w:t xml:space="preserve"> </w:t>
      </w:r>
      <w:r w:rsidR="00EA7458" w:rsidRPr="009F06AF">
        <w:rPr>
          <w:rFonts w:cstheme="minorHAnsi"/>
          <w:color w:val="231F20"/>
          <w:w w:val="105"/>
        </w:rPr>
        <w:t>serve</w:t>
      </w:r>
      <w:r w:rsidR="00EA7458" w:rsidRPr="009E5D66">
        <w:rPr>
          <w:rFonts w:cstheme="minorHAnsi"/>
          <w:color w:val="231F20"/>
          <w:w w:val="105"/>
        </w:rPr>
        <w:t xml:space="preserve"> </w:t>
      </w:r>
      <w:r w:rsidR="00EA7458" w:rsidRPr="009F06AF">
        <w:rPr>
          <w:rFonts w:cstheme="minorHAnsi"/>
          <w:color w:val="231F20"/>
          <w:w w:val="105"/>
        </w:rPr>
        <w:t>as</w:t>
      </w:r>
      <w:r w:rsidR="00EA7458" w:rsidRPr="009E5D66">
        <w:rPr>
          <w:rFonts w:cstheme="minorHAnsi"/>
          <w:color w:val="231F20"/>
          <w:w w:val="105"/>
        </w:rPr>
        <w:t xml:space="preserve"> </w:t>
      </w:r>
      <w:r w:rsidR="00EA7458" w:rsidRPr="009F06AF">
        <w:rPr>
          <w:rFonts w:cstheme="minorHAnsi"/>
          <w:color w:val="231F20"/>
          <w:w w:val="105"/>
        </w:rPr>
        <w:t>powerful</w:t>
      </w:r>
      <w:r w:rsidR="00EA7458" w:rsidRPr="009E5D66">
        <w:rPr>
          <w:rFonts w:cstheme="minorHAnsi"/>
          <w:color w:val="231F20"/>
          <w:w w:val="105"/>
        </w:rPr>
        <w:t xml:space="preserve"> </w:t>
      </w:r>
      <w:r w:rsidR="00EA7458" w:rsidRPr="009F06AF">
        <w:rPr>
          <w:rFonts w:cstheme="minorHAnsi"/>
          <w:color w:val="231F20"/>
          <w:w w:val="105"/>
        </w:rPr>
        <w:t>tools</w:t>
      </w:r>
      <w:r w:rsidR="00715BE7" w:rsidRPr="009F06AF">
        <w:rPr>
          <w:rFonts w:cstheme="minorHAnsi"/>
          <w:color w:val="231F20"/>
          <w:w w:val="105"/>
        </w:rPr>
        <w:t xml:space="preserve"> </w:t>
      </w:r>
      <w:r w:rsidR="00EA7458" w:rsidRPr="009F06AF">
        <w:rPr>
          <w:rFonts w:cstheme="minorHAnsi"/>
          <w:color w:val="231F20"/>
          <w:w w:val="105"/>
        </w:rPr>
        <w:t>for</w:t>
      </w:r>
      <w:r w:rsidR="00EA7458" w:rsidRPr="009E5D66">
        <w:rPr>
          <w:rFonts w:cstheme="minorHAnsi"/>
          <w:color w:val="231F20"/>
          <w:w w:val="105"/>
        </w:rPr>
        <w:t xml:space="preserve"> </w:t>
      </w:r>
      <w:r w:rsidR="00EA7458" w:rsidRPr="009F06AF">
        <w:rPr>
          <w:rFonts w:cstheme="minorHAnsi"/>
          <w:color w:val="231F20"/>
          <w:w w:val="105"/>
        </w:rPr>
        <w:t>workforce</w:t>
      </w:r>
      <w:r w:rsidR="00EA7458" w:rsidRPr="009E5D66">
        <w:rPr>
          <w:rFonts w:cstheme="minorHAnsi"/>
          <w:color w:val="231F20"/>
          <w:w w:val="105"/>
        </w:rPr>
        <w:t xml:space="preserve"> </w:t>
      </w:r>
      <w:r w:rsidR="00EA7458" w:rsidRPr="009F06AF">
        <w:rPr>
          <w:rFonts w:cstheme="minorHAnsi"/>
          <w:color w:val="231F20"/>
          <w:w w:val="105"/>
        </w:rPr>
        <w:t>investment</w:t>
      </w:r>
      <w:r w:rsidR="00EA7458" w:rsidRPr="009E5D66">
        <w:rPr>
          <w:rFonts w:cstheme="minorHAnsi"/>
          <w:color w:val="231F20"/>
          <w:w w:val="105"/>
        </w:rPr>
        <w:t xml:space="preserve"> </w:t>
      </w:r>
      <w:r w:rsidR="00EA7458" w:rsidRPr="009F06AF">
        <w:rPr>
          <w:rFonts w:cstheme="minorHAnsi"/>
          <w:color w:val="231F20"/>
          <w:w w:val="105"/>
        </w:rPr>
        <w:t>in</w:t>
      </w:r>
      <w:r w:rsidR="00EA7458" w:rsidRPr="009E5D66">
        <w:rPr>
          <w:rFonts w:cstheme="minorHAnsi"/>
          <w:color w:val="231F20"/>
          <w:w w:val="105"/>
        </w:rPr>
        <w:t xml:space="preserve"> </w:t>
      </w:r>
      <w:r w:rsidR="00EA7458" w:rsidRPr="009F06AF">
        <w:rPr>
          <w:rFonts w:cstheme="minorHAnsi"/>
          <w:color w:val="231F20"/>
          <w:w w:val="105"/>
        </w:rPr>
        <w:t>leveraging</w:t>
      </w:r>
      <w:r w:rsidR="00EA7458" w:rsidRPr="009E5D66">
        <w:rPr>
          <w:rFonts w:cstheme="minorHAnsi"/>
          <w:color w:val="231F20"/>
          <w:w w:val="105"/>
        </w:rPr>
        <w:t xml:space="preserve"> </w:t>
      </w:r>
      <w:r w:rsidR="00EA7458" w:rsidRPr="009F06AF">
        <w:rPr>
          <w:rFonts w:cstheme="minorHAnsi"/>
          <w:color w:val="231F20"/>
          <w:w w:val="105"/>
        </w:rPr>
        <w:t>public/private</w:t>
      </w:r>
      <w:r w:rsidR="00EA7458" w:rsidRPr="009E5D66">
        <w:rPr>
          <w:rFonts w:cstheme="minorHAnsi"/>
          <w:color w:val="231F20"/>
          <w:w w:val="105"/>
        </w:rPr>
        <w:t xml:space="preserve"> </w:t>
      </w:r>
      <w:r w:rsidR="00EA7458" w:rsidRPr="009F06AF">
        <w:rPr>
          <w:rFonts w:cstheme="minorHAnsi"/>
          <w:color w:val="231F20"/>
          <w:w w:val="105"/>
        </w:rPr>
        <w:t>funds</w:t>
      </w:r>
      <w:r w:rsidR="00EA7458" w:rsidRPr="009E5D66">
        <w:rPr>
          <w:rFonts w:cstheme="minorHAnsi"/>
          <w:color w:val="231F20"/>
          <w:w w:val="105"/>
        </w:rPr>
        <w:t xml:space="preserve"> </w:t>
      </w:r>
      <w:r w:rsidR="00EA7458" w:rsidRPr="009F06AF">
        <w:rPr>
          <w:rFonts w:cstheme="minorHAnsi"/>
          <w:color w:val="231F20"/>
          <w:w w:val="105"/>
        </w:rPr>
        <w:t>for</w:t>
      </w:r>
      <w:r w:rsidR="00EA7458" w:rsidRPr="009E5D66">
        <w:rPr>
          <w:rFonts w:cstheme="minorHAnsi"/>
          <w:color w:val="231F20"/>
          <w:w w:val="105"/>
        </w:rPr>
        <w:t xml:space="preserve"> </w:t>
      </w:r>
      <w:r w:rsidR="00EA7458" w:rsidRPr="009F06AF">
        <w:rPr>
          <w:rFonts w:cstheme="minorHAnsi"/>
          <w:color w:val="231F20"/>
          <w:w w:val="105"/>
        </w:rPr>
        <w:t>targeted</w:t>
      </w:r>
      <w:r w:rsidR="00EA7458" w:rsidRPr="009E5D66">
        <w:rPr>
          <w:rFonts w:cstheme="minorHAnsi"/>
          <w:color w:val="231F20"/>
          <w:w w:val="105"/>
        </w:rPr>
        <w:t xml:space="preserve"> </w:t>
      </w:r>
      <w:r w:rsidR="00EA7458" w:rsidRPr="009F06AF">
        <w:rPr>
          <w:rFonts w:cstheme="minorHAnsi"/>
          <w:color w:val="231F20"/>
          <w:w w:val="105"/>
        </w:rPr>
        <w:t>training</w:t>
      </w:r>
      <w:r w:rsidR="00EA7458" w:rsidRPr="009E5D66">
        <w:rPr>
          <w:rFonts w:cstheme="minorHAnsi"/>
          <w:color w:val="231F20"/>
          <w:w w:val="105"/>
        </w:rPr>
        <w:t xml:space="preserve"> </w:t>
      </w:r>
      <w:r w:rsidR="00EA7458" w:rsidRPr="009F06AF">
        <w:rPr>
          <w:rFonts w:cstheme="minorHAnsi"/>
          <w:color w:val="231F20"/>
          <w:w w:val="105"/>
        </w:rPr>
        <w:t>for</w:t>
      </w:r>
      <w:r w:rsidR="00EA7458" w:rsidRPr="009E5D66">
        <w:rPr>
          <w:rFonts w:cstheme="minorHAnsi"/>
          <w:color w:val="231F20"/>
          <w:w w:val="105"/>
        </w:rPr>
        <w:t xml:space="preserve"> </w:t>
      </w:r>
      <w:r w:rsidR="00EA7458" w:rsidRPr="009F06AF">
        <w:rPr>
          <w:rFonts w:cstheme="minorHAnsi"/>
          <w:color w:val="231F20"/>
          <w:w w:val="105"/>
        </w:rPr>
        <w:t>skills</w:t>
      </w:r>
      <w:r w:rsidR="00EA7458" w:rsidRPr="009E5D66">
        <w:rPr>
          <w:rFonts w:cstheme="minorHAnsi"/>
          <w:color w:val="231F20"/>
          <w:w w:val="105"/>
        </w:rPr>
        <w:t xml:space="preserve"> </w:t>
      </w:r>
      <w:r w:rsidR="00EA7458" w:rsidRPr="009F06AF">
        <w:rPr>
          <w:rFonts w:cstheme="minorHAnsi"/>
          <w:color w:val="231F20"/>
          <w:w w:val="105"/>
        </w:rPr>
        <w:t>in</w:t>
      </w:r>
      <w:r w:rsidR="00EA7458" w:rsidRPr="009E5D66">
        <w:rPr>
          <w:rFonts w:cstheme="minorHAnsi"/>
          <w:color w:val="231F20"/>
          <w:w w:val="105"/>
        </w:rPr>
        <w:t xml:space="preserve"> </w:t>
      </w:r>
      <w:r w:rsidR="00EA7458" w:rsidRPr="009F06AF">
        <w:rPr>
          <w:rFonts w:cstheme="minorHAnsi"/>
          <w:color w:val="231F20"/>
          <w:w w:val="105"/>
        </w:rPr>
        <w:t>demand</w:t>
      </w:r>
      <w:r w:rsidR="00EA7458" w:rsidRPr="009E5D66">
        <w:rPr>
          <w:rFonts w:cstheme="minorHAnsi"/>
          <w:color w:val="231F20"/>
          <w:w w:val="105"/>
        </w:rPr>
        <w:t xml:space="preserve"> </w:t>
      </w:r>
      <w:r w:rsidR="00715BE7" w:rsidRPr="009F06AF">
        <w:rPr>
          <w:rFonts w:cstheme="minorHAnsi"/>
          <w:color w:val="231F20"/>
          <w:w w:val="105"/>
        </w:rPr>
        <w:t xml:space="preserve">to maximize </w:t>
      </w:r>
      <w:r w:rsidR="00EA7458" w:rsidRPr="009F06AF">
        <w:rPr>
          <w:rFonts w:cstheme="minorHAnsi"/>
          <w:color w:val="231F20"/>
          <w:w w:val="105"/>
        </w:rPr>
        <w:t>use</w:t>
      </w:r>
      <w:r w:rsidR="00EA7458" w:rsidRPr="009E5D66">
        <w:rPr>
          <w:rFonts w:cstheme="minorHAnsi"/>
          <w:color w:val="231F20"/>
          <w:w w:val="105"/>
        </w:rPr>
        <w:t xml:space="preserve"> </w:t>
      </w:r>
      <w:r w:rsidR="00EA7458" w:rsidRPr="009F06AF">
        <w:rPr>
          <w:rFonts w:cstheme="minorHAnsi"/>
          <w:color w:val="231F20"/>
          <w:w w:val="105"/>
        </w:rPr>
        <w:t>of</w:t>
      </w:r>
      <w:r w:rsidR="00EA7458" w:rsidRPr="009E5D66">
        <w:rPr>
          <w:rFonts w:cstheme="minorHAnsi"/>
          <w:color w:val="231F20"/>
          <w:w w:val="105"/>
        </w:rPr>
        <w:t xml:space="preserve"> </w:t>
      </w:r>
      <w:r w:rsidR="00EA7458" w:rsidRPr="009F06AF">
        <w:rPr>
          <w:rFonts w:cstheme="minorHAnsi"/>
          <w:color w:val="231F20"/>
          <w:w w:val="105"/>
        </w:rPr>
        <w:t>limited</w:t>
      </w:r>
      <w:r w:rsidR="00EA7458" w:rsidRPr="009E5D66">
        <w:rPr>
          <w:rFonts w:cstheme="minorHAnsi"/>
          <w:color w:val="231F20"/>
          <w:w w:val="105"/>
        </w:rPr>
        <w:t xml:space="preserve"> </w:t>
      </w:r>
      <w:r w:rsidR="00293E84" w:rsidRPr="009F06AF">
        <w:rPr>
          <w:rFonts w:cstheme="minorHAnsi"/>
          <w:color w:val="231F20"/>
          <w:w w:val="105"/>
        </w:rPr>
        <w:t>public</w:t>
      </w:r>
      <w:r w:rsidR="00293E84">
        <w:rPr>
          <w:rFonts w:cstheme="minorHAnsi"/>
          <w:color w:val="231F20"/>
          <w:w w:val="105"/>
        </w:rPr>
        <w:t>-sector</w:t>
      </w:r>
      <w:r w:rsidR="00EA7458" w:rsidRPr="009E5D66">
        <w:rPr>
          <w:rFonts w:cstheme="minorHAnsi"/>
          <w:color w:val="231F20"/>
          <w:w w:val="105"/>
        </w:rPr>
        <w:t xml:space="preserve"> </w:t>
      </w:r>
      <w:r w:rsidR="00EA7458" w:rsidRPr="009F06AF">
        <w:rPr>
          <w:rFonts w:cstheme="minorHAnsi"/>
          <w:color w:val="231F20"/>
          <w:w w:val="105"/>
        </w:rPr>
        <w:t>funds.</w:t>
      </w:r>
      <w:r w:rsidR="00EA7458" w:rsidRPr="009E5D66">
        <w:rPr>
          <w:rFonts w:cstheme="minorHAnsi"/>
          <w:color w:val="231F20"/>
          <w:w w:val="105"/>
        </w:rPr>
        <w:t xml:space="preserve"> </w:t>
      </w:r>
      <w:r w:rsidR="00C911C0" w:rsidRPr="009F06AF">
        <w:rPr>
          <w:rFonts w:cstheme="minorHAnsi"/>
          <w:color w:val="231F20"/>
          <w:w w:val="105"/>
        </w:rPr>
        <w:t xml:space="preserve">Most </w:t>
      </w:r>
      <w:r w:rsidR="00EA7458" w:rsidRPr="009F06AF">
        <w:rPr>
          <w:rFonts w:cstheme="minorHAnsi"/>
          <w:color w:val="231F20"/>
          <w:w w:val="105"/>
        </w:rPr>
        <w:t>businesses</w:t>
      </w:r>
      <w:r w:rsidR="00EA7458" w:rsidRPr="009E5D66">
        <w:rPr>
          <w:rFonts w:cstheme="minorHAnsi"/>
          <w:color w:val="231F20"/>
          <w:w w:val="105"/>
        </w:rPr>
        <w:t xml:space="preserve"> </w:t>
      </w:r>
      <w:r w:rsidR="00EA7458" w:rsidRPr="009F06AF">
        <w:rPr>
          <w:rFonts w:cstheme="minorHAnsi"/>
          <w:color w:val="231F20"/>
          <w:w w:val="105"/>
        </w:rPr>
        <w:t>receiving</w:t>
      </w:r>
      <w:r w:rsidR="00EA7458" w:rsidRPr="009E5D66">
        <w:rPr>
          <w:rFonts w:cstheme="minorHAnsi"/>
          <w:color w:val="231F20"/>
          <w:w w:val="105"/>
        </w:rPr>
        <w:t xml:space="preserve"> </w:t>
      </w:r>
      <w:r w:rsidR="00EA7458" w:rsidRPr="009F06AF">
        <w:rPr>
          <w:rFonts w:cstheme="minorHAnsi"/>
          <w:color w:val="231F20"/>
          <w:w w:val="105"/>
        </w:rPr>
        <w:t>training</w:t>
      </w:r>
      <w:r w:rsidR="00EA7458" w:rsidRPr="009E5D66">
        <w:rPr>
          <w:rFonts w:cstheme="minorHAnsi"/>
          <w:color w:val="231F20"/>
          <w:w w:val="105"/>
        </w:rPr>
        <w:t xml:space="preserve"> </w:t>
      </w:r>
      <w:r w:rsidR="00EA7458" w:rsidRPr="009F06AF">
        <w:rPr>
          <w:rFonts w:cstheme="minorHAnsi"/>
          <w:color w:val="231F20"/>
          <w:w w:val="105"/>
        </w:rPr>
        <w:t>grants</w:t>
      </w:r>
      <w:r w:rsidR="00EA7458" w:rsidRPr="009E5D66">
        <w:rPr>
          <w:rFonts w:cstheme="minorHAnsi"/>
          <w:color w:val="231F20"/>
          <w:w w:val="105"/>
        </w:rPr>
        <w:t xml:space="preserve"> </w:t>
      </w:r>
      <w:r w:rsidR="00EA7458" w:rsidRPr="009F06AF">
        <w:rPr>
          <w:rFonts w:cstheme="minorHAnsi"/>
          <w:color w:val="231F20"/>
          <w:w w:val="105"/>
        </w:rPr>
        <w:t>are</w:t>
      </w:r>
      <w:r w:rsidR="00EA7458" w:rsidRPr="009E5D66">
        <w:rPr>
          <w:rFonts w:cstheme="minorHAnsi"/>
          <w:color w:val="231F20"/>
          <w:w w:val="105"/>
        </w:rPr>
        <w:t xml:space="preserve"> </w:t>
      </w:r>
      <w:r w:rsidR="00EA7458" w:rsidRPr="009F06AF">
        <w:rPr>
          <w:rFonts w:cstheme="minorHAnsi"/>
          <w:color w:val="231F20"/>
          <w:w w:val="105"/>
        </w:rPr>
        <w:t>within</w:t>
      </w:r>
      <w:r w:rsidR="00EA7458" w:rsidRPr="009E5D66">
        <w:rPr>
          <w:rFonts w:cstheme="minorHAnsi"/>
          <w:color w:val="231F20"/>
          <w:w w:val="105"/>
        </w:rPr>
        <w:t xml:space="preserve"> </w:t>
      </w:r>
      <w:r w:rsidR="00EA7458" w:rsidRPr="009F06AF">
        <w:rPr>
          <w:rFonts w:cstheme="minorHAnsi"/>
          <w:color w:val="231F20"/>
          <w:w w:val="105"/>
        </w:rPr>
        <w:t>the</w:t>
      </w:r>
      <w:r w:rsidR="00EA7458" w:rsidRPr="009E5D66">
        <w:rPr>
          <w:rFonts w:cstheme="minorHAnsi"/>
          <w:color w:val="231F20"/>
          <w:w w:val="105"/>
        </w:rPr>
        <w:t xml:space="preserve"> </w:t>
      </w:r>
      <w:r w:rsidR="00EA7458" w:rsidRPr="009F06AF">
        <w:rPr>
          <w:rFonts w:cstheme="minorHAnsi"/>
          <w:color w:val="231F20"/>
          <w:w w:val="105"/>
        </w:rPr>
        <w:t>state’s</w:t>
      </w:r>
      <w:r w:rsidR="00EA7458" w:rsidRPr="009E5D66">
        <w:rPr>
          <w:rFonts w:cstheme="minorHAnsi"/>
          <w:color w:val="231F20"/>
          <w:w w:val="105"/>
        </w:rPr>
        <w:t xml:space="preserve"> </w:t>
      </w:r>
      <w:r w:rsidR="00EA7458" w:rsidRPr="009F06AF">
        <w:rPr>
          <w:rFonts w:cstheme="minorHAnsi"/>
          <w:color w:val="231F20"/>
          <w:w w:val="105"/>
        </w:rPr>
        <w:t>targeted</w:t>
      </w:r>
      <w:r w:rsidR="00EA7458" w:rsidRPr="009E5D66">
        <w:rPr>
          <w:rFonts w:cstheme="minorHAnsi"/>
          <w:color w:val="231F20"/>
          <w:w w:val="105"/>
        </w:rPr>
        <w:t xml:space="preserve"> </w:t>
      </w:r>
      <w:r w:rsidR="00EA7458" w:rsidRPr="009F06AF">
        <w:rPr>
          <w:rFonts w:cstheme="minorHAnsi"/>
          <w:color w:val="231F20"/>
          <w:w w:val="105"/>
        </w:rPr>
        <w:t>industries,</w:t>
      </w:r>
      <w:r w:rsidR="00EA7458" w:rsidRPr="009E5D66">
        <w:rPr>
          <w:rFonts w:cstheme="minorHAnsi"/>
          <w:color w:val="231F20"/>
          <w:w w:val="105"/>
        </w:rPr>
        <w:t xml:space="preserve"> </w:t>
      </w:r>
      <w:r w:rsidR="00EA7458" w:rsidRPr="009F06AF">
        <w:rPr>
          <w:rFonts w:cstheme="minorHAnsi"/>
          <w:color w:val="231F20"/>
          <w:w w:val="105"/>
        </w:rPr>
        <w:t>ensuring</w:t>
      </w:r>
      <w:r w:rsidR="00EA7458" w:rsidRPr="009E5D66">
        <w:rPr>
          <w:rFonts w:cstheme="minorHAnsi"/>
          <w:color w:val="231F20"/>
          <w:w w:val="105"/>
        </w:rPr>
        <w:t xml:space="preserve"> </w:t>
      </w:r>
      <w:r w:rsidR="00EA7458" w:rsidRPr="009F06AF">
        <w:rPr>
          <w:rFonts w:cstheme="minorHAnsi"/>
          <w:color w:val="231F20"/>
          <w:w w:val="105"/>
        </w:rPr>
        <w:t>investment</w:t>
      </w:r>
      <w:r w:rsidR="00EA7458" w:rsidRPr="009E5D66">
        <w:rPr>
          <w:rFonts w:cstheme="minorHAnsi"/>
          <w:color w:val="231F20"/>
          <w:w w:val="105"/>
        </w:rPr>
        <w:t xml:space="preserve"> </w:t>
      </w:r>
      <w:r w:rsidR="00EA7458" w:rsidRPr="009F06AF">
        <w:rPr>
          <w:rFonts w:cstheme="minorHAnsi"/>
          <w:color w:val="231F20"/>
          <w:w w:val="105"/>
        </w:rPr>
        <w:t>in</w:t>
      </w:r>
      <w:r w:rsidR="00EA7458" w:rsidRPr="009E5D66">
        <w:rPr>
          <w:rFonts w:cstheme="minorHAnsi"/>
          <w:color w:val="231F20"/>
          <w:w w:val="105"/>
        </w:rPr>
        <w:t xml:space="preserve"> </w:t>
      </w:r>
      <w:r w:rsidR="00EA7458" w:rsidRPr="009F06AF">
        <w:rPr>
          <w:rFonts w:cstheme="minorHAnsi"/>
          <w:color w:val="231F20"/>
          <w:w w:val="105"/>
        </w:rPr>
        <w:lastRenderedPageBreak/>
        <w:t>wealth-generating</w:t>
      </w:r>
      <w:r w:rsidR="00EA7458" w:rsidRPr="009E5D66">
        <w:rPr>
          <w:rFonts w:cstheme="minorHAnsi"/>
          <w:color w:val="231F20"/>
          <w:w w:val="105"/>
        </w:rPr>
        <w:t xml:space="preserve"> </w:t>
      </w:r>
      <w:r w:rsidR="00EA7458" w:rsidRPr="009F06AF">
        <w:rPr>
          <w:rFonts w:cstheme="minorHAnsi"/>
          <w:color w:val="231F20"/>
          <w:w w:val="105"/>
        </w:rPr>
        <w:t>jobs</w:t>
      </w:r>
      <w:r w:rsidR="00EA7458" w:rsidRPr="009E5D66">
        <w:rPr>
          <w:rFonts w:cstheme="minorHAnsi"/>
          <w:color w:val="231F20"/>
          <w:w w:val="105"/>
        </w:rPr>
        <w:t xml:space="preserve"> </w:t>
      </w:r>
      <w:r w:rsidR="00EA7458" w:rsidRPr="009F06AF">
        <w:rPr>
          <w:rFonts w:cstheme="minorHAnsi"/>
          <w:color w:val="231F20"/>
          <w:w w:val="105"/>
        </w:rPr>
        <w:t>for</w:t>
      </w:r>
      <w:r w:rsidR="00EA7458" w:rsidRPr="009E5D66">
        <w:rPr>
          <w:rFonts w:cstheme="minorHAnsi"/>
          <w:color w:val="231F20"/>
          <w:w w:val="105"/>
        </w:rPr>
        <w:t xml:space="preserve"> </w:t>
      </w:r>
      <w:r w:rsidR="00EA7458" w:rsidRPr="009F06AF">
        <w:rPr>
          <w:rFonts w:cstheme="minorHAnsi"/>
          <w:color w:val="231F20"/>
          <w:w w:val="105"/>
        </w:rPr>
        <w:t>Florida’s economic</w:t>
      </w:r>
      <w:r w:rsidR="00EA7458" w:rsidRPr="009E5D66">
        <w:rPr>
          <w:rFonts w:cstheme="minorHAnsi"/>
          <w:color w:val="231F20"/>
          <w:w w:val="105"/>
        </w:rPr>
        <w:t xml:space="preserve"> </w:t>
      </w:r>
      <w:r w:rsidR="00EA7458" w:rsidRPr="009F06AF">
        <w:rPr>
          <w:rFonts w:cstheme="minorHAnsi"/>
          <w:color w:val="231F20"/>
          <w:w w:val="105"/>
        </w:rPr>
        <w:t>growth.</w:t>
      </w:r>
    </w:p>
    <w:p w14:paraId="60039ABD" w14:textId="77777777" w:rsidR="00EA7458" w:rsidRPr="009F06AF" w:rsidRDefault="00EA7458" w:rsidP="00D63204">
      <w:pPr>
        <w:widowControl w:val="0"/>
        <w:spacing w:before="4" w:after="0" w:line="240" w:lineRule="auto"/>
        <w:ind w:left="107"/>
        <w:rPr>
          <w:rFonts w:cstheme="minorHAnsi"/>
          <w:sz w:val="14"/>
          <w:szCs w:val="14"/>
        </w:rPr>
      </w:pPr>
    </w:p>
    <w:p w14:paraId="3DCFF2BB" w14:textId="77777777" w:rsidR="00EA7458" w:rsidRDefault="00EA7458" w:rsidP="00D63204">
      <w:pPr>
        <w:spacing w:before="57" w:after="0" w:line="240" w:lineRule="auto"/>
        <w:ind w:left="90"/>
        <w:rPr>
          <w:rFonts w:cstheme="minorHAnsi"/>
          <w:b/>
          <w:color w:val="231F20"/>
          <w:w w:val="110"/>
        </w:rPr>
      </w:pPr>
      <w:bookmarkStart w:id="106" w:name="_Hlk504384189"/>
      <w:bookmarkStart w:id="107" w:name="_Hlk505202431"/>
      <w:r w:rsidRPr="009F06AF">
        <w:rPr>
          <w:rFonts w:cstheme="minorHAnsi"/>
          <w:b/>
          <w:bCs/>
          <w:color w:val="231F20"/>
          <w:w w:val="110"/>
        </w:rPr>
        <w:t>Quick Response Training</w:t>
      </w:r>
      <w:r w:rsidRPr="003174FF">
        <w:rPr>
          <w:rFonts w:cstheme="minorHAnsi"/>
          <w:b/>
          <w:color w:val="231F20"/>
          <w:w w:val="110"/>
        </w:rPr>
        <w:t xml:space="preserve"> </w:t>
      </w:r>
      <w:r w:rsidRPr="009F06AF">
        <w:rPr>
          <w:rFonts w:cstheme="minorHAnsi"/>
          <w:b/>
          <w:bCs/>
          <w:color w:val="231F20"/>
          <w:w w:val="110"/>
        </w:rPr>
        <w:t>Program</w:t>
      </w:r>
    </w:p>
    <w:p w14:paraId="41E02167" w14:textId="64E027AF" w:rsidR="0040282F" w:rsidRPr="003174FF" w:rsidRDefault="0040282F" w:rsidP="00D63204">
      <w:pPr>
        <w:spacing w:line="240" w:lineRule="auto"/>
        <w:ind w:left="90"/>
        <w:rPr>
          <w:rFonts w:cstheme="minorHAnsi"/>
          <w:b/>
          <w:bCs/>
          <w:color w:val="231F20"/>
          <w:w w:val="110"/>
        </w:rPr>
      </w:pPr>
      <w:r w:rsidRPr="003174FF">
        <w:rPr>
          <w:rFonts w:cstheme="minorHAnsi"/>
          <w:color w:val="231F20"/>
          <w:w w:val="105"/>
        </w:rPr>
        <w:t>Established in 1993, Florida’s Quick Response Training program provides state-level funding for customized training to new or expanding businesses. During 2014-2015, Florida enhanced the application process for businesses to quickly respond to training objectives in demand-driven areas.  In Fiscal Year 2016-</w:t>
      </w:r>
      <w:r w:rsidR="000F58C0">
        <w:rPr>
          <w:rFonts w:cstheme="minorHAnsi"/>
          <w:color w:val="231F20"/>
          <w:w w:val="105"/>
        </w:rPr>
        <w:t>20</w:t>
      </w:r>
      <w:r w:rsidRPr="003174FF">
        <w:rPr>
          <w:rFonts w:cstheme="minorHAnsi"/>
          <w:color w:val="231F20"/>
          <w:w w:val="105"/>
        </w:rPr>
        <w:t xml:space="preserve">17, CareerSource Florida awarded Quick Response Training grants </w:t>
      </w:r>
      <w:r w:rsidR="00E663A4">
        <w:rPr>
          <w:rFonts w:cstheme="minorHAnsi"/>
          <w:color w:val="231F20"/>
          <w:w w:val="105"/>
        </w:rPr>
        <w:t>of</w:t>
      </w:r>
      <w:r w:rsidRPr="003174FF">
        <w:rPr>
          <w:rFonts w:cstheme="minorHAnsi"/>
          <w:color w:val="231F20"/>
          <w:w w:val="105"/>
        </w:rPr>
        <w:t xml:space="preserve"> nearly $10.6 million to support skills upgrade training for 4,851 new and existing employees. </w:t>
      </w:r>
    </w:p>
    <w:p w14:paraId="787B98C8" w14:textId="1D84E184" w:rsidR="0040282F" w:rsidRPr="003174FF" w:rsidRDefault="0040282F" w:rsidP="00D63204">
      <w:pPr>
        <w:widowControl w:val="0"/>
        <w:spacing w:after="0" w:line="264" w:lineRule="exact"/>
        <w:ind w:left="107"/>
        <w:rPr>
          <w:rFonts w:cstheme="minorHAnsi"/>
          <w:color w:val="231F20"/>
          <w:w w:val="105"/>
        </w:rPr>
      </w:pPr>
      <w:r w:rsidRPr="003174FF">
        <w:rPr>
          <w:rFonts w:cstheme="minorHAnsi"/>
          <w:color w:val="231F20"/>
          <w:w w:val="105"/>
        </w:rPr>
        <w:t>The Florida Legislature provided funding to develop and launch a strategic marketing and business outreach plan for Florida’s nationally recognized Quick Response Training program. The marketing plan was developed to identify a long-term vision and strategic objectives for Quick Response Training. Recommendations for communications and outreach tools and tactics to enhance the program’s competitive position and market outreach were considered, based on research that provided a greater understanding of business customers and potential customers; key influencers including but not limited to economic developers, site selection consultants, workforce development professionals, particularly those within the CareerSource Florida network who provide employment and training solutions for businesses of all sizes; education and training partners and stakeholders; and public policy leaders. The plan provided a clear</w:t>
      </w:r>
      <w:r w:rsidR="00400ED2">
        <w:rPr>
          <w:rFonts w:cstheme="minorHAnsi"/>
          <w:color w:val="231F20"/>
          <w:w w:val="105"/>
        </w:rPr>
        <w:t>,</w:t>
      </w:r>
      <w:r w:rsidRPr="003174FF">
        <w:rPr>
          <w:rFonts w:cstheme="minorHAnsi"/>
          <w:color w:val="231F20"/>
          <w:w w:val="105"/>
        </w:rPr>
        <w:t xml:space="preserve"> concise roadmap for CareerSource Florida’s current and future investments in the marketing and promotion of Quick Response Training among businesses, including small businesses</w:t>
      </w:r>
      <w:r w:rsidR="00D5537E">
        <w:rPr>
          <w:rFonts w:cstheme="minorHAnsi"/>
          <w:color w:val="231F20"/>
          <w:w w:val="105"/>
        </w:rPr>
        <w:t xml:space="preserve"> and</w:t>
      </w:r>
      <w:r w:rsidRPr="003174FF">
        <w:rPr>
          <w:rFonts w:cstheme="minorHAnsi"/>
          <w:color w:val="231F20"/>
          <w:w w:val="105"/>
        </w:rPr>
        <w:t xml:space="preserve"> key influencers.</w:t>
      </w:r>
    </w:p>
    <w:p w14:paraId="38A12F83" w14:textId="77777777" w:rsidR="0040282F" w:rsidRPr="003174FF" w:rsidRDefault="0040282F" w:rsidP="00D63204">
      <w:pPr>
        <w:widowControl w:val="0"/>
        <w:spacing w:after="0" w:line="264" w:lineRule="exact"/>
        <w:ind w:left="107"/>
        <w:rPr>
          <w:rFonts w:cstheme="minorHAnsi"/>
          <w:color w:val="231F20"/>
          <w:w w:val="105"/>
        </w:rPr>
      </w:pPr>
    </w:p>
    <w:p w14:paraId="1AA87C00" w14:textId="5F9E5BAE" w:rsidR="0040282F" w:rsidRDefault="0040282F" w:rsidP="00D63204">
      <w:pPr>
        <w:widowControl w:val="0"/>
        <w:spacing w:after="0" w:line="264" w:lineRule="exact"/>
        <w:ind w:left="107"/>
        <w:rPr>
          <w:rFonts w:cstheme="minorHAnsi"/>
          <w:color w:val="231F20"/>
          <w:w w:val="105"/>
        </w:rPr>
      </w:pPr>
      <w:r w:rsidRPr="003174FF">
        <w:rPr>
          <w:rFonts w:cstheme="minorHAnsi"/>
          <w:color w:val="231F20"/>
          <w:w w:val="105"/>
        </w:rPr>
        <w:t xml:space="preserve">This project enabled CareerSource Florida to implement marketing strategies for messaging of business services including Quick Response Training grants to internal and external audiences. CareerSource Florida developed an education and marketing </w:t>
      </w:r>
      <w:r w:rsidR="00527F22">
        <w:rPr>
          <w:rFonts w:cstheme="minorHAnsi"/>
          <w:color w:val="231F20"/>
          <w:w w:val="105"/>
        </w:rPr>
        <w:t>tool</w:t>
      </w:r>
      <w:r w:rsidRPr="003174FF">
        <w:rPr>
          <w:rFonts w:cstheme="minorHAnsi"/>
          <w:color w:val="231F20"/>
          <w:w w:val="105"/>
        </w:rPr>
        <w:t>kit for partners, marketing and brand-building materials such as brochures, digital outreach</w:t>
      </w:r>
      <w:r w:rsidR="00527F22">
        <w:rPr>
          <w:rFonts w:cstheme="minorHAnsi"/>
          <w:color w:val="231F20"/>
          <w:w w:val="105"/>
        </w:rPr>
        <w:t>,</w:t>
      </w:r>
      <w:r w:rsidRPr="003174FF">
        <w:rPr>
          <w:rFonts w:cstheme="minorHAnsi"/>
          <w:color w:val="231F20"/>
          <w:w w:val="105"/>
        </w:rPr>
        <w:t xml:space="preserve"> including website enhancements and social media outreach</w:t>
      </w:r>
      <w:r w:rsidR="00D5537E">
        <w:rPr>
          <w:rFonts w:cstheme="minorHAnsi"/>
          <w:color w:val="231F20"/>
          <w:w w:val="105"/>
        </w:rPr>
        <w:t xml:space="preserve"> and</w:t>
      </w:r>
      <w:r w:rsidRPr="003174FF">
        <w:rPr>
          <w:rFonts w:cstheme="minorHAnsi"/>
          <w:color w:val="231F20"/>
          <w:w w:val="105"/>
        </w:rPr>
        <w:t xml:space="preserve"> advertisements and media placements to support strategic marketing and business outreach objectives. </w:t>
      </w:r>
    </w:p>
    <w:bookmarkEnd w:id="106"/>
    <w:p w14:paraId="271325BA" w14:textId="77777777" w:rsidR="00EA7458" w:rsidRPr="003174FF" w:rsidRDefault="00EA7458" w:rsidP="00D63204">
      <w:pPr>
        <w:widowControl w:val="0"/>
        <w:spacing w:after="0" w:line="264" w:lineRule="exact"/>
        <w:ind w:left="107"/>
        <w:rPr>
          <w:rFonts w:cstheme="minorHAnsi"/>
          <w:color w:val="231F20"/>
          <w:w w:val="105"/>
        </w:rPr>
      </w:pPr>
    </w:p>
    <w:p w14:paraId="4CA9C372" w14:textId="77777777" w:rsidR="00EA7458" w:rsidRPr="003174FF" w:rsidRDefault="00EA7458" w:rsidP="00D63204">
      <w:pPr>
        <w:spacing w:before="57" w:after="0" w:line="240" w:lineRule="auto"/>
        <w:ind w:left="90"/>
        <w:rPr>
          <w:rFonts w:cstheme="minorHAnsi"/>
          <w:b/>
          <w:color w:val="231F20"/>
          <w:w w:val="110"/>
        </w:rPr>
      </w:pPr>
      <w:r w:rsidRPr="009F06AF">
        <w:rPr>
          <w:rFonts w:cstheme="minorHAnsi"/>
          <w:b/>
          <w:bCs/>
          <w:color w:val="231F20"/>
          <w:w w:val="110"/>
        </w:rPr>
        <w:t>Incumbent</w:t>
      </w:r>
      <w:r w:rsidRPr="003174FF">
        <w:rPr>
          <w:rFonts w:cstheme="minorHAnsi"/>
          <w:b/>
          <w:color w:val="231F20"/>
          <w:w w:val="110"/>
        </w:rPr>
        <w:t xml:space="preserve"> </w:t>
      </w:r>
      <w:r w:rsidRPr="009F06AF">
        <w:rPr>
          <w:rFonts w:cstheme="minorHAnsi"/>
          <w:b/>
          <w:bCs/>
          <w:color w:val="231F20"/>
          <w:w w:val="110"/>
        </w:rPr>
        <w:t>Worker</w:t>
      </w:r>
      <w:r w:rsidRPr="003174FF">
        <w:rPr>
          <w:rFonts w:cstheme="minorHAnsi"/>
          <w:b/>
          <w:color w:val="231F20"/>
          <w:w w:val="110"/>
        </w:rPr>
        <w:t xml:space="preserve"> </w:t>
      </w:r>
      <w:r w:rsidRPr="009F06AF">
        <w:rPr>
          <w:rFonts w:cstheme="minorHAnsi"/>
          <w:b/>
          <w:bCs/>
          <w:color w:val="231F20"/>
          <w:w w:val="110"/>
        </w:rPr>
        <w:t>Training</w:t>
      </w:r>
      <w:r w:rsidRPr="003174FF">
        <w:rPr>
          <w:rFonts w:cstheme="minorHAnsi"/>
          <w:b/>
          <w:color w:val="231F20"/>
          <w:w w:val="110"/>
        </w:rPr>
        <w:t xml:space="preserve"> </w:t>
      </w:r>
      <w:r w:rsidRPr="009F06AF">
        <w:rPr>
          <w:rFonts w:cstheme="minorHAnsi"/>
          <w:b/>
          <w:bCs/>
          <w:color w:val="231F20"/>
          <w:w w:val="110"/>
        </w:rPr>
        <w:t>Program</w:t>
      </w:r>
    </w:p>
    <w:p w14:paraId="27BBD624" w14:textId="51A7D4E0" w:rsidR="0040282F" w:rsidRPr="003174FF" w:rsidRDefault="00EA7458" w:rsidP="00D63204">
      <w:pPr>
        <w:widowControl w:val="0"/>
        <w:spacing w:after="0" w:line="264" w:lineRule="exact"/>
        <w:ind w:left="107"/>
        <w:rPr>
          <w:rFonts w:cstheme="minorHAnsi"/>
          <w:color w:val="231F20"/>
          <w:w w:val="105"/>
        </w:rPr>
      </w:pPr>
      <w:r w:rsidRPr="009F06AF">
        <w:rPr>
          <w:rFonts w:cstheme="minorHAnsi"/>
          <w:color w:val="231F20"/>
          <w:w w:val="105"/>
        </w:rPr>
        <w:t>Established</w:t>
      </w:r>
      <w:r w:rsidRPr="003174FF">
        <w:rPr>
          <w:rFonts w:cstheme="minorHAnsi"/>
          <w:color w:val="231F20"/>
          <w:w w:val="105"/>
        </w:rPr>
        <w:t xml:space="preserve"> </w:t>
      </w:r>
      <w:r w:rsidRPr="009F06AF">
        <w:rPr>
          <w:rFonts w:cstheme="minorHAnsi"/>
          <w:color w:val="231F20"/>
          <w:w w:val="105"/>
        </w:rPr>
        <w:t>in</w:t>
      </w:r>
      <w:r w:rsidRPr="003174FF">
        <w:rPr>
          <w:rFonts w:cstheme="minorHAnsi"/>
          <w:color w:val="231F20"/>
          <w:w w:val="105"/>
        </w:rPr>
        <w:t xml:space="preserve"> </w:t>
      </w:r>
      <w:r w:rsidRPr="009F06AF">
        <w:rPr>
          <w:rFonts w:cstheme="minorHAnsi"/>
          <w:color w:val="231F20"/>
          <w:w w:val="105"/>
        </w:rPr>
        <w:t>1999,</w:t>
      </w:r>
      <w:r w:rsidRPr="003174FF">
        <w:rPr>
          <w:rFonts w:cstheme="minorHAnsi"/>
          <w:color w:val="231F20"/>
          <w:w w:val="105"/>
        </w:rPr>
        <w:t xml:space="preserve"> </w:t>
      </w:r>
      <w:r w:rsidRPr="009F06AF">
        <w:rPr>
          <w:rFonts w:cstheme="minorHAnsi"/>
          <w:color w:val="231F20"/>
          <w:w w:val="105"/>
        </w:rPr>
        <w:t>Incumbent</w:t>
      </w:r>
      <w:r w:rsidRPr="003174FF">
        <w:rPr>
          <w:rFonts w:cstheme="minorHAnsi"/>
          <w:color w:val="231F20"/>
          <w:w w:val="105"/>
        </w:rPr>
        <w:t xml:space="preserve"> </w:t>
      </w:r>
      <w:r w:rsidRPr="009F06AF">
        <w:rPr>
          <w:rFonts w:cstheme="minorHAnsi"/>
          <w:color w:val="231F20"/>
          <w:w w:val="105"/>
        </w:rPr>
        <w:t>Worker</w:t>
      </w:r>
      <w:r w:rsidRPr="003174FF">
        <w:rPr>
          <w:rFonts w:cstheme="minorHAnsi"/>
          <w:color w:val="231F20"/>
          <w:w w:val="105"/>
        </w:rPr>
        <w:t xml:space="preserve"> Training </w:t>
      </w:r>
      <w:r w:rsidRPr="009F06AF">
        <w:rPr>
          <w:rFonts w:cstheme="minorHAnsi"/>
          <w:color w:val="231F20"/>
          <w:w w:val="105"/>
        </w:rPr>
        <w:t>grants</w:t>
      </w:r>
      <w:r w:rsidRPr="003174FF">
        <w:rPr>
          <w:rFonts w:cstheme="minorHAnsi"/>
          <w:color w:val="231F20"/>
          <w:w w:val="105"/>
        </w:rPr>
        <w:t xml:space="preserve"> </w:t>
      </w:r>
      <w:r w:rsidRPr="009F06AF">
        <w:rPr>
          <w:rFonts w:cstheme="minorHAnsi"/>
          <w:color w:val="231F20"/>
          <w:w w:val="105"/>
        </w:rPr>
        <w:t>provide</w:t>
      </w:r>
      <w:r w:rsidRPr="003174FF">
        <w:rPr>
          <w:rFonts w:cstheme="minorHAnsi"/>
          <w:color w:val="231F20"/>
          <w:w w:val="105"/>
        </w:rPr>
        <w:t xml:space="preserve"> </w:t>
      </w:r>
      <w:r w:rsidRPr="009F06AF">
        <w:rPr>
          <w:rFonts w:cstheme="minorHAnsi"/>
          <w:color w:val="231F20"/>
          <w:w w:val="105"/>
        </w:rPr>
        <w:t>funding</w:t>
      </w:r>
      <w:r w:rsidRPr="003174FF">
        <w:rPr>
          <w:rFonts w:cstheme="minorHAnsi"/>
          <w:color w:val="231F20"/>
          <w:w w:val="105"/>
        </w:rPr>
        <w:t xml:space="preserve"> </w:t>
      </w:r>
      <w:r w:rsidRPr="009F06AF">
        <w:rPr>
          <w:rFonts w:cstheme="minorHAnsi"/>
          <w:color w:val="231F20"/>
          <w:w w:val="105"/>
        </w:rPr>
        <w:t>for</w:t>
      </w:r>
      <w:r w:rsidRPr="003174FF">
        <w:rPr>
          <w:rFonts w:cstheme="minorHAnsi"/>
          <w:color w:val="231F20"/>
          <w:w w:val="105"/>
        </w:rPr>
        <w:t xml:space="preserve"> </w:t>
      </w:r>
      <w:r w:rsidRPr="009F06AF">
        <w:rPr>
          <w:rFonts w:cstheme="minorHAnsi"/>
          <w:color w:val="231F20"/>
          <w:w w:val="105"/>
        </w:rPr>
        <w:t>customized</w:t>
      </w:r>
      <w:r w:rsidRPr="003174FF">
        <w:rPr>
          <w:rFonts w:cstheme="minorHAnsi"/>
          <w:color w:val="231F20"/>
          <w:w w:val="105"/>
        </w:rPr>
        <w:t xml:space="preserve"> </w:t>
      </w:r>
      <w:r w:rsidRPr="009F06AF">
        <w:rPr>
          <w:rFonts w:cstheme="minorHAnsi"/>
          <w:color w:val="231F20"/>
          <w:w w:val="105"/>
        </w:rPr>
        <w:t>training</w:t>
      </w:r>
      <w:r w:rsidRPr="003174FF">
        <w:rPr>
          <w:rFonts w:cstheme="minorHAnsi"/>
          <w:color w:val="231F20"/>
          <w:w w:val="105"/>
        </w:rPr>
        <w:t xml:space="preserve"> </w:t>
      </w:r>
      <w:r w:rsidRPr="009F06AF">
        <w:rPr>
          <w:rFonts w:cstheme="minorHAnsi"/>
          <w:color w:val="231F20"/>
          <w:w w:val="105"/>
        </w:rPr>
        <w:t>including</w:t>
      </w:r>
      <w:r w:rsidRPr="003174FF">
        <w:rPr>
          <w:rFonts w:cstheme="minorHAnsi"/>
          <w:color w:val="231F20"/>
          <w:w w:val="105"/>
        </w:rPr>
        <w:t xml:space="preserve"> </w:t>
      </w:r>
      <w:r w:rsidRPr="009F06AF">
        <w:rPr>
          <w:rFonts w:cstheme="minorHAnsi"/>
          <w:color w:val="231F20"/>
          <w:w w:val="105"/>
        </w:rPr>
        <w:t>skills</w:t>
      </w:r>
      <w:r w:rsidRPr="003174FF">
        <w:rPr>
          <w:rFonts w:cstheme="minorHAnsi"/>
          <w:color w:val="231F20"/>
          <w:w w:val="105"/>
        </w:rPr>
        <w:t xml:space="preserve"> </w:t>
      </w:r>
      <w:r w:rsidRPr="009F06AF">
        <w:rPr>
          <w:rFonts w:cstheme="minorHAnsi"/>
          <w:color w:val="231F20"/>
          <w:w w:val="105"/>
        </w:rPr>
        <w:t>upgrade</w:t>
      </w:r>
      <w:r w:rsidRPr="003174FF">
        <w:rPr>
          <w:rFonts w:cstheme="minorHAnsi"/>
          <w:color w:val="231F20"/>
          <w:w w:val="105"/>
        </w:rPr>
        <w:t xml:space="preserve"> </w:t>
      </w:r>
      <w:r w:rsidRPr="009F06AF">
        <w:rPr>
          <w:rFonts w:cstheme="minorHAnsi"/>
          <w:color w:val="231F20"/>
          <w:w w:val="105"/>
        </w:rPr>
        <w:t>training</w:t>
      </w:r>
      <w:r w:rsidRPr="003174FF">
        <w:rPr>
          <w:rFonts w:cstheme="minorHAnsi"/>
          <w:color w:val="231F20"/>
          <w:w w:val="105"/>
        </w:rPr>
        <w:t xml:space="preserve"> </w:t>
      </w:r>
      <w:r w:rsidRPr="009F06AF">
        <w:rPr>
          <w:rFonts w:cstheme="minorHAnsi"/>
          <w:color w:val="231F20"/>
          <w:w w:val="105"/>
        </w:rPr>
        <w:t>to</w:t>
      </w:r>
      <w:r w:rsidRPr="003174FF">
        <w:rPr>
          <w:rFonts w:cstheme="minorHAnsi"/>
          <w:color w:val="231F20"/>
          <w:w w:val="105"/>
        </w:rPr>
        <w:t xml:space="preserve"> </w:t>
      </w:r>
      <w:r w:rsidRPr="009F06AF">
        <w:rPr>
          <w:rFonts w:cstheme="minorHAnsi"/>
          <w:color w:val="231F20"/>
          <w:w w:val="105"/>
        </w:rPr>
        <w:t>existing</w:t>
      </w:r>
      <w:r w:rsidRPr="003174FF">
        <w:rPr>
          <w:rFonts w:cstheme="minorHAnsi"/>
          <w:color w:val="231F20"/>
          <w:w w:val="105"/>
        </w:rPr>
        <w:t xml:space="preserve"> </w:t>
      </w:r>
      <w:r w:rsidRPr="009F06AF">
        <w:rPr>
          <w:rFonts w:cstheme="minorHAnsi"/>
          <w:color w:val="231F20"/>
          <w:w w:val="105"/>
        </w:rPr>
        <w:t>for-profit</w:t>
      </w:r>
      <w:r w:rsidRPr="003174FF">
        <w:rPr>
          <w:rFonts w:cstheme="minorHAnsi"/>
          <w:color w:val="231F20"/>
          <w:w w:val="105"/>
        </w:rPr>
        <w:t xml:space="preserve"> </w:t>
      </w:r>
      <w:r w:rsidRPr="009F06AF">
        <w:rPr>
          <w:rFonts w:cstheme="minorHAnsi"/>
          <w:color w:val="231F20"/>
          <w:w w:val="105"/>
        </w:rPr>
        <w:t>businesses.</w:t>
      </w:r>
      <w:r w:rsidRPr="003174FF">
        <w:rPr>
          <w:rFonts w:cstheme="minorHAnsi"/>
          <w:color w:val="231F20"/>
          <w:w w:val="105"/>
        </w:rPr>
        <w:t xml:space="preserve"> </w:t>
      </w:r>
      <w:r w:rsidR="00983BA2" w:rsidRPr="009F06AF">
        <w:rPr>
          <w:rFonts w:cstheme="minorHAnsi"/>
          <w:color w:val="231F20"/>
          <w:w w:val="105"/>
        </w:rPr>
        <w:t xml:space="preserve">This grant enables Florida </w:t>
      </w:r>
      <w:r w:rsidRPr="009F06AF">
        <w:rPr>
          <w:rFonts w:cstheme="minorHAnsi"/>
          <w:color w:val="231F20"/>
          <w:w w:val="105"/>
        </w:rPr>
        <w:t>to</w:t>
      </w:r>
      <w:r w:rsidRPr="003174FF">
        <w:rPr>
          <w:rFonts w:cstheme="minorHAnsi"/>
          <w:color w:val="231F20"/>
          <w:w w:val="105"/>
        </w:rPr>
        <w:t xml:space="preserve"> </w:t>
      </w:r>
      <w:r w:rsidRPr="009F06AF">
        <w:rPr>
          <w:rFonts w:cstheme="minorHAnsi"/>
          <w:color w:val="231F20"/>
          <w:w w:val="105"/>
        </w:rPr>
        <w:t>effectively</w:t>
      </w:r>
      <w:r w:rsidRPr="003174FF">
        <w:rPr>
          <w:rFonts w:cstheme="minorHAnsi"/>
          <w:color w:val="231F20"/>
          <w:w w:val="105"/>
        </w:rPr>
        <w:t xml:space="preserve"> </w:t>
      </w:r>
      <w:r w:rsidRPr="009F06AF">
        <w:rPr>
          <w:rFonts w:cstheme="minorHAnsi"/>
          <w:color w:val="231F20"/>
          <w:w w:val="105"/>
        </w:rPr>
        <w:t>retain</w:t>
      </w:r>
      <w:r w:rsidRPr="003174FF">
        <w:rPr>
          <w:rFonts w:cstheme="minorHAnsi"/>
          <w:color w:val="231F20"/>
          <w:w w:val="105"/>
        </w:rPr>
        <w:t xml:space="preserve"> </w:t>
      </w:r>
      <w:r w:rsidRPr="009F06AF">
        <w:rPr>
          <w:rFonts w:cstheme="minorHAnsi"/>
          <w:color w:val="231F20"/>
          <w:w w:val="105"/>
        </w:rPr>
        <w:t>businesses</w:t>
      </w:r>
      <w:r w:rsidRPr="003174FF">
        <w:rPr>
          <w:rFonts w:cstheme="minorHAnsi"/>
          <w:color w:val="231F20"/>
          <w:w w:val="105"/>
        </w:rPr>
        <w:t xml:space="preserve"> </w:t>
      </w:r>
      <w:r w:rsidRPr="009F06AF">
        <w:rPr>
          <w:rFonts w:cstheme="minorHAnsi"/>
          <w:color w:val="231F20"/>
          <w:w w:val="105"/>
        </w:rPr>
        <w:t>and</w:t>
      </w:r>
      <w:r w:rsidRPr="003174FF">
        <w:rPr>
          <w:rFonts w:cstheme="minorHAnsi"/>
          <w:color w:val="231F20"/>
          <w:w w:val="105"/>
        </w:rPr>
        <w:t xml:space="preserve"> </w:t>
      </w:r>
      <w:r w:rsidRPr="009F06AF">
        <w:rPr>
          <w:rFonts w:cstheme="minorHAnsi"/>
          <w:color w:val="231F20"/>
          <w:w w:val="105"/>
        </w:rPr>
        <w:t>help</w:t>
      </w:r>
      <w:r w:rsidRPr="003174FF">
        <w:rPr>
          <w:rFonts w:cstheme="minorHAnsi"/>
          <w:color w:val="231F20"/>
          <w:w w:val="105"/>
        </w:rPr>
        <w:t xml:space="preserve"> </w:t>
      </w:r>
      <w:r w:rsidRPr="009F06AF">
        <w:rPr>
          <w:rFonts w:cstheme="minorHAnsi"/>
          <w:color w:val="231F20"/>
          <w:w w:val="105"/>
        </w:rPr>
        <w:t>them</w:t>
      </w:r>
      <w:r w:rsidRPr="003174FF">
        <w:rPr>
          <w:rFonts w:cstheme="minorHAnsi"/>
          <w:color w:val="231F20"/>
          <w:w w:val="105"/>
        </w:rPr>
        <w:t xml:space="preserve"> </w:t>
      </w:r>
      <w:r w:rsidRPr="009F06AF">
        <w:rPr>
          <w:rFonts w:cstheme="minorHAnsi"/>
          <w:color w:val="231F20"/>
          <w:w w:val="105"/>
        </w:rPr>
        <w:t>stay</w:t>
      </w:r>
      <w:r w:rsidRPr="003174FF">
        <w:rPr>
          <w:rFonts w:cstheme="minorHAnsi"/>
          <w:color w:val="231F20"/>
          <w:w w:val="105"/>
        </w:rPr>
        <w:t xml:space="preserve"> </w:t>
      </w:r>
      <w:r w:rsidRPr="009F06AF">
        <w:rPr>
          <w:rFonts w:cstheme="minorHAnsi"/>
          <w:color w:val="231F20"/>
          <w:w w:val="105"/>
        </w:rPr>
        <w:t>competitive</w:t>
      </w:r>
      <w:r w:rsidRPr="003174FF">
        <w:rPr>
          <w:rFonts w:cstheme="minorHAnsi"/>
          <w:color w:val="231F20"/>
          <w:w w:val="105"/>
        </w:rPr>
        <w:t xml:space="preserve"> </w:t>
      </w:r>
      <w:r w:rsidRPr="009F06AF">
        <w:rPr>
          <w:rFonts w:cstheme="minorHAnsi"/>
          <w:color w:val="231F20"/>
          <w:w w:val="105"/>
        </w:rPr>
        <w:t>by</w:t>
      </w:r>
      <w:r w:rsidRPr="003174FF">
        <w:rPr>
          <w:rFonts w:cstheme="minorHAnsi"/>
          <w:color w:val="231F20"/>
          <w:w w:val="105"/>
        </w:rPr>
        <w:t xml:space="preserve"> </w:t>
      </w:r>
      <w:r w:rsidRPr="009F06AF">
        <w:rPr>
          <w:rFonts w:cstheme="minorHAnsi"/>
          <w:color w:val="231F20"/>
          <w:w w:val="105"/>
        </w:rPr>
        <w:t>supporting</w:t>
      </w:r>
      <w:r w:rsidRPr="003174FF">
        <w:rPr>
          <w:rFonts w:cstheme="minorHAnsi"/>
          <w:color w:val="231F20"/>
          <w:w w:val="105"/>
        </w:rPr>
        <w:t xml:space="preserve"> </w:t>
      </w:r>
      <w:r w:rsidRPr="009F06AF">
        <w:rPr>
          <w:rFonts w:cstheme="minorHAnsi"/>
          <w:color w:val="231F20"/>
          <w:w w:val="105"/>
        </w:rPr>
        <w:t>skills-upgrade</w:t>
      </w:r>
      <w:r w:rsidRPr="003174FF">
        <w:rPr>
          <w:rFonts w:cstheme="minorHAnsi"/>
          <w:color w:val="231F20"/>
          <w:w w:val="105"/>
        </w:rPr>
        <w:t xml:space="preserve"> </w:t>
      </w:r>
      <w:r w:rsidRPr="009F06AF">
        <w:rPr>
          <w:rFonts w:cstheme="minorHAnsi"/>
          <w:color w:val="231F20"/>
          <w:w w:val="105"/>
        </w:rPr>
        <w:t>training</w:t>
      </w:r>
      <w:r w:rsidRPr="003174FF">
        <w:rPr>
          <w:rFonts w:cstheme="minorHAnsi"/>
          <w:color w:val="231F20"/>
          <w:w w:val="105"/>
        </w:rPr>
        <w:t xml:space="preserve"> </w:t>
      </w:r>
      <w:r w:rsidRPr="009F06AF">
        <w:rPr>
          <w:rFonts w:cstheme="minorHAnsi"/>
          <w:color w:val="231F20"/>
          <w:w w:val="105"/>
        </w:rPr>
        <w:t>for</w:t>
      </w:r>
      <w:r w:rsidRPr="003174FF">
        <w:rPr>
          <w:rFonts w:cstheme="minorHAnsi"/>
          <w:color w:val="231F20"/>
          <w:w w:val="105"/>
        </w:rPr>
        <w:t xml:space="preserve"> </w:t>
      </w:r>
      <w:r w:rsidRPr="009F06AF">
        <w:rPr>
          <w:rFonts w:cstheme="minorHAnsi"/>
          <w:color w:val="231F20"/>
          <w:w w:val="105"/>
        </w:rPr>
        <w:t>existing</w:t>
      </w:r>
      <w:r w:rsidRPr="003174FF">
        <w:rPr>
          <w:rFonts w:cstheme="minorHAnsi"/>
          <w:color w:val="231F20"/>
          <w:w w:val="105"/>
        </w:rPr>
        <w:t xml:space="preserve"> </w:t>
      </w:r>
      <w:r w:rsidRPr="009F06AF">
        <w:rPr>
          <w:rFonts w:cstheme="minorHAnsi"/>
          <w:color w:val="231F20"/>
          <w:w w:val="105"/>
        </w:rPr>
        <w:t>full-</w:t>
      </w:r>
      <w:r w:rsidRPr="003174FF">
        <w:rPr>
          <w:rFonts w:cstheme="minorHAnsi"/>
          <w:color w:val="231F20"/>
          <w:w w:val="105"/>
        </w:rPr>
        <w:t xml:space="preserve"> </w:t>
      </w:r>
      <w:r w:rsidRPr="009F06AF">
        <w:rPr>
          <w:rFonts w:cstheme="minorHAnsi"/>
          <w:color w:val="231F20"/>
          <w:w w:val="105"/>
        </w:rPr>
        <w:t>time</w:t>
      </w:r>
      <w:r w:rsidRPr="003174FF">
        <w:rPr>
          <w:rFonts w:cstheme="minorHAnsi"/>
          <w:color w:val="231F20"/>
          <w:w w:val="105"/>
        </w:rPr>
        <w:t xml:space="preserve"> </w:t>
      </w:r>
      <w:r w:rsidRPr="009F06AF">
        <w:rPr>
          <w:rFonts w:cstheme="minorHAnsi"/>
          <w:color w:val="231F20"/>
          <w:w w:val="105"/>
        </w:rPr>
        <w:t>employees.</w:t>
      </w:r>
      <w:r w:rsidRPr="003174FF">
        <w:rPr>
          <w:rFonts w:cstheme="minorHAnsi"/>
          <w:color w:val="231F20"/>
          <w:w w:val="105"/>
        </w:rPr>
        <w:t xml:space="preserve"> </w:t>
      </w:r>
      <w:r w:rsidR="0040282F" w:rsidRPr="003174FF">
        <w:rPr>
          <w:rFonts w:cstheme="minorHAnsi"/>
          <w:color w:val="231F20"/>
          <w:w w:val="105"/>
        </w:rPr>
        <w:t>In Fiscal Year</w:t>
      </w:r>
      <w:r w:rsidRPr="003174FF">
        <w:rPr>
          <w:rFonts w:cstheme="minorHAnsi"/>
          <w:color w:val="231F20"/>
          <w:w w:val="105"/>
        </w:rPr>
        <w:t xml:space="preserve"> </w:t>
      </w:r>
      <w:r w:rsidR="002715FD">
        <w:rPr>
          <w:rFonts w:cstheme="minorHAnsi"/>
          <w:color w:val="231F20"/>
          <w:w w:val="105"/>
        </w:rPr>
        <w:t>2016-</w:t>
      </w:r>
      <w:r w:rsidR="00F573FF">
        <w:rPr>
          <w:rFonts w:cstheme="minorHAnsi"/>
          <w:color w:val="231F20"/>
          <w:w w:val="105"/>
        </w:rPr>
        <w:t>20</w:t>
      </w:r>
      <w:r w:rsidR="002715FD">
        <w:rPr>
          <w:rFonts w:cstheme="minorHAnsi"/>
          <w:color w:val="231F20"/>
          <w:w w:val="105"/>
        </w:rPr>
        <w:t>17</w:t>
      </w:r>
      <w:r w:rsidRPr="009F06AF">
        <w:rPr>
          <w:rFonts w:cstheme="minorHAnsi"/>
          <w:color w:val="231F20"/>
          <w:w w:val="105"/>
        </w:rPr>
        <w:t>,</w:t>
      </w:r>
      <w:r w:rsidRPr="003174FF">
        <w:rPr>
          <w:rFonts w:cstheme="minorHAnsi"/>
          <w:color w:val="231F20"/>
          <w:w w:val="105"/>
        </w:rPr>
        <w:t xml:space="preserve"> </w:t>
      </w:r>
      <w:r w:rsidRPr="009F06AF">
        <w:rPr>
          <w:rFonts w:cstheme="minorHAnsi"/>
          <w:color w:val="231F20"/>
          <w:w w:val="105"/>
        </w:rPr>
        <w:t>CareerSource</w:t>
      </w:r>
      <w:r w:rsidRPr="003174FF">
        <w:rPr>
          <w:rFonts w:cstheme="minorHAnsi"/>
          <w:color w:val="231F20"/>
          <w:w w:val="105"/>
        </w:rPr>
        <w:t xml:space="preserve"> </w:t>
      </w:r>
      <w:r w:rsidRPr="009F06AF">
        <w:rPr>
          <w:rFonts w:cstheme="minorHAnsi"/>
          <w:color w:val="231F20"/>
          <w:w w:val="105"/>
        </w:rPr>
        <w:t>Florida</w:t>
      </w:r>
      <w:r w:rsidRPr="003174FF">
        <w:rPr>
          <w:rFonts w:cstheme="minorHAnsi"/>
          <w:color w:val="231F20"/>
          <w:w w:val="105"/>
        </w:rPr>
        <w:t xml:space="preserve"> </w:t>
      </w:r>
      <w:r w:rsidRPr="009F06AF">
        <w:rPr>
          <w:rFonts w:cstheme="minorHAnsi"/>
          <w:color w:val="231F20"/>
          <w:w w:val="105"/>
        </w:rPr>
        <w:t>awarded</w:t>
      </w:r>
      <w:r w:rsidRPr="003174FF">
        <w:rPr>
          <w:rFonts w:cstheme="minorHAnsi"/>
          <w:color w:val="231F20"/>
          <w:w w:val="105"/>
        </w:rPr>
        <w:t xml:space="preserve"> </w:t>
      </w:r>
      <w:r w:rsidRPr="009F06AF">
        <w:rPr>
          <w:rFonts w:cstheme="minorHAnsi"/>
          <w:color w:val="231F20"/>
          <w:w w:val="105"/>
        </w:rPr>
        <w:t>Incumbent</w:t>
      </w:r>
      <w:r w:rsidRPr="003174FF">
        <w:rPr>
          <w:rFonts w:cstheme="minorHAnsi"/>
          <w:color w:val="231F20"/>
          <w:w w:val="105"/>
        </w:rPr>
        <w:t xml:space="preserve"> </w:t>
      </w:r>
      <w:r w:rsidRPr="009F06AF">
        <w:rPr>
          <w:rFonts w:cstheme="minorHAnsi"/>
          <w:color w:val="231F20"/>
          <w:w w:val="105"/>
        </w:rPr>
        <w:t>Worker</w:t>
      </w:r>
      <w:r w:rsidRPr="003174FF">
        <w:rPr>
          <w:rFonts w:cstheme="minorHAnsi"/>
          <w:color w:val="231F20"/>
          <w:w w:val="105"/>
        </w:rPr>
        <w:t xml:space="preserve"> Training </w:t>
      </w:r>
      <w:r w:rsidRPr="009F06AF">
        <w:rPr>
          <w:rFonts w:cstheme="minorHAnsi"/>
          <w:color w:val="231F20"/>
          <w:w w:val="105"/>
        </w:rPr>
        <w:t>grants</w:t>
      </w:r>
      <w:r w:rsidRPr="003174FF">
        <w:rPr>
          <w:rFonts w:cstheme="minorHAnsi"/>
          <w:color w:val="231F20"/>
          <w:w w:val="105"/>
        </w:rPr>
        <w:t xml:space="preserve"> </w:t>
      </w:r>
      <w:r w:rsidRPr="009F06AF">
        <w:rPr>
          <w:rFonts w:cstheme="minorHAnsi"/>
          <w:color w:val="231F20"/>
          <w:w w:val="105"/>
        </w:rPr>
        <w:t xml:space="preserve">totaling more than </w:t>
      </w:r>
      <w:r w:rsidRPr="003174FF">
        <w:rPr>
          <w:rFonts w:cstheme="minorHAnsi"/>
          <w:color w:val="231F20"/>
          <w:w w:val="105"/>
        </w:rPr>
        <w:t>$</w:t>
      </w:r>
      <w:r w:rsidR="002715FD" w:rsidRPr="003174FF">
        <w:rPr>
          <w:rFonts w:cstheme="minorHAnsi"/>
          <w:color w:val="231F20"/>
          <w:w w:val="105"/>
        </w:rPr>
        <w:t xml:space="preserve">1.9 </w:t>
      </w:r>
      <w:r w:rsidRPr="009F06AF">
        <w:rPr>
          <w:rFonts w:cstheme="minorHAnsi"/>
          <w:color w:val="231F20"/>
          <w:w w:val="105"/>
        </w:rPr>
        <w:t xml:space="preserve">million to help companies train and retain more than </w:t>
      </w:r>
      <w:r w:rsidR="002715FD" w:rsidRPr="003174FF">
        <w:rPr>
          <w:rFonts w:cstheme="minorHAnsi"/>
          <w:color w:val="231F20"/>
          <w:w w:val="105"/>
        </w:rPr>
        <w:t xml:space="preserve">4,005 </w:t>
      </w:r>
      <w:r w:rsidRPr="009F06AF">
        <w:rPr>
          <w:rFonts w:cstheme="minorHAnsi"/>
          <w:color w:val="231F20"/>
          <w:w w:val="105"/>
        </w:rPr>
        <w:t>full-time</w:t>
      </w:r>
      <w:r w:rsidRPr="003174FF">
        <w:rPr>
          <w:rFonts w:cstheme="minorHAnsi"/>
          <w:color w:val="231F20"/>
          <w:w w:val="105"/>
        </w:rPr>
        <w:t xml:space="preserve"> </w:t>
      </w:r>
      <w:r w:rsidRPr="009F06AF">
        <w:rPr>
          <w:rFonts w:cstheme="minorHAnsi"/>
          <w:color w:val="231F20"/>
          <w:w w:val="105"/>
        </w:rPr>
        <w:t>employees.</w:t>
      </w:r>
      <w:r w:rsidRPr="003174FF">
        <w:rPr>
          <w:rFonts w:cstheme="minorHAnsi"/>
          <w:color w:val="231F20"/>
          <w:w w:val="105"/>
        </w:rPr>
        <w:t xml:space="preserve"> </w:t>
      </w:r>
      <w:r w:rsidR="0040282F" w:rsidRPr="003174FF">
        <w:rPr>
          <w:rFonts w:cstheme="minorHAnsi"/>
          <w:color w:val="231F20"/>
          <w:w w:val="105"/>
        </w:rPr>
        <w:t xml:space="preserve">Trainees’ wages increased more than 11 percent on average within fifteen months of completing IWT-supported training. </w:t>
      </w:r>
      <w:r w:rsidRPr="009F06AF">
        <w:rPr>
          <w:rFonts w:cstheme="minorHAnsi"/>
          <w:color w:val="231F20"/>
          <w:w w:val="105"/>
        </w:rPr>
        <w:t>Florida’s IWT program is funded $2 million annually</w:t>
      </w:r>
      <w:r w:rsidR="0040282F" w:rsidRPr="003174FF">
        <w:rPr>
          <w:rFonts w:cstheme="minorHAnsi"/>
          <w:color w:val="231F20"/>
          <w:w w:val="105"/>
        </w:rPr>
        <w:t>, with additional funding at the discretion of the CareerSource Florida Board of Directors.</w:t>
      </w:r>
      <w:r w:rsidRPr="009F06AF">
        <w:rPr>
          <w:rFonts w:cstheme="minorHAnsi"/>
          <w:color w:val="231F20"/>
          <w:w w:val="105"/>
        </w:rPr>
        <w:t xml:space="preserve"> Funding priority is given</w:t>
      </w:r>
      <w:r w:rsidRPr="003174FF">
        <w:rPr>
          <w:rFonts w:cstheme="minorHAnsi"/>
          <w:color w:val="231F20"/>
          <w:w w:val="105"/>
        </w:rPr>
        <w:t xml:space="preserve"> </w:t>
      </w:r>
      <w:r w:rsidRPr="009F06AF">
        <w:rPr>
          <w:rFonts w:cstheme="minorHAnsi"/>
          <w:color w:val="231F20"/>
          <w:w w:val="105"/>
        </w:rPr>
        <w:t xml:space="preserve">to </w:t>
      </w:r>
      <w:r w:rsidR="000C6AF1" w:rsidRPr="009F06AF">
        <w:rPr>
          <w:rFonts w:cstheme="minorHAnsi"/>
          <w:color w:val="231F20"/>
          <w:w w:val="105"/>
        </w:rPr>
        <w:t xml:space="preserve">small </w:t>
      </w:r>
      <w:r w:rsidRPr="009F06AF">
        <w:rPr>
          <w:rFonts w:cstheme="minorHAnsi"/>
          <w:color w:val="231F20"/>
          <w:w w:val="105"/>
        </w:rPr>
        <w:t xml:space="preserve">businesses </w:t>
      </w:r>
      <w:r w:rsidR="000C6AF1" w:rsidRPr="009F06AF">
        <w:rPr>
          <w:rFonts w:cstheme="minorHAnsi"/>
          <w:color w:val="231F20"/>
          <w:w w:val="105"/>
        </w:rPr>
        <w:t xml:space="preserve">and those </w:t>
      </w:r>
      <w:r w:rsidRPr="009F06AF">
        <w:rPr>
          <w:rFonts w:cstheme="minorHAnsi"/>
          <w:color w:val="231F20"/>
          <w:w w:val="105"/>
        </w:rPr>
        <w:t>located in rural, enterprise zone, brownfield or inner-city areas</w:t>
      </w:r>
      <w:r w:rsidR="00D5537E">
        <w:rPr>
          <w:rFonts w:cstheme="minorHAnsi"/>
          <w:color w:val="231F20"/>
          <w:w w:val="105"/>
        </w:rPr>
        <w:t xml:space="preserve"> and</w:t>
      </w:r>
      <w:r w:rsidR="000C6AF1" w:rsidRPr="009F06AF">
        <w:rPr>
          <w:rFonts w:cstheme="minorHAnsi"/>
          <w:color w:val="231F20"/>
          <w:w w:val="105"/>
        </w:rPr>
        <w:t xml:space="preserve"> </w:t>
      </w:r>
      <w:r w:rsidRPr="009F06AF">
        <w:rPr>
          <w:rFonts w:cstheme="minorHAnsi"/>
          <w:color w:val="231F20"/>
          <w:w w:val="105"/>
        </w:rPr>
        <w:t>businesses</w:t>
      </w:r>
      <w:r w:rsidRPr="003174FF">
        <w:rPr>
          <w:rFonts w:cstheme="minorHAnsi"/>
          <w:color w:val="231F20"/>
          <w:w w:val="105"/>
        </w:rPr>
        <w:t xml:space="preserve"> </w:t>
      </w:r>
      <w:r w:rsidRPr="009F06AF">
        <w:rPr>
          <w:rFonts w:cstheme="minorHAnsi"/>
          <w:color w:val="231F20"/>
          <w:w w:val="105"/>
        </w:rPr>
        <w:t>in</w:t>
      </w:r>
      <w:r w:rsidRPr="003174FF">
        <w:rPr>
          <w:rFonts w:cstheme="minorHAnsi"/>
          <w:color w:val="231F20"/>
          <w:w w:val="105"/>
        </w:rPr>
        <w:t xml:space="preserve"> </w:t>
      </w:r>
      <w:r w:rsidRPr="009F06AF">
        <w:rPr>
          <w:rFonts w:cstheme="minorHAnsi"/>
          <w:color w:val="231F20"/>
          <w:w w:val="105"/>
        </w:rPr>
        <w:t>targeted</w:t>
      </w:r>
      <w:r w:rsidRPr="003174FF">
        <w:rPr>
          <w:rFonts w:cstheme="minorHAnsi"/>
          <w:color w:val="231F20"/>
          <w:w w:val="105"/>
        </w:rPr>
        <w:t xml:space="preserve"> </w:t>
      </w:r>
      <w:r w:rsidR="000C6AF1" w:rsidRPr="009F06AF">
        <w:rPr>
          <w:rFonts w:cstheme="minorHAnsi"/>
          <w:color w:val="231F20"/>
          <w:w w:val="105"/>
        </w:rPr>
        <w:t>industries</w:t>
      </w:r>
      <w:r w:rsidRPr="009F06AF">
        <w:rPr>
          <w:rFonts w:cstheme="minorHAnsi"/>
          <w:color w:val="231F20"/>
          <w:w w:val="105"/>
        </w:rPr>
        <w:t>.</w:t>
      </w:r>
      <w:r w:rsidRPr="003174FF">
        <w:rPr>
          <w:rFonts w:cstheme="minorHAnsi"/>
          <w:color w:val="231F20"/>
          <w:w w:val="105"/>
        </w:rPr>
        <w:t xml:space="preserve"> </w:t>
      </w:r>
    </w:p>
    <w:p w14:paraId="6C12E1DE" w14:textId="77777777" w:rsidR="0040282F" w:rsidRPr="003174FF" w:rsidRDefault="0040282F" w:rsidP="00D63204">
      <w:pPr>
        <w:widowControl w:val="0"/>
        <w:spacing w:after="0" w:line="264" w:lineRule="exact"/>
        <w:ind w:left="107"/>
        <w:rPr>
          <w:rFonts w:cstheme="minorHAnsi"/>
          <w:color w:val="231F20"/>
          <w:w w:val="105"/>
        </w:rPr>
      </w:pPr>
    </w:p>
    <w:bookmarkEnd w:id="107"/>
    <w:p w14:paraId="58295F4C" w14:textId="62A3C81E" w:rsidR="008601E5" w:rsidRPr="003174FF" w:rsidRDefault="008601E5" w:rsidP="00D63204">
      <w:pPr>
        <w:widowControl w:val="0"/>
        <w:spacing w:after="0" w:line="264" w:lineRule="exact"/>
        <w:ind w:left="107"/>
        <w:rPr>
          <w:rFonts w:cstheme="minorHAnsi"/>
          <w:color w:val="231F20"/>
          <w:w w:val="105"/>
        </w:rPr>
      </w:pPr>
      <w:r w:rsidRPr="008601E5">
        <w:rPr>
          <w:rFonts w:cstheme="minorHAnsi"/>
          <w:color w:val="231F20"/>
          <w:w w:val="105"/>
        </w:rPr>
        <w:t xml:space="preserve">Since its inception, more than $100 million in requests for IWT funding have been received and 58 percent of the requests have resulted in awards. Extensive outreach through digital advertising, presentations and workshops has been conducted to ensure that as many small businesses as possible are aware of the benefits of the IWT program. IWT is popular and meets a critical need for Florida’s businesses. For every </w:t>
      </w:r>
      <w:r w:rsidR="00013523">
        <w:rPr>
          <w:rFonts w:cstheme="minorHAnsi"/>
          <w:color w:val="231F20"/>
          <w:w w:val="105"/>
        </w:rPr>
        <w:t>$1</w:t>
      </w:r>
      <w:r w:rsidRPr="008601E5">
        <w:rPr>
          <w:rFonts w:cstheme="minorHAnsi"/>
          <w:color w:val="231F20"/>
          <w:w w:val="105"/>
        </w:rPr>
        <w:t xml:space="preserve"> of IWT funds invested in training, companies matched $7.39.</w:t>
      </w:r>
      <w:r w:rsidRPr="003174FF">
        <w:rPr>
          <w:rFonts w:cstheme="minorHAnsi"/>
          <w:color w:val="231F20"/>
          <w:w w:val="105"/>
        </w:rPr>
        <w:t xml:space="preserve"> </w:t>
      </w:r>
    </w:p>
    <w:p w14:paraId="695C1DF3" w14:textId="60A83289" w:rsidR="00EA7458" w:rsidRPr="009F06AF" w:rsidRDefault="00EA7458" w:rsidP="00D63204">
      <w:pPr>
        <w:widowControl w:val="0"/>
        <w:spacing w:after="0" w:line="240" w:lineRule="auto"/>
        <w:ind w:left="107"/>
        <w:rPr>
          <w:rFonts w:cstheme="minorHAnsi"/>
          <w:color w:val="231F20"/>
          <w:spacing w:val="-5"/>
          <w:w w:val="105"/>
        </w:rPr>
      </w:pPr>
    </w:p>
    <w:p w14:paraId="238E15FD" w14:textId="3F466DC2" w:rsidR="009F1BFB" w:rsidRDefault="009F1BFB">
      <w:pPr>
        <w:rPr>
          <w:rFonts w:cstheme="minorHAnsi"/>
          <w:sz w:val="14"/>
          <w:szCs w:val="14"/>
        </w:rPr>
      </w:pPr>
      <w:r>
        <w:rPr>
          <w:rFonts w:cstheme="minorHAnsi"/>
          <w:sz w:val="14"/>
          <w:szCs w:val="14"/>
        </w:rPr>
        <w:br w:type="page"/>
      </w:r>
    </w:p>
    <w:p w14:paraId="0BED8AF0" w14:textId="77777777" w:rsidR="00751FC0" w:rsidRPr="009F06AF" w:rsidRDefault="00751FC0" w:rsidP="00D63204">
      <w:pPr>
        <w:widowControl w:val="0"/>
        <w:spacing w:before="1" w:after="0" w:line="240" w:lineRule="auto"/>
        <w:ind w:left="107"/>
        <w:rPr>
          <w:rFonts w:cstheme="minorHAnsi"/>
          <w:sz w:val="14"/>
          <w:szCs w:val="14"/>
        </w:rPr>
      </w:pPr>
    </w:p>
    <w:p w14:paraId="0DF5E685" w14:textId="77777777" w:rsidR="00EA7458" w:rsidRPr="009F06AF" w:rsidRDefault="00EA7458" w:rsidP="00D63204">
      <w:pPr>
        <w:widowControl w:val="0"/>
        <w:spacing w:before="57" w:after="0" w:line="240" w:lineRule="auto"/>
        <w:ind w:left="107"/>
        <w:outlineLvl w:val="2"/>
        <w:rPr>
          <w:rFonts w:cstheme="minorHAnsi"/>
        </w:rPr>
      </w:pPr>
      <w:r w:rsidRPr="009F06AF">
        <w:rPr>
          <w:rFonts w:cstheme="minorHAnsi"/>
          <w:b/>
          <w:bCs/>
          <w:color w:val="231F20"/>
          <w:w w:val="110"/>
        </w:rPr>
        <w:t>Transitional Jobs and On-the-Job</w:t>
      </w:r>
      <w:r w:rsidRPr="009F06AF">
        <w:rPr>
          <w:rFonts w:cstheme="minorHAnsi"/>
          <w:b/>
          <w:bCs/>
          <w:color w:val="231F20"/>
          <w:spacing w:val="-22"/>
          <w:w w:val="110"/>
        </w:rPr>
        <w:t xml:space="preserve"> </w:t>
      </w:r>
      <w:r w:rsidRPr="009F06AF">
        <w:rPr>
          <w:rFonts w:cstheme="minorHAnsi"/>
          <w:b/>
          <w:bCs/>
          <w:color w:val="231F20"/>
          <w:w w:val="110"/>
        </w:rPr>
        <w:t>Training</w:t>
      </w:r>
    </w:p>
    <w:p w14:paraId="2D993DBB" w14:textId="61543D3A" w:rsidR="00EA7458" w:rsidRDefault="00EA7458" w:rsidP="00D63204">
      <w:pPr>
        <w:widowControl w:val="0"/>
        <w:spacing w:before="2" w:after="0" w:line="235" w:lineRule="auto"/>
        <w:ind w:left="107"/>
        <w:rPr>
          <w:rFonts w:cstheme="minorHAnsi"/>
          <w:color w:val="231F20"/>
          <w:w w:val="105"/>
        </w:rPr>
      </w:pPr>
      <w:r w:rsidRPr="009F06AF">
        <w:rPr>
          <w:rFonts w:cstheme="minorHAnsi"/>
          <w:color w:val="231F20"/>
          <w:w w:val="105"/>
        </w:rPr>
        <w:t>The</w:t>
      </w:r>
      <w:r w:rsidRPr="00C50CA2">
        <w:rPr>
          <w:rFonts w:cstheme="minorHAnsi"/>
          <w:color w:val="231F20"/>
          <w:w w:val="105"/>
        </w:rPr>
        <w:t xml:space="preserve"> </w:t>
      </w:r>
      <w:r w:rsidRPr="009F06AF">
        <w:rPr>
          <w:rFonts w:cstheme="minorHAnsi"/>
          <w:color w:val="231F20"/>
          <w:w w:val="105"/>
        </w:rPr>
        <w:t>state</w:t>
      </w:r>
      <w:r w:rsidRPr="00C50CA2">
        <w:rPr>
          <w:rFonts w:cstheme="minorHAnsi"/>
          <w:color w:val="231F20"/>
          <w:w w:val="105"/>
        </w:rPr>
        <w:t xml:space="preserve"> </w:t>
      </w:r>
      <w:r w:rsidRPr="009F06AF">
        <w:rPr>
          <w:rFonts w:cstheme="minorHAnsi"/>
          <w:color w:val="231F20"/>
          <w:w w:val="105"/>
        </w:rPr>
        <w:t>of</w:t>
      </w:r>
      <w:r w:rsidRPr="00C50CA2">
        <w:rPr>
          <w:rFonts w:cstheme="minorHAnsi"/>
          <w:color w:val="231F20"/>
          <w:w w:val="105"/>
        </w:rPr>
        <w:t xml:space="preserve"> </w:t>
      </w:r>
      <w:r w:rsidRPr="009F06AF">
        <w:rPr>
          <w:rFonts w:cstheme="minorHAnsi"/>
          <w:color w:val="231F20"/>
          <w:w w:val="105"/>
        </w:rPr>
        <w:t>Florida</w:t>
      </w:r>
      <w:r w:rsidRPr="00C50CA2">
        <w:rPr>
          <w:rFonts w:cstheme="minorHAnsi"/>
          <w:color w:val="231F20"/>
          <w:w w:val="105"/>
        </w:rPr>
        <w:t xml:space="preserve"> </w:t>
      </w:r>
      <w:r w:rsidR="000C6AF1" w:rsidRPr="009F06AF">
        <w:rPr>
          <w:rFonts w:cstheme="minorHAnsi"/>
          <w:color w:val="231F20"/>
          <w:w w:val="105"/>
        </w:rPr>
        <w:t xml:space="preserve">increased </w:t>
      </w:r>
      <w:r w:rsidRPr="009F06AF">
        <w:rPr>
          <w:rFonts w:cstheme="minorHAnsi"/>
          <w:color w:val="231F20"/>
          <w:w w:val="105"/>
        </w:rPr>
        <w:t>training</w:t>
      </w:r>
      <w:r w:rsidRPr="00C50CA2">
        <w:rPr>
          <w:rFonts w:cstheme="minorHAnsi"/>
          <w:color w:val="231F20"/>
          <w:w w:val="105"/>
        </w:rPr>
        <w:t xml:space="preserve"> </w:t>
      </w:r>
      <w:r w:rsidRPr="009F06AF">
        <w:rPr>
          <w:rFonts w:cstheme="minorHAnsi"/>
          <w:color w:val="231F20"/>
          <w:w w:val="105"/>
        </w:rPr>
        <w:t>opportunities</w:t>
      </w:r>
      <w:r w:rsidRPr="00C50CA2">
        <w:rPr>
          <w:rFonts w:cstheme="minorHAnsi"/>
          <w:color w:val="231F20"/>
          <w:w w:val="105"/>
        </w:rPr>
        <w:t xml:space="preserve"> </w:t>
      </w:r>
      <w:r w:rsidRPr="009F06AF">
        <w:rPr>
          <w:rFonts w:cstheme="minorHAnsi"/>
          <w:color w:val="231F20"/>
          <w:w w:val="105"/>
        </w:rPr>
        <w:t>to</w:t>
      </w:r>
      <w:r w:rsidRPr="00C50CA2">
        <w:rPr>
          <w:rFonts w:cstheme="minorHAnsi"/>
          <w:color w:val="231F20"/>
          <w:w w:val="105"/>
        </w:rPr>
        <w:t xml:space="preserve"> </w:t>
      </w:r>
      <w:r w:rsidRPr="009F06AF">
        <w:rPr>
          <w:rFonts w:cstheme="minorHAnsi"/>
          <w:color w:val="231F20"/>
          <w:w w:val="105"/>
        </w:rPr>
        <w:t>individuals</w:t>
      </w:r>
      <w:r w:rsidRPr="00C50CA2">
        <w:rPr>
          <w:rFonts w:cstheme="minorHAnsi"/>
          <w:color w:val="231F20"/>
          <w:w w:val="105"/>
        </w:rPr>
        <w:t xml:space="preserve"> </w:t>
      </w:r>
      <w:r w:rsidR="000C6AF1" w:rsidRPr="009F06AF">
        <w:rPr>
          <w:rFonts w:cstheme="minorHAnsi"/>
          <w:color w:val="231F20"/>
          <w:w w:val="105"/>
        </w:rPr>
        <w:t xml:space="preserve">through </w:t>
      </w:r>
      <w:r w:rsidRPr="009F06AF">
        <w:rPr>
          <w:rFonts w:cstheme="minorHAnsi"/>
          <w:color w:val="231F20"/>
          <w:w w:val="105"/>
        </w:rPr>
        <w:t>alternative</w:t>
      </w:r>
      <w:r w:rsidRPr="00C50CA2">
        <w:rPr>
          <w:rFonts w:cstheme="minorHAnsi"/>
          <w:color w:val="231F20"/>
          <w:w w:val="105"/>
        </w:rPr>
        <w:t xml:space="preserve"> </w:t>
      </w:r>
      <w:r w:rsidRPr="009F06AF">
        <w:rPr>
          <w:rFonts w:cstheme="minorHAnsi"/>
          <w:color w:val="231F20"/>
          <w:w w:val="105"/>
        </w:rPr>
        <w:t>training</w:t>
      </w:r>
      <w:r w:rsidRPr="00C50CA2">
        <w:rPr>
          <w:rFonts w:cstheme="minorHAnsi"/>
          <w:color w:val="231F20"/>
          <w:w w:val="105"/>
        </w:rPr>
        <w:t xml:space="preserve"> </w:t>
      </w:r>
      <w:r w:rsidRPr="009F06AF">
        <w:rPr>
          <w:rFonts w:cstheme="minorHAnsi"/>
          <w:color w:val="231F20"/>
          <w:w w:val="105"/>
        </w:rPr>
        <w:t>models</w:t>
      </w:r>
      <w:r w:rsidRPr="00C50CA2">
        <w:rPr>
          <w:rFonts w:cstheme="minorHAnsi"/>
          <w:color w:val="231F20"/>
          <w:w w:val="105"/>
        </w:rPr>
        <w:t xml:space="preserve"> </w:t>
      </w:r>
      <w:r w:rsidRPr="009F06AF">
        <w:rPr>
          <w:rFonts w:cstheme="minorHAnsi"/>
          <w:color w:val="231F20"/>
          <w:w w:val="105"/>
        </w:rPr>
        <w:t>such</w:t>
      </w:r>
      <w:r w:rsidRPr="00C50CA2">
        <w:rPr>
          <w:rFonts w:cstheme="minorHAnsi"/>
          <w:color w:val="231F20"/>
          <w:w w:val="105"/>
        </w:rPr>
        <w:t xml:space="preserve"> </w:t>
      </w:r>
      <w:r w:rsidRPr="009F06AF">
        <w:rPr>
          <w:rFonts w:cstheme="minorHAnsi"/>
          <w:color w:val="231F20"/>
          <w:w w:val="105"/>
        </w:rPr>
        <w:t>as</w:t>
      </w:r>
      <w:r w:rsidRPr="00C50CA2">
        <w:rPr>
          <w:rFonts w:cstheme="minorHAnsi"/>
          <w:color w:val="231F20"/>
          <w:w w:val="105"/>
        </w:rPr>
        <w:t xml:space="preserve"> </w:t>
      </w:r>
      <w:r w:rsidRPr="009F06AF">
        <w:rPr>
          <w:rFonts w:cstheme="minorHAnsi"/>
          <w:color w:val="231F20"/>
          <w:w w:val="105"/>
        </w:rPr>
        <w:t>Transitional</w:t>
      </w:r>
      <w:r w:rsidRPr="00C50CA2">
        <w:rPr>
          <w:rFonts w:cstheme="minorHAnsi"/>
          <w:color w:val="231F20"/>
          <w:w w:val="105"/>
        </w:rPr>
        <w:t xml:space="preserve"> </w:t>
      </w:r>
      <w:r w:rsidRPr="009F06AF">
        <w:rPr>
          <w:rFonts w:cstheme="minorHAnsi"/>
          <w:color w:val="231F20"/>
          <w:w w:val="105"/>
        </w:rPr>
        <w:t>Jobs</w:t>
      </w:r>
      <w:r w:rsidRPr="00C50CA2">
        <w:rPr>
          <w:rFonts w:cstheme="minorHAnsi"/>
          <w:color w:val="231F20"/>
          <w:w w:val="105"/>
        </w:rPr>
        <w:t xml:space="preserve"> </w:t>
      </w:r>
      <w:r w:rsidRPr="009F06AF">
        <w:rPr>
          <w:rFonts w:cstheme="minorHAnsi"/>
          <w:color w:val="231F20"/>
          <w:w w:val="105"/>
        </w:rPr>
        <w:t>and</w:t>
      </w:r>
      <w:r w:rsidRPr="00C50CA2">
        <w:rPr>
          <w:rFonts w:cstheme="minorHAnsi"/>
          <w:color w:val="231F20"/>
          <w:w w:val="105"/>
        </w:rPr>
        <w:t xml:space="preserve"> OJT. LWDBs </w:t>
      </w:r>
      <w:r w:rsidRPr="009F06AF">
        <w:rPr>
          <w:rFonts w:cstheme="minorHAnsi"/>
          <w:color w:val="231F20"/>
          <w:w w:val="105"/>
        </w:rPr>
        <w:t>are</w:t>
      </w:r>
      <w:r w:rsidRPr="00C50CA2">
        <w:rPr>
          <w:rFonts w:cstheme="minorHAnsi"/>
          <w:color w:val="231F20"/>
          <w:w w:val="105"/>
        </w:rPr>
        <w:t xml:space="preserve"> </w:t>
      </w:r>
      <w:r w:rsidRPr="009F06AF">
        <w:rPr>
          <w:rFonts w:cstheme="minorHAnsi"/>
          <w:color w:val="231F20"/>
          <w:w w:val="105"/>
        </w:rPr>
        <w:t>encouraged</w:t>
      </w:r>
      <w:r w:rsidRPr="00C50CA2">
        <w:rPr>
          <w:rFonts w:cstheme="minorHAnsi"/>
          <w:color w:val="231F20"/>
          <w:w w:val="105"/>
        </w:rPr>
        <w:t xml:space="preserve"> </w:t>
      </w:r>
      <w:r w:rsidRPr="009F06AF">
        <w:rPr>
          <w:rFonts w:cstheme="minorHAnsi"/>
          <w:color w:val="231F20"/>
          <w:w w:val="105"/>
        </w:rPr>
        <w:t>to</w:t>
      </w:r>
      <w:r w:rsidRPr="00C50CA2">
        <w:rPr>
          <w:rFonts w:cstheme="minorHAnsi"/>
          <w:color w:val="231F20"/>
          <w:w w:val="105"/>
        </w:rPr>
        <w:t xml:space="preserve"> </w:t>
      </w:r>
      <w:r w:rsidRPr="009F06AF">
        <w:rPr>
          <w:rFonts w:cstheme="minorHAnsi"/>
          <w:color w:val="231F20"/>
          <w:w w:val="105"/>
        </w:rPr>
        <w:t>leverage</w:t>
      </w:r>
      <w:r w:rsidRPr="00C50CA2">
        <w:rPr>
          <w:rFonts w:cstheme="minorHAnsi"/>
          <w:color w:val="231F20"/>
          <w:w w:val="105"/>
        </w:rPr>
        <w:t xml:space="preserve"> </w:t>
      </w:r>
      <w:r w:rsidRPr="009F06AF">
        <w:rPr>
          <w:rFonts w:cstheme="minorHAnsi"/>
          <w:color w:val="231F20"/>
          <w:w w:val="105"/>
        </w:rPr>
        <w:t>current</w:t>
      </w:r>
      <w:r w:rsidRPr="00C50CA2">
        <w:rPr>
          <w:rFonts w:cstheme="minorHAnsi"/>
          <w:color w:val="231F20"/>
          <w:w w:val="105"/>
        </w:rPr>
        <w:t xml:space="preserve"> </w:t>
      </w:r>
      <w:r w:rsidR="000C6AF1" w:rsidRPr="00C50CA2">
        <w:rPr>
          <w:rFonts w:cstheme="minorHAnsi"/>
          <w:color w:val="231F20"/>
          <w:w w:val="105"/>
        </w:rPr>
        <w:t xml:space="preserve">partnerships </w:t>
      </w:r>
      <w:r w:rsidRPr="009F06AF">
        <w:rPr>
          <w:rFonts w:cstheme="minorHAnsi"/>
          <w:color w:val="231F20"/>
          <w:w w:val="105"/>
        </w:rPr>
        <w:t>and</w:t>
      </w:r>
      <w:r w:rsidRPr="00C50CA2">
        <w:rPr>
          <w:rFonts w:cstheme="minorHAnsi"/>
          <w:color w:val="231F20"/>
          <w:w w:val="105"/>
        </w:rPr>
        <w:t xml:space="preserve"> </w:t>
      </w:r>
      <w:r w:rsidRPr="009F06AF">
        <w:rPr>
          <w:rFonts w:cstheme="minorHAnsi"/>
          <w:color w:val="231F20"/>
          <w:w w:val="105"/>
        </w:rPr>
        <w:t>develop</w:t>
      </w:r>
      <w:r w:rsidRPr="00C50CA2">
        <w:rPr>
          <w:rFonts w:cstheme="minorHAnsi"/>
          <w:color w:val="231F20"/>
          <w:w w:val="105"/>
        </w:rPr>
        <w:t xml:space="preserve"> </w:t>
      </w:r>
      <w:r w:rsidRPr="009F06AF">
        <w:rPr>
          <w:rFonts w:cstheme="minorHAnsi"/>
          <w:color w:val="231F20"/>
          <w:w w:val="105"/>
        </w:rPr>
        <w:t>new</w:t>
      </w:r>
      <w:r w:rsidRPr="00C50CA2">
        <w:rPr>
          <w:rFonts w:cstheme="minorHAnsi"/>
          <w:color w:val="231F20"/>
          <w:w w:val="105"/>
        </w:rPr>
        <w:t xml:space="preserve"> </w:t>
      </w:r>
      <w:r w:rsidR="000C6AF1" w:rsidRPr="009F06AF">
        <w:rPr>
          <w:rFonts w:cstheme="minorHAnsi"/>
          <w:color w:val="231F20"/>
          <w:w w:val="105"/>
        </w:rPr>
        <w:t xml:space="preserve">ones with local </w:t>
      </w:r>
      <w:r w:rsidRPr="009F06AF">
        <w:rPr>
          <w:rFonts w:cstheme="minorHAnsi"/>
          <w:color w:val="231F20"/>
          <w:w w:val="105"/>
        </w:rPr>
        <w:t>businesses and industry to support economic development in their</w:t>
      </w:r>
      <w:r w:rsidR="000C6AF1" w:rsidRPr="009F06AF">
        <w:rPr>
          <w:rFonts w:cstheme="minorHAnsi"/>
          <w:color w:val="231F20"/>
          <w:w w:val="105"/>
        </w:rPr>
        <w:t xml:space="preserve"> communities</w:t>
      </w:r>
      <w:r w:rsidRPr="009F06AF">
        <w:rPr>
          <w:rFonts w:cstheme="minorHAnsi"/>
          <w:color w:val="231F20"/>
          <w:w w:val="105"/>
        </w:rPr>
        <w:t>.</w:t>
      </w:r>
      <w:r w:rsidRPr="00C50CA2">
        <w:rPr>
          <w:rFonts w:cstheme="minorHAnsi"/>
          <w:color w:val="231F20"/>
          <w:w w:val="105"/>
        </w:rPr>
        <w:t xml:space="preserve"> </w:t>
      </w:r>
      <w:r w:rsidRPr="009F06AF">
        <w:rPr>
          <w:rFonts w:cstheme="minorHAnsi"/>
          <w:color w:val="231F20"/>
          <w:w w:val="105"/>
        </w:rPr>
        <w:t>The</w:t>
      </w:r>
      <w:r w:rsidRPr="00C50CA2">
        <w:rPr>
          <w:rFonts w:cstheme="minorHAnsi"/>
          <w:color w:val="231F20"/>
          <w:w w:val="105"/>
        </w:rPr>
        <w:t xml:space="preserve"> </w:t>
      </w:r>
      <w:r w:rsidRPr="009F06AF">
        <w:rPr>
          <w:rFonts w:cstheme="minorHAnsi"/>
          <w:color w:val="231F20"/>
          <w:w w:val="105"/>
        </w:rPr>
        <w:t>coordination</w:t>
      </w:r>
      <w:r w:rsidRPr="00C50CA2">
        <w:rPr>
          <w:rFonts w:cstheme="minorHAnsi"/>
          <w:color w:val="231F20"/>
          <w:w w:val="105"/>
        </w:rPr>
        <w:t xml:space="preserve"> </w:t>
      </w:r>
      <w:r w:rsidRPr="009F06AF">
        <w:rPr>
          <w:rFonts w:cstheme="minorHAnsi"/>
          <w:color w:val="231F20"/>
          <w:w w:val="105"/>
        </w:rPr>
        <w:t>of</w:t>
      </w:r>
      <w:r w:rsidRPr="00C50CA2">
        <w:rPr>
          <w:rFonts w:cstheme="minorHAnsi"/>
          <w:color w:val="231F20"/>
          <w:w w:val="105"/>
        </w:rPr>
        <w:t xml:space="preserve"> </w:t>
      </w:r>
      <w:r w:rsidRPr="009F06AF">
        <w:rPr>
          <w:rFonts w:cstheme="minorHAnsi"/>
          <w:color w:val="231F20"/>
          <w:w w:val="105"/>
        </w:rPr>
        <w:t>workforce</w:t>
      </w:r>
      <w:r w:rsidRPr="00C50CA2">
        <w:rPr>
          <w:rFonts w:cstheme="minorHAnsi"/>
          <w:color w:val="231F20"/>
          <w:w w:val="105"/>
        </w:rPr>
        <w:t xml:space="preserve"> </w:t>
      </w:r>
      <w:r w:rsidRPr="009F06AF">
        <w:rPr>
          <w:rFonts w:cstheme="minorHAnsi"/>
          <w:color w:val="231F20"/>
          <w:w w:val="105"/>
        </w:rPr>
        <w:t>training</w:t>
      </w:r>
      <w:r w:rsidRPr="00C50CA2">
        <w:rPr>
          <w:rFonts w:cstheme="minorHAnsi"/>
          <w:color w:val="231F20"/>
          <w:w w:val="105"/>
        </w:rPr>
        <w:t xml:space="preserve"> </w:t>
      </w:r>
      <w:r w:rsidRPr="009F06AF">
        <w:rPr>
          <w:rFonts w:cstheme="minorHAnsi"/>
          <w:color w:val="231F20"/>
          <w:w w:val="105"/>
        </w:rPr>
        <w:t>programs</w:t>
      </w:r>
      <w:r w:rsidRPr="00C50CA2">
        <w:rPr>
          <w:rFonts w:cstheme="minorHAnsi"/>
          <w:color w:val="231F20"/>
          <w:w w:val="105"/>
        </w:rPr>
        <w:t xml:space="preserve"> </w:t>
      </w:r>
      <w:r w:rsidRPr="009F06AF">
        <w:rPr>
          <w:rFonts w:cstheme="minorHAnsi"/>
          <w:color w:val="231F20"/>
          <w:w w:val="105"/>
        </w:rPr>
        <w:t>with</w:t>
      </w:r>
      <w:r w:rsidRPr="00C50CA2">
        <w:rPr>
          <w:rFonts w:cstheme="minorHAnsi"/>
          <w:color w:val="231F20"/>
          <w:w w:val="105"/>
        </w:rPr>
        <w:t xml:space="preserve"> </w:t>
      </w:r>
      <w:r w:rsidRPr="009F06AF">
        <w:rPr>
          <w:rFonts w:cstheme="minorHAnsi"/>
          <w:color w:val="231F20"/>
          <w:w w:val="105"/>
        </w:rPr>
        <w:t>economic</w:t>
      </w:r>
      <w:r w:rsidRPr="00C50CA2">
        <w:rPr>
          <w:rFonts w:cstheme="minorHAnsi"/>
          <w:color w:val="231F20"/>
          <w:w w:val="105"/>
        </w:rPr>
        <w:t xml:space="preserve"> </w:t>
      </w:r>
      <w:r w:rsidRPr="009F06AF">
        <w:rPr>
          <w:rFonts w:cstheme="minorHAnsi"/>
          <w:color w:val="231F20"/>
          <w:w w:val="105"/>
        </w:rPr>
        <w:t>development</w:t>
      </w:r>
      <w:r w:rsidRPr="00C50CA2">
        <w:rPr>
          <w:rFonts w:cstheme="minorHAnsi"/>
          <w:color w:val="231F20"/>
          <w:w w:val="105"/>
        </w:rPr>
        <w:t xml:space="preserve"> </w:t>
      </w:r>
      <w:r w:rsidRPr="009F06AF">
        <w:rPr>
          <w:rFonts w:cstheme="minorHAnsi"/>
          <w:color w:val="231F20"/>
          <w:w w:val="105"/>
        </w:rPr>
        <w:t>strategies</w:t>
      </w:r>
      <w:r w:rsidRPr="00C50CA2">
        <w:rPr>
          <w:rFonts w:cstheme="minorHAnsi"/>
          <w:color w:val="231F20"/>
          <w:w w:val="105"/>
        </w:rPr>
        <w:t xml:space="preserve"> </w:t>
      </w:r>
      <w:r w:rsidRPr="009F06AF">
        <w:rPr>
          <w:rFonts w:cstheme="minorHAnsi"/>
          <w:color w:val="231F20"/>
          <w:w w:val="105"/>
        </w:rPr>
        <w:t>as</w:t>
      </w:r>
      <w:r w:rsidRPr="00C50CA2">
        <w:rPr>
          <w:rFonts w:cstheme="minorHAnsi"/>
          <w:color w:val="231F20"/>
          <w:w w:val="105"/>
        </w:rPr>
        <w:t xml:space="preserve"> </w:t>
      </w:r>
      <w:r w:rsidRPr="009F06AF">
        <w:rPr>
          <w:rFonts w:cstheme="minorHAnsi"/>
          <w:color w:val="231F20"/>
          <w:w w:val="105"/>
        </w:rPr>
        <w:t>envisioned</w:t>
      </w:r>
      <w:r w:rsidRPr="00C50CA2">
        <w:rPr>
          <w:rFonts w:cstheme="minorHAnsi"/>
          <w:color w:val="231F20"/>
          <w:w w:val="105"/>
        </w:rPr>
        <w:t xml:space="preserve"> </w:t>
      </w:r>
      <w:r w:rsidRPr="009F06AF">
        <w:rPr>
          <w:rFonts w:cstheme="minorHAnsi"/>
          <w:color w:val="231F20"/>
          <w:w w:val="105"/>
        </w:rPr>
        <w:t>by</w:t>
      </w:r>
      <w:r w:rsidRPr="00C50CA2">
        <w:rPr>
          <w:rFonts w:cstheme="minorHAnsi"/>
          <w:color w:val="231F20"/>
          <w:w w:val="105"/>
        </w:rPr>
        <w:t xml:space="preserve"> </w:t>
      </w:r>
      <w:r w:rsidR="007D2256">
        <w:rPr>
          <w:rFonts w:cstheme="minorHAnsi"/>
          <w:color w:val="231F20"/>
          <w:w w:val="105"/>
        </w:rPr>
        <w:t xml:space="preserve">Florida Law </w:t>
      </w:r>
      <w:r w:rsidRPr="009F06AF">
        <w:rPr>
          <w:rFonts w:cstheme="minorHAnsi"/>
          <w:color w:val="231F20"/>
          <w:w w:val="105"/>
        </w:rPr>
        <w:t>begins</w:t>
      </w:r>
      <w:r w:rsidRPr="00C50CA2">
        <w:rPr>
          <w:rFonts w:cstheme="minorHAnsi"/>
          <w:color w:val="231F20"/>
          <w:w w:val="105"/>
        </w:rPr>
        <w:t xml:space="preserve"> </w:t>
      </w:r>
      <w:r w:rsidRPr="009F06AF">
        <w:rPr>
          <w:rFonts w:cstheme="minorHAnsi"/>
          <w:color w:val="231F20"/>
          <w:w w:val="105"/>
        </w:rPr>
        <w:t>at</w:t>
      </w:r>
      <w:r w:rsidRPr="00C50CA2">
        <w:rPr>
          <w:rFonts w:cstheme="minorHAnsi"/>
          <w:color w:val="231F20"/>
          <w:w w:val="105"/>
        </w:rPr>
        <w:t xml:space="preserve"> </w:t>
      </w:r>
      <w:r w:rsidRPr="009F06AF">
        <w:rPr>
          <w:rFonts w:cstheme="minorHAnsi"/>
          <w:color w:val="231F20"/>
          <w:w w:val="105"/>
        </w:rPr>
        <w:t>the</w:t>
      </w:r>
      <w:r w:rsidRPr="00C50CA2">
        <w:rPr>
          <w:rFonts w:cstheme="minorHAnsi"/>
          <w:color w:val="231F20"/>
          <w:w w:val="105"/>
        </w:rPr>
        <w:t xml:space="preserve"> LWDB </w:t>
      </w:r>
      <w:r w:rsidRPr="009F06AF">
        <w:rPr>
          <w:rFonts w:cstheme="minorHAnsi"/>
          <w:color w:val="231F20"/>
          <w:w w:val="105"/>
        </w:rPr>
        <w:t>level</w:t>
      </w:r>
      <w:r w:rsidRPr="00C50CA2">
        <w:rPr>
          <w:rFonts w:cstheme="minorHAnsi"/>
          <w:color w:val="231F20"/>
          <w:w w:val="105"/>
        </w:rPr>
        <w:t xml:space="preserve"> </w:t>
      </w:r>
      <w:r w:rsidRPr="009F06AF">
        <w:rPr>
          <w:rFonts w:cstheme="minorHAnsi"/>
          <w:color w:val="231F20"/>
          <w:w w:val="105"/>
        </w:rPr>
        <w:t>and</w:t>
      </w:r>
      <w:r w:rsidRPr="00C50CA2">
        <w:rPr>
          <w:rFonts w:cstheme="minorHAnsi"/>
          <w:color w:val="231F20"/>
          <w:w w:val="105"/>
        </w:rPr>
        <w:t xml:space="preserve"> </w:t>
      </w:r>
      <w:r w:rsidRPr="009F06AF">
        <w:rPr>
          <w:rFonts w:cstheme="minorHAnsi"/>
          <w:color w:val="231F20"/>
          <w:w w:val="105"/>
        </w:rPr>
        <w:t>is</w:t>
      </w:r>
      <w:r w:rsidRPr="00C50CA2">
        <w:rPr>
          <w:rFonts w:cstheme="minorHAnsi"/>
          <w:color w:val="231F20"/>
          <w:w w:val="105"/>
        </w:rPr>
        <w:t xml:space="preserve"> </w:t>
      </w:r>
      <w:r w:rsidRPr="009F06AF">
        <w:rPr>
          <w:rFonts w:cstheme="minorHAnsi"/>
          <w:color w:val="231F20"/>
          <w:w w:val="105"/>
        </w:rPr>
        <w:t>coordinated</w:t>
      </w:r>
      <w:r w:rsidRPr="00C50CA2">
        <w:rPr>
          <w:rFonts w:cstheme="minorHAnsi"/>
          <w:color w:val="231F20"/>
          <w:w w:val="105"/>
        </w:rPr>
        <w:t xml:space="preserve"> </w:t>
      </w:r>
      <w:r w:rsidRPr="009F06AF">
        <w:rPr>
          <w:rFonts w:cstheme="minorHAnsi"/>
          <w:color w:val="231F20"/>
          <w:w w:val="105"/>
        </w:rPr>
        <w:t>at</w:t>
      </w:r>
      <w:r w:rsidRPr="00C50CA2">
        <w:rPr>
          <w:rFonts w:cstheme="minorHAnsi"/>
          <w:color w:val="231F20"/>
          <w:w w:val="105"/>
        </w:rPr>
        <w:t xml:space="preserve"> </w:t>
      </w:r>
      <w:r w:rsidRPr="009F06AF">
        <w:rPr>
          <w:rFonts w:cstheme="minorHAnsi"/>
          <w:color w:val="231F20"/>
          <w:w w:val="105"/>
        </w:rPr>
        <w:t>the</w:t>
      </w:r>
      <w:r w:rsidRPr="00C50CA2">
        <w:rPr>
          <w:rFonts w:cstheme="minorHAnsi"/>
          <w:color w:val="231F20"/>
          <w:w w:val="105"/>
        </w:rPr>
        <w:t xml:space="preserve"> </w:t>
      </w:r>
      <w:r w:rsidRPr="009F06AF">
        <w:rPr>
          <w:rFonts w:cstheme="minorHAnsi"/>
          <w:color w:val="231F20"/>
          <w:w w:val="105"/>
        </w:rPr>
        <w:t>state</w:t>
      </w:r>
      <w:r w:rsidRPr="00C50CA2">
        <w:rPr>
          <w:rFonts w:cstheme="minorHAnsi"/>
          <w:color w:val="231F20"/>
          <w:w w:val="105"/>
        </w:rPr>
        <w:t xml:space="preserve"> </w:t>
      </w:r>
      <w:r w:rsidRPr="009F06AF">
        <w:rPr>
          <w:rFonts w:cstheme="minorHAnsi"/>
          <w:color w:val="231F20"/>
          <w:w w:val="105"/>
        </w:rPr>
        <w:t>level</w:t>
      </w:r>
      <w:r w:rsidRPr="00C50CA2">
        <w:rPr>
          <w:rFonts w:cstheme="minorHAnsi"/>
          <w:color w:val="231F20"/>
          <w:w w:val="105"/>
        </w:rPr>
        <w:t xml:space="preserve"> </w:t>
      </w:r>
      <w:r w:rsidRPr="009F06AF">
        <w:rPr>
          <w:rFonts w:cstheme="minorHAnsi"/>
          <w:color w:val="231F20"/>
          <w:w w:val="105"/>
        </w:rPr>
        <w:t>by</w:t>
      </w:r>
      <w:r w:rsidRPr="00C50CA2">
        <w:rPr>
          <w:rFonts w:cstheme="minorHAnsi"/>
          <w:color w:val="231F20"/>
          <w:w w:val="105"/>
        </w:rPr>
        <w:t xml:space="preserve"> </w:t>
      </w:r>
      <w:r w:rsidRPr="009F06AF">
        <w:rPr>
          <w:rFonts w:cstheme="minorHAnsi"/>
          <w:color w:val="231F20"/>
          <w:w w:val="105"/>
        </w:rPr>
        <w:t>CareerSource Florida.</w:t>
      </w:r>
    </w:p>
    <w:p w14:paraId="2E17A76E" w14:textId="77777777" w:rsidR="00C50CA2" w:rsidRPr="00C50CA2" w:rsidRDefault="00C50CA2" w:rsidP="00D63204">
      <w:pPr>
        <w:widowControl w:val="0"/>
        <w:spacing w:before="2" w:after="0" w:line="235" w:lineRule="auto"/>
        <w:ind w:left="107"/>
        <w:rPr>
          <w:rFonts w:cstheme="minorHAnsi"/>
          <w:color w:val="231F20"/>
          <w:w w:val="105"/>
        </w:rPr>
      </w:pPr>
    </w:p>
    <w:p w14:paraId="6AE1F85C" w14:textId="1C0390AD" w:rsidR="00EA7458" w:rsidRPr="00C50CA2" w:rsidRDefault="00EA7458" w:rsidP="00D63204">
      <w:pPr>
        <w:widowControl w:val="0"/>
        <w:spacing w:before="2" w:after="0" w:line="235" w:lineRule="auto"/>
        <w:ind w:left="107"/>
        <w:rPr>
          <w:rFonts w:cstheme="minorHAnsi"/>
          <w:color w:val="231F20"/>
          <w:w w:val="105"/>
        </w:rPr>
      </w:pPr>
      <w:r w:rsidRPr="00C50CA2">
        <w:rPr>
          <w:rFonts w:cstheme="minorHAnsi"/>
          <w:color w:val="231F20"/>
          <w:w w:val="105"/>
        </w:rPr>
        <w:t xml:space="preserve">LWDBs </w:t>
      </w:r>
      <w:r w:rsidRPr="009F06AF">
        <w:rPr>
          <w:rFonts w:cstheme="minorHAnsi"/>
          <w:color w:val="231F20"/>
          <w:w w:val="105"/>
        </w:rPr>
        <w:t>may</w:t>
      </w:r>
      <w:r w:rsidRPr="00C50CA2">
        <w:rPr>
          <w:rFonts w:cstheme="minorHAnsi"/>
          <w:color w:val="231F20"/>
          <w:w w:val="105"/>
        </w:rPr>
        <w:t xml:space="preserve"> </w:t>
      </w:r>
      <w:r w:rsidRPr="009F06AF">
        <w:rPr>
          <w:rFonts w:cstheme="minorHAnsi"/>
          <w:color w:val="231F20"/>
          <w:w w:val="105"/>
        </w:rPr>
        <w:t>allocate</w:t>
      </w:r>
      <w:r w:rsidRPr="00C50CA2">
        <w:rPr>
          <w:rFonts w:cstheme="minorHAnsi"/>
          <w:color w:val="231F20"/>
          <w:w w:val="105"/>
        </w:rPr>
        <w:t xml:space="preserve"> </w:t>
      </w:r>
      <w:r w:rsidRPr="009F06AF">
        <w:rPr>
          <w:rFonts w:cstheme="minorHAnsi"/>
          <w:color w:val="231F20"/>
          <w:w w:val="105"/>
        </w:rPr>
        <w:t>up</w:t>
      </w:r>
      <w:r w:rsidRPr="00C50CA2">
        <w:rPr>
          <w:rFonts w:cstheme="minorHAnsi"/>
          <w:color w:val="231F20"/>
          <w:w w:val="105"/>
        </w:rPr>
        <w:t xml:space="preserve"> </w:t>
      </w:r>
      <w:r w:rsidRPr="009F06AF">
        <w:rPr>
          <w:rFonts w:cstheme="minorHAnsi"/>
          <w:color w:val="231F20"/>
          <w:w w:val="105"/>
        </w:rPr>
        <w:t>to</w:t>
      </w:r>
      <w:r w:rsidRPr="00C50CA2">
        <w:rPr>
          <w:rFonts w:cstheme="minorHAnsi"/>
          <w:color w:val="231F20"/>
          <w:w w:val="105"/>
        </w:rPr>
        <w:t xml:space="preserve"> </w:t>
      </w:r>
      <w:r w:rsidRPr="009F06AF">
        <w:rPr>
          <w:rFonts w:cstheme="minorHAnsi"/>
          <w:color w:val="231F20"/>
          <w:w w:val="105"/>
        </w:rPr>
        <w:t>10</w:t>
      </w:r>
      <w:r w:rsidRPr="00C50CA2">
        <w:rPr>
          <w:rFonts w:cstheme="minorHAnsi"/>
          <w:color w:val="231F20"/>
          <w:w w:val="105"/>
        </w:rPr>
        <w:t xml:space="preserve"> </w:t>
      </w:r>
      <w:r w:rsidRPr="009F06AF">
        <w:rPr>
          <w:rFonts w:cstheme="minorHAnsi"/>
          <w:color w:val="231F20"/>
          <w:w w:val="105"/>
        </w:rPr>
        <w:t>percent</w:t>
      </w:r>
      <w:r w:rsidRPr="00C50CA2">
        <w:rPr>
          <w:rFonts w:cstheme="minorHAnsi"/>
          <w:color w:val="231F20"/>
          <w:w w:val="105"/>
        </w:rPr>
        <w:t xml:space="preserve"> </w:t>
      </w:r>
      <w:r w:rsidRPr="009F06AF">
        <w:rPr>
          <w:rFonts w:cstheme="minorHAnsi"/>
          <w:color w:val="231F20"/>
          <w:w w:val="105"/>
        </w:rPr>
        <w:t>of</w:t>
      </w:r>
      <w:r w:rsidRPr="00C50CA2">
        <w:rPr>
          <w:rFonts w:cstheme="minorHAnsi"/>
          <w:color w:val="231F20"/>
          <w:w w:val="105"/>
        </w:rPr>
        <w:t xml:space="preserve"> </w:t>
      </w:r>
      <w:r w:rsidRPr="009F06AF">
        <w:rPr>
          <w:rFonts w:cstheme="minorHAnsi"/>
          <w:color w:val="231F20"/>
          <w:w w:val="105"/>
        </w:rPr>
        <w:t>local</w:t>
      </w:r>
      <w:r w:rsidRPr="00C50CA2">
        <w:rPr>
          <w:rFonts w:cstheme="minorHAnsi"/>
          <w:color w:val="231F20"/>
          <w:w w:val="105"/>
        </w:rPr>
        <w:t xml:space="preserve"> </w:t>
      </w:r>
      <w:r w:rsidRPr="009F06AF">
        <w:rPr>
          <w:rFonts w:cstheme="minorHAnsi"/>
          <w:color w:val="231F20"/>
          <w:w w:val="105"/>
        </w:rPr>
        <w:t>Adult</w:t>
      </w:r>
      <w:r w:rsidRPr="00C50CA2">
        <w:rPr>
          <w:rFonts w:cstheme="minorHAnsi"/>
          <w:color w:val="231F20"/>
          <w:w w:val="105"/>
        </w:rPr>
        <w:t xml:space="preserve"> </w:t>
      </w:r>
      <w:r w:rsidRPr="009F06AF">
        <w:rPr>
          <w:rFonts w:cstheme="minorHAnsi"/>
          <w:color w:val="231F20"/>
          <w:w w:val="105"/>
        </w:rPr>
        <w:t>and</w:t>
      </w:r>
      <w:r w:rsidRPr="00C50CA2">
        <w:rPr>
          <w:rFonts w:cstheme="minorHAnsi"/>
          <w:color w:val="231F20"/>
          <w:w w:val="105"/>
        </w:rPr>
        <w:t xml:space="preserve"> </w:t>
      </w:r>
      <w:r w:rsidRPr="009F06AF">
        <w:rPr>
          <w:rFonts w:cstheme="minorHAnsi"/>
          <w:color w:val="231F20"/>
          <w:w w:val="105"/>
        </w:rPr>
        <w:t>Dislocated</w:t>
      </w:r>
      <w:r w:rsidRPr="00C50CA2">
        <w:rPr>
          <w:rFonts w:cstheme="minorHAnsi"/>
          <w:color w:val="231F20"/>
          <w:w w:val="105"/>
        </w:rPr>
        <w:t xml:space="preserve"> </w:t>
      </w:r>
      <w:r w:rsidRPr="009F06AF">
        <w:rPr>
          <w:rFonts w:cstheme="minorHAnsi"/>
          <w:color w:val="231F20"/>
          <w:w w:val="105"/>
        </w:rPr>
        <w:t>Worker</w:t>
      </w:r>
      <w:r w:rsidRPr="00C50CA2">
        <w:rPr>
          <w:rFonts w:cstheme="minorHAnsi"/>
          <w:color w:val="231F20"/>
          <w:w w:val="105"/>
        </w:rPr>
        <w:t xml:space="preserve"> </w:t>
      </w:r>
      <w:r w:rsidRPr="009F06AF">
        <w:rPr>
          <w:rFonts w:cstheme="minorHAnsi"/>
          <w:color w:val="231F20"/>
          <w:w w:val="105"/>
        </w:rPr>
        <w:t>funds</w:t>
      </w:r>
      <w:r w:rsidRPr="00C50CA2">
        <w:rPr>
          <w:rFonts w:cstheme="minorHAnsi"/>
          <w:color w:val="231F20"/>
          <w:w w:val="105"/>
        </w:rPr>
        <w:t xml:space="preserve"> </w:t>
      </w:r>
      <w:r w:rsidRPr="009F06AF">
        <w:rPr>
          <w:rFonts w:cstheme="minorHAnsi"/>
          <w:color w:val="231F20"/>
          <w:w w:val="105"/>
        </w:rPr>
        <w:t>to</w:t>
      </w:r>
      <w:r w:rsidRPr="00C50CA2">
        <w:rPr>
          <w:rFonts w:cstheme="minorHAnsi"/>
          <w:color w:val="231F20"/>
          <w:w w:val="105"/>
        </w:rPr>
        <w:t xml:space="preserve"> </w:t>
      </w:r>
      <w:r w:rsidRPr="009F06AF">
        <w:rPr>
          <w:rFonts w:cstheme="minorHAnsi"/>
          <w:color w:val="231F20"/>
          <w:w w:val="105"/>
        </w:rPr>
        <w:t>transitional</w:t>
      </w:r>
      <w:r w:rsidRPr="00C50CA2">
        <w:rPr>
          <w:rFonts w:cstheme="minorHAnsi"/>
          <w:color w:val="231F20"/>
          <w:w w:val="105"/>
        </w:rPr>
        <w:t xml:space="preserve"> </w:t>
      </w:r>
      <w:r w:rsidRPr="009F06AF">
        <w:rPr>
          <w:rFonts w:cstheme="minorHAnsi"/>
          <w:color w:val="231F20"/>
          <w:w w:val="105"/>
        </w:rPr>
        <w:t>jobs</w:t>
      </w:r>
      <w:r w:rsidRPr="00C50CA2">
        <w:rPr>
          <w:rFonts w:cstheme="minorHAnsi"/>
          <w:color w:val="231F20"/>
          <w:w w:val="105"/>
        </w:rPr>
        <w:t xml:space="preserve"> </w:t>
      </w:r>
      <w:r w:rsidRPr="009F06AF">
        <w:rPr>
          <w:rFonts w:cstheme="minorHAnsi"/>
          <w:color w:val="231F20"/>
          <w:w w:val="105"/>
        </w:rPr>
        <w:t>for</w:t>
      </w:r>
      <w:r w:rsidRPr="00C50CA2">
        <w:rPr>
          <w:rFonts w:cstheme="minorHAnsi"/>
          <w:color w:val="231F20"/>
          <w:w w:val="105"/>
        </w:rPr>
        <w:t xml:space="preserve"> </w:t>
      </w:r>
      <w:r w:rsidRPr="009F06AF">
        <w:rPr>
          <w:rFonts w:cstheme="minorHAnsi"/>
          <w:color w:val="231F20"/>
          <w:w w:val="105"/>
        </w:rPr>
        <w:t>individuals</w:t>
      </w:r>
      <w:r w:rsidRPr="00C50CA2">
        <w:rPr>
          <w:rFonts w:cstheme="minorHAnsi"/>
          <w:color w:val="231F20"/>
          <w:w w:val="105"/>
        </w:rPr>
        <w:t xml:space="preserve"> </w:t>
      </w:r>
      <w:r w:rsidRPr="009F06AF">
        <w:rPr>
          <w:rFonts w:cstheme="minorHAnsi"/>
          <w:color w:val="231F20"/>
          <w:w w:val="105"/>
        </w:rPr>
        <w:t>with</w:t>
      </w:r>
      <w:r w:rsidRPr="00C50CA2">
        <w:rPr>
          <w:rFonts w:cstheme="minorHAnsi"/>
          <w:color w:val="231F20"/>
          <w:w w:val="105"/>
        </w:rPr>
        <w:t xml:space="preserve"> </w:t>
      </w:r>
      <w:r w:rsidRPr="009F06AF">
        <w:rPr>
          <w:rFonts w:cstheme="minorHAnsi"/>
          <w:color w:val="231F20"/>
          <w:w w:val="105"/>
        </w:rPr>
        <w:t>barriers</w:t>
      </w:r>
      <w:r w:rsidRPr="00C50CA2">
        <w:rPr>
          <w:rFonts w:cstheme="minorHAnsi"/>
          <w:color w:val="231F20"/>
          <w:w w:val="105"/>
        </w:rPr>
        <w:t xml:space="preserve"> </w:t>
      </w:r>
      <w:r w:rsidRPr="009F06AF">
        <w:rPr>
          <w:rFonts w:cstheme="minorHAnsi"/>
          <w:color w:val="231F20"/>
          <w:w w:val="105"/>
        </w:rPr>
        <w:t>to</w:t>
      </w:r>
      <w:r w:rsidRPr="00C50CA2">
        <w:rPr>
          <w:rFonts w:cstheme="minorHAnsi"/>
          <w:color w:val="231F20"/>
          <w:w w:val="105"/>
        </w:rPr>
        <w:t xml:space="preserve"> </w:t>
      </w:r>
      <w:r w:rsidRPr="009F06AF">
        <w:rPr>
          <w:rFonts w:cstheme="minorHAnsi"/>
          <w:color w:val="231F20"/>
          <w:w w:val="105"/>
        </w:rPr>
        <w:t>employment.</w:t>
      </w:r>
      <w:r w:rsidRPr="00C50CA2">
        <w:rPr>
          <w:rFonts w:cstheme="minorHAnsi"/>
          <w:color w:val="231F20"/>
          <w:w w:val="105"/>
        </w:rPr>
        <w:t xml:space="preserve"> LWDBs </w:t>
      </w:r>
      <w:r w:rsidR="00AA64FC">
        <w:rPr>
          <w:rFonts w:cstheme="minorHAnsi"/>
          <w:color w:val="231F20"/>
          <w:w w:val="105"/>
        </w:rPr>
        <w:t>offering</w:t>
      </w:r>
      <w:r w:rsidRPr="00C50CA2">
        <w:rPr>
          <w:rFonts w:cstheme="minorHAnsi"/>
          <w:color w:val="231F20"/>
          <w:w w:val="105"/>
        </w:rPr>
        <w:t xml:space="preserve"> </w:t>
      </w:r>
      <w:r w:rsidRPr="009F06AF">
        <w:rPr>
          <w:rFonts w:cstheme="minorHAnsi"/>
          <w:color w:val="231F20"/>
          <w:w w:val="105"/>
        </w:rPr>
        <w:t>transitional</w:t>
      </w:r>
      <w:r w:rsidRPr="00C50CA2">
        <w:rPr>
          <w:rFonts w:cstheme="minorHAnsi"/>
          <w:color w:val="231F20"/>
          <w:w w:val="105"/>
        </w:rPr>
        <w:t xml:space="preserve"> </w:t>
      </w:r>
      <w:r w:rsidRPr="009F06AF">
        <w:rPr>
          <w:rFonts w:cstheme="minorHAnsi"/>
          <w:color w:val="231F20"/>
          <w:w w:val="105"/>
        </w:rPr>
        <w:t>jobs</w:t>
      </w:r>
      <w:r w:rsidRPr="00C50CA2">
        <w:rPr>
          <w:rFonts w:cstheme="minorHAnsi"/>
          <w:color w:val="231F20"/>
          <w:w w:val="105"/>
        </w:rPr>
        <w:t xml:space="preserve"> </w:t>
      </w:r>
      <w:r w:rsidRPr="009F06AF">
        <w:rPr>
          <w:rFonts w:cstheme="minorHAnsi"/>
          <w:color w:val="231F20"/>
          <w:w w:val="105"/>
        </w:rPr>
        <w:t>as</w:t>
      </w:r>
      <w:r w:rsidRPr="00C50CA2">
        <w:rPr>
          <w:rFonts w:cstheme="minorHAnsi"/>
          <w:color w:val="231F20"/>
          <w:w w:val="105"/>
        </w:rPr>
        <w:t xml:space="preserve"> </w:t>
      </w:r>
      <w:r w:rsidRPr="009F06AF">
        <w:rPr>
          <w:rFonts w:cstheme="minorHAnsi"/>
          <w:color w:val="231F20"/>
          <w:w w:val="105"/>
        </w:rPr>
        <w:t>an</w:t>
      </w:r>
      <w:r w:rsidRPr="00C50CA2">
        <w:rPr>
          <w:rFonts w:cstheme="minorHAnsi"/>
          <w:color w:val="231F20"/>
          <w:w w:val="105"/>
        </w:rPr>
        <w:t xml:space="preserve"> </w:t>
      </w:r>
      <w:r w:rsidRPr="009F06AF">
        <w:rPr>
          <w:rFonts w:cstheme="minorHAnsi"/>
          <w:color w:val="231F20"/>
          <w:w w:val="105"/>
        </w:rPr>
        <w:t>alternative</w:t>
      </w:r>
      <w:r w:rsidRPr="00C50CA2">
        <w:rPr>
          <w:rFonts w:cstheme="minorHAnsi"/>
          <w:color w:val="231F20"/>
          <w:w w:val="105"/>
        </w:rPr>
        <w:t xml:space="preserve"> </w:t>
      </w:r>
      <w:r w:rsidRPr="009F06AF">
        <w:rPr>
          <w:rFonts w:cstheme="minorHAnsi"/>
          <w:color w:val="231F20"/>
          <w:w w:val="105"/>
        </w:rPr>
        <w:t>training</w:t>
      </w:r>
      <w:r w:rsidRPr="00C50CA2">
        <w:rPr>
          <w:rFonts w:cstheme="minorHAnsi"/>
          <w:color w:val="231F20"/>
          <w:w w:val="105"/>
        </w:rPr>
        <w:t xml:space="preserve"> </w:t>
      </w:r>
      <w:r w:rsidRPr="009F06AF">
        <w:rPr>
          <w:rFonts w:cstheme="minorHAnsi"/>
          <w:color w:val="231F20"/>
          <w:w w:val="105"/>
        </w:rPr>
        <w:t>model</w:t>
      </w:r>
      <w:r w:rsidRPr="00C50CA2">
        <w:rPr>
          <w:rFonts w:cstheme="minorHAnsi"/>
          <w:color w:val="231F20"/>
          <w:w w:val="105"/>
        </w:rPr>
        <w:t xml:space="preserve"> </w:t>
      </w:r>
      <w:r w:rsidRPr="009F06AF">
        <w:rPr>
          <w:rFonts w:cstheme="minorHAnsi"/>
          <w:color w:val="231F20"/>
          <w:w w:val="105"/>
        </w:rPr>
        <w:t>must</w:t>
      </w:r>
      <w:r w:rsidRPr="00C50CA2">
        <w:rPr>
          <w:rFonts w:cstheme="minorHAnsi"/>
          <w:color w:val="231F20"/>
          <w:w w:val="105"/>
        </w:rPr>
        <w:t xml:space="preserve"> </w:t>
      </w:r>
      <w:r w:rsidRPr="009F06AF">
        <w:rPr>
          <w:rFonts w:cstheme="minorHAnsi"/>
          <w:color w:val="231F20"/>
          <w:w w:val="105"/>
        </w:rPr>
        <w:t>ensure</w:t>
      </w:r>
      <w:r w:rsidRPr="00C50CA2">
        <w:rPr>
          <w:rFonts w:cstheme="minorHAnsi"/>
          <w:color w:val="231F20"/>
          <w:w w:val="105"/>
        </w:rPr>
        <w:t xml:space="preserve"> </w:t>
      </w:r>
      <w:r w:rsidRPr="009F06AF">
        <w:rPr>
          <w:rFonts w:cstheme="minorHAnsi"/>
          <w:color w:val="231F20"/>
          <w:w w:val="105"/>
        </w:rPr>
        <w:t>transitional</w:t>
      </w:r>
      <w:r w:rsidRPr="00C50CA2">
        <w:rPr>
          <w:rFonts w:cstheme="minorHAnsi"/>
          <w:color w:val="231F20"/>
          <w:w w:val="105"/>
        </w:rPr>
        <w:t xml:space="preserve"> </w:t>
      </w:r>
      <w:r w:rsidRPr="009F06AF">
        <w:rPr>
          <w:rFonts w:cstheme="minorHAnsi"/>
          <w:color w:val="231F20"/>
          <w:w w:val="105"/>
        </w:rPr>
        <w:t>jobs</w:t>
      </w:r>
      <w:r w:rsidRPr="00C50CA2">
        <w:rPr>
          <w:rFonts w:cstheme="minorHAnsi"/>
          <w:color w:val="231F20"/>
          <w:w w:val="105"/>
        </w:rPr>
        <w:t xml:space="preserve"> </w:t>
      </w:r>
      <w:r w:rsidRPr="009F06AF">
        <w:rPr>
          <w:rFonts w:cstheme="minorHAnsi"/>
          <w:color w:val="231F20"/>
          <w:w w:val="105"/>
        </w:rPr>
        <w:t>are</w:t>
      </w:r>
      <w:r w:rsidRPr="00C50CA2">
        <w:rPr>
          <w:rFonts w:cstheme="minorHAnsi"/>
          <w:color w:val="231F20"/>
          <w:w w:val="105"/>
        </w:rPr>
        <w:t xml:space="preserve"> </w:t>
      </w:r>
      <w:r w:rsidRPr="009F06AF">
        <w:rPr>
          <w:rFonts w:cstheme="minorHAnsi"/>
          <w:color w:val="231F20"/>
          <w:w w:val="105"/>
        </w:rPr>
        <w:t>time-limited,</w:t>
      </w:r>
      <w:r w:rsidRPr="00C50CA2">
        <w:rPr>
          <w:rFonts w:cstheme="minorHAnsi"/>
          <w:color w:val="231F20"/>
          <w:w w:val="105"/>
        </w:rPr>
        <w:t xml:space="preserve"> </w:t>
      </w:r>
      <w:r w:rsidRPr="009F06AF">
        <w:rPr>
          <w:rFonts w:cstheme="minorHAnsi"/>
          <w:color w:val="231F20"/>
          <w:w w:val="105"/>
        </w:rPr>
        <w:t>wage-paid,</w:t>
      </w:r>
      <w:r w:rsidRPr="00C50CA2">
        <w:rPr>
          <w:rFonts w:cstheme="minorHAnsi"/>
          <w:color w:val="231F20"/>
          <w:w w:val="105"/>
        </w:rPr>
        <w:t xml:space="preserve"> </w:t>
      </w:r>
      <w:r w:rsidRPr="009F06AF">
        <w:rPr>
          <w:rFonts w:cstheme="minorHAnsi"/>
          <w:color w:val="231F20"/>
          <w:w w:val="105"/>
        </w:rPr>
        <w:t>subsidized</w:t>
      </w:r>
      <w:r w:rsidRPr="00C50CA2">
        <w:rPr>
          <w:rFonts w:cstheme="minorHAnsi"/>
          <w:color w:val="231F20"/>
          <w:w w:val="105"/>
        </w:rPr>
        <w:t xml:space="preserve"> </w:t>
      </w:r>
      <w:r w:rsidRPr="009F06AF">
        <w:rPr>
          <w:rFonts w:cstheme="minorHAnsi"/>
          <w:color w:val="231F20"/>
          <w:w w:val="105"/>
        </w:rPr>
        <w:t>work</w:t>
      </w:r>
      <w:r w:rsidRPr="00C50CA2">
        <w:rPr>
          <w:rFonts w:cstheme="minorHAnsi"/>
          <w:color w:val="231F20"/>
          <w:w w:val="105"/>
        </w:rPr>
        <w:t xml:space="preserve"> </w:t>
      </w:r>
      <w:r w:rsidRPr="009F06AF">
        <w:rPr>
          <w:rFonts w:cstheme="minorHAnsi"/>
          <w:color w:val="231F20"/>
          <w:w w:val="105"/>
        </w:rPr>
        <w:t>experiences that help individuals who are chronically unemployed and/or have an inconsistent work history.</w:t>
      </w:r>
      <w:r w:rsidRPr="00C50CA2">
        <w:rPr>
          <w:rFonts w:cstheme="minorHAnsi"/>
          <w:color w:val="231F20"/>
          <w:w w:val="105"/>
        </w:rPr>
        <w:t xml:space="preserve"> </w:t>
      </w:r>
      <w:r w:rsidRPr="009F06AF">
        <w:rPr>
          <w:rFonts w:cstheme="minorHAnsi"/>
          <w:color w:val="231F20"/>
          <w:w w:val="105"/>
        </w:rPr>
        <w:t>Transitional</w:t>
      </w:r>
      <w:r w:rsidRPr="00C50CA2">
        <w:rPr>
          <w:rFonts w:cstheme="minorHAnsi"/>
          <w:color w:val="231F20"/>
          <w:w w:val="105"/>
        </w:rPr>
        <w:t xml:space="preserve"> </w:t>
      </w:r>
      <w:r w:rsidRPr="009F06AF">
        <w:rPr>
          <w:rFonts w:cstheme="minorHAnsi"/>
          <w:color w:val="231F20"/>
          <w:w w:val="105"/>
        </w:rPr>
        <w:t>jobs</w:t>
      </w:r>
      <w:r w:rsidRPr="00C50CA2">
        <w:rPr>
          <w:rFonts w:cstheme="minorHAnsi"/>
          <w:color w:val="231F20"/>
          <w:w w:val="105"/>
        </w:rPr>
        <w:t xml:space="preserve"> </w:t>
      </w:r>
      <w:r w:rsidRPr="009F06AF">
        <w:rPr>
          <w:rFonts w:cstheme="minorHAnsi"/>
          <w:color w:val="231F20"/>
          <w:w w:val="105"/>
        </w:rPr>
        <w:t>are</w:t>
      </w:r>
      <w:r w:rsidRPr="00C50CA2">
        <w:rPr>
          <w:rFonts w:cstheme="minorHAnsi"/>
          <w:color w:val="231F20"/>
          <w:w w:val="105"/>
        </w:rPr>
        <w:t xml:space="preserve"> </w:t>
      </w:r>
      <w:r w:rsidRPr="009F06AF">
        <w:rPr>
          <w:rFonts w:cstheme="minorHAnsi"/>
          <w:color w:val="231F20"/>
          <w:w w:val="105"/>
        </w:rPr>
        <w:t>used</w:t>
      </w:r>
      <w:r w:rsidRPr="00C50CA2">
        <w:rPr>
          <w:rFonts w:cstheme="minorHAnsi"/>
          <w:color w:val="231F20"/>
          <w:w w:val="105"/>
        </w:rPr>
        <w:t xml:space="preserve"> </w:t>
      </w:r>
      <w:r w:rsidRPr="009F06AF">
        <w:rPr>
          <w:rFonts w:cstheme="minorHAnsi"/>
          <w:color w:val="231F20"/>
          <w:w w:val="105"/>
        </w:rPr>
        <w:t>to</w:t>
      </w:r>
      <w:r w:rsidRPr="00C50CA2">
        <w:rPr>
          <w:rFonts w:cstheme="minorHAnsi"/>
          <w:color w:val="231F20"/>
          <w:w w:val="105"/>
        </w:rPr>
        <w:t xml:space="preserve"> </w:t>
      </w:r>
      <w:r w:rsidR="000C6AF1" w:rsidRPr="009F06AF">
        <w:rPr>
          <w:rFonts w:cstheme="minorHAnsi"/>
          <w:color w:val="231F20"/>
          <w:w w:val="105"/>
        </w:rPr>
        <w:t xml:space="preserve">assist these </w:t>
      </w:r>
      <w:r w:rsidRPr="009F06AF">
        <w:rPr>
          <w:rFonts w:cstheme="minorHAnsi"/>
          <w:color w:val="231F20"/>
          <w:w w:val="105"/>
        </w:rPr>
        <w:t>individuals</w:t>
      </w:r>
      <w:r w:rsidRPr="00C50CA2">
        <w:rPr>
          <w:rFonts w:cstheme="minorHAnsi"/>
          <w:color w:val="231F20"/>
          <w:w w:val="105"/>
        </w:rPr>
        <w:t xml:space="preserve"> </w:t>
      </w:r>
      <w:r w:rsidRPr="009F06AF">
        <w:rPr>
          <w:rFonts w:cstheme="minorHAnsi"/>
          <w:color w:val="231F20"/>
          <w:w w:val="105"/>
        </w:rPr>
        <w:t>establish</w:t>
      </w:r>
      <w:r w:rsidRPr="00C50CA2">
        <w:rPr>
          <w:rFonts w:cstheme="minorHAnsi"/>
          <w:color w:val="231F20"/>
          <w:w w:val="105"/>
        </w:rPr>
        <w:t xml:space="preserve"> </w:t>
      </w:r>
      <w:r w:rsidRPr="009F06AF">
        <w:rPr>
          <w:rFonts w:cstheme="minorHAnsi"/>
          <w:color w:val="231F20"/>
          <w:w w:val="105"/>
        </w:rPr>
        <w:t>a</w:t>
      </w:r>
      <w:r w:rsidRPr="00C50CA2">
        <w:rPr>
          <w:rFonts w:cstheme="minorHAnsi"/>
          <w:color w:val="231F20"/>
          <w:w w:val="105"/>
        </w:rPr>
        <w:t xml:space="preserve"> </w:t>
      </w:r>
      <w:r w:rsidRPr="009F06AF">
        <w:rPr>
          <w:rFonts w:cstheme="minorHAnsi"/>
          <w:color w:val="231F20"/>
          <w:w w:val="105"/>
        </w:rPr>
        <w:t>work</w:t>
      </w:r>
      <w:r w:rsidRPr="00C50CA2">
        <w:rPr>
          <w:rFonts w:cstheme="minorHAnsi"/>
          <w:color w:val="231F20"/>
          <w:w w:val="105"/>
        </w:rPr>
        <w:t xml:space="preserve"> </w:t>
      </w:r>
      <w:r w:rsidRPr="009F06AF">
        <w:rPr>
          <w:rFonts w:cstheme="minorHAnsi"/>
          <w:color w:val="231F20"/>
          <w:w w:val="105"/>
        </w:rPr>
        <w:t>history,</w:t>
      </w:r>
      <w:r w:rsidRPr="00C50CA2">
        <w:rPr>
          <w:rFonts w:cstheme="minorHAnsi"/>
          <w:color w:val="231F20"/>
          <w:w w:val="105"/>
        </w:rPr>
        <w:t xml:space="preserve"> </w:t>
      </w:r>
      <w:r w:rsidRPr="009F06AF">
        <w:rPr>
          <w:rFonts w:cstheme="minorHAnsi"/>
          <w:color w:val="231F20"/>
          <w:w w:val="105"/>
        </w:rPr>
        <w:t>develop</w:t>
      </w:r>
      <w:r w:rsidRPr="00C50CA2">
        <w:rPr>
          <w:rFonts w:cstheme="minorHAnsi"/>
          <w:color w:val="231F20"/>
          <w:w w:val="105"/>
        </w:rPr>
        <w:t xml:space="preserve"> </w:t>
      </w:r>
      <w:r w:rsidRPr="009F06AF">
        <w:rPr>
          <w:rFonts w:cstheme="minorHAnsi"/>
          <w:color w:val="231F20"/>
          <w:w w:val="105"/>
        </w:rPr>
        <w:t>skills</w:t>
      </w:r>
      <w:r w:rsidRPr="00C50CA2">
        <w:rPr>
          <w:rFonts w:cstheme="minorHAnsi"/>
          <w:color w:val="231F20"/>
          <w:w w:val="105"/>
        </w:rPr>
        <w:t xml:space="preserve"> </w:t>
      </w:r>
      <w:r w:rsidRPr="009F06AF">
        <w:rPr>
          <w:rFonts w:cstheme="minorHAnsi"/>
          <w:color w:val="231F20"/>
          <w:w w:val="105"/>
        </w:rPr>
        <w:t>to</w:t>
      </w:r>
      <w:r w:rsidRPr="00C50CA2">
        <w:rPr>
          <w:rFonts w:cstheme="minorHAnsi"/>
          <w:color w:val="231F20"/>
          <w:w w:val="105"/>
        </w:rPr>
        <w:t xml:space="preserve"> </w:t>
      </w:r>
      <w:r w:rsidRPr="009F06AF">
        <w:rPr>
          <w:rFonts w:cstheme="minorHAnsi"/>
          <w:color w:val="231F20"/>
          <w:w w:val="105"/>
        </w:rPr>
        <w:t>access</w:t>
      </w:r>
      <w:r w:rsidRPr="00C50CA2">
        <w:rPr>
          <w:rFonts w:cstheme="minorHAnsi"/>
          <w:color w:val="231F20"/>
          <w:w w:val="105"/>
        </w:rPr>
        <w:t xml:space="preserve"> </w:t>
      </w:r>
      <w:r w:rsidRPr="009F06AF">
        <w:rPr>
          <w:rFonts w:cstheme="minorHAnsi"/>
          <w:color w:val="231F20"/>
          <w:w w:val="105"/>
        </w:rPr>
        <w:t>unsubsidized</w:t>
      </w:r>
      <w:r w:rsidRPr="00C50CA2">
        <w:rPr>
          <w:rFonts w:cstheme="minorHAnsi"/>
          <w:color w:val="231F20"/>
          <w:w w:val="105"/>
        </w:rPr>
        <w:t xml:space="preserve"> </w:t>
      </w:r>
      <w:r w:rsidRPr="009F06AF">
        <w:rPr>
          <w:rFonts w:cstheme="minorHAnsi"/>
          <w:color w:val="231F20"/>
          <w:w w:val="105"/>
        </w:rPr>
        <w:t>employment</w:t>
      </w:r>
      <w:r w:rsidR="00D5537E">
        <w:rPr>
          <w:rFonts w:cstheme="minorHAnsi"/>
          <w:color w:val="231F20"/>
          <w:w w:val="105"/>
        </w:rPr>
        <w:t xml:space="preserve"> and</w:t>
      </w:r>
      <w:r w:rsidRPr="00C50CA2">
        <w:rPr>
          <w:rFonts w:cstheme="minorHAnsi"/>
          <w:color w:val="231F20"/>
          <w:w w:val="105"/>
        </w:rPr>
        <w:t xml:space="preserve"> </w:t>
      </w:r>
      <w:r w:rsidRPr="009F06AF">
        <w:rPr>
          <w:rFonts w:cstheme="minorHAnsi"/>
          <w:color w:val="231F20"/>
          <w:w w:val="105"/>
        </w:rPr>
        <w:t>progress</w:t>
      </w:r>
      <w:r w:rsidRPr="00C50CA2">
        <w:rPr>
          <w:rFonts w:cstheme="minorHAnsi"/>
          <w:color w:val="231F20"/>
          <w:w w:val="105"/>
        </w:rPr>
        <w:t xml:space="preserve"> </w:t>
      </w:r>
      <w:r w:rsidRPr="009F06AF">
        <w:rPr>
          <w:rFonts w:cstheme="minorHAnsi"/>
          <w:color w:val="231F20"/>
          <w:w w:val="105"/>
        </w:rPr>
        <w:t>in</w:t>
      </w:r>
      <w:r w:rsidRPr="00C50CA2">
        <w:rPr>
          <w:rFonts w:cstheme="minorHAnsi"/>
          <w:color w:val="231F20"/>
          <w:w w:val="105"/>
        </w:rPr>
        <w:t xml:space="preserve"> </w:t>
      </w:r>
      <w:r w:rsidRPr="009F06AF">
        <w:rPr>
          <w:rFonts w:cstheme="minorHAnsi"/>
          <w:color w:val="231F20"/>
          <w:w w:val="105"/>
        </w:rPr>
        <w:t>the</w:t>
      </w:r>
      <w:r w:rsidRPr="00C50CA2">
        <w:rPr>
          <w:rFonts w:cstheme="minorHAnsi"/>
          <w:color w:val="231F20"/>
          <w:w w:val="105"/>
        </w:rPr>
        <w:t xml:space="preserve"> </w:t>
      </w:r>
      <w:r w:rsidRPr="009F06AF">
        <w:rPr>
          <w:rFonts w:cstheme="minorHAnsi"/>
          <w:color w:val="231F20"/>
          <w:w w:val="105"/>
        </w:rPr>
        <w:t>workplace</w:t>
      </w:r>
      <w:r w:rsidR="005E7C49">
        <w:rPr>
          <w:rFonts w:cstheme="minorHAnsi"/>
          <w:color w:val="231F20"/>
          <w:w w:val="105"/>
        </w:rPr>
        <w:t xml:space="preserve">. </w:t>
      </w:r>
      <w:r w:rsidRPr="009F06AF">
        <w:rPr>
          <w:rFonts w:cstheme="minorHAnsi"/>
          <w:color w:val="231F20"/>
          <w:w w:val="105"/>
        </w:rPr>
        <w:t>The</w:t>
      </w:r>
      <w:r w:rsidRPr="00C50CA2">
        <w:rPr>
          <w:rFonts w:cstheme="minorHAnsi"/>
          <w:color w:val="231F20"/>
          <w:w w:val="105"/>
        </w:rPr>
        <w:t xml:space="preserve"> LWDB’s </w:t>
      </w:r>
      <w:r w:rsidRPr="009F06AF">
        <w:rPr>
          <w:rFonts w:cstheme="minorHAnsi"/>
          <w:color w:val="231F20"/>
          <w:w w:val="105"/>
        </w:rPr>
        <w:t>transitional</w:t>
      </w:r>
      <w:r w:rsidRPr="00C50CA2">
        <w:rPr>
          <w:rFonts w:cstheme="minorHAnsi"/>
          <w:color w:val="231F20"/>
          <w:w w:val="105"/>
        </w:rPr>
        <w:t xml:space="preserve"> </w:t>
      </w:r>
      <w:r w:rsidRPr="009F06AF">
        <w:rPr>
          <w:rFonts w:cstheme="minorHAnsi"/>
          <w:color w:val="231F20"/>
          <w:w w:val="105"/>
        </w:rPr>
        <w:t>jobs</w:t>
      </w:r>
      <w:r w:rsidRPr="00C50CA2">
        <w:rPr>
          <w:rFonts w:cstheme="minorHAnsi"/>
          <w:color w:val="231F20"/>
          <w:w w:val="105"/>
        </w:rPr>
        <w:t xml:space="preserve"> </w:t>
      </w:r>
      <w:r w:rsidRPr="009F06AF">
        <w:rPr>
          <w:rFonts w:cstheme="minorHAnsi"/>
          <w:color w:val="231F20"/>
          <w:w w:val="105"/>
        </w:rPr>
        <w:t>strategy/model</w:t>
      </w:r>
      <w:r w:rsidRPr="00C50CA2">
        <w:rPr>
          <w:rFonts w:cstheme="minorHAnsi"/>
          <w:color w:val="231F20"/>
          <w:w w:val="105"/>
        </w:rPr>
        <w:t xml:space="preserve"> </w:t>
      </w:r>
      <w:r w:rsidR="000C6AF1" w:rsidRPr="009F06AF">
        <w:rPr>
          <w:rFonts w:cstheme="minorHAnsi"/>
          <w:color w:val="231F20"/>
          <w:w w:val="105"/>
        </w:rPr>
        <w:t xml:space="preserve">is </w:t>
      </w:r>
      <w:r w:rsidRPr="009F06AF">
        <w:rPr>
          <w:rFonts w:cstheme="minorHAnsi"/>
          <w:color w:val="231F20"/>
          <w:w w:val="105"/>
        </w:rPr>
        <w:t>incorporated</w:t>
      </w:r>
      <w:r w:rsidRPr="00C50CA2">
        <w:rPr>
          <w:rFonts w:cstheme="minorHAnsi"/>
          <w:color w:val="231F20"/>
          <w:w w:val="105"/>
        </w:rPr>
        <w:t xml:space="preserve"> </w:t>
      </w:r>
      <w:r w:rsidRPr="009F06AF">
        <w:rPr>
          <w:rFonts w:cstheme="minorHAnsi"/>
          <w:color w:val="231F20"/>
          <w:w w:val="105"/>
        </w:rPr>
        <w:t>into</w:t>
      </w:r>
      <w:r w:rsidRPr="00C50CA2">
        <w:rPr>
          <w:rFonts w:cstheme="minorHAnsi"/>
          <w:color w:val="231F20"/>
          <w:w w:val="105"/>
        </w:rPr>
        <w:t xml:space="preserve"> </w:t>
      </w:r>
      <w:r w:rsidRPr="009F06AF">
        <w:rPr>
          <w:rFonts w:cstheme="minorHAnsi"/>
          <w:color w:val="231F20"/>
          <w:w w:val="105"/>
        </w:rPr>
        <w:t>its</w:t>
      </w:r>
      <w:r w:rsidRPr="00C50CA2">
        <w:rPr>
          <w:rFonts w:cstheme="minorHAnsi"/>
          <w:color w:val="231F20"/>
          <w:w w:val="105"/>
        </w:rPr>
        <w:t xml:space="preserve"> </w:t>
      </w:r>
      <w:r w:rsidRPr="009F06AF">
        <w:rPr>
          <w:rFonts w:cstheme="minorHAnsi"/>
          <w:color w:val="231F20"/>
          <w:w w:val="105"/>
        </w:rPr>
        <w:t>local</w:t>
      </w:r>
      <w:r w:rsidRPr="00C50CA2">
        <w:rPr>
          <w:rFonts w:cstheme="minorHAnsi"/>
          <w:color w:val="231F20"/>
          <w:w w:val="105"/>
        </w:rPr>
        <w:t xml:space="preserve"> </w:t>
      </w:r>
      <w:r w:rsidRPr="009F06AF">
        <w:rPr>
          <w:rFonts w:cstheme="minorHAnsi"/>
          <w:color w:val="231F20"/>
          <w:w w:val="105"/>
        </w:rPr>
        <w:t>plan</w:t>
      </w:r>
      <w:r w:rsidRPr="00C50CA2">
        <w:rPr>
          <w:rFonts w:cstheme="minorHAnsi"/>
          <w:color w:val="231F20"/>
          <w:w w:val="105"/>
        </w:rPr>
        <w:t xml:space="preserve"> </w:t>
      </w:r>
      <w:r w:rsidRPr="009F06AF">
        <w:rPr>
          <w:rFonts w:cstheme="minorHAnsi"/>
          <w:color w:val="231F20"/>
          <w:w w:val="105"/>
        </w:rPr>
        <w:t>and</w:t>
      </w:r>
      <w:r w:rsidRPr="00C50CA2">
        <w:rPr>
          <w:rFonts w:cstheme="minorHAnsi"/>
          <w:color w:val="231F20"/>
          <w:w w:val="105"/>
        </w:rPr>
        <w:t xml:space="preserve"> </w:t>
      </w:r>
      <w:r w:rsidRPr="009F06AF">
        <w:rPr>
          <w:rFonts w:cstheme="minorHAnsi"/>
          <w:color w:val="231F20"/>
          <w:w w:val="105"/>
        </w:rPr>
        <w:t>must</w:t>
      </w:r>
      <w:r w:rsidRPr="00C50CA2">
        <w:rPr>
          <w:rFonts w:cstheme="minorHAnsi"/>
          <w:color w:val="231F20"/>
          <w:w w:val="105"/>
        </w:rPr>
        <w:t xml:space="preserve"> </w:t>
      </w:r>
      <w:r w:rsidRPr="009F06AF">
        <w:rPr>
          <w:rFonts w:cstheme="minorHAnsi"/>
          <w:color w:val="231F20"/>
          <w:w w:val="105"/>
        </w:rPr>
        <w:t>include</w:t>
      </w:r>
      <w:r w:rsidRPr="00C50CA2">
        <w:rPr>
          <w:rFonts w:cstheme="minorHAnsi"/>
          <w:color w:val="231F20"/>
          <w:w w:val="105"/>
        </w:rPr>
        <w:t xml:space="preserve"> </w:t>
      </w:r>
      <w:r w:rsidRPr="009F06AF">
        <w:rPr>
          <w:rFonts w:cstheme="minorHAnsi"/>
          <w:color w:val="231F20"/>
          <w:w w:val="105"/>
        </w:rPr>
        <w:t>local</w:t>
      </w:r>
      <w:r w:rsidRPr="00C50CA2">
        <w:rPr>
          <w:rFonts w:cstheme="minorHAnsi"/>
          <w:color w:val="231F20"/>
          <w:w w:val="105"/>
        </w:rPr>
        <w:t xml:space="preserve"> </w:t>
      </w:r>
      <w:r w:rsidRPr="009F06AF">
        <w:rPr>
          <w:rFonts w:cstheme="minorHAnsi"/>
          <w:color w:val="231F20"/>
          <w:w w:val="105"/>
        </w:rPr>
        <w:t>definitions</w:t>
      </w:r>
      <w:r w:rsidRPr="00C50CA2">
        <w:rPr>
          <w:rFonts w:cstheme="minorHAnsi"/>
          <w:color w:val="231F20"/>
          <w:w w:val="105"/>
        </w:rPr>
        <w:t xml:space="preserve"> </w:t>
      </w:r>
      <w:r w:rsidRPr="009F06AF">
        <w:rPr>
          <w:rFonts w:cstheme="minorHAnsi"/>
          <w:color w:val="231F20"/>
          <w:w w:val="105"/>
        </w:rPr>
        <w:t>for</w:t>
      </w:r>
      <w:r w:rsidRPr="00C50CA2">
        <w:rPr>
          <w:rFonts w:cstheme="minorHAnsi"/>
          <w:color w:val="231F20"/>
          <w:w w:val="105"/>
        </w:rPr>
        <w:t xml:space="preserve"> </w:t>
      </w:r>
      <w:r w:rsidRPr="009F06AF">
        <w:rPr>
          <w:rFonts w:cstheme="minorHAnsi"/>
          <w:color w:val="231F20"/>
          <w:w w:val="105"/>
        </w:rPr>
        <w:t>chronically</w:t>
      </w:r>
      <w:r w:rsidRPr="00C50CA2">
        <w:rPr>
          <w:rFonts w:cstheme="minorHAnsi"/>
          <w:color w:val="231F20"/>
          <w:w w:val="105"/>
        </w:rPr>
        <w:t xml:space="preserve"> </w:t>
      </w:r>
      <w:r w:rsidRPr="009F06AF">
        <w:rPr>
          <w:rFonts w:cstheme="minorHAnsi"/>
          <w:color w:val="231F20"/>
          <w:w w:val="105"/>
        </w:rPr>
        <w:t>unemployed</w:t>
      </w:r>
      <w:r w:rsidRPr="00C50CA2">
        <w:rPr>
          <w:rFonts w:cstheme="minorHAnsi"/>
          <w:color w:val="231F20"/>
          <w:w w:val="105"/>
        </w:rPr>
        <w:t xml:space="preserve"> </w:t>
      </w:r>
      <w:r w:rsidRPr="009F06AF">
        <w:rPr>
          <w:rFonts w:cstheme="minorHAnsi"/>
          <w:color w:val="231F20"/>
          <w:w w:val="105"/>
        </w:rPr>
        <w:t>and</w:t>
      </w:r>
      <w:r w:rsidRPr="00C50CA2">
        <w:rPr>
          <w:rFonts w:cstheme="minorHAnsi"/>
          <w:color w:val="231F20"/>
          <w:w w:val="105"/>
        </w:rPr>
        <w:t xml:space="preserve"> </w:t>
      </w:r>
      <w:r w:rsidRPr="009F06AF">
        <w:rPr>
          <w:rFonts w:cstheme="minorHAnsi"/>
          <w:color w:val="231F20"/>
          <w:w w:val="105"/>
        </w:rPr>
        <w:t xml:space="preserve">inconsistent work history. The local plan </w:t>
      </w:r>
      <w:r w:rsidR="000C6AF1" w:rsidRPr="009F06AF">
        <w:rPr>
          <w:rFonts w:cstheme="minorHAnsi"/>
          <w:color w:val="231F20"/>
          <w:w w:val="105"/>
        </w:rPr>
        <w:t xml:space="preserve">must </w:t>
      </w:r>
      <w:r w:rsidRPr="009F06AF">
        <w:rPr>
          <w:rFonts w:cstheme="minorHAnsi"/>
          <w:color w:val="231F20"/>
          <w:w w:val="105"/>
        </w:rPr>
        <w:t>include the duration for transitional jobs and the</w:t>
      </w:r>
      <w:r w:rsidRPr="00C50CA2">
        <w:rPr>
          <w:rFonts w:cstheme="minorHAnsi"/>
          <w:color w:val="231F20"/>
          <w:w w:val="105"/>
        </w:rPr>
        <w:t xml:space="preserve"> </w:t>
      </w:r>
      <w:r w:rsidRPr="009F06AF">
        <w:rPr>
          <w:rFonts w:cstheme="minorHAnsi"/>
          <w:color w:val="231F20"/>
          <w:w w:val="105"/>
        </w:rPr>
        <w:t>strategy</w:t>
      </w:r>
      <w:r w:rsidRPr="00C50CA2">
        <w:rPr>
          <w:rFonts w:cstheme="minorHAnsi"/>
          <w:color w:val="231F20"/>
          <w:w w:val="105"/>
        </w:rPr>
        <w:t xml:space="preserve"> </w:t>
      </w:r>
      <w:r w:rsidR="000C6AF1" w:rsidRPr="009F06AF">
        <w:rPr>
          <w:rFonts w:cstheme="minorHAnsi"/>
          <w:color w:val="231F20"/>
          <w:w w:val="105"/>
        </w:rPr>
        <w:t xml:space="preserve">the board uses </w:t>
      </w:r>
      <w:r w:rsidRPr="009F06AF">
        <w:rPr>
          <w:rFonts w:cstheme="minorHAnsi"/>
          <w:color w:val="231F20"/>
          <w:w w:val="105"/>
        </w:rPr>
        <w:t>to</w:t>
      </w:r>
      <w:r w:rsidRPr="00C50CA2">
        <w:rPr>
          <w:rFonts w:cstheme="minorHAnsi"/>
          <w:color w:val="231F20"/>
          <w:w w:val="105"/>
        </w:rPr>
        <w:t xml:space="preserve"> </w:t>
      </w:r>
      <w:r w:rsidRPr="009F06AF">
        <w:rPr>
          <w:rFonts w:cstheme="minorHAnsi"/>
          <w:color w:val="231F20"/>
          <w:w w:val="105"/>
        </w:rPr>
        <w:t>promote</w:t>
      </w:r>
      <w:r w:rsidRPr="00C50CA2">
        <w:rPr>
          <w:rFonts w:cstheme="minorHAnsi"/>
          <w:color w:val="231F20"/>
          <w:w w:val="105"/>
        </w:rPr>
        <w:t xml:space="preserve"> </w:t>
      </w:r>
      <w:r w:rsidRPr="009F06AF">
        <w:rPr>
          <w:rFonts w:cstheme="minorHAnsi"/>
          <w:color w:val="231F20"/>
          <w:w w:val="105"/>
        </w:rPr>
        <w:t>or</w:t>
      </w:r>
      <w:r w:rsidRPr="00C50CA2">
        <w:rPr>
          <w:rFonts w:cstheme="minorHAnsi"/>
          <w:color w:val="231F20"/>
          <w:w w:val="105"/>
        </w:rPr>
        <w:t xml:space="preserve"> </w:t>
      </w:r>
      <w:r w:rsidRPr="009F06AF">
        <w:rPr>
          <w:rFonts w:cstheme="minorHAnsi"/>
          <w:color w:val="231F20"/>
          <w:w w:val="105"/>
        </w:rPr>
        <w:t>encourage</w:t>
      </w:r>
      <w:r w:rsidRPr="00C50CA2">
        <w:rPr>
          <w:rFonts w:cstheme="minorHAnsi"/>
          <w:color w:val="231F20"/>
          <w:w w:val="105"/>
        </w:rPr>
        <w:t xml:space="preserve"> </w:t>
      </w:r>
      <w:r w:rsidRPr="009F06AF">
        <w:rPr>
          <w:rFonts w:cstheme="minorHAnsi"/>
          <w:color w:val="231F20"/>
          <w:w w:val="105"/>
        </w:rPr>
        <w:t>the</w:t>
      </w:r>
      <w:r w:rsidRPr="00C50CA2">
        <w:rPr>
          <w:rFonts w:cstheme="minorHAnsi"/>
          <w:color w:val="231F20"/>
          <w:w w:val="105"/>
        </w:rPr>
        <w:t xml:space="preserve"> </w:t>
      </w:r>
      <w:r w:rsidRPr="009F06AF">
        <w:rPr>
          <w:rFonts w:cstheme="minorHAnsi"/>
          <w:color w:val="231F20"/>
          <w:w w:val="105"/>
        </w:rPr>
        <w:t>individual’s</w:t>
      </w:r>
      <w:r w:rsidRPr="00C50CA2">
        <w:rPr>
          <w:rFonts w:cstheme="minorHAnsi"/>
          <w:color w:val="231F20"/>
          <w:w w:val="105"/>
        </w:rPr>
        <w:t xml:space="preserve"> </w:t>
      </w:r>
      <w:r w:rsidRPr="009F06AF">
        <w:rPr>
          <w:rFonts w:cstheme="minorHAnsi"/>
          <w:color w:val="231F20"/>
          <w:w w:val="105"/>
        </w:rPr>
        <w:t>transition</w:t>
      </w:r>
      <w:r w:rsidRPr="00C50CA2">
        <w:rPr>
          <w:rFonts w:cstheme="minorHAnsi"/>
          <w:color w:val="231F20"/>
          <w:w w:val="105"/>
        </w:rPr>
        <w:t xml:space="preserve"> </w:t>
      </w:r>
      <w:r w:rsidRPr="009F06AF">
        <w:rPr>
          <w:rFonts w:cstheme="minorHAnsi"/>
          <w:color w:val="231F20"/>
          <w:w w:val="105"/>
        </w:rPr>
        <w:t>into</w:t>
      </w:r>
      <w:r w:rsidRPr="00C50CA2">
        <w:rPr>
          <w:rFonts w:cstheme="minorHAnsi"/>
          <w:color w:val="231F20"/>
          <w:w w:val="105"/>
        </w:rPr>
        <w:t xml:space="preserve"> </w:t>
      </w:r>
      <w:r w:rsidRPr="009F06AF">
        <w:rPr>
          <w:rFonts w:cstheme="minorHAnsi"/>
          <w:color w:val="231F20"/>
          <w:w w:val="105"/>
        </w:rPr>
        <w:t>a</w:t>
      </w:r>
      <w:r w:rsidRPr="00C50CA2">
        <w:rPr>
          <w:rFonts w:cstheme="minorHAnsi"/>
          <w:color w:val="231F20"/>
          <w:w w:val="105"/>
        </w:rPr>
        <w:t xml:space="preserve"> </w:t>
      </w:r>
      <w:r w:rsidRPr="009F06AF">
        <w:rPr>
          <w:rFonts w:cstheme="minorHAnsi"/>
          <w:color w:val="231F20"/>
          <w:w w:val="105"/>
        </w:rPr>
        <w:t>permanent</w:t>
      </w:r>
      <w:r w:rsidRPr="00C50CA2">
        <w:rPr>
          <w:rFonts w:cstheme="minorHAnsi"/>
          <w:color w:val="231F20"/>
          <w:w w:val="105"/>
        </w:rPr>
        <w:t xml:space="preserve"> </w:t>
      </w:r>
      <w:r w:rsidRPr="009F06AF">
        <w:rPr>
          <w:rFonts w:cstheme="minorHAnsi"/>
          <w:color w:val="231F20"/>
          <w:w w:val="105"/>
        </w:rPr>
        <w:t>job</w:t>
      </w:r>
      <w:r w:rsidRPr="00C50CA2">
        <w:rPr>
          <w:rFonts w:cstheme="minorHAnsi"/>
          <w:color w:val="231F20"/>
          <w:w w:val="105"/>
        </w:rPr>
        <w:t xml:space="preserve"> </w:t>
      </w:r>
      <w:r w:rsidR="000C6AF1" w:rsidRPr="009F06AF">
        <w:rPr>
          <w:rFonts w:cstheme="minorHAnsi"/>
          <w:color w:val="231F20"/>
          <w:w w:val="105"/>
        </w:rPr>
        <w:t xml:space="preserve">when </w:t>
      </w:r>
      <w:r w:rsidRPr="009F06AF">
        <w:rPr>
          <w:rFonts w:cstheme="minorHAnsi"/>
          <w:color w:val="231F20"/>
          <w:w w:val="105"/>
        </w:rPr>
        <w:t>the</w:t>
      </w:r>
      <w:r w:rsidRPr="00C50CA2">
        <w:rPr>
          <w:rFonts w:cstheme="minorHAnsi"/>
          <w:color w:val="231F20"/>
          <w:w w:val="105"/>
        </w:rPr>
        <w:t xml:space="preserve"> </w:t>
      </w:r>
      <w:r w:rsidRPr="009F06AF">
        <w:rPr>
          <w:rFonts w:cstheme="minorHAnsi"/>
          <w:color w:val="231F20"/>
          <w:w w:val="105"/>
        </w:rPr>
        <w:t>subsidy ends.</w:t>
      </w:r>
    </w:p>
    <w:p w14:paraId="7A01E1EC" w14:textId="311F14ED" w:rsidR="00EA7458" w:rsidRDefault="00EA7458" w:rsidP="00D63204">
      <w:pPr>
        <w:widowControl w:val="0"/>
        <w:spacing w:before="5" w:after="0" w:line="240" w:lineRule="auto"/>
        <w:ind w:left="107"/>
        <w:rPr>
          <w:rFonts w:cstheme="minorHAnsi"/>
          <w:sz w:val="16"/>
          <w:szCs w:val="16"/>
        </w:rPr>
      </w:pPr>
    </w:p>
    <w:p w14:paraId="3545085B" w14:textId="3C463429" w:rsidR="00EA7458" w:rsidRPr="00C50CA2" w:rsidRDefault="00EA7458" w:rsidP="00D63204">
      <w:pPr>
        <w:widowControl w:val="0"/>
        <w:spacing w:before="2" w:after="0" w:line="235" w:lineRule="auto"/>
        <w:ind w:left="107"/>
        <w:rPr>
          <w:rFonts w:cstheme="minorHAnsi"/>
          <w:color w:val="231F20"/>
          <w:w w:val="105"/>
        </w:rPr>
      </w:pPr>
      <w:r w:rsidRPr="009F06AF">
        <w:rPr>
          <w:rFonts w:cstheme="minorHAnsi"/>
          <w:color w:val="231F20"/>
          <w:w w:val="105"/>
        </w:rPr>
        <w:t>OJT</w:t>
      </w:r>
      <w:r w:rsidRPr="00C50CA2">
        <w:rPr>
          <w:rFonts w:cstheme="minorHAnsi"/>
          <w:color w:val="231F20"/>
          <w:w w:val="105"/>
        </w:rPr>
        <w:t xml:space="preserve"> </w:t>
      </w:r>
      <w:r w:rsidRPr="009F06AF">
        <w:rPr>
          <w:rFonts w:cstheme="minorHAnsi"/>
          <w:color w:val="231F20"/>
          <w:w w:val="105"/>
        </w:rPr>
        <w:t>ensures</w:t>
      </w:r>
      <w:r w:rsidRPr="00C50CA2">
        <w:rPr>
          <w:rFonts w:cstheme="minorHAnsi"/>
          <w:color w:val="231F20"/>
          <w:w w:val="105"/>
        </w:rPr>
        <w:t xml:space="preserve"> </w:t>
      </w:r>
      <w:r w:rsidR="00D129EB">
        <w:rPr>
          <w:rFonts w:cstheme="minorHAnsi"/>
          <w:color w:val="231F20"/>
          <w:w w:val="105"/>
        </w:rPr>
        <w:t>hig</w:t>
      </w:r>
      <w:r w:rsidR="00B155E2">
        <w:rPr>
          <w:rFonts w:cstheme="minorHAnsi"/>
          <w:color w:val="231F20"/>
          <w:w w:val="105"/>
        </w:rPr>
        <w:t>h-</w:t>
      </w:r>
      <w:r w:rsidRPr="009F06AF">
        <w:rPr>
          <w:rFonts w:cstheme="minorHAnsi"/>
          <w:color w:val="231F20"/>
          <w:w w:val="105"/>
        </w:rPr>
        <w:t>quality</w:t>
      </w:r>
      <w:r w:rsidRPr="00C50CA2">
        <w:rPr>
          <w:rFonts w:cstheme="minorHAnsi"/>
          <w:color w:val="231F20"/>
          <w:w w:val="105"/>
        </w:rPr>
        <w:t xml:space="preserve"> </w:t>
      </w:r>
      <w:r w:rsidRPr="009F06AF">
        <w:rPr>
          <w:rFonts w:cstheme="minorHAnsi"/>
          <w:color w:val="231F20"/>
          <w:w w:val="105"/>
        </w:rPr>
        <w:t>training</w:t>
      </w:r>
      <w:r w:rsidRPr="00C50CA2">
        <w:rPr>
          <w:rFonts w:cstheme="minorHAnsi"/>
          <w:color w:val="231F20"/>
          <w:w w:val="105"/>
        </w:rPr>
        <w:t xml:space="preserve"> </w:t>
      </w:r>
      <w:r w:rsidRPr="009F06AF">
        <w:rPr>
          <w:rFonts w:cstheme="minorHAnsi"/>
          <w:color w:val="231F20"/>
          <w:w w:val="105"/>
        </w:rPr>
        <w:t>for</w:t>
      </w:r>
      <w:r w:rsidRPr="00C50CA2">
        <w:rPr>
          <w:rFonts w:cstheme="minorHAnsi"/>
          <w:color w:val="231F20"/>
          <w:w w:val="105"/>
        </w:rPr>
        <w:t xml:space="preserve"> </w:t>
      </w:r>
      <w:r w:rsidRPr="009F06AF">
        <w:rPr>
          <w:rFonts w:cstheme="minorHAnsi"/>
          <w:color w:val="231F20"/>
          <w:w w:val="105"/>
        </w:rPr>
        <w:t>both</w:t>
      </w:r>
      <w:r w:rsidRPr="00C50CA2">
        <w:rPr>
          <w:rFonts w:cstheme="minorHAnsi"/>
          <w:color w:val="231F20"/>
          <w:w w:val="105"/>
        </w:rPr>
        <w:t xml:space="preserve"> </w:t>
      </w:r>
      <w:r w:rsidRPr="009F06AF">
        <w:rPr>
          <w:rFonts w:cstheme="minorHAnsi"/>
          <w:color w:val="231F20"/>
          <w:w w:val="105"/>
        </w:rPr>
        <w:t>participant</w:t>
      </w:r>
      <w:r w:rsidR="004927D2" w:rsidRPr="009F06AF">
        <w:rPr>
          <w:rFonts w:cstheme="minorHAnsi"/>
          <w:color w:val="231F20"/>
          <w:w w:val="105"/>
        </w:rPr>
        <w:t>s</w:t>
      </w:r>
      <w:r w:rsidRPr="00C50CA2">
        <w:rPr>
          <w:rFonts w:cstheme="minorHAnsi"/>
          <w:color w:val="231F20"/>
          <w:w w:val="105"/>
        </w:rPr>
        <w:t xml:space="preserve"> </w:t>
      </w:r>
      <w:r w:rsidRPr="009F06AF">
        <w:rPr>
          <w:rFonts w:cstheme="minorHAnsi"/>
          <w:color w:val="231F20"/>
          <w:w w:val="105"/>
        </w:rPr>
        <w:t>and</w:t>
      </w:r>
      <w:r w:rsidRPr="00C50CA2">
        <w:rPr>
          <w:rFonts w:cstheme="minorHAnsi"/>
          <w:color w:val="231F20"/>
          <w:w w:val="105"/>
        </w:rPr>
        <w:t xml:space="preserve"> </w:t>
      </w:r>
      <w:r w:rsidRPr="009F06AF">
        <w:rPr>
          <w:rFonts w:cstheme="minorHAnsi"/>
          <w:color w:val="231F20"/>
          <w:w w:val="105"/>
        </w:rPr>
        <w:t>employer</w:t>
      </w:r>
      <w:r w:rsidR="004927D2" w:rsidRPr="009F06AF">
        <w:rPr>
          <w:rFonts w:cstheme="minorHAnsi"/>
          <w:color w:val="231F20"/>
          <w:w w:val="105"/>
        </w:rPr>
        <w:t>s</w:t>
      </w:r>
      <w:r w:rsidRPr="00C50CA2">
        <w:rPr>
          <w:rFonts w:cstheme="minorHAnsi"/>
          <w:color w:val="231F20"/>
          <w:w w:val="105"/>
        </w:rPr>
        <w:t xml:space="preserve"> </w:t>
      </w:r>
      <w:r w:rsidR="00047324" w:rsidRPr="009F06AF">
        <w:rPr>
          <w:rFonts w:cstheme="minorHAnsi"/>
          <w:color w:val="231F20"/>
          <w:w w:val="105"/>
        </w:rPr>
        <w:t xml:space="preserve">as </w:t>
      </w:r>
      <w:r w:rsidRPr="009F06AF">
        <w:rPr>
          <w:rFonts w:cstheme="minorHAnsi"/>
          <w:color w:val="231F20"/>
          <w:w w:val="105"/>
        </w:rPr>
        <w:t>both</w:t>
      </w:r>
      <w:r w:rsidRPr="00C50CA2">
        <w:rPr>
          <w:rFonts w:cstheme="minorHAnsi"/>
          <w:color w:val="231F20"/>
          <w:w w:val="105"/>
        </w:rPr>
        <w:t xml:space="preserve"> </w:t>
      </w:r>
      <w:r w:rsidRPr="009F06AF">
        <w:rPr>
          <w:rFonts w:cstheme="minorHAnsi"/>
          <w:color w:val="231F20"/>
          <w:w w:val="105"/>
        </w:rPr>
        <w:t>have</w:t>
      </w:r>
      <w:r w:rsidRPr="00C50CA2">
        <w:rPr>
          <w:rFonts w:cstheme="minorHAnsi"/>
          <w:color w:val="231F20"/>
          <w:w w:val="105"/>
        </w:rPr>
        <w:t xml:space="preserve"> </w:t>
      </w:r>
      <w:r w:rsidRPr="009F06AF">
        <w:rPr>
          <w:rFonts w:cstheme="minorHAnsi"/>
          <w:color w:val="231F20"/>
          <w:w w:val="105"/>
        </w:rPr>
        <w:t>a</w:t>
      </w:r>
      <w:r w:rsidRPr="00C50CA2">
        <w:rPr>
          <w:rFonts w:cstheme="minorHAnsi"/>
          <w:color w:val="231F20"/>
          <w:w w:val="105"/>
        </w:rPr>
        <w:t xml:space="preserve"> </w:t>
      </w:r>
      <w:r w:rsidRPr="009F06AF">
        <w:rPr>
          <w:rFonts w:cstheme="minorHAnsi"/>
          <w:color w:val="231F20"/>
          <w:w w:val="105"/>
        </w:rPr>
        <w:t>vested</w:t>
      </w:r>
      <w:r w:rsidRPr="00C50CA2">
        <w:rPr>
          <w:rFonts w:cstheme="minorHAnsi"/>
          <w:color w:val="231F20"/>
          <w:w w:val="105"/>
        </w:rPr>
        <w:t xml:space="preserve"> </w:t>
      </w:r>
      <w:r w:rsidRPr="009F06AF">
        <w:rPr>
          <w:rFonts w:cstheme="minorHAnsi"/>
          <w:color w:val="231F20"/>
          <w:w w:val="105"/>
        </w:rPr>
        <w:t>interest</w:t>
      </w:r>
      <w:r w:rsidRPr="00C50CA2">
        <w:rPr>
          <w:rFonts w:cstheme="minorHAnsi"/>
          <w:color w:val="231F20"/>
          <w:w w:val="105"/>
        </w:rPr>
        <w:t xml:space="preserve"> </w:t>
      </w:r>
      <w:r w:rsidRPr="009F06AF">
        <w:rPr>
          <w:rFonts w:cstheme="minorHAnsi"/>
          <w:color w:val="231F20"/>
          <w:w w:val="105"/>
        </w:rPr>
        <w:t>in</w:t>
      </w:r>
      <w:r w:rsidRPr="00C50CA2">
        <w:rPr>
          <w:rFonts w:cstheme="minorHAnsi"/>
          <w:color w:val="231F20"/>
          <w:w w:val="105"/>
        </w:rPr>
        <w:t xml:space="preserve"> </w:t>
      </w:r>
      <w:r w:rsidRPr="009F06AF">
        <w:rPr>
          <w:rFonts w:cstheme="minorHAnsi"/>
          <w:color w:val="231F20"/>
          <w:w w:val="105"/>
        </w:rPr>
        <w:t>the</w:t>
      </w:r>
      <w:r w:rsidRPr="00C50CA2">
        <w:rPr>
          <w:rFonts w:cstheme="minorHAnsi"/>
          <w:color w:val="231F20"/>
          <w:w w:val="105"/>
        </w:rPr>
        <w:t xml:space="preserve"> </w:t>
      </w:r>
      <w:r w:rsidRPr="009F06AF">
        <w:rPr>
          <w:rFonts w:cstheme="minorHAnsi"/>
          <w:color w:val="231F20"/>
          <w:w w:val="105"/>
        </w:rPr>
        <w:t>program</w:t>
      </w:r>
      <w:r w:rsidR="00047324" w:rsidRPr="009F06AF">
        <w:rPr>
          <w:rFonts w:cstheme="minorHAnsi"/>
          <w:color w:val="231F20"/>
          <w:w w:val="105"/>
        </w:rPr>
        <w:t>’s success</w:t>
      </w:r>
      <w:r w:rsidRPr="009F06AF">
        <w:rPr>
          <w:rFonts w:cstheme="minorHAnsi"/>
          <w:color w:val="231F20"/>
          <w:w w:val="105"/>
        </w:rPr>
        <w:t>.</w:t>
      </w:r>
      <w:r w:rsidRPr="00C50CA2">
        <w:rPr>
          <w:rFonts w:cstheme="minorHAnsi"/>
          <w:color w:val="231F20"/>
          <w:w w:val="105"/>
        </w:rPr>
        <w:t xml:space="preserve"> </w:t>
      </w:r>
      <w:r w:rsidR="00047324" w:rsidRPr="009F06AF">
        <w:rPr>
          <w:rFonts w:cstheme="minorHAnsi"/>
          <w:color w:val="231F20"/>
          <w:w w:val="105"/>
        </w:rPr>
        <w:t xml:space="preserve">Employers have </w:t>
      </w:r>
      <w:r w:rsidRPr="009F06AF">
        <w:rPr>
          <w:rFonts w:cstheme="minorHAnsi"/>
          <w:color w:val="231F20"/>
          <w:w w:val="105"/>
        </w:rPr>
        <w:t>the</w:t>
      </w:r>
      <w:r w:rsidRPr="00C50CA2">
        <w:rPr>
          <w:rFonts w:cstheme="minorHAnsi"/>
          <w:color w:val="231F20"/>
          <w:w w:val="105"/>
        </w:rPr>
        <w:t xml:space="preserve"> </w:t>
      </w:r>
      <w:r w:rsidRPr="009F06AF">
        <w:rPr>
          <w:rFonts w:cstheme="minorHAnsi"/>
          <w:color w:val="231F20"/>
          <w:w w:val="105"/>
        </w:rPr>
        <w:t>unique</w:t>
      </w:r>
      <w:r w:rsidRPr="00C50CA2">
        <w:rPr>
          <w:rFonts w:cstheme="minorHAnsi"/>
          <w:color w:val="231F20"/>
          <w:w w:val="105"/>
        </w:rPr>
        <w:t xml:space="preserve"> </w:t>
      </w:r>
      <w:r w:rsidRPr="009F06AF">
        <w:rPr>
          <w:rFonts w:cstheme="minorHAnsi"/>
          <w:color w:val="231F20"/>
          <w:w w:val="105"/>
        </w:rPr>
        <w:t>opportunity</w:t>
      </w:r>
      <w:r w:rsidRPr="00C50CA2">
        <w:rPr>
          <w:rFonts w:cstheme="minorHAnsi"/>
          <w:color w:val="231F20"/>
          <w:w w:val="105"/>
        </w:rPr>
        <w:t xml:space="preserve"> </w:t>
      </w:r>
      <w:r w:rsidR="00047324" w:rsidRPr="009F06AF">
        <w:rPr>
          <w:rFonts w:cstheme="minorHAnsi"/>
          <w:color w:val="231F20"/>
          <w:w w:val="105"/>
        </w:rPr>
        <w:t xml:space="preserve">to train </w:t>
      </w:r>
      <w:r w:rsidRPr="009F06AF">
        <w:rPr>
          <w:rFonts w:cstheme="minorHAnsi"/>
          <w:color w:val="231F20"/>
          <w:w w:val="105"/>
        </w:rPr>
        <w:t>potential</w:t>
      </w:r>
      <w:r w:rsidRPr="00C50CA2">
        <w:rPr>
          <w:rFonts w:cstheme="minorHAnsi"/>
          <w:color w:val="231F20"/>
          <w:w w:val="105"/>
        </w:rPr>
        <w:t xml:space="preserve"> </w:t>
      </w:r>
      <w:r w:rsidRPr="009F06AF">
        <w:rPr>
          <w:rFonts w:cstheme="minorHAnsi"/>
          <w:color w:val="231F20"/>
          <w:w w:val="105"/>
        </w:rPr>
        <w:t>candidates</w:t>
      </w:r>
      <w:r w:rsidRPr="00C50CA2">
        <w:rPr>
          <w:rFonts w:cstheme="minorHAnsi"/>
          <w:color w:val="231F20"/>
          <w:w w:val="105"/>
        </w:rPr>
        <w:t xml:space="preserve"> </w:t>
      </w:r>
      <w:r w:rsidRPr="009F06AF">
        <w:rPr>
          <w:rFonts w:cstheme="minorHAnsi"/>
          <w:color w:val="231F20"/>
          <w:w w:val="105"/>
        </w:rPr>
        <w:t>the</w:t>
      </w:r>
      <w:r w:rsidRPr="00C50CA2">
        <w:rPr>
          <w:rFonts w:cstheme="minorHAnsi"/>
          <w:color w:val="231F20"/>
          <w:w w:val="105"/>
        </w:rPr>
        <w:t xml:space="preserve"> </w:t>
      </w:r>
      <w:r w:rsidRPr="009F06AF">
        <w:rPr>
          <w:rFonts w:cstheme="minorHAnsi"/>
          <w:color w:val="231F20"/>
          <w:w w:val="105"/>
        </w:rPr>
        <w:t>correct</w:t>
      </w:r>
      <w:r w:rsidRPr="00C50CA2">
        <w:rPr>
          <w:rFonts w:cstheme="minorHAnsi"/>
          <w:color w:val="231F20"/>
          <w:w w:val="105"/>
        </w:rPr>
        <w:t xml:space="preserve"> </w:t>
      </w:r>
      <w:r w:rsidRPr="009F06AF">
        <w:rPr>
          <w:rFonts w:cstheme="minorHAnsi"/>
          <w:color w:val="231F20"/>
          <w:w w:val="105"/>
        </w:rPr>
        <w:t>and</w:t>
      </w:r>
      <w:r w:rsidRPr="00C50CA2">
        <w:rPr>
          <w:rFonts w:cstheme="minorHAnsi"/>
          <w:color w:val="231F20"/>
          <w:w w:val="105"/>
        </w:rPr>
        <w:t xml:space="preserve"> </w:t>
      </w:r>
      <w:r w:rsidRPr="009F06AF">
        <w:rPr>
          <w:rFonts w:cstheme="minorHAnsi"/>
          <w:color w:val="231F20"/>
          <w:w w:val="105"/>
        </w:rPr>
        <w:t>most</w:t>
      </w:r>
      <w:r w:rsidRPr="00C50CA2">
        <w:rPr>
          <w:rFonts w:cstheme="minorHAnsi"/>
          <w:color w:val="231F20"/>
          <w:w w:val="105"/>
        </w:rPr>
        <w:t xml:space="preserve"> </w:t>
      </w:r>
      <w:r w:rsidRPr="009F06AF">
        <w:rPr>
          <w:rFonts w:cstheme="minorHAnsi"/>
          <w:color w:val="231F20"/>
          <w:w w:val="105"/>
        </w:rPr>
        <w:t>efficient</w:t>
      </w:r>
      <w:r w:rsidRPr="00C50CA2">
        <w:rPr>
          <w:rFonts w:cstheme="minorHAnsi"/>
          <w:color w:val="231F20"/>
          <w:w w:val="105"/>
        </w:rPr>
        <w:t xml:space="preserve"> </w:t>
      </w:r>
      <w:r w:rsidRPr="009F06AF">
        <w:rPr>
          <w:rFonts w:cstheme="minorHAnsi"/>
          <w:color w:val="231F20"/>
          <w:w w:val="105"/>
        </w:rPr>
        <w:t>way</w:t>
      </w:r>
      <w:r w:rsidRPr="00C50CA2">
        <w:rPr>
          <w:rFonts w:cstheme="minorHAnsi"/>
          <w:color w:val="231F20"/>
          <w:w w:val="105"/>
        </w:rPr>
        <w:t xml:space="preserve"> </w:t>
      </w:r>
      <w:r w:rsidRPr="009F06AF">
        <w:rPr>
          <w:rFonts w:cstheme="minorHAnsi"/>
          <w:color w:val="231F20"/>
          <w:w w:val="105"/>
        </w:rPr>
        <w:t>to</w:t>
      </w:r>
      <w:r w:rsidRPr="00C50CA2">
        <w:rPr>
          <w:rFonts w:cstheme="minorHAnsi"/>
          <w:color w:val="231F20"/>
          <w:w w:val="105"/>
        </w:rPr>
        <w:t xml:space="preserve"> </w:t>
      </w:r>
      <w:r w:rsidRPr="009F06AF">
        <w:rPr>
          <w:rFonts w:cstheme="minorHAnsi"/>
          <w:color w:val="231F20"/>
          <w:w w:val="105"/>
        </w:rPr>
        <w:t>perform</w:t>
      </w:r>
      <w:r w:rsidRPr="00C50CA2">
        <w:rPr>
          <w:rFonts w:cstheme="minorHAnsi"/>
          <w:color w:val="231F20"/>
          <w:w w:val="105"/>
        </w:rPr>
        <w:t xml:space="preserve"> </w:t>
      </w:r>
      <w:r w:rsidRPr="009F06AF">
        <w:rPr>
          <w:rFonts w:cstheme="minorHAnsi"/>
          <w:color w:val="231F20"/>
          <w:w w:val="105"/>
        </w:rPr>
        <w:t>tasks</w:t>
      </w:r>
      <w:r w:rsidRPr="00C50CA2">
        <w:rPr>
          <w:rFonts w:cstheme="minorHAnsi"/>
          <w:color w:val="231F20"/>
          <w:w w:val="105"/>
        </w:rPr>
        <w:t xml:space="preserve"> </w:t>
      </w:r>
      <w:r w:rsidRPr="009F06AF">
        <w:rPr>
          <w:rFonts w:cstheme="minorHAnsi"/>
          <w:color w:val="231F20"/>
          <w:w w:val="105"/>
        </w:rPr>
        <w:t>for</w:t>
      </w:r>
      <w:r w:rsidRPr="00C50CA2">
        <w:rPr>
          <w:rFonts w:cstheme="minorHAnsi"/>
          <w:color w:val="231F20"/>
          <w:w w:val="105"/>
        </w:rPr>
        <w:t xml:space="preserve"> </w:t>
      </w:r>
      <w:r w:rsidRPr="009F06AF">
        <w:rPr>
          <w:rFonts w:cstheme="minorHAnsi"/>
          <w:color w:val="231F20"/>
          <w:w w:val="105"/>
        </w:rPr>
        <w:t>their</w:t>
      </w:r>
      <w:r w:rsidRPr="00C50CA2">
        <w:rPr>
          <w:rFonts w:cstheme="minorHAnsi"/>
          <w:color w:val="231F20"/>
          <w:w w:val="105"/>
        </w:rPr>
        <w:t xml:space="preserve"> </w:t>
      </w:r>
      <w:r w:rsidRPr="009F06AF">
        <w:rPr>
          <w:rFonts w:cstheme="minorHAnsi"/>
          <w:color w:val="231F20"/>
          <w:w w:val="105"/>
        </w:rPr>
        <w:t>company,</w:t>
      </w:r>
      <w:r w:rsidRPr="00C50CA2">
        <w:rPr>
          <w:rFonts w:cstheme="minorHAnsi"/>
          <w:color w:val="231F20"/>
          <w:w w:val="105"/>
        </w:rPr>
        <w:t xml:space="preserve"> </w:t>
      </w:r>
      <w:r w:rsidRPr="009F06AF">
        <w:rPr>
          <w:rFonts w:cstheme="minorHAnsi"/>
          <w:color w:val="231F20"/>
          <w:w w:val="105"/>
        </w:rPr>
        <w:t>at</w:t>
      </w:r>
      <w:r w:rsidRPr="00C50CA2">
        <w:rPr>
          <w:rFonts w:cstheme="minorHAnsi"/>
          <w:color w:val="231F20"/>
          <w:w w:val="105"/>
        </w:rPr>
        <w:t xml:space="preserve"> </w:t>
      </w:r>
      <w:r w:rsidRPr="009F06AF">
        <w:rPr>
          <w:rFonts w:cstheme="minorHAnsi"/>
          <w:color w:val="231F20"/>
          <w:w w:val="105"/>
        </w:rPr>
        <w:t>a</w:t>
      </w:r>
      <w:r w:rsidRPr="00C50CA2">
        <w:rPr>
          <w:rFonts w:cstheme="minorHAnsi"/>
          <w:color w:val="231F20"/>
          <w:w w:val="105"/>
        </w:rPr>
        <w:t xml:space="preserve"> </w:t>
      </w:r>
      <w:r w:rsidRPr="009F06AF">
        <w:rPr>
          <w:rFonts w:cstheme="minorHAnsi"/>
          <w:color w:val="231F20"/>
          <w:w w:val="105"/>
        </w:rPr>
        <w:t>subsidized</w:t>
      </w:r>
      <w:r w:rsidRPr="00C50CA2">
        <w:rPr>
          <w:rFonts w:cstheme="minorHAnsi"/>
          <w:color w:val="231F20"/>
          <w:w w:val="105"/>
        </w:rPr>
        <w:t xml:space="preserve"> </w:t>
      </w:r>
      <w:r w:rsidRPr="009F06AF">
        <w:rPr>
          <w:rFonts w:cstheme="minorHAnsi"/>
          <w:color w:val="231F20"/>
          <w:w w:val="105"/>
        </w:rPr>
        <w:t>cost.</w:t>
      </w:r>
      <w:r w:rsidRPr="00C50CA2">
        <w:rPr>
          <w:rFonts w:cstheme="minorHAnsi"/>
          <w:color w:val="231F20"/>
          <w:w w:val="105"/>
        </w:rPr>
        <w:t xml:space="preserve"> </w:t>
      </w:r>
      <w:r w:rsidR="00047324" w:rsidRPr="009F06AF">
        <w:rPr>
          <w:rFonts w:cstheme="minorHAnsi"/>
          <w:color w:val="231F20"/>
          <w:w w:val="105"/>
        </w:rPr>
        <w:t xml:space="preserve">Participants </w:t>
      </w:r>
      <w:r w:rsidRPr="009F06AF">
        <w:rPr>
          <w:rFonts w:cstheme="minorHAnsi"/>
          <w:color w:val="231F20"/>
          <w:w w:val="105"/>
        </w:rPr>
        <w:t xml:space="preserve">receive direct training and experience </w:t>
      </w:r>
      <w:r w:rsidR="00047324" w:rsidRPr="009F06AF">
        <w:rPr>
          <w:rFonts w:cstheme="minorHAnsi"/>
          <w:color w:val="231F20"/>
          <w:w w:val="105"/>
        </w:rPr>
        <w:t xml:space="preserve">which increase </w:t>
      </w:r>
      <w:r w:rsidRPr="009F06AF">
        <w:rPr>
          <w:rFonts w:cstheme="minorHAnsi"/>
          <w:color w:val="231F20"/>
          <w:w w:val="105"/>
        </w:rPr>
        <w:t>their</w:t>
      </w:r>
      <w:r w:rsidRPr="00C50CA2">
        <w:rPr>
          <w:rFonts w:cstheme="minorHAnsi"/>
          <w:color w:val="231F20"/>
          <w:w w:val="105"/>
        </w:rPr>
        <w:t xml:space="preserve"> </w:t>
      </w:r>
      <w:r w:rsidRPr="009F06AF">
        <w:rPr>
          <w:rFonts w:cstheme="minorHAnsi"/>
          <w:color w:val="231F20"/>
          <w:w w:val="105"/>
        </w:rPr>
        <w:t>skillset.</w:t>
      </w:r>
      <w:r w:rsidRPr="00C50CA2">
        <w:rPr>
          <w:rFonts w:cstheme="minorHAnsi"/>
          <w:color w:val="231F20"/>
          <w:w w:val="105"/>
        </w:rPr>
        <w:t xml:space="preserve"> </w:t>
      </w:r>
      <w:r w:rsidRPr="009F06AF">
        <w:rPr>
          <w:rFonts w:cstheme="minorHAnsi"/>
          <w:color w:val="231F20"/>
          <w:w w:val="105"/>
        </w:rPr>
        <w:t>Participants</w:t>
      </w:r>
      <w:r w:rsidRPr="00C50CA2">
        <w:rPr>
          <w:rFonts w:cstheme="minorHAnsi"/>
          <w:color w:val="231F20"/>
          <w:w w:val="105"/>
        </w:rPr>
        <w:t xml:space="preserve"> </w:t>
      </w:r>
      <w:r w:rsidRPr="009F06AF">
        <w:rPr>
          <w:rFonts w:cstheme="minorHAnsi"/>
          <w:color w:val="231F20"/>
          <w:w w:val="105"/>
        </w:rPr>
        <w:t>gain</w:t>
      </w:r>
      <w:r w:rsidRPr="00C50CA2">
        <w:rPr>
          <w:rFonts w:cstheme="minorHAnsi"/>
          <w:color w:val="231F20"/>
          <w:w w:val="105"/>
        </w:rPr>
        <w:t xml:space="preserve"> </w:t>
      </w:r>
      <w:r w:rsidRPr="009F06AF">
        <w:rPr>
          <w:rFonts w:cstheme="minorHAnsi"/>
          <w:color w:val="231F20"/>
          <w:w w:val="105"/>
        </w:rPr>
        <w:t>new</w:t>
      </w:r>
      <w:r w:rsidRPr="00C50CA2">
        <w:rPr>
          <w:rFonts w:cstheme="minorHAnsi"/>
          <w:color w:val="231F20"/>
          <w:w w:val="105"/>
        </w:rPr>
        <w:t xml:space="preserve"> </w:t>
      </w:r>
      <w:r w:rsidRPr="009F06AF">
        <w:rPr>
          <w:rFonts w:cstheme="minorHAnsi"/>
          <w:color w:val="231F20"/>
          <w:w w:val="105"/>
        </w:rPr>
        <w:t>skills</w:t>
      </w:r>
      <w:r w:rsidRPr="00C50CA2">
        <w:rPr>
          <w:rFonts w:cstheme="minorHAnsi"/>
          <w:color w:val="231F20"/>
          <w:w w:val="105"/>
        </w:rPr>
        <w:t xml:space="preserve"> </w:t>
      </w:r>
      <w:r w:rsidRPr="009F06AF">
        <w:rPr>
          <w:rFonts w:cstheme="minorHAnsi"/>
          <w:color w:val="231F20"/>
          <w:w w:val="105"/>
        </w:rPr>
        <w:t>to</w:t>
      </w:r>
      <w:r w:rsidRPr="00C50CA2">
        <w:rPr>
          <w:rFonts w:cstheme="minorHAnsi"/>
          <w:color w:val="231F20"/>
          <w:w w:val="105"/>
        </w:rPr>
        <w:t xml:space="preserve"> </w:t>
      </w:r>
      <w:r w:rsidRPr="009F06AF">
        <w:rPr>
          <w:rFonts w:cstheme="minorHAnsi"/>
          <w:color w:val="231F20"/>
          <w:w w:val="105"/>
        </w:rPr>
        <w:t>meet</w:t>
      </w:r>
      <w:r w:rsidRPr="00C50CA2">
        <w:rPr>
          <w:rFonts w:cstheme="minorHAnsi"/>
          <w:color w:val="231F20"/>
          <w:w w:val="105"/>
        </w:rPr>
        <w:t xml:space="preserve"> </w:t>
      </w:r>
      <w:r w:rsidRPr="009F06AF">
        <w:rPr>
          <w:rFonts w:cstheme="minorHAnsi"/>
          <w:color w:val="231F20"/>
          <w:w w:val="105"/>
        </w:rPr>
        <w:t>the</w:t>
      </w:r>
      <w:r w:rsidRPr="00C50CA2">
        <w:rPr>
          <w:rFonts w:cstheme="minorHAnsi"/>
          <w:color w:val="231F20"/>
          <w:w w:val="105"/>
        </w:rPr>
        <w:t xml:space="preserve"> </w:t>
      </w:r>
      <w:r w:rsidRPr="009F06AF">
        <w:rPr>
          <w:rFonts w:cstheme="minorHAnsi"/>
          <w:color w:val="231F20"/>
          <w:w w:val="105"/>
        </w:rPr>
        <w:t>requirements</w:t>
      </w:r>
      <w:r w:rsidRPr="00C50CA2">
        <w:rPr>
          <w:rFonts w:cstheme="minorHAnsi"/>
          <w:color w:val="231F20"/>
          <w:w w:val="105"/>
        </w:rPr>
        <w:t xml:space="preserve"> </w:t>
      </w:r>
      <w:r w:rsidRPr="009F06AF">
        <w:rPr>
          <w:rFonts w:cstheme="minorHAnsi"/>
          <w:color w:val="231F20"/>
          <w:w w:val="105"/>
        </w:rPr>
        <w:t>of</w:t>
      </w:r>
      <w:r w:rsidRPr="00C50CA2">
        <w:rPr>
          <w:rFonts w:cstheme="minorHAnsi"/>
          <w:color w:val="231F20"/>
          <w:w w:val="105"/>
        </w:rPr>
        <w:t xml:space="preserve"> </w:t>
      </w:r>
      <w:r w:rsidRPr="009F06AF">
        <w:rPr>
          <w:rFonts w:cstheme="minorHAnsi"/>
          <w:color w:val="231F20"/>
          <w:w w:val="105"/>
        </w:rPr>
        <w:t>a</w:t>
      </w:r>
      <w:r w:rsidRPr="00C50CA2">
        <w:rPr>
          <w:rFonts w:cstheme="minorHAnsi"/>
          <w:color w:val="231F20"/>
          <w:w w:val="105"/>
        </w:rPr>
        <w:t xml:space="preserve"> </w:t>
      </w:r>
      <w:r w:rsidRPr="009F06AF">
        <w:rPr>
          <w:rFonts w:cstheme="minorHAnsi"/>
          <w:color w:val="231F20"/>
          <w:w w:val="105"/>
        </w:rPr>
        <w:t>new</w:t>
      </w:r>
      <w:r w:rsidRPr="00C50CA2">
        <w:rPr>
          <w:rFonts w:cstheme="minorHAnsi"/>
          <w:color w:val="231F20"/>
          <w:w w:val="105"/>
        </w:rPr>
        <w:t xml:space="preserve"> </w:t>
      </w:r>
      <w:r w:rsidRPr="009F06AF">
        <w:rPr>
          <w:rFonts w:cstheme="minorHAnsi"/>
          <w:color w:val="231F20"/>
          <w:w w:val="105"/>
        </w:rPr>
        <w:t>occupation</w:t>
      </w:r>
      <w:r w:rsidRPr="00C50CA2">
        <w:rPr>
          <w:rFonts w:cstheme="minorHAnsi"/>
          <w:color w:val="231F20"/>
          <w:w w:val="105"/>
        </w:rPr>
        <w:t xml:space="preserve"> </w:t>
      </w:r>
      <w:r w:rsidRPr="009F06AF">
        <w:rPr>
          <w:rFonts w:cstheme="minorHAnsi"/>
          <w:color w:val="231F20"/>
          <w:w w:val="105"/>
        </w:rPr>
        <w:t>or</w:t>
      </w:r>
      <w:r w:rsidRPr="00C50CA2">
        <w:rPr>
          <w:rFonts w:cstheme="minorHAnsi"/>
          <w:color w:val="231F20"/>
          <w:w w:val="105"/>
        </w:rPr>
        <w:t xml:space="preserve"> </w:t>
      </w:r>
      <w:r w:rsidRPr="009F06AF">
        <w:rPr>
          <w:rFonts w:cstheme="minorHAnsi"/>
          <w:color w:val="231F20"/>
          <w:w w:val="105"/>
        </w:rPr>
        <w:t>industry</w:t>
      </w:r>
      <w:r w:rsidRPr="00C50CA2">
        <w:rPr>
          <w:rFonts w:cstheme="minorHAnsi"/>
          <w:color w:val="231F20"/>
          <w:w w:val="105"/>
        </w:rPr>
        <w:t xml:space="preserve"> </w:t>
      </w:r>
      <w:r w:rsidR="00047324" w:rsidRPr="009F06AF">
        <w:rPr>
          <w:rFonts w:cstheme="minorHAnsi"/>
          <w:color w:val="231F20"/>
          <w:w w:val="105"/>
        </w:rPr>
        <w:t xml:space="preserve">becoming </w:t>
      </w:r>
      <w:r w:rsidRPr="009F06AF">
        <w:rPr>
          <w:rFonts w:cstheme="minorHAnsi"/>
          <w:color w:val="231F20"/>
          <w:w w:val="105"/>
        </w:rPr>
        <w:t>better</w:t>
      </w:r>
      <w:r w:rsidRPr="00C50CA2">
        <w:rPr>
          <w:rFonts w:cstheme="minorHAnsi"/>
          <w:color w:val="231F20"/>
          <w:w w:val="105"/>
        </w:rPr>
        <w:t xml:space="preserve"> </w:t>
      </w:r>
      <w:r w:rsidRPr="009F06AF">
        <w:rPr>
          <w:rFonts w:cstheme="minorHAnsi"/>
          <w:color w:val="231F20"/>
          <w:w w:val="105"/>
        </w:rPr>
        <w:t>equipped</w:t>
      </w:r>
      <w:r w:rsidRPr="00C50CA2">
        <w:rPr>
          <w:rFonts w:cstheme="minorHAnsi"/>
          <w:color w:val="231F20"/>
          <w:w w:val="105"/>
        </w:rPr>
        <w:t xml:space="preserve"> </w:t>
      </w:r>
      <w:r w:rsidRPr="009F06AF">
        <w:rPr>
          <w:rFonts w:cstheme="minorHAnsi"/>
          <w:color w:val="231F20"/>
          <w:w w:val="105"/>
        </w:rPr>
        <w:t>to</w:t>
      </w:r>
      <w:r w:rsidRPr="00C50CA2">
        <w:rPr>
          <w:rFonts w:cstheme="minorHAnsi"/>
          <w:color w:val="231F20"/>
          <w:w w:val="105"/>
        </w:rPr>
        <w:t xml:space="preserve"> </w:t>
      </w:r>
      <w:r w:rsidRPr="009F06AF">
        <w:rPr>
          <w:rFonts w:cstheme="minorHAnsi"/>
          <w:color w:val="231F20"/>
          <w:w w:val="105"/>
        </w:rPr>
        <w:t>compete</w:t>
      </w:r>
      <w:r w:rsidRPr="00C50CA2">
        <w:rPr>
          <w:rFonts w:cstheme="minorHAnsi"/>
          <w:color w:val="231F20"/>
          <w:w w:val="105"/>
        </w:rPr>
        <w:t xml:space="preserve"> </w:t>
      </w:r>
      <w:r w:rsidRPr="009F06AF">
        <w:rPr>
          <w:rFonts w:cstheme="minorHAnsi"/>
          <w:color w:val="231F20"/>
          <w:w w:val="105"/>
        </w:rPr>
        <w:t>for</w:t>
      </w:r>
      <w:r w:rsidRPr="00C50CA2">
        <w:rPr>
          <w:rFonts w:cstheme="minorHAnsi"/>
          <w:color w:val="231F20"/>
          <w:w w:val="105"/>
        </w:rPr>
        <w:t xml:space="preserve"> </w:t>
      </w:r>
      <w:r w:rsidRPr="009F06AF">
        <w:rPr>
          <w:rFonts w:cstheme="minorHAnsi"/>
          <w:color w:val="231F20"/>
          <w:w w:val="105"/>
        </w:rPr>
        <w:t>available</w:t>
      </w:r>
      <w:r w:rsidRPr="00C50CA2">
        <w:rPr>
          <w:rFonts w:cstheme="minorHAnsi"/>
          <w:color w:val="231F20"/>
          <w:w w:val="105"/>
        </w:rPr>
        <w:t xml:space="preserve"> </w:t>
      </w:r>
      <w:r w:rsidRPr="009F06AF">
        <w:rPr>
          <w:rFonts w:cstheme="minorHAnsi"/>
          <w:color w:val="231F20"/>
          <w:w w:val="105"/>
        </w:rPr>
        <w:t>jobs.</w:t>
      </w:r>
      <w:r w:rsidRPr="00C50CA2">
        <w:rPr>
          <w:rFonts w:cstheme="minorHAnsi"/>
          <w:color w:val="231F20"/>
          <w:w w:val="105"/>
        </w:rPr>
        <w:t xml:space="preserve"> </w:t>
      </w:r>
      <w:r w:rsidRPr="009F06AF">
        <w:rPr>
          <w:rFonts w:cstheme="minorHAnsi"/>
          <w:color w:val="231F20"/>
          <w:w w:val="105"/>
        </w:rPr>
        <w:t>All</w:t>
      </w:r>
      <w:r w:rsidRPr="00C50CA2">
        <w:rPr>
          <w:rFonts w:cstheme="minorHAnsi"/>
          <w:color w:val="231F20"/>
          <w:w w:val="105"/>
        </w:rPr>
        <w:t xml:space="preserve"> </w:t>
      </w:r>
      <w:r w:rsidRPr="009F06AF">
        <w:rPr>
          <w:rFonts w:cstheme="minorHAnsi"/>
          <w:color w:val="231F20"/>
          <w:w w:val="105"/>
        </w:rPr>
        <w:t>OJT</w:t>
      </w:r>
      <w:r w:rsidRPr="00C50CA2">
        <w:rPr>
          <w:rFonts w:cstheme="minorHAnsi"/>
          <w:color w:val="231F20"/>
          <w:w w:val="105"/>
        </w:rPr>
        <w:t xml:space="preserve"> </w:t>
      </w:r>
      <w:r w:rsidRPr="009F06AF">
        <w:rPr>
          <w:rFonts w:cstheme="minorHAnsi"/>
          <w:color w:val="231F20"/>
          <w:w w:val="105"/>
        </w:rPr>
        <w:t>experiences</w:t>
      </w:r>
      <w:r w:rsidRPr="00C50CA2">
        <w:rPr>
          <w:rFonts w:cstheme="minorHAnsi"/>
          <w:color w:val="231F20"/>
          <w:w w:val="105"/>
        </w:rPr>
        <w:t xml:space="preserve"> </w:t>
      </w:r>
      <w:r w:rsidRPr="009F06AF">
        <w:rPr>
          <w:rFonts w:cstheme="minorHAnsi"/>
          <w:color w:val="231F20"/>
          <w:w w:val="105"/>
        </w:rPr>
        <w:t>are</w:t>
      </w:r>
      <w:r w:rsidRPr="00C50CA2">
        <w:rPr>
          <w:rFonts w:cstheme="minorHAnsi"/>
          <w:color w:val="231F20"/>
          <w:w w:val="105"/>
        </w:rPr>
        <w:t xml:space="preserve"> </w:t>
      </w:r>
      <w:r w:rsidRPr="009F06AF">
        <w:rPr>
          <w:rFonts w:cstheme="minorHAnsi"/>
          <w:color w:val="231F20"/>
          <w:w w:val="105"/>
        </w:rPr>
        <w:t>provided</w:t>
      </w:r>
      <w:r w:rsidRPr="00C50CA2">
        <w:rPr>
          <w:rFonts w:cstheme="minorHAnsi"/>
          <w:color w:val="231F20"/>
          <w:w w:val="105"/>
        </w:rPr>
        <w:t xml:space="preserve"> </w:t>
      </w:r>
      <w:r w:rsidRPr="009F06AF">
        <w:rPr>
          <w:rFonts w:cstheme="minorHAnsi"/>
          <w:color w:val="231F20"/>
          <w:w w:val="105"/>
        </w:rPr>
        <w:t>through</w:t>
      </w:r>
      <w:r w:rsidRPr="00C50CA2">
        <w:rPr>
          <w:rFonts w:cstheme="minorHAnsi"/>
          <w:color w:val="231F20"/>
          <w:w w:val="105"/>
        </w:rPr>
        <w:t xml:space="preserve"> </w:t>
      </w:r>
      <w:r w:rsidRPr="009F06AF">
        <w:rPr>
          <w:rFonts w:cstheme="minorHAnsi"/>
          <w:color w:val="231F20"/>
          <w:w w:val="105"/>
        </w:rPr>
        <w:t>contracts</w:t>
      </w:r>
      <w:r w:rsidRPr="00C50CA2">
        <w:rPr>
          <w:rFonts w:cstheme="minorHAnsi"/>
          <w:color w:val="231F20"/>
          <w:w w:val="105"/>
        </w:rPr>
        <w:t xml:space="preserve"> </w:t>
      </w:r>
      <w:r w:rsidRPr="009F06AF">
        <w:rPr>
          <w:rFonts w:cstheme="minorHAnsi"/>
          <w:color w:val="231F20"/>
          <w:w w:val="105"/>
        </w:rPr>
        <w:t xml:space="preserve">between local employers and the </w:t>
      </w:r>
      <w:r w:rsidRPr="00C50CA2">
        <w:rPr>
          <w:rFonts w:cstheme="minorHAnsi"/>
          <w:color w:val="231F20"/>
          <w:w w:val="105"/>
        </w:rPr>
        <w:t>LWDB.</w:t>
      </w:r>
    </w:p>
    <w:bookmarkEnd w:id="105"/>
    <w:p w14:paraId="345E5B02" w14:textId="77777777" w:rsidR="00EA7458" w:rsidRPr="009F06AF" w:rsidRDefault="00EA7458" w:rsidP="00D63204">
      <w:pPr>
        <w:widowControl w:val="0"/>
        <w:spacing w:after="0" w:line="240" w:lineRule="auto"/>
        <w:ind w:left="107"/>
        <w:rPr>
          <w:rFonts w:cstheme="minorHAnsi"/>
        </w:rPr>
      </w:pPr>
    </w:p>
    <w:p w14:paraId="22D62E4D" w14:textId="77777777" w:rsidR="00EA7458" w:rsidRPr="009F06AF" w:rsidRDefault="00EA7458" w:rsidP="00D63204">
      <w:pPr>
        <w:widowControl w:val="0"/>
        <w:spacing w:before="197" w:after="0" w:line="266" w:lineRule="exact"/>
        <w:ind w:left="107"/>
        <w:outlineLvl w:val="2"/>
        <w:rPr>
          <w:rFonts w:cstheme="minorHAnsi"/>
        </w:rPr>
      </w:pPr>
      <w:r w:rsidRPr="009F06AF">
        <w:rPr>
          <w:rFonts w:cstheme="minorHAnsi"/>
          <w:b/>
          <w:bCs/>
          <w:color w:val="231F20"/>
          <w:w w:val="110"/>
        </w:rPr>
        <w:t>Customized</w:t>
      </w:r>
      <w:r w:rsidRPr="009F06AF">
        <w:rPr>
          <w:rFonts w:cstheme="minorHAnsi"/>
          <w:b/>
          <w:bCs/>
          <w:color w:val="231F20"/>
          <w:spacing w:val="-1"/>
          <w:w w:val="110"/>
        </w:rPr>
        <w:t xml:space="preserve"> </w:t>
      </w:r>
      <w:r w:rsidRPr="009F06AF">
        <w:rPr>
          <w:rFonts w:cstheme="minorHAnsi"/>
          <w:b/>
          <w:bCs/>
          <w:color w:val="231F20"/>
          <w:w w:val="110"/>
        </w:rPr>
        <w:t>Training</w:t>
      </w:r>
    </w:p>
    <w:p w14:paraId="0DBAF9E5" w14:textId="5BD7C04F" w:rsidR="00EA7458" w:rsidRPr="009F06AF" w:rsidRDefault="00EA7458" w:rsidP="00D63204">
      <w:pPr>
        <w:widowControl w:val="0"/>
        <w:spacing w:before="2" w:after="0" w:line="235" w:lineRule="auto"/>
        <w:ind w:left="107"/>
        <w:rPr>
          <w:rFonts w:cstheme="minorHAnsi"/>
        </w:rPr>
      </w:pPr>
      <w:r w:rsidRPr="009F06AF">
        <w:rPr>
          <w:rFonts w:cstheme="minorHAnsi"/>
          <w:color w:val="231F20"/>
          <w:w w:val="105"/>
        </w:rPr>
        <w:t xml:space="preserve">Customized training is designed to meet the specialized skill needs or requirements of </w:t>
      </w:r>
      <w:r w:rsidR="00F507F7" w:rsidRPr="009F06AF">
        <w:rPr>
          <w:rFonts w:cstheme="minorHAnsi"/>
          <w:color w:val="231F20"/>
          <w:w w:val="105"/>
        </w:rPr>
        <w:t xml:space="preserve">one or more </w:t>
      </w:r>
      <w:r w:rsidRPr="009F06AF">
        <w:rPr>
          <w:rFonts w:cstheme="minorHAnsi"/>
          <w:color w:val="231F20"/>
          <w:w w:val="105"/>
        </w:rPr>
        <w:t>employers.</w:t>
      </w:r>
      <w:r w:rsidRPr="009F06AF">
        <w:rPr>
          <w:rFonts w:cstheme="minorHAnsi"/>
          <w:color w:val="231F20"/>
          <w:spacing w:val="21"/>
          <w:w w:val="105"/>
        </w:rPr>
        <w:t xml:space="preserve"> </w:t>
      </w:r>
      <w:r w:rsidRPr="009F06AF">
        <w:rPr>
          <w:rFonts w:cstheme="minorHAnsi"/>
          <w:color w:val="231F20"/>
          <w:w w:val="105"/>
        </w:rPr>
        <w:t>Customized</w:t>
      </w:r>
      <w:r w:rsidRPr="009F06AF">
        <w:rPr>
          <w:rFonts w:cstheme="minorHAnsi"/>
          <w:color w:val="231F20"/>
          <w:spacing w:val="10"/>
          <w:w w:val="105"/>
        </w:rPr>
        <w:t xml:space="preserve"> </w:t>
      </w:r>
      <w:r w:rsidRPr="009F06AF">
        <w:rPr>
          <w:rFonts w:cstheme="minorHAnsi"/>
          <w:color w:val="231F20"/>
          <w:w w:val="105"/>
        </w:rPr>
        <w:t>training</w:t>
      </w:r>
      <w:r w:rsidRPr="009F06AF">
        <w:rPr>
          <w:rFonts w:cstheme="minorHAnsi"/>
          <w:color w:val="231F20"/>
          <w:spacing w:val="10"/>
          <w:w w:val="105"/>
        </w:rPr>
        <w:t xml:space="preserve"> </w:t>
      </w:r>
      <w:r w:rsidRPr="009F06AF">
        <w:rPr>
          <w:rFonts w:cstheme="minorHAnsi"/>
          <w:color w:val="231F20"/>
          <w:w w:val="105"/>
        </w:rPr>
        <w:t>is</w:t>
      </w:r>
      <w:r w:rsidRPr="009F06AF">
        <w:rPr>
          <w:rFonts w:cstheme="minorHAnsi"/>
          <w:color w:val="231F20"/>
          <w:spacing w:val="10"/>
          <w:w w:val="105"/>
        </w:rPr>
        <w:t xml:space="preserve"> </w:t>
      </w:r>
      <w:r w:rsidRPr="009F06AF">
        <w:rPr>
          <w:rFonts w:cstheme="minorHAnsi"/>
          <w:color w:val="231F20"/>
          <w:w w:val="105"/>
        </w:rPr>
        <w:t>conducted</w:t>
      </w:r>
      <w:r w:rsidRPr="009F06AF">
        <w:rPr>
          <w:rFonts w:cstheme="minorHAnsi"/>
          <w:color w:val="231F20"/>
          <w:spacing w:val="10"/>
          <w:w w:val="105"/>
        </w:rPr>
        <w:t xml:space="preserve"> </w:t>
      </w:r>
      <w:r w:rsidR="00F507F7" w:rsidRPr="009F06AF">
        <w:rPr>
          <w:rFonts w:cstheme="minorHAnsi"/>
          <w:color w:val="231F20"/>
          <w:w w:val="105"/>
        </w:rPr>
        <w:t xml:space="preserve">through </w:t>
      </w:r>
      <w:r w:rsidRPr="009F06AF">
        <w:rPr>
          <w:rFonts w:cstheme="minorHAnsi"/>
          <w:color w:val="231F20"/>
          <w:w w:val="105"/>
        </w:rPr>
        <w:t>a</w:t>
      </w:r>
      <w:r w:rsidRPr="009F06AF">
        <w:rPr>
          <w:rFonts w:cstheme="minorHAnsi"/>
          <w:color w:val="231F20"/>
          <w:spacing w:val="10"/>
          <w:w w:val="105"/>
        </w:rPr>
        <w:t xml:space="preserve"> </w:t>
      </w:r>
      <w:r w:rsidRPr="009F06AF">
        <w:rPr>
          <w:rFonts w:cstheme="minorHAnsi"/>
          <w:color w:val="231F20"/>
          <w:w w:val="105"/>
        </w:rPr>
        <w:t>commitment</w:t>
      </w:r>
      <w:r w:rsidRPr="009F06AF">
        <w:rPr>
          <w:rFonts w:cstheme="minorHAnsi"/>
          <w:color w:val="231F20"/>
          <w:spacing w:val="10"/>
          <w:w w:val="105"/>
        </w:rPr>
        <w:t xml:space="preserve"> </w:t>
      </w:r>
      <w:r w:rsidRPr="009F06AF">
        <w:rPr>
          <w:rFonts w:cstheme="minorHAnsi"/>
          <w:color w:val="231F20"/>
          <w:w w:val="105"/>
        </w:rPr>
        <w:t>by</w:t>
      </w:r>
      <w:r w:rsidRPr="009F06AF">
        <w:rPr>
          <w:rFonts w:cstheme="minorHAnsi"/>
          <w:color w:val="231F20"/>
          <w:spacing w:val="10"/>
          <w:w w:val="105"/>
        </w:rPr>
        <w:t xml:space="preserve"> </w:t>
      </w:r>
      <w:r w:rsidRPr="009F06AF">
        <w:rPr>
          <w:rFonts w:cstheme="minorHAnsi"/>
          <w:color w:val="231F20"/>
          <w:w w:val="105"/>
        </w:rPr>
        <w:t>the</w:t>
      </w:r>
      <w:r w:rsidRPr="009F06AF">
        <w:rPr>
          <w:rFonts w:cstheme="minorHAnsi"/>
          <w:color w:val="231F20"/>
          <w:spacing w:val="10"/>
          <w:w w:val="105"/>
        </w:rPr>
        <w:t xml:space="preserve"> </w:t>
      </w:r>
      <w:r w:rsidRPr="009F06AF">
        <w:rPr>
          <w:rFonts w:cstheme="minorHAnsi"/>
          <w:color w:val="231F20"/>
          <w:w w:val="105"/>
        </w:rPr>
        <w:t>employer</w:t>
      </w:r>
      <w:r w:rsidRPr="009F06AF">
        <w:rPr>
          <w:rFonts w:cstheme="minorHAnsi"/>
          <w:color w:val="231F20"/>
          <w:spacing w:val="-48"/>
          <w:w w:val="105"/>
        </w:rPr>
        <w:t xml:space="preserve"> </w:t>
      </w:r>
      <w:r w:rsidRPr="009F06AF">
        <w:rPr>
          <w:rFonts w:cstheme="minorHAnsi"/>
          <w:color w:val="231F20"/>
          <w:w w:val="105"/>
        </w:rPr>
        <w:t>to</w:t>
      </w:r>
      <w:r w:rsidRPr="009F06AF">
        <w:rPr>
          <w:rFonts w:cstheme="minorHAnsi"/>
          <w:color w:val="231F20"/>
          <w:spacing w:val="7"/>
          <w:w w:val="105"/>
        </w:rPr>
        <w:t xml:space="preserve"> </w:t>
      </w:r>
      <w:r w:rsidRPr="009F06AF">
        <w:rPr>
          <w:rFonts w:cstheme="minorHAnsi"/>
          <w:color w:val="231F20"/>
          <w:w w:val="105"/>
        </w:rPr>
        <w:t>retain</w:t>
      </w:r>
      <w:r w:rsidRPr="009F06AF">
        <w:rPr>
          <w:rFonts w:cstheme="minorHAnsi"/>
          <w:color w:val="231F20"/>
          <w:spacing w:val="7"/>
          <w:w w:val="105"/>
        </w:rPr>
        <w:t xml:space="preserve"> </w:t>
      </w:r>
      <w:r w:rsidRPr="009F06AF">
        <w:rPr>
          <w:rFonts w:cstheme="minorHAnsi"/>
          <w:color w:val="231F20"/>
          <w:w w:val="105"/>
        </w:rPr>
        <w:t>the</w:t>
      </w:r>
      <w:r w:rsidRPr="009F06AF">
        <w:rPr>
          <w:rFonts w:cstheme="minorHAnsi"/>
          <w:color w:val="231F20"/>
          <w:spacing w:val="7"/>
          <w:w w:val="105"/>
        </w:rPr>
        <w:t xml:space="preserve"> </w:t>
      </w:r>
      <w:r w:rsidRPr="009F06AF">
        <w:rPr>
          <w:rFonts w:cstheme="minorHAnsi"/>
          <w:color w:val="231F20"/>
          <w:w w:val="105"/>
        </w:rPr>
        <w:t>individual</w:t>
      </w:r>
      <w:r w:rsidRPr="009F06AF">
        <w:rPr>
          <w:rFonts w:cstheme="minorHAnsi"/>
          <w:color w:val="231F20"/>
          <w:spacing w:val="7"/>
          <w:w w:val="105"/>
        </w:rPr>
        <w:t xml:space="preserve"> </w:t>
      </w:r>
      <w:r w:rsidRPr="009F06AF">
        <w:rPr>
          <w:rFonts w:cstheme="minorHAnsi"/>
          <w:color w:val="231F20"/>
          <w:w w:val="105"/>
        </w:rPr>
        <w:t>after</w:t>
      </w:r>
      <w:r w:rsidRPr="009F06AF">
        <w:rPr>
          <w:rFonts w:cstheme="minorHAnsi"/>
          <w:color w:val="231F20"/>
          <w:spacing w:val="7"/>
          <w:w w:val="105"/>
        </w:rPr>
        <w:t xml:space="preserve"> </w:t>
      </w:r>
      <w:r w:rsidRPr="009F06AF">
        <w:rPr>
          <w:rFonts w:cstheme="minorHAnsi"/>
          <w:color w:val="231F20"/>
          <w:w w:val="105"/>
        </w:rPr>
        <w:t>successful</w:t>
      </w:r>
      <w:r w:rsidRPr="009F06AF">
        <w:rPr>
          <w:rFonts w:cstheme="minorHAnsi"/>
          <w:color w:val="231F20"/>
          <w:spacing w:val="7"/>
          <w:w w:val="105"/>
        </w:rPr>
        <w:t xml:space="preserve"> </w:t>
      </w:r>
      <w:r w:rsidRPr="009F06AF">
        <w:rPr>
          <w:rFonts w:cstheme="minorHAnsi"/>
          <w:color w:val="231F20"/>
          <w:w w:val="105"/>
        </w:rPr>
        <w:t>completion</w:t>
      </w:r>
      <w:r w:rsidRPr="009F06AF">
        <w:rPr>
          <w:rFonts w:cstheme="minorHAnsi"/>
          <w:color w:val="231F20"/>
          <w:spacing w:val="7"/>
          <w:w w:val="105"/>
        </w:rPr>
        <w:t xml:space="preserve"> </w:t>
      </w:r>
      <w:r w:rsidRPr="009F06AF">
        <w:rPr>
          <w:rFonts w:cstheme="minorHAnsi"/>
          <w:color w:val="231F20"/>
          <w:w w:val="105"/>
        </w:rPr>
        <w:t>of</w:t>
      </w:r>
      <w:r w:rsidRPr="009F06AF">
        <w:rPr>
          <w:rFonts w:cstheme="minorHAnsi"/>
          <w:color w:val="231F20"/>
          <w:spacing w:val="7"/>
          <w:w w:val="105"/>
        </w:rPr>
        <w:t xml:space="preserve"> </w:t>
      </w:r>
      <w:r w:rsidRPr="009F06AF">
        <w:rPr>
          <w:rFonts w:cstheme="minorHAnsi"/>
          <w:color w:val="231F20"/>
          <w:w w:val="105"/>
        </w:rPr>
        <w:t>training</w:t>
      </w:r>
      <w:r w:rsidR="00F507F7" w:rsidRPr="009F06AF">
        <w:rPr>
          <w:rFonts w:cstheme="minorHAnsi"/>
          <w:color w:val="231F20"/>
          <w:w w:val="105"/>
        </w:rPr>
        <w:t xml:space="preserve">. The employer is required </w:t>
      </w:r>
      <w:r w:rsidRPr="009F06AF">
        <w:rPr>
          <w:rFonts w:cstheme="minorHAnsi"/>
          <w:color w:val="231F20"/>
          <w:w w:val="105"/>
        </w:rPr>
        <w:t>to</w:t>
      </w:r>
      <w:r w:rsidRPr="009F06AF">
        <w:rPr>
          <w:rFonts w:cstheme="minorHAnsi"/>
          <w:color w:val="231F20"/>
          <w:spacing w:val="7"/>
          <w:w w:val="105"/>
        </w:rPr>
        <w:t xml:space="preserve"> </w:t>
      </w:r>
      <w:r w:rsidRPr="009F06AF">
        <w:rPr>
          <w:rFonts w:cstheme="minorHAnsi"/>
          <w:color w:val="231F20"/>
          <w:w w:val="105"/>
        </w:rPr>
        <w:t>pay</w:t>
      </w:r>
      <w:r w:rsidRPr="009F06AF">
        <w:rPr>
          <w:rFonts w:cstheme="minorHAnsi"/>
          <w:color w:val="231F20"/>
          <w:spacing w:val="7"/>
          <w:w w:val="105"/>
        </w:rPr>
        <w:t xml:space="preserve"> </w:t>
      </w:r>
      <w:r w:rsidRPr="009F06AF">
        <w:rPr>
          <w:rFonts w:cstheme="minorHAnsi"/>
          <w:color w:val="231F20"/>
          <w:w w:val="105"/>
        </w:rPr>
        <w:t>a</w:t>
      </w:r>
      <w:r w:rsidRPr="009F06AF">
        <w:rPr>
          <w:rFonts w:cstheme="minorHAnsi"/>
          <w:color w:val="231F20"/>
          <w:spacing w:val="-35"/>
          <w:w w:val="105"/>
        </w:rPr>
        <w:t xml:space="preserve"> </w:t>
      </w:r>
      <w:r w:rsidRPr="009F06AF">
        <w:rPr>
          <w:rFonts w:cstheme="minorHAnsi"/>
          <w:color w:val="231F20"/>
          <w:w w:val="105"/>
        </w:rPr>
        <w:t>significant</w:t>
      </w:r>
      <w:r w:rsidRPr="009F06AF">
        <w:rPr>
          <w:rFonts w:cstheme="minorHAnsi"/>
          <w:color w:val="231F20"/>
          <w:spacing w:val="6"/>
          <w:w w:val="105"/>
        </w:rPr>
        <w:t xml:space="preserve"> </w:t>
      </w:r>
      <w:r w:rsidRPr="009F06AF">
        <w:rPr>
          <w:rFonts w:cstheme="minorHAnsi"/>
          <w:color w:val="231F20"/>
          <w:w w:val="105"/>
        </w:rPr>
        <w:t>share</w:t>
      </w:r>
      <w:r w:rsidRPr="009F06AF">
        <w:rPr>
          <w:rFonts w:cstheme="minorHAnsi"/>
          <w:color w:val="231F20"/>
          <w:spacing w:val="6"/>
          <w:w w:val="105"/>
        </w:rPr>
        <w:t xml:space="preserve"> </w:t>
      </w:r>
      <w:r w:rsidRPr="009F06AF">
        <w:rPr>
          <w:rFonts w:cstheme="minorHAnsi"/>
          <w:color w:val="231F20"/>
          <w:w w:val="105"/>
        </w:rPr>
        <w:t>of</w:t>
      </w:r>
      <w:r w:rsidRPr="009F06AF">
        <w:rPr>
          <w:rFonts w:cstheme="minorHAnsi"/>
          <w:color w:val="231F20"/>
          <w:spacing w:val="6"/>
          <w:w w:val="105"/>
        </w:rPr>
        <w:t xml:space="preserve"> </w:t>
      </w:r>
      <w:r w:rsidRPr="009F06AF">
        <w:rPr>
          <w:rFonts w:cstheme="minorHAnsi"/>
          <w:color w:val="231F20"/>
          <w:w w:val="105"/>
        </w:rPr>
        <w:t>the</w:t>
      </w:r>
      <w:r w:rsidRPr="009F06AF">
        <w:rPr>
          <w:rFonts w:cstheme="minorHAnsi"/>
          <w:color w:val="231F20"/>
          <w:spacing w:val="6"/>
          <w:w w:val="105"/>
        </w:rPr>
        <w:t xml:space="preserve"> </w:t>
      </w:r>
      <w:r w:rsidRPr="009F06AF">
        <w:rPr>
          <w:rFonts w:cstheme="minorHAnsi"/>
          <w:color w:val="231F20"/>
          <w:w w:val="105"/>
        </w:rPr>
        <w:t>cost</w:t>
      </w:r>
      <w:r w:rsidRPr="009F06AF">
        <w:rPr>
          <w:rFonts w:cstheme="minorHAnsi"/>
          <w:color w:val="231F20"/>
          <w:spacing w:val="6"/>
          <w:w w:val="105"/>
        </w:rPr>
        <w:t xml:space="preserve"> </w:t>
      </w:r>
      <w:r w:rsidRPr="009F06AF">
        <w:rPr>
          <w:rFonts w:cstheme="minorHAnsi"/>
          <w:color w:val="231F20"/>
          <w:w w:val="105"/>
        </w:rPr>
        <w:t>of</w:t>
      </w:r>
      <w:r w:rsidRPr="009F06AF">
        <w:rPr>
          <w:rFonts w:cstheme="minorHAnsi"/>
          <w:color w:val="231F20"/>
          <w:spacing w:val="6"/>
          <w:w w:val="105"/>
        </w:rPr>
        <w:t xml:space="preserve"> </w:t>
      </w:r>
      <w:r w:rsidRPr="009F06AF">
        <w:rPr>
          <w:rFonts w:cstheme="minorHAnsi"/>
          <w:color w:val="231F20"/>
          <w:w w:val="105"/>
        </w:rPr>
        <w:t>the</w:t>
      </w:r>
      <w:r w:rsidRPr="009F06AF">
        <w:rPr>
          <w:rFonts w:cstheme="minorHAnsi"/>
          <w:color w:val="231F20"/>
          <w:spacing w:val="6"/>
          <w:w w:val="105"/>
        </w:rPr>
        <w:t xml:space="preserve"> </w:t>
      </w:r>
      <w:r w:rsidRPr="009F06AF">
        <w:rPr>
          <w:rFonts w:cstheme="minorHAnsi"/>
          <w:color w:val="231F20"/>
          <w:w w:val="105"/>
        </w:rPr>
        <w:t>training.</w:t>
      </w:r>
      <w:r w:rsidRPr="009F06AF">
        <w:rPr>
          <w:rFonts w:cstheme="minorHAnsi"/>
          <w:color w:val="231F20"/>
          <w:spacing w:val="13"/>
          <w:w w:val="105"/>
        </w:rPr>
        <w:t xml:space="preserve"> </w:t>
      </w:r>
      <w:r w:rsidRPr="009F06AF">
        <w:rPr>
          <w:rFonts w:cstheme="minorHAnsi"/>
          <w:color w:val="231F20"/>
          <w:w w:val="105"/>
        </w:rPr>
        <w:t>Customized</w:t>
      </w:r>
      <w:r w:rsidRPr="009F06AF">
        <w:rPr>
          <w:rFonts w:cstheme="minorHAnsi"/>
          <w:color w:val="231F20"/>
          <w:spacing w:val="6"/>
          <w:w w:val="105"/>
        </w:rPr>
        <w:t xml:space="preserve"> </w:t>
      </w:r>
      <w:r w:rsidRPr="009F06AF">
        <w:rPr>
          <w:rFonts w:cstheme="minorHAnsi"/>
          <w:color w:val="231F20"/>
          <w:w w:val="105"/>
        </w:rPr>
        <w:t>training</w:t>
      </w:r>
      <w:r w:rsidRPr="009F06AF">
        <w:rPr>
          <w:rFonts w:cstheme="minorHAnsi"/>
          <w:color w:val="231F20"/>
          <w:spacing w:val="6"/>
          <w:w w:val="105"/>
        </w:rPr>
        <w:t xml:space="preserve"> </w:t>
      </w:r>
      <w:r w:rsidRPr="009F06AF">
        <w:rPr>
          <w:rFonts w:cstheme="minorHAnsi"/>
          <w:color w:val="231F20"/>
          <w:w w:val="105"/>
        </w:rPr>
        <w:t>offers</w:t>
      </w:r>
      <w:r w:rsidRPr="009F06AF">
        <w:rPr>
          <w:rFonts w:cstheme="minorHAnsi"/>
          <w:color w:val="231F20"/>
          <w:spacing w:val="6"/>
          <w:w w:val="105"/>
        </w:rPr>
        <w:t xml:space="preserve"> </w:t>
      </w:r>
      <w:r w:rsidR="00F507F7" w:rsidRPr="009F06AF">
        <w:rPr>
          <w:rFonts w:cstheme="minorHAnsi"/>
          <w:color w:val="231F20"/>
          <w:w w:val="105"/>
        </w:rPr>
        <w:t xml:space="preserve">opportunities </w:t>
      </w:r>
      <w:r w:rsidRPr="009F06AF">
        <w:rPr>
          <w:rFonts w:cstheme="minorHAnsi"/>
          <w:color w:val="231F20"/>
          <w:w w:val="105"/>
        </w:rPr>
        <w:t>for</w:t>
      </w:r>
      <w:r w:rsidRPr="009F06AF">
        <w:rPr>
          <w:rFonts w:cstheme="minorHAnsi"/>
          <w:color w:val="231F20"/>
          <w:spacing w:val="6"/>
          <w:w w:val="105"/>
        </w:rPr>
        <w:t xml:space="preserve"> </w:t>
      </w:r>
      <w:r w:rsidRPr="009F06AF">
        <w:rPr>
          <w:rFonts w:cstheme="minorHAnsi"/>
          <w:color w:val="231F20"/>
          <w:w w:val="105"/>
        </w:rPr>
        <w:t>employers</w:t>
      </w:r>
      <w:r w:rsidRPr="009F06AF">
        <w:rPr>
          <w:rFonts w:cstheme="minorHAnsi"/>
          <w:color w:val="231F20"/>
          <w:spacing w:val="6"/>
          <w:w w:val="105"/>
        </w:rPr>
        <w:t xml:space="preserve"> </w:t>
      </w:r>
      <w:r w:rsidRPr="009F06AF">
        <w:rPr>
          <w:rFonts w:cstheme="minorHAnsi"/>
          <w:color w:val="231F20"/>
          <w:w w:val="105"/>
        </w:rPr>
        <w:t>to</w:t>
      </w:r>
      <w:r w:rsidRPr="009F06AF">
        <w:rPr>
          <w:rFonts w:cstheme="minorHAnsi"/>
          <w:color w:val="231F20"/>
          <w:spacing w:val="-47"/>
          <w:w w:val="105"/>
        </w:rPr>
        <w:t xml:space="preserve"> </w:t>
      </w:r>
      <w:r w:rsidRPr="009F06AF">
        <w:rPr>
          <w:rFonts w:cstheme="minorHAnsi"/>
          <w:color w:val="231F20"/>
          <w:w w:val="105"/>
        </w:rPr>
        <w:t xml:space="preserve">train individuals to </w:t>
      </w:r>
      <w:r w:rsidR="00F507F7" w:rsidRPr="009F06AF">
        <w:rPr>
          <w:rFonts w:cstheme="minorHAnsi"/>
          <w:color w:val="231F20"/>
          <w:w w:val="105"/>
        </w:rPr>
        <w:t xml:space="preserve">their specific </w:t>
      </w:r>
      <w:r w:rsidRPr="009F06AF">
        <w:rPr>
          <w:rFonts w:cstheme="minorHAnsi"/>
          <w:color w:val="231F20"/>
          <w:w w:val="105"/>
        </w:rPr>
        <w:t xml:space="preserve">needs and </w:t>
      </w:r>
      <w:r w:rsidR="00F507F7" w:rsidRPr="009F06AF">
        <w:rPr>
          <w:rFonts w:cstheme="minorHAnsi"/>
          <w:color w:val="231F20"/>
          <w:w w:val="105"/>
        </w:rPr>
        <w:t xml:space="preserve">gives the </w:t>
      </w:r>
      <w:r w:rsidRPr="009F06AF">
        <w:rPr>
          <w:rFonts w:cstheme="minorHAnsi"/>
          <w:color w:val="231F20"/>
          <w:w w:val="105"/>
        </w:rPr>
        <w:t>individual</w:t>
      </w:r>
      <w:r w:rsidRPr="009F06AF">
        <w:rPr>
          <w:rFonts w:cstheme="minorHAnsi"/>
          <w:color w:val="231F20"/>
          <w:spacing w:val="25"/>
          <w:w w:val="105"/>
        </w:rPr>
        <w:t xml:space="preserve"> </w:t>
      </w:r>
      <w:r w:rsidR="00F507F7" w:rsidRPr="009F06AF">
        <w:rPr>
          <w:rFonts w:cstheme="minorHAnsi"/>
          <w:color w:val="231F20"/>
          <w:spacing w:val="25"/>
          <w:w w:val="105"/>
        </w:rPr>
        <w:t xml:space="preserve">a chance </w:t>
      </w:r>
      <w:r w:rsidRPr="009F06AF">
        <w:rPr>
          <w:rFonts w:cstheme="minorHAnsi"/>
          <w:color w:val="231F20"/>
          <w:w w:val="105"/>
        </w:rPr>
        <w:t>to</w:t>
      </w:r>
      <w:r w:rsidRPr="009F06AF">
        <w:rPr>
          <w:rFonts w:cstheme="minorHAnsi"/>
          <w:color w:val="231F20"/>
        </w:rPr>
        <w:t xml:space="preserve"> </w:t>
      </w:r>
      <w:r w:rsidRPr="009F06AF">
        <w:rPr>
          <w:rFonts w:cstheme="minorHAnsi"/>
          <w:color w:val="231F20"/>
          <w:w w:val="105"/>
        </w:rPr>
        <w:t>learn and gain desired skills specific to an employer or industry.</w:t>
      </w:r>
    </w:p>
    <w:p w14:paraId="59118953" w14:textId="764E5C9E" w:rsidR="00EA7458" w:rsidRPr="009F06AF" w:rsidRDefault="00EA7458" w:rsidP="00D63204">
      <w:pPr>
        <w:widowControl w:val="0"/>
        <w:numPr>
          <w:ilvl w:val="1"/>
          <w:numId w:val="4"/>
        </w:numPr>
        <w:tabs>
          <w:tab w:val="left" w:pos="1548"/>
        </w:tabs>
        <w:spacing w:before="196" w:after="0" w:line="240" w:lineRule="auto"/>
        <w:outlineLvl w:val="2"/>
        <w:rPr>
          <w:rFonts w:cstheme="minorHAnsi"/>
        </w:rPr>
      </w:pPr>
      <w:r w:rsidRPr="009F06AF">
        <w:rPr>
          <w:rFonts w:cstheme="minorHAnsi"/>
          <w:b/>
          <w:bCs/>
          <w:color w:val="295CA3"/>
          <w:w w:val="110"/>
        </w:rPr>
        <w:t>Registered Apprenticeship</w:t>
      </w:r>
    </w:p>
    <w:p w14:paraId="10CE2BC4" w14:textId="77777777" w:rsidR="000738C2" w:rsidRPr="009F06AF" w:rsidRDefault="000738C2" w:rsidP="00D63204">
      <w:pPr>
        <w:widowControl w:val="0"/>
        <w:spacing w:before="6" w:after="0" w:line="240" w:lineRule="auto"/>
        <w:ind w:left="107"/>
        <w:rPr>
          <w:rFonts w:cstheme="minorHAnsi"/>
          <w:color w:val="231F20"/>
          <w:w w:val="105"/>
        </w:rPr>
      </w:pPr>
    </w:p>
    <w:p w14:paraId="3D0B214E" w14:textId="5B69F2D5" w:rsidR="009F1BFB" w:rsidRDefault="000738C2" w:rsidP="00D63204">
      <w:pPr>
        <w:spacing w:after="0" w:line="240" w:lineRule="auto"/>
        <w:ind w:left="107"/>
        <w:rPr>
          <w:rFonts w:cstheme="minorHAnsi"/>
          <w:color w:val="000000"/>
        </w:rPr>
      </w:pPr>
      <w:r w:rsidRPr="009F06AF">
        <w:rPr>
          <w:rFonts w:cstheme="minorHAnsi"/>
          <w:color w:val="231F20"/>
          <w:w w:val="105"/>
        </w:rPr>
        <w:t xml:space="preserve">CareerSource Florida </w:t>
      </w:r>
      <w:r w:rsidR="00DE2663" w:rsidRPr="009F06AF">
        <w:rPr>
          <w:rFonts w:cstheme="minorHAnsi"/>
          <w:color w:val="231F20"/>
          <w:w w:val="105"/>
        </w:rPr>
        <w:t xml:space="preserve">works with </w:t>
      </w:r>
      <w:r w:rsidRPr="009F06AF">
        <w:rPr>
          <w:rFonts w:cstheme="minorHAnsi"/>
          <w:color w:val="231F20"/>
          <w:w w:val="105"/>
        </w:rPr>
        <w:t>the Florida Apprenticeship Advisory Council, convened through the Florida Department of Education to identify opportunities to promote registered apprenticeship and explor</w:t>
      </w:r>
      <w:r w:rsidR="00D04086" w:rsidRPr="009F06AF">
        <w:rPr>
          <w:rFonts w:cstheme="minorHAnsi"/>
          <w:color w:val="231F20"/>
          <w:w w:val="105"/>
        </w:rPr>
        <w:t xml:space="preserve">e </w:t>
      </w:r>
      <w:r w:rsidRPr="009F06AF">
        <w:rPr>
          <w:rFonts w:cstheme="minorHAnsi"/>
          <w:color w:val="231F20"/>
          <w:w w:val="105"/>
        </w:rPr>
        <w:t xml:space="preserve">education opportunities for local boards to engage the state apprenticeship office and </w:t>
      </w:r>
      <w:r w:rsidR="00D11DB0">
        <w:rPr>
          <w:rFonts w:cstheme="minorHAnsi"/>
          <w:color w:val="231F20"/>
          <w:w w:val="105"/>
        </w:rPr>
        <w:t>its</w:t>
      </w:r>
      <w:r w:rsidRPr="009F06AF">
        <w:rPr>
          <w:rFonts w:cstheme="minorHAnsi"/>
          <w:color w:val="231F20"/>
          <w:w w:val="105"/>
        </w:rPr>
        <w:t xml:space="preserve"> local representatives.</w:t>
      </w:r>
      <w:r w:rsidR="008B17D5" w:rsidRPr="009F06AF">
        <w:rPr>
          <w:rFonts w:cstheme="minorHAnsi"/>
          <w:color w:val="231F20"/>
          <w:w w:val="105"/>
        </w:rPr>
        <w:t xml:space="preserve"> </w:t>
      </w:r>
      <w:r w:rsidR="008B17D5" w:rsidRPr="009F06AF">
        <w:rPr>
          <w:rFonts w:cstheme="minorHAnsi"/>
        </w:rPr>
        <w:t>Florida received an ApprenticeshipUSA State Expansion Grant from the United States Department of Labor to integrate Registered Apprenticeships within the state’s existing workforce and economic development system.</w:t>
      </w:r>
      <w:r w:rsidR="008B17D5" w:rsidRPr="009F06AF">
        <w:rPr>
          <w:rFonts w:cstheme="minorHAnsi"/>
          <w:color w:val="000000"/>
        </w:rPr>
        <w:t xml:space="preserve"> As part of the grant implementation, CareerSource Florida has joined forces with the Florida Department of Economic Opportunity, the Florida Department of Education’s Office of Apprenticeship, </w:t>
      </w:r>
      <w:r w:rsidR="00D11DB0">
        <w:rPr>
          <w:rFonts w:cstheme="minorHAnsi"/>
          <w:color w:val="000000"/>
        </w:rPr>
        <w:t>local work</w:t>
      </w:r>
      <w:r w:rsidR="00657854">
        <w:rPr>
          <w:rFonts w:cstheme="minorHAnsi"/>
          <w:color w:val="000000"/>
        </w:rPr>
        <w:t>force development boards</w:t>
      </w:r>
      <w:r w:rsidR="008B17D5" w:rsidRPr="009F06AF">
        <w:rPr>
          <w:rFonts w:cstheme="minorHAnsi"/>
          <w:color w:val="000000"/>
        </w:rPr>
        <w:t xml:space="preserve">, Industry intermediaries and </w:t>
      </w:r>
      <w:r w:rsidR="00657854">
        <w:rPr>
          <w:rFonts w:cstheme="minorHAnsi"/>
          <w:color w:val="000000"/>
        </w:rPr>
        <w:t>many other</w:t>
      </w:r>
      <w:r w:rsidR="008B17D5" w:rsidRPr="009F06AF">
        <w:rPr>
          <w:rFonts w:cstheme="minorHAnsi"/>
          <w:color w:val="000000"/>
        </w:rPr>
        <w:t xml:space="preserve"> strategic partners to identify barriers, opportunities and pilot models of </w:t>
      </w:r>
      <w:r w:rsidR="002D38F7" w:rsidRPr="009F06AF">
        <w:rPr>
          <w:rFonts w:cstheme="minorHAnsi"/>
          <w:color w:val="000000"/>
        </w:rPr>
        <w:t>success</w:t>
      </w:r>
      <w:r w:rsidR="008B17D5" w:rsidRPr="009F06AF">
        <w:rPr>
          <w:rFonts w:cstheme="minorHAnsi"/>
          <w:color w:val="000000"/>
        </w:rPr>
        <w:t>.</w:t>
      </w:r>
      <w:r w:rsidR="002D38F7" w:rsidRPr="009F06AF">
        <w:rPr>
          <w:rFonts w:cstheme="minorHAnsi"/>
          <w:color w:val="000000"/>
        </w:rPr>
        <w:t xml:space="preserve"> By positioning apprenticeships as a proven model that helps employers build a highly skilled workforce, </w:t>
      </w:r>
      <w:r w:rsidR="00657854">
        <w:rPr>
          <w:rFonts w:cstheme="minorHAnsi"/>
          <w:color w:val="000000"/>
        </w:rPr>
        <w:t>education</w:t>
      </w:r>
      <w:r w:rsidR="002D38F7" w:rsidRPr="009F06AF">
        <w:rPr>
          <w:rFonts w:cstheme="minorHAnsi"/>
          <w:color w:val="000000"/>
        </w:rPr>
        <w:t xml:space="preserve"> and workforce partners are breaking through systemic </w:t>
      </w:r>
      <w:r w:rsidR="006F25E1">
        <w:rPr>
          <w:rFonts w:cstheme="minorHAnsi"/>
          <w:color w:val="000000"/>
        </w:rPr>
        <w:t>barriers</w:t>
      </w:r>
      <w:r w:rsidR="002D38F7" w:rsidRPr="009F06AF">
        <w:rPr>
          <w:rFonts w:cstheme="minorHAnsi"/>
          <w:color w:val="000000"/>
        </w:rPr>
        <w:t xml:space="preserve"> to strengthen the state’s sector strategy initiatives.</w:t>
      </w:r>
    </w:p>
    <w:p w14:paraId="359A195B" w14:textId="77777777" w:rsidR="009F1BFB" w:rsidRDefault="009F1BFB">
      <w:pPr>
        <w:rPr>
          <w:rFonts w:cstheme="minorHAnsi"/>
          <w:color w:val="000000"/>
        </w:rPr>
      </w:pPr>
      <w:r>
        <w:rPr>
          <w:rFonts w:cstheme="minorHAnsi"/>
          <w:color w:val="000000"/>
        </w:rPr>
        <w:br w:type="page"/>
      </w:r>
    </w:p>
    <w:p w14:paraId="66DF30C8" w14:textId="77777777" w:rsidR="008B17D5" w:rsidRPr="009F06AF" w:rsidRDefault="008B17D5" w:rsidP="00D63204">
      <w:pPr>
        <w:spacing w:after="0" w:line="240" w:lineRule="auto"/>
        <w:ind w:left="107"/>
        <w:rPr>
          <w:rFonts w:cstheme="minorHAnsi"/>
          <w:color w:val="000000"/>
        </w:rPr>
      </w:pPr>
    </w:p>
    <w:p w14:paraId="37D0AE52" w14:textId="77777777" w:rsidR="000738C2" w:rsidRPr="009F06AF" w:rsidRDefault="000738C2" w:rsidP="00D63204">
      <w:pPr>
        <w:widowControl w:val="0"/>
        <w:spacing w:before="6" w:after="0" w:line="240" w:lineRule="auto"/>
        <w:ind w:left="107"/>
        <w:rPr>
          <w:rFonts w:cstheme="minorHAnsi"/>
          <w:sz w:val="16"/>
          <w:szCs w:val="16"/>
        </w:rPr>
      </w:pPr>
    </w:p>
    <w:p w14:paraId="5BBC446C" w14:textId="77777777" w:rsidR="00EA7458" w:rsidRPr="009F06AF" w:rsidRDefault="00EA7458" w:rsidP="00D63204">
      <w:pPr>
        <w:widowControl w:val="0"/>
        <w:numPr>
          <w:ilvl w:val="1"/>
          <w:numId w:val="4"/>
        </w:numPr>
        <w:tabs>
          <w:tab w:val="left" w:pos="1548"/>
        </w:tabs>
        <w:spacing w:after="0" w:line="240" w:lineRule="auto"/>
        <w:outlineLvl w:val="2"/>
        <w:rPr>
          <w:rFonts w:cstheme="minorHAnsi"/>
        </w:rPr>
      </w:pPr>
      <w:r w:rsidRPr="009F06AF">
        <w:rPr>
          <w:rFonts w:cstheme="minorHAnsi"/>
          <w:b/>
          <w:bCs/>
          <w:color w:val="295CA3"/>
          <w:w w:val="110"/>
        </w:rPr>
        <w:t>Training Provider Eligibility</w:t>
      </w:r>
      <w:r w:rsidRPr="009F06AF">
        <w:rPr>
          <w:rFonts w:cstheme="minorHAnsi"/>
          <w:b/>
          <w:bCs/>
          <w:color w:val="295CA3"/>
          <w:spacing w:val="1"/>
          <w:w w:val="110"/>
        </w:rPr>
        <w:t xml:space="preserve"> </w:t>
      </w:r>
      <w:r w:rsidRPr="009F06AF">
        <w:rPr>
          <w:rFonts w:cstheme="minorHAnsi"/>
          <w:b/>
          <w:bCs/>
          <w:color w:val="295CA3"/>
          <w:w w:val="110"/>
        </w:rPr>
        <w:t>Procedure</w:t>
      </w:r>
    </w:p>
    <w:p w14:paraId="6099CBC2" w14:textId="77777777" w:rsidR="000738C2" w:rsidRPr="009F06AF" w:rsidRDefault="000738C2" w:rsidP="00D63204">
      <w:pPr>
        <w:widowControl w:val="0"/>
        <w:tabs>
          <w:tab w:val="left" w:pos="1548"/>
        </w:tabs>
        <w:spacing w:after="0" w:line="240" w:lineRule="auto"/>
        <w:ind w:left="107"/>
        <w:outlineLvl w:val="2"/>
        <w:rPr>
          <w:rFonts w:cstheme="minorHAnsi"/>
          <w:b/>
          <w:bCs/>
          <w:color w:val="295CA3"/>
          <w:w w:val="110"/>
        </w:rPr>
      </w:pPr>
    </w:p>
    <w:p w14:paraId="18A00BB5" w14:textId="77777777" w:rsidR="00293E84" w:rsidRDefault="000738C2" w:rsidP="00D63204">
      <w:pPr>
        <w:widowControl w:val="0"/>
        <w:spacing w:after="0" w:line="240" w:lineRule="auto"/>
        <w:ind w:left="107"/>
        <w:outlineLvl w:val="2"/>
        <w:rPr>
          <w:rFonts w:cstheme="minorHAnsi"/>
        </w:rPr>
      </w:pPr>
      <w:r w:rsidRPr="009F06AF">
        <w:rPr>
          <w:rFonts w:cstheme="minorHAnsi"/>
        </w:rPr>
        <w:t xml:space="preserve">The policy governing training provider eligibility </w:t>
      </w:r>
      <w:r w:rsidR="002F236C" w:rsidRPr="009F06AF">
        <w:rPr>
          <w:rFonts w:cstheme="minorHAnsi"/>
        </w:rPr>
        <w:t xml:space="preserve">is online </w:t>
      </w:r>
      <w:r w:rsidRPr="009F06AF">
        <w:rPr>
          <w:rFonts w:cstheme="minorHAnsi"/>
        </w:rPr>
        <w:t>at</w:t>
      </w:r>
      <w:r w:rsidR="00293E84">
        <w:rPr>
          <w:rFonts w:cstheme="minorHAnsi"/>
        </w:rPr>
        <w:t>:</w:t>
      </w:r>
    </w:p>
    <w:p w14:paraId="7C12D370" w14:textId="00645872" w:rsidR="008A5900" w:rsidRPr="00704DA7" w:rsidRDefault="000738C2" w:rsidP="00D63204">
      <w:pPr>
        <w:pStyle w:val="ListParagraph"/>
        <w:widowControl w:val="0"/>
        <w:spacing w:before="90" w:after="0" w:line="264" w:lineRule="exact"/>
        <w:ind w:left="90"/>
        <w:rPr>
          <w:rStyle w:val="Hyperlink"/>
          <w:rFonts w:cstheme="minorHAnsi"/>
        </w:rPr>
      </w:pPr>
      <w:r w:rsidRPr="009F06AF">
        <w:rPr>
          <w:rFonts w:cstheme="minorHAnsi"/>
        </w:rPr>
        <w:t xml:space="preserve"> </w:t>
      </w:r>
      <w:hyperlink r:id="rId156" w:history="1">
        <w:r w:rsidR="008A5900" w:rsidRPr="00704DA7">
          <w:rPr>
            <w:rStyle w:val="Hyperlink"/>
            <w:rFonts w:cstheme="minorHAnsi"/>
          </w:rPr>
          <w:t>http://www.floridajobs.org/frequently-asked-questions-directory/eligible-training-provider-list-guidance-faq</w:t>
        </w:r>
      </w:hyperlink>
    </w:p>
    <w:p w14:paraId="13674C7F" w14:textId="77777777" w:rsidR="008A5900" w:rsidRDefault="008A5900" w:rsidP="00D63204">
      <w:pPr>
        <w:widowControl w:val="0"/>
        <w:tabs>
          <w:tab w:val="left" w:pos="1548"/>
        </w:tabs>
        <w:spacing w:after="0" w:line="240" w:lineRule="auto"/>
        <w:ind w:left="107"/>
        <w:outlineLvl w:val="2"/>
      </w:pPr>
    </w:p>
    <w:p w14:paraId="1409470D" w14:textId="2D3989C6" w:rsidR="009F2757" w:rsidRPr="009F2757" w:rsidRDefault="00EA7458" w:rsidP="00D63204">
      <w:pPr>
        <w:widowControl w:val="0"/>
        <w:tabs>
          <w:tab w:val="left" w:pos="1548"/>
        </w:tabs>
        <w:spacing w:after="0" w:line="240" w:lineRule="auto"/>
        <w:ind w:left="107"/>
        <w:outlineLvl w:val="2"/>
        <w:rPr>
          <w:rFonts w:cstheme="minorHAnsi"/>
        </w:rPr>
      </w:pPr>
      <w:r w:rsidRPr="009F2757">
        <w:rPr>
          <w:rFonts w:cstheme="minorHAnsi"/>
          <w:b/>
          <w:color w:val="295CA3"/>
          <w:w w:val="110"/>
        </w:rPr>
        <w:t>Priorit</w:t>
      </w:r>
      <w:r w:rsidRPr="009F2757">
        <w:rPr>
          <w:rFonts w:cstheme="minorHAnsi"/>
          <w:b/>
          <w:color w:val="295CA3"/>
          <w:spacing w:val="-12"/>
          <w:w w:val="110"/>
        </w:rPr>
        <w:t xml:space="preserve">y </w:t>
      </w:r>
      <w:r w:rsidRPr="009F2757">
        <w:rPr>
          <w:rFonts w:cstheme="minorHAnsi"/>
          <w:b/>
          <w:color w:val="295CA3"/>
          <w:w w:val="110"/>
        </w:rPr>
        <w:t>fo</w:t>
      </w:r>
      <w:r w:rsidRPr="009F2757">
        <w:rPr>
          <w:rFonts w:cstheme="minorHAnsi"/>
          <w:b/>
          <w:color w:val="295CA3"/>
          <w:spacing w:val="-12"/>
          <w:w w:val="110"/>
        </w:rPr>
        <w:t xml:space="preserve">r </w:t>
      </w:r>
      <w:r w:rsidRPr="009F2757">
        <w:rPr>
          <w:rFonts w:cstheme="minorHAnsi"/>
          <w:b/>
          <w:color w:val="295CA3"/>
          <w:w w:val="110"/>
        </w:rPr>
        <w:t>Publi</w:t>
      </w:r>
      <w:r w:rsidRPr="009F2757">
        <w:rPr>
          <w:rFonts w:cstheme="minorHAnsi"/>
          <w:b/>
          <w:color w:val="295CA3"/>
          <w:spacing w:val="-12"/>
          <w:w w:val="110"/>
        </w:rPr>
        <w:t xml:space="preserve">c </w:t>
      </w:r>
      <w:r w:rsidRPr="009F2757">
        <w:rPr>
          <w:rFonts w:cstheme="minorHAnsi"/>
          <w:b/>
          <w:color w:val="295CA3"/>
          <w:w w:val="110"/>
        </w:rPr>
        <w:t>Assistanc</w:t>
      </w:r>
      <w:r w:rsidRPr="009F2757">
        <w:rPr>
          <w:rFonts w:cstheme="minorHAnsi"/>
          <w:b/>
          <w:color w:val="295CA3"/>
          <w:spacing w:val="-12"/>
          <w:w w:val="110"/>
        </w:rPr>
        <w:t xml:space="preserve">e </w:t>
      </w:r>
      <w:r w:rsidRPr="009F2757">
        <w:rPr>
          <w:rFonts w:cstheme="minorHAnsi"/>
          <w:b/>
          <w:color w:val="295CA3"/>
          <w:w w:val="110"/>
        </w:rPr>
        <w:t>Recipients</w:t>
      </w:r>
      <w:r w:rsidRPr="009F2757">
        <w:rPr>
          <w:rFonts w:cstheme="minorHAnsi"/>
          <w:b/>
          <w:color w:val="295CA3"/>
          <w:spacing w:val="-12"/>
          <w:w w:val="110"/>
        </w:rPr>
        <w:t xml:space="preserve">, </w:t>
      </w:r>
      <w:r w:rsidRPr="009F2757">
        <w:rPr>
          <w:rFonts w:cstheme="minorHAnsi"/>
          <w:b/>
          <w:color w:val="295CA3"/>
          <w:w w:val="110"/>
        </w:rPr>
        <w:t>Othe</w:t>
      </w:r>
      <w:r w:rsidRPr="009F2757">
        <w:rPr>
          <w:rFonts w:cstheme="minorHAnsi"/>
          <w:b/>
          <w:color w:val="295CA3"/>
          <w:spacing w:val="-12"/>
          <w:w w:val="110"/>
        </w:rPr>
        <w:t xml:space="preserve">r </w:t>
      </w:r>
      <w:r w:rsidRPr="009F2757">
        <w:rPr>
          <w:rFonts w:cstheme="minorHAnsi"/>
          <w:b/>
          <w:color w:val="295CA3"/>
          <w:w w:val="110"/>
        </w:rPr>
        <w:t>Low-Incom</w:t>
      </w:r>
      <w:r w:rsidRPr="009F2757">
        <w:rPr>
          <w:rFonts w:cstheme="minorHAnsi"/>
          <w:b/>
          <w:color w:val="295CA3"/>
          <w:spacing w:val="-12"/>
          <w:w w:val="110"/>
        </w:rPr>
        <w:t xml:space="preserve">e </w:t>
      </w:r>
      <w:r w:rsidRPr="009F2757">
        <w:rPr>
          <w:rFonts w:cstheme="minorHAnsi"/>
          <w:b/>
          <w:color w:val="295CA3"/>
          <w:w w:val="110"/>
        </w:rPr>
        <w:t>Individuals</w:t>
      </w:r>
      <w:r w:rsidRPr="009F2757">
        <w:rPr>
          <w:rFonts w:cstheme="minorHAnsi"/>
          <w:b/>
          <w:color w:val="295CA3"/>
          <w:spacing w:val="-12"/>
          <w:w w:val="110"/>
        </w:rPr>
        <w:t xml:space="preserve">, </w:t>
      </w:r>
      <w:r w:rsidRPr="009F2757">
        <w:rPr>
          <w:rFonts w:cstheme="minorHAnsi"/>
          <w:b/>
          <w:color w:val="295CA3"/>
          <w:w w:val="110"/>
        </w:rPr>
        <w:t>o</w:t>
      </w:r>
      <w:r w:rsidRPr="009F2757">
        <w:rPr>
          <w:rFonts w:cstheme="minorHAnsi"/>
          <w:b/>
          <w:color w:val="295CA3"/>
          <w:spacing w:val="-12"/>
          <w:w w:val="110"/>
        </w:rPr>
        <w:t xml:space="preserve">r </w:t>
      </w:r>
      <w:r w:rsidRPr="009F2757">
        <w:rPr>
          <w:rFonts w:cstheme="minorHAnsi"/>
          <w:b/>
          <w:color w:val="295CA3"/>
          <w:w w:val="110"/>
        </w:rPr>
        <w:t>Individual</w:t>
      </w:r>
      <w:r w:rsidRPr="009F2757">
        <w:rPr>
          <w:rFonts w:cstheme="minorHAnsi"/>
          <w:b/>
          <w:color w:val="295CA3"/>
          <w:w w:val="108"/>
        </w:rPr>
        <w:t>s</w:t>
      </w:r>
      <w:r w:rsidRPr="009F2757">
        <w:rPr>
          <w:rFonts w:cstheme="minorHAnsi"/>
          <w:b/>
          <w:color w:val="295CA3"/>
          <w:w w:val="110"/>
        </w:rPr>
        <w:t xml:space="preserve"> Who are Basic Skill</w:t>
      </w:r>
      <w:r w:rsidRPr="009F2757">
        <w:rPr>
          <w:rFonts w:cstheme="minorHAnsi"/>
          <w:b/>
          <w:color w:val="295CA3"/>
          <w:spacing w:val="4"/>
          <w:w w:val="110"/>
        </w:rPr>
        <w:t xml:space="preserve">s </w:t>
      </w:r>
      <w:r w:rsidRPr="009F2757">
        <w:rPr>
          <w:rFonts w:cstheme="minorHAnsi"/>
          <w:b/>
          <w:color w:val="295CA3"/>
          <w:w w:val="110"/>
        </w:rPr>
        <w:t>Deficien</w:t>
      </w:r>
      <w:r w:rsidR="009F2757">
        <w:rPr>
          <w:rFonts w:cstheme="minorHAnsi"/>
          <w:b/>
          <w:color w:val="295CA3"/>
          <w:w w:val="110"/>
        </w:rPr>
        <w:t>t</w:t>
      </w:r>
    </w:p>
    <w:p w14:paraId="7ABD2D09" w14:textId="77777777" w:rsidR="009F2757" w:rsidRPr="009F2757" w:rsidRDefault="009F2757" w:rsidP="00D63204">
      <w:pPr>
        <w:widowControl w:val="0"/>
        <w:tabs>
          <w:tab w:val="left" w:pos="1548"/>
        </w:tabs>
        <w:spacing w:after="0" w:line="264" w:lineRule="exact"/>
        <w:rPr>
          <w:rFonts w:cstheme="minorHAnsi"/>
        </w:rPr>
      </w:pPr>
    </w:p>
    <w:p w14:paraId="15FB2CB7" w14:textId="2DD8A6B7" w:rsidR="000738C2" w:rsidRDefault="000738C2" w:rsidP="00D63204">
      <w:pPr>
        <w:spacing w:after="0" w:line="240" w:lineRule="auto"/>
        <w:ind w:left="107"/>
        <w:rPr>
          <w:rFonts w:cstheme="minorHAnsi"/>
          <w:color w:val="231F20"/>
          <w:w w:val="105"/>
        </w:rPr>
      </w:pPr>
      <w:r w:rsidRPr="009F2757">
        <w:rPr>
          <w:rFonts w:cstheme="minorHAnsi"/>
          <w:color w:val="231F20"/>
          <w:w w:val="105"/>
        </w:rPr>
        <w:t>Implementation of the priority for public assistance recipients, other low-income individuals</w:t>
      </w:r>
      <w:r w:rsidR="00D5537E">
        <w:rPr>
          <w:rFonts w:cstheme="minorHAnsi"/>
          <w:color w:val="231F20"/>
          <w:w w:val="105"/>
        </w:rPr>
        <w:t xml:space="preserve"> and</w:t>
      </w:r>
      <w:r w:rsidRPr="009F2757">
        <w:rPr>
          <w:rFonts w:cstheme="minorHAnsi"/>
          <w:color w:val="231F20"/>
          <w:w w:val="105"/>
        </w:rPr>
        <w:t xml:space="preserve"> individuals who are basic</w:t>
      </w:r>
      <w:r w:rsidR="007C625D">
        <w:rPr>
          <w:rFonts w:cstheme="minorHAnsi"/>
          <w:color w:val="231F20"/>
          <w:w w:val="105"/>
        </w:rPr>
        <w:t xml:space="preserve"> </w:t>
      </w:r>
      <w:r w:rsidRPr="009F2757">
        <w:rPr>
          <w:rFonts w:cstheme="minorHAnsi"/>
          <w:color w:val="231F20"/>
          <w:w w:val="105"/>
        </w:rPr>
        <w:t>skills</w:t>
      </w:r>
      <w:r w:rsidR="007C625D">
        <w:rPr>
          <w:rFonts w:cstheme="minorHAnsi"/>
          <w:color w:val="231F20"/>
          <w:w w:val="105"/>
        </w:rPr>
        <w:t xml:space="preserve"> </w:t>
      </w:r>
      <w:r w:rsidRPr="009F2757">
        <w:rPr>
          <w:rFonts w:cstheme="minorHAnsi"/>
          <w:color w:val="231F20"/>
          <w:w w:val="105"/>
        </w:rPr>
        <w:t xml:space="preserve">deficient </w:t>
      </w:r>
      <w:r w:rsidR="00060C4B" w:rsidRPr="009F2757">
        <w:rPr>
          <w:rFonts w:cstheme="minorHAnsi"/>
          <w:color w:val="231F20"/>
          <w:w w:val="105"/>
        </w:rPr>
        <w:t xml:space="preserve">is completed </w:t>
      </w:r>
      <w:r w:rsidRPr="009F2757">
        <w:rPr>
          <w:rFonts w:cstheme="minorHAnsi"/>
          <w:color w:val="231F20"/>
          <w:w w:val="105"/>
        </w:rPr>
        <w:t xml:space="preserve">at the local level. </w:t>
      </w:r>
      <w:r w:rsidR="00060C4B" w:rsidRPr="009F2757">
        <w:rPr>
          <w:rFonts w:cstheme="minorHAnsi"/>
          <w:color w:val="231F20"/>
          <w:w w:val="105"/>
        </w:rPr>
        <w:t>E</w:t>
      </w:r>
      <w:r w:rsidRPr="009F2757">
        <w:rPr>
          <w:rFonts w:cstheme="minorHAnsi"/>
          <w:color w:val="231F20"/>
          <w:w w:val="105"/>
        </w:rPr>
        <w:t xml:space="preserve">ach LWDB </w:t>
      </w:r>
      <w:r w:rsidR="00060C4B" w:rsidRPr="009F2757">
        <w:rPr>
          <w:rFonts w:cstheme="minorHAnsi"/>
          <w:color w:val="231F20"/>
          <w:w w:val="105"/>
        </w:rPr>
        <w:t xml:space="preserve">is required to describe </w:t>
      </w:r>
      <w:r w:rsidRPr="009F2757">
        <w:rPr>
          <w:rFonts w:cstheme="minorHAnsi"/>
          <w:color w:val="231F20"/>
          <w:w w:val="105"/>
        </w:rPr>
        <w:t>in its local plan its locally</w:t>
      </w:r>
      <w:r w:rsidR="000511ED">
        <w:rPr>
          <w:rFonts w:cstheme="minorHAnsi"/>
          <w:color w:val="231F20"/>
          <w:w w:val="105"/>
        </w:rPr>
        <w:t xml:space="preserve"> </w:t>
      </w:r>
      <w:r w:rsidRPr="009F2757">
        <w:rPr>
          <w:rFonts w:cstheme="minorHAnsi"/>
          <w:color w:val="231F20"/>
          <w:w w:val="105"/>
        </w:rPr>
        <w:t xml:space="preserve">established policies and procedures to give priority to </w:t>
      </w:r>
      <w:r w:rsidR="00894A06" w:rsidRPr="009F2757">
        <w:rPr>
          <w:rFonts w:cstheme="minorHAnsi"/>
          <w:color w:val="231F20"/>
          <w:w w:val="105"/>
        </w:rPr>
        <w:t>these customers</w:t>
      </w:r>
      <w:r w:rsidRPr="009F2757">
        <w:rPr>
          <w:rFonts w:cstheme="minorHAnsi"/>
          <w:color w:val="231F20"/>
          <w:w w:val="105"/>
        </w:rPr>
        <w:t xml:space="preserve">. The results of these efforts are monitored and evaluated at the state level through the review and evaluation of </w:t>
      </w:r>
      <w:r w:rsidR="00060C4B" w:rsidRPr="009F2757">
        <w:rPr>
          <w:rFonts w:cstheme="minorHAnsi"/>
          <w:color w:val="231F20"/>
          <w:w w:val="105"/>
        </w:rPr>
        <w:t xml:space="preserve">physical documentation and </w:t>
      </w:r>
      <w:r w:rsidRPr="009F2757">
        <w:rPr>
          <w:rFonts w:cstheme="minorHAnsi"/>
          <w:color w:val="231F20"/>
          <w:w w:val="105"/>
        </w:rPr>
        <w:t>participant files in the state’s MIS</w:t>
      </w:r>
      <w:r w:rsidR="00060C4B" w:rsidRPr="009F2757">
        <w:rPr>
          <w:rFonts w:cstheme="minorHAnsi"/>
          <w:color w:val="231F20"/>
          <w:w w:val="105"/>
        </w:rPr>
        <w:t>.</w:t>
      </w:r>
    </w:p>
    <w:p w14:paraId="521A8B60" w14:textId="77777777" w:rsidR="009F2757" w:rsidRPr="009F2757" w:rsidRDefault="009F2757" w:rsidP="00D63204">
      <w:pPr>
        <w:spacing w:after="0" w:line="240" w:lineRule="auto"/>
        <w:ind w:left="107"/>
        <w:rPr>
          <w:rFonts w:cstheme="minorHAnsi"/>
          <w:color w:val="231F20"/>
          <w:w w:val="105"/>
        </w:rPr>
      </w:pPr>
    </w:p>
    <w:p w14:paraId="5FEF3488" w14:textId="34544A0D" w:rsidR="00EA7458" w:rsidRPr="009F06AF" w:rsidRDefault="00EA7458" w:rsidP="00D63204">
      <w:pPr>
        <w:widowControl w:val="0"/>
        <w:numPr>
          <w:ilvl w:val="1"/>
          <w:numId w:val="4"/>
        </w:numPr>
        <w:tabs>
          <w:tab w:val="left" w:pos="1548"/>
        </w:tabs>
        <w:spacing w:after="0" w:line="264" w:lineRule="exact"/>
        <w:rPr>
          <w:rFonts w:cstheme="minorHAnsi"/>
        </w:rPr>
      </w:pPr>
      <w:r w:rsidRPr="009F06AF">
        <w:rPr>
          <w:rFonts w:cstheme="minorHAnsi"/>
          <w:b/>
          <w:color w:val="295CA3"/>
          <w:w w:val="110"/>
        </w:rPr>
        <w:t>Criteria</w:t>
      </w:r>
      <w:r w:rsidRPr="009F06AF">
        <w:rPr>
          <w:rFonts w:cstheme="minorHAnsi"/>
          <w:b/>
          <w:color w:val="295CA3"/>
          <w:spacing w:val="-12"/>
          <w:w w:val="110"/>
        </w:rPr>
        <w:t xml:space="preserve"> </w:t>
      </w:r>
      <w:r w:rsidRPr="009F06AF">
        <w:rPr>
          <w:rFonts w:cstheme="minorHAnsi"/>
          <w:b/>
          <w:color w:val="295CA3"/>
          <w:w w:val="110"/>
        </w:rPr>
        <w:t>for</w:t>
      </w:r>
      <w:r w:rsidRPr="009F06AF">
        <w:rPr>
          <w:rFonts w:cstheme="minorHAnsi"/>
          <w:b/>
          <w:color w:val="295CA3"/>
          <w:spacing w:val="-12"/>
          <w:w w:val="110"/>
        </w:rPr>
        <w:t xml:space="preserve"> </w:t>
      </w:r>
      <w:r w:rsidRPr="009F06AF">
        <w:rPr>
          <w:rFonts w:cstheme="minorHAnsi"/>
          <w:b/>
          <w:color w:val="295CA3"/>
          <w:w w:val="110"/>
        </w:rPr>
        <w:t>Local</w:t>
      </w:r>
      <w:r w:rsidRPr="009F06AF">
        <w:rPr>
          <w:rFonts w:cstheme="minorHAnsi"/>
          <w:b/>
          <w:color w:val="295CA3"/>
          <w:spacing w:val="-12"/>
          <w:w w:val="110"/>
        </w:rPr>
        <w:t xml:space="preserve"> </w:t>
      </w:r>
      <w:r w:rsidRPr="009F06AF">
        <w:rPr>
          <w:rFonts w:cstheme="minorHAnsi"/>
          <w:b/>
          <w:color w:val="295CA3"/>
          <w:w w:val="110"/>
        </w:rPr>
        <w:t>Area</w:t>
      </w:r>
      <w:r w:rsidRPr="009F06AF">
        <w:rPr>
          <w:rFonts w:cstheme="minorHAnsi"/>
          <w:b/>
          <w:color w:val="295CA3"/>
          <w:spacing w:val="-12"/>
          <w:w w:val="110"/>
        </w:rPr>
        <w:t xml:space="preserve"> </w:t>
      </w:r>
      <w:r w:rsidRPr="009F06AF">
        <w:rPr>
          <w:rFonts w:cstheme="minorHAnsi"/>
          <w:b/>
          <w:color w:val="295CA3"/>
          <w:spacing w:val="-4"/>
          <w:w w:val="110"/>
        </w:rPr>
        <w:t>Transfer</w:t>
      </w:r>
      <w:r w:rsidRPr="009F06AF">
        <w:rPr>
          <w:rFonts w:cstheme="minorHAnsi"/>
          <w:b/>
          <w:color w:val="295CA3"/>
          <w:spacing w:val="-12"/>
          <w:w w:val="110"/>
        </w:rPr>
        <w:t xml:space="preserve"> </w:t>
      </w:r>
      <w:r w:rsidRPr="009F06AF">
        <w:rPr>
          <w:rFonts w:cstheme="minorHAnsi"/>
          <w:b/>
          <w:color w:val="295CA3"/>
          <w:w w:val="110"/>
        </w:rPr>
        <w:t>of</w:t>
      </w:r>
      <w:r w:rsidRPr="009F06AF">
        <w:rPr>
          <w:rFonts w:cstheme="minorHAnsi"/>
          <w:b/>
          <w:color w:val="295CA3"/>
          <w:spacing w:val="-12"/>
          <w:w w:val="110"/>
        </w:rPr>
        <w:t xml:space="preserve"> </w:t>
      </w:r>
      <w:r w:rsidRPr="009F06AF">
        <w:rPr>
          <w:rFonts w:cstheme="minorHAnsi"/>
          <w:b/>
          <w:color w:val="295CA3"/>
          <w:w w:val="110"/>
        </w:rPr>
        <w:t>Funds</w:t>
      </w:r>
      <w:r w:rsidRPr="009F06AF">
        <w:rPr>
          <w:rFonts w:cstheme="minorHAnsi"/>
          <w:b/>
          <w:color w:val="295CA3"/>
          <w:spacing w:val="-12"/>
          <w:w w:val="110"/>
        </w:rPr>
        <w:t xml:space="preserve"> </w:t>
      </w:r>
      <w:r w:rsidRPr="009F06AF">
        <w:rPr>
          <w:rFonts w:cstheme="minorHAnsi"/>
          <w:b/>
          <w:color w:val="295CA3"/>
          <w:w w:val="110"/>
        </w:rPr>
        <w:t>Between</w:t>
      </w:r>
      <w:r w:rsidRPr="009F06AF">
        <w:rPr>
          <w:rFonts w:cstheme="minorHAnsi"/>
          <w:b/>
          <w:color w:val="295CA3"/>
          <w:spacing w:val="-12"/>
          <w:w w:val="110"/>
        </w:rPr>
        <w:t xml:space="preserve"> </w:t>
      </w:r>
      <w:r w:rsidR="0063101B" w:rsidRPr="009F06AF">
        <w:rPr>
          <w:rFonts w:cstheme="minorHAnsi"/>
          <w:b/>
          <w:color w:val="295CA3"/>
          <w:spacing w:val="-12"/>
          <w:w w:val="110"/>
        </w:rPr>
        <w:t>t</w:t>
      </w:r>
      <w:r w:rsidRPr="009F06AF">
        <w:rPr>
          <w:rFonts w:cstheme="minorHAnsi"/>
          <w:b/>
          <w:color w:val="295CA3"/>
          <w:w w:val="110"/>
        </w:rPr>
        <w:t>he</w:t>
      </w:r>
      <w:r w:rsidRPr="009F06AF">
        <w:rPr>
          <w:rFonts w:cstheme="minorHAnsi"/>
          <w:b/>
          <w:color w:val="295CA3"/>
          <w:spacing w:val="-12"/>
          <w:w w:val="110"/>
        </w:rPr>
        <w:t xml:space="preserve"> </w:t>
      </w:r>
      <w:r w:rsidRPr="009F06AF">
        <w:rPr>
          <w:rFonts w:cstheme="minorHAnsi"/>
          <w:b/>
          <w:color w:val="295CA3"/>
          <w:w w:val="110"/>
        </w:rPr>
        <w:t>Adult</w:t>
      </w:r>
      <w:r w:rsidRPr="009F06AF">
        <w:rPr>
          <w:rFonts w:cstheme="minorHAnsi"/>
          <w:b/>
          <w:color w:val="295CA3"/>
          <w:spacing w:val="-12"/>
          <w:w w:val="110"/>
        </w:rPr>
        <w:t xml:space="preserve"> </w:t>
      </w:r>
      <w:r w:rsidRPr="009F06AF">
        <w:rPr>
          <w:rFonts w:cstheme="minorHAnsi"/>
          <w:b/>
          <w:color w:val="295CA3"/>
          <w:w w:val="110"/>
        </w:rPr>
        <w:t>and</w:t>
      </w:r>
      <w:r w:rsidRPr="009F06AF">
        <w:rPr>
          <w:rFonts w:cstheme="minorHAnsi"/>
          <w:b/>
          <w:color w:val="295CA3"/>
          <w:spacing w:val="-12"/>
          <w:w w:val="110"/>
        </w:rPr>
        <w:t xml:space="preserve"> </w:t>
      </w:r>
      <w:r w:rsidRPr="009F06AF">
        <w:rPr>
          <w:rFonts w:cstheme="minorHAnsi"/>
          <w:b/>
          <w:color w:val="295CA3"/>
          <w:w w:val="110"/>
        </w:rPr>
        <w:t>Dislocated</w:t>
      </w:r>
      <w:r w:rsidRPr="009F06AF">
        <w:rPr>
          <w:rFonts w:cstheme="minorHAnsi"/>
          <w:b/>
          <w:color w:val="295CA3"/>
          <w:spacing w:val="-2"/>
          <w:w w:val="110"/>
        </w:rPr>
        <w:t xml:space="preserve"> </w:t>
      </w:r>
      <w:r w:rsidRPr="009F06AF">
        <w:rPr>
          <w:rFonts w:cstheme="minorHAnsi"/>
          <w:b/>
          <w:color w:val="295CA3"/>
          <w:spacing w:val="-4"/>
          <w:w w:val="110"/>
        </w:rPr>
        <w:t>Worker</w:t>
      </w:r>
      <w:r w:rsidRPr="009F06AF">
        <w:rPr>
          <w:rFonts w:cstheme="minorHAnsi"/>
          <w:b/>
          <w:color w:val="295CA3"/>
          <w:spacing w:val="-2"/>
          <w:w w:val="110"/>
        </w:rPr>
        <w:t xml:space="preserve"> </w:t>
      </w:r>
      <w:r w:rsidRPr="009F06AF">
        <w:rPr>
          <w:rFonts w:cstheme="minorHAnsi"/>
          <w:b/>
          <w:color w:val="295CA3"/>
          <w:w w:val="110"/>
        </w:rPr>
        <w:t>Programs</w:t>
      </w:r>
    </w:p>
    <w:p w14:paraId="76BF2D41" w14:textId="77777777" w:rsidR="00EA7458" w:rsidRPr="009F06AF" w:rsidRDefault="00EA7458" w:rsidP="00D63204">
      <w:pPr>
        <w:widowControl w:val="0"/>
        <w:spacing w:after="0" w:line="264" w:lineRule="exact"/>
        <w:ind w:left="107"/>
        <w:rPr>
          <w:rFonts w:cstheme="minorHAnsi"/>
        </w:rPr>
      </w:pPr>
    </w:p>
    <w:p w14:paraId="4465F1F8" w14:textId="5D19909D" w:rsidR="00EA7458" w:rsidRDefault="000738C2" w:rsidP="00D63204">
      <w:pPr>
        <w:widowControl w:val="0"/>
        <w:spacing w:after="0" w:line="264" w:lineRule="exact"/>
        <w:ind w:left="107"/>
        <w:rPr>
          <w:rFonts w:cstheme="minorHAnsi"/>
        </w:rPr>
      </w:pPr>
      <w:r w:rsidRPr="009F06AF">
        <w:rPr>
          <w:rFonts w:cstheme="minorHAnsi"/>
        </w:rPr>
        <w:t>WIOA allows up to 100</w:t>
      </w:r>
      <w:r w:rsidR="006701B1">
        <w:rPr>
          <w:rFonts w:cstheme="minorHAnsi"/>
        </w:rPr>
        <w:t xml:space="preserve"> percent</w:t>
      </w:r>
      <w:r w:rsidRPr="009F06AF">
        <w:rPr>
          <w:rFonts w:cstheme="minorHAnsi"/>
        </w:rPr>
        <w:t xml:space="preserve"> of funds between programs with prior approval from the </w:t>
      </w:r>
      <w:r w:rsidR="00FB69FD">
        <w:rPr>
          <w:rFonts w:cstheme="minorHAnsi"/>
        </w:rPr>
        <w:t>g</w:t>
      </w:r>
      <w:r w:rsidRPr="009F06AF">
        <w:rPr>
          <w:rFonts w:cstheme="minorHAnsi"/>
        </w:rPr>
        <w:t>overnor</w:t>
      </w:r>
      <w:r w:rsidR="005E7C49">
        <w:rPr>
          <w:rFonts w:cstheme="minorHAnsi"/>
        </w:rPr>
        <w:t xml:space="preserve">. </w:t>
      </w:r>
      <w:r w:rsidRPr="009F06AF">
        <w:rPr>
          <w:rFonts w:cstheme="minorHAnsi"/>
        </w:rPr>
        <w:t xml:space="preserve">DEO will ensure any transfer of funds between WIOA programs complies with </w:t>
      </w:r>
      <w:r w:rsidR="00A51575" w:rsidRPr="009F06AF">
        <w:rPr>
          <w:rFonts w:cstheme="minorHAnsi"/>
        </w:rPr>
        <w:t xml:space="preserve">federal </w:t>
      </w:r>
      <w:r w:rsidRPr="009F06AF">
        <w:rPr>
          <w:rFonts w:cstheme="minorHAnsi"/>
        </w:rPr>
        <w:t xml:space="preserve">law. LWDBs </w:t>
      </w:r>
      <w:r w:rsidR="00A51575" w:rsidRPr="009F06AF">
        <w:rPr>
          <w:rFonts w:cstheme="minorHAnsi"/>
        </w:rPr>
        <w:t xml:space="preserve">are </w:t>
      </w:r>
      <w:r w:rsidRPr="009F06AF">
        <w:rPr>
          <w:rFonts w:cstheme="minorHAnsi"/>
        </w:rPr>
        <w:t xml:space="preserve">required to record and document </w:t>
      </w:r>
      <w:r w:rsidR="00A51575" w:rsidRPr="009F06AF">
        <w:rPr>
          <w:rFonts w:cstheme="minorHAnsi"/>
        </w:rPr>
        <w:t xml:space="preserve">their </w:t>
      </w:r>
      <w:r w:rsidRPr="009F06AF">
        <w:rPr>
          <w:rFonts w:cstheme="minorHAnsi"/>
        </w:rPr>
        <w:t xml:space="preserve">use and application of local funds </w:t>
      </w:r>
      <w:r w:rsidR="00A51575" w:rsidRPr="009F06AF">
        <w:rPr>
          <w:rFonts w:cstheme="minorHAnsi"/>
        </w:rPr>
        <w:t xml:space="preserve">according to </w:t>
      </w:r>
      <w:r w:rsidRPr="009F06AF">
        <w:rPr>
          <w:rFonts w:cstheme="minorHAnsi"/>
        </w:rPr>
        <w:t xml:space="preserve">instructions </w:t>
      </w:r>
      <w:r w:rsidR="00A51575" w:rsidRPr="009F06AF">
        <w:rPr>
          <w:rFonts w:cstheme="minorHAnsi"/>
        </w:rPr>
        <w:t xml:space="preserve">described </w:t>
      </w:r>
      <w:r w:rsidRPr="009F06AF">
        <w:rPr>
          <w:rFonts w:cstheme="minorHAnsi"/>
        </w:rPr>
        <w:t xml:space="preserve">in the grantee- </w:t>
      </w:r>
      <w:r w:rsidR="008106E5" w:rsidRPr="009F06AF">
        <w:rPr>
          <w:rFonts w:cstheme="minorHAnsi"/>
        </w:rPr>
        <w:t>sub grantee</w:t>
      </w:r>
      <w:r w:rsidRPr="009F06AF">
        <w:rPr>
          <w:rFonts w:cstheme="minorHAnsi"/>
        </w:rPr>
        <w:t xml:space="preserve"> agreement.</w:t>
      </w:r>
    </w:p>
    <w:p w14:paraId="2646B795" w14:textId="77777777" w:rsidR="009F1BFB" w:rsidRPr="009F06AF" w:rsidRDefault="009F1BFB" w:rsidP="00D63204">
      <w:pPr>
        <w:widowControl w:val="0"/>
        <w:spacing w:after="0" w:line="264" w:lineRule="exact"/>
        <w:ind w:left="107"/>
        <w:rPr>
          <w:rFonts w:cstheme="minorHAnsi"/>
          <w:sz w:val="17"/>
          <w:szCs w:val="17"/>
        </w:rPr>
      </w:pPr>
    </w:p>
    <w:p w14:paraId="1600859F" w14:textId="77777777" w:rsidR="00EA7458" w:rsidRPr="009F06AF" w:rsidRDefault="00EA7458" w:rsidP="00D63204">
      <w:pPr>
        <w:widowControl w:val="0"/>
        <w:numPr>
          <w:ilvl w:val="0"/>
          <w:numId w:val="4"/>
        </w:numPr>
        <w:tabs>
          <w:tab w:val="left" w:pos="828"/>
        </w:tabs>
        <w:spacing w:after="0" w:line="240" w:lineRule="auto"/>
        <w:outlineLvl w:val="1"/>
        <w:rPr>
          <w:rFonts w:cstheme="minorHAnsi"/>
          <w:sz w:val="26"/>
          <w:szCs w:val="26"/>
        </w:rPr>
      </w:pPr>
      <w:r w:rsidRPr="009F06AF">
        <w:rPr>
          <w:rFonts w:cstheme="minorHAnsi"/>
          <w:b/>
          <w:bCs/>
          <w:color w:val="295CA3"/>
          <w:spacing w:val="-6"/>
          <w:w w:val="110"/>
          <w:sz w:val="26"/>
          <w:szCs w:val="26"/>
        </w:rPr>
        <w:t xml:space="preserve">Youth </w:t>
      </w:r>
      <w:r w:rsidRPr="009F06AF">
        <w:rPr>
          <w:rFonts w:cstheme="minorHAnsi"/>
          <w:b/>
          <w:bCs/>
          <w:color w:val="295CA3"/>
          <w:w w:val="110"/>
          <w:sz w:val="26"/>
          <w:szCs w:val="26"/>
        </w:rPr>
        <w:t>Program</w:t>
      </w:r>
      <w:r w:rsidRPr="009F06AF">
        <w:rPr>
          <w:rFonts w:cstheme="minorHAnsi"/>
          <w:b/>
          <w:bCs/>
          <w:color w:val="295CA3"/>
          <w:spacing w:val="7"/>
          <w:w w:val="110"/>
          <w:sz w:val="26"/>
          <w:szCs w:val="26"/>
        </w:rPr>
        <w:t xml:space="preserve"> </w:t>
      </w:r>
      <w:r w:rsidRPr="009F06AF">
        <w:rPr>
          <w:rFonts w:cstheme="minorHAnsi"/>
          <w:b/>
          <w:bCs/>
          <w:color w:val="295CA3"/>
          <w:w w:val="110"/>
          <w:sz w:val="26"/>
          <w:szCs w:val="26"/>
        </w:rPr>
        <w:t>Requirements</w:t>
      </w:r>
    </w:p>
    <w:p w14:paraId="34980602" w14:textId="6E93186B" w:rsidR="00C50CA2" w:rsidRPr="00C50CA2" w:rsidRDefault="00EA7458" w:rsidP="00D63204">
      <w:pPr>
        <w:widowControl w:val="0"/>
        <w:numPr>
          <w:ilvl w:val="1"/>
          <w:numId w:val="4"/>
        </w:numPr>
        <w:tabs>
          <w:tab w:val="left" w:pos="1548"/>
        </w:tabs>
        <w:spacing w:before="184" w:after="0" w:line="240" w:lineRule="auto"/>
        <w:outlineLvl w:val="2"/>
        <w:rPr>
          <w:rFonts w:cstheme="minorHAnsi"/>
        </w:rPr>
      </w:pPr>
      <w:r w:rsidRPr="00C50CA2">
        <w:rPr>
          <w:rFonts w:cstheme="minorHAnsi"/>
          <w:b/>
          <w:bCs/>
          <w:color w:val="295CA3"/>
          <w:w w:val="110"/>
        </w:rPr>
        <w:t xml:space="preserve">Criteria for Awarding Grants for </w:t>
      </w:r>
      <w:r w:rsidRPr="00C50CA2">
        <w:rPr>
          <w:rFonts w:cstheme="minorHAnsi"/>
          <w:b/>
          <w:bCs/>
          <w:color w:val="295CA3"/>
          <w:spacing w:val="-5"/>
          <w:w w:val="110"/>
        </w:rPr>
        <w:t xml:space="preserve">Youth </w:t>
      </w:r>
      <w:r w:rsidRPr="00C50CA2">
        <w:rPr>
          <w:rFonts w:cstheme="minorHAnsi"/>
          <w:b/>
          <w:bCs/>
          <w:color w:val="295CA3"/>
          <w:w w:val="110"/>
        </w:rPr>
        <w:t>Workforce Investment</w:t>
      </w:r>
      <w:r w:rsidRPr="00C50CA2">
        <w:rPr>
          <w:rFonts w:cstheme="minorHAnsi"/>
          <w:b/>
          <w:bCs/>
          <w:color w:val="295CA3"/>
          <w:spacing w:val="-15"/>
          <w:w w:val="110"/>
        </w:rPr>
        <w:t xml:space="preserve"> </w:t>
      </w:r>
      <w:r w:rsidRPr="00C50CA2">
        <w:rPr>
          <w:rFonts w:cstheme="minorHAnsi"/>
          <w:b/>
          <w:bCs/>
          <w:color w:val="295CA3"/>
          <w:w w:val="110"/>
        </w:rPr>
        <w:t>Activities</w:t>
      </w:r>
    </w:p>
    <w:p w14:paraId="238820FA" w14:textId="77777777" w:rsidR="00C50CA2" w:rsidRDefault="00C50CA2" w:rsidP="00D63204">
      <w:pPr>
        <w:widowControl w:val="0"/>
        <w:spacing w:after="0" w:line="264" w:lineRule="exact"/>
        <w:ind w:left="107"/>
        <w:rPr>
          <w:rFonts w:cstheme="minorHAnsi"/>
        </w:rPr>
      </w:pPr>
    </w:p>
    <w:p w14:paraId="6C6479A6" w14:textId="22898247" w:rsidR="00EA7458" w:rsidRPr="009F06AF" w:rsidRDefault="00E31D02" w:rsidP="00D63204">
      <w:pPr>
        <w:widowControl w:val="0"/>
        <w:spacing w:after="0" w:line="264" w:lineRule="exact"/>
        <w:ind w:left="107"/>
        <w:rPr>
          <w:rFonts w:cstheme="minorHAnsi"/>
        </w:rPr>
      </w:pPr>
      <w:r w:rsidRPr="00E31D02">
        <w:rPr>
          <w:rFonts w:cstheme="minorHAnsi"/>
        </w:rPr>
        <w:t>The state deferred development of criteria for awarding youth grants to the local boards. Each local was required to describe criteria established to award youth gra</w:t>
      </w:r>
      <w:r>
        <w:rPr>
          <w:rFonts w:cstheme="minorHAnsi"/>
        </w:rPr>
        <w:t xml:space="preserve">nt contracts in its local plan. </w:t>
      </w:r>
      <w:r w:rsidR="00D01F72" w:rsidRPr="00C50CA2">
        <w:rPr>
          <w:rFonts w:cstheme="minorHAnsi"/>
        </w:rPr>
        <w:t>C</w:t>
      </w:r>
      <w:r w:rsidR="00EA7458" w:rsidRPr="00C50CA2">
        <w:rPr>
          <w:rFonts w:cstheme="minorHAnsi"/>
        </w:rPr>
        <w:t xml:space="preserve">riteria shall be established in compliance with WIOA, Section 129 and will be included in each </w:t>
      </w:r>
      <w:r w:rsidR="00D01F72" w:rsidRPr="00C50CA2">
        <w:rPr>
          <w:rFonts w:cstheme="minorHAnsi"/>
        </w:rPr>
        <w:t xml:space="preserve">local </w:t>
      </w:r>
      <w:r w:rsidR="00EA7458" w:rsidRPr="00C50CA2">
        <w:rPr>
          <w:rFonts w:cstheme="minorHAnsi"/>
        </w:rPr>
        <w:t>plan. Youth service providers shall be procured</w:t>
      </w:r>
      <w:r w:rsidR="00D01F72" w:rsidRPr="00C50CA2">
        <w:rPr>
          <w:rFonts w:cstheme="minorHAnsi"/>
        </w:rPr>
        <w:t xml:space="preserve"> with qualified service providers</w:t>
      </w:r>
      <w:r w:rsidR="00EA7458" w:rsidRPr="00C50CA2">
        <w:rPr>
          <w:rFonts w:cstheme="minorHAnsi"/>
        </w:rPr>
        <w:t xml:space="preserve"> through a competitive process. In the past, </w:t>
      </w:r>
      <w:r w:rsidR="00F3150D">
        <w:rPr>
          <w:rFonts w:cstheme="minorHAnsi"/>
        </w:rPr>
        <w:t>local b</w:t>
      </w:r>
      <w:r w:rsidR="00EA7458" w:rsidRPr="00C50CA2">
        <w:rPr>
          <w:rFonts w:cstheme="minorHAnsi"/>
        </w:rPr>
        <w:t xml:space="preserve">oards often contracted </w:t>
      </w:r>
      <w:r w:rsidR="008106E5" w:rsidRPr="00C50CA2">
        <w:rPr>
          <w:rFonts w:cstheme="minorHAnsi"/>
        </w:rPr>
        <w:t>directly with</w:t>
      </w:r>
      <w:r w:rsidR="00EA7458" w:rsidRPr="00C50CA2">
        <w:rPr>
          <w:rFonts w:cstheme="minorHAnsi"/>
        </w:rPr>
        <w:t xml:space="preserve"> agencies/organizations serving target</w:t>
      </w:r>
      <w:r w:rsidR="0032210E">
        <w:rPr>
          <w:rFonts w:cstheme="minorHAnsi"/>
        </w:rPr>
        <w:t>ed</w:t>
      </w:r>
      <w:r w:rsidR="00EA7458" w:rsidRPr="00C50CA2">
        <w:rPr>
          <w:rFonts w:cstheme="minorHAnsi"/>
        </w:rPr>
        <w:t xml:space="preserve"> populations</w:t>
      </w:r>
      <w:r w:rsidR="00D5537E">
        <w:rPr>
          <w:rFonts w:cstheme="minorHAnsi"/>
        </w:rPr>
        <w:t xml:space="preserve"> and</w:t>
      </w:r>
      <w:r w:rsidR="00EA7458" w:rsidRPr="00C50CA2">
        <w:rPr>
          <w:rFonts w:cstheme="minorHAnsi"/>
        </w:rPr>
        <w:t xml:space="preserve"> considered a provider’s historically</w:t>
      </w:r>
      <w:r w:rsidR="00A47549">
        <w:rPr>
          <w:rFonts w:cstheme="minorHAnsi"/>
        </w:rPr>
        <w:t xml:space="preserve"> </w:t>
      </w:r>
      <w:r w:rsidR="00EA7458" w:rsidRPr="00C50CA2">
        <w:rPr>
          <w:rFonts w:cstheme="minorHAnsi"/>
        </w:rPr>
        <w:t>demonstrated success serving the most at-risk populations and those having barriers to employment including juvenile offenders, school drop-outs, disabled youth, those in or aging out of foster care,</w:t>
      </w:r>
      <w:r w:rsidR="009F1BFB" w:rsidRPr="00C50CA2">
        <w:rPr>
          <w:rFonts w:cstheme="minorHAnsi"/>
        </w:rPr>
        <w:t xml:space="preserve"> </w:t>
      </w:r>
      <w:r w:rsidR="00EA7458" w:rsidRPr="00C50CA2">
        <w:rPr>
          <w:rFonts w:cstheme="minorHAnsi"/>
        </w:rPr>
        <w:t>children of migrant and seasonal farmworkers, youth for whom English is a second language</w:t>
      </w:r>
      <w:r w:rsidR="00D5537E">
        <w:rPr>
          <w:rFonts w:cstheme="minorHAnsi"/>
        </w:rPr>
        <w:t xml:space="preserve"> and</w:t>
      </w:r>
      <w:r w:rsidR="00EA7458" w:rsidRPr="00C50CA2">
        <w:rPr>
          <w:rFonts w:cstheme="minorHAnsi"/>
        </w:rPr>
        <w:t xml:space="preserve"> others meeting the WIOA eligibility criteria.</w:t>
      </w:r>
    </w:p>
    <w:p w14:paraId="659BC219" w14:textId="77777777" w:rsidR="00EA7458" w:rsidRPr="009F06AF" w:rsidRDefault="00EA7458" w:rsidP="00D63204">
      <w:pPr>
        <w:widowControl w:val="0"/>
        <w:spacing w:before="6" w:after="0" w:line="240" w:lineRule="auto"/>
        <w:ind w:left="107"/>
        <w:rPr>
          <w:rFonts w:cstheme="minorHAnsi"/>
          <w:sz w:val="16"/>
          <w:szCs w:val="16"/>
        </w:rPr>
      </w:pPr>
    </w:p>
    <w:p w14:paraId="23722F65" w14:textId="77777777" w:rsidR="000738C2" w:rsidRPr="009F06AF" w:rsidRDefault="000738C2" w:rsidP="00D63204">
      <w:pPr>
        <w:widowControl w:val="0"/>
        <w:numPr>
          <w:ilvl w:val="1"/>
          <w:numId w:val="4"/>
        </w:numPr>
        <w:tabs>
          <w:tab w:val="left" w:pos="1548"/>
        </w:tabs>
        <w:spacing w:after="0" w:line="240" w:lineRule="auto"/>
        <w:outlineLvl w:val="2"/>
        <w:rPr>
          <w:rFonts w:cstheme="minorHAnsi"/>
          <w:color w:val="365F91" w:themeColor="accent1" w:themeShade="BF"/>
        </w:rPr>
      </w:pPr>
      <w:r w:rsidRPr="009F06AF">
        <w:rPr>
          <w:rFonts w:cstheme="minorHAnsi"/>
          <w:b/>
          <w:color w:val="365F91" w:themeColor="accent1" w:themeShade="BF"/>
        </w:rPr>
        <w:t>Improved Outcomes for Out-of-School Youth</w:t>
      </w:r>
    </w:p>
    <w:p w14:paraId="6E910843" w14:textId="77777777" w:rsidR="000738C2" w:rsidRPr="009F06AF" w:rsidRDefault="000738C2" w:rsidP="00D63204">
      <w:pPr>
        <w:widowControl w:val="0"/>
        <w:tabs>
          <w:tab w:val="left" w:pos="1548"/>
        </w:tabs>
        <w:spacing w:after="0" w:line="240" w:lineRule="auto"/>
        <w:ind w:left="107"/>
        <w:outlineLvl w:val="2"/>
        <w:rPr>
          <w:rFonts w:cstheme="minorHAnsi"/>
          <w:color w:val="365F91" w:themeColor="accent1" w:themeShade="BF"/>
        </w:rPr>
      </w:pPr>
    </w:p>
    <w:p w14:paraId="4CF6D29F" w14:textId="07678FBF" w:rsidR="000738C2" w:rsidRPr="009F06AF" w:rsidRDefault="0091754A" w:rsidP="00D63204">
      <w:pPr>
        <w:widowControl w:val="0"/>
        <w:tabs>
          <w:tab w:val="left" w:pos="1548"/>
        </w:tabs>
        <w:spacing w:after="0" w:line="240" w:lineRule="auto"/>
        <w:ind w:left="107"/>
        <w:outlineLvl w:val="2"/>
        <w:rPr>
          <w:rFonts w:cstheme="minorHAnsi"/>
        </w:rPr>
      </w:pPr>
      <w:r w:rsidRPr="009F06AF">
        <w:rPr>
          <w:rFonts w:cstheme="minorHAnsi"/>
        </w:rPr>
        <w:t>By l</w:t>
      </w:r>
      <w:r w:rsidR="000738C2" w:rsidRPr="009F06AF">
        <w:rPr>
          <w:rFonts w:cstheme="minorHAnsi"/>
        </w:rPr>
        <w:t xml:space="preserve">everaging resources and expertise in core programs, Florida </w:t>
      </w:r>
      <w:r w:rsidRPr="009F06AF">
        <w:rPr>
          <w:rFonts w:cstheme="minorHAnsi"/>
        </w:rPr>
        <w:t xml:space="preserve">will </w:t>
      </w:r>
      <w:r w:rsidR="000738C2" w:rsidRPr="009F06AF">
        <w:rPr>
          <w:rFonts w:cstheme="minorHAnsi"/>
        </w:rPr>
        <w:t>inventory services provided to out-of-school youth and align them in its system integration strategy.</w:t>
      </w:r>
    </w:p>
    <w:p w14:paraId="33FB0756" w14:textId="77777777" w:rsidR="000738C2" w:rsidRPr="009F06AF" w:rsidRDefault="000738C2" w:rsidP="00D63204">
      <w:pPr>
        <w:widowControl w:val="0"/>
        <w:tabs>
          <w:tab w:val="left" w:pos="1548"/>
        </w:tabs>
        <w:spacing w:after="0" w:line="240" w:lineRule="auto"/>
        <w:ind w:left="107"/>
        <w:outlineLvl w:val="2"/>
        <w:rPr>
          <w:rFonts w:cstheme="minorHAnsi"/>
        </w:rPr>
      </w:pPr>
    </w:p>
    <w:p w14:paraId="40554576" w14:textId="77777777" w:rsidR="00EA7458" w:rsidRPr="009F06AF" w:rsidRDefault="00EA7458" w:rsidP="00D63204">
      <w:pPr>
        <w:widowControl w:val="0"/>
        <w:numPr>
          <w:ilvl w:val="1"/>
          <w:numId w:val="4"/>
        </w:numPr>
        <w:spacing w:after="0" w:line="240" w:lineRule="auto"/>
        <w:outlineLvl w:val="2"/>
        <w:rPr>
          <w:rFonts w:cstheme="minorHAnsi"/>
        </w:rPr>
      </w:pPr>
      <w:r w:rsidRPr="009F06AF">
        <w:rPr>
          <w:rFonts w:cstheme="minorHAnsi"/>
          <w:b/>
          <w:bCs/>
          <w:color w:val="295CA3"/>
          <w:spacing w:val="-5"/>
          <w:w w:val="110"/>
        </w:rPr>
        <w:t xml:space="preserve">Youth </w:t>
      </w:r>
      <w:r w:rsidRPr="009F06AF">
        <w:rPr>
          <w:rFonts w:cstheme="minorHAnsi"/>
          <w:b/>
          <w:bCs/>
          <w:color w:val="295CA3"/>
          <w:w w:val="110"/>
        </w:rPr>
        <w:t>Program</w:t>
      </w:r>
      <w:r w:rsidRPr="009F06AF">
        <w:rPr>
          <w:rFonts w:cstheme="minorHAnsi"/>
          <w:b/>
          <w:bCs/>
          <w:color w:val="295CA3"/>
          <w:spacing w:val="6"/>
          <w:w w:val="110"/>
        </w:rPr>
        <w:t xml:space="preserve"> </w:t>
      </w:r>
      <w:r w:rsidRPr="009F06AF">
        <w:rPr>
          <w:rFonts w:cstheme="minorHAnsi"/>
          <w:b/>
          <w:bCs/>
          <w:color w:val="295CA3"/>
          <w:w w:val="110"/>
        </w:rPr>
        <w:t>Elements</w:t>
      </w:r>
    </w:p>
    <w:p w14:paraId="225683D4" w14:textId="527CD09D" w:rsidR="009F1BFB" w:rsidRDefault="00EA7458" w:rsidP="00D63204">
      <w:pPr>
        <w:widowControl w:val="0"/>
        <w:spacing w:before="193" w:after="0" w:line="264" w:lineRule="exact"/>
        <w:ind w:left="107"/>
        <w:rPr>
          <w:rFonts w:cstheme="minorHAnsi"/>
          <w:color w:val="231F20"/>
          <w:w w:val="105"/>
        </w:rPr>
      </w:pPr>
      <w:r w:rsidRPr="009F06AF">
        <w:rPr>
          <w:rFonts w:cstheme="minorHAnsi"/>
          <w:color w:val="231F20"/>
          <w:w w:val="105"/>
        </w:rPr>
        <w:t>Each</w:t>
      </w:r>
      <w:r w:rsidRPr="009F06AF">
        <w:rPr>
          <w:rFonts w:cstheme="minorHAnsi"/>
          <w:color w:val="231F20"/>
          <w:spacing w:val="10"/>
          <w:w w:val="105"/>
        </w:rPr>
        <w:t xml:space="preserve"> </w:t>
      </w:r>
      <w:r w:rsidRPr="009F06AF">
        <w:rPr>
          <w:rFonts w:cstheme="minorHAnsi"/>
          <w:color w:val="231F20"/>
          <w:spacing w:val="-4"/>
          <w:w w:val="105"/>
        </w:rPr>
        <w:t>LWDB</w:t>
      </w:r>
      <w:r w:rsidRPr="009F06AF">
        <w:rPr>
          <w:rFonts w:cstheme="minorHAnsi"/>
          <w:color w:val="231F20"/>
          <w:spacing w:val="10"/>
          <w:w w:val="105"/>
        </w:rPr>
        <w:t xml:space="preserve"> </w:t>
      </w:r>
      <w:r w:rsidR="00281A18" w:rsidRPr="009F06AF">
        <w:rPr>
          <w:rFonts w:cstheme="minorHAnsi"/>
          <w:color w:val="231F20"/>
          <w:w w:val="105"/>
        </w:rPr>
        <w:t xml:space="preserve">develops </w:t>
      </w:r>
      <w:r w:rsidRPr="009F06AF">
        <w:rPr>
          <w:rFonts w:cstheme="minorHAnsi"/>
          <w:color w:val="231F20"/>
          <w:w w:val="105"/>
        </w:rPr>
        <w:t>a</w:t>
      </w:r>
      <w:r w:rsidRPr="009F06AF">
        <w:rPr>
          <w:rFonts w:cstheme="minorHAnsi"/>
          <w:color w:val="231F20"/>
          <w:spacing w:val="10"/>
          <w:w w:val="105"/>
        </w:rPr>
        <w:t xml:space="preserve"> </w:t>
      </w:r>
      <w:r w:rsidRPr="009F06AF">
        <w:rPr>
          <w:rFonts w:cstheme="minorHAnsi"/>
          <w:color w:val="231F20"/>
          <w:w w:val="105"/>
        </w:rPr>
        <w:t>plan</w:t>
      </w:r>
      <w:r w:rsidRPr="009F06AF">
        <w:rPr>
          <w:rFonts w:cstheme="minorHAnsi"/>
          <w:color w:val="231F20"/>
          <w:spacing w:val="10"/>
          <w:w w:val="105"/>
        </w:rPr>
        <w:t xml:space="preserve"> </w:t>
      </w:r>
      <w:r w:rsidRPr="009F06AF">
        <w:rPr>
          <w:rFonts w:cstheme="minorHAnsi"/>
          <w:color w:val="231F20"/>
          <w:w w:val="105"/>
        </w:rPr>
        <w:t>to</w:t>
      </w:r>
      <w:r w:rsidRPr="009F06AF">
        <w:rPr>
          <w:rFonts w:cstheme="minorHAnsi"/>
          <w:color w:val="231F20"/>
          <w:spacing w:val="10"/>
          <w:w w:val="105"/>
        </w:rPr>
        <w:t xml:space="preserve"> </w:t>
      </w:r>
      <w:r w:rsidR="00281A18" w:rsidRPr="009F06AF">
        <w:rPr>
          <w:rFonts w:cstheme="minorHAnsi"/>
          <w:color w:val="231F20"/>
          <w:w w:val="105"/>
        </w:rPr>
        <w:t xml:space="preserve">accomplish youth program </w:t>
      </w:r>
      <w:r w:rsidRPr="009F06AF">
        <w:rPr>
          <w:rFonts w:cstheme="minorHAnsi"/>
          <w:color w:val="231F20"/>
          <w:w w:val="105"/>
        </w:rPr>
        <w:t>elements</w:t>
      </w:r>
      <w:r w:rsidRPr="009F06AF">
        <w:rPr>
          <w:rFonts w:cstheme="minorHAnsi"/>
          <w:color w:val="231F20"/>
          <w:spacing w:val="10"/>
          <w:w w:val="105"/>
        </w:rPr>
        <w:t xml:space="preserve"> </w:t>
      </w:r>
      <w:r w:rsidRPr="009F06AF">
        <w:rPr>
          <w:rFonts w:cstheme="minorHAnsi"/>
          <w:color w:val="231F20"/>
          <w:w w:val="105"/>
        </w:rPr>
        <w:t>in</w:t>
      </w:r>
      <w:r w:rsidRPr="009F06AF">
        <w:rPr>
          <w:rFonts w:cstheme="minorHAnsi"/>
          <w:color w:val="231F20"/>
          <w:spacing w:val="10"/>
          <w:w w:val="105"/>
        </w:rPr>
        <w:t xml:space="preserve"> </w:t>
      </w:r>
      <w:r w:rsidRPr="009F06AF">
        <w:rPr>
          <w:rFonts w:cstheme="minorHAnsi"/>
          <w:color w:val="231F20"/>
          <w:w w:val="105"/>
        </w:rPr>
        <w:t>accordance</w:t>
      </w:r>
      <w:r w:rsidRPr="009F06AF">
        <w:rPr>
          <w:rFonts w:cstheme="minorHAnsi"/>
          <w:color w:val="231F20"/>
          <w:spacing w:val="10"/>
          <w:w w:val="105"/>
        </w:rPr>
        <w:t xml:space="preserve"> </w:t>
      </w:r>
      <w:r w:rsidRPr="009F06AF">
        <w:rPr>
          <w:rFonts w:cstheme="minorHAnsi"/>
          <w:color w:val="231F20"/>
          <w:w w:val="105"/>
        </w:rPr>
        <w:t>with</w:t>
      </w:r>
      <w:r w:rsidRPr="009F06AF">
        <w:rPr>
          <w:rFonts w:cstheme="minorHAnsi"/>
          <w:color w:val="231F20"/>
          <w:spacing w:val="10"/>
          <w:w w:val="105"/>
        </w:rPr>
        <w:t xml:space="preserve"> </w:t>
      </w:r>
      <w:r w:rsidRPr="009F06AF">
        <w:rPr>
          <w:rFonts w:cstheme="minorHAnsi"/>
          <w:color w:val="231F20"/>
          <w:w w:val="105"/>
        </w:rPr>
        <w:t>WIOA,</w:t>
      </w:r>
      <w:r w:rsidRPr="009F06AF">
        <w:rPr>
          <w:rFonts w:cstheme="minorHAnsi"/>
          <w:color w:val="231F20"/>
          <w:spacing w:val="10"/>
          <w:w w:val="105"/>
        </w:rPr>
        <w:t xml:space="preserve"> </w:t>
      </w:r>
      <w:r w:rsidRPr="009F06AF">
        <w:rPr>
          <w:rFonts w:cstheme="minorHAnsi"/>
          <w:color w:val="231F20"/>
          <w:w w:val="105"/>
        </w:rPr>
        <w:t>Section</w:t>
      </w:r>
      <w:r w:rsidRPr="009F06AF">
        <w:rPr>
          <w:rFonts w:cstheme="minorHAnsi"/>
          <w:color w:val="231F20"/>
          <w:spacing w:val="10"/>
          <w:w w:val="105"/>
        </w:rPr>
        <w:t xml:space="preserve"> </w:t>
      </w:r>
      <w:r w:rsidRPr="009F06AF">
        <w:rPr>
          <w:rFonts w:cstheme="minorHAnsi"/>
          <w:color w:val="231F20"/>
          <w:w w:val="105"/>
        </w:rPr>
        <w:t>129</w:t>
      </w:r>
      <w:r w:rsidRPr="009F06AF">
        <w:rPr>
          <w:rFonts w:cstheme="minorHAnsi"/>
          <w:color w:val="231F20"/>
          <w:spacing w:val="10"/>
          <w:w w:val="105"/>
        </w:rPr>
        <w:t xml:space="preserve"> </w:t>
      </w:r>
      <w:r w:rsidRPr="009F06AF">
        <w:rPr>
          <w:rFonts w:cstheme="minorHAnsi"/>
          <w:color w:val="231F20"/>
          <w:w w:val="105"/>
        </w:rPr>
        <w:t>(c)(2).</w:t>
      </w:r>
      <w:r w:rsidRPr="009F06AF">
        <w:rPr>
          <w:rFonts w:cstheme="minorHAnsi"/>
          <w:color w:val="231F20"/>
          <w:spacing w:val="10"/>
          <w:w w:val="105"/>
        </w:rPr>
        <w:t xml:space="preserve"> </w:t>
      </w:r>
      <w:r w:rsidRPr="009F06AF">
        <w:rPr>
          <w:rFonts w:cstheme="minorHAnsi"/>
          <w:color w:val="231F20"/>
          <w:w w:val="105"/>
        </w:rPr>
        <w:t>Each</w:t>
      </w:r>
      <w:r w:rsidRPr="009F06AF">
        <w:rPr>
          <w:rFonts w:cstheme="minorHAnsi"/>
          <w:color w:val="231F20"/>
          <w:w w:val="111"/>
        </w:rPr>
        <w:t xml:space="preserve"> </w:t>
      </w:r>
      <w:r w:rsidRPr="009F06AF">
        <w:rPr>
          <w:rFonts w:cstheme="minorHAnsi"/>
          <w:color w:val="231F20"/>
          <w:w w:val="105"/>
        </w:rPr>
        <w:t>local</w:t>
      </w:r>
      <w:r w:rsidRPr="009F06AF">
        <w:rPr>
          <w:rFonts w:cstheme="minorHAnsi"/>
          <w:color w:val="231F20"/>
          <w:spacing w:val="7"/>
          <w:w w:val="105"/>
        </w:rPr>
        <w:t xml:space="preserve"> </w:t>
      </w:r>
      <w:r w:rsidRPr="009F06AF">
        <w:rPr>
          <w:rFonts w:cstheme="minorHAnsi"/>
          <w:color w:val="231F20"/>
          <w:w w:val="105"/>
        </w:rPr>
        <w:t>board</w:t>
      </w:r>
      <w:r w:rsidRPr="009F06AF">
        <w:rPr>
          <w:rFonts w:cstheme="minorHAnsi"/>
          <w:color w:val="231F20"/>
          <w:spacing w:val="7"/>
          <w:w w:val="105"/>
        </w:rPr>
        <w:t xml:space="preserve"> </w:t>
      </w:r>
      <w:r w:rsidRPr="009F06AF">
        <w:rPr>
          <w:rFonts w:cstheme="minorHAnsi"/>
          <w:color w:val="231F20"/>
          <w:w w:val="105"/>
        </w:rPr>
        <w:t>shall</w:t>
      </w:r>
      <w:r w:rsidRPr="009F06AF">
        <w:rPr>
          <w:rFonts w:cstheme="minorHAnsi"/>
          <w:color w:val="231F20"/>
          <w:spacing w:val="7"/>
          <w:w w:val="105"/>
        </w:rPr>
        <w:t xml:space="preserve"> </w:t>
      </w:r>
      <w:r w:rsidRPr="009F06AF">
        <w:rPr>
          <w:rFonts w:cstheme="minorHAnsi"/>
          <w:color w:val="231F20"/>
          <w:w w:val="105"/>
        </w:rPr>
        <w:t>ensure</w:t>
      </w:r>
      <w:r w:rsidRPr="009F06AF">
        <w:rPr>
          <w:rFonts w:cstheme="minorHAnsi"/>
          <w:color w:val="231F20"/>
          <w:spacing w:val="7"/>
          <w:w w:val="105"/>
        </w:rPr>
        <w:t xml:space="preserve"> </w:t>
      </w:r>
      <w:r w:rsidRPr="009F06AF">
        <w:rPr>
          <w:rFonts w:cstheme="minorHAnsi"/>
          <w:color w:val="231F20"/>
          <w:w w:val="105"/>
        </w:rPr>
        <w:t>all</w:t>
      </w:r>
      <w:r w:rsidRPr="009F06AF">
        <w:rPr>
          <w:rFonts w:cstheme="minorHAnsi"/>
          <w:color w:val="231F20"/>
          <w:spacing w:val="7"/>
          <w:w w:val="105"/>
        </w:rPr>
        <w:t xml:space="preserve"> </w:t>
      </w:r>
      <w:r w:rsidRPr="009F06AF">
        <w:rPr>
          <w:rFonts w:cstheme="minorHAnsi"/>
          <w:color w:val="231F20"/>
          <w:w w:val="105"/>
        </w:rPr>
        <w:t>youth</w:t>
      </w:r>
      <w:r w:rsidRPr="009F06AF">
        <w:rPr>
          <w:rFonts w:cstheme="minorHAnsi"/>
          <w:color w:val="231F20"/>
          <w:spacing w:val="7"/>
          <w:w w:val="105"/>
        </w:rPr>
        <w:t xml:space="preserve"> </w:t>
      </w:r>
      <w:r w:rsidRPr="009F06AF">
        <w:rPr>
          <w:rFonts w:cstheme="minorHAnsi"/>
          <w:color w:val="231F20"/>
          <w:w w:val="105"/>
        </w:rPr>
        <w:t>program</w:t>
      </w:r>
      <w:r w:rsidRPr="009F06AF">
        <w:rPr>
          <w:rFonts w:cstheme="minorHAnsi"/>
          <w:color w:val="231F20"/>
          <w:spacing w:val="7"/>
          <w:w w:val="105"/>
        </w:rPr>
        <w:t xml:space="preserve"> </w:t>
      </w:r>
      <w:r w:rsidRPr="009F06AF">
        <w:rPr>
          <w:rFonts w:cstheme="minorHAnsi"/>
          <w:color w:val="231F20"/>
          <w:w w:val="105"/>
        </w:rPr>
        <w:t>elements</w:t>
      </w:r>
      <w:r w:rsidRPr="009F06AF">
        <w:rPr>
          <w:rFonts w:cstheme="minorHAnsi"/>
          <w:color w:val="231F20"/>
          <w:spacing w:val="7"/>
          <w:w w:val="105"/>
        </w:rPr>
        <w:t xml:space="preserve"> </w:t>
      </w:r>
      <w:r w:rsidRPr="009F06AF">
        <w:rPr>
          <w:rFonts w:cstheme="minorHAnsi"/>
          <w:color w:val="231F20"/>
          <w:w w:val="105"/>
        </w:rPr>
        <w:t>are</w:t>
      </w:r>
      <w:r w:rsidRPr="009F06AF">
        <w:rPr>
          <w:rFonts w:cstheme="minorHAnsi"/>
          <w:color w:val="231F20"/>
          <w:spacing w:val="7"/>
          <w:w w:val="105"/>
        </w:rPr>
        <w:t xml:space="preserve"> </w:t>
      </w:r>
      <w:r w:rsidRPr="009F06AF">
        <w:rPr>
          <w:rFonts w:cstheme="minorHAnsi"/>
          <w:color w:val="231F20"/>
          <w:w w:val="105"/>
        </w:rPr>
        <w:t>available</w:t>
      </w:r>
      <w:r w:rsidRPr="009F06AF">
        <w:rPr>
          <w:rFonts w:cstheme="minorHAnsi"/>
          <w:color w:val="231F20"/>
          <w:spacing w:val="7"/>
          <w:w w:val="105"/>
        </w:rPr>
        <w:t xml:space="preserve"> </w:t>
      </w:r>
      <w:r w:rsidRPr="009F06AF">
        <w:rPr>
          <w:rFonts w:cstheme="minorHAnsi"/>
          <w:color w:val="231F20"/>
          <w:w w:val="105"/>
        </w:rPr>
        <w:t>to</w:t>
      </w:r>
      <w:r w:rsidRPr="009F06AF">
        <w:rPr>
          <w:rFonts w:cstheme="minorHAnsi"/>
          <w:color w:val="231F20"/>
          <w:spacing w:val="7"/>
          <w:w w:val="105"/>
        </w:rPr>
        <w:t xml:space="preserve"> </w:t>
      </w:r>
      <w:r w:rsidRPr="009F06AF">
        <w:rPr>
          <w:rFonts w:cstheme="minorHAnsi"/>
          <w:color w:val="231F20"/>
          <w:w w:val="105"/>
        </w:rPr>
        <w:t>youth</w:t>
      </w:r>
      <w:r w:rsidRPr="009F06AF">
        <w:rPr>
          <w:rFonts w:cstheme="minorHAnsi"/>
          <w:color w:val="231F20"/>
          <w:spacing w:val="7"/>
          <w:w w:val="105"/>
        </w:rPr>
        <w:t xml:space="preserve"> </w:t>
      </w:r>
      <w:r w:rsidRPr="009F06AF">
        <w:rPr>
          <w:rFonts w:cstheme="minorHAnsi"/>
          <w:color w:val="231F20"/>
          <w:w w:val="105"/>
        </w:rPr>
        <w:t>as</w:t>
      </w:r>
      <w:r w:rsidRPr="009F06AF">
        <w:rPr>
          <w:rFonts w:cstheme="minorHAnsi"/>
          <w:color w:val="231F20"/>
          <w:spacing w:val="7"/>
          <w:w w:val="105"/>
        </w:rPr>
        <w:t xml:space="preserve"> </w:t>
      </w:r>
      <w:r w:rsidRPr="009F06AF">
        <w:rPr>
          <w:rFonts w:cstheme="minorHAnsi"/>
          <w:color w:val="231F20"/>
          <w:w w:val="105"/>
        </w:rPr>
        <w:t>part</w:t>
      </w:r>
      <w:r w:rsidRPr="009F06AF">
        <w:rPr>
          <w:rFonts w:cstheme="minorHAnsi"/>
          <w:color w:val="231F20"/>
          <w:spacing w:val="7"/>
          <w:w w:val="105"/>
        </w:rPr>
        <w:t xml:space="preserve"> </w:t>
      </w:r>
      <w:r w:rsidRPr="009F06AF">
        <w:rPr>
          <w:rFonts w:cstheme="minorHAnsi"/>
          <w:color w:val="231F20"/>
          <w:w w:val="105"/>
        </w:rPr>
        <w:t>of</w:t>
      </w:r>
      <w:r w:rsidRPr="009F06AF">
        <w:rPr>
          <w:rFonts w:cstheme="minorHAnsi"/>
          <w:color w:val="231F20"/>
          <w:spacing w:val="7"/>
          <w:w w:val="105"/>
        </w:rPr>
        <w:t xml:space="preserve"> </w:t>
      </w:r>
      <w:r w:rsidRPr="009F06AF">
        <w:rPr>
          <w:rFonts w:cstheme="minorHAnsi"/>
          <w:color w:val="231F20"/>
          <w:w w:val="105"/>
        </w:rPr>
        <w:t>a</w:t>
      </w:r>
      <w:r w:rsidRPr="009F06AF">
        <w:rPr>
          <w:rFonts w:cstheme="minorHAnsi"/>
          <w:color w:val="231F20"/>
          <w:spacing w:val="7"/>
          <w:w w:val="105"/>
        </w:rPr>
        <w:t xml:space="preserve"> </w:t>
      </w:r>
      <w:r w:rsidRPr="009F06AF">
        <w:rPr>
          <w:rFonts w:cstheme="minorHAnsi"/>
          <w:color w:val="231F20"/>
          <w:w w:val="105"/>
        </w:rPr>
        <w:t>menu</w:t>
      </w:r>
      <w:r w:rsidRPr="009F06AF">
        <w:rPr>
          <w:rFonts w:cstheme="minorHAnsi"/>
          <w:color w:val="231F20"/>
          <w:spacing w:val="7"/>
          <w:w w:val="105"/>
        </w:rPr>
        <w:t xml:space="preserve"> </w:t>
      </w:r>
      <w:r w:rsidRPr="009F06AF">
        <w:rPr>
          <w:rFonts w:cstheme="minorHAnsi"/>
          <w:color w:val="231F20"/>
          <w:w w:val="105"/>
        </w:rPr>
        <w:t>of</w:t>
      </w:r>
      <w:r w:rsidRPr="009F06AF">
        <w:rPr>
          <w:rFonts w:cstheme="minorHAnsi"/>
          <w:color w:val="231F20"/>
          <w:spacing w:val="-26"/>
          <w:w w:val="105"/>
        </w:rPr>
        <w:t xml:space="preserve"> </w:t>
      </w:r>
      <w:r w:rsidRPr="009F06AF">
        <w:rPr>
          <w:rFonts w:cstheme="minorHAnsi"/>
          <w:color w:val="231F20"/>
          <w:w w:val="105"/>
        </w:rPr>
        <w:t>services</w:t>
      </w:r>
      <w:r w:rsidRPr="009F06AF">
        <w:rPr>
          <w:rFonts w:cstheme="minorHAnsi"/>
          <w:color w:val="231F20"/>
          <w:spacing w:val="26"/>
          <w:w w:val="105"/>
        </w:rPr>
        <w:t xml:space="preserve"> </w:t>
      </w:r>
      <w:r w:rsidRPr="009F06AF">
        <w:rPr>
          <w:rFonts w:cstheme="minorHAnsi"/>
          <w:color w:val="231F20"/>
          <w:w w:val="105"/>
        </w:rPr>
        <w:t>based</w:t>
      </w:r>
      <w:r w:rsidRPr="009F06AF">
        <w:rPr>
          <w:rFonts w:cstheme="minorHAnsi"/>
          <w:color w:val="231F20"/>
          <w:spacing w:val="26"/>
          <w:w w:val="105"/>
        </w:rPr>
        <w:t xml:space="preserve"> </w:t>
      </w:r>
      <w:r w:rsidRPr="009F06AF">
        <w:rPr>
          <w:rFonts w:cstheme="minorHAnsi"/>
          <w:color w:val="231F20"/>
          <w:w w:val="105"/>
        </w:rPr>
        <w:t>on</w:t>
      </w:r>
      <w:r w:rsidRPr="009F06AF">
        <w:rPr>
          <w:rFonts w:cstheme="minorHAnsi"/>
          <w:color w:val="231F20"/>
          <w:spacing w:val="26"/>
          <w:w w:val="105"/>
        </w:rPr>
        <w:t xml:space="preserve"> </w:t>
      </w:r>
      <w:r w:rsidRPr="009F06AF">
        <w:rPr>
          <w:rFonts w:cstheme="minorHAnsi"/>
          <w:color w:val="231F20"/>
          <w:w w:val="105"/>
        </w:rPr>
        <w:t>their</w:t>
      </w:r>
      <w:r w:rsidRPr="009F06AF">
        <w:rPr>
          <w:rFonts w:cstheme="minorHAnsi"/>
          <w:color w:val="231F20"/>
          <w:spacing w:val="26"/>
          <w:w w:val="105"/>
        </w:rPr>
        <w:t xml:space="preserve"> </w:t>
      </w:r>
      <w:r w:rsidRPr="009F06AF">
        <w:rPr>
          <w:rFonts w:cstheme="minorHAnsi"/>
          <w:color w:val="231F20"/>
          <w:w w:val="105"/>
        </w:rPr>
        <w:t>objective</w:t>
      </w:r>
      <w:r w:rsidRPr="009F06AF">
        <w:rPr>
          <w:rFonts w:cstheme="minorHAnsi"/>
          <w:color w:val="231F20"/>
          <w:spacing w:val="26"/>
          <w:w w:val="105"/>
        </w:rPr>
        <w:t xml:space="preserve"> </w:t>
      </w:r>
      <w:r w:rsidRPr="009F06AF">
        <w:rPr>
          <w:rFonts w:cstheme="minorHAnsi"/>
          <w:color w:val="231F20"/>
          <w:w w:val="105"/>
        </w:rPr>
        <w:t>assessment</w:t>
      </w:r>
      <w:r w:rsidRPr="009F06AF">
        <w:rPr>
          <w:rFonts w:cstheme="minorHAnsi"/>
          <w:color w:val="231F20"/>
          <w:spacing w:val="26"/>
          <w:w w:val="105"/>
        </w:rPr>
        <w:t xml:space="preserve"> </w:t>
      </w:r>
      <w:r w:rsidRPr="009F06AF">
        <w:rPr>
          <w:rFonts w:cstheme="minorHAnsi"/>
          <w:color w:val="231F20"/>
          <w:w w:val="105"/>
        </w:rPr>
        <w:t>and</w:t>
      </w:r>
      <w:r w:rsidRPr="009F06AF">
        <w:rPr>
          <w:rFonts w:cstheme="minorHAnsi"/>
          <w:color w:val="231F20"/>
          <w:spacing w:val="26"/>
          <w:w w:val="105"/>
        </w:rPr>
        <w:t xml:space="preserve"> </w:t>
      </w:r>
      <w:r w:rsidRPr="009F06AF">
        <w:rPr>
          <w:rFonts w:cstheme="minorHAnsi"/>
          <w:color w:val="231F20"/>
          <w:w w:val="105"/>
        </w:rPr>
        <w:t>Individual</w:t>
      </w:r>
      <w:r w:rsidRPr="009F06AF">
        <w:rPr>
          <w:rFonts w:cstheme="minorHAnsi"/>
          <w:color w:val="231F20"/>
          <w:spacing w:val="26"/>
          <w:w w:val="105"/>
        </w:rPr>
        <w:t xml:space="preserve"> </w:t>
      </w:r>
      <w:r w:rsidRPr="009F06AF">
        <w:rPr>
          <w:rFonts w:cstheme="minorHAnsi"/>
          <w:color w:val="231F20"/>
          <w:w w:val="105"/>
        </w:rPr>
        <w:t>Service</w:t>
      </w:r>
      <w:r w:rsidRPr="009F06AF">
        <w:rPr>
          <w:rFonts w:cstheme="minorHAnsi"/>
          <w:color w:val="231F20"/>
          <w:spacing w:val="26"/>
          <w:w w:val="105"/>
        </w:rPr>
        <w:t xml:space="preserve"> </w:t>
      </w:r>
      <w:r w:rsidRPr="009F06AF">
        <w:rPr>
          <w:rFonts w:cstheme="minorHAnsi"/>
          <w:color w:val="231F20"/>
          <w:w w:val="105"/>
        </w:rPr>
        <w:t>Strategy</w:t>
      </w:r>
      <w:r w:rsidRPr="009F06AF">
        <w:rPr>
          <w:rFonts w:cstheme="minorHAnsi"/>
          <w:color w:val="231F20"/>
          <w:spacing w:val="26"/>
          <w:w w:val="105"/>
        </w:rPr>
        <w:t xml:space="preserve"> </w:t>
      </w:r>
      <w:r w:rsidRPr="009F06AF">
        <w:rPr>
          <w:rFonts w:cstheme="minorHAnsi"/>
          <w:color w:val="231F20"/>
          <w:w w:val="105"/>
        </w:rPr>
        <w:t>(ISS).</w:t>
      </w:r>
    </w:p>
    <w:p w14:paraId="195BF752" w14:textId="77777777" w:rsidR="009F1BFB" w:rsidRDefault="009F1BFB">
      <w:pPr>
        <w:rPr>
          <w:rFonts w:cstheme="minorHAnsi"/>
          <w:color w:val="231F20"/>
          <w:w w:val="105"/>
        </w:rPr>
      </w:pPr>
      <w:r>
        <w:rPr>
          <w:rFonts w:cstheme="minorHAnsi"/>
          <w:color w:val="231F20"/>
          <w:w w:val="105"/>
        </w:rPr>
        <w:br w:type="page"/>
      </w:r>
    </w:p>
    <w:p w14:paraId="15289F88" w14:textId="77777777" w:rsidR="00EA7458" w:rsidRPr="009F06AF" w:rsidRDefault="00EA7458" w:rsidP="00D63204">
      <w:pPr>
        <w:widowControl w:val="0"/>
        <w:spacing w:before="193" w:after="0" w:line="264" w:lineRule="exact"/>
        <w:ind w:left="107"/>
        <w:rPr>
          <w:rFonts w:cstheme="minorHAnsi"/>
        </w:rPr>
      </w:pPr>
    </w:p>
    <w:p w14:paraId="6C0C2C30" w14:textId="77777777" w:rsidR="00EA7458" w:rsidRPr="009F06AF" w:rsidRDefault="00EA7458" w:rsidP="00D63204">
      <w:pPr>
        <w:widowControl w:val="0"/>
        <w:spacing w:before="6" w:after="0" w:line="240" w:lineRule="auto"/>
        <w:ind w:left="107"/>
        <w:rPr>
          <w:rFonts w:cstheme="minorHAnsi"/>
          <w:sz w:val="16"/>
          <w:szCs w:val="16"/>
        </w:rPr>
      </w:pPr>
    </w:p>
    <w:p w14:paraId="2A0814EA" w14:textId="77777777" w:rsidR="00EA7458" w:rsidRPr="009F06AF" w:rsidRDefault="00EA7458" w:rsidP="00D63204">
      <w:pPr>
        <w:widowControl w:val="0"/>
        <w:numPr>
          <w:ilvl w:val="1"/>
          <w:numId w:val="4"/>
        </w:numPr>
        <w:tabs>
          <w:tab w:val="left" w:pos="1548"/>
        </w:tabs>
        <w:spacing w:after="0" w:line="240" w:lineRule="auto"/>
        <w:outlineLvl w:val="2"/>
        <w:rPr>
          <w:rFonts w:cstheme="minorHAnsi"/>
        </w:rPr>
      </w:pPr>
      <w:r w:rsidRPr="009F06AF">
        <w:rPr>
          <w:rFonts w:cstheme="minorHAnsi"/>
          <w:b/>
          <w:bCs/>
          <w:color w:val="295CA3"/>
          <w:w w:val="105"/>
        </w:rPr>
        <w:t>Language Specified in WIOA Sections 129(a)(1)(B)(iii)(VIII) and</w:t>
      </w:r>
      <w:r w:rsidRPr="009F06AF">
        <w:rPr>
          <w:rFonts w:cstheme="minorHAnsi"/>
          <w:b/>
          <w:bCs/>
          <w:color w:val="295CA3"/>
          <w:spacing w:val="2"/>
          <w:w w:val="105"/>
        </w:rPr>
        <w:t xml:space="preserve"> </w:t>
      </w:r>
      <w:r w:rsidRPr="009F06AF">
        <w:rPr>
          <w:rFonts w:cstheme="minorHAnsi"/>
          <w:b/>
          <w:bCs/>
          <w:color w:val="295CA3"/>
          <w:w w:val="105"/>
        </w:rPr>
        <w:t>129(a)(1)(C)(iv)(VII)</w:t>
      </w:r>
    </w:p>
    <w:p w14:paraId="13172901" w14:textId="6FE9ACD7" w:rsidR="00EA7458" w:rsidRPr="00C50CA2" w:rsidRDefault="00EA7458" w:rsidP="00D63204">
      <w:pPr>
        <w:widowControl w:val="0"/>
        <w:spacing w:before="193" w:after="0" w:line="264" w:lineRule="exact"/>
        <w:ind w:left="107"/>
        <w:rPr>
          <w:rFonts w:cstheme="minorHAnsi"/>
          <w:color w:val="231F20"/>
          <w:w w:val="105"/>
        </w:rPr>
      </w:pPr>
      <w:r w:rsidRPr="00C50CA2">
        <w:rPr>
          <w:rFonts w:cstheme="minorHAnsi"/>
          <w:color w:val="231F20"/>
          <w:w w:val="105"/>
        </w:rPr>
        <w:t>Each LWDB shall define the term “requires additional assistance to complete and educational program,</w:t>
      </w:r>
      <w:r w:rsidRPr="009F06AF">
        <w:rPr>
          <w:rFonts w:cstheme="minorHAnsi"/>
          <w:color w:val="231F20"/>
          <w:w w:val="105"/>
        </w:rPr>
        <w:t xml:space="preserve"> </w:t>
      </w:r>
      <w:r w:rsidRPr="00C50CA2">
        <w:rPr>
          <w:rFonts w:cstheme="minorHAnsi"/>
          <w:color w:val="231F20"/>
          <w:w w:val="105"/>
        </w:rPr>
        <w:t xml:space="preserve">or to secure and hold employment.” The definition </w:t>
      </w:r>
      <w:r w:rsidR="00C81671" w:rsidRPr="00C50CA2">
        <w:rPr>
          <w:rFonts w:cstheme="minorHAnsi"/>
          <w:color w:val="231F20"/>
          <w:w w:val="105"/>
        </w:rPr>
        <w:t xml:space="preserve">shall </w:t>
      </w:r>
      <w:r w:rsidRPr="00C50CA2">
        <w:rPr>
          <w:rFonts w:cstheme="minorHAnsi"/>
          <w:color w:val="231F20"/>
          <w:w w:val="105"/>
        </w:rPr>
        <w:t>be included in the LWDB’s local plan. Policies established at the local level must be reasonable, quantifiable</w:t>
      </w:r>
      <w:r w:rsidR="00D5537E">
        <w:rPr>
          <w:rFonts w:cstheme="minorHAnsi"/>
          <w:color w:val="231F20"/>
          <w:w w:val="105"/>
        </w:rPr>
        <w:t xml:space="preserve"> and</w:t>
      </w:r>
      <w:r w:rsidRPr="00C50CA2">
        <w:rPr>
          <w:rFonts w:cstheme="minorHAnsi"/>
          <w:color w:val="231F20"/>
          <w:w w:val="105"/>
        </w:rPr>
        <w:t xml:space="preserve"> based on evidence that specific characteristic</w:t>
      </w:r>
      <w:r w:rsidR="00BF45BE" w:rsidRPr="00C50CA2">
        <w:rPr>
          <w:rFonts w:cstheme="minorHAnsi"/>
          <w:color w:val="231F20"/>
          <w:w w:val="105"/>
        </w:rPr>
        <w:t>s</w:t>
      </w:r>
      <w:r w:rsidRPr="00C50CA2">
        <w:rPr>
          <w:rFonts w:cstheme="minorHAnsi"/>
          <w:color w:val="231F20"/>
          <w:w w:val="105"/>
        </w:rPr>
        <w:t xml:space="preserve"> of the youth identified in the policy objectively require additional assistance. For example, “reading below grade level” is an example of an evidence-based, quantifiable characteristic; whereas, “low GPA” is an example of a policy </w:t>
      </w:r>
      <w:r w:rsidR="00BF45BE" w:rsidRPr="00C50CA2">
        <w:rPr>
          <w:rFonts w:cstheme="minorHAnsi"/>
          <w:color w:val="231F20"/>
          <w:w w:val="105"/>
        </w:rPr>
        <w:t xml:space="preserve">requiring </w:t>
      </w:r>
      <w:r w:rsidRPr="00C50CA2">
        <w:rPr>
          <w:rFonts w:cstheme="minorHAnsi"/>
          <w:color w:val="231F20"/>
          <w:w w:val="105"/>
        </w:rPr>
        <w:t xml:space="preserve">specificity. </w:t>
      </w:r>
      <w:r w:rsidR="00BF45BE" w:rsidRPr="00C50CA2">
        <w:rPr>
          <w:rFonts w:cstheme="minorHAnsi"/>
          <w:color w:val="231F20"/>
          <w:w w:val="105"/>
        </w:rPr>
        <w:t xml:space="preserve">Policies improve where </w:t>
      </w:r>
      <w:r w:rsidRPr="00C50CA2">
        <w:rPr>
          <w:rFonts w:cstheme="minorHAnsi"/>
          <w:color w:val="231F20"/>
          <w:w w:val="105"/>
        </w:rPr>
        <w:t xml:space="preserve">the characteristic </w:t>
      </w:r>
      <w:r w:rsidR="00BF45BE" w:rsidRPr="00C50CA2">
        <w:rPr>
          <w:rFonts w:cstheme="minorHAnsi"/>
          <w:color w:val="231F20"/>
          <w:w w:val="105"/>
        </w:rPr>
        <w:t xml:space="preserve">is </w:t>
      </w:r>
      <w:r w:rsidRPr="00C50CA2">
        <w:rPr>
          <w:rFonts w:cstheme="minorHAnsi"/>
          <w:color w:val="231F20"/>
          <w:w w:val="105"/>
        </w:rPr>
        <w:t>specific and quantifiable, such as a youth with a GPA below a specific threshold.</w:t>
      </w:r>
    </w:p>
    <w:p w14:paraId="081146C9" w14:textId="77777777" w:rsidR="00EA7458" w:rsidRPr="009F06AF" w:rsidRDefault="00EA7458" w:rsidP="00D63204">
      <w:pPr>
        <w:widowControl w:val="0"/>
        <w:spacing w:before="2" w:after="0" w:line="240" w:lineRule="auto"/>
        <w:ind w:left="107"/>
        <w:rPr>
          <w:rFonts w:cstheme="minorHAnsi"/>
          <w:sz w:val="14"/>
          <w:szCs w:val="14"/>
        </w:rPr>
      </w:pPr>
    </w:p>
    <w:p w14:paraId="19D53E1A" w14:textId="77777777" w:rsidR="00EA7458" w:rsidRPr="009F06AF" w:rsidRDefault="00EA7458" w:rsidP="00D63204">
      <w:pPr>
        <w:widowControl w:val="0"/>
        <w:numPr>
          <w:ilvl w:val="1"/>
          <w:numId w:val="4"/>
        </w:numPr>
        <w:spacing w:before="59" w:after="0" w:line="240" w:lineRule="auto"/>
        <w:outlineLvl w:val="2"/>
        <w:rPr>
          <w:rFonts w:cstheme="minorHAnsi"/>
        </w:rPr>
      </w:pPr>
      <w:r w:rsidRPr="009F06AF">
        <w:rPr>
          <w:rFonts w:cstheme="minorHAnsi"/>
          <w:b/>
          <w:bCs/>
          <w:color w:val="295CA3"/>
          <w:w w:val="110"/>
        </w:rPr>
        <w:t>State’s Definition for Not Attending School and Attending</w:t>
      </w:r>
      <w:r w:rsidRPr="009F06AF">
        <w:rPr>
          <w:rFonts w:cstheme="minorHAnsi"/>
          <w:b/>
          <w:bCs/>
          <w:color w:val="295CA3"/>
          <w:spacing w:val="-5"/>
          <w:w w:val="110"/>
        </w:rPr>
        <w:t xml:space="preserve"> </w:t>
      </w:r>
      <w:r w:rsidRPr="009F06AF">
        <w:rPr>
          <w:rFonts w:cstheme="minorHAnsi"/>
          <w:b/>
          <w:bCs/>
          <w:color w:val="295CA3"/>
          <w:w w:val="110"/>
        </w:rPr>
        <w:t>School</w:t>
      </w:r>
    </w:p>
    <w:p w14:paraId="052FAFF8" w14:textId="77777777" w:rsidR="00366991" w:rsidRDefault="00EA7458" w:rsidP="00D63204">
      <w:pPr>
        <w:widowControl w:val="0"/>
        <w:spacing w:before="193" w:after="0" w:line="264" w:lineRule="exact"/>
        <w:ind w:left="107"/>
        <w:rPr>
          <w:rFonts w:cstheme="minorHAnsi"/>
          <w:color w:val="231F20"/>
          <w:w w:val="105"/>
        </w:rPr>
      </w:pPr>
      <w:r w:rsidRPr="009F06AF">
        <w:rPr>
          <w:rFonts w:cstheme="minorHAnsi"/>
          <w:color w:val="231F20"/>
          <w:w w:val="105"/>
        </w:rPr>
        <w:t>The</w:t>
      </w:r>
      <w:r w:rsidRPr="009F06AF">
        <w:rPr>
          <w:rFonts w:cstheme="minorHAnsi"/>
          <w:color w:val="231F20"/>
          <w:spacing w:val="11"/>
          <w:w w:val="105"/>
        </w:rPr>
        <w:t xml:space="preserve"> </w:t>
      </w:r>
      <w:r w:rsidRPr="009F06AF">
        <w:rPr>
          <w:rFonts w:cstheme="minorHAnsi"/>
          <w:color w:val="231F20"/>
          <w:w w:val="105"/>
        </w:rPr>
        <w:t>state</w:t>
      </w:r>
      <w:r w:rsidRPr="009F06AF">
        <w:rPr>
          <w:rFonts w:cstheme="minorHAnsi"/>
          <w:color w:val="231F20"/>
          <w:spacing w:val="11"/>
          <w:w w:val="105"/>
        </w:rPr>
        <w:t xml:space="preserve"> </w:t>
      </w:r>
      <w:r w:rsidRPr="009F06AF">
        <w:rPr>
          <w:rFonts w:cstheme="minorHAnsi"/>
          <w:color w:val="231F20"/>
          <w:w w:val="105"/>
        </w:rPr>
        <w:t>of</w:t>
      </w:r>
      <w:r w:rsidRPr="009F06AF">
        <w:rPr>
          <w:rFonts w:cstheme="minorHAnsi"/>
          <w:color w:val="231F20"/>
          <w:spacing w:val="11"/>
          <w:w w:val="105"/>
        </w:rPr>
        <w:t xml:space="preserve"> </w:t>
      </w:r>
      <w:r w:rsidRPr="009F06AF">
        <w:rPr>
          <w:rFonts w:cstheme="minorHAnsi"/>
          <w:color w:val="231F20"/>
          <w:w w:val="105"/>
        </w:rPr>
        <w:t>Florida</w:t>
      </w:r>
      <w:r w:rsidRPr="009F06AF">
        <w:rPr>
          <w:rFonts w:cstheme="minorHAnsi"/>
          <w:color w:val="231F20"/>
          <w:spacing w:val="11"/>
          <w:w w:val="105"/>
        </w:rPr>
        <w:t xml:space="preserve"> </w:t>
      </w:r>
      <w:r w:rsidRPr="009F06AF">
        <w:rPr>
          <w:rFonts w:cstheme="minorHAnsi"/>
          <w:color w:val="231F20"/>
          <w:w w:val="105"/>
        </w:rPr>
        <w:t>defines</w:t>
      </w:r>
      <w:r w:rsidRPr="009F06AF">
        <w:rPr>
          <w:rFonts w:cstheme="minorHAnsi"/>
          <w:color w:val="231F20"/>
          <w:spacing w:val="11"/>
          <w:w w:val="105"/>
        </w:rPr>
        <w:t xml:space="preserve"> </w:t>
      </w:r>
      <w:r w:rsidRPr="009F06AF">
        <w:rPr>
          <w:rFonts w:cstheme="minorHAnsi"/>
          <w:color w:val="231F20"/>
          <w:w w:val="105"/>
        </w:rPr>
        <w:t>out-of-school</w:t>
      </w:r>
      <w:r w:rsidRPr="009F06AF">
        <w:rPr>
          <w:rFonts w:cstheme="minorHAnsi"/>
          <w:color w:val="231F20"/>
          <w:spacing w:val="11"/>
          <w:w w:val="105"/>
        </w:rPr>
        <w:t xml:space="preserve"> </w:t>
      </w:r>
      <w:r w:rsidRPr="009F06AF">
        <w:rPr>
          <w:rFonts w:cstheme="minorHAnsi"/>
          <w:color w:val="231F20"/>
          <w:w w:val="105"/>
        </w:rPr>
        <w:t>as</w:t>
      </w:r>
      <w:r w:rsidRPr="009F06AF">
        <w:rPr>
          <w:rFonts w:cstheme="minorHAnsi"/>
          <w:color w:val="231F20"/>
          <w:spacing w:val="11"/>
          <w:w w:val="105"/>
        </w:rPr>
        <w:t xml:space="preserve"> </w:t>
      </w:r>
      <w:r w:rsidRPr="009F06AF">
        <w:rPr>
          <w:rFonts w:cstheme="minorHAnsi"/>
          <w:color w:val="231F20"/>
          <w:w w:val="105"/>
        </w:rPr>
        <w:t>an</w:t>
      </w:r>
      <w:r w:rsidRPr="009F06AF">
        <w:rPr>
          <w:rFonts w:cstheme="minorHAnsi"/>
          <w:color w:val="231F20"/>
          <w:spacing w:val="11"/>
          <w:w w:val="105"/>
        </w:rPr>
        <w:t xml:space="preserve"> </w:t>
      </w:r>
      <w:r w:rsidRPr="009F06AF">
        <w:rPr>
          <w:rFonts w:cstheme="minorHAnsi"/>
          <w:color w:val="231F20"/>
          <w:w w:val="105"/>
        </w:rPr>
        <w:t>individual</w:t>
      </w:r>
      <w:r w:rsidRPr="009F06AF">
        <w:rPr>
          <w:rFonts w:cstheme="minorHAnsi"/>
          <w:color w:val="231F20"/>
          <w:spacing w:val="11"/>
          <w:w w:val="105"/>
        </w:rPr>
        <w:t xml:space="preserve"> </w:t>
      </w:r>
      <w:r w:rsidRPr="009F06AF">
        <w:rPr>
          <w:rFonts w:cstheme="minorHAnsi"/>
          <w:color w:val="231F20"/>
          <w:w w:val="105"/>
        </w:rPr>
        <w:t>who</w:t>
      </w:r>
      <w:r w:rsidRPr="009F06AF">
        <w:rPr>
          <w:rFonts w:cstheme="minorHAnsi"/>
          <w:color w:val="231F20"/>
          <w:spacing w:val="11"/>
          <w:w w:val="105"/>
        </w:rPr>
        <w:t xml:space="preserve"> </w:t>
      </w:r>
      <w:r w:rsidRPr="009F06AF">
        <w:rPr>
          <w:rFonts w:cstheme="minorHAnsi"/>
          <w:color w:val="231F20"/>
          <w:w w:val="105"/>
        </w:rPr>
        <w:t>is</w:t>
      </w:r>
      <w:r w:rsidRPr="009F06AF">
        <w:rPr>
          <w:rFonts w:cstheme="minorHAnsi"/>
          <w:color w:val="231F20"/>
          <w:spacing w:val="11"/>
          <w:w w:val="105"/>
        </w:rPr>
        <w:t xml:space="preserve"> </w:t>
      </w:r>
      <w:r w:rsidRPr="009F06AF">
        <w:rPr>
          <w:rFonts w:cstheme="minorHAnsi"/>
          <w:color w:val="231F20"/>
          <w:w w:val="105"/>
        </w:rPr>
        <w:t>not</w:t>
      </w:r>
      <w:r w:rsidRPr="009F06AF">
        <w:rPr>
          <w:rFonts w:cstheme="minorHAnsi"/>
          <w:color w:val="231F20"/>
          <w:spacing w:val="11"/>
          <w:w w:val="105"/>
        </w:rPr>
        <w:t xml:space="preserve"> </w:t>
      </w:r>
      <w:r w:rsidRPr="009F06AF">
        <w:rPr>
          <w:rFonts w:cstheme="minorHAnsi"/>
          <w:color w:val="231F20"/>
          <w:w w:val="105"/>
        </w:rPr>
        <w:t>younger</w:t>
      </w:r>
      <w:r w:rsidRPr="009F06AF">
        <w:rPr>
          <w:rFonts w:cstheme="minorHAnsi"/>
          <w:color w:val="231F20"/>
          <w:spacing w:val="11"/>
          <w:w w:val="105"/>
        </w:rPr>
        <w:t xml:space="preserve"> </w:t>
      </w:r>
      <w:r w:rsidRPr="009F06AF">
        <w:rPr>
          <w:rFonts w:cstheme="minorHAnsi"/>
          <w:color w:val="231F20"/>
          <w:w w:val="105"/>
        </w:rPr>
        <w:t>than</w:t>
      </w:r>
      <w:r w:rsidRPr="009F06AF">
        <w:rPr>
          <w:rFonts w:cstheme="minorHAnsi"/>
          <w:color w:val="231F20"/>
          <w:spacing w:val="11"/>
          <w:w w:val="105"/>
        </w:rPr>
        <w:t xml:space="preserve"> </w:t>
      </w:r>
      <w:r w:rsidRPr="009F06AF">
        <w:rPr>
          <w:rFonts w:cstheme="minorHAnsi"/>
          <w:color w:val="231F20"/>
          <w:w w:val="105"/>
        </w:rPr>
        <w:t>16</w:t>
      </w:r>
      <w:r w:rsidRPr="009F06AF">
        <w:rPr>
          <w:rFonts w:cstheme="minorHAnsi"/>
          <w:color w:val="231F20"/>
          <w:spacing w:val="11"/>
          <w:w w:val="105"/>
        </w:rPr>
        <w:t xml:space="preserve"> </w:t>
      </w:r>
      <w:r w:rsidRPr="009F06AF">
        <w:rPr>
          <w:rFonts w:cstheme="minorHAnsi"/>
          <w:color w:val="231F20"/>
          <w:w w:val="105"/>
        </w:rPr>
        <w:t>or</w:t>
      </w:r>
      <w:r w:rsidRPr="009F06AF">
        <w:rPr>
          <w:rFonts w:cstheme="minorHAnsi"/>
          <w:color w:val="231F20"/>
          <w:spacing w:val="11"/>
          <w:w w:val="105"/>
        </w:rPr>
        <w:t xml:space="preserve"> </w:t>
      </w:r>
      <w:r w:rsidRPr="009F06AF">
        <w:rPr>
          <w:rFonts w:cstheme="minorHAnsi"/>
          <w:color w:val="231F20"/>
          <w:w w:val="105"/>
        </w:rPr>
        <w:t>older</w:t>
      </w:r>
      <w:r w:rsidRPr="009F06AF">
        <w:rPr>
          <w:rFonts w:cstheme="minorHAnsi"/>
          <w:color w:val="231F20"/>
          <w:spacing w:val="11"/>
          <w:w w:val="105"/>
        </w:rPr>
        <w:t xml:space="preserve"> </w:t>
      </w:r>
      <w:r w:rsidRPr="009F06AF">
        <w:rPr>
          <w:rFonts w:cstheme="minorHAnsi"/>
          <w:color w:val="231F20"/>
          <w:w w:val="105"/>
        </w:rPr>
        <w:t>than</w:t>
      </w:r>
      <w:r w:rsidRPr="009F06AF">
        <w:rPr>
          <w:rFonts w:cstheme="minorHAnsi"/>
          <w:color w:val="231F20"/>
          <w:spacing w:val="11"/>
          <w:w w:val="105"/>
        </w:rPr>
        <w:t xml:space="preserve"> </w:t>
      </w:r>
      <w:r w:rsidRPr="009F06AF">
        <w:rPr>
          <w:rFonts w:cstheme="minorHAnsi"/>
          <w:color w:val="231F20"/>
          <w:w w:val="105"/>
        </w:rPr>
        <w:t>age</w:t>
      </w:r>
      <w:r w:rsidRPr="009F06AF">
        <w:rPr>
          <w:rFonts w:cstheme="minorHAnsi"/>
          <w:color w:val="231F20"/>
          <w:spacing w:val="11"/>
          <w:w w:val="105"/>
        </w:rPr>
        <w:t xml:space="preserve"> </w:t>
      </w:r>
      <w:r w:rsidRPr="009F06AF">
        <w:rPr>
          <w:rFonts w:cstheme="minorHAnsi"/>
          <w:color w:val="231F20"/>
          <w:w w:val="105"/>
        </w:rPr>
        <w:t>24</w:t>
      </w:r>
      <w:r w:rsidRPr="009F06AF">
        <w:rPr>
          <w:rFonts w:cstheme="minorHAnsi"/>
          <w:color w:val="231F20"/>
          <w:w w:val="113"/>
        </w:rPr>
        <w:t xml:space="preserve"> </w:t>
      </w:r>
      <w:r w:rsidRPr="009F06AF">
        <w:rPr>
          <w:rFonts w:cstheme="minorHAnsi"/>
          <w:color w:val="231F20"/>
          <w:w w:val="105"/>
        </w:rPr>
        <w:t xml:space="preserve">at the time of enrollment into a </w:t>
      </w:r>
      <w:r w:rsidRPr="009F06AF">
        <w:rPr>
          <w:rFonts w:cstheme="minorHAnsi"/>
          <w:color w:val="231F20"/>
          <w:spacing w:val="-3"/>
          <w:w w:val="105"/>
        </w:rPr>
        <w:t xml:space="preserve">WIOA </w:t>
      </w:r>
      <w:r w:rsidRPr="009F06AF">
        <w:rPr>
          <w:rFonts w:cstheme="minorHAnsi"/>
          <w:color w:val="231F20"/>
          <w:w w:val="105"/>
        </w:rPr>
        <w:t>funded youth program, who is not attending a regular or</w:t>
      </w:r>
      <w:r w:rsidRPr="009F06AF">
        <w:rPr>
          <w:rFonts w:cstheme="minorHAnsi"/>
          <w:color w:val="231F20"/>
          <w:spacing w:val="17"/>
          <w:w w:val="105"/>
        </w:rPr>
        <w:t xml:space="preserve"> </w:t>
      </w:r>
      <w:r w:rsidRPr="009F06AF">
        <w:rPr>
          <w:rFonts w:cstheme="minorHAnsi"/>
          <w:color w:val="231F20"/>
          <w:w w:val="105"/>
        </w:rPr>
        <w:t>alternative</w:t>
      </w:r>
      <w:r w:rsidRPr="009F06AF">
        <w:rPr>
          <w:rFonts w:cstheme="minorHAnsi"/>
          <w:color w:val="231F20"/>
          <w:w w:val="104"/>
        </w:rPr>
        <w:t xml:space="preserve"> </w:t>
      </w:r>
      <w:r w:rsidRPr="009F06AF">
        <w:rPr>
          <w:rFonts w:cstheme="minorHAnsi"/>
          <w:color w:val="231F20"/>
          <w:w w:val="105"/>
        </w:rPr>
        <w:t>school</w:t>
      </w:r>
      <w:r w:rsidRPr="009F06AF">
        <w:rPr>
          <w:rFonts w:cstheme="minorHAnsi"/>
          <w:color w:val="231F20"/>
          <w:spacing w:val="9"/>
          <w:w w:val="105"/>
        </w:rPr>
        <w:t xml:space="preserve"> </w:t>
      </w:r>
      <w:r w:rsidRPr="009F06AF">
        <w:rPr>
          <w:rFonts w:cstheme="minorHAnsi"/>
          <w:color w:val="231F20"/>
          <w:w w:val="105"/>
        </w:rPr>
        <w:t>as</w:t>
      </w:r>
      <w:r w:rsidRPr="009F06AF">
        <w:rPr>
          <w:rFonts w:cstheme="minorHAnsi"/>
          <w:color w:val="231F20"/>
          <w:spacing w:val="9"/>
          <w:w w:val="105"/>
        </w:rPr>
        <w:t xml:space="preserve"> </w:t>
      </w:r>
      <w:r w:rsidRPr="009F06AF">
        <w:rPr>
          <w:rFonts w:cstheme="minorHAnsi"/>
          <w:color w:val="231F20"/>
          <w:w w:val="105"/>
        </w:rPr>
        <w:t>an</w:t>
      </w:r>
      <w:r w:rsidRPr="009F06AF">
        <w:rPr>
          <w:rFonts w:cstheme="minorHAnsi"/>
          <w:color w:val="231F20"/>
          <w:spacing w:val="9"/>
          <w:w w:val="105"/>
        </w:rPr>
        <w:t xml:space="preserve"> </w:t>
      </w:r>
      <w:r w:rsidRPr="009F06AF">
        <w:rPr>
          <w:rFonts w:cstheme="minorHAnsi"/>
          <w:color w:val="231F20"/>
          <w:w w:val="105"/>
        </w:rPr>
        <w:t>out</w:t>
      </w:r>
      <w:r w:rsidRPr="009F06AF">
        <w:rPr>
          <w:rFonts w:cstheme="minorHAnsi"/>
          <w:color w:val="231F20"/>
          <w:spacing w:val="9"/>
          <w:w w:val="105"/>
        </w:rPr>
        <w:t xml:space="preserve"> </w:t>
      </w:r>
      <w:r w:rsidRPr="009F06AF">
        <w:rPr>
          <w:rFonts w:cstheme="minorHAnsi"/>
          <w:color w:val="231F20"/>
          <w:w w:val="105"/>
        </w:rPr>
        <w:t>of</w:t>
      </w:r>
      <w:r w:rsidRPr="009F06AF">
        <w:rPr>
          <w:rFonts w:cstheme="minorHAnsi"/>
          <w:color w:val="231F20"/>
          <w:spacing w:val="9"/>
          <w:w w:val="105"/>
        </w:rPr>
        <w:t xml:space="preserve"> </w:t>
      </w:r>
      <w:r w:rsidRPr="009F06AF">
        <w:rPr>
          <w:rFonts w:cstheme="minorHAnsi"/>
          <w:color w:val="231F20"/>
          <w:w w:val="105"/>
        </w:rPr>
        <w:t>school</w:t>
      </w:r>
      <w:r w:rsidRPr="009F06AF">
        <w:rPr>
          <w:rFonts w:cstheme="minorHAnsi"/>
          <w:color w:val="231F20"/>
          <w:spacing w:val="9"/>
          <w:w w:val="105"/>
        </w:rPr>
        <w:t xml:space="preserve"> </w:t>
      </w:r>
      <w:r w:rsidRPr="009F06AF">
        <w:rPr>
          <w:rFonts w:cstheme="minorHAnsi"/>
          <w:color w:val="231F20"/>
          <w:w w:val="105"/>
        </w:rPr>
        <w:t>youth.</w:t>
      </w:r>
      <w:r w:rsidRPr="009F06AF">
        <w:rPr>
          <w:rFonts w:cstheme="minorHAnsi"/>
          <w:color w:val="231F20"/>
          <w:spacing w:val="18"/>
          <w:w w:val="105"/>
        </w:rPr>
        <w:t xml:space="preserve"> </w:t>
      </w:r>
      <w:r w:rsidR="00BF45BE" w:rsidRPr="009F06AF">
        <w:rPr>
          <w:rFonts w:cstheme="minorHAnsi"/>
          <w:color w:val="231F20"/>
          <w:w w:val="105"/>
        </w:rPr>
        <w:t>Y</w:t>
      </w:r>
      <w:r w:rsidRPr="009F06AF">
        <w:rPr>
          <w:rFonts w:cstheme="minorHAnsi"/>
          <w:color w:val="231F20"/>
          <w:w w:val="105"/>
        </w:rPr>
        <w:t>outh</w:t>
      </w:r>
      <w:r w:rsidRPr="009F06AF">
        <w:rPr>
          <w:rFonts w:cstheme="minorHAnsi"/>
          <w:color w:val="231F20"/>
          <w:spacing w:val="9"/>
          <w:w w:val="105"/>
        </w:rPr>
        <w:t xml:space="preserve"> </w:t>
      </w:r>
      <w:r w:rsidRPr="009F06AF">
        <w:rPr>
          <w:rFonts w:cstheme="minorHAnsi"/>
          <w:color w:val="231F20"/>
          <w:w w:val="105"/>
        </w:rPr>
        <w:t>within</w:t>
      </w:r>
      <w:r w:rsidRPr="009F06AF">
        <w:rPr>
          <w:rFonts w:cstheme="minorHAnsi"/>
          <w:color w:val="231F20"/>
          <w:spacing w:val="9"/>
          <w:w w:val="105"/>
        </w:rPr>
        <w:t xml:space="preserve"> </w:t>
      </w:r>
      <w:r w:rsidRPr="009F06AF">
        <w:rPr>
          <w:rFonts w:cstheme="minorHAnsi"/>
          <w:color w:val="231F20"/>
          <w:w w:val="105"/>
        </w:rPr>
        <w:t>the</w:t>
      </w:r>
      <w:r w:rsidRPr="009F06AF">
        <w:rPr>
          <w:rFonts w:cstheme="minorHAnsi"/>
          <w:color w:val="231F20"/>
          <w:spacing w:val="9"/>
          <w:w w:val="105"/>
        </w:rPr>
        <w:t xml:space="preserve"> </w:t>
      </w:r>
      <w:r w:rsidRPr="009F06AF">
        <w:rPr>
          <w:rFonts w:cstheme="minorHAnsi"/>
          <w:color w:val="231F20"/>
          <w:w w:val="105"/>
        </w:rPr>
        <w:t>specified</w:t>
      </w:r>
      <w:r w:rsidRPr="009F06AF">
        <w:rPr>
          <w:rFonts w:cstheme="minorHAnsi"/>
          <w:color w:val="231F20"/>
          <w:spacing w:val="9"/>
          <w:w w:val="105"/>
        </w:rPr>
        <w:t xml:space="preserve"> </w:t>
      </w:r>
      <w:r w:rsidRPr="009F06AF">
        <w:rPr>
          <w:rFonts w:cstheme="minorHAnsi"/>
          <w:color w:val="231F20"/>
          <w:w w:val="105"/>
        </w:rPr>
        <w:t>age</w:t>
      </w:r>
      <w:r w:rsidRPr="009F06AF">
        <w:rPr>
          <w:rFonts w:cstheme="minorHAnsi"/>
          <w:color w:val="231F20"/>
          <w:spacing w:val="9"/>
          <w:w w:val="105"/>
        </w:rPr>
        <w:t xml:space="preserve"> </w:t>
      </w:r>
      <w:r w:rsidRPr="009F06AF">
        <w:rPr>
          <w:rFonts w:cstheme="minorHAnsi"/>
          <w:color w:val="231F20"/>
          <w:w w:val="105"/>
        </w:rPr>
        <w:t>range</w:t>
      </w:r>
      <w:r w:rsidRPr="009F06AF">
        <w:rPr>
          <w:rFonts w:cstheme="minorHAnsi"/>
          <w:color w:val="231F20"/>
          <w:spacing w:val="9"/>
          <w:w w:val="105"/>
        </w:rPr>
        <w:t xml:space="preserve"> </w:t>
      </w:r>
      <w:r w:rsidRPr="009F06AF">
        <w:rPr>
          <w:rFonts w:cstheme="minorHAnsi"/>
          <w:color w:val="231F20"/>
          <w:w w:val="105"/>
        </w:rPr>
        <w:t>who</w:t>
      </w:r>
      <w:r w:rsidRPr="009F06AF">
        <w:rPr>
          <w:rFonts w:cstheme="minorHAnsi"/>
          <w:color w:val="231F20"/>
          <w:spacing w:val="9"/>
          <w:w w:val="105"/>
        </w:rPr>
        <w:t xml:space="preserve"> </w:t>
      </w:r>
      <w:r w:rsidR="00BF45BE" w:rsidRPr="009F06AF">
        <w:rPr>
          <w:rFonts w:cstheme="minorHAnsi"/>
          <w:color w:val="231F20"/>
          <w:w w:val="105"/>
        </w:rPr>
        <w:t xml:space="preserve">attend </w:t>
      </w:r>
      <w:r w:rsidRPr="009F06AF">
        <w:rPr>
          <w:rFonts w:cstheme="minorHAnsi"/>
          <w:color w:val="231F20"/>
          <w:w w:val="105"/>
        </w:rPr>
        <w:t>adult</w:t>
      </w:r>
      <w:r w:rsidRPr="009F06AF">
        <w:rPr>
          <w:rFonts w:cstheme="minorHAnsi"/>
          <w:color w:val="231F20"/>
          <w:spacing w:val="14"/>
          <w:w w:val="105"/>
        </w:rPr>
        <w:t xml:space="preserve"> </w:t>
      </w:r>
      <w:r w:rsidRPr="009F06AF">
        <w:rPr>
          <w:rFonts w:cstheme="minorHAnsi"/>
          <w:color w:val="231F20"/>
          <w:w w:val="105"/>
        </w:rPr>
        <w:t>education</w:t>
      </w:r>
      <w:r w:rsidRPr="009F06AF">
        <w:rPr>
          <w:rFonts w:cstheme="minorHAnsi"/>
          <w:color w:val="231F20"/>
          <w:spacing w:val="14"/>
          <w:w w:val="105"/>
        </w:rPr>
        <w:t xml:space="preserve"> </w:t>
      </w:r>
      <w:r w:rsidRPr="009F06AF">
        <w:rPr>
          <w:rFonts w:cstheme="minorHAnsi"/>
          <w:color w:val="231F20"/>
          <w:w w:val="105"/>
        </w:rPr>
        <w:t>or</w:t>
      </w:r>
      <w:r w:rsidRPr="009F06AF">
        <w:rPr>
          <w:rFonts w:cstheme="minorHAnsi"/>
          <w:color w:val="231F20"/>
          <w:spacing w:val="14"/>
          <w:w w:val="105"/>
        </w:rPr>
        <w:t xml:space="preserve"> </w:t>
      </w:r>
      <w:r w:rsidRPr="009F06AF">
        <w:rPr>
          <w:rFonts w:cstheme="minorHAnsi"/>
          <w:color w:val="231F20"/>
          <w:w w:val="105"/>
        </w:rPr>
        <w:t>a</w:t>
      </w:r>
      <w:r w:rsidRPr="009F06AF">
        <w:rPr>
          <w:rFonts w:cstheme="minorHAnsi"/>
          <w:color w:val="231F20"/>
          <w:spacing w:val="14"/>
          <w:w w:val="105"/>
        </w:rPr>
        <w:t xml:space="preserve"> </w:t>
      </w:r>
      <w:r w:rsidRPr="009F06AF">
        <w:rPr>
          <w:rFonts w:cstheme="minorHAnsi"/>
          <w:color w:val="231F20"/>
          <w:w w:val="105"/>
        </w:rPr>
        <w:t>General</w:t>
      </w:r>
      <w:r w:rsidRPr="009F06AF">
        <w:rPr>
          <w:rFonts w:cstheme="minorHAnsi"/>
          <w:color w:val="231F20"/>
          <w:spacing w:val="14"/>
          <w:w w:val="105"/>
        </w:rPr>
        <w:t xml:space="preserve"> </w:t>
      </w:r>
      <w:r w:rsidRPr="009F06AF">
        <w:rPr>
          <w:rFonts w:cstheme="minorHAnsi"/>
          <w:color w:val="231F20"/>
          <w:w w:val="105"/>
        </w:rPr>
        <w:t>Education</w:t>
      </w:r>
      <w:r w:rsidRPr="009F06AF">
        <w:rPr>
          <w:rFonts w:cstheme="minorHAnsi"/>
          <w:color w:val="231F20"/>
          <w:spacing w:val="14"/>
          <w:w w:val="105"/>
        </w:rPr>
        <w:t xml:space="preserve"> </w:t>
      </w:r>
      <w:r w:rsidRPr="009F06AF">
        <w:rPr>
          <w:rFonts w:cstheme="minorHAnsi"/>
          <w:color w:val="231F20"/>
          <w:w w:val="105"/>
        </w:rPr>
        <w:t>Development</w:t>
      </w:r>
      <w:r w:rsidRPr="009F06AF">
        <w:rPr>
          <w:rFonts w:cstheme="minorHAnsi"/>
          <w:color w:val="231F20"/>
          <w:spacing w:val="14"/>
          <w:w w:val="105"/>
        </w:rPr>
        <w:t xml:space="preserve"> </w:t>
      </w:r>
      <w:r w:rsidRPr="009F06AF">
        <w:rPr>
          <w:rFonts w:cstheme="minorHAnsi"/>
          <w:color w:val="231F20"/>
          <w:w w:val="105"/>
        </w:rPr>
        <w:t>(GED)</w:t>
      </w:r>
      <w:r w:rsidRPr="009F06AF">
        <w:rPr>
          <w:rFonts w:cstheme="minorHAnsi"/>
          <w:color w:val="231F20"/>
          <w:spacing w:val="14"/>
          <w:w w:val="105"/>
        </w:rPr>
        <w:t xml:space="preserve"> </w:t>
      </w:r>
      <w:r w:rsidRPr="009F06AF">
        <w:rPr>
          <w:rFonts w:cstheme="minorHAnsi"/>
          <w:color w:val="231F20"/>
          <w:w w:val="105"/>
        </w:rPr>
        <w:t>program</w:t>
      </w:r>
      <w:r w:rsidRPr="009F06AF">
        <w:rPr>
          <w:rFonts w:cstheme="minorHAnsi"/>
          <w:color w:val="231F20"/>
          <w:spacing w:val="14"/>
          <w:w w:val="105"/>
        </w:rPr>
        <w:t xml:space="preserve"> </w:t>
      </w:r>
      <w:r w:rsidRPr="009F06AF">
        <w:rPr>
          <w:rFonts w:cstheme="minorHAnsi"/>
          <w:color w:val="231F20"/>
          <w:w w:val="105"/>
        </w:rPr>
        <w:t>are</w:t>
      </w:r>
      <w:r w:rsidRPr="009F06AF">
        <w:rPr>
          <w:rFonts w:cstheme="minorHAnsi"/>
          <w:color w:val="231F20"/>
          <w:spacing w:val="14"/>
          <w:w w:val="105"/>
        </w:rPr>
        <w:t xml:space="preserve"> </w:t>
      </w:r>
      <w:r w:rsidRPr="009F06AF">
        <w:rPr>
          <w:rFonts w:cstheme="minorHAnsi"/>
          <w:color w:val="231F20"/>
          <w:w w:val="105"/>
        </w:rPr>
        <w:t>considered</w:t>
      </w:r>
      <w:r w:rsidRPr="009F06AF">
        <w:rPr>
          <w:rFonts w:cstheme="minorHAnsi"/>
          <w:color w:val="231F20"/>
          <w:spacing w:val="14"/>
          <w:w w:val="105"/>
        </w:rPr>
        <w:t xml:space="preserve"> </w:t>
      </w:r>
      <w:r w:rsidRPr="009F06AF">
        <w:rPr>
          <w:rFonts w:cstheme="minorHAnsi"/>
          <w:color w:val="231F20"/>
          <w:w w:val="105"/>
        </w:rPr>
        <w:t>out-of-school</w:t>
      </w:r>
      <w:r w:rsidRPr="009F06AF">
        <w:rPr>
          <w:rFonts w:cstheme="minorHAnsi"/>
          <w:color w:val="231F20"/>
          <w:spacing w:val="14"/>
          <w:w w:val="105"/>
        </w:rPr>
        <w:t xml:space="preserve"> </w:t>
      </w:r>
      <w:r w:rsidRPr="009F06AF">
        <w:rPr>
          <w:rFonts w:cstheme="minorHAnsi"/>
          <w:color w:val="231F20"/>
          <w:w w:val="105"/>
        </w:rPr>
        <w:t>youth.</w:t>
      </w:r>
      <w:r w:rsidRPr="009F06AF">
        <w:rPr>
          <w:rFonts w:cstheme="minorHAnsi"/>
          <w:color w:val="231F20"/>
          <w:spacing w:val="-35"/>
          <w:w w:val="105"/>
        </w:rPr>
        <w:t xml:space="preserve"> </w:t>
      </w:r>
      <w:r w:rsidRPr="009F06AF">
        <w:rPr>
          <w:rFonts w:cstheme="minorHAnsi"/>
          <w:color w:val="231F20"/>
          <w:w w:val="105"/>
        </w:rPr>
        <w:t>Out-of-school youth must meet the above and be one of the following:</w:t>
      </w:r>
    </w:p>
    <w:p w14:paraId="0283335E" w14:textId="730FA126" w:rsidR="00366991" w:rsidRDefault="00EA7458" w:rsidP="00D63204">
      <w:pPr>
        <w:pStyle w:val="ListParagraph"/>
        <w:widowControl w:val="0"/>
        <w:numPr>
          <w:ilvl w:val="0"/>
          <w:numId w:val="40"/>
        </w:numPr>
        <w:spacing w:before="193" w:after="0" w:line="264" w:lineRule="exact"/>
        <w:rPr>
          <w:rFonts w:cstheme="minorHAnsi"/>
          <w:color w:val="231F20"/>
          <w:w w:val="110"/>
        </w:rPr>
      </w:pPr>
      <w:r w:rsidRPr="00366991">
        <w:rPr>
          <w:rFonts w:cstheme="minorHAnsi"/>
          <w:color w:val="231F20"/>
          <w:w w:val="110"/>
        </w:rPr>
        <w:t>A school</w:t>
      </w:r>
      <w:r w:rsidRPr="00366991">
        <w:rPr>
          <w:rFonts w:cstheme="minorHAnsi"/>
          <w:color w:val="231F20"/>
          <w:spacing w:val="3"/>
          <w:w w:val="110"/>
        </w:rPr>
        <w:t xml:space="preserve"> </w:t>
      </w:r>
      <w:r w:rsidRPr="00366991">
        <w:rPr>
          <w:rFonts w:cstheme="minorHAnsi"/>
          <w:color w:val="231F20"/>
          <w:w w:val="110"/>
        </w:rPr>
        <w:t>dropout;</w:t>
      </w:r>
    </w:p>
    <w:p w14:paraId="39A62FD5" w14:textId="77777777" w:rsidR="00366991" w:rsidRPr="00366991" w:rsidRDefault="00366991" w:rsidP="00D63204">
      <w:pPr>
        <w:pStyle w:val="ListParagraph"/>
        <w:widowControl w:val="0"/>
        <w:spacing w:before="193" w:after="0" w:line="264" w:lineRule="exact"/>
        <w:ind w:left="827"/>
        <w:rPr>
          <w:rFonts w:cstheme="minorHAnsi"/>
          <w:color w:val="231F20"/>
          <w:w w:val="110"/>
        </w:rPr>
      </w:pPr>
    </w:p>
    <w:p w14:paraId="0098EFD2" w14:textId="14942945" w:rsidR="00366991" w:rsidRPr="009F1BFB" w:rsidRDefault="00EA7458" w:rsidP="00D63204">
      <w:pPr>
        <w:pStyle w:val="ListParagraph"/>
        <w:widowControl w:val="0"/>
        <w:numPr>
          <w:ilvl w:val="0"/>
          <w:numId w:val="40"/>
        </w:numPr>
        <w:spacing w:before="193" w:after="0" w:line="264" w:lineRule="exact"/>
        <w:rPr>
          <w:rFonts w:cstheme="minorHAnsi"/>
          <w:color w:val="231F20"/>
          <w:w w:val="105"/>
        </w:rPr>
      </w:pPr>
      <w:r w:rsidRPr="009F1BFB">
        <w:rPr>
          <w:rFonts w:cstheme="minorHAnsi"/>
          <w:color w:val="231F20"/>
          <w:w w:val="105"/>
        </w:rPr>
        <w:t>A</w:t>
      </w:r>
      <w:r w:rsidRPr="009F1BFB">
        <w:rPr>
          <w:rFonts w:cstheme="minorHAnsi"/>
          <w:color w:val="231F20"/>
          <w:spacing w:val="9"/>
          <w:w w:val="105"/>
        </w:rPr>
        <w:t xml:space="preserve"> </w:t>
      </w:r>
      <w:r w:rsidRPr="009F1BFB">
        <w:rPr>
          <w:rFonts w:cstheme="minorHAnsi"/>
          <w:color w:val="231F20"/>
          <w:w w:val="105"/>
        </w:rPr>
        <w:t>youth</w:t>
      </w:r>
      <w:r w:rsidRPr="009F1BFB">
        <w:rPr>
          <w:rFonts w:cstheme="minorHAnsi"/>
          <w:color w:val="231F20"/>
          <w:spacing w:val="9"/>
          <w:w w:val="105"/>
        </w:rPr>
        <w:t xml:space="preserve"> </w:t>
      </w:r>
      <w:r w:rsidRPr="009F1BFB">
        <w:rPr>
          <w:rFonts w:cstheme="minorHAnsi"/>
          <w:color w:val="231F20"/>
          <w:w w:val="105"/>
        </w:rPr>
        <w:t>who</w:t>
      </w:r>
      <w:r w:rsidRPr="009F1BFB">
        <w:rPr>
          <w:rFonts w:cstheme="minorHAnsi"/>
          <w:color w:val="231F20"/>
          <w:spacing w:val="9"/>
          <w:w w:val="105"/>
        </w:rPr>
        <w:t xml:space="preserve"> </w:t>
      </w:r>
      <w:r w:rsidRPr="009F1BFB">
        <w:rPr>
          <w:rFonts w:cstheme="minorHAnsi"/>
          <w:color w:val="231F20"/>
          <w:w w:val="105"/>
        </w:rPr>
        <w:t>is</w:t>
      </w:r>
      <w:r w:rsidRPr="009F1BFB">
        <w:rPr>
          <w:rFonts w:cstheme="minorHAnsi"/>
          <w:color w:val="231F20"/>
          <w:spacing w:val="9"/>
          <w:w w:val="105"/>
        </w:rPr>
        <w:t xml:space="preserve"> </w:t>
      </w:r>
      <w:r w:rsidRPr="009F1BFB">
        <w:rPr>
          <w:rFonts w:cstheme="minorHAnsi"/>
          <w:color w:val="231F20"/>
          <w:w w:val="105"/>
        </w:rPr>
        <w:t>within</w:t>
      </w:r>
      <w:r w:rsidRPr="009F1BFB">
        <w:rPr>
          <w:rFonts w:cstheme="minorHAnsi"/>
          <w:color w:val="231F20"/>
          <w:spacing w:val="9"/>
          <w:w w:val="105"/>
        </w:rPr>
        <w:t xml:space="preserve"> </w:t>
      </w:r>
      <w:r w:rsidRPr="009F1BFB">
        <w:rPr>
          <w:rFonts w:cstheme="minorHAnsi"/>
          <w:color w:val="231F20"/>
          <w:w w:val="105"/>
        </w:rPr>
        <w:t>the</w:t>
      </w:r>
      <w:r w:rsidRPr="009F1BFB">
        <w:rPr>
          <w:rFonts w:cstheme="minorHAnsi"/>
          <w:color w:val="231F20"/>
          <w:spacing w:val="9"/>
          <w:w w:val="105"/>
        </w:rPr>
        <w:t xml:space="preserve"> </w:t>
      </w:r>
      <w:r w:rsidRPr="009F1BFB">
        <w:rPr>
          <w:rFonts w:cstheme="minorHAnsi"/>
          <w:color w:val="231F20"/>
          <w:w w:val="105"/>
        </w:rPr>
        <w:t>age</w:t>
      </w:r>
      <w:r w:rsidRPr="009F1BFB">
        <w:rPr>
          <w:rFonts w:cstheme="minorHAnsi"/>
          <w:color w:val="231F20"/>
          <w:spacing w:val="9"/>
          <w:w w:val="105"/>
        </w:rPr>
        <w:t xml:space="preserve"> </w:t>
      </w:r>
      <w:r w:rsidRPr="009F1BFB">
        <w:rPr>
          <w:rFonts w:cstheme="minorHAnsi"/>
          <w:color w:val="231F20"/>
          <w:w w:val="105"/>
        </w:rPr>
        <w:t>of</w:t>
      </w:r>
      <w:r w:rsidRPr="009F1BFB">
        <w:rPr>
          <w:rFonts w:cstheme="minorHAnsi"/>
          <w:color w:val="231F20"/>
          <w:spacing w:val="9"/>
          <w:w w:val="105"/>
        </w:rPr>
        <w:t xml:space="preserve"> </w:t>
      </w:r>
      <w:r w:rsidRPr="009F1BFB">
        <w:rPr>
          <w:rFonts w:cstheme="minorHAnsi"/>
          <w:color w:val="231F20"/>
          <w:w w:val="105"/>
        </w:rPr>
        <w:t>compulsory</w:t>
      </w:r>
      <w:r w:rsidRPr="009F1BFB">
        <w:rPr>
          <w:rFonts w:cstheme="minorHAnsi"/>
          <w:color w:val="231F20"/>
          <w:spacing w:val="9"/>
          <w:w w:val="105"/>
        </w:rPr>
        <w:t xml:space="preserve"> </w:t>
      </w:r>
      <w:r w:rsidRPr="009F1BFB">
        <w:rPr>
          <w:rFonts w:cstheme="minorHAnsi"/>
          <w:color w:val="231F20"/>
          <w:w w:val="105"/>
        </w:rPr>
        <w:t>school</w:t>
      </w:r>
      <w:r w:rsidRPr="009F1BFB">
        <w:rPr>
          <w:rFonts w:cstheme="minorHAnsi"/>
          <w:color w:val="231F20"/>
          <w:spacing w:val="9"/>
          <w:w w:val="105"/>
        </w:rPr>
        <w:t xml:space="preserve"> </w:t>
      </w:r>
      <w:r w:rsidR="000205B8" w:rsidRPr="009F1BFB">
        <w:rPr>
          <w:rFonts w:cstheme="minorHAnsi"/>
          <w:color w:val="231F20"/>
          <w:w w:val="105"/>
        </w:rPr>
        <w:t>attendance but</w:t>
      </w:r>
      <w:r w:rsidRPr="009F1BFB">
        <w:rPr>
          <w:rFonts w:cstheme="minorHAnsi"/>
          <w:color w:val="231F20"/>
          <w:spacing w:val="9"/>
          <w:w w:val="105"/>
        </w:rPr>
        <w:t xml:space="preserve"> </w:t>
      </w:r>
      <w:r w:rsidRPr="009F1BFB">
        <w:rPr>
          <w:rFonts w:cstheme="minorHAnsi"/>
          <w:color w:val="231F20"/>
          <w:w w:val="105"/>
        </w:rPr>
        <w:t>has</w:t>
      </w:r>
      <w:r w:rsidRPr="009F1BFB">
        <w:rPr>
          <w:rFonts w:cstheme="minorHAnsi"/>
          <w:color w:val="231F20"/>
          <w:spacing w:val="9"/>
          <w:w w:val="105"/>
        </w:rPr>
        <w:t xml:space="preserve"> </w:t>
      </w:r>
      <w:r w:rsidRPr="009F1BFB">
        <w:rPr>
          <w:rFonts w:cstheme="minorHAnsi"/>
          <w:color w:val="231F20"/>
          <w:w w:val="105"/>
        </w:rPr>
        <w:t>not</w:t>
      </w:r>
      <w:r w:rsidRPr="009F1BFB">
        <w:rPr>
          <w:rFonts w:cstheme="minorHAnsi"/>
          <w:color w:val="231F20"/>
          <w:spacing w:val="9"/>
          <w:w w:val="105"/>
        </w:rPr>
        <w:t xml:space="preserve"> </w:t>
      </w:r>
      <w:r w:rsidRPr="009F1BFB">
        <w:rPr>
          <w:rFonts w:cstheme="minorHAnsi"/>
          <w:color w:val="231F20"/>
          <w:w w:val="105"/>
        </w:rPr>
        <w:t>attended</w:t>
      </w:r>
      <w:r w:rsidRPr="009F1BFB">
        <w:rPr>
          <w:rFonts w:cstheme="minorHAnsi"/>
          <w:color w:val="231F20"/>
          <w:spacing w:val="9"/>
          <w:w w:val="105"/>
        </w:rPr>
        <w:t xml:space="preserve"> </w:t>
      </w:r>
      <w:r w:rsidRPr="009F1BFB">
        <w:rPr>
          <w:rFonts w:cstheme="minorHAnsi"/>
          <w:color w:val="231F20"/>
          <w:w w:val="105"/>
        </w:rPr>
        <w:t>school</w:t>
      </w:r>
      <w:r w:rsidRPr="009F1BFB">
        <w:rPr>
          <w:rFonts w:cstheme="minorHAnsi"/>
          <w:color w:val="231F20"/>
          <w:spacing w:val="9"/>
          <w:w w:val="105"/>
        </w:rPr>
        <w:t xml:space="preserve"> </w:t>
      </w:r>
      <w:r w:rsidRPr="009F1BFB">
        <w:rPr>
          <w:rFonts w:cstheme="minorHAnsi"/>
          <w:color w:val="231F20"/>
          <w:w w:val="105"/>
        </w:rPr>
        <w:t>for</w:t>
      </w:r>
      <w:r w:rsidRPr="009F1BFB">
        <w:rPr>
          <w:rFonts w:cstheme="minorHAnsi"/>
          <w:color w:val="231F20"/>
          <w:spacing w:val="9"/>
          <w:w w:val="105"/>
        </w:rPr>
        <w:t xml:space="preserve"> </w:t>
      </w:r>
      <w:r w:rsidRPr="009F1BFB">
        <w:rPr>
          <w:rFonts w:cstheme="minorHAnsi"/>
          <w:color w:val="231F20"/>
          <w:w w:val="105"/>
        </w:rPr>
        <w:t>at</w:t>
      </w:r>
      <w:r w:rsidRPr="009F1BFB">
        <w:rPr>
          <w:rFonts w:cstheme="minorHAnsi"/>
          <w:color w:val="231F20"/>
          <w:spacing w:val="-45"/>
          <w:w w:val="105"/>
        </w:rPr>
        <w:t xml:space="preserve"> </w:t>
      </w:r>
      <w:r w:rsidRPr="009F1BFB">
        <w:rPr>
          <w:rFonts w:cstheme="minorHAnsi"/>
          <w:color w:val="231F20"/>
          <w:w w:val="105"/>
        </w:rPr>
        <w:t>least</w:t>
      </w:r>
      <w:r w:rsidRPr="009F1BFB">
        <w:rPr>
          <w:rFonts w:cstheme="minorHAnsi"/>
          <w:color w:val="231F20"/>
          <w:spacing w:val="17"/>
          <w:w w:val="105"/>
        </w:rPr>
        <w:t xml:space="preserve"> </w:t>
      </w:r>
      <w:r w:rsidRPr="009F1BFB">
        <w:rPr>
          <w:rFonts w:cstheme="minorHAnsi"/>
          <w:color w:val="231F20"/>
          <w:w w:val="105"/>
        </w:rPr>
        <w:t>the</w:t>
      </w:r>
      <w:r w:rsidRPr="009F1BFB">
        <w:rPr>
          <w:rFonts w:cstheme="minorHAnsi"/>
          <w:color w:val="231F20"/>
          <w:spacing w:val="17"/>
          <w:w w:val="105"/>
        </w:rPr>
        <w:t xml:space="preserve"> </w:t>
      </w:r>
      <w:r w:rsidRPr="009F1BFB">
        <w:rPr>
          <w:rFonts w:cstheme="minorHAnsi"/>
          <w:color w:val="231F20"/>
          <w:w w:val="105"/>
        </w:rPr>
        <w:t>most</w:t>
      </w:r>
      <w:r w:rsidRPr="009F1BFB">
        <w:rPr>
          <w:rFonts w:cstheme="minorHAnsi"/>
          <w:color w:val="231F20"/>
          <w:spacing w:val="17"/>
          <w:w w:val="105"/>
        </w:rPr>
        <w:t xml:space="preserve"> </w:t>
      </w:r>
      <w:r w:rsidRPr="009F1BFB">
        <w:rPr>
          <w:rFonts w:cstheme="minorHAnsi"/>
          <w:color w:val="231F20"/>
          <w:w w:val="105"/>
        </w:rPr>
        <w:t>recent</w:t>
      </w:r>
      <w:r w:rsidRPr="009F1BFB">
        <w:rPr>
          <w:rFonts w:cstheme="minorHAnsi"/>
          <w:color w:val="231F20"/>
          <w:spacing w:val="17"/>
          <w:w w:val="105"/>
        </w:rPr>
        <w:t xml:space="preserve"> </w:t>
      </w:r>
      <w:r w:rsidRPr="009F1BFB">
        <w:rPr>
          <w:rFonts w:cstheme="minorHAnsi"/>
          <w:color w:val="231F20"/>
          <w:w w:val="105"/>
        </w:rPr>
        <w:t>complete</w:t>
      </w:r>
      <w:r w:rsidRPr="009F1BFB">
        <w:rPr>
          <w:rFonts w:cstheme="minorHAnsi"/>
          <w:color w:val="231F20"/>
          <w:spacing w:val="17"/>
          <w:w w:val="105"/>
        </w:rPr>
        <w:t xml:space="preserve"> </w:t>
      </w:r>
      <w:r w:rsidRPr="009F1BFB">
        <w:rPr>
          <w:rFonts w:cstheme="minorHAnsi"/>
          <w:color w:val="231F20"/>
          <w:w w:val="105"/>
        </w:rPr>
        <w:t>school</w:t>
      </w:r>
      <w:r w:rsidRPr="009F1BFB">
        <w:rPr>
          <w:rFonts w:cstheme="minorHAnsi"/>
          <w:color w:val="231F20"/>
          <w:spacing w:val="17"/>
          <w:w w:val="105"/>
        </w:rPr>
        <w:t xml:space="preserve"> </w:t>
      </w:r>
      <w:r w:rsidRPr="009F1BFB">
        <w:rPr>
          <w:rFonts w:cstheme="minorHAnsi"/>
          <w:color w:val="231F20"/>
          <w:w w:val="105"/>
        </w:rPr>
        <w:t>year</w:t>
      </w:r>
      <w:r w:rsidRPr="009F1BFB">
        <w:rPr>
          <w:rFonts w:cstheme="minorHAnsi"/>
          <w:color w:val="231F20"/>
          <w:spacing w:val="17"/>
          <w:w w:val="105"/>
        </w:rPr>
        <w:t xml:space="preserve"> </w:t>
      </w:r>
      <w:r w:rsidRPr="009F1BFB">
        <w:rPr>
          <w:rFonts w:cstheme="minorHAnsi"/>
          <w:color w:val="231F20"/>
          <w:w w:val="105"/>
        </w:rPr>
        <w:t>calendar</w:t>
      </w:r>
      <w:r w:rsidRPr="009F1BFB">
        <w:rPr>
          <w:rFonts w:cstheme="minorHAnsi"/>
          <w:color w:val="231F20"/>
          <w:spacing w:val="17"/>
          <w:w w:val="105"/>
        </w:rPr>
        <w:t xml:space="preserve"> </w:t>
      </w:r>
      <w:r w:rsidRPr="009F1BFB">
        <w:rPr>
          <w:rFonts w:cstheme="minorHAnsi"/>
          <w:color w:val="231F20"/>
          <w:spacing w:val="-3"/>
          <w:w w:val="105"/>
        </w:rPr>
        <w:t>quarter.</w:t>
      </w:r>
      <w:r w:rsidRPr="009F1BFB">
        <w:rPr>
          <w:rFonts w:cstheme="minorHAnsi"/>
          <w:color w:val="231F20"/>
          <w:spacing w:val="17"/>
          <w:w w:val="105"/>
        </w:rPr>
        <w:t xml:space="preserve"> </w:t>
      </w:r>
      <w:r w:rsidRPr="009F1BFB">
        <w:rPr>
          <w:rFonts w:cstheme="minorHAnsi"/>
          <w:color w:val="231F20"/>
          <w:w w:val="105"/>
        </w:rPr>
        <w:t>School</w:t>
      </w:r>
      <w:r w:rsidRPr="009F1BFB">
        <w:rPr>
          <w:rFonts w:cstheme="minorHAnsi"/>
          <w:color w:val="231F20"/>
          <w:spacing w:val="17"/>
          <w:w w:val="105"/>
        </w:rPr>
        <w:t xml:space="preserve"> </w:t>
      </w:r>
      <w:r w:rsidRPr="009F1BFB">
        <w:rPr>
          <w:rFonts w:cstheme="minorHAnsi"/>
          <w:color w:val="231F20"/>
          <w:w w:val="105"/>
        </w:rPr>
        <w:t>year</w:t>
      </w:r>
      <w:r w:rsidRPr="009F1BFB">
        <w:rPr>
          <w:rFonts w:cstheme="minorHAnsi"/>
          <w:color w:val="231F20"/>
          <w:spacing w:val="17"/>
          <w:w w:val="105"/>
        </w:rPr>
        <w:t xml:space="preserve"> </w:t>
      </w:r>
      <w:r w:rsidRPr="009F1BFB">
        <w:rPr>
          <w:rFonts w:cstheme="minorHAnsi"/>
          <w:color w:val="231F20"/>
          <w:w w:val="105"/>
        </w:rPr>
        <w:t>calendar</w:t>
      </w:r>
      <w:r w:rsidRPr="009F1BFB">
        <w:rPr>
          <w:rFonts w:cstheme="minorHAnsi"/>
          <w:color w:val="231F20"/>
          <w:spacing w:val="17"/>
          <w:w w:val="105"/>
        </w:rPr>
        <w:t xml:space="preserve"> </w:t>
      </w:r>
      <w:r w:rsidRPr="009F1BFB">
        <w:rPr>
          <w:rFonts w:cstheme="minorHAnsi"/>
          <w:color w:val="231F20"/>
          <w:w w:val="105"/>
        </w:rPr>
        <w:t>quarter</w:t>
      </w:r>
      <w:r w:rsidRPr="009F1BFB">
        <w:rPr>
          <w:rFonts w:cstheme="minorHAnsi"/>
          <w:color w:val="231F20"/>
          <w:spacing w:val="17"/>
          <w:w w:val="105"/>
        </w:rPr>
        <w:t xml:space="preserve"> </w:t>
      </w:r>
      <w:r w:rsidRPr="009F1BFB">
        <w:rPr>
          <w:rFonts w:cstheme="minorHAnsi"/>
          <w:color w:val="231F20"/>
          <w:w w:val="105"/>
        </w:rPr>
        <w:t>is</w:t>
      </w:r>
      <w:r w:rsidRPr="009F1BFB">
        <w:rPr>
          <w:rFonts w:cstheme="minorHAnsi"/>
          <w:color w:val="231F20"/>
          <w:spacing w:val="17"/>
          <w:w w:val="105"/>
        </w:rPr>
        <w:t xml:space="preserve"> </w:t>
      </w:r>
      <w:r w:rsidRPr="009F1BFB">
        <w:rPr>
          <w:rFonts w:cstheme="minorHAnsi"/>
          <w:color w:val="231F20"/>
          <w:w w:val="105"/>
        </w:rPr>
        <w:t>based</w:t>
      </w:r>
      <w:r w:rsidRPr="009F1BFB">
        <w:rPr>
          <w:rFonts w:cstheme="minorHAnsi"/>
          <w:color w:val="231F20"/>
          <w:w w:val="111"/>
        </w:rPr>
        <w:t xml:space="preserve"> </w:t>
      </w:r>
      <w:r w:rsidRPr="009F1BFB">
        <w:rPr>
          <w:rFonts w:cstheme="minorHAnsi"/>
          <w:color w:val="231F20"/>
          <w:w w:val="105"/>
        </w:rPr>
        <w:t>on how a local school district defines its school year</w:t>
      </w:r>
      <w:r w:rsidRPr="009F1BFB">
        <w:rPr>
          <w:rFonts w:cstheme="minorHAnsi"/>
          <w:color w:val="231F20"/>
          <w:spacing w:val="4"/>
          <w:w w:val="105"/>
        </w:rPr>
        <w:t xml:space="preserve"> </w:t>
      </w:r>
      <w:r w:rsidRPr="009F1BFB">
        <w:rPr>
          <w:rFonts w:cstheme="minorHAnsi"/>
          <w:color w:val="231F20"/>
          <w:w w:val="105"/>
        </w:rPr>
        <w:t>quarters;</w:t>
      </w:r>
    </w:p>
    <w:p w14:paraId="0DE40302" w14:textId="77777777" w:rsidR="00366991" w:rsidRPr="00366991" w:rsidRDefault="00366991" w:rsidP="00D63204">
      <w:pPr>
        <w:pStyle w:val="ListParagraph"/>
        <w:widowControl w:val="0"/>
        <w:spacing w:before="193" w:after="0" w:line="264" w:lineRule="exact"/>
        <w:ind w:left="827"/>
        <w:rPr>
          <w:rFonts w:cstheme="minorHAnsi"/>
          <w:color w:val="231F20"/>
          <w:w w:val="105"/>
        </w:rPr>
      </w:pPr>
    </w:p>
    <w:p w14:paraId="4E832190" w14:textId="77777777" w:rsidR="00366991" w:rsidRDefault="00EA7458" w:rsidP="00D63204">
      <w:pPr>
        <w:pStyle w:val="ListParagraph"/>
        <w:widowControl w:val="0"/>
        <w:numPr>
          <w:ilvl w:val="0"/>
          <w:numId w:val="40"/>
        </w:numPr>
        <w:spacing w:before="193" w:after="0" w:line="264" w:lineRule="exact"/>
        <w:rPr>
          <w:rFonts w:cstheme="minorHAnsi"/>
          <w:color w:val="231F20"/>
          <w:w w:val="105"/>
        </w:rPr>
      </w:pPr>
      <w:r w:rsidRPr="00366991">
        <w:rPr>
          <w:rFonts w:cstheme="minorHAnsi"/>
          <w:color w:val="231F20"/>
          <w:w w:val="105"/>
        </w:rPr>
        <w:t>A</w:t>
      </w:r>
      <w:r w:rsidRPr="00366991">
        <w:rPr>
          <w:rFonts w:cstheme="minorHAnsi"/>
          <w:color w:val="231F20"/>
          <w:spacing w:val="16"/>
          <w:w w:val="105"/>
        </w:rPr>
        <w:t xml:space="preserve"> </w:t>
      </w:r>
      <w:r w:rsidRPr="00366991">
        <w:rPr>
          <w:rFonts w:cstheme="minorHAnsi"/>
          <w:color w:val="231F20"/>
          <w:w w:val="105"/>
        </w:rPr>
        <w:t>recipient</w:t>
      </w:r>
      <w:r w:rsidRPr="00366991">
        <w:rPr>
          <w:rFonts w:cstheme="minorHAnsi"/>
          <w:color w:val="231F20"/>
          <w:spacing w:val="16"/>
          <w:w w:val="105"/>
        </w:rPr>
        <w:t xml:space="preserve"> </w:t>
      </w:r>
      <w:r w:rsidRPr="00366991">
        <w:rPr>
          <w:rFonts w:cstheme="minorHAnsi"/>
          <w:color w:val="231F20"/>
          <w:w w:val="105"/>
        </w:rPr>
        <w:t>of</w:t>
      </w:r>
      <w:r w:rsidRPr="00366991">
        <w:rPr>
          <w:rFonts w:cstheme="minorHAnsi"/>
          <w:color w:val="231F20"/>
          <w:spacing w:val="16"/>
          <w:w w:val="105"/>
        </w:rPr>
        <w:t xml:space="preserve"> </w:t>
      </w:r>
      <w:r w:rsidRPr="00366991">
        <w:rPr>
          <w:rFonts w:cstheme="minorHAnsi"/>
          <w:color w:val="231F20"/>
          <w:w w:val="105"/>
        </w:rPr>
        <w:t>a</w:t>
      </w:r>
      <w:r w:rsidRPr="00366991">
        <w:rPr>
          <w:rFonts w:cstheme="minorHAnsi"/>
          <w:color w:val="231F20"/>
          <w:spacing w:val="16"/>
          <w:w w:val="105"/>
        </w:rPr>
        <w:t xml:space="preserve"> </w:t>
      </w:r>
      <w:r w:rsidRPr="00366991">
        <w:rPr>
          <w:rFonts w:cstheme="minorHAnsi"/>
          <w:color w:val="231F20"/>
          <w:w w:val="105"/>
        </w:rPr>
        <w:t>secondary</w:t>
      </w:r>
      <w:r w:rsidRPr="00366991">
        <w:rPr>
          <w:rFonts w:cstheme="minorHAnsi"/>
          <w:color w:val="231F20"/>
          <w:spacing w:val="16"/>
          <w:w w:val="105"/>
        </w:rPr>
        <w:t xml:space="preserve"> </w:t>
      </w:r>
      <w:r w:rsidRPr="00366991">
        <w:rPr>
          <w:rFonts w:cstheme="minorHAnsi"/>
          <w:color w:val="231F20"/>
          <w:w w:val="105"/>
        </w:rPr>
        <w:t>school</w:t>
      </w:r>
      <w:r w:rsidRPr="00366991">
        <w:rPr>
          <w:rFonts w:cstheme="minorHAnsi"/>
          <w:color w:val="231F20"/>
          <w:spacing w:val="16"/>
          <w:w w:val="105"/>
        </w:rPr>
        <w:t xml:space="preserve"> </w:t>
      </w:r>
      <w:r w:rsidRPr="00366991">
        <w:rPr>
          <w:rFonts w:cstheme="minorHAnsi"/>
          <w:color w:val="231F20"/>
          <w:w w:val="105"/>
        </w:rPr>
        <w:t>diploma</w:t>
      </w:r>
      <w:r w:rsidRPr="00366991">
        <w:rPr>
          <w:rFonts w:cstheme="minorHAnsi"/>
          <w:color w:val="231F20"/>
          <w:spacing w:val="16"/>
          <w:w w:val="105"/>
        </w:rPr>
        <w:t xml:space="preserve"> </w:t>
      </w:r>
      <w:r w:rsidRPr="00366991">
        <w:rPr>
          <w:rFonts w:cstheme="minorHAnsi"/>
          <w:color w:val="231F20"/>
          <w:w w:val="105"/>
        </w:rPr>
        <w:t>or</w:t>
      </w:r>
      <w:r w:rsidRPr="00366991">
        <w:rPr>
          <w:rFonts w:cstheme="minorHAnsi"/>
          <w:color w:val="231F20"/>
          <w:spacing w:val="16"/>
          <w:w w:val="105"/>
        </w:rPr>
        <w:t xml:space="preserve"> </w:t>
      </w:r>
      <w:r w:rsidRPr="00366991">
        <w:rPr>
          <w:rFonts w:cstheme="minorHAnsi"/>
          <w:color w:val="231F20"/>
          <w:w w:val="105"/>
        </w:rPr>
        <w:t>its</w:t>
      </w:r>
      <w:r w:rsidRPr="00366991">
        <w:rPr>
          <w:rFonts w:cstheme="minorHAnsi"/>
          <w:color w:val="231F20"/>
          <w:spacing w:val="16"/>
          <w:w w:val="105"/>
        </w:rPr>
        <w:t xml:space="preserve"> </w:t>
      </w:r>
      <w:r w:rsidRPr="00366991">
        <w:rPr>
          <w:rFonts w:cstheme="minorHAnsi"/>
          <w:color w:val="231F20"/>
          <w:w w:val="105"/>
        </w:rPr>
        <w:t>recognized</w:t>
      </w:r>
      <w:r w:rsidRPr="00366991">
        <w:rPr>
          <w:rFonts w:cstheme="minorHAnsi"/>
          <w:color w:val="231F20"/>
          <w:spacing w:val="16"/>
          <w:w w:val="105"/>
        </w:rPr>
        <w:t xml:space="preserve"> </w:t>
      </w:r>
      <w:r w:rsidRPr="00366991">
        <w:rPr>
          <w:rFonts w:cstheme="minorHAnsi"/>
          <w:color w:val="231F20"/>
          <w:w w:val="105"/>
        </w:rPr>
        <w:t>equivalent</w:t>
      </w:r>
      <w:r w:rsidRPr="00366991">
        <w:rPr>
          <w:rFonts w:cstheme="minorHAnsi"/>
          <w:color w:val="231F20"/>
          <w:spacing w:val="16"/>
          <w:w w:val="105"/>
        </w:rPr>
        <w:t xml:space="preserve"> </w:t>
      </w:r>
      <w:r w:rsidRPr="00366991">
        <w:rPr>
          <w:rFonts w:cstheme="minorHAnsi"/>
          <w:color w:val="231F20"/>
          <w:w w:val="105"/>
        </w:rPr>
        <w:t>who</w:t>
      </w:r>
      <w:r w:rsidRPr="00366991">
        <w:rPr>
          <w:rFonts w:cstheme="minorHAnsi"/>
          <w:color w:val="231F20"/>
          <w:spacing w:val="16"/>
          <w:w w:val="105"/>
        </w:rPr>
        <w:t xml:space="preserve"> </w:t>
      </w:r>
      <w:r w:rsidRPr="00366991">
        <w:rPr>
          <w:rFonts w:cstheme="minorHAnsi"/>
          <w:color w:val="231F20"/>
          <w:w w:val="105"/>
        </w:rPr>
        <w:t>is</w:t>
      </w:r>
      <w:r w:rsidRPr="00366991">
        <w:rPr>
          <w:rFonts w:cstheme="minorHAnsi"/>
          <w:color w:val="231F20"/>
          <w:spacing w:val="16"/>
          <w:w w:val="105"/>
        </w:rPr>
        <w:t xml:space="preserve"> </w:t>
      </w:r>
      <w:r w:rsidRPr="00366991">
        <w:rPr>
          <w:rFonts w:cstheme="minorHAnsi"/>
          <w:color w:val="231F20"/>
          <w:w w:val="105"/>
        </w:rPr>
        <w:t>a</w:t>
      </w:r>
      <w:r w:rsidRPr="00366991">
        <w:rPr>
          <w:rFonts w:cstheme="minorHAnsi"/>
          <w:color w:val="231F20"/>
          <w:spacing w:val="16"/>
          <w:w w:val="105"/>
        </w:rPr>
        <w:t xml:space="preserve"> </w:t>
      </w:r>
      <w:r w:rsidRPr="00366991">
        <w:rPr>
          <w:rFonts w:cstheme="minorHAnsi"/>
          <w:color w:val="231F20"/>
          <w:w w:val="105"/>
        </w:rPr>
        <w:t>low-income individual and is either basic skills deficient or an English language</w:t>
      </w:r>
      <w:r w:rsidRPr="00366991">
        <w:rPr>
          <w:rFonts w:cstheme="minorHAnsi"/>
          <w:color w:val="231F20"/>
          <w:spacing w:val="41"/>
          <w:w w:val="105"/>
        </w:rPr>
        <w:t xml:space="preserve"> </w:t>
      </w:r>
      <w:r w:rsidRPr="00366991">
        <w:rPr>
          <w:rFonts w:cstheme="minorHAnsi"/>
          <w:color w:val="231F20"/>
          <w:w w:val="105"/>
        </w:rPr>
        <w:t>learner;</w:t>
      </w:r>
    </w:p>
    <w:p w14:paraId="6671B1BC" w14:textId="0A4B7637" w:rsidR="00366991" w:rsidRPr="00366991" w:rsidRDefault="00366991" w:rsidP="00D63204">
      <w:pPr>
        <w:pStyle w:val="ListParagraph"/>
        <w:widowControl w:val="0"/>
        <w:spacing w:before="193" w:after="0" w:line="264" w:lineRule="exact"/>
        <w:ind w:left="827"/>
        <w:rPr>
          <w:rFonts w:cstheme="minorHAnsi"/>
          <w:color w:val="231F20"/>
          <w:w w:val="105"/>
        </w:rPr>
      </w:pPr>
    </w:p>
    <w:p w14:paraId="77A7010E" w14:textId="5060FFA8" w:rsidR="00366991" w:rsidRDefault="00EA7458" w:rsidP="00D63204">
      <w:pPr>
        <w:pStyle w:val="ListParagraph"/>
        <w:widowControl w:val="0"/>
        <w:numPr>
          <w:ilvl w:val="0"/>
          <w:numId w:val="40"/>
        </w:numPr>
        <w:spacing w:before="193" w:after="0" w:line="264" w:lineRule="exact"/>
        <w:rPr>
          <w:rFonts w:cstheme="minorHAnsi"/>
          <w:color w:val="231F20"/>
          <w:w w:val="105"/>
        </w:rPr>
      </w:pPr>
      <w:r w:rsidRPr="00366991">
        <w:rPr>
          <w:rFonts w:cstheme="minorHAnsi"/>
          <w:color w:val="231F20"/>
          <w:w w:val="105"/>
        </w:rPr>
        <w:t>An individual who is subject to the juvenile or adult justice</w:t>
      </w:r>
      <w:r w:rsidRPr="00366991">
        <w:rPr>
          <w:rFonts w:cstheme="minorHAnsi"/>
          <w:color w:val="231F20"/>
          <w:spacing w:val="4"/>
          <w:w w:val="105"/>
        </w:rPr>
        <w:t xml:space="preserve"> </w:t>
      </w:r>
      <w:r w:rsidRPr="00366991">
        <w:rPr>
          <w:rFonts w:cstheme="minorHAnsi"/>
          <w:color w:val="231F20"/>
          <w:w w:val="105"/>
        </w:rPr>
        <w:t>system;</w:t>
      </w:r>
    </w:p>
    <w:p w14:paraId="343CBD5A" w14:textId="77777777" w:rsidR="00366991" w:rsidRPr="00366991" w:rsidRDefault="00366991" w:rsidP="00D63204">
      <w:pPr>
        <w:pStyle w:val="ListParagraph"/>
        <w:widowControl w:val="0"/>
        <w:spacing w:before="193" w:after="0" w:line="264" w:lineRule="exact"/>
        <w:ind w:left="827"/>
        <w:rPr>
          <w:rFonts w:cstheme="minorHAnsi"/>
          <w:color w:val="231F20"/>
          <w:w w:val="105"/>
        </w:rPr>
      </w:pPr>
    </w:p>
    <w:p w14:paraId="5C50315B" w14:textId="0EBEA8F0" w:rsidR="00366991" w:rsidRPr="00C50CA2" w:rsidRDefault="00EA7458" w:rsidP="00D63204">
      <w:pPr>
        <w:pStyle w:val="ListParagraph"/>
        <w:widowControl w:val="0"/>
        <w:numPr>
          <w:ilvl w:val="0"/>
          <w:numId w:val="40"/>
        </w:numPr>
        <w:spacing w:before="180" w:after="0" w:line="264" w:lineRule="exact"/>
        <w:rPr>
          <w:rFonts w:cstheme="minorHAnsi"/>
          <w:color w:val="231F20"/>
          <w:w w:val="105"/>
        </w:rPr>
      </w:pPr>
      <w:r w:rsidRPr="00C50CA2">
        <w:rPr>
          <w:rFonts w:cstheme="minorHAnsi"/>
          <w:color w:val="231F20"/>
          <w:w w:val="105"/>
        </w:rPr>
        <w:t>A homeless individual (as defined in sec. 41403(6) of the Violence Against Women Act of 1994 (42</w:t>
      </w:r>
      <w:r w:rsidR="00366991" w:rsidRPr="00C50CA2">
        <w:rPr>
          <w:rFonts w:cstheme="minorHAnsi"/>
          <w:color w:val="231F20"/>
          <w:w w:val="105"/>
        </w:rPr>
        <w:t xml:space="preserve"> </w:t>
      </w:r>
      <w:r w:rsidRPr="00C50CA2">
        <w:rPr>
          <w:rFonts w:cstheme="minorHAnsi"/>
          <w:color w:val="231F20"/>
          <w:w w:val="105"/>
        </w:rPr>
        <w:t>U.S.C. 14043e-2(6))), a homeless child or youth (as defined in sec. 725(2) of the McKinney-Vento Homeless Assistance Act (42 U.S.C. 11434a(2))), a runaway, in foster care or has aged out of the foster care system, a child eligible for assistance under sec. 477 of the Social Security Act (42 U.S.C. 677), or in an out-of-home placement;</w:t>
      </w:r>
    </w:p>
    <w:p w14:paraId="7B7480F4" w14:textId="77777777" w:rsidR="00366991" w:rsidRDefault="00366991" w:rsidP="00D63204">
      <w:pPr>
        <w:widowControl w:val="0"/>
        <w:spacing w:before="2" w:after="0" w:line="235" w:lineRule="auto"/>
        <w:ind w:left="107"/>
        <w:rPr>
          <w:rFonts w:cstheme="minorHAnsi"/>
          <w:color w:val="231F20"/>
          <w:w w:val="105"/>
        </w:rPr>
      </w:pPr>
    </w:p>
    <w:p w14:paraId="3353E522" w14:textId="77777777" w:rsidR="00366991" w:rsidRPr="00366991" w:rsidRDefault="00EA7458" w:rsidP="00D63204">
      <w:pPr>
        <w:pStyle w:val="ListParagraph"/>
        <w:widowControl w:val="0"/>
        <w:numPr>
          <w:ilvl w:val="0"/>
          <w:numId w:val="40"/>
        </w:numPr>
        <w:spacing w:before="2" w:after="0" w:line="235" w:lineRule="auto"/>
        <w:rPr>
          <w:rFonts w:cstheme="minorHAnsi"/>
          <w:color w:val="231F20"/>
          <w:w w:val="105"/>
        </w:rPr>
      </w:pPr>
      <w:r w:rsidRPr="00366991">
        <w:rPr>
          <w:rFonts w:cstheme="minorHAnsi"/>
          <w:color w:val="231F20"/>
          <w:w w:val="105"/>
        </w:rPr>
        <w:t>An individual who is pregnant or</w:t>
      </w:r>
      <w:r w:rsidRPr="00366991">
        <w:rPr>
          <w:rFonts w:cstheme="minorHAnsi"/>
          <w:color w:val="231F20"/>
          <w:spacing w:val="29"/>
          <w:w w:val="105"/>
        </w:rPr>
        <w:t xml:space="preserve"> </w:t>
      </w:r>
      <w:r w:rsidRPr="00366991">
        <w:rPr>
          <w:rFonts w:cstheme="minorHAnsi"/>
          <w:color w:val="231F20"/>
          <w:w w:val="105"/>
        </w:rPr>
        <w:t>parenting;</w:t>
      </w:r>
    </w:p>
    <w:p w14:paraId="0DDAB7A3" w14:textId="77777777" w:rsidR="00366991" w:rsidRDefault="00366991" w:rsidP="00D63204">
      <w:pPr>
        <w:widowControl w:val="0"/>
        <w:spacing w:before="2" w:after="0" w:line="235" w:lineRule="auto"/>
        <w:ind w:left="107"/>
        <w:rPr>
          <w:rFonts w:cstheme="minorHAnsi"/>
          <w:color w:val="231F20"/>
          <w:w w:val="105"/>
        </w:rPr>
      </w:pPr>
    </w:p>
    <w:p w14:paraId="2ACCDA6D" w14:textId="77777777" w:rsidR="00366991" w:rsidRPr="00366991" w:rsidRDefault="00EA7458" w:rsidP="00D63204">
      <w:pPr>
        <w:pStyle w:val="ListParagraph"/>
        <w:widowControl w:val="0"/>
        <w:numPr>
          <w:ilvl w:val="0"/>
          <w:numId w:val="40"/>
        </w:numPr>
        <w:spacing w:before="2" w:after="0" w:line="235" w:lineRule="auto"/>
        <w:rPr>
          <w:rFonts w:cstheme="minorHAnsi"/>
          <w:color w:val="231F20"/>
          <w:w w:val="105"/>
        </w:rPr>
      </w:pPr>
      <w:r w:rsidRPr="00366991">
        <w:rPr>
          <w:rFonts w:cstheme="minorHAnsi"/>
          <w:color w:val="231F20"/>
          <w:w w:val="105"/>
        </w:rPr>
        <w:t>An individual with a</w:t>
      </w:r>
      <w:r w:rsidRPr="00366991">
        <w:rPr>
          <w:rFonts w:cstheme="minorHAnsi"/>
          <w:color w:val="231F20"/>
          <w:spacing w:val="17"/>
          <w:w w:val="105"/>
        </w:rPr>
        <w:t xml:space="preserve"> </w:t>
      </w:r>
      <w:r w:rsidRPr="00366991">
        <w:rPr>
          <w:rFonts w:cstheme="minorHAnsi"/>
          <w:color w:val="231F20"/>
          <w:w w:val="105"/>
        </w:rPr>
        <w:t>disability;</w:t>
      </w:r>
    </w:p>
    <w:p w14:paraId="6B39F391" w14:textId="77777777" w:rsidR="00366991" w:rsidRDefault="00366991" w:rsidP="00D63204">
      <w:pPr>
        <w:widowControl w:val="0"/>
        <w:spacing w:before="2" w:after="0" w:line="235" w:lineRule="auto"/>
        <w:ind w:left="107"/>
        <w:rPr>
          <w:rFonts w:cstheme="minorHAnsi"/>
          <w:color w:val="231F20"/>
          <w:w w:val="105"/>
        </w:rPr>
      </w:pPr>
    </w:p>
    <w:p w14:paraId="184B4FED" w14:textId="1A167958" w:rsidR="00EA7458" w:rsidRPr="00366991" w:rsidRDefault="00EA7458" w:rsidP="00D63204">
      <w:pPr>
        <w:pStyle w:val="ListParagraph"/>
        <w:widowControl w:val="0"/>
        <w:numPr>
          <w:ilvl w:val="0"/>
          <w:numId w:val="40"/>
        </w:numPr>
        <w:spacing w:before="2" w:after="0" w:line="235" w:lineRule="auto"/>
        <w:rPr>
          <w:rFonts w:cstheme="minorHAnsi"/>
        </w:rPr>
      </w:pPr>
      <w:r w:rsidRPr="00366991">
        <w:rPr>
          <w:rFonts w:cstheme="minorHAnsi"/>
          <w:color w:val="231F20"/>
          <w:w w:val="105"/>
        </w:rPr>
        <w:t>A low-income individual who requires additional assistance to enter or complete an</w:t>
      </w:r>
      <w:r w:rsidRPr="00366991">
        <w:rPr>
          <w:rFonts w:cstheme="minorHAnsi"/>
          <w:color w:val="231F20"/>
          <w:spacing w:val="11"/>
          <w:w w:val="105"/>
        </w:rPr>
        <w:t xml:space="preserve"> </w:t>
      </w:r>
      <w:r w:rsidRPr="00366991">
        <w:rPr>
          <w:rFonts w:cstheme="minorHAnsi"/>
          <w:color w:val="231F20"/>
          <w:w w:val="105"/>
        </w:rPr>
        <w:t>educational</w:t>
      </w:r>
      <w:r w:rsidRPr="00366991">
        <w:rPr>
          <w:rFonts w:cstheme="minorHAnsi"/>
          <w:color w:val="231F20"/>
          <w:w w:val="106"/>
        </w:rPr>
        <w:t xml:space="preserve"> </w:t>
      </w:r>
      <w:r w:rsidRPr="00366991">
        <w:rPr>
          <w:rFonts w:cstheme="minorHAnsi"/>
          <w:color w:val="231F20"/>
          <w:w w:val="105"/>
        </w:rPr>
        <w:t>program or to secure or hold</w:t>
      </w:r>
      <w:r w:rsidRPr="00366991">
        <w:rPr>
          <w:rFonts w:cstheme="minorHAnsi"/>
          <w:color w:val="231F20"/>
          <w:spacing w:val="28"/>
          <w:w w:val="105"/>
        </w:rPr>
        <w:t xml:space="preserve"> </w:t>
      </w:r>
      <w:r w:rsidRPr="00366991">
        <w:rPr>
          <w:rFonts w:cstheme="minorHAnsi"/>
          <w:color w:val="231F20"/>
          <w:w w:val="105"/>
        </w:rPr>
        <w:t>employment.</w:t>
      </w:r>
    </w:p>
    <w:p w14:paraId="5D782FBE" w14:textId="77777777" w:rsidR="00366EFC" w:rsidRDefault="00366EFC" w:rsidP="00D63204">
      <w:pPr>
        <w:widowControl w:val="0"/>
        <w:spacing w:before="180" w:after="0" w:line="264" w:lineRule="exact"/>
        <w:ind w:left="107"/>
        <w:rPr>
          <w:rFonts w:cstheme="minorHAnsi"/>
          <w:color w:val="231F20"/>
          <w:w w:val="105"/>
        </w:rPr>
      </w:pPr>
    </w:p>
    <w:p w14:paraId="4DDF1941" w14:textId="77777777" w:rsidR="00366EFC" w:rsidRDefault="00366EFC" w:rsidP="00D63204">
      <w:pPr>
        <w:widowControl w:val="0"/>
        <w:spacing w:before="180" w:after="0" w:line="264" w:lineRule="exact"/>
        <w:ind w:left="107"/>
        <w:rPr>
          <w:rFonts w:cstheme="minorHAnsi"/>
          <w:color w:val="231F20"/>
          <w:w w:val="105"/>
        </w:rPr>
      </w:pPr>
    </w:p>
    <w:p w14:paraId="4D6B0F2A" w14:textId="77777777" w:rsidR="00366EFC" w:rsidRDefault="00366EFC" w:rsidP="00D63204">
      <w:pPr>
        <w:widowControl w:val="0"/>
        <w:spacing w:before="180" w:after="0" w:line="264" w:lineRule="exact"/>
        <w:ind w:left="107"/>
        <w:rPr>
          <w:rFonts w:cstheme="minorHAnsi"/>
          <w:color w:val="231F20"/>
          <w:w w:val="105"/>
        </w:rPr>
      </w:pPr>
    </w:p>
    <w:p w14:paraId="4F3CE1E2" w14:textId="77777777" w:rsidR="00366EFC" w:rsidRDefault="00366EFC" w:rsidP="00D63204">
      <w:pPr>
        <w:widowControl w:val="0"/>
        <w:spacing w:before="180" w:after="0" w:line="264" w:lineRule="exact"/>
        <w:ind w:left="107"/>
        <w:rPr>
          <w:rFonts w:cstheme="minorHAnsi"/>
          <w:color w:val="231F20"/>
          <w:w w:val="105"/>
        </w:rPr>
      </w:pPr>
    </w:p>
    <w:p w14:paraId="71E1175C" w14:textId="77777777" w:rsidR="00366EFC" w:rsidRDefault="00366EFC" w:rsidP="00D63204">
      <w:pPr>
        <w:widowControl w:val="0"/>
        <w:spacing w:before="180" w:after="0" w:line="264" w:lineRule="exact"/>
        <w:ind w:left="107"/>
        <w:rPr>
          <w:rFonts w:cstheme="minorHAnsi"/>
          <w:color w:val="231F20"/>
          <w:w w:val="105"/>
        </w:rPr>
      </w:pPr>
    </w:p>
    <w:p w14:paraId="1C45F13F" w14:textId="5B0F9376" w:rsidR="00EA7458" w:rsidRPr="009F06AF" w:rsidRDefault="00EA7458" w:rsidP="00D63204">
      <w:pPr>
        <w:widowControl w:val="0"/>
        <w:spacing w:before="180" w:after="0" w:line="264" w:lineRule="exact"/>
        <w:ind w:left="107"/>
        <w:rPr>
          <w:rFonts w:cstheme="minorHAnsi"/>
        </w:rPr>
      </w:pPr>
      <w:r w:rsidRPr="009F06AF">
        <w:rPr>
          <w:rFonts w:cstheme="minorHAnsi"/>
          <w:color w:val="231F20"/>
          <w:w w:val="105"/>
        </w:rPr>
        <w:t>Florida</w:t>
      </w:r>
      <w:r w:rsidRPr="009F06AF">
        <w:rPr>
          <w:rFonts w:cstheme="minorHAnsi"/>
          <w:color w:val="231F20"/>
          <w:spacing w:val="9"/>
          <w:w w:val="105"/>
        </w:rPr>
        <w:t xml:space="preserve"> </w:t>
      </w:r>
      <w:r w:rsidRPr="009F06AF">
        <w:rPr>
          <w:rFonts w:cstheme="minorHAnsi"/>
          <w:color w:val="231F20"/>
          <w:w w:val="105"/>
        </w:rPr>
        <w:t>defines</w:t>
      </w:r>
      <w:r w:rsidRPr="009F06AF">
        <w:rPr>
          <w:rFonts w:cstheme="minorHAnsi"/>
          <w:color w:val="231F20"/>
          <w:spacing w:val="9"/>
          <w:w w:val="105"/>
        </w:rPr>
        <w:t xml:space="preserve"> </w:t>
      </w:r>
      <w:r w:rsidRPr="009F06AF">
        <w:rPr>
          <w:rFonts w:cstheme="minorHAnsi"/>
          <w:color w:val="231F20"/>
          <w:w w:val="105"/>
        </w:rPr>
        <w:t>in-school</w:t>
      </w:r>
      <w:r w:rsidRPr="009F06AF">
        <w:rPr>
          <w:rFonts w:cstheme="minorHAnsi"/>
          <w:color w:val="231F20"/>
          <w:spacing w:val="9"/>
          <w:w w:val="105"/>
        </w:rPr>
        <w:t xml:space="preserve"> </w:t>
      </w:r>
      <w:r w:rsidRPr="009F06AF">
        <w:rPr>
          <w:rFonts w:cstheme="minorHAnsi"/>
          <w:color w:val="231F20"/>
          <w:w w:val="105"/>
        </w:rPr>
        <w:t>youth</w:t>
      </w:r>
      <w:r w:rsidRPr="009F06AF">
        <w:rPr>
          <w:rFonts w:cstheme="minorHAnsi"/>
          <w:color w:val="231F20"/>
          <w:spacing w:val="9"/>
          <w:w w:val="105"/>
        </w:rPr>
        <w:t xml:space="preserve"> </w:t>
      </w:r>
      <w:r w:rsidRPr="009F06AF">
        <w:rPr>
          <w:rFonts w:cstheme="minorHAnsi"/>
          <w:color w:val="231F20"/>
          <w:w w:val="105"/>
        </w:rPr>
        <w:t>as</w:t>
      </w:r>
      <w:r w:rsidRPr="009F06AF">
        <w:rPr>
          <w:rFonts w:cstheme="minorHAnsi"/>
          <w:color w:val="231F20"/>
          <w:spacing w:val="9"/>
          <w:w w:val="105"/>
        </w:rPr>
        <w:t xml:space="preserve"> </w:t>
      </w:r>
      <w:r w:rsidRPr="009F06AF">
        <w:rPr>
          <w:rFonts w:cstheme="minorHAnsi"/>
          <w:color w:val="231F20"/>
          <w:w w:val="105"/>
        </w:rPr>
        <w:t>a</w:t>
      </w:r>
      <w:r w:rsidRPr="009F06AF">
        <w:rPr>
          <w:rFonts w:cstheme="minorHAnsi"/>
          <w:color w:val="231F20"/>
          <w:spacing w:val="9"/>
          <w:w w:val="105"/>
        </w:rPr>
        <w:t xml:space="preserve"> </w:t>
      </w:r>
      <w:r w:rsidRPr="009F06AF">
        <w:rPr>
          <w:rFonts w:cstheme="minorHAnsi"/>
          <w:color w:val="231F20"/>
          <w:w w:val="105"/>
        </w:rPr>
        <w:t>low-income</w:t>
      </w:r>
      <w:r w:rsidRPr="009F06AF">
        <w:rPr>
          <w:rFonts w:cstheme="minorHAnsi"/>
          <w:color w:val="231F20"/>
          <w:spacing w:val="9"/>
          <w:w w:val="105"/>
        </w:rPr>
        <w:t xml:space="preserve"> </w:t>
      </w:r>
      <w:r w:rsidRPr="009F06AF">
        <w:rPr>
          <w:rFonts w:cstheme="minorHAnsi"/>
          <w:color w:val="231F20"/>
          <w:w w:val="105"/>
        </w:rPr>
        <w:t>individual</w:t>
      </w:r>
      <w:r w:rsidRPr="009F06AF">
        <w:rPr>
          <w:rFonts w:cstheme="minorHAnsi"/>
          <w:color w:val="231F20"/>
          <w:spacing w:val="9"/>
          <w:w w:val="105"/>
        </w:rPr>
        <w:t xml:space="preserve"> </w:t>
      </w:r>
      <w:r w:rsidRPr="009F06AF">
        <w:rPr>
          <w:rFonts w:cstheme="minorHAnsi"/>
          <w:color w:val="231F20"/>
          <w:w w:val="105"/>
        </w:rPr>
        <w:t>who</w:t>
      </w:r>
      <w:r w:rsidRPr="009F06AF">
        <w:rPr>
          <w:rFonts w:cstheme="minorHAnsi"/>
          <w:color w:val="231F20"/>
          <w:spacing w:val="9"/>
          <w:w w:val="105"/>
        </w:rPr>
        <w:t xml:space="preserve"> </w:t>
      </w:r>
      <w:r w:rsidRPr="009F06AF">
        <w:rPr>
          <w:rFonts w:cstheme="minorHAnsi"/>
          <w:color w:val="231F20"/>
          <w:w w:val="105"/>
        </w:rPr>
        <w:t>is</w:t>
      </w:r>
      <w:r w:rsidRPr="009F06AF">
        <w:rPr>
          <w:rFonts w:cstheme="minorHAnsi"/>
          <w:color w:val="231F20"/>
          <w:spacing w:val="9"/>
          <w:w w:val="105"/>
        </w:rPr>
        <w:t xml:space="preserve"> </w:t>
      </w:r>
      <w:r w:rsidRPr="009F06AF">
        <w:rPr>
          <w:rFonts w:cstheme="minorHAnsi"/>
          <w:color w:val="231F20"/>
          <w:w w:val="105"/>
        </w:rPr>
        <w:t>not</w:t>
      </w:r>
      <w:r w:rsidRPr="009F06AF">
        <w:rPr>
          <w:rFonts w:cstheme="minorHAnsi"/>
          <w:color w:val="231F20"/>
          <w:spacing w:val="9"/>
          <w:w w:val="105"/>
        </w:rPr>
        <w:t xml:space="preserve"> </w:t>
      </w:r>
      <w:r w:rsidRPr="009F06AF">
        <w:rPr>
          <w:rFonts w:cstheme="minorHAnsi"/>
          <w:color w:val="231F20"/>
          <w:w w:val="105"/>
        </w:rPr>
        <w:t>younger</w:t>
      </w:r>
      <w:r w:rsidRPr="009F06AF">
        <w:rPr>
          <w:rFonts w:cstheme="minorHAnsi"/>
          <w:color w:val="231F20"/>
          <w:spacing w:val="9"/>
          <w:w w:val="105"/>
        </w:rPr>
        <w:t xml:space="preserve"> </w:t>
      </w:r>
      <w:r w:rsidRPr="009F06AF">
        <w:rPr>
          <w:rFonts w:cstheme="minorHAnsi"/>
          <w:color w:val="231F20"/>
          <w:w w:val="105"/>
        </w:rPr>
        <w:t>than</w:t>
      </w:r>
      <w:r w:rsidRPr="009F06AF">
        <w:rPr>
          <w:rFonts w:cstheme="minorHAnsi"/>
          <w:color w:val="231F20"/>
          <w:spacing w:val="9"/>
          <w:w w:val="105"/>
        </w:rPr>
        <w:t xml:space="preserve"> </w:t>
      </w:r>
      <w:r w:rsidRPr="009F06AF">
        <w:rPr>
          <w:rFonts w:cstheme="minorHAnsi"/>
          <w:color w:val="231F20"/>
          <w:w w:val="105"/>
        </w:rPr>
        <w:t>age</w:t>
      </w:r>
      <w:r w:rsidRPr="009F06AF">
        <w:rPr>
          <w:rFonts w:cstheme="minorHAnsi"/>
          <w:color w:val="231F20"/>
          <w:spacing w:val="9"/>
          <w:w w:val="105"/>
        </w:rPr>
        <w:t xml:space="preserve"> </w:t>
      </w:r>
      <w:r w:rsidRPr="009F06AF">
        <w:rPr>
          <w:rFonts w:cstheme="minorHAnsi"/>
          <w:color w:val="231F20"/>
          <w:w w:val="105"/>
        </w:rPr>
        <w:t>14</w:t>
      </w:r>
      <w:r w:rsidRPr="009F06AF">
        <w:rPr>
          <w:rFonts w:cstheme="minorHAnsi"/>
          <w:color w:val="231F20"/>
          <w:spacing w:val="9"/>
          <w:w w:val="105"/>
        </w:rPr>
        <w:t xml:space="preserve"> </w:t>
      </w:r>
      <w:r w:rsidRPr="009F06AF">
        <w:rPr>
          <w:rFonts w:cstheme="minorHAnsi"/>
          <w:color w:val="231F20"/>
          <w:w w:val="105"/>
        </w:rPr>
        <w:t>or</w:t>
      </w:r>
      <w:r w:rsidRPr="009F06AF">
        <w:rPr>
          <w:rFonts w:cstheme="minorHAnsi"/>
          <w:color w:val="231F20"/>
          <w:spacing w:val="9"/>
          <w:w w:val="105"/>
        </w:rPr>
        <w:t xml:space="preserve"> </w:t>
      </w:r>
      <w:r w:rsidRPr="009F06AF">
        <w:rPr>
          <w:rFonts w:cstheme="minorHAnsi"/>
          <w:color w:val="231F20"/>
          <w:w w:val="105"/>
        </w:rPr>
        <w:t>older</w:t>
      </w:r>
      <w:r w:rsidRPr="009F06AF">
        <w:rPr>
          <w:rFonts w:cstheme="minorHAnsi"/>
          <w:color w:val="231F20"/>
          <w:spacing w:val="9"/>
          <w:w w:val="105"/>
        </w:rPr>
        <w:t xml:space="preserve"> </w:t>
      </w:r>
      <w:r w:rsidRPr="009F06AF">
        <w:rPr>
          <w:rFonts w:cstheme="minorHAnsi"/>
          <w:color w:val="231F20"/>
          <w:w w:val="105"/>
        </w:rPr>
        <w:t>than</w:t>
      </w:r>
      <w:r w:rsidRPr="009F06AF">
        <w:rPr>
          <w:rFonts w:cstheme="minorHAnsi"/>
          <w:color w:val="231F20"/>
          <w:spacing w:val="-36"/>
          <w:w w:val="105"/>
        </w:rPr>
        <w:t xml:space="preserve"> </w:t>
      </w:r>
      <w:r w:rsidRPr="009F06AF">
        <w:rPr>
          <w:rFonts w:cstheme="minorHAnsi"/>
          <w:color w:val="231F20"/>
          <w:w w:val="105"/>
        </w:rPr>
        <w:t>age</w:t>
      </w:r>
      <w:r w:rsidRPr="009F06AF">
        <w:rPr>
          <w:rFonts w:cstheme="minorHAnsi"/>
          <w:color w:val="231F20"/>
          <w:spacing w:val="6"/>
          <w:w w:val="105"/>
        </w:rPr>
        <w:t xml:space="preserve"> </w:t>
      </w:r>
      <w:r w:rsidRPr="009F06AF">
        <w:rPr>
          <w:rFonts w:cstheme="minorHAnsi"/>
          <w:color w:val="231F20"/>
          <w:w w:val="105"/>
        </w:rPr>
        <w:t>21</w:t>
      </w:r>
      <w:r w:rsidRPr="009F06AF">
        <w:rPr>
          <w:rFonts w:cstheme="minorHAnsi"/>
          <w:color w:val="231F20"/>
          <w:spacing w:val="6"/>
          <w:w w:val="105"/>
        </w:rPr>
        <w:t xml:space="preserve"> </w:t>
      </w:r>
      <w:r w:rsidRPr="009F06AF">
        <w:rPr>
          <w:rFonts w:cstheme="minorHAnsi"/>
          <w:color w:val="231F20"/>
          <w:w w:val="105"/>
        </w:rPr>
        <w:t>at</w:t>
      </w:r>
      <w:r w:rsidRPr="009F06AF">
        <w:rPr>
          <w:rFonts w:cstheme="minorHAnsi"/>
          <w:color w:val="231F20"/>
          <w:spacing w:val="6"/>
          <w:w w:val="105"/>
        </w:rPr>
        <w:t xml:space="preserve"> </w:t>
      </w:r>
      <w:r w:rsidRPr="009F06AF">
        <w:rPr>
          <w:rFonts w:cstheme="minorHAnsi"/>
          <w:color w:val="231F20"/>
          <w:w w:val="105"/>
        </w:rPr>
        <w:t>the</w:t>
      </w:r>
      <w:r w:rsidRPr="009F06AF">
        <w:rPr>
          <w:rFonts w:cstheme="minorHAnsi"/>
          <w:color w:val="231F20"/>
          <w:spacing w:val="6"/>
          <w:w w:val="105"/>
        </w:rPr>
        <w:t xml:space="preserve"> </w:t>
      </w:r>
      <w:r w:rsidRPr="009F06AF">
        <w:rPr>
          <w:rFonts w:cstheme="minorHAnsi"/>
          <w:color w:val="231F20"/>
          <w:w w:val="105"/>
        </w:rPr>
        <w:t>time</w:t>
      </w:r>
      <w:r w:rsidRPr="009F06AF">
        <w:rPr>
          <w:rFonts w:cstheme="minorHAnsi"/>
          <w:color w:val="231F20"/>
          <w:spacing w:val="6"/>
          <w:w w:val="105"/>
        </w:rPr>
        <w:t xml:space="preserve"> </w:t>
      </w:r>
      <w:r w:rsidRPr="009F06AF">
        <w:rPr>
          <w:rFonts w:cstheme="minorHAnsi"/>
          <w:color w:val="231F20"/>
          <w:w w:val="105"/>
        </w:rPr>
        <w:t>of</w:t>
      </w:r>
      <w:r w:rsidRPr="009F06AF">
        <w:rPr>
          <w:rFonts w:cstheme="minorHAnsi"/>
          <w:color w:val="231F20"/>
          <w:spacing w:val="6"/>
          <w:w w:val="105"/>
        </w:rPr>
        <w:t xml:space="preserve"> </w:t>
      </w:r>
      <w:r w:rsidRPr="009F06AF">
        <w:rPr>
          <w:rFonts w:cstheme="minorHAnsi"/>
          <w:color w:val="231F20"/>
          <w:w w:val="105"/>
        </w:rPr>
        <w:t>enrollment</w:t>
      </w:r>
      <w:r w:rsidRPr="009F06AF">
        <w:rPr>
          <w:rFonts w:cstheme="minorHAnsi"/>
          <w:color w:val="231F20"/>
          <w:spacing w:val="6"/>
          <w:w w:val="105"/>
        </w:rPr>
        <w:t xml:space="preserve"> </w:t>
      </w:r>
      <w:r w:rsidRPr="009F06AF">
        <w:rPr>
          <w:rFonts w:cstheme="minorHAnsi"/>
          <w:color w:val="231F20"/>
          <w:w w:val="105"/>
        </w:rPr>
        <w:t>into</w:t>
      </w:r>
      <w:r w:rsidRPr="009F06AF">
        <w:rPr>
          <w:rFonts w:cstheme="minorHAnsi"/>
          <w:color w:val="231F20"/>
          <w:spacing w:val="6"/>
          <w:w w:val="105"/>
        </w:rPr>
        <w:t xml:space="preserve"> </w:t>
      </w:r>
      <w:r w:rsidRPr="009F06AF">
        <w:rPr>
          <w:rFonts w:cstheme="minorHAnsi"/>
          <w:color w:val="231F20"/>
          <w:w w:val="105"/>
        </w:rPr>
        <w:t>a</w:t>
      </w:r>
      <w:r w:rsidRPr="009F06AF">
        <w:rPr>
          <w:rFonts w:cstheme="minorHAnsi"/>
          <w:color w:val="231F20"/>
          <w:spacing w:val="6"/>
          <w:w w:val="105"/>
        </w:rPr>
        <w:t xml:space="preserve"> </w:t>
      </w:r>
      <w:r w:rsidRPr="009F06AF">
        <w:rPr>
          <w:rFonts w:cstheme="minorHAnsi"/>
          <w:color w:val="231F20"/>
          <w:spacing w:val="-3"/>
          <w:w w:val="105"/>
        </w:rPr>
        <w:t>WIOA</w:t>
      </w:r>
      <w:r w:rsidR="00E55FC4">
        <w:rPr>
          <w:rFonts w:cstheme="minorHAnsi"/>
          <w:color w:val="231F20"/>
          <w:spacing w:val="6"/>
          <w:w w:val="105"/>
        </w:rPr>
        <w:t>-</w:t>
      </w:r>
      <w:r w:rsidRPr="009F06AF">
        <w:rPr>
          <w:rFonts w:cstheme="minorHAnsi"/>
          <w:color w:val="231F20"/>
          <w:w w:val="105"/>
        </w:rPr>
        <w:t>funded</w:t>
      </w:r>
      <w:r w:rsidRPr="009F06AF">
        <w:rPr>
          <w:rFonts w:cstheme="minorHAnsi"/>
          <w:color w:val="231F20"/>
          <w:spacing w:val="6"/>
          <w:w w:val="105"/>
        </w:rPr>
        <w:t xml:space="preserve"> </w:t>
      </w:r>
      <w:r w:rsidRPr="009F06AF">
        <w:rPr>
          <w:rFonts w:cstheme="minorHAnsi"/>
          <w:color w:val="231F20"/>
          <w:w w:val="105"/>
        </w:rPr>
        <w:t>youth</w:t>
      </w:r>
      <w:r w:rsidRPr="009F06AF">
        <w:rPr>
          <w:rFonts w:cstheme="minorHAnsi"/>
          <w:color w:val="231F20"/>
          <w:spacing w:val="6"/>
          <w:w w:val="105"/>
        </w:rPr>
        <w:t xml:space="preserve"> </w:t>
      </w:r>
      <w:r w:rsidRPr="009F06AF">
        <w:rPr>
          <w:rFonts w:cstheme="minorHAnsi"/>
          <w:color w:val="231F20"/>
          <w:w w:val="105"/>
        </w:rPr>
        <w:t>program,</w:t>
      </w:r>
      <w:r w:rsidRPr="009F06AF">
        <w:rPr>
          <w:rFonts w:cstheme="minorHAnsi"/>
          <w:color w:val="231F20"/>
          <w:spacing w:val="6"/>
          <w:w w:val="105"/>
        </w:rPr>
        <w:t xml:space="preserve"> </w:t>
      </w:r>
      <w:r w:rsidRPr="009F06AF">
        <w:rPr>
          <w:rFonts w:cstheme="minorHAnsi"/>
          <w:color w:val="231F20"/>
          <w:w w:val="105"/>
        </w:rPr>
        <w:t>who</w:t>
      </w:r>
      <w:r w:rsidRPr="009F06AF">
        <w:rPr>
          <w:rFonts w:cstheme="minorHAnsi"/>
          <w:color w:val="231F20"/>
          <w:spacing w:val="6"/>
          <w:w w:val="105"/>
        </w:rPr>
        <w:t xml:space="preserve"> </w:t>
      </w:r>
      <w:r w:rsidRPr="009F06AF">
        <w:rPr>
          <w:rFonts w:cstheme="minorHAnsi"/>
          <w:color w:val="231F20"/>
          <w:w w:val="105"/>
        </w:rPr>
        <w:t>is</w:t>
      </w:r>
      <w:r w:rsidRPr="009F06AF">
        <w:rPr>
          <w:rFonts w:cstheme="minorHAnsi"/>
          <w:color w:val="231F20"/>
          <w:spacing w:val="6"/>
          <w:w w:val="105"/>
        </w:rPr>
        <w:t xml:space="preserve"> </w:t>
      </w:r>
      <w:r w:rsidRPr="009F06AF">
        <w:rPr>
          <w:rFonts w:cstheme="minorHAnsi"/>
          <w:color w:val="231F20"/>
          <w:w w:val="105"/>
        </w:rPr>
        <w:t>attending</w:t>
      </w:r>
      <w:r w:rsidRPr="009F06AF">
        <w:rPr>
          <w:rFonts w:cstheme="minorHAnsi"/>
          <w:color w:val="231F20"/>
          <w:spacing w:val="6"/>
          <w:w w:val="105"/>
        </w:rPr>
        <w:t xml:space="preserve"> </w:t>
      </w:r>
      <w:r w:rsidRPr="009F06AF">
        <w:rPr>
          <w:rFonts w:cstheme="minorHAnsi"/>
          <w:color w:val="231F20"/>
          <w:w w:val="105"/>
        </w:rPr>
        <w:t>secondary</w:t>
      </w:r>
      <w:r w:rsidRPr="009F06AF">
        <w:rPr>
          <w:rFonts w:cstheme="minorHAnsi"/>
          <w:color w:val="231F20"/>
          <w:spacing w:val="6"/>
          <w:w w:val="105"/>
        </w:rPr>
        <w:t xml:space="preserve"> </w:t>
      </w:r>
      <w:r w:rsidRPr="009F06AF">
        <w:rPr>
          <w:rFonts w:cstheme="minorHAnsi"/>
          <w:color w:val="231F20"/>
          <w:w w:val="105"/>
        </w:rPr>
        <w:t>or</w:t>
      </w:r>
      <w:r w:rsidRPr="009F06AF">
        <w:rPr>
          <w:rFonts w:cstheme="minorHAnsi"/>
          <w:color w:val="231F20"/>
          <w:spacing w:val="6"/>
          <w:w w:val="105"/>
        </w:rPr>
        <w:t xml:space="preserve"> </w:t>
      </w:r>
      <w:r w:rsidRPr="009F06AF">
        <w:rPr>
          <w:rFonts w:cstheme="minorHAnsi"/>
          <w:color w:val="231F20"/>
          <w:w w:val="105"/>
        </w:rPr>
        <w:t>post-</w:t>
      </w:r>
      <w:r w:rsidRPr="009F06AF">
        <w:rPr>
          <w:rFonts w:cstheme="minorHAnsi"/>
          <w:color w:val="231F20"/>
          <w:spacing w:val="-50"/>
          <w:w w:val="105"/>
        </w:rPr>
        <w:t xml:space="preserve"> </w:t>
      </w:r>
      <w:r w:rsidRPr="009F06AF">
        <w:rPr>
          <w:rFonts w:cstheme="minorHAnsi"/>
          <w:color w:val="231F20"/>
          <w:w w:val="105"/>
        </w:rPr>
        <w:t>secondary school. This definition includes youth, within the specified age range, attending Florida</w:t>
      </w:r>
      <w:r w:rsidRPr="009F06AF">
        <w:rPr>
          <w:rFonts w:cstheme="minorHAnsi"/>
          <w:color w:val="231F20"/>
          <w:spacing w:val="11"/>
          <w:w w:val="105"/>
        </w:rPr>
        <w:t xml:space="preserve"> </w:t>
      </w:r>
      <w:r w:rsidRPr="009F06AF">
        <w:rPr>
          <w:rFonts w:cstheme="minorHAnsi"/>
          <w:color w:val="231F20"/>
          <w:w w:val="105"/>
        </w:rPr>
        <w:t>Virtual</w:t>
      </w:r>
      <w:r w:rsidRPr="009F06AF">
        <w:rPr>
          <w:rFonts w:cstheme="minorHAnsi"/>
          <w:color w:val="231F20"/>
          <w:w w:val="103"/>
        </w:rPr>
        <w:t xml:space="preserve"> </w:t>
      </w:r>
      <w:r w:rsidRPr="009F06AF">
        <w:rPr>
          <w:rFonts w:cstheme="minorHAnsi"/>
          <w:color w:val="231F20"/>
          <w:w w:val="105"/>
        </w:rPr>
        <w:t>Schools</w:t>
      </w:r>
      <w:r w:rsidRPr="009F06AF">
        <w:rPr>
          <w:rFonts w:cstheme="minorHAnsi"/>
          <w:color w:val="231F20"/>
          <w:spacing w:val="16"/>
          <w:w w:val="105"/>
        </w:rPr>
        <w:t xml:space="preserve"> </w:t>
      </w:r>
      <w:r w:rsidRPr="009F06AF">
        <w:rPr>
          <w:rFonts w:cstheme="minorHAnsi"/>
          <w:color w:val="231F20"/>
          <w:w w:val="105"/>
        </w:rPr>
        <w:t>and</w:t>
      </w:r>
      <w:r w:rsidRPr="009F06AF">
        <w:rPr>
          <w:rFonts w:cstheme="minorHAnsi"/>
          <w:color w:val="231F20"/>
          <w:spacing w:val="16"/>
          <w:w w:val="105"/>
        </w:rPr>
        <w:t xml:space="preserve"> </w:t>
      </w:r>
      <w:r w:rsidRPr="009F06AF">
        <w:rPr>
          <w:rFonts w:cstheme="minorHAnsi"/>
          <w:color w:val="231F20"/>
          <w:w w:val="105"/>
        </w:rPr>
        <w:t>youth</w:t>
      </w:r>
      <w:r w:rsidRPr="009F06AF">
        <w:rPr>
          <w:rFonts w:cstheme="minorHAnsi"/>
          <w:color w:val="231F20"/>
          <w:spacing w:val="16"/>
          <w:w w:val="105"/>
        </w:rPr>
        <w:t xml:space="preserve"> </w:t>
      </w:r>
      <w:r w:rsidRPr="009F06AF">
        <w:rPr>
          <w:rFonts w:cstheme="minorHAnsi"/>
          <w:color w:val="231F20"/>
          <w:w w:val="105"/>
        </w:rPr>
        <w:t>in</w:t>
      </w:r>
      <w:r w:rsidRPr="009F06AF">
        <w:rPr>
          <w:rFonts w:cstheme="minorHAnsi"/>
          <w:color w:val="231F20"/>
          <w:spacing w:val="16"/>
          <w:w w:val="105"/>
        </w:rPr>
        <w:t xml:space="preserve"> </w:t>
      </w:r>
      <w:r w:rsidRPr="009F06AF">
        <w:rPr>
          <w:rFonts w:cstheme="minorHAnsi"/>
          <w:color w:val="231F20"/>
          <w:w w:val="105"/>
        </w:rPr>
        <w:t>Florida</w:t>
      </w:r>
      <w:r w:rsidRPr="009F06AF">
        <w:rPr>
          <w:rFonts w:cstheme="minorHAnsi"/>
          <w:color w:val="231F20"/>
          <w:spacing w:val="16"/>
          <w:w w:val="105"/>
        </w:rPr>
        <w:t xml:space="preserve"> </w:t>
      </w:r>
      <w:r w:rsidRPr="009F06AF">
        <w:rPr>
          <w:rFonts w:cstheme="minorHAnsi"/>
          <w:color w:val="231F20"/>
          <w:w w:val="105"/>
        </w:rPr>
        <w:t>Department</w:t>
      </w:r>
      <w:r w:rsidRPr="009F06AF">
        <w:rPr>
          <w:rFonts w:cstheme="minorHAnsi"/>
          <w:color w:val="231F20"/>
          <w:spacing w:val="16"/>
          <w:w w:val="105"/>
        </w:rPr>
        <w:t xml:space="preserve"> </w:t>
      </w:r>
      <w:r w:rsidRPr="009F06AF">
        <w:rPr>
          <w:rFonts w:cstheme="minorHAnsi"/>
          <w:color w:val="231F20"/>
          <w:w w:val="105"/>
        </w:rPr>
        <w:t>of</w:t>
      </w:r>
      <w:r w:rsidRPr="009F06AF">
        <w:rPr>
          <w:rFonts w:cstheme="minorHAnsi"/>
          <w:color w:val="231F20"/>
          <w:spacing w:val="16"/>
          <w:w w:val="105"/>
        </w:rPr>
        <w:t xml:space="preserve"> </w:t>
      </w:r>
      <w:r w:rsidRPr="009F06AF">
        <w:rPr>
          <w:rFonts w:cstheme="minorHAnsi"/>
          <w:color w:val="231F20"/>
          <w:w w:val="105"/>
        </w:rPr>
        <w:t>Juvenile</w:t>
      </w:r>
      <w:r w:rsidRPr="009F06AF">
        <w:rPr>
          <w:rFonts w:cstheme="minorHAnsi"/>
          <w:color w:val="231F20"/>
          <w:spacing w:val="16"/>
          <w:w w:val="105"/>
        </w:rPr>
        <w:t xml:space="preserve"> </w:t>
      </w:r>
      <w:r w:rsidRPr="009F06AF">
        <w:rPr>
          <w:rFonts w:cstheme="minorHAnsi"/>
          <w:color w:val="231F20"/>
          <w:w w:val="105"/>
        </w:rPr>
        <w:t>Justice</w:t>
      </w:r>
      <w:r w:rsidRPr="009F06AF">
        <w:rPr>
          <w:rFonts w:cstheme="minorHAnsi"/>
          <w:color w:val="231F20"/>
          <w:spacing w:val="16"/>
          <w:w w:val="105"/>
        </w:rPr>
        <w:t xml:space="preserve"> </w:t>
      </w:r>
      <w:r w:rsidRPr="009F06AF">
        <w:rPr>
          <w:rFonts w:cstheme="minorHAnsi"/>
          <w:color w:val="231F20"/>
          <w:w w:val="105"/>
        </w:rPr>
        <w:t>(DJJ)</w:t>
      </w:r>
      <w:r w:rsidRPr="009F06AF">
        <w:rPr>
          <w:rFonts w:cstheme="minorHAnsi"/>
          <w:color w:val="231F20"/>
          <w:spacing w:val="16"/>
          <w:w w:val="105"/>
        </w:rPr>
        <w:t xml:space="preserve"> </w:t>
      </w:r>
      <w:r w:rsidRPr="009F06AF">
        <w:rPr>
          <w:rFonts w:cstheme="minorHAnsi"/>
          <w:color w:val="231F20"/>
          <w:w w:val="105"/>
        </w:rPr>
        <w:t>youth</w:t>
      </w:r>
      <w:r w:rsidRPr="009F06AF">
        <w:rPr>
          <w:rFonts w:cstheme="minorHAnsi"/>
          <w:color w:val="231F20"/>
          <w:spacing w:val="16"/>
          <w:w w:val="105"/>
        </w:rPr>
        <w:t xml:space="preserve"> </w:t>
      </w:r>
      <w:r w:rsidRPr="009F06AF">
        <w:rPr>
          <w:rFonts w:cstheme="minorHAnsi"/>
          <w:color w:val="231F20"/>
          <w:w w:val="105"/>
        </w:rPr>
        <w:t>facilities</w:t>
      </w:r>
      <w:r w:rsidRPr="009F06AF">
        <w:rPr>
          <w:rFonts w:cstheme="minorHAnsi"/>
          <w:color w:val="231F20"/>
          <w:spacing w:val="16"/>
          <w:w w:val="105"/>
        </w:rPr>
        <w:t xml:space="preserve"> </w:t>
      </w:r>
      <w:r w:rsidRPr="009F06AF">
        <w:rPr>
          <w:rFonts w:cstheme="minorHAnsi"/>
          <w:color w:val="231F20"/>
          <w:w w:val="105"/>
        </w:rPr>
        <w:t>who</w:t>
      </w:r>
      <w:r w:rsidRPr="009F06AF">
        <w:rPr>
          <w:rFonts w:cstheme="minorHAnsi"/>
          <w:color w:val="231F20"/>
          <w:spacing w:val="16"/>
          <w:w w:val="105"/>
        </w:rPr>
        <w:t xml:space="preserve"> </w:t>
      </w:r>
      <w:r w:rsidRPr="009F06AF">
        <w:rPr>
          <w:rFonts w:cstheme="minorHAnsi"/>
          <w:color w:val="231F20"/>
          <w:w w:val="105"/>
        </w:rPr>
        <w:t>do</w:t>
      </w:r>
      <w:r w:rsidRPr="009F06AF">
        <w:rPr>
          <w:rFonts w:cstheme="minorHAnsi"/>
          <w:color w:val="231F20"/>
          <w:spacing w:val="16"/>
          <w:w w:val="105"/>
        </w:rPr>
        <w:t xml:space="preserve"> </w:t>
      </w:r>
      <w:r w:rsidRPr="009F06AF">
        <w:rPr>
          <w:rFonts w:cstheme="minorHAnsi"/>
          <w:color w:val="231F20"/>
          <w:w w:val="105"/>
        </w:rPr>
        <w:t>not</w:t>
      </w:r>
      <w:r w:rsidRPr="009F06AF">
        <w:rPr>
          <w:rFonts w:cstheme="minorHAnsi"/>
          <w:color w:val="231F20"/>
          <w:spacing w:val="16"/>
          <w:w w:val="105"/>
        </w:rPr>
        <w:t xml:space="preserve"> </w:t>
      </w:r>
      <w:r w:rsidRPr="009F06AF">
        <w:rPr>
          <w:rFonts w:cstheme="minorHAnsi"/>
          <w:color w:val="231F20"/>
          <w:w w:val="105"/>
        </w:rPr>
        <w:t>have</w:t>
      </w:r>
      <w:r w:rsidRPr="009F06AF">
        <w:rPr>
          <w:rFonts w:cstheme="minorHAnsi"/>
          <w:color w:val="231F20"/>
          <w:spacing w:val="16"/>
          <w:w w:val="105"/>
        </w:rPr>
        <w:t xml:space="preserve"> </w:t>
      </w:r>
      <w:r w:rsidRPr="009F06AF">
        <w:rPr>
          <w:rFonts w:cstheme="minorHAnsi"/>
          <w:color w:val="231F20"/>
          <w:w w:val="105"/>
        </w:rPr>
        <w:t>a</w:t>
      </w:r>
      <w:r w:rsidRPr="009F06AF">
        <w:rPr>
          <w:rFonts w:cstheme="minorHAnsi"/>
          <w:color w:val="231F20"/>
          <w:spacing w:val="16"/>
          <w:w w:val="105"/>
        </w:rPr>
        <w:t xml:space="preserve"> </w:t>
      </w:r>
      <w:r w:rsidRPr="009F06AF">
        <w:rPr>
          <w:rFonts w:cstheme="minorHAnsi"/>
          <w:color w:val="231F20"/>
          <w:w w:val="105"/>
        </w:rPr>
        <w:t>high</w:t>
      </w:r>
      <w:r w:rsidRPr="009F06AF">
        <w:rPr>
          <w:rFonts w:cstheme="minorHAnsi"/>
          <w:color w:val="231F20"/>
          <w:spacing w:val="-39"/>
          <w:w w:val="105"/>
        </w:rPr>
        <w:t xml:space="preserve"> </w:t>
      </w:r>
      <w:r w:rsidRPr="009F06AF">
        <w:rPr>
          <w:rFonts w:cstheme="minorHAnsi"/>
          <w:color w:val="231F20"/>
          <w:w w:val="105"/>
        </w:rPr>
        <w:t>school</w:t>
      </w:r>
      <w:r w:rsidRPr="009F06AF">
        <w:rPr>
          <w:rFonts w:cstheme="minorHAnsi"/>
          <w:color w:val="231F20"/>
          <w:spacing w:val="11"/>
          <w:w w:val="105"/>
        </w:rPr>
        <w:t xml:space="preserve"> </w:t>
      </w:r>
      <w:r w:rsidRPr="009F06AF">
        <w:rPr>
          <w:rFonts w:cstheme="minorHAnsi"/>
          <w:color w:val="231F20"/>
          <w:w w:val="105"/>
        </w:rPr>
        <w:t>diploma</w:t>
      </w:r>
      <w:r w:rsidRPr="009F06AF">
        <w:rPr>
          <w:rFonts w:cstheme="minorHAnsi"/>
          <w:color w:val="231F20"/>
          <w:spacing w:val="11"/>
          <w:w w:val="105"/>
        </w:rPr>
        <w:t xml:space="preserve"> </w:t>
      </w:r>
      <w:r w:rsidRPr="009F06AF">
        <w:rPr>
          <w:rFonts w:cstheme="minorHAnsi"/>
          <w:color w:val="231F20"/>
          <w:w w:val="105"/>
        </w:rPr>
        <w:t>or</w:t>
      </w:r>
      <w:r w:rsidRPr="009F06AF">
        <w:rPr>
          <w:rFonts w:cstheme="minorHAnsi"/>
          <w:color w:val="231F20"/>
          <w:spacing w:val="11"/>
          <w:w w:val="105"/>
        </w:rPr>
        <w:t xml:space="preserve"> </w:t>
      </w:r>
      <w:r w:rsidRPr="009F06AF">
        <w:rPr>
          <w:rFonts w:cstheme="minorHAnsi"/>
          <w:color w:val="231F20"/>
          <w:w w:val="105"/>
        </w:rPr>
        <w:t>GED.</w:t>
      </w:r>
      <w:r w:rsidRPr="009F06AF">
        <w:rPr>
          <w:rFonts w:cstheme="minorHAnsi"/>
          <w:color w:val="231F20"/>
          <w:spacing w:val="11"/>
          <w:w w:val="105"/>
        </w:rPr>
        <w:t xml:space="preserve"> </w:t>
      </w:r>
      <w:r w:rsidRPr="009F06AF">
        <w:rPr>
          <w:rFonts w:cstheme="minorHAnsi"/>
          <w:color w:val="231F20"/>
          <w:w w:val="105"/>
        </w:rPr>
        <w:t>In</w:t>
      </w:r>
      <w:r w:rsidRPr="009F06AF">
        <w:rPr>
          <w:rFonts w:cstheme="minorHAnsi"/>
          <w:color w:val="231F20"/>
          <w:spacing w:val="11"/>
          <w:w w:val="105"/>
        </w:rPr>
        <w:t xml:space="preserve"> </w:t>
      </w:r>
      <w:r w:rsidRPr="009F06AF">
        <w:rPr>
          <w:rFonts w:cstheme="minorHAnsi"/>
          <w:color w:val="231F20"/>
          <w:w w:val="105"/>
        </w:rPr>
        <w:t>school</w:t>
      </w:r>
      <w:r w:rsidRPr="009F06AF">
        <w:rPr>
          <w:rFonts w:cstheme="minorHAnsi"/>
          <w:color w:val="231F20"/>
          <w:spacing w:val="11"/>
          <w:w w:val="105"/>
        </w:rPr>
        <w:t xml:space="preserve"> </w:t>
      </w:r>
      <w:r w:rsidRPr="009F06AF">
        <w:rPr>
          <w:rFonts w:cstheme="minorHAnsi"/>
          <w:color w:val="231F20"/>
          <w:w w:val="105"/>
        </w:rPr>
        <w:t>youth</w:t>
      </w:r>
      <w:r w:rsidRPr="009F06AF">
        <w:rPr>
          <w:rFonts w:cstheme="minorHAnsi"/>
          <w:color w:val="231F20"/>
          <w:spacing w:val="11"/>
          <w:w w:val="105"/>
        </w:rPr>
        <w:t xml:space="preserve"> </w:t>
      </w:r>
      <w:r w:rsidRPr="009F06AF">
        <w:rPr>
          <w:rFonts w:cstheme="minorHAnsi"/>
          <w:color w:val="231F20"/>
          <w:w w:val="105"/>
        </w:rPr>
        <w:t>must</w:t>
      </w:r>
      <w:r w:rsidRPr="009F06AF">
        <w:rPr>
          <w:rFonts w:cstheme="minorHAnsi"/>
          <w:color w:val="231F20"/>
          <w:spacing w:val="11"/>
          <w:w w:val="105"/>
        </w:rPr>
        <w:t xml:space="preserve"> </w:t>
      </w:r>
      <w:r w:rsidRPr="009F06AF">
        <w:rPr>
          <w:rFonts w:cstheme="minorHAnsi"/>
          <w:color w:val="231F20"/>
          <w:w w:val="105"/>
        </w:rPr>
        <w:t>meet</w:t>
      </w:r>
      <w:r w:rsidRPr="009F06AF">
        <w:rPr>
          <w:rFonts w:cstheme="minorHAnsi"/>
          <w:color w:val="231F20"/>
          <w:spacing w:val="11"/>
          <w:w w:val="105"/>
        </w:rPr>
        <w:t xml:space="preserve"> </w:t>
      </w:r>
      <w:r w:rsidRPr="009F06AF">
        <w:rPr>
          <w:rFonts w:cstheme="minorHAnsi"/>
          <w:color w:val="231F20"/>
          <w:w w:val="105"/>
        </w:rPr>
        <w:t>the</w:t>
      </w:r>
      <w:r w:rsidRPr="009F06AF">
        <w:rPr>
          <w:rFonts w:cstheme="minorHAnsi"/>
          <w:color w:val="231F20"/>
          <w:spacing w:val="11"/>
          <w:w w:val="105"/>
        </w:rPr>
        <w:t xml:space="preserve"> </w:t>
      </w:r>
      <w:r w:rsidRPr="009F06AF">
        <w:rPr>
          <w:rFonts w:cstheme="minorHAnsi"/>
          <w:color w:val="231F20"/>
          <w:w w:val="105"/>
        </w:rPr>
        <w:t>above</w:t>
      </w:r>
      <w:r w:rsidRPr="009F06AF">
        <w:rPr>
          <w:rFonts w:cstheme="minorHAnsi"/>
          <w:color w:val="231F20"/>
          <w:spacing w:val="11"/>
          <w:w w:val="105"/>
        </w:rPr>
        <w:t xml:space="preserve"> </w:t>
      </w:r>
      <w:r w:rsidRPr="009F06AF">
        <w:rPr>
          <w:rFonts w:cstheme="minorHAnsi"/>
          <w:color w:val="231F20"/>
          <w:w w:val="105"/>
        </w:rPr>
        <w:t>and</w:t>
      </w:r>
      <w:r w:rsidRPr="009F06AF">
        <w:rPr>
          <w:rFonts w:cstheme="minorHAnsi"/>
          <w:color w:val="231F20"/>
          <w:spacing w:val="11"/>
          <w:w w:val="105"/>
        </w:rPr>
        <w:t xml:space="preserve"> </w:t>
      </w:r>
      <w:r w:rsidRPr="009F06AF">
        <w:rPr>
          <w:rFonts w:cstheme="minorHAnsi"/>
          <w:color w:val="231F20"/>
          <w:w w:val="105"/>
        </w:rPr>
        <w:t>be</w:t>
      </w:r>
      <w:r w:rsidRPr="009F06AF">
        <w:rPr>
          <w:rFonts w:cstheme="minorHAnsi"/>
          <w:color w:val="231F20"/>
          <w:spacing w:val="11"/>
          <w:w w:val="105"/>
        </w:rPr>
        <w:t xml:space="preserve"> </w:t>
      </w:r>
      <w:r w:rsidRPr="009F06AF">
        <w:rPr>
          <w:rFonts w:cstheme="minorHAnsi"/>
          <w:color w:val="231F20"/>
          <w:w w:val="105"/>
        </w:rPr>
        <w:t>one</w:t>
      </w:r>
      <w:r w:rsidRPr="009F06AF">
        <w:rPr>
          <w:rFonts w:cstheme="minorHAnsi"/>
          <w:color w:val="231F20"/>
          <w:spacing w:val="11"/>
          <w:w w:val="105"/>
        </w:rPr>
        <w:t xml:space="preserve"> </w:t>
      </w:r>
      <w:r w:rsidRPr="009F06AF">
        <w:rPr>
          <w:rFonts w:cstheme="minorHAnsi"/>
          <w:color w:val="231F20"/>
          <w:w w:val="105"/>
        </w:rPr>
        <w:t>of</w:t>
      </w:r>
      <w:r w:rsidRPr="009F06AF">
        <w:rPr>
          <w:rFonts w:cstheme="minorHAnsi"/>
          <w:color w:val="231F20"/>
          <w:spacing w:val="11"/>
          <w:w w:val="105"/>
        </w:rPr>
        <w:t xml:space="preserve"> </w:t>
      </w:r>
      <w:r w:rsidRPr="009F06AF">
        <w:rPr>
          <w:rFonts w:cstheme="minorHAnsi"/>
          <w:color w:val="231F20"/>
          <w:w w:val="105"/>
        </w:rPr>
        <w:t>the</w:t>
      </w:r>
      <w:r w:rsidRPr="009F06AF">
        <w:rPr>
          <w:rFonts w:cstheme="minorHAnsi"/>
          <w:color w:val="231F20"/>
          <w:spacing w:val="11"/>
          <w:w w:val="105"/>
        </w:rPr>
        <w:t xml:space="preserve"> </w:t>
      </w:r>
      <w:r w:rsidRPr="009F06AF">
        <w:rPr>
          <w:rFonts w:cstheme="minorHAnsi"/>
          <w:color w:val="231F20"/>
          <w:w w:val="105"/>
        </w:rPr>
        <w:t>following:</w:t>
      </w:r>
    </w:p>
    <w:p w14:paraId="4244AF90" w14:textId="77777777" w:rsidR="00EA7458" w:rsidRPr="009F06AF" w:rsidRDefault="00EA7458" w:rsidP="00D63204">
      <w:pPr>
        <w:widowControl w:val="0"/>
        <w:spacing w:before="6" w:after="0" w:line="240" w:lineRule="auto"/>
        <w:ind w:left="107"/>
        <w:rPr>
          <w:rFonts w:cstheme="minorHAnsi"/>
          <w:sz w:val="16"/>
          <w:szCs w:val="16"/>
        </w:rPr>
      </w:pPr>
    </w:p>
    <w:p w14:paraId="6010118F" w14:textId="3E00EFEE" w:rsidR="00EA7458" w:rsidRPr="00366991" w:rsidRDefault="00EA7458" w:rsidP="00D63204">
      <w:pPr>
        <w:pStyle w:val="ListParagraph"/>
        <w:widowControl w:val="0"/>
        <w:numPr>
          <w:ilvl w:val="0"/>
          <w:numId w:val="41"/>
        </w:numPr>
        <w:spacing w:after="0" w:line="240" w:lineRule="auto"/>
        <w:rPr>
          <w:rFonts w:cstheme="minorHAnsi"/>
        </w:rPr>
      </w:pPr>
      <w:r w:rsidRPr="00366991">
        <w:rPr>
          <w:rFonts w:cstheme="minorHAnsi"/>
          <w:color w:val="231F20"/>
          <w:w w:val="110"/>
        </w:rPr>
        <w:t>Basic skills</w:t>
      </w:r>
      <w:r w:rsidRPr="00366991">
        <w:rPr>
          <w:rFonts w:cstheme="minorHAnsi"/>
          <w:color w:val="231F20"/>
          <w:spacing w:val="3"/>
          <w:w w:val="110"/>
        </w:rPr>
        <w:t xml:space="preserve"> </w:t>
      </w:r>
      <w:r w:rsidRPr="00366991">
        <w:rPr>
          <w:rFonts w:cstheme="minorHAnsi"/>
          <w:color w:val="231F20"/>
          <w:w w:val="110"/>
        </w:rPr>
        <w:t>deficient;</w:t>
      </w:r>
    </w:p>
    <w:p w14:paraId="45014338" w14:textId="77777777" w:rsidR="00366991" w:rsidRPr="00366991" w:rsidRDefault="00366991" w:rsidP="00D63204">
      <w:pPr>
        <w:pStyle w:val="ListParagraph"/>
        <w:widowControl w:val="0"/>
        <w:spacing w:after="0" w:line="240" w:lineRule="auto"/>
        <w:ind w:left="827"/>
        <w:rPr>
          <w:rFonts w:cstheme="minorHAnsi"/>
        </w:rPr>
      </w:pPr>
    </w:p>
    <w:p w14:paraId="637E8A84" w14:textId="18C58232" w:rsidR="00EA7458" w:rsidRPr="00366991" w:rsidRDefault="00EA7458" w:rsidP="00D63204">
      <w:pPr>
        <w:pStyle w:val="ListParagraph"/>
        <w:widowControl w:val="0"/>
        <w:numPr>
          <w:ilvl w:val="0"/>
          <w:numId w:val="41"/>
        </w:numPr>
        <w:spacing w:before="85" w:after="0" w:line="240" w:lineRule="auto"/>
        <w:rPr>
          <w:rFonts w:cstheme="minorHAnsi"/>
        </w:rPr>
      </w:pPr>
      <w:r w:rsidRPr="00366991">
        <w:rPr>
          <w:rFonts w:cstheme="minorHAnsi"/>
          <w:color w:val="231F20"/>
          <w:w w:val="110"/>
        </w:rPr>
        <w:t>An English language</w:t>
      </w:r>
      <w:r w:rsidRPr="00366991">
        <w:rPr>
          <w:rFonts w:cstheme="minorHAnsi"/>
          <w:color w:val="231F20"/>
          <w:spacing w:val="5"/>
          <w:w w:val="110"/>
        </w:rPr>
        <w:t xml:space="preserve"> </w:t>
      </w:r>
      <w:r w:rsidRPr="00366991">
        <w:rPr>
          <w:rFonts w:cstheme="minorHAnsi"/>
          <w:color w:val="231F20"/>
          <w:w w:val="110"/>
        </w:rPr>
        <w:t>learner;</w:t>
      </w:r>
    </w:p>
    <w:p w14:paraId="6C206B7D" w14:textId="77777777" w:rsidR="00366991" w:rsidRPr="00366991" w:rsidRDefault="00366991" w:rsidP="00D63204">
      <w:pPr>
        <w:pStyle w:val="ListParagraph"/>
        <w:widowControl w:val="0"/>
        <w:spacing w:before="85" w:after="0" w:line="240" w:lineRule="auto"/>
        <w:ind w:left="827"/>
        <w:rPr>
          <w:rFonts w:cstheme="minorHAnsi"/>
        </w:rPr>
      </w:pPr>
    </w:p>
    <w:p w14:paraId="0894D58E" w14:textId="50ECF994" w:rsidR="00EA7458" w:rsidRPr="00366991" w:rsidRDefault="00EA7458" w:rsidP="00D63204">
      <w:pPr>
        <w:pStyle w:val="ListParagraph"/>
        <w:widowControl w:val="0"/>
        <w:numPr>
          <w:ilvl w:val="0"/>
          <w:numId w:val="41"/>
        </w:numPr>
        <w:spacing w:before="85" w:after="0" w:line="240" w:lineRule="auto"/>
        <w:rPr>
          <w:rFonts w:cstheme="minorHAnsi"/>
        </w:rPr>
      </w:pPr>
      <w:r w:rsidRPr="00366991">
        <w:rPr>
          <w:rFonts w:cstheme="minorHAnsi"/>
          <w:color w:val="231F20"/>
          <w:w w:val="105"/>
        </w:rPr>
        <w:t>An</w:t>
      </w:r>
      <w:r w:rsidRPr="00366991">
        <w:rPr>
          <w:rFonts w:cstheme="minorHAnsi"/>
          <w:color w:val="231F20"/>
          <w:spacing w:val="4"/>
          <w:w w:val="105"/>
        </w:rPr>
        <w:t xml:space="preserve"> </w:t>
      </w:r>
      <w:r w:rsidRPr="00366991">
        <w:rPr>
          <w:rFonts w:cstheme="minorHAnsi"/>
          <w:color w:val="231F20"/>
          <w:w w:val="105"/>
        </w:rPr>
        <w:t>offender;</w:t>
      </w:r>
    </w:p>
    <w:p w14:paraId="2E2F8B4B" w14:textId="77777777" w:rsidR="00366991" w:rsidRPr="00366991" w:rsidRDefault="00366991" w:rsidP="00D63204">
      <w:pPr>
        <w:pStyle w:val="ListParagraph"/>
        <w:widowControl w:val="0"/>
        <w:spacing w:before="85" w:after="0" w:line="240" w:lineRule="auto"/>
        <w:ind w:left="827"/>
        <w:rPr>
          <w:rFonts w:cstheme="minorHAnsi"/>
        </w:rPr>
      </w:pPr>
    </w:p>
    <w:p w14:paraId="50D155C4" w14:textId="15DEC5C4" w:rsidR="00EA7458" w:rsidRPr="00366991" w:rsidRDefault="00EA7458" w:rsidP="00D63204">
      <w:pPr>
        <w:pStyle w:val="ListParagraph"/>
        <w:widowControl w:val="0"/>
        <w:numPr>
          <w:ilvl w:val="0"/>
          <w:numId w:val="41"/>
        </w:numPr>
        <w:spacing w:before="85" w:after="0" w:line="266" w:lineRule="exact"/>
        <w:rPr>
          <w:rFonts w:cstheme="minorHAnsi"/>
        </w:rPr>
      </w:pPr>
      <w:r w:rsidRPr="00366991">
        <w:rPr>
          <w:rFonts w:cstheme="minorHAnsi"/>
          <w:color w:val="231F20"/>
          <w:w w:val="105"/>
        </w:rPr>
        <w:t>A homeless individual (as defined in sec. 41403(6) of the Violence Against Women Act of 1994</w:t>
      </w:r>
      <w:r w:rsidRPr="00366991">
        <w:rPr>
          <w:rFonts w:cstheme="minorHAnsi"/>
          <w:color w:val="231F20"/>
          <w:spacing w:val="42"/>
          <w:w w:val="105"/>
        </w:rPr>
        <w:t xml:space="preserve"> </w:t>
      </w:r>
      <w:r w:rsidRPr="00366991">
        <w:rPr>
          <w:rFonts w:cstheme="minorHAnsi"/>
          <w:color w:val="231F20"/>
          <w:w w:val="105"/>
        </w:rPr>
        <w:t>(42</w:t>
      </w:r>
    </w:p>
    <w:p w14:paraId="1E559B4A" w14:textId="77777777" w:rsidR="00366991" w:rsidRPr="00366991" w:rsidRDefault="00366991" w:rsidP="00D63204">
      <w:pPr>
        <w:pStyle w:val="ListParagraph"/>
        <w:widowControl w:val="0"/>
        <w:spacing w:before="85" w:after="0" w:line="266" w:lineRule="exact"/>
        <w:ind w:left="827"/>
        <w:rPr>
          <w:rFonts w:cstheme="minorHAnsi"/>
        </w:rPr>
      </w:pPr>
    </w:p>
    <w:p w14:paraId="63C561CC" w14:textId="77777777" w:rsidR="008601E5" w:rsidRPr="008601E5" w:rsidRDefault="008601E5" w:rsidP="00D63204">
      <w:pPr>
        <w:pStyle w:val="ListParagraph"/>
        <w:widowControl w:val="0"/>
        <w:numPr>
          <w:ilvl w:val="0"/>
          <w:numId w:val="41"/>
        </w:numPr>
        <w:spacing w:before="2" w:after="0" w:line="235" w:lineRule="auto"/>
        <w:rPr>
          <w:rFonts w:cstheme="minorHAnsi"/>
        </w:rPr>
      </w:pPr>
      <w:r w:rsidRPr="008601E5">
        <w:rPr>
          <w:rFonts w:cstheme="minorHAnsi"/>
          <w:color w:val="231F20"/>
          <w:w w:val="105"/>
        </w:rPr>
        <w:t>U.S.C.</w:t>
      </w:r>
      <w:r w:rsidRPr="008601E5">
        <w:rPr>
          <w:rFonts w:cstheme="minorHAnsi"/>
          <w:color w:val="231F20"/>
          <w:spacing w:val="6"/>
          <w:w w:val="105"/>
        </w:rPr>
        <w:t xml:space="preserve"> </w:t>
      </w:r>
      <w:r w:rsidRPr="008601E5">
        <w:rPr>
          <w:rFonts w:cstheme="minorHAnsi"/>
          <w:color w:val="231F20"/>
          <w:w w:val="105"/>
        </w:rPr>
        <w:t>14043e-2(6),</w:t>
      </w:r>
      <w:r w:rsidRPr="008601E5">
        <w:rPr>
          <w:rFonts w:cstheme="minorHAnsi"/>
          <w:color w:val="231F20"/>
          <w:spacing w:val="6"/>
          <w:w w:val="105"/>
        </w:rPr>
        <w:t xml:space="preserve"> </w:t>
      </w:r>
      <w:r w:rsidRPr="008601E5">
        <w:rPr>
          <w:rFonts w:cstheme="minorHAnsi"/>
          <w:color w:val="231F20"/>
          <w:w w:val="105"/>
        </w:rPr>
        <w:t>a</w:t>
      </w:r>
      <w:r w:rsidRPr="008601E5">
        <w:rPr>
          <w:rFonts w:cstheme="minorHAnsi"/>
          <w:color w:val="231F20"/>
          <w:spacing w:val="6"/>
          <w:w w:val="105"/>
        </w:rPr>
        <w:t xml:space="preserve"> </w:t>
      </w:r>
      <w:r w:rsidRPr="008601E5">
        <w:rPr>
          <w:rFonts w:cstheme="minorHAnsi"/>
          <w:color w:val="231F20"/>
          <w:w w:val="105"/>
        </w:rPr>
        <w:t>homeless</w:t>
      </w:r>
      <w:r w:rsidRPr="008601E5">
        <w:rPr>
          <w:rFonts w:cstheme="minorHAnsi"/>
          <w:color w:val="231F20"/>
          <w:spacing w:val="6"/>
          <w:w w:val="105"/>
        </w:rPr>
        <w:t xml:space="preserve"> </w:t>
      </w:r>
      <w:r w:rsidRPr="008601E5">
        <w:rPr>
          <w:rFonts w:cstheme="minorHAnsi"/>
          <w:color w:val="231F20"/>
          <w:w w:val="105"/>
        </w:rPr>
        <w:t>child</w:t>
      </w:r>
      <w:r w:rsidRPr="008601E5">
        <w:rPr>
          <w:rFonts w:cstheme="minorHAnsi"/>
          <w:color w:val="231F20"/>
          <w:spacing w:val="6"/>
          <w:w w:val="105"/>
        </w:rPr>
        <w:t xml:space="preserve"> </w:t>
      </w:r>
      <w:r w:rsidRPr="008601E5">
        <w:rPr>
          <w:rFonts w:cstheme="minorHAnsi"/>
          <w:color w:val="231F20"/>
          <w:w w:val="105"/>
        </w:rPr>
        <w:t>or</w:t>
      </w:r>
      <w:r w:rsidRPr="008601E5">
        <w:rPr>
          <w:rFonts w:cstheme="minorHAnsi"/>
          <w:color w:val="231F20"/>
          <w:spacing w:val="6"/>
          <w:w w:val="105"/>
        </w:rPr>
        <w:t xml:space="preserve"> </w:t>
      </w:r>
      <w:r w:rsidRPr="008601E5">
        <w:rPr>
          <w:rFonts w:cstheme="minorHAnsi"/>
          <w:color w:val="231F20"/>
          <w:w w:val="105"/>
        </w:rPr>
        <w:t>youth</w:t>
      </w:r>
      <w:r w:rsidRPr="008601E5">
        <w:rPr>
          <w:rFonts w:cstheme="minorHAnsi"/>
          <w:color w:val="231F20"/>
          <w:spacing w:val="6"/>
          <w:w w:val="105"/>
        </w:rPr>
        <w:t xml:space="preserve"> </w:t>
      </w:r>
      <w:r w:rsidRPr="008601E5">
        <w:rPr>
          <w:rFonts w:cstheme="minorHAnsi"/>
          <w:color w:val="231F20"/>
          <w:w w:val="105"/>
        </w:rPr>
        <w:t>(as</w:t>
      </w:r>
      <w:r w:rsidRPr="008601E5">
        <w:rPr>
          <w:rFonts w:cstheme="minorHAnsi"/>
          <w:color w:val="231F20"/>
          <w:spacing w:val="6"/>
          <w:w w:val="105"/>
        </w:rPr>
        <w:t xml:space="preserve"> </w:t>
      </w:r>
      <w:r w:rsidRPr="008601E5">
        <w:rPr>
          <w:rFonts w:cstheme="minorHAnsi"/>
          <w:color w:val="231F20"/>
          <w:w w:val="105"/>
        </w:rPr>
        <w:t>defined</w:t>
      </w:r>
      <w:r w:rsidRPr="008601E5">
        <w:rPr>
          <w:rFonts w:cstheme="minorHAnsi"/>
          <w:color w:val="231F20"/>
          <w:spacing w:val="6"/>
          <w:w w:val="105"/>
        </w:rPr>
        <w:t xml:space="preserve"> </w:t>
      </w:r>
      <w:r w:rsidRPr="008601E5">
        <w:rPr>
          <w:rFonts w:cstheme="minorHAnsi"/>
          <w:color w:val="231F20"/>
          <w:w w:val="105"/>
        </w:rPr>
        <w:t>in</w:t>
      </w:r>
      <w:r w:rsidRPr="008601E5">
        <w:rPr>
          <w:rFonts w:cstheme="minorHAnsi"/>
          <w:color w:val="231F20"/>
          <w:spacing w:val="6"/>
          <w:w w:val="105"/>
        </w:rPr>
        <w:t xml:space="preserve"> </w:t>
      </w:r>
      <w:r w:rsidRPr="008601E5">
        <w:rPr>
          <w:rFonts w:cstheme="minorHAnsi"/>
          <w:color w:val="231F20"/>
          <w:w w:val="105"/>
        </w:rPr>
        <w:t>sec.</w:t>
      </w:r>
      <w:r w:rsidRPr="008601E5">
        <w:rPr>
          <w:rFonts w:cstheme="minorHAnsi"/>
          <w:color w:val="231F20"/>
          <w:spacing w:val="6"/>
          <w:w w:val="105"/>
        </w:rPr>
        <w:t xml:space="preserve"> </w:t>
      </w:r>
      <w:r w:rsidRPr="008601E5">
        <w:rPr>
          <w:rFonts w:cstheme="minorHAnsi"/>
          <w:color w:val="231F20"/>
          <w:w w:val="105"/>
        </w:rPr>
        <w:t>725(2)</w:t>
      </w:r>
      <w:r w:rsidRPr="008601E5">
        <w:rPr>
          <w:rFonts w:cstheme="minorHAnsi"/>
          <w:color w:val="231F20"/>
          <w:spacing w:val="6"/>
          <w:w w:val="105"/>
        </w:rPr>
        <w:t xml:space="preserve"> </w:t>
      </w:r>
      <w:r w:rsidRPr="008601E5">
        <w:rPr>
          <w:rFonts w:cstheme="minorHAnsi"/>
          <w:color w:val="231F20"/>
          <w:w w:val="105"/>
        </w:rPr>
        <w:t>of</w:t>
      </w:r>
      <w:r w:rsidRPr="008601E5">
        <w:rPr>
          <w:rFonts w:cstheme="minorHAnsi"/>
          <w:color w:val="231F20"/>
          <w:spacing w:val="6"/>
          <w:w w:val="105"/>
        </w:rPr>
        <w:t xml:space="preserve"> </w:t>
      </w:r>
      <w:r w:rsidRPr="008601E5">
        <w:rPr>
          <w:rFonts w:cstheme="minorHAnsi"/>
          <w:color w:val="231F20"/>
          <w:w w:val="105"/>
        </w:rPr>
        <w:t>the</w:t>
      </w:r>
      <w:r w:rsidRPr="008601E5">
        <w:rPr>
          <w:rFonts w:cstheme="minorHAnsi"/>
          <w:color w:val="231F20"/>
          <w:spacing w:val="6"/>
          <w:w w:val="105"/>
        </w:rPr>
        <w:t xml:space="preserve"> </w:t>
      </w:r>
      <w:r w:rsidRPr="008601E5">
        <w:rPr>
          <w:rFonts w:cstheme="minorHAnsi"/>
          <w:color w:val="231F20"/>
          <w:w w:val="105"/>
        </w:rPr>
        <w:t>McKinney-Vento</w:t>
      </w:r>
      <w:r w:rsidRPr="008601E5">
        <w:rPr>
          <w:rFonts w:cstheme="minorHAnsi"/>
          <w:color w:val="231F20"/>
          <w:spacing w:val="-36"/>
          <w:w w:val="105"/>
        </w:rPr>
        <w:t xml:space="preserve"> </w:t>
      </w:r>
      <w:r w:rsidRPr="008601E5">
        <w:rPr>
          <w:rFonts w:cstheme="minorHAnsi"/>
          <w:color w:val="231F20"/>
          <w:w w:val="105"/>
        </w:rPr>
        <w:t>Homeless</w:t>
      </w:r>
      <w:r w:rsidRPr="008601E5">
        <w:rPr>
          <w:rFonts w:cstheme="minorHAnsi"/>
          <w:color w:val="231F20"/>
          <w:spacing w:val="6"/>
          <w:w w:val="105"/>
        </w:rPr>
        <w:t xml:space="preserve"> </w:t>
      </w:r>
      <w:r w:rsidRPr="008601E5">
        <w:rPr>
          <w:rFonts w:cstheme="minorHAnsi"/>
          <w:color w:val="231F20"/>
          <w:w w:val="105"/>
        </w:rPr>
        <w:t>Assistance</w:t>
      </w:r>
      <w:r w:rsidRPr="008601E5">
        <w:rPr>
          <w:rFonts w:cstheme="minorHAnsi"/>
          <w:color w:val="231F20"/>
          <w:spacing w:val="6"/>
          <w:w w:val="105"/>
        </w:rPr>
        <w:t xml:space="preserve"> </w:t>
      </w:r>
      <w:r w:rsidRPr="008601E5">
        <w:rPr>
          <w:rFonts w:cstheme="minorHAnsi"/>
          <w:color w:val="231F20"/>
          <w:w w:val="105"/>
        </w:rPr>
        <w:t>Act</w:t>
      </w:r>
      <w:r w:rsidRPr="008601E5">
        <w:rPr>
          <w:rFonts w:cstheme="minorHAnsi"/>
          <w:color w:val="231F20"/>
          <w:spacing w:val="6"/>
          <w:w w:val="105"/>
        </w:rPr>
        <w:t xml:space="preserve"> </w:t>
      </w:r>
      <w:r w:rsidRPr="008601E5">
        <w:rPr>
          <w:rFonts w:cstheme="minorHAnsi"/>
          <w:color w:val="231F20"/>
          <w:w w:val="105"/>
        </w:rPr>
        <w:t>(42</w:t>
      </w:r>
      <w:r w:rsidRPr="008601E5">
        <w:rPr>
          <w:rFonts w:cstheme="minorHAnsi"/>
          <w:color w:val="231F20"/>
          <w:spacing w:val="6"/>
          <w:w w:val="105"/>
        </w:rPr>
        <w:t xml:space="preserve"> </w:t>
      </w:r>
      <w:r w:rsidRPr="008601E5">
        <w:rPr>
          <w:rFonts w:cstheme="minorHAnsi"/>
          <w:color w:val="231F20"/>
          <w:w w:val="105"/>
        </w:rPr>
        <w:t>U.S.C.</w:t>
      </w:r>
      <w:r w:rsidRPr="008601E5">
        <w:rPr>
          <w:rFonts w:cstheme="minorHAnsi"/>
          <w:color w:val="231F20"/>
          <w:spacing w:val="6"/>
          <w:w w:val="105"/>
        </w:rPr>
        <w:t xml:space="preserve"> </w:t>
      </w:r>
      <w:r w:rsidRPr="008601E5">
        <w:rPr>
          <w:rFonts w:cstheme="minorHAnsi"/>
          <w:color w:val="231F20"/>
          <w:w w:val="105"/>
        </w:rPr>
        <w:t>11434a(2),</w:t>
      </w:r>
      <w:r w:rsidRPr="008601E5">
        <w:rPr>
          <w:rFonts w:cstheme="minorHAnsi"/>
          <w:color w:val="231F20"/>
          <w:spacing w:val="6"/>
          <w:w w:val="105"/>
        </w:rPr>
        <w:t xml:space="preserve"> </w:t>
      </w:r>
      <w:r w:rsidRPr="008601E5">
        <w:rPr>
          <w:rFonts w:cstheme="minorHAnsi"/>
          <w:color w:val="231F20"/>
          <w:w w:val="105"/>
        </w:rPr>
        <w:t>a</w:t>
      </w:r>
      <w:r w:rsidRPr="008601E5">
        <w:rPr>
          <w:rFonts w:cstheme="minorHAnsi"/>
          <w:color w:val="231F20"/>
          <w:spacing w:val="6"/>
          <w:w w:val="105"/>
        </w:rPr>
        <w:t xml:space="preserve"> </w:t>
      </w:r>
      <w:r w:rsidRPr="008601E5">
        <w:rPr>
          <w:rFonts w:cstheme="minorHAnsi"/>
          <w:color w:val="231F20"/>
          <w:w w:val="105"/>
        </w:rPr>
        <w:t>runaway,</w:t>
      </w:r>
      <w:r w:rsidRPr="008601E5">
        <w:rPr>
          <w:rFonts w:cstheme="minorHAnsi"/>
          <w:color w:val="231F20"/>
          <w:spacing w:val="6"/>
          <w:w w:val="105"/>
        </w:rPr>
        <w:t xml:space="preserve"> </w:t>
      </w:r>
      <w:r w:rsidRPr="008601E5">
        <w:rPr>
          <w:rFonts w:cstheme="minorHAnsi"/>
          <w:color w:val="231F20"/>
          <w:w w:val="105"/>
        </w:rPr>
        <w:t>in</w:t>
      </w:r>
      <w:r w:rsidRPr="008601E5">
        <w:rPr>
          <w:rFonts w:cstheme="minorHAnsi"/>
          <w:color w:val="231F20"/>
          <w:spacing w:val="6"/>
          <w:w w:val="105"/>
        </w:rPr>
        <w:t xml:space="preserve"> </w:t>
      </w:r>
      <w:r w:rsidRPr="008601E5">
        <w:rPr>
          <w:rFonts w:cstheme="minorHAnsi"/>
          <w:color w:val="231F20"/>
          <w:w w:val="105"/>
        </w:rPr>
        <w:t>foster</w:t>
      </w:r>
      <w:r w:rsidRPr="008601E5">
        <w:rPr>
          <w:rFonts w:cstheme="minorHAnsi"/>
          <w:color w:val="231F20"/>
          <w:spacing w:val="6"/>
          <w:w w:val="105"/>
        </w:rPr>
        <w:t xml:space="preserve"> </w:t>
      </w:r>
      <w:r w:rsidRPr="008601E5">
        <w:rPr>
          <w:rFonts w:cstheme="minorHAnsi"/>
          <w:color w:val="231F20"/>
          <w:w w:val="105"/>
        </w:rPr>
        <w:t>care</w:t>
      </w:r>
      <w:r w:rsidRPr="008601E5">
        <w:rPr>
          <w:rFonts w:cstheme="minorHAnsi"/>
          <w:color w:val="231F20"/>
          <w:spacing w:val="6"/>
          <w:w w:val="105"/>
        </w:rPr>
        <w:t xml:space="preserve"> </w:t>
      </w:r>
      <w:r w:rsidRPr="008601E5">
        <w:rPr>
          <w:rFonts w:cstheme="minorHAnsi"/>
          <w:color w:val="231F20"/>
          <w:w w:val="105"/>
        </w:rPr>
        <w:t>or</w:t>
      </w:r>
      <w:r w:rsidRPr="008601E5">
        <w:rPr>
          <w:rFonts w:cstheme="minorHAnsi"/>
          <w:color w:val="231F20"/>
          <w:spacing w:val="6"/>
          <w:w w:val="105"/>
        </w:rPr>
        <w:t xml:space="preserve"> </w:t>
      </w:r>
      <w:r w:rsidRPr="008601E5">
        <w:rPr>
          <w:rFonts w:cstheme="minorHAnsi"/>
          <w:color w:val="231F20"/>
          <w:w w:val="105"/>
        </w:rPr>
        <w:t>has</w:t>
      </w:r>
      <w:r w:rsidRPr="008601E5">
        <w:rPr>
          <w:rFonts w:cstheme="minorHAnsi"/>
          <w:color w:val="231F20"/>
          <w:spacing w:val="6"/>
          <w:w w:val="105"/>
        </w:rPr>
        <w:t xml:space="preserve"> </w:t>
      </w:r>
      <w:r w:rsidRPr="008601E5">
        <w:rPr>
          <w:rFonts w:cstheme="minorHAnsi"/>
          <w:color w:val="231F20"/>
          <w:w w:val="105"/>
        </w:rPr>
        <w:t>aged</w:t>
      </w:r>
      <w:r w:rsidRPr="008601E5">
        <w:rPr>
          <w:rFonts w:cstheme="minorHAnsi"/>
          <w:color w:val="231F20"/>
          <w:spacing w:val="6"/>
          <w:w w:val="105"/>
        </w:rPr>
        <w:t xml:space="preserve"> </w:t>
      </w:r>
      <w:r w:rsidRPr="008601E5">
        <w:rPr>
          <w:rFonts w:cstheme="minorHAnsi"/>
          <w:color w:val="231F20"/>
          <w:w w:val="105"/>
        </w:rPr>
        <w:t>out</w:t>
      </w:r>
      <w:r w:rsidRPr="008601E5">
        <w:rPr>
          <w:rFonts w:cstheme="minorHAnsi"/>
          <w:color w:val="231F20"/>
          <w:spacing w:val="6"/>
          <w:w w:val="105"/>
        </w:rPr>
        <w:t xml:space="preserve"> </w:t>
      </w:r>
      <w:r w:rsidRPr="008601E5">
        <w:rPr>
          <w:rFonts w:cstheme="minorHAnsi"/>
          <w:color w:val="231F20"/>
          <w:w w:val="105"/>
        </w:rPr>
        <w:t>of</w:t>
      </w:r>
      <w:r w:rsidRPr="008601E5">
        <w:rPr>
          <w:rFonts w:cstheme="minorHAnsi"/>
          <w:color w:val="231F20"/>
          <w:spacing w:val="6"/>
          <w:w w:val="105"/>
        </w:rPr>
        <w:t xml:space="preserve"> </w:t>
      </w:r>
      <w:r w:rsidRPr="008601E5">
        <w:rPr>
          <w:rFonts w:cstheme="minorHAnsi"/>
          <w:color w:val="231F20"/>
          <w:w w:val="105"/>
        </w:rPr>
        <w:t>the</w:t>
      </w:r>
      <w:r w:rsidRPr="008601E5">
        <w:rPr>
          <w:rFonts w:cstheme="minorHAnsi"/>
          <w:color w:val="231F20"/>
          <w:spacing w:val="-35"/>
          <w:w w:val="105"/>
        </w:rPr>
        <w:t xml:space="preserve"> </w:t>
      </w:r>
      <w:r w:rsidRPr="008601E5">
        <w:rPr>
          <w:rFonts w:cstheme="minorHAnsi"/>
          <w:color w:val="231F20"/>
          <w:w w:val="105"/>
        </w:rPr>
        <w:t>foster</w:t>
      </w:r>
      <w:r w:rsidRPr="008601E5">
        <w:rPr>
          <w:rFonts w:cstheme="minorHAnsi"/>
          <w:color w:val="231F20"/>
          <w:spacing w:val="17"/>
          <w:w w:val="105"/>
        </w:rPr>
        <w:t xml:space="preserve"> </w:t>
      </w:r>
      <w:r w:rsidRPr="008601E5">
        <w:rPr>
          <w:rFonts w:cstheme="minorHAnsi"/>
          <w:color w:val="231F20"/>
          <w:w w:val="105"/>
        </w:rPr>
        <w:t>care</w:t>
      </w:r>
      <w:r w:rsidRPr="008601E5">
        <w:rPr>
          <w:rFonts w:cstheme="minorHAnsi"/>
          <w:color w:val="231F20"/>
          <w:spacing w:val="17"/>
          <w:w w:val="105"/>
        </w:rPr>
        <w:t xml:space="preserve"> </w:t>
      </w:r>
      <w:r w:rsidRPr="008601E5">
        <w:rPr>
          <w:rFonts w:cstheme="minorHAnsi"/>
          <w:color w:val="231F20"/>
          <w:w w:val="105"/>
        </w:rPr>
        <w:t>system,</w:t>
      </w:r>
      <w:r w:rsidRPr="008601E5">
        <w:rPr>
          <w:rFonts w:cstheme="minorHAnsi"/>
          <w:color w:val="231F20"/>
          <w:spacing w:val="17"/>
          <w:w w:val="105"/>
        </w:rPr>
        <w:t xml:space="preserve"> </w:t>
      </w:r>
      <w:r w:rsidRPr="008601E5">
        <w:rPr>
          <w:rFonts w:cstheme="minorHAnsi"/>
          <w:color w:val="231F20"/>
          <w:w w:val="105"/>
        </w:rPr>
        <w:t>a</w:t>
      </w:r>
      <w:r w:rsidRPr="008601E5">
        <w:rPr>
          <w:rFonts w:cstheme="minorHAnsi"/>
          <w:color w:val="231F20"/>
          <w:spacing w:val="17"/>
          <w:w w:val="105"/>
        </w:rPr>
        <w:t xml:space="preserve"> </w:t>
      </w:r>
      <w:r w:rsidRPr="008601E5">
        <w:rPr>
          <w:rFonts w:cstheme="minorHAnsi"/>
          <w:color w:val="231F20"/>
          <w:w w:val="105"/>
        </w:rPr>
        <w:t>child</w:t>
      </w:r>
      <w:r w:rsidRPr="008601E5">
        <w:rPr>
          <w:rFonts w:cstheme="minorHAnsi"/>
          <w:color w:val="231F20"/>
          <w:spacing w:val="17"/>
          <w:w w:val="105"/>
        </w:rPr>
        <w:t xml:space="preserve"> </w:t>
      </w:r>
      <w:r w:rsidRPr="008601E5">
        <w:rPr>
          <w:rFonts w:cstheme="minorHAnsi"/>
          <w:color w:val="231F20"/>
          <w:w w:val="105"/>
        </w:rPr>
        <w:t>eligible</w:t>
      </w:r>
      <w:r w:rsidRPr="008601E5">
        <w:rPr>
          <w:rFonts w:cstheme="minorHAnsi"/>
          <w:color w:val="231F20"/>
          <w:spacing w:val="17"/>
          <w:w w:val="105"/>
        </w:rPr>
        <w:t xml:space="preserve"> </w:t>
      </w:r>
      <w:r w:rsidRPr="008601E5">
        <w:rPr>
          <w:rFonts w:cstheme="minorHAnsi"/>
          <w:color w:val="231F20"/>
          <w:w w:val="105"/>
        </w:rPr>
        <w:t>for</w:t>
      </w:r>
      <w:r w:rsidRPr="008601E5">
        <w:rPr>
          <w:rFonts w:cstheme="minorHAnsi"/>
          <w:color w:val="231F20"/>
          <w:spacing w:val="17"/>
          <w:w w:val="105"/>
        </w:rPr>
        <w:t xml:space="preserve"> </w:t>
      </w:r>
      <w:r w:rsidRPr="008601E5">
        <w:rPr>
          <w:rFonts w:cstheme="minorHAnsi"/>
          <w:color w:val="231F20"/>
          <w:w w:val="105"/>
        </w:rPr>
        <w:t>assistance</w:t>
      </w:r>
      <w:r w:rsidRPr="008601E5">
        <w:rPr>
          <w:rFonts w:cstheme="minorHAnsi"/>
          <w:color w:val="231F20"/>
          <w:spacing w:val="17"/>
          <w:w w:val="105"/>
        </w:rPr>
        <w:t xml:space="preserve"> </w:t>
      </w:r>
      <w:r w:rsidRPr="008601E5">
        <w:rPr>
          <w:rFonts w:cstheme="minorHAnsi"/>
          <w:color w:val="231F20"/>
          <w:w w:val="105"/>
        </w:rPr>
        <w:t>under</w:t>
      </w:r>
      <w:r w:rsidRPr="008601E5">
        <w:rPr>
          <w:rFonts w:cstheme="minorHAnsi"/>
          <w:color w:val="231F20"/>
          <w:spacing w:val="17"/>
          <w:w w:val="105"/>
        </w:rPr>
        <w:t xml:space="preserve"> </w:t>
      </w:r>
      <w:r w:rsidRPr="008601E5">
        <w:rPr>
          <w:rFonts w:cstheme="minorHAnsi"/>
          <w:color w:val="231F20"/>
          <w:w w:val="105"/>
        </w:rPr>
        <w:t>sec.</w:t>
      </w:r>
      <w:r w:rsidRPr="008601E5">
        <w:rPr>
          <w:rFonts w:cstheme="minorHAnsi"/>
          <w:color w:val="231F20"/>
          <w:spacing w:val="17"/>
          <w:w w:val="105"/>
        </w:rPr>
        <w:t xml:space="preserve"> </w:t>
      </w:r>
      <w:r w:rsidRPr="008601E5">
        <w:rPr>
          <w:rFonts w:cstheme="minorHAnsi"/>
          <w:color w:val="231F20"/>
          <w:w w:val="105"/>
        </w:rPr>
        <w:t>477</w:t>
      </w:r>
      <w:r w:rsidRPr="008601E5">
        <w:rPr>
          <w:rFonts w:cstheme="minorHAnsi"/>
          <w:color w:val="231F20"/>
          <w:spacing w:val="17"/>
          <w:w w:val="105"/>
        </w:rPr>
        <w:t xml:space="preserve"> </w:t>
      </w:r>
      <w:r w:rsidRPr="008601E5">
        <w:rPr>
          <w:rFonts w:cstheme="minorHAnsi"/>
          <w:color w:val="231F20"/>
          <w:w w:val="105"/>
        </w:rPr>
        <w:t>of</w:t>
      </w:r>
      <w:r w:rsidRPr="008601E5">
        <w:rPr>
          <w:rFonts w:cstheme="minorHAnsi"/>
          <w:color w:val="231F20"/>
          <w:spacing w:val="17"/>
          <w:w w:val="105"/>
        </w:rPr>
        <w:t xml:space="preserve"> </w:t>
      </w:r>
      <w:r w:rsidRPr="008601E5">
        <w:rPr>
          <w:rFonts w:cstheme="minorHAnsi"/>
          <w:color w:val="231F20"/>
          <w:w w:val="105"/>
        </w:rPr>
        <w:t>the</w:t>
      </w:r>
      <w:r w:rsidRPr="008601E5">
        <w:rPr>
          <w:rFonts w:cstheme="minorHAnsi"/>
          <w:color w:val="231F20"/>
          <w:spacing w:val="17"/>
          <w:w w:val="105"/>
        </w:rPr>
        <w:t xml:space="preserve"> </w:t>
      </w:r>
      <w:r w:rsidRPr="008601E5">
        <w:rPr>
          <w:rFonts w:cstheme="minorHAnsi"/>
          <w:color w:val="231F20"/>
          <w:w w:val="105"/>
        </w:rPr>
        <w:t>Social</w:t>
      </w:r>
      <w:r w:rsidRPr="008601E5">
        <w:rPr>
          <w:rFonts w:cstheme="minorHAnsi"/>
          <w:color w:val="231F20"/>
          <w:spacing w:val="17"/>
          <w:w w:val="105"/>
        </w:rPr>
        <w:t xml:space="preserve"> </w:t>
      </w:r>
      <w:r w:rsidRPr="008601E5">
        <w:rPr>
          <w:rFonts w:cstheme="minorHAnsi"/>
          <w:color w:val="231F20"/>
          <w:w w:val="105"/>
        </w:rPr>
        <w:t>Security</w:t>
      </w:r>
      <w:r w:rsidRPr="008601E5">
        <w:rPr>
          <w:rFonts w:cstheme="minorHAnsi"/>
          <w:color w:val="231F20"/>
          <w:spacing w:val="17"/>
          <w:w w:val="105"/>
        </w:rPr>
        <w:t xml:space="preserve"> </w:t>
      </w:r>
      <w:r w:rsidRPr="008601E5">
        <w:rPr>
          <w:rFonts w:cstheme="minorHAnsi"/>
          <w:color w:val="231F20"/>
          <w:w w:val="105"/>
        </w:rPr>
        <w:t>Act</w:t>
      </w:r>
      <w:r w:rsidRPr="008601E5">
        <w:rPr>
          <w:rFonts w:cstheme="minorHAnsi"/>
          <w:color w:val="231F20"/>
          <w:spacing w:val="17"/>
          <w:w w:val="105"/>
        </w:rPr>
        <w:t xml:space="preserve"> </w:t>
      </w:r>
      <w:r w:rsidRPr="008601E5">
        <w:rPr>
          <w:rFonts w:cstheme="minorHAnsi"/>
          <w:color w:val="231F20"/>
          <w:w w:val="105"/>
        </w:rPr>
        <w:t>(42</w:t>
      </w:r>
      <w:r w:rsidRPr="008601E5">
        <w:rPr>
          <w:rFonts w:cstheme="minorHAnsi"/>
          <w:color w:val="231F20"/>
          <w:spacing w:val="17"/>
          <w:w w:val="105"/>
        </w:rPr>
        <w:t xml:space="preserve"> </w:t>
      </w:r>
      <w:r w:rsidRPr="008601E5">
        <w:rPr>
          <w:rFonts w:cstheme="minorHAnsi"/>
          <w:color w:val="231F20"/>
          <w:w w:val="105"/>
        </w:rPr>
        <w:t>U.S.C.</w:t>
      </w:r>
      <w:r w:rsidRPr="008601E5">
        <w:rPr>
          <w:rFonts w:cstheme="minorHAnsi"/>
          <w:color w:val="231F20"/>
          <w:w w:val="111"/>
        </w:rPr>
        <w:t xml:space="preserve"> </w:t>
      </w:r>
      <w:r w:rsidRPr="008601E5">
        <w:rPr>
          <w:rFonts w:cstheme="minorHAnsi"/>
          <w:color w:val="231F20"/>
          <w:w w:val="105"/>
        </w:rPr>
        <w:t>677), or in an out-of-home</w:t>
      </w:r>
      <w:r w:rsidRPr="008601E5">
        <w:rPr>
          <w:rFonts w:cstheme="minorHAnsi"/>
          <w:color w:val="231F20"/>
          <w:spacing w:val="-9"/>
          <w:w w:val="105"/>
        </w:rPr>
        <w:t xml:space="preserve"> </w:t>
      </w:r>
      <w:r w:rsidRPr="008601E5">
        <w:rPr>
          <w:rFonts w:cstheme="minorHAnsi"/>
          <w:color w:val="231F20"/>
          <w:w w:val="105"/>
        </w:rPr>
        <w:t>placement;</w:t>
      </w:r>
    </w:p>
    <w:p w14:paraId="47A2225E" w14:textId="0C751C1F" w:rsidR="00366991" w:rsidRPr="00366991" w:rsidRDefault="00366991" w:rsidP="00366991">
      <w:pPr>
        <w:pStyle w:val="ListParagraph"/>
        <w:rPr>
          <w:rFonts w:cstheme="minorHAnsi"/>
        </w:rPr>
      </w:pPr>
    </w:p>
    <w:p w14:paraId="2C02E69F" w14:textId="71DEFB7A" w:rsidR="00EA7458" w:rsidRPr="00366991" w:rsidRDefault="00EA7458" w:rsidP="00D63204">
      <w:pPr>
        <w:pStyle w:val="ListParagraph"/>
        <w:widowControl w:val="0"/>
        <w:numPr>
          <w:ilvl w:val="0"/>
          <w:numId w:val="41"/>
        </w:numPr>
        <w:spacing w:before="86" w:after="0" w:line="240" w:lineRule="auto"/>
        <w:rPr>
          <w:rFonts w:cstheme="minorHAnsi"/>
        </w:rPr>
      </w:pPr>
      <w:r w:rsidRPr="00366991">
        <w:rPr>
          <w:rFonts w:cstheme="minorHAnsi"/>
          <w:color w:val="231F20"/>
          <w:w w:val="105"/>
        </w:rPr>
        <w:t>An individual who is pregnant or</w:t>
      </w:r>
      <w:r w:rsidRPr="00366991">
        <w:rPr>
          <w:rFonts w:cstheme="minorHAnsi"/>
          <w:color w:val="231F20"/>
          <w:spacing w:val="29"/>
          <w:w w:val="105"/>
        </w:rPr>
        <w:t xml:space="preserve"> </w:t>
      </w:r>
      <w:r w:rsidRPr="00366991">
        <w:rPr>
          <w:rFonts w:cstheme="minorHAnsi"/>
          <w:color w:val="231F20"/>
          <w:w w:val="105"/>
        </w:rPr>
        <w:t>parenting;</w:t>
      </w:r>
    </w:p>
    <w:p w14:paraId="12626A0A" w14:textId="77777777" w:rsidR="00366991" w:rsidRPr="00366991" w:rsidRDefault="00366991" w:rsidP="00D63204">
      <w:pPr>
        <w:pStyle w:val="ListParagraph"/>
        <w:widowControl w:val="0"/>
        <w:spacing w:before="86" w:after="0" w:line="240" w:lineRule="auto"/>
        <w:ind w:left="827"/>
        <w:rPr>
          <w:rFonts w:cstheme="minorHAnsi"/>
        </w:rPr>
      </w:pPr>
    </w:p>
    <w:p w14:paraId="065636E2" w14:textId="63447C25" w:rsidR="00EA7458" w:rsidRPr="00366991" w:rsidRDefault="00EA7458" w:rsidP="00D63204">
      <w:pPr>
        <w:pStyle w:val="ListParagraph"/>
        <w:widowControl w:val="0"/>
        <w:numPr>
          <w:ilvl w:val="0"/>
          <w:numId w:val="41"/>
        </w:numPr>
        <w:spacing w:before="85" w:after="0" w:line="240" w:lineRule="auto"/>
        <w:rPr>
          <w:rFonts w:cstheme="minorHAnsi"/>
        </w:rPr>
      </w:pPr>
      <w:r w:rsidRPr="00366991">
        <w:rPr>
          <w:rFonts w:cstheme="minorHAnsi"/>
          <w:color w:val="231F20"/>
          <w:w w:val="105"/>
        </w:rPr>
        <w:t>An individual with a</w:t>
      </w:r>
      <w:r w:rsidRPr="00366991">
        <w:rPr>
          <w:rFonts w:cstheme="minorHAnsi"/>
          <w:color w:val="231F20"/>
          <w:spacing w:val="17"/>
          <w:w w:val="105"/>
        </w:rPr>
        <w:t xml:space="preserve"> </w:t>
      </w:r>
      <w:r w:rsidRPr="00366991">
        <w:rPr>
          <w:rFonts w:cstheme="minorHAnsi"/>
          <w:color w:val="231F20"/>
          <w:w w:val="105"/>
        </w:rPr>
        <w:t>disability;</w:t>
      </w:r>
    </w:p>
    <w:p w14:paraId="555B739A" w14:textId="77777777" w:rsidR="00366991" w:rsidRPr="00366991" w:rsidRDefault="00366991" w:rsidP="00D63204">
      <w:pPr>
        <w:pStyle w:val="ListParagraph"/>
        <w:widowControl w:val="0"/>
        <w:spacing w:before="85" w:after="0" w:line="240" w:lineRule="auto"/>
        <w:ind w:left="827"/>
        <w:rPr>
          <w:rFonts w:cstheme="minorHAnsi"/>
        </w:rPr>
      </w:pPr>
    </w:p>
    <w:p w14:paraId="34843CC4" w14:textId="77777777" w:rsidR="00EA7458" w:rsidRPr="00366991" w:rsidRDefault="00EA7458" w:rsidP="00D63204">
      <w:pPr>
        <w:pStyle w:val="ListParagraph"/>
        <w:widowControl w:val="0"/>
        <w:numPr>
          <w:ilvl w:val="0"/>
          <w:numId w:val="41"/>
        </w:numPr>
        <w:spacing w:before="83" w:after="0" w:line="264" w:lineRule="exact"/>
        <w:rPr>
          <w:rFonts w:cstheme="minorHAnsi"/>
        </w:rPr>
      </w:pPr>
      <w:r w:rsidRPr="00366991">
        <w:rPr>
          <w:rFonts w:cstheme="minorHAnsi"/>
          <w:color w:val="231F20"/>
          <w:w w:val="105"/>
        </w:rPr>
        <w:t>An</w:t>
      </w:r>
      <w:r w:rsidRPr="00366991">
        <w:rPr>
          <w:rFonts w:cstheme="minorHAnsi"/>
          <w:color w:val="231F20"/>
          <w:spacing w:val="11"/>
          <w:w w:val="105"/>
        </w:rPr>
        <w:t xml:space="preserve"> </w:t>
      </w:r>
      <w:r w:rsidRPr="00366991">
        <w:rPr>
          <w:rFonts w:cstheme="minorHAnsi"/>
          <w:color w:val="231F20"/>
          <w:w w:val="105"/>
        </w:rPr>
        <w:t>individual</w:t>
      </w:r>
      <w:r w:rsidRPr="00366991">
        <w:rPr>
          <w:rFonts w:cstheme="minorHAnsi"/>
          <w:color w:val="231F20"/>
          <w:spacing w:val="11"/>
          <w:w w:val="105"/>
        </w:rPr>
        <w:t xml:space="preserve"> </w:t>
      </w:r>
      <w:r w:rsidRPr="00366991">
        <w:rPr>
          <w:rFonts w:cstheme="minorHAnsi"/>
          <w:color w:val="231F20"/>
          <w:w w:val="105"/>
        </w:rPr>
        <w:t>who</w:t>
      </w:r>
      <w:r w:rsidRPr="00366991">
        <w:rPr>
          <w:rFonts w:cstheme="minorHAnsi"/>
          <w:color w:val="231F20"/>
          <w:spacing w:val="11"/>
          <w:w w:val="105"/>
        </w:rPr>
        <w:t xml:space="preserve"> </w:t>
      </w:r>
      <w:r w:rsidRPr="00366991">
        <w:rPr>
          <w:rFonts w:cstheme="minorHAnsi"/>
          <w:color w:val="231F20"/>
          <w:w w:val="105"/>
        </w:rPr>
        <w:t>requires</w:t>
      </w:r>
      <w:r w:rsidRPr="00366991">
        <w:rPr>
          <w:rFonts w:cstheme="minorHAnsi"/>
          <w:color w:val="231F20"/>
          <w:spacing w:val="11"/>
          <w:w w:val="105"/>
        </w:rPr>
        <w:t xml:space="preserve"> </w:t>
      </w:r>
      <w:r w:rsidRPr="00366991">
        <w:rPr>
          <w:rFonts w:cstheme="minorHAnsi"/>
          <w:color w:val="231F20"/>
          <w:w w:val="105"/>
        </w:rPr>
        <w:t>additional</w:t>
      </w:r>
      <w:r w:rsidRPr="00366991">
        <w:rPr>
          <w:rFonts w:cstheme="minorHAnsi"/>
          <w:color w:val="231F20"/>
          <w:spacing w:val="11"/>
          <w:w w:val="105"/>
        </w:rPr>
        <w:t xml:space="preserve"> </w:t>
      </w:r>
      <w:r w:rsidRPr="00366991">
        <w:rPr>
          <w:rFonts w:cstheme="minorHAnsi"/>
          <w:color w:val="231F20"/>
          <w:w w:val="105"/>
        </w:rPr>
        <w:t>assistance</w:t>
      </w:r>
      <w:r w:rsidRPr="00366991">
        <w:rPr>
          <w:rFonts w:cstheme="minorHAnsi"/>
          <w:color w:val="231F20"/>
          <w:spacing w:val="11"/>
          <w:w w:val="105"/>
        </w:rPr>
        <w:t xml:space="preserve"> </w:t>
      </w:r>
      <w:r w:rsidRPr="00366991">
        <w:rPr>
          <w:rFonts w:cstheme="minorHAnsi"/>
          <w:color w:val="231F20"/>
          <w:w w:val="105"/>
        </w:rPr>
        <w:t>to</w:t>
      </w:r>
      <w:r w:rsidRPr="00366991">
        <w:rPr>
          <w:rFonts w:cstheme="minorHAnsi"/>
          <w:color w:val="231F20"/>
          <w:spacing w:val="11"/>
          <w:w w:val="105"/>
        </w:rPr>
        <w:t xml:space="preserve"> </w:t>
      </w:r>
      <w:r w:rsidRPr="00366991">
        <w:rPr>
          <w:rFonts w:cstheme="minorHAnsi"/>
          <w:color w:val="231F20"/>
          <w:w w:val="105"/>
        </w:rPr>
        <w:t>enter</w:t>
      </w:r>
      <w:r w:rsidRPr="00366991">
        <w:rPr>
          <w:rFonts w:cstheme="minorHAnsi"/>
          <w:color w:val="231F20"/>
          <w:spacing w:val="11"/>
          <w:w w:val="105"/>
        </w:rPr>
        <w:t xml:space="preserve"> </w:t>
      </w:r>
      <w:r w:rsidRPr="00366991">
        <w:rPr>
          <w:rFonts w:cstheme="minorHAnsi"/>
          <w:color w:val="231F20"/>
          <w:w w:val="105"/>
        </w:rPr>
        <w:t>or</w:t>
      </w:r>
      <w:r w:rsidRPr="00366991">
        <w:rPr>
          <w:rFonts w:cstheme="minorHAnsi"/>
          <w:color w:val="231F20"/>
          <w:spacing w:val="11"/>
          <w:w w:val="105"/>
        </w:rPr>
        <w:t xml:space="preserve"> </w:t>
      </w:r>
      <w:r w:rsidRPr="00366991">
        <w:rPr>
          <w:rFonts w:cstheme="minorHAnsi"/>
          <w:color w:val="231F20"/>
          <w:w w:val="105"/>
        </w:rPr>
        <w:t>complete</w:t>
      </w:r>
      <w:r w:rsidRPr="00366991">
        <w:rPr>
          <w:rFonts w:cstheme="minorHAnsi"/>
          <w:color w:val="231F20"/>
          <w:spacing w:val="11"/>
          <w:w w:val="105"/>
        </w:rPr>
        <w:t xml:space="preserve"> </w:t>
      </w:r>
      <w:r w:rsidRPr="00366991">
        <w:rPr>
          <w:rFonts w:cstheme="minorHAnsi"/>
          <w:color w:val="231F20"/>
          <w:w w:val="105"/>
        </w:rPr>
        <w:t>an</w:t>
      </w:r>
      <w:r w:rsidRPr="00366991">
        <w:rPr>
          <w:rFonts w:cstheme="minorHAnsi"/>
          <w:color w:val="231F20"/>
          <w:spacing w:val="11"/>
          <w:w w:val="105"/>
        </w:rPr>
        <w:t xml:space="preserve"> </w:t>
      </w:r>
      <w:r w:rsidRPr="00366991">
        <w:rPr>
          <w:rFonts w:cstheme="minorHAnsi"/>
          <w:color w:val="231F20"/>
          <w:w w:val="105"/>
        </w:rPr>
        <w:t>educational</w:t>
      </w:r>
      <w:r w:rsidRPr="00366991">
        <w:rPr>
          <w:rFonts w:cstheme="minorHAnsi"/>
          <w:color w:val="231F20"/>
          <w:spacing w:val="11"/>
          <w:w w:val="105"/>
        </w:rPr>
        <w:t xml:space="preserve"> </w:t>
      </w:r>
      <w:r w:rsidRPr="00366991">
        <w:rPr>
          <w:rFonts w:cstheme="minorHAnsi"/>
          <w:color w:val="231F20"/>
          <w:w w:val="105"/>
        </w:rPr>
        <w:t>program</w:t>
      </w:r>
      <w:r w:rsidRPr="00366991">
        <w:rPr>
          <w:rFonts w:cstheme="minorHAnsi"/>
          <w:color w:val="231F20"/>
          <w:spacing w:val="11"/>
          <w:w w:val="105"/>
        </w:rPr>
        <w:t xml:space="preserve"> </w:t>
      </w:r>
      <w:r w:rsidRPr="00366991">
        <w:rPr>
          <w:rFonts w:cstheme="minorHAnsi"/>
          <w:color w:val="231F20"/>
          <w:w w:val="105"/>
        </w:rPr>
        <w:t>or</w:t>
      </w:r>
      <w:r w:rsidRPr="00366991">
        <w:rPr>
          <w:rFonts w:cstheme="minorHAnsi"/>
          <w:color w:val="231F20"/>
          <w:spacing w:val="11"/>
          <w:w w:val="105"/>
        </w:rPr>
        <w:t xml:space="preserve"> </w:t>
      </w:r>
      <w:r w:rsidRPr="00366991">
        <w:rPr>
          <w:rFonts w:cstheme="minorHAnsi"/>
          <w:color w:val="231F20"/>
          <w:w w:val="105"/>
        </w:rPr>
        <w:t>to</w:t>
      </w:r>
      <w:r w:rsidRPr="00366991">
        <w:rPr>
          <w:rFonts w:cstheme="minorHAnsi"/>
          <w:color w:val="231F20"/>
        </w:rPr>
        <w:t xml:space="preserve"> </w:t>
      </w:r>
      <w:r w:rsidRPr="00366991">
        <w:rPr>
          <w:rFonts w:cstheme="minorHAnsi"/>
          <w:color w:val="231F20"/>
          <w:w w:val="105"/>
        </w:rPr>
        <w:t>secure or hold</w:t>
      </w:r>
      <w:r w:rsidRPr="00366991">
        <w:rPr>
          <w:rFonts w:cstheme="minorHAnsi"/>
          <w:color w:val="231F20"/>
          <w:spacing w:val="14"/>
          <w:w w:val="105"/>
        </w:rPr>
        <w:t xml:space="preserve"> </w:t>
      </w:r>
      <w:r w:rsidRPr="00366991">
        <w:rPr>
          <w:rFonts w:cstheme="minorHAnsi"/>
          <w:color w:val="231F20"/>
          <w:w w:val="105"/>
        </w:rPr>
        <w:t>employment.</w:t>
      </w:r>
    </w:p>
    <w:p w14:paraId="5C92F8D5" w14:textId="77777777" w:rsidR="00EA7458" w:rsidRPr="009F06AF" w:rsidRDefault="00EA7458" w:rsidP="00D63204">
      <w:pPr>
        <w:widowControl w:val="0"/>
        <w:spacing w:before="2" w:after="0" w:line="240" w:lineRule="auto"/>
        <w:ind w:left="107"/>
        <w:rPr>
          <w:rFonts w:cstheme="minorHAnsi"/>
          <w:sz w:val="14"/>
          <w:szCs w:val="14"/>
        </w:rPr>
      </w:pPr>
    </w:p>
    <w:p w14:paraId="0D60ED2E" w14:textId="77777777" w:rsidR="00EA7458" w:rsidRPr="009F06AF" w:rsidRDefault="00EA7458" w:rsidP="00D63204">
      <w:pPr>
        <w:widowControl w:val="0"/>
        <w:numPr>
          <w:ilvl w:val="1"/>
          <w:numId w:val="4"/>
        </w:numPr>
        <w:tabs>
          <w:tab w:val="left" w:pos="1548"/>
        </w:tabs>
        <w:spacing w:before="59" w:after="0" w:line="240" w:lineRule="auto"/>
        <w:outlineLvl w:val="2"/>
        <w:rPr>
          <w:rFonts w:cstheme="minorHAnsi"/>
        </w:rPr>
      </w:pPr>
      <w:bookmarkStart w:id="108" w:name="(d)_Single-area_State_Requirements"/>
      <w:bookmarkStart w:id="109" w:name="(e)_Waiver_Requests_(optional)"/>
      <w:bookmarkStart w:id="110" w:name="_bookmark60"/>
      <w:bookmarkEnd w:id="108"/>
      <w:bookmarkEnd w:id="109"/>
      <w:bookmarkEnd w:id="110"/>
      <w:r w:rsidRPr="009F06AF">
        <w:rPr>
          <w:rFonts w:cstheme="minorHAnsi"/>
          <w:b/>
          <w:bCs/>
          <w:color w:val="295CA3"/>
          <w:w w:val="110"/>
        </w:rPr>
        <w:t>Definition of Basic Skills</w:t>
      </w:r>
      <w:r w:rsidRPr="009F06AF">
        <w:rPr>
          <w:rFonts w:cstheme="minorHAnsi"/>
          <w:b/>
          <w:bCs/>
          <w:color w:val="295CA3"/>
          <w:spacing w:val="3"/>
          <w:w w:val="110"/>
        </w:rPr>
        <w:t xml:space="preserve"> </w:t>
      </w:r>
      <w:r w:rsidRPr="009F06AF">
        <w:rPr>
          <w:rFonts w:cstheme="minorHAnsi"/>
          <w:b/>
          <w:bCs/>
          <w:color w:val="295CA3"/>
          <w:w w:val="110"/>
        </w:rPr>
        <w:t>Deficient</w:t>
      </w:r>
    </w:p>
    <w:p w14:paraId="5A77C378" w14:textId="42C016E9" w:rsidR="00EA7458" w:rsidRPr="009F06AF" w:rsidRDefault="00EA7458" w:rsidP="00D63204">
      <w:pPr>
        <w:widowControl w:val="0"/>
        <w:spacing w:before="193" w:after="0" w:line="264" w:lineRule="exact"/>
        <w:ind w:left="107"/>
        <w:rPr>
          <w:rFonts w:cstheme="minorHAnsi"/>
        </w:rPr>
      </w:pPr>
      <w:r w:rsidRPr="009F06AF">
        <w:rPr>
          <w:rFonts w:cstheme="minorHAnsi"/>
          <w:color w:val="231F20"/>
          <w:w w:val="105"/>
        </w:rPr>
        <w:t>The</w:t>
      </w:r>
      <w:r w:rsidRPr="009F06AF">
        <w:rPr>
          <w:rFonts w:cstheme="minorHAnsi"/>
          <w:color w:val="231F20"/>
          <w:spacing w:val="9"/>
          <w:w w:val="105"/>
        </w:rPr>
        <w:t xml:space="preserve"> </w:t>
      </w:r>
      <w:r w:rsidRPr="009F06AF">
        <w:rPr>
          <w:rFonts w:cstheme="minorHAnsi"/>
          <w:color w:val="231F20"/>
          <w:w w:val="105"/>
        </w:rPr>
        <w:t>state</w:t>
      </w:r>
      <w:r w:rsidRPr="009F06AF">
        <w:rPr>
          <w:rFonts w:cstheme="minorHAnsi"/>
          <w:color w:val="231F20"/>
          <w:spacing w:val="9"/>
          <w:w w:val="105"/>
        </w:rPr>
        <w:t xml:space="preserve"> </w:t>
      </w:r>
      <w:r w:rsidR="00BF45BE" w:rsidRPr="009F06AF">
        <w:rPr>
          <w:rFonts w:cstheme="minorHAnsi"/>
          <w:color w:val="231F20"/>
          <w:w w:val="105"/>
        </w:rPr>
        <w:t xml:space="preserve">defers </w:t>
      </w:r>
      <w:r w:rsidRPr="009F06AF">
        <w:rPr>
          <w:rFonts w:cstheme="minorHAnsi"/>
          <w:color w:val="231F20"/>
          <w:w w:val="105"/>
        </w:rPr>
        <w:t>to</w:t>
      </w:r>
      <w:r w:rsidRPr="009F06AF">
        <w:rPr>
          <w:rFonts w:cstheme="minorHAnsi"/>
          <w:color w:val="231F20"/>
          <w:spacing w:val="9"/>
          <w:w w:val="105"/>
        </w:rPr>
        <w:t xml:space="preserve"> </w:t>
      </w:r>
      <w:r w:rsidRPr="009F06AF">
        <w:rPr>
          <w:rFonts w:cstheme="minorHAnsi"/>
          <w:color w:val="231F20"/>
          <w:w w:val="105"/>
        </w:rPr>
        <w:t>each</w:t>
      </w:r>
      <w:r w:rsidRPr="009F06AF">
        <w:rPr>
          <w:rFonts w:cstheme="minorHAnsi"/>
          <w:color w:val="231F20"/>
          <w:spacing w:val="9"/>
          <w:w w:val="105"/>
        </w:rPr>
        <w:t xml:space="preserve"> </w:t>
      </w:r>
      <w:r w:rsidRPr="009F06AF">
        <w:rPr>
          <w:rFonts w:cstheme="minorHAnsi"/>
          <w:color w:val="231F20"/>
          <w:w w:val="105"/>
        </w:rPr>
        <w:t>local</w:t>
      </w:r>
      <w:r w:rsidRPr="009F06AF">
        <w:rPr>
          <w:rFonts w:cstheme="minorHAnsi"/>
          <w:color w:val="231F20"/>
          <w:spacing w:val="9"/>
          <w:w w:val="105"/>
        </w:rPr>
        <w:t xml:space="preserve"> </w:t>
      </w:r>
      <w:r w:rsidRPr="009F06AF">
        <w:rPr>
          <w:rFonts w:cstheme="minorHAnsi"/>
          <w:color w:val="231F20"/>
          <w:w w:val="105"/>
        </w:rPr>
        <w:t>board’s</w:t>
      </w:r>
      <w:r w:rsidRPr="009F06AF">
        <w:rPr>
          <w:rFonts w:cstheme="minorHAnsi"/>
          <w:color w:val="231F20"/>
          <w:spacing w:val="9"/>
          <w:w w:val="105"/>
        </w:rPr>
        <w:t xml:space="preserve"> </w:t>
      </w:r>
      <w:r w:rsidRPr="009F06AF">
        <w:rPr>
          <w:rFonts w:cstheme="minorHAnsi"/>
          <w:color w:val="231F20"/>
          <w:w w:val="105"/>
        </w:rPr>
        <w:t>definition</w:t>
      </w:r>
      <w:r w:rsidRPr="009F06AF">
        <w:rPr>
          <w:rFonts w:cstheme="minorHAnsi"/>
          <w:color w:val="231F20"/>
          <w:spacing w:val="9"/>
          <w:w w:val="105"/>
        </w:rPr>
        <w:t xml:space="preserve"> </w:t>
      </w:r>
      <w:r w:rsidRPr="009F06AF">
        <w:rPr>
          <w:rFonts w:cstheme="minorHAnsi"/>
          <w:color w:val="231F20"/>
          <w:w w:val="105"/>
        </w:rPr>
        <w:t>of</w:t>
      </w:r>
      <w:r w:rsidRPr="009F06AF">
        <w:rPr>
          <w:rFonts w:cstheme="minorHAnsi"/>
          <w:color w:val="231F20"/>
          <w:spacing w:val="9"/>
          <w:w w:val="105"/>
        </w:rPr>
        <w:t xml:space="preserve"> </w:t>
      </w:r>
      <w:r w:rsidRPr="009F06AF">
        <w:rPr>
          <w:rFonts w:cstheme="minorHAnsi"/>
          <w:color w:val="231F20"/>
          <w:w w:val="105"/>
        </w:rPr>
        <w:t>basic</w:t>
      </w:r>
      <w:r w:rsidRPr="009F06AF">
        <w:rPr>
          <w:rFonts w:cstheme="minorHAnsi"/>
          <w:color w:val="231F20"/>
          <w:spacing w:val="9"/>
          <w:w w:val="105"/>
        </w:rPr>
        <w:t xml:space="preserve"> </w:t>
      </w:r>
      <w:r w:rsidRPr="009F06AF">
        <w:rPr>
          <w:rFonts w:cstheme="minorHAnsi"/>
          <w:color w:val="231F20"/>
          <w:w w:val="105"/>
        </w:rPr>
        <w:t>skills</w:t>
      </w:r>
      <w:r w:rsidRPr="009F06AF">
        <w:rPr>
          <w:rFonts w:cstheme="minorHAnsi"/>
          <w:color w:val="231F20"/>
          <w:spacing w:val="9"/>
          <w:w w:val="105"/>
        </w:rPr>
        <w:t xml:space="preserve"> </w:t>
      </w:r>
      <w:r w:rsidRPr="009F06AF">
        <w:rPr>
          <w:rFonts w:cstheme="minorHAnsi"/>
          <w:color w:val="231F20"/>
          <w:w w:val="105"/>
        </w:rPr>
        <w:t>deficient</w:t>
      </w:r>
      <w:r w:rsidRPr="009F06AF">
        <w:rPr>
          <w:rFonts w:cstheme="minorHAnsi"/>
          <w:color w:val="231F20"/>
          <w:spacing w:val="9"/>
          <w:w w:val="105"/>
        </w:rPr>
        <w:t xml:space="preserve"> </w:t>
      </w:r>
      <w:r w:rsidRPr="009F06AF">
        <w:rPr>
          <w:rFonts w:cstheme="minorHAnsi"/>
          <w:color w:val="231F20"/>
          <w:w w:val="105"/>
        </w:rPr>
        <w:t>in</w:t>
      </w:r>
      <w:r w:rsidRPr="009F06AF">
        <w:rPr>
          <w:rFonts w:cstheme="minorHAnsi"/>
          <w:color w:val="231F20"/>
          <w:spacing w:val="9"/>
          <w:w w:val="105"/>
        </w:rPr>
        <w:t xml:space="preserve"> </w:t>
      </w:r>
      <w:r w:rsidRPr="009F06AF">
        <w:rPr>
          <w:rFonts w:cstheme="minorHAnsi"/>
          <w:color w:val="231F20"/>
          <w:spacing w:val="-3"/>
          <w:w w:val="105"/>
        </w:rPr>
        <w:t>WIOA</w:t>
      </w:r>
      <w:r w:rsidRPr="009F06AF">
        <w:rPr>
          <w:rFonts w:cstheme="minorHAnsi"/>
          <w:color w:val="231F20"/>
          <w:spacing w:val="9"/>
          <w:w w:val="105"/>
        </w:rPr>
        <w:t xml:space="preserve"> </w:t>
      </w:r>
      <w:r w:rsidRPr="009F06AF">
        <w:rPr>
          <w:rFonts w:cstheme="minorHAnsi"/>
          <w:color w:val="231F20"/>
          <w:w w:val="105"/>
        </w:rPr>
        <w:t>3(5)(B)</w:t>
      </w:r>
      <w:r w:rsidRPr="009F06AF">
        <w:rPr>
          <w:rFonts w:cstheme="minorHAnsi"/>
          <w:color w:val="231F20"/>
          <w:spacing w:val="9"/>
          <w:w w:val="105"/>
        </w:rPr>
        <w:t xml:space="preserve"> </w:t>
      </w:r>
      <w:r w:rsidRPr="009F06AF">
        <w:rPr>
          <w:rFonts w:cstheme="minorHAnsi"/>
          <w:color w:val="231F20"/>
          <w:w w:val="105"/>
        </w:rPr>
        <w:t>for</w:t>
      </w:r>
      <w:r w:rsidRPr="009F06AF">
        <w:rPr>
          <w:rFonts w:cstheme="minorHAnsi"/>
          <w:color w:val="231F20"/>
          <w:spacing w:val="9"/>
          <w:w w:val="105"/>
        </w:rPr>
        <w:t xml:space="preserve"> </w:t>
      </w:r>
      <w:r w:rsidRPr="009F06AF">
        <w:rPr>
          <w:rFonts w:cstheme="minorHAnsi"/>
          <w:color w:val="231F20"/>
          <w:w w:val="105"/>
        </w:rPr>
        <w:t>individuals</w:t>
      </w:r>
      <w:r w:rsidRPr="009F06AF">
        <w:rPr>
          <w:rFonts w:cstheme="minorHAnsi"/>
          <w:color w:val="231F20"/>
          <w:w w:val="106"/>
        </w:rPr>
        <w:t xml:space="preserve"> </w:t>
      </w:r>
      <w:r w:rsidRPr="009F06AF">
        <w:rPr>
          <w:rFonts w:cstheme="minorHAnsi"/>
          <w:color w:val="231F20"/>
          <w:w w:val="105"/>
        </w:rPr>
        <w:t>unable</w:t>
      </w:r>
      <w:r w:rsidRPr="009F06AF">
        <w:rPr>
          <w:rFonts w:cstheme="minorHAnsi"/>
          <w:color w:val="231F20"/>
          <w:spacing w:val="11"/>
          <w:w w:val="105"/>
        </w:rPr>
        <w:t xml:space="preserve"> </w:t>
      </w:r>
      <w:r w:rsidRPr="009F06AF">
        <w:rPr>
          <w:rFonts w:cstheme="minorHAnsi"/>
          <w:color w:val="231F20"/>
          <w:w w:val="105"/>
        </w:rPr>
        <w:t>to</w:t>
      </w:r>
      <w:r w:rsidRPr="009F06AF">
        <w:rPr>
          <w:rFonts w:cstheme="minorHAnsi"/>
          <w:color w:val="231F20"/>
          <w:spacing w:val="11"/>
          <w:w w:val="105"/>
        </w:rPr>
        <w:t xml:space="preserve"> </w:t>
      </w:r>
      <w:r w:rsidRPr="009F06AF">
        <w:rPr>
          <w:rFonts w:cstheme="minorHAnsi"/>
          <w:color w:val="231F20"/>
          <w:w w:val="105"/>
        </w:rPr>
        <w:t>compute</w:t>
      </w:r>
      <w:r w:rsidRPr="009F06AF">
        <w:rPr>
          <w:rFonts w:cstheme="minorHAnsi"/>
          <w:color w:val="231F20"/>
          <w:spacing w:val="11"/>
          <w:w w:val="105"/>
        </w:rPr>
        <w:t xml:space="preserve"> </w:t>
      </w:r>
      <w:r w:rsidRPr="009F06AF">
        <w:rPr>
          <w:rFonts w:cstheme="minorHAnsi"/>
          <w:color w:val="231F20"/>
          <w:w w:val="105"/>
        </w:rPr>
        <w:t>or</w:t>
      </w:r>
      <w:r w:rsidRPr="009F06AF">
        <w:rPr>
          <w:rFonts w:cstheme="minorHAnsi"/>
          <w:color w:val="231F20"/>
          <w:spacing w:val="11"/>
          <w:w w:val="105"/>
        </w:rPr>
        <w:t xml:space="preserve"> </w:t>
      </w:r>
      <w:r w:rsidRPr="009F06AF">
        <w:rPr>
          <w:rFonts w:cstheme="minorHAnsi"/>
          <w:color w:val="231F20"/>
          <w:w w:val="105"/>
        </w:rPr>
        <w:t>solve</w:t>
      </w:r>
      <w:r w:rsidRPr="009F06AF">
        <w:rPr>
          <w:rFonts w:cstheme="minorHAnsi"/>
          <w:color w:val="231F20"/>
          <w:spacing w:val="11"/>
          <w:w w:val="105"/>
        </w:rPr>
        <w:t xml:space="preserve"> </w:t>
      </w:r>
      <w:r w:rsidRPr="009F06AF">
        <w:rPr>
          <w:rFonts w:cstheme="minorHAnsi"/>
          <w:color w:val="231F20"/>
          <w:w w:val="105"/>
        </w:rPr>
        <w:t>problems,</w:t>
      </w:r>
      <w:r w:rsidRPr="009F06AF">
        <w:rPr>
          <w:rFonts w:cstheme="minorHAnsi"/>
          <w:color w:val="231F20"/>
          <w:spacing w:val="11"/>
          <w:w w:val="105"/>
        </w:rPr>
        <w:t xml:space="preserve"> </w:t>
      </w:r>
      <w:r w:rsidRPr="009F06AF">
        <w:rPr>
          <w:rFonts w:cstheme="minorHAnsi"/>
          <w:color w:val="231F20"/>
          <w:w w:val="105"/>
        </w:rPr>
        <w:t>or</w:t>
      </w:r>
      <w:r w:rsidRPr="009F06AF">
        <w:rPr>
          <w:rFonts w:cstheme="minorHAnsi"/>
          <w:color w:val="231F20"/>
          <w:spacing w:val="11"/>
          <w:w w:val="105"/>
        </w:rPr>
        <w:t xml:space="preserve"> </w:t>
      </w:r>
      <w:r w:rsidRPr="009F06AF">
        <w:rPr>
          <w:rFonts w:cstheme="minorHAnsi"/>
          <w:color w:val="231F20"/>
          <w:w w:val="105"/>
        </w:rPr>
        <w:t>read,</w:t>
      </w:r>
      <w:r w:rsidRPr="009F06AF">
        <w:rPr>
          <w:rFonts w:cstheme="minorHAnsi"/>
          <w:color w:val="231F20"/>
          <w:spacing w:val="11"/>
          <w:w w:val="105"/>
        </w:rPr>
        <w:t xml:space="preserve"> </w:t>
      </w:r>
      <w:r w:rsidRPr="009F06AF">
        <w:rPr>
          <w:rFonts w:cstheme="minorHAnsi"/>
          <w:color w:val="231F20"/>
          <w:w w:val="105"/>
        </w:rPr>
        <w:t>write,</w:t>
      </w:r>
      <w:r w:rsidRPr="009F06AF">
        <w:rPr>
          <w:rFonts w:cstheme="minorHAnsi"/>
          <w:color w:val="231F20"/>
          <w:spacing w:val="11"/>
          <w:w w:val="105"/>
        </w:rPr>
        <w:t xml:space="preserve"> </w:t>
      </w:r>
      <w:r w:rsidRPr="009F06AF">
        <w:rPr>
          <w:rFonts w:cstheme="minorHAnsi"/>
          <w:color w:val="231F20"/>
          <w:w w:val="105"/>
        </w:rPr>
        <w:t>or</w:t>
      </w:r>
      <w:r w:rsidRPr="009F06AF">
        <w:rPr>
          <w:rFonts w:cstheme="minorHAnsi"/>
          <w:color w:val="231F20"/>
          <w:spacing w:val="11"/>
          <w:w w:val="105"/>
        </w:rPr>
        <w:t xml:space="preserve"> </w:t>
      </w:r>
      <w:r w:rsidRPr="009F06AF">
        <w:rPr>
          <w:rFonts w:cstheme="minorHAnsi"/>
          <w:color w:val="231F20"/>
          <w:w w:val="105"/>
        </w:rPr>
        <w:t>speak</w:t>
      </w:r>
      <w:r w:rsidRPr="009F06AF">
        <w:rPr>
          <w:rFonts w:cstheme="minorHAnsi"/>
          <w:color w:val="231F20"/>
          <w:spacing w:val="11"/>
          <w:w w:val="105"/>
        </w:rPr>
        <w:t xml:space="preserve"> </w:t>
      </w:r>
      <w:r w:rsidRPr="009F06AF">
        <w:rPr>
          <w:rFonts w:cstheme="minorHAnsi"/>
          <w:color w:val="231F20"/>
          <w:w w:val="105"/>
        </w:rPr>
        <w:t>English</w:t>
      </w:r>
      <w:r w:rsidRPr="009F06AF">
        <w:rPr>
          <w:rFonts w:cstheme="minorHAnsi"/>
          <w:color w:val="231F20"/>
          <w:spacing w:val="11"/>
          <w:w w:val="105"/>
        </w:rPr>
        <w:t xml:space="preserve"> </w:t>
      </w:r>
      <w:r w:rsidRPr="009F06AF">
        <w:rPr>
          <w:rFonts w:cstheme="minorHAnsi"/>
          <w:color w:val="231F20"/>
          <w:w w:val="105"/>
        </w:rPr>
        <w:t>at</w:t>
      </w:r>
      <w:r w:rsidRPr="009F06AF">
        <w:rPr>
          <w:rFonts w:cstheme="minorHAnsi"/>
          <w:color w:val="231F20"/>
          <w:spacing w:val="11"/>
          <w:w w:val="105"/>
        </w:rPr>
        <w:t xml:space="preserve"> </w:t>
      </w:r>
      <w:r w:rsidRPr="009F06AF">
        <w:rPr>
          <w:rFonts w:cstheme="minorHAnsi"/>
          <w:color w:val="231F20"/>
          <w:w w:val="105"/>
        </w:rPr>
        <w:t>a</w:t>
      </w:r>
      <w:r w:rsidRPr="009F06AF">
        <w:rPr>
          <w:rFonts w:cstheme="minorHAnsi"/>
          <w:color w:val="231F20"/>
          <w:spacing w:val="11"/>
          <w:w w:val="105"/>
        </w:rPr>
        <w:t xml:space="preserve"> </w:t>
      </w:r>
      <w:r w:rsidRPr="009F06AF">
        <w:rPr>
          <w:rFonts w:cstheme="minorHAnsi"/>
          <w:color w:val="231F20"/>
          <w:w w:val="105"/>
        </w:rPr>
        <w:t>level</w:t>
      </w:r>
      <w:r w:rsidRPr="009F06AF">
        <w:rPr>
          <w:rFonts w:cstheme="minorHAnsi"/>
          <w:color w:val="231F20"/>
          <w:spacing w:val="11"/>
          <w:w w:val="105"/>
        </w:rPr>
        <w:t xml:space="preserve"> </w:t>
      </w:r>
      <w:r w:rsidRPr="009F06AF">
        <w:rPr>
          <w:rFonts w:cstheme="minorHAnsi"/>
          <w:color w:val="231F20"/>
          <w:w w:val="105"/>
        </w:rPr>
        <w:t>necessary</w:t>
      </w:r>
      <w:r w:rsidRPr="009F06AF">
        <w:rPr>
          <w:rFonts w:cstheme="minorHAnsi"/>
          <w:color w:val="231F20"/>
          <w:spacing w:val="11"/>
          <w:w w:val="105"/>
        </w:rPr>
        <w:t xml:space="preserve"> </w:t>
      </w:r>
      <w:r w:rsidRPr="009F06AF">
        <w:rPr>
          <w:rFonts w:cstheme="minorHAnsi"/>
          <w:color w:val="231F20"/>
          <w:w w:val="105"/>
        </w:rPr>
        <w:t>to</w:t>
      </w:r>
      <w:r w:rsidRPr="009F06AF">
        <w:rPr>
          <w:rFonts w:cstheme="minorHAnsi"/>
          <w:color w:val="231F20"/>
          <w:spacing w:val="-24"/>
          <w:w w:val="105"/>
        </w:rPr>
        <w:t xml:space="preserve"> </w:t>
      </w:r>
      <w:r w:rsidRPr="009F06AF">
        <w:rPr>
          <w:rFonts w:cstheme="minorHAnsi"/>
          <w:color w:val="231F20"/>
          <w:w w:val="105"/>
        </w:rPr>
        <w:t xml:space="preserve">function on the job, in the individual’s family, or in society. The definition </w:t>
      </w:r>
      <w:r w:rsidR="00EB72FD" w:rsidRPr="009F06AF">
        <w:rPr>
          <w:rFonts w:cstheme="minorHAnsi"/>
          <w:color w:val="231F20"/>
          <w:w w:val="105"/>
        </w:rPr>
        <w:t xml:space="preserve">shall </w:t>
      </w:r>
      <w:r w:rsidRPr="009F06AF">
        <w:rPr>
          <w:rFonts w:cstheme="minorHAnsi"/>
          <w:color w:val="231F20"/>
          <w:w w:val="105"/>
        </w:rPr>
        <w:t>be included in the</w:t>
      </w:r>
      <w:r w:rsidRPr="009F06AF">
        <w:rPr>
          <w:rFonts w:cstheme="minorHAnsi"/>
          <w:color w:val="231F20"/>
          <w:spacing w:val="30"/>
          <w:w w:val="105"/>
        </w:rPr>
        <w:t xml:space="preserve"> </w:t>
      </w:r>
      <w:r w:rsidRPr="009F06AF">
        <w:rPr>
          <w:rFonts w:cstheme="minorHAnsi"/>
          <w:color w:val="231F20"/>
          <w:spacing w:val="-4"/>
          <w:w w:val="105"/>
        </w:rPr>
        <w:t>LWDB’s</w:t>
      </w:r>
      <w:r w:rsidRPr="009F06AF">
        <w:rPr>
          <w:rFonts w:cstheme="minorHAnsi"/>
          <w:color w:val="231F20"/>
          <w:w w:val="118"/>
        </w:rPr>
        <w:t xml:space="preserve"> </w:t>
      </w:r>
      <w:r w:rsidRPr="009F06AF">
        <w:rPr>
          <w:rFonts w:cstheme="minorHAnsi"/>
          <w:color w:val="231F20"/>
          <w:w w:val="105"/>
        </w:rPr>
        <w:t>local</w:t>
      </w:r>
      <w:r w:rsidRPr="009F06AF">
        <w:rPr>
          <w:rFonts w:cstheme="minorHAnsi"/>
          <w:color w:val="231F20"/>
          <w:spacing w:val="17"/>
          <w:w w:val="105"/>
        </w:rPr>
        <w:t xml:space="preserve"> </w:t>
      </w:r>
      <w:r w:rsidRPr="009F06AF">
        <w:rPr>
          <w:rFonts w:cstheme="minorHAnsi"/>
          <w:color w:val="231F20"/>
          <w:w w:val="105"/>
        </w:rPr>
        <w:t>plan.</w:t>
      </w:r>
    </w:p>
    <w:p w14:paraId="3F92B08E" w14:textId="77777777" w:rsidR="00EA7458" w:rsidRPr="009F06AF" w:rsidRDefault="00EA7458" w:rsidP="00D63204">
      <w:pPr>
        <w:widowControl w:val="0"/>
        <w:spacing w:before="4" w:after="0" w:line="240" w:lineRule="auto"/>
        <w:ind w:left="107"/>
        <w:rPr>
          <w:rFonts w:cstheme="minorHAnsi"/>
          <w:sz w:val="17"/>
          <w:szCs w:val="17"/>
        </w:rPr>
      </w:pPr>
    </w:p>
    <w:p w14:paraId="798C08E1" w14:textId="77777777" w:rsidR="00EA7458" w:rsidRPr="009F06AF" w:rsidRDefault="00EA7458" w:rsidP="00D63204">
      <w:pPr>
        <w:widowControl w:val="0"/>
        <w:numPr>
          <w:ilvl w:val="0"/>
          <w:numId w:val="4"/>
        </w:numPr>
        <w:tabs>
          <w:tab w:val="left" w:pos="828"/>
        </w:tabs>
        <w:spacing w:after="0" w:line="240" w:lineRule="auto"/>
        <w:outlineLvl w:val="1"/>
        <w:rPr>
          <w:rFonts w:cstheme="minorHAnsi"/>
          <w:sz w:val="26"/>
          <w:szCs w:val="26"/>
        </w:rPr>
      </w:pPr>
      <w:r w:rsidRPr="009F06AF">
        <w:rPr>
          <w:rFonts w:cstheme="minorHAnsi"/>
          <w:b/>
          <w:bCs/>
          <w:color w:val="295CA3"/>
          <w:w w:val="110"/>
          <w:sz w:val="26"/>
          <w:szCs w:val="26"/>
        </w:rPr>
        <w:t>Single-area State</w:t>
      </w:r>
      <w:r w:rsidRPr="009F06AF">
        <w:rPr>
          <w:rFonts w:cstheme="minorHAnsi"/>
          <w:b/>
          <w:bCs/>
          <w:color w:val="295CA3"/>
          <w:spacing w:val="1"/>
          <w:w w:val="110"/>
          <w:sz w:val="26"/>
          <w:szCs w:val="26"/>
        </w:rPr>
        <w:t xml:space="preserve"> </w:t>
      </w:r>
      <w:r w:rsidRPr="009F06AF">
        <w:rPr>
          <w:rFonts w:cstheme="minorHAnsi"/>
          <w:b/>
          <w:bCs/>
          <w:color w:val="295CA3"/>
          <w:w w:val="110"/>
          <w:sz w:val="26"/>
          <w:szCs w:val="26"/>
        </w:rPr>
        <w:t>Requirements</w:t>
      </w:r>
    </w:p>
    <w:p w14:paraId="0C3DA304" w14:textId="77777777" w:rsidR="00EA7458" w:rsidRPr="009F06AF" w:rsidRDefault="00EA7458" w:rsidP="00D63204">
      <w:pPr>
        <w:widowControl w:val="0"/>
        <w:spacing w:before="184" w:after="0" w:line="240" w:lineRule="auto"/>
        <w:ind w:left="107"/>
        <w:rPr>
          <w:rFonts w:cstheme="minorHAnsi"/>
        </w:rPr>
      </w:pPr>
      <w:r w:rsidRPr="009F06AF">
        <w:rPr>
          <w:rFonts w:cstheme="minorHAnsi"/>
          <w:color w:val="231F20"/>
          <w:w w:val="105"/>
        </w:rPr>
        <w:t>This section not applicable.</w:t>
      </w:r>
    </w:p>
    <w:p w14:paraId="33A38CEC" w14:textId="77777777" w:rsidR="00EA7458" w:rsidRPr="009F06AF" w:rsidRDefault="00EA7458" w:rsidP="00D63204">
      <w:pPr>
        <w:widowControl w:val="0"/>
        <w:spacing w:before="10" w:after="0" w:line="240" w:lineRule="auto"/>
        <w:ind w:left="107"/>
        <w:rPr>
          <w:rFonts w:cstheme="minorHAnsi"/>
          <w:sz w:val="16"/>
          <w:szCs w:val="16"/>
        </w:rPr>
      </w:pPr>
    </w:p>
    <w:p w14:paraId="2462039E" w14:textId="77777777" w:rsidR="00EA7458" w:rsidRPr="009F06AF" w:rsidRDefault="00EA7458" w:rsidP="00D63204">
      <w:pPr>
        <w:widowControl w:val="0"/>
        <w:numPr>
          <w:ilvl w:val="0"/>
          <w:numId w:val="4"/>
        </w:numPr>
        <w:tabs>
          <w:tab w:val="left" w:pos="828"/>
        </w:tabs>
        <w:spacing w:after="0" w:line="240" w:lineRule="auto"/>
        <w:outlineLvl w:val="1"/>
        <w:rPr>
          <w:rFonts w:cstheme="minorHAnsi"/>
          <w:sz w:val="26"/>
          <w:szCs w:val="26"/>
        </w:rPr>
      </w:pPr>
      <w:r w:rsidRPr="009F06AF">
        <w:rPr>
          <w:rFonts w:cstheme="minorHAnsi"/>
          <w:b/>
          <w:bCs/>
          <w:color w:val="295CA3"/>
          <w:w w:val="105"/>
          <w:sz w:val="26"/>
          <w:szCs w:val="26"/>
        </w:rPr>
        <w:t>Waiver Requests</w:t>
      </w:r>
      <w:r w:rsidRPr="009F06AF">
        <w:rPr>
          <w:rFonts w:cstheme="minorHAnsi"/>
          <w:b/>
          <w:bCs/>
          <w:color w:val="295CA3"/>
          <w:spacing w:val="8"/>
          <w:w w:val="105"/>
          <w:sz w:val="26"/>
          <w:szCs w:val="26"/>
        </w:rPr>
        <w:t xml:space="preserve"> </w:t>
      </w:r>
      <w:r w:rsidRPr="009F06AF">
        <w:rPr>
          <w:rFonts w:cstheme="minorHAnsi"/>
          <w:b/>
          <w:bCs/>
          <w:color w:val="295CA3"/>
          <w:w w:val="105"/>
          <w:sz w:val="26"/>
          <w:szCs w:val="26"/>
        </w:rPr>
        <w:t>(optional)</w:t>
      </w:r>
    </w:p>
    <w:p w14:paraId="5F317B9E" w14:textId="77777777" w:rsidR="00EA7458" w:rsidRPr="00EA7458" w:rsidRDefault="00EA7458" w:rsidP="00D63204">
      <w:pPr>
        <w:widowControl w:val="0"/>
        <w:spacing w:before="184" w:after="0" w:line="240" w:lineRule="auto"/>
        <w:ind w:left="107"/>
        <w:rPr>
          <w:rFonts w:ascii="Calibri" w:hAnsi="Calibri"/>
        </w:rPr>
      </w:pPr>
      <w:r w:rsidRPr="009F06AF">
        <w:rPr>
          <w:rFonts w:cstheme="minorHAnsi"/>
          <w:color w:val="231F20"/>
          <w:w w:val="105"/>
        </w:rPr>
        <w:t>This section not applicable.</w:t>
      </w:r>
    </w:p>
    <w:p w14:paraId="08605796" w14:textId="77777777" w:rsidR="00EA7458" w:rsidRPr="00EA7458" w:rsidRDefault="00EA7458" w:rsidP="00EA7458">
      <w:pPr>
        <w:widowControl w:val="0"/>
        <w:spacing w:after="0" w:line="240" w:lineRule="auto"/>
        <w:rPr>
          <w:rFonts w:ascii="Calibri" w:hAnsi="Calibri"/>
        </w:rPr>
        <w:sectPr w:rsidR="00EA7458" w:rsidRPr="00EA7458">
          <w:footerReference w:type="default" r:id="rId157"/>
          <w:pgSz w:w="12240" w:h="15840"/>
          <w:pgMar w:top="1620" w:right="900" w:bottom="820" w:left="900" w:header="812" w:footer="624" w:gutter="0"/>
          <w:cols w:space="720"/>
        </w:sectPr>
      </w:pPr>
    </w:p>
    <w:p w14:paraId="730CBA47" w14:textId="77777777" w:rsidR="00EA7458" w:rsidRPr="00EA7458" w:rsidRDefault="00EA7458" w:rsidP="00EA7458">
      <w:pPr>
        <w:widowControl w:val="0"/>
        <w:spacing w:before="8" w:after="0" w:line="240" w:lineRule="auto"/>
        <w:rPr>
          <w:rFonts w:ascii="Calibri" w:hAnsi="Calibri" w:cs="Calibri"/>
          <w:sz w:val="14"/>
          <w:szCs w:val="14"/>
        </w:rPr>
      </w:pPr>
    </w:p>
    <w:p w14:paraId="4A533D1D" w14:textId="77777777" w:rsidR="00EA7458" w:rsidRPr="00EA7458" w:rsidRDefault="00EA7458" w:rsidP="00EA7458">
      <w:pPr>
        <w:widowControl w:val="0"/>
        <w:tabs>
          <w:tab w:val="left" w:pos="10331"/>
        </w:tabs>
        <w:spacing w:before="30" w:after="0" w:line="240" w:lineRule="auto"/>
        <w:ind w:left="107"/>
        <w:outlineLvl w:val="0"/>
        <w:rPr>
          <w:rFonts w:ascii="Calibri" w:hAnsi="Calibri"/>
          <w:sz w:val="36"/>
          <w:szCs w:val="36"/>
        </w:rPr>
      </w:pPr>
      <w:bookmarkStart w:id="111" w:name="TITLE_I-B_ASSURANCES"/>
      <w:bookmarkStart w:id="112" w:name="_bookmark61"/>
      <w:bookmarkEnd w:id="111"/>
      <w:bookmarkEnd w:id="112"/>
      <w:r w:rsidRPr="00EA7458">
        <w:rPr>
          <w:rFonts w:ascii="Calibri" w:hAnsi="Calibri"/>
          <w:b/>
          <w:bCs/>
          <w:color w:val="295CA3"/>
          <w:spacing w:val="-5"/>
          <w:w w:val="115"/>
          <w:sz w:val="36"/>
          <w:szCs w:val="36"/>
          <w:u w:val="single" w:color="231F20"/>
        </w:rPr>
        <w:t xml:space="preserve">TITLE </w:t>
      </w:r>
      <w:r w:rsidRPr="00EA7458">
        <w:rPr>
          <w:rFonts w:ascii="Calibri" w:hAnsi="Calibri"/>
          <w:b/>
          <w:bCs/>
          <w:color w:val="295CA3"/>
          <w:spacing w:val="4"/>
          <w:w w:val="115"/>
          <w:sz w:val="36"/>
          <w:szCs w:val="36"/>
          <w:u w:val="single" w:color="231F20"/>
        </w:rPr>
        <w:t>I-B</w:t>
      </w:r>
      <w:r w:rsidRPr="00EA7458">
        <w:rPr>
          <w:rFonts w:ascii="Calibri" w:hAnsi="Calibri"/>
          <w:b/>
          <w:bCs/>
          <w:color w:val="295CA3"/>
          <w:spacing w:val="75"/>
          <w:w w:val="115"/>
          <w:sz w:val="36"/>
          <w:szCs w:val="36"/>
          <w:u w:val="single" w:color="231F20"/>
        </w:rPr>
        <w:t xml:space="preserve"> </w:t>
      </w:r>
      <w:r w:rsidRPr="00EA7458">
        <w:rPr>
          <w:rFonts w:ascii="Calibri" w:hAnsi="Calibri"/>
          <w:b/>
          <w:bCs/>
          <w:color w:val="295CA3"/>
          <w:w w:val="115"/>
          <w:sz w:val="36"/>
          <w:szCs w:val="36"/>
          <w:u w:val="single" w:color="231F20"/>
        </w:rPr>
        <w:t>ASSURANCES</w:t>
      </w:r>
      <w:r w:rsidRPr="00EA7458">
        <w:rPr>
          <w:rFonts w:ascii="Calibri" w:hAnsi="Calibri"/>
          <w:b/>
          <w:bCs/>
          <w:color w:val="295CA3"/>
          <w:w w:val="113"/>
          <w:sz w:val="36"/>
          <w:szCs w:val="36"/>
          <w:u w:val="single" w:color="231F20"/>
        </w:rPr>
        <w:t xml:space="preserve"> </w:t>
      </w:r>
      <w:r w:rsidRPr="00EA7458">
        <w:rPr>
          <w:rFonts w:ascii="Calibri" w:hAnsi="Calibri"/>
          <w:b/>
          <w:bCs/>
          <w:color w:val="295CA3"/>
          <w:sz w:val="36"/>
          <w:szCs w:val="36"/>
          <w:u w:val="single" w:color="231F20"/>
        </w:rPr>
        <w:tab/>
      </w:r>
    </w:p>
    <w:p w14:paraId="765C5D2B" w14:textId="77777777" w:rsidR="00EA7458" w:rsidRPr="00EA7458" w:rsidRDefault="00EA7458" w:rsidP="00EA7458">
      <w:pPr>
        <w:widowControl w:val="0"/>
        <w:spacing w:before="6" w:after="0" w:line="240" w:lineRule="auto"/>
        <w:rPr>
          <w:rFonts w:ascii="Calibri" w:hAnsi="Calibri" w:cs="Calibri"/>
          <w:b/>
          <w:bCs/>
          <w:sz w:val="8"/>
          <w:szCs w:val="8"/>
        </w:rPr>
      </w:pPr>
    </w:p>
    <w:tbl>
      <w:tblPr>
        <w:tblW w:w="0" w:type="auto"/>
        <w:tblInd w:w="108" w:type="dxa"/>
        <w:tblLayout w:type="fixed"/>
        <w:tblCellMar>
          <w:left w:w="0" w:type="dxa"/>
          <w:right w:w="0" w:type="dxa"/>
        </w:tblCellMar>
        <w:tblLook w:val="01E0" w:firstRow="1" w:lastRow="1" w:firstColumn="1" w:lastColumn="1" w:noHBand="0" w:noVBand="0"/>
      </w:tblPr>
      <w:tblGrid>
        <w:gridCol w:w="516"/>
        <w:gridCol w:w="9703"/>
      </w:tblGrid>
      <w:tr w:rsidR="00EA7458" w:rsidRPr="00EA7458" w14:paraId="570818C6" w14:textId="77777777" w:rsidTr="00E65FFA">
        <w:trPr>
          <w:trHeight w:hRule="exact" w:val="445"/>
        </w:trPr>
        <w:tc>
          <w:tcPr>
            <w:tcW w:w="10219" w:type="dxa"/>
            <w:gridSpan w:val="2"/>
            <w:tcBorders>
              <w:top w:val="single" w:sz="2" w:space="0" w:color="231F20"/>
              <w:left w:val="single" w:sz="2" w:space="0" w:color="231F20"/>
              <w:bottom w:val="single" w:sz="2" w:space="0" w:color="231F20"/>
              <w:right w:val="single" w:sz="2" w:space="0" w:color="231F20"/>
            </w:tcBorders>
          </w:tcPr>
          <w:p w14:paraId="506F4071" w14:textId="77777777" w:rsidR="00EA7458" w:rsidRPr="00EA7458" w:rsidRDefault="00EA7458" w:rsidP="00EA7458">
            <w:pPr>
              <w:widowControl w:val="0"/>
              <w:spacing w:before="97" w:after="0" w:line="240" w:lineRule="auto"/>
              <w:ind w:left="77"/>
              <w:rPr>
                <w:rFonts w:ascii="Calibri" w:hAnsi="Calibri" w:cs="Calibri"/>
              </w:rPr>
            </w:pPr>
            <w:r w:rsidRPr="00EA7458">
              <w:rPr>
                <w:rFonts w:ascii="Calibri" w:hAnsi="Calibri"/>
                <w:b/>
                <w:color w:val="231F20"/>
                <w:w w:val="110"/>
              </w:rPr>
              <w:t>The State Plan must include assurances</w:t>
            </w:r>
            <w:r w:rsidRPr="00EA7458">
              <w:rPr>
                <w:rFonts w:ascii="Calibri" w:hAnsi="Calibri"/>
                <w:b/>
                <w:color w:val="231F20"/>
                <w:spacing w:val="-22"/>
                <w:w w:val="110"/>
              </w:rPr>
              <w:t xml:space="preserve"> </w:t>
            </w:r>
            <w:r w:rsidRPr="00EA7458">
              <w:rPr>
                <w:rFonts w:ascii="Calibri" w:hAnsi="Calibri"/>
                <w:b/>
                <w:color w:val="231F20"/>
                <w:w w:val="110"/>
              </w:rPr>
              <w:t>that:</w:t>
            </w:r>
          </w:p>
        </w:tc>
      </w:tr>
      <w:tr w:rsidR="00EA7458" w:rsidRPr="00EA7458" w14:paraId="552C86F0" w14:textId="77777777" w:rsidTr="00B26266">
        <w:trPr>
          <w:trHeight w:hRule="exact" w:val="977"/>
        </w:trPr>
        <w:tc>
          <w:tcPr>
            <w:tcW w:w="516" w:type="dxa"/>
            <w:tcBorders>
              <w:top w:val="single" w:sz="2" w:space="0" w:color="231F20"/>
              <w:left w:val="single" w:sz="2" w:space="0" w:color="231F20"/>
              <w:bottom w:val="single" w:sz="2" w:space="0" w:color="231F20"/>
              <w:right w:val="single" w:sz="2" w:space="0" w:color="231F20"/>
            </w:tcBorders>
            <w:shd w:val="clear" w:color="auto" w:fill="E6E7E8"/>
          </w:tcPr>
          <w:p w14:paraId="6CAB4915" w14:textId="77777777" w:rsidR="00EA7458" w:rsidRPr="00EA7458" w:rsidRDefault="00EA7458" w:rsidP="00EA7458">
            <w:pPr>
              <w:widowControl w:val="0"/>
              <w:spacing w:before="1" w:after="0" w:line="240" w:lineRule="auto"/>
              <w:rPr>
                <w:rFonts w:ascii="Calibri" w:hAnsi="Calibri" w:cs="Calibri"/>
                <w:b/>
                <w:bCs/>
                <w:sz w:val="25"/>
                <w:szCs w:val="25"/>
              </w:rPr>
            </w:pPr>
          </w:p>
          <w:p w14:paraId="021F8CB7" w14:textId="77777777" w:rsidR="00EA7458" w:rsidRPr="00EA7458" w:rsidRDefault="00EA7458" w:rsidP="00D63204">
            <w:pPr>
              <w:widowControl w:val="0"/>
              <w:spacing w:after="0" w:line="240" w:lineRule="auto"/>
              <w:rPr>
                <w:rFonts w:ascii="Calibri" w:hAnsi="Calibri" w:cs="Calibri"/>
              </w:rPr>
            </w:pPr>
            <w:r w:rsidRPr="00EA7458">
              <w:rPr>
                <w:rFonts w:ascii="Calibri" w:hAnsi="Calibri"/>
                <w:color w:val="231F20"/>
                <w:w w:val="85"/>
              </w:rPr>
              <w:t>1.</w:t>
            </w:r>
          </w:p>
        </w:tc>
        <w:tc>
          <w:tcPr>
            <w:tcW w:w="9703" w:type="dxa"/>
            <w:tcBorders>
              <w:top w:val="single" w:sz="2" w:space="0" w:color="231F20"/>
              <w:left w:val="single" w:sz="2" w:space="0" w:color="231F20"/>
              <w:bottom w:val="single" w:sz="2" w:space="0" w:color="231F20"/>
              <w:right w:val="single" w:sz="2" w:space="0" w:color="231F20"/>
            </w:tcBorders>
            <w:shd w:val="clear" w:color="auto" w:fill="E6E7E8"/>
          </w:tcPr>
          <w:p w14:paraId="0F65F31E" w14:textId="6407D0EF" w:rsidR="00EA7458" w:rsidRPr="00EA7458" w:rsidRDefault="00EA7458" w:rsidP="00D63204">
            <w:pPr>
              <w:widowControl w:val="0"/>
              <w:spacing w:before="40" w:after="0" w:line="264" w:lineRule="exact"/>
              <w:ind w:left="77" w:right="87"/>
              <w:rPr>
                <w:rFonts w:ascii="Calibri" w:hAnsi="Calibri" w:cs="Calibri"/>
              </w:rPr>
            </w:pPr>
            <w:r w:rsidRPr="00EA7458">
              <w:rPr>
                <w:rFonts w:ascii="Calibri" w:hAnsi="Calibri"/>
                <w:color w:val="231F20"/>
                <w:w w:val="105"/>
              </w:rPr>
              <w:t>The</w:t>
            </w:r>
            <w:r w:rsidRPr="00EA7458">
              <w:rPr>
                <w:rFonts w:ascii="Calibri" w:hAnsi="Calibri"/>
                <w:color w:val="231F20"/>
                <w:spacing w:val="11"/>
                <w:w w:val="105"/>
              </w:rPr>
              <w:t xml:space="preserve"> </w:t>
            </w:r>
            <w:r w:rsidR="00A13404">
              <w:rPr>
                <w:rFonts w:ascii="Calibri" w:hAnsi="Calibri"/>
                <w:color w:val="231F20"/>
                <w:w w:val="105"/>
              </w:rPr>
              <w:t>s</w:t>
            </w:r>
            <w:r w:rsidRPr="00EA7458">
              <w:rPr>
                <w:rFonts w:ascii="Calibri" w:hAnsi="Calibri"/>
                <w:color w:val="231F20"/>
                <w:w w:val="105"/>
              </w:rPr>
              <w:t>tate</w:t>
            </w:r>
            <w:r w:rsidRPr="00EA7458">
              <w:rPr>
                <w:rFonts w:ascii="Calibri" w:hAnsi="Calibri"/>
                <w:color w:val="231F20"/>
                <w:spacing w:val="11"/>
                <w:w w:val="105"/>
              </w:rPr>
              <w:t xml:space="preserve"> </w:t>
            </w:r>
            <w:r w:rsidR="000370CA">
              <w:rPr>
                <w:rFonts w:ascii="Calibri" w:hAnsi="Calibri"/>
                <w:color w:val="231F20"/>
                <w:spacing w:val="11"/>
                <w:w w:val="105"/>
              </w:rPr>
              <w:t>has</w:t>
            </w:r>
            <w:r w:rsidRPr="00EA7458">
              <w:rPr>
                <w:rFonts w:ascii="Calibri" w:hAnsi="Calibri"/>
                <w:color w:val="231F20"/>
                <w:spacing w:val="11"/>
                <w:w w:val="105"/>
              </w:rPr>
              <w:t xml:space="preserve"> </w:t>
            </w:r>
            <w:r w:rsidRPr="00EA7458">
              <w:rPr>
                <w:rFonts w:ascii="Calibri" w:hAnsi="Calibri"/>
                <w:color w:val="231F20"/>
                <w:w w:val="105"/>
              </w:rPr>
              <w:t>implemented</w:t>
            </w:r>
            <w:r w:rsidRPr="00EA7458">
              <w:rPr>
                <w:rFonts w:ascii="Calibri" w:hAnsi="Calibri"/>
                <w:color w:val="231F20"/>
                <w:spacing w:val="11"/>
                <w:w w:val="105"/>
              </w:rPr>
              <w:t xml:space="preserve"> </w:t>
            </w:r>
            <w:r w:rsidRPr="00EA7458">
              <w:rPr>
                <w:rFonts w:ascii="Calibri" w:hAnsi="Calibri"/>
                <w:color w:val="231F20"/>
                <w:w w:val="105"/>
              </w:rPr>
              <w:t>a</w:t>
            </w:r>
            <w:r w:rsidRPr="00EA7458">
              <w:rPr>
                <w:rFonts w:ascii="Calibri" w:hAnsi="Calibri"/>
                <w:color w:val="231F20"/>
                <w:spacing w:val="11"/>
                <w:w w:val="105"/>
              </w:rPr>
              <w:t xml:space="preserve"> </w:t>
            </w:r>
            <w:r w:rsidRPr="00EA7458">
              <w:rPr>
                <w:rFonts w:ascii="Calibri" w:hAnsi="Calibri"/>
                <w:color w:val="231F20"/>
                <w:w w:val="105"/>
              </w:rPr>
              <w:t>policy</w:t>
            </w:r>
            <w:r w:rsidRPr="00EA7458">
              <w:rPr>
                <w:rFonts w:ascii="Calibri" w:hAnsi="Calibri"/>
                <w:color w:val="231F20"/>
                <w:spacing w:val="11"/>
                <w:w w:val="105"/>
              </w:rPr>
              <w:t xml:space="preserve"> </w:t>
            </w:r>
            <w:r w:rsidRPr="00EA7458">
              <w:rPr>
                <w:rFonts w:ascii="Calibri" w:hAnsi="Calibri"/>
                <w:color w:val="231F20"/>
                <w:w w:val="105"/>
              </w:rPr>
              <w:t>to</w:t>
            </w:r>
            <w:r w:rsidRPr="00EA7458">
              <w:rPr>
                <w:rFonts w:ascii="Calibri" w:hAnsi="Calibri"/>
                <w:color w:val="231F20"/>
                <w:spacing w:val="11"/>
                <w:w w:val="105"/>
              </w:rPr>
              <w:t xml:space="preserve"> </w:t>
            </w:r>
            <w:r w:rsidRPr="00EA7458">
              <w:rPr>
                <w:rFonts w:ascii="Calibri" w:hAnsi="Calibri"/>
                <w:color w:val="231F20"/>
                <w:w w:val="105"/>
              </w:rPr>
              <w:t>ensure</w:t>
            </w:r>
            <w:r w:rsidRPr="00EA7458">
              <w:rPr>
                <w:rFonts w:ascii="Calibri" w:hAnsi="Calibri"/>
                <w:color w:val="231F20"/>
                <w:spacing w:val="11"/>
                <w:w w:val="105"/>
              </w:rPr>
              <w:t xml:space="preserve"> </w:t>
            </w:r>
            <w:r w:rsidR="005B4A7F">
              <w:rPr>
                <w:rFonts w:ascii="Calibri" w:hAnsi="Calibri"/>
                <w:color w:val="231F20"/>
                <w:spacing w:val="11"/>
                <w:w w:val="105"/>
              </w:rPr>
              <w:t>a</w:t>
            </w:r>
            <w:r w:rsidRPr="00EA7458">
              <w:rPr>
                <w:rFonts w:ascii="Calibri" w:hAnsi="Calibri"/>
                <w:color w:val="231F20"/>
                <w:w w:val="105"/>
              </w:rPr>
              <w:t>dult</w:t>
            </w:r>
            <w:r w:rsidRPr="00EA7458">
              <w:rPr>
                <w:rFonts w:ascii="Calibri" w:hAnsi="Calibri"/>
                <w:color w:val="231F20"/>
                <w:spacing w:val="11"/>
                <w:w w:val="105"/>
              </w:rPr>
              <w:t xml:space="preserve"> </w:t>
            </w:r>
            <w:r w:rsidRPr="00EA7458">
              <w:rPr>
                <w:rFonts w:ascii="Calibri" w:hAnsi="Calibri"/>
                <w:color w:val="231F20"/>
                <w:w w:val="105"/>
              </w:rPr>
              <w:t>program</w:t>
            </w:r>
            <w:r w:rsidRPr="00EA7458">
              <w:rPr>
                <w:rFonts w:ascii="Calibri" w:hAnsi="Calibri"/>
                <w:color w:val="231F20"/>
                <w:spacing w:val="11"/>
                <w:w w:val="105"/>
              </w:rPr>
              <w:t xml:space="preserve"> </w:t>
            </w:r>
            <w:r w:rsidRPr="00EA7458">
              <w:rPr>
                <w:rFonts w:ascii="Calibri" w:hAnsi="Calibri"/>
                <w:color w:val="231F20"/>
                <w:w w:val="105"/>
              </w:rPr>
              <w:t>funds</w:t>
            </w:r>
            <w:r w:rsidRPr="00EA7458">
              <w:rPr>
                <w:rFonts w:ascii="Calibri" w:hAnsi="Calibri"/>
                <w:color w:val="231F20"/>
                <w:spacing w:val="11"/>
                <w:w w:val="105"/>
              </w:rPr>
              <w:t xml:space="preserve"> </w:t>
            </w:r>
            <w:r w:rsidRPr="00EA7458">
              <w:rPr>
                <w:rFonts w:ascii="Calibri" w:hAnsi="Calibri"/>
                <w:color w:val="231F20"/>
                <w:w w:val="105"/>
              </w:rPr>
              <w:t>provide</w:t>
            </w:r>
            <w:r w:rsidRPr="00EA7458">
              <w:rPr>
                <w:rFonts w:ascii="Calibri" w:hAnsi="Calibri"/>
                <w:color w:val="231F20"/>
                <w:spacing w:val="11"/>
                <w:w w:val="105"/>
              </w:rPr>
              <w:t xml:space="preserve"> </w:t>
            </w:r>
            <w:r w:rsidRPr="00EA7458">
              <w:rPr>
                <w:rFonts w:ascii="Calibri" w:hAnsi="Calibri"/>
                <w:color w:val="231F20"/>
                <w:w w:val="105"/>
              </w:rPr>
              <w:t>a</w:t>
            </w:r>
            <w:r w:rsidRPr="00EA7458">
              <w:rPr>
                <w:rFonts w:ascii="Calibri" w:hAnsi="Calibri"/>
                <w:color w:val="231F20"/>
                <w:spacing w:val="11"/>
                <w:w w:val="105"/>
              </w:rPr>
              <w:t xml:space="preserve"> </w:t>
            </w:r>
            <w:r w:rsidRPr="00EA7458">
              <w:rPr>
                <w:rFonts w:ascii="Calibri" w:hAnsi="Calibri"/>
                <w:color w:val="231F20"/>
                <w:w w:val="105"/>
              </w:rPr>
              <w:t>priority</w:t>
            </w:r>
            <w:r w:rsidRPr="00EA7458">
              <w:rPr>
                <w:rFonts w:ascii="Calibri" w:hAnsi="Calibri"/>
                <w:color w:val="231F20"/>
                <w:spacing w:val="11"/>
                <w:w w:val="105"/>
              </w:rPr>
              <w:t xml:space="preserve"> </w:t>
            </w:r>
            <w:r w:rsidRPr="00EA7458">
              <w:rPr>
                <w:rFonts w:ascii="Calibri" w:hAnsi="Calibri"/>
                <w:color w:val="231F20"/>
                <w:w w:val="105"/>
              </w:rPr>
              <w:t>in</w:t>
            </w:r>
            <w:r w:rsidRPr="00EA7458">
              <w:rPr>
                <w:rFonts w:ascii="Calibri" w:hAnsi="Calibri"/>
                <w:color w:val="231F20"/>
                <w:spacing w:val="11"/>
                <w:w w:val="105"/>
              </w:rPr>
              <w:t xml:space="preserve"> </w:t>
            </w:r>
            <w:r w:rsidRPr="00EA7458">
              <w:rPr>
                <w:rFonts w:ascii="Calibri" w:hAnsi="Calibri"/>
                <w:color w:val="231F20"/>
                <w:w w:val="105"/>
              </w:rPr>
              <w:t>the</w:t>
            </w:r>
            <w:r w:rsidRPr="00EA7458">
              <w:rPr>
                <w:rFonts w:ascii="Calibri" w:hAnsi="Calibri"/>
                <w:color w:val="231F20"/>
                <w:spacing w:val="11"/>
                <w:w w:val="105"/>
              </w:rPr>
              <w:t xml:space="preserve"> </w:t>
            </w:r>
            <w:r w:rsidRPr="00EA7458">
              <w:rPr>
                <w:rFonts w:ascii="Calibri" w:hAnsi="Calibri"/>
                <w:color w:val="231F20"/>
                <w:w w:val="105"/>
              </w:rPr>
              <w:t>delivery</w:t>
            </w:r>
            <w:r w:rsidRPr="00EA7458">
              <w:rPr>
                <w:rFonts w:ascii="Calibri" w:hAnsi="Calibri"/>
                <w:color w:val="231F20"/>
                <w:w w:val="107"/>
              </w:rPr>
              <w:t xml:space="preserve"> </w:t>
            </w:r>
            <w:r w:rsidRPr="00EA7458">
              <w:rPr>
                <w:rFonts w:ascii="Calibri" w:hAnsi="Calibri"/>
                <w:color w:val="231F20"/>
                <w:w w:val="105"/>
              </w:rPr>
              <w:t>of</w:t>
            </w:r>
            <w:r w:rsidRPr="00EA7458">
              <w:rPr>
                <w:rFonts w:ascii="Calibri" w:hAnsi="Calibri"/>
                <w:color w:val="231F20"/>
                <w:spacing w:val="12"/>
                <w:w w:val="105"/>
              </w:rPr>
              <w:t xml:space="preserve"> </w:t>
            </w:r>
            <w:r w:rsidRPr="00EA7458">
              <w:rPr>
                <w:rFonts w:ascii="Calibri" w:hAnsi="Calibri"/>
                <w:color w:val="231F20"/>
                <w:w w:val="105"/>
              </w:rPr>
              <w:t>career</w:t>
            </w:r>
            <w:r w:rsidRPr="00EA7458">
              <w:rPr>
                <w:rFonts w:ascii="Calibri" w:hAnsi="Calibri"/>
                <w:color w:val="231F20"/>
                <w:spacing w:val="12"/>
                <w:w w:val="105"/>
              </w:rPr>
              <w:t xml:space="preserve"> </w:t>
            </w:r>
            <w:r w:rsidRPr="00EA7458">
              <w:rPr>
                <w:rFonts w:ascii="Calibri" w:hAnsi="Calibri"/>
                <w:color w:val="231F20"/>
                <w:w w:val="105"/>
              </w:rPr>
              <w:t>and</w:t>
            </w:r>
            <w:r w:rsidRPr="00EA7458">
              <w:rPr>
                <w:rFonts w:ascii="Calibri" w:hAnsi="Calibri"/>
                <w:color w:val="231F20"/>
                <w:spacing w:val="12"/>
                <w:w w:val="105"/>
              </w:rPr>
              <w:t xml:space="preserve"> </w:t>
            </w:r>
            <w:r w:rsidRPr="00EA7458">
              <w:rPr>
                <w:rFonts w:ascii="Calibri" w:hAnsi="Calibri"/>
                <w:color w:val="231F20"/>
                <w:w w:val="105"/>
              </w:rPr>
              <w:t>training</w:t>
            </w:r>
            <w:r w:rsidRPr="00EA7458">
              <w:rPr>
                <w:rFonts w:ascii="Calibri" w:hAnsi="Calibri"/>
                <w:color w:val="231F20"/>
                <w:spacing w:val="12"/>
                <w:w w:val="105"/>
              </w:rPr>
              <w:t xml:space="preserve"> </w:t>
            </w:r>
            <w:r w:rsidRPr="00EA7458">
              <w:rPr>
                <w:rFonts w:ascii="Calibri" w:hAnsi="Calibri"/>
                <w:color w:val="231F20"/>
                <w:w w:val="105"/>
              </w:rPr>
              <w:t>services</w:t>
            </w:r>
            <w:r w:rsidRPr="00EA7458">
              <w:rPr>
                <w:rFonts w:ascii="Calibri" w:hAnsi="Calibri"/>
                <w:color w:val="231F20"/>
                <w:spacing w:val="12"/>
                <w:w w:val="105"/>
              </w:rPr>
              <w:t xml:space="preserve"> </w:t>
            </w:r>
            <w:r w:rsidR="00645EFF">
              <w:rPr>
                <w:rFonts w:ascii="Calibri" w:hAnsi="Calibri"/>
                <w:color w:val="231F20"/>
                <w:w w:val="105"/>
              </w:rPr>
              <w:t xml:space="preserve">and individualized career services </w:t>
            </w:r>
            <w:r w:rsidRPr="00EA7458">
              <w:rPr>
                <w:rFonts w:ascii="Calibri" w:hAnsi="Calibri"/>
                <w:color w:val="231F20"/>
                <w:w w:val="105"/>
              </w:rPr>
              <w:t>to</w:t>
            </w:r>
            <w:r>
              <w:rPr>
                <w:rFonts w:ascii="Calibri" w:hAnsi="Calibri"/>
                <w:color w:val="231F20"/>
                <w:w w:val="105"/>
              </w:rPr>
              <w:t xml:space="preserve"> </w:t>
            </w:r>
            <w:r w:rsidRPr="00EA7458">
              <w:rPr>
                <w:rFonts w:ascii="Calibri" w:hAnsi="Calibri"/>
                <w:color w:val="231F20"/>
                <w:w w:val="105"/>
              </w:rPr>
              <w:t>individuals</w:t>
            </w:r>
            <w:r w:rsidRPr="00EA7458">
              <w:rPr>
                <w:rFonts w:ascii="Calibri" w:hAnsi="Calibri"/>
                <w:color w:val="231F20"/>
                <w:spacing w:val="12"/>
                <w:w w:val="105"/>
              </w:rPr>
              <w:t xml:space="preserve"> </w:t>
            </w:r>
            <w:r w:rsidRPr="00EA7458">
              <w:rPr>
                <w:rFonts w:ascii="Calibri" w:hAnsi="Calibri"/>
                <w:color w:val="231F20"/>
                <w:w w:val="105"/>
              </w:rPr>
              <w:t>who</w:t>
            </w:r>
            <w:r w:rsidRPr="00EA7458">
              <w:rPr>
                <w:rFonts w:ascii="Calibri" w:hAnsi="Calibri"/>
                <w:color w:val="231F20"/>
                <w:spacing w:val="12"/>
                <w:w w:val="105"/>
              </w:rPr>
              <w:t xml:space="preserve"> </w:t>
            </w:r>
            <w:r w:rsidRPr="00EA7458">
              <w:rPr>
                <w:rFonts w:ascii="Calibri" w:hAnsi="Calibri"/>
                <w:color w:val="231F20"/>
                <w:w w:val="105"/>
              </w:rPr>
              <w:t>are</w:t>
            </w:r>
            <w:r w:rsidRPr="00EA7458">
              <w:rPr>
                <w:rFonts w:ascii="Calibri" w:hAnsi="Calibri"/>
                <w:color w:val="231F20"/>
                <w:spacing w:val="12"/>
                <w:w w:val="105"/>
              </w:rPr>
              <w:t xml:space="preserve"> </w:t>
            </w:r>
            <w:r w:rsidRPr="00EA7458">
              <w:rPr>
                <w:rFonts w:ascii="Calibri" w:hAnsi="Calibri"/>
                <w:color w:val="231F20"/>
                <w:w w:val="105"/>
              </w:rPr>
              <w:t>low</w:t>
            </w:r>
            <w:r w:rsidRPr="00EA7458">
              <w:rPr>
                <w:rFonts w:ascii="Calibri" w:hAnsi="Calibri"/>
                <w:color w:val="231F20"/>
                <w:spacing w:val="12"/>
                <w:w w:val="105"/>
              </w:rPr>
              <w:t xml:space="preserve"> </w:t>
            </w:r>
            <w:r w:rsidRPr="00EA7458">
              <w:rPr>
                <w:rFonts w:ascii="Calibri" w:hAnsi="Calibri"/>
                <w:color w:val="231F20"/>
                <w:w w:val="105"/>
              </w:rPr>
              <w:t>income,</w:t>
            </w:r>
            <w:r w:rsidRPr="00EA7458">
              <w:rPr>
                <w:rFonts w:ascii="Calibri" w:hAnsi="Calibri"/>
                <w:color w:val="231F20"/>
                <w:spacing w:val="12"/>
                <w:w w:val="105"/>
              </w:rPr>
              <w:t xml:space="preserve"> </w:t>
            </w:r>
            <w:r w:rsidRPr="00EA7458">
              <w:rPr>
                <w:rFonts w:ascii="Calibri" w:hAnsi="Calibri"/>
                <w:color w:val="231F20"/>
                <w:w w:val="105"/>
              </w:rPr>
              <w:t>public</w:t>
            </w:r>
            <w:r w:rsidRPr="00EA7458">
              <w:rPr>
                <w:rFonts w:ascii="Calibri" w:hAnsi="Calibri"/>
                <w:color w:val="231F20"/>
                <w:spacing w:val="12"/>
                <w:w w:val="105"/>
              </w:rPr>
              <w:t xml:space="preserve"> </w:t>
            </w:r>
            <w:r w:rsidRPr="00EA7458">
              <w:rPr>
                <w:rFonts w:ascii="Calibri" w:hAnsi="Calibri"/>
                <w:color w:val="231F20"/>
                <w:w w:val="105"/>
              </w:rPr>
              <w:t>assistance</w:t>
            </w:r>
            <w:r w:rsidRPr="00EA7458">
              <w:rPr>
                <w:rFonts w:ascii="Calibri" w:hAnsi="Calibri"/>
                <w:color w:val="231F20"/>
                <w:spacing w:val="12"/>
                <w:w w:val="105"/>
              </w:rPr>
              <w:t xml:space="preserve"> </w:t>
            </w:r>
            <w:r w:rsidRPr="00EA7458">
              <w:rPr>
                <w:rFonts w:ascii="Calibri" w:hAnsi="Calibri"/>
                <w:color w:val="231F20"/>
                <w:w w:val="105"/>
              </w:rPr>
              <w:t>recipients</w:t>
            </w:r>
            <w:r w:rsidRPr="00EA7458">
              <w:rPr>
                <w:rFonts w:ascii="Calibri" w:hAnsi="Calibri"/>
                <w:color w:val="231F20"/>
                <w:spacing w:val="12"/>
                <w:w w:val="105"/>
              </w:rPr>
              <w:t xml:space="preserve"> </w:t>
            </w:r>
            <w:r w:rsidR="004F1A7C">
              <w:rPr>
                <w:rFonts w:ascii="Calibri" w:hAnsi="Calibri"/>
                <w:color w:val="231F20"/>
                <w:w w:val="105"/>
              </w:rPr>
              <w:t>and</w:t>
            </w:r>
            <w:r>
              <w:rPr>
                <w:rFonts w:ascii="Calibri" w:hAnsi="Calibri"/>
                <w:color w:val="231F20"/>
                <w:w w:val="105"/>
              </w:rPr>
              <w:t xml:space="preserve"> </w:t>
            </w:r>
            <w:r w:rsidR="008106E5" w:rsidRPr="00EA7458">
              <w:rPr>
                <w:rFonts w:ascii="Calibri" w:hAnsi="Calibri"/>
                <w:color w:val="231F20"/>
                <w:w w:val="105"/>
              </w:rPr>
              <w:t>basic skills</w:t>
            </w:r>
            <w:r w:rsidRPr="00EA7458">
              <w:rPr>
                <w:rFonts w:ascii="Calibri" w:hAnsi="Calibri"/>
                <w:color w:val="231F20"/>
                <w:spacing w:val="4"/>
                <w:w w:val="105"/>
              </w:rPr>
              <w:t xml:space="preserve"> </w:t>
            </w:r>
            <w:r w:rsidRPr="00EA7458">
              <w:rPr>
                <w:rFonts w:ascii="Calibri" w:hAnsi="Calibri"/>
                <w:color w:val="231F20"/>
                <w:w w:val="105"/>
              </w:rPr>
              <w:t>deficient;</w:t>
            </w:r>
          </w:p>
        </w:tc>
      </w:tr>
      <w:tr w:rsidR="00EA7458" w:rsidRPr="00EA7458" w14:paraId="0EB57A1D" w14:textId="77777777" w:rsidTr="00B26266">
        <w:trPr>
          <w:trHeight w:hRule="exact" w:val="905"/>
        </w:trPr>
        <w:tc>
          <w:tcPr>
            <w:tcW w:w="516" w:type="dxa"/>
            <w:tcBorders>
              <w:top w:val="single" w:sz="2" w:space="0" w:color="231F20"/>
              <w:left w:val="single" w:sz="2" w:space="0" w:color="231F20"/>
              <w:bottom w:val="single" w:sz="2" w:space="0" w:color="231F20"/>
              <w:right w:val="single" w:sz="2" w:space="0" w:color="231F20"/>
            </w:tcBorders>
          </w:tcPr>
          <w:p w14:paraId="28418925" w14:textId="77777777" w:rsidR="00EA7458" w:rsidRPr="00EA7458" w:rsidRDefault="00EA7458" w:rsidP="00EA7458">
            <w:pPr>
              <w:widowControl w:val="0"/>
              <w:spacing w:before="1" w:after="0" w:line="240" w:lineRule="auto"/>
              <w:rPr>
                <w:rFonts w:ascii="Calibri" w:hAnsi="Calibri" w:cs="Calibri"/>
                <w:b/>
                <w:bCs/>
                <w:sz w:val="25"/>
                <w:szCs w:val="25"/>
              </w:rPr>
            </w:pPr>
          </w:p>
          <w:p w14:paraId="75370FC1" w14:textId="77777777" w:rsidR="00EA7458" w:rsidRPr="00EA7458" w:rsidRDefault="00EA7458" w:rsidP="00EA7458">
            <w:pPr>
              <w:widowControl w:val="0"/>
              <w:spacing w:after="0" w:line="240" w:lineRule="auto"/>
              <w:ind w:left="165"/>
              <w:rPr>
                <w:rFonts w:ascii="Calibri" w:hAnsi="Calibri" w:cs="Calibri"/>
              </w:rPr>
            </w:pPr>
            <w:r w:rsidRPr="00EA7458">
              <w:rPr>
                <w:rFonts w:ascii="Calibri" w:hAnsi="Calibri"/>
                <w:color w:val="231F20"/>
                <w:w w:val="110"/>
              </w:rPr>
              <w:t>2.</w:t>
            </w:r>
          </w:p>
        </w:tc>
        <w:tc>
          <w:tcPr>
            <w:tcW w:w="9703" w:type="dxa"/>
            <w:tcBorders>
              <w:top w:val="single" w:sz="2" w:space="0" w:color="231F20"/>
              <w:left w:val="single" w:sz="2" w:space="0" w:color="231F20"/>
              <w:bottom w:val="single" w:sz="2" w:space="0" w:color="231F20"/>
              <w:right w:val="single" w:sz="2" w:space="0" w:color="231F20"/>
            </w:tcBorders>
          </w:tcPr>
          <w:p w14:paraId="5C644B9C" w14:textId="63B06DD4" w:rsidR="00EA7458" w:rsidRPr="00EA7458" w:rsidRDefault="00EA7458" w:rsidP="00D63204">
            <w:pPr>
              <w:widowControl w:val="0"/>
              <w:spacing w:before="40" w:after="0" w:line="264" w:lineRule="exact"/>
              <w:ind w:left="77" w:right="595"/>
              <w:rPr>
                <w:rFonts w:ascii="Calibri" w:hAnsi="Calibri" w:cs="Calibri"/>
              </w:rPr>
            </w:pPr>
            <w:r w:rsidRPr="00EA7458">
              <w:rPr>
                <w:rFonts w:ascii="Calibri" w:hAnsi="Calibri" w:cs="Calibri"/>
                <w:color w:val="231F20"/>
                <w:w w:val="105"/>
              </w:rPr>
              <w:t>The</w:t>
            </w:r>
            <w:r w:rsidRPr="00EA7458">
              <w:rPr>
                <w:rFonts w:ascii="Calibri" w:hAnsi="Calibri" w:cs="Calibri"/>
                <w:color w:val="231F20"/>
                <w:spacing w:val="16"/>
                <w:w w:val="105"/>
              </w:rPr>
              <w:t xml:space="preserve"> </w:t>
            </w:r>
            <w:r w:rsidR="00A13404">
              <w:rPr>
                <w:rFonts w:ascii="Calibri" w:hAnsi="Calibri" w:cs="Calibri"/>
                <w:color w:val="231F20"/>
                <w:w w:val="105"/>
              </w:rPr>
              <w:t>s</w:t>
            </w:r>
            <w:r w:rsidRPr="00EA7458">
              <w:rPr>
                <w:rFonts w:ascii="Calibri" w:hAnsi="Calibri" w:cs="Calibri"/>
                <w:color w:val="231F20"/>
                <w:w w:val="105"/>
              </w:rPr>
              <w:t>tate</w:t>
            </w:r>
            <w:r w:rsidRPr="00EA7458">
              <w:rPr>
                <w:rFonts w:ascii="Calibri" w:hAnsi="Calibri" w:cs="Calibri"/>
                <w:color w:val="231F20"/>
                <w:spacing w:val="16"/>
                <w:w w:val="105"/>
              </w:rPr>
              <w:t xml:space="preserve"> </w:t>
            </w:r>
            <w:r w:rsidR="0068332B">
              <w:rPr>
                <w:rFonts w:ascii="Calibri" w:hAnsi="Calibri" w:cs="Calibri"/>
                <w:color w:val="231F20"/>
                <w:spacing w:val="16"/>
                <w:w w:val="105"/>
              </w:rPr>
              <w:t xml:space="preserve">has </w:t>
            </w:r>
            <w:r w:rsidRPr="00EA7458">
              <w:rPr>
                <w:rFonts w:ascii="Calibri" w:hAnsi="Calibri" w:cs="Calibri"/>
                <w:color w:val="231F20"/>
                <w:w w:val="105"/>
              </w:rPr>
              <w:t>implemented</w:t>
            </w:r>
            <w:r w:rsidRPr="00EA7458">
              <w:rPr>
                <w:rFonts w:ascii="Calibri" w:hAnsi="Calibri" w:cs="Calibri"/>
                <w:color w:val="231F20"/>
                <w:spacing w:val="16"/>
                <w:w w:val="105"/>
              </w:rPr>
              <w:t xml:space="preserve"> </w:t>
            </w:r>
            <w:r w:rsidRPr="00EA7458">
              <w:rPr>
                <w:rFonts w:ascii="Calibri" w:hAnsi="Calibri" w:cs="Calibri"/>
                <w:color w:val="231F20"/>
                <w:w w:val="105"/>
              </w:rPr>
              <w:t>a</w:t>
            </w:r>
            <w:r w:rsidRPr="00EA7458">
              <w:rPr>
                <w:rFonts w:ascii="Calibri" w:hAnsi="Calibri" w:cs="Calibri"/>
                <w:color w:val="231F20"/>
                <w:spacing w:val="16"/>
                <w:w w:val="105"/>
              </w:rPr>
              <w:t xml:space="preserve"> </w:t>
            </w:r>
            <w:r w:rsidRPr="00EA7458">
              <w:rPr>
                <w:rFonts w:ascii="Calibri" w:hAnsi="Calibri" w:cs="Calibri"/>
                <w:color w:val="231F20"/>
                <w:w w:val="105"/>
              </w:rPr>
              <w:t>policy</w:t>
            </w:r>
            <w:r w:rsidRPr="00EA7458">
              <w:rPr>
                <w:rFonts w:ascii="Calibri" w:hAnsi="Calibri" w:cs="Calibri"/>
                <w:color w:val="231F20"/>
                <w:spacing w:val="16"/>
                <w:w w:val="105"/>
              </w:rPr>
              <w:t xml:space="preserve"> </w:t>
            </w:r>
            <w:r w:rsidR="005B4A7F">
              <w:rPr>
                <w:rFonts w:ascii="Calibri" w:hAnsi="Calibri" w:cs="Calibri"/>
                <w:color w:val="231F20"/>
                <w:w w:val="105"/>
              </w:rPr>
              <w:t xml:space="preserve">ensuring </w:t>
            </w:r>
            <w:r w:rsidRPr="00EA7458">
              <w:rPr>
                <w:rFonts w:ascii="Calibri" w:hAnsi="Calibri" w:cs="Calibri"/>
                <w:color w:val="231F20"/>
                <w:w w:val="105"/>
              </w:rPr>
              <w:t>local</w:t>
            </w:r>
            <w:r w:rsidRPr="00EA7458">
              <w:rPr>
                <w:rFonts w:ascii="Calibri" w:hAnsi="Calibri" w:cs="Calibri"/>
                <w:color w:val="231F20"/>
                <w:spacing w:val="16"/>
                <w:w w:val="105"/>
              </w:rPr>
              <w:t xml:space="preserve"> </w:t>
            </w:r>
            <w:r w:rsidRPr="00EA7458">
              <w:rPr>
                <w:rFonts w:ascii="Calibri" w:hAnsi="Calibri" w:cs="Calibri"/>
                <w:color w:val="231F20"/>
                <w:w w:val="105"/>
              </w:rPr>
              <w:t>areas</w:t>
            </w:r>
            <w:r w:rsidRPr="00EA7458">
              <w:rPr>
                <w:rFonts w:ascii="Calibri" w:hAnsi="Calibri" w:cs="Calibri"/>
                <w:color w:val="231F20"/>
                <w:spacing w:val="16"/>
                <w:w w:val="105"/>
              </w:rPr>
              <w:t xml:space="preserve"> </w:t>
            </w:r>
            <w:r w:rsidRPr="00EA7458">
              <w:rPr>
                <w:rFonts w:ascii="Calibri" w:hAnsi="Calibri" w:cs="Calibri"/>
                <w:color w:val="231F20"/>
                <w:w w:val="105"/>
              </w:rPr>
              <w:t>have</w:t>
            </w:r>
            <w:r w:rsidRPr="00EA7458">
              <w:rPr>
                <w:rFonts w:ascii="Calibri" w:hAnsi="Calibri" w:cs="Calibri"/>
                <w:color w:val="231F20"/>
                <w:spacing w:val="16"/>
                <w:w w:val="105"/>
              </w:rPr>
              <w:t xml:space="preserve"> </w:t>
            </w:r>
            <w:r w:rsidRPr="00EA7458">
              <w:rPr>
                <w:rFonts w:ascii="Calibri" w:hAnsi="Calibri" w:cs="Calibri"/>
                <w:color w:val="231F20"/>
                <w:w w:val="105"/>
              </w:rPr>
              <w:t>a</w:t>
            </w:r>
            <w:r w:rsidRPr="00EA7458">
              <w:rPr>
                <w:rFonts w:ascii="Calibri" w:hAnsi="Calibri" w:cs="Calibri"/>
                <w:color w:val="231F20"/>
                <w:spacing w:val="16"/>
                <w:w w:val="105"/>
              </w:rPr>
              <w:t xml:space="preserve"> </w:t>
            </w:r>
            <w:r w:rsidRPr="00EA7458">
              <w:rPr>
                <w:rFonts w:ascii="Calibri" w:hAnsi="Calibri" w:cs="Calibri"/>
                <w:color w:val="231F20"/>
                <w:w w:val="105"/>
              </w:rPr>
              <w:t>process</w:t>
            </w:r>
            <w:r w:rsidRPr="00EA7458">
              <w:rPr>
                <w:rFonts w:ascii="Calibri" w:hAnsi="Calibri" w:cs="Calibri"/>
                <w:color w:val="231F20"/>
                <w:spacing w:val="16"/>
                <w:w w:val="105"/>
              </w:rPr>
              <w:t xml:space="preserve"> </w:t>
            </w:r>
            <w:r w:rsidR="0068332B">
              <w:rPr>
                <w:rFonts w:ascii="Calibri" w:hAnsi="Calibri" w:cs="Calibri"/>
                <w:color w:val="231F20"/>
                <w:spacing w:val="16"/>
                <w:w w:val="105"/>
              </w:rPr>
              <w:t xml:space="preserve">in place </w:t>
            </w:r>
            <w:r w:rsidRPr="00EA7458">
              <w:rPr>
                <w:rFonts w:ascii="Calibri" w:hAnsi="Calibri" w:cs="Calibri"/>
                <w:color w:val="231F20"/>
                <w:w w:val="105"/>
              </w:rPr>
              <w:t>for</w:t>
            </w:r>
            <w:r w:rsidRPr="00EA7458">
              <w:rPr>
                <w:rFonts w:ascii="Calibri" w:hAnsi="Calibri" w:cs="Calibri"/>
                <w:color w:val="231F20"/>
                <w:spacing w:val="16"/>
                <w:w w:val="105"/>
              </w:rPr>
              <w:t xml:space="preserve"> </w:t>
            </w:r>
            <w:r w:rsidRPr="00EA7458">
              <w:rPr>
                <w:rFonts w:ascii="Calibri" w:hAnsi="Calibri" w:cs="Calibri"/>
                <w:color w:val="231F20"/>
                <w:w w:val="105"/>
              </w:rPr>
              <w:t>referring</w:t>
            </w:r>
            <w:r w:rsidRPr="00EA7458">
              <w:rPr>
                <w:rFonts w:ascii="Calibri" w:hAnsi="Calibri" w:cs="Calibri"/>
                <w:color w:val="231F20"/>
                <w:w w:val="104"/>
              </w:rPr>
              <w:t xml:space="preserve"> </w:t>
            </w:r>
            <w:r w:rsidRPr="00EA7458">
              <w:rPr>
                <w:rFonts w:ascii="Calibri" w:hAnsi="Calibri" w:cs="Calibri"/>
                <w:color w:val="231F20"/>
                <w:w w:val="105"/>
              </w:rPr>
              <w:t>veterans with significant barriers to employment</w:t>
            </w:r>
            <w:r w:rsidR="005B4A7F">
              <w:rPr>
                <w:rFonts w:ascii="Calibri" w:hAnsi="Calibri" w:cs="Calibri"/>
                <w:color w:val="231F20"/>
                <w:w w:val="105"/>
              </w:rPr>
              <w:t>,</w:t>
            </w:r>
            <w:r w:rsidRPr="00EA7458">
              <w:rPr>
                <w:rFonts w:ascii="Calibri" w:hAnsi="Calibri" w:cs="Calibri"/>
                <w:color w:val="231F20"/>
                <w:w w:val="105"/>
              </w:rPr>
              <w:t xml:space="preserve"> to career services provided by the JVSG</w:t>
            </w:r>
            <w:r w:rsidRPr="00EA7458">
              <w:rPr>
                <w:rFonts w:ascii="Calibri" w:hAnsi="Calibri" w:cs="Calibri"/>
                <w:color w:val="231F20"/>
                <w:spacing w:val="9"/>
                <w:w w:val="105"/>
              </w:rPr>
              <w:t xml:space="preserve"> </w:t>
            </w:r>
            <w:r w:rsidRPr="00EA7458">
              <w:rPr>
                <w:rFonts w:ascii="Calibri" w:hAnsi="Calibri" w:cs="Calibri"/>
                <w:color w:val="231F20"/>
                <w:w w:val="105"/>
              </w:rPr>
              <w:t>program’s Disabled Veterans’ Outreach Program (DVOP) specialist;</w:t>
            </w:r>
          </w:p>
        </w:tc>
      </w:tr>
      <w:tr w:rsidR="00EA7458" w:rsidRPr="00EA7458" w14:paraId="4C0274C8" w14:textId="77777777" w:rsidTr="00E65FFA">
        <w:trPr>
          <w:trHeight w:hRule="exact" w:val="598"/>
        </w:trPr>
        <w:tc>
          <w:tcPr>
            <w:tcW w:w="516" w:type="dxa"/>
            <w:tcBorders>
              <w:top w:val="single" w:sz="2" w:space="0" w:color="231F20"/>
              <w:left w:val="single" w:sz="2" w:space="0" w:color="231F20"/>
              <w:bottom w:val="single" w:sz="2" w:space="0" w:color="231F20"/>
              <w:right w:val="single" w:sz="2" w:space="0" w:color="231F20"/>
            </w:tcBorders>
            <w:shd w:val="clear" w:color="auto" w:fill="E6E7E8"/>
          </w:tcPr>
          <w:p w14:paraId="631A673A" w14:textId="77777777" w:rsidR="00EA7458" w:rsidRPr="00EA7458" w:rsidRDefault="00EA7458" w:rsidP="00EA7458">
            <w:pPr>
              <w:widowControl w:val="0"/>
              <w:spacing w:before="174" w:after="0" w:line="240" w:lineRule="auto"/>
              <w:ind w:left="168"/>
              <w:rPr>
                <w:rFonts w:ascii="Calibri" w:hAnsi="Calibri" w:cs="Calibri"/>
              </w:rPr>
            </w:pPr>
            <w:r w:rsidRPr="00EA7458">
              <w:rPr>
                <w:rFonts w:ascii="Calibri" w:hAnsi="Calibri"/>
                <w:color w:val="231F20"/>
                <w:w w:val="105"/>
              </w:rPr>
              <w:t>3.</w:t>
            </w:r>
          </w:p>
        </w:tc>
        <w:tc>
          <w:tcPr>
            <w:tcW w:w="9703" w:type="dxa"/>
            <w:tcBorders>
              <w:top w:val="single" w:sz="2" w:space="0" w:color="231F20"/>
              <w:left w:val="single" w:sz="2" w:space="0" w:color="231F20"/>
              <w:bottom w:val="single" w:sz="2" w:space="0" w:color="231F20"/>
              <w:right w:val="single" w:sz="2" w:space="0" w:color="231F20"/>
            </w:tcBorders>
            <w:shd w:val="clear" w:color="auto" w:fill="E6E7E8"/>
          </w:tcPr>
          <w:p w14:paraId="06F6FADC" w14:textId="7EABD3FF" w:rsidR="00EA7458" w:rsidRPr="00EA7458" w:rsidRDefault="00EA7458" w:rsidP="00D63204">
            <w:pPr>
              <w:widowControl w:val="0"/>
              <w:spacing w:before="40" w:after="0" w:line="264" w:lineRule="exact"/>
              <w:ind w:left="77" w:right="655"/>
              <w:rPr>
                <w:rFonts w:ascii="Calibri" w:hAnsi="Calibri" w:cs="Calibri"/>
              </w:rPr>
            </w:pPr>
            <w:r w:rsidRPr="00EA7458">
              <w:rPr>
                <w:rFonts w:ascii="Calibri" w:hAnsi="Calibri"/>
                <w:w w:val="105"/>
              </w:rPr>
              <w:t>The</w:t>
            </w:r>
            <w:r w:rsidRPr="00EA7458">
              <w:rPr>
                <w:rFonts w:ascii="Calibri" w:hAnsi="Calibri"/>
                <w:spacing w:val="10"/>
                <w:w w:val="105"/>
              </w:rPr>
              <w:t xml:space="preserve"> </w:t>
            </w:r>
            <w:r w:rsidR="00A13404">
              <w:rPr>
                <w:rFonts w:ascii="Calibri" w:hAnsi="Calibri"/>
                <w:w w:val="105"/>
              </w:rPr>
              <w:t>s</w:t>
            </w:r>
            <w:r w:rsidRPr="00EA7458">
              <w:rPr>
                <w:rFonts w:ascii="Calibri" w:hAnsi="Calibri"/>
                <w:w w:val="105"/>
              </w:rPr>
              <w:t>tate</w:t>
            </w:r>
            <w:r w:rsidRPr="00EA7458">
              <w:rPr>
                <w:rFonts w:ascii="Calibri" w:hAnsi="Calibri"/>
                <w:spacing w:val="10"/>
                <w:w w:val="105"/>
              </w:rPr>
              <w:t xml:space="preserve"> </w:t>
            </w:r>
            <w:r w:rsidR="005B4A7F">
              <w:rPr>
                <w:rFonts w:ascii="Calibri" w:hAnsi="Calibri"/>
                <w:w w:val="105"/>
              </w:rPr>
              <w:t xml:space="preserve">has </w:t>
            </w:r>
            <w:r w:rsidR="00704208">
              <w:rPr>
                <w:rFonts w:ascii="Calibri" w:hAnsi="Calibri"/>
                <w:w w:val="105"/>
              </w:rPr>
              <w:t xml:space="preserve">established </w:t>
            </w:r>
            <w:r w:rsidRPr="00EA7458">
              <w:rPr>
                <w:rFonts w:ascii="Calibri" w:hAnsi="Calibri"/>
                <w:w w:val="105"/>
              </w:rPr>
              <w:t>a</w:t>
            </w:r>
            <w:r w:rsidRPr="00EA7458">
              <w:rPr>
                <w:rFonts w:ascii="Calibri" w:hAnsi="Calibri"/>
                <w:spacing w:val="10"/>
                <w:w w:val="105"/>
              </w:rPr>
              <w:t xml:space="preserve"> </w:t>
            </w:r>
            <w:r w:rsidRPr="00EA7458">
              <w:rPr>
                <w:rFonts w:ascii="Calibri" w:hAnsi="Calibri"/>
                <w:w w:val="105"/>
              </w:rPr>
              <w:t>written</w:t>
            </w:r>
            <w:r w:rsidRPr="00EA7458">
              <w:rPr>
                <w:rFonts w:ascii="Calibri" w:hAnsi="Calibri"/>
                <w:spacing w:val="10"/>
                <w:w w:val="105"/>
              </w:rPr>
              <w:t xml:space="preserve"> </w:t>
            </w:r>
            <w:r w:rsidRPr="00EA7458">
              <w:rPr>
                <w:rFonts w:ascii="Calibri" w:hAnsi="Calibri"/>
                <w:w w:val="105"/>
              </w:rPr>
              <w:t>policy</w:t>
            </w:r>
            <w:r w:rsidRPr="00EA7458">
              <w:rPr>
                <w:rFonts w:ascii="Calibri" w:hAnsi="Calibri"/>
                <w:spacing w:val="10"/>
                <w:w w:val="105"/>
              </w:rPr>
              <w:t xml:space="preserve"> </w:t>
            </w:r>
            <w:r w:rsidRPr="00EA7458">
              <w:rPr>
                <w:rFonts w:ascii="Calibri" w:hAnsi="Calibri"/>
                <w:w w:val="105"/>
              </w:rPr>
              <w:t>and</w:t>
            </w:r>
            <w:r w:rsidRPr="00EA7458">
              <w:rPr>
                <w:rFonts w:ascii="Calibri" w:hAnsi="Calibri"/>
                <w:spacing w:val="10"/>
                <w:w w:val="105"/>
              </w:rPr>
              <w:t xml:space="preserve"> </w:t>
            </w:r>
            <w:r w:rsidRPr="00EA7458">
              <w:rPr>
                <w:rFonts w:ascii="Calibri" w:hAnsi="Calibri"/>
                <w:w w:val="105"/>
              </w:rPr>
              <w:t>procedure</w:t>
            </w:r>
            <w:r w:rsidRPr="00EA7458">
              <w:rPr>
                <w:rFonts w:ascii="Calibri" w:hAnsi="Calibri"/>
                <w:spacing w:val="10"/>
                <w:w w:val="105"/>
              </w:rPr>
              <w:t xml:space="preserve"> </w:t>
            </w:r>
            <w:r w:rsidR="00704208">
              <w:rPr>
                <w:rFonts w:ascii="Calibri" w:hAnsi="Calibri"/>
                <w:w w:val="105"/>
              </w:rPr>
              <w:t>that set forth</w:t>
            </w:r>
            <w:r w:rsidR="00255F88">
              <w:rPr>
                <w:rFonts w:ascii="Calibri" w:hAnsi="Calibri"/>
                <w:w w:val="105"/>
              </w:rPr>
              <w:t xml:space="preserve"> </w:t>
            </w:r>
            <w:r w:rsidRPr="00EA7458">
              <w:rPr>
                <w:rFonts w:ascii="Calibri" w:hAnsi="Calibri"/>
                <w:w w:val="105"/>
              </w:rPr>
              <w:t>criteria</w:t>
            </w:r>
            <w:r w:rsidRPr="00EA7458">
              <w:rPr>
                <w:rFonts w:ascii="Calibri" w:hAnsi="Calibri"/>
                <w:spacing w:val="10"/>
                <w:w w:val="105"/>
              </w:rPr>
              <w:t xml:space="preserve"> </w:t>
            </w:r>
            <w:r w:rsidRPr="00EA7458">
              <w:rPr>
                <w:rFonts w:ascii="Calibri" w:hAnsi="Calibri"/>
                <w:w w:val="105"/>
              </w:rPr>
              <w:t>to</w:t>
            </w:r>
            <w:r w:rsidRPr="00EA7458">
              <w:rPr>
                <w:rFonts w:ascii="Calibri" w:hAnsi="Calibri"/>
                <w:spacing w:val="10"/>
                <w:w w:val="105"/>
              </w:rPr>
              <w:t xml:space="preserve"> </w:t>
            </w:r>
            <w:r w:rsidRPr="00EA7458">
              <w:rPr>
                <w:rFonts w:ascii="Calibri" w:hAnsi="Calibri"/>
                <w:w w:val="105"/>
              </w:rPr>
              <w:t>be</w:t>
            </w:r>
            <w:r w:rsidRPr="00EA7458">
              <w:rPr>
                <w:rFonts w:ascii="Calibri" w:hAnsi="Calibri"/>
                <w:spacing w:val="10"/>
                <w:w w:val="105"/>
              </w:rPr>
              <w:t xml:space="preserve"> </w:t>
            </w:r>
            <w:r w:rsidRPr="00EA7458">
              <w:rPr>
                <w:rFonts w:ascii="Calibri" w:hAnsi="Calibri"/>
                <w:w w:val="105"/>
              </w:rPr>
              <w:t>used</w:t>
            </w:r>
            <w:r w:rsidRPr="00EA7458">
              <w:rPr>
                <w:rFonts w:ascii="Calibri" w:hAnsi="Calibri"/>
                <w:spacing w:val="10"/>
                <w:w w:val="105"/>
              </w:rPr>
              <w:t xml:space="preserve"> </w:t>
            </w:r>
            <w:r w:rsidRPr="00EA7458">
              <w:rPr>
                <w:rFonts w:ascii="Calibri" w:hAnsi="Calibri"/>
                <w:w w:val="105"/>
              </w:rPr>
              <w:t>by</w:t>
            </w:r>
            <w:r w:rsidRPr="00EA7458">
              <w:rPr>
                <w:rFonts w:ascii="Calibri" w:hAnsi="Calibri"/>
                <w:spacing w:val="10"/>
                <w:w w:val="105"/>
              </w:rPr>
              <w:t xml:space="preserve"> </w:t>
            </w:r>
            <w:r w:rsidRPr="00EA7458">
              <w:rPr>
                <w:rFonts w:ascii="Calibri" w:hAnsi="Calibri"/>
                <w:w w:val="105"/>
              </w:rPr>
              <w:t>chief</w:t>
            </w:r>
            <w:r w:rsidRPr="00EA7458">
              <w:rPr>
                <w:rFonts w:ascii="Calibri" w:hAnsi="Calibri"/>
                <w:w w:val="106"/>
              </w:rPr>
              <w:t xml:space="preserve"> </w:t>
            </w:r>
            <w:r w:rsidRPr="00EA7458">
              <w:rPr>
                <w:rFonts w:ascii="Calibri" w:hAnsi="Calibri"/>
                <w:w w:val="105"/>
              </w:rPr>
              <w:t>elected officials for the appointment of local workforce investment board members;</w:t>
            </w:r>
          </w:p>
        </w:tc>
      </w:tr>
      <w:tr w:rsidR="00EA7458" w:rsidRPr="00EA7458" w14:paraId="6BFB5746" w14:textId="77777777" w:rsidTr="00E65FFA">
        <w:trPr>
          <w:trHeight w:hRule="exact" w:val="598"/>
        </w:trPr>
        <w:tc>
          <w:tcPr>
            <w:tcW w:w="516" w:type="dxa"/>
            <w:tcBorders>
              <w:top w:val="single" w:sz="2" w:space="0" w:color="231F20"/>
              <w:left w:val="single" w:sz="2" w:space="0" w:color="231F20"/>
              <w:bottom w:val="single" w:sz="2" w:space="0" w:color="231F20"/>
              <w:right w:val="single" w:sz="2" w:space="0" w:color="231F20"/>
            </w:tcBorders>
          </w:tcPr>
          <w:p w14:paraId="1546F29A" w14:textId="77777777" w:rsidR="00EA7458" w:rsidRPr="00EA7458" w:rsidRDefault="00EA7458" w:rsidP="00EA7458">
            <w:pPr>
              <w:widowControl w:val="0"/>
              <w:spacing w:before="174" w:after="0" w:line="240" w:lineRule="auto"/>
              <w:ind w:left="168"/>
              <w:rPr>
                <w:rFonts w:ascii="Calibri" w:hAnsi="Calibri" w:cs="Calibri"/>
              </w:rPr>
            </w:pPr>
            <w:r w:rsidRPr="00EA7458">
              <w:rPr>
                <w:rFonts w:ascii="Calibri" w:hAnsi="Calibri"/>
                <w:color w:val="231F20"/>
                <w:w w:val="105"/>
              </w:rPr>
              <w:t>4.</w:t>
            </w:r>
          </w:p>
        </w:tc>
        <w:tc>
          <w:tcPr>
            <w:tcW w:w="9703" w:type="dxa"/>
            <w:tcBorders>
              <w:top w:val="single" w:sz="2" w:space="0" w:color="231F20"/>
              <w:left w:val="single" w:sz="2" w:space="0" w:color="231F20"/>
              <w:bottom w:val="single" w:sz="2" w:space="0" w:color="231F20"/>
              <w:right w:val="single" w:sz="2" w:space="0" w:color="231F20"/>
            </w:tcBorders>
          </w:tcPr>
          <w:p w14:paraId="5DD5BE88" w14:textId="1AFE6BDB" w:rsidR="00EA7458" w:rsidRPr="00EA7458" w:rsidRDefault="00EA7458" w:rsidP="00D63204">
            <w:pPr>
              <w:widowControl w:val="0"/>
              <w:spacing w:before="40" w:after="0" w:line="264" w:lineRule="exact"/>
              <w:ind w:left="77" w:right="275"/>
              <w:rPr>
                <w:rFonts w:ascii="Calibri" w:hAnsi="Calibri" w:cs="Calibri"/>
              </w:rPr>
            </w:pPr>
            <w:r w:rsidRPr="00EA7458">
              <w:rPr>
                <w:rFonts w:ascii="Calibri" w:hAnsi="Calibri"/>
                <w:color w:val="231F20"/>
                <w:w w:val="110"/>
              </w:rPr>
              <w:t>The</w:t>
            </w:r>
            <w:r w:rsidRPr="00EA7458">
              <w:rPr>
                <w:rFonts w:ascii="Calibri" w:hAnsi="Calibri"/>
                <w:color w:val="231F20"/>
                <w:spacing w:val="-19"/>
                <w:w w:val="110"/>
              </w:rPr>
              <w:t xml:space="preserve"> </w:t>
            </w:r>
            <w:r w:rsidR="009936E7">
              <w:rPr>
                <w:rFonts w:ascii="Calibri" w:hAnsi="Calibri"/>
                <w:color w:val="231F20"/>
                <w:spacing w:val="-19"/>
                <w:w w:val="110"/>
              </w:rPr>
              <w:t>s</w:t>
            </w:r>
            <w:r w:rsidRPr="00EA7458">
              <w:rPr>
                <w:rFonts w:ascii="Calibri" w:hAnsi="Calibri"/>
                <w:color w:val="231F20"/>
                <w:w w:val="110"/>
              </w:rPr>
              <w:t>tate</w:t>
            </w:r>
            <w:r w:rsidRPr="00EA7458">
              <w:rPr>
                <w:rFonts w:ascii="Calibri" w:hAnsi="Calibri"/>
                <w:color w:val="231F20"/>
                <w:spacing w:val="-19"/>
                <w:w w:val="110"/>
              </w:rPr>
              <w:t xml:space="preserve"> </w:t>
            </w:r>
            <w:r w:rsidRPr="00EA7458">
              <w:rPr>
                <w:rFonts w:ascii="Calibri" w:hAnsi="Calibri"/>
                <w:color w:val="231F20"/>
                <w:w w:val="110"/>
              </w:rPr>
              <w:t>established</w:t>
            </w:r>
            <w:r w:rsidRPr="00EA7458">
              <w:rPr>
                <w:rFonts w:ascii="Calibri" w:hAnsi="Calibri"/>
                <w:color w:val="231F20"/>
                <w:spacing w:val="-19"/>
                <w:w w:val="110"/>
              </w:rPr>
              <w:t xml:space="preserve"> </w:t>
            </w:r>
            <w:r w:rsidRPr="00EA7458">
              <w:rPr>
                <w:rFonts w:ascii="Calibri" w:hAnsi="Calibri"/>
                <w:color w:val="231F20"/>
                <w:w w:val="110"/>
              </w:rPr>
              <w:t>written</w:t>
            </w:r>
            <w:r w:rsidRPr="00EA7458">
              <w:rPr>
                <w:rFonts w:ascii="Calibri" w:hAnsi="Calibri"/>
                <w:color w:val="231F20"/>
                <w:spacing w:val="-19"/>
                <w:w w:val="110"/>
              </w:rPr>
              <w:t xml:space="preserve"> </w:t>
            </w:r>
            <w:r w:rsidRPr="00EA7458">
              <w:rPr>
                <w:rFonts w:ascii="Calibri" w:hAnsi="Calibri"/>
                <w:color w:val="231F20"/>
                <w:w w:val="110"/>
              </w:rPr>
              <w:t>policy</w:t>
            </w:r>
            <w:r w:rsidRPr="00EA7458">
              <w:rPr>
                <w:rFonts w:ascii="Calibri" w:hAnsi="Calibri"/>
                <w:color w:val="231F20"/>
                <w:spacing w:val="-19"/>
                <w:w w:val="110"/>
              </w:rPr>
              <w:t xml:space="preserve"> </w:t>
            </w:r>
            <w:r w:rsidRPr="00EA7458">
              <w:rPr>
                <w:rFonts w:ascii="Calibri" w:hAnsi="Calibri"/>
                <w:color w:val="231F20"/>
                <w:w w:val="110"/>
              </w:rPr>
              <w:t>and</w:t>
            </w:r>
            <w:r w:rsidRPr="00EA7458">
              <w:rPr>
                <w:rFonts w:ascii="Calibri" w:hAnsi="Calibri"/>
                <w:color w:val="231F20"/>
                <w:spacing w:val="-19"/>
                <w:w w:val="110"/>
              </w:rPr>
              <w:t xml:space="preserve"> </w:t>
            </w:r>
            <w:r w:rsidRPr="00EA7458">
              <w:rPr>
                <w:rFonts w:ascii="Calibri" w:hAnsi="Calibri"/>
                <w:color w:val="231F20"/>
                <w:w w:val="110"/>
              </w:rPr>
              <w:t>procedures</w:t>
            </w:r>
            <w:r w:rsidRPr="00EA7458">
              <w:rPr>
                <w:rFonts w:ascii="Calibri" w:hAnsi="Calibri"/>
                <w:color w:val="231F20"/>
                <w:spacing w:val="-19"/>
                <w:w w:val="110"/>
              </w:rPr>
              <w:t xml:space="preserve"> </w:t>
            </w:r>
            <w:r w:rsidR="00255F88">
              <w:rPr>
                <w:rFonts w:ascii="Calibri" w:hAnsi="Calibri"/>
                <w:color w:val="231F20"/>
                <w:w w:val="110"/>
              </w:rPr>
              <w:t xml:space="preserve">ensuring </w:t>
            </w:r>
            <w:r w:rsidRPr="00EA7458">
              <w:rPr>
                <w:rFonts w:ascii="Calibri" w:hAnsi="Calibri"/>
                <w:color w:val="231F20"/>
                <w:w w:val="110"/>
              </w:rPr>
              <w:t>local</w:t>
            </w:r>
            <w:r w:rsidRPr="00EA7458">
              <w:rPr>
                <w:rFonts w:ascii="Calibri" w:hAnsi="Calibri"/>
                <w:color w:val="231F20"/>
                <w:spacing w:val="-19"/>
                <w:w w:val="110"/>
              </w:rPr>
              <w:t xml:space="preserve"> </w:t>
            </w:r>
            <w:r w:rsidRPr="00EA7458">
              <w:rPr>
                <w:rFonts w:ascii="Calibri" w:hAnsi="Calibri"/>
                <w:color w:val="231F20"/>
                <w:w w:val="110"/>
              </w:rPr>
              <w:t>workforce</w:t>
            </w:r>
            <w:r w:rsidRPr="00EA7458">
              <w:rPr>
                <w:rFonts w:ascii="Calibri" w:hAnsi="Calibri"/>
                <w:color w:val="231F20"/>
                <w:spacing w:val="-19"/>
                <w:w w:val="110"/>
              </w:rPr>
              <w:t xml:space="preserve"> </w:t>
            </w:r>
            <w:r w:rsidRPr="00EA7458">
              <w:rPr>
                <w:rFonts w:ascii="Calibri" w:hAnsi="Calibri"/>
                <w:color w:val="231F20"/>
                <w:w w:val="110"/>
              </w:rPr>
              <w:t>investment</w:t>
            </w:r>
            <w:r w:rsidRPr="00EA7458">
              <w:rPr>
                <w:rFonts w:ascii="Calibri" w:hAnsi="Calibri"/>
                <w:color w:val="231F20"/>
                <w:spacing w:val="-19"/>
                <w:w w:val="110"/>
              </w:rPr>
              <w:t xml:space="preserve"> </w:t>
            </w:r>
            <w:r w:rsidRPr="00EA7458">
              <w:rPr>
                <w:rFonts w:ascii="Calibri" w:hAnsi="Calibri"/>
                <w:color w:val="231F20"/>
                <w:w w:val="110"/>
              </w:rPr>
              <w:t>boards</w:t>
            </w:r>
            <w:r w:rsidRPr="00EA7458">
              <w:rPr>
                <w:rFonts w:ascii="Calibri" w:hAnsi="Calibri"/>
                <w:color w:val="231F20"/>
                <w:w w:val="108"/>
              </w:rPr>
              <w:t xml:space="preserve"> </w:t>
            </w:r>
            <w:r w:rsidRPr="00EA7458">
              <w:rPr>
                <w:rFonts w:ascii="Calibri" w:hAnsi="Calibri"/>
                <w:color w:val="231F20"/>
                <w:w w:val="110"/>
              </w:rPr>
              <w:t>are</w:t>
            </w:r>
            <w:r w:rsidRPr="00EA7458">
              <w:rPr>
                <w:rFonts w:ascii="Calibri" w:hAnsi="Calibri"/>
                <w:color w:val="231F20"/>
                <w:spacing w:val="-23"/>
                <w:w w:val="110"/>
              </w:rPr>
              <w:t xml:space="preserve"> </w:t>
            </w:r>
            <w:r w:rsidRPr="00EA7458">
              <w:rPr>
                <w:rFonts w:ascii="Calibri" w:hAnsi="Calibri"/>
                <w:color w:val="231F20"/>
                <w:w w:val="110"/>
              </w:rPr>
              <w:t>certified</w:t>
            </w:r>
            <w:r w:rsidRPr="00EA7458">
              <w:rPr>
                <w:rFonts w:ascii="Calibri" w:hAnsi="Calibri"/>
                <w:color w:val="231F20"/>
                <w:spacing w:val="-23"/>
                <w:w w:val="110"/>
              </w:rPr>
              <w:t xml:space="preserve"> </w:t>
            </w:r>
            <w:r w:rsidRPr="00EA7458">
              <w:rPr>
                <w:rFonts w:ascii="Calibri" w:hAnsi="Calibri"/>
                <w:color w:val="231F20"/>
                <w:w w:val="110"/>
              </w:rPr>
              <w:t>by</w:t>
            </w:r>
            <w:r w:rsidRPr="00EA7458">
              <w:rPr>
                <w:rFonts w:ascii="Calibri" w:hAnsi="Calibri"/>
                <w:color w:val="231F20"/>
                <w:spacing w:val="-23"/>
                <w:w w:val="110"/>
              </w:rPr>
              <w:t xml:space="preserve"> </w:t>
            </w:r>
            <w:r w:rsidRPr="00EA7458">
              <w:rPr>
                <w:rFonts w:ascii="Calibri" w:hAnsi="Calibri"/>
                <w:color w:val="231F20"/>
                <w:w w:val="110"/>
              </w:rPr>
              <w:t>the</w:t>
            </w:r>
            <w:r w:rsidRPr="00EA7458">
              <w:rPr>
                <w:rFonts w:ascii="Calibri" w:hAnsi="Calibri"/>
                <w:color w:val="231F20"/>
                <w:spacing w:val="-23"/>
                <w:w w:val="110"/>
              </w:rPr>
              <w:t xml:space="preserve"> </w:t>
            </w:r>
            <w:r w:rsidRPr="00EA7458">
              <w:rPr>
                <w:rFonts w:ascii="Calibri" w:hAnsi="Calibri"/>
                <w:color w:val="231F20"/>
                <w:w w:val="110"/>
              </w:rPr>
              <w:t>governor</w:t>
            </w:r>
            <w:r w:rsidRPr="00EA7458">
              <w:rPr>
                <w:rFonts w:ascii="Calibri" w:hAnsi="Calibri"/>
                <w:color w:val="231F20"/>
                <w:spacing w:val="-23"/>
                <w:w w:val="110"/>
              </w:rPr>
              <w:t xml:space="preserve"> </w:t>
            </w:r>
            <w:r w:rsidRPr="00EA7458">
              <w:rPr>
                <w:rFonts w:ascii="Calibri" w:hAnsi="Calibri"/>
                <w:color w:val="231F20"/>
                <w:w w:val="110"/>
              </w:rPr>
              <w:t>every</w:t>
            </w:r>
            <w:r w:rsidRPr="00EA7458">
              <w:rPr>
                <w:rFonts w:ascii="Calibri" w:hAnsi="Calibri"/>
                <w:color w:val="231F20"/>
                <w:spacing w:val="-23"/>
                <w:w w:val="110"/>
              </w:rPr>
              <w:t xml:space="preserve"> </w:t>
            </w:r>
            <w:r w:rsidRPr="00EA7458">
              <w:rPr>
                <w:rFonts w:ascii="Calibri" w:hAnsi="Calibri"/>
                <w:color w:val="231F20"/>
                <w:w w:val="110"/>
              </w:rPr>
              <w:t>two</w:t>
            </w:r>
            <w:r w:rsidRPr="00EA7458">
              <w:rPr>
                <w:rFonts w:ascii="Calibri" w:hAnsi="Calibri"/>
                <w:color w:val="231F20"/>
                <w:spacing w:val="-23"/>
                <w:w w:val="110"/>
              </w:rPr>
              <w:t xml:space="preserve"> </w:t>
            </w:r>
            <w:r w:rsidRPr="00EA7458">
              <w:rPr>
                <w:rFonts w:ascii="Calibri" w:hAnsi="Calibri"/>
                <w:color w:val="231F20"/>
                <w:w w:val="110"/>
              </w:rPr>
              <w:t>years</w:t>
            </w:r>
            <w:r w:rsidRPr="00EA7458">
              <w:rPr>
                <w:rFonts w:ascii="Calibri" w:hAnsi="Calibri"/>
                <w:color w:val="231F20"/>
                <w:spacing w:val="-23"/>
                <w:w w:val="110"/>
              </w:rPr>
              <w:t xml:space="preserve"> </w:t>
            </w:r>
            <w:r w:rsidRPr="00EA7458">
              <w:rPr>
                <w:rFonts w:ascii="Calibri" w:hAnsi="Calibri"/>
                <w:color w:val="231F20"/>
                <w:w w:val="110"/>
              </w:rPr>
              <w:t>in</w:t>
            </w:r>
            <w:r w:rsidRPr="00EA7458">
              <w:rPr>
                <w:rFonts w:ascii="Calibri" w:hAnsi="Calibri"/>
                <w:color w:val="231F20"/>
                <w:spacing w:val="-23"/>
                <w:w w:val="110"/>
              </w:rPr>
              <w:t xml:space="preserve"> </w:t>
            </w:r>
            <w:r w:rsidRPr="00EA7458">
              <w:rPr>
                <w:rFonts w:ascii="Calibri" w:hAnsi="Calibri"/>
                <w:color w:val="231F20"/>
                <w:w w:val="110"/>
              </w:rPr>
              <w:t>accordance</w:t>
            </w:r>
            <w:r w:rsidRPr="00EA7458">
              <w:rPr>
                <w:rFonts w:ascii="Calibri" w:hAnsi="Calibri"/>
                <w:color w:val="231F20"/>
                <w:spacing w:val="-23"/>
                <w:w w:val="110"/>
              </w:rPr>
              <w:t xml:space="preserve"> </w:t>
            </w:r>
            <w:r w:rsidRPr="00EA7458">
              <w:rPr>
                <w:rFonts w:ascii="Calibri" w:hAnsi="Calibri"/>
                <w:color w:val="231F20"/>
                <w:w w:val="110"/>
              </w:rPr>
              <w:t>with</w:t>
            </w:r>
            <w:r w:rsidRPr="00EA7458">
              <w:rPr>
                <w:rFonts w:ascii="Calibri" w:hAnsi="Calibri"/>
                <w:color w:val="231F20"/>
                <w:spacing w:val="-23"/>
                <w:w w:val="110"/>
              </w:rPr>
              <w:t xml:space="preserve"> </w:t>
            </w:r>
            <w:r w:rsidRPr="00EA7458">
              <w:rPr>
                <w:rFonts w:ascii="Calibri" w:hAnsi="Calibri"/>
                <w:color w:val="231F20"/>
                <w:spacing w:val="-3"/>
                <w:w w:val="110"/>
              </w:rPr>
              <w:t>WIOA</w:t>
            </w:r>
            <w:r w:rsidRPr="00EA7458">
              <w:rPr>
                <w:rFonts w:ascii="Calibri" w:hAnsi="Calibri"/>
                <w:color w:val="231F20"/>
                <w:spacing w:val="-23"/>
                <w:w w:val="110"/>
              </w:rPr>
              <w:t xml:space="preserve"> </w:t>
            </w:r>
            <w:r w:rsidRPr="00EA7458">
              <w:rPr>
                <w:rFonts w:ascii="Calibri" w:hAnsi="Calibri"/>
                <w:color w:val="231F20"/>
                <w:w w:val="110"/>
              </w:rPr>
              <w:t>section</w:t>
            </w:r>
            <w:r w:rsidRPr="00EA7458">
              <w:rPr>
                <w:rFonts w:ascii="Calibri" w:hAnsi="Calibri"/>
                <w:color w:val="231F20"/>
                <w:spacing w:val="-23"/>
                <w:w w:val="110"/>
              </w:rPr>
              <w:t xml:space="preserve"> </w:t>
            </w:r>
            <w:r w:rsidRPr="00EA7458">
              <w:rPr>
                <w:rFonts w:ascii="Calibri" w:hAnsi="Calibri"/>
                <w:color w:val="231F20"/>
                <w:w w:val="110"/>
              </w:rPr>
              <w:t>107(c)(2);</w:t>
            </w:r>
          </w:p>
        </w:tc>
      </w:tr>
      <w:tr w:rsidR="00EA7458" w:rsidRPr="00EA7458" w14:paraId="2BCC429E" w14:textId="77777777" w:rsidTr="00E65FFA">
        <w:trPr>
          <w:trHeight w:hRule="exact" w:val="862"/>
        </w:trPr>
        <w:tc>
          <w:tcPr>
            <w:tcW w:w="516" w:type="dxa"/>
            <w:tcBorders>
              <w:top w:val="single" w:sz="2" w:space="0" w:color="231F20"/>
              <w:left w:val="single" w:sz="2" w:space="0" w:color="231F20"/>
              <w:bottom w:val="single" w:sz="2" w:space="0" w:color="231F20"/>
              <w:right w:val="single" w:sz="2" w:space="0" w:color="231F20"/>
            </w:tcBorders>
            <w:shd w:val="clear" w:color="auto" w:fill="E6E7E8"/>
          </w:tcPr>
          <w:p w14:paraId="244FF98A" w14:textId="77777777" w:rsidR="00EA7458" w:rsidRPr="00EA7458" w:rsidRDefault="00EA7458" w:rsidP="00EA7458">
            <w:pPr>
              <w:widowControl w:val="0"/>
              <w:spacing w:before="1" w:after="0" w:line="240" w:lineRule="auto"/>
              <w:rPr>
                <w:rFonts w:ascii="Calibri" w:hAnsi="Calibri" w:cs="Calibri"/>
                <w:b/>
                <w:bCs/>
                <w:sz w:val="25"/>
                <w:szCs w:val="25"/>
              </w:rPr>
            </w:pPr>
          </w:p>
          <w:p w14:paraId="2B24E632" w14:textId="77777777" w:rsidR="00EA7458" w:rsidRPr="00EA7458" w:rsidRDefault="00EA7458" w:rsidP="00EA7458">
            <w:pPr>
              <w:widowControl w:val="0"/>
              <w:spacing w:after="0" w:line="240" w:lineRule="auto"/>
              <w:ind w:left="165"/>
              <w:rPr>
                <w:rFonts w:ascii="Calibri" w:hAnsi="Calibri" w:cs="Calibri"/>
              </w:rPr>
            </w:pPr>
            <w:r w:rsidRPr="00EA7458">
              <w:rPr>
                <w:rFonts w:ascii="Calibri" w:hAnsi="Calibri"/>
                <w:color w:val="231F20"/>
                <w:w w:val="110"/>
              </w:rPr>
              <w:t>5.</w:t>
            </w:r>
          </w:p>
        </w:tc>
        <w:tc>
          <w:tcPr>
            <w:tcW w:w="9703" w:type="dxa"/>
            <w:tcBorders>
              <w:top w:val="single" w:sz="2" w:space="0" w:color="231F20"/>
              <w:left w:val="single" w:sz="2" w:space="0" w:color="231F20"/>
              <w:bottom w:val="single" w:sz="2" w:space="0" w:color="231F20"/>
              <w:right w:val="single" w:sz="2" w:space="0" w:color="231F20"/>
            </w:tcBorders>
            <w:shd w:val="clear" w:color="auto" w:fill="E6E7E8"/>
          </w:tcPr>
          <w:p w14:paraId="419FD572" w14:textId="66F1E7F8" w:rsidR="00EA7458" w:rsidRPr="00EA7458" w:rsidRDefault="00EA7458" w:rsidP="00D63204">
            <w:pPr>
              <w:widowControl w:val="0"/>
              <w:spacing w:before="40" w:after="0" w:line="264" w:lineRule="exact"/>
              <w:ind w:left="77" w:right="213"/>
              <w:rPr>
                <w:rFonts w:ascii="Calibri" w:hAnsi="Calibri" w:cs="Calibri"/>
              </w:rPr>
            </w:pPr>
            <w:r w:rsidRPr="00EA7458">
              <w:rPr>
                <w:rFonts w:ascii="Calibri" w:hAnsi="Calibri"/>
                <w:color w:val="231F20"/>
                <w:w w:val="105"/>
              </w:rPr>
              <w:t>Where</w:t>
            </w:r>
            <w:r w:rsidRPr="00EA7458">
              <w:rPr>
                <w:rFonts w:ascii="Calibri" w:hAnsi="Calibri"/>
                <w:color w:val="231F20"/>
                <w:spacing w:val="6"/>
                <w:w w:val="105"/>
              </w:rPr>
              <w:t xml:space="preserve"> </w:t>
            </w:r>
            <w:r w:rsidRPr="00EA7458">
              <w:rPr>
                <w:rFonts w:ascii="Calibri" w:hAnsi="Calibri"/>
                <w:color w:val="231F20"/>
                <w:w w:val="105"/>
              </w:rPr>
              <w:t>an</w:t>
            </w:r>
            <w:r w:rsidRPr="00EA7458">
              <w:rPr>
                <w:rFonts w:ascii="Calibri" w:hAnsi="Calibri"/>
                <w:color w:val="231F20"/>
                <w:spacing w:val="6"/>
                <w:w w:val="105"/>
              </w:rPr>
              <w:t xml:space="preserve"> </w:t>
            </w:r>
            <w:r w:rsidRPr="00EA7458">
              <w:rPr>
                <w:rFonts w:ascii="Calibri" w:hAnsi="Calibri"/>
                <w:color w:val="231F20"/>
                <w:w w:val="105"/>
              </w:rPr>
              <w:t>alternative</w:t>
            </w:r>
            <w:r w:rsidRPr="00EA7458">
              <w:rPr>
                <w:rFonts w:ascii="Calibri" w:hAnsi="Calibri"/>
                <w:color w:val="231F20"/>
                <w:spacing w:val="6"/>
                <w:w w:val="105"/>
              </w:rPr>
              <w:t xml:space="preserve"> </w:t>
            </w:r>
            <w:r w:rsidRPr="00EA7458">
              <w:rPr>
                <w:rFonts w:ascii="Calibri" w:hAnsi="Calibri"/>
                <w:color w:val="231F20"/>
                <w:w w:val="105"/>
              </w:rPr>
              <w:t>entity</w:t>
            </w:r>
            <w:r w:rsidRPr="00EA7458">
              <w:rPr>
                <w:rFonts w:ascii="Calibri" w:hAnsi="Calibri"/>
                <w:color w:val="231F20"/>
                <w:spacing w:val="6"/>
                <w:w w:val="105"/>
              </w:rPr>
              <w:t xml:space="preserve"> </w:t>
            </w:r>
            <w:r w:rsidRPr="00EA7458">
              <w:rPr>
                <w:rFonts w:ascii="Calibri" w:hAnsi="Calibri"/>
                <w:color w:val="231F20"/>
                <w:w w:val="105"/>
              </w:rPr>
              <w:t>takes</w:t>
            </w:r>
            <w:r w:rsidRPr="00EA7458">
              <w:rPr>
                <w:rFonts w:ascii="Calibri" w:hAnsi="Calibri"/>
                <w:color w:val="231F20"/>
                <w:spacing w:val="6"/>
                <w:w w:val="105"/>
              </w:rPr>
              <w:t xml:space="preserve"> </w:t>
            </w:r>
            <w:r w:rsidRPr="00EA7458">
              <w:rPr>
                <w:rFonts w:ascii="Calibri" w:hAnsi="Calibri"/>
                <w:color w:val="231F20"/>
                <w:w w:val="105"/>
              </w:rPr>
              <w:t>the</w:t>
            </w:r>
            <w:r w:rsidRPr="00EA7458">
              <w:rPr>
                <w:rFonts w:ascii="Calibri" w:hAnsi="Calibri"/>
                <w:color w:val="231F20"/>
                <w:spacing w:val="6"/>
                <w:w w:val="105"/>
              </w:rPr>
              <w:t xml:space="preserve"> </w:t>
            </w:r>
            <w:r w:rsidRPr="00EA7458">
              <w:rPr>
                <w:rFonts w:ascii="Calibri" w:hAnsi="Calibri"/>
                <w:color w:val="231F20"/>
                <w:w w:val="105"/>
              </w:rPr>
              <w:t>place</w:t>
            </w:r>
            <w:r w:rsidRPr="00EA7458">
              <w:rPr>
                <w:rFonts w:ascii="Calibri" w:hAnsi="Calibri"/>
                <w:color w:val="231F20"/>
                <w:spacing w:val="6"/>
                <w:w w:val="105"/>
              </w:rPr>
              <w:t xml:space="preserve"> </w:t>
            </w:r>
            <w:r w:rsidRPr="00EA7458">
              <w:rPr>
                <w:rFonts w:ascii="Calibri" w:hAnsi="Calibri"/>
                <w:color w:val="231F20"/>
                <w:w w:val="105"/>
              </w:rPr>
              <w:t>of</w:t>
            </w:r>
            <w:r w:rsidRPr="00EA7458">
              <w:rPr>
                <w:rFonts w:ascii="Calibri" w:hAnsi="Calibri"/>
                <w:color w:val="231F20"/>
                <w:spacing w:val="6"/>
                <w:w w:val="105"/>
              </w:rPr>
              <w:t xml:space="preserve"> </w:t>
            </w:r>
            <w:r w:rsidRPr="00EA7458">
              <w:rPr>
                <w:rFonts w:ascii="Calibri" w:hAnsi="Calibri"/>
                <w:color w:val="231F20"/>
                <w:w w:val="105"/>
              </w:rPr>
              <w:t>a</w:t>
            </w:r>
            <w:r w:rsidRPr="00EA7458">
              <w:rPr>
                <w:rFonts w:ascii="Calibri" w:hAnsi="Calibri"/>
                <w:color w:val="231F20"/>
                <w:spacing w:val="6"/>
                <w:w w:val="105"/>
              </w:rPr>
              <w:t xml:space="preserve"> </w:t>
            </w:r>
            <w:r w:rsidR="009936E7">
              <w:rPr>
                <w:rFonts w:ascii="Calibri" w:hAnsi="Calibri"/>
                <w:color w:val="231F20"/>
                <w:w w:val="105"/>
              </w:rPr>
              <w:t>s</w:t>
            </w:r>
            <w:r w:rsidRPr="00EA7458">
              <w:rPr>
                <w:rFonts w:ascii="Calibri" w:hAnsi="Calibri"/>
                <w:color w:val="231F20"/>
                <w:w w:val="105"/>
              </w:rPr>
              <w:t>tate</w:t>
            </w:r>
            <w:r w:rsidRPr="00EA7458">
              <w:rPr>
                <w:rFonts w:ascii="Calibri" w:hAnsi="Calibri"/>
                <w:color w:val="231F20"/>
                <w:spacing w:val="6"/>
                <w:w w:val="105"/>
              </w:rPr>
              <w:t xml:space="preserve"> </w:t>
            </w:r>
            <w:r w:rsidR="009936E7">
              <w:rPr>
                <w:rFonts w:ascii="Calibri" w:hAnsi="Calibri"/>
                <w:color w:val="231F20"/>
                <w:w w:val="105"/>
              </w:rPr>
              <w:t>b</w:t>
            </w:r>
            <w:r w:rsidRPr="00EA7458">
              <w:rPr>
                <w:rFonts w:ascii="Calibri" w:hAnsi="Calibri"/>
                <w:color w:val="231F20"/>
                <w:w w:val="105"/>
              </w:rPr>
              <w:t>oard,</w:t>
            </w:r>
            <w:r w:rsidRPr="00EA7458">
              <w:rPr>
                <w:rFonts w:ascii="Calibri" w:hAnsi="Calibri"/>
                <w:color w:val="231F20"/>
                <w:spacing w:val="6"/>
                <w:w w:val="105"/>
              </w:rPr>
              <w:t xml:space="preserve"> </w:t>
            </w:r>
            <w:r w:rsidRPr="00EA7458">
              <w:rPr>
                <w:rFonts w:ascii="Calibri" w:hAnsi="Calibri"/>
                <w:color w:val="231F20"/>
                <w:w w:val="105"/>
              </w:rPr>
              <w:t>the</w:t>
            </w:r>
            <w:r w:rsidRPr="00EA7458">
              <w:rPr>
                <w:rFonts w:ascii="Calibri" w:hAnsi="Calibri"/>
                <w:color w:val="231F20"/>
                <w:spacing w:val="6"/>
                <w:w w:val="105"/>
              </w:rPr>
              <w:t xml:space="preserve"> </w:t>
            </w:r>
            <w:r w:rsidR="009936E7">
              <w:rPr>
                <w:rFonts w:ascii="Calibri" w:hAnsi="Calibri"/>
                <w:color w:val="231F20"/>
                <w:w w:val="105"/>
              </w:rPr>
              <w:t>s</w:t>
            </w:r>
            <w:r w:rsidRPr="00EA7458">
              <w:rPr>
                <w:rFonts w:ascii="Calibri" w:hAnsi="Calibri"/>
                <w:color w:val="231F20"/>
                <w:w w:val="105"/>
              </w:rPr>
              <w:t>tate</w:t>
            </w:r>
            <w:r w:rsidRPr="00EA7458">
              <w:rPr>
                <w:rFonts w:ascii="Calibri" w:hAnsi="Calibri"/>
                <w:color w:val="231F20"/>
                <w:spacing w:val="6"/>
                <w:w w:val="105"/>
              </w:rPr>
              <w:t xml:space="preserve"> </w:t>
            </w:r>
            <w:r w:rsidRPr="00EA7458">
              <w:rPr>
                <w:rFonts w:ascii="Calibri" w:hAnsi="Calibri"/>
                <w:color w:val="231F20"/>
                <w:w w:val="105"/>
              </w:rPr>
              <w:t>has</w:t>
            </w:r>
            <w:r w:rsidRPr="00EA7458">
              <w:rPr>
                <w:rFonts w:ascii="Calibri" w:hAnsi="Calibri"/>
                <w:color w:val="231F20"/>
                <w:spacing w:val="6"/>
                <w:w w:val="105"/>
              </w:rPr>
              <w:t xml:space="preserve"> </w:t>
            </w:r>
            <w:r w:rsidRPr="00EA7458">
              <w:rPr>
                <w:rFonts w:ascii="Calibri" w:hAnsi="Calibri"/>
                <w:color w:val="231F20"/>
                <w:w w:val="105"/>
              </w:rPr>
              <w:t>written</w:t>
            </w:r>
            <w:r w:rsidRPr="00EA7458">
              <w:rPr>
                <w:rFonts w:ascii="Calibri" w:hAnsi="Calibri"/>
                <w:color w:val="231F20"/>
                <w:spacing w:val="6"/>
                <w:w w:val="105"/>
              </w:rPr>
              <w:t xml:space="preserve"> </w:t>
            </w:r>
            <w:r w:rsidRPr="00EA7458">
              <w:rPr>
                <w:rFonts w:ascii="Calibri" w:hAnsi="Calibri"/>
                <w:color w:val="231F20"/>
                <w:w w:val="105"/>
              </w:rPr>
              <w:t>policy</w:t>
            </w:r>
            <w:r w:rsidRPr="00EA7458">
              <w:rPr>
                <w:rFonts w:ascii="Calibri" w:hAnsi="Calibri"/>
                <w:color w:val="231F20"/>
                <w:spacing w:val="6"/>
                <w:w w:val="105"/>
              </w:rPr>
              <w:t xml:space="preserve"> </w:t>
            </w:r>
            <w:r w:rsidRPr="00EA7458">
              <w:rPr>
                <w:rFonts w:ascii="Calibri" w:hAnsi="Calibri"/>
                <w:color w:val="231F20"/>
                <w:w w:val="105"/>
              </w:rPr>
              <w:t>and</w:t>
            </w:r>
            <w:r w:rsidRPr="00EA7458">
              <w:rPr>
                <w:rFonts w:ascii="Calibri" w:hAnsi="Calibri"/>
                <w:color w:val="231F20"/>
                <w:spacing w:val="-30"/>
                <w:w w:val="105"/>
              </w:rPr>
              <w:t xml:space="preserve"> </w:t>
            </w:r>
            <w:r w:rsidRPr="00EA7458">
              <w:rPr>
                <w:rFonts w:ascii="Calibri" w:hAnsi="Calibri"/>
                <w:color w:val="231F20"/>
                <w:w w:val="105"/>
              </w:rPr>
              <w:t xml:space="preserve">procedures </w:t>
            </w:r>
            <w:r w:rsidR="00255F88">
              <w:rPr>
                <w:rFonts w:ascii="Calibri" w:hAnsi="Calibri"/>
                <w:color w:val="231F20"/>
                <w:w w:val="105"/>
              </w:rPr>
              <w:t xml:space="preserve">ensuring </w:t>
            </w:r>
            <w:r w:rsidRPr="00EA7458">
              <w:rPr>
                <w:rFonts w:ascii="Calibri" w:hAnsi="Calibri"/>
                <w:color w:val="231F20"/>
                <w:w w:val="105"/>
              </w:rPr>
              <w:t xml:space="preserve">the alternative entity meets the definition under </w:t>
            </w:r>
            <w:r w:rsidRPr="00EA7458">
              <w:rPr>
                <w:rFonts w:ascii="Calibri" w:hAnsi="Calibri"/>
                <w:color w:val="231F20"/>
                <w:spacing w:val="-3"/>
                <w:w w:val="105"/>
              </w:rPr>
              <w:t xml:space="preserve">WIOA </w:t>
            </w:r>
            <w:r w:rsidRPr="00EA7458">
              <w:rPr>
                <w:rFonts w:ascii="Calibri" w:hAnsi="Calibri"/>
                <w:color w:val="231F20"/>
                <w:w w:val="105"/>
              </w:rPr>
              <w:t>section 101(e) and</w:t>
            </w:r>
            <w:r w:rsidRPr="00EA7458">
              <w:rPr>
                <w:rFonts w:ascii="Calibri" w:hAnsi="Calibri"/>
                <w:color w:val="231F20"/>
                <w:spacing w:val="36"/>
                <w:w w:val="105"/>
              </w:rPr>
              <w:t xml:space="preserve"> </w:t>
            </w:r>
            <w:r w:rsidRPr="00EA7458">
              <w:rPr>
                <w:rFonts w:ascii="Calibri" w:hAnsi="Calibri"/>
                <w:color w:val="231F20"/>
                <w:w w:val="105"/>
              </w:rPr>
              <w:t>the</w:t>
            </w:r>
            <w:r w:rsidRPr="00EA7458">
              <w:rPr>
                <w:rFonts w:ascii="Calibri" w:hAnsi="Calibri"/>
                <w:color w:val="231F20"/>
                <w:w w:val="103"/>
              </w:rPr>
              <w:t xml:space="preserve"> </w:t>
            </w:r>
            <w:r w:rsidRPr="00EA7458">
              <w:rPr>
                <w:rFonts w:ascii="Calibri" w:hAnsi="Calibri"/>
                <w:color w:val="231F20"/>
                <w:w w:val="105"/>
              </w:rPr>
              <w:t>legal requirements for</w:t>
            </w:r>
            <w:r w:rsidRPr="00EA7458">
              <w:rPr>
                <w:rFonts w:ascii="Calibri" w:hAnsi="Calibri"/>
                <w:color w:val="231F20"/>
                <w:spacing w:val="33"/>
                <w:w w:val="105"/>
              </w:rPr>
              <w:t xml:space="preserve"> </w:t>
            </w:r>
            <w:r w:rsidRPr="00EA7458">
              <w:rPr>
                <w:rFonts w:ascii="Calibri" w:hAnsi="Calibri"/>
                <w:color w:val="231F20"/>
                <w:w w:val="105"/>
              </w:rPr>
              <w:t>membership;</w:t>
            </w:r>
          </w:p>
        </w:tc>
      </w:tr>
      <w:tr w:rsidR="00EA7458" w:rsidRPr="00EA7458" w14:paraId="20B2DD9C" w14:textId="77777777" w:rsidTr="00E65FFA">
        <w:trPr>
          <w:trHeight w:hRule="exact" w:val="1126"/>
        </w:trPr>
        <w:tc>
          <w:tcPr>
            <w:tcW w:w="516" w:type="dxa"/>
            <w:tcBorders>
              <w:top w:val="single" w:sz="2" w:space="0" w:color="231F20"/>
              <w:left w:val="single" w:sz="2" w:space="0" w:color="231F20"/>
              <w:bottom w:val="single" w:sz="2" w:space="0" w:color="231F20"/>
              <w:right w:val="single" w:sz="2" w:space="0" w:color="231F20"/>
            </w:tcBorders>
          </w:tcPr>
          <w:p w14:paraId="562476D2" w14:textId="77777777" w:rsidR="00EA7458" w:rsidRPr="00EA7458" w:rsidRDefault="00EA7458" w:rsidP="00EA7458">
            <w:pPr>
              <w:widowControl w:val="0"/>
              <w:spacing w:after="0" w:line="240" w:lineRule="auto"/>
              <w:rPr>
                <w:rFonts w:ascii="Calibri" w:hAnsi="Calibri" w:cs="Calibri"/>
                <w:b/>
                <w:bCs/>
              </w:rPr>
            </w:pPr>
          </w:p>
          <w:p w14:paraId="4FEF44CF" w14:textId="77777777" w:rsidR="00EA7458" w:rsidRPr="00EA7458" w:rsidRDefault="00EA7458" w:rsidP="00EA7458">
            <w:pPr>
              <w:widowControl w:val="0"/>
              <w:spacing w:before="169" w:after="0" w:line="240" w:lineRule="auto"/>
              <w:ind w:left="165"/>
              <w:rPr>
                <w:rFonts w:ascii="Calibri" w:hAnsi="Calibri" w:cs="Calibri"/>
              </w:rPr>
            </w:pPr>
            <w:r w:rsidRPr="00EA7458">
              <w:rPr>
                <w:rFonts w:ascii="Calibri" w:hAnsi="Calibri"/>
                <w:color w:val="231F20"/>
                <w:w w:val="110"/>
              </w:rPr>
              <w:t>6.</w:t>
            </w:r>
          </w:p>
        </w:tc>
        <w:tc>
          <w:tcPr>
            <w:tcW w:w="9703" w:type="dxa"/>
            <w:tcBorders>
              <w:top w:val="single" w:sz="2" w:space="0" w:color="231F20"/>
              <w:left w:val="single" w:sz="2" w:space="0" w:color="231F20"/>
              <w:bottom w:val="single" w:sz="2" w:space="0" w:color="231F20"/>
              <w:right w:val="single" w:sz="2" w:space="0" w:color="231F20"/>
            </w:tcBorders>
          </w:tcPr>
          <w:p w14:paraId="292F8FF8" w14:textId="31FE3291" w:rsidR="00EA7458" w:rsidRPr="00EA7458" w:rsidRDefault="00EA7458" w:rsidP="00D63204">
            <w:pPr>
              <w:widowControl w:val="0"/>
              <w:spacing w:before="40" w:after="0" w:line="264" w:lineRule="exact"/>
              <w:ind w:left="77" w:right="213"/>
              <w:rPr>
                <w:rFonts w:ascii="Calibri" w:hAnsi="Calibri" w:cs="Calibri"/>
              </w:rPr>
            </w:pPr>
            <w:r w:rsidRPr="00E472CD">
              <w:rPr>
                <w:rFonts w:ascii="Calibri" w:hAnsi="Calibri"/>
                <w:color w:val="231F20"/>
                <w:w w:val="105"/>
              </w:rPr>
              <w:t xml:space="preserve">The </w:t>
            </w:r>
            <w:r w:rsidR="009936E7">
              <w:rPr>
                <w:rFonts w:ascii="Calibri" w:hAnsi="Calibri"/>
                <w:color w:val="231F20"/>
                <w:w w:val="105"/>
              </w:rPr>
              <w:t>s</w:t>
            </w:r>
            <w:r w:rsidRPr="00E472CD">
              <w:rPr>
                <w:rFonts w:ascii="Calibri" w:hAnsi="Calibri"/>
                <w:color w:val="231F20"/>
                <w:w w:val="105"/>
              </w:rPr>
              <w:t xml:space="preserve">tate established a written policy and procedure for how the individuals and entities represented on the </w:t>
            </w:r>
            <w:r w:rsidR="002C0913">
              <w:rPr>
                <w:rFonts w:ascii="Calibri" w:hAnsi="Calibri"/>
                <w:color w:val="231F20"/>
                <w:w w:val="105"/>
              </w:rPr>
              <w:t>state workforce development b</w:t>
            </w:r>
            <w:r w:rsidRPr="00E472CD">
              <w:rPr>
                <w:rFonts w:ascii="Calibri" w:hAnsi="Calibri"/>
                <w:color w:val="231F20"/>
                <w:w w:val="105"/>
              </w:rPr>
              <w:t>oard help determine the methods and factors of distribution</w:t>
            </w:r>
            <w:r w:rsidR="00D5537E">
              <w:rPr>
                <w:rFonts w:ascii="Calibri" w:hAnsi="Calibri"/>
                <w:color w:val="231F20"/>
                <w:w w:val="105"/>
              </w:rPr>
              <w:t xml:space="preserve"> and</w:t>
            </w:r>
            <w:r w:rsidRPr="00E472CD">
              <w:rPr>
                <w:rFonts w:ascii="Calibri" w:hAnsi="Calibri"/>
                <w:color w:val="231F20"/>
                <w:w w:val="105"/>
              </w:rPr>
              <w:t xml:space="preserve"> how the </w:t>
            </w:r>
            <w:r w:rsidR="00F50664">
              <w:rPr>
                <w:rFonts w:ascii="Calibri" w:hAnsi="Calibri"/>
                <w:color w:val="231F20"/>
                <w:w w:val="105"/>
              </w:rPr>
              <w:t>s</w:t>
            </w:r>
            <w:r w:rsidRPr="00E472CD">
              <w:rPr>
                <w:rFonts w:ascii="Calibri" w:hAnsi="Calibri"/>
                <w:color w:val="231F20"/>
                <w:w w:val="105"/>
              </w:rPr>
              <w:t xml:space="preserve">tate consults with chief elected officials in local areas throughout the </w:t>
            </w:r>
            <w:r w:rsidR="00F50664">
              <w:rPr>
                <w:rFonts w:ascii="Calibri" w:hAnsi="Calibri"/>
                <w:color w:val="231F20"/>
                <w:w w:val="105"/>
              </w:rPr>
              <w:t>s</w:t>
            </w:r>
            <w:r w:rsidRPr="00E472CD">
              <w:rPr>
                <w:rFonts w:ascii="Calibri" w:hAnsi="Calibri"/>
                <w:color w:val="231F20"/>
                <w:w w:val="105"/>
              </w:rPr>
              <w:t>tate in determining the distributions;</w:t>
            </w:r>
          </w:p>
        </w:tc>
      </w:tr>
      <w:tr w:rsidR="00EA7458" w:rsidRPr="00EA7458" w14:paraId="2AD1E1BC" w14:textId="77777777" w:rsidTr="00E65FFA">
        <w:trPr>
          <w:trHeight w:hRule="exact" w:val="598"/>
        </w:trPr>
        <w:tc>
          <w:tcPr>
            <w:tcW w:w="516" w:type="dxa"/>
            <w:tcBorders>
              <w:top w:val="single" w:sz="2" w:space="0" w:color="231F20"/>
              <w:left w:val="single" w:sz="2" w:space="0" w:color="231F20"/>
              <w:bottom w:val="single" w:sz="2" w:space="0" w:color="231F20"/>
              <w:right w:val="single" w:sz="2" w:space="0" w:color="231F20"/>
            </w:tcBorders>
            <w:shd w:val="clear" w:color="auto" w:fill="E6E7E8"/>
          </w:tcPr>
          <w:p w14:paraId="08EC6C36" w14:textId="77777777" w:rsidR="00EA7458" w:rsidRPr="00EA7458" w:rsidRDefault="00EA7458" w:rsidP="00D63204">
            <w:pPr>
              <w:widowControl w:val="0"/>
              <w:spacing w:before="174" w:after="0" w:line="240" w:lineRule="auto"/>
              <w:ind w:right="19"/>
              <w:rPr>
                <w:rFonts w:ascii="Calibri" w:hAnsi="Calibri" w:cs="Calibri"/>
              </w:rPr>
            </w:pPr>
            <w:r w:rsidRPr="00EA7458">
              <w:rPr>
                <w:rFonts w:ascii="Calibri" w:hAnsi="Calibri"/>
                <w:color w:val="231F20"/>
                <w:spacing w:val="-23"/>
              </w:rPr>
              <w:t>7.</w:t>
            </w:r>
          </w:p>
        </w:tc>
        <w:tc>
          <w:tcPr>
            <w:tcW w:w="9703" w:type="dxa"/>
            <w:tcBorders>
              <w:top w:val="single" w:sz="2" w:space="0" w:color="231F20"/>
              <w:left w:val="single" w:sz="2" w:space="0" w:color="231F20"/>
              <w:bottom w:val="single" w:sz="2" w:space="0" w:color="231F20"/>
              <w:right w:val="single" w:sz="2" w:space="0" w:color="231F20"/>
            </w:tcBorders>
            <w:shd w:val="clear" w:color="auto" w:fill="E6E7E8"/>
          </w:tcPr>
          <w:p w14:paraId="7100127B" w14:textId="0AAB58FC" w:rsidR="00EA7458" w:rsidRPr="00EA7458" w:rsidRDefault="00EA7458" w:rsidP="00D63204">
            <w:pPr>
              <w:widowControl w:val="0"/>
              <w:spacing w:before="40" w:after="0" w:line="264" w:lineRule="exact"/>
              <w:ind w:left="77" w:right="213"/>
              <w:rPr>
                <w:rFonts w:ascii="Calibri" w:hAnsi="Calibri" w:cs="Calibri"/>
              </w:rPr>
            </w:pPr>
            <w:r w:rsidRPr="00E472CD">
              <w:rPr>
                <w:rFonts w:ascii="Calibri" w:hAnsi="Calibri"/>
                <w:color w:val="231F20"/>
                <w:w w:val="105"/>
              </w:rPr>
              <w:t xml:space="preserve">The </w:t>
            </w:r>
            <w:r w:rsidR="00F50664">
              <w:rPr>
                <w:rFonts w:ascii="Calibri" w:hAnsi="Calibri"/>
                <w:color w:val="231F20"/>
                <w:w w:val="105"/>
              </w:rPr>
              <w:t>s</w:t>
            </w:r>
            <w:r w:rsidRPr="00E472CD">
              <w:rPr>
                <w:rFonts w:ascii="Calibri" w:hAnsi="Calibri"/>
                <w:color w:val="231F20"/>
                <w:w w:val="105"/>
              </w:rPr>
              <w:t>tate will not use funds received under WIOA Title I to assist, promote, or deter union organizing in accordance with WIOA section 181(b)(7);</w:t>
            </w:r>
          </w:p>
        </w:tc>
      </w:tr>
      <w:tr w:rsidR="00EA7458" w:rsidRPr="00EA7458" w14:paraId="6D38807B" w14:textId="77777777" w:rsidTr="00E65FFA">
        <w:trPr>
          <w:trHeight w:hRule="exact" w:val="862"/>
        </w:trPr>
        <w:tc>
          <w:tcPr>
            <w:tcW w:w="516" w:type="dxa"/>
            <w:tcBorders>
              <w:top w:val="single" w:sz="2" w:space="0" w:color="231F20"/>
              <w:left w:val="single" w:sz="2" w:space="0" w:color="231F20"/>
              <w:bottom w:val="single" w:sz="2" w:space="0" w:color="231F20"/>
              <w:right w:val="single" w:sz="2" w:space="0" w:color="231F20"/>
            </w:tcBorders>
          </w:tcPr>
          <w:p w14:paraId="50CDB63F" w14:textId="77777777" w:rsidR="00EA7458" w:rsidRPr="00EA7458" w:rsidRDefault="00EA7458" w:rsidP="00EA7458">
            <w:pPr>
              <w:widowControl w:val="0"/>
              <w:spacing w:before="1" w:after="0" w:line="240" w:lineRule="auto"/>
              <w:rPr>
                <w:rFonts w:ascii="Calibri" w:hAnsi="Calibri" w:cs="Calibri"/>
                <w:b/>
                <w:bCs/>
                <w:sz w:val="25"/>
                <w:szCs w:val="25"/>
              </w:rPr>
            </w:pPr>
          </w:p>
          <w:p w14:paraId="7ED57DA1" w14:textId="77777777" w:rsidR="00EA7458" w:rsidRPr="00EA7458" w:rsidRDefault="00EA7458" w:rsidP="00EA7458">
            <w:pPr>
              <w:widowControl w:val="0"/>
              <w:spacing w:after="0" w:line="240" w:lineRule="auto"/>
              <w:ind w:left="166"/>
              <w:rPr>
                <w:rFonts w:ascii="Calibri" w:hAnsi="Calibri" w:cs="Calibri"/>
              </w:rPr>
            </w:pPr>
            <w:r w:rsidRPr="00EA7458">
              <w:rPr>
                <w:rFonts w:ascii="Calibri" w:hAnsi="Calibri"/>
                <w:color w:val="231F20"/>
                <w:w w:val="105"/>
              </w:rPr>
              <w:t>8.</w:t>
            </w:r>
          </w:p>
        </w:tc>
        <w:tc>
          <w:tcPr>
            <w:tcW w:w="9703" w:type="dxa"/>
            <w:tcBorders>
              <w:top w:val="single" w:sz="2" w:space="0" w:color="231F20"/>
              <w:left w:val="single" w:sz="2" w:space="0" w:color="231F20"/>
              <w:bottom w:val="single" w:sz="2" w:space="0" w:color="231F20"/>
              <w:right w:val="single" w:sz="2" w:space="0" w:color="231F20"/>
            </w:tcBorders>
          </w:tcPr>
          <w:p w14:paraId="5F417529" w14:textId="0F052F95" w:rsidR="00EA7458" w:rsidRPr="00EA7458" w:rsidRDefault="00EA7458" w:rsidP="00D63204">
            <w:pPr>
              <w:widowControl w:val="0"/>
              <w:spacing w:before="40" w:after="0" w:line="264" w:lineRule="exact"/>
              <w:ind w:left="77" w:right="82"/>
              <w:rPr>
                <w:rFonts w:ascii="Calibri" w:hAnsi="Calibri" w:cs="Calibri"/>
              </w:rPr>
            </w:pPr>
            <w:r w:rsidRPr="00EA7458">
              <w:rPr>
                <w:rFonts w:ascii="Calibri" w:hAnsi="Calibri"/>
                <w:w w:val="105"/>
              </w:rPr>
              <w:t>The</w:t>
            </w:r>
            <w:r w:rsidRPr="00EA7458">
              <w:rPr>
                <w:rFonts w:ascii="Calibri" w:hAnsi="Calibri"/>
                <w:spacing w:val="9"/>
                <w:w w:val="105"/>
              </w:rPr>
              <w:t xml:space="preserve"> </w:t>
            </w:r>
            <w:r w:rsidR="00F50664">
              <w:rPr>
                <w:rFonts w:ascii="Calibri" w:hAnsi="Calibri"/>
                <w:w w:val="105"/>
              </w:rPr>
              <w:t>s</w:t>
            </w:r>
            <w:r w:rsidRPr="00EA7458">
              <w:rPr>
                <w:rFonts w:ascii="Calibri" w:hAnsi="Calibri"/>
                <w:w w:val="105"/>
              </w:rPr>
              <w:t>tate</w:t>
            </w:r>
            <w:r w:rsidRPr="00EA7458">
              <w:rPr>
                <w:rFonts w:ascii="Calibri" w:hAnsi="Calibri"/>
                <w:spacing w:val="9"/>
                <w:w w:val="105"/>
              </w:rPr>
              <w:t xml:space="preserve"> </w:t>
            </w:r>
            <w:r w:rsidRPr="00EA7458">
              <w:rPr>
                <w:rFonts w:ascii="Calibri" w:hAnsi="Calibri"/>
                <w:w w:val="105"/>
              </w:rPr>
              <w:t>distributes</w:t>
            </w:r>
            <w:r w:rsidRPr="00EA7458">
              <w:rPr>
                <w:rFonts w:ascii="Calibri" w:hAnsi="Calibri"/>
                <w:spacing w:val="9"/>
                <w:w w:val="105"/>
              </w:rPr>
              <w:t xml:space="preserve"> </w:t>
            </w:r>
            <w:r w:rsidRPr="00EA7458">
              <w:rPr>
                <w:rFonts w:ascii="Calibri" w:hAnsi="Calibri"/>
                <w:w w:val="105"/>
              </w:rPr>
              <w:t>adult</w:t>
            </w:r>
            <w:r w:rsidRPr="00EA7458">
              <w:rPr>
                <w:rFonts w:ascii="Calibri" w:hAnsi="Calibri"/>
                <w:spacing w:val="9"/>
                <w:w w:val="105"/>
              </w:rPr>
              <w:t xml:space="preserve"> </w:t>
            </w:r>
            <w:r w:rsidRPr="00EA7458">
              <w:rPr>
                <w:rFonts w:ascii="Calibri" w:hAnsi="Calibri"/>
                <w:w w:val="105"/>
              </w:rPr>
              <w:t>and</w:t>
            </w:r>
            <w:r w:rsidRPr="00EA7458">
              <w:rPr>
                <w:rFonts w:ascii="Calibri" w:hAnsi="Calibri"/>
                <w:spacing w:val="9"/>
                <w:w w:val="105"/>
              </w:rPr>
              <w:t xml:space="preserve"> </w:t>
            </w:r>
            <w:r w:rsidRPr="00EA7458">
              <w:rPr>
                <w:rFonts w:ascii="Calibri" w:hAnsi="Calibri"/>
                <w:w w:val="105"/>
              </w:rPr>
              <w:t>youth</w:t>
            </w:r>
            <w:r w:rsidRPr="00EA7458">
              <w:rPr>
                <w:rFonts w:ascii="Calibri" w:hAnsi="Calibri"/>
                <w:spacing w:val="9"/>
                <w:w w:val="105"/>
              </w:rPr>
              <w:t xml:space="preserve"> </w:t>
            </w:r>
            <w:r w:rsidRPr="00EA7458">
              <w:rPr>
                <w:rFonts w:ascii="Calibri" w:hAnsi="Calibri"/>
                <w:w w:val="105"/>
              </w:rPr>
              <w:t>funds</w:t>
            </w:r>
            <w:r w:rsidRPr="00EA7458">
              <w:rPr>
                <w:rFonts w:ascii="Calibri" w:hAnsi="Calibri"/>
                <w:spacing w:val="9"/>
                <w:w w:val="105"/>
              </w:rPr>
              <w:t xml:space="preserve"> </w:t>
            </w:r>
            <w:r w:rsidRPr="00EA7458">
              <w:rPr>
                <w:rFonts w:ascii="Calibri" w:hAnsi="Calibri"/>
                <w:w w:val="105"/>
              </w:rPr>
              <w:t>received</w:t>
            </w:r>
            <w:r w:rsidRPr="00EA7458">
              <w:rPr>
                <w:rFonts w:ascii="Calibri" w:hAnsi="Calibri"/>
                <w:spacing w:val="9"/>
                <w:w w:val="105"/>
              </w:rPr>
              <w:t xml:space="preserve"> </w:t>
            </w:r>
            <w:r w:rsidRPr="00EA7458">
              <w:rPr>
                <w:rFonts w:ascii="Calibri" w:hAnsi="Calibri"/>
                <w:w w:val="105"/>
              </w:rPr>
              <w:t>under</w:t>
            </w:r>
            <w:r w:rsidRPr="00EA7458">
              <w:rPr>
                <w:rFonts w:ascii="Calibri" w:hAnsi="Calibri"/>
                <w:spacing w:val="9"/>
                <w:w w:val="105"/>
              </w:rPr>
              <w:t xml:space="preserve"> </w:t>
            </w:r>
            <w:r w:rsidRPr="00EA7458">
              <w:rPr>
                <w:rFonts w:ascii="Calibri" w:hAnsi="Calibri"/>
                <w:spacing w:val="-3"/>
                <w:w w:val="105"/>
              </w:rPr>
              <w:t>WIOA</w:t>
            </w:r>
            <w:r w:rsidRPr="00EA7458">
              <w:rPr>
                <w:rFonts w:ascii="Calibri" w:hAnsi="Calibri"/>
                <w:spacing w:val="9"/>
                <w:w w:val="105"/>
              </w:rPr>
              <w:t xml:space="preserve"> </w:t>
            </w:r>
            <w:r w:rsidR="00207B70">
              <w:rPr>
                <w:rFonts w:ascii="Calibri" w:hAnsi="Calibri"/>
                <w:spacing w:val="9"/>
                <w:w w:val="105"/>
              </w:rPr>
              <w:t xml:space="preserve">equitably </w:t>
            </w:r>
            <w:r w:rsidRPr="00EA7458">
              <w:rPr>
                <w:rFonts w:ascii="Calibri" w:hAnsi="Calibri"/>
                <w:w w:val="105"/>
              </w:rPr>
              <w:t>throughout</w:t>
            </w:r>
            <w:r w:rsidRPr="00EA7458">
              <w:rPr>
                <w:rFonts w:ascii="Calibri" w:hAnsi="Calibri"/>
                <w:spacing w:val="9"/>
                <w:w w:val="105"/>
              </w:rPr>
              <w:t xml:space="preserve"> </w:t>
            </w:r>
            <w:r w:rsidRPr="00EA7458">
              <w:rPr>
                <w:rFonts w:ascii="Calibri" w:hAnsi="Calibri"/>
                <w:w w:val="105"/>
              </w:rPr>
              <w:t>the</w:t>
            </w:r>
            <w:r w:rsidRPr="00EA7458">
              <w:rPr>
                <w:rFonts w:ascii="Calibri" w:hAnsi="Calibri"/>
                <w:spacing w:val="9"/>
                <w:w w:val="105"/>
              </w:rPr>
              <w:t xml:space="preserve"> </w:t>
            </w:r>
            <w:r w:rsidR="00F50664">
              <w:rPr>
                <w:rFonts w:ascii="Calibri" w:hAnsi="Calibri"/>
                <w:spacing w:val="9"/>
                <w:w w:val="105"/>
              </w:rPr>
              <w:t>s</w:t>
            </w:r>
            <w:r w:rsidRPr="00EA7458">
              <w:rPr>
                <w:rFonts w:ascii="Calibri" w:hAnsi="Calibri"/>
                <w:w w:val="105"/>
              </w:rPr>
              <w:t>tate</w:t>
            </w:r>
            <w:r w:rsidR="00207B70">
              <w:rPr>
                <w:rFonts w:ascii="Calibri" w:hAnsi="Calibri"/>
                <w:w w:val="105"/>
              </w:rPr>
              <w:t>, and no</w:t>
            </w:r>
            <w:r>
              <w:rPr>
                <w:rFonts w:ascii="Calibri" w:hAnsi="Calibri"/>
                <w:w w:val="105"/>
              </w:rPr>
              <w:t xml:space="preserve"> </w:t>
            </w:r>
            <w:r w:rsidRPr="00EA7458">
              <w:rPr>
                <w:rFonts w:ascii="Calibri" w:hAnsi="Calibri"/>
                <w:w w:val="105"/>
              </w:rPr>
              <w:t>local</w:t>
            </w:r>
            <w:r w:rsidRPr="00EA7458">
              <w:rPr>
                <w:rFonts w:ascii="Calibri" w:hAnsi="Calibri"/>
                <w:spacing w:val="11"/>
                <w:w w:val="105"/>
              </w:rPr>
              <w:t xml:space="preserve"> </w:t>
            </w:r>
            <w:r w:rsidRPr="00EA7458">
              <w:rPr>
                <w:rFonts w:ascii="Calibri" w:hAnsi="Calibri"/>
                <w:w w:val="105"/>
              </w:rPr>
              <w:t>area</w:t>
            </w:r>
            <w:r w:rsidRPr="00EA7458">
              <w:rPr>
                <w:rFonts w:ascii="Calibri" w:hAnsi="Calibri"/>
                <w:spacing w:val="11"/>
                <w:w w:val="105"/>
              </w:rPr>
              <w:t xml:space="preserve"> </w:t>
            </w:r>
            <w:r w:rsidRPr="00EA7458">
              <w:rPr>
                <w:rFonts w:ascii="Calibri" w:hAnsi="Calibri"/>
                <w:w w:val="105"/>
              </w:rPr>
              <w:t>suffers</w:t>
            </w:r>
            <w:r w:rsidRPr="00EA7458">
              <w:rPr>
                <w:rFonts w:ascii="Calibri" w:hAnsi="Calibri"/>
                <w:spacing w:val="11"/>
                <w:w w:val="105"/>
              </w:rPr>
              <w:t xml:space="preserve"> </w:t>
            </w:r>
            <w:r w:rsidRPr="00EA7458">
              <w:rPr>
                <w:rFonts w:ascii="Calibri" w:hAnsi="Calibri"/>
                <w:w w:val="105"/>
              </w:rPr>
              <w:t>significant</w:t>
            </w:r>
            <w:r w:rsidRPr="00EA7458">
              <w:rPr>
                <w:rFonts w:ascii="Calibri" w:hAnsi="Calibri"/>
                <w:spacing w:val="11"/>
                <w:w w:val="105"/>
              </w:rPr>
              <w:t xml:space="preserve"> </w:t>
            </w:r>
            <w:r w:rsidRPr="00EA7458">
              <w:rPr>
                <w:rFonts w:ascii="Calibri" w:hAnsi="Calibri"/>
                <w:w w:val="105"/>
              </w:rPr>
              <w:t>shifts</w:t>
            </w:r>
            <w:r w:rsidRPr="00EA7458">
              <w:rPr>
                <w:rFonts w:ascii="Calibri" w:hAnsi="Calibri"/>
                <w:spacing w:val="11"/>
                <w:w w:val="105"/>
              </w:rPr>
              <w:t xml:space="preserve"> </w:t>
            </w:r>
            <w:r w:rsidRPr="00EA7458">
              <w:rPr>
                <w:rFonts w:ascii="Calibri" w:hAnsi="Calibri"/>
                <w:w w:val="105"/>
              </w:rPr>
              <w:t>in</w:t>
            </w:r>
            <w:r w:rsidRPr="00EA7458">
              <w:rPr>
                <w:rFonts w:ascii="Calibri" w:hAnsi="Calibri"/>
                <w:spacing w:val="11"/>
                <w:w w:val="105"/>
              </w:rPr>
              <w:t xml:space="preserve"> </w:t>
            </w:r>
            <w:r w:rsidRPr="00EA7458">
              <w:rPr>
                <w:rFonts w:ascii="Calibri" w:hAnsi="Calibri"/>
                <w:w w:val="105"/>
              </w:rPr>
              <w:t>funding</w:t>
            </w:r>
            <w:r w:rsidRPr="00EA7458">
              <w:rPr>
                <w:rFonts w:ascii="Calibri" w:hAnsi="Calibri"/>
                <w:spacing w:val="11"/>
                <w:w w:val="105"/>
              </w:rPr>
              <w:t xml:space="preserve"> </w:t>
            </w:r>
            <w:r w:rsidRPr="00EA7458">
              <w:rPr>
                <w:rFonts w:ascii="Calibri" w:hAnsi="Calibri"/>
                <w:w w:val="105"/>
              </w:rPr>
              <w:t>from</w:t>
            </w:r>
            <w:r w:rsidRPr="00EA7458">
              <w:rPr>
                <w:rFonts w:ascii="Calibri" w:hAnsi="Calibri"/>
                <w:spacing w:val="11"/>
                <w:w w:val="105"/>
              </w:rPr>
              <w:t xml:space="preserve"> </w:t>
            </w:r>
            <w:r w:rsidRPr="00EA7458">
              <w:rPr>
                <w:rFonts w:ascii="Calibri" w:hAnsi="Calibri"/>
                <w:w w:val="105"/>
              </w:rPr>
              <w:t>year-to-year</w:t>
            </w:r>
            <w:r w:rsidRPr="00EA7458">
              <w:rPr>
                <w:rFonts w:ascii="Calibri" w:hAnsi="Calibri"/>
                <w:spacing w:val="11"/>
                <w:w w:val="105"/>
              </w:rPr>
              <w:t xml:space="preserve"> </w:t>
            </w:r>
            <w:r w:rsidRPr="00EA7458">
              <w:rPr>
                <w:rFonts w:ascii="Calibri" w:hAnsi="Calibri"/>
                <w:w w:val="105"/>
              </w:rPr>
              <w:t>during</w:t>
            </w:r>
            <w:r w:rsidRPr="00EA7458">
              <w:rPr>
                <w:rFonts w:ascii="Calibri" w:hAnsi="Calibri"/>
                <w:spacing w:val="11"/>
                <w:w w:val="105"/>
              </w:rPr>
              <w:t xml:space="preserve"> </w:t>
            </w:r>
            <w:r w:rsidRPr="00EA7458">
              <w:rPr>
                <w:rFonts w:ascii="Calibri" w:hAnsi="Calibri"/>
                <w:w w:val="105"/>
              </w:rPr>
              <w:t>the</w:t>
            </w:r>
            <w:r w:rsidRPr="00EA7458">
              <w:rPr>
                <w:rFonts w:ascii="Calibri" w:hAnsi="Calibri"/>
                <w:spacing w:val="11"/>
                <w:w w:val="105"/>
              </w:rPr>
              <w:t xml:space="preserve"> </w:t>
            </w:r>
            <w:r w:rsidRPr="00EA7458">
              <w:rPr>
                <w:rFonts w:ascii="Calibri" w:hAnsi="Calibri"/>
                <w:w w:val="105"/>
              </w:rPr>
              <w:t>period</w:t>
            </w:r>
            <w:r w:rsidRPr="00EA7458">
              <w:rPr>
                <w:rFonts w:ascii="Calibri" w:hAnsi="Calibri"/>
                <w:spacing w:val="11"/>
                <w:w w:val="105"/>
              </w:rPr>
              <w:t xml:space="preserve"> </w:t>
            </w:r>
            <w:r w:rsidRPr="00EA7458">
              <w:rPr>
                <w:rFonts w:ascii="Calibri" w:hAnsi="Calibri"/>
                <w:w w:val="105"/>
              </w:rPr>
              <w:t>covered</w:t>
            </w:r>
            <w:r w:rsidRPr="00EA7458">
              <w:rPr>
                <w:rFonts w:ascii="Calibri" w:hAnsi="Calibri"/>
                <w:spacing w:val="11"/>
                <w:w w:val="105"/>
              </w:rPr>
              <w:t xml:space="preserve"> </w:t>
            </w:r>
            <w:r w:rsidRPr="00EA7458">
              <w:rPr>
                <w:rFonts w:ascii="Calibri" w:hAnsi="Calibri"/>
                <w:w w:val="105"/>
              </w:rPr>
              <w:t>by</w:t>
            </w:r>
            <w:r w:rsidRPr="00EA7458">
              <w:rPr>
                <w:rFonts w:ascii="Calibri" w:hAnsi="Calibri"/>
                <w:w w:val="108"/>
              </w:rPr>
              <w:t xml:space="preserve"> </w:t>
            </w:r>
            <w:r w:rsidRPr="00EA7458">
              <w:rPr>
                <w:rFonts w:ascii="Calibri" w:hAnsi="Calibri"/>
                <w:w w:val="105"/>
              </w:rPr>
              <w:t>this</w:t>
            </w:r>
            <w:r w:rsidRPr="00EA7458">
              <w:rPr>
                <w:rFonts w:ascii="Calibri" w:hAnsi="Calibri"/>
                <w:spacing w:val="-5"/>
                <w:w w:val="105"/>
              </w:rPr>
              <w:t xml:space="preserve"> </w:t>
            </w:r>
            <w:r w:rsidRPr="00EA7458">
              <w:rPr>
                <w:rFonts w:ascii="Calibri" w:hAnsi="Calibri"/>
                <w:w w:val="105"/>
              </w:rPr>
              <w:t>plan;</w:t>
            </w:r>
          </w:p>
        </w:tc>
      </w:tr>
      <w:tr w:rsidR="00EA7458" w:rsidRPr="00EA7458" w14:paraId="3EA1A4DF" w14:textId="77777777" w:rsidTr="00E65FFA">
        <w:trPr>
          <w:trHeight w:hRule="exact" w:val="1126"/>
        </w:trPr>
        <w:tc>
          <w:tcPr>
            <w:tcW w:w="516" w:type="dxa"/>
            <w:tcBorders>
              <w:top w:val="single" w:sz="2" w:space="0" w:color="231F20"/>
              <w:left w:val="single" w:sz="2" w:space="0" w:color="231F20"/>
              <w:bottom w:val="single" w:sz="2" w:space="0" w:color="231F20"/>
              <w:right w:val="single" w:sz="2" w:space="0" w:color="231F20"/>
            </w:tcBorders>
            <w:shd w:val="clear" w:color="auto" w:fill="E6E7E8"/>
          </w:tcPr>
          <w:p w14:paraId="2BA5DFAD" w14:textId="77777777" w:rsidR="00EA7458" w:rsidRPr="00EA7458" w:rsidRDefault="00EA7458" w:rsidP="00EA7458">
            <w:pPr>
              <w:widowControl w:val="0"/>
              <w:spacing w:after="0" w:line="240" w:lineRule="auto"/>
              <w:rPr>
                <w:rFonts w:ascii="Calibri" w:hAnsi="Calibri" w:cs="Calibri"/>
                <w:b/>
                <w:bCs/>
              </w:rPr>
            </w:pPr>
          </w:p>
          <w:p w14:paraId="1582C665" w14:textId="77777777" w:rsidR="00EA7458" w:rsidRPr="00EA7458" w:rsidRDefault="00EA7458" w:rsidP="00EA7458">
            <w:pPr>
              <w:widowControl w:val="0"/>
              <w:spacing w:before="169" w:after="0" w:line="240" w:lineRule="auto"/>
              <w:ind w:left="168"/>
              <w:rPr>
                <w:rFonts w:ascii="Calibri" w:hAnsi="Calibri" w:cs="Calibri"/>
              </w:rPr>
            </w:pPr>
            <w:r w:rsidRPr="00EA7458">
              <w:rPr>
                <w:rFonts w:ascii="Calibri" w:hAnsi="Calibri"/>
                <w:color w:val="231F20"/>
                <w:spacing w:val="-7"/>
                <w:w w:val="110"/>
              </w:rPr>
              <w:t>9.</w:t>
            </w:r>
          </w:p>
        </w:tc>
        <w:tc>
          <w:tcPr>
            <w:tcW w:w="9703" w:type="dxa"/>
            <w:tcBorders>
              <w:top w:val="single" w:sz="2" w:space="0" w:color="231F20"/>
              <w:left w:val="single" w:sz="2" w:space="0" w:color="231F20"/>
              <w:bottom w:val="single" w:sz="2" w:space="0" w:color="231F20"/>
              <w:right w:val="single" w:sz="2" w:space="0" w:color="231F20"/>
            </w:tcBorders>
            <w:shd w:val="clear" w:color="auto" w:fill="E6E7E8"/>
          </w:tcPr>
          <w:p w14:paraId="5501BC4C" w14:textId="7950523B" w:rsidR="00EA7458" w:rsidRPr="00EA7458" w:rsidRDefault="00EA7458" w:rsidP="00D63204">
            <w:pPr>
              <w:widowControl w:val="0"/>
              <w:spacing w:before="40" w:after="0" w:line="264" w:lineRule="exact"/>
              <w:ind w:left="77" w:right="194"/>
              <w:rPr>
                <w:rFonts w:ascii="Calibri" w:hAnsi="Calibri" w:cs="Calibri"/>
              </w:rPr>
            </w:pPr>
            <w:r w:rsidRPr="00EA7458">
              <w:rPr>
                <w:rFonts w:ascii="Calibri" w:hAnsi="Calibri"/>
                <w:w w:val="105"/>
              </w:rPr>
              <w:t>If</w:t>
            </w:r>
            <w:r w:rsidRPr="00EA7458">
              <w:rPr>
                <w:rFonts w:ascii="Calibri" w:hAnsi="Calibri"/>
                <w:spacing w:val="7"/>
                <w:w w:val="105"/>
              </w:rPr>
              <w:t xml:space="preserve"> </w:t>
            </w:r>
            <w:r w:rsidRPr="00EA7458">
              <w:rPr>
                <w:rFonts w:ascii="Calibri" w:hAnsi="Calibri"/>
                <w:w w:val="105"/>
              </w:rPr>
              <w:t>a</w:t>
            </w:r>
            <w:r w:rsidRPr="00EA7458">
              <w:rPr>
                <w:rFonts w:ascii="Calibri" w:hAnsi="Calibri"/>
                <w:spacing w:val="7"/>
                <w:w w:val="105"/>
              </w:rPr>
              <w:t xml:space="preserve"> </w:t>
            </w:r>
            <w:r w:rsidR="00F50664">
              <w:rPr>
                <w:rFonts w:ascii="Calibri" w:hAnsi="Calibri"/>
                <w:spacing w:val="7"/>
                <w:w w:val="105"/>
              </w:rPr>
              <w:t>s</w:t>
            </w:r>
            <w:r w:rsidRPr="00EA7458">
              <w:rPr>
                <w:rFonts w:ascii="Calibri" w:hAnsi="Calibri"/>
                <w:w w:val="105"/>
              </w:rPr>
              <w:t>tate</w:t>
            </w:r>
            <w:r w:rsidRPr="00EA7458">
              <w:rPr>
                <w:rFonts w:ascii="Calibri" w:hAnsi="Calibri"/>
                <w:spacing w:val="7"/>
                <w:w w:val="105"/>
              </w:rPr>
              <w:t xml:space="preserve"> </w:t>
            </w:r>
            <w:r w:rsidR="00F50664">
              <w:rPr>
                <w:rFonts w:ascii="Calibri" w:hAnsi="Calibri"/>
                <w:w w:val="105"/>
              </w:rPr>
              <w:t>w</w:t>
            </w:r>
            <w:r w:rsidRPr="00EA7458">
              <w:rPr>
                <w:rFonts w:ascii="Calibri" w:hAnsi="Calibri"/>
                <w:w w:val="105"/>
              </w:rPr>
              <w:t>orkforce</w:t>
            </w:r>
            <w:r w:rsidRPr="00EA7458">
              <w:rPr>
                <w:rFonts w:ascii="Calibri" w:hAnsi="Calibri"/>
                <w:spacing w:val="7"/>
                <w:w w:val="105"/>
              </w:rPr>
              <w:t xml:space="preserve"> </w:t>
            </w:r>
            <w:r w:rsidR="00F50664">
              <w:rPr>
                <w:rFonts w:ascii="Calibri" w:hAnsi="Calibri"/>
                <w:w w:val="105"/>
              </w:rPr>
              <w:t>d</w:t>
            </w:r>
            <w:r w:rsidRPr="00EA7458">
              <w:rPr>
                <w:rFonts w:ascii="Calibri" w:hAnsi="Calibri"/>
                <w:w w:val="105"/>
              </w:rPr>
              <w:t>evelopment</w:t>
            </w:r>
            <w:r w:rsidRPr="00EA7458">
              <w:rPr>
                <w:rFonts w:ascii="Calibri" w:hAnsi="Calibri"/>
                <w:spacing w:val="7"/>
                <w:w w:val="105"/>
              </w:rPr>
              <w:t xml:space="preserve"> </w:t>
            </w:r>
            <w:r w:rsidR="00F50664">
              <w:rPr>
                <w:rFonts w:ascii="Calibri" w:hAnsi="Calibri"/>
                <w:spacing w:val="7"/>
                <w:w w:val="105"/>
              </w:rPr>
              <w:t>b</w:t>
            </w:r>
            <w:r w:rsidRPr="00EA7458">
              <w:rPr>
                <w:rFonts w:ascii="Calibri" w:hAnsi="Calibri"/>
                <w:w w:val="105"/>
              </w:rPr>
              <w:t>oard,</w:t>
            </w:r>
            <w:r w:rsidRPr="00EA7458">
              <w:rPr>
                <w:rFonts w:ascii="Calibri" w:hAnsi="Calibri"/>
                <w:spacing w:val="7"/>
                <w:w w:val="105"/>
              </w:rPr>
              <w:t xml:space="preserve"> </w:t>
            </w:r>
            <w:r w:rsidRPr="00EA7458">
              <w:rPr>
                <w:rFonts w:ascii="Calibri" w:hAnsi="Calibri"/>
                <w:w w:val="105"/>
              </w:rPr>
              <w:t>department,</w:t>
            </w:r>
            <w:r w:rsidRPr="00EA7458">
              <w:rPr>
                <w:rFonts w:ascii="Calibri" w:hAnsi="Calibri"/>
                <w:spacing w:val="7"/>
                <w:w w:val="105"/>
              </w:rPr>
              <w:t xml:space="preserve"> </w:t>
            </w:r>
            <w:r w:rsidRPr="00EA7458">
              <w:rPr>
                <w:rFonts w:ascii="Calibri" w:hAnsi="Calibri"/>
                <w:w w:val="105"/>
              </w:rPr>
              <w:t>or</w:t>
            </w:r>
            <w:r w:rsidRPr="00EA7458">
              <w:rPr>
                <w:rFonts w:ascii="Calibri" w:hAnsi="Calibri"/>
                <w:spacing w:val="7"/>
                <w:w w:val="105"/>
              </w:rPr>
              <w:t xml:space="preserve"> </w:t>
            </w:r>
            <w:r w:rsidRPr="00EA7458">
              <w:rPr>
                <w:rFonts w:ascii="Calibri" w:hAnsi="Calibri"/>
                <w:w w:val="105"/>
              </w:rPr>
              <w:t>agency</w:t>
            </w:r>
            <w:r w:rsidRPr="00EA7458">
              <w:rPr>
                <w:rFonts w:ascii="Calibri" w:hAnsi="Calibri"/>
                <w:spacing w:val="7"/>
                <w:w w:val="105"/>
              </w:rPr>
              <w:t xml:space="preserve"> </w:t>
            </w:r>
            <w:r w:rsidRPr="00EA7458">
              <w:rPr>
                <w:rFonts w:ascii="Calibri" w:hAnsi="Calibri"/>
                <w:w w:val="105"/>
              </w:rPr>
              <w:t>administers</w:t>
            </w:r>
            <w:r w:rsidRPr="00EA7458">
              <w:rPr>
                <w:rFonts w:ascii="Calibri" w:hAnsi="Calibri"/>
                <w:spacing w:val="7"/>
                <w:w w:val="105"/>
              </w:rPr>
              <w:t xml:space="preserve"> </w:t>
            </w:r>
            <w:r w:rsidR="00255F88">
              <w:rPr>
                <w:rFonts w:ascii="Calibri" w:hAnsi="Calibri"/>
                <w:spacing w:val="7"/>
                <w:w w:val="105"/>
              </w:rPr>
              <w:t>s</w:t>
            </w:r>
            <w:r w:rsidRPr="00EA7458">
              <w:rPr>
                <w:rFonts w:ascii="Calibri" w:hAnsi="Calibri"/>
                <w:w w:val="105"/>
              </w:rPr>
              <w:t>tate</w:t>
            </w:r>
            <w:r w:rsidRPr="00EA7458">
              <w:rPr>
                <w:rFonts w:ascii="Calibri" w:hAnsi="Calibri"/>
                <w:spacing w:val="7"/>
                <w:w w:val="105"/>
              </w:rPr>
              <w:t xml:space="preserve"> </w:t>
            </w:r>
            <w:r w:rsidRPr="00EA7458">
              <w:rPr>
                <w:rFonts w:ascii="Calibri" w:hAnsi="Calibri"/>
                <w:w w:val="105"/>
              </w:rPr>
              <w:t>laws</w:t>
            </w:r>
            <w:r w:rsidRPr="00EA7458">
              <w:rPr>
                <w:rFonts w:ascii="Calibri" w:hAnsi="Calibri"/>
                <w:spacing w:val="7"/>
                <w:w w:val="105"/>
              </w:rPr>
              <w:t xml:space="preserve"> </w:t>
            </w:r>
            <w:r w:rsidRPr="00EA7458">
              <w:rPr>
                <w:rFonts w:ascii="Calibri" w:hAnsi="Calibri"/>
                <w:w w:val="105"/>
              </w:rPr>
              <w:t>for</w:t>
            </w:r>
            <w:r w:rsidRPr="00EA7458">
              <w:rPr>
                <w:rFonts w:ascii="Calibri" w:hAnsi="Calibri"/>
                <w:spacing w:val="-15"/>
                <w:w w:val="105"/>
              </w:rPr>
              <w:t xml:space="preserve"> </w:t>
            </w:r>
            <w:r w:rsidRPr="00EA7458">
              <w:rPr>
                <w:rFonts w:ascii="Calibri" w:hAnsi="Calibri"/>
                <w:w w:val="105"/>
              </w:rPr>
              <w:t xml:space="preserve">vocational rehabilitation of </w:t>
            </w:r>
            <w:r w:rsidR="00207B70">
              <w:rPr>
                <w:rFonts w:ascii="Calibri" w:hAnsi="Calibri"/>
                <w:w w:val="105"/>
              </w:rPr>
              <w:t>persons</w:t>
            </w:r>
            <w:r w:rsidR="00CA1499">
              <w:rPr>
                <w:rFonts w:ascii="Calibri" w:hAnsi="Calibri"/>
                <w:w w:val="105"/>
              </w:rPr>
              <w:t xml:space="preserve"> with disabilities, </w:t>
            </w:r>
            <w:r w:rsidRPr="00EA7458">
              <w:rPr>
                <w:rFonts w:ascii="Calibri" w:hAnsi="Calibri"/>
                <w:w w:val="105"/>
              </w:rPr>
              <w:t>that board, department, or agency</w:t>
            </w:r>
            <w:r w:rsidRPr="00EA7458">
              <w:rPr>
                <w:rFonts w:ascii="Calibri" w:hAnsi="Calibri"/>
                <w:spacing w:val="11"/>
                <w:w w:val="105"/>
              </w:rPr>
              <w:t xml:space="preserve"> </w:t>
            </w:r>
            <w:r w:rsidRPr="00EA7458">
              <w:rPr>
                <w:rFonts w:ascii="Calibri" w:hAnsi="Calibri"/>
                <w:w w:val="105"/>
              </w:rPr>
              <w:t>cooperates</w:t>
            </w:r>
            <w:r w:rsidRPr="00EA7458">
              <w:rPr>
                <w:rFonts w:ascii="Calibri" w:hAnsi="Calibri"/>
                <w:w w:val="108"/>
              </w:rPr>
              <w:t xml:space="preserve"> </w:t>
            </w:r>
            <w:r w:rsidRPr="00EA7458">
              <w:rPr>
                <w:rFonts w:ascii="Calibri" w:hAnsi="Calibri"/>
                <w:w w:val="105"/>
              </w:rPr>
              <w:t>with</w:t>
            </w:r>
            <w:r w:rsidRPr="00EA7458">
              <w:rPr>
                <w:rFonts w:ascii="Calibri" w:hAnsi="Calibri"/>
                <w:spacing w:val="14"/>
                <w:w w:val="105"/>
              </w:rPr>
              <w:t xml:space="preserve"> </w:t>
            </w:r>
            <w:r w:rsidRPr="00EA7458">
              <w:rPr>
                <w:rFonts w:ascii="Calibri" w:hAnsi="Calibri"/>
                <w:w w:val="105"/>
              </w:rPr>
              <w:t>the</w:t>
            </w:r>
            <w:r w:rsidRPr="00EA7458">
              <w:rPr>
                <w:rFonts w:ascii="Calibri" w:hAnsi="Calibri"/>
                <w:spacing w:val="14"/>
                <w:w w:val="105"/>
              </w:rPr>
              <w:t xml:space="preserve"> </w:t>
            </w:r>
            <w:r w:rsidRPr="00EA7458">
              <w:rPr>
                <w:rFonts w:ascii="Calibri" w:hAnsi="Calibri"/>
                <w:w w:val="105"/>
              </w:rPr>
              <w:t>agency</w:t>
            </w:r>
            <w:r w:rsidRPr="00EA7458">
              <w:rPr>
                <w:rFonts w:ascii="Calibri" w:hAnsi="Calibri"/>
                <w:spacing w:val="14"/>
                <w:w w:val="105"/>
              </w:rPr>
              <w:t xml:space="preserve"> </w:t>
            </w:r>
            <w:r w:rsidRPr="00EA7458">
              <w:rPr>
                <w:rFonts w:ascii="Calibri" w:hAnsi="Calibri"/>
                <w:w w:val="105"/>
              </w:rPr>
              <w:t>that</w:t>
            </w:r>
            <w:r w:rsidRPr="00EA7458">
              <w:rPr>
                <w:rFonts w:ascii="Calibri" w:hAnsi="Calibri"/>
                <w:spacing w:val="14"/>
                <w:w w:val="105"/>
              </w:rPr>
              <w:t xml:space="preserve"> </w:t>
            </w:r>
            <w:r w:rsidRPr="00EA7458">
              <w:rPr>
                <w:rFonts w:ascii="Calibri" w:hAnsi="Calibri"/>
                <w:w w:val="105"/>
              </w:rPr>
              <w:t>administers</w:t>
            </w:r>
            <w:r w:rsidRPr="00EA7458">
              <w:rPr>
                <w:rFonts w:ascii="Calibri" w:hAnsi="Calibri"/>
                <w:spacing w:val="14"/>
                <w:w w:val="105"/>
              </w:rPr>
              <w:t xml:space="preserve"> </w:t>
            </w:r>
            <w:r w:rsidRPr="00EA7458">
              <w:rPr>
                <w:rFonts w:ascii="Calibri" w:hAnsi="Calibri"/>
                <w:w w:val="105"/>
              </w:rPr>
              <w:t>Wagner-Peyser</w:t>
            </w:r>
            <w:r w:rsidRPr="00EA7458">
              <w:rPr>
                <w:rFonts w:ascii="Calibri" w:hAnsi="Calibri"/>
                <w:spacing w:val="14"/>
                <w:w w:val="105"/>
              </w:rPr>
              <w:t xml:space="preserve"> </w:t>
            </w:r>
            <w:r w:rsidRPr="00EA7458">
              <w:rPr>
                <w:rFonts w:ascii="Calibri" w:hAnsi="Calibri"/>
                <w:w w:val="105"/>
              </w:rPr>
              <w:t>services,</w:t>
            </w:r>
            <w:r w:rsidRPr="00EA7458">
              <w:rPr>
                <w:rFonts w:ascii="Calibri" w:hAnsi="Calibri"/>
                <w:spacing w:val="14"/>
                <w:w w:val="105"/>
              </w:rPr>
              <w:t xml:space="preserve"> </w:t>
            </w:r>
            <w:r w:rsidRPr="00EA7458">
              <w:rPr>
                <w:rFonts w:ascii="Calibri" w:hAnsi="Calibri"/>
                <w:color w:val="231F20"/>
                <w:w w:val="105"/>
              </w:rPr>
              <w:t>Adult</w:t>
            </w:r>
            <w:r w:rsidRPr="00EA7458">
              <w:rPr>
                <w:rFonts w:ascii="Calibri" w:hAnsi="Calibri"/>
                <w:color w:val="231F20"/>
                <w:spacing w:val="14"/>
                <w:w w:val="105"/>
              </w:rPr>
              <w:t xml:space="preserve"> </w:t>
            </w:r>
            <w:r w:rsidRPr="00EA7458">
              <w:rPr>
                <w:rFonts w:ascii="Calibri" w:hAnsi="Calibri"/>
                <w:color w:val="231F20"/>
                <w:w w:val="105"/>
              </w:rPr>
              <w:t>and</w:t>
            </w:r>
            <w:r w:rsidRPr="00EA7458">
              <w:rPr>
                <w:rFonts w:ascii="Calibri" w:hAnsi="Calibri"/>
                <w:color w:val="231F20"/>
                <w:spacing w:val="14"/>
                <w:w w:val="105"/>
              </w:rPr>
              <w:t xml:space="preserve"> </w:t>
            </w:r>
            <w:r w:rsidRPr="00EA7458">
              <w:rPr>
                <w:rFonts w:ascii="Calibri" w:hAnsi="Calibri"/>
                <w:color w:val="231F20"/>
                <w:w w:val="105"/>
              </w:rPr>
              <w:t>Dislocated</w:t>
            </w:r>
            <w:r w:rsidRPr="00EA7458">
              <w:rPr>
                <w:rFonts w:ascii="Calibri" w:hAnsi="Calibri"/>
                <w:color w:val="231F20"/>
                <w:spacing w:val="14"/>
                <w:w w:val="105"/>
              </w:rPr>
              <w:t xml:space="preserve"> </w:t>
            </w:r>
            <w:r w:rsidRPr="00EA7458">
              <w:rPr>
                <w:rFonts w:ascii="Calibri" w:hAnsi="Calibri"/>
                <w:color w:val="231F20"/>
                <w:w w:val="105"/>
              </w:rPr>
              <w:t>Worker</w:t>
            </w:r>
            <w:r w:rsidRPr="00EA7458">
              <w:rPr>
                <w:rFonts w:ascii="Calibri" w:hAnsi="Calibri"/>
                <w:color w:val="231F20"/>
                <w:spacing w:val="14"/>
                <w:w w:val="105"/>
              </w:rPr>
              <w:t xml:space="preserve"> </w:t>
            </w:r>
            <w:r w:rsidRPr="00EA7458">
              <w:rPr>
                <w:rFonts w:ascii="Calibri" w:hAnsi="Calibri"/>
                <w:color w:val="231F20"/>
                <w:w w:val="105"/>
              </w:rPr>
              <w:t>programs</w:t>
            </w:r>
            <w:r w:rsidRPr="00EA7458">
              <w:rPr>
                <w:rFonts w:ascii="Calibri" w:hAnsi="Calibri"/>
                <w:color w:val="231F20"/>
                <w:spacing w:val="-32"/>
                <w:w w:val="105"/>
              </w:rPr>
              <w:t xml:space="preserve"> </w:t>
            </w:r>
            <w:r w:rsidRPr="00EA7458">
              <w:rPr>
                <w:rFonts w:ascii="Calibri" w:hAnsi="Calibri"/>
                <w:color w:val="231F20"/>
                <w:w w:val="105"/>
              </w:rPr>
              <w:t xml:space="preserve">and </w:t>
            </w:r>
            <w:r w:rsidRPr="00EA7458">
              <w:rPr>
                <w:rFonts w:ascii="Calibri" w:hAnsi="Calibri"/>
                <w:color w:val="231F20"/>
                <w:spacing w:val="-5"/>
                <w:w w:val="105"/>
              </w:rPr>
              <w:t xml:space="preserve">Youth </w:t>
            </w:r>
            <w:r w:rsidRPr="00EA7458">
              <w:rPr>
                <w:rFonts w:ascii="Calibri" w:hAnsi="Calibri"/>
                <w:color w:val="231F20"/>
                <w:w w:val="105"/>
              </w:rPr>
              <w:t>Programs under Title I;</w:t>
            </w:r>
          </w:p>
        </w:tc>
      </w:tr>
      <w:tr w:rsidR="00EA7458" w:rsidRPr="00EA7458" w14:paraId="279A6D10" w14:textId="77777777" w:rsidTr="00E65FFA">
        <w:trPr>
          <w:trHeight w:hRule="exact" w:val="598"/>
        </w:trPr>
        <w:tc>
          <w:tcPr>
            <w:tcW w:w="516" w:type="dxa"/>
            <w:tcBorders>
              <w:top w:val="single" w:sz="2" w:space="0" w:color="231F20"/>
              <w:left w:val="single" w:sz="2" w:space="0" w:color="231F20"/>
              <w:bottom w:val="single" w:sz="2" w:space="0" w:color="231F20"/>
              <w:right w:val="single" w:sz="2" w:space="0" w:color="231F20"/>
            </w:tcBorders>
          </w:tcPr>
          <w:p w14:paraId="5A3EE31D" w14:textId="77777777" w:rsidR="00EA7458" w:rsidRPr="00EA7458" w:rsidRDefault="00EA7458" w:rsidP="00EA7458">
            <w:pPr>
              <w:widowControl w:val="0"/>
              <w:spacing w:before="174" w:after="0" w:line="240" w:lineRule="auto"/>
              <w:ind w:left="128"/>
              <w:rPr>
                <w:rFonts w:ascii="Calibri" w:hAnsi="Calibri" w:cs="Calibri"/>
              </w:rPr>
            </w:pPr>
            <w:r w:rsidRPr="00EA7458">
              <w:rPr>
                <w:rFonts w:ascii="Calibri" w:hAnsi="Calibri"/>
                <w:color w:val="231F20"/>
                <w:spacing w:val="-3"/>
              </w:rPr>
              <w:t>10.</w:t>
            </w:r>
          </w:p>
        </w:tc>
        <w:tc>
          <w:tcPr>
            <w:tcW w:w="9703" w:type="dxa"/>
            <w:tcBorders>
              <w:top w:val="single" w:sz="2" w:space="0" w:color="231F20"/>
              <w:left w:val="single" w:sz="2" w:space="0" w:color="231F20"/>
              <w:bottom w:val="single" w:sz="2" w:space="0" w:color="231F20"/>
              <w:right w:val="single" w:sz="2" w:space="0" w:color="231F20"/>
            </w:tcBorders>
          </w:tcPr>
          <w:p w14:paraId="399BC326" w14:textId="0EE75596" w:rsidR="00EA7458" w:rsidRPr="00EA7458" w:rsidRDefault="004E367B" w:rsidP="00D63204">
            <w:pPr>
              <w:widowControl w:val="0"/>
              <w:spacing w:before="40" w:after="0" w:line="264" w:lineRule="exact"/>
              <w:ind w:left="77" w:right="159"/>
              <w:rPr>
                <w:rFonts w:ascii="Calibri" w:hAnsi="Calibri" w:cs="Calibri"/>
              </w:rPr>
            </w:pPr>
            <w:r w:rsidRPr="00EA7458">
              <w:rPr>
                <w:rFonts w:ascii="Calibri" w:hAnsi="Calibri"/>
                <w:w w:val="105"/>
              </w:rPr>
              <w:t>The</w:t>
            </w:r>
            <w:r w:rsidRPr="00EA7458">
              <w:rPr>
                <w:rFonts w:ascii="Calibri" w:hAnsi="Calibri"/>
                <w:spacing w:val="12"/>
                <w:w w:val="105"/>
              </w:rPr>
              <w:t xml:space="preserve"> </w:t>
            </w:r>
            <w:r w:rsidR="00F50664">
              <w:rPr>
                <w:rFonts w:ascii="Calibri" w:hAnsi="Calibri"/>
                <w:spacing w:val="12"/>
                <w:w w:val="105"/>
              </w:rPr>
              <w:t>s</w:t>
            </w:r>
            <w:r w:rsidRPr="00EA7458">
              <w:rPr>
                <w:rFonts w:ascii="Calibri" w:hAnsi="Calibri"/>
                <w:w w:val="105"/>
              </w:rPr>
              <w:t>tate</w:t>
            </w:r>
            <w:r w:rsidRPr="00EA7458">
              <w:rPr>
                <w:rFonts w:ascii="Calibri" w:hAnsi="Calibri"/>
                <w:spacing w:val="12"/>
                <w:w w:val="105"/>
              </w:rPr>
              <w:t xml:space="preserve"> </w:t>
            </w:r>
            <w:r w:rsidRPr="00EA7458">
              <w:rPr>
                <w:rFonts w:ascii="Calibri" w:hAnsi="Calibri"/>
                <w:w w:val="105"/>
              </w:rPr>
              <w:t>agrees</w:t>
            </w:r>
            <w:r w:rsidRPr="00EA7458">
              <w:rPr>
                <w:rFonts w:ascii="Calibri" w:hAnsi="Calibri"/>
                <w:spacing w:val="12"/>
                <w:w w:val="105"/>
              </w:rPr>
              <w:t xml:space="preserve"> </w:t>
            </w:r>
            <w:r w:rsidRPr="00EA7458">
              <w:rPr>
                <w:rFonts w:ascii="Calibri" w:hAnsi="Calibri"/>
                <w:w w:val="105"/>
              </w:rPr>
              <w:t>to</w:t>
            </w:r>
            <w:r w:rsidRPr="00EA7458">
              <w:rPr>
                <w:rFonts w:ascii="Calibri" w:hAnsi="Calibri"/>
                <w:spacing w:val="12"/>
                <w:w w:val="105"/>
              </w:rPr>
              <w:t xml:space="preserve"> </w:t>
            </w:r>
            <w:r w:rsidRPr="00EA7458">
              <w:rPr>
                <w:rFonts w:ascii="Calibri" w:hAnsi="Calibri"/>
                <w:w w:val="105"/>
              </w:rPr>
              <w:t>report</w:t>
            </w:r>
            <w:r w:rsidRPr="00EA7458">
              <w:rPr>
                <w:rFonts w:ascii="Calibri" w:hAnsi="Calibri"/>
                <w:spacing w:val="12"/>
                <w:w w:val="105"/>
              </w:rPr>
              <w:t xml:space="preserve"> </w:t>
            </w:r>
            <w:r w:rsidRPr="00EA7458">
              <w:rPr>
                <w:rFonts w:ascii="Calibri" w:hAnsi="Calibri"/>
                <w:w w:val="105"/>
              </w:rPr>
              <w:t>on</w:t>
            </w:r>
            <w:r w:rsidRPr="00EA7458">
              <w:rPr>
                <w:rFonts w:ascii="Calibri" w:hAnsi="Calibri"/>
                <w:spacing w:val="12"/>
                <w:w w:val="105"/>
              </w:rPr>
              <w:t xml:space="preserve"> </w:t>
            </w:r>
            <w:r w:rsidRPr="00EA7458">
              <w:rPr>
                <w:rFonts w:ascii="Calibri" w:hAnsi="Calibri"/>
                <w:w w:val="105"/>
              </w:rPr>
              <w:t>the</w:t>
            </w:r>
            <w:r w:rsidRPr="00EA7458">
              <w:rPr>
                <w:rFonts w:ascii="Calibri" w:hAnsi="Calibri"/>
                <w:spacing w:val="12"/>
                <w:w w:val="105"/>
              </w:rPr>
              <w:t xml:space="preserve"> </w:t>
            </w:r>
            <w:r w:rsidRPr="00EA7458">
              <w:rPr>
                <w:rFonts w:ascii="Calibri" w:hAnsi="Calibri"/>
                <w:w w:val="105"/>
              </w:rPr>
              <w:t>impact</w:t>
            </w:r>
            <w:r w:rsidRPr="00EA7458">
              <w:rPr>
                <w:rFonts w:ascii="Calibri" w:hAnsi="Calibri"/>
                <w:spacing w:val="12"/>
                <w:w w:val="105"/>
              </w:rPr>
              <w:t xml:space="preserve"> </w:t>
            </w:r>
            <w:r w:rsidRPr="00EA7458">
              <w:rPr>
                <w:rFonts w:ascii="Calibri" w:hAnsi="Calibri"/>
                <w:w w:val="105"/>
              </w:rPr>
              <w:t>and</w:t>
            </w:r>
            <w:r w:rsidRPr="00EA7458">
              <w:rPr>
                <w:rFonts w:ascii="Calibri" w:hAnsi="Calibri"/>
                <w:spacing w:val="12"/>
                <w:w w:val="105"/>
              </w:rPr>
              <w:t xml:space="preserve"> </w:t>
            </w:r>
            <w:r w:rsidRPr="00EA7458">
              <w:rPr>
                <w:rFonts w:ascii="Calibri" w:hAnsi="Calibri"/>
                <w:w w:val="105"/>
              </w:rPr>
              <w:t>outcomes</w:t>
            </w:r>
            <w:r w:rsidRPr="00EA7458">
              <w:rPr>
                <w:rFonts w:ascii="Calibri" w:hAnsi="Calibri"/>
                <w:spacing w:val="12"/>
                <w:w w:val="105"/>
              </w:rPr>
              <w:t xml:space="preserve"> </w:t>
            </w:r>
            <w:r w:rsidRPr="00EA7458">
              <w:rPr>
                <w:rFonts w:ascii="Calibri" w:hAnsi="Calibri"/>
                <w:w w:val="105"/>
              </w:rPr>
              <w:t>of</w:t>
            </w:r>
            <w:r w:rsidRPr="00EA7458">
              <w:rPr>
                <w:rFonts w:ascii="Calibri" w:hAnsi="Calibri"/>
                <w:spacing w:val="12"/>
                <w:w w:val="105"/>
              </w:rPr>
              <w:t xml:space="preserve"> </w:t>
            </w:r>
            <w:r w:rsidRPr="00EA7458">
              <w:rPr>
                <w:rFonts w:ascii="Calibri" w:hAnsi="Calibri"/>
                <w:w w:val="105"/>
              </w:rPr>
              <w:t>its</w:t>
            </w:r>
            <w:r w:rsidRPr="00EA7458">
              <w:rPr>
                <w:rFonts w:ascii="Calibri" w:hAnsi="Calibri"/>
                <w:spacing w:val="12"/>
                <w:w w:val="105"/>
              </w:rPr>
              <w:t xml:space="preserve"> </w:t>
            </w:r>
            <w:r w:rsidRPr="00EA7458">
              <w:rPr>
                <w:rFonts w:ascii="Calibri" w:hAnsi="Calibri"/>
                <w:w w:val="105"/>
              </w:rPr>
              <w:t>approved</w:t>
            </w:r>
            <w:r w:rsidRPr="00EA7458">
              <w:rPr>
                <w:rFonts w:ascii="Calibri" w:hAnsi="Calibri"/>
                <w:spacing w:val="12"/>
                <w:w w:val="105"/>
              </w:rPr>
              <w:t xml:space="preserve"> </w:t>
            </w:r>
            <w:r w:rsidRPr="00EA7458">
              <w:rPr>
                <w:rFonts w:ascii="Calibri" w:hAnsi="Calibri"/>
                <w:w w:val="105"/>
              </w:rPr>
              <w:t>waivers</w:t>
            </w:r>
            <w:r w:rsidRPr="00EA7458">
              <w:rPr>
                <w:rFonts w:ascii="Calibri" w:hAnsi="Calibri"/>
                <w:spacing w:val="12"/>
                <w:w w:val="105"/>
              </w:rPr>
              <w:t xml:space="preserve"> </w:t>
            </w:r>
            <w:r w:rsidRPr="00EA7458">
              <w:rPr>
                <w:rFonts w:ascii="Calibri" w:hAnsi="Calibri"/>
                <w:w w:val="105"/>
              </w:rPr>
              <w:t>in</w:t>
            </w:r>
            <w:r w:rsidRPr="00EA7458">
              <w:rPr>
                <w:rFonts w:ascii="Calibri" w:hAnsi="Calibri"/>
                <w:spacing w:val="12"/>
                <w:w w:val="105"/>
              </w:rPr>
              <w:t xml:space="preserve"> </w:t>
            </w:r>
            <w:r w:rsidRPr="00EA7458">
              <w:rPr>
                <w:rFonts w:ascii="Calibri" w:hAnsi="Calibri"/>
                <w:w w:val="105"/>
              </w:rPr>
              <w:t>its</w:t>
            </w:r>
            <w:r w:rsidRPr="00EA7458">
              <w:rPr>
                <w:rFonts w:ascii="Calibri" w:hAnsi="Calibri"/>
                <w:spacing w:val="12"/>
                <w:w w:val="105"/>
              </w:rPr>
              <w:t xml:space="preserve"> </w:t>
            </w:r>
            <w:r w:rsidRPr="00EA7458">
              <w:rPr>
                <w:rFonts w:ascii="Calibri" w:hAnsi="Calibri"/>
                <w:spacing w:val="-3"/>
                <w:w w:val="105"/>
              </w:rPr>
              <w:t>WIOA</w:t>
            </w:r>
            <w:r w:rsidRPr="00EA7458">
              <w:rPr>
                <w:rFonts w:ascii="Calibri" w:hAnsi="Calibri"/>
                <w:spacing w:val="12"/>
                <w:w w:val="105"/>
              </w:rPr>
              <w:t xml:space="preserve"> </w:t>
            </w:r>
            <w:r w:rsidRPr="00EA7458">
              <w:rPr>
                <w:rFonts w:ascii="Calibri" w:hAnsi="Calibri"/>
                <w:w w:val="105"/>
              </w:rPr>
              <w:t>Annual</w:t>
            </w:r>
            <w:r w:rsidRPr="00EA7458">
              <w:rPr>
                <w:rFonts w:ascii="Calibri" w:hAnsi="Calibri"/>
                <w:w w:val="107"/>
              </w:rPr>
              <w:t xml:space="preserve"> </w:t>
            </w:r>
            <w:r w:rsidRPr="00EA7458">
              <w:rPr>
                <w:rFonts w:ascii="Calibri" w:hAnsi="Calibri"/>
                <w:w w:val="105"/>
              </w:rPr>
              <w:t>Report.</w:t>
            </w:r>
          </w:p>
        </w:tc>
      </w:tr>
      <w:tr w:rsidR="00EA7458" w:rsidRPr="00EA7458" w14:paraId="4B842AB2" w14:textId="77777777" w:rsidTr="00E65FFA">
        <w:trPr>
          <w:trHeight w:hRule="exact" w:val="1126"/>
        </w:trPr>
        <w:tc>
          <w:tcPr>
            <w:tcW w:w="516" w:type="dxa"/>
            <w:tcBorders>
              <w:top w:val="single" w:sz="2" w:space="0" w:color="231F20"/>
              <w:left w:val="single" w:sz="2" w:space="0" w:color="231F20"/>
              <w:bottom w:val="single" w:sz="2" w:space="0" w:color="231F20"/>
              <w:right w:val="single" w:sz="2" w:space="0" w:color="231F20"/>
            </w:tcBorders>
            <w:shd w:val="clear" w:color="auto" w:fill="E6E7E8"/>
          </w:tcPr>
          <w:p w14:paraId="6A56B3A2" w14:textId="77777777" w:rsidR="00EA7458" w:rsidRPr="00EA7458" w:rsidRDefault="00EA7458" w:rsidP="00EA7458">
            <w:pPr>
              <w:widowControl w:val="0"/>
              <w:spacing w:after="0" w:line="240" w:lineRule="auto"/>
              <w:rPr>
                <w:rFonts w:ascii="Calibri" w:hAnsi="Calibri" w:cs="Calibri"/>
                <w:b/>
                <w:bCs/>
              </w:rPr>
            </w:pPr>
          </w:p>
          <w:p w14:paraId="1B36503B" w14:textId="77777777" w:rsidR="00EA7458" w:rsidRPr="00EA7458" w:rsidRDefault="00EA7458" w:rsidP="00EA7458">
            <w:pPr>
              <w:widowControl w:val="0"/>
              <w:spacing w:before="169" w:after="0" w:line="240" w:lineRule="auto"/>
              <w:ind w:left="155"/>
              <w:rPr>
                <w:rFonts w:ascii="Calibri" w:hAnsi="Calibri" w:cs="Calibri"/>
              </w:rPr>
            </w:pPr>
            <w:r w:rsidRPr="00EA7458">
              <w:rPr>
                <w:rFonts w:ascii="Calibri" w:hAnsi="Calibri"/>
                <w:color w:val="231F20"/>
                <w:w w:val="80"/>
              </w:rPr>
              <w:t>11.</w:t>
            </w:r>
          </w:p>
        </w:tc>
        <w:tc>
          <w:tcPr>
            <w:tcW w:w="9703" w:type="dxa"/>
            <w:tcBorders>
              <w:top w:val="single" w:sz="2" w:space="0" w:color="231F20"/>
              <w:left w:val="single" w:sz="2" w:space="0" w:color="231F20"/>
              <w:bottom w:val="single" w:sz="2" w:space="0" w:color="231F20"/>
              <w:right w:val="single" w:sz="2" w:space="0" w:color="231F20"/>
            </w:tcBorders>
            <w:shd w:val="clear" w:color="auto" w:fill="E6E7E8"/>
          </w:tcPr>
          <w:p w14:paraId="0DB09D03" w14:textId="368D853D" w:rsidR="00EA7458" w:rsidRPr="00EA7458" w:rsidRDefault="00EA7458" w:rsidP="00D63204">
            <w:pPr>
              <w:widowControl w:val="0"/>
              <w:spacing w:before="40" w:after="0" w:line="264" w:lineRule="exact"/>
              <w:ind w:left="77" w:right="213"/>
              <w:rPr>
                <w:rFonts w:ascii="Calibri" w:hAnsi="Calibri" w:cs="Calibri"/>
              </w:rPr>
            </w:pPr>
            <w:r w:rsidRPr="00EA7458">
              <w:rPr>
                <w:rFonts w:ascii="Calibri" w:hAnsi="Calibri"/>
                <w:color w:val="231F20"/>
                <w:w w:val="105"/>
              </w:rPr>
              <w:t>The</w:t>
            </w:r>
            <w:r w:rsidRPr="00E472CD">
              <w:rPr>
                <w:rFonts w:ascii="Calibri" w:hAnsi="Calibri"/>
                <w:color w:val="231F20"/>
                <w:w w:val="105"/>
              </w:rPr>
              <w:t xml:space="preserve"> </w:t>
            </w:r>
            <w:r w:rsidR="00F50664">
              <w:rPr>
                <w:rFonts w:ascii="Calibri" w:hAnsi="Calibri"/>
                <w:color w:val="231F20"/>
                <w:w w:val="105"/>
              </w:rPr>
              <w:t>s</w:t>
            </w:r>
            <w:r w:rsidRPr="00EA7458">
              <w:rPr>
                <w:rFonts w:ascii="Calibri" w:hAnsi="Calibri"/>
                <w:color w:val="231F20"/>
                <w:w w:val="105"/>
              </w:rPr>
              <w:t>tate</w:t>
            </w:r>
            <w:r w:rsidRPr="00E472CD">
              <w:rPr>
                <w:rFonts w:ascii="Calibri" w:hAnsi="Calibri"/>
                <w:color w:val="231F20"/>
                <w:w w:val="105"/>
              </w:rPr>
              <w:t xml:space="preserve"> </w:t>
            </w:r>
            <w:r w:rsidRPr="00EA7458">
              <w:rPr>
                <w:rFonts w:ascii="Calibri" w:hAnsi="Calibri"/>
                <w:color w:val="231F20"/>
                <w:w w:val="105"/>
              </w:rPr>
              <w:t>has</w:t>
            </w:r>
            <w:r w:rsidRPr="00E472CD">
              <w:rPr>
                <w:rFonts w:ascii="Calibri" w:hAnsi="Calibri"/>
                <w:color w:val="231F20"/>
                <w:w w:val="105"/>
              </w:rPr>
              <w:t xml:space="preserve"> </w:t>
            </w:r>
            <w:r w:rsidRPr="00EA7458">
              <w:rPr>
                <w:rFonts w:ascii="Calibri" w:hAnsi="Calibri"/>
                <w:color w:val="231F20"/>
                <w:w w:val="105"/>
              </w:rPr>
              <w:t>secure</w:t>
            </w:r>
            <w:r w:rsidR="00255F88">
              <w:rPr>
                <w:rFonts w:ascii="Calibri" w:hAnsi="Calibri"/>
                <w:color w:val="231F20"/>
                <w:w w:val="105"/>
              </w:rPr>
              <w:t>d</w:t>
            </w:r>
            <w:r w:rsidRPr="00E472CD">
              <w:rPr>
                <w:rFonts w:ascii="Calibri" w:hAnsi="Calibri"/>
                <w:color w:val="231F20"/>
                <w:w w:val="105"/>
              </w:rPr>
              <w:t xml:space="preserve"> </w:t>
            </w:r>
            <w:r w:rsidRPr="00EA7458">
              <w:rPr>
                <w:rFonts w:ascii="Calibri" w:hAnsi="Calibri"/>
                <w:color w:val="231F20"/>
                <w:w w:val="105"/>
              </w:rPr>
              <w:t>compliance</w:t>
            </w:r>
            <w:r w:rsidRPr="00E472CD">
              <w:rPr>
                <w:rFonts w:ascii="Calibri" w:hAnsi="Calibri"/>
                <w:color w:val="231F20"/>
                <w:w w:val="105"/>
              </w:rPr>
              <w:t xml:space="preserve"> </w:t>
            </w:r>
            <w:r w:rsidRPr="00EA7458">
              <w:rPr>
                <w:rFonts w:ascii="Calibri" w:hAnsi="Calibri"/>
                <w:color w:val="231F20"/>
                <w:w w:val="105"/>
              </w:rPr>
              <w:t>with</w:t>
            </w:r>
            <w:r w:rsidRPr="00E472CD">
              <w:rPr>
                <w:rFonts w:ascii="Calibri" w:hAnsi="Calibri"/>
                <w:color w:val="231F20"/>
                <w:w w:val="105"/>
              </w:rPr>
              <w:t xml:space="preserve"> </w:t>
            </w:r>
            <w:r w:rsidRPr="00EA7458">
              <w:rPr>
                <w:rFonts w:ascii="Calibri" w:hAnsi="Calibri"/>
                <w:color w:val="231F20"/>
                <w:w w:val="105"/>
              </w:rPr>
              <w:t>the</w:t>
            </w:r>
            <w:r w:rsidRPr="00E472CD">
              <w:rPr>
                <w:rFonts w:ascii="Calibri" w:hAnsi="Calibri"/>
                <w:color w:val="231F20"/>
                <w:w w:val="105"/>
              </w:rPr>
              <w:t xml:space="preserve"> </w:t>
            </w:r>
            <w:r w:rsidRPr="00EA7458">
              <w:rPr>
                <w:rFonts w:ascii="Calibri" w:hAnsi="Calibri"/>
                <w:color w:val="231F20"/>
                <w:w w:val="105"/>
              </w:rPr>
              <w:t>Uniform</w:t>
            </w:r>
            <w:r w:rsidRPr="00E472CD">
              <w:rPr>
                <w:rFonts w:ascii="Calibri" w:hAnsi="Calibri"/>
                <w:color w:val="231F20"/>
                <w:w w:val="105"/>
              </w:rPr>
              <w:t xml:space="preserve"> </w:t>
            </w:r>
            <w:r w:rsidRPr="00EA7458">
              <w:rPr>
                <w:rFonts w:ascii="Calibri" w:hAnsi="Calibri"/>
                <w:color w:val="231F20"/>
                <w:w w:val="105"/>
              </w:rPr>
              <w:t>Guidance</w:t>
            </w:r>
            <w:r w:rsidRPr="00E472CD">
              <w:rPr>
                <w:rFonts w:ascii="Calibri" w:hAnsi="Calibri"/>
                <w:color w:val="231F20"/>
                <w:w w:val="105"/>
              </w:rPr>
              <w:t xml:space="preserve"> </w:t>
            </w:r>
            <w:r w:rsidRPr="00EA7458">
              <w:rPr>
                <w:rFonts w:ascii="Calibri" w:hAnsi="Calibri"/>
                <w:color w:val="231F20"/>
                <w:w w:val="105"/>
              </w:rPr>
              <w:t>at</w:t>
            </w:r>
            <w:r w:rsidRPr="00E472CD">
              <w:rPr>
                <w:rFonts w:ascii="Calibri" w:hAnsi="Calibri"/>
                <w:color w:val="231F20"/>
                <w:w w:val="105"/>
              </w:rPr>
              <w:t xml:space="preserve"> </w:t>
            </w:r>
            <w:r w:rsidRPr="00EA7458">
              <w:rPr>
                <w:rFonts w:ascii="Calibri" w:hAnsi="Calibri"/>
                <w:color w:val="231F20"/>
                <w:w w:val="105"/>
              </w:rPr>
              <w:t>2</w:t>
            </w:r>
            <w:r w:rsidRPr="00E472CD">
              <w:rPr>
                <w:rFonts w:ascii="Calibri" w:hAnsi="Calibri"/>
                <w:color w:val="231F20"/>
                <w:w w:val="105"/>
              </w:rPr>
              <w:t xml:space="preserve"> </w:t>
            </w:r>
            <w:r w:rsidRPr="00EA7458">
              <w:rPr>
                <w:rFonts w:ascii="Calibri" w:hAnsi="Calibri"/>
                <w:color w:val="231F20"/>
                <w:w w:val="105"/>
              </w:rPr>
              <w:t>CFR</w:t>
            </w:r>
            <w:r w:rsidRPr="00E472CD">
              <w:rPr>
                <w:rFonts w:ascii="Calibri" w:hAnsi="Calibri"/>
                <w:color w:val="231F20"/>
                <w:w w:val="105"/>
              </w:rPr>
              <w:t xml:space="preserve"> </w:t>
            </w:r>
            <w:r w:rsidRPr="00EA7458">
              <w:rPr>
                <w:rFonts w:ascii="Calibri" w:hAnsi="Calibri"/>
                <w:color w:val="231F20"/>
                <w:w w:val="105"/>
              </w:rPr>
              <w:t>200</w:t>
            </w:r>
            <w:r w:rsidRPr="00E472CD">
              <w:rPr>
                <w:rFonts w:ascii="Calibri" w:hAnsi="Calibri"/>
                <w:color w:val="231F20"/>
                <w:w w:val="105"/>
              </w:rPr>
              <w:t xml:space="preserve"> </w:t>
            </w:r>
            <w:r w:rsidRPr="00EA7458">
              <w:rPr>
                <w:rFonts w:ascii="Calibri" w:hAnsi="Calibri"/>
                <w:color w:val="231F20"/>
                <w:w w:val="105"/>
              </w:rPr>
              <w:t>and</w:t>
            </w:r>
            <w:r w:rsidRPr="00E472CD">
              <w:rPr>
                <w:rFonts w:ascii="Calibri" w:hAnsi="Calibri"/>
                <w:color w:val="231F20"/>
                <w:w w:val="105"/>
              </w:rPr>
              <w:t xml:space="preserve"> </w:t>
            </w:r>
            <w:r w:rsidRPr="00EA7458">
              <w:rPr>
                <w:rFonts w:ascii="Calibri" w:hAnsi="Calibri"/>
                <w:color w:val="231F20"/>
                <w:w w:val="105"/>
              </w:rPr>
              <w:t>2</w:t>
            </w:r>
            <w:r w:rsidRPr="00E472CD">
              <w:rPr>
                <w:rFonts w:ascii="Calibri" w:hAnsi="Calibri"/>
                <w:color w:val="231F20"/>
                <w:w w:val="105"/>
              </w:rPr>
              <w:t xml:space="preserve"> </w:t>
            </w:r>
            <w:r w:rsidRPr="00EA7458">
              <w:rPr>
                <w:rFonts w:ascii="Calibri" w:hAnsi="Calibri"/>
                <w:color w:val="231F20"/>
                <w:w w:val="105"/>
              </w:rPr>
              <w:t>CFR</w:t>
            </w:r>
            <w:r w:rsidRPr="00E472CD">
              <w:rPr>
                <w:rFonts w:ascii="Calibri" w:hAnsi="Calibri"/>
                <w:color w:val="231F20"/>
                <w:w w:val="105"/>
              </w:rPr>
              <w:t xml:space="preserve"> </w:t>
            </w:r>
            <w:r w:rsidRPr="00EA7458">
              <w:rPr>
                <w:rFonts w:ascii="Calibri" w:hAnsi="Calibri"/>
                <w:color w:val="231F20"/>
                <w:w w:val="105"/>
              </w:rPr>
              <w:t>2900</w:t>
            </w:r>
            <w:r w:rsidR="00156E48">
              <w:rPr>
                <w:rFonts w:ascii="Calibri" w:hAnsi="Calibri"/>
                <w:color w:val="231F20"/>
                <w:w w:val="105"/>
              </w:rPr>
              <w:t>, including that the State</w:t>
            </w:r>
            <w:r w:rsidR="00255F88">
              <w:rPr>
                <w:rFonts w:ascii="Calibri" w:hAnsi="Calibri"/>
                <w:color w:val="231F20"/>
                <w:w w:val="105"/>
              </w:rPr>
              <w:t xml:space="preserve"> </w:t>
            </w:r>
            <w:r w:rsidRPr="00EA7458">
              <w:rPr>
                <w:rFonts w:ascii="Calibri" w:hAnsi="Calibri"/>
                <w:color w:val="231F20"/>
                <w:w w:val="105"/>
              </w:rPr>
              <w:t>will</w:t>
            </w:r>
            <w:r w:rsidRPr="00E472CD">
              <w:rPr>
                <w:rFonts w:ascii="Calibri" w:hAnsi="Calibri"/>
                <w:color w:val="231F20"/>
                <w:w w:val="105"/>
              </w:rPr>
              <w:t xml:space="preserve"> </w:t>
            </w:r>
            <w:r w:rsidRPr="00EA7458">
              <w:rPr>
                <w:rFonts w:ascii="Calibri" w:hAnsi="Calibri"/>
                <w:color w:val="231F20"/>
                <w:w w:val="105"/>
              </w:rPr>
              <w:t>annually</w:t>
            </w:r>
            <w:r w:rsidRPr="00E472CD">
              <w:rPr>
                <w:rFonts w:ascii="Calibri" w:hAnsi="Calibri"/>
                <w:color w:val="231F20"/>
                <w:w w:val="105"/>
              </w:rPr>
              <w:t xml:space="preserve"> </w:t>
            </w:r>
            <w:r w:rsidRPr="00EA7458">
              <w:rPr>
                <w:rFonts w:ascii="Calibri" w:hAnsi="Calibri"/>
                <w:color w:val="231F20"/>
                <w:w w:val="105"/>
              </w:rPr>
              <w:t>monitor</w:t>
            </w:r>
            <w:r w:rsidRPr="00E472CD">
              <w:rPr>
                <w:rFonts w:ascii="Calibri" w:hAnsi="Calibri"/>
                <w:color w:val="231F20"/>
                <w:w w:val="105"/>
              </w:rPr>
              <w:t xml:space="preserve"> </w:t>
            </w:r>
            <w:r w:rsidRPr="00EA7458">
              <w:rPr>
                <w:rFonts w:ascii="Calibri" w:hAnsi="Calibri"/>
                <w:color w:val="231F20"/>
                <w:w w:val="105"/>
              </w:rPr>
              <w:t>local</w:t>
            </w:r>
            <w:r w:rsidRPr="00E472CD">
              <w:rPr>
                <w:rFonts w:ascii="Calibri" w:hAnsi="Calibri"/>
                <w:color w:val="231F20"/>
                <w:w w:val="105"/>
              </w:rPr>
              <w:t xml:space="preserve"> </w:t>
            </w:r>
            <w:r w:rsidRPr="00EA7458">
              <w:rPr>
                <w:rFonts w:ascii="Calibri" w:hAnsi="Calibri"/>
                <w:color w:val="231F20"/>
                <w:w w:val="105"/>
              </w:rPr>
              <w:t>areas</w:t>
            </w:r>
            <w:r w:rsidRPr="00E472CD">
              <w:rPr>
                <w:rFonts w:ascii="Calibri" w:hAnsi="Calibri"/>
                <w:color w:val="231F20"/>
                <w:w w:val="105"/>
              </w:rPr>
              <w:t xml:space="preserve"> </w:t>
            </w:r>
            <w:r w:rsidRPr="00EA7458">
              <w:rPr>
                <w:rFonts w:ascii="Calibri" w:hAnsi="Calibri"/>
                <w:color w:val="231F20"/>
                <w:w w:val="105"/>
              </w:rPr>
              <w:t>to</w:t>
            </w:r>
            <w:r w:rsidRPr="00E472CD">
              <w:rPr>
                <w:rFonts w:ascii="Calibri" w:hAnsi="Calibri"/>
                <w:color w:val="231F20"/>
                <w:w w:val="105"/>
              </w:rPr>
              <w:t xml:space="preserve"> </w:t>
            </w:r>
            <w:r w:rsidRPr="00EA7458">
              <w:rPr>
                <w:rFonts w:ascii="Calibri" w:hAnsi="Calibri"/>
                <w:color w:val="231F20"/>
                <w:w w:val="105"/>
              </w:rPr>
              <w:t>ensure</w:t>
            </w:r>
            <w:r w:rsidRPr="00E472CD">
              <w:rPr>
                <w:rFonts w:ascii="Calibri" w:hAnsi="Calibri"/>
                <w:color w:val="231F20"/>
                <w:w w:val="105"/>
              </w:rPr>
              <w:t xml:space="preserve"> </w:t>
            </w:r>
            <w:r w:rsidRPr="00EA7458">
              <w:rPr>
                <w:rFonts w:ascii="Calibri" w:hAnsi="Calibri"/>
                <w:color w:val="231F20"/>
                <w:w w:val="105"/>
              </w:rPr>
              <w:t>compliance</w:t>
            </w:r>
            <w:r w:rsidRPr="00E472CD">
              <w:rPr>
                <w:rFonts w:ascii="Calibri" w:hAnsi="Calibri"/>
                <w:color w:val="231F20"/>
                <w:w w:val="105"/>
              </w:rPr>
              <w:t xml:space="preserve"> </w:t>
            </w:r>
            <w:r w:rsidRPr="00EA7458">
              <w:rPr>
                <w:rFonts w:ascii="Calibri" w:hAnsi="Calibri"/>
                <w:color w:val="231F20"/>
                <w:w w:val="105"/>
              </w:rPr>
              <w:t>and</w:t>
            </w:r>
            <w:r w:rsidRPr="00E472CD">
              <w:rPr>
                <w:rFonts w:ascii="Calibri" w:hAnsi="Calibri"/>
                <w:color w:val="231F20"/>
                <w:w w:val="105"/>
              </w:rPr>
              <w:t xml:space="preserve"> </w:t>
            </w:r>
            <w:r w:rsidR="00156E48">
              <w:rPr>
                <w:rFonts w:ascii="Calibri" w:hAnsi="Calibri"/>
                <w:color w:val="231F20"/>
                <w:w w:val="105"/>
              </w:rPr>
              <w:t xml:space="preserve">otherwise </w:t>
            </w:r>
            <w:r w:rsidRPr="00EA7458">
              <w:rPr>
                <w:rFonts w:ascii="Calibri" w:hAnsi="Calibri"/>
                <w:color w:val="231F20"/>
                <w:w w:val="105"/>
              </w:rPr>
              <w:t>take</w:t>
            </w:r>
            <w:r w:rsidRPr="00E472CD">
              <w:rPr>
                <w:rFonts w:ascii="Calibri" w:hAnsi="Calibri"/>
                <w:color w:val="231F20"/>
                <w:w w:val="105"/>
              </w:rPr>
              <w:t xml:space="preserve"> </w:t>
            </w:r>
            <w:r w:rsidRPr="00EA7458">
              <w:rPr>
                <w:rFonts w:ascii="Calibri" w:hAnsi="Calibri"/>
                <w:color w:val="231F20"/>
                <w:w w:val="105"/>
              </w:rPr>
              <w:t>action</w:t>
            </w:r>
            <w:r w:rsidRPr="00E472CD">
              <w:rPr>
                <w:rFonts w:ascii="Calibri" w:hAnsi="Calibri"/>
                <w:color w:val="231F20"/>
                <w:w w:val="105"/>
              </w:rPr>
              <w:t xml:space="preserve"> </w:t>
            </w:r>
            <w:r w:rsidRPr="00EA7458">
              <w:rPr>
                <w:rFonts w:ascii="Calibri" w:hAnsi="Calibri"/>
                <w:color w:val="231F20"/>
                <w:w w:val="105"/>
              </w:rPr>
              <w:t>to</w:t>
            </w:r>
            <w:r w:rsidRPr="00E472CD">
              <w:rPr>
                <w:rFonts w:ascii="Calibri" w:hAnsi="Calibri"/>
                <w:color w:val="231F20"/>
                <w:w w:val="105"/>
              </w:rPr>
              <w:t xml:space="preserve"> </w:t>
            </w:r>
            <w:r w:rsidRPr="00EA7458">
              <w:rPr>
                <w:rFonts w:ascii="Calibri" w:hAnsi="Calibri"/>
                <w:color w:val="231F20"/>
                <w:w w:val="105"/>
              </w:rPr>
              <w:t>secure</w:t>
            </w:r>
            <w:r w:rsidRPr="00E472CD">
              <w:rPr>
                <w:rFonts w:ascii="Calibri" w:hAnsi="Calibri"/>
                <w:color w:val="231F20"/>
                <w:w w:val="105"/>
              </w:rPr>
              <w:t xml:space="preserve"> </w:t>
            </w:r>
            <w:r w:rsidRPr="00EA7458">
              <w:rPr>
                <w:rFonts w:ascii="Calibri" w:hAnsi="Calibri"/>
                <w:color w:val="231F20"/>
                <w:w w:val="105"/>
              </w:rPr>
              <w:t>compliance</w:t>
            </w:r>
            <w:r w:rsidRPr="00E472CD">
              <w:rPr>
                <w:rFonts w:ascii="Calibri" w:hAnsi="Calibri"/>
                <w:color w:val="231F20"/>
                <w:w w:val="105"/>
              </w:rPr>
              <w:t xml:space="preserve"> </w:t>
            </w:r>
            <w:r w:rsidRPr="00EA7458">
              <w:rPr>
                <w:rFonts w:ascii="Calibri" w:hAnsi="Calibri"/>
                <w:color w:val="231F20"/>
                <w:w w:val="105"/>
              </w:rPr>
              <w:t>with</w:t>
            </w:r>
            <w:r w:rsidRPr="00E472CD">
              <w:rPr>
                <w:rFonts w:ascii="Calibri" w:hAnsi="Calibri"/>
                <w:color w:val="231F20"/>
                <w:w w:val="105"/>
              </w:rPr>
              <w:t xml:space="preserve"> </w:t>
            </w:r>
            <w:r w:rsidRPr="00EA7458">
              <w:rPr>
                <w:rFonts w:ascii="Calibri" w:hAnsi="Calibri"/>
                <w:color w:val="231F20"/>
                <w:w w:val="105"/>
              </w:rPr>
              <w:t>the</w:t>
            </w:r>
            <w:r w:rsidRPr="00E472CD">
              <w:rPr>
                <w:rFonts w:ascii="Calibri" w:hAnsi="Calibri"/>
                <w:color w:val="231F20"/>
                <w:w w:val="105"/>
              </w:rPr>
              <w:t xml:space="preserve"> </w:t>
            </w:r>
            <w:r w:rsidRPr="00EA7458">
              <w:rPr>
                <w:rFonts w:ascii="Calibri" w:hAnsi="Calibri"/>
                <w:color w:val="231F20"/>
                <w:w w:val="105"/>
              </w:rPr>
              <w:t>Uniform</w:t>
            </w:r>
            <w:r w:rsidRPr="00E472CD">
              <w:rPr>
                <w:rFonts w:ascii="Calibri" w:hAnsi="Calibri"/>
                <w:color w:val="231F20"/>
                <w:w w:val="105"/>
              </w:rPr>
              <w:t xml:space="preserve"> </w:t>
            </w:r>
            <w:r w:rsidRPr="00EA7458">
              <w:rPr>
                <w:rFonts w:ascii="Calibri" w:hAnsi="Calibri"/>
                <w:color w:val="231F20"/>
                <w:w w:val="105"/>
              </w:rPr>
              <w:t xml:space="preserve">Guidance under section </w:t>
            </w:r>
            <w:r w:rsidRPr="00E472CD">
              <w:rPr>
                <w:rFonts w:ascii="Calibri" w:hAnsi="Calibri"/>
                <w:color w:val="231F20"/>
                <w:w w:val="105"/>
              </w:rPr>
              <w:t xml:space="preserve">WIOA </w:t>
            </w:r>
            <w:r w:rsidRPr="00EA7458">
              <w:rPr>
                <w:rFonts w:ascii="Calibri" w:hAnsi="Calibri"/>
                <w:color w:val="231F20"/>
                <w:w w:val="105"/>
              </w:rPr>
              <w:t>184(a)(3);</w:t>
            </w:r>
          </w:p>
        </w:tc>
      </w:tr>
    </w:tbl>
    <w:p w14:paraId="2866C7C1" w14:textId="77777777" w:rsidR="00EA7458" w:rsidRPr="00EA7458" w:rsidRDefault="00EA7458" w:rsidP="00EA7458">
      <w:pPr>
        <w:widowControl w:val="0"/>
        <w:spacing w:after="0" w:line="264" w:lineRule="exact"/>
        <w:rPr>
          <w:rFonts w:ascii="Calibri" w:hAnsi="Calibri" w:cs="Calibri"/>
        </w:rPr>
        <w:sectPr w:rsidR="00EA7458" w:rsidRPr="00EA7458">
          <w:pgSz w:w="12240" w:h="15840"/>
          <w:pgMar w:top="1620" w:right="900" w:bottom="820" w:left="900" w:header="812" w:footer="624" w:gutter="0"/>
          <w:cols w:space="720"/>
        </w:sectPr>
      </w:pPr>
    </w:p>
    <w:p w14:paraId="0A0A0FD5" w14:textId="77777777" w:rsidR="00EA7458" w:rsidRPr="00EA7458" w:rsidRDefault="00EA7458" w:rsidP="00EA7458">
      <w:pPr>
        <w:widowControl w:val="0"/>
        <w:spacing w:before="4" w:after="0" w:line="240" w:lineRule="auto"/>
        <w:rPr>
          <w:rFonts w:ascii="Calibri" w:hAnsi="Calibri" w:cs="Calibri"/>
          <w:b/>
          <w:bCs/>
          <w:sz w:val="14"/>
          <w:szCs w:val="14"/>
        </w:rPr>
      </w:pPr>
    </w:p>
    <w:p w14:paraId="3F0E1441" w14:textId="77777777" w:rsidR="00EA7458" w:rsidRPr="00EA7458" w:rsidRDefault="00EA7458" w:rsidP="00EA7458">
      <w:pPr>
        <w:widowControl w:val="0"/>
        <w:spacing w:before="57" w:after="0" w:line="240" w:lineRule="auto"/>
        <w:ind w:left="107"/>
        <w:outlineLvl w:val="2"/>
        <w:rPr>
          <w:rFonts w:ascii="Calibri" w:hAnsi="Calibri"/>
        </w:rPr>
      </w:pPr>
      <w:r w:rsidRPr="00EA7458">
        <w:rPr>
          <w:rFonts w:ascii="Calibri" w:hAnsi="Calibri"/>
          <w:b/>
          <w:bCs/>
          <w:color w:val="231F20"/>
          <w:w w:val="110"/>
        </w:rPr>
        <w:t>CareerSource</w:t>
      </w:r>
      <w:r w:rsidRPr="00EA7458">
        <w:rPr>
          <w:rFonts w:ascii="Calibri" w:hAnsi="Calibri"/>
          <w:b/>
          <w:bCs/>
          <w:color w:val="231F20"/>
          <w:spacing w:val="18"/>
          <w:w w:val="110"/>
        </w:rPr>
        <w:t xml:space="preserve"> </w:t>
      </w:r>
      <w:r w:rsidRPr="00EA7458">
        <w:rPr>
          <w:rFonts w:ascii="Calibri" w:hAnsi="Calibri"/>
          <w:b/>
          <w:bCs/>
          <w:color w:val="231F20"/>
          <w:w w:val="110"/>
        </w:rPr>
        <w:t>Florida</w:t>
      </w:r>
    </w:p>
    <w:p w14:paraId="1A2BCC18" w14:textId="77777777" w:rsidR="00EA7458" w:rsidRPr="00EA7458" w:rsidRDefault="00EA7458" w:rsidP="00EA7458">
      <w:pPr>
        <w:widowControl w:val="0"/>
        <w:spacing w:after="0" w:line="240" w:lineRule="auto"/>
        <w:rPr>
          <w:rFonts w:ascii="Calibri" w:hAnsi="Calibri" w:cs="Calibri"/>
          <w:b/>
          <w:bCs/>
          <w:sz w:val="20"/>
          <w:szCs w:val="20"/>
        </w:rPr>
      </w:pPr>
    </w:p>
    <w:p w14:paraId="1D417D54" w14:textId="77777777" w:rsidR="00EA7458" w:rsidRPr="00EA7458" w:rsidRDefault="00EA7458" w:rsidP="00EA7458">
      <w:pPr>
        <w:widowControl w:val="0"/>
        <w:spacing w:after="0" w:line="240" w:lineRule="auto"/>
        <w:rPr>
          <w:rFonts w:ascii="Calibri" w:hAnsi="Calibri" w:cs="Calibri"/>
          <w:b/>
          <w:bCs/>
          <w:sz w:val="20"/>
          <w:szCs w:val="20"/>
        </w:rPr>
      </w:pPr>
    </w:p>
    <w:p w14:paraId="7471B35D" w14:textId="77777777" w:rsidR="00EA7458" w:rsidRPr="00EA7458" w:rsidRDefault="00EA7458" w:rsidP="00EA7458">
      <w:pPr>
        <w:widowControl w:val="0"/>
        <w:spacing w:after="0" w:line="240" w:lineRule="auto"/>
        <w:rPr>
          <w:rFonts w:ascii="Calibri" w:hAnsi="Calibri" w:cs="Calibri"/>
          <w:b/>
          <w:bCs/>
          <w:sz w:val="20"/>
          <w:szCs w:val="20"/>
        </w:rPr>
      </w:pPr>
    </w:p>
    <w:p w14:paraId="48FAEB4C" w14:textId="77777777" w:rsidR="00EA7458" w:rsidRPr="00EA7458" w:rsidRDefault="00EA7458" w:rsidP="00EA7458">
      <w:pPr>
        <w:widowControl w:val="0"/>
        <w:spacing w:after="0" w:line="240" w:lineRule="auto"/>
        <w:rPr>
          <w:rFonts w:ascii="Calibri" w:hAnsi="Calibri" w:cs="Calibri"/>
          <w:b/>
          <w:bCs/>
          <w:sz w:val="19"/>
          <w:szCs w:val="19"/>
        </w:rPr>
      </w:pPr>
    </w:p>
    <w:p w14:paraId="2E5640CD" w14:textId="03DDC9EA" w:rsidR="00EA7458" w:rsidRPr="00EA7458" w:rsidRDefault="00EA7458" w:rsidP="00B26266">
      <w:pPr>
        <w:widowControl w:val="0"/>
        <w:tabs>
          <w:tab w:val="left" w:pos="6154"/>
          <w:tab w:val="left" w:pos="9238"/>
        </w:tabs>
        <w:spacing w:after="0" w:line="240" w:lineRule="auto"/>
        <w:ind w:left="107"/>
        <w:rPr>
          <w:rFonts w:ascii="Calibri" w:hAnsi="Calibri"/>
        </w:rPr>
      </w:pPr>
      <w:r w:rsidRPr="00EA7458">
        <w:rPr>
          <w:rFonts w:ascii="Calibri" w:hAnsi="Calibri"/>
          <w:b/>
          <w:color w:val="231F20"/>
          <w:w w:val="113"/>
          <w:sz w:val="16"/>
          <w:u w:val="single" w:color="221E1F"/>
        </w:rPr>
        <w:t xml:space="preserve"> </w:t>
      </w:r>
      <w:r w:rsidRPr="00EA7458">
        <w:rPr>
          <w:rFonts w:ascii="Calibri" w:hAnsi="Calibri"/>
          <w:b/>
          <w:color w:val="231F20"/>
          <w:sz w:val="16"/>
          <w:u w:val="single" w:color="221E1F"/>
        </w:rPr>
        <w:tab/>
      </w:r>
      <w:r w:rsidRPr="00EA7458">
        <w:rPr>
          <w:rFonts w:ascii="Calibri" w:hAnsi="Calibri"/>
          <w:b/>
          <w:color w:val="231F20"/>
          <w:sz w:val="16"/>
        </w:rPr>
        <w:t xml:space="preserve"> </w:t>
      </w:r>
      <w:r w:rsidRPr="00EA7458">
        <w:rPr>
          <w:rFonts w:ascii="Calibri" w:hAnsi="Calibri"/>
          <w:b/>
          <w:color w:val="231F20"/>
          <w:spacing w:val="-4"/>
          <w:w w:val="115"/>
          <w:sz w:val="16"/>
        </w:rPr>
        <w:t>DATE:</w:t>
      </w:r>
      <w:r w:rsidRPr="00EA7458">
        <w:rPr>
          <w:rFonts w:ascii="Calibri" w:hAnsi="Calibri"/>
          <w:b/>
          <w:color w:val="231F20"/>
          <w:spacing w:val="4"/>
          <w:sz w:val="16"/>
        </w:rPr>
        <w:t xml:space="preserve"> </w:t>
      </w:r>
      <w:r w:rsidRPr="00EA7458">
        <w:rPr>
          <w:rFonts w:ascii="Calibri" w:hAnsi="Calibri"/>
          <w:b/>
          <w:color w:val="231F20"/>
          <w:w w:val="113"/>
          <w:sz w:val="16"/>
          <w:u w:val="single" w:color="221E1F"/>
        </w:rPr>
        <w:t xml:space="preserve"> </w:t>
      </w:r>
      <w:r w:rsidRPr="00EA7458">
        <w:rPr>
          <w:rFonts w:ascii="Calibri" w:hAnsi="Calibri"/>
          <w:b/>
          <w:color w:val="231F20"/>
          <w:sz w:val="16"/>
          <w:u w:val="single" w:color="221E1F"/>
        </w:rPr>
        <w:tab/>
      </w:r>
      <w:r w:rsidR="00B26266">
        <w:rPr>
          <w:rFonts w:ascii="Calibri" w:hAnsi="Calibri"/>
          <w:b/>
          <w:color w:val="231F20"/>
          <w:sz w:val="16"/>
          <w:u w:val="single" w:color="221E1F"/>
        </w:rPr>
        <w:br/>
      </w:r>
      <w:r w:rsidR="009A395E">
        <w:rPr>
          <w:rFonts w:ascii="Calibri" w:hAnsi="Calibri"/>
          <w:color w:val="231F20"/>
          <w:w w:val="105"/>
        </w:rPr>
        <w:t>Michelle Dennard</w:t>
      </w:r>
      <w:r w:rsidRPr="00EA7458">
        <w:rPr>
          <w:rFonts w:ascii="Calibri" w:hAnsi="Calibri"/>
          <w:color w:val="231F20"/>
          <w:spacing w:val="-7"/>
          <w:w w:val="105"/>
        </w:rPr>
        <w:t xml:space="preserve">, </w:t>
      </w:r>
      <w:r w:rsidRPr="00EA7458">
        <w:rPr>
          <w:rFonts w:ascii="Calibri" w:hAnsi="Calibri"/>
          <w:color w:val="231F20"/>
          <w:w w:val="105"/>
        </w:rPr>
        <w:t>President</w:t>
      </w:r>
    </w:p>
    <w:p w14:paraId="3E00D0F7" w14:textId="77777777" w:rsidR="00EA7458" w:rsidRPr="00EA7458" w:rsidRDefault="00EA7458" w:rsidP="00EA7458">
      <w:pPr>
        <w:widowControl w:val="0"/>
        <w:spacing w:after="0" w:line="240" w:lineRule="auto"/>
        <w:rPr>
          <w:rFonts w:ascii="Calibri" w:hAnsi="Calibri" w:cs="Calibri"/>
        </w:rPr>
      </w:pPr>
    </w:p>
    <w:p w14:paraId="405D5B10" w14:textId="77777777" w:rsidR="00EA7458" w:rsidRPr="00EA7458" w:rsidRDefault="00EA7458" w:rsidP="00EA7458">
      <w:pPr>
        <w:widowControl w:val="0"/>
        <w:spacing w:before="2" w:after="0" w:line="240" w:lineRule="auto"/>
        <w:rPr>
          <w:rFonts w:ascii="Calibri" w:hAnsi="Calibri" w:cs="Calibri"/>
          <w:sz w:val="26"/>
          <w:szCs w:val="26"/>
        </w:rPr>
      </w:pPr>
    </w:p>
    <w:p w14:paraId="587B4BA7" w14:textId="77777777" w:rsidR="00EA7458" w:rsidRPr="00EA7458" w:rsidRDefault="00EA7458" w:rsidP="00EA7458">
      <w:pPr>
        <w:widowControl w:val="0"/>
        <w:spacing w:after="0" w:line="240" w:lineRule="auto"/>
        <w:ind w:left="107"/>
        <w:outlineLvl w:val="2"/>
        <w:rPr>
          <w:rFonts w:ascii="Calibri" w:hAnsi="Calibri"/>
        </w:rPr>
      </w:pPr>
      <w:r w:rsidRPr="00EA7458">
        <w:rPr>
          <w:rFonts w:ascii="Calibri" w:hAnsi="Calibri"/>
          <w:b/>
          <w:bCs/>
          <w:color w:val="231F20"/>
          <w:w w:val="105"/>
        </w:rPr>
        <w:t>Department of Economic</w:t>
      </w:r>
      <w:r w:rsidRPr="00EA7458">
        <w:rPr>
          <w:rFonts w:ascii="Calibri" w:hAnsi="Calibri"/>
          <w:b/>
          <w:bCs/>
          <w:color w:val="231F20"/>
          <w:spacing w:val="-7"/>
          <w:w w:val="105"/>
        </w:rPr>
        <w:t xml:space="preserve"> </w:t>
      </w:r>
      <w:r w:rsidRPr="00EA7458">
        <w:rPr>
          <w:rFonts w:ascii="Calibri" w:hAnsi="Calibri"/>
          <w:b/>
          <w:bCs/>
          <w:color w:val="231F20"/>
          <w:w w:val="105"/>
        </w:rPr>
        <w:t>Opportunity</w:t>
      </w:r>
    </w:p>
    <w:p w14:paraId="0D123384" w14:textId="77777777" w:rsidR="00EA7458" w:rsidRPr="00EA7458" w:rsidRDefault="00EA7458" w:rsidP="00EA7458">
      <w:pPr>
        <w:widowControl w:val="0"/>
        <w:spacing w:after="0" w:line="240" w:lineRule="auto"/>
        <w:rPr>
          <w:rFonts w:ascii="Calibri" w:hAnsi="Calibri" w:cs="Calibri"/>
          <w:b/>
          <w:bCs/>
          <w:sz w:val="20"/>
          <w:szCs w:val="20"/>
        </w:rPr>
      </w:pPr>
    </w:p>
    <w:p w14:paraId="0E4F0D5F" w14:textId="77777777" w:rsidR="00EA7458" w:rsidRPr="00EA7458" w:rsidRDefault="00EA7458" w:rsidP="00EA7458">
      <w:pPr>
        <w:widowControl w:val="0"/>
        <w:spacing w:after="0" w:line="240" w:lineRule="auto"/>
        <w:rPr>
          <w:rFonts w:ascii="Calibri" w:hAnsi="Calibri" w:cs="Calibri"/>
          <w:b/>
          <w:bCs/>
          <w:sz w:val="20"/>
          <w:szCs w:val="20"/>
        </w:rPr>
      </w:pPr>
    </w:p>
    <w:p w14:paraId="09C0B4C1" w14:textId="77777777" w:rsidR="00EA7458" w:rsidRPr="00EA7458" w:rsidRDefault="00EA7458" w:rsidP="00EA7458">
      <w:pPr>
        <w:widowControl w:val="0"/>
        <w:spacing w:after="0" w:line="240" w:lineRule="auto"/>
        <w:rPr>
          <w:rFonts w:ascii="Calibri" w:hAnsi="Calibri" w:cs="Calibri"/>
          <w:b/>
          <w:bCs/>
          <w:sz w:val="20"/>
          <w:szCs w:val="20"/>
        </w:rPr>
      </w:pPr>
    </w:p>
    <w:p w14:paraId="40E30F47" w14:textId="77777777" w:rsidR="00EA7458" w:rsidRPr="00EA7458" w:rsidRDefault="00EA7458" w:rsidP="00EA7458">
      <w:pPr>
        <w:widowControl w:val="0"/>
        <w:spacing w:after="0" w:line="240" w:lineRule="auto"/>
        <w:rPr>
          <w:rFonts w:ascii="Calibri" w:hAnsi="Calibri" w:cs="Calibri"/>
          <w:b/>
          <w:bCs/>
          <w:sz w:val="19"/>
          <w:szCs w:val="19"/>
        </w:rPr>
      </w:pPr>
    </w:p>
    <w:p w14:paraId="0160252F" w14:textId="6018A34E" w:rsidR="00EA7458" w:rsidRPr="00EA7458" w:rsidRDefault="00EA7458" w:rsidP="00B26266">
      <w:pPr>
        <w:widowControl w:val="0"/>
        <w:tabs>
          <w:tab w:val="left" w:pos="6154"/>
          <w:tab w:val="left" w:pos="9238"/>
        </w:tabs>
        <w:spacing w:after="0" w:line="240" w:lineRule="auto"/>
        <w:ind w:left="107"/>
        <w:rPr>
          <w:rFonts w:ascii="Calibri" w:hAnsi="Calibri"/>
        </w:rPr>
      </w:pPr>
      <w:r w:rsidRPr="00EA7458">
        <w:rPr>
          <w:rFonts w:ascii="Calibri" w:hAnsi="Calibri"/>
          <w:b/>
          <w:color w:val="231F20"/>
          <w:w w:val="113"/>
          <w:sz w:val="16"/>
          <w:u w:val="single" w:color="221E1F"/>
        </w:rPr>
        <w:t xml:space="preserve"> </w:t>
      </w:r>
      <w:r w:rsidRPr="00EA7458">
        <w:rPr>
          <w:rFonts w:ascii="Calibri" w:hAnsi="Calibri"/>
          <w:b/>
          <w:color w:val="231F20"/>
          <w:sz w:val="16"/>
          <w:u w:val="single" w:color="221E1F"/>
        </w:rPr>
        <w:tab/>
      </w:r>
      <w:r w:rsidRPr="00EA7458">
        <w:rPr>
          <w:rFonts w:ascii="Calibri" w:hAnsi="Calibri"/>
          <w:b/>
          <w:color w:val="231F20"/>
          <w:sz w:val="16"/>
        </w:rPr>
        <w:t xml:space="preserve"> </w:t>
      </w:r>
      <w:r w:rsidRPr="00EA7458">
        <w:rPr>
          <w:rFonts w:ascii="Calibri" w:hAnsi="Calibri"/>
          <w:b/>
          <w:color w:val="231F20"/>
          <w:spacing w:val="-4"/>
          <w:w w:val="115"/>
          <w:sz w:val="16"/>
        </w:rPr>
        <w:t>DATE:</w:t>
      </w:r>
      <w:r w:rsidRPr="00EA7458">
        <w:rPr>
          <w:rFonts w:ascii="Calibri" w:hAnsi="Calibri"/>
          <w:b/>
          <w:color w:val="231F20"/>
          <w:spacing w:val="4"/>
          <w:sz w:val="16"/>
        </w:rPr>
        <w:t xml:space="preserve"> </w:t>
      </w:r>
      <w:r w:rsidRPr="00EA7458">
        <w:rPr>
          <w:rFonts w:ascii="Calibri" w:hAnsi="Calibri"/>
          <w:b/>
          <w:color w:val="231F20"/>
          <w:w w:val="113"/>
          <w:sz w:val="16"/>
          <w:u w:val="single" w:color="221E1F"/>
        </w:rPr>
        <w:t xml:space="preserve"> </w:t>
      </w:r>
      <w:r w:rsidRPr="00EA7458">
        <w:rPr>
          <w:rFonts w:ascii="Calibri" w:hAnsi="Calibri"/>
          <w:b/>
          <w:color w:val="231F20"/>
          <w:sz w:val="16"/>
          <w:u w:val="single" w:color="221E1F"/>
        </w:rPr>
        <w:tab/>
      </w:r>
      <w:r w:rsidR="00B26266">
        <w:rPr>
          <w:rFonts w:ascii="Calibri" w:hAnsi="Calibri"/>
          <w:b/>
          <w:color w:val="231F20"/>
          <w:sz w:val="16"/>
          <w:u w:val="single" w:color="221E1F"/>
        </w:rPr>
        <w:br/>
      </w:r>
      <w:r w:rsidRPr="00EA7458">
        <w:rPr>
          <w:rFonts w:ascii="Calibri" w:hAnsi="Calibri"/>
          <w:color w:val="231F20"/>
          <w:w w:val="110"/>
        </w:rPr>
        <w:t>Cissy</w:t>
      </w:r>
      <w:r w:rsidRPr="00EA7458">
        <w:rPr>
          <w:rFonts w:ascii="Calibri" w:hAnsi="Calibri"/>
          <w:color w:val="231F20"/>
          <w:spacing w:val="-18"/>
          <w:w w:val="110"/>
        </w:rPr>
        <w:t xml:space="preserve"> </w:t>
      </w:r>
      <w:r w:rsidRPr="00EA7458">
        <w:rPr>
          <w:rFonts w:ascii="Calibri" w:hAnsi="Calibri"/>
          <w:color w:val="231F20"/>
          <w:spacing w:val="-3"/>
          <w:w w:val="110"/>
        </w:rPr>
        <w:t>Proctor,</w:t>
      </w:r>
      <w:r w:rsidRPr="00EA7458">
        <w:rPr>
          <w:rFonts w:ascii="Calibri" w:hAnsi="Calibri"/>
          <w:color w:val="231F20"/>
          <w:spacing w:val="-18"/>
          <w:w w:val="110"/>
        </w:rPr>
        <w:t xml:space="preserve"> </w:t>
      </w:r>
      <w:r w:rsidRPr="00EA7458">
        <w:rPr>
          <w:rFonts w:ascii="Calibri" w:hAnsi="Calibri"/>
          <w:color w:val="231F20"/>
          <w:w w:val="110"/>
        </w:rPr>
        <w:t>Executive</w:t>
      </w:r>
      <w:r w:rsidRPr="00EA7458">
        <w:rPr>
          <w:rFonts w:ascii="Calibri" w:hAnsi="Calibri"/>
          <w:color w:val="231F20"/>
          <w:spacing w:val="-18"/>
          <w:w w:val="110"/>
        </w:rPr>
        <w:t xml:space="preserve"> </w:t>
      </w:r>
      <w:r w:rsidRPr="00EA7458">
        <w:rPr>
          <w:rFonts w:ascii="Calibri" w:hAnsi="Calibri"/>
          <w:color w:val="231F20"/>
          <w:w w:val="110"/>
        </w:rPr>
        <w:t>Director</w:t>
      </w:r>
    </w:p>
    <w:p w14:paraId="607F3B89" w14:textId="77777777" w:rsidR="00EA7458" w:rsidRPr="00EA7458" w:rsidRDefault="00EA7458" w:rsidP="00EA7458">
      <w:pPr>
        <w:widowControl w:val="0"/>
        <w:spacing w:after="0" w:line="240" w:lineRule="auto"/>
        <w:rPr>
          <w:rFonts w:ascii="Calibri" w:hAnsi="Calibri"/>
        </w:rPr>
        <w:sectPr w:rsidR="00EA7458" w:rsidRPr="00EA7458">
          <w:pgSz w:w="12240" w:h="15840"/>
          <w:pgMar w:top="1620" w:right="900" w:bottom="820" w:left="900" w:header="812" w:footer="624" w:gutter="0"/>
          <w:cols w:space="720"/>
        </w:sectPr>
      </w:pPr>
    </w:p>
    <w:p w14:paraId="0C1BF135" w14:textId="77777777" w:rsidR="00EA7458" w:rsidRPr="00EA7458" w:rsidRDefault="00EA7458" w:rsidP="00EA7458">
      <w:pPr>
        <w:widowControl w:val="0"/>
        <w:spacing w:before="8" w:after="0" w:line="240" w:lineRule="auto"/>
        <w:rPr>
          <w:rFonts w:ascii="Calibri" w:hAnsi="Calibri" w:cs="Calibri"/>
          <w:sz w:val="14"/>
          <w:szCs w:val="14"/>
        </w:rPr>
      </w:pPr>
    </w:p>
    <w:p w14:paraId="40A660F9" w14:textId="77777777" w:rsidR="008601E5" w:rsidRPr="008601E5" w:rsidRDefault="00EA7458" w:rsidP="00664EFD">
      <w:pPr>
        <w:widowControl w:val="0"/>
        <w:numPr>
          <w:ilvl w:val="0"/>
          <w:numId w:val="8"/>
        </w:numPr>
        <w:tabs>
          <w:tab w:val="left" w:pos="741"/>
          <w:tab w:val="left" w:pos="10313"/>
        </w:tabs>
        <w:spacing w:before="27" w:after="0" w:line="432" w:lineRule="exact"/>
        <w:ind w:right="107"/>
        <w:rPr>
          <w:rFonts w:ascii="Gill Sans MT" w:hAnsi="Gill Sans MT" w:cs="Gill Sans MT"/>
          <w:sz w:val="36"/>
          <w:szCs w:val="36"/>
        </w:rPr>
      </w:pPr>
      <w:bookmarkStart w:id="113" w:name="VII._Program-Specific_Requirements_for_C"/>
      <w:bookmarkStart w:id="114" w:name="(a)_Employment_Service_Professional_Staf"/>
      <w:bookmarkStart w:id="115" w:name="_bookmark62"/>
      <w:bookmarkEnd w:id="113"/>
      <w:bookmarkEnd w:id="114"/>
      <w:bookmarkEnd w:id="115"/>
      <w:r w:rsidRPr="00EA7458">
        <w:rPr>
          <w:rFonts w:ascii="Calibri" w:hAnsi="Calibri" w:cs="Calibri"/>
          <w:b/>
          <w:bCs/>
          <w:color w:val="295CA3"/>
          <w:w w:val="110"/>
          <w:sz w:val="36"/>
          <w:szCs w:val="36"/>
        </w:rPr>
        <w:t>PROGRAM-SPECIFIC REQUIREMENTS FOR</w:t>
      </w:r>
      <w:r w:rsidRPr="00EA7458">
        <w:rPr>
          <w:rFonts w:ascii="Calibri" w:hAnsi="Calibri" w:cs="Calibri"/>
          <w:b/>
          <w:bCs/>
          <w:color w:val="295CA3"/>
          <w:spacing w:val="55"/>
          <w:w w:val="110"/>
          <w:sz w:val="36"/>
          <w:szCs w:val="36"/>
        </w:rPr>
        <w:t xml:space="preserve"> </w:t>
      </w:r>
    </w:p>
    <w:p w14:paraId="2701358E" w14:textId="6BFBC3B0" w:rsidR="00EA7458" w:rsidRPr="00EA7458" w:rsidRDefault="004C13DF" w:rsidP="008601E5">
      <w:pPr>
        <w:widowControl w:val="0"/>
        <w:tabs>
          <w:tab w:val="left" w:pos="741"/>
          <w:tab w:val="left" w:pos="10313"/>
        </w:tabs>
        <w:spacing w:before="27" w:after="0" w:line="432" w:lineRule="exact"/>
        <w:ind w:left="108" w:right="107"/>
        <w:rPr>
          <w:rFonts w:ascii="Gill Sans MT" w:hAnsi="Gill Sans MT" w:cs="Gill Sans MT"/>
          <w:sz w:val="36"/>
          <w:szCs w:val="36"/>
        </w:rPr>
      </w:pPr>
      <w:r>
        <w:rPr>
          <w:rFonts w:ascii="Calibri" w:hAnsi="Calibri" w:cs="Calibri"/>
          <w:b/>
          <w:bCs/>
          <w:color w:val="295CA3"/>
          <w:w w:val="110"/>
          <w:sz w:val="36"/>
          <w:szCs w:val="36"/>
        </w:rPr>
        <w:t xml:space="preserve">  </w:t>
      </w:r>
      <w:r>
        <w:rPr>
          <w:rFonts w:ascii="Calibri" w:hAnsi="Calibri" w:cs="Calibri"/>
          <w:b/>
          <w:bCs/>
          <w:color w:val="295CA3"/>
          <w:w w:val="110"/>
          <w:sz w:val="36"/>
          <w:szCs w:val="36"/>
        </w:rPr>
        <w:tab/>
      </w:r>
      <w:r w:rsidR="00EA7458" w:rsidRPr="004C13DF">
        <w:rPr>
          <w:rFonts w:ascii="Calibri" w:hAnsi="Calibri" w:cs="Calibri"/>
          <w:b/>
          <w:bCs/>
          <w:color w:val="295CA3"/>
          <w:w w:val="110"/>
          <w:sz w:val="36"/>
          <w:szCs w:val="36"/>
          <w:u w:val="single" w:color="000000" w:themeColor="text1"/>
        </w:rPr>
        <w:t>CORE</w:t>
      </w:r>
      <w:r w:rsidR="00EA7458" w:rsidRPr="004C13DF">
        <w:rPr>
          <w:rFonts w:ascii="Calibri" w:hAnsi="Calibri" w:cs="Calibri"/>
          <w:b/>
          <w:bCs/>
          <w:color w:val="295CA3"/>
          <w:w w:val="119"/>
          <w:sz w:val="36"/>
          <w:szCs w:val="36"/>
          <w:u w:val="single" w:color="000000" w:themeColor="text1"/>
        </w:rPr>
        <w:t xml:space="preserve"> </w:t>
      </w:r>
      <w:r w:rsidR="00EA7458" w:rsidRPr="004C13DF">
        <w:rPr>
          <w:rFonts w:cstheme="minorHAnsi"/>
          <w:b/>
          <w:bCs/>
          <w:color w:val="295CA3"/>
          <w:w w:val="105"/>
          <w:sz w:val="36"/>
          <w:szCs w:val="36"/>
          <w:u w:val="single" w:color="000000" w:themeColor="text1"/>
        </w:rPr>
        <w:t>PROGRAMS</w:t>
      </w:r>
      <w:r w:rsidR="00EA7458" w:rsidRPr="00DD7DDE">
        <w:rPr>
          <w:rFonts w:cstheme="minorHAnsi"/>
          <w:b/>
          <w:bCs/>
          <w:color w:val="295CA3"/>
          <w:w w:val="105"/>
          <w:sz w:val="36"/>
          <w:szCs w:val="36"/>
          <w:u w:val="single" w:color="231F20"/>
        </w:rPr>
        <w:t>–</w:t>
      </w:r>
      <w:r w:rsidR="00EA7458" w:rsidRPr="00DD7DDE">
        <w:rPr>
          <w:rFonts w:cstheme="minorHAnsi"/>
          <w:b/>
          <w:bCs/>
          <w:i/>
          <w:color w:val="295CA3"/>
          <w:w w:val="105"/>
          <w:sz w:val="36"/>
          <w:szCs w:val="36"/>
          <w:u w:val="single" w:color="231F20"/>
        </w:rPr>
        <w:t>WAGNER-PEYSER ACT PROGRAM</w:t>
      </w:r>
      <w:r w:rsidR="00EA7458" w:rsidRPr="00EA7458">
        <w:rPr>
          <w:rFonts w:ascii="Gill Sans MT" w:hAnsi="Gill Sans MT" w:cs="Gill Sans MT"/>
          <w:b/>
          <w:bCs/>
          <w:i/>
          <w:color w:val="295CA3"/>
          <w:sz w:val="36"/>
          <w:szCs w:val="36"/>
          <w:u w:val="single" w:color="231F20"/>
        </w:rPr>
        <w:tab/>
      </w:r>
      <w:r w:rsidR="00EA7458" w:rsidRPr="00EA7458">
        <w:rPr>
          <w:rFonts w:ascii="Gill Sans MT" w:hAnsi="Gill Sans MT" w:cs="Gill Sans MT"/>
          <w:b/>
          <w:bCs/>
          <w:i/>
          <w:color w:val="295CA3"/>
          <w:w w:val="17"/>
          <w:sz w:val="36"/>
          <w:szCs w:val="36"/>
          <w:u w:val="single" w:color="231F20"/>
        </w:rPr>
        <w:t xml:space="preserve"> </w:t>
      </w:r>
    </w:p>
    <w:p w14:paraId="74703E02" w14:textId="77777777" w:rsidR="00EA7458" w:rsidRPr="00EA7458" w:rsidRDefault="00EA7458" w:rsidP="00C061E8">
      <w:pPr>
        <w:widowControl w:val="0"/>
        <w:numPr>
          <w:ilvl w:val="0"/>
          <w:numId w:val="3"/>
        </w:numPr>
        <w:tabs>
          <w:tab w:val="left" w:pos="828"/>
        </w:tabs>
        <w:spacing w:before="98" w:after="0" w:line="240" w:lineRule="auto"/>
        <w:outlineLvl w:val="1"/>
        <w:rPr>
          <w:rFonts w:ascii="Calibri" w:hAnsi="Calibri"/>
          <w:sz w:val="26"/>
          <w:szCs w:val="26"/>
        </w:rPr>
      </w:pPr>
      <w:r w:rsidRPr="00EA7458">
        <w:rPr>
          <w:rFonts w:ascii="Calibri" w:hAnsi="Calibri"/>
          <w:b/>
          <w:bCs/>
          <w:color w:val="295CA3"/>
          <w:w w:val="110"/>
          <w:sz w:val="26"/>
          <w:szCs w:val="26"/>
        </w:rPr>
        <w:t>Employment Service Professional Staff</w:t>
      </w:r>
      <w:r w:rsidRPr="00EA7458">
        <w:rPr>
          <w:rFonts w:ascii="Calibri" w:hAnsi="Calibri"/>
          <w:b/>
          <w:bCs/>
          <w:color w:val="295CA3"/>
          <w:spacing w:val="-1"/>
          <w:w w:val="110"/>
          <w:sz w:val="26"/>
          <w:szCs w:val="26"/>
        </w:rPr>
        <w:t xml:space="preserve"> </w:t>
      </w:r>
      <w:r w:rsidRPr="00EA7458">
        <w:rPr>
          <w:rFonts w:ascii="Calibri" w:hAnsi="Calibri"/>
          <w:b/>
          <w:bCs/>
          <w:color w:val="295CA3"/>
          <w:w w:val="110"/>
          <w:sz w:val="26"/>
          <w:szCs w:val="26"/>
        </w:rPr>
        <w:t>Development</w:t>
      </w:r>
    </w:p>
    <w:p w14:paraId="1107C020" w14:textId="3E04E31F" w:rsidR="00EA7458" w:rsidRPr="00EA7458" w:rsidRDefault="00EA7458" w:rsidP="00C061E8">
      <w:pPr>
        <w:widowControl w:val="0"/>
        <w:numPr>
          <w:ilvl w:val="1"/>
          <w:numId w:val="3"/>
        </w:numPr>
        <w:tabs>
          <w:tab w:val="left" w:pos="1098"/>
        </w:tabs>
        <w:spacing w:before="184" w:after="0" w:line="240" w:lineRule="auto"/>
        <w:outlineLvl w:val="2"/>
        <w:rPr>
          <w:rFonts w:ascii="Calibri" w:hAnsi="Calibri"/>
        </w:rPr>
      </w:pPr>
      <w:r w:rsidRPr="00EA7458">
        <w:rPr>
          <w:rFonts w:ascii="Calibri" w:hAnsi="Calibri"/>
          <w:b/>
          <w:bCs/>
          <w:color w:val="295CA3"/>
          <w:w w:val="110"/>
        </w:rPr>
        <w:t>Professional Development for Employment Service Staff</w:t>
      </w:r>
    </w:p>
    <w:p w14:paraId="01492729" w14:textId="59E38A14" w:rsidR="006A3E35" w:rsidRPr="00AA5A73" w:rsidRDefault="00EA7458" w:rsidP="00D63204">
      <w:pPr>
        <w:widowControl w:val="0"/>
        <w:spacing w:before="193" w:after="0" w:line="240" w:lineRule="auto"/>
        <w:ind w:left="107"/>
        <w:rPr>
          <w:rFonts w:cstheme="minorHAnsi"/>
          <w:w w:val="105"/>
        </w:rPr>
      </w:pPr>
      <w:r w:rsidRPr="00C76B6F">
        <w:rPr>
          <w:rFonts w:cstheme="minorHAnsi"/>
          <w:w w:val="105"/>
        </w:rPr>
        <w:t>Florida</w:t>
      </w:r>
      <w:r w:rsidRPr="00AA5A73">
        <w:rPr>
          <w:rFonts w:cstheme="minorHAnsi"/>
          <w:w w:val="105"/>
        </w:rPr>
        <w:t xml:space="preserve"> </w:t>
      </w:r>
      <w:r w:rsidRPr="00C76B6F">
        <w:rPr>
          <w:rFonts w:cstheme="minorHAnsi"/>
          <w:w w:val="105"/>
        </w:rPr>
        <w:t>designed</w:t>
      </w:r>
      <w:r w:rsidRPr="00AA5A73">
        <w:rPr>
          <w:rFonts w:cstheme="minorHAnsi"/>
          <w:w w:val="105"/>
        </w:rPr>
        <w:t xml:space="preserve"> </w:t>
      </w:r>
      <w:r w:rsidRPr="00C76B6F">
        <w:rPr>
          <w:rFonts w:cstheme="minorHAnsi"/>
          <w:w w:val="105"/>
        </w:rPr>
        <w:t>a</w:t>
      </w:r>
      <w:r w:rsidRPr="00AA5A73">
        <w:rPr>
          <w:rFonts w:cstheme="minorHAnsi"/>
          <w:w w:val="105"/>
        </w:rPr>
        <w:t xml:space="preserve"> </w:t>
      </w:r>
      <w:r w:rsidRPr="00C76B6F">
        <w:rPr>
          <w:rFonts w:cstheme="minorHAnsi"/>
          <w:w w:val="105"/>
        </w:rPr>
        <w:t>comprehensive</w:t>
      </w:r>
      <w:r w:rsidRPr="00AA5A73">
        <w:rPr>
          <w:rFonts w:cstheme="minorHAnsi"/>
          <w:w w:val="105"/>
        </w:rPr>
        <w:t xml:space="preserve"> </w:t>
      </w:r>
      <w:r w:rsidRPr="00C76B6F">
        <w:rPr>
          <w:rFonts w:cstheme="minorHAnsi"/>
          <w:w w:val="105"/>
        </w:rPr>
        <w:t>certificate</w:t>
      </w:r>
      <w:r w:rsidRPr="00AA5A73">
        <w:rPr>
          <w:rFonts w:cstheme="minorHAnsi"/>
          <w:w w:val="105"/>
        </w:rPr>
        <w:t xml:space="preserve"> </w:t>
      </w:r>
      <w:r w:rsidRPr="00C76B6F">
        <w:rPr>
          <w:rFonts w:cstheme="minorHAnsi"/>
          <w:w w:val="105"/>
        </w:rPr>
        <w:t>exam</w:t>
      </w:r>
      <w:r w:rsidRPr="00AA5A73">
        <w:rPr>
          <w:rFonts w:cstheme="minorHAnsi"/>
          <w:w w:val="105"/>
        </w:rPr>
        <w:t xml:space="preserve"> </w:t>
      </w:r>
      <w:r w:rsidRPr="00C76B6F">
        <w:rPr>
          <w:rFonts w:cstheme="minorHAnsi"/>
          <w:w w:val="105"/>
        </w:rPr>
        <w:t>to</w:t>
      </w:r>
      <w:r w:rsidRPr="00AA5A73">
        <w:rPr>
          <w:rFonts w:cstheme="minorHAnsi"/>
          <w:w w:val="105"/>
        </w:rPr>
        <w:t xml:space="preserve"> </w:t>
      </w:r>
      <w:r w:rsidRPr="00C76B6F">
        <w:rPr>
          <w:rFonts w:cstheme="minorHAnsi"/>
          <w:w w:val="105"/>
        </w:rPr>
        <w:t>equip</w:t>
      </w:r>
      <w:r w:rsidRPr="00AA5A73">
        <w:rPr>
          <w:rFonts w:cstheme="minorHAnsi"/>
          <w:w w:val="105"/>
        </w:rPr>
        <w:t xml:space="preserve"> </w:t>
      </w:r>
      <w:r w:rsidRPr="00C76B6F">
        <w:rPr>
          <w:rFonts w:cstheme="minorHAnsi"/>
          <w:w w:val="105"/>
        </w:rPr>
        <w:t>all</w:t>
      </w:r>
      <w:r w:rsidRPr="00AA5A73">
        <w:rPr>
          <w:rFonts w:cstheme="minorHAnsi"/>
          <w:w w:val="105"/>
        </w:rPr>
        <w:t xml:space="preserve"> </w:t>
      </w:r>
      <w:r w:rsidRPr="00C76B6F">
        <w:rPr>
          <w:rFonts w:cstheme="minorHAnsi"/>
          <w:w w:val="105"/>
        </w:rPr>
        <w:t>Employment</w:t>
      </w:r>
      <w:r w:rsidRPr="00AA5A73">
        <w:rPr>
          <w:rFonts w:cstheme="minorHAnsi"/>
          <w:w w:val="105"/>
        </w:rPr>
        <w:t xml:space="preserve"> </w:t>
      </w:r>
      <w:r w:rsidRPr="00C76B6F">
        <w:rPr>
          <w:rFonts w:cstheme="minorHAnsi"/>
          <w:w w:val="105"/>
        </w:rPr>
        <w:t>Service</w:t>
      </w:r>
      <w:r w:rsidRPr="00AA5A73">
        <w:rPr>
          <w:rFonts w:cstheme="minorHAnsi"/>
          <w:w w:val="105"/>
        </w:rPr>
        <w:t xml:space="preserve"> </w:t>
      </w:r>
      <w:r w:rsidRPr="00C76B6F">
        <w:rPr>
          <w:rFonts w:cstheme="minorHAnsi"/>
          <w:w w:val="105"/>
        </w:rPr>
        <w:t>staff</w:t>
      </w:r>
      <w:r w:rsidRPr="00AA5A73">
        <w:rPr>
          <w:rFonts w:cstheme="minorHAnsi"/>
          <w:w w:val="105"/>
        </w:rPr>
        <w:t xml:space="preserve"> </w:t>
      </w:r>
      <w:r w:rsidRPr="00C76B6F">
        <w:rPr>
          <w:rFonts w:cstheme="minorHAnsi"/>
          <w:w w:val="105"/>
        </w:rPr>
        <w:t>with</w:t>
      </w:r>
      <w:r w:rsidRPr="00AA5A73">
        <w:rPr>
          <w:rFonts w:cstheme="minorHAnsi"/>
          <w:w w:val="105"/>
        </w:rPr>
        <w:t xml:space="preserve"> </w:t>
      </w:r>
      <w:r w:rsidRPr="00C76B6F">
        <w:rPr>
          <w:rFonts w:cstheme="minorHAnsi"/>
          <w:w w:val="105"/>
        </w:rPr>
        <w:t>appropriate</w:t>
      </w:r>
      <w:r w:rsidRPr="00AA5A73">
        <w:rPr>
          <w:rFonts w:cstheme="minorHAnsi"/>
          <w:w w:val="105"/>
        </w:rPr>
        <w:t xml:space="preserve"> </w:t>
      </w:r>
      <w:r w:rsidRPr="00C76B6F">
        <w:rPr>
          <w:rFonts w:cstheme="minorHAnsi"/>
          <w:w w:val="105"/>
        </w:rPr>
        <w:t>knowledge</w:t>
      </w:r>
      <w:r w:rsidRPr="00AA5A73">
        <w:rPr>
          <w:rFonts w:cstheme="minorHAnsi"/>
          <w:w w:val="105"/>
        </w:rPr>
        <w:t xml:space="preserve"> </w:t>
      </w:r>
      <w:r w:rsidRPr="00C76B6F">
        <w:rPr>
          <w:rFonts w:cstheme="minorHAnsi"/>
          <w:w w:val="105"/>
        </w:rPr>
        <w:t>to</w:t>
      </w:r>
      <w:r w:rsidRPr="00AA5A73">
        <w:rPr>
          <w:rFonts w:cstheme="minorHAnsi"/>
          <w:w w:val="105"/>
        </w:rPr>
        <w:t xml:space="preserve"> </w:t>
      </w:r>
      <w:r w:rsidRPr="00C76B6F">
        <w:rPr>
          <w:rFonts w:cstheme="minorHAnsi"/>
          <w:w w:val="105"/>
        </w:rPr>
        <w:t>provide</w:t>
      </w:r>
      <w:r w:rsidRPr="00AA5A73">
        <w:rPr>
          <w:rFonts w:cstheme="minorHAnsi"/>
          <w:w w:val="105"/>
        </w:rPr>
        <w:t xml:space="preserve"> </w:t>
      </w:r>
      <w:r w:rsidRPr="00C76B6F">
        <w:rPr>
          <w:rFonts w:cstheme="minorHAnsi"/>
          <w:w w:val="105"/>
        </w:rPr>
        <w:t>high</w:t>
      </w:r>
      <w:r w:rsidR="00E17353">
        <w:rPr>
          <w:rFonts w:cstheme="minorHAnsi"/>
          <w:w w:val="105"/>
        </w:rPr>
        <w:t>-</w:t>
      </w:r>
      <w:r w:rsidRPr="00C76B6F">
        <w:rPr>
          <w:rFonts w:cstheme="minorHAnsi"/>
          <w:w w:val="105"/>
        </w:rPr>
        <w:t>quality</w:t>
      </w:r>
      <w:r w:rsidRPr="00AA5A73">
        <w:rPr>
          <w:rFonts w:cstheme="minorHAnsi"/>
          <w:w w:val="105"/>
        </w:rPr>
        <w:t xml:space="preserve"> </w:t>
      </w:r>
      <w:r w:rsidRPr="00C76B6F">
        <w:rPr>
          <w:rFonts w:cstheme="minorHAnsi"/>
          <w:w w:val="105"/>
        </w:rPr>
        <w:t>services</w:t>
      </w:r>
      <w:r w:rsidRPr="00AA5A73">
        <w:rPr>
          <w:rFonts w:cstheme="minorHAnsi"/>
          <w:w w:val="105"/>
        </w:rPr>
        <w:t xml:space="preserve"> </w:t>
      </w:r>
      <w:r w:rsidRPr="00C76B6F">
        <w:rPr>
          <w:rFonts w:cstheme="minorHAnsi"/>
          <w:w w:val="105"/>
        </w:rPr>
        <w:t>to</w:t>
      </w:r>
      <w:r w:rsidRPr="00AA5A73">
        <w:rPr>
          <w:rFonts w:cstheme="minorHAnsi"/>
          <w:w w:val="105"/>
        </w:rPr>
        <w:t xml:space="preserve"> </w:t>
      </w:r>
      <w:r w:rsidRPr="00C76B6F">
        <w:rPr>
          <w:rFonts w:cstheme="minorHAnsi"/>
          <w:w w:val="105"/>
        </w:rPr>
        <w:t>job</w:t>
      </w:r>
      <w:r w:rsidR="007F14D7">
        <w:rPr>
          <w:rFonts w:cstheme="minorHAnsi"/>
          <w:w w:val="105"/>
        </w:rPr>
        <w:t xml:space="preserve"> </w:t>
      </w:r>
      <w:r w:rsidRPr="00C76B6F">
        <w:rPr>
          <w:rFonts w:cstheme="minorHAnsi"/>
          <w:w w:val="105"/>
        </w:rPr>
        <w:t>seekers</w:t>
      </w:r>
      <w:r w:rsidRPr="00AA5A73">
        <w:rPr>
          <w:rFonts w:cstheme="minorHAnsi"/>
          <w:w w:val="105"/>
        </w:rPr>
        <w:t xml:space="preserve"> </w:t>
      </w:r>
      <w:r w:rsidRPr="00C76B6F">
        <w:rPr>
          <w:rFonts w:cstheme="minorHAnsi"/>
          <w:w w:val="105"/>
        </w:rPr>
        <w:t>and</w:t>
      </w:r>
      <w:r w:rsidRPr="00AA5A73">
        <w:rPr>
          <w:rFonts w:cstheme="minorHAnsi"/>
          <w:w w:val="105"/>
        </w:rPr>
        <w:t xml:space="preserve"> </w:t>
      </w:r>
      <w:r w:rsidRPr="00C76B6F">
        <w:rPr>
          <w:rFonts w:cstheme="minorHAnsi"/>
          <w:w w:val="105"/>
        </w:rPr>
        <w:t>employers.</w:t>
      </w:r>
      <w:r w:rsidRPr="00AA5A73">
        <w:rPr>
          <w:rFonts w:cstheme="minorHAnsi"/>
          <w:w w:val="105"/>
        </w:rPr>
        <w:t xml:space="preserve"> </w:t>
      </w:r>
      <w:r w:rsidRPr="00C76B6F">
        <w:rPr>
          <w:rFonts w:cstheme="minorHAnsi"/>
          <w:w w:val="105"/>
        </w:rPr>
        <w:t>Within</w:t>
      </w:r>
      <w:r w:rsidRPr="00AA5A73">
        <w:rPr>
          <w:rFonts w:cstheme="minorHAnsi"/>
          <w:w w:val="105"/>
        </w:rPr>
        <w:t xml:space="preserve"> </w:t>
      </w:r>
      <w:r w:rsidRPr="00C76B6F">
        <w:rPr>
          <w:rFonts w:cstheme="minorHAnsi"/>
          <w:w w:val="105"/>
        </w:rPr>
        <w:t>six</w:t>
      </w:r>
      <w:r w:rsidRPr="00AA5A73">
        <w:rPr>
          <w:rFonts w:cstheme="minorHAnsi"/>
          <w:w w:val="105"/>
        </w:rPr>
        <w:t xml:space="preserve"> </w:t>
      </w:r>
      <w:r w:rsidRPr="00C76B6F">
        <w:rPr>
          <w:rFonts w:cstheme="minorHAnsi"/>
          <w:w w:val="105"/>
        </w:rPr>
        <w:t>months</w:t>
      </w:r>
      <w:r w:rsidRPr="00AA5A73">
        <w:rPr>
          <w:rFonts w:cstheme="minorHAnsi"/>
          <w:w w:val="105"/>
        </w:rPr>
        <w:t xml:space="preserve"> </w:t>
      </w:r>
      <w:r w:rsidRPr="00C76B6F">
        <w:rPr>
          <w:rFonts w:cstheme="minorHAnsi"/>
          <w:w w:val="105"/>
        </w:rPr>
        <w:t>of</w:t>
      </w:r>
      <w:r w:rsidRPr="00AA5A73">
        <w:rPr>
          <w:rFonts w:cstheme="minorHAnsi"/>
          <w:w w:val="105"/>
        </w:rPr>
        <w:t xml:space="preserve"> </w:t>
      </w:r>
      <w:r w:rsidRPr="00C76B6F">
        <w:rPr>
          <w:rFonts w:cstheme="minorHAnsi"/>
          <w:w w:val="105"/>
        </w:rPr>
        <w:t>hire,</w:t>
      </w:r>
      <w:r w:rsidRPr="00AA5A73">
        <w:rPr>
          <w:rFonts w:cstheme="minorHAnsi"/>
          <w:w w:val="105"/>
        </w:rPr>
        <w:t xml:space="preserve"> </w:t>
      </w:r>
      <w:r w:rsidRPr="00C76B6F">
        <w:rPr>
          <w:rFonts w:cstheme="minorHAnsi"/>
          <w:w w:val="105"/>
        </w:rPr>
        <w:t>all</w:t>
      </w:r>
      <w:r w:rsidRPr="00AA5A73">
        <w:rPr>
          <w:rFonts w:cstheme="minorHAnsi"/>
          <w:w w:val="105"/>
        </w:rPr>
        <w:t xml:space="preserve"> </w:t>
      </w:r>
      <w:r w:rsidRPr="00C76B6F">
        <w:rPr>
          <w:rFonts w:cstheme="minorHAnsi"/>
          <w:w w:val="105"/>
        </w:rPr>
        <w:t>front-line</w:t>
      </w:r>
      <w:r w:rsidRPr="00AA5A73">
        <w:rPr>
          <w:rFonts w:cstheme="minorHAnsi"/>
          <w:w w:val="105"/>
        </w:rPr>
        <w:t xml:space="preserve"> </w:t>
      </w:r>
      <w:r w:rsidRPr="00C76B6F">
        <w:rPr>
          <w:rFonts w:cstheme="minorHAnsi"/>
          <w:w w:val="105"/>
        </w:rPr>
        <w:t>staff</w:t>
      </w:r>
      <w:r w:rsidR="00DA7436" w:rsidRPr="00C76B6F">
        <w:rPr>
          <w:rFonts w:cstheme="minorHAnsi"/>
          <w:w w:val="105"/>
        </w:rPr>
        <w:t xml:space="preserve"> and employees </w:t>
      </w:r>
      <w:r w:rsidRPr="00C76B6F">
        <w:rPr>
          <w:rFonts w:cstheme="minorHAnsi"/>
          <w:w w:val="105"/>
        </w:rPr>
        <w:t>who</w:t>
      </w:r>
      <w:r w:rsidRPr="00AA5A73">
        <w:rPr>
          <w:rFonts w:cstheme="minorHAnsi"/>
          <w:w w:val="105"/>
        </w:rPr>
        <w:t xml:space="preserve"> </w:t>
      </w:r>
      <w:r w:rsidRPr="00C76B6F">
        <w:rPr>
          <w:rFonts w:cstheme="minorHAnsi"/>
          <w:w w:val="105"/>
        </w:rPr>
        <w:t>provide</w:t>
      </w:r>
      <w:r w:rsidRPr="00AA5A73">
        <w:rPr>
          <w:rFonts w:cstheme="minorHAnsi"/>
          <w:w w:val="105"/>
        </w:rPr>
        <w:t xml:space="preserve"> </w:t>
      </w:r>
      <w:r w:rsidRPr="00C76B6F">
        <w:rPr>
          <w:rFonts w:cstheme="minorHAnsi"/>
          <w:w w:val="105"/>
        </w:rPr>
        <w:t>direct</w:t>
      </w:r>
      <w:r w:rsidRPr="00AA5A73">
        <w:rPr>
          <w:rFonts w:cstheme="minorHAnsi"/>
          <w:w w:val="105"/>
        </w:rPr>
        <w:t xml:space="preserve"> </w:t>
      </w:r>
      <w:r w:rsidRPr="00C76B6F">
        <w:rPr>
          <w:rFonts w:cstheme="minorHAnsi"/>
          <w:w w:val="105"/>
        </w:rPr>
        <w:t>services</w:t>
      </w:r>
      <w:r w:rsidRPr="00AA5A73">
        <w:rPr>
          <w:rFonts w:cstheme="minorHAnsi"/>
          <w:w w:val="105"/>
        </w:rPr>
        <w:t xml:space="preserve"> </w:t>
      </w:r>
      <w:r w:rsidRPr="00C76B6F">
        <w:rPr>
          <w:rFonts w:cstheme="minorHAnsi"/>
          <w:w w:val="105"/>
        </w:rPr>
        <w:t>to</w:t>
      </w:r>
      <w:r w:rsidRPr="00AA5A73">
        <w:rPr>
          <w:rFonts w:cstheme="minorHAnsi"/>
          <w:w w:val="105"/>
        </w:rPr>
        <w:t xml:space="preserve"> </w:t>
      </w:r>
      <w:r w:rsidRPr="00C76B6F">
        <w:rPr>
          <w:rFonts w:cstheme="minorHAnsi"/>
          <w:w w:val="105"/>
        </w:rPr>
        <w:t>job</w:t>
      </w:r>
      <w:r w:rsidR="007F14D7">
        <w:rPr>
          <w:rFonts w:cstheme="minorHAnsi"/>
          <w:w w:val="105"/>
        </w:rPr>
        <w:t xml:space="preserve"> </w:t>
      </w:r>
      <w:r w:rsidRPr="00C76B6F">
        <w:rPr>
          <w:rFonts w:cstheme="minorHAnsi"/>
          <w:w w:val="105"/>
        </w:rPr>
        <w:t>seekers</w:t>
      </w:r>
      <w:r w:rsidRPr="00AA5A73">
        <w:rPr>
          <w:rFonts w:cstheme="minorHAnsi"/>
          <w:w w:val="105"/>
        </w:rPr>
        <w:t xml:space="preserve"> </w:t>
      </w:r>
      <w:r w:rsidRPr="00C76B6F">
        <w:rPr>
          <w:rFonts w:cstheme="minorHAnsi"/>
          <w:w w:val="105"/>
        </w:rPr>
        <w:t>or</w:t>
      </w:r>
      <w:r w:rsidRPr="00AA5A73">
        <w:rPr>
          <w:rFonts w:cstheme="minorHAnsi"/>
          <w:w w:val="105"/>
        </w:rPr>
        <w:t xml:space="preserve"> </w:t>
      </w:r>
      <w:r w:rsidRPr="00C76B6F">
        <w:rPr>
          <w:rFonts w:cstheme="minorHAnsi"/>
          <w:w w:val="105"/>
        </w:rPr>
        <w:t>employers,</w:t>
      </w:r>
      <w:r w:rsidRPr="00AA5A73">
        <w:rPr>
          <w:rFonts w:cstheme="minorHAnsi"/>
          <w:w w:val="105"/>
        </w:rPr>
        <w:t xml:space="preserve"> </w:t>
      </w:r>
      <w:r w:rsidRPr="00C76B6F">
        <w:rPr>
          <w:rFonts w:cstheme="minorHAnsi"/>
          <w:w w:val="105"/>
        </w:rPr>
        <w:t xml:space="preserve">are required to complete a series of standardized training modules </w:t>
      </w:r>
      <w:r w:rsidR="00DA7436" w:rsidRPr="00C76B6F">
        <w:rPr>
          <w:rFonts w:cstheme="minorHAnsi"/>
          <w:w w:val="105"/>
        </w:rPr>
        <w:t xml:space="preserve">providing </w:t>
      </w:r>
      <w:r w:rsidRPr="00C76B6F">
        <w:rPr>
          <w:rFonts w:cstheme="minorHAnsi"/>
          <w:w w:val="105"/>
        </w:rPr>
        <w:t>foundational information</w:t>
      </w:r>
      <w:r w:rsidR="00DA7436" w:rsidRPr="00C76B6F">
        <w:rPr>
          <w:rFonts w:cstheme="minorHAnsi"/>
          <w:w w:val="105"/>
        </w:rPr>
        <w:t xml:space="preserve"> </w:t>
      </w:r>
      <w:r w:rsidRPr="00C76B6F">
        <w:rPr>
          <w:rFonts w:cstheme="minorHAnsi"/>
          <w:w w:val="105"/>
        </w:rPr>
        <w:t>about</w:t>
      </w:r>
      <w:r w:rsidRPr="00AA5A73">
        <w:rPr>
          <w:rFonts w:cstheme="minorHAnsi"/>
          <w:w w:val="105"/>
        </w:rPr>
        <w:t xml:space="preserve"> </w:t>
      </w:r>
      <w:r w:rsidRPr="00C76B6F">
        <w:rPr>
          <w:rFonts w:cstheme="minorHAnsi"/>
          <w:w w:val="105"/>
        </w:rPr>
        <w:t>the</w:t>
      </w:r>
      <w:r w:rsidRPr="00AA5A73">
        <w:rPr>
          <w:rFonts w:cstheme="minorHAnsi"/>
          <w:w w:val="105"/>
        </w:rPr>
        <w:t xml:space="preserve"> </w:t>
      </w:r>
      <w:r w:rsidRPr="00C76B6F">
        <w:rPr>
          <w:rFonts w:cstheme="minorHAnsi"/>
          <w:w w:val="105"/>
        </w:rPr>
        <w:t>workforce</w:t>
      </w:r>
      <w:r w:rsidRPr="00AA5A73">
        <w:rPr>
          <w:rFonts w:cstheme="minorHAnsi"/>
          <w:w w:val="105"/>
        </w:rPr>
        <w:t xml:space="preserve"> </w:t>
      </w:r>
      <w:r w:rsidRPr="00C76B6F">
        <w:rPr>
          <w:rFonts w:cstheme="minorHAnsi"/>
          <w:w w:val="105"/>
        </w:rPr>
        <w:t>system.</w:t>
      </w:r>
      <w:r w:rsidRPr="00AA5A73">
        <w:rPr>
          <w:rFonts w:cstheme="minorHAnsi"/>
          <w:w w:val="105"/>
        </w:rPr>
        <w:t xml:space="preserve"> </w:t>
      </w:r>
    </w:p>
    <w:p w14:paraId="0E75A782" w14:textId="2983A933" w:rsidR="00EA7458" w:rsidRPr="00AA5A73" w:rsidRDefault="00EA7458" w:rsidP="00D63204">
      <w:pPr>
        <w:widowControl w:val="0"/>
        <w:spacing w:before="193" w:after="0" w:line="240" w:lineRule="auto"/>
        <w:ind w:left="107"/>
        <w:rPr>
          <w:rFonts w:cstheme="minorHAnsi"/>
          <w:w w:val="105"/>
        </w:rPr>
      </w:pPr>
      <w:r w:rsidRPr="00C76B6F">
        <w:rPr>
          <w:rFonts w:cstheme="minorHAnsi"/>
          <w:w w:val="105"/>
        </w:rPr>
        <w:t>The</w:t>
      </w:r>
      <w:r w:rsidRPr="00AA5A73">
        <w:rPr>
          <w:rFonts w:cstheme="minorHAnsi"/>
          <w:w w:val="105"/>
        </w:rPr>
        <w:t xml:space="preserve"> </w:t>
      </w:r>
      <w:r w:rsidRPr="00C76B6F">
        <w:rPr>
          <w:rFonts w:cstheme="minorHAnsi"/>
          <w:w w:val="105"/>
        </w:rPr>
        <w:t>Tier</w:t>
      </w:r>
      <w:r w:rsidRPr="00AA5A73">
        <w:rPr>
          <w:rFonts w:cstheme="minorHAnsi"/>
          <w:w w:val="105"/>
        </w:rPr>
        <w:t xml:space="preserve"> </w:t>
      </w:r>
      <w:r w:rsidRPr="00C76B6F">
        <w:rPr>
          <w:rFonts w:cstheme="minorHAnsi"/>
          <w:w w:val="105"/>
        </w:rPr>
        <w:t>I</w:t>
      </w:r>
      <w:r w:rsidRPr="00AA5A73">
        <w:rPr>
          <w:rFonts w:cstheme="minorHAnsi"/>
          <w:w w:val="105"/>
        </w:rPr>
        <w:t xml:space="preserve"> </w:t>
      </w:r>
      <w:r w:rsidRPr="00C76B6F">
        <w:rPr>
          <w:rFonts w:cstheme="minorHAnsi"/>
          <w:w w:val="105"/>
        </w:rPr>
        <w:t>Certificate</w:t>
      </w:r>
      <w:r w:rsidRPr="00AA5A73">
        <w:rPr>
          <w:rFonts w:cstheme="minorHAnsi"/>
          <w:w w:val="105"/>
        </w:rPr>
        <w:t xml:space="preserve"> </w:t>
      </w:r>
      <w:r w:rsidRPr="00C76B6F">
        <w:rPr>
          <w:rFonts w:cstheme="minorHAnsi"/>
          <w:w w:val="105"/>
        </w:rPr>
        <w:t>is</w:t>
      </w:r>
      <w:r w:rsidRPr="00AA5A73">
        <w:rPr>
          <w:rFonts w:cstheme="minorHAnsi"/>
          <w:w w:val="105"/>
        </w:rPr>
        <w:t xml:space="preserve"> </w:t>
      </w:r>
      <w:r w:rsidRPr="00C76B6F">
        <w:rPr>
          <w:rFonts w:cstheme="minorHAnsi"/>
          <w:w w:val="105"/>
        </w:rPr>
        <w:t>a</w:t>
      </w:r>
      <w:r w:rsidRPr="00AA5A73">
        <w:rPr>
          <w:rFonts w:cstheme="minorHAnsi"/>
          <w:w w:val="105"/>
        </w:rPr>
        <w:t xml:space="preserve"> </w:t>
      </w:r>
      <w:r w:rsidRPr="00C76B6F">
        <w:rPr>
          <w:rFonts w:cstheme="minorHAnsi"/>
          <w:w w:val="105"/>
        </w:rPr>
        <w:t>thorough</w:t>
      </w:r>
      <w:r w:rsidRPr="00AA5A73">
        <w:rPr>
          <w:rFonts w:cstheme="minorHAnsi"/>
          <w:w w:val="105"/>
        </w:rPr>
        <w:t xml:space="preserve"> </w:t>
      </w:r>
      <w:r w:rsidRPr="00C76B6F">
        <w:rPr>
          <w:rFonts w:cstheme="minorHAnsi"/>
          <w:w w:val="105"/>
        </w:rPr>
        <w:t>online</w:t>
      </w:r>
      <w:r w:rsidRPr="00AA5A73">
        <w:rPr>
          <w:rFonts w:cstheme="minorHAnsi"/>
          <w:w w:val="105"/>
        </w:rPr>
        <w:t xml:space="preserve"> </w:t>
      </w:r>
      <w:r w:rsidRPr="00C76B6F">
        <w:rPr>
          <w:rFonts w:cstheme="minorHAnsi"/>
          <w:w w:val="105"/>
        </w:rPr>
        <w:t>training</w:t>
      </w:r>
      <w:r w:rsidRPr="00AA5A73">
        <w:rPr>
          <w:rFonts w:cstheme="minorHAnsi"/>
          <w:w w:val="105"/>
        </w:rPr>
        <w:t xml:space="preserve"> </w:t>
      </w:r>
      <w:r w:rsidRPr="00C76B6F">
        <w:rPr>
          <w:rFonts w:cstheme="minorHAnsi"/>
          <w:w w:val="105"/>
        </w:rPr>
        <w:t>program</w:t>
      </w:r>
      <w:r w:rsidRPr="00AA5A73">
        <w:rPr>
          <w:rFonts w:cstheme="minorHAnsi"/>
          <w:w w:val="105"/>
        </w:rPr>
        <w:t xml:space="preserve"> </w:t>
      </w:r>
      <w:r w:rsidRPr="00C76B6F">
        <w:rPr>
          <w:rFonts w:cstheme="minorHAnsi"/>
          <w:w w:val="105"/>
        </w:rPr>
        <w:t>that</w:t>
      </w:r>
      <w:r w:rsidRPr="00AA5A73">
        <w:rPr>
          <w:rFonts w:cstheme="minorHAnsi"/>
          <w:w w:val="105"/>
        </w:rPr>
        <w:t xml:space="preserve"> </w:t>
      </w:r>
      <w:r w:rsidRPr="00C76B6F">
        <w:rPr>
          <w:rFonts w:cstheme="minorHAnsi"/>
          <w:w w:val="105"/>
        </w:rPr>
        <w:t>covers</w:t>
      </w:r>
      <w:r w:rsidRPr="00AA5A73">
        <w:rPr>
          <w:rFonts w:cstheme="minorHAnsi"/>
          <w:w w:val="105"/>
        </w:rPr>
        <w:t xml:space="preserve"> </w:t>
      </w:r>
      <w:r w:rsidRPr="00C76B6F">
        <w:rPr>
          <w:rFonts w:cstheme="minorHAnsi"/>
          <w:w w:val="105"/>
        </w:rPr>
        <w:t>topics</w:t>
      </w:r>
      <w:r w:rsidRPr="00AA5A73">
        <w:rPr>
          <w:rFonts w:cstheme="minorHAnsi"/>
          <w:w w:val="105"/>
        </w:rPr>
        <w:t xml:space="preserve"> </w:t>
      </w:r>
      <w:r w:rsidR="00DA7436" w:rsidRPr="00C76B6F">
        <w:rPr>
          <w:rFonts w:cstheme="minorHAnsi"/>
          <w:w w:val="105"/>
        </w:rPr>
        <w:t xml:space="preserve">including </w:t>
      </w:r>
      <w:r w:rsidRPr="00C76B6F">
        <w:rPr>
          <w:rFonts w:cstheme="minorHAnsi"/>
          <w:w w:val="105"/>
        </w:rPr>
        <w:t>workforce</w:t>
      </w:r>
      <w:r w:rsidR="00DA7436" w:rsidRPr="00C76B6F">
        <w:rPr>
          <w:rFonts w:cstheme="minorHAnsi"/>
          <w:w w:val="105"/>
        </w:rPr>
        <w:t xml:space="preserve"> system history</w:t>
      </w:r>
      <w:r w:rsidRPr="00C76B6F">
        <w:rPr>
          <w:rFonts w:cstheme="minorHAnsi"/>
          <w:w w:val="105"/>
        </w:rPr>
        <w:t>,</w:t>
      </w:r>
      <w:r w:rsidRPr="00AA5A73">
        <w:rPr>
          <w:rFonts w:cstheme="minorHAnsi"/>
          <w:w w:val="105"/>
        </w:rPr>
        <w:t xml:space="preserve"> </w:t>
      </w:r>
      <w:r w:rsidRPr="00C76B6F">
        <w:rPr>
          <w:rFonts w:cstheme="minorHAnsi"/>
          <w:w w:val="105"/>
        </w:rPr>
        <w:t>workforce</w:t>
      </w:r>
      <w:r w:rsidRPr="00AA5A73">
        <w:rPr>
          <w:rFonts w:cstheme="minorHAnsi"/>
          <w:w w:val="105"/>
        </w:rPr>
        <w:t xml:space="preserve"> </w:t>
      </w:r>
      <w:r w:rsidRPr="00C76B6F">
        <w:rPr>
          <w:rFonts w:cstheme="minorHAnsi"/>
          <w:w w:val="105"/>
        </w:rPr>
        <w:t>program</w:t>
      </w:r>
      <w:r w:rsidRPr="00AA5A73">
        <w:rPr>
          <w:rFonts w:cstheme="minorHAnsi"/>
          <w:w w:val="105"/>
        </w:rPr>
        <w:t xml:space="preserve"> </w:t>
      </w:r>
      <w:r w:rsidRPr="00C76B6F">
        <w:rPr>
          <w:rFonts w:cstheme="minorHAnsi"/>
          <w:w w:val="105"/>
        </w:rPr>
        <w:t>overview</w:t>
      </w:r>
      <w:r w:rsidR="00D5537E">
        <w:rPr>
          <w:rFonts w:cstheme="minorHAnsi"/>
          <w:w w:val="105"/>
        </w:rPr>
        <w:t xml:space="preserve"> and</w:t>
      </w:r>
      <w:r w:rsidRPr="00AA5A73">
        <w:rPr>
          <w:rFonts w:cstheme="minorHAnsi"/>
          <w:w w:val="105"/>
        </w:rPr>
        <w:t xml:space="preserve"> </w:t>
      </w:r>
      <w:r w:rsidRPr="00C76B6F">
        <w:rPr>
          <w:rFonts w:cstheme="minorHAnsi"/>
          <w:w w:val="105"/>
        </w:rPr>
        <w:t>customer</w:t>
      </w:r>
      <w:r w:rsidRPr="00AA5A73">
        <w:rPr>
          <w:rFonts w:cstheme="minorHAnsi"/>
          <w:w w:val="105"/>
        </w:rPr>
        <w:t xml:space="preserve"> </w:t>
      </w:r>
      <w:r w:rsidRPr="00C76B6F">
        <w:rPr>
          <w:rFonts w:cstheme="minorHAnsi"/>
          <w:w w:val="105"/>
        </w:rPr>
        <w:t>service</w:t>
      </w:r>
      <w:r w:rsidRPr="00AA5A73">
        <w:rPr>
          <w:rFonts w:cstheme="minorHAnsi"/>
          <w:w w:val="105"/>
        </w:rPr>
        <w:t xml:space="preserve"> </w:t>
      </w:r>
      <w:r w:rsidRPr="00C76B6F">
        <w:rPr>
          <w:rFonts w:cstheme="minorHAnsi"/>
          <w:w w:val="105"/>
        </w:rPr>
        <w:t>and</w:t>
      </w:r>
      <w:r w:rsidRPr="00AA5A73">
        <w:rPr>
          <w:rFonts w:cstheme="minorHAnsi"/>
          <w:w w:val="105"/>
        </w:rPr>
        <w:t xml:space="preserve"> </w:t>
      </w:r>
      <w:r w:rsidRPr="00C76B6F">
        <w:rPr>
          <w:rFonts w:cstheme="minorHAnsi"/>
          <w:w w:val="105"/>
        </w:rPr>
        <w:t>other</w:t>
      </w:r>
      <w:r w:rsidRPr="00AA5A73">
        <w:rPr>
          <w:rFonts w:cstheme="minorHAnsi"/>
          <w:w w:val="105"/>
        </w:rPr>
        <w:t xml:space="preserve"> </w:t>
      </w:r>
      <w:r w:rsidRPr="00C76B6F">
        <w:rPr>
          <w:rFonts w:cstheme="minorHAnsi"/>
          <w:w w:val="105"/>
        </w:rPr>
        <w:t>job</w:t>
      </w:r>
      <w:r w:rsidRPr="00AA5A73">
        <w:rPr>
          <w:rFonts w:cstheme="minorHAnsi"/>
          <w:w w:val="105"/>
        </w:rPr>
        <w:t xml:space="preserve"> </w:t>
      </w:r>
      <w:r w:rsidRPr="00C76B6F">
        <w:rPr>
          <w:rFonts w:cstheme="minorHAnsi"/>
          <w:w w:val="105"/>
        </w:rPr>
        <w:t>placement techniques. Upon completion of the online training modules, staff are required to complete</w:t>
      </w:r>
      <w:r w:rsidR="006A3E35" w:rsidRPr="00C76B6F">
        <w:rPr>
          <w:rFonts w:cstheme="minorHAnsi"/>
          <w:w w:val="105"/>
        </w:rPr>
        <w:t xml:space="preserve"> </w:t>
      </w:r>
      <w:r w:rsidRPr="00AA5A73">
        <w:rPr>
          <w:rFonts w:cstheme="minorHAnsi"/>
          <w:w w:val="105"/>
        </w:rPr>
        <w:t xml:space="preserve">a comprehensive exam to demonstrate comprehension of the material. Staff must successfully pass the exam to be Tier I certified and proficient to assist </w:t>
      </w:r>
      <w:r w:rsidR="00C665D2">
        <w:rPr>
          <w:rFonts w:cstheme="minorHAnsi"/>
          <w:w w:val="105"/>
        </w:rPr>
        <w:t>job</w:t>
      </w:r>
      <w:r w:rsidR="007F14D7">
        <w:rPr>
          <w:rFonts w:cstheme="minorHAnsi"/>
          <w:w w:val="105"/>
        </w:rPr>
        <w:t xml:space="preserve"> </w:t>
      </w:r>
      <w:r w:rsidRPr="00AA5A73">
        <w:rPr>
          <w:rFonts w:cstheme="minorHAnsi"/>
          <w:w w:val="105"/>
        </w:rPr>
        <w:t>seekers and employers.</w:t>
      </w:r>
    </w:p>
    <w:p w14:paraId="47DE3B20" w14:textId="15ECC831" w:rsidR="00EA7458" w:rsidRPr="00C76B6F" w:rsidRDefault="00BD200A" w:rsidP="00D63204">
      <w:pPr>
        <w:widowControl w:val="0"/>
        <w:spacing w:before="193" w:after="0" w:line="240" w:lineRule="auto"/>
        <w:ind w:left="107"/>
        <w:rPr>
          <w:rFonts w:cstheme="minorHAnsi"/>
          <w:w w:val="105"/>
        </w:rPr>
      </w:pPr>
      <w:r w:rsidRPr="00C76B6F">
        <w:rPr>
          <w:rFonts w:cstheme="minorHAnsi"/>
          <w:w w:val="105"/>
        </w:rPr>
        <w:t>S</w:t>
      </w:r>
      <w:r w:rsidR="00EA7458" w:rsidRPr="00C76B6F">
        <w:rPr>
          <w:rFonts w:cstheme="minorHAnsi"/>
          <w:w w:val="105"/>
        </w:rPr>
        <w:t>taff are required</w:t>
      </w:r>
      <w:r w:rsidRPr="00C76B6F">
        <w:rPr>
          <w:rFonts w:cstheme="minorHAnsi"/>
          <w:w w:val="105"/>
        </w:rPr>
        <w:t xml:space="preserve"> </w:t>
      </w:r>
      <w:r w:rsidR="00EA7458" w:rsidRPr="00C76B6F">
        <w:rPr>
          <w:rFonts w:cstheme="minorHAnsi"/>
          <w:w w:val="105"/>
        </w:rPr>
        <w:t xml:space="preserve">to seek new training opportunities </w:t>
      </w:r>
      <w:r w:rsidRPr="00C76B6F">
        <w:rPr>
          <w:rFonts w:cstheme="minorHAnsi"/>
          <w:w w:val="105"/>
        </w:rPr>
        <w:t xml:space="preserve">annually that will </w:t>
      </w:r>
      <w:r w:rsidR="00EA7458" w:rsidRPr="00C76B6F">
        <w:rPr>
          <w:rFonts w:cstheme="minorHAnsi"/>
          <w:w w:val="105"/>
        </w:rPr>
        <w:t xml:space="preserve">enhance </w:t>
      </w:r>
      <w:r w:rsidRPr="00C76B6F">
        <w:rPr>
          <w:rFonts w:cstheme="minorHAnsi"/>
          <w:w w:val="105"/>
        </w:rPr>
        <w:t xml:space="preserve">job </w:t>
      </w:r>
      <w:r w:rsidR="00EA7458" w:rsidRPr="00C76B6F">
        <w:rPr>
          <w:rFonts w:cstheme="minorHAnsi"/>
          <w:w w:val="105"/>
        </w:rPr>
        <w:t xml:space="preserve">knowledge and </w:t>
      </w:r>
      <w:r w:rsidRPr="00C76B6F">
        <w:rPr>
          <w:rFonts w:cstheme="minorHAnsi"/>
          <w:w w:val="105"/>
        </w:rPr>
        <w:t xml:space="preserve">ensure </w:t>
      </w:r>
      <w:r w:rsidR="006A3E35" w:rsidRPr="00C76B6F">
        <w:rPr>
          <w:rFonts w:cstheme="minorHAnsi"/>
          <w:w w:val="105"/>
        </w:rPr>
        <w:t>t</w:t>
      </w:r>
      <w:r w:rsidRPr="00C76B6F">
        <w:rPr>
          <w:rFonts w:cstheme="minorHAnsi"/>
          <w:w w:val="105"/>
        </w:rPr>
        <w:t xml:space="preserve">hey have satisfactory knowledge of </w:t>
      </w:r>
      <w:r w:rsidR="00EA7458" w:rsidRPr="00C76B6F">
        <w:rPr>
          <w:rFonts w:cstheme="minorHAnsi"/>
          <w:w w:val="105"/>
        </w:rPr>
        <w:t xml:space="preserve">new workforce tools and </w:t>
      </w:r>
      <w:r w:rsidRPr="00C76B6F">
        <w:rPr>
          <w:rFonts w:cstheme="minorHAnsi"/>
          <w:w w:val="105"/>
        </w:rPr>
        <w:t xml:space="preserve">existing </w:t>
      </w:r>
      <w:r w:rsidR="00EA7458" w:rsidRPr="00C76B6F">
        <w:rPr>
          <w:rFonts w:cstheme="minorHAnsi"/>
          <w:w w:val="105"/>
        </w:rPr>
        <w:t xml:space="preserve">strategies. To assist </w:t>
      </w:r>
      <w:r w:rsidRPr="00C76B6F">
        <w:rPr>
          <w:rFonts w:cstheme="minorHAnsi"/>
          <w:w w:val="105"/>
        </w:rPr>
        <w:t xml:space="preserve">staff in attaining </w:t>
      </w:r>
      <w:r w:rsidR="00EA7458" w:rsidRPr="00C76B6F">
        <w:rPr>
          <w:rFonts w:cstheme="minorHAnsi"/>
          <w:w w:val="105"/>
        </w:rPr>
        <w:t>continuing education units, Florida designed a Tier</w:t>
      </w:r>
      <w:r w:rsidR="006A3E35" w:rsidRPr="00C76B6F">
        <w:rPr>
          <w:rFonts w:cstheme="minorHAnsi"/>
          <w:w w:val="105"/>
        </w:rPr>
        <w:t xml:space="preserve"> </w:t>
      </w:r>
      <w:r w:rsidR="00EA7458" w:rsidRPr="00C76B6F">
        <w:rPr>
          <w:rFonts w:cstheme="minorHAnsi"/>
          <w:w w:val="105"/>
        </w:rPr>
        <w:t xml:space="preserve">II Certificate program. Tier II content </w:t>
      </w:r>
      <w:r w:rsidRPr="00C76B6F">
        <w:rPr>
          <w:rFonts w:cstheme="minorHAnsi"/>
          <w:w w:val="105"/>
        </w:rPr>
        <w:t xml:space="preserve">includes in-depth information of specific workforce programs and prepares </w:t>
      </w:r>
      <w:r w:rsidR="00EA7458" w:rsidRPr="00C76B6F">
        <w:rPr>
          <w:rFonts w:cstheme="minorHAnsi"/>
          <w:w w:val="105"/>
        </w:rPr>
        <w:t xml:space="preserve">staff </w:t>
      </w:r>
      <w:r w:rsidRPr="00C76B6F">
        <w:rPr>
          <w:rFonts w:cstheme="minorHAnsi"/>
          <w:w w:val="105"/>
        </w:rPr>
        <w:t xml:space="preserve">in </w:t>
      </w:r>
      <w:r w:rsidR="00EA7458" w:rsidRPr="00C76B6F">
        <w:rPr>
          <w:rFonts w:cstheme="minorHAnsi"/>
          <w:w w:val="105"/>
        </w:rPr>
        <w:t>WIOA, Wagner-Peyser (WP), TAA, SNAP</w:t>
      </w:r>
      <w:r w:rsidR="00D5537E">
        <w:rPr>
          <w:rFonts w:cstheme="minorHAnsi"/>
          <w:w w:val="105"/>
        </w:rPr>
        <w:t xml:space="preserve"> and</w:t>
      </w:r>
      <w:r w:rsidR="00EA7458" w:rsidRPr="00C76B6F">
        <w:rPr>
          <w:rFonts w:cstheme="minorHAnsi"/>
          <w:w w:val="105"/>
        </w:rPr>
        <w:t xml:space="preserve"> Welfare Transition (WT)</w:t>
      </w:r>
      <w:r w:rsidRPr="00C76B6F">
        <w:rPr>
          <w:rFonts w:cstheme="minorHAnsi"/>
          <w:w w:val="105"/>
        </w:rPr>
        <w:t xml:space="preserve"> programs</w:t>
      </w:r>
      <w:r w:rsidR="00EA7458" w:rsidRPr="00C76B6F">
        <w:rPr>
          <w:rFonts w:cstheme="minorHAnsi"/>
          <w:w w:val="105"/>
        </w:rPr>
        <w:t xml:space="preserve">. </w:t>
      </w:r>
      <w:r w:rsidRPr="00C76B6F">
        <w:rPr>
          <w:rFonts w:cstheme="minorHAnsi"/>
          <w:w w:val="105"/>
        </w:rPr>
        <w:t>T</w:t>
      </w:r>
      <w:r w:rsidR="00EA7458" w:rsidRPr="00C76B6F">
        <w:rPr>
          <w:rFonts w:cstheme="minorHAnsi"/>
          <w:w w:val="105"/>
        </w:rPr>
        <w:t xml:space="preserve">he Tier II Certificate program </w:t>
      </w:r>
      <w:r w:rsidRPr="00C76B6F">
        <w:rPr>
          <w:rFonts w:cstheme="minorHAnsi"/>
          <w:w w:val="105"/>
        </w:rPr>
        <w:t xml:space="preserve">is </w:t>
      </w:r>
      <w:r w:rsidR="00EA7458" w:rsidRPr="00C76B6F">
        <w:rPr>
          <w:rFonts w:cstheme="minorHAnsi"/>
          <w:w w:val="105"/>
        </w:rPr>
        <w:t xml:space="preserve">a </w:t>
      </w:r>
      <w:r w:rsidR="0022290C" w:rsidRPr="00C76B6F">
        <w:rPr>
          <w:rFonts w:cstheme="minorHAnsi"/>
          <w:w w:val="105"/>
        </w:rPr>
        <w:t>cost-effective</w:t>
      </w:r>
      <w:r w:rsidR="00EA7458" w:rsidRPr="00C76B6F">
        <w:rPr>
          <w:rFonts w:cstheme="minorHAnsi"/>
          <w:w w:val="105"/>
        </w:rPr>
        <w:t xml:space="preserve"> </w:t>
      </w:r>
      <w:r w:rsidRPr="00C76B6F">
        <w:rPr>
          <w:rFonts w:cstheme="minorHAnsi"/>
          <w:w w:val="105"/>
        </w:rPr>
        <w:t xml:space="preserve">method </w:t>
      </w:r>
      <w:r w:rsidR="00EA7458" w:rsidRPr="00C76B6F">
        <w:rPr>
          <w:rFonts w:cstheme="minorHAnsi"/>
          <w:w w:val="105"/>
        </w:rPr>
        <w:t>to cross</w:t>
      </w:r>
      <w:r w:rsidRPr="00C76B6F">
        <w:rPr>
          <w:rFonts w:cstheme="minorHAnsi"/>
          <w:w w:val="105"/>
        </w:rPr>
        <w:t xml:space="preserve"> train all </w:t>
      </w:r>
      <w:r w:rsidR="00EA7458" w:rsidRPr="00C76B6F">
        <w:rPr>
          <w:rFonts w:cstheme="minorHAnsi"/>
          <w:w w:val="105"/>
        </w:rPr>
        <w:t xml:space="preserve">staff in one convenient location that </w:t>
      </w:r>
      <w:r w:rsidRPr="00C76B6F">
        <w:rPr>
          <w:rFonts w:cstheme="minorHAnsi"/>
          <w:w w:val="105"/>
        </w:rPr>
        <w:t xml:space="preserve">is </w:t>
      </w:r>
      <w:r w:rsidR="00EA7458" w:rsidRPr="00C76B6F">
        <w:rPr>
          <w:rFonts w:cstheme="minorHAnsi"/>
          <w:w w:val="105"/>
        </w:rPr>
        <w:t xml:space="preserve">immediately </w:t>
      </w:r>
      <w:r w:rsidRPr="00C76B6F">
        <w:rPr>
          <w:rFonts w:cstheme="minorHAnsi"/>
          <w:w w:val="105"/>
        </w:rPr>
        <w:t>accessible.</w:t>
      </w:r>
    </w:p>
    <w:p w14:paraId="338F0FF8" w14:textId="77777777" w:rsidR="00EA7458" w:rsidRPr="00C76B6F" w:rsidRDefault="00EA7458" w:rsidP="00D63204">
      <w:pPr>
        <w:widowControl w:val="0"/>
        <w:spacing w:before="5" w:after="0" w:line="240" w:lineRule="auto"/>
        <w:ind w:left="107"/>
        <w:rPr>
          <w:rFonts w:cstheme="minorHAnsi"/>
        </w:rPr>
      </w:pPr>
    </w:p>
    <w:p w14:paraId="126472AA" w14:textId="0F9BE4F2" w:rsidR="00EA7458" w:rsidRPr="00C76B6F" w:rsidRDefault="00EA7458" w:rsidP="00D63204">
      <w:pPr>
        <w:widowControl w:val="0"/>
        <w:spacing w:after="0" w:line="240" w:lineRule="auto"/>
        <w:ind w:left="107"/>
        <w:rPr>
          <w:rFonts w:cstheme="minorHAnsi"/>
        </w:rPr>
      </w:pPr>
      <w:r w:rsidRPr="00C76B6F">
        <w:rPr>
          <w:rFonts w:cstheme="minorHAnsi"/>
          <w:w w:val="105"/>
        </w:rPr>
        <w:t>Florida</w:t>
      </w:r>
      <w:r w:rsidRPr="00C76B6F">
        <w:rPr>
          <w:rFonts w:cstheme="minorHAnsi"/>
          <w:spacing w:val="12"/>
          <w:w w:val="105"/>
        </w:rPr>
        <w:t xml:space="preserve"> </w:t>
      </w:r>
      <w:r w:rsidRPr="00C76B6F">
        <w:rPr>
          <w:rFonts w:cstheme="minorHAnsi"/>
          <w:w w:val="105"/>
        </w:rPr>
        <w:t>hosts</w:t>
      </w:r>
      <w:r w:rsidRPr="00C76B6F">
        <w:rPr>
          <w:rFonts w:cstheme="minorHAnsi"/>
          <w:spacing w:val="12"/>
          <w:w w:val="105"/>
        </w:rPr>
        <w:t xml:space="preserve"> </w:t>
      </w:r>
      <w:r w:rsidRPr="00C76B6F">
        <w:rPr>
          <w:rFonts w:cstheme="minorHAnsi"/>
          <w:w w:val="105"/>
        </w:rPr>
        <w:t>periodic</w:t>
      </w:r>
      <w:r w:rsidRPr="00C76B6F">
        <w:rPr>
          <w:rFonts w:cstheme="minorHAnsi"/>
          <w:spacing w:val="12"/>
          <w:w w:val="105"/>
        </w:rPr>
        <w:t xml:space="preserve"> </w:t>
      </w:r>
      <w:r w:rsidRPr="00C76B6F">
        <w:rPr>
          <w:rFonts w:cstheme="minorHAnsi"/>
          <w:w w:val="105"/>
        </w:rPr>
        <w:t>onsite</w:t>
      </w:r>
      <w:r w:rsidRPr="00C76B6F">
        <w:rPr>
          <w:rFonts w:cstheme="minorHAnsi"/>
          <w:spacing w:val="12"/>
          <w:w w:val="105"/>
        </w:rPr>
        <w:t xml:space="preserve"> </w:t>
      </w:r>
      <w:r w:rsidRPr="00C76B6F">
        <w:rPr>
          <w:rFonts w:cstheme="minorHAnsi"/>
          <w:w w:val="105"/>
        </w:rPr>
        <w:t>and</w:t>
      </w:r>
      <w:r w:rsidRPr="00C76B6F">
        <w:rPr>
          <w:rFonts w:cstheme="minorHAnsi"/>
          <w:spacing w:val="12"/>
          <w:w w:val="105"/>
        </w:rPr>
        <w:t xml:space="preserve"> </w:t>
      </w:r>
      <w:r w:rsidRPr="00C76B6F">
        <w:rPr>
          <w:rFonts w:cstheme="minorHAnsi"/>
          <w:w w:val="105"/>
        </w:rPr>
        <w:t>web-based</w:t>
      </w:r>
      <w:r w:rsidRPr="00C76B6F">
        <w:rPr>
          <w:rFonts w:cstheme="minorHAnsi"/>
          <w:spacing w:val="12"/>
          <w:w w:val="105"/>
        </w:rPr>
        <w:t xml:space="preserve"> </w:t>
      </w:r>
      <w:r w:rsidRPr="00C76B6F">
        <w:rPr>
          <w:rFonts w:cstheme="minorHAnsi"/>
          <w:w w:val="105"/>
        </w:rPr>
        <w:t>training</w:t>
      </w:r>
      <w:r w:rsidRPr="00C76B6F">
        <w:rPr>
          <w:rFonts w:cstheme="minorHAnsi"/>
          <w:spacing w:val="12"/>
          <w:w w:val="105"/>
        </w:rPr>
        <w:t xml:space="preserve"> </w:t>
      </w:r>
      <w:r w:rsidRPr="00C76B6F">
        <w:rPr>
          <w:rFonts w:cstheme="minorHAnsi"/>
          <w:w w:val="105"/>
        </w:rPr>
        <w:t>opportunities</w:t>
      </w:r>
      <w:r w:rsidRPr="00C76B6F">
        <w:rPr>
          <w:rFonts w:cstheme="minorHAnsi"/>
          <w:spacing w:val="12"/>
          <w:w w:val="105"/>
        </w:rPr>
        <w:t xml:space="preserve"> </w:t>
      </w:r>
      <w:r w:rsidRPr="00C76B6F">
        <w:rPr>
          <w:rFonts w:cstheme="minorHAnsi"/>
          <w:w w:val="105"/>
        </w:rPr>
        <w:t>to</w:t>
      </w:r>
      <w:r w:rsidRPr="00C76B6F">
        <w:rPr>
          <w:rFonts w:cstheme="minorHAnsi"/>
          <w:spacing w:val="12"/>
          <w:w w:val="105"/>
        </w:rPr>
        <w:t xml:space="preserve"> </w:t>
      </w:r>
      <w:r w:rsidRPr="00C76B6F">
        <w:rPr>
          <w:rFonts w:cstheme="minorHAnsi"/>
          <w:w w:val="105"/>
        </w:rPr>
        <w:t>share</w:t>
      </w:r>
      <w:r w:rsidRPr="00C76B6F">
        <w:rPr>
          <w:rFonts w:cstheme="minorHAnsi"/>
          <w:spacing w:val="12"/>
          <w:w w:val="105"/>
        </w:rPr>
        <w:t xml:space="preserve"> </w:t>
      </w:r>
      <w:r w:rsidRPr="00C76B6F">
        <w:rPr>
          <w:rFonts w:cstheme="minorHAnsi"/>
          <w:w w:val="105"/>
        </w:rPr>
        <w:t>information</w:t>
      </w:r>
      <w:r w:rsidRPr="00C76B6F">
        <w:rPr>
          <w:rFonts w:cstheme="minorHAnsi"/>
          <w:spacing w:val="12"/>
          <w:w w:val="105"/>
        </w:rPr>
        <w:t xml:space="preserve"> </w:t>
      </w:r>
      <w:r w:rsidRPr="00C76B6F">
        <w:rPr>
          <w:rFonts w:cstheme="minorHAnsi"/>
          <w:w w:val="105"/>
        </w:rPr>
        <w:t>and</w:t>
      </w:r>
      <w:r w:rsidRPr="00C76B6F">
        <w:rPr>
          <w:rFonts w:cstheme="minorHAnsi"/>
          <w:spacing w:val="12"/>
          <w:w w:val="105"/>
        </w:rPr>
        <w:t xml:space="preserve"> </w:t>
      </w:r>
      <w:r w:rsidRPr="00C76B6F">
        <w:rPr>
          <w:rFonts w:cstheme="minorHAnsi"/>
          <w:w w:val="105"/>
        </w:rPr>
        <w:t>keep</w:t>
      </w:r>
      <w:r w:rsidRPr="00C76B6F">
        <w:rPr>
          <w:rFonts w:cstheme="minorHAnsi"/>
          <w:spacing w:val="-17"/>
          <w:w w:val="105"/>
        </w:rPr>
        <w:t xml:space="preserve"> </w:t>
      </w:r>
      <w:r w:rsidRPr="00C76B6F">
        <w:rPr>
          <w:rFonts w:cstheme="minorHAnsi"/>
          <w:w w:val="105"/>
        </w:rPr>
        <w:t>staff</w:t>
      </w:r>
      <w:r w:rsidRPr="00C76B6F">
        <w:rPr>
          <w:rFonts w:cstheme="minorHAnsi"/>
          <w:spacing w:val="8"/>
          <w:w w:val="105"/>
        </w:rPr>
        <w:t xml:space="preserve"> </w:t>
      </w:r>
      <w:r w:rsidR="00B95174" w:rsidRPr="00C76B6F">
        <w:rPr>
          <w:rFonts w:cstheme="minorHAnsi"/>
          <w:w w:val="105"/>
        </w:rPr>
        <w:t xml:space="preserve">informed </w:t>
      </w:r>
      <w:r w:rsidRPr="00C76B6F">
        <w:rPr>
          <w:rFonts w:cstheme="minorHAnsi"/>
          <w:w w:val="105"/>
        </w:rPr>
        <w:t>of</w:t>
      </w:r>
      <w:r w:rsidRPr="00C76B6F">
        <w:rPr>
          <w:rFonts w:cstheme="minorHAnsi"/>
          <w:spacing w:val="8"/>
          <w:w w:val="105"/>
        </w:rPr>
        <w:t xml:space="preserve"> </w:t>
      </w:r>
      <w:r w:rsidR="008106E5" w:rsidRPr="00C76B6F">
        <w:rPr>
          <w:rFonts w:cstheme="minorHAnsi"/>
          <w:w w:val="105"/>
        </w:rPr>
        <w:t>trends.</w:t>
      </w:r>
      <w:r w:rsidRPr="00C76B6F">
        <w:rPr>
          <w:rFonts w:cstheme="minorHAnsi"/>
          <w:spacing w:val="8"/>
          <w:w w:val="105"/>
        </w:rPr>
        <w:t xml:space="preserve"> </w:t>
      </w:r>
      <w:r w:rsidRPr="00C76B6F">
        <w:rPr>
          <w:rFonts w:cstheme="minorHAnsi"/>
          <w:w w:val="105"/>
        </w:rPr>
        <w:t>In</w:t>
      </w:r>
      <w:r w:rsidRPr="00C76B6F">
        <w:rPr>
          <w:rFonts w:cstheme="minorHAnsi"/>
          <w:spacing w:val="8"/>
          <w:w w:val="105"/>
        </w:rPr>
        <w:t xml:space="preserve"> </w:t>
      </w:r>
      <w:r w:rsidRPr="00C76B6F">
        <w:rPr>
          <w:rFonts w:cstheme="minorHAnsi"/>
          <w:w w:val="105"/>
        </w:rPr>
        <w:t>collaboration</w:t>
      </w:r>
      <w:r w:rsidRPr="00C76B6F">
        <w:rPr>
          <w:rFonts w:cstheme="minorHAnsi"/>
          <w:spacing w:val="8"/>
          <w:w w:val="105"/>
        </w:rPr>
        <w:t xml:space="preserve"> </w:t>
      </w:r>
      <w:r w:rsidRPr="00C76B6F">
        <w:rPr>
          <w:rFonts w:cstheme="minorHAnsi"/>
          <w:w w:val="105"/>
        </w:rPr>
        <w:t>with</w:t>
      </w:r>
      <w:r w:rsidRPr="00C76B6F">
        <w:rPr>
          <w:rFonts w:cstheme="minorHAnsi"/>
          <w:spacing w:val="8"/>
          <w:w w:val="105"/>
        </w:rPr>
        <w:t xml:space="preserve"> </w:t>
      </w:r>
      <w:r w:rsidRPr="00C76B6F">
        <w:rPr>
          <w:rFonts w:cstheme="minorHAnsi"/>
          <w:w w:val="105"/>
        </w:rPr>
        <w:t>other</w:t>
      </w:r>
      <w:r w:rsidRPr="00C76B6F">
        <w:rPr>
          <w:rFonts w:cstheme="minorHAnsi"/>
          <w:spacing w:val="8"/>
          <w:w w:val="105"/>
        </w:rPr>
        <w:t xml:space="preserve"> </w:t>
      </w:r>
      <w:r w:rsidRPr="00C76B6F">
        <w:rPr>
          <w:rFonts w:cstheme="minorHAnsi"/>
          <w:w w:val="105"/>
        </w:rPr>
        <w:t>agencies,</w:t>
      </w:r>
      <w:r w:rsidRPr="00C76B6F">
        <w:rPr>
          <w:rFonts w:cstheme="minorHAnsi"/>
          <w:spacing w:val="8"/>
          <w:w w:val="105"/>
        </w:rPr>
        <w:t xml:space="preserve"> </w:t>
      </w:r>
      <w:r w:rsidRPr="00C76B6F">
        <w:rPr>
          <w:rFonts w:cstheme="minorHAnsi"/>
          <w:w w:val="105"/>
        </w:rPr>
        <w:t>Florida</w:t>
      </w:r>
      <w:r w:rsidR="00B95174" w:rsidRPr="00C76B6F">
        <w:rPr>
          <w:rFonts w:cstheme="minorHAnsi"/>
          <w:spacing w:val="8"/>
          <w:w w:val="105"/>
        </w:rPr>
        <w:t xml:space="preserve">’s workforce </w:t>
      </w:r>
      <w:r w:rsidR="0022290C" w:rsidRPr="00C76B6F">
        <w:rPr>
          <w:rFonts w:cstheme="minorHAnsi"/>
          <w:spacing w:val="8"/>
          <w:w w:val="105"/>
        </w:rPr>
        <w:t xml:space="preserve">system </w:t>
      </w:r>
      <w:r w:rsidR="0022290C" w:rsidRPr="00C76B6F">
        <w:rPr>
          <w:rFonts w:cstheme="minorHAnsi"/>
          <w:w w:val="105"/>
        </w:rPr>
        <w:t>enhances</w:t>
      </w:r>
      <w:r w:rsidR="00B95174" w:rsidRPr="00C76B6F">
        <w:rPr>
          <w:rFonts w:cstheme="minorHAnsi"/>
          <w:w w:val="105"/>
        </w:rPr>
        <w:t xml:space="preserve"> the </w:t>
      </w:r>
      <w:r w:rsidRPr="00C76B6F">
        <w:rPr>
          <w:rFonts w:cstheme="minorHAnsi"/>
          <w:w w:val="105"/>
        </w:rPr>
        <w:t>knowledge</w:t>
      </w:r>
      <w:r w:rsidRPr="00C76B6F">
        <w:rPr>
          <w:rFonts w:cstheme="minorHAnsi"/>
          <w:spacing w:val="13"/>
          <w:w w:val="105"/>
        </w:rPr>
        <w:t xml:space="preserve"> </w:t>
      </w:r>
      <w:r w:rsidRPr="00C76B6F">
        <w:rPr>
          <w:rFonts w:cstheme="minorHAnsi"/>
          <w:w w:val="105"/>
        </w:rPr>
        <w:t>base</w:t>
      </w:r>
      <w:r w:rsidRPr="00C76B6F">
        <w:rPr>
          <w:rFonts w:cstheme="minorHAnsi"/>
          <w:spacing w:val="13"/>
          <w:w w:val="105"/>
        </w:rPr>
        <w:t xml:space="preserve"> </w:t>
      </w:r>
      <w:r w:rsidRPr="00C76B6F">
        <w:rPr>
          <w:rFonts w:cstheme="minorHAnsi"/>
          <w:w w:val="105"/>
        </w:rPr>
        <w:t>of</w:t>
      </w:r>
      <w:r w:rsidRPr="00C76B6F">
        <w:rPr>
          <w:rFonts w:cstheme="minorHAnsi"/>
          <w:spacing w:val="13"/>
          <w:w w:val="105"/>
        </w:rPr>
        <w:t xml:space="preserve"> </w:t>
      </w:r>
      <w:r w:rsidRPr="00C76B6F">
        <w:rPr>
          <w:rFonts w:cstheme="minorHAnsi"/>
          <w:w w:val="105"/>
        </w:rPr>
        <w:t>staff</w:t>
      </w:r>
      <w:r w:rsidRPr="00C76B6F">
        <w:rPr>
          <w:rFonts w:cstheme="minorHAnsi"/>
          <w:spacing w:val="13"/>
          <w:w w:val="105"/>
        </w:rPr>
        <w:t xml:space="preserve"> </w:t>
      </w:r>
      <w:r w:rsidRPr="00C76B6F">
        <w:rPr>
          <w:rFonts w:cstheme="minorHAnsi"/>
          <w:w w:val="105"/>
        </w:rPr>
        <w:t>by</w:t>
      </w:r>
      <w:r w:rsidRPr="00C76B6F">
        <w:rPr>
          <w:rFonts w:cstheme="minorHAnsi"/>
          <w:spacing w:val="13"/>
          <w:w w:val="105"/>
        </w:rPr>
        <w:t xml:space="preserve"> </w:t>
      </w:r>
      <w:r w:rsidRPr="00C76B6F">
        <w:rPr>
          <w:rFonts w:cstheme="minorHAnsi"/>
          <w:w w:val="105"/>
        </w:rPr>
        <w:t>linking</w:t>
      </w:r>
      <w:r w:rsidRPr="00C76B6F">
        <w:rPr>
          <w:rFonts w:cstheme="minorHAnsi"/>
          <w:spacing w:val="13"/>
          <w:w w:val="105"/>
        </w:rPr>
        <w:t xml:space="preserve"> </w:t>
      </w:r>
      <w:r w:rsidRPr="00C76B6F">
        <w:rPr>
          <w:rFonts w:cstheme="minorHAnsi"/>
          <w:w w:val="105"/>
        </w:rPr>
        <w:t>duties</w:t>
      </w:r>
      <w:r w:rsidRPr="00C76B6F">
        <w:rPr>
          <w:rFonts w:cstheme="minorHAnsi"/>
          <w:spacing w:val="13"/>
          <w:w w:val="105"/>
        </w:rPr>
        <w:t xml:space="preserve"> </w:t>
      </w:r>
      <w:r w:rsidRPr="00C76B6F">
        <w:rPr>
          <w:rFonts w:cstheme="minorHAnsi"/>
          <w:w w:val="105"/>
        </w:rPr>
        <w:t>and</w:t>
      </w:r>
      <w:r w:rsidRPr="00C76B6F">
        <w:rPr>
          <w:rFonts w:cstheme="minorHAnsi"/>
          <w:spacing w:val="13"/>
          <w:w w:val="105"/>
        </w:rPr>
        <w:t xml:space="preserve"> </w:t>
      </w:r>
      <w:r w:rsidRPr="00C76B6F">
        <w:rPr>
          <w:rFonts w:cstheme="minorHAnsi"/>
          <w:w w:val="105"/>
        </w:rPr>
        <w:t>responsibilities</w:t>
      </w:r>
      <w:r w:rsidRPr="00C76B6F">
        <w:rPr>
          <w:rFonts w:cstheme="minorHAnsi"/>
          <w:spacing w:val="13"/>
          <w:w w:val="105"/>
        </w:rPr>
        <w:t xml:space="preserve"> </w:t>
      </w:r>
      <w:r w:rsidRPr="00C76B6F">
        <w:rPr>
          <w:rFonts w:cstheme="minorHAnsi"/>
          <w:w w:val="105"/>
        </w:rPr>
        <w:t>of</w:t>
      </w:r>
      <w:r w:rsidRPr="00C76B6F">
        <w:rPr>
          <w:rFonts w:cstheme="minorHAnsi"/>
          <w:spacing w:val="13"/>
          <w:w w:val="105"/>
        </w:rPr>
        <w:t xml:space="preserve"> </w:t>
      </w:r>
      <w:r w:rsidRPr="00C76B6F">
        <w:rPr>
          <w:rFonts w:cstheme="minorHAnsi"/>
          <w:w w:val="105"/>
        </w:rPr>
        <w:t>career</w:t>
      </w:r>
      <w:r w:rsidRPr="00C76B6F">
        <w:rPr>
          <w:rFonts w:cstheme="minorHAnsi"/>
          <w:spacing w:val="13"/>
          <w:w w:val="105"/>
        </w:rPr>
        <w:t xml:space="preserve"> </w:t>
      </w:r>
      <w:r w:rsidRPr="00C76B6F">
        <w:rPr>
          <w:rFonts w:cstheme="minorHAnsi"/>
          <w:w w:val="105"/>
        </w:rPr>
        <w:t>center</w:t>
      </w:r>
      <w:r w:rsidRPr="00C76B6F">
        <w:rPr>
          <w:rFonts w:cstheme="minorHAnsi"/>
          <w:spacing w:val="13"/>
          <w:w w:val="105"/>
        </w:rPr>
        <w:t xml:space="preserve"> </w:t>
      </w:r>
      <w:r w:rsidRPr="00C76B6F">
        <w:rPr>
          <w:rFonts w:cstheme="minorHAnsi"/>
          <w:w w:val="105"/>
        </w:rPr>
        <w:t>staff</w:t>
      </w:r>
      <w:r w:rsidRPr="00C76B6F">
        <w:rPr>
          <w:rFonts w:cstheme="minorHAnsi"/>
          <w:w w:val="102"/>
        </w:rPr>
        <w:t xml:space="preserve"> </w:t>
      </w:r>
      <w:r w:rsidRPr="00C76B6F">
        <w:rPr>
          <w:rFonts w:cstheme="minorHAnsi"/>
          <w:w w:val="105"/>
        </w:rPr>
        <w:t>with those of other</w:t>
      </w:r>
      <w:r w:rsidRPr="00C76B6F">
        <w:rPr>
          <w:rFonts w:cstheme="minorHAnsi"/>
          <w:spacing w:val="-5"/>
          <w:w w:val="105"/>
        </w:rPr>
        <w:t xml:space="preserve"> </w:t>
      </w:r>
      <w:r w:rsidR="00B95174" w:rsidRPr="00C76B6F">
        <w:rPr>
          <w:rFonts w:cstheme="minorHAnsi"/>
          <w:spacing w:val="-5"/>
          <w:w w:val="105"/>
        </w:rPr>
        <w:t xml:space="preserve">partners and </w:t>
      </w:r>
      <w:r w:rsidRPr="00C76B6F">
        <w:rPr>
          <w:rFonts w:cstheme="minorHAnsi"/>
          <w:w w:val="105"/>
        </w:rPr>
        <w:t>departments.</w:t>
      </w:r>
    </w:p>
    <w:p w14:paraId="328FA7DE" w14:textId="77777777" w:rsidR="00EA7458" w:rsidRPr="0099170A" w:rsidRDefault="00EA7458" w:rsidP="00D63204">
      <w:pPr>
        <w:widowControl w:val="0"/>
        <w:spacing w:before="6" w:after="0" w:line="240" w:lineRule="auto"/>
        <w:ind w:left="107"/>
        <w:rPr>
          <w:rFonts w:cstheme="minorHAnsi"/>
          <w:sz w:val="16"/>
          <w:szCs w:val="16"/>
        </w:rPr>
      </w:pPr>
    </w:p>
    <w:p w14:paraId="4C27CDC2" w14:textId="77777777" w:rsidR="00EA7458" w:rsidRPr="0099170A" w:rsidRDefault="00EA7458" w:rsidP="00D63204">
      <w:pPr>
        <w:widowControl w:val="0"/>
        <w:numPr>
          <w:ilvl w:val="1"/>
          <w:numId w:val="3"/>
        </w:numPr>
        <w:tabs>
          <w:tab w:val="left" w:pos="1098"/>
        </w:tabs>
        <w:spacing w:after="0" w:line="240" w:lineRule="auto"/>
        <w:outlineLvl w:val="2"/>
        <w:rPr>
          <w:rFonts w:cstheme="minorHAnsi"/>
        </w:rPr>
      </w:pPr>
      <w:r w:rsidRPr="0099170A">
        <w:rPr>
          <w:rFonts w:cstheme="minorHAnsi"/>
          <w:b/>
          <w:bCs/>
          <w:color w:val="295CA3"/>
          <w:w w:val="110"/>
        </w:rPr>
        <w:t>Training</w:t>
      </w:r>
      <w:r w:rsidRPr="0099170A">
        <w:rPr>
          <w:rFonts w:cstheme="minorHAnsi"/>
          <w:b/>
          <w:bCs/>
          <w:color w:val="295CA3"/>
          <w:spacing w:val="-8"/>
          <w:w w:val="110"/>
        </w:rPr>
        <w:t xml:space="preserve"> </w:t>
      </w:r>
      <w:r w:rsidRPr="0099170A">
        <w:rPr>
          <w:rFonts w:cstheme="minorHAnsi"/>
          <w:b/>
          <w:bCs/>
          <w:color w:val="295CA3"/>
          <w:w w:val="110"/>
        </w:rPr>
        <w:t>and</w:t>
      </w:r>
      <w:r w:rsidRPr="0099170A">
        <w:rPr>
          <w:rFonts w:cstheme="minorHAnsi"/>
          <w:b/>
          <w:bCs/>
          <w:color w:val="295CA3"/>
          <w:spacing w:val="-8"/>
          <w:w w:val="110"/>
        </w:rPr>
        <w:t xml:space="preserve"> </w:t>
      </w:r>
      <w:r w:rsidRPr="0099170A">
        <w:rPr>
          <w:rFonts w:cstheme="minorHAnsi"/>
          <w:b/>
          <w:bCs/>
          <w:color w:val="295CA3"/>
          <w:w w:val="110"/>
        </w:rPr>
        <w:t>Awareness</w:t>
      </w:r>
      <w:r w:rsidRPr="0099170A">
        <w:rPr>
          <w:rFonts w:cstheme="minorHAnsi"/>
          <w:b/>
          <w:bCs/>
          <w:color w:val="295CA3"/>
          <w:spacing w:val="-8"/>
          <w:w w:val="110"/>
        </w:rPr>
        <w:t xml:space="preserve"> </w:t>
      </w:r>
      <w:r w:rsidRPr="0099170A">
        <w:rPr>
          <w:rFonts w:cstheme="minorHAnsi"/>
          <w:b/>
          <w:bCs/>
          <w:color w:val="295CA3"/>
          <w:w w:val="110"/>
        </w:rPr>
        <w:t>on</w:t>
      </w:r>
      <w:r w:rsidRPr="0099170A">
        <w:rPr>
          <w:rFonts w:cstheme="minorHAnsi"/>
          <w:b/>
          <w:bCs/>
          <w:color w:val="295CA3"/>
          <w:spacing w:val="-8"/>
          <w:w w:val="110"/>
        </w:rPr>
        <w:t xml:space="preserve"> </w:t>
      </w:r>
      <w:r w:rsidRPr="0099170A">
        <w:rPr>
          <w:rFonts w:cstheme="minorHAnsi"/>
          <w:b/>
          <w:bCs/>
          <w:color w:val="295CA3"/>
          <w:w w:val="110"/>
        </w:rPr>
        <w:t>Identification</w:t>
      </w:r>
      <w:r w:rsidRPr="0099170A">
        <w:rPr>
          <w:rFonts w:cstheme="minorHAnsi"/>
          <w:b/>
          <w:bCs/>
          <w:color w:val="295CA3"/>
          <w:spacing w:val="-8"/>
          <w:w w:val="110"/>
        </w:rPr>
        <w:t xml:space="preserve"> </w:t>
      </w:r>
      <w:r w:rsidRPr="0099170A">
        <w:rPr>
          <w:rFonts w:cstheme="minorHAnsi"/>
          <w:b/>
          <w:bCs/>
          <w:color w:val="295CA3"/>
          <w:w w:val="110"/>
        </w:rPr>
        <w:t>of</w:t>
      </w:r>
      <w:r w:rsidRPr="0099170A">
        <w:rPr>
          <w:rFonts w:cstheme="minorHAnsi"/>
          <w:b/>
          <w:bCs/>
          <w:color w:val="295CA3"/>
          <w:spacing w:val="-8"/>
          <w:w w:val="110"/>
        </w:rPr>
        <w:t xml:space="preserve"> </w:t>
      </w:r>
      <w:r w:rsidRPr="0099170A">
        <w:rPr>
          <w:rFonts w:cstheme="minorHAnsi"/>
          <w:b/>
          <w:bCs/>
          <w:color w:val="295CA3"/>
          <w:w w:val="110"/>
        </w:rPr>
        <w:t>Unemployment</w:t>
      </w:r>
      <w:r w:rsidRPr="0099170A">
        <w:rPr>
          <w:rFonts w:cstheme="minorHAnsi"/>
          <w:b/>
          <w:bCs/>
          <w:color w:val="295CA3"/>
          <w:spacing w:val="-8"/>
          <w:w w:val="110"/>
        </w:rPr>
        <w:t xml:space="preserve"> </w:t>
      </w:r>
      <w:r w:rsidRPr="0099170A">
        <w:rPr>
          <w:rFonts w:cstheme="minorHAnsi"/>
          <w:b/>
          <w:bCs/>
          <w:color w:val="295CA3"/>
          <w:w w:val="110"/>
        </w:rPr>
        <w:t>Insurance</w:t>
      </w:r>
      <w:r w:rsidRPr="0099170A">
        <w:rPr>
          <w:rFonts w:cstheme="minorHAnsi"/>
          <w:b/>
          <w:bCs/>
          <w:color w:val="295CA3"/>
          <w:spacing w:val="-8"/>
          <w:w w:val="110"/>
        </w:rPr>
        <w:t xml:space="preserve"> </w:t>
      </w:r>
      <w:r w:rsidRPr="0099170A">
        <w:rPr>
          <w:rFonts w:cstheme="minorHAnsi"/>
          <w:b/>
          <w:bCs/>
          <w:color w:val="295CA3"/>
          <w:w w:val="110"/>
        </w:rPr>
        <w:t>(UI)</w:t>
      </w:r>
      <w:r w:rsidRPr="0099170A">
        <w:rPr>
          <w:rFonts w:cstheme="minorHAnsi"/>
          <w:b/>
          <w:bCs/>
          <w:color w:val="295CA3"/>
          <w:spacing w:val="-8"/>
          <w:w w:val="110"/>
        </w:rPr>
        <w:t xml:space="preserve"> </w:t>
      </w:r>
      <w:r w:rsidRPr="0099170A">
        <w:rPr>
          <w:rFonts w:cstheme="minorHAnsi"/>
          <w:b/>
          <w:bCs/>
          <w:color w:val="295CA3"/>
          <w:w w:val="110"/>
        </w:rPr>
        <w:t>Eligibility</w:t>
      </w:r>
      <w:r w:rsidRPr="0099170A">
        <w:rPr>
          <w:rFonts w:cstheme="minorHAnsi"/>
          <w:b/>
          <w:bCs/>
          <w:color w:val="295CA3"/>
          <w:spacing w:val="-8"/>
          <w:w w:val="110"/>
        </w:rPr>
        <w:t xml:space="preserve"> </w:t>
      </w:r>
      <w:r w:rsidRPr="0099170A">
        <w:rPr>
          <w:rFonts w:cstheme="minorHAnsi"/>
          <w:b/>
          <w:bCs/>
          <w:color w:val="295CA3"/>
          <w:w w:val="110"/>
        </w:rPr>
        <w:t>Issues</w:t>
      </w:r>
    </w:p>
    <w:p w14:paraId="53C39CC9" w14:textId="2CB75841" w:rsidR="00EA7458" w:rsidRPr="00AA5A73" w:rsidRDefault="00EA7458" w:rsidP="00D63204">
      <w:pPr>
        <w:widowControl w:val="0"/>
        <w:spacing w:before="193" w:after="0" w:line="240" w:lineRule="auto"/>
        <w:ind w:left="107"/>
        <w:rPr>
          <w:rFonts w:cstheme="minorHAnsi"/>
          <w:w w:val="105"/>
        </w:rPr>
      </w:pPr>
      <w:r w:rsidRPr="00AA5A73">
        <w:rPr>
          <w:rFonts w:cstheme="minorHAnsi"/>
          <w:w w:val="105"/>
        </w:rPr>
        <w:t xml:space="preserve">Florida </w:t>
      </w:r>
      <w:r w:rsidR="00F6711F" w:rsidRPr="00AA5A73">
        <w:rPr>
          <w:rFonts w:cstheme="minorHAnsi"/>
          <w:w w:val="105"/>
        </w:rPr>
        <w:t xml:space="preserve">provides </w:t>
      </w:r>
      <w:r w:rsidRPr="00AA5A73">
        <w:rPr>
          <w:rFonts w:cstheme="minorHAnsi"/>
          <w:w w:val="105"/>
        </w:rPr>
        <w:t xml:space="preserve">available curriculum from the Tier I certificate program to all core partners. The curriculum covers topics </w:t>
      </w:r>
      <w:r w:rsidR="00F6711F" w:rsidRPr="00AA5A73">
        <w:rPr>
          <w:rFonts w:cstheme="minorHAnsi"/>
          <w:w w:val="105"/>
        </w:rPr>
        <w:t xml:space="preserve">including </w:t>
      </w:r>
      <w:r w:rsidRPr="00AA5A73">
        <w:rPr>
          <w:rFonts w:cstheme="minorHAnsi"/>
          <w:w w:val="105"/>
        </w:rPr>
        <w:t xml:space="preserve">the history of </w:t>
      </w:r>
      <w:r w:rsidR="00F6711F" w:rsidRPr="00AA5A73">
        <w:rPr>
          <w:rFonts w:cstheme="minorHAnsi"/>
          <w:w w:val="105"/>
        </w:rPr>
        <w:t xml:space="preserve">Florida’s </w:t>
      </w:r>
      <w:r w:rsidRPr="00AA5A73">
        <w:rPr>
          <w:rFonts w:cstheme="minorHAnsi"/>
          <w:w w:val="105"/>
        </w:rPr>
        <w:t xml:space="preserve">workforce, </w:t>
      </w:r>
      <w:r w:rsidR="00F6711F" w:rsidRPr="00AA5A73">
        <w:rPr>
          <w:rFonts w:cstheme="minorHAnsi"/>
          <w:w w:val="105"/>
        </w:rPr>
        <w:t xml:space="preserve">system, </w:t>
      </w:r>
      <w:r w:rsidRPr="00AA5A73">
        <w:rPr>
          <w:rFonts w:cstheme="minorHAnsi"/>
          <w:w w:val="105"/>
        </w:rPr>
        <w:t>workforce program overview</w:t>
      </w:r>
      <w:r w:rsidR="00D5537E">
        <w:rPr>
          <w:rFonts w:cstheme="minorHAnsi"/>
          <w:w w:val="105"/>
        </w:rPr>
        <w:t xml:space="preserve"> and</w:t>
      </w:r>
      <w:r w:rsidRPr="00AA5A73">
        <w:rPr>
          <w:rFonts w:cstheme="minorHAnsi"/>
          <w:w w:val="105"/>
        </w:rPr>
        <w:t xml:space="preserve"> customer service and other job placement techniques. Florida designed a Tier II </w:t>
      </w:r>
      <w:r w:rsidR="004E367B" w:rsidRPr="00AA5A73">
        <w:rPr>
          <w:rFonts w:cstheme="minorHAnsi"/>
          <w:w w:val="105"/>
        </w:rPr>
        <w:t xml:space="preserve">curriculum for Reemployment Assistance which provides </w:t>
      </w:r>
      <w:r w:rsidRPr="00AA5A73">
        <w:rPr>
          <w:rFonts w:cstheme="minorHAnsi"/>
          <w:w w:val="105"/>
        </w:rPr>
        <w:t xml:space="preserve">staff with in-depth concepts and information of specific workforce programs </w:t>
      </w:r>
      <w:r w:rsidR="00F6711F" w:rsidRPr="00AA5A73">
        <w:rPr>
          <w:rFonts w:cstheme="minorHAnsi"/>
          <w:w w:val="105"/>
        </w:rPr>
        <w:t xml:space="preserve">including </w:t>
      </w:r>
      <w:r w:rsidRPr="00AA5A73">
        <w:rPr>
          <w:rFonts w:cstheme="minorHAnsi"/>
          <w:w w:val="105"/>
        </w:rPr>
        <w:t>WIOA, WP, TAA, SNAP</w:t>
      </w:r>
      <w:r w:rsidR="00D5537E">
        <w:rPr>
          <w:rFonts w:cstheme="minorHAnsi"/>
          <w:w w:val="105"/>
        </w:rPr>
        <w:t xml:space="preserve"> and</w:t>
      </w:r>
      <w:r w:rsidRPr="00AA5A73">
        <w:rPr>
          <w:rFonts w:cstheme="minorHAnsi"/>
          <w:w w:val="105"/>
        </w:rPr>
        <w:t xml:space="preserve"> </w:t>
      </w:r>
      <w:r w:rsidR="00F6711F" w:rsidRPr="00AA5A73">
        <w:rPr>
          <w:rFonts w:cstheme="minorHAnsi"/>
          <w:w w:val="105"/>
        </w:rPr>
        <w:t>Welfare Transition (WT)</w:t>
      </w:r>
      <w:r w:rsidRPr="00AA5A73">
        <w:rPr>
          <w:rFonts w:cstheme="minorHAnsi"/>
          <w:w w:val="105"/>
        </w:rPr>
        <w:t xml:space="preserve">. Florida </w:t>
      </w:r>
      <w:r w:rsidR="004E367B" w:rsidRPr="00AA5A73">
        <w:rPr>
          <w:rFonts w:cstheme="minorHAnsi"/>
          <w:w w:val="105"/>
        </w:rPr>
        <w:t xml:space="preserve">may </w:t>
      </w:r>
      <w:r w:rsidR="00F6711F" w:rsidRPr="00AA5A73">
        <w:rPr>
          <w:rFonts w:cstheme="minorHAnsi"/>
          <w:w w:val="105"/>
        </w:rPr>
        <w:t xml:space="preserve">incorporate </w:t>
      </w:r>
      <w:r w:rsidRPr="00AA5A73">
        <w:rPr>
          <w:rFonts w:cstheme="minorHAnsi"/>
          <w:w w:val="105"/>
        </w:rPr>
        <w:t xml:space="preserve">curriculum into the Tier II Certificate program that includes </w:t>
      </w:r>
      <w:r w:rsidR="004E367B" w:rsidRPr="00AA5A73">
        <w:rPr>
          <w:rFonts w:cstheme="minorHAnsi"/>
          <w:w w:val="105"/>
        </w:rPr>
        <w:t>p</w:t>
      </w:r>
      <w:r w:rsidRPr="00AA5A73">
        <w:rPr>
          <w:rFonts w:cstheme="minorHAnsi"/>
          <w:w w:val="105"/>
        </w:rPr>
        <w:t>rogram specific training for Adult Education</w:t>
      </w:r>
      <w:r w:rsidR="00F6711F" w:rsidRPr="00AA5A73">
        <w:rPr>
          <w:rFonts w:cstheme="minorHAnsi"/>
          <w:w w:val="105"/>
        </w:rPr>
        <w:t xml:space="preserve">, </w:t>
      </w:r>
      <w:r w:rsidRPr="00AA5A73">
        <w:rPr>
          <w:rFonts w:cstheme="minorHAnsi"/>
          <w:w w:val="105"/>
        </w:rPr>
        <w:t>VR and RA</w:t>
      </w:r>
      <w:r w:rsidR="00F6711F" w:rsidRPr="00AA5A73">
        <w:rPr>
          <w:rFonts w:cstheme="minorHAnsi"/>
          <w:w w:val="105"/>
        </w:rPr>
        <w:t xml:space="preserve">. This </w:t>
      </w:r>
      <w:r w:rsidRPr="00AA5A73">
        <w:rPr>
          <w:rFonts w:cstheme="minorHAnsi"/>
          <w:w w:val="105"/>
        </w:rPr>
        <w:t xml:space="preserve">information </w:t>
      </w:r>
      <w:r w:rsidR="004E367B" w:rsidRPr="00AA5A73">
        <w:rPr>
          <w:rFonts w:cstheme="minorHAnsi"/>
          <w:w w:val="105"/>
        </w:rPr>
        <w:t xml:space="preserve">will </w:t>
      </w:r>
      <w:r w:rsidRPr="00AA5A73">
        <w:rPr>
          <w:rFonts w:cstheme="minorHAnsi"/>
          <w:w w:val="105"/>
        </w:rPr>
        <w:t>increase awareness on the identification of RA eligibility issues.</w:t>
      </w:r>
    </w:p>
    <w:p w14:paraId="1262AE9A" w14:textId="77777777" w:rsidR="00EA7458" w:rsidRPr="0099170A" w:rsidRDefault="00EA7458" w:rsidP="00D63204">
      <w:pPr>
        <w:widowControl w:val="0"/>
        <w:spacing w:after="0" w:line="264" w:lineRule="exact"/>
        <w:ind w:left="107"/>
        <w:rPr>
          <w:rFonts w:cstheme="minorHAnsi"/>
        </w:rPr>
        <w:sectPr w:rsidR="00EA7458" w:rsidRPr="0099170A">
          <w:footerReference w:type="default" r:id="rId158"/>
          <w:pgSz w:w="12240" w:h="15840"/>
          <w:pgMar w:top="1620" w:right="900" w:bottom="820" w:left="900" w:header="812" w:footer="624" w:gutter="0"/>
          <w:pgNumType w:start="115"/>
          <w:cols w:space="720"/>
        </w:sectPr>
      </w:pPr>
    </w:p>
    <w:p w14:paraId="6ED10CC7" w14:textId="77777777" w:rsidR="00EA7458" w:rsidRPr="0099170A" w:rsidRDefault="00EA7458" w:rsidP="00D63204">
      <w:pPr>
        <w:widowControl w:val="0"/>
        <w:spacing w:before="5" w:after="0" w:line="240" w:lineRule="auto"/>
        <w:ind w:left="107"/>
        <w:rPr>
          <w:rFonts w:cstheme="minorHAnsi"/>
          <w:sz w:val="14"/>
          <w:szCs w:val="14"/>
        </w:rPr>
      </w:pPr>
    </w:p>
    <w:p w14:paraId="64E42F64" w14:textId="77777777" w:rsidR="00EA7458" w:rsidRPr="0099170A" w:rsidRDefault="00EA7458" w:rsidP="00D63204">
      <w:pPr>
        <w:widowControl w:val="0"/>
        <w:numPr>
          <w:ilvl w:val="0"/>
          <w:numId w:val="3"/>
        </w:numPr>
        <w:tabs>
          <w:tab w:val="left" w:pos="828"/>
        </w:tabs>
        <w:spacing w:before="48" w:after="0" w:line="312" w:lineRule="exact"/>
        <w:outlineLvl w:val="1"/>
        <w:rPr>
          <w:rFonts w:cstheme="minorHAnsi"/>
          <w:sz w:val="26"/>
          <w:szCs w:val="26"/>
        </w:rPr>
      </w:pPr>
      <w:bookmarkStart w:id="116" w:name="(b)_Assistance_in_Unemployment_Compensat"/>
      <w:bookmarkStart w:id="117" w:name="(c)_Assistance_to_UI_Claimants_and_Other"/>
      <w:bookmarkStart w:id="118" w:name="_bookmark63"/>
      <w:bookmarkEnd w:id="116"/>
      <w:bookmarkEnd w:id="117"/>
      <w:bookmarkEnd w:id="118"/>
      <w:r w:rsidRPr="0099170A">
        <w:rPr>
          <w:rFonts w:cstheme="minorHAnsi"/>
          <w:b/>
          <w:bCs/>
          <w:color w:val="295CA3"/>
          <w:w w:val="110"/>
          <w:sz w:val="26"/>
          <w:szCs w:val="26"/>
        </w:rPr>
        <w:t>Assistance in Unemployment Compensation Claims Through One-Stop</w:t>
      </w:r>
      <w:r w:rsidRPr="0099170A">
        <w:rPr>
          <w:rFonts w:cstheme="minorHAnsi"/>
          <w:b/>
          <w:bCs/>
          <w:color w:val="295CA3"/>
          <w:spacing w:val="-6"/>
          <w:w w:val="110"/>
          <w:sz w:val="26"/>
          <w:szCs w:val="26"/>
        </w:rPr>
        <w:t xml:space="preserve"> </w:t>
      </w:r>
      <w:r w:rsidRPr="0099170A">
        <w:rPr>
          <w:rFonts w:cstheme="minorHAnsi"/>
          <w:b/>
          <w:bCs/>
          <w:color w:val="295CA3"/>
          <w:w w:val="110"/>
          <w:sz w:val="26"/>
          <w:szCs w:val="26"/>
        </w:rPr>
        <w:t>Career</w:t>
      </w:r>
      <w:r w:rsidRPr="0099170A">
        <w:rPr>
          <w:rFonts w:cstheme="minorHAnsi"/>
          <w:b/>
          <w:bCs/>
          <w:color w:val="295CA3"/>
          <w:w w:val="111"/>
          <w:sz w:val="26"/>
          <w:szCs w:val="26"/>
        </w:rPr>
        <w:t xml:space="preserve"> </w:t>
      </w:r>
      <w:r w:rsidRPr="0099170A">
        <w:rPr>
          <w:rFonts w:cstheme="minorHAnsi"/>
          <w:b/>
          <w:bCs/>
          <w:color w:val="295CA3"/>
          <w:w w:val="110"/>
          <w:sz w:val="26"/>
          <w:szCs w:val="26"/>
        </w:rPr>
        <w:t>Centers</w:t>
      </w:r>
    </w:p>
    <w:p w14:paraId="5A61A825" w14:textId="0A7B6128" w:rsidR="00EA7458" w:rsidRPr="0099170A" w:rsidRDefault="008348D4" w:rsidP="00D63204">
      <w:pPr>
        <w:widowControl w:val="0"/>
        <w:spacing w:before="190" w:after="0" w:line="264" w:lineRule="exact"/>
        <w:ind w:left="107"/>
        <w:rPr>
          <w:rFonts w:cstheme="minorHAnsi"/>
        </w:rPr>
      </w:pPr>
      <w:r w:rsidRPr="0099170A">
        <w:rPr>
          <w:rFonts w:cstheme="minorHAnsi"/>
          <w:w w:val="105"/>
        </w:rPr>
        <w:t>F</w:t>
      </w:r>
      <w:r w:rsidR="00EA7458" w:rsidRPr="0099170A">
        <w:rPr>
          <w:rFonts w:cstheme="minorHAnsi"/>
          <w:w w:val="105"/>
        </w:rPr>
        <w:t>ull</w:t>
      </w:r>
      <w:r w:rsidR="00F50664">
        <w:rPr>
          <w:rFonts w:cstheme="minorHAnsi"/>
          <w:spacing w:val="8"/>
          <w:w w:val="105"/>
        </w:rPr>
        <w:t>-</w:t>
      </w:r>
      <w:r w:rsidR="00EA7458" w:rsidRPr="0099170A">
        <w:rPr>
          <w:rFonts w:cstheme="minorHAnsi"/>
          <w:w w:val="105"/>
        </w:rPr>
        <w:t>service</w:t>
      </w:r>
      <w:r w:rsidR="00EA7458" w:rsidRPr="0099170A">
        <w:rPr>
          <w:rFonts w:cstheme="minorHAnsi"/>
          <w:spacing w:val="8"/>
          <w:w w:val="105"/>
        </w:rPr>
        <w:t xml:space="preserve"> </w:t>
      </w:r>
      <w:r w:rsidR="00EA7458" w:rsidRPr="0099170A">
        <w:rPr>
          <w:rFonts w:cstheme="minorHAnsi"/>
          <w:w w:val="105"/>
        </w:rPr>
        <w:t>career</w:t>
      </w:r>
      <w:r w:rsidR="00EA7458" w:rsidRPr="0099170A">
        <w:rPr>
          <w:rFonts w:cstheme="minorHAnsi"/>
          <w:spacing w:val="8"/>
          <w:w w:val="105"/>
        </w:rPr>
        <w:t xml:space="preserve"> </w:t>
      </w:r>
      <w:r w:rsidR="00EA7458" w:rsidRPr="0099170A">
        <w:rPr>
          <w:rFonts w:cstheme="minorHAnsi"/>
          <w:w w:val="105"/>
        </w:rPr>
        <w:t>center</w:t>
      </w:r>
      <w:r w:rsidRPr="0099170A">
        <w:rPr>
          <w:rFonts w:cstheme="minorHAnsi"/>
          <w:w w:val="105"/>
        </w:rPr>
        <w:t>s</w:t>
      </w:r>
      <w:r w:rsidR="00EA7458" w:rsidRPr="0099170A">
        <w:rPr>
          <w:rFonts w:cstheme="minorHAnsi"/>
          <w:spacing w:val="8"/>
          <w:w w:val="105"/>
        </w:rPr>
        <w:t xml:space="preserve"> </w:t>
      </w:r>
      <w:r w:rsidR="00EA7458" w:rsidRPr="0099170A">
        <w:rPr>
          <w:rFonts w:cstheme="minorHAnsi"/>
          <w:w w:val="105"/>
        </w:rPr>
        <w:t>in</w:t>
      </w:r>
      <w:r w:rsidR="00EA7458" w:rsidRPr="0099170A">
        <w:rPr>
          <w:rFonts w:cstheme="minorHAnsi"/>
          <w:spacing w:val="8"/>
          <w:w w:val="105"/>
        </w:rPr>
        <w:t xml:space="preserve"> </w:t>
      </w:r>
      <w:r w:rsidRPr="0099170A">
        <w:rPr>
          <w:rFonts w:cstheme="minorHAnsi"/>
          <w:w w:val="105"/>
        </w:rPr>
        <w:t xml:space="preserve">Florida have </w:t>
      </w:r>
      <w:r w:rsidR="00EA7458" w:rsidRPr="0099170A">
        <w:rPr>
          <w:rFonts w:cstheme="minorHAnsi"/>
          <w:w w:val="105"/>
        </w:rPr>
        <w:t>resource</w:t>
      </w:r>
      <w:r w:rsidR="00EA7458" w:rsidRPr="0099170A">
        <w:rPr>
          <w:rFonts w:cstheme="minorHAnsi"/>
          <w:spacing w:val="8"/>
          <w:w w:val="105"/>
        </w:rPr>
        <w:t xml:space="preserve"> </w:t>
      </w:r>
      <w:r w:rsidR="00EA7458" w:rsidRPr="0099170A">
        <w:rPr>
          <w:rFonts w:cstheme="minorHAnsi"/>
          <w:w w:val="105"/>
        </w:rPr>
        <w:t>room</w:t>
      </w:r>
      <w:r w:rsidRPr="0099170A">
        <w:rPr>
          <w:rFonts w:cstheme="minorHAnsi"/>
          <w:w w:val="105"/>
        </w:rPr>
        <w:t>s</w:t>
      </w:r>
      <w:r w:rsidR="00EA7458" w:rsidRPr="0099170A">
        <w:rPr>
          <w:rFonts w:cstheme="minorHAnsi"/>
          <w:spacing w:val="8"/>
          <w:w w:val="105"/>
        </w:rPr>
        <w:t xml:space="preserve"> </w:t>
      </w:r>
      <w:r w:rsidR="00EA7458" w:rsidRPr="0099170A">
        <w:rPr>
          <w:rFonts w:cstheme="minorHAnsi"/>
          <w:w w:val="105"/>
        </w:rPr>
        <w:t>equipped</w:t>
      </w:r>
      <w:r w:rsidR="00EA7458" w:rsidRPr="0099170A">
        <w:rPr>
          <w:rFonts w:cstheme="minorHAnsi"/>
          <w:spacing w:val="8"/>
          <w:w w:val="105"/>
        </w:rPr>
        <w:t xml:space="preserve"> </w:t>
      </w:r>
      <w:r w:rsidR="00EA7458" w:rsidRPr="0099170A">
        <w:rPr>
          <w:rFonts w:cstheme="minorHAnsi"/>
          <w:w w:val="105"/>
        </w:rPr>
        <w:t>with</w:t>
      </w:r>
      <w:r w:rsidR="00EA7458" w:rsidRPr="0099170A">
        <w:rPr>
          <w:rFonts w:cstheme="minorHAnsi"/>
          <w:spacing w:val="8"/>
          <w:w w:val="105"/>
        </w:rPr>
        <w:t xml:space="preserve"> </w:t>
      </w:r>
      <w:r w:rsidR="00EA7458" w:rsidRPr="0099170A">
        <w:rPr>
          <w:rFonts w:cstheme="minorHAnsi"/>
          <w:w w:val="105"/>
        </w:rPr>
        <w:t>computers</w:t>
      </w:r>
      <w:r w:rsidR="00EA7458" w:rsidRPr="0099170A">
        <w:rPr>
          <w:rFonts w:cstheme="minorHAnsi"/>
          <w:spacing w:val="8"/>
          <w:w w:val="105"/>
        </w:rPr>
        <w:t xml:space="preserve"> </w:t>
      </w:r>
      <w:r w:rsidR="00EA7458" w:rsidRPr="0099170A">
        <w:rPr>
          <w:rFonts w:cstheme="minorHAnsi"/>
          <w:w w:val="105"/>
        </w:rPr>
        <w:t>for</w:t>
      </w:r>
      <w:r w:rsidR="00EA7458" w:rsidRPr="0099170A">
        <w:rPr>
          <w:rFonts w:cstheme="minorHAnsi"/>
          <w:spacing w:val="-8"/>
          <w:w w:val="105"/>
        </w:rPr>
        <w:t xml:space="preserve"> </w:t>
      </w:r>
      <w:r w:rsidR="00D50113">
        <w:rPr>
          <w:rFonts w:cstheme="minorHAnsi"/>
          <w:w w:val="105"/>
        </w:rPr>
        <w:t>customer</w:t>
      </w:r>
      <w:r w:rsidR="00262E8A">
        <w:rPr>
          <w:rFonts w:cstheme="minorHAnsi"/>
          <w:w w:val="105"/>
        </w:rPr>
        <w:t>s to</w:t>
      </w:r>
      <w:r w:rsidR="00EA7458" w:rsidRPr="0099170A">
        <w:rPr>
          <w:rFonts w:cstheme="minorHAnsi"/>
          <w:spacing w:val="8"/>
          <w:w w:val="105"/>
        </w:rPr>
        <w:t xml:space="preserve"> </w:t>
      </w:r>
      <w:r w:rsidR="00EA7458" w:rsidRPr="0099170A">
        <w:rPr>
          <w:rFonts w:cstheme="minorHAnsi"/>
          <w:w w:val="105"/>
        </w:rPr>
        <w:t>use.</w:t>
      </w:r>
      <w:r w:rsidR="00EA7458" w:rsidRPr="0099170A">
        <w:rPr>
          <w:rFonts w:cstheme="minorHAnsi"/>
          <w:spacing w:val="8"/>
          <w:w w:val="105"/>
        </w:rPr>
        <w:t xml:space="preserve"> </w:t>
      </w:r>
      <w:r w:rsidRPr="0099170A">
        <w:rPr>
          <w:rFonts w:cstheme="minorHAnsi"/>
          <w:w w:val="105"/>
        </w:rPr>
        <w:t xml:space="preserve">Individuals seeking to file </w:t>
      </w:r>
      <w:r w:rsidR="00A8474D">
        <w:rPr>
          <w:rFonts w:cstheme="minorHAnsi"/>
          <w:w w:val="105"/>
        </w:rPr>
        <w:t>r</w:t>
      </w:r>
      <w:r w:rsidRPr="0099170A">
        <w:rPr>
          <w:rFonts w:cstheme="minorHAnsi"/>
          <w:spacing w:val="8"/>
          <w:w w:val="105"/>
        </w:rPr>
        <w:t xml:space="preserve">eemployment </w:t>
      </w:r>
      <w:r w:rsidR="00A8474D">
        <w:rPr>
          <w:rFonts w:cstheme="minorHAnsi"/>
          <w:spacing w:val="8"/>
          <w:w w:val="105"/>
        </w:rPr>
        <w:t>a</w:t>
      </w:r>
      <w:r w:rsidRPr="0099170A">
        <w:rPr>
          <w:rFonts w:cstheme="minorHAnsi"/>
          <w:spacing w:val="8"/>
          <w:w w:val="105"/>
        </w:rPr>
        <w:t xml:space="preserve">ssistance </w:t>
      </w:r>
      <w:r w:rsidR="00EA7458" w:rsidRPr="0099170A">
        <w:rPr>
          <w:rFonts w:cstheme="minorHAnsi"/>
          <w:w w:val="105"/>
        </w:rPr>
        <w:t>claim</w:t>
      </w:r>
      <w:r w:rsidRPr="0099170A">
        <w:rPr>
          <w:rFonts w:cstheme="minorHAnsi"/>
          <w:w w:val="105"/>
        </w:rPr>
        <w:t>s</w:t>
      </w:r>
      <w:r w:rsidR="00EA7458" w:rsidRPr="0099170A">
        <w:rPr>
          <w:rFonts w:cstheme="minorHAnsi"/>
          <w:spacing w:val="8"/>
          <w:w w:val="105"/>
        </w:rPr>
        <w:t xml:space="preserve"> </w:t>
      </w:r>
      <w:r w:rsidR="00EA7458" w:rsidRPr="0099170A">
        <w:rPr>
          <w:rFonts w:cstheme="minorHAnsi"/>
          <w:w w:val="105"/>
        </w:rPr>
        <w:t>connect</w:t>
      </w:r>
      <w:r w:rsidR="00EA7458" w:rsidRPr="0099170A">
        <w:rPr>
          <w:rFonts w:cstheme="minorHAnsi"/>
          <w:spacing w:val="8"/>
          <w:w w:val="105"/>
        </w:rPr>
        <w:t xml:space="preserve"> </w:t>
      </w:r>
      <w:r w:rsidR="00EA7458" w:rsidRPr="0099170A">
        <w:rPr>
          <w:rFonts w:cstheme="minorHAnsi"/>
          <w:w w:val="105"/>
        </w:rPr>
        <w:t>to</w:t>
      </w:r>
      <w:r w:rsidR="00EA7458" w:rsidRPr="0099170A">
        <w:rPr>
          <w:rFonts w:cstheme="minorHAnsi"/>
          <w:spacing w:val="8"/>
          <w:w w:val="105"/>
        </w:rPr>
        <w:t xml:space="preserve"> </w:t>
      </w:r>
      <w:r w:rsidR="00EA7458" w:rsidRPr="0099170A">
        <w:rPr>
          <w:rFonts w:cstheme="minorHAnsi"/>
          <w:w w:val="105"/>
        </w:rPr>
        <w:t>the</w:t>
      </w:r>
      <w:r w:rsidR="00EA7458" w:rsidRPr="0099170A">
        <w:rPr>
          <w:rFonts w:cstheme="minorHAnsi"/>
          <w:spacing w:val="8"/>
          <w:w w:val="105"/>
        </w:rPr>
        <w:t xml:space="preserve"> </w:t>
      </w:r>
      <w:r w:rsidR="00EA7458" w:rsidRPr="0099170A">
        <w:rPr>
          <w:rFonts w:cstheme="minorHAnsi"/>
          <w:w w:val="105"/>
        </w:rPr>
        <w:t>state’s</w:t>
      </w:r>
      <w:r w:rsidR="00EA7458" w:rsidRPr="0099170A">
        <w:rPr>
          <w:rFonts w:cstheme="minorHAnsi"/>
          <w:spacing w:val="8"/>
          <w:w w:val="105"/>
        </w:rPr>
        <w:t xml:space="preserve"> </w:t>
      </w:r>
      <w:r w:rsidR="00F50664" w:rsidRPr="0099170A">
        <w:rPr>
          <w:rFonts w:cstheme="minorHAnsi"/>
          <w:spacing w:val="8"/>
          <w:w w:val="105"/>
        </w:rPr>
        <w:t>reemployment assistance</w:t>
      </w:r>
      <w:r w:rsidR="00EA7458" w:rsidRPr="0099170A">
        <w:rPr>
          <w:rFonts w:cstheme="minorHAnsi"/>
          <w:spacing w:val="8"/>
          <w:w w:val="105"/>
        </w:rPr>
        <w:t xml:space="preserve"> </w:t>
      </w:r>
      <w:r w:rsidR="00EA7458" w:rsidRPr="0099170A">
        <w:rPr>
          <w:rFonts w:cstheme="minorHAnsi"/>
          <w:w w:val="105"/>
        </w:rPr>
        <w:t>claims</w:t>
      </w:r>
      <w:r w:rsidR="00EA7458" w:rsidRPr="0099170A">
        <w:rPr>
          <w:rFonts w:cstheme="minorHAnsi"/>
          <w:spacing w:val="8"/>
          <w:w w:val="105"/>
        </w:rPr>
        <w:t xml:space="preserve"> </w:t>
      </w:r>
      <w:r w:rsidR="00EA7458" w:rsidRPr="0099170A">
        <w:rPr>
          <w:rFonts w:cstheme="minorHAnsi"/>
          <w:w w:val="105"/>
        </w:rPr>
        <w:t>and</w:t>
      </w:r>
      <w:r w:rsidR="00EA7458" w:rsidRPr="0099170A">
        <w:rPr>
          <w:rFonts w:cstheme="minorHAnsi"/>
          <w:spacing w:val="-14"/>
          <w:w w:val="105"/>
        </w:rPr>
        <w:t xml:space="preserve"> </w:t>
      </w:r>
      <w:r w:rsidR="00EA7458" w:rsidRPr="0099170A">
        <w:rPr>
          <w:rFonts w:cstheme="minorHAnsi"/>
          <w:w w:val="105"/>
        </w:rPr>
        <w:t>benefits</w:t>
      </w:r>
      <w:r w:rsidR="00EA7458" w:rsidRPr="0099170A">
        <w:rPr>
          <w:rFonts w:cstheme="minorHAnsi"/>
          <w:spacing w:val="16"/>
          <w:w w:val="105"/>
        </w:rPr>
        <w:t xml:space="preserve"> </w:t>
      </w:r>
      <w:r w:rsidR="00EA7458" w:rsidRPr="0099170A">
        <w:rPr>
          <w:rFonts w:cstheme="minorHAnsi"/>
          <w:w w:val="105"/>
        </w:rPr>
        <w:t>system</w:t>
      </w:r>
      <w:r w:rsidR="00EA7458" w:rsidRPr="0099170A">
        <w:rPr>
          <w:rFonts w:cstheme="minorHAnsi"/>
          <w:spacing w:val="16"/>
          <w:w w:val="105"/>
        </w:rPr>
        <w:t xml:space="preserve"> </w:t>
      </w:r>
      <w:r w:rsidR="00EA7458" w:rsidRPr="0099170A">
        <w:rPr>
          <w:rFonts w:cstheme="minorHAnsi"/>
          <w:w w:val="105"/>
        </w:rPr>
        <w:t>to</w:t>
      </w:r>
      <w:r w:rsidR="00EA7458" w:rsidRPr="0099170A">
        <w:rPr>
          <w:rFonts w:cstheme="minorHAnsi"/>
          <w:spacing w:val="16"/>
          <w:w w:val="105"/>
        </w:rPr>
        <w:t xml:space="preserve"> </w:t>
      </w:r>
      <w:r w:rsidR="00EA7458" w:rsidRPr="0099170A">
        <w:rPr>
          <w:rFonts w:cstheme="minorHAnsi"/>
          <w:w w:val="105"/>
        </w:rPr>
        <w:t>complete</w:t>
      </w:r>
      <w:r w:rsidR="00EA7458" w:rsidRPr="0099170A">
        <w:rPr>
          <w:rFonts w:cstheme="minorHAnsi"/>
          <w:spacing w:val="16"/>
          <w:w w:val="105"/>
        </w:rPr>
        <w:t xml:space="preserve"> </w:t>
      </w:r>
      <w:r w:rsidR="00EA7458" w:rsidRPr="0099170A">
        <w:rPr>
          <w:rFonts w:cstheme="minorHAnsi"/>
          <w:w w:val="105"/>
        </w:rPr>
        <w:t>the</w:t>
      </w:r>
      <w:r w:rsidR="00EA7458" w:rsidRPr="0099170A">
        <w:rPr>
          <w:rFonts w:cstheme="minorHAnsi"/>
          <w:spacing w:val="16"/>
          <w:w w:val="105"/>
        </w:rPr>
        <w:t xml:space="preserve"> </w:t>
      </w:r>
      <w:r w:rsidR="00EA7458" w:rsidRPr="0099170A">
        <w:rPr>
          <w:rFonts w:cstheme="minorHAnsi"/>
          <w:w w:val="105"/>
        </w:rPr>
        <w:t>online</w:t>
      </w:r>
      <w:r w:rsidR="00EA7458" w:rsidRPr="0099170A">
        <w:rPr>
          <w:rFonts w:cstheme="minorHAnsi"/>
          <w:spacing w:val="16"/>
          <w:w w:val="105"/>
        </w:rPr>
        <w:t xml:space="preserve"> </w:t>
      </w:r>
      <w:r w:rsidR="00EA7458" w:rsidRPr="0099170A">
        <w:rPr>
          <w:rFonts w:cstheme="minorHAnsi"/>
          <w:w w:val="105"/>
        </w:rPr>
        <w:t>application</w:t>
      </w:r>
      <w:r w:rsidR="00EA7458" w:rsidRPr="0099170A">
        <w:rPr>
          <w:rFonts w:cstheme="minorHAnsi"/>
          <w:spacing w:val="16"/>
          <w:w w:val="105"/>
        </w:rPr>
        <w:t xml:space="preserve"> </w:t>
      </w:r>
      <w:r w:rsidR="00EA7458" w:rsidRPr="0099170A">
        <w:rPr>
          <w:rFonts w:cstheme="minorHAnsi"/>
          <w:w w:val="105"/>
        </w:rPr>
        <w:t>and</w:t>
      </w:r>
      <w:r w:rsidR="00EA7458" w:rsidRPr="0099170A">
        <w:rPr>
          <w:rFonts w:cstheme="minorHAnsi"/>
          <w:spacing w:val="16"/>
          <w:w w:val="105"/>
        </w:rPr>
        <w:t xml:space="preserve"> </w:t>
      </w:r>
      <w:r w:rsidR="00EA7458" w:rsidRPr="0099170A">
        <w:rPr>
          <w:rFonts w:cstheme="minorHAnsi"/>
          <w:w w:val="105"/>
        </w:rPr>
        <w:t>subsequent</w:t>
      </w:r>
      <w:r w:rsidR="00EA7458" w:rsidRPr="0099170A">
        <w:rPr>
          <w:rFonts w:cstheme="minorHAnsi"/>
          <w:spacing w:val="16"/>
          <w:w w:val="105"/>
        </w:rPr>
        <w:t xml:space="preserve"> </w:t>
      </w:r>
      <w:r w:rsidR="00EA7458" w:rsidRPr="0099170A">
        <w:rPr>
          <w:rFonts w:cstheme="minorHAnsi"/>
          <w:w w:val="105"/>
        </w:rPr>
        <w:t>work</w:t>
      </w:r>
      <w:r w:rsidR="00EA7458" w:rsidRPr="0099170A">
        <w:rPr>
          <w:rFonts w:cstheme="minorHAnsi"/>
          <w:spacing w:val="16"/>
          <w:w w:val="105"/>
        </w:rPr>
        <w:t xml:space="preserve"> </w:t>
      </w:r>
      <w:r w:rsidR="00EA7458" w:rsidRPr="0099170A">
        <w:rPr>
          <w:rFonts w:cstheme="minorHAnsi"/>
          <w:w w:val="105"/>
        </w:rPr>
        <w:t>registration</w:t>
      </w:r>
      <w:r w:rsidR="00CC751F">
        <w:rPr>
          <w:rFonts w:cstheme="minorHAnsi"/>
          <w:w w:val="105"/>
        </w:rPr>
        <w:t xml:space="preserve"> steps</w:t>
      </w:r>
      <w:r w:rsidR="00EA7458" w:rsidRPr="0099170A">
        <w:rPr>
          <w:rFonts w:cstheme="minorHAnsi"/>
          <w:w w:val="105"/>
        </w:rPr>
        <w:t>.</w:t>
      </w:r>
      <w:r w:rsidR="00EA7458" w:rsidRPr="0099170A">
        <w:rPr>
          <w:rFonts w:cstheme="minorHAnsi"/>
          <w:spacing w:val="16"/>
          <w:w w:val="105"/>
        </w:rPr>
        <w:t xml:space="preserve"> </w:t>
      </w:r>
      <w:r w:rsidR="00EA7458" w:rsidRPr="0099170A">
        <w:rPr>
          <w:rFonts w:cstheme="minorHAnsi"/>
          <w:w w:val="105"/>
        </w:rPr>
        <w:t>Career</w:t>
      </w:r>
      <w:r w:rsidR="00EA7458" w:rsidRPr="0099170A">
        <w:rPr>
          <w:rFonts w:cstheme="minorHAnsi"/>
          <w:spacing w:val="16"/>
          <w:w w:val="105"/>
        </w:rPr>
        <w:t xml:space="preserve"> </w:t>
      </w:r>
      <w:r w:rsidR="00EA7458" w:rsidRPr="0099170A">
        <w:rPr>
          <w:rFonts w:cstheme="minorHAnsi"/>
          <w:w w:val="105"/>
        </w:rPr>
        <w:t>center</w:t>
      </w:r>
      <w:r w:rsidR="00EA7458" w:rsidRPr="0099170A">
        <w:rPr>
          <w:rFonts w:cstheme="minorHAnsi"/>
          <w:w w:val="106"/>
        </w:rPr>
        <w:t xml:space="preserve"> </w:t>
      </w:r>
      <w:r w:rsidR="00EA7458" w:rsidRPr="0099170A">
        <w:rPr>
          <w:rFonts w:cstheme="minorHAnsi"/>
          <w:w w:val="105"/>
        </w:rPr>
        <w:t>staff assist customers with general computer and unemployment application questions.</w:t>
      </w:r>
      <w:r w:rsidR="00080041" w:rsidRPr="0099170A">
        <w:rPr>
          <w:rFonts w:cstheme="minorHAnsi"/>
          <w:w w:val="105"/>
        </w:rPr>
        <w:t xml:space="preserve"> C</w:t>
      </w:r>
      <w:r w:rsidR="00EA7458" w:rsidRPr="0099170A">
        <w:rPr>
          <w:rFonts w:cstheme="minorHAnsi"/>
          <w:w w:val="105"/>
        </w:rPr>
        <w:t>areer</w:t>
      </w:r>
      <w:r w:rsidR="00EA7458" w:rsidRPr="0099170A">
        <w:rPr>
          <w:rFonts w:cstheme="minorHAnsi"/>
          <w:spacing w:val="18"/>
          <w:w w:val="105"/>
        </w:rPr>
        <w:t xml:space="preserve"> </w:t>
      </w:r>
      <w:r w:rsidR="00EA7458" w:rsidRPr="0099170A">
        <w:rPr>
          <w:rFonts w:cstheme="minorHAnsi"/>
          <w:w w:val="105"/>
        </w:rPr>
        <w:t>centers</w:t>
      </w:r>
      <w:r w:rsidR="00EA7458" w:rsidRPr="0099170A">
        <w:rPr>
          <w:rFonts w:cstheme="minorHAnsi"/>
          <w:spacing w:val="18"/>
          <w:w w:val="105"/>
        </w:rPr>
        <w:t xml:space="preserve"> </w:t>
      </w:r>
      <w:r w:rsidR="00EA7458" w:rsidRPr="0099170A">
        <w:rPr>
          <w:rFonts w:cstheme="minorHAnsi"/>
          <w:w w:val="105"/>
        </w:rPr>
        <w:t>are</w:t>
      </w:r>
      <w:r w:rsidR="00EA7458" w:rsidRPr="0099170A">
        <w:rPr>
          <w:rFonts w:cstheme="minorHAnsi"/>
          <w:spacing w:val="18"/>
          <w:w w:val="105"/>
        </w:rPr>
        <w:t xml:space="preserve"> </w:t>
      </w:r>
      <w:r w:rsidR="00EA7458" w:rsidRPr="0099170A">
        <w:rPr>
          <w:rFonts w:cstheme="minorHAnsi"/>
          <w:w w:val="105"/>
        </w:rPr>
        <w:t>equipped</w:t>
      </w:r>
      <w:r w:rsidR="00EA7458" w:rsidRPr="0099170A">
        <w:rPr>
          <w:rFonts w:cstheme="minorHAnsi"/>
          <w:spacing w:val="18"/>
          <w:w w:val="105"/>
        </w:rPr>
        <w:t xml:space="preserve"> </w:t>
      </w:r>
      <w:r w:rsidR="00EA7458" w:rsidRPr="0099170A">
        <w:rPr>
          <w:rFonts w:cstheme="minorHAnsi"/>
          <w:w w:val="105"/>
        </w:rPr>
        <w:t>with</w:t>
      </w:r>
      <w:r w:rsidR="00EA7458" w:rsidRPr="0099170A">
        <w:rPr>
          <w:rFonts w:cstheme="minorHAnsi"/>
          <w:spacing w:val="18"/>
          <w:w w:val="105"/>
        </w:rPr>
        <w:t xml:space="preserve"> </w:t>
      </w:r>
      <w:r w:rsidR="00EA7458" w:rsidRPr="0099170A">
        <w:rPr>
          <w:rFonts w:cstheme="minorHAnsi"/>
          <w:w w:val="105"/>
        </w:rPr>
        <w:t>telephones</w:t>
      </w:r>
      <w:r w:rsidR="00EA7458" w:rsidRPr="0099170A">
        <w:rPr>
          <w:rFonts w:cstheme="minorHAnsi"/>
          <w:spacing w:val="18"/>
          <w:w w:val="105"/>
        </w:rPr>
        <w:t xml:space="preserve"> </w:t>
      </w:r>
      <w:r w:rsidR="00EA7458" w:rsidRPr="0099170A">
        <w:rPr>
          <w:rFonts w:cstheme="minorHAnsi"/>
          <w:w w:val="105"/>
        </w:rPr>
        <w:t>customers</w:t>
      </w:r>
      <w:r w:rsidR="00EA7458" w:rsidRPr="0099170A">
        <w:rPr>
          <w:rFonts w:cstheme="minorHAnsi"/>
          <w:spacing w:val="18"/>
          <w:w w:val="105"/>
        </w:rPr>
        <w:t xml:space="preserve"> </w:t>
      </w:r>
      <w:r w:rsidR="00EA7458" w:rsidRPr="0099170A">
        <w:rPr>
          <w:rFonts w:cstheme="minorHAnsi"/>
          <w:w w:val="105"/>
        </w:rPr>
        <w:t>may</w:t>
      </w:r>
      <w:r w:rsidR="00EA7458" w:rsidRPr="0099170A">
        <w:rPr>
          <w:rFonts w:cstheme="minorHAnsi"/>
          <w:spacing w:val="18"/>
          <w:w w:val="105"/>
        </w:rPr>
        <w:t xml:space="preserve"> </w:t>
      </w:r>
      <w:r w:rsidR="00EA7458" w:rsidRPr="0099170A">
        <w:rPr>
          <w:rFonts w:cstheme="minorHAnsi"/>
          <w:w w:val="105"/>
        </w:rPr>
        <w:t>use</w:t>
      </w:r>
      <w:r w:rsidR="00EA7458" w:rsidRPr="0099170A">
        <w:rPr>
          <w:rFonts w:cstheme="minorHAnsi"/>
          <w:spacing w:val="18"/>
          <w:w w:val="105"/>
        </w:rPr>
        <w:t xml:space="preserve"> </w:t>
      </w:r>
      <w:r w:rsidR="00080041" w:rsidRPr="0099170A">
        <w:rPr>
          <w:rFonts w:cstheme="minorHAnsi"/>
          <w:spacing w:val="18"/>
          <w:w w:val="105"/>
        </w:rPr>
        <w:t xml:space="preserve">to </w:t>
      </w:r>
      <w:r w:rsidR="00EA7458" w:rsidRPr="0099170A">
        <w:rPr>
          <w:rFonts w:cstheme="minorHAnsi"/>
          <w:w w:val="105"/>
        </w:rPr>
        <w:t>contact</w:t>
      </w:r>
      <w:r w:rsidR="00EA7458" w:rsidRPr="0099170A">
        <w:rPr>
          <w:rFonts w:cstheme="minorHAnsi"/>
          <w:spacing w:val="18"/>
          <w:w w:val="105"/>
        </w:rPr>
        <w:t xml:space="preserve"> </w:t>
      </w:r>
      <w:r w:rsidR="00EA7458" w:rsidRPr="0099170A">
        <w:rPr>
          <w:rFonts w:cstheme="minorHAnsi"/>
          <w:w w:val="105"/>
        </w:rPr>
        <w:t>representative</w:t>
      </w:r>
      <w:r w:rsidR="00080041" w:rsidRPr="0099170A">
        <w:rPr>
          <w:rFonts w:cstheme="minorHAnsi"/>
          <w:w w:val="105"/>
        </w:rPr>
        <w:t>s</w:t>
      </w:r>
      <w:r w:rsidR="00EA7458" w:rsidRPr="0099170A">
        <w:rPr>
          <w:rFonts w:cstheme="minorHAnsi"/>
          <w:w w:val="106"/>
        </w:rPr>
        <w:t xml:space="preserve"> </w:t>
      </w:r>
      <w:r w:rsidR="00EA7458" w:rsidRPr="0099170A">
        <w:rPr>
          <w:rFonts w:cstheme="minorHAnsi"/>
          <w:w w:val="105"/>
        </w:rPr>
        <w:t>for initial claims questions and assistance.</w:t>
      </w:r>
    </w:p>
    <w:p w14:paraId="6F7C8867" w14:textId="77777777" w:rsidR="00EA7458" w:rsidRPr="0099170A" w:rsidRDefault="00EA7458" w:rsidP="00D63204">
      <w:pPr>
        <w:widowControl w:val="0"/>
        <w:spacing w:before="4" w:after="0" w:line="240" w:lineRule="auto"/>
        <w:ind w:left="107"/>
        <w:rPr>
          <w:rFonts w:cstheme="minorHAnsi"/>
          <w:sz w:val="17"/>
          <w:szCs w:val="17"/>
        </w:rPr>
      </w:pPr>
    </w:p>
    <w:p w14:paraId="1789C604" w14:textId="77777777" w:rsidR="00EA7458" w:rsidRPr="0099170A" w:rsidRDefault="00EA7458" w:rsidP="00D63204">
      <w:pPr>
        <w:widowControl w:val="0"/>
        <w:numPr>
          <w:ilvl w:val="0"/>
          <w:numId w:val="3"/>
        </w:numPr>
        <w:tabs>
          <w:tab w:val="left" w:pos="828"/>
        </w:tabs>
        <w:spacing w:after="0" w:line="240" w:lineRule="auto"/>
        <w:outlineLvl w:val="1"/>
        <w:rPr>
          <w:rFonts w:cstheme="minorHAnsi"/>
          <w:sz w:val="26"/>
          <w:szCs w:val="26"/>
        </w:rPr>
      </w:pPr>
      <w:r w:rsidRPr="0099170A">
        <w:rPr>
          <w:rFonts w:cstheme="minorHAnsi"/>
          <w:b/>
          <w:bCs/>
          <w:color w:val="295CA3"/>
          <w:w w:val="110"/>
          <w:sz w:val="26"/>
          <w:szCs w:val="26"/>
        </w:rPr>
        <w:t>Assistance to UI Claimants and Other Unemployed</w:t>
      </w:r>
      <w:r w:rsidRPr="0099170A">
        <w:rPr>
          <w:rFonts w:cstheme="minorHAnsi"/>
          <w:b/>
          <w:bCs/>
          <w:color w:val="295CA3"/>
          <w:spacing w:val="-2"/>
          <w:w w:val="110"/>
          <w:sz w:val="26"/>
          <w:szCs w:val="26"/>
        </w:rPr>
        <w:t xml:space="preserve"> </w:t>
      </w:r>
      <w:r w:rsidRPr="0099170A">
        <w:rPr>
          <w:rFonts w:cstheme="minorHAnsi"/>
          <w:b/>
          <w:bCs/>
          <w:color w:val="295CA3"/>
          <w:w w:val="110"/>
          <w:sz w:val="26"/>
          <w:szCs w:val="26"/>
        </w:rPr>
        <w:t>Individuals</w:t>
      </w:r>
    </w:p>
    <w:p w14:paraId="66C8BB0E" w14:textId="4C522D65" w:rsidR="0099170A" w:rsidRDefault="00A0558C" w:rsidP="00D63204">
      <w:pPr>
        <w:widowControl w:val="0"/>
        <w:spacing w:before="183" w:after="0" w:line="264" w:lineRule="exact"/>
        <w:ind w:left="107"/>
        <w:rPr>
          <w:rFonts w:cstheme="minorHAnsi"/>
          <w:w w:val="105"/>
        </w:rPr>
      </w:pPr>
      <w:r w:rsidRPr="0099170A">
        <w:rPr>
          <w:rFonts w:cstheme="minorHAnsi"/>
          <w:w w:val="105"/>
        </w:rPr>
        <w:t>In</w:t>
      </w:r>
      <w:r w:rsidRPr="0099170A">
        <w:rPr>
          <w:rFonts w:cstheme="minorHAnsi"/>
          <w:spacing w:val="15"/>
          <w:w w:val="105"/>
        </w:rPr>
        <w:t xml:space="preserve"> </w:t>
      </w:r>
      <w:r w:rsidRPr="0099170A">
        <w:rPr>
          <w:rFonts w:cstheme="minorHAnsi"/>
          <w:w w:val="105"/>
        </w:rPr>
        <w:t>Florida,</w:t>
      </w:r>
      <w:r w:rsidRPr="0099170A">
        <w:rPr>
          <w:rFonts w:cstheme="minorHAnsi"/>
          <w:spacing w:val="15"/>
          <w:w w:val="105"/>
        </w:rPr>
        <w:t xml:space="preserve"> </w:t>
      </w:r>
      <w:r w:rsidRPr="0099170A">
        <w:rPr>
          <w:rFonts w:cstheme="minorHAnsi"/>
          <w:w w:val="105"/>
        </w:rPr>
        <w:t>most Reemployment</w:t>
      </w:r>
      <w:r w:rsidRPr="0099170A">
        <w:rPr>
          <w:rFonts w:cstheme="minorHAnsi"/>
          <w:spacing w:val="15"/>
          <w:w w:val="105"/>
        </w:rPr>
        <w:t xml:space="preserve"> </w:t>
      </w:r>
      <w:r w:rsidRPr="0099170A">
        <w:rPr>
          <w:rFonts w:cstheme="minorHAnsi"/>
          <w:w w:val="105"/>
        </w:rPr>
        <w:t>Assistance</w:t>
      </w:r>
      <w:r w:rsidRPr="0099170A">
        <w:rPr>
          <w:rFonts w:cstheme="minorHAnsi"/>
          <w:spacing w:val="15"/>
          <w:w w:val="105"/>
        </w:rPr>
        <w:t xml:space="preserve"> </w:t>
      </w:r>
      <w:r w:rsidRPr="0099170A">
        <w:rPr>
          <w:rFonts w:cstheme="minorHAnsi"/>
          <w:w w:val="105"/>
        </w:rPr>
        <w:t>claimants</w:t>
      </w:r>
      <w:r w:rsidRPr="0099170A">
        <w:rPr>
          <w:rFonts w:cstheme="minorHAnsi"/>
          <w:spacing w:val="15"/>
          <w:w w:val="105"/>
        </w:rPr>
        <w:t xml:space="preserve"> </w:t>
      </w:r>
      <w:r w:rsidRPr="0099170A">
        <w:rPr>
          <w:rFonts w:cstheme="minorHAnsi"/>
          <w:w w:val="105"/>
        </w:rPr>
        <w:t>are</w:t>
      </w:r>
      <w:r w:rsidRPr="0099170A">
        <w:rPr>
          <w:rFonts w:cstheme="minorHAnsi"/>
          <w:spacing w:val="15"/>
          <w:w w:val="105"/>
        </w:rPr>
        <w:t xml:space="preserve"> </w:t>
      </w:r>
      <w:r w:rsidRPr="0099170A">
        <w:rPr>
          <w:rFonts w:cstheme="minorHAnsi"/>
          <w:w w:val="105"/>
        </w:rPr>
        <w:t>registered</w:t>
      </w:r>
      <w:r w:rsidRPr="0099170A">
        <w:rPr>
          <w:rFonts w:cstheme="minorHAnsi"/>
          <w:spacing w:val="15"/>
          <w:w w:val="105"/>
        </w:rPr>
        <w:t xml:space="preserve"> </w:t>
      </w:r>
      <w:r w:rsidRPr="0099170A">
        <w:rPr>
          <w:rFonts w:cstheme="minorHAnsi"/>
          <w:w w:val="105"/>
        </w:rPr>
        <w:t>as</w:t>
      </w:r>
      <w:r w:rsidRPr="0099170A">
        <w:rPr>
          <w:rFonts w:cstheme="minorHAnsi"/>
          <w:spacing w:val="15"/>
          <w:w w:val="105"/>
        </w:rPr>
        <w:t xml:space="preserve"> </w:t>
      </w:r>
      <w:r w:rsidRPr="0099170A">
        <w:rPr>
          <w:rFonts w:cstheme="minorHAnsi"/>
          <w:w w:val="105"/>
        </w:rPr>
        <w:t>job</w:t>
      </w:r>
      <w:r w:rsidR="007F14D7">
        <w:rPr>
          <w:rFonts w:cstheme="minorHAnsi"/>
          <w:w w:val="105"/>
        </w:rPr>
        <w:t xml:space="preserve"> </w:t>
      </w:r>
      <w:r w:rsidRPr="0099170A">
        <w:rPr>
          <w:rFonts w:cstheme="minorHAnsi"/>
          <w:w w:val="105"/>
        </w:rPr>
        <w:t>seekers</w:t>
      </w:r>
      <w:r w:rsidRPr="0099170A">
        <w:rPr>
          <w:rFonts w:cstheme="minorHAnsi"/>
          <w:spacing w:val="15"/>
          <w:w w:val="105"/>
        </w:rPr>
        <w:t xml:space="preserve"> </w:t>
      </w:r>
      <w:r w:rsidRPr="0099170A">
        <w:rPr>
          <w:rFonts w:cstheme="minorHAnsi"/>
          <w:w w:val="105"/>
        </w:rPr>
        <w:t>in</w:t>
      </w:r>
      <w:r w:rsidRPr="0099170A">
        <w:rPr>
          <w:rFonts w:cstheme="minorHAnsi"/>
          <w:spacing w:val="15"/>
          <w:w w:val="105"/>
        </w:rPr>
        <w:t xml:space="preserve"> </w:t>
      </w:r>
      <w:r w:rsidRPr="0099170A">
        <w:rPr>
          <w:rFonts w:cstheme="minorHAnsi"/>
          <w:w w:val="105"/>
        </w:rPr>
        <w:t>Employ</w:t>
      </w:r>
      <w:r w:rsidRPr="0099170A">
        <w:rPr>
          <w:rFonts w:cstheme="minorHAnsi"/>
          <w:w w:val="107"/>
        </w:rPr>
        <w:t xml:space="preserve"> </w:t>
      </w:r>
      <w:r w:rsidRPr="0099170A">
        <w:rPr>
          <w:rFonts w:cstheme="minorHAnsi"/>
          <w:w w:val="105"/>
        </w:rPr>
        <w:t>Florida</w:t>
      </w:r>
      <w:r w:rsidRPr="0099170A">
        <w:rPr>
          <w:rFonts w:cstheme="minorHAnsi"/>
          <w:spacing w:val="8"/>
          <w:w w:val="105"/>
        </w:rPr>
        <w:t xml:space="preserve"> </w:t>
      </w:r>
      <w:r w:rsidRPr="0099170A">
        <w:rPr>
          <w:rFonts w:cstheme="minorHAnsi"/>
          <w:w w:val="105"/>
        </w:rPr>
        <w:t>within</w:t>
      </w:r>
      <w:r w:rsidRPr="0099170A">
        <w:rPr>
          <w:rFonts w:cstheme="minorHAnsi"/>
          <w:spacing w:val="8"/>
          <w:w w:val="105"/>
        </w:rPr>
        <w:t xml:space="preserve"> </w:t>
      </w:r>
      <w:r w:rsidRPr="0099170A">
        <w:rPr>
          <w:rFonts w:cstheme="minorHAnsi"/>
          <w:w w:val="105"/>
        </w:rPr>
        <w:t>24</w:t>
      </w:r>
      <w:r w:rsidRPr="0099170A">
        <w:rPr>
          <w:rFonts w:cstheme="minorHAnsi"/>
          <w:spacing w:val="8"/>
          <w:w w:val="105"/>
        </w:rPr>
        <w:t xml:space="preserve"> </w:t>
      </w:r>
      <w:r w:rsidRPr="0099170A">
        <w:rPr>
          <w:rFonts w:cstheme="minorHAnsi"/>
          <w:w w:val="105"/>
        </w:rPr>
        <w:t>hours</w:t>
      </w:r>
      <w:r w:rsidRPr="0099170A">
        <w:rPr>
          <w:rFonts w:cstheme="minorHAnsi"/>
          <w:spacing w:val="8"/>
          <w:w w:val="105"/>
        </w:rPr>
        <w:t xml:space="preserve"> </w:t>
      </w:r>
      <w:r w:rsidRPr="0099170A">
        <w:rPr>
          <w:rFonts w:cstheme="minorHAnsi"/>
          <w:w w:val="105"/>
        </w:rPr>
        <w:t>of</w:t>
      </w:r>
      <w:r w:rsidRPr="0099170A">
        <w:rPr>
          <w:rFonts w:cstheme="minorHAnsi"/>
          <w:spacing w:val="8"/>
          <w:w w:val="105"/>
        </w:rPr>
        <w:t xml:space="preserve"> </w:t>
      </w:r>
      <w:r w:rsidRPr="0099170A">
        <w:rPr>
          <w:rFonts w:cstheme="minorHAnsi"/>
          <w:w w:val="105"/>
        </w:rPr>
        <w:t>filing</w:t>
      </w:r>
      <w:r w:rsidRPr="0099170A">
        <w:rPr>
          <w:rFonts w:cstheme="minorHAnsi"/>
          <w:spacing w:val="8"/>
          <w:w w:val="105"/>
        </w:rPr>
        <w:t xml:space="preserve"> </w:t>
      </w:r>
      <w:r w:rsidRPr="0099170A">
        <w:rPr>
          <w:rFonts w:cstheme="minorHAnsi"/>
          <w:w w:val="105"/>
        </w:rPr>
        <w:t>for</w:t>
      </w:r>
      <w:r w:rsidRPr="0099170A">
        <w:rPr>
          <w:rFonts w:cstheme="minorHAnsi"/>
          <w:spacing w:val="8"/>
          <w:w w:val="105"/>
        </w:rPr>
        <w:t xml:space="preserve"> </w:t>
      </w:r>
      <w:r w:rsidRPr="0099170A">
        <w:rPr>
          <w:rFonts w:cstheme="minorHAnsi"/>
          <w:w w:val="105"/>
        </w:rPr>
        <w:t>unemployment</w:t>
      </w:r>
      <w:r w:rsidRPr="0099170A">
        <w:rPr>
          <w:rFonts w:cstheme="minorHAnsi"/>
          <w:spacing w:val="8"/>
          <w:w w:val="105"/>
        </w:rPr>
        <w:t xml:space="preserve"> </w:t>
      </w:r>
      <w:r w:rsidRPr="0099170A">
        <w:rPr>
          <w:rFonts w:cstheme="minorHAnsi"/>
          <w:w w:val="105"/>
        </w:rPr>
        <w:t>benefits.</w:t>
      </w:r>
      <w:r w:rsidRPr="0099170A">
        <w:rPr>
          <w:rFonts w:cstheme="minorHAnsi"/>
          <w:spacing w:val="8"/>
          <w:w w:val="105"/>
        </w:rPr>
        <w:t xml:space="preserve"> </w:t>
      </w:r>
      <w:r w:rsidRPr="0099170A">
        <w:rPr>
          <w:rFonts w:cstheme="minorHAnsi"/>
          <w:w w:val="105"/>
        </w:rPr>
        <w:t>This</w:t>
      </w:r>
      <w:r w:rsidRPr="0099170A">
        <w:rPr>
          <w:rFonts w:cstheme="minorHAnsi"/>
          <w:spacing w:val="8"/>
          <w:w w:val="105"/>
        </w:rPr>
        <w:t xml:space="preserve"> </w:t>
      </w:r>
      <w:r w:rsidRPr="0099170A">
        <w:rPr>
          <w:rFonts w:cstheme="minorHAnsi"/>
          <w:w w:val="105"/>
        </w:rPr>
        <w:t>is</w:t>
      </w:r>
      <w:r w:rsidRPr="0099170A">
        <w:rPr>
          <w:rFonts w:cstheme="minorHAnsi"/>
          <w:spacing w:val="8"/>
          <w:w w:val="105"/>
        </w:rPr>
        <w:t xml:space="preserve"> </w:t>
      </w:r>
      <w:r w:rsidRPr="0099170A">
        <w:rPr>
          <w:rFonts w:cstheme="minorHAnsi"/>
          <w:w w:val="105"/>
        </w:rPr>
        <w:t>accomplished</w:t>
      </w:r>
      <w:r w:rsidRPr="0099170A">
        <w:rPr>
          <w:rFonts w:cstheme="minorHAnsi"/>
          <w:spacing w:val="8"/>
          <w:w w:val="105"/>
        </w:rPr>
        <w:t xml:space="preserve"> </w:t>
      </w:r>
      <w:r w:rsidRPr="0099170A">
        <w:rPr>
          <w:rFonts w:cstheme="minorHAnsi"/>
          <w:w w:val="105"/>
        </w:rPr>
        <w:t>through an</w:t>
      </w:r>
      <w:r w:rsidRPr="0099170A">
        <w:rPr>
          <w:rFonts w:cstheme="minorHAnsi"/>
          <w:spacing w:val="-12"/>
          <w:w w:val="105"/>
        </w:rPr>
        <w:t xml:space="preserve"> </w:t>
      </w:r>
      <w:r w:rsidRPr="0099170A">
        <w:rPr>
          <w:rFonts w:cstheme="minorHAnsi"/>
          <w:w w:val="105"/>
        </w:rPr>
        <w:t>automated</w:t>
      </w:r>
      <w:r w:rsidRPr="0099170A">
        <w:rPr>
          <w:rFonts w:cstheme="minorHAnsi"/>
          <w:spacing w:val="12"/>
          <w:w w:val="105"/>
        </w:rPr>
        <w:t xml:space="preserve"> </w:t>
      </w:r>
      <w:r w:rsidRPr="0099170A">
        <w:rPr>
          <w:rFonts w:cstheme="minorHAnsi"/>
          <w:w w:val="105"/>
        </w:rPr>
        <w:t>interface</w:t>
      </w:r>
      <w:r w:rsidRPr="0099170A">
        <w:rPr>
          <w:rFonts w:cstheme="minorHAnsi"/>
          <w:spacing w:val="12"/>
          <w:w w:val="105"/>
        </w:rPr>
        <w:t xml:space="preserve"> </w:t>
      </w:r>
      <w:r w:rsidRPr="0099170A">
        <w:rPr>
          <w:rFonts w:cstheme="minorHAnsi"/>
          <w:w w:val="105"/>
        </w:rPr>
        <w:t>between</w:t>
      </w:r>
      <w:r w:rsidRPr="0099170A">
        <w:rPr>
          <w:rFonts w:cstheme="minorHAnsi"/>
          <w:spacing w:val="12"/>
          <w:w w:val="105"/>
        </w:rPr>
        <w:t xml:space="preserve"> </w:t>
      </w:r>
      <w:r w:rsidRPr="0099170A">
        <w:rPr>
          <w:rFonts w:cstheme="minorHAnsi"/>
          <w:w w:val="105"/>
        </w:rPr>
        <w:t>the</w:t>
      </w:r>
      <w:r w:rsidRPr="0099170A">
        <w:rPr>
          <w:rFonts w:cstheme="minorHAnsi"/>
          <w:spacing w:val="12"/>
          <w:w w:val="105"/>
        </w:rPr>
        <w:t xml:space="preserve"> </w:t>
      </w:r>
      <w:r w:rsidRPr="0099170A">
        <w:rPr>
          <w:rFonts w:cstheme="minorHAnsi"/>
          <w:w w:val="105"/>
        </w:rPr>
        <w:t>unemployment</w:t>
      </w:r>
      <w:r w:rsidRPr="0099170A">
        <w:rPr>
          <w:rFonts w:cstheme="minorHAnsi"/>
          <w:spacing w:val="12"/>
          <w:w w:val="105"/>
        </w:rPr>
        <w:t xml:space="preserve"> </w:t>
      </w:r>
      <w:r w:rsidRPr="0099170A">
        <w:rPr>
          <w:rFonts w:cstheme="minorHAnsi"/>
          <w:w w:val="105"/>
        </w:rPr>
        <w:t>compensation</w:t>
      </w:r>
      <w:r w:rsidRPr="0099170A">
        <w:rPr>
          <w:rFonts w:cstheme="minorHAnsi"/>
          <w:spacing w:val="12"/>
          <w:w w:val="105"/>
        </w:rPr>
        <w:t xml:space="preserve"> </w:t>
      </w:r>
      <w:r w:rsidRPr="0099170A">
        <w:rPr>
          <w:rFonts w:cstheme="minorHAnsi"/>
          <w:w w:val="105"/>
        </w:rPr>
        <w:t>system</w:t>
      </w:r>
      <w:r w:rsidRPr="0099170A">
        <w:rPr>
          <w:rFonts w:cstheme="minorHAnsi"/>
          <w:spacing w:val="12"/>
          <w:w w:val="105"/>
        </w:rPr>
        <w:t xml:space="preserve"> </w:t>
      </w:r>
      <w:r w:rsidRPr="0099170A">
        <w:rPr>
          <w:rFonts w:cstheme="minorHAnsi"/>
          <w:w w:val="105"/>
        </w:rPr>
        <w:t>and</w:t>
      </w:r>
      <w:r w:rsidRPr="0099170A">
        <w:rPr>
          <w:rFonts w:cstheme="minorHAnsi"/>
          <w:spacing w:val="12"/>
          <w:w w:val="105"/>
        </w:rPr>
        <w:t xml:space="preserve"> </w:t>
      </w:r>
      <w:r w:rsidRPr="0099170A">
        <w:rPr>
          <w:rFonts w:cstheme="minorHAnsi"/>
          <w:w w:val="105"/>
        </w:rPr>
        <w:t>Employ</w:t>
      </w:r>
      <w:r w:rsidRPr="0099170A">
        <w:rPr>
          <w:rFonts w:cstheme="minorHAnsi"/>
          <w:spacing w:val="12"/>
          <w:w w:val="105"/>
        </w:rPr>
        <w:t xml:space="preserve"> </w:t>
      </w:r>
      <w:r w:rsidRPr="0099170A">
        <w:rPr>
          <w:rFonts w:cstheme="minorHAnsi"/>
          <w:w w:val="105"/>
        </w:rPr>
        <w:t>Florida.</w:t>
      </w:r>
      <w:r w:rsidRPr="0099170A">
        <w:rPr>
          <w:rFonts w:cstheme="minorHAnsi"/>
          <w:spacing w:val="6"/>
          <w:w w:val="105"/>
        </w:rPr>
        <w:t xml:space="preserve"> </w:t>
      </w:r>
      <w:r w:rsidRPr="0099170A">
        <w:rPr>
          <w:rFonts w:cstheme="minorHAnsi"/>
          <w:w w:val="105"/>
        </w:rPr>
        <w:t>Each night,</w:t>
      </w:r>
      <w:r w:rsidRPr="0099170A">
        <w:rPr>
          <w:rFonts w:cstheme="minorHAnsi"/>
          <w:spacing w:val="6"/>
          <w:w w:val="105"/>
        </w:rPr>
        <w:t xml:space="preserve"> </w:t>
      </w:r>
      <w:r w:rsidRPr="0099170A">
        <w:rPr>
          <w:rFonts w:cstheme="minorHAnsi"/>
          <w:w w:val="105"/>
        </w:rPr>
        <w:t>new</w:t>
      </w:r>
      <w:r w:rsidRPr="0099170A">
        <w:rPr>
          <w:rFonts w:cstheme="minorHAnsi"/>
          <w:spacing w:val="6"/>
          <w:w w:val="105"/>
        </w:rPr>
        <w:t xml:space="preserve"> </w:t>
      </w:r>
      <w:r w:rsidR="00A8474D">
        <w:rPr>
          <w:rFonts w:cstheme="minorHAnsi"/>
          <w:w w:val="105"/>
        </w:rPr>
        <w:t>r</w:t>
      </w:r>
      <w:r w:rsidRPr="0099170A">
        <w:rPr>
          <w:rFonts w:cstheme="minorHAnsi"/>
          <w:w w:val="105"/>
        </w:rPr>
        <w:t>eemployment</w:t>
      </w:r>
      <w:r w:rsidRPr="0099170A">
        <w:rPr>
          <w:rFonts w:cstheme="minorHAnsi"/>
          <w:spacing w:val="6"/>
          <w:w w:val="105"/>
        </w:rPr>
        <w:t xml:space="preserve"> </w:t>
      </w:r>
      <w:r w:rsidR="00A8474D">
        <w:rPr>
          <w:rFonts w:cstheme="minorHAnsi"/>
          <w:w w:val="105"/>
        </w:rPr>
        <w:t>a</w:t>
      </w:r>
      <w:r w:rsidRPr="0099170A">
        <w:rPr>
          <w:rFonts w:cstheme="minorHAnsi"/>
          <w:w w:val="105"/>
        </w:rPr>
        <w:t>ssistance</w:t>
      </w:r>
      <w:r w:rsidRPr="0099170A">
        <w:rPr>
          <w:rFonts w:cstheme="minorHAnsi"/>
          <w:spacing w:val="6"/>
          <w:w w:val="105"/>
        </w:rPr>
        <w:t xml:space="preserve"> </w:t>
      </w:r>
      <w:r w:rsidRPr="0099170A">
        <w:rPr>
          <w:rFonts w:cstheme="minorHAnsi"/>
          <w:w w:val="105"/>
        </w:rPr>
        <w:t>claimant information</w:t>
      </w:r>
      <w:r w:rsidRPr="0099170A">
        <w:rPr>
          <w:rFonts w:cstheme="minorHAnsi"/>
          <w:spacing w:val="6"/>
          <w:w w:val="105"/>
        </w:rPr>
        <w:t xml:space="preserve"> </w:t>
      </w:r>
      <w:r w:rsidRPr="0099170A">
        <w:rPr>
          <w:rFonts w:cstheme="minorHAnsi"/>
          <w:w w:val="105"/>
        </w:rPr>
        <w:t>is</w:t>
      </w:r>
      <w:r w:rsidRPr="0099170A">
        <w:rPr>
          <w:rFonts w:cstheme="minorHAnsi"/>
          <w:spacing w:val="6"/>
          <w:w w:val="105"/>
        </w:rPr>
        <w:t xml:space="preserve"> </w:t>
      </w:r>
      <w:r w:rsidRPr="0099170A">
        <w:rPr>
          <w:rFonts w:cstheme="minorHAnsi"/>
          <w:w w:val="105"/>
        </w:rPr>
        <w:t>sent</w:t>
      </w:r>
      <w:r w:rsidRPr="0099170A">
        <w:rPr>
          <w:rFonts w:cstheme="minorHAnsi"/>
          <w:spacing w:val="6"/>
          <w:w w:val="105"/>
        </w:rPr>
        <w:t xml:space="preserve"> </w:t>
      </w:r>
      <w:r w:rsidRPr="0099170A">
        <w:rPr>
          <w:rFonts w:cstheme="minorHAnsi"/>
          <w:w w:val="105"/>
        </w:rPr>
        <w:t>to</w:t>
      </w:r>
      <w:r w:rsidR="00AA5A73">
        <w:rPr>
          <w:rFonts w:cstheme="minorHAnsi"/>
          <w:spacing w:val="6"/>
          <w:w w:val="105"/>
        </w:rPr>
        <w:t xml:space="preserve"> Employ Florida</w:t>
      </w:r>
      <w:r w:rsidRPr="0099170A">
        <w:rPr>
          <w:rFonts w:cstheme="minorHAnsi"/>
          <w:spacing w:val="6"/>
          <w:w w:val="105"/>
        </w:rPr>
        <w:t xml:space="preserve"> </w:t>
      </w:r>
      <w:r w:rsidRPr="0099170A">
        <w:rPr>
          <w:rFonts w:cstheme="minorHAnsi"/>
          <w:w w:val="105"/>
        </w:rPr>
        <w:t>where</w:t>
      </w:r>
      <w:r w:rsidRPr="0099170A">
        <w:rPr>
          <w:rFonts w:cstheme="minorHAnsi"/>
          <w:spacing w:val="6"/>
          <w:w w:val="105"/>
        </w:rPr>
        <w:t xml:space="preserve"> </w:t>
      </w:r>
      <w:r w:rsidRPr="0099170A">
        <w:rPr>
          <w:rFonts w:cstheme="minorHAnsi"/>
          <w:w w:val="105"/>
        </w:rPr>
        <w:t>a</w:t>
      </w:r>
      <w:r w:rsidRPr="0099170A">
        <w:rPr>
          <w:rFonts w:cstheme="minorHAnsi"/>
          <w:spacing w:val="6"/>
          <w:w w:val="105"/>
        </w:rPr>
        <w:t xml:space="preserve"> </w:t>
      </w:r>
      <w:r w:rsidRPr="0099170A">
        <w:rPr>
          <w:rFonts w:cstheme="minorHAnsi"/>
          <w:w w:val="105"/>
        </w:rPr>
        <w:t>basic</w:t>
      </w:r>
      <w:r w:rsidRPr="0099170A">
        <w:rPr>
          <w:rFonts w:cstheme="minorHAnsi"/>
          <w:spacing w:val="-27"/>
          <w:w w:val="105"/>
        </w:rPr>
        <w:t xml:space="preserve"> </w:t>
      </w:r>
      <w:r w:rsidRPr="0099170A">
        <w:rPr>
          <w:rFonts w:cstheme="minorHAnsi"/>
          <w:w w:val="105"/>
        </w:rPr>
        <w:t>registration</w:t>
      </w:r>
      <w:r w:rsidRPr="0099170A">
        <w:rPr>
          <w:rFonts w:cstheme="minorHAnsi"/>
          <w:spacing w:val="9"/>
          <w:w w:val="105"/>
        </w:rPr>
        <w:t xml:space="preserve"> </w:t>
      </w:r>
      <w:r w:rsidRPr="0099170A">
        <w:rPr>
          <w:rFonts w:cstheme="minorHAnsi"/>
          <w:w w:val="105"/>
        </w:rPr>
        <w:t>is</w:t>
      </w:r>
      <w:r w:rsidRPr="0099170A">
        <w:rPr>
          <w:rFonts w:cstheme="minorHAnsi"/>
          <w:spacing w:val="9"/>
          <w:w w:val="105"/>
        </w:rPr>
        <w:t xml:space="preserve"> </w:t>
      </w:r>
      <w:r w:rsidRPr="0099170A">
        <w:rPr>
          <w:rFonts w:cstheme="minorHAnsi"/>
          <w:w w:val="105"/>
        </w:rPr>
        <w:t>created.</w:t>
      </w:r>
      <w:r w:rsidRPr="0099170A">
        <w:rPr>
          <w:rFonts w:cstheme="minorHAnsi"/>
          <w:spacing w:val="9"/>
          <w:w w:val="105"/>
        </w:rPr>
        <w:t xml:space="preserve"> </w:t>
      </w:r>
      <w:r w:rsidRPr="0099170A">
        <w:rPr>
          <w:rFonts w:cstheme="minorHAnsi"/>
          <w:w w:val="105"/>
        </w:rPr>
        <w:t>This</w:t>
      </w:r>
      <w:r w:rsidRPr="0099170A">
        <w:rPr>
          <w:rFonts w:cstheme="minorHAnsi"/>
          <w:spacing w:val="9"/>
          <w:w w:val="105"/>
        </w:rPr>
        <w:t xml:space="preserve"> </w:t>
      </w:r>
      <w:r w:rsidRPr="0099170A">
        <w:rPr>
          <w:rFonts w:cstheme="minorHAnsi"/>
          <w:w w:val="105"/>
        </w:rPr>
        <w:t>includes</w:t>
      </w:r>
      <w:r w:rsidRPr="0099170A">
        <w:rPr>
          <w:rFonts w:cstheme="minorHAnsi"/>
          <w:spacing w:val="9"/>
          <w:w w:val="105"/>
        </w:rPr>
        <w:t xml:space="preserve"> </w:t>
      </w:r>
      <w:r w:rsidRPr="0099170A">
        <w:rPr>
          <w:rFonts w:cstheme="minorHAnsi"/>
          <w:w w:val="105"/>
        </w:rPr>
        <w:t>the</w:t>
      </w:r>
      <w:r w:rsidRPr="0099170A">
        <w:rPr>
          <w:rFonts w:cstheme="minorHAnsi"/>
          <w:spacing w:val="9"/>
          <w:w w:val="105"/>
        </w:rPr>
        <w:t xml:space="preserve"> </w:t>
      </w:r>
      <w:r w:rsidRPr="0099170A">
        <w:rPr>
          <w:rFonts w:cstheme="minorHAnsi"/>
          <w:w w:val="105"/>
        </w:rPr>
        <w:t>client’s</w:t>
      </w:r>
      <w:r w:rsidRPr="0099170A">
        <w:rPr>
          <w:rFonts w:cstheme="minorHAnsi"/>
          <w:spacing w:val="9"/>
          <w:w w:val="105"/>
        </w:rPr>
        <w:t xml:space="preserve"> </w:t>
      </w:r>
      <w:r w:rsidRPr="0099170A">
        <w:rPr>
          <w:rFonts w:cstheme="minorHAnsi"/>
          <w:w w:val="105"/>
        </w:rPr>
        <w:t>email</w:t>
      </w:r>
      <w:r w:rsidRPr="0099170A">
        <w:rPr>
          <w:rFonts w:cstheme="minorHAnsi"/>
          <w:spacing w:val="9"/>
          <w:w w:val="105"/>
        </w:rPr>
        <w:t xml:space="preserve"> </w:t>
      </w:r>
      <w:r w:rsidRPr="0099170A">
        <w:rPr>
          <w:rFonts w:cstheme="minorHAnsi"/>
          <w:w w:val="105"/>
        </w:rPr>
        <w:t>address</w:t>
      </w:r>
      <w:r w:rsidR="005B2B3C">
        <w:rPr>
          <w:rFonts w:cstheme="minorHAnsi"/>
          <w:spacing w:val="9"/>
          <w:w w:val="105"/>
        </w:rPr>
        <w:t xml:space="preserve">, </w:t>
      </w:r>
      <w:r w:rsidRPr="0099170A">
        <w:rPr>
          <w:rFonts w:cstheme="minorHAnsi"/>
          <w:w w:val="105"/>
        </w:rPr>
        <w:t>if</w:t>
      </w:r>
      <w:r w:rsidRPr="0099170A">
        <w:rPr>
          <w:rFonts w:cstheme="minorHAnsi"/>
          <w:spacing w:val="9"/>
          <w:w w:val="105"/>
        </w:rPr>
        <w:t xml:space="preserve"> </w:t>
      </w:r>
      <w:r w:rsidRPr="0099170A">
        <w:rPr>
          <w:rFonts w:cstheme="minorHAnsi"/>
          <w:w w:val="105"/>
        </w:rPr>
        <w:t>supplied</w:t>
      </w:r>
      <w:r w:rsidR="005B2B3C">
        <w:rPr>
          <w:rFonts w:cstheme="minorHAnsi"/>
          <w:w w:val="105"/>
        </w:rPr>
        <w:t>,</w:t>
      </w:r>
      <w:r w:rsidRPr="0099170A">
        <w:rPr>
          <w:rFonts w:cstheme="minorHAnsi"/>
          <w:spacing w:val="9"/>
          <w:w w:val="105"/>
        </w:rPr>
        <w:t xml:space="preserve"> </w:t>
      </w:r>
      <w:r w:rsidRPr="0099170A">
        <w:rPr>
          <w:rFonts w:cstheme="minorHAnsi"/>
          <w:w w:val="105"/>
        </w:rPr>
        <w:t>and</w:t>
      </w:r>
      <w:r w:rsidRPr="0099170A">
        <w:rPr>
          <w:rFonts w:cstheme="minorHAnsi"/>
          <w:spacing w:val="9"/>
          <w:w w:val="105"/>
        </w:rPr>
        <w:t xml:space="preserve"> </w:t>
      </w:r>
      <w:r w:rsidRPr="0099170A">
        <w:rPr>
          <w:rFonts w:cstheme="minorHAnsi"/>
          <w:w w:val="105"/>
        </w:rPr>
        <w:t>a</w:t>
      </w:r>
      <w:r w:rsidRPr="0099170A">
        <w:rPr>
          <w:rFonts w:cstheme="minorHAnsi"/>
          <w:spacing w:val="9"/>
          <w:w w:val="105"/>
        </w:rPr>
        <w:t xml:space="preserve"> </w:t>
      </w:r>
      <w:r w:rsidRPr="0099170A">
        <w:rPr>
          <w:rFonts w:cstheme="minorHAnsi"/>
          <w:w w:val="105"/>
        </w:rPr>
        <w:t>partial</w:t>
      </w:r>
      <w:r w:rsidRPr="0099170A">
        <w:rPr>
          <w:rFonts w:cstheme="minorHAnsi"/>
          <w:spacing w:val="9"/>
          <w:w w:val="105"/>
        </w:rPr>
        <w:t xml:space="preserve"> </w:t>
      </w:r>
      <w:r w:rsidRPr="0099170A">
        <w:rPr>
          <w:rFonts w:cstheme="minorHAnsi"/>
          <w:w w:val="105"/>
        </w:rPr>
        <w:t>work</w:t>
      </w:r>
      <w:r w:rsidRPr="0099170A">
        <w:rPr>
          <w:rFonts w:cstheme="minorHAnsi"/>
          <w:spacing w:val="9"/>
          <w:w w:val="105"/>
        </w:rPr>
        <w:t xml:space="preserve"> </w:t>
      </w:r>
      <w:r w:rsidRPr="0099170A">
        <w:rPr>
          <w:rFonts w:cstheme="minorHAnsi"/>
          <w:w w:val="105"/>
        </w:rPr>
        <w:t>history.</w:t>
      </w:r>
      <w:r w:rsidRPr="0099170A">
        <w:rPr>
          <w:rFonts w:cstheme="minorHAnsi"/>
          <w:spacing w:val="9"/>
          <w:w w:val="105"/>
        </w:rPr>
        <w:t xml:space="preserve"> </w:t>
      </w:r>
      <w:r w:rsidRPr="0099170A">
        <w:rPr>
          <w:rFonts w:cstheme="minorHAnsi"/>
          <w:w w:val="105"/>
        </w:rPr>
        <w:t>The</w:t>
      </w:r>
      <w:r>
        <w:rPr>
          <w:rFonts w:cstheme="minorHAnsi"/>
          <w:w w:val="105"/>
        </w:rPr>
        <w:t xml:space="preserve"> </w:t>
      </w:r>
      <w:r w:rsidRPr="0099170A">
        <w:rPr>
          <w:rFonts w:cstheme="minorHAnsi"/>
          <w:w w:val="105"/>
        </w:rPr>
        <w:t>career</w:t>
      </w:r>
      <w:r w:rsidRPr="0099170A">
        <w:rPr>
          <w:rFonts w:cstheme="minorHAnsi"/>
          <w:spacing w:val="8"/>
          <w:w w:val="105"/>
        </w:rPr>
        <w:t xml:space="preserve"> </w:t>
      </w:r>
      <w:r w:rsidRPr="0099170A">
        <w:rPr>
          <w:rFonts w:cstheme="minorHAnsi"/>
          <w:w w:val="105"/>
        </w:rPr>
        <w:t>services</w:t>
      </w:r>
      <w:r w:rsidRPr="0099170A">
        <w:rPr>
          <w:rFonts w:cstheme="minorHAnsi"/>
          <w:spacing w:val="8"/>
          <w:w w:val="105"/>
        </w:rPr>
        <w:t xml:space="preserve"> </w:t>
      </w:r>
      <w:r w:rsidRPr="0099170A">
        <w:rPr>
          <w:rFonts w:cstheme="minorHAnsi"/>
          <w:w w:val="105"/>
        </w:rPr>
        <w:t>skills</w:t>
      </w:r>
      <w:r w:rsidRPr="0099170A">
        <w:rPr>
          <w:rFonts w:cstheme="minorHAnsi"/>
          <w:spacing w:val="8"/>
          <w:w w:val="105"/>
        </w:rPr>
        <w:t xml:space="preserve"> </w:t>
      </w:r>
      <w:r w:rsidRPr="0099170A">
        <w:rPr>
          <w:rFonts w:cstheme="minorHAnsi"/>
          <w:w w:val="105"/>
        </w:rPr>
        <w:t>matching</w:t>
      </w:r>
      <w:r w:rsidRPr="0099170A">
        <w:rPr>
          <w:rFonts w:cstheme="minorHAnsi"/>
          <w:spacing w:val="8"/>
          <w:w w:val="105"/>
        </w:rPr>
        <w:t xml:space="preserve"> </w:t>
      </w:r>
      <w:r w:rsidRPr="0099170A">
        <w:rPr>
          <w:rFonts w:cstheme="minorHAnsi"/>
          <w:w w:val="105"/>
        </w:rPr>
        <w:t>functionality</w:t>
      </w:r>
      <w:r w:rsidRPr="0099170A">
        <w:rPr>
          <w:rFonts w:cstheme="minorHAnsi"/>
          <w:spacing w:val="8"/>
          <w:w w:val="105"/>
        </w:rPr>
        <w:t xml:space="preserve"> </w:t>
      </w:r>
      <w:r w:rsidRPr="0099170A">
        <w:rPr>
          <w:rFonts w:cstheme="minorHAnsi"/>
          <w:w w:val="105"/>
        </w:rPr>
        <w:t>of</w:t>
      </w:r>
      <w:r w:rsidRPr="0099170A">
        <w:rPr>
          <w:rFonts w:cstheme="minorHAnsi"/>
          <w:spacing w:val="8"/>
          <w:w w:val="105"/>
        </w:rPr>
        <w:t xml:space="preserve"> </w:t>
      </w:r>
      <w:r w:rsidRPr="0099170A">
        <w:rPr>
          <w:rFonts w:cstheme="minorHAnsi"/>
          <w:w w:val="105"/>
        </w:rPr>
        <w:t>Employ Florida</w:t>
      </w:r>
      <w:r w:rsidRPr="0099170A">
        <w:rPr>
          <w:rFonts w:cstheme="minorHAnsi"/>
          <w:spacing w:val="8"/>
          <w:w w:val="105"/>
        </w:rPr>
        <w:t xml:space="preserve"> </w:t>
      </w:r>
      <w:r w:rsidRPr="0099170A">
        <w:rPr>
          <w:rFonts w:cstheme="minorHAnsi"/>
          <w:w w:val="105"/>
        </w:rPr>
        <w:t>is</w:t>
      </w:r>
      <w:r w:rsidRPr="0099170A">
        <w:rPr>
          <w:rFonts w:cstheme="minorHAnsi"/>
          <w:spacing w:val="8"/>
          <w:w w:val="105"/>
        </w:rPr>
        <w:t xml:space="preserve"> </w:t>
      </w:r>
      <w:r w:rsidRPr="0099170A">
        <w:rPr>
          <w:rFonts w:cstheme="minorHAnsi"/>
          <w:w w:val="105"/>
        </w:rPr>
        <w:t>used to</w:t>
      </w:r>
      <w:r w:rsidRPr="0099170A">
        <w:rPr>
          <w:rFonts w:cstheme="minorHAnsi"/>
          <w:spacing w:val="8"/>
          <w:w w:val="105"/>
        </w:rPr>
        <w:t xml:space="preserve"> </w:t>
      </w:r>
      <w:r w:rsidRPr="0099170A">
        <w:rPr>
          <w:rFonts w:cstheme="minorHAnsi"/>
          <w:w w:val="105"/>
        </w:rPr>
        <w:t>generate</w:t>
      </w:r>
      <w:r w:rsidRPr="0099170A">
        <w:rPr>
          <w:rFonts w:cstheme="minorHAnsi"/>
          <w:spacing w:val="8"/>
          <w:w w:val="105"/>
        </w:rPr>
        <w:t xml:space="preserve"> </w:t>
      </w:r>
      <w:r w:rsidRPr="0099170A">
        <w:rPr>
          <w:rFonts w:cstheme="minorHAnsi"/>
          <w:w w:val="105"/>
        </w:rPr>
        <w:t>an</w:t>
      </w:r>
      <w:r w:rsidRPr="0099170A">
        <w:rPr>
          <w:rFonts w:cstheme="minorHAnsi"/>
          <w:spacing w:val="8"/>
          <w:w w:val="105"/>
        </w:rPr>
        <w:t xml:space="preserve"> </w:t>
      </w:r>
      <w:r w:rsidRPr="0099170A">
        <w:rPr>
          <w:rFonts w:cstheme="minorHAnsi"/>
          <w:w w:val="105"/>
        </w:rPr>
        <w:t>initial</w:t>
      </w:r>
      <w:r w:rsidRPr="0099170A">
        <w:rPr>
          <w:rFonts w:cstheme="minorHAnsi"/>
          <w:spacing w:val="8"/>
          <w:w w:val="105"/>
        </w:rPr>
        <w:t xml:space="preserve"> </w:t>
      </w:r>
      <w:r w:rsidRPr="0099170A">
        <w:rPr>
          <w:rFonts w:cstheme="minorHAnsi"/>
          <w:w w:val="105"/>
        </w:rPr>
        <w:t>listing</w:t>
      </w:r>
      <w:r w:rsidRPr="0099170A">
        <w:rPr>
          <w:rFonts w:cstheme="minorHAnsi"/>
          <w:spacing w:val="8"/>
          <w:w w:val="105"/>
        </w:rPr>
        <w:t xml:space="preserve"> </w:t>
      </w:r>
      <w:r w:rsidRPr="0099170A">
        <w:rPr>
          <w:rFonts w:cstheme="minorHAnsi"/>
          <w:w w:val="105"/>
        </w:rPr>
        <w:t>of</w:t>
      </w:r>
      <w:r w:rsidRPr="0099170A">
        <w:rPr>
          <w:rFonts w:cstheme="minorHAnsi"/>
          <w:spacing w:val="8"/>
          <w:w w:val="105"/>
        </w:rPr>
        <w:t xml:space="preserve"> </w:t>
      </w:r>
      <w:r w:rsidRPr="0099170A">
        <w:rPr>
          <w:rFonts w:cstheme="minorHAnsi"/>
          <w:w w:val="105"/>
        </w:rPr>
        <w:t>current</w:t>
      </w:r>
      <w:r>
        <w:rPr>
          <w:rFonts w:cstheme="minorHAnsi"/>
          <w:w w:val="105"/>
        </w:rPr>
        <w:t xml:space="preserve"> </w:t>
      </w:r>
      <w:r w:rsidRPr="0099170A">
        <w:rPr>
          <w:rFonts w:cstheme="minorHAnsi"/>
          <w:w w:val="105"/>
        </w:rPr>
        <w:t xml:space="preserve">jobs posted in the system based on the employment information </w:t>
      </w:r>
      <w:r w:rsidR="007935A3">
        <w:rPr>
          <w:rFonts w:cstheme="minorHAnsi"/>
          <w:w w:val="105"/>
        </w:rPr>
        <w:t xml:space="preserve">given by </w:t>
      </w:r>
      <w:r w:rsidRPr="0099170A">
        <w:rPr>
          <w:rFonts w:cstheme="minorHAnsi"/>
          <w:w w:val="105"/>
        </w:rPr>
        <w:t>claimant</w:t>
      </w:r>
      <w:r w:rsidR="007935A3">
        <w:rPr>
          <w:rFonts w:cstheme="minorHAnsi"/>
          <w:w w:val="105"/>
        </w:rPr>
        <w:t>s</w:t>
      </w:r>
      <w:r w:rsidRPr="0099170A">
        <w:rPr>
          <w:rFonts w:cstheme="minorHAnsi"/>
          <w:w w:val="105"/>
        </w:rPr>
        <w:t xml:space="preserve"> when filing claim</w:t>
      </w:r>
      <w:r w:rsidR="00A34FC9">
        <w:rPr>
          <w:rFonts w:cstheme="minorHAnsi"/>
          <w:w w:val="105"/>
        </w:rPr>
        <w:t>s</w:t>
      </w:r>
      <w:r w:rsidRPr="0099170A">
        <w:rPr>
          <w:rFonts w:cstheme="minorHAnsi"/>
          <w:w w:val="105"/>
        </w:rPr>
        <w:t xml:space="preserve">. </w:t>
      </w:r>
    </w:p>
    <w:p w14:paraId="2B5E07B7" w14:textId="77777777" w:rsidR="0099170A" w:rsidRDefault="0099170A" w:rsidP="00D63204">
      <w:pPr>
        <w:widowControl w:val="0"/>
        <w:spacing w:before="1" w:after="0" w:line="240" w:lineRule="auto"/>
        <w:ind w:left="107"/>
        <w:rPr>
          <w:rFonts w:cstheme="minorHAnsi"/>
          <w:w w:val="105"/>
        </w:rPr>
      </w:pPr>
    </w:p>
    <w:p w14:paraId="5576208A" w14:textId="18DE8341" w:rsidR="00A0558C" w:rsidRPr="0099170A" w:rsidRDefault="00A0558C" w:rsidP="00D63204">
      <w:pPr>
        <w:widowControl w:val="0"/>
        <w:spacing w:before="1" w:after="0" w:line="240" w:lineRule="auto"/>
        <w:ind w:left="107"/>
        <w:rPr>
          <w:rFonts w:cstheme="minorHAnsi"/>
        </w:rPr>
      </w:pPr>
      <w:r w:rsidRPr="0099170A">
        <w:rPr>
          <w:rFonts w:cstheme="minorHAnsi"/>
          <w:w w:val="105"/>
        </w:rPr>
        <w:t>This generates an automatic email to the claimant</w:t>
      </w:r>
      <w:r w:rsidRPr="0099170A">
        <w:rPr>
          <w:rFonts w:cstheme="minorHAnsi"/>
          <w:spacing w:val="45"/>
          <w:w w:val="105"/>
        </w:rPr>
        <w:t xml:space="preserve"> </w:t>
      </w:r>
      <w:r w:rsidRPr="0099170A">
        <w:rPr>
          <w:rFonts w:cstheme="minorHAnsi"/>
          <w:w w:val="105"/>
        </w:rPr>
        <w:t>that:</w:t>
      </w:r>
    </w:p>
    <w:p w14:paraId="2FCB390F" w14:textId="1366FC4D" w:rsidR="00A0558C" w:rsidRPr="0099170A" w:rsidRDefault="00A0558C" w:rsidP="00D63204">
      <w:pPr>
        <w:pStyle w:val="ListParagraph"/>
        <w:widowControl w:val="0"/>
        <w:numPr>
          <w:ilvl w:val="0"/>
          <w:numId w:val="42"/>
        </w:numPr>
        <w:spacing w:before="195" w:after="0" w:line="240" w:lineRule="auto"/>
        <w:rPr>
          <w:rFonts w:cstheme="minorHAnsi"/>
        </w:rPr>
      </w:pPr>
      <w:r w:rsidRPr="0099170A">
        <w:rPr>
          <w:rFonts w:cstheme="minorHAnsi"/>
          <w:color w:val="231F20"/>
          <w:w w:val="105"/>
        </w:rPr>
        <w:t>Informs the claimant of his/her</w:t>
      </w:r>
      <w:r w:rsidR="00AA5A73">
        <w:rPr>
          <w:rFonts w:cstheme="minorHAnsi"/>
          <w:color w:val="231F20"/>
          <w:w w:val="105"/>
        </w:rPr>
        <w:t xml:space="preserve"> Employ Florida</w:t>
      </w:r>
      <w:r w:rsidRPr="0099170A">
        <w:rPr>
          <w:rFonts w:cstheme="minorHAnsi"/>
          <w:color w:val="231F20"/>
          <w:w w:val="105"/>
        </w:rPr>
        <w:t xml:space="preserve"> log </w:t>
      </w:r>
      <w:r w:rsidR="006D1B51">
        <w:rPr>
          <w:rFonts w:cstheme="minorHAnsi"/>
          <w:color w:val="231F20"/>
          <w:w w:val="105"/>
        </w:rPr>
        <w:t>in</w:t>
      </w:r>
      <w:r>
        <w:rPr>
          <w:rFonts w:cstheme="minorHAnsi"/>
          <w:color w:val="231F20"/>
          <w:w w:val="105"/>
        </w:rPr>
        <w:t xml:space="preserve"> </w:t>
      </w:r>
      <w:r w:rsidRPr="0099170A">
        <w:rPr>
          <w:rFonts w:cstheme="minorHAnsi"/>
          <w:color w:val="231F20"/>
          <w:w w:val="105"/>
        </w:rPr>
        <w:t>information;</w:t>
      </w:r>
    </w:p>
    <w:p w14:paraId="55BB0331" w14:textId="77777777" w:rsidR="0099170A" w:rsidRPr="0099170A" w:rsidRDefault="0099170A" w:rsidP="00D63204">
      <w:pPr>
        <w:pStyle w:val="ListParagraph"/>
        <w:widowControl w:val="0"/>
        <w:spacing w:before="195" w:after="0" w:line="240" w:lineRule="auto"/>
        <w:ind w:left="827"/>
        <w:rPr>
          <w:rFonts w:cstheme="minorHAnsi"/>
        </w:rPr>
      </w:pPr>
    </w:p>
    <w:p w14:paraId="2258AFA5" w14:textId="2A621EA6" w:rsidR="00A0558C" w:rsidRPr="0099170A" w:rsidRDefault="00A0558C" w:rsidP="00D63204">
      <w:pPr>
        <w:pStyle w:val="ListParagraph"/>
        <w:widowControl w:val="0"/>
        <w:numPr>
          <w:ilvl w:val="0"/>
          <w:numId w:val="42"/>
        </w:numPr>
        <w:spacing w:before="85" w:after="0" w:line="240" w:lineRule="auto"/>
        <w:rPr>
          <w:rFonts w:cstheme="minorHAnsi"/>
        </w:rPr>
      </w:pPr>
      <w:r w:rsidRPr="0099170A">
        <w:rPr>
          <w:rFonts w:cstheme="minorHAnsi"/>
          <w:color w:val="231F20"/>
          <w:w w:val="105"/>
        </w:rPr>
        <w:t xml:space="preserve">Provides a link to the initial list of jobs matched to </w:t>
      </w:r>
      <w:r w:rsidR="00D37322">
        <w:rPr>
          <w:rFonts w:cstheme="minorHAnsi"/>
          <w:color w:val="231F20"/>
          <w:w w:val="105"/>
        </w:rPr>
        <w:t>the claimant’s</w:t>
      </w:r>
      <w:r w:rsidRPr="0099170A">
        <w:rPr>
          <w:rFonts w:cstheme="minorHAnsi"/>
          <w:color w:val="231F20"/>
          <w:w w:val="105"/>
        </w:rPr>
        <w:t xml:space="preserve"> employment history;</w:t>
      </w:r>
      <w:r w:rsidRPr="0099170A">
        <w:rPr>
          <w:rFonts w:cstheme="minorHAnsi"/>
          <w:color w:val="231F20"/>
          <w:spacing w:val="8"/>
          <w:w w:val="105"/>
        </w:rPr>
        <w:t xml:space="preserve"> </w:t>
      </w:r>
      <w:r w:rsidRPr="0099170A">
        <w:rPr>
          <w:rFonts w:cstheme="minorHAnsi"/>
          <w:color w:val="231F20"/>
          <w:w w:val="105"/>
        </w:rPr>
        <w:t>and</w:t>
      </w:r>
    </w:p>
    <w:p w14:paraId="0EE4E200" w14:textId="77777777" w:rsidR="0099170A" w:rsidRPr="0099170A" w:rsidRDefault="0099170A" w:rsidP="00D63204">
      <w:pPr>
        <w:pStyle w:val="ListParagraph"/>
        <w:widowControl w:val="0"/>
        <w:spacing w:before="85" w:after="0" w:line="240" w:lineRule="auto"/>
        <w:ind w:left="827"/>
        <w:rPr>
          <w:rFonts w:cstheme="minorHAnsi"/>
        </w:rPr>
      </w:pPr>
    </w:p>
    <w:p w14:paraId="3F571373" w14:textId="37EF160F" w:rsidR="00A0558C" w:rsidRPr="0099170A" w:rsidRDefault="00A0558C" w:rsidP="00D63204">
      <w:pPr>
        <w:pStyle w:val="ListParagraph"/>
        <w:widowControl w:val="0"/>
        <w:numPr>
          <w:ilvl w:val="0"/>
          <w:numId w:val="42"/>
        </w:numPr>
        <w:spacing w:before="83" w:after="0" w:line="264" w:lineRule="exact"/>
        <w:rPr>
          <w:rFonts w:cstheme="minorHAnsi"/>
        </w:rPr>
      </w:pPr>
      <w:r w:rsidRPr="0099170A">
        <w:rPr>
          <w:rFonts w:cstheme="minorHAnsi"/>
          <w:color w:val="231F20"/>
          <w:w w:val="105"/>
        </w:rPr>
        <w:t>Provides</w:t>
      </w:r>
      <w:r w:rsidRPr="0099170A">
        <w:rPr>
          <w:rFonts w:cstheme="minorHAnsi"/>
          <w:color w:val="231F20"/>
          <w:spacing w:val="9"/>
          <w:w w:val="105"/>
        </w:rPr>
        <w:t xml:space="preserve"> </w:t>
      </w:r>
      <w:r w:rsidRPr="0099170A">
        <w:rPr>
          <w:rFonts w:cstheme="minorHAnsi"/>
          <w:color w:val="231F20"/>
          <w:w w:val="105"/>
        </w:rPr>
        <w:t>the</w:t>
      </w:r>
      <w:r w:rsidRPr="0099170A">
        <w:rPr>
          <w:rFonts w:cstheme="minorHAnsi"/>
          <w:color w:val="231F20"/>
          <w:spacing w:val="9"/>
          <w:w w:val="105"/>
        </w:rPr>
        <w:t xml:space="preserve"> </w:t>
      </w:r>
      <w:r w:rsidRPr="0099170A">
        <w:rPr>
          <w:rFonts w:cstheme="minorHAnsi"/>
          <w:color w:val="231F20"/>
          <w:w w:val="105"/>
        </w:rPr>
        <w:t>link</w:t>
      </w:r>
      <w:r w:rsidRPr="0099170A">
        <w:rPr>
          <w:rFonts w:cstheme="minorHAnsi"/>
          <w:color w:val="231F20"/>
          <w:spacing w:val="9"/>
          <w:w w:val="105"/>
        </w:rPr>
        <w:t xml:space="preserve"> </w:t>
      </w:r>
      <w:r w:rsidR="00D37322">
        <w:rPr>
          <w:rFonts w:cstheme="minorHAnsi"/>
          <w:color w:val="231F20"/>
          <w:w w:val="105"/>
        </w:rPr>
        <w:t>the claimant</w:t>
      </w:r>
      <w:r w:rsidRPr="0099170A">
        <w:rPr>
          <w:rFonts w:cstheme="minorHAnsi"/>
          <w:color w:val="231F20"/>
          <w:spacing w:val="9"/>
          <w:w w:val="105"/>
        </w:rPr>
        <w:t xml:space="preserve"> </w:t>
      </w:r>
      <w:r w:rsidRPr="0099170A">
        <w:rPr>
          <w:rFonts w:cstheme="minorHAnsi"/>
          <w:color w:val="231F20"/>
          <w:w w:val="105"/>
        </w:rPr>
        <w:t>to</w:t>
      </w:r>
      <w:r w:rsidRPr="0099170A">
        <w:rPr>
          <w:rFonts w:cstheme="minorHAnsi"/>
          <w:color w:val="231F20"/>
          <w:spacing w:val="9"/>
          <w:w w:val="105"/>
        </w:rPr>
        <w:t xml:space="preserve"> </w:t>
      </w:r>
      <w:r w:rsidRPr="0099170A">
        <w:rPr>
          <w:rFonts w:cstheme="minorHAnsi"/>
          <w:color w:val="231F20"/>
          <w:w w:val="105"/>
        </w:rPr>
        <w:t>complete</w:t>
      </w:r>
      <w:r w:rsidRPr="0099170A">
        <w:rPr>
          <w:rFonts w:cstheme="minorHAnsi"/>
          <w:color w:val="231F20"/>
          <w:spacing w:val="9"/>
          <w:w w:val="105"/>
        </w:rPr>
        <w:t xml:space="preserve"> </w:t>
      </w:r>
      <w:r w:rsidRPr="0099170A">
        <w:rPr>
          <w:rFonts w:cstheme="minorHAnsi"/>
          <w:color w:val="231F20"/>
          <w:w w:val="105"/>
        </w:rPr>
        <w:t>a</w:t>
      </w:r>
      <w:r w:rsidRPr="0099170A">
        <w:rPr>
          <w:rFonts w:cstheme="minorHAnsi"/>
          <w:color w:val="231F20"/>
          <w:spacing w:val="9"/>
          <w:w w:val="105"/>
        </w:rPr>
        <w:t xml:space="preserve"> </w:t>
      </w:r>
      <w:r w:rsidRPr="0099170A">
        <w:rPr>
          <w:rFonts w:cstheme="minorHAnsi"/>
          <w:color w:val="231F20"/>
          <w:w w:val="105"/>
        </w:rPr>
        <w:t>full</w:t>
      </w:r>
      <w:r w:rsidRPr="0099170A">
        <w:rPr>
          <w:rFonts w:cstheme="minorHAnsi"/>
          <w:color w:val="231F20"/>
          <w:spacing w:val="9"/>
          <w:w w:val="105"/>
        </w:rPr>
        <w:t xml:space="preserve"> </w:t>
      </w:r>
      <w:r w:rsidRPr="0099170A">
        <w:rPr>
          <w:rFonts w:cstheme="minorHAnsi"/>
          <w:color w:val="231F20"/>
          <w:w w:val="105"/>
        </w:rPr>
        <w:t>résumé</w:t>
      </w:r>
      <w:r w:rsidRPr="0099170A">
        <w:rPr>
          <w:rFonts w:cstheme="minorHAnsi"/>
          <w:color w:val="231F20"/>
          <w:spacing w:val="9"/>
          <w:w w:val="105"/>
        </w:rPr>
        <w:t xml:space="preserve"> </w:t>
      </w:r>
      <w:r w:rsidRPr="0099170A">
        <w:rPr>
          <w:rFonts w:cstheme="minorHAnsi"/>
          <w:color w:val="231F20"/>
          <w:w w:val="105"/>
        </w:rPr>
        <w:t>and</w:t>
      </w:r>
      <w:r w:rsidRPr="0099170A">
        <w:rPr>
          <w:rFonts w:cstheme="minorHAnsi"/>
          <w:color w:val="231F20"/>
          <w:spacing w:val="9"/>
          <w:w w:val="105"/>
        </w:rPr>
        <w:t xml:space="preserve"> </w:t>
      </w:r>
      <w:r w:rsidRPr="0099170A">
        <w:rPr>
          <w:rFonts w:cstheme="minorHAnsi"/>
          <w:color w:val="231F20"/>
          <w:w w:val="105"/>
        </w:rPr>
        <w:t>begin</w:t>
      </w:r>
      <w:r w:rsidRPr="0099170A">
        <w:rPr>
          <w:rFonts w:cstheme="minorHAnsi"/>
          <w:color w:val="231F20"/>
          <w:spacing w:val="9"/>
          <w:w w:val="105"/>
        </w:rPr>
        <w:t xml:space="preserve"> </w:t>
      </w:r>
      <w:r w:rsidRPr="0099170A">
        <w:rPr>
          <w:rFonts w:cstheme="minorHAnsi"/>
          <w:color w:val="231F20"/>
          <w:w w:val="105"/>
        </w:rPr>
        <w:t>active</w:t>
      </w:r>
      <w:r w:rsidRPr="0099170A">
        <w:rPr>
          <w:rFonts w:cstheme="minorHAnsi"/>
          <w:color w:val="231F20"/>
          <w:spacing w:val="9"/>
          <w:w w:val="105"/>
        </w:rPr>
        <w:t xml:space="preserve"> </w:t>
      </w:r>
      <w:r w:rsidRPr="0099170A">
        <w:rPr>
          <w:rFonts w:cstheme="minorHAnsi"/>
          <w:color w:val="231F20"/>
          <w:w w:val="105"/>
        </w:rPr>
        <w:t>use</w:t>
      </w:r>
      <w:r w:rsidRPr="0099170A">
        <w:rPr>
          <w:rFonts w:cstheme="minorHAnsi"/>
          <w:color w:val="231F20"/>
          <w:spacing w:val="9"/>
          <w:w w:val="105"/>
        </w:rPr>
        <w:t xml:space="preserve"> </w:t>
      </w:r>
      <w:r w:rsidRPr="0099170A">
        <w:rPr>
          <w:rFonts w:cstheme="minorHAnsi"/>
          <w:color w:val="231F20"/>
          <w:w w:val="105"/>
        </w:rPr>
        <w:t>of</w:t>
      </w:r>
      <w:r w:rsidRPr="0099170A">
        <w:rPr>
          <w:rFonts w:cstheme="minorHAnsi"/>
          <w:color w:val="231F20"/>
          <w:spacing w:val="9"/>
          <w:w w:val="105"/>
        </w:rPr>
        <w:t xml:space="preserve"> </w:t>
      </w:r>
      <w:r w:rsidRPr="0099170A">
        <w:rPr>
          <w:rFonts w:cstheme="minorHAnsi"/>
          <w:color w:val="231F20"/>
          <w:w w:val="105"/>
        </w:rPr>
        <w:t>the</w:t>
      </w:r>
      <w:r w:rsidRPr="0099170A">
        <w:rPr>
          <w:rFonts w:cstheme="minorHAnsi"/>
          <w:color w:val="231F20"/>
          <w:spacing w:val="9"/>
          <w:w w:val="105"/>
        </w:rPr>
        <w:t xml:space="preserve"> </w:t>
      </w:r>
      <w:r w:rsidRPr="0099170A">
        <w:rPr>
          <w:rFonts w:cstheme="minorHAnsi"/>
          <w:color w:val="231F20"/>
          <w:w w:val="105"/>
        </w:rPr>
        <w:t>system</w:t>
      </w:r>
      <w:r w:rsidRPr="0099170A">
        <w:rPr>
          <w:rFonts w:cstheme="minorHAnsi"/>
          <w:color w:val="231F20"/>
          <w:spacing w:val="9"/>
          <w:w w:val="105"/>
        </w:rPr>
        <w:t xml:space="preserve"> </w:t>
      </w:r>
      <w:r w:rsidRPr="0099170A">
        <w:rPr>
          <w:rFonts w:cstheme="minorHAnsi"/>
          <w:color w:val="231F20"/>
          <w:w w:val="105"/>
        </w:rPr>
        <w:t>to</w:t>
      </w:r>
      <w:r w:rsidRPr="0099170A">
        <w:rPr>
          <w:rFonts w:cstheme="minorHAnsi"/>
          <w:color w:val="231F20"/>
          <w:spacing w:val="9"/>
          <w:w w:val="105"/>
        </w:rPr>
        <w:t xml:space="preserve"> </w:t>
      </w:r>
      <w:r w:rsidRPr="0099170A">
        <w:rPr>
          <w:rFonts w:cstheme="minorHAnsi"/>
          <w:color w:val="231F20"/>
          <w:w w:val="105"/>
        </w:rPr>
        <w:t>search</w:t>
      </w:r>
      <w:r w:rsidRPr="0099170A">
        <w:rPr>
          <w:rFonts w:cstheme="minorHAnsi"/>
          <w:color w:val="231F20"/>
          <w:w w:val="110"/>
        </w:rPr>
        <w:t xml:space="preserve"> </w:t>
      </w:r>
      <w:r w:rsidRPr="0099170A">
        <w:rPr>
          <w:rFonts w:cstheme="minorHAnsi"/>
          <w:color w:val="231F20"/>
          <w:w w:val="105"/>
        </w:rPr>
        <w:t>and apply for</w:t>
      </w:r>
      <w:r w:rsidRPr="0099170A">
        <w:rPr>
          <w:rFonts w:cstheme="minorHAnsi"/>
          <w:color w:val="231F20"/>
          <w:spacing w:val="13"/>
          <w:w w:val="105"/>
        </w:rPr>
        <w:t xml:space="preserve"> </w:t>
      </w:r>
      <w:r w:rsidRPr="0099170A">
        <w:rPr>
          <w:rFonts w:cstheme="minorHAnsi"/>
          <w:color w:val="231F20"/>
          <w:w w:val="105"/>
        </w:rPr>
        <w:t>jobs.</w:t>
      </w:r>
    </w:p>
    <w:p w14:paraId="180CA02E" w14:textId="77777777" w:rsidR="0099170A" w:rsidRPr="0099170A" w:rsidRDefault="0099170A" w:rsidP="00D63204">
      <w:pPr>
        <w:pStyle w:val="ListParagraph"/>
        <w:widowControl w:val="0"/>
        <w:spacing w:before="83" w:after="0" w:line="264" w:lineRule="exact"/>
        <w:ind w:left="827"/>
        <w:rPr>
          <w:rFonts w:cstheme="minorHAnsi"/>
        </w:rPr>
      </w:pPr>
    </w:p>
    <w:p w14:paraId="30E53185" w14:textId="4136335B" w:rsidR="00EA7458" w:rsidRPr="00AA5A73" w:rsidRDefault="00EA7458" w:rsidP="00D63204">
      <w:pPr>
        <w:widowControl w:val="0"/>
        <w:spacing w:after="0" w:line="240" w:lineRule="auto"/>
        <w:ind w:left="107"/>
        <w:rPr>
          <w:rFonts w:cstheme="minorHAnsi"/>
          <w:w w:val="105"/>
        </w:rPr>
      </w:pPr>
      <w:r w:rsidRPr="0099170A">
        <w:rPr>
          <w:rFonts w:cstheme="minorHAnsi"/>
          <w:w w:val="105"/>
        </w:rPr>
        <w:t xml:space="preserve">This information </w:t>
      </w:r>
      <w:r w:rsidR="003431F1" w:rsidRPr="0099170A">
        <w:rPr>
          <w:rFonts w:cstheme="minorHAnsi"/>
          <w:w w:val="105"/>
        </w:rPr>
        <w:t xml:space="preserve">is </w:t>
      </w:r>
      <w:r w:rsidRPr="0099170A">
        <w:rPr>
          <w:rFonts w:cstheme="minorHAnsi"/>
          <w:w w:val="105"/>
        </w:rPr>
        <w:t xml:space="preserve">immediately available to staff who </w:t>
      </w:r>
      <w:r w:rsidR="003431F1" w:rsidRPr="0099170A">
        <w:rPr>
          <w:rFonts w:cstheme="minorHAnsi"/>
          <w:w w:val="105"/>
        </w:rPr>
        <w:t xml:space="preserve">use </w:t>
      </w:r>
      <w:r w:rsidRPr="0099170A">
        <w:rPr>
          <w:rFonts w:cstheme="minorHAnsi"/>
          <w:w w:val="105"/>
        </w:rPr>
        <w:t xml:space="preserve">it to contact claimants </w:t>
      </w:r>
      <w:r w:rsidR="003431F1" w:rsidRPr="0099170A">
        <w:rPr>
          <w:rFonts w:cstheme="minorHAnsi"/>
          <w:w w:val="105"/>
        </w:rPr>
        <w:t xml:space="preserve">to provide information about </w:t>
      </w:r>
      <w:r w:rsidR="003431F1" w:rsidRPr="00AA5A73">
        <w:rPr>
          <w:rFonts w:cstheme="minorHAnsi"/>
          <w:w w:val="105"/>
        </w:rPr>
        <w:t xml:space="preserve">available </w:t>
      </w:r>
      <w:r w:rsidRPr="0099170A">
        <w:rPr>
          <w:rFonts w:cstheme="minorHAnsi"/>
          <w:w w:val="105"/>
        </w:rPr>
        <w:t>career</w:t>
      </w:r>
      <w:r w:rsidRPr="00AA5A73">
        <w:rPr>
          <w:rFonts w:cstheme="minorHAnsi"/>
          <w:w w:val="105"/>
        </w:rPr>
        <w:t xml:space="preserve"> </w:t>
      </w:r>
      <w:r w:rsidRPr="0099170A">
        <w:rPr>
          <w:rFonts w:cstheme="minorHAnsi"/>
          <w:w w:val="105"/>
        </w:rPr>
        <w:t>center</w:t>
      </w:r>
      <w:r w:rsidRPr="00AA5A73">
        <w:rPr>
          <w:rFonts w:cstheme="minorHAnsi"/>
          <w:w w:val="105"/>
        </w:rPr>
        <w:t xml:space="preserve"> </w:t>
      </w:r>
      <w:r w:rsidRPr="0099170A">
        <w:rPr>
          <w:rFonts w:cstheme="minorHAnsi"/>
          <w:w w:val="105"/>
        </w:rPr>
        <w:t>services.</w:t>
      </w:r>
      <w:r w:rsidRPr="00AA5A73">
        <w:rPr>
          <w:rFonts w:cstheme="minorHAnsi"/>
          <w:w w:val="105"/>
        </w:rPr>
        <w:t xml:space="preserve"> </w:t>
      </w:r>
      <w:r w:rsidRPr="0099170A">
        <w:rPr>
          <w:rFonts w:cstheme="minorHAnsi"/>
          <w:w w:val="105"/>
        </w:rPr>
        <w:t>The</w:t>
      </w:r>
      <w:r w:rsidRPr="00AA5A73">
        <w:rPr>
          <w:rFonts w:cstheme="minorHAnsi"/>
          <w:w w:val="105"/>
        </w:rPr>
        <w:t xml:space="preserve"> </w:t>
      </w:r>
      <w:r w:rsidRPr="0099170A">
        <w:rPr>
          <w:rFonts w:cstheme="minorHAnsi"/>
          <w:w w:val="105"/>
        </w:rPr>
        <w:t>claimant’s</w:t>
      </w:r>
      <w:r w:rsidRPr="00AA5A73">
        <w:rPr>
          <w:rFonts w:cstheme="minorHAnsi"/>
          <w:w w:val="105"/>
        </w:rPr>
        <w:t xml:space="preserve"> </w:t>
      </w:r>
      <w:r w:rsidRPr="0099170A">
        <w:rPr>
          <w:rFonts w:cstheme="minorHAnsi"/>
          <w:w w:val="105"/>
        </w:rPr>
        <w:t>skills</w:t>
      </w:r>
      <w:r w:rsidRPr="00AA5A73">
        <w:rPr>
          <w:rFonts w:cstheme="minorHAnsi"/>
          <w:w w:val="105"/>
        </w:rPr>
        <w:t xml:space="preserve"> </w:t>
      </w:r>
      <w:r w:rsidRPr="0099170A">
        <w:rPr>
          <w:rFonts w:cstheme="minorHAnsi"/>
          <w:w w:val="105"/>
        </w:rPr>
        <w:t>information</w:t>
      </w:r>
      <w:r w:rsidRPr="00AA5A73">
        <w:rPr>
          <w:rFonts w:cstheme="minorHAnsi"/>
          <w:w w:val="105"/>
        </w:rPr>
        <w:t xml:space="preserve"> </w:t>
      </w:r>
      <w:r w:rsidRPr="0099170A">
        <w:rPr>
          <w:rFonts w:cstheme="minorHAnsi"/>
          <w:w w:val="105"/>
        </w:rPr>
        <w:t>automatically</w:t>
      </w:r>
      <w:r w:rsidRPr="00AA5A73">
        <w:rPr>
          <w:rFonts w:cstheme="minorHAnsi"/>
          <w:w w:val="105"/>
        </w:rPr>
        <w:t xml:space="preserve"> </w:t>
      </w:r>
      <w:r w:rsidRPr="0099170A">
        <w:rPr>
          <w:rFonts w:cstheme="minorHAnsi"/>
          <w:w w:val="105"/>
        </w:rPr>
        <w:t>becomes</w:t>
      </w:r>
      <w:r w:rsidRPr="00AA5A73">
        <w:rPr>
          <w:rFonts w:cstheme="minorHAnsi"/>
          <w:w w:val="105"/>
        </w:rPr>
        <w:t xml:space="preserve"> </w:t>
      </w:r>
      <w:r w:rsidRPr="0099170A">
        <w:rPr>
          <w:rFonts w:cstheme="minorHAnsi"/>
          <w:w w:val="105"/>
        </w:rPr>
        <w:t>available</w:t>
      </w:r>
      <w:r w:rsidRPr="00AA5A73">
        <w:rPr>
          <w:rFonts w:cstheme="minorHAnsi"/>
          <w:w w:val="105"/>
        </w:rPr>
        <w:t xml:space="preserve"> </w:t>
      </w:r>
      <w:r w:rsidRPr="0099170A">
        <w:rPr>
          <w:rFonts w:cstheme="minorHAnsi"/>
          <w:w w:val="105"/>
        </w:rPr>
        <w:t>to</w:t>
      </w:r>
      <w:r w:rsidRPr="00AA5A73">
        <w:rPr>
          <w:rFonts w:cstheme="minorHAnsi"/>
          <w:w w:val="105"/>
        </w:rPr>
        <w:t xml:space="preserve"> </w:t>
      </w:r>
      <w:r w:rsidRPr="0099170A">
        <w:rPr>
          <w:rFonts w:cstheme="minorHAnsi"/>
          <w:w w:val="105"/>
        </w:rPr>
        <w:t>employers</w:t>
      </w:r>
      <w:r w:rsidRPr="00AA5A73">
        <w:rPr>
          <w:rFonts w:cstheme="minorHAnsi"/>
          <w:w w:val="105"/>
        </w:rPr>
        <w:t xml:space="preserve"> </w:t>
      </w:r>
      <w:r w:rsidR="003431F1" w:rsidRPr="0099170A">
        <w:rPr>
          <w:rFonts w:cstheme="minorHAnsi"/>
          <w:w w:val="105"/>
        </w:rPr>
        <w:t xml:space="preserve">seeking </w:t>
      </w:r>
      <w:r w:rsidRPr="0099170A">
        <w:rPr>
          <w:rFonts w:cstheme="minorHAnsi"/>
          <w:w w:val="105"/>
        </w:rPr>
        <w:t>specific</w:t>
      </w:r>
      <w:r w:rsidRPr="00AA5A73">
        <w:rPr>
          <w:rFonts w:cstheme="minorHAnsi"/>
          <w:w w:val="105"/>
        </w:rPr>
        <w:t xml:space="preserve"> </w:t>
      </w:r>
      <w:r w:rsidRPr="0099170A">
        <w:rPr>
          <w:rFonts w:cstheme="minorHAnsi"/>
          <w:w w:val="105"/>
        </w:rPr>
        <w:t>candidates</w:t>
      </w:r>
      <w:r w:rsidRPr="00AA5A73">
        <w:rPr>
          <w:rFonts w:cstheme="minorHAnsi"/>
          <w:w w:val="105"/>
        </w:rPr>
        <w:t xml:space="preserve"> </w:t>
      </w:r>
      <w:r w:rsidRPr="0099170A">
        <w:rPr>
          <w:rFonts w:cstheme="minorHAnsi"/>
          <w:w w:val="105"/>
        </w:rPr>
        <w:t>to</w:t>
      </w:r>
      <w:r w:rsidRPr="00AA5A73">
        <w:rPr>
          <w:rFonts w:cstheme="minorHAnsi"/>
          <w:w w:val="105"/>
        </w:rPr>
        <w:t xml:space="preserve"> </w:t>
      </w:r>
      <w:r w:rsidRPr="0099170A">
        <w:rPr>
          <w:rFonts w:cstheme="minorHAnsi"/>
          <w:w w:val="105"/>
        </w:rPr>
        <w:t>fill</w:t>
      </w:r>
      <w:r w:rsidRPr="00AA5A73">
        <w:rPr>
          <w:rFonts w:cstheme="minorHAnsi"/>
          <w:w w:val="105"/>
        </w:rPr>
        <w:t xml:space="preserve"> </w:t>
      </w:r>
      <w:r w:rsidRPr="0099170A">
        <w:rPr>
          <w:rFonts w:cstheme="minorHAnsi"/>
          <w:w w:val="105"/>
        </w:rPr>
        <w:t>job</w:t>
      </w:r>
      <w:r w:rsidRPr="00AA5A73">
        <w:rPr>
          <w:rFonts w:cstheme="minorHAnsi"/>
          <w:w w:val="105"/>
        </w:rPr>
        <w:t xml:space="preserve"> </w:t>
      </w:r>
      <w:r w:rsidRPr="0099170A">
        <w:rPr>
          <w:rFonts w:cstheme="minorHAnsi"/>
          <w:w w:val="105"/>
        </w:rPr>
        <w:t>openings.</w:t>
      </w:r>
    </w:p>
    <w:p w14:paraId="63A994EE" w14:textId="77777777" w:rsidR="00EA7458" w:rsidRPr="0099170A" w:rsidRDefault="00EA7458" w:rsidP="00D63204">
      <w:pPr>
        <w:widowControl w:val="0"/>
        <w:spacing w:before="5" w:after="0" w:line="240" w:lineRule="auto"/>
        <w:ind w:left="107"/>
        <w:rPr>
          <w:rFonts w:cstheme="minorHAnsi"/>
          <w:sz w:val="16"/>
          <w:szCs w:val="16"/>
        </w:rPr>
      </w:pPr>
    </w:p>
    <w:p w14:paraId="5F109CFA" w14:textId="120CEEA3" w:rsidR="00700B21" w:rsidRPr="00AA5A73" w:rsidRDefault="00700B21" w:rsidP="00D63204">
      <w:pPr>
        <w:widowControl w:val="0"/>
        <w:spacing w:after="0" w:line="240" w:lineRule="auto"/>
        <w:ind w:left="107"/>
        <w:rPr>
          <w:rFonts w:cstheme="minorHAnsi"/>
          <w:w w:val="105"/>
        </w:rPr>
      </w:pPr>
      <w:r w:rsidRPr="0099170A">
        <w:rPr>
          <w:rFonts w:cstheme="minorHAnsi"/>
          <w:w w:val="105"/>
        </w:rPr>
        <w:t>Florida</w:t>
      </w:r>
      <w:r w:rsidRPr="00AA5A73">
        <w:rPr>
          <w:rFonts w:cstheme="minorHAnsi"/>
          <w:w w:val="105"/>
        </w:rPr>
        <w:t xml:space="preserve"> </w:t>
      </w:r>
      <w:r w:rsidRPr="0099170A">
        <w:rPr>
          <w:rFonts w:cstheme="minorHAnsi"/>
          <w:w w:val="105"/>
        </w:rPr>
        <w:t>requires all</w:t>
      </w:r>
      <w:r w:rsidRPr="00AA5A73">
        <w:rPr>
          <w:rFonts w:cstheme="minorHAnsi"/>
          <w:w w:val="105"/>
        </w:rPr>
        <w:t xml:space="preserve"> </w:t>
      </w:r>
      <w:r w:rsidRPr="0099170A">
        <w:rPr>
          <w:rFonts w:cstheme="minorHAnsi"/>
          <w:w w:val="105"/>
        </w:rPr>
        <w:t>claimants</w:t>
      </w:r>
      <w:r w:rsidRPr="00AA5A73">
        <w:rPr>
          <w:rFonts w:cstheme="minorHAnsi"/>
          <w:w w:val="105"/>
        </w:rPr>
        <w:t xml:space="preserve"> </w:t>
      </w:r>
      <w:r w:rsidRPr="0099170A">
        <w:rPr>
          <w:rFonts w:cstheme="minorHAnsi"/>
          <w:w w:val="105"/>
        </w:rPr>
        <w:t>filing an</w:t>
      </w:r>
      <w:r w:rsidRPr="00AA5A73">
        <w:rPr>
          <w:rFonts w:cstheme="minorHAnsi"/>
          <w:w w:val="105"/>
        </w:rPr>
        <w:t xml:space="preserve"> </w:t>
      </w:r>
      <w:r w:rsidRPr="0099170A">
        <w:rPr>
          <w:rFonts w:cstheme="minorHAnsi"/>
          <w:w w:val="105"/>
        </w:rPr>
        <w:t>initial</w:t>
      </w:r>
      <w:r w:rsidRPr="00AA5A73">
        <w:rPr>
          <w:rFonts w:cstheme="minorHAnsi"/>
          <w:w w:val="105"/>
        </w:rPr>
        <w:t xml:space="preserve"> online reemployment assistance </w:t>
      </w:r>
      <w:r w:rsidRPr="0099170A">
        <w:rPr>
          <w:rFonts w:cstheme="minorHAnsi"/>
          <w:w w:val="105"/>
        </w:rPr>
        <w:t>claim</w:t>
      </w:r>
      <w:r w:rsidRPr="00AA5A73">
        <w:rPr>
          <w:rFonts w:cstheme="minorHAnsi"/>
          <w:w w:val="105"/>
        </w:rPr>
        <w:t xml:space="preserve"> </w:t>
      </w:r>
      <w:r w:rsidRPr="0099170A">
        <w:rPr>
          <w:rFonts w:cstheme="minorHAnsi"/>
          <w:w w:val="105"/>
        </w:rPr>
        <w:t>to</w:t>
      </w:r>
      <w:r w:rsidRPr="00AA5A73">
        <w:rPr>
          <w:rFonts w:cstheme="minorHAnsi"/>
          <w:w w:val="105"/>
        </w:rPr>
        <w:t xml:space="preserve"> </w:t>
      </w:r>
      <w:r w:rsidRPr="0099170A">
        <w:rPr>
          <w:rFonts w:cstheme="minorHAnsi"/>
          <w:w w:val="105"/>
        </w:rPr>
        <w:t>complete</w:t>
      </w:r>
      <w:r w:rsidRPr="00AA5A73">
        <w:rPr>
          <w:rFonts w:cstheme="minorHAnsi"/>
          <w:w w:val="105"/>
        </w:rPr>
        <w:t xml:space="preserve"> </w:t>
      </w:r>
      <w:r w:rsidRPr="0099170A">
        <w:rPr>
          <w:rFonts w:cstheme="minorHAnsi"/>
          <w:w w:val="105"/>
        </w:rPr>
        <w:t>a</w:t>
      </w:r>
      <w:r w:rsidRPr="00AA5A73">
        <w:rPr>
          <w:rFonts w:cstheme="minorHAnsi"/>
          <w:w w:val="105"/>
        </w:rPr>
        <w:t xml:space="preserve"> </w:t>
      </w:r>
      <w:r w:rsidRPr="0099170A">
        <w:rPr>
          <w:rFonts w:cstheme="minorHAnsi"/>
          <w:w w:val="105"/>
        </w:rPr>
        <w:t>full</w:t>
      </w:r>
      <w:r w:rsidRPr="00AA5A73">
        <w:rPr>
          <w:rFonts w:cstheme="minorHAnsi"/>
          <w:w w:val="105"/>
        </w:rPr>
        <w:t xml:space="preserve"> </w:t>
      </w:r>
      <w:r w:rsidRPr="0099170A">
        <w:rPr>
          <w:rFonts w:cstheme="minorHAnsi"/>
          <w:w w:val="105"/>
        </w:rPr>
        <w:t>work</w:t>
      </w:r>
      <w:r w:rsidRPr="00AA5A73">
        <w:rPr>
          <w:rFonts w:cstheme="minorHAnsi"/>
          <w:w w:val="105"/>
        </w:rPr>
        <w:t xml:space="preserve"> </w:t>
      </w:r>
      <w:r w:rsidRPr="0099170A">
        <w:rPr>
          <w:rFonts w:cstheme="minorHAnsi"/>
          <w:w w:val="105"/>
        </w:rPr>
        <w:t>registration</w:t>
      </w:r>
      <w:r w:rsidRPr="00AA5A73">
        <w:rPr>
          <w:rFonts w:cstheme="minorHAnsi"/>
          <w:w w:val="105"/>
        </w:rPr>
        <w:t xml:space="preserve"> </w:t>
      </w:r>
      <w:r w:rsidRPr="0099170A">
        <w:rPr>
          <w:rFonts w:cstheme="minorHAnsi"/>
          <w:w w:val="105"/>
        </w:rPr>
        <w:t>in</w:t>
      </w:r>
      <w:r w:rsidR="00AA5A73">
        <w:rPr>
          <w:rFonts w:cstheme="minorHAnsi"/>
          <w:w w:val="105"/>
        </w:rPr>
        <w:t xml:space="preserve"> Employ Florida</w:t>
      </w:r>
      <w:r w:rsidRPr="00AA5A73">
        <w:rPr>
          <w:rFonts w:cstheme="minorHAnsi"/>
          <w:w w:val="105"/>
        </w:rPr>
        <w:t xml:space="preserve"> </w:t>
      </w:r>
      <w:r w:rsidRPr="0099170A">
        <w:rPr>
          <w:rFonts w:cstheme="minorHAnsi"/>
          <w:w w:val="105"/>
        </w:rPr>
        <w:t>prior</w:t>
      </w:r>
      <w:r w:rsidRPr="00AA5A73">
        <w:rPr>
          <w:rFonts w:cstheme="minorHAnsi"/>
          <w:w w:val="105"/>
        </w:rPr>
        <w:t xml:space="preserve"> </w:t>
      </w:r>
      <w:r w:rsidRPr="0099170A">
        <w:rPr>
          <w:rFonts w:cstheme="minorHAnsi"/>
          <w:w w:val="105"/>
        </w:rPr>
        <w:t>to</w:t>
      </w:r>
      <w:r w:rsidRPr="00AA5A73">
        <w:rPr>
          <w:rFonts w:cstheme="minorHAnsi"/>
          <w:w w:val="105"/>
        </w:rPr>
        <w:t xml:space="preserve"> </w:t>
      </w:r>
      <w:r w:rsidRPr="0099170A">
        <w:rPr>
          <w:rFonts w:cstheme="minorHAnsi"/>
          <w:w w:val="105"/>
        </w:rPr>
        <w:t>receiving</w:t>
      </w:r>
      <w:r w:rsidRPr="00AA5A73">
        <w:rPr>
          <w:rFonts w:cstheme="minorHAnsi"/>
          <w:w w:val="105"/>
        </w:rPr>
        <w:t xml:space="preserve"> </w:t>
      </w:r>
      <w:r w:rsidRPr="0099170A">
        <w:rPr>
          <w:rFonts w:cstheme="minorHAnsi"/>
          <w:w w:val="105"/>
        </w:rPr>
        <w:t>benefit</w:t>
      </w:r>
      <w:r w:rsidRPr="00AA5A73">
        <w:rPr>
          <w:rFonts w:cstheme="minorHAnsi"/>
          <w:w w:val="105"/>
        </w:rPr>
        <w:t xml:space="preserve"> </w:t>
      </w:r>
      <w:r w:rsidRPr="0099170A">
        <w:rPr>
          <w:rFonts w:cstheme="minorHAnsi"/>
          <w:w w:val="105"/>
        </w:rPr>
        <w:t>payments.</w:t>
      </w:r>
      <w:r w:rsidRPr="00AA5A73">
        <w:rPr>
          <w:rFonts w:cstheme="minorHAnsi"/>
          <w:w w:val="105"/>
        </w:rPr>
        <w:t xml:space="preserve"> </w:t>
      </w:r>
      <w:r w:rsidRPr="0099170A">
        <w:rPr>
          <w:rFonts w:cstheme="minorHAnsi"/>
          <w:w w:val="105"/>
        </w:rPr>
        <w:t>The</w:t>
      </w:r>
      <w:r w:rsidRPr="00AA5A73">
        <w:rPr>
          <w:rFonts w:cstheme="minorHAnsi"/>
          <w:w w:val="105"/>
        </w:rPr>
        <w:t xml:space="preserve"> </w:t>
      </w:r>
      <w:r w:rsidRPr="0099170A">
        <w:rPr>
          <w:rFonts w:cstheme="minorHAnsi"/>
          <w:w w:val="105"/>
        </w:rPr>
        <w:t>full</w:t>
      </w:r>
      <w:r w:rsidRPr="00AA5A73">
        <w:rPr>
          <w:rFonts w:cstheme="minorHAnsi"/>
          <w:w w:val="105"/>
        </w:rPr>
        <w:t xml:space="preserve"> </w:t>
      </w:r>
      <w:r w:rsidRPr="0099170A">
        <w:rPr>
          <w:rFonts w:cstheme="minorHAnsi"/>
          <w:w w:val="105"/>
        </w:rPr>
        <w:t>work</w:t>
      </w:r>
      <w:r w:rsidRPr="00AA5A73">
        <w:rPr>
          <w:rFonts w:cstheme="minorHAnsi"/>
          <w:w w:val="105"/>
        </w:rPr>
        <w:t xml:space="preserve"> </w:t>
      </w:r>
      <w:r w:rsidRPr="0099170A">
        <w:rPr>
          <w:rFonts w:cstheme="minorHAnsi"/>
          <w:w w:val="105"/>
        </w:rPr>
        <w:t>registration</w:t>
      </w:r>
      <w:r w:rsidRPr="00AA5A73">
        <w:rPr>
          <w:rFonts w:cstheme="minorHAnsi"/>
          <w:w w:val="105"/>
        </w:rPr>
        <w:t xml:space="preserve"> </w:t>
      </w:r>
      <w:r w:rsidRPr="0099170A">
        <w:rPr>
          <w:rFonts w:cstheme="minorHAnsi"/>
          <w:w w:val="105"/>
        </w:rPr>
        <w:t>requires</w:t>
      </w:r>
      <w:r w:rsidRPr="00AA5A73">
        <w:rPr>
          <w:rFonts w:cstheme="minorHAnsi"/>
          <w:w w:val="105"/>
        </w:rPr>
        <w:t xml:space="preserve"> </w:t>
      </w:r>
      <w:r w:rsidRPr="0099170A">
        <w:rPr>
          <w:rFonts w:cstheme="minorHAnsi"/>
          <w:w w:val="105"/>
        </w:rPr>
        <w:t>the</w:t>
      </w:r>
      <w:r w:rsidRPr="00AA5A73">
        <w:rPr>
          <w:rFonts w:cstheme="minorHAnsi"/>
          <w:w w:val="105"/>
        </w:rPr>
        <w:t xml:space="preserve"> </w:t>
      </w:r>
      <w:r w:rsidRPr="0099170A">
        <w:rPr>
          <w:rFonts w:cstheme="minorHAnsi"/>
          <w:w w:val="105"/>
        </w:rPr>
        <w:t>claimant</w:t>
      </w:r>
      <w:r w:rsidRPr="00AA5A73">
        <w:rPr>
          <w:rFonts w:cstheme="minorHAnsi"/>
          <w:w w:val="105"/>
        </w:rPr>
        <w:t xml:space="preserve"> </w:t>
      </w:r>
      <w:r w:rsidRPr="0099170A">
        <w:rPr>
          <w:rFonts w:cstheme="minorHAnsi"/>
          <w:w w:val="105"/>
        </w:rPr>
        <w:t>to</w:t>
      </w:r>
      <w:r w:rsidRPr="00AA5A73">
        <w:rPr>
          <w:rFonts w:cstheme="minorHAnsi"/>
          <w:w w:val="105"/>
        </w:rPr>
        <w:t xml:space="preserve"> </w:t>
      </w:r>
      <w:r w:rsidRPr="0099170A">
        <w:rPr>
          <w:rFonts w:cstheme="minorHAnsi"/>
          <w:w w:val="105"/>
        </w:rPr>
        <w:t>create</w:t>
      </w:r>
      <w:r w:rsidRPr="00AA5A73">
        <w:rPr>
          <w:rFonts w:cstheme="minorHAnsi"/>
          <w:w w:val="105"/>
        </w:rPr>
        <w:t xml:space="preserve"> </w:t>
      </w:r>
      <w:r w:rsidRPr="0099170A">
        <w:rPr>
          <w:rFonts w:cstheme="minorHAnsi"/>
          <w:w w:val="105"/>
        </w:rPr>
        <w:t>an</w:t>
      </w:r>
      <w:r w:rsidRPr="00AA5A73">
        <w:rPr>
          <w:rFonts w:cstheme="minorHAnsi"/>
          <w:w w:val="105"/>
        </w:rPr>
        <w:t xml:space="preserve"> </w:t>
      </w:r>
      <w:r w:rsidRPr="0099170A">
        <w:rPr>
          <w:rFonts w:cstheme="minorHAnsi"/>
          <w:w w:val="105"/>
        </w:rPr>
        <w:t>individual</w:t>
      </w:r>
      <w:r w:rsidRPr="00AA5A73">
        <w:rPr>
          <w:rFonts w:cstheme="minorHAnsi"/>
          <w:w w:val="105"/>
        </w:rPr>
        <w:t xml:space="preserve"> </w:t>
      </w:r>
      <w:r w:rsidRPr="0099170A">
        <w:rPr>
          <w:rFonts w:cstheme="minorHAnsi"/>
          <w:w w:val="105"/>
        </w:rPr>
        <w:t>account. This account includes demographic</w:t>
      </w:r>
      <w:r w:rsidRPr="00AA5A73">
        <w:rPr>
          <w:rFonts w:cstheme="minorHAnsi"/>
          <w:w w:val="105"/>
        </w:rPr>
        <w:t xml:space="preserve"> </w:t>
      </w:r>
      <w:r w:rsidRPr="0099170A">
        <w:rPr>
          <w:rFonts w:cstheme="minorHAnsi"/>
          <w:w w:val="105"/>
        </w:rPr>
        <w:t>information,</w:t>
      </w:r>
      <w:r w:rsidRPr="00AA5A73">
        <w:rPr>
          <w:rFonts w:cstheme="minorHAnsi"/>
          <w:w w:val="105"/>
        </w:rPr>
        <w:t xml:space="preserve"> </w:t>
      </w:r>
      <w:r w:rsidRPr="0099170A">
        <w:rPr>
          <w:rFonts w:cstheme="minorHAnsi"/>
          <w:w w:val="105"/>
        </w:rPr>
        <w:t>an</w:t>
      </w:r>
      <w:r w:rsidRPr="00AA5A73">
        <w:rPr>
          <w:rFonts w:cstheme="minorHAnsi"/>
          <w:w w:val="105"/>
        </w:rPr>
        <w:t xml:space="preserve"> </w:t>
      </w:r>
      <w:r w:rsidRPr="0099170A">
        <w:rPr>
          <w:rFonts w:cstheme="minorHAnsi"/>
          <w:w w:val="105"/>
        </w:rPr>
        <w:t>e-mail</w:t>
      </w:r>
      <w:r w:rsidRPr="00AA5A73">
        <w:rPr>
          <w:rFonts w:cstheme="minorHAnsi"/>
          <w:w w:val="105"/>
        </w:rPr>
        <w:t xml:space="preserve"> contact </w:t>
      </w:r>
      <w:r w:rsidRPr="0099170A">
        <w:rPr>
          <w:rFonts w:cstheme="minorHAnsi"/>
          <w:w w:val="105"/>
        </w:rPr>
        <w:t>address</w:t>
      </w:r>
      <w:r w:rsidRPr="00AA5A73">
        <w:rPr>
          <w:rFonts w:cstheme="minorHAnsi"/>
          <w:w w:val="105"/>
        </w:rPr>
        <w:t xml:space="preserve"> </w:t>
      </w:r>
      <w:r w:rsidRPr="0099170A">
        <w:rPr>
          <w:rFonts w:cstheme="minorHAnsi"/>
          <w:w w:val="105"/>
        </w:rPr>
        <w:t>attached to the</w:t>
      </w:r>
      <w:r w:rsidR="00AA5A73">
        <w:rPr>
          <w:rFonts w:cstheme="minorHAnsi"/>
          <w:w w:val="105"/>
        </w:rPr>
        <w:t xml:space="preserve"> Employ Florida</w:t>
      </w:r>
      <w:r w:rsidRPr="00AA5A73">
        <w:rPr>
          <w:rFonts w:cstheme="minorHAnsi"/>
          <w:w w:val="105"/>
        </w:rPr>
        <w:t xml:space="preserve"> </w:t>
      </w:r>
      <w:r w:rsidRPr="0099170A">
        <w:rPr>
          <w:rFonts w:cstheme="minorHAnsi"/>
          <w:w w:val="105"/>
        </w:rPr>
        <w:t>account,</w:t>
      </w:r>
      <w:r w:rsidRPr="00AA5A73">
        <w:rPr>
          <w:rFonts w:cstheme="minorHAnsi"/>
          <w:w w:val="105"/>
        </w:rPr>
        <w:t xml:space="preserve"> </w:t>
      </w:r>
      <w:r w:rsidRPr="0099170A">
        <w:rPr>
          <w:rFonts w:cstheme="minorHAnsi"/>
          <w:w w:val="105"/>
        </w:rPr>
        <w:t>a complete background</w:t>
      </w:r>
      <w:r w:rsidRPr="00AA5A73">
        <w:rPr>
          <w:rFonts w:cstheme="minorHAnsi"/>
          <w:w w:val="105"/>
        </w:rPr>
        <w:t xml:space="preserve"> </w:t>
      </w:r>
      <w:r w:rsidRPr="0099170A">
        <w:rPr>
          <w:rFonts w:cstheme="minorHAnsi"/>
          <w:w w:val="105"/>
        </w:rPr>
        <w:t>wizard</w:t>
      </w:r>
      <w:r w:rsidRPr="00AA5A73">
        <w:rPr>
          <w:rFonts w:cstheme="minorHAnsi"/>
          <w:w w:val="105"/>
        </w:rPr>
        <w:t xml:space="preserve"> </w:t>
      </w:r>
      <w:r w:rsidRPr="0099170A">
        <w:rPr>
          <w:rFonts w:cstheme="minorHAnsi"/>
          <w:w w:val="105"/>
        </w:rPr>
        <w:t>which collects education,</w:t>
      </w:r>
      <w:r w:rsidRPr="00AA5A73">
        <w:rPr>
          <w:rFonts w:cstheme="minorHAnsi"/>
          <w:w w:val="105"/>
        </w:rPr>
        <w:t xml:space="preserve"> </w:t>
      </w:r>
      <w:r w:rsidRPr="0099170A">
        <w:rPr>
          <w:rFonts w:cstheme="minorHAnsi"/>
          <w:w w:val="105"/>
        </w:rPr>
        <w:t>employment</w:t>
      </w:r>
      <w:r w:rsidRPr="00AA5A73">
        <w:rPr>
          <w:rFonts w:cstheme="minorHAnsi"/>
          <w:w w:val="105"/>
        </w:rPr>
        <w:t xml:space="preserve"> </w:t>
      </w:r>
      <w:r w:rsidRPr="0099170A">
        <w:rPr>
          <w:rFonts w:cstheme="minorHAnsi"/>
          <w:w w:val="105"/>
        </w:rPr>
        <w:t>and</w:t>
      </w:r>
      <w:r w:rsidRPr="00AA5A73">
        <w:rPr>
          <w:rFonts w:cstheme="minorHAnsi"/>
          <w:w w:val="105"/>
        </w:rPr>
        <w:t xml:space="preserve"> </w:t>
      </w:r>
      <w:r w:rsidRPr="0099170A">
        <w:rPr>
          <w:rFonts w:cstheme="minorHAnsi"/>
          <w:w w:val="105"/>
        </w:rPr>
        <w:t>skills</w:t>
      </w:r>
      <w:r w:rsidRPr="00AA5A73">
        <w:rPr>
          <w:rFonts w:cstheme="minorHAnsi"/>
          <w:w w:val="105"/>
        </w:rPr>
        <w:t xml:space="preserve"> </w:t>
      </w:r>
      <w:r w:rsidRPr="0099170A">
        <w:rPr>
          <w:rFonts w:cstheme="minorHAnsi"/>
          <w:w w:val="105"/>
        </w:rPr>
        <w:t>information</w:t>
      </w:r>
      <w:r w:rsidR="00D5537E">
        <w:rPr>
          <w:rFonts w:cstheme="minorHAnsi"/>
          <w:w w:val="105"/>
        </w:rPr>
        <w:t xml:space="preserve"> and</w:t>
      </w:r>
      <w:r w:rsidRPr="00AA5A73">
        <w:rPr>
          <w:rFonts w:cstheme="minorHAnsi"/>
          <w:w w:val="105"/>
        </w:rPr>
        <w:t xml:space="preserve"> allows the claimant/</w:t>
      </w:r>
      <w:r w:rsidR="00B30B2D">
        <w:rPr>
          <w:rFonts w:cstheme="minorHAnsi"/>
          <w:w w:val="105"/>
        </w:rPr>
        <w:t>job</w:t>
      </w:r>
      <w:r w:rsidR="007F14D7">
        <w:rPr>
          <w:rFonts w:cstheme="minorHAnsi"/>
          <w:w w:val="105"/>
        </w:rPr>
        <w:t xml:space="preserve"> </w:t>
      </w:r>
      <w:r w:rsidR="00EB646F">
        <w:rPr>
          <w:rFonts w:cstheme="minorHAnsi"/>
          <w:w w:val="105"/>
        </w:rPr>
        <w:t>seekers</w:t>
      </w:r>
      <w:r w:rsidRPr="00AA5A73">
        <w:rPr>
          <w:rFonts w:cstheme="minorHAnsi"/>
          <w:w w:val="105"/>
        </w:rPr>
        <w:t xml:space="preserve"> to </w:t>
      </w:r>
      <w:r w:rsidRPr="0099170A">
        <w:rPr>
          <w:rFonts w:cstheme="minorHAnsi"/>
          <w:w w:val="105"/>
        </w:rPr>
        <w:t>post</w:t>
      </w:r>
      <w:r w:rsidRPr="00AA5A73">
        <w:rPr>
          <w:rFonts w:cstheme="minorHAnsi"/>
          <w:w w:val="105"/>
        </w:rPr>
        <w:t xml:space="preserve"> </w:t>
      </w:r>
      <w:r w:rsidRPr="0099170A">
        <w:rPr>
          <w:rFonts w:cstheme="minorHAnsi"/>
          <w:w w:val="105"/>
        </w:rPr>
        <w:t>a</w:t>
      </w:r>
      <w:r w:rsidRPr="00AA5A73">
        <w:rPr>
          <w:rFonts w:cstheme="minorHAnsi"/>
          <w:w w:val="105"/>
        </w:rPr>
        <w:t xml:space="preserve"> </w:t>
      </w:r>
      <w:r w:rsidRPr="0099170A">
        <w:rPr>
          <w:rFonts w:cstheme="minorHAnsi"/>
          <w:w w:val="105"/>
        </w:rPr>
        <w:t>résumé.</w:t>
      </w:r>
      <w:r w:rsidRPr="00AA5A73">
        <w:rPr>
          <w:rFonts w:cstheme="minorHAnsi"/>
          <w:w w:val="105"/>
        </w:rPr>
        <w:t xml:space="preserve"> </w:t>
      </w:r>
      <w:r w:rsidRPr="0099170A">
        <w:rPr>
          <w:rFonts w:cstheme="minorHAnsi"/>
          <w:w w:val="105"/>
        </w:rPr>
        <w:t>The</w:t>
      </w:r>
      <w:r w:rsidRPr="00AA5A73">
        <w:rPr>
          <w:rFonts w:cstheme="minorHAnsi"/>
          <w:w w:val="105"/>
        </w:rPr>
        <w:t xml:space="preserve"> </w:t>
      </w:r>
      <w:r w:rsidRPr="0099170A">
        <w:rPr>
          <w:rFonts w:cstheme="minorHAnsi"/>
          <w:w w:val="105"/>
        </w:rPr>
        <w:t>full</w:t>
      </w:r>
      <w:r w:rsidRPr="00AA5A73">
        <w:rPr>
          <w:rFonts w:cstheme="minorHAnsi"/>
          <w:w w:val="105"/>
        </w:rPr>
        <w:t xml:space="preserve"> </w:t>
      </w:r>
      <w:r w:rsidRPr="0099170A">
        <w:rPr>
          <w:rFonts w:cstheme="minorHAnsi"/>
          <w:w w:val="105"/>
        </w:rPr>
        <w:t>registration</w:t>
      </w:r>
      <w:r w:rsidRPr="00AA5A73">
        <w:rPr>
          <w:rFonts w:cstheme="minorHAnsi"/>
          <w:w w:val="105"/>
        </w:rPr>
        <w:t xml:space="preserve"> </w:t>
      </w:r>
      <w:r w:rsidRPr="0099170A">
        <w:rPr>
          <w:rFonts w:cstheme="minorHAnsi"/>
          <w:w w:val="105"/>
        </w:rPr>
        <w:t>process</w:t>
      </w:r>
      <w:r w:rsidRPr="00AA5A73">
        <w:rPr>
          <w:rFonts w:cstheme="minorHAnsi"/>
          <w:w w:val="105"/>
        </w:rPr>
        <w:t xml:space="preserve"> </w:t>
      </w:r>
      <w:r w:rsidRPr="0099170A">
        <w:rPr>
          <w:rFonts w:cstheme="minorHAnsi"/>
          <w:w w:val="105"/>
        </w:rPr>
        <w:t>provides</w:t>
      </w:r>
      <w:r w:rsidRPr="00AA5A73">
        <w:rPr>
          <w:rFonts w:cstheme="minorHAnsi"/>
          <w:w w:val="105"/>
        </w:rPr>
        <w:t xml:space="preserve"> LWDBs </w:t>
      </w:r>
      <w:r w:rsidRPr="0099170A">
        <w:rPr>
          <w:rFonts w:cstheme="minorHAnsi"/>
          <w:w w:val="105"/>
        </w:rPr>
        <w:t>with</w:t>
      </w:r>
      <w:r w:rsidRPr="00AA5A73">
        <w:rPr>
          <w:rFonts w:cstheme="minorHAnsi"/>
          <w:w w:val="105"/>
        </w:rPr>
        <w:t xml:space="preserve"> </w:t>
      </w:r>
      <w:r w:rsidRPr="0099170A">
        <w:rPr>
          <w:rFonts w:cstheme="minorHAnsi"/>
          <w:w w:val="105"/>
        </w:rPr>
        <w:t>integral information</w:t>
      </w:r>
      <w:r w:rsidRPr="00AA5A73">
        <w:rPr>
          <w:rFonts w:cstheme="minorHAnsi"/>
          <w:w w:val="105"/>
        </w:rPr>
        <w:t xml:space="preserve"> </w:t>
      </w:r>
      <w:r w:rsidRPr="0099170A">
        <w:rPr>
          <w:rFonts w:cstheme="minorHAnsi"/>
          <w:w w:val="105"/>
        </w:rPr>
        <w:t>with which</w:t>
      </w:r>
      <w:r w:rsidRPr="00AA5A73">
        <w:rPr>
          <w:rFonts w:cstheme="minorHAnsi"/>
          <w:w w:val="105"/>
        </w:rPr>
        <w:t xml:space="preserve"> </w:t>
      </w:r>
      <w:r w:rsidRPr="0099170A">
        <w:rPr>
          <w:rFonts w:cstheme="minorHAnsi"/>
          <w:w w:val="105"/>
        </w:rPr>
        <w:t>to</w:t>
      </w:r>
      <w:r w:rsidRPr="00AA5A73">
        <w:rPr>
          <w:rFonts w:cstheme="minorHAnsi"/>
          <w:w w:val="105"/>
        </w:rPr>
        <w:t xml:space="preserve"> </w:t>
      </w:r>
      <w:r w:rsidRPr="0099170A">
        <w:rPr>
          <w:rFonts w:cstheme="minorHAnsi"/>
          <w:w w:val="105"/>
        </w:rPr>
        <w:t>target</w:t>
      </w:r>
      <w:r w:rsidRPr="00AA5A73">
        <w:rPr>
          <w:rFonts w:cstheme="minorHAnsi"/>
          <w:w w:val="105"/>
        </w:rPr>
        <w:t xml:space="preserve"> </w:t>
      </w:r>
      <w:r w:rsidRPr="0099170A">
        <w:rPr>
          <w:rFonts w:cstheme="minorHAnsi"/>
          <w:w w:val="105"/>
        </w:rPr>
        <w:t xml:space="preserve">reemployment services to claimants and </w:t>
      </w:r>
      <w:r w:rsidR="00B30B2D">
        <w:rPr>
          <w:rFonts w:cstheme="minorHAnsi"/>
          <w:w w:val="105"/>
        </w:rPr>
        <w:t>job</w:t>
      </w:r>
      <w:r w:rsidR="007F14D7">
        <w:rPr>
          <w:rFonts w:cstheme="minorHAnsi"/>
          <w:w w:val="105"/>
        </w:rPr>
        <w:t xml:space="preserve"> </w:t>
      </w:r>
      <w:r w:rsidR="00EB646F">
        <w:rPr>
          <w:rFonts w:cstheme="minorHAnsi"/>
          <w:w w:val="105"/>
        </w:rPr>
        <w:t>seeker</w:t>
      </w:r>
      <w:r w:rsidRPr="0099170A">
        <w:rPr>
          <w:rFonts w:cstheme="minorHAnsi"/>
          <w:w w:val="105"/>
        </w:rPr>
        <w:t>s. Some claimants elect to complete an online skills</w:t>
      </w:r>
      <w:r w:rsidRPr="00AA5A73">
        <w:rPr>
          <w:rFonts w:cstheme="minorHAnsi"/>
          <w:w w:val="105"/>
        </w:rPr>
        <w:t xml:space="preserve"> </w:t>
      </w:r>
      <w:r w:rsidRPr="0099170A">
        <w:rPr>
          <w:rFonts w:cstheme="minorHAnsi"/>
          <w:w w:val="105"/>
        </w:rPr>
        <w:t>assessment</w:t>
      </w:r>
      <w:r w:rsidRPr="00AA5A73">
        <w:rPr>
          <w:rFonts w:cstheme="minorHAnsi"/>
          <w:w w:val="105"/>
        </w:rPr>
        <w:t xml:space="preserve"> </w:t>
      </w:r>
      <w:r w:rsidRPr="0099170A">
        <w:rPr>
          <w:rFonts w:cstheme="minorHAnsi"/>
          <w:w w:val="105"/>
        </w:rPr>
        <w:t>available</w:t>
      </w:r>
      <w:r w:rsidRPr="00AA5A73">
        <w:rPr>
          <w:rFonts w:cstheme="minorHAnsi"/>
          <w:w w:val="105"/>
        </w:rPr>
        <w:t xml:space="preserve"> </w:t>
      </w:r>
      <w:r w:rsidRPr="0099170A">
        <w:rPr>
          <w:rFonts w:cstheme="minorHAnsi"/>
          <w:w w:val="105"/>
        </w:rPr>
        <w:t>to</w:t>
      </w:r>
      <w:r w:rsidRPr="00AA5A73">
        <w:rPr>
          <w:rFonts w:cstheme="minorHAnsi"/>
          <w:w w:val="105"/>
        </w:rPr>
        <w:t xml:space="preserve"> </w:t>
      </w:r>
      <w:r w:rsidRPr="0099170A">
        <w:rPr>
          <w:rFonts w:cstheme="minorHAnsi"/>
          <w:w w:val="105"/>
        </w:rPr>
        <w:t>individuals</w:t>
      </w:r>
      <w:r w:rsidRPr="00AA5A73">
        <w:rPr>
          <w:rFonts w:cstheme="minorHAnsi"/>
          <w:w w:val="105"/>
        </w:rPr>
        <w:t xml:space="preserve"> </w:t>
      </w:r>
      <w:r w:rsidRPr="0099170A">
        <w:rPr>
          <w:rFonts w:cstheme="minorHAnsi"/>
          <w:w w:val="105"/>
        </w:rPr>
        <w:t>seeking</w:t>
      </w:r>
      <w:r w:rsidRPr="00AA5A73">
        <w:rPr>
          <w:rFonts w:cstheme="minorHAnsi"/>
          <w:w w:val="105"/>
        </w:rPr>
        <w:t xml:space="preserve"> </w:t>
      </w:r>
      <w:r w:rsidRPr="0099170A">
        <w:rPr>
          <w:rFonts w:cstheme="minorHAnsi"/>
          <w:w w:val="105"/>
        </w:rPr>
        <w:t>reemployment</w:t>
      </w:r>
      <w:r w:rsidRPr="00AA5A73">
        <w:rPr>
          <w:rFonts w:cstheme="minorHAnsi"/>
          <w:w w:val="105"/>
        </w:rPr>
        <w:t xml:space="preserve"> </w:t>
      </w:r>
      <w:r w:rsidRPr="0099170A">
        <w:rPr>
          <w:rFonts w:cstheme="minorHAnsi"/>
          <w:w w:val="105"/>
        </w:rPr>
        <w:t>assistance</w:t>
      </w:r>
      <w:r w:rsidRPr="00AA5A73">
        <w:rPr>
          <w:rFonts w:cstheme="minorHAnsi"/>
          <w:w w:val="105"/>
        </w:rPr>
        <w:t xml:space="preserve"> </w:t>
      </w:r>
      <w:r w:rsidRPr="0099170A">
        <w:rPr>
          <w:rFonts w:cstheme="minorHAnsi"/>
          <w:w w:val="105"/>
        </w:rPr>
        <w:t>and job</w:t>
      </w:r>
      <w:r w:rsidRPr="00AA5A73">
        <w:rPr>
          <w:rFonts w:cstheme="minorHAnsi"/>
          <w:w w:val="105"/>
        </w:rPr>
        <w:t xml:space="preserve"> </w:t>
      </w:r>
      <w:r w:rsidRPr="0099170A">
        <w:rPr>
          <w:rFonts w:cstheme="minorHAnsi"/>
          <w:w w:val="105"/>
        </w:rPr>
        <w:t>services.</w:t>
      </w:r>
      <w:r w:rsidRPr="00AA5A73">
        <w:rPr>
          <w:rFonts w:cstheme="minorHAnsi"/>
          <w:w w:val="105"/>
        </w:rPr>
        <w:t xml:space="preserve"> </w:t>
      </w:r>
      <w:r w:rsidRPr="0099170A">
        <w:rPr>
          <w:rFonts w:cstheme="minorHAnsi"/>
          <w:w w:val="105"/>
        </w:rPr>
        <w:t>The</w:t>
      </w:r>
      <w:r w:rsidRPr="00AA5A73">
        <w:rPr>
          <w:rFonts w:cstheme="minorHAnsi"/>
          <w:w w:val="105"/>
        </w:rPr>
        <w:t xml:space="preserve"> </w:t>
      </w:r>
      <w:r w:rsidRPr="0099170A">
        <w:rPr>
          <w:rFonts w:cstheme="minorHAnsi"/>
          <w:w w:val="105"/>
        </w:rPr>
        <w:t>skills</w:t>
      </w:r>
      <w:r w:rsidRPr="00AA5A73">
        <w:rPr>
          <w:rFonts w:cstheme="minorHAnsi"/>
          <w:w w:val="105"/>
        </w:rPr>
        <w:t xml:space="preserve"> </w:t>
      </w:r>
      <w:r w:rsidRPr="0099170A">
        <w:rPr>
          <w:rFonts w:cstheme="minorHAnsi"/>
          <w:w w:val="105"/>
        </w:rPr>
        <w:t>assessment</w:t>
      </w:r>
      <w:r w:rsidRPr="00AA5A73">
        <w:rPr>
          <w:rFonts w:cstheme="minorHAnsi"/>
          <w:w w:val="105"/>
        </w:rPr>
        <w:t xml:space="preserve"> </w:t>
      </w:r>
      <w:r w:rsidRPr="0099170A">
        <w:rPr>
          <w:rFonts w:cstheme="minorHAnsi"/>
          <w:w w:val="105"/>
        </w:rPr>
        <w:t>measures</w:t>
      </w:r>
      <w:r w:rsidRPr="00AA5A73">
        <w:rPr>
          <w:rFonts w:cstheme="minorHAnsi"/>
          <w:w w:val="105"/>
        </w:rPr>
        <w:t xml:space="preserve"> </w:t>
      </w:r>
      <w:r w:rsidRPr="0099170A">
        <w:rPr>
          <w:rFonts w:cstheme="minorHAnsi"/>
          <w:w w:val="105"/>
        </w:rPr>
        <w:t>an individual’s skills,</w:t>
      </w:r>
      <w:r w:rsidRPr="00AA5A73">
        <w:rPr>
          <w:rFonts w:cstheme="minorHAnsi"/>
          <w:w w:val="105"/>
        </w:rPr>
        <w:t xml:space="preserve"> </w:t>
      </w:r>
      <w:r w:rsidRPr="0099170A">
        <w:rPr>
          <w:rFonts w:cstheme="minorHAnsi"/>
          <w:w w:val="105"/>
        </w:rPr>
        <w:t>abilities</w:t>
      </w:r>
      <w:r w:rsidR="00D5537E">
        <w:rPr>
          <w:rFonts w:cstheme="minorHAnsi"/>
          <w:w w:val="105"/>
        </w:rPr>
        <w:t xml:space="preserve"> and</w:t>
      </w:r>
      <w:r w:rsidRPr="00AA5A73">
        <w:rPr>
          <w:rFonts w:cstheme="minorHAnsi"/>
          <w:w w:val="105"/>
        </w:rPr>
        <w:t xml:space="preserve"> </w:t>
      </w:r>
      <w:r w:rsidRPr="0099170A">
        <w:rPr>
          <w:rFonts w:cstheme="minorHAnsi"/>
          <w:w w:val="105"/>
        </w:rPr>
        <w:t>career</w:t>
      </w:r>
      <w:r w:rsidRPr="00AA5A73">
        <w:rPr>
          <w:rFonts w:cstheme="minorHAnsi"/>
          <w:w w:val="105"/>
        </w:rPr>
        <w:t xml:space="preserve"> </w:t>
      </w:r>
      <w:r w:rsidRPr="0099170A">
        <w:rPr>
          <w:rFonts w:cstheme="minorHAnsi"/>
          <w:w w:val="105"/>
        </w:rPr>
        <w:t>aptitude.</w:t>
      </w:r>
      <w:r w:rsidRPr="00AA5A73">
        <w:rPr>
          <w:rFonts w:cstheme="minorHAnsi"/>
          <w:w w:val="105"/>
        </w:rPr>
        <w:t xml:space="preserve"> LWDBs </w:t>
      </w:r>
      <w:r w:rsidRPr="0099170A">
        <w:rPr>
          <w:rFonts w:cstheme="minorHAnsi"/>
          <w:w w:val="105"/>
        </w:rPr>
        <w:t>utilize</w:t>
      </w:r>
      <w:r w:rsidRPr="00AA5A73">
        <w:rPr>
          <w:rFonts w:cstheme="minorHAnsi"/>
          <w:w w:val="105"/>
        </w:rPr>
        <w:t xml:space="preserve"> </w:t>
      </w:r>
      <w:r w:rsidRPr="0099170A">
        <w:rPr>
          <w:rFonts w:cstheme="minorHAnsi"/>
          <w:w w:val="105"/>
        </w:rPr>
        <w:t>results</w:t>
      </w:r>
      <w:r w:rsidRPr="00AA5A73">
        <w:rPr>
          <w:rFonts w:cstheme="minorHAnsi"/>
          <w:w w:val="105"/>
        </w:rPr>
        <w:t xml:space="preserve"> </w:t>
      </w:r>
      <w:r w:rsidRPr="0099170A">
        <w:rPr>
          <w:rFonts w:cstheme="minorHAnsi"/>
          <w:w w:val="105"/>
        </w:rPr>
        <w:t>obtained</w:t>
      </w:r>
      <w:r w:rsidRPr="00AA5A73">
        <w:rPr>
          <w:rFonts w:cstheme="minorHAnsi"/>
          <w:w w:val="105"/>
        </w:rPr>
        <w:t xml:space="preserve"> </w:t>
      </w:r>
      <w:r w:rsidRPr="0099170A">
        <w:rPr>
          <w:rFonts w:cstheme="minorHAnsi"/>
          <w:w w:val="105"/>
        </w:rPr>
        <w:t>from</w:t>
      </w:r>
      <w:r w:rsidRPr="00AA5A73">
        <w:rPr>
          <w:rFonts w:cstheme="minorHAnsi"/>
          <w:w w:val="105"/>
        </w:rPr>
        <w:t xml:space="preserve"> </w:t>
      </w:r>
      <w:r w:rsidRPr="0099170A">
        <w:rPr>
          <w:rFonts w:cstheme="minorHAnsi"/>
          <w:w w:val="105"/>
        </w:rPr>
        <w:t>the</w:t>
      </w:r>
      <w:r w:rsidRPr="00AA5A73">
        <w:rPr>
          <w:rFonts w:cstheme="minorHAnsi"/>
          <w:w w:val="105"/>
        </w:rPr>
        <w:t xml:space="preserve"> </w:t>
      </w:r>
      <w:r w:rsidRPr="0099170A">
        <w:rPr>
          <w:rFonts w:cstheme="minorHAnsi"/>
          <w:w w:val="105"/>
        </w:rPr>
        <w:t>assessment</w:t>
      </w:r>
      <w:r w:rsidRPr="00AA5A73">
        <w:rPr>
          <w:rFonts w:cstheme="minorHAnsi"/>
          <w:w w:val="105"/>
        </w:rPr>
        <w:t xml:space="preserve"> </w:t>
      </w:r>
      <w:r w:rsidRPr="0099170A">
        <w:rPr>
          <w:rFonts w:cstheme="minorHAnsi"/>
          <w:w w:val="105"/>
        </w:rPr>
        <w:t>to</w:t>
      </w:r>
      <w:r w:rsidRPr="00AA5A73">
        <w:rPr>
          <w:rFonts w:cstheme="minorHAnsi"/>
          <w:w w:val="105"/>
        </w:rPr>
        <w:t xml:space="preserve"> </w:t>
      </w:r>
      <w:r w:rsidRPr="0099170A">
        <w:rPr>
          <w:rFonts w:cstheme="minorHAnsi"/>
          <w:w w:val="105"/>
        </w:rPr>
        <w:t>provide</w:t>
      </w:r>
      <w:r w:rsidRPr="00AA5A73">
        <w:rPr>
          <w:rFonts w:cstheme="minorHAnsi"/>
          <w:w w:val="105"/>
        </w:rPr>
        <w:t xml:space="preserve"> </w:t>
      </w:r>
      <w:r w:rsidRPr="0099170A">
        <w:rPr>
          <w:rFonts w:cstheme="minorHAnsi"/>
          <w:w w:val="105"/>
        </w:rPr>
        <w:t>a</w:t>
      </w:r>
      <w:r w:rsidRPr="00AA5A73">
        <w:rPr>
          <w:rFonts w:cstheme="minorHAnsi"/>
          <w:w w:val="105"/>
        </w:rPr>
        <w:t xml:space="preserve"> </w:t>
      </w:r>
      <w:r w:rsidRPr="0099170A">
        <w:rPr>
          <w:rFonts w:cstheme="minorHAnsi"/>
          <w:w w:val="105"/>
        </w:rPr>
        <w:t>customized</w:t>
      </w:r>
      <w:r w:rsidRPr="00AA5A73">
        <w:rPr>
          <w:rFonts w:cstheme="minorHAnsi"/>
          <w:w w:val="105"/>
        </w:rPr>
        <w:t xml:space="preserve"> </w:t>
      </w:r>
      <w:r w:rsidRPr="0099170A">
        <w:rPr>
          <w:rFonts w:cstheme="minorHAnsi"/>
          <w:w w:val="105"/>
        </w:rPr>
        <w:t>and</w:t>
      </w:r>
      <w:r w:rsidRPr="00AA5A73">
        <w:rPr>
          <w:rFonts w:cstheme="minorHAnsi"/>
          <w:w w:val="105"/>
        </w:rPr>
        <w:t xml:space="preserve"> </w:t>
      </w:r>
      <w:r w:rsidRPr="0099170A">
        <w:rPr>
          <w:rFonts w:cstheme="minorHAnsi"/>
          <w:w w:val="105"/>
        </w:rPr>
        <w:t>tiered</w:t>
      </w:r>
      <w:r w:rsidRPr="00AA5A73">
        <w:rPr>
          <w:rFonts w:cstheme="minorHAnsi"/>
          <w:w w:val="105"/>
        </w:rPr>
        <w:t xml:space="preserve"> </w:t>
      </w:r>
      <w:r w:rsidRPr="0099170A">
        <w:rPr>
          <w:rFonts w:cstheme="minorHAnsi"/>
          <w:w w:val="105"/>
        </w:rPr>
        <w:t>level</w:t>
      </w:r>
      <w:r w:rsidRPr="00AA5A73">
        <w:rPr>
          <w:rFonts w:cstheme="minorHAnsi"/>
          <w:w w:val="105"/>
        </w:rPr>
        <w:t xml:space="preserve"> </w:t>
      </w:r>
      <w:r w:rsidRPr="0099170A">
        <w:rPr>
          <w:rFonts w:cstheme="minorHAnsi"/>
          <w:w w:val="105"/>
        </w:rPr>
        <w:t>of</w:t>
      </w:r>
      <w:r w:rsidRPr="00AA5A73">
        <w:rPr>
          <w:rFonts w:cstheme="minorHAnsi"/>
          <w:w w:val="105"/>
        </w:rPr>
        <w:t xml:space="preserve"> </w:t>
      </w:r>
      <w:r w:rsidRPr="0099170A">
        <w:rPr>
          <w:rFonts w:cstheme="minorHAnsi"/>
          <w:w w:val="105"/>
        </w:rPr>
        <w:t>service.</w:t>
      </w:r>
      <w:r w:rsidRPr="00AA5A73">
        <w:rPr>
          <w:rFonts w:cstheme="minorHAnsi"/>
          <w:w w:val="105"/>
        </w:rPr>
        <w:t xml:space="preserve"> </w:t>
      </w:r>
      <w:r w:rsidRPr="0099170A">
        <w:rPr>
          <w:rFonts w:cstheme="minorHAnsi"/>
          <w:w w:val="105"/>
        </w:rPr>
        <w:t>Higher</w:t>
      </w:r>
      <w:r w:rsidRPr="00AA5A73">
        <w:rPr>
          <w:rFonts w:cstheme="minorHAnsi"/>
          <w:w w:val="105"/>
        </w:rPr>
        <w:t xml:space="preserve"> </w:t>
      </w:r>
      <w:r w:rsidRPr="0099170A">
        <w:rPr>
          <w:rFonts w:cstheme="minorHAnsi"/>
          <w:w w:val="105"/>
        </w:rPr>
        <w:t>scores or</w:t>
      </w:r>
      <w:r w:rsidRPr="00AA5A73">
        <w:rPr>
          <w:rFonts w:cstheme="minorHAnsi"/>
          <w:w w:val="105"/>
        </w:rPr>
        <w:t xml:space="preserve"> </w:t>
      </w:r>
      <w:r w:rsidRPr="0099170A">
        <w:rPr>
          <w:rFonts w:cstheme="minorHAnsi"/>
          <w:w w:val="105"/>
        </w:rPr>
        <w:t>results</w:t>
      </w:r>
      <w:r w:rsidRPr="00AA5A73">
        <w:rPr>
          <w:rFonts w:cstheme="minorHAnsi"/>
          <w:w w:val="105"/>
        </w:rPr>
        <w:t xml:space="preserve"> </w:t>
      </w:r>
      <w:r w:rsidRPr="0099170A">
        <w:rPr>
          <w:rFonts w:cstheme="minorHAnsi"/>
          <w:w w:val="105"/>
        </w:rPr>
        <w:t>from</w:t>
      </w:r>
      <w:r w:rsidRPr="00AA5A73">
        <w:rPr>
          <w:rFonts w:cstheme="minorHAnsi"/>
          <w:w w:val="105"/>
        </w:rPr>
        <w:t xml:space="preserve"> </w:t>
      </w:r>
      <w:r w:rsidRPr="0099170A">
        <w:rPr>
          <w:rFonts w:cstheme="minorHAnsi"/>
          <w:w w:val="105"/>
        </w:rPr>
        <w:t>the</w:t>
      </w:r>
      <w:r w:rsidRPr="00AA5A73">
        <w:rPr>
          <w:rFonts w:cstheme="minorHAnsi"/>
          <w:w w:val="105"/>
        </w:rPr>
        <w:t xml:space="preserve"> </w:t>
      </w:r>
      <w:r w:rsidRPr="0099170A">
        <w:rPr>
          <w:rFonts w:cstheme="minorHAnsi"/>
          <w:w w:val="105"/>
        </w:rPr>
        <w:t>assessment</w:t>
      </w:r>
      <w:r w:rsidRPr="00AA5A73">
        <w:rPr>
          <w:rFonts w:cstheme="minorHAnsi"/>
          <w:w w:val="105"/>
        </w:rPr>
        <w:t xml:space="preserve"> </w:t>
      </w:r>
      <w:r w:rsidRPr="0099170A">
        <w:rPr>
          <w:rFonts w:cstheme="minorHAnsi"/>
          <w:w w:val="105"/>
        </w:rPr>
        <w:t>may</w:t>
      </w:r>
      <w:r w:rsidRPr="00AA5A73">
        <w:rPr>
          <w:rFonts w:cstheme="minorHAnsi"/>
          <w:w w:val="105"/>
        </w:rPr>
        <w:t xml:space="preserve"> </w:t>
      </w:r>
      <w:r w:rsidRPr="0099170A">
        <w:rPr>
          <w:rFonts w:cstheme="minorHAnsi"/>
          <w:w w:val="105"/>
        </w:rPr>
        <w:t>indicate</w:t>
      </w:r>
      <w:r w:rsidRPr="00AA5A73">
        <w:rPr>
          <w:rFonts w:cstheme="minorHAnsi"/>
          <w:w w:val="105"/>
        </w:rPr>
        <w:t xml:space="preserve"> </w:t>
      </w:r>
      <w:r w:rsidRPr="0099170A">
        <w:rPr>
          <w:rFonts w:cstheme="minorHAnsi"/>
          <w:w w:val="105"/>
        </w:rPr>
        <w:t>the</w:t>
      </w:r>
      <w:r w:rsidRPr="00AA5A73">
        <w:rPr>
          <w:rFonts w:cstheme="minorHAnsi"/>
          <w:w w:val="105"/>
        </w:rPr>
        <w:t xml:space="preserve"> </w:t>
      </w:r>
      <w:r w:rsidRPr="0099170A">
        <w:rPr>
          <w:rFonts w:cstheme="minorHAnsi"/>
          <w:w w:val="105"/>
        </w:rPr>
        <w:t>claimant</w:t>
      </w:r>
      <w:r w:rsidRPr="00AA5A73">
        <w:rPr>
          <w:rFonts w:cstheme="minorHAnsi"/>
          <w:w w:val="105"/>
        </w:rPr>
        <w:t xml:space="preserve"> </w:t>
      </w:r>
      <w:r w:rsidRPr="0099170A">
        <w:rPr>
          <w:rFonts w:cstheme="minorHAnsi"/>
          <w:w w:val="105"/>
        </w:rPr>
        <w:t>is</w:t>
      </w:r>
      <w:r w:rsidRPr="00AA5A73">
        <w:rPr>
          <w:rFonts w:cstheme="minorHAnsi"/>
          <w:w w:val="105"/>
        </w:rPr>
        <w:t xml:space="preserve"> </w:t>
      </w:r>
      <w:r w:rsidRPr="0099170A">
        <w:rPr>
          <w:rFonts w:cstheme="minorHAnsi"/>
          <w:w w:val="105"/>
        </w:rPr>
        <w:t>equipped</w:t>
      </w:r>
      <w:r w:rsidRPr="00AA5A73">
        <w:rPr>
          <w:rFonts w:cstheme="minorHAnsi"/>
          <w:w w:val="105"/>
        </w:rPr>
        <w:t xml:space="preserve"> </w:t>
      </w:r>
      <w:r w:rsidRPr="0099170A">
        <w:rPr>
          <w:rFonts w:cstheme="minorHAnsi"/>
          <w:w w:val="105"/>
        </w:rPr>
        <w:t>with</w:t>
      </w:r>
      <w:r w:rsidRPr="00AA5A73">
        <w:rPr>
          <w:rFonts w:cstheme="minorHAnsi"/>
          <w:w w:val="105"/>
        </w:rPr>
        <w:t xml:space="preserve"> </w:t>
      </w:r>
      <w:r w:rsidRPr="0099170A">
        <w:rPr>
          <w:rFonts w:cstheme="minorHAnsi"/>
          <w:w w:val="105"/>
        </w:rPr>
        <w:t>skills</w:t>
      </w:r>
      <w:r w:rsidRPr="00AA5A73">
        <w:rPr>
          <w:rFonts w:cstheme="minorHAnsi"/>
          <w:w w:val="105"/>
        </w:rPr>
        <w:t xml:space="preserve"> </w:t>
      </w:r>
      <w:r w:rsidRPr="0099170A">
        <w:rPr>
          <w:rFonts w:cstheme="minorHAnsi"/>
          <w:w w:val="105"/>
        </w:rPr>
        <w:t>to</w:t>
      </w:r>
      <w:r w:rsidRPr="00AA5A73">
        <w:rPr>
          <w:rFonts w:cstheme="minorHAnsi"/>
          <w:w w:val="105"/>
        </w:rPr>
        <w:t xml:space="preserve"> </w:t>
      </w:r>
      <w:r w:rsidRPr="0099170A">
        <w:rPr>
          <w:rFonts w:cstheme="minorHAnsi"/>
          <w:w w:val="105"/>
        </w:rPr>
        <w:t>seek jobs and</w:t>
      </w:r>
      <w:r w:rsidRPr="00AA5A73">
        <w:rPr>
          <w:rFonts w:cstheme="minorHAnsi"/>
          <w:w w:val="105"/>
        </w:rPr>
        <w:t xml:space="preserve"> </w:t>
      </w:r>
      <w:r w:rsidRPr="0099170A">
        <w:rPr>
          <w:rFonts w:cstheme="minorHAnsi"/>
          <w:w w:val="105"/>
        </w:rPr>
        <w:t>obtain</w:t>
      </w:r>
      <w:r w:rsidRPr="00AA5A73">
        <w:rPr>
          <w:rFonts w:cstheme="minorHAnsi"/>
          <w:w w:val="105"/>
        </w:rPr>
        <w:t xml:space="preserve"> </w:t>
      </w:r>
      <w:r w:rsidRPr="0099170A">
        <w:rPr>
          <w:rFonts w:cstheme="minorHAnsi"/>
          <w:w w:val="105"/>
        </w:rPr>
        <w:t>employment</w:t>
      </w:r>
      <w:r w:rsidRPr="00AA5A73">
        <w:rPr>
          <w:rFonts w:cstheme="minorHAnsi"/>
          <w:w w:val="105"/>
        </w:rPr>
        <w:t xml:space="preserve"> </w:t>
      </w:r>
      <w:r w:rsidRPr="0099170A">
        <w:rPr>
          <w:rFonts w:cstheme="minorHAnsi"/>
          <w:w w:val="105"/>
        </w:rPr>
        <w:t>before</w:t>
      </w:r>
      <w:r w:rsidRPr="00AA5A73">
        <w:rPr>
          <w:rFonts w:cstheme="minorHAnsi"/>
          <w:w w:val="105"/>
        </w:rPr>
        <w:t xml:space="preserve"> </w:t>
      </w:r>
      <w:r w:rsidRPr="0099170A">
        <w:rPr>
          <w:rFonts w:cstheme="minorHAnsi"/>
          <w:w w:val="105"/>
        </w:rPr>
        <w:t>their</w:t>
      </w:r>
      <w:r w:rsidRPr="00AA5A73">
        <w:rPr>
          <w:rFonts w:cstheme="minorHAnsi"/>
          <w:w w:val="105"/>
        </w:rPr>
        <w:t xml:space="preserve"> </w:t>
      </w:r>
      <w:r w:rsidRPr="0099170A">
        <w:rPr>
          <w:rFonts w:cstheme="minorHAnsi"/>
          <w:w w:val="105"/>
        </w:rPr>
        <w:t>benefits</w:t>
      </w:r>
      <w:r w:rsidRPr="00AA5A73">
        <w:rPr>
          <w:rFonts w:cstheme="minorHAnsi"/>
          <w:w w:val="105"/>
        </w:rPr>
        <w:t xml:space="preserve"> </w:t>
      </w:r>
      <w:r w:rsidRPr="0099170A">
        <w:rPr>
          <w:rFonts w:cstheme="minorHAnsi"/>
          <w:w w:val="105"/>
        </w:rPr>
        <w:t>expire.</w:t>
      </w:r>
      <w:r w:rsidRPr="00AA5A73">
        <w:rPr>
          <w:rFonts w:cstheme="minorHAnsi"/>
          <w:w w:val="105"/>
        </w:rPr>
        <w:t xml:space="preserve"> </w:t>
      </w:r>
      <w:r w:rsidRPr="0099170A">
        <w:rPr>
          <w:rFonts w:cstheme="minorHAnsi"/>
          <w:w w:val="105"/>
        </w:rPr>
        <w:t>These</w:t>
      </w:r>
      <w:r w:rsidRPr="00AA5A73">
        <w:rPr>
          <w:rFonts w:cstheme="minorHAnsi"/>
          <w:w w:val="105"/>
        </w:rPr>
        <w:t xml:space="preserve"> </w:t>
      </w:r>
      <w:r w:rsidRPr="0099170A">
        <w:rPr>
          <w:rFonts w:cstheme="minorHAnsi"/>
          <w:w w:val="105"/>
        </w:rPr>
        <w:t>individuals</w:t>
      </w:r>
      <w:r w:rsidRPr="00AA5A73">
        <w:rPr>
          <w:rFonts w:cstheme="minorHAnsi"/>
          <w:w w:val="105"/>
        </w:rPr>
        <w:t xml:space="preserve"> </w:t>
      </w:r>
      <w:r w:rsidRPr="0099170A">
        <w:rPr>
          <w:rFonts w:cstheme="minorHAnsi"/>
          <w:w w:val="105"/>
        </w:rPr>
        <w:t>require</w:t>
      </w:r>
      <w:r w:rsidRPr="00AA5A73">
        <w:rPr>
          <w:rFonts w:cstheme="minorHAnsi"/>
          <w:w w:val="105"/>
        </w:rPr>
        <w:t xml:space="preserve"> </w:t>
      </w:r>
      <w:r w:rsidRPr="0099170A">
        <w:rPr>
          <w:rFonts w:cstheme="minorHAnsi"/>
          <w:w w:val="105"/>
        </w:rPr>
        <w:t>less</w:t>
      </w:r>
      <w:r w:rsidRPr="00AA5A73">
        <w:rPr>
          <w:rFonts w:cstheme="minorHAnsi"/>
          <w:w w:val="105"/>
        </w:rPr>
        <w:t xml:space="preserve"> </w:t>
      </w:r>
      <w:r w:rsidRPr="0099170A">
        <w:rPr>
          <w:rFonts w:cstheme="minorHAnsi"/>
          <w:w w:val="105"/>
        </w:rPr>
        <w:t>staff</w:t>
      </w:r>
      <w:r w:rsidRPr="00AA5A73">
        <w:rPr>
          <w:rFonts w:cstheme="minorHAnsi"/>
          <w:w w:val="105"/>
        </w:rPr>
        <w:t xml:space="preserve"> </w:t>
      </w:r>
      <w:r w:rsidRPr="0099170A">
        <w:rPr>
          <w:rFonts w:cstheme="minorHAnsi"/>
          <w:w w:val="105"/>
        </w:rPr>
        <w:t>intervention.</w:t>
      </w:r>
      <w:r w:rsidRPr="00AA5A73">
        <w:rPr>
          <w:rFonts w:cstheme="minorHAnsi"/>
          <w:w w:val="105"/>
        </w:rPr>
        <w:t xml:space="preserve"> </w:t>
      </w:r>
      <w:r w:rsidRPr="0099170A">
        <w:rPr>
          <w:rFonts w:cstheme="minorHAnsi"/>
          <w:w w:val="105"/>
        </w:rPr>
        <w:t>Lower</w:t>
      </w:r>
      <w:r w:rsidRPr="00AA5A73">
        <w:rPr>
          <w:rFonts w:cstheme="minorHAnsi"/>
          <w:w w:val="105"/>
        </w:rPr>
        <w:t xml:space="preserve"> </w:t>
      </w:r>
      <w:r w:rsidRPr="0099170A">
        <w:rPr>
          <w:rFonts w:cstheme="minorHAnsi"/>
          <w:w w:val="105"/>
        </w:rPr>
        <w:t>scores</w:t>
      </w:r>
      <w:r w:rsidRPr="00AA5A73">
        <w:rPr>
          <w:rFonts w:cstheme="minorHAnsi"/>
          <w:w w:val="105"/>
        </w:rPr>
        <w:t xml:space="preserve"> </w:t>
      </w:r>
      <w:r w:rsidRPr="0099170A">
        <w:rPr>
          <w:rFonts w:cstheme="minorHAnsi"/>
          <w:w w:val="105"/>
        </w:rPr>
        <w:t>typically</w:t>
      </w:r>
      <w:r w:rsidRPr="00AA5A73">
        <w:rPr>
          <w:rFonts w:cstheme="minorHAnsi"/>
          <w:w w:val="105"/>
        </w:rPr>
        <w:t xml:space="preserve"> </w:t>
      </w:r>
      <w:r w:rsidRPr="0099170A">
        <w:rPr>
          <w:rFonts w:cstheme="minorHAnsi"/>
          <w:w w:val="105"/>
        </w:rPr>
        <w:t>indicate</w:t>
      </w:r>
      <w:r w:rsidRPr="00AA5A73">
        <w:rPr>
          <w:rFonts w:cstheme="minorHAnsi"/>
          <w:w w:val="105"/>
        </w:rPr>
        <w:t xml:space="preserve"> </w:t>
      </w:r>
      <w:r w:rsidRPr="0099170A">
        <w:rPr>
          <w:rFonts w:cstheme="minorHAnsi"/>
          <w:w w:val="105"/>
        </w:rPr>
        <w:t>a</w:t>
      </w:r>
      <w:r w:rsidRPr="00AA5A73">
        <w:rPr>
          <w:rFonts w:cstheme="minorHAnsi"/>
          <w:w w:val="105"/>
        </w:rPr>
        <w:t xml:space="preserve"> </w:t>
      </w:r>
      <w:r w:rsidRPr="0099170A">
        <w:rPr>
          <w:rFonts w:cstheme="minorHAnsi"/>
          <w:w w:val="105"/>
        </w:rPr>
        <w:t>claimant</w:t>
      </w:r>
      <w:r w:rsidRPr="00AA5A73">
        <w:rPr>
          <w:rFonts w:cstheme="minorHAnsi"/>
          <w:w w:val="105"/>
        </w:rPr>
        <w:t xml:space="preserve"> </w:t>
      </w:r>
      <w:r w:rsidRPr="0099170A">
        <w:rPr>
          <w:rFonts w:cstheme="minorHAnsi"/>
          <w:w w:val="105"/>
        </w:rPr>
        <w:t>may</w:t>
      </w:r>
      <w:r w:rsidRPr="00AA5A73">
        <w:rPr>
          <w:rFonts w:cstheme="minorHAnsi"/>
          <w:w w:val="105"/>
        </w:rPr>
        <w:t xml:space="preserve"> </w:t>
      </w:r>
      <w:r w:rsidRPr="0099170A">
        <w:rPr>
          <w:rFonts w:cstheme="minorHAnsi"/>
          <w:w w:val="105"/>
        </w:rPr>
        <w:t>require more</w:t>
      </w:r>
      <w:r w:rsidRPr="00AA5A73">
        <w:rPr>
          <w:rFonts w:cstheme="minorHAnsi"/>
          <w:w w:val="105"/>
        </w:rPr>
        <w:t xml:space="preserve"> </w:t>
      </w:r>
      <w:r w:rsidRPr="0099170A">
        <w:rPr>
          <w:rFonts w:cstheme="minorHAnsi"/>
          <w:w w:val="105"/>
        </w:rPr>
        <w:t>intensive</w:t>
      </w:r>
      <w:r w:rsidRPr="00AA5A73">
        <w:rPr>
          <w:rFonts w:cstheme="minorHAnsi"/>
          <w:w w:val="105"/>
        </w:rPr>
        <w:t xml:space="preserve"> </w:t>
      </w:r>
      <w:r w:rsidRPr="0099170A">
        <w:rPr>
          <w:rFonts w:cstheme="minorHAnsi"/>
          <w:w w:val="105"/>
        </w:rPr>
        <w:t>staff</w:t>
      </w:r>
      <w:r w:rsidRPr="00AA5A73">
        <w:rPr>
          <w:rFonts w:cstheme="minorHAnsi"/>
          <w:w w:val="105"/>
        </w:rPr>
        <w:t xml:space="preserve"> </w:t>
      </w:r>
      <w:r w:rsidRPr="0099170A">
        <w:rPr>
          <w:rFonts w:cstheme="minorHAnsi"/>
          <w:w w:val="105"/>
        </w:rPr>
        <w:t>intervention</w:t>
      </w:r>
      <w:r w:rsidRPr="00AA5A73">
        <w:rPr>
          <w:rFonts w:cstheme="minorHAnsi"/>
          <w:w w:val="105"/>
        </w:rPr>
        <w:t xml:space="preserve"> </w:t>
      </w:r>
      <w:r w:rsidRPr="0099170A">
        <w:rPr>
          <w:rFonts w:cstheme="minorHAnsi"/>
          <w:w w:val="105"/>
        </w:rPr>
        <w:t xml:space="preserve">before being job </w:t>
      </w:r>
      <w:r w:rsidRPr="00AA5A73">
        <w:rPr>
          <w:rFonts w:cstheme="minorHAnsi"/>
          <w:w w:val="105"/>
        </w:rPr>
        <w:t>ready.</w:t>
      </w:r>
    </w:p>
    <w:p w14:paraId="376E7619" w14:textId="77777777" w:rsidR="00EA7458" w:rsidRPr="0099170A" w:rsidRDefault="00EA7458" w:rsidP="00D63204">
      <w:pPr>
        <w:widowControl w:val="0"/>
        <w:spacing w:after="0" w:line="264" w:lineRule="exact"/>
        <w:ind w:left="107"/>
        <w:rPr>
          <w:rFonts w:cstheme="minorHAnsi"/>
        </w:rPr>
        <w:sectPr w:rsidR="00EA7458" w:rsidRPr="0099170A">
          <w:pgSz w:w="12240" w:h="15840"/>
          <w:pgMar w:top="1620" w:right="900" w:bottom="820" w:left="900" w:header="812" w:footer="624" w:gutter="0"/>
          <w:cols w:space="720"/>
        </w:sectPr>
      </w:pPr>
    </w:p>
    <w:p w14:paraId="23B57919" w14:textId="77777777" w:rsidR="00EA7458" w:rsidRPr="0099170A" w:rsidRDefault="00EA7458" w:rsidP="00D63204">
      <w:pPr>
        <w:widowControl w:val="0"/>
        <w:spacing w:before="4" w:after="0" w:line="240" w:lineRule="auto"/>
        <w:ind w:left="107"/>
        <w:rPr>
          <w:rFonts w:cstheme="minorHAnsi"/>
          <w:sz w:val="14"/>
          <w:szCs w:val="14"/>
        </w:rPr>
      </w:pPr>
    </w:p>
    <w:p w14:paraId="56844ED7" w14:textId="0A825351" w:rsidR="004C13DF" w:rsidRPr="004C13DF" w:rsidRDefault="004C13DF" w:rsidP="00D63204">
      <w:pPr>
        <w:widowControl w:val="0"/>
        <w:spacing w:before="56" w:after="0" w:line="264" w:lineRule="exact"/>
        <w:ind w:left="107"/>
        <w:rPr>
          <w:rFonts w:cstheme="minorHAnsi"/>
        </w:rPr>
      </w:pPr>
      <w:r w:rsidRPr="004C13DF">
        <w:rPr>
          <w:rFonts w:cstheme="minorHAnsi"/>
          <w:b/>
          <w:bCs/>
          <w:color w:val="231F20"/>
          <w:w w:val="105"/>
        </w:rPr>
        <w:t>Worker</w:t>
      </w:r>
      <w:r w:rsidRPr="004C13DF">
        <w:rPr>
          <w:rFonts w:cstheme="minorHAnsi"/>
          <w:b/>
          <w:bCs/>
          <w:color w:val="231F20"/>
          <w:spacing w:val="33"/>
          <w:w w:val="105"/>
        </w:rPr>
        <w:t xml:space="preserve"> </w:t>
      </w:r>
      <w:r w:rsidRPr="004C13DF">
        <w:rPr>
          <w:rFonts w:cstheme="minorHAnsi"/>
          <w:b/>
          <w:bCs/>
          <w:color w:val="231F20"/>
          <w:w w:val="105"/>
        </w:rPr>
        <w:t>Profiling</w:t>
      </w:r>
      <w:r w:rsidRPr="004C13DF">
        <w:rPr>
          <w:rFonts w:cstheme="minorHAnsi"/>
          <w:b/>
          <w:bCs/>
          <w:color w:val="231F20"/>
          <w:spacing w:val="33"/>
          <w:w w:val="105"/>
        </w:rPr>
        <w:t xml:space="preserve"> </w:t>
      </w:r>
      <w:r w:rsidRPr="004C13DF">
        <w:rPr>
          <w:rFonts w:cstheme="minorHAnsi"/>
          <w:b/>
          <w:bCs/>
          <w:color w:val="231F20"/>
          <w:w w:val="105"/>
        </w:rPr>
        <w:t>and</w:t>
      </w:r>
      <w:r w:rsidRPr="004C13DF">
        <w:rPr>
          <w:rFonts w:cstheme="minorHAnsi"/>
          <w:b/>
          <w:bCs/>
          <w:color w:val="231F20"/>
          <w:spacing w:val="33"/>
          <w:w w:val="105"/>
        </w:rPr>
        <w:t xml:space="preserve"> </w:t>
      </w:r>
      <w:r w:rsidRPr="004C13DF">
        <w:rPr>
          <w:rFonts w:cstheme="minorHAnsi"/>
          <w:b/>
          <w:bCs/>
          <w:color w:val="231F20"/>
          <w:w w:val="105"/>
        </w:rPr>
        <w:t>Reemployment</w:t>
      </w:r>
      <w:r w:rsidRPr="004C13DF">
        <w:rPr>
          <w:rFonts w:cstheme="minorHAnsi"/>
          <w:b/>
          <w:bCs/>
          <w:color w:val="231F20"/>
          <w:spacing w:val="33"/>
          <w:w w:val="105"/>
        </w:rPr>
        <w:t xml:space="preserve"> </w:t>
      </w:r>
      <w:r w:rsidRPr="004C13DF">
        <w:rPr>
          <w:rFonts w:cstheme="minorHAnsi"/>
          <w:b/>
          <w:bCs/>
          <w:color w:val="231F20"/>
          <w:w w:val="105"/>
        </w:rPr>
        <w:t>Services</w:t>
      </w:r>
      <w:r w:rsidRPr="004C13DF">
        <w:rPr>
          <w:rFonts w:cstheme="minorHAnsi"/>
          <w:b/>
          <w:bCs/>
          <w:color w:val="231F20"/>
          <w:spacing w:val="33"/>
          <w:w w:val="105"/>
        </w:rPr>
        <w:t xml:space="preserve"> </w:t>
      </w:r>
      <w:r w:rsidRPr="004C13DF">
        <w:rPr>
          <w:rFonts w:cstheme="minorHAnsi"/>
          <w:b/>
          <w:bCs/>
          <w:color w:val="231F20"/>
          <w:w w:val="105"/>
        </w:rPr>
        <w:t>(WPRS)/Priority</w:t>
      </w:r>
      <w:r w:rsidRPr="004C13DF">
        <w:rPr>
          <w:rFonts w:cstheme="minorHAnsi"/>
          <w:b/>
          <w:bCs/>
          <w:color w:val="231F20"/>
          <w:spacing w:val="33"/>
          <w:w w:val="105"/>
        </w:rPr>
        <w:t xml:space="preserve"> </w:t>
      </w:r>
      <w:r w:rsidRPr="004C13DF">
        <w:rPr>
          <w:rFonts w:cstheme="minorHAnsi"/>
          <w:b/>
          <w:bCs/>
          <w:color w:val="231F20"/>
          <w:w w:val="105"/>
        </w:rPr>
        <w:t>Reemployment</w:t>
      </w:r>
      <w:r w:rsidRPr="004C13DF">
        <w:rPr>
          <w:rFonts w:cstheme="minorHAnsi"/>
          <w:b/>
          <w:bCs/>
          <w:color w:val="231F20"/>
          <w:spacing w:val="33"/>
          <w:w w:val="105"/>
        </w:rPr>
        <w:t xml:space="preserve"> </w:t>
      </w:r>
      <w:r w:rsidRPr="004C13DF">
        <w:rPr>
          <w:rFonts w:cstheme="minorHAnsi"/>
          <w:b/>
          <w:bCs/>
          <w:color w:val="231F20"/>
          <w:w w:val="105"/>
        </w:rPr>
        <w:t>Planning</w:t>
      </w:r>
      <w:r w:rsidRPr="004C13DF">
        <w:rPr>
          <w:rFonts w:cstheme="minorHAnsi"/>
          <w:b/>
          <w:bCs/>
          <w:color w:val="231F20"/>
          <w:spacing w:val="33"/>
          <w:w w:val="105"/>
        </w:rPr>
        <w:t xml:space="preserve"> </w:t>
      </w:r>
      <w:r w:rsidRPr="004C13DF">
        <w:rPr>
          <w:rFonts w:cstheme="minorHAnsi"/>
          <w:b/>
          <w:bCs/>
          <w:color w:val="231F20"/>
          <w:w w:val="105"/>
        </w:rPr>
        <w:t>Program</w:t>
      </w:r>
      <w:r w:rsidRPr="004C13DF">
        <w:rPr>
          <w:rFonts w:cstheme="minorHAnsi"/>
          <w:b/>
          <w:bCs/>
          <w:color w:val="231F20"/>
          <w:spacing w:val="33"/>
          <w:w w:val="105"/>
        </w:rPr>
        <w:t xml:space="preserve"> </w:t>
      </w:r>
      <w:r w:rsidRPr="004C13DF">
        <w:rPr>
          <w:rFonts w:cstheme="minorHAnsi"/>
          <w:b/>
          <w:bCs/>
          <w:color w:val="231F20"/>
          <w:w w:val="105"/>
        </w:rPr>
        <w:t>(PREP)</w:t>
      </w:r>
      <w:r w:rsidRPr="004C13DF">
        <w:rPr>
          <w:rFonts w:cstheme="minorHAnsi"/>
          <w:b/>
          <w:bCs/>
          <w:color w:val="231F20"/>
          <w:spacing w:val="-47"/>
          <w:w w:val="105"/>
        </w:rPr>
        <w:t xml:space="preserve"> </w:t>
      </w:r>
      <w:r w:rsidRPr="004C13DF">
        <w:rPr>
          <w:rFonts w:cstheme="minorHAnsi"/>
          <w:w w:val="105"/>
        </w:rPr>
        <w:t>Florida’s</w:t>
      </w:r>
      <w:r w:rsidRPr="004C13DF">
        <w:rPr>
          <w:rFonts w:cstheme="minorHAnsi"/>
          <w:spacing w:val="19"/>
          <w:w w:val="105"/>
        </w:rPr>
        <w:t xml:space="preserve"> </w:t>
      </w:r>
      <w:r w:rsidRPr="004C13DF">
        <w:rPr>
          <w:rFonts w:cstheme="minorHAnsi"/>
          <w:w w:val="105"/>
        </w:rPr>
        <w:t>reemployment</w:t>
      </w:r>
      <w:r w:rsidRPr="004C13DF">
        <w:rPr>
          <w:rFonts w:cstheme="minorHAnsi"/>
          <w:spacing w:val="19"/>
          <w:w w:val="105"/>
        </w:rPr>
        <w:t xml:space="preserve"> </w:t>
      </w:r>
      <w:r w:rsidRPr="004C13DF">
        <w:rPr>
          <w:rFonts w:cstheme="minorHAnsi"/>
          <w:w w:val="105"/>
        </w:rPr>
        <w:t>services</w:t>
      </w:r>
      <w:r w:rsidRPr="004C13DF">
        <w:rPr>
          <w:rFonts w:cstheme="minorHAnsi"/>
          <w:spacing w:val="19"/>
          <w:w w:val="105"/>
        </w:rPr>
        <w:t xml:space="preserve"> </w:t>
      </w:r>
      <w:r w:rsidRPr="004C13DF">
        <w:rPr>
          <w:rFonts w:cstheme="minorHAnsi"/>
          <w:w w:val="105"/>
        </w:rPr>
        <w:t>are</w:t>
      </w:r>
      <w:r w:rsidRPr="004C13DF">
        <w:rPr>
          <w:rFonts w:cstheme="minorHAnsi"/>
          <w:spacing w:val="19"/>
          <w:w w:val="105"/>
        </w:rPr>
        <w:t xml:space="preserve"> </w:t>
      </w:r>
      <w:r w:rsidRPr="004C13DF">
        <w:rPr>
          <w:rFonts w:cstheme="minorHAnsi"/>
          <w:w w:val="105"/>
        </w:rPr>
        <w:t>centered</w:t>
      </w:r>
      <w:r w:rsidRPr="004C13DF">
        <w:rPr>
          <w:rFonts w:cstheme="minorHAnsi"/>
          <w:spacing w:val="19"/>
          <w:w w:val="105"/>
        </w:rPr>
        <w:t xml:space="preserve"> </w:t>
      </w:r>
      <w:r w:rsidRPr="004C13DF">
        <w:rPr>
          <w:rFonts w:cstheme="minorHAnsi"/>
          <w:w w:val="105"/>
        </w:rPr>
        <w:t>on</w:t>
      </w:r>
      <w:r w:rsidRPr="004C13DF">
        <w:rPr>
          <w:rFonts w:cstheme="minorHAnsi"/>
          <w:spacing w:val="19"/>
          <w:w w:val="105"/>
        </w:rPr>
        <w:t xml:space="preserve"> </w:t>
      </w:r>
      <w:r w:rsidRPr="004C13DF">
        <w:rPr>
          <w:rFonts w:cstheme="minorHAnsi"/>
          <w:w w:val="105"/>
        </w:rPr>
        <w:t>the</w:t>
      </w:r>
      <w:r w:rsidRPr="004C13DF">
        <w:rPr>
          <w:rFonts w:cstheme="minorHAnsi"/>
          <w:spacing w:val="19"/>
          <w:w w:val="105"/>
        </w:rPr>
        <w:t xml:space="preserve"> </w:t>
      </w:r>
      <w:r w:rsidRPr="004C13DF">
        <w:rPr>
          <w:rFonts w:cstheme="minorHAnsi"/>
          <w:w w:val="105"/>
        </w:rPr>
        <w:t>Priority</w:t>
      </w:r>
      <w:r w:rsidRPr="004C13DF">
        <w:rPr>
          <w:rFonts w:cstheme="minorHAnsi"/>
          <w:spacing w:val="19"/>
          <w:w w:val="105"/>
        </w:rPr>
        <w:t xml:space="preserve"> </w:t>
      </w:r>
      <w:r w:rsidRPr="004C13DF">
        <w:rPr>
          <w:rFonts w:cstheme="minorHAnsi"/>
          <w:w w:val="105"/>
        </w:rPr>
        <w:t>Re-Employment</w:t>
      </w:r>
      <w:r w:rsidRPr="004C13DF">
        <w:rPr>
          <w:rFonts w:cstheme="minorHAnsi"/>
          <w:spacing w:val="19"/>
          <w:w w:val="105"/>
        </w:rPr>
        <w:t xml:space="preserve"> </w:t>
      </w:r>
      <w:r w:rsidRPr="004C13DF">
        <w:rPr>
          <w:rFonts w:cstheme="minorHAnsi"/>
          <w:w w:val="105"/>
        </w:rPr>
        <w:t>Planning</w:t>
      </w:r>
      <w:r w:rsidRPr="004C13DF">
        <w:rPr>
          <w:rFonts w:cstheme="minorHAnsi"/>
          <w:spacing w:val="19"/>
          <w:w w:val="105"/>
        </w:rPr>
        <w:t xml:space="preserve"> </w:t>
      </w:r>
      <w:r w:rsidRPr="004C13DF">
        <w:rPr>
          <w:rFonts w:cstheme="minorHAnsi"/>
          <w:w w:val="105"/>
        </w:rPr>
        <w:t>Program</w:t>
      </w:r>
      <w:r w:rsidRPr="004C13DF">
        <w:rPr>
          <w:rFonts w:cstheme="minorHAnsi"/>
          <w:spacing w:val="19"/>
          <w:w w:val="105"/>
        </w:rPr>
        <w:t xml:space="preserve"> </w:t>
      </w:r>
      <w:r w:rsidRPr="004C13DF">
        <w:rPr>
          <w:rFonts w:cstheme="minorHAnsi"/>
          <w:w w:val="105"/>
        </w:rPr>
        <w:t>(PREP), the state’s Worker Profiling and Reemployment Services effort which is operational statewide. A PREP pool</w:t>
      </w:r>
      <w:r w:rsidRPr="004C13DF">
        <w:rPr>
          <w:rFonts w:cstheme="minorHAnsi"/>
          <w:spacing w:val="16"/>
          <w:w w:val="105"/>
        </w:rPr>
        <w:t xml:space="preserve"> </w:t>
      </w:r>
      <w:r w:rsidRPr="004C13DF">
        <w:rPr>
          <w:rFonts w:cstheme="minorHAnsi"/>
          <w:w w:val="105"/>
        </w:rPr>
        <w:t>consisting</w:t>
      </w:r>
      <w:r w:rsidRPr="004C13DF">
        <w:rPr>
          <w:rFonts w:cstheme="minorHAnsi"/>
          <w:spacing w:val="16"/>
          <w:w w:val="105"/>
        </w:rPr>
        <w:t xml:space="preserve"> </w:t>
      </w:r>
      <w:r w:rsidRPr="004C13DF">
        <w:rPr>
          <w:rFonts w:cstheme="minorHAnsi"/>
          <w:w w:val="105"/>
        </w:rPr>
        <w:t>of</w:t>
      </w:r>
      <w:r w:rsidRPr="004C13DF">
        <w:rPr>
          <w:rFonts w:cstheme="minorHAnsi"/>
          <w:spacing w:val="16"/>
          <w:w w:val="105"/>
        </w:rPr>
        <w:t xml:space="preserve"> </w:t>
      </w:r>
      <w:r w:rsidR="00A8474D">
        <w:rPr>
          <w:rFonts w:cstheme="minorHAnsi"/>
          <w:w w:val="105"/>
        </w:rPr>
        <w:t>r</w:t>
      </w:r>
      <w:r w:rsidRPr="004C13DF">
        <w:rPr>
          <w:rFonts w:cstheme="minorHAnsi"/>
          <w:w w:val="105"/>
        </w:rPr>
        <w:t>eemployment</w:t>
      </w:r>
      <w:r w:rsidRPr="004C13DF">
        <w:rPr>
          <w:rFonts w:cstheme="minorHAnsi"/>
          <w:spacing w:val="16"/>
          <w:w w:val="105"/>
        </w:rPr>
        <w:t xml:space="preserve"> </w:t>
      </w:r>
      <w:r w:rsidR="00A8474D">
        <w:rPr>
          <w:rFonts w:cstheme="minorHAnsi"/>
          <w:w w:val="105"/>
        </w:rPr>
        <w:t>a</w:t>
      </w:r>
      <w:r w:rsidRPr="004C13DF">
        <w:rPr>
          <w:rFonts w:cstheme="minorHAnsi"/>
          <w:w w:val="105"/>
        </w:rPr>
        <w:t>ssistance</w:t>
      </w:r>
      <w:r w:rsidRPr="004C13DF">
        <w:rPr>
          <w:rFonts w:cstheme="minorHAnsi"/>
          <w:spacing w:val="16"/>
          <w:w w:val="105"/>
        </w:rPr>
        <w:t xml:space="preserve"> </w:t>
      </w:r>
      <w:r w:rsidRPr="004C13DF">
        <w:rPr>
          <w:rFonts w:cstheme="minorHAnsi"/>
          <w:w w:val="105"/>
        </w:rPr>
        <w:t>claimants</w:t>
      </w:r>
      <w:r w:rsidRPr="004C13DF">
        <w:rPr>
          <w:rFonts w:cstheme="minorHAnsi"/>
          <w:spacing w:val="16"/>
          <w:w w:val="105"/>
        </w:rPr>
        <w:t xml:space="preserve"> </w:t>
      </w:r>
      <w:r w:rsidRPr="004C13DF">
        <w:rPr>
          <w:rFonts w:cstheme="minorHAnsi"/>
          <w:w w:val="105"/>
        </w:rPr>
        <w:t>is</w:t>
      </w:r>
      <w:r w:rsidRPr="004C13DF">
        <w:rPr>
          <w:rFonts w:cstheme="minorHAnsi"/>
          <w:spacing w:val="16"/>
          <w:w w:val="105"/>
        </w:rPr>
        <w:t xml:space="preserve"> </w:t>
      </w:r>
      <w:r w:rsidRPr="004C13DF">
        <w:rPr>
          <w:rFonts w:cstheme="minorHAnsi"/>
          <w:w w:val="105"/>
        </w:rPr>
        <w:t>created</w:t>
      </w:r>
      <w:r w:rsidRPr="004C13DF">
        <w:rPr>
          <w:rFonts w:cstheme="minorHAnsi"/>
          <w:spacing w:val="16"/>
          <w:w w:val="105"/>
        </w:rPr>
        <w:t xml:space="preserve"> </w:t>
      </w:r>
      <w:r w:rsidRPr="004C13DF">
        <w:rPr>
          <w:rFonts w:cstheme="minorHAnsi"/>
          <w:w w:val="105"/>
        </w:rPr>
        <w:t>on</w:t>
      </w:r>
      <w:r w:rsidRPr="004C13DF">
        <w:rPr>
          <w:rFonts w:cstheme="minorHAnsi"/>
          <w:spacing w:val="16"/>
          <w:w w:val="105"/>
        </w:rPr>
        <w:t xml:space="preserve"> </w:t>
      </w:r>
      <w:r w:rsidRPr="004C13DF">
        <w:rPr>
          <w:rFonts w:cstheme="minorHAnsi"/>
          <w:w w:val="105"/>
        </w:rPr>
        <w:t>a</w:t>
      </w:r>
      <w:r w:rsidRPr="004C13DF">
        <w:rPr>
          <w:rFonts w:cstheme="minorHAnsi"/>
          <w:spacing w:val="16"/>
          <w:w w:val="105"/>
        </w:rPr>
        <w:t xml:space="preserve"> </w:t>
      </w:r>
      <w:r w:rsidRPr="004C13DF">
        <w:rPr>
          <w:rFonts w:cstheme="minorHAnsi"/>
          <w:w w:val="105"/>
        </w:rPr>
        <w:t>weekly</w:t>
      </w:r>
      <w:r w:rsidRPr="004C13DF">
        <w:rPr>
          <w:rFonts w:cstheme="minorHAnsi"/>
          <w:spacing w:val="16"/>
          <w:w w:val="105"/>
        </w:rPr>
        <w:t xml:space="preserve"> </w:t>
      </w:r>
      <w:r w:rsidRPr="004C13DF">
        <w:rPr>
          <w:rFonts w:cstheme="minorHAnsi"/>
          <w:w w:val="105"/>
        </w:rPr>
        <w:t>basis</w:t>
      </w:r>
      <w:r w:rsidRPr="004C13DF">
        <w:rPr>
          <w:rFonts w:cstheme="minorHAnsi"/>
          <w:spacing w:val="16"/>
          <w:w w:val="105"/>
        </w:rPr>
        <w:t xml:space="preserve"> </w:t>
      </w:r>
      <w:r w:rsidRPr="004C13DF">
        <w:rPr>
          <w:rFonts w:cstheme="minorHAnsi"/>
          <w:w w:val="105"/>
        </w:rPr>
        <w:t>from</w:t>
      </w:r>
      <w:r w:rsidRPr="004C13DF">
        <w:rPr>
          <w:rFonts w:cstheme="minorHAnsi"/>
          <w:spacing w:val="16"/>
          <w:w w:val="105"/>
        </w:rPr>
        <w:t xml:space="preserve"> </w:t>
      </w:r>
      <w:r w:rsidRPr="004C13DF">
        <w:rPr>
          <w:rFonts w:cstheme="minorHAnsi"/>
          <w:w w:val="105"/>
        </w:rPr>
        <w:t>initial</w:t>
      </w:r>
      <w:r w:rsidRPr="004C13DF">
        <w:rPr>
          <w:rFonts w:cstheme="minorHAnsi"/>
          <w:spacing w:val="16"/>
          <w:w w:val="105"/>
        </w:rPr>
        <w:t xml:space="preserve"> reemployment </w:t>
      </w:r>
      <w:r w:rsidRPr="004C13DF">
        <w:rPr>
          <w:rFonts w:cstheme="minorHAnsi"/>
          <w:w w:val="105"/>
        </w:rPr>
        <w:t>claims</w:t>
      </w:r>
      <w:r w:rsidRPr="004C13DF">
        <w:rPr>
          <w:rFonts w:cstheme="minorHAnsi"/>
          <w:w w:val="107"/>
        </w:rPr>
        <w:t xml:space="preserve"> </w:t>
      </w:r>
      <w:r w:rsidRPr="004C13DF">
        <w:rPr>
          <w:rFonts w:cstheme="minorHAnsi"/>
          <w:w w:val="105"/>
        </w:rPr>
        <w:t>filed during that week. Prior to the transfer into Employ Florida, the following factors are used in the</w:t>
      </w:r>
      <w:r w:rsidRPr="004C13DF">
        <w:rPr>
          <w:rFonts w:cstheme="minorHAnsi"/>
          <w:spacing w:val="9"/>
          <w:w w:val="105"/>
        </w:rPr>
        <w:t xml:space="preserve"> </w:t>
      </w:r>
      <w:r w:rsidRPr="004C13DF">
        <w:rPr>
          <w:rFonts w:cstheme="minorHAnsi"/>
          <w:w w:val="105"/>
        </w:rPr>
        <w:t>profiling</w:t>
      </w:r>
      <w:r w:rsidRPr="004C13DF">
        <w:rPr>
          <w:rFonts w:cstheme="minorHAnsi"/>
          <w:spacing w:val="9"/>
          <w:w w:val="105"/>
        </w:rPr>
        <w:t xml:space="preserve"> </w:t>
      </w:r>
      <w:r w:rsidRPr="004C13DF">
        <w:rPr>
          <w:rFonts w:cstheme="minorHAnsi"/>
          <w:w w:val="105"/>
        </w:rPr>
        <w:t>methodology</w:t>
      </w:r>
      <w:r w:rsidRPr="004C13DF">
        <w:rPr>
          <w:rFonts w:cstheme="minorHAnsi"/>
          <w:spacing w:val="9"/>
          <w:w w:val="105"/>
        </w:rPr>
        <w:t xml:space="preserve"> </w:t>
      </w:r>
      <w:r w:rsidRPr="004C13DF">
        <w:rPr>
          <w:rFonts w:cstheme="minorHAnsi"/>
          <w:w w:val="105"/>
        </w:rPr>
        <w:t>to</w:t>
      </w:r>
      <w:r w:rsidRPr="004C13DF">
        <w:rPr>
          <w:rFonts w:cstheme="minorHAnsi"/>
          <w:spacing w:val="9"/>
          <w:w w:val="105"/>
        </w:rPr>
        <w:t xml:space="preserve"> </w:t>
      </w:r>
      <w:r w:rsidRPr="004C13DF">
        <w:rPr>
          <w:rFonts w:cstheme="minorHAnsi"/>
          <w:w w:val="105"/>
        </w:rPr>
        <w:t>determine</w:t>
      </w:r>
      <w:r w:rsidRPr="004C13DF">
        <w:rPr>
          <w:rFonts w:cstheme="minorHAnsi"/>
          <w:spacing w:val="9"/>
          <w:w w:val="105"/>
        </w:rPr>
        <w:t xml:space="preserve"> </w:t>
      </w:r>
      <w:r w:rsidRPr="004C13DF">
        <w:rPr>
          <w:rFonts w:cstheme="minorHAnsi"/>
          <w:w w:val="105"/>
        </w:rPr>
        <w:t>those</w:t>
      </w:r>
      <w:r w:rsidRPr="004C13DF">
        <w:rPr>
          <w:rFonts w:cstheme="minorHAnsi"/>
          <w:spacing w:val="9"/>
          <w:w w:val="105"/>
        </w:rPr>
        <w:t xml:space="preserve"> </w:t>
      </w:r>
      <w:r w:rsidRPr="004C13DF">
        <w:rPr>
          <w:rFonts w:cstheme="minorHAnsi"/>
          <w:w w:val="105"/>
        </w:rPr>
        <w:t>individuals</w:t>
      </w:r>
      <w:r w:rsidRPr="004C13DF">
        <w:rPr>
          <w:rFonts w:cstheme="minorHAnsi"/>
          <w:spacing w:val="9"/>
          <w:w w:val="105"/>
        </w:rPr>
        <w:t xml:space="preserve"> </w:t>
      </w:r>
      <w:r w:rsidRPr="004C13DF">
        <w:rPr>
          <w:rFonts w:cstheme="minorHAnsi"/>
          <w:w w:val="105"/>
        </w:rPr>
        <w:t>most</w:t>
      </w:r>
      <w:r w:rsidRPr="004C13DF">
        <w:rPr>
          <w:rFonts w:cstheme="minorHAnsi"/>
          <w:spacing w:val="9"/>
          <w:w w:val="105"/>
        </w:rPr>
        <w:t xml:space="preserve"> </w:t>
      </w:r>
      <w:r w:rsidRPr="004C13DF">
        <w:rPr>
          <w:rFonts w:cstheme="minorHAnsi"/>
          <w:w w:val="105"/>
        </w:rPr>
        <w:t>likely</w:t>
      </w:r>
      <w:r w:rsidRPr="004C13DF">
        <w:rPr>
          <w:rFonts w:cstheme="minorHAnsi"/>
          <w:spacing w:val="9"/>
          <w:w w:val="105"/>
        </w:rPr>
        <w:t xml:space="preserve"> </w:t>
      </w:r>
      <w:r w:rsidRPr="004C13DF">
        <w:rPr>
          <w:rFonts w:cstheme="minorHAnsi"/>
          <w:w w:val="105"/>
        </w:rPr>
        <w:t>to</w:t>
      </w:r>
      <w:r w:rsidRPr="004C13DF">
        <w:rPr>
          <w:rFonts w:cstheme="minorHAnsi"/>
          <w:spacing w:val="9"/>
          <w:w w:val="105"/>
        </w:rPr>
        <w:t xml:space="preserve"> </w:t>
      </w:r>
      <w:r w:rsidRPr="004C13DF">
        <w:rPr>
          <w:rFonts w:cstheme="minorHAnsi"/>
          <w:w w:val="105"/>
        </w:rPr>
        <w:t>exhaust</w:t>
      </w:r>
      <w:r w:rsidRPr="004C13DF">
        <w:rPr>
          <w:rFonts w:cstheme="minorHAnsi"/>
          <w:spacing w:val="9"/>
          <w:w w:val="105"/>
        </w:rPr>
        <w:t xml:space="preserve"> </w:t>
      </w:r>
      <w:r w:rsidRPr="004C13DF">
        <w:rPr>
          <w:rFonts w:cstheme="minorHAnsi"/>
          <w:w w:val="105"/>
        </w:rPr>
        <w:t>their</w:t>
      </w:r>
      <w:r w:rsidRPr="004C13DF">
        <w:rPr>
          <w:rFonts w:cstheme="minorHAnsi"/>
          <w:spacing w:val="9"/>
          <w:w w:val="105"/>
        </w:rPr>
        <w:t xml:space="preserve"> </w:t>
      </w:r>
      <w:r w:rsidRPr="004C13DF">
        <w:rPr>
          <w:rFonts w:cstheme="minorHAnsi"/>
          <w:w w:val="105"/>
        </w:rPr>
        <w:t>benefits</w:t>
      </w:r>
      <w:r w:rsidRPr="004C13DF">
        <w:rPr>
          <w:rFonts w:cstheme="minorHAnsi"/>
          <w:spacing w:val="9"/>
          <w:w w:val="105"/>
        </w:rPr>
        <w:t xml:space="preserve"> </w:t>
      </w:r>
      <w:r w:rsidRPr="004C13DF">
        <w:rPr>
          <w:rFonts w:cstheme="minorHAnsi"/>
          <w:w w:val="105"/>
        </w:rPr>
        <w:t>based</w:t>
      </w:r>
      <w:r w:rsidRPr="004C13DF">
        <w:rPr>
          <w:rFonts w:cstheme="minorHAnsi"/>
          <w:spacing w:val="9"/>
          <w:w w:val="105"/>
        </w:rPr>
        <w:t xml:space="preserve"> </w:t>
      </w:r>
      <w:r w:rsidRPr="004C13DF">
        <w:rPr>
          <w:rFonts w:cstheme="minorHAnsi"/>
          <w:w w:val="105"/>
        </w:rPr>
        <w:t>on:</w:t>
      </w:r>
      <w:r w:rsidRPr="004C13DF">
        <w:rPr>
          <w:rFonts w:cstheme="minorHAnsi"/>
          <w:spacing w:val="-32"/>
          <w:w w:val="105"/>
        </w:rPr>
        <w:t xml:space="preserve"> </w:t>
      </w:r>
      <w:r w:rsidRPr="004C13DF">
        <w:rPr>
          <w:rFonts w:cstheme="minorHAnsi"/>
          <w:w w:val="105"/>
        </w:rPr>
        <w:t>tenure on their most recent employment, education level, total unemployment rate in the local</w:t>
      </w:r>
      <w:r w:rsidRPr="004C13DF">
        <w:rPr>
          <w:rFonts w:cstheme="minorHAnsi"/>
          <w:spacing w:val="6"/>
          <w:w w:val="105"/>
        </w:rPr>
        <w:t xml:space="preserve"> </w:t>
      </w:r>
      <w:r w:rsidRPr="004C13DF">
        <w:rPr>
          <w:rFonts w:cstheme="minorHAnsi"/>
          <w:w w:val="105"/>
        </w:rPr>
        <w:t>labor market,</w:t>
      </w:r>
      <w:r w:rsidRPr="004C13DF">
        <w:rPr>
          <w:rFonts w:cstheme="minorHAnsi"/>
          <w:spacing w:val="14"/>
          <w:w w:val="105"/>
        </w:rPr>
        <w:t xml:space="preserve"> </w:t>
      </w:r>
      <w:r w:rsidRPr="004C13DF">
        <w:rPr>
          <w:rFonts w:cstheme="minorHAnsi"/>
          <w:w w:val="105"/>
        </w:rPr>
        <w:t>last</w:t>
      </w:r>
      <w:r w:rsidRPr="004C13DF">
        <w:rPr>
          <w:rFonts w:cstheme="minorHAnsi"/>
          <w:spacing w:val="14"/>
          <w:w w:val="105"/>
        </w:rPr>
        <w:t xml:space="preserve"> </w:t>
      </w:r>
      <w:r w:rsidRPr="004C13DF">
        <w:rPr>
          <w:rFonts w:cstheme="minorHAnsi"/>
          <w:w w:val="105"/>
        </w:rPr>
        <w:t>occupation</w:t>
      </w:r>
      <w:r w:rsidRPr="004C13DF">
        <w:rPr>
          <w:rFonts w:cstheme="minorHAnsi"/>
          <w:spacing w:val="14"/>
          <w:w w:val="105"/>
        </w:rPr>
        <w:t xml:space="preserve"> </w:t>
      </w:r>
      <w:r w:rsidRPr="004C13DF">
        <w:rPr>
          <w:rFonts w:cstheme="minorHAnsi"/>
          <w:w w:val="105"/>
        </w:rPr>
        <w:t>being</w:t>
      </w:r>
      <w:r w:rsidRPr="004C13DF">
        <w:rPr>
          <w:rFonts w:cstheme="minorHAnsi"/>
          <w:spacing w:val="14"/>
          <w:w w:val="105"/>
        </w:rPr>
        <w:t xml:space="preserve"> </w:t>
      </w:r>
      <w:r w:rsidRPr="004C13DF">
        <w:rPr>
          <w:rFonts w:cstheme="minorHAnsi"/>
          <w:w w:val="105"/>
        </w:rPr>
        <w:t>one</w:t>
      </w:r>
      <w:r w:rsidRPr="004C13DF">
        <w:rPr>
          <w:rFonts w:cstheme="minorHAnsi"/>
          <w:spacing w:val="14"/>
          <w:w w:val="105"/>
        </w:rPr>
        <w:t xml:space="preserve"> </w:t>
      </w:r>
      <w:r w:rsidRPr="004C13DF">
        <w:rPr>
          <w:rFonts w:cstheme="minorHAnsi"/>
          <w:w w:val="105"/>
        </w:rPr>
        <w:t>of</w:t>
      </w:r>
      <w:r w:rsidRPr="004C13DF">
        <w:rPr>
          <w:rFonts w:cstheme="minorHAnsi"/>
          <w:spacing w:val="14"/>
          <w:w w:val="105"/>
        </w:rPr>
        <w:t xml:space="preserve"> </w:t>
      </w:r>
      <w:r w:rsidRPr="004C13DF">
        <w:rPr>
          <w:rFonts w:cstheme="minorHAnsi"/>
          <w:w w:val="105"/>
        </w:rPr>
        <w:t>the</w:t>
      </w:r>
      <w:r w:rsidRPr="004C13DF">
        <w:rPr>
          <w:rFonts w:cstheme="minorHAnsi"/>
          <w:spacing w:val="14"/>
          <w:w w:val="105"/>
        </w:rPr>
        <w:t xml:space="preserve"> </w:t>
      </w:r>
      <w:r w:rsidRPr="004C13DF">
        <w:rPr>
          <w:rFonts w:cstheme="minorHAnsi"/>
          <w:w w:val="105"/>
        </w:rPr>
        <w:t>occupations</w:t>
      </w:r>
      <w:r w:rsidRPr="004C13DF">
        <w:rPr>
          <w:rFonts w:cstheme="minorHAnsi"/>
          <w:spacing w:val="14"/>
          <w:w w:val="105"/>
        </w:rPr>
        <w:t xml:space="preserve"> </w:t>
      </w:r>
      <w:r w:rsidRPr="004C13DF">
        <w:rPr>
          <w:rFonts w:cstheme="minorHAnsi"/>
          <w:w w:val="105"/>
        </w:rPr>
        <w:t>most</w:t>
      </w:r>
      <w:r w:rsidRPr="004C13DF">
        <w:rPr>
          <w:rFonts w:cstheme="minorHAnsi"/>
          <w:spacing w:val="14"/>
          <w:w w:val="105"/>
        </w:rPr>
        <w:t xml:space="preserve"> </w:t>
      </w:r>
      <w:r w:rsidRPr="004C13DF">
        <w:rPr>
          <w:rFonts w:cstheme="minorHAnsi"/>
          <w:w w:val="105"/>
        </w:rPr>
        <w:t>in</w:t>
      </w:r>
      <w:r w:rsidRPr="004C13DF">
        <w:rPr>
          <w:rFonts w:cstheme="minorHAnsi"/>
          <w:spacing w:val="14"/>
          <w:w w:val="105"/>
        </w:rPr>
        <w:t xml:space="preserve"> </w:t>
      </w:r>
      <w:r w:rsidRPr="004C13DF">
        <w:rPr>
          <w:rFonts w:cstheme="minorHAnsi"/>
          <w:w w:val="105"/>
        </w:rPr>
        <w:t>decline</w:t>
      </w:r>
      <w:r w:rsidRPr="004C13DF">
        <w:rPr>
          <w:rFonts w:cstheme="minorHAnsi"/>
          <w:spacing w:val="14"/>
          <w:w w:val="105"/>
        </w:rPr>
        <w:t xml:space="preserve"> </w:t>
      </w:r>
      <w:r w:rsidRPr="004C13DF">
        <w:rPr>
          <w:rFonts w:cstheme="minorHAnsi"/>
          <w:w w:val="105"/>
        </w:rPr>
        <w:t>(O*NET)</w:t>
      </w:r>
      <w:r w:rsidR="00D5537E">
        <w:rPr>
          <w:rFonts w:cstheme="minorHAnsi"/>
          <w:w w:val="105"/>
        </w:rPr>
        <w:t xml:space="preserve"> and</w:t>
      </w:r>
      <w:r w:rsidRPr="004C13DF">
        <w:rPr>
          <w:rFonts w:cstheme="minorHAnsi"/>
          <w:spacing w:val="14"/>
          <w:w w:val="105"/>
        </w:rPr>
        <w:t xml:space="preserve"> </w:t>
      </w:r>
      <w:r w:rsidRPr="004C13DF">
        <w:rPr>
          <w:rFonts w:cstheme="minorHAnsi"/>
          <w:w w:val="105"/>
        </w:rPr>
        <w:t>Standard</w:t>
      </w:r>
      <w:r w:rsidRPr="004C13DF">
        <w:rPr>
          <w:rFonts w:cstheme="minorHAnsi"/>
          <w:spacing w:val="14"/>
          <w:w w:val="105"/>
        </w:rPr>
        <w:t xml:space="preserve"> </w:t>
      </w:r>
      <w:r w:rsidRPr="004C13DF">
        <w:rPr>
          <w:rFonts w:cstheme="minorHAnsi"/>
          <w:w w:val="105"/>
        </w:rPr>
        <w:t>Occupational</w:t>
      </w:r>
      <w:r w:rsidRPr="004C13DF">
        <w:rPr>
          <w:rFonts w:cstheme="minorHAnsi"/>
          <w:w w:val="108"/>
        </w:rPr>
        <w:t xml:space="preserve"> </w:t>
      </w:r>
      <w:r w:rsidRPr="004C13DF">
        <w:rPr>
          <w:rFonts w:cstheme="minorHAnsi"/>
          <w:w w:val="105"/>
        </w:rPr>
        <w:t>Classification (SOC). Excluded from the PREP pool are:</w:t>
      </w:r>
    </w:p>
    <w:p w14:paraId="2CD179A1" w14:textId="77777777" w:rsidR="004C13DF" w:rsidRPr="004C13DF" w:rsidRDefault="004C13DF" w:rsidP="00D63204">
      <w:pPr>
        <w:widowControl w:val="0"/>
        <w:spacing w:before="6" w:after="0" w:line="240" w:lineRule="auto"/>
        <w:ind w:left="107"/>
        <w:rPr>
          <w:rFonts w:cstheme="minorHAnsi"/>
          <w:sz w:val="16"/>
          <w:szCs w:val="16"/>
        </w:rPr>
      </w:pPr>
    </w:p>
    <w:p w14:paraId="7B33E210" w14:textId="77777777" w:rsidR="004C13DF" w:rsidRPr="004C13DF" w:rsidRDefault="004C13DF" w:rsidP="00D63204">
      <w:pPr>
        <w:pStyle w:val="ListParagraph"/>
        <w:widowControl w:val="0"/>
        <w:numPr>
          <w:ilvl w:val="0"/>
          <w:numId w:val="42"/>
        </w:numPr>
        <w:tabs>
          <w:tab w:val="left" w:pos="668"/>
        </w:tabs>
        <w:spacing w:after="0" w:line="240" w:lineRule="auto"/>
        <w:rPr>
          <w:rFonts w:cstheme="minorHAnsi"/>
        </w:rPr>
      </w:pPr>
      <w:r w:rsidRPr="004C13DF">
        <w:rPr>
          <w:rFonts w:cstheme="minorHAnsi"/>
          <w:color w:val="231F20"/>
          <w:w w:val="105"/>
        </w:rPr>
        <w:t>Claimants whose program identification is other than intrastate</w:t>
      </w:r>
      <w:r w:rsidRPr="004C13DF">
        <w:rPr>
          <w:rFonts w:cstheme="minorHAnsi"/>
          <w:color w:val="231F20"/>
          <w:spacing w:val="35"/>
          <w:w w:val="105"/>
        </w:rPr>
        <w:t xml:space="preserve"> </w:t>
      </w:r>
      <w:r w:rsidRPr="004C13DF">
        <w:rPr>
          <w:rFonts w:cstheme="minorHAnsi"/>
          <w:color w:val="231F20"/>
          <w:w w:val="105"/>
        </w:rPr>
        <w:t>claimant;</w:t>
      </w:r>
    </w:p>
    <w:p w14:paraId="10747215" w14:textId="77777777" w:rsidR="004C13DF" w:rsidRPr="004C13DF" w:rsidRDefault="004C13DF" w:rsidP="00D63204">
      <w:pPr>
        <w:pStyle w:val="ListParagraph"/>
        <w:widowControl w:val="0"/>
        <w:tabs>
          <w:tab w:val="left" w:pos="668"/>
        </w:tabs>
        <w:spacing w:after="0" w:line="240" w:lineRule="auto"/>
        <w:ind w:left="827"/>
        <w:rPr>
          <w:rFonts w:cstheme="minorHAnsi"/>
        </w:rPr>
      </w:pPr>
    </w:p>
    <w:p w14:paraId="5E494341" w14:textId="77777777" w:rsidR="004C13DF" w:rsidRPr="004C13DF" w:rsidRDefault="004C13DF" w:rsidP="00D63204">
      <w:pPr>
        <w:pStyle w:val="ListParagraph"/>
        <w:widowControl w:val="0"/>
        <w:numPr>
          <w:ilvl w:val="0"/>
          <w:numId w:val="42"/>
        </w:numPr>
        <w:tabs>
          <w:tab w:val="left" w:pos="668"/>
        </w:tabs>
        <w:spacing w:before="85" w:after="0" w:line="240" w:lineRule="auto"/>
        <w:rPr>
          <w:rFonts w:cstheme="minorHAnsi"/>
        </w:rPr>
      </w:pPr>
      <w:r w:rsidRPr="004C13DF">
        <w:rPr>
          <w:rFonts w:cstheme="minorHAnsi"/>
          <w:color w:val="231F20"/>
          <w:w w:val="105"/>
        </w:rPr>
        <w:t>Interstate</w:t>
      </w:r>
      <w:r w:rsidRPr="004C13DF">
        <w:rPr>
          <w:rFonts w:cstheme="minorHAnsi"/>
          <w:color w:val="231F20"/>
          <w:spacing w:val="4"/>
          <w:w w:val="105"/>
        </w:rPr>
        <w:t xml:space="preserve"> </w:t>
      </w:r>
      <w:r w:rsidRPr="004C13DF">
        <w:rPr>
          <w:rFonts w:cstheme="minorHAnsi"/>
          <w:color w:val="231F20"/>
          <w:w w:val="105"/>
        </w:rPr>
        <w:t>claimant;</w:t>
      </w:r>
    </w:p>
    <w:p w14:paraId="3BA5F439" w14:textId="77777777" w:rsidR="004C13DF" w:rsidRPr="004C13DF" w:rsidRDefault="004C13DF" w:rsidP="00D63204">
      <w:pPr>
        <w:pStyle w:val="ListParagraph"/>
        <w:widowControl w:val="0"/>
        <w:tabs>
          <w:tab w:val="left" w:pos="668"/>
        </w:tabs>
        <w:spacing w:before="85" w:after="0" w:line="240" w:lineRule="auto"/>
        <w:ind w:left="827"/>
        <w:rPr>
          <w:rFonts w:cstheme="minorHAnsi"/>
        </w:rPr>
      </w:pPr>
    </w:p>
    <w:p w14:paraId="6896FFDA" w14:textId="77777777" w:rsidR="004C13DF" w:rsidRPr="004C13DF" w:rsidRDefault="004C13DF" w:rsidP="00D63204">
      <w:pPr>
        <w:pStyle w:val="ListParagraph"/>
        <w:widowControl w:val="0"/>
        <w:numPr>
          <w:ilvl w:val="0"/>
          <w:numId w:val="42"/>
        </w:numPr>
        <w:tabs>
          <w:tab w:val="left" w:pos="668"/>
        </w:tabs>
        <w:spacing w:before="85" w:after="0" w:line="240" w:lineRule="auto"/>
        <w:rPr>
          <w:rFonts w:cstheme="minorHAnsi"/>
        </w:rPr>
      </w:pPr>
      <w:r w:rsidRPr="004C13DF">
        <w:rPr>
          <w:rFonts w:cstheme="minorHAnsi"/>
          <w:color w:val="231F20"/>
          <w:w w:val="105"/>
        </w:rPr>
        <w:t>Transitional</w:t>
      </w:r>
      <w:r w:rsidRPr="004C13DF">
        <w:rPr>
          <w:rFonts w:cstheme="minorHAnsi"/>
          <w:color w:val="231F20"/>
          <w:spacing w:val="4"/>
          <w:w w:val="105"/>
        </w:rPr>
        <w:t xml:space="preserve"> </w:t>
      </w:r>
      <w:r w:rsidRPr="004C13DF">
        <w:rPr>
          <w:rFonts w:cstheme="minorHAnsi"/>
          <w:color w:val="231F20"/>
          <w:w w:val="105"/>
        </w:rPr>
        <w:t>claimant;</w:t>
      </w:r>
    </w:p>
    <w:p w14:paraId="03E24389" w14:textId="77777777" w:rsidR="004C13DF" w:rsidRPr="004C13DF" w:rsidRDefault="004C13DF" w:rsidP="00D63204">
      <w:pPr>
        <w:pStyle w:val="ListParagraph"/>
        <w:widowControl w:val="0"/>
        <w:tabs>
          <w:tab w:val="left" w:pos="668"/>
        </w:tabs>
        <w:spacing w:before="85" w:after="0" w:line="240" w:lineRule="auto"/>
        <w:ind w:left="827"/>
        <w:rPr>
          <w:rFonts w:cstheme="minorHAnsi"/>
        </w:rPr>
      </w:pPr>
    </w:p>
    <w:p w14:paraId="1A45A37B" w14:textId="77777777" w:rsidR="004C13DF" w:rsidRPr="004C13DF" w:rsidRDefault="004C13DF" w:rsidP="00D63204">
      <w:pPr>
        <w:pStyle w:val="ListParagraph"/>
        <w:widowControl w:val="0"/>
        <w:numPr>
          <w:ilvl w:val="0"/>
          <w:numId w:val="42"/>
        </w:numPr>
        <w:tabs>
          <w:tab w:val="left" w:pos="668"/>
        </w:tabs>
        <w:spacing w:before="85" w:after="0" w:line="240" w:lineRule="auto"/>
        <w:rPr>
          <w:rFonts w:cstheme="minorHAnsi"/>
        </w:rPr>
      </w:pPr>
      <w:r w:rsidRPr="004C13DF">
        <w:rPr>
          <w:rFonts w:cstheme="minorHAnsi"/>
          <w:color w:val="231F20"/>
          <w:w w:val="105"/>
        </w:rPr>
        <w:t>Claimants on recall status within eight weeks of filing their claim;</w:t>
      </w:r>
      <w:r w:rsidRPr="004C13DF">
        <w:rPr>
          <w:rFonts w:cstheme="minorHAnsi"/>
          <w:color w:val="231F20"/>
          <w:spacing w:val="4"/>
          <w:w w:val="105"/>
        </w:rPr>
        <w:t xml:space="preserve"> </w:t>
      </w:r>
      <w:r w:rsidRPr="004C13DF">
        <w:rPr>
          <w:rFonts w:cstheme="minorHAnsi"/>
          <w:color w:val="231F20"/>
          <w:w w:val="105"/>
        </w:rPr>
        <w:t>and</w:t>
      </w:r>
    </w:p>
    <w:p w14:paraId="7C9D6ECF" w14:textId="77777777" w:rsidR="004C13DF" w:rsidRPr="004C13DF" w:rsidRDefault="004C13DF" w:rsidP="00D63204">
      <w:pPr>
        <w:pStyle w:val="ListParagraph"/>
        <w:widowControl w:val="0"/>
        <w:tabs>
          <w:tab w:val="left" w:pos="668"/>
        </w:tabs>
        <w:spacing w:before="85" w:after="0" w:line="240" w:lineRule="auto"/>
        <w:ind w:left="827"/>
        <w:rPr>
          <w:rFonts w:cstheme="minorHAnsi"/>
        </w:rPr>
      </w:pPr>
    </w:p>
    <w:p w14:paraId="3EB10631" w14:textId="77777777" w:rsidR="004C13DF" w:rsidRPr="004C13DF" w:rsidRDefault="004C13DF" w:rsidP="00D63204">
      <w:pPr>
        <w:pStyle w:val="ListParagraph"/>
        <w:widowControl w:val="0"/>
        <w:numPr>
          <w:ilvl w:val="0"/>
          <w:numId w:val="42"/>
        </w:numPr>
        <w:tabs>
          <w:tab w:val="left" w:pos="668"/>
        </w:tabs>
        <w:spacing w:before="85" w:after="0" w:line="240" w:lineRule="auto"/>
        <w:rPr>
          <w:rFonts w:cstheme="minorHAnsi"/>
        </w:rPr>
      </w:pPr>
      <w:r w:rsidRPr="004C13DF">
        <w:rPr>
          <w:rFonts w:cstheme="minorHAnsi"/>
          <w:color w:val="231F20"/>
          <w:w w:val="105"/>
        </w:rPr>
        <w:t>Claimants with a first payment issued more than 42 days after the benefit year beginning</w:t>
      </w:r>
      <w:r w:rsidRPr="004C13DF">
        <w:rPr>
          <w:rFonts w:cstheme="minorHAnsi"/>
          <w:color w:val="231F20"/>
          <w:spacing w:val="9"/>
          <w:w w:val="105"/>
        </w:rPr>
        <w:t xml:space="preserve"> </w:t>
      </w:r>
      <w:r w:rsidRPr="004C13DF">
        <w:rPr>
          <w:rFonts w:cstheme="minorHAnsi"/>
          <w:color w:val="231F20"/>
          <w:w w:val="105"/>
        </w:rPr>
        <w:t>date.</w:t>
      </w:r>
    </w:p>
    <w:p w14:paraId="46CB5F08" w14:textId="66F6D2A8" w:rsidR="00A0558C" w:rsidRPr="00AA5A73" w:rsidRDefault="0099170A" w:rsidP="00D63204">
      <w:pPr>
        <w:widowControl w:val="0"/>
        <w:spacing w:after="0" w:line="240" w:lineRule="auto"/>
        <w:ind w:left="107"/>
        <w:rPr>
          <w:rFonts w:cstheme="minorHAnsi"/>
          <w:w w:val="105"/>
        </w:rPr>
      </w:pPr>
      <w:r>
        <w:rPr>
          <w:rFonts w:cstheme="minorHAnsi"/>
          <w:w w:val="105"/>
        </w:rPr>
        <w:br/>
      </w:r>
      <w:r w:rsidR="00A0558C" w:rsidRPr="0099170A">
        <w:rPr>
          <w:rFonts w:cstheme="minorHAnsi"/>
          <w:w w:val="105"/>
        </w:rPr>
        <w:t>Claimants</w:t>
      </w:r>
      <w:r w:rsidR="00A0558C" w:rsidRPr="00AA5A73">
        <w:rPr>
          <w:rFonts w:cstheme="minorHAnsi"/>
          <w:w w:val="105"/>
        </w:rPr>
        <w:t xml:space="preserve"> </w:t>
      </w:r>
      <w:r w:rsidR="00A0558C" w:rsidRPr="0099170A">
        <w:rPr>
          <w:rFonts w:cstheme="minorHAnsi"/>
          <w:w w:val="105"/>
        </w:rPr>
        <w:t>are</w:t>
      </w:r>
      <w:r w:rsidR="00A0558C" w:rsidRPr="00AA5A73">
        <w:rPr>
          <w:rFonts w:cstheme="minorHAnsi"/>
          <w:w w:val="105"/>
        </w:rPr>
        <w:t xml:space="preserve"> </w:t>
      </w:r>
      <w:r w:rsidR="00A0558C" w:rsidRPr="0099170A">
        <w:rPr>
          <w:rFonts w:cstheme="minorHAnsi"/>
          <w:w w:val="105"/>
        </w:rPr>
        <w:t>placed</w:t>
      </w:r>
      <w:r w:rsidR="00A0558C" w:rsidRPr="00AA5A73">
        <w:rPr>
          <w:rFonts w:cstheme="minorHAnsi"/>
          <w:w w:val="105"/>
        </w:rPr>
        <w:t xml:space="preserve"> </w:t>
      </w:r>
      <w:r w:rsidR="00A0558C" w:rsidRPr="0099170A">
        <w:rPr>
          <w:rFonts w:cstheme="minorHAnsi"/>
          <w:w w:val="105"/>
        </w:rPr>
        <w:t>in</w:t>
      </w:r>
      <w:r w:rsidR="00A0558C" w:rsidRPr="00AA5A73">
        <w:rPr>
          <w:rFonts w:cstheme="minorHAnsi"/>
          <w:w w:val="105"/>
        </w:rPr>
        <w:t xml:space="preserve"> </w:t>
      </w:r>
      <w:r w:rsidR="00A0558C" w:rsidRPr="0099170A">
        <w:rPr>
          <w:rFonts w:cstheme="minorHAnsi"/>
          <w:w w:val="105"/>
        </w:rPr>
        <w:t>the</w:t>
      </w:r>
      <w:r w:rsidR="00A0558C" w:rsidRPr="00AA5A73">
        <w:rPr>
          <w:rFonts w:cstheme="minorHAnsi"/>
          <w:w w:val="105"/>
        </w:rPr>
        <w:t xml:space="preserve"> </w:t>
      </w:r>
      <w:r w:rsidR="00A0558C" w:rsidRPr="0099170A">
        <w:rPr>
          <w:rFonts w:cstheme="minorHAnsi"/>
          <w:w w:val="105"/>
        </w:rPr>
        <w:t>PREP</w:t>
      </w:r>
      <w:r w:rsidR="00A0558C" w:rsidRPr="00AA5A73">
        <w:rPr>
          <w:rFonts w:cstheme="minorHAnsi"/>
          <w:w w:val="105"/>
        </w:rPr>
        <w:t xml:space="preserve"> </w:t>
      </w:r>
      <w:r w:rsidR="00A0558C" w:rsidRPr="0099170A">
        <w:rPr>
          <w:rFonts w:cstheme="minorHAnsi"/>
          <w:w w:val="105"/>
        </w:rPr>
        <w:t>pool</w:t>
      </w:r>
      <w:r w:rsidR="00A0558C" w:rsidRPr="00AA5A73">
        <w:rPr>
          <w:rFonts w:cstheme="minorHAnsi"/>
          <w:w w:val="105"/>
        </w:rPr>
        <w:t xml:space="preserve"> </w:t>
      </w:r>
      <w:r w:rsidR="00A0558C" w:rsidRPr="0099170A">
        <w:rPr>
          <w:rFonts w:cstheme="minorHAnsi"/>
          <w:w w:val="105"/>
        </w:rPr>
        <w:t>on</w:t>
      </w:r>
      <w:r w:rsidR="00A0558C" w:rsidRPr="00AA5A73">
        <w:rPr>
          <w:rFonts w:cstheme="minorHAnsi"/>
          <w:w w:val="105"/>
        </w:rPr>
        <w:t xml:space="preserve"> </w:t>
      </w:r>
      <w:r w:rsidR="00A0558C" w:rsidRPr="0099170A">
        <w:rPr>
          <w:rFonts w:cstheme="minorHAnsi"/>
          <w:w w:val="105"/>
        </w:rPr>
        <w:t>the</w:t>
      </w:r>
      <w:r w:rsidR="00A0558C" w:rsidRPr="00AA5A73">
        <w:rPr>
          <w:rFonts w:cstheme="minorHAnsi"/>
          <w:w w:val="105"/>
        </w:rPr>
        <w:t xml:space="preserve"> </w:t>
      </w:r>
      <w:r w:rsidR="00A0558C" w:rsidRPr="0099170A">
        <w:rPr>
          <w:rFonts w:cstheme="minorHAnsi"/>
          <w:w w:val="105"/>
        </w:rPr>
        <w:t>fourth</w:t>
      </w:r>
      <w:r w:rsidR="00A0558C" w:rsidRPr="00AA5A73">
        <w:rPr>
          <w:rFonts w:cstheme="minorHAnsi"/>
          <w:w w:val="105"/>
        </w:rPr>
        <w:t xml:space="preserve"> </w:t>
      </w:r>
      <w:r w:rsidR="00A0558C" w:rsidRPr="0099170A">
        <w:rPr>
          <w:rFonts w:cstheme="minorHAnsi"/>
          <w:w w:val="105"/>
        </w:rPr>
        <w:t>week</w:t>
      </w:r>
      <w:r w:rsidR="00A0558C" w:rsidRPr="00AA5A73">
        <w:rPr>
          <w:rFonts w:cstheme="minorHAnsi"/>
          <w:w w:val="105"/>
        </w:rPr>
        <w:t xml:space="preserve"> </w:t>
      </w:r>
      <w:r w:rsidR="00A0558C" w:rsidRPr="0099170A">
        <w:rPr>
          <w:rFonts w:cstheme="minorHAnsi"/>
          <w:w w:val="105"/>
        </w:rPr>
        <w:t>of</w:t>
      </w:r>
      <w:r w:rsidR="00A0558C" w:rsidRPr="00AA5A73">
        <w:rPr>
          <w:rFonts w:cstheme="minorHAnsi"/>
          <w:w w:val="105"/>
        </w:rPr>
        <w:t xml:space="preserve"> </w:t>
      </w:r>
      <w:r w:rsidR="00A0558C" w:rsidRPr="0099170A">
        <w:rPr>
          <w:rFonts w:cstheme="minorHAnsi"/>
          <w:w w:val="105"/>
        </w:rPr>
        <w:t>their</w:t>
      </w:r>
      <w:r w:rsidR="00A0558C" w:rsidRPr="00AA5A73">
        <w:rPr>
          <w:rFonts w:cstheme="minorHAnsi"/>
          <w:w w:val="105"/>
        </w:rPr>
        <w:t xml:space="preserve"> </w:t>
      </w:r>
      <w:r w:rsidR="00A0558C" w:rsidRPr="0099170A">
        <w:rPr>
          <w:rFonts w:cstheme="minorHAnsi"/>
          <w:w w:val="105"/>
        </w:rPr>
        <w:t>claims</w:t>
      </w:r>
      <w:r w:rsidR="00A0558C" w:rsidRPr="00AA5A73">
        <w:rPr>
          <w:rFonts w:cstheme="minorHAnsi"/>
          <w:w w:val="105"/>
        </w:rPr>
        <w:t xml:space="preserve"> </w:t>
      </w:r>
      <w:r w:rsidR="00A0558C" w:rsidRPr="0099170A">
        <w:rPr>
          <w:rFonts w:cstheme="minorHAnsi"/>
          <w:w w:val="105"/>
        </w:rPr>
        <w:t>for</w:t>
      </w:r>
      <w:r w:rsidR="00A0558C" w:rsidRPr="00AA5A73">
        <w:rPr>
          <w:rFonts w:cstheme="minorHAnsi"/>
          <w:w w:val="105"/>
        </w:rPr>
        <w:t xml:space="preserve"> </w:t>
      </w:r>
      <w:r w:rsidR="00A0558C" w:rsidRPr="0099170A">
        <w:rPr>
          <w:rFonts w:cstheme="minorHAnsi"/>
          <w:w w:val="105"/>
        </w:rPr>
        <w:t>early</w:t>
      </w:r>
      <w:r w:rsidR="00A0558C" w:rsidRPr="00AA5A73">
        <w:rPr>
          <w:rFonts w:cstheme="minorHAnsi"/>
          <w:w w:val="105"/>
        </w:rPr>
        <w:t xml:space="preserve"> </w:t>
      </w:r>
      <w:r w:rsidR="00A0558C" w:rsidRPr="0099170A">
        <w:rPr>
          <w:rFonts w:cstheme="minorHAnsi"/>
          <w:w w:val="105"/>
        </w:rPr>
        <w:t>intervention</w:t>
      </w:r>
      <w:r w:rsidR="00A0558C" w:rsidRPr="00AA5A73">
        <w:rPr>
          <w:rFonts w:cstheme="minorHAnsi"/>
          <w:w w:val="105"/>
        </w:rPr>
        <w:t xml:space="preserve"> </w:t>
      </w:r>
      <w:r w:rsidR="00A0558C" w:rsidRPr="0099170A">
        <w:rPr>
          <w:rFonts w:cstheme="minorHAnsi"/>
          <w:w w:val="105"/>
        </w:rPr>
        <w:t>purposes.</w:t>
      </w:r>
      <w:r w:rsidR="00AA5A73">
        <w:rPr>
          <w:rFonts w:cstheme="minorHAnsi"/>
          <w:w w:val="105"/>
        </w:rPr>
        <w:t xml:space="preserve"> </w:t>
      </w:r>
    </w:p>
    <w:p w14:paraId="03098615" w14:textId="75A4D135" w:rsidR="00A0558C" w:rsidRPr="00AA5A73" w:rsidRDefault="00A0558C" w:rsidP="00D63204">
      <w:pPr>
        <w:widowControl w:val="0"/>
        <w:spacing w:after="0" w:line="240" w:lineRule="auto"/>
        <w:ind w:left="107"/>
        <w:rPr>
          <w:rFonts w:cstheme="minorHAnsi"/>
          <w:w w:val="105"/>
        </w:rPr>
      </w:pPr>
      <w:r w:rsidRPr="0099170A">
        <w:rPr>
          <w:rFonts w:cstheme="minorHAnsi"/>
          <w:w w:val="105"/>
        </w:rPr>
        <w:t>A</w:t>
      </w:r>
      <w:r w:rsidRPr="00AA5A73">
        <w:rPr>
          <w:rFonts w:cstheme="minorHAnsi"/>
          <w:w w:val="105"/>
        </w:rPr>
        <w:t xml:space="preserve"> </w:t>
      </w:r>
      <w:r w:rsidRPr="0099170A">
        <w:rPr>
          <w:rFonts w:cstheme="minorHAnsi"/>
          <w:w w:val="105"/>
        </w:rPr>
        <w:t>group</w:t>
      </w:r>
      <w:r w:rsidRPr="00AA5A73">
        <w:rPr>
          <w:rFonts w:cstheme="minorHAnsi"/>
          <w:w w:val="105"/>
        </w:rPr>
        <w:t xml:space="preserve"> </w:t>
      </w:r>
      <w:r w:rsidRPr="0099170A">
        <w:rPr>
          <w:rFonts w:cstheme="minorHAnsi"/>
          <w:w w:val="105"/>
        </w:rPr>
        <w:t>assessment</w:t>
      </w:r>
      <w:r w:rsidRPr="00AA5A73">
        <w:rPr>
          <w:rFonts w:cstheme="minorHAnsi"/>
          <w:w w:val="105"/>
        </w:rPr>
        <w:t xml:space="preserve"> </w:t>
      </w:r>
      <w:r w:rsidRPr="0099170A">
        <w:rPr>
          <w:rFonts w:cstheme="minorHAnsi"/>
          <w:w w:val="105"/>
        </w:rPr>
        <w:t>interview</w:t>
      </w:r>
      <w:r w:rsidRPr="00AA5A73">
        <w:rPr>
          <w:rFonts w:cstheme="minorHAnsi"/>
          <w:w w:val="105"/>
        </w:rPr>
        <w:t xml:space="preserve"> </w:t>
      </w:r>
      <w:r w:rsidRPr="0099170A">
        <w:rPr>
          <w:rFonts w:cstheme="minorHAnsi"/>
          <w:w w:val="105"/>
        </w:rPr>
        <w:t>and</w:t>
      </w:r>
      <w:r w:rsidRPr="00AA5A73">
        <w:rPr>
          <w:rFonts w:cstheme="minorHAnsi"/>
          <w:w w:val="105"/>
        </w:rPr>
        <w:t xml:space="preserve"> </w:t>
      </w:r>
      <w:r w:rsidRPr="0099170A">
        <w:rPr>
          <w:rFonts w:cstheme="minorHAnsi"/>
          <w:w w:val="105"/>
        </w:rPr>
        <w:t>the</w:t>
      </w:r>
      <w:r w:rsidRPr="00AA5A73">
        <w:rPr>
          <w:rFonts w:cstheme="minorHAnsi"/>
          <w:w w:val="105"/>
        </w:rPr>
        <w:t xml:space="preserve"> </w:t>
      </w:r>
      <w:r w:rsidRPr="0099170A">
        <w:rPr>
          <w:rFonts w:cstheme="minorHAnsi"/>
          <w:w w:val="105"/>
        </w:rPr>
        <w:t>development</w:t>
      </w:r>
      <w:r w:rsidRPr="00AA5A73">
        <w:rPr>
          <w:rFonts w:cstheme="minorHAnsi"/>
          <w:w w:val="105"/>
        </w:rPr>
        <w:t xml:space="preserve"> </w:t>
      </w:r>
      <w:r w:rsidRPr="0099170A">
        <w:rPr>
          <w:rFonts w:cstheme="minorHAnsi"/>
          <w:w w:val="105"/>
        </w:rPr>
        <w:t>of</w:t>
      </w:r>
      <w:r w:rsidRPr="00AA5A73">
        <w:rPr>
          <w:rFonts w:cstheme="minorHAnsi"/>
          <w:w w:val="105"/>
        </w:rPr>
        <w:t xml:space="preserve"> </w:t>
      </w:r>
      <w:r w:rsidRPr="0099170A">
        <w:rPr>
          <w:rFonts w:cstheme="minorHAnsi"/>
          <w:w w:val="105"/>
        </w:rPr>
        <w:t>a</w:t>
      </w:r>
      <w:r w:rsidRPr="00AA5A73">
        <w:rPr>
          <w:rFonts w:cstheme="minorHAnsi"/>
          <w:w w:val="105"/>
        </w:rPr>
        <w:t xml:space="preserve"> </w:t>
      </w:r>
      <w:r w:rsidRPr="0099170A">
        <w:rPr>
          <w:rFonts w:cstheme="minorHAnsi"/>
          <w:w w:val="105"/>
        </w:rPr>
        <w:t>service</w:t>
      </w:r>
      <w:r w:rsidRPr="00AA5A73">
        <w:rPr>
          <w:rFonts w:cstheme="minorHAnsi"/>
          <w:w w:val="105"/>
        </w:rPr>
        <w:t xml:space="preserve"> </w:t>
      </w:r>
      <w:r w:rsidRPr="0099170A">
        <w:rPr>
          <w:rFonts w:cstheme="minorHAnsi"/>
          <w:w w:val="105"/>
        </w:rPr>
        <w:t>plan,</w:t>
      </w:r>
      <w:r w:rsidRPr="00AA5A73">
        <w:rPr>
          <w:rFonts w:cstheme="minorHAnsi"/>
          <w:w w:val="105"/>
        </w:rPr>
        <w:t xml:space="preserve"> </w:t>
      </w:r>
      <w:r w:rsidRPr="0099170A">
        <w:rPr>
          <w:rFonts w:cstheme="minorHAnsi"/>
          <w:w w:val="105"/>
        </w:rPr>
        <w:t>if</w:t>
      </w:r>
      <w:r w:rsidRPr="00AA5A73">
        <w:rPr>
          <w:rFonts w:cstheme="minorHAnsi"/>
          <w:w w:val="105"/>
        </w:rPr>
        <w:t xml:space="preserve"> </w:t>
      </w:r>
      <w:r w:rsidRPr="0099170A">
        <w:rPr>
          <w:rFonts w:cstheme="minorHAnsi"/>
          <w:w w:val="105"/>
        </w:rPr>
        <w:t>necessary,</w:t>
      </w:r>
      <w:r w:rsidRPr="00AA5A73">
        <w:rPr>
          <w:rFonts w:cstheme="minorHAnsi"/>
          <w:w w:val="105"/>
        </w:rPr>
        <w:t xml:space="preserve"> </w:t>
      </w:r>
      <w:r w:rsidRPr="0099170A">
        <w:rPr>
          <w:rFonts w:cstheme="minorHAnsi"/>
          <w:w w:val="105"/>
        </w:rPr>
        <w:t>are</w:t>
      </w:r>
      <w:r w:rsidRPr="00AA5A73">
        <w:rPr>
          <w:rFonts w:cstheme="minorHAnsi"/>
          <w:w w:val="105"/>
        </w:rPr>
        <w:t xml:space="preserve"> </w:t>
      </w:r>
      <w:r w:rsidRPr="0099170A">
        <w:rPr>
          <w:rFonts w:cstheme="minorHAnsi"/>
          <w:w w:val="105"/>
        </w:rPr>
        <w:t>coupled</w:t>
      </w:r>
      <w:r w:rsidRPr="00AA5A73">
        <w:rPr>
          <w:rFonts w:cstheme="minorHAnsi"/>
          <w:w w:val="105"/>
        </w:rPr>
        <w:t xml:space="preserve"> </w:t>
      </w:r>
      <w:r w:rsidRPr="0099170A">
        <w:rPr>
          <w:rFonts w:cstheme="minorHAnsi"/>
          <w:w w:val="105"/>
        </w:rPr>
        <w:t>with</w:t>
      </w:r>
      <w:r w:rsidRPr="00AA5A73">
        <w:rPr>
          <w:rFonts w:cstheme="minorHAnsi"/>
          <w:w w:val="105"/>
        </w:rPr>
        <w:t xml:space="preserve"> </w:t>
      </w:r>
      <w:r w:rsidRPr="0099170A">
        <w:rPr>
          <w:rFonts w:cstheme="minorHAnsi"/>
          <w:w w:val="105"/>
        </w:rPr>
        <w:t>the</w:t>
      </w:r>
      <w:r w:rsidRPr="00AA5A73">
        <w:rPr>
          <w:rFonts w:cstheme="minorHAnsi"/>
          <w:w w:val="105"/>
        </w:rPr>
        <w:t xml:space="preserve"> </w:t>
      </w:r>
      <w:r w:rsidRPr="0099170A">
        <w:rPr>
          <w:rFonts w:cstheme="minorHAnsi"/>
          <w:w w:val="105"/>
        </w:rPr>
        <w:t>orientation</w:t>
      </w:r>
      <w:r w:rsidRPr="00AA5A73">
        <w:rPr>
          <w:rFonts w:cstheme="minorHAnsi"/>
          <w:w w:val="105"/>
        </w:rPr>
        <w:t xml:space="preserve"> </w:t>
      </w:r>
      <w:r w:rsidRPr="0099170A">
        <w:rPr>
          <w:rFonts w:cstheme="minorHAnsi"/>
          <w:w w:val="105"/>
        </w:rPr>
        <w:t>service.</w:t>
      </w:r>
      <w:r w:rsidRPr="00AA5A73">
        <w:rPr>
          <w:rFonts w:cstheme="minorHAnsi"/>
          <w:w w:val="105"/>
        </w:rPr>
        <w:t xml:space="preserve"> </w:t>
      </w:r>
      <w:r w:rsidRPr="0099170A">
        <w:rPr>
          <w:rFonts w:cstheme="minorHAnsi"/>
          <w:w w:val="105"/>
        </w:rPr>
        <w:t>Based</w:t>
      </w:r>
      <w:r w:rsidRPr="00AA5A73">
        <w:rPr>
          <w:rFonts w:cstheme="minorHAnsi"/>
          <w:w w:val="105"/>
        </w:rPr>
        <w:t xml:space="preserve"> </w:t>
      </w:r>
      <w:r w:rsidRPr="0099170A">
        <w:rPr>
          <w:rFonts w:cstheme="minorHAnsi"/>
          <w:w w:val="105"/>
        </w:rPr>
        <w:t>on</w:t>
      </w:r>
      <w:r w:rsidRPr="00AA5A73">
        <w:rPr>
          <w:rFonts w:cstheme="minorHAnsi"/>
          <w:w w:val="105"/>
        </w:rPr>
        <w:t xml:space="preserve"> </w:t>
      </w:r>
      <w:r w:rsidRPr="0099170A">
        <w:rPr>
          <w:rFonts w:cstheme="minorHAnsi"/>
          <w:w w:val="105"/>
        </w:rPr>
        <w:t>the</w:t>
      </w:r>
      <w:r w:rsidRPr="00AA5A73">
        <w:rPr>
          <w:rFonts w:cstheme="minorHAnsi"/>
          <w:w w:val="105"/>
        </w:rPr>
        <w:t xml:space="preserve"> </w:t>
      </w:r>
      <w:r w:rsidRPr="0099170A">
        <w:rPr>
          <w:rFonts w:cstheme="minorHAnsi"/>
          <w:w w:val="105"/>
        </w:rPr>
        <w:t>service</w:t>
      </w:r>
      <w:r w:rsidRPr="00AA5A73">
        <w:rPr>
          <w:rFonts w:cstheme="minorHAnsi"/>
          <w:w w:val="105"/>
        </w:rPr>
        <w:t xml:space="preserve"> </w:t>
      </w:r>
      <w:r w:rsidRPr="0099170A">
        <w:rPr>
          <w:rFonts w:cstheme="minorHAnsi"/>
          <w:w w:val="105"/>
        </w:rPr>
        <w:t>plan</w:t>
      </w:r>
      <w:r w:rsidRPr="00AA5A73">
        <w:rPr>
          <w:rFonts w:cstheme="minorHAnsi"/>
          <w:w w:val="105"/>
        </w:rPr>
        <w:t xml:space="preserve"> </w:t>
      </w:r>
      <w:r w:rsidRPr="0099170A">
        <w:rPr>
          <w:rFonts w:cstheme="minorHAnsi"/>
          <w:w w:val="105"/>
        </w:rPr>
        <w:t>the</w:t>
      </w:r>
      <w:r w:rsidRPr="00AA5A73">
        <w:rPr>
          <w:rFonts w:cstheme="minorHAnsi"/>
          <w:w w:val="105"/>
        </w:rPr>
        <w:t xml:space="preserve"> </w:t>
      </w:r>
      <w:r w:rsidRPr="0099170A">
        <w:rPr>
          <w:rFonts w:cstheme="minorHAnsi"/>
          <w:w w:val="105"/>
        </w:rPr>
        <w:t>following</w:t>
      </w:r>
      <w:r w:rsidRPr="00AA5A73">
        <w:rPr>
          <w:rFonts w:cstheme="minorHAnsi"/>
          <w:w w:val="105"/>
        </w:rPr>
        <w:t xml:space="preserve"> </w:t>
      </w:r>
      <w:r w:rsidRPr="0099170A">
        <w:rPr>
          <w:rFonts w:cstheme="minorHAnsi"/>
          <w:w w:val="105"/>
        </w:rPr>
        <w:t>services</w:t>
      </w:r>
      <w:r w:rsidRPr="00AA5A73">
        <w:rPr>
          <w:rFonts w:cstheme="minorHAnsi"/>
          <w:w w:val="105"/>
        </w:rPr>
        <w:t xml:space="preserve"> </w:t>
      </w:r>
      <w:r w:rsidRPr="0099170A">
        <w:rPr>
          <w:rFonts w:cstheme="minorHAnsi"/>
          <w:w w:val="105"/>
        </w:rPr>
        <w:t>are</w:t>
      </w:r>
      <w:r w:rsidRPr="00AA5A73">
        <w:rPr>
          <w:rFonts w:cstheme="minorHAnsi"/>
          <w:w w:val="105"/>
        </w:rPr>
        <w:t xml:space="preserve"> </w:t>
      </w:r>
      <w:r w:rsidRPr="0099170A">
        <w:rPr>
          <w:rFonts w:cstheme="minorHAnsi"/>
          <w:w w:val="105"/>
        </w:rPr>
        <w:t>made</w:t>
      </w:r>
      <w:r w:rsidRPr="00AA5A73">
        <w:rPr>
          <w:rFonts w:cstheme="minorHAnsi"/>
          <w:w w:val="105"/>
        </w:rPr>
        <w:t xml:space="preserve"> </w:t>
      </w:r>
      <w:r w:rsidRPr="0099170A">
        <w:rPr>
          <w:rFonts w:cstheme="minorHAnsi"/>
          <w:w w:val="105"/>
        </w:rPr>
        <w:t>available</w:t>
      </w:r>
      <w:r w:rsidRPr="00AA5A73">
        <w:rPr>
          <w:rFonts w:cstheme="minorHAnsi"/>
          <w:w w:val="105"/>
        </w:rPr>
        <w:t xml:space="preserve"> </w:t>
      </w:r>
      <w:r w:rsidRPr="0099170A">
        <w:rPr>
          <w:rFonts w:cstheme="minorHAnsi"/>
          <w:w w:val="105"/>
        </w:rPr>
        <w:t>for</w:t>
      </w:r>
      <w:r w:rsidRPr="00AA5A73">
        <w:rPr>
          <w:rFonts w:cstheme="minorHAnsi"/>
          <w:w w:val="105"/>
        </w:rPr>
        <w:t xml:space="preserve"> </w:t>
      </w:r>
      <w:r w:rsidRPr="0099170A">
        <w:rPr>
          <w:rFonts w:cstheme="minorHAnsi"/>
          <w:w w:val="105"/>
        </w:rPr>
        <w:t>claimants</w:t>
      </w:r>
      <w:r w:rsidRPr="00AA5A73">
        <w:rPr>
          <w:rFonts w:cstheme="minorHAnsi"/>
          <w:w w:val="105"/>
        </w:rPr>
        <w:t xml:space="preserve"> </w:t>
      </w:r>
      <w:r w:rsidRPr="0099170A">
        <w:rPr>
          <w:rFonts w:cstheme="minorHAnsi"/>
          <w:w w:val="105"/>
        </w:rPr>
        <w:t>who</w:t>
      </w:r>
      <w:r w:rsidRPr="00AA5A73">
        <w:rPr>
          <w:rFonts w:cstheme="minorHAnsi"/>
          <w:w w:val="105"/>
        </w:rPr>
        <w:t xml:space="preserve"> </w:t>
      </w:r>
      <w:r w:rsidRPr="0099170A">
        <w:rPr>
          <w:rFonts w:cstheme="minorHAnsi"/>
          <w:w w:val="105"/>
        </w:rPr>
        <w:t>are</w:t>
      </w:r>
      <w:r w:rsidRPr="00AA5A73">
        <w:rPr>
          <w:rFonts w:cstheme="minorHAnsi"/>
          <w:w w:val="105"/>
        </w:rPr>
        <w:t xml:space="preserve"> </w:t>
      </w:r>
      <w:r w:rsidRPr="0099170A">
        <w:rPr>
          <w:rFonts w:cstheme="minorHAnsi"/>
          <w:w w:val="105"/>
        </w:rPr>
        <w:t>not</w:t>
      </w:r>
      <w:r w:rsidRPr="00AA5A73">
        <w:rPr>
          <w:rFonts w:cstheme="minorHAnsi"/>
          <w:w w:val="105"/>
        </w:rPr>
        <w:t xml:space="preserve"> </w:t>
      </w:r>
      <w:r w:rsidRPr="0099170A">
        <w:rPr>
          <w:rFonts w:cstheme="minorHAnsi"/>
          <w:w w:val="105"/>
        </w:rPr>
        <w:t>job</w:t>
      </w:r>
      <w:r w:rsidRPr="00AA5A73">
        <w:rPr>
          <w:rFonts w:cstheme="minorHAnsi"/>
          <w:w w:val="105"/>
        </w:rPr>
        <w:t xml:space="preserve"> </w:t>
      </w:r>
      <w:r w:rsidRPr="0099170A">
        <w:rPr>
          <w:rFonts w:cstheme="minorHAnsi"/>
          <w:w w:val="105"/>
        </w:rPr>
        <w:t>ready:</w:t>
      </w:r>
      <w:r w:rsidRPr="00AA5A73">
        <w:rPr>
          <w:rFonts w:cstheme="minorHAnsi"/>
          <w:w w:val="105"/>
        </w:rPr>
        <w:t xml:space="preserve"> </w:t>
      </w:r>
      <w:r w:rsidRPr="0099170A">
        <w:rPr>
          <w:rFonts w:cstheme="minorHAnsi"/>
          <w:w w:val="105"/>
        </w:rPr>
        <w:t>job</w:t>
      </w:r>
      <w:r w:rsidRPr="00AA5A73">
        <w:rPr>
          <w:rFonts w:cstheme="minorHAnsi"/>
          <w:w w:val="105"/>
        </w:rPr>
        <w:t xml:space="preserve"> </w:t>
      </w:r>
      <w:r w:rsidRPr="0099170A">
        <w:rPr>
          <w:rFonts w:cstheme="minorHAnsi"/>
          <w:w w:val="105"/>
        </w:rPr>
        <w:t>search</w:t>
      </w:r>
      <w:r w:rsidRPr="00AA5A73">
        <w:rPr>
          <w:rFonts w:cstheme="minorHAnsi"/>
          <w:w w:val="105"/>
        </w:rPr>
        <w:t xml:space="preserve"> </w:t>
      </w:r>
      <w:r w:rsidRPr="0099170A">
        <w:rPr>
          <w:rFonts w:cstheme="minorHAnsi"/>
          <w:w w:val="105"/>
        </w:rPr>
        <w:t>workshops,</w:t>
      </w:r>
      <w:r w:rsidRPr="00AA5A73">
        <w:rPr>
          <w:rFonts w:cstheme="minorHAnsi"/>
          <w:w w:val="105"/>
        </w:rPr>
        <w:t xml:space="preserve"> </w:t>
      </w:r>
      <w:r w:rsidRPr="0099170A">
        <w:rPr>
          <w:rFonts w:cstheme="minorHAnsi"/>
          <w:w w:val="105"/>
        </w:rPr>
        <w:t>testing,</w:t>
      </w:r>
      <w:r w:rsidRPr="00AA5A73">
        <w:rPr>
          <w:rFonts w:cstheme="minorHAnsi"/>
          <w:w w:val="105"/>
        </w:rPr>
        <w:t xml:space="preserve"> </w:t>
      </w:r>
      <w:r w:rsidRPr="0099170A">
        <w:rPr>
          <w:rFonts w:cstheme="minorHAnsi"/>
          <w:w w:val="105"/>
        </w:rPr>
        <w:t>counseling,</w:t>
      </w:r>
      <w:r w:rsidRPr="00AA5A73">
        <w:rPr>
          <w:rFonts w:cstheme="minorHAnsi"/>
          <w:w w:val="105"/>
        </w:rPr>
        <w:t xml:space="preserve"> </w:t>
      </w:r>
      <w:r w:rsidRPr="0099170A">
        <w:rPr>
          <w:rFonts w:cstheme="minorHAnsi"/>
          <w:w w:val="105"/>
        </w:rPr>
        <w:t>specific</w:t>
      </w:r>
      <w:r w:rsidRPr="00AA5A73">
        <w:rPr>
          <w:rFonts w:cstheme="minorHAnsi"/>
          <w:w w:val="105"/>
        </w:rPr>
        <w:t xml:space="preserve"> </w:t>
      </w:r>
      <w:r w:rsidRPr="0099170A">
        <w:rPr>
          <w:rFonts w:cstheme="minorHAnsi"/>
          <w:w w:val="105"/>
        </w:rPr>
        <w:t>labor</w:t>
      </w:r>
      <w:r w:rsidRPr="00AA5A73">
        <w:rPr>
          <w:rFonts w:cstheme="minorHAnsi"/>
          <w:w w:val="105"/>
        </w:rPr>
        <w:t xml:space="preserve"> </w:t>
      </w:r>
      <w:r w:rsidRPr="0099170A">
        <w:rPr>
          <w:rFonts w:cstheme="minorHAnsi"/>
          <w:w w:val="105"/>
        </w:rPr>
        <w:t>market</w:t>
      </w:r>
      <w:r w:rsidRPr="00AA5A73">
        <w:rPr>
          <w:rFonts w:cstheme="minorHAnsi"/>
          <w:w w:val="105"/>
        </w:rPr>
        <w:t xml:space="preserve"> </w:t>
      </w:r>
      <w:r w:rsidRPr="0099170A">
        <w:rPr>
          <w:rFonts w:cstheme="minorHAnsi"/>
          <w:w w:val="105"/>
        </w:rPr>
        <w:t>information</w:t>
      </w:r>
      <w:r w:rsidR="00D5537E">
        <w:rPr>
          <w:rFonts w:cstheme="minorHAnsi"/>
          <w:w w:val="105"/>
        </w:rPr>
        <w:t xml:space="preserve"> and</w:t>
      </w:r>
      <w:r w:rsidRPr="0099170A">
        <w:rPr>
          <w:rFonts w:cstheme="minorHAnsi"/>
          <w:w w:val="105"/>
        </w:rPr>
        <w:t xml:space="preserve"> referral to education and or</w:t>
      </w:r>
      <w:r w:rsidRPr="00AA5A73">
        <w:rPr>
          <w:rFonts w:cstheme="minorHAnsi"/>
          <w:w w:val="105"/>
        </w:rPr>
        <w:t xml:space="preserve"> </w:t>
      </w:r>
      <w:r w:rsidRPr="0099170A">
        <w:rPr>
          <w:rFonts w:cstheme="minorHAnsi"/>
          <w:w w:val="105"/>
        </w:rPr>
        <w:t>training.</w:t>
      </w:r>
    </w:p>
    <w:p w14:paraId="0A9E1D0F" w14:textId="77777777" w:rsidR="00EA7458" w:rsidRPr="0099170A" w:rsidRDefault="00EA7458" w:rsidP="00D63204">
      <w:pPr>
        <w:widowControl w:val="0"/>
        <w:spacing w:after="0" w:line="240" w:lineRule="auto"/>
        <w:ind w:left="107"/>
        <w:rPr>
          <w:rFonts w:cstheme="minorHAnsi"/>
        </w:rPr>
      </w:pPr>
    </w:p>
    <w:p w14:paraId="6ECD8EE1" w14:textId="77777777" w:rsidR="00EA7458" w:rsidRPr="0099170A" w:rsidRDefault="00EA7458" w:rsidP="00D63204">
      <w:pPr>
        <w:widowControl w:val="0"/>
        <w:spacing w:before="192" w:after="0" w:line="266" w:lineRule="exact"/>
        <w:ind w:left="107"/>
        <w:outlineLvl w:val="2"/>
        <w:rPr>
          <w:rFonts w:cstheme="minorHAnsi"/>
        </w:rPr>
      </w:pPr>
      <w:r w:rsidRPr="0099170A">
        <w:rPr>
          <w:rFonts w:cstheme="minorHAnsi"/>
          <w:b/>
          <w:bCs/>
          <w:color w:val="231F20"/>
          <w:w w:val="110"/>
        </w:rPr>
        <w:t>Reemployment Services and Eligibility Assessment (RESEA)</w:t>
      </w:r>
      <w:r w:rsidRPr="0099170A">
        <w:rPr>
          <w:rFonts w:cstheme="minorHAnsi"/>
          <w:b/>
          <w:bCs/>
          <w:color w:val="231F20"/>
          <w:spacing w:val="-4"/>
          <w:w w:val="110"/>
        </w:rPr>
        <w:t xml:space="preserve"> </w:t>
      </w:r>
      <w:r w:rsidRPr="0099170A">
        <w:rPr>
          <w:rFonts w:cstheme="minorHAnsi"/>
          <w:b/>
          <w:bCs/>
          <w:color w:val="231F20"/>
          <w:w w:val="110"/>
        </w:rPr>
        <w:t>Grant</w:t>
      </w:r>
    </w:p>
    <w:p w14:paraId="5EEF440C" w14:textId="5BB47E46" w:rsidR="00EA7458" w:rsidRPr="0099170A" w:rsidRDefault="00513F0C" w:rsidP="00D63204">
      <w:pPr>
        <w:widowControl w:val="0"/>
        <w:spacing w:before="2" w:after="0" w:line="235" w:lineRule="auto"/>
        <w:ind w:left="107"/>
        <w:rPr>
          <w:rFonts w:cstheme="minorHAnsi"/>
        </w:rPr>
      </w:pPr>
      <w:r w:rsidRPr="0099170A">
        <w:rPr>
          <w:rFonts w:cstheme="minorHAnsi"/>
          <w:w w:val="105"/>
        </w:rPr>
        <w:t xml:space="preserve">In </w:t>
      </w:r>
      <w:r w:rsidR="00EA7458" w:rsidRPr="0099170A">
        <w:rPr>
          <w:rFonts w:cstheme="minorHAnsi"/>
          <w:w w:val="105"/>
        </w:rPr>
        <w:t>2016</w:t>
      </w:r>
      <w:r w:rsidR="00EA7458" w:rsidRPr="0099170A">
        <w:rPr>
          <w:rFonts w:cstheme="minorHAnsi"/>
          <w:color w:val="231F20"/>
          <w:w w:val="105"/>
        </w:rPr>
        <w:t>,</w:t>
      </w:r>
      <w:r w:rsidR="00EA7458" w:rsidRPr="0099170A">
        <w:rPr>
          <w:rFonts w:cstheme="minorHAnsi"/>
          <w:color w:val="231F20"/>
          <w:spacing w:val="11"/>
          <w:w w:val="105"/>
        </w:rPr>
        <w:t xml:space="preserve"> </w:t>
      </w:r>
      <w:r w:rsidR="00EA7458" w:rsidRPr="0099170A">
        <w:rPr>
          <w:rFonts w:cstheme="minorHAnsi"/>
          <w:w w:val="105"/>
        </w:rPr>
        <w:t>Florida</w:t>
      </w:r>
      <w:r w:rsidR="00EA7458" w:rsidRPr="0099170A">
        <w:rPr>
          <w:rFonts w:cstheme="minorHAnsi"/>
          <w:spacing w:val="11"/>
          <w:w w:val="105"/>
        </w:rPr>
        <w:t xml:space="preserve"> </w:t>
      </w:r>
      <w:r w:rsidRPr="0099170A">
        <w:rPr>
          <w:rFonts w:cstheme="minorHAnsi"/>
          <w:w w:val="105"/>
        </w:rPr>
        <w:t xml:space="preserve">shifted </w:t>
      </w:r>
      <w:r w:rsidR="00EA7458" w:rsidRPr="0099170A">
        <w:rPr>
          <w:rFonts w:cstheme="minorHAnsi"/>
          <w:w w:val="105"/>
        </w:rPr>
        <w:t>to</w:t>
      </w:r>
      <w:r w:rsidR="00EA7458" w:rsidRPr="0099170A">
        <w:rPr>
          <w:rFonts w:cstheme="minorHAnsi"/>
          <w:spacing w:val="11"/>
          <w:w w:val="105"/>
        </w:rPr>
        <w:t xml:space="preserve"> </w:t>
      </w:r>
      <w:r w:rsidR="00EA7458" w:rsidRPr="0099170A">
        <w:rPr>
          <w:rFonts w:cstheme="minorHAnsi"/>
          <w:w w:val="105"/>
        </w:rPr>
        <w:t>the</w:t>
      </w:r>
      <w:r w:rsidR="00EA7458" w:rsidRPr="0099170A">
        <w:rPr>
          <w:rFonts w:cstheme="minorHAnsi"/>
          <w:spacing w:val="11"/>
          <w:w w:val="105"/>
        </w:rPr>
        <w:t xml:space="preserve"> </w:t>
      </w:r>
      <w:r w:rsidR="00EA7458" w:rsidRPr="0099170A">
        <w:rPr>
          <w:rFonts w:cstheme="minorHAnsi"/>
          <w:w w:val="105"/>
        </w:rPr>
        <w:t>Reemployment</w:t>
      </w:r>
      <w:r w:rsidR="00EA7458" w:rsidRPr="0099170A">
        <w:rPr>
          <w:rFonts w:cstheme="minorHAnsi"/>
          <w:spacing w:val="11"/>
          <w:w w:val="105"/>
        </w:rPr>
        <w:t xml:space="preserve"> </w:t>
      </w:r>
      <w:r w:rsidR="00EA7458" w:rsidRPr="0099170A">
        <w:rPr>
          <w:rFonts w:cstheme="minorHAnsi"/>
          <w:w w:val="105"/>
        </w:rPr>
        <w:t>Services</w:t>
      </w:r>
      <w:r w:rsidR="00EA7458" w:rsidRPr="0099170A">
        <w:rPr>
          <w:rFonts w:cstheme="minorHAnsi"/>
          <w:spacing w:val="11"/>
          <w:w w:val="105"/>
        </w:rPr>
        <w:t xml:space="preserve"> </w:t>
      </w:r>
      <w:r w:rsidR="00EA7458" w:rsidRPr="0099170A">
        <w:rPr>
          <w:rFonts w:cstheme="minorHAnsi"/>
          <w:w w:val="105"/>
        </w:rPr>
        <w:t>and</w:t>
      </w:r>
      <w:r w:rsidR="00EA7458" w:rsidRPr="0099170A">
        <w:rPr>
          <w:rFonts w:cstheme="minorHAnsi"/>
          <w:spacing w:val="11"/>
          <w:w w:val="105"/>
        </w:rPr>
        <w:t xml:space="preserve"> </w:t>
      </w:r>
      <w:r w:rsidR="00EA7458" w:rsidRPr="0099170A">
        <w:rPr>
          <w:rFonts w:cstheme="minorHAnsi"/>
          <w:w w:val="105"/>
        </w:rPr>
        <w:t>Eligibility</w:t>
      </w:r>
      <w:r w:rsidR="00EA7458" w:rsidRPr="0099170A">
        <w:rPr>
          <w:rFonts w:cstheme="minorHAnsi"/>
          <w:spacing w:val="11"/>
          <w:w w:val="105"/>
        </w:rPr>
        <w:t xml:space="preserve"> </w:t>
      </w:r>
      <w:r w:rsidR="00EA7458" w:rsidRPr="0099170A">
        <w:rPr>
          <w:rFonts w:cstheme="minorHAnsi"/>
          <w:w w:val="105"/>
        </w:rPr>
        <w:t>Assessment</w:t>
      </w:r>
      <w:r w:rsidR="00EA7458" w:rsidRPr="0099170A">
        <w:rPr>
          <w:rFonts w:cstheme="minorHAnsi"/>
          <w:spacing w:val="11"/>
          <w:w w:val="105"/>
        </w:rPr>
        <w:t xml:space="preserve"> </w:t>
      </w:r>
      <w:r w:rsidR="00EA7458" w:rsidRPr="0099170A">
        <w:rPr>
          <w:rFonts w:cstheme="minorHAnsi"/>
          <w:w w:val="105"/>
        </w:rPr>
        <w:t>(RESEA)</w:t>
      </w:r>
      <w:r w:rsidR="00EA7458" w:rsidRPr="0099170A">
        <w:rPr>
          <w:rFonts w:cstheme="minorHAnsi"/>
          <w:spacing w:val="11"/>
          <w:w w:val="105"/>
        </w:rPr>
        <w:t xml:space="preserve"> </w:t>
      </w:r>
      <w:r w:rsidR="00EA7458" w:rsidRPr="0099170A">
        <w:rPr>
          <w:rFonts w:cstheme="minorHAnsi"/>
          <w:w w:val="105"/>
        </w:rPr>
        <w:t>program</w:t>
      </w:r>
      <w:r w:rsidR="00EA7458" w:rsidRPr="0099170A">
        <w:rPr>
          <w:rFonts w:cstheme="minorHAnsi"/>
          <w:spacing w:val="-5"/>
          <w:w w:val="105"/>
        </w:rPr>
        <w:t xml:space="preserve"> </w:t>
      </w:r>
      <w:r w:rsidRPr="0099170A">
        <w:rPr>
          <w:rFonts w:cstheme="minorHAnsi"/>
          <w:w w:val="105"/>
        </w:rPr>
        <w:t xml:space="preserve">where </w:t>
      </w:r>
      <w:r w:rsidR="00EA7458" w:rsidRPr="0099170A">
        <w:rPr>
          <w:rFonts w:cstheme="minorHAnsi"/>
          <w:w w:val="105"/>
        </w:rPr>
        <w:t>the</w:t>
      </w:r>
      <w:r w:rsidR="00EA7458" w:rsidRPr="0099170A">
        <w:rPr>
          <w:rFonts w:cstheme="minorHAnsi"/>
          <w:spacing w:val="10"/>
          <w:w w:val="105"/>
        </w:rPr>
        <w:t xml:space="preserve"> </w:t>
      </w:r>
      <w:r w:rsidR="00EA7458" w:rsidRPr="0099170A">
        <w:rPr>
          <w:rFonts w:cstheme="minorHAnsi"/>
          <w:w w:val="105"/>
        </w:rPr>
        <w:t>target</w:t>
      </w:r>
      <w:r w:rsidR="00EA7458" w:rsidRPr="0099170A">
        <w:rPr>
          <w:rFonts w:cstheme="minorHAnsi"/>
          <w:spacing w:val="10"/>
          <w:w w:val="105"/>
        </w:rPr>
        <w:t xml:space="preserve"> </w:t>
      </w:r>
      <w:r w:rsidR="00EA7458" w:rsidRPr="0099170A">
        <w:rPr>
          <w:rFonts w:cstheme="minorHAnsi"/>
          <w:w w:val="105"/>
        </w:rPr>
        <w:t>population</w:t>
      </w:r>
      <w:r w:rsidR="00EA7458" w:rsidRPr="0099170A">
        <w:rPr>
          <w:rFonts w:cstheme="minorHAnsi"/>
          <w:spacing w:val="10"/>
          <w:w w:val="105"/>
        </w:rPr>
        <w:t xml:space="preserve"> </w:t>
      </w:r>
      <w:r w:rsidR="00EA7458" w:rsidRPr="0099170A">
        <w:rPr>
          <w:rFonts w:cstheme="minorHAnsi"/>
          <w:w w:val="105"/>
        </w:rPr>
        <w:t>change</w:t>
      </w:r>
      <w:r w:rsidRPr="0099170A">
        <w:rPr>
          <w:rFonts w:cstheme="minorHAnsi"/>
          <w:w w:val="105"/>
        </w:rPr>
        <w:t>d</w:t>
      </w:r>
      <w:r w:rsidR="00EA7458" w:rsidRPr="0099170A">
        <w:rPr>
          <w:rFonts w:cstheme="minorHAnsi"/>
          <w:spacing w:val="10"/>
          <w:w w:val="105"/>
        </w:rPr>
        <w:t xml:space="preserve"> </w:t>
      </w:r>
      <w:r w:rsidR="00EA7458" w:rsidRPr="0099170A">
        <w:rPr>
          <w:rFonts w:cstheme="minorHAnsi"/>
          <w:w w:val="105"/>
        </w:rPr>
        <w:t>to</w:t>
      </w:r>
      <w:r w:rsidR="00EA7458" w:rsidRPr="0099170A">
        <w:rPr>
          <w:rFonts w:cstheme="minorHAnsi"/>
          <w:spacing w:val="10"/>
          <w:w w:val="105"/>
        </w:rPr>
        <w:t xml:space="preserve"> </w:t>
      </w:r>
      <w:r w:rsidRPr="0099170A">
        <w:rPr>
          <w:rFonts w:cstheme="minorHAnsi"/>
          <w:w w:val="105"/>
        </w:rPr>
        <w:t xml:space="preserve">all transition veterans receiving assistance and </w:t>
      </w:r>
      <w:r w:rsidR="00EA7458" w:rsidRPr="0099170A">
        <w:rPr>
          <w:rFonts w:cstheme="minorHAnsi"/>
          <w:w w:val="105"/>
        </w:rPr>
        <w:t>claimants</w:t>
      </w:r>
      <w:r w:rsidR="00EA7458" w:rsidRPr="0099170A">
        <w:rPr>
          <w:rFonts w:cstheme="minorHAnsi"/>
          <w:spacing w:val="10"/>
          <w:w w:val="105"/>
        </w:rPr>
        <w:t xml:space="preserve"> </w:t>
      </w:r>
      <w:r w:rsidR="00EA7458" w:rsidRPr="0099170A">
        <w:rPr>
          <w:rFonts w:cstheme="minorHAnsi"/>
          <w:i/>
          <w:w w:val="105"/>
        </w:rPr>
        <w:t>most</w:t>
      </w:r>
      <w:r w:rsidR="00EA7458" w:rsidRPr="0099170A">
        <w:rPr>
          <w:rFonts w:cstheme="minorHAnsi"/>
          <w:spacing w:val="10"/>
          <w:w w:val="105"/>
        </w:rPr>
        <w:t xml:space="preserve"> </w:t>
      </w:r>
      <w:r w:rsidR="00EA7458" w:rsidRPr="0099170A">
        <w:rPr>
          <w:rFonts w:cstheme="minorHAnsi"/>
          <w:w w:val="105"/>
        </w:rPr>
        <w:t>likely</w:t>
      </w:r>
      <w:r w:rsidR="00EA7458" w:rsidRPr="0099170A">
        <w:rPr>
          <w:rFonts w:cstheme="minorHAnsi"/>
          <w:spacing w:val="10"/>
          <w:w w:val="105"/>
        </w:rPr>
        <w:t xml:space="preserve"> </w:t>
      </w:r>
      <w:r w:rsidR="00EA7458" w:rsidRPr="0099170A">
        <w:rPr>
          <w:rFonts w:cstheme="minorHAnsi"/>
          <w:w w:val="105"/>
        </w:rPr>
        <w:t>to</w:t>
      </w:r>
      <w:r w:rsidR="00EA7458" w:rsidRPr="0099170A">
        <w:rPr>
          <w:rFonts w:cstheme="minorHAnsi"/>
          <w:spacing w:val="10"/>
          <w:w w:val="105"/>
        </w:rPr>
        <w:t xml:space="preserve"> </w:t>
      </w:r>
      <w:r w:rsidR="00EA7458" w:rsidRPr="0099170A">
        <w:rPr>
          <w:rFonts w:cstheme="minorHAnsi"/>
          <w:w w:val="105"/>
        </w:rPr>
        <w:t>exhaust</w:t>
      </w:r>
      <w:r w:rsidR="00EA7458" w:rsidRPr="0099170A">
        <w:rPr>
          <w:rFonts w:cstheme="minorHAnsi"/>
          <w:spacing w:val="10"/>
          <w:w w:val="105"/>
        </w:rPr>
        <w:t xml:space="preserve"> </w:t>
      </w:r>
      <w:r w:rsidR="00EA7458" w:rsidRPr="0099170A">
        <w:rPr>
          <w:rFonts w:cstheme="minorHAnsi"/>
          <w:w w:val="105"/>
        </w:rPr>
        <w:t>RA</w:t>
      </w:r>
      <w:r w:rsidR="00EA7458" w:rsidRPr="0099170A">
        <w:rPr>
          <w:rFonts w:cstheme="minorHAnsi"/>
          <w:spacing w:val="10"/>
          <w:w w:val="105"/>
        </w:rPr>
        <w:t xml:space="preserve"> </w:t>
      </w:r>
      <w:r w:rsidR="00EA7458" w:rsidRPr="0099170A">
        <w:rPr>
          <w:rFonts w:cstheme="minorHAnsi"/>
          <w:w w:val="105"/>
        </w:rPr>
        <w:t>benefits.</w:t>
      </w:r>
    </w:p>
    <w:p w14:paraId="1C12795F" w14:textId="26ADFC30" w:rsidR="00EA7458" w:rsidRPr="0099170A" w:rsidRDefault="00EA7458" w:rsidP="00D63204">
      <w:pPr>
        <w:widowControl w:val="0"/>
        <w:spacing w:before="195" w:after="0" w:line="264" w:lineRule="exact"/>
        <w:ind w:left="107"/>
        <w:rPr>
          <w:rFonts w:cstheme="minorHAnsi"/>
        </w:rPr>
      </w:pPr>
      <w:r w:rsidRPr="0099170A">
        <w:rPr>
          <w:rFonts w:cstheme="minorHAnsi"/>
          <w:w w:val="105"/>
        </w:rPr>
        <w:t>The</w:t>
      </w:r>
      <w:r w:rsidRPr="0099170A">
        <w:rPr>
          <w:rFonts w:cstheme="minorHAnsi"/>
          <w:spacing w:val="20"/>
          <w:w w:val="105"/>
        </w:rPr>
        <w:t xml:space="preserve"> </w:t>
      </w:r>
      <w:r w:rsidRPr="0099170A">
        <w:rPr>
          <w:rFonts w:cstheme="minorHAnsi"/>
          <w:w w:val="105"/>
        </w:rPr>
        <w:t>RESEA</w:t>
      </w:r>
      <w:r w:rsidRPr="0099170A">
        <w:rPr>
          <w:rFonts w:cstheme="minorHAnsi"/>
          <w:spacing w:val="20"/>
          <w:w w:val="105"/>
        </w:rPr>
        <w:t xml:space="preserve"> </w:t>
      </w:r>
      <w:r w:rsidRPr="0099170A">
        <w:rPr>
          <w:rFonts w:cstheme="minorHAnsi"/>
          <w:w w:val="105"/>
        </w:rPr>
        <w:t>program</w:t>
      </w:r>
      <w:r w:rsidRPr="0099170A">
        <w:rPr>
          <w:rFonts w:cstheme="minorHAnsi"/>
          <w:spacing w:val="20"/>
          <w:w w:val="105"/>
        </w:rPr>
        <w:t xml:space="preserve"> </w:t>
      </w:r>
      <w:r w:rsidRPr="0099170A">
        <w:rPr>
          <w:rFonts w:cstheme="minorHAnsi"/>
          <w:w w:val="105"/>
        </w:rPr>
        <w:t>address</w:t>
      </w:r>
      <w:r w:rsidR="00E949D1" w:rsidRPr="0099170A">
        <w:rPr>
          <w:rFonts w:cstheme="minorHAnsi"/>
          <w:w w:val="105"/>
        </w:rPr>
        <w:t>es</w:t>
      </w:r>
      <w:r w:rsidRPr="0099170A">
        <w:rPr>
          <w:rFonts w:cstheme="minorHAnsi"/>
          <w:spacing w:val="20"/>
          <w:w w:val="105"/>
        </w:rPr>
        <w:t xml:space="preserve"> </w:t>
      </w:r>
      <w:r w:rsidRPr="0099170A">
        <w:rPr>
          <w:rFonts w:cstheme="minorHAnsi"/>
          <w:w w:val="105"/>
        </w:rPr>
        <w:t>reemployment</w:t>
      </w:r>
      <w:r w:rsidRPr="0099170A">
        <w:rPr>
          <w:rFonts w:cstheme="minorHAnsi"/>
          <w:spacing w:val="20"/>
          <w:w w:val="105"/>
        </w:rPr>
        <w:t xml:space="preserve"> </w:t>
      </w:r>
      <w:r w:rsidRPr="0099170A">
        <w:rPr>
          <w:rFonts w:cstheme="minorHAnsi"/>
          <w:w w:val="105"/>
        </w:rPr>
        <w:t>needs</w:t>
      </w:r>
      <w:r w:rsidRPr="0099170A">
        <w:rPr>
          <w:rFonts w:cstheme="minorHAnsi"/>
          <w:spacing w:val="20"/>
          <w:w w:val="105"/>
        </w:rPr>
        <w:t xml:space="preserve"> </w:t>
      </w:r>
      <w:r w:rsidRPr="0099170A">
        <w:rPr>
          <w:rFonts w:cstheme="minorHAnsi"/>
          <w:w w:val="105"/>
        </w:rPr>
        <w:t>of</w:t>
      </w:r>
      <w:r w:rsidRPr="0099170A">
        <w:rPr>
          <w:rFonts w:cstheme="minorHAnsi"/>
          <w:spacing w:val="20"/>
          <w:w w:val="105"/>
        </w:rPr>
        <w:t xml:space="preserve"> </w:t>
      </w:r>
      <w:r w:rsidRPr="0099170A">
        <w:rPr>
          <w:rFonts w:cstheme="minorHAnsi"/>
          <w:w w:val="105"/>
        </w:rPr>
        <w:t>RA</w:t>
      </w:r>
      <w:r w:rsidRPr="0099170A">
        <w:rPr>
          <w:rFonts w:cstheme="minorHAnsi"/>
          <w:spacing w:val="20"/>
          <w:w w:val="105"/>
        </w:rPr>
        <w:t xml:space="preserve"> </w:t>
      </w:r>
      <w:r w:rsidRPr="0099170A">
        <w:rPr>
          <w:rFonts w:cstheme="minorHAnsi"/>
          <w:w w:val="105"/>
        </w:rPr>
        <w:t>claimants</w:t>
      </w:r>
      <w:r w:rsidRPr="0099170A">
        <w:rPr>
          <w:rFonts w:cstheme="minorHAnsi"/>
          <w:spacing w:val="20"/>
          <w:w w:val="105"/>
        </w:rPr>
        <w:t xml:space="preserve"> </w:t>
      </w:r>
      <w:r w:rsidRPr="0099170A">
        <w:rPr>
          <w:rFonts w:cstheme="minorHAnsi"/>
          <w:w w:val="105"/>
        </w:rPr>
        <w:t>most</w:t>
      </w:r>
      <w:r w:rsidRPr="0099170A">
        <w:rPr>
          <w:rFonts w:cstheme="minorHAnsi"/>
          <w:spacing w:val="20"/>
          <w:w w:val="105"/>
        </w:rPr>
        <w:t xml:space="preserve"> </w:t>
      </w:r>
      <w:r w:rsidRPr="0099170A">
        <w:rPr>
          <w:rFonts w:cstheme="minorHAnsi"/>
          <w:w w:val="105"/>
        </w:rPr>
        <w:t>likely</w:t>
      </w:r>
      <w:r w:rsidRPr="0099170A">
        <w:rPr>
          <w:rFonts w:cstheme="minorHAnsi"/>
          <w:w w:val="108"/>
        </w:rPr>
        <w:t xml:space="preserve"> </w:t>
      </w:r>
      <w:r w:rsidRPr="0099170A">
        <w:rPr>
          <w:rFonts w:cstheme="minorHAnsi"/>
          <w:w w:val="105"/>
        </w:rPr>
        <w:t>to</w:t>
      </w:r>
      <w:r w:rsidRPr="0099170A">
        <w:rPr>
          <w:rFonts w:cstheme="minorHAnsi"/>
          <w:spacing w:val="12"/>
          <w:w w:val="105"/>
        </w:rPr>
        <w:t xml:space="preserve"> </w:t>
      </w:r>
      <w:r w:rsidRPr="0099170A">
        <w:rPr>
          <w:rFonts w:cstheme="minorHAnsi"/>
          <w:w w:val="105"/>
        </w:rPr>
        <w:t>exhaust</w:t>
      </w:r>
      <w:r w:rsidRPr="0099170A">
        <w:rPr>
          <w:rFonts w:cstheme="minorHAnsi"/>
          <w:spacing w:val="12"/>
          <w:w w:val="105"/>
        </w:rPr>
        <w:t xml:space="preserve"> </w:t>
      </w:r>
      <w:r w:rsidRPr="0099170A">
        <w:rPr>
          <w:rFonts w:cstheme="minorHAnsi"/>
          <w:w w:val="105"/>
        </w:rPr>
        <w:t>benefits</w:t>
      </w:r>
      <w:r w:rsidRPr="0099170A">
        <w:rPr>
          <w:rFonts w:cstheme="minorHAnsi"/>
          <w:spacing w:val="12"/>
          <w:w w:val="105"/>
        </w:rPr>
        <w:t xml:space="preserve"> </w:t>
      </w:r>
      <w:r w:rsidR="00E949D1" w:rsidRPr="0099170A">
        <w:rPr>
          <w:rFonts w:cstheme="minorHAnsi"/>
          <w:w w:val="105"/>
        </w:rPr>
        <w:t xml:space="preserve">and </w:t>
      </w:r>
      <w:r w:rsidRPr="0099170A">
        <w:rPr>
          <w:rFonts w:cstheme="minorHAnsi"/>
          <w:w w:val="105"/>
        </w:rPr>
        <w:t>transitioning</w:t>
      </w:r>
      <w:r w:rsidRPr="0099170A">
        <w:rPr>
          <w:rFonts w:cstheme="minorHAnsi"/>
          <w:spacing w:val="12"/>
          <w:w w:val="105"/>
        </w:rPr>
        <w:t xml:space="preserve"> </w:t>
      </w:r>
      <w:r w:rsidRPr="0099170A">
        <w:rPr>
          <w:rFonts w:cstheme="minorHAnsi"/>
          <w:w w:val="105"/>
        </w:rPr>
        <w:t>veterans</w:t>
      </w:r>
      <w:r w:rsidRPr="0099170A">
        <w:rPr>
          <w:rFonts w:cstheme="minorHAnsi"/>
          <w:spacing w:val="12"/>
          <w:w w:val="105"/>
        </w:rPr>
        <w:t xml:space="preserve"> </w:t>
      </w:r>
      <w:r w:rsidRPr="0099170A">
        <w:rPr>
          <w:rFonts w:cstheme="minorHAnsi"/>
          <w:w w:val="105"/>
        </w:rPr>
        <w:t>receiving</w:t>
      </w:r>
      <w:r w:rsidRPr="0099170A">
        <w:rPr>
          <w:rFonts w:cstheme="minorHAnsi"/>
          <w:spacing w:val="12"/>
          <w:w w:val="105"/>
        </w:rPr>
        <w:t xml:space="preserve"> </w:t>
      </w:r>
      <w:r w:rsidRPr="0099170A">
        <w:rPr>
          <w:rFonts w:cstheme="minorHAnsi"/>
          <w:w w:val="105"/>
        </w:rPr>
        <w:t>unemployment</w:t>
      </w:r>
      <w:r w:rsidRPr="0099170A">
        <w:rPr>
          <w:rFonts w:cstheme="minorHAnsi"/>
          <w:spacing w:val="12"/>
          <w:w w:val="105"/>
        </w:rPr>
        <w:t xml:space="preserve"> </w:t>
      </w:r>
      <w:r w:rsidRPr="0099170A">
        <w:rPr>
          <w:rFonts w:cstheme="minorHAnsi"/>
          <w:w w:val="105"/>
        </w:rPr>
        <w:t>for</w:t>
      </w:r>
      <w:r w:rsidRPr="0099170A">
        <w:rPr>
          <w:rFonts w:cstheme="minorHAnsi"/>
          <w:spacing w:val="12"/>
          <w:w w:val="105"/>
        </w:rPr>
        <w:t xml:space="preserve"> </w:t>
      </w:r>
      <w:r w:rsidRPr="0099170A">
        <w:rPr>
          <w:rFonts w:cstheme="minorHAnsi"/>
          <w:w w:val="105"/>
        </w:rPr>
        <w:t>ex-service</w:t>
      </w:r>
      <w:r w:rsidRPr="0099170A">
        <w:rPr>
          <w:rFonts w:cstheme="minorHAnsi"/>
          <w:spacing w:val="12"/>
          <w:w w:val="105"/>
        </w:rPr>
        <w:t xml:space="preserve"> </w:t>
      </w:r>
      <w:r w:rsidRPr="0099170A">
        <w:rPr>
          <w:rFonts w:cstheme="minorHAnsi"/>
          <w:w w:val="105"/>
        </w:rPr>
        <w:t>members</w:t>
      </w:r>
      <w:r w:rsidRPr="0099170A">
        <w:rPr>
          <w:rFonts w:cstheme="minorHAnsi"/>
          <w:spacing w:val="3"/>
          <w:w w:val="105"/>
        </w:rPr>
        <w:t xml:space="preserve"> </w:t>
      </w:r>
      <w:r w:rsidRPr="0099170A">
        <w:rPr>
          <w:rFonts w:cstheme="minorHAnsi"/>
          <w:w w:val="105"/>
        </w:rPr>
        <w:t>(UCX).</w:t>
      </w:r>
      <w:r w:rsidRPr="0099170A">
        <w:rPr>
          <w:rFonts w:cstheme="minorHAnsi"/>
          <w:spacing w:val="15"/>
          <w:w w:val="105"/>
        </w:rPr>
        <w:t xml:space="preserve"> </w:t>
      </w:r>
      <w:r w:rsidR="00E949D1" w:rsidRPr="0099170A">
        <w:rPr>
          <w:rFonts w:cstheme="minorHAnsi"/>
          <w:w w:val="105"/>
        </w:rPr>
        <w:t xml:space="preserve">The program provides </w:t>
      </w:r>
      <w:r w:rsidRPr="0099170A">
        <w:rPr>
          <w:rFonts w:cstheme="minorHAnsi"/>
          <w:w w:val="105"/>
        </w:rPr>
        <w:t>specific</w:t>
      </w:r>
      <w:r w:rsidRPr="0099170A">
        <w:rPr>
          <w:rFonts w:cstheme="minorHAnsi"/>
          <w:spacing w:val="15"/>
          <w:w w:val="105"/>
        </w:rPr>
        <w:t xml:space="preserve"> </w:t>
      </w:r>
      <w:r w:rsidRPr="0099170A">
        <w:rPr>
          <w:rFonts w:cstheme="minorHAnsi"/>
          <w:w w:val="105"/>
        </w:rPr>
        <w:t>intensive</w:t>
      </w:r>
      <w:r w:rsidRPr="0099170A">
        <w:rPr>
          <w:rFonts w:cstheme="minorHAnsi"/>
          <w:spacing w:val="15"/>
          <w:w w:val="105"/>
        </w:rPr>
        <w:t xml:space="preserve"> </w:t>
      </w:r>
      <w:r w:rsidRPr="0099170A">
        <w:rPr>
          <w:rFonts w:cstheme="minorHAnsi"/>
          <w:w w:val="105"/>
        </w:rPr>
        <w:t>services</w:t>
      </w:r>
      <w:r w:rsidRPr="0099170A">
        <w:rPr>
          <w:rFonts w:cstheme="minorHAnsi"/>
          <w:spacing w:val="15"/>
          <w:w w:val="105"/>
        </w:rPr>
        <w:t xml:space="preserve"> </w:t>
      </w:r>
      <w:r w:rsidRPr="0099170A">
        <w:rPr>
          <w:rFonts w:cstheme="minorHAnsi"/>
          <w:w w:val="105"/>
        </w:rPr>
        <w:t>to</w:t>
      </w:r>
      <w:r w:rsidRPr="0099170A">
        <w:rPr>
          <w:rFonts w:cstheme="minorHAnsi"/>
          <w:spacing w:val="15"/>
          <w:w w:val="105"/>
        </w:rPr>
        <w:t xml:space="preserve"> </w:t>
      </w:r>
      <w:r w:rsidRPr="0099170A">
        <w:rPr>
          <w:rFonts w:cstheme="minorHAnsi"/>
          <w:w w:val="105"/>
        </w:rPr>
        <w:t>these</w:t>
      </w:r>
      <w:r w:rsidRPr="0099170A">
        <w:rPr>
          <w:rFonts w:cstheme="minorHAnsi"/>
          <w:spacing w:val="15"/>
          <w:w w:val="105"/>
        </w:rPr>
        <w:t xml:space="preserve"> </w:t>
      </w:r>
      <w:r w:rsidRPr="0099170A">
        <w:rPr>
          <w:rFonts w:cstheme="minorHAnsi"/>
          <w:w w:val="105"/>
        </w:rPr>
        <w:t>populations</w:t>
      </w:r>
      <w:r w:rsidR="00E949D1" w:rsidRPr="0099170A">
        <w:rPr>
          <w:rFonts w:cstheme="minorHAnsi"/>
          <w:w w:val="105"/>
        </w:rPr>
        <w:t xml:space="preserve"> and helps </w:t>
      </w:r>
      <w:r w:rsidRPr="0099170A">
        <w:rPr>
          <w:rFonts w:cstheme="minorHAnsi"/>
          <w:w w:val="105"/>
        </w:rPr>
        <w:t>detect</w:t>
      </w:r>
      <w:r w:rsidRPr="0099170A">
        <w:rPr>
          <w:rFonts w:cstheme="minorHAnsi"/>
          <w:spacing w:val="15"/>
          <w:w w:val="105"/>
        </w:rPr>
        <w:t xml:space="preserve"> </w:t>
      </w:r>
      <w:r w:rsidR="00E949D1" w:rsidRPr="0099170A">
        <w:rPr>
          <w:rFonts w:cstheme="minorHAnsi"/>
          <w:spacing w:val="15"/>
          <w:w w:val="105"/>
        </w:rPr>
        <w:t xml:space="preserve">and prevent </w:t>
      </w:r>
      <w:r w:rsidRPr="0099170A">
        <w:rPr>
          <w:rFonts w:cstheme="minorHAnsi"/>
          <w:w w:val="105"/>
        </w:rPr>
        <w:t>erroneous</w:t>
      </w:r>
      <w:r w:rsidRPr="0099170A">
        <w:rPr>
          <w:rFonts w:cstheme="minorHAnsi"/>
          <w:spacing w:val="15"/>
          <w:w w:val="105"/>
        </w:rPr>
        <w:t xml:space="preserve"> </w:t>
      </w:r>
      <w:r w:rsidRPr="0099170A">
        <w:rPr>
          <w:rFonts w:cstheme="minorHAnsi"/>
          <w:w w:val="105"/>
        </w:rPr>
        <w:t>Unemployment</w:t>
      </w:r>
      <w:r w:rsidRPr="0099170A">
        <w:rPr>
          <w:rFonts w:cstheme="minorHAnsi"/>
          <w:spacing w:val="15"/>
          <w:w w:val="105"/>
        </w:rPr>
        <w:t xml:space="preserve"> </w:t>
      </w:r>
      <w:r w:rsidRPr="0099170A">
        <w:rPr>
          <w:rFonts w:cstheme="minorHAnsi"/>
          <w:w w:val="105"/>
        </w:rPr>
        <w:t>Insurance</w:t>
      </w:r>
      <w:r w:rsidRPr="0099170A">
        <w:rPr>
          <w:rFonts w:cstheme="minorHAnsi"/>
          <w:spacing w:val="15"/>
          <w:w w:val="105"/>
        </w:rPr>
        <w:t xml:space="preserve"> </w:t>
      </w:r>
      <w:r w:rsidRPr="0099170A">
        <w:rPr>
          <w:rFonts w:cstheme="minorHAnsi"/>
          <w:w w:val="105"/>
        </w:rPr>
        <w:t>(UI)</w:t>
      </w:r>
      <w:r w:rsidRPr="0099170A">
        <w:rPr>
          <w:rFonts w:cstheme="minorHAnsi"/>
          <w:spacing w:val="15"/>
          <w:w w:val="105"/>
        </w:rPr>
        <w:t xml:space="preserve"> </w:t>
      </w:r>
      <w:r w:rsidRPr="0099170A">
        <w:rPr>
          <w:rFonts w:cstheme="minorHAnsi"/>
          <w:w w:val="105"/>
        </w:rPr>
        <w:t>payments.</w:t>
      </w:r>
      <w:r w:rsidRPr="0099170A">
        <w:rPr>
          <w:rFonts w:cstheme="minorHAnsi"/>
          <w:spacing w:val="15"/>
          <w:w w:val="105"/>
        </w:rPr>
        <w:t xml:space="preserve"> </w:t>
      </w:r>
      <w:r w:rsidRPr="0099170A">
        <w:rPr>
          <w:rFonts w:cstheme="minorHAnsi"/>
          <w:w w:val="105"/>
        </w:rPr>
        <w:t>The</w:t>
      </w:r>
      <w:r w:rsidRPr="0099170A">
        <w:rPr>
          <w:rFonts w:cstheme="minorHAnsi"/>
          <w:w w:val="111"/>
        </w:rPr>
        <w:t xml:space="preserve"> </w:t>
      </w:r>
      <w:r w:rsidRPr="0099170A">
        <w:rPr>
          <w:rFonts w:cstheme="minorHAnsi"/>
          <w:w w:val="105"/>
        </w:rPr>
        <w:t>RESEA program uses a one-on-one intensive appointment process.</w:t>
      </w:r>
    </w:p>
    <w:p w14:paraId="0BC6F267" w14:textId="77777777" w:rsidR="00EA7458" w:rsidRPr="0099170A" w:rsidRDefault="00EA7458" w:rsidP="00D63204">
      <w:pPr>
        <w:widowControl w:val="0"/>
        <w:spacing w:before="6" w:after="0" w:line="240" w:lineRule="auto"/>
        <w:ind w:left="107"/>
        <w:rPr>
          <w:rFonts w:cstheme="minorHAnsi"/>
          <w:sz w:val="16"/>
          <w:szCs w:val="16"/>
        </w:rPr>
      </w:pPr>
    </w:p>
    <w:p w14:paraId="6A4E186E" w14:textId="77777777" w:rsidR="00EA7458" w:rsidRPr="0099170A" w:rsidRDefault="00EA7458" w:rsidP="00D63204">
      <w:pPr>
        <w:widowControl w:val="0"/>
        <w:spacing w:after="0" w:line="240" w:lineRule="auto"/>
        <w:ind w:left="107"/>
        <w:outlineLvl w:val="2"/>
        <w:rPr>
          <w:rFonts w:cstheme="minorHAnsi"/>
        </w:rPr>
      </w:pPr>
      <w:r w:rsidRPr="0099170A">
        <w:rPr>
          <w:rFonts w:cstheme="minorHAnsi"/>
          <w:b/>
          <w:bCs/>
          <w:color w:val="231F20"/>
          <w:w w:val="110"/>
        </w:rPr>
        <w:t>Each RESEA participant</w:t>
      </w:r>
      <w:r w:rsidRPr="0099170A">
        <w:rPr>
          <w:rFonts w:cstheme="minorHAnsi"/>
          <w:b/>
          <w:bCs/>
          <w:color w:val="231F20"/>
          <w:spacing w:val="-21"/>
          <w:w w:val="110"/>
        </w:rPr>
        <w:t xml:space="preserve"> </w:t>
      </w:r>
      <w:r w:rsidRPr="0099170A">
        <w:rPr>
          <w:rFonts w:cstheme="minorHAnsi"/>
          <w:b/>
          <w:bCs/>
          <w:color w:val="231F20"/>
          <w:w w:val="110"/>
        </w:rPr>
        <w:t>receives:</w:t>
      </w:r>
    </w:p>
    <w:p w14:paraId="510C2AF2" w14:textId="14134121" w:rsidR="00EA7458" w:rsidRPr="00AE166E" w:rsidRDefault="00EA7458" w:rsidP="00D63204">
      <w:pPr>
        <w:pStyle w:val="ListParagraph"/>
        <w:widowControl w:val="0"/>
        <w:numPr>
          <w:ilvl w:val="0"/>
          <w:numId w:val="42"/>
        </w:numPr>
        <w:spacing w:before="195" w:after="0" w:line="240" w:lineRule="auto"/>
        <w:rPr>
          <w:rFonts w:cstheme="minorHAnsi"/>
        </w:rPr>
      </w:pPr>
      <w:r w:rsidRPr="00AE166E">
        <w:rPr>
          <w:rFonts w:cstheme="minorHAnsi"/>
          <w:color w:val="231F20"/>
          <w:w w:val="105"/>
        </w:rPr>
        <w:t>An orientation about the career center’s</w:t>
      </w:r>
      <w:r w:rsidRPr="00AE166E">
        <w:rPr>
          <w:rFonts w:cstheme="minorHAnsi"/>
          <w:color w:val="231F20"/>
          <w:spacing w:val="30"/>
          <w:w w:val="105"/>
        </w:rPr>
        <w:t xml:space="preserve"> </w:t>
      </w:r>
      <w:r w:rsidRPr="00AE166E">
        <w:rPr>
          <w:rFonts w:cstheme="minorHAnsi"/>
          <w:color w:val="231F20"/>
          <w:w w:val="105"/>
        </w:rPr>
        <w:t>services</w:t>
      </w:r>
    </w:p>
    <w:p w14:paraId="41B65D10" w14:textId="77777777" w:rsidR="00AE166E" w:rsidRPr="00AE166E" w:rsidRDefault="00AE166E" w:rsidP="00D63204">
      <w:pPr>
        <w:pStyle w:val="ListParagraph"/>
        <w:widowControl w:val="0"/>
        <w:spacing w:before="195" w:after="0" w:line="240" w:lineRule="auto"/>
        <w:ind w:left="827"/>
        <w:rPr>
          <w:rFonts w:cstheme="minorHAnsi"/>
        </w:rPr>
      </w:pPr>
    </w:p>
    <w:p w14:paraId="5AD870D6" w14:textId="79B467E8" w:rsidR="00EA7458" w:rsidRPr="00AE166E" w:rsidRDefault="00EA7458" w:rsidP="00D63204">
      <w:pPr>
        <w:pStyle w:val="ListParagraph"/>
        <w:widowControl w:val="0"/>
        <w:numPr>
          <w:ilvl w:val="0"/>
          <w:numId w:val="42"/>
        </w:numPr>
        <w:spacing w:before="85" w:after="0" w:line="240" w:lineRule="auto"/>
        <w:rPr>
          <w:rFonts w:cstheme="minorHAnsi"/>
        </w:rPr>
      </w:pPr>
      <w:r w:rsidRPr="00AE166E">
        <w:rPr>
          <w:rFonts w:cstheme="minorHAnsi"/>
          <w:color w:val="231F20"/>
          <w:w w:val="105"/>
        </w:rPr>
        <w:t>An initial assessment to determine the claimant’s strengths, weaknesses and barriers to</w:t>
      </w:r>
      <w:r w:rsidRPr="00AE166E">
        <w:rPr>
          <w:rFonts w:cstheme="minorHAnsi"/>
          <w:color w:val="231F20"/>
          <w:spacing w:val="42"/>
          <w:w w:val="105"/>
        </w:rPr>
        <w:t xml:space="preserve"> </w:t>
      </w:r>
      <w:r w:rsidRPr="00AE166E">
        <w:rPr>
          <w:rFonts w:cstheme="minorHAnsi"/>
          <w:color w:val="231F20"/>
          <w:w w:val="105"/>
        </w:rPr>
        <w:t>employment</w:t>
      </w:r>
    </w:p>
    <w:p w14:paraId="19031E7A" w14:textId="77777777" w:rsidR="00AE166E" w:rsidRPr="00AE166E" w:rsidRDefault="00AE166E" w:rsidP="00D63204">
      <w:pPr>
        <w:pStyle w:val="ListParagraph"/>
        <w:widowControl w:val="0"/>
        <w:spacing w:before="85" w:after="0" w:line="240" w:lineRule="auto"/>
        <w:ind w:left="827"/>
        <w:rPr>
          <w:rFonts w:cstheme="minorHAnsi"/>
        </w:rPr>
      </w:pPr>
    </w:p>
    <w:p w14:paraId="3C6DA34D" w14:textId="50A7C36A" w:rsidR="00EA7458" w:rsidRPr="00AE166E" w:rsidRDefault="00EA7458" w:rsidP="00D63204">
      <w:pPr>
        <w:pStyle w:val="ListParagraph"/>
        <w:widowControl w:val="0"/>
        <w:numPr>
          <w:ilvl w:val="0"/>
          <w:numId w:val="42"/>
        </w:numPr>
        <w:spacing w:before="83" w:after="0" w:line="264" w:lineRule="exact"/>
        <w:rPr>
          <w:rFonts w:cstheme="minorHAnsi"/>
        </w:rPr>
      </w:pPr>
      <w:r w:rsidRPr="00AE166E">
        <w:rPr>
          <w:rFonts w:cstheme="minorHAnsi"/>
          <w:color w:val="231F20"/>
          <w:w w:val="105"/>
        </w:rPr>
        <w:t>Labor market information unique to the participant’s past or future occupation and work</w:t>
      </w:r>
      <w:r w:rsidRPr="00AE166E">
        <w:rPr>
          <w:rFonts w:cstheme="minorHAnsi"/>
          <w:color w:val="231F20"/>
          <w:spacing w:val="31"/>
          <w:w w:val="105"/>
        </w:rPr>
        <w:t xml:space="preserve"> </w:t>
      </w:r>
      <w:r w:rsidRPr="00AE166E">
        <w:rPr>
          <w:rFonts w:cstheme="minorHAnsi"/>
          <w:color w:val="231F20"/>
          <w:w w:val="105"/>
        </w:rPr>
        <w:t>experience.</w:t>
      </w:r>
      <w:r w:rsidRPr="00AE166E">
        <w:rPr>
          <w:rFonts w:cstheme="minorHAnsi"/>
          <w:color w:val="231F20"/>
          <w:w w:val="91"/>
        </w:rPr>
        <w:t xml:space="preserve"> </w:t>
      </w:r>
      <w:r w:rsidRPr="00AE166E">
        <w:rPr>
          <w:rFonts w:cstheme="minorHAnsi"/>
          <w:color w:val="231F20"/>
          <w:w w:val="105"/>
        </w:rPr>
        <w:t>If</w:t>
      </w:r>
      <w:r w:rsidRPr="00AE166E">
        <w:rPr>
          <w:rFonts w:cstheme="minorHAnsi"/>
          <w:color w:val="231F20"/>
          <w:spacing w:val="5"/>
          <w:w w:val="105"/>
        </w:rPr>
        <w:t xml:space="preserve"> </w:t>
      </w:r>
      <w:r w:rsidRPr="00AE166E">
        <w:rPr>
          <w:rFonts w:cstheme="minorHAnsi"/>
          <w:color w:val="231F20"/>
          <w:w w:val="105"/>
        </w:rPr>
        <w:t>the</w:t>
      </w:r>
      <w:r w:rsidRPr="00AE166E">
        <w:rPr>
          <w:rFonts w:cstheme="minorHAnsi"/>
          <w:color w:val="231F20"/>
          <w:spacing w:val="5"/>
          <w:w w:val="105"/>
        </w:rPr>
        <w:t xml:space="preserve"> </w:t>
      </w:r>
      <w:r w:rsidRPr="00AE166E">
        <w:rPr>
          <w:rFonts w:cstheme="minorHAnsi"/>
          <w:color w:val="231F20"/>
          <w:w w:val="105"/>
        </w:rPr>
        <w:t>labor</w:t>
      </w:r>
      <w:r w:rsidRPr="00AE166E">
        <w:rPr>
          <w:rFonts w:cstheme="minorHAnsi"/>
          <w:color w:val="231F20"/>
          <w:spacing w:val="5"/>
          <w:w w:val="105"/>
        </w:rPr>
        <w:t xml:space="preserve"> </w:t>
      </w:r>
      <w:r w:rsidRPr="00AE166E">
        <w:rPr>
          <w:rFonts w:cstheme="minorHAnsi"/>
          <w:color w:val="231F20"/>
          <w:w w:val="105"/>
        </w:rPr>
        <w:t>market</w:t>
      </w:r>
      <w:r w:rsidRPr="00AE166E">
        <w:rPr>
          <w:rFonts w:cstheme="minorHAnsi"/>
          <w:color w:val="231F20"/>
          <w:spacing w:val="5"/>
          <w:w w:val="105"/>
        </w:rPr>
        <w:t xml:space="preserve"> </w:t>
      </w:r>
      <w:r w:rsidRPr="00AE166E">
        <w:rPr>
          <w:rFonts w:cstheme="minorHAnsi"/>
          <w:color w:val="231F20"/>
          <w:w w:val="105"/>
        </w:rPr>
        <w:t>information</w:t>
      </w:r>
      <w:r w:rsidRPr="00AE166E">
        <w:rPr>
          <w:rFonts w:cstheme="minorHAnsi"/>
          <w:color w:val="231F20"/>
          <w:spacing w:val="5"/>
          <w:w w:val="105"/>
        </w:rPr>
        <w:t xml:space="preserve"> </w:t>
      </w:r>
      <w:r w:rsidRPr="00AE166E">
        <w:rPr>
          <w:rFonts w:cstheme="minorHAnsi"/>
          <w:color w:val="231F20"/>
          <w:w w:val="105"/>
        </w:rPr>
        <w:t>shows</w:t>
      </w:r>
      <w:r w:rsidRPr="00AE166E">
        <w:rPr>
          <w:rFonts w:cstheme="minorHAnsi"/>
          <w:color w:val="231F20"/>
          <w:spacing w:val="5"/>
          <w:w w:val="105"/>
        </w:rPr>
        <w:t xml:space="preserve"> </w:t>
      </w:r>
      <w:r w:rsidRPr="00AE166E">
        <w:rPr>
          <w:rFonts w:cstheme="minorHAnsi"/>
          <w:color w:val="231F20"/>
          <w:w w:val="105"/>
        </w:rPr>
        <w:t>the</w:t>
      </w:r>
      <w:r w:rsidRPr="00AE166E">
        <w:rPr>
          <w:rFonts w:cstheme="minorHAnsi"/>
          <w:color w:val="231F20"/>
          <w:spacing w:val="5"/>
          <w:w w:val="105"/>
        </w:rPr>
        <w:t xml:space="preserve"> </w:t>
      </w:r>
      <w:r w:rsidRPr="00AE166E">
        <w:rPr>
          <w:rFonts w:cstheme="minorHAnsi"/>
          <w:color w:val="231F20"/>
          <w:w w:val="105"/>
        </w:rPr>
        <w:t>participant’s</w:t>
      </w:r>
      <w:r w:rsidRPr="00AE166E">
        <w:rPr>
          <w:rFonts w:cstheme="minorHAnsi"/>
          <w:color w:val="231F20"/>
          <w:spacing w:val="5"/>
          <w:w w:val="105"/>
        </w:rPr>
        <w:t xml:space="preserve"> </w:t>
      </w:r>
      <w:r w:rsidRPr="00AE166E">
        <w:rPr>
          <w:rFonts w:cstheme="minorHAnsi"/>
          <w:color w:val="231F20"/>
          <w:w w:val="105"/>
        </w:rPr>
        <w:t>occupation</w:t>
      </w:r>
      <w:r w:rsidRPr="00AE166E">
        <w:rPr>
          <w:rFonts w:cstheme="minorHAnsi"/>
          <w:color w:val="231F20"/>
          <w:spacing w:val="5"/>
          <w:w w:val="105"/>
        </w:rPr>
        <w:t xml:space="preserve"> </w:t>
      </w:r>
      <w:r w:rsidRPr="00AE166E">
        <w:rPr>
          <w:rFonts w:cstheme="minorHAnsi"/>
          <w:color w:val="231F20"/>
          <w:w w:val="105"/>
        </w:rPr>
        <w:t>to</w:t>
      </w:r>
      <w:r w:rsidRPr="00AE166E">
        <w:rPr>
          <w:rFonts w:cstheme="minorHAnsi"/>
          <w:color w:val="231F20"/>
          <w:spacing w:val="5"/>
          <w:w w:val="105"/>
        </w:rPr>
        <w:t xml:space="preserve"> </w:t>
      </w:r>
      <w:r w:rsidRPr="00AE166E">
        <w:rPr>
          <w:rFonts w:cstheme="minorHAnsi"/>
          <w:color w:val="231F20"/>
          <w:w w:val="105"/>
        </w:rPr>
        <w:t>be</w:t>
      </w:r>
      <w:r w:rsidRPr="00AE166E">
        <w:rPr>
          <w:rFonts w:cstheme="minorHAnsi"/>
          <w:color w:val="231F20"/>
          <w:spacing w:val="5"/>
          <w:w w:val="105"/>
        </w:rPr>
        <w:t xml:space="preserve"> </w:t>
      </w:r>
      <w:r w:rsidRPr="00AE166E">
        <w:rPr>
          <w:rFonts w:cstheme="minorHAnsi"/>
          <w:color w:val="231F20"/>
          <w:w w:val="105"/>
        </w:rPr>
        <w:t>in</w:t>
      </w:r>
      <w:r w:rsidRPr="00AE166E">
        <w:rPr>
          <w:rFonts w:cstheme="minorHAnsi"/>
          <w:color w:val="231F20"/>
          <w:spacing w:val="5"/>
          <w:w w:val="105"/>
        </w:rPr>
        <w:t xml:space="preserve"> </w:t>
      </w:r>
      <w:r w:rsidRPr="00AE166E">
        <w:rPr>
          <w:rFonts w:cstheme="minorHAnsi"/>
          <w:color w:val="231F20"/>
          <w:w w:val="105"/>
        </w:rPr>
        <w:t>decline,</w:t>
      </w:r>
      <w:r w:rsidRPr="00AE166E">
        <w:rPr>
          <w:rFonts w:cstheme="minorHAnsi"/>
          <w:color w:val="231F20"/>
          <w:spacing w:val="5"/>
          <w:w w:val="105"/>
        </w:rPr>
        <w:t xml:space="preserve"> </w:t>
      </w:r>
      <w:r w:rsidRPr="00AE166E">
        <w:rPr>
          <w:rFonts w:cstheme="minorHAnsi"/>
          <w:color w:val="231F20"/>
          <w:w w:val="105"/>
        </w:rPr>
        <w:t>they</w:t>
      </w:r>
      <w:r w:rsidRPr="00AE166E">
        <w:rPr>
          <w:rFonts w:cstheme="minorHAnsi"/>
          <w:color w:val="231F20"/>
          <w:spacing w:val="5"/>
          <w:w w:val="105"/>
        </w:rPr>
        <w:t xml:space="preserve"> </w:t>
      </w:r>
      <w:r w:rsidRPr="00AE166E">
        <w:rPr>
          <w:rFonts w:cstheme="minorHAnsi"/>
          <w:color w:val="231F20"/>
          <w:w w:val="105"/>
        </w:rPr>
        <w:t>may</w:t>
      </w:r>
      <w:r w:rsidRPr="00AE166E">
        <w:rPr>
          <w:rFonts w:cstheme="minorHAnsi"/>
          <w:color w:val="231F20"/>
          <w:spacing w:val="5"/>
          <w:w w:val="105"/>
        </w:rPr>
        <w:t xml:space="preserve"> </w:t>
      </w:r>
      <w:r w:rsidRPr="00AE166E">
        <w:rPr>
          <w:rFonts w:cstheme="minorHAnsi"/>
          <w:color w:val="231F20"/>
          <w:w w:val="105"/>
        </w:rPr>
        <w:t>be</w:t>
      </w:r>
      <w:r w:rsidRPr="00AE166E">
        <w:rPr>
          <w:rFonts w:cstheme="minorHAnsi"/>
          <w:color w:val="231F20"/>
          <w:spacing w:val="-46"/>
          <w:w w:val="105"/>
        </w:rPr>
        <w:t xml:space="preserve"> </w:t>
      </w:r>
      <w:r w:rsidRPr="00AE166E">
        <w:rPr>
          <w:rFonts w:cstheme="minorHAnsi"/>
          <w:color w:val="231F20"/>
          <w:w w:val="105"/>
        </w:rPr>
        <w:t>referred for</w:t>
      </w:r>
      <w:r w:rsidRPr="00AE166E">
        <w:rPr>
          <w:rFonts w:cstheme="minorHAnsi"/>
          <w:color w:val="231F20"/>
          <w:spacing w:val="8"/>
          <w:w w:val="105"/>
        </w:rPr>
        <w:t xml:space="preserve"> </w:t>
      </w:r>
      <w:r w:rsidRPr="00AE166E">
        <w:rPr>
          <w:rFonts w:cstheme="minorHAnsi"/>
          <w:color w:val="231F20"/>
          <w:w w:val="105"/>
        </w:rPr>
        <w:t>training</w:t>
      </w:r>
    </w:p>
    <w:p w14:paraId="4F008C3A" w14:textId="77777777" w:rsidR="00AE166E" w:rsidRPr="00AE166E" w:rsidRDefault="00AE166E" w:rsidP="00D63204">
      <w:pPr>
        <w:pStyle w:val="ListParagraph"/>
        <w:widowControl w:val="0"/>
        <w:spacing w:before="83" w:after="0" w:line="264" w:lineRule="exact"/>
        <w:ind w:left="827"/>
        <w:rPr>
          <w:rFonts w:cstheme="minorHAnsi"/>
        </w:rPr>
      </w:pPr>
    </w:p>
    <w:p w14:paraId="551E877B" w14:textId="1656F88C" w:rsidR="00EA7458" w:rsidRPr="00AE166E" w:rsidRDefault="00EA7458" w:rsidP="00D63204">
      <w:pPr>
        <w:pStyle w:val="ListParagraph"/>
        <w:widowControl w:val="0"/>
        <w:numPr>
          <w:ilvl w:val="0"/>
          <w:numId w:val="42"/>
        </w:numPr>
        <w:spacing w:before="91" w:after="0" w:line="240" w:lineRule="auto"/>
        <w:rPr>
          <w:rFonts w:cstheme="minorHAnsi"/>
        </w:rPr>
      </w:pPr>
      <w:r w:rsidRPr="00AE166E">
        <w:rPr>
          <w:rFonts w:cstheme="minorHAnsi"/>
          <w:color w:val="231F20"/>
          <w:w w:val="105"/>
        </w:rPr>
        <w:t>An Employability Development Plan developed jointly by career center staff and the</w:t>
      </w:r>
      <w:r w:rsidRPr="00AE166E">
        <w:rPr>
          <w:rFonts w:cstheme="minorHAnsi"/>
          <w:color w:val="231F20"/>
          <w:spacing w:val="48"/>
          <w:w w:val="105"/>
        </w:rPr>
        <w:t xml:space="preserve"> </w:t>
      </w:r>
      <w:r w:rsidRPr="00AE166E">
        <w:rPr>
          <w:rFonts w:cstheme="minorHAnsi"/>
          <w:color w:val="231F20"/>
          <w:w w:val="105"/>
        </w:rPr>
        <w:t>claimant</w:t>
      </w:r>
    </w:p>
    <w:p w14:paraId="3472EDBD" w14:textId="77777777" w:rsidR="00AE166E" w:rsidRPr="00AE166E" w:rsidRDefault="00AE166E" w:rsidP="00AE166E">
      <w:pPr>
        <w:pStyle w:val="ListParagraph"/>
        <w:rPr>
          <w:rFonts w:cstheme="minorHAnsi"/>
        </w:rPr>
      </w:pPr>
    </w:p>
    <w:p w14:paraId="2189CB6F" w14:textId="77777777" w:rsidR="00AE166E" w:rsidRPr="00AE166E" w:rsidRDefault="00AE166E" w:rsidP="00D63204">
      <w:pPr>
        <w:pStyle w:val="ListParagraph"/>
        <w:widowControl w:val="0"/>
        <w:spacing w:before="91" w:after="0" w:line="240" w:lineRule="auto"/>
        <w:ind w:left="827"/>
        <w:rPr>
          <w:rFonts w:cstheme="minorHAnsi"/>
        </w:rPr>
      </w:pPr>
    </w:p>
    <w:p w14:paraId="0F40509B" w14:textId="40E2B594" w:rsidR="00EA7458" w:rsidRPr="00AE166E" w:rsidRDefault="00EA7458" w:rsidP="00D63204">
      <w:pPr>
        <w:pStyle w:val="ListParagraph"/>
        <w:widowControl w:val="0"/>
        <w:numPr>
          <w:ilvl w:val="0"/>
          <w:numId w:val="42"/>
        </w:numPr>
        <w:spacing w:before="85" w:after="0" w:line="240" w:lineRule="auto"/>
        <w:rPr>
          <w:rFonts w:cstheme="minorHAnsi"/>
        </w:rPr>
      </w:pPr>
      <w:r w:rsidRPr="00AE166E">
        <w:rPr>
          <w:rFonts w:cstheme="minorHAnsi"/>
          <w:color w:val="231F20"/>
          <w:w w:val="105"/>
        </w:rPr>
        <w:t>Referral to at least one work-search activity such as résumé writing or interviewing</w:t>
      </w:r>
      <w:r w:rsidRPr="00AE166E">
        <w:rPr>
          <w:rFonts w:cstheme="minorHAnsi"/>
          <w:color w:val="231F20"/>
          <w:spacing w:val="48"/>
          <w:w w:val="105"/>
        </w:rPr>
        <w:t xml:space="preserve"> </w:t>
      </w:r>
      <w:r w:rsidRPr="00AE166E">
        <w:rPr>
          <w:rFonts w:cstheme="minorHAnsi"/>
          <w:color w:val="231F20"/>
          <w:w w:val="105"/>
        </w:rPr>
        <w:t>workshops</w:t>
      </w:r>
    </w:p>
    <w:p w14:paraId="545CC070" w14:textId="77777777" w:rsidR="00AE166E" w:rsidRPr="00AE166E" w:rsidRDefault="00AE166E" w:rsidP="00D63204">
      <w:pPr>
        <w:pStyle w:val="ListParagraph"/>
        <w:widowControl w:val="0"/>
        <w:spacing w:before="85" w:after="0" w:line="240" w:lineRule="auto"/>
        <w:ind w:left="827"/>
        <w:rPr>
          <w:rFonts w:cstheme="minorHAnsi"/>
        </w:rPr>
      </w:pPr>
    </w:p>
    <w:p w14:paraId="3160F265" w14:textId="77777777" w:rsidR="00EA7458" w:rsidRPr="00AE166E" w:rsidRDefault="00EA7458" w:rsidP="00D63204">
      <w:pPr>
        <w:pStyle w:val="ListParagraph"/>
        <w:widowControl w:val="0"/>
        <w:numPr>
          <w:ilvl w:val="0"/>
          <w:numId w:val="42"/>
        </w:numPr>
        <w:spacing w:before="85" w:after="0" w:line="240" w:lineRule="auto"/>
        <w:rPr>
          <w:rFonts w:cstheme="minorHAnsi"/>
        </w:rPr>
      </w:pPr>
      <w:r w:rsidRPr="00AE166E">
        <w:rPr>
          <w:rFonts w:cstheme="minorHAnsi"/>
          <w:color w:val="231F20"/>
          <w:w w:val="105"/>
        </w:rPr>
        <w:t>Referral to training, if</w:t>
      </w:r>
      <w:r w:rsidRPr="00AE166E">
        <w:rPr>
          <w:rFonts w:cstheme="minorHAnsi"/>
          <w:color w:val="231F20"/>
          <w:spacing w:val="18"/>
          <w:w w:val="105"/>
        </w:rPr>
        <w:t xml:space="preserve"> </w:t>
      </w:r>
      <w:r w:rsidRPr="00AE166E">
        <w:rPr>
          <w:rFonts w:cstheme="minorHAnsi"/>
          <w:color w:val="231F20"/>
          <w:w w:val="105"/>
        </w:rPr>
        <w:t>needed</w:t>
      </w:r>
    </w:p>
    <w:p w14:paraId="02815550" w14:textId="77777777" w:rsidR="00EA7458" w:rsidRPr="0099170A" w:rsidRDefault="00EA7458" w:rsidP="00D63204">
      <w:pPr>
        <w:widowControl w:val="0"/>
        <w:spacing w:before="2" w:after="0" w:line="240" w:lineRule="auto"/>
        <w:ind w:left="107"/>
        <w:rPr>
          <w:rFonts w:cstheme="minorHAnsi"/>
          <w:sz w:val="14"/>
          <w:szCs w:val="14"/>
        </w:rPr>
      </w:pPr>
    </w:p>
    <w:p w14:paraId="36B299C8" w14:textId="031BD80F" w:rsidR="00EA7458" w:rsidRPr="0099170A" w:rsidRDefault="006E4B0B" w:rsidP="00D63204">
      <w:pPr>
        <w:widowControl w:val="0"/>
        <w:spacing w:before="58" w:after="0" w:line="264" w:lineRule="exact"/>
        <w:ind w:left="107"/>
        <w:rPr>
          <w:rFonts w:cstheme="minorHAnsi"/>
        </w:rPr>
      </w:pPr>
      <w:bookmarkStart w:id="119" w:name="(d)_W-P_Funds_to_Support_UI_Claimants_"/>
      <w:bookmarkStart w:id="120" w:name="_bookmark64"/>
      <w:bookmarkEnd w:id="119"/>
      <w:bookmarkEnd w:id="120"/>
      <w:r w:rsidRPr="0099170A">
        <w:rPr>
          <w:rFonts w:cstheme="minorHAnsi"/>
          <w:w w:val="105"/>
        </w:rPr>
        <w:t>Consistent with section 443.091, Florida Statutes,</w:t>
      </w:r>
      <w:r w:rsidRPr="0099170A">
        <w:rPr>
          <w:rFonts w:cstheme="minorHAnsi"/>
          <w:spacing w:val="4"/>
          <w:w w:val="105"/>
        </w:rPr>
        <w:t xml:space="preserve"> </w:t>
      </w:r>
      <w:r w:rsidRPr="0099170A">
        <w:rPr>
          <w:rFonts w:cstheme="minorHAnsi"/>
          <w:w w:val="105"/>
        </w:rPr>
        <w:t>failure</w:t>
      </w:r>
      <w:r w:rsidRPr="0099170A">
        <w:rPr>
          <w:rFonts w:cstheme="minorHAnsi"/>
          <w:w w:val="103"/>
        </w:rPr>
        <w:t xml:space="preserve"> </w:t>
      </w:r>
      <w:r w:rsidRPr="0099170A">
        <w:rPr>
          <w:rFonts w:cstheme="minorHAnsi"/>
          <w:w w:val="105"/>
        </w:rPr>
        <w:t xml:space="preserve">to appear as directed for reemployment services at the appointed career </w:t>
      </w:r>
      <w:r w:rsidR="008106E5" w:rsidRPr="0099170A">
        <w:rPr>
          <w:rFonts w:cstheme="minorHAnsi"/>
          <w:w w:val="105"/>
        </w:rPr>
        <w:t>center, may</w:t>
      </w:r>
      <w:r w:rsidRPr="0099170A">
        <w:rPr>
          <w:rFonts w:cstheme="minorHAnsi"/>
          <w:w w:val="105"/>
        </w:rPr>
        <w:t xml:space="preserve"> affect a participant’s</w:t>
      </w:r>
      <w:r w:rsidRPr="0099170A">
        <w:rPr>
          <w:rFonts w:cstheme="minorHAnsi"/>
          <w:spacing w:val="38"/>
          <w:w w:val="105"/>
        </w:rPr>
        <w:t xml:space="preserve"> </w:t>
      </w:r>
      <w:r w:rsidRPr="0099170A">
        <w:rPr>
          <w:rFonts w:cstheme="minorHAnsi"/>
          <w:w w:val="105"/>
        </w:rPr>
        <w:t>eligibility for</w:t>
      </w:r>
      <w:r w:rsidRPr="0099170A">
        <w:rPr>
          <w:rFonts w:cstheme="minorHAnsi"/>
          <w:spacing w:val="22"/>
          <w:w w:val="105"/>
        </w:rPr>
        <w:t xml:space="preserve"> </w:t>
      </w:r>
      <w:r w:rsidRPr="0099170A">
        <w:rPr>
          <w:rFonts w:cstheme="minorHAnsi"/>
          <w:w w:val="105"/>
        </w:rPr>
        <w:t>benefits</w:t>
      </w:r>
      <w:r w:rsidRPr="0099170A">
        <w:rPr>
          <w:rFonts w:cstheme="minorHAnsi"/>
          <w:spacing w:val="22"/>
          <w:w w:val="105"/>
        </w:rPr>
        <w:t xml:space="preserve"> </w:t>
      </w:r>
      <w:r w:rsidRPr="0099170A">
        <w:rPr>
          <w:rFonts w:cstheme="minorHAnsi"/>
          <w:w w:val="105"/>
        </w:rPr>
        <w:t>and</w:t>
      </w:r>
      <w:r w:rsidRPr="0099170A">
        <w:rPr>
          <w:rFonts w:cstheme="minorHAnsi"/>
          <w:spacing w:val="22"/>
          <w:w w:val="105"/>
        </w:rPr>
        <w:t xml:space="preserve"> </w:t>
      </w:r>
      <w:r w:rsidRPr="0099170A">
        <w:rPr>
          <w:rFonts w:cstheme="minorHAnsi"/>
          <w:w w:val="105"/>
        </w:rPr>
        <w:t>services.</w:t>
      </w:r>
      <w:r w:rsidRPr="0099170A">
        <w:rPr>
          <w:rFonts w:cstheme="minorHAnsi"/>
          <w:spacing w:val="22"/>
          <w:w w:val="105"/>
        </w:rPr>
        <w:t xml:space="preserve"> </w:t>
      </w:r>
      <w:r w:rsidR="00EA7458" w:rsidRPr="0099170A">
        <w:rPr>
          <w:rFonts w:cstheme="minorHAnsi"/>
          <w:w w:val="105"/>
        </w:rPr>
        <w:t>There</w:t>
      </w:r>
      <w:r w:rsidR="00EA7458" w:rsidRPr="0099170A">
        <w:rPr>
          <w:rFonts w:cstheme="minorHAnsi"/>
          <w:spacing w:val="13"/>
          <w:w w:val="105"/>
        </w:rPr>
        <w:t xml:space="preserve"> </w:t>
      </w:r>
      <w:r w:rsidR="00EA7458" w:rsidRPr="0099170A">
        <w:rPr>
          <w:rFonts w:cstheme="minorHAnsi"/>
          <w:w w:val="105"/>
        </w:rPr>
        <w:t>is</w:t>
      </w:r>
      <w:r w:rsidR="00EA7458" w:rsidRPr="0099170A">
        <w:rPr>
          <w:rFonts w:cstheme="minorHAnsi"/>
          <w:spacing w:val="13"/>
          <w:w w:val="105"/>
        </w:rPr>
        <w:t xml:space="preserve"> </w:t>
      </w:r>
      <w:r w:rsidR="00EA7458" w:rsidRPr="0099170A">
        <w:rPr>
          <w:rFonts w:cstheme="minorHAnsi"/>
          <w:w w:val="105"/>
        </w:rPr>
        <w:t>a</w:t>
      </w:r>
      <w:r w:rsidR="00EA7458" w:rsidRPr="0099170A">
        <w:rPr>
          <w:rFonts w:cstheme="minorHAnsi"/>
          <w:spacing w:val="13"/>
          <w:w w:val="105"/>
        </w:rPr>
        <w:t xml:space="preserve"> </w:t>
      </w:r>
      <w:r w:rsidR="00EA7458" w:rsidRPr="0099170A">
        <w:rPr>
          <w:rFonts w:cstheme="minorHAnsi"/>
          <w:w w:val="105"/>
        </w:rPr>
        <w:t>feedback</w:t>
      </w:r>
      <w:r w:rsidR="00EA7458" w:rsidRPr="0099170A">
        <w:rPr>
          <w:rFonts w:cstheme="minorHAnsi"/>
          <w:spacing w:val="13"/>
          <w:w w:val="105"/>
        </w:rPr>
        <w:t xml:space="preserve"> </w:t>
      </w:r>
      <w:r w:rsidR="00EA7458" w:rsidRPr="0099170A">
        <w:rPr>
          <w:rFonts w:cstheme="minorHAnsi"/>
          <w:w w:val="105"/>
        </w:rPr>
        <w:t>loop</w:t>
      </w:r>
      <w:r w:rsidR="00EA7458" w:rsidRPr="0099170A">
        <w:rPr>
          <w:rFonts w:cstheme="minorHAnsi"/>
          <w:spacing w:val="13"/>
          <w:w w:val="105"/>
        </w:rPr>
        <w:t xml:space="preserve"> </w:t>
      </w:r>
      <w:r w:rsidR="00EA7458" w:rsidRPr="0099170A">
        <w:rPr>
          <w:rFonts w:cstheme="minorHAnsi"/>
          <w:w w:val="105"/>
        </w:rPr>
        <w:t>to</w:t>
      </w:r>
      <w:r w:rsidR="00EA7458" w:rsidRPr="0099170A">
        <w:rPr>
          <w:rFonts w:cstheme="minorHAnsi"/>
          <w:spacing w:val="13"/>
          <w:w w:val="105"/>
        </w:rPr>
        <w:t xml:space="preserve"> </w:t>
      </w:r>
      <w:r w:rsidR="00EA7458" w:rsidRPr="0099170A">
        <w:rPr>
          <w:rFonts w:cstheme="minorHAnsi"/>
          <w:w w:val="105"/>
        </w:rPr>
        <w:t>the</w:t>
      </w:r>
      <w:r w:rsidR="00EA7458" w:rsidRPr="0099170A">
        <w:rPr>
          <w:rFonts w:cstheme="minorHAnsi"/>
          <w:spacing w:val="13"/>
          <w:w w:val="105"/>
        </w:rPr>
        <w:t xml:space="preserve"> </w:t>
      </w:r>
      <w:r w:rsidR="00EA7458" w:rsidRPr="0099170A">
        <w:rPr>
          <w:rFonts w:cstheme="minorHAnsi"/>
          <w:w w:val="105"/>
        </w:rPr>
        <w:t>Reemployment</w:t>
      </w:r>
      <w:r w:rsidR="00EA7458" w:rsidRPr="0099170A">
        <w:rPr>
          <w:rFonts w:cstheme="minorHAnsi"/>
          <w:spacing w:val="13"/>
          <w:w w:val="105"/>
        </w:rPr>
        <w:t xml:space="preserve"> </w:t>
      </w:r>
      <w:r w:rsidR="00EA7458" w:rsidRPr="0099170A">
        <w:rPr>
          <w:rFonts w:cstheme="minorHAnsi"/>
          <w:w w:val="105"/>
        </w:rPr>
        <w:t>Assistance</w:t>
      </w:r>
      <w:r w:rsidR="00EA7458" w:rsidRPr="0099170A">
        <w:rPr>
          <w:rFonts w:cstheme="minorHAnsi"/>
          <w:spacing w:val="13"/>
          <w:w w:val="105"/>
        </w:rPr>
        <w:t xml:space="preserve"> </w:t>
      </w:r>
      <w:r w:rsidR="00EA7458" w:rsidRPr="0099170A">
        <w:rPr>
          <w:rFonts w:cstheme="minorHAnsi"/>
          <w:w w:val="105"/>
        </w:rPr>
        <w:t>Program</w:t>
      </w:r>
      <w:r w:rsidR="00EA7458" w:rsidRPr="0099170A">
        <w:rPr>
          <w:rFonts w:cstheme="minorHAnsi"/>
          <w:spacing w:val="13"/>
          <w:w w:val="105"/>
        </w:rPr>
        <w:t xml:space="preserve"> </w:t>
      </w:r>
      <w:r w:rsidR="00EA7458" w:rsidRPr="0099170A">
        <w:rPr>
          <w:rFonts w:cstheme="minorHAnsi"/>
          <w:w w:val="105"/>
        </w:rPr>
        <w:t>for</w:t>
      </w:r>
      <w:r w:rsidR="00EA7458" w:rsidRPr="0099170A">
        <w:rPr>
          <w:rFonts w:cstheme="minorHAnsi"/>
          <w:spacing w:val="13"/>
          <w:w w:val="105"/>
        </w:rPr>
        <w:t xml:space="preserve"> </w:t>
      </w:r>
      <w:r w:rsidR="00EA7458" w:rsidRPr="0099170A">
        <w:rPr>
          <w:rFonts w:cstheme="minorHAnsi"/>
          <w:w w:val="105"/>
        </w:rPr>
        <w:t>RESEA</w:t>
      </w:r>
      <w:r w:rsidR="00EA7458" w:rsidRPr="0099170A">
        <w:rPr>
          <w:rFonts w:cstheme="minorHAnsi"/>
          <w:spacing w:val="13"/>
          <w:w w:val="105"/>
        </w:rPr>
        <w:t xml:space="preserve"> </w:t>
      </w:r>
      <w:r w:rsidR="00EA7458" w:rsidRPr="0099170A">
        <w:rPr>
          <w:rFonts w:cstheme="minorHAnsi"/>
          <w:w w:val="105"/>
        </w:rPr>
        <w:t>participants</w:t>
      </w:r>
      <w:r w:rsidR="00EA7458" w:rsidRPr="0099170A">
        <w:rPr>
          <w:rFonts w:cstheme="minorHAnsi"/>
          <w:spacing w:val="13"/>
          <w:w w:val="105"/>
        </w:rPr>
        <w:t xml:space="preserve"> </w:t>
      </w:r>
      <w:r w:rsidR="00EA7458" w:rsidRPr="0099170A">
        <w:rPr>
          <w:rFonts w:cstheme="minorHAnsi"/>
          <w:w w:val="105"/>
        </w:rPr>
        <w:t>who</w:t>
      </w:r>
      <w:r w:rsidR="00EA7458" w:rsidRPr="0099170A">
        <w:rPr>
          <w:rFonts w:cstheme="minorHAnsi"/>
          <w:spacing w:val="13"/>
          <w:w w:val="105"/>
        </w:rPr>
        <w:t xml:space="preserve"> </w:t>
      </w:r>
      <w:r w:rsidRPr="0099170A">
        <w:rPr>
          <w:rFonts w:cstheme="minorHAnsi"/>
          <w:w w:val="105"/>
        </w:rPr>
        <w:t xml:space="preserve">miss </w:t>
      </w:r>
      <w:r w:rsidR="00EA7458" w:rsidRPr="0099170A">
        <w:rPr>
          <w:rFonts w:cstheme="minorHAnsi"/>
          <w:w w:val="105"/>
        </w:rPr>
        <w:t xml:space="preserve">their initial appointment. Reemployment </w:t>
      </w:r>
      <w:r w:rsidR="007E0851">
        <w:rPr>
          <w:rFonts w:cstheme="minorHAnsi"/>
          <w:w w:val="105"/>
        </w:rPr>
        <w:t>a</w:t>
      </w:r>
      <w:r w:rsidR="00EA7458" w:rsidRPr="0099170A">
        <w:rPr>
          <w:rFonts w:cstheme="minorHAnsi"/>
          <w:w w:val="105"/>
        </w:rPr>
        <w:t>ssistance adjudicators review the reason for</w:t>
      </w:r>
      <w:r w:rsidR="00EA7458" w:rsidRPr="0099170A">
        <w:rPr>
          <w:rFonts w:cstheme="minorHAnsi"/>
          <w:spacing w:val="11"/>
          <w:w w:val="105"/>
        </w:rPr>
        <w:t xml:space="preserve"> </w:t>
      </w:r>
      <w:r w:rsidR="00EA7458" w:rsidRPr="0099170A">
        <w:rPr>
          <w:rFonts w:cstheme="minorHAnsi"/>
          <w:w w:val="105"/>
        </w:rPr>
        <w:t>the</w:t>
      </w:r>
      <w:r w:rsidR="00EA7458" w:rsidRPr="0099170A">
        <w:rPr>
          <w:rFonts w:cstheme="minorHAnsi"/>
          <w:w w:val="103"/>
        </w:rPr>
        <w:t xml:space="preserve"> </w:t>
      </w:r>
      <w:r w:rsidR="00EA7458" w:rsidRPr="0099170A">
        <w:rPr>
          <w:rFonts w:cstheme="minorHAnsi"/>
          <w:w w:val="105"/>
        </w:rPr>
        <w:t xml:space="preserve">participant’s failure to report to the career </w:t>
      </w:r>
      <w:r w:rsidR="00EA7458" w:rsidRPr="0099170A">
        <w:rPr>
          <w:rFonts w:cstheme="minorHAnsi"/>
          <w:spacing w:val="-3"/>
          <w:w w:val="105"/>
        </w:rPr>
        <w:t>center</w:t>
      </w:r>
      <w:r w:rsidRPr="0099170A">
        <w:rPr>
          <w:rFonts w:cstheme="minorHAnsi"/>
          <w:spacing w:val="-3"/>
          <w:w w:val="105"/>
        </w:rPr>
        <w:t xml:space="preserve"> </w:t>
      </w:r>
      <w:r w:rsidR="008106E5" w:rsidRPr="0099170A">
        <w:rPr>
          <w:rFonts w:cstheme="minorHAnsi"/>
          <w:spacing w:val="-3"/>
          <w:w w:val="105"/>
        </w:rPr>
        <w:t>and</w:t>
      </w:r>
      <w:r w:rsidRPr="0099170A">
        <w:rPr>
          <w:rFonts w:cstheme="minorHAnsi"/>
          <w:spacing w:val="6"/>
          <w:w w:val="105"/>
        </w:rPr>
        <w:t xml:space="preserve"> </w:t>
      </w:r>
      <w:r w:rsidRPr="0099170A">
        <w:rPr>
          <w:rFonts w:cstheme="minorHAnsi"/>
          <w:w w:val="105"/>
        </w:rPr>
        <w:t>there</w:t>
      </w:r>
      <w:r w:rsidRPr="0099170A">
        <w:rPr>
          <w:rFonts w:cstheme="minorHAnsi"/>
          <w:spacing w:val="6"/>
          <w:w w:val="105"/>
        </w:rPr>
        <w:t xml:space="preserve"> </w:t>
      </w:r>
      <w:r w:rsidRPr="0099170A">
        <w:rPr>
          <w:rFonts w:cstheme="minorHAnsi"/>
          <w:w w:val="105"/>
        </w:rPr>
        <w:t>are</w:t>
      </w:r>
      <w:r w:rsidRPr="0099170A">
        <w:rPr>
          <w:rFonts w:cstheme="minorHAnsi"/>
          <w:spacing w:val="6"/>
          <w:w w:val="105"/>
        </w:rPr>
        <w:t xml:space="preserve"> </w:t>
      </w:r>
      <w:r w:rsidRPr="0099170A">
        <w:rPr>
          <w:rFonts w:cstheme="minorHAnsi"/>
          <w:w w:val="105"/>
        </w:rPr>
        <w:t>no</w:t>
      </w:r>
      <w:r w:rsidRPr="0099170A">
        <w:rPr>
          <w:rFonts w:cstheme="minorHAnsi"/>
          <w:spacing w:val="6"/>
          <w:w w:val="105"/>
        </w:rPr>
        <w:t xml:space="preserve"> </w:t>
      </w:r>
      <w:r w:rsidRPr="0099170A">
        <w:rPr>
          <w:rFonts w:cstheme="minorHAnsi"/>
          <w:w w:val="105"/>
        </w:rPr>
        <w:t>extenuating</w:t>
      </w:r>
      <w:r w:rsidRPr="0099170A">
        <w:rPr>
          <w:rFonts w:cstheme="minorHAnsi"/>
          <w:spacing w:val="6"/>
          <w:w w:val="105"/>
        </w:rPr>
        <w:t xml:space="preserve"> </w:t>
      </w:r>
      <w:r w:rsidRPr="0099170A">
        <w:rPr>
          <w:rFonts w:cstheme="minorHAnsi"/>
          <w:w w:val="105"/>
        </w:rPr>
        <w:t>circumstances</w:t>
      </w:r>
      <w:r w:rsidRPr="0099170A">
        <w:rPr>
          <w:rFonts w:cstheme="minorHAnsi"/>
          <w:spacing w:val="6"/>
          <w:w w:val="105"/>
        </w:rPr>
        <w:t xml:space="preserve"> </w:t>
      </w:r>
      <w:r w:rsidRPr="0099170A">
        <w:rPr>
          <w:rFonts w:cstheme="minorHAnsi"/>
          <w:w w:val="105"/>
        </w:rPr>
        <w:t>(such</w:t>
      </w:r>
      <w:r w:rsidRPr="0099170A">
        <w:rPr>
          <w:rFonts w:cstheme="minorHAnsi"/>
          <w:spacing w:val="6"/>
          <w:w w:val="105"/>
        </w:rPr>
        <w:t xml:space="preserve"> </w:t>
      </w:r>
      <w:r w:rsidRPr="0099170A">
        <w:rPr>
          <w:rFonts w:cstheme="minorHAnsi"/>
          <w:w w:val="105"/>
        </w:rPr>
        <w:t>as</w:t>
      </w:r>
      <w:r w:rsidRPr="0099170A">
        <w:rPr>
          <w:rFonts w:cstheme="minorHAnsi"/>
          <w:spacing w:val="6"/>
          <w:w w:val="105"/>
        </w:rPr>
        <w:t xml:space="preserve"> </w:t>
      </w:r>
      <w:r w:rsidRPr="0099170A">
        <w:rPr>
          <w:rFonts w:cstheme="minorHAnsi"/>
          <w:w w:val="105"/>
        </w:rPr>
        <w:t>moved</w:t>
      </w:r>
      <w:r w:rsidRPr="0099170A">
        <w:rPr>
          <w:rFonts w:cstheme="minorHAnsi"/>
          <w:spacing w:val="6"/>
          <w:w w:val="105"/>
        </w:rPr>
        <w:t xml:space="preserve"> </w:t>
      </w:r>
      <w:r w:rsidRPr="0099170A">
        <w:rPr>
          <w:rFonts w:cstheme="minorHAnsi"/>
          <w:w w:val="105"/>
        </w:rPr>
        <w:t>out</w:t>
      </w:r>
      <w:r w:rsidRPr="0099170A">
        <w:rPr>
          <w:rFonts w:cstheme="minorHAnsi"/>
          <w:spacing w:val="6"/>
          <w:w w:val="105"/>
        </w:rPr>
        <w:t xml:space="preserve"> </w:t>
      </w:r>
      <w:r w:rsidRPr="0099170A">
        <w:rPr>
          <w:rFonts w:cstheme="minorHAnsi"/>
          <w:w w:val="105"/>
        </w:rPr>
        <w:t>of</w:t>
      </w:r>
      <w:r w:rsidRPr="0099170A">
        <w:rPr>
          <w:rFonts w:cstheme="minorHAnsi"/>
          <w:spacing w:val="6"/>
          <w:w w:val="105"/>
        </w:rPr>
        <w:t xml:space="preserve"> </w:t>
      </w:r>
      <w:r w:rsidRPr="0099170A">
        <w:rPr>
          <w:rFonts w:cstheme="minorHAnsi"/>
          <w:w w:val="105"/>
        </w:rPr>
        <w:t>state,</w:t>
      </w:r>
      <w:r w:rsidRPr="0099170A">
        <w:rPr>
          <w:rFonts w:cstheme="minorHAnsi"/>
          <w:spacing w:val="-30"/>
          <w:w w:val="105"/>
        </w:rPr>
        <w:t xml:space="preserve"> </w:t>
      </w:r>
      <w:r w:rsidRPr="0099170A">
        <w:rPr>
          <w:rFonts w:cstheme="minorHAnsi"/>
          <w:w w:val="105"/>
        </w:rPr>
        <w:t xml:space="preserve">returned to work, etc.) </w:t>
      </w:r>
      <w:r w:rsidR="00EA7458" w:rsidRPr="0099170A">
        <w:rPr>
          <w:rFonts w:cstheme="minorHAnsi"/>
          <w:w w:val="105"/>
        </w:rPr>
        <w:t>issue</w:t>
      </w:r>
      <w:r w:rsidR="00EA7458" w:rsidRPr="0099170A">
        <w:rPr>
          <w:rFonts w:cstheme="minorHAnsi"/>
          <w:spacing w:val="-29"/>
          <w:w w:val="105"/>
        </w:rPr>
        <w:t xml:space="preserve"> </w:t>
      </w:r>
      <w:r w:rsidR="00EA7458" w:rsidRPr="0099170A">
        <w:rPr>
          <w:rFonts w:cstheme="minorHAnsi"/>
          <w:w w:val="105"/>
        </w:rPr>
        <w:t>a</w:t>
      </w:r>
      <w:r w:rsidR="00EA7458" w:rsidRPr="0099170A">
        <w:rPr>
          <w:rFonts w:cstheme="minorHAnsi"/>
          <w:spacing w:val="6"/>
          <w:w w:val="105"/>
        </w:rPr>
        <w:t xml:space="preserve"> </w:t>
      </w:r>
      <w:r w:rsidR="00EA7458" w:rsidRPr="0099170A">
        <w:rPr>
          <w:rFonts w:cstheme="minorHAnsi"/>
          <w:w w:val="105"/>
        </w:rPr>
        <w:t>determination</w:t>
      </w:r>
      <w:r w:rsidR="00EA7458" w:rsidRPr="0099170A">
        <w:rPr>
          <w:rFonts w:cstheme="minorHAnsi"/>
          <w:spacing w:val="6"/>
          <w:w w:val="105"/>
        </w:rPr>
        <w:t xml:space="preserve"> </w:t>
      </w:r>
      <w:r w:rsidR="00EA7458" w:rsidRPr="0099170A">
        <w:rPr>
          <w:rFonts w:cstheme="minorHAnsi"/>
          <w:w w:val="105"/>
        </w:rPr>
        <w:t>of</w:t>
      </w:r>
      <w:r w:rsidR="00EA7458" w:rsidRPr="0099170A">
        <w:rPr>
          <w:rFonts w:cstheme="minorHAnsi"/>
          <w:spacing w:val="6"/>
          <w:w w:val="105"/>
        </w:rPr>
        <w:t xml:space="preserve"> </w:t>
      </w:r>
      <w:r w:rsidR="009F0C2A" w:rsidRPr="0099170A">
        <w:rPr>
          <w:rFonts w:cstheme="minorHAnsi"/>
          <w:w w:val="105"/>
        </w:rPr>
        <w:t>ineligibility.</w:t>
      </w:r>
      <w:r w:rsidR="00EA7458" w:rsidRPr="0099170A">
        <w:rPr>
          <w:rFonts w:cstheme="minorHAnsi"/>
          <w:w w:val="105"/>
        </w:rPr>
        <w:t xml:space="preserve"> The determination </w:t>
      </w:r>
      <w:r w:rsidRPr="0099170A">
        <w:rPr>
          <w:rFonts w:cstheme="minorHAnsi"/>
          <w:w w:val="105"/>
        </w:rPr>
        <w:t xml:space="preserve">of ineligibility </w:t>
      </w:r>
      <w:r w:rsidR="00EA7458" w:rsidRPr="0099170A">
        <w:rPr>
          <w:rFonts w:cstheme="minorHAnsi"/>
          <w:w w:val="105"/>
        </w:rPr>
        <w:t>includes a disqualification for the week in which the</w:t>
      </w:r>
      <w:r w:rsidR="00EA7458" w:rsidRPr="0099170A">
        <w:rPr>
          <w:rFonts w:cstheme="minorHAnsi"/>
          <w:spacing w:val="20"/>
          <w:w w:val="105"/>
        </w:rPr>
        <w:t xml:space="preserve"> </w:t>
      </w:r>
      <w:r w:rsidR="00EA7458" w:rsidRPr="0099170A">
        <w:rPr>
          <w:rFonts w:cstheme="minorHAnsi"/>
          <w:w w:val="105"/>
        </w:rPr>
        <w:t>claimant</w:t>
      </w:r>
      <w:r w:rsidR="00EA7458" w:rsidRPr="0099170A">
        <w:rPr>
          <w:rFonts w:cstheme="minorHAnsi"/>
          <w:w w:val="104"/>
        </w:rPr>
        <w:t xml:space="preserve"> </w:t>
      </w:r>
      <w:r w:rsidR="00EA7458" w:rsidRPr="0099170A">
        <w:rPr>
          <w:rFonts w:cstheme="minorHAnsi"/>
          <w:w w:val="105"/>
        </w:rPr>
        <w:t>failed</w:t>
      </w:r>
      <w:r w:rsidR="00EA7458" w:rsidRPr="0099170A">
        <w:rPr>
          <w:rFonts w:cstheme="minorHAnsi"/>
          <w:spacing w:val="8"/>
          <w:w w:val="105"/>
        </w:rPr>
        <w:t xml:space="preserve"> </w:t>
      </w:r>
      <w:r w:rsidR="00EA7458" w:rsidRPr="0099170A">
        <w:rPr>
          <w:rFonts w:cstheme="minorHAnsi"/>
          <w:w w:val="105"/>
        </w:rPr>
        <w:t>to</w:t>
      </w:r>
      <w:r w:rsidR="00EA7458" w:rsidRPr="0099170A">
        <w:rPr>
          <w:rFonts w:cstheme="minorHAnsi"/>
          <w:spacing w:val="8"/>
          <w:w w:val="105"/>
        </w:rPr>
        <w:t xml:space="preserve"> </w:t>
      </w:r>
      <w:r w:rsidR="00EA7458" w:rsidRPr="0099170A">
        <w:rPr>
          <w:rFonts w:cstheme="minorHAnsi"/>
          <w:w w:val="105"/>
        </w:rPr>
        <w:t>report</w:t>
      </w:r>
      <w:r w:rsidR="00EA7458" w:rsidRPr="0099170A">
        <w:rPr>
          <w:rFonts w:cstheme="minorHAnsi"/>
          <w:spacing w:val="8"/>
          <w:w w:val="105"/>
        </w:rPr>
        <w:t xml:space="preserve"> </w:t>
      </w:r>
      <w:r w:rsidR="00EA7458" w:rsidRPr="0099170A">
        <w:rPr>
          <w:rFonts w:cstheme="minorHAnsi"/>
          <w:w w:val="105"/>
        </w:rPr>
        <w:t>for</w:t>
      </w:r>
      <w:r w:rsidR="00EA7458" w:rsidRPr="0099170A">
        <w:rPr>
          <w:rFonts w:cstheme="minorHAnsi"/>
          <w:spacing w:val="8"/>
          <w:w w:val="105"/>
        </w:rPr>
        <w:t xml:space="preserve"> </w:t>
      </w:r>
      <w:r w:rsidR="00EA7458" w:rsidRPr="0099170A">
        <w:rPr>
          <w:rFonts w:cstheme="minorHAnsi"/>
          <w:w w:val="105"/>
        </w:rPr>
        <w:t>reemployment</w:t>
      </w:r>
      <w:r w:rsidR="00EA7458" w:rsidRPr="0099170A">
        <w:rPr>
          <w:rFonts w:cstheme="minorHAnsi"/>
          <w:spacing w:val="8"/>
          <w:w w:val="105"/>
        </w:rPr>
        <w:t xml:space="preserve"> </w:t>
      </w:r>
      <w:r w:rsidR="00EA7458" w:rsidRPr="0099170A">
        <w:rPr>
          <w:rFonts w:cstheme="minorHAnsi"/>
          <w:w w:val="105"/>
        </w:rPr>
        <w:t>services.</w:t>
      </w:r>
      <w:r w:rsidR="00EA7458" w:rsidRPr="0099170A">
        <w:rPr>
          <w:rFonts w:cstheme="minorHAnsi"/>
          <w:spacing w:val="8"/>
          <w:w w:val="105"/>
        </w:rPr>
        <w:t xml:space="preserve"> </w:t>
      </w:r>
      <w:r w:rsidR="00EA7458" w:rsidRPr="0099170A">
        <w:rPr>
          <w:rFonts w:cstheme="minorHAnsi"/>
          <w:w w:val="105"/>
        </w:rPr>
        <w:t>When</w:t>
      </w:r>
      <w:r w:rsidR="00EA7458" w:rsidRPr="0099170A">
        <w:rPr>
          <w:rFonts w:cstheme="minorHAnsi"/>
          <w:spacing w:val="8"/>
          <w:w w:val="105"/>
        </w:rPr>
        <w:t xml:space="preserve"> </w:t>
      </w:r>
      <w:r w:rsidR="00EA7458" w:rsidRPr="0099170A">
        <w:rPr>
          <w:rFonts w:cstheme="minorHAnsi"/>
          <w:w w:val="105"/>
        </w:rPr>
        <w:t>an</w:t>
      </w:r>
      <w:r w:rsidR="00EA7458" w:rsidRPr="0099170A">
        <w:rPr>
          <w:rFonts w:cstheme="minorHAnsi"/>
          <w:spacing w:val="8"/>
          <w:w w:val="105"/>
        </w:rPr>
        <w:t xml:space="preserve"> </w:t>
      </w:r>
      <w:r w:rsidR="00EA7458" w:rsidRPr="0099170A">
        <w:rPr>
          <w:rFonts w:cstheme="minorHAnsi"/>
          <w:w w:val="105"/>
        </w:rPr>
        <w:t>assessment</w:t>
      </w:r>
      <w:r w:rsidR="00EA7458" w:rsidRPr="0099170A">
        <w:rPr>
          <w:rFonts w:cstheme="minorHAnsi"/>
          <w:spacing w:val="8"/>
          <w:w w:val="105"/>
        </w:rPr>
        <w:t xml:space="preserve"> </w:t>
      </w:r>
      <w:r w:rsidR="00EA7458" w:rsidRPr="0099170A">
        <w:rPr>
          <w:rFonts w:cstheme="minorHAnsi"/>
          <w:w w:val="105"/>
        </w:rPr>
        <w:t>is</w:t>
      </w:r>
      <w:r w:rsidR="00EA7458" w:rsidRPr="0099170A">
        <w:rPr>
          <w:rFonts w:cstheme="minorHAnsi"/>
          <w:spacing w:val="8"/>
          <w:w w:val="105"/>
        </w:rPr>
        <w:t xml:space="preserve"> </w:t>
      </w:r>
      <w:r w:rsidR="00EA7458" w:rsidRPr="0099170A">
        <w:rPr>
          <w:rFonts w:cstheme="minorHAnsi"/>
          <w:w w:val="105"/>
        </w:rPr>
        <w:t>completed,</w:t>
      </w:r>
      <w:r w:rsidR="00EA7458" w:rsidRPr="0099170A">
        <w:rPr>
          <w:rFonts w:cstheme="minorHAnsi"/>
          <w:spacing w:val="8"/>
          <w:w w:val="105"/>
        </w:rPr>
        <w:t xml:space="preserve"> </w:t>
      </w:r>
      <w:r w:rsidR="00EA7458" w:rsidRPr="0099170A">
        <w:rPr>
          <w:rFonts w:cstheme="minorHAnsi"/>
          <w:w w:val="105"/>
        </w:rPr>
        <w:t>an</w:t>
      </w:r>
      <w:r w:rsidR="00EA7458" w:rsidRPr="0099170A">
        <w:rPr>
          <w:rFonts w:cstheme="minorHAnsi"/>
          <w:spacing w:val="8"/>
          <w:w w:val="105"/>
        </w:rPr>
        <w:t xml:space="preserve"> </w:t>
      </w:r>
      <w:r w:rsidR="00EA7458" w:rsidRPr="0099170A">
        <w:rPr>
          <w:rFonts w:cstheme="minorHAnsi"/>
          <w:w w:val="105"/>
        </w:rPr>
        <w:t>automatic</w:t>
      </w:r>
      <w:r w:rsidR="00EA7458" w:rsidRPr="0099170A">
        <w:rPr>
          <w:rFonts w:cstheme="minorHAnsi"/>
          <w:spacing w:val="8"/>
          <w:w w:val="105"/>
        </w:rPr>
        <w:t xml:space="preserve"> </w:t>
      </w:r>
      <w:r w:rsidR="00EA7458" w:rsidRPr="0099170A">
        <w:rPr>
          <w:rFonts w:cstheme="minorHAnsi"/>
          <w:w w:val="105"/>
        </w:rPr>
        <w:t>notice</w:t>
      </w:r>
      <w:r w:rsidR="00EA7458" w:rsidRPr="0099170A">
        <w:rPr>
          <w:rFonts w:cstheme="minorHAnsi"/>
          <w:spacing w:val="8"/>
          <w:w w:val="105"/>
        </w:rPr>
        <w:t xml:space="preserve"> </w:t>
      </w:r>
      <w:r w:rsidR="00EA7458" w:rsidRPr="0099170A">
        <w:rPr>
          <w:rFonts w:cstheme="minorHAnsi"/>
          <w:w w:val="105"/>
        </w:rPr>
        <w:t>is</w:t>
      </w:r>
      <w:r w:rsidR="00EA7458" w:rsidRPr="0099170A">
        <w:rPr>
          <w:rFonts w:cstheme="minorHAnsi"/>
          <w:spacing w:val="-16"/>
          <w:w w:val="105"/>
        </w:rPr>
        <w:t xml:space="preserve"> </w:t>
      </w:r>
      <w:r w:rsidR="00EA7458" w:rsidRPr="0099170A">
        <w:rPr>
          <w:rFonts w:cstheme="minorHAnsi"/>
          <w:w w:val="105"/>
        </w:rPr>
        <w:t>generated</w:t>
      </w:r>
      <w:r w:rsidR="00EA7458" w:rsidRPr="0099170A">
        <w:rPr>
          <w:rFonts w:cstheme="minorHAnsi"/>
          <w:spacing w:val="12"/>
          <w:w w:val="105"/>
        </w:rPr>
        <w:t xml:space="preserve"> </w:t>
      </w:r>
      <w:r w:rsidRPr="0099170A">
        <w:rPr>
          <w:rFonts w:cstheme="minorHAnsi"/>
          <w:spacing w:val="12"/>
          <w:w w:val="105"/>
        </w:rPr>
        <w:t xml:space="preserve">and sent </w:t>
      </w:r>
      <w:r w:rsidR="00EA7458" w:rsidRPr="0099170A">
        <w:rPr>
          <w:rFonts w:cstheme="minorHAnsi"/>
          <w:w w:val="105"/>
        </w:rPr>
        <w:t>to</w:t>
      </w:r>
      <w:r w:rsidR="00EA7458" w:rsidRPr="0099170A">
        <w:rPr>
          <w:rFonts w:cstheme="minorHAnsi"/>
          <w:spacing w:val="12"/>
          <w:w w:val="105"/>
        </w:rPr>
        <w:t xml:space="preserve"> </w:t>
      </w:r>
      <w:r w:rsidR="00EA7458" w:rsidRPr="0099170A">
        <w:rPr>
          <w:rFonts w:cstheme="minorHAnsi"/>
          <w:w w:val="105"/>
        </w:rPr>
        <w:t>the</w:t>
      </w:r>
      <w:r w:rsidR="00EA7458" w:rsidRPr="0099170A">
        <w:rPr>
          <w:rFonts w:cstheme="minorHAnsi"/>
          <w:spacing w:val="12"/>
          <w:w w:val="105"/>
        </w:rPr>
        <w:t xml:space="preserve"> </w:t>
      </w:r>
      <w:r w:rsidR="00EA7458" w:rsidRPr="0099170A">
        <w:rPr>
          <w:rFonts w:cstheme="minorHAnsi"/>
          <w:w w:val="105"/>
        </w:rPr>
        <w:t>Reemployment</w:t>
      </w:r>
      <w:r w:rsidR="00EA7458" w:rsidRPr="0099170A">
        <w:rPr>
          <w:rFonts w:cstheme="minorHAnsi"/>
          <w:spacing w:val="12"/>
          <w:w w:val="105"/>
        </w:rPr>
        <w:t xml:space="preserve"> </w:t>
      </w:r>
      <w:r w:rsidR="00EA7458" w:rsidRPr="0099170A">
        <w:rPr>
          <w:rFonts w:cstheme="minorHAnsi"/>
          <w:w w:val="105"/>
        </w:rPr>
        <w:t>Assistance</w:t>
      </w:r>
      <w:r w:rsidR="00EA7458" w:rsidRPr="0099170A">
        <w:rPr>
          <w:rFonts w:cstheme="minorHAnsi"/>
          <w:spacing w:val="12"/>
          <w:w w:val="105"/>
        </w:rPr>
        <w:t xml:space="preserve"> </w:t>
      </w:r>
      <w:r w:rsidR="00EA7458" w:rsidRPr="0099170A">
        <w:rPr>
          <w:rFonts w:cstheme="minorHAnsi"/>
          <w:w w:val="105"/>
        </w:rPr>
        <w:t>Program</w:t>
      </w:r>
      <w:r w:rsidR="00EA7458" w:rsidRPr="0099170A">
        <w:rPr>
          <w:rFonts w:cstheme="minorHAnsi"/>
          <w:spacing w:val="12"/>
          <w:w w:val="105"/>
        </w:rPr>
        <w:t xml:space="preserve"> </w:t>
      </w:r>
      <w:r w:rsidR="00EA7458" w:rsidRPr="0099170A">
        <w:rPr>
          <w:rFonts w:cstheme="minorHAnsi"/>
          <w:w w:val="105"/>
        </w:rPr>
        <w:t>to</w:t>
      </w:r>
      <w:r w:rsidR="00EA7458" w:rsidRPr="0099170A">
        <w:rPr>
          <w:rFonts w:cstheme="minorHAnsi"/>
          <w:spacing w:val="12"/>
          <w:w w:val="105"/>
        </w:rPr>
        <w:t xml:space="preserve"> </w:t>
      </w:r>
      <w:r w:rsidR="00EA7458" w:rsidRPr="0099170A">
        <w:rPr>
          <w:rFonts w:cstheme="minorHAnsi"/>
          <w:w w:val="105"/>
        </w:rPr>
        <w:t>conduct</w:t>
      </w:r>
      <w:r w:rsidR="00EA7458" w:rsidRPr="0099170A">
        <w:rPr>
          <w:rFonts w:cstheme="minorHAnsi"/>
          <w:spacing w:val="12"/>
          <w:w w:val="105"/>
        </w:rPr>
        <w:t xml:space="preserve"> </w:t>
      </w:r>
      <w:r w:rsidR="00EA7458" w:rsidRPr="0099170A">
        <w:rPr>
          <w:rFonts w:cstheme="minorHAnsi"/>
          <w:w w:val="105"/>
        </w:rPr>
        <w:t>an</w:t>
      </w:r>
      <w:r w:rsidR="00EA7458" w:rsidRPr="0099170A">
        <w:rPr>
          <w:rFonts w:cstheme="minorHAnsi"/>
          <w:spacing w:val="12"/>
          <w:w w:val="105"/>
        </w:rPr>
        <w:t xml:space="preserve"> </w:t>
      </w:r>
      <w:r w:rsidR="00EA7458" w:rsidRPr="0099170A">
        <w:rPr>
          <w:rFonts w:cstheme="minorHAnsi"/>
          <w:w w:val="105"/>
        </w:rPr>
        <w:t>Eligibility</w:t>
      </w:r>
      <w:r w:rsidR="00EA7458" w:rsidRPr="0099170A">
        <w:rPr>
          <w:rFonts w:cstheme="minorHAnsi"/>
          <w:spacing w:val="12"/>
          <w:w w:val="105"/>
        </w:rPr>
        <w:t xml:space="preserve"> </w:t>
      </w:r>
      <w:r w:rsidR="00EA7458" w:rsidRPr="0099170A">
        <w:rPr>
          <w:rFonts w:cstheme="minorHAnsi"/>
          <w:w w:val="105"/>
        </w:rPr>
        <w:t>Review</w:t>
      </w:r>
      <w:r w:rsidR="00EA7458" w:rsidRPr="0099170A">
        <w:rPr>
          <w:rFonts w:cstheme="minorHAnsi"/>
          <w:spacing w:val="12"/>
          <w:w w:val="105"/>
        </w:rPr>
        <w:t xml:space="preserve"> </w:t>
      </w:r>
      <w:r w:rsidR="00EA7458" w:rsidRPr="0099170A">
        <w:rPr>
          <w:rFonts w:cstheme="minorHAnsi"/>
          <w:w w:val="105"/>
        </w:rPr>
        <w:t>Questionnaire</w:t>
      </w:r>
      <w:r w:rsidR="00EA7458" w:rsidRPr="0099170A">
        <w:rPr>
          <w:rFonts w:cstheme="minorHAnsi"/>
          <w:spacing w:val="12"/>
          <w:w w:val="105"/>
        </w:rPr>
        <w:t xml:space="preserve"> </w:t>
      </w:r>
      <w:r w:rsidR="00EA7458" w:rsidRPr="0099170A">
        <w:rPr>
          <w:rFonts w:cstheme="minorHAnsi"/>
          <w:w w:val="105"/>
        </w:rPr>
        <w:t>to</w:t>
      </w:r>
      <w:r w:rsidR="00EA7458" w:rsidRPr="0099170A">
        <w:rPr>
          <w:rFonts w:cstheme="minorHAnsi"/>
          <w:spacing w:val="2"/>
          <w:w w:val="105"/>
        </w:rPr>
        <w:t xml:space="preserve"> </w:t>
      </w:r>
      <w:r w:rsidR="00EA7458" w:rsidRPr="0099170A">
        <w:rPr>
          <w:rFonts w:cstheme="minorHAnsi"/>
          <w:w w:val="105"/>
        </w:rPr>
        <w:t xml:space="preserve">determine </w:t>
      </w:r>
      <w:r w:rsidRPr="0099170A">
        <w:rPr>
          <w:rFonts w:cstheme="minorHAnsi"/>
          <w:w w:val="105"/>
        </w:rPr>
        <w:t xml:space="preserve">the claimant’s eligibility for </w:t>
      </w:r>
      <w:r w:rsidR="00EA7458" w:rsidRPr="0099170A">
        <w:rPr>
          <w:rFonts w:cstheme="minorHAnsi"/>
          <w:w w:val="105"/>
        </w:rPr>
        <w:t>continued reemployment assistance benefit</w:t>
      </w:r>
      <w:r w:rsidRPr="0099170A">
        <w:rPr>
          <w:rFonts w:cstheme="minorHAnsi"/>
          <w:w w:val="105"/>
        </w:rPr>
        <w:t>s.</w:t>
      </w:r>
    </w:p>
    <w:p w14:paraId="7CC25E94" w14:textId="77777777" w:rsidR="00EA7458" w:rsidRPr="0099170A" w:rsidRDefault="00EA7458" w:rsidP="00D63204">
      <w:pPr>
        <w:widowControl w:val="0"/>
        <w:spacing w:before="4" w:after="0" w:line="240" w:lineRule="auto"/>
        <w:ind w:left="107"/>
        <w:rPr>
          <w:rFonts w:cstheme="minorHAnsi"/>
          <w:sz w:val="17"/>
          <w:szCs w:val="17"/>
        </w:rPr>
      </w:pPr>
    </w:p>
    <w:p w14:paraId="47B34B34" w14:textId="02E80F14" w:rsidR="00EA7458" w:rsidRPr="0099170A" w:rsidRDefault="00EA7458" w:rsidP="00D63204">
      <w:pPr>
        <w:widowControl w:val="0"/>
        <w:numPr>
          <w:ilvl w:val="0"/>
          <w:numId w:val="3"/>
        </w:numPr>
        <w:spacing w:after="0" w:line="240" w:lineRule="auto"/>
        <w:outlineLvl w:val="1"/>
        <w:rPr>
          <w:rFonts w:cstheme="minorHAnsi"/>
          <w:sz w:val="26"/>
          <w:szCs w:val="26"/>
        </w:rPr>
      </w:pPr>
      <w:r w:rsidRPr="0099170A">
        <w:rPr>
          <w:rFonts w:cstheme="minorHAnsi"/>
          <w:b/>
          <w:bCs/>
          <w:color w:val="295CA3"/>
          <w:spacing w:val="-4"/>
          <w:w w:val="110"/>
          <w:sz w:val="26"/>
          <w:szCs w:val="26"/>
        </w:rPr>
        <w:t>W</w:t>
      </w:r>
      <w:r w:rsidR="00AE166E">
        <w:rPr>
          <w:rFonts w:cstheme="minorHAnsi"/>
          <w:b/>
          <w:bCs/>
          <w:color w:val="295CA3"/>
          <w:spacing w:val="-4"/>
          <w:w w:val="110"/>
          <w:sz w:val="26"/>
          <w:szCs w:val="26"/>
        </w:rPr>
        <w:t>agner</w:t>
      </w:r>
      <w:r w:rsidRPr="0099170A">
        <w:rPr>
          <w:rFonts w:cstheme="minorHAnsi"/>
          <w:b/>
          <w:bCs/>
          <w:color w:val="295CA3"/>
          <w:spacing w:val="-4"/>
          <w:w w:val="110"/>
          <w:sz w:val="26"/>
          <w:szCs w:val="26"/>
        </w:rPr>
        <w:t>-P</w:t>
      </w:r>
      <w:r w:rsidR="00AE166E">
        <w:rPr>
          <w:rFonts w:cstheme="minorHAnsi"/>
          <w:b/>
          <w:bCs/>
          <w:color w:val="295CA3"/>
          <w:spacing w:val="-4"/>
          <w:w w:val="110"/>
          <w:sz w:val="26"/>
          <w:szCs w:val="26"/>
        </w:rPr>
        <w:t>eyser</w:t>
      </w:r>
      <w:r w:rsidRPr="0099170A">
        <w:rPr>
          <w:rFonts w:cstheme="minorHAnsi"/>
          <w:b/>
          <w:bCs/>
          <w:color w:val="295CA3"/>
          <w:spacing w:val="-4"/>
          <w:w w:val="110"/>
          <w:sz w:val="26"/>
          <w:szCs w:val="26"/>
        </w:rPr>
        <w:t xml:space="preserve"> </w:t>
      </w:r>
      <w:r w:rsidRPr="0099170A">
        <w:rPr>
          <w:rFonts w:cstheme="minorHAnsi"/>
          <w:b/>
          <w:bCs/>
          <w:color w:val="295CA3"/>
          <w:w w:val="110"/>
          <w:sz w:val="26"/>
          <w:szCs w:val="26"/>
        </w:rPr>
        <w:t>Funds to Support UI</w:t>
      </w:r>
      <w:r w:rsidRPr="0099170A">
        <w:rPr>
          <w:rFonts w:cstheme="minorHAnsi"/>
          <w:b/>
          <w:bCs/>
          <w:color w:val="295CA3"/>
          <w:spacing w:val="8"/>
          <w:w w:val="110"/>
          <w:sz w:val="26"/>
          <w:szCs w:val="26"/>
        </w:rPr>
        <w:t xml:space="preserve"> </w:t>
      </w:r>
      <w:r w:rsidRPr="0099170A">
        <w:rPr>
          <w:rFonts w:cstheme="minorHAnsi"/>
          <w:b/>
          <w:bCs/>
          <w:color w:val="295CA3"/>
          <w:w w:val="110"/>
          <w:sz w:val="26"/>
          <w:szCs w:val="26"/>
        </w:rPr>
        <w:t>Claimants</w:t>
      </w:r>
    </w:p>
    <w:p w14:paraId="4458D20C" w14:textId="77777777" w:rsidR="00EA7458" w:rsidRPr="0099170A" w:rsidRDefault="00EA7458" w:rsidP="00D63204">
      <w:pPr>
        <w:widowControl w:val="0"/>
        <w:numPr>
          <w:ilvl w:val="1"/>
          <w:numId w:val="3"/>
        </w:numPr>
        <w:spacing w:before="184" w:after="0" w:line="240" w:lineRule="auto"/>
        <w:outlineLvl w:val="2"/>
        <w:rPr>
          <w:rFonts w:cstheme="minorHAnsi"/>
        </w:rPr>
      </w:pPr>
      <w:r w:rsidRPr="0099170A">
        <w:rPr>
          <w:rFonts w:cstheme="minorHAnsi"/>
          <w:b/>
          <w:bCs/>
          <w:color w:val="295CA3"/>
          <w:w w:val="110"/>
        </w:rPr>
        <w:t>Labor Exchange Services for UI</w:t>
      </w:r>
      <w:r w:rsidRPr="0099170A">
        <w:rPr>
          <w:rFonts w:cstheme="minorHAnsi"/>
          <w:b/>
          <w:bCs/>
          <w:color w:val="295CA3"/>
          <w:spacing w:val="6"/>
          <w:w w:val="110"/>
        </w:rPr>
        <w:t xml:space="preserve"> </w:t>
      </w:r>
      <w:r w:rsidRPr="0099170A">
        <w:rPr>
          <w:rFonts w:cstheme="minorHAnsi"/>
          <w:b/>
          <w:bCs/>
          <w:color w:val="295CA3"/>
          <w:w w:val="110"/>
        </w:rPr>
        <w:t>Claimants</w:t>
      </w:r>
    </w:p>
    <w:p w14:paraId="70B4BD8C" w14:textId="55A73AF7" w:rsidR="00AA5A73" w:rsidRDefault="00EA7458" w:rsidP="00D63204">
      <w:pPr>
        <w:widowControl w:val="0"/>
        <w:spacing w:before="193" w:after="0" w:line="264" w:lineRule="exact"/>
        <w:ind w:left="107"/>
        <w:rPr>
          <w:rFonts w:cstheme="minorHAnsi"/>
          <w:spacing w:val="11"/>
          <w:w w:val="105"/>
        </w:rPr>
      </w:pPr>
      <w:r w:rsidRPr="0099170A">
        <w:rPr>
          <w:rFonts w:cstheme="minorHAnsi"/>
          <w:w w:val="105"/>
        </w:rPr>
        <w:t>Claimants</w:t>
      </w:r>
      <w:r w:rsidRPr="0099170A">
        <w:rPr>
          <w:rFonts w:cstheme="minorHAnsi"/>
          <w:spacing w:val="14"/>
          <w:w w:val="105"/>
        </w:rPr>
        <w:t xml:space="preserve"> </w:t>
      </w:r>
      <w:r w:rsidRPr="0099170A">
        <w:rPr>
          <w:rFonts w:cstheme="minorHAnsi"/>
          <w:w w:val="105"/>
        </w:rPr>
        <w:t>may</w:t>
      </w:r>
      <w:r w:rsidRPr="0099170A">
        <w:rPr>
          <w:rFonts w:cstheme="minorHAnsi"/>
          <w:spacing w:val="14"/>
          <w:w w:val="105"/>
        </w:rPr>
        <w:t xml:space="preserve"> </w:t>
      </w:r>
      <w:r w:rsidRPr="0099170A">
        <w:rPr>
          <w:rFonts w:cstheme="minorHAnsi"/>
          <w:w w:val="105"/>
        </w:rPr>
        <w:t>be</w:t>
      </w:r>
      <w:r w:rsidRPr="0099170A">
        <w:rPr>
          <w:rFonts w:cstheme="minorHAnsi"/>
          <w:spacing w:val="14"/>
          <w:w w:val="105"/>
        </w:rPr>
        <w:t xml:space="preserve"> </w:t>
      </w:r>
      <w:r w:rsidRPr="0099170A">
        <w:rPr>
          <w:rFonts w:cstheme="minorHAnsi"/>
          <w:w w:val="105"/>
        </w:rPr>
        <w:t>selected</w:t>
      </w:r>
      <w:r w:rsidRPr="0099170A">
        <w:rPr>
          <w:rFonts w:cstheme="minorHAnsi"/>
          <w:spacing w:val="14"/>
          <w:w w:val="105"/>
        </w:rPr>
        <w:t xml:space="preserve"> </w:t>
      </w:r>
      <w:r w:rsidRPr="0099170A">
        <w:rPr>
          <w:rFonts w:cstheme="minorHAnsi"/>
          <w:w w:val="105"/>
        </w:rPr>
        <w:t>to</w:t>
      </w:r>
      <w:r w:rsidRPr="0099170A">
        <w:rPr>
          <w:rFonts w:cstheme="minorHAnsi"/>
          <w:spacing w:val="14"/>
          <w:w w:val="105"/>
        </w:rPr>
        <w:t xml:space="preserve"> </w:t>
      </w:r>
      <w:r w:rsidRPr="0099170A">
        <w:rPr>
          <w:rFonts w:cstheme="minorHAnsi"/>
          <w:w w:val="105"/>
        </w:rPr>
        <w:t>attend</w:t>
      </w:r>
      <w:r w:rsidRPr="0099170A">
        <w:rPr>
          <w:rFonts w:cstheme="minorHAnsi"/>
          <w:spacing w:val="14"/>
          <w:w w:val="105"/>
        </w:rPr>
        <w:t xml:space="preserve"> </w:t>
      </w:r>
      <w:r w:rsidRPr="0099170A">
        <w:rPr>
          <w:rFonts w:cstheme="minorHAnsi"/>
          <w:w w:val="105"/>
        </w:rPr>
        <w:t>the</w:t>
      </w:r>
      <w:r w:rsidRPr="0099170A">
        <w:rPr>
          <w:rFonts w:cstheme="minorHAnsi"/>
          <w:spacing w:val="14"/>
          <w:w w:val="105"/>
        </w:rPr>
        <w:t xml:space="preserve"> </w:t>
      </w:r>
      <w:r w:rsidRPr="0099170A">
        <w:rPr>
          <w:rFonts w:cstheme="minorHAnsi"/>
          <w:w w:val="105"/>
        </w:rPr>
        <w:t>mandatory</w:t>
      </w:r>
      <w:r w:rsidRPr="0099170A">
        <w:rPr>
          <w:rFonts w:cstheme="minorHAnsi"/>
          <w:spacing w:val="14"/>
          <w:w w:val="105"/>
        </w:rPr>
        <w:t xml:space="preserve"> </w:t>
      </w:r>
      <w:r w:rsidRPr="0099170A">
        <w:rPr>
          <w:rFonts w:cstheme="minorHAnsi"/>
          <w:w w:val="105"/>
        </w:rPr>
        <w:t>PREP</w:t>
      </w:r>
      <w:r w:rsidRPr="0099170A">
        <w:rPr>
          <w:rFonts w:cstheme="minorHAnsi"/>
          <w:spacing w:val="14"/>
          <w:w w:val="105"/>
        </w:rPr>
        <w:t xml:space="preserve"> </w:t>
      </w:r>
      <w:r w:rsidRPr="0099170A">
        <w:rPr>
          <w:rFonts w:cstheme="minorHAnsi"/>
          <w:w w:val="105"/>
        </w:rPr>
        <w:t>program</w:t>
      </w:r>
      <w:r w:rsidRPr="0099170A">
        <w:rPr>
          <w:rFonts w:cstheme="minorHAnsi"/>
          <w:spacing w:val="14"/>
          <w:w w:val="105"/>
        </w:rPr>
        <w:t xml:space="preserve"> </w:t>
      </w:r>
      <w:r w:rsidRPr="0099170A">
        <w:rPr>
          <w:rFonts w:cstheme="minorHAnsi"/>
          <w:w w:val="105"/>
        </w:rPr>
        <w:t>if</w:t>
      </w:r>
      <w:r w:rsidRPr="0099170A">
        <w:rPr>
          <w:rFonts w:cstheme="minorHAnsi"/>
          <w:spacing w:val="14"/>
          <w:w w:val="105"/>
        </w:rPr>
        <w:t xml:space="preserve"> </w:t>
      </w:r>
      <w:r w:rsidRPr="0099170A">
        <w:rPr>
          <w:rFonts w:cstheme="minorHAnsi"/>
          <w:w w:val="105"/>
        </w:rPr>
        <w:t>they</w:t>
      </w:r>
      <w:r w:rsidRPr="0099170A">
        <w:rPr>
          <w:rFonts w:cstheme="minorHAnsi"/>
          <w:spacing w:val="14"/>
          <w:w w:val="105"/>
        </w:rPr>
        <w:t xml:space="preserve"> </w:t>
      </w:r>
      <w:r w:rsidR="007B2928" w:rsidRPr="0099170A">
        <w:rPr>
          <w:rFonts w:cstheme="minorHAnsi"/>
          <w:w w:val="105"/>
        </w:rPr>
        <w:t xml:space="preserve">are </w:t>
      </w:r>
      <w:r w:rsidRPr="0099170A">
        <w:rPr>
          <w:rFonts w:cstheme="minorHAnsi"/>
          <w:w w:val="105"/>
        </w:rPr>
        <w:t>profiled</w:t>
      </w:r>
      <w:r w:rsidRPr="0099170A">
        <w:rPr>
          <w:rFonts w:cstheme="minorHAnsi"/>
          <w:spacing w:val="14"/>
          <w:w w:val="105"/>
        </w:rPr>
        <w:t xml:space="preserve"> </w:t>
      </w:r>
      <w:r w:rsidRPr="0099170A">
        <w:rPr>
          <w:rFonts w:cstheme="minorHAnsi"/>
          <w:w w:val="105"/>
        </w:rPr>
        <w:t>as</w:t>
      </w:r>
      <w:r w:rsidRPr="0099170A">
        <w:rPr>
          <w:rFonts w:cstheme="minorHAnsi"/>
          <w:spacing w:val="14"/>
          <w:w w:val="105"/>
        </w:rPr>
        <w:t xml:space="preserve"> </w:t>
      </w:r>
      <w:r w:rsidRPr="0099170A">
        <w:rPr>
          <w:rFonts w:cstheme="minorHAnsi"/>
          <w:w w:val="105"/>
        </w:rPr>
        <w:t>most</w:t>
      </w:r>
      <w:r w:rsidRPr="0099170A">
        <w:rPr>
          <w:rFonts w:cstheme="minorHAnsi"/>
          <w:w w:val="104"/>
        </w:rPr>
        <w:t xml:space="preserve"> </w:t>
      </w:r>
      <w:r w:rsidRPr="0099170A">
        <w:rPr>
          <w:rFonts w:cstheme="minorHAnsi"/>
          <w:w w:val="105"/>
        </w:rPr>
        <w:t>likely</w:t>
      </w:r>
      <w:r w:rsidRPr="0099170A">
        <w:rPr>
          <w:rFonts w:cstheme="minorHAnsi"/>
          <w:spacing w:val="6"/>
          <w:w w:val="105"/>
        </w:rPr>
        <w:t xml:space="preserve"> </w:t>
      </w:r>
      <w:r w:rsidRPr="0099170A">
        <w:rPr>
          <w:rFonts w:cstheme="minorHAnsi"/>
          <w:w w:val="105"/>
        </w:rPr>
        <w:t>to</w:t>
      </w:r>
      <w:r w:rsidRPr="0099170A">
        <w:rPr>
          <w:rFonts w:cstheme="minorHAnsi"/>
          <w:spacing w:val="6"/>
          <w:w w:val="105"/>
        </w:rPr>
        <w:t xml:space="preserve"> </w:t>
      </w:r>
      <w:r w:rsidRPr="0099170A">
        <w:rPr>
          <w:rFonts w:cstheme="minorHAnsi"/>
          <w:w w:val="105"/>
        </w:rPr>
        <w:t>exhaust</w:t>
      </w:r>
      <w:r w:rsidRPr="0099170A">
        <w:rPr>
          <w:rFonts w:cstheme="minorHAnsi"/>
          <w:spacing w:val="6"/>
          <w:w w:val="105"/>
        </w:rPr>
        <w:t xml:space="preserve"> </w:t>
      </w:r>
      <w:r w:rsidRPr="0099170A">
        <w:rPr>
          <w:rFonts w:cstheme="minorHAnsi"/>
          <w:w w:val="105"/>
        </w:rPr>
        <w:t>benefits</w:t>
      </w:r>
      <w:r w:rsidRPr="0099170A">
        <w:rPr>
          <w:rFonts w:cstheme="minorHAnsi"/>
          <w:spacing w:val="6"/>
          <w:w w:val="105"/>
        </w:rPr>
        <w:t xml:space="preserve"> </w:t>
      </w:r>
      <w:r w:rsidRPr="0099170A">
        <w:rPr>
          <w:rFonts w:cstheme="minorHAnsi"/>
          <w:w w:val="105"/>
        </w:rPr>
        <w:t>prior</w:t>
      </w:r>
      <w:r w:rsidRPr="0099170A">
        <w:rPr>
          <w:rFonts w:cstheme="minorHAnsi"/>
          <w:spacing w:val="6"/>
          <w:w w:val="105"/>
        </w:rPr>
        <w:t xml:space="preserve"> </w:t>
      </w:r>
      <w:r w:rsidRPr="0099170A">
        <w:rPr>
          <w:rFonts w:cstheme="minorHAnsi"/>
          <w:w w:val="105"/>
        </w:rPr>
        <w:t>to</w:t>
      </w:r>
      <w:r w:rsidRPr="0099170A">
        <w:rPr>
          <w:rFonts w:cstheme="minorHAnsi"/>
          <w:spacing w:val="6"/>
          <w:w w:val="105"/>
        </w:rPr>
        <w:t xml:space="preserve"> </w:t>
      </w:r>
      <w:r w:rsidRPr="0099170A">
        <w:rPr>
          <w:rFonts w:cstheme="minorHAnsi"/>
          <w:w w:val="105"/>
        </w:rPr>
        <w:t>returning</w:t>
      </w:r>
      <w:r w:rsidRPr="0099170A">
        <w:rPr>
          <w:rFonts w:cstheme="minorHAnsi"/>
          <w:spacing w:val="6"/>
          <w:w w:val="105"/>
        </w:rPr>
        <w:t xml:space="preserve"> </w:t>
      </w:r>
      <w:r w:rsidRPr="0099170A">
        <w:rPr>
          <w:rFonts w:cstheme="minorHAnsi"/>
          <w:w w:val="105"/>
        </w:rPr>
        <w:t>to</w:t>
      </w:r>
      <w:r w:rsidRPr="0099170A">
        <w:rPr>
          <w:rFonts w:cstheme="minorHAnsi"/>
          <w:spacing w:val="6"/>
          <w:w w:val="105"/>
        </w:rPr>
        <w:t xml:space="preserve"> </w:t>
      </w:r>
      <w:r w:rsidRPr="0099170A">
        <w:rPr>
          <w:rFonts w:cstheme="minorHAnsi"/>
          <w:w w:val="105"/>
        </w:rPr>
        <w:t>work.</w:t>
      </w:r>
      <w:r w:rsidRPr="0099170A">
        <w:rPr>
          <w:rFonts w:cstheme="minorHAnsi"/>
          <w:spacing w:val="6"/>
          <w:w w:val="105"/>
        </w:rPr>
        <w:t xml:space="preserve"> </w:t>
      </w:r>
      <w:r w:rsidRPr="0099170A">
        <w:rPr>
          <w:rFonts w:cstheme="minorHAnsi"/>
          <w:w w:val="105"/>
        </w:rPr>
        <w:t>Selection</w:t>
      </w:r>
      <w:r w:rsidRPr="0099170A">
        <w:rPr>
          <w:rFonts w:cstheme="minorHAnsi"/>
          <w:spacing w:val="6"/>
          <w:w w:val="105"/>
        </w:rPr>
        <w:t xml:space="preserve"> </w:t>
      </w:r>
      <w:r w:rsidRPr="0099170A">
        <w:rPr>
          <w:rFonts w:cstheme="minorHAnsi"/>
          <w:w w:val="105"/>
        </w:rPr>
        <w:t>to</w:t>
      </w:r>
      <w:r w:rsidRPr="0099170A">
        <w:rPr>
          <w:rFonts w:cstheme="minorHAnsi"/>
          <w:spacing w:val="6"/>
          <w:w w:val="105"/>
        </w:rPr>
        <w:t xml:space="preserve"> </w:t>
      </w:r>
      <w:r w:rsidRPr="0099170A">
        <w:rPr>
          <w:rFonts w:cstheme="minorHAnsi"/>
          <w:w w:val="105"/>
        </w:rPr>
        <w:t>attend</w:t>
      </w:r>
      <w:r w:rsidRPr="0099170A">
        <w:rPr>
          <w:rFonts w:cstheme="minorHAnsi"/>
          <w:spacing w:val="6"/>
          <w:w w:val="105"/>
        </w:rPr>
        <w:t xml:space="preserve"> </w:t>
      </w:r>
      <w:r w:rsidRPr="0099170A">
        <w:rPr>
          <w:rFonts w:cstheme="minorHAnsi"/>
          <w:w w:val="105"/>
        </w:rPr>
        <w:t>a</w:t>
      </w:r>
      <w:r w:rsidRPr="0099170A">
        <w:rPr>
          <w:rFonts w:cstheme="minorHAnsi"/>
          <w:spacing w:val="6"/>
          <w:w w:val="105"/>
        </w:rPr>
        <w:t xml:space="preserve"> </w:t>
      </w:r>
      <w:r w:rsidRPr="0099170A">
        <w:rPr>
          <w:rFonts w:cstheme="minorHAnsi"/>
          <w:w w:val="105"/>
        </w:rPr>
        <w:t>PREP</w:t>
      </w:r>
      <w:r w:rsidRPr="0099170A">
        <w:rPr>
          <w:rFonts w:cstheme="minorHAnsi"/>
          <w:spacing w:val="6"/>
          <w:w w:val="105"/>
        </w:rPr>
        <w:t xml:space="preserve"> </w:t>
      </w:r>
      <w:r w:rsidRPr="0099170A">
        <w:rPr>
          <w:rFonts w:cstheme="minorHAnsi"/>
          <w:w w:val="105"/>
        </w:rPr>
        <w:t>appointment</w:t>
      </w:r>
      <w:r w:rsidRPr="0099170A">
        <w:rPr>
          <w:rFonts w:cstheme="minorHAnsi"/>
          <w:spacing w:val="6"/>
          <w:w w:val="105"/>
        </w:rPr>
        <w:t xml:space="preserve"> </w:t>
      </w:r>
      <w:r w:rsidR="007B2928" w:rsidRPr="0099170A">
        <w:rPr>
          <w:rFonts w:cstheme="minorHAnsi"/>
          <w:w w:val="105"/>
        </w:rPr>
        <w:t xml:space="preserve">provides </w:t>
      </w:r>
      <w:r w:rsidRPr="0099170A">
        <w:rPr>
          <w:rFonts w:cstheme="minorHAnsi"/>
          <w:w w:val="105"/>
        </w:rPr>
        <w:t>claimant</w:t>
      </w:r>
      <w:r w:rsidR="007B2928" w:rsidRPr="0099170A">
        <w:rPr>
          <w:rFonts w:cstheme="minorHAnsi"/>
          <w:w w:val="105"/>
        </w:rPr>
        <w:t>s</w:t>
      </w:r>
      <w:r w:rsidRPr="0099170A">
        <w:rPr>
          <w:rFonts w:cstheme="minorHAnsi"/>
          <w:spacing w:val="6"/>
          <w:w w:val="105"/>
        </w:rPr>
        <w:t xml:space="preserve"> </w:t>
      </w:r>
      <w:r w:rsidRPr="0099170A">
        <w:rPr>
          <w:rFonts w:cstheme="minorHAnsi"/>
          <w:w w:val="105"/>
        </w:rPr>
        <w:t>with</w:t>
      </w:r>
      <w:r w:rsidRPr="0099170A">
        <w:rPr>
          <w:rFonts w:cstheme="minorHAnsi"/>
          <w:spacing w:val="6"/>
          <w:w w:val="105"/>
        </w:rPr>
        <w:t xml:space="preserve"> </w:t>
      </w:r>
      <w:r w:rsidRPr="0099170A">
        <w:rPr>
          <w:rFonts w:cstheme="minorHAnsi"/>
          <w:w w:val="105"/>
        </w:rPr>
        <w:t>an</w:t>
      </w:r>
      <w:r w:rsidRPr="0099170A">
        <w:rPr>
          <w:rFonts w:cstheme="minorHAnsi"/>
          <w:spacing w:val="6"/>
          <w:w w:val="105"/>
        </w:rPr>
        <w:t xml:space="preserve"> </w:t>
      </w:r>
      <w:r w:rsidRPr="0099170A">
        <w:rPr>
          <w:rFonts w:cstheme="minorHAnsi"/>
          <w:w w:val="105"/>
        </w:rPr>
        <w:t>orientation</w:t>
      </w:r>
      <w:r w:rsidRPr="0099170A">
        <w:rPr>
          <w:rFonts w:cstheme="minorHAnsi"/>
          <w:spacing w:val="6"/>
          <w:w w:val="105"/>
        </w:rPr>
        <w:t xml:space="preserve"> </w:t>
      </w:r>
      <w:r w:rsidRPr="0099170A">
        <w:rPr>
          <w:rFonts w:cstheme="minorHAnsi"/>
          <w:w w:val="105"/>
        </w:rPr>
        <w:t>of</w:t>
      </w:r>
      <w:r w:rsidRPr="0099170A">
        <w:rPr>
          <w:rFonts w:cstheme="minorHAnsi"/>
          <w:spacing w:val="6"/>
          <w:w w:val="105"/>
        </w:rPr>
        <w:t xml:space="preserve"> </w:t>
      </w:r>
      <w:r w:rsidRPr="0099170A">
        <w:rPr>
          <w:rFonts w:cstheme="minorHAnsi"/>
          <w:w w:val="105"/>
        </w:rPr>
        <w:t>the</w:t>
      </w:r>
      <w:r w:rsidRPr="0099170A">
        <w:rPr>
          <w:rFonts w:cstheme="minorHAnsi"/>
          <w:spacing w:val="6"/>
          <w:w w:val="105"/>
        </w:rPr>
        <w:t xml:space="preserve"> </w:t>
      </w:r>
      <w:r w:rsidRPr="0099170A">
        <w:rPr>
          <w:rFonts w:cstheme="minorHAnsi"/>
          <w:w w:val="105"/>
        </w:rPr>
        <w:t>career</w:t>
      </w:r>
      <w:r w:rsidRPr="0099170A">
        <w:rPr>
          <w:rFonts w:cstheme="minorHAnsi"/>
          <w:spacing w:val="6"/>
          <w:w w:val="105"/>
        </w:rPr>
        <w:t xml:space="preserve"> </w:t>
      </w:r>
      <w:r w:rsidRPr="0099170A">
        <w:rPr>
          <w:rFonts w:cstheme="minorHAnsi"/>
          <w:w w:val="105"/>
        </w:rPr>
        <w:t>center</w:t>
      </w:r>
      <w:r w:rsidRPr="0099170A">
        <w:rPr>
          <w:rFonts w:cstheme="minorHAnsi"/>
          <w:spacing w:val="6"/>
          <w:w w:val="105"/>
        </w:rPr>
        <w:t xml:space="preserve"> </w:t>
      </w:r>
      <w:r w:rsidRPr="0099170A">
        <w:rPr>
          <w:rFonts w:cstheme="minorHAnsi"/>
          <w:w w:val="105"/>
        </w:rPr>
        <w:t>to</w:t>
      </w:r>
      <w:r w:rsidRPr="0099170A">
        <w:rPr>
          <w:rFonts w:cstheme="minorHAnsi"/>
          <w:spacing w:val="5"/>
          <w:w w:val="105"/>
        </w:rPr>
        <w:t xml:space="preserve"> </w:t>
      </w:r>
      <w:r w:rsidRPr="0099170A">
        <w:rPr>
          <w:rFonts w:cstheme="minorHAnsi"/>
          <w:w w:val="105"/>
        </w:rPr>
        <w:t>include</w:t>
      </w:r>
      <w:r w:rsidRPr="0099170A">
        <w:rPr>
          <w:rFonts w:cstheme="minorHAnsi"/>
          <w:spacing w:val="6"/>
          <w:w w:val="105"/>
        </w:rPr>
        <w:t xml:space="preserve"> </w:t>
      </w:r>
      <w:r w:rsidRPr="0099170A">
        <w:rPr>
          <w:rFonts w:cstheme="minorHAnsi"/>
          <w:w w:val="105"/>
        </w:rPr>
        <w:t>services</w:t>
      </w:r>
      <w:r w:rsidRPr="0099170A">
        <w:rPr>
          <w:rFonts w:cstheme="minorHAnsi"/>
          <w:spacing w:val="6"/>
          <w:w w:val="105"/>
        </w:rPr>
        <w:t xml:space="preserve"> </w:t>
      </w:r>
      <w:r w:rsidRPr="0099170A">
        <w:rPr>
          <w:rFonts w:cstheme="minorHAnsi"/>
          <w:w w:val="105"/>
        </w:rPr>
        <w:t>available</w:t>
      </w:r>
      <w:r w:rsidR="00E40653" w:rsidRPr="0099170A">
        <w:rPr>
          <w:rFonts w:cstheme="minorHAnsi"/>
          <w:w w:val="105"/>
        </w:rPr>
        <w:t xml:space="preserve"> and </w:t>
      </w:r>
      <w:r w:rsidRPr="0099170A">
        <w:rPr>
          <w:rFonts w:cstheme="minorHAnsi"/>
          <w:w w:val="105"/>
        </w:rPr>
        <w:t>an</w:t>
      </w:r>
      <w:r w:rsidRPr="0099170A">
        <w:rPr>
          <w:rFonts w:cstheme="minorHAnsi"/>
          <w:spacing w:val="6"/>
          <w:w w:val="105"/>
        </w:rPr>
        <w:t xml:space="preserve"> </w:t>
      </w:r>
      <w:r w:rsidRPr="0099170A">
        <w:rPr>
          <w:rFonts w:cstheme="minorHAnsi"/>
          <w:w w:val="105"/>
        </w:rPr>
        <w:t>initial</w:t>
      </w:r>
      <w:r w:rsidRPr="0099170A">
        <w:rPr>
          <w:rFonts w:cstheme="minorHAnsi"/>
          <w:spacing w:val="-28"/>
          <w:w w:val="105"/>
        </w:rPr>
        <w:t xml:space="preserve"> </w:t>
      </w:r>
      <w:r w:rsidRPr="0099170A">
        <w:rPr>
          <w:rFonts w:cstheme="minorHAnsi"/>
          <w:w w:val="105"/>
        </w:rPr>
        <w:t>assessment</w:t>
      </w:r>
      <w:r w:rsidRPr="0099170A">
        <w:rPr>
          <w:rFonts w:cstheme="minorHAnsi"/>
          <w:spacing w:val="15"/>
          <w:w w:val="105"/>
        </w:rPr>
        <w:t xml:space="preserve"> </w:t>
      </w:r>
      <w:r w:rsidRPr="0099170A">
        <w:rPr>
          <w:rFonts w:cstheme="minorHAnsi"/>
          <w:w w:val="105"/>
        </w:rPr>
        <w:t>to</w:t>
      </w:r>
      <w:r w:rsidRPr="0099170A">
        <w:rPr>
          <w:rFonts w:cstheme="minorHAnsi"/>
          <w:spacing w:val="15"/>
          <w:w w:val="105"/>
        </w:rPr>
        <w:t xml:space="preserve"> </w:t>
      </w:r>
      <w:r w:rsidRPr="0099170A">
        <w:rPr>
          <w:rFonts w:cstheme="minorHAnsi"/>
          <w:w w:val="105"/>
        </w:rPr>
        <w:t>determine</w:t>
      </w:r>
      <w:r w:rsidRPr="0099170A">
        <w:rPr>
          <w:rFonts w:cstheme="minorHAnsi"/>
          <w:spacing w:val="15"/>
          <w:w w:val="105"/>
        </w:rPr>
        <w:t xml:space="preserve"> </w:t>
      </w:r>
      <w:r w:rsidRPr="0099170A">
        <w:rPr>
          <w:rFonts w:cstheme="minorHAnsi"/>
          <w:w w:val="105"/>
        </w:rPr>
        <w:t>additional</w:t>
      </w:r>
      <w:r w:rsidRPr="0099170A">
        <w:rPr>
          <w:rFonts w:cstheme="minorHAnsi"/>
          <w:spacing w:val="15"/>
          <w:w w:val="105"/>
        </w:rPr>
        <w:t xml:space="preserve"> </w:t>
      </w:r>
      <w:r w:rsidRPr="0099170A">
        <w:rPr>
          <w:rFonts w:cstheme="minorHAnsi"/>
          <w:w w:val="105"/>
        </w:rPr>
        <w:t>need</w:t>
      </w:r>
      <w:r w:rsidR="00E40653" w:rsidRPr="0099170A">
        <w:rPr>
          <w:rFonts w:cstheme="minorHAnsi"/>
          <w:w w:val="105"/>
        </w:rPr>
        <w:t>s</w:t>
      </w:r>
      <w:r w:rsidRPr="0099170A">
        <w:rPr>
          <w:rFonts w:cstheme="minorHAnsi"/>
          <w:w w:val="105"/>
        </w:rPr>
        <w:t>.</w:t>
      </w:r>
      <w:r w:rsidRPr="0099170A">
        <w:rPr>
          <w:rFonts w:cstheme="minorHAnsi"/>
          <w:spacing w:val="15"/>
          <w:w w:val="105"/>
        </w:rPr>
        <w:t xml:space="preserve"> </w:t>
      </w:r>
      <w:r w:rsidR="00E40653" w:rsidRPr="0099170A">
        <w:rPr>
          <w:rFonts w:cstheme="minorHAnsi"/>
          <w:w w:val="105"/>
        </w:rPr>
        <w:t xml:space="preserve">The </w:t>
      </w:r>
      <w:r w:rsidRPr="0099170A">
        <w:rPr>
          <w:rFonts w:cstheme="minorHAnsi"/>
          <w:w w:val="105"/>
        </w:rPr>
        <w:t>RESEA</w:t>
      </w:r>
      <w:r w:rsidRPr="0099170A">
        <w:rPr>
          <w:rFonts w:cstheme="minorHAnsi"/>
          <w:spacing w:val="15"/>
          <w:w w:val="105"/>
        </w:rPr>
        <w:t xml:space="preserve"> </w:t>
      </w:r>
      <w:r w:rsidRPr="0099170A">
        <w:rPr>
          <w:rFonts w:cstheme="minorHAnsi"/>
          <w:w w:val="105"/>
        </w:rPr>
        <w:t>program</w:t>
      </w:r>
      <w:r w:rsidR="00E40653" w:rsidRPr="0099170A">
        <w:rPr>
          <w:rFonts w:cstheme="minorHAnsi"/>
          <w:w w:val="105"/>
        </w:rPr>
        <w:t xml:space="preserve"> allows </w:t>
      </w:r>
      <w:r w:rsidRPr="0099170A">
        <w:rPr>
          <w:rFonts w:cstheme="minorHAnsi"/>
          <w:spacing w:val="-3"/>
          <w:w w:val="105"/>
        </w:rPr>
        <w:t>LWDBs</w:t>
      </w:r>
      <w:r w:rsidRPr="0099170A">
        <w:rPr>
          <w:rFonts w:cstheme="minorHAnsi"/>
          <w:spacing w:val="10"/>
          <w:w w:val="105"/>
        </w:rPr>
        <w:t xml:space="preserve"> </w:t>
      </w:r>
      <w:r w:rsidR="00E40653" w:rsidRPr="0099170A">
        <w:rPr>
          <w:rFonts w:cstheme="minorHAnsi"/>
          <w:w w:val="105"/>
        </w:rPr>
        <w:t xml:space="preserve">to </w:t>
      </w:r>
      <w:r w:rsidRPr="0099170A">
        <w:rPr>
          <w:rFonts w:cstheme="minorHAnsi"/>
          <w:w w:val="105"/>
        </w:rPr>
        <w:t>elect</w:t>
      </w:r>
      <w:r w:rsidRPr="0099170A">
        <w:rPr>
          <w:rFonts w:cstheme="minorHAnsi"/>
          <w:spacing w:val="10"/>
          <w:w w:val="105"/>
        </w:rPr>
        <w:t xml:space="preserve"> </w:t>
      </w:r>
      <w:r w:rsidRPr="0099170A">
        <w:rPr>
          <w:rFonts w:cstheme="minorHAnsi"/>
          <w:w w:val="105"/>
        </w:rPr>
        <w:t>to</w:t>
      </w:r>
      <w:r w:rsidRPr="0099170A">
        <w:rPr>
          <w:rFonts w:cstheme="minorHAnsi"/>
          <w:spacing w:val="10"/>
          <w:w w:val="105"/>
        </w:rPr>
        <w:t xml:space="preserve"> </w:t>
      </w:r>
      <w:r w:rsidRPr="0099170A">
        <w:rPr>
          <w:rFonts w:cstheme="minorHAnsi"/>
          <w:w w:val="105"/>
        </w:rPr>
        <w:t>participate</w:t>
      </w:r>
      <w:r w:rsidRPr="0099170A">
        <w:rPr>
          <w:rFonts w:cstheme="minorHAnsi"/>
          <w:spacing w:val="10"/>
          <w:w w:val="105"/>
        </w:rPr>
        <w:t xml:space="preserve"> </w:t>
      </w:r>
      <w:r w:rsidRPr="0099170A">
        <w:rPr>
          <w:rFonts w:cstheme="minorHAnsi"/>
          <w:w w:val="105"/>
        </w:rPr>
        <w:t>in</w:t>
      </w:r>
      <w:r w:rsidRPr="0099170A">
        <w:rPr>
          <w:rFonts w:cstheme="minorHAnsi"/>
          <w:spacing w:val="10"/>
          <w:w w:val="105"/>
        </w:rPr>
        <w:t xml:space="preserve"> </w:t>
      </w:r>
      <w:r w:rsidRPr="0099170A">
        <w:rPr>
          <w:rFonts w:cstheme="minorHAnsi"/>
          <w:w w:val="105"/>
        </w:rPr>
        <w:t>this</w:t>
      </w:r>
      <w:r w:rsidRPr="0099170A">
        <w:rPr>
          <w:rFonts w:cstheme="minorHAnsi"/>
          <w:spacing w:val="10"/>
          <w:w w:val="105"/>
        </w:rPr>
        <w:t xml:space="preserve"> </w:t>
      </w:r>
      <w:r w:rsidRPr="0099170A">
        <w:rPr>
          <w:rFonts w:cstheme="minorHAnsi"/>
          <w:w w:val="105"/>
        </w:rPr>
        <w:t>program</w:t>
      </w:r>
      <w:r w:rsidRPr="0099170A">
        <w:rPr>
          <w:rFonts w:cstheme="minorHAnsi"/>
          <w:spacing w:val="10"/>
          <w:w w:val="105"/>
        </w:rPr>
        <w:t xml:space="preserve"> </w:t>
      </w:r>
      <w:r w:rsidR="00E40653" w:rsidRPr="0099170A">
        <w:rPr>
          <w:rFonts w:cstheme="minorHAnsi"/>
          <w:spacing w:val="10"/>
          <w:w w:val="105"/>
        </w:rPr>
        <w:t xml:space="preserve">instead </w:t>
      </w:r>
      <w:r w:rsidRPr="0099170A">
        <w:rPr>
          <w:rFonts w:cstheme="minorHAnsi"/>
          <w:w w:val="105"/>
        </w:rPr>
        <w:t>of</w:t>
      </w:r>
      <w:r w:rsidRPr="0099170A">
        <w:rPr>
          <w:rFonts w:cstheme="minorHAnsi"/>
          <w:spacing w:val="10"/>
          <w:w w:val="105"/>
        </w:rPr>
        <w:t xml:space="preserve"> </w:t>
      </w:r>
      <w:r w:rsidRPr="0099170A">
        <w:rPr>
          <w:rFonts w:cstheme="minorHAnsi"/>
          <w:w w:val="105"/>
        </w:rPr>
        <w:t>the</w:t>
      </w:r>
      <w:r w:rsidRPr="0099170A">
        <w:rPr>
          <w:rFonts w:cstheme="minorHAnsi"/>
          <w:spacing w:val="10"/>
          <w:w w:val="105"/>
        </w:rPr>
        <w:t xml:space="preserve"> </w:t>
      </w:r>
      <w:r w:rsidRPr="0099170A">
        <w:rPr>
          <w:rFonts w:cstheme="minorHAnsi"/>
          <w:w w:val="105"/>
        </w:rPr>
        <w:t>PREP</w:t>
      </w:r>
      <w:r w:rsidRPr="0099170A">
        <w:rPr>
          <w:rFonts w:cstheme="minorHAnsi"/>
          <w:spacing w:val="10"/>
          <w:w w:val="105"/>
        </w:rPr>
        <w:t xml:space="preserve"> </w:t>
      </w:r>
      <w:r w:rsidRPr="0099170A">
        <w:rPr>
          <w:rFonts w:cstheme="minorHAnsi"/>
          <w:w w:val="105"/>
        </w:rPr>
        <w:t>program.</w:t>
      </w:r>
      <w:r w:rsidRPr="0099170A">
        <w:rPr>
          <w:rFonts w:cstheme="minorHAnsi"/>
          <w:spacing w:val="10"/>
          <w:w w:val="105"/>
        </w:rPr>
        <w:t xml:space="preserve"> </w:t>
      </w:r>
      <w:r w:rsidRPr="0099170A">
        <w:rPr>
          <w:rFonts w:cstheme="minorHAnsi"/>
          <w:w w:val="105"/>
        </w:rPr>
        <w:t>For</w:t>
      </w:r>
      <w:r w:rsidRPr="0099170A">
        <w:rPr>
          <w:rFonts w:cstheme="minorHAnsi"/>
          <w:spacing w:val="10"/>
          <w:w w:val="105"/>
        </w:rPr>
        <w:t xml:space="preserve"> </w:t>
      </w:r>
      <w:r w:rsidRPr="0099170A">
        <w:rPr>
          <w:rFonts w:cstheme="minorHAnsi"/>
          <w:spacing w:val="-3"/>
          <w:w w:val="105"/>
        </w:rPr>
        <w:t>LWDBs</w:t>
      </w:r>
      <w:r w:rsidRPr="0099170A">
        <w:rPr>
          <w:rFonts w:cstheme="minorHAnsi"/>
          <w:spacing w:val="-14"/>
          <w:w w:val="105"/>
        </w:rPr>
        <w:t xml:space="preserve"> </w:t>
      </w:r>
      <w:r w:rsidRPr="0099170A">
        <w:rPr>
          <w:rFonts w:cstheme="minorHAnsi"/>
          <w:w w:val="105"/>
        </w:rPr>
        <w:t>who</w:t>
      </w:r>
      <w:r w:rsidRPr="0099170A">
        <w:rPr>
          <w:rFonts w:cstheme="minorHAnsi"/>
          <w:spacing w:val="12"/>
          <w:w w:val="105"/>
        </w:rPr>
        <w:t xml:space="preserve"> </w:t>
      </w:r>
      <w:r w:rsidRPr="0099170A">
        <w:rPr>
          <w:rFonts w:cstheme="minorHAnsi"/>
          <w:w w:val="105"/>
        </w:rPr>
        <w:t>elect</w:t>
      </w:r>
      <w:r w:rsidRPr="0099170A">
        <w:rPr>
          <w:rFonts w:cstheme="minorHAnsi"/>
          <w:spacing w:val="12"/>
          <w:w w:val="105"/>
        </w:rPr>
        <w:t xml:space="preserve"> </w:t>
      </w:r>
      <w:r w:rsidRPr="0099170A">
        <w:rPr>
          <w:rFonts w:cstheme="minorHAnsi"/>
          <w:w w:val="105"/>
        </w:rPr>
        <w:t>to</w:t>
      </w:r>
      <w:r w:rsidRPr="0099170A">
        <w:rPr>
          <w:rFonts w:cstheme="minorHAnsi"/>
          <w:spacing w:val="12"/>
          <w:w w:val="105"/>
        </w:rPr>
        <w:t xml:space="preserve"> </w:t>
      </w:r>
      <w:r w:rsidRPr="0099170A">
        <w:rPr>
          <w:rFonts w:cstheme="minorHAnsi"/>
          <w:w w:val="105"/>
        </w:rPr>
        <w:t>participate</w:t>
      </w:r>
      <w:r w:rsidRPr="0099170A">
        <w:rPr>
          <w:rFonts w:cstheme="minorHAnsi"/>
          <w:spacing w:val="12"/>
          <w:w w:val="105"/>
        </w:rPr>
        <w:t xml:space="preserve"> </w:t>
      </w:r>
      <w:r w:rsidRPr="0099170A">
        <w:rPr>
          <w:rFonts w:cstheme="minorHAnsi"/>
          <w:w w:val="105"/>
        </w:rPr>
        <w:t>in</w:t>
      </w:r>
      <w:r w:rsidRPr="0099170A">
        <w:rPr>
          <w:rFonts w:cstheme="minorHAnsi"/>
          <w:spacing w:val="12"/>
          <w:w w:val="105"/>
        </w:rPr>
        <w:t xml:space="preserve"> </w:t>
      </w:r>
      <w:r w:rsidRPr="0099170A">
        <w:rPr>
          <w:rFonts w:cstheme="minorHAnsi"/>
          <w:w w:val="105"/>
        </w:rPr>
        <w:t>the</w:t>
      </w:r>
      <w:r w:rsidRPr="0099170A">
        <w:rPr>
          <w:rFonts w:cstheme="minorHAnsi"/>
          <w:spacing w:val="12"/>
          <w:w w:val="105"/>
        </w:rPr>
        <w:t xml:space="preserve"> </w:t>
      </w:r>
      <w:r w:rsidRPr="0099170A">
        <w:rPr>
          <w:rFonts w:cstheme="minorHAnsi"/>
          <w:w w:val="105"/>
        </w:rPr>
        <w:t>RESEA</w:t>
      </w:r>
      <w:r w:rsidRPr="0099170A">
        <w:rPr>
          <w:rFonts w:cstheme="minorHAnsi"/>
          <w:spacing w:val="12"/>
          <w:w w:val="105"/>
        </w:rPr>
        <w:t xml:space="preserve"> </w:t>
      </w:r>
      <w:r w:rsidRPr="0099170A">
        <w:rPr>
          <w:rFonts w:cstheme="minorHAnsi"/>
          <w:w w:val="105"/>
        </w:rPr>
        <w:t>program,</w:t>
      </w:r>
      <w:r w:rsidRPr="0099170A">
        <w:rPr>
          <w:rFonts w:cstheme="minorHAnsi"/>
          <w:spacing w:val="12"/>
          <w:w w:val="105"/>
        </w:rPr>
        <w:t xml:space="preserve"> </w:t>
      </w:r>
      <w:r w:rsidRPr="0099170A">
        <w:rPr>
          <w:rFonts w:cstheme="minorHAnsi"/>
          <w:w w:val="105"/>
        </w:rPr>
        <w:t>claimants</w:t>
      </w:r>
      <w:r w:rsidRPr="0099170A">
        <w:rPr>
          <w:rFonts w:cstheme="minorHAnsi"/>
          <w:spacing w:val="12"/>
          <w:w w:val="105"/>
        </w:rPr>
        <w:t xml:space="preserve"> </w:t>
      </w:r>
      <w:r w:rsidRPr="0099170A">
        <w:rPr>
          <w:rFonts w:cstheme="minorHAnsi"/>
          <w:w w:val="105"/>
        </w:rPr>
        <w:t>selected</w:t>
      </w:r>
      <w:r w:rsidRPr="0099170A">
        <w:rPr>
          <w:rFonts w:cstheme="minorHAnsi"/>
          <w:spacing w:val="12"/>
          <w:w w:val="105"/>
        </w:rPr>
        <w:t xml:space="preserve"> </w:t>
      </w:r>
      <w:r w:rsidRPr="0099170A">
        <w:rPr>
          <w:rFonts w:cstheme="minorHAnsi"/>
          <w:w w:val="105"/>
        </w:rPr>
        <w:t>for</w:t>
      </w:r>
      <w:r w:rsidRPr="0099170A">
        <w:rPr>
          <w:rFonts w:cstheme="minorHAnsi"/>
          <w:spacing w:val="12"/>
          <w:w w:val="105"/>
        </w:rPr>
        <w:t xml:space="preserve"> </w:t>
      </w:r>
      <w:r w:rsidRPr="0099170A">
        <w:rPr>
          <w:rFonts w:cstheme="minorHAnsi"/>
          <w:w w:val="105"/>
        </w:rPr>
        <w:t>reemployment</w:t>
      </w:r>
      <w:r w:rsidRPr="0099170A">
        <w:rPr>
          <w:rFonts w:cstheme="minorHAnsi"/>
          <w:spacing w:val="12"/>
          <w:w w:val="105"/>
        </w:rPr>
        <w:t xml:space="preserve"> </w:t>
      </w:r>
      <w:r w:rsidRPr="0099170A">
        <w:rPr>
          <w:rFonts w:cstheme="minorHAnsi"/>
          <w:w w:val="105"/>
        </w:rPr>
        <w:t>services</w:t>
      </w:r>
      <w:r w:rsidRPr="0099170A">
        <w:rPr>
          <w:rFonts w:cstheme="minorHAnsi"/>
          <w:spacing w:val="12"/>
          <w:w w:val="105"/>
        </w:rPr>
        <w:t xml:space="preserve"> </w:t>
      </w:r>
      <w:r w:rsidRPr="0099170A">
        <w:rPr>
          <w:rFonts w:cstheme="minorHAnsi"/>
          <w:w w:val="105"/>
        </w:rPr>
        <w:t>in</w:t>
      </w:r>
      <w:r w:rsidRPr="0099170A">
        <w:rPr>
          <w:rFonts w:cstheme="minorHAnsi"/>
          <w:spacing w:val="12"/>
          <w:w w:val="105"/>
        </w:rPr>
        <w:t xml:space="preserve"> </w:t>
      </w:r>
      <w:r w:rsidRPr="0099170A">
        <w:rPr>
          <w:rFonts w:cstheme="minorHAnsi"/>
          <w:w w:val="105"/>
        </w:rPr>
        <w:t>these</w:t>
      </w:r>
      <w:r w:rsidRPr="0099170A">
        <w:rPr>
          <w:rFonts w:cstheme="minorHAnsi"/>
          <w:spacing w:val="-5"/>
          <w:w w:val="105"/>
        </w:rPr>
        <w:t xml:space="preserve"> </w:t>
      </w:r>
      <w:r w:rsidRPr="0099170A">
        <w:rPr>
          <w:rFonts w:cstheme="minorHAnsi"/>
          <w:w w:val="105"/>
        </w:rPr>
        <w:t>areas</w:t>
      </w:r>
      <w:r w:rsidRPr="0099170A">
        <w:rPr>
          <w:rFonts w:cstheme="minorHAnsi"/>
          <w:spacing w:val="15"/>
          <w:w w:val="105"/>
        </w:rPr>
        <w:t xml:space="preserve"> </w:t>
      </w:r>
      <w:r w:rsidRPr="0099170A">
        <w:rPr>
          <w:rFonts w:cstheme="minorHAnsi"/>
          <w:w w:val="105"/>
        </w:rPr>
        <w:t>receive</w:t>
      </w:r>
      <w:r w:rsidRPr="0099170A">
        <w:rPr>
          <w:rFonts w:cstheme="minorHAnsi"/>
          <w:spacing w:val="15"/>
          <w:w w:val="105"/>
        </w:rPr>
        <w:t xml:space="preserve"> </w:t>
      </w:r>
      <w:r w:rsidRPr="0099170A">
        <w:rPr>
          <w:rFonts w:cstheme="minorHAnsi"/>
          <w:w w:val="105"/>
        </w:rPr>
        <w:t>an</w:t>
      </w:r>
      <w:r w:rsidRPr="0099170A">
        <w:rPr>
          <w:rFonts w:cstheme="minorHAnsi"/>
          <w:spacing w:val="15"/>
          <w:w w:val="105"/>
        </w:rPr>
        <w:t xml:space="preserve"> </w:t>
      </w:r>
      <w:r w:rsidRPr="0099170A">
        <w:rPr>
          <w:rFonts w:cstheme="minorHAnsi"/>
          <w:w w:val="105"/>
        </w:rPr>
        <w:t>intensive</w:t>
      </w:r>
      <w:r w:rsidRPr="0099170A">
        <w:rPr>
          <w:rFonts w:cstheme="minorHAnsi"/>
          <w:spacing w:val="15"/>
          <w:w w:val="105"/>
        </w:rPr>
        <w:t xml:space="preserve"> </w:t>
      </w:r>
      <w:r w:rsidRPr="0099170A">
        <w:rPr>
          <w:rFonts w:cstheme="minorHAnsi"/>
          <w:w w:val="105"/>
        </w:rPr>
        <w:t>one-on-one</w:t>
      </w:r>
      <w:r w:rsidRPr="0099170A">
        <w:rPr>
          <w:rFonts w:cstheme="minorHAnsi"/>
          <w:spacing w:val="15"/>
          <w:w w:val="105"/>
        </w:rPr>
        <w:t xml:space="preserve"> </w:t>
      </w:r>
      <w:r w:rsidRPr="0099170A">
        <w:rPr>
          <w:rFonts w:cstheme="minorHAnsi"/>
          <w:w w:val="105"/>
        </w:rPr>
        <w:t>session</w:t>
      </w:r>
      <w:r w:rsidRPr="0099170A">
        <w:rPr>
          <w:rFonts w:cstheme="minorHAnsi"/>
          <w:spacing w:val="15"/>
          <w:w w:val="105"/>
        </w:rPr>
        <w:t xml:space="preserve"> </w:t>
      </w:r>
      <w:r w:rsidRPr="0099170A">
        <w:rPr>
          <w:rFonts w:cstheme="minorHAnsi"/>
          <w:w w:val="105"/>
        </w:rPr>
        <w:t>with</w:t>
      </w:r>
      <w:r w:rsidRPr="0099170A">
        <w:rPr>
          <w:rFonts w:cstheme="minorHAnsi"/>
          <w:spacing w:val="15"/>
          <w:w w:val="105"/>
        </w:rPr>
        <w:t xml:space="preserve"> </w:t>
      </w:r>
      <w:r w:rsidRPr="0099170A">
        <w:rPr>
          <w:rFonts w:cstheme="minorHAnsi"/>
          <w:w w:val="105"/>
        </w:rPr>
        <w:t>career</w:t>
      </w:r>
      <w:r w:rsidRPr="0099170A">
        <w:rPr>
          <w:rFonts w:cstheme="minorHAnsi"/>
          <w:spacing w:val="15"/>
          <w:w w:val="105"/>
        </w:rPr>
        <w:t xml:space="preserve"> </w:t>
      </w:r>
      <w:r w:rsidRPr="0099170A">
        <w:rPr>
          <w:rFonts w:cstheme="minorHAnsi"/>
          <w:w w:val="105"/>
        </w:rPr>
        <w:t>center</w:t>
      </w:r>
      <w:r w:rsidRPr="0099170A">
        <w:rPr>
          <w:rFonts w:cstheme="minorHAnsi"/>
          <w:spacing w:val="15"/>
          <w:w w:val="105"/>
        </w:rPr>
        <w:t xml:space="preserve"> </w:t>
      </w:r>
      <w:r w:rsidRPr="0099170A">
        <w:rPr>
          <w:rFonts w:cstheme="minorHAnsi"/>
          <w:w w:val="105"/>
        </w:rPr>
        <w:t>staff.</w:t>
      </w:r>
      <w:r w:rsidRPr="0099170A">
        <w:rPr>
          <w:rFonts w:cstheme="minorHAnsi"/>
          <w:spacing w:val="15"/>
          <w:w w:val="105"/>
        </w:rPr>
        <w:t xml:space="preserve"> </w:t>
      </w:r>
      <w:r w:rsidRPr="0099170A">
        <w:rPr>
          <w:rFonts w:cstheme="minorHAnsi"/>
          <w:w w:val="105"/>
        </w:rPr>
        <w:t>During</w:t>
      </w:r>
      <w:r w:rsidRPr="0099170A">
        <w:rPr>
          <w:rFonts w:cstheme="minorHAnsi"/>
          <w:spacing w:val="15"/>
          <w:w w:val="105"/>
        </w:rPr>
        <w:t xml:space="preserve"> </w:t>
      </w:r>
      <w:r w:rsidRPr="0099170A">
        <w:rPr>
          <w:rFonts w:cstheme="minorHAnsi"/>
          <w:w w:val="105"/>
        </w:rPr>
        <w:t>the</w:t>
      </w:r>
      <w:r w:rsidRPr="0099170A">
        <w:rPr>
          <w:rFonts w:cstheme="minorHAnsi"/>
          <w:spacing w:val="15"/>
          <w:w w:val="105"/>
        </w:rPr>
        <w:t xml:space="preserve"> </w:t>
      </w:r>
      <w:r w:rsidRPr="0099170A">
        <w:rPr>
          <w:rFonts w:cstheme="minorHAnsi"/>
          <w:w w:val="105"/>
        </w:rPr>
        <w:t>one-on-one</w:t>
      </w:r>
      <w:r w:rsidRPr="0099170A">
        <w:rPr>
          <w:rFonts w:cstheme="minorHAnsi"/>
          <w:spacing w:val="15"/>
          <w:w w:val="105"/>
        </w:rPr>
        <w:t xml:space="preserve"> </w:t>
      </w:r>
      <w:r w:rsidR="000205B8" w:rsidRPr="0099170A">
        <w:rPr>
          <w:rFonts w:cstheme="minorHAnsi"/>
          <w:w w:val="105"/>
        </w:rPr>
        <w:t>session,</w:t>
      </w:r>
      <w:r w:rsidR="000205B8">
        <w:rPr>
          <w:rFonts w:cstheme="minorHAnsi"/>
          <w:w w:val="105"/>
        </w:rPr>
        <w:t xml:space="preserve"> </w:t>
      </w:r>
      <w:r w:rsidR="000205B8" w:rsidRPr="0099170A">
        <w:rPr>
          <w:rFonts w:cstheme="minorHAnsi"/>
          <w:spacing w:val="-49"/>
          <w:w w:val="105"/>
        </w:rPr>
        <w:t>claimants</w:t>
      </w:r>
      <w:r w:rsidRPr="0099170A">
        <w:rPr>
          <w:rFonts w:cstheme="minorHAnsi"/>
          <w:w w:val="105"/>
        </w:rPr>
        <w:t xml:space="preserve"> receive an orientation, initial assessment, specific labor market information, development</w:t>
      </w:r>
      <w:r w:rsidR="00E40653" w:rsidRPr="0099170A">
        <w:rPr>
          <w:rFonts w:cstheme="minorHAnsi"/>
          <w:w w:val="105"/>
        </w:rPr>
        <w:t xml:space="preserve"> </w:t>
      </w:r>
      <w:r w:rsidRPr="0099170A">
        <w:rPr>
          <w:rFonts w:cstheme="minorHAnsi"/>
          <w:w w:val="105"/>
        </w:rPr>
        <w:t>of</w:t>
      </w:r>
      <w:r w:rsidRPr="0099170A">
        <w:rPr>
          <w:rFonts w:cstheme="minorHAnsi"/>
          <w:spacing w:val="15"/>
          <w:w w:val="105"/>
        </w:rPr>
        <w:t xml:space="preserve"> </w:t>
      </w:r>
      <w:r w:rsidRPr="0099170A">
        <w:rPr>
          <w:rFonts w:cstheme="minorHAnsi"/>
          <w:w w:val="105"/>
        </w:rPr>
        <w:t>an</w:t>
      </w:r>
      <w:r w:rsidRPr="0099170A">
        <w:rPr>
          <w:rFonts w:cstheme="minorHAnsi"/>
          <w:spacing w:val="15"/>
          <w:w w:val="105"/>
        </w:rPr>
        <w:t xml:space="preserve"> </w:t>
      </w:r>
      <w:r w:rsidRPr="0099170A">
        <w:rPr>
          <w:rFonts w:cstheme="minorHAnsi"/>
          <w:w w:val="105"/>
        </w:rPr>
        <w:t>employability</w:t>
      </w:r>
      <w:r w:rsidRPr="0099170A">
        <w:rPr>
          <w:rFonts w:cstheme="minorHAnsi"/>
          <w:spacing w:val="15"/>
          <w:w w:val="105"/>
        </w:rPr>
        <w:t xml:space="preserve"> </w:t>
      </w:r>
      <w:r w:rsidRPr="0099170A">
        <w:rPr>
          <w:rFonts w:cstheme="minorHAnsi"/>
          <w:w w:val="105"/>
        </w:rPr>
        <w:t>plan</w:t>
      </w:r>
      <w:r w:rsidRPr="0099170A">
        <w:rPr>
          <w:rFonts w:cstheme="minorHAnsi"/>
          <w:spacing w:val="15"/>
          <w:w w:val="105"/>
        </w:rPr>
        <w:t xml:space="preserve"> </w:t>
      </w:r>
      <w:r w:rsidRPr="0099170A">
        <w:rPr>
          <w:rFonts w:cstheme="minorHAnsi"/>
          <w:w w:val="105"/>
        </w:rPr>
        <w:t>and</w:t>
      </w:r>
      <w:r w:rsidRPr="0099170A">
        <w:rPr>
          <w:rFonts w:cstheme="minorHAnsi"/>
          <w:spacing w:val="15"/>
          <w:w w:val="105"/>
        </w:rPr>
        <w:t xml:space="preserve"> </w:t>
      </w:r>
      <w:r w:rsidR="00E40653" w:rsidRPr="0099170A">
        <w:rPr>
          <w:rFonts w:cstheme="minorHAnsi"/>
          <w:w w:val="105"/>
        </w:rPr>
        <w:t xml:space="preserve">are </w:t>
      </w:r>
      <w:r w:rsidRPr="0099170A">
        <w:rPr>
          <w:rFonts w:cstheme="minorHAnsi"/>
          <w:w w:val="105"/>
        </w:rPr>
        <w:t>scheduled</w:t>
      </w:r>
      <w:r w:rsidRPr="0099170A">
        <w:rPr>
          <w:rFonts w:cstheme="minorHAnsi"/>
          <w:spacing w:val="15"/>
          <w:w w:val="105"/>
        </w:rPr>
        <w:t xml:space="preserve"> </w:t>
      </w:r>
      <w:r w:rsidRPr="0099170A">
        <w:rPr>
          <w:rFonts w:cstheme="minorHAnsi"/>
          <w:w w:val="105"/>
        </w:rPr>
        <w:t>for</w:t>
      </w:r>
      <w:r w:rsidRPr="0099170A">
        <w:rPr>
          <w:rFonts w:cstheme="minorHAnsi"/>
          <w:spacing w:val="15"/>
          <w:w w:val="105"/>
        </w:rPr>
        <w:t xml:space="preserve"> </w:t>
      </w:r>
      <w:r w:rsidRPr="0099170A">
        <w:rPr>
          <w:rFonts w:cstheme="minorHAnsi"/>
          <w:w w:val="105"/>
        </w:rPr>
        <w:t>additional</w:t>
      </w:r>
      <w:r w:rsidRPr="0099170A">
        <w:rPr>
          <w:rFonts w:cstheme="minorHAnsi"/>
          <w:spacing w:val="15"/>
          <w:w w:val="105"/>
        </w:rPr>
        <w:t xml:space="preserve"> </w:t>
      </w:r>
      <w:r w:rsidRPr="0099170A">
        <w:rPr>
          <w:rFonts w:cstheme="minorHAnsi"/>
          <w:w w:val="105"/>
        </w:rPr>
        <w:t>reemployment</w:t>
      </w:r>
      <w:r w:rsidRPr="0099170A">
        <w:rPr>
          <w:rFonts w:cstheme="minorHAnsi"/>
          <w:spacing w:val="15"/>
          <w:w w:val="105"/>
        </w:rPr>
        <w:t xml:space="preserve"> </w:t>
      </w:r>
      <w:r w:rsidRPr="0099170A">
        <w:rPr>
          <w:rFonts w:cstheme="minorHAnsi"/>
          <w:w w:val="105"/>
        </w:rPr>
        <w:t>services.</w:t>
      </w:r>
      <w:r w:rsidRPr="0099170A">
        <w:rPr>
          <w:rFonts w:cstheme="minorHAnsi"/>
          <w:spacing w:val="15"/>
          <w:w w:val="105"/>
        </w:rPr>
        <w:t xml:space="preserve"> </w:t>
      </w:r>
      <w:r w:rsidRPr="0099170A">
        <w:rPr>
          <w:rFonts w:cstheme="minorHAnsi"/>
          <w:w w:val="105"/>
        </w:rPr>
        <w:t>Claimants</w:t>
      </w:r>
      <w:r w:rsidRPr="0099170A">
        <w:rPr>
          <w:rFonts w:cstheme="minorHAnsi"/>
          <w:spacing w:val="15"/>
          <w:w w:val="105"/>
        </w:rPr>
        <w:t xml:space="preserve"> </w:t>
      </w:r>
      <w:r w:rsidRPr="0099170A">
        <w:rPr>
          <w:rFonts w:cstheme="minorHAnsi"/>
          <w:w w:val="105"/>
        </w:rPr>
        <w:t>not</w:t>
      </w:r>
      <w:r w:rsidRPr="0099170A">
        <w:rPr>
          <w:rFonts w:cstheme="minorHAnsi"/>
          <w:spacing w:val="14"/>
          <w:w w:val="105"/>
        </w:rPr>
        <w:t xml:space="preserve"> </w:t>
      </w:r>
      <w:r w:rsidRPr="0099170A">
        <w:rPr>
          <w:rFonts w:cstheme="minorHAnsi"/>
          <w:w w:val="105"/>
        </w:rPr>
        <w:t>profiled</w:t>
      </w:r>
      <w:r w:rsidRPr="0099170A">
        <w:rPr>
          <w:rFonts w:cstheme="minorHAnsi"/>
          <w:spacing w:val="14"/>
          <w:w w:val="105"/>
        </w:rPr>
        <w:t xml:space="preserve"> </w:t>
      </w:r>
      <w:r w:rsidRPr="0099170A">
        <w:rPr>
          <w:rFonts w:cstheme="minorHAnsi"/>
          <w:w w:val="105"/>
        </w:rPr>
        <w:t>and</w:t>
      </w:r>
      <w:r w:rsidRPr="0099170A">
        <w:rPr>
          <w:rFonts w:cstheme="minorHAnsi"/>
          <w:spacing w:val="14"/>
          <w:w w:val="105"/>
        </w:rPr>
        <w:t xml:space="preserve"> </w:t>
      </w:r>
      <w:r w:rsidRPr="0099170A">
        <w:rPr>
          <w:rFonts w:cstheme="minorHAnsi"/>
          <w:w w:val="105"/>
        </w:rPr>
        <w:t>scheduled</w:t>
      </w:r>
      <w:r w:rsidRPr="0099170A">
        <w:rPr>
          <w:rFonts w:cstheme="minorHAnsi"/>
          <w:spacing w:val="14"/>
          <w:w w:val="105"/>
        </w:rPr>
        <w:t xml:space="preserve"> </w:t>
      </w:r>
      <w:r w:rsidRPr="0099170A">
        <w:rPr>
          <w:rFonts w:cstheme="minorHAnsi"/>
          <w:w w:val="105"/>
        </w:rPr>
        <w:t>to</w:t>
      </w:r>
      <w:r w:rsidRPr="0099170A">
        <w:rPr>
          <w:rFonts w:cstheme="minorHAnsi"/>
          <w:spacing w:val="14"/>
          <w:w w:val="105"/>
        </w:rPr>
        <w:t xml:space="preserve"> </w:t>
      </w:r>
      <w:r w:rsidRPr="0099170A">
        <w:rPr>
          <w:rFonts w:cstheme="minorHAnsi"/>
          <w:w w:val="105"/>
        </w:rPr>
        <w:t>attend</w:t>
      </w:r>
      <w:r w:rsidRPr="0099170A">
        <w:rPr>
          <w:rFonts w:cstheme="minorHAnsi"/>
          <w:spacing w:val="14"/>
          <w:w w:val="105"/>
        </w:rPr>
        <w:t xml:space="preserve"> </w:t>
      </w:r>
      <w:r w:rsidRPr="0099170A">
        <w:rPr>
          <w:rFonts w:cstheme="minorHAnsi"/>
          <w:w w:val="105"/>
        </w:rPr>
        <w:t>PREP</w:t>
      </w:r>
      <w:r w:rsidRPr="0099170A">
        <w:rPr>
          <w:rFonts w:cstheme="minorHAnsi"/>
          <w:spacing w:val="14"/>
          <w:w w:val="105"/>
        </w:rPr>
        <w:t xml:space="preserve"> </w:t>
      </w:r>
      <w:r w:rsidRPr="0099170A">
        <w:rPr>
          <w:rFonts w:cstheme="minorHAnsi"/>
          <w:w w:val="105"/>
        </w:rPr>
        <w:t>or</w:t>
      </w:r>
      <w:r w:rsidRPr="0099170A">
        <w:rPr>
          <w:rFonts w:cstheme="minorHAnsi"/>
          <w:spacing w:val="14"/>
          <w:w w:val="105"/>
        </w:rPr>
        <w:t xml:space="preserve"> </w:t>
      </w:r>
      <w:r w:rsidRPr="0099170A">
        <w:rPr>
          <w:rFonts w:cstheme="minorHAnsi"/>
          <w:w w:val="105"/>
        </w:rPr>
        <w:t>RESEA</w:t>
      </w:r>
      <w:r w:rsidRPr="0099170A">
        <w:rPr>
          <w:rFonts w:cstheme="minorHAnsi"/>
          <w:spacing w:val="14"/>
          <w:w w:val="105"/>
        </w:rPr>
        <w:t xml:space="preserve"> </w:t>
      </w:r>
      <w:r w:rsidR="006B0F1E" w:rsidRPr="0099170A">
        <w:rPr>
          <w:rFonts w:cstheme="minorHAnsi"/>
          <w:w w:val="105"/>
        </w:rPr>
        <w:t xml:space="preserve">are </w:t>
      </w:r>
      <w:r w:rsidRPr="0099170A">
        <w:rPr>
          <w:rFonts w:cstheme="minorHAnsi"/>
          <w:w w:val="105"/>
        </w:rPr>
        <w:t>offered</w:t>
      </w:r>
      <w:r w:rsidRPr="0099170A">
        <w:rPr>
          <w:rFonts w:cstheme="minorHAnsi"/>
          <w:spacing w:val="14"/>
          <w:w w:val="105"/>
        </w:rPr>
        <w:t xml:space="preserve"> </w:t>
      </w:r>
      <w:r w:rsidRPr="0099170A">
        <w:rPr>
          <w:rFonts w:cstheme="minorHAnsi"/>
          <w:w w:val="105"/>
        </w:rPr>
        <w:t>the</w:t>
      </w:r>
      <w:r w:rsidRPr="0099170A">
        <w:rPr>
          <w:rFonts w:cstheme="minorHAnsi"/>
          <w:spacing w:val="14"/>
          <w:w w:val="105"/>
        </w:rPr>
        <w:t xml:space="preserve"> </w:t>
      </w:r>
      <w:r w:rsidRPr="0099170A">
        <w:rPr>
          <w:rFonts w:cstheme="minorHAnsi"/>
          <w:w w:val="105"/>
        </w:rPr>
        <w:t>full</w:t>
      </w:r>
      <w:r w:rsidRPr="0099170A">
        <w:rPr>
          <w:rFonts w:cstheme="minorHAnsi"/>
          <w:spacing w:val="14"/>
          <w:w w:val="105"/>
        </w:rPr>
        <w:t xml:space="preserve"> </w:t>
      </w:r>
      <w:r w:rsidRPr="0099170A">
        <w:rPr>
          <w:rFonts w:cstheme="minorHAnsi"/>
          <w:w w:val="105"/>
        </w:rPr>
        <w:t>array</w:t>
      </w:r>
      <w:r w:rsidRPr="0099170A">
        <w:rPr>
          <w:rFonts w:cstheme="minorHAnsi"/>
          <w:spacing w:val="14"/>
          <w:w w:val="105"/>
        </w:rPr>
        <w:t xml:space="preserve"> </w:t>
      </w:r>
      <w:r w:rsidRPr="0099170A">
        <w:rPr>
          <w:rFonts w:cstheme="minorHAnsi"/>
          <w:w w:val="105"/>
        </w:rPr>
        <w:t>of</w:t>
      </w:r>
      <w:r w:rsidRPr="0099170A">
        <w:rPr>
          <w:rFonts w:cstheme="minorHAnsi"/>
          <w:spacing w:val="14"/>
          <w:w w:val="105"/>
        </w:rPr>
        <w:t xml:space="preserve"> </w:t>
      </w:r>
      <w:r w:rsidRPr="0099170A">
        <w:rPr>
          <w:rFonts w:cstheme="minorHAnsi"/>
          <w:w w:val="105"/>
        </w:rPr>
        <w:t>WP</w:t>
      </w:r>
      <w:r w:rsidRPr="0099170A">
        <w:rPr>
          <w:rFonts w:cstheme="minorHAnsi"/>
          <w:spacing w:val="14"/>
          <w:w w:val="105"/>
        </w:rPr>
        <w:t xml:space="preserve"> </w:t>
      </w:r>
      <w:r w:rsidRPr="0099170A">
        <w:rPr>
          <w:rFonts w:cstheme="minorHAnsi"/>
          <w:w w:val="105"/>
        </w:rPr>
        <w:t>career</w:t>
      </w:r>
      <w:r w:rsidRPr="0099170A">
        <w:rPr>
          <w:rFonts w:cstheme="minorHAnsi"/>
          <w:spacing w:val="14"/>
          <w:w w:val="105"/>
        </w:rPr>
        <w:t xml:space="preserve"> </w:t>
      </w:r>
      <w:r w:rsidRPr="0099170A">
        <w:rPr>
          <w:rFonts w:cstheme="minorHAnsi"/>
          <w:w w:val="105"/>
        </w:rPr>
        <w:t>services</w:t>
      </w:r>
      <w:r w:rsidRPr="0099170A">
        <w:rPr>
          <w:rFonts w:cstheme="minorHAnsi"/>
          <w:spacing w:val="-50"/>
          <w:w w:val="105"/>
        </w:rPr>
        <w:t xml:space="preserve"> </w:t>
      </w:r>
      <w:r w:rsidRPr="0099170A">
        <w:rPr>
          <w:rFonts w:cstheme="minorHAnsi"/>
          <w:w w:val="105"/>
        </w:rPr>
        <w:t>depending</w:t>
      </w:r>
      <w:r w:rsidRPr="0099170A">
        <w:rPr>
          <w:rFonts w:cstheme="minorHAnsi"/>
          <w:spacing w:val="19"/>
          <w:w w:val="105"/>
        </w:rPr>
        <w:t xml:space="preserve"> </w:t>
      </w:r>
      <w:r w:rsidRPr="0099170A">
        <w:rPr>
          <w:rFonts w:cstheme="minorHAnsi"/>
          <w:w w:val="105"/>
        </w:rPr>
        <w:t>on</w:t>
      </w:r>
      <w:r w:rsidRPr="0099170A">
        <w:rPr>
          <w:rFonts w:cstheme="minorHAnsi"/>
          <w:spacing w:val="19"/>
          <w:w w:val="105"/>
        </w:rPr>
        <w:t xml:space="preserve"> </w:t>
      </w:r>
      <w:r w:rsidRPr="0099170A">
        <w:rPr>
          <w:rFonts w:cstheme="minorHAnsi"/>
          <w:w w:val="105"/>
        </w:rPr>
        <w:t>the</w:t>
      </w:r>
      <w:r w:rsidRPr="0099170A">
        <w:rPr>
          <w:rFonts w:cstheme="minorHAnsi"/>
          <w:spacing w:val="19"/>
          <w:w w:val="105"/>
        </w:rPr>
        <w:t xml:space="preserve"> </w:t>
      </w:r>
      <w:r w:rsidRPr="0099170A">
        <w:rPr>
          <w:rFonts w:cstheme="minorHAnsi"/>
          <w:w w:val="105"/>
        </w:rPr>
        <w:t>claimant’s</w:t>
      </w:r>
      <w:r w:rsidRPr="0099170A">
        <w:rPr>
          <w:rFonts w:cstheme="minorHAnsi"/>
          <w:spacing w:val="19"/>
          <w:w w:val="105"/>
        </w:rPr>
        <w:t xml:space="preserve"> </w:t>
      </w:r>
      <w:r w:rsidRPr="0099170A">
        <w:rPr>
          <w:rFonts w:cstheme="minorHAnsi"/>
          <w:w w:val="105"/>
        </w:rPr>
        <w:t>request</w:t>
      </w:r>
      <w:r w:rsidRPr="0099170A">
        <w:rPr>
          <w:rFonts w:cstheme="minorHAnsi"/>
          <w:spacing w:val="19"/>
          <w:w w:val="105"/>
        </w:rPr>
        <w:t xml:space="preserve"> </w:t>
      </w:r>
      <w:r w:rsidRPr="0099170A">
        <w:rPr>
          <w:rFonts w:cstheme="minorHAnsi"/>
          <w:w w:val="105"/>
        </w:rPr>
        <w:t>and</w:t>
      </w:r>
      <w:r w:rsidRPr="0099170A">
        <w:rPr>
          <w:rFonts w:cstheme="minorHAnsi"/>
          <w:spacing w:val="19"/>
          <w:w w:val="105"/>
        </w:rPr>
        <w:t xml:space="preserve"> </w:t>
      </w:r>
      <w:r w:rsidRPr="0099170A">
        <w:rPr>
          <w:rFonts w:cstheme="minorHAnsi"/>
          <w:w w:val="105"/>
        </w:rPr>
        <w:t>other</w:t>
      </w:r>
      <w:r w:rsidRPr="0099170A">
        <w:rPr>
          <w:rFonts w:cstheme="minorHAnsi"/>
          <w:spacing w:val="19"/>
          <w:w w:val="105"/>
        </w:rPr>
        <w:t xml:space="preserve"> </w:t>
      </w:r>
      <w:r w:rsidRPr="0099170A">
        <w:rPr>
          <w:rFonts w:cstheme="minorHAnsi"/>
          <w:w w:val="105"/>
        </w:rPr>
        <w:t>need</w:t>
      </w:r>
      <w:r w:rsidR="006B0F1E" w:rsidRPr="0099170A">
        <w:rPr>
          <w:rFonts w:cstheme="minorHAnsi"/>
          <w:w w:val="105"/>
        </w:rPr>
        <w:t>s</w:t>
      </w:r>
      <w:r w:rsidRPr="0099170A">
        <w:rPr>
          <w:rFonts w:cstheme="minorHAnsi"/>
          <w:w w:val="105"/>
        </w:rPr>
        <w:t>.</w:t>
      </w:r>
      <w:r w:rsidRPr="0099170A">
        <w:rPr>
          <w:rFonts w:cstheme="minorHAnsi"/>
          <w:spacing w:val="19"/>
          <w:w w:val="105"/>
        </w:rPr>
        <w:t xml:space="preserve"> </w:t>
      </w:r>
      <w:r w:rsidRPr="0099170A">
        <w:rPr>
          <w:rFonts w:cstheme="minorHAnsi"/>
          <w:w w:val="105"/>
        </w:rPr>
        <w:t>Career</w:t>
      </w:r>
      <w:r w:rsidRPr="0099170A">
        <w:rPr>
          <w:rFonts w:cstheme="minorHAnsi"/>
          <w:spacing w:val="19"/>
          <w:w w:val="105"/>
        </w:rPr>
        <w:t xml:space="preserve"> </w:t>
      </w:r>
      <w:r w:rsidRPr="0099170A">
        <w:rPr>
          <w:rFonts w:cstheme="minorHAnsi"/>
          <w:w w:val="105"/>
        </w:rPr>
        <w:t>services</w:t>
      </w:r>
      <w:r w:rsidRPr="0099170A">
        <w:rPr>
          <w:rFonts w:cstheme="minorHAnsi"/>
          <w:spacing w:val="19"/>
          <w:w w:val="105"/>
        </w:rPr>
        <w:t xml:space="preserve"> </w:t>
      </w:r>
      <w:r w:rsidRPr="0099170A">
        <w:rPr>
          <w:rFonts w:cstheme="minorHAnsi"/>
          <w:w w:val="105"/>
        </w:rPr>
        <w:t>may</w:t>
      </w:r>
      <w:r w:rsidRPr="0099170A">
        <w:rPr>
          <w:rFonts w:cstheme="minorHAnsi"/>
          <w:spacing w:val="19"/>
          <w:w w:val="105"/>
        </w:rPr>
        <w:t xml:space="preserve"> </w:t>
      </w:r>
      <w:r w:rsidRPr="0099170A">
        <w:rPr>
          <w:rFonts w:cstheme="minorHAnsi"/>
          <w:w w:val="105"/>
        </w:rPr>
        <w:t>be</w:t>
      </w:r>
      <w:r w:rsidRPr="0099170A">
        <w:rPr>
          <w:rFonts w:cstheme="minorHAnsi"/>
          <w:spacing w:val="19"/>
          <w:w w:val="105"/>
        </w:rPr>
        <w:t xml:space="preserve"> </w:t>
      </w:r>
      <w:r w:rsidRPr="0099170A">
        <w:rPr>
          <w:rFonts w:cstheme="minorHAnsi"/>
          <w:w w:val="105"/>
        </w:rPr>
        <w:t>scheduled</w:t>
      </w:r>
      <w:r w:rsidRPr="0099170A">
        <w:rPr>
          <w:rFonts w:cstheme="minorHAnsi"/>
          <w:spacing w:val="19"/>
          <w:w w:val="105"/>
        </w:rPr>
        <w:t xml:space="preserve"> </w:t>
      </w:r>
      <w:r w:rsidRPr="0099170A">
        <w:rPr>
          <w:rFonts w:cstheme="minorHAnsi"/>
          <w:w w:val="105"/>
        </w:rPr>
        <w:t>in</w:t>
      </w:r>
      <w:r w:rsidRPr="0099170A">
        <w:rPr>
          <w:rFonts w:cstheme="minorHAnsi"/>
          <w:w w:val="102"/>
        </w:rPr>
        <w:t xml:space="preserve"> </w:t>
      </w:r>
      <w:r w:rsidRPr="0099170A">
        <w:rPr>
          <w:rFonts w:cstheme="minorHAnsi"/>
          <w:w w:val="105"/>
        </w:rPr>
        <w:t>the management information system requiring the claimant to fulfill their obligation to actively</w:t>
      </w:r>
      <w:r w:rsidRPr="0099170A">
        <w:rPr>
          <w:rFonts w:cstheme="minorHAnsi"/>
          <w:spacing w:val="45"/>
          <w:w w:val="105"/>
        </w:rPr>
        <w:t xml:space="preserve"> </w:t>
      </w:r>
      <w:r w:rsidRPr="0099170A">
        <w:rPr>
          <w:rFonts w:cstheme="minorHAnsi"/>
          <w:w w:val="105"/>
        </w:rPr>
        <w:t>pursue</w:t>
      </w:r>
      <w:r w:rsidRPr="0099170A">
        <w:rPr>
          <w:rFonts w:cstheme="minorHAnsi"/>
          <w:w w:val="107"/>
        </w:rPr>
        <w:t xml:space="preserve"> </w:t>
      </w:r>
      <w:r w:rsidRPr="0099170A">
        <w:rPr>
          <w:rFonts w:cstheme="minorHAnsi"/>
          <w:w w:val="105"/>
        </w:rPr>
        <w:t>employment.</w:t>
      </w:r>
      <w:r w:rsidRPr="0099170A">
        <w:rPr>
          <w:rFonts w:cstheme="minorHAnsi"/>
          <w:spacing w:val="11"/>
          <w:w w:val="105"/>
        </w:rPr>
        <w:t xml:space="preserve"> </w:t>
      </w:r>
      <w:r w:rsidRPr="0099170A">
        <w:rPr>
          <w:rFonts w:cstheme="minorHAnsi"/>
          <w:w w:val="105"/>
        </w:rPr>
        <w:t>Failure</w:t>
      </w:r>
      <w:r w:rsidRPr="0099170A">
        <w:rPr>
          <w:rFonts w:cstheme="minorHAnsi"/>
          <w:spacing w:val="11"/>
          <w:w w:val="105"/>
        </w:rPr>
        <w:t xml:space="preserve"> </w:t>
      </w:r>
      <w:r w:rsidRPr="0099170A">
        <w:rPr>
          <w:rFonts w:cstheme="minorHAnsi"/>
          <w:w w:val="105"/>
        </w:rPr>
        <w:t>to</w:t>
      </w:r>
      <w:r w:rsidRPr="0099170A">
        <w:rPr>
          <w:rFonts w:cstheme="minorHAnsi"/>
          <w:spacing w:val="11"/>
          <w:w w:val="105"/>
        </w:rPr>
        <w:t xml:space="preserve"> </w:t>
      </w:r>
      <w:r w:rsidRPr="0099170A">
        <w:rPr>
          <w:rFonts w:cstheme="minorHAnsi"/>
          <w:w w:val="105"/>
        </w:rPr>
        <w:t>comply</w:t>
      </w:r>
      <w:r w:rsidRPr="0099170A">
        <w:rPr>
          <w:rFonts w:cstheme="minorHAnsi"/>
          <w:spacing w:val="11"/>
          <w:w w:val="105"/>
        </w:rPr>
        <w:t xml:space="preserve"> </w:t>
      </w:r>
      <w:r w:rsidRPr="0099170A">
        <w:rPr>
          <w:rFonts w:cstheme="minorHAnsi"/>
          <w:w w:val="105"/>
        </w:rPr>
        <w:t>with</w:t>
      </w:r>
      <w:r w:rsidRPr="0099170A">
        <w:rPr>
          <w:rFonts w:cstheme="minorHAnsi"/>
          <w:spacing w:val="11"/>
          <w:w w:val="105"/>
        </w:rPr>
        <w:t xml:space="preserve"> </w:t>
      </w:r>
      <w:r w:rsidRPr="0099170A">
        <w:rPr>
          <w:rFonts w:cstheme="minorHAnsi"/>
          <w:w w:val="105"/>
        </w:rPr>
        <w:t>scheduled</w:t>
      </w:r>
      <w:r w:rsidRPr="0099170A">
        <w:rPr>
          <w:rFonts w:cstheme="minorHAnsi"/>
          <w:spacing w:val="11"/>
          <w:w w:val="105"/>
        </w:rPr>
        <w:t xml:space="preserve"> </w:t>
      </w:r>
      <w:r w:rsidRPr="0099170A">
        <w:rPr>
          <w:rFonts w:cstheme="minorHAnsi"/>
          <w:w w:val="105"/>
        </w:rPr>
        <w:t>services</w:t>
      </w:r>
      <w:r w:rsidRPr="0099170A">
        <w:rPr>
          <w:rFonts w:cstheme="minorHAnsi"/>
          <w:spacing w:val="11"/>
          <w:w w:val="105"/>
        </w:rPr>
        <w:t xml:space="preserve"> </w:t>
      </w:r>
      <w:r w:rsidRPr="0099170A">
        <w:rPr>
          <w:rFonts w:cstheme="minorHAnsi"/>
          <w:w w:val="105"/>
        </w:rPr>
        <w:t>may</w:t>
      </w:r>
      <w:r w:rsidRPr="0099170A">
        <w:rPr>
          <w:rFonts w:cstheme="minorHAnsi"/>
          <w:spacing w:val="11"/>
          <w:w w:val="105"/>
        </w:rPr>
        <w:t xml:space="preserve"> </w:t>
      </w:r>
      <w:r w:rsidRPr="0099170A">
        <w:rPr>
          <w:rFonts w:cstheme="minorHAnsi"/>
          <w:w w:val="105"/>
        </w:rPr>
        <w:t>be</w:t>
      </w:r>
      <w:r w:rsidRPr="0099170A">
        <w:rPr>
          <w:rFonts w:cstheme="minorHAnsi"/>
          <w:spacing w:val="11"/>
          <w:w w:val="105"/>
        </w:rPr>
        <w:t xml:space="preserve"> </w:t>
      </w:r>
      <w:r w:rsidRPr="0099170A">
        <w:rPr>
          <w:rFonts w:cstheme="minorHAnsi"/>
          <w:w w:val="105"/>
        </w:rPr>
        <w:t>communicated</w:t>
      </w:r>
      <w:r w:rsidRPr="0099170A">
        <w:rPr>
          <w:rFonts w:cstheme="minorHAnsi"/>
          <w:spacing w:val="11"/>
          <w:w w:val="105"/>
        </w:rPr>
        <w:t xml:space="preserve"> </w:t>
      </w:r>
      <w:r w:rsidRPr="0099170A">
        <w:rPr>
          <w:rFonts w:cstheme="minorHAnsi"/>
          <w:w w:val="105"/>
        </w:rPr>
        <w:t>to</w:t>
      </w:r>
      <w:r w:rsidRPr="0099170A">
        <w:rPr>
          <w:rFonts w:cstheme="minorHAnsi"/>
          <w:spacing w:val="11"/>
          <w:w w:val="105"/>
        </w:rPr>
        <w:t xml:space="preserve"> </w:t>
      </w:r>
      <w:r w:rsidRPr="0099170A">
        <w:rPr>
          <w:rFonts w:cstheme="minorHAnsi"/>
          <w:w w:val="105"/>
        </w:rPr>
        <w:t>the</w:t>
      </w:r>
      <w:r w:rsidRPr="0099170A">
        <w:rPr>
          <w:rFonts w:cstheme="minorHAnsi"/>
          <w:spacing w:val="11"/>
          <w:w w:val="105"/>
        </w:rPr>
        <w:t xml:space="preserve"> </w:t>
      </w:r>
      <w:r w:rsidRPr="0099170A">
        <w:rPr>
          <w:rFonts w:cstheme="minorHAnsi"/>
          <w:w w:val="105"/>
        </w:rPr>
        <w:t>RA</w:t>
      </w:r>
      <w:r w:rsidRPr="0099170A">
        <w:rPr>
          <w:rFonts w:cstheme="minorHAnsi"/>
          <w:spacing w:val="11"/>
          <w:w w:val="105"/>
        </w:rPr>
        <w:t xml:space="preserve"> </w:t>
      </w:r>
      <w:r w:rsidRPr="0099170A">
        <w:rPr>
          <w:rFonts w:cstheme="minorHAnsi"/>
          <w:w w:val="105"/>
        </w:rPr>
        <w:t>program</w:t>
      </w:r>
      <w:r w:rsidRPr="0099170A">
        <w:rPr>
          <w:rFonts w:cstheme="minorHAnsi"/>
          <w:spacing w:val="11"/>
          <w:w w:val="105"/>
        </w:rPr>
        <w:t xml:space="preserve"> </w:t>
      </w:r>
      <w:r w:rsidRPr="0099170A">
        <w:rPr>
          <w:rFonts w:cstheme="minorHAnsi"/>
          <w:w w:val="105"/>
        </w:rPr>
        <w:t>for</w:t>
      </w:r>
      <w:r w:rsidRPr="0099170A">
        <w:rPr>
          <w:rFonts w:cstheme="minorHAnsi"/>
          <w:spacing w:val="-30"/>
          <w:w w:val="105"/>
        </w:rPr>
        <w:t xml:space="preserve"> </w:t>
      </w:r>
      <w:r w:rsidRPr="0099170A">
        <w:rPr>
          <w:rFonts w:cstheme="minorHAnsi"/>
          <w:w w:val="105"/>
        </w:rPr>
        <w:t xml:space="preserve">referral to an adjudicator </w:t>
      </w:r>
      <w:r w:rsidR="00716421" w:rsidRPr="0099170A">
        <w:rPr>
          <w:rFonts w:cstheme="minorHAnsi"/>
          <w:w w:val="105"/>
        </w:rPr>
        <w:t xml:space="preserve">to conduct </w:t>
      </w:r>
      <w:r w:rsidRPr="0099170A">
        <w:rPr>
          <w:rFonts w:cstheme="minorHAnsi"/>
          <w:w w:val="105"/>
        </w:rPr>
        <w:t>fact finding</w:t>
      </w:r>
      <w:r w:rsidR="009F0C2A" w:rsidRPr="0099170A">
        <w:rPr>
          <w:rFonts w:cstheme="minorHAnsi"/>
          <w:w w:val="105"/>
        </w:rPr>
        <w:t>.</w:t>
      </w:r>
      <w:r w:rsidR="009F0C2A" w:rsidRPr="0099170A">
        <w:rPr>
          <w:rFonts w:cstheme="minorHAnsi"/>
          <w:w w:val="105"/>
        </w:rPr>
        <w:br/>
      </w:r>
      <w:r w:rsidR="009F0C2A" w:rsidRPr="0099170A">
        <w:rPr>
          <w:rFonts w:cstheme="minorHAnsi"/>
          <w:w w:val="105"/>
        </w:rPr>
        <w:br/>
      </w:r>
      <w:r w:rsidR="00A0558C" w:rsidRPr="0099170A">
        <w:rPr>
          <w:rFonts w:cstheme="minorHAnsi"/>
          <w:w w:val="105"/>
        </w:rPr>
        <w:t>Claimants</w:t>
      </w:r>
      <w:r w:rsidR="00A0558C" w:rsidRPr="0099170A">
        <w:rPr>
          <w:rFonts w:cstheme="minorHAnsi"/>
          <w:spacing w:val="7"/>
          <w:w w:val="105"/>
        </w:rPr>
        <w:t xml:space="preserve"> </w:t>
      </w:r>
      <w:r w:rsidR="00A0558C" w:rsidRPr="0099170A">
        <w:rPr>
          <w:rFonts w:cstheme="minorHAnsi"/>
          <w:w w:val="105"/>
        </w:rPr>
        <w:t>are</w:t>
      </w:r>
      <w:r w:rsidR="00A0558C" w:rsidRPr="0099170A">
        <w:rPr>
          <w:rFonts w:cstheme="minorHAnsi"/>
          <w:spacing w:val="7"/>
          <w:w w:val="105"/>
        </w:rPr>
        <w:t xml:space="preserve"> </w:t>
      </w:r>
      <w:r w:rsidR="00A0558C" w:rsidRPr="0099170A">
        <w:rPr>
          <w:rFonts w:cstheme="minorHAnsi"/>
          <w:w w:val="105"/>
        </w:rPr>
        <w:t>one</w:t>
      </w:r>
      <w:r w:rsidR="00A0558C" w:rsidRPr="0099170A">
        <w:rPr>
          <w:rFonts w:cstheme="minorHAnsi"/>
          <w:spacing w:val="7"/>
          <w:w w:val="105"/>
        </w:rPr>
        <w:t xml:space="preserve"> </w:t>
      </w:r>
      <w:r w:rsidR="00A0558C" w:rsidRPr="0099170A">
        <w:rPr>
          <w:rFonts w:cstheme="minorHAnsi"/>
          <w:w w:val="105"/>
        </w:rPr>
        <w:t>priority</w:t>
      </w:r>
      <w:r w:rsidR="00A0558C" w:rsidRPr="0099170A">
        <w:rPr>
          <w:rFonts w:cstheme="minorHAnsi"/>
          <w:spacing w:val="7"/>
          <w:w w:val="105"/>
        </w:rPr>
        <w:t xml:space="preserve"> </w:t>
      </w:r>
      <w:r w:rsidR="00A0558C" w:rsidRPr="0099170A">
        <w:rPr>
          <w:rFonts w:cstheme="minorHAnsi"/>
          <w:w w:val="105"/>
        </w:rPr>
        <w:t>population</w:t>
      </w:r>
      <w:r w:rsidR="00A0558C" w:rsidRPr="0099170A">
        <w:rPr>
          <w:rFonts w:cstheme="minorHAnsi"/>
          <w:spacing w:val="7"/>
          <w:w w:val="105"/>
        </w:rPr>
        <w:t xml:space="preserve"> </w:t>
      </w:r>
      <w:r w:rsidR="00A0558C" w:rsidRPr="0099170A">
        <w:rPr>
          <w:rFonts w:cstheme="minorHAnsi"/>
          <w:w w:val="105"/>
        </w:rPr>
        <w:t>supported</w:t>
      </w:r>
      <w:r w:rsidR="00A0558C" w:rsidRPr="0099170A">
        <w:rPr>
          <w:rFonts w:cstheme="minorHAnsi"/>
          <w:spacing w:val="7"/>
          <w:w w:val="105"/>
        </w:rPr>
        <w:t xml:space="preserve"> </w:t>
      </w:r>
      <w:r w:rsidR="00A0558C" w:rsidRPr="0099170A">
        <w:rPr>
          <w:rFonts w:cstheme="minorHAnsi"/>
          <w:w w:val="105"/>
        </w:rPr>
        <w:t>by</w:t>
      </w:r>
      <w:r w:rsidR="00A0558C" w:rsidRPr="0099170A">
        <w:rPr>
          <w:rFonts w:cstheme="minorHAnsi"/>
          <w:spacing w:val="7"/>
          <w:w w:val="105"/>
        </w:rPr>
        <w:t xml:space="preserve"> </w:t>
      </w:r>
      <w:r w:rsidR="00A0558C" w:rsidRPr="0099170A">
        <w:rPr>
          <w:rFonts w:cstheme="minorHAnsi"/>
          <w:w w:val="105"/>
        </w:rPr>
        <w:t>Florida’s</w:t>
      </w:r>
      <w:r w:rsidR="00A0558C" w:rsidRPr="0099170A">
        <w:rPr>
          <w:rFonts w:cstheme="minorHAnsi"/>
          <w:spacing w:val="7"/>
          <w:w w:val="105"/>
        </w:rPr>
        <w:t xml:space="preserve"> </w:t>
      </w:r>
      <w:r w:rsidR="00A0558C" w:rsidRPr="0099170A">
        <w:rPr>
          <w:rFonts w:cstheme="minorHAnsi"/>
          <w:w w:val="105"/>
        </w:rPr>
        <w:t>WP</w:t>
      </w:r>
      <w:r w:rsidR="00A0558C" w:rsidRPr="0099170A">
        <w:rPr>
          <w:rFonts w:cstheme="minorHAnsi"/>
          <w:spacing w:val="7"/>
          <w:w w:val="105"/>
        </w:rPr>
        <w:t xml:space="preserve"> </w:t>
      </w:r>
      <w:r w:rsidR="00A0558C" w:rsidRPr="0099170A">
        <w:rPr>
          <w:rFonts w:cstheme="minorHAnsi"/>
          <w:w w:val="105"/>
        </w:rPr>
        <w:t>funds.</w:t>
      </w:r>
      <w:r w:rsidR="00A0558C" w:rsidRPr="0099170A">
        <w:rPr>
          <w:rFonts w:cstheme="minorHAnsi"/>
          <w:spacing w:val="7"/>
          <w:w w:val="105"/>
        </w:rPr>
        <w:t xml:space="preserve"> </w:t>
      </w:r>
      <w:r w:rsidR="00A0558C" w:rsidRPr="0099170A">
        <w:rPr>
          <w:rFonts w:cstheme="minorHAnsi"/>
          <w:w w:val="105"/>
        </w:rPr>
        <w:t>Florida’s</w:t>
      </w:r>
      <w:r w:rsidR="00A0558C" w:rsidRPr="0099170A">
        <w:rPr>
          <w:rFonts w:cstheme="minorHAnsi"/>
          <w:spacing w:val="7"/>
          <w:w w:val="105"/>
        </w:rPr>
        <w:t xml:space="preserve"> </w:t>
      </w:r>
      <w:r w:rsidR="00A0558C" w:rsidRPr="0099170A">
        <w:rPr>
          <w:rFonts w:cstheme="minorHAnsi"/>
          <w:w w:val="105"/>
        </w:rPr>
        <w:t>automated</w:t>
      </w:r>
      <w:r w:rsidR="00A0558C" w:rsidRPr="0099170A">
        <w:rPr>
          <w:rFonts w:cstheme="minorHAnsi"/>
          <w:spacing w:val="-21"/>
          <w:w w:val="105"/>
        </w:rPr>
        <w:t xml:space="preserve"> </w:t>
      </w:r>
      <w:r w:rsidR="00A0558C" w:rsidRPr="0099170A">
        <w:rPr>
          <w:rFonts w:cstheme="minorHAnsi"/>
          <w:w w:val="105"/>
        </w:rPr>
        <w:t>processes</w:t>
      </w:r>
      <w:r w:rsidR="00A0558C" w:rsidRPr="0099170A">
        <w:rPr>
          <w:rFonts w:cstheme="minorHAnsi"/>
          <w:spacing w:val="18"/>
          <w:w w:val="105"/>
        </w:rPr>
        <w:t xml:space="preserve"> </w:t>
      </w:r>
      <w:r w:rsidR="00A0558C" w:rsidRPr="0099170A">
        <w:rPr>
          <w:rFonts w:cstheme="minorHAnsi"/>
          <w:w w:val="105"/>
        </w:rPr>
        <w:t>allow</w:t>
      </w:r>
      <w:r w:rsidR="00A0558C" w:rsidRPr="0099170A">
        <w:rPr>
          <w:rFonts w:cstheme="minorHAnsi"/>
          <w:spacing w:val="18"/>
          <w:w w:val="105"/>
        </w:rPr>
        <w:t xml:space="preserve"> </w:t>
      </w:r>
      <w:r w:rsidR="00A0558C" w:rsidRPr="0099170A">
        <w:rPr>
          <w:rFonts w:cstheme="minorHAnsi"/>
          <w:w w:val="105"/>
        </w:rPr>
        <w:t>RA</w:t>
      </w:r>
      <w:r w:rsidR="00A0558C" w:rsidRPr="0099170A">
        <w:rPr>
          <w:rFonts w:cstheme="minorHAnsi"/>
          <w:spacing w:val="18"/>
          <w:w w:val="105"/>
        </w:rPr>
        <w:t xml:space="preserve"> </w:t>
      </w:r>
      <w:r w:rsidR="00A0558C" w:rsidRPr="0099170A">
        <w:rPr>
          <w:rFonts w:cstheme="minorHAnsi"/>
          <w:w w:val="105"/>
        </w:rPr>
        <w:t>claimants</w:t>
      </w:r>
      <w:r w:rsidR="00A0558C" w:rsidRPr="0099170A">
        <w:rPr>
          <w:rFonts w:cstheme="minorHAnsi"/>
          <w:spacing w:val="18"/>
          <w:w w:val="105"/>
        </w:rPr>
        <w:t xml:space="preserve"> </w:t>
      </w:r>
      <w:r w:rsidR="00A0558C" w:rsidRPr="0099170A">
        <w:rPr>
          <w:rFonts w:cstheme="minorHAnsi"/>
          <w:w w:val="105"/>
        </w:rPr>
        <w:t>to</w:t>
      </w:r>
      <w:r w:rsidR="00A0558C" w:rsidRPr="0099170A">
        <w:rPr>
          <w:rFonts w:cstheme="minorHAnsi"/>
          <w:spacing w:val="18"/>
          <w:w w:val="105"/>
        </w:rPr>
        <w:t xml:space="preserve"> </w:t>
      </w:r>
      <w:r w:rsidR="00A0558C" w:rsidRPr="0099170A">
        <w:rPr>
          <w:rFonts w:cstheme="minorHAnsi"/>
          <w:w w:val="105"/>
        </w:rPr>
        <w:t>receive</w:t>
      </w:r>
      <w:r w:rsidR="00A0558C" w:rsidRPr="0099170A">
        <w:rPr>
          <w:rFonts w:cstheme="minorHAnsi"/>
          <w:spacing w:val="18"/>
          <w:w w:val="105"/>
        </w:rPr>
        <w:t xml:space="preserve"> </w:t>
      </w:r>
      <w:r w:rsidR="00A0558C" w:rsidRPr="0099170A">
        <w:rPr>
          <w:rFonts w:cstheme="minorHAnsi"/>
          <w:w w:val="105"/>
        </w:rPr>
        <w:t>reemployment</w:t>
      </w:r>
      <w:r w:rsidR="00A0558C" w:rsidRPr="0099170A">
        <w:rPr>
          <w:rFonts w:cstheme="minorHAnsi"/>
          <w:spacing w:val="18"/>
          <w:w w:val="105"/>
        </w:rPr>
        <w:t xml:space="preserve"> </w:t>
      </w:r>
      <w:r w:rsidR="00A0558C" w:rsidRPr="0099170A">
        <w:rPr>
          <w:rFonts w:cstheme="minorHAnsi"/>
          <w:w w:val="105"/>
        </w:rPr>
        <w:t>services</w:t>
      </w:r>
      <w:r w:rsidR="00A0558C" w:rsidRPr="0099170A">
        <w:rPr>
          <w:rFonts w:cstheme="minorHAnsi"/>
          <w:spacing w:val="18"/>
          <w:w w:val="105"/>
        </w:rPr>
        <w:t xml:space="preserve"> </w:t>
      </w:r>
      <w:r w:rsidR="00A0558C" w:rsidRPr="0099170A">
        <w:rPr>
          <w:rFonts w:cstheme="minorHAnsi"/>
          <w:w w:val="105"/>
        </w:rPr>
        <w:t>quickly</w:t>
      </w:r>
      <w:r w:rsidR="00A0558C" w:rsidRPr="0099170A">
        <w:rPr>
          <w:rFonts w:cstheme="minorHAnsi"/>
          <w:spacing w:val="18"/>
          <w:w w:val="105"/>
        </w:rPr>
        <w:t xml:space="preserve"> </w:t>
      </w:r>
      <w:r w:rsidR="00A0558C" w:rsidRPr="0099170A">
        <w:rPr>
          <w:rFonts w:cstheme="minorHAnsi"/>
          <w:w w:val="105"/>
        </w:rPr>
        <w:t>and</w:t>
      </w:r>
      <w:r w:rsidR="00A0558C" w:rsidRPr="0099170A">
        <w:rPr>
          <w:rFonts w:cstheme="minorHAnsi"/>
          <w:spacing w:val="18"/>
          <w:w w:val="105"/>
        </w:rPr>
        <w:t xml:space="preserve"> </w:t>
      </w:r>
      <w:r w:rsidR="00A0558C" w:rsidRPr="0099170A">
        <w:rPr>
          <w:rFonts w:cstheme="minorHAnsi"/>
          <w:w w:val="105"/>
        </w:rPr>
        <w:t>seamlessly.</w:t>
      </w:r>
      <w:r w:rsidR="00A0558C" w:rsidRPr="0099170A">
        <w:rPr>
          <w:rFonts w:cstheme="minorHAnsi"/>
          <w:spacing w:val="18"/>
          <w:w w:val="105"/>
        </w:rPr>
        <w:t xml:space="preserve"> </w:t>
      </w:r>
      <w:r w:rsidR="00A0558C" w:rsidRPr="0099170A">
        <w:rPr>
          <w:rFonts w:cstheme="minorHAnsi"/>
          <w:w w:val="105"/>
        </w:rPr>
        <w:t>Upon</w:t>
      </w:r>
      <w:r w:rsidR="00A0558C" w:rsidRPr="0099170A">
        <w:rPr>
          <w:rFonts w:cstheme="minorHAnsi"/>
          <w:spacing w:val="18"/>
          <w:w w:val="105"/>
        </w:rPr>
        <w:t xml:space="preserve"> </w:t>
      </w:r>
      <w:r w:rsidR="00A0558C" w:rsidRPr="0099170A">
        <w:rPr>
          <w:rFonts w:cstheme="minorHAnsi"/>
          <w:w w:val="105"/>
        </w:rPr>
        <w:t>filing</w:t>
      </w:r>
      <w:r w:rsidR="00A0558C" w:rsidRPr="0099170A">
        <w:rPr>
          <w:rFonts w:cstheme="minorHAnsi"/>
          <w:spacing w:val="18"/>
          <w:w w:val="105"/>
        </w:rPr>
        <w:t xml:space="preserve"> </w:t>
      </w:r>
      <w:r w:rsidR="00A0558C" w:rsidRPr="0099170A">
        <w:rPr>
          <w:rFonts w:cstheme="minorHAnsi"/>
          <w:w w:val="105"/>
        </w:rPr>
        <w:t>an</w:t>
      </w:r>
      <w:r w:rsidR="00A0558C" w:rsidRPr="0099170A">
        <w:rPr>
          <w:rFonts w:cstheme="minorHAnsi"/>
          <w:spacing w:val="-1"/>
          <w:w w:val="105"/>
        </w:rPr>
        <w:t xml:space="preserve"> </w:t>
      </w:r>
      <w:r w:rsidR="00A0558C" w:rsidRPr="0099170A">
        <w:rPr>
          <w:rFonts w:cstheme="minorHAnsi"/>
          <w:w w:val="105"/>
        </w:rPr>
        <w:t>initial</w:t>
      </w:r>
      <w:r w:rsidR="00A0558C" w:rsidRPr="0099170A">
        <w:rPr>
          <w:rFonts w:cstheme="minorHAnsi"/>
          <w:spacing w:val="7"/>
          <w:w w:val="105"/>
        </w:rPr>
        <w:t xml:space="preserve"> </w:t>
      </w:r>
      <w:r w:rsidR="00A0558C" w:rsidRPr="0099170A">
        <w:rPr>
          <w:rFonts w:cstheme="minorHAnsi"/>
          <w:w w:val="105"/>
        </w:rPr>
        <w:t>claim</w:t>
      </w:r>
      <w:r w:rsidR="00A0558C" w:rsidRPr="0099170A">
        <w:rPr>
          <w:rFonts w:cstheme="minorHAnsi"/>
          <w:spacing w:val="7"/>
          <w:w w:val="105"/>
        </w:rPr>
        <w:t xml:space="preserve"> </w:t>
      </w:r>
      <w:r w:rsidR="00A0558C" w:rsidRPr="0099170A">
        <w:rPr>
          <w:rFonts w:cstheme="minorHAnsi"/>
          <w:w w:val="105"/>
        </w:rPr>
        <w:t>in</w:t>
      </w:r>
      <w:r w:rsidR="00A0558C" w:rsidRPr="0099170A">
        <w:rPr>
          <w:rFonts w:cstheme="minorHAnsi"/>
          <w:spacing w:val="7"/>
          <w:w w:val="105"/>
        </w:rPr>
        <w:t xml:space="preserve"> </w:t>
      </w:r>
      <w:r w:rsidR="00A0558C" w:rsidRPr="0099170A">
        <w:rPr>
          <w:rFonts w:cstheme="minorHAnsi"/>
          <w:w w:val="105"/>
        </w:rPr>
        <w:t>the</w:t>
      </w:r>
      <w:r w:rsidR="00A0558C" w:rsidRPr="0099170A">
        <w:rPr>
          <w:rFonts w:cstheme="minorHAnsi"/>
          <w:spacing w:val="7"/>
          <w:w w:val="105"/>
        </w:rPr>
        <w:t xml:space="preserve"> </w:t>
      </w:r>
      <w:r w:rsidR="00A0558C" w:rsidRPr="0099170A">
        <w:rPr>
          <w:rFonts w:cstheme="minorHAnsi"/>
          <w:w w:val="105"/>
        </w:rPr>
        <w:t>RA</w:t>
      </w:r>
      <w:r w:rsidR="00A0558C" w:rsidRPr="0099170A">
        <w:rPr>
          <w:rFonts w:cstheme="minorHAnsi"/>
          <w:spacing w:val="7"/>
          <w:w w:val="105"/>
        </w:rPr>
        <w:t xml:space="preserve"> </w:t>
      </w:r>
      <w:r w:rsidR="00A0558C" w:rsidRPr="0099170A">
        <w:rPr>
          <w:rFonts w:cstheme="minorHAnsi"/>
          <w:w w:val="105"/>
        </w:rPr>
        <w:t>reporting</w:t>
      </w:r>
      <w:r w:rsidR="00A0558C" w:rsidRPr="0099170A">
        <w:rPr>
          <w:rFonts w:cstheme="minorHAnsi"/>
          <w:spacing w:val="7"/>
          <w:w w:val="105"/>
        </w:rPr>
        <w:t xml:space="preserve"> </w:t>
      </w:r>
      <w:r w:rsidR="00A0558C" w:rsidRPr="0099170A">
        <w:rPr>
          <w:rFonts w:cstheme="minorHAnsi"/>
          <w:w w:val="105"/>
        </w:rPr>
        <w:t>system,</w:t>
      </w:r>
      <w:r w:rsidR="00A0558C" w:rsidRPr="0099170A">
        <w:rPr>
          <w:rFonts w:cstheme="minorHAnsi"/>
          <w:spacing w:val="7"/>
          <w:w w:val="105"/>
        </w:rPr>
        <w:t xml:space="preserve"> </w:t>
      </w:r>
      <w:r w:rsidR="00A0558C" w:rsidRPr="0099170A">
        <w:rPr>
          <w:rFonts w:cstheme="minorHAnsi"/>
          <w:w w:val="105"/>
        </w:rPr>
        <w:t>various</w:t>
      </w:r>
      <w:r w:rsidR="00A0558C" w:rsidRPr="0099170A">
        <w:rPr>
          <w:rFonts w:cstheme="minorHAnsi"/>
          <w:spacing w:val="7"/>
          <w:w w:val="105"/>
        </w:rPr>
        <w:t xml:space="preserve"> </w:t>
      </w:r>
      <w:r w:rsidR="00A0558C" w:rsidRPr="0099170A">
        <w:rPr>
          <w:rFonts w:cstheme="minorHAnsi"/>
          <w:w w:val="105"/>
        </w:rPr>
        <w:t>data</w:t>
      </w:r>
      <w:r w:rsidR="00A0558C" w:rsidRPr="0099170A">
        <w:rPr>
          <w:rFonts w:cstheme="minorHAnsi"/>
          <w:spacing w:val="7"/>
          <w:w w:val="105"/>
        </w:rPr>
        <w:t xml:space="preserve"> </w:t>
      </w:r>
      <w:r w:rsidR="00A0558C" w:rsidRPr="0099170A">
        <w:rPr>
          <w:rFonts w:cstheme="minorHAnsi"/>
          <w:w w:val="105"/>
        </w:rPr>
        <w:t>points</w:t>
      </w:r>
      <w:r w:rsidR="00A0558C" w:rsidRPr="0099170A">
        <w:rPr>
          <w:rFonts w:cstheme="minorHAnsi"/>
          <w:spacing w:val="7"/>
          <w:w w:val="105"/>
        </w:rPr>
        <w:t xml:space="preserve"> </w:t>
      </w:r>
      <w:r w:rsidR="00A0558C" w:rsidRPr="0099170A">
        <w:rPr>
          <w:rFonts w:cstheme="minorHAnsi"/>
          <w:w w:val="105"/>
        </w:rPr>
        <w:t>are</w:t>
      </w:r>
      <w:r w:rsidR="00A0558C" w:rsidRPr="0099170A">
        <w:rPr>
          <w:rFonts w:cstheme="minorHAnsi"/>
          <w:spacing w:val="7"/>
          <w:w w:val="105"/>
        </w:rPr>
        <w:t xml:space="preserve"> </w:t>
      </w:r>
      <w:r w:rsidR="00A0558C" w:rsidRPr="0099170A">
        <w:rPr>
          <w:rFonts w:cstheme="minorHAnsi"/>
          <w:w w:val="105"/>
        </w:rPr>
        <w:t>collected</w:t>
      </w:r>
      <w:r w:rsidR="00A0558C" w:rsidRPr="0099170A">
        <w:rPr>
          <w:rFonts w:cstheme="minorHAnsi"/>
          <w:spacing w:val="7"/>
          <w:w w:val="105"/>
        </w:rPr>
        <w:t xml:space="preserve"> </w:t>
      </w:r>
      <w:r w:rsidR="00A0558C" w:rsidRPr="0099170A">
        <w:rPr>
          <w:rFonts w:cstheme="minorHAnsi"/>
          <w:w w:val="105"/>
        </w:rPr>
        <w:t>from</w:t>
      </w:r>
      <w:r w:rsidR="00A0558C" w:rsidRPr="0099170A">
        <w:rPr>
          <w:rFonts w:cstheme="minorHAnsi"/>
          <w:spacing w:val="7"/>
          <w:w w:val="105"/>
        </w:rPr>
        <w:t xml:space="preserve"> </w:t>
      </w:r>
      <w:r w:rsidR="00A0558C" w:rsidRPr="0099170A">
        <w:rPr>
          <w:rFonts w:cstheme="minorHAnsi"/>
          <w:w w:val="105"/>
        </w:rPr>
        <w:t>the</w:t>
      </w:r>
      <w:r w:rsidR="00A0558C" w:rsidRPr="0099170A">
        <w:rPr>
          <w:rFonts w:cstheme="minorHAnsi"/>
          <w:spacing w:val="7"/>
          <w:w w:val="105"/>
        </w:rPr>
        <w:t xml:space="preserve"> </w:t>
      </w:r>
      <w:r w:rsidR="00A0558C" w:rsidRPr="0099170A">
        <w:rPr>
          <w:rFonts w:cstheme="minorHAnsi"/>
          <w:w w:val="105"/>
        </w:rPr>
        <w:t>claimant’s</w:t>
      </w:r>
      <w:r w:rsidR="00A0558C" w:rsidRPr="0099170A">
        <w:rPr>
          <w:rFonts w:cstheme="minorHAnsi"/>
          <w:spacing w:val="7"/>
          <w:w w:val="105"/>
        </w:rPr>
        <w:t xml:space="preserve"> </w:t>
      </w:r>
      <w:r w:rsidR="00A0558C" w:rsidRPr="0099170A">
        <w:rPr>
          <w:rFonts w:cstheme="minorHAnsi"/>
          <w:w w:val="105"/>
        </w:rPr>
        <w:t>application</w:t>
      </w:r>
      <w:r w:rsidR="00A0558C" w:rsidRPr="0099170A">
        <w:rPr>
          <w:rFonts w:cstheme="minorHAnsi"/>
          <w:spacing w:val="-45"/>
          <w:w w:val="105"/>
        </w:rPr>
        <w:t xml:space="preserve"> </w:t>
      </w:r>
      <w:r w:rsidR="00A0558C" w:rsidRPr="0099170A">
        <w:rPr>
          <w:rFonts w:cstheme="minorHAnsi"/>
          <w:w w:val="105"/>
        </w:rPr>
        <w:t>and</w:t>
      </w:r>
      <w:r w:rsidR="00A0558C" w:rsidRPr="0099170A">
        <w:rPr>
          <w:rFonts w:cstheme="minorHAnsi"/>
          <w:spacing w:val="5"/>
          <w:w w:val="105"/>
        </w:rPr>
        <w:t xml:space="preserve"> </w:t>
      </w:r>
      <w:r w:rsidR="00A0558C" w:rsidRPr="0099170A">
        <w:rPr>
          <w:rFonts w:cstheme="minorHAnsi"/>
          <w:w w:val="105"/>
        </w:rPr>
        <w:t>transmitted</w:t>
      </w:r>
      <w:r w:rsidR="00A0558C" w:rsidRPr="0099170A">
        <w:rPr>
          <w:rFonts w:cstheme="minorHAnsi"/>
          <w:spacing w:val="5"/>
          <w:w w:val="105"/>
        </w:rPr>
        <w:t xml:space="preserve"> </w:t>
      </w:r>
      <w:r w:rsidR="00A0558C" w:rsidRPr="0099170A">
        <w:rPr>
          <w:rFonts w:cstheme="minorHAnsi"/>
          <w:w w:val="105"/>
        </w:rPr>
        <w:t>into</w:t>
      </w:r>
      <w:r w:rsidR="00AA5A73">
        <w:rPr>
          <w:rFonts w:cstheme="minorHAnsi"/>
          <w:spacing w:val="5"/>
          <w:w w:val="105"/>
        </w:rPr>
        <w:t xml:space="preserve"> Employ Florida</w:t>
      </w:r>
      <w:r w:rsidR="00A0558C" w:rsidRPr="0099170A">
        <w:rPr>
          <w:rFonts w:cstheme="minorHAnsi"/>
          <w:spacing w:val="5"/>
          <w:w w:val="105"/>
        </w:rPr>
        <w:t xml:space="preserve"> </w:t>
      </w:r>
      <w:r w:rsidR="00A0558C" w:rsidRPr="0099170A">
        <w:rPr>
          <w:rFonts w:cstheme="minorHAnsi"/>
          <w:w w:val="105"/>
        </w:rPr>
        <w:t>to</w:t>
      </w:r>
      <w:r w:rsidR="00A0558C" w:rsidRPr="0099170A">
        <w:rPr>
          <w:rFonts w:cstheme="minorHAnsi"/>
          <w:spacing w:val="5"/>
          <w:w w:val="105"/>
        </w:rPr>
        <w:t xml:space="preserve"> </w:t>
      </w:r>
      <w:r w:rsidR="00A0558C" w:rsidRPr="0099170A">
        <w:rPr>
          <w:rFonts w:cstheme="minorHAnsi"/>
          <w:w w:val="105"/>
        </w:rPr>
        <w:t>create</w:t>
      </w:r>
      <w:r w:rsidR="00A0558C" w:rsidRPr="0099170A">
        <w:rPr>
          <w:rFonts w:cstheme="minorHAnsi"/>
          <w:spacing w:val="5"/>
          <w:w w:val="105"/>
        </w:rPr>
        <w:t xml:space="preserve"> </w:t>
      </w:r>
      <w:r w:rsidR="00A0558C" w:rsidRPr="0099170A">
        <w:rPr>
          <w:rFonts w:cstheme="minorHAnsi"/>
          <w:w w:val="105"/>
        </w:rPr>
        <w:t>a</w:t>
      </w:r>
      <w:r w:rsidR="00A0558C" w:rsidRPr="0099170A">
        <w:rPr>
          <w:rFonts w:cstheme="minorHAnsi"/>
          <w:spacing w:val="5"/>
          <w:w w:val="105"/>
        </w:rPr>
        <w:t xml:space="preserve"> </w:t>
      </w:r>
      <w:r w:rsidR="00A0558C" w:rsidRPr="0099170A">
        <w:rPr>
          <w:rFonts w:cstheme="minorHAnsi"/>
          <w:w w:val="105"/>
        </w:rPr>
        <w:t>basic</w:t>
      </w:r>
      <w:r w:rsidR="00A0558C" w:rsidRPr="0099170A">
        <w:rPr>
          <w:rFonts w:cstheme="minorHAnsi"/>
          <w:spacing w:val="5"/>
          <w:w w:val="105"/>
        </w:rPr>
        <w:t xml:space="preserve"> </w:t>
      </w:r>
      <w:r w:rsidR="00A0558C" w:rsidRPr="0099170A">
        <w:rPr>
          <w:rFonts w:cstheme="minorHAnsi"/>
          <w:w w:val="105"/>
        </w:rPr>
        <w:t>WP</w:t>
      </w:r>
      <w:r w:rsidR="00A0558C" w:rsidRPr="0099170A">
        <w:rPr>
          <w:rFonts w:cstheme="minorHAnsi"/>
          <w:spacing w:val="5"/>
          <w:w w:val="105"/>
        </w:rPr>
        <w:t xml:space="preserve"> </w:t>
      </w:r>
      <w:r w:rsidR="00A0558C" w:rsidRPr="0099170A">
        <w:rPr>
          <w:rFonts w:cstheme="minorHAnsi"/>
          <w:w w:val="105"/>
        </w:rPr>
        <w:t>application.</w:t>
      </w:r>
      <w:r w:rsidR="00A0558C" w:rsidRPr="0099170A">
        <w:rPr>
          <w:rFonts w:cstheme="minorHAnsi"/>
          <w:spacing w:val="5"/>
          <w:w w:val="105"/>
        </w:rPr>
        <w:t xml:space="preserve"> </w:t>
      </w:r>
      <w:r w:rsidR="00A0558C" w:rsidRPr="0099170A">
        <w:rPr>
          <w:rFonts w:cstheme="minorHAnsi"/>
          <w:w w:val="105"/>
        </w:rPr>
        <w:t>The</w:t>
      </w:r>
      <w:r w:rsidR="00A0558C" w:rsidRPr="0099170A">
        <w:rPr>
          <w:rFonts w:cstheme="minorHAnsi"/>
          <w:spacing w:val="5"/>
          <w:w w:val="105"/>
        </w:rPr>
        <w:t xml:space="preserve"> </w:t>
      </w:r>
      <w:r w:rsidR="00A0558C" w:rsidRPr="0099170A">
        <w:rPr>
          <w:rFonts w:cstheme="minorHAnsi"/>
          <w:w w:val="105"/>
        </w:rPr>
        <w:t>claimant</w:t>
      </w:r>
      <w:r w:rsidR="00A0558C" w:rsidRPr="0099170A">
        <w:rPr>
          <w:rFonts w:cstheme="minorHAnsi"/>
          <w:spacing w:val="5"/>
          <w:w w:val="105"/>
        </w:rPr>
        <w:t xml:space="preserve"> </w:t>
      </w:r>
      <w:r w:rsidR="00A0558C" w:rsidRPr="0099170A">
        <w:rPr>
          <w:rFonts w:cstheme="minorHAnsi"/>
          <w:w w:val="105"/>
        </w:rPr>
        <w:t>is</w:t>
      </w:r>
      <w:r w:rsidR="00A0558C" w:rsidRPr="0099170A">
        <w:rPr>
          <w:rFonts w:cstheme="minorHAnsi"/>
          <w:spacing w:val="5"/>
          <w:w w:val="105"/>
        </w:rPr>
        <w:t xml:space="preserve"> </w:t>
      </w:r>
      <w:r w:rsidR="00A0558C" w:rsidRPr="0099170A">
        <w:rPr>
          <w:rFonts w:cstheme="minorHAnsi"/>
          <w:w w:val="105"/>
        </w:rPr>
        <w:t>sent</w:t>
      </w:r>
      <w:r w:rsidR="00A0558C" w:rsidRPr="0099170A">
        <w:rPr>
          <w:rFonts w:cstheme="minorHAnsi"/>
          <w:spacing w:val="5"/>
          <w:w w:val="105"/>
        </w:rPr>
        <w:t xml:space="preserve"> </w:t>
      </w:r>
      <w:r w:rsidR="00A0558C" w:rsidRPr="0099170A">
        <w:rPr>
          <w:rFonts w:cstheme="minorHAnsi"/>
          <w:w w:val="105"/>
        </w:rPr>
        <w:t>an</w:t>
      </w:r>
      <w:r w:rsidR="00A0558C" w:rsidRPr="0099170A">
        <w:rPr>
          <w:rFonts w:cstheme="minorHAnsi"/>
          <w:spacing w:val="5"/>
          <w:w w:val="105"/>
        </w:rPr>
        <w:t xml:space="preserve"> </w:t>
      </w:r>
      <w:r w:rsidR="00A0558C" w:rsidRPr="0099170A">
        <w:rPr>
          <w:rFonts w:cstheme="minorHAnsi"/>
          <w:w w:val="105"/>
        </w:rPr>
        <w:t>introductory</w:t>
      </w:r>
      <w:r w:rsidR="00A0558C" w:rsidRPr="0099170A">
        <w:rPr>
          <w:rFonts w:cstheme="minorHAnsi"/>
          <w:spacing w:val="-43"/>
          <w:w w:val="105"/>
        </w:rPr>
        <w:t xml:space="preserve"> </w:t>
      </w:r>
      <w:r w:rsidR="00A0558C" w:rsidRPr="0099170A">
        <w:rPr>
          <w:rFonts w:cstheme="minorHAnsi"/>
          <w:w w:val="105"/>
        </w:rPr>
        <w:t>welcome</w:t>
      </w:r>
      <w:r w:rsidR="00A0558C" w:rsidRPr="0099170A">
        <w:rPr>
          <w:rFonts w:cstheme="minorHAnsi"/>
          <w:spacing w:val="14"/>
          <w:w w:val="105"/>
        </w:rPr>
        <w:t xml:space="preserve"> </w:t>
      </w:r>
      <w:r w:rsidR="00A0558C" w:rsidRPr="0099170A">
        <w:rPr>
          <w:rFonts w:cstheme="minorHAnsi"/>
          <w:w w:val="105"/>
        </w:rPr>
        <w:t>message</w:t>
      </w:r>
      <w:r w:rsidR="00A0558C" w:rsidRPr="0099170A">
        <w:rPr>
          <w:rFonts w:cstheme="minorHAnsi"/>
          <w:spacing w:val="14"/>
          <w:w w:val="105"/>
        </w:rPr>
        <w:t xml:space="preserve"> </w:t>
      </w:r>
      <w:r w:rsidR="00A0558C" w:rsidRPr="0099170A">
        <w:rPr>
          <w:rFonts w:cstheme="minorHAnsi"/>
          <w:w w:val="105"/>
        </w:rPr>
        <w:t>that</w:t>
      </w:r>
      <w:r w:rsidR="00A0558C" w:rsidRPr="0099170A">
        <w:rPr>
          <w:rFonts w:cstheme="minorHAnsi"/>
          <w:spacing w:val="14"/>
          <w:w w:val="105"/>
        </w:rPr>
        <w:t xml:space="preserve"> </w:t>
      </w:r>
      <w:r w:rsidR="00A0558C" w:rsidRPr="0099170A">
        <w:rPr>
          <w:rFonts w:cstheme="minorHAnsi"/>
          <w:w w:val="105"/>
        </w:rPr>
        <w:t>provides</w:t>
      </w:r>
      <w:r w:rsidR="00A0558C" w:rsidRPr="0099170A">
        <w:rPr>
          <w:rFonts w:cstheme="minorHAnsi"/>
          <w:spacing w:val="14"/>
          <w:w w:val="105"/>
        </w:rPr>
        <w:t xml:space="preserve"> </w:t>
      </w:r>
      <w:r w:rsidR="00A0558C" w:rsidRPr="0099170A">
        <w:rPr>
          <w:rFonts w:cstheme="minorHAnsi"/>
          <w:w w:val="105"/>
        </w:rPr>
        <w:t>helpful</w:t>
      </w:r>
      <w:r w:rsidR="00A0558C" w:rsidRPr="0099170A">
        <w:rPr>
          <w:rFonts w:cstheme="minorHAnsi"/>
          <w:spacing w:val="14"/>
          <w:w w:val="105"/>
        </w:rPr>
        <w:t xml:space="preserve"> </w:t>
      </w:r>
      <w:r w:rsidR="00A0558C" w:rsidRPr="0099170A">
        <w:rPr>
          <w:rFonts w:cstheme="minorHAnsi"/>
          <w:w w:val="105"/>
        </w:rPr>
        <w:t>resources</w:t>
      </w:r>
      <w:r w:rsidR="00A0558C" w:rsidRPr="0099170A">
        <w:rPr>
          <w:rFonts w:cstheme="minorHAnsi"/>
          <w:spacing w:val="14"/>
          <w:w w:val="105"/>
        </w:rPr>
        <w:t xml:space="preserve"> </w:t>
      </w:r>
      <w:r w:rsidR="00A0558C" w:rsidRPr="0099170A">
        <w:rPr>
          <w:rFonts w:cstheme="minorHAnsi"/>
          <w:w w:val="105"/>
        </w:rPr>
        <w:t>about services</w:t>
      </w:r>
      <w:r w:rsidR="00A0558C" w:rsidRPr="0099170A">
        <w:rPr>
          <w:rFonts w:cstheme="minorHAnsi"/>
          <w:spacing w:val="14"/>
          <w:w w:val="105"/>
        </w:rPr>
        <w:t xml:space="preserve"> in the system </w:t>
      </w:r>
      <w:r w:rsidR="00A0558C" w:rsidRPr="0099170A">
        <w:rPr>
          <w:rFonts w:cstheme="minorHAnsi"/>
          <w:w w:val="105"/>
        </w:rPr>
        <w:t>they</w:t>
      </w:r>
      <w:r w:rsidR="00A0558C" w:rsidRPr="0099170A">
        <w:rPr>
          <w:rFonts w:cstheme="minorHAnsi"/>
          <w:spacing w:val="14"/>
          <w:w w:val="105"/>
        </w:rPr>
        <w:t xml:space="preserve"> </w:t>
      </w:r>
      <w:r w:rsidR="00A0558C" w:rsidRPr="0099170A">
        <w:rPr>
          <w:rFonts w:cstheme="minorHAnsi"/>
          <w:w w:val="105"/>
        </w:rPr>
        <w:t>may</w:t>
      </w:r>
      <w:r w:rsidR="00A0558C" w:rsidRPr="0099170A">
        <w:rPr>
          <w:rFonts w:cstheme="minorHAnsi"/>
          <w:spacing w:val="14"/>
          <w:w w:val="105"/>
        </w:rPr>
        <w:t xml:space="preserve"> </w:t>
      </w:r>
      <w:r w:rsidR="00A0558C" w:rsidRPr="0099170A">
        <w:rPr>
          <w:rFonts w:cstheme="minorHAnsi"/>
          <w:w w:val="105"/>
        </w:rPr>
        <w:t>use in their job search.</w:t>
      </w:r>
      <w:r w:rsidR="00A0558C" w:rsidRPr="0099170A">
        <w:rPr>
          <w:rFonts w:cstheme="minorHAnsi"/>
          <w:spacing w:val="10"/>
          <w:w w:val="105"/>
        </w:rPr>
        <w:t xml:space="preserve"> </w:t>
      </w:r>
      <w:r w:rsidR="00A0558C" w:rsidRPr="0099170A">
        <w:rPr>
          <w:rFonts w:cstheme="minorHAnsi"/>
          <w:w w:val="105"/>
        </w:rPr>
        <w:t>Every week,</w:t>
      </w:r>
      <w:r w:rsidR="00A0558C" w:rsidRPr="0099170A">
        <w:rPr>
          <w:rFonts w:cstheme="minorHAnsi"/>
          <w:spacing w:val="10"/>
          <w:w w:val="105"/>
        </w:rPr>
        <w:t xml:space="preserve"> </w:t>
      </w:r>
      <w:r w:rsidR="00A0558C" w:rsidRPr="0099170A">
        <w:rPr>
          <w:rFonts w:cstheme="minorHAnsi"/>
          <w:w w:val="105"/>
        </w:rPr>
        <w:t>characteristics</w:t>
      </w:r>
      <w:r w:rsidR="00A0558C" w:rsidRPr="0099170A">
        <w:rPr>
          <w:rFonts w:cstheme="minorHAnsi"/>
          <w:spacing w:val="10"/>
          <w:w w:val="105"/>
        </w:rPr>
        <w:t xml:space="preserve"> </w:t>
      </w:r>
      <w:r w:rsidR="00A0558C" w:rsidRPr="0099170A">
        <w:rPr>
          <w:rFonts w:cstheme="minorHAnsi"/>
          <w:w w:val="105"/>
        </w:rPr>
        <w:t>collected</w:t>
      </w:r>
      <w:r w:rsidR="00A0558C" w:rsidRPr="0099170A">
        <w:rPr>
          <w:rFonts w:cstheme="minorHAnsi"/>
          <w:spacing w:val="10"/>
          <w:w w:val="105"/>
        </w:rPr>
        <w:t xml:space="preserve"> </w:t>
      </w:r>
      <w:r w:rsidR="00A0558C" w:rsidRPr="0099170A">
        <w:rPr>
          <w:rFonts w:cstheme="minorHAnsi"/>
          <w:w w:val="105"/>
        </w:rPr>
        <w:t>from</w:t>
      </w:r>
      <w:r w:rsidR="00A0558C" w:rsidRPr="0099170A">
        <w:rPr>
          <w:rFonts w:cstheme="minorHAnsi"/>
          <w:spacing w:val="10"/>
          <w:w w:val="105"/>
        </w:rPr>
        <w:t xml:space="preserve"> </w:t>
      </w:r>
      <w:r w:rsidR="00A0558C" w:rsidRPr="0099170A">
        <w:rPr>
          <w:rFonts w:cstheme="minorHAnsi"/>
          <w:w w:val="105"/>
        </w:rPr>
        <w:t>the</w:t>
      </w:r>
      <w:r w:rsidR="00A0558C" w:rsidRPr="0099170A">
        <w:rPr>
          <w:rFonts w:cstheme="minorHAnsi"/>
          <w:spacing w:val="10"/>
          <w:w w:val="105"/>
        </w:rPr>
        <w:t xml:space="preserve"> </w:t>
      </w:r>
      <w:r w:rsidR="00A0558C" w:rsidRPr="0099170A">
        <w:rPr>
          <w:rFonts w:cstheme="minorHAnsi"/>
          <w:w w:val="105"/>
        </w:rPr>
        <w:t>RA</w:t>
      </w:r>
      <w:r w:rsidR="00A0558C" w:rsidRPr="0099170A">
        <w:rPr>
          <w:rFonts w:cstheme="minorHAnsi"/>
          <w:spacing w:val="10"/>
          <w:w w:val="105"/>
        </w:rPr>
        <w:t xml:space="preserve"> </w:t>
      </w:r>
      <w:r w:rsidR="00A0558C" w:rsidRPr="0099170A">
        <w:rPr>
          <w:rFonts w:cstheme="minorHAnsi"/>
          <w:w w:val="105"/>
        </w:rPr>
        <w:t>claims</w:t>
      </w:r>
      <w:r w:rsidR="00A0558C" w:rsidRPr="0099170A">
        <w:rPr>
          <w:rFonts w:cstheme="minorHAnsi"/>
          <w:spacing w:val="10"/>
          <w:w w:val="105"/>
        </w:rPr>
        <w:t xml:space="preserve"> </w:t>
      </w:r>
      <w:r w:rsidR="00A0558C" w:rsidRPr="0099170A">
        <w:rPr>
          <w:rFonts w:cstheme="minorHAnsi"/>
          <w:w w:val="105"/>
        </w:rPr>
        <w:t>application</w:t>
      </w:r>
      <w:r w:rsidR="00A0558C" w:rsidRPr="0099170A">
        <w:rPr>
          <w:rFonts w:cstheme="minorHAnsi"/>
          <w:spacing w:val="7"/>
          <w:w w:val="105"/>
        </w:rPr>
        <w:t xml:space="preserve"> </w:t>
      </w:r>
      <w:r w:rsidR="00A0558C" w:rsidRPr="0099170A">
        <w:rPr>
          <w:rFonts w:cstheme="minorHAnsi"/>
          <w:w w:val="105"/>
        </w:rPr>
        <w:t>(including but not limited to the number of jobs the claimant had over a certain period; the claimant’s</w:t>
      </w:r>
      <w:r w:rsidR="00A0558C" w:rsidRPr="0099170A">
        <w:rPr>
          <w:rFonts w:cstheme="minorHAnsi"/>
          <w:spacing w:val="14"/>
          <w:w w:val="105"/>
        </w:rPr>
        <w:t xml:space="preserve"> </w:t>
      </w:r>
      <w:r w:rsidR="00A0558C" w:rsidRPr="0099170A">
        <w:rPr>
          <w:rFonts w:cstheme="minorHAnsi"/>
          <w:w w:val="105"/>
        </w:rPr>
        <w:t>job</w:t>
      </w:r>
      <w:r w:rsidR="00A0558C" w:rsidRPr="0099170A">
        <w:rPr>
          <w:rFonts w:cstheme="minorHAnsi"/>
          <w:w w:val="106"/>
        </w:rPr>
        <w:t xml:space="preserve"> </w:t>
      </w:r>
      <w:r w:rsidR="00A0558C" w:rsidRPr="0099170A">
        <w:rPr>
          <w:rFonts w:cstheme="minorHAnsi"/>
          <w:w w:val="105"/>
        </w:rPr>
        <w:t xml:space="preserve">tenure and wages; the industry from which the claimant was laid </w:t>
      </w:r>
      <w:r w:rsidR="00A0558C" w:rsidRPr="0099170A">
        <w:rPr>
          <w:rFonts w:cstheme="minorHAnsi"/>
          <w:spacing w:val="-3"/>
          <w:w w:val="105"/>
        </w:rPr>
        <w:t>off</w:t>
      </w:r>
      <w:r w:rsidR="00D5537E">
        <w:rPr>
          <w:rFonts w:cstheme="minorHAnsi"/>
          <w:spacing w:val="-3"/>
          <w:w w:val="105"/>
        </w:rPr>
        <w:t xml:space="preserve"> and</w:t>
      </w:r>
      <w:r w:rsidR="00A0558C" w:rsidRPr="0099170A">
        <w:rPr>
          <w:rFonts w:cstheme="minorHAnsi"/>
          <w:w w:val="105"/>
        </w:rPr>
        <w:t xml:space="preserve"> the time of year the</w:t>
      </w:r>
      <w:r w:rsidR="00A0558C" w:rsidRPr="0099170A">
        <w:rPr>
          <w:rFonts w:cstheme="minorHAnsi"/>
          <w:spacing w:val="2"/>
          <w:w w:val="105"/>
        </w:rPr>
        <w:t xml:space="preserve"> </w:t>
      </w:r>
      <w:r w:rsidR="00A0558C" w:rsidRPr="0099170A">
        <w:rPr>
          <w:rFonts w:cstheme="minorHAnsi"/>
          <w:w w:val="105"/>
        </w:rPr>
        <w:t>layoff</w:t>
      </w:r>
      <w:r w:rsidR="00A0558C" w:rsidRPr="0099170A">
        <w:rPr>
          <w:rFonts w:cstheme="minorHAnsi"/>
          <w:w w:val="103"/>
        </w:rPr>
        <w:t xml:space="preserve"> </w:t>
      </w:r>
      <w:r w:rsidR="00A0558C" w:rsidRPr="0099170A">
        <w:rPr>
          <w:rFonts w:cstheme="minorHAnsi"/>
          <w:w w:val="105"/>
        </w:rPr>
        <w:t>occurred;</w:t>
      </w:r>
      <w:r w:rsidR="00A0558C" w:rsidRPr="0099170A">
        <w:rPr>
          <w:rFonts w:cstheme="minorHAnsi"/>
          <w:spacing w:val="17"/>
          <w:w w:val="105"/>
        </w:rPr>
        <w:t xml:space="preserve"> </w:t>
      </w:r>
      <w:r w:rsidR="00A0558C" w:rsidRPr="0099170A">
        <w:rPr>
          <w:rFonts w:cstheme="minorHAnsi"/>
          <w:w w:val="105"/>
        </w:rPr>
        <w:t>the</w:t>
      </w:r>
      <w:r w:rsidR="00A0558C" w:rsidRPr="0099170A">
        <w:rPr>
          <w:rFonts w:cstheme="minorHAnsi"/>
          <w:spacing w:val="17"/>
          <w:w w:val="105"/>
        </w:rPr>
        <w:t xml:space="preserve"> </w:t>
      </w:r>
      <w:r w:rsidR="00A0558C" w:rsidRPr="0099170A">
        <w:rPr>
          <w:rFonts w:cstheme="minorHAnsi"/>
          <w:w w:val="105"/>
        </w:rPr>
        <w:t>availability</w:t>
      </w:r>
      <w:r w:rsidR="00A0558C" w:rsidRPr="0099170A">
        <w:rPr>
          <w:rFonts w:cstheme="minorHAnsi"/>
          <w:spacing w:val="17"/>
          <w:w w:val="105"/>
        </w:rPr>
        <w:t xml:space="preserve"> </w:t>
      </w:r>
      <w:r w:rsidR="00A0558C" w:rsidRPr="0099170A">
        <w:rPr>
          <w:rFonts w:cstheme="minorHAnsi"/>
          <w:w w:val="105"/>
        </w:rPr>
        <w:t>of</w:t>
      </w:r>
      <w:r w:rsidR="00A0558C" w:rsidRPr="0099170A">
        <w:rPr>
          <w:rFonts w:cstheme="minorHAnsi"/>
          <w:spacing w:val="17"/>
          <w:w w:val="105"/>
        </w:rPr>
        <w:t xml:space="preserve"> </w:t>
      </w:r>
      <w:r w:rsidR="00A0558C" w:rsidRPr="0099170A">
        <w:rPr>
          <w:rFonts w:cstheme="minorHAnsi"/>
          <w:w w:val="105"/>
        </w:rPr>
        <w:t>comparable</w:t>
      </w:r>
      <w:r w:rsidR="00A0558C" w:rsidRPr="0099170A">
        <w:rPr>
          <w:rFonts w:cstheme="minorHAnsi"/>
          <w:spacing w:val="17"/>
          <w:w w:val="105"/>
        </w:rPr>
        <w:t xml:space="preserve"> </w:t>
      </w:r>
      <w:r w:rsidR="00A0558C" w:rsidRPr="0099170A">
        <w:rPr>
          <w:rFonts w:cstheme="minorHAnsi"/>
          <w:w w:val="105"/>
        </w:rPr>
        <w:t>jobs</w:t>
      </w:r>
      <w:r w:rsidR="00A0558C" w:rsidRPr="0099170A">
        <w:rPr>
          <w:rFonts w:cstheme="minorHAnsi"/>
          <w:spacing w:val="17"/>
          <w:w w:val="105"/>
        </w:rPr>
        <w:t xml:space="preserve"> </w:t>
      </w:r>
      <w:r w:rsidR="00A0558C" w:rsidRPr="0099170A">
        <w:rPr>
          <w:rFonts w:cstheme="minorHAnsi"/>
          <w:w w:val="105"/>
        </w:rPr>
        <w:t>in</w:t>
      </w:r>
      <w:r w:rsidR="00A0558C" w:rsidRPr="0099170A">
        <w:rPr>
          <w:rFonts w:cstheme="minorHAnsi"/>
          <w:spacing w:val="17"/>
          <w:w w:val="105"/>
        </w:rPr>
        <w:t xml:space="preserve"> </w:t>
      </w:r>
      <w:r w:rsidR="00A0558C" w:rsidRPr="0099170A">
        <w:rPr>
          <w:rFonts w:cstheme="minorHAnsi"/>
          <w:w w:val="105"/>
        </w:rPr>
        <w:t>the</w:t>
      </w:r>
      <w:r w:rsidR="00A0558C" w:rsidRPr="0099170A">
        <w:rPr>
          <w:rFonts w:cstheme="minorHAnsi"/>
          <w:spacing w:val="17"/>
          <w:w w:val="105"/>
        </w:rPr>
        <w:t xml:space="preserve"> </w:t>
      </w:r>
      <w:r w:rsidR="00A0558C" w:rsidRPr="0099170A">
        <w:rPr>
          <w:rFonts w:cstheme="minorHAnsi"/>
          <w:w w:val="105"/>
        </w:rPr>
        <w:t>area,</w:t>
      </w:r>
      <w:r w:rsidR="00A0558C" w:rsidRPr="0099170A">
        <w:rPr>
          <w:rFonts w:cstheme="minorHAnsi"/>
          <w:spacing w:val="17"/>
          <w:w w:val="105"/>
        </w:rPr>
        <w:t xml:space="preserve"> </w:t>
      </w:r>
      <w:r w:rsidR="00A0558C" w:rsidRPr="0099170A">
        <w:rPr>
          <w:rFonts w:cstheme="minorHAnsi"/>
          <w:w w:val="105"/>
        </w:rPr>
        <w:t>etc.)</w:t>
      </w:r>
      <w:r w:rsidR="00A0558C" w:rsidRPr="0099170A">
        <w:rPr>
          <w:rFonts w:cstheme="minorHAnsi"/>
          <w:spacing w:val="17"/>
          <w:w w:val="105"/>
        </w:rPr>
        <w:t xml:space="preserve"> </w:t>
      </w:r>
      <w:r w:rsidR="00A0558C" w:rsidRPr="0099170A">
        <w:rPr>
          <w:rFonts w:cstheme="minorHAnsi"/>
          <w:w w:val="105"/>
        </w:rPr>
        <w:t>is</w:t>
      </w:r>
      <w:r w:rsidR="00A0558C" w:rsidRPr="0099170A">
        <w:rPr>
          <w:rFonts w:cstheme="minorHAnsi"/>
          <w:spacing w:val="17"/>
          <w:w w:val="105"/>
        </w:rPr>
        <w:t xml:space="preserve"> </w:t>
      </w:r>
      <w:r w:rsidR="00A0558C" w:rsidRPr="0099170A">
        <w:rPr>
          <w:rFonts w:cstheme="minorHAnsi"/>
          <w:w w:val="105"/>
        </w:rPr>
        <w:t>processed</w:t>
      </w:r>
      <w:r w:rsidR="00A0558C" w:rsidRPr="0099170A">
        <w:rPr>
          <w:rFonts w:cstheme="minorHAnsi"/>
          <w:spacing w:val="17"/>
          <w:w w:val="105"/>
        </w:rPr>
        <w:t xml:space="preserve"> </w:t>
      </w:r>
      <w:r w:rsidR="00A0558C" w:rsidRPr="0099170A">
        <w:rPr>
          <w:rFonts w:cstheme="minorHAnsi"/>
          <w:w w:val="105"/>
        </w:rPr>
        <w:t>through</w:t>
      </w:r>
      <w:r w:rsidR="00A0558C" w:rsidRPr="0099170A">
        <w:rPr>
          <w:rFonts w:cstheme="minorHAnsi"/>
          <w:spacing w:val="17"/>
          <w:w w:val="105"/>
        </w:rPr>
        <w:t xml:space="preserve"> </w:t>
      </w:r>
      <w:r w:rsidR="00A0558C" w:rsidRPr="0099170A">
        <w:rPr>
          <w:rFonts w:cstheme="minorHAnsi"/>
          <w:w w:val="105"/>
        </w:rPr>
        <w:t>a</w:t>
      </w:r>
      <w:r w:rsidR="00A0558C" w:rsidRPr="0099170A">
        <w:rPr>
          <w:rFonts w:cstheme="minorHAnsi"/>
          <w:spacing w:val="17"/>
          <w:w w:val="105"/>
        </w:rPr>
        <w:t xml:space="preserve"> </w:t>
      </w:r>
      <w:r w:rsidR="00A0558C" w:rsidRPr="0099170A">
        <w:rPr>
          <w:rFonts w:cstheme="minorHAnsi"/>
          <w:w w:val="105"/>
        </w:rPr>
        <w:t>regression</w:t>
      </w:r>
      <w:r w:rsidR="00A0558C" w:rsidRPr="0099170A">
        <w:rPr>
          <w:rFonts w:cstheme="minorHAnsi"/>
          <w:spacing w:val="17"/>
          <w:w w:val="105"/>
        </w:rPr>
        <w:t xml:space="preserve"> </w:t>
      </w:r>
      <w:r w:rsidR="00A0558C" w:rsidRPr="0099170A">
        <w:rPr>
          <w:rFonts w:cstheme="minorHAnsi"/>
          <w:w w:val="105"/>
        </w:rPr>
        <w:t>model</w:t>
      </w:r>
      <w:r w:rsidR="00A0558C" w:rsidRPr="0099170A">
        <w:rPr>
          <w:rFonts w:cstheme="minorHAnsi"/>
          <w:w w:val="106"/>
        </w:rPr>
        <w:t xml:space="preserve"> </w:t>
      </w:r>
      <w:r w:rsidR="00A0558C" w:rsidRPr="0099170A">
        <w:rPr>
          <w:rFonts w:cstheme="minorHAnsi"/>
          <w:w w:val="105"/>
        </w:rPr>
        <w:t>to</w:t>
      </w:r>
      <w:r w:rsidR="00A0558C" w:rsidRPr="0099170A">
        <w:rPr>
          <w:rFonts w:cstheme="minorHAnsi"/>
          <w:spacing w:val="11"/>
          <w:w w:val="105"/>
        </w:rPr>
        <w:t xml:space="preserve"> </w:t>
      </w:r>
      <w:r w:rsidR="00A0558C" w:rsidRPr="0099170A">
        <w:rPr>
          <w:rFonts w:cstheme="minorHAnsi"/>
          <w:w w:val="105"/>
        </w:rPr>
        <w:t>obtain a</w:t>
      </w:r>
      <w:r w:rsidR="00A0558C" w:rsidRPr="0099170A">
        <w:rPr>
          <w:rFonts w:cstheme="minorHAnsi"/>
          <w:spacing w:val="11"/>
          <w:w w:val="105"/>
        </w:rPr>
        <w:t xml:space="preserve"> </w:t>
      </w:r>
      <w:r w:rsidR="00A0558C" w:rsidRPr="0099170A">
        <w:rPr>
          <w:rFonts w:cstheme="minorHAnsi"/>
          <w:w w:val="105"/>
        </w:rPr>
        <w:t>profiling</w:t>
      </w:r>
      <w:r w:rsidR="00A0558C" w:rsidRPr="0099170A">
        <w:rPr>
          <w:rFonts w:cstheme="minorHAnsi"/>
          <w:spacing w:val="11"/>
          <w:w w:val="105"/>
        </w:rPr>
        <w:t xml:space="preserve"> </w:t>
      </w:r>
      <w:r w:rsidR="00A0558C" w:rsidRPr="0099170A">
        <w:rPr>
          <w:rFonts w:cstheme="minorHAnsi"/>
          <w:w w:val="105"/>
        </w:rPr>
        <w:t>coefficient.</w:t>
      </w:r>
      <w:r w:rsidR="00A0558C" w:rsidRPr="0099170A">
        <w:rPr>
          <w:rFonts w:cstheme="minorHAnsi"/>
          <w:spacing w:val="11"/>
          <w:w w:val="105"/>
        </w:rPr>
        <w:t xml:space="preserve"> </w:t>
      </w:r>
    </w:p>
    <w:p w14:paraId="70F5897D" w14:textId="7F749122" w:rsidR="00AE166E" w:rsidRPr="00AA5A73" w:rsidRDefault="00AA5A73" w:rsidP="00D63204">
      <w:pPr>
        <w:widowControl w:val="0"/>
        <w:spacing w:after="0" w:line="264" w:lineRule="exact"/>
        <w:ind w:left="107"/>
        <w:rPr>
          <w:rFonts w:cstheme="minorHAnsi"/>
          <w:spacing w:val="11"/>
          <w:w w:val="105"/>
        </w:rPr>
      </w:pPr>
      <w:r>
        <w:rPr>
          <w:rFonts w:cstheme="minorHAnsi"/>
          <w:w w:val="105"/>
        </w:rPr>
        <w:br/>
      </w:r>
      <w:r w:rsidR="00A0558C" w:rsidRPr="0099170A">
        <w:rPr>
          <w:rFonts w:cstheme="minorHAnsi"/>
          <w:w w:val="105"/>
        </w:rPr>
        <w:t>The</w:t>
      </w:r>
      <w:r w:rsidR="00A0558C" w:rsidRPr="0099170A">
        <w:rPr>
          <w:rFonts w:cstheme="minorHAnsi"/>
          <w:spacing w:val="11"/>
          <w:w w:val="105"/>
        </w:rPr>
        <w:t xml:space="preserve"> </w:t>
      </w:r>
      <w:r w:rsidR="00A0558C" w:rsidRPr="0099170A">
        <w:rPr>
          <w:rFonts w:cstheme="minorHAnsi"/>
          <w:w w:val="105"/>
        </w:rPr>
        <w:t>coefficient</w:t>
      </w:r>
      <w:r w:rsidR="00A0558C" w:rsidRPr="0099170A">
        <w:rPr>
          <w:rFonts w:cstheme="minorHAnsi"/>
          <w:spacing w:val="11"/>
          <w:w w:val="105"/>
        </w:rPr>
        <w:t xml:space="preserve"> </w:t>
      </w:r>
      <w:r w:rsidR="00A0558C" w:rsidRPr="0099170A">
        <w:rPr>
          <w:rFonts w:cstheme="minorHAnsi"/>
          <w:w w:val="105"/>
        </w:rPr>
        <w:t>value</w:t>
      </w:r>
      <w:r w:rsidR="00A0558C" w:rsidRPr="0099170A">
        <w:rPr>
          <w:rFonts w:cstheme="minorHAnsi"/>
          <w:spacing w:val="11"/>
          <w:w w:val="105"/>
        </w:rPr>
        <w:t xml:space="preserve"> </w:t>
      </w:r>
      <w:r w:rsidR="00A0558C" w:rsidRPr="0099170A">
        <w:rPr>
          <w:rFonts w:cstheme="minorHAnsi"/>
          <w:w w:val="105"/>
        </w:rPr>
        <w:t>determines</w:t>
      </w:r>
      <w:r w:rsidR="00A0558C" w:rsidRPr="0099170A">
        <w:rPr>
          <w:rFonts w:cstheme="minorHAnsi"/>
          <w:spacing w:val="11"/>
          <w:w w:val="105"/>
        </w:rPr>
        <w:t xml:space="preserve"> </w:t>
      </w:r>
      <w:r w:rsidR="00A0558C" w:rsidRPr="0099170A">
        <w:rPr>
          <w:rFonts w:cstheme="minorHAnsi"/>
          <w:w w:val="105"/>
        </w:rPr>
        <w:t>the</w:t>
      </w:r>
      <w:r w:rsidR="00A0558C" w:rsidRPr="0099170A">
        <w:rPr>
          <w:rFonts w:cstheme="minorHAnsi"/>
          <w:spacing w:val="11"/>
          <w:w w:val="105"/>
        </w:rPr>
        <w:t xml:space="preserve"> </w:t>
      </w:r>
      <w:r w:rsidR="00A0558C" w:rsidRPr="0099170A">
        <w:rPr>
          <w:rFonts w:cstheme="minorHAnsi"/>
          <w:w w:val="105"/>
        </w:rPr>
        <w:t>claimants’</w:t>
      </w:r>
      <w:r w:rsidR="00A0558C" w:rsidRPr="0099170A">
        <w:rPr>
          <w:rFonts w:cstheme="minorHAnsi"/>
          <w:spacing w:val="11"/>
          <w:w w:val="105"/>
        </w:rPr>
        <w:t xml:space="preserve"> </w:t>
      </w:r>
      <w:r w:rsidR="00A0558C" w:rsidRPr="0099170A">
        <w:rPr>
          <w:rFonts w:cstheme="minorHAnsi"/>
          <w:w w:val="105"/>
        </w:rPr>
        <w:t>likelihood</w:t>
      </w:r>
      <w:r w:rsidR="00A0558C" w:rsidRPr="0099170A">
        <w:rPr>
          <w:rFonts w:cstheme="minorHAnsi"/>
          <w:spacing w:val="11"/>
          <w:w w:val="105"/>
        </w:rPr>
        <w:t xml:space="preserve"> </w:t>
      </w:r>
      <w:r w:rsidR="00A0558C" w:rsidRPr="0099170A">
        <w:rPr>
          <w:rFonts w:cstheme="minorHAnsi"/>
          <w:w w:val="105"/>
        </w:rPr>
        <w:t>of</w:t>
      </w:r>
      <w:r w:rsidR="00A0558C" w:rsidRPr="0099170A">
        <w:rPr>
          <w:rFonts w:cstheme="minorHAnsi"/>
          <w:spacing w:val="11"/>
          <w:w w:val="105"/>
        </w:rPr>
        <w:t xml:space="preserve"> </w:t>
      </w:r>
      <w:r w:rsidR="00A0558C" w:rsidRPr="0099170A">
        <w:rPr>
          <w:rFonts w:cstheme="minorHAnsi"/>
          <w:w w:val="105"/>
        </w:rPr>
        <w:t>exhausting</w:t>
      </w:r>
      <w:r w:rsidR="00A0558C" w:rsidRPr="0099170A">
        <w:rPr>
          <w:rFonts w:cstheme="minorHAnsi"/>
          <w:spacing w:val="-33"/>
          <w:w w:val="105"/>
        </w:rPr>
        <w:t xml:space="preserve"> </w:t>
      </w:r>
      <w:r w:rsidR="00A0558C" w:rsidRPr="0099170A">
        <w:rPr>
          <w:rFonts w:cstheme="minorHAnsi"/>
          <w:w w:val="105"/>
        </w:rPr>
        <w:t>RA</w:t>
      </w:r>
      <w:r w:rsidR="00A0558C" w:rsidRPr="0099170A">
        <w:rPr>
          <w:rFonts w:cstheme="minorHAnsi"/>
          <w:spacing w:val="6"/>
          <w:w w:val="105"/>
        </w:rPr>
        <w:t xml:space="preserve"> </w:t>
      </w:r>
      <w:r w:rsidR="00A0558C" w:rsidRPr="0099170A">
        <w:rPr>
          <w:rFonts w:cstheme="minorHAnsi"/>
          <w:w w:val="105"/>
        </w:rPr>
        <w:t>benefits</w:t>
      </w:r>
      <w:r w:rsidR="00A0558C" w:rsidRPr="0099170A">
        <w:rPr>
          <w:rFonts w:cstheme="minorHAnsi"/>
          <w:spacing w:val="6"/>
          <w:w w:val="105"/>
        </w:rPr>
        <w:t xml:space="preserve"> </w:t>
      </w:r>
      <w:r w:rsidR="00A0558C" w:rsidRPr="0099170A">
        <w:rPr>
          <w:rFonts w:cstheme="minorHAnsi"/>
          <w:w w:val="105"/>
        </w:rPr>
        <w:t>prior</w:t>
      </w:r>
      <w:r w:rsidR="00A0558C" w:rsidRPr="0099170A">
        <w:rPr>
          <w:rFonts w:cstheme="minorHAnsi"/>
          <w:spacing w:val="6"/>
          <w:w w:val="105"/>
        </w:rPr>
        <w:t xml:space="preserve"> </w:t>
      </w:r>
      <w:r w:rsidR="00A0558C" w:rsidRPr="0099170A">
        <w:rPr>
          <w:rFonts w:cstheme="minorHAnsi"/>
          <w:w w:val="105"/>
        </w:rPr>
        <w:t>to</w:t>
      </w:r>
      <w:r w:rsidR="00A0558C" w:rsidRPr="0099170A">
        <w:rPr>
          <w:rFonts w:cstheme="minorHAnsi"/>
          <w:spacing w:val="6"/>
          <w:w w:val="105"/>
        </w:rPr>
        <w:t xml:space="preserve"> </w:t>
      </w:r>
      <w:r w:rsidR="00A0558C" w:rsidRPr="0099170A">
        <w:rPr>
          <w:rFonts w:cstheme="minorHAnsi"/>
          <w:w w:val="105"/>
        </w:rPr>
        <w:t>returning</w:t>
      </w:r>
      <w:r w:rsidR="00A0558C" w:rsidRPr="0099170A">
        <w:rPr>
          <w:rFonts w:cstheme="minorHAnsi"/>
          <w:spacing w:val="6"/>
          <w:w w:val="105"/>
        </w:rPr>
        <w:t xml:space="preserve"> </w:t>
      </w:r>
      <w:r w:rsidR="00A0558C" w:rsidRPr="0099170A">
        <w:rPr>
          <w:rFonts w:cstheme="minorHAnsi"/>
          <w:w w:val="105"/>
        </w:rPr>
        <w:t>to</w:t>
      </w:r>
      <w:r w:rsidR="00A0558C" w:rsidRPr="0099170A">
        <w:rPr>
          <w:rFonts w:cstheme="minorHAnsi"/>
          <w:spacing w:val="6"/>
          <w:w w:val="105"/>
        </w:rPr>
        <w:t xml:space="preserve"> </w:t>
      </w:r>
      <w:r w:rsidR="00A0558C" w:rsidRPr="0099170A">
        <w:rPr>
          <w:rFonts w:cstheme="minorHAnsi"/>
          <w:w w:val="105"/>
        </w:rPr>
        <w:t>work. This is</w:t>
      </w:r>
      <w:r w:rsidR="00A0558C" w:rsidRPr="0099170A">
        <w:rPr>
          <w:rFonts w:cstheme="minorHAnsi"/>
          <w:spacing w:val="6"/>
          <w:w w:val="105"/>
        </w:rPr>
        <w:t xml:space="preserve"> </w:t>
      </w:r>
      <w:r w:rsidR="00A0558C" w:rsidRPr="0099170A">
        <w:rPr>
          <w:rFonts w:cstheme="minorHAnsi"/>
          <w:w w:val="105"/>
        </w:rPr>
        <w:t>used</w:t>
      </w:r>
      <w:r w:rsidR="00A0558C" w:rsidRPr="0099170A">
        <w:rPr>
          <w:rFonts w:cstheme="minorHAnsi"/>
          <w:spacing w:val="6"/>
          <w:w w:val="105"/>
        </w:rPr>
        <w:t xml:space="preserve"> </w:t>
      </w:r>
      <w:r w:rsidR="00A0558C" w:rsidRPr="0099170A">
        <w:rPr>
          <w:rFonts w:cstheme="minorHAnsi"/>
          <w:w w:val="105"/>
        </w:rPr>
        <w:t>to</w:t>
      </w:r>
      <w:r w:rsidR="00A0558C" w:rsidRPr="0099170A">
        <w:rPr>
          <w:rFonts w:cstheme="minorHAnsi"/>
          <w:spacing w:val="6"/>
          <w:w w:val="105"/>
        </w:rPr>
        <w:t xml:space="preserve"> </w:t>
      </w:r>
      <w:r w:rsidR="00A0558C" w:rsidRPr="0099170A">
        <w:rPr>
          <w:rFonts w:cstheme="minorHAnsi"/>
          <w:w w:val="105"/>
        </w:rPr>
        <w:t>determine</w:t>
      </w:r>
      <w:r w:rsidR="00A0558C" w:rsidRPr="0099170A">
        <w:rPr>
          <w:rFonts w:cstheme="minorHAnsi"/>
          <w:spacing w:val="6"/>
          <w:w w:val="105"/>
        </w:rPr>
        <w:t xml:space="preserve"> to </w:t>
      </w:r>
      <w:r w:rsidR="00A0558C" w:rsidRPr="0099170A">
        <w:rPr>
          <w:rFonts w:cstheme="minorHAnsi"/>
          <w:w w:val="105"/>
        </w:rPr>
        <w:t>which</w:t>
      </w:r>
      <w:r w:rsidR="00A0558C" w:rsidRPr="0099170A">
        <w:rPr>
          <w:rFonts w:cstheme="minorHAnsi"/>
          <w:spacing w:val="6"/>
          <w:w w:val="105"/>
        </w:rPr>
        <w:t xml:space="preserve"> </w:t>
      </w:r>
      <w:r w:rsidR="00A0558C" w:rsidRPr="0099170A">
        <w:rPr>
          <w:rFonts w:cstheme="minorHAnsi"/>
          <w:w w:val="105"/>
        </w:rPr>
        <w:t>mandatory</w:t>
      </w:r>
      <w:r w:rsidR="00A0558C" w:rsidRPr="0099170A">
        <w:rPr>
          <w:rFonts w:cstheme="minorHAnsi"/>
          <w:spacing w:val="6"/>
          <w:w w:val="105"/>
        </w:rPr>
        <w:t xml:space="preserve"> </w:t>
      </w:r>
      <w:r w:rsidR="00A0558C" w:rsidRPr="0099170A">
        <w:rPr>
          <w:rFonts w:cstheme="minorHAnsi"/>
          <w:w w:val="105"/>
        </w:rPr>
        <w:t>reemployment</w:t>
      </w:r>
      <w:r w:rsidR="00A0558C">
        <w:rPr>
          <w:rFonts w:cstheme="minorHAnsi"/>
          <w:w w:val="105"/>
        </w:rPr>
        <w:t xml:space="preserve"> </w:t>
      </w:r>
      <w:r w:rsidR="00A0558C" w:rsidRPr="0099170A">
        <w:rPr>
          <w:rFonts w:cstheme="minorHAnsi"/>
          <w:w w:val="105"/>
        </w:rPr>
        <w:t>program</w:t>
      </w:r>
      <w:r w:rsidR="00A0558C" w:rsidRPr="0099170A">
        <w:rPr>
          <w:rFonts w:cstheme="minorHAnsi"/>
          <w:spacing w:val="7"/>
          <w:w w:val="105"/>
        </w:rPr>
        <w:t xml:space="preserve"> </w:t>
      </w:r>
      <w:r w:rsidR="00A0558C" w:rsidRPr="0099170A">
        <w:rPr>
          <w:rFonts w:cstheme="minorHAnsi"/>
          <w:w w:val="105"/>
        </w:rPr>
        <w:t>the</w:t>
      </w:r>
      <w:r w:rsidR="00A0558C" w:rsidRPr="0099170A">
        <w:rPr>
          <w:rFonts w:cstheme="minorHAnsi"/>
          <w:spacing w:val="7"/>
          <w:w w:val="105"/>
        </w:rPr>
        <w:t xml:space="preserve"> </w:t>
      </w:r>
      <w:r w:rsidR="00A0558C" w:rsidRPr="0099170A">
        <w:rPr>
          <w:rFonts w:cstheme="minorHAnsi"/>
          <w:w w:val="105"/>
        </w:rPr>
        <w:t>claimant</w:t>
      </w:r>
      <w:r w:rsidR="00A0558C" w:rsidRPr="0099170A">
        <w:rPr>
          <w:rFonts w:cstheme="minorHAnsi"/>
          <w:spacing w:val="7"/>
          <w:w w:val="105"/>
        </w:rPr>
        <w:t xml:space="preserve"> </w:t>
      </w:r>
      <w:r w:rsidR="00A0558C" w:rsidRPr="0099170A">
        <w:rPr>
          <w:rFonts w:cstheme="minorHAnsi"/>
          <w:w w:val="105"/>
        </w:rPr>
        <w:t>is assigned</w:t>
      </w:r>
      <w:r w:rsidR="00A0558C" w:rsidRPr="0099170A">
        <w:rPr>
          <w:rFonts w:cstheme="minorHAnsi"/>
          <w:spacing w:val="7"/>
          <w:w w:val="105"/>
        </w:rPr>
        <w:t xml:space="preserve"> </w:t>
      </w:r>
      <w:r w:rsidR="00A0558C" w:rsidRPr="0099170A">
        <w:rPr>
          <w:rFonts w:cstheme="minorHAnsi"/>
          <w:w w:val="105"/>
        </w:rPr>
        <w:t>to</w:t>
      </w:r>
      <w:r w:rsidR="00A0558C" w:rsidRPr="0099170A">
        <w:rPr>
          <w:rFonts w:cstheme="minorHAnsi"/>
          <w:spacing w:val="7"/>
          <w:w w:val="105"/>
        </w:rPr>
        <w:t xml:space="preserve"> </w:t>
      </w:r>
      <w:r w:rsidR="00A0558C" w:rsidRPr="0099170A">
        <w:rPr>
          <w:rFonts w:cstheme="minorHAnsi"/>
          <w:w w:val="105"/>
        </w:rPr>
        <w:t>attend.</w:t>
      </w:r>
      <w:r w:rsidR="00A0558C" w:rsidRPr="0099170A">
        <w:rPr>
          <w:rFonts w:cstheme="minorHAnsi"/>
          <w:spacing w:val="7"/>
          <w:w w:val="105"/>
        </w:rPr>
        <w:t xml:space="preserve"> </w:t>
      </w:r>
      <w:r w:rsidR="00A0558C" w:rsidRPr="0099170A">
        <w:rPr>
          <w:rFonts w:cstheme="minorHAnsi"/>
          <w:w w:val="105"/>
        </w:rPr>
        <w:t>Upon</w:t>
      </w:r>
      <w:r w:rsidR="00A0558C" w:rsidRPr="0099170A">
        <w:rPr>
          <w:rFonts w:cstheme="minorHAnsi"/>
          <w:spacing w:val="7"/>
          <w:w w:val="105"/>
        </w:rPr>
        <w:t xml:space="preserve"> </w:t>
      </w:r>
      <w:r w:rsidR="00A0558C" w:rsidRPr="0099170A">
        <w:rPr>
          <w:rFonts w:cstheme="minorHAnsi"/>
          <w:w w:val="105"/>
        </w:rPr>
        <w:t>assignment</w:t>
      </w:r>
      <w:r w:rsidR="00A0558C" w:rsidRPr="0099170A">
        <w:rPr>
          <w:rFonts w:cstheme="minorHAnsi"/>
          <w:spacing w:val="7"/>
          <w:w w:val="105"/>
        </w:rPr>
        <w:t xml:space="preserve"> </w:t>
      </w:r>
      <w:r w:rsidR="00A0558C" w:rsidRPr="0099170A">
        <w:rPr>
          <w:rFonts w:cstheme="minorHAnsi"/>
          <w:w w:val="105"/>
        </w:rPr>
        <w:t>of</w:t>
      </w:r>
      <w:r w:rsidR="00A0558C" w:rsidRPr="0099170A">
        <w:rPr>
          <w:rFonts w:cstheme="minorHAnsi"/>
          <w:spacing w:val="7"/>
          <w:w w:val="105"/>
        </w:rPr>
        <w:t xml:space="preserve"> </w:t>
      </w:r>
      <w:r w:rsidR="00A0558C" w:rsidRPr="0099170A">
        <w:rPr>
          <w:rFonts w:cstheme="minorHAnsi"/>
          <w:w w:val="105"/>
        </w:rPr>
        <w:t>the</w:t>
      </w:r>
      <w:r w:rsidR="00A0558C" w:rsidRPr="0099170A">
        <w:rPr>
          <w:rFonts w:cstheme="minorHAnsi"/>
          <w:spacing w:val="7"/>
          <w:w w:val="105"/>
        </w:rPr>
        <w:t xml:space="preserve"> </w:t>
      </w:r>
      <w:r w:rsidR="00A0558C" w:rsidRPr="0099170A">
        <w:rPr>
          <w:rFonts w:cstheme="minorHAnsi"/>
          <w:w w:val="105"/>
        </w:rPr>
        <w:t>coefficient,</w:t>
      </w:r>
      <w:r w:rsidR="00A0558C" w:rsidRPr="0099170A">
        <w:rPr>
          <w:rFonts w:cstheme="minorHAnsi"/>
          <w:spacing w:val="7"/>
          <w:w w:val="105"/>
        </w:rPr>
        <w:t xml:space="preserve"> </w:t>
      </w:r>
      <w:r w:rsidR="00A0558C" w:rsidRPr="0099170A">
        <w:rPr>
          <w:rFonts w:cstheme="minorHAnsi"/>
          <w:w w:val="105"/>
        </w:rPr>
        <w:t>the</w:t>
      </w:r>
      <w:r w:rsidR="00A0558C" w:rsidRPr="0099170A">
        <w:rPr>
          <w:rFonts w:cstheme="minorHAnsi"/>
          <w:spacing w:val="7"/>
          <w:w w:val="105"/>
        </w:rPr>
        <w:t xml:space="preserve"> </w:t>
      </w:r>
      <w:r w:rsidR="00A0558C" w:rsidRPr="0099170A">
        <w:rPr>
          <w:rFonts w:cstheme="minorHAnsi"/>
          <w:w w:val="105"/>
        </w:rPr>
        <w:t>claimant</w:t>
      </w:r>
      <w:r w:rsidR="00A0558C" w:rsidRPr="0099170A">
        <w:rPr>
          <w:rFonts w:cstheme="minorHAnsi"/>
          <w:spacing w:val="7"/>
          <w:w w:val="105"/>
        </w:rPr>
        <w:t xml:space="preserve"> </w:t>
      </w:r>
      <w:r w:rsidR="00A0558C" w:rsidRPr="0099170A">
        <w:rPr>
          <w:rFonts w:cstheme="minorHAnsi"/>
          <w:w w:val="105"/>
        </w:rPr>
        <w:t>is</w:t>
      </w:r>
      <w:r w:rsidR="00A0558C" w:rsidRPr="0099170A">
        <w:rPr>
          <w:rFonts w:cstheme="minorHAnsi"/>
          <w:spacing w:val="-23"/>
          <w:w w:val="105"/>
        </w:rPr>
        <w:t xml:space="preserve"> </w:t>
      </w:r>
      <w:r w:rsidR="00A0558C" w:rsidRPr="0099170A">
        <w:rPr>
          <w:rFonts w:cstheme="minorHAnsi"/>
          <w:w w:val="105"/>
        </w:rPr>
        <w:t>transmitted into a pool used to assign them to the state’s Worker Profiling and</w:t>
      </w:r>
      <w:r w:rsidR="00A0558C" w:rsidRPr="0099170A">
        <w:rPr>
          <w:rFonts w:cstheme="minorHAnsi"/>
          <w:spacing w:val="26"/>
          <w:w w:val="105"/>
        </w:rPr>
        <w:t xml:space="preserve"> </w:t>
      </w:r>
      <w:r w:rsidR="00A0558C" w:rsidRPr="0099170A">
        <w:rPr>
          <w:rFonts w:cstheme="minorHAnsi"/>
          <w:w w:val="105"/>
        </w:rPr>
        <w:t>Reemployment Services</w:t>
      </w:r>
      <w:r w:rsidR="00A0558C" w:rsidRPr="0099170A">
        <w:rPr>
          <w:rFonts w:cstheme="minorHAnsi"/>
          <w:spacing w:val="20"/>
          <w:w w:val="105"/>
        </w:rPr>
        <w:t xml:space="preserve"> </w:t>
      </w:r>
      <w:r w:rsidR="00A0558C" w:rsidRPr="0099170A">
        <w:rPr>
          <w:rFonts w:cstheme="minorHAnsi"/>
          <w:w w:val="105"/>
        </w:rPr>
        <w:t>(WPRS)</w:t>
      </w:r>
      <w:r w:rsidR="00A0558C" w:rsidRPr="0099170A">
        <w:rPr>
          <w:rFonts w:cstheme="minorHAnsi"/>
          <w:spacing w:val="20"/>
          <w:w w:val="105"/>
        </w:rPr>
        <w:t xml:space="preserve"> </w:t>
      </w:r>
      <w:r w:rsidR="00A0558C" w:rsidRPr="0099170A">
        <w:rPr>
          <w:rFonts w:cstheme="minorHAnsi"/>
          <w:w w:val="105"/>
        </w:rPr>
        <w:t>program,</w:t>
      </w:r>
      <w:r w:rsidR="00A0558C" w:rsidRPr="0099170A">
        <w:rPr>
          <w:rFonts w:cstheme="minorHAnsi"/>
          <w:spacing w:val="20"/>
          <w:w w:val="105"/>
        </w:rPr>
        <w:t xml:space="preserve"> </w:t>
      </w:r>
      <w:r w:rsidR="00A0558C" w:rsidRPr="0099170A">
        <w:rPr>
          <w:rFonts w:cstheme="minorHAnsi"/>
          <w:w w:val="105"/>
        </w:rPr>
        <w:t>or</w:t>
      </w:r>
      <w:r w:rsidR="00A0558C" w:rsidRPr="0099170A">
        <w:rPr>
          <w:rFonts w:cstheme="minorHAnsi"/>
          <w:spacing w:val="20"/>
          <w:w w:val="105"/>
        </w:rPr>
        <w:t xml:space="preserve"> </w:t>
      </w:r>
      <w:r w:rsidR="00A0558C" w:rsidRPr="0099170A">
        <w:rPr>
          <w:rFonts w:cstheme="minorHAnsi"/>
          <w:w w:val="105"/>
        </w:rPr>
        <w:t>the</w:t>
      </w:r>
      <w:r w:rsidR="00A0558C" w:rsidRPr="0099170A">
        <w:rPr>
          <w:rFonts w:cstheme="minorHAnsi"/>
          <w:spacing w:val="20"/>
          <w:w w:val="105"/>
        </w:rPr>
        <w:t xml:space="preserve"> </w:t>
      </w:r>
      <w:r w:rsidR="00A0558C" w:rsidRPr="0099170A">
        <w:rPr>
          <w:rFonts w:cstheme="minorHAnsi"/>
          <w:w w:val="105"/>
        </w:rPr>
        <w:t>RESEA</w:t>
      </w:r>
      <w:r w:rsidR="00A0558C" w:rsidRPr="0099170A">
        <w:rPr>
          <w:rFonts w:cstheme="minorHAnsi"/>
          <w:spacing w:val="20"/>
          <w:w w:val="105"/>
        </w:rPr>
        <w:t xml:space="preserve"> </w:t>
      </w:r>
      <w:r w:rsidR="00A0558C" w:rsidRPr="0099170A">
        <w:rPr>
          <w:rFonts w:cstheme="minorHAnsi"/>
          <w:w w:val="105"/>
        </w:rPr>
        <w:t>program.</w:t>
      </w:r>
      <w:r w:rsidR="00A0558C" w:rsidRPr="0099170A">
        <w:rPr>
          <w:rFonts w:cstheme="minorHAnsi"/>
          <w:spacing w:val="20"/>
          <w:w w:val="105"/>
        </w:rPr>
        <w:t xml:space="preserve"> </w:t>
      </w:r>
      <w:r w:rsidR="00A0558C" w:rsidRPr="0099170A">
        <w:rPr>
          <w:rFonts w:cstheme="minorHAnsi"/>
          <w:w w:val="105"/>
        </w:rPr>
        <w:t>This</w:t>
      </w:r>
      <w:r w:rsidR="00A0558C" w:rsidRPr="0099170A">
        <w:rPr>
          <w:rFonts w:cstheme="minorHAnsi"/>
          <w:spacing w:val="20"/>
          <w:w w:val="105"/>
        </w:rPr>
        <w:t xml:space="preserve"> </w:t>
      </w:r>
      <w:r w:rsidR="00A0558C" w:rsidRPr="0099170A">
        <w:rPr>
          <w:rFonts w:cstheme="minorHAnsi"/>
          <w:w w:val="105"/>
        </w:rPr>
        <w:lastRenderedPageBreak/>
        <w:t>automated</w:t>
      </w:r>
      <w:r w:rsidR="00A0558C" w:rsidRPr="0099170A">
        <w:rPr>
          <w:rFonts w:cstheme="minorHAnsi"/>
          <w:spacing w:val="20"/>
          <w:w w:val="105"/>
        </w:rPr>
        <w:t xml:space="preserve"> </w:t>
      </w:r>
      <w:r w:rsidR="00A0558C" w:rsidRPr="0099170A">
        <w:rPr>
          <w:rFonts w:cstheme="minorHAnsi"/>
          <w:w w:val="105"/>
        </w:rPr>
        <w:t>pool</w:t>
      </w:r>
      <w:r w:rsidR="00A0558C" w:rsidRPr="0099170A">
        <w:rPr>
          <w:rFonts w:cstheme="minorHAnsi"/>
          <w:spacing w:val="20"/>
          <w:w w:val="105"/>
        </w:rPr>
        <w:t xml:space="preserve"> </w:t>
      </w:r>
      <w:r w:rsidR="00A0558C" w:rsidRPr="0099170A">
        <w:rPr>
          <w:rFonts w:cstheme="minorHAnsi"/>
          <w:w w:val="105"/>
        </w:rPr>
        <w:t>collection</w:t>
      </w:r>
      <w:r w:rsidR="00A0558C">
        <w:rPr>
          <w:rFonts w:cstheme="minorHAnsi"/>
          <w:w w:val="105"/>
        </w:rPr>
        <w:t xml:space="preserve"> </w:t>
      </w:r>
      <w:r w:rsidR="00A0558C" w:rsidRPr="0099170A">
        <w:rPr>
          <w:rFonts w:cstheme="minorHAnsi"/>
          <w:w w:val="105"/>
        </w:rPr>
        <w:t>and</w:t>
      </w:r>
      <w:r w:rsidR="00A0558C" w:rsidRPr="0099170A">
        <w:rPr>
          <w:rFonts w:cstheme="minorHAnsi"/>
          <w:spacing w:val="18"/>
          <w:w w:val="105"/>
        </w:rPr>
        <w:t xml:space="preserve"> </w:t>
      </w:r>
      <w:r w:rsidR="00A0558C" w:rsidRPr="0099170A">
        <w:rPr>
          <w:rFonts w:cstheme="minorHAnsi"/>
          <w:w w:val="105"/>
        </w:rPr>
        <w:t>event</w:t>
      </w:r>
      <w:r w:rsidR="00A0558C" w:rsidRPr="0099170A">
        <w:rPr>
          <w:rFonts w:cstheme="minorHAnsi"/>
          <w:spacing w:val="18"/>
          <w:w w:val="105"/>
        </w:rPr>
        <w:t xml:space="preserve"> </w:t>
      </w:r>
      <w:r w:rsidR="00A0558C" w:rsidRPr="0099170A">
        <w:rPr>
          <w:rFonts w:cstheme="minorHAnsi"/>
          <w:w w:val="105"/>
        </w:rPr>
        <w:t>assignment</w:t>
      </w:r>
      <w:r w:rsidR="00A0558C" w:rsidRPr="0099170A">
        <w:rPr>
          <w:rFonts w:cstheme="minorHAnsi"/>
          <w:spacing w:val="18"/>
          <w:w w:val="105"/>
        </w:rPr>
        <w:t xml:space="preserve"> </w:t>
      </w:r>
      <w:r w:rsidR="00A0558C" w:rsidRPr="0099170A">
        <w:rPr>
          <w:rFonts w:cstheme="minorHAnsi"/>
          <w:w w:val="105"/>
        </w:rPr>
        <w:t>typically</w:t>
      </w:r>
      <w:r w:rsidR="00A0558C" w:rsidRPr="0099170A">
        <w:rPr>
          <w:rFonts w:cstheme="minorHAnsi"/>
          <w:spacing w:val="18"/>
          <w:w w:val="105"/>
        </w:rPr>
        <w:t xml:space="preserve"> </w:t>
      </w:r>
      <w:r w:rsidR="00A0558C" w:rsidRPr="0099170A">
        <w:rPr>
          <w:rFonts w:cstheme="minorHAnsi"/>
          <w:w w:val="105"/>
        </w:rPr>
        <w:t>occurs</w:t>
      </w:r>
      <w:r w:rsidR="00A0558C" w:rsidRPr="0099170A">
        <w:rPr>
          <w:rFonts w:cstheme="minorHAnsi"/>
          <w:spacing w:val="18"/>
          <w:w w:val="105"/>
        </w:rPr>
        <w:t xml:space="preserve"> </w:t>
      </w:r>
      <w:r w:rsidR="00A0558C" w:rsidRPr="0099170A">
        <w:rPr>
          <w:rFonts w:cstheme="minorHAnsi"/>
          <w:w w:val="105"/>
        </w:rPr>
        <w:t>every</w:t>
      </w:r>
      <w:r w:rsidR="00A0558C" w:rsidRPr="0099170A">
        <w:rPr>
          <w:rFonts w:cstheme="minorHAnsi"/>
          <w:spacing w:val="18"/>
          <w:w w:val="105"/>
        </w:rPr>
        <w:t xml:space="preserve"> </w:t>
      </w:r>
      <w:r w:rsidR="00A0558C" w:rsidRPr="0099170A">
        <w:rPr>
          <w:rFonts w:cstheme="minorHAnsi"/>
          <w:w w:val="105"/>
        </w:rPr>
        <w:t>Saturday.</w:t>
      </w:r>
      <w:r w:rsidR="00A0558C" w:rsidRPr="0099170A">
        <w:rPr>
          <w:rFonts w:cstheme="minorHAnsi"/>
          <w:spacing w:val="18"/>
          <w:w w:val="105"/>
        </w:rPr>
        <w:t xml:space="preserve"> </w:t>
      </w:r>
    </w:p>
    <w:p w14:paraId="10D1C431" w14:textId="77777777" w:rsidR="00AE166E" w:rsidRDefault="00AE166E" w:rsidP="001C11E3">
      <w:pPr>
        <w:widowControl w:val="0"/>
        <w:spacing w:before="58" w:after="0" w:line="264" w:lineRule="exact"/>
        <w:rPr>
          <w:rFonts w:cstheme="minorHAnsi"/>
          <w:spacing w:val="18"/>
          <w:w w:val="105"/>
        </w:rPr>
      </w:pPr>
    </w:p>
    <w:p w14:paraId="563DB881" w14:textId="60B0E523" w:rsidR="00A0558C" w:rsidRPr="0099170A" w:rsidRDefault="00A0558C" w:rsidP="00D63204">
      <w:pPr>
        <w:widowControl w:val="0"/>
        <w:spacing w:before="58" w:after="0" w:line="264" w:lineRule="exact"/>
        <w:ind w:left="107"/>
        <w:rPr>
          <w:rFonts w:cstheme="minorHAnsi"/>
        </w:rPr>
      </w:pPr>
      <w:r w:rsidRPr="0099170A">
        <w:rPr>
          <w:rFonts w:cstheme="minorHAnsi"/>
          <w:w w:val="105"/>
        </w:rPr>
        <w:t>On Monday,</w:t>
      </w:r>
      <w:r w:rsidRPr="0099170A">
        <w:rPr>
          <w:rFonts w:cstheme="minorHAnsi"/>
          <w:spacing w:val="18"/>
          <w:w w:val="105"/>
        </w:rPr>
        <w:t xml:space="preserve"> </w:t>
      </w:r>
      <w:r w:rsidRPr="0099170A">
        <w:rPr>
          <w:rFonts w:cstheme="minorHAnsi"/>
          <w:spacing w:val="-4"/>
          <w:w w:val="105"/>
        </w:rPr>
        <w:t>LWDB</w:t>
      </w:r>
      <w:r w:rsidRPr="0099170A">
        <w:rPr>
          <w:rFonts w:cstheme="minorHAnsi"/>
          <w:spacing w:val="18"/>
          <w:w w:val="105"/>
        </w:rPr>
        <w:t xml:space="preserve"> </w:t>
      </w:r>
      <w:r w:rsidRPr="0099170A">
        <w:rPr>
          <w:rFonts w:cstheme="minorHAnsi"/>
          <w:w w:val="105"/>
        </w:rPr>
        <w:t>staff</w:t>
      </w:r>
      <w:r w:rsidRPr="0099170A">
        <w:rPr>
          <w:rFonts w:cstheme="minorHAnsi"/>
          <w:spacing w:val="18"/>
          <w:w w:val="105"/>
        </w:rPr>
        <w:t xml:space="preserve"> </w:t>
      </w:r>
      <w:r w:rsidRPr="0099170A">
        <w:rPr>
          <w:rFonts w:cstheme="minorHAnsi"/>
          <w:w w:val="105"/>
        </w:rPr>
        <w:t>are</w:t>
      </w:r>
      <w:r w:rsidRPr="0099170A">
        <w:rPr>
          <w:rFonts w:cstheme="minorHAnsi"/>
          <w:spacing w:val="18"/>
          <w:w w:val="105"/>
        </w:rPr>
        <w:t xml:space="preserve"> </w:t>
      </w:r>
      <w:r w:rsidRPr="0099170A">
        <w:rPr>
          <w:rFonts w:cstheme="minorHAnsi"/>
          <w:w w:val="105"/>
        </w:rPr>
        <w:t>responsible for viewing the number of claimants in their respective pools and creating events accommodating as</w:t>
      </w:r>
      <w:r w:rsidRPr="0099170A">
        <w:rPr>
          <w:rFonts w:cstheme="minorHAnsi"/>
          <w:spacing w:val="19"/>
          <w:w w:val="105"/>
        </w:rPr>
        <w:t xml:space="preserve"> </w:t>
      </w:r>
      <w:r w:rsidRPr="0099170A">
        <w:rPr>
          <w:rFonts w:cstheme="minorHAnsi"/>
          <w:w w:val="105"/>
        </w:rPr>
        <w:t>many</w:t>
      </w:r>
      <w:r w:rsidRPr="0099170A">
        <w:rPr>
          <w:rFonts w:cstheme="minorHAnsi"/>
          <w:spacing w:val="19"/>
          <w:w w:val="105"/>
        </w:rPr>
        <w:t xml:space="preserve"> </w:t>
      </w:r>
      <w:r w:rsidRPr="0099170A">
        <w:rPr>
          <w:rFonts w:cstheme="minorHAnsi"/>
          <w:w w:val="105"/>
        </w:rPr>
        <w:t>claimants</w:t>
      </w:r>
      <w:r w:rsidRPr="0099170A">
        <w:rPr>
          <w:rFonts w:cstheme="minorHAnsi"/>
          <w:spacing w:val="19"/>
          <w:w w:val="105"/>
        </w:rPr>
        <w:t xml:space="preserve"> </w:t>
      </w:r>
      <w:r w:rsidRPr="0099170A">
        <w:rPr>
          <w:rFonts w:cstheme="minorHAnsi"/>
          <w:w w:val="105"/>
        </w:rPr>
        <w:t>as</w:t>
      </w:r>
      <w:r w:rsidRPr="0099170A">
        <w:rPr>
          <w:rFonts w:cstheme="minorHAnsi"/>
          <w:spacing w:val="19"/>
          <w:w w:val="105"/>
        </w:rPr>
        <w:t xml:space="preserve"> </w:t>
      </w:r>
      <w:r w:rsidRPr="0099170A">
        <w:rPr>
          <w:rFonts w:cstheme="minorHAnsi"/>
          <w:w w:val="105"/>
        </w:rPr>
        <w:t>possible.</w:t>
      </w:r>
      <w:r w:rsidRPr="0099170A">
        <w:rPr>
          <w:rFonts w:cstheme="minorHAnsi"/>
          <w:spacing w:val="39"/>
          <w:w w:val="105"/>
        </w:rPr>
        <w:t xml:space="preserve"> </w:t>
      </w:r>
      <w:r w:rsidRPr="0099170A">
        <w:rPr>
          <w:rFonts w:cstheme="minorHAnsi"/>
          <w:spacing w:val="-3"/>
          <w:w w:val="105"/>
        </w:rPr>
        <w:t>LWDBs</w:t>
      </w:r>
      <w:r w:rsidRPr="0099170A">
        <w:rPr>
          <w:rFonts w:cstheme="minorHAnsi"/>
          <w:spacing w:val="19"/>
          <w:w w:val="105"/>
        </w:rPr>
        <w:t xml:space="preserve"> </w:t>
      </w:r>
      <w:r w:rsidRPr="0099170A">
        <w:rPr>
          <w:rFonts w:cstheme="minorHAnsi"/>
          <w:w w:val="105"/>
        </w:rPr>
        <w:t>operate</w:t>
      </w:r>
      <w:r w:rsidRPr="0099170A">
        <w:rPr>
          <w:rFonts w:cstheme="minorHAnsi"/>
          <w:spacing w:val="19"/>
          <w:w w:val="105"/>
        </w:rPr>
        <w:t xml:space="preserve"> </w:t>
      </w:r>
      <w:r w:rsidRPr="0099170A">
        <w:rPr>
          <w:rFonts w:cstheme="minorHAnsi"/>
          <w:w w:val="105"/>
        </w:rPr>
        <w:t>PREP</w:t>
      </w:r>
      <w:r w:rsidRPr="0099170A">
        <w:rPr>
          <w:rFonts w:cstheme="minorHAnsi"/>
          <w:spacing w:val="19"/>
          <w:w w:val="105"/>
        </w:rPr>
        <w:t xml:space="preserve"> </w:t>
      </w:r>
      <w:r w:rsidRPr="0099170A">
        <w:rPr>
          <w:rFonts w:cstheme="minorHAnsi"/>
          <w:w w:val="105"/>
        </w:rPr>
        <w:t>or</w:t>
      </w:r>
      <w:r w:rsidRPr="0099170A">
        <w:rPr>
          <w:rFonts w:cstheme="minorHAnsi"/>
          <w:spacing w:val="19"/>
          <w:w w:val="105"/>
        </w:rPr>
        <w:t xml:space="preserve"> </w:t>
      </w:r>
      <w:r w:rsidRPr="0099170A">
        <w:rPr>
          <w:rFonts w:cstheme="minorHAnsi"/>
          <w:w w:val="105"/>
        </w:rPr>
        <w:t>RESEA,</w:t>
      </w:r>
      <w:r w:rsidRPr="0099170A">
        <w:rPr>
          <w:rFonts w:cstheme="minorHAnsi"/>
          <w:spacing w:val="19"/>
          <w:w w:val="105"/>
        </w:rPr>
        <w:t xml:space="preserve"> </w:t>
      </w:r>
      <w:r w:rsidRPr="0099170A">
        <w:rPr>
          <w:rFonts w:cstheme="minorHAnsi"/>
          <w:w w:val="105"/>
        </w:rPr>
        <w:t>but</w:t>
      </w:r>
      <w:r w:rsidRPr="0099170A">
        <w:rPr>
          <w:rFonts w:cstheme="minorHAnsi"/>
          <w:spacing w:val="19"/>
          <w:w w:val="105"/>
        </w:rPr>
        <w:t xml:space="preserve"> </w:t>
      </w:r>
      <w:r w:rsidRPr="0099170A">
        <w:rPr>
          <w:rFonts w:cstheme="minorHAnsi"/>
          <w:w w:val="105"/>
        </w:rPr>
        <w:t>never</w:t>
      </w:r>
      <w:r w:rsidRPr="0099170A">
        <w:rPr>
          <w:rFonts w:cstheme="minorHAnsi"/>
          <w:spacing w:val="19"/>
          <w:w w:val="105"/>
        </w:rPr>
        <w:t xml:space="preserve"> operate </w:t>
      </w:r>
      <w:r w:rsidRPr="0099170A">
        <w:rPr>
          <w:rFonts w:cstheme="minorHAnsi"/>
          <w:w w:val="105"/>
        </w:rPr>
        <w:t>both</w:t>
      </w:r>
      <w:r w:rsidRPr="0099170A">
        <w:rPr>
          <w:rFonts w:cstheme="minorHAnsi"/>
          <w:spacing w:val="19"/>
          <w:w w:val="105"/>
        </w:rPr>
        <w:t xml:space="preserve"> </w:t>
      </w:r>
      <w:r w:rsidRPr="0099170A">
        <w:rPr>
          <w:rFonts w:cstheme="minorHAnsi"/>
          <w:w w:val="105"/>
        </w:rPr>
        <w:t>programs</w:t>
      </w:r>
      <w:r w:rsidRPr="0099170A">
        <w:rPr>
          <w:rFonts w:cstheme="minorHAnsi"/>
          <w:spacing w:val="-7"/>
          <w:w w:val="105"/>
        </w:rPr>
        <w:t xml:space="preserve"> </w:t>
      </w:r>
      <w:r w:rsidRPr="0099170A">
        <w:rPr>
          <w:rFonts w:cstheme="minorHAnsi"/>
          <w:w w:val="105"/>
        </w:rPr>
        <w:t>simultaneously.</w:t>
      </w:r>
      <w:r w:rsidRPr="0099170A">
        <w:rPr>
          <w:rFonts w:cstheme="minorHAnsi"/>
          <w:spacing w:val="16"/>
          <w:w w:val="105"/>
        </w:rPr>
        <w:t xml:space="preserve"> </w:t>
      </w:r>
      <w:r w:rsidRPr="0099170A">
        <w:rPr>
          <w:rFonts w:cstheme="minorHAnsi"/>
          <w:spacing w:val="-3"/>
          <w:w w:val="105"/>
        </w:rPr>
        <w:t>LWDBs</w:t>
      </w:r>
      <w:r w:rsidRPr="0099170A">
        <w:rPr>
          <w:rFonts w:cstheme="minorHAnsi"/>
          <w:spacing w:val="16"/>
          <w:w w:val="105"/>
        </w:rPr>
        <w:t xml:space="preserve"> </w:t>
      </w:r>
      <w:r w:rsidRPr="0099170A">
        <w:rPr>
          <w:rFonts w:cstheme="minorHAnsi"/>
          <w:w w:val="105"/>
        </w:rPr>
        <w:t>operating</w:t>
      </w:r>
      <w:r w:rsidRPr="0099170A">
        <w:rPr>
          <w:rFonts w:cstheme="minorHAnsi"/>
          <w:spacing w:val="16"/>
          <w:w w:val="105"/>
        </w:rPr>
        <w:t xml:space="preserve"> </w:t>
      </w:r>
      <w:r w:rsidRPr="0099170A">
        <w:rPr>
          <w:rFonts w:cstheme="minorHAnsi"/>
          <w:w w:val="105"/>
        </w:rPr>
        <w:t>the</w:t>
      </w:r>
      <w:r w:rsidRPr="0099170A">
        <w:rPr>
          <w:rFonts w:cstheme="minorHAnsi"/>
          <w:spacing w:val="16"/>
          <w:w w:val="105"/>
        </w:rPr>
        <w:t xml:space="preserve"> </w:t>
      </w:r>
      <w:r w:rsidRPr="0099170A">
        <w:rPr>
          <w:rFonts w:cstheme="minorHAnsi"/>
          <w:w w:val="105"/>
        </w:rPr>
        <w:t>RESEA</w:t>
      </w:r>
      <w:r w:rsidRPr="0099170A">
        <w:rPr>
          <w:rFonts w:cstheme="minorHAnsi"/>
          <w:spacing w:val="16"/>
          <w:w w:val="105"/>
        </w:rPr>
        <w:t xml:space="preserve"> </w:t>
      </w:r>
      <w:r w:rsidRPr="0099170A">
        <w:rPr>
          <w:rFonts w:cstheme="minorHAnsi"/>
          <w:w w:val="105"/>
        </w:rPr>
        <w:t>program</w:t>
      </w:r>
      <w:r w:rsidRPr="0099170A">
        <w:rPr>
          <w:rFonts w:cstheme="minorHAnsi"/>
          <w:spacing w:val="16"/>
          <w:w w:val="105"/>
        </w:rPr>
        <w:t xml:space="preserve"> </w:t>
      </w:r>
      <w:r w:rsidRPr="0099170A">
        <w:rPr>
          <w:rFonts w:cstheme="minorHAnsi"/>
          <w:w w:val="105"/>
        </w:rPr>
        <w:t>set</w:t>
      </w:r>
      <w:r w:rsidRPr="0099170A">
        <w:rPr>
          <w:rFonts w:cstheme="minorHAnsi"/>
          <w:spacing w:val="16"/>
          <w:w w:val="105"/>
        </w:rPr>
        <w:t xml:space="preserve"> </w:t>
      </w:r>
      <w:r w:rsidRPr="0099170A">
        <w:rPr>
          <w:rFonts w:cstheme="minorHAnsi"/>
          <w:w w:val="105"/>
        </w:rPr>
        <w:t>goals</w:t>
      </w:r>
      <w:r w:rsidRPr="0099170A">
        <w:rPr>
          <w:rFonts w:cstheme="minorHAnsi"/>
          <w:spacing w:val="16"/>
          <w:w w:val="105"/>
        </w:rPr>
        <w:t xml:space="preserve"> </w:t>
      </w:r>
      <w:r w:rsidRPr="0099170A">
        <w:rPr>
          <w:rFonts w:cstheme="minorHAnsi"/>
          <w:w w:val="105"/>
        </w:rPr>
        <w:t>of</w:t>
      </w:r>
      <w:r w:rsidRPr="0099170A">
        <w:rPr>
          <w:rFonts w:cstheme="minorHAnsi"/>
          <w:spacing w:val="16"/>
          <w:w w:val="105"/>
        </w:rPr>
        <w:t xml:space="preserve"> </w:t>
      </w:r>
      <w:r w:rsidRPr="0099170A">
        <w:rPr>
          <w:rFonts w:cstheme="minorHAnsi"/>
          <w:w w:val="105"/>
        </w:rPr>
        <w:t>the</w:t>
      </w:r>
      <w:r w:rsidRPr="0099170A">
        <w:rPr>
          <w:rFonts w:cstheme="minorHAnsi"/>
          <w:spacing w:val="16"/>
          <w:w w:val="105"/>
        </w:rPr>
        <w:t xml:space="preserve"> </w:t>
      </w:r>
      <w:r w:rsidRPr="0099170A">
        <w:rPr>
          <w:rFonts w:cstheme="minorHAnsi"/>
          <w:w w:val="105"/>
        </w:rPr>
        <w:t>number</w:t>
      </w:r>
      <w:r w:rsidRPr="0099170A">
        <w:rPr>
          <w:rFonts w:cstheme="minorHAnsi"/>
          <w:spacing w:val="16"/>
          <w:w w:val="105"/>
        </w:rPr>
        <w:t xml:space="preserve"> </w:t>
      </w:r>
      <w:r w:rsidRPr="0099170A">
        <w:rPr>
          <w:rFonts w:cstheme="minorHAnsi"/>
          <w:w w:val="105"/>
        </w:rPr>
        <w:t>of</w:t>
      </w:r>
      <w:r w:rsidRPr="0099170A">
        <w:rPr>
          <w:rFonts w:cstheme="minorHAnsi"/>
          <w:spacing w:val="16"/>
          <w:w w:val="105"/>
        </w:rPr>
        <w:t xml:space="preserve"> </w:t>
      </w:r>
      <w:r w:rsidRPr="0099170A">
        <w:rPr>
          <w:rFonts w:cstheme="minorHAnsi"/>
          <w:w w:val="105"/>
        </w:rPr>
        <w:t>claimants</w:t>
      </w:r>
      <w:r w:rsidRPr="0099170A">
        <w:rPr>
          <w:rFonts w:cstheme="minorHAnsi"/>
          <w:spacing w:val="16"/>
          <w:w w:val="105"/>
        </w:rPr>
        <w:t xml:space="preserve"> </w:t>
      </w:r>
      <w:r w:rsidRPr="0099170A">
        <w:rPr>
          <w:rFonts w:cstheme="minorHAnsi"/>
          <w:w w:val="105"/>
        </w:rPr>
        <w:t>to schedule</w:t>
      </w:r>
      <w:r w:rsidRPr="0099170A">
        <w:rPr>
          <w:rFonts w:cstheme="minorHAnsi"/>
          <w:spacing w:val="14"/>
          <w:w w:val="105"/>
        </w:rPr>
        <w:t xml:space="preserve"> </w:t>
      </w:r>
      <w:r w:rsidRPr="0099170A">
        <w:rPr>
          <w:rFonts w:cstheme="minorHAnsi"/>
          <w:w w:val="105"/>
        </w:rPr>
        <w:t>and</w:t>
      </w:r>
      <w:r w:rsidRPr="0099170A">
        <w:rPr>
          <w:rFonts w:cstheme="minorHAnsi"/>
          <w:spacing w:val="14"/>
          <w:w w:val="105"/>
        </w:rPr>
        <w:t xml:space="preserve"> </w:t>
      </w:r>
      <w:r w:rsidRPr="0099170A">
        <w:rPr>
          <w:rFonts w:cstheme="minorHAnsi"/>
          <w:w w:val="105"/>
        </w:rPr>
        <w:t>complete</w:t>
      </w:r>
      <w:r w:rsidRPr="0099170A">
        <w:rPr>
          <w:rFonts w:cstheme="minorHAnsi"/>
          <w:spacing w:val="14"/>
          <w:w w:val="105"/>
        </w:rPr>
        <w:t xml:space="preserve"> </w:t>
      </w:r>
      <w:r w:rsidRPr="0099170A">
        <w:rPr>
          <w:rFonts w:cstheme="minorHAnsi"/>
          <w:w w:val="105"/>
        </w:rPr>
        <w:t>in</w:t>
      </w:r>
      <w:r w:rsidRPr="0099170A">
        <w:rPr>
          <w:rFonts w:cstheme="minorHAnsi"/>
          <w:spacing w:val="14"/>
          <w:w w:val="105"/>
        </w:rPr>
        <w:t xml:space="preserve"> </w:t>
      </w:r>
      <w:r w:rsidRPr="0099170A">
        <w:rPr>
          <w:rFonts w:cstheme="minorHAnsi"/>
          <w:w w:val="105"/>
        </w:rPr>
        <w:t>each</w:t>
      </w:r>
      <w:r w:rsidRPr="0099170A">
        <w:rPr>
          <w:rFonts w:cstheme="minorHAnsi"/>
          <w:spacing w:val="14"/>
          <w:w w:val="105"/>
        </w:rPr>
        <w:t xml:space="preserve"> </w:t>
      </w:r>
      <w:r w:rsidRPr="0099170A">
        <w:rPr>
          <w:rFonts w:cstheme="minorHAnsi"/>
          <w:spacing w:val="-4"/>
          <w:w w:val="105"/>
        </w:rPr>
        <w:t>year.</w:t>
      </w:r>
      <w:r w:rsidRPr="0099170A">
        <w:rPr>
          <w:rFonts w:cstheme="minorHAnsi"/>
          <w:spacing w:val="14"/>
          <w:w w:val="105"/>
        </w:rPr>
        <w:t xml:space="preserve"> </w:t>
      </w:r>
      <w:r w:rsidRPr="0099170A">
        <w:rPr>
          <w:rFonts w:cstheme="minorHAnsi"/>
          <w:w w:val="105"/>
        </w:rPr>
        <w:t>These</w:t>
      </w:r>
      <w:r w:rsidRPr="0099170A">
        <w:rPr>
          <w:rFonts w:cstheme="minorHAnsi"/>
          <w:spacing w:val="14"/>
          <w:w w:val="105"/>
        </w:rPr>
        <w:t xml:space="preserve"> </w:t>
      </w:r>
      <w:r w:rsidRPr="0099170A">
        <w:rPr>
          <w:rFonts w:cstheme="minorHAnsi"/>
          <w:w w:val="105"/>
        </w:rPr>
        <w:t>goals</w:t>
      </w:r>
      <w:r w:rsidRPr="0099170A">
        <w:rPr>
          <w:rFonts w:cstheme="minorHAnsi"/>
          <w:spacing w:val="14"/>
          <w:w w:val="105"/>
        </w:rPr>
        <w:t xml:space="preserve"> </w:t>
      </w:r>
      <w:r w:rsidRPr="0099170A">
        <w:rPr>
          <w:rFonts w:cstheme="minorHAnsi"/>
          <w:w w:val="105"/>
        </w:rPr>
        <w:t>are</w:t>
      </w:r>
      <w:r w:rsidRPr="0099170A">
        <w:rPr>
          <w:rFonts w:cstheme="minorHAnsi"/>
          <w:spacing w:val="14"/>
          <w:w w:val="105"/>
        </w:rPr>
        <w:t xml:space="preserve"> </w:t>
      </w:r>
      <w:r w:rsidRPr="0099170A">
        <w:rPr>
          <w:rFonts w:cstheme="minorHAnsi"/>
          <w:w w:val="105"/>
        </w:rPr>
        <w:t>used</w:t>
      </w:r>
      <w:r w:rsidRPr="0099170A">
        <w:rPr>
          <w:rFonts w:cstheme="minorHAnsi"/>
          <w:spacing w:val="14"/>
          <w:w w:val="105"/>
        </w:rPr>
        <w:t xml:space="preserve"> </w:t>
      </w:r>
      <w:r w:rsidRPr="0099170A">
        <w:rPr>
          <w:rFonts w:cstheme="minorHAnsi"/>
          <w:w w:val="105"/>
        </w:rPr>
        <w:t>to</w:t>
      </w:r>
      <w:r w:rsidRPr="0099170A">
        <w:rPr>
          <w:rFonts w:cstheme="minorHAnsi"/>
          <w:spacing w:val="14"/>
          <w:w w:val="105"/>
        </w:rPr>
        <w:t xml:space="preserve"> </w:t>
      </w:r>
      <w:r w:rsidRPr="0099170A">
        <w:rPr>
          <w:rFonts w:cstheme="minorHAnsi"/>
          <w:w w:val="105"/>
        </w:rPr>
        <w:t>determine</w:t>
      </w:r>
      <w:r w:rsidRPr="0099170A">
        <w:rPr>
          <w:rFonts w:cstheme="minorHAnsi"/>
          <w:spacing w:val="14"/>
          <w:w w:val="105"/>
        </w:rPr>
        <w:t xml:space="preserve"> </w:t>
      </w:r>
      <w:r w:rsidRPr="0099170A">
        <w:rPr>
          <w:rFonts w:cstheme="minorHAnsi"/>
          <w:w w:val="105"/>
        </w:rPr>
        <w:t>how</w:t>
      </w:r>
      <w:r w:rsidRPr="0099170A">
        <w:rPr>
          <w:rFonts w:cstheme="minorHAnsi"/>
          <w:spacing w:val="14"/>
          <w:w w:val="105"/>
        </w:rPr>
        <w:t xml:space="preserve"> </w:t>
      </w:r>
      <w:r w:rsidRPr="0099170A">
        <w:rPr>
          <w:rFonts w:cstheme="minorHAnsi"/>
          <w:w w:val="105"/>
        </w:rPr>
        <w:t>many</w:t>
      </w:r>
      <w:r w:rsidRPr="0099170A">
        <w:rPr>
          <w:rFonts w:cstheme="minorHAnsi"/>
          <w:spacing w:val="14"/>
          <w:w w:val="105"/>
        </w:rPr>
        <w:t xml:space="preserve"> </w:t>
      </w:r>
      <w:r w:rsidRPr="0099170A">
        <w:rPr>
          <w:rFonts w:cstheme="minorHAnsi"/>
          <w:w w:val="105"/>
        </w:rPr>
        <w:t>claimants</w:t>
      </w:r>
      <w:r w:rsidRPr="0099170A">
        <w:rPr>
          <w:rFonts w:cstheme="minorHAnsi"/>
          <w:spacing w:val="14"/>
          <w:w w:val="105"/>
        </w:rPr>
        <w:t xml:space="preserve"> </w:t>
      </w:r>
      <w:r w:rsidRPr="0099170A">
        <w:rPr>
          <w:rFonts w:cstheme="minorHAnsi"/>
          <w:w w:val="105"/>
        </w:rPr>
        <w:t>will be scheduled</w:t>
      </w:r>
      <w:r w:rsidRPr="0099170A">
        <w:rPr>
          <w:rFonts w:cstheme="minorHAnsi"/>
          <w:spacing w:val="19"/>
          <w:w w:val="105"/>
        </w:rPr>
        <w:t xml:space="preserve"> </w:t>
      </w:r>
      <w:r w:rsidRPr="0099170A">
        <w:rPr>
          <w:rFonts w:cstheme="minorHAnsi"/>
          <w:w w:val="105"/>
        </w:rPr>
        <w:t>each</w:t>
      </w:r>
      <w:r w:rsidRPr="0099170A">
        <w:rPr>
          <w:rFonts w:cstheme="minorHAnsi"/>
          <w:spacing w:val="19"/>
          <w:w w:val="105"/>
        </w:rPr>
        <w:t xml:space="preserve"> </w:t>
      </w:r>
      <w:r w:rsidRPr="0099170A">
        <w:rPr>
          <w:rFonts w:cstheme="minorHAnsi"/>
          <w:w w:val="105"/>
        </w:rPr>
        <w:t>week</w:t>
      </w:r>
      <w:r w:rsidRPr="0099170A">
        <w:rPr>
          <w:rFonts w:cstheme="minorHAnsi"/>
          <w:spacing w:val="19"/>
          <w:w w:val="105"/>
        </w:rPr>
        <w:t xml:space="preserve"> </w:t>
      </w:r>
      <w:r w:rsidRPr="0099170A">
        <w:rPr>
          <w:rFonts w:cstheme="minorHAnsi"/>
          <w:w w:val="105"/>
        </w:rPr>
        <w:t>from</w:t>
      </w:r>
      <w:r w:rsidRPr="0099170A">
        <w:rPr>
          <w:rFonts w:cstheme="minorHAnsi"/>
          <w:spacing w:val="19"/>
          <w:w w:val="105"/>
        </w:rPr>
        <w:t xml:space="preserve"> </w:t>
      </w:r>
      <w:r w:rsidRPr="0099170A">
        <w:rPr>
          <w:rFonts w:cstheme="minorHAnsi"/>
          <w:w w:val="105"/>
        </w:rPr>
        <w:t>their</w:t>
      </w:r>
      <w:r w:rsidRPr="0099170A">
        <w:rPr>
          <w:rFonts w:cstheme="minorHAnsi"/>
          <w:spacing w:val="19"/>
          <w:w w:val="105"/>
        </w:rPr>
        <w:t xml:space="preserve"> </w:t>
      </w:r>
      <w:r w:rsidRPr="0099170A">
        <w:rPr>
          <w:rFonts w:cstheme="minorHAnsi"/>
          <w:w w:val="105"/>
        </w:rPr>
        <w:t>respective</w:t>
      </w:r>
      <w:r w:rsidRPr="0099170A">
        <w:rPr>
          <w:rFonts w:cstheme="minorHAnsi"/>
          <w:spacing w:val="19"/>
          <w:w w:val="105"/>
        </w:rPr>
        <w:t xml:space="preserve"> </w:t>
      </w:r>
      <w:r w:rsidRPr="0099170A">
        <w:rPr>
          <w:rFonts w:cstheme="minorHAnsi"/>
          <w:w w:val="105"/>
        </w:rPr>
        <w:t>pools.</w:t>
      </w:r>
      <w:r w:rsidRPr="0099170A">
        <w:rPr>
          <w:rFonts w:cstheme="minorHAnsi"/>
          <w:spacing w:val="19"/>
          <w:w w:val="105"/>
        </w:rPr>
        <w:t xml:space="preserve"> </w:t>
      </w:r>
      <w:r w:rsidRPr="0099170A">
        <w:rPr>
          <w:rFonts w:cstheme="minorHAnsi"/>
          <w:spacing w:val="-3"/>
          <w:w w:val="105"/>
        </w:rPr>
        <w:t>LWDBs</w:t>
      </w:r>
      <w:r w:rsidRPr="0099170A">
        <w:rPr>
          <w:rFonts w:cstheme="minorHAnsi"/>
          <w:spacing w:val="19"/>
          <w:w w:val="105"/>
        </w:rPr>
        <w:t xml:space="preserve"> </w:t>
      </w:r>
      <w:r w:rsidRPr="0099170A">
        <w:rPr>
          <w:rFonts w:cstheme="minorHAnsi"/>
          <w:w w:val="105"/>
        </w:rPr>
        <w:t>operating</w:t>
      </w:r>
      <w:r w:rsidRPr="0099170A">
        <w:rPr>
          <w:rFonts w:cstheme="minorHAnsi"/>
          <w:spacing w:val="19"/>
          <w:w w:val="105"/>
        </w:rPr>
        <w:t xml:space="preserve"> </w:t>
      </w:r>
      <w:r w:rsidRPr="0099170A">
        <w:rPr>
          <w:rFonts w:cstheme="minorHAnsi"/>
          <w:w w:val="105"/>
        </w:rPr>
        <w:t>the</w:t>
      </w:r>
      <w:r w:rsidRPr="0099170A">
        <w:rPr>
          <w:rFonts w:cstheme="minorHAnsi"/>
          <w:spacing w:val="19"/>
          <w:w w:val="105"/>
        </w:rPr>
        <w:t xml:space="preserve"> </w:t>
      </w:r>
      <w:r w:rsidRPr="0099170A">
        <w:rPr>
          <w:rFonts w:cstheme="minorHAnsi"/>
          <w:w w:val="105"/>
        </w:rPr>
        <w:t>PREP</w:t>
      </w:r>
      <w:r w:rsidRPr="0099170A">
        <w:rPr>
          <w:rFonts w:cstheme="minorHAnsi"/>
          <w:spacing w:val="19"/>
          <w:w w:val="105"/>
        </w:rPr>
        <w:t xml:space="preserve"> </w:t>
      </w:r>
      <w:r w:rsidRPr="0099170A">
        <w:rPr>
          <w:rFonts w:cstheme="minorHAnsi"/>
          <w:w w:val="105"/>
        </w:rPr>
        <w:t>program</w:t>
      </w:r>
      <w:r w:rsidRPr="0099170A">
        <w:rPr>
          <w:rFonts w:cstheme="minorHAnsi"/>
          <w:spacing w:val="19"/>
          <w:w w:val="105"/>
        </w:rPr>
        <w:t xml:space="preserve"> </w:t>
      </w:r>
      <w:r w:rsidRPr="0099170A">
        <w:rPr>
          <w:rFonts w:cstheme="minorHAnsi"/>
          <w:w w:val="105"/>
        </w:rPr>
        <w:t>typically</w:t>
      </w:r>
      <w:r w:rsidRPr="0099170A">
        <w:rPr>
          <w:rFonts w:cstheme="minorHAnsi"/>
          <w:spacing w:val="19"/>
          <w:w w:val="105"/>
        </w:rPr>
        <w:t xml:space="preserve"> </w:t>
      </w:r>
      <w:r w:rsidRPr="0099170A">
        <w:rPr>
          <w:rFonts w:cstheme="minorHAnsi"/>
          <w:w w:val="105"/>
        </w:rPr>
        <w:t>schedule</w:t>
      </w:r>
      <w:r w:rsidRPr="0099170A">
        <w:rPr>
          <w:rFonts w:cstheme="minorHAnsi"/>
          <w:spacing w:val="5"/>
          <w:w w:val="105"/>
        </w:rPr>
        <w:t xml:space="preserve"> </w:t>
      </w:r>
      <w:r w:rsidRPr="0099170A">
        <w:rPr>
          <w:rFonts w:cstheme="minorHAnsi"/>
          <w:w w:val="105"/>
        </w:rPr>
        <w:t>their</w:t>
      </w:r>
      <w:r w:rsidRPr="0099170A">
        <w:rPr>
          <w:rFonts w:cstheme="minorHAnsi"/>
          <w:spacing w:val="6"/>
          <w:w w:val="105"/>
        </w:rPr>
        <w:t xml:space="preserve"> </w:t>
      </w:r>
      <w:r w:rsidRPr="0099170A">
        <w:rPr>
          <w:rFonts w:cstheme="minorHAnsi"/>
          <w:w w:val="105"/>
        </w:rPr>
        <w:t>full</w:t>
      </w:r>
      <w:r w:rsidRPr="0099170A">
        <w:rPr>
          <w:rFonts w:cstheme="minorHAnsi"/>
          <w:spacing w:val="6"/>
          <w:w w:val="105"/>
        </w:rPr>
        <w:t xml:space="preserve"> </w:t>
      </w:r>
      <w:r w:rsidRPr="0099170A">
        <w:rPr>
          <w:rFonts w:cstheme="minorHAnsi"/>
          <w:w w:val="105"/>
        </w:rPr>
        <w:t>pool,</w:t>
      </w:r>
      <w:r w:rsidRPr="0099170A">
        <w:rPr>
          <w:rFonts w:cstheme="minorHAnsi"/>
          <w:spacing w:val="6"/>
          <w:w w:val="105"/>
        </w:rPr>
        <w:t xml:space="preserve"> </w:t>
      </w:r>
      <w:r w:rsidRPr="0099170A">
        <w:rPr>
          <w:rFonts w:cstheme="minorHAnsi"/>
          <w:w w:val="105"/>
        </w:rPr>
        <w:t>but</w:t>
      </w:r>
      <w:r w:rsidRPr="0099170A">
        <w:rPr>
          <w:rFonts w:cstheme="minorHAnsi"/>
          <w:spacing w:val="6"/>
          <w:w w:val="105"/>
        </w:rPr>
        <w:t xml:space="preserve"> </w:t>
      </w:r>
      <w:r w:rsidRPr="0099170A">
        <w:rPr>
          <w:rFonts w:cstheme="minorHAnsi"/>
          <w:w w:val="105"/>
        </w:rPr>
        <w:t>have</w:t>
      </w:r>
      <w:r w:rsidRPr="0099170A">
        <w:rPr>
          <w:rFonts w:cstheme="minorHAnsi"/>
          <w:spacing w:val="6"/>
          <w:w w:val="105"/>
        </w:rPr>
        <w:t xml:space="preserve"> no </w:t>
      </w:r>
      <w:r w:rsidRPr="0099170A">
        <w:rPr>
          <w:rFonts w:cstheme="minorHAnsi"/>
          <w:w w:val="105"/>
        </w:rPr>
        <w:t>predetermined</w:t>
      </w:r>
      <w:r w:rsidRPr="0099170A">
        <w:rPr>
          <w:rFonts w:cstheme="minorHAnsi"/>
          <w:spacing w:val="6"/>
          <w:w w:val="105"/>
        </w:rPr>
        <w:t xml:space="preserve"> </w:t>
      </w:r>
      <w:r w:rsidRPr="0099170A">
        <w:rPr>
          <w:rFonts w:cstheme="minorHAnsi"/>
          <w:w w:val="105"/>
        </w:rPr>
        <w:t>numbers</w:t>
      </w:r>
      <w:r w:rsidRPr="0099170A">
        <w:rPr>
          <w:rFonts w:cstheme="minorHAnsi"/>
          <w:spacing w:val="6"/>
          <w:w w:val="105"/>
        </w:rPr>
        <w:t xml:space="preserve"> </w:t>
      </w:r>
      <w:r w:rsidRPr="0099170A">
        <w:rPr>
          <w:rFonts w:cstheme="minorHAnsi"/>
          <w:w w:val="105"/>
        </w:rPr>
        <w:t>to</w:t>
      </w:r>
      <w:r w:rsidRPr="0099170A">
        <w:rPr>
          <w:rFonts w:cstheme="minorHAnsi"/>
          <w:spacing w:val="6"/>
          <w:w w:val="105"/>
        </w:rPr>
        <w:t xml:space="preserve"> </w:t>
      </w:r>
      <w:r w:rsidRPr="0099170A">
        <w:rPr>
          <w:rFonts w:cstheme="minorHAnsi"/>
          <w:w w:val="105"/>
        </w:rPr>
        <w:t>complete.</w:t>
      </w:r>
      <w:r w:rsidRPr="0099170A">
        <w:rPr>
          <w:rFonts w:cstheme="minorHAnsi"/>
          <w:spacing w:val="6"/>
          <w:w w:val="105"/>
        </w:rPr>
        <w:t xml:space="preserve"> </w:t>
      </w:r>
      <w:r w:rsidRPr="0099170A">
        <w:rPr>
          <w:rFonts w:cstheme="minorHAnsi"/>
          <w:w w:val="105"/>
        </w:rPr>
        <w:t>Every</w:t>
      </w:r>
      <w:r w:rsidRPr="0099170A">
        <w:rPr>
          <w:rFonts w:cstheme="minorHAnsi"/>
          <w:spacing w:val="6"/>
          <w:w w:val="105"/>
        </w:rPr>
        <w:t xml:space="preserve"> </w:t>
      </w:r>
      <w:r w:rsidRPr="0099170A">
        <w:rPr>
          <w:rFonts w:cstheme="minorHAnsi"/>
          <w:w w:val="105"/>
        </w:rPr>
        <w:t>Monday</w:t>
      </w:r>
      <w:r w:rsidRPr="0099170A">
        <w:rPr>
          <w:rFonts w:cstheme="minorHAnsi"/>
          <w:spacing w:val="6"/>
          <w:w w:val="105"/>
        </w:rPr>
        <w:t xml:space="preserve"> </w:t>
      </w:r>
      <w:r w:rsidRPr="0099170A">
        <w:rPr>
          <w:rFonts w:cstheme="minorHAnsi"/>
          <w:w w:val="105"/>
        </w:rPr>
        <w:t>night,</w:t>
      </w:r>
      <w:r w:rsidRPr="0099170A">
        <w:rPr>
          <w:rFonts w:cstheme="minorHAnsi"/>
          <w:spacing w:val="6"/>
          <w:w w:val="105"/>
        </w:rPr>
        <w:t xml:space="preserve"> </w:t>
      </w:r>
      <w:r w:rsidRPr="0099170A">
        <w:rPr>
          <w:rFonts w:cstheme="minorHAnsi"/>
          <w:w w:val="105"/>
        </w:rPr>
        <w:t>based</w:t>
      </w:r>
      <w:r w:rsidRPr="0099170A">
        <w:rPr>
          <w:rFonts w:cstheme="minorHAnsi"/>
          <w:spacing w:val="6"/>
          <w:w w:val="105"/>
        </w:rPr>
        <w:t xml:space="preserve"> </w:t>
      </w:r>
      <w:r w:rsidRPr="0099170A">
        <w:rPr>
          <w:rFonts w:cstheme="minorHAnsi"/>
          <w:w w:val="105"/>
        </w:rPr>
        <w:t>on</w:t>
      </w:r>
      <w:r w:rsidRPr="0099170A">
        <w:rPr>
          <w:rFonts w:cstheme="minorHAnsi"/>
          <w:spacing w:val="6"/>
          <w:w w:val="105"/>
        </w:rPr>
        <w:t xml:space="preserve"> </w:t>
      </w:r>
      <w:r w:rsidRPr="0099170A">
        <w:rPr>
          <w:rFonts w:cstheme="minorHAnsi"/>
          <w:w w:val="105"/>
        </w:rPr>
        <w:t>the</w:t>
      </w:r>
      <w:r w:rsidRPr="0099170A">
        <w:rPr>
          <w:rFonts w:cstheme="minorHAnsi"/>
          <w:spacing w:val="-39"/>
          <w:w w:val="105"/>
        </w:rPr>
        <w:t xml:space="preserve"> </w:t>
      </w:r>
      <w:r w:rsidRPr="0099170A">
        <w:rPr>
          <w:rFonts w:cstheme="minorHAnsi"/>
          <w:w w:val="105"/>
        </w:rPr>
        <w:t>number</w:t>
      </w:r>
      <w:r w:rsidRPr="0099170A">
        <w:rPr>
          <w:rFonts w:cstheme="minorHAnsi"/>
          <w:spacing w:val="15"/>
          <w:w w:val="105"/>
        </w:rPr>
        <w:t xml:space="preserve"> </w:t>
      </w:r>
      <w:r w:rsidRPr="0099170A">
        <w:rPr>
          <w:rFonts w:cstheme="minorHAnsi"/>
          <w:w w:val="105"/>
        </w:rPr>
        <w:t>of</w:t>
      </w:r>
      <w:r w:rsidRPr="0099170A">
        <w:rPr>
          <w:rFonts w:cstheme="minorHAnsi"/>
          <w:spacing w:val="15"/>
          <w:w w:val="105"/>
        </w:rPr>
        <w:t xml:space="preserve"> </w:t>
      </w:r>
      <w:r w:rsidRPr="0099170A">
        <w:rPr>
          <w:rFonts w:cstheme="minorHAnsi"/>
          <w:w w:val="105"/>
        </w:rPr>
        <w:t>claimants</w:t>
      </w:r>
      <w:r w:rsidRPr="0099170A">
        <w:rPr>
          <w:rFonts w:cstheme="minorHAnsi"/>
          <w:spacing w:val="15"/>
          <w:w w:val="105"/>
        </w:rPr>
        <w:t xml:space="preserve"> </w:t>
      </w:r>
      <w:r w:rsidRPr="0099170A">
        <w:rPr>
          <w:rFonts w:cstheme="minorHAnsi"/>
          <w:w w:val="105"/>
        </w:rPr>
        <w:t>each</w:t>
      </w:r>
      <w:r w:rsidRPr="0099170A">
        <w:rPr>
          <w:rFonts w:cstheme="minorHAnsi"/>
          <w:spacing w:val="15"/>
          <w:w w:val="105"/>
        </w:rPr>
        <w:t xml:space="preserve"> </w:t>
      </w:r>
      <w:r w:rsidRPr="0099170A">
        <w:rPr>
          <w:rFonts w:cstheme="minorHAnsi"/>
          <w:spacing w:val="-4"/>
          <w:w w:val="105"/>
        </w:rPr>
        <w:t>LWDB</w:t>
      </w:r>
      <w:r w:rsidRPr="0099170A">
        <w:rPr>
          <w:rFonts w:cstheme="minorHAnsi"/>
          <w:spacing w:val="15"/>
          <w:w w:val="105"/>
        </w:rPr>
        <w:t xml:space="preserve"> </w:t>
      </w:r>
      <w:r w:rsidRPr="0099170A">
        <w:rPr>
          <w:rFonts w:cstheme="minorHAnsi"/>
          <w:w w:val="105"/>
        </w:rPr>
        <w:t>determines</w:t>
      </w:r>
      <w:r w:rsidRPr="0099170A">
        <w:rPr>
          <w:rFonts w:cstheme="minorHAnsi"/>
          <w:spacing w:val="15"/>
          <w:w w:val="105"/>
        </w:rPr>
        <w:t xml:space="preserve"> </w:t>
      </w:r>
      <w:r w:rsidRPr="0099170A">
        <w:rPr>
          <w:rFonts w:cstheme="minorHAnsi"/>
          <w:w w:val="105"/>
        </w:rPr>
        <w:t>to</w:t>
      </w:r>
      <w:r w:rsidRPr="0099170A">
        <w:rPr>
          <w:rFonts w:cstheme="minorHAnsi"/>
          <w:spacing w:val="15"/>
          <w:w w:val="105"/>
        </w:rPr>
        <w:t xml:space="preserve"> </w:t>
      </w:r>
      <w:r w:rsidRPr="0099170A">
        <w:rPr>
          <w:rFonts w:cstheme="minorHAnsi"/>
          <w:w w:val="105"/>
        </w:rPr>
        <w:t>schedule,</w:t>
      </w:r>
      <w:r w:rsidRPr="0099170A">
        <w:rPr>
          <w:rFonts w:cstheme="minorHAnsi"/>
          <w:spacing w:val="15"/>
          <w:w w:val="105"/>
        </w:rPr>
        <w:t xml:space="preserve"> </w:t>
      </w:r>
      <w:r w:rsidRPr="0099170A">
        <w:rPr>
          <w:rFonts w:cstheme="minorHAnsi"/>
          <w:w w:val="105"/>
        </w:rPr>
        <w:t>the</w:t>
      </w:r>
      <w:r w:rsidRPr="0099170A">
        <w:rPr>
          <w:rFonts w:cstheme="minorHAnsi"/>
          <w:spacing w:val="15"/>
          <w:w w:val="105"/>
        </w:rPr>
        <w:t xml:space="preserve"> </w:t>
      </w:r>
      <w:r w:rsidRPr="0099170A">
        <w:rPr>
          <w:rFonts w:cstheme="minorHAnsi"/>
          <w:w w:val="105"/>
        </w:rPr>
        <w:t>automated</w:t>
      </w:r>
      <w:r w:rsidRPr="0099170A">
        <w:rPr>
          <w:rFonts w:cstheme="minorHAnsi"/>
          <w:spacing w:val="15"/>
          <w:w w:val="105"/>
        </w:rPr>
        <w:t xml:space="preserve"> </w:t>
      </w:r>
      <w:r w:rsidRPr="0099170A">
        <w:rPr>
          <w:rFonts w:cstheme="minorHAnsi"/>
          <w:w w:val="105"/>
        </w:rPr>
        <w:t>process</w:t>
      </w:r>
      <w:r w:rsidRPr="0099170A">
        <w:rPr>
          <w:rFonts w:cstheme="minorHAnsi"/>
          <w:spacing w:val="15"/>
          <w:w w:val="105"/>
        </w:rPr>
        <w:t xml:space="preserve"> </w:t>
      </w:r>
      <w:r w:rsidRPr="0099170A">
        <w:rPr>
          <w:rFonts w:cstheme="minorHAnsi"/>
          <w:w w:val="105"/>
        </w:rPr>
        <w:t>uses</w:t>
      </w:r>
      <w:r w:rsidRPr="0099170A">
        <w:rPr>
          <w:rFonts w:cstheme="minorHAnsi"/>
          <w:spacing w:val="15"/>
          <w:w w:val="105"/>
        </w:rPr>
        <w:t xml:space="preserve"> </w:t>
      </w:r>
      <w:r w:rsidRPr="0099170A">
        <w:rPr>
          <w:rFonts w:cstheme="minorHAnsi"/>
          <w:w w:val="105"/>
        </w:rPr>
        <w:t>those</w:t>
      </w:r>
      <w:r w:rsidRPr="0099170A">
        <w:rPr>
          <w:rFonts w:cstheme="minorHAnsi"/>
          <w:spacing w:val="15"/>
          <w:w w:val="105"/>
        </w:rPr>
        <w:t xml:space="preserve"> </w:t>
      </w:r>
      <w:r w:rsidRPr="0099170A">
        <w:rPr>
          <w:rFonts w:cstheme="minorHAnsi"/>
          <w:w w:val="105"/>
        </w:rPr>
        <w:t>numbers</w:t>
      </w:r>
      <w:r w:rsidRPr="0099170A">
        <w:rPr>
          <w:rFonts w:cstheme="minorHAnsi"/>
          <w:spacing w:val="15"/>
          <w:w w:val="105"/>
        </w:rPr>
        <w:t xml:space="preserve"> </w:t>
      </w:r>
      <w:r w:rsidRPr="0099170A">
        <w:rPr>
          <w:rFonts w:cstheme="minorHAnsi"/>
          <w:w w:val="105"/>
        </w:rPr>
        <w:t>to</w:t>
      </w:r>
      <w:r w:rsidRPr="0099170A">
        <w:rPr>
          <w:rFonts w:cstheme="minorHAnsi"/>
          <w:spacing w:val="-20"/>
          <w:w w:val="105"/>
        </w:rPr>
        <w:t xml:space="preserve"> </w:t>
      </w:r>
      <w:r w:rsidRPr="0099170A">
        <w:rPr>
          <w:rFonts w:cstheme="minorHAnsi"/>
          <w:w w:val="105"/>
        </w:rPr>
        <w:t>populate</w:t>
      </w:r>
      <w:r w:rsidRPr="0099170A">
        <w:rPr>
          <w:rFonts w:cstheme="minorHAnsi"/>
          <w:spacing w:val="16"/>
          <w:w w:val="105"/>
        </w:rPr>
        <w:t xml:space="preserve"> </w:t>
      </w:r>
      <w:r w:rsidRPr="0099170A">
        <w:rPr>
          <w:rFonts w:cstheme="minorHAnsi"/>
          <w:w w:val="105"/>
        </w:rPr>
        <w:t>events</w:t>
      </w:r>
      <w:r w:rsidR="005E7C49">
        <w:rPr>
          <w:rFonts w:cstheme="minorHAnsi"/>
          <w:w w:val="105"/>
        </w:rPr>
        <w:t xml:space="preserve">. </w:t>
      </w:r>
      <w:r w:rsidRPr="0099170A">
        <w:rPr>
          <w:rFonts w:cstheme="minorHAnsi"/>
          <w:w w:val="105"/>
        </w:rPr>
        <w:t>Once</w:t>
      </w:r>
      <w:r w:rsidRPr="0099170A">
        <w:rPr>
          <w:rFonts w:cstheme="minorHAnsi"/>
          <w:spacing w:val="16"/>
          <w:w w:val="105"/>
        </w:rPr>
        <w:t xml:space="preserve"> </w:t>
      </w:r>
      <w:r w:rsidRPr="0099170A">
        <w:rPr>
          <w:rFonts w:cstheme="minorHAnsi"/>
          <w:w w:val="105"/>
        </w:rPr>
        <w:t>events</w:t>
      </w:r>
      <w:r w:rsidRPr="0099170A">
        <w:rPr>
          <w:rFonts w:cstheme="minorHAnsi"/>
          <w:spacing w:val="16"/>
          <w:w w:val="105"/>
        </w:rPr>
        <w:t xml:space="preserve"> </w:t>
      </w:r>
      <w:r w:rsidRPr="0099170A">
        <w:rPr>
          <w:rFonts w:cstheme="minorHAnsi"/>
          <w:w w:val="105"/>
        </w:rPr>
        <w:t>are</w:t>
      </w:r>
      <w:r w:rsidRPr="0099170A">
        <w:rPr>
          <w:rFonts w:cstheme="minorHAnsi"/>
          <w:spacing w:val="16"/>
          <w:w w:val="105"/>
        </w:rPr>
        <w:t xml:space="preserve"> </w:t>
      </w:r>
      <w:r w:rsidRPr="0099170A">
        <w:rPr>
          <w:rFonts w:cstheme="minorHAnsi"/>
          <w:w w:val="105"/>
        </w:rPr>
        <w:t>populated,</w:t>
      </w:r>
      <w:r w:rsidR="00AA5A73">
        <w:rPr>
          <w:rFonts w:cstheme="minorHAnsi"/>
          <w:spacing w:val="16"/>
          <w:w w:val="105"/>
        </w:rPr>
        <w:t xml:space="preserve"> Employ Florida</w:t>
      </w:r>
      <w:r w:rsidRPr="0099170A">
        <w:rPr>
          <w:rFonts w:cstheme="minorHAnsi"/>
          <w:spacing w:val="16"/>
          <w:w w:val="105"/>
        </w:rPr>
        <w:t xml:space="preserve"> </w:t>
      </w:r>
      <w:r w:rsidRPr="0099170A">
        <w:rPr>
          <w:rFonts w:cstheme="minorHAnsi"/>
          <w:w w:val="105"/>
        </w:rPr>
        <w:t>automatically</w:t>
      </w:r>
      <w:r w:rsidRPr="0099170A">
        <w:rPr>
          <w:rFonts w:cstheme="minorHAnsi"/>
          <w:spacing w:val="16"/>
          <w:w w:val="105"/>
        </w:rPr>
        <w:t xml:space="preserve"> </w:t>
      </w:r>
      <w:r w:rsidRPr="0099170A">
        <w:rPr>
          <w:rFonts w:cstheme="minorHAnsi"/>
          <w:w w:val="105"/>
        </w:rPr>
        <w:t>generates</w:t>
      </w:r>
      <w:r w:rsidRPr="0099170A">
        <w:rPr>
          <w:rFonts w:cstheme="minorHAnsi"/>
          <w:spacing w:val="16"/>
          <w:w w:val="105"/>
        </w:rPr>
        <w:t xml:space="preserve"> </w:t>
      </w:r>
      <w:r w:rsidRPr="0099170A">
        <w:rPr>
          <w:rFonts w:cstheme="minorHAnsi"/>
          <w:w w:val="105"/>
        </w:rPr>
        <w:t>letters</w:t>
      </w:r>
      <w:r w:rsidRPr="0099170A">
        <w:rPr>
          <w:rFonts w:cstheme="minorHAnsi"/>
          <w:spacing w:val="16"/>
          <w:w w:val="105"/>
        </w:rPr>
        <w:t xml:space="preserve"> </w:t>
      </w:r>
      <w:r w:rsidRPr="0099170A">
        <w:rPr>
          <w:rFonts w:cstheme="minorHAnsi"/>
          <w:w w:val="105"/>
        </w:rPr>
        <w:t>for</w:t>
      </w:r>
      <w:r w:rsidRPr="0099170A">
        <w:rPr>
          <w:rFonts w:cstheme="minorHAnsi"/>
          <w:spacing w:val="16"/>
          <w:w w:val="105"/>
        </w:rPr>
        <w:t xml:space="preserve"> </w:t>
      </w:r>
      <w:r w:rsidRPr="0099170A">
        <w:rPr>
          <w:rFonts w:cstheme="minorHAnsi"/>
          <w:w w:val="105"/>
        </w:rPr>
        <w:t>the</w:t>
      </w:r>
      <w:r w:rsidRPr="0099170A">
        <w:rPr>
          <w:rFonts w:cstheme="minorHAnsi"/>
          <w:spacing w:val="16"/>
          <w:w w:val="105"/>
        </w:rPr>
        <w:t xml:space="preserve"> </w:t>
      </w:r>
      <w:r w:rsidRPr="0099170A">
        <w:rPr>
          <w:rFonts w:cstheme="minorHAnsi"/>
          <w:spacing w:val="-4"/>
          <w:w w:val="105"/>
        </w:rPr>
        <w:t>LWDB</w:t>
      </w:r>
      <w:r w:rsidRPr="0099170A">
        <w:rPr>
          <w:rFonts w:cstheme="minorHAnsi"/>
          <w:spacing w:val="16"/>
          <w:w w:val="105"/>
        </w:rPr>
        <w:t xml:space="preserve"> </w:t>
      </w:r>
      <w:r w:rsidRPr="0099170A">
        <w:rPr>
          <w:rFonts w:cstheme="minorHAnsi"/>
          <w:w w:val="105"/>
        </w:rPr>
        <w:t>to</w:t>
      </w:r>
      <w:r w:rsidRPr="0099170A">
        <w:rPr>
          <w:rFonts w:cstheme="minorHAnsi"/>
          <w:spacing w:val="16"/>
          <w:w w:val="105"/>
        </w:rPr>
        <w:t xml:space="preserve"> </w:t>
      </w:r>
      <w:r w:rsidRPr="0099170A">
        <w:rPr>
          <w:rFonts w:cstheme="minorHAnsi"/>
          <w:w w:val="105"/>
        </w:rPr>
        <w:t>send</w:t>
      </w:r>
      <w:r w:rsidRPr="0099170A">
        <w:rPr>
          <w:rFonts w:cstheme="minorHAnsi"/>
          <w:w w:val="111"/>
        </w:rPr>
        <w:t xml:space="preserve"> </w:t>
      </w:r>
      <w:r w:rsidRPr="0099170A">
        <w:rPr>
          <w:rFonts w:cstheme="minorHAnsi"/>
          <w:w w:val="105"/>
        </w:rPr>
        <w:t>to</w:t>
      </w:r>
      <w:r w:rsidRPr="0099170A">
        <w:rPr>
          <w:rFonts w:cstheme="minorHAnsi"/>
          <w:spacing w:val="8"/>
          <w:w w:val="105"/>
        </w:rPr>
        <w:t xml:space="preserve"> </w:t>
      </w:r>
      <w:r w:rsidRPr="0099170A">
        <w:rPr>
          <w:rFonts w:cstheme="minorHAnsi"/>
          <w:w w:val="105"/>
        </w:rPr>
        <w:t>the</w:t>
      </w:r>
      <w:r w:rsidRPr="0099170A">
        <w:rPr>
          <w:rFonts w:cstheme="minorHAnsi"/>
          <w:spacing w:val="8"/>
          <w:w w:val="105"/>
        </w:rPr>
        <w:t xml:space="preserve"> </w:t>
      </w:r>
      <w:r w:rsidRPr="0099170A">
        <w:rPr>
          <w:rFonts w:cstheme="minorHAnsi"/>
          <w:w w:val="105"/>
        </w:rPr>
        <w:t>claimant.</w:t>
      </w:r>
      <w:r w:rsidRPr="0099170A">
        <w:rPr>
          <w:rFonts w:cstheme="minorHAnsi"/>
          <w:spacing w:val="8"/>
          <w:w w:val="105"/>
        </w:rPr>
        <w:t xml:space="preserve"> </w:t>
      </w:r>
      <w:r w:rsidRPr="0099170A">
        <w:rPr>
          <w:rFonts w:cstheme="minorHAnsi"/>
          <w:w w:val="105"/>
        </w:rPr>
        <w:t>These</w:t>
      </w:r>
      <w:r w:rsidRPr="0099170A">
        <w:rPr>
          <w:rFonts w:cstheme="minorHAnsi"/>
          <w:spacing w:val="8"/>
          <w:w w:val="105"/>
        </w:rPr>
        <w:t xml:space="preserve"> </w:t>
      </w:r>
      <w:r w:rsidRPr="0099170A">
        <w:rPr>
          <w:rFonts w:cstheme="minorHAnsi"/>
          <w:w w:val="105"/>
        </w:rPr>
        <w:t>letters</w:t>
      </w:r>
      <w:r w:rsidRPr="0099170A">
        <w:rPr>
          <w:rFonts w:cstheme="minorHAnsi"/>
          <w:spacing w:val="8"/>
          <w:w w:val="105"/>
        </w:rPr>
        <w:t xml:space="preserve"> </w:t>
      </w:r>
      <w:r w:rsidRPr="0099170A">
        <w:rPr>
          <w:rFonts w:cstheme="minorHAnsi"/>
          <w:w w:val="105"/>
        </w:rPr>
        <w:t>are</w:t>
      </w:r>
      <w:r w:rsidRPr="0099170A">
        <w:rPr>
          <w:rFonts w:cstheme="minorHAnsi"/>
          <w:spacing w:val="8"/>
          <w:w w:val="105"/>
        </w:rPr>
        <w:t xml:space="preserve"> </w:t>
      </w:r>
      <w:r w:rsidRPr="0099170A">
        <w:rPr>
          <w:rFonts w:cstheme="minorHAnsi"/>
          <w:w w:val="105"/>
        </w:rPr>
        <w:t>printed</w:t>
      </w:r>
      <w:r w:rsidRPr="0099170A">
        <w:rPr>
          <w:rFonts w:cstheme="minorHAnsi"/>
          <w:spacing w:val="8"/>
          <w:w w:val="105"/>
        </w:rPr>
        <w:t xml:space="preserve"> </w:t>
      </w:r>
      <w:r w:rsidRPr="0099170A">
        <w:rPr>
          <w:rFonts w:cstheme="minorHAnsi"/>
          <w:w w:val="105"/>
        </w:rPr>
        <w:t>by</w:t>
      </w:r>
      <w:r w:rsidRPr="0099170A">
        <w:rPr>
          <w:rFonts w:cstheme="minorHAnsi"/>
          <w:spacing w:val="8"/>
          <w:w w:val="105"/>
        </w:rPr>
        <w:t xml:space="preserve"> </w:t>
      </w:r>
      <w:r w:rsidRPr="0099170A">
        <w:rPr>
          <w:rFonts w:cstheme="minorHAnsi"/>
          <w:w w:val="105"/>
        </w:rPr>
        <w:t>staff</w:t>
      </w:r>
      <w:r w:rsidRPr="0099170A">
        <w:rPr>
          <w:rFonts w:cstheme="minorHAnsi"/>
          <w:spacing w:val="8"/>
          <w:w w:val="105"/>
        </w:rPr>
        <w:t xml:space="preserve"> </w:t>
      </w:r>
      <w:r w:rsidRPr="0099170A">
        <w:rPr>
          <w:rFonts w:cstheme="minorHAnsi"/>
          <w:w w:val="105"/>
        </w:rPr>
        <w:t>and</w:t>
      </w:r>
      <w:r w:rsidRPr="0099170A">
        <w:rPr>
          <w:rFonts w:cstheme="minorHAnsi"/>
          <w:spacing w:val="8"/>
          <w:w w:val="105"/>
        </w:rPr>
        <w:t xml:space="preserve"> </w:t>
      </w:r>
      <w:r w:rsidRPr="0099170A">
        <w:rPr>
          <w:rFonts w:cstheme="minorHAnsi"/>
          <w:w w:val="105"/>
        </w:rPr>
        <w:t>mailed</w:t>
      </w:r>
      <w:r w:rsidRPr="0099170A">
        <w:rPr>
          <w:rFonts w:cstheme="minorHAnsi"/>
          <w:spacing w:val="8"/>
          <w:w w:val="105"/>
        </w:rPr>
        <w:t xml:space="preserve"> </w:t>
      </w:r>
      <w:r w:rsidRPr="0099170A">
        <w:rPr>
          <w:rFonts w:cstheme="minorHAnsi"/>
          <w:w w:val="105"/>
        </w:rPr>
        <w:t>to</w:t>
      </w:r>
      <w:r w:rsidRPr="0099170A">
        <w:rPr>
          <w:rFonts w:cstheme="minorHAnsi"/>
          <w:spacing w:val="8"/>
          <w:w w:val="105"/>
        </w:rPr>
        <w:t xml:space="preserve"> </w:t>
      </w:r>
      <w:r w:rsidRPr="0099170A">
        <w:rPr>
          <w:rFonts w:cstheme="minorHAnsi"/>
          <w:w w:val="105"/>
        </w:rPr>
        <w:t>the</w:t>
      </w:r>
      <w:r w:rsidRPr="0099170A">
        <w:rPr>
          <w:rFonts w:cstheme="minorHAnsi"/>
          <w:spacing w:val="8"/>
          <w:w w:val="105"/>
        </w:rPr>
        <w:t xml:space="preserve"> </w:t>
      </w:r>
      <w:r w:rsidRPr="0099170A">
        <w:rPr>
          <w:rFonts w:cstheme="minorHAnsi"/>
          <w:w w:val="105"/>
        </w:rPr>
        <w:t>claimant</w:t>
      </w:r>
      <w:r w:rsidRPr="0099170A">
        <w:rPr>
          <w:rFonts w:cstheme="minorHAnsi"/>
          <w:spacing w:val="8"/>
          <w:w w:val="105"/>
        </w:rPr>
        <w:t xml:space="preserve"> </w:t>
      </w:r>
      <w:r w:rsidRPr="0099170A">
        <w:rPr>
          <w:rFonts w:cstheme="minorHAnsi"/>
          <w:w w:val="105"/>
        </w:rPr>
        <w:t>at</w:t>
      </w:r>
      <w:r w:rsidRPr="0099170A">
        <w:rPr>
          <w:rFonts w:cstheme="minorHAnsi"/>
          <w:spacing w:val="8"/>
          <w:w w:val="105"/>
        </w:rPr>
        <w:t xml:space="preserve"> </w:t>
      </w:r>
      <w:r w:rsidRPr="0099170A">
        <w:rPr>
          <w:rFonts w:cstheme="minorHAnsi"/>
          <w:w w:val="105"/>
        </w:rPr>
        <w:t>least</w:t>
      </w:r>
      <w:r w:rsidRPr="0099170A">
        <w:rPr>
          <w:rFonts w:cstheme="minorHAnsi"/>
          <w:spacing w:val="8"/>
          <w:w w:val="105"/>
        </w:rPr>
        <w:t xml:space="preserve"> </w:t>
      </w:r>
      <w:r w:rsidRPr="0099170A">
        <w:rPr>
          <w:rFonts w:cstheme="minorHAnsi"/>
          <w:w w:val="105"/>
        </w:rPr>
        <w:t>two</w:t>
      </w:r>
      <w:r w:rsidRPr="0099170A">
        <w:rPr>
          <w:rFonts w:cstheme="minorHAnsi"/>
          <w:spacing w:val="8"/>
          <w:w w:val="105"/>
        </w:rPr>
        <w:t xml:space="preserve"> </w:t>
      </w:r>
      <w:r w:rsidRPr="0099170A">
        <w:rPr>
          <w:rFonts w:cstheme="minorHAnsi"/>
          <w:w w:val="105"/>
        </w:rPr>
        <w:t>weeks</w:t>
      </w:r>
      <w:r w:rsidRPr="0099170A">
        <w:rPr>
          <w:rFonts w:cstheme="minorHAnsi"/>
          <w:spacing w:val="8"/>
          <w:w w:val="105"/>
        </w:rPr>
        <w:t xml:space="preserve"> </w:t>
      </w:r>
      <w:r w:rsidRPr="0099170A">
        <w:rPr>
          <w:rFonts w:cstheme="minorHAnsi"/>
          <w:w w:val="105"/>
        </w:rPr>
        <w:t>in</w:t>
      </w:r>
      <w:r w:rsidRPr="0099170A">
        <w:rPr>
          <w:rFonts w:cstheme="minorHAnsi"/>
          <w:spacing w:val="8"/>
          <w:w w:val="105"/>
        </w:rPr>
        <w:t xml:space="preserve"> </w:t>
      </w:r>
      <w:r w:rsidRPr="0099170A">
        <w:rPr>
          <w:rFonts w:cstheme="minorHAnsi"/>
          <w:w w:val="105"/>
        </w:rPr>
        <w:t>advance</w:t>
      </w:r>
      <w:r w:rsidRPr="0099170A">
        <w:rPr>
          <w:rFonts w:cstheme="minorHAnsi"/>
          <w:w w:val="110"/>
        </w:rPr>
        <w:t xml:space="preserve"> </w:t>
      </w:r>
      <w:r w:rsidRPr="0099170A">
        <w:rPr>
          <w:rFonts w:cstheme="minorHAnsi"/>
          <w:w w:val="105"/>
        </w:rPr>
        <w:t>of their scheduled</w:t>
      </w:r>
      <w:r w:rsidRPr="0099170A">
        <w:rPr>
          <w:rFonts w:cstheme="minorHAnsi"/>
          <w:spacing w:val="26"/>
          <w:w w:val="105"/>
        </w:rPr>
        <w:t xml:space="preserve"> </w:t>
      </w:r>
      <w:r w:rsidRPr="0099170A">
        <w:rPr>
          <w:rFonts w:cstheme="minorHAnsi"/>
          <w:w w:val="105"/>
        </w:rPr>
        <w:t>appointment.</w:t>
      </w:r>
    </w:p>
    <w:p w14:paraId="2206A079" w14:textId="77777777" w:rsidR="00EA7458" w:rsidRPr="0099170A" w:rsidRDefault="00EA7458" w:rsidP="00D63204">
      <w:pPr>
        <w:widowControl w:val="0"/>
        <w:spacing w:before="6" w:after="0" w:line="240" w:lineRule="auto"/>
        <w:ind w:left="107"/>
        <w:rPr>
          <w:rFonts w:cstheme="minorHAnsi"/>
          <w:sz w:val="16"/>
          <w:szCs w:val="16"/>
        </w:rPr>
      </w:pPr>
    </w:p>
    <w:p w14:paraId="7346F8F4" w14:textId="08BF7BA9" w:rsidR="00EA7458" w:rsidRPr="0099170A" w:rsidRDefault="00EA7458" w:rsidP="00D63204">
      <w:pPr>
        <w:widowControl w:val="0"/>
        <w:numPr>
          <w:ilvl w:val="1"/>
          <w:numId w:val="3"/>
        </w:numPr>
        <w:spacing w:after="0" w:line="240" w:lineRule="auto"/>
        <w:outlineLvl w:val="2"/>
        <w:rPr>
          <w:rFonts w:cstheme="minorHAnsi"/>
        </w:rPr>
      </w:pPr>
      <w:r w:rsidRPr="0099170A">
        <w:rPr>
          <w:rFonts w:cstheme="minorHAnsi"/>
          <w:b/>
          <w:bCs/>
          <w:color w:val="295CA3"/>
          <w:w w:val="110"/>
        </w:rPr>
        <w:t>Registration of UI Claimants with the State’s Employment</w:t>
      </w:r>
      <w:r w:rsidRPr="0099170A">
        <w:rPr>
          <w:rFonts w:cstheme="minorHAnsi"/>
          <w:b/>
          <w:bCs/>
          <w:color w:val="295CA3"/>
          <w:spacing w:val="-5"/>
          <w:w w:val="110"/>
        </w:rPr>
        <w:t xml:space="preserve"> </w:t>
      </w:r>
      <w:r w:rsidRPr="0099170A">
        <w:rPr>
          <w:rFonts w:cstheme="minorHAnsi"/>
          <w:b/>
          <w:bCs/>
          <w:color w:val="295CA3"/>
          <w:w w:val="110"/>
        </w:rPr>
        <w:t>Service</w:t>
      </w:r>
    </w:p>
    <w:p w14:paraId="4535E126" w14:textId="49538730" w:rsidR="00EA7458" w:rsidRPr="0099170A" w:rsidRDefault="00A0558C" w:rsidP="00D63204">
      <w:pPr>
        <w:widowControl w:val="0"/>
        <w:spacing w:before="193" w:after="0" w:line="240" w:lineRule="auto"/>
        <w:ind w:left="107"/>
        <w:rPr>
          <w:rFonts w:cstheme="minorHAnsi"/>
        </w:rPr>
      </w:pPr>
      <w:r w:rsidRPr="0099170A">
        <w:rPr>
          <w:rFonts w:cstheme="minorHAnsi"/>
          <w:w w:val="105"/>
        </w:rPr>
        <w:t>In</w:t>
      </w:r>
      <w:r w:rsidRPr="0099170A">
        <w:rPr>
          <w:rFonts w:cstheme="minorHAnsi"/>
          <w:spacing w:val="6"/>
          <w:w w:val="105"/>
        </w:rPr>
        <w:t xml:space="preserve"> </w:t>
      </w:r>
      <w:r w:rsidRPr="0099170A">
        <w:rPr>
          <w:rFonts w:cstheme="minorHAnsi"/>
          <w:w w:val="105"/>
        </w:rPr>
        <w:t>2013,</w:t>
      </w:r>
      <w:r w:rsidRPr="0099170A">
        <w:rPr>
          <w:rFonts w:cstheme="minorHAnsi"/>
          <w:spacing w:val="6"/>
          <w:w w:val="105"/>
        </w:rPr>
        <w:t xml:space="preserve"> </w:t>
      </w:r>
      <w:r w:rsidRPr="0099170A">
        <w:rPr>
          <w:rFonts w:cstheme="minorHAnsi"/>
          <w:w w:val="105"/>
        </w:rPr>
        <w:t>Florida</w:t>
      </w:r>
      <w:r w:rsidRPr="0099170A">
        <w:rPr>
          <w:rFonts w:cstheme="minorHAnsi"/>
          <w:spacing w:val="6"/>
          <w:w w:val="105"/>
        </w:rPr>
        <w:t xml:space="preserve"> </w:t>
      </w:r>
      <w:r w:rsidRPr="0099170A">
        <w:rPr>
          <w:rFonts w:cstheme="minorHAnsi"/>
          <w:w w:val="105"/>
        </w:rPr>
        <w:t>began</w:t>
      </w:r>
      <w:r w:rsidRPr="0099170A">
        <w:rPr>
          <w:rFonts w:cstheme="minorHAnsi"/>
          <w:spacing w:val="6"/>
          <w:w w:val="105"/>
        </w:rPr>
        <w:t xml:space="preserve"> </w:t>
      </w:r>
      <w:r w:rsidRPr="0099170A">
        <w:rPr>
          <w:rFonts w:cstheme="minorHAnsi"/>
          <w:w w:val="105"/>
        </w:rPr>
        <w:t>requiring</w:t>
      </w:r>
      <w:r w:rsidRPr="0099170A">
        <w:rPr>
          <w:rFonts w:cstheme="minorHAnsi"/>
          <w:spacing w:val="6"/>
          <w:w w:val="105"/>
        </w:rPr>
        <w:t xml:space="preserve"> </w:t>
      </w:r>
      <w:r w:rsidRPr="0099170A">
        <w:rPr>
          <w:rFonts w:cstheme="minorHAnsi"/>
          <w:w w:val="105"/>
        </w:rPr>
        <w:t>all</w:t>
      </w:r>
      <w:r w:rsidRPr="0099170A">
        <w:rPr>
          <w:rFonts w:cstheme="minorHAnsi"/>
          <w:spacing w:val="6"/>
          <w:w w:val="105"/>
        </w:rPr>
        <w:t xml:space="preserve"> </w:t>
      </w:r>
      <w:r w:rsidRPr="0099170A">
        <w:rPr>
          <w:rFonts w:cstheme="minorHAnsi"/>
          <w:w w:val="105"/>
        </w:rPr>
        <w:t>claimants</w:t>
      </w:r>
      <w:r w:rsidRPr="0099170A">
        <w:rPr>
          <w:rFonts w:cstheme="minorHAnsi"/>
          <w:spacing w:val="6"/>
          <w:w w:val="105"/>
        </w:rPr>
        <w:t xml:space="preserve"> </w:t>
      </w:r>
      <w:r w:rsidRPr="0099170A">
        <w:rPr>
          <w:rFonts w:cstheme="minorHAnsi"/>
          <w:w w:val="105"/>
        </w:rPr>
        <w:t>who</w:t>
      </w:r>
      <w:r w:rsidRPr="0099170A">
        <w:rPr>
          <w:rFonts w:cstheme="minorHAnsi"/>
          <w:spacing w:val="6"/>
          <w:w w:val="105"/>
        </w:rPr>
        <w:t xml:space="preserve"> </w:t>
      </w:r>
      <w:r w:rsidRPr="0099170A">
        <w:rPr>
          <w:rFonts w:cstheme="minorHAnsi"/>
          <w:w w:val="105"/>
        </w:rPr>
        <w:t>filed</w:t>
      </w:r>
      <w:r w:rsidRPr="0099170A">
        <w:rPr>
          <w:rFonts w:cstheme="minorHAnsi"/>
          <w:spacing w:val="6"/>
          <w:w w:val="105"/>
        </w:rPr>
        <w:t xml:space="preserve"> </w:t>
      </w:r>
      <w:r w:rsidRPr="0099170A">
        <w:rPr>
          <w:rFonts w:cstheme="minorHAnsi"/>
          <w:w w:val="105"/>
        </w:rPr>
        <w:t>an</w:t>
      </w:r>
      <w:r w:rsidRPr="0099170A">
        <w:rPr>
          <w:rFonts w:cstheme="minorHAnsi"/>
          <w:spacing w:val="6"/>
          <w:w w:val="105"/>
        </w:rPr>
        <w:t xml:space="preserve"> </w:t>
      </w:r>
      <w:r w:rsidRPr="0099170A">
        <w:rPr>
          <w:rFonts w:cstheme="minorHAnsi"/>
          <w:w w:val="105"/>
        </w:rPr>
        <w:t>initial</w:t>
      </w:r>
      <w:r w:rsidRPr="0099170A">
        <w:rPr>
          <w:rFonts w:cstheme="minorHAnsi"/>
          <w:spacing w:val="6"/>
          <w:w w:val="105"/>
        </w:rPr>
        <w:t xml:space="preserve"> </w:t>
      </w:r>
      <w:r w:rsidRPr="0099170A">
        <w:rPr>
          <w:rFonts w:cstheme="minorHAnsi"/>
          <w:w w:val="105"/>
        </w:rPr>
        <w:t>claim</w:t>
      </w:r>
      <w:r w:rsidRPr="0099170A">
        <w:rPr>
          <w:rFonts w:cstheme="minorHAnsi"/>
          <w:spacing w:val="6"/>
          <w:w w:val="105"/>
        </w:rPr>
        <w:t xml:space="preserve"> </w:t>
      </w:r>
      <w:r w:rsidRPr="0099170A">
        <w:rPr>
          <w:rFonts w:cstheme="minorHAnsi"/>
          <w:w w:val="105"/>
        </w:rPr>
        <w:t>online</w:t>
      </w:r>
      <w:r w:rsidRPr="0099170A">
        <w:rPr>
          <w:rFonts w:cstheme="minorHAnsi"/>
          <w:spacing w:val="6"/>
          <w:w w:val="105"/>
        </w:rPr>
        <w:t xml:space="preserve"> </w:t>
      </w:r>
      <w:r w:rsidRPr="0099170A">
        <w:rPr>
          <w:rFonts w:cstheme="minorHAnsi"/>
          <w:w w:val="105"/>
        </w:rPr>
        <w:t>to</w:t>
      </w:r>
      <w:r w:rsidRPr="0099170A">
        <w:rPr>
          <w:rFonts w:cstheme="minorHAnsi"/>
          <w:spacing w:val="6"/>
          <w:w w:val="105"/>
        </w:rPr>
        <w:t xml:space="preserve"> </w:t>
      </w:r>
      <w:r w:rsidRPr="0099170A">
        <w:rPr>
          <w:rFonts w:cstheme="minorHAnsi"/>
          <w:w w:val="105"/>
        </w:rPr>
        <w:t>complete</w:t>
      </w:r>
      <w:r w:rsidRPr="0099170A">
        <w:rPr>
          <w:rFonts w:cstheme="minorHAnsi"/>
          <w:spacing w:val="6"/>
          <w:w w:val="105"/>
        </w:rPr>
        <w:t xml:space="preserve"> </w:t>
      </w:r>
      <w:r w:rsidRPr="0099170A">
        <w:rPr>
          <w:rFonts w:cstheme="minorHAnsi"/>
          <w:w w:val="105"/>
        </w:rPr>
        <w:t>a</w:t>
      </w:r>
      <w:r w:rsidRPr="0099170A">
        <w:rPr>
          <w:rFonts w:cstheme="minorHAnsi"/>
          <w:spacing w:val="6"/>
          <w:w w:val="105"/>
        </w:rPr>
        <w:t xml:space="preserve"> </w:t>
      </w:r>
      <w:r w:rsidRPr="0099170A">
        <w:rPr>
          <w:rFonts w:cstheme="minorHAnsi"/>
          <w:w w:val="105"/>
        </w:rPr>
        <w:t>full</w:t>
      </w:r>
      <w:r w:rsidRPr="0099170A">
        <w:rPr>
          <w:rFonts w:cstheme="minorHAnsi"/>
          <w:spacing w:val="6"/>
          <w:w w:val="105"/>
        </w:rPr>
        <w:t xml:space="preserve"> </w:t>
      </w:r>
      <w:r w:rsidRPr="0099170A">
        <w:rPr>
          <w:rFonts w:cstheme="minorHAnsi"/>
          <w:w w:val="105"/>
        </w:rPr>
        <w:t>work</w:t>
      </w:r>
      <w:r w:rsidRPr="0099170A">
        <w:rPr>
          <w:rFonts w:cstheme="minorHAnsi"/>
          <w:spacing w:val="-45"/>
          <w:w w:val="105"/>
        </w:rPr>
        <w:t xml:space="preserve"> </w:t>
      </w:r>
      <w:r w:rsidRPr="0099170A">
        <w:rPr>
          <w:rFonts w:cstheme="minorHAnsi"/>
          <w:w w:val="105"/>
        </w:rPr>
        <w:t>registration in</w:t>
      </w:r>
      <w:r w:rsidR="00AA5A73">
        <w:rPr>
          <w:rFonts w:cstheme="minorHAnsi"/>
          <w:w w:val="105"/>
        </w:rPr>
        <w:t xml:space="preserve"> Employ Florida</w:t>
      </w:r>
      <w:r w:rsidRPr="0099170A">
        <w:rPr>
          <w:rFonts w:cstheme="minorHAnsi"/>
          <w:w w:val="105"/>
        </w:rPr>
        <w:t xml:space="preserve"> prior to receiving benefit payments. The full work registration requires the</w:t>
      </w:r>
      <w:r w:rsidRPr="0099170A">
        <w:rPr>
          <w:rFonts w:cstheme="minorHAnsi"/>
          <w:spacing w:val="46"/>
          <w:w w:val="105"/>
        </w:rPr>
        <w:t xml:space="preserve"> </w:t>
      </w:r>
      <w:r w:rsidRPr="0099170A">
        <w:rPr>
          <w:rFonts w:cstheme="minorHAnsi"/>
          <w:w w:val="105"/>
        </w:rPr>
        <w:t>claimant</w:t>
      </w:r>
      <w:r w:rsidRPr="0099170A">
        <w:rPr>
          <w:rFonts w:cstheme="minorHAnsi"/>
          <w:w w:val="104"/>
        </w:rPr>
        <w:t xml:space="preserve"> </w:t>
      </w:r>
      <w:r w:rsidRPr="0099170A">
        <w:rPr>
          <w:rFonts w:cstheme="minorHAnsi"/>
          <w:w w:val="105"/>
        </w:rPr>
        <w:t>to</w:t>
      </w:r>
      <w:r w:rsidRPr="0099170A">
        <w:rPr>
          <w:rFonts w:cstheme="minorHAnsi"/>
          <w:spacing w:val="11"/>
          <w:w w:val="105"/>
        </w:rPr>
        <w:t xml:space="preserve"> </w:t>
      </w:r>
      <w:r w:rsidRPr="0099170A">
        <w:rPr>
          <w:rFonts w:cstheme="minorHAnsi"/>
          <w:w w:val="105"/>
        </w:rPr>
        <w:t>create</w:t>
      </w:r>
      <w:r w:rsidRPr="0099170A">
        <w:rPr>
          <w:rFonts w:cstheme="minorHAnsi"/>
          <w:spacing w:val="11"/>
          <w:w w:val="105"/>
        </w:rPr>
        <w:t xml:space="preserve"> </w:t>
      </w:r>
      <w:r w:rsidRPr="0099170A">
        <w:rPr>
          <w:rFonts w:cstheme="minorHAnsi"/>
          <w:w w:val="105"/>
        </w:rPr>
        <w:t>an</w:t>
      </w:r>
      <w:r w:rsidRPr="0099170A">
        <w:rPr>
          <w:rFonts w:cstheme="minorHAnsi"/>
          <w:spacing w:val="11"/>
          <w:w w:val="105"/>
        </w:rPr>
        <w:t xml:space="preserve"> </w:t>
      </w:r>
      <w:r w:rsidRPr="0099170A">
        <w:rPr>
          <w:rFonts w:cstheme="minorHAnsi"/>
          <w:w w:val="105"/>
        </w:rPr>
        <w:t>individual</w:t>
      </w:r>
      <w:r w:rsidRPr="0099170A">
        <w:rPr>
          <w:rFonts w:cstheme="minorHAnsi"/>
          <w:spacing w:val="11"/>
          <w:w w:val="105"/>
        </w:rPr>
        <w:t xml:space="preserve"> </w:t>
      </w:r>
      <w:r w:rsidRPr="0099170A">
        <w:rPr>
          <w:rFonts w:cstheme="minorHAnsi"/>
          <w:w w:val="105"/>
        </w:rPr>
        <w:t>account</w:t>
      </w:r>
      <w:r w:rsidRPr="0099170A">
        <w:rPr>
          <w:rFonts w:cstheme="minorHAnsi"/>
          <w:spacing w:val="11"/>
          <w:w w:val="105"/>
        </w:rPr>
        <w:t xml:space="preserve"> </w:t>
      </w:r>
      <w:r w:rsidRPr="0099170A">
        <w:rPr>
          <w:rFonts w:cstheme="minorHAnsi"/>
          <w:w w:val="105"/>
        </w:rPr>
        <w:t>with basic</w:t>
      </w:r>
      <w:r w:rsidRPr="0099170A">
        <w:rPr>
          <w:rFonts w:cstheme="minorHAnsi"/>
          <w:spacing w:val="11"/>
          <w:w w:val="105"/>
        </w:rPr>
        <w:t xml:space="preserve"> </w:t>
      </w:r>
      <w:r w:rsidRPr="0099170A">
        <w:rPr>
          <w:rFonts w:cstheme="minorHAnsi"/>
          <w:w w:val="105"/>
        </w:rPr>
        <w:t>demographic</w:t>
      </w:r>
      <w:r w:rsidRPr="0099170A">
        <w:rPr>
          <w:rFonts w:cstheme="minorHAnsi"/>
          <w:spacing w:val="11"/>
          <w:w w:val="105"/>
        </w:rPr>
        <w:t xml:space="preserve"> </w:t>
      </w:r>
      <w:r w:rsidRPr="0099170A">
        <w:rPr>
          <w:rFonts w:cstheme="minorHAnsi"/>
          <w:w w:val="105"/>
        </w:rPr>
        <w:t>information</w:t>
      </w:r>
      <w:r w:rsidRPr="0099170A">
        <w:rPr>
          <w:rFonts w:cstheme="minorHAnsi"/>
          <w:spacing w:val="11"/>
          <w:w w:val="105"/>
        </w:rPr>
        <w:t xml:space="preserve"> and </w:t>
      </w:r>
      <w:r w:rsidRPr="0099170A">
        <w:rPr>
          <w:rFonts w:cstheme="minorHAnsi"/>
          <w:w w:val="105"/>
        </w:rPr>
        <w:t>an</w:t>
      </w:r>
      <w:r w:rsidRPr="0099170A">
        <w:rPr>
          <w:rFonts w:cstheme="minorHAnsi"/>
          <w:spacing w:val="11"/>
          <w:w w:val="105"/>
        </w:rPr>
        <w:t xml:space="preserve"> </w:t>
      </w:r>
      <w:r w:rsidR="00A03848">
        <w:rPr>
          <w:rFonts w:cstheme="minorHAnsi"/>
          <w:w w:val="105"/>
        </w:rPr>
        <w:t>e</w:t>
      </w:r>
      <w:r w:rsidRPr="0099170A">
        <w:rPr>
          <w:rFonts w:cstheme="minorHAnsi"/>
          <w:w w:val="105"/>
        </w:rPr>
        <w:t>mail</w:t>
      </w:r>
      <w:r w:rsidRPr="0099170A">
        <w:rPr>
          <w:rFonts w:cstheme="minorHAnsi"/>
          <w:spacing w:val="11"/>
          <w:w w:val="105"/>
        </w:rPr>
        <w:t xml:space="preserve"> </w:t>
      </w:r>
      <w:r w:rsidRPr="0099170A">
        <w:rPr>
          <w:rFonts w:cstheme="minorHAnsi"/>
          <w:w w:val="105"/>
        </w:rPr>
        <w:t>address</w:t>
      </w:r>
      <w:r w:rsidRPr="0099170A">
        <w:rPr>
          <w:rFonts w:cstheme="minorHAnsi"/>
          <w:spacing w:val="11"/>
          <w:w w:val="105"/>
        </w:rPr>
        <w:t xml:space="preserve"> </w:t>
      </w:r>
      <w:r w:rsidRPr="0099170A">
        <w:rPr>
          <w:rFonts w:cstheme="minorHAnsi"/>
          <w:w w:val="105"/>
        </w:rPr>
        <w:t>on</w:t>
      </w:r>
      <w:r w:rsidRPr="0099170A">
        <w:rPr>
          <w:rFonts w:cstheme="minorHAnsi"/>
          <w:spacing w:val="11"/>
          <w:w w:val="105"/>
        </w:rPr>
        <w:t xml:space="preserve"> </w:t>
      </w:r>
      <w:r w:rsidRPr="0099170A">
        <w:rPr>
          <w:rFonts w:cstheme="minorHAnsi"/>
          <w:w w:val="105"/>
        </w:rPr>
        <w:t>the</w:t>
      </w:r>
      <w:r w:rsidR="00AA5A73">
        <w:rPr>
          <w:rFonts w:cstheme="minorHAnsi"/>
        </w:rPr>
        <w:t xml:space="preserve"> Employ Florida</w:t>
      </w:r>
      <w:r w:rsidRPr="0099170A">
        <w:rPr>
          <w:rFonts w:cstheme="minorHAnsi"/>
          <w:spacing w:val="13"/>
          <w:w w:val="105"/>
        </w:rPr>
        <w:t xml:space="preserve"> </w:t>
      </w:r>
      <w:r w:rsidRPr="0099170A">
        <w:rPr>
          <w:rFonts w:cstheme="minorHAnsi"/>
          <w:w w:val="105"/>
        </w:rPr>
        <w:t>account. Claimants are required to complete</w:t>
      </w:r>
      <w:r w:rsidRPr="0099170A">
        <w:rPr>
          <w:rFonts w:cstheme="minorHAnsi"/>
          <w:spacing w:val="13"/>
          <w:w w:val="105"/>
        </w:rPr>
        <w:t xml:space="preserve"> </w:t>
      </w:r>
      <w:r w:rsidRPr="0099170A">
        <w:rPr>
          <w:rFonts w:cstheme="minorHAnsi"/>
          <w:w w:val="105"/>
        </w:rPr>
        <w:t>a</w:t>
      </w:r>
      <w:r w:rsidRPr="0099170A">
        <w:rPr>
          <w:rFonts w:cstheme="minorHAnsi"/>
          <w:spacing w:val="13"/>
          <w:w w:val="105"/>
        </w:rPr>
        <w:t xml:space="preserve"> </w:t>
      </w:r>
      <w:r w:rsidRPr="0099170A">
        <w:rPr>
          <w:rFonts w:cstheme="minorHAnsi"/>
          <w:w w:val="105"/>
        </w:rPr>
        <w:t>background</w:t>
      </w:r>
      <w:r w:rsidRPr="0099170A">
        <w:rPr>
          <w:rFonts w:cstheme="minorHAnsi"/>
          <w:spacing w:val="13"/>
          <w:w w:val="105"/>
        </w:rPr>
        <w:t xml:space="preserve"> </w:t>
      </w:r>
      <w:r w:rsidRPr="0099170A">
        <w:rPr>
          <w:rFonts w:cstheme="minorHAnsi"/>
          <w:w w:val="105"/>
        </w:rPr>
        <w:t>wizard</w:t>
      </w:r>
      <w:r w:rsidRPr="0099170A">
        <w:rPr>
          <w:rFonts w:cstheme="minorHAnsi"/>
          <w:spacing w:val="13"/>
          <w:w w:val="105"/>
        </w:rPr>
        <w:t xml:space="preserve"> </w:t>
      </w:r>
      <w:r w:rsidRPr="0099170A">
        <w:rPr>
          <w:rFonts w:cstheme="minorHAnsi"/>
          <w:w w:val="105"/>
        </w:rPr>
        <w:t>to</w:t>
      </w:r>
      <w:r w:rsidRPr="0099170A">
        <w:rPr>
          <w:rFonts w:cstheme="minorHAnsi"/>
          <w:spacing w:val="13"/>
          <w:w w:val="105"/>
        </w:rPr>
        <w:t xml:space="preserve"> </w:t>
      </w:r>
      <w:r w:rsidRPr="0099170A">
        <w:rPr>
          <w:rFonts w:cstheme="minorHAnsi"/>
          <w:w w:val="105"/>
        </w:rPr>
        <w:t>provide education,</w:t>
      </w:r>
      <w:r w:rsidRPr="0099170A">
        <w:rPr>
          <w:rFonts w:cstheme="minorHAnsi"/>
          <w:spacing w:val="13"/>
          <w:w w:val="105"/>
        </w:rPr>
        <w:t xml:space="preserve"> </w:t>
      </w:r>
      <w:r w:rsidRPr="0099170A">
        <w:rPr>
          <w:rFonts w:cstheme="minorHAnsi"/>
          <w:w w:val="105"/>
        </w:rPr>
        <w:t>employment</w:t>
      </w:r>
      <w:r w:rsidRPr="0099170A">
        <w:rPr>
          <w:rFonts w:cstheme="minorHAnsi"/>
          <w:spacing w:val="13"/>
          <w:w w:val="105"/>
        </w:rPr>
        <w:t xml:space="preserve"> </w:t>
      </w:r>
      <w:r w:rsidRPr="0099170A">
        <w:rPr>
          <w:rFonts w:cstheme="minorHAnsi"/>
          <w:w w:val="105"/>
        </w:rPr>
        <w:t>and</w:t>
      </w:r>
      <w:r w:rsidRPr="0099170A">
        <w:rPr>
          <w:rFonts w:cstheme="minorHAnsi"/>
          <w:spacing w:val="13"/>
          <w:w w:val="105"/>
        </w:rPr>
        <w:t xml:space="preserve"> </w:t>
      </w:r>
      <w:r w:rsidRPr="0099170A">
        <w:rPr>
          <w:rFonts w:cstheme="minorHAnsi"/>
          <w:w w:val="105"/>
        </w:rPr>
        <w:t>skills</w:t>
      </w:r>
      <w:r w:rsidRPr="0099170A">
        <w:rPr>
          <w:rFonts w:cstheme="minorHAnsi"/>
          <w:spacing w:val="13"/>
          <w:w w:val="105"/>
        </w:rPr>
        <w:t xml:space="preserve"> </w:t>
      </w:r>
      <w:r w:rsidRPr="0099170A">
        <w:rPr>
          <w:rFonts w:cstheme="minorHAnsi"/>
          <w:w w:val="105"/>
        </w:rPr>
        <w:t>information</w:t>
      </w:r>
      <w:r w:rsidR="00D5537E">
        <w:rPr>
          <w:rFonts w:cstheme="minorHAnsi"/>
          <w:w w:val="105"/>
        </w:rPr>
        <w:t xml:space="preserve"> and</w:t>
      </w:r>
      <w:r w:rsidRPr="0099170A">
        <w:rPr>
          <w:rFonts w:cstheme="minorHAnsi"/>
          <w:w w:val="108"/>
        </w:rPr>
        <w:t xml:space="preserve"> to </w:t>
      </w:r>
      <w:r w:rsidRPr="0099170A">
        <w:rPr>
          <w:rFonts w:cstheme="minorHAnsi"/>
          <w:w w:val="105"/>
        </w:rPr>
        <w:t>post</w:t>
      </w:r>
      <w:r w:rsidRPr="0099170A">
        <w:rPr>
          <w:rFonts w:cstheme="minorHAnsi"/>
          <w:spacing w:val="8"/>
          <w:w w:val="105"/>
        </w:rPr>
        <w:t xml:space="preserve"> </w:t>
      </w:r>
      <w:r w:rsidRPr="0099170A">
        <w:rPr>
          <w:rFonts w:cstheme="minorHAnsi"/>
          <w:w w:val="105"/>
        </w:rPr>
        <w:t>a</w:t>
      </w:r>
      <w:r w:rsidRPr="0099170A">
        <w:rPr>
          <w:rFonts w:cstheme="minorHAnsi"/>
          <w:spacing w:val="8"/>
          <w:w w:val="105"/>
        </w:rPr>
        <w:t xml:space="preserve"> </w:t>
      </w:r>
      <w:r w:rsidRPr="0099170A">
        <w:rPr>
          <w:rFonts w:cstheme="minorHAnsi"/>
          <w:w w:val="105"/>
        </w:rPr>
        <w:t>résumé.</w:t>
      </w:r>
      <w:r w:rsidRPr="0099170A">
        <w:rPr>
          <w:rFonts w:cstheme="minorHAnsi"/>
          <w:spacing w:val="8"/>
          <w:w w:val="105"/>
        </w:rPr>
        <w:t xml:space="preserve"> </w:t>
      </w:r>
      <w:r w:rsidRPr="0099170A">
        <w:rPr>
          <w:rFonts w:cstheme="minorHAnsi"/>
          <w:w w:val="105"/>
        </w:rPr>
        <w:t>The</w:t>
      </w:r>
      <w:r w:rsidRPr="0099170A">
        <w:rPr>
          <w:rFonts w:cstheme="minorHAnsi"/>
          <w:spacing w:val="8"/>
          <w:w w:val="105"/>
        </w:rPr>
        <w:t xml:space="preserve"> </w:t>
      </w:r>
      <w:r w:rsidRPr="0099170A">
        <w:rPr>
          <w:rFonts w:cstheme="minorHAnsi"/>
          <w:w w:val="105"/>
        </w:rPr>
        <w:t>full</w:t>
      </w:r>
      <w:r w:rsidRPr="0099170A">
        <w:rPr>
          <w:rFonts w:cstheme="minorHAnsi"/>
          <w:spacing w:val="8"/>
          <w:w w:val="105"/>
        </w:rPr>
        <w:t xml:space="preserve"> </w:t>
      </w:r>
      <w:r w:rsidRPr="0099170A">
        <w:rPr>
          <w:rFonts w:cstheme="minorHAnsi"/>
          <w:w w:val="105"/>
        </w:rPr>
        <w:t>registration</w:t>
      </w:r>
      <w:r w:rsidRPr="0099170A">
        <w:rPr>
          <w:rFonts w:cstheme="minorHAnsi"/>
          <w:spacing w:val="8"/>
          <w:w w:val="105"/>
        </w:rPr>
        <w:t xml:space="preserve"> </w:t>
      </w:r>
      <w:r w:rsidRPr="0099170A">
        <w:rPr>
          <w:rFonts w:cstheme="minorHAnsi"/>
          <w:w w:val="105"/>
        </w:rPr>
        <w:t>process</w:t>
      </w:r>
      <w:r w:rsidRPr="0099170A">
        <w:rPr>
          <w:rFonts w:cstheme="minorHAnsi"/>
          <w:spacing w:val="8"/>
          <w:w w:val="105"/>
        </w:rPr>
        <w:t xml:space="preserve"> </w:t>
      </w:r>
      <w:r w:rsidRPr="0099170A">
        <w:rPr>
          <w:rFonts w:cstheme="minorHAnsi"/>
          <w:w w:val="105"/>
        </w:rPr>
        <w:t>provides</w:t>
      </w:r>
      <w:r w:rsidRPr="0099170A">
        <w:rPr>
          <w:rFonts w:cstheme="minorHAnsi"/>
          <w:spacing w:val="8"/>
          <w:w w:val="105"/>
        </w:rPr>
        <w:t xml:space="preserve"> </w:t>
      </w:r>
      <w:r w:rsidRPr="0099170A">
        <w:rPr>
          <w:rFonts w:cstheme="minorHAnsi"/>
          <w:spacing w:val="-3"/>
          <w:w w:val="105"/>
        </w:rPr>
        <w:t>LWDBs</w:t>
      </w:r>
      <w:r w:rsidRPr="0099170A">
        <w:rPr>
          <w:rFonts w:cstheme="minorHAnsi"/>
          <w:spacing w:val="8"/>
          <w:w w:val="105"/>
        </w:rPr>
        <w:t xml:space="preserve"> </w:t>
      </w:r>
      <w:r w:rsidRPr="0099170A">
        <w:rPr>
          <w:rFonts w:cstheme="minorHAnsi"/>
          <w:w w:val="105"/>
        </w:rPr>
        <w:t>with</w:t>
      </w:r>
      <w:r w:rsidRPr="0099170A">
        <w:rPr>
          <w:rFonts w:cstheme="minorHAnsi"/>
          <w:spacing w:val="8"/>
          <w:w w:val="105"/>
        </w:rPr>
        <w:t xml:space="preserve"> important </w:t>
      </w:r>
      <w:r w:rsidRPr="0099170A">
        <w:rPr>
          <w:rFonts w:cstheme="minorHAnsi"/>
          <w:w w:val="105"/>
        </w:rPr>
        <w:t>information</w:t>
      </w:r>
      <w:r w:rsidRPr="0099170A">
        <w:rPr>
          <w:rFonts w:cstheme="minorHAnsi"/>
          <w:spacing w:val="8"/>
          <w:w w:val="105"/>
        </w:rPr>
        <w:t xml:space="preserve"> </w:t>
      </w:r>
      <w:r w:rsidRPr="0099170A">
        <w:rPr>
          <w:rFonts w:cstheme="minorHAnsi"/>
          <w:w w:val="105"/>
        </w:rPr>
        <w:t>used to</w:t>
      </w:r>
      <w:r w:rsidRPr="0099170A">
        <w:rPr>
          <w:rFonts w:cstheme="minorHAnsi"/>
          <w:spacing w:val="8"/>
          <w:w w:val="105"/>
        </w:rPr>
        <w:t xml:space="preserve"> </w:t>
      </w:r>
      <w:r w:rsidRPr="0099170A">
        <w:rPr>
          <w:rFonts w:cstheme="minorHAnsi"/>
          <w:w w:val="105"/>
        </w:rPr>
        <w:t>target</w:t>
      </w:r>
      <w:r w:rsidRPr="0099170A">
        <w:rPr>
          <w:rFonts w:cstheme="minorHAnsi"/>
          <w:spacing w:val="-44"/>
          <w:w w:val="105"/>
        </w:rPr>
        <w:t xml:space="preserve"> </w:t>
      </w:r>
      <w:r w:rsidRPr="0099170A">
        <w:rPr>
          <w:rFonts w:cstheme="minorHAnsi"/>
          <w:w w:val="105"/>
        </w:rPr>
        <w:t>reemployment</w:t>
      </w:r>
      <w:r w:rsidRPr="0099170A">
        <w:rPr>
          <w:rFonts w:cstheme="minorHAnsi"/>
          <w:spacing w:val="7"/>
          <w:w w:val="105"/>
        </w:rPr>
        <w:t xml:space="preserve"> </w:t>
      </w:r>
      <w:r w:rsidRPr="0099170A">
        <w:rPr>
          <w:rFonts w:cstheme="minorHAnsi"/>
          <w:w w:val="105"/>
        </w:rPr>
        <w:t>services</w:t>
      </w:r>
      <w:r w:rsidRPr="0099170A">
        <w:rPr>
          <w:rFonts w:cstheme="minorHAnsi"/>
          <w:spacing w:val="7"/>
          <w:w w:val="105"/>
        </w:rPr>
        <w:t xml:space="preserve"> </w:t>
      </w:r>
      <w:r w:rsidRPr="0099170A">
        <w:rPr>
          <w:rFonts w:cstheme="minorHAnsi"/>
          <w:w w:val="105"/>
        </w:rPr>
        <w:t>to</w:t>
      </w:r>
      <w:r w:rsidRPr="0099170A">
        <w:rPr>
          <w:rFonts w:cstheme="minorHAnsi"/>
          <w:spacing w:val="7"/>
          <w:w w:val="105"/>
        </w:rPr>
        <w:t xml:space="preserve"> </w:t>
      </w:r>
      <w:r w:rsidRPr="0099170A">
        <w:rPr>
          <w:rFonts w:cstheme="minorHAnsi"/>
          <w:w w:val="105"/>
        </w:rPr>
        <w:t>claimants.</w:t>
      </w:r>
      <w:r w:rsidRPr="0099170A">
        <w:rPr>
          <w:rFonts w:cstheme="minorHAnsi"/>
          <w:spacing w:val="7"/>
          <w:w w:val="105"/>
        </w:rPr>
        <w:t xml:space="preserve"> </w:t>
      </w:r>
      <w:r w:rsidRPr="0099170A">
        <w:rPr>
          <w:rFonts w:cstheme="minorHAnsi"/>
          <w:w w:val="105"/>
        </w:rPr>
        <w:t>This</w:t>
      </w:r>
      <w:r w:rsidRPr="0099170A">
        <w:rPr>
          <w:rFonts w:cstheme="minorHAnsi"/>
          <w:spacing w:val="7"/>
          <w:w w:val="105"/>
        </w:rPr>
        <w:t xml:space="preserve"> </w:t>
      </w:r>
      <w:r w:rsidRPr="0099170A">
        <w:rPr>
          <w:rFonts w:cstheme="minorHAnsi"/>
          <w:w w:val="105"/>
        </w:rPr>
        <w:t>full</w:t>
      </w:r>
      <w:r w:rsidRPr="0099170A">
        <w:rPr>
          <w:rFonts w:cstheme="minorHAnsi"/>
          <w:spacing w:val="7"/>
          <w:w w:val="105"/>
        </w:rPr>
        <w:t xml:space="preserve"> </w:t>
      </w:r>
      <w:r w:rsidRPr="0099170A">
        <w:rPr>
          <w:rFonts w:cstheme="minorHAnsi"/>
          <w:w w:val="105"/>
        </w:rPr>
        <w:t>work</w:t>
      </w:r>
      <w:r w:rsidRPr="0099170A">
        <w:rPr>
          <w:rFonts w:cstheme="minorHAnsi"/>
          <w:spacing w:val="7"/>
          <w:w w:val="105"/>
        </w:rPr>
        <w:t xml:space="preserve"> </w:t>
      </w:r>
      <w:r w:rsidRPr="0099170A">
        <w:rPr>
          <w:rFonts w:cstheme="minorHAnsi"/>
          <w:w w:val="105"/>
        </w:rPr>
        <w:t>registration</w:t>
      </w:r>
      <w:r w:rsidRPr="0099170A">
        <w:rPr>
          <w:rFonts w:cstheme="minorHAnsi"/>
          <w:spacing w:val="7"/>
          <w:w w:val="105"/>
        </w:rPr>
        <w:t xml:space="preserve"> </w:t>
      </w:r>
      <w:r w:rsidRPr="0099170A">
        <w:rPr>
          <w:rFonts w:cstheme="minorHAnsi"/>
          <w:w w:val="105"/>
        </w:rPr>
        <w:t>must</w:t>
      </w:r>
      <w:r w:rsidRPr="0099170A">
        <w:rPr>
          <w:rFonts w:cstheme="minorHAnsi"/>
          <w:spacing w:val="7"/>
          <w:w w:val="105"/>
        </w:rPr>
        <w:t xml:space="preserve"> </w:t>
      </w:r>
      <w:r w:rsidRPr="0099170A">
        <w:rPr>
          <w:rFonts w:cstheme="minorHAnsi"/>
          <w:w w:val="105"/>
        </w:rPr>
        <w:t>be</w:t>
      </w:r>
      <w:r w:rsidRPr="0099170A">
        <w:rPr>
          <w:rFonts w:cstheme="minorHAnsi"/>
          <w:spacing w:val="7"/>
          <w:w w:val="105"/>
        </w:rPr>
        <w:t xml:space="preserve"> </w:t>
      </w:r>
      <w:r w:rsidRPr="0099170A">
        <w:rPr>
          <w:rFonts w:cstheme="minorHAnsi"/>
          <w:w w:val="105"/>
        </w:rPr>
        <w:t>completed</w:t>
      </w:r>
      <w:r w:rsidRPr="0099170A">
        <w:rPr>
          <w:rFonts w:cstheme="minorHAnsi"/>
          <w:spacing w:val="7"/>
          <w:w w:val="105"/>
        </w:rPr>
        <w:t xml:space="preserve"> </w:t>
      </w:r>
      <w:r w:rsidRPr="0099170A">
        <w:rPr>
          <w:rFonts w:cstheme="minorHAnsi"/>
          <w:w w:val="105"/>
        </w:rPr>
        <w:t>before claimants receive any benefit</w:t>
      </w:r>
      <w:r w:rsidRPr="0099170A">
        <w:rPr>
          <w:rFonts w:cstheme="minorHAnsi"/>
          <w:spacing w:val="22"/>
          <w:w w:val="105"/>
        </w:rPr>
        <w:t xml:space="preserve"> </w:t>
      </w:r>
      <w:r w:rsidRPr="0099170A">
        <w:rPr>
          <w:rFonts w:cstheme="minorHAnsi"/>
          <w:w w:val="105"/>
        </w:rPr>
        <w:t>payments.</w:t>
      </w:r>
    </w:p>
    <w:p w14:paraId="3F0B4652" w14:textId="77777777" w:rsidR="00EA7458" w:rsidRPr="0099170A" w:rsidRDefault="00EA7458" w:rsidP="00D63204">
      <w:pPr>
        <w:widowControl w:val="0"/>
        <w:spacing w:before="6" w:after="0" w:line="240" w:lineRule="auto"/>
        <w:ind w:left="107"/>
        <w:rPr>
          <w:rFonts w:cstheme="minorHAnsi"/>
          <w:sz w:val="16"/>
          <w:szCs w:val="16"/>
        </w:rPr>
      </w:pPr>
    </w:p>
    <w:p w14:paraId="2E9597A0" w14:textId="77777777" w:rsidR="00EA7458" w:rsidRPr="0099170A" w:rsidRDefault="00EA7458" w:rsidP="00D63204">
      <w:pPr>
        <w:widowControl w:val="0"/>
        <w:numPr>
          <w:ilvl w:val="1"/>
          <w:numId w:val="3"/>
        </w:numPr>
        <w:spacing w:after="0" w:line="240" w:lineRule="auto"/>
        <w:outlineLvl w:val="2"/>
        <w:rPr>
          <w:rFonts w:cstheme="minorHAnsi"/>
        </w:rPr>
      </w:pPr>
      <w:r w:rsidRPr="0099170A">
        <w:rPr>
          <w:rFonts w:cstheme="minorHAnsi"/>
          <w:b/>
          <w:bCs/>
          <w:color w:val="295CA3"/>
          <w:w w:val="110"/>
        </w:rPr>
        <w:t>Administration</w:t>
      </w:r>
      <w:r w:rsidRPr="0099170A">
        <w:rPr>
          <w:rFonts w:cstheme="minorHAnsi"/>
          <w:b/>
          <w:bCs/>
          <w:color w:val="295CA3"/>
          <w:spacing w:val="-5"/>
          <w:w w:val="110"/>
        </w:rPr>
        <w:t xml:space="preserve"> </w:t>
      </w:r>
      <w:r w:rsidRPr="0099170A">
        <w:rPr>
          <w:rFonts w:cstheme="minorHAnsi"/>
          <w:b/>
          <w:bCs/>
          <w:color w:val="295CA3"/>
          <w:w w:val="110"/>
        </w:rPr>
        <w:t>of</w:t>
      </w:r>
      <w:r w:rsidRPr="0099170A">
        <w:rPr>
          <w:rFonts w:cstheme="minorHAnsi"/>
          <w:b/>
          <w:bCs/>
          <w:color w:val="295CA3"/>
          <w:spacing w:val="-5"/>
          <w:w w:val="110"/>
        </w:rPr>
        <w:t xml:space="preserve"> </w:t>
      </w:r>
      <w:r w:rsidRPr="0099170A">
        <w:rPr>
          <w:rFonts w:cstheme="minorHAnsi"/>
          <w:b/>
          <w:bCs/>
          <w:color w:val="295CA3"/>
          <w:w w:val="110"/>
        </w:rPr>
        <w:t>the</w:t>
      </w:r>
      <w:r w:rsidRPr="0099170A">
        <w:rPr>
          <w:rFonts w:cstheme="minorHAnsi"/>
          <w:b/>
          <w:bCs/>
          <w:color w:val="295CA3"/>
          <w:spacing w:val="-5"/>
          <w:w w:val="110"/>
        </w:rPr>
        <w:t xml:space="preserve"> </w:t>
      </w:r>
      <w:r w:rsidRPr="0099170A">
        <w:rPr>
          <w:rFonts w:cstheme="minorHAnsi"/>
          <w:b/>
          <w:bCs/>
          <w:color w:val="295CA3"/>
          <w:spacing w:val="-3"/>
          <w:w w:val="110"/>
        </w:rPr>
        <w:t>Work</w:t>
      </w:r>
      <w:r w:rsidRPr="0099170A">
        <w:rPr>
          <w:rFonts w:cstheme="minorHAnsi"/>
          <w:b/>
          <w:bCs/>
          <w:color w:val="295CA3"/>
          <w:spacing w:val="-5"/>
          <w:w w:val="110"/>
        </w:rPr>
        <w:t xml:space="preserve"> Test </w:t>
      </w:r>
      <w:r w:rsidRPr="0099170A">
        <w:rPr>
          <w:rFonts w:cstheme="minorHAnsi"/>
          <w:b/>
          <w:bCs/>
          <w:color w:val="295CA3"/>
          <w:w w:val="110"/>
        </w:rPr>
        <w:t>for</w:t>
      </w:r>
      <w:r w:rsidRPr="0099170A">
        <w:rPr>
          <w:rFonts w:cstheme="minorHAnsi"/>
          <w:b/>
          <w:bCs/>
          <w:color w:val="295CA3"/>
          <w:spacing w:val="-5"/>
          <w:w w:val="110"/>
        </w:rPr>
        <w:t xml:space="preserve"> </w:t>
      </w:r>
      <w:r w:rsidRPr="0099170A">
        <w:rPr>
          <w:rFonts w:cstheme="minorHAnsi"/>
          <w:b/>
          <w:bCs/>
          <w:color w:val="295CA3"/>
          <w:w w:val="110"/>
        </w:rPr>
        <w:t>the</w:t>
      </w:r>
      <w:r w:rsidRPr="0099170A">
        <w:rPr>
          <w:rFonts w:cstheme="minorHAnsi"/>
          <w:b/>
          <w:bCs/>
          <w:color w:val="295CA3"/>
          <w:spacing w:val="-5"/>
          <w:w w:val="110"/>
        </w:rPr>
        <w:t xml:space="preserve"> </w:t>
      </w:r>
      <w:r w:rsidRPr="0099170A">
        <w:rPr>
          <w:rFonts w:cstheme="minorHAnsi"/>
          <w:b/>
          <w:bCs/>
          <w:color w:val="295CA3"/>
          <w:w w:val="110"/>
        </w:rPr>
        <w:t>State</w:t>
      </w:r>
      <w:r w:rsidRPr="0099170A">
        <w:rPr>
          <w:rFonts w:cstheme="minorHAnsi"/>
          <w:b/>
          <w:bCs/>
          <w:color w:val="295CA3"/>
          <w:spacing w:val="-5"/>
          <w:w w:val="110"/>
        </w:rPr>
        <w:t xml:space="preserve"> </w:t>
      </w:r>
      <w:r w:rsidRPr="0099170A">
        <w:rPr>
          <w:rFonts w:cstheme="minorHAnsi"/>
          <w:b/>
          <w:bCs/>
          <w:color w:val="295CA3"/>
          <w:w w:val="110"/>
        </w:rPr>
        <w:t>Unemployment</w:t>
      </w:r>
      <w:r w:rsidRPr="0099170A">
        <w:rPr>
          <w:rFonts w:cstheme="minorHAnsi"/>
          <w:b/>
          <w:bCs/>
          <w:color w:val="295CA3"/>
          <w:spacing w:val="-5"/>
          <w:w w:val="110"/>
        </w:rPr>
        <w:t xml:space="preserve"> </w:t>
      </w:r>
      <w:r w:rsidRPr="0099170A">
        <w:rPr>
          <w:rFonts w:cstheme="minorHAnsi"/>
          <w:b/>
          <w:bCs/>
          <w:color w:val="295CA3"/>
          <w:w w:val="110"/>
        </w:rPr>
        <w:t>Compensation</w:t>
      </w:r>
      <w:r w:rsidRPr="0099170A">
        <w:rPr>
          <w:rFonts w:cstheme="minorHAnsi"/>
          <w:b/>
          <w:bCs/>
          <w:color w:val="295CA3"/>
          <w:spacing w:val="-5"/>
          <w:w w:val="110"/>
        </w:rPr>
        <w:t xml:space="preserve"> </w:t>
      </w:r>
      <w:r w:rsidRPr="0099170A">
        <w:rPr>
          <w:rFonts w:cstheme="minorHAnsi"/>
          <w:b/>
          <w:bCs/>
          <w:color w:val="295CA3"/>
          <w:w w:val="110"/>
        </w:rPr>
        <w:t>System</w:t>
      </w:r>
    </w:p>
    <w:p w14:paraId="3BE694D1" w14:textId="722E50C2" w:rsidR="00EA7458" w:rsidRPr="0099170A" w:rsidRDefault="00EA7458" w:rsidP="00D63204">
      <w:pPr>
        <w:widowControl w:val="0"/>
        <w:spacing w:before="193" w:after="0" w:line="264" w:lineRule="exact"/>
        <w:ind w:left="107"/>
        <w:rPr>
          <w:rFonts w:cstheme="minorHAnsi"/>
        </w:rPr>
      </w:pPr>
      <w:r w:rsidRPr="0099170A">
        <w:rPr>
          <w:rFonts w:cstheme="minorHAnsi"/>
          <w:w w:val="105"/>
        </w:rPr>
        <w:t>Section</w:t>
      </w:r>
      <w:r w:rsidRPr="0099170A">
        <w:rPr>
          <w:rFonts w:cstheme="minorHAnsi"/>
          <w:spacing w:val="18"/>
          <w:w w:val="105"/>
        </w:rPr>
        <w:t xml:space="preserve"> </w:t>
      </w:r>
      <w:r w:rsidRPr="0099170A">
        <w:rPr>
          <w:rFonts w:cstheme="minorHAnsi"/>
          <w:w w:val="105"/>
        </w:rPr>
        <w:t>443.091,</w:t>
      </w:r>
      <w:r w:rsidRPr="0099170A">
        <w:rPr>
          <w:rFonts w:cstheme="minorHAnsi"/>
          <w:spacing w:val="18"/>
          <w:w w:val="105"/>
        </w:rPr>
        <w:t xml:space="preserve"> </w:t>
      </w:r>
      <w:r w:rsidRPr="0099170A">
        <w:rPr>
          <w:rFonts w:cstheme="minorHAnsi"/>
          <w:w w:val="105"/>
        </w:rPr>
        <w:t>Florida</w:t>
      </w:r>
      <w:r w:rsidRPr="0099170A">
        <w:rPr>
          <w:rFonts w:cstheme="minorHAnsi"/>
          <w:spacing w:val="18"/>
          <w:w w:val="105"/>
        </w:rPr>
        <w:t xml:space="preserve"> </w:t>
      </w:r>
      <w:r w:rsidRPr="0099170A">
        <w:rPr>
          <w:rFonts w:cstheme="minorHAnsi"/>
          <w:w w:val="105"/>
        </w:rPr>
        <w:t>Statutes</w:t>
      </w:r>
      <w:r w:rsidRPr="0099170A">
        <w:rPr>
          <w:rFonts w:cstheme="minorHAnsi"/>
          <w:spacing w:val="18"/>
          <w:w w:val="105"/>
        </w:rPr>
        <w:t xml:space="preserve"> </w:t>
      </w:r>
      <w:r w:rsidRPr="0099170A">
        <w:rPr>
          <w:rFonts w:cstheme="minorHAnsi"/>
          <w:w w:val="105"/>
        </w:rPr>
        <w:t>requires</w:t>
      </w:r>
      <w:r w:rsidRPr="0099170A">
        <w:rPr>
          <w:rFonts w:cstheme="minorHAnsi"/>
          <w:spacing w:val="18"/>
          <w:w w:val="105"/>
        </w:rPr>
        <w:t xml:space="preserve"> </w:t>
      </w:r>
      <w:r w:rsidRPr="0099170A">
        <w:rPr>
          <w:rFonts w:cstheme="minorHAnsi"/>
          <w:w w:val="105"/>
        </w:rPr>
        <w:t>all</w:t>
      </w:r>
      <w:r w:rsidRPr="0099170A">
        <w:rPr>
          <w:rFonts w:cstheme="minorHAnsi"/>
          <w:spacing w:val="18"/>
          <w:w w:val="105"/>
        </w:rPr>
        <w:t xml:space="preserve"> </w:t>
      </w:r>
      <w:r w:rsidRPr="0099170A">
        <w:rPr>
          <w:rFonts w:cstheme="minorHAnsi"/>
          <w:w w:val="105"/>
        </w:rPr>
        <w:t>reemployment</w:t>
      </w:r>
      <w:r w:rsidRPr="0099170A">
        <w:rPr>
          <w:rFonts w:cstheme="minorHAnsi"/>
          <w:spacing w:val="18"/>
          <w:w w:val="105"/>
        </w:rPr>
        <w:t xml:space="preserve"> </w:t>
      </w:r>
      <w:r w:rsidRPr="0099170A">
        <w:rPr>
          <w:rFonts w:cstheme="minorHAnsi"/>
          <w:w w:val="105"/>
        </w:rPr>
        <w:t>assistance</w:t>
      </w:r>
      <w:r w:rsidRPr="0099170A">
        <w:rPr>
          <w:rFonts w:cstheme="minorHAnsi"/>
          <w:spacing w:val="18"/>
          <w:w w:val="105"/>
        </w:rPr>
        <w:t xml:space="preserve"> </w:t>
      </w:r>
      <w:r w:rsidRPr="0099170A">
        <w:rPr>
          <w:rFonts w:cstheme="minorHAnsi"/>
          <w:w w:val="105"/>
        </w:rPr>
        <w:t>claimants</w:t>
      </w:r>
      <w:r w:rsidRPr="0099170A">
        <w:rPr>
          <w:rFonts w:cstheme="minorHAnsi"/>
          <w:spacing w:val="18"/>
          <w:w w:val="105"/>
        </w:rPr>
        <w:t xml:space="preserve"> </w:t>
      </w:r>
      <w:r w:rsidRPr="0099170A">
        <w:rPr>
          <w:rFonts w:cstheme="minorHAnsi"/>
          <w:w w:val="105"/>
        </w:rPr>
        <w:t>to</w:t>
      </w:r>
      <w:r w:rsidRPr="0099170A">
        <w:rPr>
          <w:rFonts w:cstheme="minorHAnsi"/>
          <w:spacing w:val="18"/>
          <w:w w:val="105"/>
        </w:rPr>
        <w:t xml:space="preserve"> </w:t>
      </w:r>
      <w:r w:rsidRPr="0099170A">
        <w:rPr>
          <w:rFonts w:cstheme="minorHAnsi"/>
          <w:w w:val="105"/>
        </w:rPr>
        <w:t>engage</w:t>
      </w:r>
      <w:r w:rsidRPr="0099170A">
        <w:rPr>
          <w:rFonts w:cstheme="minorHAnsi"/>
          <w:spacing w:val="18"/>
          <w:w w:val="105"/>
        </w:rPr>
        <w:t xml:space="preserve"> </w:t>
      </w:r>
      <w:r w:rsidRPr="0099170A">
        <w:rPr>
          <w:rFonts w:cstheme="minorHAnsi"/>
          <w:w w:val="105"/>
        </w:rPr>
        <w:t>in</w:t>
      </w:r>
      <w:r w:rsidRPr="0099170A">
        <w:rPr>
          <w:rFonts w:cstheme="minorHAnsi"/>
          <w:spacing w:val="18"/>
          <w:w w:val="105"/>
        </w:rPr>
        <w:t xml:space="preserve"> </w:t>
      </w:r>
      <w:r w:rsidRPr="0099170A">
        <w:rPr>
          <w:rFonts w:cstheme="minorHAnsi"/>
          <w:w w:val="105"/>
        </w:rPr>
        <w:t>systematic</w:t>
      </w:r>
      <w:r w:rsidRPr="0099170A">
        <w:rPr>
          <w:rFonts w:cstheme="minorHAnsi"/>
          <w:spacing w:val="-50"/>
          <w:w w:val="105"/>
        </w:rPr>
        <w:t xml:space="preserve"> </w:t>
      </w:r>
      <w:r w:rsidRPr="0099170A">
        <w:rPr>
          <w:rFonts w:cstheme="minorHAnsi"/>
          <w:w w:val="105"/>
        </w:rPr>
        <w:t>and</w:t>
      </w:r>
      <w:r w:rsidRPr="0099170A">
        <w:rPr>
          <w:rFonts w:cstheme="minorHAnsi"/>
          <w:spacing w:val="14"/>
          <w:w w:val="105"/>
        </w:rPr>
        <w:t xml:space="preserve"> </w:t>
      </w:r>
      <w:r w:rsidRPr="0099170A">
        <w:rPr>
          <w:rFonts w:cstheme="minorHAnsi"/>
          <w:w w:val="105"/>
        </w:rPr>
        <w:t>sustained</w:t>
      </w:r>
      <w:r w:rsidRPr="0099170A">
        <w:rPr>
          <w:rFonts w:cstheme="minorHAnsi"/>
          <w:spacing w:val="14"/>
          <w:w w:val="105"/>
        </w:rPr>
        <w:t xml:space="preserve"> </w:t>
      </w:r>
      <w:r w:rsidRPr="0099170A">
        <w:rPr>
          <w:rFonts w:cstheme="minorHAnsi"/>
          <w:w w:val="105"/>
        </w:rPr>
        <w:t>efforts</w:t>
      </w:r>
      <w:r w:rsidRPr="0099170A">
        <w:rPr>
          <w:rFonts w:cstheme="minorHAnsi"/>
          <w:spacing w:val="14"/>
          <w:w w:val="105"/>
        </w:rPr>
        <w:t xml:space="preserve"> </w:t>
      </w:r>
      <w:r w:rsidRPr="0099170A">
        <w:rPr>
          <w:rFonts w:cstheme="minorHAnsi"/>
          <w:w w:val="105"/>
        </w:rPr>
        <w:t>to</w:t>
      </w:r>
      <w:r w:rsidRPr="0099170A">
        <w:rPr>
          <w:rFonts w:cstheme="minorHAnsi"/>
          <w:spacing w:val="14"/>
          <w:w w:val="105"/>
        </w:rPr>
        <w:t xml:space="preserve"> </w:t>
      </w:r>
      <w:r w:rsidRPr="0099170A">
        <w:rPr>
          <w:rFonts w:cstheme="minorHAnsi"/>
          <w:w w:val="105"/>
        </w:rPr>
        <w:t>find</w:t>
      </w:r>
      <w:r w:rsidRPr="0099170A">
        <w:rPr>
          <w:rFonts w:cstheme="minorHAnsi"/>
          <w:spacing w:val="14"/>
          <w:w w:val="105"/>
        </w:rPr>
        <w:t xml:space="preserve"> </w:t>
      </w:r>
      <w:r w:rsidRPr="0099170A">
        <w:rPr>
          <w:rFonts w:cstheme="minorHAnsi"/>
          <w:w w:val="105"/>
        </w:rPr>
        <w:t>work,</w:t>
      </w:r>
      <w:r w:rsidRPr="0099170A">
        <w:rPr>
          <w:rFonts w:cstheme="minorHAnsi"/>
          <w:spacing w:val="14"/>
          <w:w w:val="105"/>
        </w:rPr>
        <w:t xml:space="preserve"> </w:t>
      </w:r>
      <w:r w:rsidRPr="0099170A">
        <w:rPr>
          <w:rFonts w:cstheme="minorHAnsi"/>
          <w:w w:val="105"/>
        </w:rPr>
        <w:t>including</w:t>
      </w:r>
      <w:r w:rsidRPr="0099170A">
        <w:rPr>
          <w:rFonts w:cstheme="minorHAnsi"/>
          <w:spacing w:val="14"/>
          <w:w w:val="105"/>
        </w:rPr>
        <w:t xml:space="preserve"> </w:t>
      </w:r>
      <w:r w:rsidRPr="0099170A">
        <w:rPr>
          <w:rFonts w:cstheme="minorHAnsi"/>
          <w:w w:val="105"/>
        </w:rPr>
        <w:t>contacting</w:t>
      </w:r>
      <w:r w:rsidRPr="0099170A">
        <w:rPr>
          <w:rFonts w:cstheme="minorHAnsi"/>
          <w:spacing w:val="14"/>
          <w:w w:val="105"/>
        </w:rPr>
        <w:t xml:space="preserve"> </w:t>
      </w:r>
      <w:r w:rsidRPr="0099170A">
        <w:rPr>
          <w:rFonts w:cstheme="minorHAnsi"/>
          <w:w w:val="105"/>
        </w:rPr>
        <w:t>at</w:t>
      </w:r>
      <w:r w:rsidRPr="0099170A">
        <w:rPr>
          <w:rFonts w:cstheme="minorHAnsi"/>
          <w:spacing w:val="14"/>
          <w:w w:val="105"/>
        </w:rPr>
        <w:t xml:space="preserve"> </w:t>
      </w:r>
      <w:r w:rsidRPr="0099170A">
        <w:rPr>
          <w:rFonts w:cstheme="minorHAnsi"/>
          <w:w w:val="105"/>
        </w:rPr>
        <w:t>least</w:t>
      </w:r>
      <w:r w:rsidRPr="0099170A">
        <w:rPr>
          <w:rFonts w:cstheme="minorHAnsi"/>
          <w:spacing w:val="14"/>
          <w:w w:val="105"/>
        </w:rPr>
        <w:t xml:space="preserve"> </w:t>
      </w:r>
      <w:r w:rsidRPr="0099170A">
        <w:rPr>
          <w:rFonts w:cstheme="minorHAnsi"/>
          <w:w w:val="105"/>
        </w:rPr>
        <w:t>five</w:t>
      </w:r>
      <w:r w:rsidRPr="0099170A">
        <w:rPr>
          <w:rFonts w:cstheme="minorHAnsi"/>
          <w:spacing w:val="14"/>
          <w:w w:val="105"/>
        </w:rPr>
        <w:t xml:space="preserve"> </w:t>
      </w:r>
      <w:r w:rsidRPr="0099170A">
        <w:rPr>
          <w:rFonts w:cstheme="minorHAnsi"/>
          <w:w w:val="105"/>
        </w:rPr>
        <w:t>prospective</w:t>
      </w:r>
      <w:r w:rsidRPr="0099170A">
        <w:rPr>
          <w:rFonts w:cstheme="minorHAnsi"/>
          <w:spacing w:val="14"/>
          <w:w w:val="105"/>
        </w:rPr>
        <w:t xml:space="preserve"> </w:t>
      </w:r>
      <w:r w:rsidRPr="0099170A">
        <w:rPr>
          <w:rFonts w:cstheme="minorHAnsi"/>
          <w:w w:val="105"/>
        </w:rPr>
        <w:t>employers</w:t>
      </w:r>
      <w:r w:rsidRPr="0099170A">
        <w:rPr>
          <w:rFonts w:cstheme="minorHAnsi"/>
          <w:spacing w:val="14"/>
          <w:w w:val="105"/>
        </w:rPr>
        <w:t xml:space="preserve"> </w:t>
      </w:r>
      <w:r w:rsidRPr="0099170A">
        <w:rPr>
          <w:rFonts w:cstheme="minorHAnsi"/>
          <w:w w:val="105"/>
        </w:rPr>
        <w:t>for</w:t>
      </w:r>
      <w:r w:rsidRPr="0099170A">
        <w:rPr>
          <w:rFonts w:cstheme="minorHAnsi"/>
          <w:spacing w:val="14"/>
          <w:w w:val="105"/>
        </w:rPr>
        <w:t xml:space="preserve"> </w:t>
      </w:r>
      <w:r w:rsidRPr="0099170A">
        <w:rPr>
          <w:rFonts w:cstheme="minorHAnsi"/>
          <w:w w:val="105"/>
        </w:rPr>
        <w:t>each</w:t>
      </w:r>
      <w:r w:rsidRPr="0099170A">
        <w:rPr>
          <w:rFonts w:cstheme="minorHAnsi"/>
          <w:spacing w:val="14"/>
          <w:w w:val="105"/>
        </w:rPr>
        <w:t xml:space="preserve"> </w:t>
      </w:r>
      <w:r w:rsidRPr="0099170A">
        <w:rPr>
          <w:rFonts w:cstheme="minorHAnsi"/>
          <w:w w:val="105"/>
        </w:rPr>
        <w:t>week</w:t>
      </w:r>
      <w:r w:rsidRPr="0099170A">
        <w:rPr>
          <w:rFonts w:cstheme="minorHAnsi"/>
          <w:w w:val="109"/>
        </w:rPr>
        <w:t xml:space="preserve"> </w:t>
      </w:r>
      <w:r w:rsidRPr="0099170A">
        <w:rPr>
          <w:rFonts w:cstheme="minorHAnsi"/>
          <w:w w:val="105"/>
        </w:rPr>
        <w:t>of</w:t>
      </w:r>
      <w:r w:rsidRPr="0099170A">
        <w:rPr>
          <w:rFonts w:cstheme="minorHAnsi"/>
          <w:spacing w:val="11"/>
          <w:w w:val="105"/>
        </w:rPr>
        <w:t xml:space="preserve"> </w:t>
      </w:r>
      <w:r w:rsidRPr="0099170A">
        <w:rPr>
          <w:rFonts w:cstheme="minorHAnsi"/>
          <w:w w:val="105"/>
        </w:rPr>
        <w:t>unemployment.</w:t>
      </w:r>
      <w:r w:rsidRPr="0099170A">
        <w:rPr>
          <w:rFonts w:cstheme="minorHAnsi"/>
          <w:spacing w:val="11"/>
          <w:w w:val="105"/>
        </w:rPr>
        <w:t xml:space="preserve"> </w:t>
      </w:r>
      <w:r w:rsidRPr="0099170A">
        <w:rPr>
          <w:rFonts w:cstheme="minorHAnsi"/>
          <w:w w:val="105"/>
        </w:rPr>
        <w:t>In</w:t>
      </w:r>
      <w:r w:rsidRPr="0099170A">
        <w:rPr>
          <w:rFonts w:cstheme="minorHAnsi"/>
          <w:spacing w:val="11"/>
          <w:w w:val="105"/>
        </w:rPr>
        <w:t xml:space="preserve"> </w:t>
      </w:r>
      <w:r w:rsidRPr="0099170A">
        <w:rPr>
          <w:rFonts w:cstheme="minorHAnsi"/>
          <w:w w:val="105"/>
        </w:rPr>
        <w:t>small</w:t>
      </w:r>
      <w:r w:rsidRPr="0099170A">
        <w:rPr>
          <w:rFonts w:cstheme="minorHAnsi"/>
          <w:spacing w:val="11"/>
          <w:w w:val="105"/>
        </w:rPr>
        <w:t xml:space="preserve"> </w:t>
      </w:r>
      <w:r w:rsidRPr="0099170A">
        <w:rPr>
          <w:rFonts w:cstheme="minorHAnsi"/>
          <w:w w:val="105"/>
        </w:rPr>
        <w:t>counties</w:t>
      </w:r>
      <w:r w:rsidRPr="0099170A">
        <w:rPr>
          <w:rFonts w:cstheme="minorHAnsi"/>
          <w:spacing w:val="11"/>
          <w:w w:val="105"/>
        </w:rPr>
        <w:t xml:space="preserve"> </w:t>
      </w:r>
      <w:r w:rsidRPr="0099170A">
        <w:rPr>
          <w:rFonts w:cstheme="minorHAnsi"/>
          <w:w w:val="105"/>
        </w:rPr>
        <w:t>–</w:t>
      </w:r>
      <w:r w:rsidRPr="0099170A">
        <w:rPr>
          <w:rFonts w:cstheme="minorHAnsi"/>
          <w:spacing w:val="11"/>
          <w:w w:val="105"/>
        </w:rPr>
        <w:t xml:space="preserve"> </w:t>
      </w:r>
      <w:r w:rsidRPr="0099170A">
        <w:rPr>
          <w:rFonts w:cstheme="minorHAnsi"/>
          <w:w w:val="105"/>
        </w:rPr>
        <w:t>defined</w:t>
      </w:r>
      <w:r w:rsidRPr="0099170A">
        <w:rPr>
          <w:rFonts w:cstheme="minorHAnsi"/>
          <w:spacing w:val="11"/>
          <w:w w:val="105"/>
        </w:rPr>
        <w:t xml:space="preserve"> </w:t>
      </w:r>
      <w:r w:rsidRPr="0099170A">
        <w:rPr>
          <w:rFonts w:cstheme="minorHAnsi"/>
          <w:w w:val="105"/>
        </w:rPr>
        <w:t>as</w:t>
      </w:r>
      <w:r w:rsidRPr="0099170A">
        <w:rPr>
          <w:rFonts w:cstheme="minorHAnsi"/>
          <w:spacing w:val="11"/>
          <w:w w:val="105"/>
        </w:rPr>
        <w:t xml:space="preserve"> </w:t>
      </w:r>
      <w:r w:rsidRPr="0099170A">
        <w:rPr>
          <w:rFonts w:cstheme="minorHAnsi"/>
          <w:w w:val="105"/>
        </w:rPr>
        <w:t>having</w:t>
      </w:r>
      <w:r w:rsidRPr="0099170A">
        <w:rPr>
          <w:rFonts w:cstheme="minorHAnsi"/>
          <w:spacing w:val="11"/>
          <w:w w:val="105"/>
        </w:rPr>
        <w:t xml:space="preserve"> </w:t>
      </w:r>
      <w:r w:rsidRPr="0099170A">
        <w:rPr>
          <w:rFonts w:cstheme="minorHAnsi"/>
          <w:w w:val="105"/>
        </w:rPr>
        <w:t>a</w:t>
      </w:r>
      <w:r w:rsidRPr="0099170A">
        <w:rPr>
          <w:rFonts w:cstheme="minorHAnsi"/>
          <w:spacing w:val="11"/>
          <w:w w:val="105"/>
        </w:rPr>
        <w:t xml:space="preserve"> </w:t>
      </w:r>
      <w:r w:rsidRPr="0099170A">
        <w:rPr>
          <w:rFonts w:cstheme="minorHAnsi"/>
          <w:w w:val="105"/>
        </w:rPr>
        <w:t>population</w:t>
      </w:r>
      <w:r w:rsidRPr="0099170A">
        <w:rPr>
          <w:rFonts w:cstheme="minorHAnsi"/>
          <w:spacing w:val="11"/>
          <w:w w:val="105"/>
        </w:rPr>
        <w:t xml:space="preserve"> </w:t>
      </w:r>
      <w:r w:rsidRPr="0099170A">
        <w:rPr>
          <w:rFonts w:cstheme="minorHAnsi"/>
          <w:w w:val="105"/>
        </w:rPr>
        <w:t>of</w:t>
      </w:r>
      <w:r w:rsidRPr="0099170A">
        <w:rPr>
          <w:rFonts w:cstheme="minorHAnsi"/>
          <w:spacing w:val="11"/>
          <w:w w:val="105"/>
        </w:rPr>
        <w:t xml:space="preserve"> </w:t>
      </w:r>
      <w:r w:rsidRPr="0099170A">
        <w:rPr>
          <w:rFonts w:cstheme="minorHAnsi"/>
          <w:w w:val="105"/>
        </w:rPr>
        <w:t>75,000</w:t>
      </w:r>
      <w:r>
        <w:rPr>
          <w:rFonts w:cstheme="minorHAnsi"/>
          <w:w w:val="105"/>
        </w:rPr>
        <w:t xml:space="preserve"> </w:t>
      </w:r>
      <w:r w:rsidR="00A03848">
        <w:rPr>
          <w:rFonts w:cstheme="minorHAnsi"/>
          <w:w w:val="105"/>
        </w:rPr>
        <w:t>residents</w:t>
      </w:r>
      <w:r w:rsidRPr="0099170A">
        <w:rPr>
          <w:rFonts w:cstheme="minorHAnsi"/>
          <w:spacing w:val="11"/>
          <w:w w:val="105"/>
        </w:rPr>
        <w:t xml:space="preserve"> </w:t>
      </w:r>
      <w:r w:rsidRPr="0099170A">
        <w:rPr>
          <w:rFonts w:cstheme="minorHAnsi"/>
          <w:w w:val="105"/>
        </w:rPr>
        <w:t>or</w:t>
      </w:r>
      <w:r w:rsidRPr="0099170A">
        <w:rPr>
          <w:rFonts w:cstheme="minorHAnsi"/>
          <w:spacing w:val="11"/>
          <w:w w:val="105"/>
        </w:rPr>
        <w:t xml:space="preserve"> </w:t>
      </w:r>
      <w:r w:rsidR="00A03848">
        <w:rPr>
          <w:rFonts w:cstheme="minorHAnsi"/>
          <w:w w:val="105"/>
        </w:rPr>
        <w:t>fewer</w:t>
      </w:r>
      <w:r w:rsidRPr="0099170A">
        <w:rPr>
          <w:rFonts w:cstheme="minorHAnsi"/>
          <w:spacing w:val="11"/>
          <w:w w:val="105"/>
        </w:rPr>
        <w:t xml:space="preserve"> </w:t>
      </w:r>
      <w:r w:rsidRPr="0099170A">
        <w:rPr>
          <w:rFonts w:cstheme="minorHAnsi"/>
          <w:w w:val="105"/>
        </w:rPr>
        <w:t>-</w:t>
      </w:r>
      <w:r w:rsidRPr="0099170A">
        <w:rPr>
          <w:rFonts w:cstheme="minorHAnsi"/>
          <w:spacing w:val="11"/>
          <w:w w:val="105"/>
        </w:rPr>
        <w:t xml:space="preserve"> </w:t>
      </w:r>
      <w:r w:rsidRPr="0099170A">
        <w:rPr>
          <w:rFonts w:cstheme="minorHAnsi"/>
          <w:w w:val="105"/>
        </w:rPr>
        <w:t>a</w:t>
      </w:r>
      <w:r w:rsidRPr="0099170A">
        <w:rPr>
          <w:rFonts w:cstheme="minorHAnsi"/>
          <w:spacing w:val="11"/>
          <w:w w:val="105"/>
        </w:rPr>
        <w:t xml:space="preserve"> </w:t>
      </w:r>
      <w:r w:rsidRPr="0099170A">
        <w:rPr>
          <w:rFonts w:cstheme="minorHAnsi"/>
          <w:w w:val="105"/>
        </w:rPr>
        <w:t>claimant</w:t>
      </w:r>
      <w:r w:rsidRPr="0099170A">
        <w:rPr>
          <w:rFonts w:cstheme="minorHAnsi"/>
          <w:spacing w:val="11"/>
          <w:w w:val="105"/>
        </w:rPr>
        <w:t xml:space="preserve"> </w:t>
      </w:r>
      <w:r w:rsidRPr="0099170A">
        <w:rPr>
          <w:rFonts w:cstheme="minorHAnsi"/>
          <w:w w:val="105"/>
        </w:rPr>
        <w:t>must</w:t>
      </w:r>
      <w:r>
        <w:rPr>
          <w:rFonts w:cstheme="minorHAnsi"/>
          <w:w w:val="105"/>
        </w:rPr>
        <w:t xml:space="preserve"> </w:t>
      </w:r>
      <w:r w:rsidRPr="0099170A">
        <w:rPr>
          <w:rFonts w:cstheme="minorHAnsi"/>
          <w:w w:val="105"/>
        </w:rPr>
        <w:t>contact</w:t>
      </w:r>
      <w:r w:rsidRPr="0099170A">
        <w:rPr>
          <w:rFonts w:cstheme="minorHAnsi"/>
          <w:spacing w:val="14"/>
          <w:w w:val="105"/>
        </w:rPr>
        <w:t xml:space="preserve"> </w:t>
      </w:r>
      <w:r w:rsidRPr="0099170A">
        <w:rPr>
          <w:rFonts w:cstheme="minorHAnsi"/>
          <w:w w:val="105"/>
        </w:rPr>
        <w:t>at</w:t>
      </w:r>
      <w:r w:rsidRPr="0099170A">
        <w:rPr>
          <w:rFonts w:cstheme="minorHAnsi"/>
          <w:spacing w:val="14"/>
          <w:w w:val="105"/>
        </w:rPr>
        <w:t xml:space="preserve"> </w:t>
      </w:r>
      <w:r w:rsidRPr="0099170A">
        <w:rPr>
          <w:rFonts w:cstheme="minorHAnsi"/>
          <w:w w:val="105"/>
        </w:rPr>
        <w:t>least</w:t>
      </w:r>
      <w:r w:rsidRPr="0099170A">
        <w:rPr>
          <w:rFonts w:cstheme="minorHAnsi"/>
          <w:spacing w:val="14"/>
          <w:w w:val="105"/>
        </w:rPr>
        <w:t xml:space="preserve"> </w:t>
      </w:r>
      <w:r w:rsidRPr="0099170A">
        <w:rPr>
          <w:rFonts w:cstheme="minorHAnsi"/>
          <w:w w:val="105"/>
        </w:rPr>
        <w:t>three</w:t>
      </w:r>
      <w:r w:rsidRPr="0099170A">
        <w:rPr>
          <w:rFonts w:cstheme="minorHAnsi"/>
          <w:spacing w:val="14"/>
          <w:w w:val="105"/>
        </w:rPr>
        <w:t xml:space="preserve"> </w:t>
      </w:r>
      <w:r w:rsidRPr="0099170A">
        <w:rPr>
          <w:rFonts w:cstheme="minorHAnsi"/>
          <w:w w:val="105"/>
        </w:rPr>
        <w:t>prospective</w:t>
      </w:r>
      <w:r w:rsidRPr="0099170A">
        <w:rPr>
          <w:rFonts w:cstheme="minorHAnsi"/>
          <w:spacing w:val="14"/>
          <w:w w:val="105"/>
        </w:rPr>
        <w:t xml:space="preserve"> </w:t>
      </w:r>
      <w:r w:rsidRPr="0099170A">
        <w:rPr>
          <w:rFonts w:cstheme="minorHAnsi"/>
          <w:w w:val="105"/>
        </w:rPr>
        <w:t>employers</w:t>
      </w:r>
      <w:r w:rsidRPr="0099170A">
        <w:rPr>
          <w:rFonts w:cstheme="minorHAnsi"/>
          <w:spacing w:val="14"/>
          <w:w w:val="105"/>
        </w:rPr>
        <w:t xml:space="preserve"> </w:t>
      </w:r>
      <w:r w:rsidRPr="0099170A">
        <w:rPr>
          <w:rFonts w:cstheme="minorHAnsi"/>
          <w:w w:val="105"/>
        </w:rPr>
        <w:t>for</w:t>
      </w:r>
      <w:r w:rsidRPr="0099170A">
        <w:rPr>
          <w:rFonts w:cstheme="minorHAnsi"/>
          <w:spacing w:val="14"/>
          <w:w w:val="105"/>
        </w:rPr>
        <w:t xml:space="preserve"> </w:t>
      </w:r>
      <w:r w:rsidRPr="0099170A">
        <w:rPr>
          <w:rFonts w:cstheme="minorHAnsi"/>
          <w:w w:val="105"/>
        </w:rPr>
        <w:t>each</w:t>
      </w:r>
      <w:r w:rsidRPr="0099170A">
        <w:rPr>
          <w:rFonts w:cstheme="minorHAnsi"/>
          <w:spacing w:val="14"/>
          <w:w w:val="105"/>
        </w:rPr>
        <w:t xml:space="preserve"> </w:t>
      </w:r>
      <w:r w:rsidRPr="0099170A">
        <w:rPr>
          <w:rFonts w:cstheme="minorHAnsi"/>
          <w:w w:val="105"/>
        </w:rPr>
        <w:t>week</w:t>
      </w:r>
      <w:r w:rsidRPr="0099170A">
        <w:rPr>
          <w:rFonts w:cstheme="minorHAnsi"/>
          <w:spacing w:val="14"/>
          <w:w w:val="105"/>
        </w:rPr>
        <w:t xml:space="preserve"> </w:t>
      </w:r>
      <w:r w:rsidRPr="0099170A">
        <w:rPr>
          <w:rFonts w:cstheme="minorHAnsi"/>
          <w:w w:val="105"/>
        </w:rPr>
        <w:t>of</w:t>
      </w:r>
      <w:r w:rsidRPr="0099170A">
        <w:rPr>
          <w:rFonts w:cstheme="minorHAnsi"/>
          <w:spacing w:val="14"/>
          <w:w w:val="105"/>
        </w:rPr>
        <w:t xml:space="preserve"> </w:t>
      </w:r>
      <w:r w:rsidRPr="0099170A">
        <w:rPr>
          <w:rFonts w:cstheme="minorHAnsi"/>
          <w:w w:val="105"/>
        </w:rPr>
        <w:t>unemployment</w:t>
      </w:r>
      <w:r w:rsidRPr="0099170A">
        <w:rPr>
          <w:rFonts w:cstheme="minorHAnsi"/>
          <w:spacing w:val="14"/>
          <w:w w:val="105"/>
        </w:rPr>
        <w:t xml:space="preserve"> </w:t>
      </w:r>
      <w:r w:rsidRPr="0099170A">
        <w:rPr>
          <w:rFonts w:cstheme="minorHAnsi"/>
          <w:w w:val="105"/>
        </w:rPr>
        <w:t>claimed.</w:t>
      </w:r>
      <w:r w:rsidRPr="0099170A">
        <w:rPr>
          <w:rFonts w:cstheme="minorHAnsi"/>
          <w:spacing w:val="14"/>
          <w:w w:val="105"/>
        </w:rPr>
        <w:t xml:space="preserve"> </w:t>
      </w:r>
      <w:r w:rsidRPr="0099170A">
        <w:rPr>
          <w:rFonts w:cstheme="minorHAnsi"/>
          <w:w w:val="105"/>
        </w:rPr>
        <w:t>Claimants</w:t>
      </w:r>
      <w:r w:rsidRPr="0099170A">
        <w:rPr>
          <w:rFonts w:cstheme="minorHAnsi"/>
          <w:spacing w:val="14"/>
          <w:w w:val="105"/>
        </w:rPr>
        <w:t xml:space="preserve"> </w:t>
      </w:r>
      <w:r w:rsidRPr="0099170A">
        <w:rPr>
          <w:rFonts w:cstheme="minorHAnsi"/>
          <w:w w:val="105"/>
        </w:rPr>
        <w:t>file</w:t>
      </w:r>
      <w:r w:rsidRPr="0099170A">
        <w:rPr>
          <w:rFonts w:cstheme="minorHAnsi"/>
          <w:w w:val="102"/>
        </w:rPr>
        <w:t xml:space="preserve"> </w:t>
      </w:r>
      <w:r w:rsidRPr="0099170A">
        <w:rPr>
          <w:rFonts w:cstheme="minorHAnsi"/>
          <w:w w:val="105"/>
        </w:rPr>
        <w:t>their</w:t>
      </w:r>
      <w:r w:rsidRPr="0099170A">
        <w:rPr>
          <w:rFonts w:cstheme="minorHAnsi"/>
          <w:spacing w:val="13"/>
          <w:w w:val="105"/>
        </w:rPr>
        <w:t xml:space="preserve"> </w:t>
      </w:r>
      <w:r w:rsidRPr="0099170A">
        <w:rPr>
          <w:rFonts w:cstheme="minorHAnsi"/>
          <w:w w:val="105"/>
        </w:rPr>
        <w:t>work</w:t>
      </w:r>
      <w:r w:rsidRPr="0099170A">
        <w:rPr>
          <w:rFonts w:cstheme="minorHAnsi"/>
          <w:spacing w:val="13"/>
          <w:w w:val="105"/>
        </w:rPr>
        <w:t xml:space="preserve"> </w:t>
      </w:r>
      <w:r w:rsidRPr="0099170A">
        <w:rPr>
          <w:rFonts w:cstheme="minorHAnsi"/>
          <w:w w:val="105"/>
        </w:rPr>
        <w:t>search</w:t>
      </w:r>
      <w:r w:rsidRPr="0099170A">
        <w:rPr>
          <w:rFonts w:cstheme="minorHAnsi"/>
          <w:spacing w:val="13"/>
          <w:w w:val="105"/>
        </w:rPr>
        <w:t xml:space="preserve"> </w:t>
      </w:r>
      <w:r w:rsidRPr="0099170A">
        <w:rPr>
          <w:rFonts w:cstheme="minorHAnsi"/>
          <w:w w:val="105"/>
        </w:rPr>
        <w:t>activities</w:t>
      </w:r>
      <w:r>
        <w:rPr>
          <w:rFonts w:cstheme="minorHAnsi"/>
          <w:w w:val="105"/>
        </w:rPr>
        <w:t xml:space="preserve"> </w:t>
      </w:r>
      <w:r w:rsidR="009C3214">
        <w:rPr>
          <w:rFonts w:cstheme="minorHAnsi"/>
          <w:w w:val="105"/>
        </w:rPr>
        <w:t>online</w:t>
      </w:r>
      <w:r w:rsidRPr="0099170A">
        <w:rPr>
          <w:rFonts w:cstheme="minorHAnsi"/>
          <w:spacing w:val="13"/>
          <w:w w:val="105"/>
        </w:rPr>
        <w:t xml:space="preserve"> </w:t>
      </w:r>
      <w:r w:rsidR="00A175AB" w:rsidRPr="0099170A">
        <w:rPr>
          <w:rFonts w:cstheme="minorHAnsi"/>
          <w:spacing w:val="13"/>
          <w:w w:val="105"/>
        </w:rPr>
        <w:t xml:space="preserve">each week </w:t>
      </w:r>
      <w:r w:rsidRPr="0099170A">
        <w:rPr>
          <w:rFonts w:cstheme="minorHAnsi"/>
          <w:w w:val="105"/>
        </w:rPr>
        <w:t>and</w:t>
      </w:r>
      <w:r w:rsidRPr="0099170A">
        <w:rPr>
          <w:rFonts w:cstheme="minorHAnsi"/>
          <w:spacing w:val="13"/>
          <w:w w:val="105"/>
        </w:rPr>
        <w:t xml:space="preserve"> </w:t>
      </w:r>
      <w:r w:rsidRPr="0099170A">
        <w:rPr>
          <w:rFonts w:cstheme="minorHAnsi"/>
          <w:w w:val="105"/>
        </w:rPr>
        <w:t>the</w:t>
      </w:r>
      <w:r w:rsidRPr="0099170A">
        <w:rPr>
          <w:rFonts w:cstheme="minorHAnsi"/>
          <w:spacing w:val="13"/>
          <w:w w:val="105"/>
        </w:rPr>
        <w:t xml:space="preserve"> </w:t>
      </w:r>
      <w:r w:rsidRPr="0099170A">
        <w:rPr>
          <w:rFonts w:cstheme="minorHAnsi"/>
          <w:w w:val="105"/>
        </w:rPr>
        <w:t>Reemployment</w:t>
      </w:r>
      <w:r w:rsidRPr="0099170A">
        <w:rPr>
          <w:rFonts w:cstheme="minorHAnsi"/>
          <w:spacing w:val="13"/>
          <w:w w:val="105"/>
        </w:rPr>
        <w:t xml:space="preserve"> </w:t>
      </w:r>
      <w:r w:rsidRPr="0099170A">
        <w:rPr>
          <w:rFonts w:cstheme="minorHAnsi"/>
          <w:w w:val="105"/>
        </w:rPr>
        <w:t>Assistance</w:t>
      </w:r>
      <w:r w:rsidRPr="0099170A">
        <w:rPr>
          <w:rFonts w:cstheme="minorHAnsi"/>
          <w:spacing w:val="13"/>
          <w:w w:val="105"/>
        </w:rPr>
        <w:t xml:space="preserve"> </w:t>
      </w:r>
      <w:r w:rsidRPr="0099170A">
        <w:rPr>
          <w:rFonts w:cstheme="minorHAnsi"/>
          <w:w w:val="105"/>
        </w:rPr>
        <w:t>Program</w:t>
      </w:r>
      <w:r w:rsidRPr="0099170A">
        <w:rPr>
          <w:rFonts w:cstheme="minorHAnsi"/>
          <w:spacing w:val="13"/>
          <w:w w:val="105"/>
        </w:rPr>
        <w:t xml:space="preserve"> </w:t>
      </w:r>
      <w:r w:rsidRPr="0099170A">
        <w:rPr>
          <w:rFonts w:cstheme="minorHAnsi"/>
          <w:w w:val="105"/>
        </w:rPr>
        <w:t>office</w:t>
      </w:r>
      <w:r>
        <w:rPr>
          <w:rFonts w:cstheme="minorHAnsi"/>
          <w:w w:val="105"/>
        </w:rPr>
        <w:t xml:space="preserve"> </w:t>
      </w:r>
      <w:r w:rsidRPr="0099170A">
        <w:rPr>
          <w:rFonts w:cstheme="minorHAnsi"/>
          <w:w w:val="105"/>
        </w:rPr>
        <w:t>conducts</w:t>
      </w:r>
      <w:r w:rsidRPr="0099170A">
        <w:rPr>
          <w:rFonts w:cstheme="minorHAnsi"/>
          <w:spacing w:val="6"/>
          <w:w w:val="105"/>
        </w:rPr>
        <w:t xml:space="preserve"> </w:t>
      </w:r>
      <w:r w:rsidRPr="0099170A">
        <w:rPr>
          <w:rFonts w:cstheme="minorHAnsi"/>
          <w:w w:val="105"/>
        </w:rPr>
        <w:t>random</w:t>
      </w:r>
      <w:r w:rsidRPr="0099170A">
        <w:rPr>
          <w:rFonts w:cstheme="minorHAnsi"/>
          <w:spacing w:val="6"/>
          <w:w w:val="105"/>
        </w:rPr>
        <w:t xml:space="preserve"> </w:t>
      </w:r>
      <w:r w:rsidRPr="0099170A">
        <w:rPr>
          <w:rFonts w:cstheme="minorHAnsi"/>
          <w:w w:val="105"/>
        </w:rPr>
        <w:t>work</w:t>
      </w:r>
      <w:r w:rsidRPr="0099170A">
        <w:rPr>
          <w:rFonts w:cstheme="minorHAnsi"/>
          <w:spacing w:val="6"/>
          <w:w w:val="105"/>
        </w:rPr>
        <w:t xml:space="preserve"> </w:t>
      </w:r>
      <w:r w:rsidRPr="0099170A">
        <w:rPr>
          <w:rFonts w:cstheme="minorHAnsi"/>
          <w:w w:val="105"/>
        </w:rPr>
        <w:t>search</w:t>
      </w:r>
      <w:r w:rsidRPr="0099170A">
        <w:rPr>
          <w:rFonts w:cstheme="minorHAnsi"/>
          <w:spacing w:val="6"/>
          <w:w w:val="105"/>
        </w:rPr>
        <w:t xml:space="preserve"> </w:t>
      </w:r>
      <w:r w:rsidRPr="0099170A">
        <w:rPr>
          <w:rFonts w:cstheme="minorHAnsi"/>
          <w:w w:val="105"/>
        </w:rPr>
        <w:t>reviews.</w:t>
      </w:r>
      <w:r w:rsidRPr="0099170A">
        <w:rPr>
          <w:rFonts w:cstheme="minorHAnsi"/>
          <w:spacing w:val="6"/>
          <w:w w:val="105"/>
        </w:rPr>
        <w:t xml:space="preserve"> </w:t>
      </w:r>
      <w:r w:rsidRPr="0099170A">
        <w:rPr>
          <w:rFonts w:cstheme="minorHAnsi"/>
          <w:w w:val="105"/>
        </w:rPr>
        <w:t>Alternatively,</w:t>
      </w:r>
      <w:r w:rsidRPr="0099170A">
        <w:rPr>
          <w:rFonts w:cstheme="minorHAnsi"/>
          <w:spacing w:val="6"/>
          <w:w w:val="105"/>
        </w:rPr>
        <w:t xml:space="preserve"> </w:t>
      </w:r>
      <w:r w:rsidR="00A175AB" w:rsidRPr="0099170A">
        <w:rPr>
          <w:rFonts w:cstheme="minorHAnsi"/>
          <w:w w:val="105"/>
        </w:rPr>
        <w:t xml:space="preserve">instead of claimants </w:t>
      </w:r>
      <w:r w:rsidRPr="0099170A">
        <w:rPr>
          <w:rFonts w:cstheme="minorHAnsi"/>
          <w:w w:val="105"/>
        </w:rPr>
        <w:t>contacting</w:t>
      </w:r>
      <w:r w:rsidRPr="0099170A">
        <w:rPr>
          <w:rFonts w:cstheme="minorHAnsi"/>
          <w:spacing w:val="6"/>
          <w:w w:val="105"/>
        </w:rPr>
        <w:t xml:space="preserve"> </w:t>
      </w:r>
      <w:r w:rsidRPr="0099170A">
        <w:rPr>
          <w:rFonts w:cstheme="minorHAnsi"/>
          <w:w w:val="105"/>
        </w:rPr>
        <w:t>three</w:t>
      </w:r>
      <w:r w:rsidRPr="0099170A">
        <w:rPr>
          <w:rFonts w:cstheme="minorHAnsi"/>
          <w:spacing w:val="6"/>
          <w:w w:val="105"/>
        </w:rPr>
        <w:t xml:space="preserve"> </w:t>
      </w:r>
      <w:r w:rsidRPr="0099170A">
        <w:rPr>
          <w:rFonts w:cstheme="minorHAnsi"/>
          <w:w w:val="105"/>
        </w:rPr>
        <w:t>or</w:t>
      </w:r>
      <w:r w:rsidRPr="0099170A">
        <w:rPr>
          <w:rFonts w:cstheme="minorHAnsi"/>
          <w:spacing w:val="6"/>
          <w:w w:val="105"/>
        </w:rPr>
        <w:t xml:space="preserve"> </w:t>
      </w:r>
      <w:r w:rsidRPr="0099170A">
        <w:rPr>
          <w:rFonts w:cstheme="minorHAnsi"/>
          <w:w w:val="105"/>
        </w:rPr>
        <w:t>five</w:t>
      </w:r>
      <w:r>
        <w:rPr>
          <w:rFonts w:cstheme="minorHAnsi"/>
          <w:w w:val="105"/>
        </w:rPr>
        <w:t xml:space="preserve"> </w:t>
      </w:r>
      <w:r w:rsidRPr="0099170A">
        <w:rPr>
          <w:rFonts w:cstheme="minorHAnsi"/>
          <w:w w:val="105"/>
        </w:rPr>
        <w:t>prospective</w:t>
      </w:r>
      <w:r w:rsidRPr="0099170A">
        <w:rPr>
          <w:rFonts w:cstheme="minorHAnsi"/>
          <w:spacing w:val="8"/>
          <w:w w:val="105"/>
        </w:rPr>
        <w:t xml:space="preserve"> </w:t>
      </w:r>
      <w:r w:rsidRPr="0099170A">
        <w:rPr>
          <w:rFonts w:cstheme="minorHAnsi"/>
          <w:w w:val="105"/>
        </w:rPr>
        <w:t>employers,</w:t>
      </w:r>
      <w:r w:rsidRPr="0099170A">
        <w:rPr>
          <w:rFonts w:cstheme="minorHAnsi"/>
          <w:spacing w:val="8"/>
          <w:w w:val="105"/>
        </w:rPr>
        <w:t xml:space="preserve"> </w:t>
      </w:r>
      <w:r w:rsidRPr="0099170A">
        <w:rPr>
          <w:rFonts w:cstheme="minorHAnsi"/>
          <w:w w:val="105"/>
        </w:rPr>
        <w:t>as</w:t>
      </w:r>
      <w:r w:rsidRPr="0099170A">
        <w:rPr>
          <w:rFonts w:cstheme="minorHAnsi"/>
          <w:spacing w:val="8"/>
          <w:w w:val="105"/>
        </w:rPr>
        <w:t xml:space="preserve"> </w:t>
      </w:r>
      <w:r w:rsidRPr="0099170A">
        <w:rPr>
          <w:rFonts w:cstheme="minorHAnsi"/>
          <w:w w:val="105"/>
        </w:rPr>
        <w:t>appropriate,</w:t>
      </w:r>
      <w:r w:rsidRPr="0099170A">
        <w:rPr>
          <w:rFonts w:cstheme="minorHAnsi"/>
          <w:spacing w:val="8"/>
          <w:w w:val="105"/>
        </w:rPr>
        <w:t xml:space="preserve"> </w:t>
      </w:r>
      <w:r w:rsidR="00A175AB" w:rsidRPr="0099170A">
        <w:rPr>
          <w:rFonts w:cstheme="minorHAnsi"/>
          <w:spacing w:val="8"/>
          <w:w w:val="105"/>
        </w:rPr>
        <w:t xml:space="preserve">claimants </w:t>
      </w:r>
      <w:r w:rsidRPr="0099170A">
        <w:rPr>
          <w:rFonts w:cstheme="minorHAnsi"/>
          <w:w w:val="105"/>
        </w:rPr>
        <w:t>may</w:t>
      </w:r>
      <w:r w:rsidR="00A175AB" w:rsidRPr="0099170A">
        <w:rPr>
          <w:rFonts w:cstheme="minorHAnsi"/>
          <w:w w:val="105"/>
        </w:rPr>
        <w:t>,</w:t>
      </w:r>
      <w:r w:rsidRPr="0099170A">
        <w:rPr>
          <w:rFonts w:cstheme="minorHAnsi"/>
          <w:spacing w:val="8"/>
          <w:w w:val="105"/>
        </w:rPr>
        <w:t xml:space="preserve"> </w:t>
      </w:r>
      <w:r w:rsidRPr="0099170A">
        <w:rPr>
          <w:rFonts w:cstheme="minorHAnsi"/>
          <w:w w:val="105"/>
        </w:rPr>
        <w:t>for</w:t>
      </w:r>
      <w:r w:rsidRPr="0099170A">
        <w:rPr>
          <w:rFonts w:cstheme="minorHAnsi"/>
          <w:spacing w:val="8"/>
          <w:w w:val="105"/>
        </w:rPr>
        <w:t xml:space="preserve"> </w:t>
      </w:r>
      <w:r w:rsidRPr="0099170A">
        <w:rPr>
          <w:rFonts w:cstheme="minorHAnsi"/>
          <w:w w:val="105"/>
        </w:rPr>
        <w:t>that</w:t>
      </w:r>
      <w:r w:rsidRPr="0099170A">
        <w:rPr>
          <w:rFonts w:cstheme="minorHAnsi"/>
          <w:spacing w:val="8"/>
          <w:w w:val="105"/>
        </w:rPr>
        <w:t xml:space="preserve"> </w:t>
      </w:r>
      <w:r w:rsidRPr="0099170A">
        <w:rPr>
          <w:rFonts w:cstheme="minorHAnsi"/>
          <w:w w:val="105"/>
        </w:rPr>
        <w:t>same</w:t>
      </w:r>
      <w:r w:rsidRPr="0099170A">
        <w:rPr>
          <w:rFonts w:cstheme="minorHAnsi"/>
          <w:spacing w:val="8"/>
          <w:w w:val="105"/>
        </w:rPr>
        <w:t xml:space="preserve"> </w:t>
      </w:r>
      <w:r w:rsidRPr="0099170A">
        <w:rPr>
          <w:rFonts w:cstheme="minorHAnsi"/>
          <w:w w:val="105"/>
        </w:rPr>
        <w:t>week,</w:t>
      </w:r>
      <w:r w:rsidRPr="0099170A">
        <w:rPr>
          <w:rFonts w:cstheme="minorHAnsi"/>
          <w:spacing w:val="8"/>
          <w:w w:val="105"/>
        </w:rPr>
        <w:t xml:space="preserve"> </w:t>
      </w:r>
      <w:r w:rsidRPr="0099170A">
        <w:rPr>
          <w:rFonts w:cstheme="minorHAnsi"/>
          <w:w w:val="105"/>
        </w:rPr>
        <w:t>report</w:t>
      </w:r>
      <w:r w:rsidRPr="0099170A">
        <w:rPr>
          <w:rFonts w:cstheme="minorHAnsi"/>
          <w:spacing w:val="8"/>
          <w:w w:val="105"/>
        </w:rPr>
        <w:t xml:space="preserve"> </w:t>
      </w:r>
      <w:r w:rsidRPr="0099170A">
        <w:rPr>
          <w:rFonts w:cstheme="minorHAnsi"/>
          <w:w w:val="105"/>
        </w:rPr>
        <w:t>in</w:t>
      </w:r>
      <w:r w:rsidRPr="0099170A">
        <w:rPr>
          <w:rFonts w:cstheme="minorHAnsi"/>
          <w:spacing w:val="8"/>
          <w:w w:val="105"/>
        </w:rPr>
        <w:t xml:space="preserve"> </w:t>
      </w:r>
      <w:r w:rsidRPr="0099170A">
        <w:rPr>
          <w:rFonts w:cstheme="minorHAnsi"/>
          <w:w w:val="105"/>
        </w:rPr>
        <w:t>person</w:t>
      </w:r>
      <w:r w:rsidRPr="0099170A">
        <w:rPr>
          <w:rFonts w:cstheme="minorHAnsi"/>
          <w:spacing w:val="8"/>
          <w:w w:val="105"/>
        </w:rPr>
        <w:t xml:space="preserve"> </w:t>
      </w:r>
      <w:r w:rsidRPr="0099170A">
        <w:rPr>
          <w:rFonts w:cstheme="minorHAnsi"/>
          <w:w w:val="105"/>
        </w:rPr>
        <w:t>to</w:t>
      </w:r>
      <w:r w:rsidRPr="0099170A">
        <w:rPr>
          <w:rFonts w:cstheme="minorHAnsi"/>
          <w:spacing w:val="8"/>
          <w:w w:val="105"/>
        </w:rPr>
        <w:t xml:space="preserve"> </w:t>
      </w:r>
      <w:r w:rsidRPr="0099170A">
        <w:rPr>
          <w:rFonts w:cstheme="minorHAnsi"/>
          <w:w w:val="105"/>
        </w:rPr>
        <w:t>a</w:t>
      </w:r>
      <w:r w:rsidRPr="0099170A">
        <w:rPr>
          <w:rFonts w:cstheme="minorHAnsi"/>
          <w:spacing w:val="8"/>
          <w:w w:val="105"/>
        </w:rPr>
        <w:t xml:space="preserve"> </w:t>
      </w:r>
      <w:r w:rsidRPr="0099170A">
        <w:rPr>
          <w:rFonts w:cstheme="minorHAnsi"/>
          <w:spacing w:val="-4"/>
          <w:w w:val="105"/>
        </w:rPr>
        <w:t>LWDB</w:t>
      </w:r>
      <w:r w:rsidRPr="0099170A">
        <w:rPr>
          <w:rFonts w:cstheme="minorHAnsi"/>
          <w:spacing w:val="8"/>
          <w:w w:val="105"/>
        </w:rPr>
        <w:t xml:space="preserve"> </w:t>
      </w:r>
      <w:r w:rsidRPr="0099170A">
        <w:rPr>
          <w:rFonts w:cstheme="minorHAnsi"/>
          <w:w w:val="105"/>
        </w:rPr>
        <w:t>to</w:t>
      </w:r>
      <w:r w:rsidRPr="0099170A">
        <w:rPr>
          <w:rFonts w:cstheme="minorHAnsi"/>
          <w:spacing w:val="8"/>
          <w:w w:val="105"/>
        </w:rPr>
        <w:t xml:space="preserve"> </w:t>
      </w:r>
      <w:r w:rsidRPr="0099170A">
        <w:rPr>
          <w:rFonts w:cstheme="minorHAnsi"/>
          <w:w w:val="105"/>
        </w:rPr>
        <w:t>meet</w:t>
      </w:r>
      <w:r w:rsidRPr="0099170A">
        <w:rPr>
          <w:rFonts w:cstheme="minorHAnsi"/>
          <w:spacing w:val="8"/>
          <w:w w:val="105"/>
        </w:rPr>
        <w:t xml:space="preserve"> </w:t>
      </w:r>
      <w:r w:rsidRPr="0099170A">
        <w:rPr>
          <w:rFonts w:cstheme="minorHAnsi"/>
          <w:w w:val="105"/>
        </w:rPr>
        <w:t>with</w:t>
      </w:r>
      <w:r>
        <w:rPr>
          <w:rFonts w:cstheme="minorHAnsi"/>
          <w:w w:val="105"/>
        </w:rPr>
        <w:t xml:space="preserve"> </w:t>
      </w:r>
      <w:r w:rsidRPr="0099170A">
        <w:rPr>
          <w:rFonts w:cstheme="minorHAnsi"/>
          <w:w w:val="105"/>
        </w:rPr>
        <w:t>a career center representative and access reemployment services.</w:t>
      </w:r>
    </w:p>
    <w:p w14:paraId="346AEBF8" w14:textId="77777777" w:rsidR="00EA7458" w:rsidRPr="0099170A" w:rsidRDefault="00EA7458" w:rsidP="00D63204">
      <w:pPr>
        <w:widowControl w:val="0"/>
        <w:spacing w:before="2" w:after="0" w:line="240" w:lineRule="auto"/>
        <w:ind w:left="107"/>
        <w:rPr>
          <w:rFonts w:cstheme="minorHAnsi"/>
          <w:sz w:val="14"/>
          <w:szCs w:val="14"/>
        </w:rPr>
      </w:pPr>
    </w:p>
    <w:p w14:paraId="5128EB92" w14:textId="7B41F78F" w:rsidR="00EA7458" w:rsidRPr="0099170A" w:rsidRDefault="00EA7458" w:rsidP="00D63204">
      <w:pPr>
        <w:widowControl w:val="0"/>
        <w:spacing w:before="58" w:after="0" w:line="264" w:lineRule="exact"/>
        <w:ind w:left="107"/>
        <w:rPr>
          <w:rFonts w:cstheme="minorHAnsi"/>
        </w:rPr>
      </w:pPr>
      <w:bookmarkStart w:id="121" w:name="(e)_Agricultural_Outreach_Plan_(AOP)_"/>
      <w:bookmarkEnd w:id="121"/>
      <w:r w:rsidRPr="0099170A">
        <w:rPr>
          <w:rFonts w:cstheme="minorHAnsi"/>
          <w:w w:val="105"/>
        </w:rPr>
        <w:t>Upon</w:t>
      </w:r>
      <w:r w:rsidRPr="0099170A">
        <w:rPr>
          <w:rFonts w:cstheme="minorHAnsi"/>
          <w:spacing w:val="10"/>
          <w:w w:val="105"/>
        </w:rPr>
        <w:t xml:space="preserve"> </w:t>
      </w:r>
      <w:r w:rsidRPr="0099170A">
        <w:rPr>
          <w:rFonts w:cstheme="minorHAnsi"/>
          <w:w w:val="105"/>
        </w:rPr>
        <w:t>completion</w:t>
      </w:r>
      <w:r w:rsidRPr="0099170A">
        <w:rPr>
          <w:rFonts w:cstheme="minorHAnsi"/>
          <w:spacing w:val="10"/>
          <w:w w:val="105"/>
        </w:rPr>
        <w:t xml:space="preserve"> </w:t>
      </w:r>
      <w:r w:rsidRPr="0099170A">
        <w:rPr>
          <w:rFonts w:cstheme="minorHAnsi"/>
          <w:w w:val="105"/>
        </w:rPr>
        <w:t>of</w:t>
      </w:r>
      <w:r w:rsidRPr="0099170A">
        <w:rPr>
          <w:rFonts w:cstheme="minorHAnsi"/>
          <w:spacing w:val="10"/>
          <w:w w:val="105"/>
        </w:rPr>
        <w:t xml:space="preserve"> </w:t>
      </w:r>
      <w:r w:rsidRPr="0099170A">
        <w:rPr>
          <w:rFonts w:cstheme="minorHAnsi"/>
          <w:w w:val="105"/>
        </w:rPr>
        <w:t>the</w:t>
      </w:r>
      <w:r w:rsidRPr="0099170A">
        <w:rPr>
          <w:rFonts w:cstheme="minorHAnsi"/>
          <w:spacing w:val="10"/>
          <w:w w:val="105"/>
        </w:rPr>
        <w:t xml:space="preserve"> </w:t>
      </w:r>
      <w:r w:rsidRPr="0099170A">
        <w:rPr>
          <w:rFonts w:cstheme="minorHAnsi"/>
          <w:w w:val="105"/>
        </w:rPr>
        <w:t>RESEA</w:t>
      </w:r>
      <w:r w:rsidRPr="0099170A">
        <w:rPr>
          <w:rFonts w:cstheme="minorHAnsi"/>
          <w:spacing w:val="10"/>
          <w:w w:val="105"/>
        </w:rPr>
        <w:t xml:space="preserve"> </w:t>
      </w:r>
      <w:r w:rsidRPr="0099170A">
        <w:rPr>
          <w:rFonts w:cstheme="minorHAnsi"/>
          <w:w w:val="105"/>
        </w:rPr>
        <w:t>appointment,</w:t>
      </w:r>
      <w:r w:rsidRPr="0099170A">
        <w:rPr>
          <w:rFonts w:cstheme="minorHAnsi"/>
          <w:spacing w:val="10"/>
          <w:w w:val="105"/>
        </w:rPr>
        <w:t xml:space="preserve"> </w:t>
      </w:r>
      <w:r w:rsidRPr="0099170A">
        <w:rPr>
          <w:rFonts w:cstheme="minorHAnsi"/>
          <w:w w:val="105"/>
        </w:rPr>
        <w:t>career</w:t>
      </w:r>
      <w:r w:rsidRPr="0099170A">
        <w:rPr>
          <w:rFonts w:cstheme="minorHAnsi"/>
          <w:spacing w:val="10"/>
          <w:w w:val="105"/>
        </w:rPr>
        <w:t xml:space="preserve"> </w:t>
      </w:r>
      <w:r w:rsidRPr="0099170A">
        <w:rPr>
          <w:rFonts w:cstheme="minorHAnsi"/>
          <w:w w:val="105"/>
        </w:rPr>
        <w:t>center</w:t>
      </w:r>
      <w:r w:rsidRPr="0099170A">
        <w:rPr>
          <w:rFonts w:cstheme="minorHAnsi"/>
          <w:spacing w:val="10"/>
          <w:w w:val="105"/>
        </w:rPr>
        <w:t xml:space="preserve"> </w:t>
      </w:r>
      <w:r w:rsidRPr="0099170A">
        <w:rPr>
          <w:rFonts w:cstheme="minorHAnsi"/>
          <w:w w:val="105"/>
        </w:rPr>
        <w:t>staff</w:t>
      </w:r>
      <w:r w:rsidRPr="0099170A">
        <w:rPr>
          <w:rFonts w:cstheme="minorHAnsi"/>
          <w:spacing w:val="10"/>
          <w:w w:val="105"/>
        </w:rPr>
        <w:t xml:space="preserve"> </w:t>
      </w:r>
      <w:r w:rsidRPr="0099170A">
        <w:rPr>
          <w:rFonts w:cstheme="minorHAnsi"/>
          <w:w w:val="105"/>
        </w:rPr>
        <w:t>are</w:t>
      </w:r>
      <w:r w:rsidRPr="0099170A">
        <w:rPr>
          <w:rFonts w:cstheme="minorHAnsi"/>
          <w:spacing w:val="10"/>
          <w:w w:val="105"/>
        </w:rPr>
        <w:t xml:space="preserve"> </w:t>
      </w:r>
      <w:r w:rsidRPr="0099170A">
        <w:rPr>
          <w:rFonts w:cstheme="minorHAnsi"/>
          <w:w w:val="105"/>
        </w:rPr>
        <w:t>required</w:t>
      </w:r>
      <w:r w:rsidRPr="0099170A">
        <w:rPr>
          <w:rFonts w:cstheme="minorHAnsi"/>
          <w:spacing w:val="10"/>
          <w:w w:val="105"/>
        </w:rPr>
        <w:t xml:space="preserve"> </w:t>
      </w:r>
      <w:r w:rsidRPr="0099170A">
        <w:rPr>
          <w:rFonts w:cstheme="minorHAnsi"/>
          <w:w w:val="105"/>
        </w:rPr>
        <w:t>to</w:t>
      </w:r>
      <w:r w:rsidRPr="0099170A">
        <w:rPr>
          <w:rFonts w:cstheme="minorHAnsi"/>
          <w:spacing w:val="10"/>
          <w:w w:val="105"/>
        </w:rPr>
        <w:t xml:space="preserve"> </w:t>
      </w:r>
      <w:r w:rsidRPr="0099170A">
        <w:rPr>
          <w:rFonts w:cstheme="minorHAnsi"/>
          <w:w w:val="105"/>
        </w:rPr>
        <w:t>electronically</w:t>
      </w:r>
      <w:r w:rsidRPr="0099170A">
        <w:rPr>
          <w:rFonts w:cstheme="minorHAnsi"/>
          <w:spacing w:val="10"/>
          <w:w w:val="105"/>
        </w:rPr>
        <w:t xml:space="preserve"> </w:t>
      </w:r>
      <w:r w:rsidRPr="0099170A">
        <w:rPr>
          <w:rFonts w:cstheme="minorHAnsi"/>
          <w:w w:val="105"/>
        </w:rPr>
        <w:t>submit</w:t>
      </w:r>
      <w:r w:rsidRPr="0099170A">
        <w:rPr>
          <w:rFonts w:cstheme="minorHAnsi"/>
          <w:spacing w:val="-27"/>
          <w:w w:val="105"/>
        </w:rPr>
        <w:t xml:space="preserve"> </w:t>
      </w:r>
      <w:r w:rsidRPr="0099170A">
        <w:rPr>
          <w:rFonts w:cstheme="minorHAnsi"/>
          <w:w w:val="105"/>
        </w:rPr>
        <w:t>information related to whether the claimant reported for and received all required services to satisfy</w:t>
      </w:r>
      <w:r w:rsidRPr="0099170A">
        <w:rPr>
          <w:rFonts w:cstheme="minorHAnsi"/>
          <w:w w:val="106"/>
        </w:rPr>
        <w:t xml:space="preserve"> </w:t>
      </w:r>
      <w:r w:rsidRPr="0099170A">
        <w:rPr>
          <w:rFonts w:cstheme="minorHAnsi"/>
          <w:w w:val="105"/>
        </w:rPr>
        <w:t xml:space="preserve">the program’s minimum requirements. If a claimant has not reported to the </w:t>
      </w:r>
      <w:r w:rsidR="00E06C00" w:rsidRPr="0099170A">
        <w:rPr>
          <w:rFonts w:cstheme="minorHAnsi"/>
          <w:w w:val="105"/>
        </w:rPr>
        <w:t xml:space="preserve">required </w:t>
      </w:r>
      <w:r w:rsidRPr="0099170A">
        <w:rPr>
          <w:rFonts w:cstheme="minorHAnsi"/>
          <w:w w:val="105"/>
        </w:rPr>
        <w:t>appointment,</w:t>
      </w:r>
      <w:r w:rsidRPr="0099170A">
        <w:rPr>
          <w:rFonts w:cstheme="minorHAnsi"/>
          <w:spacing w:val="38"/>
          <w:w w:val="105"/>
        </w:rPr>
        <w:t xml:space="preserve"> </w:t>
      </w:r>
      <w:r w:rsidRPr="0099170A">
        <w:rPr>
          <w:rFonts w:cstheme="minorHAnsi"/>
          <w:w w:val="105"/>
        </w:rPr>
        <w:t>an</w:t>
      </w:r>
      <w:r w:rsidRPr="0099170A">
        <w:rPr>
          <w:rFonts w:cstheme="minorHAnsi"/>
          <w:w w:val="107"/>
        </w:rPr>
        <w:t xml:space="preserve"> </w:t>
      </w:r>
      <w:r w:rsidRPr="0099170A">
        <w:rPr>
          <w:rFonts w:cstheme="minorHAnsi"/>
          <w:w w:val="105"/>
        </w:rPr>
        <w:t xml:space="preserve">automatic notification is transmitted to the Reemployment Assistance system </w:t>
      </w:r>
      <w:r w:rsidR="00E06C00" w:rsidRPr="0099170A">
        <w:rPr>
          <w:rFonts w:cstheme="minorHAnsi"/>
          <w:w w:val="105"/>
        </w:rPr>
        <w:t xml:space="preserve">notifying </w:t>
      </w:r>
      <w:r w:rsidRPr="0099170A">
        <w:rPr>
          <w:rFonts w:cstheme="minorHAnsi"/>
          <w:w w:val="105"/>
        </w:rPr>
        <w:t>an adjudicator of</w:t>
      </w:r>
      <w:r w:rsidR="00A0558C" w:rsidRPr="0099170A">
        <w:rPr>
          <w:rFonts w:cstheme="minorHAnsi"/>
          <w:w w:val="105"/>
        </w:rPr>
        <w:t xml:space="preserve"> </w:t>
      </w:r>
      <w:r w:rsidRPr="0099170A">
        <w:rPr>
          <w:rFonts w:cstheme="minorHAnsi"/>
          <w:w w:val="105"/>
        </w:rPr>
        <w:t>potential</w:t>
      </w:r>
      <w:r w:rsidRPr="0099170A">
        <w:rPr>
          <w:rFonts w:cstheme="minorHAnsi"/>
          <w:spacing w:val="13"/>
          <w:w w:val="105"/>
        </w:rPr>
        <w:t xml:space="preserve"> </w:t>
      </w:r>
      <w:r w:rsidRPr="0099170A">
        <w:rPr>
          <w:rFonts w:cstheme="minorHAnsi"/>
          <w:w w:val="105"/>
        </w:rPr>
        <w:t>eligibility</w:t>
      </w:r>
      <w:r w:rsidRPr="0099170A">
        <w:rPr>
          <w:rFonts w:cstheme="minorHAnsi"/>
          <w:spacing w:val="13"/>
          <w:w w:val="105"/>
        </w:rPr>
        <w:t xml:space="preserve"> </w:t>
      </w:r>
      <w:r w:rsidRPr="0099170A">
        <w:rPr>
          <w:rFonts w:cstheme="minorHAnsi"/>
          <w:w w:val="105"/>
        </w:rPr>
        <w:t>issues.</w:t>
      </w:r>
      <w:r w:rsidRPr="0099170A">
        <w:rPr>
          <w:rFonts w:cstheme="minorHAnsi"/>
          <w:spacing w:val="13"/>
          <w:w w:val="105"/>
        </w:rPr>
        <w:t xml:space="preserve"> </w:t>
      </w:r>
      <w:r w:rsidRPr="0099170A">
        <w:rPr>
          <w:rFonts w:cstheme="minorHAnsi"/>
          <w:w w:val="105"/>
        </w:rPr>
        <w:t>The</w:t>
      </w:r>
      <w:r w:rsidRPr="0099170A">
        <w:rPr>
          <w:rFonts w:cstheme="minorHAnsi"/>
          <w:spacing w:val="13"/>
          <w:w w:val="105"/>
        </w:rPr>
        <w:t xml:space="preserve"> </w:t>
      </w:r>
      <w:r w:rsidRPr="0099170A">
        <w:rPr>
          <w:rFonts w:cstheme="minorHAnsi"/>
          <w:w w:val="105"/>
        </w:rPr>
        <w:t>Reemployment</w:t>
      </w:r>
      <w:r w:rsidRPr="0099170A">
        <w:rPr>
          <w:rFonts w:cstheme="minorHAnsi"/>
          <w:spacing w:val="13"/>
          <w:w w:val="105"/>
        </w:rPr>
        <w:t xml:space="preserve"> </w:t>
      </w:r>
      <w:r w:rsidRPr="0099170A">
        <w:rPr>
          <w:rFonts w:cstheme="minorHAnsi"/>
          <w:w w:val="105"/>
        </w:rPr>
        <w:t>Assistance</w:t>
      </w:r>
      <w:r w:rsidRPr="0099170A">
        <w:rPr>
          <w:rFonts w:cstheme="minorHAnsi"/>
          <w:spacing w:val="13"/>
          <w:w w:val="105"/>
        </w:rPr>
        <w:t xml:space="preserve"> </w:t>
      </w:r>
      <w:r w:rsidRPr="0099170A">
        <w:rPr>
          <w:rFonts w:cstheme="minorHAnsi"/>
          <w:w w:val="105"/>
        </w:rPr>
        <w:t>unit</w:t>
      </w:r>
      <w:r w:rsidRPr="0099170A">
        <w:rPr>
          <w:rFonts w:cstheme="minorHAnsi"/>
          <w:spacing w:val="13"/>
          <w:w w:val="105"/>
        </w:rPr>
        <w:t xml:space="preserve"> </w:t>
      </w:r>
      <w:r w:rsidRPr="0099170A">
        <w:rPr>
          <w:rFonts w:cstheme="minorHAnsi"/>
          <w:w w:val="105"/>
        </w:rPr>
        <w:t>conducts</w:t>
      </w:r>
      <w:r w:rsidRPr="0099170A">
        <w:rPr>
          <w:rFonts w:cstheme="minorHAnsi"/>
          <w:spacing w:val="13"/>
          <w:w w:val="105"/>
        </w:rPr>
        <w:t xml:space="preserve"> </w:t>
      </w:r>
      <w:r w:rsidRPr="0099170A">
        <w:rPr>
          <w:rFonts w:cstheme="minorHAnsi"/>
          <w:w w:val="105"/>
        </w:rPr>
        <w:t>a</w:t>
      </w:r>
      <w:r w:rsidRPr="0099170A">
        <w:rPr>
          <w:rFonts w:cstheme="minorHAnsi"/>
          <w:spacing w:val="13"/>
          <w:w w:val="105"/>
        </w:rPr>
        <w:t xml:space="preserve"> </w:t>
      </w:r>
      <w:r w:rsidRPr="0099170A">
        <w:rPr>
          <w:rFonts w:cstheme="minorHAnsi"/>
          <w:w w:val="105"/>
        </w:rPr>
        <w:t>follow</w:t>
      </w:r>
      <w:r w:rsidRPr="0099170A">
        <w:rPr>
          <w:rFonts w:cstheme="minorHAnsi"/>
          <w:spacing w:val="13"/>
          <w:w w:val="105"/>
        </w:rPr>
        <w:t xml:space="preserve"> </w:t>
      </w:r>
      <w:r w:rsidRPr="0099170A">
        <w:rPr>
          <w:rFonts w:cstheme="minorHAnsi"/>
          <w:w w:val="105"/>
        </w:rPr>
        <w:t>up</w:t>
      </w:r>
      <w:r w:rsidRPr="0099170A">
        <w:rPr>
          <w:rFonts w:cstheme="minorHAnsi"/>
          <w:spacing w:val="13"/>
          <w:w w:val="105"/>
        </w:rPr>
        <w:t xml:space="preserve"> </w:t>
      </w:r>
      <w:r w:rsidRPr="0099170A">
        <w:rPr>
          <w:rFonts w:cstheme="minorHAnsi"/>
          <w:w w:val="105"/>
        </w:rPr>
        <w:t>to</w:t>
      </w:r>
      <w:r w:rsidRPr="0099170A">
        <w:rPr>
          <w:rFonts w:cstheme="minorHAnsi"/>
          <w:spacing w:val="13"/>
          <w:w w:val="105"/>
        </w:rPr>
        <w:t xml:space="preserve"> </w:t>
      </w:r>
      <w:r w:rsidRPr="0099170A">
        <w:rPr>
          <w:rFonts w:cstheme="minorHAnsi"/>
          <w:w w:val="105"/>
        </w:rPr>
        <w:t>determine</w:t>
      </w:r>
      <w:r w:rsidRPr="0099170A">
        <w:rPr>
          <w:rFonts w:cstheme="minorHAnsi"/>
          <w:spacing w:val="13"/>
          <w:w w:val="105"/>
        </w:rPr>
        <w:t xml:space="preserve"> </w:t>
      </w:r>
      <w:r w:rsidR="00E06C00" w:rsidRPr="0099170A">
        <w:rPr>
          <w:rFonts w:cstheme="minorHAnsi"/>
          <w:w w:val="105"/>
        </w:rPr>
        <w:t xml:space="preserve">if </w:t>
      </w:r>
      <w:r w:rsidRPr="0099170A">
        <w:rPr>
          <w:rFonts w:cstheme="minorHAnsi"/>
          <w:w w:val="105"/>
        </w:rPr>
        <w:t>the</w:t>
      </w:r>
      <w:r w:rsidRPr="0099170A">
        <w:rPr>
          <w:rFonts w:cstheme="minorHAnsi"/>
          <w:spacing w:val="8"/>
          <w:w w:val="105"/>
        </w:rPr>
        <w:t xml:space="preserve"> </w:t>
      </w:r>
      <w:r w:rsidRPr="0099170A">
        <w:rPr>
          <w:rFonts w:cstheme="minorHAnsi"/>
          <w:w w:val="105"/>
        </w:rPr>
        <w:t>absence</w:t>
      </w:r>
      <w:r w:rsidRPr="0099170A">
        <w:rPr>
          <w:rFonts w:cstheme="minorHAnsi"/>
          <w:spacing w:val="8"/>
          <w:w w:val="105"/>
        </w:rPr>
        <w:t xml:space="preserve"> </w:t>
      </w:r>
      <w:r w:rsidRPr="0099170A">
        <w:rPr>
          <w:rFonts w:cstheme="minorHAnsi"/>
          <w:w w:val="105"/>
        </w:rPr>
        <w:t>should</w:t>
      </w:r>
      <w:r w:rsidRPr="0099170A">
        <w:rPr>
          <w:rFonts w:cstheme="minorHAnsi"/>
          <w:spacing w:val="8"/>
          <w:w w:val="105"/>
        </w:rPr>
        <w:t xml:space="preserve"> </w:t>
      </w:r>
      <w:r w:rsidRPr="0099170A">
        <w:rPr>
          <w:rFonts w:cstheme="minorHAnsi"/>
          <w:w w:val="105"/>
        </w:rPr>
        <w:t>result</w:t>
      </w:r>
      <w:r w:rsidRPr="0099170A">
        <w:rPr>
          <w:rFonts w:cstheme="minorHAnsi"/>
          <w:spacing w:val="8"/>
          <w:w w:val="105"/>
        </w:rPr>
        <w:t xml:space="preserve"> </w:t>
      </w:r>
      <w:r w:rsidRPr="0099170A">
        <w:rPr>
          <w:rFonts w:cstheme="minorHAnsi"/>
          <w:w w:val="105"/>
        </w:rPr>
        <w:t>in</w:t>
      </w:r>
      <w:r w:rsidRPr="0099170A">
        <w:rPr>
          <w:rFonts w:cstheme="minorHAnsi"/>
          <w:spacing w:val="8"/>
          <w:w w:val="105"/>
        </w:rPr>
        <w:t xml:space="preserve"> </w:t>
      </w:r>
      <w:r w:rsidRPr="0099170A">
        <w:rPr>
          <w:rFonts w:cstheme="minorHAnsi"/>
          <w:w w:val="105"/>
        </w:rPr>
        <w:t>a</w:t>
      </w:r>
      <w:r w:rsidRPr="0099170A">
        <w:rPr>
          <w:rFonts w:cstheme="minorHAnsi"/>
          <w:spacing w:val="8"/>
          <w:w w:val="105"/>
        </w:rPr>
        <w:t xml:space="preserve"> </w:t>
      </w:r>
      <w:r w:rsidRPr="0099170A">
        <w:rPr>
          <w:rFonts w:cstheme="minorHAnsi"/>
          <w:w w:val="105"/>
        </w:rPr>
        <w:t>disqualification.</w:t>
      </w:r>
      <w:r w:rsidRPr="0099170A">
        <w:rPr>
          <w:rFonts w:cstheme="minorHAnsi"/>
          <w:spacing w:val="8"/>
          <w:w w:val="105"/>
        </w:rPr>
        <w:t xml:space="preserve"> </w:t>
      </w:r>
      <w:r w:rsidR="00E06C00" w:rsidRPr="0099170A">
        <w:rPr>
          <w:rFonts w:cstheme="minorHAnsi"/>
          <w:spacing w:val="14"/>
          <w:w w:val="105"/>
        </w:rPr>
        <w:t xml:space="preserve">An </w:t>
      </w:r>
      <w:r w:rsidR="00E06C00" w:rsidRPr="0099170A">
        <w:rPr>
          <w:rFonts w:cstheme="minorHAnsi"/>
          <w:w w:val="105"/>
        </w:rPr>
        <w:t>eligibility</w:t>
      </w:r>
      <w:r w:rsidR="00E06C00" w:rsidRPr="0099170A">
        <w:rPr>
          <w:rFonts w:cstheme="minorHAnsi"/>
          <w:spacing w:val="14"/>
          <w:w w:val="105"/>
        </w:rPr>
        <w:t xml:space="preserve"> </w:t>
      </w:r>
      <w:r w:rsidR="00E06C00" w:rsidRPr="0099170A">
        <w:rPr>
          <w:rFonts w:cstheme="minorHAnsi"/>
          <w:w w:val="105"/>
        </w:rPr>
        <w:t>review</w:t>
      </w:r>
      <w:r w:rsidR="00E06C00" w:rsidRPr="0099170A">
        <w:rPr>
          <w:rFonts w:cstheme="minorHAnsi"/>
          <w:spacing w:val="14"/>
          <w:w w:val="105"/>
        </w:rPr>
        <w:t xml:space="preserve"> </w:t>
      </w:r>
      <w:r w:rsidR="00E06C00" w:rsidRPr="0099170A">
        <w:rPr>
          <w:rFonts w:cstheme="minorHAnsi"/>
          <w:w w:val="105"/>
        </w:rPr>
        <w:t>program</w:t>
      </w:r>
      <w:r w:rsidR="00E06C00" w:rsidRPr="0099170A">
        <w:rPr>
          <w:rFonts w:cstheme="minorHAnsi"/>
          <w:spacing w:val="14"/>
          <w:w w:val="105"/>
        </w:rPr>
        <w:t xml:space="preserve"> </w:t>
      </w:r>
      <w:r w:rsidR="00E06C00" w:rsidRPr="0099170A">
        <w:rPr>
          <w:rFonts w:cstheme="minorHAnsi"/>
          <w:w w:val="105"/>
        </w:rPr>
        <w:t>(ERP)</w:t>
      </w:r>
      <w:r w:rsidR="00E06C00" w:rsidRPr="0099170A">
        <w:rPr>
          <w:rFonts w:cstheme="minorHAnsi"/>
          <w:spacing w:val="14"/>
          <w:w w:val="105"/>
        </w:rPr>
        <w:t xml:space="preserve"> </w:t>
      </w:r>
      <w:r w:rsidR="00E06C00" w:rsidRPr="0099170A">
        <w:rPr>
          <w:rFonts w:cstheme="minorHAnsi"/>
          <w:w w:val="105"/>
        </w:rPr>
        <w:t>questionnaire</w:t>
      </w:r>
      <w:r w:rsidR="00E06C00" w:rsidRPr="0099170A">
        <w:rPr>
          <w:rFonts w:cstheme="minorHAnsi"/>
          <w:spacing w:val="14"/>
          <w:w w:val="105"/>
        </w:rPr>
        <w:t xml:space="preserve"> is conducted for all </w:t>
      </w:r>
      <w:r w:rsidRPr="0099170A">
        <w:rPr>
          <w:rFonts w:cstheme="minorHAnsi"/>
          <w:w w:val="105"/>
        </w:rPr>
        <w:t>RESEA</w:t>
      </w:r>
      <w:r w:rsidRPr="0099170A">
        <w:rPr>
          <w:rFonts w:cstheme="minorHAnsi"/>
          <w:spacing w:val="14"/>
          <w:w w:val="105"/>
        </w:rPr>
        <w:t xml:space="preserve"> </w:t>
      </w:r>
      <w:r w:rsidRPr="0099170A">
        <w:rPr>
          <w:rFonts w:cstheme="minorHAnsi"/>
          <w:w w:val="105"/>
        </w:rPr>
        <w:t>claimants</w:t>
      </w:r>
      <w:r w:rsidRPr="0099170A">
        <w:rPr>
          <w:rFonts w:cstheme="minorHAnsi"/>
          <w:spacing w:val="14"/>
          <w:w w:val="105"/>
        </w:rPr>
        <w:t xml:space="preserve"> </w:t>
      </w:r>
      <w:r w:rsidRPr="0099170A">
        <w:rPr>
          <w:rFonts w:cstheme="minorHAnsi"/>
          <w:w w:val="105"/>
        </w:rPr>
        <w:t xml:space="preserve">to determine </w:t>
      </w:r>
      <w:r w:rsidR="00E06C00" w:rsidRPr="0099170A">
        <w:rPr>
          <w:rFonts w:cstheme="minorHAnsi"/>
          <w:w w:val="105"/>
        </w:rPr>
        <w:t xml:space="preserve">eligibility for </w:t>
      </w:r>
      <w:r w:rsidRPr="0099170A">
        <w:rPr>
          <w:rFonts w:cstheme="minorHAnsi"/>
          <w:w w:val="105"/>
        </w:rPr>
        <w:t>continued benefit</w:t>
      </w:r>
      <w:r w:rsidR="00E06C00" w:rsidRPr="0099170A">
        <w:rPr>
          <w:rFonts w:cstheme="minorHAnsi"/>
          <w:spacing w:val="2"/>
          <w:w w:val="105"/>
        </w:rPr>
        <w:t>s.</w:t>
      </w:r>
    </w:p>
    <w:p w14:paraId="29E21D54" w14:textId="77777777" w:rsidR="00EA7458" w:rsidRPr="0099170A" w:rsidRDefault="00EA7458" w:rsidP="00D63204">
      <w:pPr>
        <w:widowControl w:val="0"/>
        <w:spacing w:before="5" w:after="0" w:line="240" w:lineRule="auto"/>
        <w:ind w:left="107"/>
        <w:rPr>
          <w:rFonts w:cstheme="minorHAnsi"/>
          <w:sz w:val="16"/>
          <w:szCs w:val="16"/>
        </w:rPr>
      </w:pPr>
    </w:p>
    <w:p w14:paraId="2267D404" w14:textId="15F52835" w:rsidR="00A0558C" w:rsidRDefault="00A0558C" w:rsidP="00D63204">
      <w:pPr>
        <w:widowControl w:val="0"/>
        <w:spacing w:after="0" w:line="264" w:lineRule="exact"/>
        <w:ind w:left="107"/>
        <w:rPr>
          <w:rFonts w:cstheme="minorHAnsi"/>
          <w:w w:val="105"/>
        </w:rPr>
      </w:pPr>
      <w:r w:rsidRPr="0099170A">
        <w:rPr>
          <w:rFonts w:cstheme="minorHAnsi"/>
          <w:w w:val="105"/>
        </w:rPr>
        <w:t>For</w:t>
      </w:r>
      <w:r w:rsidRPr="007D2256">
        <w:rPr>
          <w:rFonts w:cstheme="minorHAnsi"/>
          <w:w w:val="105"/>
        </w:rPr>
        <w:t xml:space="preserve"> </w:t>
      </w:r>
      <w:r w:rsidRPr="0099170A">
        <w:rPr>
          <w:rFonts w:cstheme="minorHAnsi"/>
          <w:w w:val="105"/>
        </w:rPr>
        <w:t>the</w:t>
      </w:r>
      <w:r w:rsidRPr="007D2256">
        <w:rPr>
          <w:rFonts w:cstheme="minorHAnsi"/>
          <w:w w:val="105"/>
        </w:rPr>
        <w:t xml:space="preserve"> </w:t>
      </w:r>
      <w:r w:rsidRPr="0099170A">
        <w:rPr>
          <w:rFonts w:cstheme="minorHAnsi"/>
          <w:w w:val="105"/>
        </w:rPr>
        <w:t>PREP</w:t>
      </w:r>
      <w:r w:rsidRPr="007D2256">
        <w:rPr>
          <w:rFonts w:cstheme="minorHAnsi"/>
          <w:w w:val="105"/>
        </w:rPr>
        <w:t xml:space="preserve"> </w:t>
      </w:r>
      <w:r w:rsidRPr="0099170A">
        <w:rPr>
          <w:rFonts w:cstheme="minorHAnsi"/>
          <w:w w:val="105"/>
        </w:rPr>
        <w:t>program,</w:t>
      </w:r>
      <w:r w:rsidRPr="007D2256">
        <w:rPr>
          <w:rFonts w:cstheme="minorHAnsi"/>
          <w:w w:val="105"/>
        </w:rPr>
        <w:t xml:space="preserve"> </w:t>
      </w:r>
      <w:r w:rsidRPr="0099170A">
        <w:rPr>
          <w:rFonts w:cstheme="minorHAnsi"/>
          <w:w w:val="105"/>
        </w:rPr>
        <w:t>claimant</w:t>
      </w:r>
      <w:r w:rsidRPr="007D2256">
        <w:rPr>
          <w:rFonts w:cstheme="minorHAnsi"/>
          <w:w w:val="105"/>
        </w:rPr>
        <w:t xml:space="preserve"> </w:t>
      </w:r>
      <w:r w:rsidRPr="0099170A">
        <w:rPr>
          <w:rFonts w:cstheme="minorHAnsi"/>
          <w:w w:val="105"/>
        </w:rPr>
        <w:t>attendance</w:t>
      </w:r>
      <w:r w:rsidRPr="007D2256">
        <w:rPr>
          <w:rFonts w:cstheme="minorHAnsi"/>
          <w:w w:val="105"/>
        </w:rPr>
        <w:t xml:space="preserve"> </w:t>
      </w:r>
      <w:r w:rsidRPr="0099170A">
        <w:rPr>
          <w:rFonts w:cstheme="minorHAnsi"/>
          <w:w w:val="105"/>
        </w:rPr>
        <w:t>is</w:t>
      </w:r>
      <w:r w:rsidRPr="007D2256">
        <w:rPr>
          <w:rFonts w:cstheme="minorHAnsi"/>
          <w:w w:val="105"/>
        </w:rPr>
        <w:t xml:space="preserve"> </w:t>
      </w:r>
      <w:r w:rsidRPr="0099170A">
        <w:rPr>
          <w:rFonts w:cstheme="minorHAnsi"/>
          <w:w w:val="105"/>
        </w:rPr>
        <w:t>recorded</w:t>
      </w:r>
      <w:r w:rsidRPr="007D2256">
        <w:rPr>
          <w:rFonts w:cstheme="minorHAnsi"/>
          <w:w w:val="105"/>
        </w:rPr>
        <w:t xml:space="preserve"> </w:t>
      </w:r>
      <w:r w:rsidRPr="0099170A">
        <w:rPr>
          <w:rFonts w:cstheme="minorHAnsi"/>
          <w:w w:val="105"/>
        </w:rPr>
        <w:t>in</w:t>
      </w:r>
      <w:r w:rsidR="00AA5A73" w:rsidRPr="007D2256">
        <w:rPr>
          <w:rFonts w:cstheme="minorHAnsi"/>
          <w:w w:val="105"/>
        </w:rPr>
        <w:t xml:space="preserve"> Employ Florida</w:t>
      </w:r>
      <w:r w:rsidRPr="007D2256">
        <w:rPr>
          <w:rFonts w:cstheme="minorHAnsi"/>
          <w:w w:val="105"/>
        </w:rPr>
        <w:t xml:space="preserve"> </w:t>
      </w:r>
      <w:r w:rsidRPr="0099170A">
        <w:rPr>
          <w:rFonts w:cstheme="minorHAnsi"/>
          <w:w w:val="105"/>
        </w:rPr>
        <w:t>and</w:t>
      </w:r>
      <w:r w:rsidRPr="007D2256">
        <w:rPr>
          <w:rFonts w:cstheme="minorHAnsi"/>
          <w:w w:val="105"/>
        </w:rPr>
        <w:t xml:space="preserve"> </w:t>
      </w:r>
      <w:r w:rsidRPr="0099170A">
        <w:rPr>
          <w:rFonts w:cstheme="minorHAnsi"/>
          <w:w w:val="105"/>
        </w:rPr>
        <w:t>reported</w:t>
      </w:r>
      <w:r w:rsidRPr="007D2256">
        <w:rPr>
          <w:rFonts w:cstheme="minorHAnsi"/>
          <w:w w:val="105"/>
        </w:rPr>
        <w:t xml:space="preserve"> </w:t>
      </w:r>
      <w:r w:rsidRPr="0099170A">
        <w:rPr>
          <w:rFonts w:cstheme="minorHAnsi"/>
          <w:w w:val="105"/>
        </w:rPr>
        <w:t>to</w:t>
      </w:r>
      <w:r w:rsidRPr="007D2256">
        <w:rPr>
          <w:rFonts w:cstheme="minorHAnsi"/>
          <w:w w:val="105"/>
        </w:rPr>
        <w:t xml:space="preserve"> </w:t>
      </w:r>
      <w:r w:rsidRPr="0099170A">
        <w:rPr>
          <w:rFonts w:cstheme="minorHAnsi"/>
          <w:w w:val="105"/>
        </w:rPr>
        <w:t>the RA system. Claimants failing to report for their appointment are contacted by adjudication for</w:t>
      </w:r>
      <w:r w:rsidRPr="007D2256">
        <w:rPr>
          <w:rFonts w:cstheme="minorHAnsi"/>
          <w:w w:val="105"/>
        </w:rPr>
        <w:t xml:space="preserve"> </w:t>
      </w:r>
      <w:r w:rsidRPr="0099170A">
        <w:rPr>
          <w:rFonts w:cstheme="minorHAnsi"/>
          <w:w w:val="105"/>
        </w:rPr>
        <w:t>benefit eligibility</w:t>
      </w:r>
      <w:r w:rsidRPr="007D2256">
        <w:rPr>
          <w:rFonts w:cstheme="minorHAnsi"/>
          <w:w w:val="105"/>
        </w:rPr>
        <w:t xml:space="preserve"> </w:t>
      </w:r>
      <w:r w:rsidRPr="0099170A">
        <w:rPr>
          <w:rFonts w:cstheme="minorHAnsi"/>
          <w:w w:val="105"/>
        </w:rPr>
        <w:t>determinations.</w:t>
      </w:r>
    </w:p>
    <w:p w14:paraId="29FC0282" w14:textId="39DCEBE6" w:rsidR="00621F2D" w:rsidRDefault="00621F2D">
      <w:pPr>
        <w:rPr>
          <w:rFonts w:cstheme="minorHAnsi"/>
          <w:sz w:val="16"/>
          <w:szCs w:val="16"/>
        </w:rPr>
      </w:pPr>
      <w:r>
        <w:rPr>
          <w:rFonts w:cstheme="minorHAnsi"/>
          <w:sz w:val="16"/>
          <w:szCs w:val="16"/>
        </w:rPr>
        <w:br w:type="page"/>
      </w:r>
    </w:p>
    <w:p w14:paraId="6B52AD05" w14:textId="77777777" w:rsidR="00EA7458" w:rsidRPr="0099170A" w:rsidRDefault="00EA7458" w:rsidP="00D63204">
      <w:pPr>
        <w:widowControl w:val="0"/>
        <w:spacing w:before="5" w:after="0" w:line="240" w:lineRule="auto"/>
        <w:ind w:left="107"/>
        <w:rPr>
          <w:rFonts w:cstheme="minorHAnsi"/>
          <w:sz w:val="16"/>
          <w:szCs w:val="16"/>
        </w:rPr>
      </w:pPr>
    </w:p>
    <w:p w14:paraId="43F8EE52" w14:textId="77777777" w:rsidR="00EA7458" w:rsidRPr="0099170A" w:rsidRDefault="00EA7458" w:rsidP="00D63204">
      <w:pPr>
        <w:widowControl w:val="0"/>
        <w:numPr>
          <w:ilvl w:val="1"/>
          <w:numId w:val="3"/>
        </w:numPr>
        <w:tabs>
          <w:tab w:val="left" w:pos="1098"/>
        </w:tabs>
        <w:spacing w:after="0" w:line="264" w:lineRule="exact"/>
        <w:outlineLvl w:val="2"/>
        <w:rPr>
          <w:rFonts w:cstheme="minorHAnsi"/>
        </w:rPr>
      </w:pPr>
      <w:r w:rsidRPr="0099170A">
        <w:rPr>
          <w:rFonts w:cstheme="minorHAnsi"/>
          <w:b/>
          <w:bCs/>
          <w:color w:val="295CA3"/>
          <w:w w:val="110"/>
        </w:rPr>
        <w:t>Provision</w:t>
      </w:r>
      <w:r w:rsidRPr="0099170A">
        <w:rPr>
          <w:rFonts w:cstheme="minorHAnsi"/>
          <w:b/>
          <w:bCs/>
          <w:color w:val="295CA3"/>
          <w:spacing w:val="-7"/>
          <w:w w:val="110"/>
        </w:rPr>
        <w:t xml:space="preserve"> </w:t>
      </w:r>
      <w:r w:rsidRPr="0099170A">
        <w:rPr>
          <w:rFonts w:cstheme="minorHAnsi"/>
          <w:b/>
          <w:bCs/>
          <w:color w:val="295CA3"/>
          <w:w w:val="110"/>
        </w:rPr>
        <w:t>of</w:t>
      </w:r>
      <w:r w:rsidRPr="0099170A">
        <w:rPr>
          <w:rFonts w:cstheme="minorHAnsi"/>
          <w:b/>
          <w:bCs/>
          <w:color w:val="295CA3"/>
          <w:spacing w:val="-7"/>
          <w:w w:val="110"/>
        </w:rPr>
        <w:t xml:space="preserve"> </w:t>
      </w:r>
      <w:r w:rsidRPr="0099170A">
        <w:rPr>
          <w:rFonts w:cstheme="minorHAnsi"/>
          <w:b/>
          <w:bCs/>
          <w:color w:val="295CA3"/>
          <w:w w:val="110"/>
        </w:rPr>
        <w:t>Referrals</w:t>
      </w:r>
      <w:r w:rsidRPr="0099170A">
        <w:rPr>
          <w:rFonts w:cstheme="minorHAnsi"/>
          <w:b/>
          <w:bCs/>
          <w:color w:val="295CA3"/>
          <w:spacing w:val="-7"/>
          <w:w w:val="110"/>
        </w:rPr>
        <w:t xml:space="preserve"> </w:t>
      </w:r>
      <w:r w:rsidRPr="0099170A">
        <w:rPr>
          <w:rFonts w:cstheme="minorHAnsi"/>
          <w:b/>
          <w:bCs/>
          <w:color w:val="295CA3"/>
          <w:w w:val="110"/>
        </w:rPr>
        <w:t>to</w:t>
      </w:r>
      <w:r w:rsidRPr="0099170A">
        <w:rPr>
          <w:rFonts w:cstheme="minorHAnsi"/>
          <w:b/>
          <w:bCs/>
          <w:color w:val="295CA3"/>
          <w:spacing w:val="-7"/>
          <w:w w:val="110"/>
        </w:rPr>
        <w:t xml:space="preserve"> </w:t>
      </w:r>
      <w:r w:rsidRPr="0099170A">
        <w:rPr>
          <w:rFonts w:cstheme="minorHAnsi"/>
          <w:b/>
          <w:bCs/>
          <w:color w:val="295CA3"/>
          <w:w w:val="110"/>
        </w:rPr>
        <w:t>and</w:t>
      </w:r>
      <w:r w:rsidRPr="0099170A">
        <w:rPr>
          <w:rFonts w:cstheme="minorHAnsi"/>
          <w:b/>
          <w:bCs/>
          <w:color w:val="295CA3"/>
          <w:spacing w:val="-7"/>
          <w:w w:val="110"/>
        </w:rPr>
        <w:t xml:space="preserve"> </w:t>
      </w:r>
      <w:r w:rsidRPr="0099170A">
        <w:rPr>
          <w:rFonts w:cstheme="minorHAnsi"/>
          <w:b/>
          <w:bCs/>
          <w:color w:val="295CA3"/>
          <w:w w:val="110"/>
        </w:rPr>
        <w:t>Application</w:t>
      </w:r>
      <w:r w:rsidRPr="0099170A">
        <w:rPr>
          <w:rFonts w:cstheme="minorHAnsi"/>
          <w:b/>
          <w:bCs/>
          <w:color w:val="295CA3"/>
          <w:spacing w:val="-7"/>
          <w:w w:val="110"/>
        </w:rPr>
        <w:t xml:space="preserve"> </w:t>
      </w:r>
      <w:r w:rsidRPr="0099170A">
        <w:rPr>
          <w:rFonts w:cstheme="minorHAnsi"/>
          <w:b/>
          <w:bCs/>
          <w:color w:val="295CA3"/>
          <w:w w:val="110"/>
        </w:rPr>
        <w:t>Assistance</w:t>
      </w:r>
      <w:r w:rsidRPr="0099170A">
        <w:rPr>
          <w:rFonts w:cstheme="minorHAnsi"/>
          <w:b/>
          <w:bCs/>
          <w:color w:val="295CA3"/>
          <w:spacing w:val="-7"/>
          <w:w w:val="110"/>
        </w:rPr>
        <w:t xml:space="preserve"> </w:t>
      </w:r>
      <w:r w:rsidRPr="0099170A">
        <w:rPr>
          <w:rFonts w:cstheme="minorHAnsi"/>
          <w:b/>
          <w:bCs/>
          <w:color w:val="295CA3"/>
          <w:w w:val="110"/>
        </w:rPr>
        <w:t>for</w:t>
      </w:r>
      <w:r w:rsidRPr="0099170A">
        <w:rPr>
          <w:rFonts w:cstheme="minorHAnsi"/>
          <w:b/>
          <w:bCs/>
          <w:color w:val="295CA3"/>
          <w:spacing w:val="-7"/>
          <w:w w:val="110"/>
        </w:rPr>
        <w:t xml:space="preserve"> </w:t>
      </w:r>
      <w:r w:rsidRPr="0099170A">
        <w:rPr>
          <w:rFonts w:cstheme="minorHAnsi"/>
          <w:b/>
          <w:bCs/>
          <w:color w:val="295CA3"/>
          <w:w w:val="110"/>
        </w:rPr>
        <w:t>Training</w:t>
      </w:r>
      <w:r w:rsidRPr="0099170A">
        <w:rPr>
          <w:rFonts w:cstheme="minorHAnsi"/>
          <w:b/>
          <w:bCs/>
          <w:color w:val="295CA3"/>
          <w:spacing w:val="-7"/>
          <w:w w:val="110"/>
        </w:rPr>
        <w:t xml:space="preserve"> </w:t>
      </w:r>
      <w:r w:rsidRPr="0099170A">
        <w:rPr>
          <w:rFonts w:cstheme="minorHAnsi"/>
          <w:b/>
          <w:bCs/>
          <w:color w:val="295CA3"/>
          <w:w w:val="110"/>
        </w:rPr>
        <w:t>and</w:t>
      </w:r>
      <w:r w:rsidRPr="0099170A">
        <w:rPr>
          <w:rFonts w:cstheme="minorHAnsi"/>
          <w:b/>
          <w:bCs/>
          <w:color w:val="295CA3"/>
          <w:spacing w:val="-7"/>
          <w:w w:val="110"/>
        </w:rPr>
        <w:t xml:space="preserve"> </w:t>
      </w:r>
      <w:r w:rsidRPr="0099170A">
        <w:rPr>
          <w:rFonts w:cstheme="minorHAnsi"/>
          <w:b/>
          <w:bCs/>
          <w:color w:val="295CA3"/>
          <w:w w:val="110"/>
        </w:rPr>
        <w:t>Education</w:t>
      </w:r>
      <w:r w:rsidRPr="0099170A">
        <w:rPr>
          <w:rFonts w:cstheme="minorHAnsi"/>
          <w:b/>
          <w:bCs/>
          <w:color w:val="295CA3"/>
          <w:spacing w:val="-7"/>
          <w:w w:val="110"/>
        </w:rPr>
        <w:t xml:space="preserve"> </w:t>
      </w:r>
      <w:r w:rsidRPr="0099170A">
        <w:rPr>
          <w:rFonts w:cstheme="minorHAnsi"/>
          <w:b/>
          <w:bCs/>
          <w:color w:val="295CA3"/>
          <w:w w:val="110"/>
        </w:rPr>
        <w:t>Programs and</w:t>
      </w:r>
      <w:r w:rsidRPr="0099170A">
        <w:rPr>
          <w:rFonts w:cstheme="minorHAnsi"/>
          <w:b/>
          <w:bCs/>
          <w:color w:val="295CA3"/>
          <w:spacing w:val="1"/>
          <w:w w:val="110"/>
        </w:rPr>
        <w:t xml:space="preserve"> </w:t>
      </w:r>
      <w:r w:rsidRPr="0099170A">
        <w:rPr>
          <w:rFonts w:cstheme="minorHAnsi"/>
          <w:b/>
          <w:bCs/>
          <w:color w:val="295CA3"/>
          <w:w w:val="110"/>
        </w:rPr>
        <w:t>Resources</w:t>
      </w:r>
    </w:p>
    <w:p w14:paraId="3FDBA95D" w14:textId="77777777" w:rsidR="00EA7458" w:rsidRPr="0099170A" w:rsidRDefault="00EA7458" w:rsidP="00D63204">
      <w:pPr>
        <w:widowControl w:val="0"/>
        <w:spacing w:before="5" w:after="0" w:line="240" w:lineRule="auto"/>
        <w:ind w:left="107"/>
        <w:rPr>
          <w:rFonts w:cstheme="minorHAnsi"/>
          <w:b/>
          <w:bCs/>
          <w:sz w:val="16"/>
          <w:szCs w:val="16"/>
        </w:rPr>
      </w:pPr>
    </w:p>
    <w:p w14:paraId="538DE653" w14:textId="238AF714" w:rsidR="00EA7458" w:rsidRPr="0099170A" w:rsidRDefault="00A710FC" w:rsidP="00D63204">
      <w:pPr>
        <w:widowControl w:val="0"/>
        <w:spacing w:after="0" w:line="264" w:lineRule="exact"/>
        <w:ind w:left="107"/>
        <w:rPr>
          <w:rFonts w:cstheme="minorHAnsi"/>
        </w:rPr>
      </w:pPr>
      <w:r w:rsidRPr="0099170A">
        <w:rPr>
          <w:rFonts w:cstheme="minorHAnsi"/>
          <w:w w:val="105"/>
        </w:rPr>
        <w:t>R</w:t>
      </w:r>
      <w:r w:rsidR="00EA7458" w:rsidRPr="0099170A">
        <w:rPr>
          <w:rFonts w:cstheme="minorHAnsi"/>
          <w:w w:val="105"/>
        </w:rPr>
        <w:t>egardless</w:t>
      </w:r>
      <w:r w:rsidR="00EA7458" w:rsidRPr="0099170A">
        <w:rPr>
          <w:rFonts w:cstheme="minorHAnsi"/>
          <w:spacing w:val="10"/>
          <w:w w:val="105"/>
        </w:rPr>
        <w:t xml:space="preserve"> </w:t>
      </w:r>
      <w:r w:rsidR="00EA7458" w:rsidRPr="0099170A">
        <w:rPr>
          <w:rFonts w:cstheme="minorHAnsi"/>
          <w:w w:val="105"/>
        </w:rPr>
        <w:t>of</w:t>
      </w:r>
      <w:r w:rsidR="00EA7458" w:rsidRPr="0099170A">
        <w:rPr>
          <w:rFonts w:cstheme="minorHAnsi"/>
          <w:spacing w:val="10"/>
          <w:w w:val="105"/>
        </w:rPr>
        <w:t xml:space="preserve"> </w:t>
      </w:r>
      <w:r w:rsidR="00EA7458" w:rsidRPr="0099170A">
        <w:rPr>
          <w:rFonts w:cstheme="minorHAnsi"/>
          <w:w w:val="105"/>
        </w:rPr>
        <w:t>the</w:t>
      </w:r>
      <w:r w:rsidR="009F0C2A" w:rsidRPr="0099170A">
        <w:rPr>
          <w:rFonts w:cstheme="minorHAnsi"/>
          <w:w w:val="105"/>
        </w:rPr>
        <w:t>ir</w:t>
      </w:r>
      <w:r w:rsidR="00EA7458" w:rsidRPr="0099170A">
        <w:rPr>
          <w:rFonts w:cstheme="minorHAnsi"/>
          <w:spacing w:val="10"/>
          <w:w w:val="105"/>
        </w:rPr>
        <w:t xml:space="preserve"> </w:t>
      </w:r>
      <w:r w:rsidR="00EA7458" w:rsidRPr="0099170A">
        <w:rPr>
          <w:rFonts w:cstheme="minorHAnsi"/>
          <w:w w:val="105"/>
        </w:rPr>
        <w:t>point</w:t>
      </w:r>
      <w:r w:rsidR="00EA7458" w:rsidRPr="0099170A">
        <w:rPr>
          <w:rFonts w:cstheme="minorHAnsi"/>
          <w:spacing w:val="10"/>
          <w:w w:val="105"/>
        </w:rPr>
        <w:t xml:space="preserve"> </w:t>
      </w:r>
      <w:r w:rsidR="00EA7458" w:rsidRPr="0099170A">
        <w:rPr>
          <w:rFonts w:cstheme="minorHAnsi"/>
          <w:w w:val="105"/>
        </w:rPr>
        <w:t>of</w:t>
      </w:r>
      <w:r w:rsidR="00EA7458" w:rsidRPr="0099170A">
        <w:rPr>
          <w:rFonts w:cstheme="minorHAnsi"/>
          <w:spacing w:val="10"/>
          <w:w w:val="105"/>
        </w:rPr>
        <w:t xml:space="preserve"> </w:t>
      </w:r>
      <w:r w:rsidR="00EA7458" w:rsidRPr="0099170A">
        <w:rPr>
          <w:rFonts w:cstheme="minorHAnsi"/>
          <w:spacing w:val="-3"/>
          <w:w w:val="105"/>
        </w:rPr>
        <w:t>entry,</w:t>
      </w:r>
      <w:r w:rsidR="00EA7458" w:rsidRPr="0099170A">
        <w:rPr>
          <w:rFonts w:cstheme="minorHAnsi"/>
          <w:spacing w:val="10"/>
          <w:w w:val="105"/>
        </w:rPr>
        <w:t xml:space="preserve"> </w:t>
      </w:r>
      <w:r w:rsidRPr="0099170A">
        <w:rPr>
          <w:rFonts w:cstheme="minorHAnsi"/>
          <w:spacing w:val="10"/>
          <w:w w:val="105"/>
        </w:rPr>
        <w:t xml:space="preserve">claimants </w:t>
      </w:r>
      <w:r w:rsidR="00EA7458" w:rsidRPr="0099170A">
        <w:rPr>
          <w:rFonts w:cstheme="minorHAnsi"/>
          <w:w w:val="105"/>
        </w:rPr>
        <w:t>are</w:t>
      </w:r>
      <w:r w:rsidR="00EA7458" w:rsidRPr="0099170A">
        <w:rPr>
          <w:rFonts w:cstheme="minorHAnsi"/>
          <w:spacing w:val="10"/>
          <w:w w:val="105"/>
        </w:rPr>
        <w:t xml:space="preserve"> </w:t>
      </w:r>
      <w:r w:rsidR="00EA7458" w:rsidRPr="0099170A">
        <w:rPr>
          <w:rFonts w:cstheme="minorHAnsi"/>
          <w:w w:val="105"/>
        </w:rPr>
        <w:t>assessed</w:t>
      </w:r>
      <w:r w:rsidR="00EA7458" w:rsidRPr="0099170A">
        <w:rPr>
          <w:rFonts w:cstheme="minorHAnsi"/>
          <w:spacing w:val="10"/>
          <w:w w:val="105"/>
        </w:rPr>
        <w:t xml:space="preserve"> </w:t>
      </w:r>
      <w:r w:rsidR="00EA7458" w:rsidRPr="0099170A">
        <w:rPr>
          <w:rFonts w:cstheme="minorHAnsi"/>
          <w:w w:val="105"/>
        </w:rPr>
        <w:t>to</w:t>
      </w:r>
      <w:r w:rsidR="00EA7458" w:rsidRPr="0099170A">
        <w:rPr>
          <w:rFonts w:cstheme="minorHAnsi"/>
          <w:spacing w:val="10"/>
          <w:w w:val="105"/>
        </w:rPr>
        <w:t xml:space="preserve"> </w:t>
      </w:r>
      <w:r w:rsidR="00EA7458" w:rsidRPr="0099170A">
        <w:rPr>
          <w:rFonts w:cstheme="minorHAnsi"/>
          <w:w w:val="105"/>
        </w:rPr>
        <w:t>determine</w:t>
      </w:r>
      <w:r w:rsidR="00EA7458" w:rsidRPr="0099170A">
        <w:rPr>
          <w:rFonts w:cstheme="minorHAnsi"/>
          <w:spacing w:val="10"/>
          <w:w w:val="105"/>
        </w:rPr>
        <w:t xml:space="preserve"> </w:t>
      </w:r>
      <w:r w:rsidR="00EA7458" w:rsidRPr="0099170A">
        <w:rPr>
          <w:rFonts w:cstheme="minorHAnsi"/>
          <w:w w:val="105"/>
        </w:rPr>
        <w:t>their</w:t>
      </w:r>
      <w:r w:rsidR="00EA7458" w:rsidRPr="0099170A">
        <w:rPr>
          <w:rFonts w:cstheme="minorHAnsi"/>
          <w:spacing w:val="10"/>
          <w:w w:val="105"/>
        </w:rPr>
        <w:t xml:space="preserve"> </w:t>
      </w:r>
      <w:r w:rsidR="00EA7458" w:rsidRPr="0099170A">
        <w:rPr>
          <w:rFonts w:cstheme="minorHAnsi"/>
          <w:w w:val="105"/>
        </w:rPr>
        <w:t>employment</w:t>
      </w:r>
      <w:r w:rsidR="00EA7458" w:rsidRPr="0099170A">
        <w:rPr>
          <w:rFonts w:cstheme="minorHAnsi"/>
          <w:spacing w:val="10"/>
          <w:w w:val="105"/>
        </w:rPr>
        <w:t xml:space="preserve"> </w:t>
      </w:r>
      <w:r w:rsidR="00EA7458" w:rsidRPr="0099170A">
        <w:rPr>
          <w:rFonts w:cstheme="minorHAnsi"/>
          <w:w w:val="105"/>
        </w:rPr>
        <w:t>and/</w:t>
      </w:r>
      <w:r w:rsidR="00EA7458" w:rsidRPr="0099170A">
        <w:rPr>
          <w:rFonts w:cstheme="minorHAnsi"/>
          <w:spacing w:val="-40"/>
          <w:w w:val="105"/>
        </w:rPr>
        <w:t xml:space="preserve"> </w:t>
      </w:r>
      <w:r w:rsidR="00EA7458" w:rsidRPr="0099170A">
        <w:rPr>
          <w:rFonts w:cstheme="minorHAnsi"/>
          <w:w w:val="105"/>
        </w:rPr>
        <w:t>or</w:t>
      </w:r>
      <w:r w:rsidR="00EA7458" w:rsidRPr="0099170A">
        <w:rPr>
          <w:rFonts w:cstheme="minorHAnsi"/>
          <w:spacing w:val="9"/>
          <w:w w:val="105"/>
        </w:rPr>
        <w:t xml:space="preserve"> </w:t>
      </w:r>
      <w:r w:rsidR="00EA7458" w:rsidRPr="0099170A">
        <w:rPr>
          <w:rFonts w:cstheme="minorHAnsi"/>
          <w:w w:val="105"/>
        </w:rPr>
        <w:t>training</w:t>
      </w:r>
      <w:r w:rsidR="00EA7458" w:rsidRPr="0099170A">
        <w:rPr>
          <w:rFonts w:cstheme="minorHAnsi"/>
          <w:spacing w:val="9"/>
          <w:w w:val="105"/>
        </w:rPr>
        <w:t xml:space="preserve"> </w:t>
      </w:r>
      <w:r w:rsidR="00EA7458" w:rsidRPr="0099170A">
        <w:rPr>
          <w:rFonts w:cstheme="minorHAnsi"/>
          <w:w w:val="105"/>
        </w:rPr>
        <w:t>needs.</w:t>
      </w:r>
      <w:r w:rsidR="00EA7458" w:rsidRPr="0099170A">
        <w:rPr>
          <w:rFonts w:cstheme="minorHAnsi"/>
          <w:spacing w:val="9"/>
          <w:w w:val="105"/>
        </w:rPr>
        <w:t xml:space="preserve"> </w:t>
      </w:r>
      <w:r w:rsidR="00EA7458" w:rsidRPr="0099170A">
        <w:rPr>
          <w:rFonts w:cstheme="minorHAnsi"/>
          <w:w w:val="105"/>
        </w:rPr>
        <w:t>The</w:t>
      </w:r>
      <w:r w:rsidR="00EA7458" w:rsidRPr="0099170A">
        <w:rPr>
          <w:rFonts w:cstheme="minorHAnsi"/>
          <w:spacing w:val="9"/>
          <w:w w:val="105"/>
        </w:rPr>
        <w:t xml:space="preserve"> </w:t>
      </w:r>
      <w:r w:rsidR="00EA7458" w:rsidRPr="0099170A">
        <w:rPr>
          <w:rFonts w:cstheme="minorHAnsi"/>
          <w:w w:val="105"/>
        </w:rPr>
        <w:t>assessment</w:t>
      </w:r>
      <w:r w:rsidR="00EA7458" w:rsidRPr="0099170A">
        <w:rPr>
          <w:rFonts w:cstheme="minorHAnsi"/>
          <w:spacing w:val="9"/>
          <w:w w:val="105"/>
        </w:rPr>
        <w:t xml:space="preserve"> </w:t>
      </w:r>
      <w:r w:rsidR="00EA7458" w:rsidRPr="0099170A">
        <w:rPr>
          <w:rFonts w:cstheme="minorHAnsi"/>
          <w:w w:val="105"/>
        </w:rPr>
        <w:t>may</w:t>
      </w:r>
      <w:r w:rsidR="00EA7458" w:rsidRPr="0099170A">
        <w:rPr>
          <w:rFonts w:cstheme="minorHAnsi"/>
          <w:spacing w:val="9"/>
          <w:w w:val="105"/>
        </w:rPr>
        <w:t xml:space="preserve"> </w:t>
      </w:r>
      <w:r w:rsidR="00B01974" w:rsidRPr="0099170A">
        <w:rPr>
          <w:rFonts w:cstheme="minorHAnsi"/>
          <w:w w:val="105"/>
        </w:rPr>
        <w:t xml:space="preserve">range from </w:t>
      </w:r>
      <w:r w:rsidR="00EA7458" w:rsidRPr="0099170A">
        <w:rPr>
          <w:rFonts w:cstheme="minorHAnsi"/>
          <w:w w:val="105"/>
        </w:rPr>
        <w:t>an</w:t>
      </w:r>
      <w:r w:rsidR="00EA7458" w:rsidRPr="0099170A">
        <w:rPr>
          <w:rFonts w:cstheme="minorHAnsi"/>
          <w:spacing w:val="9"/>
          <w:w w:val="105"/>
        </w:rPr>
        <w:t xml:space="preserve"> </w:t>
      </w:r>
      <w:r w:rsidR="00EA7458" w:rsidRPr="0099170A">
        <w:rPr>
          <w:rFonts w:cstheme="minorHAnsi"/>
          <w:w w:val="105"/>
        </w:rPr>
        <w:t>informal</w:t>
      </w:r>
      <w:r w:rsidR="00EA7458" w:rsidRPr="0099170A">
        <w:rPr>
          <w:rFonts w:cstheme="minorHAnsi"/>
          <w:spacing w:val="9"/>
          <w:w w:val="105"/>
        </w:rPr>
        <w:t xml:space="preserve"> </w:t>
      </w:r>
      <w:r w:rsidR="00EA7458" w:rsidRPr="0099170A">
        <w:rPr>
          <w:rFonts w:cstheme="minorHAnsi"/>
          <w:w w:val="105"/>
        </w:rPr>
        <w:t>interview</w:t>
      </w:r>
      <w:r w:rsidR="00EA7458" w:rsidRPr="0099170A">
        <w:rPr>
          <w:rFonts w:cstheme="minorHAnsi"/>
          <w:spacing w:val="9"/>
          <w:w w:val="105"/>
        </w:rPr>
        <w:t xml:space="preserve"> </w:t>
      </w:r>
      <w:r w:rsidR="00EA7458" w:rsidRPr="0099170A">
        <w:rPr>
          <w:rFonts w:cstheme="minorHAnsi"/>
          <w:w w:val="105"/>
        </w:rPr>
        <w:t>to</w:t>
      </w:r>
      <w:r w:rsidR="00EA7458" w:rsidRPr="0099170A">
        <w:rPr>
          <w:rFonts w:cstheme="minorHAnsi"/>
          <w:spacing w:val="9"/>
          <w:w w:val="105"/>
        </w:rPr>
        <w:t xml:space="preserve"> </w:t>
      </w:r>
      <w:r w:rsidR="00EA7458" w:rsidRPr="0099170A">
        <w:rPr>
          <w:rFonts w:cstheme="minorHAnsi"/>
          <w:w w:val="105"/>
        </w:rPr>
        <w:t>a</w:t>
      </w:r>
      <w:r w:rsidR="00EA7458" w:rsidRPr="0099170A">
        <w:rPr>
          <w:rFonts w:cstheme="minorHAnsi"/>
          <w:spacing w:val="9"/>
          <w:w w:val="105"/>
        </w:rPr>
        <w:t xml:space="preserve"> </w:t>
      </w:r>
      <w:r w:rsidR="00EA7458" w:rsidRPr="0099170A">
        <w:rPr>
          <w:rFonts w:cstheme="minorHAnsi"/>
          <w:w w:val="105"/>
        </w:rPr>
        <w:t>standardized</w:t>
      </w:r>
      <w:r w:rsidR="00EA7458" w:rsidRPr="0099170A">
        <w:rPr>
          <w:rFonts w:cstheme="minorHAnsi"/>
          <w:spacing w:val="9"/>
          <w:w w:val="105"/>
        </w:rPr>
        <w:t xml:space="preserve"> </w:t>
      </w:r>
      <w:r w:rsidR="00EA7458" w:rsidRPr="0099170A">
        <w:rPr>
          <w:rFonts w:cstheme="minorHAnsi"/>
          <w:w w:val="105"/>
        </w:rPr>
        <w:t>set</w:t>
      </w:r>
      <w:r w:rsidR="00EA7458" w:rsidRPr="0099170A">
        <w:rPr>
          <w:rFonts w:cstheme="minorHAnsi"/>
          <w:spacing w:val="9"/>
          <w:w w:val="105"/>
        </w:rPr>
        <w:t xml:space="preserve"> </w:t>
      </w:r>
      <w:r w:rsidR="00EA7458" w:rsidRPr="0099170A">
        <w:rPr>
          <w:rFonts w:cstheme="minorHAnsi"/>
          <w:w w:val="105"/>
        </w:rPr>
        <w:t>of</w:t>
      </w:r>
      <w:r w:rsidR="00AE166E">
        <w:rPr>
          <w:rFonts w:cstheme="minorHAnsi"/>
          <w:w w:val="105"/>
        </w:rPr>
        <w:t xml:space="preserve"> </w:t>
      </w:r>
      <w:r w:rsidR="00EA7458" w:rsidRPr="0099170A">
        <w:rPr>
          <w:rFonts w:cstheme="minorHAnsi"/>
          <w:w w:val="105"/>
        </w:rPr>
        <w:t>tests.</w:t>
      </w:r>
      <w:r w:rsidR="00EA7458" w:rsidRPr="0099170A">
        <w:rPr>
          <w:rFonts w:cstheme="minorHAnsi"/>
          <w:spacing w:val="12"/>
          <w:w w:val="105"/>
        </w:rPr>
        <w:t xml:space="preserve"> </w:t>
      </w:r>
      <w:r w:rsidR="00EA7458" w:rsidRPr="0099170A">
        <w:rPr>
          <w:rFonts w:cstheme="minorHAnsi"/>
          <w:w w:val="105"/>
        </w:rPr>
        <w:t>Upon</w:t>
      </w:r>
      <w:r w:rsidR="00EA7458" w:rsidRPr="0099170A">
        <w:rPr>
          <w:rFonts w:cstheme="minorHAnsi"/>
          <w:spacing w:val="12"/>
          <w:w w:val="105"/>
        </w:rPr>
        <w:t xml:space="preserve"> </w:t>
      </w:r>
      <w:r w:rsidR="00EA7458" w:rsidRPr="0099170A">
        <w:rPr>
          <w:rFonts w:cstheme="minorHAnsi"/>
          <w:w w:val="105"/>
        </w:rPr>
        <w:t>completion</w:t>
      </w:r>
      <w:r w:rsidR="00EA7458" w:rsidRPr="0099170A">
        <w:rPr>
          <w:rFonts w:cstheme="minorHAnsi"/>
          <w:spacing w:val="12"/>
          <w:w w:val="105"/>
        </w:rPr>
        <w:t xml:space="preserve"> </w:t>
      </w:r>
      <w:r w:rsidR="00EA7458" w:rsidRPr="0099170A">
        <w:rPr>
          <w:rFonts w:cstheme="minorHAnsi"/>
          <w:w w:val="105"/>
        </w:rPr>
        <w:t>of</w:t>
      </w:r>
      <w:r w:rsidR="00EA7458" w:rsidRPr="0099170A">
        <w:rPr>
          <w:rFonts w:cstheme="minorHAnsi"/>
          <w:spacing w:val="12"/>
          <w:w w:val="105"/>
        </w:rPr>
        <w:t xml:space="preserve"> </w:t>
      </w:r>
      <w:r w:rsidR="00EA7458" w:rsidRPr="0099170A">
        <w:rPr>
          <w:rFonts w:cstheme="minorHAnsi"/>
          <w:w w:val="105"/>
        </w:rPr>
        <w:t>the</w:t>
      </w:r>
      <w:r w:rsidR="00EA7458" w:rsidRPr="0099170A">
        <w:rPr>
          <w:rFonts w:cstheme="minorHAnsi"/>
          <w:spacing w:val="12"/>
          <w:w w:val="105"/>
        </w:rPr>
        <w:t xml:space="preserve"> </w:t>
      </w:r>
      <w:r w:rsidR="00EA7458" w:rsidRPr="0099170A">
        <w:rPr>
          <w:rFonts w:cstheme="minorHAnsi"/>
          <w:w w:val="105"/>
        </w:rPr>
        <w:t>assessment</w:t>
      </w:r>
      <w:r w:rsidR="00EA7458" w:rsidRPr="0099170A">
        <w:rPr>
          <w:rFonts w:cstheme="minorHAnsi"/>
          <w:spacing w:val="12"/>
          <w:w w:val="105"/>
        </w:rPr>
        <w:t xml:space="preserve"> </w:t>
      </w:r>
      <w:r w:rsidR="00EA7458" w:rsidRPr="0099170A">
        <w:rPr>
          <w:rFonts w:cstheme="minorHAnsi"/>
          <w:w w:val="105"/>
        </w:rPr>
        <w:t>and</w:t>
      </w:r>
      <w:r w:rsidR="00EA7458" w:rsidRPr="0099170A">
        <w:rPr>
          <w:rFonts w:cstheme="minorHAnsi"/>
          <w:spacing w:val="12"/>
          <w:w w:val="105"/>
        </w:rPr>
        <w:t xml:space="preserve"> </w:t>
      </w:r>
      <w:r w:rsidR="00EA7458" w:rsidRPr="0099170A">
        <w:rPr>
          <w:rFonts w:cstheme="minorHAnsi"/>
          <w:w w:val="105"/>
        </w:rPr>
        <w:t>interpretation</w:t>
      </w:r>
      <w:r w:rsidR="00EA7458" w:rsidRPr="0099170A">
        <w:rPr>
          <w:rFonts w:cstheme="minorHAnsi"/>
          <w:spacing w:val="12"/>
          <w:w w:val="105"/>
        </w:rPr>
        <w:t xml:space="preserve"> </w:t>
      </w:r>
      <w:r w:rsidR="00EA7458" w:rsidRPr="0099170A">
        <w:rPr>
          <w:rFonts w:cstheme="minorHAnsi"/>
          <w:w w:val="105"/>
        </w:rPr>
        <w:t>of</w:t>
      </w:r>
      <w:r w:rsidR="00EA7458" w:rsidRPr="0099170A">
        <w:rPr>
          <w:rFonts w:cstheme="minorHAnsi"/>
          <w:spacing w:val="12"/>
          <w:w w:val="105"/>
        </w:rPr>
        <w:t xml:space="preserve"> </w:t>
      </w:r>
      <w:r w:rsidR="00EA7458" w:rsidRPr="0099170A">
        <w:rPr>
          <w:rFonts w:cstheme="minorHAnsi"/>
          <w:w w:val="105"/>
        </w:rPr>
        <w:t>results,</w:t>
      </w:r>
      <w:r w:rsidR="00EA7458" w:rsidRPr="0099170A">
        <w:rPr>
          <w:rFonts w:cstheme="minorHAnsi"/>
          <w:spacing w:val="12"/>
          <w:w w:val="105"/>
        </w:rPr>
        <w:t xml:space="preserve"> </w:t>
      </w:r>
      <w:r w:rsidR="00EA7458" w:rsidRPr="0099170A">
        <w:rPr>
          <w:rFonts w:cstheme="minorHAnsi"/>
          <w:w w:val="105"/>
        </w:rPr>
        <w:t>claimants</w:t>
      </w:r>
      <w:r w:rsidR="00EA7458" w:rsidRPr="0099170A">
        <w:rPr>
          <w:rFonts w:cstheme="minorHAnsi"/>
          <w:spacing w:val="12"/>
          <w:w w:val="105"/>
        </w:rPr>
        <w:t xml:space="preserve"> </w:t>
      </w:r>
      <w:r w:rsidR="00EA7458" w:rsidRPr="0099170A">
        <w:rPr>
          <w:rFonts w:cstheme="minorHAnsi"/>
          <w:w w:val="105"/>
        </w:rPr>
        <w:t>may</w:t>
      </w:r>
      <w:r w:rsidR="00EA7458" w:rsidRPr="0099170A">
        <w:rPr>
          <w:rFonts w:cstheme="minorHAnsi"/>
          <w:spacing w:val="12"/>
          <w:w w:val="105"/>
        </w:rPr>
        <w:t xml:space="preserve"> </w:t>
      </w:r>
      <w:r w:rsidR="00EA7458" w:rsidRPr="0099170A">
        <w:rPr>
          <w:rFonts w:cstheme="minorHAnsi"/>
          <w:w w:val="105"/>
        </w:rPr>
        <w:t>be</w:t>
      </w:r>
      <w:r w:rsidR="00EA7458" w:rsidRPr="0099170A">
        <w:rPr>
          <w:rFonts w:cstheme="minorHAnsi"/>
          <w:spacing w:val="12"/>
          <w:w w:val="105"/>
        </w:rPr>
        <w:t xml:space="preserve"> </w:t>
      </w:r>
      <w:r w:rsidR="00EA7458" w:rsidRPr="0099170A">
        <w:rPr>
          <w:rFonts w:cstheme="minorHAnsi"/>
          <w:w w:val="105"/>
        </w:rPr>
        <w:t>referred</w:t>
      </w:r>
      <w:r w:rsidR="00EA7458" w:rsidRPr="0099170A">
        <w:rPr>
          <w:rFonts w:cstheme="minorHAnsi"/>
          <w:spacing w:val="12"/>
          <w:w w:val="105"/>
        </w:rPr>
        <w:t xml:space="preserve"> </w:t>
      </w:r>
      <w:r w:rsidR="00EA7458" w:rsidRPr="0099170A">
        <w:rPr>
          <w:rFonts w:cstheme="minorHAnsi"/>
          <w:w w:val="105"/>
        </w:rPr>
        <w:t>to</w:t>
      </w:r>
      <w:r w:rsidR="00EA7458" w:rsidRPr="0099170A">
        <w:rPr>
          <w:rFonts w:cstheme="minorHAnsi"/>
        </w:rPr>
        <w:t xml:space="preserve"> </w:t>
      </w:r>
      <w:r w:rsidR="00EA7458" w:rsidRPr="0099170A">
        <w:rPr>
          <w:rFonts w:cstheme="minorHAnsi"/>
          <w:w w:val="105"/>
        </w:rPr>
        <w:t xml:space="preserve">a partner program, such as WIOA, for additional training information and/or enrollment. </w:t>
      </w:r>
      <w:r w:rsidR="00B01974" w:rsidRPr="0099170A">
        <w:rPr>
          <w:rFonts w:cstheme="minorHAnsi"/>
          <w:w w:val="105"/>
        </w:rPr>
        <w:t xml:space="preserve">When referred </w:t>
      </w:r>
      <w:r w:rsidR="00EA7458" w:rsidRPr="0099170A">
        <w:rPr>
          <w:rFonts w:cstheme="minorHAnsi"/>
          <w:w w:val="105"/>
        </w:rPr>
        <w:t>to a partner program, the claimant’s eligibility for training is determined based on the</w:t>
      </w:r>
      <w:r w:rsidR="00EA7458" w:rsidRPr="0099170A">
        <w:rPr>
          <w:rFonts w:cstheme="minorHAnsi"/>
          <w:spacing w:val="19"/>
          <w:w w:val="105"/>
        </w:rPr>
        <w:t xml:space="preserve"> </w:t>
      </w:r>
      <w:r w:rsidR="00EA7458" w:rsidRPr="0099170A">
        <w:rPr>
          <w:rFonts w:cstheme="minorHAnsi"/>
          <w:w w:val="105"/>
        </w:rPr>
        <w:t>program’s</w:t>
      </w:r>
      <w:r w:rsidR="00EA7458" w:rsidRPr="0099170A">
        <w:rPr>
          <w:rFonts w:cstheme="minorHAnsi"/>
          <w:w w:val="118"/>
        </w:rPr>
        <w:t xml:space="preserve"> </w:t>
      </w:r>
      <w:r w:rsidR="00EA7458" w:rsidRPr="0099170A">
        <w:rPr>
          <w:rFonts w:cstheme="minorHAnsi"/>
          <w:w w:val="105"/>
        </w:rPr>
        <w:t>eligibility</w:t>
      </w:r>
      <w:r w:rsidR="00EA7458" w:rsidRPr="0099170A">
        <w:rPr>
          <w:rFonts w:cstheme="minorHAnsi"/>
          <w:spacing w:val="11"/>
          <w:w w:val="105"/>
        </w:rPr>
        <w:t xml:space="preserve"> </w:t>
      </w:r>
      <w:r w:rsidR="00EA7458" w:rsidRPr="0099170A">
        <w:rPr>
          <w:rFonts w:cstheme="minorHAnsi"/>
          <w:w w:val="105"/>
        </w:rPr>
        <w:t>criteria.</w:t>
      </w:r>
      <w:r w:rsidR="00EA7458" w:rsidRPr="0099170A">
        <w:rPr>
          <w:rFonts w:cstheme="minorHAnsi"/>
          <w:spacing w:val="11"/>
          <w:w w:val="105"/>
        </w:rPr>
        <w:t xml:space="preserve"> </w:t>
      </w:r>
      <w:r w:rsidR="00EA7458" w:rsidRPr="0099170A">
        <w:rPr>
          <w:rFonts w:cstheme="minorHAnsi"/>
          <w:w w:val="105"/>
        </w:rPr>
        <w:t>Career</w:t>
      </w:r>
      <w:r w:rsidR="00EA7458" w:rsidRPr="0099170A">
        <w:rPr>
          <w:rFonts w:cstheme="minorHAnsi"/>
          <w:spacing w:val="11"/>
          <w:w w:val="105"/>
        </w:rPr>
        <w:t xml:space="preserve"> </w:t>
      </w:r>
      <w:r w:rsidR="00EA7458" w:rsidRPr="0099170A">
        <w:rPr>
          <w:rFonts w:cstheme="minorHAnsi"/>
          <w:w w:val="105"/>
        </w:rPr>
        <w:t>centers</w:t>
      </w:r>
      <w:r w:rsidR="00EA7458" w:rsidRPr="0099170A">
        <w:rPr>
          <w:rFonts w:cstheme="minorHAnsi"/>
          <w:spacing w:val="11"/>
          <w:w w:val="105"/>
        </w:rPr>
        <w:t xml:space="preserve"> </w:t>
      </w:r>
      <w:r w:rsidR="00EA7458" w:rsidRPr="0099170A">
        <w:rPr>
          <w:rFonts w:cstheme="minorHAnsi"/>
          <w:w w:val="105"/>
        </w:rPr>
        <w:t>throughout</w:t>
      </w:r>
      <w:r w:rsidR="00EA7458" w:rsidRPr="0099170A">
        <w:rPr>
          <w:rFonts w:cstheme="minorHAnsi"/>
          <w:spacing w:val="11"/>
          <w:w w:val="105"/>
        </w:rPr>
        <w:t xml:space="preserve"> </w:t>
      </w:r>
      <w:r w:rsidR="00B01974" w:rsidRPr="0099170A">
        <w:rPr>
          <w:rFonts w:cstheme="minorHAnsi"/>
          <w:w w:val="105"/>
        </w:rPr>
        <w:t xml:space="preserve">Florida </w:t>
      </w:r>
      <w:r w:rsidR="00EA7458" w:rsidRPr="0099170A">
        <w:rPr>
          <w:rFonts w:cstheme="minorHAnsi"/>
          <w:w w:val="105"/>
        </w:rPr>
        <w:t>have</w:t>
      </w:r>
      <w:r w:rsidR="00EA7458" w:rsidRPr="0099170A">
        <w:rPr>
          <w:rFonts w:cstheme="minorHAnsi"/>
          <w:spacing w:val="11"/>
          <w:w w:val="105"/>
        </w:rPr>
        <w:t xml:space="preserve"> </w:t>
      </w:r>
      <w:r w:rsidR="00EA7458" w:rsidRPr="0099170A">
        <w:rPr>
          <w:rFonts w:cstheme="minorHAnsi"/>
          <w:w w:val="105"/>
        </w:rPr>
        <w:t>collaborated</w:t>
      </w:r>
      <w:r w:rsidR="00D5537E">
        <w:rPr>
          <w:rFonts w:cstheme="minorHAnsi"/>
          <w:w w:val="105"/>
        </w:rPr>
        <w:t xml:space="preserve"> and</w:t>
      </w:r>
      <w:r w:rsidR="00EA7458" w:rsidRPr="0099170A">
        <w:rPr>
          <w:rFonts w:cstheme="minorHAnsi"/>
          <w:spacing w:val="11"/>
          <w:w w:val="105"/>
        </w:rPr>
        <w:t xml:space="preserve"> </w:t>
      </w:r>
      <w:r w:rsidR="00B01974" w:rsidRPr="0099170A">
        <w:rPr>
          <w:rFonts w:cstheme="minorHAnsi"/>
          <w:w w:val="105"/>
        </w:rPr>
        <w:t>are often collocated</w:t>
      </w:r>
      <w:r w:rsidR="00EA7458" w:rsidRPr="0099170A">
        <w:rPr>
          <w:rFonts w:cstheme="minorHAnsi"/>
          <w:w w:val="105"/>
        </w:rPr>
        <w:t xml:space="preserve">, with educational institutions </w:t>
      </w:r>
      <w:r w:rsidR="00B01974" w:rsidRPr="0099170A">
        <w:rPr>
          <w:rFonts w:cstheme="minorHAnsi"/>
          <w:w w:val="105"/>
        </w:rPr>
        <w:t xml:space="preserve">where </w:t>
      </w:r>
      <w:r w:rsidR="00EA7458" w:rsidRPr="0099170A">
        <w:rPr>
          <w:rFonts w:cstheme="minorHAnsi"/>
          <w:w w:val="105"/>
        </w:rPr>
        <w:t>claimants may be referred for education assistance.</w:t>
      </w:r>
    </w:p>
    <w:p w14:paraId="05C9CE54" w14:textId="18C2840A" w:rsidR="00EA7458" w:rsidRPr="0099170A" w:rsidRDefault="009F0C2A" w:rsidP="00D63204">
      <w:pPr>
        <w:widowControl w:val="0"/>
        <w:spacing w:after="0" w:line="264" w:lineRule="exact"/>
        <w:ind w:left="107"/>
        <w:rPr>
          <w:rFonts w:cstheme="minorHAnsi"/>
        </w:rPr>
      </w:pPr>
      <w:r w:rsidRPr="0099170A">
        <w:rPr>
          <w:rFonts w:cstheme="minorHAnsi"/>
          <w:w w:val="110"/>
        </w:rPr>
        <w:br/>
      </w:r>
      <w:r w:rsidR="00EA7458" w:rsidRPr="0099170A">
        <w:rPr>
          <w:rFonts w:cstheme="minorHAnsi"/>
          <w:w w:val="110"/>
        </w:rPr>
        <w:t>Wagner-Peyser</w:t>
      </w:r>
      <w:r w:rsidR="00EA7458" w:rsidRPr="0099170A">
        <w:rPr>
          <w:rFonts w:cstheme="minorHAnsi"/>
          <w:spacing w:val="-20"/>
          <w:w w:val="110"/>
        </w:rPr>
        <w:t xml:space="preserve"> </w:t>
      </w:r>
      <w:r w:rsidR="00EA7458" w:rsidRPr="0099170A">
        <w:rPr>
          <w:rFonts w:cstheme="minorHAnsi"/>
          <w:w w:val="110"/>
        </w:rPr>
        <w:t>funds</w:t>
      </w:r>
      <w:r w:rsidR="00EA7458" w:rsidRPr="0099170A">
        <w:rPr>
          <w:rFonts w:cstheme="minorHAnsi"/>
          <w:spacing w:val="-20"/>
          <w:w w:val="110"/>
        </w:rPr>
        <w:t xml:space="preserve"> </w:t>
      </w:r>
      <w:r w:rsidR="00EA7458" w:rsidRPr="0099170A">
        <w:rPr>
          <w:rFonts w:cstheme="minorHAnsi"/>
          <w:w w:val="110"/>
        </w:rPr>
        <w:t>help</w:t>
      </w:r>
      <w:r w:rsidR="00EA7458" w:rsidRPr="0099170A">
        <w:rPr>
          <w:rFonts w:cstheme="minorHAnsi"/>
          <w:spacing w:val="-20"/>
          <w:w w:val="110"/>
        </w:rPr>
        <w:t xml:space="preserve"> </w:t>
      </w:r>
      <w:r w:rsidR="00EA7458" w:rsidRPr="0099170A">
        <w:rPr>
          <w:rFonts w:cstheme="minorHAnsi"/>
          <w:w w:val="110"/>
        </w:rPr>
        <w:t>provide</w:t>
      </w:r>
      <w:r w:rsidR="00EA7458" w:rsidRPr="0099170A">
        <w:rPr>
          <w:rFonts w:cstheme="minorHAnsi"/>
          <w:spacing w:val="-20"/>
          <w:w w:val="110"/>
        </w:rPr>
        <w:t xml:space="preserve"> </w:t>
      </w:r>
      <w:r w:rsidR="00EA7458" w:rsidRPr="0099170A">
        <w:rPr>
          <w:rFonts w:cstheme="minorHAnsi"/>
          <w:w w:val="110"/>
        </w:rPr>
        <w:t>preliminary</w:t>
      </w:r>
      <w:r w:rsidR="00EA7458" w:rsidRPr="0099170A">
        <w:rPr>
          <w:rFonts w:cstheme="minorHAnsi"/>
          <w:spacing w:val="-20"/>
          <w:w w:val="110"/>
        </w:rPr>
        <w:t xml:space="preserve"> </w:t>
      </w:r>
      <w:r w:rsidR="00EA7458" w:rsidRPr="0099170A">
        <w:rPr>
          <w:rFonts w:cstheme="minorHAnsi"/>
          <w:w w:val="110"/>
        </w:rPr>
        <w:t>work</w:t>
      </w:r>
      <w:r w:rsidR="00EA7458" w:rsidRPr="0099170A">
        <w:rPr>
          <w:rFonts w:cstheme="minorHAnsi"/>
          <w:spacing w:val="-20"/>
          <w:w w:val="110"/>
        </w:rPr>
        <w:t xml:space="preserve"> </w:t>
      </w:r>
      <w:r w:rsidR="00EA7458" w:rsidRPr="0099170A">
        <w:rPr>
          <w:rFonts w:cstheme="minorHAnsi"/>
          <w:w w:val="110"/>
        </w:rPr>
        <w:t>readiness</w:t>
      </w:r>
      <w:r w:rsidR="00EA7458" w:rsidRPr="0099170A">
        <w:rPr>
          <w:rFonts w:cstheme="minorHAnsi"/>
          <w:spacing w:val="-20"/>
          <w:w w:val="110"/>
        </w:rPr>
        <w:t xml:space="preserve"> </w:t>
      </w:r>
      <w:r w:rsidR="00EA7458" w:rsidRPr="0099170A">
        <w:rPr>
          <w:rFonts w:cstheme="minorHAnsi"/>
          <w:w w:val="110"/>
        </w:rPr>
        <w:t>workshops</w:t>
      </w:r>
      <w:r w:rsidR="00EA7458" w:rsidRPr="0099170A">
        <w:rPr>
          <w:rFonts w:cstheme="minorHAnsi"/>
          <w:spacing w:val="-20"/>
          <w:w w:val="110"/>
        </w:rPr>
        <w:t xml:space="preserve"> </w:t>
      </w:r>
      <w:r w:rsidR="00606B5C" w:rsidRPr="0099170A">
        <w:rPr>
          <w:rFonts w:cstheme="minorHAnsi"/>
          <w:w w:val="110"/>
        </w:rPr>
        <w:t xml:space="preserve">including </w:t>
      </w:r>
      <w:r w:rsidR="00EA7458" w:rsidRPr="0099170A">
        <w:rPr>
          <w:rFonts w:cstheme="minorHAnsi"/>
          <w:w w:val="110"/>
        </w:rPr>
        <w:t>interviewing</w:t>
      </w:r>
      <w:r w:rsidR="00EA7458" w:rsidRPr="0099170A">
        <w:rPr>
          <w:rFonts w:cstheme="minorHAnsi"/>
          <w:spacing w:val="-20"/>
          <w:w w:val="110"/>
        </w:rPr>
        <w:t xml:space="preserve"> </w:t>
      </w:r>
      <w:r w:rsidR="00EA7458" w:rsidRPr="0099170A">
        <w:rPr>
          <w:rFonts w:cstheme="minorHAnsi"/>
          <w:w w:val="110"/>
        </w:rPr>
        <w:t>skills,</w:t>
      </w:r>
      <w:r w:rsidR="00EA7458" w:rsidRPr="0099170A">
        <w:rPr>
          <w:rFonts w:cstheme="minorHAnsi"/>
          <w:w w:val="108"/>
        </w:rPr>
        <w:t xml:space="preserve"> </w:t>
      </w:r>
      <w:r w:rsidR="00EA7458" w:rsidRPr="0099170A">
        <w:rPr>
          <w:rFonts w:cstheme="minorHAnsi"/>
          <w:w w:val="110"/>
        </w:rPr>
        <w:t>résumé</w:t>
      </w:r>
      <w:r w:rsidR="00EA7458" w:rsidRPr="0099170A">
        <w:rPr>
          <w:rFonts w:cstheme="minorHAnsi"/>
          <w:spacing w:val="-17"/>
          <w:w w:val="110"/>
        </w:rPr>
        <w:t xml:space="preserve"> </w:t>
      </w:r>
      <w:r w:rsidR="00EA7458" w:rsidRPr="0099170A">
        <w:rPr>
          <w:rFonts w:cstheme="minorHAnsi"/>
          <w:w w:val="110"/>
        </w:rPr>
        <w:t>writing,</w:t>
      </w:r>
      <w:r w:rsidR="00EA7458" w:rsidRPr="0099170A">
        <w:rPr>
          <w:rFonts w:cstheme="minorHAnsi"/>
          <w:spacing w:val="-17"/>
          <w:w w:val="110"/>
        </w:rPr>
        <w:t xml:space="preserve"> </w:t>
      </w:r>
      <w:r w:rsidR="00EA7458" w:rsidRPr="0099170A">
        <w:rPr>
          <w:rFonts w:cstheme="minorHAnsi"/>
          <w:w w:val="110"/>
        </w:rPr>
        <w:t>job</w:t>
      </w:r>
      <w:r w:rsidR="00EA7458" w:rsidRPr="0099170A">
        <w:rPr>
          <w:rFonts w:cstheme="minorHAnsi"/>
          <w:spacing w:val="-17"/>
          <w:w w:val="110"/>
        </w:rPr>
        <w:t xml:space="preserve"> </w:t>
      </w:r>
      <w:r w:rsidR="00EA7458" w:rsidRPr="0099170A">
        <w:rPr>
          <w:rFonts w:cstheme="minorHAnsi"/>
          <w:w w:val="110"/>
        </w:rPr>
        <w:t>search</w:t>
      </w:r>
      <w:r w:rsidR="00EA7458" w:rsidRPr="0099170A">
        <w:rPr>
          <w:rFonts w:cstheme="minorHAnsi"/>
          <w:spacing w:val="-17"/>
          <w:w w:val="110"/>
        </w:rPr>
        <w:t xml:space="preserve"> </w:t>
      </w:r>
      <w:r w:rsidR="00EA7458" w:rsidRPr="0099170A">
        <w:rPr>
          <w:rFonts w:cstheme="minorHAnsi"/>
          <w:w w:val="110"/>
        </w:rPr>
        <w:t>strategies</w:t>
      </w:r>
      <w:r w:rsidR="00EA7458" w:rsidRPr="0099170A">
        <w:rPr>
          <w:rFonts w:cstheme="minorHAnsi"/>
          <w:spacing w:val="-17"/>
          <w:w w:val="110"/>
        </w:rPr>
        <w:t xml:space="preserve"> </w:t>
      </w:r>
      <w:r w:rsidR="00EA7458" w:rsidRPr="0099170A">
        <w:rPr>
          <w:rFonts w:cstheme="minorHAnsi"/>
          <w:w w:val="110"/>
        </w:rPr>
        <w:t>and</w:t>
      </w:r>
      <w:r w:rsidR="00EA7458" w:rsidRPr="0099170A">
        <w:rPr>
          <w:rFonts w:cstheme="minorHAnsi"/>
          <w:spacing w:val="-17"/>
          <w:w w:val="110"/>
        </w:rPr>
        <w:t xml:space="preserve"> </w:t>
      </w:r>
      <w:r w:rsidR="00EA7458" w:rsidRPr="0099170A">
        <w:rPr>
          <w:rFonts w:cstheme="minorHAnsi"/>
          <w:w w:val="110"/>
        </w:rPr>
        <w:t>can</w:t>
      </w:r>
      <w:r w:rsidR="00EA7458" w:rsidRPr="0099170A">
        <w:rPr>
          <w:rFonts w:cstheme="minorHAnsi"/>
          <w:spacing w:val="-17"/>
          <w:w w:val="110"/>
        </w:rPr>
        <w:t xml:space="preserve"> </w:t>
      </w:r>
      <w:r w:rsidR="00EA7458" w:rsidRPr="0099170A">
        <w:rPr>
          <w:rFonts w:cstheme="minorHAnsi"/>
          <w:w w:val="110"/>
        </w:rPr>
        <w:t>be</w:t>
      </w:r>
      <w:r w:rsidR="00EA7458" w:rsidRPr="0099170A">
        <w:rPr>
          <w:rFonts w:cstheme="minorHAnsi"/>
          <w:spacing w:val="-17"/>
          <w:w w:val="110"/>
        </w:rPr>
        <w:t xml:space="preserve"> </w:t>
      </w:r>
      <w:r w:rsidR="00606B5C" w:rsidRPr="0099170A">
        <w:rPr>
          <w:rFonts w:cstheme="minorHAnsi"/>
          <w:w w:val="110"/>
        </w:rPr>
        <w:t xml:space="preserve">used </w:t>
      </w:r>
      <w:r w:rsidR="00EA7458" w:rsidRPr="0099170A">
        <w:rPr>
          <w:rFonts w:cstheme="minorHAnsi"/>
          <w:w w:val="110"/>
        </w:rPr>
        <w:t>to</w:t>
      </w:r>
      <w:r w:rsidR="00EA7458" w:rsidRPr="0099170A">
        <w:rPr>
          <w:rFonts w:cstheme="minorHAnsi"/>
          <w:spacing w:val="-17"/>
          <w:w w:val="110"/>
        </w:rPr>
        <w:t xml:space="preserve"> </w:t>
      </w:r>
      <w:r w:rsidR="00EA7458" w:rsidRPr="0099170A">
        <w:rPr>
          <w:rFonts w:cstheme="minorHAnsi"/>
          <w:w w:val="110"/>
        </w:rPr>
        <w:t>provide</w:t>
      </w:r>
      <w:r w:rsidR="00EA7458" w:rsidRPr="0099170A">
        <w:rPr>
          <w:rFonts w:cstheme="minorHAnsi"/>
          <w:spacing w:val="-17"/>
          <w:w w:val="110"/>
        </w:rPr>
        <w:t xml:space="preserve"> </w:t>
      </w:r>
      <w:r w:rsidR="00EA7458" w:rsidRPr="0099170A">
        <w:rPr>
          <w:rFonts w:cstheme="minorHAnsi"/>
          <w:w w:val="110"/>
        </w:rPr>
        <w:t>referrals</w:t>
      </w:r>
      <w:r w:rsidR="00EA7458" w:rsidRPr="0099170A">
        <w:rPr>
          <w:rFonts w:cstheme="minorHAnsi"/>
          <w:spacing w:val="-17"/>
          <w:w w:val="110"/>
        </w:rPr>
        <w:t xml:space="preserve"> </w:t>
      </w:r>
      <w:r w:rsidR="00EA7458" w:rsidRPr="0099170A">
        <w:rPr>
          <w:rFonts w:cstheme="minorHAnsi"/>
          <w:w w:val="110"/>
        </w:rPr>
        <w:t>to</w:t>
      </w:r>
      <w:r w:rsidR="00EA7458" w:rsidRPr="0099170A">
        <w:rPr>
          <w:rFonts w:cstheme="minorHAnsi"/>
          <w:spacing w:val="-17"/>
          <w:w w:val="110"/>
        </w:rPr>
        <w:t xml:space="preserve"> </w:t>
      </w:r>
      <w:r w:rsidR="00EA7458" w:rsidRPr="0099170A">
        <w:rPr>
          <w:rFonts w:cstheme="minorHAnsi"/>
          <w:w w:val="110"/>
        </w:rPr>
        <w:t>internal</w:t>
      </w:r>
      <w:r w:rsidR="00EA7458" w:rsidRPr="0099170A">
        <w:rPr>
          <w:rFonts w:cstheme="minorHAnsi"/>
          <w:spacing w:val="-17"/>
          <w:w w:val="110"/>
        </w:rPr>
        <w:t xml:space="preserve"> </w:t>
      </w:r>
      <w:r w:rsidR="00EA7458" w:rsidRPr="0099170A">
        <w:rPr>
          <w:rFonts w:cstheme="minorHAnsi"/>
          <w:w w:val="110"/>
        </w:rPr>
        <w:t>and</w:t>
      </w:r>
      <w:r w:rsidR="00EA7458" w:rsidRPr="0099170A">
        <w:rPr>
          <w:rFonts w:cstheme="minorHAnsi"/>
          <w:spacing w:val="-17"/>
          <w:w w:val="110"/>
        </w:rPr>
        <w:t xml:space="preserve"> </w:t>
      </w:r>
      <w:r w:rsidR="00EA7458" w:rsidRPr="0099170A">
        <w:rPr>
          <w:rFonts w:cstheme="minorHAnsi"/>
          <w:w w:val="110"/>
        </w:rPr>
        <w:t>external</w:t>
      </w:r>
      <w:r w:rsidR="00EA7458" w:rsidRPr="0099170A">
        <w:rPr>
          <w:rFonts w:cstheme="minorHAnsi"/>
          <w:w w:val="105"/>
        </w:rPr>
        <w:t xml:space="preserve"> </w:t>
      </w:r>
      <w:r w:rsidR="00EA7458" w:rsidRPr="0099170A">
        <w:rPr>
          <w:rFonts w:cstheme="minorHAnsi"/>
          <w:w w:val="110"/>
        </w:rPr>
        <w:t>training</w:t>
      </w:r>
      <w:r w:rsidR="00EA7458" w:rsidRPr="0099170A">
        <w:rPr>
          <w:rFonts w:cstheme="minorHAnsi"/>
          <w:spacing w:val="-21"/>
          <w:w w:val="110"/>
        </w:rPr>
        <w:t xml:space="preserve"> </w:t>
      </w:r>
      <w:r w:rsidR="00EA7458" w:rsidRPr="0099170A">
        <w:rPr>
          <w:rFonts w:cstheme="minorHAnsi"/>
          <w:w w:val="110"/>
        </w:rPr>
        <w:t>and</w:t>
      </w:r>
      <w:r w:rsidR="00EA7458" w:rsidRPr="0099170A">
        <w:rPr>
          <w:rFonts w:cstheme="minorHAnsi"/>
          <w:spacing w:val="-21"/>
          <w:w w:val="110"/>
        </w:rPr>
        <w:t xml:space="preserve"> </w:t>
      </w:r>
      <w:r w:rsidR="00EA7458" w:rsidRPr="0099170A">
        <w:rPr>
          <w:rFonts w:cstheme="minorHAnsi"/>
          <w:w w:val="110"/>
        </w:rPr>
        <w:t>education</w:t>
      </w:r>
      <w:r w:rsidR="00EA7458" w:rsidRPr="0099170A">
        <w:rPr>
          <w:rFonts w:cstheme="minorHAnsi"/>
          <w:spacing w:val="-21"/>
          <w:w w:val="110"/>
        </w:rPr>
        <w:t xml:space="preserve"> </w:t>
      </w:r>
      <w:r w:rsidR="00EA7458" w:rsidRPr="0099170A">
        <w:rPr>
          <w:rFonts w:cstheme="minorHAnsi"/>
          <w:w w:val="110"/>
        </w:rPr>
        <w:t>programs</w:t>
      </w:r>
      <w:r w:rsidR="00EA7458" w:rsidRPr="0099170A">
        <w:rPr>
          <w:rFonts w:cstheme="minorHAnsi"/>
          <w:spacing w:val="-21"/>
          <w:w w:val="110"/>
        </w:rPr>
        <w:t xml:space="preserve"> </w:t>
      </w:r>
      <w:r w:rsidR="00EA7458" w:rsidRPr="0099170A">
        <w:rPr>
          <w:rFonts w:cstheme="minorHAnsi"/>
          <w:w w:val="110"/>
        </w:rPr>
        <w:t>and</w:t>
      </w:r>
      <w:r w:rsidR="00EA7458" w:rsidRPr="0099170A">
        <w:rPr>
          <w:rFonts w:cstheme="minorHAnsi"/>
          <w:spacing w:val="-21"/>
          <w:w w:val="110"/>
        </w:rPr>
        <w:t xml:space="preserve"> </w:t>
      </w:r>
      <w:r w:rsidR="00EA7458" w:rsidRPr="0099170A">
        <w:rPr>
          <w:rFonts w:cstheme="minorHAnsi"/>
          <w:w w:val="110"/>
        </w:rPr>
        <w:t>resources.</w:t>
      </w:r>
    </w:p>
    <w:p w14:paraId="29FD2DA1" w14:textId="77777777" w:rsidR="00EA7458" w:rsidRPr="0099170A" w:rsidRDefault="00EA7458" w:rsidP="00D63204">
      <w:pPr>
        <w:widowControl w:val="0"/>
        <w:spacing w:before="4" w:after="0" w:line="240" w:lineRule="auto"/>
        <w:ind w:left="107"/>
        <w:rPr>
          <w:rFonts w:cstheme="minorHAnsi"/>
          <w:sz w:val="17"/>
          <w:szCs w:val="17"/>
        </w:rPr>
      </w:pPr>
    </w:p>
    <w:p w14:paraId="70CC4D68" w14:textId="77777777" w:rsidR="00EA7458" w:rsidRPr="0099170A" w:rsidRDefault="00EA7458" w:rsidP="00D63204">
      <w:pPr>
        <w:widowControl w:val="0"/>
        <w:numPr>
          <w:ilvl w:val="0"/>
          <w:numId w:val="3"/>
        </w:numPr>
        <w:tabs>
          <w:tab w:val="left" w:pos="828"/>
        </w:tabs>
        <w:spacing w:after="0" w:line="240" w:lineRule="auto"/>
        <w:outlineLvl w:val="1"/>
        <w:rPr>
          <w:rFonts w:cstheme="minorHAnsi"/>
          <w:sz w:val="26"/>
          <w:szCs w:val="26"/>
        </w:rPr>
      </w:pPr>
      <w:r w:rsidRPr="0099170A">
        <w:rPr>
          <w:rFonts w:cstheme="minorHAnsi"/>
          <w:b/>
          <w:bCs/>
          <w:color w:val="295CA3"/>
          <w:w w:val="110"/>
          <w:sz w:val="26"/>
          <w:szCs w:val="26"/>
        </w:rPr>
        <w:t>Agricultural Outreach Plan</w:t>
      </w:r>
      <w:r w:rsidRPr="0099170A">
        <w:rPr>
          <w:rFonts w:cstheme="minorHAnsi"/>
          <w:b/>
          <w:bCs/>
          <w:color w:val="295CA3"/>
          <w:spacing w:val="2"/>
          <w:w w:val="110"/>
          <w:sz w:val="26"/>
          <w:szCs w:val="26"/>
        </w:rPr>
        <w:t xml:space="preserve"> </w:t>
      </w:r>
      <w:r w:rsidRPr="0099170A">
        <w:rPr>
          <w:rFonts w:cstheme="minorHAnsi"/>
          <w:b/>
          <w:bCs/>
          <w:color w:val="295CA3"/>
          <w:w w:val="110"/>
          <w:sz w:val="26"/>
          <w:szCs w:val="26"/>
        </w:rPr>
        <w:t>(AOP)</w:t>
      </w:r>
    </w:p>
    <w:p w14:paraId="68C27967" w14:textId="77777777" w:rsidR="00EA7458" w:rsidRPr="0099170A" w:rsidRDefault="00EA7458" w:rsidP="00D63204">
      <w:pPr>
        <w:widowControl w:val="0"/>
        <w:numPr>
          <w:ilvl w:val="1"/>
          <w:numId w:val="3"/>
        </w:numPr>
        <w:tabs>
          <w:tab w:val="left" w:pos="1098"/>
        </w:tabs>
        <w:spacing w:before="184" w:after="0" w:line="240" w:lineRule="auto"/>
        <w:outlineLvl w:val="2"/>
        <w:rPr>
          <w:rFonts w:cstheme="minorHAnsi"/>
        </w:rPr>
      </w:pPr>
      <w:r w:rsidRPr="0099170A">
        <w:rPr>
          <w:rFonts w:cstheme="minorHAnsi"/>
          <w:b/>
          <w:bCs/>
          <w:color w:val="295CA3"/>
          <w:w w:val="110"/>
        </w:rPr>
        <w:t>Assessment of</w:t>
      </w:r>
      <w:r w:rsidRPr="0099170A">
        <w:rPr>
          <w:rFonts w:cstheme="minorHAnsi"/>
          <w:b/>
          <w:bCs/>
          <w:color w:val="295CA3"/>
          <w:spacing w:val="2"/>
          <w:w w:val="110"/>
        </w:rPr>
        <w:t xml:space="preserve"> </w:t>
      </w:r>
      <w:r w:rsidRPr="0099170A">
        <w:rPr>
          <w:rFonts w:cstheme="minorHAnsi"/>
          <w:b/>
          <w:bCs/>
          <w:color w:val="295CA3"/>
          <w:w w:val="110"/>
        </w:rPr>
        <w:t>Need</w:t>
      </w:r>
    </w:p>
    <w:p w14:paraId="23A60AF3" w14:textId="77777777" w:rsidR="00AE166E" w:rsidRPr="00AE166E" w:rsidRDefault="00BA4790" w:rsidP="00D63204">
      <w:pPr>
        <w:widowControl w:val="0"/>
        <w:numPr>
          <w:ilvl w:val="1"/>
          <w:numId w:val="2"/>
        </w:numPr>
        <w:tabs>
          <w:tab w:val="left" w:pos="1998"/>
        </w:tabs>
        <w:spacing w:before="195" w:after="0" w:line="240" w:lineRule="auto"/>
        <w:rPr>
          <w:rFonts w:cstheme="minorHAnsi"/>
        </w:rPr>
      </w:pPr>
      <w:r w:rsidRPr="0099170A">
        <w:rPr>
          <w:rFonts w:cstheme="minorHAnsi"/>
          <w:color w:val="295CA3"/>
          <w:w w:val="105"/>
        </w:rPr>
        <w:t>Assessment of Agricultural Activity in the State</w:t>
      </w:r>
    </w:p>
    <w:p w14:paraId="50AA4196" w14:textId="107D4425" w:rsidR="00C76B6F" w:rsidRDefault="00AE166E" w:rsidP="00D63204">
      <w:pPr>
        <w:autoSpaceDE w:val="0"/>
        <w:autoSpaceDN w:val="0"/>
        <w:adjustRightInd w:val="0"/>
        <w:spacing w:line="240" w:lineRule="auto"/>
        <w:ind w:left="107"/>
        <w:rPr>
          <w:rFonts w:cstheme="minorHAnsi"/>
        </w:rPr>
      </w:pPr>
      <w:r>
        <w:rPr>
          <w:rFonts w:cstheme="minorHAnsi"/>
        </w:rPr>
        <w:br/>
      </w:r>
      <w:r w:rsidR="007B18B7" w:rsidRPr="0099170A">
        <w:rPr>
          <w:rFonts w:cstheme="minorHAnsi"/>
        </w:rPr>
        <w:t xml:space="preserve">According to the Florida Department of Agriculture and Consumer Services, the agricultural industry in Florida employs approximately two million people and contributes more than $120 billion to the state’s economy. An estimated 47,100 commercial farms in Florida produce nearly 300 different commodities on 9.41 million acres. Florida is the nation’s leading citrus producer, accounting for 53 percent of the total U.S. production in the 2015-2016 citrus season. During the season, Florida farmworkers produced 81.6 million boxes of oranges and 10.8 million boxes of grapefruit exceeding sales of $825 million. The state’s citrus production dropped by 16 percent from the previous season; however total U.S. citrus production dropped by 16 percent. In 2016, Florida ranked </w:t>
      </w:r>
      <w:r w:rsidR="007B18B7" w:rsidRPr="0099170A">
        <w:rPr>
          <w:rFonts w:cstheme="minorHAnsi"/>
          <w:bCs/>
        </w:rPr>
        <w:t>first in the United States</w:t>
      </w:r>
      <w:r w:rsidR="007B18B7" w:rsidRPr="0099170A">
        <w:rPr>
          <w:rFonts w:cstheme="minorHAnsi"/>
          <w:b/>
          <w:bCs/>
        </w:rPr>
        <w:t xml:space="preserve"> </w:t>
      </w:r>
      <w:r w:rsidR="007B18B7" w:rsidRPr="0099170A">
        <w:rPr>
          <w:rFonts w:cstheme="minorHAnsi"/>
        </w:rPr>
        <w:t>in value of production for fresh market snap beans, fresh market cucumbers, cucumbers for processing, grapefruit, oranges, sugarcane, fresh market tomatoes</w:t>
      </w:r>
      <w:r w:rsidR="00D5537E">
        <w:rPr>
          <w:rFonts w:cstheme="minorHAnsi"/>
        </w:rPr>
        <w:t xml:space="preserve"> and</w:t>
      </w:r>
      <w:r w:rsidR="007B18B7" w:rsidRPr="0099170A">
        <w:rPr>
          <w:rFonts w:cstheme="minorHAnsi"/>
        </w:rPr>
        <w:t xml:space="preserve"> watermelons. Florida growers harvested vegetables for fresh market, potatoes, sweet potatoes, strawberries</w:t>
      </w:r>
      <w:r w:rsidR="00D5537E">
        <w:rPr>
          <w:rFonts w:cstheme="minorHAnsi"/>
        </w:rPr>
        <w:t xml:space="preserve"> and</w:t>
      </w:r>
      <w:r w:rsidR="007B18B7" w:rsidRPr="0099170A">
        <w:rPr>
          <w:rFonts w:cstheme="minorHAnsi"/>
        </w:rPr>
        <w:t xml:space="preserve"> blueberries from 198,600 acres in 2016. Cash receipts for all agricultural products totaled $8.37 billion in 2015. Crop commodities, such as oranges, greenhouse/nursery, sugarcane and tomatoes, accounted for 72.9 percent of these total cash receipts. </w:t>
      </w:r>
    </w:p>
    <w:p w14:paraId="245324A3" w14:textId="595D240C" w:rsidR="00AE166E" w:rsidRDefault="007B18B7" w:rsidP="00D63204">
      <w:pPr>
        <w:autoSpaceDE w:val="0"/>
        <w:autoSpaceDN w:val="0"/>
        <w:adjustRightInd w:val="0"/>
        <w:spacing w:line="240" w:lineRule="auto"/>
        <w:ind w:left="107"/>
        <w:rPr>
          <w:rFonts w:cstheme="minorHAnsi"/>
        </w:rPr>
      </w:pPr>
      <w:r w:rsidRPr="0099170A">
        <w:rPr>
          <w:rFonts w:cstheme="minorHAnsi"/>
        </w:rPr>
        <w:t xml:space="preserve">According to USDA National Agricultural Statistics Service Florida Field Office, 2016 Annual Statistical Bulletin, some pre-harvest activities such as planting, transplanting, tying, staking and pruning are performed by farmworkers, as well as post-harvest activities such as packing and juice processing. In 2016, Florida ranked second in the production of bell peppers, fresh market sweet corn, squash and strawberries; third in the production of fresh market cabbage and honey; and fourth in the production of peanuts. </w:t>
      </w:r>
    </w:p>
    <w:p w14:paraId="6D145CD0" w14:textId="77777777" w:rsidR="00C76B6F" w:rsidRDefault="00C76B6F">
      <w:pPr>
        <w:rPr>
          <w:rFonts w:cstheme="minorHAnsi"/>
        </w:rPr>
      </w:pPr>
      <w:r>
        <w:rPr>
          <w:rFonts w:cstheme="minorHAnsi"/>
        </w:rPr>
        <w:br w:type="page"/>
      </w:r>
    </w:p>
    <w:p w14:paraId="76820751" w14:textId="77777777" w:rsidR="00C76B6F" w:rsidRDefault="00C76B6F" w:rsidP="00D63204">
      <w:pPr>
        <w:autoSpaceDE w:val="0"/>
        <w:autoSpaceDN w:val="0"/>
        <w:adjustRightInd w:val="0"/>
        <w:spacing w:line="240" w:lineRule="auto"/>
        <w:ind w:left="107"/>
        <w:rPr>
          <w:rFonts w:cstheme="minorHAnsi"/>
        </w:rPr>
      </w:pPr>
    </w:p>
    <w:p w14:paraId="7958F69D" w14:textId="5C95B65D" w:rsidR="00BA4790" w:rsidRDefault="00BA4790" w:rsidP="00D63204">
      <w:pPr>
        <w:autoSpaceDE w:val="0"/>
        <w:autoSpaceDN w:val="0"/>
        <w:adjustRightInd w:val="0"/>
        <w:spacing w:line="240" w:lineRule="auto"/>
        <w:ind w:left="107"/>
        <w:rPr>
          <w:rFonts w:ascii="Calibri" w:hAnsi="Calibri" w:cs="Calibri"/>
        </w:rPr>
      </w:pPr>
      <w:r w:rsidRPr="0099170A">
        <w:rPr>
          <w:rFonts w:cstheme="minorHAnsi"/>
        </w:rPr>
        <w:t xml:space="preserve">The following breakdown </w:t>
      </w:r>
      <w:r w:rsidR="00C965FB" w:rsidRPr="0099170A">
        <w:rPr>
          <w:rFonts w:cstheme="minorHAnsi"/>
        </w:rPr>
        <w:t xml:space="preserve">illustrates </w:t>
      </w:r>
      <w:r w:rsidRPr="0099170A">
        <w:rPr>
          <w:rFonts w:cstheme="minorHAnsi"/>
        </w:rPr>
        <w:t>Florida’s top major labor-intensive crop activity during the 201</w:t>
      </w:r>
      <w:r w:rsidR="004A5251" w:rsidRPr="0099170A">
        <w:rPr>
          <w:rFonts w:cstheme="minorHAnsi"/>
        </w:rPr>
        <w:t>5</w:t>
      </w:r>
      <w:r w:rsidRPr="0099170A">
        <w:rPr>
          <w:rFonts w:cstheme="minorHAnsi"/>
        </w:rPr>
        <w:t>-201</w:t>
      </w:r>
      <w:r w:rsidR="004A5251" w:rsidRPr="0099170A">
        <w:rPr>
          <w:rFonts w:cstheme="minorHAnsi"/>
        </w:rPr>
        <w:t>6</w:t>
      </w:r>
      <w:r w:rsidRPr="0099170A">
        <w:rPr>
          <w:rFonts w:cstheme="minorHAnsi"/>
        </w:rPr>
        <w:t xml:space="preserve"> season, per data gathered internally from local career centers and from external partner agencies.</w:t>
      </w:r>
    </w:p>
    <w:p w14:paraId="243693F0" w14:textId="77777777" w:rsidR="00B06793" w:rsidRDefault="00B06793" w:rsidP="00D63204">
      <w:pPr>
        <w:pStyle w:val="Pa17"/>
        <w:ind w:left="90"/>
        <w:rPr>
          <w:rFonts w:asciiTheme="minorHAnsi" w:hAnsiTheme="minorHAnsi" w:cs="Proxima Nova Rg"/>
          <w:b/>
          <w:bCs/>
          <w:color w:val="000000"/>
          <w:sz w:val="22"/>
          <w:szCs w:val="22"/>
        </w:rPr>
      </w:pPr>
      <w:r>
        <w:rPr>
          <w:rFonts w:asciiTheme="minorHAnsi" w:hAnsiTheme="minorHAnsi" w:cs="Proxima Nova Rg"/>
          <w:b/>
          <w:bCs/>
          <w:color w:val="000000"/>
          <w:sz w:val="22"/>
          <w:szCs w:val="22"/>
        </w:rPr>
        <w:t>Figure 7.01</w:t>
      </w:r>
      <w:r w:rsidRPr="00EE58AF">
        <w:rPr>
          <w:rFonts w:asciiTheme="minorHAnsi" w:hAnsiTheme="minorHAnsi" w:cs="Proxima Nova Rg"/>
          <w:b/>
          <w:bCs/>
          <w:color w:val="000000"/>
          <w:sz w:val="22"/>
          <w:szCs w:val="22"/>
        </w:rPr>
        <w:t xml:space="preserve"> </w:t>
      </w:r>
    </w:p>
    <w:p w14:paraId="5CD617CE" w14:textId="77777777" w:rsidR="00B06793" w:rsidRDefault="00B06793" w:rsidP="00D63204">
      <w:pPr>
        <w:pStyle w:val="Pa18"/>
        <w:spacing w:after="200"/>
        <w:ind w:left="90"/>
        <w:rPr>
          <w:rFonts w:asciiTheme="minorHAnsi" w:hAnsiTheme="minorHAnsi" w:cs="Proxima Nova Rg"/>
          <w:b/>
          <w:bCs/>
          <w:color w:val="000000"/>
          <w:sz w:val="22"/>
          <w:szCs w:val="22"/>
        </w:rPr>
      </w:pPr>
      <w:r>
        <w:rPr>
          <w:rFonts w:asciiTheme="minorHAnsi" w:hAnsiTheme="minorHAnsi" w:cs="Proxima Nova Rg"/>
          <w:b/>
          <w:bCs/>
          <w:color w:val="000000"/>
          <w:sz w:val="22"/>
          <w:szCs w:val="22"/>
        </w:rPr>
        <w:t>Florida’s Top Major Labor-Intensive Crop Activity</w:t>
      </w:r>
    </w:p>
    <w:tbl>
      <w:tblPr>
        <w:tblW w:w="4995" w:type="pct"/>
        <w:tblInd w:w="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70"/>
        <w:gridCol w:w="1162"/>
        <w:gridCol w:w="2053"/>
        <w:gridCol w:w="4930"/>
        <w:gridCol w:w="1095"/>
      </w:tblGrid>
      <w:tr w:rsidR="00B06793" w14:paraId="0F3EE3F1" w14:textId="77777777" w:rsidTr="00017D12">
        <w:trPr>
          <w:tblHeader/>
        </w:trPr>
        <w:tc>
          <w:tcPr>
            <w:tcW w:w="562" w:type="pct"/>
            <w:tcBorders>
              <w:top w:val="single" w:sz="8" w:space="0" w:color="000000"/>
              <w:left w:val="single" w:sz="8" w:space="0" w:color="000000"/>
              <w:bottom w:val="single" w:sz="8" w:space="0" w:color="000000"/>
              <w:right w:val="single" w:sz="8" w:space="0" w:color="000000"/>
            </w:tcBorders>
            <w:shd w:val="solid" w:color="FFFFFF" w:fill="FFFFFF"/>
            <w:tcMar>
              <w:top w:w="0" w:type="dxa"/>
              <w:left w:w="0" w:type="dxa"/>
              <w:bottom w:w="0" w:type="dxa"/>
              <w:right w:w="0" w:type="dxa"/>
            </w:tcMar>
            <w:vAlign w:val="center"/>
            <w:hideMark/>
          </w:tcPr>
          <w:p w14:paraId="1C5C2DD4" w14:textId="0750E112" w:rsidR="00B06793" w:rsidRDefault="00B06793" w:rsidP="00017D12">
            <w:pPr>
              <w:tabs>
                <w:tab w:val="left" w:pos="720"/>
                <w:tab w:val="left" w:pos="1080"/>
              </w:tabs>
              <w:spacing w:after="120" w:line="240" w:lineRule="auto"/>
              <w:ind w:left="90"/>
              <w:rPr>
                <w:rFonts w:cs="Calibri"/>
                <w:b/>
                <w:sz w:val="16"/>
                <w:szCs w:val="16"/>
              </w:rPr>
            </w:pPr>
            <w:r>
              <w:rPr>
                <w:rFonts w:cs="Calibri"/>
                <w:b/>
                <w:sz w:val="16"/>
                <w:szCs w:val="16"/>
              </w:rPr>
              <w:t>C</w:t>
            </w:r>
            <w:r w:rsidR="00017D12">
              <w:rPr>
                <w:rFonts w:cs="Calibri"/>
                <w:b/>
                <w:sz w:val="16"/>
                <w:szCs w:val="16"/>
              </w:rPr>
              <w:t>rop</w:t>
            </w:r>
          </w:p>
        </w:tc>
        <w:tc>
          <w:tcPr>
            <w:tcW w:w="558" w:type="pct"/>
            <w:tcBorders>
              <w:top w:val="single" w:sz="8" w:space="0" w:color="000000"/>
              <w:left w:val="single" w:sz="8" w:space="0" w:color="000000"/>
              <w:bottom w:val="single" w:sz="8" w:space="0" w:color="000000"/>
              <w:right w:val="single" w:sz="8" w:space="0" w:color="000000"/>
            </w:tcBorders>
            <w:shd w:val="solid" w:color="FFFFFF" w:fill="FFFFFF"/>
            <w:tcMar>
              <w:top w:w="0" w:type="dxa"/>
              <w:left w:w="0" w:type="dxa"/>
              <w:bottom w:w="0" w:type="dxa"/>
              <w:right w:w="0" w:type="dxa"/>
            </w:tcMar>
            <w:vAlign w:val="center"/>
            <w:hideMark/>
          </w:tcPr>
          <w:p w14:paraId="1756D863" w14:textId="77777777" w:rsidR="00B06793" w:rsidRDefault="00B06793" w:rsidP="00D63204">
            <w:pPr>
              <w:tabs>
                <w:tab w:val="left" w:pos="720"/>
                <w:tab w:val="left" w:pos="1080"/>
              </w:tabs>
              <w:spacing w:after="120" w:line="240" w:lineRule="auto"/>
              <w:ind w:left="90"/>
              <w:rPr>
                <w:rFonts w:cs="Calibri"/>
                <w:b/>
                <w:sz w:val="16"/>
                <w:szCs w:val="16"/>
              </w:rPr>
            </w:pPr>
            <w:r>
              <w:rPr>
                <w:rFonts w:cs="Calibri"/>
                <w:b/>
                <w:sz w:val="16"/>
                <w:szCs w:val="16"/>
              </w:rPr>
              <w:t>Usual Harvesting Begin</w:t>
            </w:r>
          </w:p>
        </w:tc>
        <w:tc>
          <w:tcPr>
            <w:tcW w:w="986" w:type="pct"/>
            <w:tcBorders>
              <w:top w:val="single" w:sz="8" w:space="0" w:color="000000"/>
              <w:left w:val="single" w:sz="8" w:space="0" w:color="000000"/>
              <w:bottom w:val="single" w:sz="8" w:space="0" w:color="000000"/>
              <w:right w:val="single" w:sz="8" w:space="0" w:color="000000"/>
            </w:tcBorders>
            <w:shd w:val="solid" w:color="FFFFFF" w:fill="FFFFFF"/>
            <w:tcMar>
              <w:top w:w="0" w:type="dxa"/>
              <w:left w:w="0" w:type="dxa"/>
              <w:bottom w:w="0" w:type="dxa"/>
              <w:right w:w="0" w:type="dxa"/>
            </w:tcMar>
            <w:vAlign w:val="center"/>
            <w:hideMark/>
          </w:tcPr>
          <w:p w14:paraId="79B8148B" w14:textId="77777777" w:rsidR="00B06793" w:rsidRDefault="00B06793" w:rsidP="00D63204">
            <w:pPr>
              <w:tabs>
                <w:tab w:val="left" w:pos="720"/>
                <w:tab w:val="left" w:pos="1080"/>
              </w:tabs>
              <w:spacing w:after="0" w:line="240" w:lineRule="auto"/>
              <w:ind w:left="90"/>
              <w:rPr>
                <w:rFonts w:cs="Calibri"/>
                <w:b/>
                <w:bCs/>
                <w:sz w:val="16"/>
                <w:szCs w:val="16"/>
              </w:rPr>
            </w:pPr>
            <w:r>
              <w:rPr>
                <w:rFonts w:cs="Calibri"/>
                <w:b/>
                <w:bCs/>
                <w:sz w:val="16"/>
                <w:szCs w:val="16"/>
              </w:rPr>
              <w:t>Usual Harvesting</w:t>
            </w:r>
          </w:p>
          <w:p w14:paraId="25F91CBF" w14:textId="77777777" w:rsidR="00B06793" w:rsidRDefault="00B06793" w:rsidP="00D63204">
            <w:pPr>
              <w:tabs>
                <w:tab w:val="left" w:pos="720"/>
                <w:tab w:val="left" w:pos="1080"/>
              </w:tabs>
              <w:spacing w:after="120" w:line="240" w:lineRule="auto"/>
              <w:ind w:left="90"/>
              <w:rPr>
                <w:rFonts w:cs="Calibri"/>
                <w:sz w:val="16"/>
                <w:szCs w:val="16"/>
              </w:rPr>
            </w:pPr>
            <w:r>
              <w:rPr>
                <w:rFonts w:cs="Calibri"/>
                <w:b/>
                <w:bCs/>
                <w:sz w:val="16"/>
                <w:szCs w:val="16"/>
              </w:rPr>
              <w:t>Most Active</w:t>
            </w:r>
          </w:p>
        </w:tc>
        <w:tc>
          <w:tcPr>
            <w:tcW w:w="2368" w:type="pct"/>
            <w:tcBorders>
              <w:top w:val="single" w:sz="8" w:space="0" w:color="000000"/>
              <w:left w:val="single" w:sz="8" w:space="0" w:color="000000"/>
              <w:bottom w:val="single" w:sz="8" w:space="0" w:color="000000"/>
              <w:right w:val="single" w:sz="8" w:space="0" w:color="000000"/>
            </w:tcBorders>
            <w:shd w:val="solid" w:color="FFFFFF" w:fill="FFFFFF"/>
            <w:tcMar>
              <w:top w:w="0" w:type="dxa"/>
              <w:left w:w="0" w:type="dxa"/>
              <w:bottom w:w="0" w:type="dxa"/>
              <w:right w:w="0" w:type="dxa"/>
            </w:tcMar>
            <w:vAlign w:val="center"/>
            <w:hideMark/>
          </w:tcPr>
          <w:p w14:paraId="60D095CA" w14:textId="77777777" w:rsidR="00B06793" w:rsidRDefault="00B06793" w:rsidP="00D63204">
            <w:pPr>
              <w:tabs>
                <w:tab w:val="left" w:pos="720"/>
                <w:tab w:val="left" w:pos="1080"/>
              </w:tabs>
              <w:spacing w:after="120" w:line="240" w:lineRule="auto"/>
              <w:ind w:left="90"/>
              <w:rPr>
                <w:rFonts w:cs="Calibri"/>
                <w:sz w:val="16"/>
                <w:szCs w:val="16"/>
              </w:rPr>
            </w:pPr>
            <w:r>
              <w:rPr>
                <w:rFonts w:cs="Calibri"/>
                <w:b/>
                <w:bCs/>
                <w:sz w:val="16"/>
                <w:szCs w:val="16"/>
              </w:rPr>
              <w:t>PRIMARY GEOGRAPHICAL AREA OF ACTIVITY</w:t>
            </w:r>
          </w:p>
        </w:tc>
        <w:tc>
          <w:tcPr>
            <w:tcW w:w="526" w:type="pct"/>
            <w:tcBorders>
              <w:top w:val="single" w:sz="8" w:space="0" w:color="000000"/>
              <w:left w:val="single" w:sz="8" w:space="0" w:color="000000"/>
              <w:bottom w:val="single" w:sz="8" w:space="0" w:color="000000"/>
              <w:right w:val="single" w:sz="8" w:space="0" w:color="000000"/>
            </w:tcBorders>
            <w:shd w:val="solid" w:color="FFFFFF" w:fill="FFFFFF"/>
            <w:tcMar>
              <w:top w:w="0" w:type="dxa"/>
              <w:left w:w="0" w:type="dxa"/>
              <w:bottom w:w="0" w:type="dxa"/>
              <w:right w:w="0" w:type="dxa"/>
            </w:tcMar>
            <w:vAlign w:val="center"/>
            <w:hideMark/>
          </w:tcPr>
          <w:p w14:paraId="3D0F4E62" w14:textId="77777777" w:rsidR="00B06793" w:rsidRDefault="00B06793" w:rsidP="00D63204">
            <w:pPr>
              <w:tabs>
                <w:tab w:val="left" w:pos="720"/>
                <w:tab w:val="left" w:pos="1080"/>
              </w:tabs>
              <w:spacing w:after="120" w:line="240" w:lineRule="auto"/>
              <w:ind w:left="90"/>
              <w:rPr>
                <w:rFonts w:cs="Calibri"/>
                <w:sz w:val="16"/>
                <w:szCs w:val="16"/>
              </w:rPr>
            </w:pPr>
            <w:r>
              <w:rPr>
                <w:rFonts w:cs="Calibri"/>
                <w:b/>
                <w:bCs/>
                <w:sz w:val="16"/>
                <w:szCs w:val="16"/>
              </w:rPr>
              <w:t>LABOR POOL</w:t>
            </w:r>
          </w:p>
        </w:tc>
      </w:tr>
      <w:tr w:rsidR="00B06793" w14:paraId="2AAA4D84" w14:textId="77777777" w:rsidTr="00017D12">
        <w:tc>
          <w:tcPr>
            <w:tcW w:w="562" w:type="pct"/>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0" w:type="dxa"/>
              <w:left w:w="0" w:type="dxa"/>
              <w:bottom w:w="0" w:type="dxa"/>
              <w:right w:w="0" w:type="dxa"/>
            </w:tcMar>
            <w:vAlign w:val="center"/>
            <w:hideMark/>
          </w:tcPr>
          <w:p w14:paraId="7ABB3BF6" w14:textId="77777777" w:rsidR="00B06793" w:rsidRDefault="00B06793" w:rsidP="00AE166E">
            <w:pPr>
              <w:tabs>
                <w:tab w:val="left" w:pos="720"/>
                <w:tab w:val="left" w:pos="1080"/>
              </w:tabs>
              <w:spacing w:after="120" w:line="240" w:lineRule="auto"/>
              <w:ind w:left="90"/>
              <w:rPr>
                <w:rFonts w:cs="Calibri"/>
                <w:sz w:val="16"/>
                <w:szCs w:val="16"/>
              </w:rPr>
            </w:pPr>
            <w:r>
              <w:rPr>
                <w:rFonts w:cs="Calibri"/>
                <w:sz w:val="16"/>
                <w:szCs w:val="16"/>
              </w:rPr>
              <w:t>Oranges</w:t>
            </w:r>
          </w:p>
        </w:tc>
        <w:tc>
          <w:tcPr>
            <w:tcW w:w="558" w:type="pct"/>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0" w:type="dxa"/>
              <w:left w:w="0" w:type="dxa"/>
              <w:bottom w:w="0" w:type="dxa"/>
              <w:right w:w="0" w:type="dxa"/>
            </w:tcMar>
            <w:vAlign w:val="center"/>
            <w:hideMark/>
          </w:tcPr>
          <w:p w14:paraId="7BF83B08" w14:textId="77777777" w:rsidR="00B06793" w:rsidRDefault="00B06793" w:rsidP="00AE166E">
            <w:pPr>
              <w:tabs>
                <w:tab w:val="left" w:pos="720"/>
                <w:tab w:val="left" w:pos="1080"/>
              </w:tabs>
              <w:spacing w:after="120" w:line="240" w:lineRule="auto"/>
              <w:ind w:left="90"/>
              <w:rPr>
                <w:rFonts w:cs="Calibri"/>
                <w:sz w:val="16"/>
                <w:szCs w:val="16"/>
              </w:rPr>
            </w:pPr>
            <w:r>
              <w:rPr>
                <w:rFonts w:cs="Calibri"/>
                <w:sz w:val="16"/>
                <w:szCs w:val="16"/>
              </w:rPr>
              <w:t>Mid-September</w:t>
            </w:r>
          </w:p>
        </w:tc>
        <w:tc>
          <w:tcPr>
            <w:tcW w:w="986" w:type="pct"/>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0" w:type="dxa"/>
              <w:left w:w="0" w:type="dxa"/>
              <w:bottom w:w="0" w:type="dxa"/>
              <w:right w:w="0" w:type="dxa"/>
            </w:tcMar>
            <w:vAlign w:val="center"/>
            <w:hideMark/>
          </w:tcPr>
          <w:p w14:paraId="7CFDAD0B" w14:textId="77777777" w:rsidR="00B06793" w:rsidRDefault="00B06793" w:rsidP="00AE166E">
            <w:pPr>
              <w:tabs>
                <w:tab w:val="left" w:pos="720"/>
                <w:tab w:val="left" w:pos="1080"/>
              </w:tabs>
              <w:spacing w:after="120" w:line="240" w:lineRule="auto"/>
              <w:ind w:left="90"/>
              <w:rPr>
                <w:rFonts w:cs="Calibri"/>
                <w:sz w:val="16"/>
                <w:szCs w:val="16"/>
              </w:rPr>
            </w:pPr>
            <w:r>
              <w:rPr>
                <w:rFonts w:cs="Calibri"/>
                <w:sz w:val="16"/>
                <w:szCs w:val="16"/>
              </w:rPr>
              <w:t>September - June</w:t>
            </w:r>
          </w:p>
        </w:tc>
        <w:tc>
          <w:tcPr>
            <w:tcW w:w="2368" w:type="pct"/>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0" w:type="dxa"/>
              <w:left w:w="0" w:type="dxa"/>
              <w:bottom w:w="0" w:type="dxa"/>
              <w:right w:w="0" w:type="dxa"/>
            </w:tcMar>
            <w:vAlign w:val="center"/>
            <w:hideMark/>
          </w:tcPr>
          <w:p w14:paraId="2AE48B0A" w14:textId="77777777" w:rsidR="00B06793" w:rsidRDefault="00B06793" w:rsidP="00AE166E">
            <w:pPr>
              <w:tabs>
                <w:tab w:val="left" w:pos="720"/>
                <w:tab w:val="left" w:pos="1080"/>
              </w:tabs>
              <w:spacing w:after="120" w:line="240" w:lineRule="auto"/>
              <w:ind w:left="90"/>
              <w:rPr>
                <w:rFonts w:cs="Calibri"/>
                <w:sz w:val="16"/>
                <w:szCs w:val="16"/>
              </w:rPr>
            </w:pPr>
            <w:r>
              <w:rPr>
                <w:rFonts w:cs="Calibri"/>
                <w:sz w:val="16"/>
                <w:szCs w:val="16"/>
              </w:rPr>
              <w:t>Polk, Highlands, DeSoto, Hendry, Hardee, Collier, Manatee, Lake, St. Lucie, Martin, Hillsborough, Pasco, Osceola, Indian River, Lee, Charlotte, Glades, Orange, Okeechobee</w:t>
            </w:r>
          </w:p>
        </w:tc>
        <w:tc>
          <w:tcPr>
            <w:tcW w:w="526" w:type="pct"/>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0" w:type="dxa"/>
              <w:left w:w="0" w:type="dxa"/>
              <w:bottom w:w="0" w:type="dxa"/>
              <w:right w:w="0" w:type="dxa"/>
            </w:tcMar>
            <w:vAlign w:val="center"/>
            <w:hideMark/>
          </w:tcPr>
          <w:p w14:paraId="1CB6C4D8" w14:textId="77777777" w:rsidR="00B06793" w:rsidRDefault="00B06793" w:rsidP="00D63204">
            <w:pPr>
              <w:tabs>
                <w:tab w:val="left" w:pos="720"/>
                <w:tab w:val="left" w:pos="1080"/>
              </w:tabs>
              <w:spacing w:after="120" w:line="240" w:lineRule="auto"/>
              <w:ind w:left="90"/>
              <w:rPr>
                <w:rFonts w:cs="Calibri"/>
                <w:sz w:val="16"/>
                <w:szCs w:val="16"/>
              </w:rPr>
            </w:pPr>
            <w:r>
              <w:rPr>
                <w:rFonts w:cs="Calibri"/>
                <w:sz w:val="16"/>
                <w:szCs w:val="16"/>
              </w:rPr>
              <w:t>45,000</w:t>
            </w:r>
          </w:p>
        </w:tc>
      </w:tr>
      <w:tr w:rsidR="00B06793" w14:paraId="5B7B9650" w14:textId="77777777" w:rsidTr="00017D12">
        <w:tc>
          <w:tcPr>
            <w:tcW w:w="562" w:type="pct"/>
            <w:tcBorders>
              <w:top w:val="single" w:sz="8" w:space="0" w:color="000000"/>
              <w:left w:val="single" w:sz="8" w:space="0" w:color="000000"/>
              <w:bottom w:val="single" w:sz="8" w:space="0" w:color="000000"/>
              <w:right w:val="single" w:sz="8" w:space="0" w:color="000000"/>
            </w:tcBorders>
            <w:shd w:val="solid" w:color="FFFFFF" w:fill="FFFFFF"/>
            <w:tcMar>
              <w:top w:w="0" w:type="dxa"/>
              <w:left w:w="0" w:type="dxa"/>
              <w:bottom w:w="0" w:type="dxa"/>
              <w:right w:w="0" w:type="dxa"/>
            </w:tcMar>
            <w:vAlign w:val="center"/>
            <w:hideMark/>
          </w:tcPr>
          <w:p w14:paraId="626C7986" w14:textId="77777777" w:rsidR="00B06793" w:rsidRDefault="00B06793" w:rsidP="00AE166E">
            <w:pPr>
              <w:tabs>
                <w:tab w:val="left" w:pos="720"/>
                <w:tab w:val="left" w:pos="1080"/>
              </w:tabs>
              <w:spacing w:after="120" w:line="240" w:lineRule="auto"/>
              <w:ind w:left="90"/>
              <w:rPr>
                <w:rFonts w:cs="Calibri"/>
                <w:sz w:val="16"/>
                <w:szCs w:val="16"/>
              </w:rPr>
            </w:pPr>
            <w:r>
              <w:rPr>
                <w:rFonts w:cs="Calibri"/>
                <w:sz w:val="16"/>
                <w:szCs w:val="16"/>
              </w:rPr>
              <w:t>Grapefruit</w:t>
            </w:r>
          </w:p>
        </w:tc>
        <w:tc>
          <w:tcPr>
            <w:tcW w:w="558" w:type="pct"/>
            <w:tcBorders>
              <w:top w:val="single" w:sz="8" w:space="0" w:color="000000"/>
              <w:left w:val="single" w:sz="8" w:space="0" w:color="000000"/>
              <w:bottom w:val="single" w:sz="8" w:space="0" w:color="000000"/>
              <w:right w:val="single" w:sz="8" w:space="0" w:color="000000"/>
            </w:tcBorders>
            <w:shd w:val="solid" w:color="FFFFFF" w:fill="FFFFFF"/>
            <w:tcMar>
              <w:top w:w="0" w:type="dxa"/>
              <w:left w:w="0" w:type="dxa"/>
              <w:bottom w:w="0" w:type="dxa"/>
              <w:right w:w="0" w:type="dxa"/>
            </w:tcMar>
            <w:vAlign w:val="center"/>
            <w:hideMark/>
          </w:tcPr>
          <w:p w14:paraId="767EE8D6" w14:textId="77777777" w:rsidR="00B06793" w:rsidRDefault="00B06793" w:rsidP="00AE166E">
            <w:pPr>
              <w:tabs>
                <w:tab w:val="left" w:pos="720"/>
                <w:tab w:val="left" w:pos="1080"/>
              </w:tabs>
              <w:spacing w:after="120" w:line="240" w:lineRule="auto"/>
              <w:ind w:left="90"/>
              <w:rPr>
                <w:rFonts w:cs="Calibri"/>
                <w:sz w:val="16"/>
                <w:szCs w:val="16"/>
              </w:rPr>
            </w:pPr>
            <w:r>
              <w:rPr>
                <w:rFonts w:cs="Calibri"/>
                <w:sz w:val="16"/>
                <w:szCs w:val="16"/>
              </w:rPr>
              <w:t>September</w:t>
            </w:r>
          </w:p>
        </w:tc>
        <w:tc>
          <w:tcPr>
            <w:tcW w:w="986" w:type="pct"/>
            <w:tcBorders>
              <w:top w:val="single" w:sz="8" w:space="0" w:color="000000"/>
              <w:left w:val="single" w:sz="8" w:space="0" w:color="000000"/>
              <w:bottom w:val="single" w:sz="8" w:space="0" w:color="000000"/>
              <w:right w:val="single" w:sz="8" w:space="0" w:color="000000"/>
            </w:tcBorders>
            <w:shd w:val="solid" w:color="FFFFFF" w:fill="FFFFFF"/>
            <w:tcMar>
              <w:top w:w="0" w:type="dxa"/>
              <w:left w:w="0" w:type="dxa"/>
              <w:bottom w:w="0" w:type="dxa"/>
              <w:right w:w="0" w:type="dxa"/>
            </w:tcMar>
            <w:vAlign w:val="center"/>
            <w:hideMark/>
          </w:tcPr>
          <w:p w14:paraId="7DB74DCD" w14:textId="77777777" w:rsidR="00B06793" w:rsidRDefault="00B06793" w:rsidP="00AE166E">
            <w:pPr>
              <w:tabs>
                <w:tab w:val="left" w:pos="720"/>
                <w:tab w:val="left" w:pos="1080"/>
              </w:tabs>
              <w:spacing w:after="120" w:line="240" w:lineRule="auto"/>
              <w:ind w:left="90"/>
              <w:rPr>
                <w:rFonts w:cs="Calibri"/>
                <w:sz w:val="16"/>
                <w:szCs w:val="16"/>
              </w:rPr>
            </w:pPr>
            <w:r>
              <w:rPr>
                <w:rFonts w:cs="Calibri"/>
                <w:sz w:val="16"/>
                <w:szCs w:val="16"/>
              </w:rPr>
              <w:t>September - June</w:t>
            </w:r>
          </w:p>
        </w:tc>
        <w:tc>
          <w:tcPr>
            <w:tcW w:w="2368" w:type="pct"/>
            <w:tcBorders>
              <w:top w:val="single" w:sz="8" w:space="0" w:color="000000"/>
              <w:left w:val="single" w:sz="8" w:space="0" w:color="000000"/>
              <w:bottom w:val="single" w:sz="8" w:space="0" w:color="000000"/>
              <w:right w:val="single" w:sz="8" w:space="0" w:color="000000"/>
            </w:tcBorders>
            <w:shd w:val="solid" w:color="FFFFFF" w:fill="FFFFFF"/>
            <w:tcMar>
              <w:top w:w="0" w:type="dxa"/>
              <w:left w:w="0" w:type="dxa"/>
              <w:bottom w:w="0" w:type="dxa"/>
              <w:right w:w="0" w:type="dxa"/>
            </w:tcMar>
            <w:vAlign w:val="center"/>
            <w:hideMark/>
          </w:tcPr>
          <w:p w14:paraId="7C30BF9C" w14:textId="77777777" w:rsidR="00B06793" w:rsidRDefault="00B06793" w:rsidP="00AE166E">
            <w:pPr>
              <w:tabs>
                <w:tab w:val="left" w:pos="720"/>
                <w:tab w:val="left" w:pos="1080"/>
              </w:tabs>
              <w:spacing w:after="120" w:line="240" w:lineRule="auto"/>
              <w:ind w:left="90"/>
              <w:rPr>
                <w:rFonts w:cs="Calibri"/>
                <w:sz w:val="16"/>
                <w:szCs w:val="16"/>
              </w:rPr>
            </w:pPr>
            <w:r>
              <w:rPr>
                <w:rFonts w:cs="Calibri"/>
                <w:sz w:val="16"/>
                <w:szCs w:val="16"/>
              </w:rPr>
              <w:t>Indian River, St. Lucie, Polk, Hendry, Highlands, Osceola, Charlotte, Collier, Lake, Okeechobee</w:t>
            </w:r>
          </w:p>
        </w:tc>
        <w:tc>
          <w:tcPr>
            <w:tcW w:w="526" w:type="pct"/>
            <w:tcBorders>
              <w:top w:val="single" w:sz="8" w:space="0" w:color="000000"/>
              <w:left w:val="single" w:sz="8" w:space="0" w:color="000000"/>
              <w:bottom w:val="single" w:sz="8" w:space="0" w:color="000000"/>
              <w:right w:val="single" w:sz="8" w:space="0" w:color="000000"/>
            </w:tcBorders>
            <w:shd w:val="solid" w:color="FFFFFF" w:fill="FFFFFF"/>
            <w:tcMar>
              <w:top w:w="0" w:type="dxa"/>
              <w:left w:w="0" w:type="dxa"/>
              <w:bottom w:w="0" w:type="dxa"/>
              <w:right w:w="0" w:type="dxa"/>
            </w:tcMar>
            <w:vAlign w:val="center"/>
            <w:hideMark/>
          </w:tcPr>
          <w:p w14:paraId="7533B389" w14:textId="77777777" w:rsidR="00B06793" w:rsidRDefault="00B06793" w:rsidP="00D63204">
            <w:pPr>
              <w:tabs>
                <w:tab w:val="left" w:pos="720"/>
                <w:tab w:val="left" w:pos="1080"/>
              </w:tabs>
              <w:spacing w:after="120" w:line="240" w:lineRule="auto"/>
              <w:ind w:left="90"/>
              <w:rPr>
                <w:rFonts w:cs="Calibri"/>
                <w:sz w:val="16"/>
                <w:szCs w:val="16"/>
              </w:rPr>
            </w:pPr>
            <w:r>
              <w:rPr>
                <w:rFonts w:cs="Calibri"/>
                <w:sz w:val="16"/>
                <w:szCs w:val="16"/>
              </w:rPr>
              <w:t>5,000</w:t>
            </w:r>
          </w:p>
        </w:tc>
      </w:tr>
      <w:tr w:rsidR="00B06793" w14:paraId="18C3209C" w14:textId="77777777" w:rsidTr="00017D12">
        <w:tc>
          <w:tcPr>
            <w:tcW w:w="562" w:type="pct"/>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0" w:type="dxa"/>
              <w:left w:w="0" w:type="dxa"/>
              <w:bottom w:w="0" w:type="dxa"/>
              <w:right w:w="0" w:type="dxa"/>
            </w:tcMar>
            <w:vAlign w:val="center"/>
            <w:hideMark/>
          </w:tcPr>
          <w:p w14:paraId="2F426B88" w14:textId="77777777" w:rsidR="00B06793" w:rsidRDefault="00B06793" w:rsidP="00AE166E">
            <w:pPr>
              <w:tabs>
                <w:tab w:val="left" w:pos="720"/>
                <w:tab w:val="left" w:pos="1080"/>
              </w:tabs>
              <w:spacing w:after="120" w:line="240" w:lineRule="auto"/>
              <w:ind w:left="90"/>
              <w:rPr>
                <w:rFonts w:cs="Calibri"/>
                <w:sz w:val="16"/>
                <w:szCs w:val="16"/>
              </w:rPr>
            </w:pPr>
            <w:r>
              <w:rPr>
                <w:rFonts w:cs="Calibri"/>
                <w:sz w:val="16"/>
                <w:szCs w:val="16"/>
              </w:rPr>
              <w:t>Specialty Citrus</w:t>
            </w:r>
          </w:p>
        </w:tc>
        <w:tc>
          <w:tcPr>
            <w:tcW w:w="558" w:type="pct"/>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0" w:type="dxa"/>
              <w:left w:w="0" w:type="dxa"/>
              <w:bottom w:w="0" w:type="dxa"/>
              <w:right w:w="0" w:type="dxa"/>
            </w:tcMar>
            <w:vAlign w:val="center"/>
            <w:hideMark/>
          </w:tcPr>
          <w:p w14:paraId="22240C89" w14:textId="77777777" w:rsidR="00B06793" w:rsidRDefault="00B06793" w:rsidP="00AE166E">
            <w:pPr>
              <w:tabs>
                <w:tab w:val="left" w:pos="720"/>
                <w:tab w:val="left" w:pos="1080"/>
              </w:tabs>
              <w:spacing w:after="120" w:line="240" w:lineRule="auto"/>
              <w:ind w:left="90"/>
              <w:rPr>
                <w:rFonts w:cs="Calibri"/>
                <w:sz w:val="16"/>
                <w:szCs w:val="16"/>
              </w:rPr>
            </w:pPr>
            <w:r>
              <w:rPr>
                <w:rFonts w:cs="Calibri"/>
                <w:sz w:val="16"/>
                <w:szCs w:val="16"/>
              </w:rPr>
              <w:t>June</w:t>
            </w:r>
          </w:p>
        </w:tc>
        <w:tc>
          <w:tcPr>
            <w:tcW w:w="986" w:type="pct"/>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0" w:type="dxa"/>
              <w:left w:w="0" w:type="dxa"/>
              <w:bottom w:w="0" w:type="dxa"/>
              <w:right w:w="0" w:type="dxa"/>
            </w:tcMar>
            <w:vAlign w:val="center"/>
            <w:hideMark/>
          </w:tcPr>
          <w:p w14:paraId="5C01AC39" w14:textId="77777777" w:rsidR="00B06793" w:rsidRDefault="00B06793" w:rsidP="00AE166E">
            <w:pPr>
              <w:tabs>
                <w:tab w:val="left" w:pos="720"/>
                <w:tab w:val="left" w:pos="1080"/>
              </w:tabs>
              <w:spacing w:after="120" w:line="240" w:lineRule="auto"/>
              <w:ind w:left="90"/>
              <w:rPr>
                <w:rFonts w:cs="Calibri"/>
                <w:sz w:val="16"/>
                <w:szCs w:val="16"/>
              </w:rPr>
            </w:pPr>
            <w:r>
              <w:rPr>
                <w:rFonts w:cs="Calibri"/>
                <w:sz w:val="16"/>
                <w:szCs w:val="16"/>
              </w:rPr>
              <w:t>June – April</w:t>
            </w:r>
          </w:p>
        </w:tc>
        <w:tc>
          <w:tcPr>
            <w:tcW w:w="2368" w:type="pct"/>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0" w:type="dxa"/>
              <w:left w:w="0" w:type="dxa"/>
              <w:bottom w:w="0" w:type="dxa"/>
              <w:right w:w="0" w:type="dxa"/>
            </w:tcMar>
            <w:vAlign w:val="center"/>
            <w:hideMark/>
          </w:tcPr>
          <w:p w14:paraId="4738F959" w14:textId="77777777" w:rsidR="00B06793" w:rsidRDefault="00B06793" w:rsidP="00AE166E">
            <w:pPr>
              <w:tabs>
                <w:tab w:val="left" w:pos="720"/>
                <w:tab w:val="left" w:pos="1080"/>
              </w:tabs>
              <w:spacing w:after="120" w:line="240" w:lineRule="auto"/>
              <w:ind w:left="90"/>
              <w:rPr>
                <w:rFonts w:cs="Calibri"/>
                <w:sz w:val="16"/>
                <w:szCs w:val="16"/>
              </w:rPr>
            </w:pPr>
            <w:r>
              <w:rPr>
                <w:rFonts w:cs="Calibri"/>
                <w:sz w:val="16"/>
                <w:szCs w:val="16"/>
              </w:rPr>
              <w:t>Polk, Lake, Highlands, Hendry, Charlotte, Hardee, St. Lucie, Collier, De Soto, Indian River, Hillsborough, Lee</w:t>
            </w:r>
          </w:p>
        </w:tc>
        <w:tc>
          <w:tcPr>
            <w:tcW w:w="526" w:type="pct"/>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0" w:type="dxa"/>
              <w:left w:w="0" w:type="dxa"/>
              <w:bottom w:w="0" w:type="dxa"/>
              <w:right w:w="0" w:type="dxa"/>
            </w:tcMar>
            <w:vAlign w:val="center"/>
            <w:hideMark/>
          </w:tcPr>
          <w:p w14:paraId="6FC2A1B9" w14:textId="77777777" w:rsidR="00B06793" w:rsidRDefault="00B06793" w:rsidP="00D63204">
            <w:pPr>
              <w:tabs>
                <w:tab w:val="left" w:pos="720"/>
                <w:tab w:val="left" w:pos="1080"/>
              </w:tabs>
              <w:spacing w:after="120" w:line="240" w:lineRule="auto"/>
              <w:ind w:left="90"/>
              <w:rPr>
                <w:rFonts w:cs="Calibri"/>
                <w:sz w:val="16"/>
                <w:szCs w:val="16"/>
              </w:rPr>
            </w:pPr>
            <w:r>
              <w:rPr>
                <w:rFonts w:cs="Calibri"/>
                <w:sz w:val="16"/>
                <w:szCs w:val="16"/>
              </w:rPr>
              <w:t>1,000`</w:t>
            </w:r>
          </w:p>
        </w:tc>
      </w:tr>
      <w:tr w:rsidR="00B06793" w14:paraId="3B0F3B8E" w14:textId="77777777" w:rsidTr="00017D12">
        <w:tc>
          <w:tcPr>
            <w:tcW w:w="562" w:type="pct"/>
            <w:tcBorders>
              <w:top w:val="single" w:sz="8" w:space="0" w:color="000000"/>
              <w:left w:val="single" w:sz="8" w:space="0" w:color="000000"/>
              <w:bottom w:val="single" w:sz="8" w:space="0" w:color="000000"/>
              <w:right w:val="single" w:sz="8" w:space="0" w:color="000000"/>
            </w:tcBorders>
            <w:shd w:val="solid" w:color="FFFFFF" w:fill="FFFFFF"/>
            <w:tcMar>
              <w:top w:w="0" w:type="dxa"/>
              <w:left w:w="0" w:type="dxa"/>
              <w:bottom w:w="0" w:type="dxa"/>
              <w:right w:w="0" w:type="dxa"/>
            </w:tcMar>
            <w:vAlign w:val="center"/>
            <w:hideMark/>
          </w:tcPr>
          <w:p w14:paraId="10C6B174" w14:textId="77777777" w:rsidR="00B06793" w:rsidRDefault="00B06793" w:rsidP="00AE166E">
            <w:pPr>
              <w:tabs>
                <w:tab w:val="left" w:pos="720"/>
                <w:tab w:val="left" w:pos="1080"/>
              </w:tabs>
              <w:spacing w:after="120" w:line="240" w:lineRule="auto"/>
              <w:ind w:left="90"/>
              <w:rPr>
                <w:rFonts w:cs="Calibri"/>
                <w:sz w:val="16"/>
                <w:szCs w:val="16"/>
              </w:rPr>
            </w:pPr>
            <w:r>
              <w:rPr>
                <w:rFonts w:cs="Calibri"/>
                <w:sz w:val="16"/>
                <w:szCs w:val="16"/>
              </w:rPr>
              <w:t>Tomatoes</w:t>
            </w:r>
          </w:p>
        </w:tc>
        <w:tc>
          <w:tcPr>
            <w:tcW w:w="558" w:type="pct"/>
            <w:tcBorders>
              <w:top w:val="single" w:sz="8" w:space="0" w:color="000000"/>
              <w:left w:val="single" w:sz="8" w:space="0" w:color="000000"/>
              <w:bottom w:val="single" w:sz="8" w:space="0" w:color="000000"/>
              <w:right w:val="single" w:sz="8" w:space="0" w:color="000000"/>
            </w:tcBorders>
            <w:shd w:val="solid" w:color="FFFFFF" w:fill="FFFFFF"/>
            <w:tcMar>
              <w:top w:w="0" w:type="dxa"/>
              <w:left w:w="0" w:type="dxa"/>
              <w:bottom w:w="0" w:type="dxa"/>
              <w:right w:w="0" w:type="dxa"/>
            </w:tcMar>
            <w:vAlign w:val="center"/>
            <w:hideMark/>
          </w:tcPr>
          <w:p w14:paraId="31926C22" w14:textId="77777777" w:rsidR="00B06793" w:rsidRDefault="00B06793" w:rsidP="00AE166E">
            <w:pPr>
              <w:tabs>
                <w:tab w:val="left" w:pos="720"/>
                <w:tab w:val="left" w:pos="1080"/>
              </w:tabs>
              <w:spacing w:after="120" w:line="240" w:lineRule="auto"/>
              <w:ind w:left="90"/>
              <w:rPr>
                <w:rFonts w:cs="Calibri"/>
                <w:sz w:val="16"/>
                <w:szCs w:val="16"/>
              </w:rPr>
            </w:pPr>
            <w:r>
              <w:rPr>
                <w:rFonts w:cs="Calibri"/>
                <w:sz w:val="16"/>
                <w:szCs w:val="16"/>
              </w:rPr>
              <w:t>Mid-October</w:t>
            </w:r>
          </w:p>
        </w:tc>
        <w:tc>
          <w:tcPr>
            <w:tcW w:w="986" w:type="pct"/>
            <w:tcBorders>
              <w:top w:val="single" w:sz="8" w:space="0" w:color="000000"/>
              <w:left w:val="single" w:sz="8" w:space="0" w:color="000000"/>
              <w:bottom w:val="single" w:sz="8" w:space="0" w:color="000000"/>
              <w:right w:val="single" w:sz="8" w:space="0" w:color="000000"/>
            </w:tcBorders>
            <w:shd w:val="solid" w:color="FFFFFF" w:fill="FFFFFF"/>
            <w:tcMar>
              <w:top w:w="0" w:type="dxa"/>
              <w:left w:w="0" w:type="dxa"/>
              <w:bottom w:w="0" w:type="dxa"/>
              <w:right w:w="0" w:type="dxa"/>
            </w:tcMar>
            <w:vAlign w:val="center"/>
            <w:hideMark/>
          </w:tcPr>
          <w:p w14:paraId="594B28A5" w14:textId="77777777" w:rsidR="00B06793" w:rsidRDefault="00B06793" w:rsidP="00AE166E">
            <w:pPr>
              <w:tabs>
                <w:tab w:val="left" w:pos="720"/>
                <w:tab w:val="left" w:pos="1080"/>
              </w:tabs>
              <w:spacing w:after="120" w:line="240" w:lineRule="auto"/>
              <w:ind w:left="90"/>
              <w:rPr>
                <w:rFonts w:cs="Calibri"/>
                <w:sz w:val="16"/>
                <w:szCs w:val="16"/>
              </w:rPr>
            </w:pPr>
            <w:r>
              <w:rPr>
                <w:rFonts w:cs="Calibri"/>
                <w:sz w:val="16"/>
                <w:szCs w:val="16"/>
              </w:rPr>
              <w:t xml:space="preserve">November - June </w:t>
            </w:r>
          </w:p>
        </w:tc>
        <w:tc>
          <w:tcPr>
            <w:tcW w:w="2368" w:type="pct"/>
            <w:tcBorders>
              <w:top w:val="single" w:sz="8" w:space="0" w:color="000000"/>
              <w:left w:val="single" w:sz="8" w:space="0" w:color="000000"/>
              <w:bottom w:val="single" w:sz="8" w:space="0" w:color="000000"/>
              <w:right w:val="single" w:sz="8" w:space="0" w:color="000000"/>
            </w:tcBorders>
            <w:shd w:val="solid" w:color="FFFFFF" w:fill="FFFFFF"/>
            <w:tcMar>
              <w:top w:w="0" w:type="dxa"/>
              <w:left w:w="0" w:type="dxa"/>
              <w:bottom w:w="0" w:type="dxa"/>
              <w:right w:w="0" w:type="dxa"/>
            </w:tcMar>
            <w:vAlign w:val="center"/>
            <w:hideMark/>
          </w:tcPr>
          <w:p w14:paraId="3363290B" w14:textId="77777777" w:rsidR="00B06793" w:rsidRDefault="00B06793" w:rsidP="00AE166E">
            <w:pPr>
              <w:tabs>
                <w:tab w:val="left" w:pos="720"/>
                <w:tab w:val="left" w:pos="1080"/>
              </w:tabs>
              <w:spacing w:after="120" w:line="240" w:lineRule="auto"/>
              <w:ind w:left="90"/>
              <w:rPr>
                <w:rFonts w:cs="Calibri"/>
                <w:sz w:val="16"/>
                <w:szCs w:val="16"/>
              </w:rPr>
            </w:pPr>
            <w:r>
              <w:rPr>
                <w:rFonts w:cs="Calibri"/>
                <w:sz w:val="16"/>
                <w:szCs w:val="16"/>
              </w:rPr>
              <w:t>Manatee, Collier, Hillsborough, Miami-Dade, Palm Beach, Hendry, Gadsden, Hamilton, Jackson</w:t>
            </w:r>
          </w:p>
        </w:tc>
        <w:tc>
          <w:tcPr>
            <w:tcW w:w="526" w:type="pct"/>
            <w:tcBorders>
              <w:top w:val="single" w:sz="8" w:space="0" w:color="000000"/>
              <w:left w:val="single" w:sz="8" w:space="0" w:color="000000"/>
              <w:bottom w:val="single" w:sz="8" w:space="0" w:color="000000"/>
              <w:right w:val="single" w:sz="8" w:space="0" w:color="000000"/>
            </w:tcBorders>
            <w:shd w:val="solid" w:color="FFFFFF" w:fill="FFFFFF"/>
            <w:tcMar>
              <w:top w:w="0" w:type="dxa"/>
              <w:left w:w="0" w:type="dxa"/>
              <w:bottom w:w="0" w:type="dxa"/>
              <w:right w:w="0" w:type="dxa"/>
            </w:tcMar>
            <w:vAlign w:val="center"/>
            <w:hideMark/>
          </w:tcPr>
          <w:p w14:paraId="7E2A626F" w14:textId="77777777" w:rsidR="00B06793" w:rsidRDefault="00B06793" w:rsidP="00D63204">
            <w:pPr>
              <w:tabs>
                <w:tab w:val="left" w:pos="720"/>
                <w:tab w:val="left" w:pos="1080"/>
              </w:tabs>
              <w:spacing w:after="120" w:line="240" w:lineRule="auto"/>
              <w:ind w:left="90"/>
              <w:rPr>
                <w:rFonts w:cs="Calibri"/>
                <w:sz w:val="16"/>
                <w:szCs w:val="16"/>
              </w:rPr>
            </w:pPr>
            <w:r>
              <w:rPr>
                <w:rFonts w:cs="Calibri"/>
                <w:sz w:val="16"/>
                <w:szCs w:val="16"/>
              </w:rPr>
              <w:t>9,500</w:t>
            </w:r>
          </w:p>
        </w:tc>
      </w:tr>
      <w:tr w:rsidR="00B06793" w14:paraId="285F653C" w14:textId="77777777" w:rsidTr="00017D12">
        <w:tc>
          <w:tcPr>
            <w:tcW w:w="562" w:type="pct"/>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0" w:type="dxa"/>
              <w:left w:w="0" w:type="dxa"/>
              <w:bottom w:w="0" w:type="dxa"/>
              <w:right w:w="0" w:type="dxa"/>
            </w:tcMar>
            <w:vAlign w:val="center"/>
            <w:hideMark/>
          </w:tcPr>
          <w:p w14:paraId="526C7A8C" w14:textId="77777777" w:rsidR="00B06793" w:rsidRDefault="00B06793" w:rsidP="00AE166E">
            <w:pPr>
              <w:tabs>
                <w:tab w:val="left" w:pos="720"/>
                <w:tab w:val="left" w:pos="1080"/>
              </w:tabs>
              <w:spacing w:after="120" w:line="240" w:lineRule="auto"/>
              <w:ind w:left="90"/>
              <w:rPr>
                <w:rFonts w:cs="Calibri"/>
                <w:sz w:val="16"/>
                <w:szCs w:val="16"/>
              </w:rPr>
            </w:pPr>
            <w:r>
              <w:rPr>
                <w:rFonts w:cs="Calibri"/>
                <w:sz w:val="16"/>
                <w:szCs w:val="16"/>
              </w:rPr>
              <w:t>Blueberries</w:t>
            </w:r>
          </w:p>
        </w:tc>
        <w:tc>
          <w:tcPr>
            <w:tcW w:w="558" w:type="pct"/>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0" w:type="dxa"/>
              <w:left w:w="0" w:type="dxa"/>
              <w:bottom w:w="0" w:type="dxa"/>
              <w:right w:w="0" w:type="dxa"/>
            </w:tcMar>
            <w:vAlign w:val="center"/>
            <w:hideMark/>
          </w:tcPr>
          <w:p w14:paraId="26A61D09" w14:textId="77777777" w:rsidR="00B06793" w:rsidRDefault="00B06793" w:rsidP="00AE166E">
            <w:pPr>
              <w:tabs>
                <w:tab w:val="left" w:pos="720"/>
                <w:tab w:val="left" w:pos="1080"/>
              </w:tabs>
              <w:spacing w:after="120" w:line="240" w:lineRule="auto"/>
              <w:ind w:left="90"/>
              <w:rPr>
                <w:rFonts w:cs="Calibri"/>
                <w:sz w:val="16"/>
                <w:szCs w:val="16"/>
              </w:rPr>
            </w:pPr>
            <w:r>
              <w:rPr>
                <w:rFonts w:cs="Calibri"/>
                <w:sz w:val="16"/>
                <w:szCs w:val="16"/>
              </w:rPr>
              <w:t>March</w:t>
            </w:r>
          </w:p>
        </w:tc>
        <w:tc>
          <w:tcPr>
            <w:tcW w:w="986" w:type="pct"/>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0" w:type="dxa"/>
              <w:left w:w="0" w:type="dxa"/>
              <w:bottom w:w="0" w:type="dxa"/>
              <w:right w:w="0" w:type="dxa"/>
            </w:tcMar>
            <w:vAlign w:val="center"/>
            <w:hideMark/>
          </w:tcPr>
          <w:p w14:paraId="4DB4A362" w14:textId="77777777" w:rsidR="00B06793" w:rsidRDefault="00B06793" w:rsidP="00AE166E">
            <w:pPr>
              <w:tabs>
                <w:tab w:val="left" w:pos="720"/>
                <w:tab w:val="left" w:pos="1080"/>
              </w:tabs>
              <w:spacing w:after="120" w:line="240" w:lineRule="auto"/>
              <w:ind w:left="90"/>
              <w:rPr>
                <w:rFonts w:cs="Calibri"/>
                <w:sz w:val="16"/>
                <w:szCs w:val="16"/>
              </w:rPr>
            </w:pPr>
            <w:r>
              <w:rPr>
                <w:rFonts w:cs="Calibri"/>
                <w:sz w:val="16"/>
                <w:szCs w:val="16"/>
              </w:rPr>
              <w:t>March - May</w:t>
            </w:r>
          </w:p>
        </w:tc>
        <w:tc>
          <w:tcPr>
            <w:tcW w:w="2368" w:type="pct"/>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0" w:type="dxa"/>
              <w:left w:w="0" w:type="dxa"/>
              <w:bottom w:w="0" w:type="dxa"/>
              <w:right w:w="0" w:type="dxa"/>
            </w:tcMar>
            <w:vAlign w:val="center"/>
            <w:hideMark/>
          </w:tcPr>
          <w:p w14:paraId="25ECBA86" w14:textId="77777777" w:rsidR="00B06793" w:rsidRDefault="00B06793" w:rsidP="00AE166E">
            <w:pPr>
              <w:tabs>
                <w:tab w:val="left" w:pos="720"/>
                <w:tab w:val="left" w:pos="1080"/>
              </w:tabs>
              <w:spacing w:after="120" w:line="240" w:lineRule="auto"/>
              <w:ind w:left="90"/>
              <w:rPr>
                <w:rFonts w:cs="Calibri"/>
                <w:sz w:val="16"/>
                <w:szCs w:val="16"/>
              </w:rPr>
            </w:pPr>
            <w:r>
              <w:rPr>
                <w:rFonts w:cs="Calibri"/>
                <w:sz w:val="16"/>
                <w:szCs w:val="16"/>
              </w:rPr>
              <w:t>Polk, Alachua, Hardee, Hamilton, Levy</w:t>
            </w:r>
          </w:p>
        </w:tc>
        <w:tc>
          <w:tcPr>
            <w:tcW w:w="526" w:type="pct"/>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0" w:type="dxa"/>
              <w:left w:w="0" w:type="dxa"/>
              <w:bottom w:w="0" w:type="dxa"/>
              <w:right w:w="0" w:type="dxa"/>
            </w:tcMar>
            <w:vAlign w:val="center"/>
            <w:hideMark/>
          </w:tcPr>
          <w:p w14:paraId="05BC6AF1" w14:textId="77777777" w:rsidR="00B06793" w:rsidRDefault="00B06793" w:rsidP="00D63204">
            <w:pPr>
              <w:tabs>
                <w:tab w:val="left" w:pos="720"/>
                <w:tab w:val="left" w:pos="1080"/>
              </w:tabs>
              <w:spacing w:after="120" w:line="240" w:lineRule="auto"/>
              <w:ind w:left="90"/>
              <w:rPr>
                <w:rFonts w:cs="Calibri"/>
                <w:sz w:val="16"/>
                <w:szCs w:val="16"/>
              </w:rPr>
            </w:pPr>
            <w:r>
              <w:rPr>
                <w:rFonts w:cs="Calibri"/>
                <w:sz w:val="16"/>
                <w:szCs w:val="16"/>
              </w:rPr>
              <w:t>7,000</w:t>
            </w:r>
          </w:p>
        </w:tc>
      </w:tr>
      <w:tr w:rsidR="00B06793" w14:paraId="1BF2F935" w14:textId="77777777" w:rsidTr="00017D12">
        <w:tc>
          <w:tcPr>
            <w:tcW w:w="562" w:type="pct"/>
            <w:tcBorders>
              <w:top w:val="single" w:sz="8" w:space="0" w:color="000000"/>
              <w:left w:val="single" w:sz="8" w:space="0" w:color="000000"/>
              <w:bottom w:val="single" w:sz="8" w:space="0" w:color="000000"/>
              <w:right w:val="single" w:sz="8" w:space="0" w:color="000000"/>
            </w:tcBorders>
            <w:shd w:val="solid" w:color="FFFFFF" w:fill="FFFFFF"/>
            <w:tcMar>
              <w:top w:w="0" w:type="dxa"/>
              <w:left w:w="0" w:type="dxa"/>
              <w:bottom w:w="0" w:type="dxa"/>
              <w:right w:w="0" w:type="dxa"/>
            </w:tcMar>
            <w:vAlign w:val="center"/>
            <w:hideMark/>
          </w:tcPr>
          <w:p w14:paraId="6EBB85C9" w14:textId="77777777" w:rsidR="00B06793" w:rsidRDefault="00B06793" w:rsidP="00AE166E">
            <w:pPr>
              <w:tabs>
                <w:tab w:val="left" w:pos="720"/>
                <w:tab w:val="left" w:pos="1080"/>
              </w:tabs>
              <w:spacing w:after="120" w:line="240" w:lineRule="auto"/>
              <w:ind w:left="90"/>
              <w:rPr>
                <w:rFonts w:cs="Calibri"/>
                <w:sz w:val="16"/>
                <w:szCs w:val="16"/>
              </w:rPr>
            </w:pPr>
            <w:r>
              <w:rPr>
                <w:rFonts w:cs="Calibri"/>
                <w:sz w:val="16"/>
                <w:szCs w:val="16"/>
              </w:rPr>
              <w:t>Strawberries</w:t>
            </w:r>
          </w:p>
        </w:tc>
        <w:tc>
          <w:tcPr>
            <w:tcW w:w="558" w:type="pct"/>
            <w:tcBorders>
              <w:top w:val="single" w:sz="8" w:space="0" w:color="000000"/>
              <w:left w:val="single" w:sz="8" w:space="0" w:color="000000"/>
              <w:bottom w:val="single" w:sz="8" w:space="0" w:color="000000"/>
              <w:right w:val="single" w:sz="8" w:space="0" w:color="000000"/>
            </w:tcBorders>
            <w:shd w:val="solid" w:color="FFFFFF" w:fill="FFFFFF"/>
            <w:tcMar>
              <w:top w:w="0" w:type="dxa"/>
              <w:left w:w="0" w:type="dxa"/>
              <w:bottom w:w="0" w:type="dxa"/>
              <w:right w:w="0" w:type="dxa"/>
            </w:tcMar>
            <w:vAlign w:val="center"/>
            <w:hideMark/>
          </w:tcPr>
          <w:p w14:paraId="2B086BCD" w14:textId="77777777" w:rsidR="00B06793" w:rsidRDefault="00B06793" w:rsidP="00AE166E">
            <w:pPr>
              <w:tabs>
                <w:tab w:val="left" w:pos="720"/>
                <w:tab w:val="left" w:pos="1080"/>
              </w:tabs>
              <w:spacing w:after="120" w:line="240" w:lineRule="auto"/>
              <w:ind w:left="90"/>
              <w:rPr>
                <w:rFonts w:cs="Calibri"/>
                <w:sz w:val="16"/>
                <w:szCs w:val="16"/>
              </w:rPr>
            </w:pPr>
            <w:r>
              <w:rPr>
                <w:rFonts w:cs="Calibri"/>
                <w:sz w:val="16"/>
                <w:szCs w:val="16"/>
              </w:rPr>
              <w:t>Mid-December</w:t>
            </w:r>
          </w:p>
        </w:tc>
        <w:tc>
          <w:tcPr>
            <w:tcW w:w="986" w:type="pct"/>
            <w:tcBorders>
              <w:top w:val="single" w:sz="8" w:space="0" w:color="000000"/>
              <w:left w:val="single" w:sz="8" w:space="0" w:color="000000"/>
              <w:bottom w:val="single" w:sz="8" w:space="0" w:color="000000"/>
              <w:right w:val="single" w:sz="8" w:space="0" w:color="000000"/>
            </w:tcBorders>
            <w:shd w:val="solid" w:color="FFFFFF" w:fill="FFFFFF"/>
            <w:tcMar>
              <w:top w:w="0" w:type="dxa"/>
              <w:left w:w="0" w:type="dxa"/>
              <w:bottom w:w="0" w:type="dxa"/>
              <w:right w:w="0" w:type="dxa"/>
            </w:tcMar>
            <w:vAlign w:val="center"/>
            <w:hideMark/>
          </w:tcPr>
          <w:p w14:paraId="7D1C7401" w14:textId="77777777" w:rsidR="00B06793" w:rsidRDefault="00B06793" w:rsidP="00AE166E">
            <w:pPr>
              <w:tabs>
                <w:tab w:val="left" w:pos="720"/>
                <w:tab w:val="left" w:pos="1080"/>
              </w:tabs>
              <w:spacing w:after="120" w:line="240" w:lineRule="auto"/>
              <w:ind w:left="90"/>
              <w:rPr>
                <w:rFonts w:cs="Calibri"/>
                <w:sz w:val="16"/>
                <w:szCs w:val="16"/>
              </w:rPr>
            </w:pPr>
            <w:r>
              <w:rPr>
                <w:rFonts w:cs="Calibri"/>
                <w:sz w:val="16"/>
                <w:szCs w:val="16"/>
              </w:rPr>
              <w:t>February - March</w:t>
            </w:r>
          </w:p>
        </w:tc>
        <w:tc>
          <w:tcPr>
            <w:tcW w:w="2368" w:type="pct"/>
            <w:tcBorders>
              <w:top w:val="single" w:sz="8" w:space="0" w:color="000000"/>
              <w:left w:val="single" w:sz="8" w:space="0" w:color="000000"/>
              <w:bottom w:val="single" w:sz="8" w:space="0" w:color="000000"/>
              <w:right w:val="single" w:sz="8" w:space="0" w:color="000000"/>
            </w:tcBorders>
            <w:shd w:val="solid" w:color="FFFFFF" w:fill="FFFFFF"/>
            <w:tcMar>
              <w:top w:w="0" w:type="dxa"/>
              <w:left w:w="0" w:type="dxa"/>
              <w:bottom w:w="0" w:type="dxa"/>
              <w:right w:w="0" w:type="dxa"/>
            </w:tcMar>
            <w:vAlign w:val="center"/>
            <w:hideMark/>
          </w:tcPr>
          <w:p w14:paraId="479B5714" w14:textId="77777777" w:rsidR="00B06793" w:rsidRDefault="00B06793" w:rsidP="00AE166E">
            <w:pPr>
              <w:tabs>
                <w:tab w:val="left" w:pos="720"/>
                <w:tab w:val="left" w:pos="1080"/>
              </w:tabs>
              <w:spacing w:after="120" w:line="240" w:lineRule="auto"/>
              <w:ind w:left="90"/>
              <w:rPr>
                <w:rFonts w:cs="Calibri"/>
                <w:sz w:val="16"/>
                <w:szCs w:val="16"/>
              </w:rPr>
            </w:pPr>
            <w:r>
              <w:rPr>
                <w:rFonts w:cs="Calibri"/>
                <w:sz w:val="16"/>
                <w:szCs w:val="16"/>
              </w:rPr>
              <w:t>Hillsborough, Manatee, Hardee, Miami-Dade</w:t>
            </w:r>
          </w:p>
        </w:tc>
        <w:tc>
          <w:tcPr>
            <w:tcW w:w="526" w:type="pct"/>
            <w:tcBorders>
              <w:top w:val="single" w:sz="8" w:space="0" w:color="000000"/>
              <w:left w:val="single" w:sz="8" w:space="0" w:color="000000"/>
              <w:bottom w:val="single" w:sz="8" w:space="0" w:color="000000"/>
              <w:right w:val="single" w:sz="8" w:space="0" w:color="000000"/>
            </w:tcBorders>
            <w:shd w:val="solid" w:color="FFFFFF" w:fill="FFFFFF"/>
            <w:tcMar>
              <w:top w:w="0" w:type="dxa"/>
              <w:left w:w="0" w:type="dxa"/>
              <w:bottom w:w="0" w:type="dxa"/>
              <w:right w:w="0" w:type="dxa"/>
            </w:tcMar>
            <w:vAlign w:val="center"/>
            <w:hideMark/>
          </w:tcPr>
          <w:p w14:paraId="2D6878E7" w14:textId="77777777" w:rsidR="00B06793" w:rsidRDefault="00B06793" w:rsidP="00D63204">
            <w:pPr>
              <w:tabs>
                <w:tab w:val="left" w:pos="720"/>
                <w:tab w:val="left" w:pos="1080"/>
              </w:tabs>
              <w:spacing w:after="120" w:line="240" w:lineRule="auto"/>
              <w:ind w:left="90"/>
              <w:rPr>
                <w:rFonts w:cs="Calibri"/>
                <w:sz w:val="16"/>
                <w:szCs w:val="16"/>
              </w:rPr>
            </w:pPr>
            <w:r>
              <w:rPr>
                <w:rFonts w:cs="Calibri"/>
                <w:sz w:val="16"/>
                <w:szCs w:val="16"/>
              </w:rPr>
              <w:t>10,000</w:t>
            </w:r>
          </w:p>
        </w:tc>
      </w:tr>
      <w:tr w:rsidR="00B06793" w14:paraId="73C70383" w14:textId="77777777" w:rsidTr="00017D12">
        <w:tc>
          <w:tcPr>
            <w:tcW w:w="562" w:type="pct"/>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0" w:type="dxa"/>
              <w:left w:w="0" w:type="dxa"/>
              <w:bottom w:w="0" w:type="dxa"/>
              <w:right w:w="0" w:type="dxa"/>
            </w:tcMar>
            <w:vAlign w:val="center"/>
            <w:hideMark/>
          </w:tcPr>
          <w:p w14:paraId="534F1E13" w14:textId="77777777" w:rsidR="00B06793" w:rsidRDefault="00B06793" w:rsidP="00AE166E">
            <w:pPr>
              <w:tabs>
                <w:tab w:val="left" w:pos="720"/>
                <w:tab w:val="left" w:pos="1080"/>
              </w:tabs>
              <w:spacing w:after="120" w:line="240" w:lineRule="auto"/>
              <w:ind w:left="90"/>
              <w:rPr>
                <w:rFonts w:cs="Calibri"/>
                <w:sz w:val="16"/>
                <w:szCs w:val="16"/>
              </w:rPr>
            </w:pPr>
            <w:r>
              <w:rPr>
                <w:rFonts w:cs="Calibri"/>
                <w:sz w:val="16"/>
                <w:szCs w:val="16"/>
              </w:rPr>
              <w:t>Snap Beans</w:t>
            </w:r>
          </w:p>
        </w:tc>
        <w:tc>
          <w:tcPr>
            <w:tcW w:w="558" w:type="pct"/>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0" w:type="dxa"/>
              <w:left w:w="0" w:type="dxa"/>
              <w:bottom w:w="0" w:type="dxa"/>
              <w:right w:w="0" w:type="dxa"/>
            </w:tcMar>
            <w:vAlign w:val="center"/>
            <w:hideMark/>
          </w:tcPr>
          <w:p w14:paraId="1D41A51B" w14:textId="77777777" w:rsidR="00B06793" w:rsidRDefault="00B06793" w:rsidP="00AE166E">
            <w:pPr>
              <w:tabs>
                <w:tab w:val="left" w:pos="720"/>
                <w:tab w:val="left" w:pos="1080"/>
              </w:tabs>
              <w:spacing w:after="120" w:line="240" w:lineRule="auto"/>
              <w:ind w:left="90"/>
              <w:rPr>
                <w:rFonts w:cs="Calibri"/>
                <w:sz w:val="16"/>
                <w:szCs w:val="16"/>
              </w:rPr>
            </w:pPr>
            <w:r>
              <w:rPr>
                <w:rFonts w:cs="Calibri"/>
                <w:sz w:val="16"/>
                <w:szCs w:val="16"/>
              </w:rPr>
              <w:t>Mid-October</w:t>
            </w:r>
          </w:p>
        </w:tc>
        <w:tc>
          <w:tcPr>
            <w:tcW w:w="986" w:type="pct"/>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0" w:type="dxa"/>
              <w:left w:w="0" w:type="dxa"/>
              <w:bottom w:w="0" w:type="dxa"/>
              <w:right w:w="0" w:type="dxa"/>
            </w:tcMar>
            <w:vAlign w:val="center"/>
            <w:hideMark/>
          </w:tcPr>
          <w:p w14:paraId="7A67CD5A" w14:textId="77777777" w:rsidR="00B06793" w:rsidRDefault="00B06793" w:rsidP="00AE166E">
            <w:pPr>
              <w:tabs>
                <w:tab w:val="left" w:pos="720"/>
                <w:tab w:val="left" w:pos="1080"/>
              </w:tabs>
              <w:spacing w:after="120" w:line="240" w:lineRule="auto"/>
              <w:ind w:left="90"/>
              <w:rPr>
                <w:rFonts w:cs="Calibri"/>
                <w:sz w:val="16"/>
                <w:szCs w:val="16"/>
              </w:rPr>
            </w:pPr>
            <w:r>
              <w:rPr>
                <w:rFonts w:cs="Calibri"/>
                <w:sz w:val="16"/>
                <w:szCs w:val="16"/>
              </w:rPr>
              <w:t>November - April</w:t>
            </w:r>
          </w:p>
        </w:tc>
        <w:tc>
          <w:tcPr>
            <w:tcW w:w="2368" w:type="pct"/>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0" w:type="dxa"/>
              <w:left w:w="0" w:type="dxa"/>
              <w:bottom w:w="0" w:type="dxa"/>
              <w:right w:w="0" w:type="dxa"/>
            </w:tcMar>
            <w:vAlign w:val="center"/>
            <w:hideMark/>
          </w:tcPr>
          <w:p w14:paraId="7B3E0002" w14:textId="77777777" w:rsidR="00B06793" w:rsidRDefault="00B06793" w:rsidP="00AE166E">
            <w:pPr>
              <w:tabs>
                <w:tab w:val="left" w:pos="720"/>
                <w:tab w:val="left" w:pos="1080"/>
              </w:tabs>
              <w:spacing w:after="120" w:line="240" w:lineRule="auto"/>
              <w:ind w:left="90"/>
              <w:rPr>
                <w:rFonts w:cs="Calibri"/>
                <w:sz w:val="16"/>
                <w:szCs w:val="16"/>
              </w:rPr>
            </w:pPr>
            <w:r>
              <w:rPr>
                <w:rFonts w:cs="Calibri"/>
                <w:sz w:val="16"/>
                <w:szCs w:val="16"/>
              </w:rPr>
              <w:t>Miami-Dade, Palm Beach, Suwannee, Hendry, Alachua, Jackson</w:t>
            </w:r>
          </w:p>
        </w:tc>
        <w:tc>
          <w:tcPr>
            <w:tcW w:w="526" w:type="pct"/>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0" w:type="dxa"/>
              <w:left w:w="0" w:type="dxa"/>
              <w:bottom w:w="0" w:type="dxa"/>
              <w:right w:w="0" w:type="dxa"/>
            </w:tcMar>
            <w:vAlign w:val="center"/>
            <w:hideMark/>
          </w:tcPr>
          <w:p w14:paraId="149358EC" w14:textId="77777777" w:rsidR="00B06793" w:rsidRDefault="00B06793" w:rsidP="00D63204">
            <w:pPr>
              <w:tabs>
                <w:tab w:val="left" w:pos="720"/>
                <w:tab w:val="left" w:pos="1080"/>
              </w:tabs>
              <w:spacing w:after="120" w:line="240" w:lineRule="auto"/>
              <w:ind w:left="90"/>
              <w:rPr>
                <w:rFonts w:cs="Calibri"/>
                <w:sz w:val="16"/>
                <w:szCs w:val="16"/>
              </w:rPr>
            </w:pPr>
            <w:r>
              <w:rPr>
                <w:rFonts w:cs="Calibri"/>
                <w:sz w:val="16"/>
                <w:szCs w:val="16"/>
              </w:rPr>
              <w:t>5,000</w:t>
            </w:r>
          </w:p>
        </w:tc>
      </w:tr>
      <w:tr w:rsidR="00B06793" w14:paraId="05E57186" w14:textId="77777777" w:rsidTr="00017D12">
        <w:tc>
          <w:tcPr>
            <w:tcW w:w="562" w:type="pct"/>
            <w:tcBorders>
              <w:top w:val="single" w:sz="8" w:space="0" w:color="000000"/>
              <w:left w:val="single" w:sz="8" w:space="0" w:color="000000"/>
              <w:bottom w:val="single" w:sz="8" w:space="0" w:color="000000"/>
              <w:right w:val="single" w:sz="8" w:space="0" w:color="000000"/>
            </w:tcBorders>
            <w:shd w:val="solid" w:color="FFFFFF" w:fill="FFFFFF"/>
            <w:tcMar>
              <w:top w:w="0" w:type="dxa"/>
              <w:left w:w="0" w:type="dxa"/>
              <w:bottom w:w="0" w:type="dxa"/>
              <w:right w:w="0" w:type="dxa"/>
            </w:tcMar>
            <w:vAlign w:val="center"/>
            <w:hideMark/>
          </w:tcPr>
          <w:p w14:paraId="34DEB81E" w14:textId="77777777" w:rsidR="00B06793" w:rsidRDefault="00B06793" w:rsidP="00AE166E">
            <w:pPr>
              <w:tabs>
                <w:tab w:val="left" w:pos="720"/>
                <w:tab w:val="left" w:pos="1080"/>
              </w:tabs>
              <w:spacing w:after="120" w:line="240" w:lineRule="auto"/>
              <w:ind w:left="90"/>
              <w:rPr>
                <w:rFonts w:cs="Calibri"/>
                <w:sz w:val="16"/>
                <w:szCs w:val="16"/>
              </w:rPr>
            </w:pPr>
            <w:r>
              <w:rPr>
                <w:rFonts w:cs="Calibri"/>
                <w:sz w:val="16"/>
                <w:szCs w:val="16"/>
              </w:rPr>
              <w:t>Bell Peppers</w:t>
            </w:r>
          </w:p>
        </w:tc>
        <w:tc>
          <w:tcPr>
            <w:tcW w:w="558" w:type="pct"/>
            <w:tcBorders>
              <w:top w:val="single" w:sz="8" w:space="0" w:color="000000"/>
              <w:left w:val="single" w:sz="8" w:space="0" w:color="000000"/>
              <w:bottom w:val="single" w:sz="8" w:space="0" w:color="000000"/>
              <w:right w:val="single" w:sz="8" w:space="0" w:color="000000"/>
            </w:tcBorders>
            <w:shd w:val="solid" w:color="FFFFFF" w:fill="FFFFFF"/>
            <w:tcMar>
              <w:top w:w="0" w:type="dxa"/>
              <w:left w:w="0" w:type="dxa"/>
              <w:bottom w:w="0" w:type="dxa"/>
              <w:right w:w="0" w:type="dxa"/>
            </w:tcMar>
            <w:vAlign w:val="center"/>
            <w:hideMark/>
          </w:tcPr>
          <w:p w14:paraId="5F4A36BB" w14:textId="77777777" w:rsidR="00B06793" w:rsidRDefault="00B06793" w:rsidP="00AE166E">
            <w:pPr>
              <w:tabs>
                <w:tab w:val="left" w:pos="720"/>
                <w:tab w:val="left" w:pos="1080"/>
              </w:tabs>
              <w:spacing w:after="120" w:line="240" w:lineRule="auto"/>
              <w:ind w:left="90"/>
              <w:rPr>
                <w:rFonts w:cs="Calibri"/>
                <w:sz w:val="16"/>
                <w:szCs w:val="16"/>
              </w:rPr>
            </w:pPr>
            <w:r>
              <w:rPr>
                <w:rFonts w:cs="Calibri"/>
                <w:sz w:val="16"/>
                <w:szCs w:val="16"/>
              </w:rPr>
              <w:t>Mid-October</w:t>
            </w:r>
          </w:p>
        </w:tc>
        <w:tc>
          <w:tcPr>
            <w:tcW w:w="986" w:type="pct"/>
            <w:tcBorders>
              <w:top w:val="single" w:sz="8" w:space="0" w:color="000000"/>
              <w:left w:val="single" w:sz="8" w:space="0" w:color="000000"/>
              <w:bottom w:val="single" w:sz="8" w:space="0" w:color="000000"/>
              <w:right w:val="single" w:sz="8" w:space="0" w:color="000000"/>
            </w:tcBorders>
            <w:shd w:val="solid" w:color="FFFFFF" w:fill="FFFFFF"/>
            <w:tcMar>
              <w:top w:w="0" w:type="dxa"/>
              <w:left w:w="0" w:type="dxa"/>
              <w:bottom w:w="0" w:type="dxa"/>
              <w:right w:w="0" w:type="dxa"/>
            </w:tcMar>
            <w:vAlign w:val="center"/>
            <w:hideMark/>
          </w:tcPr>
          <w:p w14:paraId="3D2289FD" w14:textId="77777777" w:rsidR="00B06793" w:rsidRDefault="00B06793" w:rsidP="00AE166E">
            <w:pPr>
              <w:tabs>
                <w:tab w:val="left" w:pos="720"/>
                <w:tab w:val="left" w:pos="1080"/>
              </w:tabs>
              <w:spacing w:after="120" w:line="240" w:lineRule="auto"/>
              <w:ind w:left="90"/>
              <w:rPr>
                <w:rFonts w:cs="Calibri"/>
                <w:sz w:val="16"/>
                <w:szCs w:val="16"/>
              </w:rPr>
            </w:pPr>
            <w:r>
              <w:rPr>
                <w:rFonts w:cs="Calibri"/>
                <w:sz w:val="16"/>
                <w:szCs w:val="16"/>
              </w:rPr>
              <w:t>November - May</w:t>
            </w:r>
          </w:p>
        </w:tc>
        <w:tc>
          <w:tcPr>
            <w:tcW w:w="2368" w:type="pct"/>
            <w:tcBorders>
              <w:top w:val="single" w:sz="8" w:space="0" w:color="000000"/>
              <w:left w:val="single" w:sz="8" w:space="0" w:color="000000"/>
              <w:bottom w:val="single" w:sz="8" w:space="0" w:color="000000"/>
              <w:right w:val="single" w:sz="8" w:space="0" w:color="000000"/>
            </w:tcBorders>
            <w:shd w:val="solid" w:color="FFFFFF" w:fill="FFFFFF"/>
            <w:tcMar>
              <w:top w:w="0" w:type="dxa"/>
              <w:left w:w="0" w:type="dxa"/>
              <w:bottom w:w="0" w:type="dxa"/>
              <w:right w:w="0" w:type="dxa"/>
            </w:tcMar>
            <w:vAlign w:val="center"/>
            <w:hideMark/>
          </w:tcPr>
          <w:p w14:paraId="71147185" w14:textId="77777777" w:rsidR="00B06793" w:rsidRDefault="00B06793" w:rsidP="00AE166E">
            <w:pPr>
              <w:tabs>
                <w:tab w:val="left" w:pos="720"/>
                <w:tab w:val="left" w:pos="1080"/>
              </w:tabs>
              <w:spacing w:after="120" w:line="240" w:lineRule="auto"/>
              <w:ind w:left="90"/>
              <w:rPr>
                <w:rFonts w:cs="Calibri"/>
                <w:sz w:val="16"/>
                <w:szCs w:val="16"/>
              </w:rPr>
            </w:pPr>
            <w:r>
              <w:rPr>
                <w:rFonts w:cs="Calibri"/>
                <w:sz w:val="16"/>
                <w:szCs w:val="16"/>
              </w:rPr>
              <w:t>Palm Beach, Collier, Hillsborough, Manatee</w:t>
            </w:r>
          </w:p>
        </w:tc>
        <w:tc>
          <w:tcPr>
            <w:tcW w:w="526" w:type="pct"/>
            <w:tcBorders>
              <w:top w:val="single" w:sz="8" w:space="0" w:color="000000"/>
              <w:left w:val="single" w:sz="8" w:space="0" w:color="000000"/>
              <w:bottom w:val="single" w:sz="8" w:space="0" w:color="000000"/>
              <w:right w:val="single" w:sz="8" w:space="0" w:color="000000"/>
            </w:tcBorders>
            <w:shd w:val="solid" w:color="FFFFFF" w:fill="FFFFFF"/>
            <w:tcMar>
              <w:top w:w="0" w:type="dxa"/>
              <w:left w:w="0" w:type="dxa"/>
              <w:bottom w:w="0" w:type="dxa"/>
              <w:right w:w="0" w:type="dxa"/>
            </w:tcMar>
            <w:vAlign w:val="center"/>
            <w:hideMark/>
          </w:tcPr>
          <w:p w14:paraId="3853E783" w14:textId="77777777" w:rsidR="00B06793" w:rsidRDefault="00B06793" w:rsidP="00D63204">
            <w:pPr>
              <w:tabs>
                <w:tab w:val="left" w:pos="720"/>
                <w:tab w:val="left" w:pos="1080"/>
              </w:tabs>
              <w:spacing w:after="120" w:line="240" w:lineRule="auto"/>
              <w:ind w:left="90"/>
              <w:rPr>
                <w:rFonts w:cs="Calibri"/>
                <w:sz w:val="16"/>
                <w:szCs w:val="16"/>
              </w:rPr>
            </w:pPr>
            <w:r>
              <w:rPr>
                <w:rFonts w:cs="Calibri"/>
                <w:sz w:val="16"/>
                <w:szCs w:val="16"/>
              </w:rPr>
              <w:t>5,000</w:t>
            </w:r>
          </w:p>
        </w:tc>
      </w:tr>
      <w:tr w:rsidR="00B06793" w14:paraId="29987FD9" w14:textId="77777777" w:rsidTr="00017D12">
        <w:tc>
          <w:tcPr>
            <w:tcW w:w="562" w:type="pct"/>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0" w:type="dxa"/>
              <w:left w:w="0" w:type="dxa"/>
              <w:bottom w:w="0" w:type="dxa"/>
              <w:right w:w="0" w:type="dxa"/>
            </w:tcMar>
            <w:vAlign w:val="center"/>
            <w:hideMark/>
          </w:tcPr>
          <w:p w14:paraId="4E40C87E" w14:textId="77777777" w:rsidR="00B06793" w:rsidRDefault="00B06793" w:rsidP="00AE166E">
            <w:pPr>
              <w:tabs>
                <w:tab w:val="left" w:pos="720"/>
                <w:tab w:val="left" w:pos="1080"/>
              </w:tabs>
              <w:spacing w:after="120" w:line="240" w:lineRule="auto"/>
              <w:ind w:left="90"/>
              <w:rPr>
                <w:rFonts w:cs="Calibri"/>
                <w:sz w:val="16"/>
                <w:szCs w:val="16"/>
              </w:rPr>
            </w:pPr>
            <w:r>
              <w:rPr>
                <w:rFonts w:cs="Calibri"/>
                <w:sz w:val="16"/>
                <w:szCs w:val="16"/>
              </w:rPr>
              <w:t>Sugarcane</w:t>
            </w:r>
          </w:p>
        </w:tc>
        <w:tc>
          <w:tcPr>
            <w:tcW w:w="558" w:type="pct"/>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0" w:type="dxa"/>
              <w:left w:w="0" w:type="dxa"/>
              <w:bottom w:w="0" w:type="dxa"/>
              <w:right w:w="0" w:type="dxa"/>
            </w:tcMar>
            <w:vAlign w:val="center"/>
            <w:hideMark/>
          </w:tcPr>
          <w:p w14:paraId="26586710" w14:textId="77777777" w:rsidR="00B06793" w:rsidRDefault="00B06793" w:rsidP="00AE166E">
            <w:pPr>
              <w:tabs>
                <w:tab w:val="left" w:pos="720"/>
                <w:tab w:val="left" w:pos="1080"/>
              </w:tabs>
              <w:spacing w:after="120" w:line="240" w:lineRule="auto"/>
              <w:ind w:left="90"/>
              <w:rPr>
                <w:rFonts w:cs="Calibri"/>
                <w:sz w:val="16"/>
                <w:szCs w:val="16"/>
              </w:rPr>
            </w:pPr>
            <w:r>
              <w:rPr>
                <w:rFonts w:cs="Calibri"/>
                <w:sz w:val="16"/>
                <w:szCs w:val="16"/>
              </w:rPr>
              <w:t>November</w:t>
            </w:r>
          </w:p>
        </w:tc>
        <w:tc>
          <w:tcPr>
            <w:tcW w:w="986" w:type="pct"/>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0" w:type="dxa"/>
              <w:left w:w="0" w:type="dxa"/>
              <w:bottom w:w="0" w:type="dxa"/>
              <w:right w:w="0" w:type="dxa"/>
            </w:tcMar>
            <w:vAlign w:val="center"/>
            <w:hideMark/>
          </w:tcPr>
          <w:p w14:paraId="287689C3" w14:textId="77777777" w:rsidR="00B06793" w:rsidRDefault="00B06793" w:rsidP="00AE166E">
            <w:pPr>
              <w:tabs>
                <w:tab w:val="left" w:pos="720"/>
                <w:tab w:val="left" w:pos="1080"/>
              </w:tabs>
              <w:spacing w:after="120" w:line="240" w:lineRule="auto"/>
              <w:ind w:left="90"/>
              <w:rPr>
                <w:rFonts w:cs="Calibri"/>
                <w:sz w:val="16"/>
                <w:szCs w:val="16"/>
              </w:rPr>
            </w:pPr>
            <w:r>
              <w:rPr>
                <w:rFonts w:cs="Calibri"/>
                <w:sz w:val="16"/>
                <w:szCs w:val="16"/>
              </w:rPr>
              <w:t xml:space="preserve">November - February </w:t>
            </w:r>
          </w:p>
        </w:tc>
        <w:tc>
          <w:tcPr>
            <w:tcW w:w="2368" w:type="pct"/>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0" w:type="dxa"/>
              <w:left w:w="0" w:type="dxa"/>
              <w:bottom w:w="0" w:type="dxa"/>
              <w:right w:w="0" w:type="dxa"/>
            </w:tcMar>
            <w:vAlign w:val="center"/>
            <w:hideMark/>
          </w:tcPr>
          <w:p w14:paraId="668FB31D" w14:textId="77777777" w:rsidR="00B06793" w:rsidRDefault="00B06793" w:rsidP="00AE166E">
            <w:pPr>
              <w:tabs>
                <w:tab w:val="left" w:pos="720"/>
                <w:tab w:val="left" w:pos="1080"/>
              </w:tabs>
              <w:spacing w:after="120" w:line="240" w:lineRule="auto"/>
              <w:ind w:left="90"/>
              <w:rPr>
                <w:rFonts w:cs="Calibri"/>
                <w:sz w:val="16"/>
                <w:szCs w:val="16"/>
              </w:rPr>
            </w:pPr>
            <w:r>
              <w:rPr>
                <w:rFonts w:cs="Calibri"/>
                <w:sz w:val="16"/>
                <w:szCs w:val="16"/>
              </w:rPr>
              <w:t>Palm Beach, Hendry, Glades, Martin</w:t>
            </w:r>
          </w:p>
        </w:tc>
        <w:tc>
          <w:tcPr>
            <w:tcW w:w="526" w:type="pct"/>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0" w:type="dxa"/>
              <w:left w:w="0" w:type="dxa"/>
              <w:bottom w:w="0" w:type="dxa"/>
              <w:right w:w="0" w:type="dxa"/>
            </w:tcMar>
            <w:vAlign w:val="center"/>
            <w:hideMark/>
          </w:tcPr>
          <w:p w14:paraId="31D73EFF" w14:textId="77777777" w:rsidR="00B06793" w:rsidRDefault="00B06793" w:rsidP="00D63204">
            <w:pPr>
              <w:tabs>
                <w:tab w:val="left" w:pos="720"/>
                <w:tab w:val="left" w:pos="1080"/>
              </w:tabs>
              <w:spacing w:after="120" w:line="240" w:lineRule="auto"/>
              <w:ind w:left="90"/>
              <w:rPr>
                <w:rFonts w:cs="Calibri"/>
                <w:sz w:val="16"/>
                <w:szCs w:val="16"/>
              </w:rPr>
            </w:pPr>
            <w:r>
              <w:rPr>
                <w:rFonts w:cs="Calibri"/>
                <w:sz w:val="16"/>
                <w:szCs w:val="16"/>
              </w:rPr>
              <w:t>3,500</w:t>
            </w:r>
          </w:p>
        </w:tc>
      </w:tr>
      <w:tr w:rsidR="00B06793" w14:paraId="68E42B83" w14:textId="77777777" w:rsidTr="00017D12">
        <w:tc>
          <w:tcPr>
            <w:tcW w:w="562" w:type="pct"/>
            <w:tcBorders>
              <w:top w:val="single" w:sz="8" w:space="0" w:color="000000"/>
              <w:left w:val="single" w:sz="8" w:space="0" w:color="000000"/>
              <w:bottom w:val="single" w:sz="8" w:space="0" w:color="000000"/>
              <w:right w:val="single" w:sz="8" w:space="0" w:color="000000"/>
            </w:tcBorders>
            <w:shd w:val="solid" w:color="FFFFFF" w:fill="FFFFFF"/>
            <w:tcMar>
              <w:top w:w="0" w:type="dxa"/>
              <w:left w:w="0" w:type="dxa"/>
              <w:bottom w:w="0" w:type="dxa"/>
              <w:right w:w="0" w:type="dxa"/>
            </w:tcMar>
            <w:vAlign w:val="center"/>
            <w:hideMark/>
          </w:tcPr>
          <w:p w14:paraId="5A6D7F0C" w14:textId="77777777" w:rsidR="00B06793" w:rsidRDefault="00B06793" w:rsidP="00AE166E">
            <w:pPr>
              <w:tabs>
                <w:tab w:val="left" w:pos="720"/>
                <w:tab w:val="left" w:pos="1080"/>
              </w:tabs>
              <w:spacing w:after="120" w:line="240" w:lineRule="auto"/>
              <w:ind w:left="90"/>
              <w:rPr>
                <w:rFonts w:cs="Calibri"/>
                <w:sz w:val="16"/>
                <w:szCs w:val="16"/>
              </w:rPr>
            </w:pPr>
            <w:r>
              <w:rPr>
                <w:rFonts w:cs="Calibri"/>
                <w:sz w:val="16"/>
                <w:szCs w:val="16"/>
              </w:rPr>
              <w:t>Watermelons</w:t>
            </w:r>
          </w:p>
        </w:tc>
        <w:tc>
          <w:tcPr>
            <w:tcW w:w="558" w:type="pct"/>
            <w:tcBorders>
              <w:top w:val="single" w:sz="8" w:space="0" w:color="000000"/>
              <w:left w:val="single" w:sz="8" w:space="0" w:color="000000"/>
              <w:bottom w:val="single" w:sz="8" w:space="0" w:color="000000"/>
              <w:right w:val="single" w:sz="8" w:space="0" w:color="000000"/>
            </w:tcBorders>
            <w:shd w:val="solid" w:color="FFFFFF" w:fill="FFFFFF"/>
            <w:tcMar>
              <w:top w:w="0" w:type="dxa"/>
              <w:left w:w="0" w:type="dxa"/>
              <w:bottom w:w="0" w:type="dxa"/>
              <w:right w:w="0" w:type="dxa"/>
            </w:tcMar>
            <w:vAlign w:val="center"/>
            <w:hideMark/>
          </w:tcPr>
          <w:p w14:paraId="35AFD9AF" w14:textId="77777777" w:rsidR="00B06793" w:rsidRDefault="00B06793" w:rsidP="00AE166E">
            <w:pPr>
              <w:tabs>
                <w:tab w:val="left" w:pos="720"/>
                <w:tab w:val="left" w:pos="1080"/>
              </w:tabs>
              <w:spacing w:after="120" w:line="240" w:lineRule="auto"/>
              <w:ind w:left="90"/>
              <w:rPr>
                <w:rFonts w:cs="Calibri"/>
                <w:sz w:val="16"/>
                <w:szCs w:val="16"/>
              </w:rPr>
            </w:pPr>
            <w:r>
              <w:rPr>
                <w:rFonts w:cs="Calibri"/>
                <w:sz w:val="16"/>
                <w:szCs w:val="16"/>
              </w:rPr>
              <w:t>April</w:t>
            </w:r>
          </w:p>
        </w:tc>
        <w:tc>
          <w:tcPr>
            <w:tcW w:w="986" w:type="pct"/>
            <w:tcBorders>
              <w:top w:val="single" w:sz="8" w:space="0" w:color="000000"/>
              <w:left w:val="single" w:sz="8" w:space="0" w:color="000000"/>
              <w:bottom w:val="single" w:sz="8" w:space="0" w:color="000000"/>
              <w:right w:val="single" w:sz="8" w:space="0" w:color="000000"/>
            </w:tcBorders>
            <w:shd w:val="solid" w:color="FFFFFF" w:fill="FFFFFF"/>
            <w:tcMar>
              <w:top w:w="0" w:type="dxa"/>
              <w:left w:w="0" w:type="dxa"/>
              <w:bottom w:w="0" w:type="dxa"/>
              <w:right w:w="0" w:type="dxa"/>
            </w:tcMar>
            <w:vAlign w:val="center"/>
            <w:hideMark/>
          </w:tcPr>
          <w:p w14:paraId="363EDEC0" w14:textId="77777777" w:rsidR="00B06793" w:rsidRDefault="00B06793" w:rsidP="00AE166E">
            <w:pPr>
              <w:tabs>
                <w:tab w:val="left" w:pos="720"/>
                <w:tab w:val="left" w:pos="1080"/>
              </w:tabs>
              <w:spacing w:after="120" w:line="240" w:lineRule="auto"/>
              <w:ind w:left="90"/>
              <w:rPr>
                <w:rFonts w:cs="Calibri"/>
                <w:sz w:val="16"/>
                <w:szCs w:val="16"/>
              </w:rPr>
            </w:pPr>
            <w:r>
              <w:rPr>
                <w:rFonts w:cs="Calibri"/>
                <w:sz w:val="16"/>
                <w:szCs w:val="16"/>
              </w:rPr>
              <w:t>May – June</w:t>
            </w:r>
          </w:p>
        </w:tc>
        <w:tc>
          <w:tcPr>
            <w:tcW w:w="2368" w:type="pct"/>
            <w:tcBorders>
              <w:top w:val="single" w:sz="8" w:space="0" w:color="000000"/>
              <w:left w:val="single" w:sz="8" w:space="0" w:color="000000"/>
              <w:bottom w:val="single" w:sz="8" w:space="0" w:color="000000"/>
              <w:right w:val="single" w:sz="8" w:space="0" w:color="000000"/>
            </w:tcBorders>
            <w:shd w:val="solid" w:color="FFFFFF" w:fill="FFFFFF"/>
            <w:tcMar>
              <w:top w:w="0" w:type="dxa"/>
              <w:left w:w="0" w:type="dxa"/>
              <w:bottom w:w="0" w:type="dxa"/>
              <w:right w:w="0" w:type="dxa"/>
            </w:tcMar>
            <w:vAlign w:val="center"/>
            <w:hideMark/>
          </w:tcPr>
          <w:p w14:paraId="24F42CDD" w14:textId="77777777" w:rsidR="00B06793" w:rsidRDefault="00B06793" w:rsidP="00AE166E">
            <w:pPr>
              <w:tabs>
                <w:tab w:val="left" w:pos="720"/>
                <w:tab w:val="left" w:pos="1080"/>
              </w:tabs>
              <w:spacing w:after="120" w:line="240" w:lineRule="auto"/>
              <w:ind w:left="90"/>
              <w:rPr>
                <w:rFonts w:cs="Calibri"/>
                <w:sz w:val="16"/>
                <w:szCs w:val="16"/>
              </w:rPr>
            </w:pPr>
            <w:r>
              <w:rPr>
                <w:rFonts w:cs="Calibri"/>
                <w:sz w:val="16"/>
                <w:szCs w:val="16"/>
              </w:rPr>
              <w:t>Hendry, Levy, Gilchrist, Highlands, Collier, Suwannee, DeSoto, Alachua, Manatee, Marion, Hardee, Jackson, Sumter, Lake, Gadsden, Washington</w:t>
            </w:r>
          </w:p>
        </w:tc>
        <w:tc>
          <w:tcPr>
            <w:tcW w:w="526" w:type="pct"/>
            <w:tcBorders>
              <w:top w:val="single" w:sz="8" w:space="0" w:color="000000"/>
              <w:left w:val="single" w:sz="8" w:space="0" w:color="000000"/>
              <w:bottom w:val="single" w:sz="8" w:space="0" w:color="000000"/>
              <w:right w:val="single" w:sz="8" w:space="0" w:color="000000"/>
            </w:tcBorders>
            <w:shd w:val="solid" w:color="FFFFFF" w:fill="FFFFFF"/>
            <w:tcMar>
              <w:top w:w="0" w:type="dxa"/>
              <w:left w:w="0" w:type="dxa"/>
              <w:bottom w:w="0" w:type="dxa"/>
              <w:right w:w="0" w:type="dxa"/>
            </w:tcMar>
            <w:vAlign w:val="center"/>
            <w:hideMark/>
          </w:tcPr>
          <w:p w14:paraId="4669EE34" w14:textId="77777777" w:rsidR="00B06793" w:rsidRDefault="00B06793" w:rsidP="00D63204">
            <w:pPr>
              <w:tabs>
                <w:tab w:val="left" w:pos="720"/>
                <w:tab w:val="left" w:pos="1080"/>
              </w:tabs>
              <w:spacing w:after="120" w:line="240" w:lineRule="auto"/>
              <w:ind w:left="90"/>
              <w:rPr>
                <w:rFonts w:cs="Calibri"/>
                <w:sz w:val="16"/>
                <w:szCs w:val="16"/>
              </w:rPr>
            </w:pPr>
            <w:r>
              <w:rPr>
                <w:rFonts w:cs="Calibri"/>
                <w:sz w:val="16"/>
                <w:szCs w:val="16"/>
              </w:rPr>
              <w:t>3,500</w:t>
            </w:r>
          </w:p>
        </w:tc>
      </w:tr>
      <w:tr w:rsidR="00B06793" w14:paraId="5920B71B" w14:textId="77777777" w:rsidTr="00017D12">
        <w:tc>
          <w:tcPr>
            <w:tcW w:w="562" w:type="pct"/>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0" w:type="dxa"/>
              <w:left w:w="0" w:type="dxa"/>
              <w:bottom w:w="0" w:type="dxa"/>
              <w:right w:w="0" w:type="dxa"/>
            </w:tcMar>
            <w:vAlign w:val="center"/>
            <w:hideMark/>
          </w:tcPr>
          <w:p w14:paraId="14662CA4" w14:textId="77777777" w:rsidR="00B06793" w:rsidRDefault="00B06793" w:rsidP="00AE166E">
            <w:pPr>
              <w:tabs>
                <w:tab w:val="left" w:pos="720"/>
                <w:tab w:val="left" w:pos="1080"/>
              </w:tabs>
              <w:spacing w:after="120" w:line="240" w:lineRule="auto"/>
              <w:ind w:left="90"/>
              <w:rPr>
                <w:rFonts w:cs="Calibri"/>
                <w:sz w:val="16"/>
                <w:szCs w:val="16"/>
              </w:rPr>
            </w:pPr>
            <w:r>
              <w:rPr>
                <w:rFonts w:cs="Calibri"/>
                <w:sz w:val="16"/>
                <w:szCs w:val="16"/>
              </w:rPr>
              <w:t>Sweet Corn</w:t>
            </w:r>
          </w:p>
        </w:tc>
        <w:tc>
          <w:tcPr>
            <w:tcW w:w="558" w:type="pct"/>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0" w:type="dxa"/>
              <w:left w:w="0" w:type="dxa"/>
              <w:bottom w:w="0" w:type="dxa"/>
              <w:right w:w="0" w:type="dxa"/>
            </w:tcMar>
            <w:vAlign w:val="center"/>
            <w:hideMark/>
          </w:tcPr>
          <w:p w14:paraId="2ECB4035" w14:textId="77777777" w:rsidR="00B06793" w:rsidRDefault="00B06793" w:rsidP="00AE166E">
            <w:pPr>
              <w:tabs>
                <w:tab w:val="left" w:pos="720"/>
                <w:tab w:val="left" w:pos="1080"/>
              </w:tabs>
              <w:spacing w:after="120" w:line="240" w:lineRule="auto"/>
              <w:ind w:left="90"/>
              <w:rPr>
                <w:rFonts w:cs="Calibri"/>
                <w:sz w:val="16"/>
                <w:szCs w:val="16"/>
              </w:rPr>
            </w:pPr>
            <w:r>
              <w:rPr>
                <w:rFonts w:cs="Calibri"/>
                <w:sz w:val="16"/>
                <w:szCs w:val="16"/>
              </w:rPr>
              <w:t>Mid-September</w:t>
            </w:r>
          </w:p>
        </w:tc>
        <w:tc>
          <w:tcPr>
            <w:tcW w:w="986" w:type="pct"/>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0" w:type="dxa"/>
              <w:left w:w="0" w:type="dxa"/>
              <w:bottom w:w="0" w:type="dxa"/>
              <w:right w:w="0" w:type="dxa"/>
            </w:tcMar>
            <w:vAlign w:val="center"/>
            <w:hideMark/>
          </w:tcPr>
          <w:p w14:paraId="466B06AC" w14:textId="77777777" w:rsidR="00B06793" w:rsidRDefault="00B06793" w:rsidP="00AE166E">
            <w:pPr>
              <w:tabs>
                <w:tab w:val="left" w:pos="720"/>
                <w:tab w:val="left" w:pos="1080"/>
              </w:tabs>
              <w:spacing w:after="120" w:line="240" w:lineRule="auto"/>
              <w:ind w:left="90"/>
              <w:rPr>
                <w:rFonts w:cs="Calibri"/>
                <w:sz w:val="16"/>
                <w:szCs w:val="16"/>
              </w:rPr>
            </w:pPr>
            <w:r>
              <w:rPr>
                <w:rFonts w:cs="Calibri"/>
                <w:sz w:val="16"/>
                <w:szCs w:val="16"/>
              </w:rPr>
              <w:t>November - June</w:t>
            </w:r>
          </w:p>
        </w:tc>
        <w:tc>
          <w:tcPr>
            <w:tcW w:w="2368" w:type="pct"/>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0" w:type="dxa"/>
              <w:left w:w="0" w:type="dxa"/>
              <w:bottom w:w="0" w:type="dxa"/>
              <w:right w:w="0" w:type="dxa"/>
            </w:tcMar>
            <w:vAlign w:val="center"/>
            <w:hideMark/>
          </w:tcPr>
          <w:p w14:paraId="12EBD106" w14:textId="77777777" w:rsidR="00B06793" w:rsidRDefault="00B06793" w:rsidP="00AE166E">
            <w:pPr>
              <w:tabs>
                <w:tab w:val="left" w:pos="720"/>
                <w:tab w:val="left" w:pos="1080"/>
              </w:tabs>
              <w:spacing w:after="120" w:line="240" w:lineRule="auto"/>
              <w:ind w:left="90"/>
              <w:rPr>
                <w:rFonts w:cs="Calibri"/>
                <w:sz w:val="16"/>
                <w:szCs w:val="16"/>
              </w:rPr>
            </w:pPr>
            <w:r>
              <w:rPr>
                <w:rFonts w:cs="Calibri"/>
                <w:sz w:val="16"/>
                <w:szCs w:val="16"/>
              </w:rPr>
              <w:t>Palm Beach, Miami-Dade, Hendry, Suwannee, Hamilton</w:t>
            </w:r>
          </w:p>
        </w:tc>
        <w:tc>
          <w:tcPr>
            <w:tcW w:w="526" w:type="pct"/>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0" w:type="dxa"/>
              <w:left w:w="0" w:type="dxa"/>
              <w:bottom w:w="0" w:type="dxa"/>
              <w:right w:w="0" w:type="dxa"/>
            </w:tcMar>
            <w:vAlign w:val="center"/>
            <w:hideMark/>
          </w:tcPr>
          <w:p w14:paraId="7BBE932A" w14:textId="77777777" w:rsidR="00B06793" w:rsidRDefault="00B06793" w:rsidP="00D63204">
            <w:pPr>
              <w:tabs>
                <w:tab w:val="left" w:pos="720"/>
                <w:tab w:val="left" w:pos="1080"/>
              </w:tabs>
              <w:spacing w:after="120" w:line="240" w:lineRule="auto"/>
              <w:ind w:left="90"/>
              <w:rPr>
                <w:rFonts w:cs="Calibri"/>
                <w:sz w:val="16"/>
                <w:szCs w:val="16"/>
              </w:rPr>
            </w:pPr>
            <w:r>
              <w:rPr>
                <w:rFonts w:cs="Calibri"/>
                <w:sz w:val="16"/>
                <w:szCs w:val="16"/>
              </w:rPr>
              <w:t>3,100</w:t>
            </w:r>
          </w:p>
        </w:tc>
      </w:tr>
      <w:tr w:rsidR="00B06793" w14:paraId="47C4E1FE" w14:textId="77777777" w:rsidTr="00017D12">
        <w:tc>
          <w:tcPr>
            <w:tcW w:w="562" w:type="pct"/>
            <w:tcBorders>
              <w:top w:val="single" w:sz="8" w:space="0" w:color="000000"/>
              <w:left w:val="single" w:sz="8" w:space="0" w:color="000000"/>
              <w:bottom w:val="single" w:sz="8" w:space="0" w:color="000000"/>
              <w:right w:val="single" w:sz="8" w:space="0" w:color="000000"/>
            </w:tcBorders>
            <w:shd w:val="solid" w:color="FFFFFF" w:fill="FFFFFF"/>
            <w:tcMar>
              <w:top w:w="0" w:type="dxa"/>
              <w:left w:w="0" w:type="dxa"/>
              <w:bottom w:w="0" w:type="dxa"/>
              <w:right w:w="0" w:type="dxa"/>
            </w:tcMar>
            <w:vAlign w:val="center"/>
            <w:hideMark/>
          </w:tcPr>
          <w:p w14:paraId="571D6298" w14:textId="77777777" w:rsidR="00B06793" w:rsidRDefault="00B06793" w:rsidP="00AE166E">
            <w:pPr>
              <w:tabs>
                <w:tab w:val="left" w:pos="720"/>
                <w:tab w:val="left" w:pos="1080"/>
              </w:tabs>
              <w:spacing w:after="120" w:line="240" w:lineRule="auto"/>
              <w:ind w:left="90"/>
              <w:rPr>
                <w:rFonts w:cs="Calibri"/>
                <w:sz w:val="16"/>
                <w:szCs w:val="16"/>
              </w:rPr>
            </w:pPr>
            <w:r>
              <w:rPr>
                <w:rFonts w:cs="Calibri"/>
                <w:sz w:val="16"/>
                <w:szCs w:val="16"/>
              </w:rPr>
              <w:t>Potatoes</w:t>
            </w:r>
          </w:p>
        </w:tc>
        <w:tc>
          <w:tcPr>
            <w:tcW w:w="558" w:type="pct"/>
            <w:tcBorders>
              <w:top w:val="single" w:sz="8" w:space="0" w:color="000000"/>
              <w:left w:val="single" w:sz="8" w:space="0" w:color="000000"/>
              <w:bottom w:val="single" w:sz="8" w:space="0" w:color="000000"/>
              <w:right w:val="single" w:sz="8" w:space="0" w:color="000000"/>
            </w:tcBorders>
            <w:shd w:val="solid" w:color="FFFFFF" w:fill="FFFFFF"/>
            <w:tcMar>
              <w:top w:w="0" w:type="dxa"/>
              <w:left w:w="0" w:type="dxa"/>
              <w:bottom w:w="0" w:type="dxa"/>
              <w:right w:w="0" w:type="dxa"/>
            </w:tcMar>
            <w:vAlign w:val="center"/>
            <w:hideMark/>
          </w:tcPr>
          <w:p w14:paraId="1D5C4E9E" w14:textId="77777777" w:rsidR="00B06793" w:rsidRDefault="00B06793" w:rsidP="00AE166E">
            <w:pPr>
              <w:tabs>
                <w:tab w:val="left" w:pos="720"/>
                <w:tab w:val="left" w:pos="1080"/>
              </w:tabs>
              <w:spacing w:after="120" w:line="240" w:lineRule="auto"/>
              <w:ind w:left="90"/>
              <w:rPr>
                <w:rFonts w:cs="Calibri"/>
                <w:sz w:val="16"/>
                <w:szCs w:val="16"/>
              </w:rPr>
            </w:pPr>
            <w:r>
              <w:rPr>
                <w:rFonts w:cs="Calibri"/>
                <w:sz w:val="16"/>
                <w:szCs w:val="16"/>
              </w:rPr>
              <w:t>Mid-December</w:t>
            </w:r>
          </w:p>
        </w:tc>
        <w:tc>
          <w:tcPr>
            <w:tcW w:w="986" w:type="pct"/>
            <w:tcBorders>
              <w:top w:val="single" w:sz="8" w:space="0" w:color="000000"/>
              <w:left w:val="single" w:sz="8" w:space="0" w:color="000000"/>
              <w:bottom w:val="single" w:sz="8" w:space="0" w:color="000000"/>
              <w:right w:val="single" w:sz="8" w:space="0" w:color="000000"/>
            </w:tcBorders>
            <w:shd w:val="solid" w:color="FFFFFF" w:fill="FFFFFF"/>
            <w:tcMar>
              <w:top w:w="0" w:type="dxa"/>
              <w:left w:w="0" w:type="dxa"/>
              <w:bottom w:w="0" w:type="dxa"/>
              <w:right w:w="0" w:type="dxa"/>
            </w:tcMar>
            <w:vAlign w:val="center"/>
            <w:hideMark/>
          </w:tcPr>
          <w:p w14:paraId="7940BE5D" w14:textId="77777777" w:rsidR="00B06793" w:rsidRDefault="00B06793" w:rsidP="00AE166E">
            <w:pPr>
              <w:tabs>
                <w:tab w:val="left" w:pos="720"/>
                <w:tab w:val="left" w:pos="1080"/>
              </w:tabs>
              <w:spacing w:after="120" w:line="240" w:lineRule="auto"/>
              <w:ind w:left="90"/>
              <w:rPr>
                <w:rFonts w:cs="Calibri"/>
                <w:sz w:val="16"/>
                <w:szCs w:val="16"/>
              </w:rPr>
            </w:pPr>
            <w:r>
              <w:rPr>
                <w:rFonts w:cs="Calibri"/>
                <w:sz w:val="16"/>
                <w:szCs w:val="16"/>
              </w:rPr>
              <w:t>February - May</w:t>
            </w:r>
          </w:p>
        </w:tc>
        <w:tc>
          <w:tcPr>
            <w:tcW w:w="2368" w:type="pct"/>
            <w:tcBorders>
              <w:top w:val="single" w:sz="8" w:space="0" w:color="000000"/>
              <w:left w:val="single" w:sz="8" w:space="0" w:color="000000"/>
              <w:bottom w:val="single" w:sz="8" w:space="0" w:color="000000"/>
              <w:right w:val="single" w:sz="8" w:space="0" w:color="000000"/>
            </w:tcBorders>
            <w:shd w:val="solid" w:color="FFFFFF" w:fill="FFFFFF"/>
            <w:tcMar>
              <w:top w:w="0" w:type="dxa"/>
              <w:left w:w="0" w:type="dxa"/>
              <w:bottom w:w="0" w:type="dxa"/>
              <w:right w:w="0" w:type="dxa"/>
            </w:tcMar>
            <w:vAlign w:val="center"/>
            <w:hideMark/>
          </w:tcPr>
          <w:p w14:paraId="43D3F41D" w14:textId="77777777" w:rsidR="00B06793" w:rsidRDefault="00B06793" w:rsidP="00AE166E">
            <w:pPr>
              <w:tabs>
                <w:tab w:val="left" w:pos="720"/>
                <w:tab w:val="left" w:pos="1080"/>
              </w:tabs>
              <w:spacing w:after="120" w:line="240" w:lineRule="auto"/>
              <w:ind w:left="90"/>
              <w:rPr>
                <w:rFonts w:cs="Calibri"/>
                <w:sz w:val="16"/>
                <w:szCs w:val="16"/>
              </w:rPr>
            </w:pPr>
            <w:r>
              <w:rPr>
                <w:rFonts w:cs="Calibri"/>
                <w:sz w:val="16"/>
                <w:szCs w:val="16"/>
              </w:rPr>
              <w:t>St. Johns, Putnam, Flagler, Okeechobee, Suwannee</w:t>
            </w:r>
          </w:p>
        </w:tc>
        <w:tc>
          <w:tcPr>
            <w:tcW w:w="526" w:type="pct"/>
            <w:tcBorders>
              <w:top w:val="single" w:sz="8" w:space="0" w:color="000000"/>
              <w:left w:val="single" w:sz="8" w:space="0" w:color="000000"/>
              <w:bottom w:val="single" w:sz="8" w:space="0" w:color="000000"/>
              <w:right w:val="single" w:sz="8" w:space="0" w:color="000000"/>
            </w:tcBorders>
            <w:shd w:val="solid" w:color="FFFFFF" w:fill="FFFFFF"/>
            <w:tcMar>
              <w:top w:w="0" w:type="dxa"/>
              <w:left w:w="0" w:type="dxa"/>
              <w:bottom w:w="0" w:type="dxa"/>
              <w:right w:w="0" w:type="dxa"/>
            </w:tcMar>
            <w:vAlign w:val="center"/>
            <w:hideMark/>
          </w:tcPr>
          <w:p w14:paraId="3548DFF7" w14:textId="77777777" w:rsidR="00B06793" w:rsidRDefault="00B06793" w:rsidP="00D63204">
            <w:pPr>
              <w:tabs>
                <w:tab w:val="left" w:pos="720"/>
                <w:tab w:val="left" w:pos="1080"/>
              </w:tabs>
              <w:spacing w:after="120" w:line="240" w:lineRule="auto"/>
              <w:ind w:left="90"/>
              <w:rPr>
                <w:rFonts w:cs="Calibri"/>
                <w:sz w:val="16"/>
                <w:szCs w:val="16"/>
              </w:rPr>
            </w:pPr>
            <w:r>
              <w:rPr>
                <w:rFonts w:cs="Calibri"/>
                <w:sz w:val="16"/>
                <w:szCs w:val="16"/>
              </w:rPr>
              <w:t>2,800</w:t>
            </w:r>
          </w:p>
        </w:tc>
      </w:tr>
      <w:tr w:rsidR="00B06793" w14:paraId="4AE7D983" w14:textId="77777777" w:rsidTr="00017D12">
        <w:tc>
          <w:tcPr>
            <w:tcW w:w="562" w:type="pct"/>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0" w:type="dxa"/>
              <w:left w:w="0" w:type="dxa"/>
              <w:bottom w:w="0" w:type="dxa"/>
              <w:right w:w="0" w:type="dxa"/>
            </w:tcMar>
            <w:vAlign w:val="center"/>
            <w:hideMark/>
          </w:tcPr>
          <w:p w14:paraId="671EB040" w14:textId="77777777" w:rsidR="00B06793" w:rsidRDefault="00B06793" w:rsidP="00AE166E">
            <w:pPr>
              <w:tabs>
                <w:tab w:val="left" w:pos="720"/>
                <w:tab w:val="left" w:pos="1080"/>
              </w:tabs>
              <w:spacing w:after="120" w:line="240" w:lineRule="auto"/>
              <w:ind w:left="90"/>
              <w:rPr>
                <w:rFonts w:cs="Calibri"/>
                <w:sz w:val="16"/>
                <w:szCs w:val="16"/>
              </w:rPr>
            </w:pPr>
            <w:r>
              <w:rPr>
                <w:rFonts w:cs="Calibri"/>
                <w:sz w:val="16"/>
                <w:szCs w:val="16"/>
              </w:rPr>
              <w:t>Squash</w:t>
            </w:r>
          </w:p>
        </w:tc>
        <w:tc>
          <w:tcPr>
            <w:tcW w:w="558" w:type="pct"/>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0" w:type="dxa"/>
              <w:left w:w="0" w:type="dxa"/>
              <w:bottom w:w="0" w:type="dxa"/>
              <w:right w:w="0" w:type="dxa"/>
            </w:tcMar>
            <w:vAlign w:val="center"/>
            <w:hideMark/>
          </w:tcPr>
          <w:p w14:paraId="1F5C856E" w14:textId="77777777" w:rsidR="00B06793" w:rsidRDefault="00B06793" w:rsidP="00AE166E">
            <w:pPr>
              <w:tabs>
                <w:tab w:val="left" w:pos="720"/>
                <w:tab w:val="left" w:pos="1080"/>
              </w:tabs>
              <w:spacing w:after="120" w:line="240" w:lineRule="auto"/>
              <w:ind w:left="90"/>
              <w:rPr>
                <w:rFonts w:cs="Calibri"/>
                <w:sz w:val="16"/>
                <w:szCs w:val="16"/>
              </w:rPr>
            </w:pPr>
            <w:r>
              <w:rPr>
                <w:rFonts w:cs="Calibri"/>
                <w:sz w:val="16"/>
                <w:szCs w:val="16"/>
              </w:rPr>
              <w:t>September</w:t>
            </w:r>
          </w:p>
        </w:tc>
        <w:tc>
          <w:tcPr>
            <w:tcW w:w="986" w:type="pct"/>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0" w:type="dxa"/>
              <w:left w:w="0" w:type="dxa"/>
              <w:bottom w:w="0" w:type="dxa"/>
              <w:right w:w="0" w:type="dxa"/>
            </w:tcMar>
            <w:vAlign w:val="center"/>
            <w:hideMark/>
          </w:tcPr>
          <w:p w14:paraId="3B77A24E" w14:textId="77777777" w:rsidR="00B06793" w:rsidRDefault="00B06793" w:rsidP="00AE166E">
            <w:pPr>
              <w:tabs>
                <w:tab w:val="left" w:pos="720"/>
                <w:tab w:val="left" w:pos="1080"/>
              </w:tabs>
              <w:spacing w:after="120" w:line="240" w:lineRule="auto"/>
              <w:ind w:left="90"/>
              <w:rPr>
                <w:rFonts w:cs="Calibri"/>
                <w:sz w:val="16"/>
                <w:szCs w:val="16"/>
              </w:rPr>
            </w:pPr>
            <w:r>
              <w:rPr>
                <w:rFonts w:cs="Calibri"/>
                <w:sz w:val="16"/>
                <w:szCs w:val="16"/>
              </w:rPr>
              <w:t>November - May</w:t>
            </w:r>
          </w:p>
        </w:tc>
        <w:tc>
          <w:tcPr>
            <w:tcW w:w="2368" w:type="pct"/>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0" w:type="dxa"/>
              <w:left w:w="0" w:type="dxa"/>
              <w:bottom w:w="0" w:type="dxa"/>
              <w:right w:w="0" w:type="dxa"/>
            </w:tcMar>
            <w:vAlign w:val="center"/>
            <w:hideMark/>
          </w:tcPr>
          <w:p w14:paraId="779A5FE7" w14:textId="77777777" w:rsidR="00B06793" w:rsidRDefault="00B06793" w:rsidP="00AE166E">
            <w:pPr>
              <w:tabs>
                <w:tab w:val="left" w:pos="720"/>
                <w:tab w:val="left" w:pos="1080"/>
              </w:tabs>
              <w:spacing w:after="120" w:line="240" w:lineRule="auto"/>
              <w:ind w:left="90"/>
              <w:rPr>
                <w:rFonts w:cs="Calibri"/>
                <w:sz w:val="16"/>
                <w:szCs w:val="16"/>
              </w:rPr>
            </w:pPr>
            <w:r>
              <w:rPr>
                <w:rFonts w:cs="Calibri"/>
                <w:sz w:val="16"/>
                <w:szCs w:val="16"/>
              </w:rPr>
              <w:t>Miami-Dade, Collier, Lee, Hillsborough, Gadsden, Jackson, Suwannee</w:t>
            </w:r>
          </w:p>
        </w:tc>
        <w:tc>
          <w:tcPr>
            <w:tcW w:w="526" w:type="pct"/>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0" w:type="dxa"/>
              <w:left w:w="0" w:type="dxa"/>
              <w:bottom w:w="0" w:type="dxa"/>
              <w:right w:w="0" w:type="dxa"/>
            </w:tcMar>
            <w:vAlign w:val="center"/>
            <w:hideMark/>
          </w:tcPr>
          <w:p w14:paraId="785E0B63" w14:textId="77777777" w:rsidR="00B06793" w:rsidRDefault="00B06793" w:rsidP="00D63204">
            <w:pPr>
              <w:tabs>
                <w:tab w:val="left" w:pos="720"/>
                <w:tab w:val="left" w:pos="1080"/>
              </w:tabs>
              <w:spacing w:after="120" w:line="240" w:lineRule="auto"/>
              <w:ind w:left="90"/>
              <w:rPr>
                <w:rFonts w:cs="Calibri"/>
                <w:sz w:val="16"/>
                <w:szCs w:val="16"/>
              </w:rPr>
            </w:pPr>
            <w:r>
              <w:rPr>
                <w:rFonts w:cs="Calibri"/>
                <w:sz w:val="16"/>
                <w:szCs w:val="16"/>
              </w:rPr>
              <w:t>2,500</w:t>
            </w:r>
          </w:p>
        </w:tc>
      </w:tr>
      <w:tr w:rsidR="00B06793" w14:paraId="081A9550" w14:textId="77777777" w:rsidTr="00017D12">
        <w:tc>
          <w:tcPr>
            <w:tcW w:w="562" w:type="pct"/>
            <w:tcBorders>
              <w:top w:val="single" w:sz="8" w:space="0" w:color="000000"/>
              <w:left w:val="single" w:sz="8" w:space="0" w:color="000000"/>
              <w:bottom w:val="single" w:sz="8" w:space="0" w:color="000000"/>
              <w:right w:val="single" w:sz="8" w:space="0" w:color="000000"/>
            </w:tcBorders>
            <w:shd w:val="solid" w:color="FFFFFF" w:fill="FFFFFF"/>
            <w:tcMar>
              <w:top w:w="0" w:type="dxa"/>
              <w:left w:w="0" w:type="dxa"/>
              <w:bottom w:w="0" w:type="dxa"/>
              <w:right w:w="0" w:type="dxa"/>
            </w:tcMar>
            <w:vAlign w:val="center"/>
            <w:hideMark/>
          </w:tcPr>
          <w:p w14:paraId="3B905CDE" w14:textId="77777777" w:rsidR="00B06793" w:rsidRDefault="00B06793" w:rsidP="00AE166E">
            <w:pPr>
              <w:tabs>
                <w:tab w:val="left" w:pos="720"/>
                <w:tab w:val="left" w:pos="1080"/>
              </w:tabs>
              <w:spacing w:after="120" w:line="240" w:lineRule="auto"/>
              <w:ind w:left="90"/>
              <w:rPr>
                <w:rFonts w:cs="Calibri"/>
                <w:sz w:val="16"/>
                <w:szCs w:val="16"/>
              </w:rPr>
            </w:pPr>
            <w:r>
              <w:rPr>
                <w:rFonts w:cs="Calibri"/>
                <w:sz w:val="16"/>
                <w:szCs w:val="16"/>
              </w:rPr>
              <w:t>Cabbage</w:t>
            </w:r>
          </w:p>
        </w:tc>
        <w:tc>
          <w:tcPr>
            <w:tcW w:w="558" w:type="pct"/>
            <w:tcBorders>
              <w:top w:val="single" w:sz="8" w:space="0" w:color="000000"/>
              <w:left w:val="single" w:sz="8" w:space="0" w:color="000000"/>
              <w:bottom w:val="single" w:sz="8" w:space="0" w:color="000000"/>
              <w:right w:val="single" w:sz="8" w:space="0" w:color="000000"/>
            </w:tcBorders>
            <w:shd w:val="solid" w:color="FFFFFF" w:fill="FFFFFF"/>
            <w:tcMar>
              <w:top w:w="0" w:type="dxa"/>
              <w:left w:w="0" w:type="dxa"/>
              <w:bottom w:w="0" w:type="dxa"/>
              <w:right w:w="0" w:type="dxa"/>
            </w:tcMar>
            <w:vAlign w:val="center"/>
            <w:hideMark/>
          </w:tcPr>
          <w:p w14:paraId="2C47882B" w14:textId="77777777" w:rsidR="00B06793" w:rsidRDefault="00B06793" w:rsidP="00AE166E">
            <w:pPr>
              <w:tabs>
                <w:tab w:val="left" w:pos="720"/>
                <w:tab w:val="left" w:pos="1080"/>
              </w:tabs>
              <w:spacing w:after="120" w:line="240" w:lineRule="auto"/>
              <w:ind w:left="90"/>
              <w:rPr>
                <w:rFonts w:cs="Calibri"/>
                <w:sz w:val="16"/>
                <w:szCs w:val="16"/>
              </w:rPr>
            </w:pPr>
            <w:r>
              <w:rPr>
                <w:rFonts w:cs="Calibri"/>
                <w:sz w:val="16"/>
                <w:szCs w:val="16"/>
              </w:rPr>
              <w:t>Mid-October</w:t>
            </w:r>
          </w:p>
        </w:tc>
        <w:tc>
          <w:tcPr>
            <w:tcW w:w="986" w:type="pct"/>
            <w:tcBorders>
              <w:top w:val="single" w:sz="8" w:space="0" w:color="000000"/>
              <w:left w:val="single" w:sz="8" w:space="0" w:color="000000"/>
              <w:bottom w:val="single" w:sz="8" w:space="0" w:color="000000"/>
              <w:right w:val="single" w:sz="8" w:space="0" w:color="000000"/>
            </w:tcBorders>
            <w:shd w:val="solid" w:color="FFFFFF" w:fill="FFFFFF"/>
            <w:tcMar>
              <w:top w:w="0" w:type="dxa"/>
              <w:left w:w="0" w:type="dxa"/>
              <w:bottom w:w="0" w:type="dxa"/>
              <w:right w:w="0" w:type="dxa"/>
            </w:tcMar>
            <w:vAlign w:val="center"/>
            <w:hideMark/>
          </w:tcPr>
          <w:p w14:paraId="4F3F9317" w14:textId="77777777" w:rsidR="00B06793" w:rsidRDefault="00B06793" w:rsidP="00AE166E">
            <w:pPr>
              <w:tabs>
                <w:tab w:val="left" w:pos="720"/>
                <w:tab w:val="left" w:pos="1080"/>
              </w:tabs>
              <w:spacing w:after="120" w:line="240" w:lineRule="auto"/>
              <w:ind w:left="90"/>
              <w:rPr>
                <w:rFonts w:cs="Calibri"/>
                <w:sz w:val="16"/>
                <w:szCs w:val="16"/>
              </w:rPr>
            </w:pPr>
            <w:r>
              <w:rPr>
                <w:rFonts w:cs="Calibri"/>
                <w:sz w:val="16"/>
                <w:szCs w:val="16"/>
              </w:rPr>
              <w:t>January - April</w:t>
            </w:r>
          </w:p>
        </w:tc>
        <w:tc>
          <w:tcPr>
            <w:tcW w:w="2368" w:type="pct"/>
            <w:tcBorders>
              <w:top w:val="single" w:sz="8" w:space="0" w:color="000000"/>
              <w:left w:val="single" w:sz="8" w:space="0" w:color="000000"/>
              <w:bottom w:val="single" w:sz="8" w:space="0" w:color="000000"/>
              <w:right w:val="single" w:sz="8" w:space="0" w:color="000000"/>
            </w:tcBorders>
            <w:shd w:val="solid" w:color="FFFFFF" w:fill="FFFFFF"/>
            <w:tcMar>
              <w:top w:w="0" w:type="dxa"/>
              <w:left w:w="0" w:type="dxa"/>
              <w:bottom w:w="0" w:type="dxa"/>
              <w:right w:w="0" w:type="dxa"/>
            </w:tcMar>
            <w:vAlign w:val="center"/>
            <w:hideMark/>
          </w:tcPr>
          <w:p w14:paraId="54FABF68" w14:textId="77777777" w:rsidR="00B06793" w:rsidRDefault="00B06793" w:rsidP="00AE166E">
            <w:pPr>
              <w:tabs>
                <w:tab w:val="left" w:pos="720"/>
                <w:tab w:val="left" w:pos="1080"/>
              </w:tabs>
              <w:spacing w:after="120" w:line="240" w:lineRule="auto"/>
              <w:ind w:left="90"/>
              <w:rPr>
                <w:rFonts w:cs="Calibri"/>
                <w:sz w:val="16"/>
                <w:szCs w:val="16"/>
              </w:rPr>
            </w:pPr>
            <w:r>
              <w:rPr>
                <w:rFonts w:cs="Calibri"/>
                <w:sz w:val="16"/>
                <w:szCs w:val="16"/>
              </w:rPr>
              <w:t>Flagler, St. Johns, Palm Beach, Manatee, Putnam</w:t>
            </w:r>
          </w:p>
        </w:tc>
        <w:tc>
          <w:tcPr>
            <w:tcW w:w="526" w:type="pct"/>
            <w:tcBorders>
              <w:top w:val="single" w:sz="8" w:space="0" w:color="000000"/>
              <w:left w:val="single" w:sz="8" w:space="0" w:color="000000"/>
              <w:bottom w:val="single" w:sz="8" w:space="0" w:color="000000"/>
              <w:right w:val="single" w:sz="8" w:space="0" w:color="000000"/>
            </w:tcBorders>
            <w:shd w:val="solid" w:color="FFFFFF" w:fill="FFFFFF"/>
            <w:tcMar>
              <w:top w:w="0" w:type="dxa"/>
              <w:left w:w="0" w:type="dxa"/>
              <w:bottom w:w="0" w:type="dxa"/>
              <w:right w:w="0" w:type="dxa"/>
            </w:tcMar>
            <w:vAlign w:val="center"/>
            <w:hideMark/>
          </w:tcPr>
          <w:p w14:paraId="328DE1C2" w14:textId="77777777" w:rsidR="00B06793" w:rsidRDefault="00B06793" w:rsidP="00D63204">
            <w:pPr>
              <w:tabs>
                <w:tab w:val="left" w:pos="720"/>
                <w:tab w:val="left" w:pos="1080"/>
              </w:tabs>
              <w:spacing w:after="120" w:line="240" w:lineRule="auto"/>
              <w:ind w:left="90"/>
              <w:rPr>
                <w:rFonts w:cs="Calibri"/>
                <w:sz w:val="16"/>
                <w:szCs w:val="16"/>
              </w:rPr>
            </w:pPr>
            <w:r>
              <w:rPr>
                <w:rFonts w:cs="Calibri"/>
                <w:sz w:val="16"/>
                <w:szCs w:val="16"/>
              </w:rPr>
              <w:t>1,500</w:t>
            </w:r>
          </w:p>
        </w:tc>
      </w:tr>
      <w:tr w:rsidR="00B06793" w14:paraId="4B089865" w14:textId="77777777" w:rsidTr="00017D12">
        <w:tc>
          <w:tcPr>
            <w:tcW w:w="562" w:type="pct"/>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0" w:type="dxa"/>
              <w:left w:w="0" w:type="dxa"/>
              <w:bottom w:w="0" w:type="dxa"/>
              <w:right w:w="0" w:type="dxa"/>
            </w:tcMar>
            <w:vAlign w:val="center"/>
            <w:hideMark/>
          </w:tcPr>
          <w:p w14:paraId="7EDEDCA0" w14:textId="77777777" w:rsidR="00B06793" w:rsidRDefault="00B06793" w:rsidP="00AE166E">
            <w:pPr>
              <w:tabs>
                <w:tab w:val="left" w:pos="720"/>
                <w:tab w:val="left" w:pos="1080"/>
              </w:tabs>
              <w:spacing w:after="120" w:line="240" w:lineRule="auto"/>
              <w:ind w:left="90"/>
              <w:rPr>
                <w:rFonts w:cs="Calibri"/>
                <w:sz w:val="16"/>
                <w:szCs w:val="16"/>
              </w:rPr>
            </w:pPr>
            <w:r>
              <w:rPr>
                <w:rFonts w:cs="Calibri"/>
                <w:sz w:val="16"/>
                <w:szCs w:val="16"/>
              </w:rPr>
              <w:t>Cucumbers</w:t>
            </w:r>
          </w:p>
        </w:tc>
        <w:tc>
          <w:tcPr>
            <w:tcW w:w="558" w:type="pct"/>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0" w:type="dxa"/>
              <w:left w:w="0" w:type="dxa"/>
              <w:bottom w:w="0" w:type="dxa"/>
              <w:right w:w="0" w:type="dxa"/>
            </w:tcMar>
            <w:vAlign w:val="center"/>
            <w:hideMark/>
          </w:tcPr>
          <w:p w14:paraId="46C2D9AA" w14:textId="77777777" w:rsidR="00B06793" w:rsidRDefault="00B06793" w:rsidP="00AE166E">
            <w:pPr>
              <w:tabs>
                <w:tab w:val="left" w:pos="720"/>
                <w:tab w:val="left" w:pos="1080"/>
              </w:tabs>
              <w:spacing w:after="120" w:line="240" w:lineRule="auto"/>
              <w:ind w:left="90"/>
              <w:rPr>
                <w:rFonts w:cs="Calibri"/>
                <w:sz w:val="16"/>
                <w:szCs w:val="16"/>
              </w:rPr>
            </w:pPr>
            <w:r>
              <w:rPr>
                <w:rFonts w:cs="Calibri"/>
                <w:sz w:val="16"/>
                <w:szCs w:val="16"/>
              </w:rPr>
              <w:t>Mid-September</w:t>
            </w:r>
          </w:p>
        </w:tc>
        <w:tc>
          <w:tcPr>
            <w:tcW w:w="986" w:type="pct"/>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0" w:type="dxa"/>
              <w:left w:w="0" w:type="dxa"/>
              <w:bottom w:w="0" w:type="dxa"/>
              <w:right w:w="0" w:type="dxa"/>
            </w:tcMar>
            <w:vAlign w:val="center"/>
            <w:hideMark/>
          </w:tcPr>
          <w:p w14:paraId="3C252C32" w14:textId="77777777" w:rsidR="00B06793" w:rsidRDefault="00B06793" w:rsidP="00AE166E">
            <w:pPr>
              <w:tabs>
                <w:tab w:val="left" w:pos="720"/>
                <w:tab w:val="left" w:pos="1080"/>
              </w:tabs>
              <w:spacing w:after="120" w:line="240" w:lineRule="auto"/>
              <w:ind w:left="90"/>
              <w:rPr>
                <w:rFonts w:cs="Calibri"/>
                <w:sz w:val="16"/>
                <w:szCs w:val="16"/>
              </w:rPr>
            </w:pPr>
            <w:r>
              <w:rPr>
                <w:rFonts w:cs="Calibri"/>
                <w:sz w:val="16"/>
                <w:szCs w:val="16"/>
              </w:rPr>
              <w:t>November - April</w:t>
            </w:r>
          </w:p>
        </w:tc>
        <w:tc>
          <w:tcPr>
            <w:tcW w:w="2368" w:type="pct"/>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0" w:type="dxa"/>
              <w:left w:w="0" w:type="dxa"/>
              <w:bottom w:w="0" w:type="dxa"/>
              <w:right w:w="0" w:type="dxa"/>
            </w:tcMar>
            <w:vAlign w:val="center"/>
            <w:hideMark/>
          </w:tcPr>
          <w:p w14:paraId="791D410B" w14:textId="77777777" w:rsidR="00B06793" w:rsidRDefault="00B06793" w:rsidP="00AE166E">
            <w:pPr>
              <w:tabs>
                <w:tab w:val="left" w:pos="720"/>
                <w:tab w:val="left" w:pos="1080"/>
              </w:tabs>
              <w:spacing w:after="120" w:line="240" w:lineRule="auto"/>
              <w:ind w:left="90"/>
              <w:rPr>
                <w:rFonts w:cs="Calibri"/>
                <w:sz w:val="16"/>
                <w:szCs w:val="16"/>
              </w:rPr>
            </w:pPr>
            <w:r>
              <w:rPr>
                <w:rFonts w:cs="Calibri"/>
                <w:sz w:val="16"/>
                <w:szCs w:val="16"/>
              </w:rPr>
              <w:t>Manatee, Palm Beach, Hillsborough, Collier, Hardee, Hendry, Miami-Dade, Levy</w:t>
            </w:r>
          </w:p>
        </w:tc>
        <w:tc>
          <w:tcPr>
            <w:tcW w:w="526" w:type="pct"/>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0" w:type="dxa"/>
              <w:left w:w="0" w:type="dxa"/>
              <w:bottom w:w="0" w:type="dxa"/>
              <w:right w:w="0" w:type="dxa"/>
            </w:tcMar>
            <w:vAlign w:val="center"/>
            <w:hideMark/>
          </w:tcPr>
          <w:p w14:paraId="72553CC0" w14:textId="77777777" w:rsidR="00B06793" w:rsidRDefault="00B06793" w:rsidP="00D63204">
            <w:pPr>
              <w:tabs>
                <w:tab w:val="left" w:pos="720"/>
                <w:tab w:val="left" w:pos="1080"/>
              </w:tabs>
              <w:spacing w:after="120" w:line="240" w:lineRule="auto"/>
              <w:ind w:left="90"/>
              <w:rPr>
                <w:rFonts w:cs="Calibri"/>
                <w:sz w:val="16"/>
                <w:szCs w:val="16"/>
              </w:rPr>
            </w:pPr>
            <w:r>
              <w:rPr>
                <w:rFonts w:cs="Calibri"/>
                <w:sz w:val="16"/>
                <w:szCs w:val="16"/>
              </w:rPr>
              <w:t>1,500</w:t>
            </w:r>
          </w:p>
        </w:tc>
      </w:tr>
      <w:tr w:rsidR="00B06793" w14:paraId="5B625943" w14:textId="77777777" w:rsidTr="00017D12">
        <w:tc>
          <w:tcPr>
            <w:tcW w:w="562" w:type="pct"/>
            <w:tcBorders>
              <w:top w:val="single" w:sz="8" w:space="0" w:color="000000"/>
              <w:left w:val="single" w:sz="8" w:space="0" w:color="000000"/>
              <w:bottom w:val="single" w:sz="8" w:space="0" w:color="000000"/>
              <w:right w:val="single" w:sz="8" w:space="0" w:color="000000"/>
            </w:tcBorders>
            <w:shd w:val="solid" w:color="FFFFFF" w:fill="FFFFFF"/>
            <w:tcMar>
              <w:top w:w="0" w:type="dxa"/>
              <w:left w:w="0" w:type="dxa"/>
              <w:bottom w:w="0" w:type="dxa"/>
              <w:right w:w="0" w:type="dxa"/>
            </w:tcMar>
            <w:vAlign w:val="center"/>
            <w:hideMark/>
          </w:tcPr>
          <w:p w14:paraId="23CB4444" w14:textId="77777777" w:rsidR="00B06793" w:rsidRDefault="00B06793" w:rsidP="00AE166E">
            <w:pPr>
              <w:tabs>
                <w:tab w:val="left" w:pos="720"/>
                <w:tab w:val="left" w:pos="1080"/>
              </w:tabs>
              <w:spacing w:after="120" w:line="240" w:lineRule="auto"/>
              <w:ind w:left="90"/>
              <w:rPr>
                <w:rFonts w:cs="Calibri"/>
                <w:sz w:val="16"/>
                <w:szCs w:val="16"/>
              </w:rPr>
            </w:pPr>
            <w:r>
              <w:rPr>
                <w:rFonts w:cs="Calibri"/>
                <w:sz w:val="16"/>
                <w:szCs w:val="16"/>
              </w:rPr>
              <w:t>Tomatillos</w:t>
            </w:r>
          </w:p>
        </w:tc>
        <w:tc>
          <w:tcPr>
            <w:tcW w:w="558" w:type="pct"/>
            <w:tcBorders>
              <w:top w:val="single" w:sz="8" w:space="0" w:color="000000"/>
              <w:left w:val="single" w:sz="8" w:space="0" w:color="000000"/>
              <w:bottom w:val="single" w:sz="8" w:space="0" w:color="000000"/>
              <w:right w:val="single" w:sz="8" w:space="0" w:color="000000"/>
            </w:tcBorders>
            <w:shd w:val="solid" w:color="FFFFFF" w:fill="FFFFFF"/>
            <w:tcMar>
              <w:top w:w="0" w:type="dxa"/>
              <w:left w:w="0" w:type="dxa"/>
              <w:bottom w:w="0" w:type="dxa"/>
              <w:right w:w="0" w:type="dxa"/>
            </w:tcMar>
            <w:vAlign w:val="center"/>
            <w:hideMark/>
          </w:tcPr>
          <w:p w14:paraId="4806BBEB" w14:textId="77777777" w:rsidR="00B06793" w:rsidRDefault="00B06793" w:rsidP="00AE166E">
            <w:pPr>
              <w:tabs>
                <w:tab w:val="left" w:pos="720"/>
                <w:tab w:val="left" w:pos="1080"/>
              </w:tabs>
              <w:spacing w:after="120" w:line="240" w:lineRule="auto"/>
              <w:ind w:left="90"/>
              <w:rPr>
                <w:rFonts w:cs="Calibri"/>
                <w:sz w:val="16"/>
                <w:szCs w:val="16"/>
              </w:rPr>
            </w:pPr>
            <w:r>
              <w:rPr>
                <w:rFonts w:cs="Calibri"/>
                <w:sz w:val="16"/>
                <w:szCs w:val="16"/>
              </w:rPr>
              <w:t>April</w:t>
            </w:r>
          </w:p>
        </w:tc>
        <w:tc>
          <w:tcPr>
            <w:tcW w:w="986" w:type="pct"/>
            <w:tcBorders>
              <w:top w:val="single" w:sz="8" w:space="0" w:color="000000"/>
              <w:left w:val="single" w:sz="8" w:space="0" w:color="000000"/>
              <w:bottom w:val="single" w:sz="8" w:space="0" w:color="000000"/>
              <w:right w:val="single" w:sz="8" w:space="0" w:color="000000"/>
            </w:tcBorders>
            <w:shd w:val="solid" w:color="FFFFFF" w:fill="FFFFFF"/>
            <w:tcMar>
              <w:top w:w="0" w:type="dxa"/>
              <w:left w:w="0" w:type="dxa"/>
              <w:bottom w:w="0" w:type="dxa"/>
              <w:right w:w="0" w:type="dxa"/>
            </w:tcMar>
            <w:vAlign w:val="center"/>
            <w:hideMark/>
          </w:tcPr>
          <w:p w14:paraId="456410B2" w14:textId="77777777" w:rsidR="00B06793" w:rsidRDefault="00B06793" w:rsidP="00AE166E">
            <w:pPr>
              <w:tabs>
                <w:tab w:val="left" w:pos="720"/>
                <w:tab w:val="left" w:pos="1080"/>
              </w:tabs>
              <w:spacing w:after="120" w:line="240" w:lineRule="auto"/>
              <w:ind w:left="90"/>
              <w:rPr>
                <w:rFonts w:cs="Calibri"/>
                <w:sz w:val="16"/>
                <w:szCs w:val="16"/>
              </w:rPr>
            </w:pPr>
            <w:r>
              <w:rPr>
                <w:rFonts w:cs="Calibri"/>
                <w:sz w:val="16"/>
                <w:szCs w:val="16"/>
              </w:rPr>
              <w:t xml:space="preserve">April – July &amp; September - </w:t>
            </w:r>
            <w:r>
              <w:rPr>
                <w:rFonts w:cs="Calibri"/>
                <w:sz w:val="16"/>
                <w:szCs w:val="16"/>
              </w:rPr>
              <w:br/>
              <w:t>November</w:t>
            </w:r>
          </w:p>
        </w:tc>
        <w:tc>
          <w:tcPr>
            <w:tcW w:w="2368" w:type="pct"/>
            <w:tcBorders>
              <w:top w:val="single" w:sz="8" w:space="0" w:color="000000"/>
              <w:left w:val="single" w:sz="8" w:space="0" w:color="000000"/>
              <w:bottom w:val="single" w:sz="8" w:space="0" w:color="000000"/>
              <w:right w:val="single" w:sz="8" w:space="0" w:color="000000"/>
            </w:tcBorders>
            <w:shd w:val="solid" w:color="FFFFFF" w:fill="FFFFFF"/>
            <w:tcMar>
              <w:top w:w="0" w:type="dxa"/>
              <w:left w:w="0" w:type="dxa"/>
              <w:bottom w:w="0" w:type="dxa"/>
              <w:right w:w="0" w:type="dxa"/>
            </w:tcMar>
            <w:vAlign w:val="center"/>
            <w:hideMark/>
          </w:tcPr>
          <w:p w14:paraId="2AE14CD7" w14:textId="77777777" w:rsidR="00B06793" w:rsidRDefault="00B06793" w:rsidP="00AE166E">
            <w:pPr>
              <w:tabs>
                <w:tab w:val="left" w:pos="720"/>
                <w:tab w:val="left" w:pos="1080"/>
              </w:tabs>
              <w:spacing w:after="120" w:line="240" w:lineRule="auto"/>
              <w:ind w:left="90"/>
              <w:rPr>
                <w:rFonts w:cs="Calibri"/>
                <w:sz w:val="16"/>
                <w:szCs w:val="16"/>
              </w:rPr>
            </w:pPr>
            <w:r>
              <w:rPr>
                <w:rFonts w:cs="Calibri"/>
                <w:sz w:val="16"/>
                <w:szCs w:val="16"/>
              </w:rPr>
              <w:t>Collier (November – March), Manatee, Gadsden, Jackson</w:t>
            </w:r>
          </w:p>
        </w:tc>
        <w:tc>
          <w:tcPr>
            <w:tcW w:w="526" w:type="pct"/>
            <w:tcBorders>
              <w:top w:val="single" w:sz="8" w:space="0" w:color="000000"/>
              <w:left w:val="single" w:sz="8" w:space="0" w:color="000000"/>
              <w:bottom w:val="single" w:sz="8" w:space="0" w:color="000000"/>
              <w:right w:val="single" w:sz="8" w:space="0" w:color="000000"/>
            </w:tcBorders>
            <w:shd w:val="solid" w:color="FFFFFF" w:fill="FFFFFF"/>
            <w:tcMar>
              <w:top w:w="0" w:type="dxa"/>
              <w:left w:w="0" w:type="dxa"/>
              <w:bottom w:w="0" w:type="dxa"/>
              <w:right w:w="0" w:type="dxa"/>
            </w:tcMar>
            <w:vAlign w:val="center"/>
            <w:hideMark/>
          </w:tcPr>
          <w:p w14:paraId="204D9538" w14:textId="77777777" w:rsidR="00B06793" w:rsidRDefault="00B06793" w:rsidP="00D63204">
            <w:pPr>
              <w:tabs>
                <w:tab w:val="left" w:pos="720"/>
                <w:tab w:val="left" w:pos="1080"/>
              </w:tabs>
              <w:spacing w:after="120" w:line="240" w:lineRule="auto"/>
              <w:ind w:left="90"/>
              <w:rPr>
                <w:rFonts w:cs="Calibri"/>
                <w:sz w:val="16"/>
                <w:szCs w:val="16"/>
              </w:rPr>
            </w:pPr>
            <w:r>
              <w:rPr>
                <w:rFonts w:cs="Calibri"/>
                <w:sz w:val="16"/>
                <w:szCs w:val="16"/>
              </w:rPr>
              <w:t>500</w:t>
            </w:r>
          </w:p>
        </w:tc>
      </w:tr>
      <w:tr w:rsidR="00B06793" w14:paraId="71C837A1" w14:textId="77777777" w:rsidTr="00017D12">
        <w:tc>
          <w:tcPr>
            <w:tcW w:w="562" w:type="pct"/>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0" w:type="dxa"/>
              <w:left w:w="0" w:type="dxa"/>
              <w:bottom w:w="0" w:type="dxa"/>
              <w:right w:w="0" w:type="dxa"/>
            </w:tcMar>
            <w:vAlign w:val="center"/>
            <w:hideMark/>
          </w:tcPr>
          <w:p w14:paraId="670749F6" w14:textId="77777777" w:rsidR="00B06793" w:rsidRDefault="00B06793" w:rsidP="00AE166E">
            <w:pPr>
              <w:tabs>
                <w:tab w:val="left" w:pos="720"/>
                <w:tab w:val="left" w:pos="1080"/>
              </w:tabs>
              <w:spacing w:after="120" w:line="240" w:lineRule="auto"/>
              <w:ind w:left="90"/>
              <w:rPr>
                <w:rFonts w:cs="Calibri"/>
                <w:sz w:val="16"/>
                <w:szCs w:val="16"/>
              </w:rPr>
            </w:pPr>
            <w:r>
              <w:rPr>
                <w:rFonts w:cs="Calibri"/>
                <w:sz w:val="16"/>
                <w:szCs w:val="16"/>
              </w:rPr>
              <w:t>Eggplants</w:t>
            </w:r>
          </w:p>
        </w:tc>
        <w:tc>
          <w:tcPr>
            <w:tcW w:w="558" w:type="pct"/>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0" w:type="dxa"/>
              <w:left w:w="0" w:type="dxa"/>
              <w:bottom w:w="0" w:type="dxa"/>
              <w:right w:w="0" w:type="dxa"/>
            </w:tcMar>
            <w:vAlign w:val="center"/>
            <w:hideMark/>
          </w:tcPr>
          <w:p w14:paraId="1DAD4E6B" w14:textId="77777777" w:rsidR="00B06793" w:rsidRDefault="00B06793" w:rsidP="00AE166E">
            <w:pPr>
              <w:tabs>
                <w:tab w:val="left" w:pos="720"/>
                <w:tab w:val="left" w:pos="1080"/>
              </w:tabs>
              <w:spacing w:after="120" w:line="240" w:lineRule="auto"/>
              <w:ind w:left="90"/>
              <w:rPr>
                <w:rFonts w:cs="Calibri"/>
                <w:sz w:val="16"/>
                <w:szCs w:val="16"/>
              </w:rPr>
            </w:pPr>
            <w:r>
              <w:rPr>
                <w:rFonts w:cs="Calibri"/>
                <w:sz w:val="16"/>
                <w:szCs w:val="16"/>
              </w:rPr>
              <w:t>April</w:t>
            </w:r>
          </w:p>
        </w:tc>
        <w:tc>
          <w:tcPr>
            <w:tcW w:w="986" w:type="pct"/>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0" w:type="dxa"/>
              <w:left w:w="0" w:type="dxa"/>
              <w:bottom w:w="0" w:type="dxa"/>
              <w:right w:w="0" w:type="dxa"/>
            </w:tcMar>
            <w:vAlign w:val="center"/>
            <w:hideMark/>
          </w:tcPr>
          <w:p w14:paraId="1CA60F81" w14:textId="77777777" w:rsidR="00B06793" w:rsidRDefault="00B06793" w:rsidP="00AE166E">
            <w:pPr>
              <w:tabs>
                <w:tab w:val="left" w:pos="720"/>
                <w:tab w:val="left" w:pos="1080"/>
              </w:tabs>
              <w:spacing w:after="120" w:line="240" w:lineRule="auto"/>
              <w:ind w:left="90"/>
              <w:rPr>
                <w:rFonts w:cs="Calibri"/>
                <w:sz w:val="16"/>
                <w:szCs w:val="16"/>
              </w:rPr>
            </w:pPr>
            <w:r>
              <w:rPr>
                <w:rFonts w:cs="Calibri"/>
                <w:sz w:val="16"/>
                <w:szCs w:val="16"/>
              </w:rPr>
              <w:t xml:space="preserve">April – July &amp; September - </w:t>
            </w:r>
            <w:r>
              <w:rPr>
                <w:rFonts w:cs="Calibri"/>
                <w:sz w:val="16"/>
                <w:szCs w:val="16"/>
              </w:rPr>
              <w:br/>
              <w:t>November</w:t>
            </w:r>
          </w:p>
        </w:tc>
        <w:tc>
          <w:tcPr>
            <w:tcW w:w="2368" w:type="pct"/>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0" w:type="dxa"/>
              <w:left w:w="0" w:type="dxa"/>
              <w:bottom w:w="0" w:type="dxa"/>
              <w:right w:w="0" w:type="dxa"/>
            </w:tcMar>
            <w:vAlign w:val="center"/>
            <w:hideMark/>
          </w:tcPr>
          <w:p w14:paraId="29AD76EC" w14:textId="77777777" w:rsidR="00B06793" w:rsidRDefault="00B06793" w:rsidP="00AE166E">
            <w:pPr>
              <w:tabs>
                <w:tab w:val="left" w:pos="720"/>
                <w:tab w:val="left" w:pos="1080"/>
              </w:tabs>
              <w:spacing w:after="120" w:line="240" w:lineRule="auto"/>
              <w:ind w:left="90"/>
              <w:rPr>
                <w:rFonts w:cs="Calibri"/>
                <w:sz w:val="16"/>
                <w:szCs w:val="16"/>
              </w:rPr>
            </w:pPr>
            <w:r>
              <w:rPr>
                <w:rFonts w:cs="Calibri"/>
                <w:sz w:val="16"/>
                <w:szCs w:val="16"/>
              </w:rPr>
              <w:t>Collier (November – March), Manatee, Gadsden, Jackson</w:t>
            </w:r>
          </w:p>
        </w:tc>
        <w:tc>
          <w:tcPr>
            <w:tcW w:w="526" w:type="pct"/>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0" w:type="dxa"/>
              <w:left w:w="0" w:type="dxa"/>
              <w:bottom w:w="0" w:type="dxa"/>
              <w:right w:w="0" w:type="dxa"/>
            </w:tcMar>
            <w:vAlign w:val="center"/>
            <w:hideMark/>
          </w:tcPr>
          <w:p w14:paraId="7EB7F1E7" w14:textId="77777777" w:rsidR="00B06793" w:rsidRDefault="00B06793" w:rsidP="00D63204">
            <w:pPr>
              <w:tabs>
                <w:tab w:val="left" w:pos="720"/>
                <w:tab w:val="left" w:pos="1080"/>
              </w:tabs>
              <w:spacing w:after="120" w:line="240" w:lineRule="auto"/>
              <w:ind w:left="90"/>
              <w:rPr>
                <w:rFonts w:cs="Calibri"/>
                <w:sz w:val="16"/>
                <w:szCs w:val="16"/>
              </w:rPr>
            </w:pPr>
            <w:r>
              <w:rPr>
                <w:rFonts w:cs="Calibri"/>
                <w:sz w:val="16"/>
                <w:szCs w:val="16"/>
              </w:rPr>
              <w:t>500</w:t>
            </w:r>
          </w:p>
        </w:tc>
      </w:tr>
    </w:tbl>
    <w:p w14:paraId="3873D388" w14:textId="77777777" w:rsidR="004A5251" w:rsidRDefault="004A5251" w:rsidP="00AE166E">
      <w:pPr>
        <w:pStyle w:val="Default"/>
        <w:ind w:left="90"/>
        <w:rPr>
          <w:rFonts w:asciiTheme="minorHAnsi" w:hAnsiTheme="minorHAnsi"/>
          <w:sz w:val="22"/>
          <w:szCs w:val="22"/>
        </w:rPr>
      </w:pPr>
    </w:p>
    <w:p w14:paraId="7F8D392D" w14:textId="14285C3A" w:rsidR="00C76B6F" w:rsidRDefault="004A5251" w:rsidP="00D63204">
      <w:pPr>
        <w:pStyle w:val="Default"/>
        <w:ind w:left="90"/>
        <w:rPr>
          <w:rFonts w:ascii="Calibri" w:hAnsi="Calibri" w:cs="Calibri"/>
          <w:sz w:val="22"/>
          <w:szCs w:val="22"/>
        </w:rPr>
      </w:pPr>
      <w:r>
        <w:rPr>
          <w:rFonts w:asciiTheme="minorHAnsi" w:hAnsiTheme="minorHAnsi"/>
          <w:sz w:val="22"/>
          <w:szCs w:val="22"/>
        </w:rPr>
        <w:t xml:space="preserve">Although Florida’s citrus acreage has steadily declined (primarily due to the deadly citrus greening disease), 10,090 acres of new planting were reported in the past year. </w:t>
      </w:r>
      <w:r w:rsidRPr="00FA1E39">
        <w:rPr>
          <w:rFonts w:asciiTheme="minorHAnsi" w:hAnsiTheme="minorHAnsi"/>
          <w:sz w:val="22"/>
          <w:szCs w:val="22"/>
        </w:rPr>
        <w:t xml:space="preserve">Results of the annual Commercial Citrus Inventory show total citrus </w:t>
      </w:r>
      <w:r>
        <w:rPr>
          <w:rFonts w:asciiTheme="minorHAnsi" w:hAnsiTheme="minorHAnsi"/>
          <w:sz w:val="22"/>
          <w:szCs w:val="22"/>
        </w:rPr>
        <w:t>acreage is 480,121 acres, down four</w:t>
      </w:r>
      <w:r w:rsidRPr="00FA1E39">
        <w:rPr>
          <w:rFonts w:asciiTheme="minorHAnsi" w:hAnsiTheme="minorHAnsi"/>
          <w:sz w:val="22"/>
          <w:szCs w:val="22"/>
        </w:rPr>
        <w:t xml:space="preserve"> percent from the last survey and the lowest in a series which began in 1966. The gross loss of 31,365 acres is the largest loss recorded in a single season since beginning </w:t>
      </w:r>
      <w:r w:rsidR="001C7905" w:rsidRPr="00FA1E39">
        <w:rPr>
          <w:rFonts w:asciiTheme="minorHAnsi" w:hAnsiTheme="minorHAnsi"/>
          <w:sz w:val="22"/>
          <w:szCs w:val="22"/>
        </w:rPr>
        <w:t>one-year</w:t>
      </w:r>
      <w:r w:rsidRPr="00FA1E39">
        <w:rPr>
          <w:rFonts w:asciiTheme="minorHAnsi" w:hAnsiTheme="minorHAnsi"/>
          <w:sz w:val="22"/>
          <w:szCs w:val="22"/>
        </w:rPr>
        <w:t xml:space="preserve"> interval surveys in 2009. </w:t>
      </w:r>
      <w:r w:rsidRPr="00FB4721">
        <w:rPr>
          <w:rFonts w:ascii="Calibri" w:hAnsi="Calibri" w:cs="Calibri"/>
          <w:sz w:val="22"/>
          <w:szCs w:val="22"/>
        </w:rPr>
        <w:t>Florida’s climate allows for an earlier blueberry season than the rest of the country, which means during this time the market is available almost exclusively to Florida growers.</w:t>
      </w:r>
    </w:p>
    <w:p w14:paraId="15600845" w14:textId="6AD81AE8" w:rsidR="00AE166E" w:rsidRDefault="004A5251" w:rsidP="00D63204">
      <w:pPr>
        <w:pStyle w:val="Default"/>
        <w:ind w:left="90"/>
        <w:rPr>
          <w:rFonts w:ascii="Calibri" w:hAnsi="Calibri" w:cs="Calibri"/>
          <w:sz w:val="22"/>
          <w:szCs w:val="22"/>
        </w:rPr>
      </w:pPr>
      <w:r>
        <w:rPr>
          <w:rFonts w:ascii="Calibri" w:hAnsi="Calibri" w:cs="Calibri"/>
          <w:sz w:val="22"/>
          <w:szCs w:val="22"/>
        </w:rPr>
        <w:br/>
      </w:r>
      <w:r>
        <w:rPr>
          <w:rFonts w:ascii="Calibri" w:hAnsi="Calibri" w:cs="Calibri"/>
          <w:sz w:val="22"/>
          <w:szCs w:val="22"/>
        </w:rPr>
        <w:br/>
      </w:r>
    </w:p>
    <w:p w14:paraId="2E012903" w14:textId="77777777" w:rsidR="00AE166E" w:rsidRDefault="00AE166E" w:rsidP="00AE166E">
      <w:pPr>
        <w:pStyle w:val="Default"/>
        <w:ind w:left="90"/>
        <w:rPr>
          <w:rFonts w:ascii="Calibri" w:hAnsi="Calibri" w:cs="Calibri"/>
          <w:sz w:val="22"/>
          <w:szCs w:val="22"/>
        </w:rPr>
      </w:pPr>
    </w:p>
    <w:p w14:paraId="70826470" w14:textId="77777777" w:rsidR="00AE166E" w:rsidRDefault="00AE166E" w:rsidP="00AE166E">
      <w:pPr>
        <w:pStyle w:val="Default"/>
        <w:ind w:left="90"/>
        <w:rPr>
          <w:rFonts w:ascii="Calibri" w:hAnsi="Calibri" w:cs="Calibri"/>
          <w:sz w:val="22"/>
          <w:szCs w:val="22"/>
        </w:rPr>
      </w:pPr>
    </w:p>
    <w:p w14:paraId="3F2CA790" w14:textId="4D5FFD67" w:rsidR="004A5251" w:rsidRDefault="004A5251" w:rsidP="00D63204">
      <w:pPr>
        <w:pStyle w:val="Default"/>
        <w:ind w:left="90"/>
        <w:rPr>
          <w:rFonts w:asciiTheme="minorHAnsi" w:hAnsiTheme="minorHAnsi"/>
          <w:sz w:val="22"/>
          <w:szCs w:val="22"/>
        </w:rPr>
      </w:pPr>
      <w:r w:rsidRPr="00AE166E">
        <w:rPr>
          <w:rFonts w:asciiTheme="minorHAnsi" w:hAnsiTheme="minorHAnsi"/>
          <w:sz w:val="22"/>
          <w:szCs w:val="22"/>
        </w:rPr>
        <w:t>The following breakdown illustrates Florida’s top major labor-intensive crop activity during the 2015-2016 season, per data gathered internally from local career centers and from external partner agencies.</w:t>
      </w:r>
      <w:r w:rsidR="00AE166E">
        <w:rPr>
          <w:rFonts w:asciiTheme="minorHAnsi" w:hAnsiTheme="minorHAnsi"/>
          <w:sz w:val="22"/>
          <w:szCs w:val="22"/>
        </w:rPr>
        <w:t xml:space="preserve"> </w:t>
      </w:r>
      <w:r w:rsidRPr="00AE166E">
        <w:rPr>
          <w:rFonts w:asciiTheme="minorHAnsi" w:hAnsiTheme="minorHAnsi"/>
          <w:sz w:val="22"/>
          <w:szCs w:val="22"/>
        </w:rPr>
        <w:t>According to the 2012 Census of Agriculture, Florida has the second largest nursery industry in the country, after California</w:t>
      </w:r>
      <w:r w:rsidR="005E7C49">
        <w:rPr>
          <w:rFonts w:asciiTheme="minorHAnsi" w:hAnsiTheme="minorHAnsi"/>
          <w:sz w:val="22"/>
          <w:szCs w:val="22"/>
        </w:rPr>
        <w:t xml:space="preserve">. </w:t>
      </w:r>
    </w:p>
    <w:p w14:paraId="0A6F61A1" w14:textId="77777777" w:rsidR="00AE166E" w:rsidRPr="00AE166E" w:rsidRDefault="00AE166E" w:rsidP="00D63204">
      <w:pPr>
        <w:pStyle w:val="Default"/>
        <w:ind w:left="90"/>
        <w:rPr>
          <w:rFonts w:asciiTheme="minorHAnsi" w:hAnsiTheme="minorHAnsi"/>
          <w:sz w:val="22"/>
          <w:szCs w:val="22"/>
        </w:rPr>
      </w:pPr>
    </w:p>
    <w:p w14:paraId="0E1915AC" w14:textId="007D2A58" w:rsidR="004A5251" w:rsidRPr="00AE166E" w:rsidRDefault="00DD7DDE" w:rsidP="00D63204">
      <w:pPr>
        <w:widowControl w:val="0"/>
        <w:tabs>
          <w:tab w:val="left" w:pos="1998"/>
        </w:tabs>
        <w:spacing w:line="240" w:lineRule="auto"/>
        <w:ind w:left="90"/>
        <w:rPr>
          <w:rFonts w:ascii="Calibri" w:hAnsi="Calibri" w:cs="Calibri"/>
        </w:rPr>
      </w:pPr>
      <w:r w:rsidRPr="00AE166E">
        <w:rPr>
          <w:rFonts w:cs="Arial"/>
          <w:lang w:val="en"/>
        </w:rPr>
        <w:t>A</w:t>
      </w:r>
      <w:r w:rsidR="004A5251" w:rsidRPr="00AE166E">
        <w:rPr>
          <w:rFonts w:ascii="Calibri" w:hAnsi="Calibri" w:cs="Calibri"/>
        </w:rPr>
        <w:t xml:space="preserve">n estimated 100,000 farmworkers </w:t>
      </w:r>
      <w:r w:rsidRPr="00AE166E">
        <w:rPr>
          <w:rFonts w:ascii="Calibri" w:hAnsi="Calibri" w:cs="Calibri"/>
        </w:rPr>
        <w:t xml:space="preserve">are </w:t>
      </w:r>
      <w:r w:rsidR="004A5251" w:rsidRPr="00AE166E">
        <w:rPr>
          <w:rFonts w:ascii="Calibri" w:hAnsi="Calibri" w:cs="Calibri"/>
        </w:rPr>
        <w:t xml:space="preserve">employed in plant nurseries and ferneries throughout the state. </w:t>
      </w:r>
      <w:r w:rsidR="00366711">
        <w:rPr>
          <w:rFonts w:ascii="Calibri" w:hAnsi="Calibri" w:cs="Calibri"/>
        </w:rPr>
        <w:t>A</w:t>
      </w:r>
      <w:r w:rsidR="004A5251" w:rsidRPr="00AE166E">
        <w:rPr>
          <w:rFonts w:ascii="Calibri" w:hAnsi="Calibri" w:cs="Calibri"/>
        </w:rPr>
        <w:t>n estimated 2,000 or more farmworkers are employed in sod farming for commercial sale</w:t>
      </w:r>
      <w:r w:rsidR="005E7C49">
        <w:rPr>
          <w:rFonts w:ascii="Calibri" w:hAnsi="Calibri" w:cs="Calibri"/>
        </w:rPr>
        <w:t xml:space="preserve">. </w:t>
      </w:r>
      <w:r w:rsidR="004A5251" w:rsidRPr="00AE166E">
        <w:rPr>
          <w:rFonts w:ascii="Calibri" w:hAnsi="Calibri" w:cs="Calibri"/>
        </w:rPr>
        <w:t xml:space="preserve">According to the Florida Department of Agriculture and Consumer Services’ 2015 Florida Agriculture by the Numbers, the </w:t>
      </w:r>
      <w:r w:rsidR="00F50664">
        <w:rPr>
          <w:rFonts w:ascii="Calibri" w:hAnsi="Calibri" w:cs="Calibri"/>
        </w:rPr>
        <w:t>s</w:t>
      </w:r>
      <w:r w:rsidR="004A5251" w:rsidRPr="00AE166E">
        <w:rPr>
          <w:rFonts w:ascii="Calibri" w:hAnsi="Calibri" w:cs="Calibri"/>
        </w:rPr>
        <w:t xml:space="preserve">tate’s expanded wholesale value of floriculture crops increased $107 million over 2014 totals, surpassing the $1 billion marks for the first time in </w:t>
      </w:r>
      <w:r w:rsidR="00F50664">
        <w:rPr>
          <w:rFonts w:ascii="Calibri" w:hAnsi="Calibri" w:cs="Calibri"/>
        </w:rPr>
        <w:t>ten</w:t>
      </w:r>
      <w:r w:rsidR="004A5251" w:rsidRPr="00AE166E">
        <w:rPr>
          <w:rFonts w:ascii="Calibri" w:hAnsi="Calibri" w:cs="Calibri"/>
        </w:rPr>
        <w:t xml:space="preserve"> years. Total greenhouse and nursery cash value sales of $1,039,411. </w:t>
      </w:r>
    </w:p>
    <w:p w14:paraId="73612E83" w14:textId="30ABEA60" w:rsidR="004A5251" w:rsidRPr="00AE166E" w:rsidRDefault="004A5251" w:rsidP="00D63204">
      <w:pPr>
        <w:pStyle w:val="CommentText"/>
        <w:ind w:left="90"/>
        <w:rPr>
          <w:rStyle w:val="CommentReference"/>
          <w:sz w:val="22"/>
          <w:szCs w:val="22"/>
        </w:rPr>
      </w:pPr>
      <w:r w:rsidRPr="00AE166E">
        <w:rPr>
          <w:rStyle w:val="CommentReference"/>
          <w:sz w:val="22"/>
          <w:szCs w:val="22"/>
        </w:rPr>
        <w:t>During the months of January through March 2016, heavy rains delayed harvest schedules in several parts of Florida. Northern Florida fields were too wet for soil preparation during the middle portion of February 2016. Heavy rains and cool weather impacted vegetable crops with yields and quality severely impacted resulting in little product market movement in South Florida. Wet weather conditions caused disease pressure on strawberries and small grains in the Florida panhandle</w:t>
      </w:r>
      <w:r w:rsidR="005E7C49">
        <w:rPr>
          <w:rStyle w:val="CommentReference"/>
          <w:sz w:val="22"/>
          <w:szCs w:val="22"/>
        </w:rPr>
        <w:t xml:space="preserve">. </w:t>
      </w:r>
      <w:r w:rsidRPr="00AE166E">
        <w:rPr>
          <w:rStyle w:val="CommentReference"/>
          <w:sz w:val="22"/>
          <w:szCs w:val="22"/>
        </w:rPr>
        <w:t>Wet conditions prevented corn harvesting in Jackson and Okaloosa counties</w:t>
      </w:r>
      <w:r w:rsidR="00D5537E">
        <w:rPr>
          <w:rStyle w:val="CommentReference"/>
          <w:sz w:val="22"/>
          <w:szCs w:val="22"/>
        </w:rPr>
        <w:t xml:space="preserve"> and</w:t>
      </w:r>
      <w:r w:rsidRPr="00AE166E">
        <w:rPr>
          <w:rStyle w:val="CommentReference"/>
          <w:sz w:val="22"/>
          <w:szCs w:val="22"/>
        </w:rPr>
        <w:t xml:space="preserve"> hay cutting in Jackson County during the month of August 2016. In September 2016, Hurricane Hermine brought rainfall to almost all areas. Many fields were water saturated and at risk for disease and rotting. In October 2016, several counties along the Atlantic Coast, as well as in the southern and central portion of Florida reported flooding and damages to various fruit and vegetable crops. Due to Hurricane Mathew, leafy greens and cabbage plantings in north Florida were delayed. </w:t>
      </w:r>
    </w:p>
    <w:p w14:paraId="6AF2313A" w14:textId="4E4B41C9" w:rsidR="004A5251" w:rsidRPr="00AE166E" w:rsidRDefault="004A5251" w:rsidP="00D63204">
      <w:pPr>
        <w:widowControl w:val="0"/>
        <w:tabs>
          <w:tab w:val="left" w:pos="1998"/>
        </w:tabs>
        <w:spacing w:before="195" w:after="0" w:line="240" w:lineRule="auto"/>
        <w:ind w:left="90"/>
        <w:rPr>
          <w:rStyle w:val="CommentReference"/>
          <w:sz w:val="22"/>
          <w:szCs w:val="22"/>
        </w:rPr>
      </w:pPr>
      <w:r w:rsidRPr="00AE166E">
        <w:rPr>
          <w:rStyle w:val="CommentReference"/>
          <w:sz w:val="22"/>
          <w:szCs w:val="22"/>
        </w:rPr>
        <w:t>In September 2017, Hurricane Irma made landfall in Florida as one of the strongest hurricanes to make direct landfall in the United States</w:t>
      </w:r>
      <w:r w:rsidR="005E7C49">
        <w:rPr>
          <w:rStyle w:val="CommentReference"/>
          <w:sz w:val="22"/>
          <w:szCs w:val="22"/>
        </w:rPr>
        <w:t xml:space="preserve">. </w:t>
      </w:r>
      <w:r w:rsidRPr="00AE166E">
        <w:rPr>
          <w:rStyle w:val="CommentReference"/>
          <w:sz w:val="22"/>
          <w:szCs w:val="22"/>
        </w:rPr>
        <w:t>According to the Florida Department of Agriculture and Consumer Services’ initial report assessing the preliminary damages caused by Hurricane Irma, the hurricane’s path coincided with some of Florida’s most productive agricultural landscapes</w:t>
      </w:r>
      <w:r w:rsidR="00D5537E">
        <w:rPr>
          <w:rStyle w:val="CommentReference"/>
          <w:sz w:val="22"/>
          <w:szCs w:val="22"/>
        </w:rPr>
        <w:t xml:space="preserve"> and</w:t>
      </w:r>
      <w:r w:rsidRPr="00AE166E">
        <w:rPr>
          <w:rStyle w:val="CommentReference"/>
          <w:sz w:val="22"/>
          <w:szCs w:val="22"/>
        </w:rPr>
        <w:t xml:space="preserve"> consequently caused major losses to all segments of production agriculture</w:t>
      </w:r>
      <w:r w:rsidR="005E7C49">
        <w:rPr>
          <w:rStyle w:val="CommentReference"/>
          <w:sz w:val="22"/>
          <w:szCs w:val="22"/>
        </w:rPr>
        <w:t xml:space="preserve">. </w:t>
      </w:r>
      <w:r w:rsidRPr="00AE166E">
        <w:rPr>
          <w:rStyle w:val="CommentReference"/>
          <w:sz w:val="22"/>
          <w:szCs w:val="22"/>
        </w:rPr>
        <w:t xml:space="preserve">While long-term impacts are still being assessed, as of October 2017, total crop losses were estimated at just over $2 billion and total losses to production agriculture were estimated at just over $2.5 billion. </w:t>
      </w:r>
    </w:p>
    <w:p w14:paraId="65EC8B5B" w14:textId="5FDEDC5F" w:rsidR="004A5251" w:rsidRPr="00AE166E" w:rsidRDefault="00BA4790" w:rsidP="00D63204">
      <w:pPr>
        <w:pStyle w:val="ListParagraph"/>
        <w:widowControl w:val="0"/>
        <w:numPr>
          <w:ilvl w:val="1"/>
          <w:numId w:val="2"/>
        </w:numPr>
        <w:spacing w:before="195" w:after="0" w:line="240" w:lineRule="auto"/>
        <w:rPr>
          <w:rFonts w:ascii="Calibri" w:hAnsi="Calibri" w:cs="Calibri"/>
          <w:b/>
          <w:color w:val="365F91" w:themeColor="accent1" w:themeShade="BF"/>
        </w:rPr>
      </w:pPr>
      <w:r w:rsidRPr="00AE166E">
        <w:rPr>
          <w:rFonts w:ascii="Calibri" w:hAnsi="Calibri" w:cs="Calibri"/>
          <w:color w:val="365F91" w:themeColor="accent1" w:themeShade="BF"/>
        </w:rPr>
        <w:t xml:space="preserve">Assessment of the Unique Needs of </w:t>
      </w:r>
      <w:r w:rsidR="009F0C2A" w:rsidRPr="00AE166E">
        <w:rPr>
          <w:rFonts w:ascii="Calibri" w:hAnsi="Calibri" w:cs="Calibri"/>
          <w:color w:val="365F91" w:themeColor="accent1" w:themeShade="BF"/>
        </w:rPr>
        <w:t>Farmworkers</w:t>
      </w:r>
      <w:r w:rsidR="009F0C2A" w:rsidRPr="00AE166E">
        <w:rPr>
          <w:rFonts w:ascii="Calibri" w:hAnsi="Calibri" w:cs="Calibri"/>
          <w:b/>
          <w:color w:val="365F91" w:themeColor="accent1" w:themeShade="BF"/>
        </w:rPr>
        <w:t xml:space="preserve"> </w:t>
      </w:r>
    </w:p>
    <w:p w14:paraId="34A40D65" w14:textId="0A6B6426" w:rsidR="004A5251" w:rsidRPr="00AE166E" w:rsidRDefault="004A5251" w:rsidP="00D63204">
      <w:pPr>
        <w:widowControl w:val="0"/>
        <w:tabs>
          <w:tab w:val="left" w:pos="1998"/>
        </w:tabs>
        <w:spacing w:before="195" w:after="0" w:line="240" w:lineRule="auto"/>
        <w:ind w:left="90"/>
        <w:rPr>
          <w:rFonts w:ascii="Calibri" w:hAnsi="Calibri" w:cs="Calibri"/>
        </w:rPr>
      </w:pPr>
      <w:r w:rsidRPr="00AE166E">
        <w:rPr>
          <w:rFonts w:ascii="Calibri" w:hAnsi="Calibri" w:cs="Calibri"/>
        </w:rPr>
        <w:t xml:space="preserve">Based on local MSFW-related data and reports, there were an estimated 114,531 MSFWs in Florida during Program Year (PY) 2016. During the low season, this number may drop to </w:t>
      </w:r>
      <w:r w:rsidR="00A55E64">
        <w:rPr>
          <w:rFonts w:ascii="Calibri" w:hAnsi="Calibri" w:cs="Calibri"/>
        </w:rPr>
        <w:t>fewer</w:t>
      </w:r>
      <w:r w:rsidRPr="00AE166E">
        <w:rPr>
          <w:rFonts w:ascii="Calibri" w:hAnsi="Calibri" w:cs="Calibri"/>
        </w:rPr>
        <w:t xml:space="preserve"> than 100,000. </w:t>
      </w:r>
    </w:p>
    <w:p w14:paraId="67F48E46" w14:textId="217CFF50" w:rsidR="004A5251" w:rsidRPr="00AE166E" w:rsidRDefault="004A5251" w:rsidP="00D63204">
      <w:pPr>
        <w:widowControl w:val="0"/>
        <w:tabs>
          <w:tab w:val="left" w:pos="1998"/>
        </w:tabs>
        <w:spacing w:before="195" w:after="0" w:line="240" w:lineRule="auto"/>
        <w:ind w:left="90"/>
        <w:rPr>
          <w:rFonts w:ascii="Calibri" w:hAnsi="Calibri" w:cs="Calibri"/>
        </w:rPr>
      </w:pPr>
      <w:r w:rsidRPr="00AE166E">
        <w:rPr>
          <w:rFonts w:ascii="Calibri" w:hAnsi="Calibri" w:cs="Calibri"/>
        </w:rPr>
        <w:t>Farmworkers need affordable housing that is not substandard, access to public transportation, health insurance coverage and safer working conditions</w:t>
      </w:r>
      <w:r w:rsidR="00B4168F">
        <w:rPr>
          <w:rFonts w:ascii="Calibri" w:hAnsi="Calibri" w:cs="Calibri"/>
        </w:rPr>
        <w:t xml:space="preserve">. </w:t>
      </w:r>
    </w:p>
    <w:p w14:paraId="0E02AFA8" w14:textId="504A9819" w:rsidR="004A5251" w:rsidRPr="00AE166E" w:rsidRDefault="004A5251" w:rsidP="00D63204">
      <w:pPr>
        <w:widowControl w:val="0"/>
        <w:tabs>
          <w:tab w:val="left" w:pos="1998"/>
        </w:tabs>
        <w:spacing w:before="195" w:after="0" w:line="240" w:lineRule="auto"/>
        <w:ind w:left="90"/>
        <w:rPr>
          <w:rFonts w:ascii="Calibri" w:hAnsi="Calibri" w:cs="Calibri"/>
        </w:rPr>
      </w:pPr>
      <w:r w:rsidRPr="00AE166E">
        <w:rPr>
          <w:rFonts w:ascii="Calibri" w:hAnsi="Calibri" w:cs="Calibri"/>
        </w:rPr>
        <w:t>As of December 2017, South Florida is still experiencing some impacts post-Hurricane Irma, though the area is slowly recovering</w:t>
      </w:r>
      <w:r w:rsidR="005E7C49">
        <w:rPr>
          <w:rFonts w:ascii="Calibri" w:hAnsi="Calibri" w:cs="Calibri"/>
        </w:rPr>
        <w:t xml:space="preserve">. </w:t>
      </w:r>
      <w:r w:rsidRPr="00AE166E">
        <w:rPr>
          <w:rFonts w:ascii="Calibri" w:hAnsi="Calibri" w:cs="Calibri"/>
        </w:rPr>
        <w:t xml:space="preserve">Recruitment for several new packing houses has started, which will provide MSFWs with employment opportunities. Hurricane Irma’s impact on the citrus crop, caused many MSFWs to migrate to Polk County in search of employment opportunities. </w:t>
      </w:r>
    </w:p>
    <w:p w14:paraId="6898A14F" w14:textId="442470BC" w:rsidR="00581BF0" w:rsidRPr="00621F2D" w:rsidRDefault="00BA4790" w:rsidP="00D63204">
      <w:pPr>
        <w:pStyle w:val="ListParagraph"/>
        <w:widowControl w:val="0"/>
        <w:numPr>
          <w:ilvl w:val="1"/>
          <w:numId w:val="3"/>
        </w:numPr>
        <w:spacing w:before="121" w:after="0" w:line="240" w:lineRule="auto"/>
        <w:rPr>
          <w:rFonts w:ascii="Calibri" w:hAnsi="Calibri" w:cs="Calibri"/>
          <w:b/>
        </w:rPr>
      </w:pPr>
      <w:r w:rsidRPr="00621F2D">
        <w:rPr>
          <w:rFonts w:ascii="Calibri" w:hAnsi="Calibri" w:cs="Calibri"/>
          <w:b/>
          <w:color w:val="365F91" w:themeColor="accent1" w:themeShade="BF"/>
        </w:rPr>
        <w:t>Outreach Activities</w:t>
      </w:r>
    </w:p>
    <w:p w14:paraId="4505AB92" w14:textId="77777777" w:rsidR="00581BF0" w:rsidRPr="00581BF0" w:rsidRDefault="00581BF0" w:rsidP="00D63204">
      <w:pPr>
        <w:pStyle w:val="ListParagraph"/>
        <w:widowControl w:val="0"/>
        <w:spacing w:before="121" w:after="0" w:line="240" w:lineRule="auto"/>
        <w:ind w:left="1098"/>
        <w:rPr>
          <w:rFonts w:ascii="Calibri" w:hAnsi="Calibri" w:cs="Calibri"/>
        </w:rPr>
      </w:pPr>
    </w:p>
    <w:p w14:paraId="48AAFE4E" w14:textId="344BE500" w:rsidR="00EA7458" w:rsidRPr="00581BF0" w:rsidRDefault="00BA4790" w:rsidP="00D63204">
      <w:pPr>
        <w:pStyle w:val="ListParagraph"/>
        <w:widowControl w:val="0"/>
        <w:numPr>
          <w:ilvl w:val="0"/>
          <w:numId w:val="43"/>
        </w:numPr>
        <w:tabs>
          <w:tab w:val="left" w:pos="1998"/>
        </w:tabs>
        <w:spacing w:before="121" w:after="0" w:line="240" w:lineRule="auto"/>
        <w:rPr>
          <w:rFonts w:ascii="Calibri" w:hAnsi="Calibri" w:cs="Calibri"/>
        </w:rPr>
      </w:pPr>
      <w:r w:rsidRPr="00581BF0">
        <w:rPr>
          <w:rFonts w:ascii="Calibri" w:hAnsi="Calibri"/>
          <w:color w:val="295CA3"/>
          <w:w w:val="105"/>
        </w:rPr>
        <w:t>Farmworkers Not Being Reached by Normal Intake Activities</w:t>
      </w:r>
    </w:p>
    <w:p w14:paraId="75248BA2" w14:textId="45C087A1" w:rsidR="00581BF0" w:rsidRDefault="004A5251" w:rsidP="00D63204">
      <w:pPr>
        <w:widowControl w:val="0"/>
        <w:tabs>
          <w:tab w:val="left" w:pos="1998"/>
        </w:tabs>
        <w:spacing w:before="121" w:after="0" w:line="240" w:lineRule="auto"/>
        <w:ind w:left="90"/>
        <w:rPr>
          <w:rFonts w:ascii="Calibri" w:hAnsi="Calibri" w:cs="Calibri"/>
        </w:rPr>
      </w:pPr>
      <w:r w:rsidRPr="004A5251">
        <w:rPr>
          <w:rFonts w:ascii="Calibri" w:hAnsi="Calibri" w:cs="Calibri"/>
        </w:rPr>
        <w:t>All career centers have an obligation to locate and contact MSFWs who are not being reached by normal intake activities conducted by career centers</w:t>
      </w:r>
      <w:r w:rsidR="005E7C49">
        <w:rPr>
          <w:rFonts w:ascii="Calibri" w:hAnsi="Calibri" w:cs="Calibri"/>
        </w:rPr>
        <w:t xml:space="preserve">. </w:t>
      </w:r>
      <w:r w:rsidRPr="004A5251">
        <w:rPr>
          <w:rFonts w:ascii="Calibri" w:hAnsi="Calibri" w:cs="Calibri"/>
        </w:rPr>
        <w:t>Outreach is not limited to those offices designated as significant MSFW career centers or significant multilingual MSFW career centers</w:t>
      </w:r>
      <w:r w:rsidR="005E7C49">
        <w:rPr>
          <w:rFonts w:ascii="Calibri" w:hAnsi="Calibri" w:cs="Calibri"/>
        </w:rPr>
        <w:t xml:space="preserve">. </w:t>
      </w:r>
      <w:r w:rsidRPr="004A5251">
        <w:rPr>
          <w:rFonts w:ascii="Calibri" w:hAnsi="Calibri" w:cs="Calibri"/>
        </w:rPr>
        <w:t>Significant MSFW career centers are those centers</w:t>
      </w:r>
      <w:r w:rsidR="00C57FE2">
        <w:rPr>
          <w:rFonts w:ascii="Calibri" w:hAnsi="Calibri" w:cs="Calibri"/>
        </w:rPr>
        <w:t xml:space="preserve"> </w:t>
      </w:r>
      <w:r w:rsidRPr="004A5251">
        <w:rPr>
          <w:rFonts w:ascii="Calibri" w:hAnsi="Calibri" w:cs="Calibri"/>
        </w:rPr>
        <w:lastRenderedPageBreak/>
        <w:t>where MSFWs account for 10 percent or more of annual participants in employment service activities</w:t>
      </w:r>
      <w:r w:rsidR="005E7C49">
        <w:rPr>
          <w:rFonts w:ascii="Calibri" w:hAnsi="Calibri" w:cs="Calibri"/>
        </w:rPr>
        <w:t xml:space="preserve">. </w:t>
      </w:r>
    </w:p>
    <w:p w14:paraId="36B7277F" w14:textId="38279EDA" w:rsidR="00581BF0" w:rsidRDefault="004A5251" w:rsidP="00D63204">
      <w:pPr>
        <w:widowControl w:val="0"/>
        <w:tabs>
          <w:tab w:val="left" w:pos="1998"/>
        </w:tabs>
        <w:spacing w:before="121" w:after="0" w:line="240" w:lineRule="auto"/>
        <w:ind w:left="90"/>
        <w:rPr>
          <w:rFonts w:ascii="Calibri" w:hAnsi="Calibri" w:cs="Calibri"/>
        </w:rPr>
      </w:pPr>
      <w:r w:rsidRPr="004A5251">
        <w:rPr>
          <w:rFonts w:ascii="Calibri" w:hAnsi="Calibri" w:cs="Calibri"/>
        </w:rPr>
        <w:t>Significant multilingual MSFW career centers are centers where 10 percent or more of the MSFW participants are estimated to require service provision in a language(s) other than English. Florida has ten career centers designated as significant multilingual MSFW career centers (referred to as “significant offices”) located in Winter Haven, Bradenton, Tampa, Sebring, Wauchula, Port Saint Lucie, Belle Glade, Homestead, Immokalee</w:t>
      </w:r>
      <w:r w:rsidR="00D5537E">
        <w:rPr>
          <w:rFonts w:ascii="Calibri" w:hAnsi="Calibri" w:cs="Calibri"/>
        </w:rPr>
        <w:t xml:space="preserve"> and</w:t>
      </w:r>
      <w:r w:rsidRPr="004A5251">
        <w:rPr>
          <w:rFonts w:ascii="Calibri" w:hAnsi="Calibri" w:cs="Calibri"/>
        </w:rPr>
        <w:t xml:space="preserve"> Clewiston</w:t>
      </w:r>
      <w:r w:rsidR="005E7C49">
        <w:rPr>
          <w:rFonts w:ascii="Calibri" w:hAnsi="Calibri" w:cs="Calibri"/>
        </w:rPr>
        <w:t xml:space="preserve">. </w:t>
      </w:r>
      <w:r w:rsidRPr="004A5251">
        <w:rPr>
          <w:rFonts w:ascii="Calibri" w:hAnsi="Calibri" w:cs="Calibri"/>
        </w:rPr>
        <w:t>Each significant office has at least one full-time, year-round outreach worker assigned to conduct outreach duties</w:t>
      </w:r>
      <w:r w:rsidR="005E7C49">
        <w:rPr>
          <w:rFonts w:ascii="Calibri" w:hAnsi="Calibri" w:cs="Calibri"/>
        </w:rPr>
        <w:t xml:space="preserve">. </w:t>
      </w:r>
      <w:r w:rsidRPr="004A5251">
        <w:rPr>
          <w:rFonts w:ascii="Calibri" w:hAnsi="Calibri" w:cs="Calibri"/>
        </w:rPr>
        <w:t>State merit staff performing outreach are bilingual and whenever possible, have a MSFW background or are members of a minority group representative of the MSFW population.</w:t>
      </w:r>
    </w:p>
    <w:p w14:paraId="09A7713E" w14:textId="77777777" w:rsidR="00581BF0" w:rsidRDefault="00581BF0" w:rsidP="00D63204">
      <w:pPr>
        <w:widowControl w:val="0"/>
        <w:tabs>
          <w:tab w:val="left" w:pos="1998"/>
        </w:tabs>
        <w:spacing w:after="0" w:line="240" w:lineRule="auto"/>
        <w:ind w:left="90"/>
        <w:rPr>
          <w:rFonts w:ascii="Calibri" w:hAnsi="Calibri" w:cs="Calibri"/>
        </w:rPr>
      </w:pPr>
    </w:p>
    <w:p w14:paraId="5CD187AB" w14:textId="77777777" w:rsidR="00581BF0" w:rsidRDefault="004A5251" w:rsidP="00D63204">
      <w:pPr>
        <w:widowControl w:val="0"/>
        <w:tabs>
          <w:tab w:val="left" w:pos="1998"/>
        </w:tabs>
        <w:spacing w:after="0" w:line="240" w:lineRule="auto"/>
        <w:ind w:left="90"/>
        <w:rPr>
          <w:rFonts w:ascii="Calibri" w:hAnsi="Calibri" w:cs="Calibri"/>
        </w:rPr>
      </w:pPr>
      <w:r w:rsidRPr="004A5251">
        <w:rPr>
          <w:rFonts w:ascii="Calibri" w:hAnsi="Calibri" w:cs="Calibri"/>
        </w:rPr>
        <w:t xml:space="preserve">Outreach to the MSFW community is accomplished through personal contacts, printed material, the media, community involvement and cooperative ventures with private and public agencies. Outreach workers make personal contacts with MSFWs daily to explain services available through one-stop career centers and other agencies, including the availability of referrals to employment, training and supportive services; information on specific employment opportunities currently available, such as H-2A jobs and other low-skilled jobs; a summary of farmworker rights; and information on the Employment Service and Employment-Related Law Complaint System, including the Florida Farmworker Helpline. </w:t>
      </w:r>
    </w:p>
    <w:p w14:paraId="2C12DC16" w14:textId="77777777" w:rsidR="00581BF0" w:rsidRDefault="00581BF0" w:rsidP="00D63204">
      <w:pPr>
        <w:widowControl w:val="0"/>
        <w:tabs>
          <w:tab w:val="left" w:pos="1998"/>
        </w:tabs>
        <w:spacing w:after="0" w:line="240" w:lineRule="auto"/>
        <w:ind w:left="90"/>
        <w:rPr>
          <w:rFonts w:ascii="Calibri" w:hAnsi="Calibri" w:cs="Calibri"/>
        </w:rPr>
      </w:pPr>
    </w:p>
    <w:p w14:paraId="54080C8E" w14:textId="726B40B1" w:rsidR="00581BF0" w:rsidRDefault="004A5251" w:rsidP="00D63204">
      <w:pPr>
        <w:widowControl w:val="0"/>
        <w:tabs>
          <w:tab w:val="left" w:pos="1998"/>
        </w:tabs>
        <w:spacing w:after="0" w:line="240" w:lineRule="auto"/>
        <w:ind w:left="90"/>
        <w:rPr>
          <w:rFonts w:ascii="Calibri" w:hAnsi="Calibri" w:cs="Calibri"/>
        </w:rPr>
      </w:pPr>
      <w:r w:rsidRPr="004A5251">
        <w:rPr>
          <w:rFonts w:ascii="Calibri" w:hAnsi="Calibri" w:cs="Calibri"/>
        </w:rPr>
        <w:t>When an MSFW seeks services at a career center, or is contacted through outreach, the services available through the career center must be explained and provided in writing</w:t>
      </w:r>
      <w:r w:rsidR="005E7C49">
        <w:rPr>
          <w:rFonts w:ascii="Calibri" w:hAnsi="Calibri" w:cs="Calibri"/>
        </w:rPr>
        <w:t xml:space="preserve">. </w:t>
      </w:r>
      <w:r w:rsidRPr="004A5251">
        <w:rPr>
          <w:rFonts w:ascii="Calibri" w:hAnsi="Calibri" w:cs="Calibri"/>
        </w:rPr>
        <w:t xml:space="preserve">To accomplish this, all MSFWs must be provided a copy of the Notice to </w:t>
      </w:r>
      <w:r w:rsidR="00B30B2D">
        <w:rPr>
          <w:rFonts w:ascii="Calibri" w:hAnsi="Calibri" w:cs="Calibri"/>
        </w:rPr>
        <w:t>Job</w:t>
      </w:r>
      <w:r w:rsidR="007F14D7">
        <w:rPr>
          <w:rFonts w:ascii="Calibri" w:hAnsi="Calibri" w:cs="Calibri"/>
        </w:rPr>
        <w:t xml:space="preserve"> S</w:t>
      </w:r>
      <w:r w:rsidRPr="004A5251">
        <w:rPr>
          <w:rFonts w:ascii="Calibri" w:hAnsi="Calibri" w:cs="Calibri"/>
        </w:rPr>
        <w:t xml:space="preserve">eekers (Form DEO-511N) in their native language (available in English, Spanish and Creole). </w:t>
      </w:r>
      <w:r w:rsidR="00366711">
        <w:rPr>
          <w:rFonts w:ascii="Calibri" w:hAnsi="Calibri" w:cs="Calibri"/>
        </w:rPr>
        <w:t>T</w:t>
      </w:r>
      <w:r w:rsidRPr="004A5251">
        <w:rPr>
          <w:rFonts w:ascii="Calibri" w:hAnsi="Calibri" w:cs="Calibri"/>
        </w:rPr>
        <w:t>he form contains information on DEO’s toll-free Farmworker Helpline for farmworkers who may want to file a complaint, report an apparent violation or obtain employment service information. Additional materials provided during outreach include a brochure outlining basic farmworker rights and other materials from partner agencies describing available services. MSFWs are given the location of and encouraged to visit their local career center to obtain a complete range of employment and training services. The DEO-511N form includes the locations of all significant offices in Florida.</w:t>
      </w:r>
    </w:p>
    <w:p w14:paraId="0A8F5A31" w14:textId="77777777" w:rsidR="00581BF0" w:rsidRDefault="00581BF0" w:rsidP="00D63204">
      <w:pPr>
        <w:widowControl w:val="0"/>
        <w:tabs>
          <w:tab w:val="left" w:pos="1998"/>
        </w:tabs>
        <w:spacing w:after="0" w:line="240" w:lineRule="auto"/>
        <w:ind w:left="90"/>
        <w:rPr>
          <w:rFonts w:ascii="Calibri" w:hAnsi="Calibri" w:cs="Calibri"/>
        </w:rPr>
      </w:pPr>
    </w:p>
    <w:p w14:paraId="2B099631" w14:textId="3C20A13B" w:rsidR="00581BF0" w:rsidRDefault="004A5251" w:rsidP="00D63204">
      <w:pPr>
        <w:widowControl w:val="0"/>
        <w:tabs>
          <w:tab w:val="left" w:pos="1998"/>
        </w:tabs>
        <w:spacing w:after="0" w:line="240" w:lineRule="auto"/>
        <w:ind w:left="90"/>
        <w:rPr>
          <w:rFonts w:ascii="Calibri" w:hAnsi="Calibri" w:cs="Calibri"/>
        </w:rPr>
      </w:pPr>
      <w:r w:rsidRPr="004A5251">
        <w:rPr>
          <w:rFonts w:ascii="Calibri" w:hAnsi="Calibri" w:cs="Calibri"/>
        </w:rPr>
        <w:t>To contact the maximum number of MSFWs, outreach workers visit sites where farmworkers live, work and gather, including day-haul sites, mass recruitments and orientations at farms, migrant health clinics</w:t>
      </w:r>
      <w:r w:rsidR="00D5537E">
        <w:rPr>
          <w:rFonts w:ascii="Calibri" w:hAnsi="Calibri" w:cs="Calibri"/>
        </w:rPr>
        <w:t xml:space="preserve"> and</w:t>
      </w:r>
      <w:r w:rsidRPr="004A5251">
        <w:rPr>
          <w:rFonts w:ascii="Calibri" w:hAnsi="Calibri" w:cs="Calibri"/>
        </w:rPr>
        <w:t xml:space="preserve"> sites where social services are provided. Posters and other printed materials are distributed at these locations to maximize outreach efforts into the farmworker community. Outreach workers conduct follow-up to MSFWs as necessary and appropriate to </w:t>
      </w:r>
      <w:r w:rsidR="006008DA">
        <w:rPr>
          <w:rFonts w:ascii="Calibri" w:hAnsi="Calibri" w:cs="Calibri"/>
        </w:rPr>
        <w:t>assist</w:t>
      </w:r>
      <w:r w:rsidRPr="004A5251">
        <w:rPr>
          <w:rFonts w:ascii="Calibri" w:hAnsi="Calibri" w:cs="Calibri"/>
        </w:rPr>
        <w:t>, ensure their needs are met</w:t>
      </w:r>
      <w:r w:rsidR="00D5537E">
        <w:rPr>
          <w:rFonts w:ascii="Calibri" w:hAnsi="Calibri" w:cs="Calibri"/>
        </w:rPr>
        <w:t xml:space="preserve"> and</w:t>
      </w:r>
      <w:r w:rsidRPr="004A5251">
        <w:rPr>
          <w:rFonts w:ascii="Calibri" w:hAnsi="Calibri" w:cs="Calibri"/>
        </w:rPr>
        <w:t xml:space="preserve"> to determine if other services are necessary. DEO enhance</w:t>
      </w:r>
      <w:r w:rsidR="00556B0E">
        <w:rPr>
          <w:rFonts w:ascii="Calibri" w:hAnsi="Calibri" w:cs="Calibri"/>
        </w:rPr>
        <w:t>s</w:t>
      </w:r>
      <w:r w:rsidRPr="004A5251">
        <w:rPr>
          <w:rFonts w:ascii="Calibri" w:hAnsi="Calibri" w:cs="Calibri"/>
        </w:rPr>
        <w:t xml:space="preserve"> existing relationships with local, state and federal organizations serving farmworkers, employers and employer organizations to solicit and exchange information on behalf of MSFWs. </w:t>
      </w:r>
    </w:p>
    <w:p w14:paraId="5A0CBB93" w14:textId="77777777" w:rsidR="00581BF0" w:rsidRDefault="00581BF0" w:rsidP="00D63204">
      <w:pPr>
        <w:widowControl w:val="0"/>
        <w:tabs>
          <w:tab w:val="left" w:pos="1998"/>
        </w:tabs>
        <w:spacing w:after="0" w:line="240" w:lineRule="auto"/>
        <w:ind w:left="90"/>
        <w:rPr>
          <w:rFonts w:ascii="Calibri" w:hAnsi="Calibri" w:cs="Calibri"/>
        </w:rPr>
      </w:pPr>
    </w:p>
    <w:p w14:paraId="0612BB1F" w14:textId="77777777" w:rsidR="00581BF0" w:rsidRDefault="004A5251" w:rsidP="00D63204">
      <w:pPr>
        <w:widowControl w:val="0"/>
        <w:tabs>
          <w:tab w:val="left" w:pos="1998"/>
        </w:tabs>
        <w:spacing w:after="0" w:line="240" w:lineRule="auto"/>
        <w:ind w:left="90"/>
        <w:rPr>
          <w:rFonts w:ascii="Calibri" w:hAnsi="Calibri" w:cs="Calibri"/>
        </w:rPr>
      </w:pPr>
      <w:r w:rsidRPr="004A5251">
        <w:rPr>
          <w:rFonts w:ascii="Calibri" w:hAnsi="Calibri" w:cs="Calibri"/>
        </w:rPr>
        <w:t>These devices provide swifter access to the state’s online labor exchange management information system, Employ Florida. Increased resources would improve access to technology and the performance of outreach workers.</w:t>
      </w:r>
    </w:p>
    <w:p w14:paraId="3E3B74FE" w14:textId="77777777" w:rsidR="00581BF0" w:rsidRDefault="00581BF0" w:rsidP="00D63204">
      <w:pPr>
        <w:widowControl w:val="0"/>
        <w:tabs>
          <w:tab w:val="left" w:pos="1998"/>
        </w:tabs>
        <w:spacing w:after="0" w:line="240" w:lineRule="auto"/>
        <w:ind w:left="90"/>
        <w:rPr>
          <w:rFonts w:ascii="Calibri" w:hAnsi="Calibri" w:cs="Calibri"/>
        </w:rPr>
      </w:pPr>
    </w:p>
    <w:p w14:paraId="030B798C" w14:textId="39D60A9A" w:rsidR="00581BF0" w:rsidRDefault="004A5251" w:rsidP="00D63204">
      <w:pPr>
        <w:widowControl w:val="0"/>
        <w:tabs>
          <w:tab w:val="left" w:pos="1998"/>
        </w:tabs>
        <w:spacing w:after="0" w:line="240" w:lineRule="auto"/>
        <w:ind w:left="90"/>
        <w:rPr>
          <w:rFonts w:ascii="Calibri" w:hAnsi="Calibri" w:cs="Calibri"/>
        </w:rPr>
      </w:pPr>
      <w:r w:rsidRPr="004A5251">
        <w:rPr>
          <w:rFonts w:ascii="Calibri" w:hAnsi="Calibri" w:cs="Calibri"/>
        </w:rPr>
        <w:t xml:space="preserve">There are currently nine LWDAs designated as significant MSFW locations in Florida. Within those local areas are </w:t>
      </w:r>
      <w:r w:rsidR="00474EDD">
        <w:rPr>
          <w:rFonts w:ascii="Calibri" w:hAnsi="Calibri" w:cs="Calibri"/>
        </w:rPr>
        <w:t>11</w:t>
      </w:r>
      <w:r w:rsidRPr="004A5251">
        <w:rPr>
          <w:rFonts w:ascii="Calibri" w:hAnsi="Calibri" w:cs="Calibri"/>
        </w:rPr>
        <w:t xml:space="preserve"> career centers designated as significant bilingual sites. </w:t>
      </w:r>
    </w:p>
    <w:p w14:paraId="01F8F690" w14:textId="77777777" w:rsidR="00581BF0" w:rsidRDefault="00581BF0" w:rsidP="00D63204">
      <w:pPr>
        <w:widowControl w:val="0"/>
        <w:tabs>
          <w:tab w:val="left" w:pos="1998"/>
        </w:tabs>
        <w:spacing w:after="0" w:line="240" w:lineRule="auto"/>
        <w:ind w:left="90"/>
        <w:rPr>
          <w:rFonts w:ascii="Calibri" w:hAnsi="Calibri" w:cs="Calibri"/>
        </w:rPr>
      </w:pPr>
    </w:p>
    <w:p w14:paraId="433565AC" w14:textId="25FEA9F6" w:rsidR="004A5251" w:rsidRPr="004A5251" w:rsidRDefault="004A5251" w:rsidP="00D63204">
      <w:pPr>
        <w:widowControl w:val="0"/>
        <w:tabs>
          <w:tab w:val="left" w:pos="1998"/>
        </w:tabs>
        <w:spacing w:after="0" w:line="240" w:lineRule="auto"/>
        <w:ind w:left="90"/>
        <w:rPr>
          <w:rFonts w:ascii="Calibri" w:hAnsi="Calibri" w:cs="Calibri"/>
        </w:rPr>
      </w:pPr>
      <w:r w:rsidRPr="004A5251">
        <w:rPr>
          <w:rFonts w:ascii="Calibri" w:hAnsi="Calibri" w:cs="Calibri"/>
        </w:rPr>
        <w:t xml:space="preserve">Florida </w:t>
      </w:r>
      <w:r w:rsidR="00C442E2">
        <w:rPr>
          <w:rFonts w:ascii="Calibri" w:hAnsi="Calibri" w:cs="Calibri"/>
        </w:rPr>
        <w:t xml:space="preserve">operates </w:t>
      </w:r>
      <w:r w:rsidRPr="004A5251">
        <w:rPr>
          <w:rFonts w:ascii="Calibri" w:hAnsi="Calibri" w:cs="Calibri"/>
        </w:rPr>
        <w:t>its ten</w:t>
      </w:r>
      <w:r w:rsidR="00474EDD">
        <w:rPr>
          <w:rFonts w:ascii="Calibri" w:hAnsi="Calibri" w:cs="Calibri"/>
        </w:rPr>
        <w:t xml:space="preserve"> </w:t>
      </w:r>
      <w:r w:rsidRPr="004A5251">
        <w:rPr>
          <w:rFonts w:ascii="Calibri" w:hAnsi="Calibri" w:cs="Calibri"/>
        </w:rPr>
        <w:t>designated significant multilingual MSFW career centers during PY 2018 – PY 2020</w:t>
      </w:r>
      <w:r w:rsidR="005E7C49">
        <w:rPr>
          <w:rFonts w:ascii="Calibri" w:hAnsi="Calibri" w:cs="Calibri"/>
        </w:rPr>
        <w:t xml:space="preserve">. </w:t>
      </w:r>
      <w:r w:rsidRPr="004A5251">
        <w:rPr>
          <w:rFonts w:ascii="Calibri" w:hAnsi="Calibri" w:cs="Calibri"/>
        </w:rPr>
        <w:t>Following is a list of these significant career centers, along with corresponding outreach goals per program year.</w:t>
      </w:r>
    </w:p>
    <w:p w14:paraId="0DC261E8" w14:textId="77777777" w:rsidR="008D082B" w:rsidRDefault="008D082B" w:rsidP="00D63204">
      <w:pPr>
        <w:pStyle w:val="Pa17"/>
        <w:ind w:left="90"/>
        <w:rPr>
          <w:rFonts w:asciiTheme="minorHAnsi" w:hAnsiTheme="minorHAnsi" w:cs="Proxima Nova Rg"/>
          <w:b/>
          <w:bCs/>
          <w:color w:val="000000"/>
          <w:sz w:val="22"/>
          <w:szCs w:val="22"/>
        </w:rPr>
      </w:pPr>
    </w:p>
    <w:p w14:paraId="7532C324" w14:textId="2261419C" w:rsidR="008D082B" w:rsidRDefault="008D082B" w:rsidP="00D63204">
      <w:pPr>
        <w:pStyle w:val="Pa17"/>
        <w:ind w:left="90"/>
        <w:rPr>
          <w:rFonts w:asciiTheme="minorHAnsi" w:hAnsiTheme="minorHAnsi" w:cs="Proxima Nova Rg"/>
          <w:b/>
          <w:bCs/>
          <w:color w:val="000000"/>
          <w:sz w:val="22"/>
          <w:szCs w:val="22"/>
        </w:rPr>
      </w:pPr>
    </w:p>
    <w:p w14:paraId="081EBA84" w14:textId="4B549017" w:rsidR="00581BF0" w:rsidRDefault="00581BF0" w:rsidP="00581BF0"/>
    <w:p w14:paraId="793B9759" w14:textId="3FC6289E" w:rsidR="004A5251" w:rsidRPr="00EE58AF" w:rsidRDefault="00C76B6F" w:rsidP="00D63204">
      <w:pPr>
        <w:pStyle w:val="Pa17"/>
        <w:ind w:left="90"/>
        <w:rPr>
          <w:rFonts w:asciiTheme="minorHAnsi" w:hAnsiTheme="minorHAnsi" w:cs="Proxima Nova Rg"/>
          <w:color w:val="000000"/>
          <w:sz w:val="22"/>
          <w:szCs w:val="22"/>
        </w:rPr>
      </w:pPr>
      <w:r>
        <w:rPr>
          <w:rFonts w:asciiTheme="minorHAnsi" w:hAnsiTheme="minorHAnsi" w:cs="Proxima Nova Rg"/>
          <w:b/>
          <w:bCs/>
          <w:color w:val="000000"/>
          <w:sz w:val="22"/>
          <w:szCs w:val="22"/>
        </w:rPr>
        <w:lastRenderedPageBreak/>
        <w:br/>
      </w:r>
      <w:r w:rsidR="004A5251">
        <w:rPr>
          <w:rFonts w:asciiTheme="minorHAnsi" w:hAnsiTheme="minorHAnsi" w:cs="Proxima Nova Rg"/>
          <w:b/>
          <w:bCs/>
          <w:color w:val="000000"/>
          <w:sz w:val="22"/>
          <w:szCs w:val="22"/>
        </w:rPr>
        <w:t>Figure 7.02</w:t>
      </w:r>
    </w:p>
    <w:p w14:paraId="7E2A32F4" w14:textId="7CB5B1F0" w:rsidR="004A5251" w:rsidRPr="00EE58AF" w:rsidRDefault="004A5251" w:rsidP="00D63204">
      <w:pPr>
        <w:pStyle w:val="Pa18"/>
        <w:spacing w:after="200"/>
        <w:ind w:left="90"/>
        <w:rPr>
          <w:rFonts w:asciiTheme="minorHAnsi" w:hAnsiTheme="minorHAnsi" w:cs="Proxima Nova Rg"/>
          <w:color w:val="000000"/>
          <w:sz w:val="22"/>
          <w:szCs w:val="22"/>
        </w:rPr>
      </w:pPr>
      <w:bookmarkStart w:id="122" w:name="_bookmark66"/>
      <w:r w:rsidRPr="00EE58AF">
        <w:rPr>
          <w:rFonts w:asciiTheme="minorHAnsi" w:hAnsiTheme="minorHAnsi" w:cs="Proxima Nova Rg"/>
          <w:b/>
          <w:bCs/>
          <w:color w:val="000000"/>
          <w:sz w:val="22"/>
          <w:szCs w:val="22"/>
        </w:rPr>
        <w:t>MSFW Significant/Bilingual Office Locations</w:t>
      </w:r>
    </w:p>
    <w:tbl>
      <w:tblPr>
        <w:tblW w:w="5000" w:type="pct"/>
        <w:tblInd w:w="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9"/>
        <w:gridCol w:w="1080"/>
        <w:gridCol w:w="1890"/>
        <w:gridCol w:w="2159"/>
        <w:gridCol w:w="1982"/>
        <w:gridCol w:w="1180"/>
      </w:tblGrid>
      <w:tr w:rsidR="004A5251" w:rsidRPr="00404143" w14:paraId="3EE91D66" w14:textId="77777777" w:rsidTr="00AC6510">
        <w:trPr>
          <w:trHeight w:val="628"/>
          <w:tblHeader/>
        </w:trPr>
        <w:tc>
          <w:tcPr>
            <w:tcW w:w="1022" w:type="pct"/>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bookmarkEnd w:id="122"/>
          <w:p w14:paraId="33F1C423" w14:textId="77777777" w:rsidR="004A5251" w:rsidRPr="00636110" w:rsidRDefault="004A5251" w:rsidP="004C768C">
            <w:pPr>
              <w:tabs>
                <w:tab w:val="left" w:pos="1080"/>
              </w:tabs>
              <w:spacing w:after="120"/>
              <w:ind w:left="90"/>
            </w:pPr>
            <w:r w:rsidRPr="00636110">
              <w:rPr>
                <w:b/>
                <w:bCs/>
              </w:rPr>
              <w:t>Significant/Bilingual</w:t>
            </w:r>
            <w:r w:rsidRPr="00636110">
              <w:t xml:space="preserve"> </w:t>
            </w:r>
            <w:r w:rsidRPr="00636110">
              <w:rPr>
                <w:b/>
                <w:bCs/>
              </w:rPr>
              <w:t>Office Location</w:t>
            </w:r>
          </w:p>
        </w:tc>
        <w:tc>
          <w:tcPr>
            <w:tcW w:w="518" w:type="pct"/>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5CFE322D" w14:textId="77777777" w:rsidR="004A5251" w:rsidRPr="00636110" w:rsidRDefault="004A5251" w:rsidP="00D63204">
            <w:pPr>
              <w:tabs>
                <w:tab w:val="left" w:pos="1080"/>
              </w:tabs>
              <w:spacing w:after="120"/>
              <w:ind w:left="90"/>
            </w:pPr>
            <w:r w:rsidRPr="00636110">
              <w:rPr>
                <w:b/>
                <w:bCs/>
              </w:rPr>
              <w:t>LWDA</w:t>
            </w:r>
          </w:p>
        </w:tc>
        <w:tc>
          <w:tcPr>
            <w:tcW w:w="907" w:type="pct"/>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1ED7E2C8" w14:textId="77777777" w:rsidR="004A5251" w:rsidRPr="00636110" w:rsidRDefault="004A5251" w:rsidP="00D63204">
            <w:pPr>
              <w:tabs>
                <w:tab w:val="left" w:pos="1080"/>
              </w:tabs>
              <w:spacing w:after="120"/>
              <w:ind w:left="90"/>
            </w:pPr>
            <w:r w:rsidRPr="00636110">
              <w:rPr>
                <w:b/>
                <w:bCs/>
              </w:rPr>
              <w:t># of Assigned FTE Positions</w:t>
            </w:r>
          </w:p>
        </w:tc>
        <w:tc>
          <w:tcPr>
            <w:tcW w:w="1036" w:type="pct"/>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5B23E4DA" w14:textId="77777777" w:rsidR="004A5251" w:rsidRPr="00636110" w:rsidRDefault="004A5251" w:rsidP="00D63204">
            <w:pPr>
              <w:tabs>
                <w:tab w:val="left" w:pos="1080"/>
              </w:tabs>
              <w:spacing w:after="120"/>
              <w:ind w:left="90"/>
            </w:pPr>
            <w:r w:rsidRPr="00636110">
              <w:rPr>
                <w:b/>
                <w:bCs/>
              </w:rPr>
              <w:t># of MSFW Outreach Contacts</w:t>
            </w:r>
          </w:p>
        </w:tc>
        <w:tc>
          <w:tcPr>
            <w:tcW w:w="951" w:type="pct"/>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0B0F6301" w14:textId="77777777" w:rsidR="004A5251" w:rsidRPr="00636110" w:rsidRDefault="004A5251" w:rsidP="00D63204">
            <w:pPr>
              <w:tabs>
                <w:tab w:val="left" w:pos="1080"/>
              </w:tabs>
              <w:spacing w:after="120"/>
              <w:ind w:left="90"/>
            </w:pPr>
            <w:r w:rsidRPr="00636110">
              <w:rPr>
                <w:b/>
                <w:bCs/>
              </w:rPr>
              <w:t># of Quality MSFW Outreach Contacts</w:t>
            </w:r>
          </w:p>
        </w:tc>
        <w:tc>
          <w:tcPr>
            <w:tcW w:w="566" w:type="pct"/>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6855CEBD" w14:textId="77777777" w:rsidR="004A5251" w:rsidRPr="00636110" w:rsidRDefault="004A5251" w:rsidP="00D63204">
            <w:pPr>
              <w:tabs>
                <w:tab w:val="left" w:pos="1080"/>
              </w:tabs>
              <w:spacing w:after="120"/>
              <w:ind w:left="90"/>
            </w:pPr>
            <w:r w:rsidRPr="00636110">
              <w:rPr>
                <w:b/>
                <w:bCs/>
              </w:rPr>
              <w:t># of Staff</w:t>
            </w:r>
            <w:r w:rsidRPr="00636110">
              <w:t xml:space="preserve"> </w:t>
            </w:r>
            <w:r w:rsidRPr="00636110">
              <w:rPr>
                <w:b/>
                <w:bCs/>
              </w:rPr>
              <w:t>Days</w:t>
            </w:r>
          </w:p>
        </w:tc>
      </w:tr>
      <w:tr w:rsidR="004A5251" w:rsidRPr="00404143" w14:paraId="6DCE614C" w14:textId="77777777" w:rsidTr="00AC6510">
        <w:tc>
          <w:tcPr>
            <w:tcW w:w="1022" w:type="pct"/>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0" w:type="dxa"/>
              <w:left w:w="0" w:type="dxa"/>
              <w:bottom w:w="0" w:type="dxa"/>
              <w:right w:w="0" w:type="dxa"/>
            </w:tcMar>
            <w:vAlign w:val="center"/>
          </w:tcPr>
          <w:p w14:paraId="1019ABBF" w14:textId="77777777" w:rsidR="004A5251" w:rsidRPr="00636110" w:rsidRDefault="004A5251" w:rsidP="004C768C">
            <w:pPr>
              <w:tabs>
                <w:tab w:val="left" w:pos="162"/>
              </w:tabs>
              <w:spacing w:after="120"/>
              <w:ind w:left="90"/>
            </w:pPr>
            <w:r>
              <w:t>Winter Haven</w:t>
            </w:r>
          </w:p>
        </w:tc>
        <w:tc>
          <w:tcPr>
            <w:tcW w:w="518" w:type="pct"/>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0" w:type="dxa"/>
              <w:left w:w="0" w:type="dxa"/>
              <w:bottom w:w="0" w:type="dxa"/>
              <w:right w:w="0" w:type="dxa"/>
            </w:tcMar>
            <w:vAlign w:val="center"/>
          </w:tcPr>
          <w:p w14:paraId="43DE821F" w14:textId="77777777" w:rsidR="004A5251" w:rsidRPr="00636110" w:rsidRDefault="004A5251" w:rsidP="00D63204">
            <w:pPr>
              <w:tabs>
                <w:tab w:val="left" w:pos="162"/>
              </w:tabs>
              <w:spacing w:after="120"/>
              <w:ind w:left="90"/>
            </w:pPr>
            <w:r>
              <w:t>17</w:t>
            </w:r>
          </w:p>
        </w:tc>
        <w:tc>
          <w:tcPr>
            <w:tcW w:w="907" w:type="pct"/>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0" w:type="dxa"/>
              <w:left w:w="0" w:type="dxa"/>
              <w:bottom w:w="0" w:type="dxa"/>
              <w:right w:w="0" w:type="dxa"/>
            </w:tcMar>
            <w:vAlign w:val="center"/>
          </w:tcPr>
          <w:p w14:paraId="4A32C0E5" w14:textId="77777777" w:rsidR="004A5251" w:rsidRPr="00636110" w:rsidRDefault="004A5251" w:rsidP="00D63204">
            <w:pPr>
              <w:tabs>
                <w:tab w:val="left" w:pos="1080"/>
              </w:tabs>
              <w:spacing w:after="120"/>
              <w:ind w:left="90"/>
            </w:pPr>
            <w:r w:rsidRPr="00636110">
              <w:t>1</w:t>
            </w:r>
          </w:p>
        </w:tc>
        <w:tc>
          <w:tcPr>
            <w:tcW w:w="1036" w:type="pct"/>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0" w:type="dxa"/>
              <w:left w:w="0" w:type="dxa"/>
              <w:bottom w:w="0" w:type="dxa"/>
              <w:right w:w="0" w:type="dxa"/>
            </w:tcMar>
            <w:vAlign w:val="center"/>
          </w:tcPr>
          <w:p w14:paraId="181EDEAC" w14:textId="77777777" w:rsidR="004A5251" w:rsidRPr="00636110" w:rsidRDefault="004A5251" w:rsidP="00D63204">
            <w:pPr>
              <w:tabs>
                <w:tab w:val="left" w:pos="1080"/>
              </w:tabs>
              <w:spacing w:after="120"/>
              <w:ind w:left="90"/>
            </w:pPr>
            <w:r w:rsidRPr="00636110">
              <w:t>1,</w:t>
            </w:r>
            <w:r>
              <w:t>8</w:t>
            </w:r>
            <w:r w:rsidRPr="00636110">
              <w:t>00</w:t>
            </w:r>
          </w:p>
        </w:tc>
        <w:tc>
          <w:tcPr>
            <w:tcW w:w="951" w:type="pct"/>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0" w:type="dxa"/>
              <w:left w:w="0" w:type="dxa"/>
              <w:bottom w:w="0" w:type="dxa"/>
              <w:right w:w="0" w:type="dxa"/>
            </w:tcMar>
            <w:vAlign w:val="center"/>
          </w:tcPr>
          <w:p w14:paraId="735118EA" w14:textId="77777777" w:rsidR="004A5251" w:rsidRPr="00636110" w:rsidRDefault="004A5251" w:rsidP="00D63204">
            <w:pPr>
              <w:tabs>
                <w:tab w:val="left" w:pos="1080"/>
              </w:tabs>
              <w:spacing w:after="120"/>
              <w:ind w:left="90"/>
            </w:pPr>
            <w:r w:rsidRPr="00636110">
              <w:t>800</w:t>
            </w:r>
          </w:p>
        </w:tc>
        <w:tc>
          <w:tcPr>
            <w:tcW w:w="566" w:type="pct"/>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0" w:type="dxa"/>
              <w:left w:w="0" w:type="dxa"/>
              <w:bottom w:w="0" w:type="dxa"/>
              <w:right w:w="0" w:type="dxa"/>
            </w:tcMar>
            <w:vAlign w:val="center"/>
          </w:tcPr>
          <w:p w14:paraId="0935BE33" w14:textId="77777777" w:rsidR="004A5251" w:rsidRPr="00636110" w:rsidRDefault="004A5251" w:rsidP="00D63204">
            <w:pPr>
              <w:tabs>
                <w:tab w:val="left" w:pos="1080"/>
              </w:tabs>
              <w:spacing w:after="120"/>
              <w:ind w:left="90"/>
            </w:pPr>
            <w:r w:rsidRPr="00636110">
              <w:t>185</w:t>
            </w:r>
          </w:p>
        </w:tc>
      </w:tr>
      <w:tr w:rsidR="004A5251" w:rsidRPr="00404143" w14:paraId="2BDE70EB" w14:textId="77777777" w:rsidTr="00AC6510">
        <w:tc>
          <w:tcPr>
            <w:tcW w:w="1022" w:type="pct"/>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21779859" w14:textId="77777777" w:rsidR="004A5251" w:rsidRPr="00636110" w:rsidRDefault="004A5251" w:rsidP="004C768C">
            <w:pPr>
              <w:tabs>
                <w:tab w:val="left" w:pos="162"/>
              </w:tabs>
              <w:spacing w:after="120"/>
              <w:ind w:left="90"/>
            </w:pPr>
            <w:r>
              <w:t>Tampa</w:t>
            </w:r>
          </w:p>
        </w:tc>
        <w:tc>
          <w:tcPr>
            <w:tcW w:w="518" w:type="pct"/>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041C4C01" w14:textId="77777777" w:rsidR="004A5251" w:rsidRPr="00636110" w:rsidRDefault="004A5251" w:rsidP="00D63204">
            <w:pPr>
              <w:tabs>
                <w:tab w:val="left" w:pos="162"/>
              </w:tabs>
              <w:spacing w:after="120"/>
              <w:ind w:left="90"/>
            </w:pPr>
            <w:r w:rsidRPr="00636110">
              <w:t>15</w:t>
            </w:r>
          </w:p>
        </w:tc>
        <w:tc>
          <w:tcPr>
            <w:tcW w:w="907" w:type="pct"/>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4C9C6248" w14:textId="77777777" w:rsidR="004A5251" w:rsidRPr="00636110" w:rsidRDefault="004A5251" w:rsidP="00D63204">
            <w:pPr>
              <w:tabs>
                <w:tab w:val="left" w:pos="1080"/>
              </w:tabs>
              <w:spacing w:after="120"/>
              <w:ind w:left="90"/>
            </w:pPr>
            <w:r w:rsidRPr="00636110">
              <w:t>1</w:t>
            </w:r>
          </w:p>
        </w:tc>
        <w:tc>
          <w:tcPr>
            <w:tcW w:w="1036" w:type="pct"/>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26734C89" w14:textId="77777777" w:rsidR="004A5251" w:rsidRPr="00636110" w:rsidRDefault="004A5251" w:rsidP="00D63204">
            <w:pPr>
              <w:tabs>
                <w:tab w:val="left" w:pos="1080"/>
              </w:tabs>
              <w:spacing w:after="120"/>
              <w:ind w:left="90"/>
            </w:pPr>
            <w:r w:rsidRPr="00636110">
              <w:t>2,200</w:t>
            </w:r>
          </w:p>
        </w:tc>
        <w:tc>
          <w:tcPr>
            <w:tcW w:w="951" w:type="pct"/>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304BD838" w14:textId="77777777" w:rsidR="004A5251" w:rsidRPr="00636110" w:rsidRDefault="004A5251" w:rsidP="00D63204">
            <w:pPr>
              <w:tabs>
                <w:tab w:val="left" w:pos="1080"/>
              </w:tabs>
              <w:spacing w:after="120"/>
              <w:ind w:left="90"/>
            </w:pPr>
            <w:r w:rsidRPr="00636110">
              <w:t>1,700</w:t>
            </w:r>
          </w:p>
        </w:tc>
        <w:tc>
          <w:tcPr>
            <w:tcW w:w="566" w:type="pct"/>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68B2BBE0" w14:textId="77777777" w:rsidR="004A5251" w:rsidRPr="00636110" w:rsidRDefault="004A5251" w:rsidP="00D63204">
            <w:pPr>
              <w:tabs>
                <w:tab w:val="left" w:pos="1080"/>
              </w:tabs>
              <w:spacing w:after="120"/>
              <w:ind w:left="90"/>
            </w:pPr>
            <w:r w:rsidRPr="00636110">
              <w:t>185</w:t>
            </w:r>
          </w:p>
        </w:tc>
      </w:tr>
      <w:tr w:rsidR="004A5251" w:rsidRPr="00404143" w14:paraId="5312389E" w14:textId="77777777" w:rsidTr="00AC6510">
        <w:tc>
          <w:tcPr>
            <w:tcW w:w="1022" w:type="pct"/>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0F9EBA78" w14:textId="77777777" w:rsidR="004A5251" w:rsidRPr="00636110" w:rsidRDefault="004A5251" w:rsidP="004C768C">
            <w:pPr>
              <w:tabs>
                <w:tab w:val="left" w:pos="162"/>
              </w:tabs>
              <w:spacing w:after="120"/>
              <w:ind w:left="90"/>
            </w:pPr>
            <w:r w:rsidRPr="00636110">
              <w:t>Bradenton</w:t>
            </w:r>
          </w:p>
        </w:tc>
        <w:tc>
          <w:tcPr>
            <w:tcW w:w="518" w:type="pct"/>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576451ED" w14:textId="77777777" w:rsidR="004A5251" w:rsidRPr="00636110" w:rsidRDefault="004A5251" w:rsidP="00D63204">
            <w:pPr>
              <w:tabs>
                <w:tab w:val="left" w:pos="162"/>
              </w:tabs>
              <w:spacing w:after="120"/>
              <w:ind w:left="90"/>
            </w:pPr>
            <w:r w:rsidRPr="00636110">
              <w:t>18</w:t>
            </w:r>
          </w:p>
        </w:tc>
        <w:tc>
          <w:tcPr>
            <w:tcW w:w="907" w:type="pct"/>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3EA7E41D" w14:textId="77777777" w:rsidR="004A5251" w:rsidRPr="00636110" w:rsidRDefault="004A5251" w:rsidP="00D63204">
            <w:pPr>
              <w:tabs>
                <w:tab w:val="left" w:pos="1080"/>
              </w:tabs>
              <w:spacing w:after="120"/>
              <w:ind w:left="90"/>
            </w:pPr>
            <w:r w:rsidRPr="00636110">
              <w:t>1</w:t>
            </w:r>
          </w:p>
        </w:tc>
        <w:tc>
          <w:tcPr>
            <w:tcW w:w="1036" w:type="pct"/>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49E6FF68" w14:textId="77777777" w:rsidR="004A5251" w:rsidRPr="00636110" w:rsidRDefault="004A5251" w:rsidP="00D63204">
            <w:pPr>
              <w:tabs>
                <w:tab w:val="left" w:pos="1080"/>
              </w:tabs>
              <w:spacing w:after="120"/>
              <w:ind w:left="90"/>
            </w:pPr>
            <w:r w:rsidRPr="00636110">
              <w:t>2,000</w:t>
            </w:r>
          </w:p>
        </w:tc>
        <w:tc>
          <w:tcPr>
            <w:tcW w:w="951" w:type="pct"/>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3DE10E93" w14:textId="77777777" w:rsidR="004A5251" w:rsidRPr="00636110" w:rsidRDefault="004A5251" w:rsidP="00D63204">
            <w:pPr>
              <w:tabs>
                <w:tab w:val="left" w:pos="1080"/>
              </w:tabs>
              <w:spacing w:after="120"/>
              <w:ind w:left="90"/>
            </w:pPr>
            <w:r w:rsidRPr="00636110">
              <w:t>1,650</w:t>
            </w:r>
          </w:p>
        </w:tc>
        <w:tc>
          <w:tcPr>
            <w:tcW w:w="566" w:type="pct"/>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7DF8F66A" w14:textId="77777777" w:rsidR="004A5251" w:rsidRPr="00636110" w:rsidRDefault="004A5251" w:rsidP="00D63204">
            <w:pPr>
              <w:tabs>
                <w:tab w:val="left" w:pos="1080"/>
              </w:tabs>
              <w:spacing w:after="120"/>
              <w:ind w:left="90"/>
            </w:pPr>
            <w:r w:rsidRPr="00636110">
              <w:t>185</w:t>
            </w:r>
          </w:p>
        </w:tc>
      </w:tr>
      <w:tr w:rsidR="004A5251" w:rsidRPr="00404143" w14:paraId="2B212189" w14:textId="77777777" w:rsidTr="00AC6510">
        <w:tc>
          <w:tcPr>
            <w:tcW w:w="1022" w:type="pct"/>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0" w:type="dxa"/>
              <w:left w:w="0" w:type="dxa"/>
              <w:bottom w:w="0" w:type="dxa"/>
              <w:right w:w="0" w:type="dxa"/>
            </w:tcMar>
            <w:vAlign w:val="center"/>
          </w:tcPr>
          <w:p w14:paraId="7D12E5D4" w14:textId="77777777" w:rsidR="004A5251" w:rsidRPr="00636110" w:rsidRDefault="004A5251" w:rsidP="004C768C">
            <w:pPr>
              <w:tabs>
                <w:tab w:val="left" w:pos="162"/>
                <w:tab w:val="left" w:pos="207"/>
              </w:tabs>
              <w:spacing w:after="120"/>
              <w:ind w:left="90"/>
            </w:pPr>
            <w:r w:rsidRPr="00636110">
              <w:t>Sebring</w:t>
            </w:r>
          </w:p>
        </w:tc>
        <w:tc>
          <w:tcPr>
            <w:tcW w:w="518" w:type="pct"/>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0" w:type="dxa"/>
              <w:left w:w="0" w:type="dxa"/>
              <w:bottom w:w="0" w:type="dxa"/>
              <w:right w:w="0" w:type="dxa"/>
            </w:tcMar>
            <w:vAlign w:val="center"/>
          </w:tcPr>
          <w:p w14:paraId="5907ED73" w14:textId="77777777" w:rsidR="004A5251" w:rsidRPr="00636110" w:rsidRDefault="004A5251" w:rsidP="00D63204">
            <w:pPr>
              <w:tabs>
                <w:tab w:val="left" w:pos="162"/>
              </w:tabs>
              <w:spacing w:after="120"/>
              <w:ind w:left="90"/>
            </w:pPr>
            <w:r w:rsidRPr="00636110">
              <w:t>19</w:t>
            </w:r>
          </w:p>
        </w:tc>
        <w:tc>
          <w:tcPr>
            <w:tcW w:w="907" w:type="pct"/>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0" w:type="dxa"/>
              <w:left w:w="0" w:type="dxa"/>
              <w:bottom w:w="0" w:type="dxa"/>
              <w:right w:w="0" w:type="dxa"/>
            </w:tcMar>
            <w:vAlign w:val="center"/>
          </w:tcPr>
          <w:p w14:paraId="202D434D" w14:textId="77777777" w:rsidR="004A5251" w:rsidRPr="00636110" w:rsidRDefault="004A5251" w:rsidP="00D63204">
            <w:pPr>
              <w:tabs>
                <w:tab w:val="left" w:pos="1080"/>
              </w:tabs>
              <w:spacing w:after="120"/>
              <w:ind w:left="90"/>
            </w:pPr>
            <w:r w:rsidRPr="00636110">
              <w:t>1</w:t>
            </w:r>
          </w:p>
        </w:tc>
        <w:tc>
          <w:tcPr>
            <w:tcW w:w="1036" w:type="pct"/>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0" w:type="dxa"/>
              <w:left w:w="0" w:type="dxa"/>
              <w:bottom w:w="0" w:type="dxa"/>
              <w:right w:w="0" w:type="dxa"/>
            </w:tcMar>
            <w:vAlign w:val="center"/>
          </w:tcPr>
          <w:p w14:paraId="037B9161" w14:textId="77777777" w:rsidR="004A5251" w:rsidRPr="00636110" w:rsidRDefault="004A5251" w:rsidP="00D63204">
            <w:pPr>
              <w:tabs>
                <w:tab w:val="left" w:pos="1080"/>
              </w:tabs>
              <w:spacing w:after="120"/>
              <w:ind w:left="90"/>
            </w:pPr>
            <w:r w:rsidRPr="00636110">
              <w:t>2,200</w:t>
            </w:r>
          </w:p>
        </w:tc>
        <w:tc>
          <w:tcPr>
            <w:tcW w:w="951" w:type="pct"/>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0" w:type="dxa"/>
              <w:left w:w="0" w:type="dxa"/>
              <w:bottom w:w="0" w:type="dxa"/>
              <w:right w:w="0" w:type="dxa"/>
            </w:tcMar>
            <w:vAlign w:val="center"/>
          </w:tcPr>
          <w:p w14:paraId="3684F6C1" w14:textId="77777777" w:rsidR="004A5251" w:rsidRPr="00636110" w:rsidRDefault="004A5251" w:rsidP="00D63204">
            <w:pPr>
              <w:tabs>
                <w:tab w:val="left" w:pos="1080"/>
              </w:tabs>
              <w:spacing w:after="120"/>
              <w:ind w:left="90"/>
            </w:pPr>
            <w:r w:rsidRPr="00636110">
              <w:t>950</w:t>
            </w:r>
          </w:p>
        </w:tc>
        <w:tc>
          <w:tcPr>
            <w:tcW w:w="566" w:type="pct"/>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0" w:type="dxa"/>
              <w:left w:w="0" w:type="dxa"/>
              <w:bottom w:w="0" w:type="dxa"/>
              <w:right w:w="0" w:type="dxa"/>
            </w:tcMar>
            <w:vAlign w:val="center"/>
          </w:tcPr>
          <w:p w14:paraId="25FB0CA7" w14:textId="77777777" w:rsidR="004A5251" w:rsidRPr="00636110" w:rsidRDefault="004A5251" w:rsidP="00D63204">
            <w:pPr>
              <w:tabs>
                <w:tab w:val="left" w:pos="1080"/>
              </w:tabs>
              <w:spacing w:after="120"/>
              <w:ind w:left="90"/>
            </w:pPr>
            <w:r w:rsidRPr="00636110">
              <w:t>185</w:t>
            </w:r>
          </w:p>
        </w:tc>
      </w:tr>
      <w:tr w:rsidR="004A5251" w:rsidRPr="00404143" w14:paraId="18917FA5" w14:textId="77777777" w:rsidTr="00AC6510">
        <w:tc>
          <w:tcPr>
            <w:tcW w:w="1022" w:type="pct"/>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31104775" w14:textId="77777777" w:rsidR="004A5251" w:rsidRPr="00636110" w:rsidRDefault="004A5251" w:rsidP="004C768C">
            <w:pPr>
              <w:tabs>
                <w:tab w:val="left" w:pos="162"/>
              </w:tabs>
              <w:spacing w:after="120"/>
              <w:ind w:left="90"/>
            </w:pPr>
            <w:r w:rsidRPr="00636110">
              <w:t>Wauchula</w:t>
            </w:r>
          </w:p>
        </w:tc>
        <w:tc>
          <w:tcPr>
            <w:tcW w:w="518" w:type="pct"/>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5892204E" w14:textId="77777777" w:rsidR="004A5251" w:rsidRPr="00636110" w:rsidRDefault="004A5251" w:rsidP="00D63204">
            <w:pPr>
              <w:tabs>
                <w:tab w:val="left" w:pos="162"/>
              </w:tabs>
              <w:spacing w:after="120"/>
              <w:ind w:left="90"/>
            </w:pPr>
            <w:r w:rsidRPr="00636110">
              <w:t>19</w:t>
            </w:r>
          </w:p>
        </w:tc>
        <w:tc>
          <w:tcPr>
            <w:tcW w:w="907" w:type="pct"/>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78EE3124" w14:textId="77777777" w:rsidR="004A5251" w:rsidRPr="00636110" w:rsidRDefault="004A5251" w:rsidP="00D63204">
            <w:pPr>
              <w:tabs>
                <w:tab w:val="left" w:pos="1080"/>
              </w:tabs>
              <w:spacing w:after="120"/>
              <w:ind w:left="90"/>
            </w:pPr>
            <w:r w:rsidRPr="00636110">
              <w:t>1</w:t>
            </w:r>
          </w:p>
        </w:tc>
        <w:tc>
          <w:tcPr>
            <w:tcW w:w="1036" w:type="pct"/>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64E025FE" w14:textId="77777777" w:rsidR="004A5251" w:rsidRPr="00636110" w:rsidRDefault="004A5251" w:rsidP="00D63204">
            <w:pPr>
              <w:tabs>
                <w:tab w:val="left" w:pos="1080"/>
              </w:tabs>
              <w:spacing w:after="120"/>
              <w:ind w:left="90"/>
            </w:pPr>
            <w:r w:rsidRPr="00636110">
              <w:t>2,200</w:t>
            </w:r>
          </w:p>
        </w:tc>
        <w:tc>
          <w:tcPr>
            <w:tcW w:w="951" w:type="pct"/>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061E5B1E" w14:textId="77777777" w:rsidR="004A5251" w:rsidRPr="00636110" w:rsidRDefault="004A5251" w:rsidP="00D63204">
            <w:pPr>
              <w:tabs>
                <w:tab w:val="left" w:pos="1080"/>
              </w:tabs>
              <w:spacing w:after="120"/>
              <w:ind w:left="90"/>
            </w:pPr>
            <w:r w:rsidRPr="00636110">
              <w:t>950</w:t>
            </w:r>
          </w:p>
        </w:tc>
        <w:tc>
          <w:tcPr>
            <w:tcW w:w="566" w:type="pct"/>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559A3935" w14:textId="77777777" w:rsidR="004A5251" w:rsidRPr="00636110" w:rsidRDefault="004A5251" w:rsidP="00D63204">
            <w:pPr>
              <w:tabs>
                <w:tab w:val="left" w:pos="1080"/>
              </w:tabs>
              <w:spacing w:after="120"/>
              <w:ind w:left="90"/>
            </w:pPr>
            <w:r w:rsidRPr="00636110">
              <w:t>185</w:t>
            </w:r>
          </w:p>
        </w:tc>
      </w:tr>
      <w:tr w:rsidR="004A5251" w:rsidRPr="00404143" w14:paraId="6CA1AA50" w14:textId="77777777" w:rsidTr="00AC6510">
        <w:tc>
          <w:tcPr>
            <w:tcW w:w="1022" w:type="pct"/>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0" w:type="dxa"/>
              <w:left w:w="0" w:type="dxa"/>
              <w:bottom w:w="0" w:type="dxa"/>
              <w:right w:w="0" w:type="dxa"/>
            </w:tcMar>
            <w:vAlign w:val="center"/>
          </w:tcPr>
          <w:p w14:paraId="20DAAB2B" w14:textId="77777777" w:rsidR="004A5251" w:rsidRPr="00636110" w:rsidRDefault="004A5251" w:rsidP="004C768C">
            <w:pPr>
              <w:tabs>
                <w:tab w:val="left" w:pos="162"/>
              </w:tabs>
              <w:spacing w:after="120"/>
              <w:ind w:left="90"/>
            </w:pPr>
            <w:r w:rsidRPr="00636110">
              <w:t>Port Saint Lucie</w:t>
            </w:r>
          </w:p>
        </w:tc>
        <w:tc>
          <w:tcPr>
            <w:tcW w:w="518" w:type="pct"/>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0" w:type="dxa"/>
              <w:left w:w="0" w:type="dxa"/>
              <w:bottom w:w="0" w:type="dxa"/>
              <w:right w:w="0" w:type="dxa"/>
            </w:tcMar>
            <w:vAlign w:val="center"/>
          </w:tcPr>
          <w:p w14:paraId="7FE55C5F" w14:textId="77777777" w:rsidR="004A5251" w:rsidRPr="00636110" w:rsidRDefault="004A5251" w:rsidP="00D63204">
            <w:pPr>
              <w:tabs>
                <w:tab w:val="left" w:pos="162"/>
              </w:tabs>
              <w:spacing w:after="120"/>
              <w:ind w:left="90"/>
            </w:pPr>
            <w:r w:rsidRPr="00636110">
              <w:t>20</w:t>
            </w:r>
          </w:p>
        </w:tc>
        <w:tc>
          <w:tcPr>
            <w:tcW w:w="907" w:type="pct"/>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0" w:type="dxa"/>
              <w:left w:w="0" w:type="dxa"/>
              <w:bottom w:w="0" w:type="dxa"/>
              <w:right w:w="0" w:type="dxa"/>
            </w:tcMar>
            <w:vAlign w:val="center"/>
          </w:tcPr>
          <w:p w14:paraId="1D159ADB" w14:textId="77777777" w:rsidR="004A5251" w:rsidRPr="00636110" w:rsidRDefault="004A5251" w:rsidP="00D63204">
            <w:pPr>
              <w:tabs>
                <w:tab w:val="left" w:pos="1080"/>
              </w:tabs>
              <w:spacing w:after="120"/>
              <w:ind w:left="90"/>
            </w:pPr>
            <w:r w:rsidRPr="00636110">
              <w:t>1</w:t>
            </w:r>
          </w:p>
        </w:tc>
        <w:tc>
          <w:tcPr>
            <w:tcW w:w="1036" w:type="pct"/>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0" w:type="dxa"/>
              <w:left w:w="0" w:type="dxa"/>
              <w:bottom w:w="0" w:type="dxa"/>
              <w:right w:w="0" w:type="dxa"/>
            </w:tcMar>
            <w:vAlign w:val="center"/>
          </w:tcPr>
          <w:p w14:paraId="60E27E3A" w14:textId="77777777" w:rsidR="004A5251" w:rsidRPr="00636110" w:rsidRDefault="004A5251" w:rsidP="00D63204">
            <w:pPr>
              <w:tabs>
                <w:tab w:val="left" w:pos="1080"/>
              </w:tabs>
              <w:spacing w:after="120"/>
              <w:ind w:left="90"/>
            </w:pPr>
            <w:r w:rsidRPr="00636110">
              <w:t>1,800</w:t>
            </w:r>
          </w:p>
        </w:tc>
        <w:tc>
          <w:tcPr>
            <w:tcW w:w="951" w:type="pct"/>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0" w:type="dxa"/>
              <w:left w:w="0" w:type="dxa"/>
              <w:bottom w:w="0" w:type="dxa"/>
              <w:right w:w="0" w:type="dxa"/>
            </w:tcMar>
            <w:vAlign w:val="center"/>
          </w:tcPr>
          <w:p w14:paraId="6C115986" w14:textId="77777777" w:rsidR="004A5251" w:rsidRPr="00636110" w:rsidRDefault="004A5251" w:rsidP="00D63204">
            <w:pPr>
              <w:tabs>
                <w:tab w:val="left" w:pos="1080"/>
              </w:tabs>
              <w:spacing w:after="120"/>
              <w:ind w:left="90"/>
            </w:pPr>
            <w:r w:rsidRPr="00636110">
              <w:t>1,100</w:t>
            </w:r>
          </w:p>
        </w:tc>
        <w:tc>
          <w:tcPr>
            <w:tcW w:w="566" w:type="pct"/>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0" w:type="dxa"/>
              <w:left w:w="0" w:type="dxa"/>
              <w:bottom w:w="0" w:type="dxa"/>
              <w:right w:w="0" w:type="dxa"/>
            </w:tcMar>
            <w:vAlign w:val="center"/>
          </w:tcPr>
          <w:p w14:paraId="70A45D71" w14:textId="77777777" w:rsidR="004A5251" w:rsidRPr="00636110" w:rsidRDefault="004A5251" w:rsidP="00D63204">
            <w:pPr>
              <w:tabs>
                <w:tab w:val="left" w:pos="1080"/>
              </w:tabs>
              <w:spacing w:after="120"/>
              <w:ind w:left="90"/>
            </w:pPr>
            <w:r w:rsidRPr="00636110">
              <w:t>185</w:t>
            </w:r>
          </w:p>
        </w:tc>
      </w:tr>
      <w:tr w:rsidR="004A5251" w:rsidRPr="00404143" w14:paraId="6EA7B919" w14:textId="77777777" w:rsidTr="00AC6510">
        <w:tc>
          <w:tcPr>
            <w:tcW w:w="1022" w:type="pct"/>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110FBF6B" w14:textId="77777777" w:rsidR="004A5251" w:rsidRPr="00636110" w:rsidRDefault="004A5251" w:rsidP="004C768C">
            <w:pPr>
              <w:tabs>
                <w:tab w:val="left" w:pos="162"/>
              </w:tabs>
              <w:spacing w:after="120"/>
              <w:ind w:left="90"/>
            </w:pPr>
            <w:r w:rsidRPr="00636110">
              <w:t>Belle Glade</w:t>
            </w:r>
          </w:p>
        </w:tc>
        <w:tc>
          <w:tcPr>
            <w:tcW w:w="518" w:type="pct"/>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242F2531" w14:textId="77777777" w:rsidR="004A5251" w:rsidRPr="00636110" w:rsidRDefault="004A5251" w:rsidP="00D63204">
            <w:pPr>
              <w:tabs>
                <w:tab w:val="left" w:pos="162"/>
              </w:tabs>
              <w:spacing w:after="120"/>
              <w:ind w:left="90"/>
            </w:pPr>
            <w:r w:rsidRPr="00636110">
              <w:t>21</w:t>
            </w:r>
          </w:p>
        </w:tc>
        <w:tc>
          <w:tcPr>
            <w:tcW w:w="907" w:type="pct"/>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3FB2A0EB" w14:textId="77777777" w:rsidR="004A5251" w:rsidRPr="00636110" w:rsidRDefault="004A5251" w:rsidP="00D63204">
            <w:pPr>
              <w:tabs>
                <w:tab w:val="left" w:pos="1080"/>
              </w:tabs>
              <w:spacing w:after="120"/>
              <w:ind w:left="90"/>
            </w:pPr>
            <w:r w:rsidRPr="00636110">
              <w:t>1</w:t>
            </w:r>
          </w:p>
        </w:tc>
        <w:tc>
          <w:tcPr>
            <w:tcW w:w="1036" w:type="pct"/>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42D4223A" w14:textId="77777777" w:rsidR="004A5251" w:rsidRPr="00636110" w:rsidRDefault="004A5251" w:rsidP="00D63204">
            <w:pPr>
              <w:tabs>
                <w:tab w:val="left" w:pos="1080"/>
              </w:tabs>
              <w:spacing w:after="120"/>
              <w:ind w:left="90"/>
            </w:pPr>
            <w:r w:rsidRPr="00636110">
              <w:t>1,950</w:t>
            </w:r>
          </w:p>
        </w:tc>
        <w:tc>
          <w:tcPr>
            <w:tcW w:w="951" w:type="pct"/>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5F31D027" w14:textId="77777777" w:rsidR="004A5251" w:rsidRPr="00636110" w:rsidRDefault="004A5251" w:rsidP="00D63204">
            <w:pPr>
              <w:tabs>
                <w:tab w:val="left" w:pos="1080"/>
              </w:tabs>
              <w:spacing w:after="120"/>
              <w:ind w:left="90"/>
            </w:pPr>
            <w:r w:rsidRPr="00636110">
              <w:t>1,050</w:t>
            </w:r>
          </w:p>
        </w:tc>
        <w:tc>
          <w:tcPr>
            <w:tcW w:w="566" w:type="pct"/>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150B5425" w14:textId="77777777" w:rsidR="004A5251" w:rsidRPr="00636110" w:rsidRDefault="004A5251" w:rsidP="00D63204">
            <w:pPr>
              <w:tabs>
                <w:tab w:val="left" w:pos="1080"/>
              </w:tabs>
              <w:spacing w:after="120"/>
              <w:ind w:left="90"/>
            </w:pPr>
            <w:r w:rsidRPr="00636110">
              <w:t>185</w:t>
            </w:r>
          </w:p>
        </w:tc>
      </w:tr>
      <w:tr w:rsidR="004A5251" w:rsidRPr="00404143" w14:paraId="2ABA75AA" w14:textId="77777777" w:rsidTr="00AC6510">
        <w:tc>
          <w:tcPr>
            <w:tcW w:w="1022" w:type="pct"/>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0" w:type="dxa"/>
              <w:left w:w="0" w:type="dxa"/>
              <w:bottom w:w="0" w:type="dxa"/>
              <w:right w:w="0" w:type="dxa"/>
            </w:tcMar>
            <w:vAlign w:val="center"/>
          </w:tcPr>
          <w:p w14:paraId="3374F3FC" w14:textId="77777777" w:rsidR="004A5251" w:rsidRPr="00636110" w:rsidRDefault="004A5251" w:rsidP="004C768C">
            <w:pPr>
              <w:tabs>
                <w:tab w:val="left" w:pos="162"/>
              </w:tabs>
              <w:spacing w:after="120"/>
              <w:ind w:left="90"/>
            </w:pPr>
            <w:r w:rsidRPr="00636110">
              <w:t>Homestead</w:t>
            </w:r>
          </w:p>
        </w:tc>
        <w:tc>
          <w:tcPr>
            <w:tcW w:w="518" w:type="pct"/>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0" w:type="dxa"/>
              <w:left w:w="0" w:type="dxa"/>
              <w:bottom w:w="0" w:type="dxa"/>
              <w:right w:w="0" w:type="dxa"/>
            </w:tcMar>
            <w:vAlign w:val="center"/>
          </w:tcPr>
          <w:p w14:paraId="28C0E6C9" w14:textId="77777777" w:rsidR="004A5251" w:rsidRPr="00636110" w:rsidRDefault="004A5251" w:rsidP="00D63204">
            <w:pPr>
              <w:tabs>
                <w:tab w:val="left" w:pos="162"/>
              </w:tabs>
              <w:spacing w:after="120"/>
              <w:ind w:left="90"/>
            </w:pPr>
            <w:r w:rsidRPr="00636110">
              <w:t>23</w:t>
            </w:r>
          </w:p>
        </w:tc>
        <w:tc>
          <w:tcPr>
            <w:tcW w:w="907" w:type="pct"/>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0" w:type="dxa"/>
              <w:left w:w="0" w:type="dxa"/>
              <w:bottom w:w="0" w:type="dxa"/>
              <w:right w:w="0" w:type="dxa"/>
            </w:tcMar>
            <w:vAlign w:val="center"/>
          </w:tcPr>
          <w:p w14:paraId="0B627780" w14:textId="77777777" w:rsidR="004A5251" w:rsidRPr="00636110" w:rsidRDefault="004A5251" w:rsidP="00D63204">
            <w:pPr>
              <w:tabs>
                <w:tab w:val="left" w:pos="1080"/>
              </w:tabs>
              <w:spacing w:after="120"/>
              <w:ind w:left="90"/>
            </w:pPr>
            <w:r w:rsidRPr="00636110">
              <w:t>1</w:t>
            </w:r>
          </w:p>
        </w:tc>
        <w:tc>
          <w:tcPr>
            <w:tcW w:w="1036" w:type="pct"/>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0" w:type="dxa"/>
              <w:left w:w="0" w:type="dxa"/>
              <w:bottom w:w="0" w:type="dxa"/>
              <w:right w:w="0" w:type="dxa"/>
            </w:tcMar>
            <w:vAlign w:val="center"/>
          </w:tcPr>
          <w:p w14:paraId="5B8F321B" w14:textId="77777777" w:rsidR="004A5251" w:rsidRPr="00636110" w:rsidRDefault="004A5251" w:rsidP="00D63204">
            <w:pPr>
              <w:tabs>
                <w:tab w:val="left" w:pos="1080"/>
              </w:tabs>
              <w:spacing w:after="120"/>
              <w:ind w:left="90"/>
            </w:pPr>
            <w:r w:rsidRPr="00636110">
              <w:t>2,000</w:t>
            </w:r>
          </w:p>
        </w:tc>
        <w:tc>
          <w:tcPr>
            <w:tcW w:w="951" w:type="pct"/>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0" w:type="dxa"/>
              <w:left w:w="0" w:type="dxa"/>
              <w:bottom w:w="0" w:type="dxa"/>
              <w:right w:w="0" w:type="dxa"/>
            </w:tcMar>
            <w:vAlign w:val="center"/>
          </w:tcPr>
          <w:p w14:paraId="1F821006" w14:textId="77777777" w:rsidR="004A5251" w:rsidRPr="00636110" w:rsidRDefault="004A5251" w:rsidP="00D63204">
            <w:pPr>
              <w:tabs>
                <w:tab w:val="left" w:pos="1080"/>
              </w:tabs>
              <w:spacing w:after="120"/>
              <w:ind w:left="90"/>
            </w:pPr>
            <w:r w:rsidRPr="00636110">
              <w:t>1,350</w:t>
            </w:r>
          </w:p>
        </w:tc>
        <w:tc>
          <w:tcPr>
            <w:tcW w:w="566" w:type="pct"/>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0" w:type="dxa"/>
              <w:left w:w="0" w:type="dxa"/>
              <w:bottom w:w="0" w:type="dxa"/>
              <w:right w:w="0" w:type="dxa"/>
            </w:tcMar>
            <w:vAlign w:val="center"/>
          </w:tcPr>
          <w:p w14:paraId="5BAD8454" w14:textId="77777777" w:rsidR="004A5251" w:rsidRPr="00636110" w:rsidRDefault="004A5251" w:rsidP="00D63204">
            <w:pPr>
              <w:tabs>
                <w:tab w:val="left" w:pos="1080"/>
              </w:tabs>
              <w:spacing w:after="120"/>
              <w:ind w:left="90"/>
            </w:pPr>
            <w:r w:rsidRPr="00636110">
              <w:t>185</w:t>
            </w:r>
          </w:p>
        </w:tc>
      </w:tr>
      <w:tr w:rsidR="004A5251" w:rsidRPr="00404143" w14:paraId="5BD7871B" w14:textId="77777777" w:rsidTr="00AC6510">
        <w:tc>
          <w:tcPr>
            <w:tcW w:w="1022" w:type="pct"/>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4E40CADB" w14:textId="77777777" w:rsidR="004A5251" w:rsidRPr="00636110" w:rsidRDefault="004A5251" w:rsidP="004C768C">
            <w:pPr>
              <w:tabs>
                <w:tab w:val="left" w:pos="162"/>
              </w:tabs>
              <w:spacing w:after="120"/>
              <w:ind w:left="90"/>
            </w:pPr>
            <w:r w:rsidRPr="00636110">
              <w:t>Immokalee</w:t>
            </w:r>
          </w:p>
        </w:tc>
        <w:tc>
          <w:tcPr>
            <w:tcW w:w="518" w:type="pct"/>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26B31411" w14:textId="77777777" w:rsidR="004A5251" w:rsidRPr="00636110" w:rsidRDefault="004A5251" w:rsidP="00D63204">
            <w:pPr>
              <w:tabs>
                <w:tab w:val="left" w:pos="162"/>
              </w:tabs>
              <w:spacing w:after="120"/>
              <w:ind w:left="90"/>
            </w:pPr>
            <w:r w:rsidRPr="00636110">
              <w:t>24</w:t>
            </w:r>
          </w:p>
        </w:tc>
        <w:tc>
          <w:tcPr>
            <w:tcW w:w="907" w:type="pct"/>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3F15A838" w14:textId="77777777" w:rsidR="004A5251" w:rsidRPr="00636110" w:rsidRDefault="004A5251" w:rsidP="00D63204">
            <w:pPr>
              <w:tabs>
                <w:tab w:val="left" w:pos="1080"/>
              </w:tabs>
              <w:spacing w:after="120"/>
              <w:ind w:left="90"/>
            </w:pPr>
            <w:r w:rsidRPr="00636110">
              <w:t>1</w:t>
            </w:r>
          </w:p>
        </w:tc>
        <w:tc>
          <w:tcPr>
            <w:tcW w:w="1036" w:type="pct"/>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3CE3303B" w14:textId="77777777" w:rsidR="004A5251" w:rsidRPr="00636110" w:rsidRDefault="004A5251" w:rsidP="00D63204">
            <w:pPr>
              <w:tabs>
                <w:tab w:val="left" w:pos="1080"/>
              </w:tabs>
              <w:spacing w:after="120"/>
              <w:ind w:left="90"/>
            </w:pPr>
            <w:r w:rsidRPr="00636110">
              <w:t>2,200</w:t>
            </w:r>
          </w:p>
        </w:tc>
        <w:tc>
          <w:tcPr>
            <w:tcW w:w="951" w:type="pct"/>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72BE10A3" w14:textId="77777777" w:rsidR="004A5251" w:rsidRPr="00636110" w:rsidRDefault="004A5251" w:rsidP="00D63204">
            <w:pPr>
              <w:tabs>
                <w:tab w:val="left" w:pos="1080"/>
              </w:tabs>
              <w:spacing w:after="120"/>
              <w:ind w:left="90"/>
            </w:pPr>
            <w:r w:rsidRPr="00636110">
              <w:t>1,250</w:t>
            </w:r>
          </w:p>
        </w:tc>
        <w:tc>
          <w:tcPr>
            <w:tcW w:w="566" w:type="pct"/>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009128D1" w14:textId="77777777" w:rsidR="004A5251" w:rsidRPr="00636110" w:rsidRDefault="004A5251" w:rsidP="00D63204">
            <w:pPr>
              <w:tabs>
                <w:tab w:val="left" w:pos="1080"/>
              </w:tabs>
              <w:spacing w:after="120"/>
              <w:ind w:left="90"/>
            </w:pPr>
            <w:r w:rsidRPr="00636110">
              <w:t>185</w:t>
            </w:r>
          </w:p>
        </w:tc>
      </w:tr>
      <w:tr w:rsidR="004A5251" w:rsidRPr="00404143" w14:paraId="4AFC7DBD" w14:textId="77777777" w:rsidTr="00AC6510">
        <w:tc>
          <w:tcPr>
            <w:tcW w:w="1022" w:type="pct"/>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0" w:type="dxa"/>
              <w:left w:w="0" w:type="dxa"/>
              <w:bottom w:w="0" w:type="dxa"/>
              <w:right w:w="0" w:type="dxa"/>
            </w:tcMar>
            <w:vAlign w:val="center"/>
          </w:tcPr>
          <w:p w14:paraId="766704F4" w14:textId="77777777" w:rsidR="004A5251" w:rsidRPr="00636110" w:rsidRDefault="004A5251" w:rsidP="004C768C">
            <w:pPr>
              <w:tabs>
                <w:tab w:val="left" w:pos="162"/>
              </w:tabs>
              <w:spacing w:after="120"/>
              <w:ind w:left="90"/>
            </w:pPr>
            <w:r w:rsidRPr="00636110">
              <w:t>Clewiston</w:t>
            </w:r>
          </w:p>
        </w:tc>
        <w:tc>
          <w:tcPr>
            <w:tcW w:w="518" w:type="pct"/>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0" w:type="dxa"/>
              <w:left w:w="0" w:type="dxa"/>
              <w:bottom w:w="0" w:type="dxa"/>
              <w:right w:w="0" w:type="dxa"/>
            </w:tcMar>
            <w:vAlign w:val="center"/>
          </w:tcPr>
          <w:p w14:paraId="6935EA64" w14:textId="77777777" w:rsidR="004A5251" w:rsidRPr="00636110" w:rsidRDefault="004A5251" w:rsidP="00D63204">
            <w:pPr>
              <w:tabs>
                <w:tab w:val="left" w:pos="162"/>
              </w:tabs>
              <w:spacing w:after="120"/>
              <w:ind w:left="90"/>
            </w:pPr>
            <w:r w:rsidRPr="00636110">
              <w:t>24</w:t>
            </w:r>
          </w:p>
        </w:tc>
        <w:tc>
          <w:tcPr>
            <w:tcW w:w="907" w:type="pct"/>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0" w:type="dxa"/>
              <w:left w:w="0" w:type="dxa"/>
              <w:bottom w:w="0" w:type="dxa"/>
              <w:right w:w="0" w:type="dxa"/>
            </w:tcMar>
            <w:vAlign w:val="center"/>
          </w:tcPr>
          <w:p w14:paraId="546DF1F1" w14:textId="77777777" w:rsidR="004A5251" w:rsidRPr="00636110" w:rsidRDefault="004A5251" w:rsidP="00D63204">
            <w:pPr>
              <w:tabs>
                <w:tab w:val="left" w:pos="1080"/>
              </w:tabs>
              <w:spacing w:after="120"/>
              <w:ind w:left="90"/>
            </w:pPr>
            <w:r w:rsidRPr="00636110">
              <w:t>1</w:t>
            </w:r>
          </w:p>
        </w:tc>
        <w:tc>
          <w:tcPr>
            <w:tcW w:w="1036" w:type="pct"/>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0" w:type="dxa"/>
              <w:left w:w="0" w:type="dxa"/>
              <w:bottom w:w="0" w:type="dxa"/>
              <w:right w:w="0" w:type="dxa"/>
            </w:tcMar>
            <w:vAlign w:val="center"/>
          </w:tcPr>
          <w:p w14:paraId="18E78ECF" w14:textId="77777777" w:rsidR="004A5251" w:rsidRPr="00636110" w:rsidRDefault="004A5251" w:rsidP="00D63204">
            <w:pPr>
              <w:tabs>
                <w:tab w:val="left" w:pos="1080"/>
              </w:tabs>
              <w:spacing w:after="120"/>
              <w:ind w:left="90"/>
            </w:pPr>
            <w:r w:rsidRPr="00636110">
              <w:t>2,200</w:t>
            </w:r>
          </w:p>
        </w:tc>
        <w:tc>
          <w:tcPr>
            <w:tcW w:w="951" w:type="pct"/>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0" w:type="dxa"/>
              <w:left w:w="0" w:type="dxa"/>
              <w:bottom w:w="0" w:type="dxa"/>
              <w:right w:w="0" w:type="dxa"/>
            </w:tcMar>
            <w:vAlign w:val="center"/>
          </w:tcPr>
          <w:p w14:paraId="065E5007" w14:textId="77777777" w:rsidR="004A5251" w:rsidRPr="00636110" w:rsidRDefault="004A5251" w:rsidP="00D63204">
            <w:pPr>
              <w:tabs>
                <w:tab w:val="left" w:pos="1080"/>
              </w:tabs>
              <w:spacing w:after="120"/>
              <w:ind w:left="90"/>
            </w:pPr>
            <w:r w:rsidRPr="00636110">
              <w:t>950</w:t>
            </w:r>
          </w:p>
        </w:tc>
        <w:tc>
          <w:tcPr>
            <w:tcW w:w="566" w:type="pct"/>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0" w:type="dxa"/>
              <w:left w:w="0" w:type="dxa"/>
              <w:bottom w:w="0" w:type="dxa"/>
              <w:right w:w="0" w:type="dxa"/>
            </w:tcMar>
            <w:vAlign w:val="center"/>
          </w:tcPr>
          <w:p w14:paraId="6B30D230" w14:textId="77777777" w:rsidR="004A5251" w:rsidRPr="00636110" w:rsidRDefault="004A5251" w:rsidP="00D63204">
            <w:pPr>
              <w:tabs>
                <w:tab w:val="left" w:pos="1080"/>
              </w:tabs>
              <w:spacing w:after="120"/>
              <w:ind w:left="90"/>
            </w:pPr>
            <w:r w:rsidRPr="00636110">
              <w:t>185</w:t>
            </w:r>
          </w:p>
        </w:tc>
      </w:tr>
      <w:tr w:rsidR="004A5251" w:rsidRPr="00404143" w14:paraId="319997DD" w14:textId="77777777" w:rsidTr="00AC6510">
        <w:tc>
          <w:tcPr>
            <w:tcW w:w="1022" w:type="pct"/>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537090B4" w14:textId="77777777" w:rsidR="004A5251" w:rsidRPr="00636110" w:rsidRDefault="004A5251" w:rsidP="004C768C">
            <w:pPr>
              <w:tabs>
                <w:tab w:val="left" w:pos="1080"/>
              </w:tabs>
              <w:spacing w:after="120"/>
              <w:ind w:left="90"/>
            </w:pPr>
            <w:r w:rsidRPr="00636110">
              <w:rPr>
                <w:b/>
                <w:bCs/>
              </w:rPr>
              <w:t>Total</w:t>
            </w:r>
          </w:p>
        </w:tc>
        <w:tc>
          <w:tcPr>
            <w:tcW w:w="518" w:type="pct"/>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206C2973" w14:textId="77777777" w:rsidR="004A5251" w:rsidRPr="00636110" w:rsidRDefault="004A5251" w:rsidP="00D63204">
            <w:pPr>
              <w:tabs>
                <w:tab w:val="left" w:pos="1080"/>
              </w:tabs>
              <w:spacing w:after="120"/>
              <w:ind w:left="90"/>
            </w:pPr>
            <w:r>
              <w:t>N/A</w:t>
            </w:r>
          </w:p>
        </w:tc>
        <w:tc>
          <w:tcPr>
            <w:tcW w:w="907" w:type="pct"/>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707EF55E" w14:textId="77777777" w:rsidR="004A5251" w:rsidRPr="00636110" w:rsidRDefault="004A5251" w:rsidP="00D63204">
            <w:pPr>
              <w:tabs>
                <w:tab w:val="left" w:pos="1080"/>
              </w:tabs>
              <w:spacing w:after="120"/>
              <w:ind w:left="90"/>
            </w:pPr>
            <w:r w:rsidRPr="00636110">
              <w:rPr>
                <w:b/>
                <w:bCs/>
              </w:rPr>
              <w:t>1</w:t>
            </w:r>
            <w:r>
              <w:rPr>
                <w:b/>
                <w:bCs/>
              </w:rPr>
              <w:t>0</w:t>
            </w:r>
          </w:p>
        </w:tc>
        <w:tc>
          <w:tcPr>
            <w:tcW w:w="1036" w:type="pct"/>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51981A1F" w14:textId="77777777" w:rsidR="004A5251" w:rsidRPr="00636110" w:rsidRDefault="004A5251" w:rsidP="00D63204">
            <w:pPr>
              <w:tabs>
                <w:tab w:val="left" w:pos="1080"/>
              </w:tabs>
              <w:spacing w:after="120"/>
              <w:ind w:left="90"/>
            </w:pPr>
            <w:r w:rsidRPr="00636110">
              <w:rPr>
                <w:b/>
                <w:bCs/>
              </w:rPr>
              <w:t>2</w:t>
            </w:r>
            <w:r>
              <w:rPr>
                <w:b/>
                <w:bCs/>
              </w:rPr>
              <w:t>0</w:t>
            </w:r>
            <w:r w:rsidRPr="00636110">
              <w:rPr>
                <w:b/>
                <w:bCs/>
              </w:rPr>
              <w:t>,550</w:t>
            </w:r>
          </w:p>
        </w:tc>
        <w:tc>
          <w:tcPr>
            <w:tcW w:w="951" w:type="pct"/>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532F0495" w14:textId="77777777" w:rsidR="004A5251" w:rsidRPr="00636110" w:rsidRDefault="004A5251" w:rsidP="00D63204">
            <w:pPr>
              <w:tabs>
                <w:tab w:val="left" w:pos="1080"/>
              </w:tabs>
              <w:spacing w:after="120"/>
              <w:ind w:left="90"/>
            </w:pPr>
            <w:r w:rsidRPr="00636110">
              <w:rPr>
                <w:b/>
                <w:bCs/>
              </w:rPr>
              <w:t>1</w:t>
            </w:r>
            <w:r>
              <w:rPr>
                <w:b/>
                <w:bCs/>
              </w:rPr>
              <w:t>2</w:t>
            </w:r>
            <w:r w:rsidRPr="00636110">
              <w:rPr>
                <w:b/>
                <w:bCs/>
              </w:rPr>
              <w:t>,</w:t>
            </w:r>
            <w:r>
              <w:rPr>
                <w:b/>
                <w:bCs/>
              </w:rPr>
              <w:t>2</w:t>
            </w:r>
            <w:r w:rsidRPr="00636110">
              <w:rPr>
                <w:b/>
                <w:bCs/>
              </w:rPr>
              <w:t>00</w:t>
            </w:r>
          </w:p>
        </w:tc>
        <w:tc>
          <w:tcPr>
            <w:tcW w:w="566" w:type="pct"/>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4DCFA27E" w14:textId="77777777" w:rsidR="004A5251" w:rsidRPr="00636110" w:rsidRDefault="004A5251" w:rsidP="00D63204">
            <w:pPr>
              <w:tabs>
                <w:tab w:val="left" w:pos="1080"/>
              </w:tabs>
              <w:spacing w:after="120"/>
              <w:ind w:left="90"/>
            </w:pPr>
            <w:r>
              <w:rPr>
                <w:b/>
                <w:bCs/>
              </w:rPr>
              <w:t>1850</w:t>
            </w:r>
          </w:p>
        </w:tc>
      </w:tr>
    </w:tbl>
    <w:p w14:paraId="771F7E63" w14:textId="01EC9C48" w:rsidR="004A5251" w:rsidRDefault="004A5251" w:rsidP="00D63204">
      <w:pPr>
        <w:widowControl w:val="0"/>
        <w:tabs>
          <w:tab w:val="left" w:pos="1998"/>
        </w:tabs>
        <w:spacing w:before="121" w:after="0" w:line="240" w:lineRule="auto"/>
        <w:ind w:left="90"/>
        <w:rPr>
          <w:rFonts w:ascii="Calibri" w:hAnsi="Calibri" w:cs="Calibri"/>
        </w:rPr>
      </w:pPr>
      <w:r>
        <w:t xml:space="preserve">Achieving the level of services attained at career centers is attributed to the unique Florida workforce delivery system and its intensified efforts to reach and serve all customers. </w:t>
      </w:r>
      <w:r w:rsidRPr="00BA4790">
        <w:rPr>
          <w:rFonts w:ascii="Calibri" w:hAnsi="Calibri" w:cs="Calibri"/>
        </w:rPr>
        <w:t xml:space="preserve">Outreach workers </w:t>
      </w:r>
      <w:r>
        <w:rPr>
          <w:rFonts w:ascii="Calibri" w:hAnsi="Calibri" w:cs="Calibri"/>
        </w:rPr>
        <w:t>are required to spend a total of 185</w:t>
      </w:r>
      <w:r w:rsidRPr="00BA4790">
        <w:rPr>
          <w:rFonts w:ascii="Calibri" w:hAnsi="Calibri" w:cs="Calibri"/>
        </w:rPr>
        <w:t xml:space="preserve"> staff days, or 80 percent of staff time, conducting outreach. </w:t>
      </w:r>
      <w:r>
        <w:rPr>
          <w:rFonts w:ascii="Calibri" w:hAnsi="Calibri" w:cs="Calibri"/>
        </w:rPr>
        <w:t>For PY 2015, outreach workers conducted 52,504 outreach contacts with MSFWs. Of these contacts, 11,170 were staff-assisted services. For PY 2016, outreach workers conducted 46,992 outreach contacts with MSFWs</w:t>
      </w:r>
      <w:r w:rsidR="005E7C49">
        <w:rPr>
          <w:rFonts w:ascii="Calibri" w:hAnsi="Calibri" w:cs="Calibri"/>
        </w:rPr>
        <w:t xml:space="preserve">. </w:t>
      </w:r>
      <w:r>
        <w:rPr>
          <w:rFonts w:ascii="Calibri" w:hAnsi="Calibri" w:cs="Calibri"/>
        </w:rPr>
        <w:t>Of these contacts, 10,907 were staff-assisted services. Florida’s focus on outreach allowed it to exceed its goal of 21,550 MSFW outreach contacts by more than 118 percent. Note:  This goal has been reduced to 20,550 effective PY 2017 due to one career center no longer being designated as a significant office by USDOL</w:t>
      </w:r>
      <w:r w:rsidR="005E7C49">
        <w:rPr>
          <w:rFonts w:ascii="Calibri" w:hAnsi="Calibri" w:cs="Calibri"/>
        </w:rPr>
        <w:t xml:space="preserve">. </w:t>
      </w:r>
      <w:r>
        <w:rPr>
          <w:rFonts w:ascii="Calibri" w:hAnsi="Calibri" w:cs="Calibri"/>
        </w:rPr>
        <w:t xml:space="preserve">For PY 2016, 566,095 Wagner-Peyser applications were entered in Employ Florida. Of those applications, 18,723 were MSFWs. Processing job applications, conducting assessments and providing non-agricultural job referrals were also emphasized to assist in year-round employment. This allowed the state to increase the number of MSFWs that were placed in permanent positions (jobs over 150 days); a measure that was missed during PY 2015 but exceeded for PY 2016. </w:t>
      </w:r>
    </w:p>
    <w:p w14:paraId="5076682A" w14:textId="416AA297" w:rsidR="00581BF0" w:rsidRPr="00581BF0" w:rsidRDefault="008279F0" w:rsidP="00D63204">
      <w:pPr>
        <w:pStyle w:val="ListParagraph"/>
        <w:widowControl w:val="0"/>
        <w:numPr>
          <w:ilvl w:val="0"/>
          <w:numId w:val="43"/>
        </w:numPr>
        <w:spacing w:before="121" w:after="0" w:line="240" w:lineRule="auto"/>
        <w:rPr>
          <w:rFonts w:ascii="Calibri" w:hAnsi="Calibri"/>
          <w:color w:val="295CA3"/>
          <w:w w:val="105"/>
        </w:rPr>
      </w:pPr>
      <w:r w:rsidRPr="00581BF0">
        <w:rPr>
          <w:rFonts w:ascii="Calibri" w:hAnsi="Calibri"/>
          <w:color w:val="295CA3"/>
          <w:w w:val="105"/>
        </w:rPr>
        <w:t>Technical Assistance to Outreach Workers</w:t>
      </w:r>
    </w:p>
    <w:p w14:paraId="11BF0E9B" w14:textId="042DF003" w:rsidR="00581BF0" w:rsidRDefault="004A5251" w:rsidP="00D63204">
      <w:pPr>
        <w:widowControl w:val="0"/>
        <w:tabs>
          <w:tab w:val="left" w:pos="1998"/>
        </w:tabs>
        <w:spacing w:before="121" w:after="0" w:line="240" w:lineRule="auto"/>
        <w:ind w:left="90"/>
        <w:rPr>
          <w:rFonts w:ascii="Calibri" w:hAnsi="Calibri" w:cs="Calibri"/>
        </w:rPr>
      </w:pPr>
      <w:r w:rsidRPr="004A5251">
        <w:rPr>
          <w:rFonts w:ascii="Calibri" w:hAnsi="Calibri" w:cs="Calibri"/>
        </w:rPr>
        <w:t xml:space="preserve">Outreach workers are trained in all aspects of employment-related services to MSFWs. New outreach staff receive training on Wagner-Peyser services, benefits and protections afforded to MSFWs through the career centers and local procedures by the LWDB. The </w:t>
      </w:r>
      <w:r w:rsidR="0075051E">
        <w:rPr>
          <w:rFonts w:ascii="Calibri" w:hAnsi="Calibri" w:cs="Calibri"/>
        </w:rPr>
        <w:t>S</w:t>
      </w:r>
      <w:r w:rsidRPr="004A5251">
        <w:rPr>
          <w:rFonts w:ascii="Calibri" w:hAnsi="Calibri" w:cs="Calibri"/>
        </w:rPr>
        <w:t xml:space="preserve">tate Monitor Advocate provides </w:t>
      </w:r>
      <w:r w:rsidR="00636731">
        <w:rPr>
          <w:rFonts w:ascii="Calibri" w:hAnsi="Calibri" w:cs="Calibri"/>
        </w:rPr>
        <w:t>on</w:t>
      </w:r>
      <w:r w:rsidRPr="004A5251">
        <w:rPr>
          <w:rFonts w:ascii="Calibri" w:hAnsi="Calibri" w:cs="Calibri"/>
        </w:rPr>
        <w:t xml:space="preserve">site technical assistance to new staff on MSFW regulations including outreach requirements, full applications in Employ Florida, reporting requirements and agricultural job orders. </w:t>
      </w:r>
    </w:p>
    <w:p w14:paraId="0BA83827" w14:textId="77777777" w:rsidR="00581BF0" w:rsidRDefault="00581BF0" w:rsidP="00D63204">
      <w:pPr>
        <w:widowControl w:val="0"/>
        <w:tabs>
          <w:tab w:val="left" w:pos="1998"/>
        </w:tabs>
        <w:spacing w:before="121" w:after="0" w:line="240" w:lineRule="auto"/>
        <w:ind w:left="90"/>
        <w:rPr>
          <w:rFonts w:ascii="Calibri" w:hAnsi="Calibri" w:cs="Calibri"/>
        </w:rPr>
      </w:pPr>
    </w:p>
    <w:p w14:paraId="4329CE4F" w14:textId="77777777" w:rsidR="00581BF0" w:rsidRDefault="00581BF0" w:rsidP="00D63204">
      <w:pPr>
        <w:widowControl w:val="0"/>
        <w:tabs>
          <w:tab w:val="left" w:pos="1998"/>
        </w:tabs>
        <w:spacing w:before="121" w:after="0" w:line="240" w:lineRule="auto"/>
        <w:ind w:left="90"/>
        <w:rPr>
          <w:rFonts w:ascii="Calibri" w:hAnsi="Calibri" w:cs="Calibri"/>
        </w:rPr>
      </w:pPr>
    </w:p>
    <w:p w14:paraId="51884F4E" w14:textId="50CE3DB9" w:rsidR="001122CA" w:rsidRDefault="004A5251" w:rsidP="00D63204">
      <w:pPr>
        <w:widowControl w:val="0"/>
        <w:tabs>
          <w:tab w:val="left" w:pos="1998"/>
        </w:tabs>
        <w:spacing w:before="121" w:after="0" w:line="240" w:lineRule="auto"/>
        <w:ind w:left="90"/>
        <w:rPr>
          <w:rFonts w:ascii="Calibri" w:hAnsi="Calibri" w:cs="Calibri"/>
        </w:rPr>
      </w:pPr>
      <w:r w:rsidRPr="004A5251">
        <w:rPr>
          <w:rFonts w:ascii="Calibri" w:hAnsi="Calibri" w:cs="Calibri"/>
        </w:rPr>
        <w:lastRenderedPageBreak/>
        <w:t xml:space="preserve">The State Monitor Advocate also provides training on the Employment Service and Employment-Related Law Complaint System and basic farmworker rights including training on protecting farmworkers against sexual harassment. Outreach workers </w:t>
      </w:r>
      <w:r w:rsidRPr="000949D2">
        <w:rPr>
          <w:rFonts w:ascii="Calibri" w:hAnsi="Calibri" w:cs="Calibri"/>
        </w:rPr>
        <w:t>are encouraged to observe</w:t>
      </w:r>
      <w:r w:rsidRPr="004A5251">
        <w:rPr>
          <w:rFonts w:ascii="Calibri" w:hAnsi="Calibri" w:cs="Calibri"/>
        </w:rPr>
        <w:t xml:space="preserve"> the working and living conditions of MSFWs and, upon observation or upon receipt of information regarding a suspected violation of state or federal laws, to document and report the suspected violation to the appropriate enforcement agency for investigation. </w:t>
      </w:r>
    </w:p>
    <w:p w14:paraId="3FE4D898" w14:textId="77777777" w:rsidR="001122CA" w:rsidRDefault="001122CA" w:rsidP="00D63204">
      <w:pPr>
        <w:widowControl w:val="0"/>
        <w:tabs>
          <w:tab w:val="left" w:pos="1998"/>
        </w:tabs>
        <w:spacing w:after="0" w:line="240" w:lineRule="auto"/>
        <w:ind w:left="90"/>
        <w:rPr>
          <w:rFonts w:ascii="Calibri" w:hAnsi="Calibri" w:cs="Calibri"/>
        </w:rPr>
      </w:pPr>
    </w:p>
    <w:p w14:paraId="6AFE720D" w14:textId="337EC124" w:rsidR="004A5251" w:rsidRDefault="00366711" w:rsidP="00D63204">
      <w:pPr>
        <w:widowControl w:val="0"/>
        <w:tabs>
          <w:tab w:val="left" w:pos="1998"/>
        </w:tabs>
        <w:spacing w:after="0" w:line="240" w:lineRule="auto"/>
        <w:ind w:left="90"/>
        <w:rPr>
          <w:rFonts w:ascii="Calibri" w:hAnsi="Calibri" w:cs="Calibri"/>
        </w:rPr>
      </w:pPr>
      <w:r>
        <w:rPr>
          <w:rFonts w:ascii="Calibri" w:hAnsi="Calibri" w:cs="Calibri"/>
        </w:rPr>
        <w:t>T</w:t>
      </w:r>
      <w:r w:rsidR="004A5251" w:rsidRPr="004A5251">
        <w:rPr>
          <w:rFonts w:ascii="Calibri" w:hAnsi="Calibri" w:cs="Calibri"/>
        </w:rPr>
        <w:t xml:space="preserve">he significant multilingual MSFW career centers were formally monitored </w:t>
      </w:r>
      <w:r w:rsidR="00C00BCD">
        <w:rPr>
          <w:rFonts w:ascii="Calibri" w:hAnsi="Calibri" w:cs="Calibri"/>
        </w:rPr>
        <w:t>on</w:t>
      </w:r>
      <w:r w:rsidR="004A5251" w:rsidRPr="004A5251">
        <w:rPr>
          <w:rFonts w:ascii="Calibri" w:hAnsi="Calibri" w:cs="Calibri"/>
        </w:rPr>
        <w:t xml:space="preserve">site this program year by the current and former State Monitor Advocates. The State Monitor Advocates provided technical assistance to significant multilingual MSFW career center staff during the </w:t>
      </w:r>
      <w:r w:rsidR="00C00BCD">
        <w:rPr>
          <w:rFonts w:ascii="Calibri" w:hAnsi="Calibri" w:cs="Calibri"/>
        </w:rPr>
        <w:t>on</w:t>
      </w:r>
      <w:r w:rsidR="004A5251" w:rsidRPr="004A5251">
        <w:rPr>
          <w:rFonts w:ascii="Calibri" w:hAnsi="Calibri" w:cs="Calibri"/>
        </w:rPr>
        <w:t>site monitoring reviews to address any immediate training needs</w:t>
      </w:r>
      <w:r w:rsidR="005E7C49">
        <w:rPr>
          <w:rFonts w:ascii="Calibri" w:hAnsi="Calibri" w:cs="Calibri"/>
        </w:rPr>
        <w:t xml:space="preserve">. </w:t>
      </w:r>
    </w:p>
    <w:p w14:paraId="5A26BB14" w14:textId="77777777" w:rsidR="001122CA" w:rsidRDefault="001122CA" w:rsidP="00D63204">
      <w:pPr>
        <w:widowControl w:val="0"/>
        <w:tabs>
          <w:tab w:val="left" w:pos="1998"/>
        </w:tabs>
        <w:spacing w:after="0" w:line="240" w:lineRule="auto"/>
        <w:ind w:left="90"/>
        <w:rPr>
          <w:rFonts w:ascii="Calibri" w:hAnsi="Calibri" w:cs="Calibri"/>
        </w:rPr>
      </w:pPr>
    </w:p>
    <w:p w14:paraId="0CF46681" w14:textId="5A31ADD5" w:rsidR="004A5251" w:rsidRDefault="004A5251" w:rsidP="00D63204">
      <w:pPr>
        <w:widowControl w:val="0"/>
        <w:tabs>
          <w:tab w:val="left" w:pos="1998"/>
        </w:tabs>
        <w:spacing w:after="0" w:line="240" w:lineRule="auto"/>
        <w:ind w:left="90"/>
        <w:rPr>
          <w:rFonts w:ascii="Calibri" w:hAnsi="Calibri" w:cs="Calibri"/>
        </w:rPr>
      </w:pPr>
      <w:r w:rsidRPr="004A5251">
        <w:rPr>
          <w:rFonts w:ascii="Calibri" w:hAnsi="Calibri" w:cs="Calibri"/>
        </w:rPr>
        <w:t xml:space="preserve">Outreach workers are encouraged to refresh their knowledge </w:t>
      </w:r>
      <w:r w:rsidR="00044545">
        <w:rPr>
          <w:rFonts w:ascii="Calibri" w:hAnsi="Calibri" w:cs="Calibri"/>
        </w:rPr>
        <w:t>of</w:t>
      </w:r>
      <w:r w:rsidRPr="004A5251">
        <w:rPr>
          <w:rFonts w:ascii="Calibri" w:hAnsi="Calibri" w:cs="Calibri"/>
        </w:rPr>
        <w:t xml:space="preserve"> policies and procedures through online training</w:t>
      </w:r>
      <w:r w:rsidR="00044545">
        <w:rPr>
          <w:rFonts w:ascii="Calibri" w:hAnsi="Calibri" w:cs="Calibri"/>
        </w:rPr>
        <w:t>,</w:t>
      </w:r>
      <w:r w:rsidRPr="004A5251">
        <w:rPr>
          <w:rFonts w:ascii="Calibri" w:hAnsi="Calibri" w:cs="Calibri"/>
        </w:rPr>
        <w:t xml:space="preserve"> as well as through in-person trainings and webinars offered by DEO. Florida also has an established Complaint System supported by written procedures. </w:t>
      </w:r>
    </w:p>
    <w:p w14:paraId="680766FB" w14:textId="77777777" w:rsidR="001122CA" w:rsidRDefault="001122CA" w:rsidP="00D63204">
      <w:pPr>
        <w:widowControl w:val="0"/>
        <w:tabs>
          <w:tab w:val="left" w:pos="1998"/>
        </w:tabs>
        <w:spacing w:after="0" w:line="240" w:lineRule="auto"/>
        <w:ind w:left="90"/>
        <w:rPr>
          <w:rFonts w:ascii="Calibri" w:hAnsi="Calibri" w:cs="Calibri"/>
        </w:rPr>
      </w:pPr>
    </w:p>
    <w:p w14:paraId="31EEB131" w14:textId="40045B22" w:rsidR="004A5251" w:rsidRDefault="004A5251" w:rsidP="00D63204">
      <w:pPr>
        <w:widowControl w:val="0"/>
        <w:tabs>
          <w:tab w:val="left" w:pos="1998"/>
        </w:tabs>
        <w:spacing w:after="0" w:line="240" w:lineRule="auto"/>
        <w:ind w:left="90"/>
        <w:rPr>
          <w:rFonts w:ascii="Calibri" w:hAnsi="Calibri" w:cs="Calibri"/>
        </w:rPr>
      </w:pPr>
      <w:r w:rsidRPr="004A5251">
        <w:rPr>
          <w:rFonts w:ascii="Calibri" w:hAnsi="Calibri" w:cs="Calibri"/>
        </w:rPr>
        <w:t>Refresher training and farm labor compliance training is provided to outreach workers during an annual MSFW professional development conference. Many annual conferences are held in partnership with the Florida Department of Education’s Farmworker Career Development Program (FCDP), Florida’s National Farmworker Jobs Program (NFJP) grantee. When the conference is held jointly, training sessions are designed to foster increase collaboration and increase awareness between partners.</w:t>
      </w:r>
    </w:p>
    <w:p w14:paraId="738A6B7D" w14:textId="77777777" w:rsidR="001122CA" w:rsidRDefault="001122CA" w:rsidP="00D63204">
      <w:pPr>
        <w:widowControl w:val="0"/>
        <w:tabs>
          <w:tab w:val="left" w:pos="1998"/>
        </w:tabs>
        <w:spacing w:after="0" w:line="240" w:lineRule="auto"/>
        <w:ind w:left="90"/>
        <w:rPr>
          <w:rFonts w:ascii="Calibri" w:hAnsi="Calibri" w:cs="Calibri"/>
        </w:rPr>
      </w:pPr>
    </w:p>
    <w:p w14:paraId="2EA802AB" w14:textId="7631CB78" w:rsidR="004C13DF" w:rsidRDefault="004C13DF" w:rsidP="00D63204">
      <w:pPr>
        <w:widowControl w:val="0"/>
        <w:tabs>
          <w:tab w:val="left" w:pos="1998"/>
        </w:tabs>
        <w:spacing w:after="0" w:line="240" w:lineRule="auto"/>
        <w:ind w:left="90"/>
        <w:rPr>
          <w:rFonts w:ascii="Calibri" w:hAnsi="Calibri" w:cs="Calibri"/>
        </w:rPr>
      </w:pPr>
      <w:r w:rsidRPr="004C13DF">
        <w:rPr>
          <w:rFonts w:ascii="Calibri" w:hAnsi="Calibri" w:cs="Calibri"/>
        </w:rPr>
        <w:t>The annual conference customarily includes guest speakers from state and federal enforcement agencies such as the USDOL Wage and Hour Division, Occupational Safety and Health Administration, Equal Employment Opportunity Commission</w:t>
      </w:r>
      <w:r w:rsidR="00D5537E">
        <w:rPr>
          <w:rFonts w:ascii="Calibri" w:hAnsi="Calibri" w:cs="Calibri"/>
        </w:rPr>
        <w:t xml:space="preserve"> and</w:t>
      </w:r>
      <w:r w:rsidRPr="004C13DF">
        <w:rPr>
          <w:rFonts w:ascii="Calibri" w:hAnsi="Calibri" w:cs="Calibri"/>
        </w:rPr>
        <w:t xml:space="preserve"> the Florida Department of Health. </w:t>
      </w:r>
      <w:r w:rsidR="00427BAE">
        <w:rPr>
          <w:rFonts w:ascii="Calibri" w:hAnsi="Calibri" w:cs="Calibri"/>
        </w:rPr>
        <w:t>DEO</w:t>
      </w:r>
      <w:r w:rsidRPr="004C13DF">
        <w:rPr>
          <w:rFonts w:ascii="Calibri" w:hAnsi="Calibri" w:cs="Calibri"/>
        </w:rPr>
        <w:t xml:space="preserve"> staff customarily present workshops</w:t>
      </w:r>
      <w:r w:rsidRPr="00F55C20">
        <w:rPr>
          <w:rFonts w:ascii="Calibri" w:hAnsi="Calibri" w:cs="Calibri"/>
        </w:rPr>
        <w:t xml:space="preserve"> on Wagner-Peyser and WIOA requirements, the complaint system</w:t>
      </w:r>
      <w:r w:rsidR="00D5537E">
        <w:rPr>
          <w:rFonts w:ascii="Calibri" w:hAnsi="Calibri" w:cs="Calibri"/>
        </w:rPr>
        <w:t xml:space="preserve"> and</w:t>
      </w:r>
      <w:r w:rsidRPr="004C13DF">
        <w:rPr>
          <w:rFonts w:ascii="Calibri" w:hAnsi="Calibri" w:cs="Calibri"/>
        </w:rPr>
        <w:t xml:space="preserve"> services to Limited English Proficient (LEP) and MSFW customers, among other. The workshops provide career center staff with knowledge necessary to discuss farmworker rights with MSFWs onsite and during outreach.</w:t>
      </w:r>
    </w:p>
    <w:p w14:paraId="516F2F7E" w14:textId="77777777" w:rsidR="001122CA" w:rsidRDefault="001122CA" w:rsidP="00D63204">
      <w:pPr>
        <w:widowControl w:val="0"/>
        <w:tabs>
          <w:tab w:val="left" w:pos="1998"/>
        </w:tabs>
        <w:spacing w:after="0" w:line="240" w:lineRule="auto"/>
        <w:ind w:left="90"/>
        <w:rPr>
          <w:rFonts w:ascii="Calibri" w:hAnsi="Calibri" w:cs="Calibri"/>
        </w:rPr>
      </w:pPr>
    </w:p>
    <w:p w14:paraId="5F98175B" w14:textId="256F4DE9" w:rsidR="008279F0" w:rsidRPr="001122CA" w:rsidRDefault="008279F0" w:rsidP="00D63204">
      <w:pPr>
        <w:pStyle w:val="ListParagraph"/>
        <w:widowControl w:val="0"/>
        <w:numPr>
          <w:ilvl w:val="0"/>
          <w:numId w:val="43"/>
        </w:numPr>
        <w:tabs>
          <w:tab w:val="left" w:pos="1998"/>
        </w:tabs>
        <w:spacing w:after="0" w:line="240" w:lineRule="auto"/>
        <w:rPr>
          <w:rFonts w:ascii="Calibri" w:hAnsi="Calibri" w:cs="Calibri"/>
        </w:rPr>
      </w:pPr>
      <w:r w:rsidRPr="001122CA">
        <w:rPr>
          <w:rFonts w:ascii="Calibri" w:hAnsi="Calibri"/>
          <w:color w:val="295CA3"/>
          <w:w w:val="105"/>
        </w:rPr>
        <w:t>Increasing Outreach Worker Training and Awareness Across Core Programs Including UI</w:t>
      </w:r>
    </w:p>
    <w:p w14:paraId="44E61E5C" w14:textId="6AC46EE6" w:rsidR="004A5251" w:rsidRDefault="004A5251" w:rsidP="00D63204">
      <w:pPr>
        <w:widowControl w:val="0"/>
        <w:tabs>
          <w:tab w:val="left" w:pos="1998"/>
        </w:tabs>
        <w:spacing w:before="121" w:after="0" w:line="240" w:lineRule="auto"/>
        <w:ind w:left="90"/>
      </w:pPr>
      <w:r w:rsidRPr="00E840CE">
        <w:t>Career center staff, including outreach workers, have access to online training modules and resources through DEO’s website for core programs including unemployment insurance (UI) benefits (referred to as reemployment assistance benefits in Florida)</w:t>
      </w:r>
      <w:r w:rsidR="005E7C49">
        <w:t xml:space="preserve">. </w:t>
      </w:r>
      <w:r w:rsidRPr="00E840CE">
        <w:t>In-person trainings and webinars are offered each year</w:t>
      </w:r>
      <w:r w:rsidR="005E7C49">
        <w:t xml:space="preserve">. </w:t>
      </w:r>
      <w:r w:rsidRPr="00E840CE">
        <w:t>Outreach workers use this information to ensure MSFWs are aware of the different programs and services available through the workforce system as well as their potential eligibility for reemployment assistance benefits</w:t>
      </w:r>
      <w:r w:rsidR="005E7C49">
        <w:t xml:space="preserve">. </w:t>
      </w:r>
    </w:p>
    <w:p w14:paraId="659AE1B2" w14:textId="393D5A31" w:rsidR="008279F0" w:rsidRPr="001122CA" w:rsidRDefault="008279F0" w:rsidP="00D63204">
      <w:pPr>
        <w:pStyle w:val="ListParagraph"/>
        <w:widowControl w:val="0"/>
        <w:numPr>
          <w:ilvl w:val="0"/>
          <w:numId w:val="43"/>
        </w:numPr>
        <w:tabs>
          <w:tab w:val="left" w:pos="1998"/>
        </w:tabs>
        <w:spacing w:before="121" w:after="0" w:line="240" w:lineRule="auto"/>
        <w:rPr>
          <w:rFonts w:ascii="Calibri" w:hAnsi="Calibri" w:cs="Calibri"/>
        </w:rPr>
      </w:pPr>
      <w:r w:rsidRPr="001122CA">
        <w:rPr>
          <w:rFonts w:ascii="Calibri" w:hAnsi="Calibri"/>
          <w:color w:val="295CA3"/>
          <w:w w:val="105"/>
        </w:rPr>
        <w:t>Providing State Merit Staff Outreach Workers Professional Development Activities</w:t>
      </w:r>
    </w:p>
    <w:p w14:paraId="01D14F45" w14:textId="365C9DC2" w:rsidR="00BC264C" w:rsidRDefault="009E1F46" w:rsidP="00D63204">
      <w:pPr>
        <w:widowControl w:val="0"/>
        <w:tabs>
          <w:tab w:val="left" w:pos="1998"/>
        </w:tabs>
        <w:spacing w:before="121" w:after="0" w:line="240" w:lineRule="auto"/>
        <w:ind w:left="90"/>
        <w:rPr>
          <w:rFonts w:ascii="Calibri" w:hAnsi="Calibri" w:cs="Calibri"/>
        </w:rPr>
      </w:pPr>
      <w:r>
        <w:rPr>
          <w:rFonts w:ascii="Calibri" w:hAnsi="Calibri" w:cs="Calibri"/>
        </w:rPr>
        <w:t xml:space="preserve">The </w:t>
      </w:r>
      <w:r w:rsidR="00BC264C" w:rsidRPr="00BC264C">
        <w:rPr>
          <w:rFonts w:ascii="Calibri" w:hAnsi="Calibri" w:cs="Calibri"/>
        </w:rPr>
        <w:t xml:space="preserve">annual MSFW Staff Development Conference provides outreach workers with professional development activities to ensure they </w:t>
      </w:r>
      <w:r>
        <w:rPr>
          <w:rFonts w:ascii="Calibri" w:hAnsi="Calibri" w:cs="Calibri"/>
        </w:rPr>
        <w:t xml:space="preserve">are proficient at providing </w:t>
      </w:r>
      <w:r w:rsidR="00BC264C" w:rsidRPr="00BC264C">
        <w:rPr>
          <w:rFonts w:ascii="Calibri" w:hAnsi="Calibri" w:cs="Calibri"/>
        </w:rPr>
        <w:t xml:space="preserve">high quality services to </w:t>
      </w:r>
      <w:r w:rsidR="00EB646F">
        <w:rPr>
          <w:rFonts w:ascii="Calibri" w:hAnsi="Calibri" w:cs="Calibri"/>
        </w:rPr>
        <w:t>job</w:t>
      </w:r>
      <w:r w:rsidR="007F14D7">
        <w:rPr>
          <w:rFonts w:ascii="Calibri" w:hAnsi="Calibri" w:cs="Calibri"/>
        </w:rPr>
        <w:t xml:space="preserve"> </w:t>
      </w:r>
      <w:r w:rsidR="00EB646F">
        <w:rPr>
          <w:rFonts w:ascii="Calibri" w:hAnsi="Calibri" w:cs="Calibri"/>
        </w:rPr>
        <w:t>seeker</w:t>
      </w:r>
      <w:r w:rsidR="00BC264C" w:rsidRPr="00BC264C">
        <w:rPr>
          <w:rFonts w:ascii="Calibri" w:hAnsi="Calibri" w:cs="Calibri"/>
        </w:rPr>
        <w:t xml:space="preserve">s and employers. Outreach staff </w:t>
      </w:r>
      <w:r>
        <w:rPr>
          <w:rFonts w:ascii="Calibri" w:hAnsi="Calibri" w:cs="Calibri"/>
        </w:rPr>
        <w:t xml:space="preserve">are </w:t>
      </w:r>
      <w:r w:rsidR="00BC264C" w:rsidRPr="00BC264C">
        <w:rPr>
          <w:rFonts w:ascii="Calibri" w:hAnsi="Calibri" w:cs="Calibri"/>
        </w:rPr>
        <w:t>encouraged to attend the annual Workforce Professional Development Summit.</w:t>
      </w:r>
    </w:p>
    <w:p w14:paraId="55DAC93B" w14:textId="77777777" w:rsidR="008279F0" w:rsidRPr="00BC264C" w:rsidRDefault="008279F0" w:rsidP="00D63204">
      <w:pPr>
        <w:widowControl w:val="0"/>
        <w:numPr>
          <w:ilvl w:val="0"/>
          <w:numId w:val="43"/>
        </w:numPr>
        <w:tabs>
          <w:tab w:val="left" w:pos="1998"/>
        </w:tabs>
        <w:spacing w:before="121" w:after="0" w:line="240" w:lineRule="auto"/>
        <w:rPr>
          <w:rFonts w:ascii="Calibri" w:hAnsi="Calibri" w:cs="Calibri"/>
        </w:rPr>
      </w:pPr>
      <w:r>
        <w:rPr>
          <w:rFonts w:ascii="Calibri" w:hAnsi="Calibri"/>
          <w:color w:val="295CA3"/>
          <w:w w:val="105"/>
        </w:rPr>
        <w:t>Coordinating Outreach Efforts with NFJP Grantees as Well as with Public and Private Community Service Agencies and MSFW Groups</w:t>
      </w:r>
    </w:p>
    <w:p w14:paraId="4E6A5E02" w14:textId="77777777" w:rsidR="00A17CA9" w:rsidRDefault="00A17CA9" w:rsidP="00D63204">
      <w:pPr>
        <w:widowControl w:val="0"/>
        <w:tabs>
          <w:tab w:val="left" w:pos="1998"/>
        </w:tabs>
        <w:spacing w:before="121" w:line="240" w:lineRule="auto"/>
        <w:ind w:left="90"/>
        <w:rPr>
          <w:rFonts w:ascii="Calibri" w:hAnsi="Calibri" w:cs="Calibri"/>
        </w:rPr>
      </w:pPr>
      <w:r w:rsidRPr="00895001">
        <w:rPr>
          <w:rFonts w:ascii="Calibri" w:hAnsi="Calibri" w:cs="Calibri"/>
        </w:rPr>
        <w:t>To maintain targeted service levels, outreach services are supplemented through partner agencies. Informal cooperative agreements with other public and private social service agencies, such as local providers of the NFJP, are established to provide joint outreach efforts to the MSFW population. For PY 2016, approximately 531 additional contacts were made through nonfinancial agreements with cooperating agencies.</w:t>
      </w:r>
      <w:r>
        <w:rPr>
          <w:rFonts w:ascii="Calibri" w:hAnsi="Calibri" w:cs="Calibri"/>
        </w:rPr>
        <w:t xml:space="preserve"> </w:t>
      </w:r>
    </w:p>
    <w:p w14:paraId="05FD5E72" w14:textId="083CD217" w:rsidR="0065074A" w:rsidRDefault="0065074A" w:rsidP="00D63204">
      <w:pPr>
        <w:widowControl w:val="0"/>
        <w:tabs>
          <w:tab w:val="left" w:pos="1998"/>
        </w:tabs>
        <w:spacing w:before="121" w:line="240" w:lineRule="auto"/>
        <w:ind w:left="90"/>
        <w:rPr>
          <w:rFonts w:ascii="Calibri" w:hAnsi="Calibri" w:cs="Calibri"/>
        </w:rPr>
      </w:pPr>
      <w:r w:rsidRPr="0065074A">
        <w:rPr>
          <w:rFonts w:ascii="Calibri" w:hAnsi="Calibri" w:cs="Calibri"/>
        </w:rPr>
        <w:t>A</w:t>
      </w:r>
      <w:r w:rsidR="00A17CA9">
        <w:rPr>
          <w:rFonts w:ascii="Calibri" w:hAnsi="Calibri" w:cs="Calibri"/>
        </w:rPr>
        <w:t xml:space="preserve"> </w:t>
      </w:r>
      <w:r w:rsidRPr="0065074A">
        <w:rPr>
          <w:rFonts w:ascii="Calibri" w:hAnsi="Calibri" w:cs="Calibri"/>
        </w:rPr>
        <w:t xml:space="preserve">memorandum of understanding was executed with the Florida Department of Education’s FCDP, the state’s NFJP </w:t>
      </w:r>
      <w:r w:rsidRPr="0065074A">
        <w:rPr>
          <w:rFonts w:ascii="Calibri" w:hAnsi="Calibri" w:cs="Calibri"/>
        </w:rPr>
        <w:lastRenderedPageBreak/>
        <w:t xml:space="preserve">grantee, outlining these outreach efforts. The memorandum outlines requirements for significant career center outreach staff and FCDP local provider staff to supply information on the other partner’s programs and services during individual outreach efforts; to conduct outreach jointly when feasible; and, to report outreach activities and contacts to the other party. Career centers with agricultural activity that do not meet the ten percent criteria for the significant career center designation are required to have nonfinancial agreements with cooperating agencies. </w:t>
      </w:r>
    </w:p>
    <w:p w14:paraId="552BC6A3" w14:textId="6D0C253C" w:rsidR="0065074A" w:rsidRPr="0065074A" w:rsidRDefault="0065074A" w:rsidP="00D63204">
      <w:pPr>
        <w:widowControl w:val="0"/>
        <w:tabs>
          <w:tab w:val="left" w:pos="1998"/>
        </w:tabs>
        <w:spacing w:before="121" w:line="240" w:lineRule="auto"/>
        <w:ind w:left="90"/>
        <w:rPr>
          <w:rFonts w:ascii="Calibri" w:hAnsi="Calibri" w:cs="Calibri"/>
        </w:rPr>
      </w:pPr>
      <w:r w:rsidRPr="0065074A">
        <w:rPr>
          <w:rFonts w:ascii="Calibri" w:hAnsi="Calibri" w:cs="Calibri"/>
        </w:rPr>
        <w:t>The MSFW outreach workers maintain a continuing relationship with community groups, public agencies and advocacy groups involved in the welfare of farmworkers. Contact is made with agricultural employers for possible job openings and outreach workers assist career center staff in recruiting MSFWs for specific job orders.</w:t>
      </w:r>
    </w:p>
    <w:p w14:paraId="0180342E" w14:textId="279F134C" w:rsidR="008279F0" w:rsidRPr="0083561B" w:rsidRDefault="008279F0" w:rsidP="00D63204">
      <w:pPr>
        <w:pStyle w:val="ListParagraph"/>
        <w:widowControl w:val="0"/>
        <w:numPr>
          <w:ilvl w:val="1"/>
          <w:numId w:val="3"/>
        </w:numPr>
        <w:tabs>
          <w:tab w:val="left" w:pos="1098"/>
        </w:tabs>
        <w:spacing w:before="59" w:after="0" w:line="240" w:lineRule="auto"/>
        <w:outlineLvl w:val="2"/>
        <w:rPr>
          <w:rFonts w:ascii="Calibri" w:hAnsi="Calibri"/>
        </w:rPr>
      </w:pPr>
      <w:r w:rsidRPr="0083561B">
        <w:rPr>
          <w:rFonts w:ascii="Calibri" w:hAnsi="Calibri"/>
          <w:b/>
          <w:bCs/>
          <w:color w:val="295CA3"/>
          <w:w w:val="110"/>
        </w:rPr>
        <w:t>Services Provided to Farmworkers and Agricultural Employers through the One-Stop Delivery System</w:t>
      </w:r>
    </w:p>
    <w:p w14:paraId="1CB41E3B" w14:textId="77777777" w:rsidR="0083561B" w:rsidRPr="0083561B" w:rsidRDefault="0083561B" w:rsidP="00D63204">
      <w:pPr>
        <w:pStyle w:val="ListParagraph"/>
        <w:widowControl w:val="0"/>
        <w:tabs>
          <w:tab w:val="left" w:pos="1098"/>
        </w:tabs>
        <w:spacing w:before="59" w:after="0" w:line="240" w:lineRule="auto"/>
        <w:ind w:left="1098"/>
        <w:outlineLvl w:val="2"/>
        <w:rPr>
          <w:rFonts w:ascii="Calibri" w:hAnsi="Calibri"/>
        </w:rPr>
      </w:pPr>
    </w:p>
    <w:p w14:paraId="2E5E7658" w14:textId="3D512516" w:rsidR="008279F0" w:rsidRPr="00621F2D" w:rsidRDefault="008279F0" w:rsidP="00D63204">
      <w:pPr>
        <w:pStyle w:val="ListParagraph"/>
        <w:widowControl w:val="0"/>
        <w:numPr>
          <w:ilvl w:val="0"/>
          <w:numId w:val="11"/>
        </w:numPr>
        <w:spacing w:before="121" w:after="0" w:line="240" w:lineRule="auto"/>
        <w:rPr>
          <w:rFonts w:ascii="Calibri" w:hAnsi="Calibri" w:cs="Calibri"/>
        </w:rPr>
      </w:pPr>
      <w:r w:rsidRPr="0083561B">
        <w:rPr>
          <w:rFonts w:ascii="Calibri" w:hAnsi="Calibri"/>
          <w:color w:val="295CA3"/>
          <w:w w:val="105"/>
        </w:rPr>
        <w:t>Employment and Training Services to the Agricultural Community</w:t>
      </w:r>
    </w:p>
    <w:p w14:paraId="6D089987" w14:textId="77777777" w:rsidR="00621F2D" w:rsidRPr="0083561B" w:rsidRDefault="00621F2D" w:rsidP="00D63204">
      <w:pPr>
        <w:pStyle w:val="ListParagraph"/>
        <w:widowControl w:val="0"/>
        <w:spacing w:before="121" w:after="0" w:line="240" w:lineRule="auto"/>
        <w:ind w:left="1532"/>
        <w:rPr>
          <w:rFonts w:ascii="Calibri" w:hAnsi="Calibri" w:cs="Calibri"/>
        </w:rPr>
      </w:pPr>
    </w:p>
    <w:p w14:paraId="78EED932" w14:textId="767F6A90" w:rsidR="008279F0" w:rsidRPr="00621F2D" w:rsidRDefault="008279F0" w:rsidP="00D63204">
      <w:pPr>
        <w:pStyle w:val="ListParagraph"/>
        <w:widowControl w:val="0"/>
        <w:numPr>
          <w:ilvl w:val="3"/>
          <w:numId w:val="6"/>
        </w:numPr>
        <w:tabs>
          <w:tab w:val="left" w:pos="1998"/>
        </w:tabs>
        <w:spacing w:before="121" w:after="0" w:line="240" w:lineRule="auto"/>
        <w:rPr>
          <w:rFonts w:ascii="Calibri" w:hAnsi="Calibri" w:cs="Calibri"/>
          <w:color w:val="365F91" w:themeColor="accent1" w:themeShade="BF"/>
        </w:rPr>
      </w:pPr>
      <w:r w:rsidRPr="00621F2D">
        <w:rPr>
          <w:rFonts w:ascii="Calibri" w:hAnsi="Calibri" w:cs="Calibri"/>
          <w:color w:val="365F91" w:themeColor="accent1" w:themeShade="BF"/>
        </w:rPr>
        <w:t>Career and Training Services Provided to MSFWs</w:t>
      </w:r>
    </w:p>
    <w:p w14:paraId="34D777EC" w14:textId="77777777" w:rsidR="009A7A2B" w:rsidRPr="009A7A2B" w:rsidRDefault="009A7A2B" w:rsidP="00D63204">
      <w:pPr>
        <w:widowControl w:val="0"/>
        <w:tabs>
          <w:tab w:val="left" w:pos="1998"/>
        </w:tabs>
        <w:spacing w:before="121" w:after="0" w:line="240" w:lineRule="auto"/>
        <w:ind w:left="90"/>
        <w:rPr>
          <w:rFonts w:ascii="Calibri" w:hAnsi="Calibri" w:cs="Calibri"/>
        </w:rPr>
      </w:pPr>
      <w:r w:rsidRPr="009A7A2B">
        <w:rPr>
          <w:rFonts w:ascii="Calibri" w:hAnsi="Calibri" w:cs="Calibri"/>
        </w:rPr>
        <w:t xml:space="preserve">Career and training services are provided to MSFWs. Basic and individualized career staff assisted services are provided through outreach and in career centers to MSFWs. Florida’s management information system, Employ Florida, allows for self-services at any location without the need of visiting a career center. Customers using self-services at the career center have access to staff assistance. </w:t>
      </w:r>
    </w:p>
    <w:p w14:paraId="5A075204" w14:textId="77777777" w:rsidR="0083561B" w:rsidRDefault="0083561B" w:rsidP="00D63204">
      <w:pPr>
        <w:widowControl w:val="0"/>
        <w:tabs>
          <w:tab w:val="left" w:pos="1998"/>
        </w:tabs>
        <w:spacing w:after="0" w:line="240" w:lineRule="auto"/>
        <w:ind w:left="90"/>
        <w:rPr>
          <w:rFonts w:ascii="Calibri" w:hAnsi="Calibri" w:cs="Calibri"/>
        </w:rPr>
      </w:pPr>
    </w:p>
    <w:p w14:paraId="49457725" w14:textId="63F7DDE6" w:rsidR="00A17CA9" w:rsidRPr="009A7A2B" w:rsidRDefault="00A17CA9" w:rsidP="00D63204">
      <w:pPr>
        <w:widowControl w:val="0"/>
        <w:tabs>
          <w:tab w:val="left" w:pos="1998"/>
        </w:tabs>
        <w:spacing w:after="0" w:line="240" w:lineRule="auto"/>
        <w:ind w:left="90"/>
        <w:rPr>
          <w:rFonts w:ascii="Calibri" w:hAnsi="Calibri" w:cs="Calibri"/>
        </w:rPr>
      </w:pPr>
      <w:r w:rsidRPr="00A17CA9">
        <w:rPr>
          <w:rFonts w:ascii="Calibri" w:hAnsi="Calibri" w:cs="Calibri"/>
        </w:rPr>
        <w:t xml:space="preserve">The MSFWs’ knowledge, skills and abilities (KSAs) are assessed to determine appropriate jobs to which they may be referred. Job referrals are provided through mass recruitments, H-2A job referrals, other low-skilled job referrals and job developments. Effort is made to refer MSFW </w:t>
      </w:r>
      <w:r w:rsidR="00C709D2">
        <w:rPr>
          <w:rFonts w:ascii="Calibri" w:hAnsi="Calibri" w:cs="Calibri"/>
        </w:rPr>
        <w:t>job</w:t>
      </w:r>
      <w:r w:rsidR="007F14D7">
        <w:rPr>
          <w:rFonts w:ascii="Calibri" w:hAnsi="Calibri" w:cs="Calibri"/>
        </w:rPr>
        <w:t xml:space="preserve"> </w:t>
      </w:r>
      <w:r w:rsidRPr="00A17CA9">
        <w:rPr>
          <w:rFonts w:ascii="Calibri" w:hAnsi="Calibri" w:cs="Calibri"/>
        </w:rPr>
        <w:t>seekers to H-2A job orders whenever possible. Jobs located in Georgia, Michigan, Mississippi, New Jersey, New York, North Carolina, Ohio, South Carolina, Virginia</w:t>
      </w:r>
      <w:r w:rsidR="00D5537E">
        <w:rPr>
          <w:rFonts w:ascii="Calibri" w:hAnsi="Calibri" w:cs="Calibri"/>
        </w:rPr>
        <w:t xml:space="preserve"> and</w:t>
      </w:r>
      <w:r w:rsidRPr="00A17CA9">
        <w:rPr>
          <w:rFonts w:ascii="Calibri" w:hAnsi="Calibri" w:cs="Calibri"/>
        </w:rPr>
        <w:t xml:space="preserve"> Pennsylvania H-2A jobs are posted in Employ Florida. Staff ensure terms and conditions of employment are discussed prior to referral and that the job</w:t>
      </w:r>
      <w:r w:rsidR="007F14D7">
        <w:rPr>
          <w:rFonts w:ascii="Calibri" w:hAnsi="Calibri" w:cs="Calibri"/>
        </w:rPr>
        <w:t xml:space="preserve"> </w:t>
      </w:r>
      <w:r w:rsidRPr="00A17CA9">
        <w:rPr>
          <w:rFonts w:ascii="Calibri" w:hAnsi="Calibri" w:cs="Calibri"/>
        </w:rPr>
        <w:t>seeker is aware of afforded assurances. H-2A job orders are suppressed in the Employ Florida system to ensure maximum protections to the applicant. Staff are required to follow up on referrals made to H-2A job orders.</w:t>
      </w:r>
      <w:r w:rsidRPr="009A7A2B">
        <w:rPr>
          <w:rFonts w:ascii="Calibri" w:hAnsi="Calibri" w:cs="Calibri"/>
        </w:rPr>
        <w:t xml:space="preserve"> </w:t>
      </w:r>
    </w:p>
    <w:p w14:paraId="2193AA44" w14:textId="77777777" w:rsidR="0083561B" w:rsidRDefault="0083561B" w:rsidP="00D63204">
      <w:pPr>
        <w:widowControl w:val="0"/>
        <w:tabs>
          <w:tab w:val="left" w:pos="1998"/>
        </w:tabs>
        <w:spacing w:after="0" w:line="240" w:lineRule="auto"/>
        <w:ind w:left="90"/>
        <w:rPr>
          <w:rFonts w:ascii="Calibri" w:hAnsi="Calibri" w:cs="Calibri"/>
        </w:rPr>
      </w:pPr>
    </w:p>
    <w:p w14:paraId="7B3A55B2" w14:textId="7C36722B" w:rsidR="009A7A2B" w:rsidRPr="009A7A2B" w:rsidRDefault="009A7A2B" w:rsidP="00D63204">
      <w:pPr>
        <w:widowControl w:val="0"/>
        <w:tabs>
          <w:tab w:val="left" w:pos="1998"/>
        </w:tabs>
        <w:spacing w:after="0" w:line="240" w:lineRule="auto"/>
        <w:ind w:left="90"/>
        <w:rPr>
          <w:rFonts w:ascii="Calibri" w:hAnsi="Calibri" w:cs="Calibri"/>
        </w:rPr>
      </w:pPr>
      <w:r w:rsidRPr="009A7A2B">
        <w:rPr>
          <w:rFonts w:ascii="Calibri" w:hAnsi="Calibri" w:cs="Calibri"/>
        </w:rPr>
        <w:t>Referrals are made to ESL classes to reduce language barriers improve resume and interviewing skills. Workshops enable MSFWs to become more competitive in the workforce. Staff provide career guidance and suggest training programs best suited to the needs of customers who are not job ready or those prepared for a change in occupation. Referrals are made to local FCDP training programs and LWDB training programs. Co-enrollments take place when possible. Other programs MSFWs are referred to include VR (for MSFWs</w:t>
      </w:r>
      <w:r w:rsidR="005C4055">
        <w:rPr>
          <w:rFonts w:ascii="Calibri" w:hAnsi="Calibri" w:cs="Calibri"/>
        </w:rPr>
        <w:t xml:space="preserve"> with disabilities</w:t>
      </w:r>
      <w:r w:rsidRPr="009A7A2B">
        <w:rPr>
          <w:rFonts w:ascii="Calibri" w:hAnsi="Calibri" w:cs="Calibri"/>
        </w:rPr>
        <w:t>), older workers programs and housing assistance agencies. Staff are familiar with and refer MSFWs as appropriate to other community supportive services.</w:t>
      </w:r>
    </w:p>
    <w:p w14:paraId="2071CC27" w14:textId="77777777" w:rsidR="00C76B6F" w:rsidRDefault="00C76B6F" w:rsidP="00D63204">
      <w:pPr>
        <w:widowControl w:val="0"/>
        <w:tabs>
          <w:tab w:val="left" w:pos="1998"/>
        </w:tabs>
        <w:spacing w:before="121" w:after="0" w:line="240" w:lineRule="auto"/>
        <w:ind w:left="90"/>
        <w:rPr>
          <w:rFonts w:ascii="Calibri" w:hAnsi="Calibri" w:cs="Calibri"/>
        </w:rPr>
      </w:pPr>
    </w:p>
    <w:p w14:paraId="07F6790A" w14:textId="100EBCE8" w:rsidR="009A7A2B" w:rsidRPr="009A7A2B" w:rsidRDefault="009A7A2B" w:rsidP="00D63204">
      <w:pPr>
        <w:widowControl w:val="0"/>
        <w:tabs>
          <w:tab w:val="left" w:pos="1998"/>
        </w:tabs>
        <w:spacing w:before="121" w:after="0" w:line="240" w:lineRule="auto"/>
        <w:ind w:left="90"/>
        <w:rPr>
          <w:rFonts w:ascii="Calibri" w:hAnsi="Calibri" w:cs="Calibri"/>
        </w:rPr>
      </w:pPr>
      <w:r w:rsidRPr="009A7A2B">
        <w:rPr>
          <w:rFonts w:ascii="Calibri" w:hAnsi="Calibri" w:cs="Calibri"/>
        </w:rPr>
        <w:t>The State Monitor Advocate or Assistant Monitor Advocate conducts quality assurance visits to significant offices on an annual basis to ensure MSFWs have equal access to employment opportunities through Florida’s career center delivery system. WP monitoring staff ensure MSFWs have equal access to services during quality assurance desk reviews of non-significant LWDBs.</w:t>
      </w:r>
    </w:p>
    <w:p w14:paraId="2FCB2EBD" w14:textId="77777777" w:rsidR="008279F0" w:rsidRDefault="008279F0" w:rsidP="00D63204">
      <w:pPr>
        <w:widowControl w:val="0"/>
        <w:numPr>
          <w:ilvl w:val="3"/>
          <w:numId w:val="6"/>
        </w:numPr>
        <w:tabs>
          <w:tab w:val="left" w:pos="1998"/>
        </w:tabs>
        <w:spacing w:before="121" w:after="0" w:line="240" w:lineRule="auto"/>
        <w:rPr>
          <w:rFonts w:ascii="Calibri" w:hAnsi="Calibri" w:cs="Calibri"/>
          <w:color w:val="365F91" w:themeColor="accent1" w:themeShade="BF"/>
        </w:rPr>
      </w:pPr>
      <w:r>
        <w:rPr>
          <w:rFonts w:ascii="Calibri" w:hAnsi="Calibri" w:cs="Calibri"/>
          <w:color w:val="365F91" w:themeColor="accent1" w:themeShade="BF"/>
        </w:rPr>
        <w:t xml:space="preserve"> Services to Agricultural Employers</w:t>
      </w:r>
    </w:p>
    <w:p w14:paraId="0B0A20F6" w14:textId="4E695B86" w:rsidR="0083561B" w:rsidRDefault="00BB26EF" w:rsidP="00D63204">
      <w:pPr>
        <w:widowControl w:val="0"/>
        <w:tabs>
          <w:tab w:val="left" w:pos="1998"/>
        </w:tabs>
        <w:spacing w:before="121" w:after="0" w:line="240" w:lineRule="auto"/>
        <w:ind w:left="90"/>
        <w:rPr>
          <w:rFonts w:ascii="Calibri" w:hAnsi="Calibri" w:cs="Calibri"/>
        </w:rPr>
      </w:pPr>
      <w:r w:rsidRPr="00BB26EF">
        <w:rPr>
          <w:rFonts w:ascii="Calibri" w:hAnsi="Calibri" w:cs="Calibri"/>
        </w:rPr>
        <w:t>Florida ensures all career centers make assistance available to employers, including those in the agricultural industry. Outreach to public and private community agencies, MSFWs and employer organizations is conducted to facilitate the widest possible distribution of information about employment opportunities</w:t>
      </w:r>
      <w:r w:rsidR="005E7C49">
        <w:rPr>
          <w:rFonts w:ascii="Calibri" w:hAnsi="Calibri" w:cs="Calibri"/>
        </w:rPr>
        <w:t xml:space="preserve">. </w:t>
      </w:r>
      <w:r w:rsidRPr="00BB26EF">
        <w:rPr>
          <w:rFonts w:ascii="Calibri" w:hAnsi="Calibri" w:cs="Calibri"/>
        </w:rPr>
        <w:t xml:space="preserve">Career center staff in </w:t>
      </w:r>
      <w:r w:rsidRPr="00BB26EF">
        <w:rPr>
          <w:rFonts w:ascii="Calibri" w:hAnsi="Calibri" w:cs="Calibri"/>
        </w:rPr>
        <w:lastRenderedPageBreak/>
        <w:t xml:space="preserve">significant multilingual MSFW centers and LWDB Business Service Representatives perform marketing outreach to growers, harvesters and processors. Career centers obtain employer contact information, maintain existing contacts and encourage employers to create job orders in Employ Florida through local career centers. Career centers </w:t>
      </w:r>
      <w:r w:rsidR="005912D8">
        <w:rPr>
          <w:rFonts w:ascii="Calibri" w:hAnsi="Calibri" w:cs="Calibri"/>
        </w:rPr>
        <w:t xml:space="preserve">assist </w:t>
      </w:r>
      <w:r w:rsidRPr="00BB26EF">
        <w:rPr>
          <w:rFonts w:ascii="Calibri" w:hAnsi="Calibri" w:cs="Calibri"/>
        </w:rPr>
        <w:t>MSFWs in the preparation of applications for employment services</w:t>
      </w:r>
      <w:r w:rsidR="00D5537E">
        <w:rPr>
          <w:rFonts w:ascii="Calibri" w:hAnsi="Calibri" w:cs="Calibri"/>
        </w:rPr>
        <w:t xml:space="preserve"> and</w:t>
      </w:r>
      <w:r w:rsidRPr="00BB26EF">
        <w:rPr>
          <w:rFonts w:ascii="Calibri" w:hAnsi="Calibri" w:cs="Calibri"/>
        </w:rPr>
        <w:t xml:space="preserve"> assistance in obtaining referrals to current and future employment opportunities. DEO office staff promote labor exchange services to agricultural employers through participation at employer conferences and seminars and through DEO’s website. The State Monitor Advocate partners with the U.S. Department of Labor, Wage and Hour Division and agricultural employer organizations to conduct employer forums for agricultural employers and provide information on available services for employers including services pertaining to the agricultural industry such as local mass recruitments and the Agricultural Recruitment System.</w:t>
      </w:r>
    </w:p>
    <w:p w14:paraId="6411BED3" w14:textId="77777777" w:rsidR="0083561B" w:rsidRDefault="0083561B" w:rsidP="00D63204">
      <w:pPr>
        <w:widowControl w:val="0"/>
        <w:tabs>
          <w:tab w:val="left" w:pos="1998"/>
        </w:tabs>
        <w:spacing w:after="0" w:line="240" w:lineRule="auto"/>
        <w:ind w:left="90"/>
        <w:rPr>
          <w:rFonts w:ascii="Calibri" w:hAnsi="Calibri" w:cs="Calibri"/>
        </w:rPr>
      </w:pPr>
    </w:p>
    <w:p w14:paraId="2FB66A2D" w14:textId="77777777" w:rsidR="00A17CA9" w:rsidRDefault="00A17CA9" w:rsidP="00D63204">
      <w:pPr>
        <w:widowControl w:val="0"/>
        <w:tabs>
          <w:tab w:val="left" w:pos="1998"/>
        </w:tabs>
        <w:spacing w:after="0" w:line="240" w:lineRule="auto"/>
        <w:ind w:left="90"/>
        <w:rPr>
          <w:rFonts w:ascii="Calibri" w:hAnsi="Calibri" w:cs="Calibri"/>
        </w:rPr>
      </w:pPr>
      <w:r w:rsidRPr="00A17CA9">
        <w:rPr>
          <w:rFonts w:ascii="Calibri" w:hAnsi="Calibri" w:cs="Calibri"/>
        </w:rPr>
        <w:t>Identifying the needs of employers is a high priority. CareerSource Florida’s efforts continue to promote strategies that support the growth of targeted industries in the state. Sector strategies are regional, employer-driven partnerships of industry, education and workforce development leaders focused on identifying solutions to the workforce needs of the local labor market. Strategies used to promote labor exchange services to agricultural employers include recruiting agreements, job fairs and establishing new business relationships. These efforts include advising worker advocates and groups through job order notifications published in English and Spanish; and, providing notification to employers and advocates of changes to the Foreign Labor Certification Program requirements affecting workers.</w:t>
      </w:r>
    </w:p>
    <w:p w14:paraId="4EF388CC" w14:textId="77777777" w:rsidR="0083561B" w:rsidRDefault="0083561B" w:rsidP="00D63204">
      <w:pPr>
        <w:widowControl w:val="0"/>
        <w:tabs>
          <w:tab w:val="left" w:pos="1998"/>
        </w:tabs>
        <w:spacing w:after="0" w:line="240" w:lineRule="auto"/>
        <w:ind w:left="90"/>
        <w:rPr>
          <w:rFonts w:ascii="Calibri" w:hAnsi="Calibri" w:cs="Calibri"/>
        </w:rPr>
      </w:pPr>
    </w:p>
    <w:p w14:paraId="32689091" w14:textId="2BE9CB49" w:rsidR="0083561B" w:rsidRDefault="00BB26EF" w:rsidP="00D63204">
      <w:pPr>
        <w:widowControl w:val="0"/>
        <w:tabs>
          <w:tab w:val="left" w:pos="1998"/>
        </w:tabs>
        <w:spacing w:after="0" w:line="240" w:lineRule="auto"/>
        <w:ind w:left="90"/>
        <w:rPr>
          <w:rFonts w:ascii="Calibri" w:hAnsi="Calibri" w:cs="Calibri"/>
        </w:rPr>
      </w:pPr>
      <w:r w:rsidRPr="00BB26EF">
        <w:rPr>
          <w:rFonts w:ascii="Calibri" w:hAnsi="Calibri" w:cs="Calibri"/>
        </w:rPr>
        <w:t>Florida see</w:t>
      </w:r>
      <w:r w:rsidR="00556B0E">
        <w:rPr>
          <w:rFonts w:ascii="Calibri" w:hAnsi="Calibri" w:cs="Calibri"/>
        </w:rPr>
        <w:t>s</w:t>
      </w:r>
      <w:r w:rsidRPr="00BB26EF">
        <w:rPr>
          <w:rFonts w:ascii="Calibri" w:hAnsi="Calibri" w:cs="Calibri"/>
        </w:rPr>
        <w:t xml:space="preserve"> an increased number of agricultural employers using the H-2A Temporary Agricultural Program. The H-2A Temporary Agricultural Program allows U.S. employers that meet specific regulatory requirements to bring foreign nationals to the United States to fill temporary agricultural jobs. DEO’s Foreign Labor Certification office enters H-2A job orders in the state’s online labor exchange system, Employ Florida. During PY 2016, the Department processed 338 H-2A applications and job orders for Florida employers, an increase from the previous year. Applications are expected to steadily increase for PY 2017 – PY 2018, based on previous years’ trends</w:t>
      </w:r>
      <w:r w:rsidR="00B4168F">
        <w:rPr>
          <w:rFonts w:ascii="Calibri" w:hAnsi="Calibri" w:cs="Calibri"/>
        </w:rPr>
        <w:t xml:space="preserve">. </w:t>
      </w:r>
      <w:r w:rsidRPr="00BB26EF">
        <w:rPr>
          <w:rFonts w:ascii="Calibri" w:hAnsi="Calibri" w:cs="Calibri"/>
        </w:rPr>
        <w:t xml:space="preserve">During PY 2016, 662 MSFWs were referred for job placements under the H-2A program. </w:t>
      </w:r>
    </w:p>
    <w:p w14:paraId="53A882EC" w14:textId="77777777" w:rsidR="0083561B" w:rsidRDefault="0083561B" w:rsidP="00D63204">
      <w:pPr>
        <w:widowControl w:val="0"/>
        <w:tabs>
          <w:tab w:val="left" w:pos="1998"/>
        </w:tabs>
        <w:spacing w:after="0" w:line="240" w:lineRule="auto"/>
        <w:ind w:left="90"/>
        <w:rPr>
          <w:rFonts w:ascii="Calibri" w:hAnsi="Calibri" w:cs="Calibri"/>
        </w:rPr>
      </w:pPr>
    </w:p>
    <w:p w14:paraId="69D6BD0A" w14:textId="635789CA" w:rsidR="00BB26EF" w:rsidRDefault="00BB26EF" w:rsidP="00D63204">
      <w:pPr>
        <w:widowControl w:val="0"/>
        <w:tabs>
          <w:tab w:val="left" w:pos="1998"/>
        </w:tabs>
        <w:spacing w:after="0" w:line="240" w:lineRule="auto"/>
        <w:ind w:left="90"/>
        <w:rPr>
          <w:rFonts w:ascii="Calibri" w:hAnsi="Calibri" w:cs="Calibri"/>
        </w:rPr>
      </w:pPr>
      <w:r w:rsidRPr="00BB26EF">
        <w:rPr>
          <w:rFonts w:ascii="Calibri" w:hAnsi="Calibri" w:cs="Calibri"/>
        </w:rPr>
        <w:t>Career centers in significant agricultural areas are provided approved clearance (job) orders that provide staff, including outreach workers, with current information on job availability. Career centers are provided information on out-of-state clearance orders found in Employ Florida. Domestic farmworker crews, family groups and individuals are recruited and referred to agricultural employers who submit job orders in agricultural occupations. For PY 2016, 11,671 MSFWs were referred to agricultural employers as indicated in the Migrant Indicators of Compliance Statewide Report.</w:t>
      </w:r>
    </w:p>
    <w:p w14:paraId="2F17EEB3" w14:textId="58E54301" w:rsidR="0083561B" w:rsidRDefault="0083561B" w:rsidP="00D63204">
      <w:pPr>
        <w:widowControl w:val="0"/>
        <w:tabs>
          <w:tab w:val="left" w:pos="1998"/>
        </w:tabs>
        <w:spacing w:after="0" w:line="240" w:lineRule="auto"/>
        <w:ind w:left="90"/>
        <w:rPr>
          <w:rFonts w:ascii="Calibri" w:hAnsi="Calibri" w:cs="Calibri"/>
        </w:rPr>
      </w:pPr>
    </w:p>
    <w:p w14:paraId="0468CD18" w14:textId="14D78E39" w:rsidR="008279F0" w:rsidRPr="00621F2D" w:rsidRDefault="008279F0" w:rsidP="00D63204">
      <w:pPr>
        <w:pStyle w:val="ListParagraph"/>
        <w:widowControl w:val="0"/>
        <w:numPr>
          <w:ilvl w:val="0"/>
          <w:numId w:val="11"/>
        </w:numPr>
        <w:tabs>
          <w:tab w:val="left" w:pos="1998"/>
        </w:tabs>
        <w:spacing w:before="121" w:after="0" w:line="240" w:lineRule="auto"/>
        <w:rPr>
          <w:rFonts w:ascii="Calibri" w:hAnsi="Calibri" w:cs="Calibri"/>
        </w:rPr>
      </w:pPr>
      <w:r w:rsidRPr="00621F2D">
        <w:rPr>
          <w:rFonts w:ascii="Calibri" w:hAnsi="Calibri"/>
          <w:color w:val="295CA3"/>
          <w:w w:val="105"/>
        </w:rPr>
        <w:t>Marketing the Employment Service Complaint System to Farmworkers and Other Farmworker Advocacy Groups</w:t>
      </w:r>
    </w:p>
    <w:p w14:paraId="4390B635" w14:textId="3AE8FA26" w:rsidR="00BC264C" w:rsidRPr="008279F0" w:rsidRDefault="00BC264C" w:rsidP="00D63204">
      <w:pPr>
        <w:widowControl w:val="0"/>
        <w:tabs>
          <w:tab w:val="left" w:pos="1998"/>
        </w:tabs>
        <w:spacing w:before="121" w:after="0" w:line="240" w:lineRule="auto"/>
        <w:ind w:left="90"/>
        <w:rPr>
          <w:rFonts w:ascii="Calibri" w:hAnsi="Calibri" w:cs="Calibri"/>
        </w:rPr>
      </w:pPr>
      <w:r w:rsidRPr="00BC264C">
        <w:rPr>
          <w:rFonts w:ascii="Calibri" w:hAnsi="Calibri" w:cs="Calibri"/>
        </w:rPr>
        <w:t xml:space="preserve">Outreach workers take complaints while in the field. The employment service complaint system is marketed to farmworkers and to agencies. One mechanism used to promote the complaint system is the Florida Farmworker Helpline, a toll-free number farmworkers </w:t>
      </w:r>
      <w:r w:rsidR="00C90F4F">
        <w:rPr>
          <w:rFonts w:ascii="Calibri" w:hAnsi="Calibri" w:cs="Calibri"/>
        </w:rPr>
        <w:t xml:space="preserve">can </w:t>
      </w:r>
      <w:r w:rsidRPr="00BC264C">
        <w:rPr>
          <w:rFonts w:ascii="Calibri" w:hAnsi="Calibri" w:cs="Calibri"/>
        </w:rPr>
        <w:t>call to file a complaint or report violation</w:t>
      </w:r>
      <w:r w:rsidR="00C90F4F">
        <w:rPr>
          <w:rFonts w:ascii="Calibri" w:hAnsi="Calibri" w:cs="Calibri"/>
        </w:rPr>
        <w:t>s</w:t>
      </w:r>
      <w:r w:rsidRPr="00BC264C">
        <w:rPr>
          <w:rFonts w:ascii="Calibri" w:hAnsi="Calibri" w:cs="Calibri"/>
        </w:rPr>
        <w:t xml:space="preserve"> anonymously. Outreach materials such as the DEO 511N form, farmworker rights brochure</w:t>
      </w:r>
      <w:r w:rsidR="00D5537E">
        <w:rPr>
          <w:rFonts w:ascii="Calibri" w:hAnsi="Calibri" w:cs="Calibri"/>
        </w:rPr>
        <w:t xml:space="preserve"> and</w:t>
      </w:r>
      <w:r w:rsidRPr="00BC264C">
        <w:rPr>
          <w:rFonts w:ascii="Calibri" w:hAnsi="Calibri" w:cs="Calibri"/>
        </w:rPr>
        <w:t xml:space="preserve"> Farmworker Helpline business cards, include the helpline number. This number is </w:t>
      </w:r>
      <w:r w:rsidR="00C90F4F">
        <w:rPr>
          <w:rFonts w:ascii="Calibri" w:hAnsi="Calibri" w:cs="Calibri"/>
        </w:rPr>
        <w:t xml:space="preserve">featured prominently </w:t>
      </w:r>
      <w:r w:rsidRPr="00BC264C">
        <w:rPr>
          <w:rFonts w:ascii="Calibri" w:hAnsi="Calibri" w:cs="Calibri"/>
        </w:rPr>
        <w:t xml:space="preserve">on complaint posters located in significant MSFW career centers. Helpline business cards are </w:t>
      </w:r>
      <w:r w:rsidR="00C90F4F">
        <w:rPr>
          <w:rFonts w:ascii="Calibri" w:hAnsi="Calibri" w:cs="Calibri"/>
        </w:rPr>
        <w:t xml:space="preserve">provided to </w:t>
      </w:r>
      <w:r w:rsidRPr="00BC264C">
        <w:rPr>
          <w:rFonts w:ascii="Calibri" w:hAnsi="Calibri" w:cs="Calibri"/>
        </w:rPr>
        <w:t xml:space="preserve">agencies and businesses </w:t>
      </w:r>
      <w:r w:rsidR="00C90F4F">
        <w:rPr>
          <w:rFonts w:ascii="Calibri" w:hAnsi="Calibri" w:cs="Calibri"/>
        </w:rPr>
        <w:t xml:space="preserve">serving </w:t>
      </w:r>
      <w:r w:rsidRPr="00BC264C">
        <w:rPr>
          <w:rFonts w:ascii="Calibri" w:hAnsi="Calibri" w:cs="Calibri"/>
        </w:rPr>
        <w:t xml:space="preserve">farmworkers. </w:t>
      </w:r>
      <w:r w:rsidR="00C90F4F">
        <w:rPr>
          <w:rFonts w:ascii="Calibri" w:hAnsi="Calibri" w:cs="Calibri"/>
        </w:rPr>
        <w:t>F</w:t>
      </w:r>
      <w:r w:rsidRPr="00BC264C">
        <w:rPr>
          <w:rFonts w:ascii="Calibri" w:hAnsi="Calibri" w:cs="Calibri"/>
        </w:rPr>
        <w:t>armworkers and agencies are informed complaints can be filed in person at any career center or with an outreach worker.</w:t>
      </w:r>
    </w:p>
    <w:p w14:paraId="21AAFAB4" w14:textId="77777777" w:rsidR="008279F0" w:rsidRPr="00BC264C" w:rsidRDefault="008279F0" w:rsidP="00D63204">
      <w:pPr>
        <w:widowControl w:val="0"/>
        <w:numPr>
          <w:ilvl w:val="0"/>
          <w:numId w:val="11"/>
        </w:numPr>
        <w:tabs>
          <w:tab w:val="left" w:pos="1998"/>
        </w:tabs>
        <w:spacing w:before="121" w:after="0" w:line="240" w:lineRule="auto"/>
        <w:rPr>
          <w:rFonts w:ascii="Calibri" w:hAnsi="Calibri" w:cs="Calibri"/>
        </w:rPr>
      </w:pPr>
      <w:r>
        <w:rPr>
          <w:rFonts w:ascii="Calibri" w:hAnsi="Calibri"/>
          <w:color w:val="295CA3"/>
          <w:w w:val="105"/>
        </w:rPr>
        <w:t>Marketing the Agricultural Recruitment System to Agricultural Employers</w:t>
      </w:r>
    </w:p>
    <w:p w14:paraId="37609100" w14:textId="43613A18" w:rsidR="00BC264C" w:rsidRDefault="00BC264C" w:rsidP="00D63204">
      <w:pPr>
        <w:widowControl w:val="0"/>
        <w:tabs>
          <w:tab w:val="left" w:pos="1998"/>
        </w:tabs>
        <w:spacing w:before="121" w:after="0" w:line="240" w:lineRule="auto"/>
        <w:ind w:left="90"/>
        <w:rPr>
          <w:rFonts w:ascii="Calibri" w:hAnsi="Calibri" w:cs="Calibri"/>
        </w:rPr>
      </w:pPr>
      <w:r w:rsidRPr="00BC264C">
        <w:rPr>
          <w:rFonts w:ascii="Calibri" w:hAnsi="Calibri" w:cs="Calibri"/>
        </w:rPr>
        <w:t xml:space="preserve">The Agricultural Recruitment System is an alternative to the H-2A program offered to employers who have </w:t>
      </w:r>
      <w:r w:rsidRPr="00BC264C">
        <w:rPr>
          <w:rFonts w:ascii="Calibri" w:hAnsi="Calibri" w:cs="Calibri"/>
        </w:rPr>
        <w:lastRenderedPageBreak/>
        <w:t xml:space="preserve">temporary agricultural or food processing jobs and need workers. </w:t>
      </w:r>
      <w:r w:rsidR="00C90F4F">
        <w:rPr>
          <w:rFonts w:ascii="Calibri" w:hAnsi="Calibri" w:cs="Calibri"/>
        </w:rPr>
        <w:t>T</w:t>
      </w:r>
      <w:r w:rsidRPr="00BC264C">
        <w:rPr>
          <w:rFonts w:ascii="Calibri" w:hAnsi="Calibri" w:cs="Calibri"/>
        </w:rPr>
        <w:t>he State Monitor Advocate promote</w:t>
      </w:r>
      <w:r w:rsidR="00C90F4F">
        <w:rPr>
          <w:rFonts w:ascii="Calibri" w:hAnsi="Calibri" w:cs="Calibri"/>
        </w:rPr>
        <w:t>s</w:t>
      </w:r>
      <w:r w:rsidRPr="00BC264C">
        <w:rPr>
          <w:rFonts w:ascii="Calibri" w:hAnsi="Calibri" w:cs="Calibri"/>
        </w:rPr>
        <w:t xml:space="preserve"> the Agricultural Recruitment System during employer forums to agricultural employers and employer organizations as a more cost</w:t>
      </w:r>
      <w:r w:rsidR="00C90F4F">
        <w:rPr>
          <w:rFonts w:ascii="Calibri" w:hAnsi="Calibri" w:cs="Calibri"/>
        </w:rPr>
        <w:t>-</w:t>
      </w:r>
      <w:r w:rsidRPr="00BC264C">
        <w:rPr>
          <w:rFonts w:ascii="Calibri" w:hAnsi="Calibri" w:cs="Calibri"/>
        </w:rPr>
        <w:t>effective alternative to H-2A. Outreach workers provide information on this program during employer visits. Agricultural Recruitment System brochures are shared with employers during forums and visits</w:t>
      </w:r>
      <w:r w:rsidR="0083561B">
        <w:rPr>
          <w:rFonts w:ascii="Calibri" w:hAnsi="Calibri" w:cs="Calibri"/>
        </w:rPr>
        <w:t>.</w:t>
      </w:r>
    </w:p>
    <w:p w14:paraId="03FE80E4" w14:textId="77777777" w:rsidR="0083561B" w:rsidRPr="008279F0" w:rsidRDefault="0083561B" w:rsidP="00D63204">
      <w:pPr>
        <w:widowControl w:val="0"/>
        <w:tabs>
          <w:tab w:val="left" w:pos="1998"/>
        </w:tabs>
        <w:spacing w:after="0" w:line="240" w:lineRule="auto"/>
        <w:ind w:left="90"/>
        <w:rPr>
          <w:rFonts w:ascii="Calibri" w:hAnsi="Calibri" w:cs="Calibri"/>
        </w:rPr>
      </w:pPr>
    </w:p>
    <w:p w14:paraId="0EA77D07" w14:textId="35711BE8" w:rsidR="008279F0" w:rsidRPr="0083561B" w:rsidRDefault="008279F0" w:rsidP="00D63204">
      <w:pPr>
        <w:widowControl w:val="0"/>
        <w:numPr>
          <w:ilvl w:val="1"/>
          <w:numId w:val="3"/>
        </w:numPr>
        <w:tabs>
          <w:tab w:val="left" w:pos="1098"/>
        </w:tabs>
        <w:spacing w:after="0" w:line="240" w:lineRule="auto"/>
        <w:outlineLvl w:val="2"/>
        <w:rPr>
          <w:rFonts w:ascii="Calibri" w:hAnsi="Calibri"/>
        </w:rPr>
      </w:pPr>
      <w:r>
        <w:rPr>
          <w:rFonts w:ascii="Calibri" w:hAnsi="Calibri"/>
          <w:b/>
          <w:bCs/>
          <w:color w:val="295CA3"/>
          <w:w w:val="110"/>
        </w:rPr>
        <w:t>Other Requirements</w:t>
      </w:r>
    </w:p>
    <w:p w14:paraId="4F48730A" w14:textId="77777777" w:rsidR="0083561B" w:rsidRPr="008279F0" w:rsidRDefault="0083561B" w:rsidP="00D63204">
      <w:pPr>
        <w:widowControl w:val="0"/>
        <w:tabs>
          <w:tab w:val="left" w:pos="1098"/>
        </w:tabs>
        <w:spacing w:after="0" w:line="240" w:lineRule="auto"/>
        <w:ind w:left="1098"/>
        <w:outlineLvl w:val="2"/>
        <w:rPr>
          <w:rFonts w:ascii="Calibri" w:hAnsi="Calibri"/>
        </w:rPr>
      </w:pPr>
    </w:p>
    <w:p w14:paraId="4A7428B8" w14:textId="209E51FD" w:rsidR="008279F0" w:rsidRPr="00DC7834" w:rsidRDefault="008279F0" w:rsidP="00D63204">
      <w:pPr>
        <w:pStyle w:val="ListParagraph"/>
        <w:widowControl w:val="0"/>
        <w:numPr>
          <w:ilvl w:val="0"/>
          <w:numId w:val="44"/>
        </w:numPr>
        <w:tabs>
          <w:tab w:val="left" w:pos="1998"/>
        </w:tabs>
        <w:spacing w:after="0" w:line="240" w:lineRule="auto"/>
        <w:rPr>
          <w:rFonts w:ascii="Calibri" w:hAnsi="Calibri" w:cs="Calibri"/>
        </w:rPr>
      </w:pPr>
      <w:r w:rsidRPr="00DC7834">
        <w:rPr>
          <w:rFonts w:ascii="Calibri" w:hAnsi="Calibri"/>
          <w:color w:val="295CA3"/>
          <w:w w:val="105"/>
        </w:rPr>
        <w:t>Collaboration</w:t>
      </w:r>
    </w:p>
    <w:p w14:paraId="5E2B5201" w14:textId="77777777" w:rsidR="00DC7834" w:rsidRDefault="00DC7834" w:rsidP="00D63204">
      <w:pPr>
        <w:widowControl w:val="0"/>
        <w:tabs>
          <w:tab w:val="left" w:pos="1998"/>
        </w:tabs>
        <w:spacing w:after="0" w:line="240" w:lineRule="auto"/>
        <w:ind w:left="90"/>
        <w:rPr>
          <w:rFonts w:ascii="Calibri" w:hAnsi="Calibri" w:cs="Calibri"/>
        </w:rPr>
      </w:pPr>
    </w:p>
    <w:p w14:paraId="1EAEB516" w14:textId="0A9701C3" w:rsidR="009A7A2B" w:rsidRPr="00BC264C" w:rsidRDefault="009A7A2B" w:rsidP="00D63204">
      <w:pPr>
        <w:widowControl w:val="0"/>
        <w:tabs>
          <w:tab w:val="left" w:pos="1998"/>
        </w:tabs>
        <w:spacing w:after="0" w:line="240" w:lineRule="auto"/>
        <w:ind w:left="90"/>
        <w:rPr>
          <w:rFonts w:ascii="Calibri" w:hAnsi="Calibri" w:cs="Calibri"/>
        </w:rPr>
      </w:pPr>
      <w:r w:rsidRPr="00BC264C">
        <w:rPr>
          <w:rFonts w:ascii="Calibri" w:hAnsi="Calibri" w:cs="Calibri"/>
        </w:rPr>
        <w:t xml:space="preserve">The memorandum of understanding previously described </w:t>
      </w:r>
      <w:r>
        <w:rPr>
          <w:rFonts w:ascii="Calibri" w:hAnsi="Calibri" w:cs="Calibri"/>
        </w:rPr>
        <w:t xml:space="preserve">establishes </w:t>
      </w:r>
      <w:r w:rsidRPr="00BC264C">
        <w:rPr>
          <w:rFonts w:ascii="Calibri" w:hAnsi="Calibri" w:cs="Calibri"/>
        </w:rPr>
        <w:t xml:space="preserve">a basis for collaboration between LWDBs and FCDP local projects statewide. Local FCDP providers </w:t>
      </w:r>
      <w:r>
        <w:rPr>
          <w:rFonts w:ascii="Calibri" w:hAnsi="Calibri" w:cs="Calibri"/>
        </w:rPr>
        <w:t xml:space="preserve">foster </w:t>
      </w:r>
      <w:r w:rsidRPr="00BC264C">
        <w:rPr>
          <w:rFonts w:ascii="Calibri" w:hAnsi="Calibri" w:cs="Calibri"/>
        </w:rPr>
        <w:t xml:space="preserve">memorandums of understanding with their local LWDB(s). </w:t>
      </w:r>
    </w:p>
    <w:p w14:paraId="28A38721" w14:textId="77777777" w:rsidR="00DC7834" w:rsidRDefault="00DC7834" w:rsidP="00D63204">
      <w:pPr>
        <w:widowControl w:val="0"/>
        <w:tabs>
          <w:tab w:val="left" w:pos="1998"/>
        </w:tabs>
        <w:spacing w:after="0" w:line="240" w:lineRule="auto"/>
        <w:ind w:left="90"/>
        <w:rPr>
          <w:rFonts w:ascii="Calibri" w:hAnsi="Calibri" w:cs="Calibri"/>
        </w:rPr>
      </w:pPr>
    </w:p>
    <w:p w14:paraId="2F65C950" w14:textId="572B0674" w:rsidR="009A7A2B" w:rsidRPr="00BC264C" w:rsidRDefault="009A7A2B" w:rsidP="00D63204">
      <w:pPr>
        <w:widowControl w:val="0"/>
        <w:tabs>
          <w:tab w:val="left" w:pos="1998"/>
        </w:tabs>
        <w:spacing w:after="0" w:line="240" w:lineRule="auto"/>
        <w:ind w:left="90"/>
        <w:rPr>
          <w:rFonts w:ascii="Calibri" w:hAnsi="Calibri" w:cs="Calibri"/>
        </w:rPr>
      </w:pPr>
      <w:r w:rsidRPr="00BC264C">
        <w:rPr>
          <w:rFonts w:ascii="Calibri" w:hAnsi="Calibri" w:cs="Calibri"/>
        </w:rPr>
        <w:t xml:space="preserve">As part of a strategic initiative to increase collaboration and co-enrollments with FCDP local providers, the State Monitor Advocate and FCDP state staff </w:t>
      </w:r>
      <w:r>
        <w:rPr>
          <w:rFonts w:ascii="Calibri" w:hAnsi="Calibri" w:cs="Calibri"/>
        </w:rPr>
        <w:t xml:space="preserve">facilitate </w:t>
      </w:r>
      <w:r w:rsidRPr="00BC264C">
        <w:rPr>
          <w:rFonts w:ascii="Calibri" w:hAnsi="Calibri" w:cs="Calibri"/>
        </w:rPr>
        <w:t xml:space="preserve">onsite meetings with local WIOA program staff, case managers, office managers, outreach staff and local FCDP coordinators. These meetings </w:t>
      </w:r>
      <w:r>
        <w:rPr>
          <w:rFonts w:ascii="Calibri" w:hAnsi="Calibri" w:cs="Calibri"/>
        </w:rPr>
        <w:t xml:space="preserve">usually occur </w:t>
      </w:r>
      <w:r w:rsidRPr="00BC264C">
        <w:rPr>
          <w:rFonts w:ascii="Calibri" w:hAnsi="Calibri" w:cs="Calibri"/>
        </w:rPr>
        <w:t>during the State Monitor Advocate’s onsite monitoring visits.</w:t>
      </w:r>
    </w:p>
    <w:p w14:paraId="28B4003E" w14:textId="77777777" w:rsidR="00DC7834" w:rsidRDefault="00DC7834" w:rsidP="00D63204">
      <w:pPr>
        <w:widowControl w:val="0"/>
        <w:tabs>
          <w:tab w:val="left" w:pos="1998"/>
        </w:tabs>
        <w:spacing w:after="0" w:line="240" w:lineRule="auto"/>
        <w:ind w:left="90"/>
        <w:rPr>
          <w:rFonts w:ascii="Calibri" w:hAnsi="Calibri" w:cs="Calibri"/>
        </w:rPr>
      </w:pPr>
    </w:p>
    <w:p w14:paraId="3AE3D2DC" w14:textId="16D14ED0" w:rsidR="00BB26EF" w:rsidRPr="00BB26EF" w:rsidRDefault="00BB26EF" w:rsidP="00D63204">
      <w:pPr>
        <w:widowControl w:val="0"/>
        <w:tabs>
          <w:tab w:val="left" w:pos="1998"/>
        </w:tabs>
        <w:spacing w:after="0" w:line="240" w:lineRule="auto"/>
        <w:ind w:left="90"/>
        <w:rPr>
          <w:rFonts w:ascii="Calibri" w:hAnsi="Calibri" w:cs="Calibri"/>
        </w:rPr>
      </w:pPr>
      <w:r w:rsidRPr="00BB26EF">
        <w:rPr>
          <w:rFonts w:ascii="Calibri" w:hAnsi="Calibri" w:cs="Calibri"/>
        </w:rPr>
        <w:t>Partnerships between the significant multilingual MSFW career centers and the local FCDP grantees have strengthened over the past few years resulting in an increase in cross-referrals and co-enrollments of MSFWs for services. The Department of Education (DOE) contracted with DEO for a new database module in Employ Florida, which launched on October 3, 2016. Beginning October 3, 2016, local FCDP providers have staff accounts for their own program module in Employ Florida to document intake, enrollment, services</w:t>
      </w:r>
      <w:r w:rsidR="00D5537E">
        <w:rPr>
          <w:rFonts w:ascii="Calibri" w:hAnsi="Calibri" w:cs="Calibri"/>
        </w:rPr>
        <w:t xml:space="preserve"> and</w:t>
      </w:r>
      <w:r w:rsidRPr="00BB26EF">
        <w:rPr>
          <w:rFonts w:ascii="Calibri" w:hAnsi="Calibri" w:cs="Calibri"/>
        </w:rPr>
        <w:t xml:space="preserve"> outcomes. FCDP providers can view Wagner-Peyser services provided to customers. This maximizes a seamless service delivery to MSFW customers by career centers and FCDP. The partnership between DOE and DEO has greatly enhanced collaboration efforts, allowed for efficient data sharing and co-enrollments between the Wagner-Peyser and FCDP programs.</w:t>
      </w:r>
    </w:p>
    <w:p w14:paraId="71CE1230" w14:textId="67FDC178" w:rsidR="009A7A2B" w:rsidRPr="00DC7834" w:rsidRDefault="009A7A2B" w:rsidP="00D63204">
      <w:pPr>
        <w:pStyle w:val="ListParagraph"/>
        <w:widowControl w:val="0"/>
        <w:numPr>
          <w:ilvl w:val="0"/>
          <w:numId w:val="44"/>
        </w:numPr>
        <w:tabs>
          <w:tab w:val="left" w:pos="1998"/>
        </w:tabs>
        <w:spacing w:before="121" w:after="0" w:line="240" w:lineRule="auto"/>
        <w:rPr>
          <w:rFonts w:ascii="Calibri" w:hAnsi="Calibri" w:cs="Calibri"/>
        </w:rPr>
      </w:pPr>
      <w:r w:rsidRPr="00DC7834">
        <w:rPr>
          <w:rFonts w:ascii="Calibri" w:hAnsi="Calibri"/>
          <w:color w:val="295CA3"/>
          <w:w w:val="105"/>
        </w:rPr>
        <w:t>Review and Public Comment</w:t>
      </w:r>
    </w:p>
    <w:p w14:paraId="37F216F9" w14:textId="76C92E37" w:rsidR="0055389A" w:rsidRPr="0055389A" w:rsidRDefault="0055389A" w:rsidP="00D63204">
      <w:pPr>
        <w:widowControl w:val="0"/>
        <w:tabs>
          <w:tab w:val="left" w:pos="1998"/>
        </w:tabs>
        <w:spacing w:before="121" w:after="0" w:line="240" w:lineRule="auto"/>
        <w:ind w:left="90"/>
        <w:rPr>
          <w:rFonts w:ascii="Calibri" w:hAnsi="Calibri" w:cs="Calibri"/>
        </w:rPr>
      </w:pPr>
      <w:r w:rsidRPr="0055389A">
        <w:rPr>
          <w:rFonts w:ascii="Calibri" w:hAnsi="Calibri" w:cs="Calibri"/>
        </w:rPr>
        <w:t>Information was solicited from NFJP grantees and other appropriate MSFW groups, public agencies, agricultural employer organizations</w:t>
      </w:r>
      <w:r w:rsidR="00D5537E">
        <w:rPr>
          <w:rFonts w:ascii="Calibri" w:hAnsi="Calibri" w:cs="Calibri"/>
        </w:rPr>
        <w:t xml:space="preserve"> and</w:t>
      </w:r>
      <w:r w:rsidRPr="0055389A">
        <w:rPr>
          <w:rFonts w:ascii="Calibri" w:hAnsi="Calibri" w:cs="Calibri"/>
        </w:rPr>
        <w:t xml:space="preserve"> other interested organizations for at least 30 days for review and comments. Comments received are considered in the preparation of the final AOP.</w:t>
      </w:r>
    </w:p>
    <w:p w14:paraId="29EF029B" w14:textId="77777777" w:rsidR="0055389A" w:rsidRDefault="0055389A" w:rsidP="00D63204">
      <w:pPr>
        <w:widowControl w:val="0"/>
        <w:tabs>
          <w:tab w:val="left" w:pos="1998"/>
        </w:tabs>
        <w:spacing w:after="0" w:line="240" w:lineRule="auto"/>
        <w:ind w:left="90"/>
        <w:rPr>
          <w:rFonts w:ascii="Calibri" w:hAnsi="Calibri" w:cs="Calibri"/>
        </w:rPr>
      </w:pPr>
    </w:p>
    <w:p w14:paraId="7C806413" w14:textId="1EFEFE13" w:rsidR="0055389A" w:rsidRDefault="0055389A" w:rsidP="00D63204">
      <w:pPr>
        <w:widowControl w:val="0"/>
        <w:tabs>
          <w:tab w:val="left" w:pos="1998"/>
        </w:tabs>
        <w:spacing w:after="0" w:line="240" w:lineRule="auto"/>
        <w:ind w:left="90"/>
        <w:rPr>
          <w:rFonts w:ascii="Calibri" w:hAnsi="Calibri" w:cs="Calibri"/>
        </w:rPr>
      </w:pPr>
      <w:r w:rsidRPr="0055389A">
        <w:rPr>
          <w:rFonts w:ascii="Calibri" w:hAnsi="Calibri" w:cs="Calibri"/>
        </w:rPr>
        <w:t>Information was solicited from NFJP grantees and other appropriate MSFW groups, public agencies, agricultural employer organizations</w:t>
      </w:r>
      <w:r w:rsidR="00D5537E">
        <w:rPr>
          <w:rFonts w:ascii="Calibri" w:hAnsi="Calibri" w:cs="Calibri"/>
        </w:rPr>
        <w:t xml:space="preserve"> and</w:t>
      </w:r>
      <w:r w:rsidRPr="0055389A">
        <w:rPr>
          <w:rFonts w:ascii="Calibri" w:hAnsi="Calibri" w:cs="Calibri"/>
        </w:rPr>
        <w:t xml:space="preserve"> other interested organizations for at least 30 days for review and comments. Comments received are considered in the preparation of the final AOP.</w:t>
      </w:r>
    </w:p>
    <w:p w14:paraId="7C25FA69" w14:textId="5E3CED7E" w:rsidR="0055389A" w:rsidRDefault="0055389A" w:rsidP="00D63204">
      <w:pPr>
        <w:widowControl w:val="0"/>
        <w:tabs>
          <w:tab w:val="left" w:pos="1998"/>
        </w:tabs>
        <w:spacing w:after="0" w:line="240" w:lineRule="auto"/>
        <w:ind w:left="90"/>
        <w:rPr>
          <w:rFonts w:ascii="Calibri" w:hAnsi="Calibri" w:cs="Calibri"/>
        </w:rPr>
      </w:pPr>
    </w:p>
    <w:p w14:paraId="31C5191E" w14:textId="77777777" w:rsidR="008279F0" w:rsidRDefault="008279F0" w:rsidP="00D63204">
      <w:pPr>
        <w:widowControl w:val="0"/>
        <w:numPr>
          <w:ilvl w:val="0"/>
          <w:numId w:val="44"/>
        </w:numPr>
        <w:tabs>
          <w:tab w:val="left" w:pos="1998"/>
        </w:tabs>
        <w:spacing w:before="121" w:after="0" w:line="240" w:lineRule="auto"/>
        <w:rPr>
          <w:rFonts w:ascii="Calibri" w:hAnsi="Calibri" w:cs="Calibri"/>
          <w:color w:val="365F91" w:themeColor="accent1" w:themeShade="BF"/>
        </w:rPr>
      </w:pPr>
      <w:r w:rsidRPr="008279F0">
        <w:rPr>
          <w:rFonts w:ascii="Calibri" w:hAnsi="Calibri" w:cs="Calibri"/>
          <w:color w:val="365F91" w:themeColor="accent1" w:themeShade="BF"/>
        </w:rPr>
        <w:t>Data Assessment</w:t>
      </w:r>
    </w:p>
    <w:p w14:paraId="3CDCB7D7" w14:textId="35B76153" w:rsidR="00BB26EF" w:rsidRPr="00E75D2F" w:rsidRDefault="00BC264C" w:rsidP="00D63204">
      <w:pPr>
        <w:widowControl w:val="0"/>
        <w:tabs>
          <w:tab w:val="left" w:pos="1998"/>
        </w:tabs>
        <w:spacing w:before="121" w:after="0" w:line="240" w:lineRule="auto"/>
        <w:ind w:left="90"/>
        <w:rPr>
          <w:rFonts w:ascii="Calibri" w:hAnsi="Calibri" w:cs="Calibri"/>
        </w:rPr>
      </w:pPr>
      <w:r w:rsidRPr="00BC264C">
        <w:rPr>
          <w:rFonts w:ascii="Calibri" w:hAnsi="Calibri" w:cs="Calibri"/>
        </w:rPr>
        <w:t>Florida is the second most MSFW significant state in the country, behind California</w:t>
      </w:r>
      <w:r w:rsidR="00BB26EF" w:rsidRPr="00BC264C">
        <w:rPr>
          <w:rFonts w:ascii="Calibri" w:hAnsi="Calibri" w:cs="Calibri"/>
        </w:rPr>
        <w:t xml:space="preserve">. </w:t>
      </w:r>
      <w:r w:rsidR="00BB26EF" w:rsidRPr="00E75D2F">
        <w:rPr>
          <w:rFonts w:ascii="Calibri" w:hAnsi="Calibri" w:cs="Calibri"/>
        </w:rPr>
        <w:t>In PY 2015 the state had a total of 18,359 MSFW applicants in its labor exchange system and in PY 2016 there were a total of 18,723 MSFW applicants</w:t>
      </w:r>
      <w:r w:rsidR="005E7C49">
        <w:rPr>
          <w:rFonts w:ascii="Calibri" w:hAnsi="Calibri" w:cs="Calibri"/>
        </w:rPr>
        <w:t xml:space="preserve">. </w:t>
      </w:r>
      <w:r w:rsidR="00BB26EF" w:rsidRPr="00E75D2F">
        <w:rPr>
          <w:rFonts w:ascii="Calibri" w:hAnsi="Calibri" w:cs="Calibri"/>
        </w:rPr>
        <w:t>These reductions in MSFW applications from PY 2013 and PY 2014, 19,930 and 20,436 respectively, are likely attributed to MSFWs not returning to Florida after migrating north for work and an increase in the use of foreign workers through the H-2A program.</w:t>
      </w:r>
    </w:p>
    <w:p w14:paraId="1BD5481D" w14:textId="77777777" w:rsidR="00DC7834" w:rsidRDefault="00DC7834" w:rsidP="00D63204">
      <w:pPr>
        <w:widowControl w:val="0"/>
        <w:tabs>
          <w:tab w:val="left" w:pos="1998"/>
        </w:tabs>
        <w:spacing w:after="0" w:line="240" w:lineRule="auto"/>
        <w:ind w:left="90"/>
        <w:rPr>
          <w:rFonts w:ascii="Calibri" w:hAnsi="Calibri" w:cs="Calibri"/>
        </w:rPr>
      </w:pPr>
    </w:p>
    <w:p w14:paraId="2FA11621" w14:textId="0F3CD80F" w:rsidR="00BB26EF" w:rsidRDefault="00BB26EF" w:rsidP="00D63204">
      <w:pPr>
        <w:widowControl w:val="0"/>
        <w:tabs>
          <w:tab w:val="left" w:pos="1998"/>
        </w:tabs>
        <w:spacing w:after="0" w:line="240" w:lineRule="auto"/>
        <w:ind w:left="90"/>
        <w:rPr>
          <w:rFonts w:ascii="Calibri" w:hAnsi="Calibri" w:cs="Calibri"/>
        </w:rPr>
      </w:pPr>
      <w:r w:rsidRPr="00E75D2F">
        <w:rPr>
          <w:rFonts w:ascii="Calibri" w:hAnsi="Calibri" w:cs="Calibri"/>
        </w:rPr>
        <w:t>Florida meet</w:t>
      </w:r>
      <w:r w:rsidR="00556B0E">
        <w:rPr>
          <w:rFonts w:ascii="Calibri" w:hAnsi="Calibri" w:cs="Calibri"/>
        </w:rPr>
        <w:t>s</w:t>
      </w:r>
      <w:r w:rsidRPr="00E75D2F">
        <w:rPr>
          <w:rFonts w:ascii="Calibri" w:hAnsi="Calibri" w:cs="Calibri"/>
        </w:rPr>
        <w:t xml:space="preserve"> its goals providing services to MSFWs on a quantitatively proportionate level as those provided to non-MSFWs. MSFW Indicators of Compliance Reports for the past four program years show all five equity ratio indicators are met. These indicators are: referrals to jobs, referrals to supportive services, received staff assisted services, career guidance and job development contacts.</w:t>
      </w:r>
    </w:p>
    <w:p w14:paraId="3FFE3161" w14:textId="6792F98A" w:rsidR="008279F0" w:rsidRPr="000E0B4E" w:rsidRDefault="000E0B4E" w:rsidP="00D63204">
      <w:pPr>
        <w:pStyle w:val="ListParagraph"/>
        <w:widowControl w:val="0"/>
        <w:numPr>
          <w:ilvl w:val="0"/>
          <w:numId w:val="44"/>
        </w:numPr>
        <w:tabs>
          <w:tab w:val="left" w:pos="1998"/>
        </w:tabs>
        <w:spacing w:after="0" w:line="240" w:lineRule="auto"/>
        <w:rPr>
          <w:rFonts w:ascii="Calibri" w:hAnsi="Calibri" w:cs="Calibri"/>
          <w:color w:val="365F91" w:themeColor="accent1" w:themeShade="BF"/>
        </w:rPr>
      </w:pPr>
      <w:r>
        <w:lastRenderedPageBreak/>
        <w:t xml:space="preserve"> </w:t>
      </w:r>
      <w:r w:rsidR="008279F0" w:rsidRPr="000E0B4E">
        <w:rPr>
          <w:rFonts w:ascii="Calibri" w:hAnsi="Calibri" w:cs="Calibri"/>
          <w:color w:val="365F91" w:themeColor="accent1" w:themeShade="BF"/>
        </w:rPr>
        <w:t>Assessment of Progress</w:t>
      </w:r>
    </w:p>
    <w:p w14:paraId="3F54DDA4" w14:textId="77777777" w:rsidR="00DC7834" w:rsidRDefault="00DC7834" w:rsidP="00D63204">
      <w:pPr>
        <w:widowControl w:val="0"/>
        <w:tabs>
          <w:tab w:val="left" w:pos="1998"/>
        </w:tabs>
        <w:spacing w:after="0" w:line="240" w:lineRule="auto"/>
        <w:ind w:left="90"/>
        <w:rPr>
          <w:rFonts w:ascii="Calibri" w:hAnsi="Calibri" w:cs="Calibri"/>
        </w:rPr>
      </w:pPr>
    </w:p>
    <w:p w14:paraId="3B083787" w14:textId="2954E27B" w:rsidR="00BB26EF" w:rsidRPr="00BB26EF" w:rsidRDefault="00BB26EF" w:rsidP="00D63204">
      <w:pPr>
        <w:widowControl w:val="0"/>
        <w:tabs>
          <w:tab w:val="left" w:pos="1998"/>
        </w:tabs>
        <w:spacing w:after="0" w:line="240" w:lineRule="auto"/>
        <w:ind w:left="90"/>
        <w:rPr>
          <w:rFonts w:ascii="Calibri" w:hAnsi="Calibri" w:cs="Calibri"/>
        </w:rPr>
      </w:pPr>
      <w:r w:rsidRPr="00BB26EF">
        <w:rPr>
          <w:rFonts w:ascii="Calibri" w:hAnsi="Calibri" w:cs="Calibri"/>
        </w:rPr>
        <w:t>Florida exceeded its outreach goals outlined in the PY 2016 Agricultural Outreach Plan meeting the goal of 21,550 outreach contacts at the rate of 213 percent, by conducting 45,992 outreach contacts during PY 2016. The goal of 13,000 outreach contacts where staff assisted services were provided was not met. Only 10,907 staff assisted outreach contacts were made during PY 2016, a rate of 84 percent. 1,624 staff days of the 2,035 goal for staff days of outreach was not met. An extended vacancy in one significant office and the conversion of another significant office to non-significant status impacted outreach activities. The goal of 185 staff days per outreach worker was still ambitious, even after being reduced from 210</w:t>
      </w:r>
      <w:r w:rsidR="00D5537E">
        <w:rPr>
          <w:rFonts w:ascii="Calibri" w:hAnsi="Calibri" w:cs="Calibri"/>
        </w:rPr>
        <w:t xml:space="preserve"> and</w:t>
      </w:r>
      <w:r w:rsidRPr="00BB26EF">
        <w:rPr>
          <w:rFonts w:ascii="Calibri" w:hAnsi="Calibri" w:cs="Calibri"/>
        </w:rPr>
        <w:t xml:space="preserve"> then 190, staff days in previous plans. The required number of staff days dedicated to outreach was decreased to 185 per outreach worker. The goal for 500 outreach contacts made by cooperating agencies was met; a maximum of 531 contacts was reported for PY 2016. DEO, in partnership with the LWDBs, strives to meet or exceed all equity and minimum service level indicators. During PY 2015, Florida met all five equity ratio indicators</w:t>
      </w:r>
      <w:r w:rsidR="00D5537E">
        <w:rPr>
          <w:rFonts w:ascii="Calibri" w:hAnsi="Calibri" w:cs="Calibri"/>
        </w:rPr>
        <w:t xml:space="preserve"> and</w:t>
      </w:r>
      <w:r w:rsidRPr="00BB26EF">
        <w:rPr>
          <w:rFonts w:ascii="Calibri" w:hAnsi="Calibri" w:cs="Calibri"/>
        </w:rPr>
        <w:t xml:space="preserve"> six of seven minimum service level indicators. The level of services attained is attributed to intensive outreach efforts by MSFW outreach workers</w:t>
      </w:r>
      <w:r w:rsidR="00D5537E">
        <w:rPr>
          <w:rFonts w:ascii="Calibri" w:hAnsi="Calibri" w:cs="Calibri"/>
        </w:rPr>
        <w:t xml:space="preserve"> and</w:t>
      </w:r>
      <w:r w:rsidRPr="00BB26EF">
        <w:rPr>
          <w:rFonts w:ascii="Calibri" w:hAnsi="Calibri" w:cs="Calibri"/>
        </w:rPr>
        <w:t xml:space="preserve"> career center staff properly serving customers. The State Monitor Advocate </w:t>
      </w:r>
      <w:r w:rsidR="00556B0E">
        <w:rPr>
          <w:rFonts w:ascii="Calibri" w:hAnsi="Calibri" w:cs="Calibri"/>
        </w:rPr>
        <w:t xml:space="preserve">is </w:t>
      </w:r>
      <w:r w:rsidRPr="00BB26EF">
        <w:rPr>
          <w:rFonts w:ascii="Calibri" w:hAnsi="Calibri" w:cs="Calibri"/>
        </w:rPr>
        <w:t xml:space="preserve">involved in the LWDBs reporting system by providing training and technical assistance during monitoring visits to address statistical data related to MSFWs. The State Monitor Advocate maintains on-going contact with MSFW outreach workers, to ensure accurate data </w:t>
      </w:r>
      <w:r w:rsidR="003F5932">
        <w:rPr>
          <w:rFonts w:ascii="Calibri" w:hAnsi="Calibri" w:cs="Calibri"/>
        </w:rPr>
        <w:t>are</w:t>
      </w:r>
      <w:r w:rsidRPr="00BB26EF">
        <w:rPr>
          <w:rFonts w:ascii="Calibri" w:hAnsi="Calibri" w:cs="Calibri"/>
        </w:rPr>
        <w:t xml:space="preserve"> collected and reports are submitted in a timely manner. The report accurately reflects data of LWDBs’ efforts to assist MSFWs through out-of-office contact, referrals to supportive services</w:t>
      </w:r>
      <w:r w:rsidR="00D5537E">
        <w:rPr>
          <w:rFonts w:ascii="Calibri" w:hAnsi="Calibri" w:cs="Calibri"/>
        </w:rPr>
        <w:t xml:space="preserve"> and</w:t>
      </w:r>
      <w:r w:rsidRPr="00BB26EF">
        <w:rPr>
          <w:rFonts w:ascii="Calibri" w:hAnsi="Calibri" w:cs="Calibri"/>
        </w:rPr>
        <w:t xml:space="preserve"> provisions of employment information and referrals.</w:t>
      </w:r>
    </w:p>
    <w:p w14:paraId="7A6558BB" w14:textId="77777777" w:rsidR="008279F0" w:rsidRDefault="008279F0" w:rsidP="00D63204">
      <w:pPr>
        <w:widowControl w:val="0"/>
        <w:numPr>
          <w:ilvl w:val="0"/>
          <w:numId w:val="44"/>
        </w:numPr>
        <w:tabs>
          <w:tab w:val="left" w:pos="1998"/>
        </w:tabs>
        <w:spacing w:before="121" w:after="0" w:line="240" w:lineRule="auto"/>
        <w:rPr>
          <w:rFonts w:ascii="Calibri" w:hAnsi="Calibri" w:cs="Calibri"/>
          <w:color w:val="365F91" w:themeColor="accent1" w:themeShade="BF"/>
        </w:rPr>
      </w:pPr>
      <w:r w:rsidRPr="008279F0">
        <w:rPr>
          <w:rFonts w:ascii="Calibri" w:hAnsi="Calibri" w:cs="Calibri"/>
          <w:color w:val="365F91" w:themeColor="accent1" w:themeShade="BF"/>
        </w:rPr>
        <w:t>State Monitor Advocate</w:t>
      </w:r>
    </w:p>
    <w:p w14:paraId="1D09F4B3" w14:textId="67D8DF3A" w:rsidR="00BC264C" w:rsidRPr="00BC264C" w:rsidRDefault="00BC264C" w:rsidP="00D63204">
      <w:pPr>
        <w:widowControl w:val="0"/>
        <w:tabs>
          <w:tab w:val="left" w:pos="1998"/>
        </w:tabs>
        <w:spacing w:before="121" w:after="0" w:line="240" w:lineRule="auto"/>
        <w:ind w:left="90"/>
        <w:rPr>
          <w:rFonts w:ascii="Calibri" w:hAnsi="Calibri" w:cs="Calibri"/>
        </w:rPr>
      </w:pPr>
      <w:r w:rsidRPr="00BC264C">
        <w:rPr>
          <w:rFonts w:ascii="Calibri" w:hAnsi="Calibri" w:cs="Calibri"/>
        </w:rPr>
        <w:t xml:space="preserve">The State Monitor Advocate </w:t>
      </w:r>
      <w:r w:rsidR="00DD7DDE" w:rsidRPr="00BC264C">
        <w:rPr>
          <w:rFonts w:ascii="Calibri" w:hAnsi="Calibri" w:cs="Calibri"/>
        </w:rPr>
        <w:t>can</w:t>
      </w:r>
      <w:r w:rsidRPr="00BC264C">
        <w:rPr>
          <w:rFonts w:ascii="Calibri" w:hAnsi="Calibri" w:cs="Calibri"/>
        </w:rPr>
        <w:t xml:space="preserve"> formulate the PY 201</w:t>
      </w:r>
      <w:r w:rsidR="00DD7DDE">
        <w:rPr>
          <w:rFonts w:ascii="Calibri" w:hAnsi="Calibri" w:cs="Calibri"/>
        </w:rPr>
        <w:t>8</w:t>
      </w:r>
      <w:r w:rsidRPr="00BC264C">
        <w:rPr>
          <w:rFonts w:ascii="Calibri" w:hAnsi="Calibri" w:cs="Calibri"/>
        </w:rPr>
        <w:t xml:space="preserve"> Agricultural Outreach Plan. All comments, suggestions and recommendations of the State Monitor Advocate </w:t>
      </w:r>
      <w:r w:rsidR="00E42CC6">
        <w:rPr>
          <w:rFonts w:ascii="Calibri" w:hAnsi="Calibri" w:cs="Calibri"/>
        </w:rPr>
        <w:t xml:space="preserve">are </w:t>
      </w:r>
      <w:r w:rsidRPr="00BC264C">
        <w:rPr>
          <w:rFonts w:ascii="Calibri" w:hAnsi="Calibri" w:cs="Calibri"/>
        </w:rPr>
        <w:t>incorporated in the plan.</w:t>
      </w:r>
    </w:p>
    <w:p w14:paraId="21FD26C2" w14:textId="2A2E69B7" w:rsidR="00DC7834" w:rsidRDefault="00DC7834">
      <w:pPr>
        <w:rPr>
          <w:rFonts w:ascii="Calibri" w:hAnsi="Calibri"/>
        </w:rPr>
      </w:pPr>
      <w:r>
        <w:rPr>
          <w:rFonts w:ascii="Calibri" w:hAnsi="Calibri"/>
        </w:rPr>
        <w:br w:type="page"/>
      </w:r>
    </w:p>
    <w:p w14:paraId="519A47CE" w14:textId="77777777" w:rsidR="008279F0" w:rsidRPr="008279F0" w:rsidRDefault="008279F0" w:rsidP="008279F0">
      <w:pPr>
        <w:widowControl w:val="0"/>
        <w:tabs>
          <w:tab w:val="left" w:pos="1098"/>
        </w:tabs>
        <w:spacing w:before="59" w:after="0" w:line="240" w:lineRule="auto"/>
        <w:ind w:left="738"/>
        <w:outlineLvl w:val="2"/>
        <w:rPr>
          <w:rFonts w:ascii="Calibri" w:hAnsi="Calibri"/>
        </w:rPr>
      </w:pPr>
    </w:p>
    <w:p w14:paraId="07C4AF01" w14:textId="77777777" w:rsidR="00EA7458" w:rsidRPr="00EA7458" w:rsidRDefault="00EA7458" w:rsidP="00EA7458">
      <w:pPr>
        <w:widowControl w:val="0"/>
        <w:spacing w:before="6" w:after="0" w:line="240" w:lineRule="auto"/>
        <w:rPr>
          <w:rFonts w:ascii="Calibri" w:hAnsi="Calibri" w:cs="Calibri"/>
          <w:sz w:val="16"/>
          <w:szCs w:val="16"/>
        </w:rPr>
      </w:pPr>
    </w:p>
    <w:p w14:paraId="1F7A7AA1" w14:textId="77777777" w:rsidR="00EA7458" w:rsidRPr="00EA7458" w:rsidRDefault="00EA7458" w:rsidP="00EA7458">
      <w:pPr>
        <w:widowControl w:val="0"/>
        <w:spacing w:after="0" w:line="240" w:lineRule="auto"/>
        <w:ind w:left="107"/>
        <w:outlineLvl w:val="2"/>
        <w:rPr>
          <w:rFonts w:ascii="Calibri" w:hAnsi="Calibri"/>
        </w:rPr>
      </w:pPr>
      <w:r w:rsidRPr="00EA7458">
        <w:rPr>
          <w:rFonts w:ascii="Calibri" w:hAnsi="Calibri"/>
          <w:b/>
          <w:bCs/>
          <w:color w:val="231F20"/>
          <w:spacing w:val="-2"/>
          <w:w w:val="115"/>
        </w:rPr>
        <w:t>WAGNER-PEYSER</w:t>
      </w:r>
      <w:r w:rsidRPr="00EA7458">
        <w:rPr>
          <w:rFonts w:ascii="Calibri" w:hAnsi="Calibri"/>
          <w:b/>
          <w:bCs/>
          <w:color w:val="231F20"/>
          <w:spacing w:val="38"/>
          <w:w w:val="115"/>
        </w:rPr>
        <w:t xml:space="preserve"> </w:t>
      </w:r>
      <w:r w:rsidRPr="00EA7458">
        <w:rPr>
          <w:rFonts w:ascii="Calibri" w:hAnsi="Calibri"/>
          <w:b/>
          <w:bCs/>
          <w:color w:val="231F20"/>
          <w:spacing w:val="-1"/>
          <w:w w:val="115"/>
        </w:rPr>
        <w:t>ASSURANCES</w:t>
      </w:r>
    </w:p>
    <w:p w14:paraId="38BF2DFB" w14:textId="77777777" w:rsidR="00EA7458" w:rsidRPr="00EA7458" w:rsidRDefault="00EA7458" w:rsidP="00EA7458">
      <w:pPr>
        <w:widowControl w:val="0"/>
        <w:spacing w:before="1" w:after="0" w:line="240" w:lineRule="auto"/>
        <w:rPr>
          <w:rFonts w:ascii="Calibri" w:hAnsi="Calibri" w:cs="Calibri"/>
          <w:b/>
          <w:bCs/>
          <w:sz w:val="18"/>
          <w:szCs w:val="18"/>
        </w:rPr>
      </w:pPr>
    </w:p>
    <w:tbl>
      <w:tblPr>
        <w:tblW w:w="0" w:type="auto"/>
        <w:tblInd w:w="108" w:type="dxa"/>
        <w:tblLayout w:type="fixed"/>
        <w:tblCellMar>
          <w:left w:w="0" w:type="dxa"/>
          <w:right w:w="0" w:type="dxa"/>
        </w:tblCellMar>
        <w:tblLook w:val="01E0" w:firstRow="1" w:lastRow="1" w:firstColumn="1" w:lastColumn="1" w:noHBand="0" w:noVBand="0"/>
      </w:tblPr>
      <w:tblGrid>
        <w:gridCol w:w="700"/>
        <w:gridCol w:w="9520"/>
      </w:tblGrid>
      <w:tr w:rsidR="00EA7458" w:rsidRPr="00EA7458" w14:paraId="40A7F91C" w14:textId="77777777" w:rsidTr="00E65FFA">
        <w:trPr>
          <w:trHeight w:hRule="exact" w:val="437"/>
        </w:trPr>
        <w:tc>
          <w:tcPr>
            <w:tcW w:w="10219" w:type="dxa"/>
            <w:gridSpan w:val="2"/>
            <w:tcBorders>
              <w:top w:val="single" w:sz="2" w:space="0" w:color="231F20"/>
              <w:left w:val="single" w:sz="2" w:space="0" w:color="231F20"/>
              <w:bottom w:val="single" w:sz="2" w:space="0" w:color="231F20"/>
              <w:right w:val="single" w:sz="2" w:space="0" w:color="231F20"/>
            </w:tcBorders>
          </w:tcPr>
          <w:p w14:paraId="1953D891" w14:textId="77777777" w:rsidR="00EA7458" w:rsidRPr="00EA7458" w:rsidRDefault="00EA7458" w:rsidP="00EA7458">
            <w:pPr>
              <w:widowControl w:val="0"/>
              <w:spacing w:before="93" w:after="0" w:line="240" w:lineRule="auto"/>
              <w:ind w:left="77"/>
              <w:rPr>
                <w:rFonts w:ascii="Calibri" w:hAnsi="Calibri" w:cs="Calibri"/>
              </w:rPr>
            </w:pPr>
            <w:r w:rsidRPr="00EA7458">
              <w:rPr>
                <w:rFonts w:ascii="Calibri" w:hAnsi="Calibri"/>
                <w:b/>
                <w:color w:val="231F20"/>
                <w:w w:val="110"/>
              </w:rPr>
              <w:t>The State Plan must include assurances</w:t>
            </w:r>
            <w:r w:rsidRPr="00EA7458">
              <w:rPr>
                <w:rFonts w:ascii="Calibri" w:hAnsi="Calibri"/>
                <w:b/>
                <w:color w:val="231F20"/>
                <w:spacing w:val="-22"/>
                <w:w w:val="110"/>
              </w:rPr>
              <w:t xml:space="preserve"> </w:t>
            </w:r>
            <w:r w:rsidRPr="00EA7458">
              <w:rPr>
                <w:rFonts w:ascii="Calibri" w:hAnsi="Calibri"/>
                <w:b/>
                <w:color w:val="231F20"/>
                <w:w w:val="110"/>
              </w:rPr>
              <w:t>that:</w:t>
            </w:r>
          </w:p>
        </w:tc>
      </w:tr>
      <w:tr w:rsidR="00EA7458" w:rsidRPr="00EA7458" w14:paraId="0455BDE6" w14:textId="77777777" w:rsidTr="00E65FFA">
        <w:trPr>
          <w:trHeight w:hRule="exact" w:val="862"/>
        </w:trPr>
        <w:tc>
          <w:tcPr>
            <w:tcW w:w="700" w:type="dxa"/>
            <w:tcBorders>
              <w:top w:val="single" w:sz="2" w:space="0" w:color="231F20"/>
              <w:left w:val="single" w:sz="2" w:space="0" w:color="231F20"/>
              <w:bottom w:val="single" w:sz="2" w:space="0" w:color="231F20"/>
              <w:right w:val="single" w:sz="2" w:space="0" w:color="231F20"/>
            </w:tcBorders>
            <w:shd w:val="clear" w:color="auto" w:fill="E6E7E8"/>
          </w:tcPr>
          <w:p w14:paraId="070C7720" w14:textId="77777777" w:rsidR="00EA7458" w:rsidRPr="00EA7458" w:rsidRDefault="00EA7458" w:rsidP="00EA7458">
            <w:pPr>
              <w:widowControl w:val="0"/>
              <w:spacing w:before="1" w:after="0" w:line="240" w:lineRule="auto"/>
              <w:rPr>
                <w:rFonts w:ascii="Calibri" w:hAnsi="Calibri" w:cs="Calibri"/>
                <w:b/>
                <w:bCs/>
                <w:sz w:val="25"/>
                <w:szCs w:val="25"/>
              </w:rPr>
            </w:pPr>
          </w:p>
          <w:p w14:paraId="0442B2D6" w14:textId="77777777" w:rsidR="00EA7458" w:rsidRPr="00EA7458" w:rsidRDefault="00EA7458" w:rsidP="00EA7458">
            <w:pPr>
              <w:widowControl w:val="0"/>
              <w:spacing w:after="0" w:line="240" w:lineRule="auto"/>
              <w:ind w:left="360"/>
              <w:rPr>
                <w:rFonts w:ascii="Calibri" w:hAnsi="Calibri" w:cs="Calibri"/>
              </w:rPr>
            </w:pPr>
            <w:r w:rsidRPr="00EA7458">
              <w:rPr>
                <w:rFonts w:ascii="Calibri" w:hAnsi="Calibri"/>
                <w:color w:val="231F20"/>
                <w:w w:val="85"/>
              </w:rPr>
              <w:t>1.</w:t>
            </w:r>
          </w:p>
        </w:tc>
        <w:tc>
          <w:tcPr>
            <w:tcW w:w="9520" w:type="dxa"/>
            <w:tcBorders>
              <w:top w:val="single" w:sz="2" w:space="0" w:color="231F20"/>
              <w:left w:val="single" w:sz="2" w:space="0" w:color="231F20"/>
              <w:bottom w:val="single" w:sz="2" w:space="0" w:color="231F20"/>
              <w:right w:val="single" w:sz="2" w:space="0" w:color="231F20"/>
            </w:tcBorders>
            <w:shd w:val="clear" w:color="auto" w:fill="E6E7E8"/>
          </w:tcPr>
          <w:p w14:paraId="0DD375AA" w14:textId="25AB294F" w:rsidR="00EA7458" w:rsidRPr="00EA7458" w:rsidRDefault="00EA7458" w:rsidP="00D63204">
            <w:pPr>
              <w:widowControl w:val="0"/>
              <w:spacing w:before="40" w:after="0" w:line="264" w:lineRule="exact"/>
              <w:ind w:left="77" w:right="75"/>
              <w:rPr>
                <w:rFonts w:ascii="Calibri" w:hAnsi="Calibri" w:cs="Calibri"/>
              </w:rPr>
            </w:pPr>
            <w:r w:rsidRPr="00EA7458">
              <w:rPr>
                <w:rFonts w:ascii="Calibri" w:hAnsi="Calibri"/>
                <w:color w:val="231F20"/>
                <w:w w:val="110"/>
              </w:rPr>
              <w:t>The</w:t>
            </w:r>
            <w:r w:rsidRPr="00EA7458">
              <w:rPr>
                <w:rFonts w:ascii="Calibri" w:hAnsi="Calibri"/>
                <w:color w:val="231F20"/>
                <w:spacing w:val="-7"/>
                <w:w w:val="110"/>
              </w:rPr>
              <w:t xml:space="preserve"> </w:t>
            </w:r>
            <w:r w:rsidRPr="00EA7458">
              <w:rPr>
                <w:rFonts w:ascii="Calibri" w:hAnsi="Calibri"/>
                <w:color w:val="231F20"/>
                <w:w w:val="110"/>
              </w:rPr>
              <w:t>Wagner-Peyser</w:t>
            </w:r>
            <w:r w:rsidRPr="00EA7458">
              <w:rPr>
                <w:rFonts w:ascii="Calibri" w:hAnsi="Calibri"/>
                <w:color w:val="231F20"/>
                <w:spacing w:val="-7"/>
                <w:w w:val="110"/>
              </w:rPr>
              <w:t xml:space="preserve"> </w:t>
            </w:r>
            <w:r w:rsidRPr="00EA7458">
              <w:rPr>
                <w:rFonts w:ascii="Calibri" w:hAnsi="Calibri"/>
                <w:color w:val="231F20"/>
                <w:w w:val="110"/>
              </w:rPr>
              <w:t>Employment</w:t>
            </w:r>
            <w:r w:rsidRPr="00EA7458">
              <w:rPr>
                <w:rFonts w:ascii="Calibri" w:hAnsi="Calibri"/>
                <w:color w:val="231F20"/>
                <w:spacing w:val="-7"/>
                <w:w w:val="110"/>
              </w:rPr>
              <w:t xml:space="preserve"> </w:t>
            </w:r>
            <w:r w:rsidRPr="00EA7458">
              <w:rPr>
                <w:rFonts w:ascii="Calibri" w:hAnsi="Calibri"/>
                <w:color w:val="231F20"/>
                <w:w w:val="110"/>
              </w:rPr>
              <w:t>Service</w:t>
            </w:r>
            <w:r w:rsidRPr="00EA7458">
              <w:rPr>
                <w:rFonts w:ascii="Calibri" w:hAnsi="Calibri"/>
                <w:color w:val="231F20"/>
                <w:spacing w:val="-7"/>
                <w:w w:val="110"/>
              </w:rPr>
              <w:t xml:space="preserve"> </w:t>
            </w:r>
            <w:r w:rsidRPr="00EA7458">
              <w:rPr>
                <w:rFonts w:ascii="Calibri" w:hAnsi="Calibri"/>
                <w:color w:val="231F20"/>
                <w:w w:val="110"/>
              </w:rPr>
              <w:t>is</w:t>
            </w:r>
            <w:r w:rsidRPr="00EA7458">
              <w:rPr>
                <w:rFonts w:ascii="Calibri" w:hAnsi="Calibri"/>
                <w:color w:val="231F20"/>
                <w:spacing w:val="-7"/>
                <w:w w:val="110"/>
              </w:rPr>
              <w:t xml:space="preserve"> </w:t>
            </w:r>
            <w:r w:rsidRPr="00EA7458">
              <w:rPr>
                <w:rFonts w:ascii="Calibri" w:hAnsi="Calibri"/>
                <w:color w:val="231F20"/>
                <w:w w:val="110"/>
              </w:rPr>
              <w:t>co-located</w:t>
            </w:r>
            <w:r w:rsidRPr="00EA7458">
              <w:rPr>
                <w:rFonts w:ascii="Calibri" w:hAnsi="Calibri"/>
                <w:color w:val="231F20"/>
                <w:spacing w:val="-7"/>
                <w:w w:val="110"/>
              </w:rPr>
              <w:t xml:space="preserve"> </w:t>
            </w:r>
            <w:r w:rsidRPr="00EA7458">
              <w:rPr>
                <w:rFonts w:ascii="Calibri" w:hAnsi="Calibri"/>
                <w:color w:val="231F20"/>
                <w:w w:val="110"/>
              </w:rPr>
              <w:t>with</w:t>
            </w:r>
            <w:r w:rsidRPr="00EA7458">
              <w:rPr>
                <w:rFonts w:ascii="Calibri" w:hAnsi="Calibri"/>
                <w:color w:val="231F20"/>
                <w:spacing w:val="-7"/>
                <w:w w:val="110"/>
              </w:rPr>
              <w:t xml:space="preserve"> </w:t>
            </w:r>
            <w:r w:rsidRPr="00EA7458">
              <w:rPr>
                <w:rFonts w:ascii="Calibri" w:hAnsi="Calibri"/>
                <w:color w:val="231F20"/>
                <w:w w:val="110"/>
              </w:rPr>
              <w:t>one-stop</w:t>
            </w:r>
            <w:r w:rsidRPr="00EA7458">
              <w:rPr>
                <w:rFonts w:ascii="Calibri" w:hAnsi="Calibri"/>
                <w:color w:val="231F20"/>
                <w:spacing w:val="-7"/>
                <w:w w:val="110"/>
              </w:rPr>
              <w:t xml:space="preserve"> </w:t>
            </w:r>
            <w:r w:rsidRPr="00EA7458">
              <w:rPr>
                <w:rFonts w:ascii="Calibri" w:hAnsi="Calibri"/>
                <w:color w:val="231F20"/>
                <w:w w:val="110"/>
              </w:rPr>
              <w:t>centers</w:t>
            </w:r>
            <w:r w:rsidRPr="00EA7458">
              <w:rPr>
                <w:rFonts w:ascii="Calibri" w:hAnsi="Calibri"/>
                <w:color w:val="231F20"/>
                <w:spacing w:val="-7"/>
                <w:w w:val="110"/>
              </w:rPr>
              <w:t xml:space="preserve"> </w:t>
            </w:r>
            <w:r w:rsidRPr="00EA7458">
              <w:rPr>
                <w:rFonts w:ascii="Calibri" w:hAnsi="Calibri"/>
                <w:color w:val="231F20"/>
                <w:w w:val="110"/>
              </w:rPr>
              <w:t>or</w:t>
            </w:r>
            <w:r w:rsidRPr="00EA7458">
              <w:rPr>
                <w:rFonts w:ascii="Calibri" w:hAnsi="Calibri"/>
                <w:color w:val="231F20"/>
                <w:spacing w:val="-7"/>
                <w:w w:val="110"/>
              </w:rPr>
              <w:t xml:space="preserve"> </w:t>
            </w:r>
            <w:r w:rsidRPr="00EA7458">
              <w:rPr>
                <w:rFonts w:ascii="Calibri" w:hAnsi="Calibri"/>
                <w:color w:val="231F20"/>
                <w:w w:val="110"/>
              </w:rPr>
              <w:t>a</w:t>
            </w:r>
            <w:r w:rsidRPr="00EA7458">
              <w:rPr>
                <w:rFonts w:ascii="Calibri" w:hAnsi="Calibri"/>
                <w:color w:val="231F20"/>
                <w:spacing w:val="-7"/>
                <w:w w:val="110"/>
              </w:rPr>
              <w:t xml:space="preserve"> </w:t>
            </w:r>
            <w:r w:rsidRPr="00EA7458">
              <w:rPr>
                <w:rFonts w:ascii="Calibri" w:hAnsi="Calibri"/>
                <w:color w:val="231F20"/>
                <w:w w:val="110"/>
              </w:rPr>
              <w:t>plan</w:t>
            </w:r>
            <w:r w:rsidRPr="00EA7458">
              <w:rPr>
                <w:rFonts w:ascii="Calibri" w:hAnsi="Calibri"/>
                <w:color w:val="231F20"/>
                <w:spacing w:val="-7"/>
                <w:w w:val="110"/>
              </w:rPr>
              <w:t xml:space="preserve"> </w:t>
            </w:r>
            <w:r w:rsidRPr="00EA7458">
              <w:rPr>
                <w:rFonts w:ascii="Calibri" w:hAnsi="Calibri"/>
                <w:color w:val="231F20"/>
                <w:w w:val="110"/>
              </w:rPr>
              <w:t>and</w:t>
            </w:r>
            <w:r w:rsidRPr="00EA7458">
              <w:rPr>
                <w:rFonts w:ascii="Calibri" w:hAnsi="Calibri"/>
                <w:color w:val="231F20"/>
                <w:w w:val="108"/>
              </w:rPr>
              <w:t xml:space="preserve"> </w:t>
            </w:r>
            <w:r w:rsidRPr="00EA7458">
              <w:rPr>
                <w:rFonts w:ascii="Calibri" w:hAnsi="Calibri"/>
                <w:color w:val="231F20"/>
                <w:w w:val="110"/>
              </w:rPr>
              <w:t>timeline</w:t>
            </w:r>
            <w:r w:rsidRPr="00EA7458">
              <w:rPr>
                <w:rFonts w:ascii="Calibri" w:hAnsi="Calibri"/>
                <w:color w:val="231F20"/>
                <w:spacing w:val="-26"/>
                <w:w w:val="110"/>
              </w:rPr>
              <w:t xml:space="preserve"> </w:t>
            </w:r>
            <w:r w:rsidR="00D91378">
              <w:rPr>
                <w:rFonts w:ascii="Calibri" w:hAnsi="Calibri"/>
                <w:color w:val="231F20"/>
                <w:w w:val="110"/>
              </w:rPr>
              <w:t xml:space="preserve">was </w:t>
            </w:r>
            <w:r w:rsidRPr="00EA7458">
              <w:rPr>
                <w:rFonts w:ascii="Calibri" w:hAnsi="Calibri"/>
                <w:color w:val="231F20"/>
                <w:w w:val="110"/>
              </w:rPr>
              <w:t>developed</w:t>
            </w:r>
            <w:r w:rsidRPr="00EA7458">
              <w:rPr>
                <w:rFonts w:ascii="Calibri" w:hAnsi="Calibri"/>
                <w:color w:val="231F20"/>
                <w:spacing w:val="-26"/>
                <w:w w:val="110"/>
              </w:rPr>
              <w:t xml:space="preserve"> </w:t>
            </w:r>
            <w:r w:rsidR="00D91378">
              <w:rPr>
                <w:rFonts w:ascii="Calibri" w:hAnsi="Calibri"/>
                <w:color w:val="231F20"/>
                <w:w w:val="110"/>
              </w:rPr>
              <w:t xml:space="preserve">complying </w:t>
            </w:r>
            <w:r w:rsidRPr="00EA7458">
              <w:rPr>
                <w:rFonts w:ascii="Calibri" w:hAnsi="Calibri"/>
                <w:color w:val="231F20"/>
                <w:w w:val="110"/>
              </w:rPr>
              <w:t>with</w:t>
            </w:r>
            <w:r w:rsidRPr="00EA7458">
              <w:rPr>
                <w:rFonts w:ascii="Calibri" w:hAnsi="Calibri"/>
                <w:color w:val="231F20"/>
                <w:spacing w:val="-26"/>
                <w:w w:val="110"/>
              </w:rPr>
              <w:t xml:space="preserve"> </w:t>
            </w:r>
            <w:r w:rsidRPr="00EA7458">
              <w:rPr>
                <w:rFonts w:ascii="Calibri" w:hAnsi="Calibri"/>
                <w:color w:val="231F20"/>
                <w:w w:val="110"/>
              </w:rPr>
              <w:t>this</w:t>
            </w:r>
            <w:r w:rsidRPr="00EA7458">
              <w:rPr>
                <w:rFonts w:ascii="Calibri" w:hAnsi="Calibri"/>
                <w:color w:val="231F20"/>
                <w:spacing w:val="-26"/>
                <w:w w:val="110"/>
              </w:rPr>
              <w:t xml:space="preserve"> </w:t>
            </w:r>
            <w:r w:rsidRPr="00EA7458">
              <w:rPr>
                <w:rFonts w:ascii="Calibri" w:hAnsi="Calibri"/>
                <w:color w:val="231F20"/>
                <w:w w:val="110"/>
              </w:rPr>
              <w:t>requirement</w:t>
            </w:r>
            <w:r w:rsidRPr="00EA7458">
              <w:rPr>
                <w:rFonts w:ascii="Calibri" w:hAnsi="Calibri"/>
                <w:color w:val="231F20"/>
                <w:spacing w:val="-26"/>
                <w:w w:val="110"/>
              </w:rPr>
              <w:t xml:space="preserve"> </w:t>
            </w:r>
            <w:r w:rsidRPr="00EA7458">
              <w:rPr>
                <w:rFonts w:ascii="Calibri" w:hAnsi="Calibri"/>
                <w:color w:val="231F20"/>
                <w:w w:val="110"/>
              </w:rPr>
              <w:t>within</w:t>
            </w:r>
            <w:r w:rsidRPr="00EA7458">
              <w:rPr>
                <w:rFonts w:ascii="Calibri" w:hAnsi="Calibri"/>
                <w:color w:val="231F20"/>
                <w:spacing w:val="-26"/>
                <w:w w:val="110"/>
              </w:rPr>
              <w:t xml:space="preserve"> </w:t>
            </w:r>
            <w:r w:rsidRPr="00EA7458">
              <w:rPr>
                <w:rFonts w:ascii="Calibri" w:hAnsi="Calibri"/>
                <w:color w:val="231F20"/>
                <w:w w:val="110"/>
              </w:rPr>
              <w:t>a</w:t>
            </w:r>
            <w:r w:rsidRPr="00EA7458">
              <w:rPr>
                <w:rFonts w:ascii="Calibri" w:hAnsi="Calibri"/>
                <w:color w:val="231F20"/>
                <w:spacing w:val="-26"/>
                <w:w w:val="110"/>
              </w:rPr>
              <w:t xml:space="preserve"> </w:t>
            </w:r>
            <w:r w:rsidRPr="00EA7458">
              <w:rPr>
                <w:rFonts w:ascii="Calibri" w:hAnsi="Calibri"/>
                <w:color w:val="231F20"/>
                <w:w w:val="110"/>
              </w:rPr>
              <w:t>reasonable</w:t>
            </w:r>
            <w:r w:rsidRPr="00EA7458">
              <w:rPr>
                <w:rFonts w:ascii="Calibri" w:hAnsi="Calibri"/>
                <w:color w:val="231F20"/>
                <w:spacing w:val="-26"/>
                <w:w w:val="110"/>
              </w:rPr>
              <w:t xml:space="preserve"> </w:t>
            </w:r>
            <w:r w:rsidRPr="00EA7458">
              <w:rPr>
                <w:rFonts w:ascii="Calibri" w:hAnsi="Calibri"/>
                <w:color w:val="231F20"/>
                <w:w w:val="110"/>
              </w:rPr>
              <w:t>amount</w:t>
            </w:r>
            <w:r w:rsidRPr="00EA7458">
              <w:rPr>
                <w:rFonts w:ascii="Calibri" w:hAnsi="Calibri"/>
                <w:color w:val="231F20"/>
                <w:spacing w:val="-26"/>
                <w:w w:val="110"/>
              </w:rPr>
              <w:t xml:space="preserve"> </w:t>
            </w:r>
            <w:r w:rsidRPr="00EA7458">
              <w:rPr>
                <w:rFonts w:ascii="Calibri" w:hAnsi="Calibri"/>
                <w:color w:val="231F20"/>
                <w:w w:val="110"/>
              </w:rPr>
              <w:t>of</w:t>
            </w:r>
            <w:r w:rsidRPr="00EA7458">
              <w:rPr>
                <w:rFonts w:ascii="Calibri" w:hAnsi="Calibri"/>
                <w:color w:val="231F20"/>
                <w:spacing w:val="-26"/>
                <w:w w:val="110"/>
              </w:rPr>
              <w:t xml:space="preserve"> </w:t>
            </w:r>
            <w:r w:rsidRPr="00EA7458">
              <w:rPr>
                <w:rFonts w:ascii="Calibri" w:hAnsi="Calibri"/>
                <w:color w:val="231F20"/>
                <w:w w:val="110"/>
              </w:rPr>
              <w:t>time.</w:t>
            </w:r>
            <w:r w:rsidRPr="00EA7458">
              <w:rPr>
                <w:rFonts w:ascii="Calibri" w:hAnsi="Calibri"/>
                <w:color w:val="231F20"/>
                <w:w w:val="91"/>
              </w:rPr>
              <w:t xml:space="preserve"> </w:t>
            </w:r>
            <w:r w:rsidRPr="00EA7458">
              <w:rPr>
                <w:rFonts w:ascii="Calibri" w:hAnsi="Calibri"/>
                <w:color w:val="231F20"/>
                <w:w w:val="95"/>
              </w:rPr>
              <w:t>(sec</w:t>
            </w:r>
            <w:r w:rsidRPr="00EA7458">
              <w:rPr>
                <w:rFonts w:ascii="Calibri" w:hAnsi="Calibri"/>
                <w:color w:val="231F20"/>
                <w:spacing w:val="9"/>
                <w:w w:val="95"/>
              </w:rPr>
              <w:t xml:space="preserve"> </w:t>
            </w:r>
            <w:r w:rsidRPr="00EA7458">
              <w:rPr>
                <w:rFonts w:ascii="Calibri" w:hAnsi="Calibri"/>
                <w:color w:val="231F20"/>
                <w:w w:val="95"/>
              </w:rPr>
              <w:t>121(e)(3));</w:t>
            </w:r>
          </w:p>
        </w:tc>
      </w:tr>
      <w:tr w:rsidR="00EA7458" w:rsidRPr="00EA7458" w14:paraId="78B9FD26" w14:textId="77777777" w:rsidTr="00E65FFA">
        <w:trPr>
          <w:trHeight w:hRule="exact" w:val="598"/>
        </w:trPr>
        <w:tc>
          <w:tcPr>
            <w:tcW w:w="700" w:type="dxa"/>
            <w:tcBorders>
              <w:top w:val="single" w:sz="2" w:space="0" w:color="231F20"/>
              <w:left w:val="single" w:sz="2" w:space="0" w:color="231F20"/>
              <w:bottom w:val="single" w:sz="2" w:space="0" w:color="231F20"/>
              <w:right w:val="single" w:sz="2" w:space="0" w:color="231F20"/>
            </w:tcBorders>
          </w:tcPr>
          <w:p w14:paraId="6862CA70" w14:textId="77777777" w:rsidR="00EA7458" w:rsidRPr="00EA7458" w:rsidRDefault="00EA7458" w:rsidP="00EA7458">
            <w:pPr>
              <w:widowControl w:val="0"/>
              <w:spacing w:before="174" w:after="0" w:line="240" w:lineRule="auto"/>
              <w:ind w:left="360"/>
              <w:rPr>
                <w:rFonts w:ascii="Calibri" w:hAnsi="Calibri" w:cs="Calibri"/>
              </w:rPr>
            </w:pPr>
            <w:r w:rsidRPr="00EA7458">
              <w:rPr>
                <w:rFonts w:ascii="Calibri" w:hAnsi="Calibri"/>
                <w:color w:val="231F20"/>
                <w:w w:val="110"/>
              </w:rPr>
              <w:t>2.</w:t>
            </w:r>
          </w:p>
        </w:tc>
        <w:tc>
          <w:tcPr>
            <w:tcW w:w="9520" w:type="dxa"/>
            <w:tcBorders>
              <w:top w:val="single" w:sz="2" w:space="0" w:color="231F20"/>
              <w:left w:val="single" w:sz="2" w:space="0" w:color="231F20"/>
              <w:bottom w:val="single" w:sz="2" w:space="0" w:color="231F20"/>
              <w:right w:val="single" w:sz="2" w:space="0" w:color="231F20"/>
            </w:tcBorders>
          </w:tcPr>
          <w:p w14:paraId="30FD1922" w14:textId="6425BA82" w:rsidR="00EA7458" w:rsidRPr="00EA7458" w:rsidRDefault="00EA7458" w:rsidP="00D63204">
            <w:pPr>
              <w:widowControl w:val="0"/>
              <w:spacing w:before="40" w:after="0" w:line="264" w:lineRule="exact"/>
              <w:ind w:left="77" w:right="75"/>
              <w:rPr>
                <w:rFonts w:ascii="Calibri" w:hAnsi="Calibri" w:cs="Calibri"/>
              </w:rPr>
            </w:pPr>
            <w:r w:rsidRPr="007D2256">
              <w:rPr>
                <w:rFonts w:ascii="Calibri" w:hAnsi="Calibri"/>
                <w:color w:val="231F20"/>
                <w:w w:val="110"/>
              </w:rPr>
              <w:t xml:space="preserve">The </w:t>
            </w:r>
            <w:r w:rsidR="00F50664">
              <w:rPr>
                <w:rFonts w:ascii="Calibri" w:hAnsi="Calibri"/>
                <w:color w:val="231F20"/>
                <w:w w:val="110"/>
              </w:rPr>
              <w:t>s</w:t>
            </w:r>
            <w:r w:rsidRPr="007D2256">
              <w:rPr>
                <w:rFonts w:ascii="Calibri" w:hAnsi="Calibri"/>
                <w:color w:val="231F20"/>
                <w:w w:val="110"/>
              </w:rPr>
              <w:t xml:space="preserve">tate agency </w:t>
            </w:r>
            <w:r w:rsidR="00D91378" w:rsidRPr="007D2256">
              <w:rPr>
                <w:rFonts w:ascii="Calibri" w:hAnsi="Calibri"/>
                <w:color w:val="231F20"/>
                <w:w w:val="110"/>
              </w:rPr>
              <w:t xml:space="preserve">complies </w:t>
            </w:r>
            <w:r w:rsidRPr="007D2256">
              <w:rPr>
                <w:rFonts w:ascii="Calibri" w:hAnsi="Calibri"/>
                <w:color w:val="231F20"/>
                <w:w w:val="110"/>
              </w:rPr>
              <w:t>with requirements under 20 CFR 653.111 (</w:t>
            </w:r>
            <w:r w:rsidR="00F50664">
              <w:rPr>
                <w:rFonts w:ascii="Calibri" w:hAnsi="Calibri"/>
                <w:color w:val="231F20"/>
                <w:w w:val="110"/>
              </w:rPr>
              <w:t>s</w:t>
            </w:r>
            <w:r w:rsidRPr="007D2256">
              <w:rPr>
                <w:rFonts w:ascii="Calibri" w:hAnsi="Calibri"/>
                <w:color w:val="231F20"/>
                <w:w w:val="110"/>
              </w:rPr>
              <w:t xml:space="preserve">tate agency staffing requirements) if the </w:t>
            </w:r>
            <w:r w:rsidR="00F50664">
              <w:rPr>
                <w:rFonts w:ascii="Calibri" w:hAnsi="Calibri"/>
                <w:color w:val="231F20"/>
                <w:w w:val="110"/>
              </w:rPr>
              <w:t>s</w:t>
            </w:r>
            <w:r w:rsidRPr="007D2256">
              <w:rPr>
                <w:rFonts w:ascii="Calibri" w:hAnsi="Calibri"/>
                <w:color w:val="231F20"/>
                <w:w w:val="110"/>
              </w:rPr>
              <w:t>tate has significant MSFW one-stop centers;</w:t>
            </w:r>
          </w:p>
        </w:tc>
      </w:tr>
      <w:tr w:rsidR="00EA7458" w:rsidRPr="00EA7458" w14:paraId="2DA393E8" w14:textId="77777777" w:rsidTr="00E65FFA">
        <w:trPr>
          <w:trHeight w:hRule="exact" w:val="1126"/>
        </w:trPr>
        <w:tc>
          <w:tcPr>
            <w:tcW w:w="700" w:type="dxa"/>
            <w:tcBorders>
              <w:top w:val="single" w:sz="2" w:space="0" w:color="231F20"/>
              <w:left w:val="single" w:sz="2" w:space="0" w:color="231F20"/>
              <w:bottom w:val="single" w:sz="2" w:space="0" w:color="231F20"/>
              <w:right w:val="single" w:sz="2" w:space="0" w:color="231F20"/>
            </w:tcBorders>
            <w:shd w:val="clear" w:color="auto" w:fill="E6E7E8"/>
          </w:tcPr>
          <w:p w14:paraId="123185CE" w14:textId="77777777" w:rsidR="00EA7458" w:rsidRPr="00EA7458" w:rsidRDefault="00EA7458" w:rsidP="00EA7458">
            <w:pPr>
              <w:widowControl w:val="0"/>
              <w:spacing w:after="0" w:line="240" w:lineRule="auto"/>
              <w:rPr>
                <w:rFonts w:ascii="Calibri" w:hAnsi="Calibri" w:cs="Calibri"/>
                <w:b/>
                <w:bCs/>
              </w:rPr>
            </w:pPr>
          </w:p>
          <w:p w14:paraId="10E6F200" w14:textId="77777777" w:rsidR="00EA7458" w:rsidRPr="00EA7458" w:rsidRDefault="00EA7458" w:rsidP="00EA7458">
            <w:pPr>
              <w:widowControl w:val="0"/>
              <w:spacing w:before="169" w:after="0" w:line="240" w:lineRule="auto"/>
              <w:ind w:left="360"/>
              <w:rPr>
                <w:rFonts w:ascii="Calibri" w:hAnsi="Calibri" w:cs="Calibri"/>
              </w:rPr>
            </w:pPr>
            <w:r w:rsidRPr="00EA7458">
              <w:rPr>
                <w:rFonts w:ascii="Calibri" w:hAnsi="Calibri"/>
                <w:color w:val="231F20"/>
                <w:w w:val="105"/>
              </w:rPr>
              <w:t>3.</w:t>
            </w:r>
          </w:p>
        </w:tc>
        <w:tc>
          <w:tcPr>
            <w:tcW w:w="9520" w:type="dxa"/>
            <w:tcBorders>
              <w:top w:val="single" w:sz="2" w:space="0" w:color="231F20"/>
              <w:left w:val="single" w:sz="2" w:space="0" w:color="231F20"/>
              <w:bottom w:val="single" w:sz="2" w:space="0" w:color="231F20"/>
              <w:right w:val="single" w:sz="2" w:space="0" w:color="231F20"/>
            </w:tcBorders>
            <w:shd w:val="clear" w:color="auto" w:fill="E6E7E8"/>
          </w:tcPr>
          <w:p w14:paraId="27882942" w14:textId="0D686AC1" w:rsidR="00EA7458" w:rsidRPr="00EA7458" w:rsidRDefault="00EA7458" w:rsidP="00D63204">
            <w:pPr>
              <w:widowControl w:val="0"/>
              <w:spacing w:before="40" w:after="0" w:line="264" w:lineRule="exact"/>
              <w:ind w:left="77" w:right="75"/>
              <w:rPr>
                <w:rFonts w:ascii="Calibri" w:hAnsi="Calibri" w:cs="Calibri"/>
              </w:rPr>
            </w:pPr>
            <w:r w:rsidRPr="00DC7834">
              <w:rPr>
                <w:rFonts w:ascii="Calibri" w:hAnsi="Calibri"/>
                <w:color w:val="231F20"/>
                <w:w w:val="110"/>
              </w:rPr>
              <w:t xml:space="preserve">If a </w:t>
            </w:r>
            <w:r w:rsidR="00F50664">
              <w:rPr>
                <w:rFonts w:ascii="Calibri" w:hAnsi="Calibri"/>
                <w:color w:val="231F20"/>
                <w:w w:val="110"/>
              </w:rPr>
              <w:t>s</w:t>
            </w:r>
            <w:r w:rsidRPr="00DC7834">
              <w:rPr>
                <w:rFonts w:ascii="Calibri" w:hAnsi="Calibri"/>
                <w:color w:val="231F20"/>
                <w:w w:val="110"/>
              </w:rPr>
              <w:t xml:space="preserve">tate </w:t>
            </w:r>
            <w:r w:rsidR="00F50664">
              <w:rPr>
                <w:rFonts w:ascii="Calibri" w:hAnsi="Calibri"/>
                <w:color w:val="231F20"/>
                <w:w w:val="110"/>
              </w:rPr>
              <w:t>workforce development b</w:t>
            </w:r>
            <w:r w:rsidRPr="00DC7834">
              <w:rPr>
                <w:rFonts w:ascii="Calibri" w:hAnsi="Calibri"/>
                <w:color w:val="231F20"/>
                <w:w w:val="110"/>
              </w:rPr>
              <w:t xml:space="preserve">oard, department, or agency administers </w:t>
            </w:r>
            <w:r w:rsidR="00F50664">
              <w:rPr>
                <w:rFonts w:ascii="Calibri" w:hAnsi="Calibri"/>
                <w:color w:val="231F20"/>
                <w:w w:val="110"/>
              </w:rPr>
              <w:t>s</w:t>
            </w:r>
            <w:r w:rsidRPr="00DC7834">
              <w:rPr>
                <w:rFonts w:ascii="Calibri" w:hAnsi="Calibri"/>
                <w:color w:val="231F20"/>
                <w:w w:val="110"/>
              </w:rPr>
              <w:t xml:space="preserve">tate laws for vocational rehabilitation of </w:t>
            </w:r>
            <w:r w:rsidR="007722F4">
              <w:rPr>
                <w:rFonts w:ascii="Calibri" w:hAnsi="Calibri"/>
                <w:color w:val="231F20"/>
                <w:w w:val="110"/>
              </w:rPr>
              <w:t>persons</w:t>
            </w:r>
            <w:r w:rsidR="00CA1499" w:rsidRPr="00DC7834">
              <w:rPr>
                <w:rFonts w:ascii="Calibri" w:hAnsi="Calibri"/>
                <w:color w:val="231F20"/>
                <w:w w:val="110"/>
              </w:rPr>
              <w:t xml:space="preserve"> with disabilities</w:t>
            </w:r>
            <w:r w:rsidRPr="00DC7834">
              <w:rPr>
                <w:rFonts w:ascii="Calibri" w:hAnsi="Calibri"/>
                <w:color w:val="231F20"/>
                <w:w w:val="110"/>
              </w:rPr>
              <w:t>, that board, department, or agency</w:t>
            </w:r>
            <w:r w:rsidR="00DC7834">
              <w:rPr>
                <w:rFonts w:ascii="Calibri" w:hAnsi="Calibri"/>
                <w:color w:val="231F20"/>
                <w:w w:val="110"/>
              </w:rPr>
              <w:t xml:space="preserve"> </w:t>
            </w:r>
            <w:r w:rsidRPr="00DC7834">
              <w:rPr>
                <w:rFonts w:ascii="Calibri" w:hAnsi="Calibri"/>
                <w:color w:val="231F20"/>
                <w:w w:val="110"/>
              </w:rPr>
              <w:t>cooperates with the agency that administers Wagner-Peyser services, Adult and Dislocated Worker programs and Youth Programs under Title I; and</w:t>
            </w:r>
          </w:p>
        </w:tc>
      </w:tr>
      <w:tr w:rsidR="00EA7458" w:rsidRPr="00EA7458" w14:paraId="7F83597A" w14:textId="77777777" w:rsidTr="00E65FFA">
        <w:trPr>
          <w:trHeight w:hRule="exact" w:val="598"/>
        </w:trPr>
        <w:tc>
          <w:tcPr>
            <w:tcW w:w="700" w:type="dxa"/>
            <w:tcBorders>
              <w:top w:val="single" w:sz="2" w:space="0" w:color="231F20"/>
              <w:left w:val="single" w:sz="2" w:space="0" w:color="231F20"/>
              <w:bottom w:val="single" w:sz="2" w:space="0" w:color="231F20"/>
              <w:right w:val="single" w:sz="2" w:space="0" w:color="231F20"/>
            </w:tcBorders>
          </w:tcPr>
          <w:p w14:paraId="776DF755" w14:textId="77777777" w:rsidR="00EA7458" w:rsidRPr="00EA7458" w:rsidRDefault="00EA7458" w:rsidP="00EA7458">
            <w:pPr>
              <w:widowControl w:val="0"/>
              <w:spacing w:before="174" w:after="0" w:line="240" w:lineRule="auto"/>
              <w:ind w:left="360"/>
              <w:rPr>
                <w:rFonts w:ascii="Calibri" w:hAnsi="Calibri" w:cs="Calibri"/>
              </w:rPr>
            </w:pPr>
            <w:r w:rsidRPr="00EA7458">
              <w:rPr>
                <w:rFonts w:ascii="Calibri" w:hAnsi="Calibri"/>
                <w:color w:val="231F20"/>
                <w:w w:val="105"/>
              </w:rPr>
              <w:t>4.</w:t>
            </w:r>
          </w:p>
        </w:tc>
        <w:tc>
          <w:tcPr>
            <w:tcW w:w="9520" w:type="dxa"/>
            <w:tcBorders>
              <w:top w:val="single" w:sz="2" w:space="0" w:color="231F20"/>
              <w:left w:val="single" w:sz="2" w:space="0" w:color="231F20"/>
              <w:bottom w:val="single" w:sz="2" w:space="0" w:color="231F20"/>
              <w:right w:val="single" w:sz="2" w:space="0" w:color="231F20"/>
            </w:tcBorders>
          </w:tcPr>
          <w:p w14:paraId="50B65FBB" w14:textId="77777777" w:rsidR="00EA7458" w:rsidRPr="00EA7458" w:rsidRDefault="00EA7458" w:rsidP="00D63204">
            <w:pPr>
              <w:widowControl w:val="0"/>
              <w:spacing w:before="40" w:after="0" w:line="264" w:lineRule="exact"/>
              <w:ind w:left="77" w:right="75"/>
              <w:rPr>
                <w:rFonts w:ascii="Calibri" w:hAnsi="Calibri" w:cs="Calibri"/>
              </w:rPr>
            </w:pPr>
            <w:r w:rsidRPr="007D2256">
              <w:rPr>
                <w:rFonts w:ascii="Calibri" w:hAnsi="Calibri"/>
                <w:color w:val="231F20"/>
                <w:w w:val="110"/>
              </w:rPr>
              <w:t>State agency merit-based public employees provide Wagner-Peyser Act-funded labor exchange activities in accordance with Department of Labor regulations.</w:t>
            </w:r>
          </w:p>
        </w:tc>
      </w:tr>
    </w:tbl>
    <w:p w14:paraId="6D0CA7A3" w14:textId="77777777" w:rsidR="00EA7458" w:rsidRPr="00EA7458" w:rsidRDefault="00EA7458" w:rsidP="00EA7458">
      <w:pPr>
        <w:widowControl w:val="0"/>
        <w:spacing w:after="0" w:line="264" w:lineRule="exact"/>
        <w:rPr>
          <w:rFonts w:ascii="Calibri" w:hAnsi="Calibri" w:cs="Calibri"/>
        </w:rPr>
        <w:sectPr w:rsidR="00EA7458" w:rsidRPr="00EA7458">
          <w:footerReference w:type="default" r:id="rId159"/>
          <w:pgSz w:w="12240" w:h="15840"/>
          <w:pgMar w:top="1620" w:right="900" w:bottom="820" w:left="900" w:header="812" w:footer="624" w:gutter="0"/>
          <w:cols w:space="720"/>
        </w:sectPr>
      </w:pPr>
    </w:p>
    <w:p w14:paraId="1987FE0C" w14:textId="77777777" w:rsidR="00EA7458" w:rsidRPr="00EA7458" w:rsidRDefault="00EA7458" w:rsidP="00EA7458">
      <w:pPr>
        <w:widowControl w:val="0"/>
        <w:spacing w:before="4" w:after="0" w:line="240" w:lineRule="auto"/>
        <w:rPr>
          <w:rFonts w:ascii="Calibri" w:hAnsi="Calibri" w:cs="Calibri"/>
          <w:b/>
          <w:bCs/>
          <w:sz w:val="14"/>
          <w:szCs w:val="14"/>
        </w:rPr>
      </w:pPr>
    </w:p>
    <w:p w14:paraId="1129C025" w14:textId="77777777" w:rsidR="00EA7458" w:rsidRPr="00EA7458" w:rsidRDefault="00EA7458" w:rsidP="00EA7458">
      <w:pPr>
        <w:widowControl w:val="0"/>
        <w:spacing w:before="57" w:after="0" w:line="240" w:lineRule="auto"/>
        <w:ind w:left="107"/>
        <w:rPr>
          <w:rFonts w:ascii="Calibri" w:hAnsi="Calibri" w:cs="Calibri"/>
        </w:rPr>
      </w:pPr>
      <w:r w:rsidRPr="00EA7458">
        <w:rPr>
          <w:rFonts w:ascii="Calibri" w:hAnsi="Calibri"/>
          <w:b/>
          <w:color w:val="231F20"/>
          <w:w w:val="110"/>
        </w:rPr>
        <w:t>CareerSource</w:t>
      </w:r>
      <w:r w:rsidRPr="00EA7458">
        <w:rPr>
          <w:rFonts w:ascii="Calibri" w:hAnsi="Calibri"/>
          <w:b/>
          <w:color w:val="231F20"/>
          <w:spacing w:val="18"/>
          <w:w w:val="110"/>
        </w:rPr>
        <w:t xml:space="preserve"> </w:t>
      </w:r>
      <w:r w:rsidRPr="00EA7458">
        <w:rPr>
          <w:rFonts w:ascii="Calibri" w:hAnsi="Calibri"/>
          <w:b/>
          <w:color w:val="231F20"/>
          <w:w w:val="110"/>
        </w:rPr>
        <w:t>Florida</w:t>
      </w:r>
    </w:p>
    <w:p w14:paraId="09BCFE3F" w14:textId="77777777" w:rsidR="00EA7458" w:rsidRPr="00EA7458" w:rsidRDefault="00EA7458" w:rsidP="00EA7458">
      <w:pPr>
        <w:widowControl w:val="0"/>
        <w:spacing w:after="0" w:line="240" w:lineRule="auto"/>
        <w:rPr>
          <w:rFonts w:ascii="Calibri" w:hAnsi="Calibri" w:cs="Calibri"/>
          <w:b/>
          <w:bCs/>
          <w:sz w:val="20"/>
          <w:szCs w:val="20"/>
        </w:rPr>
      </w:pPr>
    </w:p>
    <w:p w14:paraId="32727035" w14:textId="77777777" w:rsidR="00EA7458" w:rsidRPr="00EA7458" w:rsidRDefault="00EA7458" w:rsidP="00EA7458">
      <w:pPr>
        <w:widowControl w:val="0"/>
        <w:spacing w:after="0" w:line="240" w:lineRule="auto"/>
        <w:rPr>
          <w:rFonts w:ascii="Calibri" w:hAnsi="Calibri" w:cs="Calibri"/>
          <w:b/>
          <w:bCs/>
          <w:sz w:val="20"/>
          <w:szCs w:val="20"/>
        </w:rPr>
      </w:pPr>
    </w:p>
    <w:p w14:paraId="6B47795E" w14:textId="77777777" w:rsidR="00EA7458" w:rsidRPr="00EA7458" w:rsidRDefault="00EA7458" w:rsidP="00EA7458">
      <w:pPr>
        <w:widowControl w:val="0"/>
        <w:spacing w:after="0" w:line="240" w:lineRule="auto"/>
        <w:rPr>
          <w:rFonts w:ascii="Calibri" w:hAnsi="Calibri" w:cs="Calibri"/>
          <w:b/>
          <w:bCs/>
          <w:sz w:val="20"/>
          <w:szCs w:val="20"/>
        </w:rPr>
      </w:pPr>
    </w:p>
    <w:p w14:paraId="3007FC5E" w14:textId="77777777" w:rsidR="00EA7458" w:rsidRPr="00EA7458" w:rsidRDefault="00EA7458" w:rsidP="00EA7458">
      <w:pPr>
        <w:widowControl w:val="0"/>
        <w:spacing w:after="0" w:line="240" w:lineRule="auto"/>
        <w:rPr>
          <w:rFonts w:ascii="Calibri" w:hAnsi="Calibri" w:cs="Calibri"/>
          <w:b/>
          <w:bCs/>
          <w:sz w:val="19"/>
          <w:szCs w:val="19"/>
        </w:rPr>
      </w:pPr>
    </w:p>
    <w:p w14:paraId="7D0985B1" w14:textId="7264ACAD" w:rsidR="00EA7458" w:rsidRPr="00EA7458" w:rsidRDefault="00EA7458" w:rsidP="007A2CE1">
      <w:pPr>
        <w:widowControl w:val="0"/>
        <w:tabs>
          <w:tab w:val="left" w:pos="6154"/>
          <w:tab w:val="left" w:pos="9238"/>
        </w:tabs>
        <w:spacing w:after="0" w:line="240" w:lineRule="auto"/>
        <w:ind w:left="107"/>
        <w:rPr>
          <w:rFonts w:ascii="Calibri" w:hAnsi="Calibri"/>
        </w:rPr>
      </w:pPr>
      <w:r w:rsidRPr="00EA7458">
        <w:rPr>
          <w:rFonts w:ascii="Calibri" w:hAnsi="Calibri"/>
          <w:b/>
          <w:color w:val="231F20"/>
          <w:w w:val="113"/>
          <w:sz w:val="16"/>
          <w:u w:val="single" w:color="221E1F"/>
        </w:rPr>
        <w:t xml:space="preserve"> </w:t>
      </w:r>
      <w:r w:rsidRPr="00EA7458">
        <w:rPr>
          <w:rFonts w:ascii="Calibri" w:hAnsi="Calibri"/>
          <w:b/>
          <w:color w:val="231F20"/>
          <w:sz w:val="16"/>
          <w:u w:val="single" w:color="221E1F"/>
        </w:rPr>
        <w:tab/>
      </w:r>
      <w:r w:rsidRPr="00EA7458">
        <w:rPr>
          <w:rFonts w:ascii="Calibri" w:hAnsi="Calibri"/>
          <w:b/>
          <w:color w:val="231F20"/>
          <w:sz w:val="16"/>
        </w:rPr>
        <w:t xml:space="preserve"> </w:t>
      </w:r>
      <w:r w:rsidRPr="00EA7458">
        <w:rPr>
          <w:rFonts w:ascii="Calibri" w:hAnsi="Calibri"/>
          <w:b/>
          <w:color w:val="231F20"/>
          <w:spacing w:val="-4"/>
          <w:w w:val="115"/>
          <w:sz w:val="16"/>
        </w:rPr>
        <w:t>DATE:</w:t>
      </w:r>
      <w:r w:rsidRPr="00EA7458">
        <w:rPr>
          <w:rFonts w:ascii="Calibri" w:hAnsi="Calibri"/>
          <w:b/>
          <w:color w:val="231F20"/>
          <w:spacing w:val="4"/>
          <w:sz w:val="16"/>
        </w:rPr>
        <w:t xml:space="preserve"> </w:t>
      </w:r>
      <w:r w:rsidRPr="00EA7458">
        <w:rPr>
          <w:rFonts w:ascii="Calibri" w:hAnsi="Calibri"/>
          <w:b/>
          <w:color w:val="231F20"/>
          <w:w w:val="113"/>
          <w:sz w:val="16"/>
          <w:u w:val="single" w:color="221E1F"/>
        </w:rPr>
        <w:t xml:space="preserve"> </w:t>
      </w:r>
      <w:r w:rsidRPr="00EA7458">
        <w:rPr>
          <w:rFonts w:ascii="Calibri" w:hAnsi="Calibri"/>
          <w:b/>
          <w:color w:val="231F20"/>
          <w:sz w:val="16"/>
          <w:u w:val="single" w:color="221E1F"/>
        </w:rPr>
        <w:tab/>
      </w:r>
      <w:r w:rsidR="007A2CE1">
        <w:rPr>
          <w:rFonts w:ascii="Calibri" w:hAnsi="Calibri"/>
          <w:b/>
          <w:color w:val="231F20"/>
          <w:sz w:val="16"/>
          <w:u w:val="single" w:color="221E1F"/>
        </w:rPr>
        <w:br/>
      </w:r>
      <w:r w:rsidR="009A395E">
        <w:rPr>
          <w:rFonts w:ascii="Calibri" w:hAnsi="Calibri"/>
          <w:color w:val="231F20"/>
          <w:w w:val="110"/>
        </w:rPr>
        <w:t>Michelle Dennard</w:t>
      </w:r>
      <w:r w:rsidRPr="00EA7458">
        <w:rPr>
          <w:rFonts w:ascii="Calibri" w:hAnsi="Calibri"/>
          <w:color w:val="231F20"/>
          <w:spacing w:val="-7"/>
          <w:w w:val="110"/>
        </w:rPr>
        <w:t xml:space="preserve">, </w:t>
      </w:r>
      <w:r w:rsidRPr="00EA7458">
        <w:rPr>
          <w:rFonts w:ascii="Calibri" w:hAnsi="Calibri"/>
          <w:color w:val="231F20"/>
          <w:w w:val="110"/>
        </w:rPr>
        <w:t>President and</w:t>
      </w:r>
      <w:r w:rsidRPr="00EA7458">
        <w:rPr>
          <w:rFonts w:ascii="Calibri" w:hAnsi="Calibri"/>
          <w:color w:val="231F20"/>
          <w:spacing w:val="-5"/>
          <w:w w:val="110"/>
        </w:rPr>
        <w:t xml:space="preserve"> </w:t>
      </w:r>
      <w:r w:rsidRPr="00EA7458">
        <w:rPr>
          <w:rFonts w:ascii="Calibri" w:hAnsi="Calibri"/>
          <w:color w:val="231F20"/>
          <w:w w:val="110"/>
        </w:rPr>
        <w:t>CEO</w:t>
      </w:r>
    </w:p>
    <w:p w14:paraId="715AD793" w14:textId="77777777" w:rsidR="00EA7458" w:rsidRPr="00EA7458" w:rsidRDefault="00EA7458" w:rsidP="00EA7458">
      <w:pPr>
        <w:widowControl w:val="0"/>
        <w:spacing w:after="0" w:line="240" w:lineRule="auto"/>
        <w:rPr>
          <w:rFonts w:ascii="Calibri" w:hAnsi="Calibri" w:cs="Calibri"/>
        </w:rPr>
      </w:pPr>
    </w:p>
    <w:p w14:paraId="450D2168" w14:textId="77777777" w:rsidR="00EA7458" w:rsidRPr="00EA7458" w:rsidRDefault="00EA7458" w:rsidP="00EA7458">
      <w:pPr>
        <w:widowControl w:val="0"/>
        <w:spacing w:after="0" w:line="240" w:lineRule="auto"/>
        <w:rPr>
          <w:rFonts w:ascii="Calibri" w:hAnsi="Calibri" w:cs="Calibri"/>
        </w:rPr>
      </w:pPr>
    </w:p>
    <w:p w14:paraId="23C76820" w14:textId="77777777" w:rsidR="00EA7458" w:rsidRPr="00EA7458" w:rsidRDefault="00EA7458" w:rsidP="00EA7458">
      <w:pPr>
        <w:widowControl w:val="0"/>
        <w:spacing w:after="0" w:line="240" w:lineRule="auto"/>
        <w:rPr>
          <w:rFonts w:ascii="Calibri" w:hAnsi="Calibri" w:cs="Calibri"/>
        </w:rPr>
      </w:pPr>
    </w:p>
    <w:p w14:paraId="33F26932" w14:textId="77777777" w:rsidR="00EA7458" w:rsidRPr="00EA7458" w:rsidRDefault="00EA7458" w:rsidP="00EA7458">
      <w:pPr>
        <w:widowControl w:val="0"/>
        <w:spacing w:before="173" w:after="0" w:line="240" w:lineRule="auto"/>
        <w:ind w:left="107"/>
        <w:outlineLvl w:val="2"/>
        <w:rPr>
          <w:rFonts w:ascii="Calibri" w:hAnsi="Calibri"/>
        </w:rPr>
      </w:pPr>
      <w:r w:rsidRPr="00EA7458">
        <w:rPr>
          <w:rFonts w:ascii="Calibri" w:hAnsi="Calibri"/>
          <w:b/>
          <w:bCs/>
          <w:color w:val="231F20"/>
          <w:w w:val="105"/>
        </w:rPr>
        <w:t>Department of Economic</w:t>
      </w:r>
      <w:r w:rsidRPr="00EA7458">
        <w:rPr>
          <w:rFonts w:ascii="Calibri" w:hAnsi="Calibri"/>
          <w:b/>
          <w:bCs/>
          <w:color w:val="231F20"/>
          <w:spacing w:val="-7"/>
          <w:w w:val="105"/>
        </w:rPr>
        <w:t xml:space="preserve"> </w:t>
      </w:r>
      <w:r w:rsidRPr="00EA7458">
        <w:rPr>
          <w:rFonts w:ascii="Calibri" w:hAnsi="Calibri"/>
          <w:b/>
          <w:bCs/>
          <w:color w:val="231F20"/>
          <w:w w:val="105"/>
        </w:rPr>
        <w:t>Opportunity</w:t>
      </w:r>
    </w:p>
    <w:p w14:paraId="75BA6745" w14:textId="77777777" w:rsidR="00EA7458" w:rsidRPr="00EA7458" w:rsidRDefault="00EA7458" w:rsidP="00EA7458">
      <w:pPr>
        <w:widowControl w:val="0"/>
        <w:spacing w:after="0" w:line="240" w:lineRule="auto"/>
        <w:rPr>
          <w:rFonts w:ascii="Calibri" w:hAnsi="Calibri" w:cs="Calibri"/>
          <w:b/>
          <w:bCs/>
          <w:sz w:val="20"/>
          <w:szCs w:val="20"/>
        </w:rPr>
      </w:pPr>
    </w:p>
    <w:p w14:paraId="0B18C68B" w14:textId="77777777" w:rsidR="00EA7458" w:rsidRPr="00EA7458" w:rsidRDefault="00EA7458" w:rsidP="00EA7458">
      <w:pPr>
        <w:widowControl w:val="0"/>
        <w:spacing w:after="0" w:line="240" w:lineRule="auto"/>
        <w:rPr>
          <w:rFonts w:ascii="Calibri" w:hAnsi="Calibri" w:cs="Calibri"/>
          <w:b/>
          <w:bCs/>
          <w:sz w:val="20"/>
          <w:szCs w:val="20"/>
        </w:rPr>
      </w:pPr>
    </w:p>
    <w:p w14:paraId="50857B5E" w14:textId="77777777" w:rsidR="00EA7458" w:rsidRPr="00EA7458" w:rsidRDefault="00EA7458" w:rsidP="00EA7458">
      <w:pPr>
        <w:widowControl w:val="0"/>
        <w:spacing w:after="0" w:line="240" w:lineRule="auto"/>
        <w:rPr>
          <w:rFonts w:ascii="Calibri" w:hAnsi="Calibri" w:cs="Calibri"/>
          <w:b/>
          <w:bCs/>
          <w:sz w:val="20"/>
          <w:szCs w:val="20"/>
        </w:rPr>
      </w:pPr>
    </w:p>
    <w:p w14:paraId="2BDA99D2" w14:textId="77777777" w:rsidR="00EA7458" w:rsidRPr="00EA7458" w:rsidRDefault="00EA7458" w:rsidP="00EA7458">
      <w:pPr>
        <w:widowControl w:val="0"/>
        <w:spacing w:after="0" w:line="240" w:lineRule="auto"/>
        <w:rPr>
          <w:rFonts w:ascii="Calibri" w:hAnsi="Calibri" w:cs="Calibri"/>
          <w:b/>
          <w:bCs/>
          <w:sz w:val="19"/>
          <w:szCs w:val="19"/>
        </w:rPr>
      </w:pPr>
    </w:p>
    <w:p w14:paraId="009D608E" w14:textId="7E651832" w:rsidR="00EA7458" w:rsidRPr="00EA7458" w:rsidRDefault="00EA7458" w:rsidP="007A2CE1">
      <w:pPr>
        <w:widowControl w:val="0"/>
        <w:tabs>
          <w:tab w:val="left" w:pos="6154"/>
          <w:tab w:val="left" w:pos="9238"/>
        </w:tabs>
        <w:spacing w:after="0" w:line="240" w:lineRule="auto"/>
        <w:ind w:left="107"/>
        <w:rPr>
          <w:rFonts w:ascii="Calibri" w:hAnsi="Calibri"/>
        </w:rPr>
      </w:pPr>
      <w:r w:rsidRPr="00EA7458">
        <w:rPr>
          <w:rFonts w:ascii="Calibri" w:hAnsi="Calibri"/>
          <w:b/>
          <w:color w:val="231F20"/>
          <w:w w:val="113"/>
          <w:sz w:val="16"/>
          <w:u w:val="single" w:color="221E1F"/>
        </w:rPr>
        <w:t xml:space="preserve"> </w:t>
      </w:r>
      <w:r w:rsidRPr="00EA7458">
        <w:rPr>
          <w:rFonts w:ascii="Calibri" w:hAnsi="Calibri"/>
          <w:b/>
          <w:color w:val="231F20"/>
          <w:sz w:val="16"/>
          <w:u w:val="single" w:color="221E1F"/>
        </w:rPr>
        <w:tab/>
      </w:r>
      <w:r w:rsidRPr="00EA7458">
        <w:rPr>
          <w:rFonts w:ascii="Calibri" w:hAnsi="Calibri"/>
          <w:b/>
          <w:color w:val="231F20"/>
          <w:sz w:val="16"/>
        </w:rPr>
        <w:t xml:space="preserve"> </w:t>
      </w:r>
      <w:r w:rsidRPr="00EA7458">
        <w:rPr>
          <w:rFonts w:ascii="Calibri" w:hAnsi="Calibri"/>
          <w:b/>
          <w:color w:val="231F20"/>
          <w:spacing w:val="-4"/>
          <w:w w:val="115"/>
          <w:sz w:val="16"/>
        </w:rPr>
        <w:t>DATE:</w:t>
      </w:r>
      <w:r w:rsidRPr="00EA7458">
        <w:rPr>
          <w:rFonts w:ascii="Calibri" w:hAnsi="Calibri"/>
          <w:b/>
          <w:color w:val="231F20"/>
          <w:spacing w:val="4"/>
          <w:sz w:val="16"/>
        </w:rPr>
        <w:t xml:space="preserve"> </w:t>
      </w:r>
      <w:r w:rsidRPr="00EA7458">
        <w:rPr>
          <w:rFonts w:ascii="Calibri" w:hAnsi="Calibri"/>
          <w:b/>
          <w:color w:val="231F20"/>
          <w:w w:val="113"/>
          <w:sz w:val="16"/>
          <w:u w:val="single" w:color="221E1F"/>
        </w:rPr>
        <w:t xml:space="preserve"> </w:t>
      </w:r>
      <w:r w:rsidRPr="00EA7458">
        <w:rPr>
          <w:rFonts w:ascii="Calibri" w:hAnsi="Calibri"/>
          <w:b/>
          <w:color w:val="231F20"/>
          <w:sz w:val="16"/>
          <w:u w:val="single" w:color="221E1F"/>
        </w:rPr>
        <w:tab/>
      </w:r>
      <w:r w:rsidR="007A2CE1">
        <w:rPr>
          <w:rFonts w:ascii="Calibri" w:hAnsi="Calibri"/>
          <w:b/>
          <w:color w:val="231F20"/>
          <w:sz w:val="16"/>
          <w:u w:val="single" w:color="221E1F"/>
        </w:rPr>
        <w:br/>
      </w:r>
      <w:r w:rsidRPr="00EA7458">
        <w:rPr>
          <w:rFonts w:ascii="Calibri" w:hAnsi="Calibri"/>
          <w:color w:val="231F20"/>
          <w:w w:val="110"/>
        </w:rPr>
        <w:t>Cissy</w:t>
      </w:r>
      <w:r w:rsidRPr="00EA7458">
        <w:rPr>
          <w:rFonts w:ascii="Calibri" w:hAnsi="Calibri"/>
          <w:color w:val="231F20"/>
          <w:spacing w:val="-18"/>
          <w:w w:val="110"/>
        </w:rPr>
        <w:t xml:space="preserve"> </w:t>
      </w:r>
      <w:r w:rsidRPr="00EA7458">
        <w:rPr>
          <w:rFonts w:ascii="Calibri" w:hAnsi="Calibri"/>
          <w:color w:val="231F20"/>
          <w:spacing w:val="-3"/>
          <w:w w:val="110"/>
        </w:rPr>
        <w:t>Proctor,</w:t>
      </w:r>
      <w:r w:rsidRPr="00EA7458">
        <w:rPr>
          <w:rFonts w:ascii="Calibri" w:hAnsi="Calibri"/>
          <w:color w:val="231F20"/>
          <w:spacing w:val="-18"/>
          <w:w w:val="110"/>
        </w:rPr>
        <w:t xml:space="preserve"> </w:t>
      </w:r>
      <w:r w:rsidRPr="00EA7458">
        <w:rPr>
          <w:rFonts w:ascii="Calibri" w:hAnsi="Calibri"/>
          <w:color w:val="231F20"/>
          <w:w w:val="110"/>
        </w:rPr>
        <w:t>Executive</w:t>
      </w:r>
      <w:r w:rsidRPr="00EA7458">
        <w:rPr>
          <w:rFonts w:ascii="Calibri" w:hAnsi="Calibri"/>
          <w:color w:val="231F20"/>
          <w:spacing w:val="-18"/>
          <w:w w:val="110"/>
        </w:rPr>
        <w:t xml:space="preserve"> </w:t>
      </w:r>
      <w:r w:rsidRPr="00EA7458">
        <w:rPr>
          <w:rFonts w:ascii="Calibri" w:hAnsi="Calibri"/>
          <w:color w:val="231F20"/>
          <w:w w:val="110"/>
        </w:rPr>
        <w:t>Director</w:t>
      </w:r>
    </w:p>
    <w:p w14:paraId="308DD9CB" w14:textId="77777777" w:rsidR="00EA7458" w:rsidRPr="00EA7458" w:rsidRDefault="00EA7458" w:rsidP="00EA7458">
      <w:pPr>
        <w:widowControl w:val="0"/>
        <w:spacing w:after="0" w:line="240" w:lineRule="auto"/>
        <w:rPr>
          <w:rFonts w:ascii="Calibri" w:hAnsi="Calibri"/>
        </w:rPr>
        <w:sectPr w:rsidR="00EA7458" w:rsidRPr="00EA7458">
          <w:pgSz w:w="12240" w:h="15840"/>
          <w:pgMar w:top="1620" w:right="900" w:bottom="820" w:left="900" w:header="812" w:footer="624" w:gutter="0"/>
          <w:cols w:space="720"/>
        </w:sectPr>
      </w:pPr>
    </w:p>
    <w:p w14:paraId="4CE8FFAE" w14:textId="77777777" w:rsidR="00EA7458" w:rsidRPr="00EA7458" w:rsidRDefault="00EA7458" w:rsidP="00EA7458">
      <w:pPr>
        <w:widowControl w:val="0"/>
        <w:spacing w:before="8" w:after="0" w:line="240" w:lineRule="auto"/>
        <w:rPr>
          <w:rFonts w:ascii="Calibri" w:hAnsi="Calibri" w:cs="Calibri"/>
          <w:sz w:val="14"/>
          <w:szCs w:val="14"/>
        </w:rPr>
      </w:pPr>
    </w:p>
    <w:p w14:paraId="21A59316" w14:textId="19D9138C" w:rsidR="00EA7458" w:rsidRPr="00600A6C" w:rsidRDefault="00EA7458" w:rsidP="00160C73">
      <w:pPr>
        <w:widowControl w:val="0"/>
        <w:numPr>
          <w:ilvl w:val="0"/>
          <w:numId w:val="8"/>
        </w:numPr>
        <w:spacing w:before="27" w:after="0" w:line="432" w:lineRule="exact"/>
        <w:ind w:left="90" w:firstLine="0"/>
        <w:rPr>
          <w:rFonts w:cstheme="minorHAnsi"/>
          <w:sz w:val="36"/>
          <w:szCs w:val="36"/>
        </w:rPr>
      </w:pPr>
      <w:bookmarkStart w:id="123" w:name="VIII._Program-Specific_Requirements_for_"/>
      <w:bookmarkStart w:id="124" w:name="(a)_Aligning_of_Content_Standards"/>
      <w:bookmarkStart w:id="125" w:name="_bookmark67"/>
      <w:bookmarkEnd w:id="123"/>
      <w:bookmarkEnd w:id="124"/>
      <w:bookmarkEnd w:id="125"/>
      <w:r w:rsidRPr="00600A6C">
        <w:rPr>
          <w:rFonts w:cstheme="minorHAnsi"/>
          <w:b/>
          <w:bCs/>
          <w:color w:val="295CA3"/>
          <w:w w:val="110"/>
          <w:sz w:val="36"/>
          <w:szCs w:val="36"/>
        </w:rPr>
        <w:t>PROGRAM-SPECIFIC REQUIREMENTS FOR</w:t>
      </w:r>
      <w:r w:rsidR="007174A2" w:rsidRPr="00600A6C">
        <w:rPr>
          <w:rFonts w:cstheme="minorHAnsi"/>
          <w:b/>
          <w:bCs/>
          <w:color w:val="295CA3"/>
          <w:w w:val="110"/>
          <w:sz w:val="36"/>
          <w:szCs w:val="36"/>
        </w:rPr>
        <w:t xml:space="preserve"> </w:t>
      </w:r>
      <w:r w:rsidRPr="00600A6C">
        <w:rPr>
          <w:rFonts w:cstheme="minorHAnsi"/>
          <w:b/>
          <w:bCs/>
          <w:color w:val="295CA3"/>
          <w:w w:val="110"/>
          <w:sz w:val="36"/>
          <w:szCs w:val="36"/>
        </w:rPr>
        <w:t>CORE</w:t>
      </w:r>
      <w:r w:rsidR="00600A6C">
        <w:rPr>
          <w:rFonts w:cstheme="minorHAnsi"/>
          <w:b/>
          <w:bCs/>
          <w:color w:val="295CA3"/>
          <w:w w:val="110"/>
          <w:sz w:val="36"/>
          <w:szCs w:val="36"/>
        </w:rPr>
        <w:t xml:space="preserve"> </w:t>
      </w:r>
      <w:r w:rsidRPr="00600A6C">
        <w:rPr>
          <w:rFonts w:cstheme="minorHAnsi"/>
          <w:b/>
          <w:bCs/>
          <w:color w:val="295CA3"/>
          <w:spacing w:val="-5"/>
          <w:w w:val="110"/>
          <w:sz w:val="36"/>
          <w:szCs w:val="36"/>
        </w:rPr>
        <w:t>PROGRAMS</w:t>
      </w:r>
      <w:r w:rsidR="007174A2" w:rsidRPr="00600A6C">
        <w:rPr>
          <w:rFonts w:cstheme="minorHAnsi"/>
          <w:b/>
          <w:bCs/>
          <w:color w:val="295CA3"/>
          <w:spacing w:val="-5"/>
          <w:w w:val="110"/>
          <w:sz w:val="36"/>
          <w:szCs w:val="36"/>
        </w:rPr>
        <w:t xml:space="preserve"> </w:t>
      </w:r>
      <w:r w:rsidRPr="00600A6C">
        <w:rPr>
          <w:rFonts w:cstheme="minorHAnsi"/>
          <w:b/>
          <w:bCs/>
          <w:i/>
          <w:color w:val="295CA3"/>
          <w:spacing w:val="-5"/>
          <w:w w:val="110"/>
          <w:sz w:val="36"/>
          <w:szCs w:val="36"/>
        </w:rPr>
        <w:t>–</w:t>
      </w:r>
      <w:r w:rsidR="007174A2" w:rsidRPr="00600A6C">
        <w:rPr>
          <w:rFonts w:cstheme="minorHAnsi"/>
          <w:b/>
          <w:bCs/>
          <w:i/>
          <w:color w:val="295CA3"/>
          <w:spacing w:val="-5"/>
          <w:w w:val="110"/>
          <w:sz w:val="36"/>
          <w:szCs w:val="36"/>
        </w:rPr>
        <w:t xml:space="preserve"> ADULT EDUCATION AND </w:t>
      </w:r>
      <w:r w:rsidR="007174A2" w:rsidRPr="00600A6C">
        <w:rPr>
          <w:rFonts w:cstheme="minorHAnsi"/>
          <w:b/>
          <w:bCs/>
          <w:i/>
          <w:color w:val="295CA3"/>
          <w:w w:val="110"/>
          <w:sz w:val="36"/>
          <w:szCs w:val="36"/>
        </w:rPr>
        <w:t>FAMILY LITERACY</w:t>
      </w:r>
      <w:r w:rsidR="007174A2" w:rsidRPr="00600A6C">
        <w:rPr>
          <w:rFonts w:cstheme="minorHAnsi"/>
          <w:b/>
          <w:bCs/>
          <w:color w:val="295CA3"/>
          <w:w w:val="110"/>
          <w:sz w:val="36"/>
          <w:szCs w:val="36"/>
        </w:rPr>
        <w:t xml:space="preserve"> </w:t>
      </w:r>
      <w:r w:rsidRPr="00600A6C">
        <w:rPr>
          <w:rFonts w:cstheme="minorHAnsi"/>
          <w:b/>
          <w:bCs/>
          <w:i/>
          <w:color w:val="295CA3"/>
          <w:w w:val="110"/>
          <w:sz w:val="36"/>
          <w:szCs w:val="36"/>
          <w:u w:val="single" w:color="231F20"/>
        </w:rPr>
        <w:t>PROGRAMS</w:t>
      </w:r>
    </w:p>
    <w:p w14:paraId="59033775" w14:textId="59B8E702" w:rsidR="002730F0" w:rsidRPr="00600A6C" w:rsidRDefault="00EA7458" w:rsidP="00D63204">
      <w:pPr>
        <w:pStyle w:val="ListParagraph"/>
        <w:widowControl w:val="0"/>
        <w:numPr>
          <w:ilvl w:val="0"/>
          <w:numId w:val="45"/>
        </w:numPr>
        <w:spacing w:before="183" w:after="0" w:line="264" w:lineRule="exact"/>
        <w:outlineLvl w:val="1"/>
        <w:rPr>
          <w:rFonts w:cstheme="minorHAnsi"/>
        </w:rPr>
      </w:pPr>
      <w:r w:rsidRPr="00C84023">
        <w:rPr>
          <w:rFonts w:cstheme="minorHAnsi"/>
          <w:b/>
          <w:bCs/>
          <w:color w:val="295CA3"/>
          <w:w w:val="110"/>
          <w:sz w:val="26"/>
          <w:szCs w:val="26"/>
        </w:rPr>
        <w:t>Aligning of Content</w:t>
      </w:r>
      <w:r w:rsidRPr="00C84023">
        <w:rPr>
          <w:rFonts w:cstheme="minorHAnsi"/>
          <w:b/>
          <w:bCs/>
          <w:color w:val="295CA3"/>
          <w:spacing w:val="3"/>
          <w:w w:val="110"/>
          <w:sz w:val="26"/>
          <w:szCs w:val="26"/>
        </w:rPr>
        <w:t xml:space="preserve"> </w:t>
      </w:r>
      <w:r w:rsidRPr="00C84023">
        <w:rPr>
          <w:rFonts w:cstheme="minorHAnsi"/>
          <w:b/>
          <w:bCs/>
          <w:color w:val="295CA3"/>
          <w:w w:val="110"/>
          <w:sz w:val="26"/>
          <w:szCs w:val="26"/>
        </w:rPr>
        <w:t>Standards</w:t>
      </w:r>
    </w:p>
    <w:p w14:paraId="25831B02" w14:textId="77777777" w:rsidR="00600A6C" w:rsidRPr="00C84023" w:rsidRDefault="00600A6C" w:rsidP="00D63204">
      <w:pPr>
        <w:pStyle w:val="ListParagraph"/>
        <w:widowControl w:val="0"/>
        <w:spacing w:before="183" w:after="0" w:line="264" w:lineRule="exact"/>
        <w:ind w:left="1080"/>
        <w:outlineLvl w:val="1"/>
        <w:rPr>
          <w:rFonts w:cstheme="minorHAnsi"/>
        </w:rPr>
      </w:pPr>
    </w:p>
    <w:p w14:paraId="1F0ED67B" w14:textId="7B8FDC4C" w:rsidR="00751FC0" w:rsidRPr="00600A6C" w:rsidRDefault="00751FC0" w:rsidP="00D63204">
      <w:pPr>
        <w:widowControl w:val="0"/>
        <w:spacing w:after="0" w:line="264" w:lineRule="exact"/>
        <w:ind w:left="90"/>
        <w:rPr>
          <w:rFonts w:cstheme="minorHAnsi"/>
          <w:w w:val="110"/>
        </w:rPr>
      </w:pPr>
      <w:r w:rsidRPr="00600A6C">
        <w:rPr>
          <w:rFonts w:cstheme="minorHAnsi"/>
          <w:w w:val="110"/>
        </w:rPr>
        <w:t>Florida has a longstanding history of standards-based instruction from the original Sunshine State Standards to the Next Generation Sunshine State Standards and most recently, in 2014, the adoption of the Florida Standards (English Language Arts and Mathematics) by the State Board of Education. The Florida Standards are the official state-adopted challenging academic content standards fulfilling statutory requirements, under section 1111(b)(1) of the Elementary and Secondary Education Act of 1965 (20 U.S.C. 6311(b)(1)). Anchored by empirical evidence informing what employers and educators demand of prospective employees and students, the Florida Standards share the dual purpose of preparing both K-12 and adult students to be college and career ready.</w:t>
      </w:r>
    </w:p>
    <w:p w14:paraId="122A5F8E" w14:textId="77777777" w:rsidR="00C84023" w:rsidRDefault="00C84023" w:rsidP="00D63204">
      <w:pPr>
        <w:widowControl w:val="0"/>
        <w:spacing w:after="0" w:line="264" w:lineRule="exact"/>
        <w:ind w:left="90"/>
        <w:rPr>
          <w:rFonts w:cstheme="minorHAnsi"/>
          <w:w w:val="110"/>
        </w:rPr>
      </w:pPr>
    </w:p>
    <w:p w14:paraId="1746E0B0" w14:textId="11203432" w:rsidR="00751FC0" w:rsidRPr="00C84023" w:rsidRDefault="00751FC0" w:rsidP="00D63204">
      <w:pPr>
        <w:widowControl w:val="0"/>
        <w:spacing w:after="0" w:line="264" w:lineRule="exact"/>
        <w:ind w:left="90"/>
        <w:rPr>
          <w:rFonts w:cstheme="minorHAnsi"/>
        </w:rPr>
      </w:pPr>
      <w:r w:rsidRPr="00C84023">
        <w:rPr>
          <w:rFonts w:cstheme="minorHAnsi"/>
          <w:w w:val="110"/>
        </w:rPr>
        <w:t>Florida</w:t>
      </w:r>
      <w:r w:rsidRPr="00C84023">
        <w:rPr>
          <w:rFonts w:cstheme="minorHAnsi"/>
          <w:spacing w:val="-24"/>
          <w:w w:val="110"/>
        </w:rPr>
        <w:t xml:space="preserve"> </w:t>
      </w:r>
      <w:r w:rsidRPr="00C84023">
        <w:rPr>
          <w:rFonts w:cstheme="minorHAnsi"/>
          <w:w w:val="110"/>
        </w:rPr>
        <w:t>sets</w:t>
      </w:r>
      <w:r w:rsidRPr="00C84023">
        <w:rPr>
          <w:rFonts w:cstheme="minorHAnsi"/>
          <w:spacing w:val="-24"/>
          <w:w w:val="110"/>
        </w:rPr>
        <w:t xml:space="preserve"> </w:t>
      </w:r>
      <w:r w:rsidRPr="00C84023">
        <w:rPr>
          <w:rFonts w:cstheme="minorHAnsi"/>
          <w:w w:val="110"/>
        </w:rPr>
        <w:t>clear</w:t>
      </w:r>
      <w:r w:rsidRPr="00C84023">
        <w:rPr>
          <w:rFonts w:cstheme="minorHAnsi"/>
          <w:spacing w:val="-24"/>
          <w:w w:val="110"/>
        </w:rPr>
        <w:t xml:space="preserve"> </w:t>
      </w:r>
      <w:r w:rsidRPr="00C84023">
        <w:rPr>
          <w:rFonts w:cstheme="minorHAnsi"/>
          <w:w w:val="110"/>
        </w:rPr>
        <w:t>expectations</w:t>
      </w:r>
      <w:r w:rsidRPr="00C84023">
        <w:rPr>
          <w:rFonts w:cstheme="minorHAnsi"/>
          <w:spacing w:val="-24"/>
          <w:w w:val="110"/>
        </w:rPr>
        <w:t xml:space="preserve"> </w:t>
      </w:r>
      <w:r w:rsidRPr="00C84023">
        <w:rPr>
          <w:rFonts w:cstheme="minorHAnsi"/>
          <w:w w:val="110"/>
        </w:rPr>
        <w:t>between</w:t>
      </w:r>
      <w:r w:rsidRPr="00C84023">
        <w:rPr>
          <w:rFonts w:cstheme="minorHAnsi"/>
          <w:spacing w:val="-25"/>
          <w:w w:val="110"/>
        </w:rPr>
        <w:t xml:space="preserve"> </w:t>
      </w:r>
      <w:r w:rsidRPr="00C84023">
        <w:rPr>
          <w:rFonts w:cstheme="minorHAnsi"/>
          <w:spacing w:val="-3"/>
          <w:w w:val="110"/>
        </w:rPr>
        <w:t>K-12</w:t>
      </w:r>
      <w:r w:rsidRPr="00C84023">
        <w:rPr>
          <w:rFonts w:cstheme="minorHAnsi"/>
          <w:spacing w:val="-24"/>
          <w:w w:val="110"/>
        </w:rPr>
        <w:t xml:space="preserve"> </w:t>
      </w:r>
      <w:r w:rsidRPr="00C84023">
        <w:rPr>
          <w:rFonts w:cstheme="minorHAnsi"/>
          <w:w w:val="110"/>
        </w:rPr>
        <w:t>and</w:t>
      </w:r>
      <w:r w:rsidRPr="00C84023">
        <w:rPr>
          <w:rFonts w:cstheme="minorHAnsi"/>
          <w:spacing w:val="-24"/>
          <w:w w:val="110"/>
        </w:rPr>
        <w:t xml:space="preserve"> </w:t>
      </w:r>
      <w:r w:rsidRPr="00C84023">
        <w:rPr>
          <w:rFonts w:cstheme="minorHAnsi"/>
          <w:w w:val="110"/>
        </w:rPr>
        <w:t>its</w:t>
      </w:r>
      <w:r w:rsidRPr="00C84023">
        <w:rPr>
          <w:rFonts w:cstheme="minorHAnsi"/>
          <w:spacing w:val="-24"/>
          <w:w w:val="110"/>
        </w:rPr>
        <w:t xml:space="preserve"> </w:t>
      </w:r>
      <w:r w:rsidRPr="00C84023">
        <w:rPr>
          <w:rFonts w:cstheme="minorHAnsi"/>
          <w:w w:val="110"/>
        </w:rPr>
        <w:t>content</w:t>
      </w:r>
      <w:r w:rsidRPr="00C84023">
        <w:rPr>
          <w:rFonts w:cstheme="minorHAnsi"/>
          <w:spacing w:val="-24"/>
          <w:w w:val="110"/>
        </w:rPr>
        <w:t xml:space="preserve"> </w:t>
      </w:r>
      <w:r w:rsidRPr="00C84023">
        <w:rPr>
          <w:rFonts w:cstheme="minorHAnsi"/>
          <w:w w:val="110"/>
        </w:rPr>
        <w:t>equivalent</w:t>
      </w:r>
      <w:r w:rsidRPr="00C84023">
        <w:rPr>
          <w:rFonts w:cstheme="minorHAnsi"/>
          <w:spacing w:val="-24"/>
          <w:w w:val="110"/>
        </w:rPr>
        <w:t xml:space="preserve"> </w:t>
      </w:r>
      <w:r w:rsidRPr="00C84023">
        <w:rPr>
          <w:rFonts w:cstheme="minorHAnsi"/>
          <w:w w:val="110"/>
        </w:rPr>
        <w:t>counterpart</w:t>
      </w:r>
      <w:r w:rsidRPr="00C84023">
        <w:rPr>
          <w:rFonts w:cstheme="minorHAnsi"/>
          <w:spacing w:val="-24"/>
          <w:w w:val="110"/>
        </w:rPr>
        <w:t xml:space="preserve"> </w:t>
      </w:r>
      <w:r w:rsidRPr="00C84023">
        <w:rPr>
          <w:rFonts w:cstheme="minorHAnsi"/>
          <w:w w:val="110"/>
        </w:rPr>
        <w:t>in</w:t>
      </w:r>
      <w:r w:rsidRPr="00C84023">
        <w:rPr>
          <w:rFonts w:cstheme="minorHAnsi"/>
          <w:spacing w:val="-24"/>
          <w:w w:val="110"/>
        </w:rPr>
        <w:t xml:space="preserve"> </w:t>
      </w:r>
      <w:r w:rsidRPr="00C84023">
        <w:rPr>
          <w:rFonts w:cstheme="minorHAnsi"/>
          <w:w w:val="110"/>
        </w:rPr>
        <w:t>adult</w:t>
      </w:r>
      <w:r w:rsidRPr="00C84023">
        <w:rPr>
          <w:rFonts w:cstheme="minorHAnsi"/>
          <w:w w:val="103"/>
        </w:rPr>
        <w:t xml:space="preserve"> </w:t>
      </w:r>
      <w:r w:rsidRPr="00C84023">
        <w:rPr>
          <w:rFonts w:cstheme="minorHAnsi"/>
          <w:w w:val="110"/>
        </w:rPr>
        <w:t>education</w:t>
      </w:r>
      <w:r w:rsidRPr="00C84023">
        <w:rPr>
          <w:rFonts w:cstheme="minorHAnsi"/>
          <w:spacing w:val="-19"/>
          <w:w w:val="110"/>
        </w:rPr>
        <w:t xml:space="preserve"> </w:t>
      </w:r>
      <w:r w:rsidRPr="00C84023">
        <w:rPr>
          <w:rFonts w:cstheme="minorHAnsi"/>
          <w:w w:val="110"/>
        </w:rPr>
        <w:t>by</w:t>
      </w:r>
      <w:r w:rsidRPr="00C84023">
        <w:rPr>
          <w:rFonts w:cstheme="minorHAnsi"/>
          <w:spacing w:val="-19"/>
          <w:w w:val="110"/>
        </w:rPr>
        <w:t xml:space="preserve"> </w:t>
      </w:r>
      <w:r w:rsidRPr="00C84023">
        <w:rPr>
          <w:rFonts w:cstheme="minorHAnsi"/>
          <w:w w:val="110"/>
        </w:rPr>
        <w:t>ensuring</w:t>
      </w:r>
      <w:r w:rsidRPr="00C84023">
        <w:rPr>
          <w:rFonts w:cstheme="minorHAnsi"/>
          <w:spacing w:val="-19"/>
          <w:w w:val="110"/>
        </w:rPr>
        <w:t xml:space="preserve"> </w:t>
      </w:r>
      <w:r w:rsidRPr="00C84023">
        <w:rPr>
          <w:rFonts w:cstheme="minorHAnsi"/>
          <w:w w:val="110"/>
        </w:rPr>
        <w:t>standards-based</w:t>
      </w:r>
      <w:r w:rsidRPr="00C84023">
        <w:rPr>
          <w:rFonts w:cstheme="minorHAnsi"/>
          <w:spacing w:val="-19"/>
          <w:w w:val="110"/>
        </w:rPr>
        <w:t xml:space="preserve"> </w:t>
      </w:r>
      <w:r w:rsidRPr="00C84023">
        <w:rPr>
          <w:rFonts w:cstheme="minorHAnsi"/>
          <w:w w:val="110"/>
        </w:rPr>
        <w:t>instruction</w:t>
      </w:r>
      <w:r w:rsidRPr="00C84023">
        <w:rPr>
          <w:rFonts w:cstheme="minorHAnsi"/>
          <w:spacing w:val="-19"/>
          <w:w w:val="110"/>
        </w:rPr>
        <w:t xml:space="preserve"> </w:t>
      </w:r>
      <w:r w:rsidRPr="00C84023">
        <w:rPr>
          <w:rFonts w:cstheme="minorHAnsi"/>
          <w:w w:val="110"/>
        </w:rPr>
        <w:t>is</w:t>
      </w:r>
      <w:r w:rsidRPr="00C84023">
        <w:rPr>
          <w:rFonts w:cstheme="minorHAnsi"/>
          <w:spacing w:val="-19"/>
          <w:w w:val="110"/>
        </w:rPr>
        <w:t xml:space="preserve"> </w:t>
      </w:r>
      <w:r w:rsidRPr="00C84023">
        <w:rPr>
          <w:rFonts w:cstheme="minorHAnsi"/>
          <w:w w:val="110"/>
        </w:rPr>
        <w:t>aligned</w:t>
      </w:r>
      <w:r w:rsidRPr="00C84023">
        <w:rPr>
          <w:rFonts w:cstheme="minorHAnsi"/>
          <w:spacing w:val="-19"/>
          <w:w w:val="110"/>
        </w:rPr>
        <w:t xml:space="preserve"> </w:t>
      </w:r>
      <w:r w:rsidRPr="00C84023">
        <w:rPr>
          <w:rFonts w:cstheme="minorHAnsi"/>
          <w:w w:val="110"/>
        </w:rPr>
        <w:t>to</w:t>
      </w:r>
      <w:r w:rsidRPr="00C84023">
        <w:rPr>
          <w:rFonts w:cstheme="minorHAnsi"/>
          <w:spacing w:val="-19"/>
          <w:w w:val="110"/>
        </w:rPr>
        <w:t xml:space="preserve"> </w:t>
      </w:r>
      <w:r w:rsidRPr="00C84023">
        <w:rPr>
          <w:rFonts w:cstheme="minorHAnsi"/>
          <w:w w:val="110"/>
        </w:rPr>
        <w:t>state</w:t>
      </w:r>
      <w:r w:rsidRPr="00C84023">
        <w:rPr>
          <w:rFonts w:cstheme="minorHAnsi"/>
          <w:spacing w:val="-19"/>
          <w:w w:val="110"/>
        </w:rPr>
        <w:t xml:space="preserve"> </w:t>
      </w:r>
      <w:r w:rsidRPr="00C84023">
        <w:rPr>
          <w:rFonts w:cstheme="minorHAnsi"/>
          <w:w w:val="110"/>
        </w:rPr>
        <w:t>adopted</w:t>
      </w:r>
      <w:r w:rsidRPr="00C84023">
        <w:rPr>
          <w:rFonts w:cstheme="minorHAnsi"/>
          <w:spacing w:val="-19"/>
          <w:w w:val="110"/>
        </w:rPr>
        <w:t xml:space="preserve"> </w:t>
      </w:r>
      <w:r w:rsidRPr="00C84023">
        <w:rPr>
          <w:rFonts w:cstheme="minorHAnsi"/>
          <w:w w:val="110"/>
        </w:rPr>
        <w:t>content</w:t>
      </w:r>
      <w:r w:rsidRPr="00C84023">
        <w:rPr>
          <w:rFonts w:cstheme="minorHAnsi"/>
          <w:spacing w:val="-19"/>
          <w:w w:val="110"/>
        </w:rPr>
        <w:t xml:space="preserve"> </w:t>
      </w:r>
      <w:r w:rsidRPr="00C84023">
        <w:rPr>
          <w:rFonts w:cstheme="minorHAnsi"/>
          <w:w w:val="110"/>
        </w:rPr>
        <w:t>standards</w:t>
      </w:r>
      <w:r w:rsidRPr="00C84023">
        <w:rPr>
          <w:rFonts w:cstheme="minorHAnsi"/>
          <w:w w:val="107"/>
        </w:rPr>
        <w:t xml:space="preserve"> </w:t>
      </w:r>
      <w:r w:rsidRPr="00C84023">
        <w:rPr>
          <w:rFonts w:cstheme="minorHAnsi"/>
          <w:w w:val="110"/>
        </w:rPr>
        <w:t>in</w:t>
      </w:r>
      <w:r w:rsidRPr="00C84023">
        <w:rPr>
          <w:rFonts w:cstheme="minorHAnsi"/>
          <w:spacing w:val="-17"/>
          <w:w w:val="110"/>
        </w:rPr>
        <w:t xml:space="preserve"> </w:t>
      </w:r>
      <w:r w:rsidRPr="00C84023">
        <w:rPr>
          <w:rFonts w:cstheme="minorHAnsi"/>
          <w:w w:val="110"/>
        </w:rPr>
        <w:t>K-12. This guarantees all</w:t>
      </w:r>
      <w:r w:rsidRPr="00C84023">
        <w:rPr>
          <w:rFonts w:cstheme="minorHAnsi"/>
          <w:spacing w:val="-17"/>
          <w:w w:val="110"/>
        </w:rPr>
        <w:t xml:space="preserve"> </w:t>
      </w:r>
      <w:r w:rsidRPr="00C84023">
        <w:rPr>
          <w:rFonts w:cstheme="minorHAnsi"/>
          <w:w w:val="110"/>
        </w:rPr>
        <w:t>students</w:t>
      </w:r>
      <w:r w:rsidRPr="00C84023">
        <w:rPr>
          <w:rFonts w:cstheme="minorHAnsi"/>
          <w:spacing w:val="-17"/>
          <w:w w:val="110"/>
        </w:rPr>
        <w:t xml:space="preserve"> </w:t>
      </w:r>
      <w:r w:rsidRPr="00C84023">
        <w:rPr>
          <w:rFonts w:cstheme="minorHAnsi"/>
          <w:spacing w:val="-3"/>
          <w:w w:val="110"/>
        </w:rPr>
        <w:t>(K-12</w:t>
      </w:r>
      <w:r w:rsidRPr="00C84023">
        <w:rPr>
          <w:rFonts w:cstheme="minorHAnsi"/>
          <w:spacing w:val="-17"/>
          <w:w w:val="110"/>
        </w:rPr>
        <w:t xml:space="preserve"> </w:t>
      </w:r>
      <w:r w:rsidRPr="00C84023">
        <w:rPr>
          <w:rFonts w:cstheme="minorHAnsi"/>
          <w:w w:val="110"/>
        </w:rPr>
        <w:t>or</w:t>
      </w:r>
      <w:r w:rsidRPr="00C84023">
        <w:rPr>
          <w:rFonts w:cstheme="minorHAnsi"/>
          <w:spacing w:val="-17"/>
          <w:w w:val="110"/>
        </w:rPr>
        <w:t xml:space="preserve"> </w:t>
      </w:r>
      <w:r w:rsidRPr="00C84023">
        <w:rPr>
          <w:rFonts w:cstheme="minorHAnsi"/>
          <w:w w:val="110"/>
        </w:rPr>
        <w:t>adult),</w:t>
      </w:r>
      <w:r w:rsidRPr="00C84023">
        <w:rPr>
          <w:rFonts w:cstheme="minorHAnsi"/>
          <w:spacing w:val="-17"/>
          <w:w w:val="110"/>
        </w:rPr>
        <w:t xml:space="preserve"> </w:t>
      </w:r>
      <w:r w:rsidRPr="00C84023">
        <w:rPr>
          <w:rFonts w:cstheme="minorHAnsi"/>
          <w:w w:val="110"/>
        </w:rPr>
        <w:t>regardless</w:t>
      </w:r>
      <w:r w:rsidRPr="00C84023">
        <w:rPr>
          <w:rFonts w:cstheme="minorHAnsi"/>
          <w:spacing w:val="-17"/>
          <w:w w:val="110"/>
        </w:rPr>
        <w:t xml:space="preserve"> </w:t>
      </w:r>
      <w:r w:rsidRPr="00C84023">
        <w:rPr>
          <w:rFonts w:cstheme="minorHAnsi"/>
          <w:w w:val="110"/>
        </w:rPr>
        <w:t>of</w:t>
      </w:r>
      <w:r w:rsidRPr="00C84023">
        <w:rPr>
          <w:rFonts w:cstheme="minorHAnsi"/>
          <w:spacing w:val="-17"/>
          <w:w w:val="110"/>
        </w:rPr>
        <w:t xml:space="preserve"> </w:t>
      </w:r>
      <w:r w:rsidRPr="00C84023">
        <w:rPr>
          <w:rFonts w:cstheme="minorHAnsi"/>
          <w:w w:val="110"/>
        </w:rPr>
        <w:t>their</w:t>
      </w:r>
      <w:r w:rsidRPr="00C84023">
        <w:rPr>
          <w:rFonts w:cstheme="minorHAnsi"/>
          <w:spacing w:val="-17"/>
          <w:w w:val="110"/>
        </w:rPr>
        <w:t xml:space="preserve"> </w:t>
      </w:r>
      <w:r w:rsidRPr="00C84023">
        <w:rPr>
          <w:rFonts w:cstheme="minorHAnsi"/>
          <w:w w:val="110"/>
        </w:rPr>
        <w:t>pathway</w:t>
      </w:r>
      <w:r w:rsidRPr="00C84023">
        <w:rPr>
          <w:rFonts w:cstheme="minorHAnsi"/>
          <w:spacing w:val="-17"/>
          <w:w w:val="110"/>
        </w:rPr>
        <w:t xml:space="preserve"> </w:t>
      </w:r>
      <w:r w:rsidRPr="00C84023">
        <w:rPr>
          <w:rFonts w:cstheme="minorHAnsi"/>
          <w:w w:val="110"/>
        </w:rPr>
        <w:t>to</w:t>
      </w:r>
      <w:r w:rsidRPr="00C84023">
        <w:rPr>
          <w:rFonts w:cstheme="minorHAnsi"/>
          <w:spacing w:val="-17"/>
          <w:w w:val="110"/>
        </w:rPr>
        <w:t xml:space="preserve"> </w:t>
      </w:r>
      <w:r w:rsidRPr="00C84023">
        <w:rPr>
          <w:rFonts w:cstheme="minorHAnsi"/>
          <w:w w:val="110"/>
        </w:rPr>
        <w:t>graduation,</w:t>
      </w:r>
      <w:r w:rsidRPr="00C84023">
        <w:rPr>
          <w:rFonts w:cstheme="minorHAnsi"/>
          <w:spacing w:val="-17"/>
          <w:w w:val="110"/>
        </w:rPr>
        <w:t xml:space="preserve"> </w:t>
      </w:r>
      <w:r w:rsidRPr="00C84023">
        <w:rPr>
          <w:rFonts w:cstheme="minorHAnsi"/>
          <w:w w:val="110"/>
        </w:rPr>
        <w:t>have</w:t>
      </w:r>
      <w:r w:rsidRPr="00C84023">
        <w:rPr>
          <w:rFonts w:cstheme="minorHAnsi"/>
          <w:w w:val="109"/>
        </w:rPr>
        <w:t xml:space="preserve"> </w:t>
      </w:r>
      <w:r w:rsidRPr="00C84023">
        <w:rPr>
          <w:rFonts w:cstheme="minorHAnsi"/>
          <w:w w:val="110"/>
        </w:rPr>
        <w:t>access</w:t>
      </w:r>
      <w:r w:rsidRPr="00C84023">
        <w:rPr>
          <w:rFonts w:cstheme="minorHAnsi"/>
          <w:spacing w:val="-8"/>
          <w:w w:val="110"/>
        </w:rPr>
        <w:t xml:space="preserve"> </w:t>
      </w:r>
      <w:r w:rsidRPr="00C84023">
        <w:rPr>
          <w:rFonts w:cstheme="minorHAnsi"/>
          <w:w w:val="110"/>
        </w:rPr>
        <w:t>to</w:t>
      </w:r>
      <w:r w:rsidRPr="00C84023">
        <w:rPr>
          <w:rFonts w:cstheme="minorHAnsi"/>
          <w:spacing w:val="-8"/>
          <w:w w:val="110"/>
        </w:rPr>
        <w:t xml:space="preserve"> </w:t>
      </w:r>
      <w:r w:rsidRPr="00C84023">
        <w:rPr>
          <w:rFonts w:cstheme="minorHAnsi"/>
          <w:w w:val="110"/>
        </w:rPr>
        <w:t>rigorous</w:t>
      </w:r>
      <w:r w:rsidRPr="00C84023">
        <w:rPr>
          <w:rFonts w:cstheme="minorHAnsi"/>
          <w:spacing w:val="-8"/>
          <w:w w:val="110"/>
        </w:rPr>
        <w:t xml:space="preserve"> </w:t>
      </w:r>
      <w:r w:rsidRPr="00C84023">
        <w:rPr>
          <w:rFonts w:cstheme="minorHAnsi"/>
          <w:w w:val="110"/>
        </w:rPr>
        <w:t>standards</w:t>
      </w:r>
      <w:r w:rsidRPr="00C84023">
        <w:rPr>
          <w:rFonts w:cstheme="minorHAnsi"/>
          <w:spacing w:val="-8"/>
          <w:w w:val="110"/>
        </w:rPr>
        <w:t xml:space="preserve"> </w:t>
      </w:r>
      <w:r w:rsidRPr="00C84023">
        <w:rPr>
          <w:rFonts w:cstheme="minorHAnsi"/>
          <w:w w:val="110"/>
        </w:rPr>
        <w:t>that</w:t>
      </w:r>
      <w:r w:rsidRPr="00C84023">
        <w:rPr>
          <w:rFonts w:cstheme="minorHAnsi"/>
          <w:spacing w:val="-8"/>
          <w:w w:val="110"/>
        </w:rPr>
        <w:t xml:space="preserve"> </w:t>
      </w:r>
      <w:r w:rsidRPr="00C84023">
        <w:rPr>
          <w:rFonts w:cstheme="minorHAnsi"/>
          <w:w w:val="110"/>
        </w:rPr>
        <w:t>prepare</w:t>
      </w:r>
      <w:r w:rsidRPr="00C84023">
        <w:rPr>
          <w:rFonts w:cstheme="minorHAnsi"/>
          <w:spacing w:val="-8"/>
          <w:w w:val="110"/>
        </w:rPr>
        <w:t xml:space="preserve"> </w:t>
      </w:r>
      <w:r w:rsidRPr="00C84023">
        <w:rPr>
          <w:rFonts w:cstheme="minorHAnsi"/>
          <w:w w:val="110"/>
        </w:rPr>
        <w:t>them</w:t>
      </w:r>
      <w:r w:rsidRPr="00C84023">
        <w:rPr>
          <w:rFonts w:cstheme="minorHAnsi"/>
          <w:spacing w:val="-8"/>
          <w:w w:val="110"/>
        </w:rPr>
        <w:t xml:space="preserve"> </w:t>
      </w:r>
      <w:r w:rsidRPr="00C84023">
        <w:rPr>
          <w:rFonts w:cstheme="minorHAnsi"/>
          <w:w w:val="110"/>
        </w:rPr>
        <w:t>to</w:t>
      </w:r>
      <w:r w:rsidRPr="00C84023">
        <w:rPr>
          <w:rFonts w:cstheme="minorHAnsi"/>
          <w:spacing w:val="-8"/>
          <w:w w:val="110"/>
        </w:rPr>
        <w:t xml:space="preserve"> </w:t>
      </w:r>
      <w:r w:rsidRPr="00C84023">
        <w:rPr>
          <w:rFonts w:cstheme="minorHAnsi"/>
          <w:w w:val="110"/>
        </w:rPr>
        <w:t>be</w:t>
      </w:r>
      <w:r w:rsidRPr="00C84023">
        <w:rPr>
          <w:rFonts w:cstheme="minorHAnsi"/>
          <w:spacing w:val="-8"/>
          <w:w w:val="110"/>
        </w:rPr>
        <w:t xml:space="preserve"> </w:t>
      </w:r>
      <w:r w:rsidRPr="00C84023">
        <w:rPr>
          <w:rFonts w:cstheme="minorHAnsi"/>
          <w:w w:val="110"/>
        </w:rPr>
        <w:t>college</w:t>
      </w:r>
      <w:r w:rsidRPr="00C84023">
        <w:rPr>
          <w:rFonts w:cstheme="minorHAnsi"/>
          <w:spacing w:val="-8"/>
          <w:w w:val="110"/>
        </w:rPr>
        <w:t xml:space="preserve"> </w:t>
      </w:r>
      <w:r w:rsidRPr="00C84023">
        <w:rPr>
          <w:rFonts w:cstheme="minorHAnsi"/>
          <w:w w:val="110"/>
        </w:rPr>
        <w:t>and</w:t>
      </w:r>
      <w:r w:rsidRPr="00C84023">
        <w:rPr>
          <w:rFonts w:cstheme="minorHAnsi"/>
          <w:spacing w:val="-8"/>
          <w:w w:val="110"/>
        </w:rPr>
        <w:t xml:space="preserve"> </w:t>
      </w:r>
      <w:r w:rsidRPr="00C84023">
        <w:rPr>
          <w:rFonts w:cstheme="minorHAnsi"/>
          <w:w w:val="110"/>
        </w:rPr>
        <w:t>career</w:t>
      </w:r>
      <w:r w:rsidRPr="00C84023">
        <w:rPr>
          <w:rFonts w:cstheme="minorHAnsi"/>
          <w:spacing w:val="-8"/>
          <w:w w:val="110"/>
        </w:rPr>
        <w:t xml:space="preserve"> </w:t>
      </w:r>
      <w:r w:rsidRPr="00C84023">
        <w:rPr>
          <w:rFonts w:cstheme="minorHAnsi"/>
          <w:spacing w:val="-3"/>
          <w:w w:val="110"/>
        </w:rPr>
        <w:t>ready.</w:t>
      </w:r>
      <w:r w:rsidRPr="00C84023">
        <w:rPr>
          <w:rFonts w:cstheme="minorHAnsi"/>
          <w:spacing w:val="39"/>
          <w:w w:val="110"/>
        </w:rPr>
        <w:t xml:space="preserve"> </w:t>
      </w:r>
      <w:r w:rsidRPr="00C84023">
        <w:rPr>
          <w:rFonts w:cstheme="minorHAnsi"/>
          <w:w w:val="110"/>
        </w:rPr>
        <w:t>Florida</w:t>
      </w:r>
      <w:r w:rsidRPr="00C84023">
        <w:rPr>
          <w:rFonts w:cstheme="minorHAnsi"/>
          <w:spacing w:val="-8"/>
          <w:w w:val="110"/>
        </w:rPr>
        <w:t xml:space="preserve"> </w:t>
      </w:r>
      <w:r w:rsidRPr="00C84023">
        <w:rPr>
          <w:rFonts w:cstheme="minorHAnsi"/>
          <w:w w:val="110"/>
        </w:rPr>
        <w:t>aligned</w:t>
      </w:r>
      <w:r w:rsidRPr="00C84023">
        <w:rPr>
          <w:rFonts w:cstheme="minorHAnsi"/>
          <w:spacing w:val="-16"/>
          <w:w w:val="110"/>
        </w:rPr>
        <w:t xml:space="preserve"> </w:t>
      </w:r>
      <w:r w:rsidRPr="00C84023">
        <w:rPr>
          <w:rFonts w:cstheme="minorHAnsi"/>
          <w:w w:val="110"/>
        </w:rPr>
        <w:t>its</w:t>
      </w:r>
      <w:r w:rsidRPr="00C84023">
        <w:rPr>
          <w:rFonts w:cstheme="minorHAnsi"/>
          <w:spacing w:val="-16"/>
          <w:w w:val="110"/>
        </w:rPr>
        <w:t xml:space="preserve"> </w:t>
      </w:r>
      <w:r w:rsidRPr="00C84023">
        <w:rPr>
          <w:rFonts w:cstheme="minorHAnsi"/>
          <w:w w:val="110"/>
        </w:rPr>
        <w:t>adult</w:t>
      </w:r>
      <w:r w:rsidRPr="00C84023">
        <w:rPr>
          <w:rFonts w:cstheme="minorHAnsi"/>
          <w:spacing w:val="-16"/>
          <w:w w:val="110"/>
        </w:rPr>
        <w:t xml:space="preserve"> </w:t>
      </w:r>
      <w:r w:rsidRPr="00C84023">
        <w:rPr>
          <w:rFonts w:cstheme="minorHAnsi"/>
          <w:w w:val="110"/>
        </w:rPr>
        <w:t>education</w:t>
      </w:r>
      <w:r w:rsidRPr="00C84023">
        <w:rPr>
          <w:rFonts w:cstheme="minorHAnsi"/>
          <w:spacing w:val="-16"/>
          <w:w w:val="110"/>
        </w:rPr>
        <w:t xml:space="preserve"> </w:t>
      </w:r>
      <w:r w:rsidRPr="00C84023">
        <w:rPr>
          <w:rFonts w:cstheme="minorHAnsi"/>
          <w:w w:val="110"/>
        </w:rPr>
        <w:t>content</w:t>
      </w:r>
      <w:r w:rsidRPr="00C84023">
        <w:rPr>
          <w:rFonts w:cstheme="minorHAnsi"/>
          <w:spacing w:val="-16"/>
          <w:w w:val="110"/>
        </w:rPr>
        <w:t xml:space="preserve"> </w:t>
      </w:r>
      <w:r w:rsidRPr="00C84023">
        <w:rPr>
          <w:rFonts w:cstheme="minorHAnsi"/>
          <w:w w:val="110"/>
        </w:rPr>
        <w:t>standards</w:t>
      </w:r>
      <w:r w:rsidRPr="00C84023">
        <w:rPr>
          <w:rFonts w:cstheme="minorHAnsi"/>
          <w:spacing w:val="-16"/>
          <w:w w:val="110"/>
        </w:rPr>
        <w:t xml:space="preserve"> </w:t>
      </w:r>
      <w:r w:rsidRPr="00C84023">
        <w:rPr>
          <w:rFonts w:cstheme="minorHAnsi"/>
          <w:w w:val="110"/>
        </w:rPr>
        <w:t>for</w:t>
      </w:r>
      <w:r w:rsidRPr="00C84023">
        <w:rPr>
          <w:rFonts w:cstheme="minorHAnsi"/>
          <w:spacing w:val="-16"/>
          <w:w w:val="110"/>
        </w:rPr>
        <w:t xml:space="preserve"> </w:t>
      </w:r>
      <w:r w:rsidRPr="00C84023">
        <w:rPr>
          <w:rFonts w:cstheme="minorHAnsi"/>
          <w:w w:val="110"/>
        </w:rPr>
        <w:t>Adult</w:t>
      </w:r>
      <w:r w:rsidRPr="00C84023">
        <w:rPr>
          <w:rFonts w:cstheme="minorHAnsi"/>
          <w:spacing w:val="-16"/>
          <w:w w:val="110"/>
        </w:rPr>
        <w:t xml:space="preserve"> </w:t>
      </w:r>
      <w:r w:rsidRPr="00C84023">
        <w:rPr>
          <w:rFonts w:cstheme="minorHAnsi"/>
          <w:w w:val="110"/>
        </w:rPr>
        <w:t>Basic</w:t>
      </w:r>
      <w:r w:rsidRPr="00C84023">
        <w:rPr>
          <w:rFonts w:cstheme="minorHAnsi"/>
          <w:spacing w:val="-16"/>
          <w:w w:val="110"/>
        </w:rPr>
        <w:t xml:space="preserve"> </w:t>
      </w:r>
      <w:r w:rsidRPr="00C84023">
        <w:rPr>
          <w:rFonts w:cstheme="minorHAnsi"/>
          <w:w w:val="110"/>
        </w:rPr>
        <w:t>Education</w:t>
      </w:r>
      <w:r w:rsidRPr="00C84023">
        <w:rPr>
          <w:rFonts w:cstheme="minorHAnsi"/>
          <w:spacing w:val="-16"/>
          <w:w w:val="110"/>
        </w:rPr>
        <w:t xml:space="preserve"> </w:t>
      </w:r>
      <w:r w:rsidRPr="00C84023">
        <w:rPr>
          <w:rFonts w:cstheme="minorHAnsi"/>
          <w:w w:val="110"/>
        </w:rPr>
        <w:t>(ABE)</w:t>
      </w:r>
      <w:r w:rsidRPr="00C84023">
        <w:rPr>
          <w:rFonts w:cstheme="minorHAnsi"/>
          <w:spacing w:val="-16"/>
          <w:w w:val="110"/>
        </w:rPr>
        <w:t xml:space="preserve"> </w:t>
      </w:r>
      <w:r w:rsidRPr="00C84023">
        <w:rPr>
          <w:rFonts w:cstheme="minorHAnsi"/>
          <w:w w:val="110"/>
        </w:rPr>
        <w:t>to</w:t>
      </w:r>
      <w:r w:rsidRPr="00C84023">
        <w:rPr>
          <w:rFonts w:cstheme="minorHAnsi"/>
          <w:spacing w:val="-16"/>
          <w:w w:val="110"/>
        </w:rPr>
        <w:t xml:space="preserve"> </w:t>
      </w:r>
      <w:r w:rsidRPr="00C84023">
        <w:rPr>
          <w:rFonts w:cstheme="minorHAnsi"/>
          <w:w w:val="110"/>
        </w:rPr>
        <w:t>the</w:t>
      </w:r>
      <w:r w:rsidRPr="00C84023">
        <w:rPr>
          <w:rFonts w:cstheme="minorHAnsi"/>
          <w:spacing w:val="-16"/>
          <w:w w:val="110"/>
        </w:rPr>
        <w:t xml:space="preserve"> </w:t>
      </w:r>
      <w:r w:rsidRPr="00C84023">
        <w:rPr>
          <w:rFonts w:cstheme="minorHAnsi"/>
          <w:w w:val="110"/>
        </w:rPr>
        <w:t>Florida</w:t>
      </w:r>
      <w:r w:rsidRPr="00C84023">
        <w:rPr>
          <w:rFonts w:cstheme="minorHAnsi"/>
          <w:spacing w:val="-16"/>
          <w:w w:val="110"/>
        </w:rPr>
        <w:t xml:space="preserve"> </w:t>
      </w:r>
      <w:r w:rsidRPr="00C84023">
        <w:rPr>
          <w:rFonts w:cstheme="minorHAnsi"/>
          <w:w w:val="110"/>
        </w:rPr>
        <w:t>Standards.</w:t>
      </w:r>
      <w:r w:rsidRPr="00C84023">
        <w:rPr>
          <w:rFonts w:cstheme="minorHAnsi"/>
          <w:spacing w:val="-10"/>
          <w:w w:val="110"/>
        </w:rPr>
        <w:t xml:space="preserve"> </w:t>
      </w:r>
      <w:r w:rsidRPr="00C84023">
        <w:rPr>
          <w:rFonts w:cstheme="minorHAnsi"/>
          <w:w w:val="110"/>
        </w:rPr>
        <w:t>ABE</w:t>
      </w:r>
      <w:r w:rsidRPr="00C84023">
        <w:rPr>
          <w:rFonts w:cstheme="minorHAnsi"/>
          <w:spacing w:val="-10"/>
          <w:w w:val="110"/>
        </w:rPr>
        <w:t xml:space="preserve"> </w:t>
      </w:r>
      <w:r w:rsidRPr="00C84023">
        <w:rPr>
          <w:rFonts w:cstheme="minorHAnsi"/>
          <w:w w:val="110"/>
        </w:rPr>
        <w:t>standards</w:t>
      </w:r>
      <w:r w:rsidRPr="00C84023">
        <w:rPr>
          <w:rFonts w:cstheme="minorHAnsi"/>
          <w:spacing w:val="-10"/>
          <w:w w:val="110"/>
        </w:rPr>
        <w:t xml:space="preserve"> </w:t>
      </w:r>
      <w:r w:rsidRPr="00C84023">
        <w:rPr>
          <w:rFonts w:cstheme="minorHAnsi"/>
          <w:w w:val="110"/>
        </w:rPr>
        <w:t>are</w:t>
      </w:r>
      <w:r w:rsidRPr="00C84023">
        <w:rPr>
          <w:rFonts w:cstheme="minorHAnsi"/>
          <w:spacing w:val="-10"/>
          <w:w w:val="110"/>
        </w:rPr>
        <w:t xml:space="preserve"> </w:t>
      </w:r>
      <w:r w:rsidRPr="00C84023">
        <w:rPr>
          <w:rFonts w:cstheme="minorHAnsi"/>
          <w:w w:val="110"/>
        </w:rPr>
        <w:t>the</w:t>
      </w:r>
      <w:r w:rsidRPr="00C84023">
        <w:rPr>
          <w:rFonts w:cstheme="minorHAnsi"/>
          <w:spacing w:val="-10"/>
          <w:w w:val="110"/>
        </w:rPr>
        <w:t xml:space="preserve"> </w:t>
      </w:r>
      <w:r w:rsidRPr="00C84023">
        <w:rPr>
          <w:rFonts w:cstheme="minorHAnsi"/>
          <w:w w:val="110"/>
        </w:rPr>
        <w:t>grade</w:t>
      </w:r>
      <w:r w:rsidRPr="00C84023">
        <w:rPr>
          <w:rFonts w:cstheme="minorHAnsi"/>
          <w:spacing w:val="-10"/>
          <w:w w:val="110"/>
        </w:rPr>
        <w:t xml:space="preserve"> </w:t>
      </w:r>
      <w:r w:rsidRPr="00C84023">
        <w:rPr>
          <w:rFonts w:cstheme="minorHAnsi"/>
          <w:w w:val="110"/>
        </w:rPr>
        <w:t>level</w:t>
      </w:r>
      <w:r w:rsidRPr="00C84023">
        <w:rPr>
          <w:rFonts w:cstheme="minorHAnsi"/>
          <w:spacing w:val="-10"/>
          <w:w w:val="110"/>
        </w:rPr>
        <w:t xml:space="preserve"> </w:t>
      </w:r>
      <w:r w:rsidRPr="00C84023">
        <w:rPr>
          <w:rFonts w:cstheme="minorHAnsi"/>
          <w:w w:val="110"/>
        </w:rPr>
        <w:t>equivalent</w:t>
      </w:r>
      <w:r w:rsidRPr="00C84023">
        <w:rPr>
          <w:rFonts w:cstheme="minorHAnsi"/>
          <w:spacing w:val="-10"/>
          <w:w w:val="110"/>
        </w:rPr>
        <w:t xml:space="preserve"> </w:t>
      </w:r>
      <w:r w:rsidRPr="00C84023">
        <w:rPr>
          <w:rFonts w:cstheme="minorHAnsi"/>
          <w:w w:val="110"/>
        </w:rPr>
        <w:t>of</w:t>
      </w:r>
      <w:r w:rsidRPr="00C84023">
        <w:rPr>
          <w:rFonts w:cstheme="minorHAnsi"/>
          <w:spacing w:val="-10"/>
          <w:w w:val="110"/>
        </w:rPr>
        <w:t xml:space="preserve"> </w:t>
      </w:r>
      <w:r w:rsidRPr="00C84023">
        <w:rPr>
          <w:rFonts w:cstheme="minorHAnsi"/>
          <w:spacing w:val="-4"/>
          <w:w w:val="110"/>
        </w:rPr>
        <w:t>K-8</w:t>
      </w:r>
      <w:r w:rsidRPr="00C84023">
        <w:rPr>
          <w:rFonts w:cstheme="minorHAnsi"/>
          <w:spacing w:val="-10"/>
          <w:w w:val="110"/>
        </w:rPr>
        <w:t xml:space="preserve"> </w:t>
      </w:r>
      <w:r w:rsidRPr="00C84023">
        <w:rPr>
          <w:rFonts w:cstheme="minorHAnsi"/>
          <w:w w:val="110"/>
        </w:rPr>
        <w:t>of</w:t>
      </w:r>
      <w:r w:rsidRPr="00C84023">
        <w:rPr>
          <w:rFonts w:cstheme="minorHAnsi"/>
          <w:spacing w:val="-10"/>
          <w:w w:val="110"/>
        </w:rPr>
        <w:t xml:space="preserve"> </w:t>
      </w:r>
      <w:r w:rsidRPr="00C84023">
        <w:rPr>
          <w:rFonts w:cstheme="minorHAnsi"/>
          <w:w w:val="110"/>
        </w:rPr>
        <w:t>the</w:t>
      </w:r>
      <w:r w:rsidRPr="00C84023">
        <w:rPr>
          <w:rFonts w:cstheme="minorHAnsi"/>
          <w:spacing w:val="-10"/>
          <w:w w:val="110"/>
        </w:rPr>
        <w:t xml:space="preserve"> </w:t>
      </w:r>
      <w:r w:rsidRPr="00C84023">
        <w:rPr>
          <w:rFonts w:cstheme="minorHAnsi"/>
          <w:w w:val="110"/>
        </w:rPr>
        <w:t>Florida</w:t>
      </w:r>
      <w:r w:rsidRPr="00C84023">
        <w:rPr>
          <w:rFonts w:cstheme="minorHAnsi"/>
          <w:spacing w:val="-10"/>
          <w:w w:val="110"/>
        </w:rPr>
        <w:t xml:space="preserve"> </w:t>
      </w:r>
      <w:r w:rsidRPr="00C84023">
        <w:rPr>
          <w:rFonts w:cstheme="minorHAnsi"/>
          <w:w w:val="110"/>
        </w:rPr>
        <w:t>Standards.</w:t>
      </w:r>
      <w:r w:rsidRPr="00C84023">
        <w:rPr>
          <w:rFonts w:cstheme="minorHAnsi"/>
          <w:spacing w:val="-10"/>
          <w:w w:val="110"/>
        </w:rPr>
        <w:t xml:space="preserve"> </w:t>
      </w:r>
      <w:r w:rsidRPr="00C84023">
        <w:rPr>
          <w:rFonts w:cstheme="minorHAnsi"/>
          <w:w w:val="110"/>
        </w:rPr>
        <w:t>The</w:t>
      </w:r>
      <w:r w:rsidRPr="00C84023">
        <w:rPr>
          <w:rFonts w:cstheme="minorHAnsi"/>
          <w:spacing w:val="-10"/>
          <w:w w:val="110"/>
        </w:rPr>
        <w:t xml:space="preserve"> </w:t>
      </w:r>
      <w:r w:rsidRPr="00C84023">
        <w:rPr>
          <w:rFonts w:cstheme="minorHAnsi"/>
          <w:w w:val="110"/>
        </w:rPr>
        <w:t>adult</w:t>
      </w:r>
      <w:r w:rsidRPr="00C84023">
        <w:rPr>
          <w:rFonts w:cstheme="minorHAnsi"/>
          <w:spacing w:val="-10"/>
          <w:w w:val="110"/>
        </w:rPr>
        <w:t xml:space="preserve"> </w:t>
      </w:r>
      <w:r w:rsidRPr="00C84023">
        <w:rPr>
          <w:rFonts w:cstheme="minorHAnsi"/>
          <w:w w:val="110"/>
        </w:rPr>
        <w:t>education</w:t>
      </w:r>
      <w:r w:rsidRPr="00C84023">
        <w:rPr>
          <w:rFonts w:cstheme="minorHAnsi"/>
          <w:w w:val="107"/>
        </w:rPr>
        <w:t xml:space="preserve"> </w:t>
      </w:r>
      <w:r w:rsidRPr="00C84023">
        <w:rPr>
          <w:rFonts w:cstheme="minorHAnsi"/>
          <w:w w:val="110"/>
        </w:rPr>
        <w:t>curriculum</w:t>
      </w:r>
      <w:r w:rsidRPr="00C84023">
        <w:rPr>
          <w:rFonts w:cstheme="minorHAnsi"/>
          <w:spacing w:val="-18"/>
          <w:w w:val="110"/>
        </w:rPr>
        <w:t xml:space="preserve"> </w:t>
      </w:r>
      <w:r w:rsidRPr="00C84023">
        <w:rPr>
          <w:rFonts w:cstheme="minorHAnsi"/>
          <w:w w:val="110"/>
        </w:rPr>
        <w:t>frameworks</w:t>
      </w:r>
      <w:r w:rsidRPr="00C84023">
        <w:rPr>
          <w:rFonts w:cstheme="minorHAnsi"/>
          <w:spacing w:val="-18"/>
          <w:w w:val="110"/>
        </w:rPr>
        <w:t xml:space="preserve"> </w:t>
      </w:r>
      <w:r w:rsidRPr="00C84023">
        <w:rPr>
          <w:rFonts w:cstheme="minorHAnsi"/>
          <w:w w:val="110"/>
        </w:rPr>
        <w:t>containing</w:t>
      </w:r>
      <w:r w:rsidRPr="00C84023">
        <w:rPr>
          <w:rFonts w:cstheme="minorHAnsi"/>
          <w:spacing w:val="-18"/>
          <w:w w:val="110"/>
        </w:rPr>
        <w:t xml:space="preserve"> </w:t>
      </w:r>
      <w:r w:rsidRPr="00C84023">
        <w:rPr>
          <w:rFonts w:cstheme="minorHAnsi"/>
          <w:w w:val="110"/>
        </w:rPr>
        <w:t>the</w:t>
      </w:r>
      <w:r w:rsidRPr="00C84023">
        <w:rPr>
          <w:rFonts w:cstheme="minorHAnsi"/>
          <w:spacing w:val="-18"/>
          <w:w w:val="110"/>
        </w:rPr>
        <w:t xml:space="preserve"> </w:t>
      </w:r>
      <w:r w:rsidRPr="00C84023">
        <w:rPr>
          <w:rFonts w:cstheme="minorHAnsi"/>
          <w:w w:val="110"/>
        </w:rPr>
        <w:t>aligned</w:t>
      </w:r>
      <w:r w:rsidRPr="00C84023">
        <w:rPr>
          <w:rFonts w:cstheme="minorHAnsi"/>
          <w:spacing w:val="-18"/>
          <w:w w:val="110"/>
        </w:rPr>
        <w:t xml:space="preserve"> </w:t>
      </w:r>
      <w:r w:rsidRPr="00C84023">
        <w:rPr>
          <w:rFonts w:cstheme="minorHAnsi"/>
          <w:w w:val="110"/>
        </w:rPr>
        <w:t>standards</w:t>
      </w:r>
      <w:r w:rsidRPr="00C84023">
        <w:rPr>
          <w:rFonts w:cstheme="minorHAnsi"/>
          <w:spacing w:val="-18"/>
          <w:w w:val="110"/>
        </w:rPr>
        <w:t xml:space="preserve"> </w:t>
      </w:r>
      <w:r w:rsidRPr="00C84023">
        <w:rPr>
          <w:rFonts w:cstheme="minorHAnsi"/>
          <w:w w:val="110"/>
        </w:rPr>
        <w:t>were</w:t>
      </w:r>
      <w:r w:rsidRPr="00C84023">
        <w:rPr>
          <w:rFonts w:cstheme="minorHAnsi"/>
          <w:spacing w:val="-18"/>
          <w:w w:val="110"/>
        </w:rPr>
        <w:t xml:space="preserve"> </w:t>
      </w:r>
      <w:r w:rsidRPr="00C84023">
        <w:rPr>
          <w:rFonts w:cstheme="minorHAnsi"/>
          <w:w w:val="110"/>
        </w:rPr>
        <w:t>approved</w:t>
      </w:r>
      <w:r w:rsidRPr="00C84023">
        <w:rPr>
          <w:rFonts w:cstheme="minorHAnsi"/>
          <w:spacing w:val="-18"/>
          <w:w w:val="110"/>
        </w:rPr>
        <w:t xml:space="preserve"> </w:t>
      </w:r>
      <w:r w:rsidRPr="00C84023">
        <w:rPr>
          <w:rFonts w:cstheme="minorHAnsi"/>
          <w:w w:val="110"/>
        </w:rPr>
        <w:t>by</w:t>
      </w:r>
      <w:r w:rsidRPr="00C84023">
        <w:rPr>
          <w:rFonts w:cstheme="minorHAnsi"/>
          <w:spacing w:val="-18"/>
          <w:w w:val="110"/>
        </w:rPr>
        <w:t xml:space="preserve"> </w:t>
      </w:r>
      <w:r w:rsidRPr="00C84023">
        <w:rPr>
          <w:rFonts w:cstheme="minorHAnsi"/>
          <w:w w:val="110"/>
        </w:rPr>
        <w:t>the</w:t>
      </w:r>
      <w:r w:rsidRPr="00C84023">
        <w:rPr>
          <w:rFonts w:cstheme="minorHAnsi"/>
          <w:spacing w:val="-18"/>
          <w:w w:val="110"/>
        </w:rPr>
        <w:t xml:space="preserve"> </w:t>
      </w:r>
      <w:r w:rsidRPr="00C84023">
        <w:rPr>
          <w:rFonts w:cstheme="minorHAnsi"/>
          <w:w w:val="110"/>
        </w:rPr>
        <w:t>State</w:t>
      </w:r>
      <w:r w:rsidRPr="00C84023">
        <w:rPr>
          <w:rFonts w:cstheme="minorHAnsi"/>
          <w:spacing w:val="-18"/>
          <w:w w:val="110"/>
        </w:rPr>
        <w:t xml:space="preserve"> </w:t>
      </w:r>
      <w:r w:rsidRPr="00C84023">
        <w:rPr>
          <w:rFonts w:cstheme="minorHAnsi"/>
          <w:w w:val="110"/>
        </w:rPr>
        <w:t>Board</w:t>
      </w:r>
      <w:r w:rsidRPr="00C84023">
        <w:rPr>
          <w:rFonts w:cstheme="minorHAnsi"/>
          <w:spacing w:val="-18"/>
          <w:w w:val="110"/>
        </w:rPr>
        <w:t xml:space="preserve"> </w:t>
      </w:r>
      <w:r w:rsidRPr="00C84023">
        <w:rPr>
          <w:rFonts w:cstheme="minorHAnsi"/>
          <w:w w:val="110"/>
        </w:rPr>
        <w:t>of</w:t>
      </w:r>
      <w:r w:rsidRPr="00C84023">
        <w:rPr>
          <w:rFonts w:cstheme="minorHAnsi"/>
          <w:spacing w:val="-18"/>
          <w:w w:val="110"/>
        </w:rPr>
        <w:t xml:space="preserve"> </w:t>
      </w:r>
      <w:r w:rsidRPr="00C84023">
        <w:rPr>
          <w:rFonts w:cstheme="minorHAnsi"/>
          <w:w w:val="110"/>
        </w:rPr>
        <w:t>Education</w:t>
      </w:r>
      <w:r w:rsidRPr="00C84023">
        <w:rPr>
          <w:rFonts w:cstheme="minorHAnsi"/>
          <w:w w:val="107"/>
        </w:rPr>
        <w:t xml:space="preserve"> </w:t>
      </w:r>
      <w:r w:rsidRPr="00C84023">
        <w:rPr>
          <w:rFonts w:cstheme="minorHAnsi"/>
          <w:w w:val="110"/>
        </w:rPr>
        <w:t>in</w:t>
      </w:r>
      <w:r w:rsidRPr="00C84023">
        <w:rPr>
          <w:rFonts w:cstheme="minorHAnsi"/>
          <w:spacing w:val="-31"/>
          <w:w w:val="110"/>
        </w:rPr>
        <w:t xml:space="preserve"> </w:t>
      </w:r>
      <w:r w:rsidRPr="00C84023">
        <w:rPr>
          <w:rFonts w:cstheme="minorHAnsi"/>
          <w:w w:val="110"/>
        </w:rPr>
        <w:t>April</w:t>
      </w:r>
      <w:r w:rsidRPr="00C84023">
        <w:rPr>
          <w:rFonts w:cstheme="minorHAnsi"/>
          <w:spacing w:val="-31"/>
          <w:w w:val="110"/>
        </w:rPr>
        <w:t xml:space="preserve"> </w:t>
      </w:r>
      <w:r w:rsidRPr="00C84023">
        <w:rPr>
          <w:rFonts w:cstheme="minorHAnsi"/>
          <w:w w:val="110"/>
        </w:rPr>
        <w:t>2015 and annual revisions to the frameworks are made</w:t>
      </w:r>
      <w:r w:rsidR="005E7C49">
        <w:rPr>
          <w:rFonts w:cstheme="minorHAnsi"/>
          <w:w w:val="110"/>
        </w:rPr>
        <w:t xml:space="preserve">. </w:t>
      </w:r>
    </w:p>
    <w:p w14:paraId="72DACC1E" w14:textId="77777777" w:rsidR="00C84023" w:rsidRDefault="00C84023" w:rsidP="00D63204">
      <w:pPr>
        <w:widowControl w:val="0"/>
        <w:spacing w:after="0" w:line="264" w:lineRule="exact"/>
        <w:ind w:left="90"/>
        <w:rPr>
          <w:rFonts w:cstheme="minorHAnsi"/>
          <w:w w:val="110"/>
        </w:rPr>
      </w:pPr>
    </w:p>
    <w:p w14:paraId="152675AA" w14:textId="5535250A" w:rsidR="00751FC0" w:rsidRPr="00C84023" w:rsidRDefault="00751FC0" w:rsidP="00D63204">
      <w:pPr>
        <w:widowControl w:val="0"/>
        <w:spacing w:after="0" w:line="264" w:lineRule="exact"/>
        <w:ind w:left="90"/>
        <w:rPr>
          <w:rFonts w:cstheme="minorHAnsi"/>
        </w:rPr>
      </w:pPr>
      <w:r w:rsidRPr="00C84023">
        <w:rPr>
          <w:rFonts w:cstheme="minorHAnsi"/>
          <w:w w:val="110"/>
        </w:rPr>
        <w:t>At</w:t>
      </w:r>
      <w:r w:rsidRPr="00C84023">
        <w:rPr>
          <w:rFonts w:cstheme="minorHAnsi"/>
          <w:spacing w:val="-15"/>
          <w:w w:val="110"/>
        </w:rPr>
        <w:t xml:space="preserve"> </w:t>
      </w:r>
      <w:r w:rsidRPr="00C84023">
        <w:rPr>
          <w:rFonts w:cstheme="minorHAnsi"/>
          <w:w w:val="110"/>
        </w:rPr>
        <w:t>the</w:t>
      </w:r>
      <w:r w:rsidRPr="00C84023">
        <w:rPr>
          <w:rFonts w:cstheme="minorHAnsi"/>
          <w:spacing w:val="-15"/>
          <w:w w:val="110"/>
        </w:rPr>
        <w:t xml:space="preserve"> </w:t>
      </w:r>
      <w:r w:rsidRPr="00C84023">
        <w:rPr>
          <w:rFonts w:cstheme="minorHAnsi"/>
          <w:w w:val="110"/>
        </w:rPr>
        <w:t>secondary</w:t>
      </w:r>
      <w:r w:rsidRPr="00C84023">
        <w:rPr>
          <w:rFonts w:cstheme="minorHAnsi"/>
          <w:spacing w:val="-15"/>
          <w:w w:val="110"/>
        </w:rPr>
        <w:t xml:space="preserve"> </w:t>
      </w:r>
      <w:r w:rsidRPr="00C84023">
        <w:rPr>
          <w:rFonts w:cstheme="minorHAnsi"/>
          <w:w w:val="110"/>
        </w:rPr>
        <w:t>level,</w:t>
      </w:r>
      <w:r w:rsidRPr="00C84023">
        <w:rPr>
          <w:rFonts w:cstheme="minorHAnsi"/>
          <w:spacing w:val="-15"/>
          <w:w w:val="110"/>
        </w:rPr>
        <w:t xml:space="preserve"> </w:t>
      </w:r>
      <w:r w:rsidRPr="00C84023">
        <w:rPr>
          <w:rFonts w:cstheme="minorHAnsi"/>
          <w:w w:val="110"/>
        </w:rPr>
        <w:t>adult</w:t>
      </w:r>
      <w:r w:rsidRPr="00C84023">
        <w:rPr>
          <w:rFonts w:cstheme="minorHAnsi"/>
          <w:spacing w:val="-15"/>
          <w:w w:val="110"/>
        </w:rPr>
        <w:t xml:space="preserve"> </w:t>
      </w:r>
      <w:r w:rsidRPr="00C84023">
        <w:rPr>
          <w:rFonts w:cstheme="minorHAnsi"/>
          <w:w w:val="110"/>
        </w:rPr>
        <w:t>high</w:t>
      </w:r>
      <w:r w:rsidRPr="00C84023">
        <w:rPr>
          <w:rFonts w:cstheme="minorHAnsi"/>
          <w:spacing w:val="-15"/>
          <w:w w:val="110"/>
        </w:rPr>
        <w:t xml:space="preserve"> </w:t>
      </w:r>
      <w:r w:rsidRPr="00C84023">
        <w:rPr>
          <w:rFonts w:cstheme="minorHAnsi"/>
          <w:w w:val="110"/>
        </w:rPr>
        <w:t>school</w:t>
      </w:r>
      <w:r w:rsidRPr="00C84023">
        <w:rPr>
          <w:rFonts w:cstheme="minorHAnsi"/>
          <w:spacing w:val="-15"/>
          <w:w w:val="110"/>
        </w:rPr>
        <w:t xml:space="preserve"> </w:t>
      </w:r>
      <w:r w:rsidRPr="00C84023">
        <w:rPr>
          <w:rFonts w:cstheme="minorHAnsi"/>
          <w:w w:val="110"/>
        </w:rPr>
        <w:t>credit</w:t>
      </w:r>
      <w:r w:rsidRPr="00C84023">
        <w:rPr>
          <w:rFonts w:cstheme="minorHAnsi"/>
          <w:spacing w:val="-15"/>
          <w:w w:val="110"/>
        </w:rPr>
        <w:t xml:space="preserve"> </w:t>
      </w:r>
      <w:r w:rsidRPr="00C84023">
        <w:rPr>
          <w:rFonts w:cstheme="minorHAnsi"/>
          <w:w w:val="110"/>
        </w:rPr>
        <w:t>programs</w:t>
      </w:r>
      <w:r w:rsidRPr="00C84023">
        <w:rPr>
          <w:rFonts w:cstheme="minorHAnsi"/>
          <w:spacing w:val="-15"/>
          <w:w w:val="110"/>
        </w:rPr>
        <w:t xml:space="preserve"> </w:t>
      </w:r>
      <w:r w:rsidRPr="00C84023">
        <w:rPr>
          <w:rFonts w:cstheme="minorHAnsi"/>
          <w:w w:val="110"/>
        </w:rPr>
        <w:t>implement</w:t>
      </w:r>
      <w:r w:rsidRPr="00C84023">
        <w:rPr>
          <w:rFonts w:cstheme="minorHAnsi"/>
          <w:spacing w:val="-15"/>
          <w:w w:val="110"/>
        </w:rPr>
        <w:t xml:space="preserve"> </w:t>
      </w:r>
      <w:r w:rsidRPr="00C84023">
        <w:rPr>
          <w:rFonts w:cstheme="minorHAnsi"/>
          <w:w w:val="110"/>
        </w:rPr>
        <w:t>the</w:t>
      </w:r>
      <w:r w:rsidRPr="00C84023">
        <w:rPr>
          <w:rFonts w:cstheme="minorHAnsi"/>
          <w:spacing w:val="-15"/>
          <w:w w:val="110"/>
        </w:rPr>
        <w:t xml:space="preserve"> </w:t>
      </w:r>
      <w:r w:rsidRPr="00C84023">
        <w:rPr>
          <w:rFonts w:cstheme="minorHAnsi"/>
          <w:w w:val="110"/>
        </w:rPr>
        <w:t>same</w:t>
      </w:r>
      <w:r w:rsidRPr="00C84023">
        <w:rPr>
          <w:rFonts w:cstheme="minorHAnsi"/>
          <w:spacing w:val="-15"/>
          <w:w w:val="110"/>
        </w:rPr>
        <w:t xml:space="preserve"> </w:t>
      </w:r>
      <w:r w:rsidRPr="00C84023">
        <w:rPr>
          <w:rFonts w:cstheme="minorHAnsi"/>
          <w:w w:val="110"/>
        </w:rPr>
        <w:t>course</w:t>
      </w:r>
      <w:r w:rsidRPr="00C84023">
        <w:rPr>
          <w:rFonts w:cstheme="minorHAnsi"/>
          <w:spacing w:val="-15"/>
          <w:w w:val="110"/>
        </w:rPr>
        <w:t xml:space="preserve"> </w:t>
      </w:r>
      <w:r w:rsidRPr="00C84023">
        <w:rPr>
          <w:rFonts w:cstheme="minorHAnsi"/>
          <w:w w:val="110"/>
        </w:rPr>
        <w:t>descriptions</w:t>
      </w:r>
      <w:r w:rsidRPr="00C84023">
        <w:rPr>
          <w:rFonts w:cstheme="minorHAnsi"/>
          <w:w w:val="107"/>
        </w:rPr>
        <w:t xml:space="preserve"> </w:t>
      </w:r>
      <w:r w:rsidRPr="00C84023">
        <w:rPr>
          <w:rFonts w:cstheme="minorHAnsi"/>
          <w:w w:val="110"/>
        </w:rPr>
        <w:t>and</w:t>
      </w:r>
      <w:r w:rsidRPr="00C84023">
        <w:rPr>
          <w:rFonts w:cstheme="minorHAnsi"/>
          <w:spacing w:val="-12"/>
          <w:w w:val="110"/>
        </w:rPr>
        <w:t xml:space="preserve"> </w:t>
      </w:r>
      <w:r w:rsidRPr="00C84023">
        <w:rPr>
          <w:rFonts w:cstheme="minorHAnsi"/>
          <w:w w:val="110"/>
        </w:rPr>
        <w:t>standards</w:t>
      </w:r>
      <w:r w:rsidRPr="00C84023">
        <w:rPr>
          <w:rFonts w:cstheme="minorHAnsi"/>
          <w:spacing w:val="-12"/>
          <w:w w:val="110"/>
        </w:rPr>
        <w:t xml:space="preserve"> </w:t>
      </w:r>
      <w:r w:rsidRPr="00C84023">
        <w:rPr>
          <w:rFonts w:cstheme="minorHAnsi"/>
          <w:w w:val="110"/>
        </w:rPr>
        <w:t>as</w:t>
      </w:r>
      <w:r w:rsidRPr="00C84023">
        <w:rPr>
          <w:rFonts w:cstheme="minorHAnsi"/>
          <w:spacing w:val="-12"/>
          <w:w w:val="110"/>
        </w:rPr>
        <w:t xml:space="preserve"> </w:t>
      </w:r>
      <w:r w:rsidRPr="00C84023">
        <w:rPr>
          <w:rFonts w:cstheme="minorHAnsi"/>
          <w:w w:val="110"/>
        </w:rPr>
        <w:t>those</w:t>
      </w:r>
      <w:r w:rsidRPr="00C84023">
        <w:rPr>
          <w:rFonts w:cstheme="minorHAnsi"/>
          <w:spacing w:val="-12"/>
          <w:w w:val="110"/>
        </w:rPr>
        <w:t xml:space="preserve"> </w:t>
      </w:r>
      <w:r w:rsidRPr="00C84023">
        <w:rPr>
          <w:rFonts w:cstheme="minorHAnsi"/>
          <w:w w:val="110"/>
        </w:rPr>
        <w:t>used</w:t>
      </w:r>
      <w:r w:rsidRPr="00C84023">
        <w:rPr>
          <w:rFonts w:cstheme="minorHAnsi"/>
          <w:spacing w:val="-12"/>
          <w:w w:val="110"/>
        </w:rPr>
        <w:t xml:space="preserve"> </w:t>
      </w:r>
      <w:r w:rsidRPr="00C84023">
        <w:rPr>
          <w:rFonts w:cstheme="minorHAnsi"/>
          <w:w w:val="110"/>
        </w:rPr>
        <w:t>in</w:t>
      </w:r>
      <w:r w:rsidRPr="00C84023">
        <w:rPr>
          <w:rFonts w:cstheme="minorHAnsi"/>
          <w:spacing w:val="-12"/>
          <w:w w:val="110"/>
        </w:rPr>
        <w:t xml:space="preserve"> </w:t>
      </w:r>
      <w:r w:rsidRPr="00C84023">
        <w:rPr>
          <w:rFonts w:cstheme="minorHAnsi"/>
          <w:w w:val="110"/>
        </w:rPr>
        <w:t>the</w:t>
      </w:r>
      <w:r w:rsidRPr="00C84023">
        <w:rPr>
          <w:rFonts w:cstheme="minorHAnsi"/>
          <w:spacing w:val="-12"/>
          <w:w w:val="110"/>
        </w:rPr>
        <w:t xml:space="preserve"> </w:t>
      </w:r>
      <w:r w:rsidRPr="00C84023">
        <w:rPr>
          <w:rFonts w:cstheme="minorHAnsi"/>
          <w:spacing w:val="-3"/>
          <w:w w:val="110"/>
        </w:rPr>
        <w:t>K-12</w:t>
      </w:r>
      <w:r w:rsidRPr="00C84023">
        <w:rPr>
          <w:rFonts w:cstheme="minorHAnsi"/>
          <w:spacing w:val="-12"/>
          <w:w w:val="110"/>
        </w:rPr>
        <w:t xml:space="preserve"> </w:t>
      </w:r>
      <w:r w:rsidRPr="00C84023">
        <w:rPr>
          <w:rFonts w:cstheme="minorHAnsi"/>
          <w:w w:val="110"/>
        </w:rPr>
        <w:t>educational</w:t>
      </w:r>
      <w:r w:rsidRPr="00C84023">
        <w:rPr>
          <w:rFonts w:cstheme="minorHAnsi"/>
          <w:spacing w:val="-12"/>
          <w:w w:val="110"/>
        </w:rPr>
        <w:t xml:space="preserve"> </w:t>
      </w:r>
      <w:r w:rsidRPr="00C84023">
        <w:rPr>
          <w:rFonts w:cstheme="minorHAnsi"/>
          <w:w w:val="110"/>
        </w:rPr>
        <w:t>system</w:t>
      </w:r>
      <w:r w:rsidRPr="00C84023">
        <w:rPr>
          <w:rFonts w:cstheme="minorHAnsi"/>
          <w:spacing w:val="-12"/>
          <w:w w:val="110"/>
        </w:rPr>
        <w:t xml:space="preserve"> </w:t>
      </w:r>
      <w:r w:rsidRPr="00C84023">
        <w:rPr>
          <w:rFonts w:cstheme="minorHAnsi"/>
          <w:w w:val="110"/>
        </w:rPr>
        <w:t>and</w:t>
      </w:r>
      <w:r w:rsidRPr="00C84023">
        <w:rPr>
          <w:rFonts w:cstheme="minorHAnsi"/>
          <w:spacing w:val="-12"/>
          <w:w w:val="110"/>
        </w:rPr>
        <w:t xml:space="preserve"> </w:t>
      </w:r>
      <w:r w:rsidRPr="00C84023">
        <w:rPr>
          <w:rFonts w:cstheme="minorHAnsi"/>
          <w:w w:val="110"/>
        </w:rPr>
        <w:t>adult</w:t>
      </w:r>
      <w:r w:rsidRPr="00C84023">
        <w:rPr>
          <w:rFonts w:cstheme="minorHAnsi"/>
          <w:spacing w:val="-12"/>
          <w:w w:val="110"/>
        </w:rPr>
        <w:t xml:space="preserve"> </w:t>
      </w:r>
      <w:r w:rsidRPr="00C84023">
        <w:rPr>
          <w:rFonts w:cstheme="minorHAnsi"/>
          <w:w w:val="110"/>
        </w:rPr>
        <w:t>students</w:t>
      </w:r>
      <w:r w:rsidRPr="00C84023">
        <w:rPr>
          <w:rFonts w:cstheme="minorHAnsi"/>
          <w:spacing w:val="-12"/>
          <w:w w:val="110"/>
        </w:rPr>
        <w:t xml:space="preserve"> </w:t>
      </w:r>
      <w:r w:rsidRPr="00C84023">
        <w:rPr>
          <w:rFonts w:cstheme="minorHAnsi"/>
          <w:w w:val="110"/>
        </w:rPr>
        <w:t>participate</w:t>
      </w:r>
      <w:r w:rsidRPr="00C84023">
        <w:rPr>
          <w:rFonts w:cstheme="minorHAnsi"/>
          <w:spacing w:val="-12"/>
          <w:w w:val="110"/>
        </w:rPr>
        <w:t xml:space="preserve"> </w:t>
      </w:r>
      <w:r w:rsidRPr="00C84023">
        <w:rPr>
          <w:rFonts w:cstheme="minorHAnsi"/>
          <w:w w:val="110"/>
        </w:rPr>
        <w:t>in</w:t>
      </w:r>
      <w:r w:rsidRPr="00C84023">
        <w:rPr>
          <w:rFonts w:cstheme="minorHAnsi"/>
          <w:spacing w:val="-12"/>
          <w:w w:val="110"/>
        </w:rPr>
        <w:t xml:space="preserve"> </w:t>
      </w:r>
      <w:r w:rsidRPr="00C84023">
        <w:rPr>
          <w:rFonts w:cstheme="minorHAnsi"/>
          <w:w w:val="110"/>
        </w:rPr>
        <w:t>the</w:t>
      </w:r>
      <w:r w:rsidRPr="00C84023">
        <w:rPr>
          <w:rFonts w:cstheme="minorHAnsi"/>
          <w:spacing w:val="-12"/>
          <w:w w:val="110"/>
        </w:rPr>
        <w:t xml:space="preserve"> </w:t>
      </w:r>
      <w:r w:rsidRPr="00C84023">
        <w:rPr>
          <w:rFonts w:cstheme="minorHAnsi"/>
          <w:w w:val="110"/>
        </w:rPr>
        <w:t>same</w:t>
      </w:r>
      <w:r w:rsidRPr="00C84023">
        <w:rPr>
          <w:rFonts w:cstheme="minorHAnsi"/>
          <w:w w:val="109"/>
        </w:rPr>
        <w:t xml:space="preserve"> </w:t>
      </w:r>
      <w:r w:rsidRPr="00C84023">
        <w:rPr>
          <w:rFonts w:cstheme="minorHAnsi"/>
          <w:w w:val="110"/>
        </w:rPr>
        <w:t>statewide</w:t>
      </w:r>
      <w:r w:rsidRPr="00C84023">
        <w:rPr>
          <w:rFonts w:cstheme="minorHAnsi"/>
          <w:spacing w:val="-16"/>
          <w:w w:val="110"/>
        </w:rPr>
        <w:t xml:space="preserve"> </w:t>
      </w:r>
      <w:r w:rsidRPr="00C84023">
        <w:rPr>
          <w:rFonts w:cstheme="minorHAnsi"/>
          <w:w w:val="110"/>
        </w:rPr>
        <w:t>assessment</w:t>
      </w:r>
      <w:r w:rsidRPr="00C84023">
        <w:rPr>
          <w:rFonts w:cstheme="minorHAnsi"/>
          <w:spacing w:val="-16"/>
          <w:w w:val="110"/>
        </w:rPr>
        <w:t xml:space="preserve"> </w:t>
      </w:r>
      <w:r w:rsidRPr="00C84023">
        <w:rPr>
          <w:rFonts w:cstheme="minorHAnsi"/>
          <w:w w:val="110"/>
        </w:rPr>
        <w:t>program</w:t>
      </w:r>
      <w:r w:rsidRPr="00C84023">
        <w:rPr>
          <w:rFonts w:cstheme="minorHAnsi"/>
          <w:spacing w:val="-16"/>
          <w:w w:val="110"/>
        </w:rPr>
        <w:t xml:space="preserve"> </w:t>
      </w:r>
      <w:r w:rsidRPr="00C84023">
        <w:rPr>
          <w:rFonts w:cstheme="minorHAnsi"/>
          <w:w w:val="110"/>
        </w:rPr>
        <w:t>measuring student</w:t>
      </w:r>
      <w:r w:rsidRPr="00C84023">
        <w:rPr>
          <w:rFonts w:cstheme="minorHAnsi"/>
          <w:spacing w:val="-16"/>
          <w:w w:val="110"/>
        </w:rPr>
        <w:t xml:space="preserve"> </w:t>
      </w:r>
      <w:r w:rsidRPr="00C84023">
        <w:rPr>
          <w:rFonts w:cstheme="minorHAnsi"/>
          <w:w w:val="110"/>
        </w:rPr>
        <w:t>mastery</w:t>
      </w:r>
      <w:r w:rsidRPr="00C84023">
        <w:rPr>
          <w:rFonts w:cstheme="minorHAnsi"/>
          <w:spacing w:val="-16"/>
          <w:w w:val="110"/>
        </w:rPr>
        <w:t xml:space="preserve"> </w:t>
      </w:r>
      <w:r w:rsidRPr="00C84023">
        <w:rPr>
          <w:rFonts w:cstheme="minorHAnsi"/>
          <w:w w:val="110"/>
        </w:rPr>
        <w:t>of</w:t>
      </w:r>
      <w:r w:rsidRPr="00C84023">
        <w:rPr>
          <w:rFonts w:cstheme="minorHAnsi"/>
          <w:spacing w:val="-16"/>
          <w:w w:val="110"/>
        </w:rPr>
        <w:t xml:space="preserve"> </w:t>
      </w:r>
      <w:r w:rsidRPr="00C84023">
        <w:rPr>
          <w:rFonts w:cstheme="minorHAnsi"/>
          <w:w w:val="110"/>
        </w:rPr>
        <w:t>the</w:t>
      </w:r>
      <w:r w:rsidRPr="00C84023">
        <w:rPr>
          <w:rFonts w:cstheme="minorHAnsi"/>
          <w:spacing w:val="-16"/>
          <w:w w:val="110"/>
        </w:rPr>
        <w:t xml:space="preserve"> </w:t>
      </w:r>
      <w:r w:rsidRPr="00C84023">
        <w:rPr>
          <w:rFonts w:cstheme="minorHAnsi"/>
          <w:w w:val="110"/>
        </w:rPr>
        <w:t>Florida</w:t>
      </w:r>
      <w:r w:rsidRPr="00C84023">
        <w:rPr>
          <w:rFonts w:cstheme="minorHAnsi"/>
          <w:spacing w:val="-16"/>
          <w:w w:val="110"/>
        </w:rPr>
        <w:t xml:space="preserve"> </w:t>
      </w:r>
      <w:r w:rsidRPr="00C84023">
        <w:rPr>
          <w:rFonts w:cstheme="minorHAnsi"/>
          <w:w w:val="110"/>
        </w:rPr>
        <w:t>Standards.</w:t>
      </w:r>
      <w:r w:rsidRPr="00C84023">
        <w:rPr>
          <w:rFonts w:cstheme="minorHAnsi"/>
          <w:spacing w:val="-16"/>
          <w:w w:val="110"/>
        </w:rPr>
        <w:t xml:space="preserve"> </w:t>
      </w:r>
      <w:r w:rsidRPr="00C84023">
        <w:rPr>
          <w:rFonts w:cstheme="minorHAnsi"/>
          <w:w w:val="110"/>
        </w:rPr>
        <w:t>GED®</w:t>
      </w:r>
      <w:r w:rsidRPr="00C84023">
        <w:rPr>
          <w:rFonts w:cstheme="minorHAnsi"/>
          <w:spacing w:val="-16"/>
          <w:w w:val="110"/>
        </w:rPr>
        <w:t xml:space="preserve"> </w:t>
      </w:r>
      <w:r w:rsidRPr="00C84023">
        <w:rPr>
          <w:rFonts w:cstheme="minorHAnsi"/>
          <w:w w:val="110"/>
        </w:rPr>
        <w:t>preparation</w:t>
      </w:r>
      <w:r w:rsidRPr="00C84023">
        <w:rPr>
          <w:rFonts w:cstheme="minorHAnsi"/>
          <w:spacing w:val="-13"/>
          <w:w w:val="110"/>
        </w:rPr>
        <w:t xml:space="preserve"> </w:t>
      </w:r>
      <w:r w:rsidRPr="00C84023">
        <w:rPr>
          <w:rFonts w:cstheme="minorHAnsi"/>
          <w:w w:val="110"/>
        </w:rPr>
        <w:t>courses</w:t>
      </w:r>
      <w:r w:rsidRPr="00C84023">
        <w:rPr>
          <w:rFonts w:cstheme="minorHAnsi"/>
          <w:spacing w:val="-13"/>
          <w:w w:val="110"/>
        </w:rPr>
        <w:t xml:space="preserve"> </w:t>
      </w:r>
      <w:r w:rsidRPr="00C84023">
        <w:rPr>
          <w:rFonts w:cstheme="minorHAnsi"/>
          <w:w w:val="110"/>
        </w:rPr>
        <w:t>are</w:t>
      </w:r>
      <w:r w:rsidRPr="00C84023">
        <w:rPr>
          <w:rFonts w:cstheme="minorHAnsi"/>
          <w:spacing w:val="-13"/>
          <w:w w:val="110"/>
        </w:rPr>
        <w:t xml:space="preserve"> </w:t>
      </w:r>
      <w:r w:rsidRPr="00C84023">
        <w:rPr>
          <w:rFonts w:cstheme="minorHAnsi"/>
          <w:w w:val="110"/>
        </w:rPr>
        <w:t>a</w:t>
      </w:r>
      <w:r w:rsidRPr="00C84023">
        <w:rPr>
          <w:rFonts w:cstheme="minorHAnsi"/>
          <w:spacing w:val="-13"/>
          <w:w w:val="110"/>
        </w:rPr>
        <w:t xml:space="preserve"> </w:t>
      </w:r>
      <w:r w:rsidRPr="00C84023">
        <w:rPr>
          <w:rFonts w:cstheme="minorHAnsi"/>
          <w:w w:val="110"/>
        </w:rPr>
        <w:t>component</w:t>
      </w:r>
      <w:r w:rsidRPr="00C84023">
        <w:rPr>
          <w:rFonts w:cstheme="minorHAnsi"/>
          <w:spacing w:val="-13"/>
          <w:w w:val="110"/>
        </w:rPr>
        <w:t xml:space="preserve"> </w:t>
      </w:r>
      <w:r w:rsidRPr="00C84023">
        <w:rPr>
          <w:rFonts w:cstheme="minorHAnsi"/>
          <w:w w:val="110"/>
        </w:rPr>
        <w:t>of</w:t>
      </w:r>
      <w:r w:rsidRPr="00C84023">
        <w:rPr>
          <w:rFonts w:cstheme="minorHAnsi"/>
          <w:spacing w:val="-13"/>
          <w:w w:val="110"/>
        </w:rPr>
        <w:t xml:space="preserve"> </w:t>
      </w:r>
      <w:r w:rsidRPr="00C84023">
        <w:rPr>
          <w:rFonts w:cstheme="minorHAnsi"/>
          <w:w w:val="110"/>
        </w:rPr>
        <w:t>Florida’s</w:t>
      </w:r>
      <w:r w:rsidRPr="00C84023">
        <w:rPr>
          <w:rFonts w:cstheme="minorHAnsi"/>
          <w:spacing w:val="-13"/>
          <w:w w:val="110"/>
        </w:rPr>
        <w:t xml:space="preserve"> </w:t>
      </w:r>
      <w:r w:rsidRPr="00C84023">
        <w:rPr>
          <w:rFonts w:cstheme="minorHAnsi"/>
          <w:w w:val="110"/>
        </w:rPr>
        <w:t>adult</w:t>
      </w:r>
      <w:r w:rsidRPr="00C84023">
        <w:rPr>
          <w:rFonts w:cstheme="minorHAnsi"/>
          <w:spacing w:val="-13"/>
          <w:w w:val="110"/>
        </w:rPr>
        <w:t xml:space="preserve"> </w:t>
      </w:r>
      <w:r w:rsidRPr="00C84023">
        <w:rPr>
          <w:rFonts w:cstheme="minorHAnsi"/>
          <w:w w:val="110"/>
        </w:rPr>
        <w:t>secondary</w:t>
      </w:r>
      <w:r w:rsidRPr="00C84023">
        <w:rPr>
          <w:rFonts w:cstheme="minorHAnsi"/>
          <w:spacing w:val="-13"/>
          <w:w w:val="110"/>
        </w:rPr>
        <w:t xml:space="preserve"> </w:t>
      </w:r>
      <w:r w:rsidRPr="00C84023">
        <w:rPr>
          <w:rFonts w:cstheme="minorHAnsi"/>
          <w:w w:val="110"/>
        </w:rPr>
        <w:t>level</w:t>
      </w:r>
      <w:r w:rsidRPr="00C84023">
        <w:rPr>
          <w:rFonts w:cstheme="minorHAnsi"/>
          <w:spacing w:val="-13"/>
          <w:w w:val="110"/>
        </w:rPr>
        <w:t xml:space="preserve"> </w:t>
      </w:r>
      <w:r w:rsidRPr="00C84023">
        <w:rPr>
          <w:rFonts w:cstheme="minorHAnsi"/>
          <w:w w:val="110"/>
        </w:rPr>
        <w:t>programming</w:t>
      </w:r>
      <w:r w:rsidRPr="00C84023">
        <w:rPr>
          <w:rFonts w:cstheme="minorHAnsi"/>
          <w:spacing w:val="-13"/>
          <w:w w:val="110"/>
        </w:rPr>
        <w:t xml:space="preserve"> </w:t>
      </w:r>
      <w:r w:rsidRPr="00C84023">
        <w:rPr>
          <w:rFonts w:cstheme="minorHAnsi"/>
          <w:w w:val="110"/>
        </w:rPr>
        <w:t>aligned</w:t>
      </w:r>
      <w:r w:rsidRPr="00C84023">
        <w:rPr>
          <w:rFonts w:cstheme="minorHAnsi"/>
          <w:spacing w:val="-13"/>
          <w:w w:val="110"/>
        </w:rPr>
        <w:t xml:space="preserve"> </w:t>
      </w:r>
      <w:r w:rsidRPr="00C84023">
        <w:rPr>
          <w:rFonts w:cstheme="minorHAnsi"/>
          <w:w w:val="110"/>
        </w:rPr>
        <w:t>to</w:t>
      </w:r>
      <w:r w:rsidRPr="00C84023">
        <w:rPr>
          <w:rFonts w:cstheme="minorHAnsi"/>
        </w:rPr>
        <w:t xml:space="preserve"> </w:t>
      </w:r>
      <w:r w:rsidRPr="00C84023">
        <w:rPr>
          <w:rFonts w:cstheme="minorHAnsi"/>
          <w:w w:val="110"/>
        </w:rPr>
        <w:t>Florida’s</w:t>
      </w:r>
      <w:r w:rsidRPr="00C84023">
        <w:rPr>
          <w:rFonts w:cstheme="minorHAnsi"/>
          <w:spacing w:val="-25"/>
          <w:w w:val="110"/>
        </w:rPr>
        <w:t xml:space="preserve"> </w:t>
      </w:r>
      <w:r w:rsidRPr="00C84023">
        <w:rPr>
          <w:rFonts w:cstheme="minorHAnsi"/>
          <w:w w:val="110"/>
        </w:rPr>
        <w:t>evidenced-based</w:t>
      </w:r>
      <w:r w:rsidRPr="00C84023">
        <w:rPr>
          <w:rFonts w:cstheme="minorHAnsi"/>
          <w:spacing w:val="-25"/>
          <w:w w:val="110"/>
        </w:rPr>
        <w:t xml:space="preserve"> </w:t>
      </w:r>
      <w:r w:rsidRPr="00C84023">
        <w:rPr>
          <w:rFonts w:cstheme="minorHAnsi"/>
          <w:w w:val="110"/>
        </w:rPr>
        <w:t>standards.</w:t>
      </w:r>
    </w:p>
    <w:p w14:paraId="085EEACF" w14:textId="77777777" w:rsidR="00C84023" w:rsidRDefault="00C84023" w:rsidP="00D63204">
      <w:pPr>
        <w:widowControl w:val="0"/>
        <w:spacing w:after="0" w:line="264" w:lineRule="exact"/>
        <w:ind w:left="90"/>
        <w:rPr>
          <w:rFonts w:cstheme="minorHAnsi"/>
          <w:w w:val="105"/>
        </w:rPr>
      </w:pPr>
    </w:p>
    <w:p w14:paraId="7F7CB74C" w14:textId="0C2B049B" w:rsidR="00751FC0" w:rsidRPr="00C84023" w:rsidRDefault="00751FC0" w:rsidP="00D63204">
      <w:pPr>
        <w:widowControl w:val="0"/>
        <w:spacing w:after="0" w:line="264" w:lineRule="exact"/>
        <w:ind w:left="90"/>
        <w:rPr>
          <w:rFonts w:cstheme="minorHAnsi"/>
        </w:rPr>
      </w:pPr>
      <w:r w:rsidRPr="00C84023">
        <w:rPr>
          <w:rFonts w:cstheme="minorHAnsi"/>
          <w:w w:val="105"/>
        </w:rPr>
        <w:t>A high school equivalency diploma is issued to candidates who successfully demonstrate</w:t>
      </w:r>
      <w:r w:rsidRPr="00C84023">
        <w:rPr>
          <w:rFonts w:cstheme="minorHAnsi"/>
          <w:spacing w:val="37"/>
          <w:w w:val="105"/>
        </w:rPr>
        <w:t xml:space="preserve"> </w:t>
      </w:r>
      <w:r w:rsidRPr="00C84023">
        <w:rPr>
          <w:rFonts w:cstheme="minorHAnsi"/>
          <w:w w:val="105"/>
        </w:rPr>
        <w:t>competency</w:t>
      </w:r>
      <w:r w:rsidRPr="00C84023">
        <w:rPr>
          <w:rFonts w:cstheme="minorHAnsi"/>
          <w:spacing w:val="18"/>
          <w:w w:val="105"/>
        </w:rPr>
        <w:t xml:space="preserve"> </w:t>
      </w:r>
      <w:r w:rsidRPr="00C84023">
        <w:rPr>
          <w:rFonts w:cstheme="minorHAnsi"/>
          <w:w w:val="105"/>
        </w:rPr>
        <w:t>in</w:t>
      </w:r>
      <w:r w:rsidRPr="00C84023">
        <w:rPr>
          <w:rFonts w:cstheme="minorHAnsi"/>
          <w:spacing w:val="18"/>
          <w:w w:val="105"/>
        </w:rPr>
        <w:t xml:space="preserve"> </w:t>
      </w:r>
      <w:r w:rsidRPr="00C84023">
        <w:rPr>
          <w:rFonts w:cstheme="minorHAnsi"/>
          <w:w w:val="105"/>
        </w:rPr>
        <w:t>language</w:t>
      </w:r>
      <w:r w:rsidRPr="00C84023">
        <w:rPr>
          <w:rFonts w:cstheme="minorHAnsi"/>
          <w:spacing w:val="18"/>
          <w:w w:val="105"/>
        </w:rPr>
        <w:t xml:space="preserve"> </w:t>
      </w:r>
      <w:r w:rsidRPr="00C84023">
        <w:rPr>
          <w:rFonts w:cstheme="minorHAnsi"/>
          <w:w w:val="105"/>
        </w:rPr>
        <w:t>arts</w:t>
      </w:r>
      <w:r w:rsidRPr="00C84023">
        <w:rPr>
          <w:rFonts w:cstheme="minorHAnsi"/>
          <w:spacing w:val="18"/>
          <w:w w:val="105"/>
        </w:rPr>
        <w:t xml:space="preserve"> </w:t>
      </w:r>
      <w:r w:rsidRPr="00C84023">
        <w:rPr>
          <w:rFonts w:cstheme="minorHAnsi"/>
          <w:w w:val="105"/>
        </w:rPr>
        <w:t>(reading</w:t>
      </w:r>
      <w:r w:rsidRPr="00C84023">
        <w:rPr>
          <w:rFonts w:cstheme="minorHAnsi"/>
          <w:spacing w:val="18"/>
          <w:w w:val="105"/>
        </w:rPr>
        <w:t xml:space="preserve"> </w:t>
      </w:r>
      <w:r w:rsidRPr="00C84023">
        <w:rPr>
          <w:rFonts w:cstheme="minorHAnsi"/>
          <w:w w:val="105"/>
        </w:rPr>
        <w:t>and</w:t>
      </w:r>
      <w:r w:rsidRPr="00C84023">
        <w:rPr>
          <w:rFonts w:cstheme="minorHAnsi"/>
          <w:spacing w:val="18"/>
          <w:w w:val="105"/>
        </w:rPr>
        <w:t xml:space="preserve"> </w:t>
      </w:r>
      <w:r w:rsidRPr="00C84023">
        <w:rPr>
          <w:rFonts w:cstheme="minorHAnsi"/>
          <w:w w:val="105"/>
        </w:rPr>
        <w:t>writing),</w:t>
      </w:r>
      <w:r w:rsidRPr="00C84023">
        <w:rPr>
          <w:rFonts w:cstheme="minorHAnsi"/>
          <w:spacing w:val="18"/>
          <w:w w:val="105"/>
        </w:rPr>
        <w:t xml:space="preserve"> </w:t>
      </w:r>
      <w:r w:rsidRPr="00C84023">
        <w:rPr>
          <w:rFonts w:cstheme="minorHAnsi"/>
          <w:w w:val="105"/>
        </w:rPr>
        <w:t>mathematics,</w:t>
      </w:r>
      <w:r w:rsidRPr="00C84023">
        <w:rPr>
          <w:rFonts w:cstheme="minorHAnsi"/>
          <w:spacing w:val="18"/>
          <w:w w:val="105"/>
        </w:rPr>
        <w:t xml:space="preserve"> </w:t>
      </w:r>
      <w:r w:rsidRPr="00C84023">
        <w:rPr>
          <w:rFonts w:cstheme="minorHAnsi"/>
          <w:w w:val="105"/>
        </w:rPr>
        <w:t>science</w:t>
      </w:r>
      <w:r w:rsidR="00D5537E">
        <w:rPr>
          <w:rFonts w:cstheme="minorHAnsi"/>
          <w:w w:val="105"/>
        </w:rPr>
        <w:t xml:space="preserve"> and</w:t>
      </w:r>
      <w:r w:rsidRPr="00C84023">
        <w:rPr>
          <w:rFonts w:cstheme="minorHAnsi"/>
          <w:spacing w:val="18"/>
          <w:w w:val="105"/>
        </w:rPr>
        <w:t xml:space="preserve"> </w:t>
      </w:r>
      <w:r w:rsidRPr="00C84023">
        <w:rPr>
          <w:rFonts w:cstheme="minorHAnsi"/>
          <w:w w:val="105"/>
        </w:rPr>
        <w:t>social</w:t>
      </w:r>
      <w:r w:rsidRPr="00C84023">
        <w:rPr>
          <w:rFonts w:cstheme="minorHAnsi"/>
          <w:spacing w:val="18"/>
          <w:w w:val="105"/>
        </w:rPr>
        <w:t xml:space="preserve"> </w:t>
      </w:r>
      <w:r w:rsidRPr="00C84023">
        <w:rPr>
          <w:rFonts w:cstheme="minorHAnsi"/>
          <w:w w:val="105"/>
        </w:rPr>
        <w:t>studies.</w:t>
      </w:r>
      <w:r w:rsidRPr="00C84023">
        <w:rPr>
          <w:rFonts w:cstheme="minorHAnsi"/>
          <w:spacing w:val="18"/>
          <w:w w:val="105"/>
        </w:rPr>
        <w:t xml:space="preserve"> </w:t>
      </w:r>
      <w:r w:rsidRPr="00C84023">
        <w:rPr>
          <w:rFonts w:cstheme="minorHAnsi"/>
          <w:w w:val="105"/>
        </w:rPr>
        <w:t>The</w:t>
      </w:r>
      <w:r w:rsidRPr="00C84023">
        <w:rPr>
          <w:rFonts w:cstheme="minorHAnsi"/>
          <w:spacing w:val="18"/>
          <w:w w:val="105"/>
        </w:rPr>
        <w:t xml:space="preserve"> </w:t>
      </w:r>
      <w:r w:rsidRPr="00C84023">
        <w:rPr>
          <w:rFonts w:cstheme="minorHAnsi"/>
          <w:w w:val="105"/>
        </w:rPr>
        <w:t>assessment</w:t>
      </w:r>
      <w:r w:rsidRPr="00C84023">
        <w:rPr>
          <w:rFonts w:cstheme="minorHAnsi"/>
          <w:spacing w:val="12"/>
          <w:w w:val="105"/>
        </w:rPr>
        <w:t xml:space="preserve"> </w:t>
      </w:r>
      <w:r w:rsidRPr="00C84023">
        <w:rPr>
          <w:rFonts w:cstheme="minorHAnsi"/>
          <w:w w:val="105"/>
        </w:rPr>
        <w:t>used</w:t>
      </w:r>
      <w:r w:rsidRPr="00C84023">
        <w:rPr>
          <w:rFonts w:cstheme="minorHAnsi"/>
          <w:spacing w:val="12"/>
          <w:w w:val="105"/>
        </w:rPr>
        <w:t xml:space="preserve"> </w:t>
      </w:r>
      <w:r w:rsidRPr="00C84023">
        <w:rPr>
          <w:rFonts w:cstheme="minorHAnsi"/>
          <w:w w:val="105"/>
        </w:rPr>
        <w:t>for</w:t>
      </w:r>
      <w:r w:rsidRPr="00C84023">
        <w:rPr>
          <w:rFonts w:cstheme="minorHAnsi"/>
          <w:spacing w:val="12"/>
          <w:w w:val="105"/>
        </w:rPr>
        <w:t xml:space="preserve"> </w:t>
      </w:r>
      <w:r w:rsidRPr="00C84023">
        <w:rPr>
          <w:rFonts w:cstheme="minorHAnsi"/>
          <w:w w:val="105"/>
        </w:rPr>
        <w:t>the</w:t>
      </w:r>
      <w:r w:rsidRPr="00C84023">
        <w:rPr>
          <w:rFonts w:cstheme="minorHAnsi"/>
          <w:spacing w:val="12"/>
          <w:w w:val="105"/>
        </w:rPr>
        <w:t xml:space="preserve"> </w:t>
      </w:r>
      <w:r w:rsidRPr="00C84023">
        <w:rPr>
          <w:rFonts w:cstheme="minorHAnsi"/>
          <w:w w:val="105"/>
        </w:rPr>
        <w:t>diploma</w:t>
      </w:r>
      <w:r w:rsidRPr="00C84023">
        <w:rPr>
          <w:rFonts w:cstheme="minorHAnsi"/>
          <w:spacing w:val="12"/>
          <w:w w:val="105"/>
        </w:rPr>
        <w:t xml:space="preserve"> </w:t>
      </w:r>
      <w:r w:rsidRPr="00C84023">
        <w:rPr>
          <w:rFonts w:cstheme="minorHAnsi"/>
          <w:w w:val="105"/>
        </w:rPr>
        <w:t>program</w:t>
      </w:r>
      <w:r w:rsidRPr="00C84023">
        <w:rPr>
          <w:rFonts w:cstheme="minorHAnsi"/>
          <w:spacing w:val="12"/>
          <w:w w:val="105"/>
        </w:rPr>
        <w:t xml:space="preserve"> </w:t>
      </w:r>
      <w:r w:rsidRPr="00C84023">
        <w:rPr>
          <w:rFonts w:cstheme="minorHAnsi"/>
          <w:w w:val="105"/>
        </w:rPr>
        <w:t>is</w:t>
      </w:r>
      <w:r w:rsidRPr="00C84023">
        <w:rPr>
          <w:rFonts w:cstheme="minorHAnsi"/>
          <w:spacing w:val="12"/>
          <w:w w:val="105"/>
        </w:rPr>
        <w:t xml:space="preserve"> </w:t>
      </w:r>
      <w:r w:rsidRPr="00C84023">
        <w:rPr>
          <w:rFonts w:cstheme="minorHAnsi"/>
          <w:w w:val="105"/>
        </w:rPr>
        <w:t>the</w:t>
      </w:r>
      <w:r w:rsidRPr="00C84023">
        <w:rPr>
          <w:rFonts w:cstheme="minorHAnsi"/>
          <w:spacing w:val="12"/>
          <w:w w:val="105"/>
        </w:rPr>
        <w:t xml:space="preserve"> </w:t>
      </w:r>
      <w:r w:rsidRPr="00C84023">
        <w:rPr>
          <w:rFonts w:cstheme="minorHAnsi"/>
          <w:w w:val="105"/>
        </w:rPr>
        <w:t>2014</w:t>
      </w:r>
      <w:r w:rsidRPr="00C84023">
        <w:rPr>
          <w:rFonts w:cstheme="minorHAnsi"/>
          <w:spacing w:val="12"/>
          <w:w w:val="105"/>
        </w:rPr>
        <w:t xml:space="preserve"> </w:t>
      </w:r>
      <w:r w:rsidRPr="00C84023">
        <w:rPr>
          <w:rFonts w:cstheme="minorHAnsi"/>
          <w:w w:val="105"/>
        </w:rPr>
        <w:t>GED®</w:t>
      </w:r>
      <w:r w:rsidRPr="00C84023">
        <w:rPr>
          <w:rFonts w:cstheme="minorHAnsi"/>
          <w:spacing w:val="12"/>
          <w:w w:val="105"/>
        </w:rPr>
        <w:t xml:space="preserve"> </w:t>
      </w:r>
      <w:r w:rsidRPr="00C84023">
        <w:rPr>
          <w:rFonts w:cstheme="minorHAnsi"/>
          <w:spacing w:val="-5"/>
          <w:w w:val="105"/>
        </w:rPr>
        <w:t>Test,</w:t>
      </w:r>
      <w:r w:rsidRPr="00C84023">
        <w:rPr>
          <w:rFonts w:cstheme="minorHAnsi"/>
          <w:spacing w:val="12"/>
          <w:w w:val="105"/>
        </w:rPr>
        <w:t xml:space="preserve"> </w:t>
      </w:r>
      <w:r w:rsidRPr="00C84023">
        <w:rPr>
          <w:rFonts w:cstheme="minorHAnsi"/>
          <w:w w:val="105"/>
        </w:rPr>
        <w:t>which</w:t>
      </w:r>
      <w:r w:rsidRPr="00C84023">
        <w:rPr>
          <w:rFonts w:cstheme="minorHAnsi"/>
          <w:spacing w:val="12"/>
          <w:w w:val="105"/>
        </w:rPr>
        <w:t xml:space="preserve"> </w:t>
      </w:r>
      <w:r w:rsidRPr="00C84023">
        <w:rPr>
          <w:rFonts w:cstheme="minorHAnsi"/>
          <w:w w:val="105"/>
        </w:rPr>
        <w:t>was</w:t>
      </w:r>
      <w:r w:rsidRPr="00C84023">
        <w:rPr>
          <w:rFonts w:cstheme="minorHAnsi"/>
          <w:spacing w:val="12"/>
          <w:w w:val="105"/>
        </w:rPr>
        <w:t xml:space="preserve"> </w:t>
      </w:r>
      <w:r w:rsidRPr="00C84023">
        <w:rPr>
          <w:rFonts w:cstheme="minorHAnsi"/>
          <w:w w:val="105"/>
        </w:rPr>
        <w:t>selected</w:t>
      </w:r>
      <w:r w:rsidRPr="00C84023">
        <w:rPr>
          <w:rFonts w:cstheme="minorHAnsi"/>
          <w:spacing w:val="12"/>
          <w:w w:val="105"/>
        </w:rPr>
        <w:t xml:space="preserve"> </w:t>
      </w:r>
      <w:r w:rsidRPr="00C84023">
        <w:rPr>
          <w:rFonts w:cstheme="minorHAnsi"/>
          <w:w w:val="105"/>
        </w:rPr>
        <w:t>through a</w:t>
      </w:r>
      <w:r w:rsidRPr="00C84023">
        <w:rPr>
          <w:rFonts w:cstheme="minorHAnsi"/>
          <w:spacing w:val="12"/>
          <w:w w:val="105"/>
        </w:rPr>
        <w:t xml:space="preserve"> </w:t>
      </w:r>
      <w:r w:rsidRPr="00C84023">
        <w:rPr>
          <w:rFonts w:cstheme="minorHAnsi"/>
          <w:w w:val="105"/>
        </w:rPr>
        <w:t>competitive</w:t>
      </w:r>
      <w:r>
        <w:rPr>
          <w:rFonts w:cstheme="minorHAnsi"/>
          <w:w w:val="105"/>
        </w:rPr>
        <w:t xml:space="preserve"> </w:t>
      </w:r>
      <w:r w:rsidRPr="00C84023">
        <w:rPr>
          <w:rFonts w:cstheme="minorHAnsi"/>
          <w:w w:val="105"/>
        </w:rPr>
        <w:t>procurement</w:t>
      </w:r>
      <w:r w:rsidRPr="00C84023">
        <w:rPr>
          <w:rFonts w:cstheme="minorHAnsi"/>
          <w:spacing w:val="20"/>
          <w:w w:val="105"/>
        </w:rPr>
        <w:t xml:space="preserve"> </w:t>
      </w:r>
      <w:r w:rsidRPr="00C84023">
        <w:rPr>
          <w:rFonts w:cstheme="minorHAnsi"/>
          <w:w w:val="105"/>
        </w:rPr>
        <w:t>to</w:t>
      </w:r>
      <w:r w:rsidRPr="00C84023">
        <w:rPr>
          <w:rFonts w:cstheme="minorHAnsi"/>
          <w:spacing w:val="20"/>
          <w:w w:val="105"/>
        </w:rPr>
        <w:t xml:space="preserve"> </w:t>
      </w:r>
      <w:r w:rsidRPr="00C84023">
        <w:rPr>
          <w:rFonts w:cstheme="minorHAnsi"/>
          <w:w w:val="105"/>
        </w:rPr>
        <w:t>select</w:t>
      </w:r>
      <w:r w:rsidRPr="00C84023">
        <w:rPr>
          <w:rFonts w:cstheme="minorHAnsi"/>
          <w:spacing w:val="20"/>
          <w:w w:val="105"/>
        </w:rPr>
        <w:t xml:space="preserve"> </w:t>
      </w:r>
      <w:r w:rsidRPr="00C84023">
        <w:rPr>
          <w:rFonts w:cstheme="minorHAnsi"/>
          <w:w w:val="105"/>
        </w:rPr>
        <w:t>a</w:t>
      </w:r>
      <w:r w:rsidRPr="00C84023">
        <w:rPr>
          <w:rFonts w:cstheme="minorHAnsi"/>
          <w:spacing w:val="20"/>
          <w:w w:val="105"/>
        </w:rPr>
        <w:t xml:space="preserve"> </w:t>
      </w:r>
      <w:r w:rsidRPr="00C84023">
        <w:rPr>
          <w:rFonts w:cstheme="minorHAnsi"/>
          <w:w w:val="105"/>
        </w:rPr>
        <w:t>single</w:t>
      </w:r>
      <w:r w:rsidRPr="00C84023">
        <w:rPr>
          <w:rFonts w:cstheme="minorHAnsi"/>
          <w:spacing w:val="20"/>
          <w:w w:val="105"/>
        </w:rPr>
        <w:t xml:space="preserve"> </w:t>
      </w:r>
      <w:r w:rsidRPr="00C84023">
        <w:rPr>
          <w:rFonts w:cstheme="minorHAnsi"/>
          <w:w w:val="105"/>
        </w:rPr>
        <w:t>assessment</w:t>
      </w:r>
      <w:r w:rsidRPr="00C84023">
        <w:rPr>
          <w:rFonts w:cstheme="minorHAnsi"/>
          <w:spacing w:val="20"/>
          <w:w w:val="105"/>
        </w:rPr>
        <w:t xml:space="preserve"> </w:t>
      </w:r>
      <w:r w:rsidRPr="00C84023">
        <w:rPr>
          <w:rFonts w:cstheme="minorHAnsi"/>
          <w:w w:val="105"/>
        </w:rPr>
        <w:t>product</w:t>
      </w:r>
      <w:r w:rsidRPr="00C84023">
        <w:rPr>
          <w:rFonts w:cstheme="minorHAnsi"/>
          <w:spacing w:val="20"/>
          <w:w w:val="105"/>
        </w:rPr>
        <w:t xml:space="preserve"> </w:t>
      </w:r>
      <w:r w:rsidRPr="00C84023">
        <w:rPr>
          <w:rFonts w:cstheme="minorHAnsi"/>
          <w:w w:val="105"/>
        </w:rPr>
        <w:t>for</w:t>
      </w:r>
      <w:r w:rsidRPr="00C84023">
        <w:rPr>
          <w:rFonts w:cstheme="minorHAnsi"/>
          <w:spacing w:val="20"/>
          <w:w w:val="105"/>
        </w:rPr>
        <w:t xml:space="preserve"> </w:t>
      </w:r>
      <w:r w:rsidRPr="00C84023">
        <w:rPr>
          <w:rFonts w:cstheme="minorHAnsi"/>
          <w:w w:val="105"/>
        </w:rPr>
        <w:t>high</w:t>
      </w:r>
      <w:r w:rsidRPr="00C84023">
        <w:rPr>
          <w:rFonts w:cstheme="minorHAnsi"/>
          <w:spacing w:val="20"/>
          <w:w w:val="105"/>
        </w:rPr>
        <w:t xml:space="preserve"> </w:t>
      </w:r>
      <w:r w:rsidRPr="00C84023">
        <w:rPr>
          <w:rFonts w:cstheme="minorHAnsi"/>
          <w:w w:val="105"/>
        </w:rPr>
        <w:t>school</w:t>
      </w:r>
      <w:r w:rsidRPr="00C84023">
        <w:rPr>
          <w:rFonts w:cstheme="minorHAnsi"/>
          <w:spacing w:val="20"/>
          <w:w w:val="105"/>
        </w:rPr>
        <w:t xml:space="preserve"> </w:t>
      </w:r>
      <w:r w:rsidRPr="00C84023">
        <w:rPr>
          <w:rFonts w:cstheme="minorHAnsi"/>
          <w:w w:val="105"/>
        </w:rPr>
        <w:t>equivalency.</w:t>
      </w:r>
      <w:r w:rsidRPr="00C84023">
        <w:rPr>
          <w:rFonts w:cstheme="minorHAnsi"/>
          <w:spacing w:val="20"/>
          <w:w w:val="105"/>
        </w:rPr>
        <w:t xml:space="preserve"> </w:t>
      </w:r>
      <w:r w:rsidRPr="00C84023">
        <w:rPr>
          <w:rFonts w:cstheme="minorHAnsi"/>
          <w:w w:val="105"/>
        </w:rPr>
        <w:t>The</w:t>
      </w:r>
      <w:r w:rsidRPr="00C84023">
        <w:rPr>
          <w:rFonts w:cstheme="minorHAnsi"/>
          <w:spacing w:val="-32"/>
          <w:w w:val="105"/>
        </w:rPr>
        <w:t xml:space="preserve"> </w:t>
      </w:r>
      <w:r w:rsidRPr="00C84023">
        <w:rPr>
          <w:rFonts w:cstheme="minorHAnsi"/>
          <w:w w:val="105"/>
        </w:rPr>
        <w:t>competitive</w:t>
      </w:r>
      <w:r w:rsidRPr="00C84023">
        <w:rPr>
          <w:rFonts w:cstheme="minorHAnsi"/>
          <w:spacing w:val="13"/>
          <w:w w:val="105"/>
        </w:rPr>
        <w:t xml:space="preserve"> </w:t>
      </w:r>
      <w:r w:rsidRPr="00C84023">
        <w:rPr>
          <w:rFonts w:cstheme="minorHAnsi"/>
          <w:w w:val="105"/>
        </w:rPr>
        <w:t>process</w:t>
      </w:r>
      <w:r w:rsidRPr="00C84023">
        <w:rPr>
          <w:rFonts w:cstheme="minorHAnsi"/>
          <w:spacing w:val="13"/>
          <w:w w:val="105"/>
        </w:rPr>
        <w:t xml:space="preserve"> </w:t>
      </w:r>
      <w:r w:rsidRPr="00C84023">
        <w:rPr>
          <w:rFonts w:cstheme="minorHAnsi"/>
          <w:w w:val="105"/>
        </w:rPr>
        <w:t>included</w:t>
      </w:r>
      <w:r w:rsidRPr="00C84023">
        <w:rPr>
          <w:rFonts w:cstheme="minorHAnsi"/>
          <w:spacing w:val="13"/>
          <w:w w:val="105"/>
        </w:rPr>
        <w:t xml:space="preserve"> </w:t>
      </w:r>
      <w:r w:rsidRPr="00C84023">
        <w:rPr>
          <w:rFonts w:cstheme="minorHAnsi"/>
          <w:w w:val="105"/>
        </w:rPr>
        <w:t>a</w:t>
      </w:r>
      <w:r w:rsidRPr="00C84023">
        <w:rPr>
          <w:rFonts w:cstheme="minorHAnsi"/>
          <w:spacing w:val="13"/>
          <w:w w:val="105"/>
        </w:rPr>
        <w:t xml:space="preserve"> </w:t>
      </w:r>
      <w:r w:rsidRPr="00C84023">
        <w:rPr>
          <w:rFonts w:cstheme="minorHAnsi"/>
          <w:w w:val="105"/>
        </w:rPr>
        <w:t>review</w:t>
      </w:r>
      <w:r w:rsidRPr="00C84023">
        <w:rPr>
          <w:rFonts w:cstheme="minorHAnsi"/>
          <w:spacing w:val="13"/>
          <w:w w:val="105"/>
        </w:rPr>
        <w:t xml:space="preserve"> </w:t>
      </w:r>
      <w:r w:rsidRPr="00C84023">
        <w:rPr>
          <w:rFonts w:cstheme="minorHAnsi"/>
          <w:w w:val="105"/>
        </w:rPr>
        <w:t>of</w:t>
      </w:r>
      <w:r w:rsidRPr="00C84023">
        <w:rPr>
          <w:rFonts w:cstheme="minorHAnsi"/>
          <w:spacing w:val="13"/>
          <w:w w:val="105"/>
        </w:rPr>
        <w:t xml:space="preserve"> </w:t>
      </w:r>
      <w:r w:rsidRPr="00C84023">
        <w:rPr>
          <w:rFonts w:cstheme="minorHAnsi"/>
          <w:w w:val="105"/>
        </w:rPr>
        <w:t>assessment</w:t>
      </w:r>
      <w:r w:rsidRPr="00C84023">
        <w:rPr>
          <w:rFonts w:cstheme="minorHAnsi"/>
          <w:spacing w:val="13"/>
          <w:w w:val="105"/>
        </w:rPr>
        <w:t xml:space="preserve"> </w:t>
      </w:r>
      <w:r w:rsidRPr="00C84023">
        <w:rPr>
          <w:rFonts w:cstheme="minorHAnsi"/>
          <w:w w:val="105"/>
        </w:rPr>
        <w:t>content</w:t>
      </w:r>
      <w:r w:rsidRPr="00C84023">
        <w:rPr>
          <w:rFonts w:cstheme="minorHAnsi"/>
          <w:spacing w:val="13"/>
          <w:w w:val="105"/>
        </w:rPr>
        <w:t xml:space="preserve"> </w:t>
      </w:r>
      <w:r w:rsidRPr="00C84023">
        <w:rPr>
          <w:rFonts w:cstheme="minorHAnsi"/>
          <w:w w:val="105"/>
        </w:rPr>
        <w:t>for</w:t>
      </w:r>
      <w:r w:rsidRPr="00C84023">
        <w:rPr>
          <w:rFonts w:cstheme="minorHAnsi"/>
          <w:spacing w:val="13"/>
          <w:w w:val="105"/>
        </w:rPr>
        <w:t xml:space="preserve"> </w:t>
      </w:r>
      <w:r w:rsidRPr="00C84023">
        <w:rPr>
          <w:rFonts w:cstheme="minorHAnsi"/>
          <w:w w:val="105"/>
        </w:rPr>
        <w:t>alignment</w:t>
      </w:r>
      <w:r w:rsidRPr="00C84023">
        <w:rPr>
          <w:rFonts w:cstheme="minorHAnsi"/>
          <w:spacing w:val="13"/>
          <w:w w:val="105"/>
        </w:rPr>
        <w:t xml:space="preserve"> </w:t>
      </w:r>
      <w:r w:rsidRPr="00C84023">
        <w:rPr>
          <w:rFonts w:cstheme="minorHAnsi"/>
          <w:w w:val="105"/>
        </w:rPr>
        <w:t>with</w:t>
      </w:r>
      <w:r w:rsidRPr="00C84023">
        <w:rPr>
          <w:rFonts w:cstheme="minorHAnsi"/>
          <w:spacing w:val="13"/>
          <w:w w:val="105"/>
        </w:rPr>
        <w:t xml:space="preserve"> </w:t>
      </w:r>
      <w:r w:rsidRPr="00C84023">
        <w:rPr>
          <w:rFonts w:cstheme="minorHAnsi"/>
          <w:w w:val="105"/>
        </w:rPr>
        <w:t>Florida’s</w:t>
      </w:r>
      <w:r w:rsidRPr="00C84023">
        <w:rPr>
          <w:rFonts w:cstheme="minorHAnsi"/>
          <w:spacing w:val="13"/>
          <w:w w:val="105"/>
        </w:rPr>
        <w:t xml:space="preserve"> </w:t>
      </w:r>
      <w:r w:rsidRPr="00C84023">
        <w:rPr>
          <w:rFonts w:cstheme="minorHAnsi"/>
          <w:w w:val="105"/>
        </w:rPr>
        <w:t>Standards</w:t>
      </w:r>
      <w:r w:rsidRPr="00C84023">
        <w:rPr>
          <w:rFonts w:cstheme="minorHAnsi"/>
          <w:spacing w:val="-33"/>
          <w:w w:val="105"/>
        </w:rPr>
        <w:t xml:space="preserve"> </w:t>
      </w:r>
      <w:r w:rsidRPr="00C84023">
        <w:rPr>
          <w:rFonts w:cstheme="minorHAnsi"/>
          <w:w w:val="105"/>
        </w:rPr>
        <w:t>for</w:t>
      </w:r>
      <w:r w:rsidRPr="00C84023">
        <w:rPr>
          <w:rFonts w:cstheme="minorHAnsi"/>
          <w:spacing w:val="15"/>
          <w:w w:val="105"/>
        </w:rPr>
        <w:t xml:space="preserve"> </w:t>
      </w:r>
      <w:r w:rsidRPr="00C84023">
        <w:rPr>
          <w:rFonts w:cstheme="minorHAnsi"/>
          <w:w w:val="105"/>
        </w:rPr>
        <w:t>English</w:t>
      </w:r>
      <w:r w:rsidRPr="00C84023">
        <w:rPr>
          <w:rFonts w:cstheme="minorHAnsi"/>
          <w:spacing w:val="15"/>
          <w:w w:val="105"/>
        </w:rPr>
        <w:t xml:space="preserve"> </w:t>
      </w:r>
      <w:r w:rsidRPr="00C84023">
        <w:rPr>
          <w:rFonts w:cstheme="minorHAnsi"/>
          <w:w w:val="105"/>
        </w:rPr>
        <w:t>Language</w:t>
      </w:r>
      <w:r w:rsidRPr="00C84023">
        <w:rPr>
          <w:rFonts w:cstheme="minorHAnsi"/>
          <w:spacing w:val="15"/>
          <w:w w:val="105"/>
        </w:rPr>
        <w:t xml:space="preserve"> </w:t>
      </w:r>
      <w:r w:rsidRPr="00C84023">
        <w:rPr>
          <w:rFonts w:cstheme="minorHAnsi"/>
          <w:w w:val="105"/>
        </w:rPr>
        <w:t>Arts</w:t>
      </w:r>
      <w:r w:rsidRPr="00C84023">
        <w:rPr>
          <w:rFonts w:cstheme="minorHAnsi"/>
          <w:spacing w:val="15"/>
          <w:w w:val="105"/>
        </w:rPr>
        <w:t xml:space="preserve"> </w:t>
      </w:r>
      <w:r w:rsidRPr="00C84023">
        <w:rPr>
          <w:rFonts w:cstheme="minorHAnsi"/>
          <w:w w:val="105"/>
        </w:rPr>
        <w:t>and</w:t>
      </w:r>
      <w:r w:rsidRPr="00C84023">
        <w:rPr>
          <w:rFonts w:cstheme="minorHAnsi"/>
          <w:spacing w:val="15"/>
          <w:w w:val="105"/>
        </w:rPr>
        <w:t xml:space="preserve"> </w:t>
      </w:r>
      <w:r w:rsidRPr="00C84023">
        <w:rPr>
          <w:rFonts w:cstheme="minorHAnsi"/>
          <w:w w:val="105"/>
        </w:rPr>
        <w:t>Mathematics,</w:t>
      </w:r>
      <w:r w:rsidRPr="00C84023">
        <w:rPr>
          <w:rFonts w:cstheme="minorHAnsi"/>
          <w:spacing w:val="15"/>
          <w:w w:val="105"/>
        </w:rPr>
        <w:t xml:space="preserve"> </w:t>
      </w:r>
      <w:r w:rsidRPr="00C84023">
        <w:rPr>
          <w:rFonts w:cstheme="minorHAnsi"/>
          <w:w w:val="105"/>
        </w:rPr>
        <w:t>social</w:t>
      </w:r>
      <w:r w:rsidRPr="00C84023">
        <w:rPr>
          <w:rFonts w:cstheme="minorHAnsi"/>
          <w:spacing w:val="15"/>
          <w:w w:val="105"/>
        </w:rPr>
        <w:t xml:space="preserve"> </w:t>
      </w:r>
      <w:r w:rsidRPr="00C84023">
        <w:rPr>
          <w:rFonts w:cstheme="minorHAnsi"/>
          <w:w w:val="105"/>
        </w:rPr>
        <w:t>studies</w:t>
      </w:r>
      <w:r w:rsidRPr="00C84023">
        <w:rPr>
          <w:rFonts w:cstheme="minorHAnsi"/>
          <w:spacing w:val="15"/>
          <w:w w:val="105"/>
        </w:rPr>
        <w:t xml:space="preserve"> </w:t>
      </w:r>
      <w:r w:rsidRPr="00C84023">
        <w:rPr>
          <w:rFonts w:cstheme="minorHAnsi"/>
          <w:w w:val="105"/>
        </w:rPr>
        <w:t>and</w:t>
      </w:r>
      <w:r w:rsidRPr="00C84023">
        <w:rPr>
          <w:rFonts w:cstheme="minorHAnsi"/>
          <w:spacing w:val="15"/>
          <w:w w:val="105"/>
        </w:rPr>
        <w:t xml:space="preserve"> </w:t>
      </w:r>
      <w:r w:rsidRPr="00C84023">
        <w:rPr>
          <w:rFonts w:cstheme="minorHAnsi"/>
          <w:w w:val="105"/>
        </w:rPr>
        <w:t>science</w:t>
      </w:r>
      <w:r w:rsidRPr="00C84023">
        <w:rPr>
          <w:rFonts w:cstheme="minorHAnsi"/>
          <w:spacing w:val="15"/>
          <w:w w:val="105"/>
        </w:rPr>
        <w:t xml:space="preserve"> </w:t>
      </w:r>
      <w:r w:rsidRPr="00C84023">
        <w:rPr>
          <w:rFonts w:cstheme="minorHAnsi"/>
          <w:w w:val="105"/>
        </w:rPr>
        <w:t>content.</w:t>
      </w:r>
      <w:r w:rsidRPr="00C84023">
        <w:rPr>
          <w:rFonts w:cstheme="minorHAnsi"/>
          <w:spacing w:val="29"/>
          <w:w w:val="105"/>
        </w:rPr>
        <w:t xml:space="preserve"> </w:t>
      </w:r>
      <w:r w:rsidRPr="00C84023">
        <w:rPr>
          <w:rFonts w:cstheme="minorHAnsi"/>
          <w:w w:val="105"/>
        </w:rPr>
        <w:t>The</w:t>
      </w:r>
      <w:r w:rsidRPr="00C84023">
        <w:rPr>
          <w:rFonts w:cstheme="minorHAnsi"/>
          <w:spacing w:val="15"/>
          <w:w w:val="105"/>
        </w:rPr>
        <w:t xml:space="preserve"> </w:t>
      </w:r>
      <w:r w:rsidRPr="00C84023">
        <w:rPr>
          <w:rFonts w:cstheme="minorHAnsi"/>
          <w:w w:val="105"/>
        </w:rPr>
        <w:t>review</w:t>
      </w:r>
      <w:r w:rsidRPr="00C84023">
        <w:rPr>
          <w:rFonts w:cstheme="minorHAnsi"/>
          <w:spacing w:val="20"/>
          <w:w w:val="105"/>
        </w:rPr>
        <w:t xml:space="preserve"> </w:t>
      </w:r>
      <w:r w:rsidRPr="00C84023">
        <w:rPr>
          <w:rFonts w:cstheme="minorHAnsi"/>
          <w:w w:val="105"/>
        </w:rPr>
        <w:t>process</w:t>
      </w:r>
      <w:r w:rsidRPr="00C84023">
        <w:rPr>
          <w:rFonts w:cstheme="minorHAnsi"/>
          <w:spacing w:val="14"/>
          <w:w w:val="105"/>
        </w:rPr>
        <w:t xml:space="preserve"> </w:t>
      </w:r>
      <w:r w:rsidRPr="00C84023">
        <w:rPr>
          <w:rFonts w:cstheme="minorHAnsi"/>
          <w:w w:val="105"/>
        </w:rPr>
        <w:t>confirmed</w:t>
      </w:r>
      <w:r w:rsidRPr="00C84023">
        <w:rPr>
          <w:rFonts w:cstheme="minorHAnsi"/>
          <w:spacing w:val="14"/>
          <w:w w:val="105"/>
        </w:rPr>
        <w:t xml:space="preserve"> </w:t>
      </w:r>
      <w:r w:rsidRPr="00C84023">
        <w:rPr>
          <w:rFonts w:cstheme="minorHAnsi"/>
          <w:w w:val="105"/>
        </w:rPr>
        <w:t>alignment</w:t>
      </w:r>
      <w:r w:rsidRPr="00C84023">
        <w:rPr>
          <w:rFonts w:cstheme="minorHAnsi"/>
          <w:spacing w:val="14"/>
          <w:w w:val="105"/>
        </w:rPr>
        <w:t xml:space="preserve"> </w:t>
      </w:r>
      <w:r w:rsidRPr="00C84023">
        <w:rPr>
          <w:rFonts w:cstheme="minorHAnsi"/>
          <w:w w:val="105"/>
        </w:rPr>
        <w:t>of</w:t>
      </w:r>
      <w:r w:rsidRPr="00C84023">
        <w:rPr>
          <w:rFonts w:cstheme="minorHAnsi"/>
          <w:spacing w:val="14"/>
          <w:w w:val="105"/>
        </w:rPr>
        <w:t xml:space="preserve"> </w:t>
      </w:r>
      <w:r w:rsidRPr="00C84023">
        <w:rPr>
          <w:rFonts w:cstheme="minorHAnsi"/>
          <w:w w:val="105"/>
        </w:rPr>
        <w:t>the</w:t>
      </w:r>
      <w:r w:rsidRPr="00C84023">
        <w:rPr>
          <w:rFonts w:cstheme="minorHAnsi"/>
          <w:spacing w:val="14"/>
          <w:w w:val="105"/>
        </w:rPr>
        <w:t xml:space="preserve"> </w:t>
      </w:r>
      <w:r w:rsidRPr="00C84023">
        <w:rPr>
          <w:rFonts w:cstheme="minorHAnsi"/>
          <w:w w:val="105"/>
        </w:rPr>
        <w:t>assessment</w:t>
      </w:r>
      <w:r w:rsidRPr="00C84023">
        <w:rPr>
          <w:rFonts w:cstheme="minorHAnsi"/>
          <w:spacing w:val="14"/>
          <w:w w:val="105"/>
        </w:rPr>
        <w:t xml:space="preserve"> </w:t>
      </w:r>
      <w:r w:rsidRPr="00C84023">
        <w:rPr>
          <w:rFonts w:cstheme="minorHAnsi"/>
          <w:w w:val="105"/>
        </w:rPr>
        <w:t>with</w:t>
      </w:r>
      <w:r w:rsidRPr="00C84023">
        <w:rPr>
          <w:rFonts w:cstheme="minorHAnsi"/>
          <w:spacing w:val="14"/>
          <w:w w:val="105"/>
        </w:rPr>
        <w:t xml:space="preserve"> </w:t>
      </w:r>
      <w:r w:rsidRPr="00C84023">
        <w:rPr>
          <w:rFonts w:cstheme="minorHAnsi"/>
          <w:w w:val="105"/>
        </w:rPr>
        <w:t>challenging</w:t>
      </w:r>
      <w:r w:rsidRPr="00C84023">
        <w:rPr>
          <w:rFonts w:cstheme="minorHAnsi"/>
          <w:spacing w:val="14"/>
          <w:w w:val="105"/>
        </w:rPr>
        <w:t xml:space="preserve"> </w:t>
      </w:r>
      <w:r w:rsidRPr="00C84023">
        <w:rPr>
          <w:rFonts w:cstheme="minorHAnsi"/>
          <w:w w:val="105"/>
        </w:rPr>
        <w:t>academic</w:t>
      </w:r>
      <w:r w:rsidRPr="00C84023">
        <w:rPr>
          <w:rFonts w:cstheme="minorHAnsi"/>
          <w:spacing w:val="14"/>
          <w:w w:val="105"/>
        </w:rPr>
        <w:t xml:space="preserve"> </w:t>
      </w:r>
      <w:r w:rsidRPr="00C84023">
        <w:rPr>
          <w:rFonts w:cstheme="minorHAnsi"/>
          <w:w w:val="105"/>
        </w:rPr>
        <w:t>standards.</w:t>
      </w:r>
      <w:r w:rsidRPr="00C84023">
        <w:rPr>
          <w:rFonts w:cstheme="minorHAnsi"/>
          <w:spacing w:val="14"/>
          <w:w w:val="105"/>
        </w:rPr>
        <w:t xml:space="preserve"> </w:t>
      </w:r>
      <w:r w:rsidRPr="00C84023">
        <w:rPr>
          <w:rFonts w:cstheme="minorHAnsi"/>
          <w:w w:val="105"/>
        </w:rPr>
        <w:t>The</w:t>
      </w:r>
      <w:r w:rsidRPr="00C84023">
        <w:rPr>
          <w:rFonts w:cstheme="minorHAnsi"/>
          <w:spacing w:val="14"/>
          <w:w w:val="105"/>
        </w:rPr>
        <w:t xml:space="preserve"> </w:t>
      </w:r>
      <w:r w:rsidRPr="00C84023">
        <w:rPr>
          <w:rFonts w:cstheme="minorHAnsi"/>
          <w:w w:val="105"/>
        </w:rPr>
        <w:t>current</w:t>
      </w:r>
      <w:r w:rsidRPr="00C84023">
        <w:rPr>
          <w:rFonts w:cstheme="minorHAnsi"/>
          <w:spacing w:val="17"/>
          <w:w w:val="105"/>
        </w:rPr>
        <w:t xml:space="preserve"> </w:t>
      </w:r>
      <w:r w:rsidRPr="00C84023">
        <w:rPr>
          <w:rFonts w:cstheme="minorHAnsi"/>
          <w:w w:val="105"/>
        </w:rPr>
        <w:t>contract</w:t>
      </w:r>
      <w:r w:rsidRPr="00C84023">
        <w:rPr>
          <w:rFonts w:cstheme="minorHAnsi"/>
          <w:spacing w:val="13"/>
          <w:w w:val="105"/>
        </w:rPr>
        <w:t xml:space="preserve"> </w:t>
      </w:r>
      <w:r w:rsidRPr="00C84023">
        <w:rPr>
          <w:rFonts w:cstheme="minorHAnsi"/>
          <w:w w:val="105"/>
        </w:rPr>
        <w:t>period</w:t>
      </w:r>
      <w:r w:rsidRPr="00C84023">
        <w:rPr>
          <w:rFonts w:cstheme="minorHAnsi"/>
          <w:spacing w:val="13"/>
          <w:w w:val="105"/>
        </w:rPr>
        <w:t xml:space="preserve"> </w:t>
      </w:r>
      <w:r w:rsidRPr="00C84023">
        <w:rPr>
          <w:rFonts w:cstheme="minorHAnsi"/>
          <w:w w:val="105"/>
        </w:rPr>
        <w:t>for</w:t>
      </w:r>
      <w:r w:rsidRPr="00C84023">
        <w:rPr>
          <w:rFonts w:cstheme="minorHAnsi"/>
          <w:spacing w:val="13"/>
          <w:w w:val="105"/>
        </w:rPr>
        <w:t xml:space="preserve"> </w:t>
      </w:r>
      <w:r w:rsidRPr="00C84023">
        <w:rPr>
          <w:rFonts w:cstheme="minorHAnsi"/>
          <w:w w:val="105"/>
        </w:rPr>
        <w:t>using the</w:t>
      </w:r>
      <w:r w:rsidRPr="00C84023">
        <w:rPr>
          <w:rFonts w:cstheme="minorHAnsi"/>
          <w:spacing w:val="13"/>
          <w:w w:val="105"/>
        </w:rPr>
        <w:t xml:space="preserve"> </w:t>
      </w:r>
      <w:r w:rsidRPr="00C84023">
        <w:rPr>
          <w:rFonts w:cstheme="minorHAnsi"/>
          <w:w w:val="105"/>
        </w:rPr>
        <w:t>assessment</w:t>
      </w:r>
      <w:r w:rsidRPr="00C84023">
        <w:rPr>
          <w:rFonts w:cstheme="minorHAnsi"/>
          <w:spacing w:val="13"/>
          <w:w w:val="105"/>
        </w:rPr>
        <w:t xml:space="preserve"> </w:t>
      </w:r>
      <w:r w:rsidRPr="00C84023">
        <w:rPr>
          <w:rFonts w:cstheme="minorHAnsi"/>
          <w:w w:val="105"/>
        </w:rPr>
        <w:t>ran through</w:t>
      </w:r>
      <w:r w:rsidRPr="00C84023">
        <w:rPr>
          <w:rFonts w:cstheme="minorHAnsi"/>
          <w:spacing w:val="13"/>
          <w:w w:val="105"/>
        </w:rPr>
        <w:t xml:space="preserve"> </w:t>
      </w:r>
      <w:r w:rsidRPr="00C84023">
        <w:rPr>
          <w:rFonts w:cstheme="minorHAnsi"/>
          <w:w w:val="105"/>
        </w:rPr>
        <w:t>December</w:t>
      </w:r>
      <w:r w:rsidRPr="00C84023">
        <w:rPr>
          <w:rFonts w:cstheme="minorHAnsi"/>
          <w:spacing w:val="13"/>
          <w:w w:val="105"/>
        </w:rPr>
        <w:t xml:space="preserve"> </w:t>
      </w:r>
      <w:r w:rsidRPr="00C84023">
        <w:rPr>
          <w:rFonts w:cstheme="minorHAnsi"/>
          <w:w w:val="105"/>
        </w:rPr>
        <w:t>2017</w:t>
      </w:r>
      <w:r w:rsidRPr="00C84023">
        <w:rPr>
          <w:rFonts w:cstheme="minorHAnsi"/>
          <w:spacing w:val="13"/>
          <w:w w:val="105"/>
        </w:rPr>
        <w:t xml:space="preserve"> </w:t>
      </w:r>
      <w:r w:rsidRPr="00C84023">
        <w:rPr>
          <w:rFonts w:cstheme="minorHAnsi"/>
          <w:w w:val="105"/>
        </w:rPr>
        <w:t>and</w:t>
      </w:r>
      <w:r w:rsidRPr="00C84023">
        <w:rPr>
          <w:rFonts w:cstheme="minorHAnsi"/>
          <w:spacing w:val="13"/>
          <w:w w:val="105"/>
        </w:rPr>
        <w:t xml:space="preserve"> </w:t>
      </w:r>
      <w:r w:rsidRPr="00C84023">
        <w:rPr>
          <w:rFonts w:cstheme="minorHAnsi"/>
          <w:w w:val="105"/>
        </w:rPr>
        <w:t>may</w:t>
      </w:r>
      <w:r w:rsidRPr="00C84023">
        <w:rPr>
          <w:rFonts w:cstheme="minorHAnsi"/>
          <w:spacing w:val="13"/>
          <w:w w:val="105"/>
        </w:rPr>
        <w:t xml:space="preserve"> </w:t>
      </w:r>
      <w:r w:rsidRPr="00C84023">
        <w:rPr>
          <w:rFonts w:cstheme="minorHAnsi"/>
          <w:w w:val="105"/>
        </w:rPr>
        <w:t>be</w:t>
      </w:r>
      <w:r w:rsidRPr="00C84023">
        <w:rPr>
          <w:rFonts w:cstheme="minorHAnsi"/>
          <w:spacing w:val="13"/>
          <w:w w:val="105"/>
        </w:rPr>
        <w:t xml:space="preserve"> </w:t>
      </w:r>
      <w:r w:rsidRPr="00C84023">
        <w:rPr>
          <w:rFonts w:cstheme="minorHAnsi"/>
          <w:w w:val="105"/>
        </w:rPr>
        <w:t>extended</w:t>
      </w:r>
      <w:r w:rsidRPr="00C84023">
        <w:rPr>
          <w:rFonts w:cstheme="minorHAnsi"/>
          <w:spacing w:val="13"/>
          <w:w w:val="105"/>
        </w:rPr>
        <w:t xml:space="preserve"> </w:t>
      </w:r>
      <w:r w:rsidRPr="00C84023">
        <w:rPr>
          <w:rFonts w:cstheme="minorHAnsi"/>
          <w:w w:val="105"/>
        </w:rPr>
        <w:t>through December</w:t>
      </w:r>
      <w:r w:rsidRPr="00C84023">
        <w:rPr>
          <w:rFonts w:cstheme="minorHAnsi"/>
          <w:spacing w:val="20"/>
          <w:w w:val="105"/>
        </w:rPr>
        <w:t xml:space="preserve"> </w:t>
      </w:r>
      <w:r w:rsidRPr="00C84023">
        <w:rPr>
          <w:rFonts w:cstheme="minorHAnsi"/>
          <w:w w:val="105"/>
        </w:rPr>
        <w:t>2020</w:t>
      </w:r>
      <w:r w:rsidRPr="00C84023">
        <w:rPr>
          <w:rFonts w:cstheme="minorHAnsi"/>
          <w:spacing w:val="20"/>
          <w:w w:val="105"/>
        </w:rPr>
        <w:t xml:space="preserve"> </w:t>
      </w:r>
      <w:r w:rsidRPr="00C84023">
        <w:rPr>
          <w:rFonts w:cstheme="minorHAnsi"/>
          <w:w w:val="105"/>
        </w:rPr>
        <w:t>on</w:t>
      </w:r>
      <w:r w:rsidRPr="00C84023">
        <w:rPr>
          <w:rFonts w:cstheme="minorHAnsi"/>
          <w:spacing w:val="20"/>
          <w:w w:val="105"/>
        </w:rPr>
        <w:t xml:space="preserve"> </w:t>
      </w:r>
      <w:r w:rsidRPr="00C84023">
        <w:rPr>
          <w:rFonts w:cstheme="minorHAnsi"/>
          <w:w w:val="105"/>
        </w:rPr>
        <w:t>an</w:t>
      </w:r>
      <w:r w:rsidRPr="00C84023">
        <w:rPr>
          <w:rFonts w:cstheme="minorHAnsi"/>
          <w:spacing w:val="20"/>
          <w:w w:val="105"/>
        </w:rPr>
        <w:t xml:space="preserve"> </w:t>
      </w:r>
      <w:r w:rsidRPr="00C84023">
        <w:rPr>
          <w:rFonts w:cstheme="minorHAnsi"/>
          <w:w w:val="105"/>
        </w:rPr>
        <w:t>annual</w:t>
      </w:r>
      <w:r w:rsidRPr="00C84023">
        <w:rPr>
          <w:rFonts w:cstheme="minorHAnsi"/>
          <w:spacing w:val="20"/>
          <w:w w:val="105"/>
        </w:rPr>
        <w:t xml:space="preserve"> </w:t>
      </w:r>
      <w:r w:rsidRPr="00C84023">
        <w:rPr>
          <w:rFonts w:cstheme="minorHAnsi"/>
          <w:w w:val="105"/>
        </w:rPr>
        <w:t>basis.</w:t>
      </w:r>
      <w:r w:rsidRPr="00C84023">
        <w:rPr>
          <w:rFonts w:cstheme="minorHAnsi"/>
          <w:spacing w:val="20"/>
          <w:w w:val="105"/>
        </w:rPr>
        <w:t xml:space="preserve"> </w:t>
      </w:r>
      <w:r w:rsidRPr="00C84023">
        <w:rPr>
          <w:rFonts w:cstheme="minorHAnsi"/>
          <w:w w:val="105"/>
        </w:rPr>
        <w:t>All</w:t>
      </w:r>
      <w:r w:rsidRPr="00C84023">
        <w:rPr>
          <w:rFonts w:cstheme="minorHAnsi"/>
          <w:spacing w:val="20"/>
          <w:w w:val="105"/>
        </w:rPr>
        <w:t xml:space="preserve"> </w:t>
      </w:r>
      <w:r w:rsidRPr="00C84023">
        <w:rPr>
          <w:rFonts w:cstheme="minorHAnsi"/>
          <w:w w:val="105"/>
        </w:rPr>
        <w:t>high</w:t>
      </w:r>
      <w:r w:rsidRPr="00C84023">
        <w:rPr>
          <w:rFonts w:cstheme="minorHAnsi"/>
          <w:spacing w:val="20"/>
          <w:w w:val="105"/>
        </w:rPr>
        <w:t xml:space="preserve"> </w:t>
      </w:r>
      <w:r w:rsidRPr="00C84023">
        <w:rPr>
          <w:rFonts w:cstheme="minorHAnsi"/>
          <w:w w:val="105"/>
        </w:rPr>
        <w:t>school</w:t>
      </w:r>
      <w:r w:rsidRPr="00C84023">
        <w:rPr>
          <w:rFonts w:cstheme="minorHAnsi"/>
          <w:spacing w:val="20"/>
          <w:w w:val="105"/>
        </w:rPr>
        <w:t xml:space="preserve"> </w:t>
      </w:r>
      <w:r w:rsidRPr="00C84023">
        <w:rPr>
          <w:rFonts w:cstheme="minorHAnsi"/>
          <w:w w:val="105"/>
        </w:rPr>
        <w:t>equivalency</w:t>
      </w:r>
      <w:r w:rsidRPr="00C84023">
        <w:rPr>
          <w:rFonts w:cstheme="minorHAnsi"/>
          <w:spacing w:val="20"/>
          <w:w w:val="105"/>
        </w:rPr>
        <w:t xml:space="preserve"> </w:t>
      </w:r>
      <w:r w:rsidRPr="00C84023">
        <w:rPr>
          <w:rFonts w:cstheme="minorHAnsi"/>
          <w:w w:val="105"/>
        </w:rPr>
        <w:t>diploma</w:t>
      </w:r>
      <w:r w:rsidRPr="00C84023">
        <w:rPr>
          <w:rFonts w:cstheme="minorHAnsi"/>
          <w:spacing w:val="20"/>
          <w:w w:val="105"/>
        </w:rPr>
        <w:t xml:space="preserve"> </w:t>
      </w:r>
      <w:r w:rsidRPr="00C84023">
        <w:rPr>
          <w:rFonts w:cstheme="minorHAnsi"/>
          <w:w w:val="105"/>
        </w:rPr>
        <w:t>state</w:t>
      </w:r>
      <w:r w:rsidRPr="00C84023">
        <w:rPr>
          <w:rFonts w:cstheme="minorHAnsi"/>
          <w:spacing w:val="20"/>
          <w:w w:val="105"/>
        </w:rPr>
        <w:t xml:space="preserve"> </w:t>
      </w:r>
      <w:r w:rsidRPr="00C84023">
        <w:rPr>
          <w:rFonts w:cstheme="minorHAnsi"/>
          <w:w w:val="105"/>
        </w:rPr>
        <w:t>curriculum</w:t>
      </w:r>
      <w:r w:rsidRPr="00C84023">
        <w:rPr>
          <w:rFonts w:cstheme="minorHAnsi"/>
          <w:spacing w:val="20"/>
          <w:w w:val="105"/>
        </w:rPr>
        <w:t xml:space="preserve"> </w:t>
      </w:r>
      <w:r w:rsidRPr="00C84023">
        <w:rPr>
          <w:rFonts w:cstheme="minorHAnsi"/>
          <w:w w:val="105"/>
        </w:rPr>
        <w:t>is</w:t>
      </w:r>
      <w:r w:rsidRPr="00C84023">
        <w:rPr>
          <w:rFonts w:cstheme="minorHAnsi"/>
          <w:spacing w:val="20"/>
          <w:w w:val="105"/>
        </w:rPr>
        <w:t xml:space="preserve"> </w:t>
      </w:r>
      <w:r w:rsidRPr="00C84023">
        <w:rPr>
          <w:rFonts w:cstheme="minorHAnsi"/>
          <w:w w:val="105"/>
        </w:rPr>
        <w:t>aligned</w:t>
      </w:r>
      <w:r w:rsidRPr="00C84023">
        <w:rPr>
          <w:rFonts w:cstheme="minorHAnsi"/>
          <w:spacing w:val="20"/>
          <w:w w:val="105"/>
        </w:rPr>
        <w:t xml:space="preserve"> </w:t>
      </w:r>
      <w:r w:rsidRPr="00C84023">
        <w:rPr>
          <w:rFonts w:cstheme="minorHAnsi"/>
          <w:w w:val="105"/>
        </w:rPr>
        <w:t>to</w:t>
      </w:r>
      <w:r w:rsidRPr="00C84023">
        <w:rPr>
          <w:rFonts w:cstheme="minorHAnsi"/>
          <w:spacing w:val="20"/>
          <w:w w:val="105"/>
        </w:rPr>
        <w:t xml:space="preserve"> </w:t>
      </w:r>
      <w:r w:rsidRPr="00C84023">
        <w:rPr>
          <w:rFonts w:cstheme="minorHAnsi"/>
          <w:w w:val="105"/>
        </w:rPr>
        <w:t>content</w:t>
      </w:r>
      <w:r w:rsidRPr="00C84023">
        <w:rPr>
          <w:rFonts w:cstheme="minorHAnsi"/>
          <w:spacing w:val="10"/>
          <w:w w:val="105"/>
        </w:rPr>
        <w:t xml:space="preserve"> </w:t>
      </w:r>
      <w:r w:rsidRPr="00C84023">
        <w:rPr>
          <w:rFonts w:cstheme="minorHAnsi"/>
          <w:w w:val="105"/>
        </w:rPr>
        <w:t>standards</w:t>
      </w:r>
      <w:r w:rsidRPr="00C84023">
        <w:rPr>
          <w:rFonts w:cstheme="minorHAnsi"/>
          <w:spacing w:val="10"/>
          <w:w w:val="105"/>
        </w:rPr>
        <w:t xml:space="preserve"> </w:t>
      </w:r>
      <w:r w:rsidRPr="00C84023">
        <w:rPr>
          <w:rFonts w:cstheme="minorHAnsi"/>
          <w:w w:val="105"/>
        </w:rPr>
        <w:t>for</w:t>
      </w:r>
      <w:r w:rsidRPr="00C84023">
        <w:rPr>
          <w:rFonts w:cstheme="minorHAnsi"/>
          <w:spacing w:val="10"/>
          <w:w w:val="105"/>
        </w:rPr>
        <w:t xml:space="preserve"> </w:t>
      </w:r>
      <w:r w:rsidRPr="00C84023">
        <w:rPr>
          <w:rFonts w:cstheme="minorHAnsi"/>
          <w:w w:val="105"/>
        </w:rPr>
        <w:t>this</w:t>
      </w:r>
      <w:r w:rsidRPr="00C84023">
        <w:rPr>
          <w:rFonts w:cstheme="minorHAnsi"/>
          <w:spacing w:val="10"/>
          <w:w w:val="105"/>
        </w:rPr>
        <w:t xml:space="preserve"> </w:t>
      </w:r>
      <w:r w:rsidRPr="00C84023">
        <w:rPr>
          <w:rFonts w:cstheme="minorHAnsi"/>
          <w:w w:val="105"/>
        </w:rPr>
        <w:t>assessment.</w:t>
      </w:r>
      <w:r w:rsidRPr="00C84023">
        <w:rPr>
          <w:rFonts w:cstheme="minorHAnsi"/>
          <w:spacing w:val="10"/>
          <w:w w:val="105"/>
        </w:rPr>
        <w:t xml:space="preserve"> </w:t>
      </w:r>
      <w:r w:rsidRPr="00C84023">
        <w:rPr>
          <w:rFonts w:cstheme="minorHAnsi"/>
          <w:w w:val="105"/>
        </w:rPr>
        <w:t>Future</w:t>
      </w:r>
      <w:r w:rsidRPr="00C84023">
        <w:rPr>
          <w:rFonts w:cstheme="minorHAnsi"/>
          <w:spacing w:val="10"/>
          <w:w w:val="105"/>
        </w:rPr>
        <w:t xml:space="preserve"> </w:t>
      </w:r>
      <w:r w:rsidRPr="00C84023">
        <w:rPr>
          <w:rFonts w:cstheme="minorHAnsi"/>
          <w:w w:val="105"/>
        </w:rPr>
        <w:t>competitive</w:t>
      </w:r>
      <w:r w:rsidRPr="00C84023">
        <w:rPr>
          <w:rFonts w:cstheme="minorHAnsi"/>
          <w:spacing w:val="10"/>
          <w:w w:val="105"/>
        </w:rPr>
        <w:t xml:space="preserve"> </w:t>
      </w:r>
      <w:r w:rsidRPr="00C84023">
        <w:rPr>
          <w:rFonts w:cstheme="minorHAnsi"/>
          <w:w w:val="105"/>
        </w:rPr>
        <w:t>procurements</w:t>
      </w:r>
      <w:r w:rsidRPr="00C84023">
        <w:rPr>
          <w:rFonts w:cstheme="minorHAnsi"/>
          <w:spacing w:val="10"/>
          <w:w w:val="105"/>
        </w:rPr>
        <w:t xml:space="preserve"> </w:t>
      </w:r>
      <w:r w:rsidRPr="00C84023">
        <w:rPr>
          <w:rFonts w:cstheme="minorHAnsi"/>
          <w:w w:val="105"/>
        </w:rPr>
        <w:t>require</w:t>
      </w:r>
      <w:r w:rsidRPr="00C84023">
        <w:rPr>
          <w:rFonts w:cstheme="minorHAnsi"/>
          <w:spacing w:val="10"/>
          <w:w w:val="105"/>
        </w:rPr>
        <w:t xml:space="preserve"> </w:t>
      </w:r>
      <w:r w:rsidRPr="00C84023">
        <w:rPr>
          <w:rFonts w:cstheme="minorHAnsi"/>
          <w:w w:val="105"/>
        </w:rPr>
        <w:t>the</w:t>
      </w:r>
      <w:r w:rsidRPr="00C84023">
        <w:rPr>
          <w:rFonts w:cstheme="minorHAnsi"/>
          <w:spacing w:val="10"/>
          <w:w w:val="105"/>
        </w:rPr>
        <w:t xml:space="preserve"> </w:t>
      </w:r>
      <w:r w:rsidRPr="00C84023">
        <w:rPr>
          <w:rFonts w:cstheme="minorHAnsi"/>
          <w:w w:val="105"/>
        </w:rPr>
        <w:t>assessment be</w:t>
      </w:r>
      <w:r w:rsidRPr="00C84023">
        <w:rPr>
          <w:rFonts w:cstheme="minorHAnsi"/>
          <w:spacing w:val="23"/>
          <w:w w:val="105"/>
        </w:rPr>
        <w:t xml:space="preserve"> </w:t>
      </w:r>
      <w:r w:rsidRPr="00C84023">
        <w:rPr>
          <w:rFonts w:cstheme="minorHAnsi"/>
          <w:w w:val="105"/>
        </w:rPr>
        <w:t>based</w:t>
      </w:r>
      <w:r w:rsidRPr="00C84023">
        <w:rPr>
          <w:rFonts w:cstheme="minorHAnsi"/>
          <w:spacing w:val="23"/>
          <w:w w:val="105"/>
        </w:rPr>
        <w:t xml:space="preserve"> </w:t>
      </w:r>
      <w:r w:rsidRPr="00C84023">
        <w:rPr>
          <w:rFonts w:cstheme="minorHAnsi"/>
          <w:w w:val="105"/>
        </w:rPr>
        <w:t>upon</w:t>
      </w:r>
      <w:r w:rsidRPr="00C84023">
        <w:rPr>
          <w:rFonts w:cstheme="minorHAnsi"/>
          <w:spacing w:val="23"/>
          <w:w w:val="105"/>
        </w:rPr>
        <w:t xml:space="preserve"> </w:t>
      </w:r>
      <w:r w:rsidRPr="00C84023">
        <w:rPr>
          <w:rFonts w:cstheme="minorHAnsi"/>
          <w:w w:val="105"/>
        </w:rPr>
        <w:t>Florida’s</w:t>
      </w:r>
      <w:r w:rsidRPr="00C84023">
        <w:rPr>
          <w:rFonts w:cstheme="minorHAnsi"/>
          <w:spacing w:val="23"/>
          <w:w w:val="105"/>
        </w:rPr>
        <w:t xml:space="preserve"> </w:t>
      </w:r>
      <w:r w:rsidRPr="00C84023">
        <w:rPr>
          <w:rFonts w:cstheme="minorHAnsi"/>
          <w:w w:val="105"/>
        </w:rPr>
        <w:t>academic</w:t>
      </w:r>
      <w:r w:rsidRPr="00C84023">
        <w:rPr>
          <w:rFonts w:cstheme="minorHAnsi"/>
          <w:spacing w:val="23"/>
          <w:w w:val="105"/>
        </w:rPr>
        <w:t xml:space="preserve"> </w:t>
      </w:r>
      <w:r w:rsidRPr="00C84023">
        <w:rPr>
          <w:rFonts w:cstheme="minorHAnsi"/>
          <w:w w:val="105"/>
        </w:rPr>
        <w:t>content</w:t>
      </w:r>
      <w:r w:rsidRPr="00C84023">
        <w:rPr>
          <w:rFonts w:cstheme="minorHAnsi"/>
          <w:spacing w:val="23"/>
          <w:w w:val="105"/>
        </w:rPr>
        <w:t xml:space="preserve"> </w:t>
      </w:r>
      <w:r w:rsidRPr="00C84023">
        <w:rPr>
          <w:rFonts w:cstheme="minorHAnsi"/>
          <w:w w:val="105"/>
        </w:rPr>
        <w:t>standards</w:t>
      </w:r>
      <w:r w:rsidRPr="00C84023">
        <w:rPr>
          <w:rFonts w:cstheme="minorHAnsi"/>
          <w:spacing w:val="23"/>
          <w:w w:val="105"/>
        </w:rPr>
        <w:t xml:space="preserve"> </w:t>
      </w:r>
      <w:r w:rsidRPr="00C84023">
        <w:rPr>
          <w:rFonts w:cstheme="minorHAnsi"/>
          <w:w w:val="105"/>
        </w:rPr>
        <w:t>for</w:t>
      </w:r>
      <w:r w:rsidRPr="00C84023">
        <w:rPr>
          <w:rFonts w:cstheme="minorHAnsi"/>
          <w:spacing w:val="23"/>
          <w:w w:val="105"/>
        </w:rPr>
        <w:t xml:space="preserve"> </w:t>
      </w:r>
      <w:r w:rsidRPr="00C84023">
        <w:rPr>
          <w:rFonts w:cstheme="minorHAnsi"/>
          <w:w w:val="105"/>
        </w:rPr>
        <w:t>high</w:t>
      </w:r>
      <w:r w:rsidRPr="00C84023">
        <w:rPr>
          <w:rFonts w:cstheme="minorHAnsi"/>
          <w:spacing w:val="23"/>
          <w:w w:val="105"/>
        </w:rPr>
        <w:t xml:space="preserve"> </w:t>
      </w:r>
      <w:r w:rsidRPr="00C84023">
        <w:rPr>
          <w:rFonts w:cstheme="minorHAnsi"/>
          <w:w w:val="105"/>
        </w:rPr>
        <w:t>school</w:t>
      </w:r>
      <w:r w:rsidRPr="00C84023">
        <w:rPr>
          <w:rFonts w:cstheme="minorHAnsi"/>
          <w:spacing w:val="23"/>
          <w:w w:val="105"/>
        </w:rPr>
        <w:t xml:space="preserve"> </w:t>
      </w:r>
      <w:r w:rsidRPr="00C84023">
        <w:rPr>
          <w:rFonts w:cstheme="minorHAnsi"/>
          <w:w w:val="105"/>
        </w:rPr>
        <w:t>graduates.</w:t>
      </w:r>
    </w:p>
    <w:p w14:paraId="31E97CC8" w14:textId="77777777" w:rsidR="00EA7458" w:rsidRPr="00C84023" w:rsidRDefault="00EA7458" w:rsidP="00D63204">
      <w:pPr>
        <w:widowControl w:val="0"/>
        <w:spacing w:after="0" w:line="264" w:lineRule="exact"/>
        <w:ind w:left="90"/>
        <w:rPr>
          <w:rFonts w:cstheme="minorHAnsi"/>
        </w:rPr>
        <w:sectPr w:rsidR="00EA7458" w:rsidRPr="00C84023">
          <w:footerReference w:type="default" r:id="rId160"/>
          <w:pgSz w:w="12240" w:h="15840"/>
          <w:pgMar w:top="1620" w:right="900" w:bottom="820" w:left="900" w:header="812" w:footer="624" w:gutter="0"/>
          <w:pgNumType w:start="130"/>
          <w:cols w:space="720"/>
        </w:sectPr>
      </w:pPr>
    </w:p>
    <w:p w14:paraId="6564D8F3" w14:textId="77777777" w:rsidR="00EA7458" w:rsidRPr="00C84023" w:rsidRDefault="00EA7458" w:rsidP="00D63204">
      <w:pPr>
        <w:widowControl w:val="0"/>
        <w:spacing w:before="5" w:after="0" w:line="240" w:lineRule="auto"/>
        <w:ind w:left="90"/>
        <w:rPr>
          <w:rFonts w:cstheme="minorHAnsi"/>
          <w:sz w:val="14"/>
          <w:szCs w:val="14"/>
        </w:rPr>
      </w:pPr>
    </w:p>
    <w:p w14:paraId="68E3D4E1" w14:textId="1877FCE4" w:rsidR="00EA7458" w:rsidRPr="00493CD4" w:rsidRDefault="00EA7458" w:rsidP="00D63204">
      <w:pPr>
        <w:pStyle w:val="ListParagraph"/>
        <w:widowControl w:val="0"/>
        <w:numPr>
          <w:ilvl w:val="0"/>
          <w:numId w:val="45"/>
        </w:numPr>
        <w:spacing w:before="50" w:after="0" w:line="240" w:lineRule="auto"/>
        <w:outlineLvl w:val="1"/>
        <w:rPr>
          <w:rFonts w:cstheme="minorHAnsi"/>
          <w:color w:val="1F497D" w:themeColor="text2"/>
          <w:sz w:val="26"/>
          <w:szCs w:val="26"/>
        </w:rPr>
      </w:pPr>
      <w:bookmarkStart w:id="126" w:name="(b)_Local_Activities__"/>
      <w:bookmarkStart w:id="127" w:name="_bookmark68"/>
      <w:bookmarkEnd w:id="126"/>
      <w:bookmarkEnd w:id="127"/>
      <w:r w:rsidRPr="00493CD4">
        <w:rPr>
          <w:rFonts w:cstheme="minorHAnsi"/>
          <w:b/>
          <w:bCs/>
          <w:color w:val="1F497D" w:themeColor="text2"/>
          <w:w w:val="110"/>
          <w:sz w:val="26"/>
          <w:szCs w:val="26"/>
        </w:rPr>
        <w:t>Local</w:t>
      </w:r>
      <w:r w:rsidRPr="00493CD4">
        <w:rPr>
          <w:rFonts w:cstheme="minorHAnsi"/>
          <w:b/>
          <w:bCs/>
          <w:color w:val="1F497D" w:themeColor="text2"/>
          <w:spacing w:val="1"/>
          <w:w w:val="110"/>
          <w:sz w:val="26"/>
          <w:szCs w:val="26"/>
        </w:rPr>
        <w:t xml:space="preserve"> </w:t>
      </w:r>
      <w:r w:rsidRPr="00493CD4">
        <w:rPr>
          <w:rFonts w:cstheme="minorHAnsi"/>
          <w:b/>
          <w:bCs/>
          <w:color w:val="1F497D" w:themeColor="text2"/>
          <w:w w:val="110"/>
          <w:sz w:val="26"/>
          <w:szCs w:val="26"/>
        </w:rPr>
        <w:t>Activities</w:t>
      </w:r>
    </w:p>
    <w:p w14:paraId="278F49D7" w14:textId="7AB118BC" w:rsidR="00751FC0" w:rsidRPr="00C84023" w:rsidRDefault="00751FC0" w:rsidP="00D63204">
      <w:pPr>
        <w:widowControl w:val="0"/>
        <w:spacing w:before="183" w:after="0" w:line="264" w:lineRule="exact"/>
        <w:ind w:left="90"/>
        <w:rPr>
          <w:rFonts w:cstheme="minorHAnsi"/>
          <w:color w:val="231F20"/>
          <w:w w:val="105"/>
        </w:rPr>
      </w:pPr>
      <w:r w:rsidRPr="00C84023">
        <w:rPr>
          <w:rFonts w:cstheme="minorHAnsi"/>
          <w:color w:val="231F20"/>
          <w:w w:val="105"/>
        </w:rPr>
        <w:t>In accordance with Section 231 under Title II Adult Education and Literacy Act of WIOA, the DCAE awards multi-year grants to eligible providers of adult education services through a continuation process for 2016-2017 and a competitive process for 2017-2018 in early spring of 2017. This includes awarded grant projects funded under Section 225 - Corrections and Other Institutionalized. Family literacy programs are optional. 13</w:t>
      </w:r>
      <w:r w:rsidRPr="00C84023">
        <w:rPr>
          <w:rFonts w:cstheme="minorHAnsi"/>
          <w:color w:val="231F20"/>
          <w:spacing w:val="9"/>
          <w:w w:val="105"/>
        </w:rPr>
        <w:t xml:space="preserve"> </w:t>
      </w:r>
      <w:r w:rsidRPr="00C84023">
        <w:rPr>
          <w:rFonts w:cstheme="minorHAnsi"/>
          <w:color w:val="231F20"/>
          <w:w w:val="105"/>
        </w:rPr>
        <w:t>considerations</w:t>
      </w:r>
      <w:r w:rsidRPr="00C84023">
        <w:rPr>
          <w:rFonts w:cstheme="minorHAnsi"/>
          <w:color w:val="231F20"/>
          <w:spacing w:val="9"/>
          <w:w w:val="105"/>
        </w:rPr>
        <w:t xml:space="preserve"> </w:t>
      </w:r>
      <w:r w:rsidRPr="00C84023">
        <w:rPr>
          <w:rFonts w:cstheme="minorHAnsi"/>
          <w:color w:val="231F20"/>
          <w:w w:val="105"/>
        </w:rPr>
        <w:t>are incorporated</w:t>
      </w:r>
      <w:r w:rsidRPr="00C84023">
        <w:rPr>
          <w:rFonts w:cstheme="minorHAnsi"/>
          <w:color w:val="231F20"/>
          <w:spacing w:val="9"/>
          <w:w w:val="105"/>
        </w:rPr>
        <w:t xml:space="preserve"> </w:t>
      </w:r>
      <w:r w:rsidRPr="00C84023">
        <w:rPr>
          <w:rFonts w:cstheme="minorHAnsi"/>
          <w:color w:val="231F20"/>
          <w:w w:val="105"/>
        </w:rPr>
        <w:t>into</w:t>
      </w:r>
      <w:r w:rsidRPr="00C84023">
        <w:rPr>
          <w:rFonts w:cstheme="minorHAnsi"/>
          <w:color w:val="231F20"/>
          <w:spacing w:val="9"/>
          <w:w w:val="105"/>
        </w:rPr>
        <w:t xml:space="preserve"> </w:t>
      </w:r>
      <w:r w:rsidRPr="00C84023">
        <w:rPr>
          <w:rFonts w:cstheme="minorHAnsi"/>
          <w:color w:val="231F20"/>
          <w:w w:val="105"/>
        </w:rPr>
        <w:t>the</w:t>
      </w:r>
      <w:r w:rsidRPr="00C84023">
        <w:rPr>
          <w:rFonts w:cstheme="minorHAnsi"/>
          <w:color w:val="231F20"/>
          <w:spacing w:val="9"/>
          <w:w w:val="105"/>
        </w:rPr>
        <w:t xml:space="preserve"> </w:t>
      </w:r>
      <w:r w:rsidRPr="00C84023">
        <w:rPr>
          <w:rFonts w:cstheme="minorHAnsi"/>
          <w:color w:val="231F20"/>
          <w:w w:val="105"/>
        </w:rPr>
        <w:t>state’s</w:t>
      </w:r>
      <w:r w:rsidRPr="00C84023">
        <w:rPr>
          <w:rFonts w:cstheme="minorHAnsi"/>
          <w:color w:val="231F20"/>
          <w:spacing w:val="9"/>
          <w:w w:val="105"/>
        </w:rPr>
        <w:t xml:space="preserve"> </w:t>
      </w:r>
      <w:r w:rsidRPr="00C84023">
        <w:rPr>
          <w:rFonts w:cstheme="minorHAnsi"/>
          <w:color w:val="231F20"/>
          <w:w w:val="105"/>
        </w:rPr>
        <w:t>RFPs</w:t>
      </w:r>
      <w:r w:rsidRPr="00C84023">
        <w:rPr>
          <w:rFonts w:cstheme="minorHAnsi"/>
          <w:color w:val="231F20"/>
          <w:spacing w:val="-46"/>
          <w:w w:val="105"/>
        </w:rPr>
        <w:t xml:space="preserve"> </w:t>
      </w:r>
      <w:r w:rsidRPr="00C84023">
        <w:rPr>
          <w:rFonts w:cstheme="minorHAnsi"/>
          <w:color w:val="231F20"/>
          <w:w w:val="105"/>
        </w:rPr>
        <w:t>to</w:t>
      </w:r>
      <w:r w:rsidRPr="00C84023">
        <w:rPr>
          <w:rFonts w:cstheme="minorHAnsi"/>
          <w:color w:val="231F20"/>
          <w:spacing w:val="8"/>
          <w:w w:val="105"/>
        </w:rPr>
        <w:t xml:space="preserve"> </w:t>
      </w:r>
      <w:r w:rsidRPr="00C84023">
        <w:rPr>
          <w:rFonts w:cstheme="minorHAnsi"/>
          <w:color w:val="231F20"/>
          <w:w w:val="105"/>
        </w:rPr>
        <w:t>ensure</w:t>
      </w:r>
      <w:r w:rsidRPr="00C84023">
        <w:rPr>
          <w:rFonts w:cstheme="minorHAnsi"/>
          <w:color w:val="231F20"/>
          <w:spacing w:val="8"/>
          <w:w w:val="105"/>
        </w:rPr>
        <w:t xml:space="preserve"> </w:t>
      </w:r>
      <w:r w:rsidRPr="00C84023">
        <w:rPr>
          <w:rFonts w:cstheme="minorHAnsi"/>
          <w:color w:val="231F20"/>
          <w:w w:val="105"/>
        </w:rPr>
        <w:t>the</w:t>
      </w:r>
      <w:r w:rsidRPr="00C84023">
        <w:rPr>
          <w:rFonts w:cstheme="minorHAnsi"/>
          <w:color w:val="231F20"/>
          <w:spacing w:val="8"/>
          <w:w w:val="105"/>
        </w:rPr>
        <w:t xml:space="preserve"> </w:t>
      </w:r>
      <w:r w:rsidRPr="00C84023">
        <w:rPr>
          <w:rFonts w:cstheme="minorHAnsi"/>
          <w:color w:val="231F20"/>
          <w:w w:val="105"/>
        </w:rPr>
        <w:t>state</w:t>
      </w:r>
      <w:r w:rsidRPr="00C84023">
        <w:rPr>
          <w:rFonts w:cstheme="minorHAnsi"/>
          <w:color w:val="231F20"/>
          <w:spacing w:val="8"/>
          <w:w w:val="105"/>
        </w:rPr>
        <w:t xml:space="preserve"> </w:t>
      </w:r>
      <w:r w:rsidRPr="00C84023">
        <w:rPr>
          <w:rFonts w:cstheme="minorHAnsi"/>
          <w:color w:val="231F20"/>
          <w:w w:val="105"/>
        </w:rPr>
        <w:t>complies with</w:t>
      </w:r>
      <w:r w:rsidRPr="00C84023">
        <w:rPr>
          <w:rFonts w:cstheme="minorHAnsi"/>
          <w:color w:val="231F20"/>
          <w:spacing w:val="8"/>
          <w:w w:val="105"/>
        </w:rPr>
        <w:t xml:space="preserve"> </w:t>
      </w:r>
      <w:r w:rsidRPr="00C84023">
        <w:rPr>
          <w:rFonts w:cstheme="minorHAnsi"/>
          <w:color w:val="231F20"/>
          <w:w w:val="105"/>
        </w:rPr>
        <w:t>each</w:t>
      </w:r>
      <w:r w:rsidRPr="00C84023">
        <w:rPr>
          <w:rFonts w:cstheme="minorHAnsi"/>
          <w:color w:val="231F20"/>
          <w:spacing w:val="8"/>
          <w:w w:val="105"/>
        </w:rPr>
        <w:t xml:space="preserve"> </w:t>
      </w:r>
      <w:r w:rsidRPr="00C84023">
        <w:rPr>
          <w:rFonts w:cstheme="minorHAnsi"/>
          <w:color w:val="231F20"/>
          <w:w w:val="105"/>
        </w:rPr>
        <w:t>element.</w:t>
      </w:r>
      <w:r w:rsidRPr="00C84023">
        <w:rPr>
          <w:rFonts w:cstheme="minorHAnsi"/>
          <w:color w:val="231F20"/>
          <w:spacing w:val="8"/>
          <w:w w:val="105"/>
        </w:rPr>
        <w:t xml:space="preserve"> </w:t>
      </w:r>
      <w:r w:rsidRPr="00C84023">
        <w:rPr>
          <w:rFonts w:cstheme="minorHAnsi"/>
          <w:color w:val="231F20"/>
          <w:w w:val="105"/>
        </w:rPr>
        <w:t>Applicants</w:t>
      </w:r>
      <w:r w:rsidRPr="00C84023">
        <w:rPr>
          <w:rFonts w:cstheme="minorHAnsi"/>
          <w:color w:val="231F20"/>
          <w:spacing w:val="8"/>
          <w:w w:val="105"/>
        </w:rPr>
        <w:t xml:space="preserve"> </w:t>
      </w:r>
      <w:r w:rsidRPr="00C84023">
        <w:rPr>
          <w:rFonts w:cstheme="minorHAnsi"/>
          <w:color w:val="231F20"/>
          <w:w w:val="105"/>
        </w:rPr>
        <w:t>are evaluated</w:t>
      </w:r>
      <w:r w:rsidRPr="00C84023">
        <w:rPr>
          <w:rFonts w:cstheme="minorHAnsi"/>
          <w:color w:val="231F20"/>
          <w:spacing w:val="8"/>
          <w:w w:val="105"/>
        </w:rPr>
        <w:t xml:space="preserve"> </w:t>
      </w:r>
      <w:r w:rsidRPr="00C84023">
        <w:rPr>
          <w:rFonts w:cstheme="minorHAnsi"/>
          <w:color w:val="231F20"/>
          <w:w w:val="105"/>
        </w:rPr>
        <w:t>on</w:t>
      </w:r>
      <w:r w:rsidRPr="00C84023">
        <w:rPr>
          <w:rFonts w:cstheme="minorHAnsi"/>
          <w:color w:val="231F20"/>
          <w:spacing w:val="8"/>
          <w:w w:val="105"/>
        </w:rPr>
        <w:t xml:space="preserve"> </w:t>
      </w:r>
      <w:r w:rsidRPr="00C84023">
        <w:rPr>
          <w:rFonts w:cstheme="minorHAnsi"/>
          <w:color w:val="231F20"/>
          <w:w w:val="105"/>
        </w:rPr>
        <w:t>their</w:t>
      </w:r>
      <w:r w:rsidRPr="00C84023">
        <w:rPr>
          <w:rFonts w:cstheme="minorHAnsi"/>
          <w:color w:val="231F20"/>
          <w:spacing w:val="-45"/>
          <w:w w:val="105"/>
        </w:rPr>
        <w:t xml:space="preserve"> </w:t>
      </w:r>
      <w:r w:rsidRPr="00C84023">
        <w:rPr>
          <w:rFonts w:cstheme="minorHAnsi"/>
          <w:color w:val="231F20"/>
          <w:w w:val="105"/>
        </w:rPr>
        <w:t>ability</w:t>
      </w:r>
      <w:r w:rsidRPr="00C84023">
        <w:rPr>
          <w:rFonts w:cstheme="minorHAnsi"/>
          <w:color w:val="231F20"/>
          <w:spacing w:val="5"/>
          <w:w w:val="105"/>
        </w:rPr>
        <w:t xml:space="preserve"> </w:t>
      </w:r>
      <w:r w:rsidRPr="00C84023">
        <w:rPr>
          <w:rFonts w:cstheme="minorHAnsi"/>
          <w:color w:val="231F20"/>
          <w:w w:val="105"/>
        </w:rPr>
        <w:t>to</w:t>
      </w:r>
      <w:r w:rsidRPr="00C84023">
        <w:rPr>
          <w:rFonts w:cstheme="minorHAnsi"/>
          <w:color w:val="231F20"/>
          <w:spacing w:val="5"/>
          <w:w w:val="105"/>
        </w:rPr>
        <w:t xml:space="preserve"> </w:t>
      </w:r>
      <w:r w:rsidRPr="00C84023">
        <w:rPr>
          <w:rFonts w:cstheme="minorHAnsi"/>
          <w:color w:val="231F20"/>
          <w:w w:val="105"/>
        </w:rPr>
        <w:t>meet</w:t>
      </w:r>
      <w:r w:rsidRPr="00C84023">
        <w:rPr>
          <w:rFonts w:cstheme="minorHAnsi"/>
          <w:color w:val="231F20"/>
          <w:spacing w:val="5"/>
          <w:w w:val="105"/>
        </w:rPr>
        <w:t xml:space="preserve"> </w:t>
      </w:r>
      <w:r w:rsidRPr="00C84023">
        <w:rPr>
          <w:rFonts w:cstheme="minorHAnsi"/>
          <w:color w:val="231F20"/>
          <w:w w:val="105"/>
        </w:rPr>
        <w:t>literacy</w:t>
      </w:r>
      <w:r w:rsidRPr="00C84023">
        <w:rPr>
          <w:rFonts w:cstheme="minorHAnsi"/>
          <w:color w:val="231F20"/>
          <w:spacing w:val="5"/>
          <w:w w:val="105"/>
        </w:rPr>
        <w:t xml:space="preserve"> </w:t>
      </w:r>
      <w:r w:rsidRPr="00C84023">
        <w:rPr>
          <w:rFonts w:cstheme="minorHAnsi"/>
          <w:color w:val="231F20"/>
          <w:w w:val="105"/>
        </w:rPr>
        <w:t>needs</w:t>
      </w:r>
      <w:r w:rsidRPr="00C84023">
        <w:rPr>
          <w:rFonts w:cstheme="minorHAnsi"/>
          <w:color w:val="231F20"/>
          <w:spacing w:val="5"/>
          <w:w w:val="105"/>
        </w:rPr>
        <w:t xml:space="preserve"> </w:t>
      </w:r>
      <w:r w:rsidRPr="00C84023">
        <w:rPr>
          <w:rFonts w:cstheme="minorHAnsi"/>
          <w:color w:val="231F20"/>
          <w:w w:val="105"/>
        </w:rPr>
        <w:t>of</w:t>
      </w:r>
      <w:r w:rsidRPr="00C84023">
        <w:rPr>
          <w:rFonts w:cstheme="minorHAnsi"/>
          <w:color w:val="231F20"/>
          <w:spacing w:val="5"/>
          <w:w w:val="105"/>
        </w:rPr>
        <w:t xml:space="preserve"> </w:t>
      </w:r>
      <w:r w:rsidRPr="00C84023">
        <w:rPr>
          <w:rFonts w:cstheme="minorHAnsi"/>
          <w:color w:val="231F20"/>
          <w:w w:val="105"/>
        </w:rPr>
        <w:t>the</w:t>
      </w:r>
      <w:r w:rsidRPr="00C84023">
        <w:rPr>
          <w:rFonts w:cstheme="minorHAnsi"/>
          <w:color w:val="231F20"/>
          <w:spacing w:val="5"/>
          <w:w w:val="105"/>
        </w:rPr>
        <w:t xml:space="preserve"> </w:t>
      </w:r>
      <w:r w:rsidRPr="00C84023">
        <w:rPr>
          <w:rFonts w:cstheme="minorHAnsi"/>
          <w:color w:val="231F20"/>
          <w:w w:val="105"/>
        </w:rPr>
        <w:t>area,</w:t>
      </w:r>
      <w:r w:rsidRPr="00C84023">
        <w:rPr>
          <w:rFonts w:cstheme="minorHAnsi"/>
          <w:color w:val="231F20"/>
          <w:spacing w:val="5"/>
          <w:w w:val="105"/>
        </w:rPr>
        <w:t xml:space="preserve"> </w:t>
      </w:r>
      <w:r w:rsidRPr="00C84023">
        <w:rPr>
          <w:rFonts w:cstheme="minorHAnsi"/>
          <w:color w:val="231F20"/>
          <w:w w:val="105"/>
        </w:rPr>
        <w:t>their ability</w:t>
      </w:r>
      <w:r w:rsidRPr="00C84023">
        <w:rPr>
          <w:rFonts w:cstheme="minorHAnsi"/>
          <w:color w:val="231F20"/>
          <w:spacing w:val="5"/>
          <w:w w:val="105"/>
        </w:rPr>
        <w:t xml:space="preserve"> </w:t>
      </w:r>
      <w:r w:rsidRPr="00C84023">
        <w:rPr>
          <w:rFonts w:cstheme="minorHAnsi"/>
          <w:color w:val="231F20"/>
          <w:w w:val="105"/>
        </w:rPr>
        <w:t>to</w:t>
      </w:r>
      <w:r w:rsidRPr="00C84023">
        <w:rPr>
          <w:rFonts w:cstheme="minorHAnsi"/>
          <w:color w:val="231F20"/>
          <w:spacing w:val="5"/>
          <w:w w:val="105"/>
        </w:rPr>
        <w:t xml:space="preserve"> </w:t>
      </w:r>
      <w:r w:rsidRPr="00C84023">
        <w:rPr>
          <w:rFonts w:cstheme="minorHAnsi"/>
          <w:color w:val="231F20"/>
          <w:w w:val="105"/>
        </w:rPr>
        <w:t>comply</w:t>
      </w:r>
      <w:r w:rsidRPr="00C84023">
        <w:rPr>
          <w:rFonts w:cstheme="minorHAnsi"/>
          <w:color w:val="231F20"/>
          <w:spacing w:val="5"/>
          <w:w w:val="105"/>
        </w:rPr>
        <w:t xml:space="preserve"> </w:t>
      </w:r>
      <w:r w:rsidRPr="00C84023">
        <w:rPr>
          <w:rFonts w:cstheme="minorHAnsi"/>
          <w:color w:val="231F20"/>
          <w:w w:val="105"/>
        </w:rPr>
        <w:t>with</w:t>
      </w:r>
      <w:r w:rsidRPr="00C84023">
        <w:rPr>
          <w:rFonts w:cstheme="minorHAnsi"/>
          <w:color w:val="231F20"/>
          <w:spacing w:val="5"/>
          <w:w w:val="105"/>
        </w:rPr>
        <w:t xml:space="preserve"> </w:t>
      </w:r>
      <w:r w:rsidRPr="00C84023">
        <w:rPr>
          <w:rFonts w:cstheme="minorHAnsi"/>
          <w:color w:val="231F20"/>
          <w:spacing w:val="-3"/>
          <w:w w:val="105"/>
        </w:rPr>
        <w:t>WIOA</w:t>
      </w:r>
      <w:r w:rsidRPr="00C84023">
        <w:rPr>
          <w:rFonts w:cstheme="minorHAnsi"/>
          <w:color w:val="231F20"/>
          <w:spacing w:val="5"/>
          <w:w w:val="105"/>
        </w:rPr>
        <w:t xml:space="preserve"> </w:t>
      </w:r>
      <w:r w:rsidRPr="00C84023">
        <w:rPr>
          <w:rFonts w:cstheme="minorHAnsi"/>
          <w:color w:val="231F20"/>
          <w:w w:val="105"/>
        </w:rPr>
        <w:t>expectations,</w:t>
      </w:r>
      <w:r w:rsidRPr="00C84023">
        <w:rPr>
          <w:rFonts w:cstheme="minorHAnsi"/>
          <w:color w:val="231F20"/>
          <w:spacing w:val="5"/>
          <w:w w:val="105"/>
        </w:rPr>
        <w:t xml:space="preserve"> </w:t>
      </w:r>
      <w:r w:rsidRPr="00C84023">
        <w:rPr>
          <w:rFonts w:cstheme="minorHAnsi"/>
          <w:color w:val="231F20"/>
          <w:w w:val="105"/>
        </w:rPr>
        <w:t>past</w:t>
      </w:r>
      <w:r>
        <w:rPr>
          <w:rFonts w:cstheme="minorHAnsi"/>
          <w:color w:val="231F20"/>
          <w:w w:val="105"/>
        </w:rPr>
        <w:t xml:space="preserve"> </w:t>
      </w:r>
      <w:r w:rsidRPr="00C84023">
        <w:rPr>
          <w:rFonts w:cstheme="minorHAnsi"/>
          <w:color w:val="231F20"/>
          <w:w w:val="105"/>
        </w:rPr>
        <w:t>performance of the entity in providing literacy instruction and meeting programmatic goals. Decisions</w:t>
      </w:r>
      <w:r w:rsidRPr="00C84023">
        <w:rPr>
          <w:rFonts w:cstheme="minorHAnsi"/>
          <w:color w:val="231F20"/>
          <w:spacing w:val="3"/>
          <w:w w:val="105"/>
        </w:rPr>
        <w:t xml:space="preserve"> </w:t>
      </w:r>
      <w:r w:rsidRPr="00C84023">
        <w:rPr>
          <w:rFonts w:cstheme="minorHAnsi"/>
          <w:color w:val="231F20"/>
          <w:w w:val="105"/>
        </w:rPr>
        <w:t>about course offerings are made depending on local need.</w:t>
      </w:r>
    </w:p>
    <w:p w14:paraId="762808DF" w14:textId="77777777" w:rsidR="00C84023" w:rsidRDefault="00C84023" w:rsidP="00D63204">
      <w:pPr>
        <w:widowControl w:val="0"/>
        <w:spacing w:after="0" w:line="264" w:lineRule="exact"/>
        <w:ind w:left="90"/>
        <w:rPr>
          <w:rFonts w:cstheme="minorHAnsi"/>
        </w:rPr>
      </w:pPr>
    </w:p>
    <w:p w14:paraId="3F108290" w14:textId="68FD921C" w:rsidR="00751FC0" w:rsidRPr="00C84023" w:rsidRDefault="00751FC0" w:rsidP="00D63204">
      <w:pPr>
        <w:widowControl w:val="0"/>
        <w:spacing w:after="0" w:line="264" w:lineRule="exact"/>
        <w:ind w:left="90"/>
        <w:rPr>
          <w:rFonts w:cstheme="minorHAnsi"/>
        </w:rPr>
      </w:pPr>
      <w:r w:rsidRPr="00C84023">
        <w:rPr>
          <w:rFonts w:cstheme="minorHAnsi"/>
        </w:rPr>
        <w:t>DCAE identifies, assesses</w:t>
      </w:r>
      <w:r w:rsidR="00D5537E">
        <w:rPr>
          <w:rFonts w:cstheme="minorHAnsi"/>
        </w:rPr>
        <w:t xml:space="preserve"> and</w:t>
      </w:r>
      <w:r w:rsidRPr="00C84023">
        <w:rPr>
          <w:rFonts w:cstheme="minorHAnsi"/>
        </w:rPr>
        <w:t xml:space="preserve"> awards multi-year grants to eligible providers who are organizations that demonstrate effectiveness in providing adult education activities including a/an: </w:t>
      </w:r>
    </w:p>
    <w:p w14:paraId="0D33AE42" w14:textId="0261EF7D" w:rsidR="00427A93" w:rsidRDefault="00427A93" w:rsidP="00D63204">
      <w:pPr>
        <w:pStyle w:val="ListParagraph"/>
        <w:widowControl w:val="0"/>
        <w:numPr>
          <w:ilvl w:val="0"/>
          <w:numId w:val="46"/>
        </w:numPr>
        <w:spacing w:before="183" w:after="0" w:line="264" w:lineRule="exact"/>
        <w:rPr>
          <w:rFonts w:cstheme="minorHAnsi"/>
        </w:rPr>
      </w:pPr>
      <w:r w:rsidRPr="00C84023">
        <w:rPr>
          <w:rFonts w:cstheme="minorHAnsi"/>
        </w:rPr>
        <w:t xml:space="preserve">Local education agency; </w:t>
      </w:r>
    </w:p>
    <w:p w14:paraId="022D426A" w14:textId="77777777" w:rsidR="00C84023" w:rsidRPr="00C84023" w:rsidRDefault="00C84023" w:rsidP="00D63204">
      <w:pPr>
        <w:pStyle w:val="ListParagraph"/>
        <w:widowControl w:val="0"/>
        <w:spacing w:before="183" w:after="0" w:line="264" w:lineRule="exact"/>
        <w:ind w:left="810"/>
        <w:rPr>
          <w:rFonts w:cstheme="minorHAnsi"/>
        </w:rPr>
      </w:pPr>
    </w:p>
    <w:p w14:paraId="12B0D88B" w14:textId="4DF5C8AD" w:rsidR="00427A93" w:rsidRDefault="00427A93" w:rsidP="00D63204">
      <w:pPr>
        <w:pStyle w:val="ListParagraph"/>
        <w:widowControl w:val="0"/>
        <w:numPr>
          <w:ilvl w:val="0"/>
          <w:numId w:val="46"/>
        </w:numPr>
        <w:spacing w:before="183" w:after="0" w:line="264" w:lineRule="exact"/>
        <w:rPr>
          <w:rFonts w:cstheme="minorHAnsi"/>
        </w:rPr>
      </w:pPr>
      <w:r w:rsidRPr="00C84023">
        <w:rPr>
          <w:rFonts w:cstheme="minorHAnsi"/>
        </w:rPr>
        <w:t xml:space="preserve">Community-based or faith-based organization; </w:t>
      </w:r>
    </w:p>
    <w:p w14:paraId="69207102" w14:textId="77777777" w:rsidR="00C84023" w:rsidRPr="00C84023" w:rsidRDefault="00C84023" w:rsidP="00D63204">
      <w:pPr>
        <w:pStyle w:val="ListParagraph"/>
        <w:widowControl w:val="0"/>
        <w:spacing w:before="183" w:after="0" w:line="264" w:lineRule="exact"/>
        <w:ind w:left="810"/>
        <w:rPr>
          <w:rFonts w:cstheme="minorHAnsi"/>
        </w:rPr>
      </w:pPr>
    </w:p>
    <w:p w14:paraId="257019AD" w14:textId="24649EC6" w:rsidR="00427A93" w:rsidRDefault="00427A93" w:rsidP="00D63204">
      <w:pPr>
        <w:pStyle w:val="ListParagraph"/>
        <w:widowControl w:val="0"/>
        <w:numPr>
          <w:ilvl w:val="0"/>
          <w:numId w:val="46"/>
        </w:numPr>
        <w:spacing w:before="183" w:after="0" w:line="264" w:lineRule="exact"/>
        <w:rPr>
          <w:rFonts w:cstheme="minorHAnsi"/>
        </w:rPr>
      </w:pPr>
      <w:r w:rsidRPr="00C84023">
        <w:rPr>
          <w:rFonts w:cstheme="minorHAnsi"/>
        </w:rPr>
        <w:t xml:space="preserve">Volunteer literacy organization; </w:t>
      </w:r>
    </w:p>
    <w:p w14:paraId="432BC568" w14:textId="77777777" w:rsidR="00C84023" w:rsidRPr="00C84023" w:rsidRDefault="00C84023" w:rsidP="00D63204">
      <w:pPr>
        <w:pStyle w:val="ListParagraph"/>
        <w:widowControl w:val="0"/>
        <w:spacing w:before="183" w:after="0" w:line="264" w:lineRule="exact"/>
        <w:ind w:left="810"/>
        <w:rPr>
          <w:rFonts w:cstheme="minorHAnsi"/>
        </w:rPr>
      </w:pPr>
    </w:p>
    <w:p w14:paraId="5895B8C5" w14:textId="34C8CAD1" w:rsidR="00427A93" w:rsidRDefault="00427A93" w:rsidP="00D63204">
      <w:pPr>
        <w:pStyle w:val="ListParagraph"/>
        <w:widowControl w:val="0"/>
        <w:numPr>
          <w:ilvl w:val="0"/>
          <w:numId w:val="46"/>
        </w:numPr>
        <w:spacing w:before="183" w:after="0" w:line="264" w:lineRule="exact"/>
        <w:rPr>
          <w:rFonts w:cstheme="minorHAnsi"/>
        </w:rPr>
      </w:pPr>
      <w:r w:rsidRPr="00C84023">
        <w:rPr>
          <w:rFonts w:cstheme="minorHAnsi"/>
        </w:rPr>
        <w:t xml:space="preserve">Institution of higher education; </w:t>
      </w:r>
    </w:p>
    <w:p w14:paraId="1619885F" w14:textId="77777777" w:rsidR="00C84023" w:rsidRPr="00C84023" w:rsidRDefault="00C84023" w:rsidP="00D63204">
      <w:pPr>
        <w:pStyle w:val="ListParagraph"/>
        <w:widowControl w:val="0"/>
        <w:spacing w:before="183" w:after="0" w:line="264" w:lineRule="exact"/>
        <w:ind w:left="810"/>
        <w:rPr>
          <w:rFonts w:cstheme="minorHAnsi"/>
        </w:rPr>
      </w:pPr>
    </w:p>
    <w:p w14:paraId="02DE3CE1" w14:textId="7BDAF19D" w:rsidR="00427A93" w:rsidRDefault="00427A93" w:rsidP="00D63204">
      <w:pPr>
        <w:pStyle w:val="ListParagraph"/>
        <w:widowControl w:val="0"/>
        <w:numPr>
          <w:ilvl w:val="0"/>
          <w:numId w:val="46"/>
        </w:numPr>
        <w:spacing w:before="183" w:after="0" w:line="264" w:lineRule="exact"/>
        <w:rPr>
          <w:rFonts w:cstheme="minorHAnsi"/>
        </w:rPr>
      </w:pPr>
      <w:r w:rsidRPr="00C84023">
        <w:rPr>
          <w:rFonts w:cstheme="minorHAnsi"/>
        </w:rPr>
        <w:t xml:space="preserve">Public or private nonprofit agency; </w:t>
      </w:r>
    </w:p>
    <w:p w14:paraId="197405DB" w14:textId="77777777" w:rsidR="00C84023" w:rsidRPr="00C84023" w:rsidRDefault="00C84023" w:rsidP="00D63204">
      <w:pPr>
        <w:pStyle w:val="ListParagraph"/>
        <w:widowControl w:val="0"/>
        <w:spacing w:before="183" w:after="0" w:line="264" w:lineRule="exact"/>
        <w:ind w:left="810"/>
        <w:rPr>
          <w:rFonts w:cstheme="minorHAnsi"/>
        </w:rPr>
      </w:pPr>
    </w:p>
    <w:p w14:paraId="22D23904" w14:textId="56990D88" w:rsidR="00427A93" w:rsidRDefault="00427A93" w:rsidP="00D63204">
      <w:pPr>
        <w:pStyle w:val="ListParagraph"/>
        <w:widowControl w:val="0"/>
        <w:numPr>
          <w:ilvl w:val="0"/>
          <w:numId w:val="46"/>
        </w:numPr>
        <w:spacing w:before="183" w:after="0" w:line="264" w:lineRule="exact"/>
        <w:rPr>
          <w:rFonts w:cstheme="minorHAnsi"/>
        </w:rPr>
      </w:pPr>
      <w:r w:rsidRPr="00C84023">
        <w:rPr>
          <w:rFonts w:cstheme="minorHAnsi"/>
        </w:rPr>
        <w:t xml:space="preserve">Library; a public housing authority; </w:t>
      </w:r>
    </w:p>
    <w:p w14:paraId="48A8F525" w14:textId="77777777" w:rsidR="00C84023" w:rsidRPr="00C84023" w:rsidRDefault="00C84023" w:rsidP="00D63204">
      <w:pPr>
        <w:pStyle w:val="ListParagraph"/>
        <w:widowControl w:val="0"/>
        <w:spacing w:before="183" w:after="0" w:line="264" w:lineRule="exact"/>
        <w:ind w:left="810"/>
        <w:rPr>
          <w:rFonts w:cstheme="minorHAnsi"/>
        </w:rPr>
      </w:pPr>
    </w:p>
    <w:p w14:paraId="75E2078C" w14:textId="0D49048C" w:rsidR="00427A93" w:rsidRDefault="00427A93" w:rsidP="00D63204">
      <w:pPr>
        <w:pStyle w:val="ListParagraph"/>
        <w:widowControl w:val="0"/>
        <w:numPr>
          <w:ilvl w:val="0"/>
          <w:numId w:val="46"/>
        </w:numPr>
        <w:spacing w:before="183" w:after="0" w:line="264" w:lineRule="exact"/>
        <w:rPr>
          <w:rFonts w:cstheme="minorHAnsi"/>
        </w:rPr>
      </w:pPr>
      <w:r w:rsidRPr="00C84023">
        <w:rPr>
          <w:rFonts w:cstheme="minorHAnsi"/>
        </w:rPr>
        <w:t xml:space="preserve">Nonprofit institution with the ability to provide adult education and literacy services; </w:t>
      </w:r>
    </w:p>
    <w:p w14:paraId="4540172C" w14:textId="77777777" w:rsidR="00C84023" w:rsidRPr="00C84023" w:rsidRDefault="00C84023" w:rsidP="00D63204">
      <w:pPr>
        <w:pStyle w:val="ListParagraph"/>
        <w:widowControl w:val="0"/>
        <w:spacing w:before="183" w:after="0" w:line="264" w:lineRule="exact"/>
        <w:ind w:left="810"/>
        <w:rPr>
          <w:rFonts w:cstheme="minorHAnsi"/>
        </w:rPr>
      </w:pPr>
    </w:p>
    <w:p w14:paraId="7B48866F" w14:textId="15E8A7D2" w:rsidR="00427A93" w:rsidRDefault="00427A93" w:rsidP="00D63204">
      <w:pPr>
        <w:pStyle w:val="ListParagraph"/>
        <w:widowControl w:val="0"/>
        <w:numPr>
          <w:ilvl w:val="0"/>
          <w:numId w:val="46"/>
        </w:numPr>
        <w:spacing w:before="183" w:after="0" w:line="264" w:lineRule="exact"/>
        <w:rPr>
          <w:rFonts w:cstheme="minorHAnsi"/>
        </w:rPr>
      </w:pPr>
      <w:r w:rsidRPr="00C84023">
        <w:rPr>
          <w:rFonts w:cstheme="minorHAnsi"/>
        </w:rPr>
        <w:t xml:space="preserve">Consortium or coalition of agencies, organizations, institutions, libraries, or authorities described above; and </w:t>
      </w:r>
    </w:p>
    <w:p w14:paraId="197AE527" w14:textId="77777777" w:rsidR="00C84023" w:rsidRPr="00C84023" w:rsidRDefault="00C84023" w:rsidP="00D63204">
      <w:pPr>
        <w:pStyle w:val="ListParagraph"/>
        <w:widowControl w:val="0"/>
        <w:spacing w:before="183" w:after="0" w:line="264" w:lineRule="exact"/>
        <w:ind w:left="810"/>
        <w:rPr>
          <w:rFonts w:cstheme="minorHAnsi"/>
        </w:rPr>
      </w:pPr>
    </w:p>
    <w:p w14:paraId="285A44D7" w14:textId="2F017F8E" w:rsidR="00427A93" w:rsidRPr="00C84023" w:rsidRDefault="00427A93" w:rsidP="00D63204">
      <w:pPr>
        <w:pStyle w:val="ListParagraph"/>
        <w:widowControl w:val="0"/>
        <w:numPr>
          <w:ilvl w:val="0"/>
          <w:numId w:val="46"/>
        </w:numPr>
        <w:spacing w:before="183" w:after="0" w:line="264" w:lineRule="exact"/>
        <w:rPr>
          <w:rFonts w:cstheme="minorHAnsi"/>
        </w:rPr>
      </w:pPr>
      <w:r w:rsidRPr="00C84023">
        <w:rPr>
          <w:rFonts w:cstheme="minorHAnsi"/>
        </w:rPr>
        <w:t xml:space="preserve">Partnerships between an employer and an entity described above. </w:t>
      </w:r>
    </w:p>
    <w:p w14:paraId="0659C4FF" w14:textId="62DB1C61" w:rsidR="00751FC0" w:rsidRPr="00C84023" w:rsidRDefault="00751FC0" w:rsidP="00D63204">
      <w:pPr>
        <w:widowControl w:val="0"/>
        <w:spacing w:before="183" w:after="0" w:line="264" w:lineRule="exact"/>
        <w:ind w:left="90"/>
        <w:rPr>
          <w:rFonts w:cstheme="minorHAnsi"/>
        </w:rPr>
      </w:pPr>
      <w:r w:rsidRPr="00C84023">
        <w:rPr>
          <w:rFonts w:cstheme="minorHAnsi"/>
        </w:rPr>
        <w:t>In the grant and contract awarding process, the required thirteen (13) considerations identified in Section 231 are included in the evaluation and selection process. Other factors considered include: the ability of the eligible provider to meet the literacy needs of the area, the ability to comply with WIOA expectations, the past performance of the entity in providing literacy instruction and meeting programmatic goals</w:t>
      </w:r>
      <w:r w:rsidR="00D5537E">
        <w:rPr>
          <w:rFonts w:cstheme="minorHAnsi"/>
        </w:rPr>
        <w:t xml:space="preserve"> and</w:t>
      </w:r>
      <w:r w:rsidRPr="00C84023">
        <w:rPr>
          <w:rFonts w:cstheme="minorHAnsi"/>
        </w:rPr>
        <w:t xml:space="preserve"> the overall qualifications and expertise of the provider’s personnel. </w:t>
      </w:r>
    </w:p>
    <w:p w14:paraId="4C816090" w14:textId="77777777" w:rsidR="00C84023" w:rsidRDefault="00C84023" w:rsidP="00D63204">
      <w:pPr>
        <w:widowControl w:val="0"/>
        <w:spacing w:after="0" w:line="264" w:lineRule="exact"/>
        <w:ind w:left="90"/>
        <w:rPr>
          <w:rFonts w:cstheme="minorHAnsi"/>
        </w:rPr>
      </w:pPr>
    </w:p>
    <w:p w14:paraId="3CE718B8" w14:textId="54DA0F14" w:rsidR="00751FC0" w:rsidRPr="00C84023" w:rsidRDefault="00751FC0" w:rsidP="00D63204">
      <w:pPr>
        <w:widowControl w:val="0"/>
        <w:spacing w:after="0" w:line="264" w:lineRule="exact"/>
        <w:ind w:left="90"/>
        <w:rPr>
          <w:rFonts w:cstheme="minorHAnsi"/>
        </w:rPr>
      </w:pPr>
      <w:r w:rsidRPr="00C84023">
        <w:rPr>
          <w:rFonts w:cstheme="minorHAnsi"/>
        </w:rPr>
        <w:t>As part of the grant application awarding process, Florida incorporates integrated education and training services, which provide adult education and literacy activities concurrently and contextually with workforce preparation and training for a specific occupation and occupational cluster for educational and career advancement.</w:t>
      </w:r>
    </w:p>
    <w:p w14:paraId="2CC8E298" w14:textId="77777777" w:rsidR="00C84023" w:rsidRDefault="00C84023">
      <w:pPr>
        <w:rPr>
          <w:rFonts w:cstheme="minorHAnsi"/>
          <w:b/>
          <w:bCs/>
          <w:color w:val="231F20"/>
          <w:w w:val="110"/>
        </w:rPr>
      </w:pPr>
      <w:r>
        <w:rPr>
          <w:rFonts w:cstheme="minorHAnsi"/>
          <w:b/>
          <w:bCs/>
          <w:color w:val="231F20"/>
          <w:w w:val="110"/>
        </w:rPr>
        <w:br w:type="page"/>
      </w:r>
    </w:p>
    <w:p w14:paraId="1DE14209" w14:textId="77777777" w:rsidR="00C84023" w:rsidRDefault="00C84023" w:rsidP="00D63204">
      <w:pPr>
        <w:widowControl w:val="0"/>
        <w:spacing w:before="197" w:after="0" w:line="240" w:lineRule="auto"/>
        <w:ind w:left="90"/>
        <w:outlineLvl w:val="2"/>
        <w:rPr>
          <w:rFonts w:cstheme="minorHAnsi"/>
          <w:b/>
          <w:bCs/>
          <w:color w:val="231F20"/>
          <w:w w:val="110"/>
        </w:rPr>
      </w:pPr>
    </w:p>
    <w:p w14:paraId="4D5BD284" w14:textId="143F7340" w:rsidR="00751FC0" w:rsidRPr="00C84023" w:rsidRDefault="00751FC0" w:rsidP="00D63204">
      <w:pPr>
        <w:widowControl w:val="0"/>
        <w:spacing w:before="197" w:after="0" w:line="240" w:lineRule="auto"/>
        <w:ind w:left="90"/>
        <w:outlineLvl w:val="2"/>
        <w:rPr>
          <w:rFonts w:cstheme="minorHAnsi"/>
        </w:rPr>
      </w:pPr>
      <w:r w:rsidRPr="00C84023">
        <w:rPr>
          <w:rFonts w:cstheme="minorHAnsi"/>
          <w:b/>
          <w:bCs/>
          <w:color w:val="231F20"/>
          <w:w w:val="110"/>
        </w:rPr>
        <w:t>Adult</w:t>
      </w:r>
      <w:r w:rsidRPr="00C84023">
        <w:rPr>
          <w:rFonts w:cstheme="minorHAnsi"/>
          <w:b/>
          <w:bCs/>
          <w:color w:val="231F20"/>
          <w:spacing w:val="-6"/>
          <w:w w:val="110"/>
        </w:rPr>
        <w:t xml:space="preserve"> </w:t>
      </w:r>
      <w:r w:rsidRPr="00C84023">
        <w:rPr>
          <w:rFonts w:cstheme="minorHAnsi"/>
          <w:b/>
          <w:bCs/>
          <w:color w:val="231F20"/>
          <w:w w:val="110"/>
        </w:rPr>
        <w:t>Education</w:t>
      </w:r>
      <w:r w:rsidRPr="00C84023">
        <w:rPr>
          <w:rFonts w:cstheme="minorHAnsi"/>
          <w:b/>
          <w:bCs/>
          <w:color w:val="231F20"/>
          <w:spacing w:val="-6"/>
          <w:w w:val="110"/>
        </w:rPr>
        <w:t xml:space="preserve"> </w:t>
      </w:r>
      <w:r w:rsidRPr="00C84023">
        <w:rPr>
          <w:rFonts w:cstheme="minorHAnsi"/>
          <w:b/>
          <w:bCs/>
          <w:color w:val="231F20"/>
          <w:w w:val="110"/>
        </w:rPr>
        <w:t>and</w:t>
      </w:r>
      <w:r w:rsidRPr="00C84023">
        <w:rPr>
          <w:rFonts w:cstheme="minorHAnsi"/>
          <w:b/>
          <w:bCs/>
          <w:color w:val="231F20"/>
          <w:spacing w:val="-6"/>
          <w:w w:val="110"/>
        </w:rPr>
        <w:t xml:space="preserve"> </w:t>
      </w:r>
      <w:r w:rsidRPr="00C84023">
        <w:rPr>
          <w:rFonts w:cstheme="minorHAnsi"/>
          <w:b/>
          <w:bCs/>
          <w:color w:val="231F20"/>
          <w:w w:val="110"/>
        </w:rPr>
        <w:t>Literacy</w:t>
      </w:r>
      <w:r w:rsidRPr="00C84023">
        <w:rPr>
          <w:rFonts w:cstheme="minorHAnsi"/>
          <w:b/>
          <w:bCs/>
          <w:color w:val="231F20"/>
          <w:spacing w:val="-6"/>
          <w:w w:val="110"/>
        </w:rPr>
        <w:t xml:space="preserve"> </w:t>
      </w:r>
      <w:r w:rsidRPr="00C84023">
        <w:rPr>
          <w:rFonts w:cstheme="minorHAnsi"/>
          <w:b/>
          <w:bCs/>
          <w:color w:val="231F20"/>
          <w:w w:val="110"/>
        </w:rPr>
        <w:t>Activities</w:t>
      </w:r>
      <w:r w:rsidRPr="00C84023">
        <w:rPr>
          <w:rFonts w:cstheme="minorHAnsi"/>
          <w:b/>
          <w:bCs/>
          <w:color w:val="231F20"/>
          <w:spacing w:val="-6"/>
          <w:w w:val="110"/>
        </w:rPr>
        <w:t xml:space="preserve"> </w:t>
      </w:r>
      <w:r w:rsidRPr="00C84023">
        <w:rPr>
          <w:rFonts w:cstheme="minorHAnsi"/>
          <w:b/>
          <w:bCs/>
          <w:color w:val="231F20"/>
          <w:w w:val="110"/>
        </w:rPr>
        <w:t>(Section</w:t>
      </w:r>
      <w:r w:rsidRPr="00C84023">
        <w:rPr>
          <w:rFonts w:cstheme="minorHAnsi"/>
          <w:b/>
          <w:bCs/>
          <w:color w:val="231F20"/>
          <w:spacing w:val="-6"/>
          <w:w w:val="110"/>
        </w:rPr>
        <w:t xml:space="preserve"> </w:t>
      </w:r>
      <w:r w:rsidRPr="00C84023">
        <w:rPr>
          <w:rFonts w:cstheme="minorHAnsi"/>
          <w:b/>
          <w:bCs/>
          <w:color w:val="231F20"/>
          <w:w w:val="110"/>
        </w:rPr>
        <w:t>203</w:t>
      </w:r>
      <w:r w:rsidRPr="00C84023">
        <w:rPr>
          <w:rFonts w:cstheme="minorHAnsi"/>
          <w:b/>
          <w:bCs/>
          <w:color w:val="231F20"/>
          <w:spacing w:val="-6"/>
          <w:w w:val="110"/>
        </w:rPr>
        <w:t xml:space="preserve"> </w:t>
      </w:r>
      <w:r w:rsidRPr="00C84023">
        <w:rPr>
          <w:rFonts w:cstheme="minorHAnsi"/>
          <w:b/>
          <w:bCs/>
          <w:color w:val="231F20"/>
          <w:w w:val="110"/>
        </w:rPr>
        <w:t>of</w:t>
      </w:r>
      <w:r w:rsidRPr="00C84023">
        <w:rPr>
          <w:rFonts w:cstheme="minorHAnsi"/>
          <w:b/>
          <w:bCs/>
          <w:color w:val="231F20"/>
          <w:spacing w:val="-6"/>
          <w:w w:val="110"/>
        </w:rPr>
        <w:t xml:space="preserve"> </w:t>
      </w:r>
      <w:r w:rsidRPr="00C84023">
        <w:rPr>
          <w:rFonts w:cstheme="minorHAnsi"/>
          <w:b/>
          <w:bCs/>
          <w:color w:val="231F20"/>
          <w:w w:val="110"/>
        </w:rPr>
        <w:t>WIOA)</w:t>
      </w:r>
      <w:r w:rsidR="00DE343A">
        <w:rPr>
          <w:rFonts w:cstheme="minorHAnsi"/>
          <w:b/>
          <w:bCs/>
          <w:color w:val="231F20"/>
          <w:w w:val="110"/>
        </w:rPr>
        <w:t xml:space="preserve"> </w:t>
      </w:r>
      <w:r w:rsidRPr="00C84023">
        <w:rPr>
          <w:rFonts w:cstheme="minorHAnsi"/>
          <w:b/>
          <w:bCs/>
          <w:i/>
          <w:color w:val="231F20"/>
          <w:w w:val="105"/>
        </w:rPr>
        <w:t>Adult General Education Programs and</w:t>
      </w:r>
      <w:r w:rsidRPr="00C84023">
        <w:rPr>
          <w:rFonts w:cstheme="minorHAnsi"/>
          <w:b/>
          <w:bCs/>
          <w:i/>
          <w:color w:val="231F20"/>
          <w:spacing w:val="-27"/>
          <w:w w:val="105"/>
        </w:rPr>
        <w:t xml:space="preserve"> </w:t>
      </w:r>
      <w:r w:rsidRPr="00C84023">
        <w:rPr>
          <w:rFonts w:cstheme="minorHAnsi"/>
          <w:b/>
          <w:bCs/>
          <w:i/>
          <w:color w:val="231F20"/>
          <w:w w:val="105"/>
        </w:rPr>
        <w:t>Courses</w:t>
      </w:r>
    </w:p>
    <w:p w14:paraId="3F4056F0" w14:textId="77777777" w:rsidR="00C84023" w:rsidRDefault="00751FC0" w:rsidP="00D63204">
      <w:pPr>
        <w:widowControl w:val="0"/>
        <w:spacing w:before="2" w:after="0" w:line="264" w:lineRule="exact"/>
        <w:ind w:left="90"/>
        <w:rPr>
          <w:rFonts w:cstheme="minorHAnsi"/>
        </w:rPr>
      </w:pPr>
      <w:r w:rsidRPr="00C84023">
        <w:rPr>
          <w:rFonts w:cstheme="minorHAnsi"/>
          <w:w w:val="110"/>
        </w:rPr>
        <w:t>Standards</w:t>
      </w:r>
      <w:r w:rsidRPr="00C84023">
        <w:rPr>
          <w:rFonts w:cstheme="minorHAnsi"/>
          <w:spacing w:val="-8"/>
          <w:w w:val="110"/>
        </w:rPr>
        <w:t xml:space="preserve"> </w:t>
      </w:r>
      <w:r w:rsidRPr="00C84023">
        <w:rPr>
          <w:rFonts w:cstheme="minorHAnsi"/>
          <w:w w:val="110"/>
        </w:rPr>
        <w:t>for</w:t>
      </w:r>
      <w:r w:rsidRPr="00C84023">
        <w:rPr>
          <w:rFonts w:cstheme="minorHAnsi"/>
          <w:spacing w:val="-8"/>
          <w:w w:val="110"/>
        </w:rPr>
        <w:t xml:space="preserve"> </w:t>
      </w:r>
      <w:r w:rsidRPr="00C84023">
        <w:rPr>
          <w:rFonts w:cstheme="minorHAnsi"/>
          <w:w w:val="110"/>
        </w:rPr>
        <w:t>each</w:t>
      </w:r>
      <w:r w:rsidRPr="00C84023">
        <w:rPr>
          <w:rFonts w:cstheme="minorHAnsi"/>
          <w:spacing w:val="-8"/>
          <w:w w:val="110"/>
        </w:rPr>
        <w:t xml:space="preserve"> </w:t>
      </w:r>
      <w:r w:rsidRPr="00C84023">
        <w:rPr>
          <w:rFonts w:cstheme="minorHAnsi"/>
          <w:w w:val="110"/>
        </w:rPr>
        <w:t>course</w:t>
      </w:r>
      <w:r w:rsidRPr="00C84023">
        <w:rPr>
          <w:rFonts w:cstheme="minorHAnsi"/>
          <w:spacing w:val="-8"/>
          <w:w w:val="110"/>
        </w:rPr>
        <w:t xml:space="preserve"> </w:t>
      </w:r>
      <w:r w:rsidRPr="00C84023">
        <w:rPr>
          <w:rFonts w:cstheme="minorHAnsi"/>
          <w:w w:val="110"/>
        </w:rPr>
        <w:t>are</w:t>
      </w:r>
      <w:r w:rsidRPr="00C84023">
        <w:rPr>
          <w:rFonts w:cstheme="minorHAnsi"/>
          <w:spacing w:val="-8"/>
          <w:w w:val="110"/>
        </w:rPr>
        <w:t xml:space="preserve"> </w:t>
      </w:r>
      <w:r w:rsidRPr="00C84023">
        <w:rPr>
          <w:rFonts w:cstheme="minorHAnsi"/>
          <w:w w:val="110"/>
        </w:rPr>
        <w:t>reviewed</w:t>
      </w:r>
      <w:r w:rsidRPr="00C84023">
        <w:rPr>
          <w:rFonts w:cstheme="minorHAnsi"/>
          <w:spacing w:val="-8"/>
          <w:w w:val="110"/>
        </w:rPr>
        <w:t xml:space="preserve"> annually, </w:t>
      </w:r>
      <w:r w:rsidRPr="00C84023">
        <w:rPr>
          <w:rFonts w:cstheme="minorHAnsi"/>
          <w:w w:val="110"/>
        </w:rPr>
        <w:t>updated</w:t>
      </w:r>
      <w:r w:rsidRPr="00C84023">
        <w:rPr>
          <w:rFonts w:cstheme="minorHAnsi"/>
          <w:spacing w:val="-8"/>
          <w:w w:val="110"/>
        </w:rPr>
        <w:t xml:space="preserve"> </w:t>
      </w:r>
      <w:r w:rsidRPr="00C84023">
        <w:rPr>
          <w:rFonts w:cstheme="minorHAnsi"/>
          <w:w w:val="110"/>
        </w:rPr>
        <w:t>and</w:t>
      </w:r>
      <w:r w:rsidRPr="00C84023">
        <w:rPr>
          <w:rFonts w:cstheme="minorHAnsi"/>
          <w:spacing w:val="-8"/>
          <w:w w:val="110"/>
        </w:rPr>
        <w:t xml:space="preserve"> </w:t>
      </w:r>
      <w:r w:rsidRPr="00C84023">
        <w:rPr>
          <w:rFonts w:cstheme="minorHAnsi"/>
          <w:w w:val="110"/>
        </w:rPr>
        <w:t>submitted</w:t>
      </w:r>
      <w:r w:rsidRPr="00C84023">
        <w:rPr>
          <w:rFonts w:cstheme="minorHAnsi"/>
          <w:spacing w:val="-8"/>
          <w:w w:val="110"/>
        </w:rPr>
        <w:t xml:space="preserve"> </w:t>
      </w:r>
      <w:r w:rsidRPr="00C84023">
        <w:rPr>
          <w:rFonts w:cstheme="minorHAnsi"/>
          <w:w w:val="110"/>
        </w:rPr>
        <w:t>to</w:t>
      </w:r>
      <w:r w:rsidRPr="00C84023">
        <w:rPr>
          <w:rFonts w:cstheme="minorHAnsi"/>
          <w:spacing w:val="-8"/>
          <w:w w:val="110"/>
        </w:rPr>
        <w:t xml:space="preserve"> </w:t>
      </w:r>
      <w:r w:rsidRPr="00C84023">
        <w:rPr>
          <w:rFonts w:cstheme="minorHAnsi"/>
          <w:w w:val="110"/>
        </w:rPr>
        <w:t>the</w:t>
      </w:r>
      <w:r w:rsidRPr="00C84023">
        <w:rPr>
          <w:rFonts w:cstheme="minorHAnsi"/>
          <w:spacing w:val="-8"/>
          <w:w w:val="110"/>
        </w:rPr>
        <w:t xml:space="preserve"> </w:t>
      </w:r>
      <w:r w:rsidRPr="00DF6B71">
        <w:rPr>
          <w:rFonts w:cstheme="minorHAnsi"/>
          <w:w w:val="110"/>
        </w:rPr>
        <w:t>State</w:t>
      </w:r>
      <w:r w:rsidRPr="00DF6B71">
        <w:rPr>
          <w:rFonts w:cstheme="minorHAnsi"/>
          <w:spacing w:val="-8"/>
          <w:w w:val="110"/>
        </w:rPr>
        <w:t xml:space="preserve"> </w:t>
      </w:r>
      <w:r w:rsidRPr="00DF6B71">
        <w:rPr>
          <w:rFonts w:cstheme="minorHAnsi"/>
          <w:w w:val="110"/>
        </w:rPr>
        <w:t>Board</w:t>
      </w:r>
      <w:r w:rsidRPr="00DF6B71">
        <w:rPr>
          <w:rFonts w:cstheme="minorHAnsi"/>
          <w:spacing w:val="-8"/>
          <w:w w:val="110"/>
        </w:rPr>
        <w:t xml:space="preserve"> </w:t>
      </w:r>
      <w:r w:rsidRPr="00DF6B71">
        <w:rPr>
          <w:rFonts w:cstheme="minorHAnsi"/>
          <w:w w:val="110"/>
        </w:rPr>
        <w:t>of</w:t>
      </w:r>
      <w:r w:rsidRPr="00DF6B71">
        <w:rPr>
          <w:rFonts w:cstheme="minorHAnsi"/>
          <w:w w:val="102"/>
        </w:rPr>
        <w:t xml:space="preserve"> </w:t>
      </w:r>
      <w:r w:rsidRPr="00DF6B71">
        <w:rPr>
          <w:rFonts w:cstheme="minorHAnsi"/>
          <w:w w:val="110"/>
        </w:rPr>
        <w:t>Education</w:t>
      </w:r>
      <w:r w:rsidRPr="00C84023">
        <w:rPr>
          <w:rFonts w:cstheme="minorHAnsi"/>
          <w:spacing w:val="-16"/>
          <w:w w:val="110"/>
        </w:rPr>
        <w:t xml:space="preserve"> </w:t>
      </w:r>
      <w:r w:rsidRPr="00C84023">
        <w:rPr>
          <w:rFonts w:cstheme="minorHAnsi"/>
          <w:w w:val="110"/>
        </w:rPr>
        <w:t>for</w:t>
      </w:r>
      <w:r w:rsidRPr="00C84023">
        <w:rPr>
          <w:rFonts w:cstheme="minorHAnsi"/>
          <w:spacing w:val="-16"/>
          <w:w w:val="110"/>
        </w:rPr>
        <w:t xml:space="preserve"> </w:t>
      </w:r>
      <w:r w:rsidRPr="00C84023">
        <w:rPr>
          <w:rFonts w:cstheme="minorHAnsi"/>
          <w:w w:val="110"/>
        </w:rPr>
        <w:t>approval.</w:t>
      </w:r>
      <w:r w:rsidRPr="00C84023">
        <w:rPr>
          <w:rFonts w:cstheme="minorHAnsi"/>
          <w:spacing w:val="24"/>
          <w:w w:val="110"/>
        </w:rPr>
        <w:t xml:space="preserve"> </w:t>
      </w:r>
      <w:r w:rsidRPr="00C84023">
        <w:rPr>
          <w:rFonts w:cstheme="minorHAnsi"/>
          <w:w w:val="110"/>
        </w:rPr>
        <w:t>If</w:t>
      </w:r>
      <w:r w:rsidRPr="00C84023">
        <w:rPr>
          <w:rFonts w:cstheme="minorHAnsi"/>
          <w:spacing w:val="-16"/>
          <w:w w:val="110"/>
        </w:rPr>
        <w:t xml:space="preserve"> </w:t>
      </w:r>
      <w:r w:rsidRPr="00C84023">
        <w:rPr>
          <w:rFonts w:cstheme="minorHAnsi"/>
          <w:w w:val="110"/>
        </w:rPr>
        <w:t>major</w:t>
      </w:r>
      <w:r w:rsidRPr="00C84023">
        <w:rPr>
          <w:rFonts w:cstheme="minorHAnsi"/>
          <w:spacing w:val="-16"/>
          <w:w w:val="110"/>
        </w:rPr>
        <w:t xml:space="preserve"> </w:t>
      </w:r>
      <w:r w:rsidRPr="00C84023">
        <w:rPr>
          <w:rFonts w:cstheme="minorHAnsi"/>
          <w:w w:val="110"/>
        </w:rPr>
        <w:t>modifications are</w:t>
      </w:r>
      <w:r w:rsidRPr="00C84023">
        <w:rPr>
          <w:rFonts w:cstheme="minorHAnsi"/>
          <w:spacing w:val="-16"/>
          <w:w w:val="110"/>
        </w:rPr>
        <w:t xml:space="preserve"> </w:t>
      </w:r>
      <w:r w:rsidRPr="00C84023">
        <w:rPr>
          <w:rFonts w:cstheme="minorHAnsi"/>
          <w:w w:val="110"/>
        </w:rPr>
        <w:t>required,</w:t>
      </w:r>
      <w:r w:rsidRPr="00C84023">
        <w:rPr>
          <w:rFonts w:cstheme="minorHAnsi"/>
          <w:spacing w:val="-16"/>
          <w:w w:val="110"/>
        </w:rPr>
        <w:t xml:space="preserve"> </w:t>
      </w:r>
      <w:r w:rsidRPr="00C84023">
        <w:rPr>
          <w:rFonts w:cstheme="minorHAnsi"/>
          <w:w w:val="110"/>
        </w:rPr>
        <w:t>these recommendations are</w:t>
      </w:r>
      <w:r w:rsidRPr="00C84023">
        <w:rPr>
          <w:rFonts w:cstheme="minorHAnsi"/>
          <w:spacing w:val="-16"/>
          <w:w w:val="110"/>
        </w:rPr>
        <w:t xml:space="preserve"> </w:t>
      </w:r>
      <w:r w:rsidRPr="00C84023">
        <w:rPr>
          <w:rFonts w:cstheme="minorHAnsi"/>
          <w:w w:val="110"/>
        </w:rPr>
        <w:t>outlined</w:t>
      </w:r>
      <w:r w:rsidRPr="00C84023">
        <w:rPr>
          <w:rFonts w:cstheme="minorHAnsi"/>
          <w:spacing w:val="-16"/>
          <w:w w:val="110"/>
        </w:rPr>
        <w:t xml:space="preserve"> </w:t>
      </w:r>
      <w:r w:rsidRPr="00C84023">
        <w:rPr>
          <w:rFonts w:cstheme="minorHAnsi"/>
          <w:w w:val="110"/>
        </w:rPr>
        <w:t>in</w:t>
      </w:r>
      <w:r w:rsidRPr="00C84023">
        <w:rPr>
          <w:rFonts w:cstheme="minorHAnsi"/>
          <w:spacing w:val="-16"/>
          <w:w w:val="110"/>
        </w:rPr>
        <w:t xml:space="preserve"> </w:t>
      </w:r>
      <w:r w:rsidRPr="00C84023">
        <w:rPr>
          <w:rFonts w:cstheme="minorHAnsi"/>
          <w:w w:val="110"/>
        </w:rPr>
        <w:t>the</w:t>
      </w:r>
      <w:r w:rsidRPr="00C84023">
        <w:rPr>
          <w:rFonts w:cstheme="minorHAnsi"/>
          <w:spacing w:val="-16"/>
          <w:w w:val="110"/>
        </w:rPr>
        <w:t xml:space="preserve"> </w:t>
      </w:r>
      <w:r w:rsidRPr="00C84023">
        <w:rPr>
          <w:rFonts w:cstheme="minorHAnsi"/>
          <w:w w:val="110"/>
        </w:rPr>
        <w:t>change</w:t>
      </w:r>
      <w:r w:rsidRPr="00C84023">
        <w:rPr>
          <w:rFonts w:cstheme="minorHAnsi"/>
          <w:spacing w:val="-16"/>
          <w:w w:val="110"/>
        </w:rPr>
        <w:t xml:space="preserve"> </w:t>
      </w:r>
      <w:r w:rsidRPr="00C84023">
        <w:rPr>
          <w:rFonts w:cstheme="minorHAnsi"/>
          <w:w w:val="110"/>
        </w:rPr>
        <w:t>document</w:t>
      </w:r>
      <w:r w:rsidRPr="00C84023">
        <w:rPr>
          <w:rFonts w:cstheme="minorHAnsi"/>
          <w:spacing w:val="-16"/>
          <w:w w:val="110"/>
        </w:rPr>
        <w:t xml:space="preserve"> </w:t>
      </w:r>
      <w:r w:rsidRPr="00C84023">
        <w:rPr>
          <w:rFonts w:cstheme="minorHAnsi"/>
          <w:w w:val="110"/>
        </w:rPr>
        <w:t>and</w:t>
      </w:r>
      <w:r w:rsidRPr="00C84023">
        <w:rPr>
          <w:rFonts w:cstheme="minorHAnsi"/>
          <w:spacing w:val="-16"/>
          <w:w w:val="110"/>
        </w:rPr>
        <w:t xml:space="preserve"> </w:t>
      </w:r>
      <w:r w:rsidRPr="00C84023">
        <w:rPr>
          <w:rFonts w:cstheme="minorHAnsi"/>
          <w:w w:val="110"/>
        </w:rPr>
        <w:t>posted</w:t>
      </w:r>
      <w:r w:rsidRPr="00C84023">
        <w:rPr>
          <w:rFonts w:cstheme="minorHAnsi"/>
          <w:w w:val="108"/>
        </w:rPr>
        <w:t xml:space="preserve"> </w:t>
      </w:r>
      <w:r w:rsidRPr="00C84023">
        <w:rPr>
          <w:rFonts w:cstheme="minorHAnsi"/>
          <w:w w:val="110"/>
        </w:rPr>
        <w:t>on</w:t>
      </w:r>
      <w:r w:rsidRPr="00C84023">
        <w:rPr>
          <w:rFonts w:cstheme="minorHAnsi"/>
          <w:spacing w:val="-11"/>
          <w:w w:val="110"/>
        </w:rPr>
        <w:t xml:space="preserve"> </w:t>
      </w:r>
      <w:r w:rsidRPr="00C84023">
        <w:rPr>
          <w:rFonts w:cstheme="minorHAnsi"/>
          <w:w w:val="110"/>
        </w:rPr>
        <w:t>the</w:t>
      </w:r>
      <w:r w:rsidRPr="00C84023">
        <w:rPr>
          <w:rFonts w:cstheme="minorHAnsi"/>
          <w:spacing w:val="-11"/>
          <w:w w:val="110"/>
        </w:rPr>
        <w:t xml:space="preserve"> </w:t>
      </w:r>
      <w:r w:rsidRPr="00C84023">
        <w:rPr>
          <w:rFonts w:cstheme="minorHAnsi"/>
          <w:w w:val="110"/>
        </w:rPr>
        <w:t>FDOE</w:t>
      </w:r>
      <w:r w:rsidRPr="00C84023">
        <w:rPr>
          <w:rFonts w:cstheme="minorHAnsi"/>
          <w:spacing w:val="-11"/>
          <w:w w:val="110"/>
        </w:rPr>
        <w:t xml:space="preserve"> </w:t>
      </w:r>
      <w:r w:rsidRPr="00C84023">
        <w:rPr>
          <w:rFonts w:cstheme="minorHAnsi"/>
          <w:w w:val="110"/>
        </w:rPr>
        <w:t>website</w:t>
      </w:r>
      <w:r w:rsidRPr="00C84023">
        <w:rPr>
          <w:rFonts w:cstheme="minorHAnsi"/>
          <w:spacing w:val="-11"/>
          <w:w w:val="110"/>
        </w:rPr>
        <w:t xml:space="preserve"> </w:t>
      </w:r>
      <w:r w:rsidRPr="00C84023">
        <w:rPr>
          <w:rFonts w:cstheme="minorHAnsi"/>
          <w:w w:val="110"/>
        </w:rPr>
        <w:t>notifying stakeholders</w:t>
      </w:r>
      <w:r w:rsidRPr="00C84023">
        <w:rPr>
          <w:rFonts w:cstheme="minorHAnsi"/>
          <w:spacing w:val="-11"/>
          <w:w w:val="110"/>
        </w:rPr>
        <w:t xml:space="preserve"> </w:t>
      </w:r>
      <w:r w:rsidRPr="00C84023">
        <w:rPr>
          <w:rFonts w:cstheme="minorHAnsi"/>
          <w:w w:val="110"/>
        </w:rPr>
        <w:t>of</w:t>
      </w:r>
      <w:r w:rsidRPr="00C84023">
        <w:rPr>
          <w:rFonts w:cstheme="minorHAnsi"/>
          <w:spacing w:val="-11"/>
          <w:w w:val="110"/>
        </w:rPr>
        <w:t xml:space="preserve"> </w:t>
      </w:r>
      <w:r w:rsidRPr="00C84023">
        <w:rPr>
          <w:rFonts w:cstheme="minorHAnsi"/>
          <w:w w:val="110"/>
        </w:rPr>
        <w:t>changes</w:t>
      </w:r>
      <w:r w:rsidRPr="00C84023">
        <w:rPr>
          <w:rFonts w:cstheme="minorHAnsi"/>
          <w:spacing w:val="-11"/>
          <w:w w:val="110"/>
        </w:rPr>
        <w:t xml:space="preserve"> </w:t>
      </w:r>
      <w:r w:rsidRPr="00C84023">
        <w:rPr>
          <w:rFonts w:cstheme="minorHAnsi"/>
          <w:w w:val="110"/>
        </w:rPr>
        <w:t>to</w:t>
      </w:r>
      <w:r w:rsidRPr="00C84023">
        <w:rPr>
          <w:rFonts w:cstheme="minorHAnsi"/>
          <w:spacing w:val="-11"/>
          <w:w w:val="110"/>
        </w:rPr>
        <w:t xml:space="preserve"> </w:t>
      </w:r>
      <w:r w:rsidRPr="00C84023">
        <w:rPr>
          <w:rFonts w:cstheme="minorHAnsi"/>
          <w:w w:val="110"/>
        </w:rPr>
        <w:t>standards</w:t>
      </w:r>
      <w:r w:rsidRPr="00C84023">
        <w:rPr>
          <w:rFonts w:cstheme="minorHAnsi"/>
          <w:spacing w:val="-11"/>
          <w:w w:val="110"/>
        </w:rPr>
        <w:t xml:space="preserve"> </w:t>
      </w:r>
      <w:r w:rsidRPr="00C84023">
        <w:rPr>
          <w:rFonts w:cstheme="minorHAnsi"/>
          <w:w w:val="110"/>
        </w:rPr>
        <w:t>or</w:t>
      </w:r>
      <w:r w:rsidRPr="00C84023">
        <w:rPr>
          <w:rFonts w:cstheme="minorHAnsi"/>
          <w:spacing w:val="-11"/>
          <w:w w:val="110"/>
        </w:rPr>
        <w:t xml:space="preserve"> </w:t>
      </w:r>
      <w:r w:rsidRPr="00C84023">
        <w:rPr>
          <w:rFonts w:cstheme="minorHAnsi"/>
          <w:w w:val="110"/>
        </w:rPr>
        <w:t>courses.</w:t>
      </w:r>
    </w:p>
    <w:p w14:paraId="3E259349" w14:textId="77777777" w:rsidR="00C84023" w:rsidRDefault="00C84023" w:rsidP="00D63204">
      <w:pPr>
        <w:widowControl w:val="0"/>
        <w:spacing w:before="2" w:after="0" w:line="264" w:lineRule="exact"/>
        <w:ind w:left="90"/>
        <w:rPr>
          <w:rFonts w:cstheme="minorHAnsi"/>
        </w:rPr>
      </w:pPr>
    </w:p>
    <w:p w14:paraId="6C9CAAE4" w14:textId="77777777" w:rsidR="00C84023" w:rsidRDefault="00751FC0" w:rsidP="00D63204">
      <w:pPr>
        <w:widowControl w:val="0"/>
        <w:spacing w:before="2" w:after="0" w:line="264" w:lineRule="exact"/>
        <w:ind w:left="90"/>
        <w:rPr>
          <w:rFonts w:cstheme="minorHAnsi"/>
          <w:w w:val="110"/>
        </w:rPr>
      </w:pPr>
      <w:r w:rsidRPr="00C84023">
        <w:rPr>
          <w:rFonts w:cstheme="minorHAnsi"/>
          <w:w w:val="110"/>
        </w:rPr>
        <w:t>Each course lists content standards used by local programs for a program’s curriculum development process. Standards provide guidance for new instructors with limited training in teaching adults enrolled in adult basic classes. The standards inform what should be taught in the classroom. To assist with the implementation of these standards, professional development is provided through local face-to-face workshops and webinars. The curriculum frameworks are available at</w:t>
      </w:r>
    </w:p>
    <w:p w14:paraId="71635096" w14:textId="4B67C6FC" w:rsidR="00751FC0" w:rsidRPr="00704DA7" w:rsidRDefault="00BC1D20" w:rsidP="00D63204">
      <w:pPr>
        <w:pStyle w:val="ListParagraph"/>
        <w:widowControl w:val="0"/>
        <w:spacing w:before="90" w:after="0" w:line="264" w:lineRule="exact"/>
        <w:ind w:left="90"/>
        <w:rPr>
          <w:rStyle w:val="Hyperlink"/>
          <w:rFonts w:cstheme="minorHAnsi"/>
        </w:rPr>
      </w:pPr>
      <w:hyperlink r:id="rId161" w:history="1">
        <w:r w:rsidR="00751FC0" w:rsidRPr="00704DA7">
          <w:rPr>
            <w:rStyle w:val="Hyperlink"/>
            <w:rFonts w:cstheme="minorHAnsi"/>
          </w:rPr>
          <w:t>http://www.fldoe.org/academics/career-adult-edu/adult-edu/2017-2018-adult-edu-curriculum-framewo.stml</w:t>
        </w:r>
      </w:hyperlink>
    </w:p>
    <w:p w14:paraId="3C70A722" w14:textId="77777777" w:rsidR="00EA7458" w:rsidRPr="00C84023" w:rsidRDefault="00EA7458" w:rsidP="00D63204">
      <w:pPr>
        <w:widowControl w:val="0"/>
        <w:spacing w:before="4" w:after="0" w:line="240" w:lineRule="auto"/>
        <w:ind w:left="90"/>
        <w:rPr>
          <w:rFonts w:cstheme="minorHAnsi"/>
          <w:sz w:val="14"/>
          <w:szCs w:val="14"/>
        </w:rPr>
      </w:pPr>
    </w:p>
    <w:p w14:paraId="48C8861D" w14:textId="1DAA0392" w:rsidR="00EA7458" w:rsidRDefault="00EA7458" w:rsidP="00D63204">
      <w:pPr>
        <w:widowControl w:val="0"/>
        <w:spacing w:before="57" w:after="0" w:line="240" w:lineRule="auto"/>
        <w:ind w:left="90"/>
        <w:outlineLvl w:val="2"/>
        <w:rPr>
          <w:rFonts w:cstheme="minorHAnsi"/>
          <w:b/>
          <w:bCs/>
          <w:color w:val="231F20"/>
          <w:w w:val="110"/>
        </w:rPr>
      </w:pPr>
      <w:bookmarkStart w:id="128" w:name="_bookmark69"/>
      <w:bookmarkEnd w:id="128"/>
      <w:r w:rsidRPr="00C84023">
        <w:rPr>
          <w:rFonts w:cstheme="minorHAnsi"/>
          <w:b/>
          <w:bCs/>
          <w:color w:val="231F20"/>
          <w:w w:val="110"/>
        </w:rPr>
        <w:t>Figure</w:t>
      </w:r>
      <w:r w:rsidRPr="00C84023">
        <w:rPr>
          <w:rFonts w:cstheme="minorHAnsi"/>
          <w:b/>
          <w:bCs/>
          <w:color w:val="231F20"/>
          <w:spacing w:val="-5"/>
          <w:w w:val="110"/>
        </w:rPr>
        <w:t xml:space="preserve"> </w:t>
      </w:r>
      <w:r w:rsidRPr="00C84023">
        <w:rPr>
          <w:rFonts w:cstheme="minorHAnsi"/>
          <w:b/>
          <w:bCs/>
          <w:color w:val="231F20"/>
          <w:w w:val="110"/>
        </w:rPr>
        <w:t>8.01</w:t>
      </w:r>
    </w:p>
    <w:p w14:paraId="1E57B6FB" w14:textId="3D740D55" w:rsidR="00AE012E" w:rsidRPr="00C84023" w:rsidRDefault="00AE012E" w:rsidP="00D63204">
      <w:pPr>
        <w:widowControl w:val="0"/>
        <w:spacing w:before="57" w:after="0" w:line="240" w:lineRule="auto"/>
        <w:ind w:left="90"/>
        <w:outlineLvl w:val="2"/>
        <w:rPr>
          <w:rFonts w:cstheme="minorHAnsi"/>
        </w:rPr>
      </w:pPr>
      <w:r>
        <w:rPr>
          <w:rFonts w:cstheme="minorHAnsi"/>
          <w:b/>
          <w:bCs/>
          <w:color w:val="231F20"/>
          <w:w w:val="110"/>
        </w:rPr>
        <w:t>Adult General Education Programs and Courses</w:t>
      </w:r>
    </w:p>
    <w:p w14:paraId="4FCDDA4E" w14:textId="77777777" w:rsidR="00EA7458" w:rsidRPr="00C84023" w:rsidRDefault="00EA7458" w:rsidP="00D63204">
      <w:pPr>
        <w:widowControl w:val="0"/>
        <w:spacing w:before="10" w:after="0" w:line="240" w:lineRule="auto"/>
        <w:ind w:left="90"/>
        <w:rPr>
          <w:rFonts w:cstheme="minorHAnsi"/>
          <w:b/>
          <w:bCs/>
          <w:sz w:val="14"/>
          <w:szCs w:val="14"/>
        </w:rPr>
      </w:pPr>
    </w:p>
    <w:tbl>
      <w:tblPr>
        <w:tblW w:w="0" w:type="auto"/>
        <w:tblInd w:w="108" w:type="dxa"/>
        <w:tblBorders>
          <w:top w:val="single" w:sz="2" w:space="0" w:color="231F20"/>
          <w:left w:val="single" w:sz="2" w:space="0" w:color="231F20"/>
          <w:bottom w:val="single" w:sz="2" w:space="0" w:color="231F20"/>
          <w:right w:val="single" w:sz="2" w:space="0" w:color="231F20"/>
          <w:insideH w:val="single" w:sz="2" w:space="0" w:color="231F20"/>
          <w:insideV w:val="single" w:sz="2" w:space="0" w:color="231F20"/>
        </w:tblBorders>
        <w:tblLayout w:type="fixed"/>
        <w:tblCellMar>
          <w:left w:w="0" w:type="dxa"/>
          <w:right w:w="0" w:type="dxa"/>
        </w:tblCellMar>
        <w:tblLook w:val="01E0" w:firstRow="1" w:lastRow="1" w:firstColumn="1" w:lastColumn="1" w:noHBand="0" w:noVBand="0"/>
      </w:tblPr>
      <w:tblGrid>
        <w:gridCol w:w="3039"/>
        <w:gridCol w:w="7100"/>
      </w:tblGrid>
      <w:tr w:rsidR="004A50D5" w:rsidRPr="00C84023" w14:paraId="68A00275" w14:textId="77777777" w:rsidTr="00D1174B">
        <w:trPr>
          <w:trHeight w:hRule="exact" w:val="1654"/>
        </w:trPr>
        <w:tc>
          <w:tcPr>
            <w:tcW w:w="3039" w:type="dxa"/>
            <w:shd w:val="clear" w:color="auto" w:fill="E6E7E8"/>
          </w:tcPr>
          <w:p w14:paraId="20783D0E" w14:textId="4E76A2E5" w:rsidR="004A50D5" w:rsidRPr="00C84023" w:rsidRDefault="004A50D5" w:rsidP="00691C52">
            <w:pPr>
              <w:widowControl w:val="0"/>
              <w:spacing w:before="40" w:after="0" w:line="264" w:lineRule="exact"/>
              <w:ind w:left="90"/>
              <w:rPr>
                <w:rFonts w:cstheme="minorHAnsi"/>
              </w:rPr>
            </w:pPr>
            <w:r w:rsidRPr="00C84023">
              <w:rPr>
                <w:rFonts w:cstheme="minorHAnsi"/>
                <w:b/>
                <w:color w:val="231F20"/>
                <w:w w:val="110"/>
              </w:rPr>
              <w:t>Adult Basic Education</w:t>
            </w:r>
            <w:r w:rsidRPr="00C84023">
              <w:rPr>
                <w:rFonts w:cstheme="minorHAnsi"/>
                <w:b/>
                <w:color w:val="231F20"/>
                <w:spacing w:val="-48"/>
                <w:w w:val="110"/>
              </w:rPr>
              <w:t xml:space="preserve"> </w:t>
            </w:r>
            <w:r w:rsidRPr="00C84023">
              <w:rPr>
                <w:rFonts w:cstheme="minorHAnsi"/>
                <w:b/>
                <w:color w:val="231F20"/>
                <w:w w:val="110"/>
              </w:rPr>
              <w:t>(language arts,</w:t>
            </w:r>
            <w:r w:rsidRPr="00C84023">
              <w:rPr>
                <w:rFonts w:cstheme="minorHAnsi"/>
                <w:b/>
                <w:color w:val="231F20"/>
                <w:spacing w:val="-34"/>
                <w:w w:val="110"/>
              </w:rPr>
              <w:t xml:space="preserve"> </w:t>
            </w:r>
            <w:r w:rsidRPr="00C84023">
              <w:rPr>
                <w:rFonts w:cstheme="minorHAnsi"/>
                <w:b/>
                <w:color w:val="231F20"/>
                <w:w w:val="110"/>
              </w:rPr>
              <w:t>mathematics</w:t>
            </w:r>
            <w:r w:rsidR="00D5537E">
              <w:rPr>
                <w:rFonts w:cstheme="minorHAnsi"/>
                <w:b/>
                <w:color w:val="231F20"/>
                <w:w w:val="110"/>
              </w:rPr>
              <w:t xml:space="preserve"> and</w:t>
            </w:r>
            <w:r w:rsidRPr="00C84023">
              <w:rPr>
                <w:rFonts w:cstheme="minorHAnsi"/>
                <w:b/>
                <w:color w:val="231F20"/>
                <w:w w:val="110"/>
              </w:rPr>
              <w:t xml:space="preserve"> reading)</w:t>
            </w:r>
            <w:r w:rsidRPr="00C84023">
              <w:rPr>
                <w:rFonts w:cstheme="minorHAnsi"/>
                <w:b/>
                <w:color w:val="231F20"/>
                <w:spacing w:val="-24"/>
                <w:w w:val="110"/>
              </w:rPr>
              <w:t xml:space="preserve"> </w:t>
            </w:r>
            <w:r w:rsidRPr="00C84023">
              <w:rPr>
                <w:rFonts w:cstheme="minorHAnsi"/>
                <w:b/>
                <w:color w:val="231F20"/>
                <w:w w:val="110"/>
              </w:rPr>
              <w:t>Program</w:t>
            </w:r>
          </w:p>
        </w:tc>
        <w:tc>
          <w:tcPr>
            <w:tcW w:w="7100" w:type="dxa"/>
            <w:shd w:val="clear" w:color="auto" w:fill="E6E7E8"/>
          </w:tcPr>
          <w:p w14:paraId="3FCAF82F" w14:textId="068D6BAC" w:rsidR="004A50D5" w:rsidRPr="00C84023" w:rsidRDefault="004A50D5" w:rsidP="00D63204">
            <w:pPr>
              <w:widowControl w:val="0"/>
              <w:spacing w:before="40" w:after="0" w:line="264" w:lineRule="exact"/>
              <w:ind w:left="90"/>
              <w:rPr>
                <w:rFonts w:cstheme="minorHAnsi"/>
              </w:rPr>
            </w:pPr>
            <w:r w:rsidRPr="00C84023">
              <w:rPr>
                <w:rFonts w:cstheme="minorHAnsi"/>
                <w:color w:val="231F20"/>
                <w:w w:val="105"/>
              </w:rPr>
              <w:t>Courses</w:t>
            </w:r>
            <w:r w:rsidRPr="00C84023">
              <w:rPr>
                <w:rFonts w:cstheme="minorHAnsi"/>
                <w:color w:val="231F20"/>
                <w:spacing w:val="-13"/>
                <w:w w:val="105"/>
              </w:rPr>
              <w:t xml:space="preserve"> </w:t>
            </w:r>
            <w:r w:rsidRPr="00C84023">
              <w:rPr>
                <w:rFonts w:cstheme="minorHAnsi"/>
                <w:color w:val="231F20"/>
                <w:w w:val="105"/>
              </w:rPr>
              <w:t>in</w:t>
            </w:r>
            <w:r w:rsidRPr="00C84023">
              <w:rPr>
                <w:rFonts w:cstheme="minorHAnsi"/>
                <w:color w:val="231F20"/>
                <w:spacing w:val="-13"/>
                <w:w w:val="105"/>
              </w:rPr>
              <w:t xml:space="preserve"> </w:t>
            </w:r>
            <w:r w:rsidRPr="00C84023">
              <w:rPr>
                <w:rFonts w:cstheme="minorHAnsi"/>
                <w:color w:val="231F20"/>
                <w:w w:val="105"/>
              </w:rPr>
              <w:t>this</w:t>
            </w:r>
            <w:r w:rsidRPr="00C84023">
              <w:rPr>
                <w:rFonts w:cstheme="minorHAnsi"/>
                <w:color w:val="231F20"/>
                <w:spacing w:val="-13"/>
                <w:w w:val="105"/>
              </w:rPr>
              <w:t xml:space="preserve"> </w:t>
            </w:r>
            <w:r w:rsidRPr="00C84023">
              <w:rPr>
                <w:rFonts w:cstheme="minorHAnsi"/>
                <w:color w:val="231F20"/>
                <w:w w:val="105"/>
              </w:rPr>
              <w:t>program</w:t>
            </w:r>
            <w:r w:rsidRPr="00C84023">
              <w:rPr>
                <w:rFonts w:cstheme="minorHAnsi"/>
                <w:color w:val="231F20"/>
                <w:spacing w:val="-13"/>
                <w:w w:val="105"/>
              </w:rPr>
              <w:t xml:space="preserve"> </w:t>
            </w:r>
            <w:r w:rsidRPr="00C84023">
              <w:rPr>
                <w:rFonts w:cstheme="minorHAnsi"/>
                <w:color w:val="231F20"/>
                <w:w w:val="105"/>
              </w:rPr>
              <w:t>are</w:t>
            </w:r>
            <w:r w:rsidRPr="00C84023">
              <w:rPr>
                <w:rFonts w:cstheme="minorHAnsi"/>
                <w:color w:val="231F20"/>
                <w:spacing w:val="-13"/>
                <w:w w:val="105"/>
              </w:rPr>
              <w:t xml:space="preserve"> </w:t>
            </w:r>
            <w:r w:rsidRPr="00C84023">
              <w:rPr>
                <w:rFonts w:cstheme="minorHAnsi"/>
                <w:color w:val="231F20"/>
                <w:w w:val="105"/>
              </w:rPr>
              <w:t>designed</w:t>
            </w:r>
            <w:r w:rsidRPr="00C84023">
              <w:rPr>
                <w:rFonts w:cstheme="minorHAnsi"/>
                <w:color w:val="231F20"/>
                <w:spacing w:val="-13"/>
                <w:w w:val="105"/>
              </w:rPr>
              <w:t xml:space="preserve"> </w:t>
            </w:r>
            <w:r w:rsidRPr="00C84023">
              <w:rPr>
                <w:rFonts w:cstheme="minorHAnsi"/>
                <w:color w:val="231F20"/>
                <w:w w:val="105"/>
              </w:rPr>
              <w:t>for</w:t>
            </w:r>
            <w:r w:rsidRPr="00C84023">
              <w:rPr>
                <w:rFonts w:cstheme="minorHAnsi"/>
                <w:color w:val="231F20"/>
                <w:spacing w:val="-13"/>
                <w:w w:val="105"/>
              </w:rPr>
              <w:t xml:space="preserve"> </w:t>
            </w:r>
            <w:r w:rsidRPr="00C84023">
              <w:rPr>
                <w:rFonts w:cstheme="minorHAnsi"/>
                <w:color w:val="231F20"/>
                <w:w w:val="105"/>
              </w:rPr>
              <w:t>students to</w:t>
            </w:r>
            <w:r w:rsidRPr="00C84023">
              <w:rPr>
                <w:rFonts w:cstheme="minorHAnsi"/>
                <w:color w:val="231F20"/>
                <w:spacing w:val="-13"/>
                <w:w w:val="105"/>
              </w:rPr>
              <w:t xml:space="preserve"> </w:t>
            </w:r>
            <w:r w:rsidRPr="00C84023">
              <w:rPr>
                <w:rFonts w:cstheme="minorHAnsi"/>
                <w:color w:val="231F20"/>
                <w:w w:val="105"/>
              </w:rPr>
              <w:t>obtain</w:t>
            </w:r>
            <w:r w:rsidRPr="00C84023">
              <w:rPr>
                <w:rFonts w:cstheme="minorHAnsi"/>
                <w:color w:val="231F20"/>
                <w:spacing w:val="-49"/>
                <w:w w:val="105"/>
              </w:rPr>
              <w:t xml:space="preserve"> </w:t>
            </w:r>
            <w:r w:rsidRPr="00C84023">
              <w:rPr>
                <w:rFonts w:cstheme="minorHAnsi"/>
                <w:color w:val="231F20"/>
                <w:w w:val="105"/>
              </w:rPr>
              <w:t>a level of educational instruction intended to improve the</w:t>
            </w:r>
            <w:r w:rsidRPr="00C84023">
              <w:rPr>
                <w:rFonts w:cstheme="minorHAnsi"/>
                <w:color w:val="231F20"/>
                <w:spacing w:val="35"/>
                <w:w w:val="105"/>
              </w:rPr>
              <w:t xml:space="preserve"> </w:t>
            </w:r>
            <w:r w:rsidRPr="00C84023">
              <w:rPr>
                <w:rFonts w:cstheme="minorHAnsi"/>
                <w:color w:val="231F20"/>
                <w:w w:val="105"/>
              </w:rPr>
              <w:t>employability of the state’s workforce through instruction in mathematics,</w:t>
            </w:r>
            <w:r w:rsidRPr="00C84023">
              <w:rPr>
                <w:rFonts w:cstheme="minorHAnsi"/>
                <w:color w:val="231F20"/>
                <w:spacing w:val="26"/>
                <w:w w:val="105"/>
              </w:rPr>
              <w:t xml:space="preserve"> </w:t>
            </w:r>
            <w:r w:rsidRPr="00C84023">
              <w:rPr>
                <w:rFonts w:cstheme="minorHAnsi"/>
                <w:color w:val="231F20"/>
                <w:w w:val="105"/>
              </w:rPr>
              <w:t>reading,</w:t>
            </w:r>
            <w:r w:rsidRPr="00C84023">
              <w:rPr>
                <w:rFonts w:cstheme="minorHAnsi"/>
                <w:color w:val="231F20"/>
                <w:w w:val="107"/>
              </w:rPr>
              <w:t xml:space="preserve"> </w:t>
            </w:r>
            <w:r w:rsidRPr="00C84023">
              <w:rPr>
                <w:rFonts w:cstheme="minorHAnsi"/>
                <w:color w:val="231F20"/>
                <w:w w:val="105"/>
              </w:rPr>
              <w:t>language</w:t>
            </w:r>
            <w:r w:rsidR="00D5537E">
              <w:rPr>
                <w:rFonts w:cstheme="minorHAnsi"/>
                <w:color w:val="231F20"/>
                <w:w w:val="105"/>
              </w:rPr>
              <w:t xml:space="preserve"> and</w:t>
            </w:r>
            <w:r w:rsidRPr="00C84023">
              <w:rPr>
                <w:rFonts w:cstheme="minorHAnsi"/>
                <w:color w:val="231F20"/>
                <w:spacing w:val="5"/>
                <w:w w:val="105"/>
              </w:rPr>
              <w:t xml:space="preserve"> </w:t>
            </w:r>
            <w:r w:rsidRPr="00C84023">
              <w:rPr>
                <w:rFonts w:cstheme="minorHAnsi"/>
                <w:color w:val="231F20"/>
                <w:w w:val="105"/>
              </w:rPr>
              <w:t>workforce</w:t>
            </w:r>
            <w:r w:rsidRPr="00C84023">
              <w:rPr>
                <w:rFonts w:cstheme="minorHAnsi"/>
                <w:color w:val="231F20"/>
                <w:spacing w:val="5"/>
                <w:w w:val="105"/>
              </w:rPr>
              <w:t xml:space="preserve"> </w:t>
            </w:r>
            <w:r w:rsidRPr="00C84023">
              <w:rPr>
                <w:rFonts w:cstheme="minorHAnsi"/>
                <w:color w:val="231F20"/>
                <w:w w:val="105"/>
              </w:rPr>
              <w:t>preparation skills at grade level equivalency</w:t>
            </w:r>
            <w:r w:rsidRPr="00C84023">
              <w:rPr>
                <w:rFonts w:cstheme="minorHAnsi"/>
                <w:color w:val="231F20"/>
                <w:spacing w:val="-50"/>
                <w:w w:val="105"/>
              </w:rPr>
              <w:t xml:space="preserve"> </w:t>
            </w:r>
            <w:r w:rsidRPr="00C84023">
              <w:rPr>
                <w:rFonts w:cstheme="minorHAnsi"/>
                <w:color w:val="231F20"/>
                <w:w w:val="105"/>
              </w:rPr>
              <w:t>of</w:t>
            </w:r>
            <w:r w:rsidRPr="00C84023">
              <w:rPr>
                <w:rFonts w:cstheme="minorHAnsi"/>
                <w:color w:val="231F20"/>
                <w:spacing w:val="28"/>
                <w:w w:val="105"/>
              </w:rPr>
              <w:t xml:space="preserve"> </w:t>
            </w:r>
            <w:r w:rsidRPr="00C84023">
              <w:rPr>
                <w:rFonts w:cstheme="minorHAnsi"/>
                <w:color w:val="231F20"/>
                <w:w w:val="105"/>
              </w:rPr>
              <w:t>0-8.9.</w:t>
            </w:r>
            <w:r w:rsidRPr="00C84023">
              <w:rPr>
                <w:rFonts w:cstheme="minorHAnsi"/>
                <w:color w:val="231F20"/>
                <w:spacing w:val="28"/>
                <w:w w:val="105"/>
              </w:rPr>
              <w:t xml:space="preserve"> </w:t>
            </w:r>
            <w:r w:rsidRPr="00C84023">
              <w:rPr>
                <w:rFonts w:cstheme="minorHAnsi"/>
                <w:w w:val="105"/>
              </w:rPr>
              <w:t>These</w:t>
            </w:r>
            <w:r w:rsidRPr="00C84023">
              <w:rPr>
                <w:rFonts w:cstheme="minorHAnsi"/>
                <w:spacing w:val="28"/>
                <w:w w:val="105"/>
              </w:rPr>
              <w:t xml:space="preserve"> </w:t>
            </w:r>
            <w:r w:rsidRPr="00C84023">
              <w:rPr>
                <w:rFonts w:cstheme="minorHAnsi"/>
                <w:w w:val="105"/>
              </w:rPr>
              <w:t>courses</w:t>
            </w:r>
            <w:r w:rsidRPr="00C84023">
              <w:rPr>
                <w:rFonts w:cstheme="minorHAnsi"/>
                <w:spacing w:val="28"/>
                <w:w w:val="105"/>
              </w:rPr>
              <w:t xml:space="preserve"> </w:t>
            </w:r>
            <w:r w:rsidRPr="00C84023">
              <w:rPr>
                <w:rFonts w:cstheme="minorHAnsi"/>
                <w:w w:val="105"/>
              </w:rPr>
              <w:t>are</w:t>
            </w:r>
            <w:r w:rsidRPr="00C84023">
              <w:rPr>
                <w:rFonts w:cstheme="minorHAnsi"/>
                <w:spacing w:val="28"/>
                <w:w w:val="105"/>
              </w:rPr>
              <w:t xml:space="preserve"> </w:t>
            </w:r>
            <w:r w:rsidRPr="00C84023">
              <w:rPr>
                <w:rFonts w:cstheme="minorHAnsi"/>
                <w:w w:val="105"/>
              </w:rPr>
              <w:t>based</w:t>
            </w:r>
            <w:r w:rsidRPr="00C84023">
              <w:rPr>
                <w:rFonts w:cstheme="minorHAnsi"/>
                <w:spacing w:val="28"/>
                <w:w w:val="105"/>
              </w:rPr>
              <w:t xml:space="preserve"> </w:t>
            </w:r>
            <w:r w:rsidRPr="00C84023">
              <w:rPr>
                <w:rFonts w:cstheme="minorHAnsi"/>
                <w:w w:val="105"/>
              </w:rPr>
              <w:t>on</w:t>
            </w:r>
            <w:r w:rsidRPr="00C84023">
              <w:rPr>
                <w:rFonts w:cstheme="minorHAnsi"/>
                <w:spacing w:val="28"/>
                <w:w w:val="105"/>
              </w:rPr>
              <w:t xml:space="preserve"> </w:t>
            </w:r>
            <w:r w:rsidRPr="00C84023">
              <w:rPr>
                <w:rFonts w:cstheme="minorHAnsi"/>
                <w:w w:val="105"/>
              </w:rPr>
              <w:t>the</w:t>
            </w:r>
            <w:r w:rsidRPr="00C84023">
              <w:rPr>
                <w:rFonts w:cstheme="minorHAnsi"/>
                <w:spacing w:val="28"/>
                <w:w w:val="105"/>
              </w:rPr>
              <w:t xml:space="preserve"> </w:t>
            </w:r>
            <w:r w:rsidRPr="00C84023">
              <w:rPr>
                <w:rFonts w:cstheme="minorHAnsi"/>
                <w:w w:val="105"/>
              </w:rPr>
              <w:t>College</w:t>
            </w:r>
            <w:r w:rsidRPr="00C84023">
              <w:rPr>
                <w:rFonts w:cstheme="minorHAnsi"/>
                <w:spacing w:val="28"/>
                <w:w w:val="105"/>
              </w:rPr>
              <w:t xml:space="preserve"> </w:t>
            </w:r>
            <w:r w:rsidRPr="00C84023">
              <w:rPr>
                <w:rFonts w:cstheme="minorHAnsi"/>
                <w:w w:val="105"/>
              </w:rPr>
              <w:t>and</w:t>
            </w:r>
            <w:r w:rsidRPr="00C84023">
              <w:rPr>
                <w:rFonts w:cstheme="minorHAnsi"/>
                <w:spacing w:val="28"/>
                <w:w w:val="105"/>
              </w:rPr>
              <w:t xml:space="preserve"> </w:t>
            </w:r>
            <w:r w:rsidRPr="00C84023">
              <w:rPr>
                <w:rFonts w:cstheme="minorHAnsi"/>
                <w:w w:val="105"/>
              </w:rPr>
              <w:t>Career</w:t>
            </w:r>
            <w:r w:rsidRPr="00C84023">
              <w:rPr>
                <w:rFonts w:cstheme="minorHAnsi"/>
                <w:spacing w:val="28"/>
                <w:w w:val="105"/>
              </w:rPr>
              <w:t xml:space="preserve"> </w:t>
            </w:r>
            <w:r w:rsidRPr="00C84023">
              <w:rPr>
                <w:rFonts w:cstheme="minorHAnsi"/>
                <w:w w:val="105"/>
              </w:rPr>
              <w:t>Readiness</w:t>
            </w:r>
            <w:r w:rsidRPr="00C84023">
              <w:rPr>
                <w:rFonts w:cstheme="minorHAnsi"/>
                <w:spacing w:val="-46"/>
                <w:w w:val="105"/>
              </w:rPr>
              <w:t xml:space="preserve"> </w:t>
            </w:r>
            <w:r w:rsidRPr="00C84023">
              <w:rPr>
                <w:rFonts w:cstheme="minorHAnsi"/>
                <w:w w:val="105"/>
              </w:rPr>
              <w:t>Standards for Adult</w:t>
            </w:r>
            <w:r w:rsidRPr="00C84023">
              <w:rPr>
                <w:rFonts w:cstheme="minorHAnsi"/>
                <w:spacing w:val="47"/>
                <w:w w:val="105"/>
              </w:rPr>
              <w:t xml:space="preserve"> </w:t>
            </w:r>
            <w:r w:rsidRPr="00C84023">
              <w:rPr>
                <w:rFonts w:cstheme="minorHAnsi"/>
                <w:w w:val="105"/>
              </w:rPr>
              <w:t>Education.</w:t>
            </w:r>
          </w:p>
        </w:tc>
      </w:tr>
      <w:tr w:rsidR="004A50D5" w:rsidRPr="00C84023" w14:paraId="3FD12B2D" w14:textId="77777777" w:rsidTr="00D1174B">
        <w:trPr>
          <w:trHeight w:hRule="exact" w:val="1918"/>
        </w:trPr>
        <w:tc>
          <w:tcPr>
            <w:tcW w:w="3039" w:type="dxa"/>
          </w:tcPr>
          <w:p w14:paraId="5D8B251C" w14:textId="77777777" w:rsidR="004A50D5" w:rsidRPr="00C84023" w:rsidRDefault="004A50D5" w:rsidP="00691C52">
            <w:pPr>
              <w:widowControl w:val="0"/>
              <w:spacing w:before="42" w:after="0" w:line="240" w:lineRule="auto"/>
              <w:ind w:left="90"/>
              <w:rPr>
                <w:rFonts w:cstheme="minorHAnsi"/>
              </w:rPr>
            </w:pPr>
            <w:r w:rsidRPr="00C84023">
              <w:rPr>
                <w:rFonts w:cstheme="minorHAnsi"/>
                <w:b/>
                <w:color w:val="231F20"/>
                <w:w w:val="110"/>
              </w:rPr>
              <w:t>Adult High School</w:t>
            </w:r>
            <w:r w:rsidRPr="00C84023">
              <w:rPr>
                <w:rFonts w:cstheme="minorHAnsi"/>
                <w:b/>
                <w:color w:val="231F20"/>
                <w:spacing w:val="13"/>
                <w:w w:val="110"/>
              </w:rPr>
              <w:t xml:space="preserve"> </w:t>
            </w:r>
            <w:r w:rsidRPr="00C84023">
              <w:rPr>
                <w:rFonts w:cstheme="minorHAnsi"/>
                <w:b/>
                <w:color w:val="231F20"/>
                <w:w w:val="110"/>
              </w:rPr>
              <w:t>Program</w:t>
            </w:r>
          </w:p>
        </w:tc>
        <w:tc>
          <w:tcPr>
            <w:tcW w:w="7100" w:type="dxa"/>
          </w:tcPr>
          <w:p w14:paraId="3E1B7E83" w14:textId="4126BFC2" w:rsidR="004A50D5" w:rsidRPr="00C84023" w:rsidRDefault="004A50D5" w:rsidP="00D63204">
            <w:pPr>
              <w:widowControl w:val="0"/>
              <w:spacing w:before="40" w:after="0" w:line="264" w:lineRule="exact"/>
              <w:ind w:left="90"/>
              <w:rPr>
                <w:rFonts w:cstheme="minorHAnsi"/>
              </w:rPr>
            </w:pPr>
            <w:r w:rsidRPr="00C84023">
              <w:rPr>
                <w:rFonts w:cstheme="minorHAnsi"/>
                <w:color w:val="231F20"/>
                <w:w w:val="105"/>
              </w:rPr>
              <w:t>This</w:t>
            </w:r>
            <w:r w:rsidRPr="00C84023">
              <w:rPr>
                <w:rFonts w:cstheme="minorHAnsi"/>
                <w:color w:val="231F20"/>
                <w:spacing w:val="44"/>
                <w:w w:val="105"/>
              </w:rPr>
              <w:t xml:space="preserve"> </w:t>
            </w:r>
            <w:r w:rsidRPr="00C84023">
              <w:rPr>
                <w:rFonts w:cstheme="minorHAnsi"/>
                <w:color w:val="231F20"/>
                <w:w w:val="105"/>
              </w:rPr>
              <w:t>program</w:t>
            </w:r>
            <w:r w:rsidRPr="00C84023">
              <w:rPr>
                <w:rFonts w:cstheme="minorHAnsi"/>
                <w:color w:val="231F20"/>
                <w:spacing w:val="44"/>
                <w:w w:val="105"/>
              </w:rPr>
              <w:t xml:space="preserve"> </w:t>
            </w:r>
            <w:r w:rsidRPr="00C84023">
              <w:rPr>
                <w:rFonts w:cstheme="minorHAnsi"/>
                <w:color w:val="231F20"/>
                <w:w w:val="105"/>
              </w:rPr>
              <w:t>is</w:t>
            </w:r>
            <w:r w:rsidRPr="00C84023">
              <w:rPr>
                <w:rFonts w:cstheme="minorHAnsi"/>
                <w:color w:val="231F20"/>
                <w:spacing w:val="44"/>
                <w:w w:val="105"/>
              </w:rPr>
              <w:t xml:space="preserve"> </w:t>
            </w:r>
            <w:r w:rsidRPr="00C84023">
              <w:rPr>
                <w:rFonts w:cstheme="minorHAnsi"/>
                <w:color w:val="231F20"/>
                <w:w w:val="105"/>
              </w:rPr>
              <w:t>designed</w:t>
            </w:r>
            <w:r w:rsidRPr="00C84023">
              <w:rPr>
                <w:rFonts w:cstheme="minorHAnsi"/>
                <w:color w:val="231F20"/>
                <w:spacing w:val="44"/>
                <w:w w:val="105"/>
              </w:rPr>
              <w:t xml:space="preserve"> </w:t>
            </w:r>
            <w:r w:rsidRPr="00C84023">
              <w:rPr>
                <w:rFonts w:cstheme="minorHAnsi"/>
                <w:color w:val="231F20"/>
                <w:w w:val="105"/>
              </w:rPr>
              <w:t>for</w:t>
            </w:r>
            <w:r w:rsidRPr="00C84023">
              <w:rPr>
                <w:rFonts w:cstheme="minorHAnsi"/>
                <w:color w:val="231F20"/>
                <w:spacing w:val="44"/>
                <w:w w:val="105"/>
              </w:rPr>
              <w:t xml:space="preserve"> </w:t>
            </w:r>
            <w:r w:rsidRPr="00C84023">
              <w:rPr>
                <w:rFonts w:cstheme="minorHAnsi"/>
                <w:color w:val="231F20"/>
                <w:w w:val="105"/>
              </w:rPr>
              <w:t>students</w:t>
            </w:r>
            <w:r w:rsidRPr="00C84023">
              <w:rPr>
                <w:rFonts w:cstheme="minorHAnsi"/>
                <w:color w:val="231F20"/>
                <w:spacing w:val="44"/>
                <w:w w:val="105"/>
              </w:rPr>
              <w:t xml:space="preserve"> </w:t>
            </w:r>
            <w:r w:rsidRPr="00C84023">
              <w:rPr>
                <w:rFonts w:cstheme="minorHAnsi"/>
                <w:color w:val="231F20"/>
                <w:w w:val="105"/>
              </w:rPr>
              <w:t>to</w:t>
            </w:r>
            <w:r w:rsidRPr="00C84023">
              <w:rPr>
                <w:rFonts w:cstheme="minorHAnsi"/>
                <w:color w:val="231F20"/>
                <w:spacing w:val="44"/>
                <w:w w:val="105"/>
              </w:rPr>
              <w:t xml:space="preserve"> </w:t>
            </w:r>
            <w:r w:rsidRPr="00C84023">
              <w:rPr>
                <w:rFonts w:cstheme="minorHAnsi"/>
                <w:color w:val="231F20"/>
                <w:w w:val="105"/>
              </w:rPr>
              <w:t>receive</w:t>
            </w:r>
            <w:r w:rsidRPr="00C84023">
              <w:rPr>
                <w:rFonts w:cstheme="minorHAnsi"/>
                <w:color w:val="231F20"/>
                <w:spacing w:val="44"/>
                <w:w w:val="105"/>
              </w:rPr>
              <w:t xml:space="preserve"> </w:t>
            </w:r>
            <w:r w:rsidRPr="00C84023">
              <w:rPr>
                <w:rFonts w:cstheme="minorHAnsi"/>
                <w:color w:val="231F20"/>
                <w:w w:val="105"/>
              </w:rPr>
              <w:t>high</w:t>
            </w:r>
            <w:r w:rsidRPr="00C84023">
              <w:rPr>
                <w:rFonts w:cstheme="minorHAnsi"/>
                <w:color w:val="231F20"/>
                <w:spacing w:val="44"/>
                <w:w w:val="105"/>
              </w:rPr>
              <w:t xml:space="preserve"> </w:t>
            </w:r>
            <w:r w:rsidRPr="00C84023">
              <w:rPr>
                <w:rFonts w:cstheme="minorHAnsi"/>
                <w:color w:val="231F20"/>
                <w:w w:val="105"/>
              </w:rPr>
              <w:t>school</w:t>
            </w:r>
            <w:r w:rsidRPr="00C84023">
              <w:rPr>
                <w:rFonts w:cstheme="minorHAnsi"/>
                <w:color w:val="231F20"/>
                <w:spacing w:val="44"/>
                <w:w w:val="105"/>
              </w:rPr>
              <w:t xml:space="preserve"> </w:t>
            </w:r>
            <w:r w:rsidRPr="00C84023">
              <w:rPr>
                <w:rFonts w:cstheme="minorHAnsi"/>
                <w:color w:val="231F20"/>
                <w:w w:val="105"/>
              </w:rPr>
              <w:t>credit</w:t>
            </w:r>
            <w:r w:rsidRPr="00C84023">
              <w:rPr>
                <w:rFonts w:cstheme="minorHAnsi"/>
                <w:color w:val="231F20"/>
                <w:spacing w:val="44"/>
                <w:w w:val="105"/>
              </w:rPr>
              <w:t xml:space="preserve"> </w:t>
            </w:r>
            <w:r w:rsidRPr="00C84023">
              <w:rPr>
                <w:rFonts w:cstheme="minorHAnsi"/>
                <w:color w:val="231F20"/>
                <w:w w:val="105"/>
              </w:rPr>
              <w:t>in</w:t>
            </w:r>
            <w:r w:rsidRPr="00C84023">
              <w:rPr>
                <w:rFonts w:cstheme="minorHAnsi"/>
                <w:color w:val="231F20"/>
                <w:spacing w:val="-50"/>
                <w:w w:val="105"/>
              </w:rPr>
              <w:t xml:space="preserve"> </w:t>
            </w:r>
            <w:r w:rsidRPr="00C84023">
              <w:rPr>
                <w:rFonts w:cstheme="minorHAnsi"/>
                <w:color w:val="231F20"/>
                <w:w w:val="105"/>
              </w:rPr>
              <w:t>one</w:t>
            </w:r>
            <w:r w:rsidRPr="00C84023">
              <w:rPr>
                <w:rFonts w:cstheme="minorHAnsi"/>
                <w:color w:val="231F20"/>
                <w:spacing w:val="8"/>
                <w:w w:val="105"/>
              </w:rPr>
              <w:t xml:space="preserve"> </w:t>
            </w:r>
            <w:r w:rsidRPr="00C84023">
              <w:rPr>
                <w:rFonts w:cstheme="minorHAnsi"/>
                <w:color w:val="231F20"/>
                <w:w w:val="105"/>
              </w:rPr>
              <w:t>or</w:t>
            </w:r>
            <w:r w:rsidRPr="00C84023">
              <w:rPr>
                <w:rFonts w:cstheme="minorHAnsi"/>
                <w:color w:val="231F20"/>
                <w:spacing w:val="8"/>
                <w:w w:val="105"/>
              </w:rPr>
              <w:t xml:space="preserve"> </w:t>
            </w:r>
            <w:r w:rsidRPr="00C84023">
              <w:rPr>
                <w:rFonts w:cstheme="minorHAnsi"/>
                <w:color w:val="231F20"/>
                <w:w w:val="105"/>
              </w:rPr>
              <w:t>more</w:t>
            </w:r>
            <w:r w:rsidRPr="00C84023">
              <w:rPr>
                <w:rFonts w:cstheme="minorHAnsi"/>
                <w:color w:val="231F20"/>
                <w:spacing w:val="8"/>
                <w:w w:val="105"/>
              </w:rPr>
              <w:t xml:space="preserve"> </w:t>
            </w:r>
            <w:r w:rsidRPr="00C84023">
              <w:rPr>
                <w:rFonts w:cstheme="minorHAnsi"/>
                <w:color w:val="231F20"/>
                <w:w w:val="105"/>
              </w:rPr>
              <w:t>courses</w:t>
            </w:r>
            <w:r w:rsidRPr="00C84023">
              <w:rPr>
                <w:rFonts w:cstheme="minorHAnsi"/>
                <w:color w:val="231F20"/>
                <w:spacing w:val="8"/>
                <w:w w:val="105"/>
              </w:rPr>
              <w:t xml:space="preserve"> </w:t>
            </w:r>
            <w:r w:rsidRPr="00C84023">
              <w:rPr>
                <w:rFonts w:cstheme="minorHAnsi"/>
                <w:color w:val="231F20"/>
                <w:w w:val="105"/>
              </w:rPr>
              <w:t>leading</w:t>
            </w:r>
            <w:r w:rsidRPr="00C84023">
              <w:rPr>
                <w:rFonts w:cstheme="minorHAnsi"/>
                <w:color w:val="231F20"/>
                <w:spacing w:val="8"/>
                <w:w w:val="105"/>
              </w:rPr>
              <w:t xml:space="preserve"> </w:t>
            </w:r>
            <w:r w:rsidRPr="00C84023">
              <w:rPr>
                <w:rFonts w:cstheme="minorHAnsi"/>
                <w:color w:val="231F20"/>
                <w:w w:val="105"/>
              </w:rPr>
              <w:t>to</w:t>
            </w:r>
            <w:r w:rsidRPr="00C84023">
              <w:rPr>
                <w:rFonts w:cstheme="minorHAnsi"/>
                <w:color w:val="231F20"/>
                <w:spacing w:val="8"/>
                <w:w w:val="105"/>
              </w:rPr>
              <w:t xml:space="preserve"> </w:t>
            </w:r>
            <w:r w:rsidRPr="00C84023">
              <w:rPr>
                <w:rFonts w:cstheme="minorHAnsi"/>
                <w:color w:val="231F20"/>
                <w:w w:val="105"/>
              </w:rPr>
              <w:t>a</w:t>
            </w:r>
            <w:r w:rsidRPr="00C84023">
              <w:rPr>
                <w:rFonts w:cstheme="minorHAnsi"/>
                <w:color w:val="231F20"/>
                <w:spacing w:val="8"/>
                <w:w w:val="105"/>
              </w:rPr>
              <w:t xml:space="preserve"> </w:t>
            </w:r>
            <w:r w:rsidRPr="00C84023">
              <w:rPr>
                <w:rFonts w:cstheme="minorHAnsi"/>
                <w:color w:val="231F20"/>
                <w:w w:val="105"/>
              </w:rPr>
              <w:t>standard</w:t>
            </w:r>
            <w:r w:rsidRPr="00C84023">
              <w:rPr>
                <w:rFonts w:cstheme="minorHAnsi"/>
                <w:color w:val="231F20"/>
                <w:spacing w:val="8"/>
                <w:w w:val="105"/>
              </w:rPr>
              <w:t xml:space="preserve"> </w:t>
            </w:r>
            <w:r w:rsidRPr="00C84023">
              <w:rPr>
                <w:rFonts w:cstheme="minorHAnsi"/>
                <w:color w:val="231F20"/>
                <w:w w:val="105"/>
              </w:rPr>
              <w:t>high</w:t>
            </w:r>
            <w:r w:rsidRPr="00C84023">
              <w:rPr>
                <w:rFonts w:cstheme="minorHAnsi"/>
                <w:color w:val="231F20"/>
                <w:spacing w:val="8"/>
                <w:w w:val="105"/>
              </w:rPr>
              <w:t xml:space="preserve"> </w:t>
            </w:r>
            <w:r w:rsidRPr="00C84023">
              <w:rPr>
                <w:rFonts w:cstheme="minorHAnsi"/>
                <w:color w:val="231F20"/>
                <w:w w:val="105"/>
              </w:rPr>
              <w:t>school</w:t>
            </w:r>
            <w:r w:rsidRPr="00C84023">
              <w:rPr>
                <w:rFonts w:cstheme="minorHAnsi"/>
                <w:color w:val="231F20"/>
                <w:spacing w:val="8"/>
                <w:w w:val="105"/>
              </w:rPr>
              <w:t xml:space="preserve"> </w:t>
            </w:r>
            <w:r w:rsidRPr="00C84023">
              <w:rPr>
                <w:rFonts w:cstheme="minorHAnsi"/>
                <w:color w:val="231F20"/>
                <w:w w:val="105"/>
              </w:rPr>
              <w:t>diploma.</w:t>
            </w:r>
            <w:r w:rsidRPr="00C84023">
              <w:rPr>
                <w:rFonts w:cstheme="minorHAnsi"/>
                <w:color w:val="231F20"/>
                <w:spacing w:val="8"/>
                <w:w w:val="105"/>
              </w:rPr>
              <w:t xml:space="preserve"> </w:t>
            </w:r>
            <w:r w:rsidRPr="00C84023">
              <w:rPr>
                <w:rFonts w:cstheme="minorHAnsi"/>
                <w:color w:val="231F20"/>
                <w:w w:val="105"/>
              </w:rPr>
              <w:t>Students</w:t>
            </w:r>
            <w:r w:rsidRPr="00C84023">
              <w:rPr>
                <w:rFonts w:cstheme="minorHAnsi"/>
                <w:color w:val="231F20"/>
                <w:spacing w:val="-50"/>
                <w:w w:val="105"/>
              </w:rPr>
              <w:t xml:space="preserve"> </w:t>
            </w:r>
            <w:r w:rsidRPr="00C84023">
              <w:rPr>
                <w:rFonts w:cstheme="minorHAnsi"/>
                <w:color w:val="231F20"/>
                <w:w w:val="105"/>
              </w:rPr>
              <w:t>obtain</w:t>
            </w:r>
            <w:r w:rsidRPr="00C84023">
              <w:rPr>
                <w:rFonts w:cstheme="minorHAnsi"/>
                <w:color w:val="231F20"/>
                <w:spacing w:val="30"/>
                <w:w w:val="105"/>
              </w:rPr>
              <w:t xml:space="preserve"> </w:t>
            </w:r>
            <w:r w:rsidRPr="00C84023">
              <w:rPr>
                <w:rFonts w:cstheme="minorHAnsi"/>
                <w:color w:val="231F20"/>
                <w:w w:val="105"/>
              </w:rPr>
              <w:t>credits</w:t>
            </w:r>
            <w:r w:rsidRPr="00C84023">
              <w:rPr>
                <w:rFonts w:cstheme="minorHAnsi"/>
                <w:color w:val="231F20"/>
                <w:spacing w:val="30"/>
                <w:w w:val="105"/>
              </w:rPr>
              <w:t xml:space="preserve"> </w:t>
            </w:r>
            <w:r w:rsidRPr="00C84023">
              <w:rPr>
                <w:rFonts w:cstheme="minorHAnsi"/>
                <w:color w:val="231F20"/>
                <w:w w:val="105"/>
              </w:rPr>
              <w:t>upon</w:t>
            </w:r>
            <w:r w:rsidRPr="00C84023">
              <w:rPr>
                <w:rFonts w:cstheme="minorHAnsi"/>
                <w:color w:val="231F20"/>
                <w:spacing w:val="30"/>
                <w:w w:val="105"/>
              </w:rPr>
              <w:t xml:space="preserve"> </w:t>
            </w:r>
            <w:r w:rsidRPr="00C84023">
              <w:rPr>
                <w:rFonts w:cstheme="minorHAnsi"/>
                <w:color w:val="231F20"/>
                <w:w w:val="105"/>
              </w:rPr>
              <w:t>completion</w:t>
            </w:r>
            <w:r w:rsidRPr="00C84023">
              <w:rPr>
                <w:rFonts w:cstheme="minorHAnsi"/>
                <w:color w:val="231F20"/>
                <w:spacing w:val="30"/>
                <w:w w:val="105"/>
              </w:rPr>
              <w:t xml:space="preserve"> </w:t>
            </w:r>
            <w:r w:rsidRPr="00C84023">
              <w:rPr>
                <w:rFonts w:cstheme="minorHAnsi"/>
                <w:color w:val="231F20"/>
                <w:w w:val="105"/>
              </w:rPr>
              <w:t>of</w:t>
            </w:r>
            <w:r w:rsidRPr="00C84023">
              <w:rPr>
                <w:rFonts w:cstheme="minorHAnsi"/>
                <w:color w:val="231F20"/>
                <w:spacing w:val="30"/>
                <w:w w:val="105"/>
              </w:rPr>
              <w:t xml:space="preserve"> </w:t>
            </w:r>
            <w:r w:rsidRPr="00C84023">
              <w:rPr>
                <w:rFonts w:cstheme="minorHAnsi"/>
                <w:color w:val="231F20"/>
                <w:w w:val="105"/>
              </w:rPr>
              <w:t>courses</w:t>
            </w:r>
            <w:r w:rsidRPr="00C84023">
              <w:rPr>
                <w:rFonts w:cstheme="minorHAnsi"/>
                <w:color w:val="231F20"/>
                <w:spacing w:val="30"/>
                <w:w w:val="105"/>
              </w:rPr>
              <w:t xml:space="preserve"> </w:t>
            </w:r>
            <w:r w:rsidRPr="00C84023">
              <w:rPr>
                <w:rFonts w:cstheme="minorHAnsi"/>
                <w:color w:val="231F20"/>
                <w:w w:val="105"/>
              </w:rPr>
              <w:t>and</w:t>
            </w:r>
            <w:r w:rsidRPr="00C84023">
              <w:rPr>
                <w:rFonts w:cstheme="minorHAnsi"/>
                <w:color w:val="231F20"/>
                <w:spacing w:val="30"/>
                <w:w w:val="105"/>
              </w:rPr>
              <w:t xml:space="preserve"> </w:t>
            </w:r>
            <w:r w:rsidRPr="00C84023">
              <w:rPr>
                <w:rFonts w:cstheme="minorHAnsi"/>
                <w:color w:val="231F20"/>
                <w:w w:val="105"/>
              </w:rPr>
              <w:t>passing</w:t>
            </w:r>
            <w:r w:rsidRPr="00C84023">
              <w:rPr>
                <w:rFonts w:cstheme="minorHAnsi"/>
                <w:color w:val="231F20"/>
                <w:spacing w:val="30"/>
                <w:w w:val="105"/>
              </w:rPr>
              <w:t xml:space="preserve"> </w:t>
            </w:r>
            <w:r w:rsidRPr="00C84023">
              <w:rPr>
                <w:rFonts w:cstheme="minorHAnsi"/>
                <w:color w:val="231F20"/>
                <w:w w:val="105"/>
              </w:rPr>
              <w:t>state</w:t>
            </w:r>
            <w:r w:rsidRPr="00C84023">
              <w:rPr>
                <w:rFonts w:cstheme="minorHAnsi"/>
                <w:color w:val="231F20"/>
                <w:spacing w:val="30"/>
                <w:w w:val="105"/>
              </w:rPr>
              <w:t xml:space="preserve"> </w:t>
            </w:r>
            <w:r w:rsidRPr="00C84023">
              <w:rPr>
                <w:rFonts w:cstheme="minorHAnsi"/>
                <w:color w:val="231F20"/>
                <w:w w:val="105"/>
              </w:rPr>
              <w:t>mandated</w:t>
            </w:r>
            <w:r w:rsidRPr="00C84023">
              <w:rPr>
                <w:rFonts w:cstheme="minorHAnsi"/>
                <w:color w:val="231F20"/>
                <w:spacing w:val="-50"/>
                <w:w w:val="105"/>
              </w:rPr>
              <w:t xml:space="preserve"> </w:t>
            </w:r>
            <w:r w:rsidRPr="00C84023">
              <w:rPr>
                <w:rFonts w:cstheme="minorHAnsi"/>
                <w:color w:val="231F20"/>
                <w:w w:val="105"/>
              </w:rPr>
              <w:t>assessments</w:t>
            </w:r>
            <w:r w:rsidRPr="00C84023">
              <w:rPr>
                <w:rFonts w:cstheme="minorHAnsi"/>
                <w:color w:val="231F20"/>
                <w:spacing w:val="42"/>
                <w:w w:val="105"/>
              </w:rPr>
              <w:t xml:space="preserve"> </w:t>
            </w:r>
            <w:r w:rsidRPr="00C84023">
              <w:rPr>
                <w:rFonts w:cstheme="minorHAnsi"/>
                <w:color w:val="231F20"/>
                <w:w w:val="105"/>
              </w:rPr>
              <w:t>necessary</w:t>
            </w:r>
            <w:r w:rsidRPr="00C84023">
              <w:rPr>
                <w:rFonts w:cstheme="minorHAnsi"/>
                <w:color w:val="231F20"/>
                <w:spacing w:val="42"/>
                <w:w w:val="105"/>
              </w:rPr>
              <w:t xml:space="preserve"> </w:t>
            </w:r>
            <w:r w:rsidRPr="00C84023">
              <w:rPr>
                <w:rFonts w:cstheme="minorHAnsi"/>
                <w:color w:val="231F20"/>
                <w:w w:val="105"/>
              </w:rPr>
              <w:t>to</w:t>
            </w:r>
            <w:r w:rsidRPr="00C84023">
              <w:rPr>
                <w:rFonts w:cstheme="minorHAnsi"/>
                <w:color w:val="231F20"/>
                <w:spacing w:val="42"/>
                <w:w w:val="105"/>
              </w:rPr>
              <w:t xml:space="preserve"> </w:t>
            </w:r>
            <w:r w:rsidRPr="00C84023">
              <w:rPr>
                <w:rFonts w:cstheme="minorHAnsi"/>
                <w:color w:val="231F20"/>
                <w:w w:val="105"/>
              </w:rPr>
              <w:t>qualify</w:t>
            </w:r>
            <w:r w:rsidRPr="00C84023">
              <w:rPr>
                <w:rFonts w:cstheme="minorHAnsi"/>
                <w:color w:val="231F20"/>
                <w:spacing w:val="42"/>
                <w:w w:val="105"/>
              </w:rPr>
              <w:t xml:space="preserve"> </w:t>
            </w:r>
            <w:r w:rsidRPr="00C84023">
              <w:rPr>
                <w:rFonts w:cstheme="minorHAnsi"/>
                <w:color w:val="231F20"/>
                <w:w w:val="105"/>
              </w:rPr>
              <w:t>for</w:t>
            </w:r>
            <w:r w:rsidRPr="00C84023">
              <w:rPr>
                <w:rFonts w:cstheme="minorHAnsi"/>
                <w:color w:val="231F20"/>
                <w:spacing w:val="42"/>
                <w:w w:val="105"/>
              </w:rPr>
              <w:t xml:space="preserve"> </w:t>
            </w:r>
            <w:r w:rsidRPr="00C84023">
              <w:rPr>
                <w:rFonts w:cstheme="minorHAnsi"/>
                <w:color w:val="231F20"/>
                <w:w w:val="105"/>
              </w:rPr>
              <w:t>a</w:t>
            </w:r>
            <w:r w:rsidRPr="00C84023">
              <w:rPr>
                <w:rFonts w:cstheme="minorHAnsi"/>
                <w:color w:val="231F20"/>
                <w:spacing w:val="42"/>
                <w:w w:val="105"/>
              </w:rPr>
              <w:t xml:space="preserve"> </w:t>
            </w:r>
            <w:r w:rsidRPr="00C84023">
              <w:rPr>
                <w:rFonts w:cstheme="minorHAnsi"/>
                <w:color w:val="231F20"/>
                <w:w w:val="105"/>
              </w:rPr>
              <w:t>high</w:t>
            </w:r>
            <w:r w:rsidRPr="00C84023">
              <w:rPr>
                <w:rFonts w:cstheme="minorHAnsi"/>
                <w:color w:val="231F20"/>
                <w:spacing w:val="42"/>
                <w:w w:val="105"/>
              </w:rPr>
              <w:t xml:space="preserve"> </w:t>
            </w:r>
            <w:r w:rsidRPr="00C84023">
              <w:rPr>
                <w:rFonts w:cstheme="minorHAnsi"/>
                <w:color w:val="231F20"/>
                <w:w w:val="105"/>
              </w:rPr>
              <w:t>school</w:t>
            </w:r>
            <w:r w:rsidRPr="00C84023">
              <w:rPr>
                <w:rFonts w:cstheme="minorHAnsi"/>
                <w:color w:val="231F20"/>
                <w:spacing w:val="42"/>
                <w:w w:val="105"/>
              </w:rPr>
              <w:t xml:space="preserve"> </w:t>
            </w:r>
            <w:r w:rsidRPr="00C84023">
              <w:rPr>
                <w:rFonts w:cstheme="minorHAnsi"/>
                <w:color w:val="231F20"/>
                <w:w w:val="105"/>
              </w:rPr>
              <w:t>diploma.</w:t>
            </w:r>
            <w:r w:rsidRPr="00C84023">
              <w:rPr>
                <w:rFonts w:cstheme="minorHAnsi"/>
                <w:color w:val="231F20"/>
                <w:spacing w:val="42"/>
                <w:w w:val="105"/>
              </w:rPr>
              <w:t xml:space="preserve"> </w:t>
            </w:r>
            <w:r w:rsidRPr="00C84023">
              <w:rPr>
                <w:rFonts w:cstheme="minorHAnsi"/>
                <w:color w:val="231F20"/>
                <w:w w:val="105"/>
              </w:rPr>
              <w:t>Except</w:t>
            </w:r>
            <w:r w:rsidRPr="00C84023">
              <w:rPr>
                <w:rFonts w:cstheme="minorHAnsi"/>
                <w:color w:val="231F20"/>
                <w:spacing w:val="42"/>
                <w:w w:val="105"/>
              </w:rPr>
              <w:t xml:space="preserve"> </w:t>
            </w:r>
            <w:r w:rsidRPr="00C84023">
              <w:rPr>
                <w:rFonts w:cstheme="minorHAnsi"/>
                <w:color w:val="231F20"/>
                <w:w w:val="105"/>
              </w:rPr>
              <w:t>as</w:t>
            </w:r>
            <w:r w:rsidRPr="00C84023">
              <w:rPr>
                <w:rFonts w:cstheme="minorHAnsi"/>
                <w:color w:val="231F20"/>
                <w:spacing w:val="-49"/>
                <w:w w:val="105"/>
              </w:rPr>
              <w:t xml:space="preserve"> </w:t>
            </w:r>
            <w:r w:rsidRPr="00C84023">
              <w:rPr>
                <w:rFonts w:cstheme="minorHAnsi"/>
                <w:color w:val="231F20"/>
                <w:w w:val="105"/>
              </w:rPr>
              <w:t>provided</w:t>
            </w:r>
            <w:r w:rsidRPr="00C84023">
              <w:rPr>
                <w:rFonts w:cstheme="minorHAnsi"/>
                <w:color w:val="231F20"/>
                <w:spacing w:val="-9"/>
                <w:w w:val="105"/>
              </w:rPr>
              <w:t xml:space="preserve"> </w:t>
            </w:r>
            <w:r w:rsidRPr="00C84023">
              <w:rPr>
                <w:rFonts w:cstheme="minorHAnsi"/>
                <w:color w:val="231F20"/>
                <w:w w:val="105"/>
              </w:rPr>
              <w:t>elsewhere</w:t>
            </w:r>
            <w:r w:rsidRPr="00C84023">
              <w:rPr>
                <w:rFonts w:cstheme="minorHAnsi"/>
                <w:color w:val="231F20"/>
                <w:spacing w:val="-9"/>
                <w:w w:val="105"/>
              </w:rPr>
              <w:t xml:space="preserve"> </w:t>
            </w:r>
            <w:r w:rsidRPr="00C84023">
              <w:rPr>
                <w:rFonts w:cstheme="minorHAnsi"/>
                <w:color w:val="231F20"/>
                <w:w w:val="105"/>
              </w:rPr>
              <w:t>in</w:t>
            </w:r>
            <w:r w:rsidRPr="00C84023">
              <w:rPr>
                <w:rFonts w:cstheme="minorHAnsi"/>
                <w:color w:val="231F20"/>
                <w:spacing w:val="-9"/>
                <w:w w:val="105"/>
              </w:rPr>
              <w:t xml:space="preserve"> </w:t>
            </w:r>
            <w:r w:rsidRPr="00C84023">
              <w:rPr>
                <w:rFonts w:cstheme="minorHAnsi"/>
                <w:color w:val="231F20"/>
                <w:w w:val="105"/>
              </w:rPr>
              <w:t>law</w:t>
            </w:r>
            <w:r w:rsidRPr="00C84023">
              <w:rPr>
                <w:rFonts w:cstheme="minorHAnsi"/>
                <w:color w:val="231F20"/>
                <w:spacing w:val="-9"/>
                <w:w w:val="105"/>
              </w:rPr>
              <w:t xml:space="preserve"> </w:t>
            </w:r>
            <w:r w:rsidRPr="00C84023">
              <w:rPr>
                <w:rFonts w:cstheme="minorHAnsi"/>
                <w:color w:val="231F20"/>
                <w:w w:val="105"/>
              </w:rPr>
              <w:t>(section</w:t>
            </w:r>
            <w:r w:rsidRPr="00C84023">
              <w:rPr>
                <w:rFonts w:cstheme="minorHAnsi"/>
                <w:color w:val="231F20"/>
                <w:spacing w:val="-9"/>
                <w:w w:val="105"/>
              </w:rPr>
              <w:t xml:space="preserve"> </w:t>
            </w:r>
            <w:r w:rsidRPr="00C84023">
              <w:rPr>
                <w:rFonts w:cstheme="minorHAnsi"/>
                <w:color w:val="231F20"/>
                <w:w w:val="105"/>
              </w:rPr>
              <w:t>1003.4282,</w:t>
            </w:r>
            <w:r w:rsidRPr="00C84023">
              <w:rPr>
                <w:rFonts w:cstheme="minorHAnsi"/>
                <w:color w:val="231F20"/>
                <w:spacing w:val="-9"/>
                <w:w w:val="105"/>
              </w:rPr>
              <w:t xml:space="preserve"> </w:t>
            </w:r>
            <w:r w:rsidRPr="00C84023">
              <w:rPr>
                <w:rFonts w:cstheme="minorHAnsi"/>
                <w:color w:val="231F20"/>
                <w:w w:val="105"/>
              </w:rPr>
              <w:t>(7)(b)(1-3),</w:t>
            </w:r>
            <w:r w:rsidRPr="00C84023">
              <w:rPr>
                <w:rFonts w:cstheme="minorHAnsi"/>
                <w:color w:val="231F20"/>
                <w:spacing w:val="-9"/>
                <w:w w:val="105"/>
              </w:rPr>
              <w:t xml:space="preserve"> </w:t>
            </w:r>
            <w:r w:rsidRPr="00C84023">
              <w:rPr>
                <w:rFonts w:cstheme="minorHAnsi"/>
                <w:color w:val="231F20"/>
                <w:w w:val="105"/>
              </w:rPr>
              <w:t>Florida</w:t>
            </w:r>
            <w:r w:rsidRPr="00C84023">
              <w:rPr>
                <w:rFonts w:cstheme="minorHAnsi"/>
                <w:color w:val="231F20"/>
                <w:spacing w:val="-9"/>
                <w:w w:val="105"/>
              </w:rPr>
              <w:t xml:space="preserve"> </w:t>
            </w:r>
            <w:r w:rsidRPr="00C84023">
              <w:rPr>
                <w:rFonts w:cstheme="minorHAnsi"/>
                <w:color w:val="231F20"/>
                <w:w w:val="105"/>
              </w:rPr>
              <w:t>Statute),</w:t>
            </w:r>
            <w:r w:rsidRPr="00C84023">
              <w:rPr>
                <w:rFonts w:cstheme="minorHAnsi"/>
                <w:color w:val="231F20"/>
                <w:w w:val="98"/>
              </w:rPr>
              <w:t xml:space="preserve"> </w:t>
            </w:r>
            <w:r w:rsidRPr="00C84023">
              <w:rPr>
                <w:rFonts w:cstheme="minorHAnsi"/>
                <w:color w:val="231F20"/>
                <w:w w:val="105"/>
              </w:rPr>
              <w:t>graduation</w:t>
            </w:r>
            <w:r w:rsidRPr="00C84023">
              <w:rPr>
                <w:rFonts w:cstheme="minorHAnsi"/>
                <w:color w:val="231F20"/>
                <w:spacing w:val="38"/>
                <w:w w:val="105"/>
              </w:rPr>
              <w:t xml:space="preserve"> </w:t>
            </w:r>
            <w:r w:rsidRPr="00C84023">
              <w:rPr>
                <w:rFonts w:cstheme="minorHAnsi"/>
                <w:color w:val="231F20"/>
                <w:w w:val="105"/>
              </w:rPr>
              <w:t>requirements</w:t>
            </w:r>
            <w:r w:rsidRPr="00C84023">
              <w:rPr>
                <w:rFonts w:cstheme="minorHAnsi"/>
                <w:color w:val="231F20"/>
                <w:spacing w:val="38"/>
                <w:w w:val="105"/>
              </w:rPr>
              <w:t xml:space="preserve"> </w:t>
            </w:r>
            <w:r w:rsidRPr="00C84023">
              <w:rPr>
                <w:rFonts w:cstheme="minorHAnsi"/>
                <w:color w:val="231F20"/>
                <w:w w:val="105"/>
              </w:rPr>
              <w:t>for</w:t>
            </w:r>
            <w:r w:rsidRPr="00C84023">
              <w:rPr>
                <w:rFonts w:cstheme="minorHAnsi"/>
                <w:color w:val="231F20"/>
                <w:spacing w:val="38"/>
                <w:w w:val="105"/>
              </w:rPr>
              <w:t xml:space="preserve"> </w:t>
            </w:r>
            <w:r w:rsidRPr="00C84023">
              <w:rPr>
                <w:rFonts w:cstheme="minorHAnsi"/>
                <w:color w:val="231F20"/>
                <w:w w:val="105"/>
              </w:rPr>
              <w:t>adults</w:t>
            </w:r>
            <w:r w:rsidRPr="00C84023">
              <w:rPr>
                <w:rFonts w:cstheme="minorHAnsi"/>
                <w:color w:val="231F20"/>
                <w:spacing w:val="38"/>
                <w:w w:val="105"/>
              </w:rPr>
              <w:t xml:space="preserve"> </w:t>
            </w:r>
            <w:r w:rsidRPr="00C84023">
              <w:rPr>
                <w:rFonts w:cstheme="minorHAnsi"/>
                <w:color w:val="231F20"/>
                <w:w w:val="105"/>
              </w:rPr>
              <w:t>are the</w:t>
            </w:r>
            <w:r w:rsidRPr="00C84023">
              <w:rPr>
                <w:rFonts w:cstheme="minorHAnsi"/>
                <w:color w:val="231F20"/>
                <w:spacing w:val="38"/>
                <w:w w:val="105"/>
              </w:rPr>
              <w:t xml:space="preserve"> </w:t>
            </w:r>
            <w:r w:rsidRPr="00C84023">
              <w:rPr>
                <w:rFonts w:cstheme="minorHAnsi"/>
                <w:color w:val="231F20"/>
                <w:w w:val="105"/>
              </w:rPr>
              <w:t>same</w:t>
            </w:r>
            <w:r w:rsidRPr="00C84023">
              <w:rPr>
                <w:rFonts w:cstheme="minorHAnsi"/>
                <w:color w:val="231F20"/>
                <w:spacing w:val="38"/>
                <w:w w:val="105"/>
              </w:rPr>
              <w:t xml:space="preserve"> </w:t>
            </w:r>
            <w:r w:rsidRPr="00C84023">
              <w:rPr>
                <w:rFonts w:cstheme="minorHAnsi"/>
                <w:color w:val="231F20"/>
                <w:w w:val="105"/>
              </w:rPr>
              <w:t>as</w:t>
            </w:r>
            <w:r w:rsidRPr="00C84023">
              <w:rPr>
                <w:rFonts w:cstheme="minorHAnsi"/>
                <w:color w:val="231F20"/>
                <w:spacing w:val="38"/>
                <w:w w:val="105"/>
              </w:rPr>
              <w:t xml:space="preserve"> </w:t>
            </w:r>
            <w:r w:rsidRPr="00C84023">
              <w:rPr>
                <w:rFonts w:cstheme="minorHAnsi"/>
                <w:color w:val="231F20"/>
                <w:w w:val="105"/>
              </w:rPr>
              <w:t>those</w:t>
            </w:r>
            <w:r w:rsidRPr="00C84023">
              <w:rPr>
                <w:rFonts w:cstheme="minorHAnsi"/>
                <w:color w:val="231F20"/>
                <w:spacing w:val="38"/>
                <w:w w:val="105"/>
              </w:rPr>
              <w:t xml:space="preserve"> </w:t>
            </w:r>
            <w:r w:rsidRPr="00C84023">
              <w:rPr>
                <w:rFonts w:cstheme="minorHAnsi"/>
                <w:color w:val="231F20"/>
                <w:w w:val="105"/>
              </w:rPr>
              <w:t>for</w:t>
            </w:r>
            <w:r w:rsidRPr="00C84023">
              <w:rPr>
                <w:rFonts w:cstheme="minorHAnsi"/>
                <w:color w:val="231F20"/>
              </w:rPr>
              <w:t xml:space="preserve"> </w:t>
            </w:r>
            <w:r w:rsidRPr="00C84023">
              <w:rPr>
                <w:rFonts w:cstheme="minorHAnsi"/>
                <w:color w:val="231F20"/>
                <w:w w:val="105"/>
              </w:rPr>
              <w:t>secondary</w:t>
            </w:r>
            <w:r w:rsidRPr="00C84023">
              <w:rPr>
                <w:rFonts w:cstheme="minorHAnsi"/>
                <w:color w:val="231F20"/>
                <w:spacing w:val="51"/>
                <w:w w:val="105"/>
              </w:rPr>
              <w:t xml:space="preserve"> </w:t>
            </w:r>
            <w:r w:rsidRPr="00C84023">
              <w:rPr>
                <w:rFonts w:cstheme="minorHAnsi"/>
                <w:color w:val="231F20"/>
                <w:w w:val="105"/>
              </w:rPr>
              <w:t>students.</w:t>
            </w:r>
          </w:p>
        </w:tc>
      </w:tr>
      <w:tr w:rsidR="004A50D5" w:rsidRPr="00C84023" w14:paraId="52826687" w14:textId="77777777" w:rsidTr="00D1174B">
        <w:tblPrEx>
          <w:tblCellMar>
            <w:left w:w="108" w:type="dxa"/>
            <w:right w:w="108" w:type="dxa"/>
          </w:tblCellMar>
        </w:tblPrEx>
        <w:trPr>
          <w:trHeight w:hRule="exact" w:val="2030"/>
        </w:trPr>
        <w:tc>
          <w:tcPr>
            <w:tcW w:w="3039" w:type="dxa"/>
          </w:tcPr>
          <w:p w14:paraId="5672310B" w14:textId="77777777" w:rsidR="004A50D5" w:rsidRPr="00C84023" w:rsidRDefault="004A50D5" w:rsidP="00691C52">
            <w:pPr>
              <w:widowControl w:val="0"/>
              <w:spacing w:before="42" w:after="0" w:line="240" w:lineRule="auto"/>
              <w:ind w:left="90"/>
              <w:rPr>
                <w:rFonts w:cstheme="minorHAnsi"/>
              </w:rPr>
            </w:pPr>
            <w:r w:rsidRPr="00C84023">
              <w:rPr>
                <w:rFonts w:cstheme="minorHAnsi"/>
                <w:b/>
                <w:color w:val="231F20"/>
                <w:w w:val="110"/>
              </w:rPr>
              <w:t>GED</w:t>
            </w:r>
            <w:r w:rsidRPr="00C84023">
              <w:rPr>
                <w:rFonts w:cstheme="minorHAnsi"/>
                <w:b/>
                <w:color w:val="231F20"/>
                <w:w w:val="110"/>
                <w:position w:val="7"/>
                <w:sz w:val="13"/>
              </w:rPr>
              <w:t xml:space="preserve">® </w:t>
            </w:r>
            <w:r w:rsidRPr="00C84023">
              <w:rPr>
                <w:rFonts w:cstheme="minorHAnsi"/>
                <w:b/>
                <w:color w:val="231F20"/>
                <w:w w:val="110"/>
              </w:rPr>
              <w:t>Preparation</w:t>
            </w:r>
            <w:r w:rsidRPr="00C84023">
              <w:rPr>
                <w:rFonts w:cstheme="minorHAnsi"/>
                <w:b/>
                <w:color w:val="231F20"/>
                <w:spacing w:val="4"/>
                <w:w w:val="110"/>
              </w:rPr>
              <w:t xml:space="preserve"> </w:t>
            </w:r>
            <w:r w:rsidRPr="00C84023">
              <w:rPr>
                <w:rFonts w:cstheme="minorHAnsi"/>
                <w:b/>
                <w:color w:val="231F20"/>
                <w:w w:val="110"/>
              </w:rPr>
              <w:t>Program</w:t>
            </w:r>
          </w:p>
        </w:tc>
        <w:tc>
          <w:tcPr>
            <w:tcW w:w="7100" w:type="dxa"/>
          </w:tcPr>
          <w:p w14:paraId="75D048B6" w14:textId="7596EA6C" w:rsidR="004A50D5" w:rsidRPr="00C84023" w:rsidRDefault="004A50D5" w:rsidP="00D63204">
            <w:pPr>
              <w:widowControl w:val="0"/>
              <w:spacing w:before="40" w:after="0" w:line="264" w:lineRule="exact"/>
              <w:ind w:left="90"/>
              <w:rPr>
                <w:rFonts w:cstheme="minorHAnsi"/>
              </w:rPr>
            </w:pPr>
            <w:r w:rsidRPr="00C84023">
              <w:rPr>
                <w:rFonts w:cstheme="minorHAnsi"/>
                <w:color w:val="231F20"/>
                <w:w w:val="110"/>
              </w:rPr>
              <w:t>This</w:t>
            </w:r>
            <w:r w:rsidRPr="00C84023">
              <w:rPr>
                <w:rFonts w:cstheme="minorHAnsi"/>
                <w:color w:val="231F20"/>
                <w:spacing w:val="-14"/>
                <w:w w:val="110"/>
              </w:rPr>
              <w:t xml:space="preserve"> </w:t>
            </w:r>
            <w:r w:rsidRPr="00C84023">
              <w:rPr>
                <w:rFonts w:cstheme="minorHAnsi"/>
                <w:color w:val="231F20"/>
                <w:w w:val="110"/>
              </w:rPr>
              <w:t>program</w:t>
            </w:r>
            <w:r w:rsidRPr="00C84023">
              <w:rPr>
                <w:rFonts w:cstheme="minorHAnsi"/>
                <w:color w:val="231F20"/>
                <w:spacing w:val="-14"/>
                <w:w w:val="110"/>
              </w:rPr>
              <w:t xml:space="preserve"> </w:t>
            </w:r>
            <w:r w:rsidRPr="00C84023">
              <w:rPr>
                <w:rFonts w:cstheme="minorHAnsi"/>
                <w:color w:val="231F20"/>
                <w:w w:val="110"/>
              </w:rPr>
              <w:t>prepares</w:t>
            </w:r>
            <w:r w:rsidRPr="00C84023">
              <w:rPr>
                <w:rFonts w:cstheme="minorHAnsi"/>
                <w:color w:val="231F20"/>
                <w:spacing w:val="-14"/>
                <w:w w:val="110"/>
              </w:rPr>
              <w:t xml:space="preserve"> </w:t>
            </w:r>
            <w:r w:rsidRPr="00C84023">
              <w:rPr>
                <w:rFonts w:cstheme="minorHAnsi"/>
                <w:color w:val="231F20"/>
                <w:w w:val="110"/>
              </w:rPr>
              <w:t>adults</w:t>
            </w:r>
            <w:r w:rsidRPr="00C84023">
              <w:rPr>
                <w:rFonts w:cstheme="minorHAnsi"/>
                <w:color w:val="231F20"/>
                <w:spacing w:val="-14"/>
                <w:w w:val="110"/>
              </w:rPr>
              <w:t xml:space="preserve"> </w:t>
            </w:r>
            <w:r w:rsidRPr="00C84023">
              <w:rPr>
                <w:rFonts w:cstheme="minorHAnsi"/>
                <w:color w:val="231F20"/>
                <w:w w:val="110"/>
              </w:rPr>
              <w:t>to</w:t>
            </w:r>
            <w:r w:rsidRPr="00C84023">
              <w:rPr>
                <w:rFonts w:cstheme="minorHAnsi"/>
                <w:color w:val="231F20"/>
                <w:spacing w:val="-14"/>
                <w:w w:val="110"/>
              </w:rPr>
              <w:t xml:space="preserve"> </w:t>
            </w:r>
            <w:r w:rsidRPr="00C84023">
              <w:rPr>
                <w:rFonts w:cstheme="minorHAnsi"/>
                <w:color w:val="231F20"/>
                <w:w w:val="110"/>
              </w:rPr>
              <w:t>successfully</w:t>
            </w:r>
            <w:r w:rsidRPr="00C84023">
              <w:rPr>
                <w:rFonts w:cstheme="minorHAnsi"/>
                <w:color w:val="231F20"/>
                <w:spacing w:val="-14"/>
                <w:w w:val="110"/>
              </w:rPr>
              <w:t xml:space="preserve"> </w:t>
            </w:r>
            <w:r w:rsidRPr="00C84023">
              <w:rPr>
                <w:rFonts w:cstheme="minorHAnsi"/>
                <w:color w:val="231F20"/>
                <w:w w:val="110"/>
              </w:rPr>
              <w:t>complete</w:t>
            </w:r>
            <w:r w:rsidRPr="00C84023">
              <w:rPr>
                <w:rFonts w:cstheme="minorHAnsi"/>
                <w:color w:val="231F20"/>
                <w:spacing w:val="-14"/>
                <w:w w:val="110"/>
              </w:rPr>
              <w:t xml:space="preserve"> </w:t>
            </w:r>
            <w:r w:rsidRPr="00C84023">
              <w:rPr>
                <w:rFonts w:cstheme="minorHAnsi"/>
                <w:w w:val="110"/>
              </w:rPr>
              <w:t>the</w:t>
            </w:r>
            <w:r w:rsidRPr="00C84023">
              <w:rPr>
                <w:rFonts w:cstheme="minorHAnsi"/>
                <w:spacing w:val="-14"/>
                <w:w w:val="110"/>
              </w:rPr>
              <w:t xml:space="preserve"> </w:t>
            </w:r>
            <w:r w:rsidRPr="00C84023">
              <w:rPr>
                <w:rFonts w:cstheme="minorHAnsi"/>
                <w:w w:val="110"/>
              </w:rPr>
              <w:t>four</w:t>
            </w:r>
            <w:r w:rsidRPr="00C84023">
              <w:rPr>
                <w:rFonts w:cstheme="minorHAnsi"/>
                <w:spacing w:val="-14"/>
                <w:w w:val="110"/>
              </w:rPr>
              <w:t xml:space="preserve"> </w:t>
            </w:r>
            <w:r w:rsidRPr="00C84023">
              <w:rPr>
                <w:rFonts w:cstheme="minorHAnsi"/>
                <w:color w:val="231F20"/>
                <w:w w:val="110"/>
              </w:rPr>
              <w:t>subject</w:t>
            </w:r>
            <w:r w:rsidRPr="00C84023">
              <w:rPr>
                <w:rFonts w:cstheme="minorHAnsi"/>
                <w:color w:val="231F20"/>
                <w:w w:val="107"/>
              </w:rPr>
              <w:t xml:space="preserve"> </w:t>
            </w:r>
            <w:r w:rsidRPr="00C84023">
              <w:rPr>
                <w:rFonts w:cstheme="minorHAnsi"/>
                <w:color w:val="231F20"/>
                <w:w w:val="110"/>
              </w:rPr>
              <w:t>area</w:t>
            </w:r>
            <w:r w:rsidRPr="00C84023">
              <w:rPr>
                <w:rFonts w:cstheme="minorHAnsi"/>
                <w:color w:val="231F20"/>
                <w:spacing w:val="-6"/>
                <w:w w:val="110"/>
              </w:rPr>
              <w:t xml:space="preserve"> </w:t>
            </w:r>
            <w:r w:rsidRPr="00C84023">
              <w:rPr>
                <w:rFonts w:cstheme="minorHAnsi"/>
                <w:color w:val="231F20"/>
                <w:w w:val="110"/>
              </w:rPr>
              <w:t>tests</w:t>
            </w:r>
            <w:r w:rsidRPr="00C84023">
              <w:rPr>
                <w:rFonts w:cstheme="minorHAnsi"/>
                <w:color w:val="231F20"/>
                <w:spacing w:val="-6"/>
                <w:w w:val="110"/>
              </w:rPr>
              <w:t xml:space="preserve"> </w:t>
            </w:r>
            <w:r w:rsidRPr="00C84023">
              <w:rPr>
                <w:rFonts w:cstheme="minorHAnsi"/>
                <w:color w:val="231F20"/>
                <w:w w:val="110"/>
              </w:rPr>
              <w:t>leading</w:t>
            </w:r>
            <w:r w:rsidRPr="00C84023">
              <w:rPr>
                <w:rFonts w:cstheme="minorHAnsi"/>
                <w:color w:val="231F20"/>
                <w:spacing w:val="-6"/>
                <w:w w:val="110"/>
              </w:rPr>
              <w:t xml:space="preserve"> </w:t>
            </w:r>
            <w:r w:rsidRPr="00C84023">
              <w:rPr>
                <w:rFonts w:cstheme="minorHAnsi"/>
                <w:color w:val="231F20"/>
                <w:w w:val="110"/>
              </w:rPr>
              <w:t>to</w:t>
            </w:r>
            <w:r w:rsidRPr="00C84023">
              <w:rPr>
                <w:rFonts w:cstheme="minorHAnsi"/>
                <w:color w:val="231F20"/>
                <w:spacing w:val="-6"/>
                <w:w w:val="110"/>
              </w:rPr>
              <w:t xml:space="preserve"> </w:t>
            </w:r>
            <w:r w:rsidRPr="00C84023">
              <w:rPr>
                <w:rFonts w:cstheme="minorHAnsi"/>
                <w:color w:val="231F20"/>
                <w:w w:val="110"/>
              </w:rPr>
              <w:t>qualification</w:t>
            </w:r>
            <w:r w:rsidRPr="00C84023">
              <w:rPr>
                <w:rFonts w:cstheme="minorHAnsi"/>
                <w:color w:val="231F20"/>
                <w:spacing w:val="-6"/>
                <w:w w:val="110"/>
              </w:rPr>
              <w:t xml:space="preserve"> </w:t>
            </w:r>
            <w:r w:rsidRPr="00C84023">
              <w:rPr>
                <w:rFonts w:cstheme="minorHAnsi"/>
                <w:color w:val="231F20"/>
                <w:w w:val="110"/>
              </w:rPr>
              <w:t>for</w:t>
            </w:r>
            <w:r w:rsidRPr="00C84023">
              <w:rPr>
                <w:rFonts w:cstheme="minorHAnsi"/>
                <w:color w:val="231F20"/>
                <w:spacing w:val="-6"/>
                <w:w w:val="110"/>
              </w:rPr>
              <w:t xml:space="preserve"> </w:t>
            </w:r>
            <w:r w:rsidRPr="00C84023">
              <w:rPr>
                <w:rFonts w:cstheme="minorHAnsi"/>
                <w:color w:val="231F20"/>
                <w:w w:val="110"/>
              </w:rPr>
              <w:t>a</w:t>
            </w:r>
            <w:r w:rsidRPr="00C84023">
              <w:rPr>
                <w:rFonts w:cstheme="minorHAnsi"/>
                <w:color w:val="231F20"/>
                <w:spacing w:val="-6"/>
                <w:w w:val="110"/>
              </w:rPr>
              <w:t xml:space="preserve"> </w:t>
            </w:r>
            <w:r w:rsidRPr="00C84023">
              <w:rPr>
                <w:rFonts w:cstheme="minorHAnsi"/>
                <w:color w:val="231F20"/>
                <w:w w:val="110"/>
              </w:rPr>
              <w:t>State</w:t>
            </w:r>
            <w:r w:rsidRPr="00C84023">
              <w:rPr>
                <w:rFonts w:cstheme="minorHAnsi"/>
                <w:color w:val="231F20"/>
                <w:spacing w:val="-6"/>
                <w:w w:val="110"/>
              </w:rPr>
              <w:t xml:space="preserve"> </w:t>
            </w:r>
            <w:r w:rsidRPr="00C84023">
              <w:rPr>
                <w:rFonts w:cstheme="minorHAnsi"/>
                <w:color w:val="231F20"/>
                <w:w w:val="110"/>
              </w:rPr>
              <w:t>of</w:t>
            </w:r>
            <w:r w:rsidRPr="00C84023">
              <w:rPr>
                <w:rFonts w:cstheme="minorHAnsi"/>
                <w:color w:val="231F20"/>
                <w:spacing w:val="-6"/>
                <w:w w:val="110"/>
              </w:rPr>
              <w:t xml:space="preserve"> </w:t>
            </w:r>
            <w:r w:rsidRPr="00C84023">
              <w:rPr>
                <w:rFonts w:cstheme="minorHAnsi"/>
                <w:color w:val="231F20"/>
                <w:w w:val="110"/>
              </w:rPr>
              <w:t>Florida</w:t>
            </w:r>
            <w:r w:rsidRPr="00C84023">
              <w:rPr>
                <w:rFonts w:cstheme="minorHAnsi"/>
                <w:color w:val="231F20"/>
                <w:spacing w:val="-6"/>
                <w:w w:val="110"/>
              </w:rPr>
              <w:t xml:space="preserve"> </w:t>
            </w:r>
            <w:r w:rsidRPr="00C84023">
              <w:rPr>
                <w:rFonts w:cstheme="minorHAnsi"/>
                <w:color w:val="231F20"/>
                <w:w w:val="110"/>
              </w:rPr>
              <w:t>High</w:t>
            </w:r>
            <w:r w:rsidRPr="00C84023">
              <w:rPr>
                <w:rFonts w:cstheme="minorHAnsi"/>
                <w:color w:val="231F20"/>
                <w:spacing w:val="-6"/>
                <w:w w:val="110"/>
              </w:rPr>
              <w:t xml:space="preserve"> </w:t>
            </w:r>
            <w:r w:rsidRPr="00C84023">
              <w:rPr>
                <w:rFonts w:cstheme="minorHAnsi"/>
                <w:color w:val="231F20"/>
                <w:w w:val="110"/>
              </w:rPr>
              <w:t>School</w:t>
            </w:r>
            <w:r w:rsidRPr="00C84023">
              <w:rPr>
                <w:rFonts w:cstheme="minorHAnsi"/>
                <w:color w:val="231F20"/>
                <w:w w:val="111"/>
              </w:rPr>
              <w:t xml:space="preserve"> </w:t>
            </w:r>
            <w:r w:rsidRPr="00C84023">
              <w:rPr>
                <w:rFonts w:cstheme="minorHAnsi"/>
                <w:color w:val="231F20"/>
                <w:w w:val="110"/>
              </w:rPr>
              <w:t>Diploma.</w:t>
            </w:r>
            <w:r w:rsidRPr="00C84023">
              <w:rPr>
                <w:rFonts w:cstheme="minorHAnsi"/>
                <w:color w:val="231F20"/>
                <w:spacing w:val="-6"/>
                <w:w w:val="110"/>
              </w:rPr>
              <w:t xml:space="preserve"> </w:t>
            </w:r>
            <w:r w:rsidRPr="00C84023">
              <w:rPr>
                <w:rFonts w:cstheme="minorHAnsi"/>
                <w:color w:val="231F20"/>
                <w:w w:val="110"/>
              </w:rPr>
              <w:t>Four</w:t>
            </w:r>
            <w:r w:rsidRPr="00C84023">
              <w:rPr>
                <w:rFonts w:cstheme="minorHAnsi"/>
                <w:color w:val="231F20"/>
                <w:spacing w:val="-6"/>
                <w:w w:val="110"/>
              </w:rPr>
              <w:t xml:space="preserve"> </w:t>
            </w:r>
            <w:r w:rsidRPr="00C84023">
              <w:rPr>
                <w:rFonts w:cstheme="minorHAnsi"/>
                <w:color w:val="231F20"/>
                <w:w w:val="110"/>
              </w:rPr>
              <w:t>courses included are:</w:t>
            </w:r>
            <w:r w:rsidRPr="00C84023">
              <w:rPr>
                <w:rFonts w:cstheme="minorHAnsi"/>
                <w:color w:val="231F20"/>
                <w:spacing w:val="-6"/>
                <w:w w:val="110"/>
              </w:rPr>
              <w:t xml:space="preserve"> </w:t>
            </w:r>
            <w:r w:rsidRPr="00C84023">
              <w:rPr>
                <w:rFonts w:cstheme="minorHAnsi"/>
                <w:color w:val="231F20"/>
                <w:w w:val="110"/>
              </w:rPr>
              <w:t>Reasoning</w:t>
            </w:r>
            <w:r w:rsidRPr="00C84023">
              <w:rPr>
                <w:rFonts w:cstheme="minorHAnsi"/>
                <w:color w:val="231F20"/>
                <w:spacing w:val="-6"/>
                <w:w w:val="110"/>
              </w:rPr>
              <w:t xml:space="preserve"> </w:t>
            </w:r>
            <w:r w:rsidRPr="00C84023">
              <w:rPr>
                <w:rFonts w:cstheme="minorHAnsi"/>
                <w:color w:val="231F20"/>
                <w:w w:val="110"/>
              </w:rPr>
              <w:t>through</w:t>
            </w:r>
            <w:r w:rsidRPr="00C84023">
              <w:rPr>
                <w:rFonts w:cstheme="minorHAnsi"/>
                <w:color w:val="231F20"/>
                <w:spacing w:val="-6"/>
                <w:w w:val="110"/>
              </w:rPr>
              <w:t xml:space="preserve"> </w:t>
            </w:r>
            <w:r w:rsidRPr="00C84023">
              <w:rPr>
                <w:rFonts w:cstheme="minorHAnsi"/>
                <w:color w:val="231F20"/>
                <w:w w:val="110"/>
              </w:rPr>
              <w:t>Language</w:t>
            </w:r>
            <w:r w:rsidRPr="00C84023">
              <w:rPr>
                <w:rFonts w:cstheme="minorHAnsi"/>
                <w:color w:val="231F20"/>
                <w:spacing w:val="-6"/>
                <w:w w:val="110"/>
              </w:rPr>
              <w:t xml:space="preserve"> </w:t>
            </w:r>
            <w:r w:rsidRPr="00C84023">
              <w:rPr>
                <w:rFonts w:cstheme="minorHAnsi"/>
                <w:color w:val="231F20"/>
                <w:w w:val="110"/>
              </w:rPr>
              <w:t>Arts,</w:t>
            </w:r>
            <w:r w:rsidRPr="00C84023">
              <w:rPr>
                <w:rFonts w:cstheme="minorHAnsi"/>
                <w:color w:val="231F20"/>
                <w:w w:val="103"/>
              </w:rPr>
              <w:t xml:space="preserve"> </w:t>
            </w:r>
            <w:r w:rsidRPr="00C84023">
              <w:rPr>
                <w:rFonts w:cstheme="minorHAnsi"/>
                <w:color w:val="231F20"/>
                <w:w w:val="110"/>
              </w:rPr>
              <w:t xml:space="preserve">Mathematical Reasoning, Science and Social Studies. </w:t>
            </w:r>
            <w:r w:rsidRPr="00C84023">
              <w:rPr>
                <w:rFonts w:cstheme="minorHAnsi"/>
                <w:w w:val="110"/>
              </w:rPr>
              <w:t>These</w:t>
            </w:r>
            <w:r w:rsidRPr="00C84023">
              <w:rPr>
                <w:rFonts w:cstheme="minorHAnsi"/>
                <w:spacing w:val="-17"/>
                <w:w w:val="110"/>
              </w:rPr>
              <w:t xml:space="preserve"> </w:t>
            </w:r>
            <w:r w:rsidRPr="00C84023">
              <w:rPr>
                <w:rFonts w:cstheme="minorHAnsi"/>
                <w:w w:val="110"/>
              </w:rPr>
              <w:t>courses are aligned with the College and Career Readiness</w:t>
            </w:r>
            <w:r w:rsidRPr="00C84023">
              <w:rPr>
                <w:rFonts w:cstheme="minorHAnsi"/>
                <w:spacing w:val="-24"/>
                <w:w w:val="110"/>
              </w:rPr>
              <w:t xml:space="preserve"> </w:t>
            </w:r>
            <w:r w:rsidRPr="00C84023">
              <w:rPr>
                <w:rFonts w:cstheme="minorHAnsi"/>
                <w:w w:val="110"/>
              </w:rPr>
              <w:t>Standards.</w:t>
            </w:r>
            <w:r w:rsidRPr="00C84023">
              <w:rPr>
                <w:rFonts w:cstheme="minorHAnsi"/>
                <w:w w:val="105"/>
              </w:rPr>
              <w:t xml:space="preserve"> </w:t>
            </w:r>
            <w:r w:rsidRPr="00C84023">
              <w:rPr>
                <w:rFonts w:cstheme="minorHAnsi"/>
                <w:w w:val="110"/>
              </w:rPr>
              <w:t>Florida</w:t>
            </w:r>
            <w:r w:rsidRPr="00C84023">
              <w:rPr>
                <w:rFonts w:cstheme="minorHAnsi"/>
                <w:spacing w:val="-9"/>
                <w:w w:val="110"/>
              </w:rPr>
              <w:t xml:space="preserve"> </w:t>
            </w:r>
            <w:r w:rsidRPr="00C84023">
              <w:rPr>
                <w:rFonts w:cstheme="minorHAnsi"/>
                <w:w w:val="110"/>
              </w:rPr>
              <w:t>approved</w:t>
            </w:r>
            <w:r w:rsidRPr="00C84023">
              <w:rPr>
                <w:rFonts w:cstheme="minorHAnsi"/>
                <w:spacing w:val="-9"/>
                <w:w w:val="110"/>
              </w:rPr>
              <w:t xml:space="preserve"> </w:t>
            </w:r>
            <w:r w:rsidRPr="00C84023">
              <w:rPr>
                <w:rFonts w:cstheme="minorHAnsi"/>
                <w:w w:val="110"/>
              </w:rPr>
              <w:t>the</w:t>
            </w:r>
            <w:r w:rsidRPr="00C84023">
              <w:rPr>
                <w:rFonts w:cstheme="minorHAnsi"/>
                <w:spacing w:val="-9"/>
                <w:w w:val="110"/>
              </w:rPr>
              <w:t xml:space="preserve"> </w:t>
            </w:r>
            <w:r w:rsidRPr="00C84023">
              <w:rPr>
                <w:rFonts w:cstheme="minorHAnsi"/>
                <w:w w:val="110"/>
              </w:rPr>
              <w:t>GED</w:t>
            </w:r>
            <w:r w:rsidRPr="00C84023">
              <w:rPr>
                <w:rFonts w:cstheme="minorHAnsi"/>
                <w:w w:val="110"/>
                <w:position w:val="7"/>
                <w:sz w:val="13"/>
              </w:rPr>
              <w:t>®</w:t>
            </w:r>
            <w:r w:rsidRPr="00C84023">
              <w:rPr>
                <w:rFonts w:cstheme="minorHAnsi"/>
                <w:spacing w:val="13"/>
                <w:w w:val="110"/>
                <w:position w:val="7"/>
                <w:sz w:val="13"/>
              </w:rPr>
              <w:t xml:space="preserve"> </w:t>
            </w:r>
            <w:r w:rsidRPr="00C84023">
              <w:rPr>
                <w:rFonts w:cstheme="minorHAnsi"/>
                <w:w w:val="110"/>
              </w:rPr>
              <w:t>as</w:t>
            </w:r>
            <w:r w:rsidRPr="00C84023">
              <w:rPr>
                <w:rFonts w:cstheme="minorHAnsi"/>
                <w:spacing w:val="-9"/>
                <w:w w:val="110"/>
              </w:rPr>
              <w:t xml:space="preserve"> </w:t>
            </w:r>
            <w:r w:rsidRPr="00C84023">
              <w:rPr>
                <w:rFonts w:cstheme="minorHAnsi"/>
                <w:w w:val="110"/>
              </w:rPr>
              <w:t>the</w:t>
            </w:r>
            <w:r w:rsidRPr="00C84023">
              <w:rPr>
                <w:rFonts w:cstheme="minorHAnsi"/>
                <w:spacing w:val="-9"/>
                <w:w w:val="110"/>
              </w:rPr>
              <w:t xml:space="preserve"> </w:t>
            </w:r>
            <w:r w:rsidRPr="00C84023">
              <w:rPr>
                <w:rFonts w:cstheme="minorHAnsi"/>
                <w:w w:val="110"/>
              </w:rPr>
              <w:t>only</w:t>
            </w:r>
            <w:r w:rsidRPr="00C84023">
              <w:rPr>
                <w:rFonts w:cstheme="minorHAnsi"/>
                <w:spacing w:val="-9"/>
                <w:w w:val="110"/>
              </w:rPr>
              <w:t xml:space="preserve"> </w:t>
            </w:r>
            <w:r w:rsidRPr="00C84023">
              <w:rPr>
                <w:rFonts w:cstheme="minorHAnsi"/>
                <w:w w:val="110"/>
              </w:rPr>
              <w:t>high</w:t>
            </w:r>
            <w:r w:rsidRPr="00C84023">
              <w:rPr>
                <w:rFonts w:cstheme="minorHAnsi"/>
                <w:spacing w:val="-9"/>
                <w:w w:val="110"/>
              </w:rPr>
              <w:t xml:space="preserve"> </w:t>
            </w:r>
            <w:r w:rsidRPr="00C84023">
              <w:rPr>
                <w:rFonts w:cstheme="minorHAnsi"/>
                <w:w w:val="110"/>
              </w:rPr>
              <w:t>school</w:t>
            </w:r>
            <w:r w:rsidRPr="00C84023">
              <w:rPr>
                <w:rFonts w:cstheme="minorHAnsi"/>
                <w:spacing w:val="-9"/>
                <w:w w:val="110"/>
              </w:rPr>
              <w:t xml:space="preserve"> </w:t>
            </w:r>
            <w:r w:rsidRPr="00C84023">
              <w:rPr>
                <w:rFonts w:cstheme="minorHAnsi"/>
                <w:w w:val="110"/>
              </w:rPr>
              <w:t>equivalency</w:t>
            </w:r>
            <w:r w:rsidRPr="00C84023">
              <w:rPr>
                <w:rFonts w:cstheme="minorHAnsi"/>
                <w:spacing w:val="-9"/>
                <w:w w:val="110"/>
              </w:rPr>
              <w:t xml:space="preserve"> </w:t>
            </w:r>
            <w:r w:rsidRPr="00C84023">
              <w:rPr>
                <w:rFonts w:cstheme="minorHAnsi"/>
                <w:w w:val="110"/>
              </w:rPr>
              <w:t>test.</w:t>
            </w:r>
          </w:p>
        </w:tc>
      </w:tr>
      <w:tr w:rsidR="004A50D5" w:rsidRPr="00C84023" w14:paraId="35C54828" w14:textId="77777777" w:rsidTr="00D1174B">
        <w:tblPrEx>
          <w:tblCellMar>
            <w:left w:w="108" w:type="dxa"/>
            <w:right w:w="108" w:type="dxa"/>
          </w:tblCellMar>
        </w:tblPrEx>
        <w:trPr>
          <w:trHeight w:hRule="exact" w:val="1454"/>
        </w:trPr>
        <w:tc>
          <w:tcPr>
            <w:tcW w:w="3039" w:type="dxa"/>
          </w:tcPr>
          <w:p w14:paraId="6FA41EFC" w14:textId="77777777" w:rsidR="004A50D5" w:rsidRPr="00C84023" w:rsidRDefault="004A50D5" w:rsidP="00691C52">
            <w:pPr>
              <w:widowControl w:val="0"/>
              <w:spacing w:before="42" w:after="0" w:line="240" w:lineRule="auto"/>
              <w:ind w:left="90"/>
              <w:rPr>
                <w:rFonts w:cstheme="minorHAnsi"/>
              </w:rPr>
            </w:pPr>
            <w:r w:rsidRPr="00C84023">
              <w:rPr>
                <w:rFonts w:cstheme="minorHAnsi"/>
                <w:b/>
                <w:color w:val="231F20"/>
                <w:w w:val="110"/>
              </w:rPr>
              <w:t>GED</w:t>
            </w:r>
            <w:r w:rsidRPr="00C84023">
              <w:rPr>
                <w:rFonts w:cstheme="minorHAnsi"/>
                <w:b/>
                <w:color w:val="231F20"/>
                <w:w w:val="110"/>
                <w:position w:val="7"/>
                <w:sz w:val="13"/>
              </w:rPr>
              <w:t xml:space="preserve">®  </w:t>
            </w:r>
            <w:r w:rsidRPr="00C84023">
              <w:rPr>
                <w:rFonts w:cstheme="minorHAnsi"/>
                <w:b/>
                <w:color w:val="231F20"/>
                <w:w w:val="110"/>
              </w:rPr>
              <w:t>Integrated</w:t>
            </w:r>
            <w:r w:rsidRPr="00C84023">
              <w:rPr>
                <w:rFonts w:cstheme="minorHAnsi"/>
                <w:b/>
                <w:color w:val="231F20"/>
                <w:spacing w:val="1"/>
                <w:w w:val="110"/>
              </w:rPr>
              <w:t xml:space="preserve"> </w:t>
            </w:r>
            <w:r w:rsidRPr="00C84023">
              <w:rPr>
                <w:rFonts w:cstheme="minorHAnsi"/>
                <w:b/>
                <w:color w:val="231F20"/>
                <w:w w:val="110"/>
              </w:rPr>
              <w:t>Course</w:t>
            </w:r>
          </w:p>
        </w:tc>
        <w:tc>
          <w:tcPr>
            <w:tcW w:w="7100" w:type="dxa"/>
          </w:tcPr>
          <w:p w14:paraId="06459081" w14:textId="1D7E6C9C" w:rsidR="004A50D5" w:rsidRPr="00C84023" w:rsidRDefault="004A50D5" w:rsidP="00D63204">
            <w:pPr>
              <w:widowControl w:val="0"/>
              <w:spacing w:before="40" w:after="0" w:line="264" w:lineRule="exact"/>
              <w:ind w:left="90"/>
              <w:rPr>
                <w:rFonts w:cstheme="minorHAnsi"/>
              </w:rPr>
            </w:pPr>
            <w:r w:rsidRPr="00C84023">
              <w:rPr>
                <w:rFonts w:cstheme="minorHAnsi"/>
                <w:color w:val="231F20"/>
                <w:w w:val="110"/>
              </w:rPr>
              <w:t>This</w:t>
            </w:r>
            <w:r w:rsidRPr="00C84023">
              <w:rPr>
                <w:rFonts w:cstheme="minorHAnsi"/>
                <w:color w:val="231F20"/>
                <w:spacing w:val="-29"/>
                <w:w w:val="110"/>
              </w:rPr>
              <w:t xml:space="preserve"> </w:t>
            </w:r>
            <w:r w:rsidRPr="00C84023">
              <w:rPr>
                <w:rFonts w:cstheme="minorHAnsi"/>
                <w:color w:val="231F20"/>
                <w:w w:val="110"/>
              </w:rPr>
              <w:t>comprehensive</w:t>
            </w:r>
            <w:r w:rsidRPr="00C84023">
              <w:rPr>
                <w:rFonts w:cstheme="minorHAnsi"/>
                <w:color w:val="231F20"/>
                <w:spacing w:val="-29"/>
                <w:w w:val="110"/>
              </w:rPr>
              <w:t xml:space="preserve"> </w:t>
            </w:r>
            <w:r w:rsidRPr="00C84023">
              <w:rPr>
                <w:rFonts w:cstheme="minorHAnsi"/>
                <w:color w:val="231F20"/>
                <w:w w:val="110"/>
              </w:rPr>
              <w:t>course</w:t>
            </w:r>
            <w:r w:rsidRPr="00C84023">
              <w:rPr>
                <w:rFonts w:cstheme="minorHAnsi"/>
                <w:color w:val="231F20"/>
                <w:spacing w:val="-29"/>
                <w:w w:val="110"/>
              </w:rPr>
              <w:t xml:space="preserve"> </w:t>
            </w:r>
            <w:r w:rsidRPr="00C84023">
              <w:rPr>
                <w:rFonts w:cstheme="minorHAnsi"/>
                <w:color w:val="231F20"/>
                <w:w w:val="110"/>
              </w:rPr>
              <w:t>includes</w:t>
            </w:r>
            <w:r w:rsidRPr="00C84023">
              <w:rPr>
                <w:rFonts w:cstheme="minorHAnsi"/>
                <w:color w:val="231F20"/>
                <w:spacing w:val="-29"/>
                <w:w w:val="110"/>
              </w:rPr>
              <w:t xml:space="preserve"> </w:t>
            </w:r>
            <w:r w:rsidRPr="00C84023">
              <w:rPr>
                <w:rFonts w:cstheme="minorHAnsi"/>
                <w:color w:val="231F20"/>
                <w:w w:val="110"/>
              </w:rPr>
              <w:t>the</w:t>
            </w:r>
            <w:r w:rsidRPr="00C84023">
              <w:rPr>
                <w:rFonts w:cstheme="minorHAnsi"/>
                <w:color w:val="231F20"/>
                <w:spacing w:val="-29"/>
                <w:w w:val="110"/>
              </w:rPr>
              <w:t xml:space="preserve"> </w:t>
            </w:r>
            <w:r w:rsidRPr="00C84023">
              <w:rPr>
                <w:rFonts w:cstheme="minorHAnsi"/>
                <w:color w:val="231F20"/>
                <w:w w:val="110"/>
              </w:rPr>
              <w:t>four</w:t>
            </w:r>
            <w:r w:rsidRPr="00C84023">
              <w:rPr>
                <w:rFonts w:cstheme="minorHAnsi"/>
                <w:color w:val="231F20"/>
                <w:spacing w:val="-29"/>
                <w:w w:val="110"/>
              </w:rPr>
              <w:t xml:space="preserve"> </w:t>
            </w:r>
            <w:r w:rsidRPr="00C84023">
              <w:rPr>
                <w:rFonts w:cstheme="minorHAnsi"/>
                <w:color w:val="231F20"/>
                <w:w w:val="110"/>
              </w:rPr>
              <w:t>courses: Reasoning</w:t>
            </w:r>
            <w:r w:rsidRPr="00C84023">
              <w:rPr>
                <w:rFonts w:cstheme="minorHAnsi"/>
                <w:color w:val="231F20"/>
                <w:spacing w:val="-29"/>
                <w:w w:val="110"/>
              </w:rPr>
              <w:t xml:space="preserve"> </w:t>
            </w:r>
            <w:r w:rsidRPr="00C84023">
              <w:rPr>
                <w:rFonts w:cstheme="minorHAnsi"/>
                <w:color w:val="231F20"/>
                <w:w w:val="110"/>
              </w:rPr>
              <w:t>through</w:t>
            </w:r>
            <w:r w:rsidRPr="00C84023">
              <w:rPr>
                <w:rFonts w:cstheme="minorHAnsi"/>
                <w:color w:val="231F20"/>
                <w:w w:val="105"/>
              </w:rPr>
              <w:t xml:space="preserve"> </w:t>
            </w:r>
            <w:r w:rsidRPr="00C84023">
              <w:rPr>
                <w:rFonts w:cstheme="minorHAnsi"/>
                <w:color w:val="231F20"/>
                <w:w w:val="110"/>
              </w:rPr>
              <w:t>Language</w:t>
            </w:r>
            <w:r w:rsidRPr="00C84023">
              <w:rPr>
                <w:rFonts w:cstheme="minorHAnsi"/>
                <w:color w:val="231F20"/>
                <w:spacing w:val="-14"/>
                <w:w w:val="110"/>
              </w:rPr>
              <w:t xml:space="preserve"> </w:t>
            </w:r>
            <w:r w:rsidRPr="00C84023">
              <w:rPr>
                <w:rFonts w:cstheme="minorHAnsi"/>
                <w:color w:val="231F20"/>
                <w:w w:val="110"/>
              </w:rPr>
              <w:t>Arts,</w:t>
            </w:r>
            <w:r w:rsidRPr="00C84023">
              <w:rPr>
                <w:rFonts w:cstheme="minorHAnsi"/>
                <w:color w:val="231F20"/>
                <w:spacing w:val="-14"/>
                <w:w w:val="110"/>
              </w:rPr>
              <w:t xml:space="preserve"> </w:t>
            </w:r>
            <w:r w:rsidRPr="00C84023">
              <w:rPr>
                <w:rFonts w:cstheme="minorHAnsi"/>
                <w:color w:val="231F20"/>
                <w:w w:val="110"/>
              </w:rPr>
              <w:t>Mathematical</w:t>
            </w:r>
            <w:r w:rsidRPr="00C84023">
              <w:rPr>
                <w:rFonts w:cstheme="minorHAnsi"/>
                <w:color w:val="231F20"/>
                <w:spacing w:val="-14"/>
                <w:w w:val="110"/>
              </w:rPr>
              <w:t xml:space="preserve"> </w:t>
            </w:r>
            <w:r w:rsidRPr="00C84023">
              <w:rPr>
                <w:rFonts w:cstheme="minorHAnsi"/>
                <w:color w:val="231F20"/>
                <w:w w:val="110"/>
              </w:rPr>
              <w:t>Reasoning,</w:t>
            </w:r>
            <w:r w:rsidRPr="00C84023">
              <w:rPr>
                <w:rFonts w:cstheme="minorHAnsi"/>
                <w:color w:val="231F20"/>
                <w:spacing w:val="-14"/>
                <w:w w:val="110"/>
              </w:rPr>
              <w:t xml:space="preserve"> </w:t>
            </w:r>
            <w:r w:rsidRPr="00C84023">
              <w:rPr>
                <w:rFonts w:cstheme="minorHAnsi"/>
                <w:color w:val="231F20"/>
                <w:w w:val="110"/>
              </w:rPr>
              <w:t>Science</w:t>
            </w:r>
            <w:r w:rsidRPr="00C84023">
              <w:rPr>
                <w:rFonts w:cstheme="minorHAnsi"/>
                <w:color w:val="231F20"/>
                <w:spacing w:val="-14"/>
                <w:w w:val="110"/>
              </w:rPr>
              <w:t xml:space="preserve"> </w:t>
            </w:r>
            <w:r w:rsidRPr="00C84023">
              <w:rPr>
                <w:rFonts w:cstheme="minorHAnsi"/>
                <w:color w:val="231F20"/>
                <w:w w:val="110"/>
              </w:rPr>
              <w:t>and</w:t>
            </w:r>
            <w:r w:rsidRPr="00C84023">
              <w:rPr>
                <w:rFonts w:cstheme="minorHAnsi"/>
                <w:color w:val="231F20"/>
                <w:spacing w:val="-14"/>
                <w:w w:val="110"/>
              </w:rPr>
              <w:t xml:space="preserve"> </w:t>
            </w:r>
            <w:r w:rsidRPr="00C84023">
              <w:rPr>
                <w:rFonts w:cstheme="minorHAnsi"/>
                <w:color w:val="231F20"/>
                <w:w w:val="110"/>
              </w:rPr>
              <w:t>Social</w:t>
            </w:r>
            <w:r w:rsidRPr="00C84023">
              <w:rPr>
                <w:rFonts w:cstheme="minorHAnsi"/>
                <w:color w:val="231F20"/>
                <w:spacing w:val="-14"/>
                <w:w w:val="110"/>
              </w:rPr>
              <w:t xml:space="preserve"> </w:t>
            </w:r>
            <w:r w:rsidRPr="00C84023">
              <w:rPr>
                <w:rFonts w:cstheme="minorHAnsi"/>
                <w:color w:val="231F20"/>
                <w:w w:val="110"/>
              </w:rPr>
              <w:t>Studies. This course was developed for students with simultaneous enrollment in the</w:t>
            </w:r>
            <w:r w:rsidRPr="00C84023">
              <w:rPr>
                <w:rFonts w:cstheme="minorHAnsi"/>
                <w:color w:val="231F20"/>
                <w:spacing w:val="36"/>
                <w:w w:val="110"/>
              </w:rPr>
              <w:t xml:space="preserve"> </w:t>
            </w:r>
            <w:r w:rsidRPr="00C84023">
              <w:rPr>
                <w:rFonts w:cstheme="minorHAnsi"/>
                <w:color w:val="231F20"/>
                <w:w w:val="110"/>
              </w:rPr>
              <w:t>GED</w:t>
            </w:r>
            <w:r w:rsidRPr="00C84023">
              <w:rPr>
                <w:rFonts w:cstheme="minorHAnsi"/>
                <w:color w:val="231F20"/>
                <w:w w:val="110"/>
                <w:position w:val="7"/>
                <w:sz w:val="13"/>
              </w:rPr>
              <w:t>®</w:t>
            </w:r>
            <w:r w:rsidRPr="00C84023">
              <w:rPr>
                <w:rFonts w:cstheme="minorHAnsi"/>
                <w:color w:val="231F20"/>
                <w:w w:val="96"/>
                <w:position w:val="7"/>
                <w:sz w:val="13"/>
              </w:rPr>
              <w:t xml:space="preserve"> </w:t>
            </w:r>
            <w:r w:rsidRPr="00C84023">
              <w:rPr>
                <w:rFonts w:cstheme="minorHAnsi"/>
                <w:color w:val="231F20"/>
                <w:w w:val="110"/>
              </w:rPr>
              <w:t>Preparation</w:t>
            </w:r>
            <w:r w:rsidRPr="00C84023">
              <w:rPr>
                <w:rFonts w:cstheme="minorHAnsi"/>
                <w:color w:val="231F20"/>
                <w:spacing w:val="-25"/>
                <w:w w:val="110"/>
              </w:rPr>
              <w:t xml:space="preserve"> </w:t>
            </w:r>
            <w:r w:rsidRPr="00C84023">
              <w:rPr>
                <w:rFonts w:cstheme="minorHAnsi"/>
                <w:color w:val="231F20"/>
                <w:w w:val="110"/>
              </w:rPr>
              <w:t>program</w:t>
            </w:r>
            <w:r w:rsidRPr="00C84023">
              <w:rPr>
                <w:rFonts w:cstheme="minorHAnsi"/>
                <w:color w:val="231F20"/>
                <w:spacing w:val="-25"/>
                <w:w w:val="110"/>
              </w:rPr>
              <w:t xml:space="preserve"> </w:t>
            </w:r>
            <w:r w:rsidRPr="00C84023">
              <w:rPr>
                <w:rFonts w:cstheme="minorHAnsi"/>
                <w:color w:val="231F20"/>
                <w:w w:val="110"/>
              </w:rPr>
              <w:t>and</w:t>
            </w:r>
            <w:r w:rsidRPr="00C84023">
              <w:rPr>
                <w:rFonts w:cstheme="minorHAnsi"/>
                <w:color w:val="231F20"/>
                <w:spacing w:val="-25"/>
                <w:w w:val="110"/>
              </w:rPr>
              <w:t xml:space="preserve"> </w:t>
            </w:r>
            <w:r w:rsidRPr="00C84023">
              <w:rPr>
                <w:rFonts w:cstheme="minorHAnsi"/>
                <w:color w:val="231F20"/>
                <w:w w:val="110"/>
              </w:rPr>
              <w:t>a</w:t>
            </w:r>
            <w:r w:rsidRPr="00C84023">
              <w:rPr>
                <w:rFonts w:cstheme="minorHAnsi"/>
                <w:color w:val="231F20"/>
                <w:spacing w:val="-25"/>
                <w:w w:val="110"/>
              </w:rPr>
              <w:t xml:space="preserve"> </w:t>
            </w:r>
            <w:r w:rsidRPr="00C84023">
              <w:rPr>
                <w:rFonts w:cstheme="minorHAnsi"/>
                <w:color w:val="231F20"/>
                <w:w w:val="110"/>
              </w:rPr>
              <w:t>career</w:t>
            </w:r>
            <w:r w:rsidRPr="00C84023">
              <w:rPr>
                <w:rFonts w:cstheme="minorHAnsi"/>
                <w:color w:val="231F20"/>
                <w:spacing w:val="-25"/>
                <w:w w:val="110"/>
              </w:rPr>
              <w:t xml:space="preserve"> </w:t>
            </w:r>
            <w:r w:rsidRPr="00C84023">
              <w:rPr>
                <w:rFonts w:cstheme="minorHAnsi"/>
                <w:color w:val="231F20"/>
                <w:w w:val="110"/>
              </w:rPr>
              <w:t>and</w:t>
            </w:r>
            <w:r w:rsidRPr="00C84023">
              <w:rPr>
                <w:rFonts w:cstheme="minorHAnsi"/>
                <w:color w:val="231F20"/>
                <w:spacing w:val="-25"/>
                <w:w w:val="110"/>
              </w:rPr>
              <w:t xml:space="preserve"> </w:t>
            </w:r>
            <w:r w:rsidRPr="00C84023">
              <w:rPr>
                <w:rFonts w:cstheme="minorHAnsi"/>
                <w:color w:val="231F20"/>
                <w:w w:val="110"/>
              </w:rPr>
              <w:t>technical</w:t>
            </w:r>
            <w:r w:rsidRPr="00C84023">
              <w:rPr>
                <w:rFonts w:cstheme="minorHAnsi"/>
                <w:color w:val="231F20"/>
                <w:spacing w:val="-25"/>
                <w:w w:val="110"/>
              </w:rPr>
              <w:t xml:space="preserve"> </w:t>
            </w:r>
            <w:r w:rsidRPr="00C84023">
              <w:rPr>
                <w:rFonts w:cstheme="minorHAnsi"/>
                <w:color w:val="231F20"/>
                <w:w w:val="110"/>
              </w:rPr>
              <w:t>certificate</w:t>
            </w:r>
            <w:r w:rsidRPr="00C84023">
              <w:rPr>
                <w:rFonts w:cstheme="minorHAnsi"/>
                <w:color w:val="231F20"/>
                <w:spacing w:val="-25"/>
                <w:w w:val="110"/>
              </w:rPr>
              <w:t xml:space="preserve"> </w:t>
            </w:r>
            <w:r w:rsidRPr="00C84023">
              <w:rPr>
                <w:rFonts w:cstheme="minorHAnsi"/>
                <w:color w:val="231F20"/>
                <w:w w:val="110"/>
              </w:rPr>
              <w:t>program.</w:t>
            </w:r>
          </w:p>
        </w:tc>
      </w:tr>
    </w:tbl>
    <w:p w14:paraId="6C6DEF36" w14:textId="77777777" w:rsidR="00EA7458" w:rsidRPr="00C84023" w:rsidRDefault="00EA7458" w:rsidP="00D63204">
      <w:pPr>
        <w:widowControl w:val="0"/>
        <w:spacing w:after="0" w:line="264" w:lineRule="exact"/>
        <w:ind w:left="90"/>
        <w:rPr>
          <w:rFonts w:cstheme="minorHAnsi"/>
        </w:rPr>
        <w:sectPr w:rsidR="00EA7458" w:rsidRPr="00C84023">
          <w:pgSz w:w="12240" w:h="15840"/>
          <w:pgMar w:top="1620" w:right="900" w:bottom="820" w:left="900" w:header="812" w:footer="624" w:gutter="0"/>
          <w:cols w:space="720"/>
        </w:sectPr>
      </w:pPr>
    </w:p>
    <w:p w14:paraId="507ECBCC" w14:textId="77777777" w:rsidR="00EA7458" w:rsidRPr="00C84023" w:rsidRDefault="00EA7458" w:rsidP="00D63204">
      <w:pPr>
        <w:widowControl w:val="0"/>
        <w:spacing w:before="4" w:after="0" w:line="240" w:lineRule="auto"/>
        <w:ind w:left="90"/>
        <w:rPr>
          <w:rFonts w:cstheme="minorHAnsi"/>
          <w:sz w:val="23"/>
          <w:szCs w:val="23"/>
        </w:rPr>
      </w:pPr>
    </w:p>
    <w:tbl>
      <w:tblPr>
        <w:tblW w:w="0" w:type="auto"/>
        <w:tblInd w:w="108" w:type="dxa"/>
        <w:tblLayout w:type="fixed"/>
        <w:tblCellMar>
          <w:left w:w="0" w:type="dxa"/>
          <w:right w:w="0" w:type="dxa"/>
        </w:tblCellMar>
        <w:tblLook w:val="01E0" w:firstRow="1" w:lastRow="1" w:firstColumn="1" w:lastColumn="1" w:noHBand="0" w:noVBand="0"/>
      </w:tblPr>
      <w:tblGrid>
        <w:gridCol w:w="3021"/>
        <w:gridCol w:w="7129"/>
      </w:tblGrid>
      <w:tr w:rsidR="00D1174B" w:rsidRPr="00C84023" w14:paraId="15FE0F03" w14:textId="77777777" w:rsidTr="00CA6841">
        <w:trPr>
          <w:trHeight w:hRule="exact" w:val="450"/>
        </w:trPr>
        <w:tc>
          <w:tcPr>
            <w:tcW w:w="10150" w:type="dxa"/>
            <w:gridSpan w:val="2"/>
            <w:tcBorders>
              <w:top w:val="single" w:sz="2" w:space="0" w:color="231F20"/>
              <w:left w:val="single" w:sz="2" w:space="0" w:color="231F20"/>
              <w:bottom w:val="single" w:sz="2" w:space="0" w:color="231F20"/>
              <w:right w:val="single" w:sz="2" w:space="0" w:color="231F20"/>
            </w:tcBorders>
          </w:tcPr>
          <w:p w14:paraId="6DA2B4C6" w14:textId="77777777" w:rsidR="00D1174B" w:rsidRPr="00C84023" w:rsidRDefault="00D1174B" w:rsidP="00D63204">
            <w:pPr>
              <w:widowControl w:val="0"/>
              <w:spacing w:before="100" w:after="0" w:line="240" w:lineRule="auto"/>
              <w:ind w:left="90"/>
              <w:rPr>
                <w:rFonts w:cstheme="minorHAnsi"/>
              </w:rPr>
            </w:pPr>
            <w:r w:rsidRPr="00C84023">
              <w:rPr>
                <w:rFonts w:cstheme="minorHAnsi"/>
                <w:b/>
                <w:color w:val="231F20"/>
                <w:w w:val="115"/>
              </w:rPr>
              <w:t>ENGLISH FOR SPEAKERS OF OTHER LANGUAGES (ESOL)</w:t>
            </w:r>
            <w:r w:rsidRPr="00C84023">
              <w:rPr>
                <w:rFonts w:cstheme="minorHAnsi"/>
                <w:b/>
                <w:color w:val="231F20"/>
                <w:spacing w:val="-12"/>
                <w:w w:val="115"/>
              </w:rPr>
              <w:t xml:space="preserve"> </w:t>
            </w:r>
            <w:r w:rsidRPr="00C84023">
              <w:rPr>
                <w:rFonts w:cstheme="minorHAnsi"/>
                <w:b/>
                <w:color w:val="231F20"/>
                <w:w w:val="115"/>
              </w:rPr>
              <w:t>PROGRAM</w:t>
            </w:r>
          </w:p>
        </w:tc>
      </w:tr>
      <w:tr w:rsidR="00D1174B" w:rsidRPr="00C84023" w14:paraId="734B6938" w14:textId="77777777" w:rsidTr="00CA6841">
        <w:trPr>
          <w:trHeight w:hRule="exact" w:val="1733"/>
        </w:trPr>
        <w:tc>
          <w:tcPr>
            <w:tcW w:w="3021" w:type="dxa"/>
            <w:tcBorders>
              <w:top w:val="single" w:sz="2" w:space="0" w:color="231F20"/>
              <w:left w:val="single" w:sz="2" w:space="0" w:color="231F20"/>
              <w:bottom w:val="single" w:sz="2" w:space="0" w:color="231F20"/>
              <w:right w:val="single" w:sz="2" w:space="0" w:color="231F20"/>
            </w:tcBorders>
            <w:shd w:val="clear" w:color="auto" w:fill="E6E7E8"/>
          </w:tcPr>
          <w:p w14:paraId="4E929BF6" w14:textId="77777777" w:rsidR="00D1174B" w:rsidRPr="00C84023" w:rsidRDefault="00D1174B" w:rsidP="00691C52">
            <w:pPr>
              <w:widowControl w:val="0"/>
              <w:spacing w:before="42" w:after="0" w:line="240" w:lineRule="auto"/>
              <w:ind w:left="90"/>
              <w:rPr>
                <w:rFonts w:cstheme="minorHAnsi"/>
              </w:rPr>
            </w:pPr>
            <w:r w:rsidRPr="00C84023">
              <w:rPr>
                <w:rFonts w:cstheme="minorHAnsi"/>
                <w:b/>
                <w:color w:val="231F20"/>
                <w:w w:val="115"/>
              </w:rPr>
              <w:t>Adult ESOL</w:t>
            </w:r>
            <w:r w:rsidRPr="00C84023">
              <w:rPr>
                <w:rFonts w:cstheme="minorHAnsi"/>
                <w:b/>
                <w:color w:val="231F20"/>
                <w:spacing w:val="-32"/>
                <w:w w:val="115"/>
              </w:rPr>
              <w:t xml:space="preserve"> </w:t>
            </w:r>
            <w:r w:rsidRPr="00C84023">
              <w:rPr>
                <w:rFonts w:cstheme="minorHAnsi"/>
                <w:b/>
                <w:color w:val="231F20"/>
                <w:w w:val="115"/>
              </w:rPr>
              <w:t>Course</w:t>
            </w:r>
          </w:p>
        </w:tc>
        <w:tc>
          <w:tcPr>
            <w:tcW w:w="7129" w:type="dxa"/>
            <w:tcBorders>
              <w:top w:val="single" w:sz="2" w:space="0" w:color="231F20"/>
              <w:left w:val="single" w:sz="2" w:space="0" w:color="231F20"/>
              <w:bottom w:val="single" w:sz="2" w:space="0" w:color="231F20"/>
              <w:right w:val="single" w:sz="2" w:space="0" w:color="231F20"/>
            </w:tcBorders>
            <w:shd w:val="clear" w:color="auto" w:fill="E6E7E8"/>
          </w:tcPr>
          <w:p w14:paraId="69761D35" w14:textId="0F85C08E" w:rsidR="00D1174B" w:rsidRPr="00C84023" w:rsidRDefault="00D1174B" w:rsidP="00D63204">
            <w:pPr>
              <w:widowControl w:val="0"/>
              <w:spacing w:before="40" w:after="0" w:line="264" w:lineRule="exact"/>
              <w:ind w:left="90"/>
              <w:rPr>
                <w:rFonts w:cstheme="minorHAnsi"/>
              </w:rPr>
            </w:pPr>
            <w:r w:rsidRPr="00C84023">
              <w:rPr>
                <w:rFonts w:cstheme="minorHAnsi"/>
                <w:color w:val="231F20"/>
                <w:w w:val="105"/>
              </w:rPr>
              <w:t>The</w:t>
            </w:r>
            <w:r w:rsidRPr="00C84023">
              <w:rPr>
                <w:rFonts w:cstheme="minorHAnsi"/>
                <w:color w:val="231F20"/>
                <w:spacing w:val="23"/>
                <w:w w:val="105"/>
              </w:rPr>
              <w:t xml:space="preserve"> </w:t>
            </w:r>
            <w:r w:rsidRPr="00C84023">
              <w:rPr>
                <w:rFonts w:cstheme="minorHAnsi"/>
                <w:color w:val="231F20"/>
                <w:w w:val="105"/>
              </w:rPr>
              <w:t>adult</w:t>
            </w:r>
            <w:r w:rsidRPr="00C84023">
              <w:rPr>
                <w:rFonts w:cstheme="minorHAnsi"/>
                <w:color w:val="231F20"/>
                <w:spacing w:val="23"/>
                <w:w w:val="105"/>
              </w:rPr>
              <w:t xml:space="preserve"> </w:t>
            </w:r>
            <w:r w:rsidRPr="00C84023">
              <w:rPr>
                <w:rFonts w:cstheme="minorHAnsi"/>
                <w:color w:val="231F20"/>
                <w:w w:val="105"/>
              </w:rPr>
              <w:t>ESOL</w:t>
            </w:r>
            <w:r w:rsidRPr="00C84023">
              <w:rPr>
                <w:rFonts w:cstheme="minorHAnsi"/>
                <w:color w:val="231F20"/>
                <w:spacing w:val="23"/>
                <w:w w:val="105"/>
              </w:rPr>
              <w:t xml:space="preserve"> </w:t>
            </w:r>
            <w:r w:rsidRPr="00C84023">
              <w:rPr>
                <w:rFonts w:cstheme="minorHAnsi"/>
                <w:color w:val="231F20"/>
                <w:w w:val="105"/>
              </w:rPr>
              <w:t>course</w:t>
            </w:r>
            <w:r w:rsidRPr="00C84023">
              <w:rPr>
                <w:rFonts w:cstheme="minorHAnsi"/>
                <w:color w:val="231F20"/>
                <w:spacing w:val="23"/>
                <w:w w:val="105"/>
              </w:rPr>
              <w:t xml:space="preserve"> </w:t>
            </w:r>
            <w:r w:rsidRPr="00C84023">
              <w:rPr>
                <w:rFonts w:cstheme="minorHAnsi"/>
                <w:color w:val="231F20"/>
                <w:w w:val="105"/>
              </w:rPr>
              <w:t>is</w:t>
            </w:r>
            <w:r w:rsidRPr="00C84023">
              <w:rPr>
                <w:rFonts w:cstheme="minorHAnsi"/>
                <w:color w:val="231F20"/>
                <w:spacing w:val="23"/>
                <w:w w:val="105"/>
              </w:rPr>
              <w:t xml:space="preserve"> </w:t>
            </w:r>
            <w:r w:rsidRPr="00C84023">
              <w:rPr>
                <w:rFonts w:cstheme="minorHAnsi"/>
                <w:color w:val="231F20"/>
                <w:w w:val="105"/>
              </w:rPr>
              <w:t>designed</w:t>
            </w:r>
            <w:r w:rsidRPr="00C84023">
              <w:rPr>
                <w:rFonts w:cstheme="minorHAnsi"/>
                <w:color w:val="231F20"/>
                <w:spacing w:val="23"/>
                <w:w w:val="105"/>
              </w:rPr>
              <w:t xml:space="preserve"> </w:t>
            </w:r>
            <w:r w:rsidRPr="00C84023">
              <w:rPr>
                <w:rFonts w:cstheme="minorHAnsi"/>
                <w:color w:val="231F20"/>
                <w:w w:val="105"/>
              </w:rPr>
              <w:t>to</w:t>
            </w:r>
            <w:r w:rsidRPr="00C84023">
              <w:rPr>
                <w:rFonts w:cstheme="minorHAnsi"/>
                <w:color w:val="231F20"/>
                <w:spacing w:val="23"/>
                <w:w w:val="105"/>
              </w:rPr>
              <w:t xml:space="preserve"> </w:t>
            </w:r>
            <w:r w:rsidRPr="00C84023">
              <w:rPr>
                <w:rFonts w:cstheme="minorHAnsi"/>
                <w:color w:val="231F20"/>
                <w:w w:val="105"/>
              </w:rPr>
              <w:t>improve</w:t>
            </w:r>
            <w:r w:rsidRPr="00C84023">
              <w:rPr>
                <w:rFonts w:cstheme="minorHAnsi"/>
                <w:color w:val="231F20"/>
                <w:spacing w:val="23"/>
                <w:w w:val="105"/>
              </w:rPr>
              <w:t xml:space="preserve"> </w:t>
            </w:r>
            <w:r w:rsidRPr="00C84023">
              <w:rPr>
                <w:rFonts w:cstheme="minorHAnsi"/>
                <w:color w:val="231F20"/>
                <w:w w:val="105"/>
              </w:rPr>
              <w:t>employability</w:t>
            </w:r>
            <w:r w:rsidRPr="00C84023">
              <w:rPr>
                <w:rFonts w:cstheme="minorHAnsi"/>
                <w:color w:val="231F20"/>
                <w:spacing w:val="23"/>
                <w:w w:val="105"/>
              </w:rPr>
              <w:t xml:space="preserve"> </w:t>
            </w:r>
            <w:r w:rsidRPr="00C84023">
              <w:rPr>
                <w:rFonts w:cstheme="minorHAnsi"/>
                <w:color w:val="231F20"/>
                <w:w w:val="105"/>
              </w:rPr>
              <w:t>of</w:t>
            </w:r>
            <w:r w:rsidRPr="00C84023">
              <w:rPr>
                <w:rFonts w:cstheme="minorHAnsi"/>
                <w:color w:val="231F20"/>
                <w:spacing w:val="-50"/>
                <w:w w:val="105"/>
              </w:rPr>
              <w:t xml:space="preserve"> </w:t>
            </w:r>
            <w:r w:rsidRPr="00C84023">
              <w:rPr>
                <w:rFonts w:cstheme="minorHAnsi"/>
                <w:w w:val="105"/>
              </w:rPr>
              <w:t>adults</w:t>
            </w:r>
            <w:r w:rsidRPr="00C84023">
              <w:rPr>
                <w:rFonts w:cstheme="minorHAnsi"/>
                <w:spacing w:val="32"/>
                <w:w w:val="105"/>
              </w:rPr>
              <w:t xml:space="preserve"> </w:t>
            </w:r>
            <w:r w:rsidRPr="00C84023">
              <w:rPr>
                <w:rFonts w:cstheme="minorHAnsi"/>
                <w:w w:val="105"/>
              </w:rPr>
              <w:t xml:space="preserve">seeking </w:t>
            </w:r>
            <w:r w:rsidRPr="00C84023">
              <w:rPr>
                <w:rFonts w:cstheme="minorHAnsi"/>
                <w:color w:val="231F20"/>
                <w:w w:val="105"/>
              </w:rPr>
              <w:t>to</w:t>
            </w:r>
            <w:r w:rsidRPr="00C84023">
              <w:rPr>
                <w:rFonts w:cstheme="minorHAnsi"/>
                <w:color w:val="231F20"/>
                <w:spacing w:val="32"/>
                <w:w w:val="105"/>
              </w:rPr>
              <w:t xml:space="preserve"> </w:t>
            </w:r>
            <w:r w:rsidRPr="00C84023">
              <w:rPr>
                <w:rFonts w:cstheme="minorHAnsi"/>
                <w:color w:val="231F20"/>
                <w:w w:val="105"/>
              </w:rPr>
              <w:t>enter</w:t>
            </w:r>
            <w:r w:rsidRPr="00C84023">
              <w:rPr>
                <w:rFonts w:cstheme="minorHAnsi"/>
                <w:color w:val="231F20"/>
                <w:spacing w:val="32"/>
                <w:w w:val="105"/>
              </w:rPr>
              <w:t xml:space="preserve"> </w:t>
            </w:r>
            <w:r w:rsidRPr="00C84023">
              <w:rPr>
                <w:rFonts w:cstheme="minorHAnsi"/>
                <w:color w:val="231F20"/>
                <w:w w:val="105"/>
              </w:rPr>
              <w:t>the</w:t>
            </w:r>
            <w:r w:rsidRPr="00C84023">
              <w:rPr>
                <w:rFonts w:cstheme="minorHAnsi"/>
                <w:color w:val="231F20"/>
                <w:spacing w:val="32"/>
                <w:w w:val="105"/>
              </w:rPr>
              <w:t xml:space="preserve"> </w:t>
            </w:r>
            <w:r w:rsidRPr="00C84023">
              <w:rPr>
                <w:rFonts w:cstheme="minorHAnsi"/>
                <w:color w:val="231F20"/>
                <w:w w:val="105"/>
              </w:rPr>
              <w:t>state’s</w:t>
            </w:r>
            <w:r w:rsidRPr="00C84023">
              <w:rPr>
                <w:rFonts w:cstheme="minorHAnsi"/>
                <w:color w:val="231F20"/>
                <w:spacing w:val="32"/>
                <w:w w:val="105"/>
              </w:rPr>
              <w:t xml:space="preserve"> </w:t>
            </w:r>
            <w:r w:rsidRPr="00C84023">
              <w:rPr>
                <w:rFonts w:cstheme="minorHAnsi"/>
                <w:color w:val="231F20"/>
                <w:w w:val="105"/>
              </w:rPr>
              <w:t>workforce</w:t>
            </w:r>
            <w:r w:rsidRPr="00C84023">
              <w:rPr>
                <w:rFonts w:cstheme="minorHAnsi"/>
                <w:color w:val="231F20"/>
                <w:spacing w:val="32"/>
                <w:w w:val="105"/>
              </w:rPr>
              <w:t xml:space="preserve"> </w:t>
            </w:r>
            <w:r w:rsidRPr="00C84023">
              <w:rPr>
                <w:rFonts w:cstheme="minorHAnsi"/>
                <w:color w:val="231F20"/>
                <w:w w:val="105"/>
              </w:rPr>
              <w:t>by acquiring communication</w:t>
            </w:r>
            <w:r w:rsidRPr="00C84023">
              <w:rPr>
                <w:rFonts w:cstheme="minorHAnsi"/>
                <w:color w:val="231F20"/>
                <w:spacing w:val="1"/>
                <w:w w:val="105"/>
              </w:rPr>
              <w:t xml:space="preserve"> </w:t>
            </w:r>
            <w:r w:rsidRPr="00C84023">
              <w:rPr>
                <w:rFonts w:cstheme="minorHAnsi"/>
                <w:color w:val="231F20"/>
                <w:w w:val="105"/>
              </w:rPr>
              <w:t>skills</w:t>
            </w:r>
            <w:r w:rsidRPr="00C84023">
              <w:rPr>
                <w:rFonts w:cstheme="minorHAnsi"/>
                <w:color w:val="231F20"/>
                <w:spacing w:val="1"/>
                <w:w w:val="105"/>
              </w:rPr>
              <w:t xml:space="preserve"> </w:t>
            </w:r>
            <w:r w:rsidRPr="00C84023">
              <w:rPr>
                <w:rFonts w:cstheme="minorHAnsi"/>
                <w:color w:val="231F20"/>
                <w:w w:val="105"/>
              </w:rPr>
              <w:t>and</w:t>
            </w:r>
            <w:r w:rsidRPr="00C84023">
              <w:rPr>
                <w:rFonts w:cstheme="minorHAnsi"/>
                <w:color w:val="231F20"/>
                <w:spacing w:val="1"/>
                <w:w w:val="105"/>
              </w:rPr>
              <w:t xml:space="preserve"> </w:t>
            </w:r>
            <w:r w:rsidRPr="00C84023">
              <w:rPr>
                <w:rFonts w:cstheme="minorHAnsi"/>
                <w:color w:val="231F20"/>
                <w:w w:val="105"/>
              </w:rPr>
              <w:t>cultural</w:t>
            </w:r>
            <w:r w:rsidRPr="00C84023">
              <w:rPr>
                <w:rFonts w:cstheme="minorHAnsi"/>
                <w:color w:val="231F20"/>
                <w:spacing w:val="1"/>
                <w:w w:val="105"/>
              </w:rPr>
              <w:t xml:space="preserve"> </w:t>
            </w:r>
            <w:r w:rsidRPr="00C84023">
              <w:rPr>
                <w:rFonts w:cstheme="minorHAnsi"/>
                <w:color w:val="231F20"/>
                <w:w w:val="105"/>
              </w:rPr>
              <w:t>competencies</w:t>
            </w:r>
            <w:r w:rsidRPr="00C84023">
              <w:rPr>
                <w:rFonts w:cstheme="minorHAnsi"/>
                <w:color w:val="231F20"/>
                <w:spacing w:val="1"/>
                <w:w w:val="105"/>
              </w:rPr>
              <w:t xml:space="preserve"> </w:t>
            </w:r>
            <w:r w:rsidRPr="00C84023">
              <w:rPr>
                <w:rFonts w:cstheme="minorHAnsi"/>
                <w:color w:val="231F20"/>
                <w:w w:val="105"/>
              </w:rPr>
              <w:t>that enhance</w:t>
            </w:r>
            <w:r w:rsidRPr="00C84023">
              <w:rPr>
                <w:rFonts w:cstheme="minorHAnsi"/>
                <w:color w:val="231F20"/>
                <w:spacing w:val="1"/>
                <w:w w:val="105"/>
              </w:rPr>
              <w:t xml:space="preserve"> </w:t>
            </w:r>
            <w:r w:rsidRPr="00C84023">
              <w:rPr>
                <w:rFonts w:cstheme="minorHAnsi"/>
                <w:color w:val="231F20"/>
                <w:w w:val="105"/>
              </w:rPr>
              <w:t>their ability</w:t>
            </w:r>
            <w:r w:rsidRPr="00C84023">
              <w:rPr>
                <w:rFonts w:cstheme="minorHAnsi"/>
                <w:color w:val="231F20"/>
                <w:spacing w:val="-49"/>
                <w:w w:val="105"/>
              </w:rPr>
              <w:t xml:space="preserve"> </w:t>
            </w:r>
            <w:r w:rsidRPr="00C84023">
              <w:rPr>
                <w:rFonts w:cstheme="minorHAnsi"/>
                <w:color w:val="231F20"/>
                <w:w w:val="105"/>
              </w:rPr>
              <w:t>to</w:t>
            </w:r>
            <w:r w:rsidRPr="00C84023">
              <w:rPr>
                <w:rFonts w:cstheme="minorHAnsi"/>
                <w:color w:val="231F20"/>
                <w:spacing w:val="22"/>
                <w:w w:val="105"/>
              </w:rPr>
              <w:t xml:space="preserve"> </w:t>
            </w:r>
            <w:r w:rsidRPr="00C84023">
              <w:rPr>
                <w:rFonts w:cstheme="minorHAnsi"/>
                <w:color w:val="231F20"/>
                <w:w w:val="105"/>
              </w:rPr>
              <w:t>read,</w:t>
            </w:r>
            <w:r w:rsidRPr="00C84023">
              <w:rPr>
                <w:rFonts w:cstheme="minorHAnsi"/>
                <w:color w:val="231F20"/>
                <w:spacing w:val="22"/>
                <w:w w:val="105"/>
              </w:rPr>
              <w:t xml:space="preserve"> </w:t>
            </w:r>
            <w:r w:rsidRPr="00C84023">
              <w:rPr>
                <w:rFonts w:cstheme="minorHAnsi"/>
                <w:color w:val="231F20"/>
                <w:w w:val="105"/>
              </w:rPr>
              <w:t>write,</w:t>
            </w:r>
            <w:r w:rsidRPr="00C84023">
              <w:rPr>
                <w:rFonts w:cstheme="minorHAnsi"/>
                <w:color w:val="231F20"/>
                <w:spacing w:val="22"/>
                <w:w w:val="105"/>
              </w:rPr>
              <w:t xml:space="preserve"> </w:t>
            </w:r>
            <w:r w:rsidRPr="00C84023">
              <w:rPr>
                <w:rFonts w:cstheme="minorHAnsi"/>
                <w:color w:val="231F20"/>
                <w:w w:val="105"/>
              </w:rPr>
              <w:t>speak</w:t>
            </w:r>
            <w:r w:rsidR="00D5537E">
              <w:rPr>
                <w:rFonts w:cstheme="minorHAnsi"/>
                <w:color w:val="231F20"/>
                <w:w w:val="105"/>
              </w:rPr>
              <w:t xml:space="preserve"> and</w:t>
            </w:r>
            <w:r w:rsidRPr="00C84023">
              <w:rPr>
                <w:rFonts w:cstheme="minorHAnsi"/>
                <w:color w:val="231F20"/>
                <w:spacing w:val="22"/>
                <w:w w:val="105"/>
              </w:rPr>
              <w:t xml:space="preserve"> </w:t>
            </w:r>
            <w:r w:rsidRPr="00C84023">
              <w:rPr>
                <w:rFonts w:cstheme="minorHAnsi"/>
                <w:color w:val="231F20"/>
                <w:w w:val="105"/>
              </w:rPr>
              <w:t>listen</w:t>
            </w:r>
            <w:r w:rsidRPr="00C84023">
              <w:rPr>
                <w:rFonts w:cstheme="minorHAnsi"/>
                <w:color w:val="231F20"/>
                <w:spacing w:val="22"/>
                <w:w w:val="105"/>
              </w:rPr>
              <w:t xml:space="preserve"> </w:t>
            </w:r>
            <w:r w:rsidRPr="00C84023">
              <w:rPr>
                <w:rFonts w:cstheme="minorHAnsi"/>
                <w:color w:val="231F20"/>
                <w:w w:val="105"/>
              </w:rPr>
              <w:t>in</w:t>
            </w:r>
            <w:r w:rsidRPr="00C84023">
              <w:rPr>
                <w:rFonts w:cstheme="minorHAnsi"/>
                <w:color w:val="231F20"/>
                <w:spacing w:val="22"/>
                <w:w w:val="105"/>
              </w:rPr>
              <w:t xml:space="preserve"> </w:t>
            </w:r>
            <w:r w:rsidRPr="00C84023">
              <w:rPr>
                <w:rFonts w:cstheme="minorHAnsi"/>
                <w:color w:val="231F20"/>
                <w:w w:val="105"/>
              </w:rPr>
              <w:t>English.</w:t>
            </w:r>
            <w:r w:rsidRPr="00C84023">
              <w:rPr>
                <w:rFonts w:cstheme="minorHAnsi"/>
                <w:color w:val="231F20"/>
                <w:spacing w:val="22"/>
                <w:w w:val="105"/>
              </w:rPr>
              <w:t xml:space="preserve"> </w:t>
            </w:r>
            <w:r w:rsidRPr="00C84023">
              <w:rPr>
                <w:rFonts w:cstheme="minorHAnsi"/>
                <w:color w:val="231F20"/>
                <w:w w:val="105"/>
              </w:rPr>
              <w:t>College</w:t>
            </w:r>
            <w:r w:rsidRPr="00C84023">
              <w:rPr>
                <w:rFonts w:cstheme="minorHAnsi"/>
                <w:color w:val="231F20"/>
                <w:spacing w:val="22"/>
                <w:w w:val="105"/>
              </w:rPr>
              <w:t xml:space="preserve"> </w:t>
            </w:r>
            <w:r w:rsidRPr="00C84023">
              <w:rPr>
                <w:rFonts w:cstheme="minorHAnsi"/>
                <w:color w:val="231F20"/>
                <w:w w:val="105"/>
              </w:rPr>
              <w:t>and</w:t>
            </w:r>
            <w:r w:rsidRPr="00C84023">
              <w:rPr>
                <w:rFonts w:cstheme="minorHAnsi"/>
                <w:color w:val="231F20"/>
                <w:spacing w:val="22"/>
                <w:w w:val="105"/>
              </w:rPr>
              <w:t xml:space="preserve"> </w:t>
            </w:r>
            <w:r w:rsidRPr="00C84023">
              <w:rPr>
                <w:rFonts w:cstheme="minorHAnsi"/>
                <w:color w:val="231F20"/>
                <w:w w:val="105"/>
              </w:rPr>
              <w:t>career</w:t>
            </w:r>
            <w:r w:rsidRPr="00C84023">
              <w:rPr>
                <w:rFonts w:cstheme="minorHAnsi"/>
                <w:color w:val="231F20"/>
                <w:spacing w:val="22"/>
                <w:w w:val="105"/>
              </w:rPr>
              <w:t xml:space="preserve"> </w:t>
            </w:r>
            <w:r w:rsidRPr="00C84023">
              <w:rPr>
                <w:rFonts w:cstheme="minorHAnsi"/>
                <w:color w:val="231F20"/>
                <w:w w:val="105"/>
              </w:rPr>
              <w:t>readiness</w:t>
            </w:r>
            <w:r w:rsidRPr="00C84023">
              <w:rPr>
                <w:rFonts w:cstheme="minorHAnsi"/>
                <w:color w:val="231F20"/>
                <w:spacing w:val="-48"/>
                <w:w w:val="105"/>
              </w:rPr>
              <w:t xml:space="preserve"> </w:t>
            </w:r>
            <w:r w:rsidRPr="00C84023">
              <w:rPr>
                <w:rFonts w:cstheme="minorHAnsi"/>
                <w:color w:val="231F20"/>
                <w:w w:val="105"/>
              </w:rPr>
              <w:t>standards</w:t>
            </w:r>
            <w:r w:rsidRPr="00C84023">
              <w:rPr>
                <w:rFonts w:cstheme="minorHAnsi"/>
                <w:color w:val="231F20"/>
                <w:spacing w:val="27"/>
                <w:w w:val="105"/>
              </w:rPr>
              <w:t xml:space="preserve"> </w:t>
            </w:r>
            <w:r w:rsidRPr="00C84023">
              <w:rPr>
                <w:rFonts w:cstheme="minorHAnsi"/>
                <w:color w:val="231F20"/>
                <w:w w:val="105"/>
              </w:rPr>
              <w:t>are included</w:t>
            </w:r>
            <w:r w:rsidRPr="00C84023">
              <w:rPr>
                <w:rFonts w:cstheme="minorHAnsi"/>
                <w:color w:val="231F20"/>
                <w:spacing w:val="27"/>
                <w:w w:val="105"/>
              </w:rPr>
              <w:t xml:space="preserve"> </w:t>
            </w:r>
            <w:r w:rsidRPr="00C84023">
              <w:rPr>
                <w:rFonts w:cstheme="minorHAnsi"/>
                <w:color w:val="231F20"/>
                <w:w w:val="105"/>
              </w:rPr>
              <w:t>in</w:t>
            </w:r>
            <w:r w:rsidRPr="00C84023">
              <w:rPr>
                <w:rFonts w:cstheme="minorHAnsi"/>
                <w:color w:val="231F20"/>
                <w:spacing w:val="27"/>
                <w:w w:val="105"/>
              </w:rPr>
              <w:t xml:space="preserve"> </w:t>
            </w:r>
            <w:r w:rsidRPr="00C84023">
              <w:rPr>
                <w:rFonts w:cstheme="minorHAnsi"/>
                <w:color w:val="231F20"/>
                <w:w w:val="105"/>
              </w:rPr>
              <w:t>the</w:t>
            </w:r>
            <w:r w:rsidRPr="00C84023">
              <w:rPr>
                <w:rFonts w:cstheme="minorHAnsi"/>
                <w:color w:val="231F20"/>
                <w:spacing w:val="27"/>
                <w:w w:val="105"/>
              </w:rPr>
              <w:t xml:space="preserve"> </w:t>
            </w:r>
            <w:r w:rsidRPr="00C84023">
              <w:rPr>
                <w:rFonts w:cstheme="minorHAnsi"/>
                <w:color w:val="231F20"/>
                <w:w w:val="105"/>
              </w:rPr>
              <w:t>ESOL</w:t>
            </w:r>
            <w:r w:rsidRPr="00C84023">
              <w:rPr>
                <w:rFonts w:cstheme="minorHAnsi"/>
                <w:color w:val="231F20"/>
                <w:spacing w:val="27"/>
                <w:w w:val="105"/>
              </w:rPr>
              <w:t xml:space="preserve"> </w:t>
            </w:r>
            <w:r w:rsidRPr="00C84023">
              <w:rPr>
                <w:rFonts w:cstheme="minorHAnsi"/>
                <w:color w:val="231F20"/>
                <w:w w:val="105"/>
              </w:rPr>
              <w:t>advanced</w:t>
            </w:r>
            <w:r w:rsidRPr="00C84023">
              <w:rPr>
                <w:rFonts w:cstheme="minorHAnsi"/>
                <w:color w:val="231F20"/>
                <w:spacing w:val="27"/>
                <w:w w:val="105"/>
              </w:rPr>
              <w:t xml:space="preserve"> </w:t>
            </w:r>
            <w:r w:rsidRPr="00C84023">
              <w:rPr>
                <w:rFonts w:cstheme="minorHAnsi"/>
                <w:color w:val="231F20"/>
                <w:w w:val="105"/>
              </w:rPr>
              <w:t>level</w:t>
            </w:r>
            <w:r w:rsidRPr="00C84023">
              <w:rPr>
                <w:rFonts w:cstheme="minorHAnsi"/>
                <w:color w:val="231F20"/>
                <w:spacing w:val="27"/>
                <w:w w:val="105"/>
              </w:rPr>
              <w:t xml:space="preserve"> </w:t>
            </w:r>
            <w:r w:rsidRPr="00C84023">
              <w:rPr>
                <w:rFonts w:cstheme="minorHAnsi"/>
                <w:color w:val="231F20"/>
                <w:w w:val="105"/>
              </w:rPr>
              <w:t>6.</w:t>
            </w:r>
          </w:p>
        </w:tc>
      </w:tr>
      <w:tr w:rsidR="00D1174B" w:rsidRPr="00C84023" w14:paraId="0230F941" w14:textId="77777777" w:rsidTr="00691C52">
        <w:trPr>
          <w:trHeight w:hRule="exact" w:val="1508"/>
        </w:trPr>
        <w:tc>
          <w:tcPr>
            <w:tcW w:w="3021" w:type="dxa"/>
            <w:tcBorders>
              <w:top w:val="single" w:sz="2" w:space="0" w:color="231F20"/>
              <w:left w:val="single" w:sz="2" w:space="0" w:color="231F20"/>
              <w:bottom w:val="single" w:sz="2" w:space="0" w:color="231F20"/>
              <w:right w:val="single" w:sz="2" w:space="0" w:color="231F20"/>
            </w:tcBorders>
          </w:tcPr>
          <w:p w14:paraId="2F1089EC" w14:textId="077BFF2E" w:rsidR="00D1174B" w:rsidRPr="00C84023" w:rsidRDefault="00D1174B" w:rsidP="00691C52">
            <w:pPr>
              <w:widowControl w:val="0"/>
              <w:spacing w:before="40" w:after="0" w:line="264" w:lineRule="exact"/>
              <w:ind w:left="90"/>
              <w:rPr>
                <w:rFonts w:cstheme="minorHAnsi"/>
              </w:rPr>
            </w:pPr>
            <w:r w:rsidRPr="00C84023">
              <w:rPr>
                <w:rFonts w:cstheme="minorHAnsi"/>
                <w:b/>
                <w:w w:val="110"/>
              </w:rPr>
              <w:t>English Literacy for</w:t>
            </w:r>
            <w:r w:rsidRPr="00C84023">
              <w:rPr>
                <w:rFonts w:cstheme="minorHAnsi"/>
                <w:b/>
                <w:spacing w:val="15"/>
                <w:w w:val="110"/>
              </w:rPr>
              <w:t xml:space="preserve"> </w:t>
            </w:r>
            <w:r w:rsidRPr="00C84023">
              <w:rPr>
                <w:rFonts w:cstheme="minorHAnsi"/>
                <w:b/>
                <w:w w:val="110"/>
              </w:rPr>
              <w:t>Career</w:t>
            </w:r>
            <w:r w:rsidRPr="00C84023">
              <w:rPr>
                <w:rFonts w:cstheme="minorHAnsi"/>
                <w:b/>
                <w:w w:val="111"/>
              </w:rPr>
              <w:t xml:space="preserve"> </w:t>
            </w:r>
            <w:r w:rsidRPr="00C84023">
              <w:rPr>
                <w:rFonts w:cstheme="minorHAnsi"/>
                <w:b/>
                <w:w w:val="110"/>
              </w:rPr>
              <w:t xml:space="preserve">and </w:t>
            </w:r>
            <w:r w:rsidRPr="00C84023">
              <w:rPr>
                <w:rFonts w:cstheme="minorHAnsi"/>
                <w:b/>
                <w:spacing w:val="-3"/>
                <w:w w:val="110"/>
              </w:rPr>
              <w:t xml:space="preserve">Technical </w:t>
            </w:r>
            <w:r w:rsidRPr="00C84023">
              <w:rPr>
                <w:rFonts w:cstheme="minorHAnsi"/>
                <w:b/>
                <w:w w:val="110"/>
              </w:rPr>
              <w:t>Education</w:t>
            </w:r>
            <w:r w:rsidRPr="00C84023">
              <w:rPr>
                <w:rFonts w:cstheme="minorHAnsi"/>
                <w:b/>
                <w:spacing w:val="-41"/>
                <w:w w:val="110"/>
              </w:rPr>
              <w:t xml:space="preserve"> </w:t>
            </w:r>
            <w:r w:rsidRPr="00C84023">
              <w:rPr>
                <w:rFonts w:cstheme="minorHAnsi"/>
                <w:b/>
                <w:spacing w:val="-3"/>
                <w:w w:val="110"/>
              </w:rPr>
              <w:t xml:space="preserve">(ELCATE) </w:t>
            </w:r>
            <w:r w:rsidRPr="00C84023">
              <w:rPr>
                <w:rFonts w:cstheme="minorHAnsi"/>
                <w:b/>
                <w:w w:val="110"/>
              </w:rPr>
              <w:t>Course</w:t>
            </w:r>
          </w:p>
        </w:tc>
        <w:tc>
          <w:tcPr>
            <w:tcW w:w="7129" w:type="dxa"/>
            <w:tcBorders>
              <w:top w:val="single" w:sz="2" w:space="0" w:color="231F20"/>
              <w:left w:val="single" w:sz="2" w:space="0" w:color="231F20"/>
              <w:bottom w:val="single" w:sz="2" w:space="0" w:color="231F20"/>
              <w:right w:val="single" w:sz="2" w:space="0" w:color="231F20"/>
            </w:tcBorders>
          </w:tcPr>
          <w:p w14:paraId="2887F0E3" w14:textId="77777777" w:rsidR="00D1174B" w:rsidRPr="00C84023" w:rsidRDefault="00D1174B" w:rsidP="00D63204">
            <w:pPr>
              <w:widowControl w:val="0"/>
              <w:spacing w:before="40" w:after="0" w:line="264" w:lineRule="exact"/>
              <w:ind w:left="90"/>
              <w:rPr>
                <w:rFonts w:cstheme="minorHAnsi"/>
              </w:rPr>
            </w:pPr>
            <w:r w:rsidRPr="00C84023">
              <w:rPr>
                <w:rFonts w:cstheme="minorHAnsi"/>
                <w:w w:val="105"/>
              </w:rPr>
              <w:t>This</w:t>
            </w:r>
            <w:r w:rsidRPr="00C84023">
              <w:rPr>
                <w:rFonts w:cstheme="minorHAnsi"/>
                <w:spacing w:val="19"/>
                <w:w w:val="105"/>
              </w:rPr>
              <w:t xml:space="preserve"> </w:t>
            </w:r>
            <w:r w:rsidRPr="00C84023">
              <w:rPr>
                <w:rFonts w:cstheme="minorHAnsi"/>
                <w:w w:val="105"/>
              </w:rPr>
              <w:t>course</w:t>
            </w:r>
            <w:r w:rsidRPr="00C84023">
              <w:rPr>
                <w:rFonts w:cstheme="minorHAnsi"/>
                <w:spacing w:val="19"/>
                <w:w w:val="105"/>
              </w:rPr>
              <w:t xml:space="preserve"> </w:t>
            </w:r>
            <w:r w:rsidRPr="00C84023">
              <w:rPr>
                <w:rFonts w:cstheme="minorHAnsi"/>
                <w:w w:val="105"/>
              </w:rPr>
              <w:t>is</w:t>
            </w:r>
            <w:r w:rsidRPr="00C84023">
              <w:rPr>
                <w:rFonts w:cstheme="minorHAnsi"/>
                <w:spacing w:val="19"/>
                <w:w w:val="105"/>
              </w:rPr>
              <w:t xml:space="preserve"> </w:t>
            </w:r>
            <w:r w:rsidRPr="00C84023">
              <w:rPr>
                <w:rFonts w:cstheme="minorHAnsi"/>
                <w:w w:val="105"/>
              </w:rPr>
              <w:t>designed</w:t>
            </w:r>
            <w:r w:rsidRPr="00C84023">
              <w:rPr>
                <w:rFonts w:cstheme="minorHAnsi"/>
                <w:spacing w:val="19"/>
                <w:w w:val="105"/>
              </w:rPr>
              <w:t xml:space="preserve"> </w:t>
            </w:r>
            <w:r w:rsidRPr="00C84023">
              <w:rPr>
                <w:rFonts w:cstheme="minorHAnsi"/>
                <w:w w:val="105"/>
              </w:rPr>
              <w:t>for</w:t>
            </w:r>
            <w:r w:rsidRPr="00C84023">
              <w:rPr>
                <w:rFonts w:cstheme="minorHAnsi"/>
                <w:spacing w:val="19"/>
                <w:w w:val="105"/>
              </w:rPr>
              <w:t xml:space="preserve"> </w:t>
            </w:r>
            <w:r w:rsidRPr="00C84023">
              <w:rPr>
                <w:rFonts w:cstheme="minorHAnsi"/>
                <w:w w:val="105"/>
              </w:rPr>
              <w:t>ESOL</w:t>
            </w:r>
            <w:r w:rsidRPr="00C84023">
              <w:rPr>
                <w:rFonts w:cstheme="minorHAnsi"/>
                <w:spacing w:val="19"/>
                <w:w w:val="105"/>
              </w:rPr>
              <w:t xml:space="preserve"> </w:t>
            </w:r>
            <w:r w:rsidRPr="00C84023">
              <w:rPr>
                <w:rFonts w:cstheme="minorHAnsi"/>
                <w:w w:val="105"/>
              </w:rPr>
              <w:t>students</w:t>
            </w:r>
            <w:r w:rsidRPr="00C84023">
              <w:rPr>
                <w:rFonts w:cstheme="minorHAnsi"/>
                <w:spacing w:val="19"/>
                <w:w w:val="105"/>
              </w:rPr>
              <w:t xml:space="preserve"> </w:t>
            </w:r>
            <w:r w:rsidRPr="00C84023">
              <w:rPr>
                <w:rFonts w:cstheme="minorHAnsi"/>
                <w:w w:val="105"/>
              </w:rPr>
              <w:t>who have</w:t>
            </w:r>
            <w:r w:rsidRPr="00C84023">
              <w:rPr>
                <w:rFonts w:cstheme="minorHAnsi"/>
                <w:spacing w:val="19"/>
                <w:w w:val="105"/>
              </w:rPr>
              <w:t xml:space="preserve"> </w:t>
            </w:r>
            <w:r w:rsidRPr="00C84023">
              <w:rPr>
                <w:rFonts w:cstheme="minorHAnsi"/>
                <w:w w:val="105"/>
              </w:rPr>
              <w:t>a</w:t>
            </w:r>
            <w:r w:rsidRPr="00C84023">
              <w:rPr>
                <w:rFonts w:cstheme="minorHAnsi"/>
                <w:spacing w:val="19"/>
                <w:w w:val="105"/>
              </w:rPr>
              <w:t xml:space="preserve"> </w:t>
            </w:r>
            <w:r w:rsidRPr="00C84023">
              <w:rPr>
                <w:rFonts w:cstheme="minorHAnsi"/>
                <w:w w:val="105"/>
              </w:rPr>
              <w:t>goal</w:t>
            </w:r>
            <w:r w:rsidRPr="00C84023">
              <w:rPr>
                <w:rFonts w:cstheme="minorHAnsi"/>
                <w:spacing w:val="19"/>
                <w:w w:val="105"/>
              </w:rPr>
              <w:t xml:space="preserve"> </w:t>
            </w:r>
            <w:r w:rsidRPr="00C84023">
              <w:rPr>
                <w:rFonts w:cstheme="minorHAnsi"/>
                <w:w w:val="105"/>
              </w:rPr>
              <w:t>of</w:t>
            </w:r>
            <w:r w:rsidRPr="00C84023">
              <w:rPr>
                <w:rFonts w:cstheme="minorHAnsi"/>
                <w:spacing w:val="19"/>
                <w:w w:val="105"/>
              </w:rPr>
              <w:t xml:space="preserve"> </w:t>
            </w:r>
            <w:r w:rsidRPr="00C84023">
              <w:rPr>
                <w:rFonts w:cstheme="minorHAnsi"/>
                <w:w w:val="105"/>
              </w:rPr>
              <w:t>enrolling</w:t>
            </w:r>
            <w:r w:rsidRPr="00C84023">
              <w:rPr>
                <w:rFonts w:cstheme="minorHAnsi"/>
                <w:spacing w:val="-23"/>
                <w:w w:val="105"/>
              </w:rPr>
              <w:t xml:space="preserve"> </w:t>
            </w:r>
            <w:r w:rsidRPr="00C84023">
              <w:rPr>
                <w:rFonts w:cstheme="minorHAnsi"/>
                <w:w w:val="105"/>
              </w:rPr>
              <w:t>in</w:t>
            </w:r>
            <w:r w:rsidRPr="00C84023">
              <w:rPr>
                <w:rFonts w:cstheme="minorHAnsi"/>
                <w:spacing w:val="7"/>
                <w:w w:val="105"/>
              </w:rPr>
              <w:t xml:space="preserve"> </w:t>
            </w:r>
            <w:r w:rsidRPr="00C84023">
              <w:rPr>
                <w:rFonts w:cstheme="minorHAnsi"/>
                <w:w w:val="105"/>
              </w:rPr>
              <w:t>a</w:t>
            </w:r>
            <w:r w:rsidRPr="00C84023">
              <w:rPr>
                <w:rFonts w:cstheme="minorHAnsi"/>
                <w:spacing w:val="7"/>
                <w:w w:val="105"/>
              </w:rPr>
              <w:t xml:space="preserve"> </w:t>
            </w:r>
            <w:r w:rsidRPr="00C84023">
              <w:rPr>
                <w:rFonts w:cstheme="minorHAnsi"/>
                <w:w w:val="105"/>
              </w:rPr>
              <w:t>career</w:t>
            </w:r>
            <w:r w:rsidRPr="00C84023">
              <w:rPr>
                <w:rFonts w:cstheme="minorHAnsi"/>
                <w:spacing w:val="7"/>
                <w:w w:val="105"/>
              </w:rPr>
              <w:t xml:space="preserve"> </w:t>
            </w:r>
            <w:r w:rsidRPr="00C84023">
              <w:rPr>
                <w:rFonts w:cstheme="minorHAnsi"/>
                <w:w w:val="105"/>
              </w:rPr>
              <w:t>and</w:t>
            </w:r>
            <w:r w:rsidRPr="00C84023">
              <w:rPr>
                <w:rFonts w:cstheme="minorHAnsi"/>
                <w:spacing w:val="7"/>
                <w:w w:val="105"/>
              </w:rPr>
              <w:t xml:space="preserve"> </w:t>
            </w:r>
            <w:r w:rsidRPr="00C84023">
              <w:rPr>
                <w:rFonts w:cstheme="minorHAnsi"/>
                <w:w w:val="105"/>
              </w:rPr>
              <w:t>technical</w:t>
            </w:r>
            <w:r w:rsidRPr="00C84023">
              <w:rPr>
                <w:rFonts w:cstheme="minorHAnsi"/>
                <w:spacing w:val="7"/>
                <w:w w:val="105"/>
              </w:rPr>
              <w:t xml:space="preserve"> </w:t>
            </w:r>
            <w:r w:rsidRPr="00C84023">
              <w:rPr>
                <w:rFonts w:cstheme="minorHAnsi"/>
                <w:w w:val="105"/>
              </w:rPr>
              <w:t>program.</w:t>
            </w:r>
            <w:r w:rsidRPr="00C84023">
              <w:rPr>
                <w:rFonts w:cstheme="minorHAnsi"/>
                <w:spacing w:val="7"/>
                <w:w w:val="105"/>
              </w:rPr>
              <w:t xml:space="preserve"> </w:t>
            </w:r>
            <w:r w:rsidRPr="00C84023">
              <w:rPr>
                <w:rFonts w:cstheme="minorHAnsi"/>
                <w:w w:val="105"/>
              </w:rPr>
              <w:t>Students</w:t>
            </w:r>
            <w:r w:rsidRPr="00C84023">
              <w:rPr>
                <w:rFonts w:cstheme="minorHAnsi"/>
                <w:spacing w:val="7"/>
                <w:w w:val="105"/>
              </w:rPr>
              <w:t xml:space="preserve"> </w:t>
            </w:r>
            <w:r w:rsidRPr="00C84023">
              <w:rPr>
                <w:rFonts w:cstheme="minorHAnsi"/>
                <w:w w:val="105"/>
              </w:rPr>
              <w:t>must</w:t>
            </w:r>
            <w:r w:rsidRPr="00C84023">
              <w:rPr>
                <w:rFonts w:cstheme="minorHAnsi"/>
                <w:spacing w:val="7"/>
                <w:w w:val="105"/>
              </w:rPr>
              <w:t xml:space="preserve"> </w:t>
            </w:r>
            <w:r w:rsidRPr="00C84023">
              <w:rPr>
                <w:rFonts w:cstheme="minorHAnsi"/>
                <w:w w:val="105"/>
              </w:rPr>
              <w:t>test</w:t>
            </w:r>
            <w:r w:rsidRPr="00C84023">
              <w:rPr>
                <w:rFonts w:cstheme="minorHAnsi"/>
                <w:spacing w:val="7"/>
                <w:w w:val="105"/>
              </w:rPr>
              <w:t xml:space="preserve"> </w:t>
            </w:r>
            <w:r w:rsidRPr="00C84023">
              <w:rPr>
                <w:rFonts w:cstheme="minorHAnsi"/>
                <w:w w:val="105"/>
              </w:rPr>
              <w:t>at</w:t>
            </w:r>
            <w:r w:rsidRPr="00C84023">
              <w:rPr>
                <w:rFonts w:cstheme="minorHAnsi"/>
                <w:spacing w:val="7"/>
                <w:w w:val="105"/>
              </w:rPr>
              <w:t xml:space="preserve"> or above </w:t>
            </w:r>
            <w:r w:rsidRPr="00C84023">
              <w:rPr>
                <w:rFonts w:cstheme="minorHAnsi"/>
                <w:w w:val="105"/>
              </w:rPr>
              <w:t>the</w:t>
            </w:r>
            <w:r w:rsidRPr="00C84023">
              <w:rPr>
                <w:rFonts w:cstheme="minorHAnsi"/>
                <w:spacing w:val="7"/>
                <w:w w:val="105"/>
              </w:rPr>
              <w:t xml:space="preserve"> </w:t>
            </w:r>
            <w:r w:rsidRPr="00C84023">
              <w:rPr>
                <w:rFonts w:cstheme="minorHAnsi"/>
                <w:w w:val="105"/>
              </w:rPr>
              <w:t>High-</w:t>
            </w:r>
            <w:r w:rsidRPr="00C84023">
              <w:rPr>
                <w:rFonts w:cstheme="minorHAnsi"/>
                <w:spacing w:val="-20"/>
                <w:w w:val="105"/>
              </w:rPr>
              <w:t xml:space="preserve"> </w:t>
            </w:r>
            <w:r w:rsidRPr="00C84023">
              <w:rPr>
                <w:rFonts w:cstheme="minorHAnsi"/>
                <w:w w:val="105"/>
              </w:rPr>
              <w:t>Intermediate</w:t>
            </w:r>
            <w:r w:rsidRPr="00C84023">
              <w:rPr>
                <w:rFonts w:cstheme="minorHAnsi"/>
                <w:spacing w:val="12"/>
                <w:w w:val="105"/>
              </w:rPr>
              <w:t xml:space="preserve"> </w:t>
            </w:r>
            <w:r w:rsidRPr="00C84023">
              <w:rPr>
                <w:rFonts w:cstheme="minorHAnsi"/>
                <w:w w:val="105"/>
              </w:rPr>
              <w:t>level</w:t>
            </w:r>
            <w:r w:rsidRPr="00C84023">
              <w:rPr>
                <w:rFonts w:cstheme="minorHAnsi"/>
                <w:spacing w:val="12"/>
                <w:w w:val="105"/>
              </w:rPr>
              <w:t xml:space="preserve"> </w:t>
            </w:r>
            <w:r w:rsidRPr="00C84023">
              <w:rPr>
                <w:rFonts w:cstheme="minorHAnsi"/>
                <w:w w:val="105"/>
              </w:rPr>
              <w:t>for</w:t>
            </w:r>
            <w:r w:rsidRPr="00C84023">
              <w:rPr>
                <w:rFonts w:cstheme="minorHAnsi"/>
                <w:spacing w:val="12"/>
                <w:w w:val="105"/>
              </w:rPr>
              <w:t xml:space="preserve"> </w:t>
            </w:r>
            <w:r w:rsidRPr="00C84023">
              <w:rPr>
                <w:rFonts w:cstheme="minorHAnsi"/>
                <w:w w:val="105"/>
              </w:rPr>
              <w:t>enrollment</w:t>
            </w:r>
            <w:r w:rsidRPr="00C84023">
              <w:rPr>
                <w:rFonts w:cstheme="minorHAnsi"/>
                <w:spacing w:val="12"/>
                <w:w w:val="105"/>
              </w:rPr>
              <w:t xml:space="preserve"> </w:t>
            </w:r>
            <w:r w:rsidRPr="00C84023">
              <w:rPr>
                <w:rFonts w:cstheme="minorHAnsi"/>
                <w:w w:val="105"/>
              </w:rPr>
              <w:t>into</w:t>
            </w:r>
            <w:r w:rsidRPr="00C84023">
              <w:rPr>
                <w:rFonts w:cstheme="minorHAnsi"/>
                <w:spacing w:val="12"/>
                <w:w w:val="105"/>
              </w:rPr>
              <w:t xml:space="preserve"> </w:t>
            </w:r>
            <w:r w:rsidRPr="00C84023">
              <w:rPr>
                <w:rFonts w:cstheme="minorHAnsi"/>
                <w:w w:val="105"/>
              </w:rPr>
              <w:t>or</w:t>
            </w:r>
            <w:r w:rsidRPr="00C84023">
              <w:rPr>
                <w:rFonts w:cstheme="minorHAnsi"/>
                <w:spacing w:val="12"/>
                <w:w w:val="105"/>
              </w:rPr>
              <w:t xml:space="preserve"> </w:t>
            </w:r>
            <w:r w:rsidRPr="00C84023">
              <w:rPr>
                <w:rFonts w:cstheme="minorHAnsi"/>
                <w:w w:val="105"/>
              </w:rPr>
              <w:t>placement</w:t>
            </w:r>
            <w:r w:rsidRPr="00C84023">
              <w:rPr>
                <w:rFonts w:cstheme="minorHAnsi"/>
                <w:spacing w:val="12"/>
                <w:w w:val="105"/>
              </w:rPr>
              <w:t xml:space="preserve"> </w:t>
            </w:r>
            <w:r w:rsidRPr="00C84023">
              <w:rPr>
                <w:rFonts w:cstheme="minorHAnsi"/>
                <w:w w:val="105"/>
              </w:rPr>
              <w:t>in</w:t>
            </w:r>
            <w:r w:rsidRPr="00C84023">
              <w:rPr>
                <w:rFonts w:cstheme="minorHAnsi"/>
                <w:spacing w:val="12"/>
                <w:w w:val="105"/>
              </w:rPr>
              <w:t xml:space="preserve"> </w:t>
            </w:r>
            <w:r w:rsidRPr="00C84023">
              <w:rPr>
                <w:rFonts w:cstheme="minorHAnsi"/>
                <w:spacing w:val="-4"/>
                <w:w w:val="105"/>
              </w:rPr>
              <w:t>ELCATE.</w:t>
            </w:r>
            <w:r w:rsidRPr="00C84023">
              <w:rPr>
                <w:rFonts w:cstheme="minorHAnsi"/>
                <w:spacing w:val="-47"/>
                <w:w w:val="105"/>
              </w:rPr>
              <w:t xml:space="preserve"> </w:t>
            </w:r>
            <w:r w:rsidRPr="00C84023">
              <w:rPr>
                <w:rFonts w:cstheme="minorHAnsi"/>
                <w:w w:val="105"/>
              </w:rPr>
              <w:t>The course helps prepare students for a successful transition</w:t>
            </w:r>
            <w:r w:rsidRPr="00C84023">
              <w:rPr>
                <w:rFonts w:cstheme="minorHAnsi"/>
                <w:spacing w:val="2"/>
                <w:w w:val="105"/>
              </w:rPr>
              <w:t xml:space="preserve"> </w:t>
            </w:r>
            <w:r w:rsidRPr="00C84023">
              <w:rPr>
                <w:rFonts w:cstheme="minorHAnsi"/>
                <w:w w:val="105"/>
              </w:rPr>
              <w:t>to</w:t>
            </w:r>
            <w:r w:rsidRPr="00C84023">
              <w:rPr>
                <w:rFonts w:cstheme="minorHAnsi"/>
              </w:rPr>
              <w:t xml:space="preserve"> </w:t>
            </w:r>
            <w:r w:rsidRPr="00C84023">
              <w:rPr>
                <w:rFonts w:cstheme="minorHAnsi"/>
                <w:w w:val="105"/>
              </w:rPr>
              <w:t>and completion of career and technical education.</w:t>
            </w:r>
          </w:p>
        </w:tc>
      </w:tr>
    </w:tbl>
    <w:p w14:paraId="2BD6DC5A" w14:textId="6818207A" w:rsidR="00D1174B" w:rsidRDefault="00D1174B" w:rsidP="00D63204">
      <w:pPr>
        <w:widowControl w:val="0"/>
        <w:spacing w:after="0" w:line="240" w:lineRule="auto"/>
        <w:ind w:left="90"/>
        <w:rPr>
          <w:rFonts w:cstheme="minorHAnsi"/>
          <w:sz w:val="20"/>
          <w:szCs w:val="20"/>
        </w:rPr>
      </w:pPr>
    </w:p>
    <w:p w14:paraId="00A2E6EA" w14:textId="77777777" w:rsidR="00691C52" w:rsidRPr="00C84023" w:rsidRDefault="00691C52" w:rsidP="00D63204">
      <w:pPr>
        <w:widowControl w:val="0"/>
        <w:spacing w:after="0" w:line="240" w:lineRule="auto"/>
        <w:ind w:left="90"/>
        <w:rPr>
          <w:rFonts w:cstheme="minorHAnsi"/>
          <w:sz w:val="20"/>
          <w:szCs w:val="20"/>
        </w:rPr>
      </w:pPr>
    </w:p>
    <w:p w14:paraId="07D58127" w14:textId="77777777" w:rsidR="00D1174B" w:rsidRPr="00C84023" w:rsidRDefault="00D1174B" w:rsidP="00D63204">
      <w:pPr>
        <w:widowControl w:val="0"/>
        <w:spacing w:before="9" w:after="0" w:line="240" w:lineRule="auto"/>
        <w:ind w:left="90"/>
        <w:rPr>
          <w:rFonts w:cstheme="minorHAnsi"/>
          <w:sz w:val="17"/>
          <w:szCs w:val="17"/>
        </w:rPr>
      </w:pPr>
    </w:p>
    <w:tbl>
      <w:tblPr>
        <w:tblW w:w="0" w:type="auto"/>
        <w:tblInd w:w="108" w:type="dxa"/>
        <w:tblLayout w:type="fixed"/>
        <w:tblCellMar>
          <w:left w:w="0" w:type="dxa"/>
          <w:right w:w="0" w:type="dxa"/>
        </w:tblCellMar>
        <w:tblLook w:val="01E0" w:firstRow="1" w:lastRow="1" w:firstColumn="1" w:lastColumn="1" w:noHBand="0" w:noVBand="0"/>
      </w:tblPr>
      <w:tblGrid>
        <w:gridCol w:w="3007"/>
        <w:gridCol w:w="7142"/>
      </w:tblGrid>
      <w:tr w:rsidR="00D1174B" w:rsidRPr="00C84023" w14:paraId="3882C6AE" w14:textId="77777777" w:rsidTr="00CA6841">
        <w:trPr>
          <w:trHeight w:hRule="exact" w:val="629"/>
        </w:trPr>
        <w:tc>
          <w:tcPr>
            <w:tcW w:w="10149" w:type="dxa"/>
            <w:gridSpan w:val="2"/>
            <w:tcBorders>
              <w:top w:val="single" w:sz="2" w:space="0" w:color="231F20"/>
              <w:left w:val="single" w:sz="2" w:space="0" w:color="231F20"/>
              <w:bottom w:val="single" w:sz="2" w:space="0" w:color="231F20"/>
              <w:right w:val="single" w:sz="2" w:space="0" w:color="231F20"/>
            </w:tcBorders>
          </w:tcPr>
          <w:p w14:paraId="24C87023" w14:textId="77777777" w:rsidR="00D1174B" w:rsidRPr="00C84023" w:rsidRDefault="00D1174B" w:rsidP="00D63204">
            <w:pPr>
              <w:widowControl w:val="0"/>
              <w:spacing w:before="71" w:after="0" w:line="264" w:lineRule="exact"/>
              <w:ind w:left="90"/>
              <w:rPr>
                <w:rFonts w:cstheme="minorHAnsi"/>
              </w:rPr>
            </w:pPr>
            <w:r w:rsidRPr="00C84023">
              <w:rPr>
                <w:rFonts w:cstheme="minorHAnsi"/>
                <w:b/>
                <w:w w:val="115"/>
              </w:rPr>
              <w:t xml:space="preserve">THESE </w:t>
            </w:r>
            <w:r w:rsidRPr="00C84023">
              <w:rPr>
                <w:rFonts w:cstheme="minorHAnsi"/>
                <w:b/>
                <w:spacing w:val="-4"/>
                <w:w w:val="115"/>
              </w:rPr>
              <w:t xml:space="preserve">ADULT </w:t>
            </w:r>
            <w:r w:rsidRPr="00C84023">
              <w:rPr>
                <w:rFonts w:cstheme="minorHAnsi"/>
                <w:b/>
                <w:w w:val="115"/>
              </w:rPr>
              <w:t>EDUCATION COURSES ARE NOT SUPPORTED WITH FEDERAL FUNDS AND</w:t>
            </w:r>
            <w:r w:rsidRPr="00C84023">
              <w:rPr>
                <w:rFonts w:cstheme="minorHAnsi"/>
                <w:b/>
                <w:spacing w:val="28"/>
                <w:w w:val="115"/>
              </w:rPr>
              <w:t xml:space="preserve"> </w:t>
            </w:r>
            <w:r w:rsidRPr="00C84023">
              <w:rPr>
                <w:rFonts w:cstheme="minorHAnsi"/>
                <w:b/>
                <w:w w:val="115"/>
              </w:rPr>
              <w:t>ARE NOT</w:t>
            </w:r>
            <w:r w:rsidRPr="00C84023">
              <w:rPr>
                <w:rFonts w:cstheme="minorHAnsi"/>
                <w:b/>
                <w:spacing w:val="-8"/>
                <w:w w:val="115"/>
              </w:rPr>
              <w:t xml:space="preserve"> </w:t>
            </w:r>
            <w:r w:rsidRPr="00C84023">
              <w:rPr>
                <w:rFonts w:cstheme="minorHAnsi"/>
                <w:b/>
                <w:w w:val="115"/>
              </w:rPr>
              <w:t>REPORTED</w:t>
            </w:r>
            <w:r w:rsidRPr="00C84023">
              <w:rPr>
                <w:rFonts w:cstheme="minorHAnsi"/>
                <w:b/>
                <w:spacing w:val="-8"/>
                <w:w w:val="115"/>
              </w:rPr>
              <w:t xml:space="preserve"> </w:t>
            </w:r>
            <w:r w:rsidRPr="00C84023">
              <w:rPr>
                <w:rFonts w:cstheme="minorHAnsi"/>
                <w:b/>
                <w:w w:val="115"/>
              </w:rPr>
              <w:t>FOR</w:t>
            </w:r>
            <w:r w:rsidRPr="00C84023">
              <w:rPr>
                <w:rFonts w:cstheme="minorHAnsi"/>
                <w:b/>
                <w:spacing w:val="-8"/>
                <w:w w:val="115"/>
              </w:rPr>
              <w:t xml:space="preserve"> </w:t>
            </w:r>
            <w:r w:rsidRPr="00C84023">
              <w:rPr>
                <w:rFonts w:cstheme="minorHAnsi"/>
                <w:b/>
                <w:w w:val="115"/>
              </w:rPr>
              <w:t>NATIONAL</w:t>
            </w:r>
            <w:r w:rsidRPr="00C84023">
              <w:rPr>
                <w:rFonts w:cstheme="minorHAnsi"/>
                <w:b/>
                <w:spacing w:val="-8"/>
                <w:w w:val="115"/>
              </w:rPr>
              <w:t xml:space="preserve"> </w:t>
            </w:r>
            <w:r w:rsidRPr="00C84023">
              <w:rPr>
                <w:rFonts w:cstheme="minorHAnsi"/>
                <w:b/>
                <w:w w:val="115"/>
              </w:rPr>
              <w:t>REPORTING</w:t>
            </w:r>
            <w:r w:rsidRPr="00C84023">
              <w:rPr>
                <w:rFonts w:cstheme="minorHAnsi"/>
                <w:b/>
                <w:spacing w:val="-8"/>
                <w:w w:val="115"/>
              </w:rPr>
              <w:t xml:space="preserve"> </w:t>
            </w:r>
            <w:r w:rsidRPr="00C84023">
              <w:rPr>
                <w:rFonts w:cstheme="minorHAnsi"/>
                <w:b/>
                <w:w w:val="115"/>
              </w:rPr>
              <w:t>SYSTEM</w:t>
            </w:r>
            <w:r w:rsidRPr="00C84023">
              <w:rPr>
                <w:rFonts w:cstheme="minorHAnsi"/>
                <w:b/>
                <w:spacing w:val="-8"/>
                <w:w w:val="115"/>
              </w:rPr>
              <w:t xml:space="preserve"> </w:t>
            </w:r>
            <w:r w:rsidRPr="00C84023">
              <w:rPr>
                <w:rFonts w:cstheme="minorHAnsi"/>
                <w:b/>
                <w:w w:val="115"/>
              </w:rPr>
              <w:t>(NRS)</w:t>
            </w:r>
            <w:r w:rsidRPr="00C84023">
              <w:rPr>
                <w:rFonts w:cstheme="minorHAnsi"/>
                <w:b/>
                <w:spacing w:val="-8"/>
                <w:w w:val="115"/>
              </w:rPr>
              <w:t xml:space="preserve"> </w:t>
            </w:r>
            <w:r w:rsidRPr="00C84023">
              <w:rPr>
                <w:rFonts w:cstheme="minorHAnsi"/>
                <w:b/>
                <w:w w:val="115"/>
              </w:rPr>
              <w:t>PURPOSES</w:t>
            </w:r>
          </w:p>
        </w:tc>
      </w:tr>
      <w:tr w:rsidR="00D1174B" w:rsidRPr="00C84023" w14:paraId="4000414E" w14:textId="77777777" w:rsidTr="00691C52">
        <w:trPr>
          <w:trHeight w:hRule="exact" w:val="1517"/>
        </w:trPr>
        <w:tc>
          <w:tcPr>
            <w:tcW w:w="3007" w:type="dxa"/>
            <w:tcBorders>
              <w:top w:val="single" w:sz="2" w:space="0" w:color="231F20"/>
              <w:left w:val="single" w:sz="2" w:space="0" w:color="231F20"/>
              <w:bottom w:val="single" w:sz="2" w:space="0" w:color="231F20"/>
              <w:right w:val="single" w:sz="2" w:space="0" w:color="231F20"/>
            </w:tcBorders>
            <w:shd w:val="clear" w:color="auto" w:fill="E6E7E8"/>
          </w:tcPr>
          <w:p w14:paraId="0C0CE47F" w14:textId="77777777" w:rsidR="00D1174B" w:rsidRPr="00C84023" w:rsidRDefault="00D1174B" w:rsidP="00691C52">
            <w:pPr>
              <w:widowControl w:val="0"/>
              <w:spacing w:before="42" w:after="0" w:line="240" w:lineRule="auto"/>
              <w:ind w:left="90"/>
              <w:rPr>
                <w:rFonts w:cstheme="minorHAnsi"/>
              </w:rPr>
            </w:pPr>
            <w:r w:rsidRPr="00C84023">
              <w:rPr>
                <w:rFonts w:cstheme="minorHAnsi"/>
                <w:b/>
                <w:w w:val="110"/>
              </w:rPr>
              <w:t>Citizenship</w:t>
            </w:r>
            <w:r w:rsidRPr="00C84023">
              <w:rPr>
                <w:rFonts w:cstheme="minorHAnsi"/>
                <w:b/>
                <w:spacing w:val="31"/>
                <w:w w:val="110"/>
              </w:rPr>
              <w:t xml:space="preserve"> </w:t>
            </w:r>
            <w:r w:rsidRPr="00C84023">
              <w:rPr>
                <w:rFonts w:cstheme="minorHAnsi"/>
                <w:b/>
                <w:w w:val="110"/>
              </w:rPr>
              <w:t>Cours</w:t>
            </w:r>
            <w:r w:rsidRPr="00C84023">
              <w:rPr>
                <w:rFonts w:cstheme="minorHAnsi"/>
                <w:b/>
                <w:color w:val="231F20"/>
                <w:w w:val="110"/>
              </w:rPr>
              <w:t>e</w:t>
            </w:r>
          </w:p>
        </w:tc>
        <w:tc>
          <w:tcPr>
            <w:tcW w:w="7142" w:type="dxa"/>
            <w:tcBorders>
              <w:top w:val="single" w:sz="2" w:space="0" w:color="231F20"/>
              <w:left w:val="single" w:sz="2" w:space="0" w:color="231F20"/>
              <w:bottom w:val="single" w:sz="2" w:space="0" w:color="231F20"/>
              <w:right w:val="single" w:sz="2" w:space="0" w:color="231F20"/>
            </w:tcBorders>
            <w:shd w:val="clear" w:color="auto" w:fill="E6E7E8"/>
          </w:tcPr>
          <w:p w14:paraId="65A68319" w14:textId="77777777" w:rsidR="00D1174B" w:rsidRPr="00C84023" w:rsidRDefault="00D1174B" w:rsidP="00D63204">
            <w:pPr>
              <w:widowControl w:val="0"/>
              <w:spacing w:after="0" w:line="264" w:lineRule="exact"/>
              <w:ind w:left="90"/>
              <w:rPr>
                <w:rFonts w:cstheme="minorHAnsi"/>
              </w:rPr>
            </w:pPr>
            <w:r w:rsidRPr="00C84023">
              <w:rPr>
                <w:rFonts w:cstheme="minorHAnsi"/>
                <w:w w:val="105"/>
              </w:rPr>
              <w:t>This course is designed to prepare students to become naturalized citizens of the United States (U.S.). For</w:t>
            </w:r>
            <w:r w:rsidRPr="00C84023">
              <w:rPr>
                <w:rFonts w:cstheme="minorHAnsi"/>
                <w:spacing w:val="6"/>
                <w:w w:val="105"/>
              </w:rPr>
              <w:t xml:space="preserve"> </w:t>
            </w:r>
            <w:r w:rsidRPr="00C84023">
              <w:rPr>
                <w:rFonts w:cstheme="minorHAnsi"/>
                <w:w w:val="105"/>
              </w:rPr>
              <w:t>adults</w:t>
            </w:r>
            <w:r w:rsidRPr="00C84023">
              <w:rPr>
                <w:rFonts w:cstheme="minorHAnsi"/>
                <w:w w:val="106"/>
              </w:rPr>
              <w:t xml:space="preserve"> </w:t>
            </w:r>
            <w:r w:rsidRPr="00C84023">
              <w:rPr>
                <w:rFonts w:cstheme="minorHAnsi"/>
                <w:w w:val="105"/>
              </w:rPr>
              <w:t>preparing for the citizenship test, the content includes U.S. history, government, culture and symbols, with specific emphasis on legal rights</w:t>
            </w:r>
            <w:r w:rsidRPr="00C84023">
              <w:rPr>
                <w:rFonts w:cstheme="minorHAnsi"/>
                <w:spacing w:val="33"/>
                <w:w w:val="105"/>
              </w:rPr>
              <w:t xml:space="preserve"> </w:t>
            </w:r>
            <w:r w:rsidRPr="00C84023">
              <w:rPr>
                <w:rFonts w:cstheme="minorHAnsi"/>
                <w:w w:val="105"/>
              </w:rPr>
              <w:t>and</w:t>
            </w:r>
            <w:r w:rsidRPr="00C84023">
              <w:rPr>
                <w:rFonts w:cstheme="minorHAnsi"/>
                <w:w w:val="108"/>
              </w:rPr>
              <w:t xml:space="preserve"> </w:t>
            </w:r>
            <w:r w:rsidRPr="00C84023">
              <w:rPr>
                <w:rFonts w:cstheme="minorHAnsi"/>
                <w:w w:val="105"/>
              </w:rPr>
              <w:t>responsibilities under the Constitution of the United States of America.</w:t>
            </w:r>
          </w:p>
        </w:tc>
      </w:tr>
      <w:tr w:rsidR="00D1174B" w:rsidRPr="00C84023" w14:paraId="484B3A40" w14:textId="77777777" w:rsidTr="00691C52">
        <w:trPr>
          <w:trHeight w:hRule="exact" w:val="1526"/>
        </w:trPr>
        <w:tc>
          <w:tcPr>
            <w:tcW w:w="3007" w:type="dxa"/>
            <w:tcBorders>
              <w:top w:val="single" w:sz="2" w:space="0" w:color="231F20"/>
              <w:left w:val="single" w:sz="2" w:space="0" w:color="231F20"/>
              <w:bottom w:val="single" w:sz="2" w:space="0" w:color="231F20"/>
              <w:right w:val="single" w:sz="2" w:space="0" w:color="231F20"/>
            </w:tcBorders>
          </w:tcPr>
          <w:p w14:paraId="64D62467" w14:textId="77777777" w:rsidR="00D1174B" w:rsidRPr="00C84023" w:rsidRDefault="00D1174B" w:rsidP="00691C52">
            <w:pPr>
              <w:widowControl w:val="0"/>
              <w:spacing w:before="40" w:after="0" w:line="264" w:lineRule="exact"/>
              <w:ind w:left="90"/>
              <w:rPr>
                <w:rFonts w:cstheme="minorHAnsi"/>
              </w:rPr>
            </w:pPr>
            <w:r w:rsidRPr="00C84023">
              <w:rPr>
                <w:rFonts w:cstheme="minorHAnsi"/>
                <w:b/>
                <w:w w:val="110"/>
              </w:rPr>
              <w:t>Adult ESOL College and</w:t>
            </w:r>
            <w:r w:rsidRPr="00C84023">
              <w:rPr>
                <w:rFonts w:cstheme="minorHAnsi"/>
                <w:b/>
                <w:spacing w:val="1"/>
                <w:w w:val="110"/>
              </w:rPr>
              <w:t xml:space="preserve"> </w:t>
            </w:r>
            <w:r w:rsidRPr="00C84023">
              <w:rPr>
                <w:rFonts w:cstheme="minorHAnsi"/>
                <w:b/>
                <w:w w:val="110"/>
              </w:rPr>
              <w:t>Career Readiness</w:t>
            </w:r>
            <w:r w:rsidRPr="00C84023">
              <w:rPr>
                <w:rFonts w:cstheme="minorHAnsi"/>
                <w:b/>
                <w:spacing w:val="37"/>
                <w:w w:val="110"/>
              </w:rPr>
              <w:t xml:space="preserve"> </w:t>
            </w:r>
            <w:r w:rsidRPr="00C84023">
              <w:rPr>
                <w:rFonts w:cstheme="minorHAnsi"/>
                <w:b/>
                <w:w w:val="110"/>
              </w:rPr>
              <w:t>Course</w:t>
            </w:r>
          </w:p>
        </w:tc>
        <w:tc>
          <w:tcPr>
            <w:tcW w:w="7142" w:type="dxa"/>
            <w:tcBorders>
              <w:top w:val="single" w:sz="2" w:space="0" w:color="231F20"/>
              <w:left w:val="single" w:sz="2" w:space="0" w:color="231F20"/>
              <w:bottom w:val="single" w:sz="2" w:space="0" w:color="231F20"/>
              <w:right w:val="single" w:sz="2" w:space="0" w:color="231F20"/>
            </w:tcBorders>
          </w:tcPr>
          <w:p w14:paraId="063F5FCF" w14:textId="77777777" w:rsidR="00D1174B" w:rsidRPr="00C84023" w:rsidRDefault="00D1174B" w:rsidP="00D63204">
            <w:pPr>
              <w:widowControl w:val="0"/>
              <w:spacing w:before="40" w:after="0" w:line="264" w:lineRule="exact"/>
              <w:ind w:left="90"/>
              <w:rPr>
                <w:rFonts w:cstheme="minorHAnsi"/>
              </w:rPr>
            </w:pPr>
            <w:r w:rsidRPr="00C84023">
              <w:rPr>
                <w:rFonts w:cstheme="minorHAnsi"/>
                <w:w w:val="110"/>
              </w:rPr>
              <w:t>The</w:t>
            </w:r>
            <w:r w:rsidRPr="00C84023">
              <w:rPr>
                <w:rFonts w:cstheme="minorHAnsi"/>
                <w:spacing w:val="-7"/>
                <w:w w:val="110"/>
              </w:rPr>
              <w:t xml:space="preserve"> </w:t>
            </w:r>
            <w:r w:rsidRPr="00C84023">
              <w:rPr>
                <w:rFonts w:cstheme="minorHAnsi"/>
                <w:w w:val="110"/>
              </w:rPr>
              <w:t>purpose</w:t>
            </w:r>
            <w:r w:rsidRPr="00C84023">
              <w:rPr>
                <w:rFonts w:cstheme="minorHAnsi"/>
                <w:spacing w:val="-7"/>
                <w:w w:val="110"/>
              </w:rPr>
              <w:t xml:space="preserve"> </w:t>
            </w:r>
            <w:r w:rsidRPr="00C84023">
              <w:rPr>
                <w:rFonts w:cstheme="minorHAnsi"/>
                <w:w w:val="110"/>
              </w:rPr>
              <w:t>of</w:t>
            </w:r>
            <w:r w:rsidRPr="00C84023">
              <w:rPr>
                <w:rFonts w:cstheme="minorHAnsi"/>
                <w:spacing w:val="-7"/>
                <w:w w:val="110"/>
              </w:rPr>
              <w:t xml:space="preserve"> </w:t>
            </w:r>
            <w:r w:rsidRPr="00C84023">
              <w:rPr>
                <w:rFonts w:cstheme="minorHAnsi"/>
                <w:w w:val="110"/>
              </w:rPr>
              <w:t>this</w:t>
            </w:r>
            <w:r w:rsidRPr="00C84023">
              <w:rPr>
                <w:rFonts w:cstheme="minorHAnsi"/>
                <w:spacing w:val="-7"/>
                <w:w w:val="110"/>
              </w:rPr>
              <w:t xml:space="preserve"> </w:t>
            </w:r>
            <w:r w:rsidRPr="00C84023">
              <w:rPr>
                <w:rFonts w:cstheme="minorHAnsi"/>
                <w:w w:val="110"/>
              </w:rPr>
              <w:t>course</w:t>
            </w:r>
            <w:r w:rsidRPr="00C84023">
              <w:rPr>
                <w:rFonts w:cstheme="minorHAnsi"/>
                <w:spacing w:val="-7"/>
                <w:w w:val="110"/>
              </w:rPr>
              <w:t xml:space="preserve"> </w:t>
            </w:r>
            <w:r w:rsidRPr="00C84023">
              <w:rPr>
                <w:rFonts w:cstheme="minorHAnsi"/>
                <w:w w:val="110"/>
              </w:rPr>
              <w:t>is</w:t>
            </w:r>
            <w:r w:rsidRPr="00C84023">
              <w:rPr>
                <w:rFonts w:cstheme="minorHAnsi"/>
                <w:spacing w:val="-7"/>
                <w:w w:val="110"/>
              </w:rPr>
              <w:t xml:space="preserve"> </w:t>
            </w:r>
            <w:r w:rsidRPr="00C84023">
              <w:rPr>
                <w:rFonts w:cstheme="minorHAnsi"/>
                <w:w w:val="110"/>
              </w:rPr>
              <w:t>to</w:t>
            </w:r>
            <w:r w:rsidRPr="00C84023">
              <w:rPr>
                <w:rFonts w:cstheme="minorHAnsi"/>
                <w:spacing w:val="-7"/>
                <w:w w:val="110"/>
              </w:rPr>
              <w:t xml:space="preserve"> </w:t>
            </w:r>
            <w:r w:rsidRPr="00C84023">
              <w:rPr>
                <w:rFonts w:cstheme="minorHAnsi"/>
                <w:w w:val="110"/>
              </w:rPr>
              <w:t>improve</w:t>
            </w:r>
            <w:r w:rsidRPr="00C84023">
              <w:rPr>
                <w:rFonts w:cstheme="minorHAnsi"/>
                <w:spacing w:val="-7"/>
                <w:w w:val="110"/>
              </w:rPr>
              <w:t xml:space="preserve"> </w:t>
            </w:r>
            <w:r w:rsidRPr="00C84023">
              <w:rPr>
                <w:rFonts w:cstheme="minorHAnsi"/>
                <w:w w:val="110"/>
              </w:rPr>
              <w:t>advanced</w:t>
            </w:r>
            <w:r w:rsidRPr="00C84023">
              <w:rPr>
                <w:rFonts w:cstheme="minorHAnsi"/>
                <w:spacing w:val="-7"/>
                <w:w w:val="110"/>
              </w:rPr>
              <w:t xml:space="preserve"> </w:t>
            </w:r>
            <w:r w:rsidRPr="00C84023">
              <w:rPr>
                <w:rFonts w:cstheme="minorHAnsi"/>
                <w:w w:val="110"/>
              </w:rPr>
              <w:t>ESOL</w:t>
            </w:r>
            <w:r w:rsidRPr="00C84023">
              <w:rPr>
                <w:rFonts w:cstheme="minorHAnsi"/>
                <w:spacing w:val="-7"/>
                <w:w w:val="110"/>
              </w:rPr>
              <w:t xml:space="preserve"> </w:t>
            </w:r>
            <w:r w:rsidRPr="00C84023">
              <w:rPr>
                <w:rFonts w:cstheme="minorHAnsi"/>
                <w:w w:val="110"/>
              </w:rPr>
              <w:t>students’</w:t>
            </w:r>
            <w:r w:rsidRPr="00C84023">
              <w:rPr>
                <w:rFonts w:cstheme="minorHAnsi"/>
                <w:w w:val="92"/>
              </w:rPr>
              <w:t xml:space="preserve"> </w:t>
            </w:r>
            <w:r w:rsidRPr="00C84023">
              <w:rPr>
                <w:rFonts w:cstheme="minorHAnsi"/>
                <w:w w:val="110"/>
              </w:rPr>
              <w:t>abilities to</w:t>
            </w:r>
            <w:r w:rsidRPr="00C84023">
              <w:rPr>
                <w:rFonts w:cstheme="minorHAnsi"/>
                <w:spacing w:val="-21"/>
                <w:w w:val="110"/>
              </w:rPr>
              <w:t xml:space="preserve"> </w:t>
            </w:r>
            <w:r w:rsidRPr="00C84023">
              <w:rPr>
                <w:rFonts w:cstheme="minorHAnsi"/>
                <w:w w:val="110"/>
              </w:rPr>
              <w:t>communicate</w:t>
            </w:r>
            <w:r w:rsidRPr="00C84023">
              <w:rPr>
                <w:rFonts w:cstheme="minorHAnsi"/>
                <w:spacing w:val="-21"/>
                <w:w w:val="110"/>
              </w:rPr>
              <w:t xml:space="preserve"> </w:t>
            </w:r>
            <w:r w:rsidRPr="00C84023">
              <w:rPr>
                <w:rFonts w:cstheme="minorHAnsi"/>
                <w:w w:val="110"/>
              </w:rPr>
              <w:t>in</w:t>
            </w:r>
            <w:r w:rsidRPr="00C84023">
              <w:rPr>
                <w:rFonts w:cstheme="minorHAnsi"/>
                <w:spacing w:val="-21"/>
                <w:w w:val="110"/>
              </w:rPr>
              <w:t xml:space="preserve"> </w:t>
            </w:r>
            <w:r w:rsidRPr="00C84023">
              <w:rPr>
                <w:rFonts w:cstheme="minorHAnsi"/>
                <w:w w:val="110"/>
              </w:rPr>
              <w:t>English,</w:t>
            </w:r>
            <w:r w:rsidRPr="00C84023">
              <w:rPr>
                <w:rFonts w:cstheme="minorHAnsi"/>
                <w:spacing w:val="-21"/>
                <w:w w:val="110"/>
              </w:rPr>
              <w:t xml:space="preserve"> </w:t>
            </w:r>
            <w:r w:rsidRPr="00C84023">
              <w:rPr>
                <w:rFonts w:cstheme="minorHAnsi"/>
                <w:w w:val="110"/>
              </w:rPr>
              <w:t>allowing them</w:t>
            </w:r>
            <w:r w:rsidRPr="00C84023">
              <w:rPr>
                <w:rFonts w:cstheme="minorHAnsi"/>
                <w:spacing w:val="-21"/>
                <w:w w:val="110"/>
              </w:rPr>
              <w:t xml:space="preserve"> </w:t>
            </w:r>
            <w:r w:rsidRPr="00C84023">
              <w:rPr>
                <w:rFonts w:cstheme="minorHAnsi"/>
                <w:w w:val="110"/>
              </w:rPr>
              <w:t>to</w:t>
            </w:r>
            <w:r w:rsidRPr="00C84023">
              <w:rPr>
                <w:rFonts w:cstheme="minorHAnsi"/>
                <w:spacing w:val="-21"/>
                <w:w w:val="110"/>
              </w:rPr>
              <w:t xml:space="preserve"> </w:t>
            </w:r>
            <w:r w:rsidRPr="00C84023">
              <w:rPr>
                <w:rFonts w:cstheme="minorHAnsi"/>
                <w:w w:val="110"/>
              </w:rPr>
              <w:t>acquire</w:t>
            </w:r>
            <w:r w:rsidRPr="00C84023">
              <w:rPr>
                <w:rFonts w:cstheme="minorHAnsi"/>
                <w:spacing w:val="-21"/>
                <w:w w:val="110"/>
              </w:rPr>
              <w:t xml:space="preserve"> </w:t>
            </w:r>
            <w:r w:rsidRPr="00C84023">
              <w:rPr>
                <w:rFonts w:cstheme="minorHAnsi"/>
                <w:w w:val="110"/>
              </w:rPr>
              <w:t>secondary</w:t>
            </w:r>
            <w:r w:rsidRPr="00C84023">
              <w:rPr>
                <w:rFonts w:cstheme="minorHAnsi"/>
                <w:w w:val="109"/>
              </w:rPr>
              <w:t xml:space="preserve"> </w:t>
            </w:r>
            <w:r w:rsidRPr="00C84023">
              <w:rPr>
                <w:rFonts w:cstheme="minorHAnsi"/>
                <w:w w:val="110"/>
              </w:rPr>
              <w:t>level English language skills. College and career readiness</w:t>
            </w:r>
            <w:r w:rsidRPr="00C84023">
              <w:rPr>
                <w:rFonts w:cstheme="minorHAnsi"/>
                <w:spacing w:val="4"/>
                <w:w w:val="110"/>
              </w:rPr>
              <w:t xml:space="preserve"> </w:t>
            </w:r>
            <w:r w:rsidRPr="00C84023">
              <w:rPr>
                <w:rFonts w:cstheme="minorHAnsi"/>
                <w:w w:val="110"/>
              </w:rPr>
              <w:t>standards</w:t>
            </w:r>
            <w:r w:rsidRPr="00C84023">
              <w:rPr>
                <w:rFonts w:cstheme="minorHAnsi"/>
                <w:w w:val="107"/>
              </w:rPr>
              <w:t xml:space="preserve"> </w:t>
            </w:r>
            <w:r w:rsidRPr="00C84023">
              <w:rPr>
                <w:rFonts w:cstheme="minorHAnsi"/>
                <w:w w:val="110"/>
              </w:rPr>
              <w:t>are integrated</w:t>
            </w:r>
            <w:r w:rsidRPr="00C84023">
              <w:rPr>
                <w:rFonts w:cstheme="minorHAnsi"/>
                <w:spacing w:val="-14"/>
                <w:w w:val="110"/>
              </w:rPr>
              <w:t xml:space="preserve"> </w:t>
            </w:r>
            <w:r w:rsidRPr="00C84023">
              <w:rPr>
                <w:rFonts w:cstheme="minorHAnsi"/>
                <w:w w:val="110"/>
              </w:rPr>
              <w:t>into</w:t>
            </w:r>
            <w:r w:rsidRPr="00C84023">
              <w:rPr>
                <w:rFonts w:cstheme="minorHAnsi"/>
                <w:spacing w:val="-14"/>
                <w:w w:val="110"/>
              </w:rPr>
              <w:t xml:space="preserve"> </w:t>
            </w:r>
            <w:r w:rsidRPr="00C84023">
              <w:rPr>
                <w:rFonts w:cstheme="minorHAnsi"/>
                <w:w w:val="110"/>
              </w:rPr>
              <w:t>this</w:t>
            </w:r>
            <w:r w:rsidRPr="00C84023">
              <w:rPr>
                <w:rFonts w:cstheme="minorHAnsi"/>
                <w:spacing w:val="-14"/>
                <w:w w:val="110"/>
              </w:rPr>
              <w:t xml:space="preserve"> </w:t>
            </w:r>
            <w:r w:rsidRPr="00C84023">
              <w:rPr>
                <w:rFonts w:cstheme="minorHAnsi"/>
                <w:w w:val="110"/>
              </w:rPr>
              <w:t>course</w:t>
            </w:r>
            <w:r w:rsidRPr="00C84023">
              <w:rPr>
                <w:rFonts w:cstheme="minorHAnsi"/>
                <w:spacing w:val="-14"/>
                <w:w w:val="110"/>
              </w:rPr>
              <w:t xml:space="preserve"> </w:t>
            </w:r>
            <w:r w:rsidRPr="00C84023">
              <w:rPr>
                <w:rFonts w:cstheme="minorHAnsi"/>
                <w:w w:val="110"/>
              </w:rPr>
              <w:t>with</w:t>
            </w:r>
            <w:r w:rsidRPr="00C84023">
              <w:rPr>
                <w:rFonts w:cstheme="minorHAnsi"/>
                <w:spacing w:val="-14"/>
                <w:w w:val="110"/>
              </w:rPr>
              <w:t xml:space="preserve"> </w:t>
            </w:r>
            <w:r w:rsidRPr="00C84023">
              <w:rPr>
                <w:rFonts w:cstheme="minorHAnsi"/>
                <w:w w:val="110"/>
              </w:rPr>
              <w:t>the</w:t>
            </w:r>
            <w:r w:rsidRPr="00C84023">
              <w:rPr>
                <w:rFonts w:cstheme="minorHAnsi"/>
                <w:spacing w:val="-14"/>
                <w:w w:val="110"/>
              </w:rPr>
              <w:t xml:space="preserve"> </w:t>
            </w:r>
            <w:r w:rsidRPr="00C84023">
              <w:rPr>
                <w:rFonts w:cstheme="minorHAnsi"/>
                <w:w w:val="110"/>
              </w:rPr>
              <w:t>intention</w:t>
            </w:r>
            <w:r w:rsidRPr="00C84023">
              <w:rPr>
                <w:rFonts w:cstheme="minorHAnsi"/>
                <w:spacing w:val="-14"/>
                <w:w w:val="110"/>
              </w:rPr>
              <w:t xml:space="preserve"> </w:t>
            </w:r>
            <w:r w:rsidRPr="00C84023">
              <w:rPr>
                <w:rFonts w:cstheme="minorHAnsi"/>
                <w:w w:val="110"/>
              </w:rPr>
              <w:t>of</w:t>
            </w:r>
            <w:r w:rsidRPr="00C84023">
              <w:rPr>
                <w:rFonts w:cstheme="minorHAnsi"/>
                <w:spacing w:val="-14"/>
                <w:w w:val="110"/>
              </w:rPr>
              <w:t xml:space="preserve"> </w:t>
            </w:r>
            <w:r w:rsidRPr="00C84023">
              <w:rPr>
                <w:rFonts w:cstheme="minorHAnsi"/>
                <w:w w:val="110"/>
              </w:rPr>
              <w:t>successful</w:t>
            </w:r>
            <w:r w:rsidRPr="00C84023">
              <w:rPr>
                <w:rFonts w:cstheme="minorHAnsi"/>
                <w:w w:val="111"/>
              </w:rPr>
              <w:t xml:space="preserve"> </w:t>
            </w:r>
            <w:r w:rsidRPr="00C84023">
              <w:rPr>
                <w:rFonts w:cstheme="minorHAnsi"/>
                <w:w w:val="110"/>
              </w:rPr>
              <w:t>transition</w:t>
            </w:r>
            <w:r w:rsidRPr="00C84023">
              <w:rPr>
                <w:rFonts w:cstheme="minorHAnsi"/>
                <w:spacing w:val="-27"/>
                <w:w w:val="110"/>
              </w:rPr>
              <w:t xml:space="preserve"> to </w:t>
            </w:r>
            <w:r w:rsidRPr="00C84023">
              <w:rPr>
                <w:rFonts w:cstheme="minorHAnsi"/>
                <w:w w:val="110"/>
              </w:rPr>
              <w:t>and</w:t>
            </w:r>
            <w:r w:rsidRPr="00C84023">
              <w:rPr>
                <w:rFonts w:cstheme="minorHAnsi"/>
                <w:spacing w:val="-27"/>
                <w:w w:val="110"/>
              </w:rPr>
              <w:t xml:space="preserve"> </w:t>
            </w:r>
            <w:r w:rsidRPr="00C84023">
              <w:rPr>
                <w:rFonts w:cstheme="minorHAnsi"/>
                <w:w w:val="110"/>
              </w:rPr>
              <w:t>completion</w:t>
            </w:r>
            <w:r w:rsidRPr="00C84023">
              <w:rPr>
                <w:rFonts w:cstheme="minorHAnsi"/>
                <w:spacing w:val="-27"/>
                <w:w w:val="110"/>
              </w:rPr>
              <w:t xml:space="preserve"> </w:t>
            </w:r>
            <w:r w:rsidRPr="00C84023">
              <w:rPr>
                <w:rFonts w:cstheme="minorHAnsi"/>
                <w:w w:val="110"/>
              </w:rPr>
              <w:t>of</w:t>
            </w:r>
            <w:r w:rsidRPr="00C84023">
              <w:rPr>
                <w:rFonts w:cstheme="minorHAnsi"/>
                <w:spacing w:val="-27"/>
                <w:w w:val="110"/>
              </w:rPr>
              <w:t xml:space="preserve"> </w:t>
            </w:r>
            <w:r w:rsidRPr="00C84023">
              <w:rPr>
                <w:rFonts w:cstheme="minorHAnsi"/>
                <w:w w:val="110"/>
              </w:rPr>
              <w:t>postsecondary</w:t>
            </w:r>
            <w:r w:rsidRPr="00C84023">
              <w:rPr>
                <w:rFonts w:cstheme="minorHAnsi"/>
                <w:spacing w:val="-27"/>
                <w:w w:val="110"/>
              </w:rPr>
              <w:t xml:space="preserve"> </w:t>
            </w:r>
            <w:r w:rsidRPr="00C84023">
              <w:rPr>
                <w:rFonts w:cstheme="minorHAnsi"/>
                <w:w w:val="110"/>
              </w:rPr>
              <w:t>education.</w:t>
            </w:r>
          </w:p>
        </w:tc>
      </w:tr>
      <w:tr w:rsidR="00D1174B" w:rsidRPr="00C84023" w14:paraId="13319A21" w14:textId="77777777" w:rsidTr="00CA6841">
        <w:trPr>
          <w:trHeight w:hRule="exact" w:val="1355"/>
        </w:trPr>
        <w:tc>
          <w:tcPr>
            <w:tcW w:w="3007" w:type="dxa"/>
            <w:tcBorders>
              <w:top w:val="single" w:sz="2" w:space="0" w:color="231F20"/>
              <w:left w:val="single" w:sz="2" w:space="0" w:color="231F20"/>
              <w:bottom w:val="single" w:sz="2" w:space="0" w:color="231F20"/>
              <w:right w:val="single" w:sz="2" w:space="0" w:color="231F20"/>
            </w:tcBorders>
            <w:shd w:val="clear" w:color="auto" w:fill="E6E7E8"/>
          </w:tcPr>
          <w:p w14:paraId="09068FFB" w14:textId="77777777" w:rsidR="00D1174B" w:rsidRPr="00C84023" w:rsidRDefault="00D1174B" w:rsidP="00691C52">
            <w:pPr>
              <w:widowControl w:val="0"/>
              <w:spacing w:before="40" w:after="0" w:line="264" w:lineRule="exact"/>
              <w:ind w:left="90"/>
              <w:rPr>
                <w:rFonts w:cstheme="minorHAnsi"/>
              </w:rPr>
            </w:pPr>
            <w:r w:rsidRPr="00C84023">
              <w:rPr>
                <w:rFonts w:cstheme="minorHAnsi"/>
                <w:b/>
                <w:w w:val="110"/>
              </w:rPr>
              <w:t>Adult</w:t>
            </w:r>
            <w:r w:rsidRPr="00C84023">
              <w:rPr>
                <w:rFonts w:cstheme="minorHAnsi"/>
                <w:b/>
                <w:spacing w:val="15"/>
                <w:w w:val="110"/>
              </w:rPr>
              <w:t xml:space="preserve"> </w:t>
            </w:r>
            <w:r w:rsidRPr="00C84023">
              <w:rPr>
                <w:rFonts w:cstheme="minorHAnsi"/>
                <w:b/>
                <w:w w:val="110"/>
              </w:rPr>
              <w:t>ESOL</w:t>
            </w:r>
            <w:r w:rsidRPr="00C84023">
              <w:rPr>
                <w:rFonts w:cstheme="minorHAnsi"/>
                <w:b/>
                <w:spacing w:val="15"/>
                <w:w w:val="110"/>
              </w:rPr>
              <w:t xml:space="preserve"> </w:t>
            </w:r>
            <w:r w:rsidRPr="00C84023">
              <w:rPr>
                <w:rFonts w:cstheme="minorHAnsi"/>
                <w:b/>
                <w:w w:val="110"/>
              </w:rPr>
              <w:t>Literacy</w:t>
            </w:r>
            <w:r w:rsidRPr="00C84023">
              <w:rPr>
                <w:rFonts w:cstheme="minorHAnsi"/>
                <w:b/>
                <w:spacing w:val="15"/>
                <w:w w:val="110"/>
              </w:rPr>
              <w:t xml:space="preserve"> </w:t>
            </w:r>
            <w:r w:rsidRPr="00C84023">
              <w:rPr>
                <w:rFonts w:cstheme="minorHAnsi"/>
                <w:b/>
                <w:w w:val="110"/>
              </w:rPr>
              <w:t>Skills</w:t>
            </w:r>
            <w:r w:rsidRPr="00C84023">
              <w:rPr>
                <w:rFonts w:cstheme="minorHAnsi"/>
                <w:b/>
                <w:spacing w:val="-53"/>
                <w:w w:val="110"/>
              </w:rPr>
              <w:t xml:space="preserve"> </w:t>
            </w:r>
            <w:r w:rsidRPr="00C84023">
              <w:rPr>
                <w:rFonts w:cstheme="minorHAnsi"/>
                <w:b/>
                <w:w w:val="110"/>
              </w:rPr>
              <w:t>Course</w:t>
            </w:r>
          </w:p>
        </w:tc>
        <w:tc>
          <w:tcPr>
            <w:tcW w:w="7142" w:type="dxa"/>
            <w:tcBorders>
              <w:top w:val="single" w:sz="2" w:space="0" w:color="231F20"/>
              <w:left w:val="single" w:sz="2" w:space="0" w:color="231F20"/>
              <w:bottom w:val="single" w:sz="2" w:space="0" w:color="231F20"/>
              <w:right w:val="single" w:sz="2" w:space="0" w:color="231F20"/>
            </w:tcBorders>
            <w:shd w:val="clear" w:color="auto" w:fill="E6E7E8"/>
          </w:tcPr>
          <w:p w14:paraId="5BCE44C8" w14:textId="77777777" w:rsidR="00D1174B" w:rsidRPr="00C84023" w:rsidRDefault="00D1174B" w:rsidP="00D63204">
            <w:pPr>
              <w:widowControl w:val="0"/>
              <w:spacing w:before="40" w:after="0" w:line="264" w:lineRule="exact"/>
              <w:ind w:left="90"/>
              <w:rPr>
                <w:rFonts w:cstheme="minorHAnsi"/>
              </w:rPr>
            </w:pPr>
            <w:r w:rsidRPr="00C84023">
              <w:rPr>
                <w:rFonts w:cstheme="minorHAnsi"/>
                <w:w w:val="105"/>
              </w:rPr>
              <w:t>The</w:t>
            </w:r>
            <w:r w:rsidRPr="00C84023">
              <w:rPr>
                <w:rFonts w:cstheme="minorHAnsi"/>
                <w:spacing w:val="15"/>
                <w:w w:val="105"/>
              </w:rPr>
              <w:t xml:space="preserve"> </w:t>
            </w:r>
            <w:r w:rsidRPr="00C84023">
              <w:rPr>
                <w:rFonts w:cstheme="minorHAnsi"/>
                <w:w w:val="105"/>
              </w:rPr>
              <w:t>purpose</w:t>
            </w:r>
            <w:r w:rsidRPr="00C84023">
              <w:rPr>
                <w:rFonts w:cstheme="minorHAnsi"/>
                <w:spacing w:val="15"/>
                <w:w w:val="105"/>
              </w:rPr>
              <w:t xml:space="preserve"> </w:t>
            </w:r>
            <w:r w:rsidRPr="00C84023">
              <w:rPr>
                <w:rFonts w:cstheme="minorHAnsi"/>
                <w:w w:val="105"/>
              </w:rPr>
              <w:t>of</w:t>
            </w:r>
            <w:r w:rsidRPr="00C84023">
              <w:rPr>
                <w:rFonts w:cstheme="minorHAnsi"/>
                <w:spacing w:val="15"/>
                <w:w w:val="105"/>
              </w:rPr>
              <w:t xml:space="preserve"> </w:t>
            </w:r>
            <w:r w:rsidRPr="00C84023">
              <w:rPr>
                <w:rFonts w:cstheme="minorHAnsi"/>
                <w:w w:val="105"/>
              </w:rPr>
              <w:t>this</w:t>
            </w:r>
            <w:r w:rsidRPr="00C84023">
              <w:rPr>
                <w:rFonts w:cstheme="minorHAnsi"/>
                <w:spacing w:val="15"/>
                <w:w w:val="105"/>
              </w:rPr>
              <w:t xml:space="preserve"> </w:t>
            </w:r>
            <w:r w:rsidRPr="00C84023">
              <w:rPr>
                <w:rFonts w:cstheme="minorHAnsi"/>
                <w:w w:val="105"/>
              </w:rPr>
              <w:t>course</w:t>
            </w:r>
            <w:r w:rsidRPr="00C84023">
              <w:rPr>
                <w:rFonts w:cstheme="minorHAnsi"/>
                <w:spacing w:val="15"/>
                <w:w w:val="105"/>
              </w:rPr>
              <w:t xml:space="preserve"> </w:t>
            </w:r>
            <w:r w:rsidRPr="00C84023">
              <w:rPr>
                <w:rFonts w:cstheme="minorHAnsi"/>
                <w:w w:val="105"/>
              </w:rPr>
              <w:t>is</w:t>
            </w:r>
            <w:r w:rsidRPr="00C84023">
              <w:rPr>
                <w:rFonts w:cstheme="minorHAnsi"/>
                <w:spacing w:val="15"/>
                <w:w w:val="105"/>
              </w:rPr>
              <w:t xml:space="preserve"> </w:t>
            </w:r>
            <w:r w:rsidRPr="00C84023">
              <w:rPr>
                <w:rFonts w:cstheme="minorHAnsi"/>
                <w:w w:val="105"/>
              </w:rPr>
              <w:t>to</w:t>
            </w:r>
            <w:r w:rsidRPr="00C84023">
              <w:rPr>
                <w:rFonts w:cstheme="minorHAnsi"/>
                <w:spacing w:val="15"/>
                <w:w w:val="105"/>
              </w:rPr>
              <w:t xml:space="preserve"> </w:t>
            </w:r>
            <w:r w:rsidRPr="00C84023">
              <w:rPr>
                <w:rFonts w:cstheme="minorHAnsi"/>
                <w:w w:val="105"/>
              </w:rPr>
              <w:t>provide</w:t>
            </w:r>
            <w:r w:rsidRPr="00C84023">
              <w:rPr>
                <w:rFonts w:cstheme="minorHAnsi"/>
                <w:spacing w:val="15"/>
                <w:w w:val="105"/>
              </w:rPr>
              <w:t xml:space="preserve"> </w:t>
            </w:r>
            <w:r w:rsidRPr="00C84023">
              <w:rPr>
                <w:rFonts w:cstheme="minorHAnsi"/>
                <w:w w:val="105"/>
              </w:rPr>
              <w:t>English</w:t>
            </w:r>
            <w:r w:rsidRPr="00C84023">
              <w:rPr>
                <w:rFonts w:cstheme="minorHAnsi"/>
                <w:spacing w:val="15"/>
                <w:w w:val="105"/>
              </w:rPr>
              <w:t xml:space="preserve"> </w:t>
            </w:r>
            <w:r w:rsidRPr="00C84023">
              <w:rPr>
                <w:rFonts w:cstheme="minorHAnsi"/>
                <w:w w:val="105"/>
              </w:rPr>
              <w:t>language</w:t>
            </w:r>
            <w:r w:rsidRPr="00C84023">
              <w:rPr>
                <w:rFonts w:cstheme="minorHAnsi"/>
                <w:spacing w:val="15"/>
                <w:w w:val="105"/>
              </w:rPr>
              <w:t xml:space="preserve"> </w:t>
            </w:r>
            <w:r w:rsidRPr="00C84023">
              <w:rPr>
                <w:rFonts w:cstheme="minorHAnsi"/>
                <w:w w:val="105"/>
              </w:rPr>
              <w:t>and</w:t>
            </w:r>
            <w:r w:rsidRPr="00C84023">
              <w:rPr>
                <w:rFonts w:cstheme="minorHAnsi"/>
                <w:spacing w:val="15"/>
                <w:w w:val="105"/>
              </w:rPr>
              <w:t xml:space="preserve"> </w:t>
            </w:r>
            <w:r w:rsidRPr="00C84023">
              <w:rPr>
                <w:rFonts w:cstheme="minorHAnsi"/>
                <w:w w:val="105"/>
              </w:rPr>
              <w:t>literacy</w:t>
            </w:r>
            <w:r w:rsidRPr="00C84023">
              <w:rPr>
                <w:rFonts w:cstheme="minorHAnsi"/>
                <w:spacing w:val="3"/>
                <w:w w:val="105"/>
              </w:rPr>
              <w:t xml:space="preserve"> </w:t>
            </w:r>
            <w:r w:rsidRPr="00C84023">
              <w:rPr>
                <w:rFonts w:cstheme="minorHAnsi"/>
                <w:w w:val="105"/>
              </w:rPr>
              <w:t>instruction</w:t>
            </w:r>
            <w:r w:rsidRPr="00C84023">
              <w:rPr>
                <w:rFonts w:cstheme="minorHAnsi"/>
                <w:spacing w:val="13"/>
                <w:w w:val="105"/>
              </w:rPr>
              <w:t xml:space="preserve"> </w:t>
            </w:r>
            <w:r w:rsidRPr="00C84023">
              <w:rPr>
                <w:rFonts w:cstheme="minorHAnsi"/>
                <w:w w:val="105"/>
              </w:rPr>
              <w:t>for</w:t>
            </w:r>
            <w:r w:rsidRPr="00C84023">
              <w:rPr>
                <w:rFonts w:cstheme="minorHAnsi"/>
                <w:spacing w:val="13"/>
                <w:w w:val="105"/>
              </w:rPr>
              <w:t xml:space="preserve"> </w:t>
            </w:r>
            <w:r w:rsidRPr="00C84023">
              <w:rPr>
                <w:rFonts w:cstheme="minorHAnsi"/>
                <w:w w:val="105"/>
              </w:rPr>
              <w:t>English</w:t>
            </w:r>
            <w:r w:rsidRPr="00C84023">
              <w:rPr>
                <w:rFonts w:cstheme="minorHAnsi"/>
                <w:spacing w:val="13"/>
                <w:w w:val="105"/>
              </w:rPr>
              <w:t xml:space="preserve"> </w:t>
            </w:r>
            <w:r w:rsidRPr="00C84023">
              <w:rPr>
                <w:rFonts w:cstheme="minorHAnsi"/>
                <w:w w:val="105"/>
              </w:rPr>
              <w:t>language</w:t>
            </w:r>
            <w:r w:rsidRPr="00C84023">
              <w:rPr>
                <w:rFonts w:cstheme="minorHAnsi"/>
                <w:spacing w:val="13"/>
                <w:w w:val="105"/>
              </w:rPr>
              <w:t xml:space="preserve"> </w:t>
            </w:r>
            <w:r w:rsidRPr="00C84023">
              <w:rPr>
                <w:rFonts w:cstheme="minorHAnsi"/>
                <w:w w:val="105"/>
              </w:rPr>
              <w:t>learning adults</w:t>
            </w:r>
            <w:r w:rsidRPr="00C84023">
              <w:rPr>
                <w:rFonts w:cstheme="minorHAnsi"/>
                <w:spacing w:val="13"/>
                <w:w w:val="105"/>
              </w:rPr>
              <w:t xml:space="preserve"> </w:t>
            </w:r>
            <w:r w:rsidRPr="00C84023">
              <w:rPr>
                <w:rFonts w:cstheme="minorHAnsi"/>
                <w:w w:val="105"/>
              </w:rPr>
              <w:t>whose</w:t>
            </w:r>
            <w:r w:rsidRPr="00C84023">
              <w:rPr>
                <w:rFonts w:cstheme="minorHAnsi"/>
                <w:spacing w:val="13"/>
                <w:w w:val="105"/>
              </w:rPr>
              <w:t xml:space="preserve"> </w:t>
            </w:r>
            <w:r w:rsidRPr="00C84023">
              <w:rPr>
                <w:rFonts w:cstheme="minorHAnsi"/>
                <w:w w:val="105"/>
              </w:rPr>
              <w:t>first</w:t>
            </w:r>
            <w:r w:rsidRPr="00C84023">
              <w:rPr>
                <w:rFonts w:cstheme="minorHAnsi"/>
                <w:spacing w:val="13"/>
                <w:w w:val="105"/>
              </w:rPr>
              <w:t xml:space="preserve"> </w:t>
            </w:r>
            <w:r w:rsidRPr="00C84023">
              <w:rPr>
                <w:rFonts w:cstheme="minorHAnsi"/>
                <w:w w:val="105"/>
              </w:rPr>
              <w:t>language</w:t>
            </w:r>
            <w:r w:rsidRPr="00C84023">
              <w:rPr>
                <w:rFonts w:cstheme="minorHAnsi"/>
                <w:spacing w:val="13"/>
                <w:w w:val="105"/>
              </w:rPr>
              <w:t xml:space="preserve"> </w:t>
            </w:r>
            <w:r w:rsidRPr="00C84023">
              <w:rPr>
                <w:rFonts w:cstheme="minorHAnsi"/>
                <w:w w:val="105"/>
              </w:rPr>
              <w:t>is</w:t>
            </w:r>
            <w:r w:rsidRPr="00C84023">
              <w:rPr>
                <w:rFonts w:cstheme="minorHAnsi"/>
                <w:spacing w:val="-3"/>
                <w:w w:val="105"/>
              </w:rPr>
              <w:t xml:space="preserve"> </w:t>
            </w:r>
            <w:r w:rsidRPr="00C84023">
              <w:rPr>
                <w:rFonts w:cstheme="minorHAnsi"/>
                <w:w w:val="105"/>
              </w:rPr>
              <w:t>not English and who are non-literate or semi-literate in their</w:t>
            </w:r>
            <w:r w:rsidRPr="00C84023">
              <w:rPr>
                <w:rFonts w:cstheme="minorHAnsi"/>
                <w:spacing w:val="40"/>
                <w:w w:val="105"/>
              </w:rPr>
              <w:t xml:space="preserve"> </w:t>
            </w:r>
            <w:r w:rsidRPr="00C84023">
              <w:rPr>
                <w:rFonts w:cstheme="minorHAnsi"/>
                <w:w w:val="105"/>
              </w:rPr>
              <w:t>home</w:t>
            </w:r>
            <w:r w:rsidRPr="00C84023">
              <w:rPr>
                <w:rFonts w:cstheme="minorHAnsi"/>
                <w:w w:val="106"/>
              </w:rPr>
              <w:t xml:space="preserve"> </w:t>
            </w:r>
            <w:r w:rsidRPr="00C84023">
              <w:rPr>
                <w:rFonts w:cstheme="minorHAnsi"/>
                <w:w w:val="105"/>
              </w:rPr>
              <w:t>language, enhancing their ability to communicate in English.</w:t>
            </w:r>
          </w:p>
        </w:tc>
      </w:tr>
      <w:tr w:rsidR="00D1174B" w:rsidRPr="00C84023" w14:paraId="15FF2949" w14:textId="77777777" w:rsidTr="00CA6841">
        <w:trPr>
          <w:trHeight w:hRule="exact" w:val="1390"/>
        </w:trPr>
        <w:tc>
          <w:tcPr>
            <w:tcW w:w="3007" w:type="dxa"/>
            <w:tcBorders>
              <w:top w:val="single" w:sz="2" w:space="0" w:color="231F20"/>
              <w:left w:val="single" w:sz="2" w:space="0" w:color="231F20"/>
              <w:bottom w:val="single" w:sz="2" w:space="0" w:color="231F20"/>
              <w:right w:val="single" w:sz="2" w:space="0" w:color="231F20"/>
            </w:tcBorders>
          </w:tcPr>
          <w:p w14:paraId="70F2A5EC" w14:textId="77777777" w:rsidR="00D1174B" w:rsidRPr="00C84023" w:rsidRDefault="00D1174B" w:rsidP="00691C52">
            <w:pPr>
              <w:widowControl w:val="0"/>
              <w:spacing w:before="40" w:after="0" w:line="264" w:lineRule="exact"/>
              <w:ind w:left="90"/>
              <w:rPr>
                <w:rFonts w:cstheme="minorHAnsi"/>
              </w:rPr>
            </w:pPr>
            <w:r w:rsidRPr="00C84023">
              <w:rPr>
                <w:rFonts w:cstheme="minorHAnsi"/>
                <w:b/>
                <w:w w:val="110"/>
              </w:rPr>
              <w:t>Adult General</w:t>
            </w:r>
            <w:r w:rsidRPr="00C84023">
              <w:rPr>
                <w:rFonts w:cstheme="minorHAnsi"/>
                <w:b/>
                <w:spacing w:val="-9"/>
                <w:w w:val="110"/>
              </w:rPr>
              <w:t xml:space="preserve"> </w:t>
            </w:r>
            <w:r w:rsidRPr="00C84023">
              <w:rPr>
                <w:rFonts w:cstheme="minorHAnsi"/>
                <w:b/>
                <w:w w:val="110"/>
              </w:rPr>
              <w:t>Education</w:t>
            </w:r>
            <w:r w:rsidRPr="00C84023">
              <w:rPr>
                <w:rFonts w:cstheme="minorHAnsi"/>
                <w:b/>
                <w:w w:val="109"/>
              </w:rPr>
              <w:t xml:space="preserve"> </w:t>
            </w:r>
            <w:r w:rsidRPr="00C84023">
              <w:rPr>
                <w:rFonts w:cstheme="minorHAnsi"/>
                <w:b/>
                <w:w w:val="110"/>
              </w:rPr>
              <w:t>for</w:t>
            </w:r>
            <w:r w:rsidRPr="00C84023">
              <w:rPr>
                <w:rFonts w:cstheme="minorHAnsi"/>
                <w:b/>
                <w:spacing w:val="-17"/>
                <w:w w:val="110"/>
              </w:rPr>
              <w:t xml:space="preserve"> </w:t>
            </w:r>
            <w:r w:rsidRPr="00C84023">
              <w:rPr>
                <w:rFonts w:cstheme="minorHAnsi"/>
                <w:b/>
                <w:w w:val="110"/>
              </w:rPr>
              <w:t>Adults</w:t>
            </w:r>
            <w:r w:rsidRPr="00C84023">
              <w:rPr>
                <w:rFonts w:cstheme="minorHAnsi"/>
                <w:b/>
                <w:spacing w:val="-17"/>
                <w:w w:val="110"/>
              </w:rPr>
              <w:t xml:space="preserve"> </w:t>
            </w:r>
            <w:r w:rsidRPr="00C84023">
              <w:rPr>
                <w:rFonts w:cstheme="minorHAnsi"/>
                <w:b/>
                <w:w w:val="110"/>
              </w:rPr>
              <w:t>with</w:t>
            </w:r>
            <w:r w:rsidRPr="00C84023">
              <w:rPr>
                <w:rFonts w:cstheme="minorHAnsi"/>
                <w:b/>
                <w:spacing w:val="-17"/>
                <w:w w:val="110"/>
              </w:rPr>
              <w:t xml:space="preserve"> </w:t>
            </w:r>
            <w:r w:rsidRPr="00C84023">
              <w:rPr>
                <w:rFonts w:cstheme="minorHAnsi"/>
                <w:b/>
                <w:w w:val="110"/>
              </w:rPr>
              <w:t>Disabilities</w:t>
            </w:r>
            <w:r w:rsidRPr="00C84023">
              <w:rPr>
                <w:rFonts w:cstheme="minorHAnsi"/>
                <w:b/>
                <w:w w:val="109"/>
              </w:rPr>
              <w:t xml:space="preserve"> </w:t>
            </w:r>
            <w:r w:rsidRPr="00C84023">
              <w:rPr>
                <w:rFonts w:cstheme="minorHAnsi"/>
                <w:b/>
                <w:w w:val="110"/>
              </w:rPr>
              <w:t>Course</w:t>
            </w:r>
          </w:p>
        </w:tc>
        <w:tc>
          <w:tcPr>
            <w:tcW w:w="7142" w:type="dxa"/>
            <w:tcBorders>
              <w:top w:val="single" w:sz="2" w:space="0" w:color="231F20"/>
              <w:left w:val="single" w:sz="2" w:space="0" w:color="231F20"/>
              <w:bottom w:val="single" w:sz="2" w:space="0" w:color="231F20"/>
              <w:right w:val="single" w:sz="2" w:space="0" w:color="231F20"/>
            </w:tcBorders>
          </w:tcPr>
          <w:p w14:paraId="27D448F2" w14:textId="77777777" w:rsidR="00D1174B" w:rsidRPr="00C84023" w:rsidRDefault="00D1174B" w:rsidP="00D63204">
            <w:pPr>
              <w:widowControl w:val="0"/>
              <w:spacing w:before="40" w:after="0" w:line="264" w:lineRule="exact"/>
              <w:ind w:left="90"/>
              <w:rPr>
                <w:rFonts w:cstheme="minorHAnsi"/>
              </w:rPr>
            </w:pPr>
            <w:r w:rsidRPr="00C84023">
              <w:rPr>
                <w:rFonts w:cstheme="minorHAnsi"/>
                <w:w w:val="105"/>
              </w:rPr>
              <w:t>This</w:t>
            </w:r>
            <w:r w:rsidRPr="00C84023">
              <w:rPr>
                <w:rFonts w:cstheme="minorHAnsi"/>
                <w:spacing w:val="28"/>
                <w:w w:val="105"/>
              </w:rPr>
              <w:t xml:space="preserve"> </w:t>
            </w:r>
            <w:r w:rsidRPr="00C84023">
              <w:rPr>
                <w:rFonts w:cstheme="minorHAnsi"/>
                <w:w w:val="105"/>
              </w:rPr>
              <w:t>course</w:t>
            </w:r>
            <w:r w:rsidRPr="00C84023">
              <w:rPr>
                <w:rFonts w:cstheme="minorHAnsi"/>
                <w:spacing w:val="28"/>
                <w:w w:val="105"/>
              </w:rPr>
              <w:t xml:space="preserve"> </w:t>
            </w:r>
            <w:r w:rsidRPr="00C84023">
              <w:rPr>
                <w:rFonts w:cstheme="minorHAnsi"/>
                <w:w w:val="105"/>
              </w:rPr>
              <w:t>is</w:t>
            </w:r>
            <w:r w:rsidRPr="00C84023">
              <w:rPr>
                <w:rFonts w:cstheme="minorHAnsi"/>
                <w:spacing w:val="28"/>
                <w:w w:val="105"/>
              </w:rPr>
              <w:t xml:space="preserve"> </w:t>
            </w:r>
            <w:r w:rsidRPr="00C84023">
              <w:rPr>
                <w:rFonts w:cstheme="minorHAnsi"/>
                <w:w w:val="105"/>
              </w:rPr>
              <w:t>designed</w:t>
            </w:r>
            <w:r w:rsidRPr="00C84023">
              <w:rPr>
                <w:rFonts w:cstheme="minorHAnsi"/>
                <w:spacing w:val="28"/>
                <w:w w:val="105"/>
              </w:rPr>
              <w:t xml:space="preserve"> </w:t>
            </w:r>
            <w:r w:rsidRPr="00C84023">
              <w:rPr>
                <w:rFonts w:cstheme="minorHAnsi"/>
                <w:w w:val="105"/>
              </w:rPr>
              <w:t>to</w:t>
            </w:r>
            <w:r w:rsidRPr="00C84023">
              <w:rPr>
                <w:rFonts w:cstheme="minorHAnsi"/>
                <w:spacing w:val="28"/>
                <w:w w:val="105"/>
              </w:rPr>
              <w:t xml:space="preserve"> </w:t>
            </w:r>
            <w:r w:rsidRPr="00C84023">
              <w:rPr>
                <w:rFonts w:cstheme="minorHAnsi"/>
                <w:w w:val="105"/>
              </w:rPr>
              <w:t>provide</w:t>
            </w:r>
            <w:r w:rsidRPr="00C84023">
              <w:rPr>
                <w:rFonts w:cstheme="minorHAnsi"/>
                <w:spacing w:val="28"/>
                <w:w w:val="105"/>
              </w:rPr>
              <w:t xml:space="preserve"> </w:t>
            </w:r>
            <w:r w:rsidRPr="00C84023">
              <w:rPr>
                <w:rFonts w:cstheme="minorHAnsi"/>
                <w:w w:val="105"/>
              </w:rPr>
              <w:t>specialized</w:t>
            </w:r>
            <w:r w:rsidRPr="00C84023">
              <w:rPr>
                <w:rFonts w:cstheme="minorHAnsi"/>
                <w:spacing w:val="28"/>
                <w:w w:val="105"/>
              </w:rPr>
              <w:t xml:space="preserve"> </w:t>
            </w:r>
            <w:r w:rsidRPr="00C84023">
              <w:rPr>
                <w:rFonts w:cstheme="minorHAnsi"/>
                <w:w w:val="105"/>
              </w:rPr>
              <w:t>adult</w:t>
            </w:r>
            <w:r w:rsidRPr="00C84023">
              <w:rPr>
                <w:rFonts w:cstheme="minorHAnsi"/>
                <w:spacing w:val="28"/>
                <w:w w:val="105"/>
              </w:rPr>
              <w:t xml:space="preserve"> </w:t>
            </w:r>
            <w:r w:rsidRPr="00C84023">
              <w:rPr>
                <w:rFonts w:cstheme="minorHAnsi"/>
                <w:w w:val="105"/>
              </w:rPr>
              <w:t>general</w:t>
            </w:r>
            <w:r w:rsidRPr="00C84023">
              <w:rPr>
                <w:rFonts w:cstheme="minorHAnsi"/>
                <w:spacing w:val="28"/>
                <w:w w:val="105"/>
              </w:rPr>
              <w:t xml:space="preserve"> </w:t>
            </w:r>
            <w:r w:rsidRPr="00C84023">
              <w:rPr>
                <w:rFonts w:cstheme="minorHAnsi"/>
                <w:w w:val="105"/>
              </w:rPr>
              <w:t>education</w:t>
            </w:r>
            <w:r w:rsidRPr="00C84023">
              <w:rPr>
                <w:rFonts w:cstheme="minorHAnsi"/>
                <w:spacing w:val="-47"/>
                <w:w w:val="105"/>
              </w:rPr>
              <w:t xml:space="preserve"> </w:t>
            </w:r>
            <w:r w:rsidRPr="00C84023">
              <w:rPr>
                <w:rFonts w:cstheme="minorHAnsi"/>
                <w:w w:val="105"/>
              </w:rPr>
              <w:t>for</w:t>
            </w:r>
            <w:r w:rsidRPr="00C84023">
              <w:rPr>
                <w:rFonts w:cstheme="minorHAnsi"/>
                <w:spacing w:val="5"/>
                <w:w w:val="105"/>
              </w:rPr>
              <w:t xml:space="preserve"> </w:t>
            </w:r>
            <w:r w:rsidRPr="00C84023">
              <w:rPr>
                <w:rFonts w:cstheme="minorHAnsi"/>
                <w:w w:val="105"/>
              </w:rPr>
              <w:t>adults</w:t>
            </w:r>
            <w:r w:rsidRPr="00C84023">
              <w:rPr>
                <w:rFonts w:cstheme="minorHAnsi"/>
                <w:spacing w:val="5"/>
                <w:w w:val="105"/>
              </w:rPr>
              <w:t xml:space="preserve"> </w:t>
            </w:r>
            <w:r w:rsidRPr="00C84023">
              <w:rPr>
                <w:rFonts w:cstheme="minorHAnsi"/>
                <w:w w:val="105"/>
              </w:rPr>
              <w:t>with</w:t>
            </w:r>
            <w:r w:rsidRPr="00C84023">
              <w:rPr>
                <w:rFonts w:cstheme="minorHAnsi"/>
                <w:spacing w:val="5"/>
                <w:w w:val="105"/>
              </w:rPr>
              <w:t xml:space="preserve"> </w:t>
            </w:r>
            <w:r w:rsidRPr="00C84023">
              <w:rPr>
                <w:rFonts w:cstheme="minorHAnsi"/>
                <w:w w:val="105"/>
              </w:rPr>
              <w:t>learning</w:t>
            </w:r>
            <w:r w:rsidRPr="00C84023">
              <w:rPr>
                <w:rFonts w:cstheme="minorHAnsi"/>
                <w:spacing w:val="5"/>
                <w:w w:val="105"/>
              </w:rPr>
              <w:t xml:space="preserve"> </w:t>
            </w:r>
            <w:r w:rsidRPr="00C84023">
              <w:rPr>
                <w:rFonts w:cstheme="minorHAnsi"/>
                <w:w w:val="105"/>
              </w:rPr>
              <w:t>disabilities.</w:t>
            </w:r>
            <w:r w:rsidRPr="00C84023">
              <w:rPr>
                <w:rFonts w:cstheme="minorHAnsi"/>
                <w:spacing w:val="5"/>
                <w:w w:val="105"/>
              </w:rPr>
              <w:t xml:space="preserve"> </w:t>
            </w:r>
            <w:r w:rsidRPr="00C84023">
              <w:rPr>
                <w:rFonts w:cstheme="minorHAnsi"/>
                <w:w w:val="105"/>
              </w:rPr>
              <w:t>Adults</w:t>
            </w:r>
            <w:r w:rsidRPr="00C84023">
              <w:rPr>
                <w:rFonts w:cstheme="minorHAnsi"/>
                <w:spacing w:val="5"/>
                <w:w w:val="105"/>
              </w:rPr>
              <w:t xml:space="preserve"> </w:t>
            </w:r>
            <w:r w:rsidRPr="00C84023">
              <w:rPr>
                <w:rFonts w:cstheme="minorHAnsi"/>
                <w:w w:val="105"/>
              </w:rPr>
              <w:t>requiring intensive,</w:t>
            </w:r>
            <w:r w:rsidRPr="00C84023">
              <w:rPr>
                <w:rFonts w:cstheme="minorHAnsi"/>
                <w:spacing w:val="-40"/>
                <w:w w:val="105"/>
              </w:rPr>
              <w:t xml:space="preserve"> </w:t>
            </w:r>
            <w:r w:rsidRPr="00C84023">
              <w:rPr>
                <w:rFonts w:cstheme="minorHAnsi"/>
                <w:w w:val="105"/>
              </w:rPr>
              <w:t>ongoing support in their pursuit of educational instruction,</w:t>
            </w:r>
            <w:r w:rsidRPr="00C84023">
              <w:rPr>
                <w:rFonts w:cstheme="minorHAnsi"/>
                <w:spacing w:val="29"/>
                <w:w w:val="105"/>
              </w:rPr>
              <w:t xml:space="preserve"> </w:t>
            </w:r>
            <w:r w:rsidRPr="00C84023">
              <w:rPr>
                <w:rFonts w:cstheme="minorHAnsi"/>
                <w:w w:val="105"/>
              </w:rPr>
              <w:t>literacy,</w:t>
            </w:r>
            <w:r w:rsidRPr="00C84023">
              <w:rPr>
                <w:rFonts w:cstheme="minorHAnsi"/>
                <w:w w:val="92"/>
              </w:rPr>
              <w:t xml:space="preserve"> </w:t>
            </w:r>
            <w:r w:rsidRPr="00C84023">
              <w:rPr>
                <w:rFonts w:cstheme="minorHAnsi"/>
                <w:w w:val="105"/>
              </w:rPr>
              <w:t>workplace and life skills can participate in literacy activities to</w:t>
            </w:r>
            <w:r w:rsidRPr="00C84023">
              <w:rPr>
                <w:rFonts w:cstheme="minorHAnsi"/>
                <w:spacing w:val="34"/>
                <w:w w:val="105"/>
              </w:rPr>
              <w:t xml:space="preserve"> </w:t>
            </w:r>
            <w:r w:rsidRPr="00C84023">
              <w:rPr>
                <w:rFonts w:cstheme="minorHAnsi"/>
                <w:w w:val="105"/>
              </w:rPr>
              <w:t>accomplish</w:t>
            </w:r>
            <w:r w:rsidRPr="00C84023">
              <w:rPr>
                <w:rFonts w:cstheme="minorHAnsi"/>
                <w:w w:val="108"/>
              </w:rPr>
              <w:t xml:space="preserve"> </w:t>
            </w:r>
            <w:r w:rsidRPr="00C84023">
              <w:rPr>
                <w:rFonts w:cstheme="minorHAnsi"/>
                <w:w w:val="105"/>
              </w:rPr>
              <w:t>desired personal goals for employment or further education.</w:t>
            </w:r>
          </w:p>
        </w:tc>
      </w:tr>
      <w:tr w:rsidR="00D1174B" w:rsidRPr="00C84023" w14:paraId="57745364" w14:textId="77777777" w:rsidTr="00CA6841">
        <w:trPr>
          <w:trHeight w:hRule="exact" w:val="1654"/>
        </w:trPr>
        <w:tc>
          <w:tcPr>
            <w:tcW w:w="3007" w:type="dxa"/>
            <w:tcBorders>
              <w:top w:val="single" w:sz="2" w:space="0" w:color="231F20"/>
              <w:left w:val="single" w:sz="2" w:space="0" w:color="231F20"/>
              <w:bottom w:val="single" w:sz="2" w:space="0" w:color="231F20"/>
              <w:right w:val="single" w:sz="2" w:space="0" w:color="231F20"/>
            </w:tcBorders>
            <w:shd w:val="clear" w:color="auto" w:fill="E6E7E8"/>
          </w:tcPr>
          <w:p w14:paraId="78DF7FED" w14:textId="77777777" w:rsidR="00D1174B" w:rsidRPr="00C84023" w:rsidRDefault="00D1174B" w:rsidP="00691C52">
            <w:pPr>
              <w:widowControl w:val="0"/>
              <w:spacing w:before="40" w:after="0" w:line="264" w:lineRule="exact"/>
              <w:ind w:left="90"/>
              <w:rPr>
                <w:rFonts w:cstheme="minorHAnsi"/>
              </w:rPr>
            </w:pPr>
            <w:r w:rsidRPr="00C84023">
              <w:rPr>
                <w:rFonts w:cstheme="minorHAnsi"/>
                <w:b/>
                <w:w w:val="110"/>
              </w:rPr>
              <w:t>Applied Academics for</w:t>
            </w:r>
            <w:r w:rsidRPr="00C84023">
              <w:rPr>
                <w:rFonts w:cstheme="minorHAnsi"/>
                <w:b/>
                <w:spacing w:val="-18"/>
                <w:w w:val="110"/>
              </w:rPr>
              <w:t xml:space="preserve"> </w:t>
            </w:r>
            <w:r w:rsidRPr="00C84023">
              <w:rPr>
                <w:rFonts w:cstheme="minorHAnsi"/>
                <w:b/>
                <w:w w:val="110"/>
              </w:rPr>
              <w:t>Adult</w:t>
            </w:r>
            <w:r w:rsidRPr="00C84023">
              <w:rPr>
                <w:rFonts w:cstheme="minorHAnsi"/>
                <w:b/>
                <w:w w:val="107"/>
              </w:rPr>
              <w:t xml:space="preserve"> </w:t>
            </w:r>
            <w:r w:rsidRPr="00C84023">
              <w:rPr>
                <w:rFonts w:cstheme="minorHAnsi"/>
                <w:b/>
                <w:w w:val="110"/>
              </w:rPr>
              <w:t>Education</w:t>
            </w:r>
            <w:r w:rsidRPr="00C84023">
              <w:rPr>
                <w:rFonts w:cstheme="minorHAnsi"/>
                <w:b/>
                <w:spacing w:val="14"/>
                <w:w w:val="110"/>
              </w:rPr>
              <w:t xml:space="preserve"> </w:t>
            </w:r>
            <w:r w:rsidRPr="00C84023">
              <w:rPr>
                <w:rFonts w:cstheme="minorHAnsi"/>
                <w:b/>
                <w:w w:val="110"/>
              </w:rPr>
              <w:t>Course</w:t>
            </w:r>
          </w:p>
        </w:tc>
        <w:tc>
          <w:tcPr>
            <w:tcW w:w="7142" w:type="dxa"/>
            <w:tcBorders>
              <w:top w:val="single" w:sz="2" w:space="0" w:color="231F20"/>
              <w:left w:val="single" w:sz="2" w:space="0" w:color="231F20"/>
              <w:bottom w:val="single" w:sz="2" w:space="0" w:color="231F20"/>
              <w:right w:val="single" w:sz="2" w:space="0" w:color="231F20"/>
            </w:tcBorders>
            <w:shd w:val="clear" w:color="auto" w:fill="E6E7E8"/>
          </w:tcPr>
          <w:p w14:paraId="313B9FF5" w14:textId="77777777" w:rsidR="00D1174B" w:rsidRPr="00C84023" w:rsidRDefault="00D1174B" w:rsidP="00D63204">
            <w:pPr>
              <w:widowControl w:val="0"/>
              <w:spacing w:before="40" w:after="0" w:line="264" w:lineRule="exact"/>
              <w:ind w:left="90"/>
              <w:rPr>
                <w:rFonts w:cstheme="minorHAnsi"/>
              </w:rPr>
            </w:pPr>
            <w:r w:rsidRPr="00C84023">
              <w:rPr>
                <w:rFonts w:cstheme="minorHAnsi"/>
                <w:w w:val="105"/>
              </w:rPr>
              <w:t>This</w:t>
            </w:r>
            <w:r w:rsidRPr="00C84023">
              <w:rPr>
                <w:rFonts w:cstheme="minorHAnsi"/>
                <w:spacing w:val="34"/>
                <w:w w:val="105"/>
              </w:rPr>
              <w:t xml:space="preserve"> </w:t>
            </w:r>
            <w:r w:rsidRPr="00C84023">
              <w:rPr>
                <w:rFonts w:cstheme="minorHAnsi"/>
                <w:w w:val="105"/>
              </w:rPr>
              <w:t>course</w:t>
            </w:r>
            <w:r w:rsidRPr="00C84023">
              <w:rPr>
                <w:rFonts w:cstheme="minorHAnsi"/>
                <w:spacing w:val="34"/>
                <w:w w:val="105"/>
              </w:rPr>
              <w:t xml:space="preserve"> </w:t>
            </w:r>
            <w:r w:rsidRPr="00C84023">
              <w:rPr>
                <w:rFonts w:cstheme="minorHAnsi"/>
                <w:w w:val="105"/>
              </w:rPr>
              <w:t>is</w:t>
            </w:r>
            <w:r w:rsidRPr="00C84023">
              <w:rPr>
                <w:rFonts w:cstheme="minorHAnsi"/>
                <w:spacing w:val="34"/>
                <w:w w:val="105"/>
              </w:rPr>
              <w:t xml:space="preserve"> </w:t>
            </w:r>
            <w:r w:rsidRPr="00C84023">
              <w:rPr>
                <w:rFonts w:cstheme="minorHAnsi"/>
                <w:w w:val="105"/>
              </w:rPr>
              <w:t>designed</w:t>
            </w:r>
            <w:r w:rsidRPr="00C84023">
              <w:rPr>
                <w:rFonts w:cstheme="minorHAnsi"/>
                <w:spacing w:val="34"/>
                <w:w w:val="105"/>
              </w:rPr>
              <w:t xml:space="preserve"> </w:t>
            </w:r>
            <w:r w:rsidRPr="00C84023">
              <w:rPr>
                <w:rFonts w:cstheme="minorHAnsi"/>
                <w:w w:val="105"/>
              </w:rPr>
              <w:t>for</w:t>
            </w:r>
            <w:r w:rsidRPr="00C84023">
              <w:rPr>
                <w:rFonts w:cstheme="minorHAnsi"/>
                <w:spacing w:val="34"/>
                <w:w w:val="105"/>
              </w:rPr>
              <w:t xml:space="preserve"> </w:t>
            </w:r>
            <w:r w:rsidRPr="00C84023">
              <w:rPr>
                <w:rFonts w:cstheme="minorHAnsi"/>
                <w:w w:val="105"/>
              </w:rPr>
              <w:t>students</w:t>
            </w:r>
            <w:r w:rsidRPr="00C84023">
              <w:rPr>
                <w:rFonts w:cstheme="minorHAnsi"/>
                <w:spacing w:val="34"/>
                <w:w w:val="105"/>
              </w:rPr>
              <w:t xml:space="preserve"> </w:t>
            </w:r>
            <w:r w:rsidRPr="00C84023">
              <w:rPr>
                <w:rFonts w:cstheme="minorHAnsi"/>
                <w:w w:val="105"/>
              </w:rPr>
              <w:t>who</w:t>
            </w:r>
            <w:r w:rsidRPr="00C84023">
              <w:rPr>
                <w:rFonts w:cstheme="minorHAnsi"/>
                <w:spacing w:val="34"/>
                <w:w w:val="105"/>
              </w:rPr>
              <w:t xml:space="preserve"> </w:t>
            </w:r>
            <w:r w:rsidRPr="00C84023">
              <w:rPr>
                <w:rFonts w:cstheme="minorHAnsi"/>
                <w:w w:val="105"/>
              </w:rPr>
              <w:t>tested</w:t>
            </w:r>
            <w:r w:rsidRPr="00C84023">
              <w:rPr>
                <w:rFonts w:cstheme="minorHAnsi"/>
                <w:spacing w:val="34"/>
                <w:w w:val="105"/>
              </w:rPr>
              <w:t xml:space="preserve"> </w:t>
            </w:r>
            <w:r w:rsidRPr="00C84023">
              <w:rPr>
                <w:rFonts w:cstheme="minorHAnsi"/>
                <w:w w:val="105"/>
              </w:rPr>
              <w:t>at</w:t>
            </w:r>
            <w:r w:rsidRPr="00C84023">
              <w:rPr>
                <w:rFonts w:cstheme="minorHAnsi"/>
                <w:spacing w:val="34"/>
                <w:w w:val="105"/>
              </w:rPr>
              <w:t xml:space="preserve"> </w:t>
            </w:r>
            <w:r w:rsidRPr="00C84023">
              <w:rPr>
                <w:rFonts w:cstheme="minorHAnsi"/>
                <w:w w:val="105"/>
              </w:rPr>
              <w:t>the</w:t>
            </w:r>
            <w:r w:rsidRPr="00C84023">
              <w:rPr>
                <w:rFonts w:cstheme="minorHAnsi"/>
                <w:spacing w:val="34"/>
                <w:w w:val="105"/>
              </w:rPr>
              <w:t xml:space="preserve"> </w:t>
            </w:r>
            <w:r w:rsidRPr="00C84023">
              <w:rPr>
                <w:rFonts w:cstheme="minorHAnsi"/>
                <w:w w:val="105"/>
              </w:rPr>
              <w:t>equivalent</w:t>
            </w:r>
            <w:r w:rsidRPr="00C84023">
              <w:rPr>
                <w:rFonts w:cstheme="minorHAnsi"/>
                <w:w w:val="106"/>
              </w:rPr>
              <w:t xml:space="preserve"> </w:t>
            </w:r>
            <w:r w:rsidRPr="00C84023">
              <w:rPr>
                <w:rFonts w:cstheme="minorHAnsi"/>
                <w:w w:val="105"/>
              </w:rPr>
              <w:t>of 9th grade and above but lack the required level of basic skills for</w:t>
            </w:r>
            <w:r w:rsidRPr="00C84023">
              <w:rPr>
                <w:rFonts w:cstheme="minorHAnsi"/>
                <w:spacing w:val="-51"/>
                <w:w w:val="105"/>
              </w:rPr>
              <w:t xml:space="preserve"> </w:t>
            </w:r>
            <w:r w:rsidRPr="00C84023">
              <w:rPr>
                <w:rFonts w:cstheme="minorHAnsi"/>
                <w:w w:val="105"/>
              </w:rPr>
              <w:t>completion of the CTE program in which they are enrolled. Students</w:t>
            </w:r>
            <w:r w:rsidRPr="00C84023">
              <w:rPr>
                <w:rFonts w:cstheme="minorHAnsi"/>
                <w:spacing w:val="44"/>
                <w:w w:val="105"/>
              </w:rPr>
              <w:t xml:space="preserve"> </w:t>
            </w:r>
            <w:r w:rsidRPr="00C84023">
              <w:rPr>
                <w:rFonts w:cstheme="minorHAnsi"/>
                <w:w w:val="105"/>
              </w:rPr>
              <w:t>may or</w:t>
            </w:r>
            <w:r w:rsidRPr="00C84023">
              <w:rPr>
                <w:rFonts w:cstheme="minorHAnsi"/>
                <w:spacing w:val="14"/>
                <w:w w:val="105"/>
              </w:rPr>
              <w:t xml:space="preserve"> </w:t>
            </w:r>
            <w:r w:rsidRPr="00C84023">
              <w:rPr>
                <w:rFonts w:cstheme="minorHAnsi"/>
                <w:w w:val="105"/>
              </w:rPr>
              <w:t>may</w:t>
            </w:r>
            <w:r w:rsidRPr="00C84023">
              <w:rPr>
                <w:rFonts w:cstheme="minorHAnsi"/>
                <w:spacing w:val="14"/>
                <w:w w:val="105"/>
              </w:rPr>
              <w:t xml:space="preserve"> </w:t>
            </w:r>
            <w:r w:rsidRPr="00C84023">
              <w:rPr>
                <w:rFonts w:cstheme="minorHAnsi"/>
                <w:w w:val="105"/>
              </w:rPr>
              <w:t>not</w:t>
            </w:r>
            <w:r w:rsidRPr="00C84023">
              <w:rPr>
                <w:rFonts w:cstheme="minorHAnsi"/>
                <w:spacing w:val="14"/>
                <w:w w:val="105"/>
              </w:rPr>
              <w:t xml:space="preserve"> </w:t>
            </w:r>
            <w:r w:rsidRPr="00C84023">
              <w:rPr>
                <w:rFonts w:cstheme="minorHAnsi"/>
                <w:w w:val="105"/>
              </w:rPr>
              <w:t>have</w:t>
            </w:r>
            <w:r w:rsidRPr="00C84023">
              <w:rPr>
                <w:rFonts w:cstheme="minorHAnsi"/>
                <w:spacing w:val="14"/>
                <w:w w:val="105"/>
              </w:rPr>
              <w:t xml:space="preserve"> </w:t>
            </w:r>
            <w:r w:rsidRPr="00C84023">
              <w:rPr>
                <w:rFonts w:cstheme="minorHAnsi"/>
                <w:w w:val="105"/>
              </w:rPr>
              <w:t>earned</w:t>
            </w:r>
            <w:r w:rsidRPr="00C84023">
              <w:rPr>
                <w:rFonts w:cstheme="minorHAnsi"/>
                <w:spacing w:val="14"/>
                <w:w w:val="105"/>
              </w:rPr>
              <w:t xml:space="preserve"> </w:t>
            </w:r>
            <w:r w:rsidRPr="00C84023">
              <w:rPr>
                <w:rFonts w:cstheme="minorHAnsi"/>
                <w:w w:val="105"/>
              </w:rPr>
              <w:t>a</w:t>
            </w:r>
            <w:r w:rsidRPr="00C84023">
              <w:rPr>
                <w:rFonts w:cstheme="minorHAnsi"/>
                <w:spacing w:val="14"/>
                <w:w w:val="105"/>
              </w:rPr>
              <w:t xml:space="preserve"> </w:t>
            </w:r>
            <w:r w:rsidRPr="00C84023">
              <w:rPr>
                <w:rFonts w:cstheme="minorHAnsi"/>
                <w:w w:val="105"/>
              </w:rPr>
              <w:t>high</w:t>
            </w:r>
            <w:r w:rsidRPr="00C84023">
              <w:rPr>
                <w:rFonts w:cstheme="minorHAnsi"/>
                <w:spacing w:val="14"/>
                <w:w w:val="105"/>
              </w:rPr>
              <w:t xml:space="preserve"> </w:t>
            </w:r>
            <w:r w:rsidRPr="00C84023">
              <w:rPr>
                <w:rFonts w:cstheme="minorHAnsi"/>
                <w:w w:val="105"/>
              </w:rPr>
              <w:t>school</w:t>
            </w:r>
            <w:r w:rsidRPr="00C84023">
              <w:rPr>
                <w:rFonts w:cstheme="minorHAnsi"/>
                <w:spacing w:val="14"/>
                <w:w w:val="105"/>
              </w:rPr>
              <w:t xml:space="preserve"> </w:t>
            </w:r>
            <w:r w:rsidRPr="00C84023">
              <w:rPr>
                <w:rFonts w:cstheme="minorHAnsi"/>
                <w:w w:val="105"/>
              </w:rPr>
              <w:t>diploma.</w:t>
            </w:r>
            <w:r w:rsidRPr="00C84023">
              <w:rPr>
                <w:rFonts w:cstheme="minorHAnsi"/>
                <w:spacing w:val="14"/>
                <w:w w:val="105"/>
              </w:rPr>
              <w:t xml:space="preserve"> </w:t>
            </w:r>
            <w:r w:rsidRPr="00C84023">
              <w:rPr>
                <w:rFonts w:cstheme="minorHAnsi"/>
                <w:w w:val="105"/>
              </w:rPr>
              <w:t>These</w:t>
            </w:r>
            <w:r w:rsidRPr="00C84023">
              <w:rPr>
                <w:rFonts w:cstheme="minorHAnsi"/>
                <w:spacing w:val="14"/>
                <w:w w:val="105"/>
              </w:rPr>
              <w:t xml:space="preserve"> </w:t>
            </w:r>
            <w:r w:rsidRPr="00C84023">
              <w:rPr>
                <w:rFonts w:cstheme="minorHAnsi"/>
                <w:w w:val="105"/>
              </w:rPr>
              <w:t>courses</w:t>
            </w:r>
            <w:r w:rsidRPr="00C84023">
              <w:rPr>
                <w:rFonts w:cstheme="minorHAnsi"/>
                <w:spacing w:val="14"/>
                <w:w w:val="105"/>
              </w:rPr>
              <w:t xml:space="preserve"> </w:t>
            </w:r>
            <w:r w:rsidRPr="00C84023">
              <w:rPr>
                <w:rFonts w:cstheme="minorHAnsi"/>
                <w:w w:val="105"/>
              </w:rPr>
              <w:t>are updated</w:t>
            </w:r>
            <w:r w:rsidRPr="00C84023">
              <w:rPr>
                <w:rFonts w:cstheme="minorHAnsi"/>
                <w:spacing w:val="25"/>
                <w:w w:val="105"/>
              </w:rPr>
              <w:t xml:space="preserve"> annually </w:t>
            </w:r>
            <w:r w:rsidRPr="00C84023">
              <w:rPr>
                <w:rFonts w:cstheme="minorHAnsi"/>
                <w:w w:val="105"/>
              </w:rPr>
              <w:t>to</w:t>
            </w:r>
            <w:r w:rsidRPr="00C84023">
              <w:rPr>
                <w:rFonts w:cstheme="minorHAnsi"/>
                <w:spacing w:val="25"/>
                <w:w w:val="105"/>
              </w:rPr>
              <w:t xml:space="preserve"> </w:t>
            </w:r>
            <w:r w:rsidRPr="00C84023">
              <w:rPr>
                <w:rFonts w:cstheme="minorHAnsi"/>
                <w:w w:val="105"/>
              </w:rPr>
              <w:t>align</w:t>
            </w:r>
            <w:r w:rsidRPr="00C84023">
              <w:rPr>
                <w:rFonts w:cstheme="minorHAnsi"/>
                <w:spacing w:val="25"/>
                <w:w w:val="105"/>
              </w:rPr>
              <w:t xml:space="preserve"> </w:t>
            </w:r>
            <w:r w:rsidRPr="00C84023">
              <w:rPr>
                <w:rFonts w:cstheme="minorHAnsi"/>
                <w:w w:val="105"/>
              </w:rPr>
              <w:t>with</w:t>
            </w:r>
            <w:r w:rsidRPr="00C84023">
              <w:rPr>
                <w:rFonts w:cstheme="minorHAnsi"/>
                <w:spacing w:val="25"/>
                <w:w w:val="105"/>
              </w:rPr>
              <w:t xml:space="preserve"> </w:t>
            </w:r>
            <w:r w:rsidRPr="00C84023">
              <w:rPr>
                <w:rFonts w:cstheme="minorHAnsi"/>
                <w:w w:val="105"/>
              </w:rPr>
              <w:t>the</w:t>
            </w:r>
            <w:r w:rsidRPr="00C84023">
              <w:rPr>
                <w:rFonts w:cstheme="minorHAnsi"/>
                <w:spacing w:val="25"/>
                <w:w w:val="105"/>
              </w:rPr>
              <w:t xml:space="preserve"> </w:t>
            </w:r>
            <w:r w:rsidRPr="00C84023">
              <w:rPr>
                <w:rFonts w:cstheme="minorHAnsi"/>
                <w:w w:val="105"/>
              </w:rPr>
              <w:t>secondary</w:t>
            </w:r>
            <w:r w:rsidRPr="00C84023">
              <w:rPr>
                <w:rFonts w:cstheme="minorHAnsi"/>
                <w:spacing w:val="25"/>
                <w:w w:val="105"/>
              </w:rPr>
              <w:t xml:space="preserve"> </w:t>
            </w:r>
            <w:r w:rsidRPr="00C84023">
              <w:rPr>
                <w:rFonts w:cstheme="minorHAnsi"/>
                <w:w w:val="105"/>
              </w:rPr>
              <w:t>(9-12)</w:t>
            </w:r>
            <w:r w:rsidRPr="00C84023">
              <w:rPr>
                <w:rFonts w:cstheme="minorHAnsi"/>
                <w:spacing w:val="25"/>
                <w:w w:val="105"/>
              </w:rPr>
              <w:t xml:space="preserve"> </w:t>
            </w:r>
            <w:r w:rsidRPr="00C84023">
              <w:rPr>
                <w:rFonts w:cstheme="minorHAnsi"/>
                <w:w w:val="105"/>
              </w:rPr>
              <w:t>college</w:t>
            </w:r>
            <w:r w:rsidRPr="00C84023">
              <w:rPr>
                <w:rFonts w:cstheme="minorHAnsi"/>
                <w:spacing w:val="25"/>
                <w:w w:val="105"/>
              </w:rPr>
              <w:t xml:space="preserve"> </w:t>
            </w:r>
            <w:r w:rsidRPr="00C84023">
              <w:rPr>
                <w:rFonts w:cstheme="minorHAnsi"/>
                <w:w w:val="105"/>
              </w:rPr>
              <w:t>and</w:t>
            </w:r>
            <w:r w:rsidRPr="00C84023">
              <w:rPr>
                <w:rFonts w:cstheme="minorHAnsi"/>
                <w:spacing w:val="25"/>
                <w:w w:val="105"/>
              </w:rPr>
              <w:t xml:space="preserve"> </w:t>
            </w:r>
            <w:r w:rsidRPr="00C84023">
              <w:rPr>
                <w:rFonts w:cstheme="minorHAnsi"/>
                <w:w w:val="105"/>
              </w:rPr>
              <w:t>career</w:t>
            </w:r>
            <w:r w:rsidRPr="00C84023">
              <w:rPr>
                <w:rFonts w:cstheme="minorHAnsi"/>
                <w:spacing w:val="25"/>
                <w:w w:val="105"/>
              </w:rPr>
              <w:t xml:space="preserve"> </w:t>
            </w:r>
            <w:r w:rsidRPr="00C84023">
              <w:rPr>
                <w:rFonts w:cstheme="minorHAnsi"/>
                <w:w w:val="105"/>
              </w:rPr>
              <w:t>readiness</w:t>
            </w:r>
            <w:r w:rsidRPr="00C84023">
              <w:rPr>
                <w:rFonts w:cstheme="minorHAnsi"/>
                <w:w w:val="109"/>
              </w:rPr>
              <w:t xml:space="preserve"> </w:t>
            </w:r>
            <w:r w:rsidRPr="00C84023">
              <w:rPr>
                <w:rFonts w:cstheme="minorHAnsi"/>
                <w:w w:val="105"/>
              </w:rPr>
              <w:t>standards.</w:t>
            </w:r>
          </w:p>
        </w:tc>
      </w:tr>
    </w:tbl>
    <w:p w14:paraId="5A3A386E" w14:textId="77777777" w:rsidR="00EA7458" w:rsidRPr="00C84023" w:rsidRDefault="00EA7458" w:rsidP="00D63204">
      <w:pPr>
        <w:widowControl w:val="0"/>
        <w:spacing w:before="2" w:after="0" w:line="240" w:lineRule="auto"/>
        <w:ind w:left="90"/>
        <w:rPr>
          <w:rFonts w:cstheme="minorHAnsi"/>
          <w:sz w:val="15"/>
          <w:szCs w:val="15"/>
        </w:rPr>
      </w:pPr>
    </w:p>
    <w:p w14:paraId="5AB7ED9D" w14:textId="77777777" w:rsidR="00691C52" w:rsidRDefault="00691C52" w:rsidP="00D63204">
      <w:pPr>
        <w:widowControl w:val="0"/>
        <w:spacing w:before="63" w:after="0" w:line="240" w:lineRule="auto"/>
        <w:ind w:left="90"/>
        <w:outlineLvl w:val="3"/>
        <w:rPr>
          <w:rFonts w:cstheme="minorHAnsi"/>
          <w:b/>
          <w:bCs/>
          <w:i/>
          <w:color w:val="231F20"/>
          <w:w w:val="105"/>
        </w:rPr>
      </w:pPr>
    </w:p>
    <w:p w14:paraId="17B19950" w14:textId="14AA0CC0" w:rsidR="00D1174B" w:rsidRPr="00C84023" w:rsidRDefault="00D1174B" w:rsidP="00D63204">
      <w:pPr>
        <w:widowControl w:val="0"/>
        <w:spacing w:before="63" w:after="0" w:line="240" w:lineRule="auto"/>
        <w:ind w:left="90"/>
        <w:outlineLvl w:val="3"/>
        <w:rPr>
          <w:rFonts w:cstheme="minorHAnsi"/>
        </w:rPr>
      </w:pPr>
      <w:r w:rsidRPr="00C84023">
        <w:rPr>
          <w:rFonts w:cstheme="minorHAnsi"/>
          <w:b/>
          <w:bCs/>
          <w:i/>
          <w:color w:val="231F20"/>
          <w:w w:val="105"/>
        </w:rPr>
        <w:t>Workforce</w:t>
      </w:r>
      <w:r w:rsidRPr="00C84023">
        <w:rPr>
          <w:rFonts w:cstheme="minorHAnsi"/>
          <w:b/>
          <w:bCs/>
          <w:i/>
          <w:color w:val="231F20"/>
          <w:spacing w:val="-41"/>
          <w:w w:val="105"/>
        </w:rPr>
        <w:t xml:space="preserve"> </w:t>
      </w:r>
      <w:r w:rsidRPr="00C84023">
        <w:rPr>
          <w:rFonts w:cstheme="minorHAnsi"/>
          <w:b/>
          <w:bCs/>
          <w:i/>
          <w:color w:val="231F20"/>
          <w:w w:val="105"/>
        </w:rPr>
        <w:t>Preparation</w:t>
      </w:r>
      <w:r w:rsidRPr="00C84023">
        <w:rPr>
          <w:rFonts w:cstheme="minorHAnsi"/>
          <w:b/>
          <w:bCs/>
          <w:i/>
          <w:color w:val="231F20"/>
          <w:spacing w:val="-41"/>
          <w:w w:val="105"/>
        </w:rPr>
        <w:t xml:space="preserve"> </w:t>
      </w:r>
      <w:r w:rsidRPr="00C84023">
        <w:rPr>
          <w:rFonts w:cstheme="minorHAnsi"/>
          <w:b/>
          <w:bCs/>
          <w:i/>
          <w:color w:val="231F20"/>
          <w:w w:val="105"/>
        </w:rPr>
        <w:t>Activities</w:t>
      </w:r>
    </w:p>
    <w:p w14:paraId="7E181FDC" w14:textId="2F56960C" w:rsidR="00D1174B" w:rsidRPr="00C84023" w:rsidRDefault="00D1174B" w:rsidP="00D63204">
      <w:pPr>
        <w:widowControl w:val="0"/>
        <w:spacing w:before="2" w:after="0" w:line="264" w:lineRule="exact"/>
        <w:ind w:left="90"/>
        <w:rPr>
          <w:rFonts w:cstheme="minorHAnsi"/>
        </w:rPr>
      </w:pPr>
      <w:r w:rsidRPr="00C84023">
        <w:rPr>
          <w:rFonts w:cstheme="minorHAnsi"/>
          <w:w w:val="105"/>
        </w:rPr>
        <w:t>Standards</w:t>
      </w:r>
      <w:r w:rsidRPr="00C84023">
        <w:rPr>
          <w:rFonts w:cstheme="minorHAnsi"/>
          <w:spacing w:val="9"/>
          <w:w w:val="105"/>
        </w:rPr>
        <w:t xml:space="preserve"> </w:t>
      </w:r>
      <w:r w:rsidRPr="00C84023">
        <w:rPr>
          <w:rFonts w:cstheme="minorHAnsi"/>
          <w:w w:val="105"/>
        </w:rPr>
        <w:t>for</w:t>
      </w:r>
      <w:r w:rsidRPr="00C84023">
        <w:rPr>
          <w:rFonts w:cstheme="minorHAnsi"/>
          <w:spacing w:val="9"/>
          <w:w w:val="105"/>
        </w:rPr>
        <w:t xml:space="preserve"> </w:t>
      </w:r>
      <w:r w:rsidRPr="00C84023">
        <w:rPr>
          <w:rFonts w:cstheme="minorHAnsi"/>
          <w:w w:val="105"/>
        </w:rPr>
        <w:t>career</w:t>
      </w:r>
      <w:r w:rsidRPr="00C84023">
        <w:rPr>
          <w:rFonts w:cstheme="minorHAnsi"/>
          <w:spacing w:val="9"/>
          <w:w w:val="105"/>
        </w:rPr>
        <w:t xml:space="preserve"> </w:t>
      </w:r>
      <w:r w:rsidRPr="00C84023">
        <w:rPr>
          <w:rFonts w:cstheme="minorHAnsi"/>
          <w:w w:val="105"/>
        </w:rPr>
        <w:t>planning</w:t>
      </w:r>
      <w:r w:rsidRPr="00C84023">
        <w:rPr>
          <w:rFonts w:cstheme="minorHAnsi"/>
          <w:spacing w:val="9"/>
          <w:w w:val="105"/>
        </w:rPr>
        <w:t xml:space="preserve"> </w:t>
      </w:r>
      <w:r w:rsidRPr="00C84023">
        <w:rPr>
          <w:rFonts w:cstheme="minorHAnsi"/>
          <w:w w:val="105"/>
        </w:rPr>
        <w:t>and</w:t>
      </w:r>
      <w:r w:rsidRPr="00C84023">
        <w:rPr>
          <w:rFonts w:cstheme="minorHAnsi"/>
          <w:spacing w:val="9"/>
          <w:w w:val="105"/>
        </w:rPr>
        <w:t xml:space="preserve"> </w:t>
      </w:r>
      <w:r w:rsidRPr="00C84023">
        <w:rPr>
          <w:rFonts w:cstheme="minorHAnsi"/>
          <w:w w:val="105"/>
        </w:rPr>
        <w:t>exploration</w:t>
      </w:r>
      <w:r w:rsidRPr="00C84023">
        <w:rPr>
          <w:rFonts w:cstheme="minorHAnsi"/>
          <w:spacing w:val="9"/>
          <w:w w:val="105"/>
        </w:rPr>
        <w:t xml:space="preserve"> </w:t>
      </w:r>
      <w:r w:rsidRPr="00C84023">
        <w:rPr>
          <w:rFonts w:cstheme="minorHAnsi"/>
          <w:w w:val="105"/>
        </w:rPr>
        <w:t>and</w:t>
      </w:r>
      <w:r w:rsidRPr="00C84023">
        <w:rPr>
          <w:rFonts w:cstheme="minorHAnsi"/>
          <w:spacing w:val="9"/>
          <w:w w:val="105"/>
        </w:rPr>
        <w:t xml:space="preserve"> </w:t>
      </w:r>
      <w:r w:rsidRPr="00C84023">
        <w:rPr>
          <w:rFonts w:cstheme="minorHAnsi"/>
          <w:w w:val="105"/>
        </w:rPr>
        <w:t>technology</w:t>
      </w:r>
      <w:r w:rsidRPr="00C84023">
        <w:rPr>
          <w:rFonts w:cstheme="minorHAnsi"/>
          <w:spacing w:val="9"/>
          <w:w w:val="105"/>
        </w:rPr>
        <w:t xml:space="preserve"> </w:t>
      </w:r>
      <w:r w:rsidRPr="00C84023">
        <w:rPr>
          <w:rFonts w:cstheme="minorHAnsi"/>
          <w:w w:val="105"/>
        </w:rPr>
        <w:t>(digital</w:t>
      </w:r>
      <w:r w:rsidRPr="00C84023">
        <w:rPr>
          <w:rFonts w:cstheme="minorHAnsi"/>
          <w:spacing w:val="9"/>
          <w:w w:val="105"/>
        </w:rPr>
        <w:t xml:space="preserve"> </w:t>
      </w:r>
      <w:r w:rsidRPr="00C84023">
        <w:rPr>
          <w:rFonts w:cstheme="minorHAnsi"/>
          <w:w w:val="105"/>
        </w:rPr>
        <w:t>literacy)</w:t>
      </w:r>
      <w:r w:rsidRPr="00C84023">
        <w:rPr>
          <w:rFonts w:cstheme="minorHAnsi"/>
          <w:spacing w:val="9"/>
          <w:w w:val="105"/>
        </w:rPr>
        <w:t xml:space="preserve"> </w:t>
      </w:r>
      <w:r w:rsidRPr="00C84023">
        <w:rPr>
          <w:rFonts w:cstheme="minorHAnsi"/>
          <w:w w:val="105"/>
        </w:rPr>
        <w:t>are</w:t>
      </w:r>
      <w:r w:rsidRPr="00C84023">
        <w:rPr>
          <w:rFonts w:cstheme="minorHAnsi"/>
          <w:spacing w:val="9"/>
          <w:w w:val="105"/>
        </w:rPr>
        <w:t xml:space="preserve"> </w:t>
      </w:r>
      <w:r w:rsidRPr="00C84023">
        <w:rPr>
          <w:rFonts w:cstheme="minorHAnsi"/>
          <w:w w:val="105"/>
        </w:rPr>
        <w:t>included</w:t>
      </w:r>
      <w:r w:rsidRPr="00C84023">
        <w:rPr>
          <w:rFonts w:cstheme="minorHAnsi"/>
          <w:spacing w:val="9"/>
          <w:w w:val="105"/>
        </w:rPr>
        <w:t xml:space="preserve"> </w:t>
      </w:r>
      <w:r w:rsidRPr="00C84023">
        <w:rPr>
          <w:rFonts w:cstheme="minorHAnsi"/>
          <w:w w:val="105"/>
        </w:rPr>
        <w:t>in</w:t>
      </w:r>
      <w:r w:rsidRPr="00C84023">
        <w:rPr>
          <w:rFonts w:cstheme="minorHAnsi"/>
          <w:spacing w:val="9"/>
          <w:w w:val="105"/>
        </w:rPr>
        <w:t xml:space="preserve"> </w:t>
      </w:r>
      <w:r w:rsidRPr="00C84023">
        <w:rPr>
          <w:rFonts w:cstheme="minorHAnsi"/>
          <w:w w:val="105"/>
        </w:rPr>
        <w:t>the</w:t>
      </w:r>
      <w:r w:rsidRPr="00C84023">
        <w:rPr>
          <w:rFonts w:cstheme="minorHAnsi"/>
          <w:spacing w:val="9"/>
          <w:w w:val="105"/>
        </w:rPr>
        <w:t xml:space="preserve"> </w:t>
      </w:r>
      <w:r w:rsidRPr="00C84023">
        <w:rPr>
          <w:rFonts w:cstheme="minorHAnsi"/>
          <w:w w:val="105"/>
        </w:rPr>
        <w:t>adult</w:t>
      </w:r>
      <w:r w:rsidRPr="00C84023">
        <w:rPr>
          <w:rFonts w:cstheme="minorHAnsi"/>
          <w:spacing w:val="-17"/>
          <w:w w:val="105"/>
        </w:rPr>
        <w:t xml:space="preserve"> </w:t>
      </w:r>
      <w:r w:rsidRPr="00C84023">
        <w:rPr>
          <w:rFonts w:cstheme="minorHAnsi"/>
          <w:w w:val="105"/>
        </w:rPr>
        <w:t>education</w:t>
      </w:r>
      <w:r w:rsidRPr="00C84023">
        <w:rPr>
          <w:rFonts w:cstheme="minorHAnsi"/>
          <w:spacing w:val="16"/>
          <w:w w:val="105"/>
        </w:rPr>
        <w:t xml:space="preserve"> </w:t>
      </w:r>
      <w:r w:rsidRPr="00C84023">
        <w:rPr>
          <w:rFonts w:cstheme="minorHAnsi"/>
          <w:w w:val="105"/>
        </w:rPr>
        <w:t>curriculum</w:t>
      </w:r>
      <w:r w:rsidRPr="00C84023">
        <w:rPr>
          <w:rFonts w:cstheme="minorHAnsi"/>
          <w:spacing w:val="16"/>
          <w:w w:val="105"/>
        </w:rPr>
        <w:t xml:space="preserve"> </w:t>
      </w:r>
      <w:r w:rsidRPr="00C84023">
        <w:rPr>
          <w:rFonts w:cstheme="minorHAnsi"/>
          <w:w w:val="105"/>
        </w:rPr>
        <w:t>frameworks.</w:t>
      </w:r>
      <w:r w:rsidRPr="00C84023">
        <w:rPr>
          <w:rFonts w:cstheme="minorHAnsi"/>
          <w:spacing w:val="33"/>
          <w:w w:val="105"/>
        </w:rPr>
        <w:t xml:space="preserve"> </w:t>
      </w:r>
      <w:r w:rsidRPr="00C84023">
        <w:rPr>
          <w:rFonts w:cstheme="minorHAnsi"/>
          <w:w w:val="105"/>
        </w:rPr>
        <w:t>In</w:t>
      </w:r>
      <w:r w:rsidRPr="00C84023">
        <w:rPr>
          <w:rFonts w:cstheme="minorHAnsi"/>
          <w:spacing w:val="16"/>
          <w:w w:val="105"/>
        </w:rPr>
        <w:t xml:space="preserve"> </w:t>
      </w:r>
      <w:r w:rsidRPr="00C84023">
        <w:rPr>
          <w:rFonts w:cstheme="minorHAnsi"/>
          <w:w w:val="105"/>
        </w:rPr>
        <w:t>coordination</w:t>
      </w:r>
      <w:r w:rsidRPr="00C84023">
        <w:rPr>
          <w:rFonts w:cstheme="minorHAnsi"/>
          <w:spacing w:val="16"/>
          <w:w w:val="105"/>
        </w:rPr>
        <w:t xml:space="preserve"> </w:t>
      </w:r>
      <w:r w:rsidRPr="00C84023">
        <w:rPr>
          <w:rFonts w:cstheme="minorHAnsi"/>
          <w:w w:val="105"/>
        </w:rPr>
        <w:t>with</w:t>
      </w:r>
      <w:r w:rsidRPr="00C84023">
        <w:rPr>
          <w:rFonts w:cstheme="minorHAnsi"/>
          <w:spacing w:val="16"/>
          <w:w w:val="105"/>
        </w:rPr>
        <w:t xml:space="preserve"> </w:t>
      </w:r>
      <w:r w:rsidRPr="00C84023">
        <w:rPr>
          <w:rFonts w:cstheme="minorHAnsi"/>
          <w:w w:val="105"/>
        </w:rPr>
        <w:t>advisory</w:t>
      </w:r>
      <w:r w:rsidRPr="00C84023">
        <w:rPr>
          <w:rFonts w:cstheme="minorHAnsi"/>
          <w:spacing w:val="16"/>
          <w:w w:val="105"/>
        </w:rPr>
        <w:t xml:space="preserve"> </w:t>
      </w:r>
      <w:r w:rsidRPr="00C84023">
        <w:rPr>
          <w:rFonts w:cstheme="minorHAnsi"/>
          <w:w w:val="105"/>
        </w:rPr>
        <w:t>groups</w:t>
      </w:r>
      <w:r w:rsidRPr="00C84023">
        <w:rPr>
          <w:rFonts w:cstheme="minorHAnsi"/>
          <w:spacing w:val="16"/>
          <w:w w:val="105"/>
        </w:rPr>
        <w:t xml:space="preserve"> </w:t>
      </w:r>
      <w:r w:rsidRPr="00C84023">
        <w:rPr>
          <w:rFonts w:cstheme="minorHAnsi"/>
          <w:w w:val="105"/>
        </w:rPr>
        <w:t>for</w:t>
      </w:r>
      <w:r w:rsidRPr="00C84023">
        <w:rPr>
          <w:rFonts w:cstheme="minorHAnsi"/>
          <w:spacing w:val="16"/>
          <w:w w:val="105"/>
        </w:rPr>
        <w:t xml:space="preserve"> </w:t>
      </w:r>
      <w:r w:rsidRPr="00C84023">
        <w:rPr>
          <w:rFonts w:cstheme="minorHAnsi"/>
          <w:w w:val="105"/>
        </w:rPr>
        <w:t>ABE,</w:t>
      </w:r>
      <w:r w:rsidRPr="00C84023">
        <w:rPr>
          <w:rFonts w:cstheme="minorHAnsi"/>
          <w:spacing w:val="16"/>
          <w:w w:val="105"/>
        </w:rPr>
        <w:t xml:space="preserve"> </w:t>
      </w:r>
      <w:r w:rsidRPr="00C84023">
        <w:rPr>
          <w:rFonts w:cstheme="minorHAnsi"/>
          <w:w w:val="105"/>
        </w:rPr>
        <w:t>ESOL</w:t>
      </w:r>
      <w:r w:rsidR="00D5537E">
        <w:rPr>
          <w:rFonts w:cstheme="minorHAnsi"/>
          <w:w w:val="105"/>
        </w:rPr>
        <w:t xml:space="preserve"> and</w:t>
      </w:r>
      <w:r w:rsidRPr="00C84023">
        <w:rPr>
          <w:rFonts w:cstheme="minorHAnsi"/>
          <w:spacing w:val="16"/>
          <w:w w:val="105"/>
        </w:rPr>
        <w:t xml:space="preserve"> </w:t>
      </w:r>
      <w:r w:rsidRPr="00C84023">
        <w:rPr>
          <w:rFonts w:cstheme="minorHAnsi"/>
          <w:w w:val="105"/>
        </w:rPr>
        <w:t>ASE</w:t>
      </w:r>
      <w:r w:rsidRPr="00C84023">
        <w:rPr>
          <w:rFonts w:cstheme="minorHAnsi"/>
          <w:spacing w:val="16"/>
          <w:w w:val="105"/>
        </w:rPr>
        <w:t xml:space="preserve"> </w:t>
      </w:r>
      <w:r w:rsidRPr="00C84023">
        <w:rPr>
          <w:rFonts w:cstheme="minorHAnsi"/>
          <w:w w:val="105"/>
        </w:rPr>
        <w:t>programs,</w:t>
      </w:r>
      <w:r w:rsidRPr="00C84023">
        <w:rPr>
          <w:rFonts w:cstheme="minorHAnsi"/>
          <w:spacing w:val="-50"/>
          <w:w w:val="105"/>
        </w:rPr>
        <w:t xml:space="preserve"> </w:t>
      </w:r>
      <w:r w:rsidRPr="00C84023">
        <w:rPr>
          <w:rFonts w:cstheme="minorHAnsi"/>
          <w:w w:val="105"/>
        </w:rPr>
        <w:t>additional</w:t>
      </w:r>
      <w:r w:rsidRPr="00C84023">
        <w:rPr>
          <w:rFonts w:cstheme="minorHAnsi"/>
          <w:spacing w:val="10"/>
          <w:w w:val="105"/>
        </w:rPr>
        <w:t xml:space="preserve"> </w:t>
      </w:r>
      <w:r w:rsidRPr="00C84023">
        <w:rPr>
          <w:rFonts w:cstheme="minorHAnsi"/>
          <w:w w:val="105"/>
        </w:rPr>
        <w:t>standards</w:t>
      </w:r>
      <w:r w:rsidRPr="00C84023">
        <w:rPr>
          <w:rFonts w:cstheme="minorHAnsi"/>
          <w:spacing w:val="10"/>
          <w:w w:val="105"/>
        </w:rPr>
        <w:t xml:space="preserve"> </w:t>
      </w:r>
      <w:r w:rsidRPr="00C84023">
        <w:rPr>
          <w:rFonts w:cstheme="minorHAnsi"/>
          <w:w w:val="105"/>
        </w:rPr>
        <w:t>in</w:t>
      </w:r>
      <w:r w:rsidRPr="00C84023">
        <w:rPr>
          <w:rFonts w:cstheme="minorHAnsi"/>
          <w:spacing w:val="10"/>
          <w:w w:val="105"/>
        </w:rPr>
        <w:t xml:space="preserve"> </w:t>
      </w:r>
      <w:r w:rsidRPr="00C84023">
        <w:rPr>
          <w:rFonts w:cstheme="minorHAnsi"/>
          <w:w w:val="105"/>
        </w:rPr>
        <w:t>employability</w:t>
      </w:r>
      <w:r w:rsidRPr="00C84023">
        <w:rPr>
          <w:rFonts w:cstheme="minorHAnsi"/>
          <w:spacing w:val="10"/>
          <w:w w:val="105"/>
        </w:rPr>
        <w:t xml:space="preserve"> </w:t>
      </w:r>
      <w:r w:rsidRPr="00C84023">
        <w:rPr>
          <w:rFonts w:cstheme="minorHAnsi"/>
          <w:w w:val="105"/>
        </w:rPr>
        <w:t>skills</w:t>
      </w:r>
      <w:r w:rsidRPr="00C84023">
        <w:rPr>
          <w:rFonts w:cstheme="minorHAnsi"/>
          <w:spacing w:val="10"/>
          <w:w w:val="105"/>
        </w:rPr>
        <w:t xml:space="preserve"> </w:t>
      </w:r>
      <w:r w:rsidRPr="00C84023">
        <w:rPr>
          <w:rFonts w:cstheme="minorHAnsi"/>
          <w:w w:val="105"/>
        </w:rPr>
        <w:t>are integrated</w:t>
      </w:r>
      <w:r w:rsidRPr="00C84023">
        <w:rPr>
          <w:rFonts w:cstheme="minorHAnsi"/>
          <w:spacing w:val="10"/>
          <w:w w:val="105"/>
        </w:rPr>
        <w:t xml:space="preserve"> </w:t>
      </w:r>
      <w:r w:rsidRPr="00C84023">
        <w:rPr>
          <w:rFonts w:cstheme="minorHAnsi"/>
          <w:w w:val="105"/>
        </w:rPr>
        <w:t>into</w:t>
      </w:r>
      <w:r w:rsidRPr="00C84023">
        <w:rPr>
          <w:rFonts w:cstheme="minorHAnsi"/>
          <w:spacing w:val="10"/>
          <w:w w:val="105"/>
        </w:rPr>
        <w:t xml:space="preserve"> </w:t>
      </w:r>
      <w:r w:rsidRPr="00C84023">
        <w:rPr>
          <w:rFonts w:cstheme="minorHAnsi"/>
          <w:w w:val="105"/>
        </w:rPr>
        <w:t>the</w:t>
      </w:r>
      <w:r w:rsidRPr="00C84023">
        <w:rPr>
          <w:rFonts w:cstheme="minorHAnsi"/>
          <w:spacing w:val="10"/>
          <w:w w:val="105"/>
        </w:rPr>
        <w:t xml:space="preserve"> </w:t>
      </w:r>
      <w:r w:rsidRPr="00C84023">
        <w:rPr>
          <w:rFonts w:cstheme="minorHAnsi"/>
          <w:w w:val="105"/>
        </w:rPr>
        <w:t>adult</w:t>
      </w:r>
      <w:r w:rsidRPr="00C84023">
        <w:rPr>
          <w:rFonts w:cstheme="minorHAnsi"/>
          <w:spacing w:val="10"/>
          <w:w w:val="105"/>
        </w:rPr>
        <w:t xml:space="preserve"> </w:t>
      </w:r>
      <w:r w:rsidRPr="00C84023">
        <w:rPr>
          <w:rFonts w:cstheme="minorHAnsi"/>
          <w:w w:val="105"/>
        </w:rPr>
        <w:t>education</w:t>
      </w:r>
      <w:r w:rsidRPr="00C84023">
        <w:rPr>
          <w:rFonts w:cstheme="minorHAnsi"/>
          <w:spacing w:val="-32"/>
          <w:w w:val="105"/>
        </w:rPr>
        <w:t xml:space="preserve"> </w:t>
      </w:r>
      <w:r w:rsidRPr="00C84023">
        <w:rPr>
          <w:rFonts w:cstheme="minorHAnsi"/>
          <w:w w:val="105"/>
        </w:rPr>
        <w:t>courses.</w:t>
      </w:r>
      <w:r w:rsidRPr="00C84023">
        <w:rPr>
          <w:rFonts w:cstheme="minorHAnsi"/>
          <w:spacing w:val="18"/>
          <w:w w:val="105"/>
        </w:rPr>
        <w:t xml:space="preserve"> </w:t>
      </w:r>
      <w:r w:rsidRPr="00C84023">
        <w:rPr>
          <w:rFonts w:cstheme="minorHAnsi"/>
          <w:w w:val="105"/>
        </w:rPr>
        <w:t>Standards</w:t>
      </w:r>
      <w:r w:rsidRPr="00C84023">
        <w:rPr>
          <w:rFonts w:cstheme="minorHAnsi"/>
          <w:spacing w:val="18"/>
          <w:w w:val="105"/>
        </w:rPr>
        <w:t xml:space="preserve"> </w:t>
      </w:r>
      <w:r w:rsidRPr="00C84023">
        <w:rPr>
          <w:rFonts w:cstheme="minorHAnsi"/>
          <w:w w:val="105"/>
        </w:rPr>
        <w:t>are</w:t>
      </w:r>
      <w:r w:rsidRPr="00C84023">
        <w:rPr>
          <w:rFonts w:cstheme="minorHAnsi"/>
          <w:spacing w:val="18"/>
          <w:w w:val="105"/>
        </w:rPr>
        <w:t xml:space="preserve"> </w:t>
      </w:r>
      <w:r w:rsidRPr="00C84023">
        <w:rPr>
          <w:rFonts w:cstheme="minorHAnsi"/>
          <w:w w:val="105"/>
        </w:rPr>
        <w:t>based</w:t>
      </w:r>
      <w:r w:rsidRPr="00C84023">
        <w:rPr>
          <w:rFonts w:cstheme="minorHAnsi"/>
          <w:spacing w:val="18"/>
          <w:w w:val="105"/>
        </w:rPr>
        <w:t xml:space="preserve"> </w:t>
      </w:r>
      <w:r w:rsidRPr="00C84023">
        <w:rPr>
          <w:rFonts w:cstheme="minorHAnsi"/>
          <w:w w:val="105"/>
        </w:rPr>
        <w:t>on</w:t>
      </w:r>
      <w:r w:rsidRPr="00C84023">
        <w:rPr>
          <w:rFonts w:cstheme="minorHAnsi"/>
          <w:spacing w:val="18"/>
          <w:w w:val="105"/>
        </w:rPr>
        <w:t xml:space="preserve"> </w:t>
      </w:r>
      <w:r w:rsidRPr="00C84023">
        <w:rPr>
          <w:rFonts w:cstheme="minorHAnsi"/>
          <w:w w:val="105"/>
        </w:rPr>
        <w:t>the</w:t>
      </w:r>
      <w:r w:rsidRPr="00C84023">
        <w:rPr>
          <w:rFonts w:cstheme="minorHAnsi"/>
          <w:spacing w:val="18"/>
          <w:w w:val="105"/>
        </w:rPr>
        <w:t xml:space="preserve"> </w:t>
      </w:r>
      <w:r w:rsidRPr="00C84023">
        <w:rPr>
          <w:rFonts w:cstheme="minorHAnsi"/>
          <w:w w:val="105"/>
        </w:rPr>
        <w:t>United</w:t>
      </w:r>
      <w:r w:rsidRPr="00C84023">
        <w:rPr>
          <w:rFonts w:cstheme="minorHAnsi"/>
          <w:spacing w:val="18"/>
          <w:w w:val="105"/>
        </w:rPr>
        <w:t xml:space="preserve"> </w:t>
      </w:r>
      <w:r w:rsidRPr="00C84023">
        <w:rPr>
          <w:rFonts w:cstheme="minorHAnsi"/>
          <w:w w:val="105"/>
        </w:rPr>
        <w:t>States</w:t>
      </w:r>
      <w:r w:rsidRPr="00C84023">
        <w:rPr>
          <w:rFonts w:cstheme="minorHAnsi"/>
          <w:spacing w:val="18"/>
          <w:w w:val="105"/>
        </w:rPr>
        <w:t xml:space="preserve"> </w:t>
      </w:r>
      <w:r w:rsidRPr="00C84023">
        <w:rPr>
          <w:rFonts w:cstheme="minorHAnsi"/>
          <w:w w:val="105"/>
        </w:rPr>
        <w:t>Department</w:t>
      </w:r>
      <w:r w:rsidRPr="00C84023">
        <w:rPr>
          <w:rFonts w:cstheme="minorHAnsi"/>
          <w:spacing w:val="18"/>
          <w:w w:val="105"/>
        </w:rPr>
        <w:t xml:space="preserve"> </w:t>
      </w:r>
      <w:r w:rsidRPr="00C84023">
        <w:rPr>
          <w:rFonts w:cstheme="minorHAnsi"/>
          <w:w w:val="105"/>
        </w:rPr>
        <w:t>of</w:t>
      </w:r>
      <w:r w:rsidRPr="00C84023">
        <w:rPr>
          <w:rFonts w:cstheme="minorHAnsi"/>
          <w:spacing w:val="18"/>
          <w:w w:val="105"/>
        </w:rPr>
        <w:t xml:space="preserve"> </w:t>
      </w:r>
      <w:r w:rsidRPr="00C84023">
        <w:rPr>
          <w:rFonts w:cstheme="minorHAnsi"/>
          <w:w w:val="105"/>
        </w:rPr>
        <w:t>Education,</w:t>
      </w:r>
      <w:r w:rsidRPr="00C84023">
        <w:rPr>
          <w:rFonts w:cstheme="minorHAnsi"/>
          <w:spacing w:val="18"/>
          <w:w w:val="105"/>
        </w:rPr>
        <w:t xml:space="preserve"> </w:t>
      </w:r>
      <w:r w:rsidRPr="00C84023">
        <w:rPr>
          <w:rFonts w:cstheme="minorHAnsi"/>
          <w:w w:val="105"/>
        </w:rPr>
        <w:t>Office</w:t>
      </w:r>
      <w:r w:rsidRPr="00C84023">
        <w:rPr>
          <w:rFonts w:cstheme="minorHAnsi"/>
          <w:spacing w:val="18"/>
          <w:w w:val="105"/>
        </w:rPr>
        <w:t xml:space="preserve"> </w:t>
      </w:r>
      <w:r w:rsidRPr="00C84023">
        <w:rPr>
          <w:rFonts w:cstheme="minorHAnsi"/>
          <w:w w:val="105"/>
        </w:rPr>
        <w:t>of</w:t>
      </w:r>
      <w:r w:rsidRPr="00C84023">
        <w:rPr>
          <w:rFonts w:cstheme="minorHAnsi"/>
          <w:spacing w:val="18"/>
          <w:w w:val="105"/>
        </w:rPr>
        <w:t xml:space="preserve"> </w:t>
      </w:r>
      <w:r w:rsidRPr="00C84023">
        <w:rPr>
          <w:rFonts w:cstheme="minorHAnsi"/>
          <w:spacing w:val="-3"/>
          <w:w w:val="105"/>
        </w:rPr>
        <w:t>Career,</w:t>
      </w:r>
      <w:r w:rsidR="00691C52">
        <w:rPr>
          <w:rFonts w:cstheme="minorHAnsi"/>
          <w:spacing w:val="-3"/>
          <w:w w:val="105"/>
        </w:rPr>
        <w:t xml:space="preserve"> </w:t>
      </w:r>
      <w:r w:rsidRPr="00C84023">
        <w:rPr>
          <w:rFonts w:cstheme="minorHAnsi"/>
          <w:spacing w:val="-3"/>
          <w:w w:val="105"/>
        </w:rPr>
        <w:t>Technical</w:t>
      </w:r>
      <w:r w:rsidRPr="00C84023">
        <w:rPr>
          <w:rFonts w:cstheme="minorHAnsi"/>
          <w:spacing w:val="14"/>
          <w:w w:val="105"/>
        </w:rPr>
        <w:t xml:space="preserve"> </w:t>
      </w:r>
      <w:r w:rsidRPr="00C84023">
        <w:rPr>
          <w:rFonts w:cstheme="minorHAnsi"/>
          <w:w w:val="105"/>
        </w:rPr>
        <w:t>and</w:t>
      </w:r>
      <w:r w:rsidRPr="00C84023">
        <w:rPr>
          <w:rFonts w:cstheme="minorHAnsi"/>
          <w:spacing w:val="14"/>
          <w:w w:val="105"/>
        </w:rPr>
        <w:t xml:space="preserve"> </w:t>
      </w:r>
      <w:r w:rsidRPr="00C84023">
        <w:rPr>
          <w:rFonts w:cstheme="minorHAnsi"/>
          <w:w w:val="105"/>
        </w:rPr>
        <w:t>Adult</w:t>
      </w:r>
      <w:r w:rsidRPr="00C84023">
        <w:rPr>
          <w:rFonts w:cstheme="minorHAnsi"/>
          <w:spacing w:val="14"/>
          <w:w w:val="105"/>
        </w:rPr>
        <w:t xml:space="preserve"> </w:t>
      </w:r>
      <w:r w:rsidRPr="00C84023">
        <w:rPr>
          <w:rFonts w:cstheme="minorHAnsi"/>
          <w:w w:val="105"/>
        </w:rPr>
        <w:t>Education’s</w:t>
      </w:r>
      <w:r w:rsidRPr="00C84023">
        <w:rPr>
          <w:rFonts w:cstheme="minorHAnsi"/>
          <w:spacing w:val="14"/>
          <w:w w:val="105"/>
        </w:rPr>
        <w:t xml:space="preserve"> </w:t>
      </w:r>
      <w:r w:rsidRPr="00C84023">
        <w:rPr>
          <w:rFonts w:cstheme="minorHAnsi"/>
          <w:w w:val="105"/>
        </w:rPr>
        <w:t>Framework</w:t>
      </w:r>
      <w:r w:rsidRPr="00C84023">
        <w:rPr>
          <w:rFonts w:cstheme="minorHAnsi"/>
          <w:spacing w:val="14"/>
          <w:w w:val="105"/>
        </w:rPr>
        <w:t xml:space="preserve"> </w:t>
      </w:r>
      <w:r w:rsidRPr="00C84023">
        <w:rPr>
          <w:rFonts w:cstheme="minorHAnsi"/>
          <w:w w:val="105"/>
        </w:rPr>
        <w:t>for</w:t>
      </w:r>
      <w:r w:rsidRPr="00C84023">
        <w:rPr>
          <w:rFonts w:cstheme="minorHAnsi"/>
          <w:spacing w:val="14"/>
          <w:w w:val="105"/>
        </w:rPr>
        <w:t xml:space="preserve"> </w:t>
      </w:r>
      <w:r w:rsidRPr="00C84023">
        <w:rPr>
          <w:rFonts w:cstheme="minorHAnsi"/>
          <w:w w:val="105"/>
        </w:rPr>
        <w:t>Employability</w:t>
      </w:r>
      <w:r w:rsidRPr="00C84023">
        <w:rPr>
          <w:rFonts w:cstheme="minorHAnsi"/>
          <w:spacing w:val="14"/>
          <w:w w:val="105"/>
        </w:rPr>
        <w:t xml:space="preserve"> </w:t>
      </w:r>
      <w:r w:rsidRPr="00C84023">
        <w:rPr>
          <w:rFonts w:cstheme="minorHAnsi"/>
          <w:w w:val="105"/>
        </w:rPr>
        <w:t>Skills</w:t>
      </w:r>
      <w:r w:rsidRPr="00C84023">
        <w:rPr>
          <w:rFonts w:cstheme="minorHAnsi"/>
          <w:spacing w:val="14"/>
          <w:w w:val="105"/>
        </w:rPr>
        <w:t xml:space="preserve"> </w:t>
      </w:r>
      <w:r w:rsidRPr="00C84023">
        <w:rPr>
          <w:rFonts w:cstheme="minorHAnsi"/>
          <w:w w:val="105"/>
        </w:rPr>
        <w:t>and</w:t>
      </w:r>
      <w:r w:rsidRPr="00C84023">
        <w:rPr>
          <w:rFonts w:cstheme="minorHAnsi"/>
          <w:spacing w:val="14"/>
          <w:w w:val="105"/>
        </w:rPr>
        <w:t xml:space="preserve"> </w:t>
      </w:r>
      <w:r w:rsidRPr="00C84023">
        <w:rPr>
          <w:rFonts w:cstheme="minorHAnsi"/>
          <w:w w:val="105"/>
        </w:rPr>
        <w:t>additional</w:t>
      </w:r>
      <w:r w:rsidRPr="00C84023">
        <w:rPr>
          <w:rFonts w:cstheme="minorHAnsi"/>
          <w:spacing w:val="14"/>
          <w:w w:val="105"/>
        </w:rPr>
        <w:t xml:space="preserve"> </w:t>
      </w:r>
      <w:r w:rsidRPr="00C84023">
        <w:rPr>
          <w:rFonts w:cstheme="minorHAnsi"/>
          <w:w w:val="105"/>
        </w:rPr>
        <w:t>resources.</w:t>
      </w:r>
      <w:r w:rsidRPr="00C84023">
        <w:rPr>
          <w:rFonts w:cstheme="minorHAnsi"/>
          <w:spacing w:val="14"/>
          <w:w w:val="105"/>
        </w:rPr>
        <w:t xml:space="preserve"> </w:t>
      </w:r>
      <w:r w:rsidRPr="00C84023">
        <w:rPr>
          <w:rFonts w:cstheme="minorHAnsi"/>
          <w:w w:val="105"/>
        </w:rPr>
        <w:t>Webinars</w:t>
      </w:r>
      <w:r w:rsidRPr="00C84023">
        <w:rPr>
          <w:rFonts w:cstheme="minorHAnsi"/>
          <w:spacing w:val="-6"/>
          <w:w w:val="105"/>
        </w:rPr>
        <w:t xml:space="preserve"> </w:t>
      </w:r>
      <w:r w:rsidRPr="00C84023">
        <w:rPr>
          <w:rFonts w:cstheme="minorHAnsi"/>
          <w:w w:val="105"/>
        </w:rPr>
        <w:t>provide</w:t>
      </w:r>
      <w:r w:rsidRPr="00C84023">
        <w:rPr>
          <w:rFonts w:cstheme="minorHAnsi"/>
          <w:spacing w:val="14"/>
          <w:w w:val="105"/>
        </w:rPr>
        <w:t xml:space="preserve"> information </w:t>
      </w:r>
      <w:r w:rsidRPr="00C84023">
        <w:rPr>
          <w:rFonts w:cstheme="minorHAnsi"/>
          <w:w w:val="105"/>
        </w:rPr>
        <w:t>on</w:t>
      </w:r>
      <w:r w:rsidRPr="00C84023">
        <w:rPr>
          <w:rFonts w:cstheme="minorHAnsi"/>
          <w:spacing w:val="14"/>
          <w:w w:val="105"/>
        </w:rPr>
        <w:t xml:space="preserve"> </w:t>
      </w:r>
      <w:r w:rsidRPr="00C84023">
        <w:rPr>
          <w:rFonts w:cstheme="minorHAnsi"/>
          <w:w w:val="105"/>
        </w:rPr>
        <w:t>strategies</w:t>
      </w:r>
      <w:r w:rsidRPr="00C84023">
        <w:rPr>
          <w:rFonts w:cstheme="minorHAnsi"/>
          <w:spacing w:val="14"/>
          <w:w w:val="105"/>
        </w:rPr>
        <w:t xml:space="preserve"> </w:t>
      </w:r>
      <w:r w:rsidRPr="00C84023">
        <w:rPr>
          <w:rFonts w:cstheme="minorHAnsi"/>
          <w:w w:val="105"/>
        </w:rPr>
        <w:t>to</w:t>
      </w:r>
      <w:r w:rsidRPr="00C84023">
        <w:rPr>
          <w:rFonts w:cstheme="minorHAnsi"/>
          <w:spacing w:val="14"/>
          <w:w w:val="105"/>
        </w:rPr>
        <w:t xml:space="preserve"> </w:t>
      </w:r>
      <w:r w:rsidRPr="00C84023">
        <w:rPr>
          <w:rFonts w:cstheme="minorHAnsi"/>
          <w:w w:val="105"/>
        </w:rPr>
        <w:t>integrate</w:t>
      </w:r>
      <w:r w:rsidRPr="00C84023">
        <w:rPr>
          <w:rFonts w:cstheme="minorHAnsi"/>
          <w:spacing w:val="14"/>
          <w:w w:val="105"/>
        </w:rPr>
        <w:t xml:space="preserve"> </w:t>
      </w:r>
      <w:r w:rsidRPr="00C84023">
        <w:rPr>
          <w:rFonts w:cstheme="minorHAnsi"/>
          <w:w w:val="105"/>
        </w:rPr>
        <w:t>employability</w:t>
      </w:r>
      <w:r w:rsidRPr="00C84023">
        <w:rPr>
          <w:rFonts w:cstheme="minorHAnsi"/>
          <w:spacing w:val="14"/>
          <w:w w:val="105"/>
        </w:rPr>
        <w:t xml:space="preserve"> </w:t>
      </w:r>
      <w:r w:rsidRPr="00C84023">
        <w:rPr>
          <w:rFonts w:cstheme="minorHAnsi"/>
          <w:w w:val="105"/>
        </w:rPr>
        <w:t>skills</w:t>
      </w:r>
      <w:r w:rsidRPr="00C84023">
        <w:rPr>
          <w:rFonts w:cstheme="minorHAnsi"/>
          <w:spacing w:val="14"/>
          <w:w w:val="105"/>
        </w:rPr>
        <w:t xml:space="preserve"> </w:t>
      </w:r>
      <w:r w:rsidRPr="00C84023">
        <w:rPr>
          <w:rFonts w:cstheme="minorHAnsi"/>
          <w:w w:val="105"/>
        </w:rPr>
        <w:t>into</w:t>
      </w:r>
      <w:r w:rsidRPr="00C84023">
        <w:rPr>
          <w:rFonts w:cstheme="minorHAnsi"/>
          <w:spacing w:val="14"/>
          <w:w w:val="105"/>
        </w:rPr>
        <w:t xml:space="preserve"> </w:t>
      </w:r>
      <w:r w:rsidRPr="00C84023">
        <w:rPr>
          <w:rFonts w:cstheme="minorHAnsi"/>
          <w:w w:val="105"/>
        </w:rPr>
        <w:t>the</w:t>
      </w:r>
      <w:r w:rsidRPr="00C84023">
        <w:rPr>
          <w:rFonts w:cstheme="minorHAnsi"/>
          <w:spacing w:val="14"/>
          <w:w w:val="105"/>
        </w:rPr>
        <w:t xml:space="preserve"> </w:t>
      </w:r>
      <w:r w:rsidRPr="00C84023">
        <w:rPr>
          <w:rFonts w:cstheme="minorHAnsi"/>
          <w:w w:val="105"/>
        </w:rPr>
        <w:t>classroom.</w:t>
      </w:r>
      <w:r w:rsidRPr="00C84023">
        <w:rPr>
          <w:rFonts w:cstheme="minorHAnsi"/>
          <w:spacing w:val="14"/>
          <w:w w:val="105"/>
        </w:rPr>
        <w:t xml:space="preserve"> </w:t>
      </w:r>
      <w:r w:rsidRPr="00C84023">
        <w:rPr>
          <w:rFonts w:cstheme="minorHAnsi"/>
          <w:w w:val="105"/>
        </w:rPr>
        <w:t>All</w:t>
      </w:r>
      <w:r w:rsidRPr="00C84023">
        <w:rPr>
          <w:rFonts w:cstheme="minorHAnsi"/>
          <w:spacing w:val="14"/>
          <w:w w:val="105"/>
        </w:rPr>
        <w:t xml:space="preserve"> </w:t>
      </w:r>
      <w:r w:rsidRPr="00C84023">
        <w:rPr>
          <w:rFonts w:cstheme="minorHAnsi"/>
          <w:w w:val="105"/>
        </w:rPr>
        <w:t>updated</w:t>
      </w:r>
      <w:r w:rsidRPr="00C84023">
        <w:rPr>
          <w:rFonts w:cstheme="minorHAnsi"/>
          <w:spacing w:val="14"/>
          <w:w w:val="105"/>
        </w:rPr>
        <w:t xml:space="preserve"> </w:t>
      </w:r>
      <w:r w:rsidRPr="00C84023">
        <w:rPr>
          <w:rFonts w:cstheme="minorHAnsi"/>
          <w:w w:val="105"/>
        </w:rPr>
        <w:t>courses</w:t>
      </w:r>
      <w:r w:rsidRPr="00C84023">
        <w:rPr>
          <w:rFonts w:cstheme="minorHAnsi"/>
          <w:spacing w:val="14"/>
          <w:w w:val="105"/>
        </w:rPr>
        <w:t xml:space="preserve"> </w:t>
      </w:r>
      <w:r w:rsidRPr="00C84023">
        <w:rPr>
          <w:rFonts w:cstheme="minorHAnsi"/>
          <w:w w:val="105"/>
        </w:rPr>
        <w:t>are</w:t>
      </w:r>
      <w:r w:rsidRPr="00C84023">
        <w:rPr>
          <w:rFonts w:cstheme="minorHAnsi"/>
          <w:w w:val="107"/>
        </w:rPr>
        <w:t xml:space="preserve"> </w:t>
      </w:r>
      <w:r w:rsidRPr="00C84023">
        <w:rPr>
          <w:rFonts w:cstheme="minorHAnsi"/>
          <w:w w:val="105"/>
        </w:rPr>
        <w:t>submitted</w:t>
      </w:r>
      <w:r w:rsidRPr="00C84023">
        <w:rPr>
          <w:rFonts w:cstheme="minorHAnsi"/>
          <w:spacing w:val="17"/>
          <w:w w:val="105"/>
        </w:rPr>
        <w:t xml:space="preserve"> annually </w:t>
      </w:r>
      <w:r w:rsidRPr="00C84023">
        <w:rPr>
          <w:rFonts w:cstheme="minorHAnsi"/>
          <w:w w:val="105"/>
        </w:rPr>
        <w:t>to</w:t>
      </w:r>
      <w:r w:rsidRPr="00C84023">
        <w:rPr>
          <w:rFonts w:cstheme="minorHAnsi"/>
          <w:spacing w:val="17"/>
          <w:w w:val="105"/>
        </w:rPr>
        <w:t xml:space="preserve"> </w:t>
      </w:r>
      <w:r w:rsidRPr="00C84023">
        <w:rPr>
          <w:rFonts w:cstheme="minorHAnsi"/>
          <w:w w:val="105"/>
        </w:rPr>
        <w:t>the</w:t>
      </w:r>
      <w:r w:rsidRPr="00C84023">
        <w:rPr>
          <w:rFonts w:cstheme="minorHAnsi"/>
          <w:spacing w:val="17"/>
          <w:w w:val="105"/>
        </w:rPr>
        <w:t xml:space="preserve"> </w:t>
      </w:r>
      <w:r w:rsidRPr="00DF6B71">
        <w:rPr>
          <w:rFonts w:cstheme="minorHAnsi"/>
          <w:w w:val="105"/>
        </w:rPr>
        <w:t>State</w:t>
      </w:r>
      <w:r w:rsidRPr="00DF6B71">
        <w:rPr>
          <w:rFonts w:cstheme="minorHAnsi"/>
          <w:spacing w:val="17"/>
          <w:w w:val="105"/>
        </w:rPr>
        <w:t xml:space="preserve"> </w:t>
      </w:r>
      <w:r w:rsidRPr="00DF6B71">
        <w:rPr>
          <w:rFonts w:cstheme="minorHAnsi"/>
          <w:w w:val="105"/>
        </w:rPr>
        <w:t>Board</w:t>
      </w:r>
      <w:r w:rsidRPr="00DF6B71">
        <w:rPr>
          <w:rFonts w:cstheme="minorHAnsi"/>
          <w:spacing w:val="17"/>
          <w:w w:val="105"/>
        </w:rPr>
        <w:t xml:space="preserve"> </w:t>
      </w:r>
      <w:r w:rsidRPr="00DF6B71">
        <w:rPr>
          <w:rFonts w:cstheme="minorHAnsi"/>
          <w:w w:val="105"/>
        </w:rPr>
        <w:t>of</w:t>
      </w:r>
      <w:r w:rsidRPr="00DF6B71">
        <w:rPr>
          <w:rFonts w:cstheme="minorHAnsi"/>
          <w:spacing w:val="17"/>
          <w:w w:val="105"/>
        </w:rPr>
        <w:t xml:space="preserve"> </w:t>
      </w:r>
      <w:r w:rsidRPr="00DF6B71">
        <w:rPr>
          <w:rFonts w:cstheme="minorHAnsi"/>
          <w:w w:val="105"/>
        </w:rPr>
        <w:t>Education</w:t>
      </w:r>
      <w:r w:rsidRPr="00C84023">
        <w:rPr>
          <w:rFonts w:cstheme="minorHAnsi"/>
          <w:spacing w:val="17"/>
          <w:w w:val="105"/>
        </w:rPr>
        <w:t xml:space="preserve"> </w:t>
      </w:r>
      <w:r w:rsidRPr="00C84023">
        <w:rPr>
          <w:rFonts w:cstheme="minorHAnsi"/>
          <w:w w:val="105"/>
        </w:rPr>
        <w:t>for</w:t>
      </w:r>
      <w:r w:rsidRPr="00C84023">
        <w:rPr>
          <w:rFonts w:cstheme="minorHAnsi"/>
          <w:spacing w:val="17"/>
          <w:w w:val="105"/>
        </w:rPr>
        <w:t xml:space="preserve"> </w:t>
      </w:r>
      <w:r w:rsidRPr="00C84023">
        <w:rPr>
          <w:rFonts w:cstheme="minorHAnsi"/>
          <w:w w:val="105"/>
        </w:rPr>
        <w:t>approval.</w:t>
      </w:r>
      <w:r w:rsidRPr="00C84023">
        <w:rPr>
          <w:rFonts w:cstheme="minorHAnsi"/>
          <w:spacing w:val="17"/>
          <w:w w:val="105"/>
        </w:rPr>
        <w:t xml:space="preserve"> </w:t>
      </w:r>
      <w:r w:rsidRPr="00C84023">
        <w:rPr>
          <w:rFonts w:cstheme="minorHAnsi"/>
          <w:w w:val="105"/>
        </w:rPr>
        <w:t>ABE,</w:t>
      </w:r>
      <w:r w:rsidRPr="00C84023">
        <w:rPr>
          <w:rFonts w:cstheme="minorHAnsi"/>
          <w:spacing w:val="17"/>
          <w:w w:val="105"/>
        </w:rPr>
        <w:t xml:space="preserve"> </w:t>
      </w:r>
      <w:r w:rsidRPr="00C84023">
        <w:rPr>
          <w:rFonts w:cstheme="minorHAnsi"/>
          <w:w w:val="105"/>
        </w:rPr>
        <w:t>ESOL</w:t>
      </w:r>
      <w:r w:rsidRPr="00C84023">
        <w:rPr>
          <w:rFonts w:cstheme="minorHAnsi"/>
          <w:spacing w:val="17"/>
          <w:w w:val="105"/>
        </w:rPr>
        <w:t xml:space="preserve"> </w:t>
      </w:r>
      <w:r w:rsidRPr="00C84023">
        <w:rPr>
          <w:rFonts w:cstheme="minorHAnsi"/>
          <w:w w:val="105"/>
        </w:rPr>
        <w:t>(advanced</w:t>
      </w:r>
      <w:r w:rsidRPr="00C84023">
        <w:rPr>
          <w:rFonts w:cstheme="minorHAnsi"/>
          <w:spacing w:val="17"/>
          <w:w w:val="105"/>
        </w:rPr>
        <w:t xml:space="preserve"> </w:t>
      </w:r>
      <w:r w:rsidRPr="00C84023">
        <w:rPr>
          <w:rFonts w:cstheme="minorHAnsi"/>
          <w:w w:val="105"/>
        </w:rPr>
        <w:t>level</w:t>
      </w:r>
      <w:r w:rsidRPr="00C84023">
        <w:rPr>
          <w:rFonts w:cstheme="minorHAnsi"/>
        </w:rPr>
        <w:t xml:space="preserve"> 6) </w:t>
      </w:r>
      <w:r w:rsidRPr="00C84023">
        <w:rPr>
          <w:rFonts w:cstheme="minorHAnsi"/>
          <w:w w:val="110"/>
        </w:rPr>
        <w:t>and</w:t>
      </w:r>
      <w:r w:rsidRPr="00C84023">
        <w:rPr>
          <w:rFonts w:cstheme="minorHAnsi"/>
          <w:spacing w:val="-5"/>
          <w:w w:val="110"/>
        </w:rPr>
        <w:t xml:space="preserve"> </w:t>
      </w:r>
      <w:r w:rsidRPr="00C84023">
        <w:rPr>
          <w:rFonts w:cstheme="minorHAnsi"/>
          <w:w w:val="110"/>
        </w:rPr>
        <w:t>GED®</w:t>
      </w:r>
      <w:r w:rsidRPr="00C84023">
        <w:rPr>
          <w:rFonts w:cstheme="minorHAnsi"/>
          <w:spacing w:val="-5"/>
          <w:w w:val="110"/>
        </w:rPr>
        <w:t xml:space="preserve"> </w:t>
      </w:r>
      <w:r w:rsidRPr="00C84023">
        <w:rPr>
          <w:rFonts w:cstheme="minorHAnsi"/>
          <w:w w:val="110"/>
        </w:rPr>
        <w:t>preparation</w:t>
      </w:r>
      <w:r w:rsidRPr="00C84023">
        <w:rPr>
          <w:rFonts w:cstheme="minorHAnsi"/>
          <w:spacing w:val="-5"/>
          <w:w w:val="110"/>
        </w:rPr>
        <w:t xml:space="preserve"> </w:t>
      </w:r>
      <w:r w:rsidRPr="00C84023">
        <w:rPr>
          <w:rFonts w:cstheme="minorHAnsi"/>
          <w:w w:val="110"/>
        </w:rPr>
        <w:t>courses</w:t>
      </w:r>
      <w:r w:rsidRPr="00C84023">
        <w:rPr>
          <w:rFonts w:cstheme="minorHAnsi"/>
          <w:spacing w:val="-5"/>
          <w:w w:val="110"/>
        </w:rPr>
        <w:t xml:space="preserve"> </w:t>
      </w:r>
      <w:r w:rsidRPr="00C84023">
        <w:rPr>
          <w:rFonts w:cstheme="minorHAnsi"/>
          <w:w w:val="110"/>
        </w:rPr>
        <w:t>are</w:t>
      </w:r>
      <w:r w:rsidRPr="00C84023">
        <w:rPr>
          <w:rFonts w:cstheme="minorHAnsi"/>
          <w:spacing w:val="-5"/>
          <w:w w:val="110"/>
        </w:rPr>
        <w:t xml:space="preserve"> </w:t>
      </w:r>
      <w:r w:rsidRPr="00C84023">
        <w:rPr>
          <w:rFonts w:cstheme="minorHAnsi"/>
          <w:w w:val="110"/>
        </w:rPr>
        <w:t>aligned</w:t>
      </w:r>
      <w:r w:rsidRPr="00C84023">
        <w:rPr>
          <w:rFonts w:cstheme="minorHAnsi"/>
          <w:spacing w:val="-5"/>
          <w:w w:val="110"/>
        </w:rPr>
        <w:t xml:space="preserve"> </w:t>
      </w:r>
      <w:r w:rsidRPr="00C84023">
        <w:rPr>
          <w:rFonts w:cstheme="minorHAnsi"/>
          <w:w w:val="110"/>
        </w:rPr>
        <w:t>with</w:t>
      </w:r>
      <w:r w:rsidRPr="00C84023">
        <w:rPr>
          <w:rFonts w:cstheme="minorHAnsi"/>
          <w:spacing w:val="-5"/>
          <w:w w:val="110"/>
        </w:rPr>
        <w:t xml:space="preserve"> </w:t>
      </w:r>
      <w:r w:rsidRPr="00C84023">
        <w:rPr>
          <w:rFonts w:cstheme="minorHAnsi"/>
          <w:w w:val="110"/>
        </w:rPr>
        <w:t>college</w:t>
      </w:r>
      <w:r w:rsidRPr="00C84023">
        <w:rPr>
          <w:rFonts w:cstheme="minorHAnsi"/>
          <w:spacing w:val="-5"/>
          <w:w w:val="110"/>
        </w:rPr>
        <w:t xml:space="preserve"> </w:t>
      </w:r>
      <w:r w:rsidRPr="00C84023">
        <w:rPr>
          <w:rFonts w:cstheme="minorHAnsi"/>
          <w:w w:val="110"/>
        </w:rPr>
        <w:t>and</w:t>
      </w:r>
      <w:r w:rsidRPr="00C84023">
        <w:rPr>
          <w:rFonts w:cstheme="minorHAnsi"/>
          <w:spacing w:val="-5"/>
          <w:w w:val="110"/>
        </w:rPr>
        <w:t xml:space="preserve"> </w:t>
      </w:r>
      <w:r w:rsidRPr="00C84023">
        <w:rPr>
          <w:rFonts w:cstheme="minorHAnsi"/>
          <w:w w:val="110"/>
        </w:rPr>
        <w:t>career</w:t>
      </w:r>
      <w:r w:rsidRPr="00C84023">
        <w:rPr>
          <w:rFonts w:cstheme="minorHAnsi"/>
          <w:spacing w:val="-5"/>
          <w:w w:val="110"/>
        </w:rPr>
        <w:t xml:space="preserve"> </w:t>
      </w:r>
      <w:r w:rsidRPr="00C84023">
        <w:rPr>
          <w:rFonts w:cstheme="minorHAnsi"/>
          <w:w w:val="110"/>
        </w:rPr>
        <w:t>readiness</w:t>
      </w:r>
      <w:r w:rsidRPr="00C84023">
        <w:rPr>
          <w:rFonts w:cstheme="minorHAnsi"/>
          <w:spacing w:val="-5"/>
          <w:w w:val="110"/>
        </w:rPr>
        <w:t xml:space="preserve"> </w:t>
      </w:r>
      <w:r w:rsidRPr="00C84023">
        <w:rPr>
          <w:rFonts w:cstheme="minorHAnsi"/>
          <w:w w:val="110"/>
        </w:rPr>
        <w:t>standards</w:t>
      </w:r>
      <w:r w:rsidRPr="00C84023">
        <w:rPr>
          <w:rFonts w:cstheme="minorHAnsi"/>
          <w:spacing w:val="-5"/>
          <w:w w:val="110"/>
        </w:rPr>
        <w:t xml:space="preserve"> </w:t>
      </w:r>
      <w:r w:rsidRPr="00C84023">
        <w:rPr>
          <w:rFonts w:cstheme="minorHAnsi"/>
          <w:w w:val="110"/>
        </w:rPr>
        <w:t>(CCRS).</w:t>
      </w:r>
      <w:r w:rsidRPr="00C84023">
        <w:rPr>
          <w:rFonts w:cstheme="minorHAnsi"/>
          <w:spacing w:val="-5"/>
          <w:w w:val="110"/>
        </w:rPr>
        <w:t xml:space="preserve"> </w:t>
      </w:r>
      <w:r w:rsidRPr="00C84023">
        <w:rPr>
          <w:rFonts w:cstheme="minorHAnsi"/>
          <w:w w:val="110"/>
        </w:rPr>
        <w:t>The</w:t>
      </w:r>
      <w:r w:rsidRPr="00C84023">
        <w:rPr>
          <w:rFonts w:cstheme="minorHAnsi"/>
          <w:w w:val="111"/>
        </w:rPr>
        <w:t xml:space="preserve"> </w:t>
      </w:r>
      <w:r w:rsidRPr="00C84023">
        <w:rPr>
          <w:rFonts w:cstheme="minorHAnsi"/>
          <w:w w:val="110"/>
        </w:rPr>
        <w:t>learning</w:t>
      </w:r>
      <w:r w:rsidRPr="00C84023">
        <w:rPr>
          <w:rFonts w:cstheme="minorHAnsi"/>
          <w:spacing w:val="-12"/>
          <w:w w:val="110"/>
        </w:rPr>
        <w:t xml:space="preserve"> </w:t>
      </w:r>
      <w:r w:rsidRPr="00C84023">
        <w:rPr>
          <w:rFonts w:cstheme="minorHAnsi"/>
          <w:w w:val="110"/>
        </w:rPr>
        <w:t>objectives</w:t>
      </w:r>
      <w:r w:rsidRPr="00C84023">
        <w:rPr>
          <w:rFonts w:cstheme="minorHAnsi"/>
          <w:spacing w:val="-12"/>
          <w:w w:val="110"/>
        </w:rPr>
        <w:t xml:space="preserve"> </w:t>
      </w:r>
      <w:r w:rsidRPr="00C84023">
        <w:rPr>
          <w:rFonts w:cstheme="minorHAnsi"/>
          <w:w w:val="110"/>
        </w:rPr>
        <w:t>of</w:t>
      </w:r>
      <w:r w:rsidRPr="00C84023">
        <w:rPr>
          <w:rFonts w:cstheme="minorHAnsi"/>
          <w:spacing w:val="-12"/>
          <w:w w:val="110"/>
        </w:rPr>
        <w:t xml:space="preserve"> </w:t>
      </w:r>
      <w:r w:rsidRPr="00C84023">
        <w:rPr>
          <w:rFonts w:cstheme="minorHAnsi"/>
          <w:w w:val="110"/>
        </w:rPr>
        <w:t>the</w:t>
      </w:r>
      <w:r w:rsidRPr="00C84023">
        <w:rPr>
          <w:rFonts w:cstheme="minorHAnsi"/>
          <w:spacing w:val="-12"/>
          <w:w w:val="110"/>
        </w:rPr>
        <w:t xml:space="preserve"> </w:t>
      </w:r>
      <w:r w:rsidRPr="00C84023">
        <w:rPr>
          <w:rFonts w:cstheme="minorHAnsi"/>
          <w:w w:val="110"/>
        </w:rPr>
        <w:t>CCRS</w:t>
      </w:r>
      <w:r w:rsidRPr="00C84023">
        <w:rPr>
          <w:rFonts w:cstheme="minorHAnsi"/>
          <w:spacing w:val="-12"/>
          <w:w w:val="110"/>
        </w:rPr>
        <w:t xml:space="preserve"> </w:t>
      </w:r>
      <w:r w:rsidRPr="00C84023">
        <w:rPr>
          <w:rFonts w:cstheme="minorHAnsi"/>
          <w:w w:val="110"/>
        </w:rPr>
        <w:t>represent</w:t>
      </w:r>
      <w:r w:rsidRPr="00C84023">
        <w:rPr>
          <w:rFonts w:cstheme="minorHAnsi"/>
          <w:spacing w:val="-12"/>
          <w:w w:val="110"/>
        </w:rPr>
        <w:t xml:space="preserve"> </w:t>
      </w:r>
      <w:r w:rsidRPr="00C84023">
        <w:rPr>
          <w:rFonts w:cstheme="minorHAnsi"/>
          <w:w w:val="110"/>
        </w:rPr>
        <w:t>an</w:t>
      </w:r>
      <w:r w:rsidRPr="00C84023">
        <w:rPr>
          <w:rFonts w:cstheme="minorHAnsi"/>
          <w:spacing w:val="-12"/>
          <w:w w:val="110"/>
        </w:rPr>
        <w:t xml:space="preserve"> </w:t>
      </w:r>
      <w:r w:rsidRPr="00C84023">
        <w:rPr>
          <w:rFonts w:cstheme="minorHAnsi"/>
          <w:w w:val="110"/>
        </w:rPr>
        <w:t>application</w:t>
      </w:r>
      <w:r w:rsidRPr="00C84023">
        <w:rPr>
          <w:rFonts w:cstheme="minorHAnsi"/>
          <w:spacing w:val="-12"/>
          <w:w w:val="110"/>
        </w:rPr>
        <w:t xml:space="preserve"> </w:t>
      </w:r>
      <w:r w:rsidRPr="00C84023">
        <w:rPr>
          <w:rFonts w:cstheme="minorHAnsi"/>
          <w:w w:val="110"/>
        </w:rPr>
        <w:t>of</w:t>
      </w:r>
      <w:r w:rsidRPr="00C84023">
        <w:rPr>
          <w:rFonts w:cstheme="minorHAnsi"/>
          <w:spacing w:val="-12"/>
          <w:w w:val="110"/>
        </w:rPr>
        <w:t xml:space="preserve"> </w:t>
      </w:r>
      <w:r w:rsidRPr="00C84023">
        <w:rPr>
          <w:rFonts w:cstheme="minorHAnsi"/>
          <w:w w:val="110"/>
        </w:rPr>
        <w:t>skills</w:t>
      </w:r>
      <w:r w:rsidRPr="00C84023">
        <w:rPr>
          <w:rFonts w:cstheme="minorHAnsi"/>
          <w:spacing w:val="-12"/>
          <w:w w:val="110"/>
        </w:rPr>
        <w:t xml:space="preserve"> </w:t>
      </w:r>
      <w:r w:rsidRPr="00C84023">
        <w:rPr>
          <w:rFonts w:cstheme="minorHAnsi"/>
          <w:w w:val="110"/>
        </w:rPr>
        <w:t>including critical</w:t>
      </w:r>
      <w:r w:rsidRPr="00C84023">
        <w:rPr>
          <w:rFonts w:cstheme="minorHAnsi"/>
          <w:spacing w:val="-12"/>
          <w:w w:val="110"/>
        </w:rPr>
        <w:t xml:space="preserve"> </w:t>
      </w:r>
      <w:r w:rsidRPr="00C84023">
        <w:rPr>
          <w:rFonts w:cstheme="minorHAnsi"/>
          <w:w w:val="110"/>
        </w:rPr>
        <w:t>thinking,</w:t>
      </w:r>
      <w:r w:rsidRPr="00C84023">
        <w:rPr>
          <w:rFonts w:cstheme="minorHAnsi"/>
          <w:spacing w:val="-12"/>
          <w:w w:val="110"/>
        </w:rPr>
        <w:t xml:space="preserve"> </w:t>
      </w:r>
      <w:r w:rsidRPr="00C84023">
        <w:rPr>
          <w:rFonts w:cstheme="minorHAnsi"/>
          <w:w w:val="110"/>
        </w:rPr>
        <w:t>problem</w:t>
      </w:r>
      <w:r w:rsidRPr="00C84023">
        <w:rPr>
          <w:rFonts w:cstheme="minorHAnsi"/>
          <w:w w:val="105"/>
        </w:rPr>
        <w:t xml:space="preserve"> </w:t>
      </w:r>
      <w:r w:rsidRPr="00C84023">
        <w:rPr>
          <w:rFonts w:cstheme="minorHAnsi"/>
          <w:w w:val="110"/>
        </w:rPr>
        <w:t>solving</w:t>
      </w:r>
      <w:r w:rsidRPr="00C84023">
        <w:rPr>
          <w:rFonts w:cstheme="minorHAnsi"/>
          <w:spacing w:val="-15"/>
          <w:w w:val="110"/>
        </w:rPr>
        <w:t xml:space="preserve"> </w:t>
      </w:r>
      <w:r w:rsidRPr="00C84023">
        <w:rPr>
          <w:rFonts w:cstheme="minorHAnsi"/>
          <w:w w:val="110"/>
        </w:rPr>
        <w:t>and</w:t>
      </w:r>
      <w:r w:rsidRPr="00C84023">
        <w:rPr>
          <w:rFonts w:cstheme="minorHAnsi"/>
          <w:spacing w:val="-15"/>
          <w:w w:val="110"/>
        </w:rPr>
        <w:t xml:space="preserve"> </w:t>
      </w:r>
      <w:r w:rsidRPr="00C84023">
        <w:rPr>
          <w:rFonts w:cstheme="minorHAnsi"/>
          <w:w w:val="110"/>
        </w:rPr>
        <w:t>analytical</w:t>
      </w:r>
      <w:r w:rsidRPr="00C84023">
        <w:rPr>
          <w:rFonts w:cstheme="minorHAnsi"/>
          <w:spacing w:val="-15"/>
          <w:w w:val="110"/>
        </w:rPr>
        <w:t xml:space="preserve"> </w:t>
      </w:r>
      <w:r w:rsidRPr="00C84023">
        <w:rPr>
          <w:rFonts w:cstheme="minorHAnsi"/>
          <w:w w:val="110"/>
        </w:rPr>
        <w:t>skills</w:t>
      </w:r>
      <w:r w:rsidRPr="00C84023">
        <w:rPr>
          <w:rFonts w:cstheme="minorHAnsi"/>
          <w:spacing w:val="-15"/>
          <w:w w:val="110"/>
        </w:rPr>
        <w:t xml:space="preserve"> </w:t>
      </w:r>
      <w:r w:rsidRPr="00C84023">
        <w:rPr>
          <w:rFonts w:cstheme="minorHAnsi"/>
          <w:w w:val="110"/>
        </w:rPr>
        <w:t>that</w:t>
      </w:r>
      <w:r w:rsidRPr="00C84023">
        <w:rPr>
          <w:rFonts w:cstheme="minorHAnsi"/>
          <w:spacing w:val="-15"/>
          <w:w w:val="110"/>
        </w:rPr>
        <w:t xml:space="preserve"> </w:t>
      </w:r>
      <w:r w:rsidRPr="00C84023">
        <w:rPr>
          <w:rFonts w:cstheme="minorHAnsi"/>
          <w:w w:val="110"/>
        </w:rPr>
        <w:t>prepare</w:t>
      </w:r>
      <w:r w:rsidRPr="00C84023">
        <w:rPr>
          <w:rFonts w:cstheme="minorHAnsi"/>
          <w:spacing w:val="-15"/>
          <w:w w:val="110"/>
        </w:rPr>
        <w:t xml:space="preserve"> </w:t>
      </w:r>
      <w:r w:rsidRPr="00C84023">
        <w:rPr>
          <w:rFonts w:cstheme="minorHAnsi"/>
          <w:w w:val="110"/>
        </w:rPr>
        <w:t>students</w:t>
      </w:r>
      <w:r w:rsidRPr="00C84023">
        <w:rPr>
          <w:rFonts w:cstheme="minorHAnsi"/>
          <w:spacing w:val="-15"/>
          <w:w w:val="110"/>
        </w:rPr>
        <w:t xml:space="preserve"> </w:t>
      </w:r>
      <w:r w:rsidRPr="00C84023">
        <w:rPr>
          <w:rFonts w:cstheme="minorHAnsi"/>
          <w:w w:val="110"/>
        </w:rPr>
        <w:t>for</w:t>
      </w:r>
      <w:r w:rsidRPr="00C84023">
        <w:rPr>
          <w:rFonts w:cstheme="minorHAnsi"/>
          <w:spacing w:val="-15"/>
          <w:w w:val="110"/>
        </w:rPr>
        <w:t xml:space="preserve"> </w:t>
      </w:r>
      <w:r w:rsidRPr="00C84023">
        <w:rPr>
          <w:rFonts w:cstheme="minorHAnsi"/>
          <w:w w:val="110"/>
        </w:rPr>
        <w:t>success</w:t>
      </w:r>
      <w:r w:rsidRPr="00C84023">
        <w:rPr>
          <w:rFonts w:cstheme="minorHAnsi"/>
          <w:spacing w:val="-15"/>
          <w:w w:val="110"/>
        </w:rPr>
        <w:t xml:space="preserve"> </w:t>
      </w:r>
      <w:r w:rsidRPr="00C84023">
        <w:rPr>
          <w:rFonts w:cstheme="minorHAnsi"/>
          <w:w w:val="110"/>
        </w:rPr>
        <w:t>in</w:t>
      </w:r>
      <w:r w:rsidRPr="00C84023">
        <w:rPr>
          <w:rFonts w:cstheme="minorHAnsi"/>
          <w:spacing w:val="-15"/>
          <w:w w:val="110"/>
        </w:rPr>
        <w:t xml:space="preserve"> </w:t>
      </w:r>
      <w:r w:rsidRPr="00C84023">
        <w:rPr>
          <w:rFonts w:cstheme="minorHAnsi"/>
          <w:w w:val="110"/>
        </w:rPr>
        <w:t>career</w:t>
      </w:r>
      <w:r w:rsidRPr="00C84023">
        <w:rPr>
          <w:rFonts w:cstheme="minorHAnsi"/>
          <w:spacing w:val="-15"/>
          <w:w w:val="110"/>
        </w:rPr>
        <w:t xml:space="preserve"> </w:t>
      </w:r>
      <w:r w:rsidRPr="00C84023">
        <w:rPr>
          <w:rFonts w:cstheme="minorHAnsi"/>
          <w:w w:val="110"/>
        </w:rPr>
        <w:t>and</w:t>
      </w:r>
      <w:r w:rsidRPr="00C84023">
        <w:rPr>
          <w:rFonts w:cstheme="minorHAnsi"/>
          <w:spacing w:val="-15"/>
          <w:w w:val="110"/>
        </w:rPr>
        <w:t xml:space="preserve"> </w:t>
      </w:r>
      <w:r w:rsidRPr="00C84023">
        <w:rPr>
          <w:rFonts w:cstheme="minorHAnsi"/>
          <w:w w:val="110"/>
        </w:rPr>
        <w:t>postsecondary</w:t>
      </w:r>
      <w:r w:rsidRPr="00C84023">
        <w:rPr>
          <w:rFonts w:cstheme="minorHAnsi"/>
          <w:spacing w:val="-15"/>
          <w:w w:val="110"/>
        </w:rPr>
        <w:t xml:space="preserve"> </w:t>
      </w:r>
      <w:r w:rsidRPr="00C84023">
        <w:rPr>
          <w:rFonts w:cstheme="minorHAnsi"/>
          <w:w w:val="110"/>
        </w:rPr>
        <w:t>education.</w:t>
      </w:r>
    </w:p>
    <w:p w14:paraId="7E8B37E6" w14:textId="77777777" w:rsidR="00D1174B" w:rsidRPr="00C84023" w:rsidRDefault="00D1174B" w:rsidP="00D63204">
      <w:pPr>
        <w:widowControl w:val="0"/>
        <w:spacing w:after="0" w:line="240" w:lineRule="auto"/>
        <w:ind w:left="90"/>
        <w:rPr>
          <w:rFonts w:cstheme="minorHAnsi"/>
        </w:rPr>
      </w:pPr>
    </w:p>
    <w:p w14:paraId="3DEC71DC" w14:textId="77777777" w:rsidR="00D1174B" w:rsidRPr="00C84023" w:rsidRDefault="00D1174B" w:rsidP="00D63204">
      <w:pPr>
        <w:widowControl w:val="0"/>
        <w:spacing w:before="7" w:after="0" w:line="240" w:lineRule="auto"/>
        <w:ind w:left="90"/>
        <w:rPr>
          <w:rFonts w:cstheme="minorHAnsi"/>
          <w:sz w:val="16"/>
          <w:szCs w:val="16"/>
        </w:rPr>
      </w:pPr>
    </w:p>
    <w:p w14:paraId="32D8CFC7" w14:textId="77777777" w:rsidR="00D1174B" w:rsidRPr="00C84023" w:rsidRDefault="00D1174B" w:rsidP="00D63204">
      <w:pPr>
        <w:widowControl w:val="0"/>
        <w:spacing w:after="0" w:line="240" w:lineRule="auto"/>
        <w:ind w:left="90"/>
        <w:outlineLvl w:val="3"/>
        <w:rPr>
          <w:rFonts w:cstheme="minorHAnsi"/>
        </w:rPr>
      </w:pPr>
      <w:r w:rsidRPr="00C84023">
        <w:rPr>
          <w:rFonts w:cstheme="minorHAnsi"/>
          <w:b/>
          <w:bCs/>
          <w:i/>
          <w:color w:val="231F20"/>
          <w:w w:val="105"/>
        </w:rPr>
        <w:t>Integrated</w:t>
      </w:r>
      <w:r w:rsidRPr="00C84023">
        <w:rPr>
          <w:rFonts w:cstheme="minorHAnsi"/>
          <w:b/>
          <w:bCs/>
          <w:i/>
          <w:color w:val="231F20"/>
          <w:spacing w:val="-35"/>
          <w:w w:val="105"/>
        </w:rPr>
        <w:t xml:space="preserve"> </w:t>
      </w:r>
      <w:r w:rsidRPr="00C84023">
        <w:rPr>
          <w:rFonts w:cstheme="minorHAnsi"/>
          <w:b/>
          <w:bCs/>
          <w:i/>
          <w:color w:val="231F20"/>
          <w:w w:val="105"/>
        </w:rPr>
        <w:t>Education</w:t>
      </w:r>
      <w:r w:rsidRPr="00C84023">
        <w:rPr>
          <w:rFonts w:cstheme="minorHAnsi"/>
          <w:b/>
          <w:bCs/>
          <w:i/>
          <w:color w:val="231F20"/>
          <w:spacing w:val="-35"/>
          <w:w w:val="105"/>
        </w:rPr>
        <w:t xml:space="preserve"> </w:t>
      </w:r>
      <w:r w:rsidRPr="00C84023">
        <w:rPr>
          <w:rFonts w:cstheme="minorHAnsi"/>
          <w:b/>
          <w:bCs/>
          <w:i/>
          <w:color w:val="231F20"/>
          <w:w w:val="105"/>
        </w:rPr>
        <w:t>and</w:t>
      </w:r>
      <w:r w:rsidRPr="00C84023">
        <w:rPr>
          <w:rFonts w:cstheme="minorHAnsi"/>
          <w:b/>
          <w:bCs/>
          <w:i/>
          <w:color w:val="231F20"/>
          <w:spacing w:val="-35"/>
          <w:w w:val="105"/>
        </w:rPr>
        <w:t xml:space="preserve"> </w:t>
      </w:r>
      <w:r w:rsidRPr="00C84023">
        <w:rPr>
          <w:rFonts w:cstheme="minorHAnsi"/>
          <w:b/>
          <w:bCs/>
          <w:i/>
          <w:color w:val="231F20"/>
          <w:w w:val="105"/>
        </w:rPr>
        <w:t>Training</w:t>
      </w:r>
      <w:r w:rsidRPr="00C84023">
        <w:rPr>
          <w:rFonts w:cstheme="minorHAnsi"/>
          <w:b/>
          <w:bCs/>
          <w:i/>
          <w:color w:val="231F20"/>
          <w:spacing w:val="-35"/>
          <w:w w:val="105"/>
        </w:rPr>
        <w:t xml:space="preserve"> </w:t>
      </w:r>
      <w:r w:rsidRPr="00C84023">
        <w:rPr>
          <w:rFonts w:cstheme="minorHAnsi"/>
          <w:b/>
          <w:bCs/>
          <w:i/>
          <w:color w:val="231F20"/>
          <w:w w:val="105"/>
        </w:rPr>
        <w:t>(IET)</w:t>
      </w:r>
    </w:p>
    <w:p w14:paraId="42A7CA61" w14:textId="0305DC2D" w:rsidR="00D1174B" w:rsidRPr="00C84023" w:rsidRDefault="00D1174B" w:rsidP="00D63204">
      <w:pPr>
        <w:widowControl w:val="0"/>
        <w:spacing w:before="2" w:after="0" w:line="264" w:lineRule="exact"/>
        <w:ind w:left="90"/>
        <w:rPr>
          <w:rFonts w:cstheme="minorHAnsi"/>
        </w:rPr>
      </w:pPr>
      <w:r w:rsidRPr="00C84023">
        <w:rPr>
          <w:rFonts w:cstheme="minorHAnsi"/>
          <w:color w:val="231F20"/>
          <w:w w:val="105"/>
        </w:rPr>
        <w:t>The state pilot</w:t>
      </w:r>
      <w:r w:rsidR="00556B0E">
        <w:rPr>
          <w:rFonts w:cstheme="minorHAnsi"/>
          <w:color w:val="231F20"/>
          <w:w w:val="105"/>
        </w:rPr>
        <w:t>s</w:t>
      </w:r>
      <w:r w:rsidRPr="00C84023">
        <w:rPr>
          <w:rFonts w:cstheme="minorHAnsi"/>
          <w:color w:val="231F20"/>
          <w:w w:val="105"/>
        </w:rPr>
        <w:t xml:space="preserve"> and refine</w:t>
      </w:r>
      <w:r w:rsidR="00556B0E">
        <w:rPr>
          <w:rFonts w:cstheme="minorHAnsi"/>
          <w:color w:val="231F20"/>
          <w:w w:val="105"/>
        </w:rPr>
        <w:t>s</w:t>
      </w:r>
      <w:r w:rsidRPr="00C84023">
        <w:rPr>
          <w:rFonts w:cstheme="minorHAnsi"/>
          <w:color w:val="231F20"/>
          <w:w w:val="105"/>
        </w:rPr>
        <w:t xml:space="preserve"> the integrated education and</w:t>
      </w:r>
      <w:r w:rsidRPr="00C84023">
        <w:rPr>
          <w:rFonts w:cstheme="minorHAnsi"/>
          <w:color w:val="231F20"/>
          <w:spacing w:val="50"/>
          <w:w w:val="105"/>
        </w:rPr>
        <w:t xml:space="preserve"> </w:t>
      </w:r>
      <w:r w:rsidRPr="00C84023">
        <w:rPr>
          <w:rFonts w:cstheme="minorHAnsi"/>
          <w:color w:val="231F20"/>
          <w:w w:val="105"/>
        </w:rPr>
        <w:t>training</w:t>
      </w:r>
      <w:r w:rsidRPr="00C84023">
        <w:rPr>
          <w:rFonts w:cstheme="minorHAnsi"/>
          <w:color w:val="231F20"/>
          <w:w w:val="104"/>
        </w:rPr>
        <w:t xml:space="preserve"> </w:t>
      </w:r>
      <w:r w:rsidRPr="00C84023">
        <w:rPr>
          <w:rFonts w:cstheme="minorHAnsi"/>
          <w:color w:val="231F20"/>
          <w:w w:val="105"/>
        </w:rPr>
        <w:t>model</w:t>
      </w:r>
      <w:r w:rsidRPr="00C84023">
        <w:rPr>
          <w:rFonts w:cstheme="minorHAnsi"/>
          <w:color w:val="231F20"/>
          <w:spacing w:val="28"/>
          <w:w w:val="105"/>
        </w:rPr>
        <w:t xml:space="preserve"> </w:t>
      </w:r>
      <w:r w:rsidRPr="00C84023">
        <w:rPr>
          <w:rFonts w:cstheme="minorHAnsi"/>
          <w:color w:val="231F20"/>
          <w:w w:val="105"/>
        </w:rPr>
        <w:t>for</w:t>
      </w:r>
      <w:r w:rsidRPr="00C84023">
        <w:rPr>
          <w:rFonts w:cstheme="minorHAnsi"/>
          <w:color w:val="231F20"/>
          <w:spacing w:val="28"/>
          <w:w w:val="105"/>
        </w:rPr>
        <w:t xml:space="preserve"> </w:t>
      </w:r>
      <w:r w:rsidRPr="00C84023">
        <w:rPr>
          <w:rFonts w:cstheme="minorHAnsi"/>
          <w:color w:val="231F20"/>
          <w:w w:val="105"/>
        </w:rPr>
        <w:t>Florida’s</w:t>
      </w:r>
      <w:r w:rsidRPr="00C84023">
        <w:rPr>
          <w:rFonts w:cstheme="minorHAnsi"/>
          <w:color w:val="231F20"/>
          <w:spacing w:val="28"/>
          <w:w w:val="105"/>
        </w:rPr>
        <w:t xml:space="preserve"> </w:t>
      </w:r>
      <w:r w:rsidRPr="00C84023">
        <w:rPr>
          <w:rFonts w:cstheme="minorHAnsi"/>
          <w:color w:val="231F20"/>
          <w:w w:val="105"/>
        </w:rPr>
        <w:t>Integrated</w:t>
      </w:r>
      <w:r w:rsidRPr="00C84023">
        <w:rPr>
          <w:rFonts w:cstheme="minorHAnsi"/>
          <w:color w:val="231F20"/>
          <w:spacing w:val="28"/>
          <w:w w:val="105"/>
        </w:rPr>
        <w:t xml:space="preserve"> </w:t>
      </w:r>
      <w:r w:rsidRPr="00C84023">
        <w:rPr>
          <w:rFonts w:cstheme="minorHAnsi"/>
          <w:color w:val="231F20"/>
          <w:w w:val="105"/>
        </w:rPr>
        <w:t>Career</w:t>
      </w:r>
      <w:r w:rsidRPr="00C84023">
        <w:rPr>
          <w:rFonts w:cstheme="minorHAnsi"/>
          <w:color w:val="231F20"/>
          <w:spacing w:val="28"/>
          <w:w w:val="105"/>
        </w:rPr>
        <w:t xml:space="preserve"> </w:t>
      </w:r>
      <w:r w:rsidRPr="00C84023">
        <w:rPr>
          <w:rFonts w:cstheme="minorHAnsi"/>
          <w:color w:val="231F20"/>
          <w:w w:val="105"/>
        </w:rPr>
        <w:t>and</w:t>
      </w:r>
      <w:r w:rsidRPr="00C84023">
        <w:rPr>
          <w:rFonts w:cstheme="minorHAnsi"/>
          <w:color w:val="231F20"/>
          <w:spacing w:val="28"/>
          <w:w w:val="105"/>
        </w:rPr>
        <w:t xml:space="preserve"> </w:t>
      </w:r>
      <w:r w:rsidRPr="00C84023">
        <w:rPr>
          <w:rFonts w:cstheme="minorHAnsi"/>
          <w:color w:val="231F20"/>
          <w:w w:val="105"/>
        </w:rPr>
        <w:t>Academic</w:t>
      </w:r>
      <w:r w:rsidRPr="00C84023">
        <w:rPr>
          <w:rFonts w:cstheme="minorHAnsi"/>
          <w:color w:val="231F20"/>
          <w:spacing w:val="28"/>
          <w:w w:val="105"/>
        </w:rPr>
        <w:t xml:space="preserve"> </w:t>
      </w:r>
      <w:r w:rsidRPr="00C84023">
        <w:rPr>
          <w:rFonts w:cstheme="minorHAnsi"/>
          <w:color w:val="231F20"/>
          <w:w w:val="105"/>
        </w:rPr>
        <w:t>Preparation</w:t>
      </w:r>
      <w:r w:rsidRPr="00C84023">
        <w:rPr>
          <w:rFonts w:cstheme="minorHAnsi"/>
          <w:color w:val="231F20"/>
          <w:spacing w:val="28"/>
          <w:w w:val="105"/>
        </w:rPr>
        <w:t xml:space="preserve"> </w:t>
      </w:r>
      <w:r w:rsidRPr="00C84023">
        <w:rPr>
          <w:rFonts w:cstheme="minorHAnsi"/>
          <w:color w:val="231F20"/>
          <w:w w:val="105"/>
        </w:rPr>
        <w:t>System</w:t>
      </w:r>
      <w:r w:rsidRPr="00C84023">
        <w:rPr>
          <w:rFonts w:cstheme="minorHAnsi"/>
          <w:color w:val="231F20"/>
          <w:spacing w:val="28"/>
          <w:w w:val="105"/>
        </w:rPr>
        <w:t xml:space="preserve"> </w:t>
      </w:r>
      <w:r w:rsidRPr="00C84023">
        <w:rPr>
          <w:rFonts w:cstheme="minorHAnsi"/>
          <w:color w:val="231F20"/>
          <w:w w:val="105"/>
        </w:rPr>
        <w:t>(FICAPS) which is</w:t>
      </w:r>
      <w:r w:rsidRPr="00C84023">
        <w:rPr>
          <w:rFonts w:cstheme="minorHAnsi"/>
          <w:color w:val="231F20"/>
          <w:spacing w:val="28"/>
          <w:w w:val="105"/>
        </w:rPr>
        <w:t xml:space="preserve"> </w:t>
      </w:r>
      <w:r w:rsidRPr="00C84023">
        <w:rPr>
          <w:rFonts w:cstheme="minorHAnsi"/>
          <w:color w:val="231F20"/>
          <w:w w:val="105"/>
        </w:rPr>
        <w:t>based</w:t>
      </w:r>
      <w:r w:rsidRPr="00C84023">
        <w:rPr>
          <w:rFonts w:cstheme="minorHAnsi"/>
          <w:color w:val="231F20"/>
          <w:spacing w:val="28"/>
          <w:w w:val="105"/>
        </w:rPr>
        <w:t xml:space="preserve"> </w:t>
      </w:r>
      <w:r w:rsidRPr="00C84023">
        <w:rPr>
          <w:rFonts w:cstheme="minorHAnsi"/>
          <w:color w:val="231F20"/>
          <w:w w:val="105"/>
        </w:rPr>
        <w:t>on</w:t>
      </w:r>
      <w:r w:rsidRPr="00C84023">
        <w:rPr>
          <w:rFonts w:cstheme="minorHAnsi"/>
          <w:color w:val="231F20"/>
          <w:w w:val="106"/>
        </w:rPr>
        <w:t xml:space="preserve"> </w:t>
      </w:r>
      <w:r w:rsidRPr="00C84023">
        <w:rPr>
          <w:rFonts w:cstheme="minorHAnsi"/>
          <w:color w:val="231F20"/>
          <w:w w:val="105"/>
        </w:rPr>
        <w:t>the</w:t>
      </w:r>
      <w:r w:rsidRPr="00C84023">
        <w:rPr>
          <w:rFonts w:cstheme="minorHAnsi"/>
          <w:color w:val="231F20"/>
          <w:spacing w:val="12"/>
          <w:w w:val="105"/>
        </w:rPr>
        <w:t xml:space="preserve"> </w:t>
      </w:r>
      <w:r w:rsidRPr="00C84023">
        <w:rPr>
          <w:rFonts w:cstheme="minorHAnsi"/>
          <w:color w:val="231F20"/>
          <w:w w:val="105"/>
        </w:rPr>
        <w:t>Integrated</w:t>
      </w:r>
      <w:r w:rsidRPr="00C84023">
        <w:rPr>
          <w:rFonts w:cstheme="minorHAnsi"/>
          <w:color w:val="231F20"/>
          <w:spacing w:val="12"/>
          <w:w w:val="105"/>
        </w:rPr>
        <w:t xml:space="preserve"> </w:t>
      </w:r>
      <w:r w:rsidRPr="00C84023">
        <w:rPr>
          <w:rFonts w:cstheme="minorHAnsi"/>
          <w:color w:val="231F20"/>
          <w:w w:val="105"/>
        </w:rPr>
        <w:t>Basic</w:t>
      </w:r>
      <w:r w:rsidRPr="00C84023">
        <w:rPr>
          <w:rFonts w:cstheme="minorHAnsi"/>
          <w:color w:val="231F20"/>
          <w:spacing w:val="12"/>
          <w:w w:val="105"/>
        </w:rPr>
        <w:t xml:space="preserve"> </w:t>
      </w:r>
      <w:r w:rsidRPr="00C84023">
        <w:rPr>
          <w:rFonts w:cstheme="minorHAnsi"/>
          <w:color w:val="231F20"/>
          <w:w w:val="105"/>
        </w:rPr>
        <w:t>Education</w:t>
      </w:r>
      <w:r w:rsidRPr="00C84023">
        <w:rPr>
          <w:rFonts w:cstheme="minorHAnsi"/>
          <w:color w:val="231F20"/>
          <w:spacing w:val="12"/>
          <w:w w:val="105"/>
        </w:rPr>
        <w:t xml:space="preserve"> </w:t>
      </w:r>
      <w:r w:rsidRPr="00C84023">
        <w:rPr>
          <w:rFonts w:cstheme="minorHAnsi"/>
          <w:color w:val="231F20"/>
          <w:w w:val="105"/>
        </w:rPr>
        <w:t>and</w:t>
      </w:r>
      <w:r w:rsidRPr="00C84023">
        <w:rPr>
          <w:rFonts w:cstheme="minorHAnsi"/>
          <w:color w:val="231F20"/>
          <w:spacing w:val="12"/>
          <w:w w:val="105"/>
        </w:rPr>
        <w:t xml:space="preserve"> </w:t>
      </w:r>
      <w:r w:rsidRPr="00C84023">
        <w:rPr>
          <w:rFonts w:cstheme="minorHAnsi"/>
          <w:color w:val="231F20"/>
          <w:w w:val="105"/>
        </w:rPr>
        <w:t>Skills</w:t>
      </w:r>
      <w:r w:rsidRPr="00C84023">
        <w:rPr>
          <w:rFonts w:cstheme="minorHAnsi"/>
          <w:color w:val="231F20"/>
          <w:spacing w:val="12"/>
          <w:w w:val="105"/>
        </w:rPr>
        <w:t xml:space="preserve"> </w:t>
      </w:r>
      <w:r w:rsidRPr="00C84023">
        <w:rPr>
          <w:rFonts w:cstheme="minorHAnsi"/>
          <w:color w:val="231F20"/>
          <w:spacing w:val="-3"/>
          <w:w w:val="105"/>
        </w:rPr>
        <w:t>Training</w:t>
      </w:r>
      <w:r w:rsidRPr="00C84023">
        <w:rPr>
          <w:rFonts w:cstheme="minorHAnsi"/>
          <w:color w:val="231F20"/>
          <w:spacing w:val="12"/>
          <w:w w:val="105"/>
        </w:rPr>
        <w:t xml:space="preserve"> </w:t>
      </w:r>
      <w:r w:rsidRPr="00C84023">
        <w:rPr>
          <w:rFonts w:cstheme="minorHAnsi"/>
          <w:color w:val="231F20"/>
          <w:w w:val="105"/>
        </w:rPr>
        <w:t>(I-BEST)</w:t>
      </w:r>
      <w:r w:rsidRPr="00C84023">
        <w:rPr>
          <w:rFonts w:cstheme="minorHAnsi"/>
          <w:color w:val="231F20"/>
          <w:spacing w:val="12"/>
          <w:w w:val="105"/>
        </w:rPr>
        <w:t xml:space="preserve"> </w:t>
      </w:r>
      <w:r w:rsidRPr="00C84023">
        <w:rPr>
          <w:rFonts w:cstheme="minorHAnsi"/>
          <w:color w:val="231F20"/>
          <w:w w:val="105"/>
        </w:rPr>
        <w:t>model</w:t>
      </w:r>
      <w:r w:rsidRPr="00C84023">
        <w:rPr>
          <w:rFonts w:cstheme="minorHAnsi"/>
          <w:color w:val="231F20"/>
          <w:spacing w:val="12"/>
          <w:w w:val="105"/>
        </w:rPr>
        <w:t xml:space="preserve"> </w:t>
      </w:r>
      <w:r w:rsidRPr="00C84023">
        <w:rPr>
          <w:rFonts w:cstheme="minorHAnsi"/>
          <w:color w:val="231F20"/>
          <w:w w:val="105"/>
        </w:rPr>
        <w:t>from</w:t>
      </w:r>
      <w:r w:rsidRPr="00C84023">
        <w:rPr>
          <w:rFonts w:cstheme="minorHAnsi"/>
          <w:color w:val="231F20"/>
          <w:spacing w:val="12"/>
          <w:w w:val="105"/>
        </w:rPr>
        <w:t xml:space="preserve"> </w:t>
      </w:r>
      <w:r w:rsidRPr="00C84023">
        <w:rPr>
          <w:rFonts w:cstheme="minorHAnsi"/>
          <w:color w:val="231F20"/>
          <w:w w:val="105"/>
        </w:rPr>
        <w:t>the</w:t>
      </w:r>
      <w:r w:rsidRPr="00C84023">
        <w:rPr>
          <w:rFonts w:cstheme="minorHAnsi"/>
          <w:color w:val="231F20"/>
          <w:spacing w:val="12"/>
          <w:w w:val="105"/>
        </w:rPr>
        <w:t xml:space="preserve"> </w:t>
      </w:r>
      <w:r w:rsidRPr="00C84023">
        <w:rPr>
          <w:rFonts w:cstheme="minorHAnsi"/>
          <w:color w:val="231F20"/>
          <w:w w:val="105"/>
        </w:rPr>
        <w:t>state</w:t>
      </w:r>
      <w:r w:rsidRPr="00C84023">
        <w:rPr>
          <w:rFonts w:cstheme="minorHAnsi"/>
          <w:color w:val="231F20"/>
          <w:spacing w:val="12"/>
          <w:w w:val="105"/>
        </w:rPr>
        <w:t xml:space="preserve"> </w:t>
      </w:r>
      <w:r w:rsidRPr="00C84023">
        <w:rPr>
          <w:rFonts w:cstheme="minorHAnsi"/>
          <w:color w:val="231F20"/>
          <w:w w:val="105"/>
        </w:rPr>
        <w:t>of</w:t>
      </w:r>
      <w:r w:rsidRPr="00C84023">
        <w:rPr>
          <w:rFonts w:cstheme="minorHAnsi"/>
          <w:color w:val="231F20"/>
          <w:spacing w:val="12"/>
          <w:w w:val="105"/>
        </w:rPr>
        <w:t xml:space="preserve"> </w:t>
      </w:r>
      <w:r w:rsidRPr="00C84023">
        <w:rPr>
          <w:rFonts w:cstheme="minorHAnsi"/>
          <w:color w:val="231F20"/>
          <w:w w:val="105"/>
        </w:rPr>
        <w:t>Washington.</w:t>
      </w:r>
      <w:r w:rsidRPr="00C84023">
        <w:rPr>
          <w:rFonts w:cstheme="minorHAnsi"/>
          <w:color w:val="231F20"/>
          <w:spacing w:val="12"/>
          <w:w w:val="105"/>
        </w:rPr>
        <w:t xml:space="preserve"> </w:t>
      </w:r>
      <w:r w:rsidRPr="00C84023">
        <w:rPr>
          <w:rFonts w:cstheme="minorHAnsi"/>
          <w:color w:val="231F20"/>
          <w:w w:val="105"/>
        </w:rPr>
        <w:t>The</w:t>
      </w:r>
      <w:r w:rsidRPr="00C84023">
        <w:rPr>
          <w:rFonts w:cstheme="minorHAnsi"/>
          <w:color w:val="231F20"/>
          <w:spacing w:val="12"/>
          <w:w w:val="105"/>
        </w:rPr>
        <w:t xml:space="preserve"> </w:t>
      </w:r>
      <w:r w:rsidRPr="00C84023">
        <w:rPr>
          <w:rFonts w:cstheme="minorHAnsi"/>
          <w:color w:val="231F20"/>
          <w:w w:val="105"/>
        </w:rPr>
        <w:t>initial</w:t>
      </w:r>
      <w:r w:rsidRPr="00C84023">
        <w:rPr>
          <w:rFonts w:cstheme="minorHAnsi"/>
          <w:color w:val="231F20"/>
          <w:spacing w:val="-44"/>
          <w:w w:val="105"/>
        </w:rPr>
        <w:t xml:space="preserve"> </w:t>
      </w:r>
      <w:r w:rsidRPr="00C84023">
        <w:rPr>
          <w:rFonts w:cstheme="minorHAnsi"/>
          <w:color w:val="231F20"/>
          <w:w w:val="105"/>
        </w:rPr>
        <w:t>pilot</w:t>
      </w:r>
      <w:r w:rsidRPr="00C84023">
        <w:rPr>
          <w:rFonts w:cstheme="minorHAnsi"/>
          <w:color w:val="231F20"/>
          <w:spacing w:val="9"/>
          <w:w w:val="105"/>
        </w:rPr>
        <w:t xml:space="preserve"> </w:t>
      </w:r>
      <w:r w:rsidRPr="00C84023">
        <w:rPr>
          <w:rFonts w:cstheme="minorHAnsi"/>
          <w:color w:val="231F20"/>
          <w:w w:val="105"/>
        </w:rPr>
        <w:t>year</w:t>
      </w:r>
      <w:r w:rsidRPr="00C84023">
        <w:rPr>
          <w:rFonts w:cstheme="minorHAnsi"/>
          <w:color w:val="231F20"/>
          <w:spacing w:val="9"/>
          <w:w w:val="105"/>
        </w:rPr>
        <w:t xml:space="preserve"> </w:t>
      </w:r>
      <w:r w:rsidRPr="00C84023">
        <w:rPr>
          <w:rFonts w:cstheme="minorHAnsi"/>
          <w:color w:val="231F20"/>
          <w:w w:val="105"/>
        </w:rPr>
        <w:t>included eight</w:t>
      </w:r>
      <w:r w:rsidRPr="00C84023">
        <w:rPr>
          <w:rFonts w:cstheme="minorHAnsi"/>
          <w:color w:val="231F20"/>
          <w:spacing w:val="9"/>
          <w:w w:val="105"/>
        </w:rPr>
        <w:t xml:space="preserve"> </w:t>
      </w:r>
      <w:r w:rsidRPr="00C84023">
        <w:rPr>
          <w:rFonts w:cstheme="minorHAnsi"/>
          <w:color w:val="231F20"/>
          <w:w w:val="105"/>
        </w:rPr>
        <w:t>programs</w:t>
      </w:r>
      <w:r w:rsidRPr="00C84023">
        <w:rPr>
          <w:rFonts w:cstheme="minorHAnsi"/>
          <w:color w:val="231F20"/>
          <w:spacing w:val="9"/>
          <w:w w:val="105"/>
        </w:rPr>
        <w:t xml:space="preserve"> </w:t>
      </w:r>
      <w:r w:rsidRPr="00C84023">
        <w:rPr>
          <w:rFonts w:cstheme="minorHAnsi"/>
          <w:color w:val="231F20"/>
          <w:w w:val="105"/>
        </w:rPr>
        <w:t>with</w:t>
      </w:r>
      <w:r w:rsidRPr="00C84023">
        <w:rPr>
          <w:rFonts w:cstheme="minorHAnsi"/>
          <w:color w:val="231F20"/>
          <w:spacing w:val="9"/>
          <w:w w:val="105"/>
        </w:rPr>
        <w:t xml:space="preserve"> </w:t>
      </w:r>
      <w:r w:rsidRPr="00C84023">
        <w:rPr>
          <w:rFonts w:cstheme="minorHAnsi"/>
          <w:color w:val="231F20"/>
          <w:w w:val="105"/>
        </w:rPr>
        <w:t>a</w:t>
      </w:r>
      <w:r w:rsidRPr="00C84023">
        <w:rPr>
          <w:rFonts w:cstheme="minorHAnsi"/>
          <w:color w:val="231F20"/>
          <w:spacing w:val="9"/>
          <w:w w:val="105"/>
        </w:rPr>
        <w:t xml:space="preserve"> </w:t>
      </w:r>
      <w:r w:rsidRPr="00C84023">
        <w:rPr>
          <w:rFonts w:cstheme="minorHAnsi"/>
          <w:color w:val="231F20"/>
          <w:w w:val="105"/>
        </w:rPr>
        <w:t>cohort</w:t>
      </w:r>
      <w:r w:rsidRPr="00C84023">
        <w:rPr>
          <w:rFonts w:cstheme="minorHAnsi"/>
          <w:color w:val="231F20"/>
          <w:spacing w:val="9"/>
          <w:w w:val="105"/>
        </w:rPr>
        <w:t xml:space="preserve"> </w:t>
      </w:r>
      <w:r w:rsidRPr="00C84023">
        <w:rPr>
          <w:rFonts w:cstheme="minorHAnsi"/>
          <w:color w:val="231F20"/>
          <w:w w:val="105"/>
        </w:rPr>
        <w:t>of</w:t>
      </w:r>
      <w:r w:rsidRPr="00C84023">
        <w:rPr>
          <w:rFonts w:cstheme="minorHAnsi"/>
          <w:color w:val="231F20"/>
          <w:spacing w:val="9"/>
          <w:w w:val="105"/>
        </w:rPr>
        <w:t xml:space="preserve"> </w:t>
      </w:r>
      <w:r w:rsidRPr="00C84023">
        <w:rPr>
          <w:rFonts w:cstheme="minorHAnsi"/>
          <w:color w:val="231F20"/>
          <w:w w:val="105"/>
        </w:rPr>
        <w:t>students</w:t>
      </w:r>
      <w:r w:rsidRPr="00C84023">
        <w:rPr>
          <w:rFonts w:cstheme="minorHAnsi"/>
          <w:color w:val="231F20"/>
          <w:spacing w:val="9"/>
          <w:w w:val="105"/>
        </w:rPr>
        <w:t xml:space="preserve"> </w:t>
      </w:r>
      <w:r w:rsidRPr="00C84023">
        <w:rPr>
          <w:rFonts w:cstheme="minorHAnsi"/>
          <w:color w:val="231F20"/>
          <w:w w:val="105"/>
        </w:rPr>
        <w:t>simultaneously</w:t>
      </w:r>
      <w:r w:rsidRPr="00C84023">
        <w:rPr>
          <w:rFonts w:cstheme="minorHAnsi"/>
          <w:color w:val="231F20"/>
          <w:spacing w:val="9"/>
          <w:w w:val="105"/>
        </w:rPr>
        <w:t xml:space="preserve"> </w:t>
      </w:r>
      <w:r w:rsidRPr="00C84023">
        <w:rPr>
          <w:rFonts w:cstheme="minorHAnsi"/>
          <w:color w:val="231F20"/>
          <w:w w:val="105"/>
        </w:rPr>
        <w:t>enrolled</w:t>
      </w:r>
      <w:r w:rsidRPr="00C84023">
        <w:rPr>
          <w:rFonts w:cstheme="minorHAnsi"/>
          <w:color w:val="231F20"/>
          <w:spacing w:val="9"/>
          <w:w w:val="105"/>
        </w:rPr>
        <w:t xml:space="preserve"> </w:t>
      </w:r>
      <w:r w:rsidRPr="00C84023">
        <w:rPr>
          <w:rFonts w:cstheme="minorHAnsi"/>
          <w:color w:val="231F20"/>
          <w:w w:val="105"/>
        </w:rPr>
        <w:t>in</w:t>
      </w:r>
      <w:r w:rsidRPr="00C84023">
        <w:rPr>
          <w:rFonts w:cstheme="minorHAnsi"/>
          <w:color w:val="231F20"/>
          <w:spacing w:val="9"/>
          <w:w w:val="105"/>
        </w:rPr>
        <w:t xml:space="preserve"> </w:t>
      </w:r>
      <w:r w:rsidRPr="00C84023">
        <w:rPr>
          <w:rFonts w:cstheme="minorHAnsi"/>
          <w:color w:val="231F20"/>
          <w:w w:val="105"/>
        </w:rPr>
        <w:t>the</w:t>
      </w:r>
      <w:r w:rsidRPr="00C84023">
        <w:rPr>
          <w:rFonts w:cstheme="minorHAnsi"/>
          <w:color w:val="231F20"/>
          <w:spacing w:val="9"/>
          <w:w w:val="105"/>
        </w:rPr>
        <w:t xml:space="preserve"> </w:t>
      </w:r>
      <w:r w:rsidRPr="00C84023">
        <w:rPr>
          <w:rFonts w:cstheme="minorHAnsi"/>
          <w:color w:val="231F20"/>
          <w:w w:val="105"/>
        </w:rPr>
        <w:t>GED</w:t>
      </w:r>
      <w:r w:rsidRPr="00C84023">
        <w:rPr>
          <w:rFonts w:cstheme="minorHAnsi"/>
          <w:color w:val="231F20"/>
          <w:w w:val="105"/>
          <w:position w:val="7"/>
          <w:sz w:val="13"/>
          <w:szCs w:val="13"/>
        </w:rPr>
        <w:t>®</w:t>
      </w:r>
      <w:r w:rsidRPr="00C84023">
        <w:rPr>
          <w:rFonts w:cstheme="minorHAnsi"/>
          <w:color w:val="231F20"/>
          <w:spacing w:val="-20"/>
          <w:w w:val="105"/>
          <w:position w:val="7"/>
          <w:sz w:val="13"/>
          <w:szCs w:val="13"/>
        </w:rPr>
        <w:t xml:space="preserve"> </w:t>
      </w:r>
      <w:r w:rsidRPr="00C84023">
        <w:rPr>
          <w:rFonts w:cstheme="minorHAnsi"/>
          <w:color w:val="231F20"/>
          <w:w w:val="105"/>
        </w:rPr>
        <w:t>Preparation</w:t>
      </w:r>
      <w:r w:rsidRPr="00C84023">
        <w:rPr>
          <w:rFonts w:cstheme="minorHAnsi"/>
          <w:color w:val="231F20"/>
          <w:spacing w:val="10"/>
          <w:w w:val="105"/>
        </w:rPr>
        <w:t xml:space="preserve"> </w:t>
      </w:r>
      <w:r w:rsidRPr="00C84023">
        <w:rPr>
          <w:rFonts w:cstheme="minorHAnsi"/>
          <w:color w:val="231F20"/>
          <w:w w:val="105"/>
        </w:rPr>
        <w:t>program</w:t>
      </w:r>
      <w:r w:rsidRPr="00C84023">
        <w:rPr>
          <w:rFonts w:cstheme="minorHAnsi"/>
          <w:color w:val="231F20"/>
          <w:spacing w:val="10"/>
          <w:w w:val="105"/>
        </w:rPr>
        <w:t xml:space="preserve"> </w:t>
      </w:r>
      <w:r w:rsidRPr="00C84023">
        <w:rPr>
          <w:rFonts w:cstheme="minorHAnsi"/>
          <w:color w:val="231F20"/>
          <w:w w:val="105"/>
        </w:rPr>
        <w:t>(GED</w:t>
      </w:r>
      <w:r w:rsidRPr="00C84023">
        <w:rPr>
          <w:rFonts w:cstheme="minorHAnsi"/>
          <w:color w:val="231F20"/>
          <w:w w:val="105"/>
          <w:position w:val="7"/>
          <w:sz w:val="13"/>
          <w:szCs w:val="13"/>
        </w:rPr>
        <w:t>®</w:t>
      </w:r>
      <w:r w:rsidRPr="00C84023">
        <w:rPr>
          <w:rFonts w:cstheme="minorHAnsi"/>
          <w:color w:val="231F20"/>
          <w:w w:val="105"/>
        </w:rPr>
        <w:t>-i</w:t>
      </w:r>
      <w:r w:rsidRPr="00C84023">
        <w:rPr>
          <w:rFonts w:cstheme="minorHAnsi"/>
          <w:color w:val="231F20"/>
          <w:spacing w:val="10"/>
          <w:w w:val="105"/>
        </w:rPr>
        <w:t xml:space="preserve"> </w:t>
      </w:r>
      <w:r w:rsidRPr="00C84023">
        <w:rPr>
          <w:rFonts w:cstheme="minorHAnsi"/>
          <w:color w:val="231F20"/>
          <w:w w:val="105"/>
        </w:rPr>
        <w:t>course)</w:t>
      </w:r>
      <w:r w:rsidRPr="00C84023">
        <w:rPr>
          <w:rFonts w:cstheme="minorHAnsi"/>
          <w:color w:val="231F20"/>
          <w:spacing w:val="10"/>
          <w:w w:val="105"/>
        </w:rPr>
        <w:t xml:space="preserve"> </w:t>
      </w:r>
      <w:r w:rsidRPr="00C84023">
        <w:rPr>
          <w:rFonts w:cstheme="minorHAnsi"/>
          <w:color w:val="231F20"/>
          <w:w w:val="105"/>
        </w:rPr>
        <w:t>and</w:t>
      </w:r>
      <w:r w:rsidRPr="00C84023">
        <w:rPr>
          <w:rFonts w:cstheme="minorHAnsi"/>
          <w:color w:val="231F20"/>
          <w:spacing w:val="10"/>
          <w:w w:val="105"/>
        </w:rPr>
        <w:t xml:space="preserve"> </w:t>
      </w:r>
      <w:r w:rsidRPr="00C84023">
        <w:rPr>
          <w:rFonts w:cstheme="minorHAnsi"/>
          <w:color w:val="231F20"/>
          <w:w w:val="105"/>
        </w:rPr>
        <w:t>a</w:t>
      </w:r>
      <w:r w:rsidRPr="00C84023">
        <w:rPr>
          <w:rFonts w:cstheme="minorHAnsi"/>
          <w:color w:val="231F20"/>
          <w:spacing w:val="10"/>
          <w:w w:val="105"/>
        </w:rPr>
        <w:t xml:space="preserve"> </w:t>
      </w:r>
      <w:r w:rsidRPr="00C84023">
        <w:rPr>
          <w:rFonts w:cstheme="minorHAnsi"/>
          <w:color w:val="231F20"/>
          <w:w w:val="105"/>
        </w:rPr>
        <w:t>career</w:t>
      </w:r>
      <w:r w:rsidRPr="00C84023">
        <w:rPr>
          <w:rFonts w:cstheme="minorHAnsi"/>
          <w:color w:val="231F20"/>
          <w:spacing w:val="10"/>
          <w:w w:val="105"/>
        </w:rPr>
        <w:t xml:space="preserve"> </w:t>
      </w:r>
      <w:r w:rsidRPr="00C84023">
        <w:rPr>
          <w:rFonts w:cstheme="minorHAnsi"/>
          <w:color w:val="231F20"/>
          <w:w w:val="105"/>
        </w:rPr>
        <w:t>and</w:t>
      </w:r>
      <w:r w:rsidRPr="00C84023">
        <w:rPr>
          <w:rFonts w:cstheme="minorHAnsi"/>
          <w:color w:val="231F20"/>
          <w:spacing w:val="10"/>
          <w:w w:val="105"/>
        </w:rPr>
        <w:t xml:space="preserve"> </w:t>
      </w:r>
      <w:r w:rsidRPr="00C84023">
        <w:rPr>
          <w:rFonts w:cstheme="minorHAnsi"/>
          <w:color w:val="231F20"/>
          <w:w w:val="105"/>
        </w:rPr>
        <w:t>technical</w:t>
      </w:r>
      <w:r w:rsidRPr="00C84023">
        <w:rPr>
          <w:rFonts w:cstheme="minorHAnsi"/>
          <w:color w:val="231F20"/>
          <w:spacing w:val="10"/>
          <w:w w:val="105"/>
        </w:rPr>
        <w:t xml:space="preserve"> </w:t>
      </w:r>
      <w:r w:rsidRPr="00C84023">
        <w:rPr>
          <w:rFonts w:cstheme="minorHAnsi"/>
          <w:color w:val="231F20"/>
          <w:w w:val="105"/>
        </w:rPr>
        <w:t>certificate</w:t>
      </w:r>
      <w:r w:rsidRPr="00C84023">
        <w:rPr>
          <w:rFonts w:cstheme="minorHAnsi"/>
          <w:color w:val="231F20"/>
          <w:spacing w:val="10"/>
          <w:w w:val="105"/>
        </w:rPr>
        <w:t xml:space="preserve"> </w:t>
      </w:r>
      <w:r w:rsidRPr="00C84023">
        <w:rPr>
          <w:rFonts w:cstheme="minorHAnsi"/>
          <w:color w:val="231F20"/>
          <w:w w:val="105"/>
        </w:rPr>
        <w:t>program.</w:t>
      </w:r>
      <w:r w:rsidRPr="00C84023">
        <w:rPr>
          <w:rFonts w:cstheme="minorHAnsi"/>
          <w:color w:val="231F20"/>
          <w:spacing w:val="10"/>
          <w:w w:val="105"/>
        </w:rPr>
        <w:t xml:space="preserve"> </w:t>
      </w:r>
      <w:r w:rsidRPr="00C84023">
        <w:rPr>
          <w:rFonts w:cstheme="minorHAnsi"/>
          <w:color w:val="231F20"/>
          <w:w w:val="105"/>
        </w:rPr>
        <w:t>Students</w:t>
      </w:r>
      <w:r w:rsidRPr="00C84023">
        <w:rPr>
          <w:rFonts w:cstheme="minorHAnsi"/>
          <w:color w:val="231F20"/>
          <w:spacing w:val="10"/>
          <w:w w:val="105"/>
        </w:rPr>
        <w:t xml:space="preserve"> </w:t>
      </w:r>
      <w:r w:rsidRPr="00C84023">
        <w:rPr>
          <w:rFonts w:cstheme="minorHAnsi"/>
          <w:color w:val="231F20"/>
          <w:w w:val="105"/>
        </w:rPr>
        <w:t>learned about</w:t>
      </w:r>
      <w:r w:rsidRPr="00C84023">
        <w:rPr>
          <w:rFonts w:cstheme="minorHAnsi"/>
          <w:color w:val="231F20"/>
          <w:spacing w:val="12"/>
          <w:w w:val="105"/>
        </w:rPr>
        <w:t xml:space="preserve"> </w:t>
      </w:r>
      <w:r w:rsidRPr="00C84023">
        <w:rPr>
          <w:rFonts w:cstheme="minorHAnsi"/>
          <w:color w:val="231F20"/>
          <w:w w:val="105"/>
        </w:rPr>
        <w:t>career</w:t>
      </w:r>
      <w:r w:rsidRPr="00C84023">
        <w:rPr>
          <w:rFonts w:cstheme="minorHAnsi"/>
          <w:color w:val="231F20"/>
          <w:spacing w:val="12"/>
          <w:w w:val="105"/>
        </w:rPr>
        <w:t xml:space="preserve"> </w:t>
      </w:r>
      <w:r w:rsidRPr="00C84023">
        <w:rPr>
          <w:rFonts w:cstheme="minorHAnsi"/>
          <w:color w:val="231F20"/>
          <w:w w:val="105"/>
        </w:rPr>
        <w:t>ladders</w:t>
      </w:r>
      <w:r w:rsidRPr="00C84023">
        <w:rPr>
          <w:rFonts w:cstheme="minorHAnsi"/>
          <w:color w:val="231F20"/>
          <w:spacing w:val="12"/>
          <w:w w:val="105"/>
        </w:rPr>
        <w:t xml:space="preserve"> </w:t>
      </w:r>
      <w:r w:rsidRPr="00C84023">
        <w:rPr>
          <w:rFonts w:cstheme="minorHAnsi"/>
          <w:color w:val="231F20"/>
          <w:w w:val="105"/>
        </w:rPr>
        <w:t>and</w:t>
      </w:r>
      <w:r w:rsidRPr="00C84023">
        <w:rPr>
          <w:rFonts w:cstheme="minorHAnsi"/>
          <w:color w:val="231F20"/>
          <w:spacing w:val="12"/>
          <w:w w:val="105"/>
        </w:rPr>
        <w:t xml:space="preserve"> </w:t>
      </w:r>
      <w:r w:rsidRPr="00C84023">
        <w:rPr>
          <w:rFonts w:cstheme="minorHAnsi"/>
          <w:color w:val="231F20"/>
          <w:w w:val="105"/>
        </w:rPr>
        <w:t>earning stackable</w:t>
      </w:r>
      <w:r w:rsidRPr="00C84023">
        <w:rPr>
          <w:rFonts w:cstheme="minorHAnsi"/>
          <w:color w:val="231F20"/>
          <w:spacing w:val="12"/>
          <w:w w:val="105"/>
        </w:rPr>
        <w:t xml:space="preserve"> </w:t>
      </w:r>
      <w:r w:rsidRPr="00C84023">
        <w:rPr>
          <w:rFonts w:cstheme="minorHAnsi"/>
          <w:color w:val="231F20"/>
          <w:w w:val="105"/>
        </w:rPr>
        <w:t>credentials.</w:t>
      </w:r>
      <w:r w:rsidRPr="00C84023">
        <w:rPr>
          <w:rFonts w:cstheme="minorHAnsi"/>
          <w:color w:val="231F20"/>
          <w:spacing w:val="24"/>
          <w:w w:val="105"/>
        </w:rPr>
        <w:t xml:space="preserve"> </w:t>
      </w:r>
      <w:r w:rsidRPr="00C84023">
        <w:rPr>
          <w:rFonts w:cstheme="minorHAnsi"/>
          <w:color w:val="231F20"/>
          <w:w w:val="105"/>
        </w:rPr>
        <w:t>This</w:t>
      </w:r>
      <w:r w:rsidRPr="00C84023">
        <w:rPr>
          <w:rFonts w:cstheme="minorHAnsi"/>
          <w:color w:val="231F20"/>
          <w:spacing w:val="12"/>
          <w:w w:val="105"/>
        </w:rPr>
        <w:t xml:space="preserve"> </w:t>
      </w:r>
      <w:r w:rsidRPr="00C84023">
        <w:rPr>
          <w:rFonts w:cstheme="minorHAnsi"/>
          <w:color w:val="231F20"/>
          <w:w w:val="105"/>
        </w:rPr>
        <w:t>provides</w:t>
      </w:r>
      <w:r w:rsidRPr="00C84023">
        <w:rPr>
          <w:rFonts w:cstheme="minorHAnsi"/>
          <w:color w:val="231F20"/>
          <w:spacing w:val="12"/>
          <w:w w:val="105"/>
        </w:rPr>
        <w:t xml:space="preserve"> </w:t>
      </w:r>
      <w:r w:rsidRPr="00C84023">
        <w:rPr>
          <w:rFonts w:cstheme="minorHAnsi"/>
          <w:color w:val="231F20"/>
          <w:w w:val="105"/>
        </w:rPr>
        <w:t>options</w:t>
      </w:r>
      <w:r w:rsidRPr="00C84023">
        <w:rPr>
          <w:rFonts w:cstheme="minorHAnsi"/>
          <w:color w:val="231F20"/>
          <w:spacing w:val="12"/>
          <w:w w:val="105"/>
        </w:rPr>
        <w:t xml:space="preserve"> </w:t>
      </w:r>
      <w:r w:rsidRPr="00C84023">
        <w:rPr>
          <w:rFonts w:cstheme="minorHAnsi"/>
          <w:color w:val="231F20"/>
          <w:w w:val="105"/>
        </w:rPr>
        <w:t>for</w:t>
      </w:r>
      <w:r w:rsidRPr="00C84023">
        <w:rPr>
          <w:rFonts w:cstheme="minorHAnsi"/>
          <w:color w:val="231F20"/>
          <w:spacing w:val="12"/>
          <w:w w:val="105"/>
        </w:rPr>
        <w:t xml:space="preserve"> </w:t>
      </w:r>
      <w:r w:rsidRPr="00C84023">
        <w:rPr>
          <w:rFonts w:cstheme="minorHAnsi"/>
          <w:color w:val="231F20"/>
          <w:w w:val="105"/>
        </w:rPr>
        <w:t>accelerated</w:t>
      </w:r>
      <w:r w:rsidRPr="00C84023">
        <w:rPr>
          <w:rFonts w:cstheme="minorHAnsi"/>
          <w:color w:val="231F20"/>
          <w:spacing w:val="2"/>
          <w:w w:val="105"/>
        </w:rPr>
        <w:t xml:space="preserve"> </w:t>
      </w:r>
      <w:r w:rsidRPr="00C84023">
        <w:rPr>
          <w:rFonts w:cstheme="minorHAnsi"/>
          <w:color w:val="231F20"/>
          <w:w w:val="105"/>
        </w:rPr>
        <w:t>learning</w:t>
      </w:r>
      <w:r w:rsidRPr="00C84023">
        <w:rPr>
          <w:rFonts w:cstheme="minorHAnsi"/>
          <w:color w:val="231F20"/>
          <w:spacing w:val="14"/>
          <w:w w:val="105"/>
        </w:rPr>
        <w:t xml:space="preserve"> </w:t>
      </w:r>
      <w:r w:rsidRPr="00C84023">
        <w:rPr>
          <w:rFonts w:cstheme="minorHAnsi"/>
          <w:color w:val="231F20"/>
          <w:w w:val="105"/>
        </w:rPr>
        <w:t>to adults</w:t>
      </w:r>
      <w:r w:rsidRPr="00C84023">
        <w:rPr>
          <w:rFonts w:cstheme="minorHAnsi"/>
          <w:color w:val="231F20"/>
          <w:spacing w:val="14"/>
          <w:w w:val="105"/>
        </w:rPr>
        <w:t xml:space="preserve"> </w:t>
      </w:r>
      <w:r w:rsidRPr="00C84023">
        <w:rPr>
          <w:rFonts w:cstheme="minorHAnsi"/>
          <w:color w:val="231F20"/>
          <w:w w:val="105"/>
        </w:rPr>
        <w:t>motivated</w:t>
      </w:r>
      <w:r w:rsidRPr="00C84023">
        <w:rPr>
          <w:rFonts w:cstheme="minorHAnsi"/>
          <w:color w:val="231F20"/>
          <w:spacing w:val="14"/>
          <w:w w:val="105"/>
        </w:rPr>
        <w:t xml:space="preserve"> </w:t>
      </w:r>
      <w:r w:rsidRPr="00C84023">
        <w:rPr>
          <w:rFonts w:cstheme="minorHAnsi"/>
          <w:color w:val="231F20"/>
          <w:w w:val="105"/>
        </w:rPr>
        <w:t>to</w:t>
      </w:r>
      <w:r w:rsidRPr="00C84023">
        <w:rPr>
          <w:rFonts w:cstheme="minorHAnsi"/>
          <w:color w:val="231F20"/>
          <w:spacing w:val="14"/>
          <w:w w:val="105"/>
        </w:rPr>
        <w:t xml:space="preserve"> </w:t>
      </w:r>
      <w:r w:rsidRPr="00C84023">
        <w:rPr>
          <w:rFonts w:cstheme="minorHAnsi"/>
          <w:color w:val="231F20"/>
          <w:w w:val="105"/>
        </w:rPr>
        <w:t>move</w:t>
      </w:r>
      <w:r w:rsidRPr="00C84023">
        <w:rPr>
          <w:rFonts w:cstheme="minorHAnsi"/>
          <w:color w:val="231F20"/>
          <w:spacing w:val="14"/>
          <w:w w:val="105"/>
        </w:rPr>
        <w:t xml:space="preserve"> </w:t>
      </w:r>
      <w:r w:rsidRPr="00C84023">
        <w:rPr>
          <w:rFonts w:cstheme="minorHAnsi"/>
          <w:color w:val="231F20"/>
          <w:w w:val="105"/>
        </w:rPr>
        <w:t>ahead</w:t>
      </w:r>
      <w:r w:rsidRPr="00C84023">
        <w:rPr>
          <w:rFonts w:cstheme="minorHAnsi"/>
          <w:color w:val="231F20"/>
          <w:spacing w:val="14"/>
          <w:w w:val="105"/>
        </w:rPr>
        <w:t xml:space="preserve"> </w:t>
      </w:r>
      <w:r w:rsidRPr="00C84023">
        <w:rPr>
          <w:rFonts w:cstheme="minorHAnsi"/>
          <w:color w:val="231F20"/>
          <w:w w:val="105"/>
        </w:rPr>
        <w:t>quickly.</w:t>
      </w:r>
      <w:r w:rsidRPr="00C84023">
        <w:rPr>
          <w:rFonts w:cstheme="minorHAnsi"/>
          <w:color w:val="231F20"/>
          <w:spacing w:val="29"/>
          <w:w w:val="105"/>
        </w:rPr>
        <w:t xml:space="preserve"> </w:t>
      </w:r>
      <w:r w:rsidRPr="00C84023">
        <w:rPr>
          <w:rFonts w:cstheme="minorHAnsi"/>
          <w:color w:val="231F20"/>
          <w:w w:val="105"/>
        </w:rPr>
        <w:t>The</w:t>
      </w:r>
      <w:r w:rsidRPr="00C84023">
        <w:rPr>
          <w:rFonts w:cstheme="minorHAnsi"/>
          <w:color w:val="231F20"/>
          <w:spacing w:val="14"/>
          <w:w w:val="105"/>
        </w:rPr>
        <w:t xml:space="preserve"> </w:t>
      </w:r>
      <w:r w:rsidRPr="00C84023">
        <w:rPr>
          <w:rFonts w:cstheme="minorHAnsi"/>
          <w:color w:val="231F20"/>
          <w:w w:val="105"/>
        </w:rPr>
        <w:t>goal</w:t>
      </w:r>
      <w:r w:rsidRPr="00C84023">
        <w:rPr>
          <w:rFonts w:cstheme="minorHAnsi"/>
          <w:color w:val="231F20"/>
          <w:spacing w:val="14"/>
          <w:w w:val="105"/>
        </w:rPr>
        <w:t xml:space="preserve"> </w:t>
      </w:r>
      <w:r w:rsidRPr="00C84023">
        <w:rPr>
          <w:rFonts w:cstheme="minorHAnsi"/>
          <w:color w:val="231F20"/>
          <w:w w:val="105"/>
        </w:rPr>
        <w:t>is</w:t>
      </w:r>
      <w:r w:rsidRPr="00C84023">
        <w:rPr>
          <w:rFonts w:cstheme="minorHAnsi"/>
          <w:color w:val="231F20"/>
          <w:spacing w:val="14"/>
          <w:w w:val="105"/>
        </w:rPr>
        <w:t xml:space="preserve"> </w:t>
      </w:r>
      <w:r w:rsidRPr="00C84023">
        <w:rPr>
          <w:rFonts w:cstheme="minorHAnsi"/>
          <w:color w:val="231F20"/>
          <w:w w:val="105"/>
        </w:rPr>
        <w:t>to</w:t>
      </w:r>
      <w:r w:rsidRPr="00C84023">
        <w:rPr>
          <w:rFonts w:cstheme="minorHAnsi"/>
          <w:color w:val="231F20"/>
          <w:spacing w:val="14"/>
          <w:w w:val="105"/>
        </w:rPr>
        <w:t xml:space="preserve"> </w:t>
      </w:r>
      <w:r w:rsidRPr="00C84023">
        <w:rPr>
          <w:rFonts w:cstheme="minorHAnsi"/>
          <w:color w:val="231F20"/>
          <w:w w:val="105"/>
        </w:rPr>
        <w:t>increase</w:t>
      </w:r>
      <w:r w:rsidRPr="00C84023">
        <w:rPr>
          <w:rFonts w:cstheme="minorHAnsi"/>
          <w:color w:val="231F20"/>
          <w:w w:val="109"/>
        </w:rPr>
        <w:t xml:space="preserve"> </w:t>
      </w:r>
      <w:r w:rsidRPr="00C84023">
        <w:rPr>
          <w:rFonts w:cstheme="minorHAnsi"/>
          <w:color w:val="231F20"/>
          <w:w w:val="105"/>
        </w:rPr>
        <w:t>the</w:t>
      </w:r>
      <w:r w:rsidRPr="00C84023">
        <w:rPr>
          <w:rFonts w:cstheme="minorHAnsi"/>
          <w:color w:val="231F20"/>
          <w:spacing w:val="6"/>
          <w:w w:val="105"/>
        </w:rPr>
        <w:t xml:space="preserve"> </w:t>
      </w:r>
      <w:r w:rsidRPr="00C84023">
        <w:rPr>
          <w:rFonts w:cstheme="minorHAnsi"/>
          <w:color w:val="231F20"/>
          <w:w w:val="105"/>
        </w:rPr>
        <w:t>number</w:t>
      </w:r>
      <w:r w:rsidRPr="00C84023">
        <w:rPr>
          <w:rFonts w:cstheme="minorHAnsi"/>
          <w:color w:val="231F20"/>
          <w:spacing w:val="6"/>
          <w:w w:val="105"/>
        </w:rPr>
        <w:t xml:space="preserve"> </w:t>
      </w:r>
      <w:r w:rsidRPr="00C84023">
        <w:rPr>
          <w:rFonts w:cstheme="minorHAnsi"/>
          <w:color w:val="231F20"/>
          <w:w w:val="105"/>
        </w:rPr>
        <w:t>of</w:t>
      </w:r>
      <w:r w:rsidRPr="00C84023">
        <w:rPr>
          <w:rFonts w:cstheme="minorHAnsi"/>
          <w:color w:val="231F20"/>
          <w:spacing w:val="6"/>
          <w:w w:val="105"/>
        </w:rPr>
        <w:t xml:space="preserve"> </w:t>
      </w:r>
      <w:r w:rsidRPr="00C84023">
        <w:rPr>
          <w:rFonts w:cstheme="minorHAnsi"/>
          <w:color w:val="231F20"/>
          <w:w w:val="105"/>
        </w:rPr>
        <w:t>students</w:t>
      </w:r>
      <w:r w:rsidRPr="00C84023">
        <w:rPr>
          <w:rFonts w:cstheme="minorHAnsi"/>
          <w:color w:val="231F20"/>
          <w:spacing w:val="6"/>
          <w:w w:val="105"/>
        </w:rPr>
        <w:t xml:space="preserve"> </w:t>
      </w:r>
      <w:r w:rsidRPr="00C84023">
        <w:rPr>
          <w:rFonts w:cstheme="minorHAnsi"/>
          <w:color w:val="231F20"/>
          <w:w w:val="105"/>
        </w:rPr>
        <w:t>who earn</w:t>
      </w:r>
      <w:r w:rsidRPr="00C84023">
        <w:rPr>
          <w:rFonts w:cstheme="minorHAnsi"/>
          <w:color w:val="231F20"/>
          <w:spacing w:val="6"/>
          <w:w w:val="105"/>
        </w:rPr>
        <w:t xml:space="preserve"> </w:t>
      </w:r>
      <w:r w:rsidRPr="00C84023">
        <w:rPr>
          <w:rFonts w:cstheme="minorHAnsi"/>
          <w:color w:val="231F20"/>
          <w:w w:val="105"/>
        </w:rPr>
        <w:t>their</w:t>
      </w:r>
      <w:r w:rsidRPr="00C84023">
        <w:rPr>
          <w:rFonts w:cstheme="minorHAnsi"/>
          <w:color w:val="231F20"/>
          <w:spacing w:val="6"/>
          <w:w w:val="105"/>
        </w:rPr>
        <w:t xml:space="preserve"> </w:t>
      </w:r>
      <w:r w:rsidRPr="00C84023">
        <w:rPr>
          <w:rFonts w:cstheme="minorHAnsi"/>
          <w:color w:val="231F20"/>
          <w:w w:val="105"/>
        </w:rPr>
        <w:t>high</w:t>
      </w:r>
      <w:r w:rsidRPr="00C84023">
        <w:rPr>
          <w:rFonts w:cstheme="minorHAnsi"/>
          <w:color w:val="231F20"/>
          <w:spacing w:val="6"/>
          <w:w w:val="105"/>
        </w:rPr>
        <w:t xml:space="preserve"> </w:t>
      </w:r>
      <w:r w:rsidRPr="00C84023">
        <w:rPr>
          <w:rFonts w:cstheme="minorHAnsi"/>
          <w:color w:val="231F20"/>
          <w:w w:val="105"/>
        </w:rPr>
        <w:t>school</w:t>
      </w:r>
      <w:r w:rsidRPr="00C84023">
        <w:rPr>
          <w:rFonts w:cstheme="minorHAnsi"/>
          <w:color w:val="231F20"/>
          <w:spacing w:val="6"/>
          <w:w w:val="105"/>
        </w:rPr>
        <w:t xml:space="preserve"> </w:t>
      </w:r>
      <w:r w:rsidRPr="00C84023">
        <w:rPr>
          <w:rFonts w:cstheme="minorHAnsi"/>
          <w:color w:val="231F20"/>
          <w:w w:val="105"/>
        </w:rPr>
        <w:t>diploma</w:t>
      </w:r>
      <w:r w:rsidRPr="00C84023">
        <w:rPr>
          <w:rFonts w:cstheme="minorHAnsi"/>
          <w:color w:val="231F20"/>
          <w:spacing w:val="6"/>
          <w:w w:val="105"/>
        </w:rPr>
        <w:t xml:space="preserve"> </w:t>
      </w:r>
      <w:r w:rsidRPr="00C84023">
        <w:rPr>
          <w:rFonts w:cstheme="minorHAnsi"/>
          <w:color w:val="231F20"/>
          <w:w w:val="105"/>
        </w:rPr>
        <w:t>or</w:t>
      </w:r>
      <w:r w:rsidRPr="00C84023">
        <w:rPr>
          <w:rFonts w:cstheme="minorHAnsi"/>
          <w:color w:val="231F20"/>
          <w:spacing w:val="6"/>
          <w:w w:val="105"/>
        </w:rPr>
        <w:t xml:space="preserve"> </w:t>
      </w:r>
      <w:r w:rsidRPr="00C84023">
        <w:rPr>
          <w:rFonts w:cstheme="minorHAnsi"/>
          <w:color w:val="231F20"/>
          <w:w w:val="105"/>
        </w:rPr>
        <w:t>equivalent</w:t>
      </w:r>
      <w:r w:rsidRPr="00C84023">
        <w:rPr>
          <w:rFonts w:cstheme="minorHAnsi"/>
          <w:color w:val="231F20"/>
          <w:spacing w:val="6"/>
          <w:w w:val="105"/>
        </w:rPr>
        <w:t xml:space="preserve"> </w:t>
      </w:r>
      <w:r w:rsidRPr="00C84023">
        <w:rPr>
          <w:rFonts w:cstheme="minorHAnsi"/>
          <w:color w:val="231F20"/>
          <w:w w:val="105"/>
        </w:rPr>
        <w:t>and</w:t>
      </w:r>
      <w:r w:rsidRPr="00C84023">
        <w:rPr>
          <w:rFonts w:cstheme="minorHAnsi"/>
          <w:color w:val="231F20"/>
          <w:spacing w:val="6"/>
          <w:w w:val="105"/>
        </w:rPr>
        <w:t xml:space="preserve"> </w:t>
      </w:r>
      <w:r w:rsidRPr="00C84023">
        <w:rPr>
          <w:rFonts w:cstheme="minorHAnsi"/>
          <w:color w:val="231F20"/>
          <w:w w:val="105"/>
        </w:rPr>
        <w:t>earn</w:t>
      </w:r>
      <w:r w:rsidRPr="00C84023">
        <w:rPr>
          <w:rFonts w:cstheme="minorHAnsi"/>
          <w:color w:val="231F20"/>
          <w:spacing w:val="6"/>
          <w:w w:val="105"/>
        </w:rPr>
        <w:t xml:space="preserve"> </w:t>
      </w:r>
      <w:r w:rsidRPr="00C84023">
        <w:rPr>
          <w:rFonts w:cstheme="minorHAnsi"/>
          <w:color w:val="231F20"/>
          <w:w w:val="105"/>
        </w:rPr>
        <w:t>entry</w:t>
      </w:r>
      <w:r w:rsidRPr="00C84023">
        <w:rPr>
          <w:rFonts w:cstheme="minorHAnsi"/>
          <w:color w:val="231F20"/>
          <w:spacing w:val="6"/>
          <w:w w:val="105"/>
        </w:rPr>
        <w:t xml:space="preserve"> </w:t>
      </w:r>
      <w:r w:rsidRPr="00C84023">
        <w:rPr>
          <w:rFonts w:cstheme="minorHAnsi"/>
          <w:color w:val="231F20"/>
          <w:w w:val="105"/>
        </w:rPr>
        <w:t>level</w:t>
      </w:r>
      <w:r w:rsidRPr="00C84023">
        <w:rPr>
          <w:rFonts w:cstheme="minorHAnsi"/>
          <w:color w:val="231F20"/>
          <w:spacing w:val="6"/>
          <w:w w:val="105"/>
        </w:rPr>
        <w:t xml:space="preserve"> </w:t>
      </w:r>
      <w:r w:rsidRPr="00C84023">
        <w:rPr>
          <w:rFonts w:cstheme="minorHAnsi"/>
          <w:color w:val="231F20"/>
          <w:w w:val="105"/>
        </w:rPr>
        <w:t>industry</w:t>
      </w:r>
      <w:r w:rsidRPr="00C84023">
        <w:rPr>
          <w:rFonts w:cstheme="minorHAnsi"/>
          <w:color w:val="231F20"/>
          <w:spacing w:val="-38"/>
          <w:w w:val="105"/>
        </w:rPr>
        <w:t xml:space="preserve"> </w:t>
      </w:r>
      <w:r w:rsidRPr="00C84023">
        <w:rPr>
          <w:rFonts w:cstheme="minorHAnsi"/>
          <w:color w:val="231F20"/>
          <w:w w:val="105"/>
        </w:rPr>
        <w:t>recognized certification/credentials. Statewide implementation of the FICAPS occurred in phases as</w:t>
      </w:r>
      <w:r w:rsidRPr="00C84023">
        <w:rPr>
          <w:rFonts w:cstheme="minorHAnsi"/>
          <w:color w:val="231F20"/>
          <w:spacing w:val="50"/>
          <w:w w:val="105"/>
        </w:rPr>
        <w:t xml:space="preserve"> </w:t>
      </w:r>
      <w:r w:rsidRPr="00C84023">
        <w:rPr>
          <w:rFonts w:cstheme="minorHAnsi"/>
          <w:color w:val="231F20"/>
          <w:w w:val="105"/>
        </w:rPr>
        <w:t>additional</w:t>
      </w:r>
      <w:r w:rsidRPr="00C84023">
        <w:rPr>
          <w:rFonts w:cstheme="minorHAnsi"/>
          <w:color w:val="231F20"/>
          <w:spacing w:val="13"/>
          <w:w w:val="105"/>
        </w:rPr>
        <w:t xml:space="preserve"> </w:t>
      </w:r>
      <w:r w:rsidRPr="00C84023">
        <w:rPr>
          <w:rFonts w:cstheme="minorHAnsi"/>
          <w:color w:val="231F20"/>
          <w:w w:val="105"/>
        </w:rPr>
        <w:t>programs</w:t>
      </w:r>
      <w:r w:rsidRPr="00C84023">
        <w:rPr>
          <w:rFonts w:cstheme="minorHAnsi"/>
          <w:color w:val="231F20"/>
          <w:spacing w:val="13"/>
          <w:w w:val="105"/>
        </w:rPr>
        <w:t xml:space="preserve"> </w:t>
      </w:r>
      <w:r w:rsidRPr="00C84023">
        <w:rPr>
          <w:rFonts w:cstheme="minorHAnsi"/>
          <w:color w:val="231F20"/>
          <w:w w:val="105"/>
        </w:rPr>
        <w:t>began</w:t>
      </w:r>
      <w:r w:rsidRPr="00C84023">
        <w:rPr>
          <w:rFonts w:cstheme="minorHAnsi"/>
          <w:color w:val="231F20"/>
          <w:spacing w:val="13"/>
          <w:w w:val="105"/>
        </w:rPr>
        <w:t xml:space="preserve"> </w:t>
      </w:r>
      <w:r w:rsidRPr="00C84023">
        <w:rPr>
          <w:rFonts w:cstheme="minorHAnsi"/>
          <w:color w:val="231F20"/>
          <w:w w:val="105"/>
        </w:rPr>
        <w:t>their planning</w:t>
      </w:r>
      <w:r w:rsidRPr="00C84023">
        <w:rPr>
          <w:rFonts w:cstheme="minorHAnsi"/>
          <w:color w:val="231F20"/>
          <w:spacing w:val="13"/>
          <w:w w:val="105"/>
        </w:rPr>
        <w:t xml:space="preserve"> </w:t>
      </w:r>
      <w:r w:rsidRPr="00C84023">
        <w:rPr>
          <w:rFonts w:cstheme="minorHAnsi"/>
          <w:color w:val="231F20"/>
          <w:w w:val="105"/>
        </w:rPr>
        <w:t>and</w:t>
      </w:r>
      <w:r w:rsidRPr="00C84023">
        <w:rPr>
          <w:rFonts w:cstheme="minorHAnsi"/>
          <w:color w:val="231F20"/>
          <w:spacing w:val="13"/>
          <w:w w:val="105"/>
        </w:rPr>
        <w:t xml:space="preserve"> </w:t>
      </w:r>
      <w:r w:rsidRPr="00C84023">
        <w:rPr>
          <w:rFonts w:cstheme="minorHAnsi"/>
          <w:color w:val="231F20"/>
          <w:w w:val="105"/>
        </w:rPr>
        <w:t>design</w:t>
      </w:r>
      <w:r w:rsidRPr="00C84023">
        <w:rPr>
          <w:rFonts w:cstheme="minorHAnsi"/>
          <w:color w:val="231F20"/>
          <w:spacing w:val="13"/>
          <w:w w:val="105"/>
        </w:rPr>
        <w:t xml:space="preserve"> </w:t>
      </w:r>
      <w:r w:rsidRPr="00C84023">
        <w:rPr>
          <w:rFonts w:cstheme="minorHAnsi"/>
          <w:color w:val="231F20"/>
          <w:w w:val="105"/>
        </w:rPr>
        <w:t>activities.</w:t>
      </w:r>
      <w:r w:rsidRPr="00C84023">
        <w:rPr>
          <w:rFonts w:cstheme="minorHAnsi"/>
          <w:color w:val="231F20"/>
          <w:spacing w:val="13"/>
          <w:w w:val="105"/>
        </w:rPr>
        <w:t xml:space="preserve"> </w:t>
      </w:r>
      <w:r w:rsidRPr="00C84023">
        <w:rPr>
          <w:rFonts w:cstheme="minorHAnsi"/>
          <w:color w:val="231F20"/>
          <w:w w:val="105"/>
        </w:rPr>
        <w:t>Support</w:t>
      </w:r>
      <w:r w:rsidRPr="00C84023">
        <w:rPr>
          <w:rFonts w:cstheme="minorHAnsi"/>
          <w:color w:val="231F20"/>
          <w:spacing w:val="13"/>
          <w:w w:val="105"/>
        </w:rPr>
        <w:t xml:space="preserve"> </w:t>
      </w:r>
      <w:r w:rsidRPr="00C84023">
        <w:rPr>
          <w:rFonts w:cstheme="minorHAnsi"/>
          <w:color w:val="231F20"/>
          <w:w w:val="105"/>
        </w:rPr>
        <w:t>was provided</w:t>
      </w:r>
      <w:r w:rsidRPr="00C84023">
        <w:rPr>
          <w:rFonts w:cstheme="minorHAnsi"/>
          <w:color w:val="231F20"/>
          <w:spacing w:val="13"/>
          <w:w w:val="105"/>
        </w:rPr>
        <w:t xml:space="preserve"> </w:t>
      </w:r>
      <w:r w:rsidR="00691C52" w:rsidRPr="00C84023">
        <w:rPr>
          <w:rFonts w:cstheme="minorHAnsi"/>
          <w:color w:val="231F20"/>
          <w:spacing w:val="13"/>
          <w:w w:val="105"/>
        </w:rPr>
        <w:t>during</w:t>
      </w:r>
      <w:r w:rsidRPr="00C84023">
        <w:rPr>
          <w:rFonts w:cstheme="minorHAnsi"/>
          <w:color w:val="231F20"/>
          <w:spacing w:val="13"/>
          <w:w w:val="105"/>
        </w:rPr>
        <w:t xml:space="preserve"> the </w:t>
      </w:r>
      <w:r w:rsidRPr="00C84023">
        <w:rPr>
          <w:rFonts w:cstheme="minorHAnsi"/>
          <w:color w:val="231F20"/>
          <w:w w:val="105"/>
        </w:rPr>
        <w:t>planning</w:t>
      </w:r>
      <w:r w:rsidRPr="00C84023">
        <w:rPr>
          <w:rFonts w:cstheme="minorHAnsi"/>
          <w:color w:val="231F20"/>
          <w:spacing w:val="13"/>
          <w:w w:val="105"/>
        </w:rPr>
        <w:t xml:space="preserve"> </w:t>
      </w:r>
      <w:r w:rsidRPr="00C84023">
        <w:rPr>
          <w:rFonts w:cstheme="minorHAnsi"/>
          <w:color w:val="231F20"/>
          <w:w w:val="105"/>
        </w:rPr>
        <w:t>and</w:t>
      </w:r>
      <w:r w:rsidRPr="00C84023">
        <w:rPr>
          <w:rFonts w:cstheme="minorHAnsi"/>
          <w:color w:val="231F20"/>
          <w:spacing w:val="-1"/>
          <w:w w:val="105"/>
        </w:rPr>
        <w:t xml:space="preserve"> </w:t>
      </w:r>
      <w:r w:rsidRPr="00C84023">
        <w:rPr>
          <w:rFonts w:cstheme="minorHAnsi"/>
          <w:color w:val="231F20"/>
          <w:w w:val="105"/>
        </w:rPr>
        <w:t>implementation grants as funds became available.</w:t>
      </w:r>
    </w:p>
    <w:p w14:paraId="3A0BB0D9" w14:textId="1A2CB396" w:rsidR="00D1174B" w:rsidRDefault="00D1174B" w:rsidP="00D63204">
      <w:pPr>
        <w:widowControl w:val="0"/>
        <w:spacing w:before="160" w:after="0" w:line="264" w:lineRule="exact"/>
        <w:ind w:left="90"/>
        <w:rPr>
          <w:rFonts w:cstheme="minorHAnsi"/>
          <w:color w:val="231F20"/>
          <w:w w:val="105"/>
        </w:rPr>
      </w:pPr>
      <w:r w:rsidRPr="00C84023">
        <w:rPr>
          <w:rFonts w:cstheme="minorHAnsi"/>
          <w:color w:val="231F20"/>
          <w:w w:val="105"/>
        </w:rPr>
        <w:t>The</w:t>
      </w:r>
      <w:r w:rsidRPr="00C84023">
        <w:rPr>
          <w:rFonts w:cstheme="minorHAnsi"/>
          <w:color w:val="231F20"/>
          <w:spacing w:val="16"/>
          <w:w w:val="105"/>
        </w:rPr>
        <w:t xml:space="preserve"> </w:t>
      </w:r>
      <w:r w:rsidRPr="00C84023">
        <w:rPr>
          <w:rFonts w:cstheme="minorHAnsi"/>
          <w:color w:val="231F20"/>
          <w:w w:val="105"/>
        </w:rPr>
        <w:t>Division</w:t>
      </w:r>
      <w:r w:rsidRPr="00C84023">
        <w:rPr>
          <w:rFonts w:cstheme="minorHAnsi"/>
          <w:color w:val="231F20"/>
          <w:spacing w:val="16"/>
          <w:w w:val="105"/>
        </w:rPr>
        <w:t xml:space="preserve"> </w:t>
      </w:r>
      <w:r w:rsidRPr="00C84023">
        <w:rPr>
          <w:rFonts w:cstheme="minorHAnsi"/>
          <w:color w:val="231F20"/>
          <w:w w:val="105"/>
        </w:rPr>
        <w:t>of</w:t>
      </w:r>
      <w:r w:rsidRPr="00C84023">
        <w:rPr>
          <w:rFonts w:cstheme="minorHAnsi"/>
          <w:color w:val="231F20"/>
          <w:spacing w:val="16"/>
          <w:w w:val="105"/>
        </w:rPr>
        <w:t xml:space="preserve"> </w:t>
      </w:r>
      <w:r w:rsidRPr="00C84023">
        <w:rPr>
          <w:rFonts w:cstheme="minorHAnsi"/>
          <w:color w:val="231F20"/>
          <w:w w:val="105"/>
        </w:rPr>
        <w:t>Career</w:t>
      </w:r>
      <w:r w:rsidRPr="00C84023">
        <w:rPr>
          <w:rFonts w:cstheme="minorHAnsi"/>
          <w:color w:val="231F20"/>
          <w:spacing w:val="16"/>
          <w:w w:val="105"/>
        </w:rPr>
        <w:t xml:space="preserve"> </w:t>
      </w:r>
      <w:r w:rsidRPr="00C84023">
        <w:rPr>
          <w:rFonts w:cstheme="minorHAnsi"/>
          <w:color w:val="231F20"/>
          <w:w w:val="105"/>
        </w:rPr>
        <w:t>and</w:t>
      </w:r>
      <w:r w:rsidRPr="00C84023">
        <w:rPr>
          <w:rFonts w:cstheme="minorHAnsi"/>
          <w:color w:val="231F20"/>
          <w:spacing w:val="16"/>
          <w:w w:val="105"/>
        </w:rPr>
        <w:t xml:space="preserve"> </w:t>
      </w:r>
      <w:r w:rsidRPr="00C84023">
        <w:rPr>
          <w:rFonts w:cstheme="minorHAnsi"/>
          <w:color w:val="231F20"/>
          <w:w w:val="105"/>
        </w:rPr>
        <w:t>Adult</w:t>
      </w:r>
      <w:r w:rsidRPr="00C84023">
        <w:rPr>
          <w:rFonts w:cstheme="minorHAnsi"/>
          <w:color w:val="231F20"/>
          <w:spacing w:val="16"/>
          <w:w w:val="105"/>
        </w:rPr>
        <w:t xml:space="preserve"> </w:t>
      </w:r>
      <w:r w:rsidRPr="00C84023">
        <w:rPr>
          <w:rFonts w:cstheme="minorHAnsi"/>
          <w:color w:val="231F20"/>
          <w:w w:val="105"/>
        </w:rPr>
        <w:t>Education</w:t>
      </w:r>
      <w:r w:rsidRPr="00C84023">
        <w:rPr>
          <w:rFonts w:cstheme="minorHAnsi"/>
          <w:color w:val="231F20"/>
          <w:spacing w:val="16"/>
          <w:w w:val="105"/>
        </w:rPr>
        <w:t xml:space="preserve"> </w:t>
      </w:r>
      <w:r w:rsidRPr="00C84023">
        <w:rPr>
          <w:rFonts w:cstheme="minorHAnsi"/>
          <w:color w:val="231F20"/>
          <w:w w:val="105"/>
        </w:rPr>
        <w:t>(DCAE)</w:t>
      </w:r>
      <w:r w:rsidRPr="00C84023">
        <w:rPr>
          <w:rFonts w:cstheme="minorHAnsi"/>
          <w:color w:val="231F20"/>
          <w:spacing w:val="16"/>
          <w:w w:val="105"/>
        </w:rPr>
        <w:t xml:space="preserve"> </w:t>
      </w:r>
      <w:r w:rsidRPr="00C84023">
        <w:rPr>
          <w:rFonts w:cstheme="minorHAnsi"/>
          <w:color w:val="231F20"/>
          <w:w w:val="105"/>
        </w:rPr>
        <w:t>promotes</w:t>
      </w:r>
      <w:r w:rsidRPr="00C84023">
        <w:rPr>
          <w:rFonts w:cstheme="minorHAnsi"/>
          <w:color w:val="231F20"/>
          <w:spacing w:val="16"/>
          <w:w w:val="105"/>
        </w:rPr>
        <w:t xml:space="preserve"> </w:t>
      </w:r>
      <w:r w:rsidRPr="00C84023">
        <w:rPr>
          <w:rFonts w:cstheme="minorHAnsi"/>
          <w:color w:val="231F20"/>
          <w:w w:val="105"/>
        </w:rPr>
        <w:t>the</w:t>
      </w:r>
      <w:r w:rsidRPr="00C84023">
        <w:rPr>
          <w:rFonts w:cstheme="minorHAnsi"/>
          <w:color w:val="231F20"/>
          <w:spacing w:val="16"/>
          <w:w w:val="105"/>
        </w:rPr>
        <w:t xml:space="preserve"> </w:t>
      </w:r>
      <w:r w:rsidRPr="00C84023">
        <w:rPr>
          <w:rFonts w:cstheme="minorHAnsi"/>
          <w:color w:val="231F20"/>
          <w:w w:val="105"/>
        </w:rPr>
        <w:t>development</w:t>
      </w:r>
      <w:r w:rsidRPr="00C84023">
        <w:rPr>
          <w:rFonts w:cstheme="minorHAnsi"/>
          <w:color w:val="231F20"/>
          <w:spacing w:val="16"/>
          <w:w w:val="105"/>
        </w:rPr>
        <w:t xml:space="preserve"> </w:t>
      </w:r>
      <w:r w:rsidRPr="00C84023">
        <w:rPr>
          <w:rFonts w:cstheme="minorHAnsi"/>
          <w:color w:val="231F20"/>
          <w:w w:val="105"/>
        </w:rPr>
        <w:t>of</w:t>
      </w:r>
      <w:r w:rsidRPr="00C84023">
        <w:rPr>
          <w:rFonts w:cstheme="minorHAnsi"/>
          <w:color w:val="231F20"/>
          <w:spacing w:val="16"/>
          <w:w w:val="105"/>
        </w:rPr>
        <w:t xml:space="preserve"> </w:t>
      </w:r>
      <w:r w:rsidRPr="00C84023">
        <w:rPr>
          <w:rFonts w:cstheme="minorHAnsi"/>
          <w:color w:val="231F20"/>
          <w:w w:val="105"/>
        </w:rPr>
        <w:t>contextualized</w:t>
      </w:r>
      <w:r w:rsidRPr="00C84023">
        <w:rPr>
          <w:rFonts w:cstheme="minorHAnsi"/>
          <w:color w:val="231F20"/>
          <w:spacing w:val="-18"/>
          <w:w w:val="105"/>
        </w:rPr>
        <w:t xml:space="preserve"> </w:t>
      </w:r>
      <w:r w:rsidRPr="00C84023">
        <w:rPr>
          <w:rFonts w:cstheme="minorHAnsi"/>
          <w:color w:val="231F20"/>
          <w:w w:val="105"/>
        </w:rPr>
        <w:t>instruction with a specific career pathway focus, career development</w:t>
      </w:r>
      <w:r w:rsidR="00D5537E">
        <w:rPr>
          <w:rFonts w:cstheme="minorHAnsi"/>
          <w:color w:val="231F20"/>
          <w:w w:val="105"/>
        </w:rPr>
        <w:t xml:space="preserve"> and</w:t>
      </w:r>
      <w:r w:rsidRPr="00C84023">
        <w:rPr>
          <w:rFonts w:cstheme="minorHAnsi"/>
          <w:color w:val="231F20"/>
          <w:w w:val="105"/>
        </w:rPr>
        <w:t xml:space="preserve"> transition services integrated</w:t>
      </w:r>
      <w:r w:rsidRPr="00C84023">
        <w:rPr>
          <w:rFonts w:cstheme="minorHAnsi"/>
          <w:color w:val="231F20"/>
          <w:spacing w:val="14"/>
          <w:w w:val="105"/>
        </w:rPr>
        <w:t xml:space="preserve"> </w:t>
      </w:r>
      <w:r w:rsidRPr="00C84023">
        <w:rPr>
          <w:rFonts w:cstheme="minorHAnsi"/>
          <w:color w:val="231F20"/>
          <w:w w:val="105"/>
        </w:rPr>
        <w:t>into</w:t>
      </w:r>
      <w:r w:rsidRPr="00C84023">
        <w:rPr>
          <w:rFonts w:cstheme="minorHAnsi"/>
          <w:color w:val="231F20"/>
          <w:spacing w:val="14"/>
          <w:w w:val="105"/>
        </w:rPr>
        <w:t xml:space="preserve"> </w:t>
      </w:r>
      <w:r w:rsidRPr="00C84023">
        <w:rPr>
          <w:rFonts w:cstheme="minorHAnsi"/>
          <w:color w:val="231F20"/>
          <w:w w:val="105"/>
        </w:rPr>
        <w:t>lower</w:t>
      </w:r>
      <w:r w:rsidRPr="00C84023">
        <w:rPr>
          <w:rFonts w:cstheme="minorHAnsi"/>
          <w:color w:val="231F20"/>
          <w:spacing w:val="14"/>
          <w:w w:val="105"/>
        </w:rPr>
        <w:t xml:space="preserve"> </w:t>
      </w:r>
      <w:r w:rsidRPr="00C84023">
        <w:rPr>
          <w:rFonts w:cstheme="minorHAnsi"/>
          <w:color w:val="231F20"/>
          <w:w w:val="105"/>
        </w:rPr>
        <w:t>levels</w:t>
      </w:r>
      <w:r w:rsidRPr="00C84023">
        <w:rPr>
          <w:rFonts w:cstheme="minorHAnsi"/>
          <w:color w:val="231F20"/>
          <w:spacing w:val="14"/>
          <w:w w:val="105"/>
        </w:rPr>
        <w:t xml:space="preserve"> </w:t>
      </w:r>
      <w:r w:rsidRPr="00C84023">
        <w:rPr>
          <w:rFonts w:cstheme="minorHAnsi"/>
          <w:color w:val="231F20"/>
          <w:w w:val="105"/>
        </w:rPr>
        <w:t>of</w:t>
      </w:r>
      <w:r w:rsidRPr="00C84023">
        <w:rPr>
          <w:rFonts w:cstheme="minorHAnsi"/>
          <w:color w:val="231F20"/>
          <w:spacing w:val="14"/>
          <w:w w:val="105"/>
        </w:rPr>
        <w:t xml:space="preserve"> </w:t>
      </w:r>
      <w:r w:rsidRPr="00C84023">
        <w:rPr>
          <w:rFonts w:cstheme="minorHAnsi"/>
          <w:color w:val="231F20"/>
          <w:w w:val="105"/>
        </w:rPr>
        <w:t>ABE</w:t>
      </w:r>
      <w:r w:rsidRPr="00C84023">
        <w:rPr>
          <w:rFonts w:cstheme="minorHAnsi"/>
          <w:color w:val="231F20"/>
          <w:spacing w:val="14"/>
          <w:w w:val="105"/>
        </w:rPr>
        <w:t xml:space="preserve"> </w:t>
      </w:r>
      <w:r w:rsidRPr="00C84023">
        <w:rPr>
          <w:rFonts w:cstheme="minorHAnsi"/>
          <w:color w:val="231F20"/>
          <w:w w:val="105"/>
        </w:rPr>
        <w:t>and</w:t>
      </w:r>
      <w:r w:rsidRPr="00C84023">
        <w:rPr>
          <w:rFonts w:cstheme="minorHAnsi"/>
          <w:color w:val="231F20"/>
          <w:spacing w:val="14"/>
          <w:w w:val="105"/>
        </w:rPr>
        <w:t xml:space="preserve"> </w:t>
      </w:r>
      <w:r w:rsidRPr="00C84023">
        <w:rPr>
          <w:rFonts w:cstheme="minorHAnsi"/>
          <w:color w:val="231F20"/>
          <w:w w:val="105"/>
        </w:rPr>
        <w:t>ESOL.</w:t>
      </w:r>
      <w:r w:rsidRPr="00C84023">
        <w:rPr>
          <w:rFonts w:cstheme="minorHAnsi"/>
          <w:color w:val="231F20"/>
          <w:spacing w:val="14"/>
          <w:w w:val="105"/>
        </w:rPr>
        <w:t xml:space="preserve"> </w:t>
      </w:r>
      <w:r w:rsidRPr="00C84023">
        <w:rPr>
          <w:rFonts w:cstheme="minorHAnsi"/>
          <w:color w:val="231F20"/>
          <w:w w:val="105"/>
        </w:rPr>
        <w:t>This</w:t>
      </w:r>
      <w:r w:rsidRPr="00C84023">
        <w:rPr>
          <w:rFonts w:cstheme="minorHAnsi"/>
          <w:color w:val="231F20"/>
          <w:spacing w:val="14"/>
          <w:w w:val="105"/>
        </w:rPr>
        <w:t xml:space="preserve"> </w:t>
      </w:r>
      <w:r w:rsidRPr="00C84023">
        <w:rPr>
          <w:rFonts w:cstheme="minorHAnsi"/>
          <w:color w:val="231F20"/>
          <w:w w:val="105"/>
        </w:rPr>
        <w:t>content</w:t>
      </w:r>
      <w:r w:rsidRPr="00C84023">
        <w:rPr>
          <w:rFonts w:cstheme="minorHAnsi"/>
          <w:color w:val="231F20"/>
          <w:spacing w:val="14"/>
          <w:w w:val="105"/>
        </w:rPr>
        <w:t xml:space="preserve"> </w:t>
      </w:r>
      <w:r w:rsidRPr="00C84023">
        <w:rPr>
          <w:rFonts w:cstheme="minorHAnsi"/>
          <w:color w:val="231F20"/>
          <w:w w:val="105"/>
        </w:rPr>
        <w:t>provides</w:t>
      </w:r>
      <w:r w:rsidRPr="00C84023">
        <w:rPr>
          <w:rFonts w:cstheme="minorHAnsi"/>
          <w:color w:val="231F20"/>
          <w:spacing w:val="14"/>
          <w:w w:val="105"/>
        </w:rPr>
        <w:t xml:space="preserve"> </w:t>
      </w:r>
      <w:r w:rsidRPr="00C84023">
        <w:rPr>
          <w:rFonts w:cstheme="minorHAnsi"/>
          <w:color w:val="231F20"/>
          <w:w w:val="105"/>
        </w:rPr>
        <w:t>adults</w:t>
      </w:r>
      <w:r w:rsidRPr="00C84023">
        <w:rPr>
          <w:rFonts w:cstheme="minorHAnsi"/>
          <w:color w:val="231F20"/>
          <w:spacing w:val="14"/>
          <w:w w:val="105"/>
        </w:rPr>
        <w:t xml:space="preserve"> </w:t>
      </w:r>
      <w:r w:rsidRPr="00C84023">
        <w:rPr>
          <w:rFonts w:cstheme="minorHAnsi"/>
          <w:color w:val="231F20"/>
          <w:w w:val="105"/>
        </w:rPr>
        <w:t>with</w:t>
      </w:r>
      <w:r w:rsidRPr="00C84023">
        <w:rPr>
          <w:rFonts w:cstheme="minorHAnsi"/>
          <w:color w:val="231F20"/>
          <w:spacing w:val="14"/>
          <w:w w:val="105"/>
        </w:rPr>
        <w:t xml:space="preserve"> </w:t>
      </w:r>
      <w:r w:rsidRPr="00C84023">
        <w:rPr>
          <w:rFonts w:cstheme="minorHAnsi"/>
          <w:color w:val="231F20"/>
          <w:w w:val="105"/>
        </w:rPr>
        <w:t>knowledge</w:t>
      </w:r>
      <w:r w:rsidRPr="00C84023">
        <w:rPr>
          <w:rFonts w:cstheme="minorHAnsi"/>
          <w:color w:val="231F20"/>
          <w:spacing w:val="14"/>
          <w:w w:val="105"/>
        </w:rPr>
        <w:t xml:space="preserve"> </w:t>
      </w:r>
      <w:r w:rsidRPr="00C84023">
        <w:rPr>
          <w:rFonts w:cstheme="minorHAnsi"/>
          <w:color w:val="231F20"/>
          <w:w w:val="105"/>
        </w:rPr>
        <w:t>and</w:t>
      </w:r>
      <w:r w:rsidRPr="00C84023">
        <w:rPr>
          <w:rFonts w:cstheme="minorHAnsi"/>
          <w:color w:val="231F20"/>
          <w:spacing w:val="-40"/>
          <w:w w:val="105"/>
        </w:rPr>
        <w:t xml:space="preserve"> </w:t>
      </w:r>
      <w:r w:rsidRPr="00C84023">
        <w:rPr>
          <w:rFonts w:cstheme="minorHAnsi"/>
          <w:color w:val="231F20"/>
          <w:w w:val="105"/>
        </w:rPr>
        <w:t>skills</w:t>
      </w:r>
      <w:r w:rsidRPr="00C84023">
        <w:rPr>
          <w:rFonts w:cstheme="minorHAnsi"/>
          <w:color w:val="231F20"/>
          <w:spacing w:val="18"/>
          <w:w w:val="105"/>
        </w:rPr>
        <w:t xml:space="preserve"> </w:t>
      </w:r>
      <w:r w:rsidRPr="00C84023">
        <w:rPr>
          <w:rFonts w:cstheme="minorHAnsi"/>
          <w:color w:val="231F20"/>
          <w:w w:val="105"/>
        </w:rPr>
        <w:t>needed</w:t>
      </w:r>
      <w:r w:rsidRPr="00C84023">
        <w:rPr>
          <w:rFonts w:cstheme="minorHAnsi"/>
          <w:color w:val="231F20"/>
          <w:spacing w:val="18"/>
          <w:w w:val="105"/>
        </w:rPr>
        <w:t xml:space="preserve"> </w:t>
      </w:r>
      <w:r w:rsidRPr="00C84023">
        <w:rPr>
          <w:rFonts w:cstheme="minorHAnsi"/>
          <w:color w:val="231F20"/>
          <w:w w:val="105"/>
        </w:rPr>
        <w:t>to</w:t>
      </w:r>
      <w:r w:rsidRPr="00C84023">
        <w:rPr>
          <w:rFonts w:cstheme="minorHAnsi"/>
          <w:color w:val="231F20"/>
          <w:spacing w:val="18"/>
          <w:w w:val="105"/>
        </w:rPr>
        <w:t xml:space="preserve"> </w:t>
      </w:r>
      <w:r w:rsidRPr="00C84023">
        <w:rPr>
          <w:rFonts w:cstheme="minorHAnsi"/>
          <w:color w:val="231F20"/>
          <w:w w:val="105"/>
        </w:rPr>
        <w:t>enroll</w:t>
      </w:r>
      <w:r w:rsidRPr="00C84023">
        <w:rPr>
          <w:rFonts w:cstheme="minorHAnsi"/>
          <w:color w:val="231F20"/>
          <w:spacing w:val="18"/>
          <w:w w:val="105"/>
        </w:rPr>
        <w:t xml:space="preserve"> in </w:t>
      </w:r>
      <w:r w:rsidRPr="00C84023">
        <w:rPr>
          <w:rFonts w:cstheme="minorHAnsi"/>
          <w:color w:val="231F20"/>
          <w:w w:val="105"/>
        </w:rPr>
        <w:t>and</w:t>
      </w:r>
      <w:r w:rsidRPr="00C84023">
        <w:rPr>
          <w:rFonts w:cstheme="minorHAnsi"/>
          <w:color w:val="231F20"/>
          <w:spacing w:val="18"/>
          <w:w w:val="105"/>
        </w:rPr>
        <w:t xml:space="preserve"> </w:t>
      </w:r>
      <w:r w:rsidRPr="00C84023">
        <w:rPr>
          <w:rFonts w:cstheme="minorHAnsi"/>
          <w:color w:val="231F20"/>
          <w:w w:val="105"/>
        </w:rPr>
        <w:t>be</w:t>
      </w:r>
      <w:r w:rsidRPr="00C84023">
        <w:rPr>
          <w:rFonts w:cstheme="minorHAnsi"/>
          <w:color w:val="231F20"/>
          <w:spacing w:val="18"/>
          <w:w w:val="105"/>
        </w:rPr>
        <w:t xml:space="preserve"> </w:t>
      </w:r>
      <w:r w:rsidRPr="00C84023">
        <w:rPr>
          <w:rFonts w:cstheme="minorHAnsi"/>
          <w:color w:val="231F20"/>
          <w:w w:val="105"/>
        </w:rPr>
        <w:t>successful</w:t>
      </w:r>
      <w:r w:rsidRPr="00C84023">
        <w:rPr>
          <w:rFonts w:cstheme="minorHAnsi"/>
          <w:color w:val="231F20"/>
          <w:spacing w:val="18"/>
          <w:w w:val="105"/>
        </w:rPr>
        <w:t xml:space="preserve"> </w:t>
      </w:r>
      <w:r w:rsidRPr="00C84023">
        <w:rPr>
          <w:rFonts w:cstheme="minorHAnsi"/>
          <w:color w:val="231F20"/>
          <w:w w:val="105"/>
        </w:rPr>
        <w:t>in</w:t>
      </w:r>
      <w:r w:rsidRPr="00C84023">
        <w:rPr>
          <w:rFonts w:cstheme="minorHAnsi"/>
          <w:color w:val="231F20"/>
          <w:spacing w:val="18"/>
          <w:w w:val="105"/>
        </w:rPr>
        <w:t xml:space="preserve"> </w:t>
      </w:r>
      <w:r w:rsidRPr="00C84023">
        <w:rPr>
          <w:rFonts w:cstheme="minorHAnsi"/>
          <w:color w:val="231F20"/>
          <w:w w:val="105"/>
        </w:rPr>
        <w:t>postsecondary</w:t>
      </w:r>
      <w:r w:rsidRPr="00C84023">
        <w:rPr>
          <w:rFonts w:cstheme="minorHAnsi"/>
          <w:color w:val="231F20"/>
          <w:spacing w:val="18"/>
          <w:w w:val="105"/>
        </w:rPr>
        <w:t xml:space="preserve"> </w:t>
      </w:r>
      <w:r w:rsidRPr="00C84023">
        <w:rPr>
          <w:rFonts w:cstheme="minorHAnsi"/>
          <w:color w:val="231F20"/>
          <w:w w:val="105"/>
        </w:rPr>
        <w:t>education.</w:t>
      </w:r>
      <w:r w:rsidRPr="00C84023">
        <w:rPr>
          <w:rFonts w:cstheme="minorHAnsi"/>
          <w:color w:val="231F20"/>
          <w:spacing w:val="18"/>
          <w:w w:val="105"/>
        </w:rPr>
        <w:t xml:space="preserve"> </w:t>
      </w:r>
      <w:r w:rsidRPr="00C84023">
        <w:rPr>
          <w:rFonts w:cstheme="minorHAnsi"/>
          <w:color w:val="231F20"/>
          <w:w w:val="105"/>
        </w:rPr>
        <w:t>After</w:t>
      </w:r>
      <w:r w:rsidRPr="00C84023">
        <w:rPr>
          <w:rFonts w:cstheme="minorHAnsi"/>
          <w:color w:val="231F20"/>
          <w:spacing w:val="18"/>
          <w:w w:val="105"/>
        </w:rPr>
        <w:t xml:space="preserve"> </w:t>
      </w:r>
      <w:r w:rsidRPr="00C84023">
        <w:rPr>
          <w:rFonts w:cstheme="minorHAnsi"/>
          <w:color w:val="231F20"/>
          <w:w w:val="105"/>
        </w:rPr>
        <w:t>students</w:t>
      </w:r>
      <w:r w:rsidRPr="00C84023">
        <w:rPr>
          <w:rFonts w:cstheme="minorHAnsi"/>
          <w:color w:val="231F20"/>
          <w:spacing w:val="18"/>
          <w:w w:val="105"/>
        </w:rPr>
        <w:t xml:space="preserve"> </w:t>
      </w:r>
      <w:r w:rsidRPr="00C84023">
        <w:rPr>
          <w:rFonts w:cstheme="minorHAnsi"/>
          <w:color w:val="231F20"/>
          <w:w w:val="105"/>
        </w:rPr>
        <w:t>achieve</w:t>
      </w:r>
      <w:r w:rsidRPr="00C84023">
        <w:rPr>
          <w:rFonts w:cstheme="minorHAnsi"/>
          <w:color w:val="231F20"/>
          <w:spacing w:val="18"/>
          <w:w w:val="105"/>
        </w:rPr>
        <w:t xml:space="preserve"> </w:t>
      </w:r>
      <w:r w:rsidRPr="00C84023">
        <w:rPr>
          <w:rFonts w:cstheme="minorHAnsi"/>
          <w:color w:val="231F20"/>
          <w:w w:val="105"/>
        </w:rPr>
        <w:t>educational</w:t>
      </w:r>
      <w:r w:rsidRPr="00C84023">
        <w:rPr>
          <w:rFonts w:cstheme="minorHAnsi"/>
          <w:color w:val="231F20"/>
          <w:spacing w:val="14"/>
          <w:w w:val="105"/>
        </w:rPr>
        <w:t xml:space="preserve"> </w:t>
      </w:r>
      <w:r w:rsidRPr="00C84023">
        <w:rPr>
          <w:rFonts w:cstheme="minorHAnsi"/>
          <w:color w:val="231F20"/>
          <w:w w:val="105"/>
        </w:rPr>
        <w:t>functioning</w:t>
      </w:r>
      <w:r w:rsidRPr="00C84023">
        <w:rPr>
          <w:rFonts w:cstheme="minorHAnsi"/>
          <w:color w:val="231F20"/>
          <w:spacing w:val="14"/>
          <w:w w:val="105"/>
        </w:rPr>
        <w:t xml:space="preserve"> </w:t>
      </w:r>
      <w:r w:rsidRPr="00C84023">
        <w:rPr>
          <w:rFonts w:cstheme="minorHAnsi"/>
          <w:color w:val="231F20"/>
          <w:w w:val="105"/>
        </w:rPr>
        <w:t>levels</w:t>
      </w:r>
      <w:r w:rsidRPr="00C84023">
        <w:rPr>
          <w:rFonts w:cstheme="minorHAnsi"/>
          <w:color w:val="231F20"/>
          <w:spacing w:val="14"/>
          <w:w w:val="105"/>
        </w:rPr>
        <w:t xml:space="preserve"> </w:t>
      </w:r>
      <w:r w:rsidRPr="00C84023">
        <w:rPr>
          <w:rFonts w:cstheme="minorHAnsi"/>
          <w:color w:val="231F20"/>
          <w:w w:val="105"/>
        </w:rPr>
        <w:t>in</w:t>
      </w:r>
      <w:r w:rsidRPr="00C84023">
        <w:rPr>
          <w:rFonts w:cstheme="minorHAnsi"/>
          <w:color w:val="231F20"/>
          <w:spacing w:val="14"/>
          <w:w w:val="105"/>
        </w:rPr>
        <w:t xml:space="preserve"> </w:t>
      </w:r>
      <w:r w:rsidRPr="00C84023">
        <w:rPr>
          <w:rFonts w:cstheme="minorHAnsi"/>
          <w:color w:val="231F20"/>
          <w:w w:val="105"/>
        </w:rPr>
        <w:t>ABE</w:t>
      </w:r>
      <w:r w:rsidRPr="00C84023">
        <w:rPr>
          <w:rFonts w:cstheme="minorHAnsi"/>
          <w:color w:val="231F20"/>
          <w:spacing w:val="14"/>
          <w:w w:val="105"/>
        </w:rPr>
        <w:t xml:space="preserve"> </w:t>
      </w:r>
      <w:r w:rsidRPr="00C84023">
        <w:rPr>
          <w:rFonts w:cstheme="minorHAnsi"/>
          <w:color w:val="231F20"/>
          <w:w w:val="105"/>
        </w:rPr>
        <w:t>and</w:t>
      </w:r>
      <w:r w:rsidRPr="00C84023">
        <w:rPr>
          <w:rFonts w:cstheme="minorHAnsi"/>
          <w:color w:val="231F20"/>
          <w:spacing w:val="14"/>
          <w:w w:val="105"/>
        </w:rPr>
        <w:t xml:space="preserve"> </w:t>
      </w:r>
      <w:r w:rsidRPr="00C84023">
        <w:rPr>
          <w:rFonts w:cstheme="minorHAnsi"/>
          <w:color w:val="231F20"/>
          <w:w w:val="105"/>
        </w:rPr>
        <w:t>ESOL,</w:t>
      </w:r>
      <w:r w:rsidRPr="00C84023">
        <w:rPr>
          <w:rFonts w:cstheme="minorHAnsi"/>
          <w:color w:val="231F20"/>
          <w:spacing w:val="14"/>
          <w:w w:val="105"/>
        </w:rPr>
        <w:t xml:space="preserve"> </w:t>
      </w:r>
      <w:r w:rsidRPr="00C84023">
        <w:rPr>
          <w:rFonts w:cstheme="minorHAnsi"/>
          <w:color w:val="231F20"/>
          <w:w w:val="105"/>
        </w:rPr>
        <w:t>those</w:t>
      </w:r>
      <w:r w:rsidRPr="00C84023">
        <w:rPr>
          <w:rFonts w:cstheme="minorHAnsi"/>
          <w:color w:val="231F20"/>
          <w:spacing w:val="14"/>
          <w:w w:val="105"/>
        </w:rPr>
        <w:t xml:space="preserve"> </w:t>
      </w:r>
      <w:r w:rsidRPr="00C84023">
        <w:rPr>
          <w:rFonts w:cstheme="minorHAnsi"/>
          <w:color w:val="231F20"/>
          <w:w w:val="105"/>
        </w:rPr>
        <w:t>without</w:t>
      </w:r>
      <w:r w:rsidRPr="00C84023">
        <w:rPr>
          <w:rFonts w:cstheme="minorHAnsi"/>
          <w:color w:val="231F20"/>
          <w:spacing w:val="14"/>
          <w:w w:val="105"/>
        </w:rPr>
        <w:t xml:space="preserve"> </w:t>
      </w:r>
      <w:r w:rsidRPr="00C84023">
        <w:rPr>
          <w:rFonts w:cstheme="minorHAnsi"/>
          <w:color w:val="231F20"/>
          <w:w w:val="105"/>
        </w:rPr>
        <w:t>a</w:t>
      </w:r>
      <w:r w:rsidRPr="00C84023">
        <w:rPr>
          <w:rFonts w:cstheme="minorHAnsi"/>
          <w:color w:val="231F20"/>
          <w:spacing w:val="14"/>
          <w:w w:val="105"/>
        </w:rPr>
        <w:t xml:space="preserve"> </w:t>
      </w:r>
      <w:r w:rsidRPr="00C84023">
        <w:rPr>
          <w:rFonts w:cstheme="minorHAnsi"/>
          <w:color w:val="231F20"/>
          <w:w w:val="105"/>
        </w:rPr>
        <w:t>high</w:t>
      </w:r>
      <w:r w:rsidRPr="00C84023">
        <w:rPr>
          <w:rFonts w:cstheme="minorHAnsi"/>
          <w:color w:val="231F20"/>
          <w:spacing w:val="14"/>
          <w:w w:val="105"/>
        </w:rPr>
        <w:t xml:space="preserve"> </w:t>
      </w:r>
      <w:r w:rsidRPr="00C84023">
        <w:rPr>
          <w:rFonts w:cstheme="minorHAnsi"/>
          <w:color w:val="231F20"/>
          <w:w w:val="105"/>
        </w:rPr>
        <w:t>school</w:t>
      </w:r>
      <w:r w:rsidRPr="00C84023">
        <w:rPr>
          <w:rFonts w:cstheme="minorHAnsi"/>
          <w:color w:val="231F20"/>
          <w:spacing w:val="14"/>
          <w:w w:val="105"/>
        </w:rPr>
        <w:t xml:space="preserve"> </w:t>
      </w:r>
      <w:r w:rsidRPr="00C84023">
        <w:rPr>
          <w:rFonts w:cstheme="minorHAnsi"/>
          <w:color w:val="231F20"/>
          <w:w w:val="105"/>
        </w:rPr>
        <w:t>diploma</w:t>
      </w:r>
      <w:r w:rsidRPr="00C84023">
        <w:rPr>
          <w:rFonts w:cstheme="minorHAnsi"/>
          <w:color w:val="231F20"/>
          <w:spacing w:val="14"/>
          <w:w w:val="105"/>
        </w:rPr>
        <w:t xml:space="preserve"> </w:t>
      </w:r>
      <w:r w:rsidRPr="00C84023">
        <w:rPr>
          <w:rFonts w:cstheme="minorHAnsi"/>
          <w:color w:val="231F20"/>
          <w:w w:val="105"/>
        </w:rPr>
        <w:t xml:space="preserve">may </w:t>
      </w:r>
      <w:r w:rsidRPr="00C84023">
        <w:rPr>
          <w:rFonts w:cstheme="minorHAnsi"/>
          <w:color w:val="231F20"/>
          <w:spacing w:val="11"/>
          <w:w w:val="105"/>
        </w:rPr>
        <w:t xml:space="preserve">simultaneously </w:t>
      </w:r>
      <w:r w:rsidRPr="00C84023">
        <w:rPr>
          <w:rFonts w:cstheme="minorHAnsi"/>
          <w:color w:val="231F20"/>
          <w:w w:val="105"/>
        </w:rPr>
        <w:t>enroll in</w:t>
      </w:r>
      <w:r w:rsidRPr="00C84023">
        <w:rPr>
          <w:rFonts w:cstheme="minorHAnsi"/>
          <w:color w:val="231F20"/>
          <w:spacing w:val="11"/>
          <w:w w:val="105"/>
        </w:rPr>
        <w:t xml:space="preserve"> </w:t>
      </w:r>
      <w:r w:rsidRPr="00C84023">
        <w:rPr>
          <w:rFonts w:cstheme="minorHAnsi"/>
          <w:color w:val="231F20"/>
          <w:w w:val="105"/>
        </w:rPr>
        <w:t>the</w:t>
      </w:r>
      <w:r w:rsidRPr="00C84023">
        <w:rPr>
          <w:rFonts w:cstheme="minorHAnsi"/>
          <w:color w:val="231F20"/>
          <w:spacing w:val="11"/>
          <w:w w:val="105"/>
        </w:rPr>
        <w:t xml:space="preserve"> </w:t>
      </w:r>
      <w:r w:rsidRPr="00C84023">
        <w:rPr>
          <w:rFonts w:cstheme="minorHAnsi"/>
          <w:color w:val="231F20"/>
          <w:w w:val="105"/>
        </w:rPr>
        <w:t>GED</w:t>
      </w:r>
      <w:r w:rsidRPr="00C84023">
        <w:rPr>
          <w:rFonts w:cstheme="minorHAnsi"/>
          <w:color w:val="231F20"/>
          <w:w w:val="105"/>
          <w:position w:val="7"/>
          <w:sz w:val="13"/>
        </w:rPr>
        <w:t>®</w:t>
      </w:r>
      <w:r w:rsidRPr="00C84023">
        <w:rPr>
          <w:rFonts w:cstheme="minorHAnsi"/>
          <w:color w:val="231F20"/>
          <w:spacing w:val="2"/>
          <w:w w:val="105"/>
          <w:position w:val="7"/>
          <w:sz w:val="13"/>
        </w:rPr>
        <w:t xml:space="preserve"> </w:t>
      </w:r>
      <w:r w:rsidRPr="00C84023">
        <w:rPr>
          <w:rFonts w:cstheme="minorHAnsi"/>
          <w:color w:val="231F20"/>
          <w:w w:val="105"/>
        </w:rPr>
        <w:t>Preparation</w:t>
      </w:r>
      <w:r w:rsidRPr="00C84023">
        <w:rPr>
          <w:rFonts w:cstheme="minorHAnsi"/>
          <w:color w:val="231F20"/>
          <w:spacing w:val="11"/>
          <w:w w:val="105"/>
        </w:rPr>
        <w:t xml:space="preserve"> </w:t>
      </w:r>
      <w:r w:rsidRPr="00C84023">
        <w:rPr>
          <w:rFonts w:cstheme="minorHAnsi"/>
          <w:color w:val="231F20"/>
          <w:w w:val="105"/>
        </w:rPr>
        <w:t>program</w:t>
      </w:r>
      <w:r w:rsidRPr="00C84023">
        <w:rPr>
          <w:rFonts w:cstheme="minorHAnsi"/>
          <w:color w:val="231F20"/>
          <w:spacing w:val="11"/>
          <w:w w:val="105"/>
        </w:rPr>
        <w:t xml:space="preserve"> </w:t>
      </w:r>
      <w:r w:rsidRPr="00C84023">
        <w:rPr>
          <w:rFonts w:cstheme="minorHAnsi"/>
          <w:color w:val="231F20"/>
          <w:w w:val="105"/>
        </w:rPr>
        <w:t>(GED-i</w:t>
      </w:r>
      <w:r w:rsidRPr="00C84023">
        <w:rPr>
          <w:rFonts w:cstheme="minorHAnsi"/>
          <w:color w:val="231F20"/>
          <w:spacing w:val="11"/>
          <w:w w:val="105"/>
        </w:rPr>
        <w:t xml:space="preserve"> </w:t>
      </w:r>
      <w:r w:rsidRPr="00C84023">
        <w:rPr>
          <w:rFonts w:cstheme="minorHAnsi"/>
          <w:color w:val="231F20"/>
          <w:w w:val="105"/>
        </w:rPr>
        <w:t>course)</w:t>
      </w:r>
      <w:r w:rsidRPr="00C84023">
        <w:rPr>
          <w:rFonts w:cstheme="minorHAnsi"/>
          <w:color w:val="231F20"/>
          <w:spacing w:val="11"/>
          <w:w w:val="105"/>
        </w:rPr>
        <w:t xml:space="preserve"> </w:t>
      </w:r>
      <w:r w:rsidRPr="00C84023">
        <w:rPr>
          <w:rFonts w:cstheme="minorHAnsi"/>
          <w:color w:val="231F20"/>
          <w:w w:val="105"/>
        </w:rPr>
        <w:t>and</w:t>
      </w:r>
      <w:r w:rsidRPr="00C84023">
        <w:rPr>
          <w:rFonts w:cstheme="minorHAnsi"/>
          <w:color w:val="231F20"/>
          <w:spacing w:val="11"/>
          <w:w w:val="105"/>
        </w:rPr>
        <w:t xml:space="preserve"> </w:t>
      </w:r>
      <w:r w:rsidRPr="00C84023">
        <w:rPr>
          <w:rFonts w:cstheme="minorHAnsi"/>
          <w:color w:val="231F20"/>
          <w:w w:val="105"/>
        </w:rPr>
        <w:t>a</w:t>
      </w:r>
      <w:r w:rsidRPr="00C84023">
        <w:rPr>
          <w:rFonts w:cstheme="minorHAnsi"/>
          <w:color w:val="231F20"/>
          <w:spacing w:val="11"/>
          <w:w w:val="105"/>
        </w:rPr>
        <w:t xml:space="preserve"> </w:t>
      </w:r>
      <w:r w:rsidRPr="00C84023">
        <w:rPr>
          <w:rFonts w:cstheme="minorHAnsi"/>
          <w:color w:val="231F20"/>
          <w:w w:val="105"/>
        </w:rPr>
        <w:t>career</w:t>
      </w:r>
      <w:r w:rsidRPr="00C84023">
        <w:rPr>
          <w:rFonts w:cstheme="minorHAnsi"/>
          <w:color w:val="231F20"/>
          <w:spacing w:val="11"/>
          <w:w w:val="105"/>
        </w:rPr>
        <w:t xml:space="preserve"> </w:t>
      </w:r>
      <w:r w:rsidRPr="00C84023">
        <w:rPr>
          <w:rFonts w:cstheme="minorHAnsi"/>
          <w:color w:val="231F20"/>
          <w:w w:val="105"/>
        </w:rPr>
        <w:t>and</w:t>
      </w:r>
      <w:r w:rsidRPr="00C84023">
        <w:rPr>
          <w:rFonts w:cstheme="minorHAnsi"/>
          <w:color w:val="231F20"/>
          <w:spacing w:val="11"/>
          <w:w w:val="105"/>
        </w:rPr>
        <w:t xml:space="preserve"> </w:t>
      </w:r>
      <w:r w:rsidRPr="00C84023">
        <w:rPr>
          <w:rFonts w:cstheme="minorHAnsi"/>
          <w:color w:val="231F20"/>
          <w:w w:val="105"/>
        </w:rPr>
        <w:t>technical</w:t>
      </w:r>
      <w:r w:rsidRPr="00C84023">
        <w:rPr>
          <w:rFonts w:cstheme="minorHAnsi"/>
          <w:color w:val="231F20"/>
          <w:spacing w:val="11"/>
          <w:w w:val="105"/>
        </w:rPr>
        <w:t xml:space="preserve"> </w:t>
      </w:r>
      <w:r w:rsidRPr="00C84023">
        <w:rPr>
          <w:rFonts w:cstheme="minorHAnsi"/>
          <w:color w:val="231F20"/>
          <w:w w:val="105"/>
        </w:rPr>
        <w:t>certificate</w:t>
      </w:r>
      <w:r w:rsidRPr="00C84023">
        <w:rPr>
          <w:rFonts w:cstheme="minorHAnsi"/>
          <w:color w:val="231F20"/>
          <w:spacing w:val="-3"/>
          <w:w w:val="105"/>
        </w:rPr>
        <w:t xml:space="preserve"> </w:t>
      </w:r>
      <w:r w:rsidRPr="00C84023">
        <w:rPr>
          <w:rFonts w:cstheme="minorHAnsi"/>
          <w:color w:val="231F20"/>
          <w:w w:val="105"/>
        </w:rPr>
        <w:t>program.</w:t>
      </w:r>
      <w:r w:rsidRPr="00C84023">
        <w:rPr>
          <w:rFonts w:cstheme="minorHAnsi"/>
          <w:color w:val="231F20"/>
          <w:spacing w:val="6"/>
          <w:w w:val="105"/>
        </w:rPr>
        <w:t xml:space="preserve"> </w:t>
      </w:r>
      <w:r w:rsidRPr="00C84023">
        <w:rPr>
          <w:rFonts w:cstheme="minorHAnsi"/>
          <w:color w:val="231F20"/>
          <w:spacing w:val="-3"/>
          <w:w w:val="105"/>
        </w:rPr>
        <w:t>Training</w:t>
      </w:r>
      <w:r w:rsidRPr="00C84023">
        <w:rPr>
          <w:rFonts w:cstheme="minorHAnsi"/>
          <w:color w:val="231F20"/>
          <w:spacing w:val="6"/>
          <w:w w:val="105"/>
        </w:rPr>
        <w:t xml:space="preserve"> </w:t>
      </w:r>
      <w:r w:rsidRPr="00C84023">
        <w:rPr>
          <w:rFonts w:cstheme="minorHAnsi"/>
          <w:color w:val="231F20"/>
          <w:w w:val="105"/>
        </w:rPr>
        <w:t>is provided</w:t>
      </w:r>
      <w:r w:rsidRPr="00C84023">
        <w:rPr>
          <w:rFonts w:cstheme="minorHAnsi"/>
          <w:color w:val="231F20"/>
          <w:spacing w:val="6"/>
          <w:w w:val="105"/>
        </w:rPr>
        <w:t xml:space="preserve"> </w:t>
      </w:r>
      <w:r w:rsidRPr="00C84023">
        <w:rPr>
          <w:rFonts w:cstheme="minorHAnsi"/>
          <w:color w:val="231F20"/>
          <w:w w:val="105"/>
        </w:rPr>
        <w:t>to</w:t>
      </w:r>
      <w:r w:rsidRPr="00C84023">
        <w:rPr>
          <w:rFonts w:cstheme="minorHAnsi"/>
          <w:color w:val="231F20"/>
          <w:spacing w:val="6"/>
          <w:w w:val="105"/>
        </w:rPr>
        <w:t xml:space="preserve"> </w:t>
      </w:r>
      <w:r w:rsidRPr="00C84023">
        <w:rPr>
          <w:rFonts w:cstheme="minorHAnsi"/>
          <w:color w:val="231F20"/>
          <w:w w:val="105"/>
        </w:rPr>
        <w:t>support</w:t>
      </w:r>
      <w:r w:rsidRPr="00C84023">
        <w:rPr>
          <w:rFonts w:cstheme="minorHAnsi"/>
          <w:color w:val="231F20"/>
          <w:spacing w:val="6"/>
          <w:w w:val="105"/>
        </w:rPr>
        <w:t xml:space="preserve"> </w:t>
      </w:r>
      <w:r w:rsidRPr="00C84023">
        <w:rPr>
          <w:rFonts w:cstheme="minorHAnsi"/>
          <w:color w:val="231F20"/>
          <w:w w:val="105"/>
        </w:rPr>
        <w:t>the</w:t>
      </w:r>
      <w:r w:rsidRPr="00C84023">
        <w:rPr>
          <w:rFonts w:cstheme="minorHAnsi"/>
          <w:color w:val="231F20"/>
          <w:spacing w:val="6"/>
          <w:w w:val="105"/>
        </w:rPr>
        <w:t xml:space="preserve"> </w:t>
      </w:r>
      <w:r w:rsidRPr="00C84023">
        <w:rPr>
          <w:rFonts w:cstheme="minorHAnsi"/>
          <w:color w:val="231F20"/>
          <w:w w:val="105"/>
        </w:rPr>
        <w:t>development</w:t>
      </w:r>
      <w:r w:rsidRPr="00C84023">
        <w:rPr>
          <w:rFonts w:cstheme="minorHAnsi"/>
          <w:color w:val="231F20"/>
          <w:spacing w:val="6"/>
          <w:w w:val="105"/>
        </w:rPr>
        <w:t xml:space="preserve"> </w:t>
      </w:r>
      <w:r w:rsidRPr="00C84023">
        <w:rPr>
          <w:rFonts w:cstheme="minorHAnsi"/>
          <w:color w:val="231F20"/>
          <w:w w:val="105"/>
        </w:rPr>
        <w:t>and</w:t>
      </w:r>
      <w:r w:rsidRPr="00C84023">
        <w:rPr>
          <w:rFonts w:cstheme="minorHAnsi"/>
          <w:color w:val="231F20"/>
          <w:spacing w:val="6"/>
          <w:w w:val="105"/>
        </w:rPr>
        <w:t xml:space="preserve"> </w:t>
      </w:r>
      <w:r w:rsidRPr="00C84023">
        <w:rPr>
          <w:rFonts w:cstheme="minorHAnsi"/>
          <w:color w:val="231F20"/>
          <w:w w:val="105"/>
        </w:rPr>
        <w:t>implementation</w:t>
      </w:r>
      <w:r w:rsidRPr="00C84023">
        <w:rPr>
          <w:rFonts w:cstheme="minorHAnsi"/>
          <w:color w:val="231F20"/>
          <w:spacing w:val="6"/>
          <w:w w:val="105"/>
        </w:rPr>
        <w:t xml:space="preserve"> </w:t>
      </w:r>
      <w:r w:rsidRPr="00C84023">
        <w:rPr>
          <w:rFonts w:cstheme="minorHAnsi"/>
          <w:color w:val="231F20"/>
          <w:w w:val="105"/>
        </w:rPr>
        <w:t>of</w:t>
      </w:r>
      <w:r w:rsidRPr="00C84023">
        <w:rPr>
          <w:rFonts w:cstheme="minorHAnsi"/>
          <w:color w:val="231F20"/>
          <w:spacing w:val="-41"/>
          <w:w w:val="105"/>
        </w:rPr>
        <w:t xml:space="preserve"> </w:t>
      </w:r>
      <w:r w:rsidRPr="00C84023">
        <w:rPr>
          <w:rFonts w:cstheme="minorHAnsi"/>
          <w:color w:val="231F20"/>
          <w:w w:val="105"/>
        </w:rPr>
        <w:t>contextualized instruction with a career focus, career exploration and planning</w:t>
      </w:r>
      <w:r w:rsidR="00D5537E">
        <w:rPr>
          <w:rFonts w:cstheme="minorHAnsi"/>
          <w:color w:val="231F20"/>
          <w:w w:val="105"/>
        </w:rPr>
        <w:t xml:space="preserve"> and</w:t>
      </w:r>
      <w:r w:rsidRPr="00C84023">
        <w:rPr>
          <w:rFonts w:cstheme="minorHAnsi"/>
          <w:color w:val="231F20"/>
          <w:w w:val="105"/>
        </w:rPr>
        <w:t xml:space="preserve"> transition services.</w:t>
      </w:r>
    </w:p>
    <w:p w14:paraId="7ADA0F13" w14:textId="77777777" w:rsidR="00691C52" w:rsidRPr="00C84023" w:rsidRDefault="00691C52" w:rsidP="00D63204">
      <w:pPr>
        <w:widowControl w:val="0"/>
        <w:spacing w:after="0" w:line="264" w:lineRule="exact"/>
        <w:ind w:left="90"/>
        <w:rPr>
          <w:rFonts w:cstheme="minorHAnsi"/>
        </w:rPr>
      </w:pPr>
    </w:p>
    <w:p w14:paraId="6D8C44DA" w14:textId="77777777" w:rsidR="00D1174B" w:rsidRPr="00C84023" w:rsidRDefault="00D1174B" w:rsidP="00D63204">
      <w:pPr>
        <w:widowControl w:val="0"/>
        <w:spacing w:before="166" w:after="0" w:line="240" w:lineRule="auto"/>
        <w:ind w:left="90"/>
        <w:outlineLvl w:val="3"/>
        <w:rPr>
          <w:rFonts w:cstheme="minorHAnsi"/>
        </w:rPr>
      </w:pPr>
      <w:r w:rsidRPr="00C84023">
        <w:rPr>
          <w:rFonts w:cstheme="minorHAnsi"/>
          <w:b/>
          <w:bCs/>
          <w:i/>
          <w:color w:val="231F20"/>
          <w:w w:val="105"/>
        </w:rPr>
        <w:t>Integrated</w:t>
      </w:r>
      <w:r w:rsidRPr="00C84023">
        <w:rPr>
          <w:rFonts w:cstheme="minorHAnsi"/>
          <w:b/>
          <w:bCs/>
          <w:i/>
          <w:color w:val="231F20"/>
          <w:spacing w:val="-11"/>
          <w:w w:val="105"/>
        </w:rPr>
        <w:t xml:space="preserve"> </w:t>
      </w:r>
      <w:r w:rsidRPr="00C84023">
        <w:rPr>
          <w:rFonts w:cstheme="minorHAnsi"/>
          <w:b/>
          <w:bCs/>
          <w:i/>
          <w:color w:val="231F20"/>
          <w:w w:val="105"/>
        </w:rPr>
        <w:t>English</w:t>
      </w:r>
      <w:r w:rsidRPr="00C84023">
        <w:rPr>
          <w:rFonts w:cstheme="minorHAnsi"/>
          <w:b/>
          <w:bCs/>
          <w:i/>
          <w:color w:val="231F20"/>
          <w:spacing w:val="-11"/>
          <w:w w:val="105"/>
        </w:rPr>
        <w:t xml:space="preserve"> </w:t>
      </w:r>
      <w:r w:rsidRPr="00C84023">
        <w:rPr>
          <w:rFonts w:cstheme="minorHAnsi"/>
          <w:b/>
          <w:bCs/>
          <w:i/>
          <w:color w:val="231F20"/>
          <w:w w:val="105"/>
        </w:rPr>
        <w:t>Literacy</w:t>
      </w:r>
      <w:r w:rsidRPr="00C84023">
        <w:rPr>
          <w:rFonts w:cstheme="minorHAnsi"/>
          <w:b/>
          <w:bCs/>
          <w:i/>
          <w:color w:val="231F20"/>
          <w:spacing w:val="-11"/>
          <w:w w:val="105"/>
        </w:rPr>
        <w:t xml:space="preserve"> </w:t>
      </w:r>
      <w:r w:rsidRPr="00C84023">
        <w:rPr>
          <w:rFonts w:cstheme="minorHAnsi"/>
          <w:b/>
          <w:bCs/>
          <w:i/>
          <w:color w:val="231F20"/>
          <w:w w:val="105"/>
        </w:rPr>
        <w:t>and</w:t>
      </w:r>
      <w:r w:rsidRPr="00C84023">
        <w:rPr>
          <w:rFonts w:cstheme="minorHAnsi"/>
          <w:b/>
          <w:bCs/>
          <w:i/>
          <w:color w:val="231F20"/>
          <w:spacing w:val="-11"/>
          <w:w w:val="105"/>
        </w:rPr>
        <w:t xml:space="preserve"> </w:t>
      </w:r>
      <w:r w:rsidRPr="00C84023">
        <w:rPr>
          <w:rFonts w:cstheme="minorHAnsi"/>
          <w:b/>
          <w:bCs/>
          <w:i/>
          <w:color w:val="231F20"/>
          <w:w w:val="105"/>
        </w:rPr>
        <w:t>Civics</w:t>
      </w:r>
      <w:r w:rsidRPr="00C84023">
        <w:rPr>
          <w:rFonts w:cstheme="minorHAnsi"/>
          <w:b/>
          <w:bCs/>
          <w:i/>
          <w:color w:val="231F20"/>
          <w:spacing w:val="-11"/>
          <w:w w:val="105"/>
        </w:rPr>
        <w:t xml:space="preserve"> </w:t>
      </w:r>
      <w:r w:rsidRPr="00C84023">
        <w:rPr>
          <w:rFonts w:cstheme="minorHAnsi"/>
          <w:b/>
          <w:bCs/>
          <w:i/>
          <w:color w:val="231F20"/>
          <w:w w:val="105"/>
        </w:rPr>
        <w:t>Education</w:t>
      </w:r>
    </w:p>
    <w:p w14:paraId="393A5F19" w14:textId="77777777" w:rsidR="00D1174B" w:rsidRPr="00C84023" w:rsidRDefault="00D1174B" w:rsidP="00D63204">
      <w:pPr>
        <w:widowControl w:val="0"/>
        <w:spacing w:before="2" w:after="0" w:line="264" w:lineRule="exact"/>
        <w:ind w:left="90"/>
        <w:rPr>
          <w:rFonts w:cstheme="minorHAnsi"/>
        </w:rPr>
      </w:pPr>
      <w:r w:rsidRPr="00C84023">
        <w:rPr>
          <w:rFonts w:cstheme="minorHAnsi"/>
          <w:w w:val="105"/>
        </w:rPr>
        <w:t>Civics</w:t>
      </w:r>
      <w:r w:rsidRPr="00C84023">
        <w:rPr>
          <w:rFonts w:cstheme="minorHAnsi"/>
          <w:spacing w:val="17"/>
          <w:w w:val="105"/>
        </w:rPr>
        <w:t xml:space="preserve"> </w:t>
      </w:r>
      <w:r w:rsidRPr="00C84023">
        <w:rPr>
          <w:rFonts w:cstheme="minorHAnsi"/>
          <w:w w:val="105"/>
        </w:rPr>
        <w:t>standards</w:t>
      </w:r>
      <w:r w:rsidRPr="00C84023">
        <w:rPr>
          <w:rFonts w:cstheme="minorHAnsi"/>
          <w:spacing w:val="17"/>
          <w:w w:val="105"/>
        </w:rPr>
        <w:t xml:space="preserve"> </w:t>
      </w:r>
      <w:r w:rsidRPr="00C84023">
        <w:rPr>
          <w:rFonts w:cstheme="minorHAnsi"/>
          <w:w w:val="105"/>
        </w:rPr>
        <w:t>are</w:t>
      </w:r>
      <w:r w:rsidRPr="00C84023">
        <w:rPr>
          <w:rFonts w:cstheme="minorHAnsi"/>
          <w:spacing w:val="17"/>
          <w:w w:val="105"/>
        </w:rPr>
        <w:t xml:space="preserve"> </w:t>
      </w:r>
      <w:r w:rsidRPr="00C84023">
        <w:rPr>
          <w:rFonts w:cstheme="minorHAnsi"/>
          <w:w w:val="105"/>
        </w:rPr>
        <w:t>integrated</w:t>
      </w:r>
      <w:r w:rsidRPr="00C84023">
        <w:rPr>
          <w:rFonts w:cstheme="minorHAnsi"/>
          <w:spacing w:val="17"/>
          <w:w w:val="105"/>
        </w:rPr>
        <w:t xml:space="preserve"> </w:t>
      </w:r>
      <w:r w:rsidRPr="00C84023">
        <w:rPr>
          <w:rFonts w:cstheme="minorHAnsi"/>
          <w:w w:val="105"/>
        </w:rPr>
        <w:t>in</w:t>
      </w:r>
      <w:r w:rsidRPr="00C84023">
        <w:rPr>
          <w:rFonts w:cstheme="minorHAnsi"/>
          <w:spacing w:val="17"/>
          <w:w w:val="105"/>
        </w:rPr>
        <w:t xml:space="preserve"> </w:t>
      </w:r>
      <w:r w:rsidRPr="00C84023">
        <w:rPr>
          <w:rFonts w:cstheme="minorHAnsi"/>
          <w:w w:val="105"/>
        </w:rPr>
        <w:t>the</w:t>
      </w:r>
      <w:r w:rsidRPr="00C84023">
        <w:rPr>
          <w:rFonts w:cstheme="minorHAnsi"/>
          <w:spacing w:val="17"/>
          <w:w w:val="105"/>
        </w:rPr>
        <w:t xml:space="preserve"> </w:t>
      </w:r>
      <w:r w:rsidRPr="00C84023">
        <w:rPr>
          <w:rFonts w:cstheme="minorHAnsi"/>
          <w:w w:val="105"/>
        </w:rPr>
        <w:t>ESOL</w:t>
      </w:r>
      <w:r w:rsidRPr="00C84023">
        <w:rPr>
          <w:rFonts w:cstheme="minorHAnsi"/>
          <w:spacing w:val="17"/>
          <w:w w:val="105"/>
        </w:rPr>
        <w:t xml:space="preserve"> </w:t>
      </w:r>
      <w:r w:rsidRPr="00C84023">
        <w:rPr>
          <w:rFonts w:cstheme="minorHAnsi"/>
          <w:w w:val="105"/>
        </w:rPr>
        <w:t>curriculum</w:t>
      </w:r>
      <w:r w:rsidRPr="00C84023">
        <w:rPr>
          <w:rFonts w:cstheme="minorHAnsi"/>
          <w:spacing w:val="17"/>
          <w:w w:val="105"/>
        </w:rPr>
        <w:t xml:space="preserve"> </w:t>
      </w:r>
      <w:r w:rsidRPr="00C84023">
        <w:rPr>
          <w:rFonts w:cstheme="minorHAnsi"/>
          <w:w w:val="105"/>
        </w:rPr>
        <w:t>frameworks.</w:t>
      </w:r>
      <w:r w:rsidRPr="00C84023">
        <w:rPr>
          <w:rFonts w:cstheme="minorHAnsi"/>
          <w:spacing w:val="17"/>
          <w:w w:val="105"/>
        </w:rPr>
        <w:t xml:space="preserve"> </w:t>
      </w:r>
      <w:r w:rsidRPr="00C84023">
        <w:rPr>
          <w:rFonts w:cstheme="minorHAnsi"/>
          <w:w w:val="105"/>
        </w:rPr>
        <w:t>Workshops</w:t>
      </w:r>
      <w:r w:rsidRPr="00C84023">
        <w:rPr>
          <w:rFonts w:cstheme="minorHAnsi"/>
          <w:spacing w:val="17"/>
          <w:w w:val="105"/>
        </w:rPr>
        <w:t xml:space="preserve"> </w:t>
      </w:r>
      <w:r w:rsidRPr="00C84023">
        <w:rPr>
          <w:rFonts w:cstheme="minorHAnsi"/>
          <w:w w:val="105"/>
        </w:rPr>
        <w:t>on</w:t>
      </w:r>
      <w:r w:rsidRPr="00C84023">
        <w:rPr>
          <w:rFonts w:cstheme="minorHAnsi"/>
          <w:spacing w:val="17"/>
          <w:w w:val="105"/>
        </w:rPr>
        <w:t xml:space="preserve"> </w:t>
      </w:r>
      <w:r w:rsidRPr="00C84023">
        <w:rPr>
          <w:rFonts w:cstheme="minorHAnsi"/>
          <w:w w:val="105"/>
        </w:rPr>
        <w:t>integrating civics</w:t>
      </w:r>
      <w:r w:rsidRPr="00C84023">
        <w:rPr>
          <w:rFonts w:cstheme="minorHAnsi"/>
          <w:spacing w:val="11"/>
          <w:w w:val="105"/>
        </w:rPr>
        <w:t xml:space="preserve"> </w:t>
      </w:r>
      <w:r w:rsidRPr="00C84023">
        <w:rPr>
          <w:rFonts w:cstheme="minorHAnsi"/>
          <w:w w:val="105"/>
        </w:rPr>
        <w:t>activities</w:t>
      </w:r>
      <w:r w:rsidRPr="00C84023">
        <w:rPr>
          <w:rFonts w:cstheme="minorHAnsi"/>
          <w:spacing w:val="11"/>
          <w:w w:val="105"/>
        </w:rPr>
        <w:t xml:space="preserve"> </w:t>
      </w:r>
      <w:r w:rsidRPr="00C84023">
        <w:rPr>
          <w:rFonts w:cstheme="minorHAnsi"/>
          <w:w w:val="105"/>
        </w:rPr>
        <w:t>in the</w:t>
      </w:r>
      <w:r w:rsidRPr="00C84023">
        <w:rPr>
          <w:rFonts w:cstheme="minorHAnsi"/>
          <w:spacing w:val="11"/>
          <w:w w:val="105"/>
        </w:rPr>
        <w:t xml:space="preserve"> </w:t>
      </w:r>
      <w:r w:rsidRPr="00C84023">
        <w:rPr>
          <w:rFonts w:cstheme="minorHAnsi"/>
          <w:w w:val="105"/>
        </w:rPr>
        <w:t>ESOL</w:t>
      </w:r>
      <w:r w:rsidRPr="00C84023">
        <w:rPr>
          <w:rFonts w:cstheme="minorHAnsi"/>
          <w:spacing w:val="11"/>
          <w:w w:val="105"/>
        </w:rPr>
        <w:t xml:space="preserve"> </w:t>
      </w:r>
      <w:r w:rsidRPr="00C84023">
        <w:rPr>
          <w:rFonts w:cstheme="minorHAnsi"/>
          <w:w w:val="105"/>
        </w:rPr>
        <w:t>program</w:t>
      </w:r>
      <w:r w:rsidRPr="00C84023">
        <w:rPr>
          <w:rFonts w:cstheme="minorHAnsi"/>
          <w:spacing w:val="11"/>
          <w:w w:val="105"/>
        </w:rPr>
        <w:t xml:space="preserve"> </w:t>
      </w:r>
      <w:r w:rsidRPr="00C84023">
        <w:rPr>
          <w:rFonts w:cstheme="minorHAnsi"/>
          <w:w w:val="105"/>
        </w:rPr>
        <w:t>are conducted</w:t>
      </w:r>
      <w:r w:rsidRPr="00C84023">
        <w:rPr>
          <w:rFonts w:cstheme="minorHAnsi"/>
          <w:spacing w:val="11"/>
          <w:w w:val="105"/>
        </w:rPr>
        <w:t xml:space="preserve"> </w:t>
      </w:r>
      <w:r w:rsidRPr="00C84023">
        <w:rPr>
          <w:rFonts w:cstheme="minorHAnsi"/>
          <w:w w:val="105"/>
        </w:rPr>
        <w:t>annually.</w:t>
      </w:r>
      <w:r w:rsidRPr="00C84023">
        <w:rPr>
          <w:rFonts w:cstheme="minorHAnsi"/>
          <w:spacing w:val="22"/>
          <w:w w:val="105"/>
        </w:rPr>
        <w:t xml:space="preserve"> </w:t>
      </w:r>
      <w:r w:rsidRPr="00C84023">
        <w:rPr>
          <w:rFonts w:cstheme="minorHAnsi"/>
          <w:w w:val="105"/>
        </w:rPr>
        <w:t>Webinars</w:t>
      </w:r>
      <w:r w:rsidRPr="00C84023">
        <w:rPr>
          <w:rFonts w:cstheme="minorHAnsi"/>
          <w:spacing w:val="11"/>
          <w:w w:val="105"/>
        </w:rPr>
        <w:t xml:space="preserve"> </w:t>
      </w:r>
      <w:r w:rsidRPr="00C84023">
        <w:rPr>
          <w:rFonts w:cstheme="minorHAnsi"/>
          <w:w w:val="105"/>
        </w:rPr>
        <w:t>on</w:t>
      </w:r>
      <w:r w:rsidRPr="00C84023">
        <w:rPr>
          <w:rFonts w:cstheme="minorHAnsi"/>
          <w:spacing w:val="11"/>
          <w:w w:val="105"/>
        </w:rPr>
        <w:t xml:space="preserve"> </w:t>
      </w:r>
      <w:r w:rsidRPr="00C84023">
        <w:rPr>
          <w:rFonts w:cstheme="minorHAnsi"/>
          <w:w w:val="105"/>
        </w:rPr>
        <w:t>civics</w:t>
      </w:r>
      <w:r w:rsidRPr="00C84023">
        <w:rPr>
          <w:rFonts w:cstheme="minorHAnsi"/>
          <w:spacing w:val="11"/>
          <w:w w:val="105"/>
        </w:rPr>
        <w:t xml:space="preserve"> </w:t>
      </w:r>
      <w:r w:rsidRPr="00C84023">
        <w:rPr>
          <w:rFonts w:cstheme="minorHAnsi"/>
          <w:w w:val="105"/>
        </w:rPr>
        <w:t>activities</w:t>
      </w:r>
      <w:r w:rsidRPr="00C84023">
        <w:rPr>
          <w:rFonts w:cstheme="minorHAnsi"/>
          <w:spacing w:val="11"/>
          <w:w w:val="105"/>
        </w:rPr>
        <w:t xml:space="preserve"> </w:t>
      </w:r>
      <w:r w:rsidRPr="00C84023">
        <w:rPr>
          <w:rFonts w:cstheme="minorHAnsi"/>
          <w:w w:val="105"/>
        </w:rPr>
        <w:t>and</w:t>
      </w:r>
      <w:r w:rsidRPr="00C84023">
        <w:rPr>
          <w:rFonts w:cstheme="minorHAnsi"/>
          <w:spacing w:val="12"/>
          <w:w w:val="105"/>
        </w:rPr>
        <w:t xml:space="preserve"> </w:t>
      </w:r>
      <w:r w:rsidRPr="00C84023">
        <w:rPr>
          <w:rFonts w:cstheme="minorHAnsi"/>
          <w:w w:val="105"/>
        </w:rPr>
        <w:t>integration</w:t>
      </w:r>
      <w:r w:rsidRPr="00C84023">
        <w:rPr>
          <w:rFonts w:cstheme="minorHAnsi"/>
          <w:spacing w:val="12"/>
          <w:w w:val="105"/>
        </w:rPr>
        <w:t xml:space="preserve"> </w:t>
      </w:r>
      <w:r w:rsidRPr="00C84023">
        <w:rPr>
          <w:rFonts w:cstheme="minorHAnsi"/>
          <w:w w:val="105"/>
        </w:rPr>
        <w:t>strategies</w:t>
      </w:r>
      <w:r w:rsidRPr="00C84023">
        <w:rPr>
          <w:rFonts w:cstheme="minorHAnsi"/>
          <w:spacing w:val="12"/>
          <w:w w:val="105"/>
        </w:rPr>
        <w:t xml:space="preserve"> </w:t>
      </w:r>
      <w:r w:rsidRPr="00C84023">
        <w:rPr>
          <w:rFonts w:cstheme="minorHAnsi"/>
          <w:w w:val="105"/>
        </w:rPr>
        <w:t>are available</w:t>
      </w:r>
      <w:r w:rsidRPr="00C84023">
        <w:rPr>
          <w:rFonts w:cstheme="minorHAnsi"/>
          <w:spacing w:val="12"/>
          <w:w w:val="105"/>
        </w:rPr>
        <w:t xml:space="preserve"> </w:t>
      </w:r>
      <w:r w:rsidRPr="00C84023">
        <w:rPr>
          <w:rFonts w:cstheme="minorHAnsi"/>
          <w:w w:val="105"/>
        </w:rPr>
        <w:t>and</w:t>
      </w:r>
      <w:r w:rsidRPr="00C84023">
        <w:rPr>
          <w:rFonts w:cstheme="minorHAnsi"/>
          <w:spacing w:val="12"/>
          <w:w w:val="105"/>
        </w:rPr>
        <w:t xml:space="preserve"> </w:t>
      </w:r>
      <w:r w:rsidRPr="00C84023">
        <w:rPr>
          <w:rFonts w:cstheme="minorHAnsi"/>
          <w:w w:val="105"/>
        </w:rPr>
        <w:t>archived</w:t>
      </w:r>
      <w:r w:rsidRPr="00C84023">
        <w:rPr>
          <w:rFonts w:cstheme="minorHAnsi"/>
          <w:spacing w:val="11"/>
          <w:w w:val="105"/>
        </w:rPr>
        <w:t xml:space="preserve"> </w:t>
      </w:r>
      <w:r w:rsidRPr="00C84023">
        <w:rPr>
          <w:rFonts w:cstheme="minorHAnsi"/>
          <w:w w:val="105"/>
        </w:rPr>
        <w:t>on</w:t>
      </w:r>
      <w:r w:rsidRPr="00C84023">
        <w:rPr>
          <w:rFonts w:cstheme="minorHAnsi"/>
          <w:spacing w:val="12"/>
          <w:w w:val="105"/>
        </w:rPr>
        <w:t xml:space="preserve"> </w:t>
      </w:r>
      <w:r w:rsidRPr="00C84023">
        <w:rPr>
          <w:rFonts w:cstheme="minorHAnsi"/>
          <w:w w:val="105"/>
        </w:rPr>
        <w:t>the</w:t>
      </w:r>
      <w:r w:rsidRPr="00C84023">
        <w:rPr>
          <w:rFonts w:cstheme="minorHAnsi"/>
          <w:spacing w:val="12"/>
          <w:w w:val="105"/>
        </w:rPr>
        <w:t xml:space="preserve"> </w:t>
      </w:r>
      <w:r w:rsidRPr="00C84023">
        <w:rPr>
          <w:rFonts w:cstheme="minorHAnsi"/>
          <w:w w:val="105"/>
        </w:rPr>
        <w:t>Institute</w:t>
      </w:r>
      <w:r w:rsidRPr="00C84023">
        <w:rPr>
          <w:rFonts w:cstheme="minorHAnsi"/>
          <w:spacing w:val="12"/>
          <w:w w:val="105"/>
        </w:rPr>
        <w:t xml:space="preserve"> </w:t>
      </w:r>
      <w:r w:rsidRPr="00C84023">
        <w:rPr>
          <w:rFonts w:cstheme="minorHAnsi"/>
          <w:w w:val="105"/>
        </w:rPr>
        <w:t>for</w:t>
      </w:r>
      <w:r w:rsidRPr="00C84023">
        <w:rPr>
          <w:rFonts w:cstheme="minorHAnsi"/>
          <w:spacing w:val="12"/>
          <w:w w:val="105"/>
        </w:rPr>
        <w:t xml:space="preserve"> </w:t>
      </w:r>
      <w:r w:rsidRPr="00C84023">
        <w:rPr>
          <w:rFonts w:cstheme="minorHAnsi"/>
          <w:w w:val="105"/>
        </w:rPr>
        <w:t>Professional</w:t>
      </w:r>
      <w:r w:rsidRPr="00C84023">
        <w:rPr>
          <w:rFonts w:cstheme="minorHAnsi"/>
          <w:spacing w:val="12"/>
          <w:w w:val="105"/>
        </w:rPr>
        <w:t xml:space="preserve"> </w:t>
      </w:r>
      <w:r w:rsidRPr="00C84023">
        <w:rPr>
          <w:rFonts w:cstheme="minorHAnsi"/>
          <w:w w:val="105"/>
        </w:rPr>
        <w:t>Development</w:t>
      </w:r>
      <w:r w:rsidRPr="00C84023">
        <w:rPr>
          <w:rFonts w:cstheme="minorHAnsi"/>
          <w:spacing w:val="8"/>
          <w:w w:val="105"/>
        </w:rPr>
        <w:t xml:space="preserve"> </w:t>
      </w:r>
      <w:r w:rsidRPr="00C84023">
        <w:rPr>
          <w:rFonts w:cstheme="minorHAnsi"/>
          <w:w w:val="105"/>
        </w:rPr>
        <w:t>for</w:t>
      </w:r>
      <w:r w:rsidRPr="00C84023">
        <w:rPr>
          <w:rFonts w:cstheme="minorHAnsi"/>
          <w:spacing w:val="7"/>
        </w:rPr>
        <w:t xml:space="preserve"> </w:t>
      </w:r>
      <w:r w:rsidRPr="00C84023">
        <w:rPr>
          <w:rFonts w:cstheme="minorHAnsi"/>
          <w:w w:val="105"/>
        </w:rPr>
        <w:t xml:space="preserve">Adult Educators (IPDAE) website at </w:t>
      </w:r>
      <w:hyperlink r:id="rId162">
        <w:r w:rsidRPr="00704DA7">
          <w:rPr>
            <w:rStyle w:val="Hyperlink"/>
            <w:rFonts w:cstheme="minorHAnsi"/>
          </w:rPr>
          <w:t>http://www.floridaipdae.org</w:t>
        </w:r>
      </w:hyperlink>
      <w:r w:rsidRPr="00704DA7">
        <w:rPr>
          <w:rStyle w:val="Hyperlink"/>
          <w:rFonts w:cstheme="minorHAnsi"/>
        </w:rPr>
        <w:t>.</w:t>
      </w:r>
      <w:r w:rsidRPr="00C84023">
        <w:rPr>
          <w:rFonts w:cstheme="minorHAnsi"/>
          <w:color w:val="231F20"/>
          <w:w w:val="105"/>
        </w:rPr>
        <w:t xml:space="preserve"> </w:t>
      </w:r>
      <w:r w:rsidRPr="00C84023">
        <w:rPr>
          <w:rFonts w:cstheme="minorHAnsi"/>
          <w:w w:val="105"/>
        </w:rPr>
        <w:t>The adult ESOL courses are contextualized</w:t>
      </w:r>
      <w:r w:rsidRPr="00C84023">
        <w:rPr>
          <w:rFonts w:cstheme="minorHAnsi"/>
          <w:spacing w:val="11"/>
          <w:w w:val="105"/>
        </w:rPr>
        <w:t xml:space="preserve"> </w:t>
      </w:r>
      <w:r w:rsidRPr="00C84023">
        <w:rPr>
          <w:rFonts w:cstheme="minorHAnsi"/>
          <w:w w:val="105"/>
        </w:rPr>
        <w:t>to</w:t>
      </w:r>
      <w:r w:rsidRPr="00C84023">
        <w:rPr>
          <w:rFonts w:cstheme="minorHAnsi"/>
          <w:spacing w:val="11"/>
          <w:w w:val="105"/>
        </w:rPr>
        <w:t xml:space="preserve"> </w:t>
      </w:r>
      <w:r w:rsidRPr="00C84023">
        <w:rPr>
          <w:rFonts w:cstheme="minorHAnsi"/>
          <w:w w:val="105"/>
        </w:rPr>
        <w:t>support</w:t>
      </w:r>
      <w:r w:rsidRPr="00C84023">
        <w:rPr>
          <w:rFonts w:cstheme="minorHAnsi"/>
          <w:spacing w:val="11"/>
          <w:w w:val="105"/>
        </w:rPr>
        <w:t xml:space="preserve"> </w:t>
      </w:r>
      <w:r w:rsidRPr="00C84023">
        <w:rPr>
          <w:rFonts w:cstheme="minorHAnsi"/>
          <w:w w:val="105"/>
        </w:rPr>
        <w:t>transition</w:t>
      </w:r>
      <w:r w:rsidRPr="00C84023">
        <w:rPr>
          <w:rFonts w:cstheme="minorHAnsi"/>
          <w:spacing w:val="11"/>
          <w:w w:val="105"/>
        </w:rPr>
        <w:t xml:space="preserve"> </w:t>
      </w:r>
      <w:r w:rsidRPr="00C84023">
        <w:rPr>
          <w:rFonts w:cstheme="minorHAnsi"/>
          <w:w w:val="105"/>
        </w:rPr>
        <w:t>to</w:t>
      </w:r>
      <w:r w:rsidRPr="00C84023">
        <w:rPr>
          <w:rFonts w:cstheme="minorHAnsi"/>
          <w:spacing w:val="11"/>
          <w:w w:val="105"/>
        </w:rPr>
        <w:t xml:space="preserve"> </w:t>
      </w:r>
      <w:r w:rsidRPr="00C84023">
        <w:rPr>
          <w:rFonts w:cstheme="minorHAnsi"/>
          <w:w w:val="105"/>
        </w:rPr>
        <w:t>ABE</w:t>
      </w:r>
      <w:r w:rsidRPr="00C84023">
        <w:rPr>
          <w:rFonts w:cstheme="minorHAnsi"/>
          <w:spacing w:val="11"/>
          <w:w w:val="105"/>
        </w:rPr>
        <w:t xml:space="preserve"> </w:t>
      </w:r>
      <w:r w:rsidRPr="00C84023">
        <w:rPr>
          <w:rFonts w:cstheme="minorHAnsi"/>
          <w:w w:val="105"/>
        </w:rPr>
        <w:t>or</w:t>
      </w:r>
      <w:r w:rsidRPr="00C84023">
        <w:rPr>
          <w:rFonts w:cstheme="minorHAnsi"/>
          <w:spacing w:val="11"/>
          <w:w w:val="105"/>
        </w:rPr>
        <w:t xml:space="preserve"> </w:t>
      </w:r>
      <w:r w:rsidRPr="00C84023">
        <w:rPr>
          <w:rFonts w:cstheme="minorHAnsi"/>
          <w:w w:val="105"/>
        </w:rPr>
        <w:t>GED</w:t>
      </w:r>
      <w:r w:rsidRPr="00C84023">
        <w:rPr>
          <w:rFonts w:cstheme="minorHAnsi"/>
          <w:w w:val="105"/>
          <w:position w:val="7"/>
          <w:sz w:val="13"/>
        </w:rPr>
        <w:t>®</w:t>
      </w:r>
      <w:r w:rsidRPr="00C84023">
        <w:rPr>
          <w:rFonts w:cstheme="minorHAnsi"/>
          <w:spacing w:val="2"/>
          <w:w w:val="105"/>
          <w:position w:val="7"/>
          <w:sz w:val="13"/>
        </w:rPr>
        <w:t xml:space="preserve"> </w:t>
      </w:r>
      <w:r w:rsidRPr="00C84023">
        <w:rPr>
          <w:rFonts w:cstheme="minorHAnsi"/>
          <w:w w:val="105"/>
        </w:rPr>
        <w:t>Preparation</w:t>
      </w:r>
      <w:r w:rsidRPr="00C84023">
        <w:rPr>
          <w:rFonts w:cstheme="minorHAnsi"/>
          <w:spacing w:val="11"/>
          <w:w w:val="105"/>
        </w:rPr>
        <w:t xml:space="preserve"> </w:t>
      </w:r>
      <w:r w:rsidRPr="00C84023">
        <w:rPr>
          <w:rFonts w:cstheme="minorHAnsi"/>
          <w:w w:val="105"/>
        </w:rPr>
        <w:t>and</w:t>
      </w:r>
      <w:r w:rsidRPr="00C84023">
        <w:rPr>
          <w:rFonts w:cstheme="minorHAnsi"/>
          <w:spacing w:val="11"/>
          <w:w w:val="105"/>
        </w:rPr>
        <w:t xml:space="preserve"> </w:t>
      </w:r>
      <w:r w:rsidRPr="00C84023">
        <w:rPr>
          <w:rFonts w:cstheme="minorHAnsi"/>
          <w:w w:val="105"/>
        </w:rPr>
        <w:t>to</w:t>
      </w:r>
      <w:r w:rsidRPr="00C84023">
        <w:rPr>
          <w:rFonts w:cstheme="minorHAnsi"/>
          <w:spacing w:val="11"/>
          <w:w w:val="105"/>
        </w:rPr>
        <w:t xml:space="preserve"> </w:t>
      </w:r>
      <w:r w:rsidRPr="00C84023">
        <w:rPr>
          <w:rFonts w:cstheme="minorHAnsi"/>
          <w:w w:val="105"/>
        </w:rPr>
        <w:t>postsecondary</w:t>
      </w:r>
      <w:r w:rsidRPr="00C84023">
        <w:rPr>
          <w:rFonts w:cstheme="minorHAnsi"/>
          <w:spacing w:val="11"/>
          <w:w w:val="105"/>
        </w:rPr>
        <w:t xml:space="preserve"> </w:t>
      </w:r>
      <w:r w:rsidRPr="00C84023">
        <w:rPr>
          <w:rFonts w:cstheme="minorHAnsi"/>
          <w:w w:val="105"/>
        </w:rPr>
        <w:t>education</w:t>
      </w:r>
      <w:r w:rsidRPr="00C84023">
        <w:rPr>
          <w:rFonts w:cstheme="minorHAnsi"/>
          <w:spacing w:val="11"/>
          <w:w w:val="105"/>
        </w:rPr>
        <w:t xml:space="preserve"> </w:t>
      </w:r>
      <w:r w:rsidRPr="00C84023">
        <w:rPr>
          <w:rFonts w:cstheme="minorHAnsi"/>
          <w:w w:val="105"/>
        </w:rPr>
        <w:t>and employment. Professional development is provided on developing and delivering contextualized</w:t>
      </w:r>
      <w:r w:rsidRPr="00C84023">
        <w:rPr>
          <w:rFonts w:cstheme="minorHAnsi"/>
          <w:spacing w:val="18"/>
          <w:w w:val="105"/>
        </w:rPr>
        <w:t xml:space="preserve"> </w:t>
      </w:r>
      <w:r w:rsidRPr="00C84023">
        <w:rPr>
          <w:rFonts w:cstheme="minorHAnsi"/>
          <w:w w:val="105"/>
        </w:rPr>
        <w:t>curriculum.</w:t>
      </w:r>
    </w:p>
    <w:p w14:paraId="7A1BEC40" w14:textId="2ABFB5E3" w:rsidR="00EA7458" w:rsidRPr="00C84023" w:rsidRDefault="00EA7458" w:rsidP="00D63204">
      <w:pPr>
        <w:widowControl w:val="0"/>
        <w:spacing w:before="2" w:after="0" w:line="264" w:lineRule="exact"/>
        <w:ind w:left="90"/>
        <w:rPr>
          <w:rFonts w:cstheme="minorHAnsi"/>
        </w:rPr>
      </w:pPr>
    </w:p>
    <w:p w14:paraId="1C43510F" w14:textId="77777777" w:rsidR="00EA7458" w:rsidRPr="00C84023" w:rsidRDefault="00EA7458" w:rsidP="00D63204">
      <w:pPr>
        <w:widowControl w:val="0"/>
        <w:spacing w:after="0" w:line="264" w:lineRule="exact"/>
        <w:ind w:left="90"/>
        <w:rPr>
          <w:rFonts w:cstheme="minorHAnsi"/>
        </w:rPr>
        <w:sectPr w:rsidR="00EA7458" w:rsidRPr="00C84023">
          <w:pgSz w:w="12240" w:h="15840"/>
          <w:pgMar w:top="1620" w:right="900" w:bottom="820" w:left="900" w:header="812" w:footer="624" w:gutter="0"/>
          <w:cols w:space="720"/>
        </w:sectPr>
      </w:pPr>
    </w:p>
    <w:p w14:paraId="5D895F06" w14:textId="77777777" w:rsidR="00EA7458" w:rsidRPr="00C84023" w:rsidRDefault="00EA7458" w:rsidP="00D63204">
      <w:pPr>
        <w:widowControl w:val="0"/>
        <w:spacing w:before="4" w:after="0" w:line="240" w:lineRule="auto"/>
        <w:ind w:left="90"/>
        <w:rPr>
          <w:rFonts w:cstheme="minorHAnsi"/>
          <w:sz w:val="14"/>
          <w:szCs w:val="14"/>
        </w:rPr>
      </w:pPr>
    </w:p>
    <w:p w14:paraId="7A0F5A51" w14:textId="77777777" w:rsidR="00EA7458" w:rsidRPr="00C84023" w:rsidRDefault="00EA7458" w:rsidP="00D63204">
      <w:pPr>
        <w:widowControl w:val="0"/>
        <w:spacing w:before="57" w:after="0" w:line="266" w:lineRule="exact"/>
        <w:ind w:left="90"/>
        <w:outlineLvl w:val="2"/>
        <w:rPr>
          <w:rFonts w:cstheme="minorHAnsi"/>
        </w:rPr>
      </w:pPr>
      <w:bookmarkStart w:id="129" w:name="(c)_Corrections_Education_and_Other_Educ"/>
      <w:bookmarkStart w:id="130" w:name="(d)_Integrated_English_Literacy_and_Civi"/>
      <w:bookmarkStart w:id="131" w:name="_bookmark70"/>
      <w:bookmarkEnd w:id="129"/>
      <w:bookmarkEnd w:id="130"/>
      <w:bookmarkEnd w:id="131"/>
      <w:r w:rsidRPr="00C84023">
        <w:rPr>
          <w:rFonts w:cstheme="minorHAnsi"/>
          <w:b/>
          <w:bCs/>
          <w:color w:val="231F20"/>
          <w:w w:val="110"/>
        </w:rPr>
        <w:t>Special</w:t>
      </w:r>
      <w:r w:rsidRPr="00C84023">
        <w:rPr>
          <w:rFonts w:cstheme="minorHAnsi"/>
          <w:b/>
          <w:bCs/>
          <w:color w:val="231F20"/>
          <w:spacing w:val="16"/>
          <w:w w:val="110"/>
        </w:rPr>
        <w:t xml:space="preserve"> </w:t>
      </w:r>
      <w:r w:rsidRPr="00C84023">
        <w:rPr>
          <w:rFonts w:cstheme="minorHAnsi"/>
          <w:b/>
          <w:bCs/>
          <w:color w:val="231F20"/>
          <w:w w:val="110"/>
        </w:rPr>
        <w:t>Rule</w:t>
      </w:r>
    </w:p>
    <w:p w14:paraId="7F6F7302" w14:textId="77777777" w:rsidR="00D1174B" w:rsidRPr="00C84023" w:rsidRDefault="00D1174B" w:rsidP="00D63204">
      <w:pPr>
        <w:widowControl w:val="0"/>
        <w:spacing w:before="2" w:after="0" w:line="235" w:lineRule="auto"/>
        <w:ind w:left="90"/>
        <w:rPr>
          <w:rFonts w:cstheme="minorHAnsi"/>
        </w:rPr>
      </w:pPr>
      <w:r w:rsidRPr="00C84023">
        <w:rPr>
          <w:rFonts w:cstheme="minorHAnsi"/>
          <w:w w:val="105"/>
        </w:rPr>
        <w:t>A</w:t>
      </w:r>
      <w:r w:rsidRPr="00C84023">
        <w:rPr>
          <w:rFonts w:cstheme="minorHAnsi"/>
          <w:spacing w:val="11"/>
          <w:w w:val="105"/>
        </w:rPr>
        <w:t xml:space="preserve"> </w:t>
      </w:r>
      <w:r w:rsidRPr="00C84023">
        <w:rPr>
          <w:rFonts w:cstheme="minorHAnsi"/>
          <w:w w:val="105"/>
        </w:rPr>
        <w:t>Request</w:t>
      </w:r>
      <w:r w:rsidRPr="00C84023">
        <w:rPr>
          <w:rFonts w:cstheme="minorHAnsi"/>
          <w:spacing w:val="11"/>
          <w:w w:val="105"/>
        </w:rPr>
        <w:t xml:space="preserve"> </w:t>
      </w:r>
      <w:r w:rsidRPr="00C84023">
        <w:rPr>
          <w:rFonts w:cstheme="minorHAnsi"/>
          <w:w w:val="105"/>
        </w:rPr>
        <w:t>for</w:t>
      </w:r>
      <w:r w:rsidRPr="00C84023">
        <w:rPr>
          <w:rFonts w:cstheme="minorHAnsi"/>
          <w:spacing w:val="11"/>
          <w:w w:val="105"/>
        </w:rPr>
        <w:t xml:space="preserve"> </w:t>
      </w:r>
      <w:r w:rsidRPr="00C84023">
        <w:rPr>
          <w:rFonts w:cstheme="minorHAnsi"/>
          <w:w w:val="105"/>
        </w:rPr>
        <w:t>Application</w:t>
      </w:r>
      <w:r w:rsidRPr="00C84023">
        <w:rPr>
          <w:rFonts w:cstheme="minorHAnsi"/>
          <w:spacing w:val="11"/>
          <w:w w:val="105"/>
        </w:rPr>
        <w:t xml:space="preserve"> </w:t>
      </w:r>
      <w:r w:rsidRPr="00C84023">
        <w:rPr>
          <w:rFonts w:cstheme="minorHAnsi"/>
          <w:w w:val="105"/>
        </w:rPr>
        <w:t>(RFA)</w:t>
      </w:r>
      <w:r w:rsidRPr="00C84023">
        <w:rPr>
          <w:rFonts w:cstheme="minorHAnsi"/>
          <w:spacing w:val="11"/>
          <w:w w:val="105"/>
        </w:rPr>
        <w:t xml:space="preserve"> </w:t>
      </w:r>
      <w:r w:rsidRPr="00C84023">
        <w:rPr>
          <w:rFonts w:cstheme="minorHAnsi"/>
          <w:w w:val="105"/>
        </w:rPr>
        <w:t>and</w:t>
      </w:r>
      <w:r w:rsidRPr="00C84023">
        <w:rPr>
          <w:rFonts w:cstheme="minorHAnsi"/>
          <w:spacing w:val="11"/>
          <w:w w:val="105"/>
        </w:rPr>
        <w:t xml:space="preserve"> </w:t>
      </w:r>
      <w:r w:rsidRPr="00C84023">
        <w:rPr>
          <w:rFonts w:cstheme="minorHAnsi"/>
          <w:w w:val="105"/>
        </w:rPr>
        <w:t>Request</w:t>
      </w:r>
      <w:r w:rsidRPr="00C84023">
        <w:rPr>
          <w:rFonts w:cstheme="minorHAnsi"/>
          <w:spacing w:val="11"/>
          <w:w w:val="105"/>
        </w:rPr>
        <w:t xml:space="preserve"> </w:t>
      </w:r>
      <w:r w:rsidRPr="00C84023">
        <w:rPr>
          <w:rFonts w:cstheme="minorHAnsi"/>
          <w:w w:val="105"/>
        </w:rPr>
        <w:t>for</w:t>
      </w:r>
      <w:r w:rsidRPr="00C84023">
        <w:rPr>
          <w:rFonts w:cstheme="minorHAnsi"/>
          <w:spacing w:val="11"/>
          <w:w w:val="105"/>
        </w:rPr>
        <w:t xml:space="preserve"> </w:t>
      </w:r>
      <w:r w:rsidRPr="00C84023">
        <w:rPr>
          <w:rFonts w:cstheme="minorHAnsi"/>
          <w:w w:val="105"/>
        </w:rPr>
        <w:t>Proposal</w:t>
      </w:r>
      <w:r w:rsidRPr="00C84023">
        <w:rPr>
          <w:rFonts w:cstheme="minorHAnsi"/>
          <w:spacing w:val="11"/>
          <w:w w:val="105"/>
        </w:rPr>
        <w:t xml:space="preserve"> </w:t>
      </w:r>
      <w:r w:rsidRPr="00C84023">
        <w:rPr>
          <w:rFonts w:cstheme="minorHAnsi"/>
          <w:w w:val="105"/>
        </w:rPr>
        <w:t>(RFP)</w:t>
      </w:r>
      <w:r w:rsidRPr="00C84023">
        <w:rPr>
          <w:rFonts w:cstheme="minorHAnsi"/>
          <w:spacing w:val="11"/>
          <w:w w:val="105"/>
        </w:rPr>
        <w:t xml:space="preserve"> </w:t>
      </w:r>
      <w:r w:rsidRPr="00C84023">
        <w:rPr>
          <w:rFonts w:cstheme="minorHAnsi"/>
          <w:w w:val="105"/>
        </w:rPr>
        <w:t>specify</w:t>
      </w:r>
      <w:r w:rsidRPr="00C84023">
        <w:rPr>
          <w:rFonts w:cstheme="minorHAnsi"/>
          <w:spacing w:val="11"/>
          <w:w w:val="105"/>
        </w:rPr>
        <w:t xml:space="preserve"> </w:t>
      </w:r>
      <w:r w:rsidRPr="00C84023">
        <w:rPr>
          <w:rFonts w:cstheme="minorHAnsi"/>
          <w:w w:val="105"/>
        </w:rPr>
        <w:t>that</w:t>
      </w:r>
      <w:r w:rsidRPr="00C84023">
        <w:rPr>
          <w:rFonts w:cstheme="minorHAnsi"/>
          <w:spacing w:val="11"/>
          <w:w w:val="105"/>
        </w:rPr>
        <w:t xml:space="preserve"> </w:t>
      </w:r>
      <w:r w:rsidRPr="00C84023">
        <w:rPr>
          <w:rFonts w:cstheme="minorHAnsi"/>
          <w:w w:val="105"/>
        </w:rPr>
        <w:t>no</w:t>
      </w:r>
      <w:r w:rsidRPr="00C84023">
        <w:rPr>
          <w:rFonts w:cstheme="minorHAnsi"/>
          <w:spacing w:val="11"/>
          <w:w w:val="105"/>
        </w:rPr>
        <w:t xml:space="preserve"> </w:t>
      </w:r>
      <w:r w:rsidRPr="00C84023">
        <w:rPr>
          <w:rFonts w:cstheme="minorHAnsi"/>
          <w:w w:val="105"/>
        </w:rPr>
        <w:t>funds</w:t>
      </w:r>
      <w:r w:rsidRPr="00C84023">
        <w:rPr>
          <w:rFonts w:cstheme="minorHAnsi"/>
          <w:spacing w:val="11"/>
          <w:w w:val="105"/>
        </w:rPr>
        <w:t xml:space="preserve"> </w:t>
      </w:r>
      <w:r w:rsidRPr="00C84023">
        <w:rPr>
          <w:rFonts w:cstheme="minorHAnsi"/>
          <w:w w:val="105"/>
        </w:rPr>
        <w:t>are</w:t>
      </w:r>
      <w:r w:rsidRPr="00C84023">
        <w:rPr>
          <w:rFonts w:cstheme="minorHAnsi"/>
          <w:spacing w:val="11"/>
          <w:w w:val="105"/>
        </w:rPr>
        <w:t xml:space="preserve"> </w:t>
      </w:r>
      <w:r w:rsidRPr="00C84023">
        <w:rPr>
          <w:rFonts w:cstheme="minorHAnsi"/>
          <w:w w:val="105"/>
        </w:rPr>
        <w:t>to</w:t>
      </w:r>
      <w:r w:rsidRPr="00C84023">
        <w:rPr>
          <w:rFonts w:cstheme="minorHAnsi"/>
          <w:spacing w:val="11"/>
          <w:w w:val="105"/>
        </w:rPr>
        <w:t xml:space="preserve"> </w:t>
      </w:r>
      <w:r w:rsidRPr="00C84023">
        <w:rPr>
          <w:rFonts w:cstheme="minorHAnsi"/>
          <w:w w:val="105"/>
        </w:rPr>
        <w:t>be</w:t>
      </w:r>
      <w:r w:rsidRPr="00C84023">
        <w:rPr>
          <w:rFonts w:cstheme="minorHAnsi"/>
          <w:spacing w:val="11"/>
          <w:w w:val="105"/>
        </w:rPr>
        <w:t xml:space="preserve"> </w:t>
      </w:r>
      <w:r w:rsidRPr="00C84023">
        <w:rPr>
          <w:rFonts w:cstheme="minorHAnsi"/>
          <w:w w:val="105"/>
        </w:rPr>
        <w:t>used</w:t>
      </w:r>
      <w:r w:rsidRPr="00C84023">
        <w:rPr>
          <w:rFonts w:cstheme="minorHAnsi"/>
          <w:spacing w:val="11"/>
          <w:w w:val="105"/>
        </w:rPr>
        <w:t xml:space="preserve"> </w:t>
      </w:r>
      <w:r w:rsidRPr="00C84023">
        <w:rPr>
          <w:rFonts w:cstheme="minorHAnsi"/>
          <w:w w:val="105"/>
        </w:rPr>
        <w:t>for</w:t>
      </w:r>
      <w:r w:rsidRPr="00C84023">
        <w:rPr>
          <w:rFonts w:cstheme="minorHAnsi"/>
        </w:rPr>
        <w:t xml:space="preserve"> </w:t>
      </w:r>
      <w:r w:rsidRPr="00C84023">
        <w:rPr>
          <w:rFonts w:cstheme="minorHAnsi"/>
          <w:w w:val="105"/>
        </w:rPr>
        <w:t>activities</w:t>
      </w:r>
      <w:r w:rsidRPr="00C84023">
        <w:rPr>
          <w:rFonts w:cstheme="minorHAnsi"/>
          <w:spacing w:val="10"/>
          <w:w w:val="105"/>
        </w:rPr>
        <w:t xml:space="preserve"> </w:t>
      </w:r>
      <w:r w:rsidRPr="00C84023">
        <w:rPr>
          <w:rFonts w:cstheme="minorHAnsi"/>
          <w:w w:val="105"/>
        </w:rPr>
        <w:t>supporting individuals</w:t>
      </w:r>
      <w:r w:rsidRPr="00C84023">
        <w:rPr>
          <w:rFonts w:cstheme="minorHAnsi"/>
          <w:spacing w:val="10"/>
          <w:w w:val="105"/>
        </w:rPr>
        <w:t xml:space="preserve"> </w:t>
      </w:r>
      <w:r w:rsidRPr="00C84023">
        <w:rPr>
          <w:rFonts w:cstheme="minorHAnsi"/>
          <w:w w:val="105"/>
        </w:rPr>
        <w:t>under</w:t>
      </w:r>
      <w:r w:rsidRPr="00C84023">
        <w:rPr>
          <w:rFonts w:cstheme="minorHAnsi"/>
          <w:spacing w:val="10"/>
          <w:w w:val="105"/>
        </w:rPr>
        <w:t xml:space="preserve"> </w:t>
      </w:r>
      <w:r w:rsidRPr="00C84023">
        <w:rPr>
          <w:rFonts w:cstheme="minorHAnsi"/>
          <w:w w:val="105"/>
        </w:rPr>
        <w:t>16</w:t>
      </w:r>
      <w:r w:rsidRPr="00C84023">
        <w:rPr>
          <w:rFonts w:cstheme="minorHAnsi"/>
          <w:spacing w:val="10"/>
          <w:w w:val="105"/>
        </w:rPr>
        <w:t xml:space="preserve"> </w:t>
      </w:r>
      <w:r w:rsidRPr="00C84023">
        <w:rPr>
          <w:rFonts w:cstheme="minorHAnsi"/>
          <w:w w:val="105"/>
        </w:rPr>
        <w:t>years</w:t>
      </w:r>
      <w:r w:rsidRPr="00C84023">
        <w:rPr>
          <w:rFonts w:cstheme="minorHAnsi"/>
          <w:spacing w:val="10"/>
          <w:w w:val="105"/>
        </w:rPr>
        <w:t xml:space="preserve"> </w:t>
      </w:r>
      <w:r w:rsidRPr="00C84023">
        <w:rPr>
          <w:rFonts w:cstheme="minorHAnsi"/>
          <w:w w:val="105"/>
        </w:rPr>
        <w:t>of</w:t>
      </w:r>
      <w:r w:rsidRPr="00C84023">
        <w:rPr>
          <w:rFonts w:cstheme="minorHAnsi"/>
          <w:spacing w:val="10"/>
          <w:w w:val="105"/>
        </w:rPr>
        <w:t xml:space="preserve"> </w:t>
      </w:r>
      <w:r w:rsidRPr="00C84023">
        <w:rPr>
          <w:rFonts w:cstheme="minorHAnsi"/>
          <w:w w:val="105"/>
        </w:rPr>
        <w:t>age</w:t>
      </w:r>
      <w:r w:rsidRPr="00C84023">
        <w:rPr>
          <w:rFonts w:cstheme="minorHAnsi"/>
          <w:spacing w:val="10"/>
          <w:w w:val="105"/>
        </w:rPr>
        <w:t xml:space="preserve"> </w:t>
      </w:r>
      <w:r w:rsidRPr="00C84023">
        <w:rPr>
          <w:rFonts w:cstheme="minorHAnsi"/>
          <w:w w:val="105"/>
        </w:rPr>
        <w:t>who</w:t>
      </w:r>
      <w:r w:rsidRPr="00C84023">
        <w:rPr>
          <w:rFonts w:cstheme="minorHAnsi"/>
          <w:spacing w:val="10"/>
          <w:w w:val="105"/>
        </w:rPr>
        <w:t xml:space="preserve"> </w:t>
      </w:r>
      <w:r w:rsidRPr="00C84023">
        <w:rPr>
          <w:rFonts w:cstheme="minorHAnsi"/>
          <w:w w:val="105"/>
        </w:rPr>
        <w:t>are</w:t>
      </w:r>
      <w:r w:rsidRPr="00C84023">
        <w:rPr>
          <w:rFonts w:cstheme="minorHAnsi"/>
          <w:spacing w:val="10"/>
          <w:w w:val="105"/>
        </w:rPr>
        <w:t xml:space="preserve"> </w:t>
      </w:r>
      <w:r w:rsidRPr="00C84023">
        <w:rPr>
          <w:rFonts w:cstheme="minorHAnsi"/>
          <w:w w:val="105"/>
        </w:rPr>
        <w:t>enrolled</w:t>
      </w:r>
      <w:r w:rsidRPr="00C84023">
        <w:rPr>
          <w:rFonts w:cstheme="minorHAnsi"/>
          <w:spacing w:val="10"/>
          <w:w w:val="105"/>
        </w:rPr>
        <w:t xml:space="preserve"> </w:t>
      </w:r>
      <w:r w:rsidRPr="00C84023">
        <w:rPr>
          <w:rFonts w:cstheme="minorHAnsi"/>
          <w:w w:val="105"/>
        </w:rPr>
        <w:t>or</w:t>
      </w:r>
      <w:r w:rsidRPr="00C84023">
        <w:rPr>
          <w:rFonts w:cstheme="minorHAnsi"/>
          <w:spacing w:val="10"/>
          <w:w w:val="105"/>
        </w:rPr>
        <w:t xml:space="preserve"> </w:t>
      </w:r>
      <w:r w:rsidRPr="00C84023">
        <w:rPr>
          <w:rFonts w:cstheme="minorHAnsi"/>
          <w:w w:val="105"/>
        </w:rPr>
        <w:t>required</w:t>
      </w:r>
      <w:r w:rsidRPr="00C84023">
        <w:rPr>
          <w:rFonts w:cstheme="minorHAnsi"/>
          <w:spacing w:val="10"/>
          <w:w w:val="105"/>
        </w:rPr>
        <w:t xml:space="preserve"> </w:t>
      </w:r>
      <w:r w:rsidRPr="00C84023">
        <w:rPr>
          <w:rFonts w:cstheme="minorHAnsi"/>
          <w:w w:val="105"/>
        </w:rPr>
        <w:t>to</w:t>
      </w:r>
      <w:r w:rsidRPr="00C84023">
        <w:rPr>
          <w:rFonts w:cstheme="minorHAnsi"/>
          <w:spacing w:val="10"/>
          <w:w w:val="105"/>
        </w:rPr>
        <w:t xml:space="preserve"> </w:t>
      </w:r>
      <w:r w:rsidRPr="00C84023">
        <w:rPr>
          <w:rFonts w:cstheme="minorHAnsi"/>
          <w:w w:val="105"/>
        </w:rPr>
        <w:t>be</w:t>
      </w:r>
      <w:r w:rsidRPr="00C84023">
        <w:rPr>
          <w:rFonts w:cstheme="minorHAnsi"/>
          <w:spacing w:val="10"/>
          <w:w w:val="105"/>
        </w:rPr>
        <w:t xml:space="preserve"> </w:t>
      </w:r>
      <w:r w:rsidRPr="00C84023">
        <w:rPr>
          <w:rFonts w:cstheme="minorHAnsi"/>
          <w:w w:val="105"/>
        </w:rPr>
        <w:t>enrolled in</w:t>
      </w:r>
      <w:r w:rsidRPr="00C84023">
        <w:rPr>
          <w:rFonts w:cstheme="minorHAnsi"/>
          <w:spacing w:val="15"/>
          <w:w w:val="105"/>
        </w:rPr>
        <w:t xml:space="preserve"> </w:t>
      </w:r>
      <w:r w:rsidRPr="00C84023">
        <w:rPr>
          <w:rFonts w:cstheme="minorHAnsi"/>
          <w:w w:val="105"/>
        </w:rPr>
        <w:t>secondary</w:t>
      </w:r>
      <w:r w:rsidRPr="00C84023">
        <w:rPr>
          <w:rFonts w:cstheme="minorHAnsi"/>
          <w:spacing w:val="15"/>
          <w:w w:val="105"/>
        </w:rPr>
        <w:t xml:space="preserve"> </w:t>
      </w:r>
      <w:r w:rsidRPr="00C84023">
        <w:rPr>
          <w:rFonts w:cstheme="minorHAnsi"/>
          <w:w w:val="105"/>
        </w:rPr>
        <w:t>school</w:t>
      </w:r>
      <w:r w:rsidRPr="00C84023">
        <w:rPr>
          <w:rFonts w:cstheme="minorHAnsi"/>
          <w:spacing w:val="15"/>
          <w:w w:val="105"/>
        </w:rPr>
        <w:t xml:space="preserve"> </w:t>
      </w:r>
      <w:r w:rsidRPr="00C84023">
        <w:rPr>
          <w:rFonts w:cstheme="minorHAnsi"/>
          <w:w w:val="105"/>
        </w:rPr>
        <w:t>except</w:t>
      </w:r>
      <w:r w:rsidRPr="00C84023">
        <w:rPr>
          <w:rFonts w:cstheme="minorHAnsi"/>
          <w:spacing w:val="15"/>
          <w:w w:val="105"/>
        </w:rPr>
        <w:t xml:space="preserve"> </w:t>
      </w:r>
      <w:r w:rsidRPr="00C84023">
        <w:rPr>
          <w:rFonts w:cstheme="minorHAnsi"/>
          <w:w w:val="105"/>
        </w:rPr>
        <w:t>that</w:t>
      </w:r>
      <w:r w:rsidRPr="00C84023">
        <w:rPr>
          <w:rFonts w:cstheme="minorHAnsi"/>
          <w:spacing w:val="15"/>
          <w:w w:val="105"/>
        </w:rPr>
        <w:t xml:space="preserve"> </w:t>
      </w:r>
      <w:r w:rsidRPr="00C84023">
        <w:rPr>
          <w:rFonts w:cstheme="minorHAnsi"/>
          <w:w w:val="105"/>
        </w:rPr>
        <w:t>the</w:t>
      </w:r>
      <w:r w:rsidRPr="00C84023">
        <w:rPr>
          <w:rFonts w:cstheme="minorHAnsi"/>
          <w:spacing w:val="15"/>
          <w:w w:val="105"/>
        </w:rPr>
        <w:t xml:space="preserve"> </w:t>
      </w:r>
      <w:r w:rsidRPr="00C84023">
        <w:rPr>
          <w:rFonts w:cstheme="minorHAnsi"/>
          <w:w w:val="105"/>
        </w:rPr>
        <w:t>agency</w:t>
      </w:r>
      <w:r w:rsidRPr="00C84023">
        <w:rPr>
          <w:rFonts w:cstheme="minorHAnsi"/>
          <w:spacing w:val="15"/>
          <w:w w:val="105"/>
        </w:rPr>
        <w:t xml:space="preserve"> </w:t>
      </w:r>
      <w:r w:rsidRPr="00C84023">
        <w:rPr>
          <w:rFonts w:cstheme="minorHAnsi"/>
          <w:w w:val="105"/>
        </w:rPr>
        <w:t>may</w:t>
      </w:r>
      <w:r w:rsidRPr="00C84023">
        <w:rPr>
          <w:rFonts w:cstheme="minorHAnsi"/>
          <w:spacing w:val="15"/>
          <w:w w:val="105"/>
        </w:rPr>
        <w:t xml:space="preserve"> </w:t>
      </w:r>
      <w:r w:rsidRPr="00C84023">
        <w:rPr>
          <w:rFonts w:cstheme="minorHAnsi"/>
          <w:w w:val="105"/>
        </w:rPr>
        <w:t>use</w:t>
      </w:r>
      <w:r w:rsidRPr="00C84023">
        <w:rPr>
          <w:rFonts w:cstheme="minorHAnsi"/>
          <w:spacing w:val="15"/>
          <w:w w:val="105"/>
        </w:rPr>
        <w:t xml:space="preserve"> </w:t>
      </w:r>
      <w:r w:rsidRPr="00C84023">
        <w:rPr>
          <w:rFonts w:cstheme="minorHAnsi"/>
          <w:w w:val="105"/>
        </w:rPr>
        <w:t>funds</w:t>
      </w:r>
      <w:r w:rsidRPr="00C84023">
        <w:rPr>
          <w:rFonts w:cstheme="minorHAnsi"/>
          <w:spacing w:val="15"/>
          <w:w w:val="105"/>
        </w:rPr>
        <w:t xml:space="preserve"> </w:t>
      </w:r>
      <w:r w:rsidRPr="00C84023">
        <w:rPr>
          <w:rFonts w:cstheme="minorHAnsi"/>
          <w:w w:val="105"/>
        </w:rPr>
        <w:t>for</w:t>
      </w:r>
      <w:r w:rsidRPr="00C84023">
        <w:rPr>
          <w:rFonts w:cstheme="minorHAnsi"/>
          <w:spacing w:val="15"/>
          <w:w w:val="105"/>
        </w:rPr>
        <w:t xml:space="preserve"> </w:t>
      </w:r>
      <w:r w:rsidRPr="00C84023">
        <w:rPr>
          <w:rFonts w:cstheme="minorHAnsi"/>
          <w:w w:val="105"/>
        </w:rPr>
        <w:t>programs,</w:t>
      </w:r>
      <w:r w:rsidRPr="00C84023">
        <w:rPr>
          <w:rFonts w:cstheme="minorHAnsi"/>
          <w:spacing w:val="15"/>
          <w:w w:val="105"/>
        </w:rPr>
        <w:t xml:space="preserve"> </w:t>
      </w:r>
      <w:r w:rsidRPr="00C84023">
        <w:rPr>
          <w:rFonts w:cstheme="minorHAnsi"/>
          <w:w w:val="105"/>
        </w:rPr>
        <w:t>services,</w:t>
      </w:r>
      <w:r w:rsidRPr="00C84023">
        <w:rPr>
          <w:rFonts w:cstheme="minorHAnsi"/>
          <w:spacing w:val="15"/>
          <w:w w:val="105"/>
        </w:rPr>
        <w:t xml:space="preserve"> </w:t>
      </w:r>
      <w:r w:rsidRPr="00C84023">
        <w:rPr>
          <w:rFonts w:cstheme="minorHAnsi"/>
          <w:w w:val="105"/>
        </w:rPr>
        <w:t>or</w:t>
      </w:r>
      <w:r w:rsidRPr="00C84023">
        <w:rPr>
          <w:rFonts w:cstheme="minorHAnsi"/>
          <w:spacing w:val="15"/>
          <w:w w:val="105"/>
        </w:rPr>
        <w:t xml:space="preserve"> </w:t>
      </w:r>
      <w:r w:rsidRPr="00C84023">
        <w:rPr>
          <w:rFonts w:cstheme="minorHAnsi"/>
          <w:w w:val="105"/>
        </w:rPr>
        <w:t>activities</w:t>
      </w:r>
      <w:r w:rsidRPr="00C84023">
        <w:rPr>
          <w:rFonts w:cstheme="minorHAnsi"/>
          <w:spacing w:val="15"/>
          <w:w w:val="105"/>
        </w:rPr>
        <w:t xml:space="preserve"> </w:t>
      </w:r>
      <w:r w:rsidRPr="00C84023">
        <w:rPr>
          <w:rFonts w:cstheme="minorHAnsi"/>
          <w:w w:val="105"/>
        </w:rPr>
        <w:t>related</w:t>
      </w:r>
      <w:r w:rsidRPr="00C84023">
        <w:rPr>
          <w:rFonts w:cstheme="minorHAnsi"/>
          <w:spacing w:val="-28"/>
          <w:w w:val="105"/>
        </w:rPr>
        <w:t xml:space="preserve"> </w:t>
      </w:r>
      <w:r w:rsidRPr="00C84023">
        <w:rPr>
          <w:rFonts w:cstheme="minorHAnsi"/>
          <w:w w:val="105"/>
        </w:rPr>
        <w:t>to family literacy activities. If family literacy activities are provided, the eligible provider shall attempt</w:t>
      </w:r>
      <w:r w:rsidRPr="00C84023">
        <w:rPr>
          <w:rFonts w:cstheme="minorHAnsi"/>
          <w:spacing w:val="48"/>
          <w:w w:val="105"/>
        </w:rPr>
        <w:t xml:space="preserve"> </w:t>
      </w:r>
      <w:r w:rsidRPr="00C84023">
        <w:rPr>
          <w:rFonts w:cstheme="minorHAnsi"/>
          <w:w w:val="105"/>
        </w:rPr>
        <w:t>to</w:t>
      </w:r>
      <w:r w:rsidRPr="00C84023">
        <w:rPr>
          <w:rFonts w:cstheme="minorHAnsi"/>
        </w:rPr>
        <w:t xml:space="preserve"> </w:t>
      </w:r>
      <w:r w:rsidRPr="00C84023">
        <w:rPr>
          <w:rFonts w:cstheme="minorHAnsi"/>
          <w:w w:val="105"/>
        </w:rPr>
        <w:t>coordinate</w:t>
      </w:r>
      <w:r w:rsidRPr="00C84023">
        <w:rPr>
          <w:rFonts w:cstheme="minorHAnsi"/>
          <w:spacing w:val="10"/>
          <w:w w:val="105"/>
        </w:rPr>
        <w:t xml:space="preserve"> </w:t>
      </w:r>
      <w:r w:rsidRPr="00C84023">
        <w:rPr>
          <w:rFonts w:cstheme="minorHAnsi"/>
          <w:w w:val="105"/>
        </w:rPr>
        <w:t>with</w:t>
      </w:r>
      <w:r w:rsidRPr="00C84023">
        <w:rPr>
          <w:rFonts w:cstheme="minorHAnsi"/>
          <w:spacing w:val="10"/>
          <w:w w:val="105"/>
        </w:rPr>
        <w:t xml:space="preserve"> </w:t>
      </w:r>
      <w:r w:rsidRPr="00C84023">
        <w:rPr>
          <w:rFonts w:cstheme="minorHAnsi"/>
          <w:w w:val="105"/>
        </w:rPr>
        <w:t>other</w:t>
      </w:r>
      <w:r w:rsidRPr="00C84023">
        <w:rPr>
          <w:rFonts w:cstheme="minorHAnsi"/>
          <w:spacing w:val="10"/>
          <w:w w:val="105"/>
        </w:rPr>
        <w:t xml:space="preserve"> </w:t>
      </w:r>
      <w:r w:rsidRPr="00C84023">
        <w:rPr>
          <w:rFonts w:cstheme="minorHAnsi"/>
          <w:w w:val="105"/>
        </w:rPr>
        <w:t>agencies</w:t>
      </w:r>
      <w:r w:rsidRPr="00C84023">
        <w:rPr>
          <w:rFonts w:cstheme="minorHAnsi"/>
          <w:spacing w:val="10"/>
          <w:w w:val="105"/>
        </w:rPr>
        <w:t xml:space="preserve"> </w:t>
      </w:r>
      <w:r w:rsidRPr="00C84023">
        <w:rPr>
          <w:rFonts w:cstheme="minorHAnsi"/>
          <w:w w:val="105"/>
        </w:rPr>
        <w:t>that</w:t>
      </w:r>
      <w:r w:rsidRPr="00C84023">
        <w:rPr>
          <w:rFonts w:cstheme="minorHAnsi"/>
          <w:spacing w:val="10"/>
          <w:w w:val="105"/>
        </w:rPr>
        <w:t xml:space="preserve"> </w:t>
      </w:r>
      <w:r w:rsidRPr="00C84023">
        <w:rPr>
          <w:rFonts w:cstheme="minorHAnsi"/>
          <w:w w:val="105"/>
        </w:rPr>
        <w:t>provide</w:t>
      </w:r>
      <w:r w:rsidRPr="00C84023">
        <w:rPr>
          <w:rFonts w:cstheme="minorHAnsi"/>
          <w:spacing w:val="10"/>
          <w:w w:val="105"/>
        </w:rPr>
        <w:t xml:space="preserve"> </w:t>
      </w:r>
      <w:r w:rsidRPr="00C84023">
        <w:rPr>
          <w:rFonts w:cstheme="minorHAnsi"/>
          <w:w w:val="105"/>
        </w:rPr>
        <w:t>programs</w:t>
      </w:r>
      <w:r w:rsidRPr="00C84023">
        <w:rPr>
          <w:rFonts w:cstheme="minorHAnsi"/>
          <w:spacing w:val="10"/>
          <w:w w:val="105"/>
        </w:rPr>
        <w:t xml:space="preserve"> </w:t>
      </w:r>
      <w:r w:rsidRPr="00C84023">
        <w:rPr>
          <w:rFonts w:cstheme="minorHAnsi"/>
          <w:w w:val="105"/>
        </w:rPr>
        <w:t>and</w:t>
      </w:r>
      <w:r w:rsidRPr="00C84023">
        <w:rPr>
          <w:rFonts w:cstheme="minorHAnsi"/>
          <w:spacing w:val="10"/>
          <w:w w:val="105"/>
        </w:rPr>
        <w:t xml:space="preserve"> </w:t>
      </w:r>
      <w:r w:rsidRPr="00C84023">
        <w:rPr>
          <w:rFonts w:cstheme="minorHAnsi"/>
          <w:w w:val="105"/>
        </w:rPr>
        <w:t>services</w:t>
      </w:r>
      <w:r w:rsidRPr="00C84023">
        <w:rPr>
          <w:rFonts w:cstheme="minorHAnsi"/>
          <w:spacing w:val="10"/>
          <w:w w:val="105"/>
        </w:rPr>
        <w:t xml:space="preserve"> </w:t>
      </w:r>
      <w:r w:rsidRPr="00C84023">
        <w:rPr>
          <w:rFonts w:cstheme="minorHAnsi"/>
          <w:w w:val="105"/>
        </w:rPr>
        <w:t>not</w:t>
      </w:r>
      <w:r w:rsidRPr="00C84023">
        <w:rPr>
          <w:rFonts w:cstheme="minorHAnsi"/>
          <w:spacing w:val="10"/>
          <w:w w:val="105"/>
        </w:rPr>
        <w:t xml:space="preserve"> </w:t>
      </w:r>
      <w:r w:rsidRPr="00C84023">
        <w:rPr>
          <w:rFonts w:cstheme="minorHAnsi"/>
          <w:w w:val="105"/>
        </w:rPr>
        <w:t>included</w:t>
      </w:r>
      <w:r w:rsidRPr="00C84023">
        <w:rPr>
          <w:rFonts w:cstheme="minorHAnsi"/>
          <w:spacing w:val="10"/>
          <w:w w:val="105"/>
        </w:rPr>
        <w:t xml:space="preserve"> </w:t>
      </w:r>
      <w:r w:rsidRPr="00C84023">
        <w:rPr>
          <w:rFonts w:cstheme="minorHAnsi"/>
          <w:w w:val="105"/>
        </w:rPr>
        <w:t>in</w:t>
      </w:r>
      <w:r w:rsidRPr="00C84023">
        <w:rPr>
          <w:rFonts w:cstheme="minorHAnsi"/>
          <w:spacing w:val="10"/>
          <w:w w:val="105"/>
        </w:rPr>
        <w:t xml:space="preserve"> </w:t>
      </w:r>
      <w:r w:rsidRPr="00C84023">
        <w:rPr>
          <w:rFonts w:cstheme="minorHAnsi"/>
          <w:w w:val="105"/>
        </w:rPr>
        <w:t>Title</w:t>
      </w:r>
      <w:r w:rsidRPr="00C84023">
        <w:rPr>
          <w:rFonts w:cstheme="minorHAnsi"/>
          <w:spacing w:val="10"/>
          <w:w w:val="105"/>
        </w:rPr>
        <w:t xml:space="preserve"> </w:t>
      </w:r>
      <w:r w:rsidRPr="00C84023">
        <w:rPr>
          <w:rFonts w:cstheme="minorHAnsi"/>
          <w:w w:val="105"/>
        </w:rPr>
        <w:t>II</w:t>
      </w:r>
      <w:r w:rsidRPr="00C84023">
        <w:rPr>
          <w:rFonts w:cstheme="minorHAnsi"/>
          <w:spacing w:val="10"/>
          <w:w w:val="105"/>
        </w:rPr>
        <w:t xml:space="preserve"> </w:t>
      </w:r>
      <w:r w:rsidRPr="00C84023">
        <w:rPr>
          <w:rFonts w:cstheme="minorHAnsi"/>
          <w:w w:val="105"/>
        </w:rPr>
        <w:t>funds. This</w:t>
      </w:r>
      <w:r w:rsidRPr="00C84023">
        <w:rPr>
          <w:rFonts w:cstheme="minorHAnsi"/>
          <w:spacing w:val="8"/>
          <w:w w:val="105"/>
        </w:rPr>
        <w:t xml:space="preserve"> </w:t>
      </w:r>
      <w:r w:rsidRPr="00C84023">
        <w:rPr>
          <w:rFonts w:cstheme="minorHAnsi"/>
          <w:w w:val="105"/>
        </w:rPr>
        <w:t>should</w:t>
      </w:r>
      <w:r w:rsidRPr="00C84023">
        <w:rPr>
          <w:rFonts w:cstheme="minorHAnsi"/>
          <w:spacing w:val="8"/>
          <w:w w:val="105"/>
        </w:rPr>
        <w:t xml:space="preserve"> </w:t>
      </w:r>
      <w:r w:rsidRPr="00C84023">
        <w:rPr>
          <w:rFonts w:cstheme="minorHAnsi"/>
          <w:w w:val="105"/>
        </w:rPr>
        <w:t>occur</w:t>
      </w:r>
      <w:r w:rsidRPr="00C84023">
        <w:rPr>
          <w:rFonts w:cstheme="minorHAnsi"/>
          <w:spacing w:val="8"/>
          <w:w w:val="105"/>
        </w:rPr>
        <w:t xml:space="preserve"> </w:t>
      </w:r>
      <w:r w:rsidRPr="00C84023">
        <w:rPr>
          <w:rFonts w:cstheme="minorHAnsi"/>
          <w:w w:val="105"/>
        </w:rPr>
        <w:t>prior</w:t>
      </w:r>
      <w:r w:rsidRPr="00C84023">
        <w:rPr>
          <w:rFonts w:cstheme="minorHAnsi"/>
          <w:spacing w:val="8"/>
          <w:w w:val="105"/>
        </w:rPr>
        <w:t xml:space="preserve"> </w:t>
      </w:r>
      <w:r w:rsidRPr="00C84023">
        <w:rPr>
          <w:rFonts w:cstheme="minorHAnsi"/>
          <w:w w:val="105"/>
        </w:rPr>
        <w:t>to</w:t>
      </w:r>
      <w:r w:rsidRPr="00C84023">
        <w:rPr>
          <w:rFonts w:cstheme="minorHAnsi"/>
          <w:spacing w:val="8"/>
          <w:w w:val="105"/>
        </w:rPr>
        <w:t xml:space="preserve"> </w:t>
      </w:r>
      <w:r w:rsidRPr="00C84023">
        <w:rPr>
          <w:rFonts w:cstheme="minorHAnsi"/>
          <w:w w:val="105"/>
        </w:rPr>
        <w:t>using</w:t>
      </w:r>
      <w:r w:rsidRPr="00C84023">
        <w:rPr>
          <w:rFonts w:cstheme="minorHAnsi"/>
          <w:spacing w:val="8"/>
          <w:w w:val="105"/>
        </w:rPr>
        <w:t xml:space="preserve"> </w:t>
      </w:r>
      <w:r w:rsidRPr="00C84023">
        <w:rPr>
          <w:rFonts w:cstheme="minorHAnsi"/>
          <w:w w:val="105"/>
        </w:rPr>
        <w:t>funds</w:t>
      </w:r>
      <w:r w:rsidRPr="00C84023">
        <w:rPr>
          <w:rFonts w:cstheme="minorHAnsi"/>
          <w:spacing w:val="8"/>
          <w:w w:val="105"/>
        </w:rPr>
        <w:t xml:space="preserve"> </w:t>
      </w:r>
      <w:r w:rsidRPr="00C84023">
        <w:rPr>
          <w:rFonts w:cstheme="minorHAnsi"/>
          <w:w w:val="105"/>
        </w:rPr>
        <w:t>for</w:t>
      </w:r>
      <w:r w:rsidRPr="00C84023">
        <w:rPr>
          <w:rFonts w:cstheme="minorHAnsi"/>
          <w:spacing w:val="8"/>
          <w:w w:val="105"/>
        </w:rPr>
        <w:t xml:space="preserve"> </w:t>
      </w:r>
      <w:r w:rsidRPr="00C84023">
        <w:rPr>
          <w:rFonts w:cstheme="minorHAnsi"/>
          <w:w w:val="105"/>
        </w:rPr>
        <w:t>adult</w:t>
      </w:r>
      <w:r w:rsidRPr="00C84023">
        <w:rPr>
          <w:rFonts w:cstheme="minorHAnsi"/>
          <w:spacing w:val="8"/>
          <w:w w:val="105"/>
        </w:rPr>
        <w:t xml:space="preserve"> </w:t>
      </w:r>
      <w:r w:rsidRPr="00C84023">
        <w:rPr>
          <w:rFonts w:cstheme="minorHAnsi"/>
          <w:w w:val="105"/>
        </w:rPr>
        <w:t>education</w:t>
      </w:r>
      <w:r w:rsidRPr="00C84023">
        <w:rPr>
          <w:rFonts w:cstheme="minorHAnsi"/>
          <w:spacing w:val="8"/>
          <w:w w:val="105"/>
        </w:rPr>
        <w:t xml:space="preserve"> </w:t>
      </w:r>
      <w:r w:rsidRPr="00C84023">
        <w:rPr>
          <w:rFonts w:cstheme="minorHAnsi"/>
          <w:w w:val="105"/>
        </w:rPr>
        <w:t>and</w:t>
      </w:r>
      <w:r w:rsidRPr="00C84023">
        <w:rPr>
          <w:rFonts w:cstheme="minorHAnsi"/>
          <w:spacing w:val="8"/>
          <w:w w:val="105"/>
        </w:rPr>
        <w:t xml:space="preserve"> </w:t>
      </w:r>
      <w:r w:rsidRPr="00C84023">
        <w:rPr>
          <w:rFonts w:cstheme="minorHAnsi"/>
          <w:w w:val="105"/>
        </w:rPr>
        <w:t>literacy</w:t>
      </w:r>
      <w:r w:rsidRPr="00C84023">
        <w:rPr>
          <w:rFonts w:cstheme="minorHAnsi"/>
          <w:spacing w:val="8"/>
          <w:w w:val="105"/>
        </w:rPr>
        <w:t xml:space="preserve"> </w:t>
      </w:r>
      <w:r w:rsidRPr="00C84023">
        <w:rPr>
          <w:rFonts w:cstheme="minorHAnsi"/>
          <w:w w:val="105"/>
        </w:rPr>
        <w:t>activities</w:t>
      </w:r>
      <w:r w:rsidRPr="00C84023">
        <w:rPr>
          <w:rFonts w:cstheme="minorHAnsi"/>
          <w:spacing w:val="8"/>
          <w:w w:val="105"/>
        </w:rPr>
        <w:t xml:space="preserve"> </w:t>
      </w:r>
      <w:r w:rsidRPr="00C84023">
        <w:rPr>
          <w:rFonts w:cstheme="minorHAnsi"/>
          <w:w w:val="105"/>
        </w:rPr>
        <w:t>other</w:t>
      </w:r>
      <w:r w:rsidRPr="00C84023">
        <w:rPr>
          <w:rFonts w:cstheme="minorHAnsi"/>
          <w:spacing w:val="8"/>
          <w:w w:val="105"/>
        </w:rPr>
        <w:t xml:space="preserve"> </w:t>
      </w:r>
      <w:r w:rsidRPr="00C84023">
        <w:rPr>
          <w:rFonts w:cstheme="minorHAnsi"/>
          <w:w w:val="105"/>
        </w:rPr>
        <w:t>than</w:t>
      </w:r>
      <w:r w:rsidRPr="00C84023">
        <w:rPr>
          <w:rFonts w:cstheme="minorHAnsi"/>
          <w:spacing w:val="8"/>
          <w:w w:val="105"/>
        </w:rPr>
        <w:t xml:space="preserve"> </w:t>
      </w:r>
      <w:r w:rsidRPr="00C84023">
        <w:rPr>
          <w:rFonts w:cstheme="minorHAnsi"/>
          <w:w w:val="105"/>
        </w:rPr>
        <w:t>activities</w:t>
      </w:r>
      <w:r w:rsidRPr="00C84023">
        <w:rPr>
          <w:rFonts w:cstheme="minorHAnsi"/>
          <w:spacing w:val="8"/>
          <w:w w:val="105"/>
        </w:rPr>
        <w:t xml:space="preserve"> </w:t>
      </w:r>
      <w:r w:rsidRPr="00C84023">
        <w:rPr>
          <w:rFonts w:cstheme="minorHAnsi"/>
          <w:w w:val="105"/>
        </w:rPr>
        <w:t>for</w:t>
      </w:r>
      <w:r w:rsidRPr="00C84023">
        <w:rPr>
          <w:rFonts w:cstheme="minorHAnsi"/>
          <w:spacing w:val="-47"/>
          <w:w w:val="105"/>
        </w:rPr>
        <w:t xml:space="preserve"> </w:t>
      </w:r>
      <w:r w:rsidRPr="00C84023">
        <w:rPr>
          <w:rFonts w:cstheme="minorHAnsi"/>
          <w:w w:val="105"/>
        </w:rPr>
        <w:t>eligible</w:t>
      </w:r>
      <w:r w:rsidRPr="00C84023">
        <w:rPr>
          <w:rFonts w:cstheme="minorHAnsi"/>
          <w:spacing w:val="41"/>
          <w:w w:val="105"/>
        </w:rPr>
        <w:t xml:space="preserve"> </w:t>
      </w:r>
      <w:r w:rsidRPr="00C84023">
        <w:rPr>
          <w:rFonts w:cstheme="minorHAnsi"/>
          <w:w w:val="105"/>
        </w:rPr>
        <w:t>individuals.</w:t>
      </w:r>
    </w:p>
    <w:p w14:paraId="1FACC1A2" w14:textId="77777777" w:rsidR="00EA7458" w:rsidRPr="00C84023" w:rsidRDefault="00EA7458" w:rsidP="00D63204">
      <w:pPr>
        <w:widowControl w:val="0"/>
        <w:spacing w:before="11" w:after="0" w:line="240" w:lineRule="auto"/>
        <w:ind w:left="90"/>
        <w:rPr>
          <w:rFonts w:cstheme="minorHAnsi"/>
          <w:sz w:val="16"/>
          <w:szCs w:val="16"/>
        </w:rPr>
      </w:pPr>
    </w:p>
    <w:p w14:paraId="418D166E" w14:textId="5B757405" w:rsidR="00EA7458" w:rsidRPr="00C84023" w:rsidRDefault="00EA7458" w:rsidP="00D63204">
      <w:pPr>
        <w:widowControl w:val="0"/>
        <w:numPr>
          <w:ilvl w:val="0"/>
          <w:numId w:val="45"/>
        </w:numPr>
        <w:spacing w:after="0" w:line="240" w:lineRule="auto"/>
        <w:outlineLvl w:val="1"/>
        <w:rPr>
          <w:rFonts w:cstheme="minorHAnsi"/>
          <w:sz w:val="26"/>
          <w:szCs w:val="26"/>
        </w:rPr>
      </w:pPr>
      <w:r w:rsidRPr="00C84023">
        <w:rPr>
          <w:rFonts w:cstheme="minorHAnsi"/>
          <w:b/>
          <w:bCs/>
          <w:color w:val="295CA3"/>
          <w:w w:val="110"/>
          <w:sz w:val="26"/>
          <w:szCs w:val="26"/>
        </w:rPr>
        <w:t>Corrections Education and Other Education of Institutionalized</w:t>
      </w:r>
      <w:r w:rsidRPr="00C84023">
        <w:rPr>
          <w:rFonts w:cstheme="minorHAnsi"/>
          <w:b/>
          <w:bCs/>
          <w:color w:val="295CA3"/>
          <w:spacing w:val="-30"/>
          <w:w w:val="110"/>
          <w:sz w:val="26"/>
          <w:szCs w:val="26"/>
        </w:rPr>
        <w:t xml:space="preserve"> </w:t>
      </w:r>
      <w:r w:rsidRPr="00C84023">
        <w:rPr>
          <w:rFonts w:cstheme="minorHAnsi"/>
          <w:b/>
          <w:bCs/>
          <w:color w:val="295CA3"/>
          <w:w w:val="110"/>
          <w:sz w:val="26"/>
          <w:szCs w:val="26"/>
        </w:rPr>
        <w:t>Individuals</w:t>
      </w:r>
    </w:p>
    <w:p w14:paraId="27388EE2" w14:textId="584C2B41" w:rsidR="00D6480A" w:rsidRPr="00C84023" w:rsidRDefault="00D6480A" w:rsidP="00D63204">
      <w:pPr>
        <w:widowControl w:val="0"/>
        <w:spacing w:before="177" w:after="0" w:line="238" w:lineRule="exact"/>
        <w:ind w:left="90"/>
        <w:rPr>
          <w:rFonts w:cstheme="minorHAnsi"/>
        </w:rPr>
      </w:pPr>
      <w:r w:rsidRPr="00C84023">
        <w:rPr>
          <w:rFonts w:cstheme="minorHAnsi"/>
          <w:color w:val="231F20"/>
          <w:w w:val="105"/>
        </w:rPr>
        <w:t>As</w:t>
      </w:r>
      <w:r w:rsidRPr="00C84023">
        <w:rPr>
          <w:rFonts w:cstheme="minorHAnsi"/>
          <w:color w:val="231F20"/>
          <w:spacing w:val="11"/>
          <w:w w:val="105"/>
        </w:rPr>
        <w:t xml:space="preserve"> </w:t>
      </w:r>
      <w:r w:rsidRPr="00C84023">
        <w:rPr>
          <w:rFonts w:cstheme="minorHAnsi"/>
          <w:color w:val="231F20"/>
          <w:w w:val="105"/>
        </w:rPr>
        <w:t>specified</w:t>
      </w:r>
      <w:r w:rsidRPr="00C84023">
        <w:rPr>
          <w:rFonts w:cstheme="minorHAnsi"/>
          <w:color w:val="231F20"/>
          <w:spacing w:val="11"/>
          <w:w w:val="105"/>
        </w:rPr>
        <w:t xml:space="preserve"> </w:t>
      </w:r>
      <w:r w:rsidRPr="00C84023">
        <w:rPr>
          <w:rFonts w:cstheme="minorHAnsi"/>
          <w:color w:val="231F20"/>
          <w:w w:val="105"/>
        </w:rPr>
        <w:t>in</w:t>
      </w:r>
      <w:r w:rsidRPr="00C84023">
        <w:rPr>
          <w:rFonts w:cstheme="minorHAnsi"/>
          <w:color w:val="231F20"/>
          <w:spacing w:val="11"/>
          <w:w w:val="105"/>
        </w:rPr>
        <w:t xml:space="preserve"> </w:t>
      </w:r>
      <w:r w:rsidRPr="00C84023">
        <w:rPr>
          <w:rFonts w:cstheme="minorHAnsi"/>
          <w:color w:val="231F20"/>
          <w:w w:val="105"/>
        </w:rPr>
        <w:t>section</w:t>
      </w:r>
      <w:r w:rsidRPr="00C84023">
        <w:rPr>
          <w:rFonts w:cstheme="minorHAnsi"/>
          <w:color w:val="231F20"/>
          <w:spacing w:val="11"/>
          <w:w w:val="105"/>
        </w:rPr>
        <w:t xml:space="preserve"> </w:t>
      </w:r>
      <w:r w:rsidRPr="00C84023">
        <w:rPr>
          <w:rFonts w:cstheme="minorHAnsi"/>
          <w:color w:val="231F20"/>
          <w:w w:val="105"/>
        </w:rPr>
        <w:t>225</w:t>
      </w:r>
      <w:r w:rsidRPr="00C84023">
        <w:rPr>
          <w:rFonts w:cstheme="minorHAnsi"/>
          <w:color w:val="231F20"/>
          <w:spacing w:val="11"/>
          <w:w w:val="105"/>
        </w:rPr>
        <w:t xml:space="preserve"> </w:t>
      </w:r>
      <w:r w:rsidRPr="00C84023">
        <w:rPr>
          <w:rFonts w:cstheme="minorHAnsi"/>
          <w:color w:val="231F20"/>
          <w:w w:val="105"/>
        </w:rPr>
        <w:t>of</w:t>
      </w:r>
      <w:r w:rsidRPr="00C84023">
        <w:rPr>
          <w:rFonts w:cstheme="minorHAnsi"/>
          <w:color w:val="231F20"/>
          <w:spacing w:val="11"/>
          <w:w w:val="105"/>
        </w:rPr>
        <w:t xml:space="preserve"> </w:t>
      </w:r>
      <w:r w:rsidRPr="00C84023">
        <w:rPr>
          <w:rFonts w:cstheme="minorHAnsi"/>
          <w:color w:val="231F20"/>
          <w:w w:val="105"/>
        </w:rPr>
        <w:t>WIOA, the DCAE</w:t>
      </w:r>
      <w:r w:rsidRPr="00C84023">
        <w:rPr>
          <w:rFonts w:cstheme="minorHAnsi"/>
          <w:color w:val="231F20"/>
          <w:spacing w:val="8"/>
          <w:w w:val="105"/>
        </w:rPr>
        <w:t xml:space="preserve"> </w:t>
      </w:r>
      <w:r w:rsidRPr="00C84023">
        <w:rPr>
          <w:rFonts w:cstheme="minorHAnsi"/>
          <w:color w:val="231F20"/>
          <w:w w:val="105"/>
        </w:rPr>
        <w:t>spends no</w:t>
      </w:r>
      <w:r w:rsidRPr="00C84023">
        <w:rPr>
          <w:rFonts w:cstheme="minorHAnsi"/>
          <w:color w:val="231F20"/>
          <w:spacing w:val="8"/>
          <w:w w:val="105"/>
        </w:rPr>
        <w:t xml:space="preserve"> </w:t>
      </w:r>
      <w:r w:rsidRPr="00C84023">
        <w:rPr>
          <w:rFonts w:cstheme="minorHAnsi"/>
          <w:color w:val="231F20"/>
          <w:w w:val="105"/>
        </w:rPr>
        <w:t>more</w:t>
      </w:r>
      <w:r w:rsidRPr="00C84023">
        <w:rPr>
          <w:rFonts w:cstheme="minorHAnsi"/>
          <w:color w:val="231F20"/>
          <w:spacing w:val="8"/>
          <w:w w:val="105"/>
        </w:rPr>
        <w:t xml:space="preserve"> </w:t>
      </w:r>
      <w:r w:rsidRPr="00C84023">
        <w:rPr>
          <w:rFonts w:cstheme="minorHAnsi"/>
          <w:color w:val="231F20"/>
          <w:w w:val="105"/>
        </w:rPr>
        <w:t>than</w:t>
      </w:r>
      <w:r w:rsidRPr="00C84023">
        <w:rPr>
          <w:rFonts w:cstheme="minorHAnsi"/>
          <w:color w:val="231F20"/>
          <w:spacing w:val="8"/>
          <w:w w:val="105"/>
        </w:rPr>
        <w:t xml:space="preserve"> </w:t>
      </w:r>
      <w:r w:rsidRPr="00C84023">
        <w:rPr>
          <w:rFonts w:cstheme="minorHAnsi"/>
          <w:color w:val="231F20"/>
          <w:w w:val="105"/>
        </w:rPr>
        <w:t>10</w:t>
      </w:r>
      <w:r w:rsidRPr="00C84023">
        <w:rPr>
          <w:rFonts w:cstheme="minorHAnsi"/>
          <w:color w:val="231F20"/>
          <w:spacing w:val="8"/>
          <w:w w:val="105"/>
        </w:rPr>
        <w:t xml:space="preserve"> </w:t>
      </w:r>
      <w:r w:rsidRPr="00C84023">
        <w:rPr>
          <w:rFonts w:cstheme="minorHAnsi"/>
          <w:color w:val="231F20"/>
          <w:w w:val="105"/>
        </w:rPr>
        <w:t>percent</w:t>
      </w:r>
      <w:r w:rsidRPr="00C84023">
        <w:rPr>
          <w:rFonts w:cstheme="minorHAnsi"/>
          <w:color w:val="231F20"/>
          <w:spacing w:val="8"/>
          <w:w w:val="105"/>
        </w:rPr>
        <w:t xml:space="preserve"> </w:t>
      </w:r>
      <w:r w:rsidRPr="00C84023">
        <w:rPr>
          <w:rFonts w:cstheme="minorHAnsi"/>
          <w:color w:val="231F20"/>
          <w:w w:val="105"/>
        </w:rPr>
        <w:t>of</w:t>
      </w:r>
      <w:r w:rsidRPr="00C84023">
        <w:rPr>
          <w:rFonts w:cstheme="minorHAnsi"/>
          <w:color w:val="231F20"/>
          <w:spacing w:val="8"/>
          <w:w w:val="105"/>
        </w:rPr>
        <w:t xml:space="preserve"> </w:t>
      </w:r>
      <w:r w:rsidRPr="00C84023">
        <w:rPr>
          <w:rFonts w:cstheme="minorHAnsi"/>
          <w:color w:val="231F20"/>
          <w:w w:val="105"/>
        </w:rPr>
        <w:t>the</w:t>
      </w:r>
      <w:r w:rsidRPr="00C84023">
        <w:rPr>
          <w:rFonts w:cstheme="minorHAnsi"/>
          <w:color w:val="231F20"/>
          <w:spacing w:val="8"/>
          <w:w w:val="105"/>
        </w:rPr>
        <w:t xml:space="preserve"> </w:t>
      </w:r>
      <w:r w:rsidRPr="00C84023">
        <w:rPr>
          <w:rFonts w:cstheme="minorHAnsi"/>
          <w:color w:val="231F20"/>
          <w:w w:val="105"/>
        </w:rPr>
        <w:t>82.5</w:t>
      </w:r>
      <w:r w:rsidRPr="00C84023">
        <w:rPr>
          <w:rFonts w:cstheme="minorHAnsi"/>
          <w:color w:val="231F20"/>
          <w:spacing w:val="8"/>
          <w:w w:val="105"/>
        </w:rPr>
        <w:t xml:space="preserve"> </w:t>
      </w:r>
      <w:r w:rsidRPr="00C84023">
        <w:rPr>
          <w:rFonts w:cstheme="minorHAnsi"/>
          <w:color w:val="231F20"/>
          <w:w w:val="105"/>
        </w:rPr>
        <w:t>percent</w:t>
      </w:r>
      <w:r w:rsidRPr="00C84023">
        <w:rPr>
          <w:rFonts w:cstheme="minorHAnsi"/>
          <w:color w:val="231F20"/>
          <w:spacing w:val="8"/>
          <w:w w:val="105"/>
        </w:rPr>
        <w:t xml:space="preserve"> </w:t>
      </w:r>
      <w:r w:rsidRPr="00C84023">
        <w:rPr>
          <w:rFonts w:cstheme="minorHAnsi"/>
          <w:color w:val="231F20"/>
          <w:w w:val="105"/>
        </w:rPr>
        <w:t>of</w:t>
      </w:r>
      <w:r w:rsidRPr="00C84023">
        <w:rPr>
          <w:rFonts w:cstheme="minorHAnsi"/>
          <w:color w:val="231F20"/>
          <w:spacing w:val="8"/>
          <w:w w:val="105"/>
        </w:rPr>
        <w:t xml:space="preserve"> </w:t>
      </w:r>
      <w:r w:rsidRPr="00C84023">
        <w:rPr>
          <w:rFonts w:cstheme="minorHAnsi"/>
          <w:color w:val="231F20"/>
          <w:w w:val="105"/>
        </w:rPr>
        <w:t>the</w:t>
      </w:r>
      <w:r w:rsidRPr="00C84023">
        <w:rPr>
          <w:rFonts w:cstheme="minorHAnsi"/>
          <w:color w:val="231F20"/>
          <w:spacing w:val="8"/>
          <w:w w:val="105"/>
        </w:rPr>
        <w:t xml:space="preserve"> </w:t>
      </w:r>
      <w:r w:rsidRPr="00C84023">
        <w:rPr>
          <w:rFonts w:cstheme="minorHAnsi"/>
          <w:color w:val="231F20"/>
          <w:w w:val="105"/>
        </w:rPr>
        <w:t>state</w:t>
      </w:r>
      <w:r w:rsidRPr="00C84023">
        <w:rPr>
          <w:rFonts w:cstheme="minorHAnsi"/>
          <w:color w:val="231F20"/>
          <w:spacing w:val="8"/>
          <w:w w:val="105"/>
        </w:rPr>
        <w:t xml:space="preserve"> </w:t>
      </w:r>
      <w:r w:rsidRPr="00C84023">
        <w:rPr>
          <w:rFonts w:cstheme="minorHAnsi"/>
          <w:color w:val="231F20"/>
          <w:w w:val="105"/>
        </w:rPr>
        <w:t>grant</w:t>
      </w:r>
      <w:r w:rsidRPr="00C84023">
        <w:rPr>
          <w:rFonts w:cstheme="minorHAnsi"/>
          <w:color w:val="231F20"/>
          <w:spacing w:val="8"/>
          <w:w w:val="105"/>
        </w:rPr>
        <w:t xml:space="preserve"> </w:t>
      </w:r>
      <w:r w:rsidRPr="00C84023">
        <w:rPr>
          <w:rFonts w:cstheme="minorHAnsi"/>
          <w:color w:val="231F20"/>
          <w:w w:val="105"/>
        </w:rPr>
        <w:t>allotted</w:t>
      </w:r>
      <w:r w:rsidRPr="00C84023">
        <w:rPr>
          <w:rFonts w:cstheme="minorHAnsi"/>
          <w:color w:val="231F20"/>
          <w:w w:val="103"/>
        </w:rPr>
        <w:t xml:space="preserve"> </w:t>
      </w:r>
      <w:r w:rsidRPr="00C84023">
        <w:rPr>
          <w:rFonts w:cstheme="minorHAnsi"/>
          <w:color w:val="231F20"/>
          <w:w w:val="105"/>
        </w:rPr>
        <w:t>to</w:t>
      </w:r>
      <w:r w:rsidRPr="00C84023">
        <w:rPr>
          <w:rFonts w:cstheme="minorHAnsi"/>
          <w:color w:val="231F20"/>
          <w:spacing w:val="11"/>
          <w:w w:val="105"/>
        </w:rPr>
        <w:t xml:space="preserve"> </w:t>
      </w:r>
      <w:r w:rsidRPr="00C84023">
        <w:rPr>
          <w:rFonts w:cstheme="minorHAnsi"/>
          <w:color w:val="231F20"/>
          <w:w w:val="105"/>
        </w:rPr>
        <w:t>local</w:t>
      </w:r>
      <w:r w:rsidRPr="00C84023">
        <w:rPr>
          <w:rFonts w:cstheme="minorHAnsi"/>
          <w:color w:val="231F20"/>
          <w:spacing w:val="11"/>
          <w:w w:val="105"/>
        </w:rPr>
        <w:t xml:space="preserve"> </w:t>
      </w:r>
      <w:r w:rsidRPr="00C84023">
        <w:rPr>
          <w:rFonts w:cstheme="minorHAnsi"/>
          <w:color w:val="231F20"/>
          <w:w w:val="105"/>
        </w:rPr>
        <w:t>programs</w:t>
      </w:r>
      <w:r w:rsidRPr="00C84023">
        <w:rPr>
          <w:rFonts w:cstheme="minorHAnsi"/>
          <w:color w:val="231F20"/>
          <w:spacing w:val="11"/>
          <w:w w:val="105"/>
        </w:rPr>
        <w:t xml:space="preserve"> </w:t>
      </w:r>
      <w:r w:rsidRPr="00C84023">
        <w:rPr>
          <w:rFonts w:cstheme="minorHAnsi"/>
          <w:color w:val="231F20"/>
          <w:w w:val="105"/>
        </w:rPr>
        <w:t>for</w:t>
      </w:r>
      <w:r w:rsidRPr="00C84023">
        <w:rPr>
          <w:rFonts w:cstheme="minorHAnsi"/>
          <w:color w:val="231F20"/>
          <w:spacing w:val="11"/>
          <w:w w:val="105"/>
        </w:rPr>
        <w:t xml:space="preserve"> </w:t>
      </w:r>
      <w:r w:rsidRPr="00C84023">
        <w:rPr>
          <w:rFonts w:cstheme="minorHAnsi"/>
          <w:color w:val="231F20"/>
          <w:w w:val="105"/>
        </w:rPr>
        <w:t>correctional</w:t>
      </w:r>
      <w:r w:rsidRPr="00C84023">
        <w:rPr>
          <w:rFonts w:cstheme="minorHAnsi"/>
          <w:color w:val="231F20"/>
          <w:spacing w:val="11"/>
          <w:w w:val="105"/>
        </w:rPr>
        <w:t xml:space="preserve"> </w:t>
      </w:r>
      <w:r w:rsidRPr="00C84023">
        <w:rPr>
          <w:rFonts w:cstheme="minorHAnsi"/>
          <w:color w:val="231F20"/>
          <w:w w:val="105"/>
        </w:rPr>
        <w:t>education</w:t>
      </w:r>
      <w:r w:rsidRPr="00C84023">
        <w:rPr>
          <w:rFonts w:cstheme="minorHAnsi"/>
          <w:color w:val="231F20"/>
          <w:spacing w:val="11"/>
          <w:w w:val="105"/>
        </w:rPr>
        <w:t xml:space="preserve"> </w:t>
      </w:r>
      <w:r w:rsidRPr="00C84023">
        <w:rPr>
          <w:rFonts w:cstheme="minorHAnsi"/>
          <w:color w:val="231F20"/>
          <w:w w:val="105"/>
        </w:rPr>
        <w:t>activities,</w:t>
      </w:r>
      <w:r w:rsidRPr="00C84023">
        <w:rPr>
          <w:rFonts w:cstheme="minorHAnsi"/>
          <w:color w:val="231F20"/>
          <w:spacing w:val="11"/>
          <w:w w:val="105"/>
        </w:rPr>
        <w:t xml:space="preserve"> </w:t>
      </w:r>
      <w:r w:rsidRPr="00C84023">
        <w:rPr>
          <w:rFonts w:cstheme="minorHAnsi"/>
          <w:color w:val="231F20"/>
          <w:w w:val="105"/>
        </w:rPr>
        <w:t>Funding</w:t>
      </w:r>
      <w:r w:rsidRPr="00C84023">
        <w:rPr>
          <w:rFonts w:cstheme="minorHAnsi"/>
          <w:color w:val="231F20"/>
          <w:spacing w:val="15"/>
          <w:w w:val="105"/>
        </w:rPr>
        <w:t xml:space="preserve"> </w:t>
      </w:r>
      <w:r w:rsidRPr="00C84023">
        <w:rPr>
          <w:rFonts w:cstheme="minorHAnsi"/>
          <w:color w:val="231F20"/>
          <w:w w:val="105"/>
        </w:rPr>
        <w:t>allocations</w:t>
      </w:r>
      <w:r w:rsidRPr="00C84023">
        <w:rPr>
          <w:rFonts w:cstheme="minorHAnsi"/>
          <w:color w:val="231F20"/>
          <w:spacing w:val="9"/>
          <w:w w:val="105"/>
        </w:rPr>
        <w:t xml:space="preserve"> </w:t>
      </w:r>
      <w:r w:rsidRPr="00C84023">
        <w:rPr>
          <w:rFonts w:cstheme="minorHAnsi"/>
          <w:color w:val="231F20"/>
          <w:w w:val="105"/>
        </w:rPr>
        <w:t>are determined</w:t>
      </w:r>
      <w:r w:rsidRPr="00C84023">
        <w:rPr>
          <w:rFonts w:cstheme="minorHAnsi"/>
          <w:color w:val="231F20"/>
          <w:spacing w:val="9"/>
          <w:w w:val="105"/>
        </w:rPr>
        <w:t xml:space="preserve"> </w:t>
      </w:r>
      <w:r w:rsidRPr="00C84023">
        <w:rPr>
          <w:rFonts w:cstheme="minorHAnsi"/>
          <w:color w:val="231F20"/>
          <w:w w:val="105"/>
        </w:rPr>
        <w:t>as</w:t>
      </w:r>
      <w:r w:rsidRPr="00C84023">
        <w:rPr>
          <w:rFonts w:cstheme="minorHAnsi"/>
          <w:color w:val="231F20"/>
          <w:spacing w:val="9"/>
          <w:w w:val="105"/>
        </w:rPr>
        <w:t xml:space="preserve"> </w:t>
      </w:r>
      <w:r w:rsidRPr="00C84023">
        <w:rPr>
          <w:rFonts w:cstheme="minorHAnsi"/>
          <w:color w:val="231F20"/>
          <w:w w:val="105"/>
        </w:rPr>
        <w:t>part</w:t>
      </w:r>
      <w:r w:rsidRPr="00C84023">
        <w:rPr>
          <w:rFonts w:cstheme="minorHAnsi"/>
          <w:color w:val="231F20"/>
          <w:spacing w:val="9"/>
          <w:w w:val="105"/>
        </w:rPr>
        <w:t xml:space="preserve"> </w:t>
      </w:r>
      <w:r w:rsidRPr="00C84023">
        <w:rPr>
          <w:rFonts w:cstheme="minorHAnsi"/>
          <w:color w:val="231F20"/>
          <w:w w:val="105"/>
        </w:rPr>
        <w:t>of</w:t>
      </w:r>
      <w:r w:rsidRPr="00C84023">
        <w:rPr>
          <w:rFonts w:cstheme="minorHAnsi"/>
          <w:color w:val="231F20"/>
          <w:spacing w:val="9"/>
          <w:w w:val="105"/>
        </w:rPr>
        <w:t xml:space="preserve"> </w:t>
      </w:r>
      <w:r w:rsidRPr="00C84023">
        <w:rPr>
          <w:rFonts w:cstheme="minorHAnsi"/>
          <w:color w:val="231F20"/>
          <w:w w:val="105"/>
        </w:rPr>
        <w:t>the</w:t>
      </w:r>
      <w:r w:rsidRPr="00C84023">
        <w:rPr>
          <w:rFonts w:cstheme="minorHAnsi"/>
          <w:color w:val="231F20"/>
          <w:spacing w:val="9"/>
          <w:w w:val="105"/>
        </w:rPr>
        <w:t xml:space="preserve"> </w:t>
      </w:r>
      <w:r w:rsidRPr="00C84023">
        <w:rPr>
          <w:rFonts w:cstheme="minorHAnsi"/>
          <w:color w:val="231F20"/>
          <w:w w:val="105"/>
        </w:rPr>
        <w:t>planning</w:t>
      </w:r>
      <w:r w:rsidRPr="00C84023">
        <w:rPr>
          <w:rFonts w:cstheme="minorHAnsi"/>
          <w:color w:val="231F20"/>
          <w:spacing w:val="9"/>
          <w:w w:val="105"/>
        </w:rPr>
        <w:t xml:space="preserve"> </w:t>
      </w:r>
      <w:r w:rsidRPr="00C84023">
        <w:rPr>
          <w:rFonts w:cstheme="minorHAnsi"/>
          <w:color w:val="231F20"/>
          <w:w w:val="105"/>
        </w:rPr>
        <w:t>process</w:t>
      </w:r>
      <w:r w:rsidRPr="00C84023">
        <w:rPr>
          <w:rFonts w:cstheme="minorHAnsi"/>
          <w:color w:val="231F20"/>
          <w:spacing w:val="9"/>
          <w:w w:val="105"/>
        </w:rPr>
        <w:t xml:space="preserve"> </w:t>
      </w:r>
      <w:r w:rsidRPr="00C84023">
        <w:rPr>
          <w:rFonts w:cstheme="minorHAnsi"/>
          <w:color w:val="231F20"/>
          <w:w w:val="105"/>
        </w:rPr>
        <w:t>for</w:t>
      </w:r>
      <w:r w:rsidRPr="00C84023">
        <w:rPr>
          <w:rFonts w:cstheme="minorHAnsi"/>
          <w:color w:val="231F20"/>
          <w:spacing w:val="9"/>
          <w:w w:val="105"/>
        </w:rPr>
        <w:t xml:space="preserve"> </w:t>
      </w:r>
      <w:r w:rsidRPr="00C84023">
        <w:rPr>
          <w:rFonts w:cstheme="minorHAnsi"/>
          <w:color w:val="231F20"/>
          <w:w w:val="105"/>
        </w:rPr>
        <w:t>implementation</w:t>
      </w:r>
      <w:r w:rsidRPr="00C84023">
        <w:rPr>
          <w:rFonts w:cstheme="minorHAnsi"/>
          <w:color w:val="231F20"/>
          <w:spacing w:val="9"/>
          <w:w w:val="105"/>
        </w:rPr>
        <w:t xml:space="preserve"> </w:t>
      </w:r>
      <w:r w:rsidRPr="00C84023">
        <w:rPr>
          <w:rFonts w:cstheme="minorHAnsi"/>
          <w:color w:val="231F20"/>
          <w:w w:val="105"/>
        </w:rPr>
        <w:t>of</w:t>
      </w:r>
      <w:r w:rsidRPr="00C84023">
        <w:rPr>
          <w:rFonts w:cstheme="minorHAnsi"/>
          <w:color w:val="231F20"/>
          <w:spacing w:val="9"/>
          <w:w w:val="105"/>
        </w:rPr>
        <w:t xml:space="preserve"> </w:t>
      </w:r>
      <w:r w:rsidRPr="00C84023">
        <w:rPr>
          <w:rFonts w:cstheme="minorHAnsi"/>
          <w:color w:val="231F20"/>
          <w:w w:val="105"/>
        </w:rPr>
        <w:t>WIOA.</w:t>
      </w:r>
      <w:r w:rsidRPr="00C84023">
        <w:rPr>
          <w:rFonts w:cstheme="minorHAnsi"/>
          <w:color w:val="231F20"/>
          <w:spacing w:val="9"/>
          <w:w w:val="105"/>
        </w:rPr>
        <w:t xml:space="preserve"> </w:t>
      </w:r>
      <w:r w:rsidRPr="00C84023">
        <w:rPr>
          <w:rFonts w:cstheme="minorHAnsi"/>
          <w:color w:val="231F20"/>
          <w:w w:val="105"/>
        </w:rPr>
        <w:t>I</w:t>
      </w:r>
      <w:r w:rsidRPr="00C84023">
        <w:rPr>
          <w:rFonts w:cstheme="minorHAnsi"/>
          <w:w w:val="105"/>
        </w:rPr>
        <w:t>ndividuals likely to leave a correctional institution within five years of participation</w:t>
      </w:r>
      <w:r w:rsidRPr="00C84023">
        <w:rPr>
          <w:rFonts w:cstheme="minorHAnsi"/>
          <w:spacing w:val="24"/>
          <w:w w:val="105"/>
        </w:rPr>
        <w:t xml:space="preserve"> </w:t>
      </w:r>
      <w:r w:rsidRPr="00C84023">
        <w:rPr>
          <w:rFonts w:cstheme="minorHAnsi"/>
          <w:w w:val="105"/>
        </w:rPr>
        <w:t>in</w:t>
      </w:r>
      <w:r w:rsidRPr="00C84023">
        <w:rPr>
          <w:rFonts w:cstheme="minorHAnsi"/>
          <w:w w:val="102"/>
        </w:rPr>
        <w:t xml:space="preserve"> </w:t>
      </w:r>
      <w:r w:rsidRPr="00C84023">
        <w:rPr>
          <w:rFonts w:cstheme="minorHAnsi"/>
          <w:w w:val="105"/>
        </w:rPr>
        <w:t xml:space="preserve">the program are eligible for enrollment in </w:t>
      </w:r>
      <w:r w:rsidRPr="00C84023">
        <w:rPr>
          <w:rFonts w:cstheme="minorHAnsi"/>
          <w:color w:val="231F20"/>
          <w:w w:val="105"/>
        </w:rPr>
        <w:t>adult education programs. Adult education programs offered</w:t>
      </w:r>
      <w:r w:rsidRPr="00C84023">
        <w:rPr>
          <w:rFonts w:cstheme="minorHAnsi"/>
          <w:color w:val="231F20"/>
          <w:spacing w:val="30"/>
          <w:w w:val="105"/>
        </w:rPr>
        <w:t xml:space="preserve"> </w:t>
      </w:r>
      <w:r w:rsidRPr="00C84023">
        <w:rPr>
          <w:rFonts w:cstheme="minorHAnsi"/>
          <w:color w:val="231F20"/>
          <w:w w:val="105"/>
        </w:rPr>
        <w:t>in</w:t>
      </w:r>
      <w:r w:rsidRPr="00C84023">
        <w:rPr>
          <w:rFonts w:cstheme="minorHAnsi"/>
          <w:color w:val="231F20"/>
          <w:w w:val="102"/>
        </w:rPr>
        <w:t xml:space="preserve"> </w:t>
      </w:r>
      <w:r w:rsidRPr="00C84023">
        <w:rPr>
          <w:rFonts w:cstheme="minorHAnsi"/>
          <w:color w:val="231F20"/>
          <w:w w:val="105"/>
        </w:rPr>
        <w:t>correctional</w:t>
      </w:r>
      <w:r w:rsidRPr="00C84023">
        <w:rPr>
          <w:rFonts w:cstheme="minorHAnsi"/>
          <w:color w:val="231F20"/>
          <w:spacing w:val="15"/>
          <w:w w:val="105"/>
        </w:rPr>
        <w:t xml:space="preserve"> </w:t>
      </w:r>
      <w:r w:rsidRPr="00C84023">
        <w:rPr>
          <w:rFonts w:cstheme="minorHAnsi"/>
          <w:color w:val="231F20"/>
          <w:w w:val="105"/>
        </w:rPr>
        <w:t>institutions</w:t>
      </w:r>
      <w:r w:rsidRPr="00C84023">
        <w:rPr>
          <w:rFonts w:cstheme="minorHAnsi"/>
          <w:color w:val="231F20"/>
          <w:spacing w:val="15"/>
          <w:w w:val="105"/>
        </w:rPr>
        <w:t xml:space="preserve"> </w:t>
      </w:r>
      <w:r w:rsidRPr="00C84023">
        <w:rPr>
          <w:rFonts w:cstheme="minorHAnsi"/>
          <w:color w:val="231F20"/>
          <w:w w:val="105"/>
        </w:rPr>
        <w:t>include</w:t>
      </w:r>
      <w:r w:rsidRPr="00C84023">
        <w:rPr>
          <w:rFonts w:cstheme="minorHAnsi"/>
          <w:color w:val="231F20"/>
          <w:spacing w:val="15"/>
          <w:w w:val="105"/>
        </w:rPr>
        <w:t xml:space="preserve"> </w:t>
      </w:r>
      <w:r w:rsidRPr="00C84023">
        <w:rPr>
          <w:rFonts w:cstheme="minorHAnsi"/>
          <w:color w:val="231F20"/>
          <w:w w:val="105"/>
        </w:rPr>
        <w:t>ABE,</w:t>
      </w:r>
      <w:r w:rsidRPr="00C84023">
        <w:rPr>
          <w:rFonts w:cstheme="minorHAnsi"/>
          <w:color w:val="231F20"/>
          <w:spacing w:val="15"/>
          <w:w w:val="105"/>
        </w:rPr>
        <w:t xml:space="preserve"> </w:t>
      </w:r>
      <w:r w:rsidRPr="00C84023">
        <w:rPr>
          <w:rFonts w:cstheme="minorHAnsi"/>
          <w:color w:val="231F20"/>
          <w:w w:val="105"/>
        </w:rPr>
        <w:t>GED</w:t>
      </w:r>
      <w:r w:rsidRPr="00C84023">
        <w:rPr>
          <w:rFonts w:cstheme="minorHAnsi"/>
          <w:color w:val="231F20"/>
          <w:w w:val="105"/>
          <w:position w:val="7"/>
          <w:sz w:val="13"/>
        </w:rPr>
        <w:t>®</w:t>
      </w:r>
      <w:r w:rsidRPr="00C84023">
        <w:rPr>
          <w:rFonts w:cstheme="minorHAnsi"/>
          <w:color w:val="231F20"/>
          <w:spacing w:val="6"/>
          <w:w w:val="105"/>
          <w:position w:val="7"/>
          <w:sz w:val="13"/>
        </w:rPr>
        <w:t xml:space="preserve"> </w:t>
      </w:r>
      <w:r w:rsidRPr="00C84023">
        <w:rPr>
          <w:rFonts w:cstheme="minorHAnsi"/>
          <w:color w:val="231F20"/>
          <w:w w:val="105"/>
        </w:rPr>
        <w:t>Preparation</w:t>
      </w:r>
      <w:r w:rsidR="00D5537E">
        <w:rPr>
          <w:rFonts w:cstheme="minorHAnsi"/>
          <w:color w:val="231F20"/>
          <w:w w:val="105"/>
        </w:rPr>
        <w:t xml:space="preserve"> and</w:t>
      </w:r>
      <w:r w:rsidRPr="00C84023">
        <w:rPr>
          <w:rFonts w:cstheme="minorHAnsi"/>
          <w:color w:val="231F20"/>
          <w:spacing w:val="15"/>
          <w:w w:val="105"/>
        </w:rPr>
        <w:t xml:space="preserve"> </w:t>
      </w:r>
      <w:r w:rsidRPr="00C84023">
        <w:rPr>
          <w:rFonts w:cstheme="minorHAnsi"/>
          <w:color w:val="231F20"/>
          <w:w w:val="105"/>
        </w:rPr>
        <w:t>ESOL.</w:t>
      </w:r>
      <w:r w:rsidRPr="00C84023">
        <w:rPr>
          <w:rFonts w:cstheme="minorHAnsi"/>
          <w:color w:val="231F20"/>
          <w:spacing w:val="15"/>
          <w:w w:val="105"/>
        </w:rPr>
        <w:t xml:space="preserve"> </w:t>
      </w:r>
      <w:r w:rsidRPr="00C84023">
        <w:rPr>
          <w:rFonts w:cstheme="minorHAnsi"/>
          <w:color w:val="231F20"/>
          <w:w w:val="105"/>
        </w:rPr>
        <w:t>Individuals</w:t>
      </w:r>
      <w:r w:rsidRPr="00C84023">
        <w:rPr>
          <w:rFonts w:cstheme="minorHAnsi"/>
          <w:color w:val="231F20"/>
          <w:spacing w:val="15"/>
          <w:w w:val="105"/>
        </w:rPr>
        <w:t xml:space="preserve"> </w:t>
      </w:r>
      <w:r w:rsidRPr="00C84023">
        <w:rPr>
          <w:rFonts w:cstheme="minorHAnsi"/>
          <w:color w:val="231F20"/>
          <w:w w:val="105"/>
        </w:rPr>
        <w:t>participate</w:t>
      </w:r>
      <w:r w:rsidRPr="00C84023">
        <w:rPr>
          <w:rFonts w:cstheme="minorHAnsi"/>
          <w:color w:val="231F20"/>
          <w:spacing w:val="15"/>
          <w:w w:val="105"/>
        </w:rPr>
        <w:t xml:space="preserve"> </w:t>
      </w:r>
      <w:r w:rsidRPr="00C84023">
        <w:rPr>
          <w:rFonts w:cstheme="minorHAnsi"/>
          <w:color w:val="231F20"/>
          <w:w w:val="105"/>
        </w:rPr>
        <w:t>in</w:t>
      </w:r>
      <w:r w:rsidRPr="00C84023">
        <w:rPr>
          <w:rFonts w:cstheme="minorHAnsi"/>
          <w:color w:val="231F20"/>
          <w:spacing w:val="15"/>
          <w:w w:val="105"/>
        </w:rPr>
        <w:t xml:space="preserve"> </w:t>
      </w:r>
      <w:r w:rsidRPr="00C84023">
        <w:rPr>
          <w:rFonts w:cstheme="minorHAnsi"/>
          <w:color w:val="231F20"/>
          <w:w w:val="105"/>
        </w:rPr>
        <w:t>career</w:t>
      </w:r>
      <w:r w:rsidRPr="00C84023">
        <w:rPr>
          <w:rFonts w:cstheme="minorHAnsi"/>
          <w:color w:val="231F20"/>
          <w:spacing w:val="-11"/>
          <w:w w:val="105"/>
        </w:rPr>
        <w:t xml:space="preserve"> </w:t>
      </w:r>
      <w:r w:rsidRPr="00C84023">
        <w:rPr>
          <w:rFonts w:cstheme="minorHAnsi"/>
          <w:color w:val="231F20"/>
          <w:w w:val="105"/>
        </w:rPr>
        <w:t>exploration</w:t>
      </w:r>
      <w:r w:rsidRPr="00C84023">
        <w:rPr>
          <w:rFonts w:cstheme="minorHAnsi"/>
          <w:color w:val="231F20"/>
          <w:spacing w:val="19"/>
          <w:w w:val="105"/>
        </w:rPr>
        <w:t xml:space="preserve"> </w:t>
      </w:r>
      <w:r w:rsidRPr="00C84023">
        <w:rPr>
          <w:rFonts w:cstheme="minorHAnsi"/>
          <w:color w:val="231F20"/>
          <w:w w:val="105"/>
        </w:rPr>
        <w:t>and</w:t>
      </w:r>
      <w:r w:rsidRPr="00C84023">
        <w:rPr>
          <w:rFonts w:cstheme="minorHAnsi"/>
          <w:color w:val="231F20"/>
          <w:spacing w:val="19"/>
          <w:w w:val="105"/>
        </w:rPr>
        <w:t xml:space="preserve"> </w:t>
      </w:r>
      <w:r w:rsidRPr="00C84023">
        <w:rPr>
          <w:rFonts w:cstheme="minorHAnsi"/>
          <w:color w:val="231F20"/>
          <w:w w:val="105"/>
        </w:rPr>
        <w:t>planning</w:t>
      </w:r>
      <w:r w:rsidRPr="00C84023">
        <w:rPr>
          <w:rFonts w:cstheme="minorHAnsi"/>
          <w:color w:val="231F20"/>
          <w:spacing w:val="19"/>
          <w:w w:val="105"/>
        </w:rPr>
        <w:t xml:space="preserve"> </w:t>
      </w:r>
      <w:r w:rsidRPr="00C84023">
        <w:rPr>
          <w:rFonts w:cstheme="minorHAnsi"/>
          <w:color w:val="231F20"/>
          <w:w w:val="105"/>
        </w:rPr>
        <w:t>activities</w:t>
      </w:r>
      <w:r w:rsidRPr="00C84023">
        <w:rPr>
          <w:rFonts w:cstheme="minorHAnsi"/>
          <w:color w:val="231F20"/>
          <w:spacing w:val="19"/>
          <w:w w:val="105"/>
        </w:rPr>
        <w:t xml:space="preserve"> </w:t>
      </w:r>
      <w:r w:rsidRPr="00C84023">
        <w:rPr>
          <w:rFonts w:cstheme="minorHAnsi"/>
          <w:color w:val="231F20"/>
          <w:w w:val="105"/>
        </w:rPr>
        <w:t>to</w:t>
      </w:r>
      <w:r w:rsidRPr="00C84023">
        <w:rPr>
          <w:rFonts w:cstheme="minorHAnsi"/>
          <w:color w:val="231F20"/>
          <w:spacing w:val="19"/>
          <w:w w:val="105"/>
        </w:rPr>
        <w:t xml:space="preserve"> </w:t>
      </w:r>
      <w:r w:rsidRPr="00C84023">
        <w:rPr>
          <w:rFonts w:cstheme="minorHAnsi"/>
          <w:color w:val="231F20"/>
          <w:w w:val="105"/>
        </w:rPr>
        <w:t>develop</w:t>
      </w:r>
      <w:r w:rsidRPr="00C84023">
        <w:rPr>
          <w:rFonts w:cstheme="minorHAnsi"/>
          <w:color w:val="231F20"/>
          <w:spacing w:val="19"/>
          <w:w w:val="105"/>
        </w:rPr>
        <w:t xml:space="preserve"> </w:t>
      </w:r>
      <w:r w:rsidRPr="00C84023">
        <w:rPr>
          <w:rFonts w:cstheme="minorHAnsi"/>
          <w:color w:val="231F20"/>
          <w:w w:val="105"/>
        </w:rPr>
        <w:t>a</w:t>
      </w:r>
      <w:r w:rsidRPr="00C84023">
        <w:rPr>
          <w:rFonts w:cstheme="minorHAnsi"/>
          <w:color w:val="231F20"/>
          <w:spacing w:val="19"/>
          <w:w w:val="105"/>
        </w:rPr>
        <w:t xml:space="preserve"> </w:t>
      </w:r>
      <w:r w:rsidRPr="00C84023">
        <w:rPr>
          <w:rFonts w:cstheme="minorHAnsi"/>
          <w:color w:val="231F20"/>
          <w:w w:val="105"/>
        </w:rPr>
        <w:t>career</w:t>
      </w:r>
      <w:r w:rsidRPr="00C84023">
        <w:rPr>
          <w:rFonts w:cstheme="minorHAnsi"/>
          <w:color w:val="231F20"/>
          <w:spacing w:val="19"/>
          <w:w w:val="105"/>
        </w:rPr>
        <w:t xml:space="preserve"> </w:t>
      </w:r>
      <w:r w:rsidRPr="00C84023">
        <w:rPr>
          <w:rFonts w:cstheme="minorHAnsi"/>
          <w:color w:val="231F20"/>
          <w:w w:val="105"/>
        </w:rPr>
        <w:t>and</w:t>
      </w:r>
      <w:r w:rsidRPr="00C84023">
        <w:rPr>
          <w:rFonts w:cstheme="minorHAnsi"/>
          <w:color w:val="231F20"/>
          <w:spacing w:val="19"/>
          <w:w w:val="105"/>
        </w:rPr>
        <w:t xml:space="preserve"> </w:t>
      </w:r>
      <w:r w:rsidRPr="00C84023">
        <w:rPr>
          <w:rFonts w:cstheme="minorHAnsi"/>
          <w:color w:val="231F20"/>
          <w:w w:val="105"/>
        </w:rPr>
        <w:t>education</w:t>
      </w:r>
      <w:r w:rsidRPr="00C84023">
        <w:rPr>
          <w:rFonts w:cstheme="minorHAnsi"/>
          <w:color w:val="231F20"/>
          <w:spacing w:val="19"/>
          <w:w w:val="105"/>
        </w:rPr>
        <w:t xml:space="preserve"> </w:t>
      </w:r>
      <w:r w:rsidRPr="00C84023">
        <w:rPr>
          <w:rFonts w:cstheme="minorHAnsi"/>
          <w:color w:val="231F20"/>
          <w:w w:val="105"/>
        </w:rPr>
        <w:t>plan</w:t>
      </w:r>
      <w:r w:rsidRPr="00C84023">
        <w:rPr>
          <w:rFonts w:cstheme="minorHAnsi"/>
          <w:color w:val="231F20"/>
          <w:spacing w:val="19"/>
          <w:w w:val="105"/>
        </w:rPr>
        <w:t xml:space="preserve"> </w:t>
      </w:r>
      <w:r w:rsidRPr="00C84023">
        <w:rPr>
          <w:rFonts w:cstheme="minorHAnsi"/>
          <w:color w:val="231F20"/>
          <w:w w:val="105"/>
        </w:rPr>
        <w:t>based</w:t>
      </w:r>
      <w:r w:rsidRPr="00C84023">
        <w:rPr>
          <w:rFonts w:cstheme="minorHAnsi"/>
          <w:color w:val="231F20"/>
          <w:spacing w:val="19"/>
          <w:w w:val="105"/>
        </w:rPr>
        <w:t xml:space="preserve"> </w:t>
      </w:r>
      <w:r w:rsidRPr="00C84023">
        <w:rPr>
          <w:rFonts w:cstheme="minorHAnsi"/>
          <w:color w:val="231F20"/>
          <w:w w:val="105"/>
        </w:rPr>
        <w:t>on</w:t>
      </w:r>
      <w:r w:rsidRPr="00C84023">
        <w:rPr>
          <w:rFonts w:cstheme="minorHAnsi"/>
          <w:color w:val="231F20"/>
          <w:spacing w:val="19"/>
          <w:w w:val="105"/>
        </w:rPr>
        <w:t xml:space="preserve"> </w:t>
      </w:r>
      <w:r w:rsidRPr="00C84023">
        <w:rPr>
          <w:rFonts w:cstheme="minorHAnsi"/>
          <w:color w:val="231F20"/>
          <w:w w:val="105"/>
        </w:rPr>
        <w:t>career</w:t>
      </w:r>
      <w:r w:rsidRPr="00C84023">
        <w:rPr>
          <w:rFonts w:cstheme="minorHAnsi"/>
          <w:color w:val="231F20"/>
          <w:spacing w:val="19"/>
          <w:w w:val="105"/>
        </w:rPr>
        <w:t xml:space="preserve"> </w:t>
      </w:r>
      <w:r w:rsidRPr="00C84023">
        <w:rPr>
          <w:rFonts w:cstheme="minorHAnsi"/>
          <w:color w:val="231F20"/>
          <w:w w:val="105"/>
        </w:rPr>
        <w:t>goals.</w:t>
      </w:r>
    </w:p>
    <w:p w14:paraId="3FCE4147" w14:textId="4FA5F307" w:rsidR="00D6480A" w:rsidRPr="00691C52" w:rsidRDefault="00691C52" w:rsidP="00D63204">
      <w:pPr>
        <w:pStyle w:val="ListParagraph"/>
        <w:widowControl w:val="0"/>
        <w:numPr>
          <w:ilvl w:val="0"/>
          <w:numId w:val="45"/>
        </w:numPr>
        <w:spacing w:before="177" w:after="0" w:line="240" w:lineRule="auto"/>
        <w:outlineLvl w:val="1"/>
        <w:rPr>
          <w:rFonts w:cstheme="minorHAnsi"/>
          <w:sz w:val="26"/>
          <w:szCs w:val="26"/>
        </w:rPr>
      </w:pPr>
      <w:r>
        <w:rPr>
          <w:w w:val="110"/>
        </w:rPr>
        <w:t xml:space="preserve"> </w:t>
      </w:r>
      <w:r w:rsidR="00D6480A" w:rsidRPr="00691C52">
        <w:rPr>
          <w:rFonts w:cstheme="minorHAnsi"/>
          <w:b/>
          <w:bCs/>
          <w:color w:val="295CA3"/>
          <w:w w:val="110"/>
          <w:sz w:val="26"/>
          <w:szCs w:val="26"/>
        </w:rPr>
        <w:t>Integrated English Literacy and Civics Education</w:t>
      </w:r>
      <w:r w:rsidR="00D6480A" w:rsidRPr="00691C52">
        <w:rPr>
          <w:rFonts w:cstheme="minorHAnsi"/>
          <w:b/>
          <w:bCs/>
          <w:color w:val="295CA3"/>
          <w:spacing w:val="9"/>
          <w:w w:val="110"/>
          <w:sz w:val="26"/>
          <w:szCs w:val="26"/>
        </w:rPr>
        <w:t xml:space="preserve"> </w:t>
      </w:r>
      <w:r w:rsidR="00D6480A" w:rsidRPr="00691C52">
        <w:rPr>
          <w:rFonts w:cstheme="minorHAnsi"/>
          <w:b/>
          <w:bCs/>
          <w:color w:val="295CA3"/>
          <w:w w:val="110"/>
          <w:sz w:val="26"/>
          <w:szCs w:val="26"/>
        </w:rPr>
        <w:t>Program</w:t>
      </w:r>
    </w:p>
    <w:p w14:paraId="66AB1E14" w14:textId="215F9ECA" w:rsidR="00D6480A" w:rsidRPr="00C84023" w:rsidRDefault="00D6480A" w:rsidP="00D63204">
      <w:pPr>
        <w:widowControl w:val="0"/>
        <w:spacing w:before="183" w:after="0" w:line="264" w:lineRule="exact"/>
        <w:ind w:left="90"/>
        <w:rPr>
          <w:rFonts w:cstheme="minorHAnsi"/>
        </w:rPr>
      </w:pPr>
      <w:r w:rsidRPr="00C84023">
        <w:rPr>
          <w:rFonts w:cstheme="minorHAnsi"/>
          <w:w w:val="105"/>
        </w:rPr>
        <w:t>Civics standards are integrated in Florida’s ESOL curriculum frameworks. The civics content includes</w:t>
      </w:r>
      <w:r>
        <w:rPr>
          <w:rFonts w:cstheme="minorHAnsi"/>
          <w:w w:val="105"/>
        </w:rPr>
        <w:t xml:space="preserve"> </w:t>
      </w:r>
      <w:r w:rsidRPr="00C84023">
        <w:rPr>
          <w:rFonts w:cstheme="minorHAnsi"/>
          <w:w w:val="105"/>
        </w:rPr>
        <w:t>career</w:t>
      </w:r>
      <w:r w:rsidRPr="00C84023">
        <w:rPr>
          <w:rFonts w:cstheme="minorHAnsi"/>
          <w:spacing w:val="18"/>
          <w:w w:val="105"/>
        </w:rPr>
        <w:t xml:space="preserve"> </w:t>
      </w:r>
      <w:r w:rsidRPr="00C84023">
        <w:rPr>
          <w:rFonts w:cstheme="minorHAnsi"/>
          <w:w w:val="105"/>
        </w:rPr>
        <w:t>information,</w:t>
      </w:r>
      <w:r w:rsidRPr="00C84023">
        <w:rPr>
          <w:rFonts w:cstheme="minorHAnsi"/>
          <w:spacing w:val="18"/>
          <w:w w:val="105"/>
        </w:rPr>
        <w:t xml:space="preserve"> </w:t>
      </w:r>
      <w:r w:rsidRPr="00C84023">
        <w:rPr>
          <w:rFonts w:cstheme="minorHAnsi"/>
          <w:w w:val="105"/>
        </w:rPr>
        <w:t>contextualized</w:t>
      </w:r>
      <w:r w:rsidRPr="00C84023">
        <w:rPr>
          <w:rFonts w:cstheme="minorHAnsi"/>
          <w:spacing w:val="18"/>
          <w:w w:val="105"/>
        </w:rPr>
        <w:t xml:space="preserve"> </w:t>
      </w:r>
      <w:r w:rsidRPr="00C84023">
        <w:rPr>
          <w:rFonts w:cstheme="minorHAnsi"/>
          <w:w w:val="105"/>
        </w:rPr>
        <w:t>lesson</w:t>
      </w:r>
      <w:r w:rsidRPr="00C84023">
        <w:rPr>
          <w:rFonts w:cstheme="minorHAnsi"/>
          <w:spacing w:val="18"/>
          <w:w w:val="105"/>
        </w:rPr>
        <w:t xml:space="preserve"> </w:t>
      </w:r>
      <w:r w:rsidRPr="00C84023">
        <w:rPr>
          <w:rFonts w:cstheme="minorHAnsi"/>
          <w:w w:val="105"/>
        </w:rPr>
        <w:t>plans</w:t>
      </w:r>
      <w:r w:rsidRPr="00C84023">
        <w:rPr>
          <w:rFonts w:cstheme="minorHAnsi"/>
          <w:spacing w:val="18"/>
          <w:w w:val="105"/>
        </w:rPr>
        <w:t xml:space="preserve"> </w:t>
      </w:r>
      <w:r w:rsidRPr="00C84023">
        <w:rPr>
          <w:rFonts w:cstheme="minorHAnsi"/>
          <w:w w:val="105"/>
        </w:rPr>
        <w:t>and</w:t>
      </w:r>
      <w:r w:rsidRPr="00C84023">
        <w:rPr>
          <w:rFonts w:cstheme="minorHAnsi"/>
          <w:spacing w:val="18"/>
          <w:w w:val="105"/>
        </w:rPr>
        <w:t xml:space="preserve"> </w:t>
      </w:r>
      <w:r w:rsidRPr="00C84023">
        <w:rPr>
          <w:rFonts w:cstheme="minorHAnsi"/>
          <w:w w:val="105"/>
        </w:rPr>
        <w:t>workforce</w:t>
      </w:r>
      <w:r w:rsidRPr="00C84023">
        <w:rPr>
          <w:rFonts w:cstheme="minorHAnsi"/>
          <w:spacing w:val="18"/>
          <w:w w:val="105"/>
        </w:rPr>
        <w:t xml:space="preserve"> </w:t>
      </w:r>
      <w:r w:rsidRPr="00C84023">
        <w:rPr>
          <w:rFonts w:cstheme="minorHAnsi"/>
          <w:w w:val="105"/>
        </w:rPr>
        <w:t>preparation</w:t>
      </w:r>
      <w:r w:rsidRPr="00C84023">
        <w:rPr>
          <w:rFonts w:cstheme="minorHAnsi"/>
          <w:spacing w:val="18"/>
          <w:w w:val="105"/>
        </w:rPr>
        <w:t xml:space="preserve"> </w:t>
      </w:r>
      <w:r w:rsidRPr="00C84023">
        <w:rPr>
          <w:rFonts w:cstheme="minorHAnsi"/>
          <w:w w:val="105"/>
        </w:rPr>
        <w:t>activities.</w:t>
      </w:r>
      <w:r w:rsidRPr="00C84023">
        <w:rPr>
          <w:rFonts w:cstheme="minorHAnsi"/>
          <w:spacing w:val="18"/>
          <w:w w:val="105"/>
        </w:rPr>
        <w:t xml:space="preserve"> </w:t>
      </w:r>
      <w:r w:rsidRPr="00C84023">
        <w:rPr>
          <w:rFonts w:cstheme="minorHAnsi"/>
          <w:w w:val="105"/>
        </w:rPr>
        <w:t>ESOL</w:t>
      </w:r>
      <w:r w:rsidRPr="00C84023">
        <w:rPr>
          <w:rFonts w:cstheme="minorHAnsi"/>
          <w:spacing w:val="18"/>
          <w:w w:val="105"/>
        </w:rPr>
        <w:t xml:space="preserve"> </w:t>
      </w:r>
      <w:r w:rsidRPr="00C84023">
        <w:rPr>
          <w:rFonts w:cstheme="minorHAnsi"/>
          <w:w w:val="105"/>
        </w:rPr>
        <w:t>level</w:t>
      </w:r>
      <w:r w:rsidRPr="00C84023">
        <w:rPr>
          <w:rFonts w:cstheme="minorHAnsi"/>
          <w:spacing w:val="18"/>
          <w:w w:val="105"/>
        </w:rPr>
        <w:t xml:space="preserve"> </w:t>
      </w:r>
      <w:r w:rsidRPr="00C84023">
        <w:rPr>
          <w:rFonts w:cstheme="minorHAnsi"/>
          <w:w w:val="105"/>
        </w:rPr>
        <w:t>6</w:t>
      </w:r>
      <w:r w:rsidRPr="00C84023">
        <w:rPr>
          <w:rFonts w:cstheme="minorHAnsi"/>
          <w:spacing w:val="-28"/>
          <w:w w:val="105"/>
        </w:rPr>
        <w:t xml:space="preserve"> </w:t>
      </w:r>
      <w:r w:rsidRPr="00C84023">
        <w:rPr>
          <w:rFonts w:cstheme="minorHAnsi"/>
          <w:w w:val="105"/>
        </w:rPr>
        <w:t>includes</w:t>
      </w:r>
      <w:r w:rsidRPr="00C84023">
        <w:rPr>
          <w:rFonts w:cstheme="minorHAnsi"/>
          <w:spacing w:val="24"/>
          <w:w w:val="105"/>
        </w:rPr>
        <w:t xml:space="preserve"> </w:t>
      </w:r>
      <w:r w:rsidRPr="00C84023">
        <w:rPr>
          <w:rFonts w:cstheme="minorHAnsi"/>
          <w:w w:val="105"/>
        </w:rPr>
        <w:t>college</w:t>
      </w:r>
      <w:r w:rsidRPr="00C84023">
        <w:rPr>
          <w:rFonts w:cstheme="minorHAnsi"/>
          <w:spacing w:val="24"/>
          <w:w w:val="105"/>
        </w:rPr>
        <w:t xml:space="preserve"> </w:t>
      </w:r>
      <w:r w:rsidRPr="00C84023">
        <w:rPr>
          <w:rFonts w:cstheme="minorHAnsi"/>
          <w:w w:val="105"/>
        </w:rPr>
        <w:t>and</w:t>
      </w:r>
      <w:r w:rsidRPr="00C84023">
        <w:rPr>
          <w:rFonts w:cstheme="minorHAnsi"/>
          <w:spacing w:val="24"/>
          <w:w w:val="105"/>
        </w:rPr>
        <w:t xml:space="preserve"> </w:t>
      </w:r>
      <w:r w:rsidRPr="00C84023">
        <w:rPr>
          <w:rFonts w:cstheme="minorHAnsi"/>
          <w:w w:val="105"/>
        </w:rPr>
        <w:t>career</w:t>
      </w:r>
      <w:r w:rsidRPr="00C84023">
        <w:rPr>
          <w:rFonts w:cstheme="minorHAnsi"/>
          <w:spacing w:val="24"/>
          <w:w w:val="105"/>
        </w:rPr>
        <w:t xml:space="preserve"> </w:t>
      </w:r>
      <w:r w:rsidRPr="00C84023">
        <w:rPr>
          <w:rFonts w:cstheme="minorHAnsi"/>
          <w:w w:val="105"/>
        </w:rPr>
        <w:t>readiness</w:t>
      </w:r>
      <w:r w:rsidRPr="00C84023">
        <w:rPr>
          <w:rFonts w:cstheme="minorHAnsi"/>
          <w:spacing w:val="24"/>
          <w:w w:val="105"/>
        </w:rPr>
        <w:t xml:space="preserve"> </w:t>
      </w:r>
      <w:r w:rsidRPr="00C84023">
        <w:rPr>
          <w:rFonts w:cstheme="minorHAnsi"/>
          <w:w w:val="105"/>
        </w:rPr>
        <w:t>standards</w:t>
      </w:r>
      <w:r w:rsidRPr="00C84023">
        <w:rPr>
          <w:rFonts w:cstheme="minorHAnsi"/>
          <w:spacing w:val="24"/>
          <w:w w:val="105"/>
        </w:rPr>
        <w:t xml:space="preserve"> </w:t>
      </w:r>
      <w:r w:rsidRPr="00C84023">
        <w:rPr>
          <w:rFonts w:cstheme="minorHAnsi"/>
          <w:w w:val="105"/>
        </w:rPr>
        <w:t>for</w:t>
      </w:r>
      <w:r w:rsidRPr="00C84023">
        <w:rPr>
          <w:rFonts w:cstheme="minorHAnsi"/>
          <w:spacing w:val="24"/>
          <w:w w:val="105"/>
        </w:rPr>
        <w:t xml:space="preserve"> </w:t>
      </w:r>
      <w:r w:rsidRPr="00C84023">
        <w:rPr>
          <w:rFonts w:cstheme="minorHAnsi"/>
          <w:w w:val="105"/>
        </w:rPr>
        <w:t>reading</w:t>
      </w:r>
      <w:r w:rsidRPr="00C84023">
        <w:rPr>
          <w:rFonts w:cstheme="minorHAnsi"/>
          <w:spacing w:val="24"/>
          <w:w w:val="105"/>
        </w:rPr>
        <w:t xml:space="preserve"> </w:t>
      </w:r>
      <w:r w:rsidRPr="00C84023">
        <w:rPr>
          <w:rFonts w:cstheme="minorHAnsi"/>
          <w:w w:val="105"/>
        </w:rPr>
        <w:t>integrated</w:t>
      </w:r>
      <w:r w:rsidRPr="00C84023">
        <w:rPr>
          <w:rFonts w:cstheme="minorHAnsi"/>
          <w:spacing w:val="24"/>
          <w:w w:val="105"/>
        </w:rPr>
        <w:t xml:space="preserve"> </w:t>
      </w:r>
      <w:r w:rsidRPr="00C84023">
        <w:rPr>
          <w:rFonts w:cstheme="minorHAnsi"/>
          <w:w w:val="105"/>
        </w:rPr>
        <w:t>into</w:t>
      </w:r>
      <w:r w:rsidRPr="00C84023">
        <w:rPr>
          <w:rFonts w:cstheme="minorHAnsi"/>
          <w:spacing w:val="24"/>
          <w:w w:val="105"/>
        </w:rPr>
        <w:t xml:space="preserve"> </w:t>
      </w:r>
      <w:r w:rsidRPr="00C84023">
        <w:rPr>
          <w:rFonts w:cstheme="minorHAnsi"/>
          <w:w w:val="105"/>
        </w:rPr>
        <w:t>the</w:t>
      </w:r>
      <w:r w:rsidRPr="00C84023">
        <w:rPr>
          <w:rFonts w:cstheme="minorHAnsi"/>
          <w:spacing w:val="24"/>
          <w:w w:val="105"/>
        </w:rPr>
        <w:t xml:space="preserve"> </w:t>
      </w:r>
      <w:r w:rsidRPr="00C84023">
        <w:rPr>
          <w:rFonts w:cstheme="minorHAnsi"/>
          <w:w w:val="105"/>
        </w:rPr>
        <w:t>ESOL/EL</w:t>
      </w:r>
      <w:r w:rsidRPr="00C84023">
        <w:rPr>
          <w:rFonts w:cstheme="minorHAnsi"/>
          <w:spacing w:val="24"/>
          <w:w w:val="105"/>
        </w:rPr>
        <w:t xml:space="preserve"> </w:t>
      </w:r>
      <w:r w:rsidRPr="00C84023">
        <w:rPr>
          <w:rFonts w:cstheme="minorHAnsi"/>
          <w:w w:val="105"/>
        </w:rPr>
        <w:t>Civics</w:t>
      </w:r>
      <w:r w:rsidRPr="00C84023">
        <w:rPr>
          <w:rFonts w:cstheme="minorHAnsi"/>
          <w:spacing w:val="24"/>
          <w:w w:val="105"/>
        </w:rPr>
        <w:t xml:space="preserve"> </w:t>
      </w:r>
      <w:r w:rsidRPr="00C84023">
        <w:rPr>
          <w:rFonts w:cstheme="minorHAnsi"/>
          <w:w w:val="105"/>
        </w:rPr>
        <w:t>program.</w:t>
      </w:r>
      <w:r w:rsidRPr="00C84023">
        <w:rPr>
          <w:rFonts w:cstheme="minorHAnsi"/>
          <w:spacing w:val="-25"/>
          <w:w w:val="105"/>
        </w:rPr>
        <w:t xml:space="preserve"> </w:t>
      </w:r>
      <w:r w:rsidRPr="00C84023">
        <w:rPr>
          <w:rFonts w:cstheme="minorHAnsi"/>
          <w:w w:val="105"/>
        </w:rPr>
        <w:t>By</w:t>
      </w:r>
      <w:r w:rsidRPr="00C84023">
        <w:rPr>
          <w:rFonts w:cstheme="minorHAnsi"/>
          <w:spacing w:val="14"/>
          <w:w w:val="105"/>
        </w:rPr>
        <w:t xml:space="preserve"> </w:t>
      </w:r>
      <w:r w:rsidRPr="00C84023">
        <w:rPr>
          <w:rFonts w:cstheme="minorHAnsi"/>
          <w:w w:val="105"/>
        </w:rPr>
        <w:t>i</w:t>
      </w:r>
      <w:r w:rsidRPr="00C84023">
        <w:rPr>
          <w:rFonts w:cstheme="minorHAnsi"/>
          <w:color w:val="231F20"/>
          <w:w w:val="105"/>
        </w:rPr>
        <w:t>ntegrating</w:t>
      </w:r>
      <w:r w:rsidRPr="00C84023">
        <w:rPr>
          <w:rFonts w:cstheme="minorHAnsi"/>
          <w:color w:val="231F20"/>
          <w:spacing w:val="14"/>
          <w:w w:val="105"/>
        </w:rPr>
        <w:t xml:space="preserve"> </w:t>
      </w:r>
      <w:r w:rsidRPr="00C84023">
        <w:rPr>
          <w:rFonts w:cstheme="minorHAnsi"/>
          <w:color w:val="231F20"/>
          <w:w w:val="105"/>
        </w:rPr>
        <w:t>English</w:t>
      </w:r>
      <w:r w:rsidRPr="00C84023">
        <w:rPr>
          <w:rFonts w:cstheme="minorHAnsi"/>
          <w:color w:val="231F20"/>
          <w:spacing w:val="14"/>
          <w:w w:val="105"/>
        </w:rPr>
        <w:t xml:space="preserve"> </w:t>
      </w:r>
      <w:r w:rsidRPr="00C84023">
        <w:rPr>
          <w:rFonts w:cstheme="minorHAnsi"/>
          <w:color w:val="231F20"/>
          <w:w w:val="105"/>
        </w:rPr>
        <w:t>literacy</w:t>
      </w:r>
      <w:r w:rsidRPr="00C84023">
        <w:rPr>
          <w:rFonts w:cstheme="minorHAnsi"/>
          <w:color w:val="231F20"/>
          <w:spacing w:val="14"/>
          <w:w w:val="105"/>
        </w:rPr>
        <w:t xml:space="preserve"> </w:t>
      </w:r>
      <w:r w:rsidRPr="00C84023">
        <w:rPr>
          <w:rFonts w:cstheme="minorHAnsi"/>
          <w:color w:val="231F20"/>
          <w:w w:val="105"/>
        </w:rPr>
        <w:t>and</w:t>
      </w:r>
      <w:r w:rsidRPr="00C84023">
        <w:rPr>
          <w:rFonts w:cstheme="minorHAnsi"/>
          <w:color w:val="231F20"/>
          <w:spacing w:val="14"/>
          <w:w w:val="105"/>
        </w:rPr>
        <w:t xml:space="preserve"> </w:t>
      </w:r>
      <w:r w:rsidRPr="00C84023">
        <w:rPr>
          <w:rFonts w:cstheme="minorHAnsi"/>
          <w:color w:val="231F20"/>
          <w:w w:val="105"/>
        </w:rPr>
        <w:t>civics</w:t>
      </w:r>
      <w:r w:rsidRPr="00C84023">
        <w:rPr>
          <w:rFonts w:cstheme="minorHAnsi"/>
          <w:color w:val="231F20"/>
          <w:spacing w:val="14"/>
          <w:w w:val="105"/>
        </w:rPr>
        <w:t xml:space="preserve"> </w:t>
      </w:r>
      <w:r w:rsidRPr="00C84023">
        <w:rPr>
          <w:rFonts w:cstheme="minorHAnsi"/>
          <w:color w:val="231F20"/>
          <w:w w:val="105"/>
        </w:rPr>
        <w:t>education</w:t>
      </w:r>
      <w:r w:rsidRPr="00C84023">
        <w:rPr>
          <w:rFonts w:cstheme="minorHAnsi"/>
          <w:color w:val="231F20"/>
          <w:spacing w:val="14"/>
          <w:w w:val="105"/>
        </w:rPr>
        <w:t xml:space="preserve"> </w:t>
      </w:r>
      <w:r w:rsidRPr="00C84023">
        <w:rPr>
          <w:rFonts w:cstheme="minorHAnsi"/>
          <w:color w:val="231F20"/>
          <w:w w:val="105"/>
        </w:rPr>
        <w:t>programs,</w:t>
      </w:r>
      <w:r w:rsidRPr="00C84023">
        <w:rPr>
          <w:rFonts w:cstheme="minorHAnsi"/>
          <w:color w:val="231F20"/>
          <w:spacing w:val="14"/>
          <w:w w:val="105"/>
        </w:rPr>
        <w:t xml:space="preserve"> </w:t>
      </w:r>
      <w:r w:rsidRPr="00C84023">
        <w:rPr>
          <w:rFonts w:cstheme="minorHAnsi"/>
          <w:color w:val="231F20"/>
          <w:w w:val="105"/>
        </w:rPr>
        <w:t>instruction</w:t>
      </w:r>
      <w:r w:rsidRPr="00C84023">
        <w:rPr>
          <w:rFonts w:cstheme="minorHAnsi"/>
          <w:color w:val="231F20"/>
          <w:spacing w:val="14"/>
          <w:w w:val="105"/>
        </w:rPr>
        <w:t xml:space="preserve"> </w:t>
      </w:r>
      <w:r w:rsidRPr="00C84023">
        <w:rPr>
          <w:rFonts w:cstheme="minorHAnsi"/>
          <w:color w:val="231F20"/>
          <w:w w:val="105"/>
        </w:rPr>
        <w:t>is</w:t>
      </w:r>
      <w:r w:rsidRPr="00C84023">
        <w:rPr>
          <w:rFonts w:cstheme="minorHAnsi"/>
          <w:color w:val="231F20"/>
          <w:spacing w:val="14"/>
          <w:w w:val="105"/>
        </w:rPr>
        <w:t xml:space="preserve"> </w:t>
      </w:r>
      <w:r w:rsidRPr="00C84023">
        <w:rPr>
          <w:rFonts w:cstheme="minorHAnsi"/>
          <w:color w:val="231F20"/>
          <w:w w:val="105"/>
        </w:rPr>
        <w:t>strengthened</w:t>
      </w:r>
      <w:r w:rsidRPr="00C84023">
        <w:rPr>
          <w:rFonts w:cstheme="minorHAnsi"/>
          <w:color w:val="231F20"/>
          <w:spacing w:val="14"/>
          <w:w w:val="105"/>
        </w:rPr>
        <w:t xml:space="preserve"> </w:t>
      </w:r>
      <w:r w:rsidRPr="00C84023">
        <w:rPr>
          <w:rFonts w:cstheme="minorHAnsi"/>
          <w:color w:val="231F20"/>
          <w:w w:val="105"/>
        </w:rPr>
        <w:t>to</w:t>
      </w:r>
      <w:r w:rsidRPr="00C84023">
        <w:rPr>
          <w:rFonts w:cstheme="minorHAnsi"/>
          <w:color w:val="231F20"/>
          <w:spacing w:val="14"/>
          <w:w w:val="105"/>
        </w:rPr>
        <w:t xml:space="preserve"> </w:t>
      </w:r>
      <w:r w:rsidRPr="00C84023">
        <w:rPr>
          <w:rFonts w:cstheme="minorHAnsi"/>
          <w:color w:val="231F20"/>
          <w:w w:val="105"/>
        </w:rPr>
        <w:t>prepare</w:t>
      </w:r>
      <w:r w:rsidRPr="00C84023">
        <w:rPr>
          <w:rFonts w:cstheme="minorHAnsi"/>
          <w:color w:val="231F20"/>
          <w:spacing w:val="-20"/>
          <w:w w:val="105"/>
        </w:rPr>
        <w:t xml:space="preserve"> </w:t>
      </w:r>
      <w:r w:rsidRPr="00C84023">
        <w:rPr>
          <w:rFonts w:cstheme="minorHAnsi"/>
          <w:color w:val="231F20"/>
          <w:w w:val="105"/>
        </w:rPr>
        <w:t>adult</w:t>
      </w:r>
      <w:r w:rsidRPr="00C84023">
        <w:rPr>
          <w:rFonts w:cstheme="minorHAnsi"/>
          <w:color w:val="231F20"/>
          <w:spacing w:val="7"/>
          <w:w w:val="105"/>
        </w:rPr>
        <w:t xml:space="preserve"> </w:t>
      </w:r>
      <w:r w:rsidRPr="00C84023">
        <w:rPr>
          <w:rFonts w:cstheme="minorHAnsi"/>
          <w:color w:val="231F20"/>
          <w:w w:val="105"/>
        </w:rPr>
        <w:t>learners</w:t>
      </w:r>
      <w:r w:rsidRPr="00C84023">
        <w:rPr>
          <w:rFonts w:cstheme="minorHAnsi"/>
          <w:color w:val="231F20"/>
          <w:spacing w:val="7"/>
          <w:w w:val="105"/>
        </w:rPr>
        <w:t xml:space="preserve"> </w:t>
      </w:r>
      <w:r w:rsidRPr="00C84023">
        <w:rPr>
          <w:rFonts w:cstheme="minorHAnsi"/>
          <w:color w:val="231F20"/>
          <w:w w:val="105"/>
        </w:rPr>
        <w:t>regardless</w:t>
      </w:r>
      <w:r w:rsidRPr="00C84023">
        <w:rPr>
          <w:rFonts w:cstheme="minorHAnsi"/>
          <w:color w:val="231F20"/>
          <w:spacing w:val="7"/>
          <w:w w:val="105"/>
        </w:rPr>
        <w:t xml:space="preserve"> </w:t>
      </w:r>
      <w:r w:rsidRPr="00C84023">
        <w:rPr>
          <w:rFonts w:cstheme="minorHAnsi"/>
          <w:color w:val="231F20"/>
          <w:w w:val="105"/>
        </w:rPr>
        <w:t>of</w:t>
      </w:r>
      <w:r w:rsidRPr="00C84023">
        <w:rPr>
          <w:rFonts w:cstheme="minorHAnsi"/>
          <w:color w:val="231F20"/>
          <w:spacing w:val="7"/>
          <w:w w:val="105"/>
        </w:rPr>
        <w:t xml:space="preserve"> </w:t>
      </w:r>
      <w:r w:rsidRPr="00C84023">
        <w:rPr>
          <w:rFonts w:cstheme="minorHAnsi"/>
          <w:color w:val="231F20"/>
          <w:w w:val="105"/>
        </w:rPr>
        <w:t>education</w:t>
      </w:r>
      <w:r w:rsidRPr="00C84023">
        <w:rPr>
          <w:rFonts w:cstheme="minorHAnsi"/>
          <w:color w:val="231F20"/>
          <w:spacing w:val="7"/>
          <w:w w:val="105"/>
        </w:rPr>
        <w:t xml:space="preserve"> </w:t>
      </w:r>
      <w:r w:rsidRPr="00C84023">
        <w:rPr>
          <w:rFonts w:cstheme="minorHAnsi"/>
          <w:color w:val="231F20"/>
          <w:w w:val="105"/>
        </w:rPr>
        <w:t>attained</w:t>
      </w:r>
      <w:r w:rsidRPr="00C84023">
        <w:rPr>
          <w:rFonts w:cstheme="minorHAnsi"/>
          <w:color w:val="231F20"/>
          <w:spacing w:val="7"/>
          <w:w w:val="105"/>
        </w:rPr>
        <w:t xml:space="preserve"> </w:t>
      </w:r>
      <w:r w:rsidRPr="00C84023">
        <w:rPr>
          <w:rFonts w:cstheme="minorHAnsi"/>
          <w:color w:val="231F20"/>
          <w:w w:val="105"/>
        </w:rPr>
        <w:t>in</w:t>
      </w:r>
      <w:r w:rsidRPr="00C84023">
        <w:rPr>
          <w:rFonts w:cstheme="minorHAnsi"/>
          <w:color w:val="231F20"/>
          <w:spacing w:val="7"/>
          <w:w w:val="105"/>
        </w:rPr>
        <w:t xml:space="preserve"> </w:t>
      </w:r>
      <w:r w:rsidRPr="00C84023">
        <w:rPr>
          <w:rFonts w:cstheme="minorHAnsi"/>
          <w:color w:val="231F20"/>
          <w:w w:val="105"/>
        </w:rPr>
        <w:t>their</w:t>
      </w:r>
      <w:r w:rsidRPr="00C84023">
        <w:rPr>
          <w:rFonts w:cstheme="minorHAnsi"/>
          <w:color w:val="231F20"/>
          <w:spacing w:val="7"/>
          <w:w w:val="105"/>
        </w:rPr>
        <w:t xml:space="preserve"> </w:t>
      </w:r>
      <w:r w:rsidRPr="00C84023">
        <w:rPr>
          <w:rFonts w:cstheme="minorHAnsi"/>
          <w:color w:val="231F20"/>
          <w:w w:val="105"/>
        </w:rPr>
        <w:t>native</w:t>
      </w:r>
      <w:r w:rsidRPr="00C84023">
        <w:rPr>
          <w:rFonts w:cstheme="minorHAnsi"/>
          <w:color w:val="231F20"/>
          <w:spacing w:val="7"/>
          <w:w w:val="105"/>
        </w:rPr>
        <w:t xml:space="preserve"> </w:t>
      </w:r>
      <w:r w:rsidRPr="00C84023">
        <w:rPr>
          <w:rFonts w:cstheme="minorHAnsi"/>
          <w:color w:val="231F20"/>
          <w:w w:val="105"/>
        </w:rPr>
        <w:t>country,</w:t>
      </w:r>
      <w:r w:rsidRPr="00C84023">
        <w:rPr>
          <w:rFonts w:cstheme="minorHAnsi"/>
          <w:color w:val="231F20"/>
          <w:spacing w:val="7"/>
          <w:w w:val="105"/>
        </w:rPr>
        <w:t xml:space="preserve"> </w:t>
      </w:r>
      <w:r w:rsidRPr="00C84023">
        <w:rPr>
          <w:rFonts w:cstheme="minorHAnsi"/>
          <w:color w:val="231F20"/>
          <w:w w:val="105"/>
        </w:rPr>
        <w:t>to</w:t>
      </w:r>
      <w:r w:rsidRPr="00C84023">
        <w:rPr>
          <w:rFonts w:cstheme="minorHAnsi"/>
          <w:color w:val="231F20"/>
          <w:spacing w:val="7"/>
          <w:w w:val="105"/>
        </w:rPr>
        <w:t xml:space="preserve"> </w:t>
      </w:r>
      <w:r w:rsidRPr="00C84023">
        <w:rPr>
          <w:rFonts w:cstheme="minorHAnsi"/>
          <w:color w:val="231F20"/>
          <w:w w:val="105"/>
        </w:rPr>
        <w:t>acquire</w:t>
      </w:r>
      <w:r w:rsidRPr="00C84023">
        <w:rPr>
          <w:rFonts w:cstheme="minorHAnsi"/>
          <w:color w:val="231F20"/>
          <w:spacing w:val="7"/>
          <w:w w:val="105"/>
        </w:rPr>
        <w:t xml:space="preserve"> </w:t>
      </w:r>
      <w:r w:rsidRPr="00C84023">
        <w:rPr>
          <w:rFonts w:cstheme="minorHAnsi"/>
          <w:color w:val="231F20"/>
          <w:w w:val="105"/>
        </w:rPr>
        <w:t>basic</w:t>
      </w:r>
      <w:r w:rsidRPr="00C84023">
        <w:rPr>
          <w:rFonts w:cstheme="minorHAnsi"/>
          <w:color w:val="231F20"/>
          <w:spacing w:val="7"/>
          <w:w w:val="105"/>
        </w:rPr>
        <w:t xml:space="preserve"> </w:t>
      </w:r>
      <w:r w:rsidRPr="00C84023">
        <w:rPr>
          <w:rFonts w:cstheme="minorHAnsi"/>
          <w:color w:val="231F20"/>
          <w:w w:val="105"/>
        </w:rPr>
        <w:t>skills</w:t>
      </w:r>
      <w:r w:rsidRPr="00C84023">
        <w:rPr>
          <w:rFonts w:cstheme="minorHAnsi"/>
          <w:color w:val="231F20"/>
          <w:spacing w:val="7"/>
          <w:w w:val="105"/>
        </w:rPr>
        <w:t xml:space="preserve"> </w:t>
      </w:r>
      <w:r w:rsidRPr="00C84023">
        <w:rPr>
          <w:rFonts w:cstheme="minorHAnsi"/>
          <w:color w:val="231F20"/>
          <w:w w:val="105"/>
        </w:rPr>
        <w:t>of</w:t>
      </w:r>
      <w:r w:rsidRPr="00C84023">
        <w:rPr>
          <w:rFonts w:cstheme="minorHAnsi"/>
          <w:color w:val="231F20"/>
          <w:spacing w:val="-14"/>
          <w:w w:val="105"/>
        </w:rPr>
        <w:t xml:space="preserve"> </w:t>
      </w:r>
      <w:r w:rsidRPr="00C84023">
        <w:rPr>
          <w:rFonts w:cstheme="minorHAnsi"/>
          <w:color w:val="231F20"/>
          <w:w w:val="105"/>
        </w:rPr>
        <w:t>language</w:t>
      </w:r>
      <w:r w:rsidRPr="00C84023">
        <w:rPr>
          <w:rFonts w:cstheme="minorHAnsi"/>
          <w:color w:val="231F20"/>
          <w:spacing w:val="12"/>
          <w:w w:val="105"/>
        </w:rPr>
        <w:t xml:space="preserve"> </w:t>
      </w:r>
      <w:r w:rsidRPr="00C84023">
        <w:rPr>
          <w:rFonts w:cstheme="minorHAnsi"/>
          <w:color w:val="231F20"/>
          <w:w w:val="105"/>
        </w:rPr>
        <w:t>acquisition</w:t>
      </w:r>
      <w:r w:rsidRPr="00C84023">
        <w:rPr>
          <w:rFonts w:cstheme="minorHAnsi"/>
          <w:color w:val="231F20"/>
          <w:spacing w:val="12"/>
          <w:w w:val="105"/>
        </w:rPr>
        <w:t xml:space="preserve"> </w:t>
      </w:r>
      <w:r w:rsidRPr="00C84023">
        <w:rPr>
          <w:rFonts w:cstheme="minorHAnsi"/>
          <w:color w:val="231F20"/>
          <w:w w:val="105"/>
        </w:rPr>
        <w:t>and</w:t>
      </w:r>
      <w:r w:rsidRPr="00C84023">
        <w:rPr>
          <w:rFonts w:cstheme="minorHAnsi"/>
          <w:color w:val="231F20"/>
          <w:spacing w:val="12"/>
          <w:w w:val="105"/>
        </w:rPr>
        <w:t xml:space="preserve"> </w:t>
      </w:r>
      <w:r w:rsidRPr="00C84023">
        <w:rPr>
          <w:rFonts w:cstheme="minorHAnsi"/>
          <w:color w:val="231F20"/>
          <w:w w:val="105"/>
        </w:rPr>
        <w:t>to</w:t>
      </w:r>
      <w:r w:rsidRPr="00C84023">
        <w:rPr>
          <w:rFonts w:cstheme="minorHAnsi"/>
          <w:color w:val="231F20"/>
          <w:spacing w:val="12"/>
          <w:w w:val="105"/>
        </w:rPr>
        <w:t xml:space="preserve"> </w:t>
      </w:r>
      <w:r w:rsidRPr="00C84023">
        <w:rPr>
          <w:rFonts w:cstheme="minorHAnsi"/>
          <w:color w:val="231F20"/>
          <w:w w:val="105"/>
        </w:rPr>
        <w:t>understand</w:t>
      </w:r>
      <w:r w:rsidRPr="00C84023">
        <w:rPr>
          <w:rFonts w:cstheme="minorHAnsi"/>
          <w:color w:val="231F20"/>
          <w:spacing w:val="12"/>
          <w:w w:val="105"/>
        </w:rPr>
        <w:t xml:space="preserve"> </w:t>
      </w:r>
      <w:r w:rsidRPr="00C84023">
        <w:rPr>
          <w:rFonts w:cstheme="minorHAnsi"/>
          <w:color w:val="231F20"/>
          <w:w w:val="105"/>
        </w:rPr>
        <w:t>legal rights</w:t>
      </w:r>
      <w:r w:rsidRPr="00C84023">
        <w:rPr>
          <w:rFonts w:cstheme="minorHAnsi"/>
          <w:color w:val="231F20"/>
          <w:spacing w:val="12"/>
          <w:w w:val="105"/>
        </w:rPr>
        <w:t xml:space="preserve"> </w:t>
      </w:r>
      <w:r w:rsidRPr="00C84023">
        <w:rPr>
          <w:rFonts w:cstheme="minorHAnsi"/>
          <w:color w:val="231F20"/>
          <w:w w:val="105"/>
        </w:rPr>
        <w:t>and</w:t>
      </w:r>
      <w:r w:rsidRPr="00C84023">
        <w:rPr>
          <w:rFonts w:cstheme="minorHAnsi"/>
          <w:color w:val="231F20"/>
          <w:spacing w:val="12"/>
          <w:w w:val="105"/>
        </w:rPr>
        <w:t xml:space="preserve"> </w:t>
      </w:r>
      <w:r w:rsidRPr="00C84023">
        <w:rPr>
          <w:rFonts w:cstheme="minorHAnsi"/>
          <w:color w:val="231F20"/>
          <w:w w:val="105"/>
        </w:rPr>
        <w:t>responsibilities</w:t>
      </w:r>
      <w:r w:rsidRPr="00C84023">
        <w:rPr>
          <w:rFonts w:cstheme="minorHAnsi"/>
          <w:color w:val="231F20"/>
          <w:spacing w:val="12"/>
          <w:w w:val="105"/>
        </w:rPr>
        <w:t xml:space="preserve"> </w:t>
      </w:r>
      <w:r w:rsidRPr="00C84023">
        <w:rPr>
          <w:rFonts w:cstheme="minorHAnsi"/>
          <w:color w:val="231F20"/>
          <w:w w:val="105"/>
        </w:rPr>
        <w:t>of</w:t>
      </w:r>
      <w:r w:rsidRPr="00C84023">
        <w:rPr>
          <w:rFonts w:cstheme="minorHAnsi"/>
          <w:color w:val="231F20"/>
          <w:spacing w:val="12"/>
          <w:w w:val="105"/>
        </w:rPr>
        <w:t xml:space="preserve"> </w:t>
      </w:r>
      <w:r w:rsidRPr="00C84023">
        <w:rPr>
          <w:rFonts w:cstheme="minorHAnsi"/>
          <w:color w:val="231F20"/>
          <w:w w:val="105"/>
        </w:rPr>
        <w:t>citizenship,</w:t>
      </w:r>
      <w:r w:rsidRPr="00C84023">
        <w:rPr>
          <w:rFonts w:cstheme="minorHAnsi"/>
          <w:color w:val="231F20"/>
          <w:spacing w:val="12"/>
          <w:w w:val="105"/>
        </w:rPr>
        <w:t xml:space="preserve"> </w:t>
      </w:r>
      <w:r w:rsidRPr="00C84023">
        <w:rPr>
          <w:rFonts w:cstheme="minorHAnsi"/>
          <w:color w:val="231F20"/>
          <w:w w:val="105"/>
        </w:rPr>
        <w:t>civic</w:t>
      </w:r>
      <w:r w:rsidRPr="00C84023">
        <w:rPr>
          <w:rFonts w:cstheme="minorHAnsi"/>
          <w:color w:val="231F20"/>
          <w:spacing w:val="12"/>
          <w:w w:val="105"/>
        </w:rPr>
        <w:t xml:space="preserve"> </w:t>
      </w:r>
      <w:r w:rsidRPr="00C84023">
        <w:rPr>
          <w:rFonts w:cstheme="minorHAnsi"/>
          <w:color w:val="231F20"/>
          <w:w w:val="105"/>
        </w:rPr>
        <w:t>participation</w:t>
      </w:r>
      <w:r w:rsidR="00D5537E">
        <w:rPr>
          <w:rFonts w:cstheme="minorHAnsi"/>
          <w:color w:val="231F20"/>
          <w:w w:val="105"/>
        </w:rPr>
        <w:t xml:space="preserve"> and</w:t>
      </w:r>
      <w:r w:rsidRPr="00C84023">
        <w:rPr>
          <w:rFonts w:cstheme="minorHAnsi"/>
          <w:color w:val="231F20"/>
          <w:spacing w:val="17"/>
          <w:w w:val="105"/>
        </w:rPr>
        <w:t xml:space="preserve"> </w:t>
      </w:r>
      <w:r w:rsidRPr="00C84023">
        <w:rPr>
          <w:rFonts w:cstheme="minorHAnsi"/>
          <w:color w:val="231F20"/>
          <w:w w:val="105"/>
        </w:rPr>
        <w:t>services</w:t>
      </w:r>
      <w:r w:rsidRPr="00C84023">
        <w:rPr>
          <w:rFonts w:cstheme="minorHAnsi"/>
          <w:color w:val="231F20"/>
          <w:spacing w:val="17"/>
          <w:w w:val="105"/>
        </w:rPr>
        <w:t xml:space="preserve"> </w:t>
      </w:r>
      <w:r w:rsidRPr="00C84023">
        <w:rPr>
          <w:rFonts w:cstheme="minorHAnsi"/>
          <w:color w:val="231F20"/>
          <w:w w:val="105"/>
        </w:rPr>
        <w:t>provided</w:t>
      </w:r>
      <w:r w:rsidRPr="00C84023">
        <w:rPr>
          <w:rFonts w:cstheme="minorHAnsi"/>
          <w:color w:val="231F20"/>
          <w:spacing w:val="17"/>
          <w:w w:val="105"/>
        </w:rPr>
        <w:t xml:space="preserve"> </w:t>
      </w:r>
      <w:r w:rsidRPr="00C84023">
        <w:rPr>
          <w:rFonts w:cstheme="minorHAnsi"/>
          <w:color w:val="231F20"/>
          <w:w w:val="105"/>
        </w:rPr>
        <w:t>by</w:t>
      </w:r>
      <w:r w:rsidRPr="00C84023">
        <w:rPr>
          <w:rFonts w:cstheme="minorHAnsi"/>
          <w:color w:val="231F20"/>
          <w:spacing w:val="17"/>
          <w:w w:val="105"/>
        </w:rPr>
        <w:t xml:space="preserve"> </w:t>
      </w:r>
      <w:r w:rsidRPr="00C84023">
        <w:rPr>
          <w:rFonts w:cstheme="minorHAnsi"/>
          <w:color w:val="231F20"/>
          <w:w w:val="105"/>
        </w:rPr>
        <w:t>systems</w:t>
      </w:r>
      <w:r w:rsidRPr="00C84023">
        <w:rPr>
          <w:rFonts w:cstheme="minorHAnsi"/>
          <w:color w:val="231F20"/>
          <w:spacing w:val="17"/>
          <w:w w:val="105"/>
        </w:rPr>
        <w:t xml:space="preserve"> </w:t>
      </w:r>
      <w:r w:rsidRPr="00C84023">
        <w:rPr>
          <w:rFonts w:cstheme="minorHAnsi"/>
          <w:color w:val="231F20"/>
          <w:w w:val="105"/>
        </w:rPr>
        <w:t>in</w:t>
      </w:r>
      <w:r w:rsidRPr="00C84023">
        <w:rPr>
          <w:rFonts w:cstheme="minorHAnsi"/>
          <w:color w:val="231F20"/>
          <w:spacing w:val="17"/>
          <w:w w:val="105"/>
        </w:rPr>
        <w:t xml:space="preserve"> </w:t>
      </w:r>
      <w:r w:rsidRPr="00C84023">
        <w:rPr>
          <w:rFonts w:cstheme="minorHAnsi"/>
          <w:color w:val="231F20"/>
          <w:w w:val="105"/>
        </w:rPr>
        <w:t>the</w:t>
      </w:r>
      <w:r w:rsidRPr="00C84023">
        <w:rPr>
          <w:rFonts w:cstheme="minorHAnsi"/>
          <w:color w:val="231F20"/>
          <w:spacing w:val="17"/>
          <w:w w:val="105"/>
        </w:rPr>
        <w:t xml:space="preserve"> </w:t>
      </w:r>
      <w:r w:rsidRPr="00C84023">
        <w:rPr>
          <w:rFonts w:cstheme="minorHAnsi"/>
          <w:color w:val="231F20"/>
          <w:w w:val="105"/>
        </w:rPr>
        <w:t>U.S.</w:t>
      </w:r>
      <w:r w:rsidRPr="00C84023">
        <w:rPr>
          <w:rFonts w:cstheme="minorHAnsi"/>
          <w:color w:val="231F20"/>
          <w:spacing w:val="17"/>
          <w:w w:val="105"/>
        </w:rPr>
        <w:t xml:space="preserve"> </w:t>
      </w:r>
      <w:r w:rsidRPr="00C84023">
        <w:rPr>
          <w:rFonts w:cstheme="minorHAnsi"/>
          <w:color w:val="231F20"/>
          <w:w w:val="105"/>
        </w:rPr>
        <w:t>such</w:t>
      </w:r>
      <w:r w:rsidRPr="00C84023">
        <w:rPr>
          <w:rFonts w:cstheme="minorHAnsi"/>
          <w:color w:val="231F20"/>
          <w:spacing w:val="17"/>
          <w:w w:val="105"/>
        </w:rPr>
        <w:t xml:space="preserve"> </w:t>
      </w:r>
      <w:r w:rsidRPr="00C84023">
        <w:rPr>
          <w:rFonts w:cstheme="minorHAnsi"/>
          <w:color w:val="231F20"/>
          <w:w w:val="105"/>
        </w:rPr>
        <w:t>as</w:t>
      </w:r>
      <w:r w:rsidRPr="00C84023">
        <w:rPr>
          <w:rFonts w:cstheme="minorHAnsi"/>
          <w:color w:val="231F20"/>
          <w:spacing w:val="17"/>
          <w:w w:val="105"/>
        </w:rPr>
        <w:t xml:space="preserve"> </w:t>
      </w:r>
      <w:r w:rsidRPr="00C84023">
        <w:rPr>
          <w:rFonts w:cstheme="minorHAnsi"/>
          <w:color w:val="231F20"/>
          <w:w w:val="105"/>
        </w:rPr>
        <w:t>health,</w:t>
      </w:r>
      <w:r w:rsidRPr="00C84023">
        <w:rPr>
          <w:rFonts w:cstheme="minorHAnsi"/>
          <w:color w:val="231F20"/>
          <w:spacing w:val="17"/>
          <w:w w:val="105"/>
        </w:rPr>
        <w:t xml:space="preserve"> </w:t>
      </w:r>
      <w:r w:rsidRPr="00C84023">
        <w:rPr>
          <w:rFonts w:cstheme="minorHAnsi"/>
          <w:color w:val="231F20"/>
          <w:w w:val="105"/>
        </w:rPr>
        <w:t>government</w:t>
      </w:r>
      <w:r w:rsidRPr="00C84023">
        <w:rPr>
          <w:rFonts w:cstheme="minorHAnsi"/>
          <w:color w:val="231F20"/>
          <w:spacing w:val="17"/>
          <w:w w:val="105"/>
        </w:rPr>
        <w:t xml:space="preserve"> </w:t>
      </w:r>
      <w:r w:rsidRPr="00C84023">
        <w:rPr>
          <w:rFonts w:cstheme="minorHAnsi"/>
          <w:color w:val="231F20"/>
          <w:w w:val="105"/>
        </w:rPr>
        <w:t>and</w:t>
      </w:r>
      <w:r w:rsidRPr="00C84023">
        <w:rPr>
          <w:rFonts w:cstheme="minorHAnsi"/>
          <w:color w:val="231F20"/>
          <w:spacing w:val="17"/>
          <w:w w:val="105"/>
        </w:rPr>
        <w:t xml:space="preserve"> </w:t>
      </w:r>
      <w:r w:rsidRPr="00C84023">
        <w:rPr>
          <w:rFonts w:cstheme="minorHAnsi"/>
          <w:color w:val="231F20"/>
          <w:w w:val="105"/>
        </w:rPr>
        <w:t>education.</w:t>
      </w:r>
      <w:r w:rsidRPr="00C84023">
        <w:rPr>
          <w:rFonts w:cstheme="minorHAnsi"/>
          <w:color w:val="231F20"/>
          <w:spacing w:val="34"/>
          <w:w w:val="105"/>
        </w:rPr>
        <w:t xml:space="preserve"> </w:t>
      </w:r>
      <w:r w:rsidRPr="00C84023">
        <w:rPr>
          <w:rFonts w:cstheme="minorHAnsi"/>
          <w:color w:val="231F20"/>
          <w:w w:val="105"/>
        </w:rPr>
        <w:t>Adult</w:t>
      </w:r>
      <w:r w:rsidRPr="00C84023">
        <w:rPr>
          <w:rFonts w:cstheme="minorHAnsi"/>
          <w:color w:val="231F20"/>
          <w:spacing w:val="17"/>
          <w:w w:val="105"/>
        </w:rPr>
        <w:t xml:space="preserve"> </w:t>
      </w:r>
      <w:r w:rsidRPr="00C84023">
        <w:rPr>
          <w:rFonts w:cstheme="minorHAnsi"/>
          <w:color w:val="231F20"/>
          <w:w w:val="105"/>
        </w:rPr>
        <w:t>educators</w:t>
      </w:r>
      <w:r w:rsidRPr="00C84023">
        <w:rPr>
          <w:rFonts w:cstheme="minorHAnsi"/>
          <w:color w:val="231F20"/>
          <w:w w:val="107"/>
        </w:rPr>
        <w:t xml:space="preserve"> </w:t>
      </w:r>
      <w:r w:rsidRPr="00C84023">
        <w:rPr>
          <w:rFonts w:cstheme="minorHAnsi"/>
          <w:color w:val="231F20"/>
          <w:w w:val="105"/>
        </w:rPr>
        <w:t>can</w:t>
      </w:r>
      <w:r w:rsidRPr="00C84023">
        <w:rPr>
          <w:rFonts w:cstheme="minorHAnsi"/>
          <w:color w:val="231F20"/>
          <w:spacing w:val="17"/>
          <w:w w:val="105"/>
        </w:rPr>
        <w:t xml:space="preserve"> </w:t>
      </w:r>
      <w:r w:rsidRPr="00C84023">
        <w:rPr>
          <w:rFonts w:cstheme="minorHAnsi"/>
          <w:color w:val="231F20"/>
          <w:w w:val="105"/>
        </w:rPr>
        <w:t>participate</w:t>
      </w:r>
      <w:r w:rsidRPr="00C84023">
        <w:rPr>
          <w:rFonts w:cstheme="minorHAnsi"/>
          <w:color w:val="231F20"/>
          <w:spacing w:val="17"/>
          <w:w w:val="105"/>
        </w:rPr>
        <w:t xml:space="preserve"> </w:t>
      </w:r>
      <w:r w:rsidRPr="00C84023">
        <w:rPr>
          <w:rFonts w:cstheme="minorHAnsi"/>
          <w:color w:val="231F20"/>
          <w:w w:val="105"/>
        </w:rPr>
        <w:t>in</w:t>
      </w:r>
      <w:r w:rsidRPr="00C84023">
        <w:rPr>
          <w:rFonts w:cstheme="minorHAnsi"/>
          <w:color w:val="231F20"/>
          <w:spacing w:val="17"/>
          <w:w w:val="105"/>
        </w:rPr>
        <w:t xml:space="preserve"> </w:t>
      </w:r>
      <w:r w:rsidRPr="00C84023">
        <w:rPr>
          <w:rFonts w:cstheme="minorHAnsi"/>
          <w:color w:val="231F20"/>
          <w:w w:val="105"/>
        </w:rPr>
        <w:t>ESOL/EL</w:t>
      </w:r>
      <w:r w:rsidRPr="00C84023">
        <w:rPr>
          <w:rFonts w:cstheme="minorHAnsi"/>
          <w:color w:val="231F20"/>
          <w:spacing w:val="17"/>
          <w:w w:val="105"/>
        </w:rPr>
        <w:t xml:space="preserve"> </w:t>
      </w:r>
      <w:r w:rsidRPr="00C84023">
        <w:rPr>
          <w:rFonts w:cstheme="minorHAnsi"/>
          <w:color w:val="231F20"/>
          <w:w w:val="105"/>
        </w:rPr>
        <w:t>Civics</w:t>
      </w:r>
      <w:r w:rsidRPr="00C84023">
        <w:rPr>
          <w:rFonts w:cstheme="minorHAnsi"/>
          <w:color w:val="231F20"/>
          <w:spacing w:val="17"/>
          <w:w w:val="105"/>
        </w:rPr>
        <w:t xml:space="preserve"> </w:t>
      </w:r>
      <w:r w:rsidRPr="00C84023">
        <w:rPr>
          <w:rFonts w:cstheme="minorHAnsi"/>
          <w:color w:val="231F20"/>
          <w:w w:val="105"/>
        </w:rPr>
        <w:t>regional</w:t>
      </w:r>
      <w:r w:rsidRPr="00C84023">
        <w:rPr>
          <w:rFonts w:cstheme="minorHAnsi"/>
          <w:color w:val="231F20"/>
          <w:spacing w:val="17"/>
          <w:w w:val="105"/>
        </w:rPr>
        <w:t xml:space="preserve"> </w:t>
      </w:r>
      <w:r w:rsidRPr="00C84023">
        <w:rPr>
          <w:rFonts w:cstheme="minorHAnsi"/>
          <w:color w:val="231F20"/>
          <w:w w:val="105"/>
        </w:rPr>
        <w:t>workshops</w:t>
      </w:r>
      <w:r w:rsidRPr="00C84023">
        <w:rPr>
          <w:rFonts w:cstheme="minorHAnsi"/>
          <w:color w:val="231F20"/>
          <w:spacing w:val="17"/>
          <w:w w:val="105"/>
        </w:rPr>
        <w:t xml:space="preserve"> </w:t>
      </w:r>
      <w:r w:rsidRPr="00C84023">
        <w:rPr>
          <w:rFonts w:cstheme="minorHAnsi"/>
          <w:color w:val="231F20"/>
          <w:w w:val="105"/>
        </w:rPr>
        <w:t>and</w:t>
      </w:r>
      <w:r w:rsidRPr="00C84023">
        <w:rPr>
          <w:rFonts w:cstheme="minorHAnsi"/>
          <w:color w:val="231F20"/>
          <w:spacing w:val="17"/>
          <w:w w:val="105"/>
        </w:rPr>
        <w:t xml:space="preserve"> </w:t>
      </w:r>
      <w:r w:rsidRPr="00C84023">
        <w:rPr>
          <w:rFonts w:cstheme="minorHAnsi"/>
          <w:color w:val="231F20"/>
          <w:w w:val="105"/>
        </w:rPr>
        <w:t>webinars</w:t>
      </w:r>
      <w:r w:rsidRPr="00C84023">
        <w:rPr>
          <w:rFonts w:cstheme="minorHAnsi"/>
          <w:color w:val="231F20"/>
          <w:spacing w:val="17"/>
          <w:w w:val="105"/>
        </w:rPr>
        <w:t xml:space="preserve"> </w:t>
      </w:r>
      <w:r w:rsidRPr="00C84023">
        <w:rPr>
          <w:rFonts w:cstheme="minorHAnsi"/>
          <w:color w:val="231F20"/>
          <w:w w:val="105"/>
        </w:rPr>
        <w:t>sponsored</w:t>
      </w:r>
      <w:r w:rsidRPr="00C84023">
        <w:rPr>
          <w:rFonts w:cstheme="minorHAnsi"/>
          <w:color w:val="231F20"/>
          <w:spacing w:val="17"/>
          <w:w w:val="105"/>
        </w:rPr>
        <w:t xml:space="preserve"> </w:t>
      </w:r>
      <w:r w:rsidRPr="00C84023">
        <w:rPr>
          <w:rFonts w:cstheme="minorHAnsi"/>
          <w:color w:val="231F20"/>
          <w:w w:val="105"/>
        </w:rPr>
        <w:t>in</w:t>
      </w:r>
      <w:r w:rsidRPr="00C84023">
        <w:rPr>
          <w:rFonts w:cstheme="minorHAnsi"/>
          <w:color w:val="231F20"/>
          <w:spacing w:val="-33"/>
          <w:w w:val="105"/>
        </w:rPr>
        <w:t xml:space="preserve"> </w:t>
      </w:r>
      <w:r w:rsidRPr="00C84023">
        <w:rPr>
          <w:rFonts w:cstheme="minorHAnsi"/>
          <w:color w:val="231F20"/>
          <w:w w:val="105"/>
        </w:rPr>
        <w:t>collaboration</w:t>
      </w:r>
      <w:r w:rsidRPr="00C84023">
        <w:rPr>
          <w:rFonts w:cstheme="minorHAnsi"/>
          <w:color w:val="231F20"/>
          <w:spacing w:val="10"/>
          <w:w w:val="105"/>
        </w:rPr>
        <w:t xml:space="preserve"> </w:t>
      </w:r>
      <w:r w:rsidRPr="00C84023">
        <w:rPr>
          <w:rFonts w:cstheme="minorHAnsi"/>
          <w:color w:val="231F20"/>
          <w:w w:val="105"/>
        </w:rPr>
        <w:t>with</w:t>
      </w:r>
      <w:r w:rsidRPr="00C84023">
        <w:rPr>
          <w:rFonts w:cstheme="minorHAnsi"/>
          <w:color w:val="231F20"/>
          <w:spacing w:val="10"/>
          <w:w w:val="105"/>
        </w:rPr>
        <w:t xml:space="preserve"> </w:t>
      </w:r>
      <w:r w:rsidRPr="00C84023">
        <w:rPr>
          <w:rFonts w:cstheme="minorHAnsi"/>
          <w:color w:val="231F20"/>
          <w:w w:val="105"/>
        </w:rPr>
        <w:t>the</w:t>
      </w:r>
      <w:r w:rsidRPr="00C84023">
        <w:rPr>
          <w:rFonts w:cstheme="minorHAnsi"/>
          <w:color w:val="231F20"/>
          <w:spacing w:val="10"/>
          <w:w w:val="105"/>
        </w:rPr>
        <w:t xml:space="preserve"> </w:t>
      </w:r>
      <w:r w:rsidRPr="00C84023">
        <w:rPr>
          <w:rFonts w:cstheme="minorHAnsi"/>
          <w:color w:val="231F20"/>
          <w:w w:val="105"/>
        </w:rPr>
        <w:t>IPDAE,</w:t>
      </w:r>
      <w:r w:rsidRPr="00C84023">
        <w:rPr>
          <w:rFonts w:cstheme="minorHAnsi"/>
          <w:color w:val="231F20"/>
          <w:spacing w:val="10"/>
          <w:w w:val="105"/>
        </w:rPr>
        <w:t xml:space="preserve"> </w:t>
      </w:r>
      <w:r w:rsidRPr="00C84023">
        <w:rPr>
          <w:rFonts w:cstheme="minorHAnsi"/>
          <w:color w:val="231F20"/>
          <w:w w:val="105"/>
        </w:rPr>
        <w:t>Adult</w:t>
      </w:r>
      <w:r w:rsidRPr="00C84023">
        <w:rPr>
          <w:rFonts w:cstheme="minorHAnsi"/>
          <w:color w:val="231F20"/>
          <w:spacing w:val="10"/>
          <w:w w:val="105"/>
        </w:rPr>
        <w:t xml:space="preserve"> </w:t>
      </w:r>
      <w:r w:rsidRPr="00C84023">
        <w:rPr>
          <w:rFonts w:cstheme="minorHAnsi"/>
          <w:color w:val="231F20"/>
          <w:w w:val="105"/>
        </w:rPr>
        <w:t>and</w:t>
      </w:r>
      <w:r w:rsidRPr="00C84023">
        <w:rPr>
          <w:rFonts w:cstheme="minorHAnsi"/>
          <w:color w:val="231F20"/>
          <w:spacing w:val="10"/>
          <w:w w:val="105"/>
        </w:rPr>
        <w:t xml:space="preserve"> </w:t>
      </w:r>
      <w:r w:rsidRPr="00C84023">
        <w:rPr>
          <w:rFonts w:cstheme="minorHAnsi"/>
          <w:color w:val="231F20"/>
          <w:w w:val="105"/>
        </w:rPr>
        <w:t>Community</w:t>
      </w:r>
      <w:r w:rsidRPr="00C84023">
        <w:rPr>
          <w:rFonts w:cstheme="minorHAnsi"/>
          <w:color w:val="231F20"/>
          <w:spacing w:val="10"/>
          <w:w w:val="105"/>
        </w:rPr>
        <w:t xml:space="preserve"> </w:t>
      </w:r>
      <w:r w:rsidRPr="00C84023">
        <w:rPr>
          <w:rFonts w:cstheme="minorHAnsi"/>
          <w:color w:val="231F20"/>
          <w:w w:val="105"/>
        </w:rPr>
        <w:t>Educators</w:t>
      </w:r>
      <w:r w:rsidRPr="00C84023">
        <w:rPr>
          <w:rFonts w:cstheme="minorHAnsi"/>
          <w:color w:val="231F20"/>
          <w:spacing w:val="10"/>
          <w:w w:val="105"/>
        </w:rPr>
        <w:t xml:space="preserve"> </w:t>
      </w:r>
      <w:r w:rsidRPr="00C84023">
        <w:rPr>
          <w:rFonts w:cstheme="minorHAnsi"/>
          <w:color w:val="231F20"/>
          <w:w w:val="105"/>
        </w:rPr>
        <w:t>(ACE)</w:t>
      </w:r>
      <w:r w:rsidRPr="00C84023">
        <w:rPr>
          <w:rFonts w:cstheme="minorHAnsi"/>
          <w:color w:val="231F20"/>
          <w:spacing w:val="10"/>
          <w:w w:val="105"/>
        </w:rPr>
        <w:t xml:space="preserve"> </w:t>
      </w:r>
      <w:r w:rsidRPr="00C84023">
        <w:rPr>
          <w:rFonts w:cstheme="minorHAnsi"/>
          <w:color w:val="231F20"/>
          <w:w w:val="105"/>
        </w:rPr>
        <w:t>of</w:t>
      </w:r>
      <w:r w:rsidRPr="00C84023">
        <w:rPr>
          <w:rFonts w:cstheme="minorHAnsi"/>
          <w:color w:val="231F20"/>
          <w:spacing w:val="10"/>
          <w:w w:val="105"/>
        </w:rPr>
        <w:t xml:space="preserve"> </w:t>
      </w:r>
      <w:r w:rsidRPr="00C84023">
        <w:rPr>
          <w:rFonts w:cstheme="minorHAnsi"/>
          <w:color w:val="231F20"/>
          <w:w w:val="105"/>
        </w:rPr>
        <w:t>Florida</w:t>
      </w:r>
      <w:r w:rsidR="00D5537E">
        <w:rPr>
          <w:rFonts w:cstheme="minorHAnsi"/>
          <w:color w:val="231F20"/>
          <w:w w:val="105"/>
        </w:rPr>
        <w:t xml:space="preserve"> and</w:t>
      </w:r>
      <w:r w:rsidRPr="00C84023">
        <w:rPr>
          <w:rFonts w:cstheme="minorHAnsi"/>
          <w:color w:val="231F20"/>
          <w:spacing w:val="10"/>
          <w:w w:val="105"/>
        </w:rPr>
        <w:t xml:space="preserve"> </w:t>
      </w:r>
      <w:r w:rsidRPr="00C84023">
        <w:rPr>
          <w:rFonts w:cstheme="minorHAnsi"/>
          <w:color w:val="231F20"/>
          <w:w w:val="105"/>
        </w:rPr>
        <w:t>the</w:t>
      </w:r>
      <w:r w:rsidRPr="00C84023">
        <w:rPr>
          <w:rFonts w:cstheme="minorHAnsi"/>
          <w:color w:val="231F20"/>
          <w:spacing w:val="10"/>
          <w:w w:val="105"/>
        </w:rPr>
        <w:t xml:space="preserve"> </w:t>
      </w:r>
      <w:r w:rsidRPr="00C84023">
        <w:rPr>
          <w:rFonts w:cstheme="minorHAnsi"/>
          <w:color w:val="231F20"/>
          <w:w w:val="105"/>
        </w:rPr>
        <w:t>Florida</w:t>
      </w:r>
      <w:r w:rsidRPr="00C84023">
        <w:rPr>
          <w:rFonts w:cstheme="minorHAnsi"/>
          <w:color w:val="231F20"/>
          <w:spacing w:val="10"/>
          <w:w w:val="105"/>
        </w:rPr>
        <w:t xml:space="preserve"> </w:t>
      </w:r>
      <w:r w:rsidRPr="00C84023">
        <w:rPr>
          <w:rFonts w:cstheme="minorHAnsi"/>
          <w:color w:val="231F20"/>
          <w:w w:val="105"/>
        </w:rPr>
        <w:t>Literacy</w:t>
      </w:r>
      <w:r w:rsidRPr="00C84023">
        <w:rPr>
          <w:rFonts w:cstheme="minorHAnsi"/>
          <w:color w:val="231F20"/>
          <w:spacing w:val="-25"/>
          <w:w w:val="105"/>
        </w:rPr>
        <w:t xml:space="preserve"> </w:t>
      </w:r>
      <w:r w:rsidRPr="00C84023">
        <w:rPr>
          <w:rFonts w:cstheme="minorHAnsi"/>
          <w:color w:val="231F20"/>
          <w:w w:val="105"/>
        </w:rPr>
        <w:t>Coalition.</w:t>
      </w:r>
      <w:r w:rsidRPr="00C84023">
        <w:rPr>
          <w:rFonts w:cstheme="minorHAnsi"/>
          <w:color w:val="231F20"/>
          <w:spacing w:val="10"/>
          <w:w w:val="105"/>
        </w:rPr>
        <w:t xml:space="preserve"> </w:t>
      </w:r>
      <w:r w:rsidRPr="00C84023">
        <w:rPr>
          <w:rFonts w:cstheme="minorHAnsi"/>
          <w:w w:val="105"/>
        </w:rPr>
        <w:t>Webinars</w:t>
      </w:r>
      <w:r w:rsidRPr="00C84023">
        <w:rPr>
          <w:rFonts w:cstheme="minorHAnsi"/>
          <w:spacing w:val="10"/>
          <w:w w:val="105"/>
        </w:rPr>
        <w:t xml:space="preserve"> </w:t>
      </w:r>
      <w:r w:rsidRPr="00C84023">
        <w:rPr>
          <w:rFonts w:cstheme="minorHAnsi"/>
          <w:w w:val="105"/>
        </w:rPr>
        <w:t>on</w:t>
      </w:r>
      <w:r w:rsidRPr="00C84023">
        <w:rPr>
          <w:rFonts w:cstheme="minorHAnsi"/>
          <w:spacing w:val="10"/>
          <w:w w:val="105"/>
        </w:rPr>
        <w:t xml:space="preserve"> </w:t>
      </w:r>
      <w:r w:rsidRPr="00C84023">
        <w:rPr>
          <w:rFonts w:cstheme="minorHAnsi"/>
          <w:w w:val="105"/>
        </w:rPr>
        <w:t>civics</w:t>
      </w:r>
      <w:r w:rsidRPr="00C84023">
        <w:rPr>
          <w:rFonts w:cstheme="minorHAnsi"/>
          <w:spacing w:val="10"/>
          <w:w w:val="105"/>
        </w:rPr>
        <w:t xml:space="preserve"> </w:t>
      </w:r>
      <w:r w:rsidRPr="00C84023">
        <w:rPr>
          <w:rFonts w:cstheme="minorHAnsi"/>
          <w:w w:val="105"/>
        </w:rPr>
        <w:t>integration</w:t>
      </w:r>
      <w:r w:rsidRPr="00C84023">
        <w:rPr>
          <w:rFonts w:cstheme="minorHAnsi"/>
          <w:spacing w:val="10"/>
          <w:w w:val="105"/>
        </w:rPr>
        <w:t xml:space="preserve"> </w:t>
      </w:r>
      <w:r w:rsidRPr="00C84023">
        <w:rPr>
          <w:rFonts w:cstheme="minorHAnsi"/>
          <w:w w:val="105"/>
        </w:rPr>
        <w:t>are available</w:t>
      </w:r>
      <w:r w:rsidRPr="00C84023">
        <w:rPr>
          <w:rFonts w:cstheme="minorHAnsi"/>
          <w:spacing w:val="10"/>
          <w:w w:val="105"/>
        </w:rPr>
        <w:t xml:space="preserve"> </w:t>
      </w:r>
      <w:r w:rsidRPr="00C84023">
        <w:rPr>
          <w:rFonts w:cstheme="minorHAnsi"/>
          <w:w w:val="105"/>
        </w:rPr>
        <w:t>and</w:t>
      </w:r>
      <w:r w:rsidRPr="00C84023">
        <w:rPr>
          <w:rFonts w:cstheme="minorHAnsi"/>
          <w:spacing w:val="10"/>
          <w:w w:val="105"/>
        </w:rPr>
        <w:t xml:space="preserve"> </w:t>
      </w:r>
      <w:r w:rsidRPr="00C84023">
        <w:rPr>
          <w:rFonts w:cstheme="minorHAnsi"/>
          <w:w w:val="105"/>
        </w:rPr>
        <w:t>archived</w:t>
      </w:r>
      <w:r w:rsidRPr="00C84023">
        <w:rPr>
          <w:rFonts w:cstheme="minorHAnsi"/>
          <w:spacing w:val="10"/>
          <w:w w:val="105"/>
        </w:rPr>
        <w:t xml:space="preserve"> </w:t>
      </w:r>
      <w:r w:rsidRPr="00C84023">
        <w:rPr>
          <w:rFonts w:cstheme="minorHAnsi"/>
          <w:w w:val="105"/>
        </w:rPr>
        <w:t>on</w:t>
      </w:r>
      <w:r w:rsidRPr="00C84023">
        <w:rPr>
          <w:rFonts w:cstheme="minorHAnsi"/>
          <w:spacing w:val="10"/>
          <w:w w:val="105"/>
        </w:rPr>
        <w:t xml:space="preserve"> </w:t>
      </w:r>
      <w:r w:rsidRPr="00C84023">
        <w:rPr>
          <w:rFonts w:cstheme="minorHAnsi"/>
          <w:w w:val="105"/>
        </w:rPr>
        <w:t>the</w:t>
      </w:r>
      <w:r w:rsidRPr="00C84023">
        <w:rPr>
          <w:rFonts w:cstheme="minorHAnsi"/>
          <w:spacing w:val="10"/>
          <w:w w:val="105"/>
        </w:rPr>
        <w:t xml:space="preserve"> </w:t>
      </w:r>
      <w:r w:rsidRPr="00C84023">
        <w:rPr>
          <w:rFonts w:cstheme="minorHAnsi"/>
          <w:w w:val="105"/>
        </w:rPr>
        <w:t>IPDAE</w:t>
      </w:r>
      <w:r w:rsidRPr="00C84023">
        <w:rPr>
          <w:rFonts w:cstheme="minorHAnsi"/>
          <w:spacing w:val="10"/>
          <w:w w:val="105"/>
        </w:rPr>
        <w:t xml:space="preserve"> </w:t>
      </w:r>
      <w:r w:rsidRPr="00C84023">
        <w:rPr>
          <w:rFonts w:cstheme="minorHAnsi"/>
          <w:w w:val="105"/>
        </w:rPr>
        <w:t>website</w:t>
      </w:r>
      <w:r w:rsidRPr="00C84023">
        <w:rPr>
          <w:rFonts w:cstheme="minorHAnsi"/>
          <w:spacing w:val="10"/>
          <w:w w:val="105"/>
        </w:rPr>
        <w:t xml:space="preserve"> </w:t>
      </w:r>
      <w:r w:rsidRPr="00C84023">
        <w:rPr>
          <w:rFonts w:cstheme="minorHAnsi"/>
          <w:w w:val="105"/>
        </w:rPr>
        <w:t>at</w:t>
      </w:r>
      <w:r w:rsidRPr="00C84023">
        <w:rPr>
          <w:rFonts w:cstheme="minorHAnsi"/>
          <w:spacing w:val="9"/>
          <w:w w:val="105"/>
        </w:rPr>
        <w:t xml:space="preserve"> </w:t>
      </w:r>
      <w:hyperlink r:id="rId163">
        <w:r w:rsidRPr="00704DA7">
          <w:rPr>
            <w:rStyle w:val="Hyperlink"/>
            <w:rFonts w:cstheme="minorHAnsi"/>
          </w:rPr>
          <w:t>www.floridaipdae.org</w:t>
        </w:r>
      </w:hyperlink>
      <w:r w:rsidRPr="00704DA7">
        <w:rPr>
          <w:rStyle w:val="Hyperlink"/>
          <w:rFonts w:cstheme="minorHAnsi"/>
        </w:rPr>
        <w:t>.</w:t>
      </w:r>
    </w:p>
    <w:p w14:paraId="5AFC9657" w14:textId="77777777" w:rsidR="00691C52" w:rsidRDefault="00691C52" w:rsidP="00D63204">
      <w:pPr>
        <w:widowControl w:val="0"/>
        <w:spacing w:after="0" w:line="238" w:lineRule="exact"/>
        <w:ind w:left="90"/>
        <w:rPr>
          <w:rFonts w:cstheme="minorHAnsi"/>
          <w:color w:val="231F20"/>
          <w:spacing w:val="-3"/>
          <w:w w:val="105"/>
        </w:rPr>
      </w:pPr>
    </w:p>
    <w:p w14:paraId="14F658C5" w14:textId="77777777" w:rsidR="007D2256" w:rsidRDefault="00D6480A" w:rsidP="00D63204">
      <w:pPr>
        <w:widowControl w:val="0"/>
        <w:spacing w:after="0" w:line="238" w:lineRule="exact"/>
        <w:ind w:left="90"/>
        <w:rPr>
          <w:rFonts w:cstheme="minorHAnsi"/>
          <w:color w:val="231F20"/>
          <w:w w:val="105"/>
        </w:rPr>
      </w:pPr>
      <w:r w:rsidRPr="00C84023">
        <w:rPr>
          <w:rFonts w:cstheme="minorHAnsi"/>
          <w:color w:val="231F20"/>
          <w:spacing w:val="-3"/>
          <w:w w:val="105"/>
        </w:rPr>
        <w:t>Teachers</w:t>
      </w:r>
      <w:r w:rsidRPr="00C84023">
        <w:rPr>
          <w:rFonts w:cstheme="minorHAnsi"/>
          <w:color w:val="231F20"/>
          <w:spacing w:val="30"/>
          <w:w w:val="105"/>
        </w:rPr>
        <w:t xml:space="preserve"> </w:t>
      </w:r>
      <w:r w:rsidRPr="00C84023">
        <w:rPr>
          <w:rFonts w:cstheme="minorHAnsi"/>
          <w:color w:val="231F20"/>
          <w:w w:val="105"/>
        </w:rPr>
        <w:t>providing</w:t>
      </w:r>
      <w:r w:rsidRPr="00C84023">
        <w:rPr>
          <w:rFonts w:cstheme="minorHAnsi"/>
          <w:color w:val="231F20"/>
          <w:spacing w:val="30"/>
          <w:w w:val="105"/>
        </w:rPr>
        <w:t xml:space="preserve"> </w:t>
      </w:r>
      <w:r w:rsidRPr="00C84023">
        <w:rPr>
          <w:rFonts w:cstheme="minorHAnsi"/>
          <w:color w:val="231F20"/>
          <w:w w:val="105"/>
        </w:rPr>
        <w:t>EL/Civics</w:t>
      </w:r>
      <w:r w:rsidRPr="00C84023">
        <w:rPr>
          <w:rFonts w:cstheme="minorHAnsi"/>
          <w:color w:val="231F20"/>
          <w:spacing w:val="30"/>
          <w:w w:val="105"/>
        </w:rPr>
        <w:t xml:space="preserve"> </w:t>
      </w:r>
      <w:r w:rsidRPr="00C84023">
        <w:rPr>
          <w:rFonts w:cstheme="minorHAnsi"/>
          <w:color w:val="231F20"/>
          <w:w w:val="105"/>
        </w:rPr>
        <w:t>instruction</w:t>
      </w:r>
      <w:r w:rsidRPr="00C84023">
        <w:rPr>
          <w:rFonts w:cstheme="minorHAnsi"/>
          <w:color w:val="231F20"/>
          <w:spacing w:val="30"/>
          <w:w w:val="105"/>
        </w:rPr>
        <w:t xml:space="preserve"> </w:t>
      </w:r>
      <w:r w:rsidRPr="00C84023">
        <w:rPr>
          <w:rFonts w:cstheme="minorHAnsi"/>
          <w:color w:val="231F20"/>
          <w:w w:val="105"/>
        </w:rPr>
        <w:t>are</w:t>
      </w:r>
      <w:r w:rsidRPr="00C84023">
        <w:rPr>
          <w:rFonts w:cstheme="minorHAnsi"/>
          <w:color w:val="231F20"/>
          <w:spacing w:val="30"/>
          <w:w w:val="105"/>
        </w:rPr>
        <w:t xml:space="preserve"> </w:t>
      </w:r>
      <w:r w:rsidRPr="00C84023">
        <w:rPr>
          <w:rFonts w:cstheme="minorHAnsi"/>
          <w:color w:val="231F20"/>
          <w:w w:val="105"/>
        </w:rPr>
        <w:t>provided</w:t>
      </w:r>
      <w:r w:rsidRPr="00C84023">
        <w:rPr>
          <w:rFonts w:cstheme="minorHAnsi"/>
          <w:color w:val="231F20"/>
          <w:spacing w:val="30"/>
          <w:w w:val="105"/>
        </w:rPr>
        <w:t xml:space="preserve"> </w:t>
      </w:r>
      <w:r w:rsidRPr="00C84023">
        <w:rPr>
          <w:rFonts w:cstheme="minorHAnsi"/>
          <w:color w:val="231F20"/>
          <w:w w:val="105"/>
        </w:rPr>
        <w:t>the</w:t>
      </w:r>
      <w:r w:rsidRPr="00C84023">
        <w:rPr>
          <w:rFonts w:cstheme="minorHAnsi"/>
          <w:color w:val="231F20"/>
          <w:spacing w:val="30"/>
          <w:w w:val="105"/>
        </w:rPr>
        <w:t xml:space="preserve"> </w:t>
      </w:r>
      <w:r w:rsidRPr="00C84023">
        <w:rPr>
          <w:rFonts w:cstheme="minorHAnsi"/>
          <w:color w:val="231F20"/>
          <w:w w:val="105"/>
        </w:rPr>
        <w:t>FDOE</w:t>
      </w:r>
      <w:r w:rsidRPr="00C84023">
        <w:rPr>
          <w:rFonts w:cstheme="minorHAnsi"/>
          <w:color w:val="231F20"/>
          <w:spacing w:val="30"/>
          <w:w w:val="105"/>
        </w:rPr>
        <w:t xml:space="preserve"> </w:t>
      </w:r>
      <w:r w:rsidRPr="00C84023">
        <w:rPr>
          <w:rFonts w:cstheme="minorHAnsi"/>
          <w:color w:val="231F20"/>
          <w:w w:val="105"/>
        </w:rPr>
        <w:t>“EL/Civics</w:t>
      </w:r>
      <w:r w:rsidRPr="00C84023">
        <w:rPr>
          <w:rFonts w:cstheme="minorHAnsi"/>
          <w:color w:val="231F20"/>
          <w:spacing w:val="30"/>
          <w:w w:val="105"/>
        </w:rPr>
        <w:t xml:space="preserve"> </w:t>
      </w:r>
      <w:r w:rsidRPr="00C84023">
        <w:rPr>
          <w:rFonts w:cstheme="minorHAnsi"/>
          <w:color w:val="231F20"/>
          <w:spacing w:val="-4"/>
          <w:w w:val="105"/>
        </w:rPr>
        <w:t>Teacher</w:t>
      </w:r>
      <w:r w:rsidRPr="00C84023">
        <w:rPr>
          <w:rFonts w:cstheme="minorHAnsi"/>
          <w:color w:val="231F20"/>
          <w:spacing w:val="30"/>
          <w:w w:val="105"/>
        </w:rPr>
        <w:t xml:space="preserve"> </w:t>
      </w:r>
      <w:r w:rsidRPr="00C84023">
        <w:rPr>
          <w:rFonts w:cstheme="minorHAnsi"/>
          <w:color w:val="231F20"/>
          <w:w w:val="105"/>
        </w:rPr>
        <w:t>Handbook”</w:t>
      </w:r>
      <w:r w:rsidRPr="00C84023">
        <w:rPr>
          <w:rFonts w:cstheme="minorHAnsi"/>
          <w:color w:val="231F20"/>
          <w:spacing w:val="30"/>
          <w:w w:val="105"/>
        </w:rPr>
        <w:t xml:space="preserve"> </w:t>
      </w:r>
      <w:r w:rsidRPr="00C84023">
        <w:rPr>
          <w:rFonts w:cstheme="minorHAnsi"/>
          <w:color w:val="231F20"/>
          <w:w w:val="105"/>
        </w:rPr>
        <w:t>which</w:t>
      </w:r>
      <w:r w:rsidRPr="00C84023">
        <w:rPr>
          <w:rFonts w:cstheme="minorHAnsi"/>
          <w:color w:val="231F20"/>
          <w:spacing w:val="30"/>
          <w:w w:val="105"/>
        </w:rPr>
        <w:t xml:space="preserve"> </w:t>
      </w:r>
      <w:r w:rsidRPr="00C84023">
        <w:rPr>
          <w:rFonts w:cstheme="minorHAnsi"/>
          <w:color w:val="231F20"/>
          <w:w w:val="105"/>
        </w:rPr>
        <w:t>is available at the</w:t>
      </w:r>
      <w:r w:rsidRPr="00C84023">
        <w:rPr>
          <w:rFonts w:cstheme="minorHAnsi"/>
          <w:color w:val="231F20"/>
          <w:spacing w:val="7"/>
          <w:w w:val="105"/>
        </w:rPr>
        <w:t xml:space="preserve"> </w:t>
      </w:r>
      <w:r w:rsidRPr="00C84023">
        <w:rPr>
          <w:rFonts w:cstheme="minorHAnsi"/>
          <w:color w:val="231F20"/>
          <w:w w:val="105"/>
        </w:rPr>
        <w:t>FDOE</w:t>
      </w:r>
      <w:r w:rsidRPr="00C84023">
        <w:rPr>
          <w:rFonts w:cstheme="minorHAnsi"/>
          <w:color w:val="231F20"/>
          <w:spacing w:val="7"/>
          <w:w w:val="105"/>
        </w:rPr>
        <w:t xml:space="preserve"> </w:t>
      </w:r>
      <w:r w:rsidRPr="00C84023">
        <w:rPr>
          <w:rFonts w:cstheme="minorHAnsi"/>
          <w:color w:val="231F20"/>
          <w:w w:val="105"/>
        </w:rPr>
        <w:t>adult</w:t>
      </w:r>
      <w:r w:rsidRPr="00C84023">
        <w:rPr>
          <w:rFonts w:cstheme="minorHAnsi"/>
          <w:color w:val="231F20"/>
          <w:spacing w:val="7"/>
          <w:w w:val="105"/>
        </w:rPr>
        <w:t xml:space="preserve"> </w:t>
      </w:r>
      <w:r w:rsidRPr="00C84023">
        <w:rPr>
          <w:rFonts w:cstheme="minorHAnsi"/>
          <w:color w:val="231F20"/>
          <w:w w:val="105"/>
        </w:rPr>
        <w:t>education</w:t>
      </w:r>
      <w:r w:rsidRPr="00C84023">
        <w:rPr>
          <w:rFonts w:cstheme="minorHAnsi"/>
          <w:color w:val="231F20"/>
          <w:spacing w:val="7"/>
          <w:w w:val="105"/>
        </w:rPr>
        <w:t xml:space="preserve"> </w:t>
      </w:r>
      <w:r w:rsidRPr="00C84023">
        <w:rPr>
          <w:rFonts w:cstheme="minorHAnsi"/>
          <w:color w:val="231F20"/>
          <w:w w:val="105"/>
        </w:rPr>
        <w:t>website</w:t>
      </w:r>
      <w:r w:rsidR="007D2256">
        <w:rPr>
          <w:rFonts w:cstheme="minorHAnsi"/>
          <w:color w:val="231F20"/>
          <w:w w:val="105"/>
        </w:rPr>
        <w:t>:</w:t>
      </w:r>
    </w:p>
    <w:p w14:paraId="4DADC493" w14:textId="4015875A" w:rsidR="00D6480A" w:rsidRPr="00704DA7" w:rsidRDefault="00D6480A" w:rsidP="00D63204">
      <w:pPr>
        <w:widowControl w:val="0"/>
        <w:spacing w:after="0" w:line="238" w:lineRule="exact"/>
        <w:ind w:left="90"/>
        <w:rPr>
          <w:rStyle w:val="Hyperlink"/>
          <w:rFonts w:cstheme="minorHAnsi"/>
        </w:rPr>
      </w:pPr>
      <w:r w:rsidRPr="00C84023">
        <w:rPr>
          <w:rFonts w:cstheme="minorHAnsi"/>
          <w:color w:val="231F20"/>
          <w:spacing w:val="6"/>
          <w:w w:val="105"/>
        </w:rPr>
        <w:t xml:space="preserve"> </w:t>
      </w:r>
      <w:hyperlink r:id="rId164">
        <w:r w:rsidRPr="00704DA7">
          <w:rPr>
            <w:rStyle w:val="Hyperlink"/>
            <w:rFonts w:cstheme="minorHAnsi"/>
          </w:rPr>
          <w:t xml:space="preserve">www.fldoe.org/academics/career-adult-edu/adult-edu/ </w:t>
        </w:r>
      </w:hyperlink>
      <w:hyperlink r:id="rId165">
        <w:r w:rsidRPr="00704DA7">
          <w:rPr>
            <w:rStyle w:val="Hyperlink"/>
            <w:rFonts w:cstheme="minorHAnsi"/>
          </w:rPr>
          <w:t>resources.stml</w:t>
        </w:r>
      </w:hyperlink>
      <w:r w:rsidRPr="00704DA7">
        <w:rPr>
          <w:rStyle w:val="Hyperlink"/>
          <w:rFonts w:cstheme="minorHAnsi"/>
        </w:rPr>
        <w:t>.</w:t>
      </w:r>
    </w:p>
    <w:p w14:paraId="13A5D085" w14:textId="77777777" w:rsidR="00691C52" w:rsidRDefault="00691C52" w:rsidP="00D63204">
      <w:pPr>
        <w:widowControl w:val="0"/>
        <w:spacing w:after="0" w:line="238" w:lineRule="exact"/>
        <w:ind w:left="90"/>
        <w:rPr>
          <w:rFonts w:cstheme="minorHAnsi"/>
          <w:color w:val="231F20"/>
          <w:w w:val="105"/>
        </w:rPr>
      </w:pPr>
    </w:p>
    <w:p w14:paraId="11216FAB" w14:textId="77777777" w:rsidR="00704DA7" w:rsidRDefault="00D6480A" w:rsidP="00D63204">
      <w:pPr>
        <w:widowControl w:val="0"/>
        <w:spacing w:after="0" w:line="238" w:lineRule="exact"/>
        <w:ind w:left="90"/>
        <w:rPr>
          <w:rFonts w:cstheme="minorHAnsi"/>
          <w:color w:val="231F20"/>
          <w:w w:val="105"/>
        </w:rPr>
      </w:pPr>
      <w:r w:rsidRPr="00C84023">
        <w:rPr>
          <w:rFonts w:cstheme="minorHAnsi"/>
          <w:color w:val="231F20"/>
          <w:w w:val="105"/>
        </w:rPr>
        <w:t>Local</w:t>
      </w:r>
      <w:r w:rsidRPr="00C84023">
        <w:rPr>
          <w:rFonts w:cstheme="minorHAnsi"/>
          <w:color w:val="231F20"/>
          <w:spacing w:val="18"/>
          <w:w w:val="105"/>
        </w:rPr>
        <w:t xml:space="preserve"> </w:t>
      </w:r>
      <w:r w:rsidRPr="00C84023">
        <w:rPr>
          <w:rFonts w:cstheme="minorHAnsi"/>
          <w:color w:val="231F20"/>
          <w:w w:val="105"/>
        </w:rPr>
        <w:t>educational</w:t>
      </w:r>
      <w:r w:rsidRPr="00C84023">
        <w:rPr>
          <w:rFonts w:cstheme="minorHAnsi"/>
          <w:color w:val="231F20"/>
          <w:spacing w:val="18"/>
          <w:w w:val="105"/>
        </w:rPr>
        <w:t xml:space="preserve"> </w:t>
      </w:r>
      <w:r w:rsidRPr="00C84023">
        <w:rPr>
          <w:rFonts w:cstheme="minorHAnsi"/>
          <w:color w:val="231F20"/>
          <w:w w:val="105"/>
        </w:rPr>
        <w:t>agencies</w:t>
      </w:r>
      <w:r w:rsidRPr="00C84023">
        <w:rPr>
          <w:rFonts w:cstheme="minorHAnsi"/>
          <w:color w:val="231F20"/>
          <w:spacing w:val="18"/>
          <w:w w:val="105"/>
        </w:rPr>
        <w:t xml:space="preserve"> </w:t>
      </w:r>
      <w:r w:rsidRPr="00C84023">
        <w:rPr>
          <w:rFonts w:cstheme="minorHAnsi"/>
          <w:color w:val="231F20"/>
          <w:w w:val="105"/>
        </w:rPr>
        <w:t>implementing</w:t>
      </w:r>
      <w:r w:rsidRPr="00C84023">
        <w:rPr>
          <w:rFonts w:cstheme="minorHAnsi"/>
          <w:color w:val="231F20"/>
          <w:spacing w:val="18"/>
          <w:w w:val="105"/>
        </w:rPr>
        <w:t xml:space="preserve"> </w:t>
      </w:r>
      <w:r w:rsidRPr="00C84023">
        <w:rPr>
          <w:rFonts w:cstheme="minorHAnsi"/>
          <w:color w:val="231F20"/>
          <w:w w:val="105"/>
        </w:rPr>
        <w:t>EL/Civics</w:t>
      </w:r>
      <w:r w:rsidRPr="00C84023">
        <w:rPr>
          <w:rFonts w:cstheme="minorHAnsi"/>
          <w:color w:val="231F20"/>
          <w:spacing w:val="18"/>
          <w:w w:val="105"/>
        </w:rPr>
        <w:t xml:space="preserve"> </w:t>
      </w:r>
      <w:r w:rsidRPr="00C84023">
        <w:rPr>
          <w:rFonts w:cstheme="minorHAnsi"/>
          <w:color w:val="231F20"/>
          <w:w w:val="105"/>
        </w:rPr>
        <w:t>education</w:t>
      </w:r>
      <w:r w:rsidRPr="00C84023">
        <w:rPr>
          <w:rFonts w:cstheme="minorHAnsi"/>
          <w:color w:val="231F20"/>
          <w:spacing w:val="18"/>
          <w:w w:val="105"/>
        </w:rPr>
        <w:t xml:space="preserve"> </w:t>
      </w:r>
      <w:r w:rsidRPr="00C84023">
        <w:rPr>
          <w:rFonts w:cstheme="minorHAnsi"/>
          <w:color w:val="231F20"/>
          <w:w w:val="105"/>
        </w:rPr>
        <w:t>grants</w:t>
      </w:r>
      <w:r w:rsidRPr="00C84023">
        <w:rPr>
          <w:rFonts w:cstheme="minorHAnsi"/>
          <w:color w:val="231F20"/>
          <w:spacing w:val="18"/>
          <w:w w:val="105"/>
        </w:rPr>
        <w:t xml:space="preserve"> </w:t>
      </w:r>
      <w:r w:rsidRPr="00C84023">
        <w:rPr>
          <w:rFonts w:cstheme="minorHAnsi"/>
          <w:color w:val="231F20"/>
          <w:w w:val="105"/>
        </w:rPr>
        <w:t>incorporate</w:t>
      </w:r>
      <w:r w:rsidRPr="00C84023">
        <w:rPr>
          <w:rFonts w:cstheme="minorHAnsi"/>
          <w:color w:val="231F20"/>
          <w:spacing w:val="18"/>
          <w:w w:val="105"/>
        </w:rPr>
        <w:t xml:space="preserve"> </w:t>
      </w:r>
      <w:r w:rsidRPr="00C84023">
        <w:rPr>
          <w:rFonts w:cstheme="minorHAnsi"/>
          <w:color w:val="231F20"/>
          <w:w w:val="105"/>
        </w:rPr>
        <w:t>four</w:t>
      </w:r>
      <w:r w:rsidRPr="00C84023">
        <w:rPr>
          <w:rFonts w:cstheme="minorHAnsi"/>
          <w:color w:val="231F20"/>
          <w:spacing w:val="18"/>
          <w:w w:val="105"/>
        </w:rPr>
        <w:t xml:space="preserve"> </w:t>
      </w:r>
      <w:r w:rsidRPr="00C84023">
        <w:rPr>
          <w:rFonts w:cstheme="minorHAnsi"/>
          <w:color w:val="231F20"/>
          <w:w w:val="105"/>
        </w:rPr>
        <w:t>components</w:t>
      </w:r>
      <w:r w:rsidRPr="00C84023">
        <w:rPr>
          <w:rFonts w:cstheme="minorHAnsi"/>
          <w:color w:val="231F20"/>
          <w:spacing w:val="18"/>
          <w:w w:val="105"/>
        </w:rPr>
        <w:t xml:space="preserve"> </w:t>
      </w:r>
      <w:r w:rsidRPr="00C84023">
        <w:rPr>
          <w:rFonts w:cstheme="minorHAnsi"/>
          <w:color w:val="231F20"/>
          <w:w w:val="105"/>
        </w:rPr>
        <w:t>of</w:t>
      </w:r>
      <w:r w:rsidRPr="00C84023">
        <w:rPr>
          <w:rFonts w:cstheme="minorHAnsi"/>
          <w:color w:val="231F20"/>
          <w:w w:val="102"/>
        </w:rPr>
        <w:t xml:space="preserve"> </w:t>
      </w:r>
      <w:r w:rsidRPr="00C84023">
        <w:rPr>
          <w:rFonts w:cstheme="minorHAnsi"/>
          <w:color w:val="231F20"/>
          <w:w w:val="105"/>
        </w:rPr>
        <w:t>English</w:t>
      </w:r>
      <w:r w:rsidRPr="00C84023">
        <w:rPr>
          <w:rFonts w:cstheme="minorHAnsi"/>
          <w:color w:val="231F20"/>
          <w:spacing w:val="15"/>
          <w:w w:val="105"/>
        </w:rPr>
        <w:t xml:space="preserve"> </w:t>
      </w:r>
      <w:r w:rsidRPr="00C84023">
        <w:rPr>
          <w:rFonts w:cstheme="minorHAnsi"/>
          <w:color w:val="231F20"/>
          <w:w w:val="105"/>
        </w:rPr>
        <w:t>literacy</w:t>
      </w:r>
      <w:r w:rsidRPr="00C84023">
        <w:rPr>
          <w:rFonts w:cstheme="minorHAnsi"/>
          <w:color w:val="231F20"/>
          <w:spacing w:val="15"/>
          <w:w w:val="105"/>
        </w:rPr>
        <w:t xml:space="preserve"> </w:t>
      </w:r>
      <w:r w:rsidRPr="00C84023">
        <w:rPr>
          <w:rFonts w:cstheme="minorHAnsi"/>
          <w:color w:val="231F20"/>
          <w:w w:val="105"/>
        </w:rPr>
        <w:t>and</w:t>
      </w:r>
      <w:r w:rsidRPr="00C84023">
        <w:rPr>
          <w:rFonts w:cstheme="minorHAnsi"/>
          <w:color w:val="231F20"/>
          <w:spacing w:val="15"/>
          <w:w w:val="105"/>
        </w:rPr>
        <w:t xml:space="preserve"> </w:t>
      </w:r>
      <w:r w:rsidRPr="00C84023">
        <w:rPr>
          <w:rFonts w:cstheme="minorHAnsi"/>
          <w:color w:val="231F20"/>
          <w:w w:val="105"/>
        </w:rPr>
        <w:t>civics</w:t>
      </w:r>
      <w:r w:rsidRPr="00C84023">
        <w:rPr>
          <w:rFonts w:cstheme="minorHAnsi"/>
          <w:color w:val="231F20"/>
          <w:spacing w:val="15"/>
          <w:w w:val="105"/>
        </w:rPr>
        <w:t xml:space="preserve"> </w:t>
      </w:r>
      <w:r w:rsidRPr="00C84023">
        <w:rPr>
          <w:rFonts w:cstheme="minorHAnsi"/>
          <w:color w:val="231F20"/>
          <w:w w:val="105"/>
        </w:rPr>
        <w:t>education</w:t>
      </w:r>
      <w:r w:rsidRPr="00C84023">
        <w:rPr>
          <w:rFonts w:cstheme="minorHAnsi"/>
          <w:color w:val="231F20"/>
          <w:spacing w:val="15"/>
          <w:w w:val="105"/>
        </w:rPr>
        <w:t xml:space="preserve"> </w:t>
      </w:r>
      <w:r w:rsidRPr="00C84023">
        <w:rPr>
          <w:rFonts w:cstheme="minorHAnsi"/>
          <w:color w:val="231F20"/>
          <w:w w:val="105"/>
        </w:rPr>
        <w:t>throughout</w:t>
      </w:r>
      <w:r w:rsidRPr="00C84023">
        <w:rPr>
          <w:rFonts w:cstheme="minorHAnsi"/>
          <w:color w:val="231F20"/>
          <w:spacing w:val="15"/>
          <w:w w:val="105"/>
        </w:rPr>
        <w:t xml:space="preserve"> </w:t>
      </w:r>
      <w:r w:rsidRPr="00C84023">
        <w:rPr>
          <w:rFonts w:cstheme="minorHAnsi"/>
          <w:color w:val="231F20"/>
          <w:w w:val="105"/>
        </w:rPr>
        <w:t>the</w:t>
      </w:r>
      <w:r w:rsidRPr="00C84023">
        <w:rPr>
          <w:rFonts w:cstheme="minorHAnsi"/>
          <w:color w:val="231F20"/>
          <w:spacing w:val="15"/>
          <w:w w:val="105"/>
        </w:rPr>
        <w:t xml:space="preserve"> </w:t>
      </w:r>
      <w:r w:rsidRPr="00C84023">
        <w:rPr>
          <w:rFonts w:cstheme="minorHAnsi"/>
          <w:color w:val="231F20"/>
          <w:w w:val="105"/>
        </w:rPr>
        <w:t>course,</w:t>
      </w:r>
      <w:r w:rsidRPr="00C84023">
        <w:rPr>
          <w:rFonts w:cstheme="minorHAnsi"/>
          <w:color w:val="231F20"/>
          <w:spacing w:val="15"/>
          <w:w w:val="105"/>
        </w:rPr>
        <w:t xml:space="preserve"> </w:t>
      </w:r>
      <w:r w:rsidRPr="00C84023">
        <w:rPr>
          <w:rFonts w:cstheme="minorHAnsi"/>
          <w:color w:val="231F20"/>
          <w:w w:val="105"/>
        </w:rPr>
        <w:t>as</w:t>
      </w:r>
      <w:r w:rsidRPr="00C84023">
        <w:rPr>
          <w:rFonts w:cstheme="minorHAnsi"/>
          <w:color w:val="231F20"/>
          <w:spacing w:val="15"/>
          <w:w w:val="105"/>
        </w:rPr>
        <w:t xml:space="preserve"> </w:t>
      </w:r>
      <w:r w:rsidRPr="00C84023">
        <w:rPr>
          <w:rFonts w:cstheme="minorHAnsi"/>
          <w:color w:val="231F20"/>
          <w:w w:val="105"/>
        </w:rPr>
        <w:t>found</w:t>
      </w:r>
      <w:r w:rsidRPr="00C84023">
        <w:rPr>
          <w:rFonts w:cstheme="minorHAnsi"/>
          <w:color w:val="231F20"/>
          <w:spacing w:val="15"/>
          <w:w w:val="105"/>
        </w:rPr>
        <w:t xml:space="preserve"> </w:t>
      </w:r>
      <w:r w:rsidRPr="00C84023">
        <w:rPr>
          <w:rFonts w:cstheme="minorHAnsi"/>
          <w:color w:val="231F20"/>
          <w:w w:val="105"/>
        </w:rPr>
        <w:t>at</w:t>
      </w:r>
      <w:r w:rsidRPr="00C84023">
        <w:rPr>
          <w:rFonts w:cstheme="minorHAnsi"/>
          <w:color w:val="231F20"/>
          <w:spacing w:val="15"/>
          <w:w w:val="105"/>
        </w:rPr>
        <w:t xml:space="preserve"> </w:t>
      </w:r>
      <w:r w:rsidRPr="00C84023">
        <w:rPr>
          <w:rFonts w:cstheme="minorHAnsi"/>
          <w:color w:val="231F20"/>
          <w:w w:val="105"/>
        </w:rPr>
        <w:t>the</w:t>
      </w:r>
      <w:r w:rsidRPr="00C84023">
        <w:rPr>
          <w:rFonts w:cstheme="minorHAnsi"/>
          <w:color w:val="231F20"/>
          <w:spacing w:val="15"/>
          <w:w w:val="105"/>
        </w:rPr>
        <w:t xml:space="preserve"> </w:t>
      </w:r>
      <w:r w:rsidRPr="00C84023">
        <w:rPr>
          <w:rFonts w:cstheme="minorHAnsi"/>
          <w:color w:val="231F20"/>
          <w:w w:val="105"/>
        </w:rPr>
        <w:t>EL/Civics</w:t>
      </w:r>
      <w:r w:rsidRPr="00C84023">
        <w:rPr>
          <w:rFonts w:cstheme="minorHAnsi"/>
          <w:color w:val="231F20"/>
          <w:spacing w:val="15"/>
          <w:w w:val="105"/>
        </w:rPr>
        <w:t xml:space="preserve"> </w:t>
      </w:r>
      <w:r w:rsidRPr="00C84023">
        <w:rPr>
          <w:rFonts w:cstheme="minorHAnsi"/>
          <w:color w:val="231F20"/>
          <w:w w:val="105"/>
        </w:rPr>
        <w:t>online</w:t>
      </w:r>
      <w:r w:rsidRPr="00C84023">
        <w:rPr>
          <w:rFonts w:cstheme="minorHAnsi"/>
          <w:color w:val="231F20"/>
          <w:spacing w:val="15"/>
          <w:w w:val="105"/>
        </w:rPr>
        <w:t xml:space="preserve"> </w:t>
      </w:r>
      <w:r w:rsidRPr="00C84023">
        <w:rPr>
          <w:rFonts w:cstheme="minorHAnsi"/>
          <w:color w:val="231F20"/>
          <w:w w:val="105"/>
        </w:rPr>
        <w:t>website</w:t>
      </w:r>
      <w:r w:rsidR="00704DA7">
        <w:rPr>
          <w:rFonts w:cstheme="minorHAnsi"/>
          <w:color w:val="231F20"/>
          <w:w w:val="105"/>
        </w:rPr>
        <w:t>:</w:t>
      </w:r>
    </w:p>
    <w:p w14:paraId="1E5B170B" w14:textId="17496E43" w:rsidR="00D6480A" w:rsidRPr="00C84023" w:rsidRDefault="00BC1D20" w:rsidP="00D63204">
      <w:pPr>
        <w:widowControl w:val="0"/>
        <w:spacing w:after="0" w:line="238" w:lineRule="exact"/>
        <w:ind w:left="90"/>
        <w:rPr>
          <w:rFonts w:cstheme="minorHAnsi"/>
        </w:rPr>
      </w:pPr>
      <w:hyperlink r:id="rId166">
        <w:r w:rsidR="00D6480A" w:rsidRPr="00704DA7">
          <w:rPr>
            <w:rStyle w:val="Hyperlink"/>
            <w:rFonts w:cstheme="minorHAnsi"/>
          </w:rPr>
          <w:t xml:space="preserve">www. </w:t>
        </w:r>
      </w:hyperlink>
      <w:hyperlink r:id="rId167">
        <w:r w:rsidR="00D6480A" w:rsidRPr="00704DA7">
          <w:rPr>
            <w:rStyle w:val="Hyperlink"/>
            <w:rFonts w:cstheme="minorHAnsi"/>
          </w:rPr>
          <w:t xml:space="preserve">elcivicsonline.org/ </w:t>
        </w:r>
      </w:hyperlink>
      <w:r w:rsidR="00D6480A" w:rsidRPr="00C84023">
        <w:rPr>
          <w:rFonts w:cstheme="minorHAnsi"/>
          <w:color w:val="231F20"/>
          <w:w w:val="105"/>
        </w:rPr>
        <w:t>and cover EL/Civics content.</w:t>
      </w:r>
    </w:p>
    <w:p w14:paraId="672DEE80" w14:textId="77777777" w:rsidR="00691C52" w:rsidRDefault="00691C52" w:rsidP="00D63204">
      <w:pPr>
        <w:widowControl w:val="0"/>
        <w:spacing w:after="0" w:line="264" w:lineRule="exact"/>
        <w:ind w:left="90"/>
        <w:rPr>
          <w:rFonts w:cstheme="minorHAnsi"/>
          <w:color w:val="231F20"/>
          <w:w w:val="105"/>
        </w:rPr>
      </w:pPr>
    </w:p>
    <w:p w14:paraId="4FE2EDEE" w14:textId="0A8FA212" w:rsidR="00D6480A" w:rsidRPr="00C84023" w:rsidRDefault="00D6480A" w:rsidP="00D63204">
      <w:pPr>
        <w:widowControl w:val="0"/>
        <w:spacing w:after="0" w:line="264" w:lineRule="exact"/>
        <w:ind w:left="90"/>
        <w:rPr>
          <w:rFonts w:cstheme="minorHAnsi"/>
        </w:rPr>
      </w:pPr>
      <w:r w:rsidRPr="00C84023">
        <w:rPr>
          <w:rFonts w:cstheme="minorHAnsi"/>
          <w:color w:val="231F20"/>
          <w:w w:val="105"/>
        </w:rPr>
        <w:t>EL/Civics funds for local and state leadership activities are distributed through multi-year competitive and</w:t>
      </w:r>
      <w:r w:rsidRPr="00C84023">
        <w:rPr>
          <w:rFonts w:cstheme="minorHAnsi"/>
          <w:color w:val="231F20"/>
          <w:spacing w:val="15"/>
          <w:w w:val="105"/>
        </w:rPr>
        <w:t xml:space="preserve"> </w:t>
      </w:r>
      <w:r w:rsidRPr="00C84023">
        <w:rPr>
          <w:rFonts w:cstheme="minorHAnsi"/>
          <w:color w:val="231F20"/>
          <w:w w:val="105"/>
        </w:rPr>
        <w:t>continuation</w:t>
      </w:r>
      <w:r w:rsidRPr="00C84023">
        <w:rPr>
          <w:rFonts w:cstheme="minorHAnsi"/>
          <w:color w:val="231F20"/>
          <w:spacing w:val="15"/>
          <w:w w:val="105"/>
        </w:rPr>
        <w:t xml:space="preserve"> </w:t>
      </w:r>
      <w:r w:rsidRPr="00C84023">
        <w:rPr>
          <w:rFonts w:cstheme="minorHAnsi"/>
          <w:color w:val="231F20"/>
          <w:w w:val="105"/>
        </w:rPr>
        <w:t>local</w:t>
      </w:r>
      <w:r w:rsidRPr="00C84023">
        <w:rPr>
          <w:rFonts w:cstheme="minorHAnsi"/>
          <w:color w:val="231F20"/>
          <w:spacing w:val="15"/>
          <w:w w:val="105"/>
        </w:rPr>
        <w:t xml:space="preserve"> </w:t>
      </w:r>
      <w:r w:rsidRPr="00C84023">
        <w:rPr>
          <w:rFonts w:cstheme="minorHAnsi"/>
          <w:color w:val="231F20"/>
          <w:w w:val="105"/>
        </w:rPr>
        <w:t>grants.</w:t>
      </w:r>
      <w:r w:rsidRPr="00C84023">
        <w:rPr>
          <w:rFonts w:cstheme="minorHAnsi"/>
          <w:color w:val="231F20"/>
          <w:spacing w:val="15"/>
          <w:w w:val="105"/>
        </w:rPr>
        <w:t xml:space="preserve"> </w:t>
      </w:r>
      <w:r w:rsidRPr="00C84023">
        <w:rPr>
          <w:rFonts w:cstheme="minorHAnsi"/>
          <w:color w:val="231F20"/>
          <w:w w:val="105"/>
        </w:rPr>
        <w:t>Only</w:t>
      </w:r>
      <w:r w:rsidRPr="00C84023">
        <w:rPr>
          <w:rFonts w:cstheme="minorHAnsi"/>
          <w:color w:val="231F20"/>
          <w:spacing w:val="15"/>
          <w:w w:val="105"/>
        </w:rPr>
        <w:t xml:space="preserve"> </w:t>
      </w:r>
      <w:r w:rsidRPr="00C84023">
        <w:rPr>
          <w:rFonts w:cstheme="minorHAnsi"/>
          <w:color w:val="231F20"/>
          <w:w w:val="105"/>
        </w:rPr>
        <w:t>sites</w:t>
      </w:r>
      <w:r w:rsidRPr="00C84023">
        <w:rPr>
          <w:rFonts w:cstheme="minorHAnsi"/>
          <w:color w:val="231F20"/>
          <w:spacing w:val="15"/>
          <w:w w:val="105"/>
        </w:rPr>
        <w:t xml:space="preserve"> </w:t>
      </w:r>
      <w:r w:rsidRPr="00C84023">
        <w:rPr>
          <w:rFonts w:cstheme="minorHAnsi"/>
          <w:color w:val="231F20"/>
          <w:w w:val="105"/>
        </w:rPr>
        <w:t>with established</w:t>
      </w:r>
      <w:r w:rsidRPr="00C84023">
        <w:rPr>
          <w:rFonts w:cstheme="minorHAnsi"/>
          <w:color w:val="231F20"/>
          <w:spacing w:val="15"/>
          <w:w w:val="105"/>
        </w:rPr>
        <w:t xml:space="preserve"> </w:t>
      </w:r>
      <w:r w:rsidRPr="00C84023">
        <w:rPr>
          <w:rFonts w:cstheme="minorHAnsi"/>
          <w:color w:val="231F20"/>
          <w:w w:val="105"/>
        </w:rPr>
        <w:t>ESOL</w:t>
      </w:r>
      <w:r w:rsidRPr="00C84023">
        <w:rPr>
          <w:rFonts w:cstheme="minorHAnsi"/>
          <w:color w:val="231F20"/>
          <w:spacing w:val="15"/>
          <w:w w:val="105"/>
        </w:rPr>
        <w:t xml:space="preserve"> </w:t>
      </w:r>
      <w:r w:rsidRPr="00C84023">
        <w:rPr>
          <w:rFonts w:cstheme="minorHAnsi"/>
          <w:color w:val="231F20"/>
          <w:w w:val="105"/>
        </w:rPr>
        <w:t>programs</w:t>
      </w:r>
      <w:r w:rsidRPr="00C84023">
        <w:rPr>
          <w:rFonts w:cstheme="minorHAnsi"/>
          <w:color w:val="231F20"/>
          <w:spacing w:val="15"/>
          <w:w w:val="105"/>
        </w:rPr>
        <w:t xml:space="preserve"> </w:t>
      </w:r>
      <w:r w:rsidRPr="00C84023">
        <w:rPr>
          <w:rFonts w:cstheme="minorHAnsi"/>
          <w:color w:val="231F20"/>
          <w:w w:val="105"/>
        </w:rPr>
        <w:t>are</w:t>
      </w:r>
      <w:r w:rsidRPr="00C84023">
        <w:rPr>
          <w:rFonts w:cstheme="minorHAnsi"/>
          <w:color w:val="231F20"/>
          <w:spacing w:val="15"/>
          <w:w w:val="105"/>
        </w:rPr>
        <w:t xml:space="preserve"> </w:t>
      </w:r>
      <w:r w:rsidRPr="00C84023">
        <w:rPr>
          <w:rFonts w:cstheme="minorHAnsi"/>
          <w:color w:val="231F20"/>
          <w:w w:val="105"/>
        </w:rPr>
        <w:t>eligible</w:t>
      </w:r>
      <w:r w:rsidRPr="00C84023">
        <w:rPr>
          <w:rFonts w:cstheme="minorHAnsi"/>
          <w:color w:val="231F20"/>
          <w:spacing w:val="15"/>
          <w:w w:val="105"/>
        </w:rPr>
        <w:t xml:space="preserve"> </w:t>
      </w:r>
      <w:r w:rsidRPr="00C84023">
        <w:rPr>
          <w:rFonts w:cstheme="minorHAnsi"/>
          <w:color w:val="231F20"/>
          <w:w w:val="105"/>
        </w:rPr>
        <w:t>to</w:t>
      </w:r>
      <w:r w:rsidRPr="00C84023">
        <w:rPr>
          <w:rFonts w:cstheme="minorHAnsi"/>
          <w:color w:val="231F20"/>
          <w:spacing w:val="15"/>
          <w:w w:val="105"/>
        </w:rPr>
        <w:t xml:space="preserve"> </w:t>
      </w:r>
      <w:r w:rsidRPr="00C84023">
        <w:rPr>
          <w:rFonts w:cstheme="minorHAnsi"/>
          <w:color w:val="231F20"/>
          <w:w w:val="105"/>
        </w:rPr>
        <w:t>apply</w:t>
      </w:r>
      <w:r w:rsidRPr="00C84023">
        <w:rPr>
          <w:rFonts w:cstheme="minorHAnsi"/>
          <w:color w:val="231F20"/>
          <w:spacing w:val="15"/>
          <w:w w:val="105"/>
        </w:rPr>
        <w:t xml:space="preserve"> </w:t>
      </w:r>
      <w:r w:rsidRPr="00C84023">
        <w:rPr>
          <w:rFonts w:cstheme="minorHAnsi"/>
          <w:color w:val="231F20"/>
          <w:w w:val="105"/>
        </w:rPr>
        <w:t>for</w:t>
      </w:r>
      <w:r w:rsidRPr="00C84023">
        <w:rPr>
          <w:rFonts w:cstheme="minorHAnsi"/>
          <w:color w:val="231F20"/>
          <w:spacing w:val="-9"/>
          <w:w w:val="105"/>
        </w:rPr>
        <w:t xml:space="preserve"> </w:t>
      </w:r>
      <w:r w:rsidRPr="00C84023">
        <w:rPr>
          <w:rFonts w:cstheme="minorHAnsi"/>
          <w:color w:val="231F20"/>
          <w:w w:val="105"/>
        </w:rPr>
        <w:t>EL/Civics</w:t>
      </w:r>
      <w:r w:rsidRPr="00C84023">
        <w:rPr>
          <w:rFonts w:cstheme="minorHAnsi"/>
          <w:color w:val="231F20"/>
          <w:spacing w:val="10"/>
          <w:w w:val="105"/>
        </w:rPr>
        <w:t xml:space="preserve"> </w:t>
      </w:r>
      <w:r w:rsidRPr="00C84023">
        <w:rPr>
          <w:rFonts w:cstheme="minorHAnsi"/>
          <w:color w:val="231F20"/>
          <w:w w:val="105"/>
        </w:rPr>
        <w:t>funds.</w:t>
      </w:r>
      <w:r w:rsidRPr="00C84023">
        <w:rPr>
          <w:rFonts w:cstheme="minorHAnsi"/>
          <w:color w:val="231F20"/>
          <w:spacing w:val="21"/>
          <w:w w:val="105"/>
        </w:rPr>
        <w:t xml:space="preserve"> </w:t>
      </w:r>
      <w:r w:rsidRPr="00C84023">
        <w:rPr>
          <w:rFonts w:cstheme="minorHAnsi"/>
          <w:color w:val="231F20"/>
          <w:w w:val="105"/>
        </w:rPr>
        <w:t>Funds</w:t>
      </w:r>
      <w:r w:rsidRPr="00C84023">
        <w:rPr>
          <w:rFonts w:cstheme="minorHAnsi"/>
          <w:color w:val="231F20"/>
          <w:spacing w:val="10"/>
          <w:w w:val="105"/>
        </w:rPr>
        <w:t xml:space="preserve"> </w:t>
      </w:r>
      <w:r w:rsidRPr="00C84023">
        <w:rPr>
          <w:rFonts w:cstheme="minorHAnsi"/>
          <w:color w:val="231F20"/>
          <w:w w:val="105"/>
        </w:rPr>
        <w:t>are used</w:t>
      </w:r>
      <w:r w:rsidRPr="00C84023">
        <w:rPr>
          <w:rFonts w:cstheme="minorHAnsi"/>
          <w:color w:val="231F20"/>
          <w:spacing w:val="10"/>
          <w:w w:val="105"/>
        </w:rPr>
        <w:t xml:space="preserve"> </w:t>
      </w:r>
      <w:r w:rsidRPr="00C84023">
        <w:rPr>
          <w:rFonts w:cstheme="minorHAnsi"/>
          <w:color w:val="231F20"/>
          <w:w w:val="105"/>
        </w:rPr>
        <w:t>for</w:t>
      </w:r>
      <w:r w:rsidRPr="00C84023">
        <w:rPr>
          <w:rFonts w:cstheme="minorHAnsi"/>
          <w:color w:val="231F20"/>
          <w:spacing w:val="10"/>
          <w:w w:val="105"/>
        </w:rPr>
        <w:t xml:space="preserve"> </w:t>
      </w:r>
      <w:r w:rsidRPr="00C84023">
        <w:rPr>
          <w:rFonts w:cstheme="minorHAnsi"/>
          <w:color w:val="231F20"/>
          <w:w w:val="105"/>
        </w:rPr>
        <w:t>the</w:t>
      </w:r>
      <w:r w:rsidRPr="00C84023">
        <w:rPr>
          <w:rFonts w:cstheme="minorHAnsi"/>
          <w:color w:val="231F20"/>
          <w:spacing w:val="10"/>
          <w:w w:val="105"/>
        </w:rPr>
        <w:t xml:space="preserve"> </w:t>
      </w:r>
      <w:r w:rsidRPr="00C84023">
        <w:rPr>
          <w:rFonts w:cstheme="minorHAnsi"/>
          <w:color w:val="231F20"/>
          <w:w w:val="105"/>
        </w:rPr>
        <w:t>integration</w:t>
      </w:r>
      <w:r w:rsidRPr="00C84023">
        <w:rPr>
          <w:rFonts w:cstheme="minorHAnsi"/>
          <w:color w:val="231F20"/>
          <w:spacing w:val="10"/>
          <w:w w:val="105"/>
        </w:rPr>
        <w:t xml:space="preserve"> </w:t>
      </w:r>
      <w:r w:rsidRPr="00C84023">
        <w:rPr>
          <w:rFonts w:cstheme="minorHAnsi"/>
          <w:color w:val="231F20"/>
          <w:w w:val="105"/>
        </w:rPr>
        <w:t>of</w:t>
      </w:r>
      <w:r w:rsidRPr="00C84023">
        <w:rPr>
          <w:rFonts w:cstheme="minorHAnsi"/>
          <w:color w:val="231F20"/>
          <w:spacing w:val="10"/>
          <w:w w:val="105"/>
        </w:rPr>
        <w:t xml:space="preserve"> </w:t>
      </w:r>
      <w:r w:rsidRPr="00C84023">
        <w:rPr>
          <w:rFonts w:cstheme="minorHAnsi"/>
          <w:color w:val="231F20"/>
          <w:w w:val="105"/>
        </w:rPr>
        <w:t>civics</w:t>
      </w:r>
      <w:r w:rsidRPr="00C84023">
        <w:rPr>
          <w:rFonts w:cstheme="minorHAnsi"/>
          <w:color w:val="231F20"/>
          <w:spacing w:val="10"/>
          <w:w w:val="105"/>
        </w:rPr>
        <w:t xml:space="preserve"> </w:t>
      </w:r>
      <w:r w:rsidRPr="00C84023">
        <w:rPr>
          <w:rFonts w:cstheme="minorHAnsi"/>
          <w:color w:val="231F20"/>
          <w:w w:val="105"/>
        </w:rPr>
        <w:t>content</w:t>
      </w:r>
      <w:r w:rsidRPr="00C84023">
        <w:rPr>
          <w:rFonts w:cstheme="minorHAnsi"/>
          <w:color w:val="231F20"/>
          <w:spacing w:val="10"/>
          <w:w w:val="105"/>
        </w:rPr>
        <w:t xml:space="preserve"> </w:t>
      </w:r>
      <w:r w:rsidRPr="00C84023">
        <w:rPr>
          <w:rFonts w:cstheme="minorHAnsi"/>
          <w:color w:val="231F20"/>
          <w:w w:val="105"/>
        </w:rPr>
        <w:t>and</w:t>
      </w:r>
      <w:r w:rsidRPr="00C84023">
        <w:rPr>
          <w:rFonts w:cstheme="minorHAnsi"/>
          <w:color w:val="231F20"/>
          <w:spacing w:val="10"/>
          <w:w w:val="105"/>
        </w:rPr>
        <w:t xml:space="preserve"> </w:t>
      </w:r>
      <w:r w:rsidRPr="00C84023">
        <w:rPr>
          <w:rFonts w:cstheme="minorHAnsi"/>
          <w:color w:val="231F20"/>
          <w:w w:val="105"/>
        </w:rPr>
        <w:t>to</w:t>
      </w:r>
      <w:r w:rsidRPr="00C84023">
        <w:rPr>
          <w:rFonts w:cstheme="minorHAnsi"/>
          <w:color w:val="231F20"/>
          <w:spacing w:val="10"/>
          <w:w w:val="105"/>
        </w:rPr>
        <w:t xml:space="preserve"> </w:t>
      </w:r>
      <w:r w:rsidRPr="00C84023">
        <w:rPr>
          <w:rFonts w:cstheme="minorHAnsi"/>
          <w:color w:val="231F20"/>
          <w:w w:val="105"/>
        </w:rPr>
        <w:t>support</w:t>
      </w:r>
      <w:r w:rsidRPr="00C84023">
        <w:rPr>
          <w:rFonts w:cstheme="minorHAnsi"/>
          <w:color w:val="231F20"/>
          <w:spacing w:val="10"/>
          <w:w w:val="105"/>
        </w:rPr>
        <w:t xml:space="preserve"> </w:t>
      </w:r>
      <w:r w:rsidRPr="00C84023">
        <w:rPr>
          <w:rFonts w:cstheme="minorHAnsi"/>
          <w:color w:val="231F20"/>
          <w:w w:val="105"/>
        </w:rPr>
        <w:t>civic</w:t>
      </w:r>
      <w:r w:rsidRPr="00C84023">
        <w:rPr>
          <w:rFonts w:cstheme="minorHAnsi"/>
          <w:color w:val="231F20"/>
          <w:spacing w:val="10"/>
          <w:w w:val="105"/>
        </w:rPr>
        <w:t xml:space="preserve"> </w:t>
      </w:r>
      <w:r w:rsidRPr="00C84023">
        <w:rPr>
          <w:rFonts w:cstheme="minorHAnsi"/>
          <w:color w:val="231F20"/>
          <w:w w:val="105"/>
        </w:rPr>
        <w:t>activities.</w:t>
      </w:r>
      <w:r w:rsidRPr="00C84023">
        <w:rPr>
          <w:rFonts w:cstheme="minorHAnsi"/>
          <w:color w:val="231F20"/>
          <w:spacing w:val="-19"/>
          <w:w w:val="105"/>
        </w:rPr>
        <w:t xml:space="preserve"> </w:t>
      </w:r>
      <w:r w:rsidRPr="00C84023">
        <w:rPr>
          <w:rFonts w:cstheme="minorHAnsi"/>
          <w:color w:val="231F20"/>
          <w:w w:val="105"/>
        </w:rPr>
        <w:t>ESOL</w:t>
      </w:r>
      <w:r w:rsidRPr="00C84023">
        <w:rPr>
          <w:rFonts w:cstheme="minorHAnsi"/>
          <w:color w:val="231F20"/>
          <w:spacing w:val="15"/>
          <w:w w:val="105"/>
        </w:rPr>
        <w:t xml:space="preserve"> </w:t>
      </w:r>
      <w:r w:rsidRPr="00C84023">
        <w:rPr>
          <w:rFonts w:cstheme="minorHAnsi"/>
          <w:color w:val="231F20"/>
          <w:w w:val="105"/>
        </w:rPr>
        <w:t>programs</w:t>
      </w:r>
      <w:r w:rsidRPr="00C84023">
        <w:rPr>
          <w:rFonts w:cstheme="minorHAnsi"/>
          <w:color w:val="231F20"/>
          <w:spacing w:val="15"/>
          <w:w w:val="105"/>
        </w:rPr>
        <w:t xml:space="preserve"> </w:t>
      </w:r>
      <w:r w:rsidRPr="00C84023">
        <w:rPr>
          <w:rFonts w:cstheme="minorHAnsi"/>
          <w:color w:val="231F20"/>
          <w:w w:val="105"/>
        </w:rPr>
        <w:t>follow</w:t>
      </w:r>
      <w:r w:rsidRPr="00C84023">
        <w:rPr>
          <w:rFonts w:cstheme="minorHAnsi"/>
          <w:color w:val="231F20"/>
          <w:spacing w:val="15"/>
          <w:w w:val="105"/>
        </w:rPr>
        <w:t xml:space="preserve"> </w:t>
      </w:r>
      <w:r w:rsidRPr="00C84023">
        <w:rPr>
          <w:rFonts w:cstheme="minorHAnsi"/>
          <w:color w:val="231F20"/>
          <w:w w:val="105"/>
        </w:rPr>
        <w:t>state</w:t>
      </w:r>
      <w:r w:rsidRPr="00C84023">
        <w:rPr>
          <w:rFonts w:cstheme="minorHAnsi"/>
          <w:color w:val="231F20"/>
          <w:spacing w:val="15"/>
          <w:w w:val="105"/>
        </w:rPr>
        <w:t xml:space="preserve"> </w:t>
      </w:r>
      <w:r w:rsidRPr="00C84023">
        <w:rPr>
          <w:rFonts w:cstheme="minorHAnsi"/>
          <w:color w:val="231F20"/>
          <w:w w:val="105"/>
        </w:rPr>
        <w:t>curriculum</w:t>
      </w:r>
      <w:r w:rsidRPr="00C84023">
        <w:rPr>
          <w:rFonts w:cstheme="minorHAnsi"/>
          <w:color w:val="231F20"/>
          <w:spacing w:val="15"/>
          <w:w w:val="105"/>
        </w:rPr>
        <w:t xml:space="preserve"> </w:t>
      </w:r>
      <w:r w:rsidRPr="00C84023">
        <w:rPr>
          <w:rFonts w:cstheme="minorHAnsi"/>
          <w:color w:val="231F20"/>
          <w:w w:val="105"/>
        </w:rPr>
        <w:t>frameworks</w:t>
      </w:r>
      <w:r w:rsidRPr="00C84023">
        <w:rPr>
          <w:rFonts w:cstheme="minorHAnsi"/>
          <w:color w:val="231F20"/>
          <w:spacing w:val="15"/>
          <w:w w:val="105"/>
        </w:rPr>
        <w:t xml:space="preserve"> </w:t>
      </w:r>
      <w:r w:rsidRPr="00C84023">
        <w:rPr>
          <w:rFonts w:cstheme="minorHAnsi"/>
          <w:color w:val="231F20"/>
          <w:w w:val="105"/>
        </w:rPr>
        <w:t>integrating civics-related</w:t>
      </w:r>
      <w:r w:rsidRPr="00C84023">
        <w:rPr>
          <w:rFonts w:cstheme="minorHAnsi"/>
          <w:color w:val="231F20"/>
          <w:spacing w:val="15"/>
          <w:w w:val="105"/>
        </w:rPr>
        <w:t xml:space="preserve"> </w:t>
      </w:r>
      <w:r w:rsidRPr="00C84023">
        <w:rPr>
          <w:rFonts w:cstheme="minorHAnsi"/>
          <w:color w:val="231F20"/>
          <w:w w:val="105"/>
        </w:rPr>
        <w:t>standards.</w:t>
      </w:r>
      <w:r w:rsidRPr="00C84023">
        <w:rPr>
          <w:rFonts w:cstheme="minorHAnsi"/>
          <w:color w:val="231F20"/>
          <w:spacing w:val="15"/>
          <w:w w:val="105"/>
        </w:rPr>
        <w:t xml:space="preserve"> </w:t>
      </w:r>
      <w:r w:rsidRPr="00C84023">
        <w:rPr>
          <w:rFonts w:cstheme="minorHAnsi"/>
          <w:color w:val="231F20"/>
          <w:spacing w:val="-12"/>
          <w:w w:val="105"/>
        </w:rPr>
        <w:t>To</w:t>
      </w:r>
      <w:r w:rsidRPr="00C84023">
        <w:rPr>
          <w:rFonts w:cstheme="minorHAnsi"/>
          <w:color w:val="231F20"/>
          <w:spacing w:val="15"/>
          <w:w w:val="105"/>
        </w:rPr>
        <w:t xml:space="preserve"> </w:t>
      </w:r>
      <w:r w:rsidRPr="00C84023">
        <w:rPr>
          <w:rFonts w:cstheme="minorHAnsi"/>
          <w:color w:val="231F20"/>
          <w:w w:val="105"/>
        </w:rPr>
        <w:t>ensure</w:t>
      </w:r>
      <w:r w:rsidRPr="00C84023">
        <w:rPr>
          <w:rFonts w:cstheme="minorHAnsi"/>
          <w:color w:val="231F20"/>
          <w:w w:val="108"/>
        </w:rPr>
        <w:t xml:space="preserve"> </w:t>
      </w:r>
      <w:r w:rsidRPr="00C84023">
        <w:rPr>
          <w:rFonts w:cstheme="minorHAnsi"/>
          <w:color w:val="231F20"/>
          <w:w w:val="105"/>
        </w:rPr>
        <w:t>workforce</w:t>
      </w:r>
      <w:r w:rsidRPr="00C84023">
        <w:rPr>
          <w:rFonts w:cstheme="minorHAnsi"/>
          <w:color w:val="231F20"/>
          <w:spacing w:val="15"/>
          <w:w w:val="105"/>
        </w:rPr>
        <w:t xml:space="preserve"> </w:t>
      </w:r>
      <w:r w:rsidRPr="00C84023">
        <w:rPr>
          <w:rFonts w:cstheme="minorHAnsi"/>
          <w:color w:val="231F20"/>
          <w:w w:val="105"/>
        </w:rPr>
        <w:t>preparation</w:t>
      </w:r>
      <w:r w:rsidRPr="00C84023">
        <w:rPr>
          <w:rFonts w:cstheme="minorHAnsi"/>
          <w:color w:val="231F20"/>
          <w:spacing w:val="15"/>
          <w:w w:val="105"/>
        </w:rPr>
        <w:t xml:space="preserve"> </w:t>
      </w:r>
      <w:r w:rsidRPr="00C84023">
        <w:rPr>
          <w:rFonts w:cstheme="minorHAnsi"/>
          <w:color w:val="231F20"/>
          <w:w w:val="105"/>
        </w:rPr>
        <w:t>activities</w:t>
      </w:r>
      <w:r w:rsidRPr="00C84023">
        <w:rPr>
          <w:rFonts w:cstheme="minorHAnsi"/>
          <w:color w:val="231F20"/>
          <w:spacing w:val="15"/>
          <w:w w:val="105"/>
        </w:rPr>
        <w:t xml:space="preserve"> </w:t>
      </w:r>
      <w:r w:rsidRPr="00C84023">
        <w:rPr>
          <w:rFonts w:cstheme="minorHAnsi"/>
          <w:color w:val="231F20"/>
          <w:w w:val="105"/>
        </w:rPr>
        <w:t>are</w:t>
      </w:r>
      <w:r w:rsidRPr="00C84023">
        <w:rPr>
          <w:rFonts w:cstheme="minorHAnsi"/>
          <w:color w:val="231F20"/>
          <w:spacing w:val="15"/>
          <w:w w:val="105"/>
        </w:rPr>
        <w:t xml:space="preserve"> </w:t>
      </w:r>
      <w:r w:rsidRPr="00C84023">
        <w:rPr>
          <w:rFonts w:cstheme="minorHAnsi"/>
          <w:color w:val="231F20"/>
          <w:w w:val="105"/>
        </w:rPr>
        <w:t>integrated</w:t>
      </w:r>
      <w:r w:rsidRPr="00C84023">
        <w:rPr>
          <w:rFonts w:cstheme="minorHAnsi"/>
          <w:color w:val="231F20"/>
          <w:spacing w:val="15"/>
          <w:w w:val="105"/>
        </w:rPr>
        <w:t xml:space="preserve"> </w:t>
      </w:r>
      <w:r w:rsidRPr="00C84023">
        <w:rPr>
          <w:rFonts w:cstheme="minorHAnsi"/>
          <w:color w:val="231F20"/>
          <w:w w:val="105"/>
        </w:rPr>
        <w:t>into</w:t>
      </w:r>
      <w:r w:rsidRPr="00C84023">
        <w:rPr>
          <w:rFonts w:cstheme="minorHAnsi"/>
          <w:color w:val="231F20"/>
          <w:spacing w:val="15"/>
          <w:w w:val="105"/>
        </w:rPr>
        <w:t xml:space="preserve"> </w:t>
      </w:r>
      <w:r w:rsidRPr="00C84023">
        <w:rPr>
          <w:rFonts w:cstheme="minorHAnsi"/>
          <w:color w:val="231F20"/>
          <w:w w:val="105"/>
        </w:rPr>
        <w:t>the</w:t>
      </w:r>
      <w:r w:rsidRPr="00C84023">
        <w:rPr>
          <w:rFonts w:cstheme="minorHAnsi"/>
          <w:color w:val="231F20"/>
          <w:spacing w:val="14"/>
          <w:w w:val="105"/>
        </w:rPr>
        <w:t xml:space="preserve"> </w:t>
      </w:r>
      <w:r w:rsidRPr="00C84023">
        <w:rPr>
          <w:rFonts w:cstheme="minorHAnsi"/>
          <w:color w:val="231F20"/>
          <w:w w:val="105"/>
        </w:rPr>
        <w:t>classroom,</w:t>
      </w:r>
      <w:r w:rsidRPr="00C84023">
        <w:rPr>
          <w:rFonts w:cstheme="minorHAnsi"/>
          <w:color w:val="231F20"/>
          <w:spacing w:val="15"/>
          <w:w w:val="105"/>
        </w:rPr>
        <w:t xml:space="preserve"> </w:t>
      </w:r>
      <w:r w:rsidRPr="00C84023">
        <w:rPr>
          <w:rFonts w:cstheme="minorHAnsi"/>
          <w:color w:val="231F20"/>
          <w:w w:val="105"/>
        </w:rPr>
        <w:t>standards</w:t>
      </w:r>
      <w:r w:rsidRPr="00C84023">
        <w:rPr>
          <w:rFonts w:cstheme="minorHAnsi"/>
          <w:color w:val="231F20"/>
          <w:spacing w:val="15"/>
          <w:w w:val="105"/>
        </w:rPr>
        <w:t xml:space="preserve"> </w:t>
      </w:r>
      <w:r w:rsidRPr="00C84023">
        <w:rPr>
          <w:rFonts w:cstheme="minorHAnsi"/>
          <w:color w:val="231F20"/>
          <w:w w:val="105"/>
        </w:rPr>
        <w:t>were developed</w:t>
      </w:r>
      <w:r w:rsidRPr="00C84023">
        <w:rPr>
          <w:rFonts w:cstheme="minorHAnsi"/>
          <w:color w:val="231F20"/>
          <w:spacing w:val="15"/>
          <w:w w:val="105"/>
        </w:rPr>
        <w:t xml:space="preserve"> </w:t>
      </w:r>
      <w:r w:rsidRPr="00C84023">
        <w:rPr>
          <w:rFonts w:cstheme="minorHAnsi"/>
          <w:color w:val="231F20"/>
          <w:w w:val="105"/>
        </w:rPr>
        <w:t>and</w:t>
      </w:r>
      <w:r w:rsidRPr="00C84023">
        <w:rPr>
          <w:rFonts w:cstheme="minorHAnsi"/>
          <w:color w:val="231F20"/>
          <w:spacing w:val="-32"/>
          <w:w w:val="105"/>
        </w:rPr>
        <w:t xml:space="preserve"> </w:t>
      </w:r>
      <w:r w:rsidRPr="00C84023">
        <w:rPr>
          <w:rFonts w:cstheme="minorHAnsi"/>
          <w:color w:val="231F20"/>
          <w:w w:val="105"/>
        </w:rPr>
        <w:t>included</w:t>
      </w:r>
      <w:r w:rsidRPr="00C84023">
        <w:rPr>
          <w:rFonts w:cstheme="minorHAnsi"/>
          <w:color w:val="231F20"/>
          <w:spacing w:val="16"/>
          <w:w w:val="105"/>
        </w:rPr>
        <w:t xml:space="preserve"> </w:t>
      </w:r>
      <w:r w:rsidRPr="00C84023">
        <w:rPr>
          <w:rFonts w:cstheme="minorHAnsi"/>
          <w:color w:val="231F20"/>
          <w:w w:val="105"/>
        </w:rPr>
        <w:t>in</w:t>
      </w:r>
      <w:r w:rsidRPr="00C84023">
        <w:rPr>
          <w:rFonts w:cstheme="minorHAnsi"/>
          <w:color w:val="231F20"/>
          <w:spacing w:val="16"/>
          <w:w w:val="105"/>
        </w:rPr>
        <w:t xml:space="preserve"> </w:t>
      </w:r>
      <w:r w:rsidRPr="00C84023">
        <w:rPr>
          <w:rFonts w:cstheme="minorHAnsi"/>
          <w:color w:val="231F20"/>
          <w:w w:val="105"/>
        </w:rPr>
        <w:t>the</w:t>
      </w:r>
      <w:r w:rsidRPr="00C84023">
        <w:rPr>
          <w:rFonts w:cstheme="minorHAnsi"/>
          <w:color w:val="231F20"/>
          <w:spacing w:val="16"/>
          <w:w w:val="105"/>
        </w:rPr>
        <w:t xml:space="preserve"> </w:t>
      </w:r>
      <w:r w:rsidRPr="00C84023">
        <w:rPr>
          <w:rFonts w:cstheme="minorHAnsi"/>
          <w:color w:val="231F20"/>
          <w:w w:val="105"/>
        </w:rPr>
        <w:t>adult</w:t>
      </w:r>
      <w:r w:rsidRPr="00C84023">
        <w:rPr>
          <w:rFonts w:cstheme="minorHAnsi"/>
          <w:color w:val="231F20"/>
          <w:spacing w:val="16"/>
          <w:w w:val="105"/>
        </w:rPr>
        <w:t xml:space="preserve"> </w:t>
      </w:r>
      <w:r w:rsidRPr="00C84023">
        <w:rPr>
          <w:rFonts w:cstheme="minorHAnsi"/>
          <w:color w:val="231F20"/>
          <w:w w:val="105"/>
        </w:rPr>
        <w:t>education</w:t>
      </w:r>
      <w:r w:rsidRPr="00C84023">
        <w:rPr>
          <w:rFonts w:cstheme="minorHAnsi"/>
          <w:color w:val="231F20"/>
          <w:spacing w:val="16"/>
          <w:w w:val="105"/>
        </w:rPr>
        <w:t xml:space="preserve"> </w:t>
      </w:r>
      <w:r w:rsidRPr="00C84023">
        <w:rPr>
          <w:rFonts w:cstheme="minorHAnsi"/>
          <w:color w:val="231F20"/>
          <w:w w:val="105"/>
        </w:rPr>
        <w:t>courses.</w:t>
      </w:r>
      <w:r w:rsidRPr="00C84023">
        <w:rPr>
          <w:rFonts w:cstheme="minorHAnsi"/>
          <w:color w:val="231F20"/>
          <w:spacing w:val="16"/>
          <w:w w:val="105"/>
        </w:rPr>
        <w:t xml:space="preserve"> </w:t>
      </w:r>
      <w:r w:rsidRPr="00C84023">
        <w:rPr>
          <w:rFonts w:cstheme="minorHAnsi"/>
          <w:color w:val="231F20"/>
          <w:spacing w:val="-3"/>
          <w:w w:val="105"/>
        </w:rPr>
        <w:t>Training</w:t>
      </w:r>
      <w:r w:rsidRPr="00C84023">
        <w:rPr>
          <w:rFonts w:cstheme="minorHAnsi"/>
          <w:color w:val="231F20"/>
          <w:spacing w:val="16"/>
          <w:w w:val="105"/>
        </w:rPr>
        <w:t xml:space="preserve"> </w:t>
      </w:r>
      <w:r w:rsidRPr="00C84023">
        <w:rPr>
          <w:rFonts w:cstheme="minorHAnsi"/>
          <w:color w:val="231F20"/>
          <w:w w:val="105"/>
        </w:rPr>
        <w:t>through</w:t>
      </w:r>
      <w:r w:rsidRPr="00C84023">
        <w:rPr>
          <w:rFonts w:cstheme="minorHAnsi"/>
          <w:color w:val="231F20"/>
          <w:spacing w:val="16"/>
          <w:w w:val="105"/>
        </w:rPr>
        <w:t xml:space="preserve"> </w:t>
      </w:r>
      <w:r w:rsidRPr="00C84023">
        <w:rPr>
          <w:rFonts w:cstheme="minorHAnsi"/>
          <w:color w:val="231F20"/>
          <w:w w:val="105"/>
        </w:rPr>
        <w:t>face-to-face</w:t>
      </w:r>
      <w:r w:rsidRPr="00C84023">
        <w:rPr>
          <w:rFonts w:cstheme="minorHAnsi"/>
          <w:color w:val="231F20"/>
          <w:spacing w:val="16"/>
          <w:w w:val="105"/>
        </w:rPr>
        <w:t xml:space="preserve"> </w:t>
      </w:r>
      <w:r w:rsidRPr="00C84023">
        <w:rPr>
          <w:rFonts w:cstheme="minorHAnsi"/>
          <w:color w:val="231F20"/>
          <w:w w:val="105"/>
        </w:rPr>
        <w:t>workshops</w:t>
      </w:r>
      <w:r w:rsidRPr="00C84023">
        <w:rPr>
          <w:rFonts w:cstheme="minorHAnsi"/>
          <w:color w:val="231F20"/>
          <w:spacing w:val="16"/>
          <w:w w:val="105"/>
        </w:rPr>
        <w:t xml:space="preserve"> </w:t>
      </w:r>
      <w:r w:rsidRPr="00C84023">
        <w:rPr>
          <w:rFonts w:cstheme="minorHAnsi"/>
          <w:color w:val="231F20"/>
          <w:w w:val="105"/>
        </w:rPr>
        <w:t>and</w:t>
      </w:r>
      <w:r w:rsidRPr="00C84023">
        <w:rPr>
          <w:rFonts w:cstheme="minorHAnsi"/>
          <w:color w:val="231F20"/>
          <w:spacing w:val="16"/>
          <w:w w:val="105"/>
        </w:rPr>
        <w:t xml:space="preserve"> </w:t>
      </w:r>
      <w:r w:rsidRPr="00C84023">
        <w:rPr>
          <w:rFonts w:cstheme="minorHAnsi"/>
          <w:color w:val="231F20"/>
          <w:w w:val="105"/>
        </w:rPr>
        <w:t>webinars</w:t>
      </w:r>
      <w:r w:rsidRPr="00C84023">
        <w:rPr>
          <w:rFonts w:cstheme="minorHAnsi"/>
          <w:color w:val="231F20"/>
          <w:spacing w:val="16"/>
          <w:w w:val="105"/>
        </w:rPr>
        <w:t xml:space="preserve"> </w:t>
      </w:r>
      <w:r w:rsidRPr="00C84023">
        <w:rPr>
          <w:rFonts w:cstheme="minorHAnsi"/>
          <w:color w:val="231F20"/>
          <w:w w:val="105"/>
        </w:rPr>
        <w:t>are conducted</w:t>
      </w:r>
      <w:r w:rsidRPr="00C84023">
        <w:rPr>
          <w:rFonts w:cstheme="minorHAnsi"/>
          <w:color w:val="231F20"/>
          <w:spacing w:val="15"/>
          <w:w w:val="105"/>
        </w:rPr>
        <w:t xml:space="preserve"> </w:t>
      </w:r>
      <w:r w:rsidRPr="00C84023">
        <w:rPr>
          <w:rFonts w:cstheme="minorHAnsi"/>
          <w:color w:val="231F20"/>
          <w:w w:val="105"/>
        </w:rPr>
        <w:t>on</w:t>
      </w:r>
      <w:r w:rsidRPr="00C84023">
        <w:rPr>
          <w:rFonts w:cstheme="minorHAnsi"/>
          <w:color w:val="231F20"/>
          <w:spacing w:val="15"/>
          <w:w w:val="105"/>
        </w:rPr>
        <w:t xml:space="preserve"> </w:t>
      </w:r>
      <w:r w:rsidRPr="00C84023">
        <w:rPr>
          <w:rFonts w:cstheme="minorHAnsi"/>
          <w:color w:val="231F20"/>
          <w:w w:val="105"/>
        </w:rPr>
        <w:t>integration</w:t>
      </w:r>
      <w:r w:rsidRPr="00C84023">
        <w:rPr>
          <w:rFonts w:cstheme="minorHAnsi"/>
          <w:color w:val="231F20"/>
          <w:spacing w:val="15"/>
          <w:w w:val="105"/>
        </w:rPr>
        <w:t xml:space="preserve"> </w:t>
      </w:r>
      <w:r w:rsidRPr="00C84023">
        <w:rPr>
          <w:rFonts w:cstheme="minorHAnsi"/>
          <w:color w:val="231F20"/>
          <w:w w:val="105"/>
        </w:rPr>
        <w:t>of</w:t>
      </w:r>
      <w:r w:rsidRPr="00C84023">
        <w:rPr>
          <w:rFonts w:cstheme="minorHAnsi"/>
          <w:color w:val="231F20"/>
          <w:spacing w:val="15"/>
          <w:w w:val="105"/>
        </w:rPr>
        <w:t xml:space="preserve"> </w:t>
      </w:r>
      <w:r w:rsidRPr="00C84023">
        <w:rPr>
          <w:rFonts w:cstheme="minorHAnsi"/>
          <w:color w:val="231F20"/>
          <w:w w:val="105"/>
        </w:rPr>
        <w:t>civics</w:t>
      </w:r>
      <w:r w:rsidRPr="00C84023">
        <w:rPr>
          <w:rFonts w:cstheme="minorHAnsi"/>
          <w:color w:val="231F20"/>
          <w:spacing w:val="15"/>
          <w:w w:val="105"/>
        </w:rPr>
        <w:t xml:space="preserve"> </w:t>
      </w:r>
      <w:r w:rsidRPr="00C84023">
        <w:rPr>
          <w:rFonts w:cstheme="minorHAnsi"/>
          <w:color w:val="231F20"/>
          <w:w w:val="105"/>
        </w:rPr>
        <w:t>and</w:t>
      </w:r>
      <w:r w:rsidRPr="00C84023">
        <w:rPr>
          <w:rFonts w:cstheme="minorHAnsi"/>
          <w:color w:val="231F20"/>
          <w:spacing w:val="15"/>
          <w:w w:val="105"/>
        </w:rPr>
        <w:t xml:space="preserve"> </w:t>
      </w:r>
      <w:r w:rsidRPr="00C84023">
        <w:rPr>
          <w:rFonts w:cstheme="minorHAnsi"/>
          <w:color w:val="231F20"/>
          <w:w w:val="105"/>
        </w:rPr>
        <w:t>other</w:t>
      </w:r>
      <w:r w:rsidRPr="00C84023">
        <w:rPr>
          <w:rFonts w:cstheme="minorHAnsi"/>
          <w:color w:val="231F20"/>
          <w:spacing w:val="15"/>
          <w:w w:val="105"/>
        </w:rPr>
        <w:t xml:space="preserve"> </w:t>
      </w:r>
      <w:r w:rsidRPr="00C84023">
        <w:rPr>
          <w:rFonts w:cstheme="minorHAnsi"/>
          <w:color w:val="231F20"/>
          <w:w w:val="105"/>
        </w:rPr>
        <w:t>activities</w:t>
      </w:r>
      <w:r w:rsidRPr="00C84023">
        <w:rPr>
          <w:rFonts w:cstheme="minorHAnsi"/>
          <w:color w:val="231F20"/>
          <w:spacing w:val="15"/>
          <w:w w:val="105"/>
        </w:rPr>
        <w:t xml:space="preserve"> </w:t>
      </w:r>
      <w:r w:rsidRPr="00C84023">
        <w:rPr>
          <w:rFonts w:cstheme="minorHAnsi"/>
          <w:color w:val="231F20"/>
          <w:w w:val="105"/>
        </w:rPr>
        <w:t>into</w:t>
      </w:r>
      <w:r w:rsidRPr="00C84023">
        <w:rPr>
          <w:rFonts w:cstheme="minorHAnsi"/>
          <w:color w:val="231F20"/>
          <w:spacing w:val="15"/>
          <w:w w:val="105"/>
        </w:rPr>
        <w:t xml:space="preserve"> </w:t>
      </w:r>
      <w:r w:rsidRPr="00C84023">
        <w:rPr>
          <w:rFonts w:cstheme="minorHAnsi"/>
          <w:color w:val="231F20"/>
          <w:w w:val="105"/>
        </w:rPr>
        <w:t>the</w:t>
      </w:r>
      <w:r w:rsidRPr="00C84023">
        <w:rPr>
          <w:rFonts w:cstheme="minorHAnsi"/>
          <w:color w:val="231F20"/>
          <w:spacing w:val="15"/>
          <w:w w:val="105"/>
        </w:rPr>
        <w:t xml:space="preserve"> </w:t>
      </w:r>
      <w:r w:rsidRPr="00C84023">
        <w:rPr>
          <w:rFonts w:cstheme="minorHAnsi"/>
          <w:color w:val="231F20"/>
          <w:w w:val="105"/>
        </w:rPr>
        <w:t>ESOL</w:t>
      </w:r>
      <w:r w:rsidRPr="00C84023">
        <w:rPr>
          <w:rFonts w:cstheme="minorHAnsi"/>
          <w:color w:val="231F20"/>
          <w:spacing w:val="15"/>
          <w:w w:val="105"/>
        </w:rPr>
        <w:t xml:space="preserve"> </w:t>
      </w:r>
      <w:r w:rsidRPr="00C84023">
        <w:rPr>
          <w:rFonts w:cstheme="minorHAnsi"/>
          <w:color w:val="231F20"/>
          <w:w w:val="105"/>
        </w:rPr>
        <w:t xml:space="preserve">program. EL/Civics leadership funds are used for 2016-2017 </w:t>
      </w:r>
      <w:r w:rsidR="00F80233">
        <w:rPr>
          <w:rFonts w:cstheme="minorHAnsi"/>
          <w:color w:val="231F20"/>
          <w:w w:val="105"/>
        </w:rPr>
        <w:t xml:space="preserve">competitive </w:t>
      </w:r>
      <w:r w:rsidRPr="00C84023">
        <w:rPr>
          <w:rFonts w:cstheme="minorHAnsi"/>
          <w:color w:val="231F20"/>
          <w:w w:val="105"/>
        </w:rPr>
        <w:t>grants for ESOL programs to plan, design</w:t>
      </w:r>
      <w:r w:rsidR="00D5537E">
        <w:rPr>
          <w:rFonts w:cstheme="minorHAnsi"/>
          <w:color w:val="231F20"/>
          <w:w w:val="105"/>
        </w:rPr>
        <w:t xml:space="preserve"> and</w:t>
      </w:r>
      <w:r w:rsidRPr="00C84023">
        <w:rPr>
          <w:rFonts w:cstheme="minorHAnsi"/>
          <w:color w:val="231F20"/>
          <w:w w:val="105"/>
        </w:rPr>
        <w:t xml:space="preserve">/or implement integrated education and training programs through Florida’s Integrated Career and Academic Preparation System. The </w:t>
      </w:r>
      <w:r w:rsidR="00F80233">
        <w:rPr>
          <w:rFonts w:cstheme="minorHAnsi"/>
          <w:color w:val="231F20"/>
          <w:w w:val="105"/>
        </w:rPr>
        <w:t xml:space="preserve">competitive grant process </w:t>
      </w:r>
      <w:r w:rsidRPr="00C84023">
        <w:rPr>
          <w:rFonts w:cstheme="minorHAnsi"/>
          <w:color w:val="231F20"/>
          <w:w w:val="105"/>
        </w:rPr>
        <w:t>was conducted in the spring of 2016 and five additional grants were awarded.</w:t>
      </w:r>
    </w:p>
    <w:p w14:paraId="26044760" w14:textId="5EF499E8" w:rsidR="00DE343A" w:rsidRDefault="00D6480A" w:rsidP="00D63204">
      <w:pPr>
        <w:widowControl w:val="0"/>
        <w:spacing w:after="0" w:line="264" w:lineRule="exact"/>
        <w:ind w:left="90"/>
        <w:rPr>
          <w:rFonts w:cstheme="minorHAnsi"/>
          <w:color w:val="231F20"/>
          <w:w w:val="105"/>
        </w:rPr>
      </w:pPr>
      <w:bookmarkStart w:id="132" w:name="(e)_State_Leadership"/>
      <w:bookmarkStart w:id="133" w:name="_bookmark71"/>
      <w:bookmarkEnd w:id="132"/>
      <w:bookmarkEnd w:id="133"/>
      <w:r w:rsidRPr="00C84023">
        <w:rPr>
          <w:rFonts w:cstheme="minorHAnsi"/>
          <w:color w:val="231F20"/>
          <w:w w:val="105"/>
        </w:rPr>
        <w:br/>
      </w:r>
      <w:r w:rsidRPr="00C84023">
        <w:rPr>
          <w:rFonts w:cstheme="minorHAnsi"/>
          <w:color w:val="231F20"/>
          <w:w w:val="105"/>
        </w:rPr>
        <w:lastRenderedPageBreak/>
        <w:t>During</w:t>
      </w:r>
      <w:r w:rsidRPr="00E840CE">
        <w:rPr>
          <w:rFonts w:cstheme="minorHAnsi"/>
          <w:color w:val="231F20"/>
          <w:w w:val="105"/>
        </w:rPr>
        <w:t xml:space="preserve"> </w:t>
      </w:r>
      <w:r w:rsidRPr="00C84023">
        <w:rPr>
          <w:rFonts w:cstheme="minorHAnsi"/>
          <w:color w:val="231F20"/>
          <w:w w:val="105"/>
        </w:rPr>
        <w:t>the</w:t>
      </w:r>
      <w:r w:rsidRPr="00E840CE">
        <w:rPr>
          <w:rFonts w:cstheme="minorHAnsi"/>
          <w:color w:val="231F20"/>
          <w:w w:val="105"/>
        </w:rPr>
        <w:t xml:space="preserve"> </w:t>
      </w:r>
      <w:r w:rsidRPr="00C84023">
        <w:rPr>
          <w:rFonts w:cstheme="minorHAnsi"/>
          <w:color w:val="231F20"/>
          <w:w w:val="105"/>
        </w:rPr>
        <w:t>next</w:t>
      </w:r>
      <w:r w:rsidRPr="00E840CE">
        <w:rPr>
          <w:rFonts w:cstheme="minorHAnsi"/>
          <w:color w:val="231F20"/>
          <w:w w:val="105"/>
        </w:rPr>
        <w:t xml:space="preserve"> </w:t>
      </w:r>
      <w:r w:rsidRPr="00C84023">
        <w:rPr>
          <w:rFonts w:cstheme="minorHAnsi"/>
          <w:color w:val="231F20"/>
          <w:w w:val="105"/>
        </w:rPr>
        <w:t>two</w:t>
      </w:r>
      <w:r w:rsidRPr="00E840CE">
        <w:rPr>
          <w:rFonts w:cstheme="minorHAnsi"/>
          <w:color w:val="231F20"/>
          <w:w w:val="105"/>
        </w:rPr>
        <w:t xml:space="preserve"> </w:t>
      </w:r>
      <w:r w:rsidRPr="00C84023">
        <w:rPr>
          <w:rFonts w:cstheme="minorHAnsi"/>
          <w:color w:val="231F20"/>
          <w:w w:val="105"/>
        </w:rPr>
        <w:t>years,</w:t>
      </w:r>
      <w:r w:rsidRPr="00E840CE">
        <w:rPr>
          <w:rFonts w:cstheme="minorHAnsi"/>
          <w:color w:val="231F20"/>
          <w:w w:val="105"/>
        </w:rPr>
        <w:t xml:space="preserve"> </w:t>
      </w:r>
      <w:r w:rsidRPr="00C84023">
        <w:rPr>
          <w:rFonts w:cstheme="minorHAnsi"/>
          <w:color w:val="231F20"/>
          <w:w w:val="105"/>
        </w:rPr>
        <w:t>the</w:t>
      </w:r>
      <w:r w:rsidRPr="00E840CE">
        <w:rPr>
          <w:rFonts w:cstheme="minorHAnsi"/>
          <w:color w:val="231F20"/>
          <w:w w:val="105"/>
        </w:rPr>
        <w:t xml:space="preserve"> </w:t>
      </w:r>
      <w:r w:rsidRPr="00C84023">
        <w:rPr>
          <w:rFonts w:cstheme="minorHAnsi"/>
          <w:color w:val="231F20"/>
          <w:w w:val="105"/>
        </w:rPr>
        <w:t>ESOL</w:t>
      </w:r>
      <w:r w:rsidRPr="00E840CE">
        <w:rPr>
          <w:rFonts w:cstheme="minorHAnsi"/>
          <w:color w:val="231F20"/>
          <w:w w:val="105"/>
        </w:rPr>
        <w:t xml:space="preserve"> </w:t>
      </w:r>
      <w:r w:rsidRPr="00C84023">
        <w:rPr>
          <w:rFonts w:cstheme="minorHAnsi"/>
          <w:color w:val="231F20"/>
          <w:w w:val="105"/>
        </w:rPr>
        <w:t>programs</w:t>
      </w:r>
      <w:r w:rsidRPr="00E840CE">
        <w:rPr>
          <w:rFonts w:cstheme="minorHAnsi"/>
          <w:color w:val="231F20"/>
          <w:w w:val="105"/>
        </w:rPr>
        <w:t xml:space="preserve"> </w:t>
      </w:r>
      <w:r w:rsidRPr="00C84023">
        <w:rPr>
          <w:rFonts w:cstheme="minorHAnsi"/>
          <w:color w:val="231F20"/>
          <w:w w:val="105"/>
        </w:rPr>
        <w:t>will</w:t>
      </w:r>
      <w:r w:rsidRPr="00E840CE">
        <w:rPr>
          <w:rFonts w:cstheme="minorHAnsi"/>
          <w:color w:val="231F20"/>
          <w:w w:val="105"/>
        </w:rPr>
        <w:t xml:space="preserve"> </w:t>
      </w:r>
      <w:r w:rsidRPr="00C84023">
        <w:rPr>
          <w:rFonts w:cstheme="minorHAnsi"/>
          <w:color w:val="231F20"/>
          <w:w w:val="105"/>
        </w:rPr>
        <w:t>implement</w:t>
      </w:r>
      <w:r w:rsidRPr="00E840CE">
        <w:rPr>
          <w:rFonts w:cstheme="minorHAnsi"/>
          <w:color w:val="231F20"/>
          <w:w w:val="105"/>
        </w:rPr>
        <w:t xml:space="preserve"> </w:t>
      </w:r>
      <w:r w:rsidRPr="00C84023">
        <w:rPr>
          <w:rFonts w:cstheme="minorHAnsi"/>
          <w:color w:val="231F20"/>
          <w:w w:val="105"/>
        </w:rPr>
        <w:t>contextualized</w:t>
      </w:r>
      <w:r w:rsidRPr="00E840CE">
        <w:rPr>
          <w:rFonts w:cstheme="minorHAnsi"/>
          <w:color w:val="231F20"/>
          <w:w w:val="105"/>
        </w:rPr>
        <w:t xml:space="preserve"> </w:t>
      </w:r>
      <w:r w:rsidRPr="00C84023">
        <w:rPr>
          <w:rFonts w:cstheme="minorHAnsi"/>
          <w:color w:val="231F20"/>
          <w:w w:val="105"/>
        </w:rPr>
        <w:t>curriculum</w:t>
      </w:r>
      <w:r w:rsidRPr="00E840CE">
        <w:rPr>
          <w:rFonts w:cstheme="minorHAnsi"/>
          <w:color w:val="231F20"/>
          <w:w w:val="105"/>
        </w:rPr>
        <w:t xml:space="preserve"> </w:t>
      </w:r>
      <w:r w:rsidRPr="00C84023">
        <w:rPr>
          <w:rFonts w:cstheme="minorHAnsi"/>
          <w:color w:val="231F20"/>
          <w:w w:val="105"/>
        </w:rPr>
        <w:t>with</w:t>
      </w:r>
      <w:r w:rsidRPr="00E840CE">
        <w:rPr>
          <w:rFonts w:cstheme="minorHAnsi"/>
          <w:color w:val="231F20"/>
          <w:w w:val="105"/>
        </w:rPr>
        <w:t xml:space="preserve"> </w:t>
      </w:r>
      <w:r w:rsidRPr="00C84023">
        <w:rPr>
          <w:rFonts w:cstheme="minorHAnsi"/>
          <w:color w:val="231F20"/>
          <w:w w:val="105"/>
        </w:rPr>
        <w:t>a</w:t>
      </w:r>
      <w:r w:rsidRPr="00E840CE">
        <w:rPr>
          <w:rFonts w:cstheme="minorHAnsi"/>
          <w:color w:val="231F20"/>
          <w:w w:val="105"/>
        </w:rPr>
        <w:t xml:space="preserve"> </w:t>
      </w:r>
      <w:r w:rsidRPr="00C84023">
        <w:rPr>
          <w:rFonts w:cstheme="minorHAnsi"/>
          <w:color w:val="231F20"/>
          <w:w w:val="105"/>
        </w:rPr>
        <w:t>career</w:t>
      </w:r>
      <w:r w:rsidRPr="00E840CE">
        <w:rPr>
          <w:rFonts w:cstheme="minorHAnsi"/>
          <w:color w:val="231F20"/>
          <w:w w:val="105"/>
        </w:rPr>
        <w:t xml:space="preserve"> </w:t>
      </w:r>
      <w:r w:rsidRPr="00C84023">
        <w:rPr>
          <w:rFonts w:cstheme="minorHAnsi"/>
          <w:color w:val="231F20"/>
          <w:w w:val="105"/>
        </w:rPr>
        <w:t>focus</w:t>
      </w:r>
      <w:r w:rsidRPr="00E840CE">
        <w:rPr>
          <w:rFonts w:cstheme="minorHAnsi"/>
          <w:color w:val="231F20"/>
          <w:w w:val="105"/>
        </w:rPr>
        <w:t xml:space="preserve"> </w:t>
      </w:r>
      <w:r w:rsidRPr="00C84023">
        <w:rPr>
          <w:rFonts w:cstheme="minorHAnsi"/>
          <w:color w:val="231F20"/>
          <w:w w:val="105"/>
        </w:rPr>
        <w:t>in</w:t>
      </w:r>
      <w:r w:rsidRPr="00E840CE">
        <w:rPr>
          <w:rFonts w:cstheme="minorHAnsi"/>
          <w:color w:val="231F20"/>
          <w:w w:val="105"/>
        </w:rPr>
        <w:t xml:space="preserve"> </w:t>
      </w:r>
      <w:r w:rsidRPr="00C84023">
        <w:rPr>
          <w:rFonts w:cstheme="minorHAnsi"/>
          <w:color w:val="231F20"/>
          <w:w w:val="105"/>
        </w:rPr>
        <w:t>level</w:t>
      </w:r>
      <w:r w:rsidRPr="00E840CE">
        <w:rPr>
          <w:rFonts w:cstheme="minorHAnsi"/>
          <w:color w:val="231F20"/>
          <w:w w:val="105"/>
        </w:rPr>
        <w:t xml:space="preserve"> </w:t>
      </w:r>
      <w:r w:rsidRPr="00C84023">
        <w:rPr>
          <w:rFonts w:cstheme="minorHAnsi"/>
          <w:color w:val="231F20"/>
          <w:w w:val="105"/>
        </w:rPr>
        <w:t>5</w:t>
      </w:r>
      <w:r w:rsidRPr="00E840CE">
        <w:rPr>
          <w:rFonts w:cstheme="minorHAnsi"/>
          <w:color w:val="231F20"/>
          <w:w w:val="105"/>
        </w:rPr>
        <w:t xml:space="preserve"> </w:t>
      </w:r>
      <w:r w:rsidRPr="00C84023">
        <w:rPr>
          <w:rFonts w:cstheme="minorHAnsi"/>
          <w:color w:val="231F20"/>
          <w:w w:val="105"/>
        </w:rPr>
        <w:t>and</w:t>
      </w:r>
      <w:r w:rsidRPr="00E840CE">
        <w:rPr>
          <w:rFonts w:cstheme="minorHAnsi"/>
          <w:color w:val="231F20"/>
          <w:w w:val="105"/>
        </w:rPr>
        <w:t xml:space="preserve"> </w:t>
      </w:r>
      <w:r w:rsidRPr="00C84023">
        <w:rPr>
          <w:rFonts w:cstheme="minorHAnsi"/>
          <w:color w:val="231F20"/>
          <w:w w:val="105"/>
        </w:rPr>
        <w:t>6</w:t>
      </w:r>
      <w:r w:rsidRPr="00E840CE">
        <w:rPr>
          <w:rFonts w:cstheme="minorHAnsi"/>
          <w:color w:val="231F20"/>
          <w:w w:val="105"/>
        </w:rPr>
        <w:t xml:space="preserve"> </w:t>
      </w:r>
      <w:r w:rsidRPr="00C84023">
        <w:rPr>
          <w:rFonts w:cstheme="minorHAnsi"/>
          <w:color w:val="231F20"/>
          <w:w w:val="105"/>
        </w:rPr>
        <w:t>of</w:t>
      </w:r>
      <w:r w:rsidRPr="00E840CE">
        <w:rPr>
          <w:rFonts w:cstheme="minorHAnsi"/>
          <w:color w:val="231F20"/>
          <w:w w:val="105"/>
        </w:rPr>
        <w:t xml:space="preserve"> </w:t>
      </w:r>
      <w:r w:rsidRPr="00C84023">
        <w:rPr>
          <w:rFonts w:cstheme="minorHAnsi"/>
          <w:color w:val="231F20"/>
          <w:w w:val="105"/>
        </w:rPr>
        <w:t>adult</w:t>
      </w:r>
      <w:r w:rsidRPr="00E840CE">
        <w:rPr>
          <w:rFonts w:cstheme="minorHAnsi"/>
          <w:color w:val="231F20"/>
          <w:w w:val="105"/>
        </w:rPr>
        <w:t xml:space="preserve"> </w:t>
      </w:r>
      <w:r w:rsidRPr="00C84023">
        <w:rPr>
          <w:rFonts w:cstheme="minorHAnsi"/>
          <w:color w:val="231F20"/>
          <w:w w:val="105"/>
        </w:rPr>
        <w:t>ESOL</w:t>
      </w:r>
      <w:r w:rsidRPr="00E840CE">
        <w:rPr>
          <w:rFonts w:cstheme="minorHAnsi"/>
          <w:color w:val="231F20"/>
          <w:w w:val="105"/>
        </w:rPr>
        <w:t xml:space="preserve"> </w:t>
      </w:r>
      <w:r w:rsidRPr="00C84023">
        <w:rPr>
          <w:rFonts w:cstheme="minorHAnsi"/>
          <w:color w:val="231F20"/>
          <w:w w:val="105"/>
        </w:rPr>
        <w:t>or</w:t>
      </w:r>
      <w:r w:rsidRPr="00E840CE">
        <w:rPr>
          <w:rFonts w:cstheme="minorHAnsi"/>
          <w:color w:val="231F20"/>
          <w:w w:val="105"/>
        </w:rPr>
        <w:t xml:space="preserve"> ELCATE </w:t>
      </w:r>
      <w:r w:rsidRPr="00C84023">
        <w:rPr>
          <w:rFonts w:cstheme="minorHAnsi"/>
          <w:color w:val="231F20"/>
          <w:w w:val="105"/>
        </w:rPr>
        <w:t>courses.</w:t>
      </w:r>
      <w:r w:rsidRPr="00E840CE">
        <w:rPr>
          <w:rFonts w:cstheme="minorHAnsi"/>
          <w:color w:val="231F20"/>
          <w:w w:val="105"/>
        </w:rPr>
        <w:t xml:space="preserve"> </w:t>
      </w:r>
      <w:r w:rsidRPr="00C84023">
        <w:rPr>
          <w:rFonts w:cstheme="minorHAnsi"/>
          <w:color w:val="231F20"/>
          <w:w w:val="105"/>
        </w:rPr>
        <w:t>This</w:t>
      </w:r>
      <w:r w:rsidRPr="00E840CE">
        <w:rPr>
          <w:rFonts w:cstheme="minorHAnsi"/>
          <w:color w:val="231F20"/>
          <w:w w:val="105"/>
        </w:rPr>
        <w:t xml:space="preserve"> </w:t>
      </w:r>
      <w:r w:rsidRPr="00C84023">
        <w:rPr>
          <w:rFonts w:cstheme="minorHAnsi"/>
          <w:color w:val="231F20"/>
          <w:w w:val="105"/>
        </w:rPr>
        <w:t>is the</w:t>
      </w:r>
      <w:r w:rsidRPr="00E840CE">
        <w:rPr>
          <w:rFonts w:cstheme="minorHAnsi"/>
          <w:color w:val="231F20"/>
          <w:w w:val="105"/>
        </w:rPr>
        <w:t xml:space="preserve"> </w:t>
      </w:r>
      <w:r w:rsidRPr="00C84023">
        <w:rPr>
          <w:rFonts w:cstheme="minorHAnsi"/>
          <w:color w:val="231F20"/>
          <w:w w:val="105"/>
        </w:rPr>
        <w:t>first</w:t>
      </w:r>
      <w:r w:rsidRPr="00E840CE">
        <w:rPr>
          <w:rFonts w:cstheme="minorHAnsi"/>
          <w:color w:val="231F20"/>
          <w:w w:val="105"/>
        </w:rPr>
        <w:t xml:space="preserve"> </w:t>
      </w:r>
      <w:r w:rsidRPr="00C84023">
        <w:rPr>
          <w:rFonts w:cstheme="minorHAnsi"/>
          <w:color w:val="231F20"/>
          <w:w w:val="105"/>
        </w:rPr>
        <w:t>phase</w:t>
      </w:r>
      <w:r w:rsidRPr="00E840CE">
        <w:rPr>
          <w:rFonts w:cstheme="minorHAnsi"/>
          <w:color w:val="231F20"/>
          <w:w w:val="105"/>
        </w:rPr>
        <w:t xml:space="preserve"> </w:t>
      </w:r>
      <w:r w:rsidRPr="00C84023">
        <w:rPr>
          <w:rFonts w:cstheme="minorHAnsi"/>
          <w:color w:val="231F20"/>
          <w:w w:val="105"/>
        </w:rPr>
        <w:t>in</w:t>
      </w:r>
      <w:r w:rsidRPr="00E840CE">
        <w:rPr>
          <w:rFonts w:cstheme="minorHAnsi"/>
          <w:color w:val="231F20"/>
          <w:w w:val="105"/>
        </w:rPr>
        <w:t xml:space="preserve"> </w:t>
      </w:r>
      <w:r w:rsidRPr="00C84023">
        <w:rPr>
          <w:rFonts w:cstheme="minorHAnsi"/>
          <w:color w:val="231F20"/>
          <w:w w:val="105"/>
        </w:rPr>
        <w:t>moving</w:t>
      </w:r>
      <w:r w:rsidRPr="00E840CE">
        <w:rPr>
          <w:rFonts w:cstheme="minorHAnsi"/>
          <w:color w:val="231F20"/>
          <w:w w:val="105"/>
        </w:rPr>
        <w:t xml:space="preserve"> </w:t>
      </w:r>
      <w:r w:rsidRPr="00C84023">
        <w:rPr>
          <w:rFonts w:cstheme="minorHAnsi"/>
          <w:color w:val="231F20"/>
          <w:w w:val="105"/>
        </w:rPr>
        <w:t>toward</w:t>
      </w:r>
      <w:r w:rsidRPr="00E840CE">
        <w:rPr>
          <w:rFonts w:cstheme="minorHAnsi"/>
          <w:color w:val="231F20"/>
          <w:w w:val="105"/>
        </w:rPr>
        <w:t xml:space="preserve"> </w:t>
      </w:r>
      <w:r w:rsidRPr="00C84023">
        <w:rPr>
          <w:rFonts w:cstheme="minorHAnsi"/>
          <w:color w:val="231F20"/>
          <w:w w:val="105"/>
        </w:rPr>
        <w:t>ESOL</w:t>
      </w:r>
      <w:r w:rsidRPr="00E840CE">
        <w:rPr>
          <w:rFonts w:cstheme="minorHAnsi"/>
          <w:color w:val="231F20"/>
          <w:w w:val="105"/>
        </w:rPr>
        <w:t xml:space="preserve"> </w:t>
      </w:r>
      <w:r w:rsidRPr="00C84023">
        <w:rPr>
          <w:rFonts w:cstheme="minorHAnsi"/>
          <w:color w:val="231F20"/>
          <w:w w:val="105"/>
        </w:rPr>
        <w:t>integrated</w:t>
      </w:r>
      <w:r w:rsidRPr="00E840CE">
        <w:rPr>
          <w:rFonts w:cstheme="minorHAnsi"/>
          <w:color w:val="231F20"/>
          <w:w w:val="105"/>
        </w:rPr>
        <w:t xml:space="preserve"> </w:t>
      </w:r>
      <w:r w:rsidRPr="00C84023">
        <w:rPr>
          <w:rFonts w:cstheme="minorHAnsi"/>
          <w:color w:val="231F20"/>
          <w:w w:val="105"/>
        </w:rPr>
        <w:t>education</w:t>
      </w:r>
      <w:r w:rsidRPr="00E840CE">
        <w:rPr>
          <w:rFonts w:cstheme="minorHAnsi"/>
          <w:color w:val="231F20"/>
          <w:w w:val="105"/>
        </w:rPr>
        <w:t xml:space="preserve"> </w:t>
      </w:r>
      <w:r w:rsidRPr="00C84023">
        <w:rPr>
          <w:rFonts w:cstheme="minorHAnsi"/>
          <w:color w:val="231F20"/>
          <w:w w:val="105"/>
        </w:rPr>
        <w:t>and</w:t>
      </w:r>
      <w:r w:rsidRPr="00E840CE">
        <w:rPr>
          <w:rFonts w:cstheme="minorHAnsi"/>
          <w:color w:val="231F20"/>
          <w:w w:val="105"/>
        </w:rPr>
        <w:t xml:space="preserve"> </w:t>
      </w:r>
      <w:r w:rsidRPr="00C84023">
        <w:rPr>
          <w:rFonts w:cstheme="minorHAnsi"/>
          <w:color w:val="231F20"/>
          <w:w w:val="105"/>
        </w:rPr>
        <w:t>training</w:t>
      </w:r>
      <w:r w:rsidRPr="00E840CE">
        <w:rPr>
          <w:rFonts w:cstheme="minorHAnsi"/>
          <w:color w:val="231F20"/>
          <w:w w:val="105"/>
        </w:rPr>
        <w:t xml:space="preserve"> </w:t>
      </w:r>
      <w:r w:rsidRPr="00C84023">
        <w:rPr>
          <w:rFonts w:cstheme="minorHAnsi"/>
          <w:color w:val="231F20"/>
          <w:w w:val="105"/>
        </w:rPr>
        <w:t>programs</w:t>
      </w:r>
      <w:r w:rsidRPr="00E840CE">
        <w:rPr>
          <w:rFonts w:cstheme="minorHAnsi"/>
          <w:color w:val="231F20"/>
          <w:w w:val="105"/>
        </w:rPr>
        <w:t xml:space="preserve"> </w:t>
      </w:r>
      <w:r w:rsidRPr="00C84023">
        <w:rPr>
          <w:rFonts w:cstheme="minorHAnsi"/>
          <w:color w:val="231F20"/>
          <w:w w:val="105"/>
        </w:rPr>
        <w:t>through</w:t>
      </w:r>
      <w:r w:rsidRPr="00E840CE">
        <w:rPr>
          <w:rFonts w:cstheme="minorHAnsi"/>
          <w:color w:val="231F20"/>
          <w:w w:val="105"/>
        </w:rPr>
        <w:t xml:space="preserve"> </w:t>
      </w:r>
      <w:r w:rsidRPr="00C84023">
        <w:rPr>
          <w:rFonts w:cstheme="minorHAnsi"/>
          <w:color w:val="231F20"/>
          <w:w w:val="105"/>
        </w:rPr>
        <w:t>FICAPS.</w:t>
      </w:r>
      <w:r w:rsidRPr="00E840CE">
        <w:rPr>
          <w:rFonts w:cstheme="minorHAnsi"/>
          <w:color w:val="231F20"/>
          <w:w w:val="105"/>
        </w:rPr>
        <w:t xml:space="preserve"> </w:t>
      </w:r>
      <w:r w:rsidRPr="00C84023">
        <w:rPr>
          <w:rFonts w:cstheme="minorHAnsi"/>
          <w:color w:val="231F20"/>
          <w:w w:val="105"/>
        </w:rPr>
        <w:t>The</w:t>
      </w:r>
      <w:r w:rsidRPr="00E840CE">
        <w:rPr>
          <w:rFonts w:cstheme="minorHAnsi"/>
          <w:color w:val="231F20"/>
          <w:w w:val="105"/>
        </w:rPr>
        <w:t xml:space="preserve"> </w:t>
      </w:r>
      <w:r w:rsidRPr="00C84023">
        <w:rPr>
          <w:rFonts w:cstheme="minorHAnsi"/>
          <w:color w:val="231F20"/>
          <w:w w:val="105"/>
        </w:rPr>
        <w:t>second</w:t>
      </w:r>
      <w:r w:rsidRPr="00E840CE">
        <w:rPr>
          <w:rFonts w:cstheme="minorHAnsi"/>
          <w:color w:val="231F20"/>
          <w:w w:val="105"/>
        </w:rPr>
        <w:t xml:space="preserve"> </w:t>
      </w:r>
      <w:r w:rsidRPr="00C84023">
        <w:rPr>
          <w:rFonts w:cstheme="minorHAnsi"/>
          <w:color w:val="231F20"/>
          <w:w w:val="105"/>
        </w:rPr>
        <w:t>phase</w:t>
      </w:r>
      <w:r w:rsidRPr="00E840CE">
        <w:rPr>
          <w:rFonts w:cstheme="minorHAnsi"/>
          <w:color w:val="231F20"/>
          <w:w w:val="105"/>
        </w:rPr>
        <w:t xml:space="preserve"> </w:t>
      </w:r>
      <w:r w:rsidRPr="00C84023">
        <w:rPr>
          <w:rFonts w:cstheme="minorHAnsi"/>
          <w:color w:val="231F20"/>
          <w:w w:val="105"/>
        </w:rPr>
        <w:t>includes</w:t>
      </w:r>
      <w:r w:rsidRPr="00E840CE">
        <w:rPr>
          <w:rFonts w:cstheme="minorHAnsi"/>
          <w:color w:val="231F20"/>
          <w:w w:val="105"/>
        </w:rPr>
        <w:t xml:space="preserve"> </w:t>
      </w:r>
      <w:r w:rsidRPr="00C84023">
        <w:rPr>
          <w:rFonts w:cstheme="minorHAnsi"/>
          <w:color w:val="231F20"/>
          <w:w w:val="105"/>
        </w:rPr>
        <w:t>enrolling</w:t>
      </w:r>
      <w:r w:rsidRPr="00E840CE">
        <w:rPr>
          <w:rFonts w:cstheme="minorHAnsi"/>
          <w:color w:val="231F20"/>
          <w:w w:val="105"/>
        </w:rPr>
        <w:t xml:space="preserve"> </w:t>
      </w:r>
      <w:r w:rsidRPr="00C84023">
        <w:rPr>
          <w:rFonts w:cstheme="minorHAnsi"/>
          <w:color w:val="231F20"/>
          <w:w w:val="105"/>
        </w:rPr>
        <w:t>students</w:t>
      </w:r>
      <w:r w:rsidRPr="00E840CE">
        <w:rPr>
          <w:rFonts w:cstheme="minorHAnsi"/>
          <w:color w:val="231F20"/>
          <w:w w:val="105"/>
        </w:rPr>
        <w:t xml:space="preserve"> </w:t>
      </w:r>
      <w:r w:rsidRPr="00C84023">
        <w:rPr>
          <w:rFonts w:cstheme="minorHAnsi"/>
          <w:color w:val="231F20"/>
          <w:w w:val="105"/>
        </w:rPr>
        <w:t>simultaneously</w:t>
      </w:r>
      <w:r w:rsidRPr="00E840CE">
        <w:rPr>
          <w:rFonts w:cstheme="minorHAnsi"/>
          <w:color w:val="231F20"/>
          <w:w w:val="105"/>
        </w:rPr>
        <w:t xml:space="preserve"> </w:t>
      </w:r>
      <w:r w:rsidRPr="00C84023">
        <w:rPr>
          <w:rFonts w:cstheme="minorHAnsi"/>
          <w:color w:val="231F20"/>
          <w:w w:val="105"/>
        </w:rPr>
        <w:t>in</w:t>
      </w:r>
      <w:r w:rsidRPr="00E840CE">
        <w:rPr>
          <w:rFonts w:cstheme="minorHAnsi"/>
          <w:color w:val="231F20"/>
          <w:w w:val="105"/>
        </w:rPr>
        <w:t xml:space="preserve"> </w:t>
      </w:r>
      <w:r w:rsidRPr="00C84023">
        <w:rPr>
          <w:rFonts w:cstheme="minorHAnsi"/>
          <w:color w:val="231F20"/>
          <w:w w:val="105"/>
        </w:rPr>
        <w:t>an</w:t>
      </w:r>
      <w:r w:rsidRPr="00E840CE">
        <w:rPr>
          <w:rFonts w:cstheme="minorHAnsi"/>
          <w:color w:val="231F20"/>
          <w:w w:val="105"/>
        </w:rPr>
        <w:t xml:space="preserve"> </w:t>
      </w:r>
      <w:r w:rsidRPr="00C84023">
        <w:rPr>
          <w:rFonts w:cstheme="minorHAnsi"/>
          <w:color w:val="231F20"/>
          <w:w w:val="105"/>
        </w:rPr>
        <w:t>ESOL</w:t>
      </w:r>
      <w:r w:rsidRPr="00E840CE">
        <w:rPr>
          <w:rFonts w:cstheme="minorHAnsi"/>
          <w:color w:val="231F20"/>
          <w:w w:val="105"/>
        </w:rPr>
        <w:t xml:space="preserve"> </w:t>
      </w:r>
      <w:r w:rsidRPr="00C84023">
        <w:rPr>
          <w:rFonts w:cstheme="minorHAnsi"/>
          <w:color w:val="231F20"/>
          <w:w w:val="105"/>
        </w:rPr>
        <w:t>or</w:t>
      </w:r>
      <w:r w:rsidRPr="00E840CE">
        <w:rPr>
          <w:rFonts w:cstheme="minorHAnsi"/>
          <w:color w:val="231F20"/>
          <w:w w:val="105"/>
        </w:rPr>
        <w:t xml:space="preserve"> ELCATE </w:t>
      </w:r>
      <w:r w:rsidRPr="00C84023">
        <w:rPr>
          <w:rFonts w:cstheme="minorHAnsi"/>
          <w:color w:val="231F20"/>
          <w:w w:val="105"/>
        </w:rPr>
        <w:t>courses</w:t>
      </w:r>
      <w:r w:rsidRPr="00E840CE">
        <w:rPr>
          <w:rFonts w:cstheme="minorHAnsi"/>
          <w:color w:val="231F20"/>
          <w:w w:val="105"/>
        </w:rPr>
        <w:t xml:space="preserve"> </w:t>
      </w:r>
      <w:r w:rsidRPr="00C84023">
        <w:rPr>
          <w:rFonts w:cstheme="minorHAnsi"/>
          <w:color w:val="231F20"/>
          <w:w w:val="105"/>
        </w:rPr>
        <w:t>and</w:t>
      </w:r>
      <w:r w:rsidRPr="00E840CE">
        <w:rPr>
          <w:rFonts w:cstheme="minorHAnsi"/>
          <w:color w:val="231F20"/>
          <w:w w:val="105"/>
        </w:rPr>
        <w:t xml:space="preserve"> </w:t>
      </w:r>
      <w:r w:rsidRPr="00C84023">
        <w:rPr>
          <w:rFonts w:cstheme="minorHAnsi"/>
          <w:color w:val="231F20"/>
          <w:w w:val="105"/>
        </w:rPr>
        <w:t>a</w:t>
      </w:r>
      <w:r w:rsidRPr="00E840CE">
        <w:rPr>
          <w:rFonts w:cstheme="minorHAnsi"/>
          <w:color w:val="231F20"/>
          <w:w w:val="105"/>
        </w:rPr>
        <w:t xml:space="preserve"> </w:t>
      </w:r>
      <w:r w:rsidRPr="00C84023">
        <w:rPr>
          <w:rFonts w:cstheme="minorHAnsi"/>
          <w:color w:val="231F20"/>
          <w:w w:val="105"/>
        </w:rPr>
        <w:t>career</w:t>
      </w:r>
      <w:r w:rsidRPr="00E840CE">
        <w:rPr>
          <w:rFonts w:cstheme="minorHAnsi"/>
          <w:color w:val="231F20"/>
          <w:w w:val="105"/>
        </w:rPr>
        <w:t xml:space="preserve"> </w:t>
      </w:r>
      <w:r w:rsidRPr="00C84023">
        <w:rPr>
          <w:rFonts w:cstheme="minorHAnsi"/>
          <w:color w:val="231F20"/>
          <w:w w:val="105"/>
        </w:rPr>
        <w:t>and</w:t>
      </w:r>
      <w:r w:rsidRPr="00E840CE">
        <w:rPr>
          <w:rFonts w:cstheme="minorHAnsi"/>
          <w:color w:val="231F20"/>
          <w:w w:val="105"/>
        </w:rPr>
        <w:t xml:space="preserve"> </w:t>
      </w:r>
      <w:r w:rsidRPr="00C84023">
        <w:rPr>
          <w:rFonts w:cstheme="minorHAnsi"/>
          <w:color w:val="231F20"/>
          <w:w w:val="105"/>
        </w:rPr>
        <w:t>technical</w:t>
      </w:r>
      <w:r w:rsidRPr="00E840CE">
        <w:rPr>
          <w:rFonts w:cstheme="minorHAnsi"/>
          <w:color w:val="231F20"/>
          <w:w w:val="105"/>
        </w:rPr>
        <w:t xml:space="preserve"> </w:t>
      </w:r>
      <w:r w:rsidRPr="00C84023">
        <w:rPr>
          <w:rFonts w:cstheme="minorHAnsi"/>
          <w:color w:val="231F20"/>
          <w:w w:val="105"/>
        </w:rPr>
        <w:t>certificate</w:t>
      </w:r>
      <w:r w:rsidRPr="00E840CE">
        <w:rPr>
          <w:rFonts w:cstheme="minorHAnsi"/>
          <w:color w:val="231F20"/>
          <w:w w:val="105"/>
        </w:rPr>
        <w:t xml:space="preserve"> </w:t>
      </w:r>
      <w:r w:rsidRPr="00C84023">
        <w:rPr>
          <w:rFonts w:cstheme="minorHAnsi"/>
          <w:color w:val="231F20"/>
          <w:w w:val="105"/>
        </w:rPr>
        <w:t>program.</w:t>
      </w:r>
      <w:r w:rsidRPr="00E840CE">
        <w:rPr>
          <w:rFonts w:cstheme="minorHAnsi"/>
          <w:color w:val="231F20"/>
          <w:w w:val="105"/>
        </w:rPr>
        <w:t xml:space="preserve"> </w:t>
      </w:r>
      <w:r w:rsidRPr="00C84023">
        <w:rPr>
          <w:rFonts w:cstheme="minorHAnsi"/>
          <w:color w:val="231F20"/>
          <w:w w:val="105"/>
        </w:rPr>
        <w:t>Florida</w:t>
      </w:r>
      <w:r w:rsidRPr="00E840CE">
        <w:rPr>
          <w:rFonts w:cstheme="minorHAnsi"/>
          <w:color w:val="231F20"/>
          <w:w w:val="105"/>
        </w:rPr>
        <w:t xml:space="preserve"> </w:t>
      </w:r>
      <w:r w:rsidRPr="00C84023">
        <w:rPr>
          <w:rFonts w:cstheme="minorHAnsi"/>
          <w:color w:val="231F20"/>
          <w:w w:val="105"/>
        </w:rPr>
        <w:t>was</w:t>
      </w:r>
      <w:r w:rsidRPr="00E840CE">
        <w:rPr>
          <w:rFonts w:cstheme="minorHAnsi"/>
          <w:color w:val="231F20"/>
          <w:w w:val="105"/>
        </w:rPr>
        <w:t xml:space="preserve"> </w:t>
      </w:r>
      <w:r w:rsidRPr="00C84023">
        <w:rPr>
          <w:rFonts w:cstheme="minorHAnsi"/>
          <w:color w:val="231F20"/>
          <w:w w:val="105"/>
        </w:rPr>
        <w:t>selected</w:t>
      </w:r>
      <w:r w:rsidRPr="00E840CE">
        <w:rPr>
          <w:rFonts w:cstheme="minorHAnsi"/>
          <w:color w:val="231F20"/>
          <w:w w:val="105"/>
        </w:rPr>
        <w:t xml:space="preserve"> </w:t>
      </w:r>
      <w:r w:rsidRPr="00C84023">
        <w:rPr>
          <w:rFonts w:cstheme="minorHAnsi"/>
          <w:color w:val="231F20"/>
          <w:w w:val="105"/>
        </w:rPr>
        <w:t>to</w:t>
      </w:r>
      <w:r w:rsidRPr="00E840CE">
        <w:rPr>
          <w:rFonts w:cstheme="minorHAnsi"/>
          <w:color w:val="231F20"/>
          <w:w w:val="105"/>
        </w:rPr>
        <w:t xml:space="preserve"> </w:t>
      </w:r>
      <w:r w:rsidRPr="00C84023">
        <w:rPr>
          <w:rFonts w:cstheme="minorHAnsi"/>
          <w:color w:val="231F20"/>
          <w:w w:val="105"/>
        </w:rPr>
        <w:t>participate</w:t>
      </w:r>
      <w:r w:rsidRPr="00E840CE">
        <w:rPr>
          <w:rFonts w:cstheme="minorHAnsi"/>
          <w:color w:val="231F20"/>
          <w:w w:val="105"/>
        </w:rPr>
        <w:t xml:space="preserve"> </w:t>
      </w:r>
      <w:r w:rsidRPr="00C84023">
        <w:rPr>
          <w:rFonts w:cstheme="minorHAnsi"/>
          <w:color w:val="231F20"/>
          <w:w w:val="105"/>
        </w:rPr>
        <w:t>in</w:t>
      </w:r>
      <w:r w:rsidRPr="00E840CE">
        <w:rPr>
          <w:rFonts w:cstheme="minorHAnsi"/>
          <w:color w:val="231F20"/>
          <w:w w:val="105"/>
        </w:rPr>
        <w:t xml:space="preserve"> </w:t>
      </w:r>
      <w:r w:rsidRPr="00C84023">
        <w:rPr>
          <w:rFonts w:cstheme="minorHAnsi"/>
          <w:color w:val="231F20"/>
          <w:w w:val="105"/>
        </w:rPr>
        <w:t>the</w:t>
      </w:r>
      <w:r w:rsidRPr="00E840CE">
        <w:rPr>
          <w:rFonts w:cstheme="minorHAnsi"/>
          <w:color w:val="231F20"/>
          <w:w w:val="105"/>
        </w:rPr>
        <w:t xml:space="preserve"> </w:t>
      </w:r>
      <w:r w:rsidRPr="00C84023">
        <w:rPr>
          <w:rFonts w:cstheme="minorHAnsi"/>
          <w:color w:val="231F20"/>
          <w:w w:val="105"/>
        </w:rPr>
        <w:t>Literacy</w:t>
      </w:r>
      <w:r w:rsidRPr="00E840CE">
        <w:rPr>
          <w:rFonts w:cstheme="minorHAnsi"/>
          <w:color w:val="231F20"/>
          <w:w w:val="105"/>
        </w:rPr>
        <w:t xml:space="preserve"> </w:t>
      </w:r>
      <w:r w:rsidRPr="00C84023">
        <w:rPr>
          <w:rFonts w:cstheme="minorHAnsi"/>
          <w:color w:val="231F20"/>
          <w:w w:val="105"/>
        </w:rPr>
        <w:t>Information</w:t>
      </w:r>
      <w:r w:rsidRPr="00E840CE">
        <w:rPr>
          <w:rFonts w:cstheme="minorHAnsi"/>
          <w:color w:val="231F20"/>
          <w:w w:val="105"/>
        </w:rPr>
        <w:t xml:space="preserve"> </w:t>
      </w:r>
      <w:r w:rsidRPr="00C84023">
        <w:rPr>
          <w:rFonts w:cstheme="minorHAnsi"/>
          <w:color w:val="231F20"/>
          <w:w w:val="105"/>
        </w:rPr>
        <w:t>and</w:t>
      </w:r>
      <w:r w:rsidRPr="00E840CE">
        <w:rPr>
          <w:rFonts w:cstheme="minorHAnsi"/>
          <w:color w:val="231F20"/>
          <w:w w:val="105"/>
        </w:rPr>
        <w:t xml:space="preserve"> </w:t>
      </w:r>
      <w:r w:rsidRPr="00C84023">
        <w:rPr>
          <w:rFonts w:cstheme="minorHAnsi"/>
          <w:color w:val="231F20"/>
          <w:w w:val="105"/>
        </w:rPr>
        <w:t>Communication</w:t>
      </w:r>
      <w:r w:rsidRPr="00E840CE">
        <w:rPr>
          <w:rFonts w:cstheme="minorHAnsi"/>
          <w:color w:val="231F20"/>
          <w:w w:val="105"/>
        </w:rPr>
        <w:t xml:space="preserve"> </w:t>
      </w:r>
      <w:r w:rsidRPr="00C84023">
        <w:rPr>
          <w:rFonts w:cstheme="minorHAnsi"/>
          <w:color w:val="231F20"/>
          <w:w w:val="105"/>
        </w:rPr>
        <w:t>System</w:t>
      </w:r>
      <w:r w:rsidRPr="00E840CE">
        <w:rPr>
          <w:rFonts w:cstheme="minorHAnsi"/>
          <w:color w:val="231F20"/>
          <w:w w:val="105"/>
        </w:rPr>
        <w:t xml:space="preserve"> </w:t>
      </w:r>
      <w:r w:rsidRPr="00C84023">
        <w:rPr>
          <w:rFonts w:cstheme="minorHAnsi"/>
          <w:color w:val="231F20"/>
          <w:w w:val="105"/>
        </w:rPr>
        <w:t>(LINCS)</w:t>
      </w:r>
      <w:r w:rsidRPr="00E840CE">
        <w:rPr>
          <w:rFonts w:cstheme="minorHAnsi"/>
          <w:color w:val="231F20"/>
          <w:w w:val="105"/>
        </w:rPr>
        <w:t xml:space="preserve"> </w:t>
      </w:r>
      <w:r w:rsidRPr="00C84023">
        <w:rPr>
          <w:rFonts w:cstheme="minorHAnsi"/>
          <w:color w:val="231F20"/>
          <w:w w:val="105"/>
        </w:rPr>
        <w:t>ESOL</w:t>
      </w:r>
      <w:r w:rsidRPr="00E840CE">
        <w:rPr>
          <w:rFonts w:cstheme="minorHAnsi"/>
          <w:color w:val="231F20"/>
          <w:w w:val="105"/>
        </w:rPr>
        <w:t xml:space="preserve"> </w:t>
      </w:r>
      <w:r w:rsidRPr="00C84023">
        <w:rPr>
          <w:rFonts w:cstheme="minorHAnsi"/>
          <w:color w:val="231F20"/>
          <w:w w:val="105"/>
        </w:rPr>
        <w:t>Pro</w:t>
      </w:r>
      <w:r w:rsidRPr="00E840CE">
        <w:rPr>
          <w:rFonts w:cstheme="minorHAnsi"/>
          <w:color w:val="231F20"/>
          <w:w w:val="105"/>
        </w:rPr>
        <w:t xml:space="preserve"> </w:t>
      </w:r>
      <w:r w:rsidRPr="00C84023">
        <w:rPr>
          <w:rFonts w:cstheme="minorHAnsi"/>
          <w:color w:val="231F20"/>
          <w:w w:val="105"/>
        </w:rPr>
        <w:t>Project,</w:t>
      </w:r>
      <w:r w:rsidRPr="00E840CE">
        <w:rPr>
          <w:rFonts w:cstheme="minorHAnsi"/>
          <w:color w:val="231F20"/>
          <w:w w:val="105"/>
        </w:rPr>
        <w:t xml:space="preserve"> </w:t>
      </w:r>
      <w:r w:rsidRPr="00C84023">
        <w:rPr>
          <w:rFonts w:cstheme="minorHAnsi"/>
          <w:color w:val="231F20"/>
          <w:w w:val="105"/>
        </w:rPr>
        <w:t>sponsored</w:t>
      </w:r>
      <w:r w:rsidRPr="00E840CE">
        <w:rPr>
          <w:rFonts w:cstheme="minorHAnsi"/>
          <w:color w:val="231F20"/>
          <w:w w:val="105"/>
        </w:rPr>
        <w:t xml:space="preserve"> </w:t>
      </w:r>
      <w:r w:rsidRPr="00C84023">
        <w:rPr>
          <w:rFonts w:cstheme="minorHAnsi"/>
          <w:color w:val="231F20"/>
          <w:w w:val="105"/>
        </w:rPr>
        <w:t>by</w:t>
      </w:r>
      <w:r w:rsidRPr="00E840CE">
        <w:rPr>
          <w:rFonts w:cstheme="minorHAnsi"/>
          <w:color w:val="231F20"/>
          <w:w w:val="105"/>
        </w:rPr>
        <w:t xml:space="preserve"> </w:t>
      </w:r>
      <w:r w:rsidRPr="00C84023">
        <w:rPr>
          <w:rFonts w:cstheme="minorHAnsi"/>
          <w:color w:val="231F20"/>
          <w:w w:val="105"/>
        </w:rPr>
        <w:t>the</w:t>
      </w:r>
      <w:r w:rsidRPr="00E840CE">
        <w:rPr>
          <w:rFonts w:cstheme="minorHAnsi"/>
          <w:color w:val="231F20"/>
          <w:w w:val="105"/>
        </w:rPr>
        <w:t xml:space="preserve"> </w:t>
      </w:r>
      <w:r w:rsidRPr="00C84023">
        <w:rPr>
          <w:rFonts w:cstheme="minorHAnsi"/>
          <w:color w:val="231F20"/>
          <w:w w:val="105"/>
        </w:rPr>
        <w:t>United</w:t>
      </w:r>
      <w:r w:rsidRPr="00E840CE">
        <w:rPr>
          <w:rFonts w:cstheme="minorHAnsi"/>
          <w:color w:val="231F20"/>
          <w:w w:val="105"/>
        </w:rPr>
        <w:t xml:space="preserve"> </w:t>
      </w:r>
      <w:r w:rsidRPr="00C84023">
        <w:rPr>
          <w:rFonts w:cstheme="minorHAnsi"/>
          <w:color w:val="231F20"/>
          <w:w w:val="105"/>
        </w:rPr>
        <w:t>States</w:t>
      </w:r>
      <w:r w:rsidRPr="00E840CE">
        <w:rPr>
          <w:rFonts w:cstheme="minorHAnsi"/>
          <w:color w:val="231F20"/>
          <w:w w:val="105"/>
        </w:rPr>
        <w:t xml:space="preserve"> </w:t>
      </w:r>
      <w:r w:rsidRPr="00C84023">
        <w:rPr>
          <w:rFonts w:cstheme="minorHAnsi"/>
          <w:color w:val="231F20"/>
          <w:w w:val="105"/>
        </w:rPr>
        <w:t>Department</w:t>
      </w:r>
      <w:r w:rsidRPr="00E840CE">
        <w:rPr>
          <w:rFonts w:cstheme="minorHAnsi"/>
          <w:color w:val="231F20"/>
          <w:w w:val="105"/>
        </w:rPr>
        <w:t xml:space="preserve"> </w:t>
      </w:r>
      <w:r w:rsidRPr="00C84023">
        <w:rPr>
          <w:rFonts w:cstheme="minorHAnsi"/>
          <w:color w:val="231F20"/>
          <w:w w:val="105"/>
        </w:rPr>
        <w:t>of</w:t>
      </w:r>
      <w:r w:rsidRPr="00E840CE">
        <w:rPr>
          <w:rFonts w:cstheme="minorHAnsi"/>
          <w:color w:val="231F20"/>
          <w:w w:val="105"/>
        </w:rPr>
        <w:t xml:space="preserve"> </w:t>
      </w:r>
      <w:r w:rsidRPr="00C84023">
        <w:rPr>
          <w:rFonts w:cstheme="minorHAnsi"/>
          <w:color w:val="231F20"/>
          <w:w w:val="105"/>
        </w:rPr>
        <w:t>Education,</w:t>
      </w:r>
      <w:r w:rsidRPr="00E840CE">
        <w:rPr>
          <w:rFonts w:cstheme="minorHAnsi"/>
          <w:color w:val="231F20"/>
          <w:w w:val="105"/>
        </w:rPr>
        <w:t xml:space="preserve"> </w:t>
      </w:r>
      <w:r w:rsidRPr="00C84023">
        <w:rPr>
          <w:rFonts w:cstheme="minorHAnsi"/>
          <w:color w:val="231F20"/>
          <w:w w:val="105"/>
        </w:rPr>
        <w:t>Office</w:t>
      </w:r>
      <w:r w:rsidRPr="00E840CE">
        <w:rPr>
          <w:rFonts w:cstheme="minorHAnsi"/>
          <w:color w:val="231F20"/>
          <w:w w:val="105"/>
        </w:rPr>
        <w:t xml:space="preserve"> </w:t>
      </w:r>
      <w:r w:rsidRPr="00C84023">
        <w:rPr>
          <w:rFonts w:cstheme="minorHAnsi"/>
          <w:color w:val="231F20"/>
          <w:w w:val="105"/>
        </w:rPr>
        <w:t>of</w:t>
      </w:r>
      <w:r w:rsidRPr="00E840CE">
        <w:rPr>
          <w:rFonts w:cstheme="minorHAnsi"/>
          <w:color w:val="231F20"/>
          <w:w w:val="105"/>
        </w:rPr>
        <w:t xml:space="preserve"> Career,</w:t>
      </w:r>
      <w:r w:rsidR="00691C52" w:rsidRPr="00E840CE">
        <w:rPr>
          <w:rFonts w:cstheme="minorHAnsi"/>
          <w:color w:val="231F20"/>
          <w:w w:val="105"/>
        </w:rPr>
        <w:t xml:space="preserve"> </w:t>
      </w:r>
      <w:r w:rsidRPr="00E840CE">
        <w:rPr>
          <w:rFonts w:cstheme="minorHAnsi"/>
          <w:color w:val="231F20"/>
          <w:w w:val="105"/>
        </w:rPr>
        <w:t>Technical</w:t>
      </w:r>
      <w:r w:rsidR="00D5537E">
        <w:rPr>
          <w:rFonts w:cstheme="minorHAnsi"/>
          <w:color w:val="231F20"/>
          <w:w w:val="105"/>
        </w:rPr>
        <w:t xml:space="preserve"> and</w:t>
      </w:r>
      <w:r w:rsidRPr="00C84023">
        <w:rPr>
          <w:rFonts w:cstheme="minorHAnsi"/>
          <w:color w:val="231F20"/>
          <w:w w:val="105"/>
        </w:rPr>
        <w:t xml:space="preserve"> Adult Education to train teachers in delivering contextualized</w:t>
      </w:r>
      <w:r w:rsidRPr="00E840CE">
        <w:rPr>
          <w:rFonts w:cstheme="minorHAnsi"/>
          <w:color w:val="231F20"/>
          <w:w w:val="105"/>
        </w:rPr>
        <w:t xml:space="preserve"> </w:t>
      </w:r>
      <w:r w:rsidRPr="00C84023">
        <w:rPr>
          <w:rFonts w:cstheme="minorHAnsi"/>
          <w:color w:val="231F20"/>
          <w:w w:val="105"/>
        </w:rPr>
        <w:t>career-focused</w:t>
      </w:r>
      <w:r w:rsidRPr="00E840CE">
        <w:rPr>
          <w:rFonts w:cstheme="minorHAnsi"/>
          <w:color w:val="231F20"/>
          <w:w w:val="105"/>
        </w:rPr>
        <w:t xml:space="preserve"> </w:t>
      </w:r>
      <w:r w:rsidRPr="00C84023">
        <w:rPr>
          <w:rFonts w:cstheme="minorHAnsi"/>
          <w:color w:val="231F20"/>
          <w:w w:val="105"/>
        </w:rPr>
        <w:t>instruction.</w:t>
      </w:r>
      <w:r w:rsidRPr="00E840CE">
        <w:rPr>
          <w:rFonts w:cstheme="minorHAnsi"/>
          <w:color w:val="231F20"/>
          <w:w w:val="105"/>
        </w:rPr>
        <w:t xml:space="preserve"> </w:t>
      </w:r>
      <w:r w:rsidRPr="00C84023">
        <w:rPr>
          <w:rFonts w:cstheme="minorHAnsi"/>
          <w:color w:val="231F20"/>
          <w:w w:val="105"/>
        </w:rPr>
        <w:t>This</w:t>
      </w:r>
      <w:r w:rsidRPr="00E840CE">
        <w:rPr>
          <w:rFonts w:cstheme="minorHAnsi"/>
          <w:color w:val="231F20"/>
          <w:w w:val="105"/>
        </w:rPr>
        <w:t xml:space="preserve"> </w:t>
      </w:r>
      <w:r w:rsidRPr="00C84023">
        <w:rPr>
          <w:rFonts w:cstheme="minorHAnsi"/>
          <w:color w:val="231F20"/>
          <w:w w:val="105"/>
        </w:rPr>
        <w:t>project’s</w:t>
      </w:r>
      <w:r w:rsidRPr="00E840CE">
        <w:rPr>
          <w:rFonts w:cstheme="minorHAnsi"/>
          <w:color w:val="231F20"/>
          <w:w w:val="105"/>
        </w:rPr>
        <w:t xml:space="preserve"> </w:t>
      </w:r>
      <w:r w:rsidRPr="00C84023">
        <w:rPr>
          <w:rFonts w:cstheme="minorHAnsi"/>
          <w:color w:val="231F20"/>
          <w:w w:val="105"/>
        </w:rPr>
        <w:t>overall</w:t>
      </w:r>
      <w:r w:rsidRPr="00E840CE">
        <w:rPr>
          <w:rFonts w:cstheme="minorHAnsi"/>
          <w:color w:val="231F20"/>
          <w:w w:val="105"/>
        </w:rPr>
        <w:t xml:space="preserve"> </w:t>
      </w:r>
      <w:r w:rsidRPr="00C84023">
        <w:rPr>
          <w:rFonts w:cstheme="minorHAnsi"/>
          <w:color w:val="231F20"/>
          <w:w w:val="105"/>
        </w:rPr>
        <w:t>purpose</w:t>
      </w:r>
      <w:r w:rsidRPr="00E840CE">
        <w:rPr>
          <w:rFonts w:cstheme="minorHAnsi"/>
          <w:color w:val="231F20"/>
          <w:w w:val="105"/>
        </w:rPr>
        <w:t xml:space="preserve"> </w:t>
      </w:r>
      <w:r w:rsidRPr="00C84023">
        <w:rPr>
          <w:rFonts w:cstheme="minorHAnsi"/>
          <w:color w:val="231F20"/>
          <w:w w:val="105"/>
        </w:rPr>
        <w:t>is</w:t>
      </w:r>
      <w:r w:rsidRPr="00E840CE">
        <w:rPr>
          <w:rFonts w:cstheme="minorHAnsi"/>
          <w:color w:val="231F20"/>
          <w:w w:val="105"/>
        </w:rPr>
        <w:t xml:space="preserve"> </w:t>
      </w:r>
      <w:r w:rsidRPr="00C84023">
        <w:rPr>
          <w:rFonts w:cstheme="minorHAnsi"/>
          <w:color w:val="231F20"/>
          <w:w w:val="105"/>
        </w:rPr>
        <w:t>to</w:t>
      </w:r>
      <w:r w:rsidRPr="00E840CE">
        <w:rPr>
          <w:rFonts w:cstheme="minorHAnsi"/>
          <w:color w:val="231F20"/>
          <w:w w:val="105"/>
        </w:rPr>
        <w:t xml:space="preserve"> </w:t>
      </w:r>
      <w:r w:rsidRPr="00C84023">
        <w:rPr>
          <w:rFonts w:cstheme="minorHAnsi"/>
          <w:color w:val="231F20"/>
          <w:w w:val="105"/>
        </w:rPr>
        <w:t>provide</w:t>
      </w:r>
      <w:r w:rsidRPr="00E840CE">
        <w:rPr>
          <w:rFonts w:cstheme="minorHAnsi"/>
          <w:color w:val="231F20"/>
          <w:w w:val="105"/>
        </w:rPr>
        <w:t xml:space="preserve"> </w:t>
      </w:r>
      <w:r w:rsidRPr="00C84023">
        <w:rPr>
          <w:rFonts w:cstheme="minorHAnsi"/>
          <w:color w:val="231F20"/>
          <w:w w:val="105"/>
        </w:rPr>
        <w:t>training,</w:t>
      </w:r>
      <w:r w:rsidRPr="00E840CE">
        <w:rPr>
          <w:rFonts w:cstheme="minorHAnsi"/>
          <w:color w:val="231F20"/>
          <w:w w:val="105"/>
        </w:rPr>
        <w:t xml:space="preserve"> </w:t>
      </w:r>
      <w:r w:rsidRPr="00C84023">
        <w:rPr>
          <w:rFonts w:cstheme="minorHAnsi"/>
          <w:color w:val="231F20"/>
          <w:w w:val="105"/>
        </w:rPr>
        <w:t>technical</w:t>
      </w:r>
      <w:r w:rsidRPr="00E840CE">
        <w:rPr>
          <w:rFonts w:cstheme="minorHAnsi"/>
          <w:color w:val="231F20"/>
          <w:w w:val="105"/>
        </w:rPr>
        <w:t xml:space="preserve"> </w:t>
      </w:r>
      <w:r w:rsidRPr="00C84023">
        <w:rPr>
          <w:rFonts w:cstheme="minorHAnsi"/>
          <w:color w:val="231F20"/>
          <w:w w:val="105"/>
        </w:rPr>
        <w:t>assistance</w:t>
      </w:r>
      <w:r w:rsidRPr="00E840CE">
        <w:rPr>
          <w:rFonts w:cstheme="minorHAnsi"/>
          <w:color w:val="231F20"/>
          <w:w w:val="105"/>
        </w:rPr>
        <w:t xml:space="preserve"> </w:t>
      </w:r>
      <w:r w:rsidRPr="00C84023">
        <w:rPr>
          <w:rFonts w:cstheme="minorHAnsi"/>
          <w:color w:val="231F20"/>
          <w:w w:val="105"/>
        </w:rPr>
        <w:t>and</w:t>
      </w:r>
      <w:r w:rsidRPr="00E840CE">
        <w:rPr>
          <w:rFonts w:cstheme="minorHAnsi"/>
          <w:color w:val="231F20"/>
          <w:w w:val="105"/>
        </w:rPr>
        <w:t xml:space="preserve"> </w:t>
      </w:r>
      <w:r w:rsidRPr="00C84023">
        <w:rPr>
          <w:rFonts w:cstheme="minorHAnsi"/>
          <w:color w:val="231F20"/>
          <w:w w:val="105"/>
        </w:rPr>
        <w:t>resources</w:t>
      </w:r>
      <w:r w:rsidRPr="00E840CE">
        <w:rPr>
          <w:rFonts w:cstheme="minorHAnsi"/>
          <w:color w:val="231F20"/>
          <w:w w:val="105"/>
        </w:rPr>
        <w:t xml:space="preserve"> </w:t>
      </w:r>
      <w:r w:rsidRPr="00C84023">
        <w:rPr>
          <w:rFonts w:cstheme="minorHAnsi"/>
          <w:color w:val="231F20"/>
          <w:w w:val="105"/>
        </w:rPr>
        <w:t>for</w:t>
      </w:r>
      <w:r w:rsidRPr="00E840CE">
        <w:rPr>
          <w:rFonts w:cstheme="minorHAnsi"/>
          <w:color w:val="231F20"/>
          <w:w w:val="105"/>
        </w:rPr>
        <w:t xml:space="preserve"> </w:t>
      </w:r>
      <w:r w:rsidRPr="00C84023">
        <w:rPr>
          <w:rFonts w:cstheme="minorHAnsi"/>
          <w:color w:val="231F20"/>
          <w:w w:val="105"/>
        </w:rPr>
        <w:t>preparing</w:t>
      </w:r>
      <w:r w:rsidRPr="00E840CE">
        <w:rPr>
          <w:rFonts w:cstheme="minorHAnsi"/>
          <w:color w:val="231F20"/>
          <w:w w:val="105"/>
        </w:rPr>
        <w:t xml:space="preserve"> </w:t>
      </w:r>
      <w:r w:rsidRPr="00C84023">
        <w:rPr>
          <w:rFonts w:cstheme="minorHAnsi"/>
          <w:color w:val="231F20"/>
          <w:w w:val="105"/>
        </w:rPr>
        <w:t>English</w:t>
      </w:r>
      <w:r w:rsidRPr="00E840CE">
        <w:rPr>
          <w:rFonts w:cstheme="minorHAnsi"/>
          <w:color w:val="231F20"/>
          <w:w w:val="105"/>
        </w:rPr>
        <w:t xml:space="preserve"> </w:t>
      </w:r>
      <w:r w:rsidRPr="00C84023">
        <w:rPr>
          <w:rFonts w:cstheme="minorHAnsi"/>
          <w:color w:val="231F20"/>
          <w:w w:val="105"/>
        </w:rPr>
        <w:t>language</w:t>
      </w:r>
      <w:r w:rsidRPr="00E840CE">
        <w:rPr>
          <w:rFonts w:cstheme="minorHAnsi"/>
          <w:color w:val="231F20"/>
          <w:w w:val="105"/>
        </w:rPr>
        <w:t xml:space="preserve"> </w:t>
      </w:r>
      <w:r w:rsidRPr="00C84023">
        <w:rPr>
          <w:rFonts w:cstheme="minorHAnsi"/>
          <w:color w:val="231F20"/>
          <w:w w:val="105"/>
        </w:rPr>
        <w:t>learners</w:t>
      </w:r>
      <w:r w:rsidRPr="00E840CE">
        <w:rPr>
          <w:rFonts w:cstheme="minorHAnsi"/>
          <w:color w:val="231F20"/>
          <w:w w:val="105"/>
        </w:rPr>
        <w:t xml:space="preserve"> </w:t>
      </w:r>
      <w:r w:rsidRPr="00C84023">
        <w:rPr>
          <w:rFonts w:cstheme="minorHAnsi"/>
          <w:color w:val="231F20"/>
          <w:w w:val="105"/>
        </w:rPr>
        <w:t>for</w:t>
      </w:r>
      <w:r w:rsidRPr="00E840CE">
        <w:rPr>
          <w:rFonts w:cstheme="minorHAnsi"/>
          <w:color w:val="231F20"/>
          <w:w w:val="105"/>
        </w:rPr>
        <w:t xml:space="preserve"> </w:t>
      </w:r>
      <w:r w:rsidRPr="00C84023">
        <w:rPr>
          <w:rFonts w:cstheme="minorHAnsi"/>
          <w:color w:val="231F20"/>
          <w:w w:val="105"/>
        </w:rPr>
        <w:t>work</w:t>
      </w:r>
      <w:r w:rsidRPr="00E840CE">
        <w:rPr>
          <w:rFonts w:cstheme="minorHAnsi"/>
          <w:color w:val="231F20"/>
          <w:w w:val="105"/>
        </w:rPr>
        <w:t xml:space="preserve"> </w:t>
      </w:r>
      <w:r w:rsidRPr="00C84023">
        <w:rPr>
          <w:rFonts w:cstheme="minorHAnsi"/>
          <w:color w:val="231F20"/>
          <w:w w:val="105"/>
        </w:rPr>
        <w:t>and</w:t>
      </w:r>
      <w:r w:rsidRPr="00E840CE">
        <w:rPr>
          <w:rFonts w:cstheme="minorHAnsi"/>
          <w:color w:val="231F20"/>
          <w:w w:val="105"/>
        </w:rPr>
        <w:t xml:space="preserve"> </w:t>
      </w:r>
      <w:r w:rsidRPr="00C84023">
        <w:rPr>
          <w:rFonts w:cstheme="minorHAnsi"/>
          <w:color w:val="231F20"/>
          <w:w w:val="105"/>
        </w:rPr>
        <w:t>career</w:t>
      </w:r>
      <w:r w:rsidRPr="00E840CE">
        <w:rPr>
          <w:rFonts w:cstheme="minorHAnsi"/>
          <w:color w:val="231F20"/>
          <w:w w:val="105"/>
        </w:rPr>
        <w:t xml:space="preserve"> </w:t>
      </w:r>
      <w:r w:rsidRPr="00C84023">
        <w:rPr>
          <w:rFonts w:cstheme="minorHAnsi"/>
          <w:color w:val="231F20"/>
          <w:w w:val="105"/>
        </w:rPr>
        <w:t>pathways.</w:t>
      </w:r>
      <w:r w:rsidRPr="00E840CE">
        <w:rPr>
          <w:rFonts w:cstheme="minorHAnsi"/>
          <w:color w:val="231F20"/>
          <w:w w:val="105"/>
        </w:rPr>
        <w:t xml:space="preserve"> </w:t>
      </w:r>
      <w:r w:rsidRPr="00C84023">
        <w:rPr>
          <w:rFonts w:cstheme="minorHAnsi"/>
          <w:color w:val="231F20"/>
          <w:w w:val="105"/>
        </w:rPr>
        <w:t>Additional</w:t>
      </w:r>
      <w:r w:rsidRPr="00E840CE">
        <w:rPr>
          <w:rFonts w:cstheme="minorHAnsi"/>
          <w:color w:val="231F20"/>
          <w:w w:val="105"/>
        </w:rPr>
        <w:t xml:space="preserve"> </w:t>
      </w:r>
      <w:r w:rsidRPr="00C84023">
        <w:rPr>
          <w:rFonts w:cstheme="minorHAnsi"/>
          <w:color w:val="231F20"/>
          <w:w w:val="105"/>
        </w:rPr>
        <w:t>training</w:t>
      </w:r>
      <w:r w:rsidRPr="00E840CE">
        <w:rPr>
          <w:rFonts w:cstheme="minorHAnsi"/>
          <w:color w:val="231F20"/>
          <w:w w:val="105"/>
        </w:rPr>
        <w:t xml:space="preserve"> </w:t>
      </w:r>
      <w:r w:rsidRPr="00C84023">
        <w:rPr>
          <w:rFonts w:cstheme="minorHAnsi"/>
          <w:color w:val="231F20"/>
          <w:w w:val="105"/>
        </w:rPr>
        <w:t>to</w:t>
      </w:r>
      <w:r w:rsidR="00691C52">
        <w:rPr>
          <w:rFonts w:cstheme="minorHAnsi"/>
          <w:color w:val="231F20"/>
          <w:w w:val="105"/>
        </w:rPr>
        <w:t xml:space="preserve"> </w:t>
      </w:r>
      <w:r w:rsidRPr="00C84023">
        <w:rPr>
          <w:rFonts w:cstheme="minorHAnsi"/>
          <w:color w:val="231F20"/>
          <w:w w:val="105"/>
        </w:rPr>
        <w:t>support</w:t>
      </w:r>
      <w:r w:rsidRPr="00E840CE">
        <w:rPr>
          <w:rFonts w:cstheme="minorHAnsi"/>
          <w:color w:val="231F20"/>
          <w:w w:val="105"/>
        </w:rPr>
        <w:t xml:space="preserve"> </w:t>
      </w:r>
      <w:r w:rsidRPr="00C84023">
        <w:rPr>
          <w:rFonts w:cstheme="minorHAnsi"/>
          <w:color w:val="231F20"/>
          <w:w w:val="105"/>
        </w:rPr>
        <w:t>this</w:t>
      </w:r>
      <w:r w:rsidRPr="00E840CE">
        <w:rPr>
          <w:rFonts w:cstheme="minorHAnsi"/>
          <w:color w:val="231F20"/>
          <w:w w:val="105"/>
        </w:rPr>
        <w:t xml:space="preserve"> </w:t>
      </w:r>
      <w:r w:rsidRPr="00C84023">
        <w:rPr>
          <w:rFonts w:cstheme="minorHAnsi"/>
          <w:color w:val="231F20"/>
          <w:w w:val="105"/>
        </w:rPr>
        <w:t>effort</w:t>
      </w:r>
      <w:r w:rsidRPr="00E840CE">
        <w:rPr>
          <w:rFonts w:cstheme="minorHAnsi"/>
          <w:color w:val="231F20"/>
          <w:w w:val="105"/>
        </w:rPr>
        <w:t xml:space="preserve"> </w:t>
      </w:r>
      <w:r w:rsidRPr="00C84023">
        <w:rPr>
          <w:rFonts w:cstheme="minorHAnsi"/>
          <w:color w:val="231F20"/>
          <w:w w:val="105"/>
        </w:rPr>
        <w:t>is provided</w:t>
      </w:r>
      <w:r w:rsidRPr="00E840CE">
        <w:rPr>
          <w:rFonts w:cstheme="minorHAnsi"/>
          <w:color w:val="231F20"/>
          <w:w w:val="105"/>
        </w:rPr>
        <w:t xml:space="preserve"> </w:t>
      </w:r>
      <w:r w:rsidRPr="00C84023">
        <w:rPr>
          <w:rFonts w:cstheme="minorHAnsi"/>
          <w:color w:val="231F20"/>
          <w:w w:val="105"/>
        </w:rPr>
        <w:t>on</w:t>
      </w:r>
      <w:r w:rsidRPr="00E840CE">
        <w:rPr>
          <w:rFonts w:cstheme="minorHAnsi"/>
          <w:color w:val="231F20"/>
          <w:w w:val="105"/>
        </w:rPr>
        <w:t xml:space="preserve"> </w:t>
      </w:r>
      <w:r w:rsidRPr="00C84023">
        <w:rPr>
          <w:rFonts w:cstheme="minorHAnsi"/>
          <w:color w:val="231F20"/>
          <w:w w:val="105"/>
        </w:rPr>
        <w:t>developing</w:t>
      </w:r>
      <w:r w:rsidRPr="00E840CE">
        <w:rPr>
          <w:rFonts w:cstheme="minorHAnsi"/>
          <w:color w:val="231F20"/>
          <w:w w:val="105"/>
        </w:rPr>
        <w:t xml:space="preserve"> </w:t>
      </w:r>
      <w:r w:rsidRPr="00C84023">
        <w:rPr>
          <w:rFonts w:cstheme="minorHAnsi"/>
          <w:color w:val="231F20"/>
          <w:w w:val="105"/>
        </w:rPr>
        <w:t>contextualized</w:t>
      </w:r>
      <w:r w:rsidRPr="00E840CE">
        <w:rPr>
          <w:rFonts w:cstheme="minorHAnsi"/>
          <w:color w:val="231F20"/>
          <w:w w:val="105"/>
        </w:rPr>
        <w:t xml:space="preserve"> </w:t>
      </w:r>
      <w:r w:rsidRPr="00C84023">
        <w:rPr>
          <w:rFonts w:cstheme="minorHAnsi"/>
          <w:color w:val="231F20"/>
          <w:w w:val="105"/>
        </w:rPr>
        <w:t>instruction</w:t>
      </w:r>
      <w:r w:rsidRPr="00E840CE">
        <w:rPr>
          <w:rFonts w:cstheme="minorHAnsi"/>
          <w:color w:val="231F20"/>
          <w:w w:val="105"/>
        </w:rPr>
        <w:t xml:space="preserve"> </w:t>
      </w:r>
      <w:r w:rsidRPr="00C84023">
        <w:rPr>
          <w:rFonts w:cstheme="minorHAnsi"/>
          <w:color w:val="231F20"/>
          <w:w w:val="105"/>
        </w:rPr>
        <w:t>for</w:t>
      </w:r>
      <w:r w:rsidRPr="00E840CE">
        <w:rPr>
          <w:rFonts w:cstheme="minorHAnsi"/>
          <w:color w:val="231F20"/>
          <w:w w:val="105"/>
        </w:rPr>
        <w:t xml:space="preserve"> </w:t>
      </w:r>
      <w:r w:rsidRPr="00C84023">
        <w:rPr>
          <w:rFonts w:cstheme="minorHAnsi"/>
          <w:color w:val="231F20"/>
          <w:w w:val="105"/>
        </w:rPr>
        <w:t>ESOL/EL</w:t>
      </w:r>
      <w:r w:rsidRPr="00E840CE">
        <w:rPr>
          <w:rFonts w:cstheme="minorHAnsi"/>
          <w:color w:val="231F20"/>
          <w:w w:val="105"/>
        </w:rPr>
        <w:t xml:space="preserve"> </w:t>
      </w:r>
      <w:r w:rsidRPr="00C84023">
        <w:rPr>
          <w:rFonts w:cstheme="minorHAnsi"/>
          <w:color w:val="231F20"/>
          <w:w w:val="105"/>
        </w:rPr>
        <w:t>Civics</w:t>
      </w:r>
      <w:r w:rsidRPr="00E840CE">
        <w:rPr>
          <w:rFonts w:cstheme="minorHAnsi"/>
          <w:color w:val="231F20"/>
          <w:w w:val="105"/>
        </w:rPr>
        <w:t xml:space="preserve"> </w:t>
      </w:r>
      <w:r w:rsidRPr="00C84023">
        <w:rPr>
          <w:rFonts w:cstheme="minorHAnsi"/>
          <w:color w:val="231F20"/>
          <w:w w:val="105"/>
        </w:rPr>
        <w:t>programs.</w:t>
      </w:r>
    </w:p>
    <w:p w14:paraId="38D7A108" w14:textId="77777777" w:rsidR="00DE343A" w:rsidRDefault="00DE343A" w:rsidP="00D63204">
      <w:pPr>
        <w:widowControl w:val="0"/>
        <w:spacing w:after="0" w:line="264" w:lineRule="exact"/>
        <w:ind w:left="90"/>
        <w:rPr>
          <w:rFonts w:cstheme="minorHAnsi"/>
          <w:color w:val="231F20"/>
          <w:w w:val="105"/>
        </w:rPr>
      </w:pPr>
    </w:p>
    <w:p w14:paraId="46EC6FAA" w14:textId="04D34A57" w:rsidR="00D6480A" w:rsidRPr="00C84023" w:rsidRDefault="00D6480A" w:rsidP="00D63204">
      <w:pPr>
        <w:widowControl w:val="0"/>
        <w:spacing w:after="0" w:line="264" w:lineRule="exact"/>
        <w:ind w:left="90"/>
        <w:rPr>
          <w:rFonts w:cstheme="minorHAnsi"/>
        </w:rPr>
      </w:pPr>
      <w:r w:rsidRPr="00C84023">
        <w:rPr>
          <w:rFonts w:cstheme="minorHAnsi"/>
          <w:color w:val="231F20"/>
          <w:w w:val="105"/>
        </w:rPr>
        <w:t>Career</w:t>
      </w:r>
      <w:r w:rsidRPr="00C84023">
        <w:rPr>
          <w:rFonts w:cstheme="minorHAnsi"/>
          <w:color w:val="231F20"/>
          <w:spacing w:val="21"/>
          <w:w w:val="105"/>
        </w:rPr>
        <w:t xml:space="preserve"> </w:t>
      </w:r>
      <w:r w:rsidRPr="00C84023">
        <w:rPr>
          <w:rFonts w:cstheme="minorHAnsi"/>
          <w:color w:val="231F20"/>
          <w:w w:val="105"/>
        </w:rPr>
        <w:t>advisement</w:t>
      </w:r>
      <w:r w:rsidRPr="00C84023">
        <w:rPr>
          <w:rFonts w:cstheme="minorHAnsi"/>
          <w:color w:val="231F20"/>
          <w:spacing w:val="21"/>
          <w:w w:val="105"/>
        </w:rPr>
        <w:t xml:space="preserve"> </w:t>
      </w:r>
      <w:r w:rsidRPr="00C84023">
        <w:rPr>
          <w:rFonts w:cstheme="minorHAnsi"/>
          <w:color w:val="231F20"/>
          <w:w w:val="105"/>
        </w:rPr>
        <w:t>activities</w:t>
      </w:r>
      <w:r w:rsidRPr="00C84023">
        <w:rPr>
          <w:rFonts w:cstheme="minorHAnsi"/>
          <w:color w:val="231F20"/>
          <w:spacing w:val="21"/>
          <w:w w:val="105"/>
        </w:rPr>
        <w:t xml:space="preserve"> </w:t>
      </w:r>
      <w:r w:rsidRPr="00C84023">
        <w:rPr>
          <w:rFonts w:cstheme="minorHAnsi"/>
          <w:color w:val="231F20"/>
          <w:w w:val="105"/>
        </w:rPr>
        <w:t>are provided</w:t>
      </w:r>
      <w:r w:rsidRPr="00C84023">
        <w:rPr>
          <w:rFonts w:cstheme="minorHAnsi"/>
          <w:color w:val="231F20"/>
          <w:spacing w:val="21"/>
          <w:w w:val="105"/>
        </w:rPr>
        <w:t xml:space="preserve"> </w:t>
      </w:r>
      <w:r w:rsidRPr="00C84023">
        <w:rPr>
          <w:rFonts w:cstheme="minorHAnsi"/>
          <w:color w:val="231F20"/>
          <w:w w:val="105"/>
        </w:rPr>
        <w:t>to</w:t>
      </w:r>
      <w:r w:rsidRPr="00C84023">
        <w:rPr>
          <w:rFonts w:cstheme="minorHAnsi"/>
          <w:color w:val="231F20"/>
          <w:spacing w:val="21"/>
          <w:w w:val="105"/>
        </w:rPr>
        <w:t xml:space="preserve"> </w:t>
      </w:r>
      <w:r w:rsidRPr="00C84023">
        <w:rPr>
          <w:rFonts w:cstheme="minorHAnsi"/>
          <w:color w:val="231F20"/>
          <w:w w:val="105"/>
        </w:rPr>
        <w:t>English</w:t>
      </w:r>
      <w:r w:rsidRPr="00C84023">
        <w:rPr>
          <w:rFonts w:cstheme="minorHAnsi"/>
          <w:color w:val="231F20"/>
          <w:spacing w:val="21"/>
          <w:w w:val="105"/>
        </w:rPr>
        <w:t xml:space="preserve"> </w:t>
      </w:r>
      <w:r w:rsidRPr="00C84023">
        <w:rPr>
          <w:rFonts w:cstheme="minorHAnsi"/>
          <w:color w:val="231F20"/>
          <w:w w:val="105"/>
        </w:rPr>
        <w:t>language</w:t>
      </w:r>
      <w:r w:rsidRPr="00C84023">
        <w:rPr>
          <w:rFonts w:cstheme="minorHAnsi"/>
          <w:color w:val="231F20"/>
          <w:spacing w:val="21"/>
          <w:w w:val="105"/>
        </w:rPr>
        <w:t xml:space="preserve"> </w:t>
      </w:r>
      <w:r w:rsidRPr="00C84023">
        <w:rPr>
          <w:rFonts w:cstheme="minorHAnsi"/>
          <w:color w:val="231F20"/>
          <w:w w:val="105"/>
        </w:rPr>
        <w:t>learners</w:t>
      </w:r>
      <w:r w:rsidRPr="00C84023">
        <w:rPr>
          <w:rFonts w:cstheme="minorHAnsi"/>
          <w:color w:val="231F20"/>
          <w:spacing w:val="21"/>
          <w:w w:val="105"/>
        </w:rPr>
        <w:t xml:space="preserve"> </w:t>
      </w:r>
      <w:r w:rsidRPr="00C84023">
        <w:rPr>
          <w:rFonts w:cstheme="minorHAnsi"/>
          <w:color w:val="231F20"/>
          <w:w w:val="105"/>
        </w:rPr>
        <w:t>about</w:t>
      </w:r>
      <w:r w:rsidRPr="00C84023">
        <w:rPr>
          <w:rFonts w:cstheme="minorHAnsi"/>
          <w:color w:val="231F20"/>
          <w:spacing w:val="21"/>
          <w:w w:val="105"/>
        </w:rPr>
        <w:t xml:space="preserve"> </w:t>
      </w:r>
      <w:r w:rsidRPr="00C84023">
        <w:rPr>
          <w:rFonts w:cstheme="minorHAnsi"/>
          <w:color w:val="231F20"/>
          <w:w w:val="105"/>
        </w:rPr>
        <w:t>in-demand</w:t>
      </w:r>
      <w:r w:rsidRPr="00C84023">
        <w:rPr>
          <w:rFonts w:cstheme="minorHAnsi"/>
          <w:color w:val="231F20"/>
          <w:spacing w:val="21"/>
          <w:w w:val="105"/>
        </w:rPr>
        <w:t xml:space="preserve"> </w:t>
      </w:r>
      <w:r w:rsidRPr="00C84023">
        <w:rPr>
          <w:rFonts w:cstheme="minorHAnsi"/>
          <w:color w:val="231F20"/>
          <w:w w:val="105"/>
        </w:rPr>
        <w:t>occupations</w:t>
      </w:r>
      <w:r w:rsidRPr="00C84023">
        <w:rPr>
          <w:rFonts w:cstheme="minorHAnsi"/>
          <w:color w:val="231F20"/>
          <w:spacing w:val="-39"/>
          <w:w w:val="105"/>
        </w:rPr>
        <w:t xml:space="preserve"> </w:t>
      </w:r>
      <w:r w:rsidRPr="00C84023">
        <w:rPr>
          <w:rFonts w:cstheme="minorHAnsi"/>
          <w:color w:val="231F20"/>
          <w:w w:val="105"/>
        </w:rPr>
        <w:t>in their communities. Local programs collaborate with the LWDBs/one-stop career centers to</w:t>
      </w:r>
      <w:r w:rsidRPr="00C84023">
        <w:rPr>
          <w:rFonts w:cstheme="minorHAnsi"/>
          <w:color w:val="231F20"/>
          <w:spacing w:val="44"/>
          <w:w w:val="105"/>
        </w:rPr>
        <w:t xml:space="preserve"> </w:t>
      </w:r>
      <w:r w:rsidRPr="00C84023">
        <w:rPr>
          <w:rFonts w:cstheme="minorHAnsi"/>
          <w:color w:val="231F20"/>
          <w:w w:val="105"/>
        </w:rPr>
        <w:t>determine local</w:t>
      </w:r>
      <w:r w:rsidRPr="00C84023">
        <w:rPr>
          <w:rFonts w:cstheme="minorHAnsi"/>
          <w:color w:val="231F20"/>
          <w:spacing w:val="8"/>
          <w:w w:val="105"/>
        </w:rPr>
        <w:t xml:space="preserve"> </w:t>
      </w:r>
      <w:r w:rsidRPr="00C84023">
        <w:rPr>
          <w:rFonts w:cstheme="minorHAnsi"/>
          <w:color w:val="231F20"/>
          <w:w w:val="105"/>
        </w:rPr>
        <w:t>job</w:t>
      </w:r>
      <w:r w:rsidRPr="00C84023">
        <w:rPr>
          <w:rFonts w:cstheme="minorHAnsi"/>
          <w:color w:val="231F20"/>
          <w:spacing w:val="8"/>
          <w:w w:val="105"/>
        </w:rPr>
        <w:t xml:space="preserve"> </w:t>
      </w:r>
      <w:r w:rsidRPr="00C84023">
        <w:rPr>
          <w:rFonts w:cstheme="minorHAnsi"/>
          <w:color w:val="231F20"/>
          <w:w w:val="105"/>
        </w:rPr>
        <w:t>demand</w:t>
      </w:r>
      <w:r w:rsidRPr="00C84023">
        <w:rPr>
          <w:rFonts w:cstheme="minorHAnsi"/>
          <w:color w:val="231F20"/>
          <w:spacing w:val="8"/>
          <w:w w:val="105"/>
        </w:rPr>
        <w:t xml:space="preserve"> </w:t>
      </w:r>
      <w:r w:rsidRPr="00C84023">
        <w:rPr>
          <w:rFonts w:cstheme="minorHAnsi"/>
          <w:color w:val="231F20"/>
          <w:w w:val="105"/>
        </w:rPr>
        <w:t>when</w:t>
      </w:r>
      <w:r w:rsidRPr="00C84023">
        <w:rPr>
          <w:rFonts w:cstheme="minorHAnsi"/>
          <w:color w:val="231F20"/>
          <w:spacing w:val="8"/>
          <w:w w:val="105"/>
        </w:rPr>
        <w:t xml:space="preserve"> </w:t>
      </w:r>
      <w:r w:rsidRPr="00C84023">
        <w:rPr>
          <w:rFonts w:cstheme="minorHAnsi"/>
          <w:color w:val="231F20"/>
          <w:w w:val="105"/>
        </w:rPr>
        <w:t>identifying</w:t>
      </w:r>
      <w:r w:rsidRPr="00C84023">
        <w:rPr>
          <w:rFonts w:cstheme="minorHAnsi"/>
          <w:color w:val="231F20"/>
          <w:spacing w:val="8"/>
          <w:w w:val="105"/>
        </w:rPr>
        <w:t xml:space="preserve"> </w:t>
      </w:r>
      <w:r w:rsidRPr="00C84023">
        <w:rPr>
          <w:rFonts w:cstheme="minorHAnsi"/>
          <w:color w:val="231F20"/>
          <w:w w:val="105"/>
        </w:rPr>
        <w:t>career</w:t>
      </w:r>
      <w:r w:rsidRPr="00C84023">
        <w:rPr>
          <w:rFonts w:cstheme="minorHAnsi"/>
          <w:color w:val="231F20"/>
          <w:spacing w:val="8"/>
          <w:w w:val="105"/>
        </w:rPr>
        <w:t xml:space="preserve"> </w:t>
      </w:r>
      <w:r w:rsidRPr="00C84023">
        <w:rPr>
          <w:rFonts w:cstheme="minorHAnsi"/>
          <w:color w:val="231F20"/>
          <w:w w:val="105"/>
        </w:rPr>
        <w:t>information</w:t>
      </w:r>
      <w:r w:rsidRPr="00C84023">
        <w:rPr>
          <w:rFonts w:cstheme="minorHAnsi"/>
          <w:color w:val="231F20"/>
          <w:spacing w:val="8"/>
          <w:w w:val="105"/>
        </w:rPr>
        <w:t xml:space="preserve"> </w:t>
      </w:r>
      <w:r w:rsidRPr="00C84023">
        <w:rPr>
          <w:rFonts w:cstheme="minorHAnsi"/>
          <w:color w:val="231F20"/>
          <w:w w:val="105"/>
        </w:rPr>
        <w:t>to</w:t>
      </w:r>
      <w:r w:rsidRPr="00C84023">
        <w:rPr>
          <w:rFonts w:cstheme="minorHAnsi"/>
          <w:color w:val="231F20"/>
          <w:spacing w:val="8"/>
          <w:w w:val="105"/>
        </w:rPr>
        <w:t xml:space="preserve"> </w:t>
      </w:r>
      <w:r w:rsidRPr="00C84023">
        <w:rPr>
          <w:rFonts w:cstheme="minorHAnsi"/>
          <w:color w:val="231F20"/>
          <w:w w:val="105"/>
        </w:rPr>
        <w:t>share</w:t>
      </w:r>
      <w:r w:rsidRPr="00C84023">
        <w:rPr>
          <w:rFonts w:cstheme="minorHAnsi"/>
          <w:color w:val="231F20"/>
          <w:spacing w:val="8"/>
          <w:w w:val="105"/>
        </w:rPr>
        <w:t xml:space="preserve"> </w:t>
      </w:r>
      <w:r w:rsidRPr="00C84023">
        <w:rPr>
          <w:rFonts w:cstheme="minorHAnsi"/>
          <w:color w:val="231F20"/>
          <w:w w:val="105"/>
        </w:rPr>
        <w:t>with</w:t>
      </w:r>
      <w:r w:rsidRPr="00C84023">
        <w:rPr>
          <w:rFonts w:cstheme="minorHAnsi"/>
          <w:color w:val="231F20"/>
          <w:spacing w:val="8"/>
          <w:w w:val="105"/>
        </w:rPr>
        <w:t xml:space="preserve"> </w:t>
      </w:r>
      <w:r w:rsidRPr="00C84023">
        <w:rPr>
          <w:rFonts w:cstheme="minorHAnsi"/>
          <w:color w:val="231F20"/>
          <w:w w:val="105"/>
        </w:rPr>
        <w:t>adult</w:t>
      </w:r>
      <w:r w:rsidRPr="00C84023">
        <w:rPr>
          <w:rFonts w:cstheme="minorHAnsi"/>
          <w:color w:val="231F20"/>
          <w:spacing w:val="8"/>
          <w:w w:val="105"/>
        </w:rPr>
        <w:t xml:space="preserve"> </w:t>
      </w:r>
      <w:r w:rsidRPr="00C84023">
        <w:rPr>
          <w:rFonts w:cstheme="minorHAnsi"/>
          <w:color w:val="231F20"/>
          <w:w w:val="105"/>
        </w:rPr>
        <w:t>students.</w:t>
      </w:r>
      <w:r w:rsidRPr="00C84023">
        <w:rPr>
          <w:rFonts w:cstheme="minorHAnsi"/>
          <w:color w:val="231F20"/>
          <w:spacing w:val="8"/>
          <w:w w:val="105"/>
        </w:rPr>
        <w:t xml:space="preserve"> </w:t>
      </w:r>
      <w:r w:rsidRPr="00C84023">
        <w:rPr>
          <w:rFonts w:cstheme="minorHAnsi"/>
          <w:color w:val="231F20"/>
          <w:w w:val="105"/>
        </w:rPr>
        <w:t>Career-focused</w:t>
      </w:r>
      <w:r w:rsidRPr="00C84023">
        <w:rPr>
          <w:rFonts w:cstheme="minorHAnsi"/>
          <w:color w:val="231F20"/>
          <w:spacing w:val="-41"/>
          <w:w w:val="105"/>
        </w:rPr>
        <w:t xml:space="preserve"> </w:t>
      </w:r>
      <w:r w:rsidRPr="00C84023">
        <w:rPr>
          <w:rFonts w:cstheme="minorHAnsi"/>
          <w:color w:val="231F20"/>
          <w:w w:val="105"/>
        </w:rPr>
        <w:t>contextualized</w:t>
      </w:r>
      <w:r w:rsidRPr="00C84023">
        <w:rPr>
          <w:rFonts w:cstheme="minorHAnsi"/>
          <w:color w:val="231F20"/>
          <w:spacing w:val="13"/>
          <w:w w:val="105"/>
        </w:rPr>
        <w:t xml:space="preserve"> </w:t>
      </w:r>
      <w:r w:rsidRPr="00C84023">
        <w:rPr>
          <w:rFonts w:cstheme="minorHAnsi"/>
          <w:color w:val="231F20"/>
          <w:w w:val="105"/>
        </w:rPr>
        <w:t>curriculum</w:t>
      </w:r>
      <w:r w:rsidRPr="00C84023">
        <w:rPr>
          <w:rFonts w:cstheme="minorHAnsi"/>
          <w:color w:val="231F20"/>
          <w:spacing w:val="13"/>
          <w:w w:val="105"/>
        </w:rPr>
        <w:t xml:space="preserve"> </w:t>
      </w:r>
      <w:r w:rsidRPr="00C84023">
        <w:rPr>
          <w:rFonts w:cstheme="minorHAnsi"/>
          <w:color w:val="231F20"/>
          <w:w w:val="105"/>
        </w:rPr>
        <w:t>is implemented</w:t>
      </w:r>
      <w:r w:rsidRPr="00C84023">
        <w:rPr>
          <w:rFonts w:cstheme="minorHAnsi"/>
          <w:color w:val="231F20"/>
          <w:spacing w:val="13"/>
          <w:w w:val="105"/>
        </w:rPr>
        <w:t xml:space="preserve"> </w:t>
      </w:r>
      <w:r w:rsidRPr="00C84023">
        <w:rPr>
          <w:rFonts w:cstheme="minorHAnsi"/>
          <w:color w:val="231F20"/>
          <w:w w:val="105"/>
        </w:rPr>
        <w:t>in</w:t>
      </w:r>
      <w:r w:rsidRPr="00C84023">
        <w:rPr>
          <w:rFonts w:cstheme="minorHAnsi"/>
          <w:color w:val="231F20"/>
          <w:spacing w:val="13"/>
          <w:w w:val="105"/>
        </w:rPr>
        <w:t xml:space="preserve"> </w:t>
      </w:r>
      <w:r w:rsidRPr="00C84023">
        <w:rPr>
          <w:rFonts w:cstheme="minorHAnsi"/>
          <w:color w:val="231F20"/>
          <w:w w:val="105"/>
        </w:rPr>
        <w:t>the</w:t>
      </w:r>
      <w:r w:rsidRPr="00C84023">
        <w:rPr>
          <w:rFonts w:cstheme="minorHAnsi"/>
          <w:color w:val="231F20"/>
          <w:spacing w:val="13"/>
          <w:w w:val="105"/>
        </w:rPr>
        <w:t xml:space="preserve"> </w:t>
      </w:r>
      <w:r w:rsidRPr="00C84023">
        <w:rPr>
          <w:rFonts w:cstheme="minorHAnsi"/>
          <w:color w:val="231F20"/>
          <w:w w:val="105"/>
        </w:rPr>
        <w:t>ESOL/EL</w:t>
      </w:r>
      <w:r w:rsidRPr="00C84023">
        <w:rPr>
          <w:rFonts w:cstheme="minorHAnsi"/>
          <w:color w:val="231F20"/>
          <w:spacing w:val="13"/>
          <w:w w:val="105"/>
        </w:rPr>
        <w:t xml:space="preserve"> </w:t>
      </w:r>
      <w:r w:rsidRPr="00C84023">
        <w:rPr>
          <w:rFonts w:cstheme="minorHAnsi"/>
          <w:color w:val="231F20"/>
          <w:w w:val="105"/>
        </w:rPr>
        <w:t>Civics</w:t>
      </w:r>
      <w:r w:rsidRPr="00C84023">
        <w:rPr>
          <w:rFonts w:cstheme="minorHAnsi"/>
          <w:color w:val="231F20"/>
          <w:spacing w:val="13"/>
          <w:w w:val="105"/>
        </w:rPr>
        <w:t xml:space="preserve"> </w:t>
      </w:r>
      <w:r w:rsidRPr="00C84023">
        <w:rPr>
          <w:rFonts w:cstheme="minorHAnsi"/>
          <w:color w:val="231F20"/>
          <w:w w:val="105"/>
        </w:rPr>
        <w:t>program.</w:t>
      </w:r>
      <w:r w:rsidRPr="00C84023">
        <w:rPr>
          <w:rFonts w:cstheme="minorHAnsi"/>
          <w:color w:val="231F20"/>
          <w:spacing w:val="26"/>
          <w:w w:val="105"/>
        </w:rPr>
        <w:t xml:space="preserve"> </w:t>
      </w:r>
      <w:r w:rsidRPr="00C84023">
        <w:rPr>
          <w:rFonts w:cstheme="minorHAnsi"/>
          <w:color w:val="231F20"/>
          <w:w w:val="105"/>
        </w:rPr>
        <w:t>Adults</w:t>
      </w:r>
      <w:r w:rsidRPr="00C84023">
        <w:rPr>
          <w:rFonts w:cstheme="minorHAnsi"/>
          <w:color w:val="231F20"/>
          <w:spacing w:val="13"/>
          <w:w w:val="105"/>
        </w:rPr>
        <w:t xml:space="preserve"> </w:t>
      </w:r>
      <w:r w:rsidRPr="00C84023">
        <w:rPr>
          <w:rFonts w:cstheme="minorHAnsi"/>
          <w:color w:val="231F20"/>
          <w:w w:val="105"/>
        </w:rPr>
        <w:t>are informed</w:t>
      </w:r>
      <w:r w:rsidRPr="00C84023">
        <w:rPr>
          <w:rFonts w:cstheme="minorHAnsi"/>
          <w:color w:val="231F20"/>
          <w:spacing w:val="13"/>
          <w:w w:val="105"/>
        </w:rPr>
        <w:t xml:space="preserve"> </w:t>
      </w:r>
      <w:r w:rsidRPr="00C84023">
        <w:rPr>
          <w:rFonts w:cstheme="minorHAnsi"/>
          <w:color w:val="231F20"/>
          <w:w w:val="105"/>
        </w:rPr>
        <w:t>of</w:t>
      </w:r>
      <w:r w:rsidRPr="00C84023">
        <w:rPr>
          <w:rFonts w:cstheme="minorHAnsi"/>
          <w:color w:val="231F20"/>
          <w:spacing w:val="-50"/>
          <w:w w:val="105"/>
        </w:rPr>
        <w:t xml:space="preserve"> </w:t>
      </w:r>
      <w:r w:rsidRPr="00C84023">
        <w:rPr>
          <w:rFonts w:cstheme="minorHAnsi"/>
          <w:color w:val="231F20"/>
          <w:w w:val="105"/>
        </w:rPr>
        <w:t>services</w:t>
      </w:r>
      <w:r w:rsidRPr="00C84023">
        <w:rPr>
          <w:rFonts w:cstheme="minorHAnsi"/>
          <w:color w:val="231F20"/>
          <w:spacing w:val="19"/>
          <w:w w:val="105"/>
        </w:rPr>
        <w:t xml:space="preserve"> </w:t>
      </w:r>
      <w:r w:rsidRPr="00C84023">
        <w:rPr>
          <w:rFonts w:cstheme="minorHAnsi"/>
          <w:color w:val="231F20"/>
          <w:w w:val="105"/>
        </w:rPr>
        <w:t>available</w:t>
      </w:r>
      <w:r w:rsidRPr="00C84023">
        <w:rPr>
          <w:rFonts w:cstheme="minorHAnsi"/>
          <w:color w:val="231F20"/>
          <w:spacing w:val="19"/>
          <w:w w:val="105"/>
        </w:rPr>
        <w:t xml:space="preserve"> </w:t>
      </w:r>
      <w:r w:rsidRPr="00C84023">
        <w:rPr>
          <w:rFonts w:cstheme="minorHAnsi"/>
          <w:color w:val="231F20"/>
          <w:w w:val="105"/>
        </w:rPr>
        <w:t>at</w:t>
      </w:r>
      <w:r w:rsidRPr="00C84023">
        <w:rPr>
          <w:rFonts w:cstheme="minorHAnsi"/>
          <w:color w:val="231F20"/>
          <w:spacing w:val="19"/>
          <w:w w:val="105"/>
        </w:rPr>
        <w:t xml:space="preserve"> </w:t>
      </w:r>
      <w:r w:rsidRPr="00C84023">
        <w:rPr>
          <w:rFonts w:cstheme="minorHAnsi"/>
          <w:color w:val="231F20"/>
          <w:w w:val="105"/>
        </w:rPr>
        <w:t>the</w:t>
      </w:r>
      <w:r w:rsidRPr="00C84023">
        <w:rPr>
          <w:rFonts w:cstheme="minorHAnsi"/>
          <w:color w:val="231F20"/>
          <w:spacing w:val="19"/>
          <w:w w:val="105"/>
        </w:rPr>
        <w:t xml:space="preserve"> </w:t>
      </w:r>
      <w:r w:rsidRPr="00C84023">
        <w:rPr>
          <w:rFonts w:cstheme="minorHAnsi"/>
          <w:color w:val="231F20"/>
          <w:w w:val="105"/>
        </w:rPr>
        <w:t>local</w:t>
      </w:r>
      <w:r w:rsidRPr="00C84023">
        <w:rPr>
          <w:rFonts w:cstheme="minorHAnsi"/>
          <w:color w:val="231F20"/>
          <w:spacing w:val="19"/>
          <w:w w:val="105"/>
        </w:rPr>
        <w:t xml:space="preserve"> </w:t>
      </w:r>
      <w:r w:rsidRPr="00C84023">
        <w:rPr>
          <w:rFonts w:cstheme="minorHAnsi"/>
          <w:color w:val="231F20"/>
          <w:w w:val="105"/>
        </w:rPr>
        <w:t>one-stop</w:t>
      </w:r>
      <w:r w:rsidRPr="00C84023">
        <w:rPr>
          <w:rFonts w:cstheme="minorHAnsi"/>
          <w:color w:val="231F20"/>
          <w:spacing w:val="19"/>
          <w:w w:val="105"/>
        </w:rPr>
        <w:t xml:space="preserve"> </w:t>
      </w:r>
      <w:r w:rsidRPr="00C84023">
        <w:rPr>
          <w:rFonts w:cstheme="minorHAnsi"/>
          <w:color w:val="231F20"/>
          <w:w w:val="105"/>
        </w:rPr>
        <w:t>career</w:t>
      </w:r>
      <w:r w:rsidRPr="00C84023">
        <w:rPr>
          <w:rFonts w:cstheme="minorHAnsi"/>
          <w:color w:val="231F20"/>
          <w:spacing w:val="19"/>
          <w:w w:val="105"/>
        </w:rPr>
        <w:t xml:space="preserve"> </w:t>
      </w:r>
      <w:r w:rsidRPr="00C84023">
        <w:rPr>
          <w:rFonts w:cstheme="minorHAnsi"/>
          <w:color w:val="231F20"/>
          <w:w w:val="105"/>
        </w:rPr>
        <w:t>centers</w:t>
      </w:r>
      <w:r w:rsidRPr="00C84023">
        <w:rPr>
          <w:rFonts w:cstheme="minorHAnsi"/>
          <w:color w:val="231F20"/>
          <w:spacing w:val="19"/>
          <w:w w:val="105"/>
        </w:rPr>
        <w:t xml:space="preserve"> </w:t>
      </w:r>
      <w:r w:rsidRPr="00C84023">
        <w:rPr>
          <w:rFonts w:cstheme="minorHAnsi"/>
          <w:color w:val="231F20"/>
          <w:w w:val="105"/>
        </w:rPr>
        <w:t>including career</w:t>
      </w:r>
      <w:r w:rsidRPr="00C84023">
        <w:rPr>
          <w:rFonts w:cstheme="minorHAnsi"/>
          <w:color w:val="231F20"/>
          <w:spacing w:val="19"/>
          <w:w w:val="105"/>
        </w:rPr>
        <w:t xml:space="preserve"> </w:t>
      </w:r>
      <w:r w:rsidRPr="00C84023">
        <w:rPr>
          <w:rFonts w:cstheme="minorHAnsi"/>
          <w:color w:val="231F20"/>
          <w:w w:val="105"/>
        </w:rPr>
        <w:t>services</w:t>
      </w:r>
      <w:r w:rsidRPr="00C84023">
        <w:rPr>
          <w:rFonts w:cstheme="minorHAnsi"/>
          <w:color w:val="231F20"/>
          <w:spacing w:val="19"/>
          <w:w w:val="105"/>
        </w:rPr>
        <w:t xml:space="preserve"> </w:t>
      </w:r>
      <w:r w:rsidRPr="00C84023">
        <w:rPr>
          <w:rFonts w:cstheme="minorHAnsi"/>
          <w:color w:val="231F20"/>
          <w:w w:val="105"/>
        </w:rPr>
        <w:t>and</w:t>
      </w:r>
      <w:r w:rsidRPr="00C84023">
        <w:rPr>
          <w:rFonts w:cstheme="minorHAnsi"/>
          <w:color w:val="231F20"/>
          <w:spacing w:val="19"/>
          <w:w w:val="105"/>
        </w:rPr>
        <w:t xml:space="preserve"> </w:t>
      </w:r>
      <w:r w:rsidRPr="00C84023">
        <w:rPr>
          <w:rFonts w:cstheme="minorHAnsi"/>
          <w:color w:val="231F20"/>
          <w:w w:val="105"/>
        </w:rPr>
        <w:t>job</w:t>
      </w:r>
      <w:r w:rsidRPr="00C84023">
        <w:rPr>
          <w:rFonts w:cstheme="minorHAnsi"/>
          <w:color w:val="231F20"/>
          <w:spacing w:val="19"/>
          <w:w w:val="105"/>
        </w:rPr>
        <w:t xml:space="preserve"> </w:t>
      </w:r>
      <w:r w:rsidRPr="00C84023">
        <w:rPr>
          <w:rFonts w:cstheme="minorHAnsi"/>
          <w:color w:val="231F20"/>
          <w:w w:val="105"/>
        </w:rPr>
        <w:t>placement.</w:t>
      </w:r>
    </w:p>
    <w:p w14:paraId="7784A937" w14:textId="3B6521E4" w:rsidR="00D6480A" w:rsidRPr="00C84023" w:rsidRDefault="00D6480A" w:rsidP="00D63204">
      <w:pPr>
        <w:widowControl w:val="0"/>
        <w:numPr>
          <w:ilvl w:val="0"/>
          <w:numId w:val="45"/>
        </w:numPr>
        <w:spacing w:before="171" w:after="0" w:line="240" w:lineRule="auto"/>
        <w:outlineLvl w:val="1"/>
        <w:rPr>
          <w:rFonts w:cstheme="minorHAnsi"/>
          <w:sz w:val="26"/>
          <w:szCs w:val="26"/>
        </w:rPr>
      </w:pPr>
      <w:r w:rsidRPr="00C84023">
        <w:rPr>
          <w:rFonts w:cstheme="minorHAnsi"/>
          <w:b/>
          <w:bCs/>
          <w:color w:val="295CA3"/>
          <w:w w:val="110"/>
          <w:sz w:val="26"/>
          <w:szCs w:val="26"/>
        </w:rPr>
        <w:t>State</w:t>
      </w:r>
      <w:r w:rsidRPr="00C84023">
        <w:rPr>
          <w:rFonts w:cstheme="minorHAnsi"/>
          <w:b/>
          <w:bCs/>
          <w:color w:val="295CA3"/>
          <w:spacing w:val="1"/>
          <w:w w:val="110"/>
          <w:sz w:val="26"/>
          <w:szCs w:val="26"/>
        </w:rPr>
        <w:t xml:space="preserve"> </w:t>
      </w:r>
      <w:r w:rsidRPr="00C84023">
        <w:rPr>
          <w:rFonts w:cstheme="minorHAnsi"/>
          <w:b/>
          <w:bCs/>
          <w:color w:val="295CA3"/>
          <w:w w:val="110"/>
          <w:sz w:val="26"/>
          <w:szCs w:val="26"/>
        </w:rPr>
        <w:t>Leadership</w:t>
      </w:r>
    </w:p>
    <w:p w14:paraId="375CA8BA" w14:textId="724E6BBA" w:rsidR="00D6480A" w:rsidRPr="00C84023" w:rsidRDefault="00D6480A" w:rsidP="00D63204">
      <w:pPr>
        <w:widowControl w:val="0"/>
        <w:spacing w:before="171" w:after="0" w:line="240" w:lineRule="auto"/>
        <w:ind w:left="90"/>
        <w:outlineLvl w:val="1"/>
        <w:rPr>
          <w:rFonts w:cstheme="minorHAnsi"/>
        </w:rPr>
      </w:pPr>
      <w:r w:rsidRPr="00C84023">
        <w:rPr>
          <w:rFonts w:cstheme="minorHAnsi"/>
        </w:rPr>
        <w:t>The State uses leadership funds</w:t>
      </w:r>
      <w:r w:rsidR="00D07376">
        <w:rPr>
          <w:rFonts w:cstheme="minorHAnsi"/>
        </w:rPr>
        <w:t xml:space="preserve">, </w:t>
      </w:r>
      <w:r w:rsidRPr="00C84023">
        <w:rPr>
          <w:rFonts w:cstheme="minorHAnsi"/>
        </w:rPr>
        <w:t>no more than 12.5</w:t>
      </w:r>
      <w:r w:rsidR="00D07376">
        <w:rPr>
          <w:rFonts w:cstheme="minorHAnsi"/>
        </w:rPr>
        <w:t xml:space="preserve"> percent,</w:t>
      </w:r>
      <w:r w:rsidRPr="00C84023">
        <w:rPr>
          <w:rFonts w:cstheme="minorHAnsi"/>
        </w:rPr>
        <w:t xml:space="preserve"> of the total grant to execute the four mandatory leadership activities and other state leadership activities described in section 223 of WIOA.</w:t>
      </w:r>
    </w:p>
    <w:p w14:paraId="78C1CA3F" w14:textId="77777777" w:rsidR="00D6480A" w:rsidRPr="00C84023" w:rsidRDefault="00D6480A" w:rsidP="00D63204">
      <w:pPr>
        <w:widowControl w:val="0"/>
        <w:spacing w:before="184" w:after="0" w:line="240" w:lineRule="auto"/>
        <w:ind w:left="90"/>
        <w:outlineLvl w:val="2"/>
        <w:rPr>
          <w:rFonts w:cstheme="minorHAnsi"/>
        </w:rPr>
      </w:pPr>
      <w:r w:rsidRPr="00C84023">
        <w:rPr>
          <w:rFonts w:cstheme="minorHAnsi"/>
          <w:b/>
          <w:bCs/>
          <w:color w:val="231F20"/>
          <w:w w:val="110"/>
        </w:rPr>
        <w:t>The</w:t>
      </w:r>
      <w:r w:rsidRPr="00C84023">
        <w:rPr>
          <w:rFonts w:cstheme="minorHAnsi"/>
          <w:b/>
          <w:bCs/>
          <w:color w:val="231F20"/>
          <w:spacing w:val="-18"/>
          <w:w w:val="110"/>
        </w:rPr>
        <w:t xml:space="preserve"> </w:t>
      </w:r>
      <w:r w:rsidRPr="00C84023">
        <w:rPr>
          <w:rFonts w:cstheme="minorHAnsi"/>
          <w:b/>
          <w:bCs/>
          <w:color w:val="231F20"/>
          <w:w w:val="110"/>
        </w:rPr>
        <w:t>four</w:t>
      </w:r>
      <w:r w:rsidRPr="00C84023">
        <w:rPr>
          <w:rFonts w:cstheme="minorHAnsi"/>
          <w:b/>
          <w:bCs/>
          <w:color w:val="231F20"/>
          <w:spacing w:val="-18"/>
          <w:w w:val="110"/>
        </w:rPr>
        <w:t xml:space="preserve"> </w:t>
      </w:r>
      <w:r w:rsidRPr="00C84023">
        <w:rPr>
          <w:rFonts w:cstheme="minorHAnsi"/>
          <w:b/>
          <w:bCs/>
          <w:color w:val="231F20"/>
          <w:w w:val="110"/>
        </w:rPr>
        <w:t>mandatory</w:t>
      </w:r>
      <w:r w:rsidRPr="00C84023">
        <w:rPr>
          <w:rFonts w:cstheme="minorHAnsi"/>
          <w:b/>
          <w:bCs/>
          <w:color w:val="231F20"/>
          <w:spacing w:val="-18"/>
          <w:w w:val="110"/>
        </w:rPr>
        <w:t xml:space="preserve"> </w:t>
      </w:r>
      <w:r w:rsidRPr="00C84023">
        <w:rPr>
          <w:rFonts w:cstheme="minorHAnsi"/>
          <w:b/>
          <w:bCs/>
          <w:color w:val="231F20"/>
          <w:w w:val="110"/>
        </w:rPr>
        <w:t>leadership</w:t>
      </w:r>
      <w:r w:rsidRPr="00C84023">
        <w:rPr>
          <w:rFonts w:cstheme="minorHAnsi"/>
          <w:b/>
          <w:bCs/>
          <w:color w:val="231F20"/>
          <w:spacing w:val="-18"/>
          <w:w w:val="110"/>
        </w:rPr>
        <w:t xml:space="preserve"> </w:t>
      </w:r>
      <w:r w:rsidRPr="00C84023">
        <w:rPr>
          <w:rFonts w:cstheme="minorHAnsi"/>
          <w:b/>
          <w:bCs/>
          <w:color w:val="231F20"/>
          <w:w w:val="110"/>
        </w:rPr>
        <w:t>activities</w:t>
      </w:r>
      <w:r w:rsidRPr="00C84023">
        <w:rPr>
          <w:rFonts w:cstheme="minorHAnsi"/>
          <w:b/>
          <w:bCs/>
          <w:color w:val="231F20"/>
          <w:spacing w:val="-18"/>
          <w:w w:val="110"/>
        </w:rPr>
        <w:t xml:space="preserve"> </w:t>
      </w:r>
      <w:r w:rsidRPr="00C84023">
        <w:rPr>
          <w:rFonts w:cstheme="minorHAnsi"/>
          <w:b/>
          <w:bCs/>
          <w:color w:val="231F20"/>
          <w:w w:val="110"/>
        </w:rPr>
        <w:t>are:</w:t>
      </w:r>
    </w:p>
    <w:p w14:paraId="608BBC69" w14:textId="43E6096A" w:rsidR="00D6480A" w:rsidRPr="00691C52" w:rsidRDefault="00D6480A" w:rsidP="00D63204">
      <w:pPr>
        <w:pStyle w:val="ListParagraph"/>
        <w:widowControl w:val="0"/>
        <w:numPr>
          <w:ilvl w:val="0"/>
          <w:numId w:val="47"/>
        </w:numPr>
        <w:tabs>
          <w:tab w:val="left" w:pos="1188"/>
        </w:tabs>
        <w:spacing w:before="93" w:after="0" w:line="264" w:lineRule="exact"/>
        <w:rPr>
          <w:rFonts w:cstheme="minorHAnsi"/>
        </w:rPr>
      </w:pPr>
      <w:r w:rsidRPr="00691C52">
        <w:rPr>
          <w:rFonts w:cstheme="minorHAnsi"/>
          <w:b/>
          <w:i/>
          <w:color w:val="231F20"/>
          <w:w w:val="105"/>
        </w:rPr>
        <w:t>Alignment</w:t>
      </w:r>
      <w:r w:rsidRPr="00691C52">
        <w:rPr>
          <w:rFonts w:cstheme="minorHAnsi"/>
          <w:b/>
          <w:i/>
          <w:color w:val="231F20"/>
          <w:spacing w:val="-12"/>
          <w:w w:val="105"/>
        </w:rPr>
        <w:t xml:space="preserve"> </w:t>
      </w:r>
      <w:r w:rsidRPr="00691C52">
        <w:rPr>
          <w:rFonts w:cstheme="minorHAnsi"/>
          <w:b/>
          <w:i/>
          <w:color w:val="231F20"/>
          <w:w w:val="105"/>
        </w:rPr>
        <w:t>of</w:t>
      </w:r>
      <w:r w:rsidRPr="00691C52">
        <w:rPr>
          <w:rFonts w:cstheme="minorHAnsi"/>
          <w:b/>
          <w:i/>
          <w:color w:val="231F20"/>
          <w:spacing w:val="-12"/>
          <w:w w:val="105"/>
        </w:rPr>
        <w:t xml:space="preserve"> </w:t>
      </w:r>
      <w:r w:rsidRPr="00691C52">
        <w:rPr>
          <w:rFonts w:cstheme="minorHAnsi"/>
          <w:b/>
          <w:i/>
          <w:color w:val="231F20"/>
          <w:w w:val="105"/>
        </w:rPr>
        <w:t>adult</w:t>
      </w:r>
      <w:r w:rsidRPr="00691C52">
        <w:rPr>
          <w:rFonts w:cstheme="minorHAnsi"/>
          <w:b/>
          <w:i/>
          <w:color w:val="231F20"/>
          <w:spacing w:val="-12"/>
          <w:w w:val="105"/>
        </w:rPr>
        <w:t xml:space="preserve"> </w:t>
      </w:r>
      <w:r w:rsidRPr="00691C52">
        <w:rPr>
          <w:rFonts w:cstheme="minorHAnsi"/>
          <w:b/>
          <w:i/>
          <w:color w:val="231F20"/>
          <w:w w:val="105"/>
        </w:rPr>
        <w:t>education</w:t>
      </w:r>
      <w:r w:rsidRPr="00691C52">
        <w:rPr>
          <w:rFonts w:cstheme="minorHAnsi"/>
          <w:b/>
          <w:i/>
          <w:color w:val="231F20"/>
          <w:spacing w:val="-12"/>
          <w:w w:val="105"/>
        </w:rPr>
        <w:t xml:space="preserve"> </w:t>
      </w:r>
      <w:r w:rsidRPr="00691C52">
        <w:rPr>
          <w:rFonts w:cstheme="minorHAnsi"/>
          <w:b/>
          <w:i/>
          <w:color w:val="231F20"/>
          <w:w w:val="105"/>
        </w:rPr>
        <w:t>and</w:t>
      </w:r>
      <w:r w:rsidRPr="00691C52">
        <w:rPr>
          <w:rFonts w:cstheme="minorHAnsi"/>
          <w:b/>
          <w:i/>
          <w:color w:val="231F20"/>
          <w:spacing w:val="-12"/>
          <w:w w:val="105"/>
        </w:rPr>
        <w:t xml:space="preserve"> </w:t>
      </w:r>
      <w:r w:rsidRPr="00691C52">
        <w:rPr>
          <w:rFonts w:cstheme="minorHAnsi"/>
          <w:b/>
          <w:i/>
          <w:color w:val="231F20"/>
          <w:w w:val="105"/>
        </w:rPr>
        <w:t>literacy</w:t>
      </w:r>
      <w:r w:rsidRPr="00691C52">
        <w:rPr>
          <w:rFonts w:cstheme="minorHAnsi"/>
          <w:b/>
          <w:i/>
          <w:color w:val="231F20"/>
          <w:spacing w:val="-12"/>
          <w:w w:val="105"/>
        </w:rPr>
        <w:t xml:space="preserve"> </w:t>
      </w:r>
      <w:r w:rsidRPr="00691C52">
        <w:rPr>
          <w:rFonts w:cstheme="minorHAnsi"/>
          <w:b/>
          <w:i/>
          <w:color w:val="231F20"/>
          <w:w w:val="105"/>
        </w:rPr>
        <w:t>activities</w:t>
      </w:r>
      <w:r w:rsidRPr="00691C52">
        <w:rPr>
          <w:rFonts w:cstheme="minorHAnsi"/>
          <w:b/>
          <w:i/>
          <w:color w:val="231F20"/>
          <w:spacing w:val="-12"/>
          <w:w w:val="105"/>
        </w:rPr>
        <w:t xml:space="preserve"> </w:t>
      </w:r>
      <w:r w:rsidRPr="00691C52">
        <w:rPr>
          <w:rFonts w:cstheme="minorHAnsi"/>
          <w:b/>
          <w:i/>
          <w:color w:val="231F20"/>
          <w:w w:val="105"/>
        </w:rPr>
        <w:t>with</w:t>
      </w:r>
      <w:r w:rsidRPr="00691C52">
        <w:rPr>
          <w:rFonts w:cstheme="minorHAnsi"/>
          <w:b/>
          <w:i/>
          <w:color w:val="231F20"/>
          <w:spacing w:val="-12"/>
          <w:w w:val="105"/>
        </w:rPr>
        <w:t xml:space="preserve"> </w:t>
      </w:r>
      <w:r w:rsidRPr="00691C52">
        <w:rPr>
          <w:rFonts w:cstheme="minorHAnsi"/>
          <w:b/>
          <w:i/>
          <w:color w:val="231F20"/>
          <w:w w:val="105"/>
        </w:rPr>
        <w:t>core</w:t>
      </w:r>
      <w:r w:rsidRPr="00691C52">
        <w:rPr>
          <w:rFonts w:cstheme="minorHAnsi"/>
          <w:b/>
          <w:i/>
          <w:color w:val="231F20"/>
          <w:spacing w:val="-12"/>
          <w:w w:val="105"/>
        </w:rPr>
        <w:t xml:space="preserve"> </w:t>
      </w:r>
      <w:r w:rsidRPr="00691C52">
        <w:rPr>
          <w:rFonts w:cstheme="minorHAnsi"/>
          <w:b/>
          <w:i/>
          <w:color w:val="231F20"/>
          <w:w w:val="105"/>
        </w:rPr>
        <w:t>partners</w:t>
      </w:r>
      <w:r w:rsidRPr="00691C52">
        <w:rPr>
          <w:rFonts w:cstheme="minorHAnsi"/>
          <w:b/>
          <w:i/>
          <w:color w:val="231F20"/>
          <w:spacing w:val="-12"/>
          <w:w w:val="105"/>
        </w:rPr>
        <w:t xml:space="preserve"> </w:t>
      </w:r>
      <w:r w:rsidRPr="00691C52">
        <w:rPr>
          <w:rFonts w:cstheme="minorHAnsi"/>
          <w:b/>
          <w:i/>
          <w:color w:val="231F20"/>
          <w:w w:val="105"/>
        </w:rPr>
        <w:t>and</w:t>
      </w:r>
      <w:r w:rsidRPr="00691C52">
        <w:rPr>
          <w:rFonts w:cstheme="minorHAnsi"/>
          <w:b/>
          <w:i/>
          <w:color w:val="231F20"/>
          <w:spacing w:val="-12"/>
          <w:w w:val="105"/>
        </w:rPr>
        <w:t xml:space="preserve"> </w:t>
      </w:r>
      <w:r w:rsidRPr="00691C52">
        <w:rPr>
          <w:rFonts w:cstheme="minorHAnsi"/>
          <w:b/>
          <w:i/>
          <w:color w:val="231F20"/>
          <w:w w:val="105"/>
        </w:rPr>
        <w:t>CareerSource</w:t>
      </w:r>
      <w:r w:rsidRPr="00691C52">
        <w:rPr>
          <w:rFonts w:cstheme="minorHAnsi"/>
          <w:b/>
          <w:i/>
          <w:color w:val="231F20"/>
          <w:w w:val="104"/>
        </w:rPr>
        <w:t xml:space="preserve"> </w:t>
      </w:r>
      <w:r w:rsidRPr="00691C52">
        <w:rPr>
          <w:rFonts w:cstheme="minorHAnsi"/>
          <w:b/>
          <w:i/>
          <w:color w:val="231F20"/>
          <w:w w:val="105"/>
        </w:rPr>
        <w:t xml:space="preserve">Florida partners. </w:t>
      </w:r>
      <w:r w:rsidRPr="00691C52">
        <w:rPr>
          <w:rFonts w:cstheme="minorHAnsi"/>
          <w:color w:val="231F20"/>
          <w:w w:val="105"/>
        </w:rPr>
        <w:t xml:space="preserve">Programs submitting grant applications during a </w:t>
      </w:r>
      <w:r w:rsidR="00F80233">
        <w:rPr>
          <w:rFonts w:cstheme="minorHAnsi"/>
          <w:color w:val="231F20"/>
          <w:w w:val="105"/>
        </w:rPr>
        <w:t xml:space="preserve">competitive </w:t>
      </w:r>
      <w:r w:rsidRPr="00691C52">
        <w:rPr>
          <w:rFonts w:cstheme="minorHAnsi"/>
          <w:color w:val="231F20"/>
          <w:w w:val="105"/>
        </w:rPr>
        <w:t>or</w:t>
      </w:r>
      <w:r w:rsidRPr="00691C52">
        <w:rPr>
          <w:rFonts w:cstheme="minorHAnsi"/>
          <w:color w:val="231F20"/>
          <w:spacing w:val="48"/>
          <w:w w:val="105"/>
        </w:rPr>
        <w:t xml:space="preserve"> </w:t>
      </w:r>
      <w:r w:rsidRPr="00691C52">
        <w:rPr>
          <w:rFonts w:cstheme="minorHAnsi"/>
          <w:color w:val="231F20"/>
          <w:w w:val="105"/>
        </w:rPr>
        <w:t>continuation</w:t>
      </w:r>
      <w:r w:rsidRPr="00691C52">
        <w:rPr>
          <w:rFonts w:cstheme="minorHAnsi"/>
          <w:color w:val="231F20"/>
          <w:w w:val="104"/>
        </w:rPr>
        <w:t xml:space="preserve"> </w:t>
      </w:r>
      <w:r w:rsidRPr="00691C52">
        <w:rPr>
          <w:rFonts w:cstheme="minorHAnsi"/>
          <w:color w:val="231F20"/>
          <w:w w:val="105"/>
        </w:rPr>
        <w:t>grant</w:t>
      </w:r>
      <w:r w:rsidRPr="00691C52">
        <w:rPr>
          <w:rFonts w:cstheme="minorHAnsi"/>
          <w:color w:val="231F20"/>
          <w:spacing w:val="13"/>
          <w:w w:val="105"/>
        </w:rPr>
        <w:t xml:space="preserve"> </w:t>
      </w:r>
      <w:r w:rsidRPr="00691C52">
        <w:rPr>
          <w:rFonts w:cstheme="minorHAnsi"/>
          <w:color w:val="231F20"/>
          <w:w w:val="105"/>
        </w:rPr>
        <w:t>year</w:t>
      </w:r>
      <w:r w:rsidRPr="00691C52">
        <w:rPr>
          <w:rFonts w:cstheme="minorHAnsi"/>
          <w:color w:val="231F20"/>
          <w:spacing w:val="13"/>
          <w:w w:val="105"/>
        </w:rPr>
        <w:t xml:space="preserve"> </w:t>
      </w:r>
      <w:r w:rsidRPr="00691C52">
        <w:rPr>
          <w:rFonts w:cstheme="minorHAnsi"/>
          <w:color w:val="231F20"/>
          <w:w w:val="105"/>
        </w:rPr>
        <w:t>must</w:t>
      </w:r>
      <w:r w:rsidRPr="00691C52">
        <w:rPr>
          <w:rFonts w:cstheme="minorHAnsi"/>
          <w:color w:val="231F20"/>
          <w:spacing w:val="13"/>
          <w:w w:val="105"/>
        </w:rPr>
        <w:t xml:space="preserve"> </w:t>
      </w:r>
      <w:r w:rsidRPr="00691C52">
        <w:rPr>
          <w:rFonts w:cstheme="minorHAnsi"/>
          <w:color w:val="231F20"/>
          <w:w w:val="105"/>
        </w:rPr>
        <w:t>submit</w:t>
      </w:r>
      <w:r w:rsidRPr="00691C52">
        <w:rPr>
          <w:rFonts w:cstheme="minorHAnsi"/>
          <w:color w:val="231F20"/>
          <w:spacing w:val="13"/>
          <w:w w:val="105"/>
        </w:rPr>
        <w:t xml:space="preserve"> </w:t>
      </w:r>
      <w:r w:rsidRPr="00691C52">
        <w:rPr>
          <w:rFonts w:cstheme="minorHAnsi"/>
          <w:color w:val="231F20"/>
          <w:w w:val="105"/>
        </w:rPr>
        <w:t>the</w:t>
      </w:r>
      <w:r w:rsidRPr="00691C52">
        <w:rPr>
          <w:rFonts w:cstheme="minorHAnsi"/>
          <w:color w:val="231F20"/>
          <w:spacing w:val="13"/>
          <w:w w:val="105"/>
        </w:rPr>
        <w:t xml:space="preserve"> </w:t>
      </w:r>
      <w:r w:rsidRPr="00691C52">
        <w:rPr>
          <w:rFonts w:cstheme="minorHAnsi"/>
          <w:color w:val="231F20"/>
          <w:w w:val="105"/>
        </w:rPr>
        <w:t>grant</w:t>
      </w:r>
      <w:r w:rsidRPr="00691C52">
        <w:rPr>
          <w:rFonts w:cstheme="minorHAnsi"/>
          <w:color w:val="231F20"/>
          <w:spacing w:val="13"/>
          <w:w w:val="105"/>
        </w:rPr>
        <w:t xml:space="preserve"> </w:t>
      </w:r>
      <w:r w:rsidRPr="00691C52">
        <w:rPr>
          <w:rFonts w:cstheme="minorHAnsi"/>
          <w:color w:val="231F20"/>
          <w:w w:val="105"/>
        </w:rPr>
        <w:t>application</w:t>
      </w:r>
      <w:r w:rsidRPr="00691C52">
        <w:rPr>
          <w:rFonts w:cstheme="minorHAnsi"/>
          <w:color w:val="231F20"/>
          <w:spacing w:val="13"/>
          <w:w w:val="105"/>
        </w:rPr>
        <w:t xml:space="preserve"> </w:t>
      </w:r>
      <w:r w:rsidRPr="00691C52">
        <w:rPr>
          <w:rFonts w:cstheme="minorHAnsi"/>
          <w:color w:val="231F20"/>
          <w:w w:val="105"/>
        </w:rPr>
        <w:t>to</w:t>
      </w:r>
      <w:r w:rsidRPr="00691C52">
        <w:rPr>
          <w:rFonts w:cstheme="minorHAnsi"/>
          <w:color w:val="231F20"/>
          <w:spacing w:val="13"/>
          <w:w w:val="105"/>
        </w:rPr>
        <w:t xml:space="preserve"> </w:t>
      </w:r>
      <w:r w:rsidRPr="00691C52">
        <w:rPr>
          <w:rFonts w:cstheme="minorHAnsi"/>
          <w:color w:val="231F20"/>
          <w:w w:val="105"/>
        </w:rPr>
        <w:t>the</w:t>
      </w:r>
      <w:r w:rsidRPr="00691C52">
        <w:rPr>
          <w:rFonts w:cstheme="minorHAnsi"/>
          <w:color w:val="231F20"/>
          <w:spacing w:val="13"/>
          <w:w w:val="105"/>
        </w:rPr>
        <w:t xml:space="preserve"> </w:t>
      </w:r>
      <w:r w:rsidRPr="00691C52">
        <w:rPr>
          <w:rFonts w:cstheme="minorHAnsi"/>
          <w:color w:val="231F20"/>
          <w:w w:val="105"/>
        </w:rPr>
        <w:t>local</w:t>
      </w:r>
      <w:r w:rsidRPr="00691C52">
        <w:rPr>
          <w:rFonts w:cstheme="minorHAnsi"/>
          <w:color w:val="231F20"/>
          <w:spacing w:val="13"/>
          <w:w w:val="105"/>
        </w:rPr>
        <w:t xml:space="preserve"> </w:t>
      </w:r>
      <w:r w:rsidRPr="00691C52">
        <w:rPr>
          <w:rFonts w:cstheme="minorHAnsi"/>
          <w:color w:val="231F20"/>
          <w:w w:val="105"/>
        </w:rPr>
        <w:t>CareerSource</w:t>
      </w:r>
      <w:r w:rsidRPr="00691C52">
        <w:rPr>
          <w:rFonts w:cstheme="minorHAnsi"/>
          <w:color w:val="231F20"/>
          <w:spacing w:val="13"/>
          <w:w w:val="105"/>
        </w:rPr>
        <w:t xml:space="preserve"> </w:t>
      </w:r>
      <w:r w:rsidRPr="00691C52">
        <w:rPr>
          <w:rFonts w:cstheme="minorHAnsi"/>
          <w:color w:val="231F20"/>
          <w:w w:val="105"/>
        </w:rPr>
        <w:t>Florida</w:t>
      </w:r>
      <w:r w:rsidRPr="00691C52">
        <w:rPr>
          <w:rFonts w:cstheme="minorHAnsi"/>
          <w:color w:val="231F20"/>
          <w:spacing w:val="13"/>
          <w:w w:val="105"/>
        </w:rPr>
        <w:t xml:space="preserve"> </w:t>
      </w:r>
      <w:r w:rsidRPr="00691C52">
        <w:rPr>
          <w:rFonts w:cstheme="minorHAnsi"/>
          <w:color w:val="231F20"/>
          <w:w w:val="105"/>
        </w:rPr>
        <w:t>network</w:t>
      </w:r>
      <w:r w:rsidRPr="00691C52">
        <w:rPr>
          <w:rFonts w:cstheme="minorHAnsi"/>
          <w:color w:val="231F20"/>
          <w:spacing w:val="13"/>
          <w:w w:val="105"/>
        </w:rPr>
        <w:t xml:space="preserve"> </w:t>
      </w:r>
      <w:r w:rsidRPr="00691C52">
        <w:rPr>
          <w:rFonts w:cstheme="minorHAnsi"/>
          <w:color w:val="231F20"/>
          <w:w w:val="105"/>
        </w:rPr>
        <w:t>board</w:t>
      </w:r>
      <w:r w:rsidRPr="00691C52">
        <w:rPr>
          <w:rFonts w:cstheme="minorHAnsi"/>
          <w:color w:val="231F20"/>
          <w:w w:val="107"/>
        </w:rPr>
        <w:t xml:space="preserve"> </w:t>
      </w:r>
      <w:r w:rsidRPr="00691C52">
        <w:rPr>
          <w:rFonts w:cstheme="minorHAnsi"/>
          <w:color w:val="231F20"/>
          <w:w w:val="105"/>
        </w:rPr>
        <w:t>to ensure the activities align with the CareerSource Florida network local</w:t>
      </w:r>
      <w:r w:rsidR="00691C52">
        <w:rPr>
          <w:rFonts w:cstheme="minorHAnsi"/>
          <w:color w:val="231F20"/>
          <w:w w:val="105"/>
        </w:rPr>
        <w:t xml:space="preserve"> </w:t>
      </w:r>
      <w:r w:rsidRPr="00691C52">
        <w:rPr>
          <w:rFonts w:cstheme="minorHAnsi"/>
          <w:color w:val="231F20"/>
          <w:w w:val="105"/>
        </w:rPr>
        <w:t>plan.</w:t>
      </w:r>
      <w:r w:rsidR="00691C52">
        <w:rPr>
          <w:rFonts w:cstheme="minorHAnsi"/>
          <w:color w:val="231F20"/>
          <w:w w:val="105"/>
        </w:rPr>
        <w:t xml:space="preserve"> </w:t>
      </w:r>
      <w:r w:rsidRPr="00691C52">
        <w:rPr>
          <w:rFonts w:cstheme="minorHAnsi"/>
          <w:color w:val="231F20"/>
          <w:w w:val="105"/>
        </w:rPr>
        <w:t>Leadership</w:t>
      </w:r>
      <w:r w:rsidRPr="00691C52">
        <w:rPr>
          <w:rFonts w:cstheme="minorHAnsi"/>
          <w:color w:val="231F20"/>
          <w:spacing w:val="14"/>
          <w:w w:val="105"/>
        </w:rPr>
        <w:t xml:space="preserve"> </w:t>
      </w:r>
      <w:r w:rsidRPr="00691C52">
        <w:rPr>
          <w:rFonts w:cstheme="minorHAnsi"/>
          <w:color w:val="231F20"/>
          <w:w w:val="105"/>
        </w:rPr>
        <w:t>funds</w:t>
      </w:r>
      <w:r w:rsidRPr="00691C52">
        <w:rPr>
          <w:rFonts w:cstheme="minorHAnsi"/>
          <w:color w:val="231F20"/>
          <w:spacing w:val="14"/>
          <w:w w:val="105"/>
        </w:rPr>
        <w:t xml:space="preserve"> </w:t>
      </w:r>
      <w:r w:rsidRPr="00691C52">
        <w:rPr>
          <w:rFonts w:cstheme="minorHAnsi"/>
          <w:color w:val="231F20"/>
          <w:w w:val="105"/>
        </w:rPr>
        <w:t>were used</w:t>
      </w:r>
      <w:r w:rsidRPr="00691C52">
        <w:rPr>
          <w:rFonts w:cstheme="minorHAnsi"/>
          <w:color w:val="231F20"/>
          <w:spacing w:val="14"/>
          <w:w w:val="105"/>
        </w:rPr>
        <w:t xml:space="preserve"> </w:t>
      </w:r>
      <w:r w:rsidRPr="00691C52">
        <w:rPr>
          <w:rFonts w:cstheme="minorHAnsi"/>
          <w:color w:val="231F20"/>
          <w:w w:val="105"/>
        </w:rPr>
        <w:t>to</w:t>
      </w:r>
      <w:r w:rsidRPr="00691C52">
        <w:rPr>
          <w:rFonts w:cstheme="minorHAnsi"/>
          <w:color w:val="231F20"/>
          <w:spacing w:val="14"/>
          <w:w w:val="105"/>
        </w:rPr>
        <w:t xml:space="preserve"> </w:t>
      </w:r>
      <w:r w:rsidRPr="00691C52">
        <w:rPr>
          <w:rFonts w:cstheme="minorHAnsi"/>
          <w:color w:val="231F20"/>
          <w:w w:val="105"/>
        </w:rPr>
        <w:t>conduct</w:t>
      </w:r>
      <w:r w:rsidRPr="00691C52">
        <w:rPr>
          <w:rFonts w:cstheme="minorHAnsi"/>
          <w:color w:val="231F20"/>
          <w:spacing w:val="14"/>
          <w:w w:val="105"/>
        </w:rPr>
        <w:t xml:space="preserve"> </w:t>
      </w:r>
      <w:r w:rsidRPr="00691C52">
        <w:rPr>
          <w:rFonts w:cstheme="minorHAnsi"/>
          <w:color w:val="231F20"/>
          <w:w w:val="105"/>
        </w:rPr>
        <w:t>a</w:t>
      </w:r>
      <w:r w:rsidRPr="00691C52">
        <w:rPr>
          <w:rFonts w:cstheme="minorHAnsi"/>
          <w:color w:val="231F20"/>
          <w:spacing w:val="14"/>
          <w:w w:val="105"/>
        </w:rPr>
        <w:t xml:space="preserve"> </w:t>
      </w:r>
      <w:r w:rsidRPr="00691C52">
        <w:rPr>
          <w:rFonts w:cstheme="minorHAnsi"/>
          <w:color w:val="231F20"/>
          <w:w w:val="105"/>
        </w:rPr>
        <w:t>competitive</w:t>
      </w:r>
      <w:r w:rsidRPr="00691C52">
        <w:rPr>
          <w:rFonts w:cstheme="minorHAnsi"/>
          <w:color w:val="231F20"/>
          <w:spacing w:val="14"/>
          <w:w w:val="105"/>
        </w:rPr>
        <w:t xml:space="preserve"> </w:t>
      </w:r>
      <w:r w:rsidRPr="00691C52">
        <w:rPr>
          <w:rFonts w:cstheme="minorHAnsi"/>
          <w:color w:val="231F20"/>
          <w:w w:val="105"/>
        </w:rPr>
        <w:t>grant</w:t>
      </w:r>
      <w:r w:rsidRPr="00691C52">
        <w:rPr>
          <w:rFonts w:cstheme="minorHAnsi"/>
          <w:color w:val="231F20"/>
          <w:spacing w:val="14"/>
          <w:w w:val="105"/>
        </w:rPr>
        <w:t xml:space="preserve"> </w:t>
      </w:r>
      <w:r w:rsidRPr="00691C52">
        <w:rPr>
          <w:rFonts w:cstheme="minorHAnsi"/>
          <w:color w:val="231F20"/>
          <w:w w:val="105"/>
        </w:rPr>
        <w:t>process</w:t>
      </w:r>
      <w:r w:rsidRPr="00691C52">
        <w:rPr>
          <w:rFonts w:cstheme="minorHAnsi"/>
          <w:color w:val="231F20"/>
          <w:spacing w:val="14"/>
          <w:w w:val="105"/>
        </w:rPr>
        <w:t xml:space="preserve"> </w:t>
      </w:r>
      <w:r w:rsidRPr="00691C52">
        <w:rPr>
          <w:rFonts w:cstheme="minorHAnsi"/>
          <w:color w:val="231F20"/>
          <w:w w:val="105"/>
        </w:rPr>
        <w:t>in</w:t>
      </w:r>
      <w:r w:rsidRPr="00691C52">
        <w:rPr>
          <w:rFonts w:cstheme="minorHAnsi"/>
          <w:color w:val="231F20"/>
          <w:spacing w:val="14"/>
          <w:w w:val="105"/>
        </w:rPr>
        <w:t xml:space="preserve"> </w:t>
      </w:r>
      <w:r w:rsidRPr="00691C52">
        <w:rPr>
          <w:rFonts w:cstheme="minorHAnsi"/>
          <w:color w:val="231F20"/>
          <w:w w:val="105"/>
        </w:rPr>
        <w:t>the</w:t>
      </w:r>
      <w:r w:rsidRPr="00691C52">
        <w:rPr>
          <w:rFonts w:cstheme="minorHAnsi"/>
          <w:color w:val="231F20"/>
          <w:spacing w:val="14"/>
          <w:w w:val="105"/>
        </w:rPr>
        <w:t xml:space="preserve"> </w:t>
      </w:r>
      <w:r w:rsidRPr="00691C52">
        <w:rPr>
          <w:rFonts w:cstheme="minorHAnsi"/>
          <w:color w:val="231F20"/>
          <w:w w:val="105"/>
        </w:rPr>
        <w:t>spring</w:t>
      </w:r>
      <w:r w:rsidRPr="00691C52">
        <w:rPr>
          <w:rFonts w:cstheme="minorHAnsi"/>
          <w:color w:val="231F20"/>
          <w:spacing w:val="14"/>
          <w:w w:val="105"/>
        </w:rPr>
        <w:t xml:space="preserve"> </w:t>
      </w:r>
      <w:r w:rsidRPr="00691C52">
        <w:rPr>
          <w:rFonts w:cstheme="minorHAnsi"/>
          <w:color w:val="231F20"/>
          <w:w w:val="105"/>
        </w:rPr>
        <w:t>of</w:t>
      </w:r>
      <w:r w:rsidRPr="00691C52">
        <w:rPr>
          <w:rFonts w:cstheme="minorHAnsi"/>
          <w:color w:val="231F20"/>
          <w:spacing w:val="14"/>
          <w:w w:val="105"/>
        </w:rPr>
        <w:t xml:space="preserve"> </w:t>
      </w:r>
      <w:r w:rsidRPr="00691C52">
        <w:rPr>
          <w:rFonts w:cstheme="minorHAnsi"/>
          <w:color w:val="231F20"/>
          <w:w w:val="105"/>
        </w:rPr>
        <w:t>2016</w:t>
      </w:r>
      <w:r w:rsidRPr="00691C52">
        <w:rPr>
          <w:rFonts w:cstheme="minorHAnsi"/>
          <w:color w:val="231F20"/>
          <w:spacing w:val="-43"/>
          <w:w w:val="105"/>
        </w:rPr>
        <w:t xml:space="preserve">   </w:t>
      </w:r>
      <w:r w:rsidRPr="00691C52">
        <w:rPr>
          <w:rFonts w:cstheme="minorHAnsi"/>
          <w:color w:val="231F20"/>
          <w:w w:val="105"/>
        </w:rPr>
        <w:t>to</w:t>
      </w:r>
      <w:r w:rsidRPr="00691C52">
        <w:rPr>
          <w:rFonts w:cstheme="minorHAnsi"/>
          <w:color w:val="231F20"/>
          <w:spacing w:val="11"/>
          <w:w w:val="105"/>
        </w:rPr>
        <w:t xml:space="preserve"> </w:t>
      </w:r>
      <w:r w:rsidRPr="00691C52">
        <w:rPr>
          <w:rFonts w:cstheme="minorHAnsi"/>
          <w:color w:val="231F20"/>
          <w:w w:val="105"/>
        </w:rPr>
        <w:t>award</w:t>
      </w:r>
      <w:r w:rsidRPr="00691C52">
        <w:rPr>
          <w:rFonts w:cstheme="minorHAnsi"/>
          <w:color w:val="231F20"/>
          <w:spacing w:val="11"/>
          <w:w w:val="105"/>
        </w:rPr>
        <w:t xml:space="preserve"> </w:t>
      </w:r>
      <w:r w:rsidRPr="00691C52">
        <w:rPr>
          <w:rFonts w:cstheme="minorHAnsi"/>
          <w:color w:val="231F20"/>
          <w:w w:val="105"/>
        </w:rPr>
        <w:t>grants</w:t>
      </w:r>
      <w:r w:rsidRPr="00691C52">
        <w:rPr>
          <w:rFonts w:cstheme="minorHAnsi"/>
          <w:color w:val="231F20"/>
          <w:spacing w:val="11"/>
          <w:w w:val="105"/>
        </w:rPr>
        <w:t xml:space="preserve"> </w:t>
      </w:r>
      <w:r w:rsidRPr="00691C52">
        <w:rPr>
          <w:rFonts w:cstheme="minorHAnsi"/>
          <w:color w:val="231F20"/>
          <w:w w:val="105"/>
        </w:rPr>
        <w:t>in</w:t>
      </w:r>
      <w:r w:rsidRPr="00691C52">
        <w:rPr>
          <w:rFonts w:cstheme="minorHAnsi"/>
          <w:color w:val="231F20"/>
          <w:spacing w:val="11"/>
          <w:w w:val="105"/>
        </w:rPr>
        <w:t xml:space="preserve"> </w:t>
      </w:r>
      <w:r w:rsidRPr="00691C52">
        <w:rPr>
          <w:rFonts w:cstheme="minorHAnsi"/>
          <w:color w:val="231F20"/>
          <w:w w:val="105"/>
        </w:rPr>
        <w:t>the</w:t>
      </w:r>
      <w:r w:rsidRPr="00691C52">
        <w:rPr>
          <w:rFonts w:cstheme="minorHAnsi"/>
          <w:color w:val="231F20"/>
          <w:spacing w:val="11"/>
          <w:w w:val="105"/>
        </w:rPr>
        <w:t xml:space="preserve"> </w:t>
      </w:r>
      <w:r w:rsidRPr="00691C52">
        <w:rPr>
          <w:rFonts w:cstheme="minorHAnsi"/>
          <w:color w:val="231F20"/>
          <w:w w:val="105"/>
        </w:rPr>
        <w:t>amount</w:t>
      </w:r>
      <w:r w:rsidRPr="00691C52">
        <w:rPr>
          <w:rFonts w:cstheme="minorHAnsi"/>
          <w:color w:val="231F20"/>
          <w:spacing w:val="11"/>
          <w:w w:val="105"/>
        </w:rPr>
        <w:t xml:space="preserve"> </w:t>
      </w:r>
      <w:r w:rsidRPr="00691C52">
        <w:rPr>
          <w:rFonts w:cstheme="minorHAnsi"/>
          <w:color w:val="231F20"/>
          <w:w w:val="105"/>
        </w:rPr>
        <w:t>of</w:t>
      </w:r>
      <w:r w:rsidRPr="00691C52">
        <w:rPr>
          <w:rFonts w:cstheme="minorHAnsi"/>
          <w:color w:val="231F20"/>
          <w:spacing w:val="11"/>
          <w:w w:val="105"/>
        </w:rPr>
        <w:t xml:space="preserve"> </w:t>
      </w:r>
      <w:r w:rsidRPr="00691C52">
        <w:rPr>
          <w:rFonts w:cstheme="minorHAnsi"/>
          <w:color w:val="231F20"/>
          <w:w w:val="105"/>
        </w:rPr>
        <w:t>$25,000</w:t>
      </w:r>
      <w:r w:rsidRPr="00691C52">
        <w:rPr>
          <w:rFonts w:cstheme="minorHAnsi"/>
          <w:color w:val="231F20"/>
          <w:spacing w:val="11"/>
          <w:w w:val="105"/>
        </w:rPr>
        <w:t xml:space="preserve"> </w:t>
      </w:r>
      <w:r w:rsidRPr="00691C52">
        <w:rPr>
          <w:rFonts w:cstheme="minorHAnsi"/>
          <w:color w:val="231F20"/>
          <w:w w:val="105"/>
        </w:rPr>
        <w:t>to</w:t>
      </w:r>
      <w:r w:rsidRPr="00691C52">
        <w:rPr>
          <w:rFonts w:cstheme="minorHAnsi"/>
          <w:color w:val="231F20"/>
          <w:spacing w:val="11"/>
          <w:w w:val="105"/>
        </w:rPr>
        <w:t xml:space="preserve"> </w:t>
      </w:r>
      <w:r w:rsidRPr="00691C52">
        <w:rPr>
          <w:rFonts w:cstheme="minorHAnsi"/>
          <w:color w:val="231F20"/>
          <w:w w:val="105"/>
        </w:rPr>
        <w:t>develop</w:t>
      </w:r>
      <w:r w:rsidRPr="00691C52">
        <w:rPr>
          <w:rFonts w:cstheme="minorHAnsi"/>
          <w:color w:val="231F20"/>
          <w:spacing w:val="11"/>
          <w:w w:val="105"/>
        </w:rPr>
        <w:t xml:space="preserve"> </w:t>
      </w:r>
      <w:r w:rsidRPr="00691C52">
        <w:rPr>
          <w:rFonts w:cstheme="minorHAnsi"/>
          <w:color w:val="231F20"/>
          <w:w w:val="105"/>
        </w:rPr>
        <w:t>an</w:t>
      </w:r>
      <w:r w:rsidRPr="00691C52">
        <w:rPr>
          <w:rFonts w:cstheme="minorHAnsi"/>
          <w:color w:val="231F20"/>
          <w:spacing w:val="11"/>
          <w:w w:val="105"/>
        </w:rPr>
        <w:t xml:space="preserve"> </w:t>
      </w:r>
      <w:r w:rsidRPr="00691C52">
        <w:rPr>
          <w:rFonts w:cstheme="minorHAnsi"/>
          <w:color w:val="231F20"/>
          <w:w w:val="105"/>
        </w:rPr>
        <w:t>integrated</w:t>
      </w:r>
      <w:r w:rsidRPr="00691C52">
        <w:rPr>
          <w:rFonts w:cstheme="minorHAnsi"/>
          <w:color w:val="231F20"/>
          <w:spacing w:val="11"/>
          <w:w w:val="105"/>
        </w:rPr>
        <w:t xml:space="preserve"> </w:t>
      </w:r>
      <w:r w:rsidRPr="00691C52">
        <w:rPr>
          <w:rFonts w:cstheme="minorHAnsi"/>
          <w:color w:val="231F20"/>
          <w:w w:val="105"/>
        </w:rPr>
        <w:t>education</w:t>
      </w:r>
      <w:r w:rsidRPr="00691C52">
        <w:rPr>
          <w:rFonts w:cstheme="minorHAnsi"/>
          <w:color w:val="231F20"/>
          <w:spacing w:val="11"/>
          <w:w w:val="105"/>
        </w:rPr>
        <w:t xml:space="preserve"> </w:t>
      </w:r>
      <w:r w:rsidRPr="00691C52">
        <w:rPr>
          <w:rFonts w:cstheme="minorHAnsi"/>
          <w:color w:val="231F20"/>
          <w:w w:val="105"/>
        </w:rPr>
        <w:t>and</w:t>
      </w:r>
      <w:r w:rsidRPr="00691C52">
        <w:rPr>
          <w:rFonts w:cstheme="minorHAnsi"/>
          <w:color w:val="231F20"/>
          <w:spacing w:val="11"/>
          <w:w w:val="105"/>
        </w:rPr>
        <w:t xml:space="preserve"> </w:t>
      </w:r>
      <w:r w:rsidRPr="00691C52">
        <w:rPr>
          <w:rFonts w:cstheme="minorHAnsi"/>
          <w:color w:val="231F20"/>
          <w:w w:val="105"/>
        </w:rPr>
        <w:t>training</w:t>
      </w:r>
      <w:r w:rsidRPr="00691C52">
        <w:rPr>
          <w:rFonts w:cstheme="minorHAnsi"/>
          <w:color w:val="231F20"/>
          <w:spacing w:val="-26"/>
          <w:w w:val="105"/>
        </w:rPr>
        <w:t xml:space="preserve"> </w:t>
      </w:r>
      <w:r w:rsidRPr="00691C52">
        <w:rPr>
          <w:rFonts w:cstheme="minorHAnsi"/>
          <w:color w:val="231F20"/>
          <w:w w:val="105"/>
        </w:rPr>
        <w:t>program.</w:t>
      </w:r>
      <w:r w:rsidRPr="00691C52">
        <w:rPr>
          <w:rFonts w:cstheme="minorHAnsi"/>
          <w:color w:val="231F20"/>
          <w:spacing w:val="13"/>
          <w:w w:val="105"/>
        </w:rPr>
        <w:t xml:space="preserve"> </w:t>
      </w:r>
      <w:r w:rsidRPr="00691C52">
        <w:rPr>
          <w:rFonts w:cstheme="minorHAnsi"/>
          <w:color w:val="231F20"/>
          <w:w w:val="105"/>
        </w:rPr>
        <w:t>Eight</w:t>
      </w:r>
      <w:r w:rsidRPr="00691C52">
        <w:rPr>
          <w:rFonts w:cstheme="minorHAnsi"/>
          <w:color w:val="231F20"/>
          <w:spacing w:val="13"/>
          <w:w w:val="105"/>
        </w:rPr>
        <w:t xml:space="preserve"> </w:t>
      </w:r>
      <w:r w:rsidRPr="00691C52">
        <w:rPr>
          <w:rFonts w:cstheme="minorHAnsi"/>
          <w:color w:val="231F20"/>
          <w:w w:val="105"/>
        </w:rPr>
        <w:t>programs</w:t>
      </w:r>
      <w:r w:rsidRPr="00691C52">
        <w:rPr>
          <w:rFonts w:cstheme="minorHAnsi"/>
          <w:color w:val="231F20"/>
          <w:spacing w:val="13"/>
          <w:w w:val="105"/>
        </w:rPr>
        <w:t xml:space="preserve"> </w:t>
      </w:r>
      <w:r w:rsidRPr="00691C52">
        <w:rPr>
          <w:rFonts w:cstheme="minorHAnsi"/>
          <w:color w:val="231F20"/>
          <w:w w:val="105"/>
        </w:rPr>
        <w:t>were</w:t>
      </w:r>
      <w:r w:rsidRPr="00691C52">
        <w:rPr>
          <w:rFonts w:cstheme="minorHAnsi"/>
          <w:color w:val="231F20"/>
          <w:spacing w:val="13"/>
          <w:w w:val="105"/>
        </w:rPr>
        <w:t xml:space="preserve"> </w:t>
      </w:r>
      <w:r w:rsidRPr="00691C52">
        <w:rPr>
          <w:rFonts w:cstheme="minorHAnsi"/>
          <w:color w:val="231F20"/>
          <w:w w:val="105"/>
        </w:rPr>
        <w:t>awarded</w:t>
      </w:r>
      <w:r w:rsidRPr="00691C52">
        <w:rPr>
          <w:rFonts w:cstheme="minorHAnsi"/>
          <w:color w:val="231F20"/>
          <w:spacing w:val="13"/>
          <w:w w:val="105"/>
        </w:rPr>
        <w:t xml:space="preserve"> </w:t>
      </w:r>
      <w:r w:rsidRPr="00691C52">
        <w:rPr>
          <w:rFonts w:cstheme="minorHAnsi"/>
          <w:color w:val="231F20"/>
          <w:w w:val="105"/>
        </w:rPr>
        <w:t>a</w:t>
      </w:r>
      <w:r w:rsidRPr="00691C52">
        <w:rPr>
          <w:rFonts w:cstheme="minorHAnsi"/>
          <w:color w:val="231F20"/>
          <w:spacing w:val="13"/>
          <w:w w:val="105"/>
        </w:rPr>
        <w:t xml:space="preserve"> </w:t>
      </w:r>
      <w:r w:rsidRPr="00691C52">
        <w:rPr>
          <w:rFonts w:cstheme="minorHAnsi"/>
          <w:color w:val="231F20"/>
          <w:w w:val="105"/>
        </w:rPr>
        <w:t>grant</w:t>
      </w:r>
      <w:r w:rsidRPr="00691C52">
        <w:rPr>
          <w:rFonts w:cstheme="minorHAnsi"/>
          <w:color w:val="231F20"/>
          <w:spacing w:val="13"/>
          <w:w w:val="105"/>
        </w:rPr>
        <w:t xml:space="preserve"> </w:t>
      </w:r>
      <w:r w:rsidRPr="00691C52">
        <w:rPr>
          <w:rFonts w:cstheme="minorHAnsi"/>
          <w:color w:val="231F20"/>
          <w:w w:val="105"/>
        </w:rPr>
        <w:t>in</w:t>
      </w:r>
      <w:r w:rsidRPr="00691C52">
        <w:rPr>
          <w:rFonts w:cstheme="minorHAnsi"/>
          <w:color w:val="231F20"/>
          <w:spacing w:val="13"/>
          <w:w w:val="105"/>
        </w:rPr>
        <w:t xml:space="preserve"> </w:t>
      </w:r>
      <w:r w:rsidRPr="00691C52">
        <w:rPr>
          <w:rFonts w:cstheme="minorHAnsi"/>
          <w:color w:val="231F20"/>
          <w:w w:val="105"/>
        </w:rPr>
        <w:t>the</w:t>
      </w:r>
      <w:r w:rsidRPr="00691C52">
        <w:rPr>
          <w:rFonts w:cstheme="minorHAnsi"/>
          <w:color w:val="231F20"/>
          <w:spacing w:val="13"/>
          <w:w w:val="105"/>
        </w:rPr>
        <w:t xml:space="preserve"> </w:t>
      </w:r>
      <w:r w:rsidRPr="00691C52">
        <w:rPr>
          <w:rFonts w:cstheme="minorHAnsi"/>
          <w:color w:val="231F20"/>
          <w:w w:val="105"/>
        </w:rPr>
        <w:t>2015</w:t>
      </w:r>
      <w:r w:rsidRPr="00691C52">
        <w:rPr>
          <w:rFonts w:cstheme="minorHAnsi"/>
          <w:color w:val="231F20"/>
          <w:spacing w:val="13"/>
          <w:w w:val="105"/>
        </w:rPr>
        <w:t xml:space="preserve"> </w:t>
      </w:r>
      <w:r w:rsidRPr="00691C52">
        <w:rPr>
          <w:rFonts w:cstheme="minorHAnsi"/>
          <w:color w:val="231F20"/>
          <w:w w:val="105"/>
        </w:rPr>
        <w:t>grant</w:t>
      </w:r>
      <w:r w:rsidRPr="00691C52">
        <w:rPr>
          <w:rFonts w:cstheme="minorHAnsi"/>
          <w:color w:val="231F20"/>
          <w:spacing w:val="13"/>
          <w:w w:val="105"/>
        </w:rPr>
        <w:t xml:space="preserve"> </w:t>
      </w:r>
      <w:r w:rsidRPr="00691C52">
        <w:rPr>
          <w:rFonts w:cstheme="minorHAnsi"/>
          <w:color w:val="231F20"/>
          <w:w w:val="105"/>
        </w:rPr>
        <w:t>process, five additional programs in 2016.</w:t>
      </w:r>
      <w:r w:rsidRPr="00691C52">
        <w:rPr>
          <w:rFonts w:cstheme="minorHAnsi"/>
          <w:color w:val="231F20"/>
          <w:spacing w:val="13"/>
          <w:w w:val="105"/>
        </w:rPr>
        <w:t xml:space="preserve"> </w:t>
      </w:r>
      <w:r w:rsidRPr="00691C52">
        <w:rPr>
          <w:rFonts w:cstheme="minorHAnsi"/>
          <w:color w:val="231F20"/>
          <w:w w:val="105"/>
        </w:rPr>
        <w:t>Each</w:t>
      </w:r>
      <w:r w:rsidRPr="00691C52">
        <w:rPr>
          <w:rFonts w:cstheme="minorHAnsi"/>
          <w:color w:val="231F20"/>
          <w:spacing w:val="13"/>
          <w:w w:val="105"/>
        </w:rPr>
        <w:t xml:space="preserve"> </w:t>
      </w:r>
      <w:r w:rsidRPr="00691C52">
        <w:rPr>
          <w:rFonts w:cstheme="minorHAnsi"/>
          <w:color w:val="231F20"/>
          <w:w w:val="105"/>
        </w:rPr>
        <w:t>program</w:t>
      </w:r>
      <w:r w:rsidRPr="00691C52">
        <w:rPr>
          <w:rFonts w:cstheme="minorHAnsi"/>
          <w:color w:val="231F20"/>
          <w:spacing w:val="13"/>
          <w:w w:val="105"/>
        </w:rPr>
        <w:t xml:space="preserve"> </w:t>
      </w:r>
      <w:r w:rsidRPr="00691C52">
        <w:rPr>
          <w:rFonts w:cstheme="minorHAnsi"/>
          <w:color w:val="231F20"/>
          <w:w w:val="105"/>
        </w:rPr>
        <w:t>works closely</w:t>
      </w:r>
      <w:r w:rsidRPr="00691C52">
        <w:rPr>
          <w:rFonts w:cstheme="minorHAnsi"/>
          <w:color w:val="231F20"/>
          <w:spacing w:val="12"/>
          <w:w w:val="105"/>
        </w:rPr>
        <w:t xml:space="preserve"> </w:t>
      </w:r>
      <w:r w:rsidRPr="00691C52">
        <w:rPr>
          <w:rFonts w:cstheme="minorHAnsi"/>
          <w:color w:val="231F20"/>
          <w:w w:val="105"/>
        </w:rPr>
        <w:t>with</w:t>
      </w:r>
      <w:r w:rsidRPr="00691C52">
        <w:rPr>
          <w:rFonts w:cstheme="minorHAnsi"/>
          <w:color w:val="231F20"/>
          <w:spacing w:val="12"/>
          <w:w w:val="105"/>
        </w:rPr>
        <w:t xml:space="preserve"> </w:t>
      </w:r>
      <w:r w:rsidRPr="00691C52">
        <w:rPr>
          <w:rFonts w:cstheme="minorHAnsi"/>
          <w:color w:val="231F20"/>
          <w:w w:val="105"/>
        </w:rPr>
        <w:t>the</w:t>
      </w:r>
      <w:r w:rsidRPr="00691C52">
        <w:rPr>
          <w:rFonts w:cstheme="minorHAnsi"/>
          <w:color w:val="231F20"/>
          <w:spacing w:val="12"/>
          <w:w w:val="105"/>
        </w:rPr>
        <w:t xml:space="preserve"> </w:t>
      </w:r>
      <w:r w:rsidRPr="00691C52">
        <w:rPr>
          <w:rFonts w:cstheme="minorHAnsi"/>
          <w:color w:val="231F20"/>
          <w:w w:val="105"/>
        </w:rPr>
        <w:t>local</w:t>
      </w:r>
      <w:r w:rsidRPr="00691C52">
        <w:rPr>
          <w:rFonts w:cstheme="minorHAnsi"/>
          <w:color w:val="231F20"/>
          <w:spacing w:val="12"/>
          <w:w w:val="105"/>
        </w:rPr>
        <w:t xml:space="preserve"> </w:t>
      </w:r>
      <w:r w:rsidRPr="00691C52">
        <w:rPr>
          <w:rFonts w:cstheme="minorHAnsi"/>
          <w:color w:val="231F20"/>
          <w:w w:val="105"/>
        </w:rPr>
        <w:t>board</w:t>
      </w:r>
      <w:r w:rsidRPr="00691C52">
        <w:rPr>
          <w:rFonts w:cstheme="minorHAnsi"/>
          <w:color w:val="231F20"/>
          <w:spacing w:val="12"/>
          <w:w w:val="105"/>
        </w:rPr>
        <w:t xml:space="preserve"> </w:t>
      </w:r>
      <w:r w:rsidRPr="00691C52">
        <w:rPr>
          <w:rFonts w:cstheme="minorHAnsi"/>
          <w:color w:val="231F20"/>
          <w:w w:val="105"/>
        </w:rPr>
        <w:t>to</w:t>
      </w:r>
      <w:r w:rsidRPr="00691C52">
        <w:rPr>
          <w:rFonts w:cstheme="minorHAnsi"/>
          <w:color w:val="231F20"/>
          <w:spacing w:val="12"/>
          <w:w w:val="105"/>
        </w:rPr>
        <w:t xml:space="preserve"> </w:t>
      </w:r>
      <w:r w:rsidRPr="00691C52">
        <w:rPr>
          <w:rFonts w:cstheme="minorHAnsi"/>
          <w:color w:val="231F20"/>
          <w:w w:val="105"/>
        </w:rPr>
        <w:t>determine</w:t>
      </w:r>
      <w:r w:rsidRPr="00691C52">
        <w:rPr>
          <w:rFonts w:cstheme="minorHAnsi"/>
          <w:color w:val="231F20"/>
          <w:spacing w:val="12"/>
          <w:w w:val="105"/>
        </w:rPr>
        <w:t xml:space="preserve"> </w:t>
      </w:r>
      <w:r w:rsidRPr="00691C52">
        <w:rPr>
          <w:rFonts w:cstheme="minorHAnsi"/>
          <w:color w:val="231F20"/>
          <w:w w:val="105"/>
        </w:rPr>
        <w:t>job</w:t>
      </w:r>
      <w:r w:rsidRPr="00691C52">
        <w:rPr>
          <w:rFonts w:cstheme="minorHAnsi"/>
          <w:color w:val="231F20"/>
          <w:spacing w:val="12"/>
          <w:w w:val="105"/>
        </w:rPr>
        <w:t xml:space="preserve"> </w:t>
      </w:r>
      <w:r w:rsidRPr="00691C52">
        <w:rPr>
          <w:rFonts w:cstheme="minorHAnsi"/>
          <w:color w:val="231F20"/>
          <w:w w:val="105"/>
        </w:rPr>
        <w:t>demand</w:t>
      </w:r>
      <w:r w:rsidRPr="00691C52">
        <w:rPr>
          <w:rFonts w:cstheme="minorHAnsi"/>
          <w:color w:val="231F20"/>
          <w:spacing w:val="12"/>
          <w:w w:val="105"/>
        </w:rPr>
        <w:t xml:space="preserve"> </w:t>
      </w:r>
      <w:r w:rsidRPr="00691C52">
        <w:rPr>
          <w:rFonts w:cstheme="minorHAnsi"/>
          <w:color w:val="231F20"/>
          <w:w w:val="105"/>
        </w:rPr>
        <w:t>when</w:t>
      </w:r>
      <w:r w:rsidRPr="00691C52">
        <w:rPr>
          <w:rFonts w:cstheme="minorHAnsi"/>
          <w:color w:val="231F20"/>
          <w:spacing w:val="12"/>
          <w:w w:val="105"/>
        </w:rPr>
        <w:t xml:space="preserve"> </w:t>
      </w:r>
      <w:r w:rsidRPr="00691C52">
        <w:rPr>
          <w:rFonts w:cstheme="minorHAnsi"/>
          <w:color w:val="231F20"/>
          <w:w w:val="105"/>
        </w:rPr>
        <w:t>they</w:t>
      </w:r>
      <w:r w:rsidRPr="00691C52">
        <w:rPr>
          <w:rFonts w:cstheme="minorHAnsi"/>
          <w:color w:val="231F20"/>
          <w:spacing w:val="12"/>
          <w:w w:val="105"/>
        </w:rPr>
        <w:t xml:space="preserve"> </w:t>
      </w:r>
      <w:r w:rsidRPr="00691C52">
        <w:rPr>
          <w:rFonts w:cstheme="minorHAnsi"/>
          <w:color w:val="231F20"/>
          <w:w w:val="105"/>
        </w:rPr>
        <w:t>are</w:t>
      </w:r>
      <w:r w:rsidRPr="00691C52">
        <w:rPr>
          <w:rFonts w:cstheme="minorHAnsi"/>
          <w:color w:val="231F20"/>
          <w:spacing w:val="12"/>
          <w:w w:val="105"/>
        </w:rPr>
        <w:t xml:space="preserve"> </w:t>
      </w:r>
      <w:r w:rsidRPr="00691C52">
        <w:rPr>
          <w:rFonts w:cstheme="minorHAnsi"/>
          <w:color w:val="231F20"/>
          <w:w w:val="105"/>
        </w:rPr>
        <w:t>selecting</w:t>
      </w:r>
      <w:r w:rsidRPr="00691C52">
        <w:rPr>
          <w:rFonts w:cstheme="minorHAnsi"/>
          <w:color w:val="231F20"/>
          <w:spacing w:val="12"/>
          <w:w w:val="105"/>
        </w:rPr>
        <w:t xml:space="preserve"> </w:t>
      </w:r>
      <w:r w:rsidRPr="00691C52">
        <w:rPr>
          <w:rFonts w:cstheme="minorHAnsi"/>
          <w:color w:val="231F20"/>
          <w:w w:val="105"/>
        </w:rPr>
        <w:t>a</w:t>
      </w:r>
      <w:r w:rsidRPr="00691C52">
        <w:rPr>
          <w:rFonts w:cstheme="minorHAnsi"/>
          <w:color w:val="231F20"/>
          <w:spacing w:val="12"/>
          <w:w w:val="105"/>
        </w:rPr>
        <w:t xml:space="preserve"> </w:t>
      </w:r>
      <w:r w:rsidRPr="00691C52">
        <w:rPr>
          <w:rFonts w:cstheme="minorHAnsi"/>
          <w:color w:val="231F20"/>
          <w:w w:val="105"/>
        </w:rPr>
        <w:t>career</w:t>
      </w:r>
      <w:r w:rsidRPr="00691C52">
        <w:rPr>
          <w:rFonts w:cstheme="minorHAnsi"/>
          <w:color w:val="231F20"/>
          <w:spacing w:val="-49"/>
          <w:w w:val="105"/>
        </w:rPr>
        <w:t xml:space="preserve"> </w:t>
      </w:r>
      <w:r w:rsidRPr="00691C52">
        <w:rPr>
          <w:rFonts w:cstheme="minorHAnsi"/>
          <w:color w:val="231F20"/>
          <w:w w:val="105"/>
        </w:rPr>
        <w:t>pathway</w:t>
      </w:r>
      <w:r w:rsidRPr="00691C52">
        <w:rPr>
          <w:rFonts w:cstheme="minorHAnsi"/>
          <w:color w:val="231F20"/>
          <w:spacing w:val="9"/>
          <w:w w:val="105"/>
        </w:rPr>
        <w:t xml:space="preserve"> </w:t>
      </w:r>
      <w:r w:rsidRPr="00691C52">
        <w:rPr>
          <w:rFonts w:cstheme="minorHAnsi"/>
          <w:color w:val="231F20"/>
          <w:w w:val="105"/>
        </w:rPr>
        <w:t>program</w:t>
      </w:r>
      <w:r w:rsidRPr="00691C52">
        <w:rPr>
          <w:rFonts w:cstheme="minorHAnsi"/>
          <w:color w:val="231F20"/>
          <w:spacing w:val="9"/>
          <w:w w:val="105"/>
        </w:rPr>
        <w:t xml:space="preserve"> </w:t>
      </w:r>
      <w:r w:rsidRPr="00691C52">
        <w:rPr>
          <w:rFonts w:cstheme="minorHAnsi"/>
          <w:color w:val="231F20"/>
          <w:w w:val="105"/>
        </w:rPr>
        <w:t>that</w:t>
      </w:r>
      <w:r w:rsidRPr="00691C52">
        <w:rPr>
          <w:rFonts w:cstheme="minorHAnsi"/>
          <w:color w:val="231F20"/>
          <w:spacing w:val="9"/>
          <w:w w:val="105"/>
        </w:rPr>
        <w:t xml:space="preserve"> </w:t>
      </w:r>
      <w:r w:rsidRPr="00691C52">
        <w:rPr>
          <w:rFonts w:cstheme="minorHAnsi"/>
          <w:color w:val="231F20"/>
          <w:w w:val="105"/>
        </w:rPr>
        <w:t>is</w:t>
      </w:r>
      <w:r w:rsidRPr="00691C52">
        <w:rPr>
          <w:rFonts w:cstheme="minorHAnsi"/>
          <w:color w:val="231F20"/>
          <w:spacing w:val="9"/>
          <w:w w:val="105"/>
        </w:rPr>
        <w:t xml:space="preserve"> </w:t>
      </w:r>
      <w:r w:rsidRPr="00691C52">
        <w:rPr>
          <w:rFonts w:cstheme="minorHAnsi"/>
          <w:color w:val="231F20"/>
          <w:w w:val="105"/>
        </w:rPr>
        <w:t>offered</w:t>
      </w:r>
      <w:r w:rsidRPr="00691C52">
        <w:rPr>
          <w:rFonts w:cstheme="minorHAnsi"/>
          <w:color w:val="231F20"/>
          <w:spacing w:val="9"/>
          <w:w w:val="105"/>
        </w:rPr>
        <w:t xml:space="preserve"> </w:t>
      </w:r>
      <w:r w:rsidRPr="00691C52">
        <w:rPr>
          <w:rFonts w:cstheme="minorHAnsi"/>
          <w:color w:val="231F20"/>
          <w:w w:val="105"/>
        </w:rPr>
        <w:t>by</w:t>
      </w:r>
      <w:r w:rsidRPr="00691C52">
        <w:rPr>
          <w:rFonts w:cstheme="minorHAnsi"/>
          <w:color w:val="231F20"/>
          <w:spacing w:val="9"/>
          <w:w w:val="105"/>
        </w:rPr>
        <w:t xml:space="preserve"> </w:t>
      </w:r>
      <w:r w:rsidRPr="00691C52">
        <w:rPr>
          <w:rFonts w:cstheme="minorHAnsi"/>
          <w:color w:val="231F20"/>
          <w:w w:val="105"/>
        </w:rPr>
        <w:t>their</w:t>
      </w:r>
      <w:r w:rsidRPr="00691C52">
        <w:rPr>
          <w:rFonts w:cstheme="minorHAnsi"/>
          <w:color w:val="231F20"/>
          <w:spacing w:val="9"/>
          <w:w w:val="105"/>
        </w:rPr>
        <w:t xml:space="preserve"> </w:t>
      </w:r>
      <w:r w:rsidRPr="00691C52">
        <w:rPr>
          <w:rFonts w:cstheme="minorHAnsi"/>
          <w:color w:val="231F20"/>
          <w:w w:val="105"/>
        </w:rPr>
        <w:t>local</w:t>
      </w:r>
      <w:r w:rsidRPr="00691C52">
        <w:rPr>
          <w:rFonts w:cstheme="minorHAnsi"/>
          <w:color w:val="231F20"/>
          <w:spacing w:val="9"/>
          <w:w w:val="105"/>
        </w:rPr>
        <w:t xml:space="preserve"> </w:t>
      </w:r>
      <w:r w:rsidRPr="00691C52">
        <w:rPr>
          <w:rFonts w:cstheme="minorHAnsi"/>
          <w:color w:val="231F20"/>
          <w:w w:val="105"/>
        </w:rPr>
        <w:t>regional</w:t>
      </w:r>
      <w:r w:rsidRPr="00691C52">
        <w:rPr>
          <w:rFonts w:cstheme="minorHAnsi"/>
          <w:color w:val="231F20"/>
          <w:spacing w:val="8"/>
          <w:w w:val="105"/>
        </w:rPr>
        <w:t xml:space="preserve"> </w:t>
      </w:r>
      <w:r w:rsidRPr="00691C52">
        <w:rPr>
          <w:rFonts w:cstheme="minorHAnsi"/>
          <w:color w:val="231F20"/>
          <w:w w:val="105"/>
        </w:rPr>
        <w:t>technical</w:t>
      </w:r>
      <w:r w:rsidRPr="00691C52">
        <w:rPr>
          <w:rFonts w:cstheme="minorHAnsi"/>
          <w:color w:val="231F20"/>
          <w:spacing w:val="9"/>
          <w:w w:val="105"/>
        </w:rPr>
        <w:t xml:space="preserve"> </w:t>
      </w:r>
      <w:r w:rsidRPr="00691C52">
        <w:rPr>
          <w:rFonts w:cstheme="minorHAnsi"/>
          <w:color w:val="231F20"/>
          <w:w w:val="105"/>
        </w:rPr>
        <w:t>center</w:t>
      </w:r>
      <w:r w:rsidRPr="00691C52">
        <w:rPr>
          <w:rFonts w:cstheme="minorHAnsi"/>
          <w:color w:val="231F20"/>
          <w:spacing w:val="9"/>
          <w:w w:val="105"/>
        </w:rPr>
        <w:t xml:space="preserve"> </w:t>
      </w:r>
      <w:r w:rsidRPr="00691C52">
        <w:rPr>
          <w:rFonts w:cstheme="minorHAnsi"/>
          <w:color w:val="231F20"/>
          <w:w w:val="105"/>
        </w:rPr>
        <w:t>or</w:t>
      </w:r>
      <w:r w:rsidRPr="00691C52">
        <w:rPr>
          <w:rFonts w:cstheme="minorHAnsi"/>
          <w:color w:val="231F20"/>
          <w:spacing w:val="9"/>
          <w:w w:val="105"/>
        </w:rPr>
        <w:t xml:space="preserve"> </w:t>
      </w:r>
      <w:r w:rsidRPr="00691C52">
        <w:rPr>
          <w:rFonts w:cstheme="minorHAnsi"/>
          <w:color w:val="231F20"/>
          <w:w w:val="105"/>
        </w:rPr>
        <w:t>college</w:t>
      </w:r>
      <w:r w:rsidRPr="00691C52">
        <w:rPr>
          <w:rFonts w:cstheme="minorHAnsi"/>
          <w:color w:val="231F20"/>
          <w:spacing w:val="9"/>
          <w:w w:val="105"/>
        </w:rPr>
        <w:t xml:space="preserve"> </w:t>
      </w:r>
      <w:r w:rsidRPr="00691C52">
        <w:rPr>
          <w:rFonts w:cstheme="minorHAnsi"/>
          <w:color w:val="231F20"/>
          <w:w w:val="105"/>
        </w:rPr>
        <w:t>or</w:t>
      </w:r>
      <w:r w:rsidRPr="00691C52">
        <w:rPr>
          <w:rFonts w:cstheme="minorHAnsi"/>
          <w:color w:val="231F20"/>
          <w:spacing w:val="9"/>
          <w:w w:val="105"/>
        </w:rPr>
        <w:t xml:space="preserve"> </w:t>
      </w:r>
      <w:r w:rsidRPr="00691C52">
        <w:rPr>
          <w:rFonts w:cstheme="minorHAnsi"/>
          <w:color w:val="231F20"/>
          <w:w w:val="105"/>
        </w:rPr>
        <w:t>state</w:t>
      </w:r>
      <w:r w:rsidRPr="00691C52">
        <w:rPr>
          <w:rFonts w:cstheme="minorHAnsi"/>
          <w:color w:val="231F20"/>
          <w:spacing w:val="-29"/>
          <w:w w:val="105"/>
        </w:rPr>
        <w:t xml:space="preserve"> </w:t>
      </w:r>
      <w:r w:rsidRPr="00691C52">
        <w:rPr>
          <w:rFonts w:cstheme="minorHAnsi"/>
          <w:color w:val="231F20"/>
          <w:w w:val="105"/>
        </w:rPr>
        <w:t>college.</w:t>
      </w:r>
    </w:p>
    <w:p w14:paraId="6BC80293" w14:textId="77777777" w:rsidR="00D6480A" w:rsidRPr="00C84023" w:rsidRDefault="00D6480A" w:rsidP="00D63204">
      <w:pPr>
        <w:widowControl w:val="0"/>
        <w:spacing w:before="5" w:after="0" w:line="240" w:lineRule="auto"/>
        <w:ind w:left="90"/>
        <w:rPr>
          <w:rFonts w:cstheme="minorHAnsi"/>
          <w:sz w:val="16"/>
          <w:szCs w:val="16"/>
        </w:rPr>
      </w:pPr>
    </w:p>
    <w:p w14:paraId="7317B9F6" w14:textId="722A9FB6" w:rsidR="00D6480A" w:rsidRPr="00C84023" w:rsidRDefault="00D6480A" w:rsidP="00D63204">
      <w:pPr>
        <w:widowControl w:val="0"/>
        <w:spacing w:after="0" w:line="264" w:lineRule="exact"/>
        <w:ind w:left="90"/>
        <w:rPr>
          <w:rFonts w:cstheme="minorHAnsi"/>
        </w:rPr>
      </w:pPr>
      <w:r w:rsidRPr="00C84023">
        <w:rPr>
          <w:rFonts w:cstheme="minorHAnsi"/>
          <w:color w:val="231F20"/>
          <w:w w:val="105"/>
        </w:rPr>
        <w:t>CareerSource</w:t>
      </w:r>
      <w:r w:rsidRPr="00C84023">
        <w:rPr>
          <w:rFonts w:cstheme="minorHAnsi"/>
          <w:color w:val="231F20"/>
          <w:spacing w:val="15"/>
          <w:w w:val="105"/>
        </w:rPr>
        <w:t xml:space="preserve"> </w:t>
      </w:r>
      <w:r w:rsidRPr="00C84023">
        <w:rPr>
          <w:rFonts w:cstheme="minorHAnsi"/>
          <w:color w:val="231F20"/>
          <w:w w:val="105"/>
        </w:rPr>
        <w:t>Florida</w:t>
      </w:r>
      <w:r w:rsidRPr="00C84023">
        <w:rPr>
          <w:rFonts w:cstheme="minorHAnsi"/>
          <w:color w:val="231F20"/>
          <w:spacing w:val="15"/>
          <w:w w:val="105"/>
        </w:rPr>
        <w:t xml:space="preserve"> </w:t>
      </w:r>
      <w:r w:rsidRPr="00C84023">
        <w:rPr>
          <w:rFonts w:cstheme="minorHAnsi"/>
          <w:color w:val="231F20"/>
          <w:w w:val="105"/>
        </w:rPr>
        <w:t>network</w:t>
      </w:r>
      <w:r w:rsidRPr="00C84023">
        <w:rPr>
          <w:rFonts w:cstheme="minorHAnsi"/>
          <w:color w:val="231F20"/>
          <w:spacing w:val="15"/>
          <w:w w:val="105"/>
        </w:rPr>
        <w:t xml:space="preserve"> </w:t>
      </w:r>
      <w:r w:rsidRPr="00C84023">
        <w:rPr>
          <w:rFonts w:cstheme="minorHAnsi"/>
          <w:color w:val="231F20"/>
          <w:w w:val="105"/>
        </w:rPr>
        <w:t>career</w:t>
      </w:r>
      <w:r w:rsidRPr="00C84023">
        <w:rPr>
          <w:rFonts w:cstheme="minorHAnsi"/>
          <w:color w:val="231F20"/>
          <w:spacing w:val="15"/>
          <w:w w:val="105"/>
        </w:rPr>
        <w:t xml:space="preserve"> </w:t>
      </w:r>
      <w:r w:rsidRPr="00C84023">
        <w:rPr>
          <w:rFonts w:cstheme="minorHAnsi"/>
          <w:color w:val="231F20"/>
          <w:w w:val="105"/>
        </w:rPr>
        <w:t>centers</w:t>
      </w:r>
      <w:r w:rsidRPr="00C84023">
        <w:rPr>
          <w:rFonts w:cstheme="minorHAnsi"/>
          <w:color w:val="231F20"/>
          <w:spacing w:val="15"/>
          <w:w w:val="105"/>
        </w:rPr>
        <w:t xml:space="preserve"> </w:t>
      </w:r>
      <w:r w:rsidRPr="00C84023">
        <w:rPr>
          <w:rFonts w:cstheme="minorHAnsi"/>
          <w:color w:val="231F20"/>
          <w:w w:val="105"/>
        </w:rPr>
        <w:t>and</w:t>
      </w:r>
      <w:r w:rsidRPr="00C84023">
        <w:rPr>
          <w:rFonts w:cstheme="minorHAnsi"/>
          <w:color w:val="231F20"/>
          <w:spacing w:val="15"/>
          <w:w w:val="105"/>
        </w:rPr>
        <w:t xml:space="preserve"> </w:t>
      </w:r>
      <w:r w:rsidRPr="00C84023">
        <w:rPr>
          <w:rFonts w:cstheme="minorHAnsi"/>
          <w:color w:val="231F20"/>
          <w:w w:val="105"/>
        </w:rPr>
        <w:t>adult</w:t>
      </w:r>
      <w:r w:rsidRPr="00C84023">
        <w:rPr>
          <w:rFonts w:cstheme="minorHAnsi"/>
          <w:color w:val="231F20"/>
          <w:spacing w:val="15"/>
          <w:w w:val="105"/>
        </w:rPr>
        <w:t xml:space="preserve"> </w:t>
      </w:r>
      <w:r w:rsidRPr="00C84023">
        <w:rPr>
          <w:rFonts w:cstheme="minorHAnsi"/>
          <w:color w:val="231F20"/>
          <w:w w:val="105"/>
        </w:rPr>
        <w:t>education</w:t>
      </w:r>
      <w:r w:rsidRPr="00C84023">
        <w:rPr>
          <w:rFonts w:cstheme="minorHAnsi"/>
          <w:color w:val="231F20"/>
          <w:spacing w:val="15"/>
          <w:w w:val="105"/>
        </w:rPr>
        <w:t xml:space="preserve"> </w:t>
      </w:r>
      <w:r w:rsidRPr="00C84023">
        <w:rPr>
          <w:rFonts w:cstheme="minorHAnsi"/>
          <w:color w:val="231F20"/>
          <w:w w:val="105"/>
        </w:rPr>
        <w:t>programs</w:t>
      </w:r>
      <w:r w:rsidRPr="00C84023">
        <w:rPr>
          <w:rFonts w:cstheme="minorHAnsi"/>
          <w:color w:val="231F20"/>
          <w:spacing w:val="15"/>
          <w:w w:val="105"/>
        </w:rPr>
        <w:t xml:space="preserve"> </w:t>
      </w:r>
      <w:r w:rsidRPr="00C84023">
        <w:rPr>
          <w:rFonts w:cstheme="minorHAnsi"/>
          <w:color w:val="231F20"/>
          <w:w w:val="105"/>
        </w:rPr>
        <w:t>work</w:t>
      </w:r>
      <w:r w:rsidRPr="00C84023">
        <w:rPr>
          <w:rFonts w:cstheme="minorHAnsi"/>
          <w:color w:val="231F20"/>
          <w:spacing w:val="15"/>
          <w:w w:val="105"/>
        </w:rPr>
        <w:t xml:space="preserve"> </w:t>
      </w:r>
      <w:r w:rsidRPr="00C84023">
        <w:rPr>
          <w:rFonts w:cstheme="minorHAnsi"/>
          <w:color w:val="231F20"/>
          <w:w w:val="105"/>
        </w:rPr>
        <w:t>collaboratively</w:t>
      </w:r>
      <w:r w:rsidRPr="00C84023">
        <w:rPr>
          <w:rFonts w:cstheme="minorHAnsi"/>
          <w:color w:val="231F20"/>
          <w:spacing w:val="15"/>
          <w:w w:val="105"/>
        </w:rPr>
        <w:t xml:space="preserve"> </w:t>
      </w:r>
      <w:r w:rsidRPr="00C84023">
        <w:rPr>
          <w:rFonts w:cstheme="minorHAnsi"/>
          <w:color w:val="231F20"/>
          <w:w w:val="105"/>
        </w:rPr>
        <w:t>within</w:t>
      </w:r>
      <w:r w:rsidRPr="00C84023">
        <w:rPr>
          <w:rFonts w:cstheme="minorHAnsi"/>
          <w:color w:val="231F20"/>
          <w:spacing w:val="-13"/>
          <w:w w:val="105"/>
        </w:rPr>
        <w:t xml:space="preserve"> </w:t>
      </w:r>
      <w:r w:rsidRPr="00C84023">
        <w:rPr>
          <w:rFonts w:cstheme="minorHAnsi"/>
          <w:color w:val="231F20"/>
          <w:w w:val="105"/>
        </w:rPr>
        <w:t>their</w:t>
      </w:r>
      <w:r w:rsidRPr="00C84023">
        <w:rPr>
          <w:rFonts w:cstheme="minorHAnsi"/>
          <w:color w:val="231F20"/>
          <w:spacing w:val="12"/>
          <w:w w:val="105"/>
        </w:rPr>
        <w:t xml:space="preserve"> </w:t>
      </w:r>
      <w:r w:rsidRPr="00C84023">
        <w:rPr>
          <w:rFonts w:cstheme="minorHAnsi"/>
          <w:color w:val="231F20"/>
          <w:w w:val="105"/>
        </w:rPr>
        <w:t>local</w:t>
      </w:r>
      <w:r w:rsidRPr="00C84023">
        <w:rPr>
          <w:rFonts w:cstheme="minorHAnsi"/>
          <w:color w:val="231F20"/>
          <w:spacing w:val="12"/>
          <w:w w:val="105"/>
        </w:rPr>
        <w:t xml:space="preserve"> </w:t>
      </w:r>
      <w:r w:rsidRPr="00C84023">
        <w:rPr>
          <w:rFonts w:cstheme="minorHAnsi"/>
          <w:color w:val="231F20"/>
          <w:w w:val="105"/>
        </w:rPr>
        <w:t>areas;</w:t>
      </w:r>
      <w:r w:rsidRPr="00C84023">
        <w:rPr>
          <w:rFonts w:cstheme="minorHAnsi"/>
          <w:color w:val="231F20"/>
          <w:spacing w:val="12"/>
          <w:w w:val="105"/>
        </w:rPr>
        <w:t xml:space="preserve"> </w:t>
      </w:r>
      <w:r w:rsidRPr="00C84023">
        <w:rPr>
          <w:rFonts w:cstheme="minorHAnsi"/>
          <w:color w:val="231F20"/>
          <w:w w:val="105"/>
        </w:rPr>
        <w:t>assessment</w:t>
      </w:r>
      <w:r w:rsidRPr="00C84023">
        <w:rPr>
          <w:rFonts w:cstheme="minorHAnsi"/>
          <w:color w:val="231F20"/>
          <w:spacing w:val="12"/>
          <w:w w:val="105"/>
        </w:rPr>
        <w:t xml:space="preserve"> </w:t>
      </w:r>
      <w:r w:rsidRPr="00C84023">
        <w:rPr>
          <w:rFonts w:cstheme="minorHAnsi"/>
          <w:color w:val="231F20"/>
          <w:w w:val="105"/>
        </w:rPr>
        <w:t>and</w:t>
      </w:r>
      <w:r w:rsidRPr="00C84023">
        <w:rPr>
          <w:rFonts w:cstheme="minorHAnsi"/>
          <w:color w:val="231F20"/>
          <w:spacing w:val="12"/>
          <w:w w:val="105"/>
        </w:rPr>
        <w:t xml:space="preserve"> </w:t>
      </w:r>
      <w:r w:rsidRPr="00C84023">
        <w:rPr>
          <w:rFonts w:cstheme="minorHAnsi"/>
          <w:color w:val="231F20"/>
          <w:w w:val="105"/>
        </w:rPr>
        <w:t>instructional</w:t>
      </w:r>
      <w:r w:rsidRPr="00C84023">
        <w:rPr>
          <w:rFonts w:cstheme="minorHAnsi"/>
          <w:color w:val="231F20"/>
          <w:spacing w:val="12"/>
          <w:w w:val="105"/>
        </w:rPr>
        <w:t xml:space="preserve"> </w:t>
      </w:r>
      <w:r w:rsidRPr="00C84023">
        <w:rPr>
          <w:rFonts w:cstheme="minorHAnsi"/>
          <w:color w:val="231F20"/>
          <w:w w:val="105"/>
        </w:rPr>
        <w:t>services</w:t>
      </w:r>
      <w:r w:rsidRPr="00C84023">
        <w:rPr>
          <w:rFonts w:cstheme="minorHAnsi"/>
          <w:color w:val="231F20"/>
          <w:spacing w:val="12"/>
          <w:w w:val="105"/>
        </w:rPr>
        <w:t xml:space="preserve"> </w:t>
      </w:r>
      <w:r w:rsidRPr="00C84023">
        <w:rPr>
          <w:rFonts w:cstheme="minorHAnsi"/>
          <w:color w:val="231F20"/>
          <w:w w:val="105"/>
        </w:rPr>
        <w:t>are</w:t>
      </w:r>
      <w:r w:rsidRPr="00C84023">
        <w:rPr>
          <w:rFonts w:cstheme="minorHAnsi"/>
          <w:color w:val="231F20"/>
          <w:spacing w:val="12"/>
          <w:w w:val="105"/>
        </w:rPr>
        <w:t xml:space="preserve"> </w:t>
      </w:r>
      <w:r w:rsidRPr="00C84023">
        <w:rPr>
          <w:rFonts w:cstheme="minorHAnsi"/>
          <w:color w:val="231F20"/>
          <w:w w:val="105"/>
        </w:rPr>
        <w:t>provided</w:t>
      </w:r>
      <w:r w:rsidRPr="00C84023">
        <w:rPr>
          <w:rFonts w:cstheme="minorHAnsi"/>
          <w:color w:val="231F20"/>
          <w:spacing w:val="12"/>
          <w:w w:val="105"/>
        </w:rPr>
        <w:t xml:space="preserve"> </w:t>
      </w:r>
      <w:r w:rsidR="00C00BCD">
        <w:rPr>
          <w:rFonts w:cstheme="minorHAnsi"/>
          <w:color w:val="231F20"/>
          <w:w w:val="105"/>
        </w:rPr>
        <w:t>on</w:t>
      </w:r>
      <w:r w:rsidRPr="00C84023">
        <w:rPr>
          <w:rFonts w:cstheme="minorHAnsi"/>
          <w:color w:val="231F20"/>
          <w:w w:val="105"/>
        </w:rPr>
        <w:t>site</w:t>
      </w:r>
      <w:r w:rsidRPr="00C84023">
        <w:rPr>
          <w:rFonts w:cstheme="minorHAnsi"/>
          <w:color w:val="231F20"/>
          <w:spacing w:val="12"/>
          <w:w w:val="105"/>
        </w:rPr>
        <w:t xml:space="preserve"> </w:t>
      </w:r>
      <w:r w:rsidRPr="00C84023">
        <w:rPr>
          <w:rFonts w:cstheme="minorHAnsi"/>
          <w:color w:val="231F20"/>
          <w:w w:val="105"/>
        </w:rPr>
        <w:t>at</w:t>
      </w:r>
      <w:r w:rsidRPr="00C84023">
        <w:rPr>
          <w:rFonts w:cstheme="minorHAnsi"/>
          <w:color w:val="231F20"/>
          <w:spacing w:val="12"/>
          <w:w w:val="105"/>
        </w:rPr>
        <w:t xml:space="preserve"> </w:t>
      </w:r>
      <w:r w:rsidRPr="00C84023">
        <w:rPr>
          <w:rFonts w:cstheme="minorHAnsi"/>
          <w:color w:val="231F20"/>
          <w:w w:val="105"/>
        </w:rPr>
        <w:t>the</w:t>
      </w:r>
      <w:r w:rsidRPr="00C84023">
        <w:rPr>
          <w:rFonts w:cstheme="minorHAnsi"/>
          <w:color w:val="231F20"/>
          <w:spacing w:val="12"/>
          <w:w w:val="105"/>
        </w:rPr>
        <w:t xml:space="preserve"> </w:t>
      </w:r>
      <w:r w:rsidRPr="00C84023">
        <w:rPr>
          <w:rFonts w:cstheme="minorHAnsi"/>
          <w:color w:val="231F20"/>
          <w:w w:val="105"/>
        </w:rPr>
        <w:t>centers.</w:t>
      </w:r>
      <w:r w:rsidRPr="00C84023">
        <w:rPr>
          <w:rFonts w:cstheme="minorHAnsi"/>
          <w:color w:val="231F20"/>
          <w:spacing w:val="12"/>
          <w:w w:val="105"/>
        </w:rPr>
        <w:t xml:space="preserve"> </w:t>
      </w:r>
      <w:r w:rsidRPr="00C84023">
        <w:rPr>
          <w:rFonts w:cstheme="minorHAnsi"/>
          <w:color w:val="231F20"/>
          <w:w w:val="105"/>
        </w:rPr>
        <w:t>CareerSource</w:t>
      </w:r>
      <w:r w:rsidRPr="00C84023">
        <w:rPr>
          <w:rFonts w:cstheme="minorHAnsi"/>
          <w:color w:val="231F20"/>
          <w:spacing w:val="13"/>
          <w:w w:val="105"/>
        </w:rPr>
        <w:t xml:space="preserve"> </w:t>
      </w:r>
      <w:r w:rsidRPr="00C84023">
        <w:rPr>
          <w:rFonts w:cstheme="minorHAnsi"/>
          <w:color w:val="231F20"/>
          <w:w w:val="105"/>
        </w:rPr>
        <w:t>Florida</w:t>
      </w:r>
      <w:r w:rsidRPr="00C84023">
        <w:rPr>
          <w:rFonts w:cstheme="minorHAnsi"/>
          <w:color w:val="231F20"/>
          <w:spacing w:val="13"/>
          <w:w w:val="105"/>
        </w:rPr>
        <w:t xml:space="preserve"> </w:t>
      </w:r>
      <w:r w:rsidRPr="00C84023">
        <w:rPr>
          <w:rFonts w:cstheme="minorHAnsi"/>
          <w:color w:val="231F20"/>
          <w:w w:val="105"/>
        </w:rPr>
        <w:t>network</w:t>
      </w:r>
      <w:r w:rsidRPr="00C84023">
        <w:rPr>
          <w:rFonts w:cstheme="minorHAnsi"/>
          <w:color w:val="231F20"/>
          <w:spacing w:val="13"/>
          <w:w w:val="105"/>
        </w:rPr>
        <w:t xml:space="preserve"> </w:t>
      </w:r>
      <w:r w:rsidRPr="00C84023">
        <w:rPr>
          <w:rFonts w:cstheme="minorHAnsi"/>
          <w:color w:val="231F20"/>
          <w:w w:val="105"/>
        </w:rPr>
        <w:t>career</w:t>
      </w:r>
      <w:r w:rsidRPr="00C84023">
        <w:rPr>
          <w:rFonts w:cstheme="minorHAnsi"/>
          <w:color w:val="231F20"/>
          <w:spacing w:val="13"/>
          <w:w w:val="105"/>
        </w:rPr>
        <w:t xml:space="preserve"> </w:t>
      </w:r>
      <w:r w:rsidRPr="00C84023">
        <w:rPr>
          <w:rFonts w:cstheme="minorHAnsi"/>
          <w:color w:val="231F20"/>
          <w:w w:val="105"/>
        </w:rPr>
        <w:t>center</w:t>
      </w:r>
      <w:r w:rsidRPr="00C84023">
        <w:rPr>
          <w:rFonts w:cstheme="minorHAnsi"/>
          <w:color w:val="231F20"/>
          <w:spacing w:val="13"/>
          <w:w w:val="105"/>
        </w:rPr>
        <w:t xml:space="preserve"> </w:t>
      </w:r>
      <w:r w:rsidRPr="00C84023">
        <w:rPr>
          <w:rFonts w:cstheme="minorHAnsi"/>
          <w:color w:val="231F20"/>
          <w:w w:val="105"/>
        </w:rPr>
        <w:t>staff</w:t>
      </w:r>
      <w:r w:rsidRPr="00C84023">
        <w:rPr>
          <w:rFonts w:cstheme="minorHAnsi"/>
          <w:color w:val="231F20"/>
          <w:spacing w:val="13"/>
          <w:w w:val="105"/>
        </w:rPr>
        <w:t xml:space="preserve"> </w:t>
      </w:r>
      <w:r w:rsidR="006D4F17">
        <w:rPr>
          <w:rFonts w:cstheme="minorHAnsi"/>
          <w:color w:val="231F20"/>
          <w:w w:val="105"/>
        </w:rPr>
        <w:t>are</w:t>
      </w:r>
      <w:r w:rsidRPr="00C84023">
        <w:rPr>
          <w:rFonts w:cstheme="minorHAnsi"/>
          <w:color w:val="231F20"/>
          <w:spacing w:val="13"/>
          <w:w w:val="105"/>
        </w:rPr>
        <w:t xml:space="preserve"> </w:t>
      </w:r>
      <w:r w:rsidRPr="00C84023">
        <w:rPr>
          <w:rFonts w:cstheme="minorHAnsi"/>
          <w:color w:val="231F20"/>
          <w:w w:val="105"/>
        </w:rPr>
        <w:t>provided</w:t>
      </w:r>
      <w:r w:rsidRPr="00C84023">
        <w:rPr>
          <w:rFonts w:cstheme="minorHAnsi"/>
          <w:color w:val="231F20"/>
          <w:spacing w:val="13"/>
          <w:w w:val="105"/>
        </w:rPr>
        <w:t xml:space="preserve"> </w:t>
      </w:r>
      <w:r w:rsidRPr="00C84023">
        <w:rPr>
          <w:rFonts w:cstheme="minorHAnsi"/>
          <w:color w:val="231F20"/>
          <w:w w:val="105"/>
        </w:rPr>
        <w:t>the</w:t>
      </w:r>
      <w:r w:rsidRPr="00C84023">
        <w:rPr>
          <w:rFonts w:cstheme="minorHAnsi"/>
          <w:color w:val="231F20"/>
          <w:spacing w:val="13"/>
          <w:w w:val="105"/>
        </w:rPr>
        <w:t xml:space="preserve"> </w:t>
      </w:r>
      <w:r w:rsidRPr="00C84023">
        <w:rPr>
          <w:rFonts w:cstheme="minorHAnsi"/>
          <w:color w:val="231F20"/>
          <w:w w:val="105"/>
        </w:rPr>
        <w:t>opportunity</w:t>
      </w:r>
      <w:r w:rsidRPr="00C84023">
        <w:rPr>
          <w:rFonts w:cstheme="minorHAnsi"/>
          <w:color w:val="231F20"/>
          <w:spacing w:val="13"/>
          <w:w w:val="105"/>
        </w:rPr>
        <w:t xml:space="preserve"> </w:t>
      </w:r>
      <w:r w:rsidRPr="00C84023">
        <w:rPr>
          <w:rFonts w:cstheme="minorHAnsi"/>
          <w:color w:val="231F20"/>
          <w:w w:val="105"/>
        </w:rPr>
        <w:t>to</w:t>
      </w:r>
      <w:r w:rsidRPr="00C84023">
        <w:rPr>
          <w:rFonts w:cstheme="minorHAnsi"/>
          <w:color w:val="231F20"/>
          <w:spacing w:val="13"/>
          <w:w w:val="105"/>
        </w:rPr>
        <w:t xml:space="preserve"> </w:t>
      </w:r>
      <w:r w:rsidRPr="00C84023">
        <w:rPr>
          <w:rFonts w:cstheme="minorHAnsi"/>
          <w:color w:val="231F20"/>
          <w:w w:val="105"/>
        </w:rPr>
        <w:t>participate</w:t>
      </w:r>
      <w:r w:rsidRPr="00C84023">
        <w:rPr>
          <w:rFonts w:cstheme="minorHAnsi"/>
          <w:color w:val="231F20"/>
          <w:spacing w:val="13"/>
          <w:w w:val="105"/>
        </w:rPr>
        <w:t xml:space="preserve"> </w:t>
      </w:r>
      <w:r w:rsidRPr="00C84023">
        <w:rPr>
          <w:rFonts w:cstheme="minorHAnsi"/>
          <w:color w:val="231F20"/>
          <w:w w:val="105"/>
        </w:rPr>
        <w:t>in</w:t>
      </w:r>
      <w:r w:rsidRPr="00C84023">
        <w:rPr>
          <w:rFonts w:cstheme="minorHAnsi"/>
          <w:color w:val="231F20"/>
          <w:spacing w:val="13"/>
          <w:w w:val="105"/>
        </w:rPr>
        <w:t xml:space="preserve"> </w:t>
      </w:r>
      <w:r w:rsidRPr="00C84023">
        <w:rPr>
          <w:rFonts w:cstheme="minorHAnsi"/>
          <w:color w:val="231F20"/>
          <w:spacing w:val="-4"/>
          <w:w w:val="105"/>
        </w:rPr>
        <w:t>TABE</w:t>
      </w:r>
      <w:r w:rsidRPr="00C84023">
        <w:rPr>
          <w:rFonts w:cstheme="minorHAnsi"/>
          <w:color w:val="231F20"/>
          <w:spacing w:val="13"/>
          <w:w w:val="105"/>
        </w:rPr>
        <w:t xml:space="preserve"> </w:t>
      </w:r>
      <w:r w:rsidRPr="00C84023">
        <w:rPr>
          <w:rFonts w:cstheme="minorHAnsi"/>
          <w:color w:val="231F20"/>
          <w:w w:val="105"/>
        </w:rPr>
        <w:t>and</w:t>
      </w:r>
      <w:r w:rsidRPr="00C84023">
        <w:rPr>
          <w:rFonts w:cstheme="minorHAnsi"/>
          <w:color w:val="231F20"/>
          <w:spacing w:val="-22"/>
          <w:w w:val="105"/>
        </w:rPr>
        <w:t xml:space="preserve"> </w:t>
      </w:r>
      <w:r w:rsidRPr="00C84023">
        <w:rPr>
          <w:rFonts w:cstheme="minorHAnsi"/>
          <w:color w:val="231F20"/>
          <w:w w:val="105"/>
        </w:rPr>
        <w:t>Comprehensive</w:t>
      </w:r>
      <w:r w:rsidRPr="00C84023">
        <w:rPr>
          <w:rFonts w:cstheme="minorHAnsi"/>
          <w:color w:val="231F20"/>
          <w:spacing w:val="31"/>
          <w:w w:val="105"/>
        </w:rPr>
        <w:t xml:space="preserve"> </w:t>
      </w:r>
      <w:r w:rsidRPr="00C84023">
        <w:rPr>
          <w:rFonts w:cstheme="minorHAnsi"/>
          <w:color w:val="231F20"/>
          <w:w w:val="105"/>
        </w:rPr>
        <w:t>Adult</w:t>
      </w:r>
      <w:r w:rsidRPr="00C84023">
        <w:rPr>
          <w:rFonts w:cstheme="minorHAnsi"/>
          <w:color w:val="231F20"/>
          <w:spacing w:val="31"/>
          <w:w w:val="105"/>
        </w:rPr>
        <w:t xml:space="preserve"> </w:t>
      </w:r>
      <w:r w:rsidRPr="00C84023">
        <w:rPr>
          <w:rFonts w:cstheme="minorHAnsi"/>
          <w:color w:val="231F20"/>
          <w:w w:val="105"/>
        </w:rPr>
        <w:t>Student</w:t>
      </w:r>
      <w:r w:rsidRPr="00C84023">
        <w:rPr>
          <w:rFonts w:cstheme="minorHAnsi"/>
          <w:color w:val="231F20"/>
          <w:spacing w:val="31"/>
          <w:w w:val="105"/>
        </w:rPr>
        <w:t xml:space="preserve"> </w:t>
      </w:r>
      <w:r w:rsidRPr="00C84023">
        <w:rPr>
          <w:rFonts w:cstheme="minorHAnsi"/>
          <w:color w:val="231F20"/>
          <w:w w:val="105"/>
        </w:rPr>
        <w:t>Assessment</w:t>
      </w:r>
      <w:r w:rsidRPr="00C84023">
        <w:rPr>
          <w:rFonts w:cstheme="minorHAnsi"/>
          <w:color w:val="231F20"/>
          <w:spacing w:val="31"/>
          <w:w w:val="105"/>
        </w:rPr>
        <w:t xml:space="preserve"> </w:t>
      </w:r>
      <w:r w:rsidRPr="00C84023">
        <w:rPr>
          <w:rFonts w:cstheme="minorHAnsi"/>
          <w:color w:val="231F20"/>
          <w:w w:val="105"/>
        </w:rPr>
        <w:t>System</w:t>
      </w:r>
      <w:r w:rsidRPr="00C84023">
        <w:rPr>
          <w:rFonts w:cstheme="minorHAnsi"/>
          <w:color w:val="231F20"/>
          <w:spacing w:val="31"/>
          <w:w w:val="105"/>
        </w:rPr>
        <w:t xml:space="preserve"> </w:t>
      </w:r>
      <w:r w:rsidRPr="00C84023">
        <w:rPr>
          <w:rFonts w:cstheme="minorHAnsi"/>
          <w:color w:val="231F20"/>
          <w:w w:val="105"/>
        </w:rPr>
        <w:t>(CASAS)</w:t>
      </w:r>
      <w:r w:rsidRPr="00C84023">
        <w:rPr>
          <w:rFonts w:cstheme="minorHAnsi"/>
          <w:color w:val="231F20"/>
          <w:spacing w:val="31"/>
          <w:w w:val="105"/>
        </w:rPr>
        <w:t xml:space="preserve"> </w:t>
      </w:r>
      <w:r w:rsidRPr="00C84023">
        <w:rPr>
          <w:rFonts w:cstheme="minorHAnsi"/>
          <w:color w:val="231F20"/>
          <w:w w:val="105"/>
        </w:rPr>
        <w:t>trainings</w:t>
      </w:r>
      <w:r w:rsidRPr="00C84023">
        <w:rPr>
          <w:rFonts w:cstheme="minorHAnsi"/>
          <w:color w:val="231F20"/>
          <w:spacing w:val="31"/>
          <w:w w:val="105"/>
        </w:rPr>
        <w:t xml:space="preserve"> </w:t>
      </w:r>
      <w:r w:rsidRPr="00C84023">
        <w:rPr>
          <w:rFonts w:cstheme="minorHAnsi"/>
          <w:color w:val="231F20"/>
          <w:w w:val="105"/>
        </w:rPr>
        <w:t>conducted</w:t>
      </w:r>
      <w:r w:rsidRPr="00C84023">
        <w:rPr>
          <w:rFonts w:cstheme="minorHAnsi"/>
          <w:color w:val="231F20"/>
          <w:spacing w:val="31"/>
          <w:w w:val="105"/>
        </w:rPr>
        <w:t xml:space="preserve"> </w:t>
      </w:r>
      <w:r w:rsidRPr="00C84023">
        <w:rPr>
          <w:rFonts w:cstheme="minorHAnsi"/>
          <w:color w:val="231F20"/>
          <w:w w:val="105"/>
        </w:rPr>
        <w:t>by</w:t>
      </w:r>
      <w:r w:rsidRPr="00C84023">
        <w:rPr>
          <w:rFonts w:cstheme="minorHAnsi"/>
          <w:color w:val="231F20"/>
          <w:spacing w:val="31"/>
          <w:w w:val="105"/>
        </w:rPr>
        <w:t xml:space="preserve"> </w:t>
      </w:r>
      <w:r w:rsidRPr="00C84023">
        <w:rPr>
          <w:rFonts w:cstheme="minorHAnsi"/>
          <w:color w:val="231F20"/>
          <w:w w:val="105"/>
        </w:rPr>
        <w:t>the</w:t>
      </w:r>
      <w:r w:rsidRPr="00C84023">
        <w:rPr>
          <w:rFonts w:cstheme="minorHAnsi"/>
          <w:color w:val="231F20"/>
          <w:spacing w:val="31"/>
          <w:w w:val="105"/>
        </w:rPr>
        <w:t xml:space="preserve"> </w:t>
      </w:r>
      <w:r w:rsidRPr="00C84023">
        <w:rPr>
          <w:rFonts w:cstheme="minorHAnsi"/>
          <w:color w:val="231F20"/>
          <w:w w:val="105"/>
        </w:rPr>
        <w:t>DCAE</w:t>
      </w:r>
      <w:r w:rsidRPr="00C84023">
        <w:rPr>
          <w:rFonts w:cstheme="minorHAnsi"/>
          <w:color w:val="231F20"/>
          <w:spacing w:val="31"/>
          <w:w w:val="105"/>
        </w:rPr>
        <w:t xml:space="preserve"> </w:t>
      </w:r>
      <w:r w:rsidRPr="00C84023">
        <w:rPr>
          <w:rFonts w:cstheme="minorHAnsi"/>
          <w:color w:val="231F20"/>
          <w:w w:val="105"/>
        </w:rPr>
        <w:t>throughout</w:t>
      </w:r>
      <w:r w:rsidRPr="00C84023">
        <w:rPr>
          <w:rFonts w:cstheme="minorHAnsi"/>
          <w:color w:val="231F20"/>
          <w:spacing w:val="-49"/>
          <w:w w:val="105"/>
        </w:rPr>
        <w:t xml:space="preserve"> </w:t>
      </w:r>
      <w:r w:rsidR="000403C4">
        <w:rPr>
          <w:rFonts w:cstheme="minorHAnsi"/>
          <w:color w:val="231F20"/>
          <w:spacing w:val="-49"/>
          <w:w w:val="105"/>
        </w:rPr>
        <w:t xml:space="preserve">      </w:t>
      </w:r>
      <w:r w:rsidR="000403C4">
        <w:rPr>
          <w:rFonts w:cstheme="minorHAnsi"/>
          <w:color w:val="231F20"/>
          <w:w w:val="105"/>
        </w:rPr>
        <w:t xml:space="preserve"> </w:t>
      </w:r>
      <w:r w:rsidRPr="00C84023">
        <w:rPr>
          <w:rFonts w:cstheme="minorHAnsi"/>
          <w:color w:val="231F20"/>
          <w:w w:val="105"/>
        </w:rPr>
        <w:t xml:space="preserve">the </w:t>
      </w:r>
      <w:r w:rsidRPr="00C84023">
        <w:rPr>
          <w:rFonts w:cstheme="minorHAnsi"/>
          <w:color w:val="231F20"/>
          <w:spacing w:val="-4"/>
          <w:w w:val="105"/>
        </w:rPr>
        <w:t>year</w:t>
      </w:r>
      <w:r w:rsidR="005E7C49">
        <w:rPr>
          <w:rFonts w:cstheme="minorHAnsi"/>
          <w:color w:val="231F20"/>
          <w:spacing w:val="-4"/>
          <w:w w:val="105"/>
        </w:rPr>
        <w:t xml:space="preserve">. </w:t>
      </w:r>
      <w:r w:rsidRPr="00C84023">
        <w:rPr>
          <w:rFonts w:cstheme="minorHAnsi"/>
          <w:color w:val="231F20"/>
          <w:w w:val="105"/>
        </w:rPr>
        <w:t>Many CareerSource Florida centers provide representatives directly to the adult education facility</w:t>
      </w:r>
      <w:r w:rsidRPr="00C84023">
        <w:rPr>
          <w:rFonts w:cstheme="minorHAnsi"/>
          <w:color w:val="231F20"/>
          <w:spacing w:val="17"/>
          <w:w w:val="105"/>
        </w:rPr>
        <w:t xml:space="preserve"> </w:t>
      </w:r>
      <w:r w:rsidRPr="00C84023">
        <w:rPr>
          <w:rFonts w:cstheme="minorHAnsi"/>
          <w:color w:val="231F20"/>
          <w:w w:val="105"/>
        </w:rPr>
        <w:t>offering counseling,</w:t>
      </w:r>
      <w:r w:rsidRPr="00C84023">
        <w:rPr>
          <w:rFonts w:cstheme="minorHAnsi"/>
          <w:color w:val="231F20"/>
          <w:spacing w:val="17"/>
          <w:w w:val="105"/>
        </w:rPr>
        <w:t xml:space="preserve"> </w:t>
      </w:r>
      <w:r w:rsidRPr="00C84023">
        <w:rPr>
          <w:rFonts w:cstheme="minorHAnsi"/>
          <w:color w:val="231F20"/>
          <w:w w:val="105"/>
        </w:rPr>
        <w:t>advice</w:t>
      </w:r>
      <w:r w:rsidR="00D5537E">
        <w:rPr>
          <w:rFonts w:cstheme="minorHAnsi"/>
          <w:color w:val="231F20"/>
          <w:w w:val="105"/>
        </w:rPr>
        <w:t xml:space="preserve"> and</w:t>
      </w:r>
      <w:r w:rsidRPr="00C84023">
        <w:rPr>
          <w:rFonts w:cstheme="minorHAnsi"/>
          <w:color w:val="231F20"/>
          <w:spacing w:val="17"/>
          <w:w w:val="105"/>
        </w:rPr>
        <w:t xml:space="preserve"> </w:t>
      </w:r>
      <w:r w:rsidRPr="00C84023">
        <w:rPr>
          <w:rFonts w:cstheme="minorHAnsi"/>
          <w:color w:val="231F20"/>
          <w:w w:val="105"/>
        </w:rPr>
        <w:t>other</w:t>
      </w:r>
      <w:r w:rsidRPr="00C84023">
        <w:rPr>
          <w:rFonts w:cstheme="minorHAnsi"/>
          <w:color w:val="231F20"/>
          <w:spacing w:val="17"/>
          <w:w w:val="105"/>
        </w:rPr>
        <w:t xml:space="preserve"> </w:t>
      </w:r>
      <w:r w:rsidRPr="00C84023">
        <w:rPr>
          <w:rFonts w:cstheme="minorHAnsi"/>
          <w:color w:val="231F20"/>
          <w:w w:val="105"/>
        </w:rPr>
        <w:t>services</w:t>
      </w:r>
      <w:r w:rsidRPr="00C84023">
        <w:rPr>
          <w:rFonts w:cstheme="minorHAnsi"/>
          <w:color w:val="231F20"/>
          <w:spacing w:val="17"/>
          <w:w w:val="105"/>
        </w:rPr>
        <w:t xml:space="preserve"> </w:t>
      </w:r>
      <w:r w:rsidRPr="00C84023">
        <w:rPr>
          <w:rFonts w:cstheme="minorHAnsi"/>
          <w:color w:val="231F20"/>
          <w:w w:val="105"/>
        </w:rPr>
        <w:t>improving awareness</w:t>
      </w:r>
      <w:r w:rsidRPr="00C84023">
        <w:rPr>
          <w:rFonts w:cstheme="minorHAnsi"/>
          <w:color w:val="231F20"/>
          <w:spacing w:val="17"/>
          <w:w w:val="105"/>
        </w:rPr>
        <w:t xml:space="preserve"> </w:t>
      </w:r>
      <w:r w:rsidRPr="00C84023">
        <w:rPr>
          <w:rFonts w:cstheme="minorHAnsi"/>
          <w:color w:val="231F20"/>
          <w:w w:val="105"/>
        </w:rPr>
        <w:t>of</w:t>
      </w:r>
      <w:r w:rsidRPr="00C84023">
        <w:rPr>
          <w:rFonts w:cstheme="minorHAnsi"/>
          <w:color w:val="231F20"/>
          <w:spacing w:val="17"/>
          <w:w w:val="105"/>
        </w:rPr>
        <w:t xml:space="preserve"> </w:t>
      </w:r>
      <w:r w:rsidRPr="00C84023">
        <w:rPr>
          <w:rFonts w:cstheme="minorHAnsi"/>
          <w:color w:val="231F20"/>
          <w:w w:val="105"/>
        </w:rPr>
        <w:t>workforce</w:t>
      </w:r>
      <w:r w:rsidRPr="00C84023">
        <w:rPr>
          <w:rFonts w:cstheme="minorHAnsi"/>
          <w:color w:val="231F20"/>
          <w:spacing w:val="17"/>
          <w:w w:val="105"/>
        </w:rPr>
        <w:t xml:space="preserve"> </w:t>
      </w:r>
      <w:r w:rsidRPr="00C84023">
        <w:rPr>
          <w:rFonts w:cstheme="minorHAnsi"/>
          <w:color w:val="231F20"/>
          <w:w w:val="105"/>
        </w:rPr>
        <w:t>resources. The</w:t>
      </w:r>
      <w:r w:rsidRPr="00C84023">
        <w:rPr>
          <w:rFonts w:cstheme="minorHAnsi"/>
          <w:color w:val="231F20"/>
          <w:spacing w:val="11"/>
          <w:w w:val="105"/>
        </w:rPr>
        <w:t xml:space="preserve"> </w:t>
      </w:r>
      <w:r w:rsidRPr="00C84023">
        <w:rPr>
          <w:rFonts w:cstheme="minorHAnsi"/>
          <w:color w:val="231F20"/>
          <w:w w:val="105"/>
        </w:rPr>
        <w:t>sharing</w:t>
      </w:r>
      <w:r w:rsidRPr="00C84023">
        <w:rPr>
          <w:rFonts w:cstheme="minorHAnsi"/>
          <w:color w:val="231F20"/>
          <w:spacing w:val="11"/>
          <w:w w:val="105"/>
        </w:rPr>
        <w:t xml:space="preserve"> </w:t>
      </w:r>
      <w:r w:rsidRPr="00C84023">
        <w:rPr>
          <w:rFonts w:cstheme="minorHAnsi"/>
          <w:color w:val="231F20"/>
          <w:w w:val="105"/>
        </w:rPr>
        <w:t>of</w:t>
      </w:r>
      <w:r w:rsidRPr="00C84023">
        <w:rPr>
          <w:rFonts w:cstheme="minorHAnsi"/>
          <w:color w:val="231F20"/>
          <w:spacing w:val="11"/>
          <w:w w:val="105"/>
        </w:rPr>
        <w:t xml:space="preserve"> </w:t>
      </w:r>
      <w:r w:rsidRPr="00C84023">
        <w:rPr>
          <w:rFonts w:cstheme="minorHAnsi"/>
          <w:color w:val="231F20"/>
          <w:w w:val="105"/>
        </w:rPr>
        <w:t>cross-referral</w:t>
      </w:r>
      <w:r w:rsidRPr="00C84023">
        <w:rPr>
          <w:rFonts w:cstheme="minorHAnsi"/>
          <w:color w:val="231F20"/>
          <w:spacing w:val="11"/>
          <w:w w:val="105"/>
        </w:rPr>
        <w:t xml:space="preserve"> </w:t>
      </w:r>
      <w:r w:rsidRPr="00C84023">
        <w:rPr>
          <w:rFonts w:cstheme="minorHAnsi"/>
          <w:color w:val="231F20"/>
          <w:w w:val="105"/>
        </w:rPr>
        <w:t>outcomes</w:t>
      </w:r>
      <w:r w:rsidRPr="00C84023">
        <w:rPr>
          <w:rFonts w:cstheme="minorHAnsi"/>
          <w:color w:val="231F20"/>
          <w:spacing w:val="11"/>
          <w:w w:val="105"/>
        </w:rPr>
        <w:t xml:space="preserve"> </w:t>
      </w:r>
      <w:r w:rsidRPr="00C84023">
        <w:rPr>
          <w:rFonts w:cstheme="minorHAnsi"/>
          <w:color w:val="231F20"/>
          <w:w w:val="105"/>
        </w:rPr>
        <w:t>is a</w:t>
      </w:r>
      <w:r w:rsidRPr="00C84023">
        <w:rPr>
          <w:rFonts w:cstheme="minorHAnsi"/>
          <w:color w:val="231F20"/>
          <w:spacing w:val="11"/>
          <w:w w:val="105"/>
        </w:rPr>
        <w:t xml:space="preserve"> </w:t>
      </w:r>
      <w:r w:rsidRPr="00C84023">
        <w:rPr>
          <w:rFonts w:cstheme="minorHAnsi"/>
          <w:color w:val="231F20"/>
          <w:w w:val="105"/>
        </w:rPr>
        <w:t>priority</w:t>
      </w:r>
      <w:r w:rsidRPr="00C84023">
        <w:rPr>
          <w:rFonts w:cstheme="minorHAnsi"/>
          <w:color w:val="231F20"/>
          <w:spacing w:val="11"/>
          <w:w w:val="105"/>
        </w:rPr>
        <w:t xml:space="preserve"> </w:t>
      </w:r>
      <w:r w:rsidRPr="00C84023">
        <w:rPr>
          <w:rFonts w:cstheme="minorHAnsi"/>
          <w:color w:val="231F20"/>
          <w:w w:val="105"/>
        </w:rPr>
        <w:t>of</w:t>
      </w:r>
      <w:r w:rsidRPr="00C84023">
        <w:rPr>
          <w:rFonts w:cstheme="minorHAnsi"/>
          <w:color w:val="231F20"/>
          <w:spacing w:val="11"/>
          <w:w w:val="105"/>
        </w:rPr>
        <w:t xml:space="preserve"> </w:t>
      </w:r>
      <w:r w:rsidRPr="00C84023">
        <w:rPr>
          <w:rFonts w:cstheme="minorHAnsi"/>
          <w:color w:val="231F20"/>
          <w:w w:val="105"/>
        </w:rPr>
        <w:t>FDOE</w:t>
      </w:r>
      <w:r w:rsidRPr="00C84023">
        <w:rPr>
          <w:rFonts w:cstheme="minorHAnsi"/>
          <w:color w:val="231F20"/>
          <w:spacing w:val="11"/>
          <w:w w:val="105"/>
        </w:rPr>
        <w:t xml:space="preserve"> </w:t>
      </w:r>
      <w:r w:rsidRPr="00C84023">
        <w:rPr>
          <w:rFonts w:cstheme="minorHAnsi"/>
          <w:color w:val="231F20"/>
          <w:w w:val="105"/>
        </w:rPr>
        <w:t>in</w:t>
      </w:r>
      <w:r w:rsidRPr="00C84023">
        <w:rPr>
          <w:rFonts w:cstheme="minorHAnsi"/>
          <w:color w:val="231F20"/>
          <w:spacing w:val="11"/>
          <w:w w:val="105"/>
        </w:rPr>
        <w:t xml:space="preserve"> </w:t>
      </w:r>
      <w:r w:rsidRPr="00C84023">
        <w:rPr>
          <w:rFonts w:cstheme="minorHAnsi"/>
          <w:color w:val="231F20"/>
          <w:w w:val="105"/>
        </w:rPr>
        <w:t xml:space="preserve">supporting </w:t>
      </w:r>
      <w:r w:rsidRPr="00C84023">
        <w:rPr>
          <w:rFonts w:cstheme="minorHAnsi"/>
          <w:color w:val="231F20"/>
          <w:spacing w:val="-3"/>
          <w:w w:val="105"/>
        </w:rPr>
        <w:t>WIOA</w:t>
      </w:r>
      <w:r w:rsidRPr="00C84023">
        <w:rPr>
          <w:rFonts w:cstheme="minorHAnsi"/>
          <w:color w:val="231F20"/>
          <w:w w:val="113"/>
        </w:rPr>
        <w:t xml:space="preserve"> goals </w:t>
      </w:r>
      <w:r w:rsidRPr="00C84023">
        <w:rPr>
          <w:rFonts w:cstheme="minorHAnsi"/>
          <w:color w:val="231F20"/>
          <w:w w:val="105"/>
        </w:rPr>
        <w:t>and increasing student access and achievement.</w:t>
      </w:r>
    </w:p>
    <w:p w14:paraId="7045F63E" w14:textId="77777777" w:rsidR="00D6480A" w:rsidRPr="00C84023" w:rsidRDefault="00D6480A" w:rsidP="00D63204">
      <w:pPr>
        <w:widowControl w:val="0"/>
        <w:spacing w:after="0" w:line="264" w:lineRule="exact"/>
        <w:ind w:left="90"/>
        <w:rPr>
          <w:rFonts w:cstheme="minorHAnsi"/>
        </w:rPr>
        <w:sectPr w:rsidR="00D6480A" w:rsidRPr="00C84023">
          <w:pgSz w:w="12240" w:h="15840"/>
          <w:pgMar w:top="1620" w:right="900" w:bottom="820" w:left="900" w:header="812" w:footer="624" w:gutter="0"/>
          <w:cols w:space="720"/>
        </w:sectPr>
      </w:pPr>
    </w:p>
    <w:p w14:paraId="7BFE8590" w14:textId="42BD2391" w:rsidR="00D6480A" w:rsidRPr="00E840CE" w:rsidRDefault="00D6480A" w:rsidP="00D63204">
      <w:pPr>
        <w:pStyle w:val="ListParagraph"/>
        <w:widowControl w:val="0"/>
        <w:numPr>
          <w:ilvl w:val="0"/>
          <w:numId w:val="47"/>
        </w:numPr>
        <w:spacing w:before="56" w:after="0" w:line="264" w:lineRule="exact"/>
        <w:rPr>
          <w:rFonts w:cstheme="minorHAnsi"/>
          <w:color w:val="231F20"/>
          <w:w w:val="105"/>
        </w:rPr>
      </w:pPr>
      <w:r w:rsidRPr="00691C52">
        <w:rPr>
          <w:rFonts w:cstheme="minorHAnsi"/>
          <w:b/>
          <w:bCs/>
          <w:i/>
          <w:color w:val="231F20"/>
          <w:w w:val="105"/>
        </w:rPr>
        <w:lastRenderedPageBreak/>
        <w:t>The</w:t>
      </w:r>
      <w:r w:rsidRPr="00691C52">
        <w:rPr>
          <w:rFonts w:cstheme="minorHAnsi"/>
          <w:b/>
          <w:bCs/>
          <w:i/>
          <w:color w:val="231F20"/>
          <w:spacing w:val="-12"/>
          <w:w w:val="105"/>
        </w:rPr>
        <w:t xml:space="preserve"> </w:t>
      </w:r>
      <w:r w:rsidRPr="00691C52">
        <w:rPr>
          <w:rFonts w:cstheme="minorHAnsi"/>
          <w:b/>
          <w:bCs/>
          <w:i/>
          <w:color w:val="231F20"/>
          <w:w w:val="105"/>
        </w:rPr>
        <w:t>establishment</w:t>
      </w:r>
      <w:r w:rsidRPr="00691C52">
        <w:rPr>
          <w:rFonts w:cstheme="minorHAnsi"/>
          <w:b/>
          <w:bCs/>
          <w:i/>
          <w:color w:val="231F20"/>
          <w:spacing w:val="-12"/>
          <w:w w:val="105"/>
        </w:rPr>
        <w:t xml:space="preserve"> </w:t>
      </w:r>
      <w:r w:rsidRPr="00691C52">
        <w:rPr>
          <w:rFonts w:cstheme="minorHAnsi"/>
          <w:b/>
          <w:bCs/>
          <w:i/>
          <w:color w:val="231F20"/>
          <w:w w:val="105"/>
        </w:rPr>
        <w:t>or</w:t>
      </w:r>
      <w:r w:rsidRPr="00691C52">
        <w:rPr>
          <w:rFonts w:cstheme="minorHAnsi"/>
          <w:b/>
          <w:bCs/>
          <w:i/>
          <w:color w:val="231F20"/>
          <w:spacing w:val="-12"/>
          <w:w w:val="105"/>
        </w:rPr>
        <w:t xml:space="preserve"> </w:t>
      </w:r>
      <w:r w:rsidRPr="00691C52">
        <w:rPr>
          <w:rFonts w:cstheme="minorHAnsi"/>
          <w:b/>
          <w:bCs/>
          <w:i/>
          <w:color w:val="231F20"/>
          <w:w w:val="105"/>
        </w:rPr>
        <w:t>operation</w:t>
      </w:r>
      <w:r w:rsidRPr="00691C52">
        <w:rPr>
          <w:rFonts w:cstheme="minorHAnsi"/>
          <w:b/>
          <w:bCs/>
          <w:i/>
          <w:color w:val="231F20"/>
          <w:spacing w:val="-12"/>
          <w:w w:val="105"/>
        </w:rPr>
        <w:t xml:space="preserve"> </w:t>
      </w:r>
      <w:r w:rsidRPr="00691C52">
        <w:rPr>
          <w:rFonts w:cstheme="minorHAnsi"/>
          <w:b/>
          <w:bCs/>
          <w:i/>
          <w:color w:val="231F20"/>
          <w:w w:val="105"/>
        </w:rPr>
        <w:t>of</w:t>
      </w:r>
      <w:r w:rsidRPr="00691C52">
        <w:rPr>
          <w:rFonts w:cstheme="minorHAnsi"/>
          <w:b/>
          <w:bCs/>
          <w:i/>
          <w:color w:val="231F20"/>
          <w:spacing w:val="-12"/>
          <w:w w:val="105"/>
        </w:rPr>
        <w:t xml:space="preserve"> </w:t>
      </w:r>
      <w:r w:rsidRPr="00691C52">
        <w:rPr>
          <w:rFonts w:cstheme="minorHAnsi"/>
          <w:b/>
          <w:bCs/>
          <w:i/>
          <w:color w:val="231F20"/>
          <w:w w:val="105"/>
        </w:rPr>
        <w:t>high</w:t>
      </w:r>
      <w:r w:rsidRPr="00691C52">
        <w:rPr>
          <w:rFonts w:cstheme="minorHAnsi"/>
          <w:b/>
          <w:bCs/>
          <w:i/>
          <w:color w:val="231F20"/>
          <w:spacing w:val="-12"/>
          <w:w w:val="105"/>
        </w:rPr>
        <w:t xml:space="preserve"> </w:t>
      </w:r>
      <w:r w:rsidRPr="00691C52">
        <w:rPr>
          <w:rFonts w:cstheme="minorHAnsi"/>
          <w:b/>
          <w:bCs/>
          <w:i/>
          <w:color w:val="231F20"/>
          <w:w w:val="105"/>
        </w:rPr>
        <w:t>quality</w:t>
      </w:r>
      <w:r w:rsidRPr="00691C52">
        <w:rPr>
          <w:rFonts w:cstheme="minorHAnsi"/>
          <w:b/>
          <w:bCs/>
          <w:i/>
          <w:color w:val="231F20"/>
          <w:spacing w:val="-12"/>
          <w:w w:val="105"/>
        </w:rPr>
        <w:t xml:space="preserve"> </w:t>
      </w:r>
      <w:r w:rsidRPr="00691C52">
        <w:rPr>
          <w:rFonts w:cstheme="minorHAnsi"/>
          <w:b/>
          <w:bCs/>
          <w:i/>
          <w:color w:val="231F20"/>
          <w:w w:val="105"/>
        </w:rPr>
        <w:t>professional</w:t>
      </w:r>
      <w:r w:rsidRPr="00691C52">
        <w:rPr>
          <w:rFonts w:cstheme="minorHAnsi"/>
          <w:b/>
          <w:bCs/>
          <w:i/>
          <w:color w:val="231F20"/>
          <w:spacing w:val="-12"/>
          <w:w w:val="105"/>
        </w:rPr>
        <w:t xml:space="preserve"> </w:t>
      </w:r>
      <w:r w:rsidRPr="00691C52">
        <w:rPr>
          <w:rFonts w:cstheme="minorHAnsi"/>
          <w:b/>
          <w:bCs/>
          <w:i/>
          <w:color w:val="231F20"/>
          <w:w w:val="105"/>
        </w:rPr>
        <w:t>development</w:t>
      </w:r>
      <w:r w:rsidRPr="00691C52">
        <w:rPr>
          <w:rFonts w:cstheme="minorHAnsi"/>
          <w:b/>
          <w:bCs/>
          <w:i/>
          <w:color w:val="231F20"/>
          <w:spacing w:val="-12"/>
          <w:w w:val="105"/>
        </w:rPr>
        <w:t xml:space="preserve"> </w:t>
      </w:r>
      <w:r w:rsidRPr="00691C52">
        <w:rPr>
          <w:rFonts w:cstheme="minorHAnsi"/>
          <w:b/>
          <w:bCs/>
          <w:i/>
          <w:color w:val="231F20"/>
          <w:w w:val="105"/>
        </w:rPr>
        <w:t>programs</w:t>
      </w:r>
      <w:r w:rsidRPr="00691C52">
        <w:rPr>
          <w:rFonts w:cstheme="minorHAnsi"/>
          <w:b/>
          <w:bCs/>
          <w:i/>
          <w:color w:val="231F20"/>
          <w:spacing w:val="-12"/>
          <w:w w:val="105"/>
        </w:rPr>
        <w:t xml:space="preserve"> </w:t>
      </w:r>
      <w:r w:rsidRPr="00691C52">
        <w:rPr>
          <w:rFonts w:cstheme="minorHAnsi"/>
          <w:b/>
          <w:bCs/>
          <w:i/>
          <w:color w:val="231F20"/>
          <w:w w:val="105"/>
        </w:rPr>
        <w:t>(section</w:t>
      </w:r>
      <w:r w:rsidRPr="00691C52">
        <w:rPr>
          <w:rFonts w:cstheme="minorHAnsi"/>
          <w:b/>
          <w:bCs/>
          <w:i/>
          <w:color w:val="231F20"/>
          <w:w w:val="103"/>
        </w:rPr>
        <w:t xml:space="preserve"> </w:t>
      </w:r>
      <w:r w:rsidRPr="00691C52">
        <w:rPr>
          <w:rFonts w:cstheme="minorHAnsi"/>
          <w:b/>
          <w:bCs/>
          <w:i/>
          <w:color w:val="231F20"/>
          <w:w w:val="105"/>
        </w:rPr>
        <w:t>223(a)(1)(B)</w:t>
      </w:r>
      <w:r w:rsidRPr="00691C52">
        <w:rPr>
          <w:rFonts w:cstheme="minorHAnsi"/>
          <w:b/>
          <w:bCs/>
          <w:i/>
          <w:color w:val="231F20"/>
          <w:spacing w:val="-7"/>
          <w:w w:val="105"/>
        </w:rPr>
        <w:t xml:space="preserve"> </w:t>
      </w:r>
      <w:r w:rsidRPr="00691C52">
        <w:rPr>
          <w:rFonts w:cstheme="minorHAnsi"/>
          <w:b/>
          <w:bCs/>
          <w:i/>
          <w:color w:val="231F20"/>
          <w:w w:val="105"/>
        </w:rPr>
        <w:t>of</w:t>
      </w:r>
      <w:r w:rsidRPr="00691C52">
        <w:rPr>
          <w:rFonts w:cstheme="minorHAnsi"/>
          <w:b/>
          <w:bCs/>
          <w:i/>
          <w:color w:val="231F20"/>
          <w:spacing w:val="-7"/>
          <w:w w:val="105"/>
        </w:rPr>
        <w:t xml:space="preserve"> </w:t>
      </w:r>
      <w:r w:rsidRPr="00691C52">
        <w:rPr>
          <w:rFonts w:cstheme="minorHAnsi"/>
          <w:b/>
          <w:bCs/>
          <w:i/>
          <w:color w:val="231F20"/>
          <w:w w:val="105"/>
        </w:rPr>
        <w:t>WIOA)</w:t>
      </w:r>
      <w:r w:rsidRPr="00691C52">
        <w:rPr>
          <w:rFonts w:cstheme="minorHAnsi"/>
          <w:b/>
          <w:bCs/>
          <w:i/>
          <w:color w:val="231F20"/>
          <w:spacing w:val="-7"/>
          <w:w w:val="105"/>
        </w:rPr>
        <w:t xml:space="preserve"> </w:t>
      </w:r>
      <w:r w:rsidRPr="00691C52">
        <w:rPr>
          <w:rFonts w:cstheme="minorHAnsi"/>
          <w:b/>
          <w:bCs/>
          <w:color w:val="231F20"/>
          <w:w w:val="105"/>
        </w:rPr>
        <w:t>–</w:t>
      </w:r>
      <w:r w:rsidRPr="00691C52">
        <w:rPr>
          <w:rFonts w:cstheme="minorHAnsi"/>
          <w:b/>
          <w:bCs/>
          <w:color w:val="231F20"/>
          <w:spacing w:val="5"/>
          <w:w w:val="105"/>
        </w:rPr>
        <w:t xml:space="preserve"> </w:t>
      </w:r>
      <w:r w:rsidRPr="00691C52">
        <w:rPr>
          <w:rFonts w:cstheme="minorHAnsi"/>
          <w:color w:val="231F20"/>
          <w:w w:val="105"/>
        </w:rPr>
        <w:t>The</w:t>
      </w:r>
      <w:r w:rsidRPr="00E840CE">
        <w:rPr>
          <w:rFonts w:cstheme="minorHAnsi"/>
          <w:color w:val="231F20"/>
          <w:w w:val="105"/>
        </w:rPr>
        <w:t xml:space="preserve"> </w:t>
      </w:r>
      <w:r w:rsidRPr="00691C52">
        <w:rPr>
          <w:rFonts w:cstheme="minorHAnsi"/>
          <w:color w:val="231F20"/>
          <w:w w:val="105"/>
        </w:rPr>
        <w:t>DCAE</w:t>
      </w:r>
      <w:r w:rsidRPr="00E840CE">
        <w:rPr>
          <w:rFonts w:cstheme="minorHAnsi"/>
          <w:color w:val="231F20"/>
          <w:w w:val="105"/>
        </w:rPr>
        <w:t xml:space="preserve"> </w:t>
      </w:r>
      <w:r w:rsidRPr="00691C52">
        <w:rPr>
          <w:rFonts w:cstheme="minorHAnsi"/>
          <w:color w:val="231F20"/>
          <w:w w:val="105"/>
        </w:rPr>
        <w:t>supports</w:t>
      </w:r>
      <w:r w:rsidRPr="00E840CE">
        <w:rPr>
          <w:rFonts w:cstheme="minorHAnsi"/>
          <w:color w:val="231F20"/>
          <w:w w:val="105"/>
        </w:rPr>
        <w:t xml:space="preserve"> </w:t>
      </w:r>
      <w:r w:rsidRPr="00691C52">
        <w:rPr>
          <w:rFonts w:cstheme="minorHAnsi"/>
          <w:color w:val="231F20"/>
          <w:w w:val="105"/>
        </w:rPr>
        <w:t>professional</w:t>
      </w:r>
      <w:r w:rsidRPr="00E840CE">
        <w:rPr>
          <w:rFonts w:cstheme="minorHAnsi"/>
          <w:color w:val="231F20"/>
          <w:w w:val="105"/>
        </w:rPr>
        <w:t xml:space="preserve"> </w:t>
      </w:r>
      <w:r w:rsidRPr="00691C52">
        <w:rPr>
          <w:rFonts w:cstheme="minorHAnsi"/>
          <w:color w:val="231F20"/>
          <w:w w:val="105"/>
        </w:rPr>
        <w:t>development</w:t>
      </w:r>
      <w:r w:rsidRPr="00E840CE">
        <w:rPr>
          <w:rFonts w:cstheme="minorHAnsi"/>
          <w:color w:val="231F20"/>
          <w:w w:val="105"/>
        </w:rPr>
        <w:t xml:space="preserve"> </w:t>
      </w:r>
      <w:r w:rsidRPr="00691C52">
        <w:rPr>
          <w:rFonts w:cstheme="minorHAnsi"/>
          <w:color w:val="231F20"/>
          <w:w w:val="105"/>
        </w:rPr>
        <w:t>with</w:t>
      </w:r>
      <w:r w:rsidRPr="00E840CE">
        <w:rPr>
          <w:rFonts w:cstheme="minorHAnsi"/>
          <w:color w:val="231F20"/>
          <w:w w:val="105"/>
        </w:rPr>
        <w:t xml:space="preserve"> </w:t>
      </w:r>
      <w:r w:rsidRPr="00691C52">
        <w:rPr>
          <w:rFonts w:cstheme="minorHAnsi"/>
          <w:color w:val="231F20"/>
          <w:w w:val="105"/>
        </w:rPr>
        <w:t>leadership</w:t>
      </w:r>
      <w:r w:rsidRPr="00E840CE">
        <w:rPr>
          <w:rFonts w:cstheme="minorHAnsi"/>
          <w:color w:val="231F20"/>
          <w:w w:val="105"/>
        </w:rPr>
        <w:t xml:space="preserve"> </w:t>
      </w:r>
      <w:r w:rsidRPr="00691C52">
        <w:rPr>
          <w:rFonts w:cstheme="minorHAnsi"/>
          <w:color w:val="231F20"/>
          <w:w w:val="105"/>
        </w:rPr>
        <w:t>grants</w:t>
      </w:r>
      <w:r w:rsidRPr="00E840CE">
        <w:rPr>
          <w:rFonts w:cstheme="minorHAnsi"/>
          <w:color w:val="231F20"/>
          <w:w w:val="105"/>
        </w:rPr>
        <w:t xml:space="preserve"> </w:t>
      </w:r>
      <w:r w:rsidRPr="00691C52">
        <w:rPr>
          <w:rFonts w:cstheme="minorHAnsi"/>
          <w:color w:val="231F20"/>
          <w:w w:val="105"/>
        </w:rPr>
        <w:t>to the IPDAE, Adult and Community Educators (ACE) of Florida professional</w:t>
      </w:r>
      <w:r w:rsidRPr="00E840CE">
        <w:rPr>
          <w:rFonts w:cstheme="minorHAnsi"/>
          <w:color w:val="231F20"/>
          <w:w w:val="105"/>
        </w:rPr>
        <w:t xml:space="preserve"> </w:t>
      </w:r>
      <w:r w:rsidRPr="00691C52">
        <w:rPr>
          <w:rFonts w:cstheme="minorHAnsi"/>
          <w:color w:val="231F20"/>
          <w:w w:val="105"/>
        </w:rPr>
        <w:t>organization</w:t>
      </w:r>
      <w:r w:rsidR="00D5537E">
        <w:rPr>
          <w:rFonts w:cstheme="minorHAnsi"/>
          <w:color w:val="231F20"/>
          <w:w w:val="105"/>
        </w:rPr>
        <w:t xml:space="preserve"> and</w:t>
      </w:r>
      <w:r w:rsidRPr="00E840CE">
        <w:rPr>
          <w:rFonts w:cstheme="minorHAnsi"/>
          <w:color w:val="231F20"/>
          <w:w w:val="105"/>
        </w:rPr>
        <w:t xml:space="preserve"> </w:t>
      </w:r>
      <w:r w:rsidRPr="00691C52">
        <w:rPr>
          <w:rFonts w:cstheme="minorHAnsi"/>
          <w:color w:val="231F20"/>
          <w:w w:val="105"/>
        </w:rPr>
        <w:t>the</w:t>
      </w:r>
      <w:r w:rsidRPr="00E840CE">
        <w:rPr>
          <w:rFonts w:cstheme="minorHAnsi"/>
          <w:color w:val="231F20"/>
          <w:w w:val="105"/>
        </w:rPr>
        <w:t xml:space="preserve"> </w:t>
      </w:r>
      <w:r w:rsidRPr="00691C52">
        <w:rPr>
          <w:rFonts w:cstheme="minorHAnsi"/>
          <w:color w:val="231F20"/>
          <w:w w:val="105"/>
        </w:rPr>
        <w:t>Florida</w:t>
      </w:r>
      <w:r w:rsidRPr="00E840CE">
        <w:rPr>
          <w:rFonts w:cstheme="minorHAnsi"/>
          <w:color w:val="231F20"/>
          <w:w w:val="105"/>
        </w:rPr>
        <w:t xml:space="preserve"> </w:t>
      </w:r>
      <w:r w:rsidRPr="00691C52">
        <w:rPr>
          <w:rFonts w:cstheme="minorHAnsi"/>
          <w:color w:val="231F20"/>
          <w:w w:val="105"/>
        </w:rPr>
        <w:t>Literacy</w:t>
      </w:r>
      <w:r w:rsidRPr="00E840CE">
        <w:rPr>
          <w:rFonts w:cstheme="minorHAnsi"/>
          <w:color w:val="231F20"/>
          <w:w w:val="105"/>
        </w:rPr>
        <w:t xml:space="preserve"> </w:t>
      </w:r>
      <w:r w:rsidRPr="00691C52">
        <w:rPr>
          <w:rFonts w:cstheme="minorHAnsi"/>
          <w:color w:val="231F20"/>
          <w:w w:val="105"/>
        </w:rPr>
        <w:t>Coalition.</w:t>
      </w:r>
      <w:r w:rsidRPr="00E840CE">
        <w:rPr>
          <w:rFonts w:cstheme="minorHAnsi"/>
          <w:color w:val="231F20"/>
          <w:w w:val="105"/>
        </w:rPr>
        <w:t xml:space="preserve"> </w:t>
      </w:r>
      <w:r w:rsidRPr="00691C52">
        <w:rPr>
          <w:rFonts w:cstheme="minorHAnsi"/>
          <w:color w:val="231F20"/>
          <w:w w:val="105"/>
        </w:rPr>
        <w:t>IPDAE</w:t>
      </w:r>
      <w:r w:rsidRPr="00E840CE">
        <w:rPr>
          <w:rFonts w:cstheme="minorHAnsi"/>
          <w:color w:val="231F20"/>
          <w:w w:val="105"/>
        </w:rPr>
        <w:t xml:space="preserve"> </w:t>
      </w:r>
      <w:r w:rsidRPr="00691C52">
        <w:rPr>
          <w:rFonts w:cstheme="minorHAnsi"/>
          <w:color w:val="231F20"/>
          <w:w w:val="105"/>
        </w:rPr>
        <w:t>is</w:t>
      </w:r>
      <w:r w:rsidRPr="00E840CE">
        <w:rPr>
          <w:rFonts w:cstheme="minorHAnsi"/>
          <w:color w:val="231F20"/>
          <w:w w:val="105"/>
        </w:rPr>
        <w:t xml:space="preserve"> </w:t>
      </w:r>
      <w:r w:rsidRPr="00691C52">
        <w:rPr>
          <w:rFonts w:cstheme="minorHAnsi"/>
          <w:color w:val="231F20"/>
          <w:w w:val="105"/>
        </w:rPr>
        <w:t>the</w:t>
      </w:r>
      <w:r w:rsidRPr="00E840CE">
        <w:rPr>
          <w:rFonts w:cstheme="minorHAnsi"/>
          <w:color w:val="231F20"/>
          <w:w w:val="105"/>
        </w:rPr>
        <w:t xml:space="preserve"> </w:t>
      </w:r>
      <w:r w:rsidRPr="00691C52">
        <w:rPr>
          <w:rFonts w:cstheme="minorHAnsi"/>
          <w:color w:val="231F20"/>
          <w:w w:val="105"/>
        </w:rPr>
        <w:t>main</w:t>
      </w:r>
      <w:r w:rsidRPr="00E840CE">
        <w:rPr>
          <w:rFonts w:cstheme="minorHAnsi"/>
          <w:color w:val="231F20"/>
          <w:w w:val="105"/>
        </w:rPr>
        <w:t xml:space="preserve"> </w:t>
      </w:r>
      <w:r w:rsidRPr="00691C52">
        <w:rPr>
          <w:rFonts w:cstheme="minorHAnsi"/>
          <w:color w:val="231F20"/>
          <w:w w:val="105"/>
        </w:rPr>
        <w:t>professional</w:t>
      </w:r>
      <w:r w:rsidRPr="00E840CE">
        <w:rPr>
          <w:rFonts w:cstheme="minorHAnsi"/>
          <w:color w:val="231F20"/>
          <w:w w:val="105"/>
        </w:rPr>
        <w:t xml:space="preserve"> </w:t>
      </w:r>
      <w:r w:rsidRPr="00691C52">
        <w:rPr>
          <w:rFonts w:cstheme="minorHAnsi"/>
          <w:color w:val="231F20"/>
          <w:w w:val="105"/>
        </w:rPr>
        <w:t>development</w:t>
      </w:r>
      <w:r w:rsidRPr="00E840CE">
        <w:rPr>
          <w:rFonts w:cstheme="minorHAnsi"/>
          <w:color w:val="231F20"/>
          <w:w w:val="105"/>
        </w:rPr>
        <w:t xml:space="preserve"> </w:t>
      </w:r>
      <w:r w:rsidRPr="00691C52">
        <w:rPr>
          <w:rFonts w:cstheme="minorHAnsi"/>
          <w:color w:val="231F20"/>
          <w:w w:val="105"/>
        </w:rPr>
        <w:t>hub</w:t>
      </w:r>
      <w:r w:rsidRPr="00E840CE">
        <w:rPr>
          <w:rFonts w:cstheme="minorHAnsi"/>
          <w:color w:val="231F20"/>
          <w:w w:val="105"/>
        </w:rPr>
        <w:t xml:space="preserve"> </w:t>
      </w:r>
      <w:r w:rsidRPr="00691C52">
        <w:rPr>
          <w:rFonts w:cstheme="minorHAnsi"/>
          <w:color w:val="231F20"/>
          <w:w w:val="105"/>
        </w:rPr>
        <w:t>for</w:t>
      </w:r>
      <w:r w:rsidRPr="00E840CE">
        <w:rPr>
          <w:rFonts w:cstheme="minorHAnsi"/>
          <w:color w:val="231F20"/>
          <w:w w:val="105"/>
        </w:rPr>
        <w:t xml:space="preserve"> </w:t>
      </w:r>
      <w:r w:rsidRPr="00691C52">
        <w:rPr>
          <w:rFonts w:cstheme="minorHAnsi"/>
          <w:color w:val="231F20"/>
          <w:w w:val="105"/>
        </w:rPr>
        <w:t>adult</w:t>
      </w:r>
      <w:r w:rsidRPr="00E840CE">
        <w:rPr>
          <w:rFonts w:cstheme="minorHAnsi"/>
          <w:color w:val="231F20"/>
          <w:w w:val="105"/>
        </w:rPr>
        <w:t xml:space="preserve"> </w:t>
      </w:r>
      <w:r w:rsidRPr="00691C52">
        <w:rPr>
          <w:rFonts w:cstheme="minorHAnsi"/>
          <w:color w:val="231F20"/>
          <w:w w:val="105"/>
        </w:rPr>
        <w:t>education</w:t>
      </w:r>
      <w:r w:rsidRPr="00E840CE">
        <w:rPr>
          <w:rFonts w:cstheme="minorHAnsi"/>
          <w:color w:val="231F20"/>
          <w:w w:val="105"/>
        </w:rPr>
        <w:t xml:space="preserve"> </w:t>
      </w:r>
      <w:r w:rsidRPr="00691C52">
        <w:rPr>
          <w:rFonts w:cstheme="minorHAnsi"/>
          <w:color w:val="231F20"/>
          <w:w w:val="105"/>
        </w:rPr>
        <w:t>at</w:t>
      </w:r>
      <w:r w:rsidRPr="00E840CE">
        <w:rPr>
          <w:rFonts w:cstheme="minorHAnsi"/>
          <w:color w:val="231F20"/>
          <w:w w:val="105"/>
        </w:rPr>
        <w:t xml:space="preserve"> </w:t>
      </w:r>
      <w:hyperlink r:id="rId168">
        <w:r w:rsidRPr="00704DA7">
          <w:rPr>
            <w:rStyle w:val="Hyperlink"/>
            <w:rFonts w:cstheme="minorHAnsi"/>
          </w:rPr>
          <w:t>http://www.floridaipdae.org</w:t>
        </w:r>
      </w:hyperlink>
      <w:r w:rsidRPr="00704DA7">
        <w:rPr>
          <w:rStyle w:val="Hyperlink"/>
          <w:rFonts w:cstheme="minorHAnsi"/>
        </w:rPr>
        <w:t>.</w:t>
      </w:r>
      <w:r w:rsidRPr="00E840CE">
        <w:rPr>
          <w:rFonts w:cstheme="minorHAnsi"/>
          <w:color w:val="231F20"/>
          <w:w w:val="105"/>
        </w:rPr>
        <w:t xml:space="preserve"> </w:t>
      </w:r>
      <w:r w:rsidRPr="00691C52">
        <w:rPr>
          <w:rFonts w:cstheme="minorHAnsi"/>
          <w:color w:val="231F20"/>
          <w:w w:val="105"/>
        </w:rPr>
        <w:t>IPDAE</w:t>
      </w:r>
      <w:r w:rsidRPr="00E840CE">
        <w:rPr>
          <w:rFonts w:cstheme="minorHAnsi"/>
          <w:color w:val="231F20"/>
          <w:w w:val="105"/>
        </w:rPr>
        <w:t xml:space="preserve"> </w:t>
      </w:r>
      <w:r w:rsidRPr="00691C52">
        <w:rPr>
          <w:rFonts w:cstheme="minorHAnsi"/>
          <w:color w:val="231F20"/>
          <w:w w:val="105"/>
        </w:rPr>
        <w:t>provides</w:t>
      </w:r>
      <w:r w:rsidRPr="00E840CE">
        <w:rPr>
          <w:rFonts w:cstheme="minorHAnsi"/>
          <w:color w:val="231F20"/>
          <w:w w:val="105"/>
        </w:rPr>
        <w:t xml:space="preserve"> </w:t>
      </w:r>
      <w:r w:rsidRPr="00691C52">
        <w:rPr>
          <w:rFonts w:cstheme="minorHAnsi"/>
          <w:color w:val="231F20"/>
          <w:w w:val="105"/>
        </w:rPr>
        <w:t>a</w:t>
      </w:r>
      <w:r w:rsidRPr="00E840CE">
        <w:rPr>
          <w:rFonts w:cstheme="minorHAnsi"/>
          <w:color w:val="231F20"/>
          <w:w w:val="105"/>
        </w:rPr>
        <w:t xml:space="preserve"> </w:t>
      </w:r>
      <w:r w:rsidRPr="00691C52">
        <w:rPr>
          <w:rFonts w:cstheme="minorHAnsi"/>
          <w:color w:val="231F20"/>
          <w:w w:val="105"/>
        </w:rPr>
        <w:t>web-based</w:t>
      </w:r>
      <w:r w:rsidRPr="00E840CE">
        <w:rPr>
          <w:rFonts w:cstheme="minorHAnsi"/>
          <w:color w:val="231F20"/>
          <w:w w:val="105"/>
        </w:rPr>
        <w:t xml:space="preserve"> </w:t>
      </w:r>
      <w:r w:rsidRPr="00691C52">
        <w:rPr>
          <w:rFonts w:cstheme="minorHAnsi"/>
          <w:color w:val="231F20"/>
          <w:w w:val="105"/>
        </w:rPr>
        <w:t>site</w:t>
      </w:r>
      <w:r w:rsidRPr="00E840CE">
        <w:rPr>
          <w:rFonts w:cstheme="minorHAnsi"/>
          <w:color w:val="231F20"/>
          <w:w w:val="105"/>
        </w:rPr>
        <w:t xml:space="preserve"> </w:t>
      </w:r>
      <w:r w:rsidRPr="00691C52">
        <w:rPr>
          <w:rFonts w:cstheme="minorHAnsi"/>
          <w:color w:val="231F20"/>
          <w:w w:val="105"/>
        </w:rPr>
        <w:t>which</w:t>
      </w:r>
      <w:r w:rsidRPr="00E840CE">
        <w:rPr>
          <w:rFonts w:cstheme="minorHAnsi"/>
          <w:color w:val="231F20"/>
          <w:w w:val="105"/>
        </w:rPr>
        <w:t xml:space="preserve"> </w:t>
      </w:r>
      <w:r w:rsidRPr="00691C52">
        <w:rPr>
          <w:rFonts w:cstheme="minorHAnsi"/>
          <w:color w:val="231F20"/>
          <w:w w:val="105"/>
        </w:rPr>
        <w:t>allows</w:t>
      </w:r>
      <w:r w:rsidRPr="00E840CE">
        <w:rPr>
          <w:rFonts w:cstheme="minorHAnsi"/>
          <w:color w:val="231F20"/>
          <w:w w:val="105"/>
        </w:rPr>
        <w:t xml:space="preserve"> </w:t>
      </w:r>
      <w:r w:rsidRPr="00691C52">
        <w:rPr>
          <w:rFonts w:cstheme="minorHAnsi"/>
          <w:color w:val="231F20"/>
          <w:w w:val="105"/>
        </w:rPr>
        <w:t>adult</w:t>
      </w:r>
      <w:r w:rsidRPr="00E840CE">
        <w:rPr>
          <w:rFonts w:cstheme="minorHAnsi"/>
          <w:color w:val="231F20"/>
          <w:w w:val="105"/>
        </w:rPr>
        <w:t xml:space="preserve"> </w:t>
      </w:r>
      <w:r w:rsidRPr="00691C52">
        <w:rPr>
          <w:rFonts w:cstheme="minorHAnsi"/>
          <w:color w:val="231F20"/>
          <w:w w:val="105"/>
        </w:rPr>
        <w:t>educators</w:t>
      </w:r>
      <w:r w:rsidRPr="00E840CE">
        <w:rPr>
          <w:rFonts w:cstheme="minorHAnsi"/>
          <w:color w:val="231F20"/>
          <w:w w:val="105"/>
        </w:rPr>
        <w:t xml:space="preserve"> </w:t>
      </w:r>
      <w:r w:rsidRPr="00691C52">
        <w:rPr>
          <w:rFonts w:cstheme="minorHAnsi"/>
          <w:color w:val="231F20"/>
          <w:w w:val="105"/>
        </w:rPr>
        <w:t>access</w:t>
      </w:r>
      <w:r w:rsidRPr="00E840CE">
        <w:rPr>
          <w:rFonts w:cstheme="minorHAnsi"/>
          <w:color w:val="231F20"/>
          <w:w w:val="105"/>
        </w:rPr>
        <w:t xml:space="preserve"> </w:t>
      </w:r>
      <w:r w:rsidRPr="00691C52">
        <w:rPr>
          <w:rFonts w:cstheme="minorHAnsi"/>
          <w:color w:val="231F20"/>
          <w:w w:val="105"/>
        </w:rPr>
        <w:t>to</w:t>
      </w:r>
      <w:r w:rsidRPr="00E840CE">
        <w:rPr>
          <w:rFonts w:cstheme="minorHAnsi"/>
          <w:color w:val="231F20"/>
          <w:w w:val="105"/>
        </w:rPr>
        <w:t xml:space="preserve"> </w:t>
      </w:r>
      <w:r w:rsidRPr="00691C52">
        <w:rPr>
          <w:rFonts w:cstheme="minorHAnsi"/>
          <w:color w:val="231F20"/>
          <w:w w:val="105"/>
        </w:rPr>
        <w:t>various</w:t>
      </w:r>
      <w:r w:rsidRPr="00E840CE">
        <w:rPr>
          <w:rFonts w:cstheme="minorHAnsi"/>
          <w:color w:val="231F20"/>
          <w:w w:val="105"/>
        </w:rPr>
        <w:t xml:space="preserve"> </w:t>
      </w:r>
      <w:r w:rsidRPr="00691C52">
        <w:rPr>
          <w:rFonts w:cstheme="minorHAnsi"/>
          <w:color w:val="231F20"/>
          <w:w w:val="105"/>
        </w:rPr>
        <w:t>resources</w:t>
      </w:r>
      <w:r w:rsidR="005E7C49">
        <w:rPr>
          <w:rFonts w:cstheme="minorHAnsi"/>
          <w:color w:val="231F20"/>
          <w:w w:val="105"/>
        </w:rPr>
        <w:t xml:space="preserve">. </w:t>
      </w:r>
      <w:r w:rsidRPr="00691C52">
        <w:rPr>
          <w:rFonts w:cstheme="minorHAnsi"/>
          <w:color w:val="231F20"/>
          <w:w w:val="105"/>
        </w:rPr>
        <w:t>These</w:t>
      </w:r>
      <w:r w:rsidRPr="00E840CE">
        <w:rPr>
          <w:rFonts w:cstheme="minorHAnsi"/>
          <w:color w:val="231F20"/>
          <w:w w:val="105"/>
        </w:rPr>
        <w:t xml:space="preserve"> </w:t>
      </w:r>
      <w:r w:rsidRPr="00691C52">
        <w:rPr>
          <w:rFonts w:cstheme="minorHAnsi"/>
          <w:color w:val="231F20"/>
          <w:w w:val="105"/>
        </w:rPr>
        <w:t>resources</w:t>
      </w:r>
      <w:r w:rsidRPr="00E840CE">
        <w:rPr>
          <w:rFonts w:cstheme="minorHAnsi"/>
          <w:color w:val="231F20"/>
          <w:w w:val="105"/>
        </w:rPr>
        <w:t xml:space="preserve"> </w:t>
      </w:r>
      <w:r w:rsidRPr="00691C52">
        <w:rPr>
          <w:rFonts w:cstheme="minorHAnsi"/>
          <w:color w:val="231F20"/>
          <w:w w:val="105"/>
        </w:rPr>
        <w:t>include,</w:t>
      </w:r>
      <w:r w:rsidRPr="00E840CE">
        <w:rPr>
          <w:rFonts w:cstheme="minorHAnsi"/>
          <w:color w:val="231F20"/>
          <w:w w:val="105"/>
        </w:rPr>
        <w:t xml:space="preserve"> </w:t>
      </w:r>
      <w:r w:rsidRPr="00691C52">
        <w:rPr>
          <w:rFonts w:cstheme="minorHAnsi"/>
          <w:color w:val="231F20"/>
          <w:w w:val="105"/>
        </w:rPr>
        <w:t>but</w:t>
      </w:r>
      <w:r w:rsidRPr="00E840CE">
        <w:rPr>
          <w:rFonts w:cstheme="minorHAnsi"/>
          <w:color w:val="231F20"/>
          <w:w w:val="105"/>
        </w:rPr>
        <w:t xml:space="preserve"> </w:t>
      </w:r>
      <w:r w:rsidRPr="00691C52">
        <w:rPr>
          <w:rFonts w:cstheme="minorHAnsi"/>
          <w:color w:val="231F20"/>
          <w:w w:val="105"/>
        </w:rPr>
        <w:t>are</w:t>
      </w:r>
      <w:r w:rsidRPr="00E840CE">
        <w:rPr>
          <w:rFonts w:cstheme="minorHAnsi"/>
          <w:color w:val="231F20"/>
          <w:w w:val="105"/>
        </w:rPr>
        <w:t xml:space="preserve"> </w:t>
      </w:r>
      <w:r w:rsidRPr="00691C52">
        <w:rPr>
          <w:rFonts w:cstheme="minorHAnsi"/>
          <w:color w:val="231F20"/>
          <w:w w:val="105"/>
        </w:rPr>
        <w:t>not</w:t>
      </w:r>
      <w:r w:rsidRPr="00E840CE">
        <w:rPr>
          <w:rFonts w:cstheme="minorHAnsi"/>
          <w:color w:val="231F20"/>
          <w:w w:val="105"/>
        </w:rPr>
        <w:t xml:space="preserve"> </w:t>
      </w:r>
      <w:r w:rsidRPr="00691C52">
        <w:rPr>
          <w:rFonts w:cstheme="minorHAnsi"/>
          <w:color w:val="231F20"/>
          <w:w w:val="105"/>
        </w:rPr>
        <w:t>limited</w:t>
      </w:r>
      <w:r w:rsidRPr="00E840CE">
        <w:rPr>
          <w:rFonts w:cstheme="minorHAnsi"/>
          <w:color w:val="231F20"/>
          <w:w w:val="105"/>
        </w:rPr>
        <w:t xml:space="preserve"> </w:t>
      </w:r>
      <w:r w:rsidRPr="00691C52">
        <w:rPr>
          <w:rFonts w:cstheme="minorHAnsi"/>
          <w:color w:val="231F20"/>
          <w:w w:val="105"/>
        </w:rPr>
        <w:t>to,</w:t>
      </w:r>
      <w:r w:rsidRPr="00E840CE">
        <w:rPr>
          <w:rFonts w:cstheme="minorHAnsi"/>
          <w:color w:val="231F20"/>
          <w:w w:val="105"/>
        </w:rPr>
        <w:t xml:space="preserve"> </w:t>
      </w:r>
      <w:r w:rsidRPr="00691C52">
        <w:rPr>
          <w:rFonts w:cstheme="minorHAnsi"/>
          <w:color w:val="231F20"/>
          <w:w w:val="105"/>
        </w:rPr>
        <w:t>electronic</w:t>
      </w:r>
      <w:r w:rsidRPr="00E840CE">
        <w:rPr>
          <w:rFonts w:cstheme="minorHAnsi"/>
          <w:color w:val="231F20"/>
          <w:w w:val="105"/>
        </w:rPr>
        <w:t xml:space="preserve"> </w:t>
      </w:r>
      <w:r w:rsidRPr="00691C52">
        <w:rPr>
          <w:rFonts w:cstheme="minorHAnsi"/>
          <w:color w:val="231F20"/>
          <w:w w:val="105"/>
        </w:rPr>
        <w:t>documents,</w:t>
      </w:r>
      <w:r w:rsidRPr="00E840CE">
        <w:rPr>
          <w:rFonts w:cstheme="minorHAnsi"/>
          <w:color w:val="231F20"/>
          <w:w w:val="105"/>
        </w:rPr>
        <w:t xml:space="preserve"> </w:t>
      </w:r>
      <w:r w:rsidRPr="00691C52">
        <w:rPr>
          <w:rFonts w:cstheme="minorHAnsi"/>
          <w:color w:val="231F20"/>
          <w:w w:val="105"/>
        </w:rPr>
        <w:t>toolkits,</w:t>
      </w:r>
      <w:r w:rsidRPr="00E840CE">
        <w:rPr>
          <w:rFonts w:cstheme="minorHAnsi"/>
          <w:color w:val="231F20"/>
          <w:w w:val="105"/>
        </w:rPr>
        <w:t xml:space="preserve"> </w:t>
      </w:r>
      <w:r w:rsidRPr="00691C52">
        <w:rPr>
          <w:rFonts w:cstheme="minorHAnsi"/>
          <w:color w:val="231F20"/>
          <w:w w:val="105"/>
        </w:rPr>
        <w:t>lessons,</w:t>
      </w:r>
      <w:r w:rsidRPr="00E840CE">
        <w:rPr>
          <w:rFonts w:cstheme="minorHAnsi"/>
          <w:color w:val="231F20"/>
          <w:w w:val="105"/>
        </w:rPr>
        <w:t xml:space="preserve"> </w:t>
      </w:r>
      <w:r w:rsidRPr="00691C52">
        <w:rPr>
          <w:rFonts w:cstheme="minorHAnsi"/>
          <w:color w:val="231F20"/>
          <w:w w:val="105"/>
        </w:rPr>
        <w:t>videos,</w:t>
      </w:r>
      <w:r w:rsidRPr="00E840CE">
        <w:rPr>
          <w:rFonts w:cstheme="minorHAnsi"/>
          <w:color w:val="231F20"/>
          <w:w w:val="105"/>
        </w:rPr>
        <w:t xml:space="preserve"> </w:t>
      </w:r>
      <w:r w:rsidRPr="00691C52">
        <w:rPr>
          <w:rFonts w:cstheme="minorHAnsi"/>
          <w:color w:val="231F20"/>
          <w:w w:val="105"/>
        </w:rPr>
        <w:t>workshops,</w:t>
      </w:r>
      <w:r w:rsidRPr="00E840CE">
        <w:rPr>
          <w:rFonts w:cstheme="minorHAnsi"/>
          <w:color w:val="231F20"/>
          <w:w w:val="105"/>
        </w:rPr>
        <w:t xml:space="preserve"> </w:t>
      </w:r>
      <w:r w:rsidRPr="00691C52">
        <w:rPr>
          <w:rFonts w:cstheme="minorHAnsi"/>
          <w:color w:val="231F20"/>
          <w:w w:val="105"/>
        </w:rPr>
        <w:t>webinars,</w:t>
      </w:r>
      <w:r w:rsidRPr="00E840CE">
        <w:rPr>
          <w:rFonts w:cstheme="minorHAnsi"/>
          <w:color w:val="231F20"/>
          <w:w w:val="105"/>
        </w:rPr>
        <w:t xml:space="preserve"> </w:t>
      </w:r>
      <w:r w:rsidRPr="00691C52">
        <w:rPr>
          <w:rFonts w:cstheme="minorHAnsi"/>
          <w:color w:val="231F20"/>
          <w:w w:val="105"/>
        </w:rPr>
        <w:t>virtual</w:t>
      </w:r>
      <w:r w:rsidRPr="00E840CE">
        <w:rPr>
          <w:rFonts w:cstheme="minorHAnsi"/>
          <w:color w:val="231F20"/>
          <w:w w:val="105"/>
        </w:rPr>
        <w:t xml:space="preserve"> </w:t>
      </w:r>
      <w:r w:rsidRPr="00691C52">
        <w:rPr>
          <w:rFonts w:cstheme="minorHAnsi"/>
          <w:color w:val="231F20"/>
          <w:w w:val="105"/>
        </w:rPr>
        <w:t>trainings,</w:t>
      </w:r>
      <w:r w:rsidRPr="00E840CE">
        <w:rPr>
          <w:rFonts w:cstheme="minorHAnsi"/>
          <w:color w:val="231F20"/>
          <w:w w:val="105"/>
        </w:rPr>
        <w:t xml:space="preserve"> </w:t>
      </w:r>
      <w:r w:rsidRPr="00691C52">
        <w:rPr>
          <w:rFonts w:cstheme="minorHAnsi"/>
          <w:color w:val="231F20"/>
          <w:w w:val="105"/>
        </w:rPr>
        <w:t>online</w:t>
      </w:r>
      <w:r w:rsidRPr="00E840CE">
        <w:rPr>
          <w:rFonts w:cstheme="minorHAnsi"/>
          <w:color w:val="231F20"/>
          <w:w w:val="105"/>
        </w:rPr>
        <w:t xml:space="preserve"> </w:t>
      </w:r>
      <w:r w:rsidRPr="00691C52">
        <w:rPr>
          <w:rFonts w:cstheme="minorHAnsi"/>
          <w:color w:val="231F20"/>
          <w:w w:val="105"/>
        </w:rPr>
        <w:t>training</w:t>
      </w:r>
      <w:r w:rsidRPr="00E840CE">
        <w:rPr>
          <w:rFonts w:cstheme="minorHAnsi"/>
          <w:color w:val="231F20"/>
          <w:w w:val="105"/>
        </w:rPr>
        <w:t xml:space="preserve"> </w:t>
      </w:r>
      <w:r w:rsidRPr="00691C52">
        <w:rPr>
          <w:rFonts w:cstheme="minorHAnsi"/>
          <w:color w:val="231F20"/>
          <w:w w:val="105"/>
        </w:rPr>
        <w:t>modules,</w:t>
      </w:r>
      <w:r w:rsidRPr="00E840CE">
        <w:rPr>
          <w:rFonts w:cstheme="minorHAnsi"/>
          <w:color w:val="231F20"/>
          <w:w w:val="105"/>
        </w:rPr>
        <w:t xml:space="preserve"> </w:t>
      </w:r>
      <w:r w:rsidRPr="00691C52">
        <w:rPr>
          <w:rFonts w:cstheme="minorHAnsi"/>
          <w:color w:val="231F20"/>
          <w:w w:val="105"/>
        </w:rPr>
        <w:t>newsletters</w:t>
      </w:r>
      <w:r w:rsidRPr="00E840CE">
        <w:rPr>
          <w:rFonts w:cstheme="minorHAnsi"/>
          <w:color w:val="231F20"/>
          <w:w w:val="105"/>
        </w:rPr>
        <w:t xml:space="preserve"> </w:t>
      </w:r>
      <w:r w:rsidRPr="00691C52">
        <w:rPr>
          <w:rFonts w:cstheme="minorHAnsi"/>
          <w:color w:val="231F20"/>
          <w:w w:val="105"/>
        </w:rPr>
        <w:t>and</w:t>
      </w:r>
      <w:r w:rsidRPr="00E840CE">
        <w:rPr>
          <w:rFonts w:cstheme="minorHAnsi"/>
          <w:color w:val="231F20"/>
          <w:w w:val="105"/>
        </w:rPr>
        <w:t xml:space="preserve"> </w:t>
      </w:r>
      <w:r w:rsidRPr="00691C52">
        <w:rPr>
          <w:rFonts w:cstheme="minorHAnsi"/>
          <w:color w:val="231F20"/>
          <w:w w:val="105"/>
        </w:rPr>
        <w:t>consistent</w:t>
      </w:r>
      <w:r w:rsidRPr="00E840CE">
        <w:rPr>
          <w:rFonts w:cstheme="minorHAnsi"/>
          <w:color w:val="231F20"/>
          <w:w w:val="105"/>
        </w:rPr>
        <w:t xml:space="preserve"> </w:t>
      </w:r>
      <w:r w:rsidRPr="00691C52">
        <w:rPr>
          <w:rFonts w:cstheme="minorHAnsi"/>
          <w:color w:val="231F20"/>
          <w:w w:val="105"/>
        </w:rPr>
        <w:t>communication</w:t>
      </w:r>
      <w:r w:rsidRPr="00E840CE">
        <w:rPr>
          <w:rFonts w:cstheme="minorHAnsi"/>
          <w:color w:val="231F20"/>
          <w:w w:val="105"/>
        </w:rPr>
        <w:t xml:space="preserve"> </w:t>
      </w:r>
      <w:r w:rsidRPr="00691C52">
        <w:rPr>
          <w:rFonts w:cstheme="minorHAnsi"/>
          <w:color w:val="231F20"/>
          <w:w w:val="105"/>
        </w:rPr>
        <w:t>outreach</w:t>
      </w:r>
      <w:r w:rsidRPr="00E840CE">
        <w:rPr>
          <w:rFonts w:cstheme="minorHAnsi"/>
          <w:color w:val="231F20"/>
          <w:w w:val="105"/>
        </w:rPr>
        <w:t xml:space="preserve"> </w:t>
      </w:r>
      <w:r w:rsidRPr="00691C52">
        <w:rPr>
          <w:rFonts w:cstheme="minorHAnsi"/>
          <w:color w:val="231F20"/>
          <w:w w:val="105"/>
        </w:rPr>
        <w:t>through an</w:t>
      </w:r>
      <w:r w:rsidRPr="00E840CE">
        <w:rPr>
          <w:rFonts w:cstheme="minorHAnsi"/>
          <w:color w:val="231F20"/>
          <w:w w:val="105"/>
        </w:rPr>
        <w:t xml:space="preserve"> </w:t>
      </w:r>
      <w:r w:rsidRPr="00691C52">
        <w:rPr>
          <w:rFonts w:cstheme="minorHAnsi"/>
          <w:color w:val="231F20"/>
          <w:w w:val="105"/>
        </w:rPr>
        <w:t>email</w:t>
      </w:r>
      <w:r w:rsidRPr="00E840CE">
        <w:rPr>
          <w:rFonts w:cstheme="minorHAnsi"/>
          <w:color w:val="231F20"/>
          <w:w w:val="105"/>
        </w:rPr>
        <w:t xml:space="preserve"> </w:t>
      </w:r>
      <w:r w:rsidRPr="00691C52">
        <w:rPr>
          <w:rFonts w:cstheme="minorHAnsi"/>
          <w:color w:val="231F20"/>
          <w:w w:val="105"/>
        </w:rPr>
        <w:t>contact</w:t>
      </w:r>
      <w:r w:rsidRPr="00E840CE">
        <w:rPr>
          <w:rFonts w:cstheme="minorHAnsi"/>
          <w:color w:val="231F20"/>
          <w:w w:val="105"/>
        </w:rPr>
        <w:t xml:space="preserve"> </w:t>
      </w:r>
      <w:r w:rsidRPr="00691C52">
        <w:rPr>
          <w:rFonts w:cstheme="minorHAnsi"/>
          <w:color w:val="231F20"/>
          <w:w w:val="105"/>
        </w:rPr>
        <w:t>database.</w:t>
      </w:r>
      <w:r w:rsidRPr="00E840CE">
        <w:rPr>
          <w:rFonts w:cstheme="minorHAnsi"/>
          <w:color w:val="231F20"/>
          <w:w w:val="105"/>
        </w:rPr>
        <w:t xml:space="preserve"> </w:t>
      </w:r>
      <w:r w:rsidRPr="00691C52">
        <w:rPr>
          <w:rFonts w:cstheme="minorHAnsi"/>
          <w:color w:val="231F20"/>
          <w:w w:val="105"/>
        </w:rPr>
        <w:t>IPDAE</w:t>
      </w:r>
      <w:r w:rsidRPr="00E840CE">
        <w:rPr>
          <w:rFonts w:cstheme="minorHAnsi"/>
          <w:color w:val="231F20"/>
          <w:w w:val="105"/>
        </w:rPr>
        <w:t xml:space="preserve"> </w:t>
      </w:r>
      <w:r w:rsidRPr="00691C52">
        <w:rPr>
          <w:rFonts w:cstheme="minorHAnsi"/>
          <w:color w:val="231F20"/>
          <w:w w:val="105"/>
        </w:rPr>
        <w:t>provides</w:t>
      </w:r>
      <w:r w:rsidRPr="00E840CE">
        <w:rPr>
          <w:rFonts w:cstheme="minorHAnsi"/>
          <w:color w:val="231F20"/>
          <w:w w:val="105"/>
        </w:rPr>
        <w:t xml:space="preserve"> </w:t>
      </w:r>
      <w:r w:rsidRPr="00691C52">
        <w:rPr>
          <w:rFonts w:cstheme="minorHAnsi"/>
          <w:color w:val="231F20"/>
          <w:w w:val="105"/>
        </w:rPr>
        <w:t>the</w:t>
      </w:r>
      <w:r w:rsidRPr="00E840CE">
        <w:rPr>
          <w:rFonts w:cstheme="minorHAnsi"/>
          <w:color w:val="231F20"/>
          <w:w w:val="105"/>
        </w:rPr>
        <w:t xml:space="preserve"> </w:t>
      </w:r>
      <w:r w:rsidRPr="00691C52">
        <w:rPr>
          <w:rFonts w:cstheme="minorHAnsi"/>
          <w:color w:val="231F20"/>
          <w:w w:val="105"/>
        </w:rPr>
        <w:t>convergence</w:t>
      </w:r>
      <w:r w:rsidRPr="00E840CE">
        <w:rPr>
          <w:rFonts w:cstheme="minorHAnsi"/>
          <w:color w:val="231F20"/>
          <w:w w:val="105"/>
        </w:rPr>
        <w:t xml:space="preserve"> </w:t>
      </w:r>
      <w:r w:rsidRPr="00691C52">
        <w:rPr>
          <w:rFonts w:cstheme="minorHAnsi"/>
          <w:color w:val="231F20"/>
          <w:w w:val="105"/>
        </w:rPr>
        <w:t>of</w:t>
      </w:r>
      <w:r w:rsidRPr="00E840CE">
        <w:rPr>
          <w:rFonts w:cstheme="minorHAnsi"/>
          <w:color w:val="231F20"/>
          <w:w w:val="105"/>
        </w:rPr>
        <w:t xml:space="preserve"> </w:t>
      </w:r>
      <w:r w:rsidRPr="00691C52">
        <w:rPr>
          <w:rFonts w:cstheme="minorHAnsi"/>
          <w:color w:val="231F20"/>
          <w:w w:val="105"/>
        </w:rPr>
        <w:t>subject</w:t>
      </w:r>
      <w:r w:rsidRPr="00E840CE">
        <w:rPr>
          <w:rFonts w:cstheme="minorHAnsi"/>
          <w:color w:val="231F20"/>
          <w:w w:val="105"/>
        </w:rPr>
        <w:t xml:space="preserve"> </w:t>
      </w:r>
      <w:r w:rsidRPr="00691C52">
        <w:rPr>
          <w:rFonts w:cstheme="minorHAnsi"/>
          <w:color w:val="231F20"/>
          <w:w w:val="105"/>
        </w:rPr>
        <w:t>matter</w:t>
      </w:r>
      <w:r w:rsidRPr="00E840CE">
        <w:rPr>
          <w:rFonts w:cstheme="minorHAnsi"/>
          <w:color w:val="231F20"/>
          <w:w w:val="105"/>
        </w:rPr>
        <w:t xml:space="preserve"> </w:t>
      </w:r>
      <w:r w:rsidRPr="00691C52">
        <w:rPr>
          <w:rFonts w:cstheme="minorHAnsi"/>
          <w:color w:val="231F20"/>
          <w:w w:val="105"/>
        </w:rPr>
        <w:t>experts,</w:t>
      </w:r>
      <w:r w:rsidRPr="00E840CE">
        <w:rPr>
          <w:rFonts w:cstheme="minorHAnsi"/>
          <w:color w:val="231F20"/>
          <w:w w:val="105"/>
        </w:rPr>
        <w:t xml:space="preserve"> </w:t>
      </w:r>
      <w:r w:rsidRPr="00691C52">
        <w:rPr>
          <w:rFonts w:cstheme="minorHAnsi"/>
          <w:color w:val="231F20"/>
          <w:w w:val="105"/>
        </w:rPr>
        <w:t>interactivity</w:t>
      </w:r>
      <w:r w:rsidRPr="00E840CE">
        <w:rPr>
          <w:rFonts w:cstheme="minorHAnsi"/>
          <w:color w:val="231F20"/>
          <w:w w:val="105"/>
        </w:rPr>
        <w:t xml:space="preserve"> </w:t>
      </w:r>
      <w:r w:rsidRPr="00691C52">
        <w:rPr>
          <w:rFonts w:cstheme="minorHAnsi"/>
          <w:color w:val="231F20"/>
          <w:w w:val="105"/>
        </w:rPr>
        <w:t>engagements, planning/coordination and a technology platform to disseminate information required for implementing adult education programs. IPDAE provides methods to measure and assess involvement</w:t>
      </w:r>
      <w:r w:rsidRPr="00E840CE">
        <w:rPr>
          <w:rFonts w:cstheme="minorHAnsi"/>
          <w:color w:val="231F20"/>
          <w:w w:val="105"/>
        </w:rPr>
        <w:t xml:space="preserve"> </w:t>
      </w:r>
      <w:r w:rsidRPr="00691C52">
        <w:rPr>
          <w:rFonts w:cstheme="minorHAnsi"/>
          <w:color w:val="231F20"/>
          <w:w w:val="105"/>
        </w:rPr>
        <w:t>and</w:t>
      </w:r>
      <w:r w:rsidRPr="00E840CE">
        <w:rPr>
          <w:rFonts w:cstheme="minorHAnsi"/>
          <w:color w:val="231F20"/>
          <w:w w:val="105"/>
        </w:rPr>
        <w:t xml:space="preserve"> </w:t>
      </w:r>
      <w:r w:rsidRPr="00691C52">
        <w:rPr>
          <w:rFonts w:cstheme="minorHAnsi"/>
          <w:color w:val="231F20"/>
          <w:w w:val="105"/>
        </w:rPr>
        <w:t>effectiveness</w:t>
      </w:r>
      <w:r w:rsidRPr="00E840CE">
        <w:rPr>
          <w:rFonts w:cstheme="minorHAnsi"/>
          <w:color w:val="231F20"/>
          <w:w w:val="105"/>
        </w:rPr>
        <w:t xml:space="preserve"> </w:t>
      </w:r>
      <w:r w:rsidRPr="00691C52">
        <w:rPr>
          <w:rFonts w:cstheme="minorHAnsi"/>
          <w:color w:val="231F20"/>
          <w:w w:val="105"/>
        </w:rPr>
        <w:t>of</w:t>
      </w:r>
      <w:r w:rsidRPr="00E840CE">
        <w:rPr>
          <w:rFonts w:cstheme="minorHAnsi"/>
          <w:color w:val="231F20"/>
          <w:w w:val="105"/>
        </w:rPr>
        <w:t xml:space="preserve"> </w:t>
      </w:r>
      <w:r w:rsidRPr="00691C52">
        <w:rPr>
          <w:rFonts w:cstheme="minorHAnsi"/>
          <w:color w:val="231F20"/>
          <w:w w:val="105"/>
        </w:rPr>
        <w:t>adult</w:t>
      </w:r>
      <w:r w:rsidRPr="00E840CE">
        <w:rPr>
          <w:rFonts w:cstheme="minorHAnsi"/>
          <w:color w:val="231F20"/>
          <w:w w:val="105"/>
        </w:rPr>
        <w:t xml:space="preserve"> </w:t>
      </w:r>
      <w:r w:rsidRPr="00691C52">
        <w:rPr>
          <w:rFonts w:cstheme="minorHAnsi"/>
          <w:color w:val="231F20"/>
          <w:w w:val="105"/>
        </w:rPr>
        <w:t>education</w:t>
      </w:r>
      <w:r w:rsidRPr="00E840CE">
        <w:rPr>
          <w:rFonts w:cstheme="minorHAnsi"/>
          <w:color w:val="231F20"/>
          <w:w w:val="105"/>
        </w:rPr>
        <w:t xml:space="preserve"> </w:t>
      </w:r>
      <w:r w:rsidRPr="00691C52">
        <w:rPr>
          <w:rFonts w:cstheme="minorHAnsi"/>
          <w:color w:val="231F20"/>
          <w:w w:val="105"/>
        </w:rPr>
        <w:t>programs</w:t>
      </w:r>
      <w:r w:rsidRPr="00E840CE">
        <w:rPr>
          <w:rFonts w:cstheme="minorHAnsi"/>
          <w:color w:val="231F20"/>
          <w:w w:val="105"/>
        </w:rPr>
        <w:t xml:space="preserve"> </w:t>
      </w:r>
      <w:r w:rsidRPr="00691C52">
        <w:rPr>
          <w:rFonts w:cstheme="minorHAnsi"/>
          <w:color w:val="231F20"/>
          <w:w w:val="105"/>
        </w:rPr>
        <w:t>through</w:t>
      </w:r>
      <w:r w:rsidRPr="00E840CE">
        <w:rPr>
          <w:rFonts w:cstheme="minorHAnsi"/>
          <w:color w:val="231F20"/>
          <w:w w:val="105"/>
        </w:rPr>
        <w:t xml:space="preserve"> </w:t>
      </w:r>
      <w:r w:rsidRPr="00691C52">
        <w:rPr>
          <w:rFonts w:cstheme="minorHAnsi"/>
          <w:color w:val="231F20"/>
          <w:w w:val="105"/>
        </w:rPr>
        <w:t>data reports, evaluations and surveys.</w:t>
      </w:r>
    </w:p>
    <w:p w14:paraId="6E56EE81" w14:textId="77777777" w:rsidR="00D6480A" w:rsidRPr="00C84023" w:rsidRDefault="00D6480A" w:rsidP="00D63204">
      <w:pPr>
        <w:widowControl w:val="0"/>
        <w:spacing w:before="4" w:after="0" w:line="240" w:lineRule="auto"/>
        <w:ind w:left="90"/>
        <w:rPr>
          <w:rFonts w:cstheme="minorHAnsi"/>
          <w:sz w:val="21"/>
          <w:szCs w:val="21"/>
        </w:rPr>
      </w:pPr>
    </w:p>
    <w:p w14:paraId="2A1ADAD6" w14:textId="2D530DEB" w:rsidR="00691C52" w:rsidRDefault="00D6480A" w:rsidP="00D63204">
      <w:pPr>
        <w:widowControl w:val="0"/>
        <w:spacing w:after="0" w:line="264" w:lineRule="exact"/>
        <w:ind w:left="90"/>
        <w:rPr>
          <w:rFonts w:cstheme="minorHAnsi"/>
          <w:color w:val="231F20"/>
          <w:spacing w:val="17"/>
          <w:w w:val="105"/>
        </w:rPr>
      </w:pPr>
      <w:r w:rsidRPr="00C84023">
        <w:rPr>
          <w:rFonts w:cstheme="minorHAnsi"/>
          <w:color w:val="231F20"/>
          <w:w w:val="105"/>
        </w:rPr>
        <w:t>Regional</w:t>
      </w:r>
      <w:r w:rsidRPr="00C84023">
        <w:rPr>
          <w:rFonts w:cstheme="minorHAnsi"/>
          <w:color w:val="231F20"/>
          <w:spacing w:val="17"/>
          <w:w w:val="105"/>
        </w:rPr>
        <w:t xml:space="preserve"> </w:t>
      </w:r>
      <w:r w:rsidRPr="00C84023">
        <w:rPr>
          <w:rFonts w:cstheme="minorHAnsi"/>
          <w:color w:val="231F20"/>
          <w:w w:val="105"/>
        </w:rPr>
        <w:t>workshops</w:t>
      </w:r>
      <w:r w:rsidRPr="00C84023">
        <w:rPr>
          <w:rFonts w:cstheme="minorHAnsi"/>
          <w:color w:val="231F20"/>
          <w:spacing w:val="17"/>
          <w:w w:val="105"/>
        </w:rPr>
        <w:t xml:space="preserve"> </w:t>
      </w:r>
      <w:r w:rsidRPr="00C84023">
        <w:rPr>
          <w:rFonts w:cstheme="minorHAnsi"/>
          <w:color w:val="231F20"/>
          <w:w w:val="105"/>
        </w:rPr>
        <w:t>and</w:t>
      </w:r>
      <w:r w:rsidRPr="00C84023">
        <w:rPr>
          <w:rFonts w:cstheme="minorHAnsi"/>
          <w:color w:val="231F20"/>
          <w:spacing w:val="17"/>
          <w:w w:val="105"/>
        </w:rPr>
        <w:t xml:space="preserve"> </w:t>
      </w:r>
      <w:r w:rsidRPr="00C84023">
        <w:rPr>
          <w:rFonts w:cstheme="minorHAnsi"/>
          <w:color w:val="231F20"/>
          <w:w w:val="105"/>
        </w:rPr>
        <w:t>webinars</w:t>
      </w:r>
      <w:r w:rsidRPr="00C84023">
        <w:rPr>
          <w:rFonts w:cstheme="minorHAnsi"/>
          <w:color w:val="231F20"/>
          <w:spacing w:val="17"/>
          <w:w w:val="105"/>
        </w:rPr>
        <w:t xml:space="preserve"> </w:t>
      </w:r>
      <w:r w:rsidRPr="00C84023">
        <w:rPr>
          <w:rFonts w:cstheme="minorHAnsi"/>
          <w:color w:val="231F20"/>
          <w:w w:val="105"/>
        </w:rPr>
        <w:t>are</w:t>
      </w:r>
      <w:r w:rsidRPr="00C84023">
        <w:rPr>
          <w:rFonts w:cstheme="minorHAnsi"/>
          <w:color w:val="231F20"/>
          <w:spacing w:val="17"/>
          <w:w w:val="105"/>
        </w:rPr>
        <w:t xml:space="preserve"> </w:t>
      </w:r>
      <w:r w:rsidRPr="00C84023">
        <w:rPr>
          <w:rFonts w:cstheme="minorHAnsi"/>
          <w:color w:val="231F20"/>
          <w:w w:val="105"/>
        </w:rPr>
        <w:t>conducted</w:t>
      </w:r>
      <w:r w:rsidRPr="00C84023">
        <w:rPr>
          <w:rFonts w:cstheme="minorHAnsi"/>
          <w:color w:val="231F20"/>
          <w:spacing w:val="17"/>
          <w:w w:val="105"/>
        </w:rPr>
        <w:t xml:space="preserve"> </w:t>
      </w:r>
      <w:r w:rsidRPr="00C84023">
        <w:rPr>
          <w:rFonts w:cstheme="minorHAnsi"/>
          <w:color w:val="231F20"/>
          <w:w w:val="105"/>
        </w:rPr>
        <w:t>on</w:t>
      </w:r>
      <w:r w:rsidRPr="00C84023">
        <w:rPr>
          <w:rFonts w:cstheme="minorHAnsi"/>
          <w:color w:val="231F20"/>
          <w:spacing w:val="17"/>
          <w:w w:val="105"/>
        </w:rPr>
        <w:t xml:space="preserve"> </w:t>
      </w:r>
      <w:r w:rsidRPr="00C84023">
        <w:rPr>
          <w:rFonts w:cstheme="minorHAnsi"/>
          <w:color w:val="231F20"/>
          <w:w w:val="105"/>
        </w:rPr>
        <w:t>professional</w:t>
      </w:r>
      <w:r w:rsidRPr="00C84023">
        <w:rPr>
          <w:rFonts w:cstheme="minorHAnsi"/>
          <w:color w:val="231F20"/>
          <w:spacing w:val="17"/>
          <w:w w:val="105"/>
        </w:rPr>
        <w:t xml:space="preserve"> </w:t>
      </w:r>
      <w:r w:rsidRPr="00C84023">
        <w:rPr>
          <w:rFonts w:cstheme="minorHAnsi"/>
          <w:color w:val="231F20"/>
          <w:w w:val="105"/>
        </w:rPr>
        <w:t>development</w:t>
      </w:r>
      <w:r w:rsidRPr="00C84023">
        <w:rPr>
          <w:rFonts w:cstheme="minorHAnsi"/>
          <w:color w:val="231F20"/>
          <w:spacing w:val="17"/>
          <w:w w:val="105"/>
        </w:rPr>
        <w:t xml:space="preserve"> </w:t>
      </w:r>
      <w:r w:rsidRPr="00C84023">
        <w:rPr>
          <w:rFonts w:cstheme="minorHAnsi"/>
          <w:color w:val="231F20"/>
          <w:w w:val="105"/>
        </w:rPr>
        <w:t>priorities</w:t>
      </w:r>
      <w:r w:rsidRPr="00C84023">
        <w:rPr>
          <w:rFonts w:cstheme="minorHAnsi"/>
          <w:color w:val="231F20"/>
          <w:spacing w:val="17"/>
          <w:w w:val="105"/>
        </w:rPr>
        <w:t xml:space="preserve"> </w:t>
      </w:r>
      <w:r w:rsidRPr="00C84023">
        <w:rPr>
          <w:rFonts w:cstheme="minorHAnsi"/>
          <w:color w:val="231F20"/>
          <w:w w:val="105"/>
        </w:rPr>
        <w:t>identified</w:t>
      </w:r>
      <w:r w:rsidRPr="00C84023">
        <w:rPr>
          <w:rFonts w:cstheme="minorHAnsi"/>
          <w:color w:val="231F20"/>
          <w:spacing w:val="17"/>
          <w:w w:val="105"/>
        </w:rPr>
        <w:t xml:space="preserve"> </w:t>
      </w:r>
      <w:r w:rsidRPr="00C84023">
        <w:rPr>
          <w:rFonts w:cstheme="minorHAnsi"/>
          <w:color w:val="231F20"/>
          <w:w w:val="105"/>
        </w:rPr>
        <w:t>by</w:t>
      </w:r>
      <w:r w:rsidRPr="00C84023">
        <w:rPr>
          <w:rFonts w:cstheme="minorHAnsi"/>
          <w:color w:val="231F20"/>
          <w:spacing w:val="17"/>
          <w:w w:val="105"/>
        </w:rPr>
        <w:t xml:space="preserve"> </w:t>
      </w:r>
      <w:r w:rsidRPr="00C84023">
        <w:rPr>
          <w:rFonts w:cstheme="minorHAnsi"/>
          <w:color w:val="231F20"/>
          <w:w w:val="105"/>
        </w:rPr>
        <w:t>the</w:t>
      </w:r>
      <w:r w:rsidRPr="00C84023">
        <w:rPr>
          <w:rFonts w:cstheme="minorHAnsi"/>
          <w:color w:val="231F20"/>
          <w:spacing w:val="-29"/>
          <w:w w:val="105"/>
        </w:rPr>
        <w:t xml:space="preserve"> </w:t>
      </w:r>
      <w:r w:rsidRPr="00C84023">
        <w:rPr>
          <w:rFonts w:cstheme="minorHAnsi"/>
          <w:color w:val="231F20"/>
          <w:w w:val="105"/>
        </w:rPr>
        <w:t>professional</w:t>
      </w:r>
      <w:r w:rsidRPr="00C84023">
        <w:rPr>
          <w:rFonts w:cstheme="minorHAnsi"/>
          <w:color w:val="231F20"/>
          <w:spacing w:val="19"/>
          <w:w w:val="105"/>
        </w:rPr>
        <w:t xml:space="preserve"> </w:t>
      </w:r>
      <w:r w:rsidRPr="00C84023">
        <w:rPr>
          <w:rFonts w:cstheme="minorHAnsi"/>
          <w:color w:val="231F20"/>
          <w:w w:val="105"/>
        </w:rPr>
        <w:t>development</w:t>
      </w:r>
      <w:r w:rsidRPr="00C84023">
        <w:rPr>
          <w:rFonts w:cstheme="minorHAnsi"/>
          <w:color w:val="231F20"/>
          <w:spacing w:val="19"/>
          <w:w w:val="105"/>
        </w:rPr>
        <w:t xml:space="preserve"> </w:t>
      </w:r>
      <w:r w:rsidRPr="00C84023">
        <w:rPr>
          <w:rFonts w:cstheme="minorHAnsi"/>
          <w:color w:val="231F20"/>
          <w:w w:val="105"/>
        </w:rPr>
        <w:t>advisory</w:t>
      </w:r>
      <w:r w:rsidRPr="00C84023">
        <w:rPr>
          <w:rFonts w:cstheme="minorHAnsi"/>
          <w:color w:val="231F20"/>
          <w:spacing w:val="19"/>
          <w:w w:val="105"/>
        </w:rPr>
        <w:t xml:space="preserve"> </w:t>
      </w:r>
      <w:r w:rsidRPr="00C84023">
        <w:rPr>
          <w:rFonts w:cstheme="minorHAnsi"/>
          <w:color w:val="231F20"/>
          <w:w w:val="105"/>
        </w:rPr>
        <w:t>committee,</w:t>
      </w:r>
      <w:r w:rsidRPr="00C84023">
        <w:rPr>
          <w:rFonts w:cstheme="minorHAnsi"/>
          <w:color w:val="231F20"/>
          <w:spacing w:val="19"/>
          <w:w w:val="105"/>
        </w:rPr>
        <w:t xml:space="preserve"> </w:t>
      </w:r>
      <w:r w:rsidRPr="00C84023">
        <w:rPr>
          <w:rFonts w:cstheme="minorHAnsi"/>
          <w:color w:val="231F20"/>
          <w:w w:val="105"/>
        </w:rPr>
        <w:t>results</w:t>
      </w:r>
      <w:r w:rsidRPr="00C84023">
        <w:rPr>
          <w:rFonts w:cstheme="minorHAnsi"/>
          <w:color w:val="231F20"/>
          <w:spacing w:val="19"/>
          <w:w w:val="105"/>
        </w:rPr>
        <w:t xml:space="preserve"> </w:t>
      </w:r>
      <w:r w:rsidRPr="00C84023">
        <w:rPr>
          <w:rFonts w:cstheme="minorHAnsi"/>
          <w:color w:val="231F20"/>
          <w:w w:val="105"/>
        </w:rPr>
        <w:t>from</w:t>
      </w:r>
      <w:r w:rsidRPr="00C84023">
        <w:rPr>
          <w:rFonts w:cstheme="minorHAnsi"/>
          <w:color w:val="231F20"/>
          <w:spacing w:val="19"/>
          <w:w w:val="105"/>
        </w:rPr>
        <w:t xml:space="preserve"> </w:t>
      </w:r>
      <w:r w:rsidRPr="00C84023">
        <w:rPr>
          <w:rFonts w:cstheme="minorHAnsi"/>
          <w:color w:val="231F20"/>
          <w:w w:val="105"/>
        </w:rPr>
        <w:t>statewide</w:t>
      </w:r>
      <w:r w:rsidRPr="00C84023">
        <w:rPr>
          <w:rFonts w:cstheme="minorHAnsi"/>
          <w:color w:val="231F20"/>
          <w:spacing w:val="19"/>
          <w:w w:val="105"/>
        </w:rPr>
        <w:t xml:space="preserve"> </w:t>
      </w:r>
      <w:r w:rsidRPr="00C84023">
        <w:rPr>
          <w:rFonts w:cstheme="minorHAnsi"/>
          <w:color w:val="231F20"/>
          <w:w w:val="105"/>
        </w:rPr>
        <w:t>needs</w:t>
      </w:r>
      <w:r w:rsidRPr="00C84023">
        <w:rPr>
          <w:rFonts w:cstheme="minorHAnsi"/>
          <w:color w:val="231F20"/>
          <w:spacing w:val="19"/>
          <w:w w:val="105"/>
        </w:rPr>
        <w:t xml:space="preserve"> </w:t>
      </w:r>
      <w:r w:rsidRPr="00C84023">
        <w:rPr>
          <w:rFonts w:cstheme="minorHAnsi"/>
          <w:color w:val="231F20"/>
          <w:w w:val="105"/>
        </w:rPr>
        <w:t>assessments</w:t>
      </w:r>
      <w:r w:rsidR="00D5537E">
        <w:rPr>
          <w:rFonts w:cstheme="minorHAnsi"/>
          <w:color w:val="231F20"/>
          <w:w w:val="105"/>
        </w:rPr>
        <w:t xml:space="preserve"> and</w:t>
      </w:r>
      <w:r w:rsidRPr="00C84023">
        <w:rPr>
          <w:rFonts w:cstheme="minorHAnsi"/>
          <w:color w:val="231F20"/>
          <w:spacing w:val="19"/>
          <w:w w:val="105"/>
        </w:rPr>
        <w:t xml:space="preserve"> </w:t>
      </w:r>
      <w:r w:rsidRPr="00C84023">
        <w:rPr>
          <w:rFonts w:cstheme="minorHAnsi"/>
          <w:color w:val="231F20"/>
          <w:w w:val="105"/>
        </w:rPr>
        <w:t>the</w:t>
      </w:r>
      <w:r w:rsidRPr="00C84023">
        <w:rPr>
          <w:rFonts w:cstheme="minorHAnsi"/>
          <w:color w:val="231F20"/>
          <w:spacing w:val="19"/>
          <w:w w:val="105"/>
        </w:rPr>
        <w:t xml:space="preserve"> </w:t>
      </w:r>
      <w:r w:rsidRPr="00C84023">
        <w:rPr>
          <w:rFonts w:cstheme="minorHAnsi"/>
          <w:color w:val="231F20"/>
          <w:w w:val="105"/>
        </w:rPr>
        <w:t>DCAE</w:t>
      </w:r>
      <w:r w:rsidRPr="00C84023">
        <w:rPr>
          <w:rFonts w:cstheme="minorHAnsi"/>
          <w:color w:val="231F20"/>
          <w:spacing w:val="-14"/>
          <w:w w:val="105"/>
        </w:rPr>
        <w:t xml:space="preserve"> </w:t>
      </w:r>
      <w:r w:rsidRPr="00C84023">
        <w:rPr>
          <w:rFonts w:cstheme="minorHAnsi"/>
          <w:color w:val="231F20"/>
          <w:w w:val="105"/>
        </w:rPr>
        <w:t>staff.</w:t>
      </w:r>
      <w:r w:rsidRPr="00C84023">
        <w:rPr>
          <w:rFonts w:cstheme="minorHAnsi"/>
          <w:color w:val="231F20"/>
          <w:spacing w:val="7"/>
          <w:w w:val="105"/>
        </w:rPr>
        <w:t xml:space="preserve"> </w:t>
      </w:r>
      <w:r w:rsidRPr="00C84023">
        <w:rPr>
          <w:rFonts w:cstheme="minorHAnsi"/>
          <w:color w:val="231F20"/>
          <w:w w:val="105"/>
        </w:rPr>
        <w:t>Priorities</w:t>
      </w:r>
      <w:r w:rsidRPr="00C84023">
        <w:rPr>
          <w:rFonts w:cstheme="minorHAnsi"/>
          <w:color w:val="231F20"/>
          <w:spacing w:val="7"/>
          <w:w w:val="105"/>
        </w:rPr>
        <w:t xml:space="preserve"> </w:t>
      </w:r>
      <w:r w:rsidRPr="00C84023">
        <w:rPr>
          <w:rFonts w:cstheme="minorHAnsi"/>
          <w:color w:val="231F20"/>
          <w:w w:val="105"/>
        </w:rPr>
        <w:t>identified</w:t>
      </w:r>
      <w:r w:rsidRPr="00C84023">
        <w:rPr>
          <w:rFonts w:cstheme="minorHAnsi"/>
          <w:color w:val="231F20"/>
          <w:spacing w:val="7"/>
          <w:w w:val="105"/>
        </w:rPr>
        <w:t xml:space="preserve"> </w:t>
      </w:r>
      <w:r w:rsidRPr="00C84023">
        <w:rPr>
          <w:rFonts w:cstheme="minorHAnsi"/>
          <w:color w:val="231F20"/>
          <w:w w:val="105"/>
        </w:rPr>
        <w:t>for</w:t>
      </w:r>
      <w:r w:rsidRPr="00C84023">
        <w:rPr>
          <w:rFonts w:cstheme="minorHAnsi"/>
          <w:color w:val="231F20"/>
          <w:spacing w:val="7"/>
          <w:w w:val="105"/>
        </w:rPr>
        <w:t xml:space="preserve"> </w:t>
      </w:r>
      <w:r w:rsidRPr="00C84023">
        <w:rPr>
          <w:rFonts w:cstheme="minorHAnsi"/>
          <w:color w:val="231F20"/>
          <w:w w:val="105"/>
        </w:rPr>
        <w:t>implementing this</w:t>
      </w:r>
      <w:r w:rsidRPr="00C84023">
        <w:rPr>
          <w:rFonts w:cstheme="minorHAnsi"/>
          <w:color w:val="231F20"/>
          <w:spacing w:val="7"/>
          <w:w w:val="105"/>
        </w:rPr>
        <w:t xml:space="preserve"> </w:t>
      </w:r>
      <w:r w:rsidRPr="00C84023">
        <w:rPr>
          <w:rFonts w:cstheme="minorHAnsi"/>
          <w:color w:val="231F20"/>
          <w:w w:val="105"/>
        </w:rPr>
        <w:t>state</w:t>
      </w:r>
      <w:r w:rsidRPr="00C84023">
        <w:rPr>
          <w:rFonts w:cstheme="minorHAnsi"/>
          <w:color w:val="231F20"/>
          <w:spacing w:val="7"/>
          <w:w w:val="105"/>
        </w:rPr>
        <w:t xml:space="preserve"> </w:t>
      </w:r>
      <w:r w:rsidRPr="00C84023">
        <w:rPr>
          <w:rFonts w:cstheme="minorHAnsi"/>
          <w:color w:val="231F20"/>
          <w:w w:val="105"/>
        </w:rPr>
        <w:t>plan</w:t>
      </w:r>
      <w:r w:rsidRPr="00C84023">
        <w:rPr>
          <w:rFonts w:cstheme="minorHAnsi"/>
          <w:color w:val="231F20"/>
          <w:spacing w:val="7"/>
          <w:w w:val="105"/>
        </w:rPr>
        <w:t xml:space="preserve"> </w:t>
      </w:r>
      <w:r w:rsidRPr="00C84023">
        <w:rPr>
          <w:rFonts w:cstheme="minorHAnsi"/>
          <w:color w:val="231F20"/>
          <w:w w:val="105"/>
        </w:rPr>
        <w:t>are</w:t>
      </w:r>
      <w:r w:rsidRPr="00C84023">
        <w:rPr>
          <w:rFonts w:cstheme="minorHAnsi"/>
          <w:color w:val="231F20"/>
          <w:spacing w:val="7"/>
          <w:w w:val="105"/>
        </w:rPr>
        <w:t xml:space="preserve"> </w:t>
      </w:r>
      <w:r w:rsidRPr="00C84023">
        <w:rPr>
          <w:rFonts w:cstheme="minorHAnsi"/>
          <w:color w:val="231F20"/>
          <w:w w:val="105"/>
        </w:rPr>
        <w:t>research-based</w:t>
      </w:r>
      <w:r w:rsidRPr="00C84023">
        <w:rPr>
          <w:rFonts w:cstheme="minorHAnsi"/>
          <w:color w:val="231F20"/>
          <w:spacing w:val="7"/>
          <w:w w:val="105"/>
        </w:rPr>
        <w:t xml:space="preserve"> </w:t>
      </w:r>
      <w:r w:rsidRPr="00C84023">
        <w:rPr>
          <w:rFonts w:cstheme="minorHAnsi"/>
          <w:color w:val="231F20"/>
          <w:w w:val="105"/>
        </w:rPr>
        <w:t>reading</w:t>
      </w:r>
      <w:r w:rsidRPr="00C84023">
        <w:rPr>
          <w:rFonts w:cstheme="minorHAnsi"/>
          <w:color w:val="231F20"/>
          <w:spacing w:val="7"/>
          <w:w w:val="105"/>
        </w:rPr>
        <w:t xml:space="preserve"> </w:t>
      </w:r>
      <w:r w:rsidRPr="00C84023">
        <w:rPr>
          <w:rFonts w:cstheme="minorHAnsi"/>
          <w:color w:val="231F20"/>
          <w:w w:val="105"/>
        </w:rPr>
        <w:t>strategies,</w:t>
      </w:r>
      <w:r w:rsidRPr="00C84023">
        <w:rPr>
          <w:rFonts w:cstheme="minorHAnsi"/>
          <w:color w:val="231F20"/>
          <w:spacing w:val="-43"/>
          <w:w w:val="105"/>
        </w:rPr>
        <w:t xml:space="preserve"> </w:t>
      </w:r>
      <w:r w:rsidRPr="00C84023">
        <w:rPr>
          <w:rFonts w:cstheme="minorHAnsi"/>
          <w:color w:val="231F20"/>
          <w:w w:val="105"/>
        </w:rPr>
        <w:t>integrated</w:t>
      </w:r>
      <w:r w:rsidRPr="00C84023">
        <w:rPr>
          <w:rFonts w:cstheme="minorHAnsi"/>
          <w:color w:val="231F20"/>
          <w:spacing w:val="10"/>
          <w:w w:val="105"/>
        </w:rPr>
        <w:t xml:space="preserve"> </w:t>
      </w:r>
      <w:r w:rsidRPr="00C84023">
        <w:rPr>
          <w:rFonts w:cstheme="minorHAnsi"/>
          <w:color w:val="231F20"/>
          <w:w w:val="105"/>
        </w:rPr>
        <w:t>education</w:t>
      </w:r>
      <w:r w:rsidRPr="00C84023">
        <w:rPr>
          <w:rFonts w:cstheme="minorHAnsi"/>
          <w:color w:val="231F20"/>
          <w:spacing w:val="10"/>
          <w:w w:val="105"/>
        </w:rPr>
        <w:t xml:space="preserve"> </w:t>
      </w:r>
      <w:r w:rsidRPr="00C84023">
        <w:rPr>
          <w:rFonts w:cstheme="minorHAnsi"/>
          <w:color w:val="231F20"/>
          <w:w w:val="105"/>
        </w:rPr>
        <w:t>and</w:t>
      </w:r>
      <w:r w:rsidRPr="00C84023">
        <w:rPr>
          <w:rFonts w:cstheme="minorHAnsi"/>
          <w:color w:val="231F20"/>
          <w:spacing w:val="10"/>
          <w:w w:val="105"/>
        </w:rPr>
        <w:t xml:space="preserve"> </w:t>
      </w:r>
      <w:r w:rsidRPr="00C84023">
        <w:rPr>
          <w:rFonts w:cstheme="minorHAnsi"/>
          <w:color w:val="231F20"/>
          <w:w w:val="105"/>
        </w:rPr>
        <w:t>training,</w:t>
      </w:r>
      <w:r w:rsidRPr="00C84023">
        <w:rPr>
          <w:rFonts w:cstheme="minorHAnsi"/>
          <w:color w:val="231F20"/>
          <w:spacing w:val="10"/>
          <w:w w:val="105"/>
        </w:rPr>
        <w:t xml:space="preserve"> </w:t>
      </w:r>
      <w:r w:rsidRPr="00C84023">
        <w:rPr>
          <w:rFonts w:cstheme="minorHAnsi"/>
          <w:color w:val="231F20"/>
          <w:w w:val="105"/>
        </w:rPr>
        <w:t>contextualized</w:t>
      </w:r>
      <w:r w:rsidRPr="00C84023">
        <w:rPr>
          <w:rFonts w:cstheme="minorHAnsi"/>
          <w:color w:val="231F20"/>
          <w:spacing w:val="10"/>
          <w:w w:val="105"/>
        </w:rPr>
        <w:t xml:space="preserve"> </w:t>
      </w:r>
      <w:r w:rsidRPr="00C84023">
        <w:rPr>
          <w:rFonts w:cstheme="minorHAnsi"/>
          <w:color w:val="231F20"/>
          <w:w w:val="105"/>
        </w:rPr>
        <w:t>instruction,</w:t>
      </w:r>
      <w:r w:rsidRPr="00C84023">
        <w:rPr>
          <w:rFonts w:cstheme="minorHAnsi"/>
          <w:color w:val="231F20"/>
          <w:spacing w:val="10"/>
          <w:w w:val="105"/>
        </w:rPr>
        <w:t xml:space="preserve"> math training for ABE and GED® preparation </w:t>
      </w:r>
      <w:r w:rsidRPr="00C84023">
        <w:rPr>
          <w:rFonts w:cstheme="minorHAnsi"/>
          <w:color w:val="231F20"/>
          <w:w w:val="105"/>
        </w:rPr>
        <w:t>and</w:t>
      </w:r>
      <w:r w:rsidRPr="00C84023">
        <w:rPr>
          <w:rFonts w:cstheme="minorHAnsi"/>
          <w:color w:val="231F20"/>
          <w:spacing w:val="10"/>
          <w:w w:val="105"/>
        </w:rPr>
        <w:t xml:space="preserve"> </w:t>
      </w:r>
      <w:r w:rsidRPr="00C84023">
        <w:rPr>
          <w:rFonts w:cstheme="minorHAnsi"/>
          <w:color w:val="231F20"/>
          <w:w w:val="105"/>
        </w:rPr>
        <w:t>implementation</w:t>
      </w:r>
      <w:r w:rsidRPr="00C84023">
        <w:rPr>
          <w:rFonts w:cstheme="minorHAnsi"/>
          <w:color w:val="231F20"/>
          <w:spacing w:val="10"/>
          <w:w w:val="105"/>
        </w:rPr>
        <w:t xml:space="preserve"> </w:t>
      </w:r>
      <w:r w:rsidRPr="00C84023">
        <w:rPr>
          <w:rFonts w:cstheme="minorHAnsi"/>
          <w:color w:val="231F20"/>
          <w:w w:val="105"/>
        </w:rPr>
        <w:t>of</w:t>
      </w:r>
      <w:r w:rsidRPr="00C84023">
        <w:rPr>
          <w:rFonts w:cstheme="minorHAnsi"/>
          <w:color w:val="231F20"/>
          <w:spacing w:val="10"/>
          <w:w w:val="105"/>
        </w:rPr>
        <w:t xml:space="preserve"> </w:t>
      </w:r>
      <w:r w:rsidRPr="00C84023">
        <w:rPr>
          <w:rFonts w:cstheme="minorHAnsi"/>
          <w:color w:val="231F20"/>
          <w:w w:val="105"/>
        </w:rPr>
        <w:t>college</w:t>
      </w:r>
      <w:r w:rsidRPr="00C84023">
        <w:rPr>
          <w:rFonts w:cstheme="minorHAnsi"/>
          <w:color w:val="231F20"/>
          <w:spacing w:val="10"/>
          <w:w w:val="105"/>
        </w:rPr>
        <w:t xml:space="preserve"> </w:t>
      </w:r>
      <w:r w:rsidRPr="00C84023">
        <w:rPr>
          <w:rFonts w:cstheme="minorHAnsi"/>
          <w:color w:val="231F20"/>
          <w:w w:val="105"/>
        </w:rPr>
        <w:t>and</w:t>
      </w:r>
      <w:r w:rsidRPr="00C84023">
        <w:rPr>
          <w:rFonts w:cstheme="minorHAnsi"/>
          <w:color w:val="231F20"/>
          <w:spacing w:val="10"/>
          <w:w w:val="105"/>
        </w:rPr>
        <w:t xml:space="preserve"> </w:t>
      </w:r>
      <w:r w:rsidRPr="00C84023">
        <w:rPr>
          <w:rFonts w:cstheme="minorHAnsi"/>
          <w:color w:val="231F20"/>
          <w:w w:val="105"/>
        </w:rPr>
        <w:t>career</w:t>
      </w:r>
      <w:r w:rsidRPr="00C84023">
        <w:rPr>
          <w:rFonts w:cstheme="minorHAnsi"/>
          <w:color w:val="231F20"/>
          <w:spacing w:val="-19"/>
          <w:w w:val="105"/>
        </w:rPr>
        <w:t xml:space="preserve"> </w:t>
      </w:r>
      <w:r w:rsidRPr="00C84023">
        <w:rPr>
          <w:rFonts w:cstheme="minorHAnsi"/>
          <w:color w:val="231F20"/>
          <w:w w:val="105"/>
        </w:rPr>
        <w:t>readiness</w:t>
      </w:r>
      <w:r w:rsidRPr="00C84023">
        <w:rPr>
          <w:rFonts w:cstheme="minorHAnsi"/>
          <w:color w:val="231F20"/>
          <w:spacing w:val="17"/>
          <w:w w:val="105"/>
        </w:rPr>
        <w:t xml:space="preserve"> </w:t>
      </w:r>
      <w:r w:rsidRPr="00C84023">
        <w:rPr>
          <w:rFonts w:cstheme="minorHAnsi"/>
          <w:color w:val="231F20"/>
          <w:w w:val="105"/>
        </w:rPr>
        <w:t>standards</w:t>
      </w:r>
      <w:r w:rsidRPr="00C84023">
        <w:rPr>
          <w:rFonts w:cstheme="minorHAnsi"/>
          <w:color w:val="231F20"/>
          <w:spacing w:val="17"/>
          <w:w w:val="105"/>
        </w:rPr>
        <w:t xml:space="preserve"> </w:t>
      </w:r>
      <w:r w:rsidRPr="00C84023">
        <w:rPr>
          <w:rFonts w:cstheme="minorHAnsi"/>
          <w:color w:val="231F20"/>
          <w:w w:val="105"/>
        </w:rPr>
        <w:t>in</w:t>
      </w:r>
      <w:r w:rsidRPr="00C84023">
        <w:rPr>
          <w:rFonts w:cstheme="minorHAnsi"/>
          <w:color w:val="231F20"/>
          <w:spacing w:val="17"/>
          <w:w w:val="105"/>
        </w:rPr>
        <w:t xml:space="preserve"> </w:t>
      </w:r>
      <w:r w:rsidRPr="00C84023">
        <w:rPr>
          <w:rFonts w:cstheme="minorHAnsi"/>
          <w:color w:val="231F20"/>
          <w:w w:val="105"/>
        </w:rPr>
        <w:t>adult</w:t>
      </w:r>
      <w:r w:rsidRPr="00C84023">
        <w:rPr>
          <w:rFonts w:cstheme="minorHAnsi"/>
          <w:color w:val="231F20"/>
          <w:spacing w:val="17"/>
          <w:w w:val="105"/>
        </w:rPr>
        <w:t xml:space="preserve"> </w:t>
      </w:r>
      <w:r w:rsidRPr="00C84023">
        <w:rPr>
          <w:rFonts w:cstheme="minorHAnsi"/>
          <w:color w:val="231F20"/>
          <w:w w:val="105"/>
        </w:rPr>
        <w:t>education</w:t>
      </w:r>
      <w:r w:rsidRPr="00C84023">
        <w:rPr>
          <w:rFonts w:cstheme="minorHAnsi"/>
          <w:color w:val="231F20"/>
          <w:spacing w:val="17"/>
          <w:w w:val="105"/>
        </w:rPr>
        <w:t xml:space="preserve"> </w:t>
      </w:r>
      <w:r w:rsidRPr="00C84023">
        <w:rPr>
          <w:rFonts w:cstheme="minorHAnsi"/>
          <w:color w:val="231F20"/>
          <w:w w:val="105"/>
        </w:rPr>
        <w:t>and</w:t>
      </w:r>
      <w:r w:rsidRPr="00C84023">
        <w:rPr>
          <w:rFonts w:cstheme="minorHAnsi"/>
          <w:color w:val="231F20"/>
          <w:spacing w:val="17"/>
          <w:w w:val="105"/>
        </w:rPr>
        <w:t xml:space="preserve"> </w:t>
      </w:r>
      <w:r w:rsidRPr="00C84023">
        <w:rPr>
          <w:rFonts w:cstheme="minorHAnsi"/>
          <w:color w:val="231F20"/>
          <w:w w:val="105"/>
        </w:rPr>
        <w:t>ESOL.</w:t>
      </w:r>
      <w:r w:rsidRPr="00C84023">
        <w:rPr>
          <w:rFonts w:cstheme="minorHAnsi"/>
          <w:color w:val="231F20"/>
          <w:spacing w:val="17"/>
          <w:w w:val="105"/>
        </w:rPr>
        <w:t xml:space="preserve"> </w:t>
      </w:r>
    </w:p>
    <w:p w14:paraId="649EA245" w14:textId="77777777" w:rsidR="00691C52" w:rsidRDefault="00691C52" w:rsidP="00D63204">
      <w:pPr>
        <w:widowControl w:val="0"/>
        <w:spacing w:after="0" w:line="264" w:lineRule="exact"/>
        <w:ind w:left="90"/>
        <w:rPr>
          <w:rFonts w:cstheme="minorHAnsi"/>
          <w:color w:val="231F20"/>
          <w:spacing w:val="17"/>
          <w:w w:val="105"/>
        </w:rPr>
      </w:pPr>
    </w:p>
    <w:p w14:paraId="2201B857" w14:textId="3701F53F" w:rsidR="00D6480A" w:rsidRPr="00C84023" w:rsidRDefault="00D6480A" w:rsidP="00D63204">
      <w:pPr>
        <w:widowControl w:val="0"/>
        <w:spacing w:after="0" w:line="264" w:lineRule="exact"/>
        <w:ind w:left="90"/>
        <w:rPr>
          <w:rFonts w:cstheme="minorHAnsi"/>
        </w:rPr>
      </w:pPr>
      <w:r w:rsidRPr="00C84023">
        <w:rPr>
          <w:rFonts w:cstheme="minorHAnsi"/>
          <w:color w:val="231F20"/>
          <w:w w:val="105"/>
        </w:rPr>
        <w:t>The</w:t>
      </w:r>
      <w:r w:rsidRPr="00C84023">
        <w:rPr>
          <w:rFonts w:cstheme="minorHAnsi"/>
          <w:color w:val="231F20"/>
          <w:spacing w:val="17"/>
          <w:w w:val="105"/>
        </w:rPr>
        <w:t xml:space="preserve"> </w:t>
      </w:r>
      <w:r w:rsidRPr="00C84023">
        <w:rPr>
          <w:rFonts w:cstheme="minorHAnsi"/>
          <w:color w:val="231F20"/>
          <w:w w:val="105"/>
        </w:rPr>
        <w:t>training</w:t>
      </w:r>
      <w:r w:rsidRPr="00C84023">
        <w:rPr>
          <w:rFonts w:cstheme="minorHAnsi"/>
          <w:color w:val="231F20"/>
          <w:spacing w:val="17"/>
          <w:w w:val="105"/>
        </w:rPr>
        <w:t xml:space="preserve"> </w:t>
      </w:r>
      <w:r w:rsidRPr="00C84023">
        <w:rPr>
          <w:rFonts w:cstheme="minorHAnsi"/>
          <w:color w:val="231F20"/>
          <w:w w:val="105"/>
        </w:rPr>
        <w:t>events</w:t>
      </w:r>
      <w:r w:rsidRPr="00C84023">
        <w:rPr>
          <w:rFonts w:cstheme="minorHAnsi"/>
          <w:color w:val="231F20"/>
          <w:spacing w:val="17"/>
          <w:w w:val="105"/>
        </w:rPr>
        <w:t xml:space="preserve"> </w:t>
      </w:r>
      <w:r w:rsidRPr="00C84023">
        <w:rPr>
          <w:rFonts w:cstheme="minorHAnsi"/>
          <w:color w:val="231F20"/>
          <w:w w:val="105"/>
        </w:rPr>
        <w:t>calendar</w:t>
      </w:r>
      <w:r w:rsidRPr="00C84023">
        <w:rPr>
          <w:rFonts w:cstheme="minorHAnsi"/>
          <w:color w:val="231F20"/>
          <w:spacing w:val="17"/>
          <w:w w:val="105"/>
        </w:rPr>
        <w:t xml:space="preserve"> </w:t>
      </w:r>
      <w:r w:rsidRPr="00C84023">
        <w:rPr>
          <w:rFonts w:cstheme="minorHAnsi"/>
          <w:color w:val="231F20"/>
          <w:w w:val="105"/>
        </w:rPr>
        <w:t>is</w:t>
      </w:r>
      <w:r w:rsidRPr="00C84023">
        <w:rPr>
          <w:rFonts w:cstheme="minorHAnsi"/>
          <w:color w:val="231F20"/>
          <w:spacing w:val="17"/>
          <w:w w:val="105"/>
        </w:rPr>
        <w:t xml:space="preserve"> </w:t>
      </w:r>
      <w:r w:rsidRPr="00C84023">
        <w:rPr>
          <w:rFonts w:cstheme="minorHAnsi"/>
          <w:color w:val="231F20"/>
          <w:w w:val="105"/>
        </w:rPr>
        <w:t>available</w:t>
      </w:r>
      <w:r w:rsidRPr="00C84023">
        <w:rPr>
          <w:rFonts w:cstheme="minorHAnsi"/>
          <w:color w:val="231F20"/>
          <w:spacing w:val="17"/>
          <w:w w:val="105"/>
        </w:rPr>
        <w:t xml:space="preserve"> </w:t>
      </w:r>
      <w:r w:rsidRPr="00C84023">
        <w:rPr>
          <w:rFonts w:cstheme="minorHAnsi"/>
          <w:color w:val="231F20"/>
          <w:w w:val="105"/>
        </w:rPr>
        <w:t>at</w:t>
      </w:r>
      <w:r w:rsidRPr="00C84023">
        <w:rPr>
          <w:rFonts w:cstheme="minorHAnsi"/>
          <w:color w:val="231F20"/>
          <w:spacing w:val="17"/>
          <w:w w:val="105"/>
        </w:rPr>
        <w:t xml:space="preserve"> </w:t>
      </w:r>
      <w:r w:rsidRPr="00C84023">
        <w:rPr>
          <w:rFonts w:cstheme="minorHAnsi"/>
          <w:color w:val="231F20"/>
          <w:w w:val="105"/>
        </w:rPr>
        <w:t>the</w:t>
      </w:r>
      <w:r w:rsidRPr="00C84023">
        <w:rPr>
          <w:rFonts w:cstheme="minorHAnsi"/>
          <w:color w:val="231F20"/>
          <w:spacing w:val="17"/>
          <w:w w:val="105"/>
        </w:rPr>
        <w:t xml:space="preserve"> </w:t>
      </w:r>
      <w:r w:rsidRPr="00C84023">
        <w:rPr>
          <w:rFonts w:cstheme="minorHAnsi"/>
          <w:color w:val="231F20"/>
          <w:w w:val="105"/>
        </w:rPr>
        <w:t>IPDAE</w:t>
      </w:r>
      <w:r w:rsidRPr="00C84023">
        <w:rPr>
          <w:rFonts w:cstheme="minorHAnsi"/>
          <w:color w:val="231F20"/>
          <w:spacing w:val="9"/>
          <w:w w:val="105"/>
        </w:rPr>
        <w:t xml:space="preserve"> </w:t>
      </w:r>
      <w:r w:rsidRPr="00C84023">
        <w:rPr>
          <w:rFonts w:cstheme="minorHAnsi"/>
          <w:color w:val="231F20"/>
          <w:w w:val="105"/>
        </w:rPr>
        <w:t xml:space="preserve">website. Additional training opportunities are listed on the </w:t>
      </w:r>
      <w:r w:rsidRPr="00C84023">
        <w:rPr>
          <w:rFonts w:cstheme="minorHAnsi"/>
          <w:color w:val="231F20"/>
          <w:spacing w:val="-3"/>
          <w:w w:val="105"/>
        </w:rPr>
        <w:t xml:space="preserve">ACE </w:t>
      </w:r>
      <w:r w:rsidRPr="00C84023">
        <w:rPr>
          <w:rFonts w:cstheme="minorHAnsi"/>
          <w:color w:val="231F20"/>
          <w:w w:val="105"/>
        </w:rPr>
        <w:t>of Florida website,</w:t>
      </w:r>
      <w:r w:rsidRPr="00C84023">
        <w:rPr>
          <w:rFonts w:cstheme="minorHAnsi"/>
          <w:color w:val="231F20"/>
          <w:spacing w:val="32"/>
          <w:w w:val="105"/>
        </w:rPr>
        <w:t xml:space="preserve"> </w:t>
      </w:r>
      <w:hyperlink r:id="rId169">
        <w:r w:rsidRPr="00704DA7">
          <w:rPr>
            <w:rStyle w:val="Hyperlink"/>
            <w:rFonts w:cstheme="minorHAnsi"/>
          </w:rPr>
          <w:t>http://www.aceofflorida.</w:t>
        </w:r>
      </w:hyperlink>
      <w:hyperlink r:id="rId170">
        <w:r w:rsidRPr="00704DA7">
          <w:rPr>
            <w:rStyle w:val="Hyperlink"/>
            <w:rFonts w:cstheme="minorHAnsi"/>
          </w:rPr>
          <w:t xml:space="preserve">org </w:t>
        </w:r>
      </w:hyperlink>
      <w:r w:rsidRPr="00C84023">
        <w:rPr>
          <w:rFonts w:cstheme="minorHAnsi"/>
          <w:color w:val="231F20"/>
          <w:w w:val="105"/>
        </w:rPr>
        <w:t>and</w:t>
      </w:r>
      <w:r w:rsidRPr="00C84023">
        <w:rPr>
          <w:rFonts w:cstheme="minorHAnsi"/>
          <w:color w:val="231F20"/>
          <w:spacing w:val="8"/>
          <w:w w:val="105"/>
        </w:rPr>
        <w:t xml:space="preserve"> </w:t>
      </w:r>
      <w:r w:rsidRPr="00C84023">
        <w:rPr>
          <w:rFonts w:cstheme="minorHAnsi"/>
          <w:color w:val="231F20"/>
          <w:w w:val="105"/>
        </w:rPr>
        <w:t>the</w:t>
      </w:r>
      <w:r w:rsidRPr="00C84023">
        <w:rPr>
          <w:rFonts w:cstheme="minorHAnsi"/>
          <w:color w:val="231F20"/>
          <w:spacing w:val="8"/>
          <w:w w:val="105"/>
        </w:rPr>
        <w:t xml:space="preserve"> </w:t>
      </w:r>
      <w:r w:rsidRPr="00C84023">
        <w:rPr>
          <w:rFonts w:cstheme="minorHAnsi"/>
          <w:color w:val="231F20"/>
          <w:w w:val="105"/>
        </w:rPr>
        <w:t>Florida</w:t>
      </w:r>
      <w:r w:rsidRPr="00C84023">
        <w:rPr>
          <w:rFonts w:cstheme="minorHAnsi"/>
          <w:color w:val="231F20"/>
          <w:spacing w:val="8"/>
          <w:w w:val="105"/>
        </w:rPr>
        <w:t xml:space="preserve"> </w:t>
      </w:r>
      <w:r w:rsidRPr="00C84023">
        <w:rPr>
          <w:rFonts w:cstheme="minorHAnsi"/>
          <w:color w:val="231F20"/>
          <w:w w:val="105"/>
        </w:rPr>
        <w:t>Literacy</w:t>
      </w:r>
      <w:r w:rsidRPr="00C84023">
        <w:rPr>
          <w:rFonts w:cstheme="minorHAnsi"/>
          <w:color w:val="231F20"/>
          <w:spacing w:val="8"/>
          <w:w w:val="105"/>
        </w:rPr>
        <w:t xml:space="preserve"> </w:t>
      </w:r>
      <w:r w:rsidRPr="00C84023">
        <w:rPr>
          <w:rFonts w:cstheme="minorHAnsi"/>
          <w:color w:val="231F20"/>
          <w:w w:val="105"/>
        </w:rPr>
        <w:t>Coalition</w:t>
      </w:r>
      <w:r w:rsidRPr="00C84023">
        <w:rPr>
          <w:rFonts w:cstheme="minorHAnsi"/>
          <w:color w:val="231F20"/>
          <w:spacing w:val="8"/>
          <w:w w:val="105"/>
        </w:rPr>
        <w:t xml:space="preserve"> </w:t>
      </w:r>
      <w:r w:rsidRPr="00C84023">
        <w:rPr>
          <w:rFonts w:cstheme="minorHAnsi"/>
          <w:color w:val="231F20"/>
          <w:w w:val="105"/>
        </w:rPr>
        <w:t>(FLC)</w:t>
      </w:r>
      <w:r w:rsidRPr="00C84023">
        <w:rPr>
          <w:rFonts w:cstheme="minorHAnsi"/>
          <w:color w:val="231F20"/>
          <w:spacing w:val="8"/>
          <w:w w:val="105"/>
        </w:rPr>
        <w:t xml:space="preserve"> </w:t>
      </w:r>
      <w:r w:rsidRPr="00C84023">
        <w:rPr>
          <w:rFonts w:cstheme="minorHAnsi"/>
          <w:color w:val="231F20"/>
          <w:w w:val="105"/>
        </w:rPr>
        <w:t>website,</w:t>
      </w:r>
      <w:r w:rsidRPr="00C84023">
        <w:rPr>
          <w:rFonts w:cstheme="minorHAnsi"/>
          <w:color w:val="231F20"/>
          <w:spacing w:val="8"/>
          <w:w w:val="105"/>
        </w:rPr>
        <w:t xml:space="preserve"> </w:t>
      </w:r>
      <w:hyperlink r:id="rId171">
        <w:r w:rsidRPr="00704DA7">
          <w:rPr>
            <w:rStyle w:val="Hyperlink"/>
            <w:rFonts w:cstheme="minorHAnsi"/>
          </w:rPr>
          <w:t>http://www.floridaliteracy.org</w:t>
        </w:r>
      </w:hyperlink>
      <w:r w:rsidRPr="00704DA7">
        <w:rPr>
          <w:rStyle w:val="Hyperlink"/>
          <w:rFonts w:cstheme="minorHAnsi"/>
        </w:rPr>
        <w:t>.</w:t>
      </w:r>
      <w:r w:rsidRPr="00C84023">
        <w:rPr>
          <w:rFonts w:cstheme="minorHAnsi"/>
          <w:color w:val="231F20"/>
          <w:spacing w:val="8"/>
          <w:w w:val="105"/>
        </w:rPr>
        <w:t xml:space="preserve"> </w:t>
      </w:r>
      <w:r w:rsidRPr="00C84023">
        <w:rPr>
          <w:rFonts w:cstheme="minorHAnsi"/>
          <w:color w:val="231F20"/>
          <w:spacing w:val="-3"/>
          <w:w w:val="105"/>
        </w:rPr>
        <w:t>ACE</w:t>
      </w:r>
      <w:r w:rsidRPr="00C84023">
        <w:rPr>
          <w:rFonts w:cstheme="minorHAnsi"/>
          <w:color w:val="231F20"/>
          <w:spacing w:val="8"/>
          <w:w w:val="105"/>
        </w:rPr>
        <w:t xml:space="preserve"> </w:t>
      </w:r>
      <w:r w:rsidRPr="00C84023">
        <w:rPr>
          <w:rFonts w:cstheme="minorHAnsi"/>
          <w:color w:val="231F20"/>
          <w:w w:val="105"/>
        </w:rPr>
        <w:t>conducts</w:t>
      </w:r>
      <w:r w:rsidRPr="00C84023">
        <w:rPr>
          <w:rFonts w:cstheme="minorHAnsi"/>
          <w:color w:val="231F20"/>
          <w:spacing w:val="8"/>
          <w:w w:val="105"/>
        </w:rPr>
        <w:t xml:space="preserve"> </w:t>
      </w:r>
      <w:r w:rsidRPr="00C84023">
        <w:rPr>
          <w:rFonts w:cstheme="minorHAnsi"/>
          <w:color w:val="231F20"/>
          <w:w w:val="105"/>
        </w:rPr>
        <w:t>an</w:t>
      </w:r>
      <w:r w:rsidRPr="00C84023">
        <w:rPr>
          <w:rFonts w:cstheme="minorHAnsi"/>
          <w:color w:val="231F20"/>
          <w:spacing w:val="8"/>
          <w:w w:val="105"/>
        </w:rPr>
        <w:t xml:space="preserve"> </w:t>
      </w:r>
      <w:r w:rsidRPr="00C84023">
        <w:rPr>
          <w:rFonts w:cstheme="minorHAnsi"/>
          <w:color w:val="231F20"/>
          <w:w w:val="105"/>
        </w:rPr>
        <w:t>annual</w:t>
      </w:r>
      <w:r w:rsidRPr="00C84023">
        <w:rPr>
          <w:rFonts w:cstheme="minorHAnsi"/>
          <w:color w:val="231F20"/>
          <w:spacing w:val="-50"/>
          <w:w w:val="105"/>
        </w:rPr>
        <w:t xml:space="preserve"> </w:t>
      </w:r>
      <w:r w:rsidRPr="00C84023">
        <w:rPr>
          <w:rFonts w:cstheme="minorHAnsi"/>
          <w:color w:val="231F20"/>
          <w:w w:val="105"/>
        </w:rPr>
        <w:t>conference</w:t>
      </w:r>
      <w:r w:rsidRPr="00C84023">
        <w:rPr>
          <w:rFonts w:cstheme="minorHAnsi"/>
          <w:color w:val="231F20"/>
          <w:spacing w:val="28"/>
          <w:w w:val="105"/>
        </w:rPr>
        <w:t xml:space="preserve"> </w:t>
      </w:r>
      <w:r w:rsidRPr="00C84023">
        <w:rPr>
          <w:rFonts w:cstheme="minorHAnsi"/>
          <w:color w:val="231F20"/>
          <w:w w:val="105"/>
        </w:rPr>
        <w:t>for</w:t>
      </w:r>
      <w:r w:rsidRPr="00C84023">
        <w:rPr>
          <w:rFonts w:cstheme="minorHAnsi"/>
          <w:color w:val="231F20"/>
          <w:spacing w:val="28"/>
          <w:w w:val="105"/>
        </w:rPr>
        <w:t xml:space="preserve"> </w:t>
      </w:r>
      <w:r w:rsidRPr="00C84023">
        <w:rPr>
          <w:rFonts w:cstheme="minorHAnsi"/>
          <w:color w:val="231F20"/>
          <w:w w:val="105"/>
        </w:rPr>
        <w:t>adult</w:t>
      </w:r>
      <w:r w:rsidRPr="00C84023">
        <w:rPr>
          <w:rFonts w:cstheme="minorHAnsi"/>
          <w:color w:val="231F20"/>
          <w:spacing w:val="28"/>
          <w:w w:val="105"/>
        </w:rPr>
        <w:t xml:space="preserve"> </w:t>
      </w:r>
      <w:r w:rsidRPr="00C84023">
        <w:rPr>
          <w:rFonts w:cstheme="minorHAnsi"/>
          <w:color w:val="231F20"/>
          <w:w w:val="105"/>
        </w:rPr>
        <w:t>educators</w:t>
      </w:r>
      <w:r w:rsidRPr="00C84023">
        <w:rPr>
          <w:rFonts w:cstheme="minorHAnsi"/>
          <w:color w:val="231F20"/>
          <w:spacing w:val="28"/>
          <w:w w:val="105"/>
        </w:rPr>
        <w:t xml:space="preserve"> </w:t>
      </w:r>
      <w:r w:rsidRPr="00C84023">
        <w:rPr>
          <w:rFonts w:cstheme="minorHAnsi"/>
          <w:color w:val="231F20"/>
          <w:w w:val="105"/>
        </w:rPr>
        <w:t>and</w:t>
      </w:r>
      <w:r w:rsidRPr="00C84023">
        <w:rPr>
          <w:rFonts w:cstheme="minorHAnsi"/>
          <w:color w:val="231F20"/>
          <w:spacing w:val="28"/>
          <w:w w:val="105"/>
        </w:rPr>
        <w:t xml:space="preserve"> </w:t>
      </w:r>
      <w:r w:rsidRPr="00C84023">
        <w:rPr>
          <w:rFonts w:cstheme="minorHAnsi"/>
          <w:color w:val="231F20"/>
          <w:w w:val="105"/>
        </w:rPr>
        <w:t>regional</w:t>
      </w:r>
      <w:r w:rsidRPr="00C84023">
        <w:rPr>
          <w:rFonts w:cstheme="minorHAnsi"/>
          <w:color w:val="231F20"/>
          <w:spacing w:val="28"/>
          <w:w w:val="105"/>
        </w:rPr>
        <w:t xml:space="preserve"> </w:t>
      </w:r>
      <w:r w:rsidRPr="00C84023">
        <w:rPr>
          <w:rFonts w:cstheme="minorHAnsi"/>
          <w:color w:val="231F20"/>
          <w:w w:val="105"/>
        </w:rPr>
        <w:t>workshops</w:t>
      </w:r>
      <w:r w:rsidRPr="00C84023">
        <w:rPr>
          <w:rFonts w:cstheme="minorHAnsi"/>
          <w:color w:val="231F20"/>
          <w:spacing w:val="28"/>
          <w:w w:val="105"/>
        </w:rPr>
        <w:t xml:space="preserve"> </w:t>
      </w:r>
      <w:r w:rsidRPr="00C84023">
        <w:rPr>
          <w:rFonts w:cstheme="minorHAnsi"/>
          <w:color w:val="231F20"/>
          <w:w w:val="105"/>
        </w:rPr>
        <w:t>on</w:t>
      </w:r>
      <w:r w:rsidRPr="00C84023">
        <w:rPr>
          <w:rFonts w:cstheme="minorHAnsi"/>
          <w:color w:val="231F20"/>
          <w:spacing w:val="28"/>
          <w:w w:val="105"/>
        </w:rPr>
        <w:t xml:space="preserve"> </w:t>
      </w:r>
      <w:r w:rsidRPr="00C84023">
        <w:rPr>
          <w:rFonts w:cstheme="minorHAnsi"/>
          <w:color w:val="231F20"/>
          <w:w w:val="105"/>
        </w:rPr>
        <w:t>ESOL</w:t>
      </w:r>
      <w:r w:rsidRPr="00C84023">
        <w:rPr>
          <w:rFonts w:cstheme="minorHAnsi"/>
          <w:color w:val="231F20"/>
          <w:spacing w:val="28"/>
          <w:w w:val="105"/>
        </w:rPr>
        <w:t xml:space="preserve"> </w:t>
      </w:r>
      <w:r w:rsidRPr="00C84023">
        <w:rPr>
          <w:rFonts w:cstheme="minorHAnsi"/>
          <w:color w:val="231F20"/>
          <w:w w:val="105"/>
        </w:rPr>
        <w:t>and</w:t>
      </w:r>
      <w:r w:rsidRPr="00C84023">
        <w:rPr>
          <w:rFonts w:cstheme="minorHAnsi"/>
          <w:color w:val="231F20"/>
          <w:spacing w:val="28"/>
          <w:w w:val="105"/>
        </w:rPr>
        <w:t xml:space="preserve"> </w:t>
      </w:r>
      <w:r w:rsidRPr="00C84023">
        <w:rPr>
          <w:rFonts w:cstheme="minorHAnsi"/>
          <w:color w:val="231F20"/>
          <w:w w:val="105"/>
        </w:rPr>
        <w:t>EL</w:t>
      </w:r>
      <w:r w:rsidRPr="00C84023">
        <w:rPr>
          <w:rFonts w:cstheme="minorHAnsi"/>
          <w:color w:val="231F20"/>
          <w:spacing w:val="28"/>
          <w:w w:val="105"/>
        </w:rPr>
        <w:t xml:space="preserve"> </w:t>
      </w:r>
      <w:r w:rsidRPr="00C84023">
        <w:rPr>
          <w:rFonts w:cstheme="minorHAnsi"/>
          <w:color w:val="231F20"/>
          <w:w w:val="105"/>
        </w:rPr>
        <w:t>Civics.</w:t>
      </w:r>
      <w:r w:rsidRPr="00C84023">
        <w:rPr>
          <w:rFonts w:cstheme="minorHAnsi"/>
          <w:color w:val="231F20"/>
          <w:spacing w:val="28"/>
          <w:w w:val="105"/>
        </w:rPr>
        <w:t xml:space="preserve"> </w:t>
      </w:r>
      <w:r w:rsidRPr="00C84023">
        <w:rPr>
          <w:rFonts w:cstheme="minorHAnsi"/>
          <w:color w:val="231F20"/>
          <w:spacing w:val="-3"/>
          <w:w w:val="105"/>
        </w:rPr>
        <w:t>FLC</w:t>
      </w:r>
      <w:r w:rsidRPr="00C84023">
        <w:rPr>
          <w:rFonts w:cstheme="minorHAnsi"/>
          <w:color w:val="231F20"/>
          <w:spacing w:val="28"/>
          <w:w w:val="105"/>
        </w:rPr>
        <w:t xml:space="preserve"> </w:t>
      </w:r>
      <w:r w:rsidRPr="00C84023">
        <w:rPr>
          <w:rFonts w:cstheme="minorHAnsi"/>
          <w:color w:val="231F20"/>
          <w:w w:val="105"/>
        </w:rPr>
        <w:t>provides</w:t>
      </w:r>
      <w:r w:rsidRPr="00C84023">
        <w:rPr>
          <w:rFonts w:cstheme="minorHAnsi"/>
          <w:color w:val="231F20"/>
          <w:spacing w:val="28"/>
          <w:w w:val="105"/>
        </w:rPr>
        <w:t xml:space="preserve"> </w:t>
      </w:r>
      <w:r w:rsidRPr="00C84023">
        <w:rPr>
          <w:rFonts w:cstheme="minorHAnsi"/>
          <w:color w:val="231F20"/>
          <w:w w:val="105"/>
        </w:rPr>
        <w:t>training</w:t>
      </w:r>
      <w:r w:rsidR="00691C52">
        <w:rPr>
          <w:rFonts w:cstheme="minorHAnsi"/>
          <w:color w:val="231F20"/>
          <w:w w:val="105"/>
        </w:rPr>
        <w:t xml:space="preserve"> </w:t>
      </w:r>
      <w:r w:rsidRPr="00C84023">
        <w:rPr>
          <w:rFonts w:cstheme="minorHAnsi"/>
          <w:color w:val="231F20"/>
          <w:w w:val="105"/>
        </w:rPr>
        <w:t>for tutors, volunteers</w:t>
      </w:r>
      <w:r w:rsidR="00D5537E">
        <w:rPr>
          <w:rFonts w:cstheme="minorHAnsi"/>
          <w:color w:val="231F20"/>
          <w:w w:val="105"/>
        </w:rPr>
        <w:t xml:space="preserve"> and</w:t>
      </w:r>
      <w:r w:rsidRPr="00C84023">
        <w:rPr>
          <w:rFonts w:cstheme="minorHAnsi"/>
          <w:color w:val="231F20"/>
          <w:w w:val="105"/>
        </w:rPr>
        <w:t xml:space="preserve"> leadership from community-based organizations. </w:t>
      </w:r>
      <w:r w:rsidRPr="00C84023">
        <w:rPr>
          <w:rFonts w:cstheme="minorHAnsi"/>
          <w:color w:val="231F20"/>
          <w:spacing w:val="-3"/>
          <w:w w:val="105"/>
        </w:rPr>
        <w:t xml:space="preserve">FLC </w:t>
      </w:r>
      <w:r w:rsidRPr="00C84023">
        <w:rPr>
          <w:rFonts w:cstheme="minorHAnsi"/>
          <w:color w:val="231F20"/>
          <w:w w:val="105"/>
        </w:rPr>
        <w:t>conducts an</w:t>
      </w:r>
      <w:r w:rsidRPr="00C84023">
        <w:rPr>
          <w:rFonts w:cstheme="minorHAnsi"/>
          <w:color w:val="231F20"/>
          <w:spacing w:val="36"/>
          <w:w w:val="105"/>
        </w:rPr>
        <w:t xml:space="preserve"> </w:t>
      </w:r>
      <w:r w:rsidRPr="00C84023">
        <w:rPr>
          <w:rFonts w:cstheme="minorHAnsi"/>
          <w:color w:val="231F20"/>
          <w:w w:val="105"/>
        </w:rPr>
        <w:t>annual</w:t>
      </w:r>
      <w:r w:rsidRPr="00C84023">
        <w:rPr>
          <w:rFonts w:cstheme="minorHAnsi"/>
          <w:color w:val="231F20"/>
          <w:w w:val="106"/>
        </w:rPr>
        <w:t xml:space="preserve"> </w:t>
      </w:r>
      <w:r w:rsidRPr="00C84023">
        <w:rPr>
          <w:rFonts w:cstheme="minorHAnsi"/>
          <w:color w:val="231F20"/>
          <w:w w:val="105"/>
        </w:rPr>
        <w:t>conference targeting adult educators, tutors and volunteers</w:t>
      </w:r>
      <w:r w:rsidR="00D5537E">
        <w:rPr>
          <w:rFonts w:cstheme="minorHAnsi"/>
          <w:color w:val="231F20"/>
          <w:w w:val="105"/>
        </w:rPr>
        <w:t xml:space="preserve"> and</w:t>
      </w:r>
      <w:r w:rsidRPr="00C84023">
        <w:rPr>
          <w:rFonts w:cstheme="minorHAnsi"/>
          <w:color w:val="231F20"/>
          <w:w w:val="105"/>
        </w:rPr>
        <w:t xml:space="preserve"> community-based organizations.</w:t>
      </w:r>
    </w:p>
    <w:p w14:paraId="070F9138" w14:textId="77777777" w:rsidR="00691C52" w:rsidRDefault="00691C52" w:rsidP="00D63204">
      <w:pPr>
        <w:widowControl w:val="0"/>
        <w:tabs>
          <w:tab w:val="left" w:pos="1188"/>
        </w:tabs>
        <w:spacing w:after="0" w:line="264" w:lineRule="exact"/>
        <w:ind w:left="90"/>
        <w:rPr>
          <w:rFonts w:cstheme="minorHAnsi"/>
          <w:b/>
          <w:bCs/>
          <w:i/>
          <w:color w:val="231F20"/>
          <w:spacing w:val="-3"/>
          <w:w w:val="105"/>
        </w:rPr>
      </w:pPr>
    </w:p>
    <w:p w14:paraId="3709B946" w14:textId="4EAFF420" w:rsidR="00D6480A" w:rsidRPr="00691C52" w:rsidRDefault="00D6480A" w:rsidP="00D63204">
      <w:pPr>
        <w:pStyle w:val="ListParagraph"/>
        <w:widowControl w:val="0"/>
        <w:numPr>
          <w:ilvl w:val="0"/>
          <w:numId w:val="47"/>
        </w:numPr>
        <w:tabs>
          <w:tab w:val="left" w:pos="1188"/>
        </w:tabs>
        <w:spacing w:after="0" w:line="264" w:lineRule="exact"/>
        <w:rPr>
          <w:rFonts w:cstheme="minorHAnsi"/>
        </w:rPr>
      </w:pPr>
      <w:r w:rsidRPr="00691C52">
        <w:rPr>
          <w:rFonts w:cstheme="minorHAnsi"/>
          <w:b/>
          <w:bCs/>
          <w:i/>
          <w:color w:val="231F20"/>
          <w:spacing w:val="-3"/>
          <w:w w:val="105"/>
        </w:rPr>
        <w:t>Technical</w:t>
      </w:r>
      <w:r w:rsidRPr="00691C52">
        <w:rPr>
          <w:rFonts w:cstheme="minorHAnsi"/>
          <w:b/>
          <w:bCs/>
          <w:i/>
          <w:color w:val="231F20"/>
          <w:spacing w:val="10"/>
          <w:w w:val="105"/>
        </w:rPr>
        <w:t xml:space="preserve"> </w:t>
      </w:r>
      <w:r w:rsidRPr="00691C52">
        <w:rPr>
          <w:rFonts w:cstheme="minorHAnsi"/>
          <w:b/>
          <w:bCs/>
          <w:i/>
          <w:color w:val="231F20"/>
          <w:w w:val="105"/>
        </w:rPr>
        <w:t>Assistance</w:t>
      </w:r>
      <w:r w:rsidRPr="00691C52">
        <w:rPr>
          <w:rFonts w:cstheme="minorHAnsi"/>
          <w:b/>
          <w:bCs/>
          <w:i/>
          <w:color w:val="231F20"/>
          <w:spacing w:val="10"/>
          <w:w w:val="105"/>
        </w:rPr>
        <w:t xml:space="preserve"> </w:t>
      </w:r>
      <w:r w:rsidRPr="00691C52">
        <w:rPr>
          <w:rFonts w:cstheme="minorHAnsi"/>
          <w:color w:val="231F20"/>
          <w:w w:val="105"/>
        </w:rPr>
        <w:t>–</w:t>
      </w:r>
      <w:r w:rsidRPr="00691C52">
        <w:rPr>
          <w:rFonts w:cstheme="minorHAnsi"/>
          <w:color w:val="231F20"/>
          <w:spacing w:val="23"/>
          <w:w w:val="105"/>
        </w:rPr>
        <w:t xml:space="preserve"> </w:t>
      </w:r>
      <w:r w:rsidRPr="00691C52">
        <w:rPr>
          <w:rFonts w:cstheme="minorHAnsi"/>
          <w:color w:val="231F20"/>
          <w:w w:val="105"/>
        </w:rPr>
        <w:t>The</w:t>
      </w:r>
      <w:r w:rsidRPr="00691C52">
        <w:rPr>
          <w:rFonts w:cstheme="minorHAnsi"/>
          <w:color w:val="231F20"/>
          <w:spacing w:val="23"/>
          <w:w w:val="105"/>
        </w:rPr>
        <w:t xml:space="preserve"> </w:t>
      </w:r>
      <w:r w:rsidRPr="00691C52">
        <w:rPr>
          <w:rFonts w:cstheme="minorHAnsi"/>
          <w:color w:val="231F20"/>
          <w:w w:val="105"/>
        </w:rPr>
        <w:t>DCAE</w:t>
      </w:r>
      <w:r w:rsidRPr="00691C52">
        <w:rPr>
          <w:rFonts w:cstheme="minorHAnsi"/>
          <w:color w:val="231F20"/>
          <w:spacing w:val="23"/>
          <w:w w:val="105"/>
        </w:rPr>
        <w:t xml:space="preserve"> </w:t>
      </w:r>
      <w:r w:rsidRPr="00691C52">
        <w:rPr>
          <w:rFonts w:cstheme="minorHAnsi"/>
          <w:color w:val="231F20"/>
          <w:w w:val="105"/>
        </w:rPr>
        <w:t>provides technical</w:t>
      </w:r>
      <w:r w:rsidRPr="00691C52">
        <w:rPr>
          <w:rFonts w:cstheme="minorHAnsi"/>
          <w:color w:val="231F20"/>
          <w:spacing w:val="23"/>
          <w:w w:val="105"/>
        </w:rPr>
        <w:t xml:space="preserve"> </w:t>
      </w:r>
      <w:r w:rsidRPr="00691C52">
        <w:rPr>
          <w:rFonts w:cstheme="minorHAnsi"/>
          <w:color w:val="231F20"/>
          <w:w w:val="105"/>
        </w:rPr>
        <w:t>assistance</w:t>
      </w:r>
      <w:r w:rsidRPr="00691C52">
        <w:rPr>
          <w:rFonts w:cstheme="minorHAnsi"/>
          <w:color w:val="231F20"/>
          <w:spacing w:val="23"/>
          <w:w w:val="105"/>
        </w:rPr>
        <w:t xml:space="preserve"> </w:t>
      </w:r>
      <w:r w:rsidRPr="00691C52">
        <w:rPr>
          <w:rFonts w:cstheme="minorHAnsi"/>
          <w:color w:val="231F20"/>
          <w:w w:val="105"/>
        </w:rPr>
        <w:t>on</w:t>
      </w:r>
      <w:r w:rsidRPr="00691C52">
        <w:rPr>
          <w:rFonts w:cstheme="minorHAnsi"/>
          <w:color w:val="231F20"/>
          <w:spacing w:val="23"/>
          <w:w w:val="105"/>
        </w:rPr>
        <w:t xml:space="preserve"> </w:t>
      </w:r>
      <w:r w:rsidRPr="00691C52">
        <w:rPr>
          <w:rFonts w:cstheme="minorHAnsi"/>
          <w:color w:val="231F20"/>
          <w:w w:val="105"/>
        </w:rPr>
        <w:t>programmatic</w:t>
      </w:r>
      <w:r w:rsidRPr="00691C52">
        <w:rPr>
          <w:rFonts w:cstheme="minorHAnsi"/>
          <w:color w:val="231F20"/>
          <w:spacing w:val="23"/>
          <w:w w:val="105"/>
        </w:rPr>
        <w:t xml:space="preserve"> </w:t>
      </w:r>
      <w:r w:rsidRPr="00691C52">
        <w:rPr>
          <w:rFonts w:cstheme="minorHAnsi"/>
          <w:color w:val="231F20"/>
          <w:w w:val="105"/>
        </w:rPr>
        <w:t>and</w:t>
      </w:r>
      <w:r w:rsidRPr="00691C52">
        <w:rPr>
          <w:rFonts w:cstheme="minorHAnsi"/>
          <w:color w:val="231F20"/>
          <w:spacing w:val="23"/>
          <w:w w:val="105"/>
        </w:rPr>
        <w:t xml:space="preserve"> </w:t>
      </w:r>
      <w:r w:rsidRPr="00691C52">
        <w:rPr>
          <w:rFonts w:cstheme="minorHAnsi"/>
          <w:color w:val="231F20"/>
          <w:w w:val="105"/>
        </w:rPr>
        <w:t>data collection</w:t>
      </w:r>
      <w:r w:rsidRPr="00691C52">
        <w:rPr>
          <w:rFonts w:cstheme="minorHAnsi"/>
          <w:color w:val="231F20"/>
          <w:spacing w:val="11"/>
          <w:w w:val="105"/>
        </w:rPr>
        <w:t xml:space="preserve"> </w:t>
      </w:r>
      <w:r w:rsidRPr="00691C52">
        <w:rPr>
          <w:rFonts w:cstheme="minorHAnsi"/>
          <w:color w:val="231F20"/>
          <w:w w:val="105"/>
        </w:rPr>
        <w:t>and</w:t>
      </w:r>
      <w:r w:rsidRPr="00691C52">
        <w:rPr>
          <w:rFonts w:cstheme="minorHAnsi"/>
          <w:color w:val="231F20"/>
          <w:spacing w:val="11"/>
          <w:w w:val="105"/>
        </w:rPr>
        <w:t xml:space="preserve"> </w:t>
      </w:r>
      <w:r w:rsidRPr="00691C52">
        <w:rPr>
          <w:rFonts w:cstheme="minorHAnsi"/>
          <w:color w:val="231F20"/>
          <w:w w:val="105"/>
        </w:rPr>
        <w:t>reporting</w:t>
      </w:r>
      <w:r w:rsidRPr="00691C52">
        <w:rPr>
          <w:rFonts w:cstheme="minorHAnsi"/>
          <w:color w:val="231F20"/>
          <w:spacing w:val="11"/>
          <w:w w:val="105"/>
        </w:rPr>
        <w:t xml:space="preserve"> </w:t>
      </w:r>
      <w:r w:rsidRPr="00691C52">
        <w:rPr>
          <w:rFonts w:cstheme="minorHAnsi"/>
          <w:color w:val="231F20"/>
          <w:w w:val="105"/>
        </w:rPr>
        <w:t>issues</w:t>
      </w:r>
      <w:r w:rsidRPr="00691C52">
        <w:rPr>
          <w:rFonts w:cstheme="minorHAnsi"/>
          <w:color w:val="231F20"/>
          <w:spacing w:val="11"/>
          <w:w w:val="105"/>
        </w:rPr>
        <w:t xml:space="preserve"> </w:t>
      </w:r>
      <w:r w:rsidRPr="00691C52">
        <w:rPr>
          <w:rFonts w:cstheme="minorHAnsi"/>
          <w:color w:val="231F20"/>
          <w:w w:val="105"/>
        </w:rPr>
        <w:t>to</w:t>
      </w:r>
      <w:r w:rsidRPr="00691C52">
        <w:rPr>
          <w:rFonts w:cstheme="minorHAnsi"/>
          <w:color w:val="231F20"/>
          <w:spacing w:val="11"/>
          <w:w w:val="105"/>
        </w:rPr>
        <w:t xml:space="preserve"> </w:t>
      </w:r>
      <w:r w:rsidRPr="00691C52">
        <w:rPr>
          <w:rFonts w:cstheme="minorHAnsi"/>
          <w:color w:val="231F20"/>
          <w:w w:val="105"/>
        </w:rPr>
        <w:t>providers</w:t>
      </w:r>
      <w:r w:rsidRPr="00691C52">
        <w:rPr>
          <w:rFonts w:cstheme="minorHAnsi"/>
          <w:color w:val="231F20"/>
          <w:spacing w:val="11"/>
          <w:w w:val="105"/>
        </w:rPr>
        <w:t xml:space="preserve"> </w:t>
      </w:r>
      <w:r w:rsidRPr="00691C52">
        <w:rPr>
          <w:rFonts w:cstheme="minorHAnsi"/>
          <w:color w:val="231F20"/>
          <w:w w:val="105"/>
        </w:rPr>
        <w:t>through</w:t>
      </w:r>
      <w:r w:rsidRPr="00691C52">
        <w:rPr>
          <w:rFonts w:cstheme="minorHAnsi"/>
          <w:color w:val="231F20"/>
          <w:spacing w:val="11"/>
          <w:w w:val="105"/>
        </w:rPr>
        <w:t xml:space="preserve"> </w:t>
      </w:r>
      <w:r w:rsidRPr="00691C52">
        <w:rPr>
          <w:rFonts w:cstheme="minorHAnsi"/>
          <w:color w:val="231F20"/>
          <w:w w:val="105"/>
        </w:rPr>
        <w:t>webinars,</w:t>
      </w:r>
      <w:r w:rsidRPr="00691C52">
        <w:rPr>
          <w:rFonts w:cstheme="minorHAnsi"/>
          <w:color w:val="231F20"/>
          <w:spacing w:val="11"/>
          <w:w w:val="105"/>
        </w:rPr>
        <w:t xml:space="preserve"> </w:t>
      </w:r>
      <w:r w:rsidRPr="00691C52">
        <w:rPr>
          <w:rFonts w:cstheme="minorHAnsi"/>
          <w:color w:val="231F20"/>
          <w:w w:val="105"/>
        </w:rPr>
        <w:t>telephone</w:t>
      </w:r>
      <w:r w:rsidRPr="00691C52">
        <w:rPr>
          <w:rFonts w:cstheme="minorHAnsi"/>
          <w:color w:val="231F20"/>
          <w:spacing w:val="11"/>
          <w:w w:val="105"/>
        </w:rPr>
        <w:t xml:space="preserve"> </w:t>
      </w:r>
      <w:r w:rsidRPr="00691C52">
        <w:rPr>
          <w:rFonts w:cstheme="minorHAnsi"/>
          <w:color w:val="231F20"/>
          <w:w w:val="105"/>
        </w:rPr>
        <w:t>inquiries</w:t>
      </w:r>
      <w:r w:rsidRPr="00691C52">
        <w:rPr>
          <w:rFonts w:cstheme="minorHAnsi"/>
          <w:color w:val="231F20"/>
          <w:spacing w:val="11"/>
          <w:w w:val="105"/>
        </w:rPr>
        <w:t xml:space="preserve"> </w:t>
      </w:r>
      <w:r w:rsidRPr="00691C52">
        <w:rPr>
          <w:rFonts w:cstheme="minorHAnsi"/>
          <w:color w:val="231F20"/>
          <w:w w:val="105"/>
        </w:rPr>
        <w:t>and</w:t>
      </w:r>
      <w:r w:rsidRPr="00691C52">
        <w:rPr>
          <w:rFonts w:cstheme="minorHAnsi"/>
          <w:color w:val="231F20"/>
          <w:spacing w:val="11"/>
          <w:w w:val="105"/>
        </w:rPr>
        <w:t xml:space="preserve"> </w:t>
      </w:r>
      <w:r w:rsidRPr="00691C52">
        <w:rPr>
          <w:rFonts w:cstheme="minorHAnsi"/>
          <w:color w:val="231F20"/>
          <w:w w:val="105"/>
        </w:rPr>
        <w:t>site</w:t>
      </w:r>
      <w:r w:rsidRPr="00691C52">
        <w:rPr>
          <w:rFonts w:cstheme="minorHAnsi"/>
          <w:color w:val="231F20"/>
          <w:spacing w:val="-2"/>
          <w:w w:val="105"/>
        </w:rPr>
        <w:t xml:space="preserve"> </w:t>
      </w:r>
      <w:r w:rsidRPr="00691C52">
        <w:rPr>
          <w:rFonts w:cstheme="minorHAnsi"/>
          <w:color w:val="231F20"/>
          <w:w w:val="105"/>
        </w:rPr>
        <w:t>visits.</w:t>
      </w:r>
      <w:r w:rsidRPr="00691C52">
        <w:rPr>
          <w:rFonts w:cstheme="minorHAnsi"/>
          <w:color w:val="231F20"/>
          <w:spacing w:val="22"/>
          <w:w w:val="105"/>
        </w:rPr>
        <w:t xml:space="preserve"> </w:t>
      </w:r>
      <w:r w:rsidRPr="00691C52">
        <w:rPr>
          <w:rFonts w:cstheme="minorHAnsi"/>
          <w:color w:val="231F20"/>
          <w:spacing w:val="-3"/>
          <w:w w:val="105"/>
        </w:rPr>
        <w:t>Technical</w:t>
      </w:r>
      <w:r w:rsidRPr="00691C52">
        <w:rPr>
          <w:rFonts w:cstheme="minorHAnsi"/>
          <w:color w:val="231F20"/>
          <w:spacing w:val="22"/>
          <w:w w:val="105"/>
        </w:rPr>
        <w:t xml:space="preserve"> </w:t>
      </w:r>
      <w:r w:rsidRPr="00691C52">
        <w:rPr>
          <w:rFonts w:cstheme="minorHAnsi"/>
          <w:color w:val="231F20"/>
          <w:w w:val="105"/>
        </w:rPr>
        <w:t>assistance</w:t>
      </w:r>
      <w:r w:rsidRPr="00691C52">
        <w:rPr>
          <w:rFonts w:cstheme="minorHAnsi"/>
          <w:color w:val="231F20"/>
          <w:spacing w:val="22"/>
          <w:w w:val="105"/>
        </w:rPr>
        <w:t xml:space="preserve"> </w:t>
      </w:r>
      <w:r w:rsidRPr="00691C52">
        <w:rPr>
          <w:rFonts w:cstheme="minorHAnsi"/>
          <w:color w:val="231F20"/>
          <w:w w:val="105"/>
        </w:rPr>
        <w:t>papers</w:t>
      </w:r>
      <w:r w:rsidRPr="00691C52">
        <w:rPr>
          <w:rFonts w:cstheme="minorHAnsi"/>
          <w:color w:val="231F20"/>
          <w:spacing w:val="22"/>
          <w:w w:val="105"/>
        </w:rPr>
        <w:t xml:space="preserve"> </w:t>
      </w:r>
      <w:r w:rsidRPr="00691C52">
        <w:rPr>
          <w:rFonts w:cstheme="minorHAnsi"/>
          <w:color w:val="231F20"/>
          <w:w w:val="105"/>
        </w:rPr>
        <w:t>on</w:t>
      </w:r>
      <w:r w:rsidRPr="00691C52">
        <w:rPr>
          <w:rFonts w:cstheme="minorHAnsi"/>
          <w:color w:val="231F20"/>
          <w:spacing w:val="22"/>
          <w:w w:val="105"/>
        </w:rPr>
        <w:t xml:space="preserve"> </w:t>
      </w:r>
      <w:r w:rsidRPr="00691C52">
        <w:rPr>
          <w:rFonts w:cstheme="minorHAnsi"/>
          <w:color w:val="231F20"/>
          <w:w w:val="105"/>
        </w:rPr>
        <w:t>assessment</w:t>
      </w:r>
      <w:r w:rsidRPr="00691C52">
        <w:rPr>
          <w:rFonts w:cstheme="minorHAnsi"/>
          <w:color w:val="231F20"/>
          <w:spacing w:val="22"/>
          <w:w w:val="105"/>
        </w:rPr>
        <w:t xml:space="preserve"> </w:t>
      </w:r>
      <w:r w:rsidRPr="00691C52">
        <w:rPr>
          <w:rFonts w:cstheme="minorHAnsi"/>
          <w:color w:val="231F20"/>
          <w:w w:val="105"/>
        </w:rPr>
        <w:t>and</w:t>
      </w:r>
      <w:r w:rsidRPr="00691C52">
        <w:rPr>
          <w:rFonts w:cstheme="minorHAnsi"/>
          <w:color w:val="231F20"/>
          <w:spacing w:val="22"/>
          <w:w w:val="105"/>
        </w:rPr>
        <w:t xml:space="preserve"> </w:t>
      </w:r>
      <w:r w:rsidRPr="00691C52">
        <w:rPr>
          <w:rFonts w:cstheme="minorHAnsi"/>
          <w:color w:val="231F20"/>
          <w:w w:val="105"/>
        </w:rPr>
        <w:t>adult</w:t>
      </w:r>
      <w:r w:rsidRPr="00691C52">
        <w:rPr>
          <w:rFonts w:cstheme="minorHAnsi"/>
          <w:color w:val="231F20"/>
          <w:spacing w:val="22"/>
          <w:w w:val="105"/>
        </w:rPr>
        <w:t xml:space="preserve"> </w:t>
      </w:r>
      <w:r w:rsidRPr="00691C52">
        <w:rPr>
          <w:rFonts w:cstheme="minorHAnsi"/>
          <w:color w:val="231F20"/>
          <w:w w:val="105"/>
        </w:rPr>
        <w:t>high</w:t>
      </w:r>
      <w:r w:rsidRPr="00691C52">
        <w:rPr>
          <w:rFonts w:cstheme="minorHAnsi"/>
          <w:color w:val="231F20"/>
          <w:spacing w:val="22"/>
          <w:w w:val="105"/>
        </w:rPr>
        <w:t xml:space="preserve"> </w:t>
      </w:r>
      <w:r w:rsidRPr="00691C52">
        <w:rPr>
          <w:rFonts w:cstheme="minorHAnsi"/>
          <w:color w:val="231F20"/>
          <w:w w:val="105"/>
        </w:rPr>
        <w:t>school</w:t>
      </w:r>
      <w:r w:rsidRPr="00691C52">
        <w:rPr>
          <w:rFonts w:cstheme="minorHAnsi"/>
          <w:color w:val="231F20"/>
          <w:spacing w:val="22"/>
          <w:w w:val="105"/>
        </w:rPr>
        <w:t xml:space="preserve"> </w:t>
      </w:r>
      <w:r w:rsidRPr="00691C52">
        <w:rPr>
          <w:rFonts w:cstheme="minorHAnsi"/>
          <w:color w:val="231F20"/>
          <w:w w:val="105"/>
        </w:rPr>
        <w:t>policies</w:t>
      </w:r>
      <w:r w:rsidRPr="00691C52">
        <w:rPr>
          <w:rFonts w:cstheme="minorHAnsi"/>
          <w:color w:val="231F20"/>
          <w:spacing w:val="22"/>
          <w:w w:val="105"/>
        </w:rPr>
        <w:t xml:space="preserve"> </w:t>
      </w:r>
      <w:r w:rsidRPr="00691C52">
        <w:rPr>
          <w:rFonts w:cstheme="minorHAnsi"/>
          <w:color w:val="231F20"/>
          <w:w w:val="105"/>
        </w:rPr>
        <w:t>are</w:t>
      </w:r>
      <w:r w:rsidRPr="00691C52">
        <w:rPr>
          <w:rFonts w:cstheme="minorHAnsi"/>
          <w:color w:val="231F20"/>
          <w:spacing w:val="22"/>
          <w:w w:val="105"/>
        </w:rPr>
        <w:t xml:space="preserve"> </w:t>
      </w:r>
      <w:r w:rsidRPr="00691C52">
        <w:rPr>
          <w:rFonts w:cstheme="minorHAnsi"/>
          <w:color w:val="231F20"/>
          <w:w w:val="105"/>
        </w:rPr>
        <w:t>annually</w:t>
      </w:r>
      <w:r w:rsidRPr="00691C52">
        <w:rPr>
          <w:rFonts w:cstheme="minorHAnsi"/>
          <w:color w:val="231F20"/>
          <w:spacing w:val="-3"/>
          <w:w w:val="105"/>
        </w:rPr>
        <w:t xml:space="preserve"> </w:t>
      </w:r>
      <w:r w:rsidRPr="00691C52">
        <w:rPr>
          <w:rFonts w:cstheme="minorHAnsi"/>
          <w:color w:val="231F20"/>
          <w:w w:val="105"/>
        </w:rPr>
        <w:t>updated and posted on the Florida Department of Education website.</w:t>
      </w:r>
    </w:p>
    <w:p w14:paraId="3A621536" w14:textId="77777777" w:rsidR="00691C52" w:rsidRDefault="00691C52" w:rsidP="00D63204">
      <w:pPr>
        <w:widowControl w:val="0"/>
        <w:tabs>
          <w:tab w:val="left" w:pos="1188"/>
        </w:tabs>
        <w:spacing w:after="0" w:line="264" w:lineRule="exact"/>
        <w:ind w:left="90"/>
        <w:rPr>
          <w:rFonts w:cstheme="minorHAnsi"/>
        </w:rPr>
      </w:pPr>
    </w:p>
    <w:p w14:paraId="0B1579D7" w14:textId="5C802040" w:rsidR="00D6480A" w:rsidRPr="00C84023" w:rsidRDefault="00D6480A" w:rsidP="00D63204">
      <w:pPr>
        <w:widowControl w:val="0"/>
        <w:tabs>
          <w:tab w:val="left" w:pos="1188"/>
        </w:tabs>
        <w:spacing w:after="0" w:line="264" w:lineRule="exact"/>
        <w:ind w:left="90"/>
        <w:rPr>
          <w:rFonts w:cstheme="minorHAnsi"/>
        </w:rPr>
      </w:pPr>
      <w:r w:rsidRPr="00C84023">
        <w:rPr>
          <w:rFonts w:cstheme="minorHAnsi"/>
        </w:rPr>
        <w:t>These links are:</w:t>
      </w:r>
    </w:p>
    <w:p w14:paraId="7692BAC1" w14:textId="77777777" w:rsidR="00704DA7" w:rsidRDefault="00D6480A" w:rsidP="00D63204">
      <w:pPr>
        <w:pStyle w:val="ListParagraph"/>
        <w:widowControl w:val="0"/>
        <w:numPr>
          <w:ilvl w:val="0"/>
          <w:numId w:val="46"/>
        </w:numPr>
        <w:tabs>
          <w:tab w:val="left" w:pos="1188"/>
        </w:tabs>
        <w:spacing w:before="180" w:after="0" w:line="264" w:lineRule="exact"/>
        <w:rPr>
          <w:rFonts w:cstheme="minorHAnsi"/>
        </w:rPr>
      </w:pPr>
      <w:r w:rsidRPr="00C84023">
        <w:rPr>
          <w:rFonts w:cstheme="minorHAnsi"/>
        </w:rPr>
        <w:t>Adult Education Assessment Technical Assistance Paper</w:t>
      </w:r>
      <w:r w:rsidR="00704DA7">
        <w:rPr>
          <w:rFonts w:cstheme="minorHAnsi"/>
        </w:rPr>
        <w:t>:</w:t>
      </w:r>
    </w:p>
    <w:p w14:paraId="51EFE48D" w14:textId="777C4C94" w:rsidR="00D6480A" w:rsidRPr="00C84023" w:rsidRDefault="00D6480A" w:rsidP="00D63204">
      <w:pPr>
        <w:pStyle w:val="ListParagraph"/>
        <w:widowControl w:val="0"/>
        <w:tabs>
          <w:tab w:val="left" w:pos="1188"/>
        </w:tabs>
        <w:spacing w:before="180" w:after="0" w:line="264" w:lineRule="exact"/>
        <w:ind w:left="810"/>
        <w:rPr>
          <w:rFonts w:cstheme="minorHAnsi"/>
        </w:rPr>
      </w:pPr>
      <w:r w:rsidRPr="00C84023">
        <w:rPr>
          <w:rFonts w:cstheme="minorHAnsi"/>
        </w:rPr>
        <w:t xml:space="preserve"> </w:t>
      </w:r>
      <w:hyperlink r:id="rId172" w:history="1">
        <w:r w:rsidRPr="00C84023">
          <w:rPr>
            <w:rStyle w:val="Hyperlink"/>
            <w:rFonts w:cstheme="minorHAnsi"/>
          </w:rPr>
          <w:t>http://fldoe.org/academics/career-adult-edu/adult-edu/technical-assistance-papers.stml</w:t>
        </w:r>
      </w:hyperlink>
      <w:r w:rsidRPr="00C84023">
        <w:rPr>
          <w:rFonts w:cstheme="minorHAnsi"/>
        </w:rPr>
        <w:t xml:space="preserve">  </w:t>
      </w:r>
    </w:p>
    <w:p w14:paraId="230B429B" w14:textId="77777777" w:rsidR="00691C52" w:rsidRDefault="00691C52" w:rsidP="00D63204">
      <w:pPr>
        <w:pStyle w:val="ListParagraph"/>
        <w:widowControl w:val="0"/>
        <w:tabs>
          <w:tab w:val="left" w:pos="1188"/>
        </w:tabs>
        <w:spacing w:before="180" w:after="0" w:line="264" w:lineRule="exact"/>
        <w:ind w:left="90"/>
        <w:rPr>
          <w:rFonts w:cstheme="minorHAnsi"/>
        </w:rPr>
      </w:pPr>
    </w:p>
    <w:p w14:paraId="710E6A4B" w14:textId="77777777" w:rsidR="00704DA7" w:rsidRDefault="00D6480A" w:rsidP="00D63204">
      <w:pPr>
        <w:pStyle w:val="ListParagraph"/>
        <w:widowControl w:val="0"/>
        <w:numPr>
          <w:ilvl w:val="0"/>
          <w:numId w:val="46"/>
        </w:numPr>
        <w:tabs>
          <w:tab w:val="left" w:pos="1188"/>
        </w:tabs>
        <w:spacing w:before="180" w:after="0" w:line="264" w:lineRule="exact"/>
        <w:rPr>
          <w:rFonts w:cstheme="minorHAnsi"/>
        </w:rPr>
      </w:pPr>
      <w:r w:rsidRPr="00C84023">
        <w:rPr>
          <w:rFonts w:cstheme="minorHAnsi"/>
        </w:rPr>
        <w:t>Adult High School Technical Assistance Guide</w:t>
      </w:r>
      <w:r w:rsidR="00704DA7">
        <w:rPr>
          <w:rFonts w:cstheme="minorHAnsi"/>
        </w:rPr>
        <w:t>:</w:t>
      </w:r>
    </w:p>
    <w:p w14:paraId="7B1FDEF1" w14:textId="3C3C5179" w:rsidR="00D6480A" w:rsidRPr="00C84023" w:rsidRDefault="00BC1D20" w:rsidP="00D63204">
      <w:pPr>
        <w:pStyle w:val="ListParagraph"/>
        <w:widowControl w:val="0"/>
        <w:tabs>
          <w:tab w:val="left" w:pos="1188"/>
        </w:tabs>
        <w:spacing w:before="180" w:after="0" w:line="264" w:lineRule="exact"/>
        <w:ind w:left="810"/>
        <w:rPr>
          <w:rFonts w:cstheme="minorHAnsi"/>
        </w:rPr>
      </w:pPr>
      <w:hyperlink r:id="rId173" w:history="1">
        <w:r w:rsidR="00D6480A" w:rsidRPr="00C84023">
          <w:rPr>
            <w:rStyle w:val="Hyperlink"/>
            <w:rFonts w:cstheme="minorHAnsi"/>
          </w:rPr>
          <w:t>http://fldoe.org/academics/career-adult-edu/adult-edu/technical-assistance-papers.stml</w:t>
        </w:r>
      </w:hyperlink>
    </w:p>
    <w:p w14:paraId="10B8CF12" w14:textId="77777777" w:rsidR="00D6480A" w:rsidRPr="00C84023" w:rsidRDefault="00D6480A" w:rsidP="00D63204">
      <w:pPr>
        <w:widowControl w:val="0"/>
        <w:spacing w:before="5" w:after="0" w:line="240" w:lineRule="auto"/>
        <w:ind w:left="90"/>
        <w:rPr>
          <w:rFonts w:cstheme="minorHAnsi"/>
          <w:sz w:val="16"/>
          <w:szCs w:val="16"/>
        </w:rPr>
      </w:pPr>
    </w:p>
    <w:p w14:paraId="1CECA169" w14:textId="201DB134" w:rsidR="00D6480A" w:rsidRPr="00C84023" w:rsidRDefault="00D6480A" w:rsidP="00D63204">
      <w:pPr>
        <w:widowControl w:val="0"/>
        <w:spacing w:after="0" w:line="264" w:lineRule="exact"/>
        <w:ind w:left="90"/>
        <w:rPr>
          <w:rFonts w:cstheme="minorHAnsi"/>
        </w:rPr>
      </w:pPr>
      <w:r w:rsidRPr="00C84023">
        <w:rPr>
          <w:rFonts w:cstheme="minorHAnsi"/>
          <w:color w:val="231F20"/>
          <w:w w:val="105"/>
        </w:rPr>
        <w:t>Current</w:t>
      </w:r>
      <w:r w:rsidRPr="00C84023">
        <w:rPr>
          <w:rFonts w:cstheme="minorHAnsi"/>
          <w:color w:val="231F20"/>
          <w:spacing w:val="15"/>
          <w:w w:val="105"/>
        </w:rPr>
        <w:t xml:space="preserve"> </w:t>
      </w:r>
      <w:r w:rsidRPr="00C84023">
        <w:rPr>
          <w:rFonts w:cstheme="minorHAnsi"/>
          <w:color w:val="231F20"/>
          <w:w w:val="105"/>
        </w:rPr>
        <w:t>practices</w:t>
      </w:r>
      <w:r w:rsidRPr="00C84023">
        <w:rPr>
          <w:rFonts w:cstheme="minorHAnsi"/>
          <w:color w:val="231F20"/>
          <w:spacing w:val="15"/>
          <w:w w:val="105"/>
        </w:rPr>
        <w:t xml:space="preserve"> </w:t>
      </w:r>
      <w:r w:rsidRPr="00C84023">
        <w:rPr>
          <w:rFonts w:cstheme="minorHAnsi"/>
          <w:color w:val="231F20"/>
          <w:w w:val="105"/>
        </w:rPr>
        <w:t>with</w:t>
      </w:r>
      <w:r w:rsidRPr="00C84023">
        <w:rPr>
          <w:rFonts w:cstheme="minorHAnsi"/>
          <w:color w:val="231F20"/>
          <w:spacing w:val="15"/>
          <w:w w:val="105"/>
        </w:rPr>
        <w:t xml:space="preserve"> </w:t>
      </w:r>
      <w:r w:rsidRPr="00C84023">
        <w:rPr>
          <w:rFonts w:cstheme="minorHAnsi"/>
          <w:color w:val="231F20"/>
          <w:w w:val="105"/>
        </w:rPr>
        <w:t>one-stop</w:t>
      </w:r>
      <w:r w:rsidRPr="00C84023">
        <w:rPr>
          <w:rFonts w:cstheme="minorHAnsi"/>
          <w:color w:val="231F20"/>
          <w:spacing w:val="15"/>
          <w:w w:val="105"/>
        </w:rPr>
        <w:t xml:space="preserve"> </w:t>
      </w:r>
      <w:r w:rsidRPr="00C84023">
        <w:rPr>
          <w:rFonts w:cstheme="minorHAnsi"/>
          <w:color w:val="231F20"/>
          <w:w w:val="105"/>
        </w:rPr>
        <w:t>career</w:t>
      </w:r>
      <w:r w:rsidRPr="00C84023">
        <w:rPr>
          <w:rFonts w:cstheme="minorHAnsi"/>
          <w:color w:val="231F20"/>
          <w:spacing w:val="15"/>
          <w:w w:val="105"/>
        </w:rPr>
        <w:t xml:space="preserve"> </w:t>
      </w:r>
      <w:r w:rsidRPr="00C84023">
        <w:rPr>
          <w:rFonts w:cstheme="minorHAnsi"/>
          <w:color w:val="231F20"/>
          <w:w w:val="105"/>
        </w:rPr>
        <w:t>center</w:t>
      </w:r>
      <w:r w:rsidRPr="00C84023">
        <w:rPr>
          <w:rFonts w:cstheme="minorHAnsi"/>
          <w:color w:val="231F20"/>
          <w:spacing w:val="15"/>
          <w:w w:val="105"/>
        </w:rPr>
        <w:t xml:space="preserve"> </w:t>
      </w:r>
      <w:r w:rsidRPr="00C84023">
        <w:rPr>
          <w:rFonts w:cstheme="minorHAnsi"/>
          <w:color w:val="231F20"/>
          <w:w w:val="105"/>
        </w:rPr>
        <w:t>and</w:t>
      </w:r>
      <w:r w:rsidRPr="00C84023">
        <w:rPr>
          <w:rFonts w:cstheme="minorHAnsi"/>
          <w:color w:val="231F20"/>
          <w:spacing w:val="15"/>
          <w:w w:val="105"/>
        </w:rPr>
        <w:t xml:space="preserve"> </w:t>
      </w:r>
      <w:r w:rsidRPr="00C84023">
        <w:rPr>
          <w:rFonts w:cstheme="minorHAnsi"/>
          <w:color w:val="231F20"/>
          <w:w w:val="105"/>
        </w:rPr>
        <w:t>provider</w:t>
      </w:r>
      <w:r w:rsidRPr="00C84023">
        <w:rPr>
          <w:rFonts w:cstheme="minorHAnsi"/>
          <w:color w:val="231F20"/>
          <w:spacing w:val="15"/>
          <w:w w:val="105"/>
        </w:rPr>
        <w:t xml:space="preserve"> </w:t>
      </w:r>
      <w:r w:rsidRPr="00C84023">
        <w:rPr>
          <w:rFonts w:cstheme="minorHAnsi"/>
          <w:color w:val="231F20"/>
          <w:w w:val="105"/>
        </w:rPr>
        <w:t>partnerships</w:t>
      </w:r>
      <w:r w:rsidRPr="00C84023">
        <w:rPr>
          <w:rFonts w:cstheme="minorHAnsi"/>
          <w:color w:val="231F20"/>
          <w:spacing w:val="15"/>
          <w:w w:val="105"/>
        </w:rPr>
        <w:t xml:space="preserve"> </w:t>
      </w:r>
      <w:r w:rsidRPr="00C84023">
        <w:rPr>
          <w:rFonts w:cstheme="minorHAnsi"/>
          <w:color w:val="231F20"/>
          <w:w w:val="105"/>
        </w:rPr>
        <w:t>include</w:t>
      </w:r>
      <w:r w:rsidRPr="00C84023">
        <w:rPr>
          <w:rFonts w:cstheme="minorHAnsi"/>
          <w:color w:val="231F20"/>
          <w:spacing w:val="15"/>
          <w:w w:val="105"/>
        </w:rPr>
        <w:t xml:space="preserve"> </w:t>
      </w:r>
      <w:r w:rsidRPr="00C84023">
        <w:rPr>
          <w:rFonts w:cstheme="minorHAnsi"/>
          <w:color w:val="231F20"/>
          <w:w w:val="105"/>
        </w:rPr>
        <w:t>referrals,</w:t>
      </w:r>
      <w:r w:rsidRPr="00C84023">
        <w:rPr>
          <w:rFonts w:cstheme="minorHAnsi"/>
          <w:color w:val="231F20"/>
          <w:spacing w:val="15"/>
          <w:w w:val="105"/>
        </w:rPr>
        <w:t xml:space="preserve"> </w:t>
      </w:r>
      <w:r w:rsidRPr="00C84023">
        <w:rPr>
          <w:rFonts w:cstheme="minorHAnsi"/>
          <w:color w:val="231F20"/>
          <w:w w:val="105"/>
        </w:rPr>
        <w:t>locating</w:t>
      </w:r>
      <w:r w:rsidRPr="00C84023">
        <w:rPr>
          <w:rFonts w:cstheme="minorHAnsi"/>
          <w:color w:val="231F20"/>
          <w:spacing w:val="15"/>
          <w:w w:val="105"/>
        </w:rPr>
        <w:t xml:space="preserve"> </w:t>
      </w:r>
      <w:r w:rsidRPr="00C84023">
        <w:rPr>
          <w:rFonts w:cstheme="minorHAnsi"/>
          <w:color w:val="231F20"/>
          <w:w w:val="105"/>
        </w:rPr>
        <w:t>teacher</w:t>
      </w:r>
      <w:r w:rsidRPr="00C84023">
        <w:rPr>
          <w:rFonts w:cstheme="minorHAnsi"/>
          <w:color w:val="231F20"/>
          <w:w w:val="106"/>
        </w:rPr>
        <w:t xml:space="preserve"> </w:t>
      </w:r>
      <w:r w:rsidRPr="00C84023">
        <w:rPr>
          <w:rFonts w:cstheme="minorHAnsi"/>
          <w:color w:val="231F20"/>
          <w:w w:val="105"/>
        </w:rPr>
        <w:t xml:space="preserve">and classroom at the CareerSource Florida </w:t>
      </w:r>
      <w:r w:rsidRPr="00C84023">
        <w:rPr>
          <w:rFonts w:cstheme="minorHAnsi"/>
          <w:color w:val="231F20"/>
          <w:spacing w:val="-3"/>
          <w:w w:val="105"/>
        </w:rPr>
        <w:t xml:space="preserve">center, </w:t>
      </w:r>
      <w:r w:rsidRPr="00C84023">
        <w:rPr>
          <w:rFonts w:cstheme="minorHAnsi"/>
          <w:color w:val="231F20"/>
          <w:w w:val="105"/>
        </w:rPr>
        <w:t>or providing space for the CareerSource Florida activities</w:t>
      </w:r>
      <w:r w:rsidRPr="00C84023">
        <w:rPr>
          <w:rFonts w:cstheme="minorHAnsi"/>
          <w:color w:val="231F20"/>
          <w:spacing w:val="9"/>
          <w:w w:val="105"/>
        </w:rPr>
        <w:t xml:space="preserve"> </w:t>
      </w:r>
      <w:r w:rsidRPr="00C84023">
        <w:rPr>
          <w:rFonts w:cstheme="minorHAnsi"/>
          <w:color w:val="231F20"/>
          <w:w w:val="105"/>
        </w:rPr>
        <w:t>in</w:t>
      </w:r>
      <w:r w:rsidRPr="00C84023">
        <w:rPr>
          <w:rFonts w:cstheme="minorHAnsi"/>
          <w:color w:val="231F20"/>
          <w:spacing w:val="9"/>
          <w:w w:val="105"/>
        </w:rPr>
        <w:t xml:space="preserve"> </w:t>
      </w:r>
      <w:r w:rsidRPr="00C84023">
        <w:rPr>
          <w:rFonts w:cstheme="minorHAnsi"/>
          <w:color w:val="231F20"/>
          <w:w w:val="105"/>
        </w:rPr>
        <w:t>the</w:t>
      </w:r>
      <w:r w:rsidRPr="00C84023">
        <w:rPr>
          <w:rFonts w:cstheme="minorHAnsi"/>
          <w:color w:val="231F20"/>
          <w:spacing w:val="9"/>
          <w:w w:val="105"/>
        </w:rPr>
        <w:t xml:space="preserve"> </w:t>
      </w:r>
      <w:r w:rsidRPr="00C84023">
        <w:rPr>
          <w:rFonts w:cstheme="minorHAnsi"/>
          <w:color w:val="231F20"/>
          <w:w w:val="105"/>
        </w:rPr>
        <w:t>adult</w:t>
      </w:r>
      <w:r w:rsidRPr="00C84023">
        <w:rPr>
          <w:rFonts w:cstheme="minorHAnsi"/>
          <w:color w:val="231F20"/>
          <w:spacing w:val="9"/>
          <w:w w:val="105"/>
        </w:rPr>
        <w:t xml:space="preserve"> </w:t>
      </w:r>
      <w:r w:rsidRPr="00C84023">
        <w:rPr>
          <w:rFonts w:cstheme="minorHAnsi"/>
          <w:color w:val="231F20"/>
          <w:w w:val="105"/>
        </w:rPr>
        <w:t>education</w:t>
      </w:r>
      <w:r w:rsidRPr="00C84023">
        <w:rPr>
          <w:rFonts w:cstheme="minorHAnsi"/>
          <w:color w:val="231F20"/>
          <w:spacing w:val="9"/>
          <w:w w:val="105"/>
        </w:rPr>
        <w:t xml:space="preserve"> </w:t>
      </w:r>
      <w:r w:rsidRPr="00C84023">
        <w:rPr>
          <w:rFonts w:cstheme="minorHAnsi"/>
          <w:color w:val="231F20"/>
          <w:spacing w:val="-3"/>
          <w:w w:val="105"/>
        </w:rPr>
        <w:t>center.</w:t>
      </w:r>
      <w:r w:rsidRPr="00C84023">
        <w:rPr>
          <w:rFonts w:cstheme="minorHAnsi"/>
          <w:color w:val="231F20"/>
          <w:spacing w:val="9"/>
          <w:w w:val="105"/>
        </w:rPr>
        <w:t xml:space="preserve"> </w:t>
      </w:r>
      <w:r w:rsidRPr="00C84023">
        <w:rPr>
          <w:rFonts w:cstheme="minorHAnsi"/>
          <w:color w:val="231F20"/>
          <w:w w:val="105"/>
        </w:rPr>
        <w:t>As</w:t>
      </w:r>
      <w:r w:rsidRPr="00C84023">
        <w:rPr>
          <w:rFonts w:cstheme="minorHAnsi"/>
          <w:color w:val="231F20"/>
          <w:spacing w:val="9"/>
          <w:w w:val="105"/>
        </w:rPr>
        <w:t xml:space="preserve"> </w:t>
      </w:r>
      <w:r w:rsidRPr="00C84023">
        <w:rPr>
          <w:rFonts w:cstheme="minorHAnsi"/>
          <w:color w:val="231F20"/>
          <w:w w:val="105"/>
        </w:rPr>
        <w:t>part</w:t>
      </w:r>
      <w:r w:rsidRPr="00C84023">
        <w:rPr>
          <w:rFonts w:cstheme="minorHAnsi"/>
          <w:color w:val="231F20"/>
          <w:spacing w:val="9"/>
          <w:w w:val="105"/>
        </w:rPr>
        <w:t xml:space="preserve"> </w:t>
      </w:r>
      <w:r w:rsidRPr="00C84023">
        <w:rPr>
          <w:rFonts w:cstheme="minorHAnsi"/>
          <w:color w:val="231F20"/>
          <w:w w:val="105"/>
        </w:rPr>
        <w:t>of</w:t>
      </w:r>
      <w:r w:rsidRPr="00C84023">
        <w:rPr>
          <w:rFonts w:cstheme="minorHAnsi"/>
          <w:color w:val="231F20"/>
          <w:spacing w:val="9"/>
          <w:w w:val="105"/>
        </w:rPr>
        <w:t xml:space="preserve"> </w:t>
      </w:r>
      <w:r w:rsidRPr="00C84023">
        <w:rPr>
          <w:rFonts w:cstheme="minorHAnsi"/>
          <w:color w:val="231F20"/>
          <w:w w:val="105"/>
        </w:rPr>
        <w:t>the</w:t>
      </w:r>
      <w:r w:rsidRPr="00C84023">
        <w:rPr>
          <w:rFonts w:cstheme="minorHAnsi"/>
          <w:color w:val="231F20"/>
          <w:spacing w:val="9"/>
          <w:w w:val="105"/>
        </w:rPr>
        <w:t xml:space="preserve"> </w:t>
      </w:r>
      <w:r w:rsidRPr="00C84023">
        <w:rPr>
          <w:rFonts w:cstheme="minorHAnsi"/>
          <w:color w:val="231F20"/>
          <w:spacing w:val="-3"/>
          <w:w w:val="105"/>
        </w:rPr>
        <w:t>RFA</w:t>
      </w:r>
      <w:r w:rsidRPr="00C84023">
        <w:rPr>
          <w:rFonts w:cstheme="minorHAnsi"/>
          <w:color w:val="231F20"/>
          <w:spacing w:val="9"/>
          <w:w w:val="105"/>
        </w:rPr>
        <w:t xml:space="preserve"> </w:t>
      </w:r>
      <w:r w:rsidRPr="00C84023">
        <w:rPr>
          <w:rFonts w:cstheme="minorHAnsi"/>
          <w:color w:val="231F20"/>
          <w:w w:val="105"/>
        </w:rPr>
        <w:t>and</w:t>
      </w:r>
      <w:r w:rsidRPr="00C84023">
        <w:rPr>
          <w:rFonts w:cstheme="minorHAnsi"/>
          <w:color w:val="231F20"/>
          <w:spacing w:val="9"/>
          <w:w w:val="105"/>
        </w:rPr>
        <w:t xml:space="preserve"> </w:t>
      </w:r>
      <w:r w:rsidRPr="00C84023">
        <w:rPr>
          <w:rFonts w:cstheme="minorHAnsi"/>
          <w:color w:val="231F20"/>
          <w:w w:val="105"/>
        </w:rPr>
        <w:t>RFP</w:t>
      </w:r>
      <w:r w:rsidRPr="00C84023">
        <w:rPr>
          <w:rFonts w:cstheme="minorHAnsi"/>
          <w:color w:val="231F20"/>
          <w:spacing w:val="9"/>
          <w:w w:val="105"/>
        </w:rPr>
        <w:t xml:space="preserve"> </w:t>
      </w:r>
      <w:r w:rsidRPr="00C84023">
        <w:rPr>
          <w:rFonts w:cstheme="minorHAnsi"/>
          <w:color w:val="231F20"/>
          <w:w w:val="105"/>
        </w:rPr>
        <w:t>process,</w:t>
      </w:r>
      <w:r w:rsidRPr="00C84023">
        <w:rPr>
          <w:rFonts w:cstheme="minorHAnsi"/>
          <w:color w:val="231F20"/>
          <w:spacing w:val="9"/>
          <w:w w:val="105"/>
        </w:rPr>
        <w:t xml:space="preserve"> </w:t>
      </w:r>
      <w:r w:rsidRPr="00C84023">
        <w:rPr>
          <w:rFonts w:cstheme="minorHAnsi"/>
          <w:color w:val="231F20"/>
          <w:w w:val="105"/>
        </w:rPr>
        <w:t>eligible</w:t>
      </w:r>
      <w:r w:rsidRPr="00C84023">
        <w:rPr>
          <w:rFonts w:cstheme="minorHAnsi"/>
          <w:color w:val="231F20"/>
          <w:spacing w:val="9"/>
          <w:w w:val="105"/>
        </w:rPr>
        <w:t xml:space="preserve"> </w:t>
      </w:r>
      <w:r w:rsidRPr="00C84023">
        <w:rPr>
          <w:rFonts w:cstheme="minorHAnsi"/>
          <w:color w:val="231F20"/>
          <w:w w:val="105"/>
        </w:rPr>
        <w:t>recipients</w:t>
      </w:r>
      <w:r w:rsidRPr="00C84023">
        <w:rPr>
          <w:rFonts w:cstheme="minorHAnsi"/>
          <w:color w:val="231F20"/>
          <w:spacing w:val="9"/>
          <w:w w:val="105"/>
        </w:rPr>
        <w:t xml:space="preserve"> </w:t>
      </w:r>
      <w:r w:rsidRPr="00C84023">
        <w:rPr>
          <w:rFonts w:cstheme="minorHAnsi"/>
          <w:color w:val="231F20"/>
          <w:w w:val="105"/>
        </w:rPr>
        <w:t xml:space="preserve">submit their applications for review to the </w:t>
      </w:r>
      <w:r w:rsidRPr="00C84023">
        <w:rPr>
          <w:rFonts w:cstheme="minorHAnsi"/>
          <w:color w:val="231F20"/>
          <w:spacing w:val="-4"/>
          <w:w w:val="105"/>
        </w:rPr>
        <w:t xml:space="preserve">LWDB </w:t>
      </w:r>
      <w:r w:rsidRPr="00C84023">
        <w:rPr>
          <w:rFonts w:cstheme="minorHAnsi"/>
          <w:color w:val="231F20"/>
          <w:w w:val="105"/>
        </w:rPr>
        <w:t>to ensure alignment with their plans.</w:t>
      </w:r>
    </w:p>
    <w:p w14:paraId="3CF8F1A4" w14:textId="77777777" w:rsidR="00D6480A" w:rsidRPr="00C84023" w:rsidRDefault="00D6480A" w:rsidP="00D63204">
      <w:pPr>
        <w:widowControl w:val="0"/>
        <w:spacing w:before="1" w:after="0" w:line="240" w:lineRule="auto"/>
        <w:ind w:left="90"/>
        <w:rPr>
          <w:rFonts w:cstheme="minorHAnsi"/>
          <w:sz w:val="24"/>
          <w:szCs w:val="24"/>
        </w:rPr>
      </w:pPr>
    </w:p>
    <w:p w14:paraId="1347167A" w14:textId="07E561F5" w:rsidR="00691C52" w:rsidRDefault="00D6480A" w:rsidP="00D63204">
      <w:pPr>
        <w:widowControl w:val="0"/>
        <w:tabs>
          <w:tab w:val="left" w:pos="1188"/>
        </w:tabs>
        <w:spacing w:after="0" w:line="225" w:lineRule="auto"/>
        <w:ind w:left="90"/>
        <w:rPr>
          <w:rFonts w:cstheme="minorHAnsi"/>
          <w:color w:val="231F20"/>
          <w:spacing w:val="-3"/>
          <w:w w:val="110"/>
        </w:rPr>
      </w:pPr>
      <w:r w:rsidRPr="00C84023">
        <w:rPr>
          <w:rFonts w:cstheme="minorHAnsi"/>
          <w:color w:val="231F20"/>
          <w:spacing w:val="-3"/>
          <w:w w:val="110"/>
        </w:rPr>
        <w:t>Technical</w:t>
      </w:r>
      <w:r w:rsidRPr="00C84023">
        <w:rPr>
          <w:rFonts w:cstheme="minorHAnsi"/>
          <w:color w:val="231F20"/>
          <w:spacing w:val="-11"/>
          <w:w w:val="110"/>
        </w:rPr>
        <w:t xml:space="preserve"> </w:t>
      </w:r>
      <w:r w:rsidRPr="00C84023">
        <w:rPr>
          <w:rFonts w:cstheme="minorHAnsi"/>
          <w:color w:val="231F20"/>
          <w:w w:val="110"/>
        </w:rPr>
        <w:t>assistance</w:t>
      </w:r>
      <w:r w:rsidRPr="00C84023">
        <w:rPr>
          <w:rFonts w:cstheme="minorHAnsi"/>
          <w:color w:val="231F20"/>
          <w:spacing w:val="-11"/>
          <w:w w:val="110"/>
        </w:rPr>
        <w:t xml:space="preserve"> </w:t>
      </w:r>
      <w:r w:rsidRPr="00C84023">
        <w:rPr>
          <w:rFonts w:cstheme="minorHAnsi"/>
          <w:color w:val="231F20"/>
          <w:w w:val="110"/>
        </w:rPr>
        <w:t>is provided</w:t>
      </w:r>
      <w:r w:rsidRPr="00C84023">
        <w:rPr>
          <w:rFonts w:cstheme="minorHAnsi"/>
          <w:color w:val="231F20"/>
          <w:spacing w:val="-11"/>
          <w:w w:val="110"/>
        </w:rPr>
        <w:t xml:space="preserve"> </w:t>
      </w:r>
      <w:r w:rsidRPr="00C84023">
        <w:rPr>
          <w:rFonts w:cstheme="minorHAnsi"/>
          <w:color w:val="231F20"/>
          <w:w w:val="110"/>
        </w:rPr>
        <w:t>to</w:t>
      </w:r>
      <w:r w:rsidRPr="00C84023">
        <w:rPr>
          <w:rFonts w:cstheme="minorHAnsi"/>
          <w:color w:val="231F20"/>
          <w:spacing w:val="-11"/>
          <w:w w:val="110"/>
        </w:rPr>
        <w:t xml:space="preserve"> </w:t>
      </w:r>
      <w:r w:rsidRPr="00C84023">
        <w:rPr>
          <w:rFonts w:cstheme="minorHAnsi"/>
          <w:color w:val="231F20"/>
          <w:w w:val="110"/>
        </w:rPr>
        <w:t>staff</w:t>
      </w:r>
      <w:r w:rsidRPr="00C84023">
        <w:rPr>
          <w:rFonts w:cstheme="minorHAnsi"/>
          <w:color w:val="231F20"/>
          <w:spacing w:val="-11"/>
          <w:w w:val="110"/>
        </w:rPr>
        <w:t xml:space="preserve"> </w:t>
      </w:r>
      <w:r w:rsidRPr="00C84023">
        <w:rPr>
          <w:rFonts w:cstheme="minorHAnsi"/>
          <w:color w:val="231F20"/>
          <w:w w:val="110"/>
        </w:rPr>
        <w:t>and</w:t>
      </w:r>
      <w:r w:rsidRPr="00C84023">
        <w:rPr>
          <w:rFonts w:cstheme="minorHAnsi"/>
          <w:color w:val="231F20"/>
          <w:spacing w:val="-11"/>
          <w:w w:val="110"/>
        </w:rPr>
        <w:t xml:space="preserve"> </w:t>
      </w:r>
      <w:r w:rsidRPr="00C84023">
        <w:rPr>
          <w:rFonts w:cstheme="minorHAnsi"/>
          <w:color w:val="231F20"/>
          <w:w w:val="110"/>
        </w:rPr>
        <w:t>providers</w:t>
      </w:r>
      <w:r w:rsidRPr="00C84023">
        <w:rPr>
          <w:rFonts w:cstheme="minorHAnsi"/>
          <w:color w:val="231F20"/>
          <w:spacing w:val="-11"/>
          <w:w w:val="110"/>
        </w:rPr>
        <w:t xml:space="preserve"> </w:t>
      </w:r>
      <w:r w:rsidRPr="00C84023">
        <w:rPr>
          <w:rFonts w:cstheme="minorHAnsi"/>
          <w:color w:val="231F20"/>
          <w:w w:val="110"/>
        </w:rPr>
        <w:t>on</w:t>
      </w:r>
      <w:r w:rsidRPr="00C84023">
        <w:rPr>
          <w:rFonts w:cstheme="minorHAnsi"/>
          <w:color w:val="231F20"/>
          <w:spacing w:val="-11"/>
          <w:w w:val="110"/>
        </w:rPr>
        <w:t xml:space="preserve"> </w:t>
      </w:r>
      <w:r w:rsidRPr="00C84023">
        <w:rPr>
          <w:rFonts w:cstheme="minorHAnsi"/>
          <w:color w:val="231F20"/>
          <w:w w:val="110"/>
        </w:rPr>
        <w:t>using technology</w:t>
      </w:r>
      <w:r w:rsidRPr="00C84023">
        <w:rPr>
          <w:rFonts w:cstheme="minorHAnsi"/>
          <w:color w:val="231F20"/>
          <w:spacing w:val="-5"/>
          <w:w w:val="110"/>
        </w:rPr>
        <w:t xml:space="preserve"> </w:t>
      </w:r>
      <w:r w:rsidRPr="00C84023">
        <w:rPr>
          <w:rFonts w:cstheme="minorHAnsi"/>
          <w:color w:val="231F20"/>
          <w:w w:val="110"/>
        </w:rPr>
        <w:t>and</w:t>
      </w:r>
      <w:r w:rsidRPr="00C84023">
        <w:rPr>
          <w:rFonts w:cstheme="minorHAnsi"/>
          <w:color w:val="231F20"/>
          <w:spacing w:val="-5"/>
          <w:w w:val="110"/>
        </w:rPr>
        <w:t xml:space="preserve"> </w:t>
      </w:r>
      <w:r w:rsidRPr="00C84023">
        <w:rPr>
          <w:rFonts w:cstheme="minorHAnsi"/>
          <w:color w:val="231F20"/>
          <w:w w:val="110"/>
        </w:rPr>
        <w:t>distance</w:t>
      </w:r>
      <w:r w:rsidRPr="00C84023">
        <w:rPr>
          <w:rFonts w:cstheme="minorHAnsi"/>
          <w:color w:val="231F20"/>
          <w:spacing w:val="-5"/>
          <w:w w:val="110"/>
        </w:rPr>
        <w:t xml:space="preserve"> </w:t>
      </w:r>
      <w:r w:rsidRPr="00C84023">
        <w:rPr>
          <w:rFonts w:cstheme="minorHAnsi"/>
          <w:color w:val="231F20"/>
          <w:w w:val="110"/>
        </w:rPr>
        <w:t>learning</w:t>
      </w:r>
      <w:r w:rsidRPr="00C84023">
        <w:rPr>
          <w:rFonts w:cstheme="minorHAnsi"/>
          <w:color w:val="231F20"/>
          <w:spacing w:val="-5"/>
          <w:w w:val="110"/>
        </w:rPr>
        <w:t xml:space="preserve"> </w:t>
      </w:r>
      <w:r w:rsidRPr="00C84023">
        <w:rPr>
          <w:rFonts w:cstheme="minorHAnsi"/>
          <w:color w:val="231F20"/>
          <w:w w:val="110"/>
        </w:rPr>
        <w:t>options.</w:t>
      </w:r>
      <w:r w:rsidRPr="00C84023">
        <w:rPr>
          <w:rFonts w:cstheme="minorHAnsi"/>
          <w:color w:val="231F20"/>
          <w:spacing w:val="-5"/>
          <w:w w:val="110"/>
        </w:rPr>
        <w:t xml:space="preserve"> </w:t>
      </w:r>
      <w:r w:rsidRPr="00C84023">
        <w:rPr>
          <w:rFonts w:cstheme="minorHAnsi"/>
          <w:color w:val="231F20"/>
          <w:spacing w:val="-3"/>
          <w:w w:val="110"/>
        </w:rPr>
        <w:t>Technology</w:t>
      </w:r>
      <w:r w:rsidRPr="00C84023">
        <w:rPr>
          <w:rFonts w:cstheme="minorHAnsi"/>
          <w:color w:val="231F20"/>
          <w:spacing w:val="-5"/>
          <w:w w:val="110"/>
        </w:rPr>
        <w:t xml:space="preserve"> </w:t>
      </w:r>
      <w:r w:rsidRPr="00C84023">
        <w:rPr>
          <w:rFonts w:cstheme="minorHAnsi"/>
          <w:color w:val="231F20"/>
          <w:w w:val="110"/>
        </w:rPr>
        <w:t>standards</w:t>
      </w:r>
      <w:r w:rsidRPr="00C84023">
        <w:rPr>
          <w:rFonts w:cstheme="minorHAnsi"/>
          <w:color w:val="231F20"/>
          <w:spacing w:val="-5"/>
          <w:w w:val="110"/>
        </w:rPr>
        <w:t xml:space="preserve"> </w:t>
      </w:r>
      <w:r w:rsidRPr="00C84023">
        <w:rPr>
          <w:rFonts w:cstheme="minorHAnsi"/>
          <w:color w:val="231F20"/>
          <w:w w:val="110"/>
        </w:rPr>
        <w:t>are included in each</w:t>
      </w:r>
      <w:r w:rsidRPr="00C84023">
        <w:rPr>
          <w:rFonts w:cstheme="minorHAnsi"/>
          <w:color w:val="231F20"/>
          <w:spacing w:val="-15"/>
          <w:w w:val="110"/>
        </w:rPr>
        <w:t xml:space="preserve"> </w:t>
      </w:r>
      <w:r w:rsidRPr="00C84023">
        <w:rPr>
          <w:rFonts w:cstheme="minorHAnsi"/>
          <w:color w:val="231F20"/>
          <w:w w:val="110"/>
        </w:rPr>
        <w:t>adult</w:t>
      </w:r>
      <w:r w:rsidRPr="00C84023">
        <w:rPr>
          <w:rFonts w:cstheme="minorHAnsi"/>
          <w:color w:val="231F20"/>
          <w:spacing w:val="-15"/>
          <w:w w:val="110"/>
        </w:rPr>
        <w:t xml:space="preserve"> </w:t>
      </w:r>
      <w:r w:rsidRPr="00C84023">
        <w:rPr>
          <w:rFonts w:cstheme="minorHAnsi"/>
          <w:color w:val="231F20"/>
          <w:w w:val="110"/>
        </w:rPr>
        <w:t>education</w:t>
      </w:r>
      <w:r w:rsidRPr="00C84023">
        <w:rPr>
          <w:rFonts w:cstheme="minorHAnsi"/>
          <w:color w:val="231F20"/>
          <w:spacing w:val="-15"/>
          <w:w w:val="110"/>
        </w:rPr>
        <w:t xml:space="preserve"> </w:t>
      </w:r>
      <w:r w:rsidRPr="00C84023">
        <w:rPr>
          <w:rFonts w:cstheme="minorHAnsi"/>
          <w:color w:val="231F20"/>
          <w:w w:val="110"/>
        </w:rPr>
        <w:t>program</w:t>
      </w:r>
      <w:r w:rsidRPr="00C84023">
        <w:rPr>
          <w:rFonts w:cstheme="minorHAnsi"/>
          <w:color w:val="231F20"/>
          <w:spacing w:val="-15"/>
          <w:w w:val="110"/>
        </w:rPr>
        <w:t xml:space="preserve"> </w:t>
      </w:r>
      <w:r w:rsidRPr="00C84023">
        <w:rPr>
          <w:rFonts w:cstheme="minorHAnsi"/>
          <w:color w:val="231F20"/>
          <w:w w:val="110"/>
        </w:rPr>
        <w:t>curriculum</w:t>
      </w:r>
      <w:r w:rsidRPr="00C84023">
        <w:rPr>
          <w:rFonts w:cstheme="minorHAnsi"/>
          <w:color w:val="231F20"/>
          <w:spacing w:val="-15"/>
          <w:w w:val="110"/>
        </w:rPr>
        <w:t xml:space="preserve"> </w:t>
      </w:r>
      <w:r w:rsidRPr="00C84023">
        <w:rPr>
          <w:rFonts w:cstheme="minorHAnsi"/>
          <w:color w:val="231F20"/>
          <w:w w:val="110"/>
        </w:rPr>
        <w:t>framework.</w:t>
      </w:r>
      <w:r w:rsidRPr="00C84023">
        <w:rPr>
          <w:rFonts w:cstheme="minorHAnsi"/>
          <w:color w:val="231F20"/>
          <w:spacing w:val="-15"/>
          <w:w w:val="110"/>
        </w:rPr>
        <w:t xml:space="preserve"> </w:t>
      </w:r>
      <w:r w:rsidRPr="00C84023">
        <w:rPr>
          <w:rFonts w:cstheme="minorHAnsi"/>
          <w:color w:val="231F20"/>
          <w:w w:val="110"/>
        </w:rPr>
        <w:t>Conferences,</w:t>
      </w:r>
      <w:r w:rsidRPr="00C84023">
        <w:rPr>
          <w:rFonts w:cstheme="minorHAnsi"/>
          <w:color w:val="231F20"/>
          <w:spacing w:val="-15"/>
          <w:w w:val="110"/>
        </w:rPr>
        <w:t xml:space="preserve"> </w:t>
      </w:r>
      <w:r w:rsidRPr="00C84023">
        <w:rPr>
          <w:rFonts w:cstheme="minorHAnsi"/>
          <w:color w:val="231F20"/>
          <w:w w:val="110"/>
        </w:rPr>
        <w:t>webinars</w:t>
      </w:r>
      <w:r w:rsidR="00D5537E">
        <w:rPr>
          <w:rFonts w:cstheme="minorHAnsi"/>
          <w:color w:val="231F20"/>
          <w:w w:val="110"/>
        </w:rPr>
        <w:t xml:space="preserve"> and</w:t>
      </w:r>
      <w:r w:rsidRPr="00C84023">
        <w:rPr>
          <w:rFonts w:cstheme="minorHAnsi"/>
          <w:color w:val="231F20"/>
          <w:w w:val="108"/>
        </w:rPr>
        <w:t xml:space="preserve"> </w:t>
      </w:r>
      <w:r w:rsidRPr="00C84023">
        <w:rPr>
          <w:rFonts w:cstheme="minorHAnsi"/>
          <w:color w:val="231F20"/>
          <w:w w:val="110"/>
        </w:rPr>
        <w:t>meetings</w:t>
      </w:r>
      <w:r w:rsidRPr="00C84023">
        <w:rPr>
          <w:rFonts w:cstheme="minorHAnsi"/>
          <w:color w:val="231F20"/>
          <w:spacing w:val="-11"/>
          <w:w w:val="110"/>
        </w:rPr>
        <w:t xml:space="preserve"> </w:t>
      </w:r>
      <w:r w:rsidRPr="00C84023">
        <w:rPr>
          <w:rFonts w:cstheme="minorHAnsi"/>
          <w:color w:val="231F20"/>
          <w:w w:val="110"/>
        </w:rPr>
        <w:t>focus</w:t>
      </w:r>
      <w:r w:rsidRPr="00C84023">
        <w:rPr>
          <w:rFonts w:cstheme="minorHAnsi"/>
          <w:color w:val="231F20"/>
          <w:spacing w:val="-11"/>
          <w:w w:val="110"/>
        </w:rPr>
        <w:t xml:space="preserve"> </w:t>
      </w:r>
      <w:r w:rsidRPr="00C84023">
        <w:rPr>
          <w:rFonts w:cstheme="minorHAnsi"/>
          <w:color w:val="231F20"/>
          <w:w w:val="110"/>
        </w:rPr>
        <w:t>on</w:t>
      </w:r>
      <w:r w:rsidRPr="00C84023">
        <w:rPr>
          <w:rFonts w:cstheme="minorHAnsi"/>
          <w:color w:val="231F20"/>
          <w:spacing w:val="-11"/>
          <w:w w:val="110"/>
        </w:rPr>
        <w:t xml:space="preserve"> </w:t>
      </w:r>
      <w:r w:rsidRPr="00C84023">
        <w:rPr>
          <w:rFonts w:cstheme="minorHAnsi"/>
          <w:color w:val="231F20"/>
          <w:w w:val="110"/>
        </w:rPr>
        <w:t>innovative</w:t>
      </w:r>
      <w:r w:rsidRPr="00C84023">
        <w:rPr>
          <w:rFonts w:cstheme="minorHAnsi"/>
          <w:color w:val="231F20"/>
          <w:spacing w:val="-11"/>
          <w:w w:val="110"/>
        </w:rPr>
        <w:t xml:space="preserve"> </w:t>
      </w:r>
      <w:r w:rsidRPr="00C84023">
        <w:rPr>
          <w:rFonts w:cstheme="minorHAnsi"/>
          <w:color w:val="231F20"/>
          <w:w w:val="110"/>
        </w:rPr>
        <w:t>use</w:t>
      </w:r>
      <w:r w:rsidRPr="00C84023">
        <w:rPr>
          <w:rFonts w:cstheme="minorHAnsi"/>
          <w:color w:val="231F20"/>
          <w:spacing w:val="-11"/>
          <w:w w:val="110"/>
        </w:rPr>
        <w:t xml:space="preserve"> </w:t>
      </w:r>
      <w:r w:rsidRPr="00C84023">
        <w:rPr>
          <w:rFonts w:cstheme="minorHAnsi"/>
          <w:color w:val="231F20"/>
          <w:w w:val="110"/>
        </w:rPr>
        <w:t>of</w:t>
      </w:r>
      <w:r w:rsidRPr="00C84023">
        <w:rPr>
          <w:rFonts w:cstheme="minorHAnsi"/>
          <w:color w:val="231F20"/>
          <w:spacing w:val="-11"/>
          <w:w w:val="110"/>
        </w:rPr>
        <w:t xml:space="preserve"> </w:t>
      </w:r>
      <w:r w:rsidRPr="00C84023">
        <w:rPr>
          <w:rFonts w:cstheme="minorHAnsi"/>
          <w:color w:val="231F20"/>
          <w:w w:val="110"/>
        </w:rPr>
        <w:t>technology</w:t>
      </w:r>
      <w:r w:rsidRPr="00C84023">
        <w:rPr>
          <w:rFonts w:cstheme="minorHAnsi"/>
          <w:color w:val="231F20"/>
          <w:spacing w:val="-11"/>
          <w:w w:val="110"/>
        </w:rPr>
        <w:t xml:space="preserve"> </w:t>
      </w:r>
      <w:r w:rsidRPr="00C84023">
        <w:rPr>
          <w:rFonts w:cstheme="minorHAnsi"/>
          <w:color w:val="231F20"/>
          <w:w w:val="110"/>
        </w:rPr>
        <w:t>in</w:t>
      </w:r>
      <w:r w:rsidRPr="00C84023">
        <w:rPr>
          <w:rFonts w:cstheme="minorHAnsi"/>
          <w:color w:val="231F20"/>
          <w:spacing w:val="-11"/>
          <w:w w:val="110"/>
        </w:rPr>
        <w:t xml:space="preserve"> </w:t>
      </w:r>
      <w:r w:rsidRPr="00C84023">
        <w:rPr>
          <w:rFonts w:cstheme="minorHAnsi"/>
          <w:color w:val="231F20"/>
          <w:w w:val="110"/>
        </w:rPr>
        <w:t>adult</w:t>
      </w:r>
      <w:r w:rsidRPr="00C84023">
        <w:rPr>
          <w:rFonts w:cstheme="minorHAnsi"/>
          <w:color w:val="231F20"/>
          <w:spacing w:val="-11"/>
          <w:w w:val="110"/>
        </w:rPr>
        <w:t xml:space="preserve"> </w:t>
      </w:r>
      <w:r w:rsidRPr="00C84023">
        <w:rPr>
          <w:rFonts w:cstheme="minorHAnsi"/>
          <w:color w:val="231F20"/>
          <w:w w:val="110"/>
        </w:rPr>
        <w:t>education</w:t>
      </w:r>
      <w:r w:rsidRPr="00C84023">
        <w:rPr>
          <w:rFonts w:cstheme="minorHAnsi"/>
          <w:color w:val="231F20"/>
          <w:spacing w:val="-11"/>
          <w:w w:val="110"/>
        </w:rPr>
        <w:t xml:space="preserve"> </w:t>
      </w:r>
      <w:r w:rsidRPr="00C84023">
        <w:rPr>
          <w:rFonts w:cstheme="minorHAnsi"/>
          <w:color w:val="231F20"/>
          <w:w w:val="110"/>
        </w:rPr>
        <w:t>classrooms.</w:t>
      </w:r>
      <w:r w:rsidRPr="00C84023">
        <w:rPr>
          <w:rFonts w:cstheme="minorHAnsi"/>
          <w:color w:val="231F20"/>
          <w:spacing w:val="33"/>
          <w:w w:val="110"/>
        </w:rPr>
        <w:t xml:space="preserve"> </w:t>
      </w:r>
      <w:r w:rsidRPr="00C84023">
        <w:rPr>
          <w:rFonts w:cstheme="minorHAnsi"/>
          <w:color w:val="231F20"/>
          <w:w w:val="110"/>
        </w:rPr>
        <w:t>Over</w:t>
      </w:r>
      <w:r w:rsidRPr="00C84023">
        <w:rPr>
          <w:rFonts w:cstheme="minorHAnsi"/>
          <w:color w:val="231F20"/>
          <w:spacing w:val="-11"/>
          <w:w w:val="110"/>
        </w:rPr>
        <w:t xml:space="preserve"> </w:t>
      </w:r>
      <w:r w:rsidRPr="00C84023">
        <w:rPr>
          <w:rFonts w:cstheme="minorHAnsi"/>
          <w:color w:val="231F20"/>
          <w:w w:val="110"/>
        </w:rPr>
        <w:t>50</w:t>
      </w:r>
      <w:r w:rsidRPr="00C84023">
        <w:rPr>
          <w:rFonts w:cstheme="minorHAnsi"/>
          <w:color w:val="231F20"/>
          <w:w w:val="118"/>
        </w:rPr>
        <w:t xml:space="preserve"> </w:t>
      </w:r>
      <w:r w:rsidRPr="00C84023">
        <w:rPr>
          <w:rFonts w:cstheme="minorHAnsi"/>
          <w:color w:val="231F20"/>
          <w:w w:val="110"/>
        </w:rPr>
        <w:t>percent</w:t>
      </w:r>
      <w:r w:rsidRPr="00C84023">
        <w:rPr>
          <w:rFonts w:cstheme="minorHAnsi"/>
          <w:color w:val="231F20"/>
          <w:spacing w:val="-19"/>
          <w:w w:val="110"/>
        </w:rPr>
        <w:t xml:space="preserve"> </w:t>
      </w:r>
      <w:r w:rsidRPr="00C84023">
        <w:rPr>
          <w:rFonts w:cstheme="minorHAnsi"/>
          <w:color w:val="231F20"/>
          <w:w w:val="110"/>
        </w:rPr>
        <w:t>of</w:t>
      </w:r>
      <w:r w:rsidRPr="00C84023">
        <w:rPr>
          <w:rFonts w:cstheme="minorHAnsi"/>
          <w:color w:val="231F20"/>
          <w:spacing w:val="-19"/>
          <w:w w:val="110"/>
        </w:rPr>
        <w:t xml:space="preserve"> </w:t>
      </w:r>
      <w:r w:rsidRPr="00C84023">
        <w:rPr>
          <w:rFonts w:cstheme="minorHAnsi"/>
          <w:color w:val="231F20"/>
          <w:w w:val="110"/>
        </w:rPr>
        <w:t>districts’</w:t>
      </w:r>
      <w:r w:rsidRPr="00C84023">
        <w:rPr>
          <w:rFonts w:cstheme="minorHAnsi"/>
          <w:color w:val="231F20"/>
          <w:spacing w:val="-19"/>
          <w:w w:val="110"/>
        </w:rPr>
        <w:t xml:space="preserve"> </w:t>
      </w:r>
      <w:r w:rsidRPr="00C84023">
        <w:rPr>
          <w:rFonts w:cstheme="minorHAnsi"/>
          <w:color w:val="231F20"/>
          <w:w w:val="110"/>
        </w:rPr>
        <w:t>and</w:t>
      </w:r>
      <w:r w:rsidRPr="00C84023">
        <w:rPr>
          <w:rFonts w:cstheme="minorHAnsi"/>
          <w:color w:val="231F20"/>
          <w:spacing w:val="-19"/>
          <w:w w:val="110"/>
        </w:rPr>
        <w:t xml:space="preserve"> </w:t>
      </w:r>
      <w:r w:rsidRPr="00C84023">
        <w:rPr>
          <w:rFonts w:cstheme="minorHAnsi"/>
          <w:color w:val="231F20"/>
          <w:w w:val="110"/>
        </w:rPr>
        <w:t>colleges’</w:t>
      </w:r>
      <w:r w:rsidRPr="00C84023">
        <w:rPr>
          <w:rFonts w:cstheme="minorHAnsi"/>
          <w:color w:val="231F20"/>
          <w:spacing w:val="-19"/>
          <w:w w:val="110"/>
        </w:rPr>
        <w:t xml:space="preserve"> </w:t>
      </w:r>
      <w:r w:rsidRPr="00C84023">
        <w:rPr>
          <w:rFonts w:cstheme="minorHAnsi"/>
          <w:color w:val="231F20"/>
          <w:w w:val="110"/>
        </w:rPr>
        <w:t>adult</w:t>
      </w:r>
      <w:r w:rsidRPr="00C84023">
        <w:rPr>
          <w:rFonts w:cstheme="minorHAnsi"/>
          <w:color w:val="231F20"/>
          <w:spacing w:val="-19"/>
          <w:w w:val="110"/>
        </w:rPr>
        <w:t xml:space="preserve"> </w:t>
      </w:r>
      <w:r w:rsidRPr="00C84023">
        <w:rPr>
          <w:rFonts w:cstheme="minorHAnsi"/>
          <w:color w:val="231F20"/>
          <w:w w:val="110"/>
        </w:rPr>
        <w:t>education</w:t>
      </w:r>
      <w:r w:rsidRPr="00C84023">
        <w:rPr>
          <w:rFonts w:cstheme="minorHAnsi"/>
          <w:color w:val="231F20"/>
          <w:spacing w:val="-19"/>
          <w:w w:val="110"/>
        </w:rPr>
        <w:t xml:space="preserve"> </w:t>
      </w:r>
      <w:r w:rsidRPr="00C84023">
        <w:rPr>
          <w:rFonts w:cstheme="minorHAnsi"/>
          <w:color w:val="231F20"/>
          <w:w w:val="110"/>
        </w:rPr>
        <w:t>programs</w:t>
      </w:r>
      <w:r w:rsidRPr="00C84023">
        <w:rPr>
          <w:rFonts w:cstheme="minorHAnsi"/>
          <w:color w:val="231F20"/>
          <w:spacing w:val="-19"/>
          <w:w w:val="110"/>
        </w:rPr>
        <w:t xml:space="preserve"> </w:t>
      </w:r>
      <w:r w:rsidRPr="00C84023">
        <w:rPr>
          <w:rFonts w:cstheme="minorHAnsi"/>
          <w:color w:val="231F20"/>
          <w:w w:val="110"/>
        </w:rPr>
        <w:t>are</w:t>
      </w:r>
      <w:r w:rsidRPr="00C84023">
        <w:rPr>
          <w:rFonts w:cstheme="minorHAnsi"/>
          <w:color w:val="231F20"/>
          <w:spacing w:val="-19"/>
          <w:w w:val="110"/>
        </w:rPr>
        <w:t xml:space="preserve"> </w:t>
      </w:r>
      <w:r w:rsidRPr="00C84023">
        <w:rPr>
          <w:rFonts w:cstheme="minorHAnsi"/>
          <w:color w:val="231F20"/>
          <w:w w:val="110"/>
        </w:rPr>
        <w:t>members</w:t>
      </w:r>
      <w:r w:rsidRPr="00C84023">
        <w:rPr>
          <w:rFonts w:cstheme="minorHAnsi"/>
          <w:color w:val="231F20"/>
          <w:spacing w:val="-19"/>
          <w:w w:val="110"/>
        </w:rPr>
        <w:t xml:space="preserve"> </w:t>
      </w:r>
      <w:r w:rsidRPr="00C84023">
        <w:rPr>
          <w:rFonts w:cstheme="minorHAnsi"/>
          <w:color w:val="231F20"/>
          <w:w w:val="110"/>
        </w:rPr>
        <w:t>of</w:t>
      </w:r>
      <w:r w:rsidRPr="00C84023">
        <w:rPr>
          <w:rFonts w:cstheme="minorHAnsi"/>
          <w:color w:val="231F20"/>
          <w:spacing w:val="-19"/>
          <w:w w:val="110"/>
        </w:rPr>
        <w:t xml:space="preserve"> </w:t>
      </w:r>
      <w:r w:rsidRPr="00C84023">
        <w:rPr>
          <w:rFonts w:cstheme="minorHAnsi"/>
          <w:color w:val="231F20"/>
          <w:w w:val="110"/>
        </w:rPr>
        <w:t>the</w:t>
      </w:r>
      <w:r w:rsidRPr="00C84023">
        <w:rPr>
          <w:rFonts w:cstheme="minorHAnsi"/>
          <w:color w:val="231F20"/>
          <w:spacing w:val="-19"/>
          <w:w w:val="110"/>
        </w:rPr>
        <w:t xml:space="preserve"> </w:t>
      </w:r>
      <w:r w:rsidRPr="00C84023">
        <w:rPr>
          <w:rFonts w:cstheme="minorHAnsi"/>
          <w:color w:val="231F20"/>
          <w:w w:val="110"/>
        </w:rPr>
        <w:t>Florida</w:t>
      </w:r>
      <w:r w:rsidRPr="00C84023">
        <w:rPr>
          <w:rFonts w:cstheme="minorHAnsi"/>
          <w:color w:val="231F20"/>
          <w:spacing w:val="-19"/>
          <w:w w:val="110"/>
        </w:rPr>
        <w:t xml:space="preserve"> </w:t>
      </w:r>
      <w:r w:rsidRPr="00C84023">
        <w:rPr>
          <w:rFonts w:cstheme="minorHAnsi"/>
          <w:color w:val="231F20"/>
          <w:w w:val="110"/>
        </w:rPr>
        <w:t>Adult</w:t>
      </w:r>
      <w:r w:rsidRPr="00C84023">
        <w:rPr>
          <w:rFonts w:cstheme="minorHAnsi"/>
          <w:color w:val="231F20"/>
          <w:w w:val="105"/>
        </w:rPr>
        <w:t xml:space="preserve"> </w:t>
      </w:r>
      <w:r w:rsidRPr="00C84023">
        <w:rPr>
          <w:rFonts w:cstheme="minorHAnsi"/>
          <w:color w:val="231F20"/>
          <w:w w:val="110"/>
        </w:rPr>
        <w:t xml:space="preserve">and </w:t>
      </w:r>
      <w:r w:rsidRPr="00C84023">
        <w:rPr>
          <w:rFonts w:cstheme="minorHAnsi"/>
          <w:color w:val="231F20"/>
          <w:spacing w:val="-3"/>
          <w:w w:val="110"/>
        </w:rPr>
        <w:t xml:space="preserve">Technical </w:t>
      </w:r>
      <w:r w:rsidRPr="00C84023">
        <w:rPr>
          <w:rFonts w:cstheme="minorHAnsi"/>
          <w:color w:val="231F20"/>
          <w:w w:val="110"/>
        </w:rPr>
        <w:t xml:space="preserve">Distance Learning Consortium </w:t>
      </w:r>
      <w:r w:rsidRPr="00C84023">
        <w:rPr>
          <w:rFonts w:cstheme="minorHAnsi"/>
          <w:color w:val="231F20"/>
          <w:spacing w:val="-3"/>
          <w:w w:val="110"/>
        </w:rPr>
        <w:t xml:space="preserve">(FATDEC). </w:t>
      </w:r>
    </w:p>
    <w:p w14:paraId="355AF8C5" w14:textId="26FB25F2" w:rsidR="00D6480A" w:rsidRPr="00C84023" w:rsidRDefault="00D6480A" w:rsidP="00D63204">
      <w:pPr>
        <w:widowControl w:val="0"/>
        <w:tabs>
          <w:tab w:val="left" w:pos="1188"/>
        </w:tabs>
        <w:spacing w:after="0" w:line="225" w:lineRule="auto"/>
        <w:ind w:left="90"/>
        <w:rPr>
          <w:rFonts w:cstheme="minorHAnsi"/>
        </w:rPr>
      </w:pPr>
      <w:r w:rsidRPr="00C84023">
        <w:rPr>
          <w:rFonts w:cstheme="minorHAnsi"/>
          <w:color w:val="231F20"/>
          <w:spacing w:val="-4"/>
          <w:w w:val="110"/>
        </w:rPr>
        <w:lastRenderedPageBreak/>
        <w:t xml:space="preserve">FATDEC </w:t>
      </w:r>
      <w:r w:rsidRPr="00C84023">
        <w:rPr>
          <w:rFonts w:cstheme="minorHAnsi"/>
          <w:color w:val="231F20"/>
          <w:w w:val="110"/>
        </w:rPr>
        <w:t>offerings include</w:t>
      </w:r>
      <w:r w:rsidRPr="00C84023">
        <w:rPr>
          <w:rFonts w:cstheme="minorHAnsi"/>
          <w:color w:val="231F20"/>
          <w:spacing w:val="13"/>
          <w:w w:val="110"/>
        </w:rPr>
        <w:t xml:space="preserve"> </w:t>
      </w:r>
      <w:r w:rsidRPr="00C84023">
        <w:rPr>
          <w:rFonts w:cstheme="minorHAnsi"/>
          <w:color w:val="231F20"/>
          <w:w w:val="110"/>
        </w:rPr>
        <w:t xml:space="preserve">English Discoveries Online (ESOL), Instruction </w:t>
      </w:r>
      <w:r w:rsidRPr="00C84023">
        <w:rPr>
          <w:rFonts w:cstheme="minorHAnsi"/>
          <w:color w:val="231F20"/>
          <w:spacing w:val="-3"/>
          <w:w w:val="110"/>
        </w:rPr>
        <w:t xml:space="preserve">Targeted </w:t>
      </w:r>
      <w:r w:rsidRPr="00C84023">
        <w:rPr>
          <w:rFonts w:cstheme="minorHAnsi"/>
          <w:color w:val="231F20"/>
          <w:w w:val="110"/>
        </w:rPr>
        <w:t xml:space="preserve">for </w:t>
      </w:r>
      <w:r w:rsidRPr="00C84023">
        <w:rPr>
          <w:rFonts w:cstheme="minorHAnsi"/>
          <w:color w:val="231F20"/>
          <w:spacing w:val="-4"/>
          <w:w w:val="110"/>
        </w:rPr>
        <w:t xml:space="preserve">TABE </w:t>
      </w:r>
      <w:r w:rsidRPr="00C84023">
        <w:rPr>
          <w:rFonts w:cstheme="minorHAnsi"/>
          <w:color w:val="231F20"/>
          <w:w w:val="110"/>
        </w:rPr>
        <w:t>Success, AZTEC GED®</w:t>
      </w:r>
      <w:r w:rsidRPr="00C84023">
        <w:rPr>
          <w:rFonts w:cstheme="minorHAnsi"/>
          <w:color w:val="231F20"/>
          <w:spacing w:val="26"/>
          <w:w w:val="110"/>
        </w:rPr>
        <w:t xml:space="preserve"> </w:t>
      </w:r>
      <w:r w:rsidRPr="00C84023">
        <w:rPr>
          <w:rFonts w:cstheme="minorHAnsi"/>
          <w:color w:val="231F20"/>
          <w:w w:val="110"/>
        </w:rPr>
        <w:t>(GED®</w:t>
      </w:r>
      <w:r w:rsidRPr="00C84023">
        <w:rPr>
          <w:rFonts w:cstheme="minorHAnsi"/>
          <w:color w:val="231F20"/>
          <w:w w:val="97"/>
        </w:rPr>
        <w:t xml:space="preserve"> </w:t>
      </w:r>
      <w:r w:rsidRPr="00C84023">
        <w:rPr>
          <w:rFonts w:cstheme="minorHAnsi"/>
          <w:color w:val="231F20"/>
          <w:w w:val="110"/>
        </w:rPr>
        <w:t>Preparation)</w:t>
      </w:r>
      <w:r w:rsidR="00D5537E">
        <w:rPr>
          <w:rFonts w:cstheme="minorHAnsi"/>
          <w:color w:val="231F20"/>
          <w:w w:val="110"/>
        </w:rPr>
        <w:t xml:space="preserve"> and</w:t>
      </w:r>
      <w:r w:rsidRPr="00C84023">
        <w:rPr>
          <w:rFonts w:cstheme="minorHAnsi"/>
          <w:color w:val="231F20"/>
          <w:spacing w:val="-10"/>
          <w:w w:val="110"/>
        </w:rPr>
        <w:t xml:space="preserve"> </w:t>
      </w:r>
      <w:r w:rsidRPr="00C84023">
        <w:rPr>
          <w:rFonts w:cstheme="minorHAnsi"/>
          <w:color w:val="231F20"/>
          <w:w w:val="110"/>
        </w:rPr>
        <w:t>26 courses</w:t>
      </w:r>
      <w:r w:rsidRPr="00C84023">
        <w:rPr>
          <w:rFonts w:cstheme="minorHAnsi"/>
          <w:color w:val="231F20"/>
          <w:spacing w:val="-10"/>
          <w:w w:val="110"/>
        </w:rPr>
        <w:t xml:space="preserve"> </w:t>
      </w:r>
      <w:r w:rsidRPr="00C84023">
        <w:rPr>
          <w:rFonts w:cstheme="minorHAnsi"/>
          <w:color w:val="231F20"/>
          <w:w w:val="110"/>
        </w:rPr>
        <w:t>available</w:t>
      </w:r>
      <w:r w:rsidRPr="00C84023">
        <w:rPr>
          <w:rFonts w:cstheme="minorHAnsi"/>
          <w:color w:val="231F20"/>
          <w:spacing w:val="-10"/>
          <w:w w:val="110"/>
        </w:rPr>
        <w:t xml:space="preserve"> </w:t>
      </w:r>
      <w:r w:rsidRPr="00C84023">
        <w:rPr>
          <w:rFonts w:cstheme="minorHAnsi"/>
          <w:color w:val="231F20"/>
          <w:w w:val="110"/>
        </w:rPr>
        <w:t>for</w:t>
      </w:r>
      <w:r w:rsidRPr="00C84023">
        <w:rPr>
          <w:rFonts w:cstheme="minorHAnsi"/>
          <w:color w:val="231F20"/>
          <w:spacing w:val="-10"/>
          <w:w w:val="110"/>
        </w:rPr>
        <w:t xml:space="preserve"> </w:t>
      </w:r>
      <w:r w:rsidRPr="00C84023">
        <w:rPr>
          <w:rFonts w:cstheme="minorHAnsi"/>
          <w:color w:val="231F20"/>
          <w:w w:val="110"/>
        </w:rPr>
        <w:t>high</w:t>
      </w:r>
      <w:r w:rsidRPr="00C84023">
        <w:rPr>
          <w:rFonts w:cstheme="minorHAnsi"/>
          <w:color w:val="231F20"/>
          <w:spacing w:val="-11"/>
          <w:w w:val="110"/>
        </w:rPr>
        <w:t xml:space="preserve"> </w:t>
      </w:r>
      <w:r w:rsidRPr="00C84023">
        <w:rPr>
          <w:rFonts w:cstheme="minorHAnsi"/>
          <w:color w:val="231F20"/>
          <w:w w:val="110"/>
        </w:rPr>
        <w:t>school</w:t>
      </w:r>
      <w:r w:rsidRPr="00C84023">
        <w:rPr>
          <w:rFonts w:cstheme="minorHAnsi"/>
          <w:color w:val="231F20"/>
          <w:spacing w:val="-10"/>
          <w:w w:val="110"/>
        </w:rPr>
        <w:t xml:space="preserve"> </w:t>
      </w:r>
      <w:r w:rsidRPr="00C84023">
        <w:rPr>
          <w:rFonts w:cstheme="minorHAnsi"/>
          <w:color w:val="231F20"/>
          <w:w w:val="110"/>
        </w:rPr>
        <w:t>credit.</w:t>
      </w:r>
      <w:r w:rsidRPr="00C84023">
        <w:rPr>
          <w:rFonts w:cstheme="minorHAnsi"/>
          <w:color w:val="231F20"/>
          <w:spacing w:val="-10"/>
          <w:w w:val="110"/>
        </w:rPr>
        <w:t xml:space="preserve"> </w:t>
      </w:r>
      <w:r w:rsidRPr="00C84023">
        <w:rPr>
          <w:rFonts w:cstheme="minorHAnsi"/>
          <w:color w:val="231F20"/>
          <w:w w:val="110"/>
        </w:rPr>
        <w:t>High</w:t>
      </w:r>
      <w:r w:rsidRPr="00C84023">
        <w:rPr>
          <w:rFonts w:cstheme="minorHAnsi"/>
          <w:color w:val="231F20"/>
          <w:spacing w:val="-10"/>
          <w:w w:val="110"/>
        </w:rPr>
        <w:t xml:space="preserve"> </w:t>
      </w:r>
      <w:r w:rsidRPr="00C84023">
        <w:rPr>
          <w:rFonts w:cstheme="minorHAnsi"/>
          <w:color w:val="231F20"/>
          <w:w w:val="110"/>
        </w:rPr>
        <w:t>school</w:t>
      </w:r>
      <w:r w:rsidRPr="00C84023">
        <w:rPr>
          <w:rFonts w:cstheme="minorHAnsi"/>
          <w:color w:val="231F20"/>
          <w:spacing w:val="-10"/>
          <w:w w:val="110"/>
        </w:rPr>
        <w:t xml:space="preserve"> </w:t>
      </w:r>
      <w:r w:rsidRPr="00C84023">
        <w:rPr>
          <w:rFonts w:cstheme="minorHAnsi"/>
          <w:color w:val="231F20"/>
          <w:w w:val="110"/>
        </w:rPr>
        <w:t>courses are</w:t>
      </w:r>
      <w:r w:rsidRPr="00C84023">
        <w:rPr>
          <w:rFonts w:cstheme="minorHAnsi"/>
          <w:color w:val="231F20"/>
          <w:spacing w:val="-20"/>
          <w:w w:val="110"/>
        </w:rPr>
        <w:t xml:space="preserve"> </w:t>
      </w:r>
      <w:r w:rsidRPr="00C84023">
        <w:rPr>
          <w:rFonts w:cstheme="minorHAnsi"/>
          <w:color w:val="231F20"/>
          <w:w w:val="110"/>
        </w:rPr>
        <w:t>acquired</w:t>
      </w:r>
      <w:r w:rsidRPr="00C84023">
        <w:rPr>
          <w:rFonts w:cstheme="minorHAnsi"/>
          <w:color w:val="231F20"/>
          <w:spacing w:val="-20"/>
          <w:w w:val="110"/>
        </w:rPr>
        <w:t xml:space="preserve"> </w:t>
      </w:r>
      <w:r w:rsidRPr="00C84023">
        <w:rPr>
          <w:rFonts w:cstheme="minorHAnsi"/>
          <w:color w:val="231F20"/>
          <w:w w:val="110"/>
        </w:rPr>
        <w:t>from</w:t>
      </w:r>
      <w:r w:rsidRPr="00C84023">
        <w:rPr>
          <w:rFonts w:cstheme="minorHAnsi"/>
          <w:color w:val="231F20"/>
          <w:spacing w:val="-20"/>
          <w:w w:val="110"/>
        </w:rPr>
        <w:t xml:space="preserve"> </w:t>
      </w:r>
      <w:r w:rsidRPr="00C84023">
        <w:rPr>
          <w:rFonts w:cstheme="minorHAnsi"/>
          <w:color w:val="231F20"/>
          <w:w w:val="110"/>
        </w:rPr>
        <w:t>Florida</w:t>
      </w:r>
      <w:r w:rsidRPr="00C84023">
        <w:rPr>
          <w:rFonts w:cstheme="minorHAnsi"/>
          <w:color w:val="231F20"/>
          <w:spacing w:val="-20"/>
          <w:w w:val="110"/>
        </w:rPr>
        <w:t xml:space="preserve"> </w:t>
      </w:r>
      <w:r w:rsidRPr="00C84023">
        <w:rPr>
          <w:rFonts w:cstheme="minorHAnsi"/>
          <w:color w:val="231F20"/>
          <w:w w:val="110"/>
        </w:rPr>
        <w:t>Virtual</w:t>
      </w:r>
      <w:r w:rsidRPr="00C84023">
        <w:rPr>
          <w:rFonts w:cstheme="minorHAnsi"/>
          <w:color w:val="231F20"/>
          <w:spacing w:val="-20"/>
          <w:w w:val="110"/>
        </w:rPr>
        <w:t xml:space="preserve"> </w:t>
      </w:r>
      <w:r w:rsidRPr="00C84023">
        <w:rPr>
          <w:rFonts w:cstheme="minorHAnsi"/>
          <w:color w:val="231F20"/>
          <w:w w:val="110"/>
        </w:rPr>
        <w:t>School</w:t>
      </w:r>
      <w:r w:rsidRPr="00C84023">
        <w:rPr>
          <w:rFonts w:cstheme="minorHAnsi"/>
          <w:color w:val="231F20"/>
          <w:spacing w:val="-20"/>
          <w:w w:val="110"/>
        </w:rPr>
        <w:t xml:space="preserve"> </w:t>
      </w:r>
      <w:r w:rsidRPr="00C84023">
        <w:rPr>
          <w:rFonts w:cstheme="minorHAnsi"/>
          <w:color w:val="231F20"/>
          <w:spacing w:val="-3"/>
          <w:w w:val="110"/>
        </w:rPr>
        <w:t>(K-12</w:t>
      </w:r>
      <w:r w:rsidRPr="00C84023">
        <w:rPr>
          <w:rFonts w:cstheme="minorHAnsi"/>
          <w:color w:val="231F20"/>
          <w:spacing w:val="-20"/>
          <w:w w:val="110"/>
        </w:rPr>
        <w:t xml:space="preserve"> </w:t>
      </w:r>
      <w:r w:rsidRPr="00C84023">
        <w:rPr>
          <w:rFonts w:cstheme="minorHAnsi"/>
          <w:color w:val="231F20"/>
          <w:w w:val="110"/>
        </w:rPr>
        <w:t>system)</w:t>
      </w:r>
      <w:r w:rsidRPr="00C84023">
        <w:rPr>
          <w:rFonts w:cstheme="minorHAnsi"/>
          <w:color w:val="231F20"/>
          <w:spacing w:val="-20"/>
          <w:w w:val="110"/>
        </w:rPr>
        <w:t xml:space="preserve"> </w:t>
      </w:r>
      <w:r w:rsidRPr="00C84023">
        <w:rPr>
          <w:rFonts w:cstheme="minorHAnsi"/>
          <w:color w:val="231F20"/>
          <w:w w:val="110"/>
        </w:rPr>
        <w:t>and</w:t>
      </w:r>
      <w:r w:rsidRPr="00C84023">
        <w:rPr>
          <w:rFonts w:cstheme="minorHAnsi"/>
          <w:color w:val="231F20"/>
          <w:spacing w:val="-20"/>
          <w:w w:val="110"/>
        </w:rPr>
        <w:t xml:space="preserve"> </w:t>
      </w:r>
      <w:r w:rsidRPr="00C84023">
        <w:rPr>
          <w:rFonts w:cstheme="minorHAnsi"/>
          <w:color w:val="231F20"/>
          <w:w w:val="110"/>
        </w:rPr>
        <w:t>customized</w:t>
      </w:r>
      <w:r w:rsidRPr="00C84023">
        <w:rPr>
          <w:rFonts w:cstheme="minorHAnsi"/>
          <w:color w:val="231F20"/>
          <w:spacing w:val="-20"/>
          <w:w w:val="110"/>
        </w:rPr>
        <w:t xml:space="preserve"> </w:t>
      </w:r>
      <w:r w:rsidRPr="00C84023">
        <w:rPr>
          <w:rFonts w:cstheme="minorHAnsi"/>
          <w:color w:val="231F20"/>
          <w:w w:val="110"/>
        </w:rPr>
        <w:t>for</w:t>
      </w:r>
      <w:r w:rsidRPr="00C84023">
        <w:rPr>
          <w:rFonts w:cstheme="minorHAnsi"/>
          <w:color w:val="231F20"/>
          <w:spacing w:val="-20"/>
          <w:w w:val="110"/>
        </w:rPr>
        <w:t xml:space="preserve"> </w:t>
      </w:r>
      <w:r w:rsidRPr="00C84023">
        <w:rPr>
          <w:rFonts w:cstheme="minorHAnsi"/>
          <w:color w:val="231F20"/>
          <w:w w:val="110"/>
        </w:rPr>
        <w:t>adults.</w:t>
      </w:r>
      <w:r w:rsidRPr="00C84023">
        <w:rPr>
          <w:rFonts w:cstheme="minorHAnsi"/>
          <w:color w:val="231F20"/>
          <w:spacing w:val="-20"/>
          <w:w w:val="110"/>
        </w:rPr>
        <w:t xml:space="preserve"> </w:t>
      </w:r>
      <w:r w:rsidRPr="00C84023">
        <w:rPr>
          <w:rFonts w:cstheme="minorHAnsi"/>
          <w:color w:val="231F20"/>
          <w:w w:val="110"/>
        </w:rPr>
        <w:t>Programs</w:t>
      </w:r>
      <w:r w:rsidRPr="00C84023">
        <w:rPr>
          <w:rFonts w:cstheme="minorHAnsi"/>
          <w:color w:val="231F20"/>
          <w:spacing w:val="-14"/>
          <w:w w:val="110"/>
        </w:rPr>
        <w:t xml:space="preserve"> </w:t>
      </w:r>
      <w:r w:rsidRPr="00C84023">
        <w:rPr>
          <w:rFonts w:cstheme="minorHAnsi"/>
          <w:color w:val="231F20"/>
          <w:w w:val="110"/>
        </w:rPr>
        <w:t>make</w:t>
      </w:r>
      <w:r w:rsidRPr="00C84023">
        <w:rPr>
          <w:rFonts w:cstheme="minorHAnsi"/>
          <w:color w:val="231F20"/>
          <w:spacing w:val="-14"/>
          <w:w w:val="110"/>
        </w:rPr>
        <w:t xml:space="preserve"> </w:t>
      </w:r>
      <w:r w:rsidRPr="00C84023">
        <w:rPr>
          <w:rFonts w:cstheme="minorHAnsi"/>
          <w:color w:val="231F20"/>
          <w:w w:val="110"/>
        </w:rPr>
        <w:t>local</w:t>
      </w:r>
      <w:r w:rsidRPr="00C84023">
        <w:rPr>
          <w:rFonts w:cstheme="minorHAnsi"/>
          <w:color w:val="231F20"/>
          <w:spacing w:val="-14"/>
          <w:w w:val="110"/>
        </w:rPr>
        <w:t xml:space="preserve"> </w:t>
      </w:r>
      <w:r w:rsidRPr="00C84023">
        <w:rPr>
          <w:rFonts w:cstheme="minorHAnsi"/>
          <w:color w:val="231F20"/>
          <w:w w:val="110"/>
        </w:rPr>
        <w:t>decisions</w:t>
      </w:r>
      <w:r w:rsidRPr="00C84023">
        <w:rPr>
          <w:rFonts w:cstheme="minorHAnsi"/>
          <w:color w:val="231F20"/>
          <w:spacing w:val="-14"/>
          <w:w w:val="110"/>
        </w:rPr>
        <w:t xml:space="preserve"> </w:t>
      </w:r>
      <w:r w:rsidRPr="00C84023">
        <w:rPr>
          <w:rFonts w:cstheme="minorHAnsi"/>
          <w:color w:val="231F20"/>
          <w:w w:val="110"/>
        </w:rPr>
        <w:t>to</w:t>
      </w:r>
      <w:r w:rsidRPr="00C84023">
        <w:rPr>
          <w:rFonts w:cstheme="minorHAnsi"/>
          <w:color w:val="231F20"/>
          <w:spacing w:val="-14"/>
          <w:w w:val="110"/>
        </w:rPr>
        <w:t xml:space="preserve"> </w:t>
      </w:r>
      <w:r w:rsidRPr="00C84023">
        <w:rPr>
          <w:rFonts w:cstheme="minorHAnsi"/>
          <w:color w:val="231F20"/>
          <w:w w:val="110"/>
        </w:rPr>
        <w:t>implement</w:t>
      </w:r>
      <w:r w:rsidRPr="00C84023">
        <w:rPr>
          <w:rFonts w:cstheme="minorHAnsi"/>
          <w:color w:val="231F20"/>
          <w:spacing w:val="-14"/>
          <w:w w:val="110"/>
        </w:rPr>
        <w:t xml:space="preserve"> </w:t>
      </w:r>
      <w:r w:rsidRPr="00C84023">
        <w:rPr>
          <w:rFonts w:cstheme="minorHAnsi"/>
          <w:color w:val="231F20"/>
          <w:w w:val="110"/>
        </w:rPr>
        <w:t>additional</w:t>
      </w:r>
      <w:r w:rsidRPr="00C84023">
        <w:rPr>
          <w:rFonts w:cstheme="minorHAnsi"/>
          <w:color w:val="231F20"/>
          <w:spacing w:val="-14"/>
          <w:w w:val="110"/>
        </w:rPr>
        <w:t xml:space="preserve"> </w:t>
      </w:r>
      <w:r w:rsidRPr="00C84023">
        <w:rPr>
          <w:rFonts w:cstheme="minorHAnsi"/>
          <w:color w:val="231F20"/>
          <w:w w:val="110"/>
        </w:rPr>
        <w:t>online</w:t>
      </w:r>
      <w:r w:rsidRPr="00C84023">
        <w:rPr>
          <w:rFonts w:cstheme="minorHAnsi"/>
          <w:color w:val="231F20"/>
          <w:spacing w:val="-14"/>
          <w:w w:val="110"/>
        </w:rPr>
        <w:t xml:space="preserve"> </w:t>
      </w:r>
      <w:r w:rsidRPr="00C84023">
        <w:rPr>
          <w:rFonts w:cstheme="minorHAnsi"/>
          <w:color w:val="231F20"/>
          <w:w w:val="110"/>
        </w:rPr>
        <w:t>vendor</w:t>
      </w:r>
      <w:r w:rsidRPr="00C84023">
        <w:rPr>
          <w:rFonts w:cstheme="minorHAnsi"/>
          <w:color w:val="231F20"/>
          <w:w w:val="107"/>
        </w:rPr>
        <w:t xml:space="preserve"> </w:t>
      </w:r>
      <w:r w:rsidRPr="00C84023">
        <w:rPr>
          <w:rFonts w:cstheme="minorHAnsi"/>
          <w:color w:val="231F20"/>
          <w:w w:val="110"/>
        </w:rPr>
        <w:t>products for ESOL, ABE</w:t>
      </w:r>
      <w:r w:rsidR="00D5537E">
        <w:rPr>
          <w:rFonts w:cstheme="minorHAnsi"/>
          <w:color w:val="231F20"/>
          <w:w w:val="110"/>
        </w:rPr>
        <w:t xml:space="preserve"> and</w:t>
      </w:r>
      <w:r w:rsidRPr="00C84023">
        <w:rPr>
          <w:rFonts w:cstheme="minorHAnsi"/>
          <w:color w:val="231F20"/>
          <w:spacing w:val="10"/>
          <w:w w:val="110"/>
        </w:rPr>
        <w:t xml:space="preserve"> </w:t>
      </w:r>
      <w:r w:rsidRPr="00C84023">
        <w:rPr>
          <w:rFonts w:cstheme="minorHAnsi"/>
          <w:color w:val="231F20"/>
          <w:w w:val="110"/>
        </w:rPr>
        <w:t>ASE.</w:t>
      </w:r>
    </w:p>
    <w:p w14:paraId="7B290239" w14:textId="77777777" w:rsidR="00EA7458" w:rsidRPr="00C84023" w:rsidRDefault="00EA7458" w:rsidP="00D63204">
      <w:pPr>
        <w:widowControl w:val="0"/>
        <w:spacing w:before="2" w:after="0" w:line="240" w:lineRule="auto"/>
        <w:ind w:left="90"/>
        <w:rPr>
          <w:rFonts w:cstheme="minorHAnsi"/>
          <w:sz w:val="14"/>
          <w:szCs w:val="14"/>
        </w:rPr>
      </w:pPr>
    </w:p>
    <w:p w14:paraId="33D56E75" w14:textId="77777777" w:rsidR="00D6480A" w:rsidRPr="00C84023" w:rsidRDefault="00D6480A" w:rsidP="00D63204">
      <w:pPr>
        <w:widowControl w:val="0"/>
        <w:spacing w:before="79" w:after="0" w:line="238" w:lineRule="exact"/>
        <w:ind w:left="90"/>
        <w:rPr>
          <w:rFonts w:cstheme="minorHAnsi"/>
        </w:rPr>
      </w:pPr>
      <w:bookmarkStart w:id="134" w:name="(f)_Assessing_Quality__"/>
      <w:bookmarkStart w:id="135" w:name="_bookmark72"/>
      <w:bookmarkEnd w:id="134"/>
      <w:bookmarkEnd w:id="135"/>
      <w:r w:rsidRPr="00C84023">
        <w:rPr>
          <w:rFonts w:cstheme="minorHAnsi"/>
          <w:b/>
          <w:color w:val="231F20"/>
          <w:w w:val="110"/>
        </w:rPr>
        <w:t>There</w:t>
      </w:r>
      <w:r w:rsidRPr="00C84023">
        <w:rPr>
          <w:rFonts w:cstheme="minorHAnsi"/>
          <w:b/>
          <w:color w:val="231F20"/>
          <w:spacing w:val="-12"/>
          <w:w w:val="110"/>
        </w:rPr>
        <w:t xml:space="preserve"> </w:t>
      </w:r>
      <w:r w:rsidRPr="00C84023">
        <w:rPr>
          <w:rFonts w:cstheme="minorHAnsi"/>
          <w:b/>
          <w:color w:val="231F20"/>
          <w:w w:val="110"/>
        </w:rPr>
        <w:t>are</w:t>
      </w:r>
      <w:r w:rsidRPr="00C84023">
        <w:rPr>
          <w:rFonts w:cstheme="minorHAnsi"/>
          <w:b/>
          <w:color w:val="231F20"/>
          <w:spacing w:val="-12"/>
          <w:w w:val="110"/>
        </w:rPr>
        <w:t xml:space="preserve"> </w:t>
      </w:r>
      <w:r w:rsidRPr="00C84023">
        <w:rPr>
          <w:rFonts w:cstheme="minorHAnsi"/>
          <w:b/>
          <w:color w:val="231F20"/>
          <w:w w:val="110"/>
        </w:rPr>
        <w:t>13</w:t>
      </w:r>
      <w:r w:rsidRPr="00C84023">
        <w:rPr>
          <w:rFonts w:cstheme="minorHAnsi"/>
          <w:b/>
          <w:color w:val="231F20"/>
          <w:spacing w:val="-12"/>
          <w:w w:val="110"/>
        </w:rPr>
        <w:t xml:space="preserve"> </w:t>
      </w:r>
      <w:r w:rsidRPr="00C84023">
        <w:rPr>
          <w:rFonts w:cstheme="minorHAnsi"/>
          <w:b/>
          <w:color w:val="231F20"/>
          <w:w w:val="110"/>
        </w:rPr>
        <w:t>permissible</w:t>
      </w:r>
      <w:r w:rsidRPr="00C84023">
        <w:rPr>
          <w:rFonts w:cstheme="minorHAnsi"/>
          <w:b/>
          <w:color w:val="231F20"/>
          <w:spacing w:val="-12"/>
          <w:w w:val="110"/>
        </w:rPr>
        <w:t xml:space="preserve"> </w:t>
      </w:r>
      <w:r w:rsidRPr="00C84023">
        <w:rPr>
          <w:rFonts w:cstheme="minorHAnsi"/>
          <w:b/>
          <w:color w:val="231F20"/>
          <w:w w:val="110"/>
        </w:rPr>
        <w:t>state</w:t>
      </w:r>
      <w:r w:rsidRPr="00C84023">
        <w:rPr>
          <w:rFonts w:cstheme="minorHAnsi"/>
          <w:b/>
          <w:color w:val="231F20"/>
          <w:spacing w:val="-12"/>
          <w:w w:val="110"/>
        </w:rPr>
        <w:t xml:space="preserve"> </w:t>
      </w:r>
      <w:r w:rsidRPr="00C84023">
        <w:rPr>
          <w:rFonts w:cstheme="minorHAnsi"/>
          <w:b/>
          <w:color w:val="231F20"/>
          <w:w w:val="110"/>
        </w:rPr>
        <w:t>leadership</w:t>
      </w:r>
      <w:r w:rsidRPr="00C84023">
        <w:rPr>
          <w:rFonts w:cstheme="minorHAnsi"/>
          <w:b/>
          <w:color w:val="231F20"/>
          <w:spacing w:val="-12"/>
          <w:w w:val="110"/>
        </w:rPr>
        <w:t xml:space="preserve"> </w:t>
      </w:r>
      <w:r w:rsidRPr="00C84023">
        <w:rPr>
          <w:rFonts w:cstheme="minorHAnsi"/>
          <w:b/>
          <w:color w:val="231F20"/>
          <w:w w:val="110"/>
        </w:rPr>
        <w:t>activities</w:t>
      </w:r>
      <w:r w:rsidRPr="00C84023">
        <w:rPr>
          <w:rFonts w:cstheme="minorHAnsi"/>
          <w:b/>
          <w:color w:val="231F20"/>
          <w:spacing w:val="-12"/>
          <w:w w:val="110"/>
        </w:rPr>
        <w:t xml:space="preserve"> </w:t>
      </w:r>
      <w:r w:rsidRPr="00C84023">
        <w:rPr>
          <w:rFonts w:cstheme="minorHAnsi"/>
          <w:b/>
          <w:color w:val="231F20"/>
          <w:w w:val="110"/>
        </w:rPr>
        <w:t>under</w:t>
      </w:r>
      <w:r w:rsidRPr="00C84023">
        <w:rPr>
          <w:rFonts w:cstheme="minorHAnsi"/>
          <w:b/>
          <w:color w:val="231F20"/>
          <w:spacing w:val="-12"/>
          <w:w w:val="110"/>
        </w:rPr>
        <w:t xml:space="preserve"> </w:t>
      </w:r>
      <w:r w:rsidRPr="00C84023">
        <w:rPr>
          <w:rFonts w:cstheme="minorHAnsi"/>
          <w:b/>
          <w:color w:val="231F20"/>
          <w:w w:val="110"/>
        </w:rPr>
        <w:t>section</w:t>
      </w:r>
      <w:r w:rsidRPr="00C84023">
        <w:rPr>
          <w:rFonts w:cstheme="minorHAnsi"/>
          <w:b/>
          <w:color w:val="231F20"/>
          <w:spacing w:val="-12"/>
          <w:w w:val="110"/>
        </w:rPr>
        <w:t xml:space="preserve"> </w:t>
      </w:r>
      <w:r w:rsidRPr="00C84023">
        <w:rPr>
          <w:rFonts w:cstheme="minorHAnsi"/>
          <w:b/>
          <w:color w:val="231F20"/>
          <w:w w:val="110"/>
        </w:rPr>
        <w:t>223</w:t>
      </w:r>
      <w:r w:rsidRPr="00C84023">
        <w:rPr>
          <w:rFonts w:cstheme="minorHAnsi"/>
          <w:b/>
          <w:color w:val="231F20"/>
          <w:spacing w:val="-12"/>
          <w:w w:val="110"/>
        </w:rPr>
        <w:t xml:space="preserve"> </w:t>
      </w:r>
      <w:r w:rsidRPr="00C84023">
        <w:rPr>
          <w:rFonts w:cstheme="minorHAnsi"/>
          <w:b/>
          <w:color w:val="231F20"/>
          <w:w w:val="110"/>
        </w:rPr>
        <w:t>of</w:t>
      </w:r>
      <w:r w:rsidRPr="00C84023">
        <w:rPr>
          <w:rFonts w:cstheme="minorHAnsi"/>
          <w:b/>
          <w:color w:val="231F20"/>
          <w:spacing w:val="-12"/>
          <w:w w:val="110"/>
        </w:rPr>
        <w:t xml:space="preserve"> </w:t>
      </w:r>
      <w:r w:rsidRPr="00C84023">
        <w:rPr>
          <w:rFonts w:cstheme="minorHAnsi"/>
          <w:b/>
          <w:color w:val="231F20"/>
          <w:w w:val="110"/>
        </w:rPr>
        <w:t>WIOA</w:t>
      </w:r>
      <w:r w:rsidRPr="00C84023">
        <w:rPr>
          <w:rFonts w:cstheme="minorHAnsi"/>
          <w:color w:val="231F20"/>
          <w:w w:val="110"/>
        </w:rPr>
        <w:t>.</w:t>
      </w:r>
      <w:r w:rsidRPr="00C84023">
        <w:rPr>
          <w:rFonts w:cstheme="minorHAnsi"/>
          <w:color w:val="231F20"/>
          <w:spacing w:val="34"/>
          <w:w w:val="110"/>
        </w:rPr>
        <w:t xml:space="preserve"> </w:t>
      </w:r>
      <w:r w:rsidRPr="00C84023">
        <w:rPr>
          <w:rFonts w:cstheme="minorHAnsi"/>
          <w:color w:val="231F20"/>
          <w:w w:val="110"/>
        </w:rPr>
        <w:t>The</w:t>
      </w:r>
      <w:r w:rsidRPr="00C84023">
        <w:rPr>
          <w:rFonts w:cstheme="minorHAnsi"/>
          <w:color w:val="231F20"/>
          <w:spacing w:val="-11"/>
          <w:w w:val="110"/>
        </w:rPr>
        <w:t xml:space="preserve"> </w:t>
      </w:r>
      <w:r w:rsidRPr="00C84023">
        <w:rPr>
          <w:rFonts w:cstheme="minorHAnsi"/>
          <w:color w:val="231F20"/>
          <w:w w:val="110"/>
        </w:rPr>
        <w:t>following</w:t>
      </w:r>
      <w:r w:rsidRPr="00C84023">
        <w:rPr>
          <w:rFonts w:cstheme="minorHAnsi"/>
          <w:color w:val="231F20"/>
          <w:spacing w:val="-11"/>
          <w:w w:val="110"/>
        </w:rPr>
        <w:t xml:space="preserve"> </w:t>
      </w:r>
      <w:r w:rsidRPr="00C84023">
        <w:rPr>
          <w:rFonts w:cstheme="minorHAnsi"/>
          <w:color w:val="231F20"/>
          <w:w w:val="110"/>
        </w:rPr>
        <w:t>activities</w:t>
      </w:r>
      <w:r w:rsidRPr="00C84023">
        <w:rPr>
          <w:rFonts w:cstheme="minorHAnsi"/>
          <w:color w:val="231F20"/>
          <w:w w:val="105"/>
        </w:rPr>
        <w:t xml:space="preserve"> </w:t>
      </w:r>
      <w:r w:rsidRPr="00C84023">
        <w:rPr>
          <w:rFonts w:cstheme="minorHAnsi"/>
          <w:color w:val="231F20"/>
          <w:w w:val="110"/>
        </w:rPr>
        <w:t>(number</w:t>
      </w:r>
      <w:r w:rsidRPr="00C84023">
        <w:rPr>
          <w:rFonts w:cstheme="minorHAnsi"/>
          <w:color w:val="231F20"/>
          <w:spacing w:val="-30"/>
          <w:w w:val="110"/>
        </w:rPr>
        <w:t xml:space="preserve"> </w:t>
      </w:r>
      <w:r w:rsidRPr="00C84023">
        <w:rPr>
          <w:rFonts w:cstheme="minorHAnsi"/>
          <w:color w:val="231F20"/>
          <w:w w:val="110"/>
        </w:rPr>
        <w:t>for</w:t>
      </w:r>
      <w:r w:rsidRPr="00C84023">
        <w:rPr>
          <w:rFonts w:cstheme="minorHAnsi"/>
          <w:color w:val="231F20"/>
          <w:spacing w:val="-30"/>
          <w:w w:val="110"/>
        </w:rPr>
        <w:t xml:space="preserve"> </w:t>
      </w:r>
      <w:r w:rsidRPr="00C84023">
        <w:rPr>
          <w:rFonts w:cstheme="minorHAnsi"/>
          <w:color w:val="231F20"/>
          <w:w w:val="110"/>
        </w:rPr>
        <w:t>permissible</w:t>
      </w:r>
      <w:r w:rsidRPr="00C84023">
        <w:rPr>
          <w:rFonts w:cstheme="minorHAnsi"/>
          <w:color w:val="231F20"/>
          <w:spacing w:val="-30"/>
          <w:w w:val="110"/>
        </w:rPr>
        <w:t xml:space="preserve"> </w:t>
      </w:r>
      <w:r w:rsidRPr="00C84023">
        <w:rPr>
          <w:rFonts w:cstheme="minorHAnsi"/>
          <w:color w:val="231F20"/>
          <w:w w:val="110"/>
        </w:rPr>
        <w:t>activity</w:t>
      </w:r>
      <w:r w:rsidRPr="00C84023">
        <w:rPr>
          <w:rFonts w:cstheme="minorHAnsi"/>
          <w:color w:val="231F20"/>
          <w:spacing w:val="-30"/>
          <w:w w:val="110"/>
        </w:rPr>
        <w:t xml:space="preserve"> </w:t>
      </w:r>
      <w:r w:rsidRPr="00C84023">
        <w:rPr>
          <w:rFonts w:cstheme="minorHAnsi"/>
          <w:color w:val="231F20"/>
          <w:w w:val="110"/>
        </w:rPr>
        <w:t>listed</w:t>
      </w:r>
      <w:r w:rsidRPr="00C84023">
        <w:rPr>
          <w:rFonts w:cstheme="minorHAnsi"/>
          <w:color w:val="231F20"/>
          <w:spacing w:val="-30"/>
          <w:w w:val="110"/>
        </w:rPr>
        <w:t xml:space="preserve"> </w:t>
      </w:r>
      <w:r w:rsidRPr="00C84023">
        <w:rPr>
          <w:rFonts w:cstheme="minorHAnsi"/>
          <w:color w:val="231F20"/>
          <w:w w:val="110"/>
        </w:rPr>
        <w:t>in</w:t>
      </w:r>
      <w:r w:rsidRPr="00C84023">
        <w:rPr>
          <w:rFonts w:cstheme="minorHAnsi"/>
          <w:color w:val="231F20"/>
          <w:spacing w:val="-30"/>
          <w:w w:val="110"/>
        </w:rPr>
        <w:t xml:space="preserve"> </w:t>
      </w:r>
      <w:r w:rsidRPr="00C84023">
        <w:rPr>
          <w:rFonts w:cstheme="minorHAnsi"/>
          <w:color w:val="231F20"/>
          <w:w w:val="110"/>
        </w:rPr>
        <w:t>WIOA)</w:t>
      </w:r>
      <w:r w:rsidRPr="00C84023">
        <w:rPr>
          <w:rFonts w:cstheme="minorHAnsi"/>
          <w:color w:val="231F20"/>
          <w:spacing w:val="-30"/>
          <w:w w:val="110"/>
        </w:rPr>
        <w:t xml:space="preserve"> </w:t>
      </w:r>
      <w:r w:rsidRPr="00C84023">
        <w:rPr>
          <w:rFonts w:cstheme="minorHAnsi"/>
          <w:color w:val="231F20"/>
          <w:w w:val="110"/>
        </w:rPr>
        <w:t>are</w:t>
      </w:r>
      <w:r w:rsidRPr="00C84023">
        <w:rPr>
          <w:rFonts w:cstheme="minorHAnsi"/>
          <w:color w:val="231F20"/>
          <w:spacing w:val="-30"/>
          <w:w w:val="110"/>
        </w:rPr>
        <w:t xml:space="preserve"> </w:t>
      </w:r>
      <w:r w:rsidRPr="00C84023">
        <w:rPr>
          <w:rFonts w:cstheme="minorHAnsi"/>
          <w:color w:val="231F20"/>
          <w:w w:val="110"/>
        </w:rPr>
        <w:t>supported</w:t>
      </w:r>
      <w:r w:rsidRPr="00C84023">
        <w:rPr>
          <w:rFonts w:cstheme="minorHAnsi"/>
          <w:color w:val="231F20"/>
          <w:spacing w:val="-30"/>
          <w:w w:val="110"/>
        </w:rPr>
        <w:t xml:space="preserve"> </w:t>
      </w:r>
      <w:r w:rsidRPr="00C84023">
        <w:rPr>
          <w:rFonts w:cstheme="minorHAnsi"/>
          <w:color w:val="231F20"/>
          <w:w w:val="110"/>
        </w:rPr>
        <w:t>with</w:t>
      </w:r>
      <w:r w:rsidRPr="00C84023">
        <w:rPr>
          <w:rFonts w:cstheme="minorHAnsi"/>
          <w:color w:val="231F20"/>
          <w:spacing w:val="-30"/>
          <w:w w:val="110"/>
        </w:rPr>
        <w:t xml:space="preserve"> </w:t>
      </w:r>
      <w:r w:rsidRPr="00C84023">
        <w:rPr>
          <w:rFonts w:cstheme="minorHAnsi"/>
          <w:color w:val="231F20"/>
          <w:w w:val="110"/>
        </w:rPr>
        <w:t>leadership</w:t>
      </w:r>
      <w:r w:rsidRPr="00C84023">
        <w:rPr>
          <w:rFonts w:cstheme="minorHAnsi"/>
          <w:color w:val="231F20"/>
          <w:spacing w:val="-30"/>
          <w:w w:val="110"/>
        </w:rPr>
        <w:t xml:space="preserve"> </w:t>
      </w:r>
      <w:r w:rsidRPr="00C84023">
        <w:rPr>
          <w:rFonts w:cstheme="minorHAnsi"/>
          <w:color w:val="231F20"/>
          <w:w w:val="110"/>
        </w:rPr>
        <w:t>funds:</w:t>
      </w:r>
    </w:p>
    <w:p w14:paraId="4FF47157" w14:textId="77777777" w:rsidR="00691C52" w:rsidRDefault="00691C52" w:rsidP="00D63204">
      <w:pPr>
        <w:widowControl w:val="0"/>
        <w:spacing w:after="0" w:line="240" w:lineRule="auto"/>
        <w:ind w:left="90"/>
        <w:outlineLvl w:val="3"/>
        <w:rPr>
          <w:rFonts w:cstheme="minorHAnsi"/>
          <w:b/>
          <w:bCs/>
          <w:i/>
          <w:color w:val="231F20"/>
          <w:w w:val="105"/>
        </w:rPr>
      </w:pPr>
    </w:p>
    <w:p w14:paraId="1DFB53ED" w14:textId="62221109" w:rsidR="00D6480A" w:rsidRPr="00C84023" w:rsidRDefault="00D6480A" w:rsidP="00D63204">
      <w:pPr>
        <w:widowControl w:val="0"/>
        <w:spacing w:after="0" w:line="240" w:lineRule="auto"/>
        <w:ind w:left="90"/>
        <w:outlineLvl w:val="3"/>
        <w:rPr>
          <w:rFonts w:cstheme="minorHAnsi"/>
        </w:rPr>
      </w:pPr>
      <w:r w:rsidRPr="00C84023">
        <w:rPr>
          <w:rFonts w:cstheme="minorHAnsi"/>
          <w:b/>
          <w:bCs/>
          <w:i/>
          <w:color w:val="231F20"/>
          <w:w w:val="105"/>
        </w:rPr>
        <w:t>The</w:t>
      </w:r>
      <w:r w:rsidRPr="00C84023">
        <w:rPr>
          <w:rFonts w:cstheme="minorHAnsi"/>
          <w:b/>
          <w:bCs/>
          <w:i/>
          <w:color w:val="231F20"/>
          <w:spacing w:val="-17"/>
          <w:w w:val="105"/>
        </w:rPr>
        <w:t xml:space="preserve"> </w:t>
      </w:r>
      <w:r w:rsidRPr="00C84023">
        <w:rPr>
          <w:rFonts w:cstheme="minorHAnsi"/>
          <w:b/>
          <w:bCs/>
          <w:i/>
          <w:color w:val="231F20"/>
          <w:w w:val="105"/>
        </w:rPr>
        <w:t>support</w:t>
      </w:r>
      <w:r w:rsidRPr="00C84023">
        <w:rPr>
          <w:rFonts w:cstheme="minorHAnsi"/>
          <w:b/>
          <w:bCs/>
          <w:i/>
          <w:color w:val="231F20"/>
          <w:spacing w:val="-17"/>
          <w:w w:val="105"/>
        </w:rPr>
        <w:t xml:space="preserve"> </w:t>
      </w:r>
      <w:r w:rsidRPr="00C84023">
        <w:rPr>
          <w:rFonts w:cstheme="minorHAnsi"/>
          <w:b/>
          <w:bCs/>
          <w:i/>
          <w:color w:val="231F20"/>
          <w:w w:val="105"/>
        </w:rPr>
        <w:t>of</w:t>
      </w:r>
      <w:r w:rsidRPr="00C84023">
        <w:rPr>
          <w:rFonts w:cstheme="minorHAnsi"/>
          <w:b/>
          <w:bCs/>
          <w:i/>
          <w:color w:val="231F20"/>
          <w:spacing w:val="-17"/>
          <w:w w:val="105"/>
        </w:rPr>
        <w:t xml:space="preserve"> </w:t>
      </w:r>
      <w:r w:rsidRPr="00C84023">
        <w:rPr>
          <w:rFonts w:cstheme="minorHAnsi"/>
          <w:b/>
          <w:bCs/>
          <w:i/>
          <w:color w:val="231F20"/>
          <w:w w:val="105"/>
        </w:rPr>
        <w:t>state</w:t>
      </w:r>
      <w:r w:rsidRPr="00C84023">
        <w:rPr>
          <w:rFonts w:cstheme="minorHAnsi"/>
          <w:b/>
          <w:bCs/>
          <w:i/>
          <w:color w:val="231F20"/>
          <w:spacing w:val="-17"/>
          <w:w w:val="105"/>
        </w:rPr>
        <w:t xml:space="preserve"> </w:t>
      </w:r>
      <w:r w:rsidRPr="00C84023">
        <w:rPr>
          <w:rFonts w:cstheme="minorHAnsi"/>
          <w:b/>
          <w:bCs/>
          <w:i/>
          <w:color w:val="231F20"/>
          <w:w w:val="105"/>
        </w:rPr>
        <w:t>or</w:t>
      </w:r>
      <w:r w:rsidRPr="00C84023">
        <w:rPr>
          <w:rFonts w:cstheme="minorHAnsi"/>
          <w:b/>
          <w:bCs/>
          <w:i/>
          <w:color w:val="231F20"/>
          <w:spacing w:val="-17"/>
          <w:w w:val="105"/>
        </w:rPr>
        <w:t xml:space="preserve"> </w:t>
      </w:r>
      <w:r w:rsidRPr="00C84023">
        <w:rPr>
          <w:rFonts w:cstheme="minorHAnsi"/>
          <w:b/>
          <w:bCs/>
          <w:i/>
          <w:color w:val="231F20"/>
          <w:w w:val="105"/>
        </w:rPr>
        <w:t>regional</w:t>
      </w:r>
      <w:r w:rsidRPr="00C84023">
        <w:rPr>
          <w:rFonts w:cstheme="minorHAnsi"/>
          <w:b/>
          <w:bCs/>
          <w:i/>
          <w:color w:val="231F20"/>
          <w:spacing w:val="-17"/>
          <w:w w:val="105"/>
        </w:rPr>
        <w:t xml:space="preserve"> </w:t>
      </w:r>
      <w:r w:rsidRPr="00C84023">
        <w:rPr>
          <w:rFonts w:cstheme="minorHAnsi"/>
          <w:b/>
          <w:bCs/>
          <w:i/>
          <w:color w:val="231F20"/>
          <w:w w:val="105"/>
        </w:rPr>
        <w:t>networks</w:t>
      </w:r>
      <w:r w:rsidRPr="00C84023">
        <w:rPr>
          <w:rFonts w:cstheme="minorHAnsi"/>
          <w:b/>
          <w:bCs/>
          <w:i/>
          <w:color w:val="231F20"/>
          <w:spacing w:val="-17"/>
          <w:w w:val="105"/>
        </w:rPr>
        <w:t xml:space="preserve"> </w:t>
      </w:r>
      <w:r w:rsidRPr="00C84023">
        <w:rPr>
          <w:rFonts w:cstheme="minorHAnsi"/>
          <w:b/>
          <w:bCs/>
          <w:i/>
          <w:color w:val="231F20"/>
          <w:w w:val="105"/>
        </w:rPr>
        <w:t>of</w:t>
      </w:r>
      <w:r w:rsidRPr="00C84023">
        <w:rPr>
          <w:rFonts w:cstheme="minorHAnsi"/>
          <w:b/>
          <w:bCs/>
          <w:i/>
          <w:color w:val="231F20"/>
          <w:spacing w:val="-17"/>
          <w:w w:val="105"/>
        </w:rPr>
        <w:t xml:space="preserve"> </w:t>
      </w:r>
      <w:r w:rsidRPr="00C84023">
        <w:rPr>
          <w:rFonts w:cstheme="minorHAnsi"/>
          <w:b/>
          <w:bCs/>
          <w:i/>
          <w:color w:val="231F20"/>
          <w:w w:val="105"/>
        </w:rPr>
        <w:t>literacy</w:t>
      </w:r>
      <w:r w:rsidRPr="00C84023">
        <w:rPr>
          <w:rFonts w:cstheme="minorHAnsi"/>
          <w:b/>
          <w:bCs/>
          <w:i/>
          <w:color w:val="231F20"/>
          <w:spacing w:val="-17"/>
          <w:w w:val="105"/>
        </w:rPr>
        <w:t xml:space="preserve"> </w:t>
      </w:r>
      <w:r w:rsidRPr="00C84023">
        <w:rPr>
          <w:rFonts w:cstheme="minorHAnsi"/>
          <w:b/>
          <w:bCs/>
          <w:i/>
          <w:color w:val="231F20"/>
          <w:w w:val="105"/>
        </w:rPr>
        <w:t>resource</w:t>
      </w:r>
      <w:r w:rsidRPr="00C84023">
        <w:rPr>
          <w:rFonts w:cstheme="minorHAnsi"/>
          <w:b/>
          <w:bCs/>
          <w:i/>
          <w:color w:val="231F20"/>
          <w:spacing w:val="-17"/>
          <w:w w:val="105"/>
        </w:rPr>
        <w:t xml:space="preserve"> </w:t>
      </w:r>
      <w:r w:rsidRPr="00C84023">
        <w:rPr>
          <w:rFonts w:cstheme="minorHAnsi"/>
          <w:b/>
          <w:bCs/>
          <w:i/>
          <w:color w:val="231F20"/>
          <w:w w:val="105"/>
        </w:rPr>
        <w:t>centers</w:t>
      </w:r>
      <w:r w:rsidRPr="00C84023">
        <w:rPr>
          <w:rFonts w:cstheme="minorHAnsi"/>
          <w:b/>
          <w:bCs/>
          <w:i/>
          <w:color w:val="231F20"/>
          <w:spacing w:val="-17"/>
          <w:w w:val="105"/>
        </w:rPr>
        <w:t xml:space="preserve"> </w:t>
      </w:r>
      <w:r w:rsidRPr="00C84023">
        <w:rPr>
          <w:rFonts w:cstheme="minorHAnsi"/>
          <w:b/>
          <w:bCs/>
          <w:i/>
          <w:color w:val="231F20"/>
          <w:w w:val="105"/>
        </w:rPr>
        <w:t>(1)</w:t>
      </w:r>
    </w:p>
    <w:p w14:paraId="4DCF6145" w14:textId="77777777" w:rsidR="00D6480A" w:rsidRPr="00C84023" w:rsidRDefault="00D6480A" w:rsidP="00D63204">
      <w:pPr>
        <w:widowControl w:val="0"/>
        <w:spacing w:before="2" w:after="0" w:line="264" w:lineRule="exact"/>
        <w:ind w:left="90"/>
        <w:rPr>
          <w:rFonts w:cstheme="minorHAnsi"/>
        </w:rPr>
      </w:pPr>
      <w:r w:rsidRPr="00C84023">
        <w:rPr>
          <w:rFonts w:cstheme="minorHAnsi"/>
          <w:color w:val="231F20"/>
          <w:w w:val="105"/>
        </w:rPr>
        <w:t>The</w:t>
      </w:r>
      <w:r w:rsidRPr="00C84023">
        <w:rPr>
          <w:rFonts w:cstheme="minorHAnsi"/>
          <w:color w:val="231F20"/>
          <w:spacing w:val="17"/>
          <w:w w:val="105"/>
        </w:rPr>
        <w:t xml:space="preserve"> </w:t>
      </w:r>
      <w:r w:rsidRPr="00C84023">
        <w:rPr>
          <w:rFonts w:cstheme="minorHAnsi"/>
          <w:color w:val="231F20"/>
          <w:w w:val="105"/>
        </w:rPr>
        <w:t>state</w:t>
      </w:r>
      <w:r w:rsidRPr="00C84023">
        <w:rPr>
          <w:rFonts w:cstheme="minorHAnsi"/>
          <w:color w:val="231F20"/>
          <w:spacing w:val="17"/>
          <w:w w:val="105"/>
        </w:rPr>
        <w:t xml:space="preserve"> </w:t>
      </w:r>
      <w:r w:rsidRPr="00C84023">
        <w:rPr>
          <w:rFonts w:cstheme="minorHAnsi"/>
          <w:color w:val="231F20"/>
          <w:w w:val="105"/>
        </w:rPr>
        <w:t>provides</w:t>
      </w:r>
      <w:r w:rsidRPr="00C84023">
        <w:rPr>
          <w:rFonts w:cstheme="minorHAnsi"/>
          <w:color w:val="231F20"/>
          <w:spacing w:val="17"/>
          <w:w w:val="105"/>
        </w:rPr>
        <w:t xml:space="preserve"> </w:t>
      </w:r>
      <w:r w:rsidRPr="00C84023">
        <w:rPr>
          <w:rFonts w:cstheme="minorHAnsi"/>
          <w:color w:val="231F20"/>
          <w:w w:val="105"/>
        </w:rPr>
        <w:t>a</w:t>
      </w:r>
      <w:r w:rsidRPr="00C84023">
        <w:rPr>
          <w:rFonts w:cstheme="minorHAnsi"/>
          <w:color w:val="231F20"/>
          <w:spacing w:val="17"/>
          <w:w w:val="105"/>
        </w:rPr>
        <w:t xml:space="preserve"> </w:t>
      </w:r>
      <w:r w:rsidRPr="00C84023">
        <w:rPr>
          <w:rFonts w:cstheme="minorHAnsi"/>
          <w:color w:val="231F20"/>
          <w:w w:val="105"/>
        </w:rPr>
        <w:t>leadership</w:t>
      </w:r>
      <w:r w:rsidRPr="00C84023">
        <w:rPr>
          <w:rFonts w:cstheme="minorHAnsi"/>
          <w:color w:val="231F20"/>
          <w:spacing w:val="17"/>
          <w:w w:val="105"/>
        </w:rPr>
        <w:t xml:space="preserve"> </w:t>
      </w:r>
      <w:r w:rsidRPr="00C84023">
        <w:rPr>
          <w:rFonts w:cstheme="minorHAnsi"/>
          <w:color w:val="231F20"/>
          <w:w w:val="105"/>
        </w:rPr>
        <w:t>grant</w:t>
      </w:r>
      <w:r w:rsidRPr="00C84023">
        <w:rPr>
          <w:rFonts w:cstheme="minorHAnsi"/>
          <w:color w:val="231F20"/>
          <w:spacing w:val="17"/>
          <w:w w:val="105"/>
        </w:rPr>
        <w:t xml:space="preserve"> </w:t>
      </w:r>
      <w:r w:rsidRPr="00C84023">
        <w:rPr>
          <w:rFonts w:cstheme="minorHAnsi"/>
          <w:color w:val="231F20"/>
          <w:w w:val="105"/>
        </w:rPr>
        <w:t>to</w:t>
      </w:r>
      <w:r w:rsidRPr="00C84023">
        <w:rPr>
          <w:rFonts w:cstheme="minorHAnsi"/>
          <w:color w:val="231F20"/>
          <w:spacing w:val="17"/>
          <w:w w:val="105"/>
        </w:rPr>
        <w:t xml:space="preserve"> </w:t>
      </w:r>
      <w:r w:rsidRPr="00C84023">
        <w:rPr>
          <w:rFonts w:cstheme="minorHAnsi"/>
          <w:color w:val="231F20"/>
          <w:w w:val="105"/>
        </w:rPr>
        <w:t>support</w:t>
      </w:r>
      <w:r w:rsidRPr="00C84023">
        <w:rPr>
          <w:rFonts w:cstheme="minorHAnsi"/>
          <w:color w:val="231F20"/>
          <w:spacing w:val="17"/>
          <w:w w:val="105"/>
        </w:rPr>
        <w:t xml:space="preserve"> </w:t>
      </w:r>
      <w:r w:rsidRPr="00C84023">
        <w:rPr>
          <w:rFonts w:cstheme="minorHAnsi"/>
          <w:color w:val="231F20"/>
          <w:w w:val="105"/>
        </w:rPr>
        <w:t>the</w:t>
      </w:r>
      <w:r w:rsidRPr="00C84023">
        <w:rPr>
          <w:rFonts w:cstheme="minorHAnsi"/>
          <w:color w:val="231F20"/>
          <w:spacing w:val="17"/>
          <w:w w:val="105"/>
        </w:rPr>
        <w:t xml:space="preserve"> </w:t>
      </w:r>
      <w:r w:rsidRPr="00C84023">
        <w:rPr>
          <w:rFonts w:cstheme="minorHAnsi"/>
          <w:color w:val="231F20"/>
          <w:w w:val="105"/>
        </w:rPr>
        <w:t>Florida</w:t>
      </w:r>
      <w:r w:rsidRPr="00C84023">
        <w:rPr>
          <w:rFonts w:cstheme="minorHAnsi"/>
          <w:color w:val="231F20"/>
          <w:spacing w:val="17"/>
          <w:w w:val="105"/>
        </w:rPr>
        <w:t xml:space="preserve"> </w:t>
      </w:r>
      <w:r w:rsidRPr="00C84023">
        <w:rPr>
          <w:rFonts w:cstheme="minorHAnsi"/>
          <w:color w:val="231F20"/>
          <w:w w:val="105"/>
        </w:rPr>
        <w:t>Literacy</w:t>
      </w:r>
      <w:r w:rsidRPr="00C84023">
        <w:rPr>
          <w:rFonts w:cstheme="minorHAnsi"/>
          <w:color w:val="231F20"/>
          <w:spacing w:val="17"/>
          <w:w w:val="105"/>
        </w:rPr>
        <w:t xml:space="preserve"> </w:t>
      </w:r>
      <w:r w:rsidRPr="00C84023">
        <w:rPr>
          <w:rFonts w:cstheme="minorHAnsi"/>
          <w:color w:val="231F20"/>
          <w:w w:val="105"/>
        </w:rPr>
        <w:t>Coalition.</w:t>
      </w:r>
      <w:r w:rsidRPr="00C84023">
        <w:rPr>
          <w:rFonts w:cstheme="minorHAnsi"/>
          <w:color w:val="231F20"/>
          <w:spacing w:val="17"/>
          <w:w w:val="105"/>
        </w:rPr>
        <w:t xml:space="preserve"> </w:t>
      </w:r>
      <w:r w:rsidRPr="00C84023">
        <w:rPr>
          <w:rFonts w:cstheme="minorHAnsi"/>
          <w:color w:val="231F20"/>
          <w:w w:val="105"/>
        </w:rPr>
        <w:t>Professional</w:t>
      </w:r>
      <w:r w:rsidRPr="00C84023">
        <w:rPr>
          <w:rFonts w:cstheme="minorHAnsi"/>
          <w:color w:val="231F20"/>
          <w:spacing w:val="17"/>
          <w:w w:val="105"/>
        </w:rPr>
        <w:t xml:space="preserve"> </w:t>
      </w:r>
      <w:r w:rsidRPr="00C84023">
        <w:rPr>
          <w:rFonts w:cstheme="minorHAnsi"/>
          <w:color w:val="231F20"/>
          <w:w w:val="105"/>
        </w:rPr>
        <w:t>development</w:t>
      </w:r>
      <w:r w:rsidRPr="00C84023">
        <w:rPr>
          <w:rFonts w:cstheme="minorHAnsi"/>
          <w:color w:val="231F20"/>
          <w:w w:val="106"/>
        </w:rPr>
        <w:t xml:space="preserve"> </w:t>
      </w:r>
      <w:r w:rsidRPr="00C84023">
        <w:rPr>
          <w:rFonts w:cstheme="minorHAnsi"/>
          <w:color w:val="231F20"/>
          <w:w w:val="105"/>
        </w:rPr>
        <w:t>is</w:t>
      </w:r>
      <w:r w:rsidRPr="00C84023">
        <w:rPr>
          <w:rFonts w:cstheme="minorHAnsi"/>
          <w:color w:val="231F20"/>
          <w:spacing w:val="14"/>
          <w:w w:val="105"/>
        </w:rPr>
        <w:t xml:space="preserve"> </w:t>
      </w:r>
      <w:r w:rsidRPr="00C84023">
        <w:rPr>
          <w:rFonts w:cstheme="minorHAnsi"/>
          <w:color w:val="231F20"/>
          <w:w w:val="105"/>
        </w:rPr>
        <w:t>customized</w:t>
      </w:r>
      <w:r w:rsidRPr="00C84023">
        <w:rPr>
          <w:rFonts w:cstheme="minorHAnsi"/>
          <w:color w:val="231F20"/>
          <w:spacing w:val="14"/>
          <w:w w:val="105"/>
        </w:rPr>
        <w:t xml:space="preserve"> </w:t>
      </w:r>
      <w:r w:rsidRPr="00C84023">
        <w:rPr>
          <w:rFonts w:cstheme="minorHAnsi"/>
          <w:color w:val="231F20"/>
          <w:w w:val="105"/>
        </w:rPr>
        <w:t>for</w:t>
      </w:r>
      <w:r w:rsidRPr="00C84023">
        <w:rPr>
          <w:rFonts w:cstheme="minorHAnsi"/>
          <w:color w:val="231F20"/>
          <w:spacing w:val="14"/>
          <w:w w:val="105"/>
        </w:rPr>
        <w:t xml:space="preserve"> </w:t>
      </w:r>
      <w:r w:rsidRPr="00C84023">
        <w:rPr>
          <w:rFonts w:cstheme="minorHAnsi"/>
          <w:color w:val="231F20"/>
          <w:w w:val="105"/>
        </w:rPr>
        <w:t>tutors</w:t>
      </w:r>
      <w:r w:rsidRPr="00C84023">
        <w:rPr>
          <w:rFonts w:cstheme="minorHAnsi"/>
          <w:color w:val="231F20"/>
          <w:spacing w:val="14"/>
          <w:w w:val="105"/>
        </w:rPr>
        <w:t xml:space="preserve"> </w:t>
      </w:r>
      <w:r w:rsidRPr="00C84023">
        <w:rPr>
          <w:rFonts w:cstheme="minorHAnsi"/>
          <w:color w:val="231F20"/>
          <w:w w:val="105"/>
        </w:rPr>
        <w:t>and</w:t>
      </w:r>
      <w:r w:rsidRPr="00C84023">
        <w:rPr>
          <w:rFonts w:cstheme="minorHAnsi"/>
          <w:color w:val="231F20"/>
          <w:spacing w:val="14"/>
          <w:w w:val="105"/>
        </w:rPr>
        <w:t xml:space="preserve"> </w:t>
      </w:r>
      <w:r w:rsidRPr="00C84023">
        <w:rPr>
          <w:rFonts w:cstheme="minorHAnsi"/>
          <w:color w:val="231F20"/>
          <w:w w:val="105"/>
        </w:rPr>
        <w:t>volunteers</w:t>
      </w:r>
      <w:r w:rsidRPr="00C84023">
        <w:rPr>
          <w:rFonts w:cstheme="minorHAnsi"/>
          <w:color w:val="231F20"/>
          <w:spacing w:val="14"/>
          <w:w w:val="105"/>
        </w:rPr>
        <w:t xml:space="preserve"> </w:t>
      </w:r>
      <w:r w:rsidRPr="00C84023">
        <w:rPr>
          <w:rFonts w:cstheme="minorHAnsi"/>
          <w:color w:val="231F20"/>
          <w:w w:val="105"/>
        </w:rPr>
        <w:t>and</w:t>
      </w:r>
      <w:r w:rsidRPr="00C84023">
        <w:rPr>
          <w:rFonts w:cstheme="minorHAnsi"/>
          <w:color w:val="231F20"/>
          <w:spacing w:val="14"/>
          <w:w w:val="105"/>
        </w:rPr>
        <w:t xml:space="preserve"> </w:t>
      </w:r>
      <w:r w:rsidRPr="00C84023">
        <w:rPr>
          <w:rFonts w:cstheme="minorHAnsi"/>
          <w:color w:val="231F20"/>
          <w:w w:val="105"/>
        </w:rPr>
        <w:t>is</w:t>
      </w:r>
      <w:r w:rsidRPr="00C84023">
        <w:rPr>
          <w:rFonts w:cstheme="minorHAnsi"/>
          <w:color w:val="231F20"/>
          <w:spacing w:val="14"/>
          <w:w w:val="105"/>
        </w:rPr>
        <w:t xml:space="preserve"> </w:t>
      </w:r>
      <w:r w:rsidRPr="00C84023">
        <w:rPr>
          <w:rFonts w:cstheme="minorHAnsi"/>
          <w:color w:val="231F20"/>
          <w:w w:val="105"/>
        </w:rPr>
        <w:t>available</w:t>
      </w:r>
      <w:r w:rsidRPr="00C84023">
        <w:rPr>
          <w:rFonts w:cstheme="minorHAnsi"/>
          <w:color w:val="231F20"/>
          <w:spacing w:val="14"/>
          <w:w w:val="105"/>
        </w:rPr>
        <w:t xml:space="preserve"> </w:t>
      </w:r>
      <w:r w:rsidRPr="00C84023">
        <w:rPr>
          <w:rFonts w:cstheme="minorHAnsi"/>
          <w:color w:val="231F20"/>
          <w:w w:val="105"/>
        </w:rPr>
        <w:t>online</w:t>
      </w:r>
      <w:r w:rsidRPr="00C84023">
        <w:rPr>
          <w:rFonts w:cstheme="minorHAnsi"/>
          <w:color w:val="231F20"/>
          <w:spacing w:val="14"/>
          <w:w w:val="105"/>
        </w:rPr>
        <w:t xml:space="preserve"> </w:t>
      </w:r>
      <w:r w:rsidRPr="00C84023">
        <w:rPr>
          <w:rFonts w:cstheme="minorHAnsi"/>
          <w:color w:val="231F20"/>
          <w:w w:val="105"/>
        </w:rPr>
        <w:t>and</w:t>
      </w:r>
      <w:r w:rsidRPr="00C84023">
        <w:rPr>
          <w:rFonts w:cstheme="minorHAnsi"/>
          <w:color w:val="231F20"/>
          <w:spacing w:val="14"/>
          <w:w w:val="105"/>
        </w:rPr>
        <w:t xml:space="preserve"> </w:t>
      </w:r>
      <w:r w:rsidRPr="00C84023">
        <w:rPr>
          <w:rFonts w:cstheme="minorHAnsi"/>
          <w:color w:val="231F20"/>
          <w:w w:val="105"/>
        </w:rPr>
        <w:t>in-person.</w:t>
      </w:r>
      <w:r w:rsidRPr="00C84023">
        <w:rPr>
          <w:rFonts w:cstheme="minorHAnsi"/>
          <w:color w:val="231F20"/>
          <w:spacing w:val="14"/>
          <w:w w:val="105"/>
        </w:rPr>
        <w:t xml:space="preserve"> </w:t>
      </w:r>
      <w:r w:rsidRPr="00C84023">
        <w:rPr>
          <w:rFonts w:cstheme="minorHAnsi"/>
          <w:color w:val="231F20"/>
          <w:w w:val="105"/>
        </w:rPr>
        <w:t>Support</w:t>
      </w:r>
      <w:r w:rsidRPr="00C84023">
        <w:rPr>
          <w:rFonts w:cstheme="minorHAnsi"/>
          <w:color w:val="231F20"/>
          <w:spacing w:val="14"/>
          <w:w w:val="105"/>
        </w:rPr>
        <w:t xml:space="preserve"> </w:t>
      </w:r>
      <w:r w:rsidRPr="00C84023">
        <w:rPr>
          <w:rFonts w:cstheme="minorHAnsi"/>
          <w:color w:val="231F20"/>
          <w:w w:val="105"/>
        </w:rPr>
        <w:t>is</w:t>
      </w:r>
      <w:r w:rsidRPr="00C84023">
        <w:rPr>
          <w:rFonts w:cstheme="minorHAnsi"/>
          <w:color w:val="231F20"/>
          <w:spacing w:val="14"/>
          <w:w w:val="105"/>
        </w:rPr>
        <w:t xml:space="preserve"> </w:t>
      </w:r>
      <w:r w:rsidRPr="00C84023">
        <w:rPr>
          <w:rFonts w:cstheme="minorHAnsi"/>
          <w:color w:val="231F20"/>
          <w:w w:val="105"/>
        </w:rPr>
        <w:t>provided</w:t>
      </w:r>
      <w:r w:rsidRPr="00C84023">
        <w:rPr>
          <w:rFonts w:cstheme="minorHAnsi"/>
          <w:color w:val="231F20"/>
          <w:spacing w:val="-50"/>
          <w:w w:val="105"/>
        </w:rPr>
        <w:t xml:space="preserve"> </w:t>
      </w:r>
      <w:r w:rsidRPr="00C84023">
        <w:rPr>
          <w:rFonts w:cstheme="minorHAnsi"/>
          <w:color w:val="231F20"/>
          <w:w w:val="105"/>
        </w:rPr>
        <w:t>to</w:t>
      </w:r>
      <w:r w:rsidRPr="00C84023">
        <w:rPr>
          <w:rFonts w:cstheme="minorHAnsi"/>
          <w:color w:val="231F20"/>
          <w:spacing w:val="8"/>
          <w:w w:val="105"/>
        </w:rPr>
        <w:t xml:space="preserve"> </w:t>
      </w:r>
      <w:r w:rsidRPr="00C84023">
        <w:rPr>
          <w:rFonts w:cstheme="minorHAnsi"/>
          <w:color w:val="231F20"/>
          <w:w w:val="105"/>
        </w:rPr>
        <w:t>the</w:t>
      </w:r>
      <w:r w:rsidRPr="00C84023">
        <w:rPr>
          <w:rFonts w:cstheme="minorHAnsi"/>
          <w:color w:val="231F20"/>
          <w:spacing w:val="8"/>
          <w:w w:val="105"/>
        </w:rPr>
        <w:t xml:space="preserve"> </w:t>
      </w:r>
      <w:r w:rsidRPr="00C84023">
        <w:rPr>
          <w:rFonts w:cstheme="minorHAnsi"/>
          <w:color w:val="231F20"/>
          <w:w w:val="105"/>
        </w:rPr>
        <w:t>leadership</w:t>
      </w:r>
      <w:r w:rsidRPr="00C84023">
        <w:rPr>
          <w:rFonts w:cstheme="minorHAnsi"/>
          <w:color w:val="231F20"/>
          <w:spacing w:val="8"/>
          <w:w w:val="105"/>
        </w:rPr>
        <w:t xml:space="preserve"> </w:t>
      </w:r>
      <w:r w:rsidRPr="00C84023">
        <w:rPr>
          <w:rFonts w:cstheme="minorHAnsi"/>
          <w:color w:val="231F20"/>
          <w:w w:val="105"/>
        </w:rPr>
        <w:t>of</w:t>
      </w:r>
      <w:r w:rsidRPr="00C84023">
        <w:rPr>
          <w:rFonts w:cstheme="minorHAnsi"/>
          <w:color w:val="231F20"/>
          <w:spacing w:val="8"/>
          <w:w w:val="105"/>
        </w:rPr>
        <w:t xml:space="preserve"> </w:t>
      </w:r>
      <w:r w:rsidRPr="00C84023">
        <w:rPr>
          <w:rFonts w:cstheme="minorHAnsi"/>
          <w:color w:val="231F20"/>
          <w:w w:val="105"/>
        </w:rPr>
        <w:t>literacy</w:t>
      </w:r>
      <w:r w:rsidRPr="00C84023">
        <w:rPr>
          <w:rFonts w:cstheme="minorHAnsi"/>
          <w:color w:val="231F20"/>
          <w:spacing w:val="8"/>
          <w:w w:val="105"/>
        </w:rPr>
        <w:t xml:space="preserve"> </w:t>
      </w:r>
      <w:r w:rsidRPr="00C84023">
        <w:rPr>
          <w:rFonts w:cstheme="minorHAnsi"/>
          <w:color w:val="231F20"/>
          <w:w w:val="105"/>
        </w:rPr>
        <w:t>centers</w:t>
      </w:r>
      <w:r w:rsidRPr="00C84023">
        <w:rPr>
          <w:rFonts w:cstheme="minorHAnsi"/>
          <w:color w:val="231F20"/>
          <w:spacing w:val="8"/>
          <w:w w:val="105"/>
        </w:rPr>
        <w:t xml:space="preserve"> </w:t>
      </w:r>
      <w:r w:rsidRPr="00C84023">
        <w:rPr>
          <w:rFonts w:cstheme="minorHAnsi"/>
          <w:color w:val="231F20"/>
          <w:w w:val="105"/>
        </w:rPr>
        <w:t>operating</w:t>
      </w:r>
      <w:r w:rsidRPr="00C84023">
        <w:rPr>
          <w:rFonts w:cstheme="minorHAnsi"/>
          <w:color w:val="231F20"/>
          <w:spacing w:val="8"/>
          <w:w w:val="105"/>
        </w:rPr>
        <w:t xml:space="preserve"> </w:t>
      </w:r>
      <w:r w:rsidRPr="00C84023">
        <w:rPr>
          <w:rFonts w:cstheme="minorHAnsi"/>
          <w:color w:val="231F20"/>
          <w:w w:val="105"/>
        </w:rPr>
        <w:t>throughout</w:t>
      </w:r>
      <w:r w:rsidRPr="00C84023">
        <w:rPr>
          <w:rFonts w:cstheme="minorHAnsi"/>
          <w:color w:val="231F20"/>
          <w:spacing w:val="8"/>
          <w:w w:val="105"/>
        </w:rPr>
        <w:t xml:space="preserve"> </w:t>
      </w:r>
      <w:r w:rsidRPr="00C84023">
        <w:rPr>
          <w:rFonts w:cstheme="minorHAnsi"/>
          <w:color w:val="231F20"/>
          <w:w w:val="105"/>
        </w:rPr>
        <w:t>the</w:t>
      </w:r>
      <w:r w:rsidRPr="00C84023">
        <w:rPr>
          <w:rFonts w:cstheme="minorHAnsi"/>
          <w:color w:val="231F20"/>
          <w:spacing w:val="8"/>
          <w:w w:val="105"/>
        </w:rPr>
        <w:t xml:space="preserve"> </w:t>
      </w:r>
      <w:r w:rsidRPr="00C84023">
        <w:rPr>
          <w:rFonts w:cstheme="minorHAnsi"/>
          <w:color w:val="231F20"/>
          <w:w w:val="105"/>
        </w:rPr>
        <w:t>state.</w:t>
      </w:r>
      <w:r w:rsidRPr="00C84023">
        <w:rPr>
          <w:rFonts w:cstheme="minorHAnsi"/>
          <w:color w:val="231F20"/>
          <w:spacing w:val="17"/>
          <w:w w:val="105"/>
        </w:rPr>
        <w:t xml:space="preserve"> </w:t>
      </w:r>
      <w:r w:rsidRPr="00C84023">
        <w:rPr>
          <w:rFonts w:cstheme="minorHAnsi"/>
          <w:color w:val="231F20"/>
          <w:w w:val="105"/>
        </w:rPr>
        <w:t>An</w:t>
      </w:r>
      <w:r w:rsidRPr="00C84023">
        <w:rPr>
          <w:rFonts w:cstheme="minorHAnsi"/>
          <w:color w:val="231F20"/>
          <w:spacing w:val="8"/>
          <w:w w:val="105"/>
        </w:rPr>
        <w:t xml:space="preserve"> </w:t>
      </w:r>
      <w:r w:rsidRPr="00C84023">
        <w:rPr>
          <w:rFonts w:cstheme="minorHAnsi"/>
          <w:color w:val="231F20"/>
          <w:w w:val="105"/>
        </w:rPr>
        <w:t>annual</w:t>
      </w:r>
      <w:r w:rsidRPr="00C84023">
        <w:rPr>
          <w:rFonts w:cstheme="minorHAnsi"/>
          <w:color w:val="231F20"/>
          <w:spacing w:val="8"/>
          <w:w w:val="105"/>
        </w:rPr>
        <w:t xml:space="preserve"> </w:t>
      </w:r>
      <w:r w:rsidRPr="00C84023">
        <w:rPr>
          <w:rFonts w:cstheme="minorHAnsi"/>
          <w:color w:val="231F20"/>
          <w:w w:val="105"/>
        </w:rPr>
        <w:t>conference</w:t>
      </w:r>
      <w:r w:rsidRPr="00C84023">
        <w:rPr>
          <w:rFonts w:cstheme="minorHAnsi"/>
          <w:color w:val="231F20"/>
          <w:spacing w:val="8"/>
          <w:w w:val="105"/>
        </w:rPr>
        <w:t xml:space="preserve"> </w:t>
      </w:r>
      <w:r w:rsidRPr="00C84023">
        <w:rPr>
          <w:rFonts w:cstheme="minorHAnsi"/>
          <w:color w:val="231F20"/>
          <w:w w:val="105"/>
        </w:rPr>
        <w:t>is</w:t>
      </w:r>
      <w:r w:rsidRPr="00C84023">
        <w:rPr>
          <w:rFonts w:cstheme="minorHAnsi"/>
          <w:color w:val="231F20"/>
          <w:spacing w:val="8"/>
          <w:w w:val="105"/>
        </w:rPr>
        <w:t xml:space="preserve"> </w:t>
      </w:r>
      <w:r w:rsidRPr="00C84023">
        <w:rPr>
          <w:rFonts w:cstheme="minorHAnsi"/>
          <w:color w:val="231F20"/>
          <w:w w:val="105"/>
        </w:rPr>
        <w:t>conducted. A resource center and toll-free number are available for requesting information and materials.</w:t>
      </w:r>
    </w:p>
    <w:p w14:paraId="1181FC72" w14:textId="77777777" w:rsidR="00691C52" w:rsidRDefault="00691C52" w:rsidP="00D63204">
      <w:pPr>
        <w:widowControl w:val="0"/>
        <w:spacing w:after="0" w:line="238" w:lineRule="exact"/>
        <w:ind w:left="90"/>
        <w:rPr>
          <w:rFonts w:cstheme="minorHAnsi"/>
          <w:b/>
          <w:bCs/>
          <w:i/>
          <w:color w:val="231F20"/>
          <w:w w:val="105"/>
        </w:rPr>
      </w:pPr>
    </w:p>
    <w:p w14:paraId="27D37A6C" w14:textId="4526EF9D" w:rsidR="00D6480A" w:rsidRPr="00C84023" w:rsidRDefault="00D6480A" w:rsidP="00D63204">
      <w:pPr>
        <w:widowControl w:val="0"/>
        <w:spacing w:after="0" w:line="238" w:lineRule="exact"/>
        <w:ind w:left="90"/>
        <w:rPr>
          <w:rFonts w:cstheme="minorHAnsi"/>
        </w:rPr>
      </w:pPr>
      <w:r w:rsidRPr="00C84023">
        <w:rPr>
          <w:rFonts w:cstheme="minorHAnsi"/>
          <w:b/>
          <w:bCs/>
          <w:i/>
          <w:color w:val="231F20"/>
          <w:w w:val="105"/>
        </w:rPr>
        <w:t xml:space="preserve">Developing models for integrated education and training and career pathways (4) </w:t>
      </w:r>
      <w:r w:rsidRPr="00C84023">
        <w:rPr>
          <w:rFonts w:cstheme="minorHAnsi"/>
          <w:color w:val="231F20"/>
          <w:w w:val="105"/>
        </w:rPr>
        <w:t>FICAPS includes a</w:t>
      </w:r>
      <w:r w:rsidRPr="00C84023">
        <w:rPr>
          <w:rFonts w:cstheme="minorHAnsi"/>
          <w:color w:val="231F20"/>
          <w:spacing w:val="-43"/>
          <w:w w:val="105"/>
        </w:rPr>
        <w:t xml:space="preserve"> </w:t>
      </w:r>
      <w:r w:rsidRPr="00C84023">
        <w:rPr>
          <w:rFonts w:cstheme="minorHAnsi"/>
          <w:color w:val="231F20"/>
          <w:w w:val="105"/>
        </w:rPr>
        <w:t>pilot</w:t>
      </w:r>
      <w:r w:rsidRPr="00C84023">
        <w:rPr>
          <w:rFonts w:cstheme="minorHAnsi"/>
          <w:color w:val="231F20"/>
          <w:spacing w:val="10"/>
          <w:w w:val="105"/>
        </w:rPr>
        <w:t xml:space="preserve"> </w:t>
      </w:r>
      <w:r w:rsidRPr="00C84023">
        <w:rPr>
          <w:rFonts w:cstheme="minorHAnsi"/>
          <w:color w:val="231F20"/>
          <w:w w:val="105"/>
        </w:rPr>
        <w:t>project</w:t>
      </w:r>
      <w:r w:rsidRPr="00C84023">
        <w:rPr>
          <w:rFonts w:cstheme="minorHAnsi"/>
          <w:color w:val="231F20"/>
          <w:spacing w:val="10"/>
          <w:w w:val="105"/>
        </w:rPr>
        <w:t xml:space="preserve"> </w:t>
      </w:r>
      <w:r w:rsidRPr="00C84023">
        <w:rPr>
          <w:rFonts w:cstheme="minorHAnsi"/>
          <w:color w:val="231F20"/>
          <w:w w:val="105"/>
        </w:rPr>
        <w:t>for students</w:t>
      </w:r>
      <w:r w:rsidRPr="00C84023">
        <w:rPr>
          <w:rFonts w:cstheme="minorHAnsi"/>
          <w:color w:val="231F20"/>
          <w:spacing w:val="10"/>
          <w:w w:val="105"/>
        </w:rPr>
        <w:t xml:space="preserve"> simultaneously </w:t>
      </w:r>
      <w:r w:rsidRPr="00C84023">
        <w:rPr>
          <w:rFonts w:cstheme="minorHAnsi"/>
          <w:color w:val="231F20"/>
          <w:w w:val="105"/>
        </w:rPr>
        <w:t>enrolling</w:t>
      </w:r>
      <w:r w:rsidRPr="00C84023">
        <w:rPr>
          <w:rFonts w:cstheme="minorHAnsi"/>
          <w:color w:val="231F20"/>
          <w:spacing w:val="10"/>
          <w:w w:val="105"/>
        </w:rPr>
        <w:t xml:space="preserve"> </w:t>
      </w:r>
      <w:r w:rsidRPr="00C84023">
        <w:rPr>
          <w:rFonts w:cstheme="minorHAnsi"/>
          <w:color w:val="231F20"/>
          <w:w w:val="105"/>
        </w:rPr>
        <w:t>in</w:t>
      </w:r>
      <w:r w:rsidRPr="00C84023">
        <w:rPr>
          <w:rFonts w:cstheme="minorHAnsi"/>
          <w:color w:val="231F20"/>
          <w:spacing w:val="10"/>
          <w:w w:val="105"/>
        </w:rPr>
        <w:t xml:space="preserve"> </w:t>
      </w:r>
      <w:r w:rsidRPr="00C84023">
        <w:rPr>
          <w:rFonts w:cstheme="minorHAnsi"/>
          <w:color w:val="231F20"/>
          <w:w w:val="105"/>
        </w:rPr>
        <w:t>GED®-i</w:t>
      </w:r>
      <w:r w:rsidRPr="00C84023">
        <w:rPr>
          <w:rFonts w:cstheme="minorHAnsi"/>
          <w:color w:val="231F20"/>
          <w:spacing w:val="10"/>
          <w:w w:val="105"/>
        </w:rPr>
        <w:t xml:space="preserve"> </w:t>
      </w:r>
      <w:r w:rsidRPr="00C84023">
        <w:rPr>
          <w:rFonts w:cstheme="minorHAnsi"/>
          <w:color w:val="231F20"/>
          <w:w w:val="105"/>
        </w:rPr>
        <w:t>preparation</w:t>
      </w:r>
      <w:r w:rsidRPr="00C84023">
        <w:rPr>
          <w:rFonts w:cstheme="minorHAnsi"/>
          <w:color w:val="231F20"/>
          <w:spacing w:val="10"/>
          <w:w w:val="105"/>
        </w:rPr>
        <w:t xml:space="preserve"> </w:t>
      </w:r>
      <w:r w:rsidRPr="00C84023">
        <w:rPr>
          <w:rFonts w:cstheme="minorHAnsi"/>
          <w:color w:val="231F20"/>
          <w:w w:val="105"/>
        </w:rPr>
        <w:t>courses</w:t>
      </w:r>
      <w:r w:rsidRPr="00C84023">
        <w:rPr>
          <w:rFonts w:cstheme="minorHAnsi"/>
          <w:color w:val="231F20"/>
          <w:spacing w:val="10"/>
          <w:w w:val="105"/>
        </w:rPr>
        <w:t xml:space="preserve"> </w:t>
      </w:r>
      <w:r w:rsidRPr="00C84023">
        <w:rPr>
          <w:rFonts w:cstheme="minorHAnsi"/>
          <w:color w:val="231F20"/>
          <w:w w:val="105"/>
        </w:rPr>
        <w:t>and</w:t>
      </w:r>
      <w:r w:rsidRPr="00C84023">
        <w:rPr>
          <w:rFonts w:cstheme="minorHAnsi"/>
          <w:color w:val="231F20"/>
          <w:spacing w:val="10"/>
          <w:w w:val="105"/>
        </w:rPr>
        <w:t xml:space="preserve"> </w:t>
      </w:r>
      <w:r w:rsidRPr="00C84023">
        <w:rPr>
          <w:rFonts w:cstheme="minorHAnsi"/>
          <w:color w:val="231F20"/>
          <w:w w:val="105"/>
        </w:rPr>
        <w:t>a</w:t>
      </w:r>
      <w:r w:rsidRPr="00C84023">
        <w:rPr>
          <w:rFonts w:cstheme="minorHAnsi"/>
          <w:color w:val="231F20"/>
          <w:spacing w:val="10"/>
          <w:w w:val="105"/>
        </w:rPr>
        <w:t xml:space="preserve"> </w:t>
      </w:r>
      <w:r w:rsidRPr="00C84023">
        <w:rPr>
          <w:rFonts w:cstheme="minorHAnsi"/>
          <w:color w:val="231F20"/>
          <w:w w:val="105"/>
        </w:rPr>
        <w:t>career</w:t>
      </w:r>
      <w:r w:rsidRPr="00C84023">
        <w:rPr>
          <w:rFonts w:cstheme="minorHAnsi"/>
          <w:color w:val="231F20"/>
          <w:spacing w:val="10"/>
          <w:w w:val="105"/>
        </w:rPr>
        <w:t xml:space="preserve"> </w:t>
      </w:r>
      <w:r w:rsidRPr="00C84023">
        <w:rPr>
          <w:rFonts w:cstheme="minorHAnsi"/>
          <w:color w:val="231F20"/>
          <w:w w:val="105"/>
        </w:rPr>
        <w:t>and</w:t>
      </w:r>
      <w:r w:rsidRPr="00C84023">
        <w:rPr>
          <w:rFonts w:cstheme="minorHAnsi"/>
          <w:color w:val="231F20"/>
          <w:spacing w:val="10"/>
          <w:w w:val="105"/>
        </w:rPr>
        <w:t xml:space="preserve"> </w:t>
      </w:r>
      <w:r w:rsidRPr="00C84023">
        <w:rPr>
          <w:rFonts w:cstheme="minorHAnsi"/>
          <w:color w:val="231F20"/>
          <w:w w:val="105"/>
        </w:rPr>
        <w:t>technical</w:t>
      </w:r>
      <w:r w:rsidRPr="00C84023">
        <w:rPr>
          <w:rFonts w:cstheme="minorHAnsi"/>
          <w:color w:val="231F20"/>
          <w:spacing w:val="10"/>
          <w:w w:val="105"/>
        </w:rPr>
        <w:t xml:space="preserve"> </w:t>
      </w:r>
      <w:r w:rsidRPr="00C84023">
        <w:rPr>
          <w:rFonts w:cstheme="minorHAnsi"/>
          <w:color w:val="231F20"/>
          <w:w w:val="105"/>
        </w:rPr>
        <w:t>program.</w:t>
      </w:r>
      <w:r w:rsidRPr="00C84023">
        <w:rPr>
          <w:rFonts w:cstheme="minorHAnsi"/>
          <w:color w:val="231F20"/>
          <w:spacing w:val="18"/>
          <w:w w:val="105"/>
        </w:rPr>
        <w:t xml:space="preserve"> Through a competitive process, e</w:t>
      </w:r>
      <w:r w:rsidRPr="00C84023">
        <w:rPr>
          <w:rFonts w:cstheme="minorHAnsi"/>
          <w:color w:val="231F20"/>
          <w:w w:val="105"/>
        </w:rPr>
        <w:t>ight</w:t>
      </w:r>
      <w:r w:rsidRPr="00C84023">
        <w:rPr>
          <w:rFonts w:cstheme="minorHAnsi"/>
          <w:color w:val="231F20"/>
          <w:spacing w:val="18"/>
          <w:w w:val="105"/>
        </w:rPr>
        <w:t xml:space="preserve"> </w:t>
      </w:r>
      <w:r w:rsidRPr="00C84023">
        <w:rPr>
          <w:rFonts w:cstheme="minorHAnsi"/>
          <w:color w:val="231F20"/>
          <w:w w:val="105"/>
        </w:rPr>
        <w:t>adult</w:t>
      </w:r>
      <w:r w:rsidRPr="00C84023">
        <w:rPr>
          <w:rFonts w:cstheme="minorHAnsi"/>
          <w:color w:val="231F20"/>
          <w:spacing w:val="18"/>
          <w:w w:val="105"/>
        </w:rPr>
        <w:t xml:space="preserve"> </w:t>
      </w:r>
      <w:r w:rsidRPr="00C84023">
        <w:rPr>
          <w:rFonts w:cstheme="minorHAnsi"/>
          <w:color w:val="231F20"/>
          <w:w w:val="105"/>
        </w:rPr>
        <w:t>education</w:t>
      </w:r>
      <w:r w:rsidRPr="00C84023">
        <w:rPr>
          <w:rFonts w:cstheme="minorHAnsi"/>
          <w:color w:val="231F20"/>
          <w:spacing w:val="18"/>
          <w:w w:val="105"/>
        </w:rPr>
        <w:t xml:space="preserve"> </w:t>
      </w:r>
      <w:r w:rsidRPr="00C84023">
        <w:rPr>
          <w:rFonts w:cstheme="minorHAnsi"/>
          <w:color w:val="231F20"/>
          <w:w w:val="105"/>
        </w:rPr>
        <w:t>programs were</w:t>
      </w:r>
      <w:r w:rsidRPr="00C84023">
        <w:rPr>
          <w:rFonts w:cstheme="minorHAnsi"/>
          <w:color w:val="231F20"/>
          <w:spacing w:val="18"/>
          <w:w w:val="105"/>
        </w:rPr>
        <w:t xml:space="preserve"> </w:t>
      </w:r>
      <w:r w:rsidRPr="00C84023">
        <w:rPr>
          <w:rFonts w:cstheme="minorHAnsi"/>
          <w:color w:val="231F20"/>
          <w:w w:val="105"/>
        </w:rPr>
        <w:t>awarded</w:t>
      </w:r>
      <w:r w:rsidRPr="00C84023">
        <w:rPr>
          <w:rFonts w:cstheme="minorHAnsi"/>
          <w:color w:val="231F20"/>
          <w:spacing w:val="18"/>
          <w:w w:val="105"/>
        </w:rPr>
        <w:t xml:space="preserve"> </w:t>
      </w:r>
      <w:r w:rsidRPr="00C84023">
        <w:rPr>
          <w:rFonts w:cstheme="minorHAnsi"/>
          <w:color w:val="231F20"/>
          <w:w w:val="105"/>
        </w:rPr>
        <w:t>$25,000</w:t>
      </w:r>
      <w:r w:rsidRPr="00C84023">
        <w:rPr>
          <w:rFonts w:cstheme="minorHAnsi"/>
          <w:color w:val="231F20"/>
          <w:spacing w:val="-27"/>
          <w:w w:val="105"/>
        </w:rPr>
        <w:t xml:space="preserve"> </w:t>
      </w:r>
      <w:r w:rsidRPr="00C84023">
        <w:rPr>
          <w:rFonts w:cstheme="minorHAnsi"/>
          <w:color w:val="231F20"/>
          <w:w w:val="105"/>
        </w:rPr>
        <w:t>each to plan, design, or implement the program with full implementation beginning in 2016; five additional programs were awarded the following year for IELCE purposes</w:t>
      </w:r>
      <w:r w:rsidR="005E7C49">
        <w:rPr>
          <w:rFonts w:cstheme="minorHAnsi"/>
          <w:color w:val="231F20"/>
          <w:w w:val="105"/>
        </w:rPr>
        <w:t xml:space="preserve">. </w:t>
      </w:r>
      <w:r w:rsidRPr="00C84023">
        <w:rPr>
          <w:rFonts w:cstheme="minorHAnsi"/>
          <w:color w:val="231F20"/>
          <w:w w:val="105"/>
        </w:rPr>
        <w:t>This model</w:t>
      </w:r>
      <w:r w:rsidRPr="00C84023">
        <w:rPr>
          <w:rFonts w:cstheme="minorHAnsi"/>
          <w:color w:val="231F20"/>
          <w:spacing w:val="23"/>
          <w:w w:val="105"/>
        </w:rPr>
        <w:t xml:space="preserve"> </w:t>
      </w:r>
      <w:r w:rsidRPr="00C84023">
        <w:rPr>
          <w:rFonts w:cstheme="minorHAnsi"/>
          <w:color w:val="231F20"/>
          <w:w w:val="105"/>
        </w:rPr>
        <w:t>is</w:t>
      </w:r>
      <w:r w:rsidRPr="00C84023">
        <w:rPr>
          <w:rFonts w:cstheme="minorHAnsi"/>
          <w:color w:val="231F20"/>
          <w:w w:val="111"/>
        </w:rPr>
        <w:t xml:space="preserve"> </w:t>
      </w:r>
      <w:r w:rsidRPr="00C84023">
        <w:rPr>
          <w:rFonts w:cstheme="minorHAnsi"/>
          <w:color w:val="231F20"/>
          <w:w w:val="105"/>
        </w:rPr>
        <w:t>based</w:t>
      </w:r>
      <w:r w:rsidRPr="00C84023">
        <w:rPr>
          <w:rFonts w:cstheme="minorHAnsi"/>
          <w:color w:val="231F20"/>
          <w:spacing w:val="25"/>
          <w:w w:val="105"/>
        </w:rPr>
        <w:t xml:space="preserve"> </w:t>
      </w:r>
      <w:r w:rsidRPr="00C84023">
        <w:rPr>
          <w:rFonts w:cstheme="minorHAnsi"/>
          <w:color w:val="231F20"/>
          <w:w w:val="105"/>
        </w:rPr>
        <w:t>on</w:t>
      </w:r>
      <w:r w:rsidRPr="00C84023">
        <w:rPr>
          <w:rFonts w:cstheme="minorHAnsi"/>
          <w:color w:val="231F20"/>
          <w:spacing w:val="25"/>
          <w:w w:val="105"/>
        </w:rPr>
        <w:t xml:space="preserve"> </w:t>
      </w:r>
      <w:r w:rsidRPr="00C84023">
        <w:rPr>
          <w:rFonts w:cstheme="minorHAnsi"/>
          <w:color w:val="231F20"/>
          <w:w w:val="105"/>
        </w:rPr>
        <w:t>Washington</w:t>
      </w:r>
      <w:r w:rsidRPr="00C84023">
        <w:rPr>
          <w:rFonts w:cstheme="minorHAnsi"/>
          <w:color w:val="231F20"/>
          <w:spacing w:val="25"/>
          <w:w w:val="105"/>
        </w:rPr>
        <w:t xml:space="preserve"> </w:t>
      </w:r>
      <w:r w:rsidR="000403C4">
        <w:rPr>
          <w:rFonts w:cstheme="minorHAnsi"/>
          <w:color w:val="231F20"/>
          <w:w w:val="105"/>
        </w:rPr>
        <w:t>s</w:t>
      </w:r>
      <w:r w:rsidRPr="00C84023">
        <w:rPr>
          <w:rFonts w:cstheme="minorHAnsi"/>
          <w:color w:val="231F20"/>
          <w:w w:val="105"/>
        </w:rPr>
        <w:t>tate’s</w:t>
      </w:r>
      <w:r w:rsidRPr="00C84023">
        <w:rPr>
          <w:rFonts w:cstheme="minorHAnsi"/>
          <w:color w:val="231F20"/>
          <w:spacing w:val="25"/>
          <w:w w:val="105"/>
        </w:rPr>
        <w:t xml:space="preserve"> </w:t>
      </w:r>
      <w:r w:rsidRPr="00C84023">
        <w:rPr>
          <w:rFonts w:cstheme="minorHAnsi"/>
          <w:color w:val="231F20"/>
          <w:w w:val="105"/>
        </w:rPr>
        <w:t>Integrated-Basic</w:t>
      </w:r>
      <w:r w:rsidRPr="00C84023">
        <w:rPr>
          <w:rFonts w:cstheme="minorHAnsi"/>
          <w:color w:val="231F20"/>
          <w:spacing w:val="25"/>
          <w:w w:val="105"/>
        </w:rPr>
        <w:t xml:space="preserve"> </w:t>
      </w:r>
      <w:r w:rsidRPr="00C84023">
        <w:rPr>
          <w:rFonts w:cstheme="minorHAnsi"/>
          <w:color w:val="231F20"/>
          <w:w w:val="105"/>
        </w:rPr>
        <w:t>Education</w:t>
      </w:r>
      <w:r w:rsidRPr="00C84023">
        <w:rPr>
          <w:rFonts w:cstheme="minorHAnsi"/>
          <w:color w:val="231F20"/>
          <w:spacing w:val="25"/>
          <w:w w:val="105"/>
        </w:rPr>
        <w:t xml:space="preserve"> </w:t>
      </w:r>
      <w:r w:rsidRPr="00C84023">
        <w:rPr>
          <w:rFonts w:cstheme="minorHAnsi"/>
          <w:color w:val="231F20"/>
          <w:w w:val="105"/>
        </w:rPr>
        <w:t>and</w:t>
      </w:r>
      <w:r w:rsidRPr="00C84023">
        <w:rPr>
          <w:rFonts w:cstheme="minorHAnsi"/>
          <w:color w:val="231F20"/>
          <w:spacing w:val="25"/>
          <w:w w:val="105"/>
        </w:rPr>
        <w:t xml:space="preserve"> </w:t>
      </w:r>
      <w:r w:rsidRPr="00C84023">
        <w:rPr>
          <w:rFonts w:cstheme="minorHAnsi"/>
          <w:color w:val="231F20"/>
          <w:w w:val="105"/>
        </w:rPr>
        <w:t>Skills</w:t>
      </w:r>
      <w:r w:rsidRPr="00C84023">
        <w:rPr>
          <w:rFonts w:cstheme="minorHAnsi"/>
          <w:color w:val="231F20"/>
          <w:spacing w:val="25"/>
          <w:w w:val="105"/>
        </w:rPr>
        <w:t xml:space="preserve"> </w:t>
      </w:r>
      <w:r w:rsidRPr="00C84023">
        <w:rPr>
          <w:rFonts w:cstheme="minorHAnsi"/>
          <w:color w:val="231F20"/>
          <w:spacing w:val="-3"/>
          <w:w w:val="105"/>
        </w:rPr>
        <w:t>Training</w:t>
      </w:r>
      <w:r w:rsidRPr="00C84023">
        <w:rPr>
          <w:rFonts w:cstheme="minorHAnsi"/>
          <w:color w:val="231F20"/>
          <w:spacing w:val="25"/>
          <w:w w:val="105"/>
        </w:rPr>
        <w:t xml:space="preserve"> </w:t>
      </w:r>
      <w:r w:rsidRPr="00C84023">
        <w:rPr>
          <w:rFonts w:cstheme="minorHAnsi"/>
          <w:color w:val="231F20"/>
          <w:w w:val="105"/>
        </w:rPr>
        <w:t>(I-BEST).</w:t>
      </w:r>
    </w:p>
    <w:p w14:paraId="4C80AB60" w14:textId="77777777" w:rsidR="00691C52" w:rsidRDefault="00691C52" w:rsidP="00D63204">
      <w:pPr>
        <w:widowControl w:val="0"/>
        <w:spacing w:after="0" w:line="264" w:lineRule="exact"/>
        <w:ind w:left="90"/>
        <w:rPr>
          <w:rFonts w:cstheme="minorHAnsi"/>
          <w:w w:val="105"/>
        </w:rPr>
      </w:pPr>
    </w:p>
    <w:p w14:paraId="770C395A" w14:textId="79934F90" w:rsidR="00D6480A" w:rsidRPr="00C84023" w:rsidRDefault="00D6480A" w:rsidP="00D63204">
      <w:pPr>
        <w:widowControl w:val="0"/>
        <w:spacing w:after="0" w:line="264" w:lineRule="exact"/>
        <w:ind w:left="90"/>
        <w:rPr>
          <w:rFonts w:cstheme="minorHAnsi"/>
          <w:w w:val="105"/>
        </w:rPr>
      </w:pPr>
      <w:r w:rsidRPr="00C84023">
        <w:rPr>
          <w:rFonts w:cstheme="minorHAnsi"/>
          <w:w w:val="105"/>
        </w:rPr>
        <w:t>Professional</w:t>
      </w:r>
      <w:r w:rsidRPr="00C84023">
        <w:rPr>
          <w:rFonts w:cstheme="minorHAnsi"/>
          <w:spacing w:val="7"/>
          <w:w w:val="105"/>
        </w:rPr>
        <w:t xml:space="preserve"> </w:t>
      </w:r>
      <w:r w:rsidRPr="00C84023">
        <w:rPr>
          <w:rFonts w:cstheme="minorHAnsi"/>
          <w:w w:val="105"/>
        </w:rPr>
        <w:t>development</w:t>
      </w:r>
      <w:r w:rsidRPr="00C84023">
        <w:rPr>
          <w:rFonts w:cstheme="minorHAnsi"/>
          <w:spacing w:val="7"/>
          <w:w w:val="105"/>
        </w:rPr>
        <w:t xml:space="preserve"> </w:t>
      </w:r>
      <w:r w:rsidRPr="00C84023">
        <w:rPr>
          <w:rFonts w:cstheme="minorHAnsi"/>
          <w:w w:val="105"/>
        </w:rPr>
        <w:t>activities</w:t>
      </w:r>
      <w:r w:rsidRPr="00C84023">
        <w:rPr>
          <w:rFonts w:cstheme="minorHAnsi"/>
          <w:spacing w:val="7"/>
          <w:w w:val="105"/>
        </w:rPr>
        <w:t xml:space="preserve"> </w:t>
      </w:r>
      <w:r w:rsidRPr="00C84023">
        <w:rPr>
          <w:rFonts w:cstheme="minorHAnsi"/>
          <w:w w:val="105"/>
        </w:rPr>
        <w:t>support</w:t>
      </w:r>
      <w:r w:rsidRPr="00C84023">
        <w:rPr>
          <w:rFonts w:cstheme="minorHAnsi"/>
          <w:spacing w:val="7"/>
          <w:w w:val="105"/>
        </w:rPr>
        <w:t xml:space="preserve"> </w:t>
      </w:r>
      <w:r w:rsidRPr="00C84023">
        <w:rPr>
          <w:rFonts w:cstheme="minorHAnsi"/>
          <w:w w:val="105"/>
        </w:rPr>
        <w:t>permissible</w:t>
      </w:r>
      <w:r w:rsidRPr="00C84023">
        <w:rPr>
          <w:rFonts w:cstheme="minorHAnsi"/>
          <w:spacing w:val="7"/>
          <w:w w:val="105"/>
        </w:rPr>
        <w:t xml:space="preserve"> </w:t>
      </w:r>
      <w:r w:rsidRPr="00C84023">
        <w:rPr>
          <w:rFonts w:cstheme="minorHAnsi"/>
          <w:w w:val="105"/>
        </w:rPr>
        <w:t>activities</w:t>
      </w:r>
      <w:r w:rsidRPr="00C84023">
        <w:rPr>
          <w:rFonts w:cstheme="minorHAnsi"/>
          <w:spacing w:val="7"/>
          <w:w w:val="105"/>
        </w:rPr>
        <w:t xml:space="preserve"> </w:t>
      </w:r>
      <w:r w:rsidRPr="00C84023">
        <w:rPr>
          <w:rFonts w:cstheme="minorHAnsi"/>
          <w:w w:val="105"/>
        </w:rPr>
        <w:t>numbered</w:t>
      </w:r>
      <w:r w:rsidRPr="00C84023">
        <w:rPr>
          <w:rFonts w:cstheme="minorHAnsi"/>
          <w:spacing w:val="7"/>
          <w:w w:val="105"/>
        </w:rPr>
        <w:t xml:space="preserve"> </w:t>
      </w:r>
      <w:r w:rsidRPr="00C84023">
        <w:rPr>
          <w:rFonts w:cstheme="minorHAnsi"/>
          <w:w w:val="105"/>
        </w:rPr>
        <w:t>(2),</w:t>
      </w:r>
      <w:r w:rsidRPr="00C84023">
        <w:rPr>
          <w:rFonts w:cstheme="minorHAnsi"/>
          <w:spacing w:val="7"/>
          <w:w w:val="105"/>
        </w:rPr>
        <w:t xml:space="preserve"> </w:t>
      </w:r>
      <w:r w:rsidRPr="00C84023">
        <w:rPr>
          <w:rFonts w:cstheme="minorHAnsi"/>
          <w:w w:val="105"/>
        </w:rPr>
        <w:t>(5),</w:t>
      </w:r>
      <w:r w:rsidRPr="00C84023">
        <w:rPr>
          <w:rFonts w:cstheme="minorHAnsi"/>
          <w:spacing w:val="7"/>
          <w:w w:val="105"/>
        </w:rPr>
        <w:t xml:space="preserve"> (6) </w:t>
      </w:r>
      <w:r w:rsidRPr="00C84023">
        <w:rPr>
          <w:rFonts w:cstheme="minorHAnsi"/>
          <w:w w:val="105"/>
        </w:rPr>
        <w:t xml:space="preserve">and </w:t>
      </w:r>
      <w:r w:rsidRPr="00C84023">
        <w:rPr>
          <w:rFonts w:cstheme="minorHAnsi"/>
          <w:spacing w:val="-38"/>
          <w:w w:val="105"/>
        </w:rPr>
        <w:t>(</w:t>
      </w:r>
      <w:r w:rsidRPr="00C84023">
        <w:rPr>
          <w:rFonts w:cstheme="minorHAnsi"/>
          <w:w w:val="105"/>
        </w:rPr>
        <w:t>7).</w:t>
      </w:r>
      <w:r w:rsidRPr="00C84023">
        <w:rPr>
          <w:rFonts w:cstheme="minorHAnsi"/>
          <w:spacing w:val="15"/>
          <w:w w:val="105"/>
        </w:rPr>
        <w:t xml:space="preserve"> </w:t>
      </w:r>
      <w:r w:rsidRPr="00C84023">
        <w:rPr>
          <w:rFonts w:cstheme="minorHAnsi"/>
          <w:w w:val="105"/>
        </w:rPr>
        <w:t>Curriculum</w:t>
      </w:r>
      <w:r w:rsidRPr="00C84023">
        <w:rPr>
          <w:rFonts w:cstheme="minorHAnsi"/>
          <w:spacing w:val="7"/>
          <w:w w:val="105"/>
        </w:rPr>
        <w:t xml:space="preserve"> </w:t>
      </w:r>
      <w:r w:rsidRPr="00C84023">
        <w:rPr>
          <w:rFonts w:cstheme="minorHAnsi"/>
          <w:w w:val="105"/>
        </w:rPr>
        <w:t>frameworks</w:t>
      </w:r>
      <w:r w:rsidRPr="00C84023">
        <w:rPr>
          <w:rFonts w:cstheme="minorHAnsi"/>
          <w:spacing w:val="7"/>
          <w:w w:val="105"/>
        </w:rPr>
        <w:t xml:space="preserve"> </w:t>
      </w:r>
      <w:r w:rsidRPr="00C84023">
        <w:rPr>
          <w:rFonts w:cstheme="minorHAnsi"/>
          <w:w w:val="105"/>
        </w:rPr>
        <w:t>(9)</w:t>
      </w:r>
      <w:r w:rsidRPr="00C84023">
        <w:rPr>
          <w:rFonts w:cstheme="minorHAnsi"/>
          <w:spacing w:val="7"/>
          <w:w w:val="105"/>
        </w:rPr>
        <w:t xml:space="preserve"> </w:t>
      </w:r>
      <w:r w:rsidRPr="00C84023">
        <w:rPr>
          <w:rFonts w:cstheme="minorHAnsi"/>
          <w:w w:val="105"/>
        </w:rPr>
        <w:t>are</w:t>
      </w:r>
      <w:r w:rsidRPr="00C84023">
        <w:rPr>
          <w:rFonts w:cstheme="minorHAnsi"/>
          <w:spacing w:val="7"/>
          <w:w w:val="105"/>
        </w:rPr>
        <w:t xml:space="preserve"> </w:t>
      </w:r>
      <w:r w:rsidRPr="00C84023">
        <w:rPr>
          <w:rFonts w:cstheme="minorHAnsi"/>
          <w:w w:val="105"/>
        </w:rPr>
        <w:t>updated</w:t>
      </w:r>
      <w:r w:rsidRPr="00C84023">
        <w:rPr>
          <w:rFonts w:cstheme="minorHAnsi"/>
          <w:spacing w:val="7"/>
          <w:w w:val="105"/>
        </w:rPr>
        <w:t xml:space="preserve"> </w:t>
      </w:r>
      <w:r w:rsidRPr="00C84023">
        <w:rPr>
          <w:rFonts w:cstheme="minorHAnsi"/>
          <w:w w:val="105"/>
        </w:rPr>
        <w:t>and</w:t>
      </w:r>
      <w:r w:rsidRPr="00C84023">
        <w:rPr>
          <w:rFonts w:cstheme="minorHAnsi"/>
          <w:spacing w:val="7"/>
          <w:w w:val="105"/>
        </w:rPr>
        <w:t xml:space="preserve"> </w:t>
      </w:r>
      <w:r w:rsidRPr="00C84023">
        <w:rPr>
          <w:rFonts w:cstheme="minorHAnsi"/>
          <w:w w:val="105"/>
        </w:rPr>
        <w:t>approved</w:t>
      </w:r>
      <w:r w:rsidRPr="00C84023">
        <w:rPr>
          <w:rFonts w:cstheme="minorHAnsi"/>
          <w:spacing w:val="7"/>
          <w:w w:val="105"/>
        </w:rPr>
        <w:t xml:space="preserve"> annually </w:t>
      </w:r>
      <w:r w:rsidRPr="00C84023">
        <w:rPr>
          <w:rFonts w:cstheme="minorHAnsi"/>
          <w:w w:val="105"/>
        </w:rPr>
        <w:t>by</w:t>
      </w:r>
      <w:r w:rsidRPr="00C84023">
        <w:rPr>
          <w:rFonts w:cstheme="minorHAnsi"/>
          <w:spacing w:val="7"/>
          <w:w w:val="105"/>
        </w:rPr>
        <w:t xml:space="preserve"> </w:t>
      </w:r>
      <w:r w:rsidRPr="00C84023">
        <w:rPr>
          <w:rFonts w:cstheme="minorHAnsi"/>
          <w:w w:val="105"/>
        </w:rPr>
        <w:t>the</w:t>
      </w:r>
      <w:r w:rsidRPr="00C84023">
        <w:rPr>
          <w:rFonts w:cstheme="minorHAnsi"/>
          <w:spacing w:val="7"/>
          <w:w w:val="105"/>
        </w:rPr>
        <w:t xml:space="preserve"> </w:t>
      </w:r>
      <w:r w:rsidRPr="0078390A">
        <w:rPr>
          <w:rFonts w:cstheme="minorHAnsi"/>
          <w:w w:val="105"/>
        </w:rPr>
        <w:t>State</w:t>
      </w:r>
      <w:r w:rsidRPr="0078390A">
        <w:rPr>
          <w:rFonts w:cstheme="minorHAnsi"/>
          <w:spacing w:val="7"/>
          <w:w w:val="105"/>
        </w:rPr>
        <w:t xml:space="preserve"> </w:t>
      </w:r>
      <w:r w:rsidRPr="0078390A">
        <w:rPr>
          <w:rFonts w:cstheme="minorHAnsi"/>
          <w:w w:val="105"/>
        </w:rPr>
        <w:t>Board</w:t>
      </w:r>
      <w:r w:rsidRPr="0078390A">
        <w:rPr>
          <w:rFonts w:cstheme="minorHAnsi"/>
          <w:spacing w:val="7"/>
          <w:w w:val="105"/>
        </w:rPr>
        <w:t xml:space="preserve"> </w:t>
      </w:r>
      <w:r w:rsidRPr="0078390A">
        <w:rPr>
          <w:rFonts w:cstheme="minorHAnsi"/>
          <w:w w:val="105"/>
        </w:rPr>
        <w:t>of</w:t>
      </w:r>
      <w:r w:rsidRPr="0078390A">
        <w:rPr>
          <w:rFonts w:cstheme="minorHAnsi"/>
          <w:spacing w:val="7"/>
          <w:w w:val="105"/>
        </w:rPr>
        <w:t xml:space="preserve"> </w:t>
      </w:r>
      <w:r w:rsidRPr="0078390A">
        <w:rPr>
          <w:rFonts w:cstheme="minorHAnsi"/>
          <w:w w:val="105"/>
        </w:rPr>
        <w:t>Education</w:t>
      </w:r>
      <w:r w:rsidRPr="00C84023">
        <w:rPr>
          <w:rFonts w:cstheme="minorHAnsi"/>
          <w:w w:val="105"/>
        </w:rPr>
        <w:t>.</w:t>
      </w:r>
      <w:r w:rsidRPr="00C84023">
        <w:rPr>
          <w:rFonts w:cstheme="minorHAnsi"/>
          <w:spacing w:val="-39"/>
          <w:w w:val="105"/>
        </w:rPr>
        <w:t xml:space="preserve"> </w:t>
      </w:r>
      <w:r w:rsidR="000403C4">
        <w:rPr>
          <w:rFonts w:cstheme="minorHAnsi"/>
          <w:spacing w:val="-39"/>
          <w:w w:val="105"/>
        </w:rPr>
        <w:t xml:space="preserve"> </w:t>
      </w:r>
      <w:r w:rsidRPr="00C84023">
        <w:rPr>
          <w:rFonts w:cstheme="minorHAnsi"/>
          <w:w w:val="105"/>
        </w:rPr>
        <w:t>Frameworks</w:t>
      </w:r>
      <w:r w:rsidRPr="00C84023">
        <w:rPr>
          <w:rFonts w:cstheme="minorHAnsi"/>
          <w:spacing w:val="18"/>
          <w:w w:val="105"/>
        </w:rPr>
        <w:t xml:space="preserve"> </w:t>
      </w:r>
      <w:r w:rsidRPr="00C84023">
        <w:rPr>
          <w:rFonts w:cstheme="minorHAnsi"/>
          <w:w w:val="105"/>
        </w:rPr>
        <w:t>include</w:t>
      </w:r>
      <w:r w:rsidRPr="00C84023">
        <w:rPr>
          <w:rFonts w:cstheme="minorHAnsi"/>
          <w:spacing w:val="18"/>
          <w:w w:val="105"/>
        </w:rPr>
        <w:t xml:space="preserve"> </w:t>
      </w:r>
      <w:r w:rsidRPr="00C84023">
        <w:rPr>
          <w:rFonts w:cstheme="minorHAnsi"/>
          <w:w w:val="105"/>
        </w:rPr>
        <w:t>standards</w:t>
      </w:r>
      <w:r w:rsidRPr="00C84023">
        <w:rPr>
          <w:rFonts w:cstheme="minorHAnsi"/>
          <w:spacing w:val="18"/>
          <w:w w:val="105"/>
        </w:rPr>
        <w:t xml:space="preserve"> </w:t>
      </w:r>
      <w:r w:rsidRPr="00C84023">
        <w:rPr>
          <w:rFonts w:cstheme="minorHAnsi"/>
          <w:w w:val="105"/>
        </w:rPr>
        <w:t>aligned</w:t>
      </w:r>
      <w:r w:rsidRPr="00C84023">
        <w:rPr>
          <w:rFonts w:cstheme="minorHAnsi"/>
          <w:spacing w:val="18"/>
          <w:w w:val="105"/>
        </w:rPr>
        <w:t xml:space="preserve"> </w:t>
      </w:r>
      <w:r w:rsidRPr="00C84023">
        <w:rPr>
          <w:rFonts w:cstheme="minorHAnsi"/>
          <w:w w:val="105"/>
        </w:rPr>
        <w:t>to</w:t>
      </w:r>
      <w:r w:rsidRPr="00C84023">
        <w:rPr>
          <w:rFonts w:cstheme="minorHAnsi"/>
          <w:spacing w:val="18"/>
          <w:w w:val="105"/>
        </w:rPr>
        <w:t xml:space="preserve"> </w:t>
      </w:r>
      <w:r w:rsidRPr="00C84023">
        <w:rPr>
          <w:rFonts w:cstheme="minorHAnsi"/>
          <w:w w:val="105"/>
        </w:rPr>
        <w:t>the</w:t>
      </w:r>
      <w:r w:rsidRPr="00C84023">
        <w:rPr>
          <w:rFonts w:cstheme="minorHAnsi"/>
          <w:spacing w:val="18"/>
          <w:w w:val="105"/>
        </w:rPr>
        <w:t xml:space="preserve"> </w:t>
      </w:r>
      <w:r w:rsidRPr="00C84023">
        <w:rPr>
          <w:rFonts w:cstheme="minorHAnsi"/>
          <w:w w:val="105"/>
        </w:rPr>
        <w:t>state</w:t>
      </w:r>
      <w:r w:rsidRPr="00C84023">
        <w:rPr>
          <w:rFonts w:cstheme="minorHAnsi"/>
          <w:spacing w:val="18"/>
          <w:w w:val="105"/>
        </w:rPr>
        <w:t xml:space="preserve"> </w:t>
      </w:r>
      <w:r w:rsidRPr="00C84023">
        <w:rPr>
          <w:rFonts w:cstheme="minorHAnsi"/>
          <w:w w:val="105"/>
        </w:rPr>
        <w:t>academic</w:t>
      </w:r>
      <w:r w:rsidRPr="00C84023">
        <w:rPr>
          <w:rFonts w:cstheme="minorHAnsi"/>
          <w:spacing w:val="18"/>
          <w:w w:val="105"/>
        </w:rPr>
        <w:t xml:space="preserve"> </w:t>
      </w:r>
      <w:r w:rsidRPr="00C84023">
        <w:rPr>
          <w:rFonts w:cstheme="minorHAnsi"/>
          <w:w w:val="105"/>
        </w:rPr>
        <w:t>standards</w:t>
      </w:r>
      <w:r w:rsidRPr="00C84023">
        <w:rPr>
          <w:rFonts w:cstheme="minorHAnsi"/>
          <w:spacing w:val="18"/>
          <w:w w:val="105"/>
        </w:rPr>
        <w:t xml:space="preserve"> </w:t>
      </w:r>
      <w:r w:rsidRPr="00C84023">
        <w:rPr>
          <w:rFonts w:cstheme="minorHAnsi"/>
          <w:w w:val="105"/>
        </w:rPr>
        <w:t>for</w:t>
      </w:r>
      <w:r w:rsidRPr="00C84023">
        <w:rPr>
          <w:rFonts w:cstheme="minorHAnsi"/>
          <w:spacing w:val="18"/>
          <w:w w:val="105"/>
        </w:rPr>
        <w:t xml:space="preserve"> </w:t>
      </w:r>
      <w:r w:rsidRPr="00C84023">
        <w:rPr>
          <w:rFonts w:cstheme="minorHAnsi"/>
          <w:w w:val="105"/>
        </w:rPr>
        <w:t>English</w:t>
      </w:r>
      <w:r w:rsidRPr="00C84023">
        <w:rPr>
          <w:rFonts w:cstheme="minorHAnsi"/>
          <w:w w:val="110"/>
        </w:rPr>
        <w:t xml:space="preserve"> </w:t>
      </w:r>
      <w:r w:rsidRPr="00C84023">
        <w:rPr>
          <w:rFonts w:cstheme="minorHAnsi"/>
          <w:w w:val="105"/>
        </w:rPr>
        <w:t>language arts and mathematics.</w:t>
      </w:r>
    </w:p>
    <w:p w14:paraId="5A622E32" w14:textId="77777777" w:rsidR="00691C52" w:rsidRDefault="00691C52" w:rsidP="00D63204">
      <w:pPr>
        <w:widowControl w:val="0"/>
        <w:spacing w:after="0" w:line="264" w:lineRule="exact"/>
        <w:ind w:left="90"/>
        <w:rPr>
          <w:rFonts w:cstheme="minorHAnsi"/>
        </w:rPr>
      </w:pPr>
    </w:p>
    <w:p w14:paraId="2B0133C6" w14:textId="0456A3F1" w:rsidR="00D6480A" w:rsidRPr="00C84023" w:rsidRDefault="00D6480A" w:rsidP="00D63204">
      <w:pPr>
        <w:widowControl w:val="0"/>
        <w:spacing w:after="0" w:line="264" w:lineRule="exact"/>
        <w:ind w:left="90"/>
        <w:rPr>
          <w:rFonts w:cstheme="minorHAnsi"/>
        </w:rPr>
      </w:pPr>
      <w:r w:rsidRPr="00C84023">
        <w:rPr>
          <w:rFonts w:cstheme="minorHAnsi"/>
        </w:rPr>
        <w:t>Changes to state statutes or rules are communicated to the field through webinars, newsletters, statewide memorandums and workshops</w:t>
      </w:r>
      <w:r w:rsidR="005E7C49">
        <w:rPr>
          <w:rFonts w:cstheme="minorHAnsi"/>
        </w:rPr>
        <w:t xml:space="preserve">. </w:t>
      </w:r>
      <w:r w:rsidRPr="00C84023">
        <w:rPr>
          <w:rFonts w:cstheme="minorHAnsi"/>
        </w:rPr>
        <w:t>Adult education providers are informed if changes are state imposed or federally required.</w:t>
      </w:r>
    </w:p>
    <w:p w14:paraId="100A8B94" w14:textId="77777777" w:rsidR="00EA7458" w:rsidRPr="00C84023" w:rsidRDefault="00EA7458" w:rsidP="00D63204">
      <w:pPr>
        <w:widowControl w:val="0"/>
        <w:spacing w:before="4" w:after="0" w:line="240" w:lineRule="auto"/>
        <w:ind w:left="90"/>
        <w:rPr>
          <w:rFonts w:cstheme="minorHAnsi"/>
          <w:sz w:val="17"/>
          <w:szCs w:val="17"/>
        </w:rPr>
      </w:pPr>
    </w:p>
    <w:p w14:paraId="7F9967F5" w14:textId="77777777" w:rsidR="00EA7458" w:rsidRPr="00C84023" w:rsidRDefault="00EA7458" w:rsidP="00D63204">
      <w:pPr>
        <w:widowControl w:val="0"/>
        <w:numPr>
          <w:ilvl w:val="0"/>
          <w:numId w:val="45"/>
        </w:numPr>
        <w:spacing w:after="0" w:line="240" w:lineRule="auto"/>
        <w:outlineLvl w:val="1"/>
        <w:rPr>
          <w:rFonts w:cstheme="minorHAnsi"/>
          <w:sz w:val="26"/>
          <w:szCs w:val="26"/>
        </w:rPr>
      </w:pPr>
      <w:r w:rsidRPr="00C84023">
        <w:rPr>
          <w:rFonts w:cstheme="minorHAnsi"/>
          <w:b/>
          <w:bCs/>
          <w:color w:val="295CA3"/>
          <w:w w:val="110"/>
          <w:sz w:val="26"/>
          <w:szCs w:val="26"/>
        </w:rPr>
        <w:t>Assessing</w:t>
      </w:r>
      <w:r w:rsidRPr="00C84023">
        <w:rPr>
          <w:rFonts w:cstheme="minorHAnsi"/>
          <w:b/>
          <w:bCs/>
          <w:color w:val="295CA3"/>
          <w:spacing w:val="7"/>
          <w:w w:val="110"/>
          <w:sz w:val="26"/>
          <w:szCs w:val="26"/>
        </w:rPr>
        <w:t xml:space="preserve"> </w:t>
      </w:r>
      <w:r w:rsidRPr="00C84023">
        <w:rPr>
          <w:rFonts w:cstheme="minorHAnsi"/>
          <w:b/>
          <w:bCs/>
          <w:color w:val="295CA3"/>
          <w:w w:val="110"/>
          <w:sz w:val="26"/>
          <w:szCs w:val="26"/>
        </w:rPr>
        <w:t>Quality</w:t>
      </w:r>
    </w:p>
    <w:p w14:paraId="3B360EE0" w14:textId="77777777" w:rsidR="00C75A4B" w:rsidRPr="00C84023" w:rsidRDefault="00C75A4B" w:rsidP="00D63204">
      <w:pPr>
        <w:widowControl w:val="0"/>
        <w:spacing w:before="9" w:after="0" w:line="240" w:lineRule="auto"/>
        <w:ind w:left="90"/>
        <w:rPr>
          <w:rFonts w:cstheme="minorHAnsi"/>
          <w:b/>
          <w:bCs/>
        </w:rPr>
      </w:pPr>
    </w:p>
    <w:p w14:paraId="7BD717E8" w14:textId="0BEB726F" w:rsidR="00691C52" w:rsidRDefault="006E323F" w:rsidP="00D63204">
      <w:pPr>
        <w:widowControl w:val="0"/>
        <w:spacing w:after="0" w:line="240" w:lineRule="auto"/>
        <w:ind w:left="90"/>
        <w:rPr>
          <w:rFonts w:cstheme="minorHAnsi"/>
          <w:bCs/>
        </w:rPr>
      </w:pPr>
      <w:r w:rsidRPr="00C84023">
        <w:rPr>
          <w:rFonts w:cstheme="minorHAnsi"/>
          <w:bCs/>
        </w:rPr>
        <w:t>Participants are surveyed after all workshops, conference presentations and webinars to evaluate and provide feedback on the activity or event</w:t>
      </w:r>
      <w:r w:rsidR="005E7C49">
        <w:rPr>
          <w:rFonts w:cstheme="minorHAnsi"/>
          <w:bCs/>
        </w:rPr>
        <w:t xml:space="preserve">. </w:t>
      </w:r>
      <w:r w:rsidRPr="00C84023">
        <w:rPr>
          <w:rFonts w:cstheme="minorHAnsi"/>
          <w:bCs/>
        </w:rPr>
        <w:t>In regional workshops, changes are made to future workshops based on feedback from participants. Programs review student data to determine if training impacted student outcomes and to determine areas additional training may be needed. The annual training plan includes state priorities, input from surveys about training needs</w:t>
      </w:r>
      <w:r w:rsidR="00D5537E">
        <w:rPr>
          <w:rFonts w:cstheme="minorHAnsi"/>
          <w:bCs/>
        </w:rPr>
        <w:t xml:space="preserve"> and</w:t>
      </w:r>
      <w:r w:rsidRPr="00C84023">
        <w:rPr>
          <w:rFonts w:cstheme="minorHAnsi"/>
          <w:bCs/>
        </w:rPr>
        <w:t xml:space="preserve"> advice from a statewide professional development advisory committee</w:t>
      </w:r>
      <w:r w:rsidR="005E7C49">
        <w:rPr>
          <w:rFonts w:cstheme="minorHAnsi"/>
          <w:bCs/>
        </w:rPr>
        <w:t xml:space="preserve">. </w:t>
      </w:r>
      <w:r w:rsidRPr="00C84023">
        <w:rPr>
          <w:rFonts w:cstheme="minorHAnsi"/>
          <w:bCs/>
        </w:rPr>
        <w:t>Survey results are reviewed with the professional development advisory committee to determine how training is best delivered; face to face or online webinars. Workshops conducted on college and career readiness are formatted for online courses which include a post-test to determine if learning objectives were met. This resource was requested by teachers, many of whom are unable to</w:t>
      </w:r>
      <w:r w:rsidR="00691C52">
        <w:rPr>
          <w:rFonts w:cstheme="minorHAnsi"/>
          <w:bCs/>
        </w:rPr>
        <w:t xml:space="preserve"> attend face to face workshops.</w:t>
      </w:r>
    </w:p>
    <w:p w14:paraId="06CE467D" w14:textId="77777777" w:rsidR="00691C52" w:rsidRDefault="00691C52" w:rsidP="00D63204">
      <w:pPr>
        <w:widowControl w:val="0"/>
        <w:spacing w:after="0" w:line="240" w:lineRule="auto"/>
        <w:ind w:left="90"/>
        <w:rPr>
          <w:rFonts w:cstheme="minorHAnsi"/>
          <w:bCs/>
        </w:rPr>
      </w:pPr>
    </w:p>
    <w:p w14:paraId="058449AC" w14:textId="6291C4AB" w:rsidR="00691C52" w:rsidRDefault="006E323F" w:rsidP="00D63204">
      <w:pPr>
        <w:widowControl w:val="0"/>
        <w:spacing w:after="0" w:line="240" w:lineRule="auto"/>
        <w:ind w:left="90"/>
        <w:rPr>
          <w:rFonts w:cstheme="minorHAnsi"/>
          <w:bCs/>
        </w:rPr>
      </w:pPr>
      <w:r w:rsidRPr="00C84023">
        <w:rPr>
          <w:rFonts w:cstheme="minorHAnsi"/>
          <w:bCs/>
        </w:rPr>
        <w:t>Best practices are identified in advisory committees which may result in webinars delivered through IPDAE or presented at an annual conference conducted by state leadership professional development providers. Data from GED® test results are reviewed to determine areas in which students may need additional instruction</w:t>
      </w:r>
      <w:r w:rsidR="005E7C49">
        <w:rPr>
          <w:rFonts w:cstheme="minorHAnsi"/>
          <w:bCs/>
        </w:rPr>
        <w:t xml:space="preserve">. </w:t>
      </w:r>
      <w:r w:rsidRPr="00C84023">
        <w:rPr>
          <w:rFonts w:cstheme="minorHAnsi"/>
          <w:bCs/>
        </w:rPr>
        <w:t>Math instruction for GED® preparation and Adult Basic Education courses is a priority for regional trainings and webinars. The IPDAE website provides methods to measure and assess involvement and effectiveness of online modules, webinars</w:t>
      </w:r>
      <w:r w:rsidR="00D5537E">
        <w:rPr>
          <w:rFonts w:cstheme="minorHAnsi"/>
          <w:bCs/>
        </w:rPr>
        <w:t xml:space="preserve"> and</w:t>
      </w:r>
      <w:r w:rsidRPr="00C84023">
        <w:rPr>
          <w:rFonts w:cstheme="minorHAnsi"/>
          <w:bCs/>
        </w:rPr>
        <w:t xml:space="preserve"> regional workshops through data reports, evaluations and surveys. All workshop and webinar registrations are online</w:t>
      </w:r>
      <w:r w:rsidR="005E7C49">
        <w:rPr>
          <w:rFonts w:cstheme="minorHAnsi"/>
          <w:bCs/>
        </w:rPr>
        <w:t xml:space="preserve">. </w:t>
      </w:r>
    </w:p>
    <w:p w14:paraId="73C04F41" w14:textId="77777777" w:rsidR="00691C52" w:rsidRDefault="00691C52" w:rsidP="00D63204">
      <w:pPr>
        <w:widowControl w:val="0"/>
        <w:spacing w:after="0" w:line="240" w:lineRule="auto"/>
        <w:ind w:left="90"/>
        <w:rPr>
          <w:rFonts w:cstheme="minorHAnsi"/>
          <w:bCs/>
        </w:rPr>
      </w:pPr>
    </w:p>
    <w:p w14:paraId="7C3FEA6E" w14:textId="77777777" w:rsidR="00691C52" w:rsidRDefault="00691C52" w:rsidP="00D63204">
      <w:pPr>
        <w:widowControl w:val="0"/>
        <w:spacing w:after="0" w:line="240" w:lineRule="auto"/>
        <w:ind w:left="90"/>
        <w:rPr>
          <w:rFonts w:cstheme="minorHAnsi"/>
          <w:bCs/>
        </w:rPr>
      </w:pPr>
    </w:p>
    <w:p w14:paraId="5F5C2D41" w14:textId="67AF11DE" w:rsidR="006E323F" w:rsidRPr="00C84023" w:rsidRDefault="006E323F" w:rsidP="00D63204">
      <w:pPr>
        <w:widowControl w:val="0"/>
        <w:spacing w:after="0" w:line="240" w:lineRule="auto"/>
        <w:ind w:left="90"/>
        <w:rPr>
          <w:rFonts w:cstheme="minorHAnsi"/>
          <w:bCs/>
        </w:rPr>
      </w:pPr>
      <w:r w:rsidRPr="00C84023">
        <w:rPr>
          <w:rFonts w:cstheme="minorHAnsi"/>
          <w:bCs/>
        </w:rPr>
        <w:t>Once an individual creates an account in the portal, a record is kept of all professional development activities they attend</w:t>
      </w:r>
      <w:r w:rsidR="005E7C49">
        <w:rPr>
          <w:rFonts w:cstheme="minorHAnsi"/>
          <w:bCs/>
        </w:rPr>
        <w:t xml:space="preserve">. </w:t>
      </w:r>
      <w:r w:rsidRPr="00C84023">
        <w:rPr>
          <w:rFonts w:cstheme="minorHAnsi"/>
          <w:bCs/>
        </w:rPr>
        <w:t>This record is available by county so administrators can review and make local professional development decisions.</w:t>
      </w:r>
    </w:p>
    <w:p w14:paraId="6E410F2C" w14:textId="77777777" w:rsidR="006E323F" w:rsidRPr="00C84023" w:rsidRDefault="006E323F" w:rsidP="00D63204">
      <w:pPr>
        <w:widowControl w:val="0"/>
        <w:spacing w:before="3" w:after="0" w:line="240" w:lineRule="auto"/>
        <w:ind w:left="90"/>
        <w:rPr>
          <w:rFonts w:cstheme="minorHAnsi"/>
          <w:sz w:val="28"/>
          <w:szCs w:val="28"/>
        </w:rPr>
      </w:pPr>
    </w:p>
    <w:p w14:paraId="50EFEECA" w14:textId="77777777" w:rsidR="006E323F" w:rsidRPr="00C84023" w:rsidRDefault="006E323F" w:rsidP="00D63204">
      <w:pPr>
        <w:widowControl w:val="0"/>
        <w:spacing w:after="0" w:line="263" w:lineRule="exact"/>
        <w:ind w:left="90"/>
        <w:outlineLvl w:val="2"/>
        <w:rPr>
          <w:rFonts w:cstheme="minorHAnsi"/>
        </w:rPr>
      </w:pPr>
      <w:r w:rsidRPr="00C84023">
        <w:rPr>
          <w:rFonts w:cstheme="minorHAnsi"/>
          <w:b/>
          <w:bCs/>
          <w:color w:val="231F20"/>
          <w:w w:val="105"/>
        </w:rPr>
        <w:t>Monitoring</w:t>
      </w:r>
    </w:p>
    <w:p w14:paraId="4C4F961B" w14:textId="0D32C4BE" w:rsidR="00691C52" w:rsidRPr="007D2256" w:rsidRDefault="006E323F" w:rsidP="00D63204">
      <w:pPr>
        <w:widowControl w:val="0"/>
        <w:spacing w:before="13" w:after="0" w:line="238" w:lineRule="exact"/>
        <w:ind w:left="90"/>
        <w:rPr>
          <w:rFonts w:cstheme="minorHAnsi"/>
          <w:w w:val="105"/>
        </w:rPr>
      </w:pPr>
      <w:r w:rsidRPr="007D2256">
        <w:rPr>
          <w:rFonts w:cstheme="minorHAnsi"/>
          <w:w w:val="105"/>
        </w:rPr>
        <w:t>DCAE uses various methods of assessment in its annual and ongoing evaluation process. this includes site monitoring visits, desk monitoring, program improvement processes</w:t>
      </w:r>
      <w:r w:rsidR="00D5537E">
        <w:rPr>
          <w:rFonts w:cstheme="minorHAnsi"/>
          <w:w w:val="105"/>
        </w:rPr>
        <w:t xml:space="preserve"> and</w:t>
      </w:r>
      <w:r w:rsidRPr="007D2256">
        <w:rPr>
          <w:rFonts w:cstheme="minorHAnsi"/>
          <w:w w:val="105"/>
        </w:rPr>
        <w:t xml:space="preserve"> performance and financial audits. The results of these processes determine program improvement actions.</w:t>
      </w:r>
    </w:p>
    <w:p w14:paraId="7858722D" w14:textId="77777777" w:rsidR="00691C52" w:rsidRPr="007D2256" w:rsidRDefault="00691C52" w:rsidP="00D63204">
      <w:pPr>
        <w:widowControl w:val="0"/>
        <w:spacing w:before="13" w:after="0" w:line="238" w:lineRule="exact"/>
        <w:ind w:left="90"/>
        <w:rPr>
          <w:rFonts w:cstheme="minorHAnsi"/>
          <w:w w:val="105"/>
        </w:rPr>
      </w:pPr>
    </w:p>
    <w:p w14:paraId="43724C98" w14:textId="29357FC9" w:rsidR="00691C52" w:rsidRPr="007D2256" w:rsidRDefault="006E323F" w:rsidP="00D63204">
      <w:pPr>
        <w:widowControl w:val="0"/>
        <w:spacing w:before="13" w:after="0" w:line="238" w:lineRule="exact"/>
        <w:ind w:left="90"/>
        <w:rPr>
          <w:rFonts w:cstheme="minorHAnsi"/>
          <w:w w:val="105"/>
        </w:rPr>
      </w:pPr>
      <w:r w:rsidRPr="007D2256">
        <w:rPr>
          <w:rFonts w:cstheme="minorHAnsi"/>
          <w:w w:val="105"/>
        </w:rPr>
        <w:t>DCAE implemented a Quality Assurance System that ensures student performance improvement, financial accountability, program quality</w:t>
      </w:r>
      <w:r w:rsidR="00D5537E">
        <w:rPr>
          <w:rFonts w:cstheme="minorHAnsi"/>
          <w:w w:val="105"/>
        </w:rPr>
        <w:t xml:space="preserve"> and</w:t>
      </w:r>
      <w:r w:rsidRPr="007D2256">
        <w:rPr>
          <w:rFonts w:cstheme="minorHAnsi"/>
          <w:w w:val="105"/>
        </w:rPr>
        <w:t xml:space="preserve"> regulatory compliance of local providers in accordance with federal laws and regulations, state statutes and rules</w:t>
      </w:r>
      <w:r w:rsidR="00D5537E">
        <w:rPr>
          <w:rFonts w:cstheme="minorHAnsi"/>
          <w:w w:val="105"/>
        </w:rPr>
        <w:t xml:space="preserve"> and</w:t>
      </w:r>
      <w:r w:rsidRPr="007D2256">
        <w:rPr>
          <w:rFonts w:cstheme="minorHAnsi"/>
          <w:w w:val="105"/>
        </w:rPr>
        <w:t xml:space="preserve"> the provisions of an approved grant award.</w:t>
      </w:r>
    </w:p>
    <w:p w14:paraId="22EF4D1B" w14:textId="77777777" w:rsidR="00691C52" w:rsidRPr="007D2256" w:rsidRDefault="00691C52" w:rsidP="00D63204">
      <w:pPr>
        <w:widowControl w:val="0"/>
        <w:spacing w:before="13" w:after="0" w:line="238" w:lineRule="exact"/>
        <w:ind w:left="90"/>
        <w:rPr>
          <w:rFonts w:cstheme="minorHAnsi"/>
          <w:w w:val="105"/>
        </w:rPr>
      </w:pPr>
    </w:p>
    <w:p w14:paraId="3D289ED1" w14:textId="77777777" w:rsidR="00691C52" w:rsidRPr="007D2256" w:rsidRDefault="006E323F" w:rsidP="00D63204">
      <w:pPr>
        <w:widowControl w:val="0"/>
        <w:spacing w:before="13" w:after="0" w:line="238" w:lineRule="exact"/>
        <w:ind w:left="90"/>
        <w:rPr>
          <w:rFonts w:cstheme="minorHAnsi"/>
          <w:w w:val="105"/>
        </w:rPr>
      </w:pPr>
      <w:r w:rsidRPr="007D2256">
        <w:rPr>
          <w:rFonts w:cstheme="minorHAnsi"/>
          <w:w w:val="105"/>
        </w:rPr>
        <w:t>The monitoring component of the Quality Assurance System is risk-based. Risk assessment is used to evaluate variables associated with workforce education grants and to assign a rating for levels of risk to the FDOE and DCAE associated with each provider. In completing a risk assessment, certain factors are identified which may affect levels of risk for each agency. A risk matrix is completed for each provider.</w:t>
      </w:r>
    </w:p>
    <w:p w14:paraId="4761C8A2" w14:textId="77777777" w:rsidR="00691C52" w:rsidRPr="007D2256" w:rsidRDefault="00691C52" w:rsidP="00D63204">
      <w:pPr>
        <w:widowControl w:val="0"/>
        <w:spacing w:before="13" w:after="0" w:line="238" w:lineRule="exact"/>
        <w:ind w:left="90"/>
        <w:rPr>
          <w:rFonts w:cstheme="minorHAnsi"/>
          <w:w w:val="105"/>
        </w:rPr>
      </w:pPr>
    </w:p>
    <w:p w14:paraId="2F0882E7" w14:textId="04740F20" w:rsidR="006E323F" w:rsidRPr="007D2256" w:rsidRDefault="006E323F" w:rsidP="00D63204">
      <w:pPr>
        <w:widowControl w:val="0"/>
        <w:spacing w:before="13" w:after="0" w:line="238" w:lineRule="exact"/>
        <w:ind w:left="90"/>
        <w:rPr>
          <w:rFonts w:cstheme="minorHAnsi"/>
          <w:w w:val="105"/>
        </w:rPr>
      </w:pPr>
      <w:r w:rsidRPr="007D2256">
        <w:rPr>
          <w:rFonts w:cstheme="minorHAnsi"/>
          <w:w w:val="105"/>
        </w:rPr>
        <w:t>To determine the monitoring strategy appropriate for each provider, an annual risk assessment is conducted by the quality assurance team. A range of monitoring strategies includes conference calls, improvement plans, desktop self-assessments</w:t>
      </w:r>
      <w:r w:rsidR="00D5537E">
        <w:rPr>
          <w:rFonts w:cstheme="minorHAnsi"/>
          <w:w w:val="105"/>
        </w:rPr>
        <w:t xml:space="preserve"> and</w:t>
      </w:r>
      <w:r w:rsidRPr="007D2256">
        <w:rPr>
          <w:rFonts w:cstheme="minorHAnsi"/>
          <w:w w:val="105"/>
        </w:rPr>
        <w:t xml:space="preserve"> grant reviews. More comprehensive strategies such as onsite visits are designated for providers deemed to be at higher risk.</w:t>
      </w:r>
    </w:p>
    <w:p w14:paraId="7492A577" w14:textId="77777777" w:rsidR="006E323F" w:rsidRPr="00C84023" w:rsidRDefault="006E323F" w:rsidP="00D63204">
      <w:pPr>
        <w:widowControl w:val="0"/>
        <w:spacing w:after="0" w:line="240" w:lineRule="auto"/>
        <w:ind w:left="90"/>
        <w:rPr>
          <w:rFonts w:cstheme="minorHAnsi"/>
        </w:rPr>
      </w:pPr>
    </w:p>
    <w:p w14:paraId="38E2C65C" w14:textId="77777777" w:rsidR="006E323F" w:rsidRPr="00C84023" w:rsidRDefault="006E323F" w:rsidP="00D63204">
      <w:pPr>
        <w:widowControl w:val="0"/>
        <w:spacing w:before="135" w:after="0" w:line="263" w:lineRule="exact"/>
        <w:ind w:left="90"/>
        <w:outlineLvl w:val="2"/>
        <w:rPr>
          <w:rFonts w:cstheme="minorHAnsi"/>
        </w:rPr>
      </w:pPr>
      <w:r w:rsidRPr="00C84023">
        <w:rPr>
          <w:rFonts w:cstheme="minorHAnsi"/>
          <w:b/>
          <w:bCs/>
          <w:color w:val="231F20"/>
          <w:w w:val="105"/>
        </w:rPr>
        <w:t>Actions taken to improve quality</w:t>
      </w:r>
    </w:p>
    <w:p w14:paraId="6B8F2ACA" w14:textId="71F74EBE" w:rsidR="006E323F" w:rsidRPr="00C84023" w:rsidRDefault="006E323F" w:rsidP="00D63204">
      <w:pPr>
        <w:widowControl w:val="0"/>
        <w:spacing w:before="13" w:after="0" w:line="238" w:lineRule="exact"/>
        <w:ind w:left="90"/>
        <w:rPr>
          <w:rFonts w:cstheme="minorHAnsi"/>
        </w:rPr>
      </w:pPr>
      <w:r w:rsidRPr="00C84023">
        <w:rPr>
          <w:rFonts w:cstheme="minorHAnsi"/>
          <w:w w:val="105"/>
        </w:rPr>
        <w:t>If non-compliance findings are identified, a corrective action plan is implemented. Corrective</w:t>
      </w:r>
      <w:r w:rsidRPr="00C84023">
        <w:rPr>
          <w:rFonts w:cstheme="minorHAnsi"/>
          <w:w w:val="106"/>
        </w:rPr>
        <w:t xml:space="preserve"> </w:t>
      </w:r>
      <w:r w:rsidRPr="00C84023">
        <w:rPr>
          <w:rFonts w:cstheme="minorHAnsi"/>
          <w:w w:val="105"/>
        </w:rPr>
        <w:t>action</w:t>
      </w:r>
      <w:r w:rsidRPr="00C84023">
        <w:rPr>
          <w:rFonts w:cstheme="minorHAnsi"/>
          <w:spacing w:val="7"/>
          <w:w w:val="105"/>
        </w:rPr>
        <w:t xml:space="preserve"> </w:t>
      </w:r>
      <w:r w:rsidRPr="00C84023">
        <w:rPr>
          <w:rFonts w:cstheme="minorHAnsi"/>
          <w:w w:val="105"/>
        </w:rPr>
        <w:t>plans</w:t>
      </w:r>
      <w:r w:rsidRPr="00C84023">
        <w:rPr>
          <w:rFonts w:cstheme="minorHAnsi"/>
          <w:spacing w:val="7"/>
          <w:w w:val="105"/>
        </w:rPr>
        <w:t xml:space="preserve"> </w:t>
      </w:r>
      <w:r w:rsidRPr="00C84023">
        <w:rPr>
          <w:rFonts w:cstheme="minorHAnsi"/>
          <w:w w:val="105"/>
        </w:rPr>
        <w:t>must</w:t>
      </w:r>
      <w:r w:rsidRPr="00C84023">
        <w:rPr>
          <w:rFonts w:cstheme="minorHAnsi"/>
          <w:spacing w:val="7"/>
          <w:w w:val="105"/>
        </w:rPr>
        <w:t xml:space="preserve"> </w:t>
      </w:r>
      <w:r w:rsidRPr="00C84023">
        <w:rPr>
          <w:rFonts w:cstheme="minorHAnsi"/>
          <w:w w:val="105"/>
        </w:rPr>
        <w:t>identify</w:t>
      </w:r>
      <w:r w:rsidRPr="00C84023">
        <w:rPr>
          <w:rFonts w:cstheme="minorHAnsi"/>
          <w:spacing w:val="7"/>
          <w:w w:val="105"/>
        </w:rPr>
        <w:t xml:space="preserve"> </w:t>
      </w:r>
      <w:r w:rsidRPr="00C84023">
        <w:rPr>
          <w:rFonts w:cstheme="minorHAnsi"/>
          <w:w w:val="105"/>
        </w:rPr>
        <w:t>findings</w:t>
      </w:r>
      <w:r w:rsidRPr="00C84023">
        <w:rPr>
          <w:rFonts w:cstheme="minorHAnsi"/>
          <w:spacing w:val="7"/>
          <w:w w:val="105"/>
        </w:rPr>
        <w:t xml:space="preserve"> </w:t>
      </w:r>
      <w:r w:rsidRPr="00C84023">
        <w:rPr>
          <w:rFonts w:cstheme="minorHAnsi"/>
          <w:w w:val="105"/>
        </w:rPr>
        <w:t>and</w:t>
      </w:r>
      <w:r w:rsidRPr="00C84023">
        <w:rPr>
          <w:rFonts w:cstheme="minorHAnsi"/>
          <w:spacing w:val="7"/>
          <w:w w:val="105"/>
        </w:rPr>
        <w:t xml:space="preserve"> </w:t>
      </w:r>
      <w:r w:rsidRPr="00C84023">
        <w:rPr>
          <w:rFonts w:cstheme="minorHAnsi"/>
          <w:w w:val="105"/>
        </w:rPr>
        <w:t>specific</w:t>
      </w:r>
      <w:r w:rsidRPr="00C84023">
        <w:rPr>
          <w:rFonts w:cstheme="minorHAnsi"/>
          <w:spacing w:val="7"/>
          <w:w w:val="105"/>
        </w:rPr>
        <w:t xml:space="preserve"> </w:t>
      </w:r>
      <w:r w:rsidRPr="00C84023">
        <w:rPr>
          <w:rFonts w:cstheme="minorHAnsi"/>
          <w:w w:val="105"/>
        </w:rPr>
        <w:t>strategies</w:t>
      </w:r>
      <w:r w:rsidRPr="00C84023">
        <w:rPr>
          <w:rFonts w:cstheme="minorHAnsi"/>
          <w:spacing w:val="7"/>
          <w:w w:val="105"/>
        </w:rPr>
        <w:t xml:space="preserve"> </w:t>
      </w:r>
      <w:r w:rsidRPr="00C84023">
        <w:rPr>
          <w:rFonts w:cstheme="minorHAnsi"/>
          <w:w w:val="105"/>
        </w:rPr>
        <w:t>the</w:t>
      </w:r>
      <w:r w:rsidRPr="00C84023">
        <w:rPr>
          <w:rFonts w:cstheme="minorHAnsi"/>
          <w:spacing w:val="7"/>
          <w:w w:val="105"/>
        </w:rPr>
        <w:t xml:space="preserve"> </w:t>
      </w:r>
      <w:r w:rsidRPr="00C84023">
        <w:rPr>
          <w:rFonts w:cstheme="minorHAnsi"/>
          <w:w w:val="105"/>
        </w:rPr>
        <w:t>provider</w:t>
      </w:r>
      <w:r w:rsidRPr="00C84023">
        <w:rPr>
          <w:rFonts w:cstheme="minorHAnsi"/>
          <w:spacing w:val="7"/>
          <w:w w:val="105"/>
        </w:rPr>
        <w:t xml:space="preserve"> </w:t>
      </w:r>
      <w:r w:rsidRPr="00C84023">
        <w:rPr>
          <w:rFonts w:cstheme="minorHAnsi"/>
          <w:w w:val="105"/>
        </w:rPr>
        <w:t>will</w:t>
      </w:r>
      <w:r w:rsidRPr="00C84023">
        <w:rPr>
          <w:rFonts w:cstheme="minorHAnsi"/>
          <w:spacing w:val="7"/>
          <w:w w:val="105"/>
        </w:rPr>
        <w:t xml:space="preserve"> </w:t>
      </w:r>
      <w:r w:rsidRPr="00C84023">
        <w:rPr>
          <w:rFonts w:cstheme="minorHAnsi"/>
          <w:w w:val="105"/>
        </w:rPr>
        <w:t>implement</w:t>
      </w:r>
      <w:r w:rsidRPr="00C84023">
        <w:rPr>
          <w:rFonts w:cstheme="minorHAnsi"/>
          <w:spacing w:val="7"/>
          <w:w w:val="105"/>
        </w:rPr>
        <w:t xml:space="preserve"> </w:t>
      </w:r>
      <w:r w:rsidRPr="00C84023">
        <w:rPr>
          <w:rFonts w:cstheme="minorHAnsi"/>
          <w:w w:val="105"/>
        </w:rPr>
        <w:t>to</w:t>
      </w:r>
      <w:r w:rsidRPr="00C84023">
        <w:rPr>
          <w:rFonts w:cstheme="minorHAnsi"/>
          <w:spacing w:val="7"/>
          <w:w w:val="105"/>
        </w:rPr>
        <w:t xml:space="preserve"> </w:t>
      </w:r>
      <w:r w:rsidRPr="00C84023">
        <w:rPr>
          <w:rFonts w:cstheme="minorHAnsi"/>
          <w:w w:val="105"/>
        </w:rPr>
        <w:t>ensure</w:t>
      </w:r>
      <w:r w:rsidRPr="00C84023">
        <w:rPr>
          <w:rFonts w:cstheme="minorHAnsi"/>
          <w:spacing w:val="-26"/>
          <w:w w:val="105"/>
        </w:rPr>
        <w:t xml:space="preserve"> </w:t>
      </w:r>
      <w:r w:rsidRPr="00C84023">
        <w:rPr>
          <w:rFonts w:cstheme="minorHAnsi"/>
          <w:w w:val="105"/>
        </w:rPr>
        <w:t>findings are resolved.</w:t>
      </w:r>
      <w:r w:rsidR="00F80233">
        <w:rPr>
          <w:rFonts w:cstheme="minorHAnsi"/>
          <w:w w:val="105"/>
        </w:rPr>
        <w:t xml:space="preserve"> </w:t>
      </w:r>
      <w:r w:rsidRPr="00C84023">
        <w:rPr>
          <w:rFonts w:cstheme="minorHAnsi"/>
          <w:color w:val="231F20"/>
          <w:w w:val="105"/>
        </w:rPr>
        <w:t>DCAE</w:t>
      </w:r>
      <w:r w:rsidRPr="00C84023">
        <w:rPr>
          <w:rFonts w:cstheme="minorHAnsi"/>
          <w:color w:val="231F20"/>
          <w:spacing w:val="24"/>
          <w:w w:val="105"/>
        </w:rPr>
        <w:t xml:space="preserve"> </w:t>
      </w:r>
      <w:r w:rsidRPr="00C84023">
        <w:rPr>
          <w:rFonts w:cstheme="minorHAnsi"/>
          <w:w w:val="105"/>
        </w:rPr>
        <w:t>conducts</w:t>
      </w:r>
      <w:r w:rsidRPr="00C84023">
        <w:rPr>
          <w:rFonts w:cstheme="minorHAnsi"/>
          <w:spacing w:val="24"/>
          <w:w w:val="105"/>
        </w:rPr>
        <w:t xml:space="preserve"> </w:t>
      </w:r>
      <w:r w:rsidRPr="00C84023">
        <w:rPr>
          <w:rFonts w:cstheme="minorHAnsi"/>
          <w:w w:val="105"/>
        </w:rPr>
        <w:t>annual</w:t>
      </w:r>
      <w:r w:rsidRPr="00C84023">
        <w:rPr>
          <w:rFonts w:cstheme="minorHAnsi"/>
          <w:spacing w:val="24"/>
          <w:w w:val="105"/>
        </w:rPr>
        <w:t xml:space="preserve"> </w:t>
      </w:r>
      <w:r w:rsidRPr="00C84023">
        <w:rPr>
          <w:rFonts w:cstheme="minorHAnsi"/>
          <w:w w:val="105"/>
        </w:rPr>
        <w:t>performance</w:t>
      </w:r>
      <w:r w:rsidRPr="00C84023">
        <w:rPr>
          <w:rFonts w:cstheme="minorHAnsi"/>
          <w:spacing w:val="24"/>
          <w:w w:val="105"/>
        </w:rPr>
        <w:t xml:space="preserve"> </w:t>
      </w:r>
      <w:r w:rsidRPr="00C84023">
        <w:rPr>
          <w:rFonts w:cstheme="minorHAnsi"/>
          <w:w w:val="105"/>
        </w:rPr>
        <w:t>evaluations.</w:t>
      </w:r>
      <w:r w:rsidRPr="00C84023">
        <w:rPr>
          <w:rFonts w:cstheme="minorHAnsi"/>
          <w:spacing w:val="49"/>
          <w:w w:val="105"/>
        </w:rPr>
        <w:t xml:space="preserve"> </w:t>
      </w:r>
      <w:r w:rsidRPr="00C84023">
        <w:rPr>
          <w:rFonts w:cstheme="minorHAnsi"/>
          <w:w w:val="105"/>
        </w:rPr>
        <w:t>The</w:t>
      </w:r>
      <w:r w:rsidRPr="00C84023">
        <w:rPr>
          <w:rFonts w:cstheme="minorHAnsi"/>
          <w:spacing w:val="24"/>
          <w:w w:val="105"/>
        </w:rPr>
        <w:t xml:space="preserve"> </w:t>
      </w:r>
      <w:r w:rsidRPr="00C84023">
        <w:rPr>
          <w:rFonts w:cstheme="minorHAnsi"/>
          <w:w w:val="105"/>
        </w:rPr>
        <w:t>evaluations</w:t>
      </w:r>
      <w:r w:rsidRPr="00C84023">
        <w:rPr>
          <w:rFonts w:cstheme="minorHAnsi"/>
          <w:spacing w:val="24"/>
          <w:w w:val="105"/>
        </w:rPr>
        <w:t xml:space="preserve"> </w:t>
      </w:r>
      <w:r w:rsidRPr="00C84023">
        <w:rPr>
          <w:rFonts w:cstheme="minorHAnsi"/>
          <w:w w:val="105"/>
        </w:rPr>
        <w:t>process</w:t>
      </w:r>
      <w:r w:rsidRPr="00C84023">
        <w:rPr>
          <w:rFonts w:cstheme="minorHAnsi"/>
          <w:spacing w:val="24"/>
          <w:w w:val="105"/>
        </w:rPr>
        <w:t xml:space="preserve"> </w:t>
      </w:r>
      <w:r w:rsidRPr="00C84023">
        <w:rPr>
          <w:rFonts w:cstheme="minorHAnsi"/>
          <w:w w:val="105"/>
        </w:rPr>
        <w:t>is</w:t>
      </w:r>
      <w:r w:rsidRPr="00C84023">
        <w:rPr>
          <w:rFonts w:cstheme="minorHAnsi"/>
          <w:spacing w:val="24"/>
          <w:w w:val="105"/>
        </w:rPr>
        <w:t xml:space="preserve"> </w:t>
      </w:r>
      <w:r w:rsidRPr="00C84023">
        <w:rPr>
          <w:rFonts w:cstheme="minorHAnsi"/>
          <w:w w:val="105"/>
        </w:rPr>
        <w:t>a</w:t>
      </w:r>
      <w:r w:rsidRPr="00C84023">
        <w:rPr>
          <w:rFonts w:cstheme="minorHAnsi"/>
          <w:spacing w:val="24"/>
          <w:w w:val="105"/>
        </w:rPr>
        <w:t xml:space="preserve"> </w:t>
      </w:r>
      <w:r w:rsidRPr="00C84023">
        <w:rPr>
          <w:rFonts w:cstheme="minorHAnsi"/>
          <w:w w:val="105"/>
        </w:rPr>
        <w:t>data-driven accountability system for adult education programs.</w:t>
      </w:r>
    </w:p>
    <w:p w14:paraId="6E696DCF" w14:textId="77777777" w:rsidR="006E323F" w:rsidRPr="00C84023" w:rsidRDefault="006E323F" w:rsidP="00D63204">
      <w:pPr>
        <w:widowControl w:val="0"/>
        <w:spacing w:before="8" w:after="0" w:line="240" w:lineRule="auto"/>
        <w:ind w:left="90"/>
        <w:rPr>
          <w:rFonts w:cstheme="minorHAnsi"/>
        </w:rPr>
      </w:pPr>
    </w:p>
    <w:p w14:paraId="5DA683BA" w14:textId="0008D538" w:rsidR="006E323F" w:rsidRPr="00C84023" w:rsidRDefault="00F80233" w:rsidP="00D63204">
      <w:pPr>
        <w:widowControl w:val="0"/>
        <w:spacing w:after="0" w:line="238" w:lineRule="exact"/>
        <w:ind w:left="90"/>
        <w:rPr>
          <w:rFonts w:cstheme="minorHAnsi"/>
        </w:rPr>
      </w:pPr>
      <w:r>
        <w:rPr>
          <w:rFonts w:cstheme="minorHAnsi"/>
          <w:w w:val="105"/>
        </w:rPr>
        <w:t>A</w:t>
      </w:r>
      <w:r w:rsidR="006E323F" w:rsidRPr="00C84023">
        <w:rPr>
          <w:rFonts w:cstheme="minorHAnsi"/>
          <w:w w:val="105"/>
        </w:rPr>
        <w:t>ll</w:t>
      </w:r>
      <w:r w:rsidR="006E323F" w:rsidRPr="00C84023">
        <w:rPr>
          <w:rFonts w:cstheme="minorHAnsi"/>
          <w:spacing w:val="9"/>
          <w:w w:val="105"/>
        </w:rPr>
        <w:t xml:space="preserve"> </w:t>
      </w:r>
      <w:r w:rsidR="006E323F" w:rsidRPr="00C84023">
        <w:rPr>
          <w:rFonts w:cstheme="minorHAnsi"/>
          <w:w w:val="105"/>
        </w:rPr>
        <w:t>agencies</w:t>
      </w:r>
      <w:r w:rsidR="006E323F" w:rsidRPr="00C84023">
        <w:rPr>
          <w:rFonts w:cstheme="minorHAnsi"/>
          <w:spacing w:val="9"/>
          <w:w w:val="105"/>
        </w:rPr>
        <w:t xml:space="preserve"> </w:t>
      </w:r>
      <w:r>
        <w:rPr>
          <w:rFonts w:cstheme="minorHAnsi"/>
          <w:spacing w:val="9"/>
          <w:w w:val="105"/>
        </w:rPr>
        <w:t xml:space="preserve">awarded competitive grants </w:t>
      </w:r>
      <w:r w:rsidR="006E323F" w:rsidRPr="00C84023">
        <w:rPr>
          <w:rFonts w:cstheme="minorHAnsi"/>
          <w:w w:val="105"/>
        </w:rPr>
        <w:t>are</w:t>
      </w:r>
      <w:r w:rsidR="006E323F" w:rsidRPr="00C84023">
        <w:rPr>
          <w:rFonts w:cstheme="minorHAnsi"/>
          <w:spacing w:val="9"/>
          <w:w w:val="105"/>
        </w:rPr>
        <w:t xml:space="preserve"> </w:t>
      </w:r>
      <w:r w:rsidR="006E323F" w:rsidRPr="00C84023">
        <w:rPr>
          <w:rFonts w:cstheme="minorHAnsi"/>
          <w:w w:val="105"/>
        </w:rPr>
        <w:t>expected</w:t>
      </w:r>
      <w:r w:rsidR="006E323F" w:rsidRPr="00C84023">
        <w:rPr>
          <w:rFonts w:cstheme="minorHAnsi"/>
          <w:spacing w:val="9"/>
          <w:w w:val="105"/>
        </w:rPr>
        <w:t xml:space="preserve"> </w:t>
      </w:r>
      <w:r w:rsidR="006E323F" w:rsidRPr="00C84023">
        <w:rPr>
          <w:rFonts w:cstheme="minorHAnsi"/>
          <w:w w:val="105"/>
        </w:rPr>
        <w:t>to</w:t>
      </w:r>
      <w:r w:rsidR="006E323F" w:rsidRPr="00C84023">
        <w:rPr>
          <w:rFonts w:cstheme="minorHAnsi"/>
          <w:spacing w:val="9"/>
          <w:w w:val="105"/>
        </w:rPr>
        <w:t xml:space="preserve"> </w:t>
      </w:r>
      <w:r w:rsidR="006E323F" w:rsidRPr="00C84023">
        <w:rPr>
          <w:rFonts w:cstheme="minorHAnsi"/>
          <w:w w:val="105"/>
        </w:rPr>
        <w:t>meet</w:t>
      </w:r>
      <w:r w:rsidR="006E323F" w:rsidRPr="00C84023">
        <w:rPr>
          <w:rFonts w:cstheme="minorHAnsi"/>
          <w:spacing w:val="9"/>
          <w:w w:val="105"/>
        </w:rPr>
        <w:t xml:space="preserve"> </w:t>
      </w:r>
      <w:r w:rsidR="006E323F" w:rsidRPr="00C84023">
        <w:rPr>
          <w:rFonts w:cstheme="minorHAnsi"/>
          <w:w w:val="105"/>
        </w:rPr>
        <w:t>at</w:t>
      </w:r>
      <w:r w:rsidR="006E323F" w:rsidRPr="00C84023">
        <w:rPr>
          <w:rFonts w:cstheme="minorHAnsi"/>
          <w:spacing w:val="9"/>
          <w:w w:val="105"/>
        </w:rPr>
        <w:t xml:space="preserve"> </w:t>
      </w:r>
      <w:r w:rsidR="006E323F" w:rsidRPr="00C84023">
        <w:rPr>
          <w:rFonts w:cstheme="minorHAnsi"/>
          <w:w w:val="105"/>
        </w:rPr>
        <w:t>least</w:t>
      </w:r>
      <w:r w:rsidR="006E323F" w:rsidRPr="00C84023">
        <w:rPr>
          <w:rFonts w:cstheme="minorHAnsi"/>
          <w:spacing w:val="9"/>
          <w:w w:val="105"/>
        </w:rPr>
        <w:t xml:space="preserve"> </w:t>
      </w:r>
      <w:r w:rsidR="006E323F" w:rsidRPr="00C84023">
        <w:rPr>
          <w:rFonts w:cstheme="minorHAnsi"/>
          <w:w w:val="105"/>
        </w:rPr>
        <w:t>90</w:t>
      </w:r>
      <w:r w:rsidR="006E323F" w:rsidRPr="00C84023">
        <w:rPr>
          <w:rFonts w:cstheme="minorHAnsi"/>
          <w:spacing w:val="9"/>
          <w:w w:val="105"/>
        </w:rPr>
        <w:t xml:space="preserve"> </w:t>
      </w:r>
      <w:r w:rsidR="006E323F" w:rsidRPr="00C84023">
        <w:rPr>
          <w:rFonts w:cstheme="minorHAnsi"/>
          <w:w w:val="105"/>
        </w:rPr>
        <w:t>percent</w:t>
      </w:r>
      <w:r w:rsidR="006E323F" w:rsidRPr="00C84023">
        <w:rPr>
          <w:rFonts w:cstheme="minorHAnsi"/>
          <w:spacing w:val="9"/>
          <w:w w:val="105"/>
        </w:rPr>
        <w:t xml:space="preserve"> </w:t>
      </w:r>
      <w:r w:rsidR="006E323F" w:rsidRPr="00C84023">
        <w:rPr>
          <w:rFonts w:cstheme="minorHAnsi"/>
          <w:w w:val="105"/>
        </w:rPr>
        <w:t>of</w:t>
      </w:r>
      <w:r w:rsidR="006E323F" w:rsidRPr="00C84023">
        <w:rPr>
          <w:rFonts w:cstheme="minorHAnsi"/>
          <w:spacing w:val="9"/>
          <w:w w:val="105"/>
        </w:rPr>
        <w:t xml:space="preserve"> </w:t>
      </w:r>
      <w:r w:rsidR="006E323F" w:rsidRPr="00C84023">
        <w:rPr>
          <w:rFonts w:cstheme="minorHAnsi"/>
          <w:w w:val="105"/>
        </w:rPr>
        <w:t>the</w:t>
      </w:r>
      <w:r w:rsidR="006E323F" w:rsidRPr="00C84023">
        <w:rPr>
          <w:rFonts w:cstheme="minorHAnsi"/>
          <w:spacing w:val="9"/>
          <w:w w:val="105"/>
        </w:rPr>
        <w:t xml:space="preserve"> </w:t>
      </w:r>
      <w:r w:rsidR="006E323F" w:rsidRPr="00C84023">
        <w:rPr>
          <w:rFonts w:cstheme="minorHAnsi"/>
          <w:w w:val="105"/>
        </w:rPr>
        <w:t>State</w:t>
      </w:r>
      <w:r w:rsidR="006E323F" w:rsidRPr="00C84023">
        <w:rPr>
          <w:rFonts w:cstheme="minorHAnsi"/>
          <w:spacing w:val="13"/>
          <w:w w:val="105"/>
        </w:rPr>
        <w:t xml:space="preserve"> </w:t>
      </w:r>
      <w:r w:rsidR="006E323F" w:rsidRPr="00C84023">
        <w:rPr>
          <w:rFonts w:cstheme="minorHAnsi"/>
          <w:w w:val="105"/>
        </w:rPr>
        <w:t>Performance</w:t>
      </w:r>
      <w:r w:rsidR="006E323F" w:rsidRPr="00C84023">
        <w:rPr>
          <w:rFonts w:cstheme="minorHAnsi"/>
          <w:spacing w:val="9"/>
          <w:w w:val="105"/>
        </w:rPr>
        <w:t xml:space="preserve"> </w:t>
      </w:r>
      <w:r w:rsidR="006E323F" w:rsidRPr="00C84023">
        <w:rPr>
          <w:rFonts w:cstheme="minorHAnsi"/>
          <w:spacing w:val="-3"/>
          <w:w w:val="105"/>
        </w:rPr>
        <w:t>Target</w:t>
      </w:r>
      <w:r w:rsidR="006E323F" w:rsidRPr="00C84023">
        <w:rPr>
          <w:rFonts w:cstheme="minorHAnsi"/>
          <w:spacing w:val="9"/>
          <w:w w:val="105"/>
        </w:rPr>
        <w:t xml:space="preserve"> </w:t>
      </w:r>
      <w:r w:rsidR="006E323F" w:rsidRPr="00C84023">
        <w:rPr>
          <w:rFonts w:cstheme="minorHAnsi"/>
          <w:w w:val="105"/>
        </w:rPr>
        <w:t>or</w:t>
      </w:r>
      <w:r w:rsidR="006E323F" w:rsidRPr="00C84023">
        <w:rPr>
          <w:rFonts w:cstheme="minorHAnsi"/>
          <w:spacing w:val="9"/>
          <w:w w:val="105"/>
        </w:rPr>
        <w:t xml:space="preserve"> </w:t>
      </w:r>
      <w:r w:rsidR="006E323F" w:rsidRPr="00C84023">
        <w:rPr>
          <w:rFonts w:cstheme="minorHAnsi"/>
          <w:w w:val="105"/>
        </w:rPr>
        <w:t>demonstrate</w:t>
      </w:r>
      <w:r w:rsidR="006E323F" w:rsidRPr="00C84023">
        <w:rPr>
          <w:rFonts w:cstheme="minorHAnsi"/>
          <w:spacing w:val="9"/>
          <w:w w:val="105"/>
        </w:rPr>
        <w:t xml:space="preserve"> </w:t>
      </w:r>
      <w:r w:rsidR="006E323F" w:rsidRPr="00C84023">
        <w:rPr>
          <w:rFonts w:cstheme="minorHAnsi"/>
          <w:w w:val="105"/>
        </w:rPr>
        <w:t>improvement</w:t>
      </w:r>
      <w:r w:rsidR="006E323F" w:rsidRPr="00C84023">
        <w:rPr>
          <w:rFonts w:cstheme="minorHAnsi"/>
          <w:spacing w:val="9"/>
          <w:w w:val="105"/>
        </w:rPr>
        <w:t xml:space="preserve"> </w:t>
      </w:r>
      <w:r w:rsidR="006E323F" w:rsidRPr="00C84023">
        <w:rPr>
          <w:rFonts w:cstheme="minorHAnsi"/>
          <w:w w:val="105"/>
        </w:rPr>
        <w:t>for</w:t>
      </w:r>
      <w:r w:rsidR="006E323F" w:rsidRPr="00C84023">
        <w:rPr>
          <w:rFonts w:cstheme="minorHAnsi"/>
          <w:spacing w:val="9"/>
          <w:w w:val="105"/>
        </w:rPr>
        <w:t xml:space="preserve"> </w:t>
      </w:r>
      <w:r w:rsidR="006E323F" w:rsidRPr="00C84023">
        <w:rPr>
          <w:rFonts w:cstheme="minorHAnsi"/>
          <w:w w:val="105"/>
        </w:rPr>
        <w:t>each</w:t>
      </w:r>
      <w:r w:rsidR="006E323F" w:rsidRPr="00C84023">
        <w:rPr>
          <w:rFonts w:cstheme="minorHAnsi"/>
          <w:spacing w:val="9"/>
          <w:w w:val="105"/>
        </w:rPr>
        <w:t xml:space="preserve"> </w:t>
      </w:r>
      <w:r w:rsidR="006E323F" w:rsidRPr="00C84023">
        <w:rPr>
          <w:rFonts w:cstheme="minorHAnsi"/>
          <w:w w:val="105"/>
        </w:rPr>
        <w:t>educational</w:t>
      </w:r>
      <w:r w:rsidR="006E323F" w:rsidRPr="00C84023">
        <w:rPr>
          <w:rFonts w:cstheme="minorHAnsi"/>
          <w:spacing w:val="9"/>
          <w:w w:val="105"/>
        </w:rPr>
        <w:t xml:space="preserve"> </w:t>
      </w:r>
      <w:r w:rsidR="006E323F" w:rsidRPr="00C84023">
        <w:rPr>
          <w:rFonts w:cstheme="minorHAnsi"/>
          <w:w w:val="105"/>
        </w:rPr>
        <w:t>functioning</w:t>
      </w:r>
      <w:r w:rsidR="006E323F" w:rsidRPr="00C84023">
        <w:rPr>
          <w:rFonts w:cstheme="minorHAnsi"/>
          <w:spacing w:val="9"/>
          <w:w w:val="105"/>
        </w:rPr>
        <w:t xml:space="preserve"> </w:t>
      </w:r>
      <w:r w:rsidR="006E323F" w:rsidRPr="00C84023">
        <w:rPr>
          <w:rFonts w:cstheme="minorHAnsi"/>
          <w:w w:val="105"/>
        </w:rPr>
        <w:t>level.</w:t>
      </w:r>
      <w:r w:rsidR="006E323F" w:rsidRPr="00C84023">
        <w:rPr>
          <w:rFonts w:cstheme="minorHAnsi"/>
          <w:spacing w:val="19"/>
          <w:w w:val="105"/>
        </w:rPr>
        <w:t xml:space="preserve"> </w:t>
      </w:r>
      <w:r w:rsidR="006E323F" w:rsidRPr="00C84023">
        <w:rPr>
          <w:rFonts w:cstheme="minorHAnsi"/>
          <w:w w:val="105"/>
        </w:rPr>
        <w:t>An</w:t>
      </w:r>
      <w:r w:rsidR="006E323F" w:rsidRPr="00C84023">
        <w:rPr>
          <w:rFonts w:cstheme="minorHAnsi"/>
          <w:spacing w:val="11"/>
          <w:w w:val="105"/>
        </w:rPr>
        <w:t xml:space="preserve"> </w:t>
      </w:r>
      <w:r w:rsidR="006E323F" w:rsidRPr="00C84023">
        <w:rPr>
          <w:rFonts w:cstheme="minorHAnsi"/>
          <w:w w:val="105"/>
        </w:rPr>
        <w:t>Adult</w:t>
      </w:r>
      <w:r w:rsidR="006E323F" w:rsidRPr="00C84023">
        <w:rPr>
          <w:rFonts w:cstheme="minorHAnsi"/>
          <w:spacing w:val="11"/>
          <w:w w:val="105"/>
        </w:rPr>
        <w:t xml:space="preserve"> </w:t>
      </w:r>
      <w:r w:rsidR="006E323F" w:rsidRPr="00C84023">
        <w:rPr>
          <w:rFonts w:cstheme="minorHAnsi"/>
          <w:w w:val="105"/>
        </w:rPr>
        <w:t>Education</w:t>
      </w:r>
      <w:r w:rsidR="006E323F" w:rsidRPr="00C84023">
        <w:rPr>
          <w:rFonts w:cstheme="minorHAnsi"/>
          <w:spacing w:val="11"/>
          <w:w w:val="105"/>
        </w:rPr>
        <w:t xml:space="preserve"> </w:t>
      </w:r>
      <w:r w:rsidR="006E323F" w:rsidRPr="00C84023">
        <w:rPr>
          <w:rFonts w:cstheme="minorHAnsi"/>
          <w:w w:val="105"/>
        </w:rPr>
        <w:t>Program</w:t>
      </w:r>
      <w:r w:rsidR="006E323F" w:rsidRPr="00C84023">
        <w:rPr>
          <w:rFonts w:cstheme="minorHAnsi"/>
          <w:spacing w:val="11"/>
          <w:w w:val="105"/>
        </w:rPr>
        <w:t xml:space="preserve"> </w:t>
      </w:r>
      <w:r w:rsidR="006E323F" w:rsidRPr="00C84023">
        <w:rPr>
          <w:rFonts w:cstheme="minorHAnsi"/>
          <w:w w:val="105"/>
        </w:rPr>
        <w:t>Improvement</w:t>
      </w:r>
      <w:r w:rsidR="006E323F" w:rsidRPr="00C84023">
        <w:rPr>
          <w:rFonts w:cstheme="minorHAnsi"/>
          <w:spacing w:val="11"/>
          <w:w w:val="105"/>
        </w:rPr>
        <w:t xml:space="preserve"> </w:t>
      </w:r>
      <w:r w:rsidR="006E323F" w:rsidRPr="00C84023">
        <w:rPr>
          <w:rFonts w:cstheme="minorHAnsi"/>
          <w:w w:val="105"/>
        </w:rPr>
        <w:t>Plan</w:t>
      </w:r>
      <w:r w:rsidR="006E323F" w:rsidRPr="00C84023">
        <w:rPr>
          <w:rFonts w:cstheme="minorHAnsi"/>
          <w:spacing w:val="11"/>
          <w:w w:val="105"/>
        </w:rPr>
        <w:t xml:space="preserve"> </w:t>
      </w:r>
      <w:r w:rsidR="006E323F" w:rsidRPr="00C84023">
        <w:rPr>
          <w:rFonts w:cstheme="minorHAnsi"/>
          <w:w w:val="105"/>
        </w:rPr>
        <w:t>(AEPIP)</w:t>
      </w:r>
      <w:r w:rsidR="006E323F" w:rsidRPr="00C84023">
        <w:rPr>
          <w:rFonts w:cstheme="minorHAnsi"/>
          <w:spacing w:val="11"/>
          <w:w w:val="105"/>
        </w:rPr>
        <w:t xml:space="preserve"> </w:t>
      </w:r>
      <w:r w:rsidR="006E323F" w:rsidRPr="00C84023">
        <w:rPr>
          <w:rFonts w:cstheme="minorHAnsi"/>
          <w:w w:val="105"/>
        </w:rPr>
        <w:t>is required</w:t>
      </w:r>
      <w:r w:rsidR="006E323F" w:rsidRPr="00C84023">
        <w:rPr>
          <w:rFonts w:cstheme="minorHAnsi"/>
          <w:spacing w:val="11"/>
          <w:w w:val="105"/>
        </w:rPr>
        <w:t xml:space="preserve"> </w:t>
      </w:r>
      <w:r w:rsidR="006E323F" w:rsidRPr="00C84023">
        <w:rPr>
          <w:rFonts w:cstheme="minorHAnsi"/>
          <w:w w:val="105"/>
        </w:rPr>
        <w:t>if</w:t>
      </w:r>
      <w:r w:rsidR="006E323F" w:rsidRPr="00C84023">
        <w:rPr>
          <w:rFonts w:cstheme="minorHAnsi"/>
          <w:spacing w:val="11"/>
          <w:w w:val="105"/>
        </w:rPr>
        <w:t xml:space="preserve"> </w:t>
      </w:r>
      <w:r w:rsidR="006E323F" w:rsidRPr="00C84023">
        <w:rPr>
          <w:rFonts w:cstheme="minorHAnsi"/>
          <w:w w:val="105"/>
        </w:rPr>
        <w:t>the</w:t>
      </w:r>
      <w:r w:rsidR="006E323F" w:rsidRPr="00C84023">
        <w:rPr>
          <w:rFonts w:cstheme="minorHAnsi"/>
          <w:spacing w:val="11"/>
          <w:w w:val="105"/>
        </w:rPr>
        <w:t xml:space="preserve"> </w:t>
      </w:r>
      <w:r w:rsidR="006E323F" w:rsidRPr="00C84023">
        <w:rPr>
          <w:rFonts w:cstheme="minorHAnsi"/>
          <w:w w:val="105"/>
        </w:rPr>
        <w:t>DCAE</w:t>
      </w:r>
      <w:r w:rsidR="006E323F" w:rsidRPr="00C84023">
        <w:rPr>
          <w:rFonts w:cstheme="minorHAnsi"/>
          <w:spacing w:val="11"/>
          <w:w w:val="105"/>
        </w:rPr>
        <w:t xml:space="preserve"> </w:t>
      </w:r>
      <w:r w:rsidR="006E323F" w:rsidRPr="00C84023">
        <w:rPr>
          <w:rFonts w:cstheme="minorHAnsi"/>
          <w:w w:val="105"/>
        </w:rPr>
        <w:t>determines</w:t>
      </w:r>
      <w:r w:rsidR="006E323F" w:rsidRPr="00C84023">
        <w:rPr>
          <w:rFonts w:cstheme="minorHAnsi"/>
          <w:spacing w:val="-18"/>
          <w:w w:val="105"/>
        </w:rPr>
        <w:t xml:space="preserve"> </w:t>
      </w:r>
      <w:r w:rsidR="006E323F" w:rsidRPr="00C84023">
        <w:rPr>
          <w:rFonts w:cstheme="minorHAnsi"/>
          <w:w w:val="105"/>
        </w:rPr>
        <w:t>an</w:t>
      </w:r>
      <w:r w:rsidR="006E323F" w:rsidRPr="00C84023">
        <w:rPr>
          <w:rFonts w:cstheme="minorHAnsi"/>
          <w:spacing w:val="6"/>
          <w:w w:val="105"/>
        </w:rPr>
        <w:t xml:space="preserve"> </w:t>
      </w:r>
      <w:r w:rsidR="006E323F" w:rsidRPr="00C84023">
        <w:rPr>
          <w:rFonts w:cstheme="minorHAnsi"/>
          <w:w w:val="105"/>
        </w:rPr>
        <w:t>eligible</w:t>
      </w:r>
      <w:r w:rsidR="006E323F" w:rsidRPr="00C84023">
        <w:rPr>
          <w:rFonts w:cstheme="minorHAnsi"/>
          <w:spacing w:val="6"/>
          <w:w w:val="105"/>
        </w:rPr>
        <w:t xml:space="preserve"> </w:t>
      </w:r>
      <w:r w:rsidR="006E323F" w:rsidRPr="00C84023">
        <w:rPr>
          <w:rFonts w:cstheme="minorHAnsi"/>
          <w:w w:val="105"/>
        </w:rPr>
        <w:t>recipient</w:t>
      </w:r>
      <w:r w:rsidR="006E323F" w:rsidRPr="00C84023">
        <w:rPr>
          <w:rFonts w:cstheme="minorHAnsi"/>
          <w:spacing w:val="6"/>
          <w:w w:val="105"/>
        </w:rPr>
        <w:t xml:space="preserve"> </w:t>
      </w:r>
      <w:r w:rsidR="006E323F" w:rsidRPr="00C84023">
        <w:rPr>
          <w:rFonts w:cstheme="minorHAnsi"/>
          <w:w w:val="105"/>
        </w:rPr>
        <w:t>failed</w:t>
      </w:r>
      <w:r w:rsidR="006E323F" w:rsidRPr="00C84023">
        <w:rPr>
          <w:rFonts w:cstheme="minorHAnsi"/>
          <w:spacing w:val="6"/>
          <w:w w:val="105"/>
        </w:rPr>
        <w:t xml:space="preserve"> </w:t>
      </w:r>
      <w:r w:rsidR="006E323F" w:rsidRPr="00C84023">
        <w:rPr>
          <w:rFonts w:cstheme="minorHAnsi"/>
          <w:w w:val="105"/>
        </w:rPr>
        <w:t>to</w:t>
      </w:r>
      <w:r w:rsidR="006E323F" w:rsidRPr="00C84023">
        <w:rPr>
          <w:rFonts w:cstheme="minorHAnsi"/>
          <w:spacing w:val="6"/>
          <w:w w:val="105"/>
        </w:rPr>
        <w:t xml:space="preserve"> </w:t>
      </w:r>
      <w:r w:rsidR="006E323F" w:rsidRPr="00C84023">
        <w:rPr>
          <w:rFonts w:cstheme="minorHAnsi"/>
          <w:w w:val="105"/>
        </w:rPr>
        <w:t>meet</w:t>
      </w:r>
      <w:r w:rsidR="006E323F" w:rsidRPr="00C84023">
        <w:rPr>
          <w:rFonts w:cstheme="minorHAnsi"/>
          <w:spacing w:val="6"/>
          <w:w w:val="105"/>
        </w:rPr>
        <w:t xml:space="preserve"> </w:t>
      </w:r>
      <w:r w:rsidR="006E323F" w:rsidRPr="00C84023">
        <w:rPr>
          <w:rFonts w:cstheme="minorHAnsi"/>
          <w:w w:val="105"/>
        </w:rPr>
        <w:t>at</w:t>
      </w:r>
      <w:r w:rsidR="006E323F" w:rsidRPr="00C84023">
        <w:rPr>
          <w:rFonts w:cstheme="minorHAnsi"/>
          <w:spacing w:val="6"/>
          <w:w w:val="105"/>
        </w:rPr>
        <w:t xml:space="preserve"> </w:t>
      </w:r>
      <w:r w:rsidR="006E323F" w:rsidRPr="00C84023">
        <w:rPr>
          <w:rFonts w:cstheme="minorHAnsi"/>
          <w:w w:val="105"/>
        </w:rPr>
        <w:t>least</w:t>
      </w:r>
      <w:r w:rsidR="006E323F" w:rsidRPr="00C84023">
        <w:rPr>
          <w:rFonts w:cstheme="minorHAnsi"/>
          <w:spacing w:val="6"/>
          <w:w w:val="105"/>
        </w:rPr>
        <w:t xml:space="preserve"> </w:t>
      </w:r>
      <w:r w:rsidR="006E323F" w:rsidRPr="00C84023">
        <w:rPr>
          <w:rFonts w:cstheme="minorHAnsi"/>
          <w:w w:val="105"/>
        </w:rPr>
        <w:t>90</w:t>
      </w:r>
      <w:r w:rsidR="006E323F" w:rsidRPr="00C84023">
        <w:rPr>
          <w:rFonts w:cstheme="minorHAnsi"/>
          <w:spacing w:val="6"/>
          <w:w w:val="105"/>
        </w:rPr>
        <w:t xml:space="preserve"> </w:t>
      </w:r>
      <w:r w:rsidR="006E323F" w:rsidRPr="00C84023">
        <w:rPr>
          <w:rFonts w:cstheme="minorHAnsi"/>
          <w:w w:val="105"/>
        </w:rPr>
        <w:t>percent</w:t>
      </w:r>
      <w:r w:rsidR="006E323F" w:rsidRPr="00C84023">
        <w:rPr>
          <w:rFonts w:cstheme="minorHAnsi"/>
          <w:spacing w:val="6"/>
          <w:w w:val="105"/>
        </w:rPr>
        <w:t xml:space="preserve"> </w:t>
      </w:r>
      <w:r w:rsidR="006E323F" w:rsidRPr="00C84023">
        <w:rPr>
          <w:rFonts w:cstheme="minorHAnsi"/>
          <w:w w:val="105"/>
        </w:rPr>
        <w:t>of</w:t>
      </w:r>
      <w:r w:rsidR="006E323F" w:rsidRPr="00C84023">
        <w:rPr>
          <w:rFonts w:cstheme="minorHAnsi"/>
          <w:spacing w:val="6"/>
          <w:w w:val="105"/>
        </w:rPr>
        <w:t xml:space="preserve"> </w:t>
      </w:r>
      <w:r w:rsidR="006E323F" w:rsidRPr="00C84023">
        <w:rPr>
          <w:rFonts w:cstheme="minorHAnsi"/>
          <w:w w:val="105"/>
        </w:rPr>
        <w:t>the</w:t>
      </w:r>
      <w:r w:rsidR="006E323F" w:rsidRPr="00C84023">
        <w:rPr>
          <w:rFonts w:cstheme="minorHAnsi"/>
          <w:spacing w:val="6"/>
          <w:w w:val="105"/>
        </w:rPr>
        <w:t xml:space="preserve"> </w:t>
      </w:r>
      <w:r w:rsidR="006E323F" w:rsidRPr="00C84023">
        <w:rPr>
          <w:rFonts w:cstheme="minorHAnsi"/>
          <w:w w:val="105"/>
        </w:rPr>
        <w:t>state</w:t>
      </w:r>
      <w:r w:rsidR="006E323F" w:rsidRPr="00C84023">
        <w:rPr>
          <w:rFonts w:cstheme="minorHAnsi"/>
          <w:spacing w:val="6"/>
          <w:w w:val="105"/>
        </w:rPr>
        <w:t xml:space="preserve"> </w:t>
      </w:r>
      <w:r w:rsidR="006E323F" w:rsidRPr="00C84023">
        <w:rPr>
          <w:rFonts w:cstheme="minorHAnsi"/>
          <w:w w:val="105"/>
        </w:rPr>
        <w:t>performance</w:t>
      </w:r>
      <w:r w:rsidR="006E323F" w:rsidRPr="00C84023">
        <w:rPr>
          <w:rFonts w:cstheme="minorHAnsi"/>
          <w:spacing w:val="6"/>
          <w:w w:val="105"/>
        </w:rPr>
        <w:t xml:space="preserve"> </w:t>
      </w:r>
      <w:r w:rsidR="006E323F" w:rsidRPr="00C84023">
        <w:rPr>
          <w:rFonts w:cstheme="minorHAnsi"/>
          <w:w w:val="105"/>
        </w:rPr>
        <w:t>target</w:t>
      </w:r>
      <w:r w:rsidR="006E323F" w:rsidRPr="00C84023">
        <w:rPr>
          <w:rFonts w:cstheme="minorHAnsi"/>
          <w:spacing w:val="6"/>
          <w:w w:val="105"/>
        </w:rPr>
        <w:t xml:space="preserve"> </w:t>
      </w:r>
      <w:r w:rsidR="006E323F" w:rsidRPr="00C84023">
        <w:rPr>
          <w:rFonts w:cstheme="minorHAnsi"/>
          <w:w w:val="105"/>
        </w:rPr>
        <w:t>or</w:t>
      </w:r>
      <w:r w:rsidR="006E323F" w:rsidRPr="00C84023">
        <w:rPr>
          <w:rFonts w:cstheme="minorHAnsi"/>
          <w:spacing w:val="-22"/>
          <w:w w:val="105"/>
        </w:rPr>
        <w:t xml:space="preserve"> </w:t>
      </w:r>
      <w:r w:rsidR="006E323F" w:rsidRPr="00C84023">
        <w:rPr>
          <w:rFonts w:cstheme="minorHAnsi"/>
          <w:w w:val="105"/>
        </w:rPr>
        <w:t>demonstrate improvement for each functioning level from the agency’s previous year completion rates.</w:t>
      </w:r>
    </w:p>
    <w:p w14:paraId="58185534" w14:textId="77777777" w:rsidR="006E323F" w:rsidRPr="00C84023" w:rsidRDefault="006E323F" w:rsidP="00D63204">
      <w:pPr>
        <w:widowControl w:val="0"/>
        <w:spacing w:before="8" w:after="0" w:line="240" w:lineRule="auto"/>
        <w:ind w:left="90"/>
        <w:rPr>
          <w:rFonts w:cstheme="minorHAnsi"/>
        </w:rPr>
      </w:pPr>
    </w:p>
    <w:p w14:paraId="3889958A" w14:textId="77777777" w:rsidR="006E323F" w:rsidRPr="00C84023" w:rsidRDefault="006E323F" w:rsidP="00D63204">
      <w:pPr>
        <w:widowControl w:val="0"/>
        <w:spacing w:after="0" w:line="238" w:lineRule="exact"/>
        <w:ind w:left="90"/>
        <w:rPr>
          <w:rFonts w:cstheme="minorHAnsi"/>
        </w:rPr>
      </w:pPr>
      <w:r w:rsidRPr="00C84023">
        <w:rPr>
          <w:rFonts w:cstheme="minorHAnsi"/>
          <w:w w:val="105"/>
        </w:rPr>
        <w:t>An</w:t>
      </w:r>
      <w:r w:rsidRPr="00C84023">
        <w:rPr>
          <w:rFonts w:cstheme="minorHAnsi"/>
          <w:spacing w:val="11"/>
          <w:w w:val="105"/>
        </w:rPr>
        <w:t xml:space="preserve"> </w:t>
      </w:r>
      <w:r w:rsidRPr="00C84023">
        <w:rPr>
          <w:rFonts w:cstheme="minorHAnsi"/>
          <w:w w:val="105"/>
        </w:rPr>
        <w:t>AEPIP</w:t>
      </w:r>
      <w:r w:rsidRPr="00C84023">
        <w:rPr>
          <w:rFonts w:cstheme="minorHAnsi"/>
          <w:spacing w:val="11"/>
          <w:w w:val="105"/>
        </w:rPr>
        <w:t xml:space="preserve"> </w:t>
      </w:r>
      <w:r w:rsidRPr="00C84023">
        <w:rPr>
          <w:rFonts w:cstheme="minorHAnsi"/>
          <w:w w:val="105"/>
        </w:rPr>
        <w:t>is required</w:t>
      </w:r>
      <w:r w:rsidRPr="00C84023">
        <w:rPr>
          <w:rFonts w:cstheme="minorHAnsi"/>
          <w:spacing w:val="11"/>
          <w:w w:val="105"/>
        </w:rPr>
        <w:t xml:space="preserve"> </w:t>
      </w:r>
      <w:r w:rsidRPr="00C84023">
        <w:rPr>
          <w:rFonts w:cstheme="minorHAnsi"/>
          <w:w w:val="105"/>
        </w:rPr>
        <w:t>for</w:t>
      </w:r>
      <w:r w:rsidRPr="00C84023">
        <w:rPr>
          <w:rFonts w:cstheme="minorHAnsi"/>
          <w:spacing w:val="11"/>
          <w:w w:val="105"/>
        </w:rPr>
        <w:t xml:space="preserve"> </w:t>
      </w:r>
      <w:r w:rsidRPr="00C84023">
        <w:rPr>
          <w:rFonts w:cstheme="minorHAnsi"/>
          <w:w w:val="105"/>
        </w:rPr>
        <w:t>each</w:t>
      </w:r>
      <w:r w:rsidRPr="00C84023">
        <w:rPr>
          <w:rFonts w:cstheme="minorHAnsi"/>
          <w:spacing w:val="11"/>
          <w:w w:val="105"/>
        </w:rPr>
        <w:t xml:space="preserve"> </w:t>
      </w:r>
      <w:r w:rsidRPr="00C84023">
        <w:rPr>
          <w:rFonts w:cstheme="minorHAnsi"/>
          <w:w w:val="105"/>
        </w:rPr>
        <w:t>educational</w:t>
      </w:r>
      <w:r w:rsidRPr="00C84023">
        <w:rPr>
          <w:rFonts w:cstheme="minorHAnsi"/>
          <w:spacing w:val="11"/>
          <w:w w:val="105"/>
        </w:rPr>
        <w:t xml:space="preserve"> </w:t>
      </w:r>
      <w:r w:rsidRPr="00C84023">
        <w:rPr>
          <w:rFonts w:cstheme="minorHAnsi"/>
          <w:w w:val="105"/>
        </w:rPr>
        <w:t>functioning</w:t>
      </w:r>
      <w:r w:rsidRPr="00C84023">
        <w:rPr>
          <w:rFonts w:cstheme="minorHAnsi"/>
          <w:spacing w:val="11"/>
          <w:w w:val="105"/>
        </w:rPr>
        <w:t xml:space="preserve"> </w:t>
      </w:r>
      <w:r w:rsidRPr="00C84023">
        <w:rPr>
          <w:rFonts w:cstheme="minorHAnsi"/>
          <w:w w:val="105"/>
        </w:rPr>
        <w:t>level</w:t>
      </w:r>
      <w:r w:rsidRPr="00C84023">
        <w:rPr>
          <w:rFonts w:cstheme="minorHAnsi"/>
          <w:spacing w:val="11"/>
          <w:w w:val="105"/>
        </w:rPr>
        <w:t xml:space="preserve"> </w:t>
      </w:r>
      <w:r w:rsidRPr="00C84023">
        <w:rPr>
          <w:rFonts w:cstheme="minorHAnsi"/>
          <w:w w:val="105"/>
        </w:rPr>
        <w:t>failing to</w:t>
      </w:r>
      <w:r w:rsidRPr="00C84023">
        <w:rPr>
          <w:rFonts w:cstheme="minorHAnsi"/>
          <w:spacing w:val="11"/>
          <w:w w:val="105"/>
        </w:rPr>
        <w:t xml:space="preserve"> </w:t>
      </w:r>
      <w:r w:rsidRPr="00C84023">
        <w:rPr>
          <w:rFonts w:cstheme="minorHAnsi"/>
          <w:w w:val="105"/>
        </w:rPr>
        <w:t>meet</w:t>
      </w:r>
      <w:r w:rsidRPr="00C84023">
        <w:rPr>
          <w:rFonts w:cstheme="minorHAnsi"/>
          <w:spacing w:val="11"/>
          <w:w w:val="105"/>
        </w:rPr>
        <w:t xml:space="preserve"> </w:t>
      </w:r>
      <w:r w:rsidRPr="00C84023">
        <w:rPr>
          <w:rFonts w:cstheme="minorHAnsi"/>
          <w:w w:val="105"/>
        </w:rPr>
        <w:t>required</w:t>
      </w:r>
      <w:r w:rsidRPr="00C84023">
        <w:rPr>
          <w:rFonts w:cstheme="minorHAnsi"/>
          <w:spacing w:val="11"/>
          <w:w w:val="105"/>
        </w:rPr>
        <w:t xml:space="preserve"> </w:t>
      </w:r>
      <w:r w:rsidRPr="00C84023">
        <w:rPr>
          <w:rFonts w:cstheme="minorHAnsi"/>
          <w:w w:val="105"/>
        </w:rPr>
        <w:t>standards</w:t>
      </w:r>
      <w:r w:rsidRPr="00C84023">
        <w:rPr>
          <w:rFonts w:cstheme="minorHAnsi"/>
          <w:w w:val="107"/>
        </w:rPr>
        <w:t xml:space="preserve"> </w:t>
      </w:r>
      <w:r w:rsidRPr="00C84023">
        <w:rPr>
          <w:rFonts w:cstheme="minorHAnsi"/>
          <w:w w:val="105"/>
        </w:rPr>
        <w:t>and is implemented starting in the second year of funding.</w:t>
      </w:r>
    </w:p>
    <w:p w14:paraId="113AAD52" w14:textId="77777777" w:rsidR="006E323F" w:rsidRPr="00C84023" w:rsidRDefault="006E323F" w:rsidP="00D63204">
      <w:pPr>
        <w:widowControl w:val="0"/>
        <w:spacing w:before="119" w:after="0" w:line="238" w:lineRule="exact"/>
        <w:ind w:left="90"/>
        <w:rPr>
          <w:rFonts w:cstheme="minorHAnsi"/>
        </w:rPr>
      </w:pPr>
      <w:r w:rsidRPr="00C84023">
        <w:rPr>
          <w:rFonts w:cstheme="minorHAnsi"/>
          <w:w w:val="105"/>
        </w:rPr>
        <w:t>In addition to program improvement plans and other actions taken to improve quality, the</w:t>
      </w:r>
      <w:r w:rsidRPr="00C84023">
        <w:rPr>
          <w:rFonts w:cstheme="minorHAnsi"/>
          <w:spacing w:val="10"/>
          <w:w w:val="105"/>
        </w:rPr>
        <w:t xml:space="preserve"> </w:t>
      </w:r>
      <w:r w:rsidRPr="00C84023">
        <w:rPr>
          <w:rFonts w:cstheme="minorHAnsi"/>
          <w:w w:val="105"/>
        </w:rPr>
        <w:t>following activities are</w:t>
      </w:r>
      <w:r w:rsidRPr="00C84023">
        <w:rPr>
          <w:rFonts w:cstheme="minorHAnsi"/>
          <w:spacing w:val="31"/>
          <w:w w:val="105"/>
        </w:rPr>
        <w:t xml:space="preserve"> </w:t>
      </w:r>
      <w:r w:rsidRPr="00C84023">
        <w:rPr>
          <w:rFonts w:cstheme="minorHAnsi"/>
          <w:w w:val="105"/>
        </w:rPr>
        <w:t>available:</w:t>
      </w:r>
    </w:p>
    <w:p w14:paraId="1317E2A2" w14:textId="77777777" w:rsidR="006E323F" w:rsidRPr="00C84023" w:rsidRDefault="006E323F" w:rsidP="00D63204">
      <w:pPr>
        <w:widowControl w:val="0"/>
        <w:spacing w:before="5" w:after="0" w:line="240" w:lineRule="auto"/>
        <w:ind w:left="90"/>
        <w:rPr>
          <w:rFonts w:cstheme="minorHAnsi"/>
          <w:sz w:val="30"/>
          <w:szCs w:val="30"/>
        </w:rPr>
      </w:pPr>
    </w:p>
    <w:p w14:paraId="165E0B0A" w14:textId="77777777" w:rsidR="006E323F" w:rsidRPr="00691C52" w:rsidRDefault="006E323F" w:rsidP="00D63204">
      <w:pPr>
        <w:widowControl w:val="0"/>
        <w:spacing w:after="0" w:line="253" w:lineRule="exact"/>
        <w:ind w:left="90"/>
        <w:outlineLvl w:val="2"/>
        <w:rPr>
          <w:rFonts w:cstheme="minorHAnsi"/>
        </w:rPr>
      </w:pPr>
      <w:r w:rsidRPr="00691C52">
        <w:rPr>
          <w:rFonts w:cstheme="minorHAnsi"/>
          <w:b/>
          <w:bCs/>
          <w:color w:val="231F20"/>
          <w:w w:val="110"/>
        </w:rPr>
        <w:t>New Director</w:t>
      </w:r>
      <w:r w:rsidRPr="00691C52">
        <w:rPr>
          <w:rFonts w:cstheme="minorHAnsi"/>
          <w:b/>
          <w:bCs/>
          <w:color w:val="231F20"/>
          <w:spacing w:val="-38"/>
          <w:w w:val="110"/>
        </w:rPr>
        <w:t xml:space="preserve"> </w:t>
      </w:r>
      <w:r w:rsidRPr="00691C52">
        <w:rPr>
          <w:rFonts w:cstheme="minorHAnsi"/>
          <w:b/>
          <w:bCs/>
          <w:color w:val="231F20"/>
          <w:w w:val="110"/>
        </w:rPr>
        <w:t>Training</w:t>
      </w:r>
    </w:p>
    <w:p w14:paraId="0B87AF34" w14:textId="7374EE94" w:rsidR="00691C52" w:rsidRPr="00691C52" w:rsidRDefault="006E323F" w:rsidP="00D63204">
      <w:pPr>
        <w:widowControl w:val="0"/>
        <w:spacing w:before="3" w:after="0" w:line="238" w:lineRule="exact"/>
        <w:ind w:left="90"/>
        <w:rPr>
          <w:rFonts w:cstheme="minorHAnsi"/>
          <w:w w:val="105"/>
        </w:rPr>
      </w:pPr>
      <w:r w:rsidRPr="00691C52">
        <w:rPr>
          <w:rFonts w:cstheme="minorHAnsi"/>
          <w:w w:val="105"/>
        </w:rPr>
        <w:t>Provides</w:t>
      </w:r>
      <w:r w:rsidRPr="00691C52">
        <w:rPr>
          <w:rFonts w:cstheme="minorHAnsi"/>
          <w:spacing w:val="15"/>
          <w:w w:val="105"/>
        </w:rPr>
        <w:t xml:space="preserve"> </w:t>
      </w:r>
      <w:r w:rsidRPr="00691C52">
        <w:rPr>
          <w:rFonts w:cstheme="minorHAnsi"/>
          <w:w w:val="105"/>
        </w:rPr>
        <w:t>new</w:t>
      </w:r>
      <w:r w:rsidRPr="00691C52">
        <w:rPr>
          <w:rFonts w:cstheme="minorHAnsi"/>
          <w:spacing w:val="15"/>
          <w:w w:val="105"/>
        </w:rPr>
        <w:t xml:space="preserve"> </w:t>
      </w:r>
      <w:r w:rsidRPr="00691C52">
        <w:rPr>
          <w:rFonts w:cstheme="minorHAnsi"/>
          <w:w w:val="105"/>
        </w:rPr>
        <w:t>directors</w:t>
      </w:r>
      <w:r w:rsidRPr="00691C52">
        <w:rPr>
          <w:rFonts w:cstheme="minorHAnsi"/>
          <w:spacing w:val="15"/>
          <w:w w:val="105"/>
        </w:rPr>
        <w:t xml:space="preserve"> </w:t>
      </w:r>
      <w:r w:rsidRPr="00691C52">
        <w:rPr>
          <w:rFonts w:cstheme="minorHAnsi"/>
          <w:w w:val="105"/>
        </w:rPr>
        <w:t>with</w:t>
      </w:r>
      <w:r w:rsidRPr="00691C52">
        <w:rPr>
          <w:rFonts w:cstheme="minorHAnsi"/>
          <w:spacing w:val="15"/>
          <w:w w:val="105"/>
        </w:rPr>
        <w:t xml:space="preserve"> </w:t>
      </w:r>
      <w:r w:rsidRPr="00691C52">
        <w:rPr>
          <w:rFonts w:cstheme="minorHAnsi"/>
          <w:w w:val="105"/>
        </w:rPr>
        <w:t>information</w:t>
      </w:r>
      <w:r w:rsidRPr="00691C52">
        <w:rPr>
          <w:rFonts w:cstheme="minorHAnsi"/>
          <w:spacing w:val="15"/>
          <w:w w:val="105"/>
        </w:rPr>
        <w:t xml:space="preserve"> </w:t>
      </w:r>
      <w:r w:rsidRPr="00691C52">
        <w:rPr>
          <w:rFonts w:cstheme="minorHAnsi"/>
          <w:w w:val="105"/>
        </w:rPr>
        <w:t>such</w:t>
      </w:r>
      <w:r w:rsidRPr="00691C52">
        <w:rPr>
          <w:rFonts w:cstheme="minorHAnsi"/>
          <w:spacing w:val="15"/>
          <w:w w:val="105"/>
        </w:rPr>
        <w:t xml:space="preserve"> </w:t>
      </w:r>
      <w:r w:rsidRPr="00691C52">
        <w:rPr>
          <w:rFonts w:cstheme="minorHAnsi"/>
          <w:w w:val="105"/>
        </w:rPr>
        <w:t>as</w:t>
      </w:r>
      <w:r w:rsidRPr="00691C52">
        <w:rPr>
          <w:rFonts w:cstheme="minorHAnsi"/>
          <w:spacing w:val="15"/>
          <w:w w:val="105"/>
        </w:rPr>
        <w:t xml:space="preserve"> </w:t>
      </w:r>
      <w:r w:rsidRPr="00691C52">
        <w:rPr>
          <w:rFonts w:cstheme="minorHAnsi"/>
          <w:w w:val="105"/>
        </w:rPr>
        <w:t>federal</w:t>
      </w:r>
      <w:r w:rsidRPr="00691C52">
        <w:rPr>
          <w:rFonts w:cstheme="minorHAnsi"/>
          <w:spacing w:val="15"/>
          <w:w w:val="105"/>
        </w:rPr>
        <w:t xml:space="preserve"> </w:t>
      </w:r>
      <w:r w:rsidRPr="00691C52">
        <w:rPr>
          <w:rFonts w:cstheme="minorHAnsi"/>
          <w:w w:val="105"/>
        </w:rPr>
        <w:t>and</w:t>
      </w:r>
      <w:r w:rsidRPr="00691C52">
        <w:rPr>
          <w:rFonts w:cstheme="minorHAnsi"/>
          <w:spacing w:val="15"/>
          <w:w w:val="105"/>
        </w:rPr>
        <w:t xml:space="preserve"> </w:t>
      </w:r>
      <w:r w:rsidRPr="00691C52">
        <w:rPr>
          <w:rFonts w:cstheme="minorHAnsi"/>
          <w:w w:val="105"/>
        </w:rPr>
        <w:t>state</w:t>
      </w:r>
      <w:r w:rsidRPr="00691C52">
        <w:rPr>
          <w:rFonts w:cstheme="minorHAnsi"/>
          <w:spacing w:val="15"/>
          <w:w w:val="105"/>
        </w:rPr>
        <w:t xml:space="preserve"> </w:t>
      </w:r>
      <w:r w:rsidRPr="00691C52">
        <w:rPr>
          <w:rFonts w:cstheme="minorHAnsi"/>
          <w:w w:val="105"/>
        </w:rPr>
        <w:t>guidelines,</w:t>
      </w:r>
      <w:r w:rsidRPr="00691C52">
        <w:rPr>
          <w:rFonts w:cstheme="minorHAnsi"/>
          <w:spacing w:val="15"/>
          <w:w w:val="105"/>
        </w:rPr>
        <w:t xml:space="preserve"> </w:t>
      </w:r>
      <w:r w:rsidRPr="00691C52">
        <w:rPr>
          <w:rFonts w:cstheme="minorHAnsi"/>
          <w:w w:val="105"/>
        </w:rPr>
        <w:t>data</w:t>
      </w:r>
      <w:r w:rsidRPr="00691C52">
        <w:rPr>
          <w:rFonts w:cstheme="minorHAnsi"/>
          <w:spacing w:val="15"/>
          <w:w w:val="105"/>
        </w:rPr>
        <w:t xml:space="preserve"> </w:t>
      </w:r>
      <w:r w:rsidRPr="00691C52">
        <w:rPr>
          <w:rFonts w:cstheme="minorHAnsi"/>
          <w:w w:val="105"/>
        </w:rPr>
        <w:t>collection</w:t>
      </w:r>
      <w:r w:rsidRPr="00691C52">
        <w:rPr>
          <w:rFonts w:cstheme="minorHAnsi"/>
          <w:spacing w:val="15"/>
          <w:w w:val="105"/>
        </w:rPr>
        <w:t xml:space="preserve"> </w:t>
      </w:r>
      <w:r w:rsidRPr="00691C52">
        <w:rPr>
          <w:rFonts w:cstheme="minorHAnsi"/>
          <w:w w:val="105"/>
        </w:rPr>
        <w:t>and</w:t>
      </w:r>
      <w:r w:rsidRPr="00691C52">
        <w:rPr>
          <w:rFonts w:cstheme="minorHAnsi"/>
          <w:spacing w:val="15"/>
          <w:w w:val="105"/>
        </w:rPr>
        <w:t xml:space="preserve"> </w:t>
      </w:r>
      <w:r w:rsidRPr="00691C52">
        <w:rPr>
          <w:rFonts w:cstheme="minorHAnsi"/>
          <w:w w:val="105"/>
        </w:rPr>
        <w:t>NRS</w:t>
      </w:r>
      <w:r w:rsidRPr="00691C52">
        <w:rPr>
          <w:rFonts w:cstheme="minorHAnsi"/>
          <w:w w:val="115"/>
        </w:rPr>
        <w:t xml:space="preserve"> </w:t>
      </w:r>
      <w:r w:rsidRPr="00691C52">
        <w:rPr>
          <w:rFonts w:cstheme="minorHAnsi"/>
          <w:w w:val="105"/>
        </w:rPr>
        <w:t>reporting</w:t>
      </w:r>
      <w:r w:rsidR="00D5537E">
        <w:rPr>
          <w:rFonts w:cstheme="minorHAnsi"/>
          <w:w w:val="105"/>
        </w:rPr>
        <w:t xml:space="preserve"> and</w:t>
      </w:r>
      <w:r w:rsidRPr="00691C52">
        <w:rPr>
          <w:rFonts w:cstheme="minorHAnsi"/>
          <w:w w:val="105"/>
        </w:rPr>
        <w:t xml:space="preserve"> resources needed to administer their programs.</w:t>
      </w:r>
    </w:p>
    <w:p w14:paraId="131BF404" w14:textId="77777777" w:rsidR="00DE343A" w:rsidRDefault="00DE343A" w:rsidP="00D63204">
      <w:pPr>
        <w:widowControl w:val="0"/>
        <w:spacing w:before="3" w:after="0" w:line="238" w:lineRule="exact"/>
        <w:ind w:left="90"/>
        <w:rPr>
          <w:rFonts w:cstheme="minorHAnsi"/>
          <w:b/>
          <w:bCs/>
          <w:color w:val="231F20"/>
          <w:spacing w:val="-4"/>
          <w:w w:val="110"/>
        </w:rPr>
      </w:pPr>
    </w:p>
    <w:p w14:paraId="5E2A6819" w14:textId="1DD86EB6" w:rsidR="006E323F" w:rsidRPr="00691C52" w:rsidRDefault="006E323F" w:rsidP="00D63204">
      <w:pPr>
        <w:widowControl w:val="0"/>
        <w:spacing w:before="3" w:after="0" w:line="238" w:lineRule="exact"/>
        <w:ind w:left="90"/>
        <w:rPr>
          <w:rFonts w:cstheme="minorHAnsi"/>
        </w:rPr>
      </w:pPr>
      <w:r w:rsidRPr="00691C52">
        <w:rPr>
          <w:rFonts w:cstheme="minorHAnsi"/>
          <w:b/>
          <w:bCs/>
          <w:color w:val="231F20"/>
          <w:spacing w:val="-4"/>
          <w:w w:val="110"/>
        </w:rPr>
        <w:t xml:space="preserve">TABE </w:t>
      </w:r>
      <w:r w:rsidRPr="00691C52">
        <w:rPr>
          <w:rFonts w:cstheme="minorHAnsi"/>
          <w:b/>
          <w:bCs/>
          <w:color w:val="231F20"/>
          <w:w w:val="110"/>
        </w:rPr>
        <w:t>and CASAS</w:t>
      </w:r>
      <w:r w:rsidRPr="00691C52">
        <w:rPr>
          <w:rFonts w:cstheme="minorHAnsi"/>
          <w:b/>
          <w:bCs/>
          <w:color w:val="231F20"/>
          <w:spacing w:val="31"/>
          <w:w w:val="110"/>
        </w:rPr>
        <w:t xml:space="preserve"> </w:t>
      </w:r>
      <w:r w:rsidRPr="00691C52">
        <w:rPr>
          <w:rFonts w:cstheme="minorHAnsi"/>
          <w:b/>
          <w:bCs/>
          <w:color w:val="231F20"/>
          <w:w w:val="110"/>
        </w:rPr>
        <w:t>Training/Trainers</w:t>
      </w:r>
    </w:p>
    <w:p w14:paraId="1BE86186" w14:textId="77777777" w:rsidR="006E323F" w:rsidRPr="00691C52" w:rsidRDefault="006E323F" w:rsidP="00D63204">
      <w:pPr>
        <w:widowControl w:val="0"/>
        <w:spacing w:before="3" w:after="0" w:line="238" w:lineRule="exact"/>
        <w:ind w:left="90"/>
        <w:rPr>
          <w:rFonts w:cstheme="minorHAnsi"/>
        </w:rPr>
      </w:pPr>
      <w:r w:rsidRPr="00691C52">
        <w:rPr>
          <w:rFonts w:cstheme="minorHAnsi"/>
          <w:w w:val="105"/>
        </w:rPr>
        <w:t>Through ongoing training, a network of trained professionals ensures the uniform administration</w:t>
      </w:r>
      <w:r w:rsidRPr="00691C52">
        <w:rPr>
          <w:rFonts w:cstheme="minorHAnsi"/>
          <w:spacing w:val="35"/>
          <w:w w:val="105"/>
        </w:rPr>
        <w:t xml:space="preserve"> </w:t>
      </w:r>
      <w:r w:rsidRPr="00691C52">
        <w:rPr>
          <w:rFonts w:cstheme="minorHAnsi"/>
          <w:w w:val="105"/>
        </w:rPr>
        <w:t>and</w:t>
      </w:r>
      <w:r w:rsidRPr="00691C52">
        <w:rPr>
          <w:rFonts w:cstheme="minorHAnsi"/>
          <w:w w:val="108"/>
        </w:rPr>
        <w:t xml:space="preserve"> </w:t>
      </w:r>
      <w:r w:rsidRPr="00691C52">
        <w:rPr>
          <w:rFonts w:cstheme="minorHAnsi"/>
          <w:w w:val="105"/>
        </w:rPr>
        <w:t>reporting of assessments used for determining federal level gains.</w:t>
      </w:r>
    </w:p>
    <w:p w14:paraId="3CF20E5F" w14:textId="77777777" w:rsidR="006E323F" w:rsidRPr="00691C52" w:rsidRDefault="006E323F" w:rsidP="00D63204">
      <w:pPr>
        <w:widowControl w:val="0"/>
        <w:spacing w:before="5" w:after="0" w:line="240" w:lineRule="auto"/>
        <w:ind w:left="90"/>
        <w:rPr>
          <w:rFonts w:cstheme="minorHAnsi"/>
        </w:rPr>
      </w:pPr>
    </w:p>
    <w:p w14:paraId="50F70D2D" w14:textId="77777777" w:rsidR="007D2256" w:rsidRDefault="007D2256" w:rsidP="00D63204">
      <w:pPr>
        <w:widowControl w:val="0"/>
        <w:spacing w:after="0" w:line="253" w:lineRule="exact"/>
        <w:ind w:left="90"/>
        <w:outlineLvl w:val="2"/>
        <w:rPr>
          <w:rFonts w:cstheme="minorHAnsi"/>
          <w:b/>
          <w:bCs/>
          <w:color w:val="231F20"/>
          <w:w w:val="110"/>
        </w:rPr>
      </w:pPr>
    </w:p>
    <w:p w14:paraId="04B3BE93" w14:textId="77777777" w:rsidR="007D2256" w:rsidRDefault="007D2256" w:rsidP="00D63204">
      <w:pPr>
        <w:widowControl w:val="0"/>
        <w:spacing w:after="0" w:line="253" w:lineRule="exact"/>
        <w:ind w:left="90"/>
        <w:outlineLvl w:val="2"/>
        <w:rPr>
          <w:rFonts w:cstheme="minorHAnsi"/>
          <w:b/>
          <w:bCs/>
          <w:color w:val="231F20"/>
          <w:w w:val="110"/>
        </w:rPr>
      </w:pPr>
    </w:p>
    <w:p w14:paraId="2D1E314C" w14:textId="29CEFC59" w:rsidR="006E323F" w:rsidRPr="00691C52" w:rsidRDefault="006E323F" w:rsidP="00D63204">
      <w:pPr>
        <w:widowControl w:val="0"/>
        <w:spacing w:after="0" w:line="253" w:lineRule="exact"/>
        <w:ind w:left="90"/>
        <w:outlineLvl w:val="2"/>
        <w:rPr>
          <w:rFonts w:cstheme="minorHAnsi"/>
        </w:rPr>
      </w:pPr>
      <w:r w:rsidRPr="00691C52">
        <w:rPr>
          <w:rFonts w:cstheme="minorHAnsi"/>
          <w:b/>
          <w:bCs/>
          <w:color w:val="231F20"/>
          <w:w w:val="110"/>
        </w:rPr>
        <w:t>Data</w:t>
      </w:r>
      <w:r w:rsidRPr="00691C52">
        <w:rPr>
          <w:rFonts w:cstheme="minorHAnsi"/>
          <w:b/>
          <w:bCs/>
          <w:color w:val="231F20"/>
          <w:spacing w:val="-18"/>
          <w:w w:val="110"/>
        </w:rPr>
        <w:t xml:space="preserve"> </w:t>
      </w:r>
      <w:r w:rsidRPr="00691C52">
        <w:rPr>
          <w:rFonts w:cstheme="minorHAnsi"/>
          <w:b/>
          <w:bCs/>
          <w:color w:val="231F20"/>
          <w:w w:val="110"/>
        </w:rPr>
        <w:t>Reporting</w:t>
      </w:r>
      <w:r w:rsidRPr="00691C52">
        <w:rPr>
          <w:rFonts w:cstheme="minorHAnsi"/>
          <w:b/>
          <w:bCs/>
          <w:color w:val="231F20"/>
          <w:spacing w:val="-18"/>
          <w:w w:val="110"/>
        </w:rPr>
        <w:t xml:space="preserve"> </w:t>
      </w:r>
      <w:r w:rsidRPr="00691C52">
        <w:rPr>
          <w:rFonts w:cstheme="minorHAnsi"/>
          <w:b/>
          <w:bCs/>
          <w:color w:val="231F20"/>
          <w:w w:val="110"/>
        </w:rPr>
        <w:t>and</w:t>
      </w:r>
      <w:r w:rsidRPr="00691C52">
        <w:rPr>
          <w:rFonts w:cstheme="minorHAnsi"/>
          <w:b/>
          <w:bCs/>
          <w:color w:val="231F20"/>
          <w:spacing w:val="-18"/>
          <w:w w:val="110"/>
        </w:rPr>
        <w:t xml:space="preserve"> </w:t>
      </w:r>
      <w:r w:rsidRPr="00691C52">
        <w:rPr>
          <w:rFonts w:cstheme="minorHAnsi"/>
          <w:b/>
          <w:bCs/>
          <w:color w:val="231F20"/>
          <w:w w:val="110"/>
        </w:rPr>
        <w:t>Program</w:t>
      </w:r>
      <w:r w:rsidRPr="00691C52">
        <w:rPr>
          <w:rFonts w:cstheme="minorHAnsi"/>
          <w:b/>
          <w:bCs/>
          <w:color w:val="231F20"/>
          <w:spacing w:val="-18"/>
          <w:w w:val="110"/>
        </w:rPr>
        <w:t xml:space="preserve"> </w:t>
      </w:r>
      <w:r w:rsidRPr="00691C52">
        <w:rPr>
          <w:rFonts w:cstheme="minorHAnsi"/>
          <w:b/>
          <w:bCs/>
          <w:color w:val="231F20"/>
          <w:w w:val="110"/>
        </w:rPr>
        <w:t>Improvement</w:t>
      </w:r>
      <w:r w:rsidRPr="00691C52">
        <w:rPr>
          <w:rFonts w:cstheme="minorHAnsi"/>
          <w:b/>
          <w:bCs/>
          <w:color w:val="231F20"/>
          <w:spacing w:val="-18"/>
          <w:w w:val="110"/>
        </w:rPr>
        <w:t xml:space="preserve"> </w:t>
      </w:r>
      <w:r w:rsidRPr="00691C52">
        <w:rPr>
          <w:rFonts w:cstheme="minorHAnsi"/>
          <w:b/>
          <w:bCs/>
          <w:color w:val="231F20"/>
          <w:w w:val="110"/>
        </w:rPr>
        <w:t>Training</w:t>
      </w:r>
    </w:p>
    <w:p w14:paraId="7A5601D4" w14:textId="67F18732" w:rsidR="006E323F" w:rsidRPr="00691C52" w:rsidRDefault="006E323F" w:rsidP="00D63204">
      <w:pPr>
        <w:widowControl w:val="0"/>
        <w:spacing w:before="3" w:after="0" w:line="238" w:lineRule="exact"/>
        <w:ind w:left="90"/>
        <w:rPr>
          <w:rFonts w:cstheme="minorHAnsi"/>
        </w:rPr>
      </w:pPr>
      <w:r w:rsidRPr="00691C52">
        <w:rPr>
          <w:rFonts w:cstheme="minorHAnsi"/>
          <w:w w:val="105"/>
        </w:rPr>
        <w:t xml:space="preserve">Provides training on the fundamentals of the NRS. </w:t>
      </w:r>
      <w:r w:rsidRPr="00691C52">
        <w:rPr>
          <w:rFonts w:cstheme="minorHAnsi"/>
          <w:spacing w:val="-4"/>
          <w:w w:val="105"/>
        </w:rPr>
        <w:t xml:space="preserve">Topics </w:t>
      </w:r>
      <w:r w:rsidRPr="00691C52">
        <w:rPr>
          <w:rFonts w:cstheme="minorHAnsi"/>
          <w:w w:val="105"/>
        </w:rPr>
        <w:t>include monitoring, data analysis and</w:t>
      </w:r>
      <w:r w:rsidRPr="00691C52">
        <w:rPr>
          <w:rFonts w:cstheme="minorHAnsi"/>
          <w:spacing w:val="12"/>
          <w:w w:val="105"/>
        </w:rPr>
        <w:t xml:space="preserve"> </w:t>
      </w:r>
      <w:r w:rsidRPr="00691C52">
        <w:rPr>
          <w:rFonts w:cstheme="minorHAnsi"/>
          <w:w w:val="105"/>
        </w:rPr>
        <w:t>collection,</w:t>
      </w:r>
      <w:r w:rsidRPr="00691C52">
        <w:rPr>
          <w:rFonts w:cstheme="minorHAnsi"/>
          <w:w w:val="106"/>
        </w:rPr>
        <w:t xml:space="preserve"> </w:t>
      </w:r>
      <w:r w:rsidRPr="00691C52">
        <w:rPr>
          <w:rFonts w:cstheme="minorHAnsi"/>
          <w:w w:val="105"/>
        </w:rPr>
        <w:t>types of data and measures, assessments, data quality</w:t>
      </w:r>
      <w:r w:rsidR="00D5537E">
        <w:rPr>
          <w:rFonts w:cstheme="minorHAnsi"/>
          <w:w w:val="105"/>
        </w:rPr>
        <w:t xml:space="preserve"> and</w:t>
      </w:r>
      <w:r w:rsidRPr="00691C52">
        <w:rPr>
          <w:rFonts w:cstheme="minorHAnsi"/>
          <w:w w:val="105"/>
        </w:rPr>
        <w:t xml:space="preserve"> related information.</w:t>
      </w:r>
    </w:p>
    <w:p w14:paraId="50911E52" w14:textId="77777777" w:rsidR="006E323F" w:rsidRPr="00691C52" w:rsidRDefault="006E323F" w:rsidP="00D63204">
      <w:pPr>
        <w:widowControl w:val="0"/>
        <w:spacing w:after="0" w:line="240" w:lineRule="auto"/>
        <w:ind w:left="90"/>
        <w:rPr>
          <w:rFonts w:cstheme="minorHAnsi"/>
        </w:rPr>
      </w:pPr>
    </w:p>
    <w:p w14:paraId="6A4516D0" w14:textId="77777777" w:rsidR="006E323F" w:rsidRPr="00691C52" w:rsidRDefault="006E323F" w:rsidP="00D63204">
      <w:pPr>
        <w:widowControl w:val="0"/>
        <w:spacing w:after="0" w:line="253" w:lineRule="exact"/>
        <w:ind w:left="90"/>
        <w:outlineLvl w:val="2"/>
        <w:rPr>
          <w:rFonts w:cstheme="minorHAnsi"/>
        </w:rPr>
      </w:pPr>
      <w:r w:rsidRPr="00691C52">
        <w:rPr>
          <w:rFonts w:cstheme="minorHAnsi"/>
          <w:b/>
          <w:bCs/>
          <w:color w:val="231F20"/>
          <w:spacing w:val="-3"/>
          <w:w w:val="110"/>
        </w:rPr>
        <w:t>Technical</w:t>
      </w:r>
      <w:r w:rsidRPr="00691C52">
        <w:rPr>
          <w:rFonts w:cstheme="minorHAnsi"/>
          <w:b/>
          <w:bCs/>
          <w:color w:val="231F20"/>
          <w:spacing w:val="40"/>
          <w:w w:val="110"/>
        </w:rPr>
        <w:t xml:space="preserve"> </w:t>
      </w:r>
      <w:r w:rsidRPr="00691C52">
        <w:rPr>
          <w:rFonts w:cstheme="minorHAnsi"/>
          <w:b/>
          <w:bCs/>
          <w:color w:val="231F20"/>
          <w:w w:val="110"/>
        </w:rPr>
        <w:t>Assistance</w:t>
      </w:r>
    </w:p>
    <w:p w14:paraId="2103B226" w14:textId="67354B78" w:rsidR="00691C52" w:rsidRDefault="006E323F" w:rsidP="00D63204">
      <w:pPr>
        <w:widowControl w:val="0"/>
        <w:spacing w:before="3" w:after="0" w:line="238" w:lineRule="exact"/>
        <w:ind w:left="90"/>
        <w:rPr>
          <w:rFonts w:cstheme="minorHAnsi"/>
        </w:rPr>
      </w:pPr>
      <w:r w:rsidRPr="00691C52">
        <w:rPr>
          <w:rFonts w:cstheme="minorHAnsi"/>
          <w:w w:val="105"/>
        </w:rPr>
        <w:t>Adult education Bi-monthly calls informing adult educators of program changes, reporting</w:t>
      </w:r>
      <w:r w:rsidRPr="00691C52">
        <w:rPr>
          <w:rFonts w:cstheme="minorHAnsi"/>
          <w:spacing w:val="45"/>
          <w:w w:val="105"/>
        </w:rPr>
        <w:t xml:space="preserve"> </w:t>
      </w:r>
      <w:r w:rsidRPr="00691C52">
        <w:rPr>
          <w:rFonts w:cstheme="minorHAnsi"/>
          <w:w w:val="105"/>
        </w:rPr>
        <w:t>announcements</w:t>
      </w:r>
      <w:r w:rsidR="00D5537E">
        <w:rPr>
          <w:rFonts w:cstheme="minorHAnsi"/>
          <w:w w:val="105"/>
        </w:rPr>
        <w:t xml:space="preserve"> and</w:t>
      </w:r>
      <w:r w:rsidRPr="00691C52">
        <w:rPr>
          <w:rFonts w:cstheme="minorHAnsi"/>
          <w:spacing w:val="14"/>
          <w:w w:val="105"/>
        </w:rPr>
        <w:t xml:space="preserve"> </w:t>
      </w:r>
      <w:r w:rsidRPr="00691C52">
        <w:rPr>
          <w:rFonts w:cstheme="minorHAnsi"/>
          <w:w w:val="105"/>
        </w:rPr>
        <w:t>opportunities</w:t>
      </w:r>
      <w:r w:rsidRPr="00691C52">
        <w:rPr>
          <w:rFonts w:cstheme="minorHAnsi"/>
          <w:spacing w:val="14"/>
          <w:w w:val="105"/>
        </w:rPr>
        <w:t xml:space="preserve"> </w:t>
      </w:r>
      <w:r w:rsidRPr="00691C52">
        <w:rPr>
          <w:rFonts w:cstheme="minorHAnsi"/>
          <w:w w:val="105"/>
        </w:rPr>
        <w:t>to</w:t>
      </w:r>
      <w:r w:rsidRPr="00691C52">
        <w:rPr>
          <w:rFonts w:cstheme="minorHAnsi"/>
          <w:spacing w:val="14"/>
          <w:w w:val="105"/>
        </w:rPr>
        <w:t xml:space="preserve"> </w:t>
      </w:r>
      <w:r w:rsidRPr="00691C52">
        <w:rPr>
          <w:rFonts w:cstheme="minorHAnsi"/>
          <w:w w:val="105"/>
        </w:rPr>
        <w:t>ask</w:t>
      </w:r>
      <w:r w:rsidRPr="00691C52">
        <w:rPr>
          <w:rFonts w:cstheme="minorHAnsi"/>
          <w:spacing w:val="14"/>
          <w:w w:val="105"/>
        </w:rPr>
        <w:t xml:space="preserve"> </w:t>
      </w:r>
      <w:r w:rsidRPr="00691C52">
        <w:rPr>
          <w:rFonts w:cstheme="minorHAnsi"/>
          <w:w w:val="105"/>
        </w:rPr>
        <w:t>questions</w:t>
      </w:r>
      <w:r w:rsidRPr="00691C52">
        <w:rPr>
          <w:rFonts w:cstheme="minorHAnsi"/>
          <w:spacing w:val="14"/>
          <w:w w:val="105"/>
        </w:rPr>
        <w:t xml:space="preserve"> </w:t>
      </w:r>
      <w:r w:rsidRPr="00691C52">
        <w:rPr>
          <w:rFonts w:cstheme="minorHAnsi"/>
          <w:w w:val="105"/>
        </w:rPr>
        <w:t>of</w:t>
      </w:r>
      <w:r w:rsidRPr="00691C52">
        <w:rPr>
          <w:rFonts w:cstheme="minorHAnsi"/>
          <w:spacing w:val="14"/>
          <w:w w:val="105"/>
        </w:rPr>
        <w:t xml:space="preserve"> </w:t>
      </w:r>
      <w:r w:rsidRPr="00691C52">
        <w:rPr>
          <w:rFonts w:cstheme="minorHAnsi"/>
          <w:w w:val="105"/>
        </w:rPr>
        <w:t>the</w:t>
      </w:r>
      <w:r w:rsidRPr="00691C52">
        <w:rPr>
          <w:rFonts w:cstheme="minorHAnsi"/>
          <w:spacing w:val="14"/>
          <w:w w:val="105"/>
        </w:rPr>
        <w:t xml:space="preserve"> </w:t>
      </w:r>
      <w:r w:rsidRPr="00691C52">
        <w:rPr>
          <w:rFonts w:cstheme="minorHAnsi"/>
          <w:w w:val="105"/>
        </w:rPr>
        <w:t>DCAE</w:t>
      </w:r>
      <w:r w:rsidRPr="00691C52">
        <w:rPr>
          <w:rFonts w:cstheme="minorHAnsi"/>
          <w:spacing w:val="14"/>
          <w:w w:val="105"/>
        </w:rPr>
        <w:t xml:space="preserve"> </w:t>
      </w:r>
      <w:r w:rsidRPr="00691C52">
        <w:rPr>
          <w:rFonts w:cstheme="minorHAnsi"/>
          <w:w w:val="105"/>
        </w:rPr>
        <w:t>staff.</w:t>
      </w:r>
      <w:r w:rsidRPr="00691C52">
        <w:rPr>
          <w:rFonts w:cstheme="minorHAnsi"/>
          <w:spacing w:val="14"/>
          <w:w w:val="105"/>
        </w:rPr>
        <w:t xml:space="preserve"> </w:t>
      </w:r>
      <w:r w:rsidRPr="00691C52">
        <w:rPr>
          <w:rFonts w:cstheme="minorHAnsi"/>
          <w:w w:val="105"/>
        </w:rPr>
        <w:t>Technical</w:t>
      </w:r>
      <w:r w:rsidRPr="00691C52">
        <w:rPr>
          <w:rFonts w:cstheme="minorHAnsi"/>
          <w:spacing w:val="14"/>
          <w:w w:val="105"/>
        </w:rPr>
        <w:t xml:space="preserve"> </w:t>
      </w:r>
      <w:r w:rsidRPr="00691C52">
        <w:rPr>
          <w:rFonts w:cstheme="minorHAnsi"/>
          <w:w w:val="105"/>
        </w:rPr>
        <w:t>assistance</w:t>
      </w:r>
      <w:r w:rsidRPr="00691C52">
        <w:rPr>
          <w:rFonts w:cstheme="minorHAnsi"/>
          <w:spacing w:val="14"/>
          <w:w w:val="105"/>
        </w:rPr>
        <w:t xml:space="preserve"> </w:t>
      </w:r>
      <w:r w:rsidRPr="00691C52">
        <w:rPr>
          <w:rFonts w:cstheme="minorHAnsi"/>
          <w:w w:val="105"/>
        </w:rPr>
        <w:t>papers</w:t>
      </w:r>
      <w:r w:rsidRPr="00691C52">
        <w:rPr>
          <w:rFonts w:cstheme="minorHAnsi"/>
          <w:spacing w:val="14"/>
          <w:w w:val="105"/>
        </w:rPr>
        <w:t xml:space="preserve"> </w:t>
      </w:r>
      <w:r w:rsidRPr="00691C52">
        <w:rPr>
          <w:rFonts w:cstheme="minorHAnsi"/>
          <w:w w:val="105"/>
        </w:rPr>
        <w:t>are</w:t>
      </w:r>
      <w:r w:rsidRPr="00691C52">
        <w:rPr>
          <w:rFonts w:cstheme="minorHAnsi"/>
          <w:spacing w:val="14"/>
          <w:w w:val="105"/>
        </w:rPr>
        <w:t xml:space="preserve"> </w:t>
      </w:r>
      <w:r w:rsidRPr="00691C52">
        <w:rPr>
          <w:rFonts w:cstheme="minorHAnsi"/>
          <w:w w:val="105"/>
        </w:rPr>
        <w:t>posted</w:t>
      </w:r>
      <w:r w:rsidRPr="00691C52">
        <w:rPr>
          <w:rFonts w:cstheme="minorHAnsi"/>
          <w:spacing w:val="-17"/>
          <w:w w:val="105"/>
        </w:rPr>
        <w:t xml:space="preserve"> </w:t>
      </w:r>
      <w:r w:rsidR="00691C52">
        <w:rPr>
          <w:rFonts w:cstheme="minorHAnsi"/>
          <w:w w:val="105"/>
        </w:rPr>
        <w:t>on the FDOE website.</w:t>
      </w:r>
    </w:p>
    <w:p w14:paraId="261F263D" w14:textId="77777777" w:rsidR="00691C52" w:rsidRDefault="00691C52" w:rsidP="00D63204">
      <w:pPr>
        <w:widowControl w:val="0"/>
        <w:spacing w:before="3" w:after="0" w:line="238" w:lineRule="exact"/>
        <w:ind w:left="90"/>
        <w:rPr>
          <w:rFonts w:cstheme="minorHAnsi"/>
        </w:rPr>
      </w:pPr>
    </w:p>
    <w:p w14:paraId="19365782" w14:textId="41FD1BC5" w:rsidR="006E323F" w:rsidRPr="00691C52" w:rsidRDefault="006E323F" w:rsidP="00D63204">
      <w:pPr>
        <w:widowControl w:val="0"/>
        <w:spacing w:before="3" w:after="0" w:line="238" w:lineRule="exact"/>
        <w:ind w:left="90"/>
        <w:rPr>
          <w:rFonts w:cstheme="minorHAnsi"/>
        </w:rPr>
      </w:pPr>
      <w:r w:rsidRPr="00691C52">
        <w:rPr>
          <w:rFonts w:cstheme="minorHAnsi"/>
          <w:b/>
          <w:bCs/>
          <w:spacing w:val="-3"/>
          <w:w w:val="110"/>
        </w:rPr>
        <w:t>Teacher</w:t>
      </w:r>
      <w:r w:rsidRPr="00691C52">
        <w:rPr>
          <w:rFonts w:cstheme="minorHAnsi"/>
          <w:b/>
          <w:bCs/>
          <w:spacing w:val="-5"/>
          <w:w w:val="110"/>
        </w:rPr>
        <w:t xml:space="preserve"> </w:t>
      </w:r>
      <w:r w:rsidRPr="00691C52">
        <w:rPr>
          <w:rFonts w:cstheme="minorHAnsi"/>
          <w:b/>
          <w:bCs/>
          <w:w w:val="110"/>
        </w:rPr>
        <w:t>Training</w:t>
      </w:r>
    </w:p>
    <w:p w14:paraId="54C7E2F4" w14:textId="77777777" w:rsidR="006E323F" w:rsidRPr="00691C52" w:rsidRDefault="006E323F" w:rsidP="00D63204">
      <w:pPr>
        <w:widowControl w:val="0"/>
        <w:spacing w:before="3" w:after="0" w:line="238" w:lineRule="exact"/>
        <w:ind w:left="90"/>
        <w:rPr>
          <w:rFonts w:cstheme="minorHAnsi"/>
        </w:rPr>
      </w:pPr>
      <w:r w:rsidRPr="00691C52">
        <w:rPr>
          <w:rFonts w:cstheme="minorHAnsi"/>
          <w:w w:val="105"/>
        </w:rPr>
        <w:t>Provides</w:t>
      </w:r>
      <w:r w:rsidRPr="00691C52">
        <w:rPr>
          <w:rFonts w:cstheme="minorHAnsi"/>
          <w:spacing w:val="13"/>
          <w:w w:val="105"/>
        </w:rPr>
        <w:t xml:space="preserve"> </w:t>
      </w:r>
      <w:r w:rsidRPr="00691C52">
        <w:rPr>
          <w:rFonts w:cstheme="minorHAnsi"/>
          <w:w w:val="105"/>
        </w:rPr>
        <w:t>information</w:t>
      </w:r>
      <w:r w:rsidRPr="00691C52">
        <w:rPr>
          <w:rFonts w:cstheme="minorHAnsi"/>
          <w:spacing w:val="13"/>
          <w:w w:val="105"/>
        </w:rPr>
        <w:t xml:space="preserve"> </w:t>
      </w:r>
      <w:r w:rsidRPr="00691C52">
        <w:rPr>
          <w:rFonts w:cstheme="minorHAnsi"/>
          <w:w w:val="105"/>
        </w:rPr>
        <w:t>and</w:t>
      </w:r>
      <w:r w:rsidRPr="00691C52">
        <w:rPr>
          <w:rFonts w:cstheme="minorHAnsi"/>
          <w:spacing w:val="13"/>
          <w:w w:val="105"/>
        </w:rPr>
        <w:t xml:space="preserve"> </w:t>
      </w:r>
      <w:r w:rsidRPr="00691C52">
        <w:rPr>
          <w:rFonts w:cstheme="minorHAnsi"/>
          <w:w w:val="105"/>
        </w:rPr>
        <w:t>resources</w:t>
      </w:r>
      <w:r w:rsidRPr="00691C52">
        <w:rPr>
          <w:rFonts w:cstheme="minorHAnsi"/>
          <w:spacing w:val="13"/>
          <w:w w:val="105"/>
        </w:rPr>
        <w:t xml:space="preserve"> </w:t>
      </w:r>
      <w:r w:rsidRPr="00691C52">
        <w:rPr>
          <w:rFonts w:cstheme="minorHAnsi"/>
          <w:w w:val="105"/>
        </w:rPr>
        <w:t>to</w:t>
      </w:r>
      <w:r w:rsidRPr="00691C52">
        <w:rPr>
          <w:rFonts w:cstheme="minorHAnsi"/>
          <w:spacing w:val="13"/>
          <w:w w:val="105"/>
        </w:rPr>
        <w:t xml:space="preserve"> </w:t>
      </w:r>
      <w:r w:rsidRPr="00691C52">
        <w:rPr>
          <w:rFonts w:cstheme="minorHAnsi"/>
          <w:w w:val="105"/>
        </w:rPr>
        <w:t>support</w:t>
      </w:r>
      <w:r w:rsidRPr="00691C52">
        <w:rPr>
          <w:rFonts w:cstheme="minorHAnsi"/>
          <w:spacing w:val="13"/>
          <w:w w:val="105"/>
        </w:rPr>
        <w:t xml:space="preserve"> </w:t>
      </w:r>
      <w:r w:rsidRPr="00691C52">
        <w:rPr>
          <w:rFonts w:cstheme="minorHAnsi"/>
          <w:w w:val="105"/>
        </w:rPr>
        <w:t>instruction</w:t>
      </w:r>
      <w:r w:rsidRPr="00691C52">
        <w:rPr>
          <w:rFonts w:cstheme="minorHAnsi"/>
          <w:spacing w:val="13"/>
          <w:w w:val="105"/>
        </w:rPr>
        <w:t xml:space="preserve"> </w:t>
      </w:r>
      <w:r w:rsidRPr="00691C52">
        <w:rPr>
          <w:rFonts w:cstheme="minorHAnsi"/>
          <w:w w:val="105"/>
        </w:rPr>
        <w:t>in</w:t>
      </w:r>
      <w:r w:rsidRPr="00691C52">
        <w:rPr>
          <w:rFonts w:cstheme="minorHAnsi"/>
          <w:spacing w:val="13"/>
          <w:w w:val="105"/>
        </w:rPr>
        <w:t xml:space="preserve"> </w:t>
      </w:r>
      <w:r w:rsidRPr="00691C52">
        <w:rPr>
          <w:rFonts w:cstheme="minorHAnsi"/>
          <w:w w:val="105"/>
        </w:rPr>
        <w:t>the</w:t>
      </w:r>
      <w:r w:rsidRPr="00691C52">
        <w:rPr>
          <w:rFonts w:cstheme="minorHAnsi"/>
          <w:spacing w:val="13"/>
          <w:w w:val="105"/>
        </w:rPr>
        <w:t xml:space="preserve"> </w:t>
      </w:r>
      <w:r w:rsidRPr="00691C52">
        <w:rPr>
          <w:rFonts w:cstheme="minorHAnsi"/>
          <w:w w:val="105"/>
        </w:rPr>
        <w:t>areas</w:t>
      </w:r>
      <w:r w:rsidRPr="00691C52">
        <w:rPr>
          <w:rFonts w:cstheme="minorHAnsi"/>
          <w:spacing w:val="13"/>
          <w:w w:val="105"/>
        </w:rPr>
        <w:t xml:space="preserve"> </w:t>
      </w:r>
      <w:r w:rsidRPr="00691C52">
        <w:rPr>
          <w:rFonts w:cstheme="minorHAnsi"/>
          <w:w w:val="105"/>
        </w:rPr>
        <w:t>of</w:t>
      </w:r>
      <w:r w:rsidRPr="00691C52">
        <w:rPr>
          <w:rFonts w:cstheme="minorHAnsi"/>
          <w:spacing w:val="13"/>
          <w:w w:val="105"/>
        </w:rPr>
        <w:t xml:space="preserve"> </w:t>
      </w:r>
      <w:r w:rsidRPr="00691C52">
        <w:rPr>
          <w:rFonts w:cstheme="minorHAnsi"/>
          <w:w w:val="105"/>
        </w:rPr>
        <w:t>GED®</w:t>
      </w:r>
      <w:r w:rsidRPr="00691C52">
        <w:rPr>
          <w:rFonts w:cstheme="minorHAnsi"/>
          <w:spacing w:val="13"/>
          <w:w w:val="105"/>
        </w:rPr>
        <w:t xml:space="preserve"> </w:t>
      </w:r>
      <w:r w:rsidRPr="00691C52">
        <w:rPr>
          <w:rFonts w:cstheme="minorHAnsi"/>
          <w:w w:val="105"/>
        </w:rPr>
        <w:t>preparation,</w:t>
      </w:r>
      <w:r w:rsidRPr="00691C52">
        <w:rPr>
          <w:rFonts w:cstheme="minorHAnsi"/>
          <w:spacing w:val="13"/>
          <w:w w:val="105"/>
        </w:rPr>
        <w:t xml:space="preserve"> </w:t>
      </w:r>
      <w:r w:rsidRPr="00691C52">
        <w:rPr>
          <w:rFonts w:cstheme="minorHAnsi"/>
          <w:w w:val="105"/>
        </w:rPr>
        <w:t>college</w:t>
      </w:r>
      <w:r w:rsidRPr="00691C52">
        <w:rPr>
          <w:rFonts w:cstheme="minorHAnsi"/>
          <w:w w:val="111"/>
        </w:rPr>
        <w:t xml:space="preserve"> </w:t>
      </w:r>
      <w:r w:rsidRPr="00691C52">
        <w:rPr>
          <w:rFonts w:cstheme="minorHAnsi"/>
          <w:w w:val="105"/>
        </w:rPr>
        <w:t>and</w:t>
      </w:r>
      <w:r w:rsidRPr="00691C52">
        <w:rPr>
          <w:rFonts w:cstheme="minorHAnsi"/>
          <w:spacing w:val="19"/>
          <w:w w:val="105"/>
        </w:rPr>
        <w:t xml:space="preserve"> </w:t>
      </w:r>
      <w:r w:rsidRPr="00691C52">
        <w:rPr>
          <w:rFonts w:cstheme="minorHAnsi"/>
          <w:w w:val="105"/>
        </w:rPr>
        <w:t>career</w:t>
      </w:r>
      <w:r w:rsidRPr="00691C52">
        <w:rPr>
          <w:rFonts w:cstheme="minorHAnsi"/>
          <w:spacing w:val="19"/>
          <w:w w:val="105"/>
        </w:rPr>
        <w:t xml:space="preserve"> </w:t>
      </w:r>
      <w:r w:rsidRPr="00691C52">
        <w:rPr>
          <w:rFonts w:cstheme="minorHAnsi"/>
          <w:w w:val="105"/>
        </w:rPr>
        <w:t>readiness,</w:t>
      </w:r>
      <w:r w:rsidRPr="00691C52">
        <w:rPr>
          <w:rFonts w:cstheme="minorHAnsi"/>
          <w:spacing w:val="19"/>
          <w:w w:val="105"/>
        </w:rPr>
        <w:t xml:space="preserve"> </w:t>
      </w:r>
      <w:r w:rsidRPr="00691C52">
        <w:rPr>
          <w:rFonts w:cstheme="minorHAnsi"/>
          <w:w w:val="105"/>
        </w:rPr>
        <w:t>career</w:t>
      </w:r>
      <w:r w:rsidRPr="00691C52">
        <w:rPr>
          <w:rFonts w:cstheme="minorHAnsi"/>
          <w:spacing w:val="19"/>
          <w:w w:val="105"/>
        </w:rPr>
        <w:t xml:space="preserve"> </w:t>
      </w:r>
      <w:r w:rsidRPr="00691C52">
        <w:rPr>
          <w:rFonts w:cstheme="minorHAnsi"/>
          <w:w w:val="105"/>
        </w:rPr>
        <w:t>awareness</w:t>
      </w:r>
      <w:r w:rsidRPr="00691C52">
        <w:rPr>
          <w:rFonts w:cstheme="minorHAnsi"/>
          <w:spacing w:val="19"/>
          <w:w w:val="105"/>
        </w:rPr>
        <w:t xml:space="preserve"> </w:t>
      </w:r>
      <w:r w:rsidRPr="00691C52">
        <w:rPr>
          <w:rFonts w:cstheme="minorHAnsi"/>
          <w:w w:val="105"/>
        </w:rPr>
        <w:t>and</w:t>
      </w:r>
      <w:r w:rsidRPr="00691C52">
        <w:rPr>
          <w:rFonts w:cstheme="minorHAnsi"/>
          <w:spacing w:val="19"/>
          <w:w w:val="105"/>
        </w:rPr>
        <w:t xml:space="preserve"> </w:t>
      </w:r>
      <w:r w:rsidRPr="00691C52">
        <w:rPr>
          <w:rFonts w:cstheme="minorHAnsi"/>
          <w:w w:val="105"/>
        </w:rPr>
        <w:t>planning,</w:t>
      </w:r>
      <w:r w:rsidRPr="00691C52">
        <w:rPr>
          <w:rFonts w:cstheme="minorHAnsi"/>
          <w:spacing w:val="19"/>
          <w:w w:val="105"/>
        </w:rPr>
        <w:t xml:space="preserve"> </w:t>
      </w:r>
      <w:r w:rsidRPr="00691C52">
        <w:rPr>
          <w:rFonts w:cstheme="minorHAnsi"/>
          <w:w w:val="105"/>
        </w:rPr>
        <w:t>career</w:t>
      </w:r>
      <w:r w:rsidRPr="00691C52">
        <w:rPr>
          <w:rFonts w:cstheme="minorHAnsi"/>
          <w:spacing w:val="19"/>
          <w:w w:val="105"/>
        </w:rPr>
        <w:t xml:space="preserve"> </w:t>
      </w:r>
      <w:r w:rsidRPr="00691C52">
        <w:rPr>
          <w:rFonts w:cstheme="minorHAnsi"/>
          <w:w w:val="105"/>
        </w:rPr>
        <w:t>pathways,</w:t>
      </w:r>
      <w:r w:rsidRPr="00691C52">
        <w:rPr>
          <w:rFonts w:cstheme="minorHAnsi"/>
          <w:spacing w:val="19"/>
          <w:w w:val="105"/>
        </w:rPr>
        <w:t xml:space="preserve"> </w:t>
      </w:r>
      <w:r w:rsidRPr="00691C52">
        <w:rPr>
          <w:rFonts w:cstheme="minorHAnsi"/>
          <w:w w:val="105"/>
        </w:rPr>
        <w:t>reading</w:t>
      </w:r>
      <w:r w:rsidRPr="00691C52">
        <w:rPr>
          <w:rFonts w:cstheme="minorHAnsi"/>
          <w:spacing w:val="19"/>
          <w:w w:val="105"/>
        </w:rPr>
        <w:t xml:space="preserve"> </w:t>
      </w:r>
      <w:r w:rsidRPr="00691C52">
        <w:rPr>
          <w:rFonts w:cstheme="minorHAnsi"/>
          <w:w w:val="105"/>
        </w:rPr>
        <w:t>and</w:t>
      </w:r>
      <w:r w:rsidRPr="00691C52">
        <w:rPr>
          <w:rFonts w:cstheme="minorHAnsi"/>
          <w:spacing w:val="19"/>
          <w:w w:val="105"/>
        </w:rPr>
        <w:t xml:space="preserve"> </w:t>
      </w:r>
      <w:r w:rsidRPr="00691C52">
        <w:rPr>
          <w:rFonts w:cstheme="minorHAnsi"/>
          <w:w w:val="105"/>
        </w:rPr>
        <w:t>math</w:t>
      </w:r>
      <w:r w:rsidRPr="00691C52">
        <w:rPr>
          <w:rFonts w:cstheme="minorHAnsi"/>
          <w:spacing w:val="19"/>
          <w:w w:val="105"/>
        </w:rPr>
        <w:t xml:space="preserve"> </w:t>
      </w:r>
      <w:r w:rsidRPr="00691C52">
        <w:rPr>
          <w:rFonts w:cstheme="minorHAnsi"/>
          <w:w w:val="105"/>
        </w:rPr>
        <w:t>instructional</w:t>
      </w:r>
      <w:r w:rsidRPr="00691C52">
        <w:rPr>
          <w:rFonts w:cstheme="minorHAnsi"/>
          <w:w w:val="103"/>
        </w:rPr>
        <w:t xml:space="preserve"> </w:t>
      </w:r>
      <w:r w:rsidRPr="00691C52">
        <w:rPr>
          <w:rFonts w:cstheme="minorHAnsi"/>
          <w:w w:val="105"/>
        </w:rPr>
        <w:t>strategies.</w:t>
      </w:r>
    </w:p>
    <w:p w14:paraId="4A8FB390" w14:textId="0427D7C9" w:rsidR="00EA7458" w:rsidRPr="00691C52" w:rsidRDefault="00EA7458" w:rsidP="00D63204">
      <w:pPr>
        <w:widowControl w:val="0"/>
        <w:spacing w:before="3" w:after="0" w:line="238" w:lineRule="exact"/>
        <w:ind w:left="90"/>
        <w:rPr>
          <w:rFonts w:cstheme="minorHAnsi"/>
        </w:rPr>
      </w:pPr>
    </w:p>
    <w:p w14:paraId="05E88172" w14:textId="77777777" w:rsidR="00EA7458" w:rsidRPr="00C84023" w:rsidRDefault="00EA7458" w:rsidP="00D63204">
      <w:pPr>
        <w:widowControl w:val="0"/>
        <w:spacing w:after="0" w:line="238" w:lineRule="exact"/>
        <w:ind w:left="90"/>
        <w:rPr>
          <w:rFonts w:cstheme="minorHAnsi"/>
        </w:rPr>
        <w:sectPr w:rsidR="00EA7458" w:rsidRPr="00C84023">
          <w:pgSz w:w="12240" w:h="15840"/>
          <w:pgMar w:top="1620" w:right="900" w:bottom="820" w:left="900" w:header="812" w:footer="624" w:gutter="0"/>
          <w:cols w:space="720"/>
        </w:sectPr>
      </w:pPr>
    </w:p>
    <w:p w14:paraId="43BA95A1" w14:textId="77777777" w:rsidR="00EA7458" w:rsidRPr="00C84023" w:rsidRDefault="00EA7458" w:rsidP="00D63204">
      <w:pPr>
        <w:widowControl w:val="0"/>
        <w:spacing w:before="4" w:after="0" w:line="240" w:lineRule="auto"/>
        <w:ind w:left="90"/>
        <w:rPr>
          <w:rFonts w:cstheme="minorHAnsi"/>
          <w:sz w:val="14"/>
          <w:szCs w:val="14"/>
        </w:rPr>
      </w:pPr>
    </w:p>
    <w:p w14:paraId="24F4BD74" w14:textId="77777777" w:rsidR="006E323F" w:rsidRPr="00C84023" w:rsidRDefault="006E323F" w:rsidP="00D63204">
      <w:pPr>
        <w:widowControl w:val="0"/>
        <w:spacing w:before="57" w:after="0" w:line="240" w:lineRule="auto"/>
        <w:ind w:left="90"/>
        <w:outlineLvl w:val="2"/>
        <w:rPr>
          <w:rFonts w:cstheme="minorHAnsi"/>
        </w:rPr>
      </w:pPr>
      <w:r w:rsidRPr="00C84023">
        <w:rPr>
          <w:rFonts w:cstheme="minorHAnsi"/>
          <w:b/>
          <w:bCs/>
          <w:color w:val="231F20"/>
          <w:spacing w:val="-4"/>
          <w:w w:val="115"/>
        </w:rPr>
        <w:t xml:space="preserve">ADULT </w:t>
      </w:r>
      <w:r w:rsidRPr="00C84023">
        <w:rPr>
          <w:rFonts w:cstheme="minorHAnsi"/>
          <w:b/>
          <w:bCs/>
          <w:color w:val="231F20"/>
          <w:w w:val="115"/>
        </w:rPr>
        <w:t>BASIC EDUCATION AND LITERACY PROGRAMS CERTIFICATIONS AND</w:t>
      </w:r>
      <w:r w:rsidRPr="00C84023">
        <w:rPr>
          <w:rFonts w:cstheme="minorHAnsi"/>
          <w:b/>
          <w:bCs/>
          <w:color w:val="231F20"/>
          <w:spacing w:val="18"/>
          <w:w w:val="115"/>
        </w:rPr>
        <w:t xml:space="preserve"> </w:t>
      </w:r>
      <w:r w:rsidRPr="00C84023">
        <w:rPr>
          <w:rFonts w:cstheme="minorHAnsi"/>
          <w:b/>
          <w:bCs/>
          <w:color w:val="231F20"/>
          <w:w w:val="115"/>
        </w:rPr>
        <w:t>ASSURANCES</w:t>
      </w:r>
    </w:p>
    <w:p w14:paraId="5C14D11F" w14:textId="77777777" w:rsidR="006E323F" w:rsidRPr="00C84023" w:rsidRDefault="006E323F" w:rsidP="00D63204">
      <w:pPr>
        <w:widowControl w:val="0"/>
        <w:spacing w:before="1" w:after="0" w:line="240" w:lineRule="auto"/>
        <w:ind w:left="90"/>
        <w:rPr>
          <w:rFonts w:cstheme="minorHAnsi"/>
          <w:b/>
          <w:bCs/>
          <w:sz w:val="18"/>
          <w:szCs w:val="18"/>
        </w:rPr>
      </w:pPr>
    </w:p>
    <w:tbl>
      <w:tblPr>
        <w:tblW w:w="0" w:type="auto"/>
        <w:tblInd w:w="108" w:type="dxa"/>
        <w:tblLayout w:type="fixed"/>
        <w:tblCellMar>
          <w:left w:w="0" w:type="dxa"/>
          <w:right w:w="0" w:type="dxa"/>
        </w:tblCellMar>
        <w:tblLook w:val="01E0" w:firstRow="1" w:lastRow="1" w:firstColumn="1" w:lastColumn="1" w:noHBand="0" w:noVBand="0"/>
      </w:tblPr>
      <w:tblGrid>
        <w:gridCol w:w="468"/>
        <w:gridCol w:w="9697"/>
      </w:tblGrid>
      <w:tr w:rsidR="006E323F" w:rsidRPr="00C84023" w14:paraId="26AB07ED" w14:textId="77777777" w:rsidTr="00CA6841">
        <w:trPr>
          <w:trHeight w:hRule="exact" w:val="435"/>
        </w:trPr>
        <w:tc>
          <w:tcPr>
            <w:tcW w:w="10165" w:type="dxa"/>
            <w:gridSpan w:val="2"/>
            <w:tcBorders>
              <w:top w:val="single" w:sz="2" w:space="0" w:color="231F20"/>
              <w:left w:val="single" w:sz="2" w:space="0" w:color="231F20"/>
              <w:bottom w:val="single" w:sz="2" w:space="0" w:color="231F20"/>
              <w:right w:val="single" w:sz="2" w:space="0" w:color="231F20"/>
            </w:tcBorders>
          </w:tcPr>
          <w:p w14:paraId="25A78521" w14:textId="77777777" w:rsidR="006E323F" w:rsidRPr="00C84023" w:rsidRDefault="006E323F" w:rsidP="00D63204">
            <w:pPr>
              <w:widowControl w:val="0"/>
              <w:spacing w:before="92" w:after="0" w:line="240" w:lineRule="auto"/>
              <w:ind w:left="90"/>
              <w:rPr>
                <w:rFonts w:cstheme="minorHAnsi"/>
              </w:rPr>
            </w:pPr>
            <w:r w:rsidRPr="00C84023">
              <w:rPr>
                <w:rFonts w:cstheme="minorHAnsi"/>
                <w:b/>
                <w:color w:val="231F20"/>
                <w:w w:val="110"/>
              </w:rPr>
              <w:t>States</w:t>
            </w:r>
            <w:r w:rsidRPr="00C84023">
              <w:rPr>
                <w:rFonts w:cstheme="minorHAnsi"/>
                <w:b/>
                <w:color w:val="231F20"/>
                <w:spacing w:val="-16"/>
                <w:w w:val="110"/>
              </w:rPr>
              <w:t xml:space="preserve"> </w:t>
            </w:r>
            <w:r w:rsidRPr="00C84023">
              <w:rPr>
                <w:rFonts w:cstheme="minorHAnsi"/>
                <w:b/>
                <w:color w:val="231F20"/>
                <w:w w:val="110"/>
              </w:rPr>
              <w:t>must</w:t>
            </w:r>
            <w:r w:rsidRPr="00C84023">
              <w:rPr>
                <w:rFonts w:cstheme="minorHAnsi"/>
                <w:b/>
                <w:color w:val="231F20"/>
                <w:spacing w:val="-16"/>
                <w:w w:val="110"/>
              </w:rPr>
              <w:t xml:space="preserve"> </w:t>
            </w:r>
            <w:r w:rsidRPr="00C84023">
              <w:rPr>
                <w:rFonts w:cstheme="minorHAnsi"/>
                <w:b/>
                <w:color w:val="231F20"/>
                <w:w w:val="110"/>
              </w:rPr>
              <w:t>provide</w:t>
            </w:r>
            <w:r w:rsidRPr="00C84023">
              <w:rPr>
                <w:rFonts w:cstheme="minorHAnsi"/>
                <w:b/>
                <w:color w:val="231F20"/>
                <w:spacing w:val="-16"/>
                <w:w w:val="110"/>
              </w:rPr>
              <w:t xml:space="preserve"> </w:t>
            </w:r>
            <w:r w:rsidRPr="00C84023">
              <w:rPr>
                <w:rFonts w:cstheme="minorHAnsi"/>
                <w:b/>
                <w:color w:val="231F20"/>
                <w:w w:val="110"/>
              </w:rPr>
              <w:t>written</w:t>
            </w:r>
            <w:r w:rsidRPr="00C84023">
              <w:rPr>
                <w:rFonts w:cstheme="minorHAnsi"/>
                <w:b/>
                <w:color w:val="231F20"/>
                <w:spacing w:val="-16"/>
                <w:w w:val="110"/>
              </w:rPr>
              <w:t xml:space="preserve"> </w:t>
            </w:r>
            <w:r w:rsidRPr="00C84023">
              <w:rPr>
                <w:rFonts w:cstheme="minorHAnsi"/>
                <w:b/>
                <w:color w:val="231F20"/>
                <w:w w:val="110"/>
              </w:rPr>
              <w:t>and</w:t>
            </w:r>
            <w:r w:rsidRPr="00C84023">
              <w:rPr>
                <w:rFonts w:cstheme="minorHAnsi"/>
                <w:b/>
                <w:color w:val="231F20"/>
                <w:spacing w:val="-16"/>
                <w:w w:val="110"/>
              </w:rPr>
              <w:t xml:space="preserve"> </w:t>
            </w:r>
            <w:r w:rsidRPr="00C84023">
              <w:rPr>
                <w:rFonts w:cstheme="minorHAnsi"/>
                <w:b/>
                <w:color w:val="231F20"/>
                <w:w w:val="110"/>
              </w:rPr>
              <w:t>signed</w:t>
            </w:r>
            <w:r w:rsidRPr="00C84023">
              <w:rPr>
                <w:rFonts w:cstheme="minorHAnsi"/>
                <w:b/>
                <w:color w:val="231F20"/>
                <w:spacing w:val="-16"/>
                <w:w w:val="110"/>
              </w:rPr>
              <w:t xml:space="preserve"> </w:t>
            </w:r>
            <w:r w:rsidRPr="00C84023">
              <w:rPr>
                <w:rFonts w:cstheme="minorHAnsi"/>
                <w:b/>
                <w:color w:val="231F20"/>
                <w:w w:val="110"/>
              </w:rPr>
              <w:t>certifications</w:t>
            </w:r>
            <w:r w:rsidRPr="00C84023">
              <w:rPr>
                <w:rFonts w:cstheme="minorHAnsi"/>
                <w:b/>
                <w:color w:val="231F20"/>
                <w:spacing w:val="-16"/>
                <w:w w:val="110"/>
              </w:rPr>
              <w:t xml:space="preserve"> </w:t>
            </w:r>
            <w:r w:rsidRPr="00C84023">
              <w:rPr>
                <w:rFonts w:cstheme="minorHAnsi"/>
                <w:b/>
                <w:color w:val="231F20"/>
                <w:w w:val="110"/>
              </w:rPr>
              <w:t>that:</w:t>
            </w:r>
          </w:p>
        </w:tc>
      </w:tr>
      <w:tr w:rsidR="006E323F" w:rsidRPr="00C84023" w14:paraId="609B032B" w14:textId="77777777" w:rsidTr="00CA6841">
        <w:trPr>
          <w:trHeight w:hRule="exact" w:val="354"/>
        </w:trPr>
        <w:tc>
          <w:tcPr>
            <w:tcW w:w="468" w:type="dxa"/>
            <w:tcBorders>
              <w:top w:val="single" w:sz="2" w:space="0" w:color="231F20"/>
              <w:left w:val="single" w:sz="2" w:space="0" w:color="231F20"/>
              <w:bottom w:val="single" w:sz="2" w:space="0" w:color="231F20"/>
              <w:right w:val="single" w:sz="2" w:space="0" w:color="231F20"/>
            </w:tcBorders>
            <w:shd w:val="clear" w:color="auto" w:fill="E6E7E8"/>
          </w:tcPr>
          <w:p w14:paraId="0A5BC6C6" w14:textId="77777777" w:rsidR="006E323F" w:rsidRPr="00C84023" w:rsidRDefault="006E323F" w:rsidP="00D63204">
            <w:pPr>
              <w:widowControl w:val="0"/>
              <w:spacing w:before="52" w:after="0" w:line="240" w:lineRule="auto"/>
              <w:ind w:left="90"/>
              <w:rPr>
                <w:rFonts w:cstheme="minorHAnsi"/>
              </w:rPr>
            </w:pPr>
            <w:r w:rsidRPr="00C84023">
              <w:rPr>
                <w:rFonts w:cstheme="minorHAnsi"/>
                <w:color w:val="231F20"/>
                <w:w w:val="85"/>
              </w:rPr>
              <w:t>1.</w:t>
            </w:r>
          </w:p>
        </w:tc>
        <w:tc>
          <w:tcPr>
            <w:tcW w:w="9697" w:type="dxa"/>
            <w:tcBorders>
              <w:top w:val="single" w:sz="2" w:space="0" w:color="231F20"/>
              <w:left w:val="single" w:sz="2" w:space="0" w:color="231F20"/>
              <w:bottom w:val="single" w:sz="2" w:space="0" w:color="231F20"/>
              <w:right w:val="single" w:sz="2" w:space="0" w:color="231F20"/>
            </w:tcBorders>
            <w:shd w:val="clear" w:color="auto" w:fill="E6E7E8"/>
          </w:tcPr>
          <w:p w14:paraId="7DE54BD4" w14:textId="19A2DEFB" w:rsidR="006E323F" w:rsidRPr="00C84023" w:rsidRDefault="006E323F" w:rsidP="00D63204">
            <w:pPr>
              <w:widowControl w:val="0"/>
              <w:spacing w:before="52" w:after="0" w:line="240" w:lineRule="auto"/>
              <w:ind w:left="90"/>
              <w:rPr>
                <w:rFonts w:cstheme="minorHAnsi"/>
              </w:rPr>
            </w:pPr>
            <w:r w:rsidRPr="00C84023">
              <w:rPr>
                <w:rFonts w:cstheme="minorHAnsi"/>
                <w:color w:val="231F20"/>
                <w:w w:val="105"/>
              </w:rPr>
              <w:t xml:space="preserve">The plan is submitted by the </w:t>
            </w:r>
            <w:r w:rsidR="00D226F4">
              <w:rPr>
                <w:rFonts w:cstheme="minorHAnsi"/>
                <w:color w:val="231F20"/>
                <w:w w:val="105"/>
              </w:rPr>
              <w:t>s</w:t>
            </w:r>
            <w:r w:rsidRPr="00C84023">
              <w:rPr>
                <w:rFonts w:cstheme="minorHAnsi"/>
                <w:color w:val="231F20"/>
                <w:w w:val="105"/>
              </w:rPr>
              <w:t>tate agency eligible to submit the plan;</w:t>
            </w:r>
          </w:p>
        </w:tc>
      </w:tr>
      <w:tr w:rsidR="006E323F" w:rsidRPr="00C84023" w14:paraId="2EC217BF" w14:textId="77777777" w:rsidTr="00CA6841">
        <w:trPr>
          <w:trHeight w:hRule="exact" w:val="618"/>
        </w:trPr>
        <w:tc>
          <w:tcPr>
            <w:tcW w:w="468" w:type="dxa"/>
            <w:tcBorders>
              <w:top w:val="single" w:sz="2" w:space="0" w:color="231F20"/>
              <w:left w:val="single" w:sz="2" w:space="0" w:color="231F20"/>
              <w:bottom w:val="single" w:sz="2" w:space="0" w:color="231F20"/>
              <w:right w:val="single" w:sz="2" w:space="0" w:color="231F20"/>
            </w:tcBorders>
          </w:tcPr>
          <w:p w14:paraId="35D56BE7" w14:textId="77777777" w:rsidR="006E323F" w:rsidRPr="00C84023" w:rsidRDefault="006E323F" w:rsidP="00D63204">
            <w:pPr>
              <w:widowControl w:val="0"/>
              <w:spacing w:before="52" w:after="0" w:line="240" w:lineRule="auto"/>
              <w:ind w:left="90"/>
              <w:rPr>
                <w:rFonts w:cstheme="minorHAnsi"/>
              </w:rPr>
            </w:pPr>
            <w:r w:rsidRPr="00C84023">
              <w:rPr>
                <w:rFonts w:cstheme="minorHAnsi"/>
                <w:color w:val="231F20"/>
                <w:w w:val="110"/>
              </w:rPr>
              <w:t>2.</w:t>
            </w:r>
          </w:p>
        </w:tc>
        <w:tc>
          <w:tcPr>
            <w:tcW w:w="9697" w:type="dxa"/>
            <w:tcBorders>
              <w:top w:val="single" w:sz="2" w:space="0" w:color="231F20"/>
              <w:left w:val="single" w:sz="2" w:space="0" w:color="231F20"/>
              <w:bottom w:val="single" w:sz="2" w:space="0" w:color="231F20"/>
              <w:right w:val="single" w:sz="2" w:space="0" w:color="231F20"/>
            </w:tcBorders>
          </w:tcPr>
          <w:p w14:paraId="57994A3E" w14:textId="3BD7F001" w:rsidR="006E323F" w:rsidRPr="00C84023" w:rsidRDefault="006E323F" w:rsidP="00D63204">
            <w:pPr>
              <w:widowControl w:val="0"/>
              <w:spacing w:before="50" w:after="0" w:line="264" w:lineRule="exact"/>
              <w:ind w:left="90"/>
              <w:rPr>
                <w:rFonts w:cstheme="minorHAnsi"/>
              </w:rPr>
            </w:pPr>
            <w:r w:rsidRPr="00C84023">
              <w:rPr>
                <w:rFonts w:cstheme="minorHAnsi"/>
                <w:color w:val="231F20"/>
                <w:w w:val="105"/>
              </w:rPr>
              <w:t xml:space="preserve">The </w:t>
            </w:r>
            <w:r w:rsidR="00D226F4">
              <w:rPr>
                <w:rFonts w:cstheme="minorHAnsi"/>
                <w:color w:val="231F20"/>
                <w:w w:val="105"/>
              </w:rPr>
              <w:t>s</w:t>
            </w:r>
            <w:r w:rsidRPr="00C84023">
              <w:rPr>
                <w:rFonts w:cstheme="minorHAnsi"/>
                <w:color w:val="231F20"/>
                <w:w w:val="105"/>
              </w:rPr>
              <w:t>t</w:t>
            </w:r>
            <w:r w:rsidR="00D226F4">
              <w:rPr>
                <w:rFonts w:cstheme="minorHAnsi"/>
                <w:color w:val="231F20"/>
                <w:w w:val="105"/>
              </w:rPr>
              <w:t>ate</w:t>
            </w:r>
            <w:r w:rsidRPr="00C84023">
              <w:rPr>
                <w:rFonts w:cstheme="minorHAnsi"/>
                <w:color w:val="231F20"/>
                <w:w w:val="105"/>
              </w:rPr>
              <w:t xml:space="preserve"> agency has authority under </w:t>
            </w:r>
            <w:r w:rsidR="00D226F4">
              <w:rPr>
                <w:rFonts w:cstheme="minorHAnsi"/>
                <w:color w:val="231F20"/>
                <w:w w:val="105"/>
              </w:rPr>
              <w:t>s</w:t>
            </w:r>
            <w:r w:rsidRPr="00C84023">
              <w:rPr>
                <w:rFonts w:cstheme="minorHAnsi"/>
                <w:color w:val="231F20"/>
                <w:w w:val="105"/>
              </w:rPr>
              <w:t xml:space="preserve">tate law to perform the functions of the </w:t>
            </w:r>
            <w:r w:rsidR="00D226F4">
              <w:rPr>
                <w:rFonts w:cstheme="minorHAnsi"/>
                <w:color w:val="231F20"/>
                <w:w w:val="105"/>
              </w:rPr>
              <w:t>s</w:t>
            </w:r>
            <w:r w:rsidRPr="00C84023">
              <w:rPr>
                <w:rFonts w:cstheme="minorHAnsi"/>
                <w:color w:val="231F20"/>
                <w:w w:val="105"/>
              </w:rPr>
              <w:t>tate under</w:t>
            </w:r>
            <w:r w:rsidRPr="00C84023">
              <w:rPr>
                <w:rFonts w:cstheme="minorHAnsi"/>
                <w:color w:val="231F20"/>
                <w:spacing w:val="26"/>
                <w:w w:val="105"/>
              </w:rPr>
              <w:t xml:space="preserve"> </w:t>
            </w:r>
            <w:r w:rsidRPr="00C84023">
              <w:rPr>
                <w:rFonts w:cstheme="minorHAnsi"/>
                <w:color w:val="231F20"/>
                <w:w w:val="105"/>
              </w:rPr>
              <w:t>the</w:t>
            </w:r>
            <w:r w:rsidRPr="00C84023">
              <w:rPr>
                <w:rFonts w:cstheme="minorHAnsi"/>
                <w:color w:val="231F20"/>
                <w:w w:val="103"/>
              </w:rPr>
              <w:t xml:space="preserve"> </w:t>
            </w:r>
            <w:r w:rsidRPr="00C84023">
              <w:rPr>
                <w:rFonts w:cstheme="minorHAnsi"/>
                <w:color w:val="231F20"/>
                <w:w w:val="105"/>
              </w:rPr>
              <w:t>program;</w:t>
            </w:r>
          </w:p>
        </w:tc>
      </w:tr>
      <w:tr w:rsidR="006E323F" w:rsidRPr="00C84023" w14:paraId="6CBFB275" w14:textId="77777777" w:rsidTr="00CA6841">
        <w:trPr>
          <w:trHeight w:hRule="exact" w:val="354"/>
        </w:trPr>
        <w:tc>
          <w:tcPr>
            <w:tcW w:w="468" w:type="dxa"/>
            <w:tcBorders>
              <w:top w:val="single" w:sz="2" w:space="0" w:color="231F20"/>
              <w:left w:val="single" w:sz="2" w:space="0" w:color="231F20"/>
              <w:bottom w:val="single" w:sz="2" w:space="0" w:color="231F20"/>
              <w:right w:val="single" w:sz="2" w:space="0" w:color="231F20"/>
            </w:tcBorders>
            <w:shd w:val="clear" w:color="auto" w:fill="E6E7E8"/>
          </w:tcPr>
          <w:p w14:paraId="6715D174" w14:textId="77777777" w:rsidR="006E323F" w:rsidRPr="00C84023" w:rsidRDefault="006E323F" w:rsidP="00D63204">
            <w:pPr>
              <w:widowControl w:val="0"/>
              <w:spacing w:before="52" w:after="0" w:line="240" w:lineRule="auto"/>
              <w:ind w:left="90"/>
              <w:rPr>
                <w:rFonts w:cstheme="minorHAnsi"/>
              </w:rPr>
            </w:pPr>
            <w:r w:rsidRPr="00C84023">
              <w:rPr>
                <w:rFonts w:cstheme="minorHAnsi"/>
                <w:color w:val="231F20"/>
                <w:w w:val="105"/>
              </w:rPr>
              <w:t>3.</w:t>
            </w:r>
          </w:p>
        </w:tc>
        <w:tc>
          <w:tcPr>
            <w:tcW w:w="9697" w:type="dxa"/>
            <w:tcBorders>
              <w:top w:val="single" w:sz="2" w:space="0" w:color="231F20"/>
              <w:left w:val="single" w:sz="2" w:space="0" w:color="231F20"/>
              <w:bottom w:val="single" w:sz="2" w:space="0" w:color="231F20"/>
              <w:right w:val="single" w:sz="2" w:space="0" w:color="231F20"/>
            </w:tcBorders>
            <w:shd w:val="clear" w:color="auto" w:fill="E6E7E8"/>
          </w:tcPr>
          <w:p w14:paraId="4B112B87" w14:textId="7FD5EB3E" w:rsidR="006E323F" w:rsidRPr="00C84023" w:rsidRDefault="006E323F" w:rsidP="00D63204">
            <w:pPr>
              <w:widowControl w:val="0"/>
              <w:spacing w:before="52" w:after="0" w:line="240" w:lineRule="auto"/>
              <w:ind w:left="90"/>
              <w:rPr>
                <w:rFonts w:cstheme="minorHAnsi"/>
              </w:rPr>
            </w:pPr>
            <w:r w:rsidRPr="00C84023">
              <w:rPr>
                <w:rFonts w:cstheme="minorHAnsi"/>
                <w:color w:val="231F20"/>
                <w:w w:val="105"/>
              </w:rPr>
              <w:t xml:space="preserve">The </w:t>
            </w:r>
            <w:r w:rsidR="00D226F4">
              <w:rPr>
                <w:rFonts w:cstheme="minorHAnsi"/>
                <w:color w:val="231F20"/>
                <w:w w:val="105"/>
              </w:rPr>
              <w:t>s</w:t>
            </w:r>
            <w:r w:rsidRPr="00C84023">
              <w:rPr>
                <w:rFonts w:cstheme="minorHAnsi"/>
                <w:color w:val="231F20"/>
                <w:w w:val="105"/>
              </w:rPr>
              <w:t>tate may legally carry out each provision of the plan;</w:t>
            </w:r>
          </w:p>
        </w:tc>
      </w:tr>
      <w:tr w:rsidR="006E323F" w:rsidRPr="00C84023" w14:paraId="57133B08" w14:textId="77777777" w:rsidTr="00CA6841">
        <w:trPr>
          <w:trHeight w:hRule="exact" w:val="359"/>
        </w:trPr>
        <w:tc>
          <w:tcPr>
            <w:tcW w:w="468" w:type="dxa"/>
            <w:tcBorders>
              <w:top w:val="single" w:sz="2" w:space="0" w:color="231F20"/>
              <w:left w:val="single" w:sz="2" w:space="0" w:color="231F20"/>
              <w:bottom w:val="single" w:sz="2" w:space="0" w:color="231F20"/>
              <w:right w:val="single" w:sz="2" w:space="0" w:color="231F20"/>
            </w:tcBorders>
          </w:tcPr>
          <w:p w14:paraId="112E193C" w14:textId="77777777" w:rsidR="006E323F" w:rsidRPr="00C84023" w:rsidRDefault="006E323F" w:rsidP="00D63204">
            <w:pPr>
              <w:widowControl w:val="0"/>
              <w:spacing w:before="52" w:after="0" w:line="240" w:lineRule="auto"/>
              <w:ind w:left="90"/>
              <w:rPr>
                <w:rFonts w:cstheme="minorHAnsi"/>
              </w:rPr>
            </w:pPr>
            <w:r w:rsidRPr="00C84023">
              <w:rPr>
                <w:rFonts w:cstheme="minorHAnsi"/>
                <w:color w:val="231F20"/>
                <w:w w:val="105"/>
              </w:rPr>
              <w:t>4.</w:t>
            </w:r>
          </w:p>
        </w:tc>
        <w:tc>
          <w:tcPr>
            <w:tcW w:w="9697" w:type="dxa"/>
            <w:tcBorders>
              <w:top w:val="single" w:sz="2" w:space="0" w:color="231F20"/>
              <w:left w:val="single" w:sz="2" w:space="0" w:color="231F20"/>
              <w:bottom w:val="single" w:sz="2" w:space="0" w:color="231F20"/>
              <w:right w:val="single" w:sz="2" w:space="0" w:color="231F20"/>
            </w:tcBorders>
          </w:tcPr>
          <w:p w14:paraId="308AC779" w14:textId="2F8F94FB" w:rsidR="006E323F" w:rsidRPr="00C84023" w:rsidRDefault="006E323F" w:rsidP="00D63204">
            <w:pPr>
              <w:widowControl w:val="0"/>
              <w:spacing w:before="52" w:after="0" w:line="240" w:lineRule="auto"/>
              <w:ind w:left="90"/>
              <w:rPr>
                <w:rFonts w:cstheme="minorHAnsi"/>
              </w:rPr>
            </w:pPr>
            <w:r w:rsidRPr="00C84023">
              <w:rPr>
                <w:rFonts w:cstheme="minorHAnsi"/>
                <w:color w:val="231F20"/>
                <w:w w:val="105"/>
              </w:rPr>
              <w:t xml:space="preserve">All provisions of the plan are consistent with </w:t>
            </w:r>
            <w:r w:rsidR="00D226F4">
              <w:rPr>
                <w:rFonts w:cstheme="minorHAnsi"/>
                <w:color w:val="231F20"/>
                <w:w w:val="105"/>
              </w:rPr>
              <w:t>s</w:t>
            </w:r>
            <w:r w:rsidRPr="00C84023">
              <w:rPr>
                <w:rFonts w:cstheme="minorHAnsi"/>
                <w:color w:val="231F20"/>
                <w:w w:val="105"/>
              </w:rPr>
              <w:t>tate law;</w:t>
            </w:r>
          </w:p>
        </w:tc>
      </w:tr>
      <w:tr w:rsidR="006E323F" w:rsidRPr="00C84023" w14:paraId="7D33CDBF" w14:textId="77777777" w:rsidTr="00CA6841">
        <w:trPr>
          <w:trHeight w:hRule="exact" w:val="618"/>
        </w:trPr>
        <w:tc>
          <w:tcPr>
            <w:tcW w:w="468" w:type="dxa"/>
            <w:tcBorders>
              <w:top w:val="single" w:sz="2" w:space="0" w:color="231F20"/>
              <w:left w:val="single" w:sz="2" w:space="0" w:color="231F20"/>
              <w:bottom w:val="single" w:sz="2" w:space="0" w:color="231F20"/>
              <w:right w:val="single" w:sz="2" w:space="0" w:color="231F20"/>
            </w:tcBorders>
            <w:shd w:val="clear" w:color="auto" w:fill="E6E7E8"/>
          </w:tcPr>
          <w:p w14:paraId="17CC8617" w14:textId="77777777" w:rsidR="006E323F" w:rsidRPr="00C84023" w:rsidRDefault="006E323F" w:rsidP="00D63204">
            <w:pPr>
              <w:widowControl w:val="0"/>
              <w:spacing w:before="52" w:after="0" w:line="240" w:lineRule="auto"/>
              <w:ind w:left="90"/>
              <w:rPr>
                <w:rFonts w:cstheme="minorHAnsi"/>
              </w:rPr>
            </w:pPr>
            <w:r w:rsidRPr="00C84023">
              <w:rPr>
                <w:rFonts w:cstheme="minorHAnsi"/>
                <w:color w:val="231F20"/>
                <w:w w:val="110"/>
              </w:rPr>
              <w:t>5.</w:t>
            </w:r>
          </w:p>
        </w:tc>
        <w:tc>
          <w:tcPr>
            <w:tcW w:w="9697" w:type="dxa"/>
            <w:tcBorders>
              <w:top w:val="single" w:sz="2" w:space="0" w:color="231F20"/>
              <w:left w:val="single" w:sz="2" w:space="0" w:color="231F20"/>
              <w:bottom w:val="single" w:sz="2" w:space="0" w:color="231F20"/>
              <w:right w:val="single" w:sz="2" w:space="0" w:color="231F20"/>
            </w:tcBorders>
            <w:shd w:val="clear" w:color="auto" w:fill="E6E7E8"/>
          </w:tcPr>
          <w:p w14:paraId="1C40CE37" w14:textId="30DFF35D" w:rsidR="006E323F" w:rsidRPr="00C84023" w:rsidRDefault="006E323F" w:rsidP="00D63204">
            <w:pPr>
              <w:widowControl w:val="0"/>
              <w:spacing w:before="50" w:after="0" w:line="264" w:lineRule="exact"/>
              <w:ind w:left="90"/>
              <w:rPr>
                <w:rFonts w:cstheme="minorHAnsi"/>
              </w:rPr>
            </w:pPr>
            <w:r w:rsidRPr="00C84023">
              <w:rPr>
                <w:rFonts w:cstheme="minorHAnsi"/>
                <w:color w:val="231F20"/>
                <w:w w:val="105"/>
              </w:rPr>
              <w:t xml:space="preserve">A </w:t>
            </w:r>
            <w:r w:rsidR="00D226F4">
              <w:rPr>
                <w:rFonts w:cstheme="minorHAnsi"/>
                <w:color w:val="231F20"/>
                <w:w w:val="105"/>
              </w:rPr>
              <w:t>s</w:t>
            </w:r>
            <w:r w:rsidRPr="00C84023">
              <w:rPr>
                <w:rFonts w:cstheme="minorHAnsi"/>
                <w:color w:val="231F20"/>
                <w:w w:val="105"/>
              </w:rPr>
              <w:t xml:space="preserve">tate </w:t>
            </w:r>
            <w:r w:rsidRPr="00C84023">
              <w:rPr>
                <w:rFonts w:cstheme="minorHAnsi"/>
                <w:color w:val="231F20"/>
                <w:spacing w:val="-3"/>
                <w:w w:val="105"/>
              </w:rPr>
              <w:t xml:space="preserve">officer, </w:t>
            </w:r>
            <w:r w:rsidRPr="00C84023">
              <w:rPr>
                <w:rFonts w:cstheme="minorHAnsi"/>
                <w:color w:val="231F20"/>
                <w:w w:val="105"/>
              </w:rPr>
              <w:t xml:space="preserve">specified by title in the certification, has authority under </w:t>
            </w:r>
            <w:r w:rsidR="00D226F4">
              <w:rPr>
                <w:rFonts w:cstheme="minorHAnsi"/>
                <w:color w:val="231F20"/>
                <w:w w:val="105"/>
              </w:rPr>
              <w:t>s</w:t>
            </w:r>
            <w:r w:rsidRPr="00C84023">
              <w:rPr>
                <w:rFonts w:cstheme="minorHAnsi"/>
                <w:color w:val="231F20"/>
                <w:w w:val="105"/>
              </w:rPr>
              <w:t>tate law to receive,</w:t>
            </w:r>
            <w:r w:rsidRPr="00C84023">
              <w:rPr>
                <w:rFonts w:cstheme="minorHAnsi"/>
                <w:color w:val="231F20"/>
                <w:spacing w:val="46"/>
                <w:w w:val="105"/>
              </w:rPr>
              <w:t xml:space="preserve"> </w:t>
            </w:r>
            <w:r w:rsidRPr="00C84023">
              <w:rPr>
                <w:rFonts w:cstheme="minorHAnsi"/>
                <w:color w:val="231F20"/>
                <w:w w:val="105"/>
              </w:rPr>
              <w:t>hold</w:t>
            </w:r>
            <w:r w:rsidR="00D5537E">
              <w:rPr>
                <w:rFonts w:cstheme="minorHAnsi"/>
                <w:color w:val="231F20"/>
                <w:w w:val="105"/>
              </w:rPr>
              <w:t xml:space="preserve"> and</w:t>
            </w:r>
            <w:r w:rsidRPr="00C84023">
              <w:rPr>
                <w:rFonts w:cstheme="minorHAnsi"/>
                <w:color w:val="231F20"/>
                <w:w w:val="105"/>
              </w:rPr>
              <w:t xml:space="preserve"> disburse </w:t>
            </w:r>
            <w:r w:rsidR="00D226F4">
              <w:rPr>
                <w:rFonts w:cstheme="minorHAnsi"/>
                <w:color w:val="231F20"/>
                <w:w w:val="105"/>
              </w:rPr>
              <w:t>f</w:t>
            </w:r>
            <w:r w:rsidRPr="00C84023">
              <w:rPr>
                <w:rFonts w:cstheme="minorHAnsi"/>
                <w:color w:val="231F20"/>
                <w:w w:val="105"/>
              </w:rPr>
              <w:t>ederal funds made available under the plan;</w:t>
            </w:r>
          </w:p>
        </w:tc>
      </w:tr>
      <w:tr w:rsidR="006E323F" w:rsidRPr="00C84023" w14:paraId="328299A9" w14:textId="77777777" w:rsidTr="00CA6841">
        <w:trPr>
          <w:trHeight w:hRule="exact" w:val="618"/>
        </w:trPr>
        <w:tc>
          <w:tcPr>
            <w:tcW w:w="468" w:type="dxa"/>
            <w:tcBorders>
              <w:top w:val="single" w:sz="2" w:space="0" w:color="231F20"/>
              <w:left w:val="single" w:sz="2" w:space="0" w:color="231F20"/>
              <w:bottom w:val="single" w:sz="2" w:space="0" w:color="231F20"/>
              <w:right w:val="single" w:sz="2" w:space="0" w:color="231F20"/>
            </w:tcBorders>
          </w:tcPr>
          <w:p w14:paraId="47691A50" w14:textId="77777777" w:rsidR="006E323F" w:rsidRPr="00C84023" w:rsidRDefault="006E323F" w:rsidP="00D63204">
            <w:pPr>
              <w:widowControl w:val="0"/>
              <w:spacing w:before="52" w:after="0" w:line="240" w:lineRule="auto"/>
              <w:ind w:left="90"/>
              <w:rPr>
                <w:rFonts w:cstheme="minorHAnsi"/>
              </w:rPr>
            </w:pPr>
            <w:r w:rsidRPr="00C84023">
              <w:rPr>
                <w:rFonts w:cstheme="minorHAnsi"/>
                <w:color w:val="231F20"/>
                <w:w w:val="110"/>
              </w:rPr>
              <w:t>6.</w:t>
            </w:r>
          </w:p>
        </w:tc>
        <w:tc>
          <w:tcPr>
            <w:tcW w:w="9697" w:type="dxa"/>
            <w:tcBorders>
              <w:top w:val="single" w:sz="2" w:space="0" w:color="231F20"/>
              <w:left w:val="single" w:sz="2" w:space="0" w:color="231F20"/>
              <w:bottom w:val="single" w:sz="2" w:space="0" w:color="231F20"/>
              <w:right w:val="single" w:sz="2" w:space="0" w:color="231F20"/>
            </w:tcBorders>
          </w:tcPr>
          <w:p w14:paraId="262347B4" w14:textId="1233C692" w:rsidR="006E323F" w:rsidRPr="00C84023" w:rsidRDefault="006E323F" w:rsidP="00D63204">
            <w:pPr>
              <w:widowControl w:val="0"/>
              <w:spacing w:before="50" w:after="0" w:line="264" w:lineRule="exact"/>
              <w:ind w:left="90"/>
              <w:rPr>
                <w:rFonts w:cstheme="minorHAnsi"/>
              </w:rPr>
            </w:pPr>
            <w:r w:rsidRPr="00C84023">
              <w:rPr>
                <w:rFonts w:cstheme="minorHAnsi"/>
                <w:color w:val="231F20"/>
                <w:w w:val="105"/>
              </w:rPr>
              <w:t xml:space="preserve">The </w:t>
            </w:r>
            <w:r w:rsidR="00D226F4">
              <w:rPr>
                <w:rFonts w:cstheme="minorHAnsi"/>
                <w:color w:val="231F20"/>
                <w:w w:val="105"/>
              </w:rPr>
              <w:t>s</w:t>
            </w:r>
            <w:r w:rsidRPr="00C84023">
              <w:rPr>
                <w:rFonts w:cstheme="minorHAnsi"/>
                <w:color w:val="231F20"/>
                <w:w w:val="105"/>
              </w:rPr>
              <w:t>tate officer submitting the plan, specified by the title in the certification, has</w:t>
            </w:r>
            <w:r w:rsidRPr="00C84023">
              <w:rPr>
                <w:rFonts w:cstheme="minorHAnsi"/>
                <w:color w:val="231F20"/>
                <w:spacing w:val="31"/>
                <w:w w:val="105"/>
              </w:rPr>
              <w:t xml:space="preserve"> </w:t>
            </w:r>
            <w:r w:rsidRPr="00C84023">
              <w:rPr>
                <w:rFonts w:cstheme="minorHAnsi"/>
                <w:color w:val="231F20"/>
                <w:w w:val="105"/>
              </w:rPr>
              <w:t>authority</w:t>
            </w:r>
            <w:r w:rsidRPr="00C84023">
              <w:rPr>
                <w:rFonts w:cstheme="minorHAnsi"/>
                <w:color w:val="231F20"/>
                <w:w w:val="102"/>
              </w:rPr>
              <w:t xml:space="preserve"> </w:t>
            </w:r>
            <w:r w:rsidRPr="00C84023">
              <w:rPr>
                <w:rFonts w:cstheme="minorHAnsi"/>
                <w:color w:val="231F20"/>
                <w:w w:val="105"/>
              </w:rPr>
              <w:t>to submit the</w:t>
            </w:r>
            <w:r w:rsidRPr="00C84023">
              <w:rPr>
                <w:rFonts w:cstheme="minorHAnsi"/>
                <w:color w:val="231F20"/>
                <w:spacing w:val="-10"/>
                <w:w w:val="105"/>
              </w:rPr>
              <w:t xml:space="preserve"> </w:t>
            </w:r>
            <w:r w:rsidRPr="00C84023">
              <w:rPr>
                <w:rFonts w:cstheme="minorHAnsi"/>
                <w:color w:val="231F20"/>
                <w:w w:val="105"/>
              </w:rPr>
              <w:t>plan;</w:t>
            </w:r>
          </w:p>
        </w:tc>
      </w:tr>
      <w:tr w:rsidR="006E323F" w:rsidRPr="00C84023" w14:paraId="43CA4E62" w14:textId="77777777" w:rsidTr="00CA6841">
        <w:trPr>
          <w:trHeight w:hRule="exact" w:val="354"/>
        </w:trPr>
        <w:tc>
          <w:tcPr>
            <w:tcW w:w="468" w:type="dxa"/>
            <w:tcBorders>
              <w:top w:val="single" w:sz="2" w:space="0" w:color="231F20"/>
              <w:left w:val="single" w:sz="2" w:space="0" w:color="231F20"/>
              <w:bottom w:val="single" w:sz="2" w:space="0" w:color="231F20"/>
              <w:right w:val="single" w:sz="2" w:space="0" w:color="231F20"/>
            </w:tcBorders>
            <w:shd w:val="clear" w:color="auto" w:fill="E6E7E8"/>
          </w:tcPr>
          <w:p w14:paraId="574DB6FE" w14:textId="77777777" w:rsidR="006E323F" w:rsidRPr="00C84023" w:rsidRDefault="006E323F" w:rsidP="00D63204">
            <w:pPr>
              <w:widowControl w:val="0"/>
              <w:spacing w:before="52" w:after="0" w:line="240" w:lineRule="auto"/>
              <w:ind w:left="90"/>
              <w:rPr>
                <w:rFonts w:cstheme="minorHAnsi"/>
              </w:rPr>
            </w:pPr>
            <w:r w:rsidRPr="00C84023">
              <w:rPr>
                <w:rFonts w:cstheme="minorHAnsi"/>
                <w:color w:val="231F20"/>
                <w:spacing w:val="-23"/>
              </w:rPr>
              <w:t>7.</w:t>
            </w:r>
          </w:p>
        </w:tc>
        <w:tc>
          <w:tcPr>
            <w:tcW w:w="9697" w:type="dxa"/>
            <w:tcBorders>
              <w:top w:val="single" w:sz="2" w:space="0" w:color="231F20"/>
              <w:left w:val="single" w:sz="2" w:space="0" w:color="231F20"/>
              <w:bottom w:val="single" w:sz="2" w:space="0" w:color="231F20"/>
              <w:right w:val="single" w:sz="2" w:space="0" w:color="231F20"/>
            </w:tcBorders>
            <w:shd w:val="clear" w:color="auto" w:fill="E6E7E8"/>
          </w:tcPr>
          <w:p w14:paraId="5B721CDE" w14:textId="77777777" w:rsidR="006E323F" w:rsidRPr="00C84023" w:rsidRDefault="006E323F" w:rsidP="00D63204">
            <w:pPr>
              <w:widowControl w:val="0"/>
              <w:spacing w:before="52" w:after="0" w:line="240" w:lineRule="auto"/>
              <w:ind w:left="90"/>
              <w:rPr>
                <w:rFonts w:cstheme="minorHAnsi"/>
              </w:rPr>
            </w:pPr>
            <w:r w:rsidRPr="00C84023">
              <w:rPr>
                <w:rFonts w:cstheme="minorHAnsi"/>
                <w:color w:val="231F20"/>
                <w:w w:val="105"/>
              </w:rPr>
              <w:t>The</w:t>
            </w:r>
            <w:r w:rsidRPr="00C84023">
              <w:rPr>
                <w:rFonts w:cstheme="minorHAnsi"/>
                <w:color w:val="231F20"/>
                <w:spacing w:val="11"/>
                <w:w w:val="105"/>
              </w:rPr>
              <w:t xml:space="preserve"> </w:t>
            </w:r>
            <w:r w:rsidRPr="00C84023">
              <w:rPr>
                <w:rFonts w:cstheme="minorHAnsi"/>
                <w:color w:val="231F20"/>
                <w:w w:val="105"/>
              </w:rPr>
              <w:t>agency</w:t>
            </w:r>
            <w:r w:rsidRPr="00C84023">
              <w:rPr>
                <w:rFonts w:cstheme="minorHAnsi"/>
                <w:color w:val="231F20"/>
                <w:spacing w:val="11"/>
                <w:w w:val="105"/>
              </w:rPr>
              <w:t xml:space="preserve"> </w:t>
            </w:r>
            <w:r w:rsidRPr="00C84023">
              <w:rPr>
                <w:rFonts w:cstheme="minorHAnsi"/>
                <w:color w:val="231F20"/>
                <w:w w:val="105"/>
              </w:rPr>
              <w:t>submitting</w:t>
            </w:r>
            <w:r w:rsidRPr="00C84023">
              <w:rPr>
                <w:rFonts w:cstheme="minorHAnsi"/>
                <w:color w:val="231F20"/>
                <w:spacing w:val="11"/>
                <w:w w:val="105"/>
              </w:rPr>
              <w:t xml:space="preserve"> </w:t>
            </w:r>
            <w:r w:rsidRPr="00C84023">
              <w:rPr>
                <w:rFonts w:cstheme="minorHAnsi"/>
                <w:color w:val="231F20"/>
                <w:w w:val="105"/>
              </w:rPr>
              <w:t>the</w:t>
            </w:r>
            <w:r w:rsidRPr="00C84023">
              <w:rPr>
                <w:rFonts w:cstheme="minorHAnsi"/>
                <w:color w:val="231F20"/>
                <w:spacing w:val="11"/>
                <w:w w:val="105"/>
              </w:rPr>
              <w:t xml:space="preserve"> </w:t>
            </w:r>
            <w:r w:rsidRPr="00C84023">
              <w:rPr>
                <w:rFonts w:cstheme="minorHAnsi"/>
                <w:color w:val="231F20"/>
                <w:w w:val="105"/>
              </w:rPr>
              <w:t>plan</w:t>
            </w:r>
            <w:r w:rsidRPr="00C84023">
              <w:rPr>
                <w:rFonts w:cstheme="minorHAnsi"/>
                <w:color w:val="231F20"/>
                <w:spacing w:val="11"/>
                <w:w w:val="105"/>
              </w:rPr>
              <w:t xml:space="preserve"> </w:t>
            </w:r>
            <w:r w:rsidRPr="00C84023">
              <w:rPr>
                <w:rFonts w:cstheme="minorHAnsi"/>
                <w:color w:val="231F20"/>
                <w:w w:val="105"/>
              </w:rPr>
              <w:t>adopted</w:t>
            </w:r>
            <w:r w:rsidRPr="00C84023">
              <w:rPr>
                <w:rFonts w:cstheme="minorHAnsi"/>
                <w:color w:val="231F20"/>
                <w:spacing w:val="11"/>
                <w:w w:val="105"/>
              </w:rPr>
              <w:t xml:space="preserve"> </w:t>
            </w:r>
            <w:r w:rsidRPr="00C84023">
              <w:rPr>
                <w:rFonts w:cstheme="minorHAnsi"/>
                <w:color w:val="231F20"/>
                <w:w w:val="105"/>
              </w:rPr>
              <w:t>or</w:t>
            </w:r>
            <w:r w:rsidRPr="00C84023">
              <w:rPr>
                <w:rFonts w:cstheme="minorHAnsi"/>
                <w:color w:val="231F20"/>
                <w:spacing w:val="11"/>
                <w:w w:val="105"/>
              </w:rPr>
              <w:t xml:space="preserve"> </w:t>
            </w:r>
            <w:r w:rsidRPr="00C84023">
              <w:rPr>
                <w:rFonts w:cstheme="minorHAnsi"/>
                <w:color w:val="231F20"/>
                <w:w w:val="105"/>
              </w:rPr>
              <w:t>otherwise</w:t>
            </w:r>
            <w:r w:rsidRPr="00C84023">
              <w:rPr>
                <w:rFonts w:cstheme="minorHAnsi"/>
                <w:color w:val="231F20"/>
                <w:spacing w:val="11"/>
                <w:w w:val="105"/>
              </w:rPr>
              <w:t xml:space="preserve"> </w:t>
            </w:r>
            <w:r w:rsidRPr="00C84023">
              <w:rPr>
                <w:rFonts w:cstheme="minorHAnsi"/>
                <w:color w:val="231F20"/>
                <w:w w:val="105"/>
              </w:rPr>
              <w:t>formally</w:t>
            </w:r>
            <w:r w:rsidRPr="00C84023">
              <w:rPr>
                <w:rFonts w:cstheme="minorHAnsi"/>
                <w:color w:val="231F20"/>
                <w:spacing w:val="11"/>
                <w:w w:val="105"/>
              </w:rPr>
              <w:t xml:space="preserve"> </w:t>
            </w:r>
            <w:r w:rsidRPr="00C84023">
              <w:rPr>
                <w:rFonts w:cstheme="minorHAnsi"/>
                <w:color w:val="231F20"/>
                <w:w w:val="105"/>
              </w:rPr>
              <w:t>approved</w:t>
            </w:r>
            <w:r w:rsidRPr="00C84023">
              <w:rPr>
                <w:rFonts w:cstheme="minorHAnsi"/>
                <w:color w:val="231F20"/>
                <w:spacing w:val="11"/>
                <w:w w:val="105"/>
              </w:rPr>
              <w:t xml:space="preserve"> </w:t>
            </w:r>
            <w:r w:rsidRPr="00C84023">
              <w:rPr>
                <w:rFonts w:cstheme="minorHAnsi"/>
                <w:color w:val="231F20"/>
                <w:w w:val="105"/>
              </w:rPr>
              <w:t>the</w:t>
            </w:r>
            <w:r w:rsidRPr="00C84023">
              <w:rPr>
                <w:rFonts w:cstheme="minorHAnsi"/>
                <w:color w:val="231F20"/>
                <w:spacing w:val="11"/>
                <w:w w:val="105"/>
              </w:rPr>
              <w:t xml:space="preserve"> </w:t>
            </w:r>
            <w:r w:rsidRPr="00C84023">
              <w:rPr>
                <w:rFonts w:cstheme="minorHAnsi"/>
                <w:color w:val="231F20"/>
                <w:w w:val="105"/>
              </w:rPr>
              <w:t>plan;</w:t>
            </w:r>
            <w:r w:rsidRPr="00C84023">
              <w:rPr>
                <w:rFonts w:cstheme="minorHAnsi"/>
                <w:color w:val="231F20"/>
                <w:spacing w:val="11"/>
                <w:w w:val="105"/>
              </w:rPr>
              <w:t xml:space="preserve"> </w:t>
            </w:r>
            <w:r w:rsidRPr="00C84023">
              <w:rPr>
                <w:rFonts w:cstheme="minorHAnsi"/>
                <w:color w:val="231F20"/>
                <w:w w:val="105"/>
              </w:rPr>
              <w:t>and</w:t>
            </w:r>
          </w:p>
        </w:tc>
      </w:tr>
      <w:tr w:rsidR="006E323F" w:rsidRPr="00C84023" w14:paraId="1FD9A296" w14:textId="77777777" w:rsidTr="00CA6841">
        <w:trPr>
          <w:trHeight w:hRule="exact" w:val="354"/>
        </w:trPr>
        <w:tc>
          <w:tcPr>
            <w:tcW w:w="468" w:type="dxa"/>
            <w:tcBorders>
              <w:top w:val="single" w:sz="2" w:space="0" w:color="231F20"/>
              <w:left w:val="single" w:sz="2" w:space="0" w:color="231F20"/>
              <w:bottom w:val="single" w:sz="2" w:space="0" w:color="231F20"/>
              <w:right w:val="single" w:sz="2" w:space="0" w:color="231F20"/>
            </w:tcBorders>
          </w:tcPr>
          <w:p w14:paraId="432DE85B" w14:textId="77777777" w:rsidR="006E323F" w:rsidRPr="00C84023" w:rsidRDefault="006E323F" w:rsidP="00D63204">
            <w:pPr>
              <w:widowControl w:val="0"/>
              <w:spacing w:before="52" w:after="0" w:line="240" w:lineRule="auto"/>
              <w:ind w:left="90"/>
              <w:rPr>
                <w:rFonts w:cstheme="minorHAnsi"/>
              </w:rPr>
            </w:pPr>
            <w:r w:rsidRPr="00C84023">
              <w:rPr>
                <w:rFonts w:cstheme="minorHAnsi"/>
                <w:color w:val="231F20"/>
                <w:w w:val="105"/>
              </w:rPr>
              <w:t>8.</w:t>
            </w:r>
          </w:p>
        </w:tc>
        <w:tc>
          <w:tcPr>
            <w:tcW w:w="9697" w:type="dxa"/>
            <w:tcBorders>
              <w:top w:val="single" w:sz="2" w:space="0" w:color="231F20"/>
              <w:left w:val="single" w:sz="2" w:space="0" w:color="231F20"/>
              <w:bottom w:val="single" w:sz="2" w:space="0" w:color="231F20"/>
              <w:right w:val="single" w:sz="2" w:space="0" w:color="231F20"/>
            </w:tcBorders>
          </w:tcPr>
          <w:p w14:paraId="5337D455" w14:textId="1CDA0E81" w:rsidR="006E323F" w:rsidRPr="00C84023" w:rsidRDefault="006E323F" w:rsidP="00D63204">
            <w:pPr>
              <w:widowControl w:val="0"/>
              <w:spacing w:before="52" w:after="0" w:line="240" w:lineRule="auto"/>
              <w:ind w:left="90"/>
              <w:rPr>
                <w:rFonts w:cstheme="minorHAnsi"/>
              </w:rPr>
            </w:pPr>
            <w:r w:rsidRPr="00C84023">
              <w:rPr>
                <w:rFonts w:cstheme="minorHAnsi"/>
                <w:color w:val="231F20"/>
                <w:w w:val="105"/>
              </w:rPr>
              <w:t xml:space="preserve">The plan is the basis for </w:t>
            </w:r>
            <w:r w:rsidR="00D226F4">
              <w:rPr>
                <w:rFonts w:cstheme="minorHAnsi"/>
                <w:color w:val="231F20"/>
                <w:w w:val="105"/>
              </w:rPr>
              <w:t>s</w:t>
            </w:r>
            <w:r w:rsidRPr="00C84023">
              <w:rPr>
                <w:rFonts w:cstheme="minorHAnsi"/>
                <w:color w:val="231F20"/>
                <w:w w:val="105"/>
              </w:rPr>
              <w:t>tate operation and administration of the program;</w:t>
            </w:r>
          </w:p>
        </w:tc>
      </w:tr>
    </w:tbl>
    <w:p w14:paraId="7B3F28EF" w14:textId="77777777" w:rsidR="006E323F" w:rsidRPr="00C84023" w:rsidRDefault="006E323F" w:rsidP="00D63204">
      <w:pPr>
        <w:widowControl w:val="0"/>
        <w:spacing w:before="7" w:after="0" w:line="240" w:lineRule="auto"/>
        <w:ind w:left="90"/>
        <w:rPr>
          <w:rFonts w:cstheme="minorHAnsi"/>
          <w:b/>
          <w:bCs/>
          <w:sz w:val="28"/>
          <w:szCs w:val="28"/>
        </w:rPr>
      </w:pPr>
    </w:p>
    <w:tbl>
      <w:tblPr>
        <w:tblW w:w="0" w:type="auto"/>
        <w:tblInd w:w="108" w:type="dxa"/>
        <w:tblLayout w:type="fixed"/>
        <w:tblCellMar>
          <w:left w:w="0" w:type="dxa"/>
          <w:right w:w="0" w:type="dxa"/>
        </w:tblCellMar>
        <w:tblLook w:val="01E0" w:firstRow="1" w:lastRow="1" w:firstColumn="1" w:lastColumn="1" w:noHBand="0" w:noVBand="0"/>
      </w:tblPr>
      <w:tblGrid>
        <w:gridCol w:w="468"/>
        <w:gridCol w:w="9697"/>
      </w:tblGrid>
      <w:tr w:rsidR="006E323F" w:rsidRPr="00C84023" w14:paraId="7641E6A2" w14:textId="77777777" w:rsidTr="00CA6841">
        <w:trPr>
          <w:trHeight w:hRule="exact" w:val="354"/>
        </w:trPr>
        <w:tc>
          <w:tcPr>
            <w:tcW w:w="10165" w:type="dxa"/>
            <w:gridSpan w:val="2"/>
            <w:tcBorders>
              <w:top w:val="single" w:sz="2" w:space="0" w:color="231F20"/>
              <w:left w:val="single" w:sz="2" w:space="0" w:color="231F20"/>
              <w:bottom w:val="single" w:sz="2" w:space="0" w:color="231F20"/>
              <w:right w:val="single" w:sz="2" w:space="0" w:color="231F20"/>
            </w:tcBorders>
          </w:tcPr>
          <w:p w14:paraId="41124DDD" w14:textId="77777777" w:rsidR="006E323F" w:rsidRPr="00C84023" w:rsidRDefault="006E323F" w:rsidP="00D63204">
            <w:pPr>
              <w:widowControl w:val="0"/>
              <w:spacing w:before="52" w:after="0" w:line="240" w:lineRule="auto"/>
              <w:ind w:left="90"/>
              <w:rPr>
                <w:rFonts w:cstheme="minorHAnsi"/>
              </w:rPr>
            </w:pPr>
            <w:r w:rsidRPr="00C84023">
              <w:rPr>
                <w:rFonts w:cstheme="minorHAnsi"/>
                <w:b/>
                <w:color w:val="231F20"/>
                <w:w w:val="110"/>
              </w:rPr>
              <w:t>The State Plan must include assurances</w:t>
            </w:r>
            <w:r w:rsidRPr="00C84023">
              <w:rPr>
                <w:rFonts w:cstheme="minorHAnsi"/>
                <w:b/>
                <w:color w:val="231F20"/>
                <w:spacing w:val="-22"/>
                <w:w w:val="110"/>
              </w:rPr>
              <w:t xml:space="preserve"> </w:t>
            </w:r>
            <w:r w:rsidRPr="00C84023">
              <w:rPr>
                <w:rFonts w:cstheme="minorHAnsi"/>
                <w:b/>
                <w:color w:val="231F20"/>
                <w:w w:val="110"/>
              </w:rPr>
              <w:t>that:</w:t>
            </w:r>
          </w:p>
        </w:tc>
      </w:tr>
      <w:tr w:rsidR="006E323F" w:rsidRPr="00C84023" w14:paraId="1981D495" w14:textId="77777777" w:rsidTr="00CA6841">
        <w:trPr>
          <w:trHeight w:hRule="exact" w:val="882"/>
        </w:trPr>
        <w:tc>
          <w:tcPr>
            <w:tcW w:w="468" w:type="dxa"/>
            <w:tcBorders>
              <w:top w:val="single" w:sz="2" w:space="0" w:color="231F20"/>
              <w:left w:val="single" w:sz="2" w:space="0" w:color="231F20"/>
              <w:bottom w:val="single" w:sz="2" w:space="0" w:color="231F20"/>
              <w:right w:val="single" w:sz="2" w:space="0" w:color="231F20"/>
            </w:tcBorders>
            <w:shd w:val="clear" w:color="auto" w:fill="E6E7E8"/>
          </w:tcPr>
          <w:p w14:paraId="5939BC67" w14:textId="77777777" w:rsidR="006E323F" w:rsidRPr="00C84023" w:rsidRDefault="006E323F" w:rsidP="00D63204">
            <w:pPr>
              <w:widowControl w:val="0"/>
              <w:spacing w:before="52" w:after="0" w:line="240" w:lineRule="auto"/>
              <w:ind w:left="90"/>
              <w:rPr>
                <w:rFonts w:cstheme="minorHAnsi"/>
              </w:rPr>
            </w:pPr>
            <w:r w:rsidRPr="00C84023">
              <w:rPr>
                <w:rFonts w:cstheme="minorHAnsi"/>
                <w:color w:val="231F20"/>
                <w:w w:val="85"/>
              </w:rPr>
              <w:t>1.</w:t>
            </w:r>
          </w:p>
        </w:tc>
        <w:tc>
          <w:tcPr>
            <w:tcW w:w="9697" w:type="dxa"/>
            <w:tcBorders>
              <w:top w:val="single" w:sz="2" w:space="0" w:color="231F20"/>
              <w:left w:val="single" w:sz="2" w:space="0" w:color="231F20"/>
              <w:bottom w:val="single" w:sz="2" w:space="0" w:color="231F20"/>
              <w:right w:val="single" w:sz="2" w:space="0" w:color="231F20"/>
            </w:tcBorders>
            <w:shd w:val="clear" w:color="auto" w:fill="E6E7E8"/>
          </w:tcPr>
          <w:p w14:paraId="16FD9675" w14:textId="77777777" w:rsidR="006E323F" w:rsidRPr="00C84023" w:rsidRDefault="006E323F" w:rsidP="00D63204">
            <w:pPr>
              <w:widowControl w:val="0"/>
              <w:spacing w:before="50" w:after="0" w:line="264" w:lineRule="exact"/>
              <w:ind w:left="90"/>
              <w:rPr>
                <w:rFonts w:cstheme="minorHAnsi"/>
              </w:rPr>
            </w:pPr>
            <w:r w:rsidRPr="00C84023">
              <w:rPr>
                <w:rFonts w:cstheme="minorHAnsi"/>
                <w:color w:val="231F20"/>
                <w:w w:val="105"/>
              </w:rPr>
              <w:t>The eligible agency expends funds appropriated to carry out Title II of the Workforce</w:t>
            </w:r>
            <w:r w:rsidRPr="00C84023">
              <w:rPr>
                <w:rFonts w:cstheme="minorHAnsi"/>
                <w:color w:val="231F20"/>
                <w:spacing w:val="26"/>
                <w:w w:val="105"/>
              </w:rPr>
              <w:t xml:space="preserve"> </w:t>
            </w:r>
            <w:r w:rsidRPr="00C84023">
              <w:rPr>
                <w:rFonts w:cstheme="minorHAnsi"/>
                <w:color w:val="231F20"/>
                <w:w w:val="105"/>
              </w:rPr>
              <w:t>Innovation</w:t>
            </w:r>
            <w:r w:rsidRPr="00C84023">
              <w:rPr>
                <w:rFonts w:cstheme="minorHAnsi"/>
                <w:color w:val="231F20"/>
                <w:w w:val="104"/>
              </w:rPr>
              <w:t xml:space="preserve"> </w:t>
            </w:r>
            <w:r w:rsidRPr="00C84023">
              <w:rPr>
                <w:rFonts w:cstheme="minorHAnsi"/>
                <w:color w:val="231F20"/>
                <w:w w:val="105"/>
              </w:rPr>
              <w:t>and</w:t>
            </w:r>
            <w:r w:rsidRPr="00C84023">
              <w:rPr>
                <w:rFonts w:cstheme="minorHAnsi"/>
                <w:color w:val="231F20"/>
                <w:spacing w:val="6"/>
                <w:w w:val="105"/>
              </w:rPr>
              <w:t xml:space="preserve"> </w:t>
            </w:r>
            <w:r w:rsidRPr="00C84023">
              <w:rPr>
                <w:rFonts w:cstheme="minorHAnsi"/>
                <w:color w:val="231F20"/>
                <w:w w:val="105"/>
              </w:rPr>
              <w:t>Opportunity</w:t>
            </w:r>
            <w:r w:rsidRPr="00C84023">
              <w:rPr>
                <w:rFonts w:cstheme="minorHAnsi"/>
                <w:color w:val="231F20"/>
                <w:spacing w:val="6"/>
                <w:w w:val="105"/>
              </w:rPr>
              <w:t xml:space="preserve"> </w:t>
            </w:r>
            <w:r w:rsidRPr="00C84023">
              <w:rPr>
                <w:rFonts w:cstheme="minorHAnsi"/>
                <w:color w:val="231F20"/>
                <w:w w:val="105"/>
              </w:rPr>
              <w:t>Act</w:t>
            </w:r>
            <w:r w:rsidRPr="00C84023">
              <w:rPr>
                <w:rFonts w:cstheme="minorHAnsi"/>
                <w:color w:val="231F20"/>
                <w:spacing w:val="6"/>
                <w:w w:val="105"/>
              </w:rPr>
              <w:t xml:space="preserve"> </w:t>
            </w:r>
            <w:r w:rsidRPr="00C84023">
              <w:rPr>
                <w:rFonts w:cstheme="minorHAnsi"/>
                <w:color w:val="231F20"/>
                <w:w w:val="105"/>
              </w:rPr>
              <w:t>(WIOA)</w:t>
            </w:r>
            <w:r w:rsidRPr="00C84023">
              <w:rPr>
                <w:rFonts w:cstheme="minorHAnsi"/>
                <w:color w:val="231F20"/>
                <w:spacing w:val="6"/>
                <w:w w:val="105"/>
              </w:rPr>
              <w:t xml:space="preserve"> </w:t>
            </w:r>
            <w:r w:rsidRPr="00C84023">
              <w:rPr>
                <w:rFonts w:cstheme="minorHAnsi"/>
                <w:color w:val="231F20"/>
                <w:w w:val="105"/>
              </w:rPr>
              <w:t>in</w:t>
            </w:r>
            <w:r w:rsidRPr="00C84023">
              <w:rPr>
                <w:rFonts w:cstheme="minorHAnsi"/>
                <w:color w:val="231F20"/>
                <w:spacing w:val="6"/>
                <w:w w:val="105"/>
              </w:rPr>
              <w:t xml:space="preserve"> </w:t>
            </w:r>
            <w:r w:rsidRPr="00C84023">
              <w:rPr>
                <w:rFonts w:cstheme="minorHAnsi"/>
                <w:color w:val="231F20"/>
                <w:w w:val="105"/>
              </w:rPr>
              <w:t>a</w:t>
            </w:r>
            <w:r w:rsidRPr="00C84023">
              <w:rPr>
                <w:rFonts w:cstheme="minorHAnsi"/>
                <w:color w:val="231F20"/>
                <w:spacing w:val="6"/>
                <w:w w:val="105"/>
              </w:rPr>
              <w:t xml:space="preserve"> </w:t>
            </w:r>
            <w:r w:rsidRPr="00C84023">
              <w:rPr>
                <w:rFonts w:cstheme="minorHAnsi"/>
                <w:color w:val="231F20"/>
                <w:w w:val="105"/>
              </w:rPr>
              <w:t>manner</w:t>
            </w:r>
            <w:r w:rsidRPr="00C84023">
              <w:rPr>
                <w:rFonts w:cstheme="minorHAnsi"/>
                <w:color w:val="231F20"/>
                <w:spacing w:val="6"/>
                <w:w w:val="105"/>
              </w:rPr>
              <w:t xml:space="preserve"> </w:t>
            </w:r>
            <w:r w:rsidRPr="00C84023">
              <w:rPr>
                <w:rFonts w:cstheme="minorHAnsi"/>
                <w:color w:val="231F20"/>
                <w:w w:val="105"/>
              </w:rPr>
              <w:t>consistent</w:t>
            </w:r>
            <w:r w:rsidRPr="00C84023">
              <w:rPr>
                <w:rFonts w:cstheme="minorHAnsi"/>
                <w:color w:val="231F20"/>
                <w:spacing w:val="6"/>
                <w:w w:val="105"/>
              </w:rPr>
              <w:t xml:space="preserve"> </w:t>
            </w:r>
            <w:r w:rsidRPr="00C84023">
              <w:rPr>
                <w:rFonts w:cstheme="minorHAnsi"/>
                <w:color w:val="231F20"/>
                <w:w w:val="105"/>
              </w:rPr>
              <w:t>with</w:t>
            </w:r>
            <w:r w:rsidRPr="00C84023">
              <w:rPr>
                <w:rFonts w:cstheme="minorHAnsi"/>
                <w:color w:val="231F20"/>
                <w:spacing w:val="6"/>
                <w:w w:val="105"/>
              </w:rPr>
              <w:t xml:space="preserve"> </w:t>
            </w:r>
            <w:r w:rsidRPr="00C84023">
              <w:rPr>
                <w:rFonts w:cstheme="minorHAnsi"/>
                <w:color w:val="231F20"/>
                <w:w w:val="105"/>
              </w:rPr>
              <w:t>fiscal</w:t>
            </w:r>
            <w:r w:rsidRPr="00C84023">
              <w:rPr>
                <w:rFonts w:cstheme="minorHAnsi"/>
                <w:color w:val="231F20"/>
                <w:spacing w:val="6"/>
                <w:w w:val="105"/>
              </w:rPr>
              <w:t xml:space="preserve"> </w:t>
            </w:r>
            <w:r w:rsidRPr="00C84023">
              <w:rPr>
                <w:rFonts w:cstheme="minorHAnsi"/>
                <w:color w:val="231F20"/>
                <w:w w:val="105"/>
              </w:rPr>
              <w:t>requirements</w:t>
            </w:r>
            <w:r w:rsidRPr="00C84023">
              <w:rPr>
                <w:rFonts w:cstheme="minorHAnsi"/>
                <w:color w:val="231F20"/>
                <w:spacing w:val="6"/>
                <w:w w:val="105"/>
              </w:rPr>
              <w:t xml:space="preserve"> </w:t>
            </w:r>
            <w:r w:rsidRPr="00C84023">
              <w:rPr>
                <w:rFonts w:cstheme="minorHAnsi"/>
                <w:color w:val="231F20"/>
                <w:w w:val="105"/>
              </w:rPr>
              <w:t>under</w:t>
            </w:r>
            <w:r w:rsidRPr="00C84023">
              <w:rPr>
                <w:rFonts w:cstheme="minorHAnsi"/>
                <w:color w:val="231F20"/>
                <w:spacing w:val="6"/>
                <w:w w:val="105"/>
              </w:rPr>
              <w:t xml:space="preserve"> </w:t>
            </w:r>
            <w:r w:rsidRPr="00C84023">
              <w:rPr>
                <w:rFonts w:cstheme="minorHAnsi"/>
                <w:color w:val="231F20"/>
                <w:w w:val="105"/>
              </w:rPr>
              <w:t>section</w:t>
            </w:r>
            <w:r w:rsidRPr="00C84023">
              <w:rPr>
                <w:rFonts w:cstheme="minorHAnsi"/>
                <w:color w:val="231F20"/>
                <w:spacing w:val="-43"/>
                <w:w w:val="105"/>
              </w:rPr>
              <w:t xml:space="preserve"> </w:t>
            </w:r>
            <w:r w:rsidRPr="00C84023">
              <w:rPr>
                <w:rFonts w:cstheme="minorHAnsi"/>
                <w:color w:val="231F20"/>
                <w:w w:val="105"/>
              </w:rPr>
              <w:t xml:space="preserve">241(a) of </w:t>
            </w:r>
            <w:r w:rsidRPr="00C84023">
              <w:rPr>
                <w:rFonts w:cstheme="minorHAnsi"/>
                <w:color w:val="231F20"/>
                <w:spacing w:val="-3"/>
                <w:w w:val="105"/>
              </w:rPr>
              <w:t xml:space="preserve">WIOA </w:t>
            </w:r>
            <w:r w:rsidRPr="00C84023">
              <w:rPr>
                <w:rFonts w:cstheme="minorHAnsi"/>
                <w:color w:val="231F20"/>
                <w:w w:val="105"/>
              </w:rPr>
              <w:t>(regarding supplement and not supplant</w:t>
            </w:r>
            <w:r w:rsidRPr="00C84023">
              <w:rPr>
                <w:rFonts w:cstheme="minorHAnsi"/>
                <w:color w:val="231F20"/>
                <w:spacing w:val="42"/>
                <w:w w:val="105"/>
              </w:rPr>
              <w:t xml:space="preserve"> </w:t>
            </w:r>
            <w:r w:rsidRPr="00C84023">
              <w:rPr>
                <w:rFonts w:cstheme="minorHAnsi"/>
                <w:color w:val="231F20"/>
                <w:w w:val="105"/>
              </w:rPr>
              <w:t>provisions);</w:t>
            </w:r>
          </w:p>
        </w:tc>
      </w:tr>
      <w:tr w:rsidR="006E323F" w:rsidRPr="00C84023" w14:paraId="4FB62D7C" w14:textId="77777777" w:rsidTr="00CA6841">
        <w:trPr>
          <w:trHeight w:hRule="exact" w:val="618"/>
        </w:trPr>
        <w:tc>
          <w:tcPr>
            <w:tcW w:w="468" w:type="dxa"/>
            <w:tcBorders>
              <w:top w:val="single" w:sz="2" w:space="0" w:color="231F20"/>
              <w:left w:val="single" w:sz="2" w:space="0" w:color="231F20"/>
              <w:bottom w:val="single" w:sz="2" w:space="0" w:color="231F20"/>
              <w:right w:val="single" w:sz="2" w:space="0" w:color="231F20"/>
            </w:tcBorders>
          </w:tcPr>
          <w:p w14:paraId="24C515F2" w14:textId="77777777" w:rsidR="006E323F" w:rsidRPr="00C84023" w:rsidRDefault="006E323F" w:rsidP="00D63204">
            <w:pPr>
              <w:widowControl w:val="0"/>
              <w:spacing w:before="52" w:after="0" w:line="240" w:lineRule="auto"/>
              <w:ind w:left="90"/>
              <w:rPr>
                <w:rFonts w:cstheme="minorHAnsi"/>
              </w:rPr>
            </w:pPr>
            <w:r w:rsidRPr="00C84023">
              <w:rPr>
                <w:rFonts w:cstheme="minorHAnsi"/>
                <w:color w:val="231F20"/>
                <w:w w:val="110"/>
              </w:rPr>
              <w:t>2.</w:t>
            </w:r>
          </w:p>
        </w:tc>
        <w:tc>
          <w:tcPr>
            <w:tcW w:w="9697" w:type="dxa"/>
            <w:tcBorders>
              <w:top w:val="single" w:sz="2" w:space="0" w:color="231F20"/>
              <w:left w:val="single" w:sz="2" w:space="0" w:color="231F20"/>
              <w:bottom w:val="single" w:sz="2" w:space="0" w:color="231F20"/>
              <w:right w:val="single" w:sz="2" w:space="0" w:color="231F20"/>
            </w:tcBorders>
          </w:tcPr>
          <w:p w14:paraId="37E7B922" w14:textId="405D396A" w:rsidR="006E323F" w:rsidRPr="00C84023" w:rsidRDefault="006E323F" w:rsidP="00D63204">
            <w:pPr>
              <w:widowControl w:val="0"/>
              <w:spacing w:before="50" w:after="0" w:line="264" w:lineRule="exact"/>
              <w:ind w:left="90"/>
              <w:rPr>
                <w:rFonts w:cstheme="minorHAnsi"/>
              </w:rPr>
            </w:pPr>
            <w:r w:rsidRPr="00C84023">
              <w:rPr>
                <w:rFonts w:cstheme="minorHAnsi"/>
                <w:color w:val="231F20"/>
                <w:w w:val="105"/>
              </w:rPr>
              <w:t>The</w:t>
            </w:r>
            <w:r w:rsidRPr="00C84023">
              <w:rPr>
                <w:rFonts w:cstheme="minorHAnsi"/>
                <w:color w:val="231F20"/>
                <w:spacing w:val="17"/>
                <w:w w:val="105"/>
              </w:rPr>
              <w:t xml:space="preserve"> </w:t>
            </w:r>
            <w:r w:rsidRPr="00C84023">
              <w:rPr>
                <w:rFonts w:cstheme="minorHAnsi"/>
                <w:color w:val="231F20"/>
                <w:w w:val="105"/>
              </w:rPr>
              <w:t>eligible</w:t>
            </w:r>
            <w:r w:rsidRPr="00C84023">
              <w:rPr>
                <w:rFonts w:cstheme="minorHAnsi"/>
                <w:color w:val="231F20"/>
                <w:spacing w:val="17"/>
                <w:w w:val="105"/>
              </w:rPr>
              <w:t xml:space="preserve"> </w:t>
            </w:r>
            <w:r w:rsidRPr="00C84023">
              <w:rPr>
                <w:rFonts w:cstheme="minorHAnsi"/>
                <w:color w:val="231F20"/>
                <w:w w:val="105"/>
              </w:rPr>
              <w:t>agency</w:t>
            </w:r>
            <w:r w:rsidRPr="00C84023">
              <w:rPr>
                <w:rFonts w:cstheme="minorHAnsi"/>
                <w:color w:val="231F20"/>
                <w:spacing w:val="17"/>
                <w:w w:val="105"/>
              </w:rPr>
              <w:t xml:space="preserve"> </w:t>
            </w:r>
            <w:r w:rsidR="00211BB6">
              <w:rPr>
                <w:rFonts w:cstheme="minorHAnsi"/>
                <w:color w:val="231F20"/>
                <w:w w:val="105"/>
              </w:rPr>
              <w:t>will ensure</w:t>
            </w:r>
            <w:r>
              <w:rPr>
                <w:rFonts w:cstheme="minorHAnsi"/>
                <w:color w:val="231F20"/>
                <w:w w:val="105"/>
              </w:rPr>
              <w:t xml:space="preserve"> </w:t>
            </w:r>
            <w:r w:rsidRPr="00C84023">
              <w:rPr>
                <w:rFonts w:cstheme="minorHAnsi"/>
                <w:color w:val="231F20"/>
                <w:w w:val="105"/>
              </w:rPr>
              <w:t>there</w:t>
            </w:r>
            <w:r w:rsidRPr="00C84023">
              <w:rPr>
                <w:rFonts w:cstheme="minorHAnsi"/>
                <w:color w:val="231F20"/>
                <w:spacing w:val="17"/>
                <w:w w:val="105"/>
              </w:rPr>
              <w:t xml:space="preserve"> </w:t>
            </w:r>
            <w:r w:rsidRPr="00C84023">
              <w:rPr>
                <w:rFonts w:cstheme="minorHAnsi"/>
                <w:color w:val="231F20"/>
                <w:w w:val="105"/>
              </w:rPr>
              <w:t>is</w:t>
            </w:r>
            <w:r w:rsidRPr="00C84023">
              <w:rPr>
                <w:rFonts w:cstheme="minorHAnsi"/>
                <w:color w:val="231F20"/>
                <w:spacing w:val="17"/>
                <w:w w:val="105"/>
              </w:rPr>
              <w:t xml:space="preserve"> </w:t>
            </w:r>
            <w:r w:rsidRPr="00C84023">
              <w:rPr>
                <w:rFonts w:cstheme="minorHAnsi"/>
                <w:color w:val="231F20"/>
                <w:w w:val="105"/>
              </w:rPr>
              <w:t>at</w:t>
            </w:r>
            <w:r w:rsidRPr="00C84023">
              <w:rPr>
                <w:rFonts w:cstheme="minorHAnsi"/>
                <w:color w:val="231F20"/>
                <w:spacing w:val="17"/>
                <w:w w:val="105"/>
              </w:rPr>
              <w:t xml:space="preserve"> </w:t>
            </w:r>
            <w:r w:rsidRPr="00C84023">
              <w:rPr>
                <w:rFonts w:cstheme="minorHAnsi"/>
                <w:color w:val="231F20"/>
                <w:w w:val="105"/>
              </w:rPr>
              <w:t>least</w:t>
            </w:r>
            <w:r w:rsidRPr="00C84023">
              <w:rPr>
                <w:rFonts w:cstheme="minorHAnsi"/>
                <w:color w:val="231F20"/>
                <w:spacing w:val="17"/>
                <w:w w:val="105"/>
              </w:rPr>
              <w:t xml:space="preserve"> </w:t>
            </w:r>
            <w:r w:rsidRPr="00C84023">
              <w:rPr>
                <w:rFonts w:cstheme="minorHAnsi"/>
                <w:color w:val="231F20"/>
                <w:w w:val="105"/>
              </w:rPr>
              <w:t>one</w:t>
            </w:r>
            <w:r w:rsidRPr="00C84023">
              <w:rPr>
                <w:rFonts w:cstheme="minorHAnsi"/>
                <w:color w:val="231F20"/>
                <w:spacing w:val="17"/>
                <w:w w:val="105"/>
              </w:rPr>
              <w:t xml:space="preserve"> </w:t>
            </w:r>
            <w:r w:rsidRPr="00C84023">
              <w:rPr>
                <w:rFonts w:cstheme="minorHAnsi"/>
                <w:color w:val="231F20"/>
                <w:w w:val="105"/>
              </w:rPr>
              <w:t>eligible</w:t>
            </w:r>
            <w:r w:rsidRPr="00C84023">
              <w:rPr>
                <w:rFonts w:cstheme="minorHAnsi"/>
                <w:color w:val="231F20"/>
                <w:spacing w:val="17"/>
                <w:w w:val="105"/>
              </w:rPr>
              <w:t xml:space="preserve"> </w:t>
            </w:r>
            <w:r w:rsidRPr="00C84023">
              <w:rPr>
                <w:rFonts w:cstheme="minorHAnsi"/>
                <w:color w:val="231F20"/>
                <w:w w:val="105"/>
              </w:rPr>
              <w:t>provider</w:t>
            </w:r>
            <w:r w:rsidRPr="00C84023">
              <w:rPr>
                <w:rFonts w:cstheme="minorHAnsi"/>
                <w:color w:val="231F20"/>
                <w:spacing w:val="17"/>
                <w:w w:val="105"/>
              </w:rPr>
              <w:t xml:space="preserve"> </w:t>
            </w:r>
            <w:r w:rsidRPr="00C84023">
              <w:rPr>
                <w:rFonts w:cstheme="minorHAnsi"/>
                <w:color w:val="231F20"/>
                <w:w w:val="105"/>
              </w:rPr>
              <w:t>serving</w:t>
            </w:r>
            <w:r w:rsidRPr="00C84023">
              <w:rPr>
                <w:rFonts w:cstheme="minorHAnsi"/>
                <w:color w:val="231F20"/>
                <w:spacing w:val="17"/>
                <w:w w:val="105"/>
              </w:rPr>
              <w:t xml:space="preserve"> </w:t>
            </w:r>
            <w:r w:rsidRPr="00C84023">
              <w:rPr>
                <w:rFonts w:cstheme="minorHAnsi"/>
                <w:color w:val="231F20"/>
                <w:w w:val="105"/>
              </w:rPr>
              <w:t>each</w:t>
            </w:r>
            <w:r w:rsidRPr="00C84023">
              <w:rPr>
                <w:rFonts w:cstheme="minorHAnsi"/>
                <w:color w:val="231F20"/>
                <w:spacing w:val="17"/>
                <w:w w:val="105"/>
              </w:rPr>
              <w:t xml:space="preserve"> </w:t>
            </w:r>
            <w:r w:rsidRPr="00C84023">
              <w:rPr>
                <w:rFonts w:cstheme="minorHAnsi"/>
                <w:color w:val="231F20"/>
                <w:w w:val="105"/>
              </w:rPr>
              <w:t>local</w:t>
            </w:r>
            <w:r w:rsidRPr="00C84023">
              <w:rPr>
                <w:rFonts w:cstheme="minorHAnsi"/>
                <w:color w:val="231F20"/>
                <w:spacing w:val="17"/>
                <w:w w:val="105"/>
              </w:rPr>
              <w:t xml:space="preserve"> </w:t>
            </w:r>
            <w:r w:rsidRPr="00C84023">
              <w:rPr>
                <w:rFonts w:cstheme="minorHAnsi"/>
                <w:color w:val="231F20"/>
                <w:w w:val="105"/>
              </w:rPr>
              <w:t>area,</w:t>
            </w:r>
            <w:r w:rsidRPr="00C84023">
              <w:rPr>
                <w:rFonts w:cstheme="minorHAnsi"/>
                <w:color w:val="231F20"/>
                <w:spacing w:val="-51"/>
                <w:w w:val="105"/>
              </w:rPr>
              <w:t xml:space="preserve"> </w:t>
            </w:r>
            <w:r w:rsidRPr="00C84023">
              <w:rPr>
                <w:rFonts w:cstheme="minorHAnsi"/>
                <w:color w:val="231F20"/>
                <w:w w:val="105"/>
              </w:rPr>
              <w:t xml:space="preserve">as defined in section 3(32) of </w:t>
            </w:r>
            <w:r w:rsidRPr="00C84023">
              <w:rPr>
                <w:rFonts w:cstheme="minorHAnsi"/>
                <w:color w:val="231F20"/>
                <w:spacing w:val="2"/>
                <w:w w:val="105"/>
              </w:rPr>
              <w:t>WIOA</w:t>
            </w:r>
            <w:r w:rsidRPr="00C84023">
              <w:rPr>
                <w:rFonts w:cstheme="minorHAnsi"/>
                <w:color w:val="231F20"/>
                <w:w w:val="105"/>
              </w:rPr>
              <w:t>;</w:t>
            </w:r>
          </w:p>
        </w:tc>
      </w:tr>
      <w:tr w:rsidR="006E323F" w:rsidRPr="00C84023" w14:paraId="61C79896" w14:textId="77777777" w:rsidTr="00075F8B">
        <w:trPr>
          <w:trHeight w:hRule="exact" w:val="1202"/>
        </w:trPr>
        <w:tc>
          <w:tcPr>
            <w:tcW w:w="468" w:type="dxa"/>
            <w:tcBorders>
              <w:top w:val="single" w:sz="2" w:space="0" w:color="231F20"/>
              <w:left w:val="single" w:sz="2" w:space="0" w:color="231F20"/>
              <w:bottom w:val="single" w:sz="2" w:space="0" w:color="231F20"/>
              <w:right w:val="single" w:sz="2" w:space="0" w:color="231F20"/>
            </w:tcBorders>
            <w:shd w:val="clear" w:color="auto" w:fill="E6E7E8"/>
          </w:tcPr>
          <w:p w14:paraId="1AFBC99D" w14:textId="77777777" w:rsidR="006E323F" w:rsidRPr="00C84023" w:rsidRDefault="006E323F" w:rsidP="00D63204">
            <w:pPr>
              <w:widowControl w:val="0"/>
              <w:spacing w:before="52" w:after="0" w:line="240" w:lineRule="auto"/>
              <w:ind w:left="90"/>
              <w:rPr>
                <w:rFonts w:cstheme="minorHAnsi"/>
              </w:rPr>
            </w:pPr>
            <w:r w:rsidRPr="00C84023">
              <w:rPr>
                <w:rFonts w:cstheme="minorHAnsi"/>
                <w:color w:val="231F20"/>
                <w:w w:val="105"/>
              </w:rPr>
              <w:t>3.</w:t>
            </w:r>
          </w:p>
        </w:tc>
        <w:tc>
          <w:tcPr>
            <w:tcW w:w="9697" w:type="dxa"/>
            <w:tcBorders>
              <w:top w:val="single" w:sz="2" w:space="0" w:color="231F20"/>
              <w:left w:val="single" w:sz="2" w:space="0" w:color="231F20"/>
              <w:bottom w:val="single" w:sz="2" w:space="0" w:color="231F20"/>
              <w:right w:val="single" w:sz="2" w:space="0" w:color="231F20"/>
            </w:tcBorders>
            <w:shd w:val="clear" w:color="auto" w:fill="E6E7E8"/>
          </w:tcPr>
          <w:p w14:paraId="48723E29" w14:textId="1BC62DBF" w:rsidR="006E323F" w:rsidRPr="00C84023" w:rsidRDefault="006E323F" w:rsidP="00D63204">
            <w:pPr>
              <w:widowControl w:val="0"/>
              <w:spacing w:after="0" w:line="264" w:lineRule="exact"/>
              <w:ind w:left="90"/>
              <w:rPr>
                <w:rFonts w:cstheme="minorHAnsi"/>
              </w:rPr>
            </w:pPr>
            <w:r w:rsidRPr="00C84023">
              <w:rPr>
                <w:rFonts w:cstheme="minorHAnsi"/>
                <w:color w:val="231F20"/>
                <w:w w:val="105"/>
              </w:rPr>
              <w:t>The</w:t>
            </w:r>
            <w:r w:rsidRPr="00C84023">
              <w:rPr>
                <w:rFonts w:cstheme="minorHAnsi"/>
                <w:color w:val="231F20"/>
                <w:spacing w:val="12"/>
                <w:w w:val="105"/>
              </w:rPr>
              <w:t xml:space="preserve"> </w:t>
            </w:r>
            <w:r w:rsidRPr="00C84023">
              <w:rPr>
                <w:rFonts w:cstheme="minorHAnsi"/>
                <w:color w:val="231F20"/>
                <w:w w:val="105"/>
              </w:rPr>
              <w:t>eligible</w:t>
            </w:r>
            <w:r w:rsidRPr="00C84023">
              <w:rPr>
                <w:rFonts w:cstheme="minorHAnsi"/>
                <w:color w:val="231F20"/>
                <w:spacing w:val="12"/>
                <w:w w:val="105"/>
              </w:rPr>
              <w:t xml:space="preserve"> </w:t>
            </w:r>
            <w:r w:rsidRPr="00C84023">
              <w:rPr>
                <w:rFonts w:cstheme="minorHAnsi"/>
                <w:color w:val="231F20"/>
                <w:w w:val="105"/>
              </w:rPr>
              <w:t>agency</w:t>
            </w:r>
            <w:r w:rsidRPr="00C84023">
              <w:rPr>
                <w:rFonts w:cstheme="minorHAnsi"/>
                <w:color w:val="231F20"/>
                <w:spacing w:val="12"/>
                <w:w w:val="105"/>
              </w:rPr>
              <w:t xml:space="preserve"> </w:t>
            </w:r>
            <w:r w:rsidR="00075F8B">
              <w:rPr>
                <w:rFonts w:cstheme="minorHAnsi"/>
                <w:color w:val="231F20"/>
                <w:w w:val="105"/>
              </w:rPr>
              <w:t>will</w:t>
            </w:r>
            <w:r w:rsidRPr="00C84023">
              <w:rPr>
                <w:rFonts w:cstheme="minorHAnsi"/>
                <w:color w:val="231F20"/>
                <w:w w:val="105"/>
              </w:rPr>
              <w:t xml:space="preserve"> not</w:t>
            </w:r>
            <w:r w:rsidRPr="00C84023">
              <w:rPr>
                <w:rFonts w:cstheme="minorHAnsi"/>
                <w:color w:val="231F20"/>
                <w:spacing w:val="12"/>
                <w:w w:val="105"/>
              </w:rPr>
              <w:t xml:space="preserve"> </w:t>
            </w:r>
            <w:r w:rsidRPr="00C84023">
              <w:rPr>
                <w:rFonts w:cstheme="minorHAnsi"/>
                <w:color w:val="231F20"/>
                <w:w w:val="105"/>
              </w:rPr>
              <w:t>use</w:t>
            </w:r>
            <w:r w:rsidRPr="00C84023">
              <w:rPr>
                <w:rFonts w:cstheme="minorHAnsi"/>
                <w:color w:val="231F20"/>
                <w:spacing w:val="12"/>
                <w:w w:val="105"/>
              </w:rPr>
              <w:t xml:space="preserve"> </w:t>
            </w:r>
            <w:r w:rsidR="00075F8B">
              <w:rPr>
                <w:rFonts w:cstheme="minorHAnsi"/>
                <w:color w:val="231F20"/>
                <w:spacing w:val="12"/>
                <w:w w:val="105"/>
              </w:rPr>
              <w:t>any</w:t>
            </w:r>
            <w:r w:rsidRPr="00C84023">
              <w:rPr>
                <w:rFonts w:cstheme="minorHAnsi"/>
                <w:color w:val="231F20"/>
                <w:spacing w:val="12"/>
                <w:w w:val="105"/>
              </w:rPr>
              <w:t xml:space="preserve"> </w:t>
            </w:r>
            <w:r w:rsidRPr="00C84023">
              <w:rPr>
                <w:rFonts w:cstheme="minorHAnsi"/>
                <w:color w:val="231F20"/>
                <w:w w:val="105"/>
              </w:rPr>
              <w:t>funds</w:t>
            </w:r>
            <w:r w:rsidRPr="00C84023">
              <w:rPr>
                <w:rFonts w:cstheme="minorHAnsi"/>
                <w:color w:val="231F20"/>
                <w:spacing w:val="12"/>
                <w:w w:val="105"/>
              </w:rPr>
              <w:t xml:space="preserve"> </w:t>
            </w:r>
            <w:r w:rsidRPr="00C84023">
              <w:rPr>
                <w:rFonts w:cstheme="minorHAnsi"/>
                <w:color w:val="231F20"/>
                <w:w w:val="105"/>
              </w:rPr>
              <w:t>available</w:t>
            </w:r>
            <w:r w:rsidRPr="00C84023">
              <w:rPr>
                <w:rFonts w:cstheme="minorHAnsi"/>
                <w:color w:val="231F20"/>
                <w:spacing w:val="12"/>
                <w:w w:val="105"/>
              </w:rPr>
              <w:t xml:space="preserve"> </w:t>
            </w:r>
            <w:r w:rsidRPr="00C84023">
              <w:rPr>
                <w:rFonts w:cstheme="minorHAnsi"/>
                <w:color w:val="231F20"/>
                <w:w w:val="105"/>
              </w:rPr>
              <w:t>under</w:t>
            </w:r>
            <w:r w:rsidRPr="00C84023">
              <w:rPr>
                <w:rFonts w:cstheme="minorHAnsi"/>
                <w:color w:val="231F20"/>
                <w:spacing w:val="12"/>
                <w:w w:val="105"/>
              </w:rPr>
              <w:t xml:space="preserve"> T</w:t>
            </w:r>
            <w:r w:rsidRPr="00C84023">
              <w:rPr>
                <w:rFonts w:cstheme="minorHAnsi"/>
                <w:color w:val="231F20"/>
                <w:w w:val="105"/>
              </w:rPr>
              <w:t>itle</w:t>
            </w:r>
            <w:r w:rsidRPr="00C84023">
              <w:rPr>
                <w:rFonts w:cstheme="minorHAnsi"/>
                <w:color w:val="231F20"/>
                <w:spacing w:val="12"/>
                <w:w w:val="105"/>
              </w:rPr>
              <w:t xml:space="preserve"> </w:t>
            </w:r>
            <w:r w:rsidRPr="00C84023">
              <w:rPr>
                <w:rFonts w:cstheme="minorHAnsi"/>
                <w:color w:val="231F20"/>
                <w:w w:val="105"/>
              </w:rPr>
              <w:t>II</w:t>
            </w:r>
            <w:r w:rsidRPr="00C84023">
              <w:rPr>
                <w:rFonts w:cstheme="minorHAnsi"/>
                <w:color w:val="231F20"/>
                <w:spacing w:val="12"/>
                <w:w w:val="105"/>
              </w:rPr>
              <w:t xml:space="preserve"> </w:t>
            </w:r>
            <w:r w:rsidRPr="00C84023">
              <w:rPr>
                <w:rFonts w:cstheme="minorHAnsi"/>
                <w:color w:val="231F20"/>
                <w:w w:val="105"/>
              </w:rPr>
              <w:t>of</w:t>
            </w:r>
            <w:r w:rsidRPr="00C84023">
              <w:rPr>
                <w:rFonts w:cstheme="minorHAnsi"/>
                <w:color w:val="231F20"/>
                <w:spacing w:val="12"/>
                <w:w w:val="105"/>
              </w:rPr>
              <w:t xml:space="preserve"> </w:t>
            </w:r>
            <w:r w:rsidRPr="00C84023">
              <w:rPr>
                <w:rFonts w:cstheme="minorHAnsi"/>
                <w:color w:val="231F20"/>
                <w:spacing w:val="-3"/>
                <w:w w:val="105"/>
              </w:rPr>
              <w:t>WIOA</w:t>
            </w:r>
            <w:r w:rsidRPr="00C84023">
              <w:rPr>
                <w:rFonts w:cstheme="minorHAnsi"/>
                <w:color w:val="231F20"/>
                <w:spacing w:val="12"/>
                <w:w w:val="105"/>
              </w:rPr>
              <w:t xml:space="preserve"> </w:t>
            </w:r>
            <w:r w:rsidRPr="00C84023">
              <w:rPr>
                <w:rFonts w:cstheme="minorHAnsi"/>
                <w:color w:val="231F20"/>
                <w:w w:val="105"/>
              </w:rPr>
              <w:t>for supporting or providing programs, services, or activities for individuals who are not “eligible individuals”</w:t>
            </w:r>
            <w:r w:rsidRPr="00C84023">
              <w:rPr>
                <w:rFonts w:cstheme="minorHAnsi"/>
                <w:color w:val="231F20"/>
                <w:spacing w:val="12"/>
                <w:w w:val="105"/>
              </w:rPr>
              <w:t xml:space="preserve"> </w:t>
            </w:r>
            <w:r w:rsidRPr="00C84023">
              <w:rPr>
                <w:rFonts w:cstheme="minorHAnsi"/>
                <w:color w:val="231F20"/>
                <w:w w:val="105"/>
              </w:rPr>
              <w:t>within</w:t>
            </w:r>
            <w:r w:rsidRPr="00C84023">
              <w:rPr>
                <w:rFonts w:cstheme="minorHAnsi"/>
                <w:color w:val="231F20"/>
                <w:spacing w:val="12"/>
                <w:w w:val="105"/>
              </w:rPr>
              <w:t xml:space="preserve"> </w:t>
            </w:r>
            <w:r w:rsidRPr="00C84023">
              <w:rPr>
                <w:rFonts w:cstheme="minorHAnsi"/>
                <w:color w:val="231F20"/>
                <w:w w:val="105"/>
              </w:rPr>
              <w:t>the</w:t>
            </w:r>
            <w:r w:rsidRPr="00C84023">
              <w:rPr>
                <w:rFonts w:cstheme="minorHAnsi"/>
                <w:color w:val="231F20"/>
                <w:spacing w:val="12"/>
                <w:w w:val="105"/>
              </w:rPr>
              <w:t xml:space="preserve"> </w:t>
            </w:r>
            <w:r w:rsidRPr="00C84023">
              <w:rPr>
                <w:rFonts w:cstheme="minorHAnsi"/>
                <w:color w:val="231F20"/>
                <w:w w:val="105"/>
              </w:rPr>
              <w:t>meaning</w:t>
            </w:r>
            <w:r w:rsidRPr="00C84023">
              <w:rPr>
                <w:rFonts w:cstheme="minorHAnsi"/>
                <w:color w:val="231F20"/>
                <w:spacing w:val="12"/>
                <w:w w:val="105"/>
              </w:rPr>
              <w:t xml:space="preserve"> </w:t>
            </w:r>
            <w:r w:rsidRPr="00C84023">
              <w:rPr>
                <w:rFonts w:cstheme="minorHAnsi"/>
                <w:color w:val="231F20"/>
                <w:w w:val="105"/>
              </w:rPr>
              <w:t>of</w:t>
            </w:r>
            <w:r w:rsidRPr="00C84023">
              <w:rPr>
                <w:rFonts w:cstheme="minorHAnsi"/>
                <w:color w:val="231F20"/>
                <w:spacing w:val="12"/>
                <w:w w:val="105"/>
              </w:rPr>
              <w:t xml:space="preserve"> </w:t>
            </w:r>
            <w:r w:rsidRPr="00C84023">
              <w:rPr>
                <w:rFonts w:cstheme="minorHAnsi"/>
                <w:color w:val="231F20"/>
                <w:w w:val="105"/>
              </w:rPr>
              <w:t>section</w:t>
            </w:r>
            <w:r w:rsidRPr="00C84023">
              <w:rPr>
                <w:rFonts w:cstheme="minorHAnsi"/>
                <w:color w:val="231F20"/>
                <w:spacing w:val="12"/>
                <w:w w:val="105"/>
              </w:rPr>
              <w:t xml:space="preserve"> </w:t>
            </w:r>
            <w:r w:rsidRPr="00C84023">
              <w:rPr>
                <w:rFonts w:cstheme="minorHAnsi"/>
                <w:color w:val="231F20"/>
                <w:w w:val="105"/>
              </w:rPr>
              <w:t>203(4)</w:t>
            </w:r>
            <w:r w:rsidRPr="00C84023">
              <w:rPr>
                <w:rFonts w:cstheme="minorHAnsi"/>
                <w:color w:val="231F20"/>
                <w:spacing w:val="12"/>
                <w:w w:val="105"/>
              </w:rPr>
              <w:t xml:space="preserve"> </w:t>
            </w:r>
            <w:r w:rsidRPr="00C84023">
              <w:rPr>
                <w:rFonts w:cstheme="minorHAnsi"/>
                <w:color w:val="231F20"/>
                <w:w w:val="105"/>
              </w:rPr>
              <w:t>of</w:t>
            </w:r>
            <w:r w:rsidRPr="00C84023">
              <w:rPr>
                <w:rFonts w:cstheme="minorHAnsi"/>
                <w:color w:val="231F20"/>
                <w:spacing w:val="12"/>
                <w:w w:val="105"/>
              </w:rPr>
              <w:t xml:space="preserve"> </w:t>
            </w:r>
            <w:r w:rsidRPr="00C84023">
              <w:rPr>
                <w:rFonts w:cstheme="minorHAnsi"/>
                <w:color w:val="231F20"/>
                <w:w w:val="105"/>
              </w:rPr>
              <w:t>WIOA,</w:t>
            </w:r>
            <w:r w:rsidRPr="00C84023">
              <w:rPr>
                <w:rFonts w:cstheme="minorHAnsi"/>
                <w:color w:val="231F20"/>
                <w:spacing w:val="12"/>
                <w:w w:val="105"/>
              </w:rPr>
              <w:t xml:space="preserve"> </w:t>
            </w:r>
            <w:r w:rsidRPr="00C84023">
              <w:rPr>
                <w:rFonts w:cstheme="minorHAnsi"/>
                <w:color w:val="231F20"/>
                <w:w w:val="105"/>
              </w:rPr>
              <w:t>unless</w:t>
            </w:r>
            <w:r w:rsidRPr="00C84023">
              <w:rPr>
                <w:rFonts w:cstheme="minorHAnsi"/>
                <w:color w:val="231F20"/>
                <w:spacing w:val="12"/>
                <w:w w:val="105"/>
              </w:rPr>
              <w:t xml:space="preserve"> </w:t>
            </w:r>
            <w:r w:rsidRPr="00C84023">
              <w:rPr>
                <w:rFonts w:cstheme="minorHAnsi"/>
                <w:color w:val="231F20"/>
                <w:w w:val="105"/>
              </w:rPr>
              <w:t>it</w:t>
            </w:r>
            <w:r w:rsidRPr="00C84023">
              <w:rPr>
                <w:rFonts w:cstheme="minorHAnsi"/>
                <w:color w:val="231F20"/>
                <w:spacing w:val="12"/>
                <w:w w:val="105"/>
              </w:rPr>
              <w:t xml:space="preserve"> </w:t>
            </w:r>
            <w:r w:rsidRPr="00C84023">
              <w:rPr>
                <w:rFonts w:cstheme="minorHAnsi"/>
                <w:color w:val="231F20"/>
                <w:w w:val="105"/>
              </w:rPr>
              <w:t>is</w:t>
            </w:r>
            <w:r w:rsidRPr="00C84023">
              <w:rPr>
                <w:rFonts w:cstheme="minorHAnsi"/>
                <w:color w:val="231F20"/>
                <w:spacing w:val="12"/>
                <w:w w:val="105"/>
              </w:rPr>
              <w:t xml:space="preserve"> </w:t>
            </w:r>
            <w:r w:rsidRPr="00C84023">
              <w:rPr>
                <w:rFonts w:cstheme="minorHAnsi"/>
                <w:color w:val="231F20"/>
                <w:w w:val="105"/>
              </w:rPr>
              <w:t>providing</w:t>
            </w:r>
            <w:r w:rsidRPr="00C84023">
              <w:rPr>
                <w:rFonts w:cstheme="minorHAnsi"/>
                <w:color w:val="231F20"/>
                <w:spacing w:val="12"/>
                <w:w w:val="105"/>
              </w:rPr>
              <w:t xml:space="preserve"> </w:t>
            </w:r>
            <w:r w:rsidRPr="00C84023">
              <w:rPr>
                <w:rFonts w:cstheme="minorHAnsi"/>
                <w:color w:val="231F20"/>
                <w:w w:val="105"/>
              </w:rPr>
              <w:t>programs,</w:t>
            </w:r>
            <w:r w:rsidRPr="00C84023">
              <w:rPr>
                <w:rFonts w:cstheme="minorHAnsi"/>
                <w:color w:val="231F20"/>
                <w:spacing w:val="12"/>
                <w:w w:val="105"/>
              </w:rPr>
              <w:t xml:space="preserve"> </w:t>
            </w:r>
            <w:r w:rsidRPr="00C84023">
              <w:rPr>
                <w:rFonts w:cstheme="minorHAnsi"/>
                <w:color w:val="231F20"/>
                <w:w w:val="105"/>
              </w:rPr>
              <w:t>services</w:t>
            </w:r>
            <w:r w:rsidRPr="00C84023">
              <w:rPr>
                <w:rFonts w:cstheme="minorHAnsi"/>
                <w:color w:val="231F20"/>
                <w:w w:val="111"/>
              </w:rPr>
              <w:t xml:space="preserve"> </w:t>
            </w:r>
            <w:r w:rsidRPr="00C84023">
              <w:rPr>
                <w:rFonts w:cstheme="minorHAnsi"/>
                <w:color w:val="231F20"/>
                <w:w w:val="105"/>
              </w:rPr>
              <w:t>or activities related to family literacy activities, as defined in section 203(9) of WIOA; and</w:t>
            </w:r>
          </w:p>
        </w:tc>
      </w:tr>
      <w:tr w:rsidR="006E323F" w:rsidRPr="00C84023" w14:paraId="3FB8B901" w14:textId="77777777" w:rsidTr="00CA6841">
        <w:trPr>
          <w:trHeight w:hRule="exact" w:val="882"/>
        </w:trPr>
        <w:tc>
          <w:tcPr>
            <w:tcW w:w="468" w:type="dxa"/>
            <w:tcBorders>
              <w:top w:val="single" w:sz="2" w:space="0" w:color="231F20"/>
              <w:left w:val="single" w:sz="2" w:space="0" w:color="231F20"/>
              <w:bottom w:val="single" w:sz="2" w:space="0" w:color="231F20"/>
              <w:right w:val="single" w:sz="2" w:space="0" w:color="231F20"/>
            </w:tcBorders>
          </w:tcPr>
          <w:p w14:paraId="4135AFB3" w14:textId="77777777" w:rsidR="006E323F" w:rsidRPr="00C84023" w:rsidRDefault="006E323F" w:rsidP="00D63204">
            <w:pPr>
              <w:widowControl w:val="0"/>
              <w:spacing w:before="52" w:after="0" w:line="240" w:lineRule="auto"/>
              <w:ind w:left="90"/>
              <w:rPr>
                <w:rFonts w:cstheme="minorHAnsi"/>
              </w:rPr>
            </w:pPr>
            <w:r w:rsidRPr="00C84023">
              <w:rPr>
                <w:rFonts w:cstheme="minorHAnsi"/>
                <w:color w:val="231F20"/>
                <w:w w:val="105"/>
              </w:rPr>
              <w:t>4.</w:t>
            </w:r>
          </w:p>
        </w:tc>
        <w:tc>
          <w:tcPr>
            <w:tcW w:w="9697" w:type="dxa"/>
            <w:tcBorders>
              <w:top w:val="single" w:sz="2" w:space="0" w:color="231F20"/>
              <w:left w:val="single" w:sz="2" w:space="0" w:color="231F20"/>
              <w:bottom w:val="single" w:sz="2" w:space="0" w:color="231F20"/>
              <w:right w:val="single" w:sz="2" w:space="0" w:color="231F20"/>
            </w:tcBorders>
          </w:tcPr>
          <w:p w14:paraId="43A22D82" w14:textId="77777777" w:rsidR="006E323F" w:rsidRPr="00C84023" w:rsidRDefault="006E323F" w:rsidP="00D63204">
            <w:pPr>
              <w:widowControl w:val="0"/>
              <w:spacing w:before="50" w:after="0" w:line="264" w:lineRule="exact"/>
              <w:ind w:left="90"/>
              <w:rPr>
                <w:rFonts w:cstheme="minorHAnsi"/>
              </w:rPr>
            </w:pPr>
            <w:r w:rsidRPr="00C84023">
              <w:rPr>
                <w:rFonts w:cstheme="minorHAnsi"/>
                <w:color w:val="231F20"/>
                <w:w w:val="105"/>
              </w:rPr>
              <w:t>Using</w:t>
            </w:r>
            <w:r w:rsidRPr="00C84023">
              <w:rPr>
                <w:rFonts w:cstheme="minorHAnsi"/>
                <w:color w:val="231F20"/>
                <w:spacing w:val="6"/>
                <w:w w:val="105"/>
              </w:rPr>
              <w:t xml:space="preserve"> </w:t>
            </w:r>
            <w:r w:rsidRPr="00C84023">
              <w:rPr>
                <w:rFonts w:cstheme="minorHAnsi"/>
                <w:color w:val="231F20"/>
                <w:w w:val="105"/>
              </w:rPr>
              <w:t>funds</w:t>
            </w:r>
            <w:r w:rsidRPr="00C84023">
              <w:rPr>
                <w:rFonts w:cstheme="minorHAnsi"/>
                <w:color w:val="231F20"/>
                <w:spacing w:val="6"/>
                <w:w w:val="105"/>
              </w:rPr>
              <w:t xml:space="preserve"> </w:t>
            </w:r>
            <w:r w:rsidRPr="00C84023">
              <w:rPr>
                <w:rFonts w:cstheme="minorHAnsi"/>
                <w:color w:val="231F20"/>
                <w:w w:val="105"/>
              </w:rPr>
              <w:t>made</w:t>
            </w:r>
            <w:r w:rsidRPr="00C84023">
              <w:rPr>
                <w:rFonts w:cstheme="minorHAnsi"/>
                <w:color w:val="231F20"/>
                <w:spacing w:val="6"/>
                <w:w w:val="105"/>
              </w:rPr>
              <w:t xml:space="preserve"> </w:t>
            </w:r>
            <w:r w:rsidRPr="00C84023">
              <w:rPr>
                <w:rFonts w:cstheme="minorHAnsi"/>
                <w:color w:val="231F20"/>
                <w:w w:val="105"/>
              </w:rPr>
              <w:t>available</w:t>
            </w:r>
            <w:r w:rsidRPr="00C84023">
              <w:rPr>
                <w:rFonts w:cstheme="minorHAnsi"/>
                <w:color w:val="231F20"/>
                <w:spacing w:val="6"/>
                <w:w w:val="105"/>
              </w:rPr>
              <w:t xml:space="preserve"> </w:t>
            </w:r>
            <w:r w:rsidRPr="00C84023">
              <w:rPr>
                <w:rFonts w:cstheme="minorHAnsi"/>
                <w:color w:val="231F20"/>
                <w:w w:val="105"/>
              </w:rPr>
              <w:t>under</w:t>
            </w:r>
            <w:r w:rsidRPr="00C84023">
              <w:rPr>
                <w:rFonts w:cstheme="minorHAnsi"/>
                <w:color w:val="231F20"/>
                <w:spacing w:val="6"/>
                <w:w w:val="105"/>
              </w:rPr>
              <w:t xml:space="preserve"> T</w:t>
            </w:r>
            <w:r w:rsidRPr="00C84023">
              <w:rPr>
                <w:rFonts w:cstheme="minorHAnsi"/>
                <w:color w:val="231F20"/>
                <w:w w:val="105"/>
              </w:rPr>
              <w:t>itle</w:t>
            </w:r>
            <w:r w:rsidRPr="00C84023">
              <w:rPr>
                <w:rFonts w:cstheme="minorHAnsi"/>
                <w:color w:val="231F20"/>
                <w:spacing w:val="6"/>
                <w:w w:val="105"/>
              </w:rPr>
              <w:t xml:space="preserve"> </w:t>
            </w:r>
            <w:r w:rsidRPr="00C84023">
              <w:rPr>
                <w:rFonts w:cstheme="minorHAnsi"/>
                <w:color w:val="231F20"/>
                <w:w w:val="105"/>
              </w:rPr>
              <w:t>II</w:t>
            </w:r>
            <w:r w:rsidRPr="00C84023">
              <w:rPr>
                <w:rFonts w:cstheme="minorHAnsi"/>
                <w:color w:val="231F20"/>
                <w:spacing w:val="6"/>
                <w:w w:val="105"/>
              </w:rPr>
              <w:t xml:space="preserve"> </w:t>
            </w:r>
            <w:r w:rsidRPr="00C84023">
              <w:rPr>
                <w:rFonts w:cstheme="minorHAnsi"/>
                <w:color w:val="231F20"/>
                <w:w w:val="105"/>
              </w:rPr>
              <w:t>of</w:t>
            </w:r>
            <w:r w:rsidRPr="00C84023">
              <w:rPr>
                <w:rFonts w:cstheme="minorHAnsi"/>
                <w:color w:val="231F20"/>
                <w:spacing w:val="6"/>
                <w:w w:val="105"/>
              </w:rPr>
              <w:t xml:space="preserve"> </w:t>
            </w:r>
            <w:r w:rsidRPr="00C84023">
              <w:rPr>
                <w:rFonts w:cstheme="minorHAnsi"/>
                <w:color w:val="231F20"/>
                <w:spacing w:val="-3"/>
                <w:w w:val="105"/>
              </w:rPr>
              <w:t>WIOA</w:t>
            </w:r>
            <w:r w:rsidRPr="00C84023">
              <w:rPr>
                <w:rFonts w:cstheme="minorHAnsi"/>
                <w:color w:val="231F20"/>
                <w:spacing w:val="6"/>
                <w:w w:val="105"/>
              </w:rPr>
              <w:t xml:space="preserve"> </w:t>
            </w:r>
            <w:r w:rsidRPr="00C84023">
              <w:rPr>
                <w:rFonts w:cstheme="minorHAnsi"/>
                <w:color w:val="231F20"/>
                <w:w w:val="105"/>
              </w:rPr>
              <w:t>to</w:t>
            </w:r>
            <w:r w:rsidRPr="00C84023">
              <w:rPr>
                <w:rFonts w:cstheme="minorHAnsi"/>
                <w:color w:val="231F20"/>
                <w:spacing w:val="6"/>
                <w:w w:val="105"/>
              </w:rPr>
              <w:t xml:space="preserve"> </w:t>
            </w:r>
            <w:r w:rsidRPr="00C84023">
              <w:rPr>
                <w:rFonts w:cstheme="minorHAnsi"/>
                <w:color w:val="231F20"/>
                <w:w w:val="105"/>
              </w:rPr>
              <w:t>carry</w:t>
            </w:r>
            <w:r w:rsidRPr="00C84023">
              <w:rPr>
                <w:rFonts w:cstheme="minorHAnsi"/>
                <w:color w:val="231F20"/>
                <w:spacing w:val="6"/>
                <w:w w:val="105"/>
              </w:rPr>
              <w:t xml:space="preserve"> </w:t>
            </w:r>
            <w:r w:rsidRPr="00C84023">
              <w:rPr>
                <w:rFonts w:cstheme="minorHAnsi"/>
                <w:color w:val="231F20"/>
                <w:w w:val="105"/>
              </w:rPr>
              <w:t>out</w:t>
            </w:r>
            <w:r w:rsidRPr="00C84023">
              <w:rPr>
                <w:rFonts w:cstheme="minorHAnsi"/>
                <w:color w:val="231F20"/>
                <w:spacing w:val="6"/>
                <w:w w:val="105"/>
              </w:rPr>
              <w:t xml:space="preserve"> </w:t>
            </w:r>
            <w:r w:rsidRPr="00C84023">
              <w:rPr>
                <w:rFonts w:cstheme="minorHAnsi"/>
                <w:color w:val="231F20"/>
                <w:w w:val="105"/>
              </w:rPr>
              <w:t>a</w:t>
            </w:r>
            <w:r w:rsidRPr="00C84023">
              <w:rPr>
                <w:rFonts w:cstheme="minorHAnsi"/>
                <w:color w:val="231F20"/>
                <w:spacing w:val="6"/>
                <w:w w:val="105"/>
              </w:rPr>
              <w:t xml:space="preserve"> </w:t>
            </w:r>
            <w:r w:rsidRPr="00C84023">
              <w:rPr>
                <w:rFonts w:cstheme="minorHAnsi"/>
                <w:color w:val="231F20"/>
                <w:w w:val="105"/>
              </w:rPr>
              <w:t>program</w:t>
            </w:r>
            <w:r w:rsidRPr="00C84023">
              <w:rPr>
                <w:rFonts w:cstheme="minorHAnsi"/>
                <w:color w:val="231F20"/>
                <w:spacing w:val="6"/>
                <w:w w:val="105"/>
              </w:rPr>
              <w:t xml:space="preserve"> </w:t>
            </w:r>
            <w:r w:rsidRPr="00C84023">
              <w:rPr>
                <w:rFonts w:cstheme="minorHAnsi"/>
                <w:color w:val="231F20"/>
                <w:w w:val="105"/>
              </w:rPr>
              <w:t>for</w:t>
            </w:r>
            <w:r w:rsidRPr="00C84023">
              <w:rPr>
                <w:rFonts w:cstheme="minorHAnsi"/>
                <w:color w:val="231F20"/>
                <w:spacing w:val="6"/>
                <w:w w:val="105"/>
              </w:rPr>
              <w:t xml:space="preserve"> </w:t>
            </w:r>
            <w:r w:rsidRPr="00C84023">
              <w:rPr>
                <w:rFonts w:cstheme="minorHAnsi"/>
                <w:color w:val="231F20"/>
                <w:w w:val="105"/>
              </w:rPr>
              <w:t>criminal</w:t>
            </w:r>
            <w:r w:rsidRPr="00C84023">
              <w:rPr>
                <w:rFonts w:cstheme="minorHAnsi"/>
                <w:color w:val="231F20"/>
                <w:spacing w:val="6"/>
                <w:w w:val="105"/>
              </w:rPr>
              <w:t xml:space="preserve"> </w:t>
            </w:r>
            <w:r w:rsidRPr="00C84023">
              <w:rPr>
                <w:rFonts w:cstheme="minorHAnsi"/>
                <w:color w:val="231F20"/>
                <w:w w:val="105"/>
              </w:rPr>
              <w:t>offenders</w:t>
            </w:r>
            <w:r w:rsidRPr="00C84023">
              <w:rPr>
                <w:rFonts w:cstheme="minorHAnsi"/>
                <w:color w:val="231F20"/>
                <w:spacing w:val="-39"/>
                <w:w w:val="105"/>
              </w:rPr>
              <w:t xml:space="preserve"> </w:t>
            </w:r>
            <w:r w:rsidRPr="00C84023">
              <w:rPr>
                <w:rFonts w:cstheme="minorHAnsi"/>
                <w:color w:val="231F20"/>
                <w:w w:val="105"/>
              </w:rPr>
              <w:t>within a correctional institution, the eligible agency gives priority to serving individuals likely to leave the correctional institution within five years of participation in the</w:t>
            </w:r>
            <w:r w:rsidRPr="00C84023">
              <w:rPr>
                <w:rFonts w:cstheme="minorHAnsi"/>
                <w:color w:val="231F20"/>
                <w:spacing w:val="33"/>
                <w:w w:val="105"/>
              </w:rPr>
              <w:t xml:space="preserve"> </w:t>
            </w:r>
            <w:r w:rsidRPr="00C84023">
              <w:rPr>
                <w:rFonts w:cstheme="minorHAnsi"/>
                <w:color w:val="231F20"/>
                <w:w w:val="105"/>
              </w:rPr>
              <w:t>program.</w:t>
            </w:r>
          </w:p>
        </w:tc>
      </w:tr>
      <w:tr w:rsidR="00FF0A54" w:rsidRPr="00C84023" w14:paraId="2F51522E" w14:textId="77777777" w:rsidTr="008B7062">
        <w:trPr>
          <w:trHeight w:hRule="exact" w:val="1463"/>
        </w:trPr>
        <w:tc>
          <w:tcPr>
            <w:tcW w:w="468" w:type="dxa"/>
            <w:tcBorders>
              <w:top w:val="single" w:sz="2" w:space="0" w:color="231F20"/>
              <w:left w:val="single" w:sz="2" w:space="0" w:color="231F20"/>
              <w:bottom w:val="single" w:sz="2" w:space="0" w:color="231F20"/>
              <w:right w:val="single" w:sz="2" w:space="0" w:color="231F20"/>
            </w:tcBorders>
          </w:tcPr>
          <w:p w14:paraId="457461F6" w14:textId="7293C9A6" w:rsidR="00FF0A54" w:rsidRPr="00C84023" w:rsidRDefault="00FF0A54" w:rsidP="00D63204">
            <w:pPr>
              <w:widowControl w:val="0"/>
              <w:spacing w:before="52" w:after="0" w:line="240" w:lineRule="auto"/>
              <w:ind w:left="90"/>
              <w:rPr>
                <w:rFonts w:cstheme="minorHAnsi"/>
                <w:color w:val="231F20"/>
                <w:w w:val="105"/>
              </w:rPr>
            </w:pPr>
            <w:r>
              <w:rPr>
                <w:rFonts w:cstheme="minorHAnsi"/>
                <w:color w:val="231F20"/>
                <w:w w:val="105"/>
              </w:rPr>
              <w:t>5.</w:t>
            </w:r>
          </w:p>
        </w:tc>
        <w:tc>
          <w:tcPr>
            <w:tcW w:w="9697" w:type="dxa"/>
            <w:tcBorders>
              <w:top w:val="single" w:sz="2" w:space="0" w:color="231F20"/>
              <w:left w:val="single" w:sz="2" w:space="0" w:color="231F20"/>
              <w:bottom w:val="single" w:sz="2" w:space="0" w:color="231F20"/>
              <w:right w:val="single" w:sz="2" w:space="0" w:color="231F20"/>
            </w:tcBorders>
          </w:tcPr>
          <w:p w14:paraId="1CDEEDB1" w14:textId="1F6E44D9" w:rsidR="00FF0A54" w:rsidRPr="00C84023" w:rsidRDefault="00FF0A54" w:rsidP="00D63204">
            <w:pPr>
              <w:widowControl w:val="0"/>
              <w:spacing w:before="50" w:after="0" w:line="264" w:lineRule="exact"/>
              <w:ind w:left="90"/>
              <w:rPr>
                <w:rFonts w:cstheme="minorHAnsi"/>
                <w:color w:val="231F20"/>
                <w:w w:val="105"/>
              </w:rPr>
            </w:pPr>
            <w:r>
              <w:rPr>
                <w:rFonts w:cstheme="minorHAnsi"/>
                <w:color w:val="231F20"/>
                <w:w w:val="105"/>
              </w:rPr>
              <w:t xml:space="preserve">The Integrated English Literacy and Civics Education program under section 243(a) of WIOA will be designed to (1) prepare adults who are English language learners for, and place such adults in, unsubsidized employment </w:t>
            </w:r>
            <w:r w:rsidR="008B7062">
              <w:rPr>
                <w:rFonts w:cstheme="minorHAnsi"/>
                <w:color w:val="231F20"/>
                <w:w w:val="105"/>
              </w:rPr>
              <w:t>in in-demand industries and occupations that lead to economic self-sufficiency and (2) integrate with the local workforce development system and its functions to carry out the activities of the program and</w:t>
            </w:r>
          </w:p>
        </w:tc>
      </w:tr>
      <w:tr w:rsidR="00FF0A54" w:rsidRPr="00C84023" w14:paraId="416C88DB" w14:textId="77777777" w:rsidTr="00CA6841">
        <w:trPr>
          <w:trHeight w:hRule="exact" w:val="882"/>
        </w:trPr>
        <w:tc>
          <w:tcPr>
            <w:tcW w:w="468" w:type="dxa"/>
            <w:tcBorders>
              <w:top w:val="single" w:sz="2" w:space="0" w:color="231F20"/>
              <w:left w:val="single" w:sz="2" w:space="0" w:color="231F20"/>
              <w:bottom w:val="single" w:sz="2" w:space="0" w:color="231F20"/>
              <w:right w:val="single" w:sz="2" w:space="0" w:color="231F20"/>
            </w:tcBorders>
          </w:tcPr>
          <w:p w14:paraId="58ACD1A8" w14:textId="6700BFC2" w:rsidR="00FF0A54" w:rsidRPr="00C84023" w:rsidRDefault="008B7062" w:rsidP="00D63204">
            <w:pPr>
              <w:widowControl w:val="0"/>
              <w:spacing w:before="52" w:after="0" w:line="240" w:lineRule="auto"/>
              <w:ind w:left="90"/>
              <w:rPr>
                <w:rFonts w:cstheme="minorHAnsi"/>
                <w:color w:val="231F20"/>
                <w:w w:val="105"/>
              </w:rPr>
            </w:pPr>
            <w:r>
              <w:rPr>
                <w:rFonts w:cstheme="minorHAnsi"/>
                <w:color w:val="231F20"/>
                <w:w w:val="105"/>
              </w:rPr>
              <w:t>6.</w:t>
            </w:r>
          </w:p>
        </w:tc>
        <w:tc>
          <w:tcPr>
            <w:tcW w:w="9697" w:type="dxa"/>
            <w:tcBorders>
              <w:top w:val="single" w:sz="2" w:space="0" w:color="231F20"/>
              <w:left w:val="single" w:sz="2" w:space="0" w:color="231F20"/>
              <w:bottom w:val="single" w:sz="2" w:space="0" w:color="231F20"/>
              <w:right w:val="single" w:sz="2" w:space="0" w:color="231F20"/>
            </w:tcBorders>
          </w:tcPr>
          <w:p w14:paraId="78F3F0DF" w14:textId="0A81FCFD" w:rsidR="00FF0A54" w:rsidRPr="00C84023" w:rsidRDefault="008B7062" w:rsidP="00D63204">
            <w:pPr>
              <w:widowControl w:val="0"/>
              <w:spacing w:before="50" w:after="0" w:line="264" w:lineRule="exact"/>
              <w:ind w:left="90"/>
              <w:rPr>
                <w:rFonts w:cstheme="minorHAnsi"/>
                <w:color w:val="231F20"/>
                <w:w w:val="105"/>
              </w:rPr>
            </w:pPr>
            <w:r>
              <w:rPr>
                <w:rFonts w:cstheme="minorHAnsi"/>
                <w:color w:val="231F20"/>
                <w:w w:val="105"/>
              </w:rPr>
              <w:t>Using funds made available under Title II of WIOA to carry out a program for criminal offenders within a correctional institution, the eligible agency will give priority to serving individuals who are likely to leave the correctional institution within five years of participation in the program</w:t>
            </w:r>
            <w:r w:rsidR="00710290">
              <w:rPr>
                <w:rFonts w:cstheme="minorHAnsi"/>
                <w:color w:val="231F20"/>
                <w:w w:val="105"/>
              </w:rPr>
              <w:t>.</w:t>
            </w:r>
          </w:p>
        </w:tc>
      </w:tr>
      <w:tr w:rsidR="00FF0A54" w:rsidRPr="00C84023" w14:paraId="2B5A3368" w14:textId="77777777" w:rsidTr="00800226">
        <w:trPr>
          <w:trHeight w:hRule="exact" w:val="653"/>
        </w:trPr>
        <w:tc>
          <w:tcPr>
            <w:tcW w:w="468" w:type="dxa"/>
            <w:tcBorders>
              <w:top w:val="single" w:sz="2" w:space="0" w:color="231F20"/>
              <w:left w:val="single" w:sz="2" w:space="0" w:color="231F20"/>
              <w:bottom w:val="single" w:sz="2" w:space="0" w:color="231F20"/>
              <w:right w:val="single" w:sz="2" w:space="0" w:color="231F20"/>
            </w:tcBorders>
          </w:tcPr>
          <w:p w14:paraId="5C0F3E71" w14:textId="77777777" w:rsidR="00FF0A54" w:rsidRPr="00C84023" w:rsidRDefault="00FF0A54" w:rsidP="00D63204">
            <w:pPr>
              <w:widowControl w:val="0"/>
              <w:spacing w:before="52" w:after="0" w:line="240" w:lineRule="auto"/>
              <w:ind w:left="90"/>
              <w:rPr>
                <w:rFonts w:cstheme="minorHAnsi"/>
                <w:color w:val="231F20"/>
                <w:w w:val="105"/>
              </w:rPr>
            </w:pPr>
          </w:p>
        </w:tc>
        <w:tc>
          <w:tcPr>
            <w:tcW w:w="9697" w:type="dxa"/>
            <w:tcBorders>
              <w:top w:val="single" w:sz="2" w:space="0" w:color="231F20"/>
              <w:left w:val="single" w:sz="2" w:space="0" w:color="231F20"/>
              <w:bottom w:val="single" w:sz="2" w:space="0" w:color="231F20"/>
              <w:right w:val="single" w:sz="2" w:space="0" w:color="231F20"/>
            </w:tcBorders>
          </w:tcPr>
          <w:p w14:paraId="4FDB4E5D" w14:textId="1E9D0B9E" w:rsidR="00FF0A54" w:rsidRPr="00C84023" w:rsidRDefault="00710290" w:rsidP="00D63204">
            <w:pPr>
              <w:widowControl w:val="0"/>
              <w:spacing w:before="50" w:after="0" w:line="264" w:lineRule="exact"/>
              <w:ind w:left="90"/>
              <w:rPr>
                <w:rFonts w:cstheme="minorHAnsi"/>
                <w:color w:val="231F20"/>
                <w:w w:val="105"/>
              </w:rPr>
            </w:pPr>
            <w:r>
              <w:rPr>
                <w:rFonts w:cstheme="minorHAnsi"/>
                <w:color w:val="231F20"/>
                <w:w w:val="105"/>
              </w:rPr>
              <w:t>The eligible agency agrees that in expending funds made available under Title II of WIOA, the eligible agency will comply with sections 8301 through 8303 of the Buy American Act (41 U.S.C. 8301-8303).</w:t>
            </w:r>
          </w:p>
        </w:tc>
      </w:tr>
    </w:tbl>
    <w:p w14:paraId="2C9E40F8" w14:textId="77777777" w:rsidR="006E323F" w:rsidRPr="00C84023" w:rsidRDefault="006E323F" w:rsidP="00D63204">
      <w:pPr>
        <w:widowControl w:val="0"/>
        <w:spacing w:before="5" w:after="0" w:line="240" w:lineRule="auto"/>
        <w:ind w:left="90"/>
        <w:rPr>
          <w:rFonts w:cstheme="minorHAnsi"/>
          <w:b/>
          <w:bCs/>
          <w:sz w:val="9"/>
          <w:szCs w:val="9"/>
        </w:rPr>
      </w:pPr>
    </w:p>
    <w:p w14:paraId="5A7B3BAD" w14:textId="77777777" w:rsidR="00D81D94" w:rsidRDefault="00D81D94" w:rsidP="00D63204">
      <w:pPr>
        <w:widowControl w:val="0"/>
        <w:spacing w:before="5" w:after="0" w:line="240" w:lineRule="auto"/>
        <w:ind w:left="90"/>
        <w:rPr>
          <w:rFonts w:cstheme="minorHAnsi"/>
          <w:b/>
          <w:bCs/>
          <w:sz w:val="9"/>
          <w:szCs w:val="9"/>
        </w:rPr>
      </w:pPr>
    </w:p>
    <w:p w14:paraId="442AF006" w14:textId="77777777" w:rsidR="00D81D94" w:rsidRDefault="00D81D94" w:rsidP="00D63204">
      <w:pPr>
        <w:widowControl w:val="0"/>
        <w:spacing w:before="5" w:after="0" w:line="240" w:lineRule="auto"/>
        <w:ind w:left="90"/>
        <w:rPr>
          <w:rFonts w:cstheme="minorHAnsi"/>
          <w:b/>
          <w:bCs/>
          <w:sz w:val="9"/>
          <w:szCs w:val="9"/>
        </w:rPr>
      </w:pPr>
    </w:p>
    <w:p w14:paraId="41870C18" w14:textId="77777777" w:rsidR="00D81D94" w:rsidRDefault="00D81D94" w:rsidP="00D63204">
      <w:pPr>
        <w:widowControl w:val="0"/>
        <w:spacing w:before="5" w:after="0" w:line="240" w:lineRule="auto"/>
        <w:ind w:left="90"/>
        <w:rPr>
          <w:rFonts w:cstheme="minorHAnsi"/>
          <w:b/>
          <w:bCs/>
          <w:sz w:val="9"/>
          <w:szCs w:val="9"/>
        </w:rPr>
      </w:pPr>
    </w:p>
    <w:p w14:paraId="7AC12311" w14:textId="77777777" w:rsidR="00D81D94" w:rsidRDefault="00D81D94" w:rsidP="00D63204">
      <w:pPr>
        <w:widowControl w:val="0"/>
        <w:spacing w:before="5" w:after="0" w:line="240" w:lineRule="auto"/>
        <w:ind w:left="90"/>
        <w:rPr>
          <w:rFonts w:cstheme="minorHAnsi"/>
          <w:b/>
          <w:bCs/>
          <w:sz w:val="9"/>
          <w:szCs w:val="9"/>
        </w:rPr>
      </w:pPr>
    </w:p>
    <w:p w14:paraId="54F6271F" w14:textId="77777777" w:rsidR="00D81D94" w:rsidRDefault="00D81D94" w:rsidP="00D63204">
      <w:pPr>
        <w:widowControl w:val="0"/>
        <w:spacing w:before="5" w:after="0" w:line="240" w:lineRule="auto"/>
        <w:ind w:left="90"/>
        <w:rPr>
          <w:rFonts w:cstheme="minorHAnsi"/>
          <w:b/>
          <w:bCs/>
          <w:sz w:val="9"/>
          <w:szCs w:val="9"/>
        </w:rPr>
      </w:pPr>
    </w:p>
    <w:p w14:paraId="132D0F6C" w14:textId="77777777" w:rsidR="00D81D94" w:rsidRDefault="00D81D94" w:rsidP="00D63204">
      <w:pPr>
        <w:widowControl w:val="0"/>
        <w:spacing w:before="5" w:after="0" w:line="240" w:lineRule="auto"/>
        <w:ind w:left="90"/>
        <w:rPr>
          <w:rFonts w:cstheme="minorHAnsi"/>
          <w:b/>
          <w:bCs/>
          <w:sz w:val="9"/>
          <w:szCs w:val="9"/>
        </w:rPr>
      </w:pPr>
    </w:p>
    <w:p w14:paraId="41417452" w14:textId="77777777" w:rsidR="00D81D94" w:rsidRDefault="00D81D94" w:rsidP="00D63204">
      <w:pPr>
        <w:widowControl w:val="0"/>
        <w:spacing w:before="5" w:after="0" w:line="240" w:lineRule="auto"/>
        <w:ind w:left="90"/>
        <w:rPr>
          <w:rFonts w:cstheme="minorHAnsi"/>
          <w:b/>
          <w:bCs/>
          <w:sz w:val="9"/>
          <w:szCs w:val="9"/>
        </w:rPr>
      </w:pPr>
    </w:p>
    <w:p w14:paraId="46B21D7E" w14:textId="77777777" w:rsidR="00D81D94" w:rsidRDefault="00D81D94" w:rsidP="00D63204">
      <w:pPr>
        <w:widowControl w:val="0"/>
        <w:spacing w:before="5" w:after="0" w:line="240" w:lineRule="auto"/>
        <w:ind w:left="90"/>
        <w:rPr>
          <w:rFonts w:cstheme="minorHAnsi"/>
          <w:b/>
          <w:bCs/>
          <w:sz w:val="9"/>
          <w:szCs w:val="9"/>
        </w:rPr>
      </w:pPr>
    </w:p>
    <w:p w14:paraId="6C699A7F" w14:textId="77777777" w:rsidR="00D81D94" w:rsidRPr="00C84023" w:rsidRDefault="00D81D94" w:rsidP="00D63204">
      <w:pPr>
        <w:widowControl w:val="0"/>
        <w:spacing w:before="5" w:after="0" w:line="240" w:lineRule="auto"/>
        <w:ind w:left="90"/>
        <w:rPr>
          <w:rFonts w:cstheme="minorHAnsi"/>
          <w:b/>
          <w:bCs/>
          <w:sz w:val="9"/>
          <w:szCs w:val="9"/>
        </w:rPr>
      </w:pPr>
    </w:p>
    <w:p w14:paraId="626BCE08" w14:textId="6BDF8BAA" w:rsidR="004F709C" w:rsidRPr="005761AA" w:rsidRDefault="006E323F" w:rsidP="00D63204">
      <w:pPr>
        <w:pStyle w:val="ListParagraph"/>
        <w:widowControl w:val="0"/>
        <w:numPr>
          <w:ilvl w:val="0"/>
          <w:numId w:val="48"/>
        </w:numPr>
        <w:spacing w:before="58" w:after="0" w:line="264" w:lineRule="exact"/>
        <w:ind w:hanging="630"/>
        <w:rPr>
          <w:rStyle w:val="Hyperlink"/>
          <w:rFonts w:cstheme="minorHAnsi"/>
        </w:rPr>
      </w:pPr>
      <w:r w:rsidRPr="004F709C">
        <w:rPr>
          <w:rFonts w:cstheme="minorHAnsi"/>
          <w:color w:val="231F20"/>
          <w:w w:val="105"/>
        </w:rPr>
        <w:t>SF424B – Assurances – Non-Construction Programs</w:t>
      </w:r>
      <w:r w:rsidR="00704DA7">
        <w:rPr>
          <w:rFonts w:cstheme="minorHAnsi"/>
          <w:color w:val="231F20"/>
          <w:spacing w:val="36"/>
          <w:w w:val="105"/>
        </w:rPr>
        <w:t xml:space="preserve"> </w:t>
      </w:r>
      <w:hyperlink r:id="rId174">
        <w:r w:rsidRPr="006D52FC">
          <w:rPr>
            <w:rStyle w:val="Hyperlink"/>
            <w:rFonts w:cstheme="minorHAnsi"/>
          </w:rPr>
          <w:t>http://www2.ed.gov/fund/grant/apply/</w:t>
        </w:r>
      </w:hyperlink>
      <w:r w:rsidRPr="006D52FC">
        <w:rPr>
          <w:rStyle w:val="Hyperlink"/>
          <w:rFonts w:cstheme="minorHAnsi"/>
        </w:rPr>
        <w:t xml:space="preserve"> </w:t>
      </w:r>
      <w:hyperlink r:id="rId175">
        <w:r w:rsidRPr="006D52FC">
          <w:rPr>
            <w:rStyle w:val="Hyperlink"/>
            <w:rFonts w:cstheme="minorHAnsi"/>
          </w:rPr>
          <w:t>appforms/appforms.html</w:t>
        </w:r>
      </w:hyperlink>
    </w:p>
    <w:p w14:paraId="4267BAFD" w14:textId="77777777" w:rsidR="00CD6A0F" w:rsidRPr="00CD6A0F" w:rsidRDefault="00CD6A0F" w:rsidP="00D63204">
      <w:pPr>
        <w:pStyle w:val="ListParagraph"/>
        <w:widowControl w:val="0"/>
        <w:spacing w:before="58" w:after="0" w:line="264" w:lineRule="exact"/>
        <w:ind w:left="810"/>
        <w:rPr>
          <w:rStyle w:val="Hyperlink"/>
          <w:rFonts w:cstheme="minorHAnsi"/>
          <w:color w:val="5F5F5F"/>
          <w:w w:val="110"/>
          <w:u w:color="5F5F5F"/>
        </w:rPr>
      </w:pPr>
    </w:p>
    <w:p w14:paraId="45046C28" w14:textId="77777777" w:rsidR="00BB23DF" w:rsidRPr="00BB23DF" w:rsidRDefault="00CD6A0F" w:rsidP="00D63204">
      <w:pPr>
        <w:pStyle w:val="ListParagraph"/>
        <w:widowControl w:val="0"/>
        <w:numPr>
          <w:ilvl w:val="0"/>
          <w:numId w:val="48"/>
        </w:numPr>
        <w:spacing w:before="58" w:after="0" w:line="264" w:lineRule="exact"/>
        <w:ind w:hanging="630"/>
        <w:rPr>
          <w:rFonts w:cstheme="minorHAnsi"/>
          <w:w w:val="110"/>
          <w:u w:color="5F5F5F"/>
        </w:rPr>
      </w:pPr>
      <w:r w:rsidRPr="00BB23DF">
        <w:rPr>
          <w:rFonts w:cstheme="minorHAnsi"/>
          <w:w w:val="110"/>
          <w:u w:color="5F5F5F"/>
        </w:rPr>
        <w:t>Grants.gov – Certification Regarding Lobbying</w:t>
      </w:r>
    </w:p>
    <w:p w14:paraId="59F98E50" w14:textId="66F7D0A0" w:rsidR="00CD6A0F" w:rsidRPr="00BB23DF" w:rsidRDefault="00BB23DF" w:rsidP="00D63204">
      <w:pPr>
        <w:widowControl w:val="0"/>
        <w:spacing w:before="58" w:after="0" w:line="264" w:lineRule="exact"/>
        <w:rPr>
          <w:rFonts w:cstheme="minorHAnsi"/>
          <w:color w:val="5F5F5F"/>
          <w:w w:val="110"/>
          <w:u w:color="5F5F5F"/>
        </w:rPr>
      </w:pPr>
      <w:r>
        <w:rPr>
          <w:rFonts w:cstheme="minorHAnsi"/>
          <w:color w:val="5F5F5F"/>
          <w:w w:val="110"/>
          <w:u w:color="5F5F5F"/>
        </w:rPr>
        <w:t xml:space="preserve"> </w:t>
      </w:r>
      <w:r>
        <w:rPr>
          <w:rFonts w:cstheme="minorHAnsi"/>
          <w:color w:val="5F5F5F"/>
          <w:w w:val="110"/>
          <w:u w:color="5F5F5F"/>
        </w:rPr>
        <w:tab/>
        <w:t xml:space="preserve"> </w:t>
      </w:r>
      <w:r w:rsidR="00CD6A0F" w:rsidRPr="00BB23DF">
        <w:rPr>
          <w:rFonts w:cstheme="minorHAnsi"/>
          <w:color w:val="5F5F5F"/>
          <w:w w:val="110"/>
          <w:u w:color="5F5F5F"/>
        </w:rPr>
        <w:t xml:space="preserve"> </w:t>
      </w:r>
      <w:hyperlink r:id="rId176" w:history="1">
        <w:r w:rsidR="00CD6A0F" w:rsidRPr="00BB23DF">
          <w:rPr>
            <w:rStyle w:val="Hyperlink"/>
            <w:rFonts w:cstheme="minorHAnsi"/>
            <w:w w:val="110"/>
            <w:u w:color="5F5F5F"/>
          </w:rPr>
          <w:t>http://www2.ed.gov/fund/grant/apply/appforms/appforms.html</w:t>
        </w:r>
      </w:hyperlink>
    </w:p>
    <w:p w14:paraId="01BAEA1D" w14:textId="77777777" w:rsidR="004F709C" w:rsidRDefault="004F709C" w:rsidP="00D63204">
      <w:pPr>
        <w:widowControl w:val="0"/>
        <w:spacing w:before="58" w:after="0" w:line="264" w:lineRule="exact"/>
        <w:ind w:left="90" w:hanging="630"/>
        <w:rPr>
          <w:rFonts w:cstheme="minorHAnsi"/>
          <w:color w:val="231F20"/>
          <w:w w:val="110"/>
        </w:rPr>
      </w:pPr>
    </w:p>
    <w:p w14:paraId="2B902A67" w14:textId="708621E3" w:rsidR="00EA7458" w:rsidRPr="004F709C" w:rsidRDefault="006E323F" w:rsidP="00D63204">
      <w:pPr>
        <w:pStyle w:val="ListParagraph"/>
        <w:widowControl w:val="0"/>
        <w:numPr>
          <w:ilvl w:val="0"/>
          <w:numId w:val="48"/>
        </w:numPr>
        <w:spacing w:before="58" w:after="0" w:line="264" w:lineRule="exact"/>
        <w:ind w:hanging="630"/>
        <w:rPr>
          <w:rFonts w:cstheme="minorHAnsi"/>
          <w:color w:val="231F20"/>
          <w:w w:val="105"/>
        </w:rPr>
        <w:sectPr w:rsidR="00EA7458" w:rsidRPr="004F709C">
          <w:footerReference w:type="default" r:id="rId177"/>
          <w:pgSz w:w="12240" w:h="15840"/>
          <w:pgMar w:top="1620" w:right="900" w:bottom="820" w:left="900" w:header="812" w:footer="624" w:gutter="0"/>
          <w:cols w:space="720"/>
        </w:sectPr>
      </w:pPr>
      <w:r w:rsidRPr="004F709C">
        <w:rPr>
          <w:rFonts w:cstheme="minorHAnsi"/>
          <w:color w:val="231F20"/>
          <w:w w:val="105"/>
        </w:rPr>
        <w:t xml:space="preserve">SF LLL Form – Disclosure of Lobbying Activities (required, only if applicable) </w:t>
      </w:r>
      <w:hyperlink r:id="rId178">
        <w:r w:rsidRPr="006D52FC">
          <w:rPr>
            <w:rStyle w:val="Hyperlink"/>
            <w:rFonts w:cstheme="minorHAnsi"/>
          </w:rPr>
          <w:t>http://www2.ed.gov/</w:t>
        </w:r>
      </w:hyperlink>
      <w:r w:rsidRPr="006D52FC">
        <w:rPr>
          <w:rStyle w:val="Hyperlink"/>
          <w:rFonts w:cstheme="minorHAnsi"/>
        </w:rPr>
        <w:t xml:space="preserve"> </w:t>
      </w:r>
      <w:hyperlink r:id="rId179">
        <w:r w:rsidRPr="006D52FC">
          <w:rPr>
            <w:rStyle w:val="Hyperlink"/>
            <w:rFonts w:cstheme="minorHAnsi"/>
          </w:rPr>
          <w:t>fund/grant/apply/appforms/appforms.html</w:t>
        </w:r>
      </w:hyperlink>
    </w:p>
    <w:p w14:paraId="54B76BF0" w14:textId="77777777" w:rsidR="00EA7458" w:rsidRPr="00EA7458" w:rsidRDefault="00EA7458" w:rsidP="00EA7458">
      <w:pPr>
        <w:widowControl w:val="0"/>
        <w:spacing w:before="4" w:after="0" w:line="240" w:lineRule="auto"/>
        <w:rPr>
          <w:rFonts w:ascii="Calibri" w:hAnsi="Calibri" w:cs="Calibri"/>
          <w:sz w:val="14"/>
          <w:szCs w:val="14"/>
        </w:rPr>
      </w:pPr>
    </w:p>
    <w:p w14:paraId="1BB4AAB6" w14:textId="77777777" w:rsidR="00EA7458" w:rsidRPr="00EA7458" w:rsidRDefault="00EA7458" w:rsidP="00EA7458">
      <w:pPr>
        <w:widowControl w:val="0"/>
        <w:spacing w:before="57" w:after="0" w:line="240" w:lineRule="auto"/>
        <w:ind w:left="107"/>
        <w:outlineLvl w:val="2"/>
        <w:rPr>
          <w:rFonts w:ascii="Calibri" w:hAnsi="Calibri"/>
        </w:rPr>
      </w:pPr>
      <w:r w:rsidRPr="00EA7458">
        <w:rPr>
          <w:rFonts w:ascii="Calibri" w:hAnsi="Calibri"/>
          <w:b/>
          <w:bCs/>
          <w:color w:val="231F20"/>
          <w:w w:val="110"/>
        </w:rPr>
        <w:t>Florida</w:t>
      </w:r>
      <w:r w:rsidRPr="00EA7458">
        <w:rPr>
          <w:rFonts w:ascii="Calibri" w:hAnsi="Calibri"/>
          <w:b/>
          <w:bCs/>
          <w:color w:val="231F20"/>
          <w:spacing w:val="-17"/>
          <w:w w:val="110"/>
        </w:rPr>
        <w:t xml:space="preserve"> </w:t>
      </w:r>
      <w:r w:rsidRPr="00EA7458">
        <w:rPr>
          <w:rFonts w:ascii="Calibri" w:hAnsi="Calibri"/>
          <w:b/>
          <w:bCs/>
          <w:color w:val="231F20"/>
          <w:w w:val="110"/>
        </w:rPr>
        <w:t>Department</w:t>
      </w:r>
      <w:r w:rsidRPr="00EA7458">
        <w:rPr>
          <w:rFonts w:ascii="Calibri" w:hAnsi="Calibri"/>
          <w:b/>
          <w:bCs/>
          <w:color w:val="231F20"/>
          <w:spacing w:val="-17"/>
          <w:w w:val="110"/>
        </w:rPr>
        <w:t xml:space="preserve"> </w:t>
      </w:r>
      <w:r w:rsidRPr="00EA7458">
        <w:rPr>
          <w:rFonts w:ascii="Calibri" w:hAnsi="Calibri"/>
          <w:b/>
          <w:bCs/>
          <w:color w:val="231F20"/>
          <w:w w:val="110"/>
        </w:rPr>
        <w:t>of</w:t>
      </w:r>
      <w:r w:rsidRPr="00EA7458">
        <w:rPr>
          <w:rFonts w:ascii="Calibri" w:hAnsi="Calibri"/>
          <w:b/>
          <w:bCs/>
          <w:color w:val="231F20"/>
          <w:spacing w:val="-17"/>
          <w:w w:val="110"/>
        </w:rPr>
        <w:t xml:space="preserve"> </w:t>
      </w:r>
      <w:r w:rsidRPr="00EA7458">
        <w:rPr>
          <w:rFonts w:ascii="Calibri" w:hAnsi="Calibri"/>
          <w:b/>
          <w:bCs/>
          <w:color w:val="231F20"/>
          <w:w w:val="110"/>
        </w:rPr>
        <w:t>Education</w:t>
      </w:r>
    </w:p>
    <w:p w14:paraId="7D05B765" w14:textId="77777777" w:rsidR="00EA7458" w:rsidRPr="00EA7458" w:rsidRDefault="00EA7458" w:rsidP="00EA7458">
      <w:pPr>
        <w:widowControl w:val="0"/>
        <w:spacing w:after="0" w:line="240" w:lineRule="auto"/>
        <w:rPr>
          <w:rFonts w:ascii="Calibri" w:hAnsi="Calibri" w:cs="Calibri"/>
          <w:b/>
          <w:bCs/>
          <w:sz w:val="20"/>
          <w:szCs w:val="20"/>
        </w:rPr>
      </w:pPr>
    </w:p>
    <w:p w14:paraId="5F598F22" w14:textId="77777777" w:rsidR="00EA7458" w:rsidRPr="00EA7458" w:rsidRDefault="00EA7458" w:rsidP="00EA7458">
      <w:pPr>
        <w:widowControl w:val="0"/>
        <w:spacing w:after="0" w:line="240" w:lineRule="auto"/>
        <w:rPr>
          <w:rFonts w:ascii="Calibri" w:hAnsi="Calibri" w:cs="Calibri"/>
          <w:b/>
          <w:bCs/>
          <w:sz w:val="20"/>
          <w:szCs w:val="20"/>
        </w:rPr>
      </w:pPr>
    </w:p>
    <w:p w14:paraId="09D4E57E" w14:textId="77777777" w:rsidR="00EA7458" w:rsidRPr="00EA7458" w:rsidRDefault="00EA7458" w:rsidP="00EA7458">
      <w:pPr>
        <w:widowControl w:val="0"/>
        <w:spacing w:after="0" w:line="240" w:lineRule="auto"/>
        <w:rPr>
          <w:rFonts w:ascii="Calibri" w:hAnsi="Calibri" w:cs="Calibri"/>
          <w:b/>
          <w:bCs/>
          <w:sz w:val="20"/>
          <w:szCs w:val="20"/>
        </w:rPr>
      </w:pPr>
    </w:p>
    <w:p w14:paraId="4774D9F5" w14:textId="77777777" w:rsidR="00EA7458" w:rsidRPr="00EA7458" w:rsidRDefault="00EA7458" w:rsidP="00EA7458">
      <w:pPr>
        <w:widowControl w:val="0"/>
        <w:spacing w:after="0" w:line="240" w:lineRule="auto"/>
        <w:rPr>
          <w:rFonts w:ascii="Calibri" w:hAnsi="Calibri" w:cs="Calibri"/>
          <w:b/>
          <w:bCs/>
          <w:sz w:val="19"/>
          <w:szCs w:val="19"/>
        </w:rPr>
      </w:pPr>
    </w:p>
    <w:p w14:paraId="1AF83E5F" w14:textId="624C4458" w:rsidR="00EA7458" w:rsidRPr="004F709C" w:rsidRDefault="00EA7458" w:rsidP="004F709C">
      <w:pPr>
        <w:widowControl w:val="0"/>
        <w:tabs>
          <w:tab w:val="left" w:pos="6154"/>
          <w:tab w:val="left" w:pos="9238"/>
        </w:tabs>
        <w:spacing w:after="0" w:line="240" w:lineRule="auto"/>
        <w:ind w:left="107"/>
        <w:rPr>
          <w:rFonts w:ascii="Calibri" w:hAnsi="Calibri" w:cs="Calibri"/>
          <w:b/>
          <w:bCs/>
        </w:rPr>
      </w:pPr>
      <w:r w:rsidRPr="004F709C">
        <w:rPr>
          <w:rFonts w:ascii="Calibri" w:hAnsi="Calibri"/>
          <w:b/>
          <w:color w:val="231F20"/>
          <w:w w:val="113"/>
          <w:u w:val="single" w:color="221E1F"/>
        </w:rPr>
        <w:t xml:space="preserve"> </w:t>
      </w:r>
      <w:r w:rsidRPr="004F709C">
        <w:rPr>
          <w:rFonts w:ascii="Calibri" w:hAnsi="Calibri"/>
          <w:b/>
          <w:color w:val="231F20"/>
          <w:u w:val="single" w:color="221E1F"/>
        </w:rPr>
        <w:tab/>
      </w:r>
      <w:r w:rsidRPr="004F709C">
        <w:rPr>
          <w:rFonts w:ascii="Calibri" w:hAnsi="Calibri"/>
          <w:b/>
          <w:color w:val="231F20"/>
        </w:rPr>
        <w:t xml:space="preserve"> </w:t>
      </w:r>
      <w:r w:rsidRPr="004F709C">
        <w:rPr>
          <w:rFonts w:ascii="Calibri" w:hAnsi="Calibri"/>
          <w:b/>
          <w:color w:val="231F20"/>
          <w:spacing w:val="-4"/>
          <w:w w:val="115"/>
        </w:rPr>
        <w:t>DATE:</w:t>
      </w:r>
      <w:r w:rsidRPr="004F709C">
        <w:rPr>
          <w:rFonts w:ascii="Calibri" w:hAnsi="Calibri"/>
          <w:b/>
          <w:color w:val="231F20"/>
          <w:spacing w:val="4"/>
        </w:rPr>
        <w:t xml:space="preserve"> </w:t>
      </w:r>
      <w:r w:rsidRPr="004F709C">
        <w:rPr>
          <w:rFonts w:ascii="Calibri" w:hAnsi="Calibri"/>
          <w:b/>
          <w:color w:val="231F20"/>
          <w:w w:val="113"/>
          <w:u w:val="single" w:color="221E1F"/>
        </w:rPr>
        <w:t xml:space="preserve"> </w:t>
      </w:r>
      <w:r w:rsidRPr="004F709C">
        <w:rPr>
          <w:rFonts w:ascii="Calibri" w:hAnsi="Calibri"/>
          <w:b/>
          <w:color w:val="231F20"/>
          <w:u w:val="single" w:color="221E1F"/>
        </w:rPr>
        <w:tab/>
      </w:r>
    </w:p>
    <w:p w14:paraId="407D802E" w14:textId="77777777" w:rsidR="00EA7458" w:rsidRPr="004F709C" w:rsidRDefault="00EA7458" w:rsidP="005912D8">
      <w:pPr>
        <w:widowControl w:val="0"/>
        <w:spacing w:after="0" w:line="240" w:lineRule="auto"/>
        <w:ind w:left="107"/>
        <w:rPr>
          <w:rFonts w:ascii="Calibri" w:hAnsi="Calibri"/>
        </w:rPr>
      </w:pPr>
      <w:r w:rsidRPr="004F709C">
        <w:rPr>
          <w:rFonts w:ascii="Calibri" w:hAnsi="Calibri"/>
          <w:color w:val="231F20"/>
          <w:w w:val="105"/>
        </w:rPr>
        <w:t>Commissioner Pam</w:t>
      </w:r>
      <w:r w:rsidRPr="004F709C">
        <w:rPr>
          <w:rFonts w:ascii="Calibri" w:hAnsi="Calibri"/>
          <w:color w:val="231F20"/>
          <w:spacing w:val="46"/>
          <w:w w:val="105"/>
        </w:rPr>
        <w:t xml:space="preserve"> </w:t>
      </w:r>
      <w:r w:rsidRPr="004F709C">
        <w:rPr>
          <w:rFonts w:ascii="Calibri" w:hAnsi="Calibri"/>
          <w:color w:val="231F20"/>
          <w:w w:val="105"/>
        </w:rPr>
        <w:t>Stewart</w:t>
      </w:r>
    </w:p>
    <w:p w14:paraId="29AB2AFF" w14:textId="77777777" w:rsidR="00EA7458" w:rsidRPr="00EA7458" w:rsidRDefault="00EA7458" w:rsidP="00EA7458">
      <w:pPr>
        <w:widowControl w:val="0"/>
        <w:spacing w:after="0" w:line="240" w:lineRule="auto"/>
        <w:rPr>
          <w:rFonts w:ascii="Calibri" w:hAnsi="Calibri"/>
        </w:rPr>
        <w:sectPr w:rsidR="00EA7458" w:rsidRPr="00EA7458">
          <w:footerReference w:type="default" r:id="rId180"/>
          <w:pgSz w:w="12240" w:h="15840"/>
          <w:pgMar w:top="1620" w:right="900" w:bottom="820" w:left="900" w:header="812" w:footer="624" w:gutter="0"/>
          <w:cols w:space="720"/>
        </w:sectPr>
      </w:pPr>
    </w:p>
    <w:p w14:paraId="269D3AA7" w14:textId="77777777" w:rsidR="00EA7458" w:rsidRPr="00EA7458" w:rsidRDefault="00EA7458" w:rsidP="00EA7458">
      <w:pPr>
        <w:widowControl w:val="0"/>
        <w:spacing w:before="8" w:after="0" w:line="240" w:lineRule="auto"/>
        <w:rPr>
          <w:rFonts w:ascii="Calibri" w:hAnsi="Calibri" w:cs="Calibri"/>
          <w:sz w:val="14"/>
          <w:szCs w:val="14"/>
        </w:rPr>
      </w:pPr>
    </w:p>
    <w:p w14:paraId="78DFCD1D" w14:textId="77777777" w:rsidR="00EA7458" w:rsidRPr="009E654F" w:rsidRDefault="00EA7458" w:rsidP="00664EFD">
      <w:pPr>
        <w:widowControl w:val="0"/>
        <w:numPr>
          <w:ilvl w:val="0"/>
          <w:numId w:val="8"/>
        </w:numPr>
        <w:spacing w:before="27" w:after="0" w:line="432" w:lineRule="exact"/>
        <w:ind w:left="90" w:hanging="18"/>
        <w:rPr>
          <w:rFonts w:cstheme="minorHAnsi"/>
          <w:sz w:val="36"/>
          <w:szCs w:val="36"/>
        </w:rPr>
      </w:pPr>
      <w:bookmarkStart w:id="136" w:name="IX._Program-Specific_Requirements_for_Co"/>
      <w:bookmarkStart w:id="137" w:name="_bookmark73"/>
      <w:bookmarkEnd w:id="136"/>
      <w:bookmarkEnd w:id="137"/>
      <w:r w:rsidRPr="009E654F">
        <w:rPr>
          <w:rFonts w:cstheme="minorHAnsi"/>
          <w:b/>
          <w:bCs/>
          <w:color w:val="295CA3"/>
          <w:w w:val="110"/>
          <w:sz w:val="36"/>
          <w:szCs w:val="36"/>
        </w:rPr>
        <w:t>PROGRAM-SPECIFIC REQUIREMENTS FOR</w:t>
      </w:r>
      <w:r w:rsidRPr="009E654F">
        <w:rPr>
          <w:rFonts w:cstheme="minorHAnsi"/>
          <w:b/>
          <w:bCs/>
          <w:color w:val="295CA3"/>
          <w:spacing w:val="53"/>
          <w:w w:val="110"/>
          <w:sz w:val="36"/>
          <w:szCs w:val="36"/>
        </w:rPr>
        <w:t xml:space="preserve"> </w:t>
      </w:r>
      <w:r w:rsidRPr="009E654F">
        <w:rPr>
          <w:rFonts w:cstheme="minorHAnsi"/>
          <w:b/>
          <w:bCs/>
          <w:color w:val="295CA3"/>
          <w:w w:val="110"/>
          <w:sz w:val="36"/>
          <w:szCs w:val="36"/>
        </w:rPr>
        <w:t>CORE</w:t>
      </w:r>
      <w:r w:rsidRPr="009E654F">
        <w:rPr>
          <w:rFonts w:cstheme="minorHAnsi"/>
          <w:b/>
          <w:bCs/>
          <w:color w:val="295CA3"/>
          <w:w w:val="119"/>
          <w:sz w:val="36"/>
          <w:szCs w:val="36"/>
        </w:rPr>
        <w:t xml:space="preserve"> </w:t>
      </w:r>
      <w:r w:rsidRPr="009E654F">
        <w:rPr>
          <w:rFonts w:cstheme="minorHAnsi"/>
          <w:b/>
          <w:bCs/>
          <w:color w:val="295CA3"/>
          <w:spacing w:val="-4"/>
          <w:sz w:val="36"/>
          <w:szCs w:val="36"/>
          <w:u w:val="single" w:color="231F20"/>
        </w:rPr>
        <w:t>PROGRAMS–</w:t>
      </w:r>
      <w:r w:rsidRPr="009E654F">
        <w:rPr>
          <w:rFonts w:cstheme="minorHAnsi"/>
          <w:b/>
          <w:bCs/>
          <w:i/>
          <w:color w:val="295CA3"/>
          <w:spacing w:val="-4"/>
          <w:sz w:val="36"/>
          <w:szCs w:val="36"/>
          <w:u w:val="single" w:color="231F20"/>
        </w:rPr>
        <w:t>VOCATIONAL</w:t>
      </w:r>
      <w:r w:rsidRPr="009E654F">
        <w:rPr>
          <w:rFonts w:cstheme="minorHAnsi"/>
          <w:b/>
          <w:bCs/>
          <w:i/>
          <w:color w:val="295CA3"/>
          <w:spacing w:val="-1"/>
          <w:sz w:val="36"/>
          <w:szCs w:val="36"/>
          <w:u w:val="single" w:color="231F20"/>
        </w:rPr>
        <w:t xml:space="preserve"> </w:t>
      </w:r>
      <w:r w:rsidRPr="009E654F">
        <w:rPr>
          <w:rFonts w:cstheme="minorHAnsi"/>
          <w:b/>
          <w:bCs/>
          <w:i/>
          <w:color w:val="295CA3"/>
          <w:spacing w:val="-8"/>
          <w:sz w:val="36"/>
          <w:szCs w:val="36"/>
          <w:u w:val="single" w:color="231F20"/>
        </w:rPr>
        <w:t>REHABILITATION</w:t>
      </w:r>
      <w:r w:rsidRPr="009E654F">
        <w:rPr>
          <w:rFonts w:cstheme="minorHAnsi"/>
          <w:b/>
          <w:bCs/>
          <w:i/>
          <w:color w:val="295CA3"/>
          <w:w w:val="92"/>
          <w:sz w:val="36"/>
          <w:szCs w:val="36"/>
          <w:u w:val="single" w:color="231F20"/>
        </w:rPr>
        <w:t xml:space="preserve"> </w:t>
      </w:r>
      <w:r w:rsidRPr="009E654F">
        <w:rPr>
          <w:rFonts w:cstheme="minorHAnsi"/>
          <w:b/>
          <w:bCs/>
          <w:i/>
          <w:color w:val="295CA3"/>
          <w:sz w:val="36"/>
          <w:szCs w:val="36"/>
          <w:u w:val="single" w:color="231F20"/>
        </w:rPr>
        <w:tab/>
      </w:r>
      <w:r w:rsidRPr="009E654F">
        <w:rPr>
          <w:rFonts w:cstheme="minorHAnsi"/>
          <w:b/>
          <w:bCs/>
          <w:i/>
          <w:color w:val="295CA3"/>
          <w:w w:val="17"/>
          <w:sz w:val="36"/>
          <w:szCs w:val="36"/>
          <w:u w:val="single" w:color="231F20"/>
        </w:rPr>
        <w:t xml:space="preserve"> </w:t>
      </w:r>
    </w:p>
    <w:p w14:paraId="3CCCD76F" w14:textId="306FB7F3" w:rsidR="00EA7458" w:rsidRPr="00493CD4" w:rsidRDefault="000D6873" w:rsidP="00D63204">
      <w:pPr>
        <w:pStyle w:val="ListParagraph"/>
        <w:widowControl w:val="0"/>
        <w:numPr>
          <w:ilvl w:val="0"/>
          <w:numId w:val="49"/>
        </w:numPr>
        <w:tabs>
          <w:tab w:val="left" w:pos="828"/>
        </w:tabs>
        <w:spacing w:before="98" w:after="0" w:line="240" w:lineRule="auto"/>
        <w:outlineLvl w:val="1"/>
        <w:rPr>
          <w:rFonts w:ascii="Calibri" w:hAnsi="Calibri"/>
          <w:color w:val="1F497D" w:themeColor="text2"/>
          <w:sz w:val="26"/>
          <w:szCs w:val="26"/>
        </w:rPr>
      </w:pPr>
      <w:r w:rsidRPr="00493CD4">
        <w:rPr>
          <w:color w:val="1F497D" w:themeColor="text2"/>
          <w:w w:val="110"/>
        </w:rPr>
        <w:t xml:space="preserve"> </w:t>
      </w:r>
      <w:r w:rsidR="00EA7458" w:rsidRPr="00493CD4">
        <w:rPr>
          <w:rFonts w:ascii="Calibri" w:hAnsi="Calibri"/>
          <w:b/>
          <w:bCs/>
          <w:color w:val="1F497D" w:themeColor="text2"/>
          <w:w w:val="110"/>
          <w:sz w:val="26"/>
          <w:szCs w:val="26"/>
        </w:rPr>
        <w:t>Input of State Rehabilitation Council</w:t>
      </w:r>
    </w:p>
    <w:p w14:paraId="48F0B6B9" w14:textId="77777777" w:rsidR="00F26900" w:rsidRPr="000D6873" w:rsidRDefault="00F26900" w:rsidP="00D63204">
      <w:pPr>
        <w:pStyle w:val="ListParagraph"/>
        <w:widowControl w:val="0"/>
        <w:tabs>
          <w:tab w:val="left" w:pos="828"/>
        </w:tabs>
        <w:spacing w:before="98" w:after="0" w:line="240" w:lineRule="auto"/>
        <w:ind w:left="1080"/>
        <w:outlineLvl w:val="1"/>
        <w:rPr>
          <w:rFonts w:ascii="Calibri" w:hAnsi="Calibri"/>
          <w:sz w:val="26"/>
          <w:szCs w:val="26"/>
        </w:rPr>
      </w:pPr>
    </w:p>
    <w:p w14:paraId="45A3A938" w14:textId="77777777" w:rsidR="00F26900" w:rsidRDefault="00F26900" w:rsidP="00D63204">
      <w:pPr>
        <w:kinsoku w:val="0"/>
        <w:overflowPunct w:val="0"/>
        <w:autoSpaceDE w:val="0"/>
        <w:autoSpaceDN w:val="0"/>
        <w:adjustRightInd w:val="0"/>
        <w:spacing w:after="0" w:line="240" w:lineRule="auto"/>
        <w:ind w:left="90"/>
        <w:rPr>
          <w:rFonts w:cstheme="minorHAnsi"/>
        </w:rPr>
      </w:pPr>
      <w:r w:rsidRPr="00F26900">
        <w:rPr>
          <w:rFonts w:cstheme="minorHAnsi"/>
        </w:rPr>
        <w:t xml:space="preserve">The Florida Rehabilitation Council (FRC) is pleased to be a strategic partner with the Division of Vocational Rehabilitation (VR). The FRC promotes high standards and expectations for every area of service delivery by recommending best practices in policies using data driven recommendations and by sharing each councilmember’s unique perspective from the constituency they represent. </w:t>
      </w:r>
    </w:p>
    <w:p w14:paraId="236E5D7A" w14:textId="77777777" w:rsidR="00F26900" w:rsidRDefault="00F26900" w:rsidP="00D63204">
      <w:pPr>
        <w:kinsoku w:val="0"/>
        <w:overflowPunct w:val="0"/>
        <w:autoSpaceDE w:val="0"/>
        <w:autoSpaceDN w:val="0"/>
        <w:adjustRightInd w:val="0"/>
        <w:spacing w:after="0" w:line="240" w:lineRule="auto"/>
        <w:ind w:left="90"/>
        <w:rPr>
          <w:rFonts w:cstheme="minorHAnsi"/>
        </w:rPr>
      </w:pPr>
    </w:p>
    <w:p w14:paraId="695219D8" w14:textId="7ECAF4D7" w:rsidR="00F26900" w:rsidRDefault="00F26900" w:rsidP="00D63204">
      <w:pPr>
        <w:kinsoku w:val="0"/>
        <w:overflowPunct w:val="0"/>
        <w:autoSpaceDE w:val="0"/>
        <w:autoSpaceDN w:val="0"/>
        <w:adjustRightInd w:val="0"/>
        <w:spacing w:after="0" w:line="240" w:lineRule="auto"/>
        <w:ind w:left="90"/>
        <w:rPr>
          <w:rFonts w:cstheme="minorHAnsi"/>
        </w:rPr>
      </w:pPr>
      <w:r w:rsidRPr="00F26900">
        <w:rPr>
          <w:rFonts w:cstheme="minorHAnsi"/>
        </w:rPr>
        <w:t xml:space="preserve">FRC applauds VR’s effort to reduce the wait list under Order of Selection for individuals with the most significant (Category 1) and significant disabilities (Category 2). Although there is a current small wait list for individuals with disabilities (Category 3), </w:t>
      </w:r>
      <w:r w:rsidR="00B11635">
        <w:rPr>
          <w:rFonts w:cstheme="minorHAnsi"/>
        </w:rPr>
        <w:t>we</w:t>
      </w:r>
      <w:r w:rsidR="006008DA">
        <w:rPr>
          <w:rFonts w:cstheme="minorHAnsi"/>
        </w:rPr>
        <w:t xml:space="preserve"> </w:t>
      </w:r>
      <w:r w:rsidRPr="00F26900">
        <w:rPr>
          <w:rFonts w:cstheme="minorHAnsi"/>
        </w:rPr>
        <w:t>note that some of these individuals will be served through job retention if they are working and need services to maintain their employment. Although the FRC</w:t>
      </w:r>
      <w:r w:rsidR="00B11635">
        <w:rPr>
          <w:rFonts w:cstheme="minorHAnsi"/>
        </w:rPr>
        <w:t xml:space="preserve"> will continue to</w:t>
      </w:r>
      <w:r w:rsidRPr="00F26900">
        <w:rPr>
          <w:rFonts w:cstheme="minorHAnsi"/>
        </w:rPr>
        <w:t xml:space="preserve"> monitor the flow of individuals into the VR program as well as those exiting with successful employment and career outcomes, </w:t>
      </w:r>
      <w:r w:rsidR="00B11635">
        <w:rPr>
          <w:rFonts w:cstheme="minorHAnsi"/>
        </w:rPr>
        <w:t>we</w:t>
      </w:r>
      <w:r w:rsidR="006008DA">
        <w:rPr>
          <w:rFonts w:cstheme="minorHAnsi"/>
        </w:rPr>
        <w:t xml:space="preserve"> </w:t>
      </w:r>
      <w:r w:rsidRPr="00F26900">
        <w:rPr>
          <w:rFonts w:cstheme="minorHAnsi"/>
        </w:rPr>
        <w:t>congratulate VR for reducing wait times of customers as well as initiating employment related information and referral resources for those on the wait list.</w:t>
      </w:r>
    </w:p>
    <w:p w14:paraId="0BC32533" w14:textId="6A4A5CF7" w:rsidR="00F26900" w:rsidRDefault="00F26900" w:rsidP="00D63204">
      <w:pPr>
        <w:kinsoku w:val="0"/>
        <w:overflowPunct w:val="0"/>
        <w:autoSpaceDE w:val="0"/>
        <w:autoSpaceDN w:val="0"/>
        <w:adjustRightInd w:val="0"/>
        <w:spacing w:after="0" w:line="240" w:lineRule="auto"/>
        <w:ind w:left="90"/>
        <w:rPr>
          <w:rFonts w:cstheme="minorHAnsi"/>
        </w:rPr>
      </w:pPr>
    </w:p>
    <w:p w14:paraId="28C01ED8" w14:textId="60D674DA" w:rsidR="00F26900" w:rsidRPr="00F26900" w:rsidRDefault="00C93E0A" w:rsidP="00D63204">
      <w:pPr>
        <w:kinsoku w:val="0"/>
        <w:overflowPunct w:val="0"/>
        <w:autoSpaceDE w:val="0"/>
        <w:autoSpaceDN w:val="0"/>
        <w:adjustRightInd w:val="0"/>
        <w:spacing w:after="0" w:line="240" w:lineRule="auto"/>
        <w:ind w:left="90"/>
        <w:rPr>
          <w:rFonts w:cstheme="minorHAnsi"/>
        </w:rPr>
      </w:pPr>
      <w:r>
        <w:rPr>
          <w:rFonts w:cstheme="minorHAnsi"/>
        </w:rPr>
        <w:t xml:space="preserve">FRC </w:t>
      </w:r>
      <w:r w:rsidR="00F26900" w:rsidRPr="00F26900">
        <w:rPr>
          <w:rFonts w:cstheme="minorHAnsi"/>
        </w:rPr>
        <w:t>appreciate</w:t>
      </w:r>
      <w:r>
        <w:rPr>
          <w:rFonts w:cstheme="minorHAnsi"/>
        </w:rPr>
        <w:t>s</w:t>
      </w:r>
      <w:r w:rsidR="00F26900" w:rsidRPr="00F26900">
        <w:rPr>
          <w:rFonts w:cstheme="minorHAnsi"/>
        </w:rPr>
        <w:t xml:space="preserve"> VR’s enthusiasm to commit resources to web</w:t>
      </w:r>
      <w:r>
        <w:rPr>
          <w:rFonts w:cstheme="minorHAnsi"/>
        </w:rPr>
        <w:t>-</w:t>
      </w:r>
      <w:r w:rsidR="00F26900" w:rsidRPr="00F26900">
        <w:rPr>
          <w:rFonts w:cstheme="minorHAnsi"/>
        </w:rPr>
        <w:t xml:space="preserve">based communication platforms so that the VR Director’s report and other FRC presentations can be offered to the public throughout the state rather than those who can only attend the FRC quarterly meetings in person. Advances in meeting technology are a rich resource for the sharing of information and communication. VR has embraced this inclusive model. </w:t>
      </w:r>
    </w:p>
    <w:p w14:paraId="751AD53E" w14:textId="77777777" w:rsidR="00EA7458" w:rsidRPr="00EA7458" w:rsidRDefault="00EA7458" w:rsidP="00D63204">
      <w:pPr>
        <w:widowControl w:val="0"/>
        <w:spacing w:after="0" w:line="240" w:lineRule="auto"/>
        <w:ind w:left="90" w:hanging="18"/>
        <w:rPr>
          <w:rFonts w:ascii="Calibri" w:hAnsi="Calibri" w:cs="Calibri"/>
        </w:rPr>
      </w:pPr>
    </w:p>
    <w:p w14:paraId="0AF71544" w14:textId="77777777" w:rsidR="00F26900" w:rsidRPr="008E42EC" w:rsidRDefault="00F26900" w:rsidP="00D63204">
      <w:pPr>
        <w:kinsoku w:val="0"/>
        <w:overflowPunct w:val="0"/>
        <w:autoSpaceDE w:val="0"/>
        <w:autoSpaceDN w:val="0"/>
        <w:adjustRightInd w:val="0"/>
        <w:spacing w:before="1" w:after="0" w:line="240" w:lineRule="auto"/>
        <w:ind w:left="90"/>
        <w:rPr>
          <w:rFonts w:cstheme="minorHAnsi"/>
          <w:b/>
        </w:rPr>
      </w:pPr>
      <w:r w:rsidRPr="008E42EC">
        <w:rPr>
          <w:rFonts w:cstheme="minorHAnsi"/>
          <w:b/>
        </w:rPr>
        <w:t>State Rehabilitation Council Recommendations</w:t>
      </w:r>
    </w:p>
    <w:p w14:paraId="43F778D1" w14:textId="77777777" w:rsidR="00F26900" w:rsidRPr="008E42EC" w:rsidRDefault="00F26900" w:rsidP="00D63204">
      <w:pPr>
        <w:kinsoku w:val="0"/>
        <w:overflowPunct w:val="0"/>
        <w:autoSpaceDE w:val="0"/>
        <w:autoSpaceDN w:val="0"/>
        <w:adjustRightInd w:val="0"/>
        <w:spacing w:before="1" w:after="0" w:line="240" w:lineRule="auto"/>
        <w:ind w:left="90"/>
        <w:rPr>
          <w:rFonts w:cstheme="minorHAnsi"/>
          <w:b/>
        </w:rPr>
      </w:pPr>
    </w:p>
    <w:p w14:paraId="07E2BCBA" w14:textId="77777777" w:rsidR="00F26900" w:rsidRPr="008E42EC" w:rsidRDefault="00F26900" w:rsidP="00D63204">
      <w:pPr>
        <w:kinsoku w:val="0"/>
        <w:overflowPunct w:val="0"/>
        <w:autoSpaceDE w:val="0"/>
        <w:autoSpaceDN w:val="0"/>
        <w:adjustRightInd w:val="0"/>
        <w:spacing w:after="0" w:line="240" w:lineRule="auto"/>
        <w:ind w:left="90"/>
        <w:rPr>
          <w:rFonts w:cstheme="minorHAnsi"/>
        </w:rPr>
      </w:pPr>
      <w:r w:rsidRPr="008E42EC">
        <w:rPr>
          <w:rFonts w:cstheme="minorHAnsi"/>
        </w:rPr>
        <w:t>The FRC offers the following robust recommendations to enhance service delivery and career achievement by individuals with disabilities.</w:t>
      </w:r>
    </w:p>
    <w:p w14:paraId="206ED409" w14:textId="77777777" w:rsidR="00F26900" w:rsidRPr="008E42EC" w:rsidRDefault="00F26900" w:rsidP="00D63204">
      <w:pPr>
        <w:kinsoku w:val="0"/>
        <w:overflowPunct w:val="0"/>
        <w:autoSpaceDE w:val="0"/>
        <w:autoSpaceDN w:val="0"/>
        <w:adjustRightInd w:val="0"/>
        <w:spacing w:after="0" w:line="240" w:lineRule="auto"/>
        <w:ind w:left="90"/>
        <w:rPr>
          <w:rFonts w:cstheme="minorHAnsi"/>
        </w:rPr>
      </w:pPr>
    </w:p>
    <w:p w14:paraId="56C9140B" w14:textId="078FB415" w:rsidR="00F26900" w:rsidRDefault="00F26900" w:rsidP="00D63204">
      <w:pPr>
        <w:kinsoku w:val="0"/>
        <w:overflowPunct w:val="0"/>
        <w:autoSpaceDE w:val="0"/>
        <w:autoSpaceDN w:val="0"/>
        <w:adjustRightInd w:val="0"/>
        <w:spacing w:after="0" w:line="240" w:lineRule="auto"/>
        <w:ind w:left="90"/>
        <w:rPr>
          <w:rFonts w:cstheme="minorHAnsi"/>
          <w:b/>
        </w:rPr>
      </w:pPr>
      <w:r w:rsidRPr="008E42EC">
        <w:rPr>
          <w:rFonts w:cstheme="minorHAnsi"/>
          <w:b/>
        </w:rPr>
        <w:t>Recommendation 1. Transition</w:t>
      </w:r>
    </w:p>
    <w:p w14:paraId="2EFC43B3" w14:textId="77777777" w:rsidR="00380AB5" w:rsidRPr="008E42EC" w:rsidRDefault="00380AB5" w:rsidP="00D63204">
      <w:pPr>
        <w:kinsoku w:val="0"/>
        <w:overflowPunct w:val="0"/>
        <w:autoSpaceDE w:val="0"/>
        <w:autoSpaceDN w:val="0"/>
        <w:adjustRightInd w:val="0"/>
        <w:spacing w:after="0" w:line="240" w:lineRule="auto"/>
        <w:ind w:left="90"/>
        <w:rPr>
          <w:rFonts w:cstheme="minorHAnsi"/>
          <w:b/>
        </w:rPr>
      </w:pPr>
    </w:p>
    <w:p w14:paraId="7B12BB5D" w14:textId="47C7E3D7" w:rsidR="00F26900" w:rsidRDefault="00F26900" w:rsidP="00D63204">
      <w:pPr>
        <w:pStyle w:val="ListParagraph"/>
        <w:numPr>
          <w:ilvl w:val="0"/>
          <w:numId w:val="94"/>
        </w:numPr>
        <w:kinsoku w:val="0"/>
        <w:overflowPunct w:val="0"/>
        <w:autoSpaceDE w:val="0"/>
        <w:autoSpaceDN w:val="0"/>
        <w:adjustRightInd w:val="0"/>
        <w:spacing w:after="0" w:line="240" w:lineRule="auto"/>
        <w:rPr>
          <w:rFonts w:eastAsiaTheme="minorHAnsi" w:cstheme="minorHAnsi"/>
        </w:rPr>
      </w:pPr>
      <w:r w:rsidRPr="008E42EC">
        <w:rPr>
          <w:rFonts w:eastAsiaTheme="minorHAnsi" w:cstheme="minorHAnsi"/>
        </w:rPr>
        <w:t>Promote early contact and the provision of Information and Referral (I&amp;R) guidance for transition students.</w:t>
      </w:r>
    </w:p>
    <w:p w14:paraId="5A7C85B9" w14:textId="77777777" w:rsidR="00380AB5" w:rsidRPr="008E42EC" w:rsidRDefault="00380AB5" w:rsidP="00D63204">
      <w:pPr>
        <w:pStyle w:val="ListParagraph"/>
        <w:kinsoku w:val="0"/>
        <w:overflowPunct w:val="0"/>
        <w:autoSpaceDE w:val="0"/>
        <w:autoSpaceDN w:val="0"/>
        <w:adjustRightInd w:val="0"/>
        <w:spacing w:after="0" w:line="240" w:lineRule="auto"/>
        <w:ind w:left="810"/>
        <w:rPr>
          <w:rFonts w:eastAsiaTheme="minorHAnsi" w:cstheme="minorHAnsi"/>
        </w:rPr>
      </w:pPr>
    </w:p>
    <w:p w14:paraId="18AAE908" w14:textId="3E46DA54" w:rsidR="00F26900" w:rsidRDefault="00F26900" w:rsidP="00D63204">
      <w:pPr>
        <w:pStyle w:val="ListParagraph"/>
        <w:numPr>
          <w:ilvl w:val="0"/>
          <w:numId w:val="94"/>
        </w:numPr>
        <w:kinsoku w:val="0"/>
        <w:overflowPunct w:val="0"/>
        <w:autoSpaceDE w:val="0"/>
        <w:autoSpaceDN w:val="0"/>
        <w:adjustRightInd w:val="0"/>
        <w:spacing w:after="0" w:line="240" w:lineRule="auto"/>
        <w:rPr>
          <w:rFonts w:eastAsiaTheme="minorHAnsi" w:cstheme="minorHAnsi"/>
        </w:rPr>
      </w:pPr>
      <w:r w:rsidRPr="008E42EC">
        <w:rPr>
          <w:rFonts w:eastAsiaTheme="minorHAnsi" w:cstheme="minorHAnsi"/>
        </w:rPr>
        <w:t>Expand and offer additional opportunities for pre-vocational and/or technical training for students.</w:t>
      </w:r>
    </w:p>
    <w:p w14:paraId="3F329D69" w14:textId="77777777" w:rsidR="00380AB5" w:rsidRPr="008E42EC" w:rsidRDefault="00380AB5" w:rsidP="00D63204">
      <w:pPr>
        <w:pStyle w:val="ListParagraph"/>
        <w:kinsoku w:val="0"/>
        <w:overflowPunct w:val="0"/>
        <w:autoSpaceDE w:val="0"/>
        <w:autoSpaceDN w:val="0"/>
        <w:adjustRightInd w:val="0"/>
        <w:spacing w:after="0" w:line="240" w:lineRule="auto"/>
        <w:ind w:left="810"/>
        <w:rPr>
          <w:rFonts w:eastAsiaTheme="minorHAnsi" w:cstheme="minorHAnsi"/>
        </w:rPr>
      </w:pPr>
    </w:p>
    <w:p w14:paraId="6FBA9053" w14:textId="477BD40F" w:rsidR="00F26900" w:rsidRDefault="00F26900" w:rsidP="00D63204">
      <w:pPr>
        <w:pStyle w:val="ListParagraph"/>
        <w:numPr>
          <w:ilvl w:val="0"/>
          <w:numId w:val="94"/>
        </w:numPr>
        <w:kinsoku w:val="0"/>
        <w:overflowPunct w:val="0"/>
        <w:autoSpaceDE w:val="0"/>
        <w:autoSpaceDN w:val="0"/>
        <w:adjustRightInd w:val="0"/>
        <w:spacing w:after="0" w:line="240" w:lineRule="auto"/>
        <w:rPr>
          <w:rFonts w:eastAsiaTheme="minorHAnsi" w:cstheme="minorHAnsi"/>
        </w:rPr>
      </w:pPr>
      <w:r w:rsidRPr="00380AB5">
        <w:rPr>
          <w:rFonts w:eastAsiaTheme="minorHAnsi" w:cstheme="minorHAnsi"/>
        </w:rPr>
        <w:t xml:space="preserve">Increase communication and collaboration by VR representatives with school districts and increase </w:t>
      </w:r>
      <w:r w:rsidR="00380AB5" w:rsidRPr="00380AB5">
        <w:rPr>
          <w:rFonts w:eastAsiaTheme="minorHAnsi" w:cstheme="minorHAnsi"/>
        </w:rPr>
        <w:t>p</w:t>
      </w:r>
      <w:r w:rsidRPr="00380AB5">
        <w:rPr>
          <w:rFonts w:eastAsiaTheme="minorHAnsi" w:cstheme="minorHAnsi"/>
        </w:rPr>
        <w:t>articipation in the education of options available to students.</w:t>
      </w:r>
    </w:p>
    <w:p w14:paraId="586DBDF7" w14:textId="77777777" w:rsidR="00380AB5" w:rsidRPr="00380AB5" w:rsidRDefault="00380AB5" w:rsidP="00D63204">
      <w:pPr>
        <w:pStyle w:val="ListParagraph"/>
        <w:kinsoku w:val="0"/>
        <w:overflowPunct w:val="0"/>
        <w:autoSpaceDE w:val="0"/>
        <w:autoSpaceDN w:val="0"/>
        <w:adjustRightInd w:val="0"/>
        <w:spacing w:after="0" w:line="240" w:lineRule="auto"/>
        <w:ind w:left="810"/>
        <w:rPr>
          <w:rFonts w:eastAsiaTheme="minorHAnsi" w:cstheme="minorHAnsi"/>
        </w:rPr>
      </w:pPr>
    </w:p>
    <w:p w14:paraId="633FB7BC" w14:textId="7E8B668F" w:rsidR="00F26900" w:rsidRDefault="00F26900" w:rsidP="00D63204">
      <w:pPr>
        <w:pStyle w:val="ListParagraph"/>
        <w:numPr>
          <w:ilvl w:val="0"/>
          <w:numId w:val="94"/>
        </w:numPr>
        <w:kinsoku w:val="0"/>
        <w:overflowPunct w:val="0"/>
        <w:autoSpaceDE w:val="0"/>
        <w:autoSpaceDN w:val="0"/>
        <w:adjustRightInd w:val="0"/>
        <w:spacing w:after="0" w:line="240" w:lineRule="auto"/>
        <w:rPr>
          <w:rFonts w:eastAsiaTheme="minorHAnsi" w:cstheme="minorHAnsi"/>
        </w:rPr>
      </w:pPr>
      <w:r w:rsidRPr="008E42EC">
        <w:rPr>
          <w:rFonts w:eastAsiaTheme="minorHAnsi" w:cstheme="minorHAnsi"/>
        </w:rPr>
        <w:t>Continue to emphasize peer mentoring in Florida.</w:t>
      </w:r>
    </w:p>
    <w:p w14:paraId="44EA8AFD" w14:textId="77777777" w:rsidR="00380AB5" w:rsidRPr="008E42EC" w:rsidRDefault="00380AB5" w:rsidP="00D63204">
      <w:pPr>
        <w:pStyle w:val="ListParagraph"/>
        <w:kinsoku w:val="0"/>
        <w:overflowPunct w:val="0"/>
        <w:autoSpaceDE w:val="0"/>
        <w:autoSpaceDN w:val="0"/>
        <w:adjustRightInd w:val="0"/>
        <w:spacing w:after="0" w:line="240" w:lineRule="auto"/>
        <w:ind w:left="810"/>
        <w:rPr>
          <w:rFonts w:eastAsiaTheme="minorHAnsi" w:cstheme="minorHAnsi"/>
        </w:rPr>
      </w:pPr>
    </w:p>
    <w:p w14:paraId="1E78A39B" w14:textId="77777777" w:rsidR="00F26900" w:rsidRPr="008E42EC" w:rsidRDefault="00F26900" w:rsidP="00D63204">
      <w:pPr>
        <w:pStyle w:val="ListParagraph"/>
        <w:numPr>
          <w:ilvl w:val="0"/>
          <w:numId w:val="94"/>
        </w:numPr>
        <w:kinsoku w:val="0"/>
        <w:overflowPunct w:val="0"/>
        <w:autoSpaceDE w:val="0"/>
        <w:autoSpaceDN w:val="0"/>
        <w:adjustRightInd w:val="0"/>
        <w:spacing w:after="0" w:line="240" w:lineRule="auto"/>
        <w:rPr>
          <w:rFonts w:eastAsiaTheme="minorHAnsi" w:cstheme="minorHAnsi"/>
        </w:rPr>
      </w:pPr>
      <w:r w:rsidRPr="008E42EC">
        <w:rPr>
          <w:rFonts w:eastAsiaTheme="minorHAnsi" w:cstheme="minorHAnsi"/>
        </w:rPr>
        <w:t>Increase the capacity of transition service providers while encouraging self-employment and entrepreneurial options.</w:t>
      </w:r>
    </w:p>
    <w:p w14:paraId="152931E6" w14:textId="77777777" w:rsidR="00F26900" w:rsidRPr="008E42EC" w:rsidRDefault="00F26900" w:rsidP="00D63204">
      <w:pPr>
        <w:kinsoku w:val="0"/>
        <w:overflowPunct w:val="0"/>
        <w:autoSpaceDE w:val="0"/>
        <w:autoSpaceDN w:val="0"/>
        <w:adjustRightInd w:val="0"/>
        <w:spacing w:after="0" w:line="240" w:lineRule="auto"/>
        <w:ind w:left="90"/>
        <w:rPr>
          <w:rFonts w:cstheme="minorHAnsi"/>
        </w:rPr>
      </w:pPr>
    </w:p>
    <w:p w14:paraId="0F9F52E9" w14:textId="77777777" w:rsidR="00380AB5" w:rsidRDefault="00380AB5">
      <w:pPr>
        <w:rPr>
          <w:rFonts w:cstheme="minorHAnsi"/>
          <w:b/>
        </w:rPr>
      </w:pPr>
      <w:r>
        <w:rPr>
          <w:rFonts w:cstheme="minorHAnsi"/>
          <w:b/>
        </w:rPr>
        <w:br w:type="page"/>
      </w:r>
    </w:p>
    <w:p w14:paraId="6BBAEAED" w14:textId="77777777" w:rsidR="00380AB5" w:rsidRDefault="00380AB5" w:rsidP="00D63204">
      <w:pPr>
        <w:kinsoku w:val="0"/>
        <w:overflowPunct w:val="0"/>
        <w:autoSpaceDE w:val="0"/>
        <w:autoSpaceDN w:val="0"/>
        <w:adjustRightInd w:val="0"/>
        <w:spacing w:after="0" w:line="240" w:lineRule="auto"/>
        <w:ind w:left="90"/>
        <w:rPr>
          <w:rFonts w:cstheme="minorHAnsi"/>
          <w:b/>
        </w:rPr>
      </w:pPr>
    </w:p>
    <w:p w14:paraId="686C0E0F" w14:textId="7C801D28" w:rsidR="00F26900" w:rsidRDefault="00F26900" w:rsidP="00D63204">
      <w:pPr>
        <w:kinsoku w:val="0"/>
        <w:overflowPunct w:val="0"/>
        <w:autoSpaceDE w:val="0"/>
        <w:autoSpaceDN w:val="0"/>
        <w:adjustRightInd w:val="0"/>
        <w:spacing w:after="0" w:line="240" w:lineRule="auto"/>
        <w:ind w:left="90"/>
        <w:rPr>
          <w:rFonts w:cstheme="minorHAnsi"/>
          <w:b/>
        </w:rPr>
      </w:pPr>
      <w:r w:rsidRPr="008E42EC">
        <w:rPr>
          <w:rFonts w:cstheme="minorHAnsi"/>
          <w:b/>
        </w:rPr>
        <w:t xml:space="preserve">Agency Response: </w:t>
      </w:r>
    </w:p>
    <w:p w14:paraId="59EB8DA7" w14:textId="77777777" w:rsidR="00380AB5" w:rsidRPr="008E42EC" w:rsidRDefault="00380AB5" w:rsidP="00D63204">
      <w:pPr>
        <w:kinsoku w:val="0"/>
        <w:overflowPunct w:val="0"/>
        <w:autoSpaceDE w:val="0"/>
        <w:autoSpaceDN w:val="0"/>
        <w:adjustRightInd w:val="0"/>
        <w:spacing w:after="0" w:line="240" w:lineRule="auto"/>
        <w:ind w:left="90"/>
        <w:rPr>
          <w:rFonts w:cstheme="minorHAnsi"/>
        </w:rPr>
      </w:pPr>
    </w:p>
    <w:p w14:paraId="1464368F" w14:textId="09ED9D70" w:rsidR="00F26900" w:rsidRDefault="00F26900" w:rsidP="00D63204">
      <w:pPr>
        <w:kinsoku w:val="0"/>
        <w:overflowPunct w:val="0"/>
        <w:autoSpaceDE w:val="0"/>
        <w:autoSpaceDN w:val="0"/>
        <w:adjustRightInd w:val="0"/>
        <w:spacing w:after="0" w:line="240" w:lineRule="auto"/>
        <w:ind w:left="90"/>
        <w:rPr>
          <w:rFonts w:cstheme="minorHAnsi"/>
        </w:rPr>
      </w:pPr>
      <w:r>
        <w:rPr>
          <w:rFonts w:cstheme="minorHAnsi"/>
        </w:rPr>
        <w:t>VR has recently lowered the age limit for Transition services to 14 years of age</w:t>
      </w:r>
      <w:r w:rsidR="00D5537E">
        <w:rPr>
          <w:rFonts w:cstheme="minorHAnsi"/>
        </w:rPr>
        <w:t xml:space="preserve"> and</w:t>
      </w:r>
      <w:r>
        <w:rPr>
          <w:rFonts w:cstheme="minorHAnsi"/>
        </w:rPr>
        <w:t xml:space="preserve"> will include this age group in future quarterly updates to FRC. VR has many pilot projects and initiatives anticipated to create additional training and employment opportunities for students an</w:t>
      </w:r>
      <w:r w:rsidR="00380AB5">
        <w:rPr>
          <w:rFonts w:cstheme="minorHAnsi"/>
        </w:rPr>
        <w:t>d youth, summarized below.</w:t>
      </w:r>
    </w:p>
    <w:p w14:paraId="4D692815" w14:textId="77777777" w:rsidR="00380AB5" w:rsidRDefault="00380AB5" w:rsidP="00D63204">
      <w:pPr>
        <w:kinsoku w:val="0"/>
        <w:overflowPunct w:val="0"/>
        <w:autoSpaceDE w:val="0"/>
        <w:autoSpaceDN w:val="0"/>
        <w:adjustRightInd w:val="0"/>
        <w:spacing w:after="0" w:line="240" w:lineRule="auto"/>
        <w:ind w:left="90"/>
        <w:rPr>
          <w:rFonts w:cstheme="minorHAnsi"/>
        </w:rPr>
      </w:pPr>
    </w:p>
    <w:p w14:paraId="638DCF02" w14:textId="34D34966" w:rsidR="00F26900" w:rsidRDefault="00F26900" w:rsidP="00D63204">
      <w:pPr>
        <w:pStyle w:val="ListParagraph"/>
        <w:numPr>
          <w:ilvl w:val="0"/>
          <w:numId w:val="95"/>
        </w:numPr>
        <w:kinsoku w:val="0"/>
        <w:overflowPunct w:val="0"/>
        <w:autoSpaceDE w:val="0"/>
        <w:autoSpaceDN w:val="0"/>
        <w:adjustRightInd w:val="0"/>
        <w:spacing w:after="0" w:line="240" w:lineRule="auto"/>
        <w:rPr>
          <w:rFonts w:eastAsiaTheme="minorHAnsi" w:cstheme="minorHAnsi"/>
        </w:rPr>
      </w:pPr>
      <w:r w:rsidRPr="00254797">
        <w:rPr>
          <w:rFonts w:eastAsiaTheme="minorHAnsi" w:cstheme="minorHAnsi"/>
        </w:rPr>
        <w:t xml:space="preserve">There are 25 school districts currently participating in the TPCA. There are currently 39 Employment Specialists working with 300 however, this number will increase by the end of the year. </w:t>
      </w:r>
      <w:r w:rsidR="00B11635">
        <w:rPr>
          <w:rFonts w:eastAsiaTheme="minorHAnsi" w:cstheme="minorHAnsi"/>
        </w:rPr>
        <w:t>We are currently</w:t>
      </w:r>
      <w:r w:rsidR="006008DA">
        <w:rPr>
          <w:rFonts w:eastAsiaTheme="minorHAnsi" w:cstheme="minorHAnsi"/>
        </w:rPr>
        <w:t xml:space="preserve"> </w:t>
      </w:r>
      <w:r w:rsidRPr="00254797">
        <w:rPr>
          <w:rFonts w:eastAsiaTheme="minorHAnsi" w:cstheme="minorHAnsi"/>
        </w:rPr>
        <w:t>revising the contract to allow for the expansion of Pre-ETS to more students with disabilities served by school districts.</w:t>
      </w:r>
      <w:r>
        <w:rPr>
          <w:rFonts w:eastAsiaTheme="minorHAnsi" w:cstheme="minorHAnsi"/>
        </w:rPr>
        <w:t xml:space="preserve"> VR recently provided training and updated resources for school districts and VR staff.</w:t>
      </w:r>
    </w:p>
    <w:p w14:paraId="7C2F13CE" w14:textId="77777777" w:rsidR="00380AB5" w:rsidRDefault="00380AB5" w:rsidP="00D63204">
      <w:pPr>
        <w:pStyle w:val="ListParagraph"/>
        <w:kinsoku w:val="0"/>
        <w:overflowPunct w:val="0"/>
        <w:autoSpaceDE w:val="0"/>
        <w:autoSpaceDN w:val="0"/>
        <w:adjustRightInd w:val="0"/>
        <w:spacing w:after="0" w:line="240" w:lineRule="auto"/>
        <w:ind w:left="90"/>
        <w:rPr>
          <w:rFonts w:eastAsiaTheme="minorHAnsi" w:cstheme="minorHAnsi"/>
        </w:rPr>
      </w:pPr>
    </w:p>
    <w:p w14:paraId="524B6F5E" w14:textId="6C061518" w:rsidR="00F26900" w:rsidRDefault="00F26900" w:rsidP="00D63204">
      <w:pPr>
        <w:pStyle w:val="ListParagraph"/>
        <w:numPr>
          <w:ilvl w:val="0"/>
          <w:numId w:val="95"/>
        </w:numPr>
        <w:spacing w:line="240" w:lineRule="auto"/>
        <w:rPr>
          <w:rFonts w:eastAsiaTheme="minorHAnsi" w:cstheme="minorHAnsi"/>
        </w:rPr>
      </w:pPr>
      <w:r w:rsidRPr="00232DE7">
        <w:rPr>
          <w:rFonts w:eastAsiaTheme="minorHAnsi" w:cstheme="minorHAnsi"/>
        </w:rPr>
        <w:t>VR</w:t>
      </w:r>
      <w:r w:rsidR="00B11635">
        <w:rPr>
          <w:rFonts w:eastAsiaTheme="minorHAnsi" w:cstheme="minorHAnsi"/>
        </w:rPr>
        <w:t xml:space="preserve"> has recently</w:t>
      </w:r>
      <w:r w:rsidRPr="00232DE7">
        <w:rPr>
          <w:rFonts w:eastAsiaTheme="minorHAnsi" w:cstheme="minorHAnsi"/>
        </w:rPr>
        <w:t xml:space="preserve"> entered into an Intensive Technical Assistance Plan (ITAP) with the Workforce Innovation Technical Assistance Center (WINTAC) for assistance in formalizing VR Youth Peer Mentoring processes. The ITAP will support expansion from the three</w:t>
      </w:r>
      <w:r w:rsidR="00380AB5">
        <w:rPr>
          <w:rFonts w:eastAsiaTheme="minorHAnsi" w:cstheme="minorHAnsi"/>
        </w:rPr>
        <w:t>-</w:t>
      </w:r>
      <w:r w:rsidRPr="00232DE7">
        <w:rPr>
          <w:rFonts w:eastAsiaTheme="minorHAnsi" w:cstheme="minorHAnsi"/>
        </w:rPr>
        <w:t>county pilot to a statewide program.</w:t>
      </w:r>
      <w:r>
        <w:rPr>
          <w:rFonts w:eastAsiaTheme="minorHAnsi" w:cstheme="minorHAnsi"/>
        </w:rPr>
        <w:t xml:space="preserve"> Recent provider recruitment efforts have identified over 50 additional providers interested in providing Youth Peer Mentoring. VR is currently offering training to staff and providers.</w:t>
      </w:r>
    </w:p>
    <w:p w14:paraId="5E03F12C" w14:textId="77777777" w:rsidR="00380AB5" w:rsidRDefault="00380AB5" w:rsidP="00D63204">
      <w:pPr>
        <w:pStyle w:val="ListParagraph"/>
        <w:spacing w:line="240" w:lineRule="auto"/>
        <w:ind w:left="90"/>
        <w:rPr>
          <w:rFonts w:eastAsiaTheme="minorHAnsi" w:cstheme="minorHAnsi"/>
        </w:rPr>
      </w:pPr>
    </w:p>
    <w:p w14:paraId="32FC5BB7" w14:textId="491FA4D9" w:rsidR="00F26900" w:rsidRDefault="00F26900" w:rsidP="00D63204">
      <w:pPr>
        <w:pStyle w:val="ListParagraph"/>
        <w:numPr>
          <w:ilvl w:val="0"/>
          <w:numId w:val="95"/>
        </w:numPr>
        <w:spacing w:line="240" w:lineRule="auto"/>
        <w:rPr>
          <w:rFonts w:eastAsiaTheme="minorHAnsi" w:cstheme="minorHAnsi"/>
        </w:rPr>
      </w:pPr>
      <w:r>
        <w:rPr>
          <w:rFonts w:eastAsiaTheme="minorHAnsi" w:cstheme="minorHAnsi"/>
        </w:rPr>
        <w:t>VR has developed the Student Transition Activities Record (STAR) program to track and coordinate Pre-ETS service referrals. Currently, 58 of 74 districts are using the STAR program to refer students for services. VR is working with Project 10 and BEESS to develop ways to engage the remaining districts.</w:t>
      </w:r>
    </w:p>
    <w:p w14:paraId="0B5485E1" w14:textId="77777777" w:rsidR="00380AB5" w:rsidRDefault="00380AB5" w:rsidP="00D63204">
      <w:pPr>
        <w:pStyle w:val="ListParagraph"/>
        <w:spacing w:line="240" w:lineRule="auto"/>
        <w:ind w:left="90"/>
        <w:rPr>
          <w:rFonts w:eastAsiaTheme="minorHAnsi" w:cstheme="minorHAnsi"/>
        </w:rPr>
      </w:pPr>
    </w:p>
    <w:p w14:paraId="16574AE8" w14:textId="277B3D61" w:rsidR="00F26900" w:rsidRDefault="00F26900" w:rsidP="00D63204">
      <w:pPr>
        <w:pStyle w:val="ListParagraph"/>
        <w:numPr>
          <w:ilvl w:val="0"/>
          <w:numId w:val="95"/>
        </w:numPr>
        <w:spacing w:line="240" w:lineRule="auto"/>
        <w:rPr>
          <w:rFonts w:eastAsiaTheme="minorHAnsi" w:cstheme="minorHAnsi"/>
        </w:rPr>
      </w:pPr>
      <w:r>
        <w:rPr>
          <w:rFonts w:eastAsiaTheme="minorHAnsi" w:cstheme="minorHAnsi"/>
        </w:rPr>
        <w:t>VR has collaborated with the Florida DD Council to increase the number of Project SEARCH sites across Florida. Ten new sites were added for the 2017-</w:t>
      </w:r>
      <w:r w:rsidR="00C93E0A">
        <w:rPr>
          <w:rFonts w:eastAsiaTheme="minorHAnsi" w:cstheme="minorHAnsi"/>
        </w:rPr>
        <w:t>20</w:t>
      </w:r>
      <w:r>
        <w:rPr>
          <w:rFonts w:eastAsiaTheme="minorHAnsi" w:cstheme="minorHAnsi"/>
        </w:rPr>
        <w:t>18 school year</w:t>
      </w:r>
      <w:r w:rsidR="00D5537E">
        <w:rPr>
          <w:rFonts w:eastAsiaTheme="minorHAnsi" w:cstheme="minorHAnsi"/>
        </w:rPr>
        <w:t xml:space="preserve"> and</w:t>
      </w:r>
      <w:r>
        <w:rPr>
          <w:rFonts w:eastAsiaTheme="minorHAnsi" w:cstheme="minorHAnsi"/>
        </w:rPr>
        <w:t xml:space="preserve"> </w:t>
      </w:r>
      <w:r w:rsidR="00C93E0A">
        <w:rPr>
          <w:rFonts w:eastAsiaTheme="minorHAnsi" w:cstheme="minorHAnsi"/>
        </w:rPr>
        <w:t>five</w:t>
      </w:r>
      <w:r>
        <w:rPr>
          <w:rFonts w:eastAsiaTheme="minorHAnsi" w:cstheme="minorHAnsi"/>
        </w:rPr>
        <w:t xml:space="preserve"> more sites are anticipated to be in place by August 2018. </w:t>
      </w:r>
    </w:p>
    <w:p w14:paraId="30FA81EC" w14:textId="77777777" w:rsidR="00380AB5" w:rsidRDefault="00380AB5" w:rsidP="00D63204">
      <w:pPr>
        <w:pStyle w:val="ListParagraph"/>
        <w:kinsoku w:val="0"/>
        <w:overflowPunct w:val="0"/>
        <w:autoSpaceDE w:val="0"/>
        <w:autoSpaceDN w:val="0"/>
        <w:adjustRightInd w:val="0"/>
        <w:spacing w:after="0" w:line="240" w:lineRule="auto"/>
        <w:ind w:left="90"/>
        <w:rPr>
          <w:rFonts w:eastAsiaTheme="minorHAnsi" w:cstheme="minorHAnsi"/>
        </w:rPr>
      </w:pPr>
    </w:p>
    <w:p w14:paraId="2DE16E70" w14:textId="3339D072" w:rsidR="00F26900" w:rsidRDefault="00F26900" w:rsidP="00D63204">
      <w:pPr>
        <w:pStyle w:val="ListParagraph"/>
        <w:numPr>
          <w:ilvl w:val="0"/>
          <w:numId w:val="95"/>
        </w:numPr>
        <w:kinsoku w:val="0"/>
        <w:overflowPunct w:val="0"/>
        <w:autoSpaceDE w:val="0"/>
        <w:autoSpaceDN w:val="0"/>
        <w:adjustRightInd w:val="0"/>
        <w:spacing w:after="0" w:line="240" w:lineRule="auto"/>
        <w:rPr>
          <w:rFonts w:eastAsiaTheme="minorHAnsi" w:cstheme="minorHAnsi"/>
        </w:rPr>
      </w:pPr>
      <w:r w:rsidRPr="00C201F9">
        <w:rPr>
          <w:rFonts w:eastAsiaTheme="minorHAnsi" w:cstheme="minorHAnsi"/>
        </w:rPr>
        <w:t>VR has made great effort to increase the number of providers for Discovery, Customized Employment</w:t>
      </w:r>
      <w:r w:rsidR="00D5537E">
        <w:rPr>
          <w:rFonts w:eastAsiaTheme="minorHAnsi" w:cstheme="minorHAnsi"/>
        </w:rPr>
        <w:t xml:space="preserve"> and</w:t>
      </w:r>
      <w:r w:rsidRPr="00C201F9">
        <w:rPr>
          <w:rFonts w:eastAsiaTheme="minorHAnsi" w:cstheme="minorHAnsi"/>
        </w:rPr>
        <w:t xml:space="preserve"> CBTAC by offering more frequent training opportunities. VR </w:t>
      </w:r>
      <w:r w:rsidR="00B11635">
        <w:rPr>
          <w:rFonts w:eastAsiaTheme="minorHAnsi" w:cstheme="minorHAnsi"/>
        </w:rPr>
        <w:t xml:space="preserve">will continue to </w:t>
      </w:r>
      <w:r w:rsidRPr="00C201F9">
        <w:rPr>
          <w:rFonts w:eastAsiaTheme="minorHAnsi" w:cstheme="minorHAnsi"/>
        </w:rPr>
        <w:t xml:space="preserve">provide frequent training to increase the number of providers certified to offer these services. </w:t>
      </w:r>
    </w:p>
    <w:p w14:paraId="3C569574" w14:textId="77777777" w:rsidR="00F26900" w:rsidRPr="00C201F9" w:rsidRDefault="00F26900" w:rsidP="00D63204">
      <w:pPr>
        <w:kinsoku w:val="0"/>
        <w:overflowPunct w:val="0"/>
        <w:autoSpaceDE w:val="0"/>
        <w:autoSpaceDN w:val="0"/>
        <w:adjustRightInd w:val="0"/>
        <w:spacing w:after="0" w:line="240" w:lineRule="auto"/>
        <w:ind w:left="90"/>
        <w:rPr>
          <w:rFonts w:cstheme="minorHAnsi"/>
        </w:rPr>
      </w:pPr>
    </w:p>
    <w:p w14:paraId="60B06A04" w14:textId="64275160" w:rsidR="00F26900" w:rsidRDefault="00F26900" w:rsidP="00D63204">
      <w:pPr>
        <w:kinsoku w:val="0"/>
        <w:overflowPunct w:val="0"/>
        <w:autoSpaceDE w:val="0"/>
        <w:autoSpaceDN w:val="0"/>
        <w:adjustRightInd w:val="0"/>
        <w:spacing w:after="0" w:line="240" w:lineRule="auto"/>
        <w:ind w:left="90"/>
        <w:rPr>
          <w:rFonts w:cstheme="minorHAnsi"/>
          <w:b/>
        </w:rPr>
      </w:pPr>
      <w:r w:rsidRPr="008E42EC">
        <w:rPr>
          <w:rFonts w:cstheme="minorHAnsi"/>
          <w:b/>
        </w:rPr>
        <w:t>Recommendation 2. Job Placement Strategies</w:t>
      </w:r>
    </w:p>
    <w:p w14:paraId="5369B9BF" w14:textId="77777777" w:rsidR="00380AB5" w:rsidRPr="008E42EC" w:rsidRDefault="00380AB5" w:rsidP="00D63204">
      <w:pPr>
        <w:kinsoku w:val="0"/>
        <w:overflowPunct w:val="0"/>
        <w:autoSpaceDE w:val="0"/>
        <w:autoSpaceDN w:val="0"/>
        <w:adjustRightInd w:val="0"/>
        <w:spacing w:after="0" w:line="240" w:lineRule="auto"/>
        <w:ind w:left="90"/>
        <w:rPr>
          <w:rFonts w:cstheme="minorHAnsi"/>
          <w:b/>
        </w:rPr>
      </w:pPr>
    </w:p>
    <w:p w14:paraId="6AE0045A" w14:textId="77777777" w:rsidR="00F26900" w:rsidRPr="008E42EC" w:rsidRDefault="00F26900" w:rsidP="00D63204">
      <w:pPr>
        <w:pStyle w:val="ListParagraph"/>
        <w:numPr>
          <w:ilvl w:val="0"/>
          <w:numId w:val="96"/>
        </w:numPr>
        <w:kinsoku w:val="0"/>
        <w:overflowPunct w:val="0"/>
        <w:autoSpaceDE w:val="0"/>
        <w:autoSpaceDN w:val="0"/>
        <w:adjustRightInd w:val="0"/>
        <w:spacing w:after="0" w:line="240" w:lineRule="auto"/>
        <w:rPr>
          <w:rFonts w:eastAsiaTheme="minorHAnsi" w:cstheme="minorHAnsi"/>
        </w:rPr>
      </w:pPr>
      <w:r w:rsidRPr="008E42EC">
        <w:rPr>
          <w:rFonts w:eastAsiaTheme="minorHAnsi" w:cstheme="minorHAnsi"/>
        </w:rPr>
        <w:t xml:space="preserve">Analyze and identify any trends in services provided under the rehabilitation engineering service category by service type and VR area. </w:t>
      </w:r>
    </w:p>
    <w:p w14:paraId="53C0D151" w14:textId="77777777" w:rsidR="00380AB5" w:rsidRDefault="00380AB5" w:rsidP="00D63204">
      <w:pPr>
        <w:pStyle w:val="ListParagraph"/>
        <w:kinsoku w:val="0"/>
        <w:overflowPunct w:val="0"/>
        <w:autoSpaceDE w:val="0"/>
        <w:autoSpaceDN w:val="0"/>
        <w:adjustRightInd w:val="0"/>
        <w:spacing w:after="0" w:line="240" w:lineRule="auto"/>
        <w:ind w:left="90"/>
        <w:rPr>
          <w:rFonts w:eastAsiaTheme="minorHAnsi" w:cstheme="minorHAnsi"/>
        </w:rPr>
      </w:pPr>
    </w:p>
    <w:p w14:paraId="2F13D5ED" w14:textId="24726607" w:rsidR="00F26900" w:rsidRPr="008E42EC" w:rsidRDefault="00F26900" w:rsidP="00D63204">
      <w:pPr>
        <w:pStyle w:val="ListParagraph"/>
        <w:numPr>
          <w:ilvl w:val="0"/>
          <w:numId w:val="96"/>
        </w:numPr>
        <w:kinsoku w:val="0"/>
        <w:overflowPunct w:val="0"/>
        <w:autoSpaceDE w:val="0"/>
        <w:autoSpaceDN w:val="0"/>
        <w:adjustRightInd w:val="0"/>
        <w:spacing w:after="0" w:line="240" w:lineRule="auto"/>
        <w:rPr>
          <w:rFonts w:eastAsiaTheme="minorHAnsi" w:cstheme="minorHAnsi"/>
        </w:rPr>
      </w:pPr>
      <w:r w:rsidRPr="008E42EC">
        <w:rPr>
          <w:rFonts w:eastAsiaTheme="minorHAnsi" w:cstheme="minorHAnsi"/>
        </w:rPr>
        <w:t>Continue strengthening efforts with business leaders to improve employment opportunities and meaningful careers.</w:t>
      </w:r>
    </w:p>
    <w:p w14:paraId="691E8843" w14:textId="77777777" w:rsidR="00380AB5" w:rsidRDefault="00380AB5" w:rsidP="00D63204">
      <w:pPr>
        <w:pStyle w:val="ListParagraph"/>
        <w:kinsoku w:val="0"/>
        <w:overflowPunct w:val="0"/>
        <w:autoSpaceDE w:val="0"/>
        <w:autoSpaceDN w:val="0"/>
        <w:adjustRightInd w:val="0"/>
        <w:spacing w:after="0" w:line="240" w:lineRule="auto"/>
        <w:ind w:left="90"/>
        <w:rPr>
          <w:rFonts w:eastAsiaTheme="minorHAnsi" w:cstheme="minorHAnsi"/>
        </w:rPr>
      </w:pPr>
    </w:p>
    <w:p w14:paraId="2702A7DC" w14:textId="2EC22552" w:rsidR="00F26900" w:rsidRPr="008E42EC" w:rsidRDefault="00F26900" w:rsidP="00D63204">
      <w:pPr>
        <w:pStyle w:val="ListParagraph"/>
        <w:numPr>
          <w:ilvl w:val="0"/>
          <w:numId w:val="96"/>
        </w:numPr>
        <w:kinsoku w:val="0"/>
        <w:overflowPunct w:val="0"/>
        <w:autoSpaceDE w:val="0"/>
        <w:autoSpaceDN w:val="0"/>
        <w:adjustRightInd w:val="0"/>
        <w:spacing w:after="0" w:line="240" w:lineRule="auto"/>
        <w:rPr>
          <w:rFonts w:eastAsiaTheme="minorHAnsi" w:cstheme="minorHAnsi"/>
        </w:rPr>
      </w:pPr>
      <w:r w:rsidRPr="008E42EC">
        <w:rPr>
          <w:rFonts w:eastAsiaTheme="minorHAnsi" w:cstheme="minorHAnsi"/>
        </w:rPr>
        <w:t>Develop a deeper understanding of customer strengths and develop tools to communicate succinctly to potential employers.</w:t>
      </w:r>
    </w:p>
    <w:p w14:paraId="60656048" w14:textId="77777777" w:rsidR="00380AB5" w:rsidRDefault="00380AB5" w:rsidP="00D63204">
      <w:pPr>
        <w:pStyle w:val="ListParagraph"/>
        <w:kinsoku w:val="0"/>
        <w:overflowPunct w:val="0"/>
        <w:autoSpaceDE w:val="0"/>
        <w:autoSpaceDN w:val="0"/>
        <w:adjustRightInd w:val="0"/>
        <w:spacing w:after="0" w:line="240" w:lineRule="auto"/>
        <w:ind w:left="90"/>
        <w:rPr>
          <w:rFonts w:eastAsiaTheme="minorHAnsi" w:cstheme="minorHAnsi"/>
        </w:rPr>
      </w:pPr>
    </w:p>
    <w:p w14:paraId="2BEE76B1" w14:textId="4DDE335D" w:rsidR="00F26900" w:rsidRPr="008E42EC" w:rsidRDefault="00F26900" w:rsidP="00D63204">
      <w:pPr>
        <w:pStyle w:val="ListParagraph"/>
        <w:numPr>
          <w:ilvl w:val="0"/>
          <w:numId w:val="96"/>
        </w:numPr>
        <w:kinsoku w:val="0"/>
        <w:overflowPunct w:val="0"/>
        <w:autoSpaceDE w:val="0"/>
        <w:autoSpaceDN w:val="0"/>
        <w:adjustRightInd w:val="0"/>
        <w:spacing w:after="0" w:line="240" w:lineRule="auto"/>
        <w:rPr>
          <w:rFonts w:eastAsiaTheme="minorHAnsi" w:cstheme="minorHAnsi"/>
        </w:rPr>
      </w:pPr>
      <w:r w:rsidRPr="008E42EC">
        <w:rPr>
          <w:rFonts w:eastAsiaTheme="minorHAnsi" w:cstheme="minorHAnsi"/>
        </w:rPr>
        <w:t>FRC fully supports the VR initiative to obtain Worker’s Compensation coverage to mirror current coverage of CareerSource Florida customers. This will remove a substantial barrier to employment and allow for increased OJT opportunities for VR and DBS customers.</w:t>
      </w:r>
    </w:p>
    <w:p w14:paraId="43E67E7C" w14:textId="77777777" w:rsidR="00380AB5" w:rsidRDefault="00380AB5" w:rsidP="00D63204">
      <w:pPr>
        <w:pStyle w:val="ListParagraph"/>
        <w:kinsoku w:val="0"/>
        <w:overflowPunct w:val="0"/>
        <w:autoSpaceDE w:val="0"/>
        <w:autoSpaceDN w:val="0"/>
        <w:adjustRightInd w:val="0"/>
        <w:spacing w:after="0" w:line="240" w:lineRule="auto"/>
        <w:ind w:left="90"/>
        <w:rPr>
          <w:rFonts w:eastAsiaTheme="minorHAnsi" w:cstheme="minorHAnsi"/>
        </w:rPr>
      </w:pPr>
    </w:p>
    <w:p w14:paraId="764C40FC" w14:textId="56C44DB8" w:rsidR="00F26900" w:rsidRPr="008E42EC" w:rsidRDefault="00F26900" w:rsidP="00D63204">
      <w:pPr>
        <w:pStyle w:val="ListParagraph"/>
        <w:numPr>
          <w:ilvl w:val="0"/>
          <w:numId w:val="96"/>
        </w:numPr>
        <w:kinsoku w:val="0"/>
        <w:overflowPunct w:val="0"/>
        <w:autoSpaceDE w:val="0"/>
        <w:autoSpaceDN w:val="0"/>
        <w:adjustRightInd w:val="0"/>
        <w:spacing w:after="0" w:line="240" w:lineRule="auto"/>
        <w:rPr>
          <w:rFonts w:eastAsiaTheme="minorHAnsi" w:cstheme="minorHAnsi"/>
        </w:rPr>
      </w:pPr>
      <w:r w:rsidRPr="008E42EC">
        <w:rPr>
          <w:rFonts w:eastAsiaTheme="minorHAnsi" w:cstheme="minorHAnsi"/>
        </w:rPr>
        <w:t>FRC applauds VR efforts to increase capacity of the number of providers using the Discovery Model. Self-employment (CBTAC) initiatives should continue to be emphasized.</w:t>
      </w:r>
    </w:p>
    <w:p w14:paraId="6665F7D5" w14:textId="269A742C" w:rsidR="00F26900" w:rsidRPr="008E42EC" w:rsidRDefault="00F26900" w:rsidP="00D63204">
      <w:pPr>
        <w:pStyle w:val="ListParagraph"/>
        <w:numPr>
          <w:ilvl w:val="0"/>
          <w:numId w:val="96"/>
        </w:numPr>
        <w:kinsoku w:val="0"/>
        <w:overflowPunct w:val="0"/>
        <w:autoSpaceDE w:val="0"/>
        <w:autoSpaceDN w:val="0"/>
        <w:adjustRightInd w:val="0"/>
        <w:spacing w:after="0" w:line="240" w:lineRule="auto"/>
        <w:rPr>
          <w:rFonts w:eastAsiaTheme="minorHAnsi" w:cstheme="minorHAnsi"/>
        </w:rPr>
      </w:pPr>
      <w:r w:rsidRPr="008E42EC">
        <w:rPr>
          <w:rFonts w:eastAsiaTheme="minorHAnsi" w:cstheme="minorHAnsi"/>
        </w:rPr>
        <w:lastRenderedPageBreak/>
        <w:t>Evaluate the effectiveness of the Abilities Work Help Desk.</w:t>
      </w:r>
    </w:p>
    <w:p w14:paraId="4440EDFB" w14:textId="77777777" w:rsidR="00380AB5" w:rsidRDefault="00380AB5" w:rsidP="00D63204">
      <w:pPr>
        <w:pStyle w:val="ListParagraph"/>
        <w:kinsoku w:val="0"/>
        <w:overflowPunct w:val="0"/>
        <w:autoSpaceDE w:val="0"/>
        <w:autoSpaceDN w:val="0"/>
        <w:adjustRightInd w:val="0"/>
        <w:spacing w:after="0" w:line="240" w:lineRule="auto"/>
        <w:ind w:left="90"/>
        <w:rPr>
          <w:rFonts w:eastAsiaTheme="minorHAnsi" w:cstheme="minorHAnsi"/>
        </w:rPr>
      </w:pPr>
    </w:p>
    <w:p w14:paraId="70E1A2FB" w14:textId="43AFA45A" w:rsidR="00F26900" w:rsidRDefault="00F26900" w:rsidP="00D63204">
      <w:pPr>
        <w:pStyle w:val="ListParagraph"/>
        <w:numPr>
          <w:ilvl w:val="0"/>
          <w:numId w:val="96"/>
        </w:numPr>
        <w:kinsoku w:val="0"/>
        <w:overflowPunct w:val="0"/>
        <w:autoSpaceDE w:val="0"/>
        <w:autoSpaceDN w:val="0"/>
        <w:adjustRightInd w:val="0"/>
        <w:spacing w:after="0" w:line="240" w:lineRule="auto"/>
        <w:rPr>
          <w:rFonts w:eastAsiaTheme="minorHAnsi" w:cstheme="minorHAnsi"/>
        </w:rPr>
      </w:pPr>
      <w:r w:rsidRPr="008E42EC">
        <w:rPr>
          <w:rFonts w:eastAsiaTheme="minorHAnsi" w:cstheme="minorHAnsi"/>
        </w:rPr>
        <w:t>Further build capacity for job customization and Innovation and Expansion projects to include unserved and underserved populations.</w:t>
      </w:r>
    </w:p>
    <w:p w14:paraId="1B367A03" w14:textId="77777777" w:rsidR="00F26900" w:rsidRDefault="00F26900" w:rsidP="00D63204">
      <w:pPr>
        <w:kinsoku w:val="0"/>
        <w:overflowPunct w:val="0"/>
        <w:autoSpaceDE w:val="0"/>
        <w:autoSpaceDN w:val="0"/>
        <w:adjustRightInd w:val="0"/>
        <w:spacing w:after="0" w:line="240" w:lineRule="auto"/>
        <w:ind w:left="90"/>
        <w:rPr>
          <w:rFonts w:cstheme="minorHAnsi"/>
        </w:rPr>
      </w:pPr>
    </w:p>
    <w:p w14:paraId="13F37E43" w14:textId="0B49245F" w:rsidR="00F26900" w:rsidRDefault="00F26900" w:rsidP="00D63204">
      <w:pPr>
        <w:kinsoku w:val="0"/>
        <w:overflowPunct w:val="0"/>
        <w:autoSpaceDE w:val="0"/>
        <w:autoSpaceDN w:val="0"/>
        <w:adjustRightInd w:val="0"/>
        <w:spacing w:after="0" w:line="240" w:lineRule="auto"/>
        <w:ind w:left="90"/>
        <w:rPr>
          <w:rFonts w:cstheme="minorHAnsi"/>
          <w:b/>
        </w:rPr>
      </w:pPr>
      <w:r w:rsidRPr="008E42EC">
        <w:rPr>
          <w:rFonts w:cstheme="minorHAnsi"/>
          <w:b/>
        </w:rPr>
        <w:t xml:space="preserve">Agency Response: </w:t>
      </w:r>
    </w:p>
    <w:p w14:paraId="10050D95" w14:textId="77777777" w:rsidR="00BA68DD" w:rsidRPr="008E42EC" w:rsidRDefault="00BA68DD" w:rsidP="00D63204">
      <w:pPr>
        <w:kinsoku w:val="0"/>
        <w:overflowPunct w:val="0"/>
        <w:autoSpaceDE w:val="0"/>
        <w:autoSpaceDN w:val="0"/>
        <w:adjustRightInd w:val="0"/>
        <w:spacing w:after="0" w:line="240" w:lineRule="auto"/>
        <w:rPr>
          <w:rFonts w:cstheme="minorHAnsi"/>
        </w:rPr>
      </w:pPr>
    </w:p>
    <w:p w14:paraId="7F3F9A84" w14:textId="1020AF43" w:rsidR="00F26900" w:rsidRDefault="00F26900" w:rsidP="00D63204">
      <w:pPr>
        <w:pStyle w:val="ListParagraph"/>
        <w:numPr>
          <w:ilvl w:val="0"/>
          <w:numId w:val="97"/>
        </w:numPr>
        <w:kinsoku w:val="0"/>
        <w:overflowPunct w:val="0"/>
        <w:autoSpaceDE w:val="0"/>
        <w:autoSpaceDN w:val="0"/>
        <w:adjustRightInd w:val="0"/>
        <w:spacing w:after="0" w:line="240" w:lineRule="auto"/>
        <w:rPr>
          <w:rFonts w:eastAsiaTheme="minorHAnsi" w:cstheme="minorHAnsi"/>
        </w:rPr>
      </w:pPr>
      <w:r>
        <w:rPr>
          <w:rFonts w:eastAsiaTheme="minorHAnsi" w:cstheme="minorHAnsi"/>
        </w:rPr>
        <w:t>VR has provided rehab technology service data to FRC and plan to provide regular updates.</w:t>
      </w:r>
    </w:p>
    <w:p w14:paraId="70AFF5F6" w14:textId="77777777" w:rsidR="00380AB5" w:rsidRDefault="00380AB5" w:rsidP="00D63204">
      <w:pPr>
        <w:pStyle w:val="ListParagraph"/>
        <w:kinsoku w:val="0"/>
        <w:overflowPunct w:val="0"/>
        <w:autoSpaceDE w:val="0"/>
        <w:autoSpaceDN w:val="0"/>
        <w:adjustRightInd w:val="0"/>
        <w:spacing w:after="0" w:line="240" w:lineRule="auto"/>
        <w:ind w:left="90"/>
        <w:rPr>
          <w:rFonts w:eastAsiaTheme="minorHAnsi" w:cstheme="minorHAnsi"/>
        </w:rPr>
      </w:pPr>
    </w:p>
    <w:p w14:paraId="4617B369" w14:textId="4BFE6C12" w:rsidR="00F26900" w:rsidRDefault="00F26900" w:rsidP="00D63204">
      <w:pPr>
        <w:pStyle w:val="ListParagraph"/>
        <w:numPr>
          <w:ilvl w:val="0"/>
          <w:numId w:val="97"/>
        </w:numPr>
        <w:kinsoku w:val="0"/>
        <w:overflowPunct w:val="0"/>
        <w:autoSpaceDE w:val="0"/>
        <w:autoSpaceDN w:val="0"/>
        <w:adjustRightInd w:val="0"/>
        <w:spacing w:after="0" w:line="240" w:lineRule="auto"/>
        <w:rPr>
          <w:rFonts w:eastAsiaTheme="minorHAnsi" w:cstheme="minorHAnsi"/>
        </w:rPr>
      </w:pPr>
      <w:r w:rsidRPr="005930BF">
        <w:rPr>
          <w:rFonts w:eastAsiaTheme="minorHAnsi" w:cstheme="minorHAnsi"/>
        </w:rPr>
        <w:t>VR Business Relations is participating with WIOA partners in the U.S. Department of Labor Employment and Training Administration’s Integrated Business Services Cohort to improve integration of business services across workforce, education</w:t>
      </w:r>
      <w:r w:rsidR="00D5537E">
        <w:rPr>
          <w:rFonts w:eastAsiaTheme="minorHAnsi" w:cstheme="minorHAnsi"/>
        </w:rPr>
        <w:t xml:space="preserve"> and</w:t>
      </w:r>
      <w:r w:rsidRPr="005930BF">
        <w:rPr>
          <w:rFonts w:eastAsiaTheme="minorHAnsi" w:cstheme="minorHAnsi"/>
        </w:rPr>
        <w:t xml:space="preserve"> economic development.</w:t>
      </w:r>
    </w:p>
    <w:p w14:paraId="416704D7" w14:textId="77777777" w:rsidR="00380AB5" w:rsidRDefault="00380AB5" w:rsidP="00D63204">
      <w:pPr>
        <w:pStyle w:val="ListParagraph"/>
        <w:kinsoku w:val="0"/>
        <w:overflowPunct w:val="0"/>
        <w:autoSpaceDE w:val="0"/>
        <w:autoSpaceDN w:val="0"/>
        <w:adjustRightInd w:val="0"/>
        <w:spacing w:after="0" w:line="240" w:lineRule="auto"/>
        <w:ind w:left="90"/>
        <w:rPr>
          <w:rFonts w:eastAsiaTheme="minorHAnsi" w:cstheme="minorHAnsi"/>
        </w:rPr>
      </w:pPr>
    </w:p>
    <w:p w14:paraId="164AADEC" w14:textId="54AE8FE6" w:rsidR="00F26900" w:rsidRDefault="00F26900" w:rsidP="00D63204">
      <w:pPr>
        <w:pStyle w:val="ListParagraph"/>
        <w:numPr>
          <w:ilvl w:val="0"/>
          <w:numId w:val="97"/>
        </w:numPr>
        <w:kinsoku w:val="0"/>
        <w:overflowPunct w:val="0"/>
        <w:autoSpaceDE w:val="0"/>
        <w:autoSpaceDN w:val="0"/>
        <w:adjustRightInd w:val="0"/>
        <w:spacing w:after="0" w:line="240" w:lineRule="auto"/>
        <w:rPr>
          <w:rFonts w:eastAsiaTheme="minorHAnsi" w:cstheme="minorHAnsi"/>
        </w:rPr>
      </w:pPr>
      <w:r w:rsidRPr="005930BF">
        <w:rPr>
          <w:rFonts w:eastAsiaTheme="minorHAnsi" w:cstheme="minorHAnsi"/>
        </w:rPr>
        <w:t>Business Relations has created opportunities for summer worksite training with business partners in the Firefighting and Construction Industries by developing a model that includes businesses, local schools, STAR and VR students</w:t>
      </w:r>
      <w:r w:rsidR="00D5537E">
        <w:rPr>
          <w:rFonts w:eastAsiaTheme="minorHAnsi" w:cstheme="minorHAnsi"/>
        </w:rPr>
        <w:t xml:space="preserve"> and</w:t>
      </w:r>
      <w:r w:rsidRPr="005930BF">
        <w:rPr>
          <w:rFonts w:eastAsiaTheme="minorHAnsi" w:cstheme="minorHAnsi"/>
        </w:rPr>
        <w:t xml:space="preserve"> providers. A white paper and reporting on outcomes will occur at the completion of the s</w:t>
      </w:r>
      <w:r>
        <w:rPr>
          <w:rFonts w:eastAsiaTheme="minorHAnsi" w:cstheme="minorHAnsi"/>
        </w:rPr>
        <w:t>ummer 2018 Construction program</w:t>
      </w:r>
      <w:r w:rsidR="00D5537E">
        <w:rPr>
          <w:rFonts w:eastAsiaTheme="minorHAnsi" w:cstheme="minorHAnsi"/>
        </w:rPr>
        <w:t xml:space="preserve"> and</w:t>
      </w:r>
      <w:r>
        <w:rPr>
          <w:rFonts w:eastAsiaTheme="minorHAnsi" w:cstheme="minorHAnsi"/>
        </w:rPr>
        <w:t xml:space="preserve"> will be shared with FRC once released.</w:t>
      </w:r>
    </w:p>
    <w:p w14:paraId="064D1A3C" w14:textId="77777777" w:rsidR="00380AB5" w:rsidRDefault="00380AB5" w:rsidP="00D63204">
      <w:pPr>
        <w:pStyle w:val="ListParagraph"/>
        <w:kinsoku w:val="0"/>
        <w:overflowPunct w:val="0"/>
        <w:autoSpaceDE w:val="0"/>
        <w:autoSpaceDN w:val="0"/>
        <w:adjustRightInd w:val="0"/>
        <w:spacing w:after="0" w:line="240" w:lineRule="auto"/>
        <w:ind w:left="90"/>
        <w:rPr>
          <w:rFonts w:eastAsiaTheme="minorHAnsi" w:cstheme="minorHAnsi"/>
        </w:rPr>
      </w:pPr>
    </w:p>
    <w:p w14:paraId="49FEE3FE" w14:textId="47D34C09" w:rsidR="00F26900" w:rsidRDefault="00F26900" w:rsidP="00D63204">
      <w:pPr>
        <w:pStyle w:val="ListParagraph"/>
        <w:numPr>
          <w:ilvl w:val="0"/>
          <w:numId w:val="97"/>
        </w:numPr>
        <w:kinsoku w:val="0"/>
        <w:overflowPunct w:val="0"/>
        <w:autoSpaceDE w:val="0"/>
        <w:autoSpaceDN w:val="0"/>
        <w:adjustRightInd w:val="0"/>
        <w:spacing w:after="0" w:line="240" w:lineRule="auto"/>
        <w:rPr>
          <w:rFonts w:eastAsiaTheme="minorHAnsi" w:cstheme="minorHAnsi"/>
        </w:rPr>
      </w:pPr>
      <w:r w:rsidRPr="005930BF">
        <w:rPr>
          <w:rFonts w:eastAsiaTheme="minorHAnsi" w:cstheme="minorHAnsi"/>
        </w:rPr>
        <w:t>VR has made great effort to increase the number of providers for Discovery, Customized Employment</w:t>
      </w:r>
      <w:r w:rsidR="00D5537E">
        <w:rPr>
          <w:rFonts w:eastAsiaTheme="minorHAnsi" w:cstheme="minorHAnsi"/>
        </w:rPr>
        <w:t xml:space="preserve"> and</w:t>
      </w:r>
      <w:r w:rsidRPr="005930BF">
        <w:rPr>
          <w:rFonts w:eastAsiaTheme="minorHAnsi" w:cstheme="minorHAnsi"/>
        </w:rPr>
        <w:t xml:space="preserve"> CBTAC</w:t>
      </w:r>
      <w:r>
        <w:rPr>
          <w:rFonts w:eastAsiaTheme="minorHAnsi" w:cstheme="minorHAnsi"/>
        </w:rPr>
        <w:t xml:space="preserve"> (self-employment)</w:t>
      </w:r>
      <w:r w:rsidRPr="005930BF">
        <w:rPr>
          <w:rFonts w:eastAsiaTheme="minorHAnsi" w:cstheme="minorHAnsi"/>
        </w:rPr>
        <w:t xml:space="preserve"> by offering more frequent training opportunities. VR </w:t>
      </w:r>
      <w:r w:rsidR="004C455E">
        <w:rPr>
          <w:rFonts w:eastAsiaTheme="minorHAnsi" w:cstheme="minorHAnsi"/>
        </w:rPr>
        <w:t xml:space="preserve">will continue to </w:t>
      </w:r>
      <w:r w:rsidR="004C455E" w:rsidRPr="005930BF">
        <w:rPr>
          <w:rFonts w:eastAsiaTheme="minorHAnsi" w:cstheme="minorHAnsi"/>
        </w:rPr>
        <w:t>provide</w:t>
      </w:r>
      <w:r w:rsidRPr="005930BF">
        <w:rPr>
          <w:rFonts w:eastAsiaTheme="minorHAnsi" w:cstheme="minorHAnsi"/>
        </w:rPr>
        <w:t xml:space="preserve"> frequent training to increase the number of providers certified to offer these services.</w:t>
      </w:r>
    </w:p>
    <w:p w14:paraId="366D4CFF" w14:textId="77777777" w:rsidR="00380AB5" w:rsidRDefault="00380AB5" w:rsidP="00D63204">
      <w:pPr>
        <w:pStyle w:val="ListParagraph"/>
        <w:kinsoku w:val="0"/>
        <w:overflowPunct w:val="0"/>
        <w:autoSpaceDE w:val="0"/>
        <w:autoSpaceDN w:val="0"/>
        <w:adjustRightInd w:val="0"/>
        <w:spacing w:after="0" w:line="240" w:lineRule="auto"/>
        <w:ind w:left="90"/>
        <w:rPr>
          <w:rFonts w:eastAsiaTheme="minorHAnsi" w:cstheme="minorHAnsi"/>
        </w:rPr>
      </w:pPr>
    </w:p>
    <w:p w14:paraId="527D5606" w14:textId="3971F8E5" w:rsidR="00F26900" w:rsidRPr="00C201F9" w:rsidRDefault="00F26900" w:rsidP="00D63204">
      <w:pPr>
        <w:pStyle w:val="ListParagraph"/>
        <w:numPr>
          <w:ilvl w:val="0"/>
          <w:numId w:val="97"/>
        </w:numPr>
        <w:kinsoku w:val="0"/>
        <w:overflowPunct w:val="0"/>
        <w:autoSpaceDE w:val="0"/>
        <w:autoSpaceDN w:val="0"/>
        <w:adjustRightInd w:val="0"/>
        <w:spacing w:after="0" w:line="240" w:lineRule="auto"/>
        <w:rPr>
          <w:rFonts w:eastAsiaTheme="minorHAnsi" w:cstheme="minorHAnsi"/>
        </w:rPr>
      </w:pPr>
      <w:r>
        <w:rPr>
          <w:rFonts w:eastAsiaTheme="minorHAnsi" w:cstheme="minorHAnsi"/>
        </w:rPr>
        <w:t xml:space="preserve">In the past year, VR has developed contracts for </w:t>
      </w:r>
      <w:r w:rsidR="00C93E0A">
        <w:rPr>
          <w:rFonts w:eastAsiaTheme="minorHAnsi" w:cstheme="minorHAnsi"/>
        </w:rPr>
        <w:t>five</w:t>
      </w:r>
      <w:r>
        <w:rPr>
          <w:rFonts w:eastAsiaTheme="minorHAnsi" w:cstheme="minorHAnsi"/>
        </w:rPr>
        <w:t xml:space="preserve"> Innovation and Expansion projects</w:t>
      </w:r>
      <w:r w:rsidR="00D5537E">
        <w:rPr>
          <w:rFonts w:eastAsiaTheme="minorHAnsi" w:cstheme="minorHAnsi"/>
        </w:rPr>
        <w:t xml:space="preserve"> and</w:t>
      </w:r>
      <w:r>
        <w:rPr>
          <w:rFonts w:eastAsiaTheme="minorHAnsi" w:cstheme="minorHAnsi"/>
        </w:rPr>
        <w:t xml:space="preserve"> will keep FRC informed on their status. The upcoming CSNA will help VR further identify unserved and underserved populations.</w:t>
      </w:r>
    </w:p>
    <w:p w14:paraId="4452FB37" w14:textId="77777777" w:rsidR="00380AB5" w:rsidRDefault="00380AB5" w:rsidP="00D63204">
      <w:pPr>
        <w:kinsoku w:val="0"/>
        <w:overflowPunct w:val="0"/>
        <w:autoSpaceDE w:val="0"/>
        <w:autoSpaceDN w:val="0"/>
        <w:adjustRightInd w:val="0"/>
        <w:spacing w:after="0" w:line="240" w:lineRule="auto"/>
        <w:ind w:left="90"/>
        <w:rPr>
          <w:rFonts w:cstheme="minorHAnsi"/>
          <w:b/>
        </w:rPr>
      </w:pPr>
    </w:p>
    <w:p w14:paraId="2D59FA59" w14:textId="0A904989" w:rsidR="00F26900" w:rsidRPr="008E42EC" w:rsidRDefault="00F26900" w:rsidP="00D63204">
      <w:pPr>
        <w:kinsoku w:val="0"/>
        <w:overflowPunct w:val="0"/>
        <w:autoSpaceDE w:val="0"/>
        <w:autoSpaceDN w:val="0"/>
        <w:adjustRightInd w:val="0"/>
        <w:spacing w:after="0" w:line="240" w:lineRule="auto"/>
        <w:ind w:left="90"/>
        <w:rPr>
          <w:rFonts w:cstheme="minorHAnsi"/>
          <w:b/>
        </w:rPr>
      </w:pPr>
      <w:r w:rsidRPr="008E42EC">
        <w:rPr>
          <w:rFonts w:cstheme="minorHAnsi"/>
          <w:b/>
        </w:rPr>
        <w:t>Recommendation 3</w:t>
      </w:r>
      <w:r w:rsidR="005E7C49">
        <w:rPr>
          <w:rFonts w:cstheme="minorHAnsi"/>
          <w:b/>
        </w:rPr>
        <w:t xml:space="preserve">. </w:t>
      </w:r>
      <w:r w:rsidRPr="008E42EC">
        <w:rPr>
          <w:rFonts w:cstheme="minorHAnsi"/>
          <w:b/>
        </w:rPr>
        <w:t>Mediation and Conflict Resolution</w:t>
      </w:r>
    </w:p>
    <w:p w14:paraId="7C856223" w14:textId="77777777" w:rsidR="00380AB5" w:rsidRDefault="00380AB5" w:rsidP="00D63204">
      <w:pPr>
        <w:pStyle w:val="ListParagraph"/>
        <w:kinsoku w:val="0"/>
        <w:overflowPunct w:val="0"/>
        <w:autoSpaceDE w:val="0"/>
        <w:autoSpaceDN w:val="0"/>
        <w:adjustRightInd w:val="0"/>
        <w:spacing w:after="0" w:line="240" w:lineRule="auto"/>
        <w:ind w:left="90"/>
        <w:rPr>
          <w:rFonts w:eastAsiaTheme="minorHAnsi" w:cstheme="minorHAnsi"/>
        </w:rPr>
      </w:pPr>
    </w:p>
    <w:p w14:paraId="6FE5FDD3" w14:textId="186BD98B" w:rsidR="00F26900" w:rsidRPr="008E42EC" w:rsidRDefault="00F26900" w:rsidP="00D63204">
      <w:pPr>
        <w:pStyle w:val="ListParagraph"/>
        <w:numPr>
          <w:ilvl w:val="0"/>
          <w:numId w:val="98"/>
        </w:numPr>
        <w:kinsoku w:val="0"/>
        <w:overflowPunct w:val="0"/>
        <w:autoSpaceDE w:val="0"/>
        <w:autoSpaceDN w:val="0"/>
        <w:adjustRightInd w:val="0"/>
        <w:spacing w:after="0" w:line="240" w:lineRule="auto"/>
        <w:rPr>
          <w:rFonts w:eastAsiaTheme="minorHAnsi" w:cstheme="minorHAnsi"/>
        </w:rPr>
      </w:pPr>
      <w:r w:rsidRPr="008E42EC">
        <w:rPr>
          <w:rFonts w:eastAsiaTheme="minorHAnsi" w:cstheme="minorHAnsi"/>
        </w:rPr>
        <w:t>Promote Rights education for customers and VR staff as a core principle. Collaborative discussions enhance informed choices.</w:t>
      </w:r>
    </w:p>
    <w:p w14:paraId="65476B28" w14:textId="77777777" w:rsidR="00F26900" w:rsidRDefault="00F26900" w:rsidP="00D63204">
      <w:pPr>
        <w:kinsoku w:val="0"/>
        <w:overflowPunct w:val="0"/>
        <w:autoSpaceDE w:val="0"/>
        <w:autoSpaceDN w:val="0"/>
        <w:adjustRightInd w:val="0"/>
        <w:spacing w:after="0" w:line="240" w:lineRule="auto"/>
        <w:ind w:left="90"/>
        <w:rPr>
          <w:rFonts w:cstheme="minorHAnsi"/>
          <w:b/>
        </w:rPr>
      </w:pPr>
    </w:p>
    <w:p w14:paraId="7FE6BFC2" w14:textId="77777777" w:rsidR="00F26900" w:rsidRPr="008E42EC" w:rsidRDefault="00F26900" w:rsidP="00D63204">
      <w:pPr>
        <w:kinsoku w:val="0"/>
        <w:overflowPunct w:val="0"/>
        <w:autoSpaceDE w:val="0"/>
        <w:autoSpaceDN w:val="0"/>
        <w:adjustRightInd w:val="0"/>
        <w:spacing w:after="0" w:line="240" w:lineRule="auto"/>
        <w:ind w:left="90"/>
        <w:rPr>
          <w:rFonts w:cstheme="minorHAnsi"/>
        </w:rPr>
      </w:pPr>
      <w:r w:rsidRPr="008E42EC">
        <w:rPr>
          <w:rFonts w:cstheme="minorHAnsi"/>
          <w:b/>
        </w:rPr>
        <w:t xml:space="preserve">Agency Response: </w:t>
      </w:r>
    </w:p>
    <w:p w14:paraId="5FF7C337" w14:textId="77777777" w:rsidR="00380AB5" w:rsidRDefault="00380AB5" w:rsidP="00D63204">
      <w:pPr>
        <w:pStyle w:val="ListParagraph"/>
        <w:kinsoku w:val="0"/>
        <w:overflowPunct w:val="0"/>
        <w:autoSpaceDE w:val="0"/>
        <w:autoSpaceDN w:val="0"/>
        <w:adjustRightInd w:val="0"/>
        <w:spacing w:after="0" w:line="240" w:lineRule="auto"/>
        <w:ind w:left="90"/>
        <w:rPr>
          <w:rFonts w:eastAsiaTheme="minorHAnsi" w:cstheme="minorHAnsi"/>
        </w:rPr>
      </w:pPr>
    </w:p>
    <w:p w14:paraId="52577AB3" w14:textId="249D0206" w:rsidR="00F26900" w:rsidRPr="005F78EE" w:rsidRDefault="00F26900" w:rsidP="00D63204">
      <w:pPr>
        <w:pStyle w:val="ListParagraph"/>
        <w:numPr>
          <w:ilvl w:val="0"/>
          <w:numId w:val="98"/>
        </w:numPr>
        <w:kinsoku w:val="0"/>
        <w:overflowPunct w:val="0"/>
        <w:autoSpaceDE w:val="0"/>
        <w:autoSpaceDN w:val="0"/>
        <w:adjustRightInd w:val="0"/>
        <w:spacing w:after="0" w:line="240" w:lineRule="auto"/>
        <w:rPr>
          <w:rFonts w:eastAsiaTheme="minorHAnsi" w:cstheme="minorHAnsi"/>
          <w:b/>
        </w:rPr>
      </w:pPr>
      <w:r>
        <w:rPr>
          <w:rFonts w:eastAsiaTheme="minorHAnsi" w:cstheme="minorHAnsi"/>
        </w:rPr>
        <w:t>VR agrees with FRC in the importance of rights education and includes it in training required of all VR staff. VR is currently developing a new ethics course specific to VR and its customers.</w:t>
      </w:r>
      <w:r w:rsidR="004C455E">
        <w:rPr>
          <w:rFonts w:eastAsiaTheme="minorHAnsi" w:cstheme="minorHAnsi"/>
        </w:rPr>
        <w:t xml:space="preserve"> In addition,</w:t>
      </w:r>
      <w:r>
        <w:rPr>
          <w:rFonts w:eastAsiaTheme="minorHAnsi" w:cstheme="minorHAnsi"/>
        </w:rPr>
        <w:t xml:space="preserve"> VR requires staff to complete training on confidentiality procedures, the Americans with Disabilities Act, Disability Etiquette</w:t>
      </w:r>
      <w:r w:rsidR="00D5537E">
        <w:rPr>
          <w:rFonts w:eastAsiaTheme="minorHAnsi" w:cstheme="minorHAnsi"/>
        </w:rPr>
        <w:t xml:space="preserve"> and</w:t>
      </w:r>
      <w:r>
        <w:rPr>
          <w:rFonts w:eastAsiaTheme="minorHAnsi" w:cstheme="minorHAnsi"/>
        </w:rPr>
        <w:t xml:space="preserve"> Auxiliary Aids. VR has redesigned its customer orientation process, VR </w:t>
      </w:r>
      <w:r w:rsidR="004F4893">
        <w:rPr>
          <w:rFonts w:eastAsiaTheme="minorHAnsi" w:cstheme="minorHAnsi"/>
        </w:rPr>
        <w:t>Works!</w:t>
      </w:r>
      <w:r w:rsidR="004C455E">
        <w:rPr>
          <w:rFonts w:eastAsiaTheme="minorHAnsi" w:cstheme="minorHAnsi"/>
        </w:rPr>
        <w:t>,</w:t>
      </w:r>
      <w:r>
        <w:rPr>
          <w:rFonts w:eastAsiaTheme="minorHAnsi" w:cstheme="minorHAnsi"/>
        </w:rPr>
        <w:t xml:space="preserve"> to ensure focus on customer rights and responsibilities within the rehab process.</w:t>
      </w:r>
    </w:p>
    <w:p w14:paraId="010AFD5F" w14:textId="77777777" w:rsidR="00F26900" w:rsidRPr="008E42EC" w:rsidRDefault="00F26900" w:rsidP="00D63204">
      <w:pPr>
        <w:kinsoku w:val="0"/>
        <w:overflowPunct w:val="0"/>
        <w:autoSpaceDE w:val="0"/>
        <w:autoSpaceDN w:val="0"/>
        <w:adjustRightInd w:val="0"/>
        <w:spacing w:after="0" w:line="240" w:lineRule="auto"/>
        <w:ind w:left="90"/>
        <w:rPr>
          <w:rFonts w:cstheme="minorHAnsi"/>
          <w:b/>
        </w:rPr>
      </w:pPr>
    </w:p>
    <w:p w14:paraId="1DA6DEE9" w14:textId="55707899" w:rsidR="00F26900" w:rsidRPr="008E42EC" w:rsidRDefault="00F26900" w:rsidP="00D63204">
      <w:pPr>
        <w:kinsoku w:val="0"/>
        <w:overflowPunct w:val="0"/>
        <w:autoSpaceDE w:val="0"/>
        <w:autoSpaceDN w:val="0"/>
        <w:adjustRightInd w:val="0"/>
        <w:spacing w:after="0" w:line="240" w:lineRule="auto"/>
        <w:ind w:left="90"/>
        <w:rPr>
          <w:rFonts w:cstheme="minorHAnsi"/>
          <w:b/>
        </w:rPr>
      </w:pPr>
      <w:r w:rsidRPr="008E42EC">
        <w:rPr>
          <w:rFonts w:cstheme="minorHAnsi"/>
          <w:b/>
        </w:rPr>
        <w:t>Recommendation 4</w:t>
      </w:r>
      <w:r w:rsidR="005E7C49">
        <w:rPr>
          <w:rFonts w:cstheme="minorHAnsi"/>
          <w:b/>
        </w:rPr>
        <w:t xml:space="preserve">. </w:t>
      </w:r>
      <w:r w:rsidRPr="008E42EC">
        <w:rPr>
          <w:rFonts w:cstheme="minorHAnsi"/>
          <w:b/>
        </w:rPr>
        <w:t>Public Awareness of VR</w:t>
      </w:r>
    </w:p>
    <w:p w14:paraId="51F6E058" w14:textId="77777777" w:rsidR="00380AB5" w:rsidRDefault="00380AB5" w:rsidP="00D63204">
      <w:pPr>
        <w:pStyle w:val="ListParagraph"/>
        <w:kinsoku w:val="0"/>
        <w:overflowPunct w:val="0"/>
        <w:autoSpaceDE w:val="0"/>
        <w:autoSpaceDN w:val="0"/>
        <w:adjustRightInd w:val="0"/>
        <w:spacing w:after="0" w:line="240" w:lineRule="auto"/>
        <w:ind w:left="90"/>
        <w:rPr>
          <w:rFonts w:eastAsiaTheme="minorHAnsi" w:cstheme="minorHAnsi"/>
        </w:rPr>
      </w:pPr>
    </w:p>
    <w:p w14:paraId="25C2495E" w14:textId="1A5BE1EC" w:rsidR="00F26900" w:rsidRPr="008E42EC" w:rsidRDefault="00F26900" w:rsidP="00D63204">
      <w:pPr>
        <w:pStyle w:val="ListParagraph"/>
        <w:numPr>
          <w:ilvl w:val="0"/>
          <w:numId w:val="98"/>
        </w:numPr>
        <w:kinsoku w:val="0"/>
        <w:overflowPunct w:val="0"/>
        <w:autoSpaceDE w:val="0"/>
        <w:autoSpaceDN w:val="0"/>
        <w:adjustRightInd w:val="0"/>
        <w:spacing w:after="0" w:line="240" w:lineRule="auto"/>
        <w:rPr>
          <w:rFonts w:eastAsiaTheme="minorHAnsi" w:cstheme="minorHAnsi"/>
        </w:rPr>
      </w:pPr>
      <w:r w:rsidRPr="008E42EC">
        <w:rPr>
          <w:rFonts w:eastAsiaTheme="minorHAnsi" w:cstheme="minorHAnsi"/>
        </w:rPr>
        <w:t>Develop a media campaign to share the history of VR, Florida specific services, successes and accomplishments.</w:t>
      </w:r>
    </w:p>
    <w:p w14:paraId="1DBEF0F6" w14:textId="77777777" w:rsidR="00380AB5" w:rsidRDefault="00380AB5" w:rsidP="00D63204">
      <w:pPr>
        <w:pStyle w:val="ListParagraph"/>
        <w:kinsoku w:val="0"/>
        <w:overflowPunct w:val="0"/>
        <w:autoSpaceDE w:val="0"/>
        <w:autoSpaceDN w:val="0"/>
        <w:adjustRightInd w:val="0"/>
        <w:spacing w:after="0" w:line="240" w:lineRule="auto"/>
        <w:ind w:left="90"/>
        <w:rPr>
          <w:rFonts w:eastAsiaTheme="minorHAnsi" w:cstheme="minorHAnsi"/>
        </w:rPr>
      </w:pPr>
    </w:p>
    <w:p w14:paraId="29856D62" w14:textId="25433116" w:rsidR="00F26900" w:rsidRPr="008E42EC" w:rsidRDefault="00F26900" w:rsidP="00D63204">
      <w:pPr>
        <w:pStyle w:val="ListParagraph"/>
        <w:numPr>
          <w:ilvl w:val="0"/>
          <w:numId w:val="98"/>
        </w:numPr>
        <w:kinsoku w:val="0"/>
        <w:overflowPunct w:val="0"/>
        <w:autoSpaceDE w:val="0"/>
        <w:autoSpaceDN w:val="0"/>
        <w:adjustRightInd w:val="0"/>
        <w:spacing w:after="0" w:line="240" w:lineRule="auto"/>
        <w:rPr>
          <w:rFonts w:eastAsiaTheme="minorHAnsi" w:cstheme="minorHAnsi"/>
        </w:rPr>
      </w:pPr>
      <w:r w:rsidRPr="008E42EC">
        <w:rPr>
          <w:rFonts w:eastAsiaTheme="minorHAnsi" w:cstheme="minorHAnsi"/>
        </w:rPr>
        <w:t>Provide an accessible online application system.</w:t>
      </w:r>
    </w:p>
    <w:p w14:paraId="27FCDC66" w14:textId="77777777" w:rsidR="00380AB5" w:rsidRDefault="00380AB5" w:rsidP="00D63204">
      <w:pPr>
        <w:pStyle w:val="ListParagraph"/>
        <w:kinsoku w:val="0"/>
        <w:overflowPunct w:val="0"/>
        <w:autoSpaceDE w:val="0"/>
        <w:autoSpaceDN w:val="0"/>
        <w:adjustRightInd w:val="0"/>
        <w:spacing w:after="0" w:line="240" w:lineRule="auto"/>
        <w:ind w:left="90"/>
        <w:rPr>
          <w:rFonts w:eastAsiaTheme="minorHAnsi" w:cstheme="minorHAnsi"/>
        </w:rPr>
      </w:pPr>
    </w:p>
    <w:p w14:paraId="77D4349D" w14:textId="0EFC6948" w:rsidR="00F26900" w:rsidRDefault="00F26900" w:rsidP="00B47A57">
      <w:pPr>
        <w:pStyle w:val="ListParagraph"/>
        <w:numPr>
          <w:ilvl w:val="0"/>
          <w:numId w:val="98"/>
        </w:numPr>
        <w:kinsoku w:val="0"/>
        <w:overflowPunct w:val="0"/>
        <w:autoSpaceDE w:val="0"/>
        <w:autoSpaceDN w:val="0"/>
        <w:adjustRightInd w:val="0"/>
        <w:spacing w:after="0" w:line="240" w:lineRule="auto"/>
        <w:rPr>
          <w:rFonts w:cstheme="minorHAnsi"/>
          <w:b/>
        </w:rPr>
      </w:pPr>
      <w:r w:rsidRPr="008E42EC">
        <w:rPr>
          <w:rFonts w:eastAsiaTheme="minorHAnsi" w:cstheme="minorHAnsi"/>
        </w:rPr>
        <w:t>Engage businesses as mandated partners.</w:t>
      </w:r>
    </w:p>
    <w:p w14:paraId="22F36000" w14:textId="50135392" w:rsidR="00F26900" w:rsidRDefault="00380AB5" w:rsidP="002D609D">
      <w:pPr>
        <w:rPr>
          <w:rFonts w:cstheme="minorHAnsi"/>
          <w:b/>
        </w:rPr>
      </w:pPr>
      <w:r>
        <w:rPr>
          <w:rFonts w:cstheme="minorHAnsi"/>
          <w:b/>
        </w:rPr>
        <w:br w:type="page"/>
      </w:r>
      <w:r w:rsidR="00F26900" w:rsidRPr="008E42EC">
        <w:rPr>
          <w:rFonts w:cstheme="minorHAnsi"/>
          <w:b/>
        </w:rPr>
        <w:lastRenderedPageBreak/>
        <w:t xml:space="preserve">Agency Response: </w:t>
      </w:r>
    </w:p>
    <w:p w14:paraId="6DB6A84E" w14:textId="77777777" w:rsidR="00F26900" w:rsidRPr="00752652" w:rsidRDefault="00F26900" w:rsidP="00D63204">
      <w:pPr>
        <w:pStyle w:val="ListParagraph"/>
        <w:numPr>
          <w:ilvl w:val="0"/>
          <w:numId w:val="99"/>
        </w:numPr>
        <w:kinsoku w:val="0"/>
        <w:overflowPunct w:val="0"/>
        <w:autoSpaceDE w:val="0"/>
        <w:autoSpaceDN w:val="0"/>
        <w:adjustRightInd w:val="0"/>
        <w:spacing w:after="0" w:line="240" w:lineRule="auto"/>
        <w:rPr>
          <w:rFonts w:eastAsiaTheme="minorHAnsi" w:cstheme="minorHAnsi"/>
          <w:b/>
        </w:rPr>
      </w:pPr>
      <w:r>
        <w:rPr>
          <w:rFonts w:eastAsiaTheme="minorHAnsi" w:cstheme="minorHAnsi"/>
        </w:rPr>
        <w:t xml:space="preserve">VR would appreciate hearing FRC’s ideas and suggestions for a marketing plan, but recommends waiting until after the CSNA is completed to discuss this, as the CSNA may influence targeted marketing segments. </w:t>
      </w:r>
    </w:p>
    <w:p w14:paraId="734FE133" w14:textId="77777777" w:rsidR="00380AB5" w:rsidRDefault="00380AB5" w:rsidP="00D63204">
      <w:pPr>
        <w:pStyle w:val="ListParagraph"/>
        <w:kinsoku w:val="0"/>
        <w:overflowPunct w:val="0"/>
        <w:autoSpaceDE w:val="0"/>
        <w:autoSpaceDN w:val="0"/>
        <w:adjustRightInd w:val="0"/>
        <w:spacing w:after="0" w:line="240" w:lineRule="auto"/>
        <w:ind w:left="90"/>
        <w:rPr>
          <w:rFonts w:eastAsiaTheme="minorHAnsi" w:cstheme="minorHAnsi"/>
        </w:rPr>
      </w:pPr>
    </w:p>
    <w:p w14:paraId="13639D0B" w14:textId="46F6560C" w:rsidR="00F26900" w:rsidRPr="00752652" w:rsidRDefault="00F26900" w:rsidP="00D63204">
      <w:pPr>
        <w:pStyle w:val="ListParagraph"/>
        <w:numPr>
          <w:ilvl w:val="0"/>
          <w:numId w:val="99"/>
        </w:numPr>
        <w:kinsoku w:val="0"/>
        <w:overflowPunct w:val="0"/>
        <w:autoSpaceDE w:val="0"/>
        <w:autoSpaceDN w:val="0"/>
        <w:adjustRightInd w:val="0"/>
        <w:spacing w:after="0" w:line="240" w:lineRule="auto"/>
        <w:rPr>
          <w:rFonts w:eastAsiaTheme="minorHAnsi" w:cstheme="minorHAnsi"/>
          <w:b/>
        </w:rPr>
      </w:pPr>
      <w:r>
        <w:rPr>
          <w:rFonts w:eastAsiaTheme="minorHAnsi" w:cstheme="minorHAnsi"/>
        </w:rPr>
        <w:t xml:space="preserve">VR agrees with the recommendation of an accessible, online application, but at this time, IT resources are not available for this project. </w:t>
      </w:r>
    </w:p>
    <w:p w14:paraId="6D48C227" w14:textId="77777777" w:rsidR="00380AB5" w:rsidRDefault="00380AB5" w:rsidP="00D63204">
      <w:pPr>
        <w:pStyle w:val="ListParagraph"/>
        <w:kinsoku w:val="0"/>
        <w:overflowPunct w:val="0"/>
        <w:autoSpaceDE w:val="0"/>
        <w:autoSpaceDN w:val="0"/>
        <w:adjustRightInd w:val="0"/>
        <w:spacing w:after="0" w:line="240" w:lineRule="auto"/>
        <w:ind w:left="90"/>
        <w:rPr>
          <w:rFonts w:eastAsiaTheme="minorHAnsi" w:cstheme="minorHAnsi"/>
        </w:rPr>
      </w:pPr>
    </w:p>
    <w:p w14:paraId="6F8C6744" w14:textId="76928016" w:rsidR="00F26900" w:rsidRPr="00E65527" w:rsidRDefault="00F26900" w:rsidP="00D63204">
      <w:pPr>
        <w:pStyle w:val="ListParagraph"/>
        <w:numPr>
          <w:ilvl w:val="0"/>
          <w:numId w:val="99"/>
        </w:numPr>
        <w:kinsoku w:val="0"/>
        <w:overflowPunct w:val="0"/>
        <w:autoSpaceDE w:val="0"/>
        <w:autoSpaceDN w:val="0"/>
        <w:adjustRightInd w:val="0"/>
        <w:spacing w:after="0" w:line="240" w:lineRule="auto"/>
        <w:rPr>
          <w:rFonts w:eastAsiaTheme="minorHAnsi" w:cstheme="minorHAnsi"/>
          <w:b/>
        </w:rPr>
      </w:pPr>
      <w:r w:rsidRPr="00E65527">
        <w:rPr>
          <w:rFonts w:eastAsiaTheme="minorHAnsi" w:cstheme="minorHAnsi"/>
        </w:rPr>
        <w:t xml:space="preserve">While VR cannot mandate businesses to be partners, the VR Business Relations Program places great priority on establishing </w:t>
      </w:r>
      <w:r>
        <w:rPr>
          <w:rFonts w:eastAsiaTheme="minorHAnsi" w:cstheme="minorHAnsi"/>
        </w:rPr>
        <w:t>partnerships with businesses to create new and increased job opportunities for VR customers.</w:t>
      </w:r>
    </w:p>
    <w:p w14:paraId="78628559" w14:textId="77777777" w:rsidR="00F26900" w:rsidRPr="008E42EC" w:rsidRDefault="00F26900" w:rsidP="00D63204">
      <w:pPr>
        <w:kinsoku w:val="0"/>
        <w:overflowPunct w:val="0"/>
        <w:autoSpaceDE w:val="0"/>
        <w:autoSpaceDN w:val="0"/>
        <w:adjustRightInd w:val="0"/>
        <w:spacing w:after="0" w:line="240" w:lineRule="auto"/>
        <w:ind w:left="90"/>
        <w:rPr>
          <w:rFonts w:cstheme="minorHAnsi"/>
          <w:b/>
        </w:rPr>
      </w:pPr>
    </w:p>
    <w:p w14:paraId="76A2AC07" w14:textId="70700D43" w:rsidR="00F26900" w:rsidRDefault="00F26900" w:rsidP="00D63204">
      <w:pPr>
        <w:kinsoku w:val="0"/>
        <w:overflowPunct w:val="0"/>
        <w:autoSpaceDE w:val="0"/>
        <w:autoSpaceDN w:val="0"/>
        <w:adjustRightInd w:val="0"/>
        <w:spacing w:after="0" w:line="240" w:lineRule="auto"/>
        <w:ind w:left="90"/>
        <w:rPr>
          <w:rFonts w:cstheme="minorHAnsi"/>
          <w:b/>
        </w:rPr>
      </w:pPr>
      <w:r w:rsidRPr="008E42EC">
        <w:rPr>
          <w:rFonts w:cstheme="minorHAnsi"/>
          <w:b/>
        </w:rPr>
        <w:t>Recommendation 5</w:t>
      </w:r>
      <w:r w:rsidR="005E7C49">
        <w:rPr>
          <w:rFonts w:cstheme="minorHAnsi"/>
          <w:b/>
        </w:rPr>
        <w:t xml:space="preserve">. </w:t>
      </w:r>
      <w:r w:rsidRPr="008E42EC">
        <w:rPr>
          <w:rFonts w:cstheme="minorHAnsi"/>
          <w:b/>
        </w:rPr>
        <w:t>Counselor Recruitment, Retention</w:t>
      </w:r>
    </w:p>
    <w:p w14:paraId="2EAB0034" w14:textId="77777777" w:rsidR="00380AB5" w:rsidRPr="008E42EC" w:rsidRDefault="00380AB5" w:rsidP="00D63204">
      <w:pPr>
        <w:kinsoku w:val="0"/>
        <w:overflowPunct w:val="0"/>
        <w:autoSpaceDE w:val="0"/>
        <w:autoSpaceDN w:val="0"/>
        <w:adjustRightInd w:val="0"/>
        <w:spacing w:after="0" w:line="240" w:lineRule="auto"/>
        <w:rPr>
          <w:rFonts w:cstheme="minorHAnsi"/>
          <w:b/>
        </w:rPr>
      </w:pPr>
    </w:p>
    <w:p w14:paraId="59AE7CC1" w14:textId="588DB843" w:rsidR="00F26900" w:rsidRDefault="00F26900" w:rsidP="00D63204">
      <w:pPr>
        <w:pStyle w:val="ListParagraph"/>
        <w:numPr>
          <w:ilvl w:val="0"/>
          <w:numId w:val="100"/>
        </w:numPr>
        <w:kinsoku w:val="0"/>
        <w:overflowPunct w:val="0"/>
        <w:autoSpaceDE w:val="0"/>
        <w:autoSpaceDN w:val="0"/>
        <w:adjustRightInd w:val="0"/>
        <w:spacing w:after="0" w:line="240" w:lineRule="auto"/>
        <w:rPr>
          <w:rFonts w:eastAsiaTheme="minorHAnsi" w:cstheme="minorHAnsi"/>
        </w:rPr>
      </w:pPr>
      <w:r w:rsidRPr="008E42EC">
        <w:rPr>
          <w:rFonts w:eastAsiaTheme="minorHAnsi" w:cstheme="minorHAnsi"/>
        </w:rPr>
        <w:t>Actively promote advocacy curriculum that’s been developed.</w:t>
      </w:r>
    </w:p>
    <w:p w14:paraId="4FE2B715" w14:textId="77777777" w:rsidR="00380AB5" w:rsidRPr="008E42EC" w:rsidRDefault="00380AB5" w:rsidP="00D63204">
      <w:pPr>
        <w:pStyle w:val="ListParagraph"/>
        <w:kinsoku w:val="0"/>
        <w:overflowPunct w:val="0"/>
        <w:autoSpaceDE w:val="0"/>
        <w:autoSpaceDN w:val="0"/>
        <w:adjustRightInd w:val="0"/>
        <w:spacing w:after="0" w:line="240" w:lineRule="auto"/>
        <w:ind w:left="810"/>
        <w:rPr>
          <w:rFonts w:eastAsiaTheme="minorHAnsi" w:cstheme="minorHAnsi"/>
        </w:rPr>
      </w:pPr>
    </w:p>
    <w:p w14:paraId="15F4EDD4" w14:textId="1E38AD67" w:rsidR="00F26900" w:rsidRDefault="00F26900" w:rsidP="00D63204">
      <w:pPr>
        <w:pStyle w:val="ListParagraph"/>
        <w:numPr>
          <w:ilvl w:val="0"/>
          <w:numId w:val="100"/>
        </w:numPr>
        <w:kinsoku w:val="0"/>
        <w:overflowPunct w:val="0"/>
        <w:autoSpaceDE w:val="0"/>
        <w:autoSpaceDN w:val="0"/>
        <w:adjustRightInd w:val="0"/>
        <w:spacing w:after="0" w:line="240" w:lineRule="auto"/>
        <w:rPr>
          <w:rFonts w:eastAsiaTheme="minorHAnsi" w:cstheme="minorHAnsi"/>
        </w:rPr>
      </w:pPr>
      <w:r w:rsidRPr="008E42EC">
        <w:rPr>
          <w:rFonts w:eastAsiaTheme="minorHAnsi" w:cstheme="minorHAnsi"/>
        </w:rPr>
        <w:t>Identify new ways to recruit employees while implementing long-term retention strategies.</w:t>
      </w:r>
    </w:p>
    <w:p w14:paraId="7F61063B" w14:textId="77777777" w:rsidR="00380AB5" w:rsidRPr="008E42EC" w:rsidRDefault="00380AB5" w:rsidP="00D63204">
      <w:pPr>
        <w:pStyle w:val="ListParagraph"/>
        <w:kinsoku w:val="0"/>
        <w:overflowPunct w:val="0"/>
        <w:autoSpaceDE w:val="0"/>
        <w:autoSpaceDN w:val="0"/>
        <w:adjustRightInd w:val="0"/>
        <w:spacing w:after="0" w:line="240" w:lineRule="auto"/>
        <w:ind w:left="810"/>
        <w:rPr>
          <w:rFonts w:eastAsiaTheme="minorHAnsi" w:cstheme="minorHAnsi"/>
        </w:rPr>
      </w:pPr>
    </w:p>
    <w:p w14:paraId="70549F33" w14:textId="77777777" w:rsidR="00F26900" w:rsidRPr="008E42EC" w:rsidRDefault="00F26900" w:rsidP="00D63204">
      <w:pPr>
        <w:pStyle w:val="ListParagraph"/>
        <w:numPr>
          <w:ilvl w:val="0"/>
          <w:numId w:val="100"/>
        </w:numPr>
        <w:kinsoku w:val="0"/>
        <w:overflowPunct w:val="0"/>
        <w:autoSpaceDE w:val="0"/>
        <w:autoSpaceDN w:val="0"/>
        <w:adjustRightInd w:val="0"/>
        <w:spacing w:before="3" w:after="0" w:line="240" w:lineRule="auto"/>
        <w:rPr>
          <w:rFonts w:eastAsiaTheme="minorHAnsi" w:cstheme="minorHAnsi"/>
        </w:rPr>
      </w:pPr>
      <w:r w:rsidRPr="008E42EC">
        <w:rPr>
          <w:rFonts w:eastAsiaTheme="minorHAnsi" w:cstheme="minorHAnsi"/>
        </w:rPr>
        <w:t>Continue to promote supervisor succession training.</w:t>
      </w:r>
    </w:p>
    <w:p w14:paraId="796C68C7" w14:textId="77777777" w:rsidR="00F26900" w:rsidRDefault="00F26900" w:rsidP="00D63204">
      <w:pPr>
        <w:kinsoku w:val="0"/>
        <w:overflowPunct w:val="0"/>
        <w:autoSpaceDE w:val="0"/>
        <w:autoSpaceDN w:val="0"/>
        <w:adjustRightInd w:val="0"/>
        <w:spacing w:after="0" w:line="240" w:lineRule="auto"/>
        <w:ind w:left="90"/>
        <w:rPr>
          <w:rFonts w:cstheme="minorHAnsi"/>
          <w:b/>
        </w:rPr>
      </w:pPr>
    </w:p>
    <w:p w14:paraId="4EFC80DF" w14:textId="7FA3C979" w:rsidR="00F26900" w:rsidRDefault="00F26900" w:rsidP="00D63204">
      <w:pPr>
        <w:kinsoku w:val="0"/>
        <w:overflowPunct w:val="0"/>
        <w:autoSpaceDE w:val="0"/>
        <w:autoSpaceDN w:val="0"/>
        <w:adjustRightInd w:val="0"/>
        <w:spacing w:after="0" w:line="240" w:lineRule="auto"/>
        <w:ind w:left="90"/>
        <w:rPr>
          <w:rFonts w:cstheme="minorHAnsi"/>
          <w:b/>
        </w:rPr>
      </w:pPr>
      <w:r w:rsidRPr="008E42EC">
        <w:rPr>
          <w:rFonts w:cstheme="minorHAnsi"/>
          <w:b/>
        </w:rPr>
        <w:t xml:space="preserve">Agency Response: </w:t>
      </w:r>
    </w:p>
    <w:p w14:paraId="49752F2D" w14:textId="77777777" w:rsidR="00380AB5" w:rsidRPr="008E42EC" w:rsidRDefault="00380AB5" w:rsidP="00D63204">
      <w:pPr>
        <w:kinsoku w:val="0"/>
        <w:overflowPunct w:val="0"/>
        <w:autoSpaceDE w:val="0"/>
        <w:autoSpaceDN w:val="0"/>
        <w:adjustRightInd w:val="0"/>
        <w:spacing w:after="0" w:line="240" w:lineRule="auto"/>
        <w:ind w:left="90"/>
        <w:rPr>
          <w:rFonts w:cstheme="minorHAnsi"/>
        </w:rPr>
      </w:pPr>
    </w:p>
    <w:p w14:paraId="47E8B81D" w14:textId="31959461" w:rsidR="00F26900" w:rsidRPr="005F78EE" w:rsidRDefault="00F26900" w:rsidP="00D63204">
      <w:pPr>
        <w:pStyle w:val="ListParagraph"/>
        <w:numPr>
          <w:ilvl w:val="0"/>
          <w:numId w:val="101"/>
        </w:numPr>
        <w:kinsoku w:val="0"/>
        <w:overflowPunct w:val="0"/>
        <w:autoSpaceDE w:val="0"/>
        <w:autoSpaceDN w:val="0"/>
        <w:adjustRightInd w:val="0"/>
        <w:spacing w:after="0" w:line="240" w:lineRule="auto"/>
        <w:rPr>
          <w:rFonts w:eastAsiaTheme="minorHAnsi" w:cstheme="minorHAnsi"/>
        </w:rPr>
      </w:pPr>
      <w:r>
        <w:rPr>
          <w:rFonts w:eastAsiaTheme="minorHAnsi" w:cstheme="minorHAnsi"/>
        </w:rPr>
        <w:t xml:space="preserve">VR </w:t>
      </w:r>
      <w:r w:rsidR="003F64C7">
        <w:rPr>
          <w:rFonts w:eastAsiaTheme="minorHAnsi" w:cstheme="minorHAnsi"/>
        </w:rPr>
        <w:t>agrees</w:t>
      </w:r>
      <w:r>
        <w:rPr>
          <w:rFonts w:eastAsiaTheme="minorHAnsi" w:cstheme="minorHAnsi"/>
        </w:rPr>
        <w:t xml:space="preserve"> with all aspects of the Counselor Recruitment and Retention recommendation and has every intention to continue these activities. </w:t>
      </w:r>
    </w:p>
    <w:p w14:paraId="45EC06DA" w14:textId="77777777" w:rsidR="00F26900" w:rsidRPr="008E42EC" w:rsidRDefault="00F26900" w:rsidP="00D63204">
      <w:pPr>
        <w:kinsoku w:val="0"/>
        <w:overflowPunct w:val="0"/>
        <w:autoSpaceDE w:val="0"/>
        <w:autoSpaceDN w:val="0"/>
        <w:adjustRightInd w:val="0"/>
        <w:spacing w:after="0" w:line="240" w:lineRule="auto"/>
        <w:ind w:left="90"/>
        <w:rPr>
          <w:rFonts w:cstheme="minorHAnsi"/>
          <w:b/>
        </w:rPr>
      </w:pPr>
    </w:p>
    <w:p w14:paraId="0ACFBCA1" w14:textId="77777777" w:rsidR="00F26900" w:rsidRPr="008E42EC" w:rsidRDefault="00F26900" w:rsidP="00D63204">
      <w:pPr>
        <w:kinsoku w:val="0"/>
        <w:overflowPunct w:val="0"/>
        <w:autoSpaceDE w:val="0"/>
        <w:autoSpaceDN w:val="0"/>
        <w:adjustRightInd w:val="0"/>
        <w:spacing w:after="0" w:line="240" w:lineRule="auto"/>
        <w:ind w:left="90"/>
        <w:rPr>
          <w:rFonts w:cstheme="minorHAnsi"/>
          <w:b/>
        </w:rPr>
      </w:pPr>
      <w:r w:rsidRPr="008E42EC">
        <w:rPr>
          <w:rFonts w:cstheme="minorHAnsi"/>
          <w:b/>
        </w:rPr>
        <w:t>Public Forum Summary</w:t>
      </w:r>
    </w:p>
    <w:p w14:paraId="5E842163" w14:textId="2CE9EC17" w:rsidR="00F26900" w:rsidRPr="008E42EC" w:rsidRDefault="00F26900" w:rsidP="00D63204">
      <w:pPr>
        <w:kinsoku w:val="0"/>
        <w:overflowPunct w:val="0"/>
        <w:autoSpaceDE w:val="0"/>
        <w:autoSpaceDN w:val="0"/>
        <w:adjustRightInd w:val="0"/>
        <w:spacing w:after="0" w:line="240" w:lineRule="auto"/>
        <w:ind w:left="90"/>
        <w:rPr>
          <w:rFonts w:cstheme="minorHAnsi"/>
        </w:rPr>
      </w:pPr>
      <w:r w:rsidRPr="008E42EC">
        <w:rPr>
          <w:rFonts w:cstheme="minorHAnsi"/>
        </w:rPr>
        <w:t xml:space="preserve">The FRC </w:t>
      </w:r>
      <w:r w:rsidR="008B0CE6">
        <w:rPr>
          <w:rFonts w:cstheme="minorHAnsi"/>
        </w:rPr>
        <w:t xml:space="preserve">has </w:t>
      </w:r>
      <w:r w:rsidRPr="008E42EC">
        <w:rPr>
          <w:rFonts w:cstheme="minorHAnsi"/>
        </w:rPr>
        <w:t xml:space="preserve">spearheaded </w:t>
      </w:r>
      <w:r w:rsidR="00241273" w:rsidRPr="008E42EC">
        <w:rPr>
          <w:rFonts w:cstheme="minorHAnsi"/>
        </w:rPr>
        <w:t>many</w:t>
      </w:r>
      <w:r w:rsidRPr="008E42EC">
        <w:rPr>
          <w:rFonts w:cstheme="minorHAnsi"/>
        </w:rPr>
        <w:t xml:space="preserve"> technological improvements to the public forums, which are held quarterly in conjunction with the FRC meetings around the state and whenever substantive policy changes may require public input. There were </w:t>
      </w:r>
      <w:r w:rsidR="00241273">
        <w:rPr>
          <w:rFonts w:cstheme="minorHAnsi"/>
        </w:rPr>
        <w:t>four</w:t>
      </w:r>
      <w:r w:rsidRPr="008E42EC">
        <w:rPr>
          <w:rFonts w:cstheme="minorHAnsi"/>
        </w:rPr>
        <w:t xml:space="preserve"> public forums held during Fiscal Year (SFY) 2016-17. General areas of comment have included:</w:t>
      </w:r>
    </w:p>
    <w:p w14:paraId="0E01B5F3" w14:textId="77777777" w:rsidR="00F26900" w:rsidRPr="008E42EC" w:rsidRDefault="00F26900" w:rsidP="00D63204">
      <w:pPr>
        <w:kinsoku w:val="0"/>
        <w:overflowPunct w:val="0"/>
        <w:autoSpaceDE w:val="0"/>
        <w:autoSpaceDN w:val="0"/>
        <w:adjustRightInd w:val="0"/>
        <w:spacing w:after="0" w:line="240" w:lineRule="auto"/>
        <w:ind w:left="90"/>
        <w:rPr>
          <w:rFonts w:cstheme="minorHAnsi"/>
        </w:rPr>
      </w:pPr>
    </w:p>
    <w:p w14:paraId="72ADDCBA" w14:textId="2DE5D939" w:rsidR="00F26900" w:rsidRDefault="00F26900" w:rsidP="00D63204">
      <w:pPr>
        <w:pStyle w:val="ListParagraph"/>
        <w:numPr>
          <w:ilvl w:val="0"/>
          <w:numId w:val="101"/>
        </w:numPr>
        <w:kinsoku w:val="0"/>
        <w:overflowPunct w:val="0"/>
        <w:autoSpaceDE w:val="0"/>
        <w:autoSpaceDN w:val="0"/>
        <w:adjustRightInd w:val="0"/>
        <w:spacing w:after="0" w:line="240" w:lineRule="auto"/>
        <w:rPr>
          <w:rFonts w:eastAsiaTheme="minorHAnsi" w:cstheme="minorHAnsi"/>
        </w:rPr>
      </w:pPr>
      <w:r w:rsidRPr="008E42EC">
        <w:rPr>
          <w:rFonts w:eastAsiaTheme="minorHAnsi" w:cstheme="minorHAnsi"/>
        </w:rPr>
        <w:t>Transportation concerns</w:t>
      </w:r>
    </w:p>
    <w:p w14:paraId="65CB24F0" w14:textId="77777777" w:rsidR="00380AB5" w:rsidRPr="008E42EC" w:rsidRDefault="00380AB5" w:rsidP="00D63204">
      <w:pPr>
        <w:pStyle w:val="ListParagraph"/>
        <w:kinsoku w:val="0"/>
        <w:overflowPunct w:val="0"/>
        <w:autoSpaceDE w:val="0"/>
        <w:autoSpaceDN w:val="0"/>
        <w:adjustRightInd w:val="0"/>
        <w:spacing w:after="0" w:line="240" w:lineRule="auto"/>
        <w:ind w:left="810"/>
        <w:rPr>
          <w:rFonts w:eastAsiaTheme="minorHAnsi" w:cstheme="minorHAnsi"/>
        </w:rPr>
      </w:pPr>
    </w:p>
    <w:p w14:paraId="12F9C748" w14:textId="0BF2CB71" w:rsidR="00F26900" w:rsidRDefault="00F26900" w:rsidP="00D63204">
      <w:pPr>
        <w:pStyle w:val="ListParagraph"/>
        <w:numPr>
          <w:ilvl w:val="0"/>
          <w:numId w:val="101"/>
        </w:numPr>
        <w:kinsoku w:val="0"/>
        <w:overflowPunct w:val="0"/>
        <w:autoSpaceDE w:val="0"/>
        <w:autoSpaceDN w:val="0"/>
        <w:adjustRightInd w:val="0"/>
        <w:spacing w:after="0" w:line="240" w:lineRule="auto"/>
        <w:rPr>
          <w:rFonts w:eastAsiaTheme="minorHAnsi" w:cstheme="minorHAnsi"/>
        </w:rPr>
      </w:pPr>
      <w:r w:rsidRPr="008E42EC">
        <w:rPr>
          <w:rFonts w:eastAsiaTheme="minorHAnsi" w:cstheme="minorHAnsi"/>
        </w:rPr>
        <w:t>Customer orientation information</w:t>
      </w:r>
    </w:p>
    <w:p w14:paraId="7C7363C5" w14:textId="77777777" w:rsidR="00380AB5" w:rsidRPr="008E42EC" w:rsidRDefault="00380AB5" w:rsidP="00D63204">
      <w:pPr>
        <w:pStyle w:val="ListParagraph"/>
        <w:kinsoku w:val="0"/>
        <w:overflowPunct w:val="0"/>
        <w:autoSpaceDE w:val="0"/>
        <w:autoSpaceDN w:val="0"/>
        <w:adjustRightInd w:val="0"/>
        <w:spacing w:after="0" w:line="240" w:lineRule="auto"/>
        <w:ind w:left="810"/>
        <w:rPr>
          <w:rFonts w:eastAsiaTheme="minorHAnsi" w:cstheme="minorHAnsi"/>
        </w:rPr>
      </w:pPr>
    </w:p>
    <w:p w14:paraId="135EC470" w14:textId="65EFF25E" w:rsidR="00F26900" w:rsidRDefault="00F26900" w:rsidP="00D63204">
      <w:pPr>
        <w:pStyle w:val="ListParagraph"/>
        <w:numPr>
          <w:ilvl w:val="0"/>
          <w:numId w:val="101"/>
        </w:numPr>
        <w:kinsoku w:val="0"/>
        <w:overflowPunct w:val="0"/>
        <w:autoSpaceDE w:val="0"/>
        <w:autoSpaceDN w:val="0"/>
        <w:adjustRightInd w:val="0"/>
        <w:spacing w:after="0" w:line="240" w:lineRule="auto"/>
        <w:rPr>
          <w:rFonts w:eastAsiaTheme="minorHAnsi" w:cstheme="minorHAnsi"/>
        </w:rPr>
      </w:pPr>
      <w:r w:rsidRPr="008E42EC">
        <w:rPr>
          <w:rFonts w:eastAsiaTheme="minorHAnsi" w:cstheme="minorHAnsi"/>
        </w:rPr>
        <w:t>Customer expectations</w:t>
      </w:r>
    </w:p>
    <w:p w14:paraId="4131FBB5" w14:textId="77777777" w:rsidR="00380AB5" w:rsidRPr="008E42EC" w:rsidRDefault="00380AB5" w:rsidP="00D63204">
      <w:pPr>
        <w:pStyle w:val="ListParagraph"/>
        <w:kinsoku w:val="0"/>
        <w:overflowPunct w:val="0"/>
        <w:autoSpaceDE w:val="0"/>
        <w:autoSpaceDN w:val="0"/>
        <w:adjustRightInd w:val="0"/>
        <w:spacing w:after="0" w:line="240" w:lineRule="auto"/>
        <w:ind w:left="810"/>
        <w:rPr>
          <w:rFonts w:eastAsiaTheme="minorHAnsi" w:cstheme="minorHAnsi"/>
        </w:rPr>
      </w:pPr>
    </w:p>
    <w:p w14:paraId="35A2C7C4" w14:textId="345EC6B7" w:rsidR="00F26900" w:rsidRDefault="00F26900" w:rsidP="00D63204">
      <w:pPr>
        <w:pStyle w:val="ListParagraph"/>
        <w:numPr>
          <w:ilvl w:val="0"/>
          <w:numId w:val="101"/>
        </w:numPr>
        <w:kinsoku w:val="0"/>
        <w:overflowPunct w:val="0"/>
        <w:autoSpaceDE w:val="0"/>
        <w:autoSpaceDN w:val="0"/>
        <w:adjustRightInd w:val="0"/>
        <w:spacing w:after="0" w:line="240" w:lineRule="auto"/>
        <w:rPr>
          <w:rFonts w:eastAsiaTheme="minorHAnsi" w:cstheme="minorHAnsi"/>
        </w:rPr>
      </w:pPr>
      <w:r w:rsidRPr="008E42EC">
        <w:rPr>
          <w:rFonts w:eastAsiaTheme="minorHAnsi" w:cstheme="minorHAnsi"/>
        </w:rPr>
        <w:t>Transition</w:t>
      </w:r>
    </w:p>
    <w:p w14:paraId="555186C2" w14:textId="77777777" w:rsidR="00380AB5" w:rsidRPr="00380AB5" w:rsidRDefault="00380AB5" w:rsidP="00380AB5">
      <w:pPr>
        <w:pStyle w:val="ListParagraph"/>
        <w:rPr>
          <w:rFonts w:eastAsiaTheme="minorHAnsi" w:cstheme="minorHAnsi"/>
        </w:rPr>
      </w:pPr>
    </w:p>
    <w:p w14:paraId="40D68431" w14:textId="2152E124" w:rsidR="00F26900" w:rsidRDefault="00F26900" w:rsidP="00D63204">
      <w:pPr>
        <w:pStyle w:val="ListParagraph"/>
        <w:numPr>
          <w:ilvl w:val="0"/>
          <w:numId w:val="101"/>
        </w:numPr>
        <w:kinsoku w:val="0"/>
        <w:overflowPunct w:val="0"/>
        <w:autoSpaceDE w:val="0"/>
        <w:autoSpaceDN w:val="0"/>
        <w:adjustRightInd w:val="0"/>
        <w:spacing w:after="0" w:line="240" w:lineRule="auto"/>
        <w:rPr>
          <w:rFonts w:eastAsiaTheme="minorHAnsi" w:cstheme="minorHAnsi"/>
        </w:rPr>
      </w:pPr>
      <w:r w:rsidRPr="008E42EC">
        <w:rPr>
          <w:rFonts w:eastAsiaTheme="minorHAnsi" w:cstheme="minorHAnsi"/>
        </w:rPr>
        <w:t>Agency hiring persons with disabilities</w:t>
      </w:r>
    </w:p>
    <w:p w14:paraId="0393E3CB" w14:textId="77777777" w:rsidR="00380AB5" w:rsidRPr="008E42EC" w:rsidRDefault="00380AB5" w:rsidP="00D63204">
      <w:pPr>
        <w:pStyle w:val="ListParagraph"/>
        <w:kinsoku w:val="0"/>
        <w:overflowPunct w:val="0"/>
        <w:autoSpaceDE w:val="0"/>
        <w:autoSpaceDN w:val="0"/>
        <w:adjustRightInd w:val="0"/>
        <w:spacing w:after="0" w:line="240" w:lineRule="auto"/>
        <w:ind w:left="810"/>
        <w:rPr>
          <w:rFonts w:eastAsiaTheme="minorHAnsi" w:cstheme="minorHAnsi"/>
        </w:rPr>
      </w:pPr>
    </w:p>
    <w:p w14:paraId="009A2B6A" w14:textId="5D7B5FA8" w:rsidR="00F26900" w:rsidRDefault="00F26900" w:rsidP="00D63204">
      <w:pPr>
        <w:pStyle w:val="ListParagraph"/>
        <w:numPr>
          <w:ilvl w:val="0"/>
          <w:numId w:val="101"/>
        </w:numPr>
        <w:kinsoku w:val="0"/>
        <w:overflowPunct w:val="0"/>
        <w:autoSpaceDE w:val="0"/>
        <w:autoSpaceDN w:val="0"/>
        <w:adjustRightInd w:val="0"/>
        <w:spacing w:after="0" w:line="240" w:lineRule="auto"/>
        <w:rPr>
          <w:rFonts w:eastAsiaTheme="minorHAnsi" w:cstheme="minorHAnsi"/>
        </w:rPr>
      </w:pPr>
      <w:r w:rsidRPr="008E42EC">
        <w:rPr>
          <w:rFonts w:eastAsiaTheme="minorHAnsi" w:cstheme="minorHAnsi"/>
        </w:rPr>
        <w:t>Outreach to individuals who speak Spanish or Creole</w:t>
      </w:r>
    </w:p>
    <w:p w14:paraId="6111866C" w14:textId="77777777" w:rsidR="00380AB5" w:rsidRPr="008E42EC" w:rsidRDefault="00380AB5" w:rsidP="00D63204">
      <w:pPr>
        <w:pStyle w:val="ListParagraph"/>
        <w:kinsoku w:val="0"/>
        <w:overflowPunct w:val="0"/>
        <w:autoSpaceDE w:val="0"/>
        <w:autoSpaceDN w:val="0"/>
        <w:adjustRightInd w:val="0"/>
        <w:spacing w:after="0" w:line="240" w:lineRule="auto"/>
        <w:ind w:left="810"/>
        <w:rPr>
          <w:rFonts w:eastAsiaTheme="minorHAnsi" w:cstheme="minorHAnsi"/>
        </w:rPr>
      </w:pPr>
    </w:p>
    <w:p w14:paraId="35802C4B" w14:textId="17EED381" w:rsidR="00F26900" w:rsidRDefault="00F26900" w:rsidP="00D63204">
      <w:pPr>
        <w:pStyle w:val="ListParagraph"/>
        <w:numPr>
          <w:ilvl w:val="0"/>
          <w:numId w:val="101"/>
        </w:numPr>
        <w:kinsoku w:val="0"/>
        <w:overflowPunct w:val="0"/>
        <w:autoSpaceDE w:val="0"/>
        <w:autoSpaceDN w:val="0"/>
        <w:adjustRightInd w:val="0"/>
        <w:spacing w:after="0" w:line="240" w:lineRule="auto"/>
        <w:rPr>
          <w:rFonts w:eastAsiaTheme="minorHAnsi" w:cstheme="minorHAnsi"/>
        </w:rPr>
      </w:pPr>
      <w:r w:rsidRPr="008E42EC">
        <w:rPr>
          <w:rFonts w:eastAsiaTheme="minorHAnsi" w:cstheme="minorHAnsi"/>
        </w:rPr>
        <w:t>Communication with VR staff</w:t>
      </w:r>
    </w:p>
    <w:p w14:paraId="4034B7A8" w14:textId="77777777" w:rsidR="00380AB5" w:rsidRPr="008E42EC" w:rsidRDefault="00380AB5" w:rsidP="00D63204">
      <w:pPr>
        <w:pStyle w:val="ListParagraph"/>
        <w:kinsoku w:val="0"/>
        <w:overflowPunct w:val="0"/>
        <w:autoSpaceDE w:val="0"/>
        <w:autoSpaceDN w:val="0"/>
        <w:adjustRightInd w:val="0"/>
        <w:spacing w:after="0" w:line="240" w:lineRule="auto"/>
        <w:ind w:left="810"/>
        <w:rPr>
          <w:rFonts w:eastAsiaTheme="minorHAnsi" w:cstheme="minorHAnsi"/>
        </w:rPr>
      </w:pPr>
    </w:p>
    <w:p w14:paraId="1130083A" w14:textId="257554CE" w:rsidR="00F26900" w:rsidRDefault="00F26900" w:rsidP="00D63204">
      <w:pPr>
        <w:pStyle w:val="ListParagraph"/>
        <w:numPr>
          <w:ilvl w:val="0"/>
          <w:numId w:val="101"/>
        </w:numPr>
        <w:kinsoku w:val="0"/>
        <w:overflowPunct w:val="0"/>
        <w:autoSpaceDE w:val="0"/>
        <w:autoSpaceDN w:val="0"/>
        <w:adjustRightInd w:val="0"/>
        <w:spacing w:after="0" w:line="240" w:lineRule="auto"/>
        <w:rPr>
          <w:rFonts w:eastAsiaTheme="minorHAnsi" w:cstheme="minorHAnsi"/>
        </w:rPr>
      </w:pPr>
      <w:r w:rsidRPr="008E42EC">
        <w:rPr>
          <w:rFonts w:eastAsiaTheme="minorHAnsi" w:cstheme="minorHAnsi"/>
        </w:rPr>
        <w:t>Veterans applying for VR services</w:t>
      </w:r>
    </w:p>
    <w:p w14:paraId="21433B54" w14:textId="77777777" w:rsidR="00380AB5" w:rsidRPr="008E42EC" w:rsidRDefault="00380AB5" w:rsidP="00D63204">
      <w:pPr>
        <w:pStyle w:val="ListParagraph"/>
        <w:kinsoku w:val="0"/>
        <w:overflowPunct w:val="0"/>
        <w:autoSpaceDE w:val="0"/>
        <w:autoSpaceDN w:val="0"/>
        <w:adjustRightInd w:val="0"/>
        <w:spacing w:after="0" w:line="240" w:lineRule="auto"/>
        <w:ind w:left="810"/>
        <w:rPr>
          <w:rFonts w:eastAsiaTheme="minorHAnsi" w:cstheme="minorHAnsi"/>
        </w:rPr>
      </w:pPr>
    </w:p>
    <w:p w14:paraId="7AB842E1" w14:textId="00F20E36" w:rsidR="00F26900" w:rsidRDefault="00F26900" w:rsidP="00D63204">
      <w:pPr>
        <w:pStyle w:val="ListParagraph"/>
        <w:numPr>
          <w:ilvl w:val="0"/>
          <w:numId w:val="101"/>
        </w:numPr>
        <w:kinsoku w:val="0"/>
        <w:overflowPunct w:val="0"/>
        <w:autoSpaceDE w:val="0"/>
        <w:autoSpaceDN w:val="0"/>
        <w:adjustRightInd w:val="0"/>
        <w:spacing w:after="0" w:line="240" w:lineRule="auto"/>
        <w:rPr>
          <w:rFonts w:eastAsiaTheme="minorHAnsi" w:cstheme="minorHAnsi"/>
        </w:rPr>
      </w:pPr>
      <w:r w:rsidRPr="008E42EC">
        <w:rPr>
          <w:rFonts w:eastAsiaTheme="minorHAnsi" w:cstheme="minorHAnsi"/>
        </w:rPr>
        <w:lastRenderedPageBreak/>
        <w:t xml:space="preserve">Small business development </w:t>
      </w:r>
    </w:p>
    <w:p w14:paraId="6117D64D" w14:textId="77777777" w:rsidR="00380AB5" w:rsidRPr="008E42EC" w:rsidRDefault="00380AB5" w:rsidP="00D63204">
      <w:pPr>
        <w:pStyle w:val="ListParagraph"/>
        <w:kinsoku w:val="0"/>
        <w:overflowPunct w:val="0"/>
        <w:autoSpaceDE w:val="0"/>
        <w:autoSpaceDN w:val="0"/>
        <w:adjustRightInd w:val="0"/>
        <w:spacing w:after="0" w:line="240" w:lineRule="auto"/>
        <w:ind w:left="810"/>
        <w:rPr>
          <w:rFonts w:eastAsiaTheme="minorHAnsi" w:cstheme="minorHAnsi"/>
        </w:rPr>
      </w:pPr>
    </w:p>
    <w:p w14:paraId="09EA9938" w14:textId="63E3C3EA" w:rsidR="00F26900" w:rsidRDefault="00F26900" w:rsidP="00D63204">
      <w:pPr>
        <w:pStyle w:val="ListParagraph"/>
        <w:numPr>
          <w:ilvl w:val="0"/>
          <w:numId w:val="101"/>
        </w:numPr>
        <w:kinsoku w:val="0"/>
        <w:overflowPunct w:val="0"/>
        <w:autoSpaceDE w:val="0"/>
        <w:autoSpaceDN w:val="0"/>
        <w:adjustRightInd w:val="0"/>
        <w:spacing w:after="0" w:line="240" w:lineRule="auto"/>
        <w:rPr>
          <w:rFonts w:eastAsiaTheme="minorHAnsi" w:cstheme="minorHAnsi"/>
        </w:rPr>
      </w:pPr>
      <w:r w:rsidRPr="008E42EC">
        <w:rPr>
          <w:rFonts w:eastAsiaTheme="minorHAnsi" w:cstheme="minorHAnsi"/>
        </w:rPr>
        <w:t>Certified Business Technical Assistance Consultants (CBTACs)</w:t>
      </w:r>
    </w:p>
    <w:p w14:paraId="33DFCF7C" w14:textId="77777777" w:rsidR="00380AB5" w:rsidRPr="008E42EC" w:rsidRDefault="00380AB5" w:rsidP="00D63204">
      <w:pPr>
        <w:pStyle w:val="ListParagraph"/>
        <w:kinsoku w:val="0"/>
        <w:overflowPunct w:val="0"/>
        <w:autoSpaceDE w:val="0"/>
        <w:autoSpaceDN w:val="0"/>
        <w:adjustRightInd w:val="0"/>
        <w:spacing w:after="0" w:line="240" w:lineRule="auto"/>
        <w:ind w:left="810"/>
        <w:rPr>
          <w:rFonts w:eastAsiaTheme="minorHAnsi" w:cstheme="minorHAnsi"/>
        </w:rPr>
      </w:pPr>
    </w:p>
    <w:p w14:paraId="0804A6FB" w14:textId="77777777" w:rsidR="00F26900" w:rsidRPr="008E42EC" w:rsidRDefault="00F26900" w:rsidP="00D63204">
      <w:pPr>
        <w:pStyle w:val="ListParagraph"/>
        <w:numPr>
          <w:ilvl w:val="0"/>
          <w:numId w:val="101"/>
        </w:numPr>
        <w:kinsoku w:val="0"/>
        <w:overflowPunct w:val="0"/>
        <w:autoSpaceDE w:val="0"/>
        <w:autoSpaceDN w:val="0"/>
        <w:adjustRightInd w:val="0"/>
        <w:spacing w:after="0" w:line="240" w:lineRule="auto"/>
        <w:rPr>
          <w:rFonts w:eastAsiaTheme="minorHAnsi" w:cstheme="minorHAnsi"/>
        </w:rPr>
      </w:pPr>
      <w:r w:rsidRPr="008E42EC">
        <w:rPr>
          <w:rFonts w:eastAsiaTheme="minorHAnsi" w:cstheme="minorHAnsi"/>
        </w:rPr>
        <w:t>Vend</w:t>
      </w:r>
      <w:r>
        <w:rPr>
          <w:rFonts w:eastAsiaTheme="minorHAnsi" w:cstheme="minorHAnsi"/>
        </w:rPr>
        <w:t>or referrals</w:t>
      </w:r>
    </w:p>
    <w:p w14:paraId="3586900D" w14:textId="77777777" w:rsidR="00F26900" w:rsidRPr="008E42EC" w:rsidRDefault="00F26900" w:rsidP="00D63204">
      <w:pPr>
        <w:kinsoku w:val="0"/>
        <w:overflowPunct w:val="0"/>
        <w:autoSpaceDE w:val="0"/>
        <w:autoSpaceDN w:val="0"/>
        <w:adjustRightInd w:val="0"/>
        <w:spacing w:after="0" w:line="240" w:lineRule="auto"/>
        <w:ind w:left="90"/>
        <w:rPr>
          <w:rFonts w:cstheme="minorHAnsi"/>
        </w:rPr>
      </w:pPr>
    </w:p>
    <w:p w14:paraId="3E7173E3" w14:textId="4147A3DF" w:rsidR="00EA7458" w:rsidRDefault="006008DA" w:rsidP="00D63204">
      <w:pPr>
        <w:widowControl w:val="0"/>
        <w:spacing w:after="0" w:line="240" w:lineRule="auto"/>
        <w:ind w:left="90"/>
        <w:rPr>
          <w:rFonts w:cstheme="minorHAnsi"/>
        </w:rPr>
      </w:pPr>
      <w:r>
        <w:rPr>
          <w:rFonts w:cstheme="minorHAnsi"/>
        </w:rPr>
        <w:t xml:space="preserve">The FRC </w:t>
      </w:r>
      <w:r w:rsidR="008B0CE6">
        <w:rPr>
          <w:rFonts w:cstheme="minorHAnsi"/>
        </w:rPr>
        <w:t>continues to support</w:t>
      </w:r>
      <w:r w:rsidR="00F26900" w:rsidRPr="008E42EC">
        <w:rPr>
          <w:rFonts w:cstheme="minorHAnsi"/>
        </w:rPr>
        <w:t xml:space="preserve"> public access via telephone and have</w:t>
      </w:r>
      <w:r w:rsidR="008B0CE6">
        <w:rPr>
          <w:rFonts w:cstheme="minorHAnsi"/>
        </w:rPr>
        <w:t xml:space="preserve"> also</w:t>
      </w:r>
      <w:r w:rsidR="00F26900" w:rsidRPr="008E42EC">
        <w:rPr>
          <w:rFonts w:cstheme="minorHAnsi"/>
        </w:rPr>
        <w:t xml:space="preserve"> offered web based communication platforms for meeting access. In addition to the </w:t>
      </w:r>
      <w:r w:rsidR="00C64A81" w:rsidRPr="008E42EC">
        <w:rPr>
          <w:rFonts w:cstheme="minorHAnsi"/>
        </w:rPr>
        <w:t>platforms</w:t>
      </w:r>
      <w:r w:rsidR="00F26900" w:rsidRPr="008E42EC">
        <w:rPr>
          <w:rFonts w:cstheme="minorHAnsi"/>
        </w:rPr>
        <w:t xml:space="preserve">, </w:t>
      </w:r>
      <w:r w:rsidR="008B0CE6">
        <w:rPr>
          <w:rFonts w:cstheme="minorHAnsi"/>
        </w:rPr>
        <w:t>we continue to</w:t>
      </w:r>
      <w:r>
        <w:rPr>
          <w:rFonts w:cstheme="minorHAnsi"/>
        </w:rPr>
        <w:t xml:space="preserve"> </w:t>
      </w:r>
      <w:r w:rsidR="00F26900" w:rsidRPr="008E42EC">
        <w:rPr>
          <w:rFonts w:cstheme="minorHAnsi"/>
        </w:rPr>
        <w:t>encourage in-person attendance in varying locations throughout the state.</w:t>
      </w:r>
    </w:p>
    <w:p w14:paraId="64ABB786" w14:textId="77777777" w:rsidR="00380AB5" w:rsidRDefault="00380AB5" w:rsidP="00D63204">
      <w:pPr>
        <w:widowControl w:val="0"/>
        <w:spacing w:after="0" w:line="240" w:lineRule="auto"/>
        <w:ind w:left="90"/>
        <w:rPr>
          <w:rFonts w:cstheme="minorHAnsi"/>
        </w:rPr>
      </w:pPr>
    </w:p>
    <w:p w14:paraId="08184AD8" w14:textId="77777777" w:rsidR="00380AB5" w:rsidRPr="00EA7458" w:rsidRDefault="00380AB5" w:rsidP="00D63204">
      <w:pPr>
        <w:widowControl w:val="0"/>
        <w:spacing w:after="0" w:line="240" w:lineRule="auto"/>
        <w:ind w:left="90"/>
        <w:rPr>
          <w:rFonts w:ascii="Calibri" w:hAnsi="Calibri" w:cs="Calibri"/>
          <w:sz w:val="14"/>
          <w:szCs w:val="14"/>
        </w:rPr>
      </w:pPr>
    </w:p>
    <w:p w14:paraId="7AEA7836" w14:textId="77777777" w:rsidR="009E593C" w:rsidRPr="003C027A" w:rsidRDefault="009E593C" w:rsidP="00D63204">
      <w:pPr>
        <w:widowControl w:val="0"/>
        <w:spacing w:after="0" w:line="240" w:lineRule="auto"/>
        <w:ind w:left="90"/>
        <w:rPr>
          <w:rFonts w:cstheme="minorHAnsi"/>
          <w:b/>
        </w:rPr>
      </w:pPr>
      <w:r w:rsidRPr="003C027A">
        <w:rPr>
          <w:rFonts w:cstheme="minorHAnsi"/>
          <w:b/>
        </w:rPr>
        <w:t>Customer Satisfaction Survey</w:t>
      </w:r>
    </w:p>
    <w:p w14:paraId="10129765" w14:textId="77777777" w:rsidR="009E593C" w:rsidRPr="008E42EC" w:rsidRDefault="009E593C" w:rsidP="009E593C">
      <w:pPr>
        <w:kinsoku w:val="0"/>
        <w:overflowPunct w:val="0"/>
        <w:autoSpaceDE w:val="0"/>
        <w:autoSpaceDN w:val="0"/>
        <w:adjustRightInd w:val="0"/>
        <w:spacing w:after="0" w:line="240" w:lineRule="auto"/>
        <w:rPr>
          <w:rFonts w:cstheme="minorHAnsi"/>
        </w:rPr>
      </w:pPr>
    </w:p>
    <w:p w14:paraId="3446C732" w14:textId="77777777" w:rsidR="009E593C" w:rsidRPr="008E42EC" w:rsidRDefault="009E593C" w:rsidP="00D63204">
      <w:pPr>
        <w:kinsoku w:val="0"/>
        <w:overflowPunct w:val="0"/>
        <w:autoSpaceDE w:val="0"/>
        <w:autoSpaceDN w:val="0"/>
        <w:adjustRightInd w:val="0"/>
        <w:spacing w:line="240" w:lineRule="auto"/>
        <w:ind w:left="90"/>
        <w:rPr>
          <w:rFonts w:cstheme="minorHAnsi"/>
        </w:rPr>
      </w:pPr>
      <w:r w:rsidRPr="008E42EC">
        <w:rPr>
          <w:rFonts w:cstheme="minorHAnsi"/>
        </w:rPr>
        <w:t xml:space="preserve">The FRC is required to review and analyze the effectiveness of and consumer satisfaction with VR agency functions, rehabilitation services and employment outcomes achieved by eligible individuals including the availability of health and other employment benefits. The FRC and VR contract with Market Decisions to obtain this information. The wealth of data is being used effectively by the FRC and VR to focus on specific areas of excellence for recognition as well as specific opportunities for improvement. Annual highlights from the SFY 2016-17 survey results are below. </w:t>
      </w:r>
    </w:p>
    <w:p w14:paraId="1A54AA46" w14:textId="77777777" w:rsidR="009E593C" w:rsidRPr="008E42EC" w:rsidRDefault="009E593C" w:rsidP="00D63204">
      <w:pPr>
        <w:tabs>
          <w:tab w:val="left" w:pos="7200"/>
        </w:tabs>
        <w:kinsoku w:val="0"/>
        <w:overflowPunct w:val="0"/>
        <w:autoSpaceDE w:val="0"/>
        <w:autoSpaceDN w:val="0"/>
        <w:adjustRightInd w:val="0"/>
        <w:spacing w:after="0" w:line="240" w:lineRule="auto"/>
        <w:ind w:left="90"/>
        <w:rPr>
          <w:rFonts w:cstheme="minorHAnsi"/>
        </w:rPr>
      </w:pPr>
      <w:r w:rsidRPr="008E42EC">
        <w:rPr>
          <w:rFonts w:cstheme="minorHAnsi"/>
        </w:rPr>
        <w:t>VR customers satisfied with Florida’s VR program................................................82%</w:t>
      </w:r>
    </w:p>
    <w:p w14:paraId="3D15027E" w14:textId="72352439" w:rsidR="009E593C" w:rsidRPr="008E42EC" w:rsidRDefault="009E593C" w:rsidP="00D63204">
      <w:pPr>
        <w:kinsoku w:val="0"/>
        <w:overflowPunct w:val="0"/>
        <w:autoSpaceDE w:val="0"/>
        <w:autoSpaceDN w:val="0"/>
        <w:adjustRightInd w:val="0"/>
        <w:spacing w:after="0" w:line="240" w:lineRule="auto"/>
        <w:ind w:left="90"/>
        <w:rPr>
          <w:rFonts w:cstheme="minorHAnsi"/>
        </w:rPr>
      </w:pPr>
      <w:r w:rsidRPr="008E42EC">
        <w:rPr>
          <w:rFonts w:cstheme="minorHAnsi"/>
        </w:rPr>
        <w:t>VR customers satisfied with the services provided by VR.....................................80%</w:t>
      </w:r>
    </w:p>
    <w:p w14:paraId="6A0D650D" w14:textId="6F3DA562" w:rsidR="009E593C" w:rsidRPr="008E42EC" w:rsidRDefault="009E593C" w:rsidP="00D63204">
      <w:pPr>
        <w:kinsoku w:val="0"/>
        <w:overflowPunct w:val="0"/>
        <w:autoSpaceDE w:val="0"/>
        <w:autoSpaceDN w:val="0"/>
        <w:adjustRightInd w:val="0"/>
        <w:spacing w:after="0" w:line="240" w:lineRule="auto"/>
        <w:ind w:left="90"/>
        <w:rPr>
          <w:rFonts w:cstheme="minorHAnsi"/>
        </w:rPr>
      </w:pPr>
      <w:r w:rsidRPr="008E42EC">
        <w:rPr>
          <w:rFonts w:cstheme="minorHAnsi"/>
        </w:rPr>
        <w:t>VR customers satisfied with their involvement in their VR experience.................83%</w:t>
      </w:r>
    </w:p>
    <w:p w14:paraId="1EEA964A" w14:textId="74C0DE7B" w:rsidR="009E593C" w:rsidRPr="008E42EC" w:rsidRDefault="009E593C" w:rsidP="00D63204">
      <w:pPr>
        <w:kinsoku w:val="0"/>
        <w:overflowPunct w:val="0"/>
        <w:autoSpaceDE w:val="0"/>
        <w:autoSpaceDN w:val="0"/>
        <w:adjustRightInd w:val="0"/>
        <w:spacing w:after="0" w:line="240" w:lineRule="auto"/>
        <w:ind w:left="90"/>
        <w:rPr>
          <w:rFonts w:cstheme="minorHAnsi"/>
        </w:rPr>
      </w:pPr>
      <w:r w:rsidRPr="008E42EC">
        <w:rPr>
          <w:rFonts w:cstheme="minorHAnsi"/>
        </w:rPr>
        <w:t>VR customers who say VR staff treated them with dignity and respect................95%</w:t>
      </w:r>
    </w:p>
    <w:p w14:paraId="2894644F" w14:textId="754C32E2" w:rsidR="009E593C" w:rsidRPr="008E42EC" w:rsidRDefault="009E593C" w:rsidP="00D63204">
      <w:pPr>
        <w:kinsoku w:val="0"/>
        <w:overflowPunct w:val="0"/>
        <w:autoSpaceDE w:val="0"/>
        <w:autoSpaceDN w:val="0"/>
        <w:adjustRightInd w:val="0"/>
        <w:spacing w:after="0" w:line="240" w:lineRule="auto"/>
        <w:ind w:left="90"/>
        <w:rPr>
          <w:rFonts w:cstheme="minorHAnsi"/>
        </w:rPr>
      </w:pPr>
      <w:r w:rsidRPr="008E42EC">
        <w:rPr>
          <w:rFonts w:cstheme="minorHAnsi"/>
        </w:rPr>
        <w:t>VR customers satisfied with their choice of vocational goal..................................82%</w:t>
      </w:r>
    </w:p>
    <w:p w14:paraId="5FD8F2DB" w14:textId="6CA4AB2E" w:rsidR="009E593C" w:rsidRPr="008E42EC" w:rsidRDefault="009E593C" w:rsidP="00D63204">
      <w:pPr>
        <w:kinsoku w:val="0"/>
        <w:overflowPunct w:val="0"/>
        <w:autoSpaceDE w:val="0"/>
        <w:autoSpaceDN w:val="0"/>
        <w:adjustRightInd w:val="0"/>
        <w:spacing w:after="0" w:line="240" w:lineRule="auto"/>
        <w:ind w:left="90"/>
        <w:rPr>
          <w:rFonts w:cstheme="minorHAnsi"/>
        </w:rPr>
      </w:pPr>
      <w:r w:rsidRPr="008E42EC">
        <w:rPr>
          <w:rFonts w:cstheme="minorHAnsi"/>
        </w:rPr>
        <w:t>VR customers who say VR staff were helpful in achieving their job goal..............</w:t>
      </w:r>
      <w:r w:rsidR="003C027A">
        <w:rPr>
          <w:rFonts w:cstheme="minorHAnsi"/>
        </w:rPr>
        <w:t>.</w:t>
      </w:r>
      <w:r w:rsidRPr="008E42EC">
        <w:rPr>
          <w:rFonts w:cstheme="minorHAnsi"/>
        </w:rPr>
        <w:t>88%</w:t>
      </w:r>
    </w:p>
    <w:p w14:paraId="20E99254" w14:textId="77777777" w:rsidR="009E593C" w:rsidRPr="008E42EC" w:rsidRDefault="009E593C" w:rsidP="00D63204">
      <w:pPr>
        <w:kinsoku w:val="0"/>
        <w:overflowPunct w:val="0"/>
        <w:autoSpaceDE w:val="0"/>
        <w:autoSpaceDN w:val="0"/>
        <w:adjustRightInd w:val="0"/>
        <w:spacing w:after="0" w:line="240" w:lineRule="auto"/>
        <w:ind w:left="90"/>
        <w:rPr>
          <w:rFonts w:cstheme="minorHAnsi"/>
        </w:rPr>
      </w:pPr>
      <w:r w:rsidRPr="008E42EC">
        <w:rPr>
          <w:rFonts w:cstheme="minorHAnsi"/>
        </w:rPr>
        <w:t>VR customers who say the VR services they received helped</w:t>
      </w:r>
    </w:p>
    <w:p w14:paraId="3B9F6108" w14:textId="0A9AADF7" w:rsidR="009E593C" w:rsidRPr="008E42EC" w:rsidRDefault="009E593C" w:rsidP="00D63204">
      <w:pPr>
        <w:kinsoku w:val="0"/>
        <w:overflowPunct w:val="0"/>
        <w:autoSpaceDE w:val="0"/>
        <w:autoSpaceDN w:val="0"/>
        <w:adjustRightInd w:val="0"/>
        <w:spacing w:after="0" w:line="240" w:lineRule="auto"/>
        <w:ind w:left="90"/>
        <w:rPr>
          <w:rFonts w:cstheme="minorHAnsi"/>
        </w:rPr>
      </w:pPr>
      <w:r w:rsidRPr="008E42EC">
        <w:rPr>
          <w:rFonts w:cstheme="minorHAnsi"/>
        </w:rPr>
        <w:t>them become more independent.......................................................................</w:t>
      </w:r>
      <w:r w:rsidR="003C027A">
        <w:rPr>
          <w:rFonts w:cstheme="minorHAnsi"/>
        </w:rPr>
        <w:t>.</w:t>
      </w:r>
      <w:r w:rsidRPr="008E42EC">
        <w:rPr>
          <w:rFonts w:cstheme="minorHAnsi"/>
        </w:rPr>
        <w:t>...84%</w:t>
      </w:r>
    </w:p>
    <w:p w14:paraId="6C5A3271" w14:textId="77777777" w:rsidR="009E593C" w:rsidRPr="008E42EC" w:rsidRDefault="009E593C" w:rsidP="00D63204">
      <w:pPr>
        <w:kinsoku w:val="0"/>
        <w:overflowPunct w:val="0"/>
        <w:autoSpaceDE w:val="0"/>
        <w:autoSpaceDN w:val="0"/>
        <w:adjustRightInd w:val="0"/>
        <w:spacing w:after="0" w:line="240" w:lineRule="auto"/>
        <w:ind w:left="90"/>
        <w:rPr>
          <w:rFonts w:cstheme="minorHAnsi"/>
        </w:rPr>
      </w:pPr>
      <w:r w:rsidRPr="008E42EC">
        <w:rPr>
          <w:rFonts w:cstheme="minorHAnsi"/>
        </w:rPr>
        <w:t>VR customers who say the VR services they received helped</w:t>
      </w:r>
    </w:p>
    <w:p w14:paraId="5B4DFE47" w14:textId="4B580B93" w:rsidR="009E593C" w:rsidRPr="008E42EC" w:rsidRDefault="009E593C" w:rsidP="00D63204">
      <w:pPr>
        <w:kinsoku w:val="0"/>
        <w:overflowPunct w:val="0"/>
        <w:autoSpaceDE w:val="0"/>
        <w:autoSpaceDN w:val="0"/>
        <w:adjustRightInd w:val="0"/>
        <w:spacing w:after="0" w:line="240" w:lineRule="auto"/>
        <w:ind w:left="90"/>
        <w:rPr>
          <w:rFonts w:cstheme="minorHAnsi"/>
        </w:rPr>
      </w:pPr>
      <w:r w:rsidRPr="008E42EC">
        <w:rPr>
          <w:rFonts w:cstheme="minorHAnsi"/>
        </w:rPr>
        <w:t>them become more financially independent.....................................................</w:t>
      </w:r>
      <w:r w:rsidR="003C027A">
        <w:rPr>
          <w:rFonts w:cstheme="minorHAnsi"/>
        </w:rPr>
        <w:t>.....</w:t>
      </w:r>
      <w:r w:rsidRPr="008E42EC">
        <w:rPr>
          <w:rFonts w:cstheme="minorHAnsi"/>
        </w:rPr>
        <w:t>80%</w:t>
      </w:r>
    </w:p>
    <w:p w14:paraId="5A20D2EB" w14:textId="5930CEF4" w:rsidR="009E593C" w:rsidRPr="008E42EC" w:rsidRDefault="009E593C" w:rsidP="00D63204">
      <w:pPr>
        <w:kinsoku w:val="0"/>
        <w:overflowPunct w:val="0"/>
        <w:autoSpaceDE w:val="0"/>
        <w:autoSpaceDN w:val="0"/>
        <w:adjustRightInd w:val="0"/>
        <w:spacing w:after="0" w:line="240" w:lineRule="auto"/>
        <w:ind w:left="90"/>
        <w:rPr>
          <w:rFonts w:cstheme="minorHAnsi"/>
        </w:rPr>
      </w:pPr>
      <w:r w:rsidRPr="008E42EC">
        <w:rPr>
          <w:rFonts w:cstheme="minorHAnsi"/>
        </w:rPr>
        <w:t>VR customers satisfied with what they’re doing at their current job....................</w:t>
      </w:r>
      <w:r w:rsidR="003C027A">
        <w:rPr>
          <w:rFonts w:cstheme="minorHAnsi"/>
        </w:rPr>
        <w:t>.</w:t>
      </w:r>
      <w:r w:rsidRPr="008E42EC">
        <w:rPr>
          <w:rFonts w:cstheme="minorHAnsi"/>
        </w:rPr>
        <w:t>76%</w:t>
      </w:r>
    </w:p>
    <w:p w14:paraId="38485524" w14:textId="44E12DD8" w:rsidR="009E593C" w:rsidRPr="008E42EC" w:rsidRDefault="009E593C" w:rsidP="00D63204">
      <w:pPr>
        <w:kinsoku w:val="0"/>
        <w:overflowPunct w:val="0"/>
        <w:autoSpaceDE w:val="0"/>
        <w:autoSpaceDN w:val="0"/>
        <w:adjustRightInd w:val="0"/>
        <w:spacing w:after="0" w:line="240" w:lineRule="auto"/>
        <w:ind w:left="90"/>
        <w:rPr>
          <w:rFonts w:cstheme="minorHAnsi"/>
        </w:rPr>
      </w:pPr>
      <w:r w:rsidRPr="008E42EC">
        <w:rPr>
          <w:rFonts w:cstheme="minorHAnsi"/>
        </w:rPr>
        <w:t>VR customers who would tell their friends with disabilities to go to VR</w:t>
      </w:r>
      <w:r w:rsidR="003C027A">
        <w:rPr>
          <w:rFonts w:cstheme="minorHAnsi"/>
        </w:rPr>
        <w:t>………………</w:t>
      </w:r>
      <w:r w:rsidRPr="008E42EC">
        <w:rPr>
          <w:rFonts w:cstheme="minorHAnsi"/>
        </w:rPr>
        <w:t>90%</w:t>
      </w:r>
    </w:p>
    <w:p w14:paraId="4C9A5F8C" w14:textId="5B298583" w:rsidR="00EA7458" w:rsidRPr="00EA7458" w:rsidRDefault="00EA7458" w:rsidP="00D63204">
      <w:pPr>
        <w:widowControl w:val="0"/>
        <w:spacing w:after="0" w:line="264" w:lineRule="exact"/>
        <w:ind w:left="90" w:hanging="18"/>
        <w:rPr>
          <w:rFonts w:ascii="Calibri" w:hAnsi="Calibri"/>
        </w:rPr>
      </w:pPr>
    </w:p>
    <w:p w14:paraId="16770F65" w14:textId="72636AC7" w:rsidR="00EA7458" w:rsidRPr="00577AFF" w:rsidRDefault="00EA7458" w:rsidP="00D63204">
      <w:pPr>
        <w:pStyle w:val="ListParagraph"/>
        <w:widowControl w:val="0"/>
        <w:numPr>
          <w:ilvl w:val="0"/>
          <w:numId w:val="49"/>
        </w:numPr>
        <w:tabs>
          <w:tab w:val="left" w:pos="828"/>
        </w:tabs>
        <w:spacing w:before="52" w:after="0" w:line="240" w:lineRule="auto"/>
        <w:outlineLvl w:val="1"/>
        <w:rPr>
          <w:rFonts w:ascii="Calibri" w:hAnsi="Calibri"/>
          <w:sz w:val="26"/>
          <w:szCs w:val="26"/>
        </w:rPr>
      </w:pPr>
      <w:bookmarkStart w:id="138" w:name="_bookmark74"/>
      <w:bookmarkEnd w:id="138"/>
      <w:r w:rsidRPr="00577AFF">
        <w:rPr>
          <w:rFonts w:ascii="Calibri" w:hAnsi="Calibri"/>
          <w:b/>
          <w:bCs/>
          <w:color w:val="295CA3"/>
          <w:w w:val="105"/>
          <w:sz w:val="26"/>
          <w:szCs w:val="26"/>
        </w:rPr>
        <w:t>Request for Waiver of</w:t>
      </w:r>
      <w:r w:rsidRPr="00577AFF">
        <w:rPr>
          <w:rFonts w:ascii="Calibri" w:hAnsi="Calibri"/>
          <w:b/>
          <w:bCs/>
          <w:color w:val="295CA3"/>
          <w:spacing w:val="20"/>
          <w:w w:val="105"/>
          <w:sz w:val="26"/>
          <w:szCs w:val="26"/>
        </w:rPr>
        <w:t xml:space="preserve"> </w:t>
      </w:r>
      <w:r w:rsidRPr="00577AFF">
        <w:rPr>
          <w:rFonts w:ascii="Calibri" w:hAnsi="Calibri"/>
          <w:b/>
          <w:bCs/>
          <w:color w:val="295CA3"/>
          <w:w w:val="105"/>
          <w:sz w:val="26"/>
          <w:szCs w:val="26"/>
        </w:rPr>
        <w:t>Statewideness</w:t>
      </w:r>
    </w:p>
    <w:p w14:paraId="6009A226" w14:textId="77777777" w:rsidR="003C027A" w:rsidRPr="003C027A" w:rsidRDefault="003C027A" w:rsidP="00D63204">
      <w:pPr>
        <w:widowControl w:val="0"/>
        <w:spacing w:before="184" w:after="0" w:line="240" w:lineRule="auto"/>
        <w:ind w:left="107"/>
        <w:rPr>
          <w:rFonts w:ascii="Calibri" w:hAnsi="Calibri"/>
          <w:b/>
        </w:rPr>
      </w:pPr>
      <w:r w:rsidRPr="003C027A">
        <w:rPr>
          <w:rFonts w:ascii="Calibri" w:hAnsi="Calibri"/>
          <w:b/>
          <w:color w:val="231F20"/>
          <w:w w:val="110"/>
          <w:u w:val="single" w:color="231F20"/>
        </w:rPr>
        <w:t>Overview</w:t>
      </w:r>
    </w:p>
    <w:p w14:paraId="6C9E6C16" w14:textId="7CEA16C7" w:rsidR="003C027A" w:rsidRPr="00A23800" w:rsidRDefault="003C027A" w:rsidP="00D63204">
      <w:pPr>
        <w:widowControl w:val="0"/>
        <w:spacing w:before="2" w:after="0" w:line="240" w:lineRule="auto"/>
        <w:ind w:left="107"/>
        <w:rPr>
          <w:rFonts w:ascii="Calibri" w:hAnsi="Calibri"/>
        </w:rPr>
      </w:pPr>
      <w:r w:rsidRPr="00A23800">
        <w:rPr>
          <w:rFonts w:ascii="Calibri" w:hAnsi="Calibri"/>
          <w:color w:val="231F20"/>
          <w:w w:val="105"/>
        </w:rPr>
        <w:t>The</w:t>
      </w:r>
      <w:r w:rsidRPr="00A23800">
        <w:rPr>
          <w:rFonts w:ascii="Calibri" w:hAnsi="Calibri"/>
          <w:color w:val="231F20"/>
          <w:spacing w:val="10"/>
          <w:w w:val="105"/>
        </w:rPr>
        <w:t xml:space="preserve"> </w:t>
      </w:r>
      <w:r w:rsidRPr="00A23800">
        <w:rPr>
          <w:rFonts w:ascii="Calibri" w:hAnsi="Calibri"/>
          <w:color w:val="231F20"/>
          <w:w w:val="105"/>
        </w:rPr>
        <w:t>Florida</w:t>
      </w:r>
      <w:r w:rsidRPr="00A23800">
        <w:rPr>
          <w:rFonts w:ascii="Calibri" w:hAnsi="Calibri"/>
          <w:color w:val="231F20"/>
          <w:spacing w:val="10"/>
          <w:w w:val="105"/>
        </w:rPr>
        <w:t xml:space="preserve"> </w:t>
      </w:r>
      <w:r w:rsidRPr="00A23800">
        <w:rPr>
          <w:rFonts w:ascii="Calibri" w:hAnsi="Calibri"/>
          <w:color w:val="231F20"/>
          <w:w w:val="105"/>
        </w:rPr>
        <w:t>Division</w:t>
      </w:r>
      <w:r w:rsidRPr="00A23800">
        <w:rPr>
          <w:rFonts w:ascii="Calibri" w:hAnsi="Calibri"/>
          <w:color w:val="231F20"/>
          <w:spacing w:val="10"/>
          <w:w w:val="105"/>
        </w:rPr>
        <w:t xml:space="preserve"> </w:t>
      </w:r>
      <w:r w:rsidRPr="00A23800">
        <w:rPr>
          <w:rFonts w:ascii="Calibri" w:hAnsi="Calibri"/>
          <w:color w:val="231F20"/>
          <w:w w:val="105"/>
        </w:rPr>
        <w:t>of</w:t>
      </w:r>
      <w:r w:rsidRPr="00A23800">
        <w:rPr>
          <w:rFonts w:ascii="Calibri" w:hAnsi="Calibri"/>
          <w:color w:val="231F20"/>
          <w:spacing w:val="10"/>
          <w:w w:val="105"/>
        </w:rPr>
        <w:t xml:space="preserve"> </w:t>
      </w:r>
      <w:r w:rsidRPr="00A23800">
        <w:rPr>
          <w:rFonts w:ascii="Calibri" w:hAnsi="Calibri"/>
          <w:color w:val="231F20"/>
          <w:w w:val="105"/>
        </w:rPr>
        <w:t>Vocational</w:t>
      </w:r>
      <w:r w:rsidRPr="00A23800">
        <w:rPr>
          <w:rFonts w:ascii="Calibri" w:hAnsi="Calibri"/>
          <w:color w:val="231F20"/>
          <w:spacing w:val="10"/>
          <w:w w:val="105"/>
        </w:rPr>
        <w:t xml:space="preserve"> </w:t>
      </w:r>
      <w:r w:rsidRPr="00A23800">
        <w:rPr>
          <w:rFonts w:ascii="Calibri" w:hAnsi="Calibri"/>
          <w:color w:val="231F20"/>
          <w:w w:val="105"/>
        </w:rPr>
        <w:t>Rehabilitation</w:t>
      </w:r>
      <w:r w:rsidRPr="00A23800">
        <w:rPr>
          <w:rFonts w:ascii="Calibri" w:hAnsi="Calibri"/>
          <w:color w:val="231F20"/>
          <w:spacing w:val="10"/>
          <w:w w:val="105"/>
        </w:rPr>
        <w:t xml:space="preserve"> </w:t>
      </w:r>
      <w:r w:rsidRPr="00A23800">
        <w:rPr>
          <w:rFonts w:ascii="Calibri" w:hAnsi="Calibri"/>
          <w:color w:val="231F20"/>
          <w:w w:val="105"/>
        </w:rPr>
        <w:t>(VR)</w:t>
      </w:r>
      <w:r w:rsidRPr="00A23800">
        <w:rPr>
          <w:rFonts w:ascii="Calibri" w:hAnsi="Calibri"/>
          <w:color w:val="231F20"/>
          <w:spacing w:val="10"/>
          <w:w w:val="105"/>
        </w:rPr>
        <w:t xml:space="preserve"> </w:t>
      </w:r>
      <w:r w:rsidRPr="00A23800">
        <w:rPr>
          <w:rFonts w:ascii="Calibri" w:hAnsi="Calibri"/>
          <w:color w:val="231F20"/>
          <w:w w:val="105"/>
        </w:rPr>
        <w:t>provides</w:t>
      </w:r>
      <w:r w:rsidRPr="00A23800">
        <w:rPr>
          <w:rFonts w:ascii="Calibri" w:hAnsi="Calibri"/>
          <w:color w:val="231F20"/>
          <w:spacing w:val="10"/>
          <w:w w:val="105"/>
        </w:rPr>
        <w:t xml:space="preserve"> </w:t>
      </w:r>
      <w:r w:rsidRPr="00A23800">
        <w:rPr>
          <w:rFonts w:ascii="Calibri" w:hAnsi="Calibri"/>
          <w:color w:val="231F20"/>
          <w:w w:val="105"/>
        </w:rPr>
        <w:t>services</w:t>
      </w:r>
      <w:r w:rsidRPr="00A23800">
        <w:rPr>
          <w:rFonts w:ascii="Calibri" w:hAnsi="Calibri"/>
          <w:color w:val="231F20"/>
          <w:spacing w:val="10"/>
          <w:w w:val="105"/>
        </w:rPr>
        <w:t xml:space="preserve"> </w:t>
      </w:r>
      <w:r w:rsidRPr="00A23800">
        <w:rPr>
          <w:rFonts w:ascii="Calibri" w:hAnsi="Calibri"/>
          <w:color w:val="231F20"/>
          <w:w w:val="105"/>
        </w:rPr>
        <w:t>throughout</w:t>
      </w:r>
      <w:r w:rsidRPr="00A23800">
        <w:rPr>
          <w:rFonts w:ascii="Calibri" w:hAnsi="Calibri"/>
          <w:color w:val="231F20"/>
          <w:spacing w:val="10"/>
          <w:w w:val="105"/>
        </w:rPr>
        <w:t xml:space="preserve"> </w:t>
      </w:r>
      <w:r w:rsidRPr="00A23800">
        <w:rPr>
          <w:rFonts w:ascii="Calibri" w:hAnsi="Calibri"/>
          <w:color w:val="231F20"/>
          <w:w w:val="105"/>
        </w:rPr>
        <w:t>the</w:t>
      </w:r>
      <w:r w:rsidRPr="00A23800">
        <w:rPr>
          <w:rFonts w:ascii="Calibri" w:hAnsi="Calibri"/>
          <w:color w:val="231F20"/>
          <w:spacing w:val="10"/>
          <w:w w:val="105"/>
        </w:rPr>
        <w:t xml:space="preserve"> </w:t>
      </w:r>
      <w:r w:rsidRPr="00A23800">
        <w:rPr>
          <w:rFonts w:ascii="Calibri" w:hAnsi="Calibri"/>
          <w:color w:val="231F20"/>
          <w:w w:val="105"/>
        </w:rPr>
        <w:t>state,</w:t>
      </w:r>
      <w:r w:rsidRPr="00A23800">
        <w:rPr>
          <w:rFonts w:ascii="Calibri" w:hAnsi="Calibri"/>
          <w:color w:val="231F20"/>
          <w:spacing w:val="10"/>
          <w:w w:val="105"/>
        </w:rPr>
        <w:t xml:space="preserve"> </w:t>
      </w:r>
      <w:r w:rsidRPr="00A23800">
        <w:rPr>
          <w:rFonts w:ascii="Calibri" w:hAnsi="Calibri"/>
          <w:color w:val="231F20"/>
          <w:w w:val="105"/>
        </w:rPr>
        <w:t>including</w:t>
      </w:r>
      <w:r w:rsidRPr="00A23800">
        <w:rPr>
          <w:rFonts w:ascii="Calibri" w:hAnsi="Calibri"/>
          <w:color w:val="231F20"/>
          <w:spacing w:val="-9"/>
          <w:w w:val="105"/>
        </w:rPr>
        <w:t xml:space="preserve"> </w:t>
      </w:r>
      <w:r w:rsidRPr="00A23800">
        <w:rPr>
          <w:rFonts w:ascii="Calibri" w:hAnsi="Calibri"/>
          <w:color w:val="231F20"/>
          <w:w w:val="105"/>
        </w:rPr>
        <w:t xml:space="preserve">Transition </w:t>
      </w:r>
      <w:r w:rsidRPr="00A23800">
        <w:rPr>
          <w:rFonts w:ascii="Calibri" w:hAnsi="Calibri"/>
          <w:color w:val="231F20"/>
          <w:spacing w:val="-5"/>
          <w:w w:val="105"/>
        </w:rPr>
        <w:t xml:space="preserve">Youth </w:t>
      </w:r>
      <w:r w:rsidRPr="00A23800">
        <w:rPr>
          <w:rFonts w:ascii="Calibri" w:hAnsi="Calibri"/>
          <w:color w:val="231F20"/>
          <w:w w:val="105"/>
        </w:rPr>
        <w:t xml:space="preserve">services that expand and improve </w:t>
      </w:r>
      <w:r>
        <w:rPr>
          <w:rFonts w:ascii="Calibri" w:hAnsi="Calibri"/>
          <w:color w:val="231F20"/>
          <w:w w:val="105"/>
        </w:rPr>
        <w:t>V</w:t>
      </w:r>
      <w:r w:rsidRPr="00A23800">
        <w:rPr>
          <w:rFonts w:ascii="Calibri" w:hAnsi="Calibri"/>
          <w:color w:val="231F20"/>
          <w:w w:val="105"/>
        </w:rPr>
        <w:t xml:space="preserve">ocational </w:t>
      </w:r>
      <w:r>
        <w:rPr>
          <w:rFonts w:ascii="Calibri" w:hAnsi="Calibri"/>
          <w:color w:val="231F20"/>
          <w:w w:val="105"/>
        </w:rPr>
        <w:t>R</w:t>
      </w:r>
      <w:r w:rsidRPr="00A23800">
        <w:rPr>
          <w:rFonts w:ascii="Calibri" w:hAnsi="Calibri"/>
          <w:color w:val="231F20"/>
          <w:w w:val="105"/>
        </w:rPr>
        <w:t>ehabilitation options for eligible</w:t>
      </w:r>
      <w:r w:rsidRPr="00A23800">
        <w:rPr>
          <w:rFonts w:ascii="Calibri" w:hAnsi="Calibri"/>
          <w:color w:val="231F20"/>
          <w:spacing w:val="3"/>
          <w:w w:val="105"/>
        </w:rPr>
        <w:t xml:space="preserve"> </w:t>
      </w:r>
      <w:r w:rsidRPr="00A23800">
        <w:rPr>
          <w:rFonts w:ascii="Calibri" w:hAnsi="Calibri"/>
          <w:color w:val="231F20"/>
          <w:w w:val="105"/>
        </w:rPr>
        <w:t>customers.</w:t>
      </w:r>
      <w:r w:rsidRPr="00A23800">
        <w:rPr>
          <w:rFonts w:ascii="Calibri" w:hAnsi="Calibri"/>
          <w:color w:val="231F20"/>
          <w:w w:val="106"/>
        </w:rPr>
        <w:t xml:space="preserve"> </w:t>
      </w:r>
      <w:r w:rsidRPr="00A23800">
        <w:rPr>
          <w:rFonts w:ascii="Calibri" w:hAnsi="Calibri"/>
          <w:color w:val="231F20"/>
          <w:w w:val="105"/>
        </w:rPr>
        <w:t>VR</w:t>
      </w:r>
      <w:r w:rsidRPr="00A23800">
        <w:rPr>
          <w:rFonts w:ascii="Calibri" w:hAnsi="Calibri"/>
          <w:color w:val="231F20"/>
          <w:spacing w:val="17"/>
          <w:w w:val="105"/>
        </w:rPr>
        <w:t xml:space="preserve"> </w:t>
      </w:r>
      <w:r w:rsidRPr="00A23800">
        <w:rPr>
          <w:rFonts w:ascii="Calibri" w:hAnsi="Calibri"/>
          <w:color w:val="231F20"/>
          <w:w w:val="105"/>
        </w:rPr>
        <w:t>has</w:t>
      </w:r>
      <w:r w:rsidRPr="00A23800">
        <w:rPr>
          <w:rFonts w:ascii="Calibri" w:hAnsi="Calibri"/>
          <w:color w:val="231F20"/>
          <w:spacing w:val="17"/>
          <w:w w:val="105"/>
        </w:rPr>
        <w:t xml:space="preserve"> </w:t>
      </w:r>
      <w:r w:rsidRPr="00A23800">
        <w:rPr>
          <w:rFonts w:ascii="Calibri" w:hAnsi="Calibri"/>
          <w:color w:val="231F20"/>
          <w:w w:val="105"/>
        </w:rPr>
        <w:t>entered</w:t>
      </w:r>
      <w:r w:rsidRPr="00A23800">
        <w:rPr>
          <w:rFonts w:ascii="Calibri" w:hAnsi="Calibri"/>
          <w:color w:val="231F20"/>
          <w:spacing w:val="17"/>
          <w:w w:val="105"/>
        </w:rPr>
        <w:t xml:space="preserve"> </w:t>
      </w:r>
      <w:r w:rsidRPr="00A23800">
        <w:rPr>
          <w:rFonts w:ascii="Calibri" w:hAnsi="Calibri"/>
          <w:color w:val="231F20"/>
          <w:w w:val="105"/>
        </w:rPr>
        <w:t>into</w:t>
      </w:r>
      <w:r w:rsidRPr="00A23800">
        <w:rPr>
          <w:rFonts w:ascii="Calibri" w:hAnsi="Calibri"/>
          <w:color w:val="231F20"/>
          <w:spacing w:val="17"/>
          <w:w w:val="105"/>
        </w:rPr>
        <w:t xml:space="preserve"> </w:t>
      </w:r>
      <w:r w:rsidRPr="00A23800">
        <w:rPr>
          <w:rFonts w:ascii="Calibri" w:hAnsi="Calibri"/>
          <w:color w:val="231F20"/>
          <w:w w:val="105"/>
        </w:rPr>
        <w:t>Third</w:t>
      </w:r>
      <w:r w:rsidRPr="00A23800">
        <w:rPr>
          <w:rFonts w:ascii="Calibri" w:hAnsi="Calibri"/>
          <w:color w:val="231F20"/>
          <w:spacing w:val="17"/>
          <w:w w:val="105"/>
        </w:rPr>
        <w:t xml:space="preserve"> </w:t>
      </w:r>
      <w:r w:rsidRPr="00A23800">
        <w:rPr>
          <w:rFonts w:ascii="Calibri" w:hAnsi="Calibri"/>
          <w:color w:val="231F20"/>
          <w:w w:val="105"/>
        </w:rPr>
        <w:t>Party</w:t>
      </w:r>
      <w:r w:rsidRPr="00A23800">
        <w:rPr>
          <w:rFonts w:ascii="Calibri" w:hAnsi="Calibri"/>
          <w:color w:val="231F20"/>
          <w:spacing w:val="17"/>
          <w:w w:val="105"/>
        </w:rPr>
        <w:t xml:space="preserve"> </w:t>
      </w:r>
      <w:r w:rsidRPr="00A23800">
        <w:rPr>
          <w:rFonts w:ascii="Calibri" w:hAnsi="Calibri"/>
          <w:color w:val="231F20"/>
          <w:w w:val="105"/>
        </w:rPr>
        <w:t>Cooperative</w:t>
      </w:r>
      <w:r w:rsidRPr="00A23800">
        <w:rPr>
          <w:rFonts w:ascii="Calibri" w:hAnsi="Calibri"/>
          <w:color w:val="231F20"/>
          <w:spacing w:val="17"/>
          <w:w w:val="105"/>
        </w:rPr>
        <w:t xml:space="preserve"> </w:t>
      </w:r>
      <w:r w:rsidRPr="00A23800">
        <w:rPr>
          <w:rFonts w:ascii="Calibri" w:hAnsi="Calibri"/>
          <w:color w:val="231F20"/>
          <w:w w:val="105"/>
        </w:rPr>
        <w:t>Arrangements</w:t>
      </w:r>
      <w:r w:rsidRPr="00A23800">
        <w:rPr>
          <w:rFonts w:ascii="Calibri" w:hAnsi="Calibri"/>
          <w:color w:val="231F20"/>
          <w:spacing w:val="17"/>
          <w:w w:val="105"/>
        </w:rPr>
        <w:t xml:space="preserve"> </w:t>
      </w:r>
      <w:r w:rsidRPr="00A23800">
        <w:rPr>
          <w:rFonts w:ascii="Calibri" w:hAnsi="Calibri"/>
          <w:color w:val="231F20"/>
          <w:w w:val="105"/>
        </w:rPr>
        <w:t>(TPCA)</w:t>
      </w:r>
      <w:r w:rsidRPr="00A23800">
        <w:rPr>
          <w:rFonts w:ascii="Calibri" w:hAnsi="Calibri"/>
          <w:color w:val="231F20"/>
          <w:spacing w:val="17"/>
          <w:w w:val="105"/>
        </w:rPr>
        <w:t xml:space="preserve"> </w:t>
      </w:r>
      <w:r w:rsidRPr="00A23800">
        <w:rPr>
          <w:rFonts w:ascii="Calibri" w:hAnsi="Calibri"/>
          <w:color w:val="231F20"/>
          <w:w w:val="105"/>
        </w:rPr>
        <w:t>with</w:t>
      </w:r>
      <w:r w:rsidRPr="00A23800">
        <w:rPr>
          <w:rFonts w:ascii="Calibri" w:hAnsi="Calibri"/>
          <w:color w:val="231F20"/>
          <w:spacing w:val="17"/>
          <w:w w:val="105"/>
        </w:rPr>
        <w:t xml:space="preserve"> </w:t>
      </w:r>
      <w:r w:rsidRPr="00A23800">
        <w:rPr>
          <w:rFonts w:ascii="Calibri" w:hAnsi="Calibri"/>
          <w:color w:val="231F20"/>
          <w:w w:val="105"/>
        </w:rPr>
        <w:t>some</w:t>
      </w:r>
      <w:r w:rsidRPr="00A23800">
        <w:rPr>
          <w:rFonts w:ascii="Calibri" w:hAnsi="Calibri"/>
          <w:color w:val="231F20"/>
          <w:spacing w:val="17"/>
          <w:w w:val="105"/>
        </w:rPr>
        <w:t xml:space="preserve"> </w:t>
      </w:r>
      <w:r w:rsidRPr="00A23800">
        <w:rPr>
          <w:rFonts w:ascii="Calibri" w:hAnsi="Calibri"/>
          <w:color w:val="231F20"/>
          <w:w w:val="105"/>
        </w:rPr>
        <w:t>local</w:t>
      </w:r>
      <w:r w:rsidRPr="00A23800">
        <w:rPr>
          <w:rFonts w:ascii="Calibri" w:hAnsi="Calibri"/>
          <w:color w:val="231F20"/>
          <w:spacing w:val="17"/>
          <w:w w:val="105"/>
        </w:rPr>
        <w:t xml:space="preserve"> </w:t>
      </w:r>
      <w:r w:rsidRPr="00A23800">
        <w:rPr>
          <w:rFonts w:ascii="Calibri" w:hAnsi="Calibri"/>
          <w:color w:val="231F20"/>
          <w:w w:val="105"/>
        </w:rPr>
        <w:t>school</w:t>
      </w:r>
      <w:r w:rsidRPr="00A23800">
        <w:rPr>
          <w:rFonts w:ascii="Calibri" w:hAnsi="Calibri"/>
          <w:color w:val="231F20"/>
          <w:spacing w:val="17"/>
          <w:w w:val="105"/>
        </w:rPr>
        <w:t xml:space="preserve"> </w:t>
      </w:r>
      <w:r w:rsidRPr="00A23800">
        <w:rPr>
          <w:rFonts w:ascii="Calibri" w:hAnsi="Calibri"/>
          <w:color w:val="231F20"/>
          <w:w w:val="105"/>
        </w:rPr>
        <w:t>districts,</w:t>
      </w:r>
      <w:r>
        <w:rPr>
          <w:rFonts w:ascii="Calibri" w:hAnsi="Calibri"/>
          <w:color w:val="231F20"/>
          <w:w w:val="105"/>
        </w:rPr>
        <w:t xml:space="preserve"> </w:t>
      </w:r>
      <w:r w:rsidRPr="00A23800">
        <w:rPr>
          <w:rFonts w:ascii="Calibri" w:hAnsi="Calibri"/>
          <w:color w:val="231F20"/>
          <w:w w:val="105"/>
        </w:rPr>
        <w:t>but</w:t>
      </w:r>
      <w:r w:rsidRPr="00A23800">
        <w:rPr>
          <w:rFonts w:ascii="Calibri" w:hAnsi="Calibri"/>
          <w:color w:val="231F20"/>
          <w:spacing w:val="9"/>
          <w:w w:val="105"/>
        </w:rPr>
        <w:t xml:space="preserve"> </w:t>
      </w:r>
      <w:r w:rsidRPr="00A23800">
        <w:rPr>
          <w:rFonts w:ascii="Calibri" w:hAnsi="Calibri"/>
          <w:color w:val="231F20"/>
          <w:w w:val="105"/>
        </w:rPr>
        <w:t>services</w:t>
      </w:r>
      <w:r w:rsidRPr="00A23800">
        <w:rPr>
          <w:rFonts w:ascii="Calibri" w:hAnsi="Calibri"/>
          <w:color w:val="231F20"/>
          <w:spacing w:val="9"/>
          <w:w w:val="105"/>
        </w:rPr>
        <w:t xml:space="preserve"> </w:t>
      </w:r>
      <w:r w:rsidRPr="00A23800">
        <w:rPr>
          <w:rFonts w:ascii="Calibri" w:hAnsi="Calibri"/>
          <w:color w:val="231F20"/>
          <w:w w:val="105"/>
        </w:rPr>
        <w:t>are</w:t>
      </w:r>
      <w:r w:rsidRPr="00A23800">
        <w:rPr>
          <w:rFonts w:ascii="Calibri" w:hAnsi="Calibri"/>
          <w:color w:val="231F20"/>
          <w:spacing w:val="9"/>
          <w:w w:val="105"/>
        </w:rPr>
        <w:t xml:space="preserve"> </w:t>
      </w:r>
      <w:r w:rsidRPr="00A23800">
        <w:rPr>
          <w:rFonts w:ascii="Calibri" w:hAnsi="Calibri"/>
          <w:color w:val="231F20"/>
          <w:w w:val="105"/>
        </w:rPr>
        <w:t>not</w:t>
      </w:r>
      <w:r w:rsidRPr="00A23800">
        <w:rPr>
          <w:rFonts w:ascii="Calibri" w:hAnsi="Calibri"/>
          <w:color w:val="231F20"/>
          <w:spacing w:val="9"/>
          <w:w w:val="105"/>
        </w:rPr>
        <w:t xml:space="preserve"> </w:t>
      </w:r>
      <w:r w:rsidRPr="00A23800">
        <w:rPr>
          <w:rFonts w:ascii="Calibri" w:hAnsi="Calibri"/>
          <w:color w:val="231F20"/>
          <w:w w:val="105"/>
        </w:rPr>
        <w:t>currently</w:t>
      </w:r>
      <w:r w:rsidRPr="00A23800">
        <w:rPr>
          <w:rFonts w:ascii="Calibri" w:hAnsi="Calibri"/>
          <w:color w:val="231F20"/>
          <w:spacing w:val="9"/>
          <w:w w:val="105"/>
        </w:rPr>
        <w:t xml:space="preserve"> </w:t>
      </w:r>
      <w:r w:rsidRPr="00A23800">
        <w:rPr>
          <w:rFonts w:ascii="Calibri" w:hAnsi="Calibri"/>
          <w:color w:val="231F20"/>
          <w:w w:val="105"/>
        </w:rPr>
        <w:t>available</w:t>
      </w:r>
      <w:r w:rsidRPr="00A23800">
        <w:rPr>
          <w:rFonts w:ascii="Calibri" w:hAnsi="Calibri"/>
          <w:color w:val="231F20"/>
          <w:spacing w:val="9"/>
          <w:w w:val="105"/>
        </w:rPr>
        <w:t xml:space="preserve"> </w:t>
      </w:r>
      <w:r w:rsidRPr="00A23800">
        <w:rPr>
          <w:rFonts w:ascii="Calibri" w:hAnsi="Calibri"/>
          <w:color w:val="231F20"/>
          <w:w w:val="105"/>
        </w:rPr>
        <w:t>in</w:t>
      </w:r>
      <w:r w:rsidRPr="00A23800">
        <w:rPr>
          <w:rFonts w:ascii="Calibri" w:hAnsi="Calibri"/>
          <w:color w:val="231F20"/>
          <w:spacing w:val="9"/>
          <w:w w:val="105"/>
        </w:rPr>
        <w:t xml:space="preserve"> </w:t>
      </w:r>
      <w:r w:rsidRPr="00A23800">
        <w:rPr>
          <w:rFonts w:ascii="Calibri" w:hAnsi="Calibri"/>
          <w:color w:val="231F20"/>
          <w:w w:val="105"/>
        </w:rPr>
        <w:t>all</w:t>
      </w:r>
      <w:r w:rsidRPr="00A23800">
        <w:rPr>
          <w:rFonts w:ascii="Calibri" w:hAnsi="Calibri"/>
          <w:color w:val="231F20"/>
          <w:spacing w:val="9"/>
          <w:w w:val="105"/>
        </w:rPr>
        <w:t xml:space="preserve"> </w:t>
      </w:r>
      <w:r w:rsidRPr="00A23800">
        <w:rPr>
          <w:rFonts w:ascii="Calibri" w:hAnsi="Calibri"/>
          <w:color w:val="231F20"/>
          <w:w w:val="105"/>
        </w:rPr>
        <w:t>areas</w:t>
      </w:r>
      <w:r w:rsidRPr="00A23800">
        <w:rPr>
          <w:rFonts w:ascii="Calibri" w:hAnsi="Calibri"/>
          <w:color w:val="231F20"/>
          <w:spacing w:val="9"/>
          <w:w w:val="105"/>
        </w:rPr>
        <w:t xml:space="preserve"> </w:t>
      </w:r>
      <w:r w:rsidRPr="00A23800">
        <w:rPr>
          <w:rFonts w:ascii="Calibri" w:hAnsi="Calibri"/>
          <w:color w:val="231F20"/>
          <w:w w:val="105"/>
        </w:rPr>
        <w:t>of</w:t>
      </w:r>
      <w:r w:rsidRPr="00A23800">
        <w:rPr>
          <w:rFonts w:ascii="Calibri" w:hAnsi="Calibri"/>
          <w:color w:val="231F20"/>
          <w:spacing w:val="9"/>
          <w:w w:val="105"/>
        </w:rPr>
        <w:t xml:space="preserve"> </w:t>
      </w:r>
      <w:r w:rsidRPr="00A23800">
        <w:rPr>
          <w:rFonts w:ascii="Calibri" w:hAnsi="Calibri"/>
          <w:color w:val="231F20"/>
          <w:w w:val="105"/>
        </w:rPr>
        <w:t>the</w:t>
      </w:r>
      <w:r w:rsidRPr="00A23800">
        <w:rPr>
          <w:rFonts w:ascii="Calibri" w:hAnsi="Calibri"/>
          <w:color w:val="231F20"/>
          <w:spacing w:val="9"/>
          <w:w w:val="105"/>
        </w:rPr>
        <w:t xml:space="preserve"> </w:t>
      </w:r>
      <w:r w:rsidRPr="00A23800">
        <w:rPr>
          <w:rFonts w:ascii="Calibri" w:hAnsi="Calibri"/>
          <w:color w:val="231F20"/>
          <w:w w:val="105"/>
        </w:rPr>
        <w:t>state.</w:t>
      </w:r>
      <w:r w:rsidRPr="00A23800">
        <w:rPr>
          <w:rFonts w:ascii="Calibri" w:hAnsi="Calibri"/>
          <w:color w:val="231F20"/>
          <w:spacing w:val="9"/>
          <w:w w:val="105"/>
        </w:rPr>
        <w:t xml:space="preserve"> </w:t>
      </w:r>
      <w:r w:rsidRPr="00A23800">
        <w:rPr>
          <w:rFonts w:ascii="Calibri" w:hAnsi="Calibri"/>
          <w:color w:val="231F20"/>
          <w:w w:val="105"/>
        </w:rPr>
        <w:t>TPCA</w:t>
      </w:r>
      <w:r w:rsidRPr="00A23800">
        <w:rPr>
          <w:rFonts w:ascii="Calibri" w:hAnsi="Calibri"/>
          <w:color w:val="231F20"/>
          <w:spacing w:val="9"/>
          <w:w w:val="105"/>
        </w:rPr>
        <w:t xml:space="preserve"> </w:t>
      </w:r>
      <w:r w:rsidRPr="00A23800">
        <w:rPr>
          <w:rFonts w:ascii="Calibri" w:hAnsi="Calibri"/>
          <w:color w:val="231F20"/>
          <w:w w:val="105"/>
        </w:rPr>
        <w:t>and</w:t>
      </w:r>
      <w:r w:rsidRPr="00A23800">
        <w:rPr>
          <w:rFonts w:ascii="Calibri" w:hAnsi="Calibri"/>
          <w:color w:val="231F20"/>
          <w:spacing w:val="9"/>
          <w:w w:val="105"/>
        </w:rPr>
        <w:t xml:space="preserve"> </w:t>
      </w:r>
      <w:r w:rsidRPr="00A23800">
        <w:rPr>
          <w:rFonts w:ascii="Calibri" w:hAnsi="Calibri"/>
          <w:color w:val="231F20"/>
          <w:w w:val="105"/>
        </w:rPr>
        <w:t>other</w:t>
      </w:r>
      <w:r w:rsidRPr="00A23800">
        <w:rPr>
          <w:rFonts w:ascii="Calibri" w:hAnsi="Calibri"/>
          <w:color w:val="231F20"/>
          <w:spacing w:val="9"/>
          <w:w w:val="105"/>
        </w:rPr>
        <w:t xml:space="preserve"> </w:t>
      </w:r>
      <w:r w:rsidRPr="00A23800">
        <w:rPr>
          <w:rFonts w:ascii="Calibri" w:hAnsi="Calibri"/>
          <w:color w:val="231F20"/>
          <w:w w:val="105"/>
        </w:rPr>
        <w:t>VR</w:t>
      </w:r>
      <w:r w:rsidRPr="00A23800">
        <w:rPr>
          <w:rFonts w:ascii="Calibri" w:hAnsi="Calibri"/>
          <w:color w:val="231F20"/>
          <w:spacing w:val="9"/>
          <w:w w:val="105"/>
        </w:rPr>
        <w:t xml:space="preserve"> </w:t>
      </w:r>
      <w:r w:rsidRPr="00A23800">
        <w:rPr>
          <w:rFonts w:ascii="Calibri" w:hAnsi="Calibri"/>
          <w:color w:val="231F20"/>
          <w:w w:val="105"/>
        </w:rPr>
        <w:t>Transition</w:t>
      </w:r>
      <w:r w:rsidRPr="00A23800">
        <w:rPr>
          <w:rFonts w:ascii="Calibri" w:hAnsi="Calibri"/>
          <w:color w:val="231F20"/>
          <w:spacing w:val="9"/>
          <w:w w:val="105"/>
        </w:rPr>
        <w:t xml:space="preserve"> </w:t>
      </w:r>
      <w:r w:rsidRPr="00A23800">
        <w:rPr>
          <w:rFonts w:ascii="Calibri" w:hAnsi="Calibri"/>
          <w:color w:val="231F20"/>
          <w:spacing w:val="-5"/>
          <w:w w:val="105"/>
        </w:rPr>
        <w:t>Youth</w:t>
      </w:r>
      <w:r w:rsidRPr="00A23800">
        <w:rPr>
          <w:rFonts w:ascii="Calibri" w:hAnsi="Calibri"/>
          <w:color w:val="231F20"/>
          <w:spacing w:val="3"/>
          <w:w w:val="105"/>
        </w:rPr>
        <w:t xml:space="preserve"> </w:t>
      </w:r>
      <w:r w:rsidRPr="00A23800">
        <w:rPr>
          <w:rFonts w:ascii="Calibri" w:hAnsi="Calibri"/>
          <w:color w:val="231F20"/>
          <w:w w:val="105"/>
        </w:rPr>
        <w:t>services</w:t>
      </w:r>
      <w:r w:rsidRPr="00A23800">
        <w:rPr>
          <w:rFonts w:ascii="Calibri" w:hAnsi="Calibri"/>
          <w:color w:val="231F20"/>
          <w:spacing w:val="11"/>
          <w:w w:val="105"/>
        </w:rPr>
        <w:t xml:space="preserve"> </w:t>
      </w:r>
      <w:r w:rsidRPr="00A23800">
        <w:rPr>
          <w:rFonts w:ascii="Calibri" w:hAnsi="Calibri"/>
          <w:color w:val="231F20"/>
          <w:w w:val="105"/>
        </w:rPr>
        <w:t>align</w:t>
      </w:r>
      <w:r w:rsidRPr="00A23800">
        <w:rPr>
          <w:rFonts w:ascii="Calibri" w:hAnsi="Calibri"/>
          <w:color w:val="231F20"/>
          <w:spacing w:val="11"/>
          <w:w w:val="105"/>
        </w:rPr>
        <w:t xml:space="preserve"> </w:t>
      </w:r>
      <w:r w:rsidRPr="00A23800">
        <w:rPr>
          <w:rFonts w:ascii="Calibri" w:hAnsi="Calibri"/>
          <w:color w:val="231F20"/>
          <w:w w:val="105"/>
        </w:rPr>
        <w:t>with</w:t>
      </w:r>
      <w:r w:rsidRPr="00A23800">
        <w:rPr>
          <w:rFonts w:ascii="Calibri" w:hAnsi="Calibri"/>
          <w:color w:val="231F20"/>
          <w:spacing w:val="11"/>
          <w:w w:val="105"/>
        </w:rPr>
        <w:t xml:space="preserve"> </w:t>
      </w:r>
      <w:r w:rsidRPr="00A23800">
        <w:rPr>
          <w:rFonts w:ascii="Calibri" w:hAnsi="Calibri"/>
          <w:color w:val="231F20"/>
          <w:w w:val="105"/>
        </w:rPr>
        <w:t>the</w:t>
      </w:r>
      <w:r w:rsidRPr="00A23800">
        <w:rPr>
          <w:rFonts w:ascii="Calibri" w:hAnsi="Calibri"/>
          <w:color w:val="231F20"/>
          <w:spacing w:val="11"/>
          <w:w w:val="105"/>
        </w:rPr>
        <w:t xml:space="preserve"> </w:t>
      </w:r>
      <w:r w:rsidRPr="00A23800">
        <w:rPr>
          <w:rFonts w:ascii="Calibri" w:hAnsi="Calibri"/>
          <w:color w:val="231F20"/>
          <w:w w:val="105"/>
        </w:rPr>
        <w:t>Pre-Employment</w:t>
      </w:r>
      <w:r w:rsidRPr="00A23800">
        <w:rPr>
          <w:rFonts w:ascii="Calibri" w:hAnsi="Calibri"/>
          <w:color w:val="231F20"/>
          <w:spacing w:val="11"/>
          <w:w w:val="105"/>
        </w:rPr>
        <w:t xml:space="preserve"> </w:t>
      </w:r>
      <w:r w:rsidRPr="00A23800">
        <w:rPr>
          <w:rFonts w:ascii="Calibri" w:hAnsi="Calibri"/>
          <w:color w:val="231F20"/>
          <w:w w:val="105"/>
        </w:rPr>
        <w:t>Transition</w:t>
      </w:r>
      <w:r w:rsidRPr="00A23800">
        <w:rPr>
          <w:rFonts w:ascii="Calibri" w:hAnsi="Calibri"/>
          <w:color w:val="231F20"/>
          <w:spacing w:val="11"/>
          <w:w w:val="105"/>
        </w:rPr>
        <w:t xml:space="preserve"> </w:t>
      </w:r>
      <w:r w:rsidRPr="00A23800">
        <w:rPr>
          <w:rFonts w:ascii="Calibri" w:hAnsi="Calibri"/>
          <w:color w:val="231F20"/>
          <w:w w:val="105"/>
        </w:rPr>
        <w:t>Services</w:t>
      </w:r>
      <w:r w:rsidRPr="00A23800">
        <w:rPr>
          <w:rFonts w:ascii="Calibri" w:hAnsi="Calibri"/>
          <w:color w:val="231F20"/>
          <w:spacing w:val="11"/>
          <w:w w:val="105"/>
        </w:rPr>
        <w:t xml:space="preserve"> </w:t>
      </w:r>
      <w:r w:rsidRPr="00A23800">
        <w:rPr>
          <w:rFonts w:ascii="Calibri" w:hAnsi="Calibri"/>
          <w:color w:val="231F20"/>
          <w:w w:val="105"/>
        </w:rPr>
        <w:t>required</w:t>
      </w:r>
      <w:r w:rsidRPr="00A23800">
        <w:rPr>
          <w:rFonts w:ascii="Calibri" w:hAnsi="Calibri"/>
          <w:color w:val="231F20"/>
          <w:spacing w:val="11"/>
          <w:w w:val="105"/>
        </w:rPr>
        <w:t xml:space="preserve"> </w:t>
      </w:r>
      <w:r w:rsidRPr="00A23800">
        <w:rPr>
          <w:rFonts w:ascii="Calibri" w:hAnsi="Calibri"/>
          <w:color w:val="231F20"/>
          <w:w w:val="105"/>
        </w:rPr>
        <w:t>under</w:t>
      </w:r>
      <w:r w:rsidRPr="00A23800">
        <w:rPr>
          <w:rFonts w:ascii="Calibri" w:hAnsi="Calibri"/>
          <w:color w:val="231F20"/>
          <w:spacing w:val="11"/>
          <w:w w:val="105"/>
        </w:rPr>
        <w:t xml:space="preserve"> </w:t>
      </w:r>
      <w:r w:rsidRPr="00A23800">
        <w:rPr>
          <w:rFonts w:ascii="Calibri" w:hAnsi="Calibri"/>
          <w:color w:val="231F20"/>
          <w:w w:val="105"/>
        </w:rPr>
        <w:t>the</w:t>
      </w:r>
      <w:r w:rsidRPr="00A23800">
        <w:rPr>
          <w:rFonts w:ascii="Calibri" w:hAnsi="Calibri"/>
          <w:color w:val="231F20"/>
          <w:spacing w:val="11"/>
          <w:w w:val="105"/>
        </w:rPr>
        <w:t xml:space="preserve"> </w:t>
      </w:r>
      <w:r w:rsidRPr="00A23800">
        <w:rPr>
          <w:rFonts w:ascii="Calibri" w:hAnsi="Calibri"/>
          <w:color w:val="231F20"/>
          <w:w w:val="105"/>
        </w:rPr>
        <w:t>Workforce</w:t>
      </w:r>
      <w:r w:rsidRPr="00A23800">
        <w:rPr>
          <w:rFonts w:ascii="Calibri" w:hAnsi="Calibri"/>
          <w:color w:val="231F20"/>
          <w:spacing w:val="11"/>
          <w:w w:val="105"/>
        </w:rPr>
        <w:t xml:space="preserve"> </w:t>
      </w:r>
      <w:r w:rsidRPr="00A23800">
        <w:rPr>
          <w:rFonts w:ascii="Calibri" w:hAnsi="Calibri"/>
          <w:color w:val="231F20"/>
          <w:w w:val="105"/>
        </w:rPr>
        <w:t>Innovation</w:t>
      </w:r>
      <w:r w:rsidRPr="00A23800">
        <w:rPr>
          <w:rFonts w:ascii="Calibri" w:hAnsi="Calibri"/>
          <w:color w:val="231F20"/>
          <w:spacing w:val="11"/>
          <w:w w:val="105"/>
        </w:rPr>
        <w:t xml:space="preserve"> </w:t>
      </w:r>
      <w:r w:rsidRPr="00A23800">
        <w:rPr>
          <w:rFonts w:ascii="Calibri" w:hAnsi="Calibri"/>
          <w:color w:val="231F20"/>
          <w:w w:val="105"/>
        </w:rPr>
        <w:t>and</w:t>
      </w:r>
      <w:r w:rsidRPr="00A23800">
        <w:rPr>
          <w:rFonts w:ascii="Calibri" w:hAnsi="Calibri"/>
          <w:color w:val="231F20"/>
          <w:spacing w:val="-35"/>
          <w:w w:val="105"/>
        </w:rPr>
        <w:t xml:space="preserve"> </w:t>
      </w:r>
      <w:r w:rsidRPr="00A23800">
        <w:rPr>
          <w:rFonts w:ascii="Calibri" w:hAnsi="Calibri"/>
          <w:color w:val="231F20"/>
          <w:w w:val="105"/>
        </w:rPr>
        <w:t>Opportunity</w:t>
      </w:r>
      <w:r w:rsidRPr="00A23800">
        <w:rPr>
          <w:rFonts w:ascii="Calibri" w:hAnsi="Calibri"/>
          <w:color w:val="231F20"/>
          <w:spacing w:val="11"/>
          <w:w w:val="105"/>
        </w:rPr>
        <w:t xml:space="preserve"> </w:t>
      </w:r>
      <w:r w:rsidRPr="00A23800">
        <w:rPr>
          <w:rFonts w:ascii="Calibri" w:hAnsi="Calibri"/>
          <w:color w:val="231F20"/>
          <w:w w:val="105"/>
        </w:rPr>
        <w:t>Act</w:t>
      </w:r>
      <w:r w:rsidRPr="00A23800">
        <w:rPr>
          <w:rFonts w:ascii="Calibri" w:hAnsi="Calibri"/>
          <w:color w:val="231F20"/>
          <w:spacing w:val="11"/>
          <w:w w:val="105"/>
        </w:rPr>
        <w:t xml:space="preserve"> </w:t>
      </w:r>
      <w:r w:rsidRPr="00A23800">
        <w:rPr>
          <w:rFonts w:ascii="Calibri" w:hAnsi="Calibri"/>
          <w:color w:val="231F20"/>
          <w:w w:val="105"/>
        </w:rPr>
        <w:t>(WIOA).</w:t>
      </w:r>
      <w:r w:rsidRPr="00A23800">
        <w:rPr>
          <w:rFonts w:ascii="Calibri" w:hAnsi="Calibri"/>
          <w:color w:val="231F20"/>
          <w:spacing w:val="11"/>
          <w:w w:val="105"/>
        </w:rPr>
        <w:t xml:space="preserve"> </w:t>
      </w:r>
      <w:r w:rsidRPr="00A23800">
        <w:rPr>
          <w:rFonts w:ascii="Calibri" w:hAnsi="Calibri"/>
          <w:color w:val="231F20"/>
          <w:w w:val="105"/>
        </w:rPr>
        <w:t>The</w:t>
      </w:r>
      <w:r w:rsidRPr="00A23800">
        <w:rPr>
          <w:rFonts w:ascii="Calibri" w:hAnsi="Calibri"/>
          <w:color w:val="231F20"/>
          <w:spacing w:val="11"/>
          <w:w w:val="105"/>
        </w:rPr>
        <w:t xml:space="preserve"> </w:t>
      </w:r>
      <w:r w:rsidR="00D226F4">
        <w:rPr>
          <w:rFonts w:ascii="Calibri" w:hAnsi="Calibri"/>
          <w:color w:val="231F20"/>
          <w:spacing w:val="11"/>
          <w:w w:val="105"/>
        </w:rPr>
        <w:t>s</w:t>
      </w:r>
      <w:r w:rsidRPr="00A23800">
        <w:rPr>
          <w:rFonts w:ascii="Calibri" w:hAnsi="Calibri"/>
          <w:color w:val="231F20"/>
          <w:w w:val="105"/>
        </w:rPr>
        <w:t>tate</w:t>
      </w:r>
      <w:r w:rsidRPr="00A23800">
        <w:rPr>
          <w:rFonts w:ascii="Calibri" w:hAnsi="Calibri"/>
          <w:color w:val="231F20"/>
          <w:spacing w:val="11"/>
          <w:w w:val="105"/>
        </w:rPr>
        <w:t xml:space="preserve"> </w:t>
      </w:r>
      <w:r w:rsidR="00D226F4">
        <w:rPr>
          <w:rFonts w:ascii="Calibri" w:hAnsi="Calibri"/>
          <w:color w:val="231F20"/>
          <w:spacing w:val="11"/>
          <w:w w:val="105"/>
        </w:rPr>
        <w:t>p</w:t>
      </w:r>
      <w:r w:rsidRPr="00A23800">
        <w:rPr>
          <w:rFonts w:ascii="Calibri" w:hAnsi="Calibri"/>
          <w:color w:val="231F20"/>
          <w:w w:val="105"/>
        </w:rPr>
        <w:t>lan</w:t>
      </w:r>
      <w:r w:rsidRPr="00A23800">
        <w:rPr>
          <w:rFonts w:ascii="Calibri" w:hAnsi="Calibri"/>
          <w:color w:val="231F20"/>
          <w:spacing w:val="11"/>
          <w:w w:val="105"/>
        </w:rPr>
        <w:t xml:space="preserve"> </w:t>
      </w:r>
      <w:r w:rsidRPr="00A23800">
        <w:rPr>
          <w:rFonts w:ascii="Calibri" w:hAnsi="Calibri"/>
          <w:color w:val="231F20"/>
          <w:w w:val="105"/>
        </w:rPr>
        <w:t>cannot</w:t>
      </w:r>
      <w:r w:rsidRPr="00A23800">
        <w:rPr>
          <w:rFonts w:ascii="Calibri" w:hAnsi="Calibri"/>
          <w:color w:val="231F20"/>
          <w:spacing w:val="11"/>
          <w:w w:val="105"/>
        </w:rPr>
        <w:t xml:space="preserve"> </w:t>
      </w:r>
      <w:r w:rsidRPr="00A23800">
        <w:rPr>
          <w:rFonts w:ascii="Calibri" w:hAnsi="Calibri"/>
          <w:color w:val="231F20"/>
          <w:w w:val="105"/>
        </w:rPr>
        <w:t>assure</w:t>
      </w:r>
      <w:r w:rsidRPr="00A23800">
        <w:rPr>
          <w:rFonts w:ascii="Calibri" w:hAnsi="Calibri"/>
          <w:color w:val="231F20"/>
          <w:spacing w:val="11"/>
          <w:w w:val="105"/>
        </w:rPr>
        <w:t xml:space="preserve"> </w:t>
      </w:r>
      <w:r w:rsidRPr="00A23800">
        <w:rPr>
          <w:rFonts w:ascii="Calibri" w:hAnsi="Calibri"/>
          <w:color w:val="231F20"/>
          <w:w w:val="105"/>
        </w:rPr>
        <w:t>that</w:t>
      </w:r>
      <w:r w:rsidRPr="00A23800">
        <w:rPr>
          <w:rFonts w:ascii="Calibri" w:hAnsi="Calibri"/>
          <w:color w:val="231F20"/>
          <w:spacing w:val="11"/>
          <w:w w:val="105"/>
        </w:rPr>
        <w:t xml:space="preserve"> </w:t>
      </w:r>
      <w:r w:rsidRPr="00A23800">
        <w:rPr>
          <w:rFonts w:ascii="Calibri" w:hAnsi="Calibri"/>
          <w:color w:val="231F20"/>
          <w:w w:val="105"/>
        </w:rPr>
        <w:t>the</w:t>
      </w:r>
      <w:r w:rsidRPr="00A23800">
        <w:rPr>
          <w:rFonts w:ascii="Calibri" w:hAnsi="Calibri"/>
          <w:color w:val="231F20"/>
          <w:spacing w:val="11"/>
          <w:w w:val="105"/>
        </w:rPr>
        <w:t xml:space="preserve"> </w:t>
      </w:r>
      <w:r w:rsidRPr="00A23800">
        <w:rPr>
          <w:rFonts w:ascii="Calibri" w:hAnsi="Calibri"/>
          <w:color w:val="231F20"/>
          <w:w w:val="105"/>
        </w:rPr>
        <w:t>expanded</w:t>
      </w:r>
      <w:r w:rsidRPr="00A23800">
        <w:rPr>
          <w:rFonts w:ascii="Calibri" w:hAnsi="Calibri"/>
          <w:color w:val="231F20"/>
          <w:spacing w:val="11"/>
          <w:w w:val="105"/>
        </w:rPr>
        <w:t xml:space="preserve"> </w:t>
      </w:r>
      <w:r w:rsidRPr="00A23800">
        <w:rPr>
          <w:rFonts w:ascii="Calibri" w:hAnsi="Calibri"/>
          <w:color w:val="231F20"/>
          <w:w w:val="105"/>
        </w:rPr>
        <w:t>services</w:t>
      </w:r>
      <w:r w:rsidRPr="00A23800">
        <w:rPr>
          <w:rFonts w:ascii="Calibri" w:hAnsi="Calibri"/>
          <w:color w:val="231F20"/>
          <w:spacing w:val="11"/>
          <w:w w:val="105"/>
        </w:rPr>
        <w:t xml:space="preserve"> </w:t>
      </w:r>
      <w:r w:rsidRPr="00A23800">
        <w:rPr>
          <w:rFonts w:ascii="Calibri" w:hAnsi="Calibri"/>
          <w:color w:val="231F20"/>
          <w:w w:val="105"/>
        </w:rPr>
        <w:t>provided</w:t>
      </w:r>
      <w:r w:rsidRPr="00A23800">
        <w:rPr>
          <w:rFonts w:ascii="Calibri" w:hAnsi="Calibri"/>
          <w:color w:val="231F20"/>
          <w:spacing w:val="11"/>
          <w:w w:val="105"/>
        </w:rPr>
        <w:t xml:space="preserve"> </w:t>
      </w:r>
      <w:r w:rsidRPr="00A23800">
        <w:rPr>
          <w:rFonts w:ascii="Calibri" w:hAnsi="Calibri"/>
          <w:color w:val="231F20"/>
          <w:w w:val="105"/>
        </w:rPr>
        <w:t>through</w:t>
      </w:r>
      <w:r w:rsidRPr="00A23800">
        <w:rPr>
          <w:rFonts w:ascii="Calibri" w:hAnsi="Calibri"/>
          <w:color w:val="231F20"/>
          <w:spacing w:val="11"/>
          <w:w w:val="105"/>
        </w:rPr>
        <w:t xml:space="preserve"> </w:t>
      </w:r>
      <w:r w:rsidRPr="00A23800">
        <w:rPr>
          <w:rFonts w:ascii="Calibri" w:hAnsi="Calibri"/>
          <w:color w:val="231F20"/>
          <w:w w:val="105"/>
        </w:rPr>
        <w:t>the</w:t>
      </w:r>
      <w:r w:rsidRPr="00A23800">
        <w:rPr>
          <w:rFonts w:ascii="Calibri" w:hAnsi="Calibri"/>
          <w:color w:val="231F20"/>
          <w:spacing w:val="-20"/>
          <w:w w:val="105"/>
        </w:rPr>
        <w:t xml:space="preserve"> </w:t>
      </w:r>
      <w:r w:rsidRPr="00A23800">
        <w:rPr>
          <w:rFonts w:ascii="Calibri" w:hAnsi="Calibri"/>
          <w:color w:val="231F20"/>
          <w:w w:val="105"/>
        </w:rPr>
        <w:t>TPCAs</w:t>
      </w:r>
      <w:r w:rsidRPr="00A23800">
        <w:rPr>
          <w:rFonts w:ascii="Calibri" w:hAnsi="Calibri"/>
          <w:color w:val="231F20"/>
          <w:spacing w:val="13"/>
          <w:w w:val="105"/>
        </w:rPr>
        <w:t xml:space="preserve"> </w:t>
      </w:r>
      <w:r w:rsidRPr="00A23800">
        <w:rPr>
          <w:rFonts w:ascii="Calibri" w:hAnsi="Calibri"/>
          <w:color w:val="231F20"/>
          <w:w w:val="105"/>
        </w:rPr>
        <w:t>will</w:t>
      </w:r>
      <w:r w:rsidRPr="00A23800">
        <w:rPr>
          <w:rFonts w:ascii="Calibri" w:hAnsi="Calibri"/>
          <w:color w:val="231F20"/>
          <w:spacing w:val="13"/>
          <w:w w:val="105"/>
        </w:rPr>
        <w:t xml:space="preserve"> </w:t>
      </w:r>
      <w:r w:rsidRPr="00A23800">
        <w:rPr>
          <w:rFonts w:ascii="Calibri" w:hAnsi="Calibri"/>
          <w:color w:val="231F20"/>
          <w:w w:val="105"/>
        </w:rPr>
        <w:t>be</w:t>
      </w:r>
      <w:r w:rsidRPr="00A23800">
        <w:rPr>
          <w:rFonts w:ascii="Calibri" w:hAnsi="Calibri"/>
          <w:color w:val="231F20"/>
          <w:spacing w:val="13"/>
          <w:w w:val="105"/>
        </w:rPr>
        <w:t xml:space="preserve"> </w:t>
      </w:r>
      <w:r w:rsidRPr="00A23800">
        <w:rPr>
          <w:rFonts w:ascii="Calibri" w:hAnsi="Calibri"/>
          <w:color w:val="231F20"/>
          <w:w w:val="105"/>
        </w:rPr>
        <w:t>available</w:t>
      </w:r>
      <w:r w:rsidRPr="00A23800">
        <w:rPr>
          <w:rFonts w:ascii="Calibri" w:hAnsi="Calibri"/>
          <w:color w:val="231F20"/>
          <w:spacing w:val="13"/>
          <w:w w:val="105"/>
        </w:rPr>
        <w:t xml:space="preserve"> </w:t>
      </w:r>
      <w:r w:rsidRPr="00A23800">
        <w:rPr>
          <w:rFonts w:ascii="Calibri" w:hAnsi="Calibri"/>
          <w:color w:val="231F20"/>
          <w:w w:val="105"/>
        </w:rPr>
        <w:t>in</w:t>
      </w:r>
      <w:r w:rsidRPr="00A23800">
        <w:rPr>
          <w:rFonts w:ascii="Calibri" w:hAnsi="Calibri"/>
          <w:color w:val="231F20"/>
          <w:spacing w:val="13"/>
          <w:w w:val="105"/>
        </w:rPr>
        <w:t xml:space="preserve"> </w:t>
      </w:r>
      <w:r w:rsidRPr="00A23800">
        <w:rPr>
          <w:rFonts w:ascii="Calibri" w:hAnsi="Calibri"/>
          <w:color w:val="231F20"/>
          <w:w w:val="105"/>
        </w:rPr>
        <w:t>all</w:t>
      </w:r>
      <w:r w:rsidRPr="00A23800">
        <w:rPr>
          <w:rFonts w:ascii="Calibri" w:hAnsi="Calibri"/>
          <w:color w:val="231F20"/>
          <w:spacing w:val="13"/>
          <w:w w:val="105"/>
        </w:rPr>
        <w:t xml:space="preserve"> </w:t>
      </w:r>
      <w:r w:rsidRPr="00A23800">
        <w:rPr>
          <w:rFonts w:ascii="Calibri" w:hAnsi="Calibri"/>
          <w:color w:val="231F20"/>
          <w:w w:val="105"/>
        </w:rPr>
        <w:t>political</w:t>
      </w:r>
      <w:r w:rsidRPr="00A23800">
        <w:rPr>
          <w:rFonts w:ascii="Calibri" w:hAnsi="Calibri"/>
          <w:color w:val="231F20"/>
          <w:spacing w:val="13"/>
          <w:w w:val="105"/>
        </w:rPr>
        <w:t xml:space="preserve"> </w:t>
      </w:r>
      <w:r w:rsidRPr="00A23800">
        <w:rPr>
          <w:rFonts w:ascii="Calibri" w:hAnsi="Calibri"/>
          <w:color w:val="231F20"/>
          <w:w w:val="105"/>
        </w:rPr>
        <w:t>subdivisions</w:t>
      </w:r>
      <w:r w:rsidRPr="00A23800">
        <w:rPr>
          <w:rFonts w:ascii="Calibri" w:hAnsi="Calibri"/>
          <w:color w:val="231F20"/>
          <w:spacing w:val="13"/>
          <w:w w:val="105"/>
        </w:rPr>
        <w:t xml:space="preserve"> </w:t>
      </w:r>
      <w:r w:rsidRPr="00A23800">
        <w:rPr>
          <w:rFonts w:ascii="Calibri" w:hAnsi="Calibri"/>
          <w:color w:val="231F20"/>
          <w:w w:val="105"/>
        </w:rPr>
        <w:t>(school</w:t>
      </w:r>
      <w:r w:rsidRPr="00A23800">
        <w:rPr>
          <w:rFonts w:ascii="Calibri" w:hAnsi="Calibri"/>
          <w:color w:val="231F20"/>
          <w:spacing w:val="13"/>
          <w:w w:val="105"/>
        </w:rPr>
        <w:t xml:space="preserve"> </w:t>
      </w:r>
      <w:r w:rsidRPr="00A23800">
        <w:rPr>
          <w:rFonts w:ascii="Calibri" w:hAnsi="Calibri"/>
          <w:color w:val="231F20"/>
          <w:w w:val="105"/>
        </w:rPr>
        <w:t>districts)</w:t>
      </w:r>
      <w:r w:rsidRPr="00A23800">
        <w:rPr>
          <w:rFonts w:ascii="Calibri" w:hAnsi="Calibri"/>
          <w:color w:val="231F20"/>
          <w:spacing w:val="13"/>
          <w:w w:val="105"/>
        </w:rPr>
        <w:t xml:space="preserve"> </w:t>
      </w:r>
      <w:r w:rsidRPr="00A23800">
        <w:rPr>
          <w:rFonts w:ascii="Calibri" w:hAnsi="Calibri"/>
          <w:color w:val="231F20"/>
          <w:w w:val="105"/>
        </w:rPr>
        <w:t>of</w:t>
      </w:r>
      <w:r w:rsidRPr="00A23800">
        <w:rPr>
          <w:rFonts w:ascii="Calibri" w:hAnsi="Calibri"/>
          <w:color w:val="231F20"/>
          <w:spacing w:val="13"/>
          <w:w w:val="105"/>
        </w:rPr>
        <w:t xml:space="preserve"> </w:t>
      </w:r>
      <w:r w:rsidRPr="00A23800">
        <w:rPr>
          <w:rFonts w:ascii="Calibri" w:hAnsi="Calibri"/>
          <w:color w:val="231F20"/>
          <w:w w:val="105"/>
        </w:rPr>
        <w:t>the</w:t>
      </w:r>
      <w:r w:rsidRPr="00A23800">
        <w:rPr>
          <w:rFonts w:ascii="Calibri" w:hAnsi="Calibri"/>
          <w:color w:val="231F20"/>
          <w:spacing w:val="13"/>
          <w:w w:val="105"/>
        </w:rPr>
        <w:t xml:space="preserve"> </w:t>
      </w:r>
      <w:r w:rsidRPr="00A23800">
        <w:rPr>
          <w:rFonts w:ascii="Calibri" w:hAnsi="Calibri"/>
          <w:color w:val="231F20"/>
          <w:w w:val="105"/>
        </w:rPr>
        <w:t>state.</w:t>
      </w:r>
      <w:r w:rsidRPr="00A23800">
        <w:rPr>
          <w:rFonts w:ascii="Calibri" w:hAnsi="Calibri"/>
          <w:color w:val="231F20"/>
          <w:spacing w:val="13"/>
          <w:w w:val="105"/>
        </w:rPr>
        <w:t xml:space="preserve"> </w:t>
      </w:r>
      <w:r w:rsidRPr="00A23800">
        <w:rPr>
          <w:rFonts w:ascii="Calibri" w:hAnsi="Calibri"/>
          <w:color w:val="231F20"/>
          <w:w w:val="105"/>
        </w:rPr>
        <w:t>A</w:t>
      </w:r>
      <w:r w:rsidRPr="00A23800">
        <w:rPr>
          <w:rFonts w:ascii="Calibri" w:hAnsi="Calibri"/>
          <w:color w:val="231F20"/>
          <w:spacing w:val="13"/>
          <w:w w:val="105"/>
        </w:rPr>
        <w:t xml:space="preserve"> </w:t>
      </w:r>
      <w:r w:rsidRPr="00A23800">
        <w:rPr>
          <w:rFonts w:ascii="Calibri" w:hAnsi="Calibri"/>
          <w:color w:val="231F20"/>
          <w:w w:val="105"/>
        </w:rPr>
        <w:t>Waiver</w:t>
      </w:r>
      <w:r w:rsidRPr="00A23800">
        <w:rPr>
          <w:rFonts w:ascii="Calibri" w:hAnsi="Calibri"/>
          <w:color w:val="231F20"/>
          <w:spacing w:val="13"/>
          <w:w w:val="105"/>
        </w:rPr>
        <w:t xml:space="preserve"> </w:t>
      </w:r>
      <w:r w:rsidRPr="00A23800">
        <w:rPr>
          <w:rFonts w:ascii="Calibri" w:hAnsi="Calibri"/>
          <w:color w:val="231F20"/>
          <w:w w:val="105"/>
        </w:rPr>
        <w:t>of</w:t>
      </w:r>
      <w:r w:rsidRPr="00A23800">
        <w:rPr>
          <w:rFonts w:ascii="Calibri" w:hAnsi="Calibri"/>
          <w:color w:val="231F20"/>
          <w:spacing w:val="13"/>
          <w:w w:val="105"/>
        </w:rPr>
        <w:t xml:space="preserve"> </w:t>
      </w:r>
      <w:r w:rsidRPr="00A23800">
        <w:rPr>
          <w:rFonts w:ascii="Calibri" w:hAnsi="Calibri"/>
          <w:color w:val="231F20"/>
          <w:w w:val="105"/>
        </w:rPr>
        <w:t>Statewideness</w:t>
      </w:r>
      <w:r w:rsidRPr="00A23800">
        <w:rPr>
          <w:rFonts w:ascii="Calibri" w:hAnsi="Calibri"/>
          <w:color w:val="231F20"/>
          <w:w w:val="107"/>
        </w:rPr>
        <w:t xml:space="preserve"> </w:t>
      </w:r>
      <w:r w:rsidRPr="00A23800">
        <w:rPr>
          <w:rFonts w:ascii="Calibri" w:hAnsi="Calibri"/>
          <w:color w:val="231F20"/>
          <w:w w:val="105"/>
        </w:rPr>
        <w:t xml:space="preserve">is requested in this </w:t>
      </w:r>
      <w:r w:rsidR="00D226F4">
        <w:rPr>
          <w:rFonts w:ascii="Calibri" w:hAnsi="Calibri"/>
          <w:color w:val="231F20"/>
          <w:w w:val="105"/>
        </w:rPr>
        <w:t>s</w:t>
      </w:r>
      <w:r w:rsidRPr="00A23800">
        <w:rPr>
          <w:rFonts w:ascii="Calibri" w:hAnsi="Calibri"/>
          <w:color w:val="231F20"/>
          <w:w w:val="105"/>
        </w:rPr>
        <w:t xml:space="preserve">tate </w:t>
      </w:r>
      <w:r w:rsidR="00D226F4">
        <w:rPr>
          <w:rFonts w:ascii="Calibri" w:hAnsi="Calibri"/>
          <w:color w:val="231F20"/>
          <w:w w:val="105"/>
        </w:rPr>
        <w:t>p</w:t>
      </w:r>
      <w:r w:rsidRPr="00A23800">
        <w:rPr>
          <w:rFonts w:ascii="Calibri" w:hAnsi="Calibri"/>
          <w:color w:val="231F20"/>
          <w:w w:val="105"/>
        </w:rPr>
        <w:t>lan.</w:t>
      </w:r>
    </w:p>
    <w:p w14:paraId="4D2E70AD" w14:textId="77777777" w:rsidR="003C027A" w:rsidRDefault="003C027A">
      <w:pPr>
        <w:rPr>
          <w:rFonts w:ascii="Calibri" w:hAnsi="Calibri"/>
          <w:b/>
          <w:bCs/>
          <w:color w:val="231F20"/>
          <w:w w:val="110"/>
          <w:u w:val="single" w:color="231F20"/>
        </w:rPr>
      </w:pPr>
      <w:r>
        <w:rPr>
          <w:rFonts w:ascii="Calibri" w:hAnsi="Calibri"/>
          <w:b/>
          <w:bCs/>
          <w:color w:val="231F20"/>
          <w:w w:val="110"/>
          <w:u w:val="single" w:color="231F20"/>
        </w:rPr>
        <w:br w:type="page"/>
      </w:r>
    </w:p>
    <w:p w14:paraId="14A5717F" w14:textId="0BFDE0A3" w:rsidR="003C027A" w:rsidRPr="00A23800" w:rsidRDefault="003C027A" w:rsidP="00D63204">
      <w:pPr>
        <w:widowControl w:val="0"/>
        <w:spacing w:after="0" w:line="240" w:lineRule="auto"/>
        <w:ind w:left="107"/>
        <w:outlineLvl w:val="2"/>
        <w:rPr>
          <w:rFonts w:ascii="Calibri" w:hAnsi="Calibri"/>
        </w:rPr>
      </w:pPr>
      <w:r w:rsidRPr="00A23800">
        <w:rPr>
          <w:rFonts w:ascii="Calibri" w:hAnsi="Calibri"/>
          <w:b/>
          <w:bCs/>
          <w:color w:val="231F20"/>
          <w:w w:val="110"/>
          <w:u w:val="single" w:color="231F20"/>
        </w:rPr>
        <w:lastRenderedPageBreak/>
        <w:t>Types of Services</w:t>
      </w:r>
      <w:r w:rsidRPr="00A23800">
        <w:rPr>
          <w:rFonts w:ascii="Calibri" w:hAnsi="Calibri"/>
          <w:b/>
          <w:bCs/>
          <w:color w:val="231F20"/>
          <w:spacing w:val="14"/>
          <w:w w:val="110"/>
          <w:u w:val="single" w:color="231F20"/>
        </w:rPr>
        <w:t xml:space="preserve"> </w:t>
      </w:r>
      <w:r w:rsidRPr="00A23800">
        <w:rPr>
          <w:rFonts w:ascii="Calibri" w:hAnsi="Calibri"/>
          <w:b/>
          <w:bCs/>
          <w:color w:val="231F20"/>
          <w:w w:val="110"/>
          <w:u w:val="single" w:color="231F20"/>
        </w:rPr>
        <w:t>Provided</w:t>
      </w:r>
    </w:p>
    <w:p w14:paraId="29FFBF06" w14:textId="77777777" w:rsidR="003C027A" w:rsidRPr="00A23800" w:rsidRDefault="003C027A" w:rsidP="00D63204">
      <w:pPr>
        <w:widowControl w:val="0"/>
        <w:spacing w:before="115" w:after="0" w:line="240" w:lineRule="auto"/>
        <w:ind w:left="107"/>
        <w:rPr>
          <w:rFonts w:ascii="Calibri" w:hAnsi="Calibri"/>
        </w:rPr>
      </w:pPr>
      <w:r w:rsidRPr="00A23800">
        <w:rPr>
          <w:rFonts w:ascii="Calibri" w:hAnsi="Calibri"/>
          <w:color w:val="231F20"/>
          <w:w w:val="105"/>
          <w:u w:val="single" w:color="231F20"/>
        </w:rPr>
        <w:t>School and Community-Based Transition Services for Students with Disabilities</w:t>
      </w:r>
    </w:p>
    <w:p w14:paraId="53501143" w14:textId="723FD085" w:rsidR="003C027A" w:rsidRPr="00A23800" w:rsidRDefault="003C027A" w:rsidP="00D63204">
      <w:pPr>
        <w:widowControl w:val="0"/>
        <w:spacing w:before="2" w:after="0" w:line="240" w:lineRule="auto"/>
        <w:ind w:left="107"/>
        <w:rPr>
          <w:rFonts w:ascii="Calibri" w:hAnsi="Calibri"/>
        </w:rPr>
      </w:pPr>
      <w:r w:rsidRPr="00A23800">
        <w:rPr>
          <w:rFonts w:ascii="Calibri" w:hAnsi="Calibri"/>
          <w:color w:val="231F20"/>
          <w:w w:val="105"/>
        </w:rPr>
        <w:t>On</w:t>
      </w:r>
      <w:r w:rsidRPr="00A23800">
        <w:rPr>
          <w:rFonts w:ascii="Calibri" w:hAnsi="Calibri"/>
          <w:color w:val="231F20"/>
          <w:spacing w:val="14"/>
          <w:w w:val="105"/>
        </w:rPr>
        <w:t xml:space="preserve"> </w:t>
      </w:r>
      <w:r w:rsidRPr="00A23800">
        <w:rPr>
          <w:rFonts w:ascii="Calibri" w:hAnsi="Calibri"/>
          <w:color w:val="231F20"/>
          <w:w w:val="105"/>
        </w:rPr>
        <w:t>an</w:t>
      </w:r>
      <w:r w:rsidRPr="00A23800">
        <w:rPr>
          <w:rFonts w:ascii="Calibri" w:hAnsi="Calibri"/>
          <w:color w:val="231F20"/>
          <w:spacing w:val="14"/>
          <w:w w:val="105"/>
        </w:rPr>
        <w:t xml:space="preserve"> </w:t>
      </w:r>
      <w:r w:rsidRPr="00A23800">
        <w:rPr>
          <w:rFonts w:ascii="Calibri" w:hAnsi="Calibri"/>
          <w:color w:val="231F20"/>
          <w:w w:val="105"/>
        </w:rPr>
        <w:t>annual</w:t>
      </w:r>
      <w:r w:rsidRPr="00A23800">
        <w:rPr>
          <w:rFonts w:ascii="Calibri" w:hAnsi="Calibri"/>
          <w:color w:val="231F20"/>
          <w:spacing w:val="14"/>
          <w:w w:val="105"/>
        </w:rPr>
        <w:t xml:space="preserve"> </w:t>
      </w:r>
      <w:r w:rsidRPr="00A23800">
        <w:rPr>
          <w:rFonts w:ascii="Calibri" w:hAnsi="Calibri"/>
          <w:color w:val="231F20"/>
          <w:w w:val="105"/>
        </w:rPr>
        <w:t>basis,</w:t>
      </w:r>
      <w:r w:rsidRPr="00A23800">
        <w:rPr>
          <w:rFonts w:ascii="Calibri" w:hAnsi="Calibri"/>
          <w:color w:val="231F20"/>
          <w:spacing w:val="14"/>
          <w:w w:val="105"/>
        </w:rPr>
        <w:t xml:space="preserve"> </w:t>
      </w:r>
      <w:r w:rsidRPr="00A23800">
        <w:rPr>
          <w:rFonts w:ascii="Calibri" w:hAnsi="Calibri"/>
          <w:color w:val="231F20"/>
          <w:w w:val="105"/>
        </w:rPr>
        <w:t>VR</w:t>
      </w:r>
      <w:r>
        <w:rPr>
          <w:rFonts w:ascii="Calibri" w:hAnsi="Calibri"/>
          <w:color w:val="231F20"/>
          <w:w w:val="105"/>
        </w:rPr>
        <w:t xml:space="preserve"> has</w:t>
      </w:r>
      <w:r w:rsidRPr="00A23800">
        <w:rPr>
          <w:rFonts w:ascii="Calibri" w:hAnsi="Calibri"/>
          <w:color w:val="231F20"/>
          <w:spacing w:val="14"/>
          <w:w w:val="105"/>
        </w:rPr>
        <w:t xml:space="preserve"> </w:t>
      </w:r>
      <w:r w:rsidRPr="00A23800">
        <w:rPr>
          <w:rFonts w:ascii="Calibri" w:hAnsi="Calibri"/>
          <w:color w:val="231F20"/>
          <w:w w:val="105"/>
        </w:rPr>
        <w:t>offer</w:t>
      </w:r>
      <w:r>
        <w:rPr>
          <w:rFonts w:ascii="Calibri" w:hAnsi="Calibri"/>
          <w:color w:val="231F20"/>
          <w:w w:val="105"/>
        </w:rPr>
        <w:t>ed</w:t>
      </w:r>
      <w:r w:rsidRPr="00A23800">
        <w:rPr>
          <w:rFonts w:ascii="Calibri" w:hAnsi="Calibri"/>
          <w:color w:val="231F20"/>
          <w:spacing w:val="14"/>
          <w:w w:val="105"/>
        </w:rPr>
        <w:t xml:space="preserve"> </w:t>
      </w:r>
      <w:r w:rsidRPr="00A23800">
        <w:rPr>
          <w:rFonts w:ascii="Calibri" w:hAnsi="Calibri"/>
          <w:color w:val="231F20"/>
          <w:w w:val="105"/>
        </w:rPr>
        <w:t>new</w:t>
      </w:r>
      <w:r w:rsidRPr="00A23800">
        <w:rPr>
          <w:rFonts w:ascii="Calibri" w:hAnsi="Calibri"/>
          <w:color w:val="231F20"/>
          <w:spacing w:val="14"/>
          <w:w w:val="105"/>
        </w:rPr>
        <w:t xml:space="preserve"> </w:t>
      </w:r>
      <w:r w:rsidRPr="00A23800">
        <w:rPr>
          <w:rFonts w:ascii="Calibri" w:hAnsi="Calibri"/>
          <w:color w:val="231F20"/>
          <w:w w:val="105"/>
        </w:rPr>
        <w:t>TPCAs</w:t>
      </w:r>
      <w:r w:rsidRPr="00A23800">
        <w:rPr>
          <w:rFonts w:ascii="Calibri" w:hAnsi="Calibri"/>
          <w:color w:val="231F20"/>
          <w:spacing w:val="14"/>
          <w:w w:val="105"/>
        </w:rPr>
        <w:t xml:space="preserve"> </w:t>
      </w:r>
      <w:r w:rsidRPr="00A23800">
        <w:rPr>
          <w:rFonts w:ascii="Calibri" w:hAnsi="Calibri"/>
          <w:color w:val="231F20"/>
          <w:w w:val="105"/>
        </w:rPr>
        <w:t>to</w:t>
      </w:r>
      <w:r w:rsidRPr="00A23800">
        <w:rPr>
          <w:rFonts w:ascii="Calibri" w:hAnsi="Calibri"/>
          <w:color w:val="231F20"/>
          <w:spacing w:val="14"/>
          <w:w w:val="105"/>
        </w:rPr>
        <w:t xml:space="preserve"> </w:t>
      </w:r>
      <w:r w:rsidRPr="00A23800">
        <w:rPr>
          <w:rFonts w:ascii="Calibri" w:hAnsi="Calibri"/>
          <w:color w:val="231F20"/>
          <w:w w:val="105"/>
        </w:rPr>
        <w:t>all</w:t>
      </w:r>
      <w:r w:rsidRPr="00A23800">
        <w:rPr>
          <w:rFonts w:ascii="Calibri" w:hAnsi="Calibri"/>
          <w:color w:val="231F20"/>
          <w:spacing w:val="14"/>
          <w:w w:val="105"/>
        </w:rPr>
        <w:t xml:space="preserve"> </w:t>
      </w:r>
      <w:r w:rsidRPr="00A23800">
        <w:rPr>
          <w:rFonts w:ascii="Calibri" w:hAnsi="Calibri"/>
          <w:color w:val="231F20"/>
          <w:w w:val="105"/>
        </w:rPr>
        <w:t>school</w:t>
      </w:r>
      <w:r w:rsidRPr="00A23800">
        <w:rPr>
          <w:rFonts w:ascii="Calibri" w:hAnsi="Calibri"/>
          <w:color w:val="231F20"/>
          <w:spacing w:val="14"/>
          <w:w w:val="105"/>
        </w:rPr>
        <w:t xml:space="preserve"> </w:t>
      </w:r>
      <w:r w:rsidRPr="00A23800">
        <w:rPr>
          <w:rFonts w:ascii="Calibri" w:hAnsi="Calibri"/>
          <w:color w:val="231F20"/>
          <w:w w:val="105"/>
        </w:rPr>
        <w:t>districts</w:t>
      </w:r>
      <w:r w:rsidRPr="00A23800">
        <w:rPr>
          <w:rFonts w:ascii="Calibri" w:hAnsi="Calibri"/>
          <w:color w:val="231F20"/>
          <w:spacing w:val="14"/>
          <w:w w:val="105"/>
        </w:rPr>
        <w:t xml:space="preserve"> </w:t>
      </w:r>
      <w:r w:rsidRPr="00A23800">
        <w:rPr>
          <w:rFonts w:ascii="Calibri" w:hAnsi="Calibri"/>
          <w:color w:val="231F20"/>
          <w:w w:val="105"/>
        </w:rPr>
        <w:t>in</w:t>
      </w:r>
      <w:r w:rsidRPr="00A23800">
        <w:rPr>
          <w:rFonts w:ascii="Calibri" w:hAnsi="Calibri"/>
          <w:color w:val="231F20"/>
          <w:spacing w:val="14"/>
          <w:w w:val="105"/>
        </w:rPr>
        <w:t xml:space="preserve"> </w:t>
      </w:r>
      <w:r w:rsidRPr="00A23800">
        <w:rPr>
          <w:rFonts w:ascii="Calibri" w:hAnsi="Calibri"/>
          <w:color w:val="231F20"/>
          <w:w w:val="105"/>
        </w:rPr>
        <w:t>the</w:t>
      </w:r>
      <w:r w:rsidRPr="00A23800">
        <w:rPr>
          <w:rFonts w:ascii="Calibri" w:hAnsi="Calibri"/>
          <w:color w:val="231F20"/>
          <w:spacing w:val="14"/>
          <w:w w:val="105"/>
        </w:rPr>
        <w:t xml:space="preserve"> </w:t>
      </w:r>
      <w:r w:rsidRPr="00A23800">
        <w:rPr>
          <w:rFonts w:ascii="Calibri" w:hAnsi="Calibri"/>
          <w:color w:val="231F20"/>
          <w:w w:val="105"/>
        </w:rPr>
        <w:t>state</w:t>
      </w:r>
      <w:r w:rsidRPr="00A23800">
        <w:rPr>
          <w:rFonts w:ascii="Calibri" w:hAnsi="Calibri"/>
          <w:color w:val="231F20"/>
          <w:spacing w:val="14"/>
          <w:w w:val="105"/>
        </w:rPr>
        <w:t xml:space="preserve"> </w:t>
      </w:r>
      <w:r w:rsidRPr="00A23800">
        <w:rPr>
          <w:rFonts w:ascii="Calibri" w:hAnsi="Calibri"/>
          <w:color w:val="231F20"/>
          <w:w w:val="105"/>
        </w:rPr>
        <w:t>of</w:t>
      </w:r>
      <w:r w:rsidRPr="00A23800">
        <w:rPr>
          <w:rFonts w:ascii="Calibri" w:hAnsi="Calibri"/>
          <w:color w:val="231F20"/>
          <w:spacing w:val="14"/>
          <w:w w:val="105"/>
        </w:rPr>
        <w:t xml:space="preserve"> </w:t>
      </w:r>
      <w:r w:rsidRPr="00A23800">
        <w:rPr>
          <w:rFonts w:ascii="Calibri" w:hAnsi="Calibri"/>
          <w:color w:val="231F20"/>
          <w:w w:val="105"/>
        </w:rPr>
        <w:t>Florida.</w:t>
      </w:r>
      <w:r w:rsidRPr="00A23800">
        <w:rPr>
          <w:rFonts w:ascii="Calibri" w:hAnsi="Calibri"/>
          <w:color w:val="231F20"/>
          <w:spacing w:val="14"/>
          <w:w w:val="105"/>
        </w:rPr>
        <w:t xml:space="preserve"> </w:t>
      </w:r>
      <w:r w:rsidRPr="00A23800">
        <w:rPr>
          <w:rFonts w:ascii="Calibri" w:hAnsi="Calibri"/>
          <w:color w:val="231F20"/>
          <w:w w:val="105"/>
        </w:rPr>
        <w:t>Although</w:t>
      </w:r>
      <w:r w:rsidRPr="00A23800">
        <w:rPr>
          <w:rFonts w:ascii="Calibri" w:hAnsi="Calibri"/>
          <w:color w:val="231F20"/>
          <w:spacing w:val="14"/>
          <w:w w:val="105"/>
        </w:rPr>
        <w:t xml:space="preserve"> </w:t>
      </w:r>
      <w:r w:rsidRPr="00A23800">
        <w:rPr>
          <w:rFonts w:ascii="Calibri" w:hAnsi="Calibri"/>
          <w:color w:val="231F20"/>
          <w:w w:val="105"/>
        </w:rPr>
        <w:t>VR</w:t>
      </w:r>
      <w:r w:rsidRPr="00A23800">
        <w:rPr>
          <w:rFonts w:ascii="Calibri" w:hAnsi="Calibri"/>
          <w:color w:val="231F20"/>
          <w:spacing w:val="-28"/>
          <w:w w:val="105"/>
        </w:rPr>
        <w:t xml:space="preserve"> </w:t>
      </w:r>
      <w:r w:rsidRPr="00A23800">
        <w:rPr>
          <w:rFonts w:ascii="Calibri" w:hAnsi="Calibri"/>
          <w:color w:val="231F20"/>
          <w:w w:val="105"/>
        </w:rPr>
        <w:t>approaches</w:t>
      </w:r>
      <w:r w:rsidRPr="00A23800">
        <w:rPr>
          <w:rFonts w:ascii="Calibri" w:hAnsi="Calibri"/>
          <w:color w:val="231F20"/>
          <w:spacing w:val="10"/>
          <w:w w:val="105"/>
        </w:rPr>
        <w:t xml:space="preserve"> </w:t>
      </w:r>
      <w:r w:rsidRPr="00A23800">
        <w:rPr>
          <w:rFonts w:ascii="Calibri" w:hAnsi="Calibri"/>
          <w:color w:val="231F20"/>
          <w:w w:val="105"/>
        </w:rPr>
        <w:t>and</w:t>
      </w:r>
      <w:r w:rsidRPr="00A23800">
        <w:rPr>
          <w:rFonts w:ascii="Calibri" w:hAnsi="Calibri"/>
          <w:color w:val="231F20"/>
          <w:spacing w:val="10"/>
          <w:w w:val="105"/>
        </w:rPr>
        <w:t xml:space="preserve"> </w:t>
      </w:r>
      <w:r w:rsidRPr="00A23800">
        <w:rPr>
          <w:rFonts w:ascii="Calibri" w:hAnsi="Calibri"/>
          <w:color w:val="231F20"/>
          <w:w w:val="105"/>
        </w:rPr>
        <w:t>offers</w:t>
      </w:r>
      <w:r w:rsidRPr="00A23800">
        <w:rPr>
          <w:rFonts w:ascii="Calibri" w:hAnsi="Calibri"/>
          <w:color w:val="231F20"/>
          <w:spacing w:val="10"/>
          <w:w w:val="105"/>
        </w:rPr>
        <w:t xml:space="preserve"> </w:t>
      </w:r>
      <w:r w:rsidRPr="00A23800">
        <w:rPr>
          <w:rFonts w:ascii="Calibri" w:hAnsi="Calibri"/>
          <w:color w:val="231F20"/>
          <w:w w:val="105"/>
        </w:rPr>
        <w:t>TPCA</w:t>
      </w:r>
      <w:r w:rsidRPr="00A23800">
        <w:rPr>
          <w:rFonts w:ascii="Calibri" w:hAnsi="Calibri"/>
          <w:color w:val="231F20"/>
          <w:spacing w:val="10"/>
          <w:w w:val="105"/>
        </w:rPr>
        <w:t xml:space="preserve"> </w:t>
      </w:r>
      <w:r w:rsidRPr="00A23800">
        <w:rPr>
          <w:rFonts w:ascii="Calibri" w:hAnsi="Calibri"/>
          <w:color w:val="231F20"/>
          <w:w w:val="105"/>
        </w:rPr>
        <w:t>to</w:t>
      </w:r>
      <w:r w:rsidRPr="00A23800">
        <w:rPr>
          <w:rFonts w:ascii="Calibri" w:hAnsi="Calibri"/>
          <w:color w:val="231F20"/>
          <w:spacing w:val="10"/>
          <w:w w:val="105"/>
        </w:rPr>
        <w:t xml:space="preserve"> </w:t>
      </w:r>
      <w:r w:rsidRPr="00A23800">
        <w:rPr>
          <w:rFonts w:ascii="Calibri" w:hAnsi="Calibri"/>
          <w:color w:val="231F20"/>
          <w:w w:val="105"/>
        </w:rPr>
        <w:t>all</w:t>
      </w:r>
      <w:r w:rsidRPr="00A23800">
        <w:rPr>
          <w:rFonts w:ascii="Calibri" w:hAnsi="Calibri"/>
          <w:color w:val="231F20"/>
          <w:spacing w:val="10"/>
          <w:w w:val="105"/>
        </w:rPr>
        <w:t xml:space="preserve"> </w:t>
      </w:r>
      <w:r w:rsidRPr="00A23800">
        <w:rPr>
          <w:rFonts w:ascii="Calibri" w:hAnsi="Calibri"/>
          <w:color w:val="231F20"/>
          <w:w w:val="105"/>
        </w:rPr>
        <w:t>districts,</w:t>
      </w:r>
      <w:r w:rsidRPr="00A23800">
        <w:rPr>
          <w:rFonts w:ascii="Calibri" w:hAnsi="Calibri"/>
          <w:color w:val="231F20"/>
          <w:spacing w:val="10"/>
          <w:w w:val="105"/>
        </w:rPr>
        <w:t xml:space="preserve"> </w:t>
      </w:r>
      <w:r w:rsidRPr="00A23800">
        <w:rPr>
          <w:rFonts w:ascii="Calibri" w:hAnsi="Calibri"/>
          <w:color w:val="231F20"/>
          <w:w w:val="105"/>
        </w:rPr>
        <w:t>the</w:t>
      </w:r>
      <w:r w:rsidRPr="00A23800">
        <w:rPr>
          <w:rFonts w:ascii="Calibri" w:hAnsi="Calibri"/>
          <w:color w:val="231F20"/>
          <w:spacing w:val="10"/>
          <w:w w:val="105"/>
        </w:rPr>
        <w:t xml:space="preserve"> </w:t>
      </w:r>
      <w:r w:rsidRPr="00A23800">
        <w:rPr>
          <w:rFonts w:ascii="Calibri" w:hAnsi="Calibri"/>
          <w:color w:val="231F20"/>
          <w:w w:val="105"/>
        </w:rPr>
        <w:t>partnership</w:t>
      </w:r>
      <w:r w:rsidRPr="00A23800">
        <w:rPr>
          <w:rFonts w:ascii="Calibri" w:hAnsi="Calibri"/>
          <w:color w:val="231F20"/>
          <w:spacing w:val="10"/>
          <w:w w:val="105"/>
        </w:rPr>
        <w:t xml:space="preserve"> </w:t>
      </w:r>
      <w:r w:rsidRPr="00A23800">
        <w:rPr>
          <w:rFonts w:ascii="Calibri" w:hAnsi="Calibri"/>
          <w:color w:val="231F20"/>
          <w:w w:val="105"/>
        </w:rPr>
        <w:t>is</w:t>
      </w:r>
      <w:r w:rsidRPr="00A23800">
        <w:rPr>
          <w:rFonts w:ascii="Calibri" w:hAnsi="Calibri"/>
          <w:color w:val="231F20"/>
          <w:spacing w:val="10"/>
          <w:w w:val="105"/>
        </w:rPr>
        <w:t xml:space="preserve"> </w:t>
      </w:r>
      <w:r w:rsidRPr="00A23800">
        <w:rPr>
          <w:rFonts w:ascii="Calibri" w:hAnsi="Calibri"/>
          <w:color w:val="231F20"/>
          <w:w w:val="105"/>
        </w:rPr>
        <w:t>dependent</w:t>
      </w:r>
      <w:r w:rsidRPr="00A23800">
        <w:rPr>
          <w:rFonts w:ascii="Calibri" w:hAnsi="Calibri"/>
          <w:color w:val="231F20"/>
          <w:spacing w:val="10"/>
          <w:w w:val="105"/>
        </w:rPr>
        <w:t xml:space="preserve"> </w:t>
      </w:r>
      <w:r w:rsidRPr="00A23800">
        <w:rPr>
          <w:rFonts w:ascii="Calibri" w:hAnsi="Calibri"/>
          <w:color w:val="231F20"/>
          <w:w w:val="105"/>
        </w:rPr>
        <w:t>on</w:t>
      </w:r>
      <w:r w:rsidRPr="00A23800">
        <w:rPr>
          <w:rFonts w:ascii="Calibri" w:hAnsi="Calibri"/>
          <w:color w:val="231F20"/>
          <w:spacing w:val="10"/>
          <w:w w:val="105"/>
        </w:rPr>
        <w:t xml:space="preserve"> </w:t>
      </w:r>
      <w:r w:rsidRPr="00A23800">
        <w:rPr>
          <w:rFonts w:ascii="Calibri" w:hAnsi="Calibri"/>
          <w:color w:val="231F20"/>
          <w:w w:val="105"/>
        </w:rPr>
        <w:t>the</w:t>
      </w:r>
      <w:r w:rsidRPr="00A23800">
        <w:rPr>
          <w:rFonts w:ascii="Calibri" w:hAnsi="Calibri"/>
          <w:color w:val="231F20"/>
          <w:spacing w:val="10"/>
          <w:w w:val="105"/>
        </w:rPr>
        <w:t xml:space="preserve"> </w:t>
      </w:r>
      <w:r w:rsidRPr="00A23800">
        <w:rPr>
          <w:rFonts w:ascii="Calibri" w:hAnsi="Calibri"/>
          <w:color w:val="231F20"/>
          <w:w w:val="105"/>
        </w:rPr>
        <w:t>individual</w:t>
      </w:r>
      <w:r w:rsidRPr="00A23800">
        <w:rPr>
          <w:rFonts w:ascii="Calibri" w:hAnsi="Calibri"/>
          <w:color w:val="231F20"/>
          <w:spacing w:val="10"/>
          <w:w w:val="105"/>
        </w:rPr>
        <w:t xml:space="preserve"> </w:t>
      </w:r>
      <w:r w:rsidRPr="00A23800">
        <w:rPr>
          <w:rFonts w:ascii="Calibri" w:hAnsi="Calibri"/>
          <w:color w:val="231F20"/>
          <w:w w:val="105"/>
        </w:rPr>
        <w:t>district’s</w:t>
      </w:r>
      <w:r w:rsidRPr="00A23800">
        <w:rPr>
          <w:rFonts w:ascii="Calibri" w:hAnsi="Calibri"/>
          <w:color w:val="231F20"/>
          <w:spacing w:val="-11"/>
          <w:w w:val="105"/>
        </w:rPr>
        <w:t xml:space="preserve"> </w:t>
      </w:r>
      <w:r w:rsidRPr="00A23800">
        <w:rPr>
          <w:rFonts w:ascii="Calibri" w:hAnsi="Calibri"/>
          <w:color w:val="231F20"/>
          <w:w w:val="105"/>
        </w:rPr>
        <w:t>decision</w:t>
      </w:r>
      <w:r w:rsidRPr="00A23800">
        <w:rPr>
          <w:rFonts w:ascii="Calibri" w:hAnsi="Calibri"/>
          <w:color w:val="231F20"/>
          <w:spacing w:val="20"/>
          <w:w w:val="105"/>
        </w:rPr>
        <w:t xml:space="preserve"> </w:t>
      </w:r>
      <w:r w:rsidRPr="00A23800">
        <w:rPr>
          <w:rFonts w:ascii="Calibri" w:hAnsi="Calibri"/>
          <w:color w:val="231F20"/>
          <w:w w:val="105"/>
        </w:rPr>
        <w:t>to</w:t>
      </w:r>
      <w:r w:rsidRPr="00A23800">
        <w:rPr>
          <w:rFonts w:ascii="Calibri" w:hAnsi="Calibri"/>
          <w:color w:val="231F20"/>
          <w:spacing w:val="20"/>
          <w:w w:val="105"/>
        </w:rPr>
        <w:t xml:space="preserve"> </w:t>
      </w:r>
      <w:r w:rsidRPr="00A23800">
        <w:rPr>
          <w:rFonts w:ascii="Calibri" w:hAnsi="Calibri"/>
          <w:color w:val="231F20"/>
          <w:w w:val="105"/>
        </w:rPr>
        <w:t>participate.</w:t>
      </w:r>
      <w:r w:rsidRPr="00A23800">
        <w:rPr>
          <w:rFonts w:ascii="Calibri" w:hAnsi="Calibri"/>
          <w:color w:val="231F20"/>
          <w:spacing w:val="20"/>
          <w:w w:val="105"/>
        </w:rPr>
        <w:t xml:space="preserve"> </w:t>
      </w:r>
      <w:r w:rsidRPr="00A23800">
        <w:rPr>
          <w:rFonts w:ascii="Calibri" w:hAnsi="Calibri"/>
          <w:color w:val="231F20"/>
          <w:w w:val="105"/>
        </w:rPr>
        <w:t>VR</w:t>
      </w:r>
      <w:r w:rsidRPr="00A23800">
        <w:rPr>
          <w:rFonts w:ascii="Calibri" w:hAnsi="Calibri"/>
          <w:color w:val="231F20"/>
          <w:spacing w:val="20"/>
          <w:w w:val="105"/>
        </w:rPr>
        <w:t xml:space="preserve"> </w:t>
      </w:r>
      <w:r w:rsidRPr="00A23800">
        <w:rPr>
          <w:rFonts w:ascii="Calibri" w:hAnsi="Calibri"/>
          <w:color w:val="231F20"/>
          <w:w w:val="105"/>
        </w:rPr>
        <w:t>currently</w:t>
      </w:r>
      <w:r w:rsidRPr="00A23800">
        <w:rPr>
          <w:rFonts w:ascii="Calibri" w:hAnsi="Calibri"/>
          <w:color w:val="231F20"/>
          <w:spacing w:val="20"/>
          <w:w w:val="105"/>
        </w:rPr>
        <w:t xml:space="preserve"> </w:t>
      </w:r>
      <w:r w:rsidRPr="00A23800">
        <w:rPr>
          <w:rFonts w:ascii="Calibri" w:hAnsi="Calibri"/>
          <w:color w:val="231F20"/>
          <w:w w:val="105"/>
        </w:rPr>
        <w:t>has</w:t>
      </w:r>
      <w:r w:rsidRPr="00A23800">
        <w:rPr>
          <w:rFonts w:ascii="Calibri" w:hAnsi="Calibri"/>
          <w:color w:val="231F20"/>
          <w:spacing w:val="20"/>
          <w:w w:val="105"/>
        </w:rPr>
        <w:t xml:space="preserve"> </w:t>
      </w:r>
      <w:r w:rsidRPr="00A23800">
        <w:rPr>
          <w:rFonts w:ascii="Calibri" w:hAnsi="Calibri"/>
          <w:color w:val="231F20"/>
          <w:w w:val="105"/>
        </w:rPr>
        <w:t>TPCAs</w:t>
      </w:r>
      <w:r w:rsidRPr="00A23800">
        <w:rPr>
          <w:rFonts w:ascii="Calibri" w:hAnsi="Calibri"/>
          <w:color w:val="231F20"/>
          <w:spacing w:val="20"/>
          <w:w w:val="105"/>
        </w:rPr>
        <w:t xml:space="preserve"> </w:t>
      </w:r>
      <w:r w:rsidRPr="00A23800">
        <w:rPr>
          <w:rFonts w:ascii="Calibri" w:hAnsi="Calibri"/>
          <w:color w:val="231F20"/>
          <w:w w:val="105"/>
        </w:rPr>
        <w:t>with</w:t>
      </w:r>
      <w:r w:rsidRPr="00A23800">
        <w:rPr>
          <w:rFonts w:ascii="Calibri" w:hAnsi="Calibri"/>
          <w:color w:val="231F20"/>
          <w:spacing w:val="20"/>
          <w:w w:val="105"/>
        </w:rPr>
        <w:t xml:space="preserve"> </w:t>
      </w:r>
      <w:r>
        <w:rPr>
          <w:rFonts w:ascii="Calibri" w:hAnsi="Calibri"/>
          <w:color w:val="231F20"/>
          <w:w w:val="105"/>
        </w:rPr>
        <w:t>25</w:t>
      </w:r>
      <w:r w:rsidRPr="00A23800">
        <w:rPr>
          <w:rFonts w:ascii="Calibri" w:hAnsi="Calibri"/>
          <w:color w:val="231F20"/>
          <w:spacing w:val="20"/>
          <w:w w:val="105"/>
        </w:rPr>
        <w:t xml:space="preserve"> </w:t>
      </w:r>
      <w:r w:rsidRPr="00A23800">
        <w:rPr>
          <w:rFonts w:ascii="Calibri" w:hAnsi="Calibri"/>
          <w:color w:val="231F20"/>
          <w:w w:val="105"/>
        </w:rPr>
        <w:t>school</w:t>
      </w:r>
      <w:r w:rsidRPr="00A23800">
        <w:rPr>
          <w:rFonts w:ascii="Calibri" w:hAnsi="Calibri"/>
          <w:color w:val="231F20"/>
          <w:spacing w:val="20"/>
          <w:w w:val="105"/>
        </w:rPr>
        <w:t xml:space="preserve"> </w:t>
      </w:r>
      <w:r w:rsidRPr="00A23800">
        <w:rPr>
          <w:rFonts w:ascii="Calibri" w:hAnsi="Calibri"/>
          <w:color w:val="231F20"/>
          <w:w w:val="105"/>
        </w:rPr>
        <w:t>districts</w:t>
      </w:r>
      <w:r w:rsidRPr="00A23800">
        <w:rPr>
          <w:rFonts w:ascii="Calibri" w:hAnsi="Calibri"/>
          <w:color w:val="231F20"/>
          <w:spacing w:val="20"/>
          <w:w w:val="105"/>
        </w:rPr>
        <w:t xml:space="preserve"> </w:t>
      </w:r>
      <w:r w:rsidRPr="00A23800">
        <w:rPr>
          <w:rFonts w:ascii="Calibri" w:hAnsi="Calibri"/>
          <w:color w:val="231F20"/>
          <w:w w:val="105"/>
        </w:rPr>
        <w:t>and</w:t>
      </w:r>
      <w:r w:rsidRPr="00A23800">
        <w:rPr>
          <w:rFonts w:ascii="Calibri" w:hAnsi="Calibri"/>
          <w:color w:val="231F20"/>
          <w:spacing w:val="20"/>
          <w:w w:val="105"/>
        </w:rPr>
        <w:t xml:space="preserve"> </w:t>
      </w:r>
      <w:r w:rsidRPr="00A23800">
        <w:rPr>
          <w:rFonts w:ascii="Calibri" w:hAnsi="Calibri"/>
          <w:color w:val="231F20"/>
          <w:w w:val="105"/>
        </w:rPr>
        <w:t>these</w:t>
      </w:r>
      <w:r w:rsidRPr="00A23800">
        <w:rPr>
          <w:rFonts w:ascii="Calibri" w:hAnsi="Calibri"/>
          <w:color w:val="231F20"/>
          <w:spacing w:val="20"/>
          <w:w w:val="105"/>
        </w:rPr>
        <w:t xml:space="preserve"> </w:t>
      </w:r>
      <w:r w:rsidRPr="00A23800">
        <w:rPr>
          <w:rFonts w:ascii="Calibri" w:hAnsi="Calibri"/>
          <w:color w:val="231F20"/>
          <w:w w:val="105"/>
        </w:rPr>
        <w:t>arrangements</w:t>
      </w:r>
      <w:r w:rsidRPr="00A23800">
        <w:rPr>
          <w:rFonts w:ascii="Calibri" w:hAnsi="Calibri"/>
          <w:color w:val="231F20"/>
          <w:spacing w:val="20"/>
          <w:w w:val="105"/>
        </w:rPr>
        <w:t xml:space="preserve"> </w:t>
      </w:r>
      <w:r w:rsidRPr="00A23800">
        <w:rPr>
          <w:rFonts w:ascii="Calibri" w:hAnsi="Calibri"/>
          <w:color w:val="231F20"/>
          <w:w w:val="105"/>
        </w:rPr>
        <w:t>expire</w:t>
      </w:r>
      <w:r w:rsidRPr="00A23800">
        <w:rPr>
          <w:rFonts w:ascii="Calibri" w:hAnsi="Calibri"/>
          <w:color w:val="231F20"/>
          <w:w w:val="108"/>
        </w:rPr>
        <w:t xml:space="preserve"> </w:t>
      </w:r>
      <w:r w:rsidRPr="00A23800">
        <w:rPr>
          <w:rFonts w:ascii="Calibri" w:hAnsi="Calibri"/>
          <w:color w:val="231F20"/>
          <w:w w:val="105"/>
        </w:rPr>
        <w:t>in</w:t>
      </w:r>
      <w:r w:rsidRPr="00A23800">
        <w:rPr>
          <w:rFonts w:ascii="Calibri" w:hAnsi="Calibri"/>
          <w:color w:val="231F20"/>
          <w:spacing w:val="15"/>
          <w:w w:val="105"/>
        </w:rPr>
        <w:t xml:space="preserve"> </w:t>
      </w:r>
      <w:r w:rsidRPr="00A23800">
        <w:rPr>
          <w:rFonts w:ascii="Calibri" w:hAnsi="Calibri"/>
          <w:color w:val="231F20"/>
          <w:w w:val="105"/>
        </w:rPr>
        <w:t>June</w:t>
      </w:r>
      <w:r w:rsidRPr="00A23800">
        <w:rPr>
          <w:rFonts w:ascii="Calibri" w:hAnsi="Calibri"/>
          <w:color w:val="231F20"/>
          <w:spacing w:val="15"/>
          <w:w w:val="105"/>
        </w:rPr>
        <w:t xml:space="preserve"> </w:t>
      </w:r>
      <w:r>
        <w:rPr>
          <w:rFonts w:ascii="Calibri" w:hAnsi="Calibri"/>
          <w:color w:val="231F20"/>
          <w:w w:val="105"/>
        </w:rPr>
        <w:t>2018</w:t>
      </w:r>
      <w:r w:rsidRPr="00A23800">
        <w:rPr>
          <w:rFonts w:ascii="Calibri" w:hAnsi="Calibri"/>
          <w:color w:val="231F20"/>
          <w:w w:val="105"/>
        </w:rPr>
        <w:t>.</w:t>
      </w:r>
      <w:r>
        <w:rPr>
          <w:rFonts w:ascii="Calibri" w:hAnsi="Calibri"/>
          <w:color w:val="231F20"/>
          <w:w w:val="105"/>
        </w:rPr>
        <w:t xml:space="preserve"> </w:t>
      </w:r>
      <w:r w:rsidRPr="008B69E3">
        <w:rPr>
          <w:rFonts w:ascii="Calibri" w:hAnsi="Calibri"/>
          <w:color w:val="231F20"/>
          <w:w w:val="105"/>
        </w:rPr>
        <w:t xml:space="preserve">VR is in the process of revising the contractual agreement it offers to school districts, but new contracts have not been developed yet. Once developed, if the contract changes the way VR delivers Transition services, the </w:t>
      </w:r>
      <w:r w:rsidR="00D226F4">
        <w:rPr>
          <w:rFonts w:ascii="Calibri" w:hAnsi="Calibri"/>
          <w:color w:val="231F20"/>
          <w:w w:val="105"/>
        </w:rPr>
        <w:t>s</w:t>
      </w:r>
      <w:r w:rsidRPr="008B69E3">
        <w:rPr>
          <w:rFonts w:ascii="Calibri" w:hAnsi="Calibri"/>
          <w:color w:val="231F20"/>
          <w:w w:val="105"/>
        </w:rPr>
        <w:t xml:space="preserve">tate </w:t>
      </w:r>
      <w:r w:rsidR="00D226F4">
        <w:rPr>
          <w:rFonts w:ascii="Calibri" w:hAnsi="Calibri"/>
          <w:color w:val="231F20"/>
          <w:w w:val="105"/>
        </w:rPr>
        <w:t>p</w:t>
      </w:r>
      <w:r w:rsidRPr="008B69E3">
        <w:rPr>
          <w:rFonts w:ascii="Calibri" w:hAnsi="Calibri"/>
          <w:color w:val="231F20"/>
          <w:w w:val="105"/>
        </w:rPr>
        <w:t xml:space="preserve">lan will be amended </w:t>
      </w:r>
      <w:r>
        <w:rPr>
          <w:rFonts w:ascii="Calibri" w:hAnsi="Calibri"/>
          <w:color w:val="231F20"/>
          <w:w w:val="105"/>
        </w:rPr>
        <w:t>as needed.</w:t>
      </w:r>
      <w:r w:rsidRPr="00A23800">
        <w:rPr>
          <w:rFonts w:ascii="Calibri" w:hAnsi="Calibri"/>
          <w:color w:val="231F20"/>
          <w:spacing w:val="15"/>
          <w:w w:val="105"/>
        </w:rPr>
        <w:t xml:space="preserve"> </w:t>
      </w:r>
      <w:r w:rsidRPr="00A23800">
        <w:rPr>
          <w:rFonts w:ascii="Calibri" w:hAnsi="Calibri"/>
          <w:color w:val="231F20"/>
          <w:w w:val="105"/>
        </w:rPr>
        <w:t>The</w:t>
      </w:r>
      <w:r w:rsidRPr="00A23800">
        <w:rPr>
          <w:rFonts w:ascii="Calibri" w:hAnsi="Calibri"/>
          <w:color w:val="231F20"/>
          <w:spacing w:val="15"/>
          <w:w w:val="105"/>
        </w:rPr>
        <w:t xml:space="preserve"> </w:t>
      </w:r>
      <w:r w:rsidRPr="00A23800">
        <w:rPr>
          <w:rFonts w:ascii="Calibri" w:hAnsi="Calibri"/>
          <w:color w:val="231F20"/>
          <w:w w:val="105"/>
        </w:rPr>
        <w:t>one-year</w:t>
      </w:r>
      <w:r w:rsidRPr="00A23800">
        <w:rPr>
          <w:rFonts w:ascii="Calibri" w:hAnsi="Calibri"/>
          <w:color w:val="231F20"/>
          <w:spacing w:val="15"/>
          <w:w w:val="105"/>
        </w:rPr>
        <w:t xml:space="preserve"> </w:t>
      </w:r>
      <w:r w:rsidRPr="00A23800">
        <w:rPr>
          <w:rFonts w:ascii="Calibri" w:hAnsi="Calibri"/>
          <w:color w:val="231F20"/>
          <w:w w:val="105"/>
        </w:rPr>
        <w:t>arrangement</w:t>
      </w:r>
      <w:r w:rsidRPr="00A23800">
        <w:rPr>
          <w:rFonts w:ascii="Calibri" w:hAnsi="Calibri"/>
          <w:color w:val="231F20"/>
          <w:spacing w:val="15"/>
          <w:w w:val="105"/>
        </w:rPr>
        <w:t xml:space="preserve"> </w:t>
      </w:r>
      <w:r w:rsidRPr="00A23800">
        <w:rPr>
          <w:rFonts w:ascii="Calibri" w:hAnsi="Calibri"/>
          <w:color w:val="231F20"/>
          <w:w w:val="105"/>
        </w:rPr>
        <w:t>will</w:t>
      </w:r>
      <w:r w:rsidRPr="00A23800">
        <w:rPr>
          <w:rFonts w:ascii="Calibri" w:hAnsi="Calibri"/>
          <w:color w:val="231F20"/>
          <w:spacing w:val="15"/>
          <w:w w:val="105"/>
        </w:rPr>
        <w:t xml:space="preserve"> </w:t>
      </w:r>
      <w:r w:rsidRPr="00A23800">
        <w:rPr>
          <w:rFonts w:ascii="Calibri" w:hAnsi="Calibri"/>
          <w:color w:val="231F20"/>
          <w:w w:val="105"/>
        </w:rPr>
        <w:t>provide</w:t>
      </w:r>
      <w:r w:rsidRPr="00A23800">
        <w:rPr>
          <w:rFonts w:ascii="Calibri" w:hAnsi="Calibri"/>
          <w:color w:val="231F20"/>
          <w:spacing w:val="15"/>
          <w:w w:val="105"/>
        </w:rPr>
        <w:t xml:space="preserve"> </w:t>
      </w:r>
      <w:r w:rsidRPr="00A23800">
        <w:rPr>
          <w:rFonts w:ascii="Calibri" w:hAnsi="Calibri"/>
          <w:color w:val="231F20"/>
          <w:w w:val="105"/>
        </w:rPr>
        <w:t>community-based</w:t>
      </w:r>
      <w:r w:rsidRPr="00A23800">
        <w:rPr>
          <w:rFonts w:ascii="Calibri" w:hAnsi="Calibri"/>
          <w:color w:val="231F20"/>
          <w:spacing w:val="15"/>
          <w:w w:val="105"/>
        </w:rPr>
        <w:t xml:space="preserve"> </w:t>
      </w:r>
      <w:r w:rsidRPr="00A23800">
        <w:rPr>
          <w:rFonts w:ascii="Calibri" w:hAnsi="Calibri"/>
          <w:color w:val="231F20"/>
          <w:w w:val="105"/>
        </w:rPr>
        <w:t>work</w:t>
      </w:r>
      <w:r w:rsidRPr="00A23800">
        <w:rPr>
          <w:rFonts w:ascii="Calibri" w:hAnsi="Calibri"/>
          <w:color w:val="231F20"/>
          <w:spacing w:val="15"/>
          <w:w w:val="105"/>
        </w:rPr>
        <w:t xml:space="preserve"> </w:t>
      </w:r>
      <w:r w:rsidRPr="00A23800">
        <w:rPr>
          <w:rFonts w:ascii="Calibri" w:hAnsi="Calibri"/>
          <w:color w:val="231F20"/>
          <w:w w:val="105"/>
        </w:rPr>
        <w:t>experiences</w:t>
      </w:r>
      <w:r w:rsidRPr="00A23800">
        <w:rPr>
          <w:rFonts w:ascii="Calibri" w:hAnsi="Calibri"/>
          <w:color w:val="231F20"/>
          <w:spacing w:val="15"/>
          <w:w w:val="105"/>
        </w:rPr>
        <w:t xml:space="preserve"> </w:t>
      </w:r>
      <w:r w:rsidRPr="00A23800">
        <w:rPr>
          <w:rFonts w:ascii="Calibri" w:hAnsi="Calibri"/>
          <w:color w:val="231F20"/>
          <w:w w:val="105"/>
        </w:rPr>
        <w:t>to</w:t>
      </w:r>
      <w:r w:rsidRPr="00A23800">
        <w:rPr>
          <w:rFonts w:ascii="Calibri" w:hAnsi="Calibri"/>
          <w:color w:val="231F20"/>
          <w:spacing w:val="15"/>
          <w:w w:val="105"/>
        </w:rPr>
        <w:t xml:space="preserve"> </w:t>
      </w:r>
      <w:r w:rsidRPr="00A23800">
        <w:rPr>
          <w:rFonts w:ascii="Calibri" w:hAnsi="Calibri"/>
          <w:color w:val="231F20"/>
          <w:w w:val="105"/>
        </w:rPr>
        <w:t>eligible</w:t>
      </w:r>
      <w:r w:rsidRPr="00A23800">
        <w:rPr>
          <w:rFonts w:ascii="Calibri" w:hAnsi="Calibri"/>
          <w:color w:val="231F20"/>
          <w:spacing w:val="-7"/>
          <w:w w:val="105"/>
        </w:rPr>
        <w:t xml:space="preserve"> </w:t>
      </w:r>
      <w:r w:rsidRPr="00A23800">
        <w:rPr>
          <w:rFonts w:ascii="Calibri" w:hAnsi="Calibri"/>
          <w:color w:val="231F20"/>
          <w:w w:val="105"/>
        </w:rPr>
        <w:t>students</w:t>
      </w:r>
      <w:r w:rsidRPr="00A23800">
        <w:rPr>
          <w:rFonts w:ascii="Calibri" w:hAnsi="Calibri"/>
          <w:color w:val="231F20"/>
          <w:spacing w:val="16"/>
          <w:w w:val="105"/>
        </w:rPr>
        <w:t xml:space="preserve"> </w:t>
      </w:r>
      <w:r w:rsidRPr="00A23800">
        <w:rPr>
          <w:rFonts w:ascii="Calibri" w:hAnsi="Calibri"/>
          <w:color w:val="231F20"/>
          <w:w w:val="105"/>
        </w:rPr>
        <w:t>who</w:t>
      </w:r>
      <w:r w:rsidRPr="00A23800">
        <w:rPr>
          <w:rFonts w:ascii="Calibri" w:hAnsi="Calibri"/>
          <w:color w:val="231F20"/>
          <w:spacing w:val="16"/>
          <w:w w:val="105"/>
        </w:rPr>
        <w:t xml:space="preserve"> </w:t>
      </w:r>
      <w:r w:rsidRPr="00A23800">
        <w:rPr>
          <w:rFonts w:ascii="Calibri" w:hAnsi="Calibri"/>
          <w:color w:val="231F20"/>
          <w:w w:val="105"/>
        </w:rPr>
        <w:t>have</w:t>
      </w:r>
      <w:r w:rsidRPr="00A23800">
        <w:rPr>
          <w:rFonts w:ascii="Calibri" w:hAnsi="Calibri"/>
          <w:color w:val="231F20"/>
          <w:spacing w:val="16"/>
          <w:w w:val="105"/>
        </w:rPr>
        <w:t xml:space="preserve"> </w:t>
      </w:r>
      <w:r w:rsidRPr="00A23800">
        <w:rPr>
          <w:rFonts w:ascii="Calibri" w:hAnsi="Calibri"/>
          <w:color w:val="231F20"/>
          <w:w w:val="105"/>
        </w:rPr>
        <w:t>Supported</w:t>
      </w:r>
      <w:r w:rsidRPr="00A23800">
        <w:rPr>
          <w:rFonts w:ascii="Calibri" w:hAnsi="Calibri"/>
          <w:color w:val="231F20"/>
          <w:spacing w:val="16"/>
          <w:w w:val="105"/>
        </w:rPr>
        <w:t xml:space="preserve"> </w:t>
      </w:r>
      <w:r w:rsidRPr="00A23800">
        <w:rPr>
          <w:rFonts w:ascii="Calibri" w:hAnsi="Calibri"/>
          <w:color w:val="231F20"/>
          <w:w w:val="105"/>
        </w:rPr>
        <w:t>Employment</w:t>
      </w:r>
      <w:r w:rsidRPr="00A23800">
        <w:rPr>
          <w:rFonts w:ascii="Calibri" w:hAnsi="Calibri"/>
          <w:color w:val="231F20"/>
          <w:spacing w:val="16"/>
          <w:w w:val="105"/>
        </w:rPr>
        <w:t xml:space="preserve"> </w:t>
      </w:r>
      <w:r w:rsidRPr="00A23800">
        <w:rPr>
          <w:rFonts w:ascii="Calibri" w:hAnsi="Calibri"/>
          <w:color w:val="231F20"/>
          <w:w w:val="105"/>
        </w:rPr>
        <w:t>(SE)</w:t>
      </w:r>
      <w:r w:rsidRPr="00A23800">
        <w:rPr>
          <w:rFonts w:ascii="Calibri" w:hAnsi="Calibri"/>
          <w:color w:val="231F20"/>
          <w:spacing w:val="16"/>
          <w:w w:val="105"/>
        </w:rPr>
        <w:t xml:space="preserve"> </w:t>
      </w:r>
      <w:r w:rsidRPr="00A23800">
        <w:rPr>
          <w:rFonts w:ascii="Calibri" w:hAnsi="Calibri"/>
          <w:color w:val="231F20"/>
          <w:w w:val="105"/>
        </w:rPr>
        <w:t>service</w:t>
      </w:r>
      <w:r w:rsidRPr="00A23800">
        <w:rPr>
          <w:rFonts w:ascii="Calibri" w:hAnsi="Calibri"/>
          <w:color w:val="231F20"/>
          <w:spacing w:val="16"/>
          <w:w w:val="105"/>
        </w:rPr>
        <w:t xml:space="preserve"> </w:t>
      </w:r>
      <w:r w:rsidRPr="00A23800">
        <w:rPr>
          <w:rFonts w:ascii="Calibri" w:hAnsi="Calibri"/>
          <w:color w:val="231F20"/>
          <w:w w:val="105"/>
        </w:rPr>
        <w:t>needs</w:t>
      </w:r>
      <w:r w:rsidRPr="00A23800">
        <w:rPr>
          <w:rFonts w:ascii="Calibri" w:hAnsi="Calibri"/>
          <w:color w:val="231F20"/>
          <w:spacing w:val="16"/>
          <w:w w:val="105"/>
        </w:rPr>
        <w:t xml:space="preserve"> </w:t>
      </w:r>
      <w:r w:rsidRPr="00A23800">
        <w:rPr>
          <w:rFonts w:ascii="Calibri" w:hAnsi="Calibri"/>
          <w:color w:val="231F20"/>
          <w:w w:val="105"/>
        </w:rPr>
        <w:t>identified</w:t>
      </w:r>
      <w:r w:rsidRPr="00A23800">
        <w:rPr>
          <w:rFonts w:ascii="Calibri" w:hAnsi="Calibri"/>
          <w:color w:val="231F20"/>
          <w:spacing w:val="16"/>
          <w:w w:val="105"/>
        </w:rPr>
        <w:t xml:space="preserve"> </w:t>
      </w:r>
      <w:r w:rsidRPr="00A23800">
        <w:rPr>
          <w:rFonts w:ascii="Calibri" w:hAnsi="Calibri"/>
          <w:color w:val="231F20"/>
          <w:w w:val="105"/>
        </w:rPr>
        <w:t>in</w:t>
      </w:r>
      <w:r w:rsidRPr="00A23800">
        <w:rPr>
          <w:rFonts w:ascii="Calibri" w:hAnsi="Calibri"/>
          <w:color w:val="231F20"/>
          <w:spacing w:val="16"/>
          <w:w w:val="105"/>
        </w:rPr>
        <w:t xml:space="preserve"> </w:t>
      </w:r>
      <w:r w:rsidRPr="00A23800">
        <w:rPr>
          <w:rFonts w:ascii="Calibri" w:hAnsi="Calibri"/>
          <w:color w:val="231F20"/>
          <w:w w:val="105"/>
        </w:rPr>
        <w:t>their</w:t>
      </w:r>
      <w:r w:rsidRPr="00A23800">
        <w:rPr>
          <w:rFonts w:ascii="Calibri" w:hAnsi="Calibri"/>
          <w:color w:val="231F20"/>
          <w:spacing w:val="16"/>
          <w:w w:val="105"/>
        </w:rPr>
        <w:t xml:space="preserve"> </w:t>
      </w:r>
      <w:r w:rsidRPr="00A23800">
        <w:rPr>
          <w:rFonts w:ascii="Calibri" w:hAnsi="Calibri"/>
          <w:color w:val="231F20"/>
          <w:w w:val="105"/>
        </w:rPr>
        <w:t>Individual</w:t>
      </w:r>
      <w:r w:rsidRPr="00A23800">
        <w:rPr>
          <w:rFonts w:ascii="Calibri" w:hAnsi="Calibri"/>
          <w:color w:val="231F20"/>
          <w:spacing w:val="16"/>
          <w:w w:val="105"/>
        </w:rPr>
        <w:t xml:space="preserve"> </w:t>
      </w:r>
      <w:r w:rsidRPr="00A23800">
        <w:rPr>
          <w:rFonts w:ascii="Calibri" w:hAnsi="Calibri"/>
          <w:color w:val="231F20"/>
          <w:w w:val="105"/>
        </w:rPr>
        <w:t>Educational</w:t>
      </w:r>
      <w:r>
        <w:rPr>
          <w:rFonts w:ascii="Calibri" w:hAnsi="Calibri"/>
          <w:color w:val="231F20"/>
          <w:w w:val="105"/>
        </w:rPr>
        <w:t xml:space="preserve"> </w:t>
      </w:r>
      <w:r w:rsidRPr="00A23800">
        <w:rPr>
          <w:rFonts w:ascii="Calibri" w:hAnsi="Calibri"/>
          <w:color w:val="231F20"/>
          <w:w w:val="105"/>
        </w:rPr>
        <w:t>Plan</w:t>
      </w:r>
      <w:r w:rsidRPr="00A23800">
        <w:rPr>
          <w:rFonts w:ascii="Calibri" w:hAnsi="Calibri"/>
          <w:color w:val="231F20"/>
          <w:spacing w:val="17"/>
          <w:w w:val="105"/>
        </w:rPr>
        <w:t xml:space="preserve"> </w:t>
      </w:r>
      <w:r w:rsidRPr="00A23800">
        <w:rPr>
          <w:rFonts w:ascii="Calibri" w:hAnsi="Calibri"/>
          <w:color w:val="231F20"/>
          <w:w w:val="105"/>
        </w:rPr>
        <w:t>and</w:t>
      </w:r>
      <w:r w:rsidRPr="00A23800">
        <w:rPr>
          <w:rFonts w:ascii="Calibri" w:hAnsi="Calibri"/>
          <w:color w:val="231F20"/>
          <w:spacing w:val="17"/>
          <w:w w:val="105"/>
        </w:rPr>
        <w:t xml:space="preserve"> </w:t>
      </w:r>
      <w:r w:rsidRPr="00A23800">
        <w:rPr>
          <w:rFonts w:ascii="Calibri" w:hAnsi="Calibri"/>
          <w:color w:val="231F20"/>
          <w:w w:val="105"/>
        </w:rPr>
        <w:t>Individualized</w:t>
      </w:r>
      <w:r w:rsidRPr="00A23800">
        <w:rPr>
          <w:rFonts w:ascii="Calibri" w:hAnsi="Calibri"/>
          <w:color w:val="231F20"/>
          <w:spacing w:val="17"/>
          <w:w w:val="105"/>
        </w:rPr>
        <w:t xml:space="preserve"> </w:t>
      </w:r>
      <w:r w:rsidRPr="00A23800">
        <w:rPr>
          <w:rFonts w:ascii="Calibri" w:hAnsi="Calibri"/>
          <w:color w:val="231F20"/>
          <w:w w:val="105"/>
        </w:rPr>
        <w:t>Plan</w:t>
      </w:r>
      <w:r w:rsidRPr="00A23800">
        <w:rPr>
          <w:rFonts w:ascii="Calibri" w:hAnsi="Calibri"/>
          <w:color w:val="231F20"/>
          <w:spacing w:val="17"/>
          <w:w w:val="105"/>
        </w:rPr>
        <w:t xml:space="preserve"> </w:t>
      </w:r>
      <w:r w:rsidRPr="00A23800">
        <w:rPr>
          <w:rFonts w:ascii="Calibri" w:hAnsi="Calibri"/>
          <w:color w:val="231F20"/>
          <w:w w:val="105"/>
        </w:rPr>
        <w:t>for</w:t>
      </w:r>
      <w:r w:rsidRPr="00A23800">
        <w:rPr>
          <w:rFonts w:ascii="Calibri" w:hAnsi="Calibri"/>
          <w:color w:val="231F20"/>
          <w:spacing w:val="17"/>
          <w:w w:val="105"/>
        </w:rPr>
        <w:t xml:space="preserve"> </w:t>
      </w:r>
      <w:r w:rsidRPr="00A23800">
        <w:rPr>
          <w:rFonts w:ascii="Calibri" w:hAnsi="Calibri"/>
          <w:color w:val="231F20"/>
          <w:w w:val="105"/>
        </w:rPr>
        <w:t>Employment.</w:t>
      </w:r>
      <w:r w:rsidRPr="00A23800">
        <w:rPr>
          <w:rFonts w:ascii="Calibri" w:hAnsi="Calibri"/>
          <w:color w:val="231F20"/>
          <w:spacing w:val="17"/>
          <w:w w:val="105"/>
        </w:rPr>
        <w:t xml:space="preserve"> </w:t>
      </w:r>
      <w:r w:rsidRPr="00A23800">
        <w:rPr>
          <w:rFonts w:ascii="Calibri" w:hAnsi="Calibri"/>
          <w:color w:val="231F20"/>
          <w:w w:val="105"/>
        </w:rPr>
        <w:t>This</w:t>
      </w:r>
      <w:r w:rsidRPr="00A23800">
        <w:rPr>
          <w:rFonts w:ascii="Calibri" w:hAnsi="Calibri"/>
          <w:color w:val="231F20"/>
          <w:spacing w:val="17"/>
          <w:w w:val="105"/>
        </w:rPr>
        <w:t xml:space="preserve"> </w:t>
      </w:r>
      <w:r w:rsidRPr="00A23800">
        <w:rPr>
          <w:rFonts w:ascii="Calibri" w:hAnsi="Calibri"/>
          <w:color w:val="231F20"/>
          <w:w w:val="105"/>
        </w:rPr>
        <w:t>model</w:t>
      </w:r>
      <w:r w:rsidRPr="00A23800">
        <w:rPr>
          <w:rFonts w:ascii="Calibri" w:hAnsi="Calibri"/>
          <w:color w:val="231F20"/>
          <w:spacing w:val="17"/>
          <w:w w:val="105"/>
        </w:rPr>
        <w:t xml:space="preserve"> </w:t>
      </w:r>
      <w:r w:rsidRPr="00A23800">
        <w:rPr>
          <w:rFonts w:ascii="Calibri" w:hAnsi="Calibri"/>
          <w:color w:val="231F20"/>
          <w:w w:val="105"/>
        </w:rPr>
        <w:t>reimburses</w:t>
      </w:r>
      <w:r w:rsidRPr="00A23800">
        <w:rPr>
          <w:rFonts w:ascii="Calibri" w:hAnsi="Calibri"/>
          <w:color w:val="231F20"/>
          <w:spacing w:val="17"/>
          <w:w w:val="105"/>
        </w:rPr>
        <w:t xml:space="preserve"> </w:t>
      </w:r>
      <w:r w:rsidRPr="00A23800">
        <w:rPr>
          <w:rFonts w:ascii="Calibri" w:hAnsi="Calibri"/>
          <w:color w:val="231F20"/>
          <w:w w:val="105"/>
        </w:rPr>
        <w:t>school</w:t>
      </w:r>
      <w:r w:rsidRPr="00A23800">
        <w:rPr>
          <w:rFonts w:ascii="Calibri" w:hAnsi="Calibri"/>
          <w:color w:val="231F20"/>
          <w:spacing w:val="17"/>
          <w:w w:val="105"/>
        </w:rPr>
        <w:t xml:space="preserve"> </w:t>
      </w:r>
      <w:r w:rsidRPr="00A23800">
        <w:rPr>
          <w:rFonts w:ascii="Calibri" w:hAnsi="Calibri"/>
          <w:color w:val="231F20"/>
          <w:w w:val="105"/>
        </w:rPr>
        <w:t>districts</w:t>
      </w:r>
      <w:r w:rsidRPr="00A23800">
        <w:rPr>
          <w:rFonts w:ascii="Calibri" w:hAnsi="Calibri"/>
          <w:color w:val="231F20"/>
          <w:spacing w:val="17"/>
          <w:w w:val="105"/>
        </w:rPr>
        <w:t xml:space="preserve"> </w:t>
      </w:r>
      <w:r w:rsidRPr="00A23800">
        <w:rPr>
          <w:rFonts w:ascii="Calibri" w:hAnsi="Calibri"/>
          <w:color w:val="231F20"/>
          <w:w w:val="105"/>
        </w:rPr>
        <w:t>for</w:t>
      </w:r>
      <w:r w:rsidRPr="00A23800">
        <w:rPr>
          <w:rFonts w:ascii="Calibri" w:hAnsi="Calibri"/>
          <w:color w:val="231F20"/>
          <w:spacing w:val="17"/>
          <w:w w:val="105"/>
        </w:rPr>
        <w:t xml:space="preserve"> </w:t>
      </w:r>
      <w:r w:rsidRPr="00A23800">
        <w:rPr>
          <w:rFonts w:ascii="Calibri" w:hAnsi="Calibri"/>
          <w:color w:val="231F20"/>
          <w:w w:val="105"/>
        </w:rPr>
        <w:t>services</w:t>
      </w:r>
      <w:r w:rsidRPr="00A23800">
        <w:rPr>
          <w:rFonts w:ascii="Calibri" w:hAnsi="Calibri"/>
          <w:color w:val="231F20"/>
          <w:spacing w:val="17"/>
          <w:w w:val="105"/>
        </w:rPr>
        <w:t xml:space="preserve"> </w:t>
      </w:r>
      <w:r w:rsidRPr="00A23800">
        <w:rPr>
          <w:rFonts w:ascii="Calibri" w:hAnsi="Calibri"/>
          <w:color w:val="231F20"/>
          <w:w w:val="105"/>
        </w:rPr>
        <w:t>provided</w:t>
      </w:r>
      <w:r w:rsidRPr="00A23800">
        <w:rPr>
          <w:rFonts w:ascii="Calibri" w:hAnsi="Calibri"/>
          <w:color w:val="231F20"/>
          <w:w w:val="107"/>
        </w:rPr>
        <w:t xml:space="preserve"> </w:t>
      </w:r>
      <w:r w:rsidRPr="00A23800">
        <w:rPr>
          <w:rFonts w:ascii="Calibri" w:hAnsi="Calibri"/>
          <w:color w:val="231F20"/>
          <w:w w:val="105"/>
        </w:rPr>
        <w:t>to</w:t>
      </w:r>
      <w:r w:rsidRPr="00A23800">
        <w:rPr>
          <w:rFonts w:ascii="Calibri" w:hAnsi="Calibri"/>
          <w:color w:val="231F20"/>
          <w:spacing w:val="8"/>
          <w:w w:val="105"/>
        </w:rPr>
        <w:t xml:space="preserve"> </w:t>
      </w:r>
      <w:r w:rsidRPr="00A23800">
        <w:rPr>
          <w:rFonts w:ascii="Calibri" w:hAnsi="Calibri"/>
          <w:color w:val="231F20"/>
          <w:w w:val="105"/>
        </w:rPr>
        <w:t>VR-eligible</w:t>
      </w:r>
      <w:r w:rsidRPr="00A23800">
        <w:rPr>
          <w:rFonts w:ascii="Calibri" w:hAnsi="Calibri"/>
          <w:color w:val="231F20"/>
          <w:spacing w:val="8"/>
          <w:w w:val="105"/>
        </w:rPr>
        <w:t xml:space="preserve"> </w:t>
      </w:r>
      <w:r w:rsidRPr="00A23800">
        <w:rPr>
          <w:rFonts w:ascii="Calibri" w:hAnsi="Calibri"/>
          <w:color w:val="231F20"/>
          <w:w w:val="105"/>
        </w:rPr>
        <w:t>students</w:t>
      </w:r>
      <w:r w:rsidRPr="00A23800">
        <w:rPr>
          <w:rFonts w:ascii="Calibri" w:hAnsi="Calibri"/>
          <w:color w:val="231F20"/>
          <w:spacing w:val="8"/>
          <w:w w:val="105"/>
        </w:rPr>
        <w:t xml:space="preserve"> </w:t>
      </w:r>
      <w:r w:rsidRPr="00A23800">
        <w:rPr>
          <w:rFonts w:ascii="Calibri" w:hAnsi="Calibri"/>
          <w:color w:val="231F20"/>
          <w:w w:val="105"/>
        </w:rPr>
        <w:t>with</w:t>
      </w:r>
      <w:r w:rsidRPr="00A23800">
        <w:rPr>
          <w:rFonts w:ascii="Calibri" w:hAnsi="Calibri"/>
          <w:color w:val="231F20"/>
          <w:spacing w:val="8"/>
          <w:w w:val="105"/>
        </w:rPr>
        <w:t xml:space="preserve"> </w:t>
      </w:r>
      <w:r w:rsidRPr="00A23800">
        <w:rPr>
          <w:rFonts w:ascii="Calibri" w:hAnsi="Calibri"/>
          <w:color w:val="231F20"/>
          <w:w w:val="105"/>
        </w:rPr>
        <w:t>the</w:t>
      </w:r>
      <w:r w:rsidRPr="00A23800">
        <w:rPr>
          <w:rFonts w:ascii="Calibri" w:hAnsi="Calibri"/>
          <w:color w:val="231F20"/>
          <w:spacing w:val="8"/>
          <w:w w:val="105"/>
        </w:rPr>
        <w:t xml:space="preserve"> </w:t>
      </w:r>
      <w:r w:rsidRPr="00A23800">
        <w:rPr>
          <w:rFonts w:ascii="Calibri" w:hAnsi="Calibri"/>
          <w:color w:val="231F20"/>
          <w:w w:val="105"/>
        </w:rPr>
        <w:t>most</w:t>
      </w:r>
      <w:r w:rsidRPr="00A23800">
        <w:rPr>
          <w:rFonts w:ascii="Calibri" w:hAnsi="Calibri"/>
          <w:color w:val="231F20"/>
          <w:spacing w:val="8"/>
          <w:w w:val="105"/>
        </w:rPr>
        <w:t xml:space="preserve"> </w:t>
      </w:r>
      <w:r w:rsidRPr="00A23800">
        <w:rPr>
          <w:rFonts w:ascii="Calibri" w:hAnsi="Calibri"/>
          <w:color w:val="231F20"/>
          <w:w w:val="105"/>
        </w:rPr>
        <w:t>significant</w:t>
      </w:r>
      <w:r w:rsidRPr="00A23800">
        <w:rPr>
          <w:rFonts w:ascii="Calibri" w:hAnsi="Calibri"/>
          <w:color w:val="231F20"/>
          <w:spacing w:val="8"/>
          <w:w w:val="105"/>
        </w:rPr>
        <w:t xml:space="preserve"> </w:t>
      </w:r>
      <w:r w:rsidRPr="00A23800">
        <w:rPr>
          <w:rFonts w:ascii="Calibri" w:hAnsi="Calibri"/>
          <w:color w:val="231F20"/>
          <w:w w:val="105"/>
        </w:rPr>
        <w:t>disabilities</w:t>
      </w:r>
      <w:r w:rsidRPr="00A23800">
        <w:rPr>
          <w:rFonts w:ascii="Calibri" w:hAnsi="Calibri"/>
          <w:color w:val="231F20"/>
          <w:spacing w:val="8"/>
          <w:w w:val="105"/>
        </w:rPr>
        <w:t xml:space="preserve"> </w:t>
      </w:r>
      <w:r w:rsidRPr="00A23800">
        <w:rPr>
          <w:rFonts w:ascii="Calibri" w:hAnsi="Calibri"/>
          <w:color w:val="231F20"/>
          <w:w w:val="105"/>
        </w:rPr>
        <w:t>and</w:t>
      </w:r>
      <w:r w:rsidRPr="00A23800">
        <w:rPr>
          <w:rFonts w:ascii="Calibri" w:hAnsi="Calibri"/>
          <w:color w:val="231F20"/>
          <w:spacing w:val="8"/>
          <w:w w:val="105"/>
        </w:rPr>
        <w:t xml:space="preserve"> </w:t>
      </w:r>
      <w:r w:rsidRPr="00A23800">
        <w:rPr>
          <w:rFonts w:ascii="Calibri" w:hAnsi="Calibri"/>
          <w:color w:val="231F20"/>
          <w:w w:val="105"/>
        </w:rPr>
        <w:t>facilitates</w:t>
      </w:r>
      <w:r w:rsidRPr="00A23800">
        <w:rPr>
          <w:rFonts w:ascii="Calibri" w:hAnsi="Calibri"/>
          <w:color w:val="231F20"/>
          <w:spacing w:val="8"/>
          <w:w w:val="105"/>
        </w:rPr>
        <w:t xml:space="preserve"> </w:t>
      </w:r>
      <w:r w:rsidRPr="00A23800">
        <w:rPr>
          <w:rFonts w:ascii="Calibri" w:hAnsi="Calibri"/>
          <w:color w:val="231F20"/>
          <w:w w:val="105"/>
        </w:rPr>
        <w:t>a</w:t>
      </w:r>
      <w:r w:rsidRPr="00A23800">
        <w:rPr>
          <w:rFonts w:ascii="Calibri" w:hAnsi="Calibri"/>
          <w:color w:val="231F20"/>
          <w:spacing w:val="8"/>
          <w:w w:val="105"/>
        </w:rPr>
        <w:t xml:space="preserve"> </w:t>
      </w:r>
      <w:r w:rsidRPr="00A23800">
        <w:rPr>
          <w:rFonts w:ascii="Calibri" w:hAnsi="Calibri"/>
          <w:color w:val="231F20"/>
          <w:w w:val="105"/>
        </w:rPr>
        <w:t>seamless</w:t>
      </w:r>
      <w:r w:rsidRPr="00A23800">
        <w:rPr>
          <w:rFonts w:ascii="Calibri" w:hAnsi="Calibri"/>
          <w:color w:val="231F20"/>
          <w:spacing w:val="8"/>
          <w:w w:val="105"/>
        </w:rPr>
        <w:t xml:space="preserve"> </w:t>
      </w:r>
      <w:r w:rsidRPr="00A23800">
        <w:rPr>
          <w:rFonts w:ascii="Calibri" w:hAnsi="Calibri"/>
          <w:color w:val="231F20"/>
          <w:w w:val="105"/>
        </w:rPr>
        <w:t>transition</w:t>
      </w:r>
      <w:r w:rsidRPr="00A23800">
        <w:rPr>
          <w:rFonts w:ascii="Calibri" w:hAnsi="Calibri"/>
          <w:color w:val="231F20"/>
          <w:spacing w:val="8"/>
          <w:w w:val="105"/>
        </w:rPr>
        <w:t xml:space="preserve"> </w:t>
      </w:r>
      <w:r w:rsidRPr="00A23800">
        <w:rPr>
          <w:rFonts w:ascii="Calibri" w:hAnsi="Calibri"/>
          <w:color w:val="231F20"/>
          <w:w w:val="105"/>
        </w:rPr>
        <w:t>into</w:t>
      </w:r>
      <w:r w:rsidRPr="00A23800">
        <w:rPr>
          <w:rFonts w:ascii="Calibri" w:hAnsi="Calibri"/>
          <w:color w:val="231F20"/>
          <w:spacing w:val="-12"/>
          <w:w w:val="105"/>
        </w:rPr>
        <w:t xml:space="preserve"> </w:t>
      </w:r>
      <w:r w:rsidRPr="00A23800">
        <w:rPr>
          <w:rFonts w:ascii="Calibri" w:hAnsi="Calibri"/>
          <w:color w:val="231F20"/>
          <w:w w:val="105"/>
        </w:rPr>
        <w:t>postsecondary employment with</w:t>
      </w:r>
      <w:r w:rsidRPr="00A23800">
        <w:rPr>
          <w:rFonts w:ascii="Calibri" w:hAnsi="Calibri"/>
          <w:color w:val="231F20"/>
          <w:spacing w:val="52"/>
          <w:w w:val="105"/>
        </w:rPr>
        <w:t xml:space="preserve"> </w:t>
      </w:r>
      <w:r w:rsidRPr="00A23800">
        <w:rPr>
          <w:rFonts w:ascii="Calibri" w:hAnsi="Calibri"/>
          <w:color w:val="231F20"/>
          <w:w w:val="105"/>
        </w:rPr>
        <w:t>supports.</w:t>
      </w:r>
    </w:p>
    <w:p w14:paraId="41B30724" w14:textId="77777777" w:rsidR="003C027A" w:rsidRPr="00A23800" w:rsidRDefault="003C027A" w:rsidP="00D63204">
      <w:pPr>
        <w:widowControl w:val="0"/>
        <w:spacing w:before="195" w:after="0" w:line="240" w:lineRule="auto"/>
        <w:ind w:left="107"/>
        <w:rPr>
          <w:rFonts w:ascii="Calibri" w:hAnsi="Calibri"/>
        </w:rPr>
      </w:pPr>
      <w:r w:rsidRPr="00A23800">
        <w:rPr>
          <w:rFonts w:ascii="Calibri" w:hAnsi="Calibri"/>
          <w:color w:val="231F20"/>
          <w:w w:val="105"/>
        </w:rPr>
        <w:t>On-the-Job</w:t>
      </w:r>
      <w:r w:rsidRPr="00A23800">
        <w:rPr>
          <w:rFonts w:ascii="Calibri" w:hAnsi="Calibri"/>
          <w:color w:val="231F20"/>
          <w:spacing w:val="27"/>
          <w:w w:val="105"/>
        </w:rPr>
        <w:t xml:space="preserve"> </w:t>
      </w:r>
      <w:r w:rsidRPr="00A23800">
        <w:rPr>
          <w:rFonts w:ascii="Calibri" w:hAnsi="Calibri"/>
          <w:color w:val="231F20"/>
          <w:spacing w:val="-3"/>
          <w:w w:val="105"/>
        </w:rPr>
        <w:t>Training</w:t>
      </w:r>
      <w:r w:rsidRPr="00A23800">
        <w:rPr>
          <w:rFonts w:ascii="Calibri" w:hAnsi="Calibri"/>
          <w:color w:val="231F20"/>
          <w:spacing w:val="27"/>
          <w:w w:val="105"/>
        </w:rPr>
        <w:t xml:space="preserve"> </w:t>
      </w:r>
      <w:r w:rsidRPr="00A23800">
        <w:rPr>
          <w:rFonts w:ascii="Calibri" w:hAnsi="Calibri"/>
          <w:color w:val="231F20"/>
          <w:w w:val="105"/>
        </w:rPr>
        <w:t>(OJT),</w:t>
      </w:r>
      <w:r w:rsidRPr="00A23800">
        <w:rPr>
          <w:rFonts w:ascii="Calibri" w:hAnsi="Calibri"/>
          <w:color w:val="231F20"/>
          <w:spacing w:val="27"/>
          <w:w w:val="105"/>
        </w:rPr>
        <w:t xml:space="preserve"> </w:t>
      </w:r>
      <w:r w:rsidRPr="00A23800">
        <w:rPr>
          <w:rFonts w:ascii="Calibri" w:hAnsi="Calibri"/>
          <w:color w:val="231F20"/>
          <w:w w:val="105"/>
        </w:rPr>
        <w:t>through</w:t>
      </w:r>
      <w:r w:rsidRPr="00A23800">
        <w:rPr>
          <w:rFonts w:ascii="Calibri" w:hAnsi="Calibri"/>
          <w:color w:val="231F20"/>
          <w:spacing w:val="27"/>
          <w:w w:val="105"/>
        </w:rPr>
        <w:t xml:space="preserve"> </w:t>
      </w:r>
      <w:r w:rsidRPr="00A23800">
        <w:rPr>
          <w:rFonts w:ascii="Calibri" w:hAnsi="Calibri"/>
          <w:color w:val="231F20"/>
          <w:w w:val="105"/>
        </w:rPr>
        <w:t>VR</w:t>
      </w:r>
      <w:r w:rsidRPr="00A23800">
        <w:rPr>
          <w:rFonts w:ascii="Calibri" w:hAnsi="Calibri"/>
          <w:color w:val="231F20"/>
          <w:spacing w:val="27"/>
          <w:w w:val="105"/>
        </w:rPr>
        <w:t xml:space="preserve"> </w:t>
      </w:r>
      <w:r w:rsidRPr="00A23800">
        <w:rPr>
          <w:rFonts w:ascii="Calibri" w:hAnsi="Calibri"/>
          <w:color w:val="231F20"/>
          <w:w w:val="105"/>
        </w:rPr>
        <w:t>providers,</w:t>
      </w:r>
      <w:r w:rsidRPr="00A23800">
        <w:rPr>
          <w:rFonts w:ascii="Calibri" w:hAnsi="Calibri"/>
          <w:color w:val="231F20"/>
          <w:spacing w:val="27"/>
          <w:w w:val="105"/>
        </w:rPr>
        <w:t xml:space="preserve"> </w:t>
      </w:r>
      <w:r w:rsidRPr="00A23800">
        <w:rPr>
          <w:rFonts w:ascii="Calibri" w:hAnsi="Calibri"/>
          <w:color w:val="231F20"/>
          <w:w w:val="105"/>
        </w:rPr>
        <w:t>delivers</w:t>
      </w:r>
      <w:r w:rsidRPr="00A23800">
        <w:rPr>
          <w:rFonts w:ascii="Calibri" w:hAnsi="Calibri"/>
          <w:color w:val="231F20"/>
          <w:spacing w:val="27"/>
          <w:w w:val="105"/>
        </w:rPr>
        <w:t xml:space="preserve"> </w:t>
      </w:r>
      <w:r w:rsidRPr="00A23800">
        <w:rPr>
          <w:rFonts w:ascii="Calibri" w:hAnsi="Calibri"/>
          <w:color w:val="231F20"/>
          <w:w w:val="105"/>
        </w:rPr>
        <w:t>needed</w:t>
      </w:r>
      <w:r w:rsidRPr="00A23800">
        <w:rPr>
          <w:rFonts w:ascii="Calibri" w:hAnsi="Calibri"/>
          <w:color w:val="231F20"/>
          <w:spacing w:val="27"/>
          <w:w w:val="105"/>
        </w:rPr>
        <w:t xml:space="preserve"> </w:t>
      </w:r>
      <w:r w:rsidRPr="00A23800">
        <w:rPr>
          <w:rFonts w:ascii="Calibri" w:hAnsi="Calibri"/>
          <w:color w:val="231F20"/>
          <w:w w:val="105"/>
        </w:rPr>
        <w:t>community-based</w:t>
      </w:r>
      <w:r w:rsidRPr="00A23800">
        <w:rPr>
          <w:rFonts w:ascii="Calibri" w:hAnsi="Calibri"/>
          <w:color w:val="231F20"/>
          <w:spacing w:val="27"/>
          <w:w w:val="105"/>
        </w:rPr>
        <w:t xml:space="preserve"> </w:t>
      </w:r>
      <w:r w:rsidRPr="00A23800">
        <w:rPr>
          <w:rFonts w:ascii="Calibri" w:hAnsi="Calibri"/>
          <w:color w:val="231F20"/>
          <w:w w:val="105"/>
        </w:rPr>
        <w:t>work</w:t>
      </w:r>
      <w:r w:rsidRPr="00A23800">
        <w:rPr>
          <w:rFonts w:ascii="Calibri" w:hAnsi="Calibri"/>
          <w:color w:val="231F20"/>
          <w:spacing w:val="27"/>
          <w:w w:val="105"/>
        </w:rPr>
        <w:t xml:space="preserve"> </w:t>
      </w:r>
      <w:r w:rsidRPr="00A23800">
        <w:rPr>
          <w:rFonts w:ascii="Calibri" w:hAnsi="Calibri"/>
          <w:color w:val="231F20"/>
          <w:w w:val="105"/>
        </w:rPr>
        <w:t>experiences</w:t>
      </w:r>
      <w:r w:rsidRPr="00A23800">
        <w:rPr>
          <w:rFonts w:ascii="Calibri" w:hAnsi="Calibri"/>
          <w:color w:val="231F20"/>
          <w:spacing w:val="27"/>
          <w:w w:val="105"/>
        </w:rPr>
        <w:t xml:space="preserve"> </w:t>
      </w:r>
      <w:r w:rsidRPr="00A23800">
        <w:rPr>
          <w:rFonts w:ascii="Calibri" w:hAnsi="Calibri"/>
          <w:color w:val="231F20"/>
          <w:w w:val="105"/>
        </w:rPr>
        <w:t>to</w:t>
      </w:r>
      <w:r w:rsidRPr="00A23800">
        <w:rPr>
          <w:rFonts w:ascii="Calibri" w:hAnsi="Calibri"/>
          <w:color w:val="231F20"/>
          <w:spacing w:val="-51"/>
          <w:w w:val="105"/>
        </w:rPr>
        <w:t xml:space="preserve"> </w:t>
      </w:r>
      <w:r w:rsidRPr="00A23800">
        <w:rPr>
          <w:rFonts w:ascii="Calibri" w:hAnsi="Calibri"/>
          <w:color w:val="231F20"/>
          <w:w w:val="105"/>
        </w:rPr>
        <w:t>VR-eligible</w:t>
      </w:r>
      <w:r w:rsidRPr="00A23800">
        <w:rPr>
          <w:rFonts w:ascii="Calibri" w:hAnsi="Calibri"/>
          <w:color w:val="231F20"/>
          <w:spacing w:val="19"/>
          <w:w w:val="105"/>
        </w:rPr>
        <w:t xml:space="preserve"> </w:t>
      </w:r>
      <w:r w:rsidRPr="00A23800">
        <w:rPr>
          <w:rFonts w:ascii="Calibri" w:hAnsi="Calibri"/>
          <w:color w:val="231F20"/>
          <w:w w:val="105"/>
        </w:rPr>
        <w:t>students</w:t>
      </w:r>
      <w:r w:rsidRPr="00A23800">
        <w:rPr>
          <w:rFonts w:ascii="Calibri" w:hAnsi="Calibri"/>
          <w:color w:val="231F20"/>
          <w:spacing w:val="19"/>
          <w:w w:val="105"/>
        </w:rPr>
        <w:t xml:space="preserve"> </w:t>
      </w:r>
      <w:r w:rsidRPr="00A23800">
        <w:rPr>
          <w:rFonts w:ascii="Calibri" w:hAnsi="Calibri"/>
          <w:color w:val="231F20"/>
          <w:w w:val="105"/>
        </w:rPr>
        <w:t>who</w:t>
      </w:r>
      <w:r w:rsidRPr="00A23800">
        <w:rPr>
          <w:rFonts w:ascii="Calibri" w:hAnsi="Calibri"/>
          <w:color w:val="231F20"/>
          <w:spacing w:val="19"/>
          <w:w w:val="105"/>
        </w:rPr>
        <w:t xml:space="preserve"> </w:t>
      </w:r>
      <w:r w:rsidRPr="00A23800">
        <w:rPr>
          <w:rFonts w:ascii="Calibri" w:hAnsi="Calibri"/>
          <w:color w:val="231F20"/>
          <w:w w:val="105"/>
        </w:rPr>
        <w:t>do</w:t>
      </w:r>
      <w:r w:rsidRPr="00A23800">
        <w:rPr>
          <w:rFonts w:ascii="Calibri" w:hAnsi="Calibri"/>
          <w:color w:val="231F20"/>
          <w:spacing w:val="19"/>
          <w:w w:val="105"/>
        </w:rPr>
        <w:t xml:space="preserve"> </w:t>
      </w:r>
      <w:r w:rsidRPr="00A23800">
        <w:rPr>
          <w:rFonts w:ascii="Calibri" w:hAnsi="Calibri"/>
          <w:color w:val="231F20"/>
          <w:w w:val="105"/>
        </w:rPr>
        <w:t>not</w:t>
      </w:r>
      <w:r w:rsidRPr="00A23800">
        <w:rPr>
          <w:rFonts w:ascii="Calibri" w:hAnsi="Calibri"/>
          <w:color w:val="231F20"/>
          <w:spacing w:val="19"/>
          <w:w w:val="105"/>
        </w:rPr>
        <w:t xml:space="preserve"> </w:t>
      </w:r>
      <w:r w:rsidRPr="00A23800">
        <w:rPr>
          <w:rFonts w:ascii="Calibri" w:hAnsi="Calibri"/>
          <w:color w:val="231F20"/>
          <w:w w:val="105"/>
        </w:rPr>
        <w:t>require</w:t>
      </w:r>
      <w:r w:rsidRPr="00A23800">
        <w:rPr>
          <w:rFonts w:ascii="Calibri" w:hAnsi="Calibri"/>
          <w:color w:val="231F20"/>
          <w:spacing w:val="19"/>
          <w:w w:val="105"/>
        </w:rPr>
        <w:t xml:space="preserve"> </w:t>
      </w:r>
      <w:r w:rsidRPr="00A23800">
        <w:rPr>
          <w:rFonts w:ascii="Calibri" w:hAnsi="Calibri"/>
          <w:color w:val="231F20"/>
          <w:w w:val="105"/>
        </w:rPr>
        <w:t>the</w:t>
      </w:r>
      <w:r w:rsidRPr="00A23800">
        <w:rPr>
          <w:rFonts w:ascii="Calibri" w:hAnsi="Calibri"/>
          <w:color w:val="231F20"/>
          <w:spacing w:val="19"/>
          <w:w w:val="105"/>
        </w:rPr>
        <w:t xml:space="preserve"> </w:t>
      </w:r>
      <w:r w:rsidRPr="00A23800">
        <w:rPr>
          <w:rFonts w:ascii="Calibri" w:hAnsi="Calibri"/>
          <w:color w:val="231F20"/>
          <w:w w:val="105"/>
        </w:rPr>
        <w:t>intense</w:t>
      </w:r>
      <w:r w:rsidRPr="00A23800">
        <w:rPr>
          <w:rFonts w:ascii="Calibri" w:hAnsi="Calibri"/>
          <w:color w:val="231F20"/>
          <w:spacing w:val="19"/>
          <w:w w:val="105"/>
        </w:rPr>
        <w:t xml:space="preserve"> </w:t>
      </w:r>
      <w:r w:rsidRPr="00A23800">
        <w:rPr>
          <w:rFonts w:ascii="Calibri" w:hAnsi="Calibri"/>
          <w:color w:val="231F20"/>
          <w:w w:val="105"/>
        </w:rPr>
        <w:t>supports</w:t>
      </w:r>
      <w:r w:rsidRPr="00A23800">
        <w:rPr>
          <w:rFonts w:ascii="Calibri" w:hAnsi="Calibri"/>
          <w:color w:val="231F20"/>
          <w:spacing w:val="19"/>
          <w:w w:val="105"/>
        </w:rPr>
        <w:t xml:space="preserve"> </w:t>
      </w:r>
      <w:r w:rsidRPr="00A23800">
        <w:rPr>
          <w:rFonts w:ascii="Calibri" w:hAnsi="Calibri"/>
          <w:color w:val="231F20"/>
          <w:w w:val="105"/>
        </w:rPr>
        <w:t>provided</w:t>
      </w:r>
      <w:r w:rsidRPr="00A23800">
        <w:rPr>
          <w:rFonts w:ascii="Calibri" w:hAnsi="Calibri"/>
          <w:color w:val="231F20"/>
          <w:spacing w:val="19"/>
          <w:w w:val="105"/>
        </w:rPr>
        <w:t xml:space="preserve"> </w:t>
      </w:r>
      <w:r w:rsidRPr="00A23800">
        <w:rPr>
          <w:rFonts w:ascii="Calibri" w:hAnsi="Calibri"/>
          <w:color w:val="231F20"/>
          <w:w w:val="105"/>
        </w:rPr>
        <w:t>through</w:t>
      </w:r>
      <w:r w:rsidRPr="00A23800">
        <w:rPr>
          <w:rFonts w:ascii="Calibri" w:hAnsi="Calibri"/>
          <w:color w:val="231F20"/>
          <w:spacing w:val="19"/>
          <w:w w:val="105"/>
        </w:rPr>
        <w:t xml:space="preserve"> </w:t>
      </w:r>
      <w:r w:rsidRPr="00A23800">
        <w:rPr>
          <w:rFonts w:ascii="Calibri" w:hAnsi="Calibri"/>
          <w:color w:val="231F20"/>
          <w:w w:val="105"/>
        </w:rPr>
        <w:t>the</w:t>
      </w:r>
      <w:r w:rsidRPr="00A23800">
        <w:rPr>
          <w:rFonts w:ascii="Calibri" w:hAnsi="Calibri"/>
          <w:color w:val="231F20"/>
          <w:spacing w:val="19"/>
          <w:w w:val="105"/>
        </w:rPr>
        <w:t xml:space="preserve"> </w:t>
      </w:r>
      <w:r w:rsidRPr="00A23800">
        <w:rPr>
          <w:rFonts w:ascii="Calibri" w:hAnsi="Calibri"/>
          <w:color w:val="231F20"/>
          <w:w w:val="105"/>
        </w:rPr>
        <w:t>TPCA.</w:t>
      </w:r>
      <w:r w:rsidRPr="00A23800">
        <w:rPr>
          <w:rFonts w:ascii="Calibri" w:hAnsi="Calibri"/>
          <w:color w:val="231F20"/>
          <w:spacing w:val="19"/>
          <w:w w:val="105"/>
        </w:rPr>
        <w:t xml:space="preserve"> </w:t>
      </w:r>
      <w:r w:rsidRPr="00A23800">
        <w:rPr>
          <w:rFonts w:ascii="Calibri" w:hAnsi="Calibri"/>
          <w:color w:val="231F20"/>
          <w:w w:val="105"/>
        </w:rPr>
        <w:t>OJT</w:t>
      </w:r>
      <w:r w:rsidRPr="00A23800">
        <w:rPr>
          <w:rFonts w:ascii="Calibri" w:hAnsi="Calibri"/>
          <w:color w:val="231F20"/>
          <w:spacing w:val="19"/>
          <w:w w:val="105"/>
        </w:rPr>
        <w:t xml:space="preserve"> </w:t>
      </w:r>
      <w:r w:rsidRPr="00A23800">
        <w:rPr>
          <w:rFonts w:ascii="Calibri" w:hAnsi="Calibri"/>
          <w:color w:val="231F20"/>
          <w:w w:val="105"/>
        </w:rPr>
        <w:t>services</w:t>
      </w:r>
      <w:r w:rsidRPr="00A23800">
        <w:rPr>
          <w:rFonts w:ascii="Calibri" w:hAnsi="Calibri"/>
          <w:color w:val="231F20"/>
          <w:spacing w:val="-2"/>
          <w:w w:val="105"/>
        </w:rPr>
        <w:t xml:space="preserve"> </w:t>
      </w:r>
      <w:r w:rsidRPr="00A23800">
        <w:rPr>
          <w:rFonts w:ascii="Calibri" w:hAnsi="Calibri"/>
          <w:color w:val="231F20"/>
          <w:w w:val="105"/>
        </w:rPr>
        <w:t>are available</w:t>
      </w:r>
      <w:r w:rsidRPr="00A23800">
        <w:rPr>
          <w:rFonts w:ascii="Calibri" w:hAnsi="Calibri"/>
          <w:color w:val="231F20"/>
          <w:spacing w:val="36"/>
          <w:w w:val="105"/>
        </w:rPr>
        <w:t xml:space="preserve"> </w:t>
      </w:r>
      <w:r w:rsidRPr="00A23800">
        <w:rPr>
          <w:rFonts w:ascii="Calibri" w:hAnsi="Calibri"/>
          <w:color w:val="231F20"/>
          <w:w w:val="105"/>
        </w:rPr>
        <w:t>statewide.</w:t>
      </w:r>
    </w:p>
    <w:p w14:paraId="0C25B4B7" w14:textId="77777777" w:rsidR="003C027A" w:rsidRPr="00A23800" w:rsidRDefault="003C027A" w:rsidP="00D63204">
      <w:pPr>
        <w:widowControl w:val="0"/>
        <w:spacing w:before="6" w:after="0" w:line="240" w:lineRule="auto"/>
        <w:ind w:left="107"/>
        <w:rPr>
          <w:rFonts w:ascii="Calibri" w:hAnsi="Calibri" w:cs="Calibri"/>
          <w:sz w:val="16"/>
          <w:szCs w:val="16"/>
        </w:rPr>
      </w:pPr>
    </w:p>
    <w:p w14:paraId="1D9292A5" w14:textId="77777777" w:rsidR="003C027A" w:rsidRPr="003C027A" w:rsidRDefault="003C027A" w:rsidP="00D63204">
      <w:pPr>
        <w:widowControl w:val="0"/>
        <w:spacing w:after="0" w:line="240" w:lineRule="auto"/>
        <w:ind w:left="107"/>
        <w:rPr>
          <w:rFonts w:ascii="Calibri" w:hAnsi="Calibri"/>
          <w:b/>
        </w:rPr>
      </w:pPr>
      <w:r w:rsidRPr="003C027A">
        <w:rPr>
          <w:rFonts w:ascii="Calibri" w:hAnsi="Calibri"/>
          <w:b/>
          <w:color w:val="231F20"/>
          <w:w w:val="105"/>
          <w:u w:val="single" w:color="231F20"/>
        </w:rPr>
        <w:t>Written</w:t>
      </w:r>
      <w:r w:rsidRPr="003C027A">
        <w:rPr>
          <w:rFonts w:ascii="Calibri" w:hAnsi="Calibri"/>
          <w:b/>
          <w:color w:val="231F20"/>
          <w:spacing w:val="22"/>
          <w:w w:val="105"/>
          <w:u w:val="single" w:color="231F20"/>
        </w:rPr>
        <w:t xml:space="preserve"> </w:t>
      </w:r>
      <w:r w:rsidRPr="003C027A">
        <w:rPr>
          <w:rFonts w:ascii="Calibri" w:hAnsi="Calibri"/>
          <w:b/>
          <w:color w:val="231F20"/>
          <w:w w:val="105"/>
          <w:u w:val="single" w:color="231F20"/>
        </w:rPr>
        <w:t>Assurances</w:t>
      </w:r>
      <w:r w:rsidRPr="003C027A">
        <w:rPr>
          <w:rFonts w:ascii="Calibri" w:hAnsi="Calibri"/>
          <w:b/>
          <w:color w:val="231F20"/>
          <w:spacing w:val="-1"/>
          <w:w w:val="114"/>
          <w:u w:val="single" w:color="231F20"/>
        </w:rPr>
        <w:t xml:space="preserve"> </w:t>
      </w:r>
    </w:p>
    <w:p w14:paraId="1B108655" w14:textId="77777777" w:rsidR="003C027A" w:rsidRPr="00A23800" w:rsidRDefault="003C027A" w:rsidP="00D63204">
      <w:pPr>
        <w:widowControl w:val="0"/>
        <w:spacing w:before="2" w:after="0" w:line="240" w:lineRule="auto"/>
        <w:ind w:left="107"/>
        <w:rPr>
          <w:rFonts w:ascii="Calibri" w:hAnsi="Calibri"/>
        </w:rPr>
      </w:pPr>
      <w:r w:rsidRPr="00A23800">
        <w:rPr>
          <w:rFonts w:ascii="Calibri" w:hAnsi="Calibri"/>
          <w:color w:val="231F20"/>
          <w:w w:val="105"/>
        </w:rPr>
        <w:t>VR</w:t>
      </w:r>
      <w:r w:rsidRPr="00A23800">
        <w:rPr>
          <w:rFonts w:ascii="Calibri" w:hAnsi="Calibri"/>
          <w:color w:val="231F20"/>
          <w:spacing w:val="16"/>
          <w:w w:val="105"/>
        </w:rPr>
        <w:t xml:space="preserve"> </w:t>
      </w:r>
      <w:r w:rsidRPr="00A23800">
        <w:rPr>
          <w:rFonts w:ascii="Calibri" w:hAnsi="Calibri"/>
          <w:color w:val="231F20"/>
          <w:w w:val="105"/>
        </w:rPr>
        <w:t>assures</w:t>
      </w:r>
      <w:r w:rsidRPr="00A23800">
        <w:rPr>
          <w:rFonts w:ascii="Calibri" w:hAnsi="Calibri"/>
          <w:color w:val="231F20"/>
          <w:spacing w:val="16"/>
          <w:w w:val="105"/>
        </w:rPr>
        <w:t xml:space="preserve"> </w:t>
      </w:r>
      <w:r w:rsidRPr="00A23800">
        <w:rPr>
          <w:rFonts w:ascii="Calibri" w:hAnsi="Calibri"/>
          <w:color w:val="231F20"/>
          <w:w w:val="105"/>
        </w:rPr>
        <w:t>the</w:t>
      </w:r>
      <w:r w:rsidRPr="00A23800">
        <w:rPr>
          <w:rFonts w:ascii="Calibri" w:hAnsi="Calibri"/>
          <w:color w:val="231F20"/>
          <w:spacing w:val="16"/>
          <w:w w:val="105"/>
        </w:rPr>
        <w:t xml:space="preserve"> </w:t>
      </w:r>
      <w:r w:rsidRPr="00A23800">
        <w:rPr>
          <w:rFonts w:ascii="Calibri" w:hAnsi="Calibri"/>
          <w:color w:val="231F20"/>
          <w:w w:val="105"/>
        </w:rPr>
        <w:t>Rehabilitation</w:t>
      </w:r>
      <w:r w:rsidRPr="00A23800">
        <w:rPr>
          <w:rFonts w:ascii="Calibri" w:hAnsi="Calibri"/>
          <w:color w:val="231F20"/>
          <w:spacing w:val="16"/>
          <w:w w:val="105"/>
        </w:rPr>
        <w:t xml:space="preserve"> </w:t>
      </w:r>
      <w:r w:rsidRPr="00A23800">
        <w:rPr>
          <w:rFonts w:ascii="Calibri" w:hAnsi="Calibri"/>
          <w:color w:val="231F20"/>
          <w:w w:val="105"/>
        </w:rPr>
        <w:t>Services</w:t>
      </w:r>
      <w:r w:rsidRPr="00A23800">
        <w:rPr>
          <w:rFonts w:ascii="Calibri" w:hAnsi="Calibri"/>
          <w:color w:val="231F20"/>
          <w:spacing w:val="16"/>
          <w:w w:val="105"/>
        </w:rPr>
        <w:t xml:space="preserve"> </w:t>
      </w:r>
      <w:r w:rsidRPr="00A23800">
        <w:rPr>
          <w:rFonts w:ascii="Calibri" w:hAnsi="Calibri"/>
          <w:color w:val="231F20"/>
          <w:w w:val="105"/>
        </w:rPr>
        <w:t>Administration</w:t>
      </w:r>
      <w:r w:rsidRPr="00A23800">
        <w:rPr>
          <w:rFonts w:ascii="Calibri" w:hAnsi="Calibri"/>
          <w:color w:val="231F20"/>
          <w:spacing w:val="16"/>
          <w:w w:val="105"/>
        </w:rPr>
        <w:t xml:space="preserve"> </w:t>
      </w:r>
      <w:r w:rsidRPr="00A23800">
        <w:rPr>
          <w:rFonts w:ascii="Calibri" w:hAnsi="Calibri"/>
          <w:color w:val="231F20"/>
          <w:w w:val="105"/>
        </w:rPr>
        <w:t>that</w:t>
      </w:r>
      <w:r w:rsidRPr="00A23800">
        <w:rPr>
          <w:rFonts w:ascii="Calibri" w:hAnsi="Calibri"/>
          <w:color w:val="231F20"/>
          <w:spacing w:val="16"/>
          <w:w w:val="105"/>
        </w:rPr>
        <w:t xml:space="preserve"> </w:t>
      </w:r>
      <w:r w:rsidRPr="00A23800">
        <w:rPr>
          <w:rFonts w:ascii="Calibri" w:hAnsi="Calibri"/>
          <w:color w:val="231F20"/>
          <w:w w:val="105"/>
        </w:rPr>
        <w:t>it</w:t>
      </w:r>
      <w:r w:rsidRPr="00A23800">
        <w:rPr>
          <w:rFonts w:ascii="Calibri" w:hAnsi="Calibri"/>
          <w:color w:val="231F20"/>
          <w:spacing w:val="16"/>
          <w:w w:val="105"/>
        </w:rPr>
        <w:t xml:space="preserve"> </w:t>
      </w:r>
      <w:r w:rsidRPr="00A23800">
        <w:rPr>
          <w:rFonts w:ascii="Calibri" w:hAnsi="Calibri"/>
          <w:color w:val="231F20"/>
          <w:w w:val="105"/>
        </w:rPr>
        <w:t>has</w:t>
      </w:r>
      <w:r w:rsidRPr="00A23800">
        <w:rPr>
          <w:rFonts w:ascii="Calibri" w:hAnsi="Calibri"/>
          <w:color w:val="231F20"/>
          <w:spacing w:val="16"/>
          <w:w w:val="105"/>
        </w:rPr>
        <w:t xml:space="preserve"> </w:t>
      </w:r>
      <w:r w:rsidRPr="00A23800">
        <w:rPr>
          <w:rFonts w:ascii="Calibri" w:hAnsi="Calibri"/>
          <w:color w:val="231F20"/>
          <w:w w:val="105"/>
        </w:rPr>
        <w:t>TPCAs</w:t>
      </w:r>
      <w:r w:rsidRPr="00A23800">
        <w:rPr>
          <w:rFonts w:ascii="Calibri" w:hAnsi="Calibri"/>
          <w:color w:val="231F20"/>
          <w:spacing w:val="16"/>
          <w:w w:val="105"/>
        </w:rPr>
        <w:t xml:space="preserve"> </w:t>
      </w:r>
      <w:r w:rsidRPr="00A23800">
        <w:rPr>
          <w:rFonts w:ascii="Calibri" w:hAnsi="Calibri"/>
          <w:color w:val="231F20"/>
          <w:w w:val="105"/>
        </w:rPr>
        <w:t>with</w:t>
      </w:r>
      <w:r w:rsidRPr="00A23800">
        <w:rPr>
          <w:rFonts w:ascii="Calibri" w:hAnsi="Calibri"/>
          <w:color w:val="231F20"/>
          <w:spacing w:val="16"/>
          <w:w w:val="105"/>
        </w:rPr>
        <w:t xml:space="preserve"> </w:t>
      </w:r>
      <w:r w:rsidRPr="00A23800">
        <w:rPr>
          <w:rFonts w:ascii="Calibri" w:hAnsi="Calibri"/>
          <w:color w:val="231F20"/>
          <w:w w:val="105"/>
        </w:rPr>
        <w:t>certain</w:t>
      </w:r>
      <w:r w:rsidRPr="00A23800">
        <w:rPr>
          <w:rFonts w:ascii="Calibri" w:hAnsi="Calibri"/>
          <w:color w:val="231F20"/>
          <w:spacing w:val="16"/>
          <w:w w:val="105"/>
        </w:rPr>
        <w:t xml:space="preserve"> </w:t>
      </w:r>
      <w:r w:rsidRPr="00A23800">
        <w:rPr>
          <w:rFonts w:ascii="Calibri" w:hAnsi="Calibri"/>
          <w:color w:val="231F20"/>
          <w:w w:val="105"/>
        </w:rPr>
        <w:t>school</w:t>
      </w:r>
      <w:r w:rsidRPr="00A23800">
        <w:rPr>
          <w:rFonts w:ascii="Calibri" w:hAnsi="Calibri"/>
          <w:color w:val="231F20"/>
          <w:spacing w:val="16"/>
          <w:w w:val="105"/>
        </w:rPr>
        <w:t xml:space="preserve"> </w:t>
      </w:r>
      <w:r w:rsidRPr="00A23800">
        <w:rPr>
          <w:rFonts w:ascii="Calibri" w:hAnsi="Calibri"/>
          <w:color w:val="231F20"/>
          <w:w w:val="105"/>
        </w:rPr>
        <w:t>districts</w:t>
      </w:r>
      <w:r w:rsidRPr="00A23800">
        <w:rPr>
          <w:rFonts w:ascii="Calibri" w:hAnsi="Calibri"/>
          <w:color w:val="231F20"/>
          <w:spacing w:val="16"/>
          <w:w w:val="105"/>
        </w:rPr>
        <w:t xml:space="preserve"> </w:t>
      </w:r>
      <w:r w:rsidRPr="00A23800">
        <w:rPr>
          <w:rFonts w:ascii="Calibri" w:hAnsi="Calibri"/>
          <w:color w:val="231F20"/>
          <w:w w:val="105"/>
        </w:rPr>
        <w:t>and</w:t>
      </w:r>
      <w:r w:rsidRPr="00A23800">
        <w:rPr>
          <w:rFonts w:ascii="Calibri" w:hAnsi="Calibri"/>
          <w:color w:val="231F20"/>
          <w:w w:val="108"/>
        </w:rPr>
        <w:t xml:space="preserve"> </w:t>
      </w:r>
      <w:r w:rsidRPr="00A23800">
        <w:rPr>
          <w:rFonts w:ascii="Calibri" w:hAnsi="Calibri"/>
          <w:color w:val="231F20"/>
          <w:w w:val="105"/>
        </w:rPr>
        <w:t>will</w:t>
      </w:r>
      <w:r w:rsidRPr="00A23800">
        <w:rPr>
          <w:rFonts w:ascii="Calibri" w:hAnsi="Calibri"/>
          <w:color w:val="231F20"/>
          <w:spacing w:val="11"/>
          <w:w w:val="105"/>
        </w:rPr>
        <w:t xml:space="preserve"> </w:t>
      </w:r>
      <w:r w:rsidRPr="00A23800">
        <w:rPr>
          <w:rFonts w:ascii="Calibri" w:hAnsi="Calibri"/>
          <w:color w:val="231F20"/>
          <w:w w:val="105"/>
        </w:rPr>
        <w:t>provide</w:t>
      </w:r>
      <w:r w:rsidRPr="00A23800">
        <w:rPr>
          <w:rFonts w:ascii="Calibri" w:hAnsi="Calibri"/>
          <w:color w:val="231F20"/>
          <w:spacing w:val="11"/>
          <w:w w:val="105"/>
        </w:rPr>
        <w:t xml:space="preserve"> </w:t>
      </w:r>
      <w:r w:rsidRPr="00A23800">
        <w:rPr>
          <w:rFonts w:ascii="Calibri" w:hAnsi="Calibri"/>
          <w:color w:val="231F20"/>
          <w:w w:val="105"/>
        </w:rPr>
        <w:t>written</w:t>
      </w:r>
      <w:r w:rsidRPr="00A23800">
        <w:rPr>
          <w:rFonts w:ascii="Calibri" w:hAnsi="Calibri"/>
          <w:color w:val="231F20"/>
          <w:spacing w:val="11"/>
          <w:w w:val="105"/>
        </w:rPr>
        <w:t xml:space="preserve"> </w:t>
      </w:r>
      <w:r w:rsidRPr="00A23800">
        <w:rPr>
          <w:rFonts w:ascii="Calibri" w:hAnsi="Calibri"/>
          <w:color w:val="231F20"/>
          <w:w w:val="105"/>
        </w:rPr>
        <w:t>assurances</w:t>
      </w:r>
      <w:r w:rsidRPr="00A23800">
        <w:rPr>
          <w:rFonts w:ascii="Calibri" w:hAnsi="Calibri"/>
          <w:color w:val="231F20"/>
          <w:spacing w:val="11"/>
          <w:w w:val="105"/>
        </w:rPr>
        <w:t xml:space="preserve"> </w:t>
      </w:r>
      <w:r w:rsidRPr="00A23800">
        <w:rPr>
          <w:rFonts w:ascii="Calibri" w:hAnsi="Calibri"/>
          <w:color w:val="231F20"/>
          <w:w w:val="105"/>
        </w:rPr>
        <w:t>as</w:t>
      </w:r>
      <w:r w:rsidRPr="00A23800">
        <w:rPr>
          <w:rFonts w:ascii="Calibri" w:hAnsi="Calibri"/>
          <w:color w:val="231F20"/>
          <w:spacing w:val="11"/>
          <w:w w:val="105"/>
        </w:rPr>
        <w:t xml:space="preserve"> </w:t>
      </w:r>
      <w:r w:rsidRPr="00A23800">
        <w:rPr>
          <w:rFonts w:ascii="Calibri" w:hAnsi="Calibri"/>
          <w:color w:val="231F20"/>
          <w:w w:val="105"/>
        </w:rPr>
        <w:t>required.</w:t>
      </w:r>
      <w:r w:rsidRPr="00A23800">
        <w:rPr>
          <w:rFonts w:ascii="Calibri" w:hAnsi="Calibri"/>
          <w:color w:val="231F20"/>
          <w:spacing w:val="11"/>
          <w:w w:val="105"/>
        </w:rPr>
        <w:t xml:space="preserve"> </w:t>
      </w:r>
      <w:r w:rsidRPr="00A23800">
        <w:rPr>
          <w:rFonts w:ascii="Calibri" w:hAnsi="Calibri"/>
          <w:color w:val="231F20"/>
          <w:w w:val="105"/>
        </w:rPr>
        <w:t>Specifically,</w:t>
      </w:r>
      <w:r w:rsidRPr="00A23800">
        <w:rPr>
          <w:rFonts w:ascii="Calibri" w:hAnsi="Calibri"/>
          <w:color w:val="231F20"/>
          <w:spacing w:val="11"/>
          <w:w w:val="105"/>
        </w:rPr>
        <w:t xml:space="preserve"> </w:t>
      </w:r>
      <w:r w:rsidRPr="00A23800">
        <w:rPr>
          <w:rFonts w:ascii="Calibri" w:hAnsi="Calibri"/>
          <w:color w:val="231F20"/>
          <w:w w:val="105"/>
        </w:rPr>
        <w:t>each</w:t>
      </w:r>
      <w:r w:rsidRPr="00A23800">
        <w:rPr>
          <w:rFonts w:ascii="Calibri" w:hAnsi="Calibri"/>
          <w:color w:val="231F20"/>
          <w:spacing w:val="11"/>
          <w:w w:val="105"/>
        </w:rPr>
        <w:t xml:space="preserve"> </w:t>
      </w:r>
      <w:r w:rsidRPr="00A23800">
        <w:rPr>
          <w:rFonts w:ascii="Calibri" w:hAnsi="Calibri"/>
          <w:color w:val="231F20"/>
          <w:w w:val="105"/>
        </w:rPr>
        <w:t>arrangement</w:t>
      </w:r>
      <w:r w:rsidRPr="00A23800">
        <w:rPr>
          <w:rFonts w:ascii="Calibri" w:hAnsi="Calibri"/>
          <w:color w:val="231F20"/>
          <w:spacing w:val="11"/>
          <w:w w:val="105"/>
        </w:rPr>
        <w:t xml:space="preserve"> </w:t>
      </w:r>
      <w:r w:rsidRPr="00A23800">
        <w:rPr>
          <w:rFonts w:ascii="Calibri" w:hAnsi="Calibri"/>
          <w:color w:val="231F20"/>
          <w:w w:val="105"/>
        </w:rPr>
        <w:t>is</w:t>
      </w:r>
      <w:r w:rsidRPr="00A23800">
        <w:rPr>
          <w:rFonts w:ascii="Calibri" w:hAnsi="Calibri"/>
          <w:color w:val="231F20"/>
          <w:spacing w:val="11"/>
          <w:w w:val="105"/>
        </w:rPr>
        <w:t xml:space="preserve"> </w:t>
      </w:r>
      <w:r w:rsidRPr="00A23800">
        <w:rPr>
          <w:rFonts w:ascii="Calibri" w:hAnsi="Calibri"/>
          <w:color w:val="231F20"/>
          <w:w w:val="105"/>
        </w:rPr>
        <w:t>formalized</w:t>
      </w:r>
      <w:r w:rsidRPr="00A23800">
        <w:rPr>
          <w:rFonts w:ascii="Calibri" w:hAnsi="Calibri"/>
          <w:color w:val="231F20"/>
          <w:spacing w:val="11"/>
          <w:w w:val="105"/>
        </w:rPr>
        <w:t xml:space="preserve"> </w:t>
      </w:r>
      <w:r w:rsidRPr="00A23800">
        <w:rPr>
          <w:rFonts w:ascii="Calibri" w:hAnsi="Calibri"/>
          <w:color w:val="231F20"/>
          <w:w w:val="105"/>
        </w:rPr>
        <w:t>through</w:t>
      </w:r>
      <w:r w:rsidRPr="00A23800">
        <w:rPr>
          <w:rFonts w:ascii="Calibri" w:hAnsi="Calibri"/>
          <w:color w:val="231F20"/>
          <w:spacing w:val="11"/>
          <w:w w:val="105"/>
        </w:rPr>
        <w:t xml:space="preserve"> </w:t>
      </w:r>
      <w:r w:rsidRPr="00A23800">
        <w:rPr>
          <w:rFonts w:ascii="Calibri" w:hAnsi="Calibri"/>
          <w:color w:val="231F20"/>
          <w:w w:val="105"/>
        </w:rPr>
        <w:t>the</w:t>
      </w:r>
      <w:r w:rsidRPr="00A23800">
        <w:rPr>
          <w:rFonts w:ascii="Calibri" w:hAnsi="Calibri"/>
          <w:color w:val="231F20"/>
          <w:spacing w:val="-17"/>
          <w:w w:val="105"/>
        </w:rPr>
        <w:t xml:space="preserve"> </w:t>
      </w:r>
      <w:r w:rsidRPr="00A23800">
        <w:rPr>
          <w:rFonts w:ascii="Calibri" w:hAnsi="Calibri"/>
          <w:color w:val="231F20"/>
          <w:w w:val="105"/>
        </w:rPr>
        <w:t>contract procurement process and contains the following:</w:t>
      </w:r>
    </w:p>
    <w:p w14:paraId="63FE1BCE" w14:textId="47618D8A" w:rsidR="003C027A" w:rsidRPr="003C027A" w:rsidRDefault="003C027A" w:rsidP="00D63204">
      <w:pPr>
        <w:pStyle w:val="ListParagraph"/>
        <w:widowControl w:val="0"/>
        <w:numPr>
          <w:ilvl w:val="0"/>
          <w:numId w:val="102"/>
        </w:numPr>
        <w:tabs>
          <w:tab w:val="left" w:pos="828"/>
        </w:tabs>
        <w:spacing w:before="195" w:after="0" w:line="240" w:lineRule="auto"/>
        <w:rPr>
          <w:rFonts w:ascii="Calibri" w:hAnsi="Calibri" w:cs="Calibri"/>
        </w:rPr>
      </w:pPr>
      <w:r w:rsidRPr="003C027A">
        <w:rPr>
          <w:rFonts w:ascii="Calibri" w:hAnsi="Calibri"/>
          <w:color w:val="231F20"/>
          <w:w w:val="105"/>
        </w:rPr>
        <w:t>The</w:t>
      </w:r>
      <w:r w:rsidRPr="003C027A">
        <w:rPr>
          <w:rFonts w:ascii="Calibri" w:hAnsi="Calibri"/>
          <w:color w:val="231F20"/>
          <w:spacing w:val="9"/>
          <w:w w:val="105"/>
        </w:rPr>
        <w:t xml:space="preserve"> </w:t>
      </w:r>
      <w:r w:rsidRPr="003C027A">
        <w:rPr>
          <w:rFonts w:ascii="Calibri" w:hAnsi="Calibri"/>
          <w:color w:val="231F20"/>
          <w:w w:val="105"/>
        </w:rPr>
        <w:t>local</w:t>
      </w:r>
      <w:r w:rsidRPr="003C027A">
        <w:rPr>
          <w:rFonts w:ascii="Calibri" w:hAnsi="Calibri"/>
          <w:color w:val="231F20"/>
          <w:spacing w:val="9"/>
          <w:w w:val="105"/>
        </w:rPr>
        <w:t xml:space="preserve"> </w:t>
      </w:r>
      <w:r w:rsidRPr="003C027A">
        <w:rPr>
          <w:rFonts w:ascii="Calibri" w:hAnsi="Calibri"/>
          <w:color w:val="231F20"/>
          <w:w w:val="105"/>
        </w:rPr>
        <w:t>school</w:t>
      </w:r>
      <w:r w:rsidRPr="003C027A">
        <w:rPr>
          <w:rFonts w:ascii="Calibri" w:hAnsi="Calibri"/>
          <w:color w:val="231F20"/>
          <w:spacing w:val="9"/>
          <w:w w:val="105"/>
        </w:rPr>
        <w:t xml:space="preserve"> </w:t>
      </w:r>
      <w:r w:rsidRPr="003C027A">
        <w:rPr>
          <w:rFonts w:ascii="Calibri" w:hAnsi="Calibri"/>
          <w:color w:val="231F20"/>
          <w:w w:val="105"/>
        </w:rPr>
        <w:t>district</w:t>
      </w:r>
      <w:r w:rsidRPr="003C027A">
        <w:rPr>
          <w:rFonts w:ascii="Calibri" w:hAnsi="Calibri"/>
          <w:color w:val="231F20"/>
          <w:spacing w:val="9"/>
          <w:w w:val="105"/>
        </w:rPr>
        <w:t xml:space="preserve"> </w:t>
      </w:r>
      <w:r w:rsidRPr="003C027A">
        <w:rPr>
          <w:rFonts w:ascii="Calibri" w:hAnsi="Calibri"/>
          <w:color w:val="231F20"/>
          <w:w w:val="105"/>
        </w:rPr>
        <w:t>will</w:t>
      </w:r>
      <w:r w:rsidRPr="003C027A">
        <w:rPr>
          <w:rFonts w:ascii="Calibri" w:hAnsi="Calibri"/>
          <w:color w:val="231F20"/>
          <w:spacing w:val="9"/>
          <w:w w:val="105"/>
        </w:rPr>
        <w:t xml:space="preserve"> </w:t>
      </w:r>
      <w:r w:rsidRPr="003C027A">
        <w:rPr>
          <w:rFonts w:ascii="Calibri" w:hAnsi="Calibri"/>
          <w:color w:val="231F20"/>
          <w:w w:val="105"/>
        </w:rPr>
        <w:t>certify</w:t>
      </w:r>
      <w:r w:rsidRPr="003C027A">
        <w:rPr>
          <w:rFonts w:ascii="Calibri" w:hAnsi="Calibri"/>
          <w:color w:val="231F20"/>
          <w:spacing w:val="9"/>
          <w:w w:val="105"/>
        </w:rPr>
        <w:t xml:space="preserve"> </w:t>
      </w:r>
      <w:r w:rsidRPr="003C027A">
        <w:rPr>
          <w:rFonts w:ascii="Calibri" w:hAnsi="Calibri"/>
          <w:color w:val="231F20"/>
          <w:w w:val="105"/>
        </w:rPr>
        <w:t>to</w:t>
      </w:r>
      <w:r w:rsidRPr="003C027A">
        <w:rPr>
          <w:rFonts w:ascii="Calibri" w:hAnsi="Calibri"/>
          <w:color w:val="231F20"/>
          <w:spacing w:val="9"/>
          <w:w w:val="105"/>
        </w:rPr>
        <w:t xml:space="preserve"> </w:t>
      </w:r>
      <w:r w:rsidRPr="003C027A">
        <w:rPr>
          <w:rFonts w:ascii="Calibri" w:hAnsi="Calibri"/>
          <w:color w:val="231F20"/>
          <w:w w:val="105"/>
        </w:rPr>
        <w:t>VR</w:t>
      </w:r>
      <w:r w:rsidRPr="003C027A">
        <w:rPr>
          <w:rFonts w:ascii="Calibri" w:hAnsi="Calibri"/>
          <w:color w:val="231F20"/>
          <w:spacing w:val="9"/>
          <w:w w:val="105"/>
        </w:rPr>
        <w:t xml:space="preserve"> </w:t>
      </w:r>
      <w:r w:rsidRPr="003C027A">
        <w:rPr>
          <w:rFonts w:ascii="Calibri" w:hAnsi="Calibri"/>
          <w:color w:val="231F20"/>
          <w:w w:val="105"/>
        </w:rPr>
        <w:t>that</w:t>
      </w:r>
      <w:r w:rsidRPr="003C027A">
        <w:rPr>
          <w:rFonts w:ascii="Calibri" w:hAnsi="Calibri"/>
          <w:color w:val="231F20"/>
          <w:spacing w:val="9"/>
          <w:w w:val="105"/>
        </w:rPr>
        <w:t xml:space="preserve"> </w:t>
      </w:r>
      <w:r w:rsidRPr="003C027A">
        <w:rPr>
          <w:rFonts w:ascii="Calibri" w:hAnsi="Calibri"/>
          <w:color w:val="231F20"/>
          <w:w w:val="105"/>
        </w:rPr>
        <w:t>funds</w:t>
      </w:r>
      <w:r w:rsidRPr="003C027A">
        <w:rPr>
          <w:rFonts w:ascii="Calibri" w:hAnsi="Calibri"/>
          <w:color w:val="231F20"/>
          <w:spacing w:val="9"/>
          <w:w w:val="105"/>
        </w:rPr>
        <w:t xml:space="preserve"> </w:t>
      </w:r>
      <w:r w:rsidRPr="003C027A">
        <w:rPr>
          <w:rFonts w:ascii="Calibri" w:hAnsi="Calibri"/>
          <w:color w:val="231F20"/>
          <w:w w:val="105"/>
        </w:rPr>
        <w:t>used</w:t>
      </w:r>
      <w:r w:rsidRPr="003C027A">
        <w:rPr>
          <w:rFonts w:ascii="Calibri" w:hAnsi="Calibri"/>
          <w:color w:val="231F20"/>
          <w:spacing w:val="9"/>
          <w:w w:val="105"/>
        </w:rPr>
        <w:t xml:space="preserve"> </w:t>
      </w:r>
      <w:r w:rsidRPr="003C027A">
        <w:rPr>
          <w:rFonts w:ascii="Calibri" w:hAnsi="Calibri"/>
          <w:color w:val="231F20"/>
          <w:w w:val="105"/>
        </w:rPr>
        <w:t>for</w:t>
      </w:r>
      <w:r w:rsidRPr="003C027A">
        <w:rPr>
          <w:rFonts w:ascii="Calibri" w:hAnsi="Calibri"/>
          <w:color w:val="231F20"/>
          <w:spacing w:val="9"/>
          <w:w w:val="105"/>
        </w:rPr>
        <w:t xml:space="preserve"> </w:t>
      </w:r>
      <w:r w:rsidRPr="003C027A">
        <w:rPr>
          <w:rFonts w:ascii="Calibri" w:hAnsi="Calibri"/>
          <w:color w:val="231F20"/>
          <w:w w:val="105"/>
        </w:rPr>
        <w:t>match</w:t>
      </w:r>
      <w:r w:rsidRPr="003C027A">
        <w:rPr>
          <w:rFonts w:ascii="Calibri" w:hAnsi="Calibri"/>
          <w:color w:val="231F20"/>
          <w:spacing w:val="9"/>
          <w:w w:val="105"/>
        </w:rPr>
        <w:t xml:space="preserve"> </w:t>
      </w:r>
      <w:r w:rsidRPr="003C027A">
        <w:rPr>
          <w:rFonts w:ascii="Calibri" w:hAnsi="Calibri"/>
          <w:color w:val="231F20"/>
          <w:w w:val="105"/>
        </w:rPr>
        <w:t>funds</w:t>
      </w:r>
      <w:r w:rsidRPr="003C027A">
        <w:rPr>
          <w:rFonts w:ascii="Calibri" w:hAnsi="Calibri"/>
          <w:color w:val="231F20"/>
          <w:spacing w:val="9"/>
          <w:w w:val="105"/>
        </w:rPr>
        <w:t xml:space="preserve"> </w:t>
      </w:r>
      <w:r w:rsidRPr="003C027A">
        <w:rPr>
          <w:rFonts w:ascii="Calibri" w:hAnsi="Calibri"/>
          <w:color w:val="231F20"/>
          <w:w w:val="105"/>
        </w:rPr>
        <w:t>are</w:t>
      </w:r>
      <w:r w:rsidRPr="003C027A">
        <w:rPr>
          <w:rFonts w:ascii="Calibri" w:hAnsi="Calibri"/>
          <w:color w:val="231F20"/>
          <w:spacing w:val="9"/>
          <w:w w:val="105"/>
        </w:rPr>
        <w:t xml:space="preserve"> </w:t>
      </w:r>
      <w:r w:rsidRPr="003C027A">
        <w:rPr>
          <w:rFonts w:ascii="Calibri" w:hAnsi="Calibri"/>
          <w:color w:val="231F20"/>
          <w:w w:val="105"/>
        </w:rPr>
        <w:t>non-federal</w:t>
      </w:r>
      <w:r w:rsidRPr="003C027A">
        <w:rPr>
          <w:rFonts w:ascii="Calibri" w:hAnsi="Calibri"/>
          <w:color w:val="231F20"/>
          <w:spacing w:val="9"/>
          <w:w w:val="105"/>
        </w:rPr>
        <w:t xml:space="preserve"> </w:t>
      </w:r>
      <w:r w:rsidRPr="003C027A">
        <w:rPr>
          <w:rFonts w:ascii="Calibri" w:hAnsi="Calibri"/>
          <w:color w:val="231F20"/>
          <w:w w:val="105"/>
        </w:rPr>
        <w:t>and</w:t>
      </w:r>
      <w:r w:rsidRPr="003C027A">
        <w:rPr>
          <w:rFonts w:ascii="Calibri" w:hAnsi="Calibri"/>
          <w:color w:val="231F20"/>
          <w:spacing w:val="9"/>
          <w:w w:val="105"/>
        </w:rPr>
        <w:t xml:space="preserve"> </w:t>
      </w:r>
      <w:r w:rsidRPr="003C027A">
        <w:rPr>
          <w:rFonts w:ascii="Calibri" w:hAnsi="Calibri"/>
          <w:color w:val="231F20"/>
          <w:w w:val="105"/>
        </w:rPr>
        <w:t>are</w:t>
      </w:r>
      <w:r w:rsidRPr="003C027A">
        <w:rPr>
          <w:rFonts w:ascii="Calibri" w:hAnsi="Calibri"/>
          <w:color w:val="231F20"/>
          <w:w w:val="107"/>
        </w:rPr>
        <w:t xml:space="preserve"> </w:t>
      </w:r>
      <w:r w:rsidRPr="003C027A">
        <w:rPr>
          <w:rFonts w:ascii="Calibri" w:hAnsi="Calibri"/>
          <w:color w:val="231F20"/>
          <w:w w:val="105"/>
        </w:rPr>
        <w:t>not used for match in any other federally</w:t>
      </w:r>
      <w:r w:rsidR="00A47549">
        <w:rPr>
          <w:rFonts w:ascii="Calibri" w:hAnsi="Calibri"/>
          <w:color w:val="231F20"/>
          <w:w w:val="105"/>
        </w:rPr>
        <w:t xml:space="preserve"> </w:t>
      </w:r>
      <w:r w:rsidRPr="003C027A">
        <w:rPr>
          <w:rFonts w:ascii="Calibri" w:hAnsi="Calibri"/>
          <w:color w:val="231F20"/>
          <w:w w:val="105"/>
        </w:rPr>
        <w:t>or state-assisted project or</w:t>
      </w:r>
      <w:r w:rsidRPr="003C027A">
        <w:rPr>
          <w:rFonts w:ascii="Calibri" w:hAnsi="Calibri"/>
          <w:color w:val="231F20"/>
          <w:spacing w:val="11"/>
          <w:w w:val="105"/>
        </w:rPr>
        <w:t xml:space="preserve"> </w:t>
      </w:r>
      <w:r w:rsidRPr="003C027A">
        <w:rPr>
          <w:rFonts w:ascii="Calibri" w:hAnsi="Calibri"/>
          <w:color w:val="231F20"/>
          <w:w w:val="105"/>
        </w:rPr>
        <w:t>program.</w:t>
      </w:r>
    </w:p>
    <w:p w14:paraId="3C624EEE" w14:textId="77777777" w:rsidR="003C027A" w:rsidRPr="003C027A" w:rsidRDefault="003C027A" w:rsidP="00D63204">
      <w:pPr>
        <w:pStyle w:val="ListParagraph"/>
        <w:widowControl w:val="0"/>
        <w:tabs>
          <w:tab w:val="left" w:pos="828"/>
        </w:tabs>
        <w:spacing w:before="195" w:after="0" w:line="240" w:lineRule="auto"/>
        <w:ind w:left="827"/>
        <w:rPr>
          <w:rFonts w:ascii="Calibri" w:hAnsi="Calibri" w:cs="Calibri"/>
        </w:rPr>
      </w:pPr>
    </w:p>
    <w:p w14:paraId="7A2751CE" w14:textId="430C8996" w:rsidR="003C027A" w:rsidRPr="003C027A" w:rsidRDefault="003C027A" w:rsidP="00D63204">
      <w:pPr>
        <w:pStyle w:val="ListParagraph"/>
        <w:widowControl w:val="0"/>
        <w:numPr>
          <w:ilvl w:val="0"/>
          <w:numId w:val="102"/>
        </w:numPr>
        <w:tabs>
          <w:tab w:val="left" w:pos="828"/>
        </w:tabs>
        <w:spacing w:before="182" w:after="0" w:line="240" w:lineRule="auto"/>
        <w:rPr>
          <w:rFonts w:ascii="Calibri" w:hAnsi="Calibri" w:cs="Calibri"/>
        </w:rPr>
      </w:pPr>
      <w:r w:rsidRPr="003C027A">
        <w:rPr>
          <w:rFonts w:ascii="Calibri" w:hAnsi="Calibri"/>
          <w:color w:val="231F20"/>
          <w:w w:val="110"/>
        </w:rPr>
        <w:t>VR approval will be obtained for all TPCA</w:t>
      </w:r>
      <w:r w:rsidRPr="003C027A">
        <w:rPr>
          <w:rFonts w:ascii="Calibri" w:hAnsi="Calibri"/>
          <w:color w:val="231F20"/>
          <w:spacing w:val="10"/>
          <w:w w:val="110"/>
        </w:rPr>
        <w:t xml:space="preserve"> </w:t>
      </w:r>
      <w:r w:rsidRPr="003C027A">
        <w:rPr>
          <w:rFonts w:ascii="Calibri" w:hAnsi="Calibri"/>
          <w:color w:val="231F20"/>
          <w:w w:val="110"/>
        </w:rPr>
        <w:t>services.</w:t>
      </w:r>
    </w:p>
    <w:p w14:paraId="53070DA4" w14:textId="77777777" w:rsidR="003C027A" w:rsidRPr="003C027A" w:rsidRDefault="003C027A" w:rsidP="00D63204">
      <w:pPr>
        <w:pStyle w:val="ListParagraph"/>
        <w:widowControl w:val="0"/>
        <w:tabs>
          <w:tab w:val="left" w:pos="828"/>
        </w:tabs>
        <w:spacing w:before="182" w:after="0" w:line="240" w:lineRule="auto"/>
        <w:ind w:left="827"/>
        <w:rPr>
          <w:rFonts w:ascii="Calibri" w:hAnsi="Calibri" w:cs="Calibri"/>
        </w:rPr>
      </w:pPr>
    </w:p>
    <w:p w14:paraId="3C4E810B" w14:textId="7C500F1C" w:rsidR="003C027A" w:rsidRPr="003C027A" w:rsidRDefault="003C027A" w:rsidP="00D63204">
      <w:pPr>
        <w:pStyle w:val="ListParagraph"/>
        <w:widowControl w:val="0"/>
        <w:numPr>
          <w:ilvl w:val="0"/>
          <w:numId w:val="102"/>
        </w:numPr>
        <w:tabs>
          <w:tab w:val="left" w:pos="828"/>
        </w:tabs>
        <w:spacing w:before="182" w:after="0" w:line="240" w:lineRule="auto"/>
        <w:rPr>
          <w:rFonts w:ascii="Calibri" w:hAnsi="Calibri" w:cs="Calibri"/>
        </w:rPr>
      </w:pPr>
      <w:r w:rsidRPr="003C027A">
        <w:rPr>
          <w:rFonts w:ascii="Calibri" w:hAnsi="Calibri" w:cs="Calibri"/>
          <w:color w:val="231F20"/>
          <w:w w:val="110"/>
        </w:rPr>
        <w:t>All</w:t>
      </w:r>
      <w:r w:rsidRPr="003C027A">
        <w:rPr>
          <w:rFonts w:ascii="Calibri" w:hAnsi="Calibri" w:cs="Calibri"/>
          <w:color w:val="231F20"/>
          <w:spacing w:val="-3"/>
          <w:w w:val="110"/>
        </w:rPr>
        <w:t xml:space="preserve"> </w:t>
      </w:r>
      <w:r w:rsidRPr="003C027A">
        <w:rPr>
          <w:rFonts w:ascii="Calibri" w:hAnsi="Calibri" w:cs="Calibri"/>
          <w:color w:val="231F20"/>
          <w:w w:val="110"/>
        </w:rPr>
        <w:t>local</w:t>
      </w:r>
      <w:r w:rsidRPr="003C027A">
        <w:rPr>
          <w:rFonts w:ascii="Calibri" w:hAnsi="Calibri" w:cs="Calibri"/>
          <w:color w:val="231F20"/>
          <w:spacing w:val="-3"/>
          <w:w w:val="110"/>
        </w:rPr>
        <w:t xml:space="preserve"> </w:t>
      </w:r>
      <w:r w:rsidRPr="003C027A">
        <w:rPr>
          <w:rFonts w:ascii="Calibri" w:hAnsi="Calibri" w:cs="Calibri"/>
          <w:color w:val="231F20"/>
          <w:w w:val="110"/>
        </w:rPr>
        <w:t>school</w:t>
      </w:r>
      <w:r w:rsidRPr="003C027A">
        <w:rPr>
          <w:rFonts w:ascii="Calibri" w:hAnsi="Calibri" w:cs="Calibri"/>
          <w:color w:val="231F20"/>
          <w:spacing w:val="-3"/>
          <w:w w:val="110"/>
        </w:rPr>
        <w:t xml:space="preserve"> </w:t>
      </w:r>
      <w:r w:rsidRPr="003C027A">
        <w:rPr>
          <w:rFonts w:ascii="Calibri" w:hAnsi="Calibri" w:cs="Calibri"/>
          <w:color w:val="231F20"/>
          <w:w w:val="110"/>
        </w:rPr>
        <w:t>districts</w:t>
      </w:r>
      <w:r w:rsidRPr="003C027A">
        <w:rPr>
          <w:rFonts w:ascii="Calibri" w:hAnsi="Calibri" w:cs="Calibri"/>
          <w:color w:val="231F20"/>
          <w:spacing w:val="-3"/>
          <w:w w:val="110"/>
        </w:rPr>
        <w:t xml:space="preserve"> </w:t>
      </w:r>
      <w:r w:rsidRPr="003C027A">
        <w:rPr>
          <w:rFonts w:ascii="Calibri" w:hAnsi="Calibri" w:cs="Calibri"/>
          <w:color w:val="231F20"/>
          <w:w w:val="110"/>
        </w:rPr>
        <w:t>with</w:t>
      </w:r>
      <w:r w:rsidRPr="003C027A">
        <w:rPr>
          <w:rFonts w:ascii="Calibri" w:hAnsi="Calibri" w:cs="Calibri"/>
          <w:color w:val="231F20"/>
          <w:spacing w:val="-3"/>
          <w:w w:val="110"/>
        </w:rPr>
        <w:t xml:space="preserve"> </w:t>
      </w:r>
      <w:r w:rsidRPr="003C027A">
        <w:rPr>
          <w:rFonts w:ascii="Calibri" w:hAnsi="Calibri" w:cs="Calibri"/>
          <w:color w:val="231F20"/>
          <w:w w:val="110"/>
        </w:rPr>
        <w:t>TPCAs</w:t>
      </w:r>
      <w:r w:rsidRPr="003C027A">
        <w:rPr>
          <w:rFonts w:ascii="Calibri" w:hAnsi="Calibri" w:cs="Calibri"/>
          <w:color w:val="231F20"/>
          <w:spacing w:val="-3"/>
          <w:w w:val="110"/>
        </w:rPr>
        <w:t xml:space="preserve"> </w:t>
      </w:r>
      <w:r w:rsidRPr="003C027A">
        <w:rPr>
          <w:rFonts w:ascii="Calibri" w:hAnsi="Calibri" w:cs="Calibri"/>
          <w:color w:val="231F20"/>
          <w:w w:val="110"/>
        </w:rPr>
        <w:t>will</w:t>
      </w:r>
      <w:r w:rsidRPr="003C027A">
        <w:rPr>
          <w:rFonts w:ascii="Calibri" w:hAnsi="Calibri" w:cs="Calibri"/>
          <w:color w:val="231F20"/>
          <w:spacing w:val="-3"/>
          <w:w w:val="110"/>
        </w:rPr>
        <w:t xml:space="preserve"> </w:t>
      </w:r>
      <w:r w:rsidRPr="003C027A">
        <w:rPr>
          <w:rFonts w:ascii="Calibri" w:hAnsi="Calibri" w:cs="Calibri"/>
          <w:color w:val="231F20"/>
          <w:w w:val="110"/>
        </w:rPr>
        <w:t>abide</w:t>
      </w:r>
      <w:r w:rsidRPr="003C027A">
        <w:rPr>
          <w:rFonts w:ascii="Calibri" w:hAnsi="Calibri" w:cs="Calibri"/>
          <w:color w:val="231F20"/>
          <w:spacing w:val="-3"/>
          <w:w w:val="110"/>
        </w:rPr>
        <w:t xml:space="preserve"> </w:t>
      </w:r>
      <w:r w:rsidRPr="003C027A">
        <w:rPr>
          <w:rFonts w:ascii="Calibri" w:hAnsi="Calibri" w:cs="Calibri"/>
          <w:color w:val="231F20"/>
          <w:w w:val="110"/>
        </w:rPr>
        <w:t>by</w:t>
      </w:r>
      <w:r w:rsidRPr="003C027A">
        <w:rPr>
          <w:rFonts w:ascii="Calibri" w:hAnsi="Calibri" w:cs="Calibri"/>
          <w:color w:val="231F20"/>
          <w:spacing w:val="-3"/>
          <w:w w:val="110"/>
        </w:rPr>
        <w:t xml:space="preserve"> </w:t>
      </w:r>
      <w:r w:rsidRPr="003C027A">
        <w:rPr>
          <w:rFonts w:ascii="Calibri" w:hAnsi="Calibri" w:cs="Calibri"/>
          <w:color w:val="231F20"/>
          <w:w w:val="110"/>
        </w:rPr>
        <w:t>the</w:t>
      </w:r>
      <w:r w:rsidRPr="003C027A">
        <w:rPr>
          <w:rFonts w:ascii="Calibri" w:hAnsi="Calibri" w:cs="Calibri"/>
          <w:color w:val="231F20"/>
          <w:spacing w:val="-3"/>
          <w:w w:val="110"/>
        </w:rPr>
        <w:t xml:space="preserve"> </w:t>
      </w:r>
      <w:r w:rsidRPr="003C027A">
        <w:rPr>
          <w:rFonts w:ascii="Calibri" w:hAnsi="Calibri" w:cs="Calibri"/>
          <w:color w:val="231F20"/>
          <w:w w:val="110"/>
        </w:rPr>
        <w:t>state’s</w:t>
      </w:r>
      <w:r w:rsidRPr="003C027A">
        <w:rPr>
          <w:rFonts w:ascii="Calibri" w:hAnsi="Calibri" w:cs="Calibri"/>
          <w:color w:val="231F20"/>
          <w:spacing w:val="-3"/>
          <w:w w:val="110"/>
        </w:rPr>
        <w:t xml:space="preserve"> </w:t>
      </w:r>
      <w:r w:rsidRPr="003C027A">
        <w:rPr>
          <w:rFonts w:ascii="Calibri" w:hAnsi="Calibri" w:cs="Calibri"/>
          <w:color w:val="231F20"/>
          <w:w w:val="110"/>
        </w:rPr>
        <w:t>Order</w:t>
      </w:r>
      <w:r w:rsidRPr="003C027A">
        <w:rPr>
          <w:rFonts w:ascii="Calibri" w:hAnsi="Calibri" w:cs="Calibri"/>
          <w:color w:val="231F20"/>
          <w:spacing w:val="-3"/>
          <w:w w:val="110"/>
        </w:rPr>
        <w:t xml:space="preserve"> </w:t>
      </w:r>
      <w:r w:rsidRPr="003C027A">
        <w:rPr>
          <w:rFonts w:ascii="Calibri" w:hAnsi="Calibri" w:cs="Calibri"/>
          <w:color w:val="231F20"/>
          <w:w w:val="110"/>
        </w:rPr>
        <w:t>of</w:t>
      </w:r>
      <w:r w:rsidRPr="003C027A">
        <w:rPr>
          <w:rFonts w:ascii="Calibri" w:hAnsi="Calibri" w:cs="Calibri"/>
          <w:color w:val="231F20"/>
          <w:spacing w:val="-3"/>
          <w:w w:val="110"/>
        </w:rPr>
        <w:t xml:space="preserve"> </w:t>
      </w:r>
      <w:r w:rsidRPr="003C027A">
        <w:rPr>
          <w:rFonts w:ascii="Calibri" w:hAnsi="Calibri" w:cs="Calibri"/>
          <w:color w:val="231F20"/>
          <w:w w:val="110"/>
        </w:rPr>
        <w:t>Selection</w:t>
      </w:r>
      <w:r w:rsidRPr="003C027A">
        <w:rPr>
          <w:rFonts w:ascii="Calibri" w:hAnsi="Calibri" w:cs="Calibri"/>
          <w:color w:val="231F20"/>
          <w:spacing w:val="-3"/>
          <w:w w:val="110"/>
        </w:rPr>
        <w:t xml:space="preserve"> </w:t>
      </w:r>
      <w:r w:rsidRPr="003C027A">
        <w:rPr>
          <w:rFonts w:ascii="Calibri" w:hAnsi="Calibri" w:cs="Calibri"/>
          <w:color w:val="231F20"/>
          <w:w w:val="110"/>
        </w:rPr>
        <w:t>policy.</w:t>
      </w:r>
    </w:p>
    <w:p w14:paraId="266096C4" w14:textId="77777777" w:rsidR="003C027A" w:rsidRPr="003C027A" w:rsidRDefault="003C027A" w:rsidP="00D63204">
      <w:pPr>
        <w:pStyle w:val="ListParagraph"/>
        <w:widowControl w:val="0"/>
        <w:tabs>
          <w:tab w:val="left" w:pos="828"/>
        </w:tabs>
        <w:spacing w:before="182" w:after="0" w:line="240" w:lineRule="auto"/>
        <w:ind w:left="827"/>
        <w:rPr>
          <w:rFonts w:ascii="Calibri" w:hAnsi="Calibri" w:cs="Calibri"/>
        </w:rPr>
      </w:pPr>
    </w:p>
    <w:p w14:paraId="2AB9447C" w14:textId="36636E42" w:rsidR="003C027A" w:rsidRPr="003C027A" w:rsidRDefault="003C027A" w:rsidP="00D63204">
      <w:pPr>
        <w:pStyle w:val="ListParagraph"/>
        <w:widowControl w:val="0"/>
        <w:numPr>
          <w:ilvl w:val="0"/>
          <w:numId w:val="102"/>
        </w:numPr>
        <w:tabs>
          <w:tab w:val="left" w:pos="828"/>
        </w:tabs>
        <w:spacing w:before="188" w:after="0" w:line="240" w:lineRule="auto"/>
        <w:rPr>
          <w:rFonts w:ascii="Calibri" w:hAnsi="Calibri" w:cs="Calibri"/>
        </w:rPr>
      </w:pPr>
      <w:r w:rsidRPr="003C027A">
        <w:rPr>
          <w:rFonts w:ascii="Calibri" w:hAnsi="Calibri"/>
          <w:color w:val="231F20"/>
          <w:w w:val="110"/>
        </w:rPr>
        <w:t>TPCA services are services not typically provided by local school districts</w:t>
      </w:r>
      <w:r w:rsidR="00D5537E">
        <w:rPr>
          <w:rFonts w:ascii="Calibri" w:hAnsi="Calibri"/>
          <w:color w:val="231F20"/>
          <w:w w:val="110"/>
        </w:rPr>
        <w:t xml:space="preserve"> and</w:t>
      </w:r>
      <w:r w:rsidRPr="003C027A">
        <w:rPr>
          <w:rFonts w:ascii="Calibri" w:hAnsi="Calibri"/>
          <w:color w:val="231F20"/>
          <w:w w:val="110"/>
        </w:rPr>
        <w:t xml:space="preserve"> TPCA services</w:t>
      </w:r>
      <w:r w:rsidRPr="003C027A">
        <w:rPr>
          <w:rFonts w:ascii="Calibri" w:hAnsi="Calibri"/>
          <w:color w:val="231F20"/>
          <w:spacing w:val="-29"/>
          <w:w w:val="110"/>
        </w:rPr>
        <w:t xml:space="preserve"> </w:t>
      </w:r>
      <w:r w:rsidRPr="003C027A">
        <w:rPr>
          <w:rFonts w:ascii="Calibri" w:hAnsi="Calibri"/>
          <w:color w:val="231F20"/>
          <w:w w:val="110"/>
        </w:rPr>
        <w:t>are</w:t>
      </w:r>
      <w:r w:rsidRPr="003C027A">
        <w:rPr>
          <w:rFonts w:ascii="Calibri" w:hAnsi="Calibri"/>
          <w:color w:val="231F20"/>
          <w:w w:val="107"/>
        </w:rPr>
        <w:t xml:space="preserve"> </w:t>
      </w:r>
      <w:r w:rsidRPr="003C027A">
        <w:rPr>
          <w:rFonts w:ascii="Calibri" w:hAnsi="Calibri"/>
          <w:color w:val="231F20"/>
          <w:w w:val="110"/>
        </w:rPr>
        <w:t xml:space="preserve">only available to persons applying </w:t>
      </w:r>
      <w:r w:rsidRPr="003C027A">
        <w:rPr>
          <w:rFonts w:ascii="Calibri" w:hAnsi="Calibri"/>
          <w:color w:val="231F20"/>
          <w:spacing w:val="-5"/>
          <w:w w:val="110"/>
        </w:rPr>
        <w:t xml:space="preserve">for, </w:t>
      </w:r>
      <w:r w:rsidRPr="003C027A">
        <w:rPr>
          <w:rFonts w:ascii="Calibri" w:hAnsi="Calibri"/>
          <w:color w:val="231F20"/>
          <w:w w:val="110"/>
        </w:rPr>
        <w:t>or already receiving VR</w:t>
      </w:r>
      <w:r w:rsidRPr="003C027A">
        <w:rPr>
          <w:rFonts w:ascii="Calibri" w:hAnsi="Calibri"/>
          <w:color w:val="231F20"/>
          <w:spacing w:val="2"/>
          <w:w w:val="110"/>
        </w:rPr>
        <w:t xml:space="preserve"> </w:t>
      </w:r>
      <w:r w:rsidRPr="003C027A">
        <w:rPr>
          <w:rFonts w:ascii="Calibri" w:hAnsi="Calibri"/>
          <w:color w:val="231F20"/>
          <w:w w:val="110"/>
        </w:rPr>
        <w:t>services.</w:t>
      </w:r>
    </w:p>
    <w:p w14:paraId="35BB59F2" w14:textId="77777777" w:rsidR="003C027A" w:rsidRPr="003C027A" w:rsidRDefault="003C027A" w:rsidP="00D63204">
      <w:pPr>
        <w:pStyle w:val="ListParagraph"/>
        <w:widowControl w:val="0"/>
        <w:tabs>
          <w:tab w:val="left" w:pos="828"/>
        </w:tabs>
        <w:spacing w:before="188" w:after="0" w:line="240" w:lineRule="auto"/>
        <w:ind w:left="827"/>
        <w:rPr>
          <w:rFonts w:ascii="Calibri" w:hAnsi="Calibri" w:cs="Calibri"/>
        </w:rPr>
      </w:pPr>
    </w:p>
    <w:p w14:paraId="20851972" w14:textId="77777777" w:rsidR="003C027A" w:rsidRPr="00A23800" w:rsidRDefault="003C027A" w:rsidP="00D63204">
      <w:pPr>
        <w:widowControl w:val="0"/>
        <w:spacing w:before="5" w:after="0" w:line="240" w:lineRule="auto"/>
        <w:ind w:left="107"/>
        <w:rPr>
          <w:rFonts w:ascii="Calibri" w:hAnsi="Calibri" w:cs="Calibri"/>
          <w:sz w:val="16"/>
          <w:szCs w:val="16"/>
        </w:rPr>
      </w:pPr>
    </w:p>
    <w:p w14:paraId="2D2E006F" w14:textId="645A7E69" w:rsidR="003C027A" w:rsidRPr="003C027A" w:rsidRDefault="003C027A" w:rsidP="00D63204">
      <w:pPr>
        <w:pStyle w:val="ListParagraph"/>
        <w:widowControl w:val="0"/>
        <w:numPr>
          <w:ilvl w:val="0"/>
          <w:numId w:val="102"/>
        </w:numPr>
        <w:tabs>
          <w:tab w:val="left" w:pos="828"/>
        </w:tabs>
        <w:spacing w:after="0" w:line="240" w:lineRule="auto"/>
        <w:rPr>
          <w:rFonts w:ascii="Calibri" w:hAnsi="Calibri" w:cs="Calibri"/>
        </w:rPr>
      </w:pPr>
      <w:r w:rsidRPr="003C027A">
        <w:rPr>
          <w:rFonts w:ascii="Calibri" w:hAnsi="Calibri"/>
          <w:color w:val="231F20"/>
          <w:w w:val="105"/>
        </w:rPr>
        <w:t xml:space="preserve">All other state plan requirements, including those found in the </w:t>
      </w:r>
      <w:r w:rsidR="00D226F4">
        <w:rPr>
          <w:rFonts w:ascii="Calibri" w:hAnsi="Calibri"/>
          <w:color w:val="231F20"/>
          <w:w w:val="105"/>
        </w:rPr>
        <w:t>unified s</w:t>
      </w:r>
      <w:r w:rsidRPr="003C027A">
        <w:rPr>
          <w:rFonts w:ascii="Calibri" w:hAnsi="Calibri"/>
          <w:color w:val="231F20"/>
          <w:w w:val="105"/>
        </w:rPr>
        <w:t xml:space="preserve">tate </w:t>
      </w:r>
      <w:r w:rsidR="00D226F4">
        <w:rPr>
          <w:rFonts w:ascii="Calibri" w:hAnsi="Calibri"/>
          <w:color w:val="231F20"/>
          <w:w w:val="105"/>
        </w:rPr>
        <w:t>p</w:t>
      </w:r>
      <w:r w:rsidRPr="003C027A">
        <w:rPr>
          <w:rFonts w:ascii="Calibri" w:hAnsi="Calibri"/>
          <w:color w:val="231F20"/>
          <w:w w:val="105"/>
        </w:rPr>
        <w:t>lan required</w:t>
      </w:r>
      <w:r w:rsidRPr="003C027A">
        <w:rPr>
          <w:rFonts w:ascii="Calibri" w:hAnsi="Calibri"/>
          <w:color w:val="231F20"/>
          <w:spacing w:val="26"/>
          <w:w w:val="105"/>
        </w:rPr>
        <w:t xml:space="preserve"> </w:t>
      </w:r>
      <w:r w:rsidRPr="003C027A">
        <w:rPr>
          <w:rFonts w:ascii="Calibri" w:hAnsi="Calibri"/>
          <w:color w:val="231F20"/>
          <w:w w:val="105"/>
        </w:rPr>
        <w:t>under</w:t>
      </w:r>
      <w:r w:rsidRPr="003C027A">
        <w:rPr>
          <w:rFonts w:ascii="Calibri" w:hAnsi="Calibri"/>
          <w:color w:val="231F20"/>
          <w:w w:val="106"/>
        </w:rPr>
        <w:t xml:space="preserve"> </w:t>
      </w:r>
      <w:r w:rsidRPr="003C027A">
        <w:rPr>
          <w:rFonts w:ascii="Calibri" w:hAnsi="Calibri"/>
          <w:color w:val="231F20"/>
          <w:w w:val="105"/>
        </w:rPr>
        <w:t>WIOA, will apply to all services provided under the scope of the</w:t>
      </w:r>
      <w:r w:rsidRPr="003C027A">
        <w:rPr>
          <w:rFonts w:ascii="Calibri" w:hAnsi="Calibri"/>
          <w:color w:val="231F20"/>
          <w:spacing w:val="25"/>
          <w:w w:val="105"/>
        </w:rPr>
        <w:t xml:space="preserve"> </w:t>
      </w:r>
      <w:r w:rsidRPr="003C027A">
        <w:rPr>
          <w:rFonts w:ascii="Calibri" w:hAnsi="Calibri"/>
          <w:color w:val="231F20"/>
          <w:w w:val="105"/>
        </w:rPr>
        <w:t>arrangement.</w:t>
      </w:r>
    </w:p>
    <w:p w14:paraId="58D369E1" w14:textId="77777777" w:rsidR="003C027A" w:rsidRPr="00A23800" w:rsidRDefault="003C027A" w:rsidP="00D63204">
      <w:pPr>
        <w:widowControl w:val="0"/>
        <w:spacing w:before="5" w:after="0" w:line="240" w:lineRule="auto"/>
        <w:ind w:left="107"/>
        <w:rPr>
          <w:rFonts w:ascii="Calibri" w:hAnsi="Calibri" w:cs="Calibri"/>
          <w:sz w:val="16"/>
          <w:szCs w:val="16"/>
        </w:rPr>
      </w:pPr>
    </w:p>
    <w:p w14:paraId="4191C87C" w14:textId="77777777" w:rsidR="003C027A" w:rsidRPr="003C027A" w:rsidRDefault="003C027A" w:rsidP="00D63204">
      <w:pPr>
        <w:pStyle w:val="ListParagraph"/>
        <w:widowControl w:val="0"/>
        <w:numPr>
          <w:ilvl w:val="0"/>
          <w:numId w:val="102"/>
        </w:numPr>
        <w:tabs>
          <w:tab w:val="left" w:pos="828"/>
        </w:tabs>
        <w:spacing w:after="0" w:line="240" w:lineRule="auto"/>
        <w:rPr>
          <w:rFonts w:ascii="Calibri" w:hAnsi="Calibri" w:cs="Calibri"/>
        </w:rPr>
      </w:pPr>
      <w:r w:rsidRPr="003C027A">
        <w:rPr>
          <w:rFonts w:ascii="Calibri" w:hAnsi="Calibri"/>
          <w:color w:val="231F20"/>
          <w:w w:val="105"/>
        </w:rPr>
        <w:t>Program</w:t>
      </w:r>
      <w:r w:rsidRPr="003C027A">
        <w:rPr>
          <w:rFonts w:ascii="Calibri" w:hAnsi="Calibri"/>
          <w:color w:val="231F20"/>
          <w:spacing w:val="24"/>
          <w:w w:val="105"/>
        </w:rPr>
        <w:t xml:space="preserve"> </w:t>
      </w:r>
      <w:r w:rsidRPr="003C027A">
        <w:rPr>
          <w:rFonts w:ascii="Calibri" w:hAnsi="Calibri"/>
          <w:color w:val="231F20"/>
          <w:w w:val="105"/>
        </w:rPr>
        <w:t>expenditures</w:t>
      </w:r>
      <w:r w:rsidRPr="003C027A">
        <w:rPr>
          <w:rFonts w:ascii="Calibri" w:hAnsi="Calibri"/>
          <w:color w:val="231F20"/>
          <w:spacing w:val="24"/>
          <w:w w:val="105"/>
        </w:rPr>
        <w:t xml:space="preserve"> </w:t>
      </w:r>
      <w:r w:rsidRPr="003C027A">
        <w:rPr>
          <w:rFonts w:ascii="Calibri" w:hAnsi="Calibri"/>
          <w:color w:val="231F20"/>
          <w:w w:val="105"/>
        </w:rPr>
        <w:t>and</w:t>
      </w:r>
      <w:r w:rsidRPr="003C027A">
        <w:rPr>
          <w:rFonts w:ascii="Calibri" w:hAnsi="Calibri"/>
          <w:color w:val="231F20"/>
          <w:spacing w:val="24"/>
          <w:w w:val="105"/>
        </w:rPr>
        <w:t xml:space="preserve"> </w:t>
      </w:r>
      <w:r w:rsidRPr="003C027A">
        <w:rPr>
          <w:rFonts w:ascii="Calibri" w:hAnsi="Calibri"/>
          <w:color w:val="231F20"/>
          <w:w w:val="105"/>
        </w:rPr>
        <w:t>employees</w:t>
      </w:r>
      <w:r w:rsidRPr="003C027A">
        <w:rPr>
          <w:rFonts w:ascii="Calibri" w:hAnsi="Calibri"/>
          <w:color w:val="231F20"/>
          <w:spacing w:val="24"/>
          <w:w w:val="105"/>
        </w:rPr>
        <w:t xml:space="preserve"> </w:t>
      </w:r>
      <w:r w:rsidRPr="003C027A">
        <w:rPr>
          <w:rFonts w:ascii="Calibri" w:hAnsi="Calibri"/>
          <w:color w:val="231F20"/>
          <w:w w:val="105"/>
        </w:rPr>
        <w:t>providing</w:t>
      </w:r>
      <w:r w:rsidRPr="003C027A">
        <w:rPr>
          <w:rFonts w:ascii="Calibri" w:hAnsi="Calibri"/>
          <w:color w:val="231F20"/>
          <w:spacing w:val="24"/>
          <w:w w:val="105"/>
        </w:rPr>
        <w:t xml:space="preserve"> </w:t>
      </w:r>
      <w:r w:rsidRPr="003C027A">
        <w:rPr>
          <w:rFonts w:ascii="Calibri" w:hAnsi="Calibri"/>
          <w:color w:val="231F20"/>
          <w:w w:val="105"/>
        </w:rPr>
        <w:t>services</w:t>
      </w:r>
      <w:r w:rsidRPr="003C027A">
        <w:rPr>
          <w:rFonts w:ascii="Calibri" w:hAnsi="Calibri"/>
          <w:color w:val="231F20"/>
          <w:spacing w:val="24"/>
          <w:w w:val="105"/>
        </w:rPr>
        <w:t xml:space="preserve"> </w:t>
      </w:r>
      <w:r w:rsidRPr="003C027A">
        <w:rPr>
          <w:rFonts w:ascii="Calibri" w:hAnsi="Calibri"/>
          <w:color w:val="231F20"/>
          <w:w w:val="105"/>
        </w:rPr>
        <w:t>under</w:t>
      </w:r>
      <w:r w:rsidRPr="003C027A">
        <w:rPr>
          <w:rFonts w:ascii="Calibri" w:hAnsi="Calibri"/>
          <w:color w:val="231F20"/>
          <w:spacing w:val="24"/>
          <w:w w:val="105"/>
        </w:rPr>
        <w:t xml:space="preserve"> </w:t>
      </w:r>
      <w:r w:rsidRPr="003C027A">
        <w:rPr>
          <w:rFonts w:ascii="Calibri" w:hAnsi="Calibri"/>
          <w:color w:val="231F20"/>
          <w:w w:val="105"/>
        </w:rPr>
        <w:t>the</w:t>
      </w:r>
      <w:r w:rsidRPr="003C027A">
        <w:rPr>
          <w:rFonts w:ascii="Calibri" w:hAnsi="Calibri"/>
          <w:color w:val="231F20"/>
          <w:spacing w:val="24"/>
          <w:w w:val="105"/>
        </w:rPr>
        <w:t xml:space="preserve"> </w:t>
      </w:r>
      <w:r w:rsidRPr="003C027A">
        <w:rPr>
          <w:rFonts w:ascii="Calibri" w:hAnsi="Calibri"/>
          <w:color w:val="231F20"/>
          <w:w w:val="105"/>
        </w:rPr>
        <w:t>cooperative</w:t>
      </w:r>
      <w:r w:rsidRPr="003C027A">
        <w:rPr>
          <w:rFonts w:ascii="Calibri" w:hAnsi="Calibri"/>
          <w:color w:val="231F20"/>
          <w:spacing w:val="24"/>
          <w:w w:val="105"/>
        </w:rPr>
        <w:t xml:space="preserve"> </w:t>
      </w:r>
      <w:r w:rsidRPr="003C027A">
        <w:rPr>
          <w:rFonts w:ascii="Calibri" w:hAnsi="Calibri"/>
          <w:color w:val="231F20"/>
          <w:w w:val="105"/>
        </w:rPr>
        <w:t>arrangement</w:t>
      </w:r>
      <w:r w:rsidRPr="003C027A">
        <w:rPr>
          <w:rFonts w:ascii="Calibri" w:hAnsi="Calibri"/>
          <w:color w:val="231F20"/>
          <w:spacing w:val="24"/>
          <w:w w:val="105"/>
        </w:rPr>
        <w:t xml:space="preserve"> </w:t>
      </w:r>
      <w:r w:rsidRPr="003C027A">
        <w:rPr>
          <w:rFonts w:ascii="Calibri" w:hAnsi="Calibri"/>
          <w:color w:val="231F20"/>
          <w:w w:val="105"/>
        </w:rPr>
        <w:t>are</w:t>
      </w:r>
      <w:r w:rsidRPr="003C027A">
        <w:rPr>
          <w:rFonts w:ascii="Calibri" w:hAnsi="Calibri"/>
          <w:color w:val="231F20"/>
          <w:w w:val="107"/>
        </w:rPr>
        <w:t xml:space="preserve"> </w:t>
      </w:r>
      <w:r w:rsidRPr="003C027A">
        <w:rPr>
          <w:rFonts w:ascii="Calibri" w:hAnsi="Calibri"/>
          <w:color w:val="231F20"/>
          <w:w w:val="105"/>
        </w:rPr>
        <w:t>under the administrative supervision of</w:t>
      </w:r>
      <w:r w:rsidRPr="003C027A">
        <w:rPr>
          <w:rFonts w:ascii="Calibri" w:hAnsi="Calibri"/>
          <w:color w:val="231F20"/>
          <w:spacing w:val="24"/>
          <w:w w:val="105"/>
        </w:rPr>
        <w:t xml:space="preserve"> </w:t>
      </w:r>
      <w:r w:rsidRPr="003C027A">
        <w:rPr>
          <w:rFonts w:ascii="Calibri" w:hAnsi="Calibri"/>
          <w:color w:val="231F20"/>
          <w:w w:val="105"/>
        </w:rPr>
        <w:t>VR.</w:t>
      </w:r>
    </w:p>
    <w:p w14:paraId="10C51E88" w14:textId="77777777" w:rsidR="003C027A" w:rsidRDefault="003C027A" w:rsidP="00D63204">
      <w:pPr>
        <w:widowControl w:val="0"/>
        <w:spacing w:after="0" w:line="240" w:lineRule="auto"/>
        <w:ind w:left="107"/>
        <w:rPr>
          <w:rFonts w:ascii="Calibri" w:hAnsi="Calibri" w:cs="Calibri"/>
        </w:rPr>
      </w:pPr>
    </w:p>
    <w:p w14:paraId="753106F1" w14:textId="77777777" w:rsidR="003C027A" w:rsidRPr="003C027A" w:rsidRDefault="003C027A" w:rsidP="00D63204">
      <w:pPr>
        <w:widowControl w:val="0"/>
        <w:spacing w:after="0" w:line="240" w:lineRule="auto"/>
        <w:ind w:left="107"/>
        <w:rPr>
          <w:rFonts w:ascii="Calibri" w:hAnsi="Calibri"/>
          <w:b/>
        </w:rPr>
      </w:pPr>
      <w:bookmarkStart w:id="139" w:name="_bookmark75"/>
      <w:bookmarkEnd w:id="139"/>
      <w:r w:rsidRPr="003C027A">
        <w:rPr>
          <w:rFonts w:ascii="Calibri" w:hAnsi="Calibri"/>
          <w:b/>
          <w:color w:val="231F20"/>
          <w:w w:val="105"/>
          <w:u w:val="single" w:color="231F20"/>
        </w:rPr>
        <w:t>Third Party Cooperative Arrangement</w:t>
      </w:r>
      <w:r w:rsidRPr="003C027A">
        <w:rPr>
          <w:rFonts w:ascii="Calibri" w:hAnsi="Calibri"/>
          <w:b/>
          <w:color w:val="231F20"/>
          <w:spacing w:val="-1"/>
          <w:w w:val="114"/>
          <w:u w:val="single" w:color="231F20"/>
        </w:rPr>
        <w:t xml:space="preserve"> </w:t>
      </w:r>
    </w:p>
    <w:p w14:paraId="74E44CF3" w14:textId="77777777" w:rsidR="003C027A" w:rsidRDefault="003C027A" w:rsidP="00D63204">
      <w:pPr>
        <w:widowControl w:val="0"/>
        <w:spacing w:after="0" w:line="240" w:lineRule="auto"/>
        <w:ind w:left="107"/>
        <w:rPr>
          <w:rFonts w:ascii="Calibri" w:hAnsi="Calibri"/>
          <w:color w:val="231F20"/>
          <w:w w:val="105"/>
        </w:rPr>
      </w:pPr>
      <w:r w:rsidRPr="00A23800">
        <w:rPr>
          <w:rFonts w:ascii="Calibri" w:hAnsi="Calibri"/>
          <w:color w:val="231F20"/>
          <w:w w:val="105"/>
        </w:rPr>
        <w:t>During state fiscal year 20</w:t>
      </w:r>
      <w:r>
        <w:rPr>
          <w:rFonts w:ascii="Calibri" w:hAnsi="Calibri"/>
          <w:color w:val="231F20"/>
          <w:w w:val="105"/>
        </w:rPr>
        <w:t>17</w:t>
      </w:r>
      <w:r w:rsidRPr="00A23800">
        <w:rPr>
          <w:rFonts w:ascii="Calibri" w:hAnsi="Calibri"/>
          <w:color w:val="231F20"/>
          <w:w w:val="105"/>
        </w:rPr>
        <w:t>-</w:t>
      </w:r>
      <w:r>
        <w:rPr>
          <w:rFonts w:ascii="Calibri" w:hAnsi="Calibri"/>
          <w:color w:val="231F20"/>
          <w:w w:val="105"/>
        </w:rPr>
        <w:t>18</w:t>
      </w:r>
      <w:r w:rsidRPr="00A23800">
        <w:rPr>
          <w:rFonts w:ascii="Calibri" w:hAnsi="Calibri"/>
          <w:color w:val="231F20"/>
          <w:w w:val="105"/>
        </w:rPr>
        <w:t xml:space="preserve">, VR has arrangements with the </w:t>
      </w:r>
      <w:r>
        <w:rPr>
          <w:rFonts w:ascii="Calibri" w:hAnsi="Calibri"/>
          <w:color w:val="231F20"/>
          <w:w w:val="105"/>
        </w:rPr>
        <w:t xml:space="preserve">following </w:t>
      </w:r>
      <w:r w:rsidRPr="00A23800">
        <w:rPr>
          <w:rFonts w:ascii="Calibri" w:hAnsi="Calibri"/>
          <w:color w:val="231F20"/>
          <w:w w:val="105"/>
        </w:rPr>
        <w:t>school districts:</w:t>
      </w:r>
    </w:p>
    <w:p w14:paraId="7568FACA" w14:textId="1941246A" w:rsidR="003C027A" w:rsidRDefault="003C027A" w:rsidP="00D63204">
      <w:pPr>
        <w:widowControl w:val="0"/>
        <w:spacing w:after="0" w:line="240" w:lineRule="auto"/>
        <w:ind w:left="107"/>
        <w:rPr>
          <w:rFonts w:ascii="Calibri" w:hAnsi="Calibri"/>
          <w:color w:val="231F20"/>
          <w:w w:val="105"/>
        </w:rPr>
      </w:pPr>
    </w:p>
    <w:tbl>
      <w:tblPr>
        <w:tblStyle w:val="TableGrid"/>
        <w:tblW w:w="0" w:type="auto"/>
        <w:tblInd w:w="10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67"/>
        <w:gridCol w:w="1801"/>
        <w:gridCol w:w="2146"/>
        <w:gridCol w:w="1847"/>
        <w:gridCol w:w="2662"/>
      </w:tblGrid>
      <w:tr w:rsidR="00404DE7" w14:paraId="4A17540B" w14:textId="77777777" w:rsidTr="00404DE7">
        <w:tc>
          <w:tcPr>
            <w:tcW w:w="1867" w:type="dxa"/>
          </w:tcPr>
          <w:p w14:paraId="67B5DF1D" w14:textId="77777777" w:rsidR="003C027A" w:rsidRPr="003C027A" w:rsidRDefault="003C027A" w:rsidP="00D63204">
            <w:pPr>
              <w:pStyle w:val="ListParagraph"/>
              <w:widowControl w:val="0"/>
              <w:numPr>
                <w:ilvl w:val="0"/>
                <w:numId w:val="103"/>
              </w:numPr>
              <w:spacing w:before="61"/>
              <w:rPr>
                <w:rFonts w:ascii="Calibri" w:hAnsi="Calibri" w:cs="Calibri"/>
              </w:rPr>
            </w:pPr>
            <w:r w:rsidRPr="003C027A">
              <w:rPr>
                <w:rFonts w:ascii="Calibri" w:hAnsi="Calibri"/>
                <w:color w:val="231F20"/>
                <w:w w:val="110"/>
              </w:rPr>
              <w:t>Bay</w:t>
            </w:r>
          </w:p>
          <w:p w14:paraId="473D43D6" w14:textId="77777777" w:rsidR="003C027A" w:rsidRPr="003C027A" w:rsidRDefault="003C027A" w:rsidP="00D63204">
            <w:pPr>
              <w:pStyle w:val="ListParagraph"/>
              <w:widowControl w:val="0"/>
              <w:numPr>
                <w:ilvl w:val="0"/>
                <w:numId w:val="103"/>
              </w:numPr>
              <w:spacing w:before="61"/>
              <w:rPr>
                <w:rFonts w:ascii="Calibri" w:hAnsi="Calibri"/>
                <w:color w:val="231F20"/>
                <w:w w:val="110"/>
              </w:rPr>
            </w:pPr>
            <w:r w:rsidRPr="003C027A">
              <w:rPr>
                <w:rFonts w:ascii="Calibri" w:hAnsi="Calibri"/>
                <w:color w:val="231F20"/>
                <w:w w:val="110"/>
              </w:rPr>
              <w:t>Bradford</w:t>
            </w:r>
          </w:p>
          <w:p w14:paraId="14603C97" w14:textId="77777777" w:rsidR="003C027A" w:rsidRPr="003C027A" w:rsidRDefault="003C027A" w:rsidP="00D63204">
            <w:pPr>
              <w:pStyle w:val="ListParagraph"/>
              <w:widowControl w:val="0"/>
              <w:numPr>
                <w:ilvl w:val="0"/>
                <w:numId w:val="103"/>
              </w:numPr>
              <w:spacing w:before="61"/>
              <w:rPr>
                <w:rFonts w:ascii="Calibri" w:hAnsi="Calibri"/>
                <w:color w:val="231F20"/>
                <w:w w:val="110"/>
              </w:rPr>
            </w:pPr>
            <w:r w:rsidRPr="003C027A">
              <w:rPr>
                <w:rFonts w:ascii="Calibri" w:hAnsi="Calibri"/>
                <w:color w:val="231F20"/>
                <w:w w:val="110"/>
              </w:rPr>
              <w:t>Calhoun</w:t>
            </w:r>
          </w:p>
          <w:p w14:paraId="4B012A25" w14:textId="77777777" w:rsidR="003C027A" w:rsidRPr="003C027A" w:rsidRDefault="003C027A" w:rsidP="00D63204">
            <w:pPr>
              <w:pStyle w:val="ListParagraph"/>
              <w:widowControl w:val="0"/>
              <w:numPr>
                <w:ilvl w:val="0"/>
                <w:numId w:val="103"/>
              </w:numPr>
              <w:spacing w:before="61"/>
              <w:rPr>
                <w:rFonts w:ascii="Calibri" w:hAnsi="Calibri"/>
                <w:color w:val="231F20"/>
                <w:w w:val="110"/>
              </w:rPr>
            </w:pPr>
            <w:r w:rsidRPr="003C027A">
              <w:rPr>
                <w:rFonts w:ascii="Calibri" w:hAnsi="Calibri"/>
                <w:color w:val="231F20"/>
                <w:w w:val="110"/>
              </w:rPr>
              <w:t>Citrus</w:t>
            </w:r>
          </w:p>
          <w:p w14:paraId="06BABD9D" w14:textId="77777777" w:rsidR="003C027A" w:rsidRPr="003C027A" w:rsidRDefault="003C027A" w:rsidP="00D63204">
            <w:pPr>
              <w:pStyle w:val="ListParagraph"/>
              <w:widowControl w:val="0"/>
              <w:numPr>
                <w:ilvl w:val="0"/>
                <w:numId w:val="103"/>
              </w:numPr>
              <w:spacing w:before="61"/>
              <w:rPr>
                <w:rFonts w:ascii="Calibri" w:hAnsi="Calibri"/>
                <w:color w:val="231F20"/>
                <w:w w:val="110"/>
              </w:rPr>
            </w:pPr>
            <w:r w:rsidRPr="003C027A">
              <w:rPr>
                <w:rFonts w:ascii="Calibri" w:hAnsi="Calibri"/>
                <w:color w:val="231F20"/>
                <w:w w:val="110"/>
              </w:rPr>
              <w:t>Columbia</w:t>
            </w:r>
          </w:p>
          <w:p w14:paraId="5D59CAD4" w14:textId="77777777" w:rsidR="003C027A" w:rsidRDefault="003C027A" w:rsidP="00D63204">
            <w:pPr>
              <w:widowControl w:val="0"/>
              <w:rPr>
                <w:rFonts w:ascii="Calibri" w:hAnsi="Calibri"/>
                <w:color w:val="231F20"/>
                <w:w w:val="105"/>
              </w:rPr>
            </w:pPr>
          </w:p>
        </w:tc>
        <w:tc>
          <w:tcPr>
            <w:tcW w:w="1801" w:type="dxa"/>
          </w:tcPr>
          <w:p w14:paraId="15CD306F" w14:textId="77777777" w:rsidR="003C027A" w:rsidRPr="003C027A" w:rsidRDefault="003C027A" w:rsidP="00D63204">
            <w:pPr>
              <w:pStyle w:val="ListParagraph"/>
              <w:widowControl w:val="0"/>
              <w:numPr>
                <w:ilvl w:val="0"/>
                <w:numId w:val="103"/>
              </w:numPr>
              <w:spacing w:before="61"/>
              <w:rPr>
                <w:rFonts w:ascii="Calibri" w:hAnsi="Calibri"/>
                <w:color w:val="231F20"/>
                <w:w w:val="110"/>
              </w:rPr>
            </w:pPr>
            <w:r w:rsidRPr="003C027A">
              <w:rPr>
                <w:rFonts w:ascii="Calibri" w:hAnsi="Calibri"/>
                <w:color w:val="231F20"/>
                <w:w w:val="110"/>
              </w:rPr>
              <w:t>Flagler</w:t>
            </w:r>
          </w:p>
          <w:p w14:paraId="7BC7C233" w14:textId="77777777" w:rsidR="003C027A" w:rsidRPr="003C027A" w:rsidRDefault="003C027A" w:rsidP="00D63204">
            <w:pPr>
              <w:pStyle w:val="ListParagraph"/>
              <w:widowControl w:val="0"/>
              <w:numPr>
                <w:ilvl w:val="0"/>
                <w:numId w:val="103"/>
              </w:numPr>
              <w:spacing w:before="61"/>
              <w:rPr>
                <w:rFonts w:ascii="Calibri" w:hAnsi="Calibri"/>
                <w:color w:val="231F20"/>
                <w:w w:val="110"/>
              </w:rPr>
            </w:pPr>
            <w:r w:rsidRPr="003C027A">
              <w:rPr>
                <w:rFonts w:ascii="Calibri" w:hAnsi="Calibri"/>
                <w:color w:val="231F20"/>
                <w:w w:val="110"/>
              </w:rPr>
              <w:t>Franklin</w:t>
            </w:r>
          </w:p>
          <w:p w14:paraId="3972215A" w14:textId="77777777" w:rsidR="003C027A" w:rsidRPr="003C027A" w:rsidRDefault="003C027A" w:rsidP="00D63204">
            <w:pPr>
              <w:pStyle w:val="ListParagraph"/>
              <w:widowControl w:val="0"/>
              <w:numPr>
                <w:ilvl w:val="0"/>
                <w:numId w:val="103"/>
              </w:numPr>
              <w:spacing w:before="61"/>
              <w:rPr>
                <w:rFonts w:ascii="Calibri" w:hAnsi="Calibri"/>
                <w:color w:val="231F20"/>
                <w:w w:val="110"/>
              </w:rPr>
            </w:pPr>
            <w:r w:rsidRPr="003C027A">
              <w:rPr>
                <w:rFonts w:ascii="Calibri" w:hAnsi="Calibri"/>
                <w:color w:val="231F20"/>
                <w:w w:val="110"/>
              </w:rPr>
              <w:t>Gadsden</w:t>
            </w:r>
          </w:p>
          <w:p w14:paraId="6A76593A" w14:textId="77777777" w:rsidR="003C027A" w:rsidRPr="003C027A" w:rsidRDefault="003C027A" w:rsidP="00D63204">
            <w:pPr>
              <w:pStyle w:val="ListParagraph"/>
              <w:widowControl w:val="0"/>
              <w:numPr>
                <w:ilvl w:val="0"/>
                <w:numId w:val="103"/>
              </w:numPr>
              <w:spacing w:before="61"/>
              <w:rPr>
                <w:rFonts w:ascii="Calibri" w:hAnsi="Calibri"/>
                <w:color w:val="231F20"/>
                <w:w w:val="110"/>
              </w:rPr>
            </w:pPr>
            <w:r w:rsidRPr="003C027A">
              <w:rPr>
                <w:rFonts w:ascii="Calibri" w:hAnsi="Calibri"/>
                <w:color w:val="231F20"/>
                <w:w w:val="110"/>
              </w:rPr>
              <w:t>Gulf</w:t>
            </w:r>
          </w:p>
          <w:p w14:paraId="5949F69D" w14:textId="77777777" w:rsidR="003C027A" w:rsidRPr="003C027A" w:rsidRDefault="003C027A" w:rsidP="00D63204">
            <w:pPr>
              <w:pStyle w:val="ListParagraph"/>
              <w:widowControl w:val="0"/>
              <w:numPr>
                <w:ilvl w:val="0"/>
                <w:numId w:val="103"/>
              </w:numPr>
              <w:spacing w:before="61"/>
              <w:rPr>
                <w:rFonts w:ascii="Calibri" w:hAnsi="Calibri"/>
                <w:color w:val="231F20"/>
                <w:w w:val="110"/>
              </w:rPr>
            </w:pPr>
            <w:r w:rsidRPr="003C027A">
              <w:rPr>
                <w:rFonts w:ascii="Calibri" w:hAnsi="Calibri"/>
                <w:color w:val="231F20"/>
                <w:w w:val="110"/>
              </w:rPr>
              <w:t>Hendry</w:t>
            </w:r>
          </w:p>
          <w:p w14:paraId="58C71C94" w14:textId="77777777" w:rsidR="003C027A" w:rsidRDefault="003C027A" w:rsidP="00D63204">
            <w:pPr>
              <w:widowControl w:val="0"/>
              <w:rPr>
                <w:rFonts w:ascii="Calibri" w:hAnsi="Calibri"/>
                <w:color w:val="231F20"/>
                <w:w w:val="105"/>
              </w:rPr>
            </w:pPr>
          </w:p>
        </w:tc>
        <w:tc>
          <w:tcPr>
            <w:tcW w:w="2146" w:type="dxa"/>
          </w:tcPr>
          <w:p w14:paraId="44F294F7" w14:textId="77777777" w:rsidR="003C027A" w:rsidRPr="003C027A" w:rsidRDefault="003C027A" w:rsidP="00D63204">
            <w:pPr>
              <w:pStyle w:val="ListParagraph"/>
              <w:widowControl w:val="0"/>
              <w:numPr>
                <w:ilvl w:val="0"/>
                <w:numId w:val="103"/>
              </w:numPr>
              <w:spacing w:before="61"/>
              <w:rPr>
                <w:rFonts w:ascii="Calibri" w:hAnsi="Calibri"/>
                <w:color w:val="231F20"/>
                <w:w w:val="110"/>
              </w:rPr>
            </w:pPr>
            <w:r w:rsidRPr="003C027A">
              <w:rPr>
                <w:rFonts w:ascii="Calibri" w:hAnsi="Calibri"/>
                <w:color w:val="231F20"/>
                <w:w w:val="110"/>
              </w:rPr>
              <w:t>Indian River</w:t>
            </w:r>
          </w:p>
          <w:p w14:paraId="29499655" w14:textId="77777777" w:rsidR="003C027A" w:rsidRPr="003C027A" w:rsidRDefault="003C027A" w:rsidP="00D63204">
            <w:pPr>
              <w:pStyle w:val="ListParagraph"/>
              <w:widowControl w:val="0"/>
              <w:numPr>
                <w:ilvl w:val="0"/>
                <w:numId w:val="103"/>
              </w:numPr>
              <w:spacing w:before="61"/>
              <w:rPr>
                <w:rFonts w:ascii="Calibri" w:hAnsi="Calibri"/>
                <w:color w:val="231F20"/>
                <w:w w:val="110"/>
              </w:rPr>
            </w:pPr>
            <w:r w:rsidRPr="003C027A">
              <w:rPr>
                <w:rFonts w:ascii="Calibri" w:hAnsi="Calibri"/>
                <w:color w:val="231F20"/>
                <w:w w:val="110"/>
              </w:rPr>
              <w:t>Jefferson</w:t>
            </w:r>
          </w:p>
          <w:p w14:paraId="0719031D" w14:textId="77777777" w:rsidR="003C027A" w:rsidRPr="003C027A" w:rsidRDefault="003C027A" w:rsidP="00D63204">
            <w:pPr>
              <w:pStyle w:val="ListParagraph"/>
              <w:widowControl w:val="0"/>
              <w:numPr>
                <w:ilvl w:val="0"/>
                <w:numId w:val="103"/>
              </w:numPr>
              <w:spacing w:before="61"/>
              <w:rPr>
                <w:rFonts w:ascii="Calibri" w:hAnsi="Calibri"/>
                <w:color w:val="231F20"/>
                <w:w w:val="110"/>
              </w:rPr>
            </w:pPr>
            <w:r w:rsidRPr="003C027A">
              <w:rPr>
                <w:rFonts w:ascii="Calibri" w:hAnsi="Calibri"/>
                <w:color w:val="231F20"/>
                <w:w w:val="110"/>
              </w:rPr>
              <w:t>Leon</w:t>
            </w:r>
          </w:p>
          <w:p w14:paraId="659926E8" w14:textId="77777777" w:rsidR="003C027A" w:rsidRPr="003C027A" w:rsidRDefault="003C027A" w:rsidP="00D63204">
            <w:pPr>
              <w:pStyle w:val="ListParagraph"/>
              <w:widowControl w:val="0"/>
              <w:numPr>
                <w:ilvl w:val="0"/>
                <w:numId w:val="103"/>
              </w:numPr>
              <w:spacing w:before="61"/>
              <w:rPr>
                <w:rFonts w:ascii="Calibri" w:hAnsi="Calibri"/>
                <w:color w:val="231F20"/>
                <w:w w:val="110"/>
              </w:rPr>
            </w:pPr>
            <w:r w:rsidRPr="003C027A">
              <w:rPr>
                <w:rFonts w:ascii="Calibri" w:hAnsi="Calibri"/>
                <w:color w:val="231F20"/>
                <w:w w:val="110"/>
              </w:rPr>
              <w:t>Liberty</w:t>
            </w:r>
          </w:p>
          <w:p w14:paraId="3F767509" w14:textId="77777777" w:rsidR="003C027A" w:rsidRPr="003C027A" w:rsidRDefault="003C027A" w:rsidP="00D63204">
            <w:pPr>
              <w:pStyle w:val="ListParagraph"/>
              <w:widowControl w:val="0"/>
              <w:numPr>
                <w:ilvl w:val="0"/>
                <w:numId w:val="103"/>
              </w:numPr>
              <w:spacing w:before="61"/>
              <w:rPr>
                <w:rFonts w:ascii="Calibri" w:hAnsi="Calibri"/>
                <w:color w:val="231F20"/>
                <w:w w:val="110"/>
              </w:rPr>
            </w:pPr>
            <w:r w:rsidRPr="003C027A">
              <w:rPr>
                <w:rFonts w:ascii="Calibri" w:hAnsi="Calibri"/>
                <w:color w:val="231F20"/>
                <w:w w:val="110"/>
              </w:rPr>
              <w:t>Manatee</w:t>
            </w:r>
          </w:p>
          <w:p w14:paraId="69A03ED7" w14:textId="77777777" w:rsidR="003C027A" w:rsidRDefault="003C027A" w:rsidP="00D63204">
            <w:pPr>
              <w:widowControl w:val="0"/>
              <w:rPr>
                <w:rFonts w:ascii="Calibri" w:hAnsi="Calibri"/>
                <w:color w:val="231F20"/>
                <w:w w:val="105"/>
              </w:rPr>
            </w:pPr>
          </w:p>
        </w:tc>
        <w:tc>
          <w:tcPr>
            <w:tcW w:w="1847" w:type="dxa"/>
          </w:tcPr>
          <w:p w14:paraId="55E2C5E7" w14:textId="77777777" w:rsidR="003C027A" w:rsidRPr="003C027A" w:rsidRDefault="003C027A" w:rsidP="00D63204">
            <w:pPr>
              <w:pStyle w:val="ListParagraph"/>
              <w:widowControl w:val="0"/>
              <w:numPr>
                <w:ilvl w:val="0"/>
                <w:numId w:val="103"/>
              </w:numPr>
              <w:spacing w:before="61"/>
              <w:rPr>
                <w:rFonts w:ascii="Calibri" w:hAnsi="Calibri"/>
                <w:color w:val="231F20"/>
                <w:w w:val="110"/>
              </w:rPr>
            </w:pPr>
            <w:r w:rsidRPr="003C027A">
              <w:rPr>
                <w:rFonts w:ascii="Calibri" w:hAnsi="Calibri"/>
                <w:color w:val="231F20"/>
                <w:w w:val="110"/>
              </w:rPr>
              <w:t>Nassau</w:t>
            </w:r>
          </w:p>
          <w:p w14:paraId="77CF0BD3" w14:textId="77777777" w:rsidR="003C027A" w:rsidRPr="003C027A" w:rsidRDefault="003C027A" w:rsidP="00D63204">
            <w:pPr>
              <w:pStyle w:val="ListParagraph"/>
              <w:widowControl w:val="0"/>
              <w:numPr>
                <w:ilvl w:val="0"/>
                <w:numId w:val="103"/>
              </w:numPr>
              <w:spacing w:before="61"/>
              <w:rPr>
                <w:rFonts w:ascii="Calibri" w:hAnsi="Calibri"/>
                <w:color w:val="231F20"/>
                <w:w w:val="110"/>
              </w:rPr>
            </w:pPr>
            <w:r w:rsidRPr="003C027A">
              <w:rPr>
                <w:rFonts w:ascii="Calibri" w:hAnsi="Calibri"/>
                <w:color w:val="231F20"/>
                <w:w w:val="110"/>
              </w:rPr>
              <w:t>Pinellas</w:t>
            </w:r>
          </w:p>
          <w:p w14:paraId="5D05A6D8" w14:textId="77777777" w:rsidR="003C027A" w:rsidRPr="003C027A" w:rsidRDefault="003C027A" w:rsidP="00D63204">
            <w:pPr>
              <w:pStyle w:val="ListParagraph"/>
              <w:widowControl w:val="0"/>
              <w:numPr>
                <w:ilvl w:val="0"/>
                <w:numId w:val="103"/>
              </w:numPr>
              <w:spacing w:before="61"/>
              <w:rPr>
                <w:rFonts w:ascii="Calibri" w:hAnsi="Calibri"/>
                <w:color w:val="231F20"/>
                <w:w w:val="110"/>
              </w:rPr>
            </w:pPr>
            <w:r w:rsidRPr="003C027A">
              <w:rPr>
                <w:rFonts w:ascii="Calibri" w:hAnsi="Calibri"/>
                <w:color w:val="231F20"/>
                <w:w w:val="110"/>
              </w:rPr>
              <w:t>Polk</w:t>
            </w:r>
          </w:p>
          <w:p w14:paraId="3CDE9CC9" w14:textId="77777777" w:rsidR="003C027A" w:rsidRPr="003C027A" w:rsidRDefault="003C027A" w:rsidP="00D63204">
            <w:pPr>
              <w:pStyle w:val="ListParagraph"/>
              <w:widowControl w:val="0"/>
              <w:numPr>
                <w:ilvl w:val="0"/>
                <w:numId w:val="103"/>
              </w:numPr>
              <w:spacing w:before="61"/>
              <w:rPr>
                <w:rFonts w:ascii="Calibri" w:hAnsi="Calibri"/>
                <w:color w:val="231F20"/>
                <w:w w:val="110"/>
              </w:rPr>
            </w:pPr>
            <w:r w:rsidRPr="003C027A">
              <w:rPr>
                <w:rFonts w:ascii="Calibri" w:hAnsi="Calibri"/>
                <w:color w:val="231F20"/>
                <w:w w:val="110"/>
              </w:rPr>
              <w:t>Putnam</w:t>
            </w:r>
          </w:p>
          <w:p w14:paraId="4331AF93" w14:textId="77777777" w:rsidR="003C027A" w:rsidRPr="003C027A" w:rsidRDefault="003C027A" w:rsidP="00D63204">
            <w:pPr>
              <w:pStyle w:val="ListParagraph"/>
              <w:widowControl w:val="0"/>
              <w:numPr>
                <w:ilvl w:val="0"/>
                <w:numId w:val="103"/>
              </w:numPr>
              <w:spacing w:before="61"/>
              <w:rPr>
                <w:rFonts w:ascii="Calibri" w:hAnsi="Calibri"/>
                <w:color w:val="231F20"/>
                <w:w w:val="110"/>
              </w:rPr>
            </w:pPr>
            <w:r w:rsidRPr="003C027A">
              <w:rPr>
                <w:rFonts w:ascii="Calibri" w:hAnsi="Calibri"/>
                <w:color w:val="231F20"/>
                <w:w w:val="110"/>
              </w:rPr>
              <w:t>Seminole</w:t>
            </w:r>
          </w:p>
          <w:p w14:paraId="4397BF95" w14:textId="77777777" w:rsidR="003C027A" w:rsidRDefault="003C027A" w:rsidP="00D63204">
            <w:pPr>
              <w:widowControl w:val="0"/>
              <w:rPr>
                <w:rFonts w:ascii="Calibri" w:hAnsi="Calibri"/>
                <w:color w:val="231F20"/>
                <w:w w:val="105"/>
              </w:rPr>
            </w:pPr>
          </w:p>
        </w:tc>
        <w:tc>
          <w:tcPr>
            <w:tcW w:w="2662" w:type="dxa"/>
          </w:tcPr>
          <w:p w14:paraId="1A0AD70B" w14:textId="77777777" w:rsidR="00404DE7" w:rsidRDefault="003C027A" w:rsidP="00160DE7">
            <w:pPr>
              <w:pStyle w:val="ListParagraph"/>
              <w:widowControl w:val="0"/>
              <w:numPr>
                <w:ilvl w:val="0"/>
                <w:numId w:val="103"/>
              </w:numPr>
              <w:spacing w:before="61"/>
              <w:rPr>
                <w:rFonts w:ascii="Calibri" w:hAnsi="Calibri"/>
                <w:color w:val="231F20"/>
                <w:w w:val="110"/>
              </w:rPr>
            </w:pPr>
            <w:r w:rsidRPr="00404DE7">
              <w:rPr>
                <w:rFonts w:ascii="Calibri" w:hAnsi="Calibri"/>
                <w:color w:val="231F20"/>
                <w:w w:val="110"/>
              </w:rPr>
              <w:t>South Tech Charter</w:t>
            </w:r>
          </w:p>
          <w:p w14:paraId="7E1A3217" w14:textId="489BBF68" w:rsidR="003C027A" w:rsidRPr="00404DE7" w:rsidRDefault="003C027A" w:rsidP="00160DE7">
            <w:pPr>
              <w:pStyle w:val="ListParagraph"/>
              <w:widowControl w:val="0"/>
              <w:numPr>
                <w:ilvl w:val="0"/>
                <w:numId w:val="103"/>
              </w:numPr>
              <w:spacing w:before="61"/>
              <w:rPr>
                <w:rFonts w:ascii="Calibri" w:hAnsi="Calibri"/>
                <w:color w:val="231F20"/>
                <w:w w:val="110"/>
              </w:rPr>
            </w:pPr>
            <w:r w:rsidRPr="00404DE7">
              <w:rPr>
                <w:rFonts w:ascii="Calibri" w:hAnsi="Calibri"/>
                <w:color w:val="231F20"/>
                <w:w w:val="110"/>
              </w:rPr>
              <w:t>St. Johns</w:t>
            </w:r>
          </w:p>
          <w:p w14:paraId="4E009C7B" w14:textId="77777777" w:rsidR="003C027A" w:rsidRPr="003C027A" w:rsidRDefault="003C027A" w:rsidP="00160DE7">
            <w:pPr>
              <w:pStyle w:val="ListParagraph"/>
              <w:widowControl w:val="0"/>
              <w:numPr>
                <w:ilvl w:val="0"/>
                <w:numId w:val="103"/>
              </w:numPr>
              <w:spacing w:before="61"/>
              <w:rPr>
                <w:rFonts w:ascii="Calibri" w:hAnsi="Calibri"/>
                <w:color w:val="231F20"/>
                <w:w w:val="110"/>
              </w:rPr>
            </w:pPr>
            <w:r w:rsidRPr="003C027A">
              <w:rPr>
                <w:rFonts w:ascii="Calibri" w:hAnsi="Calibri"/>
                <w:color w:val="231F20"/>
                <w:w w:val="110"/>
              </w:rPr>
              <w:t>Taylor</w:t>
            </w:r>
          </w:p>
          <w:p w14:paraId="08800BE7" w14:textId="77777777" w:rsidR="003C027A" w:rsidRPr="003C027A" w:rsidRDefault="003C027A" w:rsidP="00160DE7">
            <w:pPr>
              <w:pStyle w:val="ListParagraph"/>
              <w:widowControl w:val="0"/>
              <w:numPr>
                <w:ilvl w:val="0"/>
                <w:numId w:val="103"/>
              </w:numPr>
              <w:spacing w:before="61"/>
              <w:rPr>
                <w:rFonts w:ascii="Calibri" w:hAnsi="Calibri"/>
                <w:color w:val="231F20"/>
                <w:w w:val="110"/>
              </w:rPr>
            </w:pPr>
            <w:r w:rsidRPr="003C027A">
              <w:rPr>
                <w:rFonts w:ascii="Calibri" w:hAnsi="Calibri"/>
                <w:color w:val="231F20"/>
                <w:w w:val="110"/>
              </w:rPr>
              <w:t>Volusia</w:t>
            </w:r>
          </w:p>
          <w:p w14:paraId="33556201" w14:textId="77777777" w:rsidR="003C027A" w:rsidRPr="003C027A" w:rsidRDefault="003C027A" w:rsidP="00160DE7">
            <w:pPr>
              <w:pStyle w:val="ListParagraph"/>
              <w:widowControl w:val="0"/>
              <w:numPr>
                <w:ilvl w:val="0"/>
                <w:numId w:val="103"/>
              </w:numPr>
              <w:spacing w:before="61"/>
              <w:rPr>
                <w:rFonts w:ascii="Calibri" w:hAnsi="Calibri"/>
                <w:color w:val="231F20"/>
                <w:w w:val="110"/>
              </w:rPr>
            </w:pPr>
            <w:r w:rsidRPr="003C027A">
              <w:rPr>
                <w:rFonts w:ascii="Calibri" w:hAnsi="Calibri"/>
                <w:color w:val="231F20"/>
                <w:w w:val="110"/>
              </w:rPr>
              <w:t>Wakulla</w:t>
            </w:r>
          </w:p>
          <w:p w14:paraId="2F9D8C2D" w14:textId="77777777" w:rsidR="003C027A" w:rsidRDefault="003C027A" w:rsidP="00D63204">
            <w:pPr>
              <w:widowControl w:val="0"/>
              <w:rPr>
                <w:rFonts w:ascii="Calibri" w:hAnsi="Calibri"/>
                <w:color w:val="231F20"/>
                <w:w w:val="105"/>
              </w:rPr>
            </w:pPr>
          </w:p>
        </w:tc>
      </w:tr>
    </w:tbl>
    <w:p w14:paraId="731EB06D" w14:textId="77777777" w:rsidR="003C027A" w:rsidRDefault="003C027A" w:rsidP="00D63204">
      <w:pPr>
        <w:widowControl w:val="0"/>
        <w:spacing w:after="0" w:line="240" w:lineRule="auto"/>
        <w:ind w:left="107"/>
        <w:rPr>
          <w:rFonts w:ascii="Calibri" w:hAnsi="Calibri"/>
          <w:color w:val="231F20"/>
          <w:w w:val="105"/>
        </w:rPr>
      </w:pPr>
    </w:p>
    <w:p w14:paraId="633C94DF" w14:textId="0A779913" w:rsidR="003C027A" w:rsidRPr="00A23800" w:rsidRDefault="003C027A" w:rsidP="00D63204">
      <w:pPr>
        <w:widowControl w:val="0"/>
        <w:spacing w:before="56" w:after="0" w:line="240" w:lineRule="auto"/>
        <w:ind w:left="107"/>
        <w:outlineLvl w:val="2"/>
        <w:rPr>
          <w:rFonts w:ascii="Calibri" w:hAnsi="Calibri" w:cs="Calibri"/>
          <w:b/>
          <w:bCs/>
          <w:sz w:val="17"/>
          <w:szCs w:val="17"/>
        </w:rPr>
      </w:pPr>
      <w:r w:rsidRPr="00A23800">
        <w:rPr>
          <w:rFonts w:ascii="Calibri" w:hAnsi="Calibri"/>
          <w:b/>
          <w:bCs/>
          <w:color w:val="231F20"/>
          <w:w w:val="110"/>
        </w:rPr>
        <w:t>The</w:t>
      </w:r>
      <w:r w:rsidRPr="00A23800">
        <w:rPr>
          <w:rFonts w:ascii="Calibri" w:hAnsi="Calibri"/>
          <w:b/>
          <w:bCs/>
          <w:color w:val="231F20"/>
          <w:spacing w:val="-7"/>
          <w:w w:val="110"/>
        </w:rPr>
        <w:t xml:space="preserve"> </w:t>
      </w:r>
      <w:r w:rsidRPr="00A23800">
        <w:rPr>
          <w:rFonts w:ascii="Calibri" w:hAnsi="Calibri"/>
          <w:b/>
          <w:bCs/>
          <w:color w:val="231F20"/>
          <w:w w:val="110"/>
        </w:rPr>
        <w:t>current</w:t>
      </w:r>
      <w:r w:rsidRPr="00A23800">
        <w:rPr>
          <w:rFonts w:ascii="Calibri" w:hAnsi="Calibri"/>
          <w:b/>
          <w:bCs/>
          <w:color w:val="231F20"/>
          <w:spacing w:val="-7"/>
          <w:w w:val="110"/>
        </w:rPr>
        <w:t xml:space="preserve"> </w:t>
      </w:r>
      <w:r w:rsidRPr="00A23800">
        <w:rPr>
          <w:rFonts w:ascii="Calibri" w:hAnsi="Calibri"/>
          <w:b/>
          <w:bCs/>
          <w:color w:val="231F20"/>
          <w:w w:val="110"/>
        </w:rPr>
        <w:t>arrangements</w:t>
      </w:r>
      <w:r w:rsidRPr="00A23800">
        <w:rPr>
          <w:rFonts w:ascii="Calibri" w:hAnsi="Calibri"/>
          <w:b/>
          <w:bCs/>
          <w:color w:val="231F20"/>
          <w:spacing w:val="-7"/>
          <w:w w:val="110"/>
        </w:rPr>
        <w:t xml:space="preserve"> </w:t>
      </w:r>
      <w:r w:rsidRPr="00A23800">
        <w:rPr>
          <w:rFonts w:ascii="Calibri" w:hAnsi="Calibri"/>
          <w:b/>
          <w:bCs/>
          <w:color w:val="231F20"/>
          <w:w w:val="110"/>
        </w:rPr>
        <w:t>will</w:t>
      </w:r>
      <w:r w:rsidRPr="00A23800">
        <w:rPr>
          <w:rFonts w:ascii="Calibri" w:hAnsi="Calibri"/>
          <w:b/>
          <w:bCs/>
          <w:color w:val="231F20"/>
          <w:spacing w:val="-7"/>
          <w:w w:val="110"/>
        </w:rPr>
        <w:t xml:space="preserve"> </w:t>
      </w:r>
      <w:r w:rsidRPr="00A23800">
        <w:rPr>
          <w:rFonts w:ascii="Calibri" w:hAnsi="Calibri"/>
          <w:b/>
          <w:bCs/>
          <w:color w:val="231F20"/>
          <w:w w:val="110"/>
        </w:rPr>
        <w:t>expire</w:t>
      </w:r>
      <w:r w:rsidRPr="00A23800">
        <w:rPr>
          <w:rFonts w:ascii="Calibri" w:hAnsi="Calibri"/>
          <w:b/>
          <w:bCs/>
          <w:color w:val="231F20"/>
          <w:spacing w:val="-7"/>
          <w:w w:val="110"/>
        </w:rPr>
        <w:t xml:space="preserve"> </w:t>
      </w:r>
      <w:r w:rsidRPr="00A23800">
        <w:rPr>
          <w:rFonts w:ascii="Calibri" w:hAnsi="Calibri"/>
          <w:b/>
          <w:bCs/>
          <w:color w:val="231F20"/>
          <w:w w:val="110"/>
        </w:rPr>
        <w:t>on</w:t>
      </w:r>
      <w:r w:rsidRPr="00A23800">
        <w:rPr>
          <w:rFonts w:ascii="Calibri" w:hAnsi="Calibri"/>
          <w:b/>
          <w:bCs/>
          <w:color w:val="231F20"/>
          <w:spacing w:val="-7"/>
          <w:w w:val="110"/>
        </w:rPr>
        <w:t xml:space="preserve"> </w:t>
      </w:r>
      <w:r w:rsidRPr="00A23800">
        <w:rPr>
          <w:rFonts w:ascii="Calibri" w:hAnsi="Calibri"/>
          <w:b/>
          <w:bCs/>
          <w:color w:val="231F20"/>
          <w:w w:val="110"/>
        </w:rPr>
        <w:t>June</w:t>
      </w:r>
      <w:r w:rsidRPr="00A23800">
        <w:rPr>
          <w:rFonts w:ascii="Calibri" w:hAnsi="Calibri"/>
          <w:b/>
          <w:bCs/>
          <w:color w:val="231F20"/>
          <w:spacing w:val="-7"/>
          <w:w w:val="110"/>
        </w:rPr>
        <w:t xml:space="preserve"> </w:t>
      </w:r>
      <w:r w:rsidRPr="00A23800">
        <w:rPr>
          <w:rFonts w:ascii="Calibri" w:hAnsi="Calibri"/>
          <w:b/>
          <w:bCs/>
          <w:color w:val="231F20"/>
          <w:w w:val="110"/>
        </w:rPr>
        <w:t>30,</w:t>
      </w:r>
      <w:r w:rsidRPr="00A23800">
        <w:rPr>
          <w:rFonts w:ascii="Calibri" w:hAnsi="Calibri"/>
          <w:b/>
          <w:bCs/>
          <w:color w:val="231F20"/>
          <w:spacing w:val="-7"/>
          <w:w w:val="110"/>
        </w:rPr>
        <w:t xml:space="preserve"> </w:t>
      </w:r>
      <w:r>
        <w:rPr>
          <w:rFonts w:ascii="Calibri" w:hAnsi="Calibri"/>
          <w:b/>
          <w:bCs/>
          <w:color w:val="231F20"/>
          <w:w w:val="110"/>
        </w:rPr>
        <w:t>2018</w:t>
      </w:r>
      <w:r w:rsidRPr="00A23800">
        <w:rPr>
          <w:rFonts w:ascii="Calibri" w:hAnsi="Calibri"/>
          <w:b/>
          <w:bCs/>
          <w:color w:val="231F20"/>
          <w:w w:val="110"/>
        </w:rPr>
        <w:t>.</w:t>
      </w:r>
      <w:r w:rsidRPr="00A23800">
        <w:rPr>
          <w:rFonts w:ascii="Calibri" w:hAnsi="Calibri"/>
          <w:b/>
          <w:bCs/>
          <w:color w:val="231F20"/>
          <w:spacing w:val="-7"/>
          <w:w w:val="110"/>
        </w:rPr>
        <w:t xml:space="preserve"> </w:t>
      </w:r>
      <w:r w:rsidRPr="00806753">
        <w:rPr>
          <w:rFonts w:ascii="Calibri" w:hAnsi="Calibri"/>
          <w:b/>
          <w:bCs/>
          <w:color w:val="231F20"/>
          <w:w w:val="110"/>
        </w:rPr>
        <w:t xml:space="preserve">VR is in the process of revising the contractual agreement it offers to school districts, but new contracts have not been developed yet. Once developed, if the contract changes the way VR delivers Transition services, the </w:t>
      </w:r>
      <w:r w:rsidR="00D226F4">
        <w:rPr>
          <w:rFonts w:ascii="Calibri" w:hAnsi="Calibri"/>
          <w:b/>
          <w:bCs/>
          <w:color w:val="231F20"/>
          <w:w w:val="110"/>
        </w:rPr>
        <w:t>state pl</w:t>
      </w:r>
      <w:r w:rsidRPr="00806753">
        <w:rPr>
          <w:rFonts w:ascii="Calibri" w:hAnsi="Calibri"/>
          <w:b/>
          <w:bCs/>
          <w:color w:val="231F20"/>
          <w:w w:val="110"/>
        </w:rPr>
        <w:t xml:space="preserve">an will be amended </w:t>
      </w:r>
      <w:r>
        <w:rPr>
          <w:rFonts w:ascii="Calibri" w:hAnsi="Calibri"/>
          <w:b/>
          <w:bCs/>
          <w:color w:val="231F20"/>
          <w:w w:val="110"/>
        </w:rPr>
        <w:t>as needed</w:t>
      </w:r>
      <w:r w:rsidRPr="00A23800">
        <w:rPr>
          <w:rFonts w:ascii="Calibri" w:hAnsi="Calibri"/>
          <w:b/>
          <w:bCs/>
          <w:color w:val="231F20"/>
          <w:w w:val="110"/>
        </w:rPr>
        <w:t>.</w:t>
      </w:r>
    </w:p>
    <w:p w14:paraId="45A7D995" w14:textId="77777777" w:rsidR="00EA7458" w:rsidRPr="00EA7458" w:rsidRDefault="00EA7458" w:rsidP="00D63204">
      <w:pPr>
        <w:widowControl w:val="0"/>
        <w:spacing w:before="4" w:after="0" w:line="240" w:lineRule="auto"/>
        <w:ind w:left="90" w:hanging="18"/>
        <w:rPr>
          <w:rFonts w:ascii="Calibri" w:hAnsi="Calibri" w:cs="Calibri"/>
          <w:b/>
          <w:bCs/>
          <w:sz w:val="17"/>
          <w:szCs w:val="17"/>
        </w:rPr>
      </w:pPr>
    </w:p>
    <w:p w14:paraId="5352F15C" w14:textId="77777777" w:rsidR="00EA7458" w:rsidRPr="00493CD4" w:rsidRDefault="00EA7458" w:rsidP="00D63204">
      <w:pPr>
        <w:widowControl w:val="0"/>
        <w:numPr>
          <w:ilvl w:val="0"/>
          <w:numId w:val="49"/>
        </w:numPr>
        <w:tabs>
          <w:tab w:val="left" w:pos="828"/>
        </w:tabs>
        <w:spacing w:after="0" w:line="240" w:lineRule="auto"/>
        <w:outlineLvl w:val="1"/>
        <w:rPr>
          <w:rFonts w:ascii="Calibri" w:hAnsi="Calibri"/>
          <w:color w:val="1F497D" w:themeColor="text2"/>
          <w:sz w:val="26"/>
          <w:szCs w:val="26"/>
        </w:rPr>
      </w:pPr>
      <w:r w:rsidRPr="00493CD4">
        <w:rPr>
          <w:rFonts w:ascii="Calibri" w:hAnsi="Calibri"/>
          <w:b/>
          <w:bCs/>
          <w:color w:val="1F497D" w:themeColor="text2"/>
          <w:w w:val="110"/>
          <w:sz w:val="26"/>
          <w:szCs w:val="26"/>
        </w:rPr>
        <w:t>Cooperation with Agencies Not Under the Workforce</w:t>
      </w:r>
      <w:r w:rsidRPr="00493CD4">
        <w:rPr>
          <w:rFonts w:ascii="Calibri" w:hAnsi="Calibri"/>
          <w:b/>
          <w:bCs/>
          <w:color w:val="1F497D" w:themeColor="text2"/>
          <w:spacing w:val="-8"/>
          <w:w w:val="110"/>
          <w:sz w:val="26"/>
          <w:szCs w:val="26"/>
        </w:rPr>
        <w:t xml:space="preserve"> </w:t>
      </w:r>
      <w:r w:rsidRPr="00493CD4">
        <w:rPr>
          <w:rFonts w:ascii="Calibri" w:hAnsi="Calibri"/>
          <w:b/>
          <w:bCs/>
          <w:color w:val="1F497D" w:themeColor="text2"/>
          <w:w w:val="110"/>
          <w:sz w:val="26"/>
          <w:szCs w:val="26"/>
        </w:rPr>
        <w:t>System</w:t>
      </w:r>
    </w:p>
    <w:p w14:paraId="00FB8EC5" w14:textId="2C72FCF7" w:rsidR="007026A7" w:rsidRPr="007026A7" w:rsidRDefault="007026A7" w:rsidP="00D63204">
      <w:pPr>
        <w:widowControl w:val="0"/>
        <w:spacing w:after="0" w:line="240" w:lineRule="auto"/>
        <w:ind w:left="107"/>
        <w:rPr>
          <w:rFonts w:cstheme="minorHAnsi"/>
          <w:color w:val="231F20"/>
          <w:w w:val="105"/>
        </w:rPr>
      </w:pPr>
      <w:r>
        <w:rPr>
          <w:rFonts w:ascii="Calibri" w:hAnsi="Calibri"/>
          <w:color w:val="231F20"/>
          <w:w w:val="105"/>
        </w:rPr>
        <w:br/>
      </w:r>
      <w:r w:rsidRPr="007026A7">
        <w:rPr>
          <w:rFonts w:cstheme="minorHAnsi"/>
          <w:color w:val="231F20"/>
          <w:w w:val="105"/>
        </w:rPr>
        <w:t>The Florida Division of Vocational Rehabilitation (VR) maintains cooperative agreements with agencies and other entities not carrying out activities under the Workforce Investment System. The state of Florida no longer participates in the National Rural Development Program. A description of current VR partners and agreements is below.</w:t>
      </w:r>
    </w:p>
    <w:p w14:paraId="4DA0D556" w14:textId="77777777" w:rsidR="007026A7" w:rsidRPr="007026A7" w:rsidRDefault="007026A7" w:rsidP="00D63204">
      <w:pPr>
        <w:widowControl w:val="0"/>
        <w:spacing w:after="0" w:line="240" w:lineRule="auto"/>
        <w:ind w:left="107"/>
        <w:rPr>
          <w:rFonts w:cstheme="minorHAnsi"/>
          <w:color w:val="231F20"/>
          <w:w w:val="105"/>
        </w:rPr>
      </w:pPr>
    </w:p>
    <w:p w14:paraId="2E251FCF" w14:textId="77777777" w:rsidR="007026A7" w:rsidRPr="007026A7" w:rsidRDefault="007026A7" w:rsidP="00D63204">
      <w:pPr>
        <w:widowControl w:val="0"/>
        <w:spacing w:after="0" w:line="240" w:lineRule="auto"/>
        <w:ind w:left="107"/>
        <w:rPr>
          <w:rFonts w:cstheme="minorHAnsi"/>
          <w:b/>
          <w:color w:val="231F20"/>
          <w:w w:val="105"/>
          <w:u w:val="single"/>
        </w:rPr>
      </w:pPr>
      <w:r w:rsidRPr="007026A7">
        <w:rPr>
          <w:rFonts w:cstheme="minorHAnsi"/>
          <w:b/>
          <w:color w:val="231F20"/>
          <w:w w:val="105"/>
          <w:u w:val="single"/>
        </w:rPr>
        <w:t xml:space="preserve">The Able Trust </w:t>
      </w:r>
    </w:p>
    <w:p w14:paraId="614205CA" w14:textId="1F8997CB" w:rsidR="007026A7" w:rsidRPr="007026A7" w:rsidRDefault="007026A7" w:rsidP="00D63204">
      <w:pPr>
        <w:widowControl w:val="0"/>
        <w:spacing w:after="0" w:line="240" w:lineRule="auto"/>
        <w:ind w:left="107"/>
        <w:rPr>
          <w:rFonts w:cstheme="minorHAnsi"/>
          <w:color w:val="231F20"/>
          <w:w w:val="105"/>
        </w:rPr>
      </w:pPr>
      <w:r w:rsidRPr="007026A7">
        <w:rPr>
          <w:rFonts w:cstheme="minorHAnsi"/>
          <w:color w:val="231F20"/>
          <w:w w:val="105"/>
        </w:rPr>
        <w:t>The Able Trust, also known as the Florida Endowment Foundation for Vocational Rehabilitation, is a 501(c)(3) public-private partnership foundation established by the Florida Legislature in 1990. Its mission is to be a leader in providing Floridians with disabilities opportunities for successful employment. The Able Trust assists community organizations throughout the state to help thousands of Floridians with disabilities enter the workforce. They accomplish this by administering grants, as well as supporting educational and public awareness programs</w:t>
      </w:r>
      <w:r w:rsidR="005E7C49">
        <w:rPr>
          <w:rFonts w:cstheme="minorHAnsi"/>
          <w:color w:val="231F20"/>
          <w:w w:val="105"/>
        </w:rPr>
        <w:t xml:space="preserve">. </w:t>
      </w:r>
      <w:r w:rsidRPr="007026A7">
        <w:rPr>
          <w:rFonts w:cstheme="minorHAnsi"/>
          <w:color w:val="231F20"/>
          <w:w w:val="105"/>
        </w:rPr>
        <w:t>The Able Trust youth programs provide career development and transition to many students with disabilities annually, helping to reduce the dropout rate and prepare young adults for life beyond high school. The Able Trust submits its budget, annual report, audit</w:t>
      </w:r>
      <w:r w:rsidR="00D5537E">
        <w:rPr>
          <w:rFonts w:cstheme="minorHAnsi"/>
          <w:color w:val="231F20"/>
          <w:w w:val="105"/>
        </w:rPr>
        <w:t xml:space="preserve"> and</w:t>
      </w:r>
      <w:r w:rsidRPr="007026A7">
        <w:rPr>
          <w:rFonts w:cstheme="minorHAnsi"/>
          <w:color w:val="231F20"/>
          <w:w w:val="105"/>
        </w:rPr>
        <w:t xml:space="preserve"> any changes to the Articles of Incorporation or by-laws to the Vocational Rehabilitation director annually for review and VR provides necessary certification, as required.</w:t>
      </w:r>
    </w:p>
    <w:p w14:paraId="3823BB3A" w14:textId="77777777" w:rsidR="007026A7" w:rsidRPr="007026A7" w:rsidRDefault="007026A7" w:rsidP="00D63204">
      <w:pPr>
        <w:widowControl w:val="0"/>
        <w:spacing w:after="0" w:line="240" w:lineRule="auto"/>
        <w:ind w:left="107"/>
        <w:rPr>
          <w:rFonts w:cstheme="minorHAnsi"/>
          <w:color w:val="231F20"/>
          <w:w w:val="105"/>
        </w:rPr>
      </w:pPr>
    </w:p>
    <w:p w14:paraId="3CE4FC10" w14:textId="77777777" w:rsidR="007026A7" w:rsidRPr="007026A7" w:rsidRDefault="007026A7" w:rsidP="00D63204">
      <w:pPr>
        <w:widowControl w:val="0"/>
        <w:spacing w:after="0" w:line="240" w:lineRule="auto"/>
        <w:ind w:left="107"/>
        <w:rPr>
          <w:rFonts w:cstheme="minorHAnsi"/>
          <w:b/>
          <w:color w:val="231F20"/>
          <w:w w:val="105"/>
          <w:u w:val="single"/>
        </w:rPr>
      </w:pPr>
      <w:r w:rsidRPr="007026A7">
        <w:rPr>
          <w:rFonts w:cstheme="minorHAnsi"/>
          <w:b/>
          <w:color w:val="231F20"/>
          <w:w w:val="105"/>
          <w:u w:val="single"/>
        </w:rPr>
        <w:t xml:space="preserve">Agency for Persons with Disabilities </w:t>
      </w:r>
    </w:p>
    <w:p w14:paraId="11EB995B" w14:textId="66C3A373" w:rsidR="007026A7" w:rsidRPr="007026A7" w:rsidRDefault="007026A7" w:rsidP="00D63204">
      <w:pPr>
        <w:widowControl w:val="0"/>
        <w:spacing w:after="0" w:line="240" w:lineRule="auto"/>
        <w:ind w:left="107"/>
        <w:rPr>
          <w:rFonts w:cstheme="minorHAnsi"/>
          <w:color w:val="231F20"/>
          <w:w w:val="105"/>
        </w:rPr>
      </w:pPr>
      <w:r w:rsidRPr="007026A7">
        <w:rPr>
          <w:rFonts w:cstheme="minorHAnsi"/>
          <w:color w:val="231F20"/>
          <w:w w:val="105"/>
        </w:rPr>
        <w:t>The cooperative agreement between the Agency for Persons with Disabilities and VR contains a detailed and specific focus on collaborative planning and funding of Supported Employment services. Specifically, the agreement addresses the transition of secondary students to the community, to provide a seamless transition of services. The cooperative agreement includes local strategies and joint obligations for both agencies.</w:t>
      </w:r>
      <w:r>
        <w:rPr>
          <w:rFonts w:cstheme="minorHAnsi"/>
          <w:color w:val="231F20"/>
          <w:w w:val="105"/>
        </w:rPr>
        <w:t xml:space="preserve"> </w:t>
      </w:r>
      <w:r w:rsidRPr="007026A7">
        <w:rPr>
          <w:rFonts w:cstheme="minorHAnsi"/>
          <w:color w:val="231F20"/>
          <w:w w:val="105"/>
        </w:rPr>
        <w:t>Both agencies have a common goal of assisting eligible persons to achieve greater independence through employment. The specific goal of this agreement is to coordinate support and services throughout the state, maintaining maximum customer satisfaction and informed choice. This agreement is currently being updated to ensure compliance with the new Workforce Innovation and Opportunity Act (WIOA) regulations.</w:t>
      </w:r>
    </w:p>
    <w:p w14:paraId="1666F4C1" w14:textId="77777777" w:rsidR="007026A7" w:rsidRPr="007026A7" w:rsidRDefault="007026A7" w:rsidP="00D63204">
      <w:pPr>
        <w:widowControl w:val="0"/>
        <w:spacing w:after="0" w:line="240" w:lineRule="auto"/>
        <w:ind w:left="107"/>
        <w:rPr>
          <w:rFonts w:cstheme="minorHAnsi"/>
          <w:color w:val="231F20"/>
          <w:w w:val="105"/>
        </w:rPr>
      </w:pPr>
    </w:p>
    <w:p w14:paraId="06C8488A" w14:textId="77777777" w:rsidR="007026A7" w:rsidRPr="007026A7" w:rsidRDefault="007026A7" w:rsidP="00D63204">
      <w:pPr>
        <w:widowControl w:val="0"/>
        <w:spacing w:after="0" w:line="240" w:lineRule="auto"/>
        <w:ind w:left="107"/>
        <w:rPr>
          <w:rFonts w:cstheme="minorHAnsi"/>
          <w:b/>
          <w:color w:val="231F20"/>
          <w:w w:val="105"/>
          <w:u w:val="single"/>
        </w:rPr>
      </w:pPr>
      <w:r w:rsidRPr="007026A7">
        <w:rPr>
          <w:rFonts w:cstheme="minorHAnsi"/>
          <w:b/>
          <w:color w:val="231F20"/>
          <w:w w:val="105"/>
          <w:u w:val="single"/>
        </w:rPr>
        <w:t xml:space="preserve">Brain and Spinal Cord Injury Program, Florida Department of Health </w:t>
      </w:r>
    </w:p>
    <w:p w14:paraId="4C9380FE" w14:textId="09015A6E" w:rsidR="007026A7" w:rsidRPr="007026A7" w:rsidRDefault="007026A7" w:rsidP="00D63204">
      <w:pPr>
        <w:widowControl w:val="0"/>
        <w:spacing w:after="0" w:line="240" w:lineRule="auto"/>
        <w:ind w:left="107"/>
        <w:rPr>
          <w:rFonts w:cstheme="minorHAnsi"/>
          <w:color w:val="231F20"/>
          <w:w w:val="105"/>
        </w:rPr>
      </w:pPr>
      <w:r w:rsidRPr="007026A7">
        <w:rPr>
          <w:rFonts w:cstheme="minorHAnsi"/>
          <w:color w:val="231F20"/>
          <w:w w:val="105"/>
        </w:rPr>
        <w:t>VR and the Brain and Spinal Cord Injury Program have agreed to expand referrals between the two agencies to improve employment outcomes for persons with a traumatic brain or spinal cord injury. The effort will include joint statewide training for those involved in the project and identification of local referral liaisons.</w:t>
      </w:r>
    </w:p>
    <w:p w14:paraId="162CEAF5" w14:textId="77777777" w:rsidR="007026A7" w:rsidRPr="007026A7" w:rsidRDefault="007026A7" w:rsidP="00D63204">
      <w:pPr>
        <w:widowControl w:val="0"/>
        <w:spacing w:after="0" w:line="240" w:lineRule="auto"/>
        <w:ind w:left="107"/>
        <w:rPr>
          <w:rFonts w:cstheme="minorHAnsi"/>
          <w:color w:val="231F20"/>
          <w:w w:val="105"/>
        </w:rPr>
      </w:pPr>
    </w:p>
    <w:p w14:paraId="51C86637" w14:textId="77777777" w:rsidR="007026A7" w:rsidRPr="007026A7" w:rsidRDefault="007026A7" w:rsidP="00D63204">
      <w:pPr>
        <w:widowControl w:val="0"/>
        <w:spacing w:after="0" w:line="240" w:lineRule="auto"/>
        <w:ind w:left="107"/>
        <w:rPr>
          <w:rFonts w:cstheme="minorHAnsi"/>
          <w:b/>
          <w:color w:val="231F20"/>
          <w:w w:val="105"/>
          <w:u w:val="single"/>
        </w:rPr>
      </w:pPr>
      <w:r w:rsidRPr="007026A7">
        <w:rPr>
          <w:rFonts w:cstheme="minorHAnsi"/>
          <w:b/>
          <w:color w:val="231F20"/>
          <w:w w:val="105"/>
          <w:u w:val="single"/>
        </w:rPr>
        <w:t xml:space="preserve">Florida Alliance for Assistive Services and Technology, Inc. </w:t>
      </w:r>
    </w:p>
    <w:p w14:paraId="100632EF" w14:textId="761A2860" w:rsidR="007026A7" w:rsidRPr="007026A7" w:rsidRDefault="007026A7" w:rsidP="00D63204">
      <w:pPr>
        <w:widowControl w:val="0"/>
        <w:spacing w:after="0" w:line="240" w:lineRule="auto"/>
        <w:ind w:left="107"/>
        <w:rPr>
          <w:rFonts w:cstheme="minorHAnsi"/>
          <w:color w:val="231F20"/>
          <w:w w:val="105"/>
        </w:rPr>
      </w:pPr>
      <w:r w:rsidRPr="007026A7">
        <w:rPr>
          <w:rFonts w:cstheme="minorHAnsi"/>
          <w:color w:val="231F20"/>
          <w:w w:val="105"/>
        </w:rPr>
        <w:t>VR and the Florida Alliance for Assistive Services and Technology, Inc. agree to share specific information about their customers to optimize service delivery. Both agree to specific procedures that facilitate the delivery of services to their respective and mutual customers. Florida Alliance for Assistive Services and Technology offers an Alternative Financing Program for the purchase of assistive technology to all residents of Florida who have disabilities.</w:t>
      </w:r>
    </w:p>
    <w:p w14:paraId="648BEF92" w14:textId="44CF3190" w:rsidR="007026A7" w:rsidRPr="007026A7" w:rsidRDefault="007026A7" w:rsidP="00D63204">
      <w:pPr>
        <w:widowControl w:val="0"/>
        <w:spacing w:after="0" w:line="240" w:lineRule="auto"/>
        <w:ind w:left="107"/>
        <w:rPr>
          <w:rFonts w:cstheme="minorHAnsi"/>
          <w:color w:val="231F20"/>
          <w:w w:val="105"/>
        </w:rPr>
      </w:pPr>
    </w:p>
    <w:p w14:paraId="5BAD41AB" w14:textId="77777777" w:rsidR="007026A7" w:rsidRPr="007026A7" w:rsidRDefault="007026A7" w:rsidP="00D63204">
      <w:pPr>
        <w:widowControl w:val="0"/>
        <w:spacing w:after="0" w:line="240" w:lineRule="auto"/>
        <w:ind w:left="107"/>
        <w:rPr>
          <w:rFonts w:cstheme="minorHAnsi"/>
          <w:color w:val="231F20"/>
          <w:w w:val="105"/>
        </w:rPr>
      </w:pPr>
    </w:p>
    <w:p w14:paraId="5BD2C155" w14:textId="77777777" w:rsidR="007026A7" w:rsidRDefault="007026A7" w:rsidP="00D63204">
      <w:pPr>
        <w:widowControl w:val="0"/>
        <w:spacing w:after="0" w:line="240" w:lineRule="auto"/>
        <w:ind w:left="107"/>
        <w:rPr>
          <w:rFonts w:cstheme="minorHAnsi"/>
          <w:b/>
          <w:color w:val="231F20"/>
          <w:w w:val="105"/>
          <w:u w:val="single"/>
        </w:rPr>
      </w:pPr>
    </w:p>
    <w:p w14:paraId="58DCC454" w14:textId="21768B82" w:rsidR="007026A7" w:rsidRPr="007026A7" w:rsidRDefault="007026A7" w:rsidP="00D63204">
      <w:pPr>
        <w:widowControl w:val="0"/>
        <w:spacing w:after="0" w:line="240" w:lineRule="auto"/>
        <w:ind w:left="107"/>
        <w:rPr>
          <w:rFonts w:cstheme="minorHAnsi"/>
          <w:b/>
          <w:color w:val="231F20"/>
          <w:w w:val="105"/>
          <w:u w:val="single"/>
        </w:rPr>
      </w:pPr>
      <w:r w:rsidRPr="007026A7">
        <w:rPr>
          <w:rFonts w:cstheme="minorHAnsi"/>
          <w:b/>
          <w:color w:val="231F20"/>
          <w:w w:val="105"/>
          <w:u w:val="single"/>
        </w:rPr>
        <w:t xml:space="preserve">Florida Independent Living Council, Inc. </w:t>
      </w:r>
    </w:p>
    <w:p w14:paraId="2864ABA0" w14:textId="12C16F32" w:rsidR="007026A7" w:rsidRPr="007026A7" w:rsidRDefault="007026A7" w:rsidP="00D63204">
      <w:pPr>
        <w:widowControl w:val="0"/>
        <w:spacing w:after="0" w:line="240" w:lineRule="auto"/>
        <w:ind w:left="107"/>
        <w:rPr>
          <w:rFonts w:cstheme="minorHAnsi"/>
          <w:color w:val="231F20"/>
          <w:w w:val="105"/>
        </w:rPr>
      </w:pPr>
      <w:r w:rsidRPr="007026A7">
        <w:rPr>
          <w:rFonts w:cstheme="minorHAnsi"/>
          <w:color w:val="231F20"/>
          <w:w w:val="105"/>
        </w:rPr>
        <w:t>VR coordinates with Florida Independent Living Council, Inc. (FILC)</w:t>
      </w:r>
      <w:r w:rsidR="00D5537E">
        <w:rPr>
          <w:rFonts w:cstheme="minorHAnsi"/>
          <w:color w:val="231F20"/>
          <w:w w:val="105"/>
        </w:rPr>
        <w:t xml:space="preserve"> and</w:t>
      </w:r>
      <w:r w:rsidRPr="007026A7">
        <w:rPr>
          <w:rFonts w:cstheme="minorHAnsi"/>
          <w:color w:val="231F20"/>
          <w:w w:val="105"/>
        </w:rPr>
        <w:t xml:space="preserve"> the Centers for Independent Living throughout the state. Through memoranda of agreement with each of the 16 Centers, VR provides funding, outlines roles and responsibilities</w:t>
      </w:r>
      <w:r w:rsidR="00D5537E">
        <w:rPr>
          <w:rFonts w:cstheme="minorHAnsi"/>
          <w:color w:val="231F20"/>
          <w:w w:val="105"/>
        </w:rPr>
        <w:t xml:space="preserve"> and</w:t>
      </w:r>
      <w:r w:rsidRPr="007026A7">
        <w:rPr>
          <w:rFonts w:cstheme="minorHAnsi"/>
          <w:color w:val="231F20"/>
          <w:w w:val="105"/>
        </w:rPr>
        <w:t xml:space="preserve"> ensures cooperative planning. VR and the Division of Blind Services (FDBS) are both partners in the agreement with FILC</w:t>
      </w:r>
      <w:r w:rsidR="00D5537E">
        <w:rPr>
          <w:rFonts w:cstheme="minorHAnsi"/>
          <w:color w:val="231F20"/>
          <w:w w:val="105"/>
        </w:rPr>
        <w:t xml:space="preserve"> and</w:t>
      </w:r>
      <w:r w:rsidRPr="007026A7">
        <w:rPr>
          <w:rFonts w:cstheme="minorHAnsi"/>
          <w:color w:val="231F20"/>
          <w:w w:val="105"/>
        </w:rPr>
        <w:t xml:space="preserve"> both provide funds for council activities outlined in the agreement.</w:t>
      </w:r>
    </w:p>
    <w:p w14:paraId="0CA6791B" w14:textId="77777777" w:rsidR="007026A7" w:rsidRPr="007026A7" w:rsidRDefault="007026A7" w:rsidP="00D63204">
      <w:pPr>
        <w:widowControl w:val="0"/>
        <w:spacing w:after="0" w:line="240" w:lineRule="auto"/>
        <w:ind w:left="107"/>
        <w:rPr>
          <w:rFonts w:cstheme="minorHAnsi"/>
          <w:color w:val="231F20"/>
          <w:w w:val="105"/>
        </w:rPr>
      </w:pPr>
    </w:p>
    <w:p w14:paraId="3918DC30" w14:textId="77777777" w:rsidR="007026A7" w:rsidRPr="007026A7" w:rsidRDefault="007026A7" w:rsidP="00D63204">
      <w:pPr>
        <w:widowControl w:val="0"/>
        <w:spacing w:after="0" w:line="240" w:lineRule="auto"/>
        <w:ind w:left="107"/>
        <w:rPr>
          <w:rFonts w:cstheme="minorHAnsi"/>
          <w:b/>
          <w:color w:val="231F20"/>
          <w:w w:val="105"/>
          <w:u w:val="single"/>
        </w:rPr>
      </w:pPr>
      <w:r w:rsidRPr="007026A7">
        <w:rPr>
          <w:rFonts w:cstheme="minorHAnsi"/>
          <w:b/>
          <w:color w:val="231F20"/>
          <w:w w:val="105"/>
          <w:u w:val="single"/>
        </w:rPr>
        <w:t xml:space="preserve">Florida School for the Deaf and the Blind </w:t>
      </w:r>
    </w:p>
    <w:p w14:paraId="09C3E6B9" w14:textId="21D39460" w:rsidR="007026A7" w:rsidRPr="007026A7" w:rsidRDefault="007026A7" w:rsidP="00D63204">
      <w:pPr>
        <w:widowControl w:val="0"/>
        <w:spacing w:after="0" w:line="240" w:lineRule="auto"/>
        <w:ind w:left="107"/>
        <w:rPr>
          <w:rFonts w:cstheme="minorHAnsi"/>
          <w:color w:val="231F20"/>
          <w:w w:val="105"/>
        </w:rPr>
      </w:pPr>
      <w:r w:rsidRPr="007026A7">
        <w:rPr>
          <w:rFonts w:cstheme="minorHAnsi"/>
          <w:color w:val="231F20"/>
          <w:w w:val="105"/>
        </w:rPr>
        <w:t>VR and the Florida School for the Deaf and the Blind agree to cooperate in serving students and customers who are deaf or hard of hearing</w:t>
      </w:r>
      <w:r w:rsidR="00D5537E">
        <w:rPr>
          <w:rFonts w:cstheme="minorHAnsi"/>
          <w:color w:val="231F20"/>
          <w:w w:val="105"/>
        </w:rPr>
        <w:t xml:space="preserve"> and</w:t>
      </w:r>
      <w:r w:rsidRPr="007026A7">
        <w:rPr>
          <w:rFonts w:cstheme="minorHAnsi"/>
          <w:color w:val="231F20"/>
          <w:w w:val="105"/>
        </w:rPr>
        <w:t xml:space="preserve"> in establishing transition meetings. Activities are implemented to increase public awareness of programs serving these customers and to improve transition between the school and local counselors.</w:t>
      </w:r>
    </w:p>
    <w:p w14:paraId="15177421" w14:textId="77777777" w:rsidR="007026A7" w:rsidRPr="007026A7" w:rsidRDefault="007026A7" w:rsidP="00D63204">
      <w:pPr>
        <w:widowControl w:val="0"/>
        <w:spacing w:after="0" w:line="240" w:lineRule="auto"/>
        <w:ind w:left="107"/>
        <w:rPr>
          <w:rFonts w:cstheme="minorHAnsi"/>
          <w:color w:val="231F20"/>
          <w:w w:val="105"/>
        </w:rPr>
      </w:pPr>
    </w:p>
    <w:p w14:paraId="3B76ED0C" w14:textId="77777777" w:rsidR="007026A7" w:rsidRPr="007026A7" w:rsidRDefault="007026A7" w:rsidP="00D63204">
      <w:pPr>
        <w:widowControl w:val="0"/>
        <w:spacing w:after="0" w:line="240" w:lineRule="auto"/>
        <w:ind w:left="107"/>
        <w:rPr>
          <w:rFonts w:cstheme="minorHAnsi"/>
          <w:b/>
          <w:color w:val="231F20"/>
          <w:w w:val="105"/>
          <w:u w:val="single"/>
        </w:rPr>
      </w:pPr>
      <w:r w:rsidRPr="007026A7">
        <w:rPr>
          <w:rFonts w:cstheme="minorHAnsi"/>
          <w:b/>
          <w:color w:val="231F20"/>
          <w:w w:val="105"/>
          <w:u w:val="single"/>
        </w:rPr>
        <w:t xml:space="preserve">Florida Small Business Development Center Network </w:t>
      </w:r>
    </w:p>
    <w:p w14:paraId="5C70B4C8" w14:textId="15E96366" w:rsidR="007026A7" w:rsidRPr="007026A7" w:rsidRDefault="007026A7" w:rsidP="00D63204">
      <w:pPr>
        <w:widowControl w:val="0"/>
        <w:spacing w:after="0" w:line="240" w:lineRule="auto"/>
        <w:ind w:left="107"/>
        <w:rPr>
          <w:rFonts w:cstheme="minorHAnsi"/>
          <w:color w:val="231F20"/>
          <w:w w:val="105"/>
        </w:rPr>
      </w:pPr>
      <w:r w:rsidRPr="007026A7">
        <w:rPr>
          <w:rFonts w:cstheme="minorHAnsi"/>
          <w:color w:val="231F20"/>
          <w:w w:val="105"/>
        </w:rPr>
        <w:t xml:space="preserve">Coordination with this network is carried out at the local level on a case-by-case basis. VR customers who are seeking self-employment can use a Business Planning Team. A representative from the Small Business Development Center Network can serve on such teams to help VR customers assess their potential for self-employment and analyze the various issues that need to be </w:t>
      </w:r>
      <w:r w:rsidR="00096B5A" w:rsidRPr="007026A7">
        <w:rPr>
          <w:rFonts w:cstheme="minorHAnsi"/>
          <w:color w:val="231F20"/>
          <w:w w:val="105"/>
        </w:rPr>
        <w:t>considered</w:t>
      </w:r>
      <w:r w:rsidRPr="007026A7">
        <w:rPr>
          <w:rFonts w:cstheme="minorHAnsi"/>
          <w:color w:val="231F20"/>
          <w:w w:val="105"/>
        </w:rPr>
        <w:t>.</w:t>
      </w:r>
    </w:p>
    <w:p w14:paraId="4D75964D" w14:textId="77777777" w:rsidR="007026A7" w:rsidRPr="007026A7" w:rsidRDefault="007026A7" w:rsidP="00D63204">
      <w:pPr>
        <w:widowControl w:val="0"/>
        <w:spacing w:after="0" w:line="240" w:lineRule="auto"/>
        <w:ind w:left="107"/>
        <w:rPr>
          <w:rFonts w:cstheme="minorHAnsi"/>
          <w:color w:val="231F20"/>
          <w:w w:val="105"/>
        </w:rPr>
      </w:pPr>
    </w:p>
    <w:p w14:paraId="6AD44B2C" w14:textId="65DF9575" w:rsidR="007026A7" w:rsidRPr="007026A7" w:rsidRDefault="007026A7" w:rsidP="00D63204">
      <w:pPr>
        <w:widowControl w:val="0"/>
        <w:spacing w:after="0" w:line="240" w:lineRule="auto"/>
        <w:ind w:left="107"/>
        <w:rPr>
          <w:rFonts w:cstheme="minorHAnsi"/>
          <w:b/>
          <w:color w:val="231F20"/>
          <w:w w:val="105"/>
          <w:u w:val="single"/>
        </w:rPr>
      </w:pPr>
      <w:r w:rsidRPr="007026A7">
        <w:rPr>
          <w:rFonts w:cstheme="minorHAnsi"/>
          <w:b/>
          <w:color w:val="231F20"/>
          <w:w w:val="105"/>
          <w:u w:val="single"/>
        </w:rPr>
        <w:t xml:space="preserve">Institutions of Higher Education </w:t>
      </w:r>
    </w:p>
    <w:p w14:paraId="6D54D41D" w14:textId="4CEFFE17" w:rsidR="007026A7" w:rsidRPr="007026A7" w:rsidRDefault="007026A7" w:rsidP="00D63204">
      <w:pPr>
        <w:widowControl w:val="0"/>
        <w:spacing w:after="0" w:line="240" w:lineRule="auto"/>
        <w:ind w:left="107"/>
        <w:rPr>
          <w:rFonts w:cstheme="minorHAnsi"/>
          <w:color w:val="231F20"/>
          <w:w w:val="105"/>
        </w:rPr>
      </w:pPr>
      <w:r w:rsidRPr="007026A7">
        <w:rPr>
          <w:rFonts w:cstheme="minorHAnsi"/>
          <w:color w:val="231F20"/>
          <w:w w:val="105"/>
        </w:rPr>
        <w:t>VR has Memoranda of Understanding with the Presidents of Florida’s public universities and the Florida College System. Both Memoranda outline the purposes, roles and responsibilities of VR and the educational institutions, as well as financial and programmatic responsibilities. The Memoranda of Understanding provides information regarding financial assistance, sharing of assessment findings, accommodations, rehabilitation technology services, academic advisement, counseling, confidentiality</w:t>
      </w:r>
      <w:r w:rsidR="00D5537E">
        <w:rPr>
          <w:rFonts w:cstheme="minorHAnsi"/>
          <w:color w:val="231F20"/>
          <w:w w:val="105"/>
        </w:rPr>
        <w:t xml:space="preserve"> and</w:t>
      </w:r>
      <w:r w:rsidRPr="007026A7">
        <w:rPr>
          <w:rFonts w:cstheme="minorHAnsi"/>
          <w:color w:val="231F20"/>
          <w:w w:val="105"/>
        </w:rPr>
        <w:t xml:space="preserve"> other topics.</w:t>
      </w:r>
    </w:p>
    <w:p w14:paraId="572395F7" w14:textId="77777777" w:rsidR="007026A7" w:rsidRPr="007026A7" w:rsidRDefault="007026A7" w:rsidP="00D63204">
      <w:pPr>
        <w:widowControl w:val="0"/>
        <w:spacing w:after="0" w:line="240" w:lineRule="auto"/>
        <w:ind w:left="107"/>
        <w:rPr>
          <w:rFonts w:cstheme="minorHAnsi"/>
          <w:color w:val="231F20"/>
          <w:w w:val="105"/>
        </w:rPr>
      </w:pPr>
    </w:p>
    <w:p w14:paraId="6A5A438F" w14:textId="6F136C03" w:rsidR="007026A7" w:rsidRPr="007026A7" w:rsidRDefault="007026A7" w:rsidP="00D63204">
      <w:pPr>
        <w:widowControl w:val="0"/>
        <w:spacing w:after="0" w:line="240" w:lineRule="auto"/>
        <w:ind w:left="107"/>
        <w:rPr>
          <w:rFonts w:cstheme="minorHAnsi"/>
          <w:b/>
          <w:color w:val="231F20"/>
          <w:w w:val="105"/>
          <w:u w:val="single"/>
        </w:rPr>
      </w:pPr>
      <w:r w:rsidRPr="007026A7">
        <w:rPr>
          <w:rFonts w:cstheme="minorHAnsi"/>
          <w:b/>
          <w:color w:val="231F20"/>
          <w:w w:val="105"/>
          <w:u w:val="single"/>
        </w:rPr>
        <w:t xml:space="preserve">The Lower Muscogee Creek Tribe </w:t>
      </w:r>
    </w:p>
    <w:p w14:paraId="23DEBBDD" w14:textId="27DC0CC0" w:rsidR="007026A7" w:rsidRPr="007026A7" w:rsidRDefault="007026A7" w:rsidP="00D63204">
      <w:pPr>
        <w:widowControl w:val="0"/>
        <w:spacing w:after="0" w:line="240" w:lineRule="auto"/>
        <w:ind w:left="107"/>
        <w:rPr>
          <w:rFonts w:cstheme="minorHAnsi"/>
          <w:color w:val="231F20"/>
          <w:w w:val="105"/>
        </w:rPr>
      </w:pPr>
      <w:r w:rsidRPr="007026A7">
        <w:rPr>
          <w:rFonts w:cstheme="minorHAnsi"/>
          <w:color w:val="231F20"/>
          <w:w w:val="105"/>
        </w:rPr>
        <w:t>The Lower Muscogee Creek Tribe</w:t>
      </w:r>
      <w:r w:rsidR="003F64C7">
        <w:rPr>
          <w:rFonts w:cstheme="minorHAnsi"/>
          <w:color w:val="231F20"/>
          <w:w w:val="105"/>
        </w:rPr>
        <w:t>,</w:t>
      </w:r>
      <w:r w:rsidRPr="007026A7">
        <w:rPr>
          <w:rFonts w:cstheme="minorHAnsi"/>
          <w:color w:val="231F20"/>
          <w:w w:val="105"/>
        </w:rPr>
        <w:t xml:space="preserve"> located in southern Georgia</w:t>
      </w:r>
      <w:r w:rsidR="003F64C7">
        <w:rPr>
          <w:rFonts w:cstheme="minorHAnsi"/>
          <w:color w:val="231F20"/>
          <w:w w:val="105"/>
        </w:rPr>
        <w:t>,</w:t>
      </w:r>
      <w:r w:rsidRPr="007026A7">
        <w:rPr>
          <w:rFonts w:cstheme="minorHAnsi"/>
          <w:color w:val="231F20"/>
          <w:w w:val="105"/>
        </w:rPr>
        <w:t xml:space="preserve"> is the recipient of the Federal Section 121 Grant under Title I of the Rehabilitation Act, as amended. There is not a 121 program in Florida. However, VR and the Lower Muscogee Creek Tribe have a Memorandum of Understanding to coordinate services for eligible Native Americans with disabilities residing on or near the Lower Muscogee Creek Tribe Tama Reservation within a 150-mile radius. The agreement outlines the responsibilities of both groups, including services for joint customers and technical assistance.</w:t>
      </w:r>
    </w:p>
    <w:p w14:paraId="32D9CAE1" w14:textId="77777777" w:rsidR="007026A7" w:rsidRPr="007026A7" w:rsidRDefault="007026A7" w:rsidP="00D63204">
      <w:pPr>
        <w:widowControl w:val="0"/>
        <w:spacing w:after="0" w:line="240" w:lineRule="auto"/>
        <w:ind w:left="107"/>
        <w:rPr>
          <w:rFonts w:cstheme="minorHAnsi"/>
          <w:color w:val="231F20"/>
          <w:w w:val="105"/>
        </w:rPr>
      </w:pPr>
    </w:p>
    <w:p w14:paraId="6848D90D" w14:textId="77777777" w:rsidR="007026A7" w:rsidRPr="007026A7" w:rsidRDefault="007026A7" w:rsidP="00D63204">
      <w:pPr>
        <w:widowControl w:val="0"/>
        <w:spacing w:after="0" w:line="240" w:lineRule="auto"/>
        <w:ind w:left="107"/>
        <w:rPr>
          <w:rFonts w:cstheme="minorHAnsi"/>
          <w:b/>
          <w:color w:val="231F20"/>
          <w:w w:val="105"/>
          <w:u w:val="single"/>
        </w:rPr>
      </w:pPr>
      <w:r w:rsidRPr="007026A7">
        <w:rPr>
          <w:rFonts w:cstheme="minorHAnsi"/>
          <w:b/>
          <w:color w:val="231F20"/>
          <w:w w:val="105"/>
          <w:u w:val="single"/>
        </w:rPr>
        <w:t xml:space="preserve">Mental Health Program, Florida Department of Children and Families </w:t>
      </w:r>
    </w:p>
    <w:p w14:paraId="4DBBB438" w14:textId="031DEEBB" w:rsidR="007026A7" w:rsidRPr="007026A7" w:rsidRDefault="007026A7" w:rsidP="00D63204">
      <w:pPr>
        <w:widowControl w:val="0"/>
        <w:spacing w:after="0" w:line="240" w:lineRule="auto"/>
        <w:ind w:left="107"/>
        <w:rPr>
          <w:rFonts w:cstheme="minorHAnsi"/>
          <w:color w:val="231F20"/>
          <w:w w:val="105"/>
        </w:rPr>
      </w:pPr>
      <w:r w:rsidRPr="007026A7">
        <w:rPr>
          <w:rFonts w:cstheme="minorHAnsi"/>
          <w:color w:val="231F20"/>
          <w:w w:val="105"/>
        </w:rPr>
        <w:t>VR coordinates with the state mental health authority to assist customers who have mental illnesses. One of these is participation on the Florida Assertive Community Treatment Team, a community-based, outreach-oriented method of delivering services to individuals with mental illnesses coordinated by the Mental Health Program. VR provides staff liaisons with many of these teams to help serve this group of customers in a comprehensive manner. VR is an active member of the State Mental Health Planning Council of Florida. The cooperative agreement promotes coordination so that appropriate services can be delivered to maximize customer choice and satisfaction. This agreement is currently being updated to ensure compliance with new WIOA regulations.</w:t>
      </w:r>
    </w:p>
    <w:p w14:paraId="01EF9C07" w14:textId="77777777" w:rsidR="007026A7" w:rsidRPr="007026A7" w:rsidRDefault="007026A7" w:rsidP="00D63204">
      <w:pPr>
        <w:spacing w:line="240" w:lineRule="auto"/>
        <w:rPr>
          <w:rFonts w:cstheme="minorHAnsi"/>
          <w:color w:val="231F20"/>
          <w:w w:val="105"/>
        </w:rPr>
      </w:pPr>
      <w:r w:rsidRPr="007026A7">
        <w:rPr>
          <w:rFonts w:cstheme="minorHAnsi"/>
          <w:color w:val="231F20"/>
          <w:w w:val="105"/>
        </w:rPr>
        <w:br w:type="page"/>
      </w:r>
    </w:p>
    <w:p w14:paraId="3ADBB7C6" w14:textId="77777777" w:rsidR="007026A7" w:rsidRPr="007026A7" w:rsidRDefault="007026A7" w:rsidP="00D63204">
      <w:pPr>
        <w:widowControl w:val="0"/>
        <w:spacing w:after="0" w:line="240" w:lineRule="auto"/>
        <w:ind w:left="107"/>
        <w:rPr>
          <w:rFonts w:cstheme="minorHAnsi"/>
          <w:color w:val="231F20"/>
          <w:w w:val="105"/>
        </w:rPr>
      </w:pPr>
    </w:p>
    <w:p w14:paraId="34FDA2C8" w14:textId="24B47AE7" w:rsidR="007026A7" w:rsidRPr="007026A7" w:rsidRDefault="007026A7" w:rsidP="00D63204">
      <w:pPr>
        <w:widowControl w:val="0"/>
        <w:spacing w:after="0" w:line="240" w:lineRule="auto"/>
        <w:ind w:left="107"/>
        <w:rPr>
          <w:rFonts w:cstheme="minorHAnsi"/>
          <w:b/>
          <w:color w:val="231F20"/>
          <w:w w:val="105"/>
          <w:u w:val="single"/>
        </w:rPr>
      </w:pPr>
      <w:r w:rsidRPr="007026A7">
        <w:rPr>
          <w:rFonts w:cstheme="minorHAnsi"/>
          <w:b/>
          <w:color w:val="231F20"/>
          <w:w w:val="105"/>
          <w:u w:val="single"/>
        </w:rPr>
        <w:t xml:space="preserve">Division of Blind Services (FDBS), Florida Department of Education </w:t>
      </w:r>
    </w:p>
    <w:p w14:paraId="0FF9E5E8" w14:textId="2DF3A2AE" w:rsidR="007026A7" w:rsidRPr="007026A7" w:rsidRDefault="007026A7" w:rsidP="00D63204">
      <w:pPr>
        <w:widowControl w:val="0"/>
        <w:spacing w:after="0" w:line="240" w:lineRule="auto"/>
        <w:ind w:left="107"/>
        <w:rPr>
          <w:rFonts w:cstheme="minorHAnsi"/>
          <w:color w:val="231F20"/>
          <w:w w:val="105"/>
        </w:rPr>
      </w:pPr>
      <w:r w:rsidRPr="007026A7">
        <w:rPr>
          <w:rFonts w:cstheme="minorHAnsi"/>
          <w:color w:val="231F20"/>
          <w:w w:val="105"/>
        </w:rPr>
        <w:t>Both VR and FDBS serve individuals with visual impairments. This agreement specifies the roles and responsibilities of each division, including those for individuals with one-eye pathology, bilateral visual impairment, multiple disabilities</w:t>
      </w:r>
      <w:r w:rsidR="00D5537E">
        <w:rPr>
          <w:rFonts w:cstheme="minorHAnsi"/>
          <w:color w:val="231F20"/>
          <w:w w:val="105"/>
        </w:rPr>
        <w:t xml:space="preserve"> and</w:t>
      </w:r>
      <w:r w:rsidRPr="007026A7">
        <w:rPr>
          <w:rFonts w:cstheme="minorHAnsi"/>
          <w:color w:val="231F20"/>
          <w:w w:val="105"/>
        </w:rPr>
        <w:t xml:space="preserve"> for individuals who are deaf-blind.</w:t>
      </w:r>
    </w:p>
    <w:p w14:paraId="567FCCED" w14:textId="77777777" w:rsidR="007026A7" w:rsidRPr="007026A7" w:rsidRDefault="007026A7" w:rsidP="00D63204">
      <w:pPr>
        <w:widowControl w:val="0"/>
        <w:spacing w:after="0" w:line="240" w:lineRule="auto"/>
        <w:ind w:left="107"/>
        <w:rPr>
          <w:rFonts w:cstheme="minorHAnsi"/>
          <w:color w:val="231F20"/>
          <w:w w:val="105"/>
        </w:rPr>
      </w:pPr>
    </w:p>
    <w:p w14:paraId="00F5A025" w14:textId="77777777" w:rsidR="007026A7" w:rsidRPr="007026A7" w:rsidRDefault="007026A7" w:rsidP="00D63204">
      <w:pPr>
        <w:widowControl w:val="0"/>
        <w:spacing w:after="0" w:line="240" w:lineRule="auto"/>
        <w:ind w:left="107"/>
        <w:rPr>
          <w:rFonts w:cstheme="minorHAnsi"/>
          <w:b/>
          <w:color w:val="231F20"/>
          <w:w w:val="105"/>
          <w:u w:val="single"/>
        </w:rPr>
      </w:pPr>
      <w:r w:rsidRPr="007026A7">
        <w:rPr>
          <w:rFonts w:cstheme="minorHAnsi"/>
          <w:b/>
          <w:color w:val="231F20"/>
          <w:w w:val="105"/>
          <w:u w:val="single"/>
        </w:rPr>
        <w:t>Bureau of Exceptional Education and Student Services, Florida Department of Education; Division of Blind Services; Florida Department of Health; Department of Economic Opportunity</w:t>
      </w:r>
    </w:p>
    <w:p w14:paraId="6A0D6685" w14:textId="0ED24015" w:rsidR="007026A7" w:rsidRPr="007026A7" w:rsidRDefault="007026A7" w:rsidP="00D63204">
      <w:pPr>
        <w:widowControl w:val="0"/>
        <w:spacing w:after="0" w:line="240" w:lineRule="auto"/>
        <w:ind w:left="107"/>
        <w:rPr>
          <w:rFonts w:cstheme="minorHAnsi"/>
          <w:color w:val="231F20"/>
          <w:w w:val="105"/>
        </w:rPr>
      </w:pPr>
      <w:r w:rsidRPr="007026A7">
        <w:rPr>
          <w:rFonts w:cstheme="minorHAnsi"/>
          <w:color w:val="231F20"/>
          <w:w w:val="105"/>
        </w:rPr>
        <w:t>The Florida Interagency Agreement for the Transfer of Assistive Technology, signed in 2006, establishes a framework for an efficient transition of technology as individuals with disabilities move through the continuum from educational services to employment. Specifically, the agreement ensures children and youth with disabilities and their families, educators</w:t>
      </w:r>
      <w:r w:rsidR="00D5537E">
        <w:rPr>
          <w:rFonts w:cstheme="minorHAnsi"/>
          <w:color w:val="231F20"/>
          <w:w w:val="105"/>
        </w:rPr>
        <w:t xml:space="preserve"> and</w:t>
      </w:r>
      <w:r w:rsidRPr="007026A7">
        <w:rPr>
          <w:rFonts w:cstheme="minorHAnsi"/>
          <w:color w:val="231F20"/>
          <w:w w:val="105"/>
        </w:rPr>
        <w:t xml:space="preserve"> employers are informed about the continued use and transfer of assistive technology devices. These devices may remain with the person as he or she moves from home to school and to post-school activities to assist in meeting transition needs. The agreement outlines the conditions for coordination, the authority for transfer of property by local education agencies, financial responsibilities</w:t>
      </w:r>
      <w:r w:rsidR="00D5537E">
        <w:rPr>
          <w:rFonts w:cstheme="minorHAnsi"/>
          <w:color w:val="231F20"/>
          <w:w w:val="105"/>
        </w:rPr>
        <w:t xml:space="preserve"> and</w:t>
      </w:r>
      <w:r w:rsidRPr="007026A7">
        <w:rPr>
          <w:rFonts w:cstheme="minorHAnsi"/>
          <w:color w:val="231F20"/>
          <w:w w:val="105"/>
        </w:rPr>
        <w:t xml:space="preserve"> other topics.</w:t>
      </w:r>
    </w:p>
    <w:p w14:paraId="1F22F1EB" w14:textId="77777777" w:rsidR="007026A7" w:rsidRPr="007026A7" w:rsidRDefault="007026A7" w:rsidP="00D63204">
      <w:pPr>
        <w:widowControl w:val="0"/>
        <w:spacing w:after="0" w:line="240" w:lineRule="auto"/>
        <w:ind w:left="107"/>
        <w:rPr>
          <w:rFonts w:cstheme="minorHAnsi"/>
          <w:color w:val="231F20"/>
          <w:w w:val="105"/>
        </w:rPr>
      </w:pPr>
    </w:p>
    <w:p w14:paraId="1AA799CB" w14:textId="77777777" w:rsidR="007026A7" w:rsidRPr="007026A7" w:rsidRDefault="007026A7" w:rsidP="00D63204">
      <w:pPr>
        <w:widowControl w:val="0"/>
        <w:spacing w:after="0" w:line="240" w:lineRule="auto"/>
        <w:ind w:left="107"/>
        <w:rPr>
          <w:rFonts w:cstheme="minorHAnsi"/>
          <w:b/>
          <w:color w:val="231F20"/>
          <w:w w:val="105"/>
          <w:u w:val="single"/>
        </w:rPr>
      </w:pPr>
      <w:r w:rsidRPr="007026A7">
        <w:rPr>
          <w:rFonts w:cstheme="minorHAnsi"/>
          <w:b/>
          <w:color w:val="231F20"/>
          <w:w w:val="105"/>
          <w:u w:val="single"/>
        </w:rPr>
        <w:t xml:space="preserve">Office of Federal Contract Compliance Programs, Employment Standards Administration </w:t>
      </w:r>
    </w:p>
    <w:p w14:paraId="2AC3B6EC" w14:textId="657CBC91" w:rsidR="007026A7" w:rsidRPr="007026A7" w:rsidRDefault="007026A7" w:rsidP="00D63204">
      <w:pPr>
        <w:widowControl w:val="0"/>
        <w:spacing w:after="0" w:line="240" w:lineRule="auto"/>
        <w:ind w:left="107"/>
        <w:rPr>
          <w:rFonts w:cstheme="minorHAnsi"/>
          <w:color w:val="231F20"/>
          <w:w w:val="105"/>
        </w:rPr>
      </w:pPr>
      <w:r w:rsidRPr="007026A7">
        <w:rPr>
          <w:rFonts w:cstheme="minorHAnsi"/>
          <w:color w:val="231F20"/>
          <w:w w:val="105"/>
        </w:rPr>
        <w:t>Both agencies agree to further the common goal of providing VR equal employment opportunities and protecting against discrimination. VR will provide expertise on matters relating to disability issues and employment, cross-referral of individuals with disabilities</w:t>
      </w:r>
      <w:r w:rsidR="00D5537E">
        <w:rPr>
          <w:rFonts w:cstheme="minorHAnsi"/>
          <w:color w:val="231F20"/>
          <w:w w:val="105"/>
        </w:rPr>
        <w:t xml:space="preserve"> and</w:t>
      </w:r>
      <w:r w:rsidRPr="007026A7">
        <w:rPr>
          <w:rFonts w:cstheme="minorHAnsi"/>
          <w:color w:val="231F20"/>
          <w:w w:val="105"/>
        </w:rPr>
        <w:t xml:space="preserve"> will participate in interagency training programs, staff meetings</w:t>
      </w:r>
      <w:r w:rsidR="00D5537E">
        <w:rPr>
          <w:rFonts w:cstheme="minorHAnsi"/>
          <w:color w:val="231F20"/>
          <w:w w:val="105"/>
        </w:rPr>
        <w:t xml:space="preserve"> and</w:t>
      </w:r>
      <w:r w:rsidRPr="007026A7">
        <w:rPr>
          <w:rFonts w:cstheme="minorHAnsi"/>
          <w:color w:val="231F20"/>
          <w:w w:val="105"/>
        </w:rPr>
        <w:t xml:space="preserve"> conferences. Both agencies agree to a coordinated public outreach effort.</w:t>
      </w:r>
    </w:p>
    <w:p w14:paraId="4DFA966D" w14:textId="77777777" w:rsidR="007026A7" w:rsidRPr="007026A7" w:rsidRDefault="007026A7" w:rsidP="00D63204">
      <w:pPr>
        <w:widowControl w:val="0"/>
        <w:spacing w:after="0" w:line="240" w:lineRule="auto"/>
        <w:ind w:left="107"/>
        <w:rPr>
          <w:rFonts w:cstheme="minorHAnsi"/>
          <w:color w:val="231F20"/>
          <w:w w:val="105"/>
        </w:rPr>
      </w:pPr>
    </w:p>
    <w:p w14:paraId="314D3BB9" w14:textId="417C05E2" w:rsidR="007026A7" w:rsidRPr="007026A7" w:rsidRDefault="007026A7" w:rsidP="00D63204">
      <w:pPr>
        <w:widowControl w:val="0"/>
        <w:spacing w:after="0" w:line="240" w:lineRule="auto"/>
        <w:ind w:left="107"/>
        <w:rPr>
          <w:rFonts w:cstheme="minorHAnsi"/>
          <w:b/>
          <w:color w:val="231F20"/>
          <w:w w:val="105"/>
          <w:u w:val="single"/>
        </w:rPr>
      </w:pPr>
      <w:r w:rsidRPr="007026A7">
        <w:rPr>
          <w:rFonts w:cstheme="minorHAnsi"/>
          <w:b/>
          <w:color w:val="231F20"/>
          <w:w w:val="105"/>
          <w:u w:val="single"/>
        </w:rPr>
        <w:t xml:space="preserve">Prison Rehabilitative Industries and Diversified Enterprises, Inc. (PRIDE) </w:t>
      </w:r>
    </w:p>
    <w:p w14:paraId="7AF906B0" w14:textId="120EF1FD" w:rsidR="007026A7" w:rsidRPr="007026A7" w:rsidRDefault="007026A7" w:rsidP="00D63204">
      <w:pPr>
        <w:widowControl w:val="0"/>
        <w:spacing w:after="0" w:line="240" w:lineRule="auto"/>
        <w:ind w:left="107"/>
        <w:rPr>
          <w:rFonts w:cstheme="minorHAnsi"/>
          <w:color w:val="231F20"/>
          <w:w w:val="105"/>
        </w:rPr>
      </w:pPr>
      <w:r w:rsidRPr="007026A7">
        <w:rPr>
          <w:rFonts w:cstheme="minorHAnsi"/>
          <w:color w:val="231F20"/>
          <w:w w:val="105"/>
        </w:rPr>
        <w:t xml:space="preserve">VR uses the services and manufactured items produced in correctional work programs through PRIDE. PRIDE is a Florida corporation that provides these goods and services as a state-use contracting program. A similar product or service of comparable price and quality, found necessary for use by a state agency, may not be purchased from a source other than PRIDE. </w:t>
      </w:r>
      <w:r w:rsidR="00C64A81">
        <w:rPr>
          <w:rFonts w:cstheme="minorHAnsi"/>
          <w:color w:val="231F20"/>
          <w:w w:val="105"/>
        </w:rPr>
        <w:t>C</w:t>
      </w:r>
      <w:r w:rsidRPr="007026A7">
        <w:rPr>
          <w:rFonts w:cstheme="minorHAnsi"/>
          <w:color w:val="231F20"/>
          <w:w w:val="105"/>
        </w:rPr>
        <w:t>ontracts between VR and any private vendor require all items be purchased through PRIDE. This is consistent with Section 946.515, Florida Statutes.</w:t>
      </w:r>
    </w:p>
    <w:p w14:paraId="10B19178" w14:textId="77777777" w:rsidR="007026A7" w:rsidRPr="007026A7" w:rsidRDefault="007026A7" w:rsidP="00D63204">
      <w:pPr>
        <w:widowControl w:val="0"/>
        <w:spacing w:after="0" w:line="240" w:lineRule="auto"/>
        <w:ind w:left="107"/>
        <w:rPr>
          <w:rFonts w:cstheme="minorHAnsi"/>
          <w:color w:val="231F20"/>
          <w:w w:val="105"/>
        </w:rPr>
      </w:pPr>
    </w:p>
    <w:p w14:paraId="3E829003" w14:textId="191333A9" w:rsidR="007026A7" w:rsidRPr="007026A7" w:rsidRDefault="007026A7" w:rsidP="00D63204">
      <w:pPr>
        <w:widowControl w:val="0"/>
        <w:spacing w:after="0" w:line="240" w:lineRule="auto"/>
        <w:ind w:left="107"/>
        <w:rPr>
          <w:rFonts w:cstheme="minorHAnsi"/>
          <w:b/>
          <w:color w:val="231F20"/>
          <w:w w:val="105"/>
          <w:u w:val="single"/>
        </w:rPr>
      </w:pPr>
      <w:r w:rsidRPr="007026A7">
        <w:rPr>
          <w:rFonts w:cstheme="minorHAnsi"/>
          <w:b/>
          <w:color w:val="231F20"/>
          <w:w w:val="105"/>
          <w:u w:val="single"/>
        </w:rPr>
        <w:t xml:space="preserve">Rehabilitation Foundation of Northwest Florida </w:t>
      </w:r>
    </w:p>
    <w:p w14:paraId="31DBA985" w14:textId="7D5AEE99" w:rsidR="007026A7" w:rsidRPr="007026A7" w:rsidRDefault="007026A7" w:rsidP="00D63204">
      <w:pPr>
        <w:widowControl w:val="0"/>
        <w:spacing w:after="0" w:line="240" w:lineRule="auto"/>
        <w:ind w:left="107"/>
        <w:rPr>
          <w:rFonts w:cstheme="minorHAnsi"/>
          <w:color w:val="231F20"/>
          <w:w w:val="105"/>
        </w:rPr>
      </w:pPr>
      <w:r w:rsidRPr="007026A7">
        <w:rPr>
          <w:rFonts w:cstheme="minorHAnsi"/>
          <w:color w:val="231F20"/>
          <w:w w:val="105"/>
        </w:rPr>
        <w:t>The purpose of this agreement is to maximize funding of vocational rehabilitation services for individuals with physical disabilities residing in northwest Florida. The Foundation contributes $25,000 to VR toward meeting its non-federal funding requirements. In turn, VR will allocate an additional $92,250 in federal funds to match the Foundation’s contribution for vocational rehabilitation services in the following northwest Florida counties: Escambia, Santa Rosa, Okaloosa</w:t>
      </w:r>
      <w:r w:rsidR="00D5537E">
        <w:rPr>
          <w:rFonts w:cstheme="minorHAnsi"/>
          <w:color w:val="231F20"/>
          <w:w w:val="105"/>
        </w:rPr>
        <w:t xml:space="preserve"> and</w:t>
      </w:r>
      <w:r w:rsidRPr="007026A7">
        <w:rPr>
          <w:rFonts w:cstheme="minorHAnsi"/>
          <w:color w:val="231F20"/>
          <w:w w:val="105"/>
        </w:rPr>
        <w:t xml:space="preserve"> Walton.</w:t>
      </w:r>
    </w:p>
    <w:p w14:paraId="53031268" w14:textId="77777777" w:rsidR="007026A7" w:rsidRPr="007026A7" w:rsidRDefault="007026A7" w:rsidP="00D63204">
      <w:pPr>
        <w:widowControl w:val="0"/>
        <w:spacing w:after="0" w:line="240" w:lineRule="auto"/>
        <w:ind w:left="107"/>
        <w:rPr>
          <w:rFonts w:cstheme="minorHAnsi"/>
          <w:color w:val="231F20"/>
          <w:w w:val="105"/>
        </w:rPr>
      </w:pPr>
    </w:p>
    <w:p w14:paraId="37E5F760" w14:textId="24806150" w:rsidR="007026A7" w:rsidRPr="007026A7" w:rsidRDefault="007026A7" w:rsidP="00D63204">
      <w:pPr>
        <w:widowControl w:val="0"/>
        <w:spacing w:after="0" w:line="240" w:lineRule="auto"/>
        <w:ind w:left="107"/>
        <w:rPr>
          <w:rFonts w:cstheme="minorHAnsi"/>
          <w:color w:val="231F20"/>
          <w:w w:val="105"/>
        </w:rPr>
      </w:pPr>
      <w:bookmarkStart w:id="140" w:name="_bookmark76"/>
      <w:bookmarkEnd w:id="140"/>
      <w:r w:rsidRPr="007026A7">
        <w:rPr>
          <w:rFonts w:cstheme="minorHAnsi"/>
          <w:color w:val="231F20"/>
          <w:w w:val="105"/>
        </w:rPr>
        <w:t>The intent of these cooperative efforts is to increase the services leading to quality competitive employment outcomes that are responsive to the strengths, resources, interests</w:t>
      </w:r>
      <w:r w:rsidR="00D5537E">
        <w:rPr>
          <w:rFonts w:cstheme="minorHAnsi"/>
          <w:color w:val="231F20"/>
          <w:w w:val="105"/>
        </w:rPr>
        <w:t xml:space="preserve"> and</w:t>
      </w:r>
      <w:r w:rsidRPr="007026A7">
        <w:rPr>
          <w:rFonts w:cstheme="minorHAnsi"/>
          <w:color w:val="231F20"/>
          <w:w w:val="105"/>
        </w:rPr>
        <w:t xml:space="preserve"> capabilities of individuals with disabilities residing in northwest Florida. VR agrees to provide quarterly reports of expenditures to the Foundation’s Trustees. Each report will include the number of individuals served and a description of services provided under the terms of the agreement.</w:t>
      </w:r>
    </w:p>
    <w:p w14:paraId="0C4FDE51" w14:textId="77777777" w:rsidR="007026A7" w:rsidRPr="007026A7" w:rsidRDefault="007026A7" w:rsidP="00D63204">
      <w:pPr>
        <w:widowControl w:val="0"/>
        <w:spacing w:after="0" w:line="240" w:lineRule="auto"/>
        <w:ind w:left="107"/>
        <w:rPr>
          <w:rFonts w:cstheme="minorHAnsi"/>
          <w:color w:val="231F20"/>
          <w:w w:val="105"/>
        </w:rPr>
      </w:pPr>
    </w:p>
    <w:p w14:paraId="5F556BAD" w14:textId="77777777" w:rsidR="007026A7" w:rsidRDefault="007026A7">
      <w:pPr>
        <w:rPr>
          <w:rFonts w:cstheme="minorHAnsi"/>
          <w:b/>
          <w:color w:val="231F20"/>
          <w:w w:val="105"/>
          <w:u w:val="single"/>
        </w:rPr>
      </w:pPr>
      <w:r>
        <w:rPr>
          <w:rFonts w:cstheme="minorHAnsi"/>
          <w:b/>
          <w:color w:val="231F20"/>
          <w:w w:val="105"/>
          <w:u w:val="single"/>
        </w:rPr>
        <w:br w:type="page"/>
      </w:r>
    </w:p>
    <w:p w14:paraId="75933423" w14:textId="77777777" w:rsidR="007026A7" w:rsidRDefault="007026A7" w:rsidP="00D63204">
      <w:pPr>
        <w:widowControl w:val="0"/>
        <w:spacing w:after="0" w:line="240" w:lineRule="auto"/>
        <w:ind w:left="107"/>
        <w:rPr>
          <w:rFonts w:cstheme="minorHAnsi"/>
          <w:b/>
          <w:color w:val="231F20"/>
          <w:w w:val="105"/>
          <w:u w:val="single"/>
        </w:rPr>
      </w:pPr>
    </w:p>
    <w:p w14:paraId="6F1084FE" w14:textId="1C11E537" w:rsidR="007026A7" w:rsidRPr="007026A7" w:rsidRDefault="007026A7" w:rsidP="00D63204">
      <w:pPr>
        <w:widowControl w:val="0"/>
        <w:spacing w:after="0" w:line="240" w:lineRule="auto"/>
        <w:ind w:left="107"/>
        <w:rPr>
          <w:rFonts w:cstheme="minorHAnsi"/>
          <w:b/>
          <w:color w:val="231F20"/>
          <w:w w:val="105"/>
          <w:u w:val="single"/>
        </w:rPr>
      </w:pPr>
      <w:r w:rsidRPr="007026A7">
        <w:rPr>
          <w:rFonts w:cstheme="minorHAnsi"/>
          <w:b/>
          <w:color w:val="231F20"/>
          <w:w w:val="105"/>
          <w:u w:val="single"/>
        </w:rPr>
        <w:t xml:space="preserve">Ticket to Work and Work Incentives Act </w:t>
      </w:r>
    </w:p>
    <w:p w14:paraId="67CAED9F" w14:textId="2D76213A" w:rsidR="007026A7" w:rsidRPr="007026A7" w:rsidRDefault="007026A7" w:rsidP="00D63204">
      <w:pPr>
        <w:widowControl w:val="0"/>
        <w:spacing w:after="0" w:line="240" w:lineRule="auto"/>
        <w:ind w:left="107"/>
        <w:rPr>
          <w:rFonts w:cstheme="minorHAnsi"/>
          <w:color w:val="231F20"/>
          <w:w w:val="105"/>
        </w:rPr>
      </w:pPr>
      <w:r w:rsidRPr="007026A7">
        <w:rPr>
          <w:rFonts w:cstheme="minorHAnsi"/>
          <w:color w:val="231F20"/>
          <w:w w:val="105"/>
        </w:rPr>
        <w:t>One of VR’s ongoing objectives for the Ticket to Work Program is to increase the number of partnerships with Employment Networks (Employment and Rehabilitation Service Providers). VR hopes to expand the resources available to customers to meet the current and future levels of demand. It is</w:t>
      </w:r>
      <w:r w:rsidR="00D04D5E">
        <w:rPr>
          <w:rFonts w:cstheme="minorHAnsi"/>
          <w:color w:val="231F20"/>
          <w:w w:val="105"/>
        </w:rPr>
        <w:t xml:space="preserve"> also</w:t>
      </w:r>
      <w:r w:rsidRPr="007026A7">
        <w:rPr>
          <w:rFonts w:cstheme="minorHAnsi"/>
          <w:color w:val="231F20"/>
          <w:w w:val="105"/>
        </w:rPr>
        <w:t xml:space="preserve"> the goal of VR to ensure customers have a choice in service providers available within their communities. VR</w:t>
      </w:r>
      <w:r w:rsidR="00D04D5E">
        <w:rPr>
          <w:rFonts w:cstheme="minorHAnsi"/>
          <w:color w:val="231F20"/>
          <w:w w:val="105"/>
        </w:rPr>
        <w:t xml:space="preserve"> has also</w:t>
      </w:r>
      <w:r w:rsidRPr="007026A7">
        <w:rPr>
          <w:rFonts w:cstheme="minorHAnsi"/>
          <w:color w:val="231F20"/>
          <w:w w:val="105"/>
        </w:rPr>
        <w:t xml:space="preserve"> implemented an Employment Network Referral Partnership that creates more opportunity to develop partnerships with Employment Networks. The partnership features a transitional approach by assisting Social Security Administration customers in their efforts to achieve self-sufficiency through core VR services followed by ongoing support services from employment networks. VR</w:t>
      </w:r>
      <w:r w:rsidR="00D04D5E">
        <w:rPr>
          <w:rFonts w:cstheme="minorHAnsi"/>
          <w:color w:val="231F20"/>
          <w:w w:val="105"/>
        </w:rPr>
        <w:t xml:space="preserve"> will continue to</w:t>
      </w:r>
      <w:r w:rsidRPr="007026A7">
        <w:rPr>
          <w:rFonts w:cstheme="minorHAnsi"/>
          <w:color w:val="231F20"/>
          <w:w w:val="105"/>
        </w:rPr>
        <w:t xml:space="preserve"> monitor the Agreement’s effectiveness in meeting the previously stated goal.</w:t>
      </w:r>
    </w:p>
    <w:p w14:paraId="6B693823" w14:textId="77777777" w:rsidR="007026A7" w:rsidRPr="007026A7" w:rsidRDefault="007026A7" w:rsidP="00D63204">
      <w:pPr>
        <w:widowControl w:val="0"/>
        <w:spacing w:after="0" w:line="240" w:lineRule="auto"/>
        <w:ind w:left="107"/>
        <w:rPr>
          <w:rFonts w:cstheme="minorHAnsi"/>
          <w:color w:val="231F20"/>
          <w:w w:val="105"/>
        </w:rPr>
      </w:pPr>
    </w:p>
    <w:p w14:paraId="6F0AD595" w14:textId="438BF600" w:rsidR="007026A7" w:rsidRPr="007026A7" w:rsidRDefault="007026A7" w:rsidP="00D63204">
      <w:pPr>
        <w:widowControl w:val="0"/>
        <w:spacing w:after="0" w:line="240" w:lineRule="auto"/>
        <w:ind w:left="107"/>
        <w:rPr>
          <w:rFonts w:cstheme="minorHAnsi"/>
          <w:b/>
          <w:color w:val="231F20"/>
          <w:w w:val="105"/>
          <w:u w:val="single"/>
        </w:rPr>
      </w:pPr>
      <w:r w:rsidRPr="007026A7">
        <w:rPr>
          <w:rFonts w:cstheme="minorHAnsi"/>
          <w:b/>
          <w:color w:val="231F20"/>
          <w:w w:val="105"/>
          <w:u w:val="single"/>
        </w:rPr>
        <w:t xml:space="preserve">United States Department of Veterans Affairs </w:t>
      </w:r>
    </w:p>
    <w:p w14:paraId="0DB0B9C1" w14:textId="6C220C1B" w:rsidR="007026A7" w:rsidRPr="007026A7" w:rsidRDefault="007026A7" w:rsidP="00D63204">
      <w:pPr>
        <w:widowControl w:val="0"/>
        <w:spacing w:after="0" w:line="240" w:lineRule="auto"/>
        <w:ind w:left="107"/>
        <w:rPr>
          <w:rFonts w:cstheme="minorHAnsi"/>
          <w:color w:val="231F20"/>
          <w:w w:val="105"/>
        </w:rPr>
      </w:pPr>
      <w:r w:rsidRPr="007026A7">
        <w:rPr>
          <w:rFonts w:cstheme="minorHAnsi"/>
          <w:color w:val="231F20"/>
          <w:w w:val="105"/>
        </w:rPr>
        <w:t>The need to serve Florida veterans who have disabilities led to the development of an agreement between the United States Department of Veterans Affairs and VR. The agreement outlines the roles and responsibilities of VR and the Department of Veterans Affairs. It clarifies which agency c</w:t>
      </w:r>
      <w:r w:rsidR="00D04D5E">
        <w:rPr>
          <w:rFonts w:cstheme="minorHAnsi"/>
          <w:color w:val="231F20"/>
          <w:w w:val="105"/>
        </w:rPr>
        <w:t>an provide specific services and</w:t>
      </w:r>
      <w:r w:rsidRPr="007026A7">
        <w:rPr>
          <w:rFonts w:cstheme="minorHAnsi"/>
          <w:color w:val="231F20"/>
          <w:w w:val="105"/>
        </w:rPr>
        <w:t xml:space="preserve"> includes information regarding shared planning, joint activities</w:t>
      </w:r>
      <w:r w:rsidR="00D5537E">
        <w:rPr>
          <w:rFonts w:cstheme="minorHAnsi"/>
          <w:color w:val="231F20"/>
          <w:w w:val="105"/>
        </w:rPr>
        <w:t xml:space="preserve"> and</w:t>
      </w:r>
      <w:r w:rsidRPr="007026A7">
        <w:rPr>
          <w:rFonts w:cstheme="minorHAnsi"/>
          <w:color w:val="231F20"/>
          <w:w w:val="105"/>
        </w:rPr>
        <w:t xml:space="preserve"> coordination.</w:t>
      </w:r>
    </w:p>
    <w:p w14:paraId="40AD707A" w14:textId="77777777" w:rsidR="007026A7" w:rsidRPr="007026A7" w:rsidRDefault="007026A7" w:rsidP="00D63204">
      <w:pPr>
        <w:widowControl w:val="0"/>
        <w:spacing w:after="0" w:line="240" w:lineRule="auto"/>
        <w:ind w:left="107"/>
        <w:rPr>
          <w:rFonts w:ascii="Calibri" w:hAnsi="Calibri"/>
          <w:color w:val="231F20"/>
          <w:w w:val="105"/>
        </w:rPr>
      </w:pPr>
    </w:p>
    <w:p w14:paraId="1C503858" w14:textId="303FAB9A" w:rsidR="00EA7458" w:rsidRPr="00493CD4" w:rsidRDefault="00EA7458" w:rsidP="00D63204">
      <w:pPr>
        <w:widowControl w:val="0"/>
        <w:numPr>
          <w:ilvl w:val="0"/>
          <w:numId w:val="49"/>
        </w:numPr>
        <w:tabs>
          <w:tab w:val="left" w:pos="828"/>
        </w:tabs>
        <w:spacing w:after="0" w:line="240" w:lineRule="auto"/>
        <w:outlineLvl w:val="1"/>
        <w:rPr>
          <w:rFonts w:ascii="Calibri" w:hAnsi="Calibri"/>
          <w:color w:val="1F497D" w:themeColor="text2"/>
          <w:sz w:val="26"/>
          <w:szCs w:val="26"/>
        </w:rPr>
      </w:pPr>
      <w:r w:rsidRPr="00493CD4">
        <w:rPr>
          <w:rFonts w:ascii="Calibri" w:hAnsi="Calibri"/>
          <w:b/>
          <w:bCs/>
          <w:color w:val="1F497D" w:themeColor="text2"/>
          <w:w w:val="110"/>
          <w:sz w:val="26"/>
          <w:szCs w:val="26"/>
        </w:rPr>
        <w:t>Coordination with Education</w:t>
      </w:r>
      <w:r w:rsidRPr="00493CD4">
        <w:rPr>
          <w:rFonts w:ascii="Calibri" w:hAnsi="Calibri"/>
          <w:b/>
          <w:bCs/>
          <w:color w:val="1F497D" w:themeColor="text2"/>
          <w:spacing w:val="1"/>
          <w:w w:val="110"/>
          <w:sz w:val="26"/>
          <w:szCs w:val="26"/>
        </w:rPr>
        <w:t xml:space="preserve"> </w:t>
      </w:r>
      <w:r w:rsidRPr="00493CD4">
        <w:rPr>
          <w:rFonts w:ascii="Calibri" w:hAnsi="Calibri"/>
          <w:b/>
          <w:bCs/>
          <w:color w:val="1F497D" w:themeColor="text2"/>
          <w:w w:val="110"/>
          <w:sz w:val="26"/>
          <w:szCs w:val="26"/>
        </w:rPr>
        <w:t>Officials</w:t>
      </w:r>
    </w:p>
    <w:p w14:paraId="15A70645" w14:textId="77777777" w:rsidR="007026A7" w:rsidRPr="00EA7458" w:rsidRDefault="007026A7" w:rsidP="00D63204">
      <w:pPr>
        <w:widowControl w:val="0"/>
        <w:tabs>
          <w:tab w:val="left" w:pos="828"/>
        </w:tabs>
        <w:spacing w:after="0" w:line="240" w:lineRule="auto"/>
        <w:ind w:left="1080"/>
        <w:outlineLvl w:val="1"/>
        <w:rPr>
          <w:rFonts w:ascii="Calibri" w:hAnsi="Calibri"/>
          <w:sz w:val="26"/>
          <w:szCs w:val="26"/>
        </w:rPr>
      </w:pPr>
    </w:p>
    <w:p w14:paraId="4952ABF2" w14:textId="384CD424" w:rsidR="007026A7" w:rsidRPr="007026A7" w:rsidRDefault="007026A7" w:rsidP="00D63204">
      <w:pPr>
        <w:widowControl w:val="0"/>
        <w:spacing w:before="4" w:after="0" w:line="240" w:lineRule="auto"/>
        <w:ind w:left="90" w:hanging="18"/>
        <w:rPr>
          <w:rFonts w:ascii="Calibri" w:hAnsi="Calibri"/>
          <w:color w:val="231F20"/>
          <w:w w:val="105"/>
        </w:rPr>
      </w:pPr>
      <w:r w:rsidRPr="007026A7">
        <w:rPr>
          <w:rFonts w:ascii="Calibri" w:hAnsi="Calibri"/>
          <w:color w:val="231F20"/>
          <w:w w:val="105"/>
        </w:rPr>
        <w:t>The Florida Division of Vocational Rehabilitation (VR) entered into a Memorandum of Understanding in January 2016 to coordinate transition services with state education officials based on new procedures required for the implementation of the Workforce Innovation and Opportunity Act. This was an interim measure while the state awaited the publishing of final regulations before updating the State Interagency Agreement to coordinate transition services for students with disabilities</w:t>
      </w:r>
      <w:r w:rsidR="005E7C49">
        <w:rPr>
          <w:rFonts w:ascii="Calibri" w:hAnsi="Calibri"/>
          <w:color w:val="231F20"/>
          <w:w w:val="105"/>
        </w:rPr>
        <w:t xml:space="preserve">. </w:t>
      </w:r>
      <w:r w:rsidRPr="007026A7">
        <w:rPr>
          <w:rFonts w:ascii="Calibri" w:hAnsi="Calibri"/>
          <w:color w:val="231F20"/>
          <w:w w:val="105"/>
        </w:rPr>
        <w:t>It is a state-level agreement, including agencies charged with providing transition services to students leaving high school and going to postsecondary education, training and/or employment. The educational agencies listed below agree to meet regularly to share information, ideas</w:t>
      </w:r>
      <w:r w:rsidR="00D5537E">
        <w:rPr>
          <w:rFonts w:ascii="Calibri" w:hAnsi="Calibri"/>
          <w:color w:val="231F20"/>
          <w:w w:val="105"/>
        </w:rPr>
        <w:t xml:space="preserve"> and</w:t>
      </w:r>
      <w:r w:rsidRPr="007026A7">
        <w:rPr>
          <w:rFonts w:ascii="Calibri" w:hAnsi="Calibri"/>
          <w:color w:val="231F20"/>
          <w:w w:val="105"/>
        </w:rPr>
        <w:t xml:space="preserve"> current initiatives, collaborate on training and special projects, cooperate in planning and budgeting</w:t>
      </w:r>
      <w:r w:rsidR="00D5537E">
        <w:rPr>
          <w:rFonts w:ascii="Calibri" w:hAnsi="Calibri"/>
          <w:color w:val="231F20"/>
          <w:w w:val="105"/>
        </w:rPr>
        <w:t xml:space="preserve"> and</w:t>
      </w:r>
      <w:r w:rsidRPr="007026A7">
        <w:rPr>
          <w:rFonts w:ascii="Calibri" w:hAnsi="Calibri"/>
          <w:color w:val="231F20"/>
          <w:w w:val="105"/>
        </w:rPr>
        <w:t xml:space="preserve"> generally support any areas of work that are mutually beneficial</w:t>
      </w:r>
      <w:r w:rsidR="005E7C49">
        <w:rPr>
          <w:rFonts w:ascii="Calibri" w:hAnsi="Calibri"/>
          <w:color w:val="231F20"/>
          <w:w w:val="105"/>
        </w:rPr>
        <w:t xml:space="preserve">. </w:t>
      </w:r>
      <w:r w:rsidRPr="007026A7">
        <w:rPr>
          <w:rFonts w:ascii="Calibri" w:hAnsi="Calibri"/>
          <w:color w:val="231F20"/>
          <w:w w:val="105"/>
        </w:rPr>
        <w:t>These agencies include:</w:t>
      </w:r>
    </w:p>
    <w:p w14:paraId="039B447A" w14:textId="77777777" w:rsidR="007026A7" w:rsidRPr="007026A7" w:rsidRDefault="007026A7" w:rsidP="00D63204">
      <w:pPr>
        <w:widowControl w:val="0"/>
        <w:spacing w:before="4" w:after="0" w:line="240" w:lineRule="auto"/>
        <w:ind w:left="90" w:hanging="18"/>
        <w:rPr>
          <w:rFonts w:ascii="Calibri" w:hAnsi="Calibri"/>
          <w:color w:val="231F20"/>
          <w:w w:val="105"/>
        </w:rPr>
      </w:pPr>
    </w:p>
    <w:p w14:paraId="769E9C76" w14:textId="5CBDFBD7" w:rsidR="007026A7" w:rsidRDefault="007026A7" w:rsidP="00D63204">
      <w:pPr>
        <w:pStyle w:val="ListParagraph"/>
        <w:widowControl w:val="0"/>
        <w:numPr>
          <w:ilvl w:val="0"/>
          <w:numId w:val="104"/>
        </w:numPr>
        <w:spacing w:before="4" w:after="0" w:line="240" w:lineRule="auto"/>
        <w:rPr>
          <w:rFonts w:ascii="Calibri" w:hAnsi="Calibri"/>
          <w:color w:val="231F20"/>
          <w:w w:val="105"/>
        </w:rPr>
      </w:pPr>
      <w:r w:rsidRPr="005E70F5">
        <w:rPr>
          <w:rFonts w:ascii="Calibri" w:hAnsi="Calibri"/>
          <w:color w:val="231F20"/>
          <w:w w:val="105"/>
        </w:rPr>
        <w:t>Florida Department of Education:</w:t>
      </w:r>
    </w:p>
    <w:p w14:paraId="7F733FF8" w14:textId="77777777" w:rsidR="00096B5A" w:rsidRPr="005E70F5" w:rsidRDefault="00096B5A" w:rsidP="00D63204">
      <w:pPr>
        <w:pStyle w:val="ListParagraph"/>
        <w:widowControl w:val="0"/>
        <w:spacing w:before="4" w:after="0" w:line="240" w:lineRule="auto"/>
        <w:ind w:left="792"/>
        <w:rPr>
          <w:rFonts w:ascii="Calibri" w:hAnsi="Calibri"/>
          <w:color w:val="231F20"/>
          <w:w w:val="105"/>
        </w:rPr>
      </w:pPr>
    </w:p>
    <w:p w14:paraId="3DE55826" w14:textId="77777777" w:rsidR="007026A7" w:rsidRPr="005E70F5" w:rsidRDefault="007026A7" w:rsidP="00D63204">
      <w:pPr>
        <w:pStyle w:val="ListParagraph"/>
        <w:widowControl w:val="0"/>
        <w:numPr>
          <w:ilvl w:val="1"/>
          <w:numId w:val="104"/>
        </w:numPr>
        <w:spacing w:before="4" w:after="0" w:line="240" w:lineRule="auto"/>
        <w:rPr>
          <w:rFonts w:ascii="Calibri" w:hAnsi="Calibri"/>
          <w:color w:val="231F20"/>
          <w:w w:val="105"/>
        </w:rPr>
      </w:pPr>
      <w:r w:rsidRPr="005E70F5">
        <w:rPr>
          <w:rFonts w:ascii="Calibri" w:hAnsi="Calibri"/>
          <w:color w:val="231F20"/>
          <w:w w:val="105"/>
        </w:rPr>
        <w:t>Division of Public Schools (DPS)</w:t>
      </w:r>
    </w:p>
    <w:p w14:paraId="22737842" w14:textId="77777777" w:rsidR="007026A7" w:rsidRPr="005E70F5" w:rsidRDefault="007026A7" w:rsidP="00D63204">
      <w:pPr>
        <w:pStyle w:val="ListParagraph"/>
        <w:widowControl w:val="0"/>
        <w:numPr>
          <w:ilvl w:val="1"/>
          <w:numId w:val="104"/>
        </w:numPr>
        <w:spacing w:before="4" w:after="0" w:line="240" w:lineRule="auto"/>
        <w:rPr>
          <w:rFonts w:ascii="Calibri" w:hAnsi="Calibri"/>
          <w:color w:val="231F20"/>
          <w:w w:val="105"/>
        </w:rPr>
      </w:pPr>
      <w:r w:rsidRPr="005E70F5">
        <w:rPr>
          <w:rFonts w:ascii="Calibri" w:hAnsi="Calibri"/>
          <w:color w:val="231F20"/>
          <w:w w:val="105"/>
        </w:rPr>
        <w:t>Bureau of Exceptional Education and Student Services (BEESS)</w:t>
      </w:r>
    </w:p>
    <w:p w14:paraId="42D93645" w14:textId="77777777" w:rsidR="007026A7" w:rsidRPr="005E70F5" w:rsidRDefault="007026A7" w:rsidP="00D63204">
      <w:pPr>
        <w:pStyle w:val="ListParagraph"/>
        <w:widowControl w:val="0"/>
        <w:numPr>
          <w:ilvl w:val="1"/>
          <w:numId w:val="104"/>
        </w:numPr>
        <w:spacing w:before="4" w:after="0" w:line="240" w:lineRule="auto"/>
        <w:rPr>
          <w:rFonts w:ascii="Calibri" w:hAnsi="Calibri"/>
          <w:color w:val="231F20"/>
          <w:w w:val="105"/>
        </w:rPr>
      </w:pPr>
      <w:r w:rsidRPr="005E70F5">
        <w:rPr>
          <w:rFonts w:ascii="Calibri" w:hAnsi="Calibri"/>
          <w:color w:val="231F20"/>
          <w:w w:val="105"/>
        </w:rPr>
        <w:t>Division of Vocational Rehabilitation (VR)</w:t>
      </w:r>
    </w:p>
    <w:p w14:paraId="2203DB0C" w14:textId="77777777" w:rsidR="007026A7" w:rsidRPr="005E70F5" w:rsidRDefault="007026A7" w:rsidP="00D63204">
      <w:pPr>
        <w:pStyle w:val="ListParagraph"/>
        <w:widowControl w:val="0"/>
        <w:numPr>
          <w:ilvl w:val="1"/>
          <w:numId w:val="104"/>
        </w:numPr>
        <w:spacing w:before="4" w:after="0" w:line="240" w:lineRule="auto"/>
        <w:rPr>
          <w:rFonts w:ascii="Calibri" w:hAnsi="Calibri"/>
          <w:color w:val="231F20"/>
          <w:w w:val="105"/>
        </w:rPr>
      </w:pPr>
      <w:r w:rsidRPr="005E70F5">
        <w:rPr>
          <w:rFonts w:ascii="Calibri" w:hAnsi="Calibri"/>
          <w:color w:val="231F20"/>
          <w:w w:val="105"/>
        </w:rPr>
        <w:t>Division of Blind Services (DBS)</w:t>
      </w:r>
    </w:p>
    <w:p w14:paraId="08F71702" w14:textId="77777777" w:rsidR="007026A7" w:rsidRPr="007026A7" w:rsidRDefault="007026A7" w:rsidP="00D63204">
      <w:pPr>
        <w:widowControl w:val="0"/>
        <w:spacing w:before="4" w:after="0" w:line="240" w:lineRule="auto"/>
        <w:ind w:left="90" w:hanging="18"/>
        <w:rPr>
          <w:rFonts w:ascii="Calibri" w:hAnsi="Calibri"/>
          <w:color w:val="231F20"/>
          <w:w w:val="105"/>
        </w:rPr>
      </w:pPr>
    </w:p>
    <w:p w14:paraId="0A3A4B52" w14:textId="76CE41D6" w:rsidR="007026A7" w:rsidRPr="007026A7" w:rsidRDefault="007026A7" w:rsidP="00D63204">
      <w:pPr>
        <w:widowControl w:val="0"/>
        <w:spacing w:before="4" w:after="0" w:line="240" w:lineRule="auto"/>
        <w:ind w:left="90" w:hanging="18"/>
        <w:rPr>
          <w:rFonts w:ascii="Calibri" w:hAnsi="Calibri"/>
          <w:color w:val="231F20"/>
          <w:w w:val="105"/>
        </w:rPr>
      </w:pPr>
      <w:r w:rsidRPr="007026A7">
        <w:rPr>
          <w:rFonts w:ascii="Calibri" w:hAnsi="Calibri"/>
          <w:color w:val="231F20"/>
          <w:w w:val="105"/>
        </w:rPr>
        <w:t>This formal interagency agreement serves as a transition services model for improved collaboration, communication, coordination</w:t>
      </w:r>
      <w:r w:rsidR="00D5537E">
        <w:rPr>
          <w:rFonts w:ascii="Calibri" w:hAnsi="Calibri"/>
          <w:color w:val="231F20"/>
          <w:w w:val="105"/>
        </w:rPr>
        <w:t xml:space="preserve"> and</w:t>
      </w:r>
      <w:r w:rsidRPr="007026A7">
        <w:rPr>
          <w:rFonts w:ascii="Calibri" w:hAnsi="Calibri"/>
          <w:color w:val="231F20"/>
          <w:w w:val="105"/>
        </w:rPr>
        <w:t xml:space="preserve"> cooperation among local education agencies and local offices of VR and DBS.</w:t>
      </w:r>
    </w:p>
    <w:p w14:paraId="796846FA" w14:textId="77777777" w:rsidR="007026A7" w:rsidRPr="007026A7" w:rsidRDefault="007026A7" w:rsidP="00D63204">
      <w:pPr>
        <w:widowControl w:val="0"/>
        <w:spacing w:before="4" w:after="0" w:line="240" w:lineRule="auto"/>
        <w:ind w:left="90" w:hanging="18"/>
        <w:rPr>
          <w:rFonts w:ascii="Calibri" w:hAnsi="Calibri"/>
          <w:color w:val="231F20"/>
          <w:w w:val="105"/>
        </w:rPr>
      </w:pPr>
    </w:p>
    <w:p w14:paraId="3077DBE2" w14:textId="49B9776D" w:rsidR="007026A7" w:rsidRPr="007026A7" w:rsidRDefault="007026A7" w:rsidP="00D63204">
      <w:pPr>
        <w:widowControl w:val="0"/>
        <w:spacing w:before="4" w:after="0" w:line="240" w:lineRule="auto"/>
        <w:ind w:left="90" w:hanging="18"/>
        <w:rPr>
          <w:rFonts w:ascii="Calibri" w:hAnsi="Calibri"/>
          <w:color w:val="231F20"/>
          <w:w w:val="105"/>
        </w:rPr>
      </w:pPr>
      <w:r w:rsidRPr="007026A7">
        <w:rPr>
          <w:rFonts w:ascii="Calibri" w:hAnsi="Calibri"/>
          <w:color w:val="231F20"/>
          <w:w w:val="105"/>
        </w:rPr>
        <w:t xml:space="preserve">VR has </w:t>
      </w:r>
      <w:r w:rsidR="00241273">
        <w:rPr>
          <w:rFonts w:ascii="Calibri" w:hAnsi="Calibri"/>
          <w:color w:val="231F20"/>
          <w:w w:val="105"/>
        </w:rPr>
        <w:t xml:space="preserve">five </w:t>
      </w:r>
      <w:r w:rsidRPr="007026A7">
        <w:rPr>
          <w:rFonts w:ascii="Calibri" w:hAnsi="Calibri"/>
          <w:color w:val="231F20"/>
          <w:w w:val="105"/>
        </w:rPr>
        <w:t>dedicated program staff to administer the VR Transition Youth program. An administrator serves as the liaison for the 67 school districts and a Deaf and Hard of Hearing administrator provides additional liaison support for the Florida School for the Deaf and the Blind.</w:t>
      </w:r>
    </w:p>
    <w:p w14:paraId="013B38B5" w14:textId="77777777" w:rsidR="007026A7" w:rsidRPr="007026A7" w:rsidRDefault="007026A7" w:rsidP="00D63204">
      <w:pPr>
        <w:widowControl w:val="0"/>
        <w:spacing w:before="4" w:after="0" w:line="240" w:lineRule="auto"/>
        <w:ind w:left="90" w:hanging="18"/>
        <w:rPr>
          <w:rFonts w:ascii="Calibri" w:hAnsi="Calibri"/>
          <w:color w:val="231F20"/>
          <w:w w:val="105"/>
        </w:rPr>
      </w:pPr>
    </w:p>
    <w:p w14:paraId="675DBA1A" w14:textId="133FD462" w:rsidR="005E70F5" w:rsidRDefault="007026A7" w:rsidP="00D63204">
      <w:pPr>
        <w:widowControl w:val="0"/>
        <w:spacing w:after="0" w:line="240" w:lineRule="auto"/>
        <w:ind w:left="90" w:hanging="18"/>
        <w:rPr>
          <w:rFonts w:ascii="Calibri" w:hAnsi="Calibri"/>
          <w:color w:val="231F20"/>
          <w:w w:val="105"/>
        </w:rPr>
      </w:pPr>
      <w:r w:rsidRPr="007026A7">
        <w:rPr>
          <w:rFonts w:ascii="Calibri" w:hAnsi="Calibri"/>
          <w:color w:val="231F20"/>
          <w:w w:val="105"/>
        </w:rPr>
        <w:t xml:space="preserve">Administrators coordinate and plan for effective transition services delivery with VR staff and external </w:t>
      </w:r>
      <w:r w:rsidRPr="007026A7">
        <w:rPr>
          <w:rFonts w:ascii="Calibri" w:hAnsi="Calibri"/>
          <w:color w:val="231F20"/>
          <w:w w:val="105"/>
        </w:rPr>
        <w:lastRenderedPageBreak/>
        <w:t xml:space="preserve">stakeholders statewide. The VR Transition Youth program is responsible for training internal employees and making presentations about VR transition services at conferences statewide </w:t>
      </w:r>
      <w:r w:rsidR="00096B5A" w:rsidRPr="007026A7">
        <w:rPr>
          <w:rFonts w:ascii="Calibri" w:hAnsi="Calibri"/>
          <w:color w:val="231F20"/>
          <w:w w:val="105"/>
        </w:rPr>
        <w:t>to</w:t>
      </w:r>
      <w:r w:rsidRPr="007026A7">
        <w:rPr>
          <w:rFonts w:ascii="Calibri" w:hAnsi="Calibri"/>
          <w:color w:val="231F20"/>
          <w:w w:val="105"/>
        </w:rPr>
        <w:t xml:space="preserve"> increase understanding and awareness of the agency's role in assisting eligible students with disabilities.</w:t>
      </w:r>
      <w:r w:rsidR="005E70F5">
        <w:rPr>
          <w:rFonts w:ascii="Calibri" w:hAnsi="Calibri"/>
          <w:color w:val="231F20"/>
          <w:w w:val="105"/>
        </w:rPr>
        <w:t xml:space="preserve"> </w:t>
      </w:r>
    </w:p>
    <w:p w14:paraId="4B0821FF" w14:textId="77777777" w:rsidR="005E70F5" w:rsidRDefault="005E70F5" w:rsidP="00D63204">
      <w:pPr>
        <w:widowControl w:val="0"/>
        <w:spacing w:before="4" w:after="0" w:line="240" w:lineRule="auto"/>
        <w:ind w:left="90" w:hanging="18"/>
        <w:rPr>
          <w:rFonts w:ascii="Calibri" w:hAnsi="Calibri"/>
          <w:color w:val="231F20"/>
          <w:w w:val="105"/>
        </w:rPr>
      </w:pPr>
    </w:p>
    <w:p w14:paraId="235EFF56" w14:textId="77777777" w:rsidR="005E70F5" w:rsidRDefault="005E70F5" w:rsidP="00D63204">
      <w:pPr>
        <w:widowControl w:val="0"/>
        <w:spacing w:before="4" w:after="0" w:line="240" w:lineRule="auto"/>
        <w:ind w:left="90" w:hanging="18"/>
        <w:rPr>
          <w:rFonts w:ascii="Calibri" w:hAnsi="Calibri"/>
          <w:color w:val="231F20"/>
          <w:w w:val="105"/>
        </w:rPr>
      </w:pPr>
    </w:p>
    <w:p w14:paraId="5B4B95DF" w14:textId="38DEC1D5" w:rsidR="007026A7" w:rsidRPr="00366711" w:rsidRDefault="00366711" w:rsidP="00D63204">
      <w:pPr>
        <w:widowControl w:val="0"/>
        <w:spacing w:after="0" w:line="240" w:lineRule="auto"/>
        <w:ind w:left="107"/>
        <w:rPr>
          <w:rFonts w:cstheme="minorHAnsi"/>
          <w:color w:val="231F20"/>
          <w:w w:val="105"/>
        </w:rPr>
      </w:pPr>
      <w:r w:rsidRPr="00366711">
        <w:rPr>
          <w:rFonts w:cstheme="minorHAnsi"/>
          <w:color w:val="231F20"/>
          <w:w w:val="105"/>
        </w:rPr>
        <w:t>T</w:t>
      </w:r>
      <w:r w:rsidR="007026A7" w:rsidRPr="00366711">
        <w:rPr>
          <w:rFonts w:cstheme="minorHAnsi"/>
          <w:color w:val="231F20"/>
          <w:w w:val="105"/>
        </w:rPr>
        <w:t xml:space="preserve">he VR Transition Youth program provides transition-related technical assistance to the Florida Rehabilitation Council. An administrator serves as a representative on the </w:t>
      </w:r>
      <w:r w:rsidR="007026A7">
        <w:rPr>
          <w:rFonts w:cstheme="minorHAnsi"/>
          <w:color w:val="231F20"/>
          <w:w w:val="105"/>
        </w:rPr>
        <w:t xml:space="preserve">State </w:t>
      </w:r>
      <w:r w:rsidR="007026A7" w:rsidRPr="00B47A57">
        <w:rPr>
          <w:rFonts w:cstheme="minorHAnsi"/>
          <w:color w:val="231F20"/>
          <w:w w:val="105"/>
        </w:rPr>
        <w:t>Secondary Transition Interagency Committee</w:t>
      </w:r>
      <w:r w:rsidR="007026A7" w:rsidRPr="00366711">
        <w:rPr>
          <w:rFonts w:cstheme="minorHAnsi"/>
          <w:color w:val="231F20"/>
          <w:w w:val="105"/>
        </w:rPr>
        <w:t xml:space="preserve"> and works closely with the regional representatives of Project 10: </w:t>
      </w:r>
      <w:r w:rsidRPr="00366711">
        <w:rPr>
          <w:rFonts w:cstheme="minorHAnsi"/>
          <w:color w:val="231F20"/>
          <w:w w:val="105"/>
        </w:rPr>
        <w:t>The</w:t>
      </w:r>
      <w:r w:rsidR="007026A7" w:rsidRPr="00366711">
        <w:rPr>
          <w:rFonts w:cstheme="minorHAnsi"/>
          <w:color w:val="231F20"/>
          <w:w w:val="105"/>
        </w:rPr>
        <w:t xml:space="preserve"> Transition Education Network. Project 10 is funded through a grant from BEESS to the University of South Florida, St. Petersburg. Project 10 helps Florida school districts and stakeholders increase their ability to provide secondary transition services to students with disabilities to improve their academic success and postsecondary outcomes. Project 10 helps implement secondary transition services, interagency collaboration, transition legislation and policy</w:t>
      </w:r>
      <w:r w:rsidR="00D5537E">
        <w:rPr>
          <w:rFonts w:cstheme="minorHAnsi"/>
          <w:color w:val="231F20"/>
          <w:w w:val="105"/>
        </w:rPr>
        <w:t xml:space="preserve"> and</w:t>
      </w:r>
      <w:r w:rsidR="007026A7" w:rsidRPr="00366711">
        <w:rPr>
          <w:rFonts w:cstheme="minorHAnsi"/>
          <w:color w:val="231F20"/>
          <w:w w:val="105"/>
        </w:rPr>
        <w:t xml:space="preserve"> student development and outcomes. VR counselors serving transition students participate in each area's local interagency councils. The interagency councils are a collaborative effort between VR and Department of Education partners, public high schools, adult service agencies, workforce programs, parents, students, advocates</w:t>
      </w:r>
      <w:r w:rsidR="00D5537E">
        <w:rPr>
          <w:rFonts w:cstheme="minorHAnsi"/>
          <w:color w:val="231F20"/>
          <w:w w:val="105"/>
        </w:rPr>
        <w:t xml:space="preserve"> and</w:t>
      </w:r>
      <w:r w:rsidR="007026A7" w:rsidRPr="00366711">
        <w:rPr>
          <w:rFonts w:cstheme="minorHAnsi"/>
          <w:color w:val="231F20"/>
          <w:w w:val="105"/>
        </w:rPr>
        <w:t xml:space="preserve"> employers working together to meet the transition needs of students with disabilities.</w:t>
      </w:r>
    </w:p>
    <w:p w14:paraId="12138CC9" w14:textId="77777777" w:rsidR="005E70F5" w:rsidRPr="007026A7" w:rsidRDefault="005E70F5" w:rsidP="00D63204">
      <w:pPr>
        <w:widowControl w:val="0"/>
        <w:spacing w:before="4" w:after="0" w:line="240" w:lineRule="auto"/>
        <w:ind w:left="90" w:hanging="18"/>
        <w:rPr>
          <w:rFonts w:ascii="Calibri" w:hAnsi="Calibri"/>
          <w:color w:val="231F20"/>
          <w:w w:val="105"/>
        </w:rPr>
      </w:pPr>
    </w:p>
    <w:p w14:paraId="7DC16B3E" w14:textId="54BEE271" w:rsidR="007026A7" w:rsidRPr="00366711" w:rsidRDefault="007026A7" w:rsidP="00D63204">
      <w:pPr>
        <w:widowControl w:val="0"/>
        <w:spacing w:after="0" w:line="240" w:lineRule="auto"/>
        <w:ind w:left="107"/>
        <w:rPr>
          <w:rFonts w:cstheme="minorHAnsi"/>
          <w:color w:val="231F20"/>
          <w:w w:val="105"/>
        </w:rPr>
      </w:pPr>
      <w:r w:rsidRPr="00366711">
        <w:rPr>
          <w:rFonts w:cstheme="minorHAnsi"/>
          <w:color w:val="231F20"/>
          <w:w w:val="105"/>
        </w:rPr>
        <w:t>The VR Director or designee serves on the State Advisory Committee (SAC) for the Education of Exceptional Students. This committee is administered by BEESS. The SAC includes parents of children with disabilities, individuals with disabilities, educators and administrators from secondary and postsecondary institutions as well as foster care and juvenile justice representatives. The SAC</w:t>
      </w:r>
      <w:r w:rsidR="00C30DD6">
        <w:rPr>
          <w:rFonts w:cstheme="minorHAnsi"/>
          <w:color w:val="231F20"/>
          <w:w w:val="105"/>
        </w:rPr>
        <w:t xml:space="preserve"> also</w:t>
      </w:r>
      <w:r w:rsidRPr="00366711">
        <w:rPr>
          <w:rFonts w:cstheme="minorHAnsi"/>
          <w:color w:val="231F20"/>
          <w:w w:val="105"/>
        </w:rPr>
        <w:t xml:space="preserve"> includes representatives of various state agencies that provide transition and other services to children, youth and young adults with disabilities. The committee advises the state education agency on what children with disabilities need and helps them develop corrective action plans to address findings in related federal monitoring reports. The committee</w:t>
      </w:r>
      <w:r w:rsidR="00897AEA">
        <w:rPr>
          <w:rFonts w:cstheme="minorHAnsi"/>
          <w:color w:val="231F20"/>
          <w:w w:val="105"/>
        </w:rPr>
        <w:t xml:space="preserve"> also</w:t>
      </w:r>
      <w:r w:rsidRPr="00366711">
        <w:rPr>
          <w:rFonts w:cstheme="minorHAnsi"/>
          <w:color w:val="231F20"/>
          <w:w w:val="105"/>
        </w:rPr>
        <w:t xml:space="preserve"> helps the state education agency develop evaluations and policies, implement policies</w:t>
      </w:r>
      <w:r w:rsidR="00D5537E">
        <w:rPr>
          <w:rFonts w:cstheme="minorHAnsi"/>
          <w:color w:val="231F20"/>
          <w:w w:val="105"/>
        </w:rPr>
        <w:t xml:space="preserve"> and</w:t>
      </w:r>
      <w:r w:rsidRPr="00366711">
        <w:rPr>
          <w:rFonts w:cstheme="minorHAnsi"/>
          <w:color w:val="231F20"/>
          <w:w w:val="105"/>
        </w:rPr>
        <w:t xml:space="preserve"> report data. The committee may comment publicly on rules and regulations proposed by the state relating to the coordination of services for children with disabilities.</w:t>
      </w:r>
    </w:p>
    <w:p w14:paraId="14B1427F" w14:textId="77777777" w:rsidR="005E70F5" w:rsidRPr="007026A7" w:rsidRDefault="005E70F5" w:rsidP="00D63204">
      <w:pPr>
        <w:widowControl w:val="0"/>
        <w:spacing w:before="4" w:after="0" w:line="240" w:lineRule="auto"/>
        <w:ind w:left="90" w:hanging="18"/>
        <w:rPr>
          <w:rFonts w:ascii="Calibri" w:hAnsi="Calibri"/>
          <w:color w:val="231F20"/>
          <w:w w:val="105"/>
        </w:rPr>
      </w:pPr>
    </w:p>
    <w:p w14:paraId="003C248F" w14:textId="6E955F54" w:rsidR="007026A7" w:rsidRPr="007026A7" w:rsidRDefault="007026A7" w:rsidP="00D63204">
      <w:pPr>
        <w:widowControl w:val="0"/>
        <w:spacing w:before="4" w:after="0" w:line="240" w:lineRule="auto"/>
        <w:ind w:left="90" w:hanging="18"/>
        <w:rPr>
          <w:rFonts w:ascii="Calibri" w:hAnsi="Calibri"/>
          <w:color w:val="231F20"/>
          <w:w w:val="105"/>
        </w:rPr>
      </w:pPr>
      <w:r w:rsidRPr="007026A7">
        <w:rPr>
          <w:rFonts w:ascii="Calibri" w:hAnsi="Calibri"/>
          <w:color w:val="231F20"/>
          <w:w w:val="105"/>
        </w:rPr>
        <w:t>The VR Transition Youth program provides individualized services to help eligible students with disabilities with a seamless transition from high school to an identified career path</w:t>
      </w:r>
      <w:r w:rsidR="005E7C49">
        <w:rPr>
          <w:rFonts w:ascii="Calibri" w:hAnsi="Calibri"/>
          <w:color w:val="231F20"/>
          <w:w w:val="105"/>
        </w:rPr>
        <w:t xml:space="preserve">. </w:t>
      </w:r>
      <w:r w:rsidRPr="007026A7">
        <w:rPr>
          <w:rFonts w:ascii="Calibri" w:hAnsi="Calibri"/>
          <w:color w:val="231F20"/>
          <w:w w:val="105"/>
        </w:rPr>
        <w:t xml:space="preserve">Under WIOA, every student with a disability </w:t>
      </w:r>
      <w:r w:rsidR="00241273">
        <w:rPr>
          <w:rFonts w:ascii="Calibri" w:hAnsi="Calibri"/>
          <w:color w:val="231F20"/>
          <w:w w:val="105"/>
        </w:rPr>
        <w:t>may</w:t>
      </w:r>
      <w:r w:rsidRPr="007026A7">
        <w:rPr>
          <w:rFonts w:ascii="Calibri" w:hAnsi="Calibri"/>
          <w:color w:val="231F20"/>
          <w:w w:val="105"/>
        </w:rPr>
        <w:t xml:space="preserve"> participate in Pre-Employment Transition Services including sponsored career exploration, work readiness training</w:t>
      </w:r>
      <w:r w:rsidR="00D5537E">
        <w:rPr>
          <w:rFonts w:ascii="Calibri" w:hAnsi="Calibri"/>
          <w:color w:val="231F20"/>
          <w:w w:val="105"/>
        </w:rPr>
        <w:t xml:space="preserve"> and</w:t>
      </w:r>
      <w:r w:rsidRPr="007026A7">
        <w:rPr>
          <w:rFonts w:ascii="Calibri" w:hAnsi="Calibri"/>
          <w:color w:val="231F20"/>
          <w:w w:val="105"/>
        </w:rPr>
        <w:t xml:space="preserve"> work experiences. The focus is to develop work skills, practice social skills</w:t>
      </w:r>
      <w:r w:rsidR="00D5537E">
        <w:rPr>
          <w:rFonts w:ascii="Calibri" w:hAnsi="Calibri"/>
          <w:color w:val="231F20"/>
          <w:w w:val="105"/>
        </w:rPr>
        <w:t xml:space="preserve"> and</w:t>
      </w:r>
      <w:r w:rsidRPr="007026A7">
        <w:rPr>
          <w:rFonts w:ascii="Calibri" w:hAnsi="Calibri"/>
          <w:color w:val="231F20"/>
          <w:w w:val="105"/>
        </w:rPr>
        <w:t xml:space="preserve"> acquire a network of community supports while the student is still in high school.</w:t>
      </w:r>
    </w:p>
    <w:p w14:paraId="1E533F51" w14:textId="77777777" w:rsidR="007026A7" w:rsidRPr="007026A7" w:rsidRDefault="007026A7" w:rsidP="00D63204">
      <w:pPr>
        <w:widowControl w:val="0"/>
        <w:spacing w:before="4" w:after="0" w:line="240" w:lineRule="auto"/>
        <w:ind w:left="90" w:hanging="18"/>
        <w:rPr>
          <w:rFonts w:ascii="Calibri" w:hAnsi="Calibri"/>
          <w:color w:val="231F20"/>
          <w:w w:val="105"/>
        </w:rPr>
      </w:pPr>
    </w:p>
    <w:p w14:paraId="7AB0D732" w14:textId="77777777" w:rsidR="007026A7" w:rsidRPr="007026A7" w:rsidRDefault="007026A7" w:rsidP="00D63204">
      <w:pPr>
        <w:widowControl w:val="0"/>
        <w:spacing w:before="4" w:after="0" w:line="240" w:lineRule="auto"/>
        <w:ind w:left="90" w:hanging="18"/>
        <w:rPr>
          <w:rFonts w:ascii="Calibri" w:hAnsi="Calibri"/>
          <w:color w:val="231F20"/>
          <w:w w:val="105"/>
        </w:rPr>
      </w:pPr>
      <w:r w:rsidRPr="007026A7">
        <w:rPr>
          <w:rFonts w:ascii="Calibri" w:hAnsi="Calibri"/>
          <w:color w:val="231F20"/>
          <w:w w:val="105"/>
        </w:rPr>
        <w:t>VR services delivered under WIOA do not remove, reduce, or change the school district's responsibility to deliver a free and appropriate public education (FAPE) for students served under the auspices of the Individuals with Disabilities Education Act. VR services supplement, but do not supplant services delivered through the school districts.</w:t>
      </w:r>
    </w:p>
    <w:p w14:paraId="6D3CA068" w14:textId="77777777" w:rsidR="007026A7" w:rsidRPr="007026A7" w:rsidRDefault="007026A7" w:rsidP="00D63204">
      <w:pPr>
        <w:widowControl w:val="0"/>
        <w:spacing w:before="4" w:after="0" w:line="240" w:lineRule="auto"/>
        <w:ind w:left="90" w:hanging="18"/>
        <w:rPr>
          <w:rFonts w:ascii="Calibri" w:hAnsi="Calibri"/>
          <w:color w:val="231F20"/>
          <w:w w:val="105"/>
        </w:rPr>
      </w:pPr>
    </w:p>
    <w:p w14:paraId="49E2B0BD" w14:textId="43020538" w:rsidR="007026A7" w:rsidRDefault="007026A7" w:rsidP="00D63204">
      <w:pPr>
        <w:widowControl w:val="0"/>
        <w:spacing w:before="4" w:after="0" w:line="240" w:lineRule="auto"/>
        <w:ind w:left="90" w:hanging="18"/>
        <w:rPr>
          <w:rFonts w:ascii="Calibri" w:hAnsi="Calibri"/>
          <w:color w:val="231F20"/>
          <w:w w:val="105"/>
        </w:rPr>
      </w:pPr>
      <w:r w:rsidRPr="007026A7">
        <w:rPr>
          <w:rFonts w:ascii="Calibri" w:hAnsi="Calibri"/>
          <w:color w:val="231F20"/>
          <w:w w:val="105"/>
        </w:rPr>
        <w:t>The VR Transition Youth program collaborates with education officials and partners to offer youth with the most significant disabilities opportunities to gain work experiences that help them prepare for successful employment. Collaborations such as Third Party Cooperative Arrangements (TPCA), High School High Tech, Project SEARCH</w:t>
      </w:r>
      <w:r w:rsidR="00D5537E">
        <w:rPr>
          <w:rFonts w:ascii="Calibri" w:hAnsi="Calibri"/>
          <w:color w:val="231F20"/>
          <w:w w:val="105"/>
        </w:rPr>
        <w:t xml:space="preserve"> and</w:t>
      </w:r>
      <w:r w:rsidRPr="007026A7">
        <w:rPr>
          <w:rFonts w:ascii="Calibri" w:hAnsi="Calibri"/>
          <w:color w:val="231F20"/>
          <w:w w:val="105"/>
        </w:rPr>
        <w:t xml:space="preserve"> Inclusive Postsecondary Education (IPSE) programs engage youth in experiences that blend academics with career and technical education. They </w:t>
      </w:r>
      <w:r w:rsidR="00897AEA">
        <w:rPr>
          <w:rFonts w:ascii="Calibri" w:hAnsi="Calibri"/>
          <w:color w:val="231F20"/>
          <w:w w:val="105"/>
        </w:rPr>
        <w:t xml:space="preserve">also </w:t>
      </w:r>
      <w:r w:rsidRPr="007026A7">
        <w:rPr>
          <w:rFonts w:ascii="Calibri" w:hAnsi="Calibri"/>
          <w:color w:val="231F20"/>
          <w:w w:val="105"/>
        </w:rPr>
        <w:t>provide hands-on career exploration and preparation activities where learned skills, attitudes</w:t>
      </w:r>
      <w:r w:rsidR="00D5537E">
        <w:rPr>
          <w:rFonts w:ascii="Calibri" w:hAnsi="Calibri"/>
          <w:color w:val="231F20"/>
          <w:w w:val="105"/>
        </w:rPr>
        <w:t xml:space="preserve"> and</w:t>
      </w:r>
      <w:r w:rsidRPr="007026A7">
        <w:rPr>
          <w:rFonts w:ascii="Calibri" w:hAnsi="Calibri"/>
          <w:color w:val="231F20"/>
          <w:w w:val="105"/>
        </w:rPr>
        <w:t xml:space="preserve"> behaviors can be applied. These evidence-based applications of learning, which includes internships and community based work experiences, often lead to successful employment. For some students, these programs include earning postsecondary credentials allow</w:t>
      </w:r>
      <w:r w:rsidR="00241273">
        <w:rPr>
          <w:rFonts w:ascii="Calibri" w:hAnsi="Calibri"/>
          <w:color w:val="231F20"/>
          <w:w w:val="105"/>
        </w:rPr>
        <w:t>ing</w:t>
      </w:r>
      <w:r w:rsidRPr="007026A7">
        <w:rPr>
          <w:rFonts w:ascii="Calibri" w:hAnsi="Calibri"/>
          <w:color w:val="231F20"/>
          <w:w w:val="105"/>
        </w:rPr>
        <w:t xml:space="preserve"> them to explore professional jobs that may lead to higher-wage careers. VR involvement in these </w:t>
      </w:r>
      <w:r w:rsidRPr="007026A7">
        <w:rPr>
          <w:rFonts w:ascii="Calibri" w:hAnsi="Calibri"/>
          <w:color w:val="231F20"/>
          <w:w w:val="105"/>
        </w:rPr>
        <w:lastRenderedPageBreak/>
        <w:t>collaborations provides funding for participants to receive needed services and other supports. This shared support helps partner programs serve more youth. VR partnerships deliver career development and employment options through direct services to youth who would not otherwise have access to these opportunities.</w:t>
      </w:r>
    </w:p>
    <w:p w14:paraId="684A950B" w14:textId="6AB65E1B" w:rsidR="005E70F5" w:rsidRDefault="005E70F5" w:rsidP="00D63204">
      <w:pPr>
        <w:widowControl w:val="0"/>
        <w:spacing w:before="4" w:after="0" w:line="240" w:lineRule="auto"/>
        <w:ind w:left="90" w:hanging="18"/>
        <w:rPr>
          <w:rFonts w:ascii="Calibri" w:hAnsi="Calibri"/>
          <w:color w:val="231F20"/>
          <w:w w:val="105"/>
        </w:rPr>
      </w:pPr>
    </w:p>
    <w:p w14:paraId="71453468" w14:textId="77777777" w:rsidR="005E70F5" w:rsidRPr="007026A7" w:rsidRDefault="005E70F5" w:rsidP="00D63204">
      <w:pPr>
        <w:widowControl w:val="0"/>
        <w:spacing w:before="4" w:after="0" w:line="240" w:lineRule="auto"/>
        <w:ind w:left="90" w:hanging="18"/>
        <w:rPr>
          <w:rFonts w:ascii="Calibri" w:hAnsi="Calibri"/>
          <w:color w:val="231F20"/>
          <w:w w:val="105"/>
        </w:rPr>
      </w:pPr>
    </w:p>
    <w:p w14:paraId="18A31F59" w14:textId="10E14A12" w:rsidR="007026A7" w:rsidRDefault="007026A7" w:rsidP="00D63204">
      <w:pPr>
        <w:widowControl w:val="0"/>
        <w:spacing w:before="4" w:after="0" w:line="240" w:lineRule="auto"/>
        <w:ind w:left="90" w:hanging="18"/>
        <w:rPr>
          <w:rFonts w:ascii="Calibri" w:hAnsi="Calibri"/>
          <w:color w:val="231F20"/>
          <w:w w:val="105"/>
        </w:rPr>
      </w:pPr>
      <w:r w:rsidRPr="007026A7">
        <w:rPr>
          <w:rFonts w:ascii="Calibri" w:hAnsi="Calibri"/>
          <w:color w:val="231F20"/>
          <w:w w:val="105"/>
        </w:rPr>
        <w:t>VR encourages early referral and application for transition students during high school so that they may receive Pre-Employment Transition Services (Pre-ETS) and better coordinate with local education agencies. Pre-ETS includes Career Exploration and Counseling, Work Readiness Training, Work Experiences, Postsecondary Educational Counseling</w:t>
      </w:r>
      <w:r w:rsidR="00D5537E">
        <w:rPr>
          <w:rFonts w:ascii="Calibri" w:hAnsi="Calibri"/>
          <w:color w:val="231F20"/>
          <w:w w:val="105"/>
        </w:rPr>
        <w:t xml:space="preserve"> and</w:t>
      </w:r>
      <w:r w:rsidRPr="007026A7">
        <w:rPr>
          <w:rFonts w:ascii="Calibri" w:hAnsi="Calibri"/>
          <w:color w:val="231F20"/>
          <w:w w:val="105"/>
        </w:rPr>
        <w:t xml:space="preserve"> Self-Advocacy Training, including Peer Mentoring</w:t>
      </w:r>
      <w:r w:rsidR="005E7C49">
        <w:rPr>
          <w:rFonts w:ascii="Calibri" w:hAnsi="Calibri"/>
          <w:color w:val="231F20"/>
          <w:w w:val="105"/>
        </w:rPr>
        <w:t xml:space="preserve">. </w:t>
      </w:r>
      <w:r w:rsidRPr="007026A7">
        <w:rPr>
          <w:rFonts w:ascii="Calibri" w:hAnsi="Calibri"/>
          <w:color w:val="231F20"/>
          <w:w w:val="105"/>
        </w:rPr>
        <w:t>Students with disabilities may receive Pre-ETS through the VR STAR program without the need to apply or to be determined eligible</w:t>
      </w:r>
      <w:r w:rsidR="005E7C49">
        <w:rPr>
          <w:rFonts w:ascii="Calibri" w:hAnsi="Calibri"/>
          <w:color w:val="231F20"/>
          <w:w w:val="105"/>
        </w:rPr>
        <w:t xml:space="preserve">. </w:t>
      </w:r>
      <w:r w:rsidRPr="007026A7">
        <w:rPr>
          <w:rFonts w:ascii="Calibri" w:hAnsi="Calibri"/>
          <w:color w:val="231F20"/>
          <w:w w:val="105"/>
        </w:rPr>
        <w:t>Students who require additional VR services or supports may still obtain Pre-ETS while applying to VR</w:t>
      </w:r>
      <w:r w:rsidR="005E7C49">
        <w:rPr>
          <w:rFonts w:ascii="Calibri" w:hAnsi="Calibri"/>
          <w:color w:val="231F20"/>
          <w:w w:val="105"/>
        </w:rPr>
        <w:t xml:space="preserve">. </w:t>
      </w:r>
      <w:r w:rsidRPr="007026A7">
        <w:rPr>
          <w:rFonts w:ascii="Calibri" w:hAnsi="Calibri"/>
          <w:color w:val="231F20"/>
          <w:w w:val="105"/>
        </w:rPr>
        <w:t>VR brochures describe how students and families can access Pre-ETS or other VR services beginning at age 14 and beyond. Students with disabilities who are at high risk for dropping out of school may be referred at any age. This early referral process allows the counselor to develop a rapport with the transition student and family, explore vocational options and comparable benefits</w:t>
      </w:r>
      <w:r w:rsidR="00D5537E">
        <w:rPr>
          <w:rFonts w:ascii="Calibri" w:hAnsi="Calibri"/>
          <w:color w:val="231F20"/>
          <w:w w:val="105"/>
        </w:rPr>
        <w:t xml:space="preserve"> and</w:t>
      </w:r>
      <w:r w:rsidRPr="007026A7">
        <w:rPr>
          <w:rFonts w:ascii="Calibri" w:hAnsi="Calibri"/>
          <w:color w:val="231F20"/>
          <w:w w:val="105"/>
        </w:rPr>
        <w:t xml:space="preserve"> begin necessary guidance and counseling.</w:t>
      </w:r>
    </w:p>
    <w:p w14:paraId="6009783A" w14:textId="4D04A079" w:rsidR="005E70F5" w:rsidRDefault="005E70F5" w:rsidP="00D63204">
      <w:pPr>
        <w:widowControl w:val="0"/>
        <w:spacing w:before="4" w:after="0" w:line="240" w:lineRule="auto"/>
        <w:ind w:left="90" w:hanging="18"/>
        <w:rPr>
          <w:rFonts w:ascii="Calibri" w:hAnsi="Calibri"/>
          <w:color w:val="231F20"/>
          <w:w w:val="105"/>
        </w:rPr>
      </w:pPr>
    </w:p>
    <w:p w14:paraId="44F66742" w14:textId="77777777" w:rsidR="007026A7" w:rsidRPr="005E70F5" w:rsidRDefault="007026A7" w:rsidP="00096B5A">
      <w:pPr>
        <w:widowControl w:val="0"/>
        <w:spacing w:before="4" w:after="0" w:line="240" w:lineRule="auto"/>
        <w:ind w:left="90" w:hanging="18"/>
        <w:rPr>
          <w:rFonts w:ascii="Calibri" w:hAnsi="Calibri"/>
          <w:b/>
          <w:color w:val="231F20"/>
          <w:w w:val="105"/>
          <w:u w:val="single"/>
        </w:rPr>
      </w:pPr>
      <w:r w:rsidRPr="005E70F5">
        <w:rPr>
          <w:rFonts w:ascii="Calibri" w:hAnsi="Calibri"/>
          <w:b/>
          <w:color w:val="231F20"/>
          <w:w w:val="105"/>
          <w:u w:val="single"/>
        </w:rPr>
        <w:t>Provisions for Development and Approval of Individualized Plans for Employment for Students with Disabilities</w:t>
      </w:r>
    </w:p>
    <w:p w14:paraId="3BE42538" w14:textId="2DE35AF9" w:rsidR="007026A7" w:rsidRDefault="007026A7" w:rsidP="00D63204">
      <w:pPr>
        <w:widowControl w:val="0"/>
        <w:spacing w:before="4" w:after="0" w:line="240" w:lineRule="auto"/>
        <w:ind w:left="90" w:hanging="18"/>
        <w:rPr>
          <w:rFonts w:ascii="Calibri" w:hAnsi="Calibri"/>
          <w:color w:val="231F20"/>
          <w:w w:val="105"/>
        </w:rPr>
      </w:pPr>
      <w:r w:rsidRPr="007026A7">
        <w:rPr>
          <w:rFonts w:ascii="Calibri" w:hAnsi="Calibri"/>
          <w:color w:val="231F20"/>
          <w:w w:val="105"/>
        </w:rPr>
        <w:t>The Individualized Plan for Employment (IPE), Supported Employment IPE, Individual Support Plan</w:t>
      </w:r>
      <w:r w:rsidR="00D5537E">
        <w:rPr>
          <w:rFonts w:ascii="Calibri" w:hAnsi="Calibri"/>
          <w:color w:val="231F20"/>
          <w:w w:val="105"/>
        </w:rPr>
        <w:t xml:space="preserve"> and</w:t>
      </w:r>
      <w:r w:rsidRPr="007026A7">
        <w:rPr>
          <w:rFonts w:ascii="Calibri" w:hAnsi="Calibri"/>
          <w:color w:val="231F20"/>
          <w:w w:val="105"/>
        </w:rPr>
        <w:t>/ or Care Coordination Plans are completed or updated as early as possible prior to graduation or leaving school to allow a seamless transition to a student's desired postsecondary outcome.</w:t>
      </w:r>
    </w:p>
    <w:p w14:paraId="2E5201C4" w14:textId="77777777" w:rsidR="005E70F5" w:rsidRPr="007026A7" w:rsidRDefault="005E70F5" w:rsidP="00D63204">
      <w:pPr>
        <w:widowControl w:val="0"/>
        <w:spacing w:before="4" w:after="0" w:line="240" w:lineRule="auto"/>
        <w:ind w:left="90" w:hanging="18"/>
        <w:rPr>
          <w:rFonts w:ascii="Calibri" w:hAnsi="Calibri"/>
          <w:color w:val="231F20"/>
          <w:w w:val="105"/>
        </w:rPr>
      </w:pPr>
    </w:p>
    <w:p w14:paraId="3A74B1CE" w14:textId="78508E64" w:rsidR="007026A7" w:rsidRDefault="007026A7" w:rsidP="00D63204">
      <w:pPr>
        <w:widowControl w:val="0"/>
        <w:spacing w:before="4" w:after="0" w:line="240" w:lineRule="auto"/>
        <w:ind w:left="90" w:hanging="18"/>
        <w:rPr>
          <w:rFonts w:ascii="Calibri" w:hAnsi="Calibri"/>
          <w:color w:val="231F20"/>
          <w:w w:val="105"/>
        </w:rPr>
      </w:pPr>
      <w:r w:rsidRPr="007026A7">
        <w:rPr>
          <w:rFonts w:ascii="Calibri" w:hAnsi="Calibri"/>
          <w:color w:val="231F20"/>
          <w:w w:val="105"/>
        </w:rPr>
        <w:t>VR counselors, with assistance from VR technicians, serve as representatives to work with all public high schools statewide and any private high school requesting assistance. They provide outreach and vocational rehabilitation services orientation to students, school officials, parents</w:t>
      </w:r>
      <w:r w:rsidR="00D5537E">
        <w:rPr>
          <w:rFonts w:ascii="Calibri" w:hAnsi="Calibri"/>
          <w:color w:val="231F20"/>
          <w:w w:val="105"/>
        </w:rPr>
        <w:t xml:space="preserve"> and</w:t>
      </w:r>
      <w:r w:rsidRPr="007026A7">
        <w:rPr>
          <w:rFonts w:ascii="Calibri" w:hAnsi="Calibri"/>
          <w:color w:val="231F20"/>
          <w:w w:val="105"/>
        </w:rPr>
        <w:t xml:space="preserve"> others involved in transition services. Only the counselor may determine a student's eligibility for VR services, develop an approved IPE</w:t>
      </w:r>
      <w:r w:rsidR="00D5537E">
        <w:rPr>
          <w:rFonts w:ascii="Calibri" w:hAnsi="Calibri"/>
          <w:color w:val="231F20"/>
          <w:w w:val="105"/>
        </w:rPr>
        <w:t xml:space="preserve"> and</w:t>
      </w:r>
      <w:r w:rsidRPr="007026A7">
        <w:rPr>
          <w:rFonts w:ascii="Calibri" w:hAnsi="Calibri"/>
          <w:color w:val="231F20"/>
          <w:w w:val="105"/>
        </w:rPr>
        <w:t xml:space="preserve"> sponsor the delivery of necessary transition services to help the student with planning, preparing for</w:t>
      </w:r>
      <w:r w:rsidR="00D5537E">
        <w:rPr>
          <w:rFonts w:ascii="Calibri" w:hAnsi="Calibri"/>
          <w:color w:val="231F20"/>
          <w:w w:val="105"/>
        </w:rPr>
        <w:t xml:space="preserve"> and</w:t>
      </w:r>
      <w:r w:rsidRPr="007026A7">
        <w:rPr>
          <w:rFonts w:ascii="Calibri" w:hAnsi="Calibri"/>
          <w:color w:val="231F20"/>
          <w:w w:val="105"/>
        </w:rPr>
        <w:t xml:space="preserve"> achieving successful employment.</w:t>
      </w:r>
    </w:p>
    <w:p w14:paraId="07321A81" w14:textId="77777777" w:rsidR="005E70F5" w:rsidRPr="007026A7" w:rsidRDefault="005E70F5" w:rsidP="00D63204">
      <w:pPr>
        <w:widowControl w:val="0"/>
        <w:spacing w:before="4" w:after="0" w:line="240" w:lineRule="auto"/>
        <w:ind w:left="90" w:hanging="18"/>
        <w:rPr>
          <w:rFonts w:ascii="Calibri" w:hAnsi="Calibri"/>
          <w:color w:val="231F20"/>
          <w:w w:val="105"/>
        </w:rPr>
      </w:pPr>
    </w:p>
    <w:p w14:paraId="29D60B39" w14:textId="77777777" w:rsidR="007026A7" w:rsidRPr="005E70F5" w:rsidRDefault="007026A7" w:rsidP="00D63204">
      <w:pPr>
        <w:widowControl w:val="0"/>
        <w:spacing w:before="4" w:after="0" w:line="240" w:lineRule="auto"/>
        <w:ind w:left="90" w:hanging="18"/>
        <w:rPr>
          <w:rFonts w:ascii="Calibri" w:hAnsi="Calibri"/>
          <w:b/>
          <w:color w:val="231F20"/>
          <w:w w:val="105"/>
          <w:u w:val="single"/>
        </w:rPr>
      </w:pPr>
      <w:r w:rsidRPr="005E70F5">
        <w:rPr>
          <w:rFonts w:ascii="Calibri" w:hAnsi="Calibri"/>
          <w:b/>
          <w:color w:val="231F20"/>
          <w:w w:val="105"/>
          <w:u w:val="single"/>
        </w:rPr>
        <w:t>Information on Formal Interagency Agreements with Respect To:</w:t>
      </w:r>
    </w:p>
    <w:p w14:paraId="4865744C" w14:textId="77777777" w:rsidR="005E70F5" w:rsidRPr="005E70F5" w:rsidRDefault="005E70F5" w:rsidP="00D63204">
      <w:pPr>
        <w:widowControl w:val="0"/>
        <w:spacing w:before="4" w:after="0" w:line="240" w:lineRule="auto"/>
        <w:ind w:left="90" w:hanging="18"/>
        <w:rPr>
          <w:rFonts w:ascii="Calibri" w:hAnsi="Calibri"/>
          <w:color w:val="231F20"/>
          <w:w w:val="105"/>
          <w:u w:val="single"/>
        </w:rPr>
      </w:pPr>
    </w:p>
    <w:p w14:paraId="137945F4" w14:textId="59630FE4" w:rsidR="007026A7" w:rsidRPr="005E70F5" w:rsidRDefault="007026A7" w:rsidP="00D63204">
      <w:pPr>
        <w:widowControl w:val="0"/>
        <w:spacing w:before="4" w:after="0" w:line="240" w:lineRule="auto"/>
        <w:ind w:left="90" w:hanging="18"/>
        <w:rPr>
          <w:rFonts w:ascii="Calibri" w:hAnsi="Calibri"/>
          <w:b/>
          <w:color w:val="231F20"/>
          <w:w w:val="105"/>
          <w:u w:val="single"/>
        </w:rPr>
      </w:pPr>
      <w:r w:rsidRPr="005E70F5">
        <w:rPr>
          <w:rFonts w:ascii="Calibri" w:hAnsi="Calibri"/>
          <w:b/>
          <w:color w:val="231F20"/>
          <w:w w:val="105"/>
          <w:u w:val="single"/>
        </w:rPr>
        <w:t>Employment First</w:t>
      </w:r>
    </w:p>
    <w:p w14:paraId="2E7D569E" w14:textId="6ACA2BF0" w:rsidR="007026A7" w:rsidRPr="007026A7" w:rsidRDefault="007026A7" w:rsidP="00D63204">
      <w:pPr>
        <w:widowControl w:val="0"/>
        <w:spacing w:before="4" w:after="0" w:line="240" w:lineRule="auto"/>
        <w:ind w:left="90" w:hanging="18"/>
        <w:rPr>
          <w:rFonts w:ascii="Calibri" w:hAnsi="Calibri"/>
          <w:color w:val="231F20"/>
          <w:w w:val="105"/>
        </w:rPr>
      </w:pPr>
      <w:r w:rsidRPr="007026A7">
        <w:rPr>
          <w:rFonts w:ascii="Calibri" w:hAnsi="Calibri"/>
          <w:color w:val="231F20"/>
          <w:w w:val="105"/>
        </w:rPr>
        <w:t>As an employment leader, VR strongly encourages partner agencies, organizations</w:t>
      </w:r>
      <w:r w:rsidR="00D5537E">
        <w:rPr>
          <w:rFonts w:ascii="Calibri" w:hAnsi="Calibri"/>
          <w:color w:val="231F20"/>
          <w:w w:val="105"/>
        </w:rPr>
        <w:t xml:space="preserve"> and</w:t>
      </w:r>
      <w:r w:rsidRPr="007026A7">
        <w:rPr>
          <w:rFonts w:ascii="Calibri" w:hAnsi="Calibri"/>
          <w:color w:val="231F20"/>
          <w:w w:val="105"/>
        </w:rPr>
        <w:t xml:space="preserve"> employers to promote competitive integrated employment in the community as the first and preferred option for individuals with disabilities. People with disabilities who are employed experience enhanced independence and quality of life. They </w:t>
      </w:r>
      <w:r w:rsidR="008C48FD">
        <w:rPr>
          <w:rFonts w:ascii="Calibri" w:hAnsi="Calibri"/>
          <w:color w:val="231F20"/>
          <w:w w:val="105"/>
        </w:rPr>
        <w:t>are also contributing</w:t>
      </w:r>
      <w:r w:rsidR="00E34567">
        <w:rPr>
          <w:rFonts w:ascii="Calibri" w:hAnsi="Calibri"/>
          <w:color w:val="231F20"/>
          <w:w w:val="105"/>
        </w:rPr>
        <w:t xml:space="preserve"> </w:t>
      </w:r>
      <w:r w:rsidRPr="007026A7">
        <w:rPr>
          <w:rFonts w:ascii="Calibri" w:hAnsi="Calibri"/>
          <w:color w:val="231F20"/>
          <w:w w:val="105"/>
        </w:rPr>
        <w:t>to the rich diversity of the workforce so the entire community benefits</w:t>
      </w:r>
      <w:r w:rsidR="005E7C49">
        <w:rPr>
          <w:rFonts w:ascii="Calibri" w:hAnsi="Calibri"/>
          <w:color w:val="231F20"/>
          <w:w w:val="105"/>
        </w:rPr>
        <w:t xml:space="preserve">. </w:t>
      </w:r>
      <w:r w:rsidRPr="007026A7">
        <w:rPr>
          <w:rFonts w:ascii="Calibri" w:hAnsi="Calibri"/>
          <w:color w:val="231F20"/>
          <w:w w:val="105"/>
        </w:rPr>
        <w:t xml:space="preserve">The Employment First Committee submits a report to the </w:t>
      </w:r>
      <w:r w:rsidR="008278E4">
        <w:rPr>
          <w:rFonts w:ascii="Calibri" w:hAnsi="Calibri"/>
          <w:color w:val="231F20"/>
          <w:w w:val="105"/>
        </w:rPr>
        <w:t>g</w:t>
      </w:r>
      <w:r w:rsidRPr="007026A7">
        <w:rPr>
          <w:rFonts w:ascii="Calibri" w:hAnsi="Calibri"/>
          <w:color w:val="231F20"/>
          <w:w w:val="105"/>
        </w:rPr>
        <w:t>overnor annually, describing the coordination of participating agencies to advance the Employment First philosophy and way of work throughout Florida.</w:t>
      </w:r>
    </w:p>
    <w:p w14:paraId="1970AEFD" w14:textId="77777777" w:rsidR="007026A7" w:rsidRPr="007026A7" w:rsidRDefault="007026A7" w:rsidP="00D63204">
      <w:pPr>
        <w:widowControl w:val="0"/>
        <w:spacing w:before="4" w:after="0" w:line="240" w:lineRule="auto"/>
        <w:ind w:left="90" w:hanging="18"/>
        <w:rPr>
          <w:rFonts w:ascii="Calibri" w:hAnsi="Calibri"/>
          <w:color w:val="231F20"/>
          <w:w w:val="105"/>
        </w:rPr>
      </w:pPr>
    </w:p>
    <w:p w14:paraId="12F5CD3F" w14:textId="77777777" w:rsidR="007026A7" w:rsidRPr="005E70F5" w:rsidRDefault="007026A7" w:rsidP="00D63204">
      <w:pPr>
        <w:widowControl w:val="0"/>
        <w:spacing w:before="4" w:after="0" w:line="240" w:lineRule="auto"/>
        <w:ind w:left="90" w:hanging="18"/>
        <w:rPr>
          <w:rFonts w:ascii="Calibri" w:hAnsi="Calibri"/>
          <w:b/>
          <w:color w:val="231F20"/>
          <w:w w:val="105"/>
          <w:u w:val="single"/>
        </w:rPr>
      </w:pPr>
      <w:r w:rsidRPr="005E70F5">
        <w:rPr>
          <w:rFonts w:ascii="Calibri" w:hAnsi="Calibri"/>
          <w:b/>
          <w:color w:val="231F20"/>
          <w:w w:val="105"/>
          <w:u w:val="single"/>
        </w:rPr>
        <w:t>Technical Assistance and Consultation</w:t>
      </w:r>
    </w:p>
    <w:p w14:paraId="7ACF993D" w14:textId="7D64A19A" w:rsidR="007026A7" w:rsidRPr="007026A7" w:rsidRDefault="007026A7" w:rsidP="00D63204">
      <w:pPr>
        <w:widowControl w:val="0"/>
        <w:spacing w:before="4" w:after="0" w:line="240" w:lineRule="auto"/>
        <w:ind w:left="90" w:hanging="18"/>
        <w:rPr>
          <w:rFonts w:ascii="Calibri" w:hAnsi="Calibri"/>
          <w:color w:val="231F20"/>
          <w:w w:val="105"/>
        </w:rPr>
      </w:pPr>
      <w:r w:rsidRPr="007026A7">
        <w:rPr>
          <w:rFonts w:ascii="Calibri" w:hAnsi="Calibri"/>
          <w:color w:val="231F20"/>
          <w:w w:val="105"/>
        </w:rPr>
        <w:t xml:space="preserve">Local education agencies are strongly encouraged to have written agreements with VR and DBS, including other agencies that offer supports or services during student transition. The agreements </w:t>
      </w:r>
      <w:r w:rsidR="00E34567" w:rsidRPr="007026A7">
        <w:rPr>
          <w:rFonts w:ascii="Calibri" w:hAnsi="Calibri"/>
          <w:color w:val="231F20"/>
          <w:w w:val="105"/>
        </w:rPr>
        <w:t>address</w:t>
      </w:r>
      <w:r w:rsidRPr="007026A7">
        <w:rPr>
          <w:rFonts w:ascii="Calibri" w:hAnsi="Calibri"/>
          <w:color w:val="231F20"/>
          <w:w w:val="105"/>
        </w:rPr>
        <w:t xml:space="preserve"> consultation, coordination</w:t>
      </w:r>
      <w:r w:rsidR="00D5537E">
        <w:rPr>
          <w:rFonts w:ascii="Calibri" w:hAnsi="Calibri"/>
          <w:color w:val="231F20"/>
          <w:w w:val="105"/>
        </w:rPr>
        <w:t xml:space="preserve"> and</w:t>
      </w:r>
      <w:r w:rsidRPr="007026A7">
        <w:rPr>
          <w:rFonts w:ascii="Calibri" w:hAnsi="Calibri"/>
          <w:color w:val="231F20"/>
          <w:w w:val="105"/>
        </w:rPr>
        <w:t xml:space="preserve"> providing technical assistance to each other, as well as to students and their families/ guardians/surrogates to plan for the transition from high school to postsecondary activities and becoming part of the adult community.</w:t>
      </w:r>
    </w:p>
    <w:p w14:paraId="0936B193" w14:textId="77777777" w:rsidR="007026A7" w:rsidRPr="007026A7" w:rsidRDefault="007026A7" w:rsidP="00D63204">
      <w:pPr>
        <w:widowControl w:val="0"/>
        <w:spacing w:before="4" w:after="0" w:line="240" w:lineRule="auto"/>
        <w:ind w:left="90" w:hanging="18"/>
        <w:rPr>
          <w:rFonts w:ascii="Calibri" w:hAnsi="Calibri"/>
          <w:color w:val="231F20"/>
          <w:w w:val="105"/>
        </w:rPr>
      </w:pPr>
    </w:p>
    <w:p w14:paraId="79BDBB9C" w14:textId="77777777" w:rsidR="005E70F5" w:rsidRDefault="005E70F5">
      <w:pPr>
        <w:rPr>
          <w:rFonts w:ascii="Calibri" w:hAnsi="Calibri"/>
          <w:b/>
          <w:color w:val="231F20"/>
          <w:w w:val="105"/>
          <w:u w:val="single"/>
        </w:rPr>
      </w:pPr>
      <w:r>
        <w:rPr>
          <w:rFonts w:ascii="Calibri" w:hAnsi="Calibri"/>
          <w:b/>
          <w:color w:val="231F20"/>
          <w:w w:val="105"/>
          <w:u w:val="single"/>
        </w:rPr>
        <w:lastRenderedPageBreak/>
        <w:br w:type="page"/>
      </w:r>
    </w:p>
    <w:p w14:paraId="650532BF" w14:textId="77777777" w:rsidR="005E70F5" w:rsidRDefault="005E70F5" w:rsidP="00D63204">
      <w:pPr>
        <w:widowControl w:val="0"/>
        <w:spacing w:before="4" w:after="0" w:line="240" w:lineRule="auto"/>
        <w:ind w:left="90" w:hanging="18"/>
        <w:rPr>
          <w:rFonts w:ascii="Calibri" w:hAnsi="Calibri"/>
          <w:b/>
          <w:color w:val="231F20"/>
          <w:w w:val="105"/>
          <w:u w:val="single"/>
        </w:rPr>
      </w:pPr>
    </w:p>
    <w:p w14:paraId="124703FC" w14:textId="3AE1018C" w:rsidR="007026A7" w:rsidRPr="005E70F5" w:rsidRDefault="007026A7" w:rsidP="00D63204">
      <w:pPr>
        <w:widowControl w:val="0"/>
        <w:spacing w:before="4" w:after="0" w:line="240" w:lineRule="auto"/>
        <w:ind w:left="90" w:hanging="18"/>
        <w:rPr>
          <w:rFonts w:ascii="Calibri" w:hAnsi="Calibri"/>
          <w:b/>
          <w:color w:val="231F20"/>
          <w:w w:val="105"/>
          <w:u w:val="single"/>
        </w:rPr>
      </w:pPr>
      <w:r w:rsidRPr="005E70F5">
        <w:rPr>
          <w:rFonts w:ascii="Calibri" w:hAnsi="Calibri"/>
          <w:b/>
          <w:color w:val="231F20"/>
          <w:w w:val="105"/>
          <w:u w:val="single"/>
        </w:rPr>
        <w:t xml:space="preserve">Transition Planning by VR and Educational Agency Representatives for Development and Completion of the Individual Education Plan </w:t>
      </w:r>
    </w:p>
    <w:p w14:paraId="49709B23" w14:textId="1898877C" w:rsidR="007026A7" w:rsidRDefault="007026A7" w:rsidP="00D63204">
      <w:pPr>
        <w:widowControl w:val="0"/>
        <w:spacing w:before="4" w:after="0" w:line="240" w:lineRule="auto"/>
        <w:ind w:left="90" w:hanging="18"/>
        <w:rPr>
          <w:rFonts w:ascii="Calibri" w:hAnsi="Calibri"/>
          <w:color w:val="231F20"/>
          <w:w w:val="105"/>
        </w:rPr>
      </w:pPr>
      <w:r w:rsidRPr="007026A7">
        <w:rPr>
          <w:rFonts w:ascii="Calibri" w:hAnsi="Calibri"/>
          <w:color w:val="231F20"/>
          <w:w w:val="105"/>
        </w:rPr>
        <w:t>Local education agencies work collaboratively with VR, FDBS, APD, Children's Medical Services</w:t>
      </w:r>
      <w:r w:rsidR="00D5537E">
        <w:rPr>
          <w:rFonts w:ascii="Calibri" w:hAnsi="Calibri"/>
          <w:color w:val="231F20"/>
          <w:w w:val="105"/>
        </w:rPr>
        <w:t xml:space="preserve"> and</w:t>
      </w:r>
      <w:r w:rsidRPr="007026A7">
        <w:rPr>
          <w:rFonts w:ascii="Calibri" w:hAnsi="Calibri"/>
          <w:color w:val="231F20"/>
          <w:w w:val="105"/>
        </w:rPr>
        <w:t xml:space="preserve"> Mental Health Services in the Transition Individual Educational Plan process. Local education agencies that are considering transition services during the Individual Educational Plan meeting will invite representatives from any other agency who may be responsible for providing or paying for transition services, after obtaining permission from the parent, guardian, or age-of-majority student. If the agency representative does not attend the meeting, the school will do its best to get someone else to come. If the agency representative will not attend the meeting, the school will then look for alternative ways to provide for the student's transition needs. The local education agency must reconvene the Transition Individual Educational Plan team to identify alternative strategies for providing a student's transition needs if an agency fails to do so.</w:t>
      </w:r>
    </w:p>
    <w:p w14:paraId="0E8579CF" w14:textId="77777777" w:rsidR="005E70F5" w:rsidRPr="007026A7" w:rsidRDefault="005E70F5" w:rsidP="00D63204">
      <w:pPr>
        <w:widowControl w:val="0"/>
        <w:spacing w:before="4" w:after="0" w:line="240" w:lineRule="auto"/>
        <w:ind w:left="90" w:hanging="18"/>
        <w:rPr>
          <w:rFonts w:ascii="Calibri" w:hAnsi="Calibri"/>
          <w:color w:val="231F20"/>
          <w:w w:val="105"/>
        </w:rPr>
      </w:pPr>
    </w:p>
    <w:p w14:paraId="7FFC5737" w14:textId="435E2544" w:rsidR="007026A7" w:rsidRDefault="00366711" w:rsidP="00D63204">
      <w:pPr>
        <w:widowControl w:val="0"/>
        <w:spacing w:before="4" w:after="0" w:line="240" w:lineRule="auto"/>
        <w:ind w:left="90" w:hanging="18"/>
        <w:rPr>
          <w:rFonts w:ascii="Calibri" w:hAnsi="Calibri"/>
          <w:color w:val="231F20"/>
          <w:w w:val="105"/>
        </w:rPr>
      </w:pPr>
      <w:r>
        <w:rPr>
          <w:rFonts w:ascii="Calibri" w:hAnsi="Calibri"/>
          <w:color w:val="231F20"/>
          <w:w w:val="105"/>
        </w:rPr>
        <w:t>T</w:t>
      </w:r>
      <w:r w:rsidR="007026A7" w:rsidRPr="007026A7">
        <w:rPr>
          <w:rFonts w:ascii="Calibri" w:hAnsi="Calibri"/>
          <w:color w:val="231F20"/>
          <w:w w:val="105"/>
        </w:rPr>
        <w:t>o plan effective transition services for students with disabilities, it is essential that all invited partner agencies encourage and support participation in the Transition Individual Educational Plan (IEP) process.</w:t>
      </w:r>
    </w:p>
    <w:p w14:paraId="7F51C734" w14:textId="77777777" w:rsidR="005E70F5" w:rsidRPr="007026A7" w:rsidRDefault="005E70F5" w:rsidP="00D63204">
      <w:pPr>
        <w:widowControl w:val="0"/>
        <w:spacing w:before="4" w:after="0" w:line="240" w:lineRule="auto"/>
        <w:ind w:left="90" w:hanging="18"/>
        <w:rPr>
          <w:rFonts w:ascii="Calibri" w:hAnsi="Calibri"/>
          <w:color w:val="231F20"/>
          <w:w w:val="105"/>
        </w:rPr>
      </w:pPr>
    </w:p>
    <w:p w14:paraId="0EAAE074" w14:textId="77777777" w:rsidR="007026A7" w:rsidRPr="007026A7" w:rsidRDefault="007026A7" w:rsidP="00D63204">
      <w:pPr>
        <w:widowControl w:val="0"/>
        <w:spacing w:before="4" w:after="0" w:line="240" w:lineRule="auto"/>
        <w:ind w:left="90" w:hanging="18"/>
        <w:rPr>
          <w:rFonts w:ascii="Calibri" w:hAnsi="Calibri"/>
          <w:color w:val="231F20"/>
          <w:w w:val="105"/>
        </w:rPr>
      </w:pPr>
      <w:r w:rsidRPr="007026A7">
        <w:rPr>
          <w:rFonts w:ascii="Calibri" w:hAnsi="Calibri"/>
          <w:color w:val="231F20"/>
          <w:w w:val="105"/>
        </w:rPr>
        <w:t>VR invests 35-40 percent of its statewide staffing resources in transition services to serve students with disabilities in Florida's 67 school districts and the Florida School for the Deaf and the Blind. Additional improvements to the rehabilitation information management and billing systems are being implemented to improve the collection and analysis of transition student data. Several of these additional data enhancements were implemented to simultaneously meet WIOA requirements. The enhancements will enable VR to conduct differential analysis to better evaluate agency performance and identify how to best improve service delivery and outcomes for students with disabilities.</w:t>
      </w:r>
    </w:p>
    <w:p w14:paraId="4C718533" w14:textId="77777777" w:rsidR="007026A7" w:rsidRPr="007026A7" w:rsidRDefault="007026A7" w:rsidP="00D63204">
      <w:pPr>
        <w:widowControl w:val="0"/>
        <w:spacing w:before="4" w:after="0" w:line="240" w:lineRule="auto"/>
        <w:ind w:left="90" w:hanging="18"/>
        <w:rPr>
          <w:rFonts w:ascii="Calibri" w:hAnsi="Calibri"/>
          <w:color w:val="231F20"/>
          <w:w w:val="105"/>
        </w:rPr>
      </w:pPr>
    </w:p>
    <w:p w14:paraId="3A0FE52C" w14:textId="77777777" w:rsidR="007026A7" w:rsidRPr="005E70F5" w:rsidRDefault="007026A7" w:rsidP="00D63204">
      <w:pPr>
        <w:widowControl w:val="0"/>
        <w:spacing w:before="4" w:after="0" w:line="240" w:lineRule="auto"/>
        <w:ind w:left="90" w:hanging="18"/>
        <w:rPr>
          <w:rFonts w:ascii="Calibri" w:hAnsi="Calibri"/>
          <w:b/>
          <w:color w:val="231F20"/>
          <w:w w:val="105"/>
          <w:u w:val="single"/>
        </w:rPr>
      </w:pPr>
      <w:r w:rsidRPr="005E70F5">
        <w:rPr>
          <w:rFonts w:ascii="Calibri" w:hAnsi="Calibri"/>
          <w:b/>
          <w:color w:val="231F20"/>
          <w:w w:val="105"/>
          <w:u w:val="single"/>
        </w:rPr>
        <w:t>Roles and Responsibilities</w:t>
      </w:r>
    </w:p>
    <w:p w14:paraId="0ED79531" w14:textId="77777777" w:rsidR="007026A7" w:rsidRPr="007026A7" w:rsidRDefault="007026A7" w:rsidP="00D63204">
      <w:pPr>
        <w:widowControl w:val="0"/>
        <w:spacing w:before="4" w:after="0" w:line="240" w:lineRule="auto"/>
        <w:ind w:left="90" w:hanging="18"/>
        <w:rPr>
          <w:rFonts w:ascii="Calibri" w:hAnsi="Calibri"/>
          <w:color w:val="231F20"/>
          <w:w w:val="105"/>
        </w:rPr>
      </w:pPr>
      <w:r w:rsidRPr="007026A7">
        <w:rPr>
          <w:rFonts w:ascii="Calibri" w:hAnsi="Calibri"/>
          <w:color w:val="231F20"/>
          <w:w w:val="105"/>
        </w:rPr>
        <w:t>The roles and responsibilities for each partner agency as required by federal and state regulations are as follows:</w:t>
      </w:r>
    </w:p>
    <w:p w14:paraId="14477607" w14:textId="77777777" w:rsidR="005E70F5" w:rsidRDefault="005E70F5" w:rsidP="00D63204">
      <w:pPr>
        <w:widowControl w:val="0"/>
        <w:spacing w:before="4" w:after="0" w:line="240" w:lineRule="auto"/>
        <w:ind w:left="90" w:hanging="18"/>
        <w:rPr>
          <w:rFonts w:ascii="Calibri" w:hAnsi="Calibri"/>
          <w:color w:val="231F20"/>
          <w:w w:val="105"/>
        </w:rPr>
      </w:pPr>
    </w:p>
    <w:p w14:paraId="7F8321DC" w14:textId="78BA0B11" w:rsidR="007026A7" w:rsidRPr="005E70F5" w:rsidRDefault="007026A7" w:rsidP="00D63204">
      <w:pPr>
        <w:pStyle w:val="ListParagraph"/>
        <w:widowControl w:val="0"/>
        <w:numPr>
          <w:ilvl w:val="0"/>
          <w:numId w:val="105"/>
        </w:numPr>
        <w:spacing w:before="4" w:after="0" w:line="240" w:lineRule="auto"/>
        <w:rPr>
          <w:rFonts w:ascii="Calibri" w:hAnsi="Calibri"/>
          <w:color w:val="231F20"/>
          <w:w w:val="105"/>
        </w:rPr>
      </w:pPr>
      <w:r w:rsidRPr="005E70F5">
        <w:rPr>
          <w:rFonts w:ascii="Calibri" w:hAnsi="Calibri"/>
          <w:color w:val="231F20"/>
          <w:w w:val="105"/>
        </w:rPr>
        <w:t>Local education agencies provide a Free and Appropriate Public Education for students with disabilities, including preparation for transition from school to work or other postsecondary activities.</w:t>
      </w:r>
    </w:p>
    <w:p w14:paraId="64B6E370" w14:textId="77777777" w:rsidR="007026A7" w:rsidRPr="007026A7" w:rsidRDefault="007026A7" w:rsidP="00D63204">
      <w:pPr>
        <w:widowControl w:val="0"/>
        <w:spacing w:before="4" w:after="0" w:line="240" w:lineRule="auto"/>
        <w:ind w:left="90" w:hanging="18"/>
        <w:rPr>
          <w:rFonts w:ascii="Calibri" w:hAnsi="Calibri"/>
          <w:color w:val="231F20"/>
          <w:w w:val="105"/>
        </w:rPr>
      </w:pPr>
    </w:p>
    <w:p w14:paraId="57403CE4" w14:textId="77777777" w:rsidR="007026A7" w:rsidRPr="005E70F5" w:rsidRDefault="007026A7" w:rsidP="00D63204">
      <w:pPr>
        <w:pStyle w:val="ListParagraph"/>
        <w:widowControl w:val="0"/>
        <w:numPr>
          <w:ilvl w:val="0"/>
          <w:numId w:val="105"/>
        </w:numPr>
        <w:spacing w:before="4" w:after="0" w:line="240" w:lineRule="auto"/>
        <w:rPr>
          <w:rFonts w:ascii="Calibri" w:hAnsi="Calibri"/>
          <w:color w:val="231F20"/>
          <w:w w:val="105"/>
        </w:rPr>
      </w:pPr>
      <w:r w:rsidRPr="005E70F5">
        <w:rPr>
          <w:rFonts w:ascii="Calibri" w:hAnsi="Calibri"/>
          <w:color w:val="231F20"/>
          <w:w w:val="105"/>
        </w:rPr>
        <w:t>VR and DBS assist with student transition from secondary school to work through postsecondary training, education, or direct placement services necessary to achieve a successful employment outcome.</w:t>
      </w:r>
    </w:p>
    <w:p w14:paraId="566CE4AC" w14:textId="77777777" w:rsidR="007026A7" w:rsidRPr="007026A7" w:rsidRDefault="007026A7" w:rsidP="00D63204">
      <w:pPr>
        <w:widowControl w:val="0"/>
        <w:spacing w:before="4" w:after="0" w:line="240" w:lineRule="auto"/>
        <w:ind w:left="90" w:hanging="18"/>
        <w:rPr>
          <w:rFonts w:ascii="Calibri" w:hAnsi="Calibri"/>
          <w:color w:val="231F20"/>
          <w:w w:val="105"/>
        </w:rPr>
      </w:pPr>
    </w:p>
    <w:p w14:paraId="2A8D7F44" w14:textId="77777777" w:rsidR="007026A7" w:rsidRPr="005E70F5" w:rsidRDefault="007026A7" w:rsidP="00D63204">
      <w:pPr>
        <w:pStyle w:val="ListParagraph"/>
        <w:widowControl w:val="0"/>
        <w:numPr>
          <w:ilvl w:val="0"/>
          <w:numId w:val="105"/>
        </w:numPr>
        <w:spacing w:before="4" w:after="0" w:line="240" w:lineRule="auto"/>
        <w:rPr>
          <w:rFonts w:ascii="Calibri" w:hAnsi="Calibri"/>
          <w:color w:val="231F20"/>
          <w:w w:val="105"/>
        </w:rPr>
      </w:pPr>
      <w:r w:rsidRPr="005E70F5">
        <w:rPr>
          <w:rFonts w:ascii="Calibri" w:hAnsi="Calibri"/>
          <w:color w:val="231F20"/>
          <w:w w:val="105"/>
        </w:rPr>
        <w:t>The Agency for Persons with Disabilities tries to "reduce the use of sheltered workshops and other noncompetitive employment day activities and promote opportunities for gainful employment for persons with developmental disabilities who choose to seek such employment," (Chapter 393, Florida Statutes). Additionally, "to promote independence and productivity, the agency shall provide support and services, within available resources, to assist customers enrolled in Medicaid waivers who choose to pursue gainful employment." If an individual is eligible for APD waiver services and employment is a needed service, then this service must be provided to meet standards as outlined in Florida rule.</w:t>
      </w:r>
    </w:p>
    <w:p w14:paraId="115812F2" w14:textId="77777777" w:rsidR="007026A7" w:rsidRPr="007026A7" w:rsidRDefault="007026A7" w:rsidP="00D63204">
      <w:pPr>
        <w:widowControl w:val="0"/>
        <w:spacing w:before="4" w:after="0" w:line="240" w:lineRule="auto"/>
        <w:ind w:left="90" w:hanging="18"/>
        <w:rPr>
          <w:rFonts w:ascii="Calibri" w:hAnsi="Calibri"/>
          <w:color w:val="231F20"/>
          <w:w w:val="105"/>
        </w:rPr>
      </w:pPr>
    </w:p>
    <w:p w14:paraId="7ADB8D13" w14:textId="77777777" w:rsidR="007026A7" w:rsidRPr="005E70F5" w:rsidRDefault="007026A7" w:rsidP="00D63204">
      <w:pPr>
        <w:pStyle w:val="ListParagraph"/>
        <w:widowControl w:val="0"/>
        <w:numPr>
          <w:ilvl w:val="0"/>
          <w:numId w:val="105"/>
        </w:numPr>
        <w:spacing w:before="4" w:after="0" w:line="240" w:lineRule="auto"/>
        <w:rPr>
          <w:rFonts w:ascii="Calibri" w:hAnsi="Calibri"/>
          <w:color w:val="231F20"/>
          <w:w w:val="105"/>
        </w:rPr>
      </w:pPr>
      <w:r w:rsidRPr="005E70F5">
        <w:rPr>
          <w:rFonts w:ascii="Calibri" w:hAnsi="Calibri"/>
          <w:color w:val="231F20"/>
          <w:w w:val="105"/>
        </w:rPr>
        <w:t>Children's Medical Services ensures a smooth and successful transition process to adult healthcare services and providers for youth and young adults with special healthcare needs.</w:t>
      </w:r>
    </w:p>
    <w:p w14:paraId="53C016D3" w14:textId="3DEE1B3A" w:rsidR="00240694" w:rsidRDefault="00240694">
      <w:pPr>
        <w:rPr>
          <w:rFonts w:ascii="Calibri" w:hAnsi="Calibri"/>
          <w:color w:val="231F20"/>
          <w:w w:val="105"/>
        </w:rPr>
      </w:pPr>
      <w:r>
        <w:rPr>
          <w:rFonts w:ascii="Calibri" w:hAnsi="Calibri"/>
          <w:color w:val="231F20"/>
          <w:w w:val="105"/>
        </w:rPr>
        <w:br w:type="page"/>
      </w:r>
    </w:p>
    <w:p w14:paraId="72974B38" w14:textId="77777777" w:rsidR="007026A7" w:rsidRPr="007026A7" w:rsidRDefault="007026A7" w:rsidP="00D63204">
      <w:pPr>
        <w:widowControl w:val="0"/>
        <w:spacing w:before="4" w:after="0" w:line="240" w:lineRule="auto"/>
        <w:ind w:left="90" w:hanging="18"/>
        <w:rPr>
          <w:rFonts w:ascii="Calibri" w:hAnsi="Calibri"/>
          <w:color w:val="231F20"/>
          <w:w w:val="105"/>
        </w:rPr>
      </w:pPr>
    </w:p>
    <w:p w14:paraId="0B387F7C" w14:textId="2E926150" w:rsidR="007026A7" w:rsidRPr="005E70F5" w:rsidRDefault="007026A7" w:rsidP="00D63204">
      <w:pPr>
        <w:pStyle w:val="ListParagraph"/>
        <w:widowControl w:val="0"/>
        <w:numPr>
          <w:ilvl w:val="0"/>
          <w:numId w:val="105"/>
        </w:numPr>
        <w:spacing w:before="4" w:after="0" w:line="240" w:lineRule="auto"/>
        <w:rPr>
          <w:rFonts w:ascii="Calibri" w:hAnsi="Calibri"/>
          <w:color w:val="231F20"/>
          <w:w w:val="105"/>
        </w:rPr>
      </w:pPr>
      <w:r w:rsidRPr="005E70F5">
        <w:rPr>
          <w:rFonts w:ascii="Calibri" w:hAnsi="Calibri"/>
          <w:color w:val="231F20"/>
          <w:w w:val="105"/>
        </w:rPr>
        <w:t>Mental Health Services, in partnership with families and the community, provides a system of care that enables children and adults with mental health or emotional disabilities to live successfully in the community, become self-sufficient or to attain self-sufficiency at adulthood</w:t>
      </w:r>
      <w:r w:rsidR="00D5537E">
        <w:rPr>
          <w:rFonts w:ascii="Calibri" w:hAnsi="Calibri"/>
          <w:color w:val="231F20"/>
          <w:w w:val="105"/>
        </w:rPr>
        <w:t xml:space="preserve"> and</w:t>
      </w:r>
      <w:r w:rsidRPr="005E70F5">
        <w:rPr>
          <w:rFonts w:ascii="Calibri" w:hAnsi="Calibri"/>
          <w:color w:val="231F20"/>
          <w:w w:val="105"/>
        </w:rPr>
        <w:t xml:space="preserve"> realize their full potential. Mental health support and services enable adults and transitioning students to participate in community activities such as employment and other valued community roles.</w:t>
      </w:r>
    </w:p>
    <w:p w14:paraId="117F81EE" w14:textId="77777777" w:rsidR="007026A7" w:rsidRPr="007026A7" w:rsidRDefault="007026A7" w:rsidP="00D63204">
      <w:pPr>
        <w:widowControl w:val="0"/>
        <w:spacing w:before="4" w:after="0" w:line="240" w:lineRule="auto"/>
        <w:ind w:left="90" w:hanging="18"/>
        <w:rPr>
          <w:rFonts w:ascii="Calibri" w:hAnsi="Calibri"/>
          <w:color w:val="231F20"/>
          <w:w w:val="105"/>
        </w:rPr>
      </w:pPr>
    </w:p>
    <w:p w14:paraId="63A83EAE" w14:textId="77777777" w:rsidR="007026A7" w:rsidRPr="005E70F5" w:rsidRDefault="007026A7" w:rsidP="00D63204">
      <w:pPr>
        <w:widowControl w:val="0"/>
        <w:spacing w:before="4" w:after="0" w:line="240" w:lineRule="auto"/>
        <w:ind w:left="90" w:hanging="18"/>
        <w:rPr>
          <w:rFonts w:ascii="Calibri" w:hAnsi="Calibri"/>
          <w:b/>
          <w:color w:val="231F20"/>
          <w:w w:val="105"/>
          <w:u w:val="single"/>
        </w:rPr>
      </w:pPr>
      <w:r w:rsidRPr="005E70F5">
        <w:rPr>
          <w:rFonts w:ascii="Calibri" w:hAnsi="Calibri"/>
          <w:b/>
          <w:color w:val="231F20"/>
          <w:w w:val="105"/>
          <w:u w:val="single"/>
        </w:rPr>
        <w:t xml:space="preserve">Specific Purpose </w:t>
      </w:r>
    </w:p>
    <w:p w14:paraId="48799465" w14:textId="312C4639" w:rsidR="007026A7" w:rsidRDefault="007026A7" w:rsidP="00D63204">
      <w:pPr>
        <w:widowControl w:val="0"/>
        <w:spacing w:before="4" w:after="0" w:line="240" w:lineRule="auto"/>
        <w:ind w:left="90" w:hanging="18"/>
        <w:rPr>
          <w:rFonts w:ascii="Calibri" w:hAnsi="Calibri"/>
          <w:color w:val="231F20"/>
          <w:w w:val="105"/>
        </w:rPr>
      </w:pPr>
      <w:r w:rsidRPr="007026A7">
        <w:rPr>
          <w:rFonts w:ascii="Calibri" w:hAnsi="Calibri"/>
          <w:color w:val="231F20"/>
          <w:w w:val="105"/>
        </w:rPr>
        <w:t>Specific intent of the interagency agreement is to:</w:t>
      </w:r>
    </w:p>
    <w:p w14:paraId="0A8ED5FF" w14:textId="77777777" w:rsidR="005E70F5" w:rsidRPr="007026A7" w:rsidRDefault="005E70F5" w:rsidP="00D63204">
      <w:pPr>
        <w:widowControl w:val="0"/>
        <w:spacing w:before="4" w:after="0" w:line="240" w:lineRule="auto"/>
        <w:ind w:left="90" w:hanging="18"/>
        <w:rPr>
          <w:rFonts w:ascii="Calibri" w:hAnsi="Calibri"/>
          <w:color w:val="231F20"/>
          <w:w w:val="105"/>
        </w:rPr>
      </w:pPr>
    </w:p>
    <w:p w14:paraId="7B3EB1D7" w14:textId="40ABF58E" w:rsidR="007026A7" w:rsidRPr="005E70F5" w:rsidRDefault="007026A7" w:rsidP="00D63204">
      <w:pPr>
        <w:pStyle w:val="ListParagraph"/>
        <w:widowControl w:val="0"/>
        <w:numPr>
          <w:ilvl w:val="0"/>
          <w:numId w:val="106"/>
        </w:numPr>
        <w:spacing w:before="4" w:after="0" w:line="240" w:lineRule="auto"/>
        <w:rPr>
          <w:rFonts w:ascii="Calibri" w:hAnsi="Calibri"/>
          <w:color w:val="231F20"/>
          <w:w w:val="105"/>
        </w:rPr>
      </w:pPr>
      <w:r w:rsidRPr="005E70F5">
        <w:rPr>
          <w:rFonts w:ascii="Calibri" w:hAnsi="Calibri"/>
          <w:color w:val="231F20"/>
          <w:w w:val="105"/>
        </w:rPr>
        <w:t>Provide guidance to the local education agencies, VR, FDBS, APD, Children's Medical Services</w:t>
      </w:r>
      <w:r w:rsidR="00D5537E">
        <w:rPr>
          <w:rFonts w:ascii="Calibri" w:hAnsi="Calibri"/>
          <w:color w:val="231F20"/>
          <w:w w:val="105"/>
        </w:rPr>
        <w:t xml:space="preserve"> and</w:t>
      </w:r>
      <w:r w:rsidRPr="005E70F5">
        <w:rPr>
          <w:rFonts w:ascii="Calibri" w:hAnsi="Calibri"/>
          <w:color w:val="231F20"/>
          <w:w w:val="105"/>
        </w:rPr>
        <w:t xml:space="preserve"> Mental Health Services' front-line employees, when serving students transitioning from school to work or postsecondary activities.</w:t>
      </w:r>
    </w:p>
    <w:p w14:paraId="2F398C6D" w14:textId="77777777" w:rsidR="007026A7" w:rsidRPr="007026A7" w:rsidRDefault="007026A7" w:rsidP="00D63204">
      <w:pPr>
        <w:widowControl w:val="0"/>
        <w:spacing w:before="4" w:after="0" w:line="240" w:lineRule="auto"/>
        <w:ind w:left="90" w:hanging="18"/>
        <w:rPr>
          <w:rFonts w:ascii="Calibri" w:hAnsi="Calibri"/>
          <w:color w:val="231F20"/>
          <w:w w:val="105"/>
        </w:rPr>
      </w:pPr>
    </w:p>
    <w:p w14:paraId="4DCD0D3C" w14:textId="1FF82AF8" w:rsidR="007026A7" w:rsidRPr="005E70F5" w:rsidRDefault="007026A7" w:rsidP="00D63204">
      <w:pPr>
        <w:pStyle w:val="ListParagraph"/>
        <w:widowControl w:val="0"/>
        <w:numPr>
          <w:ilvl w:val="0"/>
          <w:numId w:val="106"/>
        </w:numPr>
        <w:spacing w:before="4" w:after="0" w:line="240" w:lineRule="auto"/>
        <w:rPr>
          <w:rFonts w:ascii="Calibri" w:hAnsi="Calibri"/>
          <w:color w:val="231F20"/>
          <w:w w:val="105"/>
        </w:rPr>
      </w:pPr>
      <w:r w:rsidRPr="005E70F5">
        <w:rPr>
          <w:rFonts w:ascii="Calibri" w:hAnsi="Calibri"/>
          <w:color w:val="231F20"/>
          <w:w w:val="105"/>
        </w:rPr>
        <w:t>Provide information to parents/students so they know what they can expect from the local education agencies, VR, FDBS, APD, Children's Medical Services</w:t>
      </w:r>
      <w:r w:rsidR="00D5537E">
        <w:rPr>
          <w:rFonts w:ascii="Calibri" w:hAnsi="Calibri"/>
          <w:color w:val="231F20"/>
          <w:w w:val="105"/>
        </w:rPr>
        <w:t xml:space="preserve"> and</w:t>
      </w:r>
      <w:r w:rsidRPr="005E70F5">
        <w:rPr>
          <w:rFonts w:ascii="Calibri" w:hAnsi="Calibri"/>
          <w:color w:val="231F20"/>
          <w:w w:val="105"/>
        </w:rPr>
        <w:t xml:space="preserve"> Mental Health Services during the transition process.</w:t>
      </w:r>
    </w:p>
    <w:p w14:paraId="4E819641" w14:textId="77777777" w:rsidR="007026A7" w:rsidRPr="007026A7" w:rsidRDefault="007026A7" w:rsidP="00D63204">
      <w:pPr>
        <w:widowControl w:val="0"/>
        <w:spacing w:before="4" w:after="0" w:line="240" w:lineRule="auto"/>
        <w:ind w:left="90" w:hanging="18"/>
        <w:rPr>
          <w:rFonts w:ascii="Calibri" w:hAnsi="Calibri"/>
          <w:color w:val="231F20"/>
          <w:w w:val="105"/>
        </w:rPr>
      </w:pPr>
    </w:p>
    <w:p w14:paraId="5C6E2530" w14:textId="0CC034FF" w:rsidR="007026A7" w:rsidRPr="005E70F5" w:rsidRDefault="007026A7" w:rsidP="00D63204">
      <w:pPr>
        <w:pStyle w:val="ListParagraph"/>
        <w:widowControl w:val="0"/>
        <w:numPr>
          <w:ilvl w:val="0"/>
          <w:numId w:val="106"/>
        </w:numPr>
        <w:spacing w:before="4" w:after="0" w:line="240" w:lineRule="auto"/>
        <w:rPr>
          <w:rFonts w:ascii="Calibri" w:hAnsi="Calibri"/>
          <w:color w:val="231F20"/>
          <w:w w:val="105"/>
        </w:rPr>
      </w:pPr>
      <w:r w:rsidRPr="005E70F5">
        <w:rPr>
          <w:rFonts w:ascii="Calibri" w:hAnsi="Calibri"/>
          <w:color w:val="231F20"/>
          <w:w w:val="105"/>
        </w:rPr>
        <w:t>Provide parameters to the local education agencies, VR, FDBS, APD, Children's Medical Services</w:t>
      </w:r>
      <w:r w:rsidR="00D5537E">
        <w:rPr>
          <w:rFonts w:ascii="Calibri" w:hAnsi="Calibri"/>
          <w:color w:val="231F20"/>
          <w:w w:val="105"/>
        </w:rPr>
        <w:t xml:space="preserve"> and</w:t>
      </w:r>
      <w:r w:rsidRPr="005E70F5">
        <w:rPr>
          <w:rFonts w:ascii="Calibri" w:hAnsi="Calibri"/>
          <w:color w:val="231F20"/>
          <w:w w:val="105"/>
        </w:rPr>
        <w:t xml:space="preserve"> Mental Health Services' administrators/managers/nursing supervisors when developing, negotiating</w:t>
      </w:r>
      <w:r w:rsidR="00D5537E">
        <w:rPr>
          <w:rFonts w:ascii="Calibri" w:hAnsi="Calibri"/>
          <w:color w:val="231F20"/>
          <w:w w:val="105"/>
        </w:rPr>
        <w:t xml:space="preserve"> and</w:t>
      </w:r>
      <w:r w:rsidRPr="005E70F5">
        <w:rPr>
          <w:rFonts w:ascii="Calibri" w:hAnsi="Calibri"/>
          <w:color w:val="231F20"/>
          <w:w w:val="105"/>
        </w:rPr>
        <w:t xml:space="preserve"> implementing local cooperative agreements.</w:t>
      </w:r>
    </w:p>
    <w:p w14:paraId="089579A8" w14:textId="77777777" w:rsidR="007026A7" w:rsidRPr="007026A7" w:rsidRDefault="007026A7" w:rsidP="00D63204">
      <w:pPr>
        <w:widowControl w:val="0"/>
        <w:spacing w:before="4" w:after="0" w:line="240" w:lineRule="auto"/>
        <w:ind w:left="90" w:hanging="18"/>
        <w:rPr>
          <w:rFonts w:ascii="Calibri" w:hAnsi="Calibri"/>
          <w:color w:val="231F20"/>
          <w:w w:val="105"/>
        </w:rPr>
      </w:pPr>
    </w:p>
    <w:p w14:paraId="6968E5FD" w14:textId="44BDC6D8" w:rsidR="007026A7" w:rsidRPr="005E70F5" w:rsidRDefault="007026A7" w:rsidP="00D63204">
      <w:pPr>
        <w:pStyle w:val="ListParagraph"/>
        <w:widowControl w:val="0"/>
        <w:numPr>
          <w:ilvl w:val="0"/>
          <w:numId w:val="106"/>
        </w:numPr>
        <w:spacing w:before="4" w:after="0" w:line="240" w:lineRule="auto"/>
        <w:rPr>
          <w:rFonts w:ascii="Calibri" w:hAnsi="Calibri"/>
          <w:color w:val="231F20"/>
          <w:w w:val="105"/>
        </w:rPr>
      </w:pPr>
      <w:r w:rsidRPr="005E70F5">
        <w:rPr>
          <w:rFonts w:ascii="Calibri" w:hAnsi="Calibri"/>
          <w:color w:val="231F20"/>
          <w:w w:val="105"/>
        </w:rPr>
        <w:t>Encourage and support the participation of all agency personnel in the IEP process at the local level through the development of guidelines, policies</w:t>
      </w:r>
      <w:r w:rsidR="00D5537E">
        <w:rPr>
          <w:rFonts w:ascii="Calibri" w:hAnsi="Calibri"/>
          <w:color w:val="231F20"/>
          <w:w w:val="105"/>
        </w:rPr>
        <w:t xml:space="preserve"> and</w:t>
      </w:r>
      <w:r w:rsidRPr="005E70F5">
        <w:rPr>
          <w:rFonts w:ascii="Calibri" w:hAnsi="Calibri"/>
          <w:color w:val="231F20"/>
          <w:w w:val="105"/>
        </w:rPr>
        <w:t>/or procedures.</w:t>
      </w:r>
    </w:p>
    <w:p w14:paraId="784C1172" w14:textId="77777777" w:rsidR="007026A7" w:rsidRPr="007026A7" w:rsidRDefault="007026A7" w:rsidP="00D63204">
      <w:pPr>
        <w:widowControl w:val="0"/>
        <w:spacing w:before="4" w:after="0" w:line="240" w:lineRule="auto"/>
        <w:ind w:left="90" w:hanging="18"/>
        <w:rPr>
          <w:rFonts w:ascii="Calibri" w:hAnsi="Calibri"/>
          <w:color w:val="231F20"/>
          <w:w w:val="105"/>
        </w:rPr>
      </w:pPr>
    </w:p>
    <w:p w14:paraId="194629E5" w14:textId="77777777" w:rsidR="007026A7" w:rsidRPr="005E70F5" w:rsidRDefault="007026A7" w:rsidP="00D63204">
      <w:pPr>
        <w:widowControl w:val="0"/>
        <w:spacing w:before="4" w:after="0" w:line="240" w:lineRule="auto"/>
        <w:ind w:left="90" w:hanging="18"/>
        <w:rPr>
          <w:rFonts w:ascii="Calibri" w:hAnsi="Calibri"/>
          <w:b/>
          <w:color w:val="231F20"/>
          <w:w w:val="105"/>
          <w:u w:val="single"/>
        </w:rPr>
      </w:pPr>
      <w:r w:rsidRPr="005E70F5">
        <w:rPr>
          <w:rFonts w:ascii="Calibri" w:hAnsi="Calibri"/>
          <w:b/>
          <w:color w:val="231F20"/>
          <w:w w:val="105"/>
          <w:u w:val="single"/>
        </w:rPr>
        <w:t>Financial Responsibilities</w:t>
      </w:r>
    </w:p>
    <w:p w14:paraId="33C1E3D3" w14:textId="3F822CC1" w:rsidR="007026A7" w:rsidRPr="007026A7" w:rsidRDefault="007026A7" w:rsidP="00D63204">
      <w:pPr>
        <w:widowControl w:val="0"/>
        <w:spacing w:before="4" w:after="0" w:line="240" w:lineRule="auto"/>
        <w:ind w:left="90" w:hanging="18"/>
        <w:rPr>
          <w:rFonts w:ascii="Calibri" w:hAnsi="Calibri"/>
          <w:color w:val="231F20"/>
          <w:w w:val="105"/>
        </w:rPr>
      </w:pPr>
      <w:r w:rsidRPr="007026A7">
        <w:rPr>
          <w:rFonts w:ascii="Calibri" w:hAnsi="Calibri"/>
          <w:color w:val="231F20"/>
          <w:w w:val="105"/>
        </w:rPr>
        <w:t>The Department of Education, VR, FDBS, APD, Children's Medical Services</w:t>
      </w:r>
      <w:r w:rsidR="00D5537E">
        <w:rPr>
          <w:rFonts w:ascii="Calibri" w:hAnsi="Calibri"/>
          <w:color w:val="231F20"/>
          <w:w w:val="105"/>
        </w:rPr>
        <w:t xml:space="preserve"> and</w:t>
      </w:r>
      <w:r w:rsidRPr="007026A7">
        <w:rPr>
          <w:rFonts w:ascii="Calibri" w:hAnsi="Calibri"/>
          <w:color w:val="231F20"/>
          <w:w w:val="105"/>
        </w:rPr>
        <w:t xml:space="preserve"> Mental Health Services are committed to meeting financial responsibilities as required by law. Agency/Division heads for the organizations will periodically identify areas for improved programmatic and financial efficiencies and develop strategies to meet financial responsibilities, including joint appropriations requests from the state legislature and negotiations with federal agencies. Each party is financially responsible for the services it provides under its own laws and rules.</w:t>
      </w:r>
    </w:p>
    <w:p w14:paraId="304DE0E2" w14:textId="77777777" w:rsidR="007026A7" w:rsidRPr="007026A7" w:rsidRDefault="007026A7" w:rsidP="00D63204">
      <w:pPr>
        <w:widowControl w:val="0"/>
        <w:spacing w:before="4" w:after="0" w:line="240" w:lineRule="auto"/>
        <w:ind w:left="90" w:hanging="18"/>
        <w:rPr>
          <w:rFonts w:ascii="Calibri" w:hAnsi="Calibri"/>
          <w:color w:val="231F20"/>
          <w:w w:val="105"/>
        </w:rPr>
      </w:pPr>
    </w:p>
    <w:p w14:paraId="36B8FFAA" w14:textId="77777777" w:rsidR="007026A7" w:rsidRPr="005E70F5" w:rsidRDefault="007026A7" w:rsidP="00D63204">
      <w:pPr>
        <w:widowControl w:val="0"/>
        <w:spacing w:before="4" w:after="0" w:line="240" w:lineRule="auto"/>
        <w:ind w:left="90" w:hanging="18"/>
        <w:rPr>
          <w:rFonts w:ascii="Calibri" w:hAnsi="Calibri"/>
          <w:b/>
          <w:color w:val="231F20"/>
          <w:w w:val="105"/>
          <w:u w:val="single"/>
        </w:rPr>
      </w:pPr>
      <w:r w:rsidRPr="005E70F5">
        <w:rPr>
          <w:rFonts w:ascii="Calibri" w:hAnsi="Calibri"/>
          <w:b/>
          <w:color w:val="231F20"/>
          <w:w w:val="105"/>
          <w:u w:val="single"/>
        </w:rPr>
        <w:t>Conditions and Terms of Reimbursement</w:t>
      </w:r>
    </w:p>
    <w:p w14:paraId="7234F41F" w14:textId="544173E4" w:rsidR="007026A7" w:rsidRPr="007026A7" w:rsidRDefault="007026A7" w:rsidP="00D63204">
      <w:pPr>
        <w:widowControl w:val="0"/>
        <w:spacing w:before="4" w:after="0" w:line="240" w:lineRule="auto"/>
        <w:ind w:left="90" w:hanging="18"/>
        <w:rPr>
          <w:rFonts w:ascii="Calibri" w:hAnsi="Calibri"/>
          <w:color w:val="231F20"/>
          <w:w w:val="105"/>
        </w:rPr>
      </w:pPr>
      <w:r w:rsidRPr="007026A7">
        <w:rPr>
          <w:rFonts w:ascii="Calibri" w:hAnsi="Calibri"/>
          <w:color w:val="231F20"/>
          <w:w w:val="105"/>
        </w:rPr>
        <w:t xml:space="preserve">If a non-education agency fails to provide or pay for services for which they are </w:t>
      </w:r>
      <w:r w:rsidR="001C34CC" w:rsidRPr="007026A7">
        <w:rPr>
          <w:rFonts w:ascii="Calibri" w:hAnsi="Calibri"/>
          <w:color w:val="231F20"/>
          <w:w w:val="105"/>
        </w:rPr>
        <w:t>responsible,</w:t>
      </w:r>
      <w:r w:rsidR="00D5537E">
        <w:rPr>
          <w:rFonts w:ascii="Calibri" w:hAnsi="Calibri"/>
          <w:color w:val="231F20"/>
          <w:w w:val="105"/>
        </w:rPr>
        <w:t xml:space="preserve"> and</w:t>
      </w:r>
      <w:r w:rsidRPr="007026A7">
        <w:rPr>
          <w:rFonts w:ascii="Calibri" w:hAnsi="Calibri"/>
          <w:color w:val="231F20"/>
          <w:w w:val="105"/>
        </w:rPr>
        <w:t xml:space="preserve"> which are</w:t>
      </w:r>
      <w:r w:rsidR="00DC1809">
        <w:rPr>
          <w:rFonts w:ascii="Calibri" w:hAnsi="Calibri"/>
          <w:color w:val="231F20"/>
          <w:w w:val="105"/>
        </w:rPr>
        <w:t xml:space="preserve"> also</w:t>
      </w:r>
      <w:r w:rsidRPr="007026A7">
        <w:rPr>
          <w:rFonts w:ascii="Calibri" w:hAnsi="Calibri"/>
          <w:color w:val="231F20"/>
          <w:w w:val="105"/>
        </w:rPr>
        <w:t xml:space="preserve"> considered special education and related services, the local education agency (or state agency responsible for developing the student's IEP) shall provide or pay for these services to the student in a timely manner. The local education agency or state agency may then claim reimbursement for the services from the non-education agency that was responsible for the provision of the services and failed to provide or pay for these services</w:t>
      </w:r>
      <w:r w:rsidR="00D5537E">
        <w:rPr>
          <w:rFonts w:ascii="Calibri" w:hAnsi="Calibri"/>
          <w:color w:val="231F20"/>
          <w:w w:val="105"/>
        </w:rPr>
        <w:t xml:space="preserve"> and</w:t>
      </w:r>
      <w:r w:rsidRPr="007026A7">
        <w:rPr>
          <w:rFonts w:ascii="Calibri" w:hAnsi="Calibri"/>
          <w:color w:val="231F20"/>
          <w:w w:val="105"/>
        </w:rPr>
        <w:t xml:space="preserve"> that agency shall reimburse the local education agency or state agency in accordance with the terms of this agreement.</w:t>
      </w:r>
    </w:p>
    <w:p w14:paraId="74864185" w14:textId="77777777" w:rsidR="007026A7" w:rsidRPr="007026A7" w:rsidRDefault="007026A7" w:rsidP="00D63204">
      <w:pPr>
        <w:widowControl w:val="0"/>
        <w:spacing w:before="4" w:after="0" w:line="240" w:lineRule="auto"/>
        <w:ind w:left="90" w:hanging="18"/>
        <w:rPr>
          <w:rFonts w:ascii="Calibri" w:hAnsi="Calibri"/>
          <w:color w:val="231F20"/>
          <w:w w:val="105"/>
        </w:rPr>
      </w:pPr>
    </w:p>
    <w:p w14:paraId="5D8C79AF" w14:textId="77777777" w:rsidR="007026A7" w:rsidRPr="005E70F5" w:rsidRDefault="007026A7" w:rsidP="00D63204">
      <w:pPr>
        <w:widowControl w:val="0"/>
        <w:spacing w:before="4" w:after="0" w:line="240" w:lineRule="auto"/>
        <w:ind w:left="90" w:hanging="18"/>
        <w:rPr>
          <w:rFonts w:ascii="Calibri" w:hAnsi="Calibri"/>
          <w:b/>
          <w:color w:val="231F20"/>
          <w:w w:val="105"/>
          <w:u w:val="single"/>
        </w:rPr>
      </w:pPr>
      <w:r w:rsidRPr="005E70F5">
        <w:rPr>
          <w:rFonts w:ascii="Calibri" w:hAnsi="Calibri"/>
          <w:b/>
          <w:color w:val="231F20"/>
          <w:w w:val="105"/>
          <w:u w:val="single"/>
        </w:rPr>
        <w:t>Procedures for Outreach to and Identification of Students with Disabilities who need Transition Services</w:t>
      </w:r>
    </w:p>
    <w:p w14:paraId="6863EE45" w14:textId="77777777" w:rsidR="005E70F5" w:rsidRDefault="005E70F5" w:rsidP="00D63204">
      <w:pPr>
        <w:widowControl w:val="0"/>
        <w:spacing w:before="4" w:after="0" w:line="240" w:lineRule="auto"/>
        <w:ind w:left="90" w:hanging="18"/>
        <w:rPr>
          <w:rFonts w:ascii="Calibri" w:hAnsi="Calibri"/>
          <w:color w:val="231F20"/>
          <w:w w:val="105"/>
        </w:rPr>
      </w:pPr>
    </w:p>
    <w:p w14:paraId="71251DD7" w14:textId="07B290A6" w:rsidR="007026A7" w:rsidRPr="005E70F5" w:rsidRDefault="007026A7" w:rsidP="00D63204">
      <w:pPr>
        <w:widowControl w:val="0"/>
        <w:spacing w:before="4" w:after="0" w:line="240" w:lineRule="auto"/>
        <w:ind w:left="90" w:hanging="18"/>
        <w:rPr>
          <w:rFonts w:ascii="Calibri" w:hAnsi="Calibri"/>
          <w:color w:val="231F20"/>
          <w:w w:val="105"/>
          <w:u w:val="single"/>
        </w:rPr>
      </w:pPr>
      <w:r w:rsidRPr="005E70F5">
        <w:rPr>
          <w:rFonts w:ascii="Calibri" w:hAnsi="Calibri"/>
          <w:color w:val="231F20"/>
          <w:w w:val="105"/>
          <w:u w:val="single"/>
        </w:rPr>
        <w:t>Outreach and Identification of Students</w:t>
      </w:r>
    </w:p>
    <w:p w14:paraId="37F6B731" w14:textId="6A6A97DF" w:rsidR="007026A7" w:rsidRPr="007026A7" w:rsidRDefault="007026A7" w:rsidP="00D63204">
      <w:pPr>
        <w:widowControl w:val="0"/>
        <w:spacing w:before="4" w:after="0" w:line="240" w:lineRule="auto"/>
        <w:ind w:left="90" w:hanging="18"/>
        <w:rPr>
          <w:rFonts w:ascii="Calibri" w:hAnsi="Calibri"/>
          <w:color w:val="231F20"/>
          <w:w w:val="105"/>
        </w:rPr>
      </w:pPr>
      <w:r w:rsidRPr="007026A7">
        <w:rPr>
          <w:rFonts w:ascii="Calibri" w:hAnsi="Calibri"/>
          <w:color w:val="231F20"/>
          <w:w w:val="105"/>
        </w:rPr>
        <w:t>Local education agencies are strongly encouraged to enter into written agreements with VR, FDBS, APD, Children's Medical Services</w:t>
      </w:r>
      <w:r w:rsidR="00D5537E">
        <w:rPr>
          <w:rFonts w:ascii="Calibri" w:hAnsi="Calibri"/>
          <w:color w:val="231F20"/>
          <w:w w:val="105"/>
        </w:rPr>
        <w:t xml:space="preserve"> and</w:t>
      </w:r>
      <w:r w:rsidRPr="007026A7">
        <w:rPr>
          <w:rFonts w:ascii="Calibri" w:hAnsi="Calibri"/>
          <w:color w:val="231F20"/>
          <w:w w:val="105"/>
        </w:rPr>
        <w:t xml:space="preserve"> Mental Health Services employees, on the outreach methods used to inform </w:t>
      </w:r>
      <w:r w:rsidRPr="007026A7">
        <w:rPr>
          <w:rFonts w:ascii="Calibri" w:hAnsi="Calibri"/>
          <w:color w:val="231F20"/>
          <w:w w:val="105"/>
        </w:rPr>
        <w:lastRenderedPageBreak/>
        <w:t>students with disabilities who may need</w:t>
      </w:r>
      <w:r w:rsidR="00D5537E">
        <w:rPr>
          <w:rFonts w:ascii="Calibri" w:hAnsi="Calibri"/>
          <w:color w:val="231F20"/>
          <w:w w:val="105"/>
        </w:rPr>
        <w:t xml:space="preserve"> and</w:t>
      </w:r>
      <w:r w:rsidRPr="007026A7">
        <w:rPr>
          <w:rFonts w:ascii="Calibri" w:hAnsi="Calibri"/>
          <w:color w:val="231F20"/>
          <w:w w:val="105"/>
        </w:rPr>
        <w:t xml:space="preserve"> could benefit from these agencies.</w:t>
      </w:r>
    </w:p>
    <w:p w14:paraId="0EDEB6D5" w14:textId="77777777" w:rsidR="007026A7" w:rsidRPr="007026A7" w:rsidRDefault="007026A7" w:rsidP="00D63204">
      <w:pPr>
        <w:widowControl w:val="0"/>
        <w:spacing w:before="4" w:after="0" w:line="240" w:lineRule="auto"/>
        <w:ind w:left="90" w:hanging="18"/>
        <w:rPr>
          <w:rFonts w:ascii="Calibri" w:hAnsi="Calibri"/>
          <w:color w:val="231F20"/>
          <w:w w:val="105"/>
        </w:rPr>
      </w:pPr>
    </w:p>
    <w:p w14:paraId="1118CFAA" w14:textId="443F3D56" w:rsidR="007026A7" w:rsidRPr="007026A7" w:rsidRDefault="007026A7" w:rsidP="00D63204">
      <w:pPr>
        <w:widowControl w:val="0"/>
        <w:spacing w:before="4" w:after="0" w:line="240" w:lineRule="auto"/>
        <w:ind w:left="90" w:hanging="18"/>
        <w:rPr>
          <w:rFonts w:ascii="Calibri" w:hAnsi="Calibri"/>
          <w:color w:val="231F20"/>
          <w:w w:val="105"/>
        </w:rPr>
      </w:pPr>
      <w:r w:rsidRPr="007026A7">
        <w:rPr>
          <w:rFonts w:ascii="Calibri" w:hAnsi="Calibri"/>
          <w:color w:val="231F20"/>
          <w:w w:val="105"/>
        </w:rPr>
        <w:t>Brochures, flyers, website resources, presentations, transition fairs, or informational letters are available to the local education agency, students</w:t>
      </w:r>
      <w:r w:rsidR="00D5537E">
        <w:rPr>
          <w:rFonts w:ascii="Calibri" w:hAnsi="Calibri"/>
          <w:color w:val="231F20"/>
          <w:w w:val="105"/>
        </w:rPr>
        <w:t xml:space="preserve"> and</w:t>
      </w:r>
      <w:r w:rsidRPr="007026A7">
        <w:rPr>
          <w:rFonts w:ascii="Calibri" w:hAnsi="Calibri"/>
          <w:color w:val="231F20"/>
          <w:w w:val="105"/>
        </w:rPr>
        <w:t xml:space="preserve"> their parents or guardians, to explain the role that VR and other agencies play in the transition process</w:t>
      </w:r>
      <w:r w:rsidR="00D5537E">
        <w:rPr>
          <w:rFonts w:ascii="Calibri" w:hAnsi="Calibri"/>
          <w:color w:val="231F20"/>
          <w:w w:val="105"/>
        </w:rPr>
        <w:t xml:space="preserve"> and</w:t>
      </w:r>
      <w:r w:rsidRPr="007026A7">
        <w:rPr>
          <w:rFonts w:ascii="Calibri" w:hAnsi="Calibri"/>
          <w:color w:val="231F20"/>
          <w:w w:val="105"/>
        </w:rPr>
        <w:t xml:space="preserve"> the agencies' referral/application policies and procedures.</w:t>
      </w:r>
    </w:p>
    <w:p w14:paraId="7FE36EC4" w14:textId="77777777" w:rsidR="007026A7" w:rsidRPr="007026A7" w:rsidRDefault="007026A7" w:rsidP="00D63204">
      <w:pPr>
        <w:widowControl w:val="0"/>
        <w:spacing w:before="4" w:after="0" w:line="240" w:lineRule="auto"/>
        <w:ind w:left="90" w:hanging="18"/>
        <w:rPr>
          <w:rFonts w:ascii="Calibri" w:hAnsi="Calibri"/>
          <w:color w:val="231F20"/>
          <w:w w:val="105"/>
        </w:rPr>
      </w:pPr>
    </w:p>
    <w:p w14:paraId="531D5661" w14:textId="3F088F2B" w:rsidR="007026A7" w:rsidRPr="007026A7" w:rsidRDefault="007026A7" w:rsidP="00D63204">
      <w:pPr>
        <w:widowControl w:val="0"/>
        <w:spacing w:before="4" w:after="0" w:line="240" w:lineRule="auto"/>
        <w:ind w:left="90" w:hanging="18"/>
        <w:rPr>
          <w:rFonts w:ascii="Calibri" w:hAnsi="Calibri"/>
          <w:color w:val="231F20"/>
          <w:w w:val="105"/>
        </w:rPr>
      </w:pPr>
      <w:r w:rsidRPr="007026A7">
        <w:rPr>
          <w:rFonts w:ascii="Calibri" w:hAnsi="Calibri"/>
          <w:color w:val="231F20"/>
          <w:w w:val="105"/>
        </w:rPr>
        <w:t xml:space="preserve">VR has executed 25 Third Party Cooperative Arrangements (TPCA) for SFY 2017-18. The goal of these arrangements is to create new or expand existing transition services with a vocational rehabilitation focus. The costs are shared between the agencies. </w:t>
      </w:r>
      <w:r w:rsidR="001C34CC" w:rsidRPr="007026A7">
        <w:rPr>
          <w:rFonts w:ascii="Calibri" w:hAnsi="Calibri"/>
          <w:color w:val="231F20"/>
          <w:w w:val="105"/>
        </w:rPr>
        <w:t>For</w:t>
      </w:r>
      <w:r w:rsidRPr="007026A7">
        <w:rPr>
          <w:rFonts w:ascii="Calibri" w:hAnsi="Calibri"/>
          <w:color w:val="231F20"/>
          <w:w w:val="105"/>
        </w:rPr>
        <w:t xml:space="preserve"> the cooperating agency to receive matching vocational rehabilitation dollars, it must provide a cash match of non-federal funds. Recipients of the TPCA began providing job coaching to eligible students with a Supported Employment IPE in SFY 2011. In SFY 2014, TPCA were redesigned to serve only those students with the most significant disabilities who require Supported Employment services to become employed. </w:t>
      </w:r>
    </w:p>
    <w:p w14:paraId="2787A6C6" w14:textId="77777777" w:rsidR="007026A7" w:rsidRPr="007026A7" w:rsidRDefault="007026A7" w:rsidP="00D63204">
      <w:pPr>
        <w:widowControl w:val="0"/>
        <w:spacing w:before="4" w:after="0" w:line="240" w:lineRule="auto"/>
        <w:ind w:left="90" w:hanging="18"/>
        <w:rPr>
          <w:rFonts w:ascii="Calibri" w:hAnsi="Calibri"/>
          <w:color w:val="231F20"/>
          <w:w w:val="105"/>
        </w:rPr>
      </w:pPr>
    </w:p>
    <w:p w14:paraId="1A15C41D" w14:textId="02DBACF5" w:rsidR="007026A7" w:rsidRPr="007026A7" w:rsidRDefault="007026A7" w:rsidP="00D63204">
      <w:pPr>
        <w:widowControl w:val="0"/>
        <w:spacing w:before="4" w:after="0" w:line="240" w:lineRule="auto"/>
        <w:ind w:left="90" w:hanging="18"/>
        <w:rPr>
          <w:rFonts w:ascii="Calibri" w:hAnsi="Calibri"/>
          <w:color w:val="231F20"/>
          <w:w w:val="105"/>
        </w:rPr>
      </w:pPr>
      <w:r w:rsidRPr="007026A7">
        <w:rPr>
          <w:rFonts w:ascii="Calibri" w:hAnsi="Calibri"/>
          <w:color w:val="231F20"/>
          <w:w w:val="105"/>
        </w:rPr>
        <w:t xml:space="preserve">The current arrangements will expire on June 30, 2018. VR is in the process of revising the contractual agreement it offers to school districts, but new contracts have not been developed yet. Once developed, if the contract changes the way VR delivers Transition services, the </w:t>
      </w:r>
      <w:r w:rsidR="00D226F4">
        <w:rPr>
          <w:rFonts w:ascii="Calibri" w:hAnsi="Calibri"/>
          <w:color w:val="231F20"/>
          <w:w w:val="105"/>
        </w:rPr>
        <w:t>s</w:t>
      </w:r>
      <w:r w:rsidRPr="007026A7">
        <w:rPr>
          <w:rFonts w:ascii="Calibri" w:hAnsi="Calibri"/>
          <w:color w:val="231F20"/>
          <w:w w:val="105"/>
        </w:rPr>
        <w:t xml:space="preserve">tate </w:t>
      </w:r>
      <w:r w:rsidR="00D226F4">
        <w:rPr>
          <w:rFonts w:ascii="Calibri" w:hAnsi="Calibri"/>
          <w:color w:val="231F20"/>
          <w:w w:val="105"/>
        </w:rPr>
        <w:t>p</w:t>
      </w:r>
      <w:r w:rsidRPr="007026A7">
        <w:rPr>
          <w:rFonts w:ascii="Calibri" w:hAnsi="Calibri"/>
          <w:color w:val="231F20"/>
          <w:w w:val="105"/>
        </w:rPr>
        <w:t>lan will be amended accordingly.</w:t>
      </w:r>
    </w:p>
    <w:p w14:paraId="2D420E9B" w14:textId="77777777" w:rsidR="00EA7458" w:rsidRPr="00493CD4" w:rsidRDefault="00EA7458" w:rsidP="00D63204">
      <w:pPr>
        <w:widowControl w:val="0"/>
        <w:spacing w:before="4" w:after="0" w:line="240" w:lineRule="auto"/>
        <w:ind w:left="90" w:hanging="18"/>
        <w:rPr>
          <w:rFonts w:ascii="Calibri" w:hAnsi="Calibri" w:cs="Calibri"/>
          <w:color w:val="1F497D" w:themeColor="text2"/>
          <w:sz w:val="17"/>
          <w:szCs w:val="17"/>
        </w:rPr>
      </w:pPr>
    </w:p>
    <w:p w14:paraId="5A3720DB" w14:textId="130EA780" w:rsidR="00EA7458" w:rsidRPr="00493CD4" w:rsidRDefault="005E70F5" w:rsidP="00D63204">
      <w:pPr>
        <w:widowControl w:val="0"/>
        <w:numPr>
          <w:ilvl w:val="0"/>
          <w:numId w:val="49"/>
        </w:numPr>
        <w:tabs>
          <w:tab w:val="left" w:pos="828"/>
        </w:tabs>
        <w:spacing w:after="0" w:line="240" w:lineRule="auto"/>
        <w:outlineLvl w:val="1"/>
        <w:rPr>
          <w:rFonts w:ascii="Calibri" w:hAnsi="Calibri"/>
          <w:color w:val="1F497D" w:themeColor="text2"/>
          <w:sz w:val="26"/>
          <w:szCs w:val="26"/>
        </w:rPr>
      </w:pPr>
      <w:r w:rsidRPr="00493CD4">
        <w:rPr>
          <w:rFonts w:ascii="Calibri" w:hAnsi="Calibri"/>
          <w:b/>
          <w:bCs/>
          <w:color w:val="1F497D" w:themeColor="text2"/>
          <w:w w:val="105"/>
          <w:sz w:val="26"/>
          <w:szCs w:val="26"/>
        </w:rPr>
        <w:t>Cooperative Agreements with Private Nonprofit Organizations</w:t>
      </w:r>
    </w:p>
    <w:p w14:paraId="45529C75" w14:textId="77777777" w:rsidR="005E70F5" w:rsidRDefault="005E70F5" w:rsidP="00D63204">
      <w:pPr>
        <w:widowControl w:val="0"/>
        <w:spacing w:after="0" w:line="240" w:lineRule="auto"/>
        <w:rPr>
          <w:rFonts w:ascii="Calibri" w:hAnsi="Calibri"/>
          <w:color w:val="231F20"/>
          <w:w w:val="105"/>
        </w:rPr>
      </w:pPr>
    </w:p>
    <w:p w14:paraId="51C2E39E" w14:textId="4920F1D8" w:rsidR="005E70F5" w:rsidRPr="005E70F5" w:rsidRDefault="005E70F5" w:rsidP="00D63204">
      <w:pPr>
        <w:widowControl w:val="0"/>
        <w:spacing w:after="0" w:line="240" w:lineRule="auto"/>
        <w:ind w:left="90"/>
        <w:rPr>
          <w:rFonts w:cstheme="minorHAnsi"/>
          <w:color w:val="231F20"/>
          <w:w w:val="105"/>
        </w:rPr>
      </w:pPr>
      <w:r w:rsidRPr="005E70F5">
        <w:rPr>
          <w:rFonts w:cstheme="minorHAnsi"/>
          <w:color w:val="231F20"/>
          <w:w w:val="105"/>
        </w:rPr>
        <w:t>The Florida Division of Vocational Rehabilitation (VR) has a variety of relationships and agreements with private non-profit organizations. These include fee based services purchased through registered vendors, contracts</w:t>
      </w:r>
      <w:r w:rsidR="00D5537E">
        <w:rPr>
          <w:rFonts w:cstheme="minorHAnsi"/>
          <w:color w:val="231F20"/>
          <w:w w:val="105"/>
        </w:rPr>
        <w:t xml:space="preserve"> and</w:t>
      </w:r>
      <w:r w:rsidRPr="005E70F5">
        <w:rPr>
          <w:rFonts w:cstheme="minorHAnsi"/>
          <w:color w:val="231F20"/>
          <w:w w:val="105"/>
        </w:rPr>
        <w:t xml:space="preserve"> other cooperative, non-financial agreements.</w:t>
      </w:r>
    </w:p>
    <w:p w14:paraId="3CA30103" w14:textId="77777777" w:rsidR="005E70F5" w:rsidRPr="005E70F5" w:rsidRDefault="005E70F5" w:rsidP="00D63204">
      <w:pPr>
        <w:pStyle w:val="ListParagraph"/>
        <w:widowControl w:val="0"/>
        <w:spacing w:after="0" w:line="240" w:lineRule="auto"/>
        <w:ind w:left="90"/>
        <w:rPr>
          <w:rFonts w:cstheme="minorHAnsi"/>
          <w:color w:val="231F20"/>
          <w:w w:val="105"/>
        </w:rPr>
      </w:pPr>
    </w:p>
    <w:p w14:paraId="546A970C" w14:textId="0DC87F11" w:rsidR="005E70F5" w:rsidRPr="005E70F5" w:rsidRDefault="005E70F5" w:rsidP="00D63204">
      <w:pPr>
        <w:widowControl w:val="0"/>
        <w:spacing w:after="0" w:line="240" w:lineRule="auto"/>
        <w:ind w:left="90"/>
        <w:rPr>
          <w:rFonts w:cstheme="minorHAnsi"/>
          <w:color w:val="231F20"/>
          <w:w w:val="105"/>
        </w:rPr>
      </w:pPr>
      <w:r w:rsidRPr="005E70F5">
        <w:rPr>
          <w:rFonts w:cstheme="minorHAnsi"/>
          <w:color w:val="231F20"/>
          <w:w w:val="105"/>
        </w:rPr>
        <w:t>All new vendors/providers, whether through a contractual or vendor relationship, must go through a registration and approval process. VR reviews the qualifications of vendors providing services to its customers to ensure the quality of these services, as well as the safety of the public. In addition to approving and registering vendor/provider services, VR conducts employment verifications on customer placements facilitated by vendors /contract providers.</w:t>
      </w:r>
    </w:p>
    <w:p w14:paraId="183181BA" w14:textId="77777777" w:rsidR="005E70F5" w:rsidRPr="005E70F5" w:rsidRDefault="005E70F5" w:rsidP="00D63204">
      <w:pPr>
        <w:widowControl w:val="0"/>
        <w:spacing w:after="0" w:line="240" w:lineRule="auto"/>
        <w:ind w:left="90"/>
        <w:rPr>
          <w:rFonts w:cstheme="minorHAnsi"/>
          <w:color w:val="231F20"/>
          <w:w w:val="105"/>
        </w:rPr>
      </w:pPr>
    </w:p>
    <w:p w14:paraId="3E4A724B" w14:textId="3E60A532" w:rsidR="005E70F5" w:rsidRPr="005E70F5" w:rsidRDefault="005E70F5" w:rsidP="00D63204">
      <w:pPr>
        <w:widowControl w:val="0"/>
        <w:spacing w:after="0" w:line="240" w:lineRule="auto"/>
        <w:ind w:left="90"/>
        <w:rPr>
          <w:rFonts w:cstheme="minorHAnsi"/>
          <w:color w:val="231F20"/>
          <w:w w:val="105"/>
        </w:rPr>
      </w:pPr>
      <w:r w:rsidRPr="005E70F5">
        <w:rPr>
          <w:rFonts w:cstheme="minorHAnsi"/>
          <w:color w:val="231F20"/>
          <w:w w:val="105"/>
        </w:rPr>
        <w:t>VR policy ensures that customers have a choice of qualified service providers to select from. Customers are</w:t>
      </w:r>
      <w:r w:rsidR="00560722">
        <w:rPr>
          <w:rFonts w:cstheme="minorHAnsi"/>
          <w:color w:val="231F20"/>
          <w:w w:val="105"/>
        </w:rPr>
        <w:t xml:space="preserve"> also</w:t>
      </w:r>
      <w:r w:rsidRPr="005E70F5">
        <w:rPr>
          <w:rFonts w:cstheme="minorHAnsi"/>
          <w:color w:val="231F20"/>
          <w:w w:val="105"/>
        </w:rPr>
        <w:t xml:space="preserve"> informed if the provider has employees experienced in working with special disability populations, foreign languages</w:t>
      </w:r>
      <w:r w:rsidR="00D5537E">
        <w:rPr>
          <w:rFonts w:cstheme="minorHAnsi"/>
          <w:color w:val="231F20"/>
          <w:w w:val="105"/>
        </w:rPr>
        <w:t xml:space="preserve"> and</w:t>
      </w:r>
      <w:r w:rsidRPr="005E70F5">
        <w:rPr>
          <w:rFonts w:cstheme="minorHAnsi"/>
          <w:color w:val="231F20"/>
          <w:w w:val="105"/>
        </w:rPr>
        <w:t xml:space="preserve"> other communication skills. Customers have a choice of necessary services, service providers</w:t>
      </w:r>
      <w:r w:rsidR="00D5537E">
        <w:rPr>
          <w:rFonts w:cstheme="minorHAnsi"/>
          <w:color w:val="231F20"/>
          <w:w w:val="105"/>
        </w:rPr>
        <w:t xml:space="preserve"> and</w:t>
      </w:r>
      <w:r w:rsidRPr="005E70F5">
        <w:rPr>
          <w:rFonts w:cstheme="minorHAnsi"/>
          <w:color w:val="231F20"/>
          <w:w w:val="105"/>
        </w:rPr>
        <w:t xml:space="preserve"> settings in which to receive the services included in the written Individualized Plan for Employment.</w:t>
      </w:r>
    </w:p>
    <w:p w14:paraId="490F8A27" w14:textId="77777777" w:rsidR="005E70F5" w:rsidRPr="005E70F5" w:rsidRDefault="005E70F5" w:rsidP="00D63204">
      <w:pPr>
        <w:widowControl w:val="0"/>
        <w:spacing w:after="0" w:line="240" w:lineRule="auto"/>
        <w:ind w:left="90"/>
        <w:rPr>
          <w:rFonts w:cstheme="minorHAnsi"/>
          <w:color w:val="231F20"/>
          <w:w w:val="105"/>
        </w:rPr>
      </w:pPr>
    </w:p>
    <w:p w14:paraId="7433CB03" w14:textId="1CAE51D9" w:rsidR="005E70F5" w:rsidRPr="005E70F5" w:rsidRDefault="005E70F5" w:rsidP="00D63204">
      <w:pPr>
        <w:widowControl w:val="0"/>
        <w:spacing w:after="0" w:line="240" w:lineRule="auto"/>
        <w:ind w:left="90"/>
        <w:rPr>
          <w:rFonts w:cstheme="minorHAnsi"/>
          <w:color w:val="231F20"/>
          <w:w w:val="105"/>
        </w:rPr>
      </w:pPr>
      <w:r w:rsidRPr="005E70F5">
        <w:rPr>
          <w:rFonts w:cstheme="minorHAnsi"/>
          <w:color w:val="231F20"/>
          <w:w w:val="105"/>
        </w:rPr>
        <w:t>Currently, VR has approximately 263 registered Employment Services Providers that deliver employment, supported employment, OJT, Pre-ETS</w:t>
      </w:r>
      <w:r w:rsidR="00D5537E">
        <w:rPr>
          <w:rFonts w:cstheme="minorHAnsi"/>
          <w:color w:val="231F20"/>
          <w:w w:val="105"/>
        </w:rPr>
        <w:t xml:space="preserve"> and</w:t>
      </w:r>
      <w:r w:rsidRPr="005E70F5">
        <w:rPr>
          <w:rFonts w:cstheme="minorHAnsi"/>
          <w:color w:val="231F20"/>
          <w:w w:val="105"/>
        </w:rPr>
        <w:t xml:space="preserve"> other related services on a fee-for-service basis. </w:t>
      </w:r>
      <w:r w:rsidR="00560722">
        <w:rPr>
          <w:rFonts w:cstheme="minorHAnsi"/>
          <w:color w:val="231F20"/>
          <w:w w:val="105"/>
        </w:rPr>
        <w:t xml:space="preserve">Additionally, </w:t>
      </w:r>
      <w:r w:rsidRPr="005E70F5">
        <w:rPr>
          <w:rFonts w:cstheme="minorHAnsi"/>
          <w:color w:val="231F20"/>
          <w:w w:val="105"/>
        </w:rPr>
        <w:t>VR maintains the following contracts and/or agreements:</w:t>
      </w:r>
    </w:p>
    <w:p w14:paraId="6116BE10" w14:textId="77777777" w:rsidR="005E70F5" w:rsidRPr="005E70F5" w:rsidRDefault="005E70F5" w:rsidP="00D63204">
      <w:pPr>
        <w:widowControl w:val="0"/>
        <w:spacing w:after="0" w:line="240" w:lineRule="auto"/>
        <w:ind w:left="90"/>
        <w:rPr>
          <w:rFonts w:cstheme="minorHAnsi"/>
          <w:color w:val="231F20"/>
          <w:w w:val="105"/>
        </w:rPr>
      </w:pPr>
    </w:p>
    <w:p w14:paraId="020031EC" w14:textId="77777777" w:rsidR="005E70F5" w:rsidRPr="005E70F5" w:rsidRDefault="005E70F5" w:rsidP="00D63204">
      <w:pPr>
        <w:pStyle w:val="ListParagraph"/>
        <w:widowControl w:val="0"/>
        <w:numPr>
          <w:ilvl w:val="0"/>
          <w:numId w:val="107"/>
        </w:numPr>
        <w:spacing w:after="0" w:line="240" w:lineRule="auto"/>
        <w:rPr>
          <w:rFonts w:cstheme="minorHAnsi"/>
          <w:color w:val="231F20"/>
          <w:w w:val="105"/>
        </w:rPr>
      </w:pPr>
      <w:r w:rsidRPr="005E70F5">
        <w:rPr>
          <w:rFonts w:cstheme="minorHAnsi"/>
          <w:color w:val="231F20"/>
          <w:w w:val="105"/>
        </w:rPr>
        <w:t>16 agreements with the Centers for Independent Living located throughout the state to provide independent living services</w:t>
      </w:r>
    </w:p>
    <w:p w14:paraId="79B89B31" w14:textId="77777777" w:rsidR="005E70F5" w:rsidRPr="005E70F5" w:rsidRDefault="005E70F5" w:rsidP="00D63204">
      <w:pPr>
        <w:widowControl w:val="0"/>
        <w:spacing w:after="0" w:line="240" w:lineRule="auto"/>
        <w:ind w:left="90"/>
        <w:rPr>
          <w:rFonts w:cstheme="minorHAnsi"/>
          <w:color w:val="231F20"/>
          <w:w w:val="105"/>
        </w:rPr>
      </w:pPr>
    </w:p>
    <w:p w14:paraId="5C87D9B7" w14:textId="0D31A7DF" w:rsidR="005E70F5" w:rsidRPr="005E70F5" w:rsidRDefault="00560722" w:rsidP="00D63204">
      <w:pPr>
        <w:pStyle w:val="ListParagraph"/>
        <w:widowControl w:val="0"/>
        <w:numPr>
          <w:ilvl w:val="0"/>
          <w:numId w:val="107"/>
        </w:numPr>
        <w:spacing w:after="0" w:line="240" w:lineRule="auto"/>
        <w:rPr>
          <w:rFonts w:cstheme="minorHAnsi"/>
          <w:color w:val="231F20"/>
          <w:w w:val="105"/>
        </w:rPr>
      </w:pPr>
      <w:r>
        <w:rPr>
          <w:rFonts w:cstheme="minorHAnsi"/>
          <w:color w:val="231F20"/>
          <w:w w:val="105"/>
        </w:rPr>
        <w:t xml:space="preserve">25 </w:t>
      </w:r>
      <w:r w:rsidR="005E70F5" w:rsidRPr="005E70F5">
        <w:rPr>
          <w:rFonts w:cstheme="minorHAnsi"/>
          <w:color w:val="231F20"/>
          <w:w w:val="105"/>
        </w:rPr>
        <w:t>Third Party Cooperative Arrangements with local school districts</w:t>
      </w:r>
    </w:p>
    <w:p w14:paraId="171B6F34" w14:textId="77777777" w:rsidR="005E70F5" w:rsidRPr="005E70F5" w:rsidRDefault="005E70F5" w:rsidP="00D63204">
      <w:pPr>
        <w:pStyle w:val="ListParagraph"/>
        <w:widowControl w:val="0"/>
        <w:spacing w:after="0" w:line="240" w:lineRule="auto"/>
        <w:ind w:left="90"/>
        <w:rPr>
          <w:rFonts w:cstheme="minorHAnsi"/>
          <w:color w:val="231F20"/>
          <w:w w:val="105"/>
        </w:rPr>
      </w:pPr>
    </w:p>
    <w:p w14:paraId="62B8170D" w14:textId="6686ADC6" w:rsidR="005E70F5" w:rsidRDefault="005E70F5" w:rsidP="00D63204">
      <w:pPr>
        <w:pStyle w:val="ListParagraph"/>
        <w:widowControl w:val="0"/>
        <w:numPr>
          <w:ilvl w:val="0"/>
          <w:numId w:val="107"/>
        </w:numPr>
        <w:spacing w:after="0" w:line="240" w:lineRule="auto"/>
        <w:rPr>
          <w:rFonts w:cstheme="minorHAnsi"/>
          <w:color w:val="231F20"/>
          <w:w w:val="105"/>
        </w:rPr>
      </w:pPr>
      <w:r w:rsidRPr="005E70F5">
        <w:rPr>
          <w:rFonts w:cstheme="minorHAnsi"/>
          <w:color w:val="231F20"/>
          <w:w w:val="105"/>
        </w:rPr>
        <w:t>Additional contracts with agencies for services such as delegable VR services, outreach for migrant and seasonal farm workers, interpreting services, rehabilitation engineering</w:t>
      </w:r>
      <w:r w:rsidR="00D5537E">
        <w:rPr>
          <w:rFonts w:cstheme="minorHAnsi"/>
          <w:color w:val="231F20"/>
          <w:w w:val="105"/>
        </w:rPr>
        <w:t xml:space="preserve"> and</w:t>
      </w:r>
      <w:r w:rsidRPr="005E70F5">
        <w:rPr>
          <w:rFonts w:cstheme="minorHAnsi"/>
          <w:color w:val="231F20"/>
          <w:w w:val="105"/>
        </w:rPr>
        <w:t xml:space="preserve"> a project involving the use of virtual reality simulators for customers with severe disabilities.</w:t>
      </w:r>
    </w:p>
    <w:p w14:paraId="0DE71427" w14:textId="77777777" w:rsidR="00240694" w:rsidRPr="00240694" w:rsidRDefault="00240694" w:rsidP="00240694">
      <w:pPr>
        <w:pStyle w:val="ListParagraph"/>
        <w:rPr>
          <w:rFonts w:cstheme="minorHAnsi"/>
          <w:color w:val="231F20"/>
          <w:w w:val="105"/>
        </w:rPr>
      </w:pPr>
    </w:p>
    <w:p w14:paraId="29CF39BF" w14:textId="77777777" w:rsidR="00240694" w:rsidRPr="005E70F5" w:rsidRDefault="00240694" w:rsidP="00D63204">
      <w:pPr>
        <w:pStyle w:val="ListParagraph"/>
        <w:widowControl w:val="0"/>
        <w:spacing w:after="0" w:line="240" w:lineRule="auto"/>
        <w:ind w:left="810"/>
        <w:rPr>
          <w:rFonts w:cstheme="minorHAnsi"/>
          <w:color w:val="231F20"/>
          <w:w w:val="105"/>
        </w:rPr>
      </w:pPr>
    </w:p>
    <w:p w14:paraId="4B5928D6" w14:textId="77777777" w:rsidR="005E70F5" w:rsidRPr="005E70F5" w:rsidRDefault="005E70F5" w:rsidP="00D63204">
      <w:pPr>
        <w:pStyle w:val="ListParagraph"/>
        <w:widowControl w:val="0"/>
        <w:spacing w:after="0" w:line="240" w:lineRule="auto"/>
        <w:ind w:left="90"/>
        <w:rPr>
          <w:rFonts w:cstheme="minorHAnsi"/>
          <w:color w:val="231F20"/>
          <w:w w:val="105"/>
        </w:rPr>
      </w:pPr>
      <w:r w:rsidRPr="005E70F5">
        <w:rPr>
          <w:rFonts w:cstheme="minorHAnsi"/>
          <w:color w:val="231F20"/>
          <w:w w:val="105"/>
        </w:rPr>
        <w:t xml:space="preserve"> </w:t>
      </w:r>
    </w:p>
    <w:p w14:paraId="53D3AD7C" w14:textId="77777777" w:rsidR="00240694" w:rsidRDefault="00240694" w:rsidP="00D63204">
      <w:pPr>
        <w:widowControl w:val="0"/>
        <w:spacing w:after="0" w:line="240" w:lineRule="auto"/>
        <w:ind w:left="90"/>
        <w:rPr>
          <w:rFonts w:cstheme="minorHAnsi"/>
          <w:color w:val="231F20"/>
          <w:w w:val="105"/>
        </w:rPr>
      </w:pPr>
    </w:p>
    <w:p w14:paraId="4D71A343" w14:textId="77777777" w:rsidR="00240694" w:rsidRDefault="00240694" w:rsidP="00D63204">
      <w:pPr>
        <w:widowControl w:val="0"/>
        <w:spacing w:after="0" w:line="240" w:lineRule="auto"/>
        <w:ind w:left="90"/>
        <w:rPr>
          <w:rFonts w:cstheme="minorHAnsi"/>
          <w:color w:val="231F20"/>
          <w:w w:val="105"/>
        </w:rPr>
      </w:pPr>
    </w:p>
    <w:p w14:paraId="36806EC9" w14:textId="083EFA58" w:rsidR="005E70F5" w:rsidRPr="005E70F5" w:rsidRDefault="005E70F5" w:rsidP="00D63204">
      <w:pPr>
        <w:widowControl w:val="0"/>
        <w:spacing w:after="0" w:line="240" w:lineRule="auto"/>
        <w:ind w:left="90"/>
        <w:rPr>
          <w:rFonts w:cstheme="minorHAnsi"/>
          <w:color w:val="231F20"/>
          <w:w w:val="105"/>
        </w:rPr>
      </w:pPr>
      <w:r w:rsidRPr="005E70F5">
        <w:rPr>
          <w:rFonts w:cstheme="minorHAnsi"/>
          <w:color w:val="231F20"/>
          <w:w w:val="105"/>
        </w:rPr>
        <w:t xml:space="preserve">VR </w:t>
      </w:r>
      <w:r w:rsidR="00C3542D">
        <w:rPr>
          <w:rFonts w:cstheme="minorHAnsi"/>
          <w:color w:val="231F20"/>
          <w:w w:val="105"/>
        </w:rPr>
        <w:t xml:space="preserve">also </w:t>
      </w:r>
      <w:r w:rsidRPr="005E70F5">
        <w:rPr>
          <w:rFonts w:cstheme="minorHAnsi"/>
          <w:color w:val="231F20"/>
          <w:w w:val="105"/>
        </w:rPr>
        <w:t xml:space="preserve">has </w:t>
      </w:r>
      <w:r w:rsidR="00E34567">
        <w:rPr>
          <w:rFonts w:cstheme="minorHAnsi"/>
          <w:color w:val="231F20"/>
          <w:w w:val="105"/>
        </w:rPr>
        <w:t xml:space="preserve">five </w:t>
      </w:r>
      <w:r w:rsidRPr="005E70F5">
        <w:rPr>
          <w:rFonts w:cstheme="minorHAnsi"/>
          <w:color w:val="231F20"/>
          <w:w w:val="105"/>
        </w:rPr>
        <w:t xml:space="preserve">contracts for Innovation and Expansion pilot projects to benefit and complement WIOA- related initiatives. These contracts are for various innovative opportunities that could improve employment services to and successful closures for individuals with unique abilities, defined in Florida legislation as including individuals who have intellectual disabilities or Autism Spectrum Disorders. </w:t>
      </w:r>
    </w:p>
    <w:p w14:paraId="7826F513" w14:textId="77777777" w:rsidR="005E70F5" w:rsidRPr="005E70F5" w:rsidRDefault="005E70F5" w:rsidP="00D63204">
      <w:pPr>
        <w:widowControl w:val="0"/>
        <w:spacing w:after="0" w:line="240" w:lineRule="auto"/>
        <w:ind w:left="90"/>
        <w:rPr>
          <w:rFonts w:cstheme="minorHAnsi"/>
          <w:color w:val="231F20"/>
          <w:w w:val="105"/>
        </w:rPr>
      </w:pPr>
    </w:p>
    <w:p w14:paraId="0994D4DD" w14:textId="70C0950E" w:rsidR="005E70F5" w:rsidRPr="005E70F5" w:rsidRDefault="005E70F5" w:rsidP="00D63204">
      <w:pPr>
        <w:widowControl w:val="0"/>
        <w:spacing w:after="0" w:line="240" w:lineRule="auto"/>
        <w:ind w:left="90"/>
        <w:rPr>
          <w:rFonts w:cstheme="minorHAnsi"/>
          <w:color w:val="231F20"/>
          <w:w w:val="105"/>
        </w:rPr>
      </w:pPr>
      <w:r w:rsidRPr="005E70F5">
        <w:rPr>
          <w:rFonts w:cstheme="minorHAnsi"/>
          <w:color w:val="231F20"/>
          <w:w w:val="105"/>
        </w:rPr>
        <w:t>VR has collaborative, non-contractual arrangements and agreements with non-profit organizations that provide referrals, other vocational rehabilitation services</w:t>
      </w:r>
      <w:r w:rsidR="00D5537E">
        <w:rPr>
          <w:rFonts w:cstheme="minorHAnsi"/>
          <w:color w:val="231F20"/>
          <w:w w:val="105"/>
        </w:rPr>
        <w:t xml:space="preserve"> and</w:t>
      </w:r>
      <w:r w:rsidRPr="005E70F5">
        <w:rPr>
          <w:rFonts w:cstheme="minorHAnsi"/>
          <w:color w:val="231F20"/>
          <w:w w:val="105"/>
        </w:rPr>
        <w:t xml:space="preserve"> comparable benefits. Through coordinating with Centers for Independent Living, individuals with disabilities receive life skills training, employability skills training</w:t>
      </w:r>
      <w:r w:rsidR="00D5537E">
        <w:rPr>
          <w:rFonts w:cstheme="minorHAnsi"/>
          <w:color w:val="231F20"/>
          <w:w w:val="105"/>
        </w:rPr>
        <w:t xml:space="preserve"> and</w:t>
      </w:r>
      <w:r w:rsidRPr="005E70F5">
        <w:rPr>
          <w:rFonts w:cstheme="minorHAnsi"/>
          <w:color w:val="231F20"/>
          <w:w w:val="105"/>
        </w:rPr>
        <w:t xml:space="preserve"> support such as transportation, clothing</w:t>
      </w:r>
      <w:r w:rsidR="00D5537E">
        <w:rPr>
          <w:rFonts w:cstheme="minorHAnsi"/>
          <w:color w:val="231F20"/>
          <w:w w:val="105"/>
        </w:rPr>
        <w:t xml:space="preserve"> and</w:t>
      </w:r>
      <w:r w:rsidRPr="005E70F5">
        <w:rPr>
          <w:rFonts w:cstheme="minorHAnsi"/>
          <w:color w:val="231F20"/>
          <w:w w:val="105"/>
        </w:rPr>
        <w:t xml:space="preserve"> emergency funds.</w:t>
      </w:r>
    </w:p>
    <w:p w14:paraId="2DB6D89C" w14:textId="77777777" w:rsidR="005E70F5" w:rsidRPr="005E70F5" w:rsidRDefault="005E70F5" w:rsidP="00D63204">
      <w:pPr>
        <w:widowControl w:val="0"/>
        <w:spacing w:after="0" w:line="240" w:lineRule="auto"/>
        <w:ind w:left="90"/>
        <w:rPr>
          <w:rFonts w:cstheme="minorHAnsi"/>
          <w:color w:val="231F20"/>
          <w:w w:val="105"/>
        </w:rPr>
      </w:pPr>
    </w:p>
    <w:p w14:paraId="5AA0A699" w14:textId="27231DE4" w:rsidR="005E70F5" w:rsidRPr="005E70F5" w:rsidRDefault="005E70F5" w:rsidP="00D63204">
      <w:pPr>
        <w:widowControl w:val="0"/>
        <w:spacing w:after="0" w:line="240" w:lineRule="auto"/>
        <w:ind w:left="90"/>
        <w:rPr>
          <w:rFonts w:cstheme="minorHAnsi"/>
          <w:color w:val="231F20"/>
          <w:w w:val="105"/>
        </w:rPr>
      </w:pPr>
      <w:r w:rsidRPr="005E70F5">
        <w:rPr>
          <w:rFonts w:cstheme="minorHAnsi"/>
          <w:color w:val="231F20"/>
          <w:w w:val="105"/>
        </w:rPr>
        <w:t>Relationships with organizations that serve customers with hearing impairments provide opportunities for support groups, sign language classes</w:t>
      </w:r>
      <w:r w:rsidR="00D5537E">
        <w:rPr>
          <w:rFonts w:cstheme="minorHAnsi"/>
          <w:color w:val="231F20"/>
          <w:w w:val="105"/>
        </w:rPr>
        <w:t xml:space="preserve"> and</w:t>
      </w:r>
      <w:r w:rsidRPr="005E70F5">
        <w:rPr>
          <w:rFonts w:cstheme="minorHAnsi"/>
          <w:color w:val="231F20"/>
          <w:w w:val="105"/>
        </w:rPr>
        <w:t xml:space="preserve"> placement assistance.</w:t>
      </w:r>
    </w:p>
    <w:p w14:paraId="602411D3" w14:textId="77777777" w:rsidR="005E70F5" w:rsidRPr="005E70F5" w:rsidRDefault="005E70F5" w:rsidP="00D63204">
      <w:pPr>
        <w:pStyle w:val="ListParagraph"/>
        <w:widowControl w:val="0"/>
        <w:spacing w:after="0" w:line="240" w:lineRule="auto"/>
        <w:ind w:left="90"/>
        <w:rPr>
          <w:rFonts w:cstheme="minorHAnsi"/>
          <w:color w:val="231F20"/>
          <w:w w:val="105"/>
        </w:rPr>
      </w:pPr>
      <w:r w:rsidRPr="005E70F5">
        <w:rPr>
          <w:rFonts w:cstheme="minorHAnsi"/>
          <w:color w:val="231F20"/>
          <w:w w:val="105"/>
        </w:rPr>
        <w:t xml:space="preserve"> </w:t>
      </w:r>
    </w:p>
    <w:p w14:paraId="62CCA81D" w14:textId="093E8B93" w:rsidR="005E70F5" w:rsidRPr="005E70F5" w:rsidRDefault="005E70F5" w:rsidP="00D63204">
      <w:pPr>
        <w:widowControl w:val="0"/>
        <w:spacing w:after="0" w:line="240" w:lineRule="auto"/>
        <w:ind w:left="90"/>
        <w:rPr>
          <w:rFonts w:cstheme="minorHAnsi"/>
          <w:color w:val="231F20"/>
          <w:w w:val="105"/>
        </w:rPr>
      </w:pPr>
      <w:r w:rsidRPr="005E70F5">
        <w:rPr>
          <w:rFonts w:cstheme="minorHAnsi"/>
          <w:color w:val="231F20"/>
          <w:w w:val="105"/>
        </w:rPr>
        <w:t>Throughout the state, many VR employees serve as liaisons with specific groups and organizations. Individuals are referred to those groups if it is determined that they can benefit from their services. Services are coordinated with numerous non-profit hospitals and clinics for referrals and medical assistance. Foundations and associations such as the Easter Seals Society, Muscular Dystrophy   Association, National Kidney Foundation, Brain Injury Association of Florida, Epilepsy Foundation, Family Network on Disability of Florida</w:t>
      </w:r>
      <w:r w:rsidR="00D5537E">
        <w:rPr>
          <w:rFonts w:cstheme="minorHAnsi"/>
          <w:color w:val="231F20"/>
          <w:w w:val="105"/>
        </w:rPr>
        <w:t xml:space="preserve"> and</w:t>
      </w:r>
      <w:r w:rsidRPr="005E70F5">
        <w:rPr>
          <w:rFonts w:cstheme="minorHAnsi"/>
          <w:color w:val="231F20"/>
          <w:w w:val="105"/>
        </w:rPr>
        <w:t xml:space="preserve"> others provide individual and family support groups and disability education to mutual customers.</w:t>
      </w:r>
    </w:p>
    <w:p w14:paraId="605A3FEB" w14:textId="77777777" w:rsidR="005E70F5" w:rsidRPr="005E70F5" w:rsidRDefault="005E70F5" w:rsidP="00D63204">
      <w:pPr>
        <w:widowControl w:val="0"/>
        <w:spacing w:after="0" w:line="240" w:lineRule="auto"/>
        <w:ind w:left="90"/>
        <w:rPr>
          <w:rFonts w:cstheme="minorHAnsi"/>
          <w:color w:val="231F20"/>
          <w:w w:val="105"/>
        </w:rPr>
      </w:pPr>
    </w:p>
    <w:p w14:paraId="0152FCFB" w14:textId="3F7D2E6A" w:rsidR="005E70F5" w:rsidRPr="005E70F5" w:rsidRDefault="005E70F5" w:rsidP="00D63204">
      <w:pPr>
        <w:widowControl w:val="0"/>
        <w:spacing w:after="0" w:line="240" w:lineRule="auto"/>
        <w:ind w:left="90"/>
        <w:rPr>
          <w:rFonts w:ascii="Calibri" w:hAnsi="Calibri"/>
          <w:color w:val="231F20"/>
          <w:w w:val="105"/>
        </w:rPr>
      </w:pPr>
      <w:r w:rsidRPr="005E70F5">
        <w:rPr>
          <w:rFonts w:cstheme="minorHAnsi"/>
          <w:color w:val="231F20"/>
          <w:w w:val="105"/>
        </w:rPr>
        <w:t>VR intends to continue with the above referenced contractual agreements, cooperative arrangements</w:t>
      </w:r>
      <w:r w:rsidR="00D5537E">
        <w:rPr>
          <w:rFonts w:cstheme="minorHAnsi"/>
          <w:color w:val="231F20"/>
          <w:w w:val="105"/>
        </w:rPr>
        <w:t xml:space="preserve"> and</w:t>
      </w:r>
      <w:r w:rsidRPr="005E70F5">
        <w:rPr>
          <w:rFonts w:cstheme="minorHAnsi"/>
          <w:color w:val="231F20"/>
          <w:w w:val="105"/>
        </w:rPr>
        <w:t xml:space="preserve"> liaison relationships through FFY 2020.</w:t>
      </w:r>
    </w:p>
    <w:p w14:paraId="565B5643" w14:textId="6D8CB96F" w:rsidR="00EA7458" w:rsidRPr="00EA7458" w:rsidRDefault="00F945AC" w:rsidP="00D63204">
      <w:pPr>
        <w:widowControl w:val="0"/>
        <w:numPr>
          <w:ilvl w:val="0"/>
          <w:numId w:val="49"/>
        </w:numPr>
        <w:tabs>
          <w:tab w:val="left" w:pos="828"/>
        </w:tabs>
        <w:spacing w:before="200" w:after="0" w:line="240" w:lineRule="auto"/>
        <w:outlineLvl w:val="1"/>
        <w:rPr>
          <w:rFonts w:ascii="Calibri" w:hAnsi="Calibri"/>
          <w:sz w:val="26"/>
          <w:szCs w:val="26"/>
        </w:rPr>
      </w:pPr>
      <w:r>
        <w:rPr>
          <w:rFonts w:ascii="Calibri" w:hAnsi="Calibri"/>
          <w:b/>
          <w:bCs/>
          <w:color w:val="295CA3"/>
          <w:w w:val="110"/>
          <w:sz w:val="26"/>
          <w:szCs w:val="26"/>
        </w:rPr>
        <w:t xml:space="preserve"> </w:t>
      </w:r>
      <w:r w:rsidR="005E70F5" w:rsidRPr="00493CD4">
        <w:rPr>
          <w:rFonts w:ascii="Calibri" w:hAnsi="Calibri"/>
          <w:b/>
          <w:bCs/>
          <w:color w:val="1F497D" w:themeColor="text2"/>
          <w:w w:val="110"/>
          <w:sz w:val="26"/>
          <w:szCs w:val="26"/>
        </w:rPr>
        <w:t>Cooperative Agreements for the Provision of Supported Employment Services</w:t>
      </w:r>
    </w:p>
    <w:p w14:paraId="39BB72BA" w14:textId="77777777" w:rsidR="005E70F5" w:rsidRDefault="005E70F5" w:rsidP="00D63204">
      <w:pPr>
        <w:widowControl w:val="0"/>
        <w:spacing w:after="0" w:line="264" w:lineRule="exact"/>
        <w:ind w:left="90" w:hanging="18"/>
        <w:rPr>
          <w:rFonts w:ascii="Calibri" w:hAnsi="Calibri"/>
          <w:color w:val="231F20"/>
          <w:w w:val="105"/>
        </w:rPr>
      </w:pPr>
    </w:p>
    <w:p w14:paraId="344C1133" w14:textId="7C3F1677" w:rsidR="005E70F5" w:rsidRDefault="005E70F5" w:rsidP="00D63204">
      <w:pPr>
        <w:widowControl w:val="0"/>
        <w:spacing w:after="0" w:line="264" w:lineRule="exact"/>
        <w:ind w:left="90" w:hanging="18"/>
        <w:rPr>
          <w:rFonts w:ascii="Calibri" w:hAnsi="Calibri"/>
          <w:color w:val="231F20"/>
          <w:w w:val="105"/>
        </w:rPr>
      </w:pPr>
      <w:r w:rsidRPr="005E70F5">
        <w:rPr>
          <w:rFonts w:ascii="Calibri" w:hAnsi="Calibri"/>
          <w:color w:val="231F20"/>
          <w:w w:val="105"/>
        </w:rPr>
        <w:t>The Florida Division of Vocational Rehabilitation (VR) has cooperative agreements with the Agency for Persons with Disabilities (APD), Department of Children and Families</w:t>
      </w:r>
      <w:r w:rsidR="000E1237">
        <w:rPr>
          <w:rFonts w:ascii="Calibri" w:hAnsi="Calibri"/>
          <w:color w:val="231F20"/>
          <w:w w:val="105"/>
        </w:rPr>
        <w:t>’</w:t>
      </w:r>
      <w:r w:rsidRPr="005E70F5">
        <w:rPr>
          <w:rFonts w:ascii="Calibri" w:hAnsi="Calibri"/>
          <w:color w:val="231F20"/>
          <w:w w:val="105"/>
        </w:rPr>
        <w:t xml:space="preserve"> Mental Health and Substance Abuse Program</w:t>
      </w:r>
      <w:r w:rsidR="000E1237">
        <w:rPr>
          <w:rFonts w:ascii="Calibri" w:hAnsi="Calibri"/>
          <w:color w:val="231F20"/>
          <w:w w:val="105"/>
        </w:rPr>
        <w:t>s</w:t>
      </w:r>
      <w:r w:rsidRPr="005E70F5">
        <w:rPr>
          <w:rFonts w:ascii="Calibri" w:hAnsi="Calibri"/>
          <w:color w:val="231F20"/>
          <w:w w:val="105"/>
        </w:rPr>
        <w:t xml:space="preserve"> and the Department of Education.</w:t>
      </w:r>
    </w:p>
    <w:p w14:paraId="7F386CBB" w14:textId="77777777" w:rsidR="005E70F5" w:rsidRPr="005E70F5" w:rsidRDefault="005E70F5" w:rsidP="00D63204">
      <w:pPr>
        <w:widowControl w:val="0"/>
        <w:spacing w:after="0" w:line="264" w:lineRule="exact"/>
        <w:ind w:left="90" w:hanging="18"/>
        <w:rPr>
          <w:rFonts w:ascii="Calibri" w:hAnsi="Calibri"/>
          <w:color w:val="231F20"/>
          <w:w w:val="105"/>
        </w:rPr>
      </w:pPr>
    </w:p>
    <w:p w14:paraId="653C9509" w14:textId="53FA1CC4" w:rsidR="005E70F5" w:rsidRDefault="005E70F5" w:rsidP="00D63204">
      <w:pPr>
        <w:widowControl w:val="0"/>
        <w:spacing w:after="0" w:line="264" w:lineRule="exact"/>
        <w:ind w:left="90" w:hanging="18"/>
        <w:rPr>
          <w:rFonts w:ascii="Calibri" w:hAnsi="Calibri"/>
          <w:color w:val="231F20"/>
          <w:w w:val="105"/>
        </w:rPr>
      </w:pPr>
      <w:r w:rsidRPr="005E70F5">
        <w:rPr>
          <w:rFonts w:ascii="Calibri" w:hAnsi="Calibri"/>
          <w:color w:val="231F20"/>
          <w:w w:val="105"/>
        </w:rPr>
        <w:t xml:space="preserve">VR is currently in the process of developing and implementing an updated Memorandum of Agreement with APD and the Agency for Healthcare Administration (AHCA) the state agency responsible for administering the </w:t>
      </w:r>
      <w:r w:rsidR="00E61973" w:rsidRPr="00E61973">
        <w:rPr>
          <w:rFonts w:ascii="Calibri" w:hAnsi="Calibri"/>
          <w:color w:val="231F20"/>
          <w:w w:val="105"/>
        </w:rPr>
        <w:t>s</w:t>
      </w:r>
      <w:r w:rsidRPr="00E61973">
        <w:rPr>
          <w:rFonts w:ascii="Calibri" w:hAnsi="Calibri"/>
          <w:color w:val="231F20"/>
          <w:w w:val="105"/>
        </w:rPr>
        <w:t>tate Medicaid Plan</w:t>
      </w:r>
      <w:r w:rsidRPr="005E70F5">
        <w:rPr>
          <w:rFonts w:ascii="Calibri" w:hAnsi="Calibri"/>
          <w:color w:val="231F20"/>
          <w:w w:val="105"/>
        </w:rPr>
        <w:t xml:space="preserve">. </w:t>
      </w:r>
    </w:p>
    <w:p w14:paraId="61865AD7" w14:textId="77777777" w:rsidR="005E70F5" w:rsidRPr="005E70F5" w:rsidRDefault="005E70F5" w:rsidP="00D63204">
      <w:pPr>
        <w:widowControl w:val="0"/>
        <w:spacing w:after="0" w:line="264" w:lineRule="exact"/>
        <w:ind w:left="90" w:hanging="18"/>
        <w:rPr>
          <w:rFonts w:ascii="Calibri" w:hAnsi="Calibri"/>
          <w:color w:val="231F20"/>
          <w:w w:val="105"/>
        </w:rPr>
      </w:pPr>
    </w:p>
    <w:p w14:paraId="602E6D5C" w14:textId="2323A12C" w:rsidR="005E70F5" w:rsidRDefault="005E70F5" w:rsidP="00D63204">
      <w:pPr>
        <w:widowControl w:val="0"/>
        <w:spacing w:after="0" w:line="264" w:lineRule="exact"/>
        <w:ind w:left="90" w:hanging="18"/>
        <w:rPr>
          <w:rFonts w:ascii="Calibri" w:hAnsi="Calibri"/>
          <w:color w:val="231F20"/>
          <w:w w:val="105"/>
        </w:rPr>
      </w:pPr>
      <w:r w:rsidRPr="005E70F5">
        <w:rPr>
          <w:rFonts w:ascii="Calibri" w:hAnsi="Calibri"/>
          <w:color w:val="231F20"/>
          <w:w w:val="105"/>
        </w:rPr>
        <w:t xml:space="preserve">VR </w:t>
      </w:r>
      <w:r w:rsidR="00C3542D">
        <w:rPr>
          <w:rFonts w:ascii="Calibri" w:hAnsi="Calibri"/>
          <w:color w:val="231F20"/>
          <w:w w:val="105"/>
        </w:rPr>
        <w:t>continues to be</w:t>
      </w:r>
      <w:r w:rsidR="00556B0E">
        <w:rPr>
          <w:rFonts w:ascii="Calibri" w:hAnsi="Calibri"/>
          <w:color w:val="231F20"/>
          <w:w w:val="105"/>
        </w:rPr>
        <w:t xml:space="preserve"> </w:t>
      </w:r>
      <w:r w:rsidRPr="005E70F5">
        <w:rPr>
          <w:rFonts w:ascii="Calibri" w:hAnsi="Calibri"/>
          <w:color w:val="231F20"/>
          <w:w w:val="105"/>
        </w:rPr>
        <w:t>an active partner with other state agencies and organizations in implementing Employment First, a national effort to assure individuals with disabilities are offered employment as the first and preferred option in planning their lives. Employment First is consistent with VR’s belief that individuals with disabilities, even the most significant disabilities, can achieve meaningful employment when provided with appropriate supports.</w:t>
      </w:r>
    </w:p>
    <w:p w14:paraId="185CE0DD" w14:textId="77777777" w:rsidR="005E70F5" w:rsidRPr="005E70F5" w:rsidRDefault="005E70F5" w:rsidP="00D63204">
      <w:pPr>
        <w:widowControl w:val="0"/>
        <w:spacing w:after="0" w:line="264" w:lineRule="exact"/>
        <w:ind w:left="90" w:hanging="18"/>
        <w:rPr>
          <w:rFonts w:ascii="Calibri" w:hAnsi="Calibri"/>
          <w:color w:val="231F20"/>
          <w:w w:val="105"/>
        </w:rPr>
      </w:pPr>
    </w:p>
    <w:p w14:paraId="397CA44B" w14:textId="77777777" w:rsidR="00240694" w:rsidRDefault="00240694">
      <w:pPr>
        <w:rPr>
          <w:rFonts w:ascii="Calibri" w:hAnsi="Calibri"/>
          <w:color w:val="231F20"/>
          <w:w w:val="105"/>
        </w:rPr>
      </w:pPr>
      <w:r>
        <w:rPr>
          <w:rFonts w:ascii="Calibri" w:hAnsi="Calibri"/>
          <w:color w:val="231F20"/>
          <w:w w:val="105"/>
        </w:rPr>
        <w:br w:type="page"/>
      </w:r>
    </w:p>
    <w:p w14:paraId="09BB21B6" w14:textId="77777777" w:rsidR="00240694" w:rsidRDefault="00240694" w:rsidP="00D63204">
      <w:pPr>
        <w:widowControl w:val="0"/>
        <w:spacing w:after="0" w:line="264" w:lineRule="exact"/>
        <w:ind w:left="90" w:hanging="18"/>
        <w:rPr>
          <w:rFonts w:ascii="Calibri" w:hAnsi="Calibri"/>
          <w:color w:val="231F20"/>
          <w:w w:val="105"/>
        </w:rPr>
      </w:pPr>
    </w:p>
    <w:p w14:paraId="70263C42" w14:textId="42EE6FA5" w:rsidR="005E70F5" w:rsidRPr="005E70F5" w:rsidRDefault="005E70F5" w:rsidP="00D63204">
      <w:pPr>
        <w:widowControl w:val="0"/>
        <w:spacing w:after="0" w:line="264" w:lineRule="exact"/>
        <w:ind w:left="90" w:hanging="18"/>
        <w:rPr>
          <w:rFonts w:ascii="Calibri" w:hAnsi="Calibri"/>
          <w:color w:val="231F20"/>
          <w:w w:val="105"/>
        </w:rPr>
      </w:pPr>
      <w:r w:rsidRPr="005E70F5">
        <w:rPr>
          <w:rFonts w:ascii="Calibri" w:hAnsi="Calibri"/>
          <w:color w:val="231F20"/>
          <w:w w:val="105"/>
        </w:rPr>
        <w:t xml:space="preserve">Executive Order 13-284 (Reaffirming Commitment to Employment for Floridians with Disabilities) was signed by the </w:t>
      </w:r>
      <w:r w:rsidR="008278E4">
        <w:rPr>
          <w:rFonts w:ascii="Calibri" w:hAnsi="Calibri"/>
          <w:color w:val="231F20"/>
          <w:w w:val="105"/>
        </w:rPr>
        <w:t>g</w:t>
      </w:r>
      <w:r w:rsidRPr="005E70F5">
        <w:rPr>
          <w:rFonts w:ascii="Calibri" w:hAnsi="Calibri"/>
          <w:color w:val="231F20"/>
          <w:w w:val="105"/>
        </w:rPr>
        <w:t xml:space="preserve">overnor of Florida in October 2013. The order mandates that an Interagency Cooperative Agreement be developed and requires nine agencies/organizations to participate in the agreement. This order has now been placed in Florida’s statue. </w:t>
      </w:r>
    </w:p>
    <w:p w14:paraId="05E2A804" w14:textId="77777777" w:rsidR="005E70F5" w:rsidRPr="005E70F5" w:rsidRDefault="005E70F5" w:rsidP="00D63204">
      <w:pPr>
        <w:widowControl w:val="0"/>
        <w:spacing w:after="0" w:line="264" w:lineRule="exact"/>
        <w:ind w:left="90" w:hanging="18"/>
        <w:rPr>
          <w:rFonts w:ascii="Calibri" w:hAnsi="Calibri"/>
          <w:color w:val="231F20"/>
          <w:w w:val="105"/>
        </w:rPr>
      </w:pPr>
    </w:p>
    <w:p w14:paraId="635454A1" w14:textId="3FB02A4F" w:rsidR="005E70F5" w:rsidRPr="005E70F5" w:rsidRDefault="005E70F5" w:rsidP="00D63204">
      <w:pPr>
        <w:pStyle w:val="ListParagraph"/>
        <w:widowControl w:val="0"/>
        <w:numPr>
          <w:ilvl w:val="0"/>
          <w:numId w:val="108"/>
        </w:numPr>
        <w:spacing w:after="0" w:line="264" w:lineRule="exact"/>
        <w:rPr>
          <w:rFonts w:ascii="Calibri" w:hAnsi="Calibri"/>
          <w:color w:val="231F20"/>
          <w:w w:val="105"/>
        </w:rPr>
      </w:pPr>
      <w:r w:rsidRPr="005E70F5">
        <w:rPr>
          <w:rFonts w:ascii="Calibri" w:hAnsi="Calibri"/>
          <w:color w:val="231F20"/>
          <w:w w:val="105"/>
        </w:rPr>
        <w:t>The Department of Education-Division of Blind Services</w:t>
      </w:r>
    </w:p>
    <w:p w14:paraId="353F80A7" w14:textId="19557215" w:rsidR="005E70F5" w:rsidRPr="005E70F5" w:rsidRDefault="005E70F5" w:rsidP="00D63204">
      <w:pPr>
        <w:pStyle w:val="ListParagraph"/>
        <w:widowControl w:val="0"/>
        <w:numPr>
          <w:ilvl w:val="0"/>
          <w:numId w:val="108"/>
        </w:numPr>
        <w:spacing w:after="0" w:line="264" w:lineRule="exact"/>
        <w:rPr>
          <w:rFonts w:ascii="Calibri" w:hAnsi="Calibri"/>
          <w:color w:val="231F20"/>
          <w:w w:val="105"/>
        </w:rPr>
      </w:pPr>
      <w:r w:rsidRPr="005E70F5">
        <w:rPr>
          <w:rFonts w:ascii="Calibri" w:hAnsi="Calibri"/>
          <w:color w:val="231F20"/>
          <w:w w:val="105"/>
        </w:rPr>
        <w:t>The Department of Education-Division of Vocational Rehabilitation</w:t>
      </w:r>
    </w:p>
    <w:p w14:paraId="60374A2D" w14:textId="6456F032" w:rsidR="005E70F5" w:rsidRPr="005E70F5" w:rsidRDefault="005E70F5" w:rsidP="00D63204">
      <w:pPr>
        <w:pStyle w:val="ListParagraph"/>
        <w:widowControl w:val="0"/>
        <w:numPr>
          <w:ilvl w:val="0"/>
          <w:numId w:val="108"/>
        </w:numPr>
        <w:spacing w:after="0" w:line="264" w:lineRule="exact"/>
        <w:rPr>
          <w:rFonts w:ascii="Calibri" w:hAnsi="Calibri"/>
          <w:color w:val="231F20"/>
          <w:w w:val="105"/>
        </w:rPr>
      </w:pPr>
      <w:r w:rsidRPr="005E70F5">
        <w:rPr>
          <w:rFonts w:ascii="Calibri" w:hAnsi="Calibri"/>
          <w:color w:val="231F20"/>
          <w:w w:val="105"/>
        </w:rPr>
        <w:t>The Department of Education-Bureau of Exceptional Education and Student Services</w:t>
      </w:r>
    </w:p>
    <w:p w14:paraId="44259370" w14:textId="26E46499" w:rsidR="005E70F5" w:rsidRPr="005E70F5" w:rsidRDefault="005E70F5" w:rsidP="00D63204">
      <w:pPr>
        <w:pStyle w:val="ListParagraph"/>
        <w:widowControl w:val="0"/>
        <w:numPr>
          <w:ilvl w:val="0"/>
          <w:numId w:val="108"/>
        </w:numPr>
        <w:spacing w:after="0" w:line="264" w:lineRule="exact"/>
        <w:rPr>
          <w:rFonts w:ascii="Calibri" w:hAnsi="Calibri"/>
          <w:color w:val="231F20"/>
          <w:w w:val="105"/>
        </w:rPr>
      </w:pPr>
      <w:r w:rsidRPr="005E70F5">
        <w:rPr>
          <w:rFonts w:ascii="Calibri" w:hAnsi="Calibri"/>
          <w:color w:val="231F20"/>
          <w:w w:val="105"/>
        </w:rPr>
        <w:t>The Agency for Persons with Disabilities</w:t>
      </w:r>
    </w:p>
    <w:p w14:paraId="70960986" w14:textId="7543C939" w:rsidR="005E70F5" w:rsidRPr="005E70F5" w:rsidRDefault="005E70F5" w:rsidP="00D63204">
      <w:pPr>
        <w:pStyle w:val="ListParagraph"/>
        <w:widowControl w:val="0"/>
        <w:numPr>
          <w:ilvl w:val="0"/>
          <w:numId w:val="108"/>
        </w:numPr>
        <w:spacing w:after="0" w:line="264" w:lineRule="exact"/>
        <w:rPr>
          <w:rFonts w:ascii="Calibri" w:hAnsi="Calibri"/>
          <w:color w:val="231F20"/>
          <w:w w:val="105"/>
        </w:rPr>
      </w:pPr>
      <w:r w:rsidRPr="005E70F5">
        <w:rPr>
          <w:rFonts w:ascii="Calibri" w:hAnsi="Calibri"/>
          <w:color w:val="231F20"/>
          <w:w w:val="105"/>
        </w:rPr>
        <w:t>The Department of Children and Families-Mental Health and Substance Abuse</w:t>
      </w:r>
    </w:p>
    <w:p w14:paraId="46F851B7" w14:textId="3C891C60" w:rsidR="005E70F5" w:rsidRPr="005E70F5" w:rsidRDefault="005E70F5" w:rsidP="00D63204">
      <w:pPr>
        <w:pStyle w:val="ListParagraph"/>
        <w:widowControl w:val="0"/>
        <w:numPr>
          <w:ilvl w:val="0"/>
          <w:numId w:val="108"/>
        </w:numPr>
        <w:spacing w:after="0" w:line="264" w:lineRule="exact"/>
        <w:rPr>
          <w:rFonts w:ascii="Calibri" w:hAnsi="Calibri"/>
          <w:color w:val="231F20"/>
          <w:w w:val="105"/>
        </w:rPr>
      </w:pPr>
      <w:r w:rsidRPr="005E70F5">
        <w:rPr>
          <w:rFonts w:ascii="Calibri" w:hAnsi="Calibri"/>
          <w:color w:val="231F20"/>
          <w:w w:val="105"/>
        </w:rPr>
        <w:t>The Department of Economic Opportunity</w:t>
      </w:r>
    </w:p>
    <w:p w14:paraId="3F63B305" w14:textId="76FD8D70" w:rsidR="005E70F5" w:rsidRPr="005E70F5" w:rsidRDefault="005E70F5" w:rsidP="00D63204">
      <w:pPr>
        <w:pStyle w:val="ListParagraph"/>
        <w:widowControl w:val="0"/>
        <w:numPr>
          <w:ilvl w:val="0"/>
          <w:numId w:val="108"/>
        </w:numPr>
        <w:spacing w:after="0" w:line="264" w:lineRule="exact"/>
        <w:rPr>
          <w:rFonts w:ascii="Calibri" w:hAnsi="Calibri"/>
          <w:color w:val="231F20"/>
          <w:w w:val="105"/>
        </w:rPr>
      </w:pPr>
      <w:r w:rsidRPr="005E70F5">
        <w:rPr>
          <w:rFonts w:ascii="Calibri" w:hAnsi="Calibri"/>
          <w:color w:val="231F20"/>
          <w:w w:val="105"/>
        </w:rPr>
        <w:t>CareerSource Florida</w:t>
      </w:r>
    </w:p>
    <w:p w14:paraId="6ED7A2FA" w14:textId="313C52A7" w:rsidR="005E70F5" w:rsidRPr="005E70F5" w:rsidRDefault="005E70F5" w:rsidP="00D63204">
      <w:pPr>
        <w:pStyle w:val="ListParagraph"/>
        <w:widowControl w:val="0"/>
        <w:numPr>
          <w:ilvl w:val="0"/>
          <w:numId w:val="108"/>
        </w:numPr>
        <w:spacing w:after="0" w:line="264" w:lineRule="exact"/>
        <w:rPr>
          <w:rFonts w:ascii="Calibri" w:hAnsi="Calibri"/>
          <w:color w:val="231F20"/>
          <w:w w:val="105"/>
        </w:rPr>
      </w:pPr>
      <w:r w:rsidRPr="005E70F5">
        <w:rPr>
          <w:rFonts w:ascii="Calibri" w:hAnsi="Calibri"/>
          <w:color w:val="231F20"/>
          <w:w w:val="105"/>
        </w:rPr>
        <w:t>The Florida Developmental Disabilities Council</w:t>
      </w:r>
    </w:p>
    <w:p w14:paraId="3E0F7BBD" w14:textId="77777777" w:rsidR="00240694" w:rsidRDefault="005E70F5" w:rsidP="00D63204">
      <w:pPr>
        <w:pStyle w:val="ListParagraph"/>
        <w:widowControl w:val="0"/>
        <w:numPr>
          <w:ilvl w:val="0"/>
          <w:numId w:val="108"/>
        </w:numPr>
        <w:spacing w:after="0" w:line="264" w:lineRule="exact"/>
        <w:rPr>
          <w:rFonts w:ascii="Calibri" w:hAnsi="Calibri"/>
          <w:color w:val="231F20"/>
          <w:w w:val="105"/>
        </w:rPr>
      </w:pPr>
      <w:r w:rsidRPr="00240694">
        <w:rPr>
          <w:rFonts w:ascii="Calibri" w:hAnsi="Calibri"/>
          <w:color w:val="231F20"/>
          <w:w w:val="105"/>
        </w:rPr>
        <w:t>RESPECT of Florida</w:t>
      </w:r>
    </w:p>
    <w:p w14:paraId="26928605" w14:textId="77777777" w:rsidR="00240694" w:rsidRDefault="00240694" w:rsidP="00D63204">
      <w:pPr>
        <w:widowControl w:val="0"/>
        <w:spacing w:after="0" w:line="264" w:lineRule="exact"/>
        <w:rPr>
          <w:rFonts w:ascii="Calibri" w:hAnsi="Calibri"/>
          <w:color w:val="231F20"/>
          <w:w w:val="105"/>
        </w:rPr>
      </w:pPr>
    </w:p>
    <w:p w14:paraId="3DBE6F67" w14:textId="28A56434" w:rsidR="00C36180" w:rsidRPr="00240694" w:rsidRDefault="005E70F5" w:rsidP="00D63204">
      <w:pPr>
        <w:widowControl w:val="0"/>
        <w:spacing w:after="0" w:line="264" w:lineRule="exact"/>
        <w:ind w:left="90"/>
        <w:rPr>
          <w:rFonts w:ascii="Calibri" w:hAnsi="Calibri"/>
          <w:color w:val="231F20"/>
          <w:w w:val="105"/>
        </w:rPr>
      </w:pPr>
      <w:r w:rsidRPr="00240694">
        <w:rPr>
          <w:rFonts w:ascii="Calibri" w:hAnsi="Calibri"/>
          <w:color w:val="231F20"/>
          <w:w w:val="105"/>
        </w:rPr>
        <w:t>Six broad-based objectives govern the Employment First Interagency Agreement</w:t>
      </w:r>
      <w:r w:rsidR="005E7C49">
        <w:rPr>
          <w:rFonts w:ascii="Calibri" w:hAnsi="Calibri"/>
          <w:color w:val="231F20"/>
          <w:w w:val="105"/>
        </w:rPr>
        <w:t xml:space="preserve">. </w:t>
      </w:r>
      <w:r w:rsidRPr="00240694">
        <w:rPr>
          <w:rFonts w:ascii="Calibri" w:hAnsi="Calibri"/>
          <w:color w:val="231F20"/>
          <w:w w:val="105"/>
        </w:rPr>
        <w:t>VR works closely with the partners to continue to make progress on these objectives.</w:t>
      </w:r>
    </w:p>
    <w:p w14:paraId="70EC0CBE" w14:textId="77777777" w:rsidR="00C36180" w:rsidRPr="005E70F5" w:rsidRDefault="00C36180" w:rsidP="00D63204">
      <w:pPr>
        <w:widowControl w:val="0"/>
        <w:spacing w:after="0" w:line="264" w:lineRule="exact"/>
        <w:ind w:left="90" w:hanging="18"/>
        <w:rPr>
          <w:rFonts w:ascii="Calibri" w:hAnsi="Calibri"/>
          <w:color w:val="231F20"/>
          <w:w w:val="105"/>
        </w:rPr>
      </w:pPr>
    </w:p>
    <w:p w14:paraId="269F350A" w14:textId="4C905605" w:rsidR="005E70F5" w:rsidRPr="00C36180" w:rsidRDefault="005E70F5" w:rsidP="00D63204">
      <w:pPr>
        <w:pStyle w:val="ListParagraph"/>
        <w:widowControl w:val="0"/>
        <w:numPr>
          <w:ilvl w:val="0"/>
          <w:numId w:val="109"/>
        </w:numPr>
        <w:spacing w:after="0" w:line="264" w:lineRule="exact"/>
        <w:rPr>
          <w:rFonts w:ascii="Calibri" w:hAnsi="Calibri"/>
          <w:color w:val="231F20"/>
          <w:w w:val="105"/>
        </w:rPr>
      </w:pPr>
      <w:r w:rsidRPr="00C36180">
        <w:rPr>
          <w:rFonts w:ascii="Calibri" w:hAnsi="Calibri"/>
          <w:color w:val="231F20"/>
          <w:w w:val="105"/>
        </w:rPr>
        <w:t>Continue to develop and enhance Supported Employment for persons with the most significant disabilities. The state system for the provision of Supported Employment reflects: (a) mutually  agreeable definitions of the services to be provided; (b) administrative responsibility of the intensive component of Supported Employment services to eligible individuals as the primary responsibility of VR for individuals with the most significant disabilities; and (c) administrative  responsibility of the extended services component as the primary responsibility of other stakeholders, including APD and the Department of Children and Families</w:t>
      </w:r>
      <w:r w:rsidR="000E1237">
        <w:rPr>
          <w:rFonts w:ascii="Calibri" w:hAnsi="Calibri"/>
          <w:color w:val="231F20"/>
          <w:w w:val="105"/>
        </w:rPr>
        <w:t>’</w:t>
      </w:r>
      <w:r w:rsidRPr="00C36180">
        <w:rPr>
          <w:rFonts w:ascii="Calibri" w:hAnsi="Calibri"/>
          <w:color w:val="231F20"/>
          <w:w w:val="105"/>
        </w:rPr>
        <w:t xml:space="preserve"> Mental Health and Substance Abuse Program</w:t>
      </w:r>
      <w:r w:rsidR="000E1237">
        <w:rPr>
          <w:rFonts w:ascii="Calibri" w:hAnsi="Calibri"/>
          <w:color w:val="231F20"/>
          <w:w w:val="105"/>
        </w:rPr>
        <w:t>s</w:t>
      </w:r>
      <w:r w:rsidRPr="00C36180">
        <w:rPr>
          <w:rFonts w:ascii="Calibri" w:hAnsi="Calibri"/>
          <w:color w:val="231F20"/>
          <w:w w:val="105"/>
        </w:rPr>
        <w:t>.</w:t>
      </w:r>
    </w:p>
    <w:p w14:paraId="44301AA8" w14:textId="77777777" w:rsidR="00C36180" w:rsidRDefault="00C36180" w:rsidP="00D63204">
      <w:pPr>
        <w:widowControl w:val="0"/>
        <w:spacing w:after="0" w:line="264" w:lineRule="exact"/>
        <w:ind w:left="90" w:hanging="18"/>
        <w:rPr>
          <w:rFonts w:ascii="Calibri" w:hAnsi="Calibri"/>
          <w:color w:val="231F20"/>
          <w:w w:val="105"/>
        </w:rPr>
      </w:pPr>
    </w:p>
    <w:p w14:paraId="44C28E2F" w14:textId="1331B773" w:rsidR="005E70F5" w:rsidRPr="00C36180" w:rsidRDefault="005E70F5" w:rsidP="00D63204">
      <w:pPr>
        <w:pStyle w:val="ListParagraph"/>
        <w:widowControl w:val="0"/>
        <w:numPr>
          <w:ilvl w:val="0"/>
          <w:numId w:val="109"/>
        </w:numPr>
        <w:spacing w:after="0" w:line="264" w:lineRule="exact"/>
        <w:rPr>
          <w:rFonts w:ascii="Calibri" w:hAnsi="Calibri"/>
          <w:color w:val="231F20"/>
          <w:w w:val="105"/>
        </w:rPr>
      </w:pPr>
      <w:r w:rsidRPr="00C36180">
        <w:rPr>
          <w:rFonts w:ascii="Calibri" w:hAnsi="Calibri"/>
          <w:color w:val="231F20"/>
          <w:w w:val="105"/>
        </w:rPr>
        <w:t>Continue to improve the statewide management of Supported Employment programs by avoiding duplication of effort and funding while ensuring accountability. This process will provide a coordinated system of program development for SE services.</w:t>
      </w:r>
    </w:p>
    <w:p w14:paraId="200618C8" w14:textId="77777777" w:rsidR="00C36180" w:rsidRDefault="00C36180" w:rsidP="00D63204">
      <w:pPr>
        <w:widowControl w:val="0"/>
        <w:spacing w:after="0" w:line="264" w:lineRule="exact"/>
        <w:ind w:left="90" w:hanging="18"/>
        <w:rPr>
          <w:rFonts w:ascii="Calibri" w:hAnsi="Calibri"/>
          <w:color w:val="231F20"/>
          <w:w w:val="105"/>
        </w:rPr>
      </w:pPr>
    </w:p>
    <w:p w14:paraId="76D57AD6" w14:textId="4EABD243" w:rsidR="005E70F5" w:rsidRPr="00C36180" w:rsidRDefault="005E70F5" w:rsidP="00D63204">
      <w:pPr>
        <w:pStyle w:val="ListParagraph"/>
        <w:widowControl w:val="0"/>
        <w:numPr>
          <w:ilvl w:val="0"/>
          <w:numId w:val="109"/>
        </w:numPr>
        <w:spacing w:after="0" w:line="264" w:lineRule="exact"/>
        <w:rPr>
          <w:rFonts w:ascii="Calibri" w:hAnsi="Calibri"/>
          <w:color w:val="231F20"/>
          <w:w w:val="105"/>
        </w:rPr>
      </w:pPr>
      <w:r w:rsidRPr="00C36180">
        <w:rPr>
          <w:rFonts w:ascii="Calibri" w:hAnsi="Calibri"/>
          <w:color w:val="231F20"/>
          <w:w w:val="105"/>
        </w:rPr>
        <w:t>Maximize the quality of service delivery ensuring a comprehensive, continuous, efficient</w:t>
      </w:r>
      <w:r w:rsidR="00D5537E">
        <w:rPr>
          <w:rFonts w:ascii="Calibri" w:hAnsi="Calibri"/>
          <w:color w:val="231F20"/>
          <w:w w:val="105"/>
        </w:rPr>
        <w:t xml:space="preserve"> and</w:t>
      </w:r>
      <w:r w:rsidRPr="00C36180">
        <w:rPr>
          <w:rFonts w:ascii="Calibri" w:hAnsi="Calibri"/>
          <w:color w:val="231F20"/>
          <w:w w:val="105"/>
        </w:rPr>
        <w:t xml:space="preserve"> effective referral process, individual program planning, coordination of intensive vocational services with extended services, information collection and dissemination, confidentiality</w:t>
      </w:r>
      <w:r w:rsidR="00D5537E">
        <w:rPr>
          <w:rFonts w:ascii="Calibri" w:hAnsi="Calibri"/>
          <w:color w:val="231F20"/>
          <w:w w:val="105"/>
        </w:rPr>
        <w:t xml:space="preserve"> and</w:t>
      </w:r>
      <w:r w:rsidRPr="00C36180">
        <w:rPr>
          <w:rFonts w:ascii="Calibri" w:hAnsi="Calibri"/>
          <w:color w:val="231F20"/>
          <w:w w:val="105"/>
        </w:rPr>
        <w:t xml:space="preserve"> technical assistance.</w:t>
      </w:r>
    </w:p>
    <w:p w14:paraId="1A5CEF4F" w14:textId="77777777" w:rsidR="00C36180" w:rsidRDefault="00C36180" w:rsidP="00D63204">
      <w:pPr>
        <w:widowControl w:val="0"/>
        <w:spacing w:after="0" w:line="264" w:lineRule="exact"/>
        <w:ind w:left="90" w:hanging="18"/>
        <w:rPr>
          <w:rFonts w:ascii="Calibri" w:hAnsi="Calibri"/>
          <w:color w:val="231F20"/>
          <w:w w:val="105"/>
        </w:rPr>
      </w:pPr>
    </w:p>
    <w:p w14:paraId="76D654CE" w14:textId="26595EEF" w:rsidR="005E70F5" w:rsidRPr="00C36180" w:rsidRDefault="005E70F5" w:rsidP="00D63204">
      <w:pPr>
        <w:pStyle w:val="ListParagraph"/>
        <w:widowControl w:val="0"/>
        <w:numPr>
          <w:ilvl w:val="0"/>
          <w:numId w:val="109"/>
        </w:numPr>
        <w:spacing w:after="0" w:line="264" w:lineRule="exact"/>
        <w:rPr>
          <w:rFonts w:ascii="Calibri" w:hAnsi="Calibri"/>
          <w:color w:val="231F20"/>
          <w:w w:val="105"/>
        </w:rPr>
      </w:pPr>
      <w:r w:rsidRPr="00C36180">
        <w:rPr>
          <w:rFonts w:ascii="Calibri" w:hAnsi="Calibri"/>
          <w:color w:val="231F20"/>
          <w:w w:val="105"/>
        </w:rPr>
        <w:t>Identify issues, policies</w:t>
      </w:r>
      <w:r w:rsidR="00D5537E">
        <w:rPr>
          <w:rFonts w:ascii="Calibri" w:hAnsi="Calibri"/>
          <w:color w:val="231F20"/>
          <w:w w:val="105"/>
        </w:rPr>
        <w:t xml:space="preserve"> and</w:t>
      </w:r>
      <w:r w:rsidRPr="00C36180">
        <w:rPr>
          <w:rFonts w:ascii="Calibri" w:hAnsi="Calibri"/>
          <w:color w:val="231F20"/>
          <w:w w:val="105"/>
        </w:rPr>
        <w:t xml:space="preserve"> practices that present systemic barriers to effective participation of individuals with the most significant disabilities</w:t>
      </w:r>
      <w:r w:rsidR="00D5537E">
        <w:rPr>
          <w:rFonts w:ascii="Calibri" w:hAnsi="Calibri"/>
          <w:color w:val="231F20"/>
          <w:w w:val="105"/>
        </w:rPr>
        <w:t xml:space="preserve"> and</w:t>
      </w:r>
      <w:r w:rsidRPr="00C36180">
        <w:rPr>
          <w:rFonts w:ascii="Calibri" w:hAnsi="Calibri"/>
          <w:color w:val="231F20"/>
          <w:w w:val="105"/>
        </w:rPr>
        <w:t xml:space="preserve"> develop appropriate resolutions to remove such barriers.</w:t>
      </w:r>
    </w:p>
    <w:p w14:paraId="3EB1043E" w14:textId="77777777" w:rsidR="00C36180" w:rsidRDefault="00C36180" w:rsidP="00D63204">
      <w:pPr>
        <w:widowControl w:val="0"/>
        <w:spacing w:after="0" w:line="264" w:lineRule="exact"/>
        <w:ind w:left="90" w:hanging="18"/>
        <w:rPr>
          <w:rFonts w:ascii="Calibri" w:hAnsi="Calibri"/>
          <w:color w:val="231F20"/>
          <w:w w:val="105"/>
        </w:rPr>
      </w:pPr>
    </w:p>
    <w:p w14:paraId="178066CA" w14:textId="1365AD2B" w:rsidR="005E70F5" w:rsidRPr="00C36180" w:rsidRDefault="005E70F5" w:rsidP="00D63204">
      <w:pPr>
        <w:pStyle w:val="ListParagraph"/>
        <w:widowControl w:val="0"/>
        <w:numPr>
          <w:ilvl w:val="0"/>
          <w:numId w:val="109"/>
        </w:numPr>
        <w:spacing w:after="0" w:line="264" w:lineRule="exact"/>
        <w:rPr>
          <w:rFonts w:ascii="Calibri" w:hAnsi="Calibri"/>
          <w:color w:val="231F20"/>
          <w:w w:val="105"/>
        </w:rPr>
      </w:pPr>
      <w:r w:rsidRPr="00C36180">
        <w:rPr>
          <w:rFonts w:ascii="Calibri" w:hAnsi="Calibri"/>
          <w:color w:val="231F20"/>
          <w:w w:val="105"/>
        </w:rPr>
        <w:t>Continue to implement an interagency planning process for budget coordination, which defines and projects the number of people in need of intensive and extended services for each fiscal year and facilitates program and fiscal planning.</w:t>
      </w:r>
    </w:p>
    <w:p w14:paraId="062C078B" w14:textId="77777777" w:rsidR="00C36180" w:rsidRDefault="00C36180" w:rsidP="00D63204">
      <w:pPr>
        <w:widowControl w:val="0"/>
        <w:spacing w:after="0" w:line="264" w:lineRule="exact"/>
        <w:ind w:left="90" w:hanging="18"/>
        <w:rPr>
          <w:rFonts w:ascii="Calibri" w:hAnsi="Calibri"/>
          <w:color w:val="231F20"/>
          <w:w w:val="105"/>
        </w:rPr>
      </w:pPr>
    </w:p>
    <w:p w14:paraId="33F401EA" w14:textId="6FE6D952" w:rsidR="005E70F5" w:rsidRPr="00C36180" w:rsidRDefault="005E70F5" w:rsidP="00D63204">
      <w:pPr>
        <w:pStyle w:val="ListParagraph"/>
        <w:widowControl w:val="0"/>
        <w:numPr>
          <w:ilvl w:val="0"/>
          <w:numId w:val="109"/>
        </w:numPr>
        <w:spacing w:after="0" w:line="264" w:lineRule="exact"/>
        <w:rPr>
          <w:rFonts w:ascii="Calibri" w:hAnsi="Calibri"/>
          <w:color w:val="231F20"/>
          <w:w w:val="105"/>
        </w:rPr>
      </w:pPr>
      <w:r w:rsidRPr="00C36180">
        <w:rPr>
          <w:rFonts w:ascii="Calibri" w:hAnsi="Calibri"/>
          <w:color w:val="231F20"/>
          <w:w w:val="105"/>
        </w:rPr>
        <w:t>Support the belief that all individuals with disabilities can work if provided appropriate services and supports and that a team approach is needed to facilitate quality and appropriate services.</w:t>
      </w:r>
    </w:p>
    <w:p w14:paraId="32FA4021" w14:textId="77777777" w:rsidR="005E70F5" w:rsidRPr="005E70F5" w:rsidRDefault="005E70F5" w:rsidP="00D63204">
      <w:pPr>
        <w:widowControl w:val="0"/>
        <w:spacing w:after="0" w:line="264" w:lineRule="exact"/>
        <w:ind w:left="90" w:hanging="18"/>
        <w:rPr>
          <w:rFonts w:ascii="Calibri" w:hAnsi="Calibri"/>
          <w:color w:val="231F20"/>
          <w:w w:val="105"/>
        </w:rPr>
      </w:pPr>
    </w:p>
    <w:p w14:paraId="1FBEA38A" w14:textId="77777777" w:rsidR="00240694" w:rsidRDefault="00240694">
      <w:pPr>
        <w:rPr>
          <w:rFonts w:ascii="Calibri" w:hAnsi="Calibri"/>
          <w:b/>
          <w:color w:val="231F20"/>
          <w:w w:val="105"/>
          <w:u w:val="single"/>
        </w:rPr>
      </w:pPr>
      <w:r>
        <w:rPr>
          <w:rFonts w:ascii="Calibri" w:hAnsi="Calibri"/>
          <w:b/>
          <w:color w:val="231F20"/>
          <w:w w:val="105"/>
          <w:u w:val="single"/>
        </w:rPr>
        <w:br w:type="page"/>
      </w:r>
    </w:p>
    <w:p w14:paraId="339DFF9C" w14:textId="77777777" w:rsidR="00240694" w:rsidRDefault="00240694" w:rsidP="00D63204">
      <w:pPr>
        <w:widowControl w:val="0"/>
        <w:spacing w:after="0" w:line="264" w:lineRule="exact"/>
        <w:ind w:left="90" w:hanging="18"/>
        <w:rPr>
          <w:rFonts w:ascii="Calibri" w:hAnsi="Calibri"/>
          <w:b/>
          <w:color w:val="231F20"/>
          <w:w w:val="105"/>
          <w:u w:val="single"/>
        </w:rPr>
      </w:pPr>
    </w:p>
    <w:p w14:paraId="457B0ED3" w14:textId="6F949ED3" w:rsidR="005E70F5" w:rsidRPr="00C36180" w:rsidRDefault="005E70F5" w:rsidP="00D63204">
      <w:pPr>
        <w:widowControl w:val="0"/>
        <w:spacing w:after="0" w:line="264" w:lineRule="exact"/>
        <w:ind w:left="90" w:hanging="18"/>
        <w:rPr>
          <w:rFonts w:ascii="Calibri" w:hAnsi="Calibri"/>
          <w:b/>
          <w:color w:val="231F20"/>
          <w:w w:val="105"/>
          <w:u w:val="single"/>
        </w:rPr>
      </w:pPr>
      <w:r w:rsidRPr="00C36180">
        <w:rPr>
          <w:rFonts w:ascii="Calibri" w:hAnsi="Calibri"/>
          <w:b/>
          <w:color w:val="231F20"/>
          <w:w w:val="105"/>
          <w:u w:val="single"/>
        </w:rPr>
        <w:t>Supported Employment Services</w:t>
      </w:r>
    </w:p>
    <w:p w14:paraId="1CF49084" w14:textId="77777777" w:rsidR="005E70F5" w:rsidRPr="005E70F5" w:rsidRDefault="005E70F5" w:rsidP="00D63204">
      <w:pPr>
        <w:widowControl w:val="0"/>
        <w:spacing w:after="0" w:line="264" w:lineRule="exact"/>
        <w:ind w:left="90" w:hanging="18"/>
        <w:rPr>
          <w:rFonts w:ascii="Calibri" w:hAnsi="Calibri"/>
          <w:color w:val="231F20"/>
          <w:w w:val="105"/>
        </w:rPr>
      </w:pPr>
    </w:p>
    <w:p w14:paraId="6D58E5F3" w14:textId="4D9BC99F" w:rsidR="005E70F5" w:rsidRPr="005E70F5" w:rsidRDefault="005E70F5" w:rsidP="00D63204">
      <w:pPr>
        <w:widowControl w:val="0"/>
        <w:spacing w:after="0" w:line="264" w:lineRule="exact"/>
        <w:ind w:left="90" w:hanging="18"/>
        <w:rPr>
          <w:rFonts w:ascii="Calibri" w:hAnsi="Calibri"/>
          <w:color w:val="231F20"/>
          <w:w w:val="105"/>
        </w:rPr>
      </w:pPr>
      <w:r w:rsidRPr="005E70F5">
        <w:rPr>
          <w:rFonts w:ascii="Calibri" w:hAnsi="Calibri"/>
          <w:color w:val="231F20"/>
          <w:w w:val="105"/>
        </w:rPr>
        <w:t>VR is responsible for the first phase of Supported Employment services. VR provides intensive vocational services until the individual and employer are satisfied with the Supported Employment placement</w:t>
      </w:r>
      <w:r w:rsidR="00D5537E">
        <w:rPr>
          <w:rFonts w:ascii="Calibri" w:hAnsi="Calibri"/>
          <w:color w:val="231F20"/>
          <w:w w:val="105"/>
        </w:rPr>
        <w:t xml:space="preserve"> and</w:t>
      </w:r>
      <w:r w:rsidRPr="005E70F5">
        <w:rPr>
          <w:rFonts w:ascii="Calibri" w:hAnsi="Calibri"/>
          <w:color w:val="231F20"/>
          <w:w w:val="105"/>
        </w:rPr>
        <w:t xml:space="preserve"> then the individual transitions to a plan for extended services. Supported Employment services consist of intensive, time-limited vocational rehabilitation services (the responsibility of VR) and extended services, also known as the second phase. Funding for the second phase of services is provided by other sources that   may include, but are not limited to, APD, the Department of Children and Families’ Mental Health and Substance Abuse Program</w:t>
      </w:r>
      <w:r w:rsidR="000450CA">
        <w:rPr>
          <w:rFonts w:ascii="Calibri" w:hAnsi="Calibri"/>
          <w:color w:val="231F20"/>
          <w:w w:val="105"/>
        </w:rPr>
        <w:t>s</w:t>
      </w:r>
      <w:r w:rsidRPr="005E70F5">
        <w:rPr>
          <w:rFonts w:ascii="Calibri" w:hAnsi="Calibri"/>
          <w:color w:val="231F20"/>
          <w:w w:val="105"/>
        </w:rPr>
        <w:t>, natural supports or other identified funding sources.</w:t>
      </w:r>
    </w:p>
    <w:p w14:paraId="067A9EDB" w14:textId="77777777" w:rsidR="005E70F5" w:rsidRPr="005E70F5" w:rsidRDefault="005E70F5" w:rsidP="00D63204">
      <w:pPr>
        <w:widowControl w:val="0"/>
        <w:spacing w:after="0" w:line="264" w:lineRule="exact"/>
        <w:ind w:left="90" w:hanging="18"/>
        <w:rPr>
          <w:rFonts w:ascii="Calibri" w:hAnsi="Calibri"/>
          <w:color w:val="231F20"/>
          <w:w w:val="105"/>
        </w:rPr>
      </w:pPr>
    </w:p>
    <w:p w14:paraId="292CE98A" w14:textId="77777777" w:rsidR="005E70F5" w:rsidRPr="00C36180" w:rsidRDefault="005E70F5" w:rsidP="00D63204">
      <w:pPr>
        <w:widowControl w:val="0"/>
        <w:spacing w:after="0" w:line="264" w:lineRule="exact"/>
        <w:ind w:left="90" w:hanging="18"/>
        <w:rPr>
          <w:rFonts w:ascii="Calibri" w:hAnsi="Calibri"/>
          <w:b/>
          <w:color w:val="231F20"/>
          <w:w w:val="105"/>
          <w:u w:val="single"/>
        </w:rPr>
      </w:pPr>
      <w:r w:rsidRPr="00C36180">
        <w:rPr>
          <w:rFonts w:ascii="Calibri" w:hAnsi="Calibri"/>
          <w:b/>
          <w:color w:val="231F20"/>
          <w:w w:val="105"/>
          <w:u w:val="single"/>
        </w:rPr>
        <w:t>Extended Services</w:t>
      </w:r>
    </w:p>
    <w:p w14:paraId="3B080C87" w14:textId="6C92A795" w:rsidR="005E70F5" w:rsidRDefault="005E70F5" w:rsidP="00D63204">
      <w:pPr>
        <w:widowControl w:val="0"/>
        <w:spacing w:after="0" w:line="264" w:lineRule="exact"/>
        <w:ind w:left="90" w:hanging="18"/>
        <w:rPr>
          <w:rFonts w:ascii="Calibri" w:hAnsi="Calibri"/>
          <w:color w:val="231F20"/>
          <w:w w:val="105"/>
        </w:rPr>
      </w:pPr>
      <w:r w:rsidRPr="005E70F5">
        <w:rPr>
          <w:rFonts w:ascii="Calibri" w:hAnsi="Calibri"/>
          <w:color w:val="231F20"/>
          <w:w w:val="105"/>
        </w:rPr>
        <w:t>The purpose of extended services is to maintain the individual in SE that is competitive and integrated, enhance the individual’s involvement in the workplace culture</w:t>
      </w:r>
      <w:r w:rsidR="00D5537E">
        <w:rPr>
          <w:rFonts w:ascii="Calibri" w:hAnsi="Calibri"/>
          <w:color w:val="231F20"/>
          <w:w w:val="105"/>
        </w:rPr>
        <w:t xml:space="preserve"> and</w:t>
      </w:r>
      <w:r w:rsidRPr="005E70F5">
        <w:rPr>
          <w:rFonts w:ascii="Calibri" w:hAnsi="Calibri"/>
          <w:color w:val="231F20"/>
          <w:w w:val="105"/>
        </w:rPr>
        <w:t xml:space="preserve"> provide supports for career advancement. The nature of services provided during the intensive and extended phases may be similar to the initial services provided by VR but will differ in intensity.</w:t>
      </w:r>
    </w:p>
    <w:p w14:paraId="6BE92C5C" w14:textId="77777777" w:rsidR="00096B5A" w:rsidRPr="005E70F5" w:rsidRDefault="00096B5A" w:rsidP="00D63204">
      <w:pPr>
        <w:widowControl w:val="0"/>
        <w:spacing w:after="0" w:line="264" w:lineRule="exact"/>
        <w:ind w:left="90" w:hanging="18"/>
        <w:rPr>
          <w:rFonts w:ascii="Calibri" w:hAnsi="Calibri"/>
          <w:color w:val="231F20"/>
          <w:w w:val="105"/>
        </w:rPr>
      </w:pPr>
    </w:p>
    <w:p w14:paraId="3ED57621" w14:textId="77777777" w:rsidR="005E70F5" w:rsidRPr="005E70F5" w:rsidRDefault="005E70F5" w:rsidP="00D63204">
      <w:pPr>
        <w:widowControl w:val="0"/>
        <w:spacing w:after="0" w:line="264" w:lineRule="exact"/>
        <w:ind w:left="90" w:hanging="18"/>
        <w:rPr>
          <w:rFonts w:ascii="Calibri" w:hAnsi="Calibri"/>
          <w:color w:val="231F20"/>
          <w:w w:val="105"/>
        </w:rPr>
      </w:pPr>
      <w:r w:rsidRPr="005E70F5">
        <w:rPr>
          <w:rFonts w:ascii="Calibri" w:hAnsi="Calibri"/>
          <w:color w:val="231F20"/>
          <w:w w:val="105"/>
        </w:rPr>
        <w:t xml:space="preserve">VR and its partners continuously seek alternative methods (e.g. social security incentives, natural supports, etc.) to provide extended services. VR has encouraged Supported Employment providers to focus on developing natural supports and to encourage employers to act in a support role since this will often occur naturally in the labor market. </w:t>
      </w:r>
    </w:p>
    <w:p w14:paraId="1E2196B9" w14:textId="77777777" w:rsidR="005E70F5" w:rsidRPr="005E70F5" w:rsidRDefault="005E70F5" w:rsidP="00D63204">
      <w:pPr>
        <w:widowControl w:val="0"/>
        <w:spacing w:after="0" w:line="264" w:lineRule="exact"/>
        <w:ind w:left="90" w:hanging="18"/>
        <w:rPr>
          <w:rFonts w:ascii="Calibri" w:hAnsi="Calibri"/>
          <w:color w:val="231F20"/>
          <w:w w:val="105"/>
        </w:rPr>
      </w:pPr>
    </w:p>
    <w:p w14:paraId="61D428B2" w14:textId="793895A9" w:rsidR="0092061F" w:rsidRDefault="005E70F5" w:rsidP="00D63204">
      <w:pPr>
        <w:widowControl w:val="0"/>
        <w:spacing w:after="0" w:line="264" w:lineRule="exact"/>
        <w:ind w:left="90" w:hanging="18"/>
        <w:rPr>
          <w:rFonts w:ascii="Calibri" w:hAnsi="Calibri"/>
          <w:color w:val="231F20"/>
          <w:w w:val="105"/>
        </w:rPr>
      </w:pPr>
      <w:r w:rsidRPr="005E70F5">
        <w:rPr>
          <w:rFonts w:ascii="Calibri" w:hAnsi="Calibri"/>
          <w:color w:val="231F20"/>
          <w:w w:val="105"/>
        </w:rPr>
        <w:t xml:space="preserve">VR is now authorized to fund Extended Services for youth with the most significant disabilities for </w:t>
      </w:r>
      <w:r w:rsidR="000E7DD7" w:rsidRPr="005E70F5">
        <w:rPr>
          <w:rFonts w:ascii="Calibri" w:hAnsi="Calibri"/>
          <w:color w:val="231F20"/>
          <w:w w:val="105"/>
        </w:rPr>
        <w:t>a period</w:t>
      </w:r>
      <w:r w:rsidRPr="005E70F5">
        <w:rPr>
          <w:rFonts w:ascii="Calibri" w:hAnsi="Calibri"/>
          <w:color w:val="231F20"/>
          <w:w w:val="105"/>
        </w:rPr>
        <w:t xml:space="preserve"> of up to four years, if necessary</w:t>
      </w:r>
      <w:r w:rsidR="00D5537E">
        <w:rPr>
          <w:rFonts w:ascii="Calibri" w:hAnsi="Calibri"/>
          <w:color w:val="231F20"/>
          <w:w w:val="105"/>
        </w:rPr>
        <w:t xml:space="preserve"> and</w:t>
      </w:r>
      <w:r w:rsidRPr="005E70F5">
        <w:rPr>
          <w:rFonts w:ascii="Calibri" w:hAnsi="Calibri"/>
          <w:color w:val="231F20"/>
          <w:w w:val="105"/>
        </w:rPr>
        <w:t xml:space="preserve"> funding permits. Allowances would be made for individuals who, while receiving extended services, require additional intensive services through VR because they have destabilized on the job. When appropriate, VR will again assume the responsibility and cost of providing intensive vocational services, including necessary job-related support services.</w:t>
      </w:r>
    </w:p>
    <w:p w14:paraId="03B44D0A" w14:textId="77777777" w:rsidR="00C36180" w:rsidRPr="00EA7458" w:rsidRDefault="00C36180" w:rsidP="00D63204">
      <w:pPr>
        <w:widowControl w:val="0"/>
        <w:spacing w:after="0" w:line="264" w:lineRule="exact"/>
        <w:ind w:left="90" w:hanging="18"/>
        <w:rPr>
          <w:rFonts w:ascii="Calibri" w:hAnsi="Calibri" w:cs="Calibri"/>
          <w:sz w:val="14"/>
          <w:szCs w:val="14"/>
        </w:rPr>
      </w:pPr>
    </w:p>
    <w:p w14:paraId="082FECC6" w14:textId="2E22249E" w:rsidR="00EA7458" w:rsidRPr="00493CD4" w:rsidRDefault="00C36180" w:rsidP="00D63204">
      <w:pPr>
        <w:widowControl w:val="0"/>
        <w:numPr>
          <w:ilvl w:val="0"/>
          <w:numId w:val="49"/>
        </w:numPr>
        <w:tabs>
          <w:tab w:val="left" w:pos="828"/>
        </w:tabs>
        <w:spacing w:before="52" w:after="0" w:line="240" w:lineRule="auto"/>
        <w:outlineLvl w:val="1"/>
        <w:rPr>
          <w:rFonts w:ascii="Calibri" w:hAnsi="Calibri"/>
          <w:color w:val="1F497D" w:themeColor="text2"/>
          <w:sz w:val="26"/>
          <w:szCs w:val="26"/>
        </w:rPr>
      </w:pPr>
      <w:bookmarkStart w:id="141" w:name="_bookmark82"/>
      <w:bookmarkStart w:id="142" w:name="_bookmark81"/>
      <w:bookmarkEnd w:id="141"/>
      <w:bookmarkEnd w:id="142"/>
      <w:r w:rsidRPr="00493CD4">
        <w:rPr>
          <w:rFonts w:ascii="Calibri" w:hAnsi="Calibri"/>
          <w:b/>
          <w:bCs/>
          <w:color w:val="1F497D" w:themeColor="text2"/>
          <w:w w:val="110"/>
          <w:sz w:val="26"/>
          <w:szCs w:val="26"/>
        </w:rPr>
        <w:t>Coordination with Employers</w:t>
      </w:r>
    </w:p>
    <w:p w14:paraId="0424DCC7" w14:textId="77777777" w:rsidR="00C36180" w:rsidRPr="00A23800" w:rsidRDefault="00C36180" w:rsidP="00D63204">
      <w:pPr>
        <w:widowControl w:val="0"/>
        <w:spacing w:before="183" w:after="0" w:line="240" w:lineRule="auto"/>
        <w:ind w:left="107"/>
        <w:rPr>
          <w:rFonts w:ascii="Calibri" w:hAnsi="Calibri"/>
        </w:rPr>
      </w:pPr>
      <w:r w:rsidRPr="00A23800">
        <w:rPr>
          <w:rFonts w:ascii="Calibri" w:hAnsi="Calibri"/>
          <w:color w:val="231F20"/>
          <w:w w:val="105"/>
        </w:rPr>
        <w:t>The</w:t>
      </w:r>
      <w:r w:rsidRPr="00A23800">
        <w:rPr>
          <w:rFonts w:ascii="Calibri" w:hAnsi="Calibri"/>
          <w:color w:val="231F20"/>
          <w:spacing w:val="12"/>
          <w:w w:val="105"/>
        </w:rPr>
        <w:t xml:space="preserve"> </w:t>
      </w:r>
      <w:r w:rsidRPr="00A23800">
        <w:rPr>
          <w:rFonts w:ascii="Calibri" w:hAnsi="Calibri"/>
          <w:color w:val="231F20"/>
          <w:w w:val="105"/>
        </w:rPr>
        <w:t>Florida</w:t>
      </w:r>
      <w:r w:rsidRPr="00A23800">
        <w:rPr>
          <w:rFonts w:ascii="Calibri" w:hAnsi="Calibri"/>
          <w:color w:val="231F20"/>
          <w:spacing w:val="12"/>
          <w:w w:val="105"/>
        </w:rPr>
        <w:t xml:space="preserve"> </w:t>
      </w:r>
      <w:r w:rsidRPr="00A23800">
        <w:rPr>
          <w:rFonts w:ascii="Calibri" w:hAnsi="Calibri"/>
          <w:color w:val="231F20"/>
          <w:w w:val="105"/>
        </w:rPr>
        <w:t>Division</w:t>
      </w:r>
      <w:r w:rsidRPr="00A23800">
        <w:rPr>
          <w:rFonts w:ascii="Calibri" w:hAnsi="Calibri"/>
          <w:color w:val="231F20"/>
          <w:spacing w:val="12"/>
          <w:w w:val="105"/>
        </w:rPr>
        <w:t xml:space="preserve"> </w:t>
      </w:r>
      <w:r w:rsidRPr="00A23800">
        <w:rPr>
          <w:rFonts w:ascii="Calibri" w:hAnsi="Calibri"/>
          <w:color w:val="231F20"/>
          <w:w w:val="105"/>
        </w:rPr>
        <w:t>of</w:t>
      </w:r>
      <w:r w:rsidRPr="00A23800">
        <w:rPr>
          <w:rFonts w:ascii="Calibri" w:hAnsi="Calibri"/>
          <w:color w:val="231F20"/>
          <w:spacing w:val="12"/>
          <w:w w:val="105"/>
        </w:rPr>
        <w:t xml:space="preserve"> </w:t>
      </w:r>
      <w:r w:rsidRPr="00A23800">
        <w:rPr>
          <w:rFonts w:ascii="Calibri" w:hAnsi="Calibri"/>
          <w:color w:val="231F20"/>
          <w:w w:val="105"/>
        </w:rPr>
        <w:t>Vocational</w:t>
      </w:r>
      <w:r w:rsidRPr="00A23800">
        <w:rPr>
          <w:rFonts w:ascii="Calibri" w:hAnsi="Calibri"/>
          <w:color w:val="231F20"/>
          <w:spacing w:val="12"/>
          <w:w w:val="105"/>
        </w:rPr>
        <w:t xml:space="preserve"> </w:t>
      </w:r>
      <w:r w:rsidRPr="00A23800">
        <w:rPr>
          <w:rFonts w:ascii="Calibri" w:hAnsi="Calibri"/>
          <w:color w:val="231F20"/>
          <w:w w:val="105"/>
        </w:rPr>
        <w:t>Rehabilitation</w:t>
      </w:r>
      <w:r w:rsidRPr="00A23800">
        <w:rPr>
          <w:rFonts w:ascii="Calibri" w:hAnsi="Calibri"/>
          <w:color w:val="231F20"/>
          <w:spacing w:val="12"/>
          <w:w w:val="105"/>
        </w:rPr>
        <w:t xml:space="preserve"> </w:t>
      </w:r>
      <w:r w:rsidRPr="00A23800">
        <w:rPr>
          <w:rFonts w:ascii="Calibri" w:hAnsi="Calibri"/>
          <w:color w:val="231F20"/>
          <w:w w:val="105"/>
        </w:rPr>
        <w:t>(VR)</w:t>
      </w:r>
      <w:r w:rsidRPr="00A23800">
        <w:rPr>
          <w:rFonts w:ascii="Calibri" w:hAnsi="Calibri"/>
          <w:color w:val="231F20"/>
          <w:spacing w:val="12"/>
          <w:w w:val="105"/>
        </w:rPr>
        <w:t xml:space="preserve"> </w:t>
      </w:r>
      <w:r w:rsidRPr="00A23800">
        <w:rPr>
          <w:rFonts w:ascii="Calibri" w:hAnsi="Calibri"/>
          <w:color w:val="231F20"/>
          <w:w w:val="105"/>
        </w:rPr>
        <w:t>has</w:t>
      </w:r>
      <w:r w:rsidRPr="00A23800">
        <w:rPr>
          <w:rFonts w:ascii="Calibri" w:hAnsi="Calibri"/>
          <w:color w:val="231F20"/>
          <w:spacing w:val="12"/>
          <w:w w:val="105"/>
        </w:rPr>
        <w:t xml:space="preserve"> </w:t>
      </w:r>
      <w:r w:rsidRPr="00A23800">
        <w:rPr>
          <w:rFonts w:ascii="Calibri" w:hAnsi="Calibri"/>
          <w:color w:val="231F20"/>
          <w:w w:val="105"/>
        </w:rPr>
        <w:t>formalized</w:t>
      </w:r>
      <w:r w:rsidRPr="00A23800">
        <w:rPr>
          <w:rFonts w:ascii="Calibri" w:hAnsi="Calibri"/>
          <w:color w:val="231F20"/>
          <w:spacing w:val="12"/>
          <w:w w:val="105"/>
        </w:rPr>
        <w:t xml:space="preserve"> </w:t>
      </w:r>
      <w:r w:rsidRPr="00A23800">
        <w:rPr>
          <w:rFonts w:ascii="Calibri" w:hAnsi="Calibri"/>
          <w:color w:val="231F20"/>
          <w:w w:val="105"/>
        </w:rPr>
        <w:t>a</w:t>
      </w:r>
      <w:r w:rsidRPr="00A23800">
        <w:rPr>
          <w:rFonts w:ascii="Calibri" w:hAnsi="Calibri"/>
          <w:color w:val="231F20"/>
          <w:spacing w:val="12"/>
          <w:w w:val="105"/>
        </w:rPr>
        <w:t xml:space="preserve"> </w:t>
      </w:r>
      <w:r w:rsidRPr="00A23800">
        <w:rPr>
          <w:rFonts w:ascii="Calibri" w:hAnsi="Calibri"/>
          <w:color w:val="231F20"/>
          <w:w w:val="105"/>
        </w:rPr>
        <w:t>Business</w:t>
      </w:r>
      <w:r w:rsidRPr="00A23800">
        <w:rPr>
          <w:rFonts w:ascii="Calibri" w:hAnsi="Calibri"/>
          <w:color w:val="231F20"/>
          <w:spacing w:val="12"/>
          <w:w w:val="105"/>
        </w:rPr>
        <w:t xml:space="preserve"> </w:t>
      </w:r>
      <w:r w:rsidRPr="00A23800">
        <w:rPr>
          <w:rFonts w:ascii="Calibri" w:hAnsi="Calibri"/>
          <w:color w:val="231F20"/>
          <w:w w:val="105"/>
        </w:rPr>
        <w:t>Relations</w:t>
      </w:r>
      <w:r w:rsidRPr="00A23800">
        <w:rPr>
          <w:rFonts w:ascii="Calibri" w:hAnsi="Calibri"/>
          <w:color w:val="231F20"/>
          <w:spacing w:val="12"/>
          <w:w w:val="105"/>
        </w:rPr>
        <w:t xml:space="preserve"> </w:t>
      </w:r>
      <w:r w:rsidRPr="00A23800">
        <w:rPr>
          <w:rFonts w:ascii="Calibri" w:hAnsi="Calibri"/>
          <w:color w:val="231F20"/>
          <w:w w:val="105"/>
        </w:rPr>
        <w:t>Program,</w:t>
      </w:r>
      <w:r w:rsidRPr="00A23800">
        <w:rPr>
          <w:rFonts w:ascii="Calibri" w:hAnsi="Calibri"/>
          <w:color w:val="231F20"/>
          <w:spacing w:val="12"/>
          <w:w w:val="105"/>
        </w:rPr>
        <w:t xml:space="preserve"> </w:t>
      </w:r>
      <w:r w:rsidRPr="00A23800">
        <w:rPr>
          <w:rFonts w:ascii="Calibri" w:hAnsi="Calibri"/>
          <w:color w:val="231F20"/>
          <w:w w:val="105"/>
        </w:rPr>
        <w:t>with</w:t>
      </w:r>
      <w:r w:rsidRPr="00A23800">
        <w:rPr>
          <w:rFonts w:ascii="Calibri" w:hAnsi="Calibri"/>
          <w:color w:val="231F20"/>
          <w:spacing w:val="-28"/>
          <w:w w:val="105"/>
        </w:rPr>
        <w:t xml:space="preserve"> </w:t>
      </w:r>
      <w:r w:rsidRPr="00A23800">
        <w:rPr>
          <w:rFonts w:ascii="Calibri" w:hAnsi="Calibri"/>
          <w:color w:val="231F20"/>
          <w:w w:val="105"/>
        </w:rPr>
        <w:t>the</w:t>
      </w:r>
      <w:r w:rsidRPr="00A23800">
        <w:rPr>
          <w:rFonts w:ascii="Calibri" w:hAnsi="Calibri"/>
          <w:color w:val="231F20"/>
          <w:spacing w:val="11"/>
          <w:w w:val="105"/>
        </w:rPr>
        <w:t xml:space="preserve"> </w:t>
      </w:r>
      <w:r w:rsidRPr="00A23800">
        <w:rPr>
          <w:rFonts w:ascii="Calibri" w:hAnsi="Calibri"/>
          <w:color w:val="231F20"/>
          <w:w w:val="105"/>
        </w:rPr>
        <w:t>vision</w:t>
      </w:r>
      <w:r w:rsidRPr="00A23800">
        <w:rPr>
          <w:rFonts w:ascii="Calibri" w:hAnsi="Calibri"/>
          <w:color w:val="231F20"/>
          <w:spacing w:val="11"/>
          <w:w w:val="105"/>
        </w:rPr>
        <w:t xml:space="preserve"> </w:t>
      </w:r>
      <w:r w:rsidRPr="00A23800">
        <w:rPr>
          <w:rFonts w:ascii="Calibri" w:hAnsi="Calibri"/>
          <w:color w:val="231F20"/>
          <w:w w:val="105"/>
        </w:rPr>
        <w:t>to</w:t>
      </w:r>
      <w:r w:rsidRPr="00A23800">
        <w:rPr>
          <w:rFonts w:ascii="Calibri" w:hAnsi="Calibri"/>
          <w:color w:val="231F20"/>
          <w:spacing w:val="11"/>
          <w:w w:val="105"/>
        </w:rPr>
        <w:t xml:space="preserve"> </w:t>
      </w:r>
      <w:r w:rsidRPr="00A23800">
        <w:rPr>
          <w:rFonts w:ascii="Calibri" w:hAnsi="Calibri"/>
          <w:color w:val="231F20"/>
          <w:w w:val="105"/>
        </w:rPr>
        <w:t>build</w:t>
      </w:r>
      <w:r w:rsidRPr="00A23800">
        <w:rPr>
          <w:rFonts w:ascii="Calibri" w:hAnsi="Calibri"/>
          <w:color w:val="231F20"/>
          <w:spacing w:val="11"/>
          <w:w w:val="105"/>
        </w:rPr>
        <w:t xml:space="preserve"> </w:t>
      </w:r>
      <w:r w:rsidRPr="00A23800">
        <w:rPr>
          <w:rFonts w:ascii="Calibri" w:hAnsi="Calibri"/>
          <w:color w:val="231F20"/>
          <w:w w:val="105"/>
        </w:rPr>
        <w:t>and</w:t>
      </w:r>
      <w:r w:rsidRPr="00A23800">
        <w:rPr>
          <w:rFonts w:ascii="Calibri" w:hAnsi="Calibri"/>
          <w:color w:val="231F20"/>
          <w:spacing w:val="11"/>
          <w:w w:val="105"/>
        </w:rPr>
        <w:t xml:space="preserve"> </w:t>
      </w:r>
      <w:r w:rsidRPr="00A23800">
        <w:rPr>
          <w:rFonts w:ascii="Calibri" w:hAnsi="Calibri"/>
          <w:color w:val="231F20"/>
          <w:w w:val="105"/>
        </w:rPr>
        <w:t>sustain</w:t>
      </w:r>
      <w:r w:rsidRPr="00A23800">
        <w:rPr>
          <w:rFonts w:ascii="Calibri" w:hAnsi="Calibri"/>
          <w:color w:val="231F20"/>
          <w:spacing w:val="11"/>
          <w:w w:val="105"/>
        </w:rPr>
        <w:t xml:space="preserve"> </w:t>
      </w:r>
      <w:r w:rsidRPr="00A23800">
        <w:rPr>
          <w:rFonts w:ascii="Calibri" w:hAnsi="Calibri"/>
          <w:color w:val="231F20"/>
          <w:w w:val="105"/>
        </w:rPr>
        <w:t>partnerships</w:t>
      </w:r>
      <w:r w:rsidRPr="00A23800">
        <w:rPr>
          <w:rFonts w:ascii="Calibri" w:hAnsi="Calibri"/>
          <w:color w:val="231F20"/>
          <w:spacing w:val="11"/>
          <w:w w:val="105"/>
        </w:rPr>
        <w:t xml:space="preserve"> </w:t>
      </w:r>
      <w:r w:rsidRPr="00A23800">
        <w:rPr>
          <w:rFonts w:ascii="Calibri" w:hAnsi="Calibri"/>
          <w:color w:val="231F20"/>
          <w:w w:val="105"/>
        </w:rPr>
        <w:t>with</w:t>
      </w:r>
      <w:r w:rsidRPr="00A23800">
        <w:rPr>
          <w:rFonts w:ascii="Calibri" w:hAnsi="Calibri"/>
          <w:color w:val="231F20"/>
          <w:spacing w:val="11"/>
          <w:w w:val="105"/>
        </w:rPr>
        <w:t xml:space="preserve"> </w:t>
      </w:r>
      <w:r w:rsidRPr="00A23800">
        <w:rPr>
          <w:rFonts w:ascii="Calibri" w:hAnsi="Calibri"/>
          <w:color w:val="231F20"/>
          <w:w w:val="105"/>
        </w:rPr>
        <w:t>business</w:t>
      </w:r>
      <w:r w:rsidRPr="00A23800">
        <w:rPr>
          <w:rFonts w:ascii="Calibri" w:hAnsi="Calibri"/>
          <w:color w:val="231F20"/>
          <w:spacing w:val="11"/>
          <w:w w:val="105"/>
        </w:rPr>
        <w:t xml:space="preserve"> </w:t>
      </w:r>
      <w:r w:rsidRPr="00A23800">
        <w:rPr>
          <w:rFonts w:ascii="Calibri" w:hAnsi="Calibri"/>
          <w:color w:val="231F20"/>
          <w:w w:val="105"/>
        </w:rPr>
        <w:t>and</w:t>
      </w:r>
      <w:r w:rsidRPr="00A23800">
        <w:rPr>
          <w:rFonts w:ascii="Calibri" w:hAnsi="Calibri"/>
          <w:color w:val="231F20"/>
          <w:spacing w:val="11"/>
          <w:w w:val="105"/>
        </w:rPr>
        <w:t xml:space="preserve"> </w:t>
      </w:r>
      <w:r w:rsidRPr="00A23800">
        <w:rPr>
          <w:rFonts w:ascii="Calibri" w:hAnsi="Calibri"/>
          <w:color w:val="231F20"/>
          <w:w w:val="105"/>
        </w:rPr>
        <w:t>industry</w:t>
      </w:r>
      <w:r w:rsidRPr="00A23800">
        <w:rPr>
          <w:rFonts w:ascii="Calibri" w:hAnsi="Calibri"/>
          <w:color w:val="231F20"/>
          <w:spacing w:val="11"/>
          <w:w w:val="105"/>
        </w:rPr>
        <w:t xml:space="preserve"> </w:t>
      </w:r>
      <w:r w:rsidRPr="00A23800">
        <w:rPr>
          <w:rFonts w:ascii="Calibri" w:hAnsi="Calibri"/>
          <w:color w:val="231F20"/>
          <w:w w:val="105"/>
        </w:rPr>
        <w:t>through</w:t>
      </w:r>
      <w:r w:rsidRPr="00A23800">
        <w:rPr>
          <w:rFonts w:ascii="Calibri" w:hAnsi="Calibri"/>
          <w:color w:val="231F20"/>
          <w:spacing w:val="11"/>
          <w:w w:val="105"/>
        </w:rPr>
        <w:t xml:space="preserve"> </w:t>
      </w:r>
      <w:r w:rsidRPr="00A23800">
        <w:rPr>
          <w:rFonts w:ascii="Calibri" w:hAnsi="Calibri"/>
          <w:color w:val="231F20"/>
          <w:w w:val="105"/>
        </w:rPr>
        <w:t>effective</w:t>
      </w:r>
      <w:r w:rsidRPr="00A23800">
        <w:rPr>
          <w:rFonts w:ascii="Calibri" w:hAnsi="Calibri"/>
          <w:color w:val="231F20"/>
          <w:spacing w:val="11"/>
          <w:w w:val="105"/>
        </w:rPr>
        <w:t xml:space="preserve"> </w:t>
      </w:r>
      <w:r w:rsidRPr="00A23800">
        <w:rPr>
          <w:rFonts w:ascii="Calibri" w:hAnsi="Calibri"/>
          <w:color w:val="231F20"/>
          <w:w w:val="105"/>
        </w:rPr>
        <w:t>services</w:t>
      </w:r>
      <w:r w:rsidRPr="00A23800">
        <w:rPr>
          <w:rFonts w:ascii="Calibri" w:hAnsi="Calibri"/>
          <w:color w:val="231F20"/>
          <w:spacing w:val="11"/>
          <w:w w:val="105"/>
        </w:rPr>
        <w:t xml:space="preserve"> </w:t>
      </w:r>
      <w:r w:rsidRPr="00A23800">
        <w:rPr>
          <w:rFonts w:ascii="Calibri" w:hAnsi="Calibri"/>
          <w:color w:val="231F20"/>
          <w:w w:val="105"/>
        </w:rPr>
        <w:t>that</w:t>
      </w:r>
      <w:r w:rsidRPr="00A23800">
        <w:rPr>
          <w:rFonts w:ascii="Calibri" w:hAnsi="Calibri"/>
          <w:color w:val="231F20"/>
          <w:spacing w:val="11"/>
          <w:w w:val="105"/>
        </w:rPr>
        <w:t xml:space="preserve"> </w:t>
      </w:r>
      <w:r w:rsidRPr="00A23800">
        <w:rPr>
          <w:rFonts w:ascii="Calibri" w:hAnsi="Calibri"/>
          <w:color w:val="231F20"/>
          <w:w w:val="105"/>
        </w:rPr>
        <w:t>are</w:t>
      </w:r>
      <w:r w:rsidRPr="00A23800">
        <w:rPr>
          <w:rFonts w:ascii="Calibri" w:hAnsi="Calibri"/>
          <w:color w:val="231F20"/>
          <w:spacing w:val="-37"/>
          <w:w w:val="105"/>
        </w:rPr>
        <w:t xml:space="preserve"> </w:t>
      </w:r>
      <w:r w:rsidRPr="00A23800">
        <w:rPr>
          <w:rFonts w:ascii="Calibri" w:hAnsi="Calibri"/>
          <w:color w:val="231F20"/>
          <w:w w:val="105"/>
        </w:rPr>
        <w:t>driven</w:t>
      </w:r>
      <w:r w:rsidRPr="00A23800">
        <w:rPr>
          <w:rFonts w:ascii="Calibri" w:hAnsi="Calibri"/>
          <w:color w:val="231F20"/>
          <w:spacing w:val="13"/>
          <w:w w:val="105"/>
        </w:rPr>
        <w:t xml:space="preserve"> </w:t>
      </w:r>
      <w:r w:rsidRPr="00A23800">
        <w:rPr>
          <w:rFonts w:ascii="Calibri" w:hAnsi="Calibri"/>
          <w:color w:val="231F20"/>
          <w:w w:val="105"/>
        </w:rPr>
        <w:t>by</w:t>
      </w:r>
      <w:r w:rsidRPr="00A23800">
        <w:rPr>
          <w:rFonts w:ascii="Calibri" w:hAnsi="Calibri"/>
          <w:color w:val="231F20"/>
          <w:spacing w:val="13"/>
          <w:w w:val="105"/>
        </w:rPr>
        <w:t xml:space="preserve"> </w:t>
      </w:r>
      <w:r w:rsidRPr="00A23800">
        <w:rPr>
          <w:rFonts w:ascii="Calibri" w:hAnsi="Calibri"/>
          <w:color w:val="231F20"/>
          <w:w w:val="105"/>
        </w:rPr>
        <w:t>the</w:t>
      </w:r>
      <w:r w:rsidRPr="00A23800">
        <w:rPr>
          <w:rFonts w:ascii="Calibri" w:hAnsi="Calibri"/>
          <w:color w:val="231F20"/>
          <w:spacing w:val="13"/>
          <w:w w:val="105"/>
        </w:rPr>
        <w:t xml:space="preserve"> </w:t>
      </w:r>
      <w:r w:rsidRPr="00A23800">
        <w:rPr>
          <w:rFonts w:ascii="Calibri" w:hAnsi="Calibri"/>
          <w:color w:val="231F20"/>
          <w:w w:val="105"/>
        </w:rPr>
        <w:t>needs</w:t>
      </w:r>
      <w:r w:rsidRPr="00A23800">
        <w:rPr>
          <w:rFonts w:ascii="Calibri" w:hAnsi="Calibri"/>
          <w:color w:val="231F20"/>
          <w:spacing w:val="13"/>
          <w:w w:val="105"/>
        </w:rPr>
        <w:t xml:space="preserve"> </w:t>
      </w:r>
      <w:r w:rsidRPr="00A23800">
        <w:rPr>
          <w:rFonts w:ascii="Calibri" w:hAnsi="Calibri"/>
          <w:color w:val="231F20"/>
          <w:w w:val="105"/>
        </w:rPr>
        <w:t>of</w:t>
      </w:r>
      <w:r w:rsidRPr="00A23800">
        <w:rPr>
          <w:rFonts w:ascii="Calibri" w:hAnsi="Calibri"/>
          <w:color w:val="231F20"/>
          <w:spacing w:val="13"/>
          <w:w w:val="105"/>
        </w:rPr>
        <w:t xml:space="preserve"> </w:t>
      </w:r>
      <w:r w:rsidRPr="00A23800">
        <w:rPr>
          <w:rFonts w:ascii="Calibri" w:hAnsi="Calibri"/>
          <w:color w:val="231F20"/>
          <w:w w:val="105"/>
        </w:rPr>
        <w:t>employers.</w:t>
      </w:r>
      <w:r w:rsidRPr="00A23800">
        <w:rPr>
          <w:rFonts w:ascii="Calibri" w:hAnsi="Calibri"/>
          <w:color w:val="231F20"/>
          <w:spacing w:val="13"/>
          <w:w w:val="105"/>
        </w:rPr>
        <w:t xml:space="preserve"> </w:t>
      </w:r>
      <w:r w:rsidRPr="00A23800">
        <w:rPr>
          <w:rFonts w:ascii="Calibri" w:hAnsi="Calibri"/>
          <w:color w:val="231F20"/>
          <w:w w:val="105"/>
        </w:rPr>
        <w:t>These</w:t>
      </w:r>
      <w:r w:rsidRPr="00A23800">
        <w:rPr>
          <w:rFonts w:ascii="Calibri" w:hAnsi="Calibri"/>
          <w:color w:val="231F20"/>
          <w:spacing w:val="13"/>
          <w:w w:val="105"/>
        </w:rPr>
        <w:t xml:space="preserve"> </w:t>
      </w:r>
      <w:r w:rsidRPr="00A23800">
        <w:rPr>
          <w:rFonts w:ascii="Calibri" w:hAnsi="Calibri"/>
          <w:color w:val="231F20"/>
          <w:w w:val="105"/>
        </w:rPr>
        <w:t>partnerships</w:t>
      </w:r>
      <w:r w:rsidRPr="00A23800">
        <w:rPr>
          <w:rFonts w:ascii="Calibri" w:hAnsi="Calibri"/>
          <w:color w:val="231F20"/>
          <w:spacing w:val="13"/>
          <w:w w:val="105"/>
        </w:rPr>
        <w:t xml:space="preserve"> </w:t>
      </w:r>
      <w:r w:rsidRPr="00A23800">
        <w:rPr>
          <w:rFonts w:ascii="Calibri" w:hAnsi="Calibri"/>
          <w:color w:val="231F20"/>
          <w:w w:val="105"/>
        </w:rPr>
        <w:t>will</w:t>
      </w:r>
      <w:r w:rsidRPr="00A23800">
        <w:rPr>
          <w:rFonts w:ascii="Calibri" w:hAnsi="Calibri"/>
          <w:color w:val="231F20"/>
          <w:spacing w:val="13"/>
          <w:w w:val="105"/>
        </w:rPr>
        <w:t xml:space="preserve"> </w:t>
      </w:r>
      <w:r w:rsidRPr="00A23800">
        <w:rPr>
          <w:rFonts w:ascii="Calibri" w:hAnsi="Calibri"/>
          <w:color w:val="231F20"/>
          <w:w w:val="105"/>
        </w:rPr>
        <w:t>lead</w:t>
      </w:r>
      <w:r w:rsidRPr="00A23800">
        <w:rPr>
          <w:rFonts w:ascii="Calibri" w:hAnsi="Calibri"/>
          <w:color w:val="231F20"/>
          <w:spacing w:val="13"/>
          <w:w w:val="105"/>
        </w:rPr>
        <w:t xml:space="preserve"> </w:t>
      </w:r>
      <w:r w:rsidRPr="00A23800">
        <w:rPr>
          <w:rFonts w:ascii="Calibri" w:hAnsi="Calibri"/>
          <w:color w:val="231F20"/>
          <w:w w:val="105"/>
        </w:rPr>
        <w:t>to</w:t>
      </w:r>
      <w:r w:rsidRPr="00A23800">
        <w:rPr>
          <w:rFonts w:ascii="Calibri" w:hAnsi="Calibri"/>
          <w:color w:val="231F20"/>
          <w:spacing w:val="13"/>
          <w:w w:val="105"/>
        </w:rPr>
        <w:t xml:space="preserve"> </w:t>
      </w:r>
      <w:r w:rsidRPr="00A23800">
        <w:rPr>
          <w:rFonts w:ascii="Calibri" w:hAnsi="Calibri"/>
          <w:color w:val="231F20"/>
          <w:w w:val="105"/>
        </w:rPr>
        <w:t>competitive</w:t>
      </w:r>
      <w:r w:rsidRPr="00A23800">
        <w:rPr>
          <w:rFonts w:ascii="Calibri" w:hAnsi="Calibri"/>
          <w:color w:val="231F20"/>
          <w:spacing w:val="13"/>
          <w:w w:val="105"/>
        </w:rPr>
        <w:t xml:space="preserve"> </w:t>
      </w:r>
      <w:r w:rsidRPr="00A23800">
        <w:rPr>
          <w:rFonts w:ascii="Calibri" w:hAnsi="Calibri"/>
          <w:color w:val="231F20"/>
          <w:w w:val="105"/>
        </w:rPr>
        <w:t>integrated</w:t>
      </w:r>
      <w:r w:rsidRPr="00A23800">
        <w:rPr>
          <w:rFonts w:ascii="Calibri" w:hAnsi="Calibri"/>
          <w:color w:val="231F20"/>
          <w:spacing w:val="13"/>
          <w:w w:val="105"/>
        </w:rPr>
        <w:t xml:space="preserve"> </w:t>
      </w:r>
      <w:r w:rsidRPr="00A23800">
        <w:rPr>
          <w:rFonts w:ascii="Calibri" w:hAnsi="Calibri"/>
          <w:color w:val="231F20"/>
          <w:w w:val="105"/>
        </w:rPr>
        <w:t>employment</w:t>
      </w:r>
      <w:r w:rsidRPr="00A23800">
        <w:rPr>
          <w:rFonts w:ascii="Calibri" w:hAnsi="Calibri"/>
          <w:color w:val="231F20"/>
          <w:spacing w:val="13"/>
          <w:w w:val="105"/>
        </w:rPr>
        <w:t xml:space="preserve"> </w:t>
      </w:r>
      <w:r w:rsidRPr="00A23800">
        <w:rPr>
          <w:rFonts w:ascii="Calibri" w:hAnsi="Calibri"/>
          <w:color w:val="231F20"/>
          <w:w w:val="105"/>
        </w:rPr>
        <w:t>and</w:t>
      </w:r>
      <w:r w:rsidRPr="00A23800">
        <w:rPr>
          <w:rFonts w:ascii="Calibri" w:hAnsi="Calibri"/>
          <w:color w:val="231F20"/>
          <w:w w:val="108"/>
        </w:rPr>
        <w:t xml:space="preserve"> </w:t>
      </w:r>
      <w:r w:rsidRPr="00A23800">
        <w:rPr>
          <w:rFonts w:ascii="Calibri" w:hAnsi="Calibri"/>
          <w:color w:val="231F20"/>
          <w:w w:val="105"/>
        </w:rPr>
        <w:t>career exploration opportunities for VR customers.</w:t>
      </w:r>
    </w:p>
    <w:p w14:paraId="15365E4A" w14:textId="77777777" w:rsidR="00C36180" w:rsidRPr="00A23800" w:rsidRDefault="00C36180" w:rsidP="00D63204">
      <w:pPr>
        <w:widowControl w:val="0"/>
        <w:spacing w:before="5" w:after="0" w:line="240" w:lineRule="auto"/>
        <w:ind w:left="107"/>
        <w:rPr>
          <w:rFonts w:ascii="Calibri" w:hAnsi="Calibri" w:cs="Calibri"/>
          <w:sz w:val="16"/>
          <w:szCs w:val="16"/>
        </w:rPr>
      </w:pPr>
    </w:p>
    <w:p w14:paraId="61CC05DC" w14:textId="2C7C5140" w:rsidR="00C36180" w:rsidRPr="00A23800" w:rsidRDefault="00C36180" w:rsidP="00D63204">
      <w:pPr>
        <w:widowControl w:val="0"/>
        <w:spacing w:after="0" w:line="240" w:lineRule="auto"/>
        <w:ind w:left="107"/>
        <w:rPr>
          <w:rFonts w:ascii="Calibri" w:hAnsi="Calibri"/>
        </w:rPr>
      </w:pPr>
      <w:r w:rsidRPr="00A23800">
        <w:rPr>
          <w:rFonts w:ascii="Calibri" w:hAnsi="Calibri"/>
          <w:color w:val="231F20"/>
          <w:w w:val="105"/>
        </w:rPr>
        <w:t>Efforts</w:t>
      </w:r>
      <w:r w:rsidRPr="00A23800">
        <w:rPr>
          <w:rFonts w:ascii="Calibri" w:hAnsi="Calibri"/>
          <w:color w:val="231F20"/>
          <w:spacing w:val="15"/>
          <w:w w:val="105"/>
        </w:rPr>
        <w:t xml:space="preserve"> </w:t>
      </w:r>
      <w:r w:rsidRPr="00A23800">
        <w:rPr>
          <w:rFonts w:ascii="Calibri" w:hAnsi="Calibri"/>
          <w:color w:val="231F20"/>
          <w:w w:val="105"/>
        </w:rPr>
        <w:t>are</w:t>
      </w:r>
      <w:r w:rsidRPr="00A23800">
        <w:rPr>
          <w:rFonts w:ascii="Calibri" w:hAnsi="Calibri"/>
          <w:color w:val="231F20"/>
          <w:spacing w:val="15"/>
          <w:w w:val="105"/>
        </w:rPr>
        <w:t xml:space="preserve"> </w:t>
      </w:r>
      <w:r w:rsidRPr="00A23800">
        <w:rPr>
          <w:rFonts w:ascii="Calibri" w:hAnsi="Calibri"/>
          <w:color w:val="231F20"/>
          <w:w w:val="105"/>
        </w:rPr>
        <w:t>underway</w:t>
      </w:r>
      <w:r w:rsidRPr="00A23800">
        <w:rPr>
          <w:rFonts w:ascii="Calibri" w:hAnsi="Calibri"/>
          <w:color w:val="231F20"/>
          <w:spacing w:val="15"/>
          <w:w w:val="105"/>
        </w:rPr>
        <w:t xml:space="preserve"> </w:t>
      </w:r>
      <w:r w:rsidRPr="00A23800">
        <w:rPr>
          <w:rFonts w:ascii="Calibri" w:hAnsi="Calibri"/>
          <w:color w:val="231F20"/>
          <w:w w:val="105"/>
        </w:rPr>
        <w:t>in</w:t>
      </w:r>
      <w:r w:rsidRPr="00A23800">
        <w:rPr>
          <w:rFonts w:ascii="Calibri" w:hAnsi="Calibri"/>
          <w:color w:val="231F20"/>
          <w:spacing w:val="15"/>
          <w:w w:val="105"/>
        </w:rPr>
        <w:t xml:space="preserve"> </w:t>
      </w:r>
      <w:r w:rsidRPr="00A23800">
        <w:rPr>
          <w:rFonts w:ascii="Calibri" w:hAnsi="Calibri"/>
          <w:color w:val="231F20"/>
          <w:w w:val="105"/>
        </w:rPr>
        <w:t>the</w:t>
      </w:r>
      <w:r w:rsidRPr="00A23800">
        <w:rPr>
          <w:rFonts w:ascii="Calibri" w:hAnsi="Calibri"/>
          <w:color w:val="231F20"/>
          <w:spacing w:val="15"/>
          <w:w w:val="105"/>
        </w:rPr>
        <w:t xml:space="preserve"> </w:t>
      </w:r>
      <w:r w:rsidRPr="00A23800">
        <w:rPr>
          <w:rFonts w:ascii="Calibri" w:hAnsi="Calibri"/>
          <w:color w:val="231F20"/>
          <w:w w:val="105"/>
        </w:rPr>
        <w:t>Business</w:t>
      </w:r>
      <w:r w:rsidRPr="00A23800">
        <w:rPr>
          <w:rFonts w:ascii="Calibri" w:hAnsi="Calibri"/>
          <w:color w:val="231F20"/>
          <w:spacing w:val="15"/>
          <w:w w:val="105"/>
        </w:rPr>
        <w:t xml:space="preserve"> </w:t>
      </w:r>
      <w:r w:rsidRPr="00A23800">
        <w:rPr>
          <w:rFonts w:ascii="Calibri" w:hAnsi="Calibri"/>
          <w:color w:val="231F20"/>
          <w:w w:val="105"/>
        </w:rPr>
        <w:t>Relations</w:t>
      </w:r>
      <w:r w:rsidRPr="00A23800">
        <w:rPr>
          <w:rFonts w:ascii="Calibri" w:hAnsi="Calibri"/>
          <w:color w:val="231F20"/>
          <w:spacing w:val="15"/>
          <w:w w:val="105"/>
        </w:rPr>
        <w:t xml:space="preserve"> </w:t>
      </w:r>
      <w:r w:rsidRPr="00A23800">
        <w:rPr>
          <w:rFonts w:ascii="Calibri" w:hAnsi="Calibri"/>
          <w:color w:val="231F20"/>
          <w:w w:val="105"/>
        </w:rPr>
        <w:t>Program</w:t>
      </w:r>
      <w:r w:rsidRPr="00A23800">
        <w:rPr>
          <w:rFonts w:ascii="Calibri" w:hAnsi="Calibri"/>
          <w:color w:val="231F20"/>
          <w:spacing w:val="15"/>
          <w:w w:val="105"/>
        </w:rPr>
        <w:t xml:space="preserve"> </w:t>
      </w:r>
      <w:r w:rsidRPr="00A23800">
        <w:rPr>
          <w:rFonts w:ascii="Calibri" w:hAnsi="Calibri"/>
          <w:color w:val="231F20"/>
          <w:w w:val="105"/>
        </w:rPr>
        <w:t>to</w:t>
      </w:r>
      <w:r w:rsidRPr="00A23800">
        <w:rPr>
          <w:rFonts w:ascii="Calibri" w:hAnsi="Calibri"/>
          <w:color w:val="231F20"/>
          <w:spacing w:val="15"/>
          <w:w w:val="105"/>
        </w:rPr>
        <w:t xml:space="preserve"> </w:t>
      </w:r>
      <w:r w:rsidRPr="00A23800">
        <w:rPr>
          <w:rFonts w:ascii="Calibri" w:hAnsi="Calibri"/>
          <w:color w:val="231F20"/>
          <w:w w:val="105"/>
        </w:rPr>
        <w:t>define</w:t>
      </w:r>
      <w:r w:rsidRPr="00A23800">
        <w:rPr>
          <w:rFonts w:ascii="Calibri" w:hAnsi="Calibri"/>
          <w:color w:val="231F20"/>
          <w:spacing w:val="15"/>
          <w:w w:val="105"/>
        </w:rPr>
        <w:t xml:space="preserve"> </w:t>
      </w:r>
      <w:r w:rsidRPr="00A23800">
        <w:rPr>
          <w:rFonts w:ascii="Calibri" w:hAnsi="Calibri"/>
          <w:color w:val="231F20"/>
          <w:w w:val="105"/>
        </w:rPr>
        <w:t>and</w:t>
      </w:r>
      <w:r w:rsidRPr="00A23800">
        <w:rPr>
          <w:rFonts w:ascii="Calibri" w:hAnsi="Calibri"/>
          <w:color w:val="231F20"/>
          <w:spacing w:val="15"/>
          <w:w w:val="105"/>
        </w:rPr>
        <w:t xml:space="preserve"> </w:t>
      </w:r>
      <w:r w:rsidRPr="00A23800">
        <w:rPr>
          <w:rFonts w:ascii="Calibri" w:hAnsi="Calibri"/>
          <w:color w:val="231F20"/>
          <w:w w:val="105"/>
        </w:rPr>
        <w:t>customize</w:t>
      </w:r>
      <w:r w:rsidRPr="00A23800">
        <w:rPr>
          <w:rFonts w:ascii="Calibri" w:hAnsi="Calibri"/>
          <w:color w:val="231F20"/>
          <w:spacing w:val="15"/>
          <w:w w:val="105"/>
        </w:rPr>
        <w:t xml:space="preserve"> </w:t>
      </w:r>
      <w:r w:rsidRPr="00A23800">
        <w:rPr>
          <w:rFonts w:ascii="Calibri" w:hAnsi="Calibri"/>
          <w:color w:val="231F20"/>
          <w:w w:val="105"/>
        </w:rPr>
        <w:t>services</w:t>
      </w:r>
      <w:r w:rsidRPr="00A23800">
        <w:rPr>
          <w:rFonts w:ascii="Calibri" w:hAnsi="Calibri"/>
          <w:color w:val="231F20"/>
          <w:spacing w:val="15"/>
          <w:w w:val="105"/>
        </w:rPr>
        <w:t xml:space="preserve"> </w:t>
      </w:r>
      <w:r w:rsidRPr="00A23800">
        <w:rPr>
          <w:rFonts w:ascii="Calibri" w:hAnsi="Calibri"/>
          <w:color w:val="231F20"/>
          <w:w w:val="105"/>
        </w:rPr>
        <w:t>to</w:t>
      </w:r>
      <w:r w:rsidRPr="00A23800">
        <w:rPr>
          <w:rFonts w:ascii="Calibri" w:hAnsi="Calibri"/>
          <w:color w:val="231F20"/>
          <w:spacing w:val="15"/>
          <w:w w:val="105"/>
        </w:rPr>
        <w:t xml:space="preserve"> </w:t>
      </w:r>
      <w:r w:rsidRPr="00A23800">
        <w:rPr>
          <w:rFonts w:ascii="Calibri" w:hAnsi="Calibri"/>
          <w:color w:val="231F20"/>
          <w:w w:val="105"/>
        </w:rPr>
        <w:t>employers,</w:t>
      </w:r>
      <w:r w:rsidRPr="00A23800">
        <w:rPr>
          <w:rFonts w:ascii="Calibri" w:hAnsi="Calibri"/>
          <w:color w:val="231F20"/>
          <w:spacing w:val="-39"/>
          <w:w w:val="105"/>
        </w:rPr>
        <w:t xml:space="preserve"> </w:t>
      </w:r>
      <w:r w:rsidRPr="00A23800">
        <w:rPr>
          <w:rFonts w:ascii="Calibri" w:hAnsi="Calibri"/>
          <w:color w:val="231F20"/>
          <w:w w:val="105"/>
        </w:rPr>
        <w:t>create</w:t>
      </w:r>
      <w:r w:rsidRPr="00A23800">
        <w:rPr>
          <w:rFonts w:ascii="Calibri" w:hAnsi="Calibri"/>
          <w:color w:val="231F20"/>
          <w:spacing w:val="17"/>
          <w:w w:val="105"/>
        </w:rPr>
        <w:t xml:space="preserve"> </w:t>
      </w:r>
      <w:r w:rsidRPr="00A23800">
        <w:rPr>
          <w:rFonts w:ascii="Calibri" w:hAnsi="Calibri"/>
          <w:color w:val="231F20"/>
          <w:w w:val="105"/>
        </w:rPr>
        <w:t>strategic</w:t>
      </w:r>
      <w:r w:rsidRPr="00A23800">
        <w:rPr>
          <w:rFonts w:ascii="Calibri" w:hAnsi="Calibri"/>
          <w:color w:val="231F20"/>
          <w:spacing w:val="17"/>
          <w:w w:val="105"/>
        </w:rPr>
        <w:t xml:space="preserve"> </w:t>
      </w:r>
      <w:r w:rsidRPr="00A23800">
        <w:rPr>
          <w:rFonts w:ascii="Calibri" w:hAnsi="Calibri"/>
          <w:color w:val="231F20"/>
          <w:w w:val="105"/>
        </w:rPr>
        <w:t>partnerships</w:t>
      </w:r>
      <w:r w:rsidRPr="00A23800">
        <w:rPr>
          <w:rFonts w:ascii="Calibri" w:hAnsi="Calibri"/>
          <w:color w:val="231F20"/>
          <w:spacing w:val="17"/>
          <w:w w:val="105"/>
        </w:rPr>
        <w:t xml:space="preserve"> </w:t>
      </w:r>
      <w:r w:rsidRPr="00A23800">
        <w:rPr>
          <w:rFonts w:ascii="Calibri" w:hAnsi="Calibri"/>
          <w:color w:val="231F20"/>
          <w:w w:val="105"/>
        </w:rPr>
        <w:t>to</w:t>
      </w:r>
      <w:r w:rsidRPr="00A23800">
        <w:rPr>
          <w:rFonts w:ascii="Calibri" w:hAnsi="Calibri"/>
          <w:color w:val="231F20"/>
          <w:spacing w:val="17"/>
          <w:w w:val="105"/>
        </w:rPr>
        <w:t xml:space="preserve"> </w:t>
      </w:r>
      <w:r w:rsidRPr="00A23800">
        <w:rPr>
          <w:rFonts w:ascii="Calibri" w:hAnsi="Calibri"/>
          <w:color w:val="231F20"/>
          <w:w w:val="105"/>
        </w:rPr>
        <w:t>support</w:t>
      </w:r>
      <w:r w:rsidRPr="00A23800">
        <w:rPr>
          <w:rFonts w:ascii="Calibri" w:hAnsi="Calibri"/>
          <w:color w:val="231F20"/>
          <w:spacing w:val="17"/>
          <w:w w:val="105"/>
        </w:rPr>
        <w:t xml:space="preserve"> </w:t>
      </w:r>
      <w:r w:rsidRPr="00A23800">
        <w:rPr>
          <w:rFonts w:ascii="Calibri" w:hAnsi="Calibri"/>
          <w:color w:val="231F20"/>
          <w:w w:val="105"/>
        </w:rPr>
        <w:t>workforce</w:t>
      </w:r>
      <w:r w:rsidRPr="00A23800">
        <w:rPr>
          <w:rFonts w:ascii="Calibri" w:hAnsi="Calibri"/>
          <w:color w:val="231F20"/>
          <w:spacing w:val="17"/>
          <w:w w:val="105"/>
        </w:rPr>
        <w:t xml:space="preserve"> </w:t>
      </w:r>
      <w:r w:rsidRPr="00A23800">
        <w:rPr>
          <w:rFonts w:ascii="Calibri" w:hAnsi="Calibri"/>
          <w:color w:val="231F20"/>
          <w:w w:val="105"/>
        </w:rPr>
        <w:t>needs</w:t>
      </w:r>
      <w:r w:rsidR="00D5537E">
        <w:rPr>
          <w:rFonts w:ascii="Calibri" w:hAnsi="Calibri"/>
          <w:color w:val="231F20"/>
          <w:w w:val="105"/>
        </w:rPr>
        <w:t xml:space="preserve"> and</w:t>
      </w:r>
      <w:r w:rsidRPr="00A23800">
        <w:rPr>
          <w:rFonts w:ascii="Calibri" w:hAnsi="Calibri"/>
          <w:color w:val="231F20"/>
          <w:spacing w:val="17"/>
          <w:w w:val="105"/>
        </w:rPr>
        <w:t xml:space="preserve"> </w:t>
      </w:r>
      <w:r w:rsidRPr="00A23800">
        <w:rPr>
          <w:rFonts w:ascii="Calibri" w:hAnsi="Calibri"/>
          <w:color w:val="231F20"/>
          <w:w w:val="105"/>
        </w:rPr>
        <w:t>establish</w:t>
      </w:r>
      <w:r w:rsidRPr="00A23800">
        <w:rPr>
          <w:rFonts w:ascii="Calibri" w:hAnsi="Calibri"/>
          <w:color w:val="231F20"/>
          <w:spacing w:val="17"/>
          <w:w w:val="105"/>
        </w:rPr>
        <w:t xml:space="preserve"> </w:t>
      </w:r>
      <w:r w:rsidRPr="00A23800">
        <w:rPr>
          <w:rFonts w:ascii="Calibri" w:hAnsi="Calibri"/>
          <w:color w:val="231F20"/>
          <w:w w:val="105"/>
        </w:rPr>
        <w:t>an</w:t>
      </w:r>
      <w:r w:rsidRPr="00A23800">
        <w:rPr>
          <w:rFonts w:ascii="Calibri" w:hAnsi="Calibri"/>
          <w:color w:val="231F20"/>
          <w:spacing w:val="17"/>
          <w:w w:val="105"/>
        </w:rPr>
        <w:t xml:space="preserve"> </w:t>
      </w:r>
      <w:r w:rsidRPr="00A23800">
        <w:rPr>
          <w:rFonts w:ascii="Calibri" w:hAnsi="Calibri"/>
          <w:color w:val="231F20"/>
          <w:w w:val="105"/>
        </w:rPr>
        <w:t>employment-focused</w:t>
      </w:r>
      <w:r w:rsidRPr="00A23800">
        <w:rPr>
          <w:rFonts w:ascii="Calibri" w:hAnsi="Calibri"/>
          <w:color w:val="231F20"/>
          <w:spacing w:val="17"/>
          <w:w w:val="105"/>
        </w:rPr>
        <w:t xml:space="preserve"> </w:t>
      </w:r>
      <w:r w:rsidRPr="00A23800">
        <w:rPr>
          <w:rFonts w:ascii="Calibri" w:hAnsi="Calibri"/>
          <w:color w:val="231F20"/>
          <w:w w:val="105"/>
        </w:rPr>
        <w:t>culture</w:t>
      </w:r>
      <w:r w:rsidRPr="00A23800">
        <w:rPr>
          <w:rFonts w:ascii="Calibri" w:hAnsi="Calibri"/>
          <w:color w:val="231F20"/>
          <w:w w:val="104"/>
        </w:rPr>
        <w:t xml:space="preserve"> </w:t>
      </w:r>
      <w:r w:rsidRPr="00A23800">
        <w:rPr>
          <w:rFonts w:ascii="Calibri" w:hAnsi="Calibri"/>
          <w:color w:val="231F20"/>
          <w:w w:val="105"/>
        </w:rPr>
        <w:t>within</w:t>
      </w:r>
      <w:r w:rsidRPr="00A23800">
        <w:rPr>
          <w:rFonts w:ascii="Calibri" w:hAnsi="Calibri"/>
          <w:color w:val="231F20"/>
          <w:spacing w:val="14"/>
          <w:w w:val="105"/>
        </w:rPr>
        <w:t xml:space="preserve"> </w:t>
      </w:r>
      <w:r w:rsidRPr="00A23800">
        <w:rPr>
          <w:rFonts w:ascii="Calibri" w:hAnsi="Calibri"/>
          <w:color w:val="231F20"/>
          <w:w w:val="105"/>
        </w:rPr>
        <w:t>the</w:t>
      </w:r>
      <w:r w:rsidRPr="00A23800">
        <w:rPr>
          <w:rFonts w:ascii="Calibri" w:hAnsi="Calibri"/>
          <w:color w:val="231F20"/>
          <w:spacing w:val="14"/>
          <w:w w:val="105"/>
        </w:rPr>
        <w:t xml:space="preserve"> </w:t>
      </w:r>
      <w:r w:rsidRPr="00A23800">
        <w:rPr>
          <w:rFonts w:ascii="Calibri" w:hAnsi="Calibri"/>
          <w:color w:val="231F20"/>
          <w:w w:val="105"/>
        </w:rPr>
        <w:t>rehabilitation</w:t>
      </w:r>
      <w:r w:rsidRPr="00A23800">
        <w:rPr>
          <w:rFonts w:ascii="Calibri" w:hAnsi="Calibri"/>
          <w:color w:val="231F20"/>
          <w:spacing w:val="14"/>
          <w:w w:val="105"/>
        </w:rPr>
        <w:t xml:space="preserve"> </w:t>
      </w:r>
      <w:r w:rsidRPr="00A23800">
        <w:rPr>
          <w:rFonts w:ascii="Calibri" w:hAnsi="Calibri"/>
          <w:color w:val="231F20"/>
          <w:w w:val="105"/>
        </w:rPr>
        <w:t>process.</w:t>
      </w:r>
      <w:r w:rsidRPr="00A23800">
        <w:rPr>
          <w:rFonts w:ascii="Calibri" w:hAnsi="Calibri"/>
          <w:color w:val="231F20"/>
          <w:spacing w:val="14"/>
          <w:w w:val="105"/>
        </w:rPr>
        <w:t xml:space="preserve"> </w:t>
      </w:r>
      <w:r w:rsidRPr="00A23800">
        <w:rPr>
          <w:rFonts w:ascii="Calibri" w:hAnsi="Calibri"/>
          <w:color w:val="231F20"/>
          <w:w w:val="105"/>
        </w:rPr>
        <w:t>Listed</w:t>
      </w:r>
      <w:r w:rsidRPr="00A23800">
        <w:rPr>
          <w:rFonts w:ascii="Calibri" w:hAnsi="Calibri"/>
          <w:color w:val="231F20"/>
          <w:spacing w:val="14"/>
          <w:w w:val="105"/>
        </w:rPr>
        <w:t xml:space="preserve"> </w:t>
      </w:r>
      <w:r w:rsidRPr="00A23800">
        <w:rPr>
          <w:rFonts w:ascii="Calibri" w:hAnsi="Calibri"/>
          <w:color w:val="231F20"/>
          <w:w w:val="105"/>
        </w:rPr>
        <w:t>below</w:t>
      </w:r>
      <w:r w:rsidRPr="00A23800">
        <w:rPr>
          <w:rFonts w:ascii="Calibri" w:hAnsi="Calibri"/>
          <w:color w:val="231F20"/>
          <w:spacing w:val="14"/>
          <w:w w:val="105"/>
        </w:rPr>
        <w:t xml:space="preserve"> </w:t>
      </w:r>
      <w:r w:rsidRPr="00A23800">
        <w:rPr>
          <w:rFonts w:ascii="Calibri" w:hAnsi="Calibri"/>
          <w:color w:val="231F20"/>
          <w:w w:val="105"/>
        </w:rPr>
        <w:t>are</w:t>
      </w:r>
      <w:r w:rsidRPr="00A23800">
        <w:rPr>
          <w:rFonts w:ascii="Calibri" w:hAnsi="Calibri"/>
          <w:color w:val="231F20"/>
          <w:spacing w:val="14"/>
          <w:w w:val="105"/>
        </w:rPr>
        <w:t xml:space="preserve"> </w:t>
      </w:r>
      <w:r w:rsidRPr="00A23800">
        <w:rPr>
          <w:rFonts w:ascii="Calibri" w:hAnsi="Calibri"/>
          <w:color w:val="231F20"/>
          <w:w w:val="105"/>
        </w:rPr>
        <w:t>the</w:t>
      </w:r>
      <w:r w:rsidRPr="00A23800">
        <w:rPr>
          <w:rFonts w:ascii="Calibri" w:hAnsi="Calibri"/>
          <w:color w:val="231F20"/>
          <w:spacing w:val="14"/>
          <w:w w:val="105"/>
        </w:rPr>
        <w:t xml:space="preserve"> </w:t>
      </w:r>
      <w:r w:rsidRPr="00A23800">
        <w:rPr>
          <w:rFonts w:ascii="Calibri" w:hAnsi="Calibri"/>
          <w:color w:val="231F20"/>
          <w:w w:val="105"/>
        </w:rPr>
        <w:t>program’s</w:t>
      </w:r>
      <w:r w:rsidRPr="00A23800">
        <w:rPr>
          <w:rFonts w:ascii="Calibri" w:hAnsi="Calibri"/>
          <w:color w:val="231F20"/>
          <w:spacing w:val="14"/>
          <w:w w:val="105"/>
        </w:rPr>
        <w:t xml:space="preserve"> </w:t>
      </w:r>
      <w:r w:rsidRPr="00A23800">
        <w:rPr>
          <w:rFonts w:ascii="Calibri" w:hAnsi="Calibri"/>
          <w:color w:val="231F20"/>
          <w:w w:val="105"/>
        </w:rPr>
        <w:t>goals,</w:t>
      </w:r>
      <w:r w:rsidRPr="00A23800">
        <w:rPr>
          <w:rFonts w:ascii="Calibri" w:hAnsi="Calibri"/>
          <w:color w:val="231F20"/>
          <w:spacing w:val="14"/>
          <w:w w:val="105"/>
        </w:rPr>
        <w:t xml:space="preserve"> </w:t>
      </w:r>
      <w:r w:rsidRPr="00A23800">
        <w:rPr>
          <w:rFonts w:ascii="Calibri" w:hAnsi="Calibri"/>
          <w:color w:val="231F20"/>
          <w:w w:val="105"/>
        </w:rPr>
        <w:t>objectives</w:t>
      </w:r>
      <w:r w:rsidR="00D5537E">
        <w:rPr>
          <w:rFonts w:ascii="Calibri" w:hAnsi="Calibri"/>
          <w:color w:val="231F20"/>
          <w:w w:val="105"/>
        </w:rPr>
        <w:t xml:space="preserve"> and</w:t>
      </w:r>
      <w:r w:rsidRPr="00A23800">
        <w:rPr>
          <w:rFonts w:ascii="Calibri" w:hAnsi="Calibri"/>
          <w:color w:val="231F20"/>
          <w:spacing w:val="14"/>
          <w:w w:val="105"/>
        </w:rPr>
        <w:t xml:space="preserve"> </w:t>
      </w:r>
      <w:r w:rsidRPr="00A23800">
        <w:rPr>
          <w:rFonts w:ascii="Calibri" w:hAnsi="Calibri"/>
          <w:color w:val="231F20"/>
          <w:w w:val="105"/>
        </w:rPr>
        <w:t>strategies.</w:t>
      </w:r>
    </w:p>
    <w:p w14:paraId="6B09C5FA" w14:textId="77777777" w:rsidR="00C36180" w:rsidRPr="00A23800" w:rsidRDefault="00C36180" w:rsidP="00D63204">
      <w:pPr>
        <w:widowControl w:val="0"/>
        <w:spacing w:before="6" w:after="0" w:line="240" w:lineRule="auto"/>
        <w:ind w:left="107"/>
        <w:rPr>
          <w:rFonts w:ascii="Calibri" w:hAnsi="Calibri" w:cs="Calibri"/>
          <w:sz w:val="16"/>
          <w:szCs w:val="16"/>
        </w:rPr>
      </w:pPr>
    </w:p>
    <w:p w14:paraId="70FCE7BA" w14:textId="77777777" w:rsidR="00C36180" w:rsidRPr="00A23800" w:rsidRDefault="00C36180" w:rsidP="00D63204">
      <w:pPr>
        <w:widowControl w:val="0"/>
        <w:spacing w:after="0" w:line="240" w:lineRule="auto"/>
        <w:ind w:left="107"/>
        <w:outlineLvl w:val="2"/>
        <w:rPr>
          <w:rFonts w:ascii="Calibri" w:hAnsi="Calibri"/>
        </w:rPr>
      </w:pPr>
      <w:r w:rsidRPr="00A23800">
        <w:rPr>
          <w:rFonts w:ascii="Calibri" w:hAnsi="Calibri"/>
          <w:b/>
          <w:bCs/>
          <w:color w:val="231F20"/>
          <w:w w:val="105"/>
        </w:rPr>
        <w:t>Goal</w:t>
      </w:r>
      <w:r w:rsidRPr="00A23800">
        <w:rPr>
          <w:rFonts w:ascii="Calibri" w:hAnsi="Calibri"/>
          <w:b/>
          <w:bCs/>
          <w:color w:val="231F20"/>
          <w:spacing w:val="13"/>
          <w:w w:val="105"/>
        </w:rPr>
        <w:t xml:space="preserve"> </w:t>
      </w:r>
      <w:r w:rsidRPr="00A23800">
        <w:rPr>
          <w:rFonts w:ascii="Calibri" w:hAnsi="Calibri"/>
          <w:b/>
          <w:bCs/>
          <w:color w:val="231F20"/>
          <w:w w:val="105"/>
        </w:rPr>
        <w:t>1:</w:t>
      </w:r>
      <w:r w:rsidRPr="00A23800">
        <w:rPr>
          <w:rFonts w:ascii="Calibri" w:hAnsi="Calibri"/>
          <w:b/>
          <w:bCs/>
          <w:color w:val="231F20"/>
          <w:spacing w:val="13"/>
          <w:w w:val="105"/>
        </w:rPr>
        <w:t xml:space="preserve"> </w:t>
      </w:r>
      <w:r w:rsidRPr="00A23800">
        <w:rPr>
          <w:rFonts w:ascii="Calibri" w:hAnsi="Calibri"/>
          <w:b/>
          <w:bCs/>
          <w:color w:val="231F20"/>
          <w:w w:val="105"/>
        </w:rPr>
        <w:t>Become</w:t>
      </w:r>
      <w:r w:rsidRPr="00A23800">
        <w:rPr>
          <w:rFonts w:ascii="Calibri" w:hAnsi="Calibri"/>
          <w:b/>
          <w:bCs/>
          <w:color w:val="231F20"/>
          <w:spacing w:val="13"/>
          <w:w w:val="105"/>
        </w:rPr>
        <w:t xml:space="preserve"> </w:t>
      </w:r>
      <w:r w:rsidRPr="00A23800">
        <w:rPr>
          <w:rFonts w:ascii="Calibri" w:hAnsi="Calibri"/>
          <w:b/>
          <w:bCs/>
          <w:color w:val="231F20"/>
          <w:w w:val="105"/>
        </w:rPr>
        <w:t>the</w:t>
      </w:r>
      <w:r w:rsidRPr="00A23800">
        <w:rPr>
          <w:rFonts w:ascii="Calibri" w:hAnsi="Calibri"/>
          <w:b/>
          <w:bCs/>
          <w:color w:val="231F20"/>
          <w:spacing w:val="13"/>
          <w:w w:val="105"/>
        </w:rPr>
        <w:t xml:space="preserve"> </w:t>
      </w:r>
      <w:r w:rsidRPr="00A23800">
        <w:rPr>
          <w:rFonts w:ascii="Calibri" w:hAnsi="Calibri"/>
          <w:b/>
          <w:bCs/>
          <w:color w:val="231F20"/>
          <w:w w:val="105"/>
        </w:rPr>
        <w:t>foremost</w:t>
      </w:r>
      <w:r w:rsidRPr="00A23800">
        <w:rPr>
          <w:rFonts w:ascii="Calibri" w:hAnsi="Calibri"/>
          <w:b/>
          <w:bCs/>
          <w:color w:val="231F20"/>
          <w:spacing w:val="13"/>
          <w:w w:val="105"/>
        </w:rPr>
        <w:t xml:space="preserve"> </w:t>
      </w:r>
      <w:r w:rsidRPr="00A23800">
        <w:rPr>
          <w:rFonts w:ascii="Calibri" w:hAnsi="Calibri"/>
          <w:b/>
          <w:bCs/>
          <w:color w:val="231F20"/>
          <w:w w:val="105"/>
        </w:rPr>
        <w:t>recognized</w:t>
      </w:r>
      <w:r w:rsidRPr="00A23800">
        <w:rPr>
          <w:rFonts w:ascii="Calibri" w:hAnsi="Calibri"/>
          <w:b/>
          <w:bCs/>
          <w:color w:val="231F20"/>
          <w:spacing w:val="13"/>
          <w:w w:val="105"/>
        </w:rPr>
        <w:t xml:space="preserve"> </w:t>
      </w:r>
      <w:r w:rsidRPr="00A23800">
        <w:rPr>
          <w:rFonts w:ascii="Calibri" w:hAnsi="Calibri"/>
          <w:b/>
          <w:bCs/>
          <w:color w:val="231F20"/>
          <w:w w:val="105"/>
        </w:rPr>
        <w:t>and</w:t>
      </w:r>
      <w:r w:rsidRPr="00A23800">
        <w:rPr>
          <w:rFonts w:ascii="Calibri" w:hAnsi="Calibri"/>
          <w:b/>
          <w:bCs/>
          <w:color w:val="231F20"/>
          <w:spacing w:val="13"/>
          <w:w w:val="105"/>
        </w:rPr>
        <w:t xml:space="preserve"> </w:t>
      </w:r>
      <w:r w:rsidRPr="00A23800">
        <w:rPr>
          <w:rFonts w:ascii="Calibri" w:hAnsi="Calibri"/>
          <w:b/>
          <w:bCs/>
          <w:color w:val="231F20"/>
          <w:w w:val="105"/>
        </w:rPr>
        <w:t>trusted</w:t>
      </w:r>
      <w:r w:rsidRPr="00A23800">
        <w:rPr>
          <w:rFonts w:ascii="Calibri" w:hAnsi="Calibri"/>
          <w:b/>
          <w:bCs/>
          <w:color w:val="231F20"/>
          <w:spacing w:val="13"/>
          <w:w w:val="105"/>
        </w:rPr>
        <w:t xml:space="preserve"> </w:t>
      </w:r>
      <w:r w:rsidRPr="00A23800">
        <w:rPr>
          <w:rFonts w:ascii="Calibri" w:hAnsi="Calibri"/>
          <w:b/>
          <w:bCs/>
          <w:color w:val="231F20"/>
          <w:w w:val="105"/>
        </w:rPr>
        <w:t>resource</w:t>
      </w:r>
      <w:r w:rsidRPr="00A23800">
        <w:rPr>
          <w:rFonts w:ascii="Calibri" w:hAnsi="Calibri"/>
          <w:b/>
          <w:bCs/>
          <w:color w:val="231F20"/>
          <w:spacing w:val="13"/>
          <w:w w:val="105"/>
        </w:rPr>
        <w:t xml:space="preserve"> </w:t>
      </w:r>
      <w:r w:rsidRPr="00A23800">
        <w:rPr>
          <w:rFonts w:ascii="Calibri" w:hAnsi="Calibri"/>
          <w:b/>
          <w:bCs/>
          <w:color w:val="231F20"/>
          <w:w w:val="105"/>
        </w:rPr>
        <w:t>for</w:t>
      </w:r>
      <w:r w:rsidRPr="00A23800">
        <w:rPr>
          <w:rFonts w:ascii="Calibri" w:hAnsi="Calibri"/>
          <w:b/>
          <w:bCs/>
          <w:color w:val="231F20"/>
          <w:spacing w:val="13"/>
          <w:w w:val="105"/>
        </w:rPr>
        <w:t xml:space="preserve"> </w:t>
      </w:r>
      <w:r w:rsidRPr="00A23800">
        <w:rPr>
          <w:rFonts w:ascii="Calibri" w:hAnsi="Calibri"/>
          <w:b/>
          <w:bCs/>
          <w:color w:val="231F20"/>
          <w:spacing w:val="-3"/>
          <w:w w:val="105"/>
        </w:rPr>
        <w:t>employers’</w:t>
      </w:r>
      <w:r w:rsidRPr="00A23800">
        <w:rPr>
          <w:rFonts w:ascii="Calibri" w:hAnsi="Calibri"/>
          <w:b/>
          <w:bCs/>
          <w:color w:val="231F20"/>
          <w:spacing w:val="13"/>
          <w:w w:val="105"/>
        </w:rPr>
        <w:t xml:space="preserve"> </w:t>
      </w:r>
      <w:r w:rsidRPr="00A23800">
        <w:rPr>
          <w:rFonts w:ascii="Calibri" w:hAnsi="Calibri"/>
          <w:b/>
          <w:bCs/>
          <w:color w:val="231F20"/>
          <w:w w:val="105"/>
        </w:rPr>
        <w:t>disability</w:t>
      </w:r>
      <w:r w:rsidRPr="00A23800">
        <w:rPr>
          <w:rFonts w:ascii="Calibri" w:hAnsi="Calibri"/>
          <w:b/>
          <w:bCs/>
          <w:color w:val="231F20"/>
          <w:spacing w:val="13"/>
          <w:w w:val="105"/>
        </w:rPr>
        <w:t xml:space="preserve"> </w:t>
      </w:r>
      <w:r w:rsidRPr="00A23800">
        <w:rPr>
          <w:rFonts w:ascii="Calibri" w:hAnsi="Calibri"/>
          <w:b/>
          <w:bCs/>
          <w:color w:val="231F20"/>
          <w:w w:val="105"/>
        </w:rPr>
        <w:t>inclusion</w:t>
      </w:r>
      <w:r w:rsidRPr="00A23800">
        <w:rPr>
          <w:rFonts w:ascii="Calibri" w:hAnsi="Calibri"/>
          <w:b/>
          <w:bCs/>
          <w:color w:val="231F20"/>
          <w:spacing w:val="13"/>
          <w:w w:val="105"/>
        </w:rPr>
        <w:t xml:space="preserve"> </w:t>
      </w:r>
      <w:r w:rsidRPr="00A23800">
        <w:rPr>
          <w:rFonts w:ascii="Calibri" w:hAnsi="Calibri"/>
          <w:b/>
          <w:bCs/>
          <w:color w:val="231F20"/>
          <w:spacing w:val="-2"/>
          <w:w w:val="105"/>
        </w:rPr>
        <w:t>needs.</w:t>
      </w:r>
    </w:p>
    <w:p w14:paraId="3152B798" w14:textId="77777777" w:rsidR="00C36180" w:rsidRDefault="00C36180" w:rsidP="00D63204">
      <w:pPr>
        <w:widowControl w:val="0"/>
        <w:spacing w:before="85" w:after="0" w:line="240" w:lineRule="auto"/>
        <w:ind w:left="107"/>
        <w:rPr>
          <w:rFonts w:ascii="Calibri" w:hAnsi="Calibri"/>
          <w:color w:val="231F20"/>
          <w:w w:val="104"/>
        </w:rPr>
      </w:pPr>
      <w:r w:rsidRPr="00A23800">
        <w:rPr>
          <w:rFonts w:ascii="Calibri" w:hAnsi="Calibri"/>
          <w:color w:val="231F20"/>
          <w:w w:val="110"/>
        </w:rPr>
        <w:t>Objective:</w:t>
      </w:r>
      <w:r w:rsidRPr="00A23800">
        <w:rPr>
          <w:rFonts w:ascii="Calibri" w:hAnsi="Calibri"/>
          <w:color w:val="231F20"/>
          <w:spacing w:val="-13"/>
          <w:w w:val="110"/>
        </w:rPr>
        <w:t xml:space="preserve"> </w:t>
      </w:r>
      <w:r w:rsidRPr="00A23800">
        <w:rPr>
          <w:rFonts w:ascii="Calibri" w:hAnsi="Calibri"/>
          <w:color w:val="231F20"/>
          <w:w w:val="110"/>
        </w:rPr>
        <w:t>Increase</w:t>
      </w:r>
      <w:r w:rsidRPr="00A23800">
        <w:rPr>
          <w:rFonts w:ascii="Calibri" w:hAnsi="Calibri"/>
          <w:color w:val="231F20"/>
          <w:spacing w:val="-13"/>
          <w:w w:val="110"/>
        </w:rPr>
        <w:t xml:space="preserve"> </w:t>
      </w:r>
      <w:r w:rsidRPr="00A23800">
        <w:rPr>
          <w:rFonts w:ascii="Calibri" w:hAnsi="Calibri"/>
          <w:color w:val="231F20"/>
          <w:w w:val="110"/>
        </w:rPr>
        <w:t>the</w:t>
      </w:r>
      <w:r w:rsidRPr="00A23800">
        <w:rPr>
          <w:rFonts w:ascii="Calibri" w:hAnsi="Calibri"/>
          <w:color w:val="231F20"/>
          <w:spacing w:val="-13"/>
          <w:w w:val="110"/>
        </w:rPr>
        <w:t xml:space="preserve"> </w:t>
      </w:r>
      <w:r w:rsidRPr="00A23800">
        <w:rPr>
          <w:rFonts w:ascii="Calibri" w:hAnsi="Calibri"/>
          <w:color w:val="231F20"/>
          <w:w w:val="110"/>
        </w:rPr>
        <w:t>number</w:t>
      </w:r>
      <w:r w:rsidRPr="00A23800">
        <w:rPr>
          <w:rFonts w:ascii="Calibri" w:hAnsi="Calibri"/>
          <w:color w:val="231F20"/>
          <w:spacing w:val="-13"/>
          <w:w w:val="110"/>
        </w:rPr>
        <w:t xml:space="preserve"> </w:t>
      </w:r>
      <w:r w:rsidRPr="00A23800">
        <w:rPr>
          <w:rFonts w:ascii="Calibri" w:hAnsi="Calibri"/>
          <w:color w:val="231F20"/>
          <w:w w:val="110"/>
        </w:rPr>
        <w:t>of</w:t>
      </w:r>
      <w:r w:rsidRPr="00A23800">
        <w:rPr>
          <w:rFonts w:ascii="Calibri" w:hAnsi="Calibri"/>
          <w:color w:val="231F20"/>
          <w:spacing w:val="-13"/>
          <w:w w:val="110"/>
        </w:rPr>
        <w:t xml:space="preserve"> </w:t>
      </w:r>
      <w:r w:rsidRPr="00A23800">
        <w:rPr>
          <w:rFonts w:ascii="Calibri" w:hAnsi="Calibri"/>
          <w:color w:val="231F20"/>
          <w:w w:val="110"/>
        </w:rPr>
        <w:t>employers</w:t>
      </w:r>
      <w:r w:rsidRPr="00A23800">
        <w:rPr>
          <w:rFonts w:ascii="Calibri" w:hAnsi="Calibri"/>
          <w:color w:val="231F20"/>
          <w:spacing w:val="-13"/>
          <w:w w:val="110"/>
        </w:rPr>
        <w:t xml:space="preserve"> </w:t>
      </w:r>
      <w:r w:rsidRPr="00A23800">
        <w:rPr>
          <w:rFonts w:ascii="Calibri" w:hAnsi="Calibri"/>
          <w:color w:val="231F20"/>
          <w:w w:val="110"/>
        </w:rPr>
        <w:t>engaged</w:t>
      </w:r>
      <w:r w:rsidRPr="00A23800">
        <w:rPr>
          <w:rFonts w:ascii="Calibri" w:hAnsi="Calibri"/>
          <w:color w:val="231F20"/>
          <w:spacing w:val="-13"/>
          <w:w w:val="110"/>
        </w:rPr>
        <w:t xml:space="preserve"> </w:t>
      </w:r>
      <w:r w:rsidRPr="00A23800">
        <w:rPr>
          <w:rFonts w:ascii="Calibri" w:hAnsi="Calibri"/>
          <w:color w:val="231F20"/>
          <w:w w:val="110"/>
        </w:rPr>
        <w:t>as</w:t>
      </w:r>
      <w:r w:rsidRPr="00A23800">
        <w:rPr>
          <w:rFonts w:ascii="Calibri" w:hAnsi="Calibri"/>
          <w:color w:val="231F20"/>
          <w:spacing w:val="-13"/>
          <w:w w:val="110"/>
        </w:rPr>
        <w:t xml:space="preserve"> </w:t>
      </w:r>
      <w:r w:rsidRPr="00A23800">
        <w:rPr>
          <w:rFonts w:ascii="Calibri" w:hAnsi="Calibri"/>
          <w:color w:val="231F20"/>
          <w:w w:val="110"/>
        </w:rPr>
        <w:t>business</w:t>
      </w:r>
      <w:r w:rsidRPr="00A23800">
        <w:rPr>
          <w:rFonts w:ascii="Calibri" w:hAnsi="Calibri"/>
          <w:color w:val="231F20"/>
          <w:spacing w:val="-13"/>
          <w:w w:val="110"/>
        </w:rPr>
        <w:t xml:space="preserve"> </w:t>
      </w:r>
      <w:r w:rsidRPr="00A23800">
        <w:rPr>
          <w:rFonts w:ascii="Calibri" w:hAnsi="Calibri"/>
          <w:color w:val="231F20"/>
          <w:w w:val="110"/>
        </w:rPr>
        <w:t>partners.</w:t>
      </w:r>
      <w:r w:rsidRPr="00A23800">
        <w:rPr>
          <w:rFonts w:ascii="Calibri" w:hAnsi="Calibri"/>
          <w:color w:val="231F20"/>
          <w:w w:val="104"/>
        </w:rPr>
        <w:t xml:space="preserve"> </w:t>
      </w:r>
    </w:p>
    <w:p w14:paraId="75BD4F08" w14:textId="1E6926A8" w:rsidR="00C36180" w:rsidRDefault="00C36180" w:rsidP="00D63204">
      <w:pPr>
        <w:widowControl w:val="0"/>
        <w:spacing w:before="85" w:after="0" w:line="240" w:lineRule="auto"/>
        <w:ind w:left="107"/>
        <w:rPr>
          <w:rFonts w:ascii="Calibri" w:hAnsi="Calibri"/>
          <w:color w:val="231F20"/>
          <w:w w:val="110"/>
        </w:rPr>
      </w:pPr>
      <w:r w:rsidRPr="00A23800">
        <w:rPr>
          <w:rFonts w:ascii="Calibri" w:hAnsi="Calibri"/>
          <w:color w:val="231F20"/>
          <w:w w:val="110"/>
        </w:rPr>
        <w:t>Strategies:</w:t>
      </w:r>
      <w:r>
        <w:rPr>
          <w:rFonts w:ascii="Calibri" w:hAnsi="Calibri"/>
          <w:color w:val="231F20"/>
          <w:w w:val="110"/>
        </w:rPr>
        <w:br/>
      </w:r>
    </w:p>
    <w:p w14:paraId="10DCEC33" w14:textId="6C163E7C" w:rsidR="00C36180" w:rsidRPr="00C36180" w:rsidRDefault="00C36180" w:rsidP="00D63204">
      <w:pPr>
        <w:pStyle w:val="ListParagraph"/>
        <w:widowControl w:val="0"/>
        <w:numPr>
          <w:ilvl w:val="0"/>
          <w:numId w:val="110"/>
        </w:numPr>
        <w:spacing w:after="0" w:line="240" w:lineRule="auto"/>
        <w:rPr>
          <w:rFonts w:ascii="Calibri" w:hAnsi="Calibri" w:cs="Calibri"/>
        </w:rPr>
      </w:pPr>
      <w:r w:rsidRPr="00C36180">
        <w:rPr>
          <w:rFonts w:ascii="Calibri" w:hAnsi="Calibri"/>
          <w:color w:val="231F20"/>
          <w:w w:val="110"/>
        </w:rPr>
        <w:t>Develop and use a standard business needs</w:t>
      </w:r>
      <w:r w:rsidRPr="00C36180">
        <w:rPr>
          <w:rFonts w:ascii="Calibri" w:hAnsi="Calibri"/>
          <w:color w:val="231F20"/>
          <w:spacing w:val="12"/>
          <w:w w:val="110"/>
        </w:rPr>
        <w:t xml:space="preserve"> </w:t>
      </w:r>
      <w:r w:rsidRPr="00C36180">
        <w:rPr>
          <w:rFonts w:ascii="Calibri" w:hAnsi="Calibri"/>
          <w:color w:val="231F20"/>
          <w:w w:val="110"/>
        </w:rPr>
        <w:t>assessment.</w:t>
      </w:r>
    </w:p>
    <w:p w14:paraId="2C68122F" w14:textId="77777777" w:rsidR="00C36180" w:rsidRPr="00C36180" w:rsidRDefault="00C36180" w:rsidP="00D63204">
      <w:pPr>
        <w:pStyle w:val="ListParagraph"/>
        <w:widowControl w:val="0"/>
        <w:spacing w:after="0" w:line="240" w:lineRule="auto"/>
        <w:ind w:left="935"/>
        <w:rPr>
          <w:rFonts w:ascii="Calibri" w:hAnsi="Calibri" w:cs="Calibri"/>
        </w:rPr>
      </w:pPr>
    </w:p>
    <w:p w14:paraId="065E1774" w14:textId="6B57B776" w:rsidR="00C36180" w:rsidRPr="00096B5A" w:rsidRDefault="00C36180" w:rsidP="00D63204">
      <w:pPr>
        <w:pStyle w:val="ListParagraph"/>
        <w:widowControl w:val="0"/>
        <w:numPr>
          <w:ilvl w:val="0"/>
          <w:numId w:val="110"/>
        </w:numPr>
        <w:spacing w:before="171" w:after="0" w:line="240" w:lineRule="auto"/>
        <w:rPr>
          <w:rFonts w:ascii="Calibri" w:hAnsi="Calibri" w:cs="Calibri"/>
        </w:rPr>
      </w:pPr>
      <w:r w:rsidRPr="00C36180">
        <w:rPr>
          <w:rFonts w:ascii="Calibri" w:hAnsi="Calibri"/>
          <w:color w:val="231F20"/>
          <w:w w:val="105"/>
        </w:rPr>
        <w:t>Develop and use a business customer satisfaction</w:t>
      </w:r>
      <w:r w:rsidRPr="00C36180">
        <w:rPr>
          <w:rFonts w:ascii="Calibri" w:hAnsi="Calibri"/>
          <w:color w:val="231F20"/>
          <w:spacing w:val="41"/>
          <w:w w:val="105"/>
        </w:rPr>
        <w:t xml:space="preserve"> </w:t>
      </w:r>
      <w:r w:rsidRPr="00C36180">
        <w:rPr>
          <w:rFonts w:ascii="Calibri" w:hAnsi="Calibri"/>
          <w:color w:val="231F20"/>
          <w:w w:val="105"/>
        </w:rPr>
        <w:t>tool.</w:t>
      </w:r>
    </w:p>
    <w:p w14:paraId="130F69FC" w14:textId="77777777" w:rsidR="00096B5A" w:rsidRPr="00096B5A" w:rsidRDefault="00096B5A" w:rsidP="00096B5A">
      <w:pPr>
        <w:pStyle w:val="ListParagraph"/>
        <w:rPr>
          <w:rFonts w:ascii="Calibri" w:hAnsi="Calibri" w:cs="Calibri"/>
        </w:rPr>
      </w:pPr>
    </w:p>
    <w:p w14:paraId="2581DD27" w14:textId="77777777" w:rsidR="00C36180" w:rsidRPr="00C36180" w:rsidRDefault="00C36180" w:rsidP="00D63204">
      <w:pPr>
        <w:pStyle w:val="ListParagraph"/>
        <w:widowControl w:val="0"/>
        <w:spacing w:before="171" w:after="0" w:line="240" w:lineRule="auto"/>
        <w:ind w:left="935"/>
        <w:rPr>
          <w:rFonts w:ascii="Calibri" w:hAnsi="Calibri" w:cs="Calibri"/>
        </w:rPr>
      </w:pPr>
    </w:p>
    <w:p w14:paraId="62B67616" w14:textId="0F863F5B" w:rsidR="00C36180" w:rsidRDefault="00C36180" w:rsidP="00D63204">
      <w:pPr>
        <w:pStyle w:val="ListParagraph"/>
        <w:widowControl w:val="0"/>
        <w:numPr>
          <w:ilvl w:val="0"/>
          <w:numId w:val="110"/>
        </w:numPr>
        <w:spacing w:after="0" w:line="240" w:lineRule="auto"/>
        <w:rPr>
          <w:rFonts w:ascii="Calibri" w:hAnsi="Calibri"/>
          <w:color w:val="231F20"/>
          <w:w w:val="110"/>
        </w:rPr>
      </w:pPr>
      <w:r w:rsidRPr="00C36180">
        <w:rPr>
          <w:rFonts w:ascii="Calibri" w:hAnsi="Calibri"/>
          <w:color w:val="231F20"/>
          <w:w w:val="110"/>
        </w:rPr>
        <w:lastRenderedPageBreak/>
        <w:t>Staff and train a team that is responsive to business. The team includes: the program administrator; a senior VR consultant; a business projects specialist; and 11 business relations representatives located across the state in each of VR’s seven administrative areas.</w:t>
      </w:r>
    </w:p>
    <w:p w14:paraId="2C39520A" w14:textId="77777777" w:rsidR="00C36180" w:rsidRPr="00C36180" w:rsidRDefault="00C36180" w:rsidP="00D63204">
      <w:pPr>
        <w:pStyle w:val="ListParagraph"/>
        <w:widowControl w:val="0"/>
        <w:spacing w:after="0" w:line="240" w:lineRule="auto"/>
        <w:ind w:left="935"/>
        <w:rPr>
          <w:rFonts w:ascii="Calibri" w:hAnsi="Calibri"/>
          <w:color w:val="231F20"/>
          <w:w w:val="110"/>
        </w:rPr>
      </w:pPr>
    </w:p>
    <w:p w14:paraId="0CDD05A2" w14:textId="0348837F" w:rsidR="00C36180" w:rsidRDefault="00C36180" w:rsidP="00D63204">
      <w:pPr>
        <w:pStyle w:val="ListParagraph"/>
        <w:widowControl w:val="0"/>
        <w:numPr>
          <w:ilvl w:val="0"/>
          <w:numId w:val="110"/>
        </w:numPr>
        <w:spacing w:after="0" w:line="240" w:lineRule="auto"/>
        <w:rPr>
          <w:rFonts w:ascii="Calibri" w:hAnsi="Calibri"/>
          <w:color w:val="231F20"/>
          <w:w w:val="110"/>
        </w:rPr>
      </w:pPr>
      <w:r w:rsidRPr="00C36180">
        <w:rPr>
          <w:rFonts w:ascii="Calibri" w:hAnsi="Calibri"/>
          <w:color w:val="231F20"/>
          <w:w w:val="110"/>
        </w:rPr>
        <w:t>Implement a business customer relationship management tool.</w:t>
      </w:r>
    </w:p>
    <w:p w14:paraId="0FE94068" w14:textId="77777777" w:rsidR="00C36180" w:rsidRPr="00C36180" w:rsidRDefault="00C36180" w:rsidP="00D63204">
      <w:pPr>
        <w:pStyle w:val="ListParagraph"/>
        <w:widowControl w:val="0"/>
        <w:spacing w:after="0" w:line="240" w:lineRule="auto"/>
        <w:ind w:left="935"/>
        <w:rPr>
          <w:rFonts w:ascii="Calibri" w:hAnsi="Calibri"/>
          <w:color w:val="231F20"/>
          <w:w w:val="110"/>
        </w:rPr>
      </w:pPr>
    </w:p>
    <w:p w14:paraId="162DD0F3" w14:textId="1D81DCE1" w:rsidR="00C36180" w:rsidRDefault="00C36180" w:rsidP="00D63204">
      <w:pPr>
        <w:pStyle w:val="ListParagraph"/>
        <w:widowControl w:val="0"/>
        <w:numPr>
          <w:ilvl w:val="0"/>
          <w:numId w:val="110"/>
        </w:numPr>
        <w:spacing w:after="0" w:line="240" w:lineRule="auto"/>
        <w:rPr>
          <w:rFonts w:ascii="Calibri" w:hAnsi="Calibri"/>
          <w:color w:val="231F20"/>
          <w:w w:val="110"/>
        </w:rPr>
      </w:pPr>
      <w:r w:rsidRPr="00C36180">
        <w:rPr>
          <w:rFonts w:ascii="Calibri" w:hAnsi="Calibri"/>
          <w:color w:val="231F20"/>
          <w:w w:val="110"/>
        </w:rPr>
        <w:t>Define the services offered to employers and customize them to meet business needs.</w:t>
      </w:r>
    </w:p>
    <w:p w14:paraId="1A035E69" w14:textId="77777777" w:rsidR="00C36180" w:rsidRPr="00C36180" w:rsidRDefault="00C36180" w:rsidP="00D63204">
      <w:pPr>
        <w:pStyle w:val="ListParagraph"/>
        <w:widowControl w:val="0"/>
        <w:spacing w:after="0" w:line="240" w:lineRule="auto"/>
        <w:ind w:left="935"/>
        <w:rPr>
          <w:rFonts w:ascii="Calibri" w:hAnsi="Calibri"/>
          <w:color w:val="231F20"/>
          <w:w w:val="110"/>
        </w:rPr>
      </w:pPr>
    </w:p>
    <w:p w14:paraId="76B5BD7C" w14:textId="77777777" w:rsidR="00C36180" w:rsidRPr="00C36180" w:rsidRDefault="00C36180" w:rsidP="00D63204">
      <w:pPr>
        <w:pStyle w:val="ListParagraph"/>
        <w:widowControl w:val="0"/>
        <w:numPr>
          <w:ilvl w:val="0"/>
          <w:numId w:val="110"/>
        </w:numPr>
        <w:spacing w:after="0" w:line="240" w:lineRule="auto"/>
        <w:rPr>
          <w:rFonts w:ascii="Calibri" w:hAnsi="Calibri"/>
          <w:color w:val="231F20"/>
          <w:w w:val="110"/>
        </w:rPr>
      </w:pPr>
      <w:r w:rsidRPr="00A23800">
        <w:rPr>
          <w:rFonts w:ascii="Calibri" w:hAnsi="Calibri"/>
          <w:color w:val="231F20"/>
          <w:w w:val="110"/>
        </w:rPr>
        <w:t>Create statewide consistency in business relations outreach and</w:t>
      </w:r>
      <w:r w:rsidRPr="00C36180">
        <w:rPr>
          <w:rFonts w:ascii="Calibri" w:hAnsi="Calibri"/>
          <w:color w:val="231F20"/>
          <w:w w:val="110"/>
        </w:rPr>
        <w:t xml:space="preserve"> </w:t>
      </w:r>
      <w:r w:rsidRPr="00A23800">
        <w:rPr>
          <w:rFonts w:ascii="Calibri" w:hAnsi="Calibri"/>
          <w:color w:val="231F20"/>
          <w:w w:val="110"/>
        </w:rPr>
        <w:t>services.</w:t>
      </w:r>
    </w:p>
    <w:p w14:paraId="35333BA1" w14:textId="77777777" w:rsidR="00C36180" w:rsidRPr="00C36180" w:rsidRDefault="00C36180" w:rsidP="00D63204">
      <w:pPr>
        <w:pStyle w:val="ListParagraph"/>
        <w:widowControl w:val="0"/>
        <w:spacing w:after="0" w:line="240" w:lineRule="auto"/>
        <w:ind w:left="935"/>
        <w:rPr>
          <w:rFonts w:ascii="Calibri" w:hAnsi="Calibri"/>
          <w:color w:val="231F20"/>
          <w:w w:val="110"/>
        </w:rPr>
      </w:pPr>
    </w:p>
    <w:p w14:paraId="09835374" w14:textId="0E08CEBF" w:rsidR="00C36180" w:rsidRDefault="00C36180" w:rsidP="00D63204">
      <w:pPr>
        <w:pStyle w:val="ListParagraph"/>
        <w:widowControl w:val="0"/>
        <w:numPr>
          <w:ilvl w:val="0"/>
          <w:numId w:val="110"/>
        </w:numPr>
        <w:spacing w:after="0" w:line="240" w:lineRule="auto"/>
        <w:rPr>
          <w:rFonts w:ascii="Calibri" w:hAnsi="Calibri"/>
          <w:color w:val="231F20"/>
          <w:w w:val="110"/>
        </w:rPr>
      </w:pPr>
      <w:r w:rsidRPr="00C36180">
        <w:rPr>
          <w:rFonts w:ascii="Calibri" w:hAnsi="Calibri"/>
          <w:color w:val="231F20"/>
          <w:w w:val="110"/>
        </w:rPr>
        <w:t>Use targeted marketing to engage employers across multiple industries.</w:t>
      </w:r>
    </w:p>
    <w:p w14:paraId="02F01B01" w14:textId="77777777" w:rsidR="00C36180" w:rsidRPr="00C36180" w:rsidRDefault="00C36180" w:rsidP="00D63204">
      <w:pPr>
        <w:pStyle w:val="ListParagraph"/>
        <w:widowControl w:val="0"/>
        <w:spacing w:after="0" w:line="240" w:lineRule="auto"/>
        <w:ind w:left="935"/>
        <w:rPr>
          <w:rFonts w:ascii="Calibri" w:hAnsi="Calibri"/>
          <w:color w:val="231F20"/>
          <w:w w:val="110"/>
        </w:rPr>
      </w:pPr>
    </w:p>
    <w:p w14:paraId="0E2532F4" w14:textId="280CCEFE" w:rsidR="00C36180" w:rsidRDefault="00C36180" w:rsidP="00D63204">
      <w:pPr>
        <w:pStyle w:val="ListParagraph"/>
        <w:widowControl w:val="0"/>
        <w:numPr>
          <w:ilvl w:val="0"/>
          <w:numId w:val="110"/>
        </w:numPr>
        <w:spacing w:after="0" w:line="240" w:lineRule="auto"/>
        <w:rPr>
          <w:rFonts w:ascii="Calibri" w:hAnsi="Calibri"/>
          <w:color w:val="231F20"/>
          <w:w w:val="110"/>
        </w:rPr>
      </w:pPr>
      <w:r w:rsidRPr="00A23800">
        <w:rPr>
          <w:rFonts w:ascii="Calibri" w:hAnsi="Calibri"/>
          <w:color w:val="231F20"/>
          <w:w w:val="110"/>
        </w:rPr>
        <w:t>Participate</w:t>
      </w:r>
      <w:r w:rsidRPr="00C36180">
        <w:rPr>
          <w:rFonts w:ascii="Calibri" w:hAnsi="Calibri"/>
          <w:color w:val="231F20"/>
          <w:w w:val="110"/>
        </w:rPr>
        <w:t xml:space="preserve"> </w:t>
      </w:r>
      <w:r w:rsidRPr="00A23800">
        <w:rPr>
          <w:rFonts w:ascii="Calibri" w:hAnsi="Calibri"/>
          <w:color w:val="231F20"/>
          <w:w w:val="110"/>
        </w:rPr>
        <w:t>in</w:t>
      </w:r>
      <w:r w:rsidRPr="00C36180">
        <w:rPr>
          <w:rFonts w:ascii="Calibri" w:hAnsi="Calibri"/>
          <w:color w:val="231F20"/>
          <w:w w:val="110"/>
        </w:rPr>
        <w:t xml:space="preserve"> </w:t>
      </w:r>
      <w:r w:rsidRPr="00A23800">
        <w:rPr>
          <w:rFonts w:ascii="Calibri" w:hAnsi="Calibri"/>
          <w:color w:val="231F20"/>
          <w:w w:val="110"/>
        </w:rPr>
        <w:t>business-led</w:t>
      </w:r>
      <w:r w:rsidRPr="00C36180">
        <w:rPr>
          <w:rFonts w:ascii="Calibri" w:hAnsi="Calibri"/>
          <w:color w:val="231F20"/>
          <w:w w:val="110"/>
        </w:rPr>
        <w:t xml:space="preserve"> </w:t>
      </w:r>
      <w:r w:rsidRPr="00A23800">
        <w:rPr>
          <w:rFonts w:ascii="Calibri" w:hAnsi="Calibri"/>
          <w:color w:val="231F20"/>
          <w:w w:val="110"/>
        </w:rPr>
        <w:t>organizations,</w:t>
      </w:r>
      <w:r w:rsidRPr="00C36180">
        <w:rPr>
          <w:rFonts w:ascii="Calibri" w:hAnsi="Calibri"/>
          <w:color w:val="231F20"/>
          <w:w w:val="110"/>
        </w:rPr>
        <w:t xml:space="preserve"> </w:t>
      </w:r>
      <w:r w:rsidRPr="00A23800">
        <w:rPr>
          <w:rFonts w:ascii="Calibri" w:hAnsi="Calibri"/>
          <w:color w:val="231F20"/>
          <w:w w:val="110"/>
        </w:rPr>
        <w:t>such</w:t>
      </w:r>
      <w:r w:rsidRPr="00C36180">
        <w:rPr>
          <w:rFonts w:ascii="Calibri" w:hAnsi="Calibri"/>
          <w:color w:val="231F20"/>
          <w:w w:val="110"/>
        </w:rPr>
        <w:t xml:space="preserve"> </w:t>
      </w:r>
      <w:r w:rsidRPr="00A23800">
        <w:rPr>
          <w:rFonts w:ascii="Calibri" w:hAnsi="Calibri"/>
          <w:color w:val="231F20"/>
          <w:w w:val="110"/>
        </w:rPr>
        <w:t>as</w:t>
      </w:r>
      <w:r w:rsidRPr="00C36180">
        <w:rPr>
          <w:rFonts w:ascii="Calibri" w:hAnsi="Calibri"/>
          <w:color w:val="231F20"/>
          <w:w w:val="110"/>
        </w:rPr>
        <w:t xml:space="preserve"> </w:t>
      </w:r>
      <w:r w:rsidRPr="00A23800">
        <w:rPr>
          <w:rFonts w:ascii="Calibri" w:hAnsi="Calibri"/>
          <w:color w:val="231F20"/>
          <w:w w:val="110"/>
        </w:rPr>
        <w:t>Chambers</w:t>
      </w:r>
      <w:r w:rsidRPr="00C36180">
        <w:rPr>
          <w:rFonts w:ascii="Calibri" w:hAnsi="Calibri"/>
          <w:color w:val="231F20"/>
          <w:w w:val="110"/>
        </w:rPr>
        <w:t xml:space="preserve"> </w:t>
      </w:r>
      <w:r w:rsidRPr="00A23800">
        <w:rPr>
          <w:rFonts w:ascii="Calibri" w:hAnsi="Calibri"/>
          <w:color w:val="231F20"/>
          <w:w w:val="110"/>
        </w:rPr>
        <w:t>of</w:t>
      </w:r>
      <w:r w:rsidRPr="00C36180">
        <w:rPr>
          <w:rFonts w:ascii="Calibri" w:hAnsi="Calibri"/>
          <w:color w:val="231F20"/>
          <w:w w:val="110"/>
        </w:rPr>
        <w:t xml:space="preserve"> </w:t>
      </w:r>
      <w:r w:rsidRPr="00A23800">
        <w:rPr>
          <w:rFonts w:ascii="Calibri" w:hAnsi="Calibri"/>
          <w:color w:val="231F20"/>
          <w:w w:val="110"/>
        </w:rPr>
        <w:t>Commerce,</w:t>
      </w:r>
      <w:r w:rsidRPr="00C36180">
        <w:rPr>
          <w:rFonts w:ascii="Calibri" w:hAnsi="Calibri"/>
          <w:color w:val="231F20"/>
          <w:w w:val="110"/>
        </w:rPr>
        <w:t xml:space="preserve"> </w:t>
      </w:r>
      <w:r w:rsidR="006008DA">
        <w:rPr>
          <w:rFonts w:ascii="Calibri" w:hAnsi="Calibri"/>
          <w:color w:val="231F20"/>
          <w:w w:val="110"/>
        </w:rPr>
        <w:t xml:space="preserve">US </w:t>
      </w:r>
      <w:r w:rsidRPr="00A23800">
        <w:rPr>
          <w:rFonts w:ascii="Calibri" w:hAnsi="Calibri"/>
          <w:color w:val="231F20"/>
          <w:w w:val="110"/>
        </w:rPr>
        <w:t>Business</w:t>
      </w:r>
      <w:r w:rsidRPr="00C36180">
        <w:rPr>
          <w:rFonts w:ascii="Calibri" w:hAnsi="Calibri"/>
          <w:color w:val="231F20"/>
          <w:w w:val="110"/>
        </w:rPr>
        <w:t xml:space="preserve"> </w:t>
      </w:r>
      <w:r w:rsidRPr="00A23800">
        <w:rPr>
          <w:rFonts w:ascii="Calibri" w:hAnsi="Calibri"/>
          <w:color w:val="231F20"/>
          <w:w w:val="110"/>
        </w:rPr>
        <w:t>Leadership Network,</w:t>
      </w:r>
      <w:r w:rsidRPr="00C36180">
        <w:rPr>
          <w:rFonts w:ascii="Calibri" w:hAnsi="Calibri"/>
          <w:color w:val="231F20"/>
          <w:w w:val="110"/>
        </w:rPr>
        <w:t xml:space="preserve"> </w:t>
      </w:r>
      <w:r w:rsidRPr="00A23800">
        <w:rPr>
          <w:rFonts w:ascii="Calibri" w:hAnsi="Calibri"/>
          <w:color w:val="231F20"/>
          <w:w w:val="110"/>
        </w:rPr>
        <w:t>etc.</w:t>
      </w:r>
    </w:p>
    <w:p w14:paraId="617FB9CB" w14:textId="77777777" w:rsidR="00C36180" w:rsidRPr="00C36180" w:rsidRDefault="00C36180" w:rsidP="00D63204">
      <w:pPr>
        <w:pStyle w:val="ListParagraph"/>
        <w:widowControl w:val="0"/>
        <w:spacing w:after="0" w:line="240" w:lineRule="auto"/>
        <w:ind w:left="935"/>
        <w:rPr>
          <w:rFonts w:ascii="Calibri" w:hAnsi="Calibri"/>
          <w:color w:val="231F20"/>
          <w:w w:val="110"/>
        </w:rPr>
      </w:pPr>
    </w:p>
    <w:p w14:paraId="44207BC1" w14:textId="107F9265" w:rsidR="00C36180" w:rsidRDefault="00C36180" w:rsidP="00D63204">
      <w:pPr>
        <w:pStyle w:val="ListParagraph"/>
        <w:widowControl w:val="0"/>
        <w:numPr>
          <w:ilvl w:val="0"/>
          <w:numId w:val="110"/>
        </w:numPr>
        <w:spacing w:after="0" w:line="240" w:lineRule="auto"/>
        <w:rPr>
          <w:rFonts w:ascii="Calibri" w:hAnsi="Calibri"/>
          <w:color w:val="231F20"/>
          <w:w w:val="110"/>
        </w:rPr>
      </w:pPr>
      <w:r w:rsidRPr="00C36180">
        <w:rPr>
          <w:rFonts w:ascii="Calibri" w:hAnsi="Calibri"/>
          <w:color w:val="231F20"/>
          <w:w w:val="110"/>
        </w:rPr>
        <w:t>Create strategic practices that can be replicated.</w:t>
      </w:r>
    </w:p>
    <w:p w14:paraId="091FEDF5" w14:textId="77777777" w:rsidR="00C36180" w:rsidRPr="00C36180" w:rsidRDefault="00C36180" w:rsidP="00D63204">
      <w:pPr>
        <w:pStyle w:val="ListParagraph"/>
        <w:widowControl w:val="0"/>
        <w:spacing w:after="0" w:line="240" w:lineRule="auto"/>
        <w:ind w:left="935"/>
        <w:rPr>
          <w:rFonts w:ascii="Calibri" w:hAnsi="Calibri"/>
          <w:color w:val="231F20"/>
          <w:w w:val="110"/>
        </w:rPr>
      </w:pPr>
    </w:p>
    <w:p w14:paraId="2D386F09" w14:textId="6687CD8D" w:rsidR="00C36180" w:rsidRDefault="00C36180" w:rsidP="00D63204">
      <w:pPr>
        <w:pStyle w:val="ListParagraph"/>
        <w:widowControl w:val="0"/>
        <w:numPr>
          <w:ilvl w:val="0"/>
          <w:numId w:val="110"/>
        </w:numPr>
        <w:spacing w:after="0" w:line="240" w:lineRule="auto"/>
        <w:rPr>
          <w:rFonts w:ascii="Calibri" w:hAnsi="Calibri"/>
          <w:color w:val="231F20"/>
          <w:w w:val="110"/>
        </w:rPr>
      </w:pPr>
      <w:r w:rsidRPr="00C36180">
        <w:rPr>
          <w:rFonts w:ascii="Calibri" w:hAnsi="Calibri"/>
          <w:color w:val="231F20"/>
          <w:w w:val="110"/>
        </w:rPr>
        <w:t>Align services with the Workforce Development Boards and other community partners.</w:t>
      </w:r>
    </w:p>
    <w:p w14:paraId="02E59AA7" w14:textId="77777777" w:rsidR="00C36180" w:rsidRPr="00C36180" w:rsidRDefault="00C36180" w:rsidP="00D63204">
      <w:pPr>
        <w:pStyle w:val="ListParagraph"/>
        <w:widowControl w:val="0"/>
        <w:spacing w:after="0" w:line="240" w:lineRule="auto"/>
        <w:ind w:left="935"/>
        <w:rPr>
          <w:rFonts w:ascii="Calibri" w:hAnsi="Calibri"/>
          <w:color w:val="231F20"/>
          <w:w w:val="110"/>
        </w:rPr>
      </w:pPr>
    </w:p>
    <w:p w14:paraId="69087087" w14:textId="77777777" w:rsidR="00C36180" w:rsidRPr="00C36180" w:rsidRDefault="00C36180" w:rsidP="00D63204">
      <w:pPr>
        <w:pStyle w:val="ListParagraph"/>
        <w:widowControl w:val="0"/>
        <w:numPr>
          <w:ilvl w:val="0"/>
          <w:numId w:val="110"/>
        </w:numPr>
        <w:spacing w:after="0" w:line="240" w:lineRule="auto"/>
        <w:rPr>
          <w:rFonts w:ascii="Calibri" w:hAnsi="Calibri"/>
          <w:color w:val="231F20"/>
          <w:w w:val="110"/>
        </w:rPr>
      </w:pPr>
      <w:r w:rsidRPr="00C36180">
        <w:rPr>
          <w:rFonts w:ascii="Calibri" w:hAnsi="Calibri"/>
          <w:color w:val="231F20"/>
          <w:w w:val="110"/>
        </w:rPr>
        <w:t>Participate in the Council of State Administrators of Vocational Rehabilitation’s National Employment Team (NET) and the NET-Southeast regional team to share referrals and best practices.</w:t>
      </w:r>
    </w:p>
    <w:p w14:paraId="03D1D718" w14:textId="77777777" w:rsidR="00C36180" w:rsidRPr="00C36180" w:rsidRDefault="00C36180" w:rsidP="00D63204">
      <w:pPr>
        <w:pStyle w:val="ListParagraph"/>
        <w:widowControl w:val="0"/>
        <w:spacing w:after="0" w:line="240" w:lineRule="auto"/>
        <w:ind w:left="935"/>
        <w:rPr>
          <w:rFonts w:ascii="Calibri" w:hAnsi="Calibri"/>
          <w:color w:val="231F20"/>
          <w:w w:val="110"/>
        </w:rPr>
      </w:pPr>
    </w:p>
    <w:p w14:paraId="24356459" w14:textId="77777777" w:rsidR="00C36180" w:rsidRPr="00C36180" w:rsidRDefault="00C36180" w:rsidP="00D63204">
      <w:pPr>
        <w:pStyle w:val="ListParagraph"/>
        <w:widowControl w:val="0"/>
        <w:numPr>
          <w:ilvl w:val="0"/>
          <w:numId w:val="110"/>
        </w:numPr>
        <w:spacing w:after="0" w:line="240" w:lineRule="auto"/>
        <w:rPr>
          <w:rFonts w:ascii="Calibri" w:hAnsi="Calibri"/>
          <w:color w:val="231F20"/>
          <w:w w:val="110"/>
        </w:rPr>
      </w:pPr>
      <w:r w:rsidRPr="00C36180">
        <w:rPr>
          <w:rFonts w:ascii="Calibri" w:hAnsi="Calibri"/>
          <w:color w:val="231F20"/>
          <w:w w:val="110"/>
        </w:rPr>
        <w:t>Engage with Workforce Innovation and Opportunity Act (WIOA) core partners to share best practices.</w:t>
      </w:r>
    </w:p>
    <w:p w14:paraId="2F577FC0" w14:textId="77777777" w:rsidR="00C36180" w:rsidRPr="00A23800" w:rsidRDefault="00C36180" w:rsidP="00D63204">
      <w:pPr>
        <w:widowControl w:val="0"/>
        <w:spacing w:before="6" w:after="0" w:line="240" w:lineRule="auto"/>
        <w:ind w:left="107"/>
        <w:rPr>
          <w:rFonts w:ascii="Calibri" w:hAnsi="Calibri" w:cs="Calibri"/>
          <w:sz w:val="16"/>
          <w:szCs w:val="16"/>
        </w:rPr>
      </w:pPr>
    </w:p>
    <w:p w14:paraId="4ACCC549" w14:textId="1BCBE0CA" w:rsidR="00C36180" w:rsidRDefault="00C36180" w:rsidP="00D63204">
      <w:pPr>
        <w:widowControl w:val="0"/>
        <w:spacing w:after="0" w:line="240" w:lineRule="auto"/>
        <w:ind w:left="107"/>
        <w:outlineLvl w:val="2"/>
        <w:rPr>
          <w:rFonts w:ascii="Calibri" w:hAnsi="Calibri"/>
          <w:b/>
          <w:bCs/>
          <w:color w:val="231F20"/>
          <w:w w:val="110"/>
        </w:rPr>
      </w:pPr>
      <w:r w:rsidRPr="00A23800">
        <w:rPr>
          <w:rFonts w:ascii="Calibri" w:hAnsi="Calibri"/>
          <w:b/>
          <w:bCs/>
          <w:color w:val="231F20"/>
          <w:w w:val="110"/>
        </w:rPr>
        <w:t>Goal</w:t>
      </w:r>
      <w:r w:rsidRPr="00A23800">
        <w:rPr>
          <w:rFonts w:ascii="Calibri" w:hAnsi="Calibri"/>
          <w:b/>
          <w:bCs/>
          <w:color w:val="231F20"/>
          <w:spacing w:val="-9"/>
          <w:w w:val="110"/>
        </w:rPr>
        <w:t xml:space="preserve"> </w:t>
      </w:r>
      <w:r w:rsidRPr="00A23800">
        <w:rPr>
          <w:rFonts w:ascii="Calibri" w:hAnsi="Calibri"/>
          <w:b/>
          <w:bCs/>
          <w:color w:val="231F20"/>
          <w:w w:val="110"/>
        </w:rPr>
        <w:t>2:</w:t>
      </w:r>
      <w:r w:rsidRPr="00A23800">
        <w:rPr>
          <w:rFonts w:ascii="Calibri" w:hAnsi="Calibri"/>
          <w:b/>
          <w:bCs/>
          <w:color w:val="231F20"/>
          <w:spacing w:val="-9"/>
          <w:w w:val="110"/>
        </w:rPr>
        <w:t xml:space="preserve"> </w:t>
      </w:r>
      <w:r w:rsidRPr="00A23800">
        <w:rPr>
          <w:rFonts w:ascii="Calibri" w:hAnsi="Calibri"/>
          <w:b/>
          <w:bCs/>
          <w:color w:val="231F20"/>
          <w:w w:val="110"/>
        </w:rPr>
        <w:t>Become</w:t>
      </w:r>
      <w:r w:rsidRPr="00A23800">
        <w:rPr>
          <w:rFonts w:ascii="Calibri" w:hAnsi="Calibri"/>
          <w:b/>
          <w:bCs/>
          <w:color w:val="231F20"/>
          <w:spacing w:val="-9"/>
          <w:w w:val="110"/>
        </w:rPr>
        <w:t xml:space="preserve"> </w:t>
      </w:r>
      <w:r w:rsidRPr="00A23800">
        <w:rPr>
          <w:rFonts w:ascii="Calibri" w:hAnsi="Calibri"/>
          <w:b/>
          <w:bCs/>
          <w:color w:val="231F20"/>
          <w:w w:val="110"/>
        </w:rPr>
        <w:t>a</w:t>
      </w:r>
      <w:r w:rsidRPr="00A23800">
        <w:rPr>
          <w:rFonts w:ascii="Calibri" w:hAnsi="Calibri"/>
          <w:b/>
          <w:bCs/>
          <w:color w:val="231F20"/>
          <w:spacing w:val="-9"/>
          <w:w w:val="110"/>
        </w:rPr>
        <w:t xml:space="preserve"> </w:t>
      </w:r>
      <w:r w:rsidRPr="00A23800">
        <w:rPr>
          <w:rFonts w:ascii="Calibri" w:hAnsi="Calibri"/>
          <w:b/>
          <w:bCs/>
          <w:color w:val="231F20"/>
          <w:w w:val="110"/>
        </w:rPr>
        <w:t>top</w:t>
      </w:r>
      <w:r w:rsidRPr="00A23800">
        <w:rPr>
          <w:rFonts w:ascii="Calibri" w:hAnsi="Calibri"/>
          <w:b/>
          <w:bCs/>
          <w:color w:val="231F20"/>
          <w:spacing w:val="-9"/>
          <w:w w:val="110"/>
        </w:rPr>
        <w:t xml:space="preserve"> </w:t>
      </w:r>
      <w:r w:rsidRPr="00A23800">
        <w:rPr>
          <w:rFonts w:ascii="Calibri" w:hAnsi="Calibri"/>
          <w:b/>
          <w:bCs/>
          <w:color w:val="231F20"/>
          <w:w w:val="110"/>
        </w:rPr>
        <w:t>resource</w:t>
      </w:r>
      <w:r w:rsidRPr="00A23800">
        <w:rPr>
          <w:rFonts w:ascii="Calibri" w:hAnsi="Calibri"/>
          <w:b/>
          <w:bCs/>
          <w:color w:val="231F20"/>
          <w:spacing w:val="-9"/>
          <w:w w:val="110"/>
        </w:rPr>
        <w:t xml:space="preserve"> </w:t>
      </w:r>
      <w:r w:rsidRPr="00A23800">
        <w:rPr>
          <w:rFonts w:ascii="Calibri" w:hAnsi="Calibri"/>
          <w:b/>
          <w:bCs/>
          <w:color w:val="231F20"/>
          <w:w w:val="110"/>
        </w:rPr>
        <w:t>for</w:t>
      </w:r>
      <w:r w:rsidRPr="00A23800">
        <w:rPr>
          <w:rFonts w:ascii="Calibri" w:hAnsi="Calibri"/>
          <w:b/>
          <w:bCs/>
          <w:color w:val="231F20"/>
          <w:spacing w:val="-9"/>
          <w:w w:val="110"/>
        </w:rPr>
        <w:t xml:space="preserve"> </w:t>
      </w:r>
      <w:r w:rsidRPr="00A23800">
        <w:rPr>
          <w:rFonts w:ascii="Calibri" w:hAnsi="Calibri"/>
          <w:b/>
          <w:bCs/>
          <w:color w:val="231F20"/>
          <w:w w:val="110"/>
        </w:rPr>
        <w:t>employers</w:t>
      </w:r>
      <w:r w:rsidRPr="00A23800">
        <w:rPr>
          <w:rFonts w:ascii="Calibri" w:hAnsi="Calibri"/>
          <w:b/>
          <w:bCs/>
          <w:color w:val="231F20"/>
          <w:spacing w:val="-9"/>
          <w:w w:val="110"/>
        </w:rPr>
        <w:t xml:space="preserve"> </w:t>
      </w:r>
      <w:r w:rsidRPr="00A23800">
        <w:rPr>
          <w:rFonts w:ascii="Calibri" w:hAnsi="Calibri"/>
          <w:b/>
          <w:bCs/>
          <w:color w:val="231F20"/>
          <w:w w:val="110"/>
        </w:rPr>
        <w:t>in</w:t>
      </w:r>
      <w:r w:rsidRPr="00A23800">
        <w:rPr>
          <w:rFonts w:ascii="Calibri" w:hAnsi="Calibri"/>
          <w:b/>
          <w:bCs/>
          <w:color w:val="231F20"/>
          <w:spacing w:val="-9"/>
          <w:w w:val="110"/>
        </w:rPr>
        <w:t xml:space="preserve"> </w:t>
      </w:r>
      <w:r w:rsidRPr="00A23800">
        <w:rPr>
          <w:rFonts w:ascii="Calibri" w:hAnsi="Calibri"/>
          <w:b/>
          <w:bCs/>
          <w:color w:val="231F20"/>
          <w:w w:val="110"/>
        </w:rPr>
        <w:t>need</w:t>
      </w:r>
      <w:r w:rsidRPr="00A23800">
        <w:rPr>
          <w:rFonts w:ascii="Calibri" w:hAnsi="Calibri"/>
          <w:b/>
          <w:bCs/>
          <w:color w:val="231F20"/>
          <w:spacing w:val="-9"/>
          <w:w w:val="110"/>
        </w:rPr>
        <w:t xml:space="preserve"> </w:t>
      </w:r>
      <w:r w:rsidRPr="00A23800">
        <w:rPr>
          <w:rFonts w:ascii="Calibri" w:hAnsi="Calibri"/>
          <w:b/>
          <w:bCs/>
          <w:color w:val="231F20"/>
          <w:w w:val="110"/>
        </w:rPr>
        <w:t>of</w:t>
      </w:r>
      <w:r w:rsidRPr="00A23800">
        <w:rPr>
          <w:rFonts w:ascii="Calibri" w:hAnsi="Calibri"/>
          <w:b/>
          <w:bCs/>
          <w:color w:val="231F20"/>
          <w:spacing w:val="-9"/>
          <w:w w:val="110"/>
        </w:rPr>
        <w:t xml:space="preserve"> </w:t>
      </w:r>
      <w:r w:rsidRPr="00A23800">
        <w:rPr>
          <w:rFonts w:ascii="Calibri" w:hAnsi="Calibri"/>
          <w:b/>
          <w:bCs/>
          <w:color w:val="231F20"/>
          <w:w w:val="110"/>
        </w:rPr>
        <w:t>qualified</w:t>
      </w:r>
      <w:r w:rsidRPr="00A23800">
        <w:rPr>
          <w:rFonts w:ascii="Calibri" w:hAnsi="Calibri"/>
          <w:b/>
          <w:bCs/>
          <w:color w:val="231F20"/>
          <w:spacing w:val="-9"/>
          <w:w w:val="110"/>
        </w:rPr>
        <w:t xml:space="preserve"> </w:t>
      </w:r>
      <w:r w:rsidRPr="00A23800">
        <w:rPr>
          <w:rFonts w:ascii="Calibri" w:hAnsi="Calibri"/>
          <w:b/>
          <w:bCs/>
          <w:color w:val="231F20"/>
          <w:w w:val="110"/>
        </w:rPr>
        <w:t>employees.</w:t>
      </w:r>
    </w:p>
    <w:p w14:paraId="777B65AB" w14:textId="77777777" w:rsidR="00C36180" w:rsidRPr="00A23800" w:rsidRDefault="00C36180" w:rsidP="00D63204">
      <w:pPr>
        <w:widowControl w:val="0"/>
        <w:spacing w:after="0" w:line="240" w:lineRule="auto"/>
        <w:ind w:left="107"/>
        <w:outlineLvl w:val="2"/>
        <w:rPr>
          <w:rFonts w:ascii="Calibri" w:hAnsi="Calibri"/>
        </w:rPr>
      </w:pPr>
    </w:p>
    <w:p w14:paraId="2CB967E0" w14:textId="77777777" w:rsidR="00C36180" w:rsidRDefault="00C36180" w:rsidP="00D63204">
      <w:pPr>
        <w:widowControl w:val="0"/>
        <w:spacing w:after="0" w:line="240" w:lineRule="auto"/>
        <w:ind w:left="107"/>
        <w:rPr>
          <w:rFonts w:ascii="Calibri" w:hAnsi="Calibri"/>
          <w:color w:val="231F20"/>
          <w:w w:val="104"/>
        </w:rPr>
      </w:pPr>
      <w:r w:rsidRPr="00A23800">
        <w:rPr>
          <w:rFonts w:ascii="Calibri" w:hAnsi="Calibri"/>
          <w:color w:val="231F20"/>
          <w:w w:val="105"/>
        </w:rPr>
        <w:t>Objective: Increase referrals of qualified applicants to business</w:t>
      </w:r>
      <w:r w:rsidRPr="00A23800">
        <w:rPr>
          <w:rFonts w:ascii="Calibri" w:hAnsi="Calibri"/>
          <w:color w:val="231F20"/>
          <w:spacing w:val="39"/>
          <w:w w:val="105"/>
        </w:rPr>
        <w:t xml:space="preserve"> </w:t>
      </w:r>
      <w:r w:rsidRPr="00A23800">
        <w:rPr>
          <w:rFonts w:ascii="Calibri" w:hAnsi="Calibri"/>
          <w:color w:val="231F20"/>
          <w:w w:val="105"/>
        </w:rPr>
        <w:t>partners.</w:t>
      </w:r>
      <w:r w:rsidRPr="00A23800">
        <w:rPr>
          <w:rFonts w:ascii="Calibri" w:hAnsi="Calibri"/>
          <w:color w:val="231F20"/>
          <w:w w:val="104"/>
        </w:rPr>
        <w:t xml:space="preserve"> </w:t>
      </w:r>
    </w:p>
    <w:p w14:paraId="5AF4B0AB" w14:textId="77777777" w:rsidR="00C36180" w:rsidRDefault="00C36180" w:rsidP="00D63204">
      <w:pPr>
        <w:widowControl w:val="0"/>
        <w:spacing w:after="0" w:line="240" w:lineRule="auto"/>
        <w:ind w:left="107"/>
        <w:rPr>
          <w:rFonts w:ascii="Calibri" w:hAnsi="Calibri"/>
          <w:color w:val="231F20"/>
          <w:w w:val="105"/>
        </w:rPr>
      </w:pPr>
    </w:p>
    <w:p w14:paraId="5FD2B47F" w14:textId="4F2CC334" w:rsidR="00C36180" w:rsidRDefault="00C36180" w:rsidP="00D63204">
      <w:pPr>
        <w:widowControl w:val="0"/>
        <w:spacing w:after="0" w:line="240" w:lineRule="auto"/>
        <w:ind w:left="107"/>
        <w:rPr>
          <w:rFonts w:ascii="Calibri" w:hAnsi="Calibri"/>
          <w:color w:val="231F20"/>
          <w:w w:val="105"/>
        </w:rPr>
      </w:pPr>
      <w:r w:rsidRPr="00A23800">
        <w:rPr>
          <w:rFonts w:ascii="Calibri" w:hAnsi="Calibri"/>
          <w:color w:val="231F20"/>
          <w:w w:val="105"/>
        </w:rPr>
        <w:t>Strategies:</w:t>
      </w:r>
    </w:p>
    <w:p w14:paraId="034993EF" w14:textId="77777777" w:rsidR="00C36180" w:rsidRPr="00A23800" w:rsidRDefault="00C36180" w:rsidP="00D63204">
      <w:pPr>
        <w:widowControl w:val="0"/>
        <w:spacing w:after="0" w:line="240" w:lineRule="auto"/>
        <w:ind w:left="107"/>
        <w:rPr>
          <w:rFonts w:ascii="Calibri" w:hAnsi="Calibri"/>
        </w:rPr>
      </w:pPr>
    </w:p>
    <w:p w14:paraId="2493F344" w14:textId="284803F8" w:rsidR="00C36180" w:rsidRDefault="00C36180" w:rsidP="00D63204">
      <w:pPr>
        <w:pStyle w:val="ListParagraph"/>
        <w:widowControl w:val="0"/>
        <w:numPr>
          <w:ilvl w:val="0"/>
          <w:numId w:val="111"/>
        </w:numPr>
        <w:spacing w:after="0" w:line="240" w:lineRule="auto"/>
        <w:ind w:left="935"/>
        <w:rPr>
          <w:rFonts w:ascii="Calibri" w:hAnsi="Calibri"/>
          <w:color w:val="231F20"/>
          <w:w w:val="110"/>
        </w:rPr>
      </w:pPr>
      <w:r w:rsidRPr="00C36180">
        <w:rPr>
          <w:rFonts w:ascii="Calibri" w:hAnsi="Calibri"/>
          <w:color w:val="231F20"/>
          <w:w w:val="110"/>
        </w:rPr>
        <w:t>Facilitate direct access to qualified applicants through business relationships.</w:t>
      </w:r>
    </w:p>
    <w:p w14:paraId="6DCD04FA" w14:textId="77777777" w:rsidR="00C36180" w:rsidRDefault="00C36180" w:rsidP="00D63204">
      <w:pPr>
        <w:pStyle w:val="ListParagraph"/>
        <w:widowControl w:val="0"/>
        <w:spacing w:after="0" w:line="240" w:lineRule="auto"/>
        <w:ind w:left="935"/>
        <w:rPr>
          <w:rFonts w:ascii="Calibri" w:hAnsi="Calibri"/>
          <w:color w:val="231F20"/>
          <w:w w:val="110"/>
        </w:rPr>
      </w:pPr>
    </w:p>
    <w:p w14:paraId="435C1281" w14:textId="77777777" w:rsidR="00C36180" w:rsidRDefault="00C36180" w:rsidP="00D63204">
      <w:pPr>
        <w:pStyle w:val="ListParagraph"/>
        <w:widowControl w:val="0"/>
        <w:numPr>
          <w:ilvl w:val="0"/>
          <w:numId w:val="111"/>
        </w:numPr>
        <w:spacing w:after="0" w:line="240" w:lineRule="auto"/>
        <w:ind w:left="935"/>
        <w:rPr>
          <w:rFonts w:ascii="Calibri" w:hAnsi="Calibri"/>
          <w:color w:val="231F20"/>
          <w:w w:val="110"/>
        </w:rPr>
      </w:pPr>
      <w:r w:rsidRPr="00C36180">
        <w:rPr>
          <w:rFonts w:ascii="Calibri" w:hAnsi="Calibri"/>
          <w:color w:val="231F20"/>
          <w:w w:val="110"/>
        </w:rPr>
        <w:t>Market career opportunities internally to VR staff.</w:t>
      </w:r>
    </w:p>
    <w:p w14:paraId="73B2FDF5" w14:textId="77777777" w:rsidR="00C36180" w:rsidRPr="00C36180" w:rsidRDefault="00C36180" w:rsidP="00C36180">
      <w:pPr>
        <w:pStyle w:val="ListParagraph"/>
        <w:rPr>
          <w:rFonts w:ascii="Calibri" w:hAnsi="Calibri"/>
          <w:color w:val="231F20"/>
          <w:w w:val="110"/>
        </w:rPr>
      </w:pPr>
    </w:p>
    <w:p w14:paraId="5B1081E3" w14:textId="77777777" w:rsidR="00C36180" w:rsidRDefault="00C36180" w:rsidP="00D63204">
      <w:pPr>
        <w:pStyle w:val="ListParagraph"/>
        <w:widowControl w:val="0"/>
        <w:numPr>
          <w:ilvl w:val="0"/>
          <w:numId w:val="111"/>
        </w:numPr>
        <w:spacing w:after="0" w:line="240" w:lineRule="auto"/>
        <w:ind w:left="935"/>
        <w:rPr>
          <w:rFonts w:ascii="Calibri" w:hAnsi="Calibri"/>
          <w:color w:val="231F20"/>
          <w:w w:val="110"/>
        </w:rPr>
      </w:pPr>
      <w:r w:rsidRPr="00C36180">
        <w:rPr>
          <w:rFonts w:ascii="Calibri" w:hAnsi="Calibri"/>
          <w:color w:val="231F20"/>
          <w:w w:val="110"/>
        </w:rPr>
        <w:t>Use the AbilitiesWork Help Desk for applicant-matching services for employers.</w:t>
      </w:r>
    </w:p>
    <w:p w14:paraId="7CC6353F" w14:textId="77777777" w:rsidR="00C36180" w:rsidRPr="00C36180" w:rsidRDefault="00C36180" w:rsidP="00C36180">
      <w:pPr>
        <w:pStyle w:val="ListParagraph"/>
        <w:rPr>
          <w:rFonts w:ascii="Calibri" w:hAnsi="Calibri"/>
          <w:color w:val="231F20"/>
          <w:w w:val="110"/>
        </w:rPr>
      </w:pPr>
    </w:p>
    <w:p w14:paraId="0389C27C" w14:textId="77777777" w:rsidR="00C36180" w:rsidRDefault="00C36180" w:rsidP="00D63204">
      <w:pPr>
        <w:pStyle w:val="ListParagraph"/>
        <w:widowControl w:val="0"/>
        <w:numPr>
          <w:ilvl w:val="0"/>
          <w:numId w:val="111"/>
        </w:numPr>
        <w:spacing w:after="0" w:line="240" w:lineRule="auto"/>
        <w:ind w:left="935"/>
        <w:rPr>
          <w:rFonts w:ascii="Calibri" w:hAnsi="Calibri"/>
          <w:color w:val="231F20"/>
          <w:w w:val="110"/>
        </w:rPr>
      </w:pPr>
      <w:r w:rsidRPr="00C36180">
        <w:rPr>
          <w:rFonts w:ascii="Calibri" w:hAnsi="Calibri"/>
          <w:color w:val="231F20"/>
          <w:w w:val="110"/>
        </w:rPr>
        <w:t>Coordinate support services provided by VR contractors.</w:t>
      </w:r>
    </w:p>
    <w:p w14:paraId="5123D625" w14:textId="77777777" w:rsidR="00C36180" w:rsidRPr="00C36180" w:rsidRDefault="00C36180" w:rsidP="00C36180">
      <w:pPr>
        <w:pStyle w:val="ListParagraph"/>
        <w:rPr>
          <w:rFonts w:ascii="Calibri" w:hAnsi="Calibri"/>
          <w:color w:val="231F20"/>
          <w:w w:val="110"/>
        </w:rPr>
      </w:pPr>
    </w:p>
    <w:p w14:paraId="40EC1A4D" w14:textId="3845D326" w:rsidR="00C36180" w:rsidRDefault="00C36180" w:rsidP="00D63204">
      <w:pPr>
        <w:pStyle w:val="ListParagraph"/>
        <w:widowControl w:val="0"/>
        <w:numPr>
          <w:ilvl w:val="0"/>
          <w:numId w:val="111"/>
        </w:numPr>
        <w:spacing w:after="0" w:line="240" w:lineRule="auto"/>
        <w:ind w:left="935"/>
        <w:rPr>
          <w:rFonts w:ascii="Calibri" w:hAnsi="Calibri"/>
          <w:color w:val="231F20"/>
          <w:w w:val="110"/>
        </w:rPr>
      </w:pPr>
      <w:r w:rsidRPr="00C36180">
        <w:rPr>
          <w:rFonts w:ascii="Calibri" w:hAnsi="Calibri"/>
          <w:color w:val="231F20"/>
          <w:w w:val="110"/>
        </w:rPr>
        <w:t>Provide a seamless connection to VR services and qualified applicants across a company’s footprint locally, regionally, statewide</w:t>
      </w:r>
      <w:r w:rsidR="00D5537E">
        <w:rPr>
          <w:rFonts w:ascii="Calibri" w:hAnsi="Calibri"/>
          <w:color w:val="231F20"/>
          <w:w w:val="110"/>
        </w:rPr>
        <w:t xml:space="preserve"> and</w:t>
      </w:r>
      <w:r w:rsidRPr="00C36180">
        <w:rPr>
          <w:rFonts w:ascii="Calibri" w:hAnsi="Calibri"/>
          <w:color w:val="231F20"/>
          <w:w w:val="110"/>
        </w:rPr>
        <w:t xml:space="preserve"> nationally through the NET.</w:t>
      </w:r>
    </w:p>
    <w:p w14:paraId="67605D3D" w14:textId="77777777" w:rsidR="00C36180" w:rsidRPr="00C36180" w:rsidRDefault="00C36180" w:rsidP="00C36180">
      <w:pPr>
        <w:pStyle w:val="ListParagraph"/>
        <w:rPr>
          <w:rFonts w:ascii="Calibri" w:hAnsi="Calibri"/>
          <w:color w:val="231F20"/>
          <w:w w:val="110"/>
        </w:rPr>
      </w:pPr>
    </w:p>
    <w:p w14:paraId="714D545B" w14:textId="2EDD11F2" w:rsidR="00C36180" w:rsidRDefault="00C36180" w:rsidP="00D63204">
      <w:pPr>
        <w:pStyle w:val="ListParagraph"/>
        <w:widowControl w:val="0"/>
        <w:numPr>
          <w:ilvl w:val="0"/>
          <w:numId w:val="111"/>
        </w:numPr>
        <w:spacing w:after="0" w:line="240" w:lineRule="auto"/>
        <w:ind w:left="935"/>
        <w:rPr>
          <w:rFonts w:ascii="Calibri" w:hAnsi="Calibri"/>
          <w:color w:val="231F20"/>
          <w:w w:val="110"/>
        </w:rPr>
      </w:pPr>
      <w:r w:rsidRPr="00C36180">
        <w:rPr>
          <w:rFonts w:ascii="Calibri" w:hAnsi="Calibri"/>
          <w:color w:val="231F20"/>
          <w:w w:val="110"/>
        </w:rPr>
        <w:t>Engage in local talent pool coordination with other agencies to meet businesses’ workforce needs.</w:t>
      </w:r>
    </w:p>
    <w:p w14:paraId="46137A0E" w14:textId="77777777" w:rsidR="00C36180" w:rsidRPr="00C36180" w:rsidRDefault="00C36180" w:rsidP="00C36180">
      <w:pPr>
        <w:pStyle w:val="ListParagraph"/>
        <w:rPr>
          <w:rFonts w:ascii="Calibri" w:hAnsi="Calibri"/>
          <w:color w:val="231F20"/>
          <w:w w:val="110"/>
        </w:rPr>
      </w:pPr>
    </w:p>
    <w:p w14:paraId="1FD7A60D" w14:textId="01CFFED0" w:rsidR="004B29A0" w:rsidRDefault="00C36180" w:rsidP="00D63204">
      <w:pPr>
        <w:pStyle w:val="ListParagraph"/>
        <w:widowControl w:val="0"/>
        <w:numPr>
          <w:ilvl w:val="0"/>
          <w:numId w:val="111"/>
        </w:numPr>
        <w:spacing w:after="0" w:line="240" w:lineRule="auto"/>
        <w:ind w:left="935"/>
        <w:rPr>
          <w:rFonts w:ascii="Calibri" w:hAnsi="Calibri"/>
          <w:color w:val="231F20"/>
          <w:w w:val="110"/>
        </w:rPr>
      </w:pPr>
      <w:r w:rsidRPr="00C36180">
        <w:rPr>
          <w:rFonts w:ascii="Calibri" w:hAnsi="Calibri"/>
          <w:color w:val="231F20"/>
          <w:w w:val="110"/>
        </w:rPr>
        <w:lastRenderedPageBreak/>
        <w:t xml:space="preserve">Participate with the NET and the Talent Acquisition Portal (TAP) to create increased opportunities for VR </w:t>
      </w:r>
      <w:r w:rsidR="00EB646F">
        <w:rPr>
          <w:rFonts w:ascii="Calibri" w:hAnsi="Calibri"/>
          <w:color w:val="231F20"/>
          <w:w w:val="110"/>
        </w:rPr>
        <w:t>job seekers</w:t>
      </w:r>
      <w:r w:rsidRPr="00C36180">
        <w:rPr>
          <w:rFonts w:ascii="Calibri" w:hAnsi="Calibri"/>
          <w:color w:val="231F20"/>
          <w:w w:val="110"/>
        </w:rPr>
        <w:t xml:space="preserve"> and employers recruiting VR </w:t>
      </w:r>
      <w:r w:rsidR="00EB646F">
        <w:rPr>
          <w:rFonts w:ascii="Calibri" w:hAnsi="Calibri"/>
          <w:color w:val="231F20"/>
          <w:w w:val="110"/>
        </w:rPr>
        <w:t>job seekers</w:t>
      </w:r>
      <w:r w:rsidRPr="00C36180">
        <w:rPr>
          <w:rFonts w:ascii="Calibri" w:hAnsi="Calibri"/>
          <w:color w:val="231F20"/>
          <w:w w:val="110"/>
        </w:rPr>
        <w:t>.</w:t>
      </w:r>
    </w:p>
    <w:p w14:paraId="677C9E38" w14:textId="77777777" w:rsidR="004B29A0" w:rsidRPr="004B29A0" w:rsidRDefault="004B29A0" w:rsidP="004B29A0">
      <w:pPr>
        <w:pStyle w:val="ListParagraph"/>
        <w:rPr>
          <w:rFonts w:ascii="Calibri" w:hAnsi="Calibri"/>
          <w:color w:val="231F20"/>
          <w:w w:val="110"/>
        </w:rPr>
      </w:pPr>
    </w:p>
    <w:p w14:paraId="64D8E7A1" w14:textId="23661F9E" w:rsidR="00C36180" w:rsidRPr="004B29A0" w:rsidRDefault="00C36180" w:rsidP="00D63204">
      <w:pPr>
        <w:pStyle w:val="ListParagraph"/>
        <w:widowControl w:val="0"/>
        <w:numPr>
          <w:ilvl w:val="0"/>
          <w:numId w:val="111"/>
        </w:numPr>
        <w:spacing w:after="0" w:line="240" w:lineRule="auto"/>
        <w:ind w:left="935"/>
        <w:rPr>
          <w:rFonts w:ascii="Calibri" w:hAnsi="Calibri"/>
          <w:color w:val="231F20"/>
          <w:w w:val="110"/>
        </w:rPr>
      </w:pPr>
      <w:r w:rsidRPr="004B29A0">
        <w:rPr>
          <w:rFonts w:ascii="Calibri" w:hAnsi="Calibri"/>
          <w:color w:val="231F20"/>
          <w:w w:val="110"/>
        </w:rPr>
        <w:t>Collaborate with business to create a pipeline of qualified candidates.</w:t>
      </w:r>
    </w:p>
    <w:p w14:paraId="703AFD87" w14:textId="77777777" w:rsidR="00C36180" w:rsidRDefault="00C36180" w:rsidP="00D63204">
      <w:pPr>
        <w:widowControl w:val="0"/>
        <w:spacing w:after="0" w:line="240" w:lineRule="auto"/>
        <w:ind w:left="107"/>
        <w:rPr>
          <w:rFonts w:ascii="Calibri" w:hAnsi="Calibri" w:cs="Calibri"/>
        </w:rPr>
      </w:pPr>
    </w:p>
    <w:p w14:paraId="221D0F6B" w14:textId="77777777" w:rsidR="00C36180" w:rsidRPr="00A23800" w:rsidRDefault="00C36180" w:rsidP="00D63204">
      <w:pPr>
        <w:widowControl w:val="0"/>
        <w:spacing w:before="57" w:after="0" w:line="240" w:lineRule="auto"/>
        <w:ind w:left="107"/>
        <w:outlineLvl w:val="2"/>
        <w:rPr>
          <w:rFonts w:ascii="Calibri" w:hAnsi="Calibri"/>
        </w:rPr>
      </w:pPr>
      <w:bookmarkStart w:id="143" w:name="_bookmark80"/>
      <w:bookmarkEnd w:id="143"/>
      <w:r w:rsidRPr="00A23800">
        <w:rPr>
          <w:rFonts w:ascii="Calibri" w:hAnsi="Calibri"/>
          <w:b/>
          <w:bCs/>
          <w:color w:val="231F20"/>
          <w:w w:val="110"/>
        </w:rPr>
        <w:t>Goal</w:t>
      </w:r>
      <w:r w:rsidRPr="00A23800">
        <w:rPr>
          <w:rFonts w:ascii="Calibri" w:hAnsi="Calibri"/>
          <w:b/>
          <w:bCs/>
          <w:color w:val="231F20"/>
          <w:spacing w:val="-8"/>
          <w:w w:val="110"/>
        </w:rPr>
        <w:t xml:space="preserve"> </w:t>
      </w:r>
      <w:r w:rsidRPr="00A23800">
        <w:rPr>
          <w:rFonts w:ascii="Calibri" w:hAnsi="Calibri"/>
          <w:b/>
          <w:bCs/>
          <w:color w:val="231F20"/>
          <w:w w:val="110"/>
        </w:rPr>
        <w:t>3:</w:t>
      </w:r>
      <w:r w:rsidRPr="00A23800">
        <w:rPr>
          <w:rFonts w:ascii="Calibri" w:hAnsi="Calibri"/>
          <w:b/>
          <w:bCs/>
          <w:color w:val="231F20"/>
          <w:spacing w:val="-8"/>
          <w:w w:val="110"/>
        </w:rPr>
        <w:t xml:space="preserve"> </w:t>
      </w:r>
      <w:r w:rsidRPr="00A23800">
        <w:rPr>
          <w:rFonts w:ascii="Calibri" w:hAnsi="Calibri"/>
          <w:b/>
          <w:bCs/>
          <w:color w:val="231F20"/>
          <w:w w:val="110"/>
        </w:rPr>
        <w:t>Expand</w:t>
      </w:r>
      <w:r w:rsidRPr="00A23800">
        <w:rPr>
          <w:rFonts w:ascii="Calibri" w:hAnsi="Calibri"/>
          <w:b/>
          <w:bCs/>
          <w:color w:val="231F20"/>
          <w:spacing w:val="-8"/>
          <w:w w:val="110"/>
        </w:rPr>
        <w:t xml:space="preserve"> </w:t>
      </w:r>
      <w:r w:rsidRPr="00A23800">
        <w:rPr>
          <w:rFonts w:ascii="Calibri" w:hAnsi="Calibri"/>
          <w:b/>
          <w:bCs/>
          <w:color w:val="231F20"/>
          <w:w w:val="110"/>
        </w:rPr>
        <w:t>career</w:t>
      </w:r>
      <w:r w:rsidRPr="00A23800">
        <w:rPr>
          <w:rFonts w:ascii="Calibri" w:hAnsi="Calibri"/>
          <w:b/>
          <w:bCs/>
          <w:color w:val="231F20"/>
          <w:spacing w:val="-8"/>
          <w:w w:val="110"/>
        </w:rPr>
        <w:t xml:space="preserve"> </w:t>
      </w:r>
      <w:r w:rsidRPr="00A23800">
        <w:rPr>
          <w:rFonts w:ascii="Calibri" w:hAnsi="Calibri"/>
          <w:b/>
          <w:bCs/>
          <w:color w:val="231F20"/>
          <w:w w:val="110"/>
        </w:rPr>
        <w:t>opportunities</w:t>
      </w:r>
      <w:r w:rsidRPr="00A23800">
        <w:rPr>
          <w:rFonts w:ascii="Calibri" w:hAnsi="Calibri"/>
          <w:b/>
          <w:bCs/>
          <w:color w:val="231F20"/>
          <w:spacing w:val="-8"/>
          <w:w w:val="110"/>
        </w:rPr>
        <w:t xml:space="preserve"> </w:t>
      </w:r>
      <w:r w:rsidRPr="00A23800">
        <w:rPr>
          <w:rFonts w:ascii="Calibri" w:hAnsi="Calibri"/>
          <w:b/>
          <w:bCs/>
          <w:color w:val="231F20"/>
          <w:w w:val="110"/>
        </w:rPr>
        <w:t>for</w:t>
      </w:r>
      <w:r w:rsidRPr="00A23800">
        <w:rPr>
          <w:rFonts w:ascii="Calibri" w:hAnsi="Calibri"/>
          <w:b/>
          <w:bCs/>
          <w:color w:val="231F20"/>
          <w:spacing w:val="-8"/>
          <w:w w:val="110"/>
        </w:rPr>
        <w:t xml:space="preserve"> </w:t>
      </w:r>
      <w:r w:rsidRPr="00A23800">
        <w:rPr>
          <w:rFonts w:ascii="Calibri" w:hAnsi="Calibri"/>
          <w:b/>
          <w:bCs/>
          <w:color w:val="231F20"/>
          <w:w w:val="110"/>
        </w:rPr>
        <w:t>VR</w:t>
      </w:r>
      <w:r w:rsidRPr="00A23800">
        <w:rPr>
          <w:rFonts w:ascii="Calibri" w:hAnsi="Calibri"/>
          <w:b/>
          <w:bCs/>
          <w:color w:val="231F20"/>
          <w:spacing w:val="-8"/>
          <w:w w:val="110"/>
        </w:rPr>
        <w:t xml:space="preserve"> </w:t>
      </w:r>
      <w:r w:rsidRPr="00A23800">
        <w:rPr>
          <w:rFonts w:ascii="Calibri" w:hAnsi="Calibri"/>
          <w:b/>
          <w:bCs/>
          <w:color w:val="231F20"/>
          <w:w w:val="110"/>
        </w:rPr>
        <w:t>candidates.</w:t>
      </w:r>
    </w:p>
    <w:p w14:paraId="4FE53A96" w14:textId="77777777" w:rsidR="00C36180" w:rsidRDefault="00C36180" w:rsidP="00D63204">
      <w:pPr>
        <w:widowControl w:val="0"/>
        <w:spacing w:before="85" w:after="0" w:line="240" w:lineRule="auto"/>
        <w:ind w:left="107"/>
        <w:rPr>
          <w:rFonts w:ascii="Calibri" w:hAnsi="Calibri"/>
          <w:color w:val="231F20"/>
          <w:w w:val="91"/>
        </w:rPr>
      </w:pPr>
      <w:r w:rsidRPr="00A23800">
        <w:rPr>
          <w:rFonts w:ascii="Calibri" w:hAnsi="Calibri"/>
          <w:color w:val="231F20"/>
          <w:w w:val="105"/>
        </w:rPr>
        <w:t>Objective:</w:t>
      </w:r>
      <w:r w:rsidRPr="00A23800">
        <w:rPr>
          <w:rFonts w:ascii="Calibri" w:hAnsi="Calibri"/>
          <w:color w:val="231F20"/>
          <w:spacing w:val="14"/>
          <w:w w:val="105"/>
        </w:rPr>
        <w:t xml:space="preserve"> </w:t>
      </w:r>
      <w:r w:rsidRPr="00A23800">
        <w:rPr>
          <w:rFonts w:ascii="Calibri" w:hAnsi="Calibri"/>
          <w:color w:val="231F20"/>
          <w:w w:val="105"/>
        </w:rPr>
        <w:t>Prepare</w:t>
      </w:r>
      <w:r w:rsidRPr="00A23800">
        <w:rPr>
          <w:rFonts w:ascii="Calibri" w:hAnsi="Calibri"/>
          <w:color w:val="231F20"/>
          <w:spacing w:val="14"/>
          <w:w w:val="105"/>
        </w:rPr>
        <w:t xml:space="preserve"> </w:t>
      </w:r>
      <w:r w:rsidRPr="00A23800">
        <w:rPr>
          <w:rFonts w:ascii="Calibri" w:hAnsi="Calibri"/>
          <w:color w:val="231F20"/>
          <w:w w:val="105"/>
        </w:rPr>
        <w:t>ready-to-work</w:t>
      </w:r>
      <w:r w:rsidRPr="00A23800">
        <w:rPr>
          <w:rFonts w:ascii="Calibri" w:hAnsi="Calibri"/>
          <w:color w:val="231F20"/>
          <w:spacing w:val="14"/>
          <w:w w:val="105"/>
        </w:rPr>
        <w:t xml:space="preserve"> </w:t>
      </w:r>
      <w:r w:rsidRPr="00A23800">
        <w:rPr>
          <w:rFonts w:ascii="Calibri" w:hAnsi="Calibri"/>
          <w:color w:val="231F20"/>
          <w:w w:val="105"/>
        </w:rPr>
        <w:t>applicants</w:t>
      </w:r>
      <w:r w:rsidRPr="00A23800">
        <w:rPr>
          <w:rFonts w:ascii="Calibri" w:hAnsi="Calibri"/>
          <w:color w:val="231F20"/>
          <w:spacing w:val="14"/>
          <w:w w:val="105"/>
        </w:rPr>
        <w:t xml:space="preserve"> </w:t>
      </w:r>
      <w:r w:rsidRPr="00A23800">
        <w:rPr>
          <w:rFonts w:ascii="Calibri" w:hAnsi="Calibri"/>
          <w:color w:val="231F20"/>
          <w:w w:val="105"/>
        </w:rPr>
        <w:t>for</w:t>
      </w:r>
      <w:r w:rsidRPr="00A23800">
        <w:rPr>
          <w:rFonts w:ascii="Calibri" w:hAnsi="Calibri"/>
          <w:color w:val="231F20"/>
          <w:spacing w:val="14"/>
          <w:w w:val="105"/>
        </w:rPr>
        <w:t xml:space="preserve"> </w:t>
      </w:r>
      <w:r w:rsidRPr="00A23800">
        <w:rPr>
          <w:rFonts w:ascii="Calibri" w:hAnsi="Calibri"/>
          <w:color w:val="231F20"/>
          <w:w w:val="105"/>
        </w:rPr>
        <w:t>in-demand</w:t>
      </w:r>
      <w:r w:rsidRPr="00A23800">
        <w:rPr>
          <w:rFonts w:ascii="Calibri" w:hAnsi="Calibri"/>
          <w:color w:val="231F20"/>
          <w:spacing w:val="14"/>
          <w:w w:val="105"/>
        </w:rPr>
        <w:t xml:space="preserve"> </w:t>
      </w:r>
      <w:r w:rsidRPr="00A23800">
        <w:rPr>
          <w:rFonts w:ascii="Calibri" w:hAnsi="Calibri"/>
          <w:color w:val="231F20"/>
          <w:w w:val="105"/>
        </w:rPr>
        <w:t>careers</w:t>
      </w:r>
      <w:r w:rsidRPr="00A23800">
        <w:rPr>
          <w:rFonts w:ascii="Calibri" w:hAnsi="Calibri"/>
          <w:color w:val="231F20"/>
          <w:spacing w:val="14"/>
          <w:w w:val="105"/>
        </w:rPr>
        <w:t xml:space="preserve"> </w:t>
      </w:r>
      <w:r w:rsidRPr="00A23800">
        <w:rPr>
          <w:rFonts w:ascii="Calibri" w:hAnsi="Calibri"/>
          <w:color w:val="231F20"/>
          <w:w w:val="105"/>
        </w:rPr>
        <w:t>and</w:t>
      </w:r>
      <w:r w:rsidRPr="00A23800">
        <w:rPr>
          <w:rFonts w:ascii="Calibri" w:hAnsi="Calibri"/>
          <w:color w:val="231F20"/>
          <w:spacing w:val="14"/>
          <w:w w:val="105"/>
        </w:rPr>
        <w:t xml:space="preserve"> </w:t>
      </w:r>
      <w:r w:rsidRPr="00A23800">
        <w:rPr>
          <w:rFonts w:ascii="Calibri" w:hAnsi="Calibri"/>
          <w:color w:val="231F20"/>
          <w:w w:val="105"/>
        </w:rPr>
        <w:t>jobs</w:t>
      </w:r>
      <w:r w:rsidRPr="00A23800">
        <w:rPr>
          <w:rFonts w:ascii="Calibri" w:hAnsi="Calibri"/>
          <w:color w:val="231F20"/>
          <w:spacing w:val="14"/>
          <w:w w:val="105"/>
        </w:rPr>
        <w:t xml:space="preserve"> </w:t>
      </w:r>
      <w:r w:rsidRPr="00A23800">
        <w:rPr>
          <w:rFonts w:ascii="Calibri" w:hAnsi="Calibri"/>
          <w:color w:val="231F20"/>
          <w:w w:val="105"/>
        </w:rPr>
        <w:t>that</w:t>
      </w:r>
      <w:r w:rsidRPr="00A23800">
        <w:rPr>
          <w:rFonts w:ascii="Calibri" w:hAnsi="Calibri"/>
          <w:color w:val="231F20"/>
          <w:spacing w:val="14"/>
          <w:w w:val="105"/>
        </w:rPr>
        <w:t xml:space="preserve"> </w:t>
      </w:r>
      <w:r w:rsidRPr="00A23800">
        <w:rPr>
          <w:rFonts w:ascii="Calibri" w:hAnsi="Calibri"/>
          <w:color w:val="231F20"/>
          <w:w w:val="105"/>
        </w:rPr>
        <w:t>are</w:t>
      </w:r>
      <w:r w:rsidRPr="00A23800">
        <w:rPr>
          <w:rFonts w:ascii="Calibri" w:hAnsi="Calibri"/>
          <w:color w:val="231F20"/>
          <w:spacing w:val="14"/>
          <w:w w:val="105"/>
        </w:rPr>
        <w:t xml:space="preserve"> </w:t>
      </w:r>
      <w:r w:rsidRPr="00A23800">
        <w:rPr>
          <w:rFonts w:ascii="Calibri" w:hAnsi="Calibri"/>
          <w:color w:val="231F20"/>
          <w:w w:val="105"/>
        </w:rPr>
        <w:t>available</w:t>
      </w:r>
      <w:r w:rsidRPr="00A23800">
        <w:rPr>
          <w:rFonts w:ascii="Calibri" w:hAnsi="Calibri"/>
          <w:color w:val="231F20"/>
          <w:spacing w:val="14"/>
          <w:w w:val="105"/>
        </w:rPr>
        <w:t xml:space="preserve"> </w:t>
      </w:r>
      <w:r w:rsidRPr="00A23800">
        <w:rPr>
          <w:rFonts w:ascii="Calibri" w:hAnsi="Calibri"/>
          <w:color w:val="231F20"/>
          <w:spacing w:val="-3"/>
          <w:w w:val="105"/>
        </w:rPr>
        <w:t>now.</w:t>
      </w:r>
      <w:r w:rsidRPr="00A23800">
        <w:rPr>
          <w:rFonts w:ascii="Calibri" w:hAnsi="Calibri"/>
          <w:color w:val="231F20"/>
          <w:w w:val="91"/>
        </w:rPr>
        <w:t xml:space="preserve"> </w:t>
      </w:r>
    </w:p>
    <w:p w14:paraId="2805679B" w14:textId="0B4D6381" w:rsidR="00C36180" w:rsidRDefault="00C36180" w:rsidP="00D63204">
      <w:pPr>
        <w:widowControl w:val="0"/>
        <w:spacing w:before="85" w:after="0" w:line="240" w:lineRule="auto"/>
        <w:ind w:left="107"/>
        <w:rPr>
          <w:rFonts w:ascii="Calibri" w:hAnsi="Calibri"/>
          <w:color w:val="231F20"/>
          <w:w w:val="105"/>
        </w:rPr>
      </w:pPr>
      <w:r w:rsidRPr="00A23800">
        <w:rPr>
          <w:rFonts w:ascii="Calibri" w:hAnsi="Calibri"/>
          <w:color w:val="231F20"/>
          <w:w w:val="105"/>
        </w:rPr>
        <w:t>Strategies:</w:t>
      </w:r>
    </w:p>
    <w:p w14:paraId="32EEF6B9" w14:textId="77777777" w:rsidR="004B29A0" w:rsidRPr="00A23800" w:rsidRDefault="004B29A0" w:rsidP="00D63204">
      <w:pPr>
        <w:widowControl w:val="0"/>
        <w:spacing w:after="0" w:line="240" w:lineRule="auto"/>
        <w:ind w:left="107"/>
        <w:rPr>
          <w:rFonts w:ascii="Calibri" w:hAnsi="Calibri"/>
        </w:rPr>
      </w:pPr>
    </w:p>
    <w:p w14:paraId="72647A59" w14:textId="5C298F53" w:rsidR="00C36180" w:rsidRPr="004B29A0" w:rsidRDefault="00C36180" w:rsidP="00D63204">
      <w:pPr>
        <w:pStyle w:val="ListParagraph"/>
        <w:widowControl w:val="0"/>
        <w:numPr>
          <w:ilvl w:val="0"/>
          <w:numId w:val="112"/>
        </w:numPr>
        <w:spacing w:before="107" w:after="0" w:line="240" w:lineRule="auto"/>
        <w:rPr>
          <w:rFonts w:ascii="Calibri" w:hAnsi="Calibri" w:cs="Calibri"/>
        </w:rPr>
      </w:pPr>
      <w:r w:rsidRPr="004B29A0">
        <w:rPr>
          <w:rFonts w:ascii="Calibri" w:hAnsi="Calibri"/>
          <w:color w:val="231F20"/>
          <w:w w:val="105"/>
        </w:rPr>
        <w:t>Meet</w:t>
      </w:r>
      <w:r w:rsidRPr="004B29A0">
        <w:rPr>
          <w:rFonts w:ascii="Calibri" w:hAnsi="Calibri"/>
          <w:color w:val="231F20"/>
          <w:spacing w:val="11"/>
          <w:w w:val="105"/>
        </w:rPr>
        <w:t xml:space="preserve"> </w:t>
      </w:r>
      <w:r w:rsidRPr="004B29A0">
        <w:rPr>
          <w:rFonts w:ascii="Calibri" w:hAnsi="Calibri"/>
          <w:color w:val="231F20"/>
          <w:w w:val="105"/>
        </w:rPr>
        <w:t>with</w:t>
      </w:r>
      <w:r w:rsidRPr="004B29A0">
        <w:rPr>
          <w:rFonts w:ascii="Calibri" w:hAnsi="Calibri"/>
          <w:color w:val="231F20"/>
          <w:spacing w:val="11"/>
          <w:w w:val="105"/>
        </w:rPr>
        <w:t xml:space="preserve"> </w:t>
      </w:r>
      <w:r w:rsidRPr="004B29A0">
        <w:rPr>
          <w:rFonts w:ascii="Calibri" w:hAnsi="Calibri"/>
          <w:color w:val="231F20"/>
          <w:w w:val="105"/>
        </w:rPr>
        <w:t>business</w:t>
      </w:r>
      <w:r w:rsidRPr="004B29A0">
        <w:rPr>
          <w:rFonts w:ascii="Calibri" w:hAnsi="Calibri"/>
          <w:color w:val="231F20"/>
          <w:spacing w:val="11"/>
          <w:w w:val="105"/>
        </w:rPr>
        <w:t xml:space="preserve"> </w:t>
      </w:r>
      <w:r w:rsidRPr="004B29A0">
        <w:rPr>
          <w:rFonts w:ascii="Calibri" w:hAnsi="Calibri"/>
          <w:color w:val="231F20"/>
          <w:w w:val="105"/>
        </w:rPr>
        <w:t>and</w:t>
      </w:r>
      <w:r w:rsidRPr="004B29A0">
        <w:rPr>
          <w:rFonts w:ascii="Calibri" w:hAnsi="Calibri"/>
          <w:color w:val="231F20"/>
          <w:spacing w:val="11"/>
          <w:w w:val="105"/>
        </w:rPr>
        <w:t xml:space="preserve"> </w:t>
      </w:r>
      <w:r w:rsidRPr="004B29A0">
        <w:rPr>
          <w:rFonts w:ascii="Calibri" w:hAnsi="Calibri"/>
          <w:color w:val="231F20"/>
          <w:w w:val="105"/>
        </w:rPr>
        <w:t>industry</w:t>
      </w:r>
      <w:r w:rsidRPr="004B29A0">
        <w:rPr>
          <w:rFonts w:ascii="Calibri" w:hAnsi="Calibri"/>
          <w:color w:val="231F20"/>
          <w:spacing w:val="11"/>
          <w:w w:val="105"/>
        </w:rPr>
        <w:t xml:space="preserve"> </w:t>
      </w:r>
      <w:r w:rsidRPr="004B29A0">
        <w:rPr>
          <w:rFonts w:ascii="Calibri" w:hAnsi="Calibri"/>
          <w:color w:val="231F20"/>
          <w:w w:val="105"/>
        </w:rPr>
        <w:t>to</w:t>
      </w:r>
      <w:r w:rsidRPr="004B29A0">
        <w:rPr>
          <w:rFonts w:ascii="Calibri" w:hAnsi="Calibri"/>
          <w:color w:val="231F20"/>
          <w:spacing w:val="11"/>
          <w:w w:val="105"/>
        </w:rPr>
        <w:t xml:space="preserve"> </w:t>
      </w:r>
      <w:r w:rsidRPr="004B29A0">
        <w:rPr>
          <w:rFonts w:ascii="Calibri" w:hAnsi="Calibri"/>
          <w:color w:val="231F20"/>
          <w:w w:val="105"/>
        </w:rPr>
        <w:t>assess</w:t>
      </w:r>
      <w:r w:rsidRPr="004B29A0">
        <w:rPr>
          <w:rFonts w:ascii="Calibri" w:hAnsi="Calibri"/>
          <w:color w:val="231F20"/>
          <w:spacing w:val="11"/>
          <w:w w:val="105"/>
        </w:rPr>
        <w:t xml:space="preserve"> </w:t>
      </w:r>
      <w:r w:rsidRPr="004B29A0">
        <w:rPr>
          <w:rFonts w:ascii="Calibri" w:hAnsi="Calibri"/>
          <w:color w:val="231F20"/>
          <w:w w:val="105"/>
        </w:rPr>
        <w:t>workforce</w:t>
      </w:r>
      <w:r w:rsidRPr="004B29A0">
        <w:rPr>
          <w:rFonts w:ascii="Calibri" w:hAnsi="Calibri"/>
          <w:color w:val="231F20"/>
          <w:spacing w:val="11"/>
          <w:w w:val="105"/>
        </w:rPr>
        <w:t xml:space="preserve"> </w:t>
      </w:r>
      <w:r w:rsidRPr="004B29A0">
        <w:rPr>
          <w:rFonts w:ascii="Calibri" w:hAnsi="Calibri"/>
          <w:color w:val="231F20"/>
          <w:w w:val="105"/>
        </w:rPr>
        <w:t>needs</w:t>
      </w:r>
      <w:r w:rsidRPr="004B29A0">
        <w:rPr>
          <w:rFonts w:ascii="Calibri" w:hAnsi="Calibri"/>
          <w:color w:val="231F20"/>
          <w:spacing w:val="11"/>
          <w:w w:val="105"/>
        </w:rPr>
        <w:t xml:space="preserve"> </w:t>
      </w:r>
      <w:r w:rsidRPr="004B29A0">
        <w:rPr>
          <w:rFonts w:ascii="Calibri" w:hAnsi="Calibri"/>
          <w:color w:val="231F20"/>
          <w:w w:val="105"/>
        </w:rPr>
        <w:t>to</w:t>
      </w:r>
      <w:r w:rsidRPr="004B29A0">
        <w:rPr>
          <w:rFonts w:ascii="Calibri" w:hAnsi="Calibri"/>
          <w:color w:val="231F20"/>
          <w:spacing w:val="11"/>
          <w:w w:val="105"/>
        </w:rPr>
        <w:t xml:space="preserve"> </w:t>
      </w:r>
      <w:r w:rsidRPr="004B29A0">
        <w:rPr>
          <w:rFonts w:ascii="Calibri" w:hAnsi="Calibri"/>
          <w:color w:val="231F20"/>
          <w:w w:val="105"/>
        </w:rPr>
        <w:t>better</w:t>
      </w:r>
      <w:r w:rsidRPr="004B29A0">
        <w:rPr>
          <w:rFonts w:ascii="Calibri" w:hAnsi="Calibri"/>
          <w:color w:val="231F20"/>
          <w:spacing w:val="11"/>
          <w:w w:val="105"/>
        </w:rPr>
        <w:t xml:space="preserve"> </w:t>
      </w:r>
      <w:r w:rsidRPr="004B29A0">
        <w:rPr>
          <w:rFonts w:ascii="Calibri" w:hAnsi="Calibri"/>
          <w:color w:val="231F20"/>
          <w:w w:val="105"/>
        </w:rPr>
        <w:t>align</w:t>
      </w:r>
      <w:r w:rsidRPr="004B29A0">
        <w:rPr>
          <w:rFonts w:ascii="Calibri" w:hAnsi="Calibri"/>
          <w:color w:val="231F20"/>
          <w:spacing w:val="11"/>
          <w:w w:val="105"/>
        </w:rPr>
        <w:t xml:space="preserve"> </w:t>
      </w:r>
      <w:r w:rsidRPr="004B29A0">
        <w:rPr>
          <w:rFonts w:ascii="Calibri" w:hAnsi="Calibri"/>
          <w:color w:val="231F20"/>
          <w:w w:val="105"/>
        </w:rPr>
        <w:t>training</w:t>
      </w:r>
      <w:r w:rsidRPr="004B29A0">
        <w:rPr>
          <w:rFonts w:ascii="Calibri" w:hAnsi="Calibri"/>
          <w:color w:val="231F20"/>
          <w:spacing w:val="11"/>
          <w:w w:val="105"/>
        </w:rPr>
        <w:t xml:space="preserve"> </w:t>
      </w:r>
      <w:r w:rsidRPr="004B29A0">
        <w:rPr>
          <w:rFonts w:ascii="Calibri" w:hAnsi="Calibri"/>
          <w:color w:val="231F20"/>
          <w:w w:val="105"/>
        </w:rPr>
        <w:t>with</w:t>
      </w:r>
      <w:r w:rsidRPr="004B29A0">
        <w:rPr>
          <w:rFonts w:ascii="Calibri" w:hAnsi="Calibri"/>
          <w:color w:val="231F20"/>
          <w:spacing w:val="11"/>
          <w:w w:val="105"/>
        </w:rPr>
        <w:t xml:space="preserve"> </w:t>
      </w:r>
      <w:r w:rsidRPr="004B29A0">
        <w:rPr>
          <w:rFonts w:ascii="Calibri" w:hAnsi="Calibri"/>
          <w:color w:val="231F20"/>
          <w:w w:val="105"/>
        </w:rPr>
        <w:t>those</w:t>
      </w:r>
      <w:r w:rsidRPr="004B29A0">
        <w:rPr>
          <w:rFonts w:ascii="Calibri" w:hAnsi="Calibri"/>
          <w:color w:val="231F20"/>
          <w:w w:val="107"/>
        </w:rPr>
        <w:t xml:space="preserve"> </w:t>
      </w:r>
      <w:r w:rsidRPr="004B29A0">
        <w:rPr>
          <w:rFonts w:ascii="Calibri" w:hAnsi="Calibri"/>
          <w:color w:val="231F20"/>
          <w:w w:val="105"/>
        </w:rPr>
        <w:t>needs.</w:t>
      </w:r>
    </w:p>
    <w:p w14:paraId="13B6AEC2" w14:textId="77777777" w:rsidR="00C36180" w:rsidRPr="00A23800" w:rsidRDefault="00C36180" w:rsidP="00D63204">
      <w:pPr>
        <w:widowControl w:val="0"/>
        <w:spacing w:before="5" w:after="0" w:line="240" w:lineRule="auto"/>
        <w:ind w:left="107"/>
        <w:rPr>
          <w:rFonts w:ascii="Calibri" w:hAnsi="Calibri" w:cs="Calibri"/>
          <w:sz w:val="16"/>
          <w:szCs w:val="16"/>
        </w:rPr>
      </w:pPr>
    </w:p>
    <w:p w14:paraId="625AF6DB" w14:textId="32E86C7C" w:rsidR="00C36180" w:rsidRPr="004B29A0" w:rsidRDefault="00C36180" w:rsidP="00D63204">
      <w:pPr>
        <w:pStyle w:val="ListParagraph"/>
        <w:widowControl w:val="0"/>
        <w:numPr>
          <w:ilvl w:val="0"/>
          <w:numId w:val="112"/>
        </w:numPr>
        <w:spacing w:after="0" w:line="240" w:lineRule="auto"/>
        <w:rPr>
          <w:rFonts w:ascii="Calibri" w:hAnsi="Calibri" w:cs="Calibri"/>
        </w:rPr>
      </w:pPr>
      <w:r w:rsidRPr="004B29A0">
        <w:rPr>
          <w:rFonts w:ascii="Calibri" w:hAnsi="Calibri"/>
          <w:color w:val="231F20"/>
          <w:w w:val="105"/>
        </w:rPr>
        <w:t>Communicate information from employers about business needs and qualification requirements</w:t>
      </w:r>
      <w:r w:rsidRPr="004B29A0">
        <w:rPr>
          <w:rFonts w:ascii="Calibri" w:hAnsi="Calibri"/>
          <w:color w:val="231F20"/>
          <w:spacing w:val="25"/>
          <w:w w:val="105"/>
        </w:rPr>
        <w:t xml:space="preserve"> </w:t>
      </w:r>
      <w:r w:rsidRPr="004B29A0">
        <w:rPr>
          <w:rFonts w:ascii="Calibri" w:hAnsi="Calibri"/>
          <w:color w:val="231F20"/>
          <w:w w:val="105"/>
        </w:rPr>
        <w:t>to</w:t>
      </w:r>
      <w:r w:rsidRPr="004B29A0">
        <w:rPr>
          <w:rFonts w:ascii="Calibri" w:hAnsi="Calibri"/>
          <w:color w:val="231F20"/>
        </w:rPr>
        <w:t xml:space="preserve"> </w:t>
      </w:r>
      <w:r w:rsidRPr="004B29A0">
        <w:rPr>
          <w:rFonts w:ascii="Calibri" w:hAnsi="Calibri"/>
          <w:color w:val="231F20"/>
          <w:w w:val="105"/>
        </w:rPr>
        <w:t>VR</w:t>
      </w:r>
      <w:r w:rsidRPr="004B29A0">
        <w:rPr>
          <w:rFonts w:ascii="Calibri" w:hAnsi="Calibri"/>
          <w:color w:val="231F20"/>
          <w:spacing w:val="4"/>
          <w:w w:val="105"/>
        </w:rPr>
        <w:t xml:space="preserve"> </w:t>
      </w:r>
      <w:r w:rsidRPr="004B29A0">
        <w:rPr>
          <w:rFonts w:ascii="Calibri" w:hAnsi="Calibri"/>
          <w:color w:val="231F20"/>
          <w:w w:val="105"/>
        </w:rPr>
        <w:t>staff.</w:t>
      </w:r>
    </w:p>
    <w:p w14:paraId="1996B228" w14:textId="77777777" w:rsidR="004B29A0" w:rsidRPr="004B29A0" w:rsidRDefault="004B29A0" w:rsidP="00D63204">
      <w:pPr>
        <w:pStyle w:val="ListParagraph"/>
        <w:widowControl w:val="0"/>
        <w:spacing w:after="0" w:line="240" w:lineRule="auto"/>
        <w:ind w:left="827"/>
        <w:rPr>
          <w:rFonts w:ascii="Calibri" w:hAnsi="Calibri" w:cs="Calibri"/>
        </w:rPr>
      </w:pPr>
    </w:p>
    <w:p w14:paraId="56BD1A1B" w14:textId="66E2AAEE" w:rsidR="00C36180" w:rsidRPr="004B29A0" w:rsidRDefault="00C36180" w:rsidP="00D63204">
      <w:pPr>
        <w:pStyle w:val="ListParagraph"/>
        <w:widowControl w:val="0"/>
        <w:numPr>
          <w:ilvl w:val="0"/>
          <w:numId w:val="112"/>
        </w:numPr>
        <w:spacing w:before="182" w:after="0" w:line="240" w:lineRule="auto"/>
        <w:rPr>
          <w:rFonts w:ascii="Calibri" w:hAnsi="Calibri" w:cs="Calibri"/>
        </w:rPr>
      </w:pPr>
      <w:r w:rsidRPr="004B29A0">
        <w:rPr>
          <w:rFonts w:ascii="Calibri" w:hAnsi="Calibri"/>
          <w:color w:val="231F20"/>
          <w:w w:val="105"/>
        </w:rPr>
        <w:t>Engage in sector</w:t>
      </w:r>
      <w:r w:rsidRPr="004B29A0">
        <w:rPr>
          <w:rFonts w:ascii="Calibri" w:hAnsi="Calibri"/>
          <w:color w:val="231F20"/>
          <w:spacing w:val="15"/>
          <w:w w:val="105"/>
        </w:rPr>
        <w:t xml:space="preserve"> </w:t>
      </w:r>
      <w:r w:rsidRPr="004B29A0">
        <w:rPr>
          <w:rFonts w:ascii="Calibri" w:hAnsi="Calibri"/>
          <w:color w:val="231F20"/>
          <w:w w:val="105"/>
        </w:rPr>
        <w:t>partnerships.</w:t>
      </w:r>
    </w:p>
    <w:p w14:paraId="20C46865" w14:textId="77777777" w:rsidR="004B29A0" w:rsidRPr="004B29A0" w:rsidRDefault="004B29A0" w:rsidP="00D63204">
      <w:pPr>
        <w:pStyle w:val="ListParagraph"/>
        <w:widowControl w:val="0"/>
        <w:spacing w:before="182" w:after="0" w:line="240" w:lineRule="auto"/>
        <w:ind w:left="827"/>
        <w:rPr>
          <w:rFonts w:ascii="Calibri" w:hAnsi="Calibri" w:cs="Calibri"/>
        </w:rPr>
      </w:pPr>
    </w:p>
    <w:p w14:paraId="2F9F62E3" w14:textId="77777777" w:rsidR="00C36180" w:rsidRPr="004B29A0" w:rsidRDefault="00C36180" w:rsidP="00D63204">
      <w:pPr>
        <w:pStyle w:val="ListParagraph"/>
        <w:widowControl w:val="0"/>
        <w:numPr>
          <w:ilvl w:val="0"/>
          <w:numId w:val="112"/>
        </w:numPr>
        <w:spacing w:before="188" w:after="0" w:line="240" w:lineRule="auto"/>
        <w:rPr>
          <w:rFonts w:ascii="Calibri" w:hAnsi="Calibri" w:cs="Calibri"/>
        </w:rPr>
      </w:pPr>
      <w:r w:rsidRPr="004B29A0">
        <w:rPr>
          <w:rFonts w:ascii="Calibri" w:hAnsi="Calibri"/>
          <w:color w:val="231F20"/>
          <w:w w:val="105"/>
        </w:rPr>
        <w:t>Provide</w:t>
      </w:r>
      <w:r w:rsidRPr="004B29A0">
        <w:rPr>
          <w:rFonts w:ascii="Calibri" w:hAnsi="Calibri"/>
          <w:color w:val="231F20"/>
          <w:spacing w:val="12"/>
          <w:w w:val="105"/>
        </w:rPr>
        <w:t xml:space="preserve"> </w:t>
      </w:r>
      <w:r w:rsidRPr="004B29A0">
        <w:rPr>
          <w:rFonts w:ascii="Calibri" w:hAnsi="Calibri"/>
          <w:color w:val="231F20"/>
          <w:w w:val="105"/>
        </w:rPr>
        <w:t>information</w:t>
      </w:r>
      <w:r w:rsidRPr="004B29A0">
        <w:rPr>
          <w:rFonts w:ascii="Calibri" w:hAnsi="Calibri"/>
          <w:color w:val="231F20"/>
          <w:spacing w:val="12"/>
          <w:w w:val="105"/>
        </w:rPr>
        <w:t xml:space="preserve"> </w:t>
      </w:r>
      <w:r w:rsidRPr="004B29A0">
        <w:rPr>
          <w:rFonts w:ascii="Calibri" w:hAnsi="Calibri"/>
          <w:color w:val="231F20"/>
          <w:w w:val="105"/>
        </w:rPr>
        <w:t>to</w:t>
      </w:r>
      <w:r w:rsidRPr="004B29A0">
        <w:rPr>
          <w:rFonts w:ascii="Calibri" w:hAnsi="Calibri"/>
          <w:color w:val="231F20"/>
          <w:spacing w:val="12"/>
          <w:w w:val="105"/>
        </w:rPr>
        <w:t xml:space="preserve"> </w:t>
      </w:r>
      <w:r w:rsidRPr="004B29A0">
        <w:rPr>
          <w:rFonts w:ascii="Calibri" w:hAnsi="Calibri"/>
          <w:color w:val="231F20"/>
          <w:w w:val="105"/>
        </w:rPr>
        <w:t>VR</w:t>
      </w:r>
      <w:r w:rsidRPr="004B29A0">
        <w:rPr>
          <w:rFonts w:ascii="Calibri" w:hAnsi="Calibri"/>
          <w:color w:val="231F20"/>
          <w:spacing w:val="12"/>
          <w:w w:val="105"/>
        </w:rPr>
        <w:t xml:space="preserve"> </w:t>
      </w:r>
      <w:r w:rsidRPr="004B29A0">
        <w:rPr>
          <w:rFonts w:ascii="Calibri" w:hAnsi="Calibri"/>
          <w:color w:val="231F20"/>
          <w:w w:val="105"/>
        </w:rPr>
        <w:t>staff</w:t>
      </w:r>
      <w:r w:rsidRPr="004B29A0">
        <w:rPr>
          <w:rFonts w:ascii="Calibri" w:hAnsi="Calibri"/>
          <w:color w:val="231F20"/>
          <w:spacing w:val="12"/>
          <w:w w:val="105"/>
        </w:rPr>
        <w:t xml:space="preserve"> </w:t>
      </w:r>
      <w:r w:rsidRPr="004B29A0">
        <w:rPr>
          <w:rFonts w:ascii="Calibri" w:hAnsi="Calibri"/>
          <w:color w:val="231F20"/>
          <w:w w:val="105"/>
        </w:rPr>
        <w:t>about</w:t>
      </w:r>
      <w:r w:rsidRPr="004B29A0">
        <w:rPr>
          <w:rFonts w:ascii="Calibri" w:hAnsi="Calibri"/>
          <w:color w:val="231F20"/>
          <w:spacing w:val="12"/>
          <w:w w:val="105"/>
        </w:rPr>
        <w:t xml:space="preserve"> </w:t>
      </w:r>
      <w:r w:rsidRPr="004B29A0">
        <w:rPr>
          <w:rFonts w:ascii="Calibri" w:hAnsi="Calibri"/>
          <w:color w:val="231F20"/>
          <w:w w:val="105"/>
        </w:rPr>
        <w:t>in-demand</w:t>
      </w:r>
      <w:r w:rsidRPr="004B29A0">
        <w:rPr>
          <w:rFonts w:ascii="Calibri" w:hAnsi="Calibri"/>
          <w:color w:val="231F20"/>
          <w:spacing w:val="12"/>
          <w:w w:val="105"/>
        </w:rPr>
        <w:t xml:space="preserve"> </w:t>
      </w:r>
      <w:r w:rsidRPr="004B29A0">
        <w:rPr>
          <w:rFonts w:ascii="Calibri" w:hAnsi="Calibri"/>
          <w:color w:val="231F20"/>
          <w:w w:val="105"/>
        </w:rPr>
        <w:t>jobs</w:t>
      </w:r>
      <w:r w:rsidRPr="004B29A0">
        <w:rPr>
          <w:rFonts w:ascii="Calibri" w:hAnsi="Calibri"/>
          <w:color w:val="231F20"/>
          <w:spacing w:val="12"/>
          <w:w w:val="105"/>
        </w:rPr>
        <w:t xml:space="preserve"> </w:t>
      </w:r>
      <w:r w:rsidRPr="004B29A0">
        <w:rPr>
          <w:rFonts w:ascii="Calibri" w:hAnsi="Calibri"/>
          <w:color w:val="231F20"/>
          <w:w w:val="105"/>
        </w:rPr>
        <w:t>and</w:t>
      </w:r>
      <w:r w:rsidRPr="004B29A0">
        <w:rPr>
          <w:rFonts w:ascii="Calibri" w:hAnsi="Calibri"/>
          <w:color w:val="231F20"/>
          <w:spacing w:val="12"/>
          <w:w w:val="105"/>
        </w:rPr>
        <w:t xml:space="preserve"> </w:t>
      </w:r>
      <w:r w:rsidRPr="004B29A0">
        <w:rPr>
          <w:rFonts w:ascii="Calibri" w:hAnsi="Calibri"/>
          <w:color w:val="231F20"/>
          <w:w w:val="105"/>
        </w:rPr>
        <w:t>high</w:t>
      </w:r>
      <w:r w:rsidRPr="004B29A0">
        <w:rPr>
          <w:rFonts w:ascii="Calibri" w:hAnsi="Calibri"/>
          <w:color w:val="231F20"/>
          <w:spacing w:val="12"/>
          <w:w w:val="105"/>
        </w:rPr>
        <w:t xml:space="preserve"> </w:t>
      </w:r>
      <w:r w:rsidRPr="004B29A0">
        <w:rPr>
          <w:rFonts w:ascii="Calibri" w:hAnsi="Calibri"/>
          <w:color w:val="231F20"/>
          <w:w w:val="105"/>
        </w:rPr>
        <w:t>growth</w:t>
      </w:r>
      <w:r w:rsidRPr="004B29A0">
        <w:rPr>
          <w:rFonts w:ascii="Calibri" w:hAnsi="Calibri"/>
          <w:color w:val="231F20"/>
          <w:spacing w:val="12"/>
          <w:w w:val="105"/>
        </w:rPr>
        <w:t xml:space="preserve"> </w:t>
      </w:r>
      <w:r w:rsidRPr="004B29A0">
        <w:rPr>
          <w:rFonts w:ascii="Calibri" w:hAnsi="Calibri"/>
          <w:color w:val="231F20"/>
          <w:w w:val="105"/>
        </w:rPr>
        <w:t>industries</w:t>
      </w:r>
      <w:r w:rsidRPr="004B29A0">
        <w:rPr>
          <w:rFonts w:ascii="Calibri" w:hAnsi="Calibri"/>
          <w:color w:val="231F20"/>
          <w:spacing w:val="12"/>
          <w:w w:val="105"/>
        </w:rPr>
        <w:t xml:space="preserve"> </w:t>
      </w:r>
      <w:r w:rsidRPr="004B29A0">
        <w:rPr>
          <w:rFonts w:ascii="Calibri" w:hAnsi="Calibri"/>
          <w:color w:val="231F20"/>
          <w:w w:val="105"/>
        </w:rPr>
        <w:t>and</w:t>
      </w:r>
      <w:r w:rsidRPr="004B29A0">
        <w:rPr>
          <w:rFonts w:ascii="Calibri" w:hAnsi="Calibri"/>
          <w:color w:val="231F20"/>
          <w:spacing w:val="12"/>
          <w:w w:val="105"/>
        </w:rPr>
        <w:t xml:space="preserve"> </w:t>
      </w:r>
      <w:r w:rsidRPr="004B29A0">
        <w:rPr>
          <w:rFonts w:ascii="Calibri" w:hAnsi="Calibri"/>
          <w:color w:val="231F20"/>
          <w:w w:val="105"/>
        </w:rPr>
        <w:t>sectors</w:t>
      </w:r>
      <w:r w:rsidRPr="004B29A0">
        <w:rPr>
          <w:rFonts w:ascii="Calibri" w:hAnsi="Calibri"/>
          <w:color w:val="231F20"/>
          <w:spacing w:val="12"/>
          <w:w w:val="105"/>
        </w:rPr>
        <w:t xml:space="preserve"> </w:t>
      </w:r>
      <w:r w:rsidRPr="004B29A0">
        <w:rPr>
          <w:rFonts w:ascii="Calibri" w:hAnsi="Calibri"/>
          <w:color w:val="231F20"/>
          <w:w w:val="105"/>
        </w:rPr>
        <w:t>using</w:t>
      </w:r>
      <w:r w:rsidRPr="004B29A0">
        <w:rPr>
          <w:rFonts w:ascii="Calibri" w:hAnsi="Calibri"/>
          <w:color w:val="231F20"/>
          <w:w w:val="110"/>
        </w:rPr>
        <w:t xml:space="preserve"> </w:t>
      </w:r>
      <w:r w:rsidRPr="004B29A0">
        <w:rPr>
          <w:rFonts w:ascii="Calibri" w:hAnsi="Calibri"/>
          <w:color w:val="231F20"/>
          <w:w w:val="105"/>
        </w:rPr>
        <w:t>labor market</w:t>
      </w:r>
      <w:r w:rsidRPr="004B29A0">
        <w:rPr>
          <w:rFonts w:ascii="Calibri" w:hAnsi="Calibri"/>
          <w:color w:val="231F20"/>
          <w:spacing w:val="8"/>
          <w:w w:val="105"/>
        </w:rPr>
        <w:t xml:space="preserve"> </w:t>
      </w:r>
      <w:r w:rsidRPr="004B29A0">
        <w:rPr>
          <w:rFonts w:ascii="Calibri" w:hAnsi="Calibri"/>
          <w:color w:val="231F20"/>
          <w:w w:val="105"/>
        </w:rPr>
        <w:t>information.</w:t>
      </w:r>
    </w:p>
    <w:p w14:paraId="10A17995" w14:textId="77777777" w:rsidR="00C36180" w:rsidRPr="00A23800" w:rsidRDefault="00C36180" w:rsidP="00D63204">
      <w:pPr>
        <w:widowControl w:val="0"/>
        <w:spacing w:before="5" w:after="0" w:line="240" w:lineRule="auto"/>
        <w:ind w:left="107"/>
        <w:rPr>
          <w:rFonts w:ascii="Calibri" w:hAnsi="Calibri" w:cs="Calibri"/>
          <w:sz w:val="16"/>
          <w:szCs w:val="16"/>
        </w:rPr>
      </w:pPr>
    </w:p>
    <w:p w14:paraId="1DC1F7D0" w14:textId="78D09226" w:rsidR="00C36180" w:rsidRPr="004B29A0" w:rsidRDefault="00C36180" w:rsidP="00D63204">
      <w:pPr>
        <w:pStyle w:val="ListParagraph"/>
        <w:widowControl w:val="0"/>
        <w:numPr>
          <w:ilvl w:val="0"/>
          <w:numId w:val="112"/>
        </w:numPr>
        <w:spacing w:after="0" w:line="240" w:lineRule="auto"/>
        <w:rPr>
          <w:rFonts w:ascii="Calibri" w:hAnsi="Calibri" w:cs="Calibri"/>
        </w:rPr>
      </w:pPr>
      <w:r w:rsidRPr="004B29A0">
        <w:rPr>
          <w:rFonts w:ascii="Calibri" w:hAnsi="Calibri"/>
          <w:color w:val="231F20"/>
          <w:w w:val="105"/>
        </w:rPr>
        <w:t>Collaborate with business and education to determine industry recognized training</w:t>
      </w:r>
      <w:r w:rsidRPr="004B29A0">
        <w:rPr>
          <w:rFonts w:ascii="Calibri" w:hAnsi="Calibri"/>
          <w:color w:val="231F20"/>
          <w:spacing w:val="12"/>
          <w:w w:val="105"/>
        </w:rPr>
        <w:t xml:space="preserve"> </w:t>
      </w:r>
      <w:r w:rsidRPr="004B29A0">
        <w:rPr>
          <w:rFonts w:ascii="Calibri" w:hAnsi="Calibri"/>
          <w:color w:val="231F20"/>
          <w:w w:val="105"/>
        </w:rPr>
        <w:t>opportunities</w:t>
      </w:r>
      <w:r w:rsidRPr="004B29A0">
        <w:rPr>
          <w:rFonts w:ascii="Calibri" w:hAnsi="Calibri"/>
          <w:color w:val="231F20"/>
          <w:w w:val="104"/>
        </w:rPr>
        <w:t xml:space="preserve"> </w:t>
      </w:r>
      <w:r w:rsidRPr="004B29A0">
        <w:rPr>
          <w:rFonts w:ascii="Calibri" w:hAnsi="Calibri"/>
          <w:color w:val="231F20"/>
          <w:w w:val="105"/>
        </w:rPr>
        <w:t>and inform VR staff about</w:t>
      </w:r>
      <w:r w:rsidRPr="004B29A0">
        <w:rPr>
          <w:rFonts w:ascii="Calibri" w:hAnsi="Calibri"/>
          <w:color w:val="231F20"/>
          <w:spacing w:val="21"/>
          <w:w w:val="105"/>
        </w:rPr>
        <w:t xml:space="preserve"> </w:t>
      </w:r>
      <w:r w:rsidRPr="004B29A0">
        <w:rPr>
          <w:rFonts w:ascii="Calibri" w:hAnsi="Calibri"/>
          <w:color w:val="231F20"/>
          <w:w w:val="105"/>
        </w:rPr>
        <w:t>them.</w:t>
      </w:r>
    </w:p>
    <w:p w14:paraId="7483B69C" w14:textId="77777777" w:rsidR="004B29A0" w:rsidRPr="004B29A0" w:rsidRDefault="004B29A0" w:rsidP="00D63204">
      <w:pPr>
        <w:pStyle w:val="ListParagraph"/>
        <w:widowControl w:val="0"/>
        <w:spacing w:after="0" w:line="240" w:lineRule="auto"/>
        <w:ind w:left="827"/>
        <w:rPr>
          <w:rFonts w:ascii="Calibri" w:hAnsi="Calibri" w:cs="Calibri"/>
        </w:rPr>
      </w:pPr>
    </w:p>
    <w:p w14:paraId="354CA042" w14:textId="7E501267" w:rsidR="00C36180" w:rsidRPr="004B29A0" w:rsidRDefault="00C36180" w:rsidP="00D63204">
      <w:pPr>
        <w:pStyle w:val="ListParagraph"/>
        <w:widowControl w:val="0"/>
        <w:numPr>
          <w:ilvl w:val="0"/>
          <w:numId w:val="112"/>
        </w:numPr>
        <w:spacing w:before="182" w:after="0" w:line="240" w:lineRule="auto"/>
        <w:rPr>
          <w:rFonts w:ascii="Calibri" w:hAnsi="Calibri" w:cs="Calibri"/>
        </w:rPr>
      </w:pPr>
      <w:r w:rsidRPr="004B29A0">
        <w:rPr>
          <w:rFonts w:ascii="Calibri" w:hAnsi="Calibri"/>
          <w:color w:val="231F20"/>
          <w:w w:val="105"/>
        </w:rPr>
        <w:t xml:space="preserve">Collaborate with </w:t>
      </w:r>
      <w:r w:rsidRPr="004B29A0">
        <w:rPr>
          <w:rFonts w:ascii="Calibri" w:hAnsi="Calibri"/>
          <w:color w:val="231F20"/>
          <w:spacing w:val="-3"/>
          <w:w w:val="105"/>
        </w:rPr>
        <w:t xml:space="preserve">WIOA </w:t>
      </w:r>
      <w:r w:rsidRPr="004B29A0">
        <w:rPr>
          <w:rFonts w:ascii="Calibri" w:hAnsi="Calibri"/>
          <w:color w:val="231F20"/>
          <w:w w:val="105"/>
        </w:rPr>
        <w:t>core partners to share resources and best</w:t>
      </w:r>
      <w:r w:rsidRPr="004B29A0">
        <w:rPr>
          <w:rFonts w:ascii="Calibri" w:hAnsi="Calibri"/>
          <w:color w:val="231F20"/>
          <w:spacing w:val="22"/>
          <w:w w:val="105"/>
        </w:rPr>
        <w:t xml:space="preserve"> </w:t>
      </w:r>
      <w:r w:rsidRPr="004B29A0">
        <w:rPr>
          <w:rFonts w:ascii="Calibri" w:hAnsi="Calibri"/>
          <w:color w:val="231F20"/>
          <w:w w:val="105"/>
        </w:rPr>
        <w:t>practices.</w:t>
      </w:r>
    </w:p>
    <w:p w14:paraId="60DF0861" w14:textId="77777777" w:rsidR="004B29A0" w:rsidRPr="004B29A0" w:rsidRDefault="004B29A0" w:rsidP="00D63204">
      <w:pPr>
        <w:pStyle w:val="ListParagraph"/>
        <w:widowControl w:val="0"/>
        <w:spacing w:before="182" w:after="0" w:line="240" w:lineRule="auto"/>
        <w:ind w:left="827"/>
        <w:rPr>
          <w:rFonts w:ascii="Calibri" w:hAnsi="Calibri" w:cs="Calibri"/>
        </w:rPr>
      </w:pPr>
    </w:p>
    <w:p w14:paraId="57ACD892" w14:textId="77777777" w:rsidR="00C36180" w:rsidRPr="004B29A0" w:rsidRDefault="00C36180" w:rsidP="00D63204">
      <w:pPr>
        <w:pStyle w:val="ListParagraph"/>
        <w:widowControl w:val="0"/>
        <w:numPr>
          <w:ilvl w:val="0"/>
          <w:numId w:val="112"/>
        </w:numPr>
        <w:spacing w:before="160" w:after="0" w:line="240" w:lineRule="auto"/>
        <w:rPr>
          <w:rFonts w:ascii="Calibri" w:hAnsi="Calibri" w:cs="Calibri"/>
        </w:rPr>
      </w:pPr>
      <w:r w:rsidRPr="004B29A0">
        <w:rPr>
          <w:rFonts w:ascii="Calibri" w:hAnsi="Calibri"/>
          <w:color w:val="231F20"/>
          <w:w w:val="105"/>
        </w:rPr>
        <w:t>Generate opportunities for worksite training with business</w:t>
      </w:r>
      <w:r w:rsidRPr="004B29A0">
        <w:rPr>
          <w:rFonts w:ascii="Calibri" w:hAnsi="Calibri"/>
          <w:color w:val="231F20"/>
          <w:spacing w:val="34"/>
          <w:w w:val="105"/>
        </w:rPr>
        <w:t xml:space="preserve"> </w:t>
      </w:r>
      <w:r w:rsidRPr="004B29A0">
        <w:rPr>
          <w:rFonts w:ascii="Calibri" w:hAnsi="Calibri"/>
          <w:color w:val="231F20"/>
          <w:w w:val="105"/>
        </w:rPr>
        <w:t>partners.</w:t>
      </w:r>
    </w:p>
    <w:p w14:paraId="59BB6D09" w14:textId="77777777" w:rsidR="00EA7458" w:rsidRPr="00EA7458" w:rsidRDefault="00EA7458" w:rsidP="00D63204">
      <w:pPr>
        <w:widowControl w:val="0"/>
        <w:spacing w:before="3" w:after="0" w:line="240" w:lineRule="auto"/>
        <w:ind w:left="90" w:hanging="18"/>
        <w:rPr>
          <w:rFonts w:ascii="Calibri" w:hAnsi="Calibri" w:cs="Calibri"/>
          <w:sz w:val="14"/>
          <w:szCs w:val="14"/>
        </w:rPr>
      </w:pPr>
    </w:p>
    <w:p w14:paraId="77E01E24" w14:textId="77777777" w:rsidR="004B29A0" w:rsidRPr="00493CD4" w:rsidRDefault="004B29A0" w:rsidP="00D63204">
      <w:pPr>
        <w:widowControl w:val="0"/>
        <w:numPr>
          <w:ilvl w:val="0"/>
          <w:numId w:val="49"/>
        </w:numPr>
        <w:tabs>
          <w:tab w:val="left" w:pos="828"/>
        </w:tabs>
        <w:spacing w:before="183" w:after="0" w:line="240" w:lineRule="auto"/>
        <w:outlineLvl w:val="1"/>
        <w:rPr>
          <w:rFonts w:cstheme="minorHAnsi"/>
          <w:color w:val="1F497D" w:themeColor="text2"/>
          <w:w w:val="105"/>
          <w:sz w:val="26"/>
          <w:szCs w:val="26"/>
        </w:rPr>
      </w:pPr>
      <w:bookmarkStart w:id="144" w:name="(j)_Statewide_Assessment_"/>
      <w:bookmarkStart w:id="145" w:name="_bookmark85"/>
      <w:bookmarkStart w:id="146" w:name="_bookmark84"/>
      <w:bookmarkEnd w:id="144"/>
      <w:bookmarkEnd w:id="145"/>
      <w:bookmarkEnd w:id="146"/>
      <w:r w:rsidRPr="00493CD4">
        <w:rPr>
          <w:rFonts w:cstheme="minorHAnsi"/>
          <w:b/>
          <w:bCs/>
          <w:color w:val="1F497D" w:themeColor="text2"/>
          <w:w w:val="110"/>
          <w:sz w:val="26"/>
          <w:szCs w:val="26"/>
        </w:rPr>
        <w:t>Interagency Cooperation</w:t>
      </w:r>
    </w:p>
    <w:p w14:paraId="3B56E0BD" w14:textId="779BFA3D" w:rsidR="00644C68" w:rsidRPr="00644C68" w:rsidRDefault="00644C68" w:rsidP="00D63204">
      <w:pPr>
        <w:widowControl w:val="0"/>
        <w:spacing w:before="183" w:after="0" w:line="240" w:lineRule="auto"/>
        <w:ind w:left="90"/>
        <w:rPr>
          <w:rFonts w:cstheme="minorHAnsi"/>
          <w:color w:val="231F20"/>
          <w:spacing w:val="9"/>
          <w:w w:val="105"/>
        </w:rPr>
      </w:pPr>
      <w:r w:rsidRPr="00644C68">
        <w:rPr>
          <w:rFonts w:cstheme="minorHAnsi"/>
          <w:color w:val="231F20"/>
          <w:spacing w:val="9"/>
          <w:w w:val="105"/>
        </w:rPr>
        <w:t xml:space="preserve">VR is in the process of developing and implementing a cooperative agreement with the state agency responsible for administering the </w:t>
      </w:r>
      <w:r w:rsidRPr="003C7323">
        <w:rPr>
          <w:rFonts w:cstheme="minorHAnsi"/>
          <w:color w:val="231F20"/>
          <w:spacing w:val="9"/>
          <w:w w:val="105"/>
        </w:rPr>
        <w:t>State Medicaid Plan (AHCA</w:t>
      </w:r>
      <w:r w:rsidRPr="00644C68">
        <w:rPr>
          <w:rFonts w:cstheme="minorHAnsi"/>
          <w:color w:val="231F20"/>
          <w:spacing w:val="9"/>
          <w:w w:val="105"/>
        </w:rPr>
        <w:t>) and the agency primarily responsible for providing services to persons with intellectual and developmental disabilities (APD). This agreement will specifically focus on Supported Employment services and the roles and responsibilities for coordinating these services on a statewide basis.</w:t>
      </w:r>
    </w:p>
    <w:p w14:paraId="0EF881CA" w14:textId="69C23CE8" w:rsidR="00644C68" w:rsidRPr="00644C68" w:rsidRDefault="00644C68" w:rsidP="00D63204">
      <w:pPr>
        <w:widowControl w:val="0"/>
        <w:spacing w:before="183" w:after="0" w:line="240" w:lineRule="auto"/>
        <w:ind w:left="90"/>
        <w:rPr>
          <w:rFonts w:cstheme="minorHAnsi"/>
          <w:color w:val="231F20"/>
          <w:spacing w:val="9"/>
          <w:w w:val="105"/>
        </w:rPr>
      </w:pPr>
      <w:r w:rsidRPr="00644C68">
        <w:rPr>
          <w:rFonts w:cstheme="minorHAnsi"/>
          <w:color w:val="231F20"/>
          <w:spacing w:val="9"/>
          <w:w w:val="105"/>
        </w:rPr>
        <w:t>The purpose of the agreement is to establish a framework, including terms and conditions that will guide collaborative efforts to advance the development, improvement</w:t>
      </w:r>
      <w:r w:rsidR="00D5537E">
        <w:rPr>
          <w:rFonts w:cstheme="minorHAnsi"/>
          <w:color w:val="231F20"/>
          <w:spacing w:val="9"/>
          <w:w w:val="105"/>
        </w:rPr>
        <w:t xml:space="preserve"> and</w:t>
      </w:r>
      <w:r w:rsidRPr="00644C68">
        <w:rPr>
          <w:rFonts w:cstheme="minorHAnsi"/>
          <w:color w:val="231F20"/>
          <w:spacing w:val="9"/>
          <w:w w:val="105"/>
        </w:rPr>
        <w:t xml:space="preserve"> expansion of opportunities for competitive integrated employment as the first and preferred option for persons with significant disabilities.</w:t>
      </w:r>
    </w:p>
    <w:p w14:paraId="6E97CEAA" w14:textId="600F3A7F" w:rsidR="00644C68" w:rsidRPr="00644C68" w:rsidRDefault="00644C68" w:rsidP="00D63204">
      <w:pPr>
        <w:widowControl w:val="0"/>
        <w:spacing w:before="183" w:after="0" w:line="240" w:lineRule="auto"/>
        <w:ind w:left="90"/>
        <w:rPr>
          <w:rFonts w:cstheme="minorHAnsi"/>
          <w:color w:val="231F20"/>
          <w:spacing w:val="9"/>
          <w:w w:val="105"/>
        </w:rPr>
      </w:pPr>
      <w:r w:rsidRPr="00644C68">
        <w:rPr>
          <w:rFonts w:cstheme="minorHAnsi"/>
          <w:color w:val="231F20"/>
          <w:spacing w:val="9"/>
          <w:w w:val="105"/>
        </w:rPr>
        <w:t>The agreement will formalize the collaborative processes that have been implemented to improve employment outcomes for mutual customers</w:t>
      </w:r>
      <w:r w:rsidR="005E7C49">
        <w:rPr>
          <w:rFonts w:cstheme="minorHAnsi"/>
          <w:color w:val="231F20"/>
          <w:spacing w:val="9"/>
          <w:w w:val="105"/>
        </w:rPr>
        <w:t xml:space="preserve">. </w:t>
      </w:r>
      <w:r w:rsidRPr="00644C68">
        <w:rPr>
          <w:rFonts w:cstheme="minorHAnsi"/>
          <w:color w:val="231F20"/>
          <w:spacing w:val="9"/>
          <w:w w:val="105"/>
        </w:rPr>
        <w:t>It will focus on coordinating efforts in interagency planning, referrals, informed choice, cross and joint training as well as the provision of technical assistance.</w:t>
      </w:r>
    </w:p>
    <w:p w14:paraId="50E03702" w14:textId="22CF2F08" w:rsidR="00644C68" w:rsidRPr="00644C68" w:rsidRDefault="00644C68" w:rsidP="00D63204">
      <w:pPr>
        <w:widowControl w:val="0"/>
        <w:spacing w:before="183" w:after="0" w:line="240" w:lineRule="auto"/>
        <w:ind w:left="90"/>
        <w:rPr>
          <w:rFonts w:cstheme="minorHAnsi"/>
          <w:color w:val="231F20"/>
          <w:spacing w:val="9"/>
          <w:w w:val="105"/>
        </w:rPr>
      </w:pPr>
      <w:r w:rsidRPr="00644C68">
        <w:rPr>
          <w:rFonts w:cstheme="minorHAnsi"/>
          <w:color w:val="231F20"/>
          <w:spacing w:val="9"/>
          <w:w w:val="105"/>
        </w:rPr>
        <w:t>The agreement endorses a shared philosophy with a common set of guiding principles.</w:t>
      </w:r>
      <w:r w:rsidR="00F7048E">
        <w:rPr>
          <w:rFonts w:cstheme="minorHAnsi"/>
          <w:color w:val="231F20"/>
          <w:spacing w:val="9"/>
          <w:w w:val="105"/>
        </w:rPr>
        <w:t xml:space="preserve"> </w:t>
      </w:r>
      <w:r w:rsidRPr="00644C68">
        <w:rPr>
          <w:rFonts w:cstheme="minorHAnsi"/>
          <w:color w:val="231F20"/>
          <w:spacing w:val="9"/>
          <w:w w:val="105"/>
        </w:rPr>
        <w:t>These principles include but are not limited to the following:</w:t>
      </w:r>
    </w:p>
    <w:p w14:paraId="44AB2D41" w14:textId="447BCC72" w:rsidR="00644C68" w:rsidRPr="00644C68" w:rsidRDefault="00644C68" w:rsidP="00D63204">
      <w:pPr>
        <w:pStyle w:val="ListParagraph"/>
        <w:widowControl w:val="0"/>
        <w:numPr>
          <w:ilvl w:val="0"/>
          <w:numId w:val="113"/>
        </w:numPr>
        <w:spacing w:before="183" w:after="120" w:line="240" w:lineRule="auto"/>
        <w:rPr>
          <w:rFonts w:cstheme="minorHAnsi"/>
          <w:color w:val="231F20"/>
          <w:spacing w:val="9"/>
          <w:w w:val="105"/>
        </w:rPr>
      </w:pPr>
      <w:r w:rsidRPr="00644C68">
        <w:rPr>
          <w:rFonts w:cstheme="minorHAnsi"/>
          <w:color w:val="231F20"/>
          <w:spacing w:val="9"/>
          <w:w w:val="105"/>
        </w:rPr>
        <w:t>All programs, projects</w:t>
      </w:r>
      <w:r w:rsidR="00D5537E">
        <w:rPr>
          <w:rFonts w:cstheme="minorHAnsi"/>
          <w:color w:val="231F20"/>
          <w:spacing w:val="9"/>
          <w:w w:val="105"/>
        </w:rPr>
        <w:t xml:space="preserve"> and</w:t>
      </w:r>
      <w:r w:rsidRPr="00644C68">
        <w:rPr>
          <w:rFonts w:cstheme="minorHAnsi"/>
          <w:color w:val="231F20"/>
          <w:spacing w:val="9"/>
          <w:w w:val="105"/>
        </w:rPr>
        <w:t xml:space="preserve"> activities will be person-centered and include respect for </w:t>
      </w:r>
      <w:r w:rsidRPr="00644C68">
        <w:rPr>
          <w:rFonts w:cstheme="minorHAnsi"/>
          <w:color w:val="231F20"/>
          <w:spacing w:val="9"/>
          <w:w w:val="105"/>
        </w:rPr>
        <w:lastRenderedPageBreak/>
        <w:t>individual dignity, self-determination, pursuit of meaningful careers</w:t>
      </w:r>
      <w:r w:rsidR="00D5537E">
        <w:rPr>
          <w:rFonts w:cstheme="minorHAnsi"/>
          <w:color w:val="231F20"/>
          <w:spacing w:val="9"/>
          <w:w w:val="105"/>
        </w:rPr>
        <w:t xml:space="preserve"> and</w:t>
      </w:r>
      <w:r w:rsidRPr="00644C68">
        <w:rPr>
          <w:rFonts w:cstheme="minorHAnsi"/>
          <w:color w:val="231F20"/>
          <w:spacing w:val="9"/>
          <w:w w:val="105"/>
        </w:rPr>
        <w:t xml:space="preserve"> informed choice.</w:t>
      </w:r>
    </w:p>
    <w:p w14:paraId="75F3F52B" w14:textId="77777777" w:rsidR="00644C68" w:rsidRPr="00644C68" w:rsidRDefault="00644C68" w:rsidP="00D63204">
      <w:pPr>
        <w:pStyle w:val="ListParagraph"/>
        <w:widowControl w:val="0"/>
        <w:spacing w:before="183" w:after="120" w:line="240" w:lineRule="auto"/>
        <w:ind w:left="90"/>
        <w:rPr>
          <w:rFonts w:cstheme="minorHAnsi"/>
          <w:color w:val="231F20"/>
          <w:spacing w:val="9"/>
          <w:w w:val="105"/>
        </w:rPr>
      </w:pPr>
    </w:p>
    <w:p w14:paraId="2B117BAB" w14:textId="77777777" w:rsidR="00644C68" w:rsidRPr="00644C68" w:rsidRDefault="00644C68" w:rsidP="00D63204">
      <w:pPr>
        <w:pStyle w:val="ListParagraph"/>
        <w:widowControl w:val="0"/>
        <w:numPr>
          <w:ilvl w:val="0"/>
          <w:numId w:val="113"/>
        </w:numPr>
        <w:spacing w:before="183" w:after="120" w:line="240" w:lineRule="auto"/>
        <w:rPr>
          <w:rFonts w:cstheme="minorHAnsi"/>
          <w:color w:val="231F20"/>
          <w:spacing w:val="9"/>
          <w:w w:val="105"/>
        </w:rPr>
      </w:pPr>
      <w:r w:rsidRPr="00644C68">
        <w:rPr>
          <w:rFonts w:cstheme="minorHAnsi"/>
          <w:color w:val="231F20"/>
          <w:spacing w:val="9"/>
          <w:w w:val="105"/>
        </w:rPr>
        <w:t>Reliance on and pursuit of evidence-based best, promising and emerging practices.</w:t>
      </w:r>
    </w:p>
    <w:p w14:paraId="58C20B23" w14:textId="77777777" w:rsidR="00644C68" w:rsidRPr="00644C68" w:rsidRDefault="00644C68" w:rsidP="00D63204">
      <w:pPr>
        <w:pStyle w:val="ListParagraph"/>
        <w:spacing w:line="240" w:lineRule="auto"/>
        <w:ind w:left="90"/>
        <w:rPr>
          <w:rFonts w:cstheme="minorHAnsi"/>
          <w:color w:val="231F20"/>
          <w:spacing w:val="9"/>
          <w:w w:val="105"/>
        </w:rPr>
      </w:pPr>
    </w:p>
    <w:p w14:paraId="27322A83" w14:textId="77777777" w:rsidR="00644C68" w:rsidRPr="00644C68" w:rsidRDefault="00644C68" w:rsidP="00D63204">
      <w:pPr>
        <w:pStyle w:val="ListParagraph"/>
        <w:widowControl w:val="0"/>
        <w:numPr>
          <w:ilvl w:val="0"/>
          <w:numId w:val="113"/>
        </w:numPr>
        <w:spacing w:before="183" w:after="120" w:line="240" w:lineRule="auto"/>
        <w:rPr>
          <w:rFonts w:cstheme="minorHAnsi"/>
          <w:color w:val="231F20"/>
          <w:spacing w:val="9"/>
          <w:w w:val="105"/>
        </w:rPr>
      </w:pPr>
      <w:r w:rsidRPr="00644C68">
        <w:rPr>
          <w:rFonts w:cstheme="minorHAnsi"/>
          <w:color w:val="231F20"/>
          <w:spacing w:val="9"/>
          <w:w w:val="105"/>
        </w:rPr>
        <w:t>The use of qualified staff to facilitate the achievement of competitive integrated employment.</w:t>
      </w:r>
    </w:p>
    <w:p w14:paraId="4A95B38A" w14:textId="77777777" w:rsidR="00644C68" w:rsidRPr="00644C68" w:rsidRDefault="00644C68" w:rsidP="00D63204">
      <w:pPr>
        <w:pStyle w:val="ListParagraph"/>
        <w:spacing w:line="240" w:lineRule="auto"/>
        <w:ind w:left="90"/>
        <w:rPr>
          <w:rFonts w:cstheme="minorHAnsi"/>
          <w:color w:val="231F20"/>
          <w:spacing w:val="9"/>
          <w:w w:val="105"/>
        </w:rPr>
      </w:pPr>
    </w:p>
    <w:p w14:paraId="6C1587B4" w14:textId="77777777" w:rsidR="00644C68" w:rsidRPr="00644C68" w:rsidRDefault="00644C68" w:rsidP="00D63204">
      <w:pPr>
        <w:pStyle w:val="ListParagraph"/>
        <w:widowControl w:val="0"/>
        <w:numPr>
          <w:ilvl w:val="0"/>
          <w:numId w:val="113"/>
        </w:numPr>
        <w:spacing w:before="183" w:after="120" w:line="240" w:lineRule="auto"/>
        <w:rPr>
          <w:rFonts w:cstheme="minorHAnsi"/>
          <w:color w:val="231F20"/>
          <w:spacing w:val="9"/>
          <w:w w:val="105"/>
        </w:rPr>
      </w:pPr>
      <w:r w:rsidRPr="00644C68">
        <w:rPr>
          <w:rFonts w:cstheme="minorHAnsi"/>
          <w:color w:val="231F20"/>
          <w:spacing w:val="9"/>
          <w:w w:val="105"/>
        </w:rPr>
        <w:t>Establishment of a referral process for mutual customers.</w:t>
      </w:r>
    </w:p>
    <w:p w14:paraId="1103E4AD" w14:textId="77777777" w:rsidR="00644C68" w:rsidRPr="00644C68" w:rsidRDefault="00644C68" w:rsidP="00D63204">
      <w:pPr>
        <w:pStyle w:val="ListParagraph"/>
        <w:spacing w:line="240" w:lineRule="auto"/>
        <w:ind w:left="90"/>
        <w:rPr>
          <w:rFonts w:cstheme="minorHAnsi"/>
          <w:color w:val="231F20"/>
          <w:spacing w:val="9"/>
          <w:w w:val="105"/>
        </w:rPr>
      </w:pPr>
    </w:p>
    <w:p w14:paraId="5D68840F" w14:textId="6FD23B47" w:rsidR="00644C68" w:rsidRDefault="00644C68" w:rsidP="00D63204">
      <w:pPr>
        <w:pStyle w:val="ListParagraph"/>
        <w:widowControl w:val="0"/>
        <w:numPr>
          <w:ilvl w:val="0"/>
          <w:numId w:val="113"/>
        </w:numPr>
        <w:spacing w:before="183" w:after="0" w:line="240" w:lineRule="auto"/>
        <w:rPr>
          <w:rFonts w:cstheme="minorHAnsi"/>
          <w:color w:val="231F20"/>
          <w:spacing w:val="9"/>
          <w:w w:val="105"/>
        </w:rPr>
      </w:pPr>
      <w:r w:rsidRPr="00644C68">
        <w:rPr>
          <w:rFonts w:cstheme="minorHAnsi"/>
          <w:color w:val="231F20"/>
          <w:spacing w:val="9"/>
          <w:w w:val="105"/>
        </w:rPr>
        <w:t>To clearly define and clarify boundaries between the VR and APD programs to ensure the complimentary provision of employment services and promote timely access for persons with the most significant disabilities.</w:t>
      </w:r>
    </w:p>
    <w:p w14:paraId="603FEB97" w14:textId="77777777" w:rsidR="00096B5A" w:rsidRDefault="00096B5A" w:rsidP="00D63204">
      <w:pPr>
        <w:widowControl w:val="0"/>
        <w:spacing w:after="0" w:line="240" w:lineRule="auto"/>
        <w:ind w:left="107"/>
        <w:rPr>
          <w:rFonts w:ascii="Calibri" w:hAnsi="Calibri"/>
          <w:color w:val="231F20"/>
          <w:w w:val="105"/>
        </w:rPr>
      </w:pPr>
    </w:p>
    <w:p w14:paraId="0D9F0AAB" w14:textId="1AFBA98E" w:rsidR="00644C68" w:rsidRDefault="00644C68" w:rsidP="00D63204">
      <w:pPr>
        <w:widowControl w:val="0"/>
        <w:spacing w:after="0" w:line="240" w:lineRule="auto"/>
        <w:ind w:left="107"/>
        <w:rPr>
          <w:rFonts w:ascii="Calibri" w:hAnsi="Calibri"/>
          <w:color w:val="231F20"/>
          <w:w w:val="105"/>
        </w:rPr>
      </w:pPr>
      <w:r w:rsidRPr="00AF1BB5">
        <w:rPr>
          <w:rFonts w:ascii="Calibri" w:hAnsi="Calibri"/>
          <w:color w:val="231F20"/>
          <w:w w:val="105"/>
        </w:rPr>
        <w:t>VR</w:t>
      </w:r>
      <w:r w:rsidR="00323376">
        <w:rPr>
          <w:rFonts w:ascii="Calibri" w:hAnsi="Calibri"/>
          <w:color w:val="231F20"/>
          <w:w w:val="105"/>
        </w:rPr>
        <w:t xml:space="preserve"> is</w:t>
      </w:r>
      <w:r w:rsidRPr="00AF1BB5">
        <w:rPr>
          <w:rFonts w:ascii="Calibri" w:hAnsi="Calibri"/>
          <w:color w:val="231F20"/>
          <w:w w:val="105"/>
        </w:rPr>
        <w:t xml:space="preserve"> </w:t>
      </w:r>
      <w:r w:rsidR="00AF1BB5">
        <w:rPr>
          <w:rFonts w:ascii="Calibri" w:hAnsi="Calibri"/>
          <w:color w:val="231F20"/>
          <w:w w:val="105"/>
        </w:rPr>
        <w:t>work</w:t>
      </w:r>
      <w:r w:rsidR="00323376">
        <w:rPr>
          <w:rFonts w:ascii="Calibri" w:hAnsi="Calibri"/>
          <w:color w:val="231F20"/>
          <w:w w:val="105"/>
        </w:rPr>
        <w:t>ing</w:t>
      </w:r>
      <w:r w:rsidR="00AF1BB5">
        <w:rPr>
          <w:rFonts w:ascii="Calibri" w:hAnsi="Calibri"/>
          <w:color w:val="231F20"/>
          <w:w w:val="105"/>
        </w:rPr>
        <w:t xml:space="preserve"> </w:t>
      </w:r>
      <w:r w:rsidRPr="00AF1BB5">
        <w:rPr>
          <w:rFonts w:ascii="Calibri" w:hAnsi="Calibri"/>
          <w:color w:val="231F20"/>
          <w:w w:val="105"/>
        </w:rPr>
        <w:t>closely with APD to develop competitive integrated employment alternatives for individuals receiving services in a segregated setting. VR will provide technical assistance and support as APD expands these program options. Under WIOA requirements, VR will provide or coordinate information and education for individuals receiving services in sheltered workshops receiving subminimum wages.</w:t>
      </w:r>
    </w:p>
    <w:p w14:paraId="204F3501" w14:textId="77777777" w:rsidR="00AF1BB5" w:rsidRPr="00AF1BB5" w:rsidRDefault="00AF1BB5" w:rsidP="00D63204">
      <w:pPr>
        <w:widowControl w:val="0"/>
        <w:spacing w:after="0" w:line="240" w:lineRule="auto"/>
        <w:ind w:left="107"/>
        <w:rPr>
          <w:rFonts w:ascii="Calibri" w:hAnsi="Calibri"/>
          <w:color w:val="231F20"/>
          <w:w w:val="105"/>
        </w:rPr>
      </w:pPr>
    </w:p>
    <w:p w14:paraId="29690615" w14:textId="47DF06BD" w:rsidR="00644C68" w:rsidRDefault="00644C68" w:rsidP="00D63204">
      <w:pPr>
        <w:widowControl w:val="0"/>
        <w:spacing w:after="0" w:line="240" w:lineRule="auto"/>
        <w:ind w:left="107"/>
        <w:rPr>
          <w:rFonts w:ascii="Calibri" w:hAnsi="Calibri"/>
          <w:color w:val="231F20"/>
          <w:w w:val="105"/>
        </w:rPr>
      </w:pPr>
      <w:r w:rsidRPr="00AF1BB5">
        <w:rPr>
          <w:rFonts w:ascii="Calibri" w:hAnsi="Calibri"/>
          <w:color w:val="231F20"/>
          <w:w w:val="105"/>
        </w:rPr>
        <w:t>VR collaborates with the Florida Department of Children and Families’, Mental Health and Substance Abuse Program</w:t>
      </w:r>
      <w:r w:rsidR="00323376">
        <w:rPr>
          <w:rFonts w:ascii="Calibri" w:hAnsi="Calibri"/>
          <w:color w:val="231F20"/>
          <w:w w:val="105"/>
        </w:rPr>
        <w:t>s</w:t>
      </w:r>
      <w:r w:rsidRPr="00AF1BB5">
        <w:rPr>
          <w:rFonts w:ascii="Calibri" w:hAnsi="Calibri"/>
          <w:color w:val="231F20"/>
          <w:w w:val="105"/>
        </w:rPr>
        <w:t xml:space="preserve"> to improve and increase employment opportunities for people with mental illness. Part of this collaborative work is conducted through a formalized Employment First agreement, while other coordination occurs during a customer’s transition from the initial and intense </w:t>
      </w:r>
      <w:r w:rsidR="008424F2">
        <w:rPr>
          <w:rFonts w:ascii="Calibri" w:hAnsi="Calibri"/>
          <w:color w:val="231F20"/>
          <w:w w:val="105"/>
        </w:rPr>
        <w:t>p</w:t>
      </w:r>
      <w:r w:rsidRPr="00AF1BB5">
        <w:rPr>
          <w:rFonts w:ascii="Calibri" w:hAnsi="Calibri"/>
          <w:color w:val="231F20"/>
          <w:w w:val="105"/>
        </w:rPr>
        <w:t>hase of Supported Employment to the ongoing and extended service phase of Supported Employment services.</w:t>
      </w:r>
    </w:p>
    <w:p w14:paraId="3A46FD57" w14:textId="77777777" w:rsidR="00AF1BB5" w:rsidRPr="00AF1BB5" w:rsidRDefault="00AF1BB5" w:rsidP="00D63204">
      <w:pPr>
        <w:widowControl w:val="0"/>
        <w:spacing w:after="0" w:line="240" w:lineRule="auto"/>
        <w:ind w:left="107"/>
        <w:rPr>
          <w:rFonts w:ascii="Calibri" w:hAnsi="Calibri"/>
          <w:color w:val="231F20"/>
          <w:w w:val="105"/>
        </w:rPr>
      </w:pPr>
    </w:p>
    <w:p w14:paraId="553956F3" w14:textId="5C5F0C9A" w:rsidR="00644C68" w:rsidRPr="00AF1BB5" w:rsidRDefault="00644C68" w:rsidP="00D63204">
      <w:pPr>
        <w:widowControl w:val="0"/>
        <w:spacing w:after="0" w:line="240" w:lineRule="auto"/>
        <w:ind w:left="107"/>
        <w:rPr>
          <w:rFonts w:ascii="Calibri" w:hAnsi="Calibri"/>
          <w:color w:val="231F20"/>
          <w:w w:val="105"/>
        </w:rPr>
      </w:pPr>
      <w:r w:rsidRPr="00AF1BB5">
        <w:rPr>
          <w:rFonts w:ascii="Calibri" w:hAnsi="Calibri"/>
          <w:color w:val="231F20"/>
          <w:w w:val="105"/>
        </w:rPr>
        <w:t>VR</w:t>
      </w:r>
      <w:r w:rsidR="00145CC8">
        <w:rPr>
          <w:rFonts w:ascii="Calibri" w:hAnsi="Calibri"/>
          <w:color w:val="231F20"/>
          <w:w w:val="105"/>
        </w:rPr>
        <w:t xml:space="preserve"> also</w:t>
      </w:r>
      <w:r w:rsidRPr="00AF1BB5">
        <w:rPr>
          <w:rFonts w:ascii="Calibri" w:hAnsi="Calibri"/>
          <w:color w:val="231F20"/>
          <w:w w:val="105"/>
        </w:rPr>
        <w:t xml:space="preserve"> works in partnership with local education agencies and partners to offer youth with the most significant disabilities opportunities to gain work experiences that help them prepare for successful employment.</w:t>
      </w:r>
      <w:r w:rsidR="00AF1BB5">
        <w:rPr>
          <w:rFonts w:ascii="Calibri" w:hAnsi="Calibri"/>
          <w:color w:val="231F20"/>
          <w:w w:val="105"/>
        </w:rPr>
        <w:t xml:space="preserve"> </w:t>
      </w:r>
      <w:r w:rsidRPr="00AF1BB5">
        <w:rPr>
          <w:rFonts w:ascii="Calibri" w:hAnsi="Calibri"/>
          <w:color w:val="231F20"/>
          <w:w w:val="105"/>
        </w:rPr>
        <w:t xml:space="preserve">Collaborations such as High School/ High Tech (HSHT), Project SEARCH, Third Party Cooperative </w:t>
      </w:r>
      <w:r w:rsidR="008424F2">
        <w:rPr>
          <w:rFonts w:ascii="Calibri" w:hAnsi="Calibri"/>
          <w:color w:val="231F20"/>
          <w:w w:val="105"/>
        </w:rPr>
        <w:t>Arrangements</w:t>
      </w:r>
      <w:r w:rsidRPr="00AF1BB5">
        <w:rPr>
          <w:rFonts w:ascii="Calibri" w:hAnsi="Calibri"/>
          <w:color w:val="231F20"/>
          <w:w w:val="105"/>
        </w:rPr>
        <w:t xml:space="preserve"> and Postsecondary Education programs engage youth in experiences that blend academics with career and technical education. They provide hands-on career exploration and preparation activities where learned skills, attitudes</w:t>
      </w:r>
      <w:r w:rsidR="00D5537E">
        <w:rPr>
          <w:rFonts w:ascii="Calibri" w:hAnsi="Calibri"/>
          <w:color w:val="231F20"/>
          <w:w w:val="105"/>
        </w:rPr>
        <w:t xml:space="preserve"> and</w:t>
      </w:r>
      <w:r w:rsidRPr="00AF1BB5">
        <w:rPr>
          <w:rFonts w:ascii="Calibri" w:hAnsi="Calibri"/>
          <w:color w:val="231F20"/>
          <w:w w:val="105"/>
        </w:rPr>
        <w:t xml:space="preserve"> behaviors can be applied. These evidence-based applications of learning, which includes internships and other work experiences, often lead to successful employment with appropriate supports.</w:t>
      </w:r>
    </w:p>
    <w:p w14:paraId="57FE9FC7" w14:textId="77777777" w:rsidR="00F7048E" w:rsidRPr="00AF1BB5" w:rsidRDefault="00F7048E" w:rsidP="00D63204">
      <w:pPr>
        <w:widowControl w:val="0"/>
        <w:spacing w:after="0" w:line="240" w:lineRule="auto"/>
        <w:ind w:left="107"/>
        <w:rPr>
          <w:rFonts w:ascii="Calibri" w:hAnsi="Calibri"/>
          <w:color w:val="231F20"/>
          <w:w w:val="105"/>
        </w:rPr>
      </w:pPr>
    </w:p>
    <w:p w14:paraId="4A417D16" w14:textId="0F3DDF78" w:rsidR="00867B32" w:rsidRDefault="00644C68" w:rsidP="00D63204">
      <w:pPr>
        <w:widowControl w:val="0"/>
        <w:spacing w:after="0" w:line="240" w:lineRule="auto"/>
        <w:ind w:left="107"/>
        <w:rPr>
          <w:rFonts w:ascii="Calibri" w:hAnsi="Calibri"/>
          <w:color w:val="231F20"/>
          <w:w w:val="105"/>
        </w:rPr>
      </w:pPr>
      <w:r w:rsidRPr="00AF1BB5">
        <w:rPr>
          <w:rFonts w:ascii="Calibri" w:hAnsi="Calibri"/>
          <w:color w:val="231F20"/>
          <w:w w:val="105"/>
        </w:rPr>
        <w:t>For some students, these programs include earning postsecondary credentials which allow them to explore professional jobs that may lead to higher-wage careers. VR involvement in these collaborations provide funding for participants to receive services and other supports needed to prepare for and maintain employment. This shared support helps partner programs serve more youth. VR partnerships deliver career development and employment options through direct services to youth who would not otherwise have access to these services.</w:t>
      </w:r>
    </w:p>
    <w:p w14:paraId="53B2A960" w14:textId="0818BD37" w:rsidR="00096B5A" w:rsidRDefault="00096B5A" w:rsidP="00D63204">
      <w:pPr>
        <w:widowControl w:val="0"/>
        <w:spacing w:after="0" w:line="240" w:lineRule="auto"/>
        <w:ind w:left="107"/>
        <w:rPr>
          <w:rFonts w:ascii="Calibri" w:hAnsi="Calibri"/>
          <w:color w:val="231F20"/>
          <w:w w:val="105"/>
        </w:rPr>
      </w:pPr>
    </w:p>
    <w:p w14:paraId="381FABB1" w14:textId="320A6E6F" w:rsidR="00096B5A" w:rsidRDefault="00096B5A" w:rsidP="00D63204">
      <w:pPr>
        <w:widowControl w:val="0"/>
        <w:spacing w:after="0" w:line="240" w:lineRule="auto"/>
        <w:ind w:left="107"/>
        <w:rPr>
          <w:rFonts w:ascii="Calibri" w:hAnsi="Calibri"/>
          <w:color w:val="231F20"/>
          <w:w w:val="105"/>
        </w:rPr>
      </w:pPr>
    </w:p>
    <w:p w14:paraId="553B5697" w14:textId="6075B685" w:rsidR="00096B5A" w:rsidRDefault="00096B5A" w:rsidP="00D63204">
      <w:pPr>
        <w:widowControl w:val="0"/>
        <w:spacing w:after="0" w:line="240" w:lineRule="auto"/>
        <w:ind w:left="107"/>
        <w:rPr>
          <w:rFonts w:ascii="Calibri" w:hAnsi="Calibri"/>
          <w:color w:val="231F20"/>
          <w:w w:val="105"/>
        </w:rPr>
      </w:pPr>
    </w:p>
    <w:p w14:paraId="1EE7FA17" w14:textId="4471FBCD" w:rsidR="00096B5A" w:rsidRDefault="00096B5A" w:rsidP="00D63204">
      <w:pPr>
        <w:widowControl w:val="0"/>
        <w:spacing w:after="0" w:line="240" w:lineRule="auto"/>
        <w:ind w:left="107"/>
        <w:rPr>
          <w:rFonts w:ascii="Calibri" w:hAnsi="Calibri"/>
          <w:color w:val="231F20"/>
          <w:w w:val="105"/>
        </w:rPr>
      </w:pPr>
    </w:p>
    <w:p w14:paraId="63D5D132" w14:textId="1CC75052" w:rsidR="00096B5A" w:rsidRDefault="00096B5A" w:rsidP="00D63204">
      <w:pPr>
        <w:widowControl w:val="0"/>
        <w:spacing w:after="0" w:line="240" w:lineRule="auto"/>
        <w:ind w:left="107"/>
        <w:rPr>
          <w:rFonts w:ascii="Calibri" w:hAnsi="Calibri"/>
          <w:color w:val="231F20"/>
          <w:w w:val="105"/>
        </w:rPr>
      </w:pPr>
    </w:p>
    <w:p w14:paraId="25611582" w14:textId="1882ED27" w:rsidR="00096B5A" w:rsidRDefault="00096B5A" w:rsidP="00D63204">
      <w:pPr>
        <w:widowControl w:val="0"/>
        <w:spacing w:after="0" w:line="240" w:lineRule="auto"/>
        <w:ind w:left="107"/>
        <w:rPr>
          <w:rFonts w:ascii="Calibri" w:hAnsi="Calibri"/>
          <w:color w:val="231F20"/>
          <w:w w:val="105"/>
        </w:rPr>
      </w:pPr>
    </w:p>
    <w:p w14:paraId="71D0AB3C" w14:textId="77777777" w:rsidR="00096B5A" w:rsidRPr="00AF1BB5" w:rsidRDefault="00096B5A" w:rsidP="00D63204">
      <w:pPr>
        <w:widowControl w:val="0"/>
        <w:spacing w:after="0" w:line="240" w:lineRule="auto"/>
        <w:ind w:left="107"/>
        <w:rPr>
          <w:rFonts w:ascii="Calibri" w:hAnsi="Calibri"/>
          <w:color w:val="231F20"/>
          <w:w w:val="105"/>
        </w:rPr>
      </w:pPr>
    </w:p>
    <w:p w14:paraId="1A70C116" w14:textId="77777777" w:rsidR="00644C68" w:rsidRPr="00493CD4" w:rsidRDefault="00644C68" w:rsidP="00D63204">
      <w:pPr>
        <w:widowControl w:val="0"/>
        <w:spacing w:before="3" w:after="0" w:line="240" w:lineRule="auto"/>
        <w:ind w:left="90" w:hanging="18"/>
        <w:rPr>
          <w:rFonts w:ascii="Calibri" w:hAnsi="Calibri" w:cs="Calibri"/>
          <w:b/>
          <w:bCs/>
          <w:color w:val="1F497D" w:themeColor="text2"/>
          <w:sz w:val="14"/>
          <w:szCs w:val="14"/>
        </w:rPr>
      </w:pPr>
    </w:p>
    <w:p w14:paraId="3D4B096D" w14:textId="12B51451" w:rsidR="00EA7458" w:rsidRPr="00493CD4" w:rsidRDefault="0026231C" w:rsidP="00D63204">
      <w:pPr>
        <w:widowControl w:val="0"/>
        <w:numPr>
          <w:ilvl w:val="0"/>
          <w:numId w:val="49"/>
        </w:numPr>
        <w:spacing w:before="12" w:after="0" w:line="240" w:lineRule="auto"/>
        <w:outlineLvl w:val="1"/>
        <w:rPr>
          <w:rFonts w:ascii="Calibri" w:hAnsi="Calibri" w:cs="Calibri"/>
          <w:b/>
          <w:bCs/>
          <w:color w:val="1F497D" w:themeColor="text2"/>
          <w:sz w:val="24"/>
          <w:szCs w:val="24"/>
        </w:rPr>
      </w:pPr>
      <w:bookmarkStart w:id="147" w:name="_bookmark88"/>
      <w:bookmarkStart w:id="148" w:name="_bookmark87"/>
      <w:bookmarkEnd w:id="147"/>
      <w:bookmarkEnd w:id="148"/>
      <w:r w:rsidRPr="00493CD4">
        <w:rPr>
          <w:rFonts w:ascii="Calibri" w:hAnsi="Calibri"/>
          <w:b/>
          <w:bCs/>
          <w:color w:val="1F497D" w:themeColor="text2"/>
          <w:w w:val="110"/>
          <w:sz w:val="26"/>
          <w:szCs w:val="26"/>
        </w:rPr>
        <w:t xml:space="preserve"> </w:t>
      </w:r>
      <w:r w:rsidR="00644C68" w:rsidRPr="00493CD4">
        <w:rPr>
          <w:rFonts w:ascii="Calibri" w:hAnsi="Calibri"/>
          <w:b/>
          <w:bCs/>
          <w:color w:val="1F497D" w:themeColor="text2"/>
          <w:w w:val="110"/>
          <w:sz w:val="26"/>
          <w:szCs w:val="26"/>
        </w:rPr>
        <w:t>Comprehensive System of Personnel Development</w:t>
      </w:r>
    </w:p>
    <w:p w14:paraId="02C67596" w14:textId="77777777" w:rsidR="00A07550" w:rsidRPr="00A23800" w:rsidRDefault="00A07550" w:rsidP="00D63204">
      <w:pPr>
        <w:widowControl w:val="0"/>
        <w:spacing w:before="184" w:after="0" w:line="240" w:lineRule="auto"/>
        <w:ind w:left="107"/>
        <w:outlineLvl w:val="2"/>
        <w:rPr>
          <w:rFonts w:ascii="Calibri" w:hAnsi="Calibri"/>
        </w:rPr>
      </w:pPr>
      <w:r w:rsidRPr="00A23800">
        <w:rPr>
          <w:rFonts w:ascii="Calibri" w:hAnsi="Calibri"/>
          <w:b/>
          <w:bCs/>
          <w:color w:val="231F20"/>
          <w:w w:val="110"/>
          <w:u w:val="single" w:color="231F20"/>
        </w:rPr>
        <w:lastRenderedPageBreak/>
        <w:t>Data</w:t>
      </w:r>
      <w:r w:rsidRPr="00A23800">
        <w:rPr>
          <w:rFonts w:ascii="Calibri" w:hAnsi="Calibri"/>
          <w:b/>
          <w:bCs/>
          <w:color w:val="231F20"/>
          <w:spacing w:val="-8"/>
          <w:w w:val="110"/>
          <w:u w:val="single" w:color="231F20"/>
        </w:rPr>
        <w:t xml:space="preserve"> </w:t>
      </w:r>
      <w:r w:rsidRPr="00A23800">
        <w:rPr>
          <w:rFonts w:ascii="Calibri" w:hAnsi="Calibri"/>
          <w:b/>
          <w:bCs/>
          <w:color w:val="231F20"/>
          <w:w w:val="110"/>
          <w:u w:val="single" w:color="231F20"/>
        </w:rPr>
        <w:t>System</w:t>
      </w:r>
      <w:r w:rsidRPr="00A23800">
        <w:rPr>
          <w:rFonts w:ascii="Calibri" w:hAnsi="Calibri"/>
          <w:b/>
          <w:bCs/>
          <w:color w:val="231F20"/>
          <w:spacing w:val="-8"/>
          <w:w w:val="110"/>
          <w:u w:val="single" w:color="231F20"/>
        </w:rPr>
        <w:t xml:space="preserve"> </w:t>
      </w:r>
      <w:r w:rsidRPr="00A23800">
        <w:rPr>
          <w:rFonts w:ascii="Calibri" w:hAnsi="Calibri"/>
          <w:b/>
          <w:bCs/>
          <w:color w:val="231F20"/>
          <w:w w:val="110"/>
          <w:u w:val="single" w:color="231F20"/>
        </w:rPr>
        <w:t>on</w:t>
      </w:r>
      <w:r w:rsidRPr="00A23800">
        <w:rPr>
          <w:rFonts w:ascii="Calibri" w:hAnsi="Calibri"/>
          <w:b/>
          <w:bCs/>
          <w:color w:val="231F20"/>
          <w:spacing w:val="-8"/>
          <w:w w:val="110"/>
          <w:u w:val="single" w:color="231F20"/>
        </w:rPr>
        <w:t xml:space="preserve"> </w:t>
      </w:r>
      <w:r w:rsidRPr="00A23800">
        <w:rPr>
          <w:rFonts w:ascii="Calibri" w:hAnsi="Calibri"/>
          <w:b/>
          <w:bCs/>
          <w:color w:val="231F20"/>
          <w:w w:val="110"/>
          <w:u w:val="single" w:color="231F20"/>
        </w:rPr>
        <w:t>Personnel</w:t>
      </w:r>
      <w:r w:rsidRPr="00A23800">
        <w:rPr>
          <w:rFonts w:ascii="Calibri" w:hAnsi="Calibri"/>
          <w:b/>
          <w:bCs/>
          <w:color w:val="231F20"/>
          <w:spacing w:val="-8"/>
          <w:w w:val="110"/>
          <w:u w:val="single" w:color="231F20"/>
        </w:rPr>
        <w:t xml:space="preserve"> </w:t>
      </w:r>
      <w:r w:rsidRPr="00A23800">
        <w:rPr>
          <w:rFonts w:ascii="Calibri" w:hAnsi="Calibri"/>
          <w:b/>
          <w:bCs/>
          <w:color w:val="231F20"/>
          <w:w w:val="110"/>
          <w:u w:val="single" w:color="231F20"/>
        </w:rPr>
        <w:t>and</w:t>
      </w:r>
      <w:r w:rsidRPr="00A23800">
        <w:rPr>
          <w:rFonts w:ascii="Calibri" w:hAnsi="Calibri"/>
          <w:b/>
          <w:bCs/>
          <w:color w:val="231F20"/>
          <w:spacing w:val="-8"/>
          <w:w w:val="110"/>
          <w:u w:val="single" w:color="231F20"/>
        </w:rPr>
        <w:t xml:space="preserve"> </w:t>
      </w:r>
      <w:r w:rsidRPr="00A23800">
        <w:rPr>
          <w:rFonts w:ascii="Calibri" w:hAnsi="Calibri"/>
          <w:b/>
          <w:bCs/>
          <w:color w:val="231F20"/>
          <w:w w:val="110"/>
          <w:u w:val="single" w:color="231F20"/>
        </w:rPr>
        <w:t>Personnel</w:t>
      </w:r>
      <w:r w:rsidRPr="00A23800">
        <w:rPr>
          <w:rFonts w:ascii="Calibri" w:hAnsi="Calibri"/>
          <w:b/>
          <w:bCs/>
          <w:color w:val="231F20"/>
          <w:spacing w:val="-8"/>
          <w:w w:val="110"/>
          <w:u w:val="single" w:color="231F20"/>
        </w:rPr>
        <w:t xml:space="preserve"> </w:t>
      </w:r>
      <w:r w:rsidRPr="00A23800">
        <w:rPr>
          <w:rFonts w:ascii="Calibri" w:hAnsi="Calibri"/>
          <w:b/>
          <w:bCs/>
          <w:color w:val="231F20"/>
          <w:w w:val="110"/>
          <w:u w:val="single" w:color="231F20"/>
        </w:rPr>
        <w:t>Development</w:t>
      </w:r>
      <w:r w:rsidRPr="00A23800">
        <w:rPr>
          <w:rFonts w:ascii="Calibri" w:hAnsi="Calibri"/>
          <w:b/>
          <w:bCs/>
          <w:color w:val="231F20"/>
          <w:spacing w:val="-1"/>
          <w:w w:val="113"/>
          <w:u w:val="single" w:color="231F20"/>
        </w:rPr>
        <w:t xml:space="preserve"> </w:t>
      </w:r>
    </w:p>
    <w:p w14:paraId="1299A801" w14:textId="72C3DF84" w:rsidR="00A07550" w:rsidRPr="00A23800" w:rsidRDefault="00A07550" w:rsidP="00D63204">
      <w:pPr>
        <w:widowControl w:val="0"/>
        <w:spacing w:after="0" w:line="240" w:lineRule="auto"/>
        <w:ind w:left="107"/>
        <w:rPr>
          <w:rFonts w:ascii="Calibri" w:hAnsi="Calibri"/>
        </w:rPr>
      </w:pPr>
      <w:r>
        <w:rPr>
          <w:rFonts w:ascii="Calibri" w:hAnsi="Calibri"/>
          <w:color w:val="231F20"/>
          <w:w w:val="105"/>
        </w:rPr>
        <w:br/>
      </w:r>
      <w:r w:rsidRPr="00A23800">
        <w:rPr>
          <w:rFonts w:ascii="Calibri" w:hAnsi="Calibri"/>
          <w:color w:val="231F20"/>
          <w:w w:val="105"/>
        </w:rPr>
        <w:t>Assurance</w:t>
      </w:r>
      <w:r w:rsidRPr="00A23800">
        <w:rPr>
          <w:rFonts w:ascii="Calibri" w:hAnsi="Calibri"/>
          <w:color w:val="231F20"/>
          <w:spacing w:val="16"/>
          <w:w w:val="105"/>
        </w:rPr>
        <w:t xml:space="preserve"> </w:t>
      </w:r>
      <w:r w:rsidRPr="00A23800">
        <w:rPr>
          <w:rFonts w:ascii="Calibri" w:hAnsi="Calibri"/>
          <w:color w:val="231F20"/>
          <w:w w:val="105"/>
        </w:rPr>
        <w:t>of</w:t>
      </w:r>
      <w:r w:rsidRPr="00A23800">
        <w:rPr>
          <w:rFonts w:ascii="Calibri" w:hAnsi="Calibri"/>
          <w:color w:val="231F20"/>
          <w:spacing w:val="16"/>
          <w:w w:val="105"/>
        </w:rPr>
        <w:t xml:space="preserve"> </w:t>
      </w:r>
      <w:r w:rsidRPr="00A23800">
        <w:rPr>
          <w:rFonts w:ascii="Calibri" w:hAnsi="Calibri"/>
          <w:color w:val="231F20"/>
          <w:w w:val="105"/>
        </w:rPr>
        <w:t>an</w:t>
      </w:r>
      <w:r w:rsidRPr="00A23800">
        <w:rPr>
          <w:rFonts w:ascii="Calibri" w:hAnsi="Calibri"/>
          <w:color w:val="231F20"/>
          <w:spacing w:val="16"/>
          <w:w w:val="105"/>
        </w:rPr>
        <w:t xml:space="preserve"> </w:t>
      </w:r>
      <w:r w:rsidRPr="00A23800">
        <w:rPr>
          <w:rFonts w:ascii="Calibri" w:hAnsi="Calibri"/>
          <w:color w:val="231F20"/>
          <w:w w:val="105"/>
        </w:rPr>
        <w:t>adequate</w:t>
      </w:r>
      <w:r w:rsidRPr="00A23800">
        <w:rPr>
          <w:rFonts w:ascii="Calibri" w:hAnsi="Calibri"/>
          <w:color w:val="231F20"/>
          <w:spacing w:val="16"/>
          <w:w w:val="105"/>
        </w:rPr>
        <w:t xml:space="preserve"> </w:t>
      </w:r>
      <w:r w:rsidRPr="00A23800">
        <w:rPr>
          <w:rFonts w:ascii="Calibri" w:hAnsi="Calibri"/>
          <w:color w:val="231F20"/>
          <w:w w:val="105"/>
        </w:rPr>
        <w:t>supply</w:t>
      </w:r>
      <w:r w:rsidRPr="00A23800">
        <w:rPr>
          <w:rFonts w:ascii="Calibri" w:hAnsi="Calibri"/>
          <w:color w:val="231F20"/>
          <w:spacing w:val="16"/>
          <w:w w:val="105"/>
        </w:rPr>
        <w:t xml:space="preserve"> </w:t>
      </w:r>
      <w:r w:rsidRPr="00A23800">
        <w:rPr>
          <w:rFonts w:ascii="Calibri" w:hAnsi="Calibri"/>
          <w:color w:val="231F20"/>
          <w:w w:val="105"/>
        </w:rPr>
        <w:t>of</w:t>
      </w:r>
      <w:r w:rsidRPr="00A23800">
        <w:rPr>
          <w:rFonts w:ascii="Calibri" w:hAnsi="Calibri"/>
          <w:color w:val="231F20"/>
          <w:spacing w:val="16"/>
          <w:w w:val="105"/>
        </w:rPr>
        <w:t xml:space="preserve"> </w:t>
      </w:r>
      <w:r w:rsidRPr="00A23800">
        <w:rPr>
          <w:rFonts w:ascii="Calibri" w:hAnsi="Calibri"/>
          <w:color w:val="231F20"/>
          <w:w w:val="105"/>
        </w:rPr>
        <w:t>qualified</w:t>
      </w:r>
      <w:r w:rsidRPr="00A23800">
        <w:rPr>
          <w:rFonts w:ascii="Calibri" w:hAnsi="Calibri"/>
          <w:color w:val="231F20"/>
          <w:spacing w:val="16"/>
          <w:w w:val="105"/>
        </w:rPr>
        <w:t xml:space="preserve"> </w:t>
      </w:r>
      <w:r w:rsidRPr="00A23800">
        <w:rPr>
          <w:rFonts w:ascii="Calibri" w:hAnsi="Calibri"/>
          <w:color w:val="231F20"/>
          <w:w w:val="105"/>
        </w:rPr>
        <w:t>rehabilitation</w:t>
      </w:r>
      <w:r w:rsidRPr="00A23800">
        <w:rPr>
          <w:rFonts w:ascii="Calibri" w:hAnsi="Calibri"/>
          <w:color w:val="231F20"/>
          <w:spacing w:val="16"/>
          <w:w w:val="105"/>
        </w:rPr>
        <w:t xml:space="preserve"> </w:t>
      </w:r>
      <w:r w:rsidRPr="00A23800">
        <w:rPr>
          <w:rFonts w:ascii="Calibri" w:hAnsi="Calibri"/>
          <w:color w:val="231F20"/>
          <w:w w:val="105"/>
        </w:rPr>
        <w:t>professionals</w:t>
      </w:r>
      <w:r w:rsidRPr="00A23800">
        <w:rPr>
          <w:rFonts w:ascii="Calibri" w:hAnsi="Calibri"/>
          <w:color w:val="231F20"/>
          <w:spacing w:val="16"/>
          <w:w w:val="105"/>
        </w:rPr>
        <w:t xml:space="preserve"> </w:t>
      </w:r>
      <w:r w:rsidRPr="00A23800">
        <w:rPr>
          <w:rFonts w:ascii="Calibri" w:hAnsi="Calibri"/>
          <w:color w:val="231F20"/>
          <w:w w:val="105"/>
        </w:rPr>
        <w:t>and</w:t>
      </w:r>
      <w:r w:rsidRPr="00A23800">
        <w:rPr>
          <w:rFonts w:ascii="Calibri" w:hAnsi="Calibri"/>
          <w:color w:val="231F20"/>
          <w:spacing w:val="16"/>
          <w:w w:val="105"/>
        </w:rPr>
        <w:t xml:space="preserve"> </w:t>
      </w:r>
      <w:r w:rsidRPr="00A23800">
        <w:rPr>
          <w:rFonts w:ascii="Calibri" w:hAnsi="Calibri"/>
          <w:color w:val="231F20"/>
          <w:w w:val="105"/>
        </w:rPr>
        <w:t>paraprofessional</w:t>
      </w:r>
      <w:r w:rsidRPr="00A23800">
        <w:rPr>
          <w:rFonts w:ascii="Calibri" w:hAnsi="Calibri"/>
          <w:color w:val="231F20"/>
          <w:spacing w:val="16"/>
          <w:w w:val="105"/>
        </w:rPr>
        <w:t xml:space="preserve"> </w:t>
      </w:r>
      <w:r w:rsidRPr="00A23800">
        <w:rPr>
          <w:rFonts w:ascii="Calibri" w:hAnsi="Calibri"/>
          <w:color w:val="231F20"/>
          <w:w w:val="105"/>
        </w:rPr>
        <w:t>personnel</w:t>
      </w:r>
      <w:r w:rsidRPr="00A23800">
        <w:rPr>
          <w:rFonts w:ascii="Calibri" w:hAnsi="Calibri"/>
          <w:color w:val="231F20"/>
          <w:spacing w:val="-2"/>
          <w:w w:val="107"/>
        </w:rPr>
        <w:t xml:space="preserve">   </w:t>
      </w:r>
      <w:r w:rsidRPr="00A23800">
        <w:rPr>
          <w:rFonts w:ascii="Calibri" w:hAnsi="Calibri"/>
          <w:color w:val="231F20"/>
          <w:w w:val="105"/>
        </w:rPr>
        <w:t>is</w:t>
      </w:r>
      <w:r w:rsidRPr="00A23800">
        <w:rPr>
          <w:rFonts w:ascii="Calibri" w:hAnsi="Calibri"/>
          <w:color w:val="231F20"/>
          <w:spacing w:val="2"/>
          <w:w w:val="105"/>
        </w:rPr>
        <w:t xml:space="preserve"> </w:t>
      </w:r>
      <w:r w:rsidRPr="00A23800">
        <w:rPr>
          <w:rFonts w:ascii="Calibri" w:hAnsi="Calibri"/>
          <w:color w:val="231F20"/>
          <w:w w:val="105"/>
        </w:rPr>
        <w:t>the</w:t>
      </w:r>
      <w:r w:rsidRPr="00A23800">
        <w:rPr>
          <w:rFonts w:ascii="Calibri" w:hAnsi="Calibri"/>
          <w:color w:val="231F20"/>
          <w:spacing w:val="2"/>
          <w:w w:val="105"/>
        </w:rPr>
        <w:t xml:space="preserve"> </w:t>
      </w:r>
      <w:r w:rsidRPr="00A23800">
        <w:rPr>
          <w:rFonts w:ascii="Calibri" w:hAnsi="Calibri"/>
          <w:color w:val="231F20"/>
          <w:w w:val="105"/>
        </w:rPr>
        <w:t>major</w:t>
      </w:r>
      <w:r w:rsidRPr="00A23800">
        <w:rPr>
          <w:rFonts w:ascii="Calibri" w:hAnsi="Calibri"/>
          <w:color w:val="231F20"/>
          <w:spacing w:val="2"/>
          <w:w w:val="105"/>
        </w:rPr>
        <w:t xml:space="preserve"> </w:t>
      </w:r>
      <w:r w:rsidRPr="00A23800">
        <w:rPr>
          <w:rFonts w:ascii="Calibri" w:hAnsi="Calibri"/>
          <w:color w:val="231F20"/>
          <w:w w:val="105"/>
        </w:rPr>
        <w:t>driver</w:t>
      </w:r>
      <w:r w:rsidRPr="00A23800">
        <w:rPr>
          <w:rFonts w:ascii="Calibri" w:hAnsi="Calibri"/>
          <w:color w:val="231F20"/>
          <w:spacing w:val="2"/>
          <w:w w:val="105"/>
        </w:rPr>
        <w:t xml:space="preserve"> </w:t>
      </w:r>
      <w:r w:rsidRPr="00A23800">
        <w:rPr>
          <w:rFonts w:ascii="Calibri" w:hAnsi="Calibri"/>
          <w:color w:val="231F20"/>
          <w:w w:val="105"/>
        </w:rPr>
        <w:t>for</w:t>
      </w:r>
      <w:r w:rsidRPr="00A23800">
        <w:rPr>
          <w:rFonts w:ascii="Calibri" w:hAnsi="Calibri"/>
          <w:color w:val="231F20"/>
          <w:spacing w:val="2"/>
          <w:w w:val="105"/>
        </w:rPr>
        <w:t xml:space="preserve"> </w:t>
      </w:r>
      <w:r w:rsidRPr="00A23800">
        <w:rPr>
          <w:rFonts w:ascii="Calibri" w:hAnsi="Calibri"/>
          <w:color w:val="231F20"/>
          <w:w w:val="105"/>
        </w:rPr>
        <w:t>the</w:t>
      </w:r>
      <w:r w:rsidRPr="00A23800">
        <w:rPr>
          <w:rFonts w:ascii="Calibri" w:hAnsi="Calibri"/>
          <w:color w:val="231F20"/>
          <w:spacing w:val="2"/>
          <w:w w:val="105"/>
        </w:rPr>
        <w:t xml:space="preserve"> </w:t>
      </w:r>
      <w:r w:rsidRPr="00A23800">
        <w:rPr>
          <w:rFonts w:ascii="Calibri" w:hAnsi="Calibri"/>
          <w:color w:val="231F20"/>
          <w:w w:val="105"/>
        </w:rPr>
        <w:t>Florida</w:t>
      </w:r>
      <w:r w:rsidRPr="00A23800">
        <w:rPr>
          <w:rFonts w:ascii="Calibri" w:hAnsi="Calibri"/>
          <w:color w:val="231F20"/>
          <w:spacing w:val="2"/>
          <w:w w:val="105"/>
        </w:rPr>
        <w:t xml:space="preserve"> </w:t>
      </w:r>
      <w:r w:rsidRPr="00A23800">
        <w:rPr>
          <w:rFonts w:ascii="Calibri" w:hAnsi="Calibri"/>
          <w:color w:val="231F20"/>
          <w:w w:val="105"/>
        </w:rPr>
        <w:t>Division</w:t>
      </w:r>
      <w:r w:rsidRPr="00A23800">
        <w:rPr>
          <w:rFonts w:ascii="Calibri" w:hAnsi="Calibri"/>
          <w:color w:val="231F20"/>
          <w:spacing w:val="2"/>
          <w:w w:val="105"/>
        </w:rPr>
        <w:t xml:space="preserve"> </w:t>
      </w:r>
      <w:r w:rsidRPr="00A23800">
        <w:rPr>
          <w:rFonts w:ascii="Calibri" w:hAnsi="Calibri"/>
          <w:color w:val="231F20"/>
          <w:w w:val="105"/>
        </w:rPr>
        <w:t>of</w:t>
      </w:r>
      <w:r w:rsidRPr="00A23800">
        <w:rPr>
          <w:rFonts w:ascii="Calibri" w:hAnsi="Calibri"/>
          <w:color w:val="231F20"/>
          <w:spacing w:val="2"/>
          <w:w w:val="105"/>
        </w:rPr>
        <w:t xml:space="preserve"> </w:t>
      </w:r>
      <w:r w:rsidRPr="00A23800">
        <w:rPr>
          <w:rFonts w:ascii="Calibri" w:hAnsi="Calibri"/>
          <w:color w:val="231F20"/>
          <w:spacing w:val="-3"/>
          <w:w w:val="105"/>
        </w:rPr>
        <w:t>Vocational</w:t>
      </w:r>
      <w:r w:rsidRPr="00A23800">
        <w:rPr>
          <w:rFonts w:ascii="Calibri" w:hAnsi="Calibri"/>
          <w:color w:val="231F20"/>
          <w:spacing w:val="2"/>
          <w:w w:val="105"/>
        </w:rPr>
        <w:t xml:space="preserve"> </w:t>
      </w:r>
      <w:r w:rsidRPr="00A23800">
        <w:rPr>
          <w:rFonts w:ascii="Calibri" w:hAnsi="Calibri"/>
          <w:color w:val="231F20"/>
          <w:spacing w:val="-3"/>
          <w:w w:val="105"/>
        </w:rPr>
        <w:t>Rehabilitation’s</w:t>
      </w:r>
      <w:r w:rsidRPr="00A23800">
        <w:rPr>
          <w:rFonts w:ascii="Calibri" w:hAnsi="Calibri"/>
          <w:color w:val="231F20"/>
          <w:spacing w:val="2"/>
          <w:w w:val="105"/>
        </w:rPr>
        <w:t xml:space="preserve"> </w:t>
      </w:r>
      <w:r w:rsidRPr="00A23800">
        <w:rPr>
          <w:rFonts w:ascii="Calibri" w:hAnsi="Calibri"/>
          <w:color w:val="231F20"/>
          <w:w w:val="105"/>
        </w:rPr>
        <w:t>(VR)</w:t>
      </w:r>
      <w:r w:rsidRPr="00A23800">
        <w:rPr>
          <w:rFonts w:ascii="Calibri" w:hAnsi="Calibri"/>
          <w:color w:val="231F20"/>
          <w:spacing w:val="2"/>
          <w:w w:val="105"/>
        </w:rPr>
        <w:t xml:space="preserve"> </w:t>
      </w:r>
      <w:r w:rsidRPr="00A23800">
        <w:rPr>
          <w:rFonts w:ascii="Calibri" w:hAnsi="Calibri"/>
          <w:color w:val="231F20"/>
          <w:w w:val="105"/>
        </w:rPr>
        <w:t>Human</w:t>
      </w:r>
      <w:r w:rsidRPr="00A23800">
        <w:rPr>
          <w:rFonts w:ascii="Calibri" w:hAnsi="Calibri"/>
          <w:color w:val="231F20"/>
          <w:spacing w:val="2"/>
          <w:w w:val="105"/>
        </w:rPr>
        <w:t xml:space="preserve"> </w:t>
      </w:r>
      <w:r w:rsidRPr="00A23800">
        <w:rPr>
          <w:rFonts w:ascii="Calibri" w:hAnsi="Calibri"/>
          <w:color w:val="231F20"/>
          <w:spacing w:val="-3"/>
          <w:w w:val="105"/>
        </w:rPr>
        <w:t>Resource</w:t>
      </w:r>
      <w:r w:rsidRPr="00A23800">
        <w:rPr>
          <w:rFonts w:ascii="Calibri" w:hAnsi="Calibri"/>
          <w:color w:val="231F20"/>
          <w:spacing w:val="2"/>
          <w:w w:val="105"/>
        </w:rPr>
        <w:t xml:space="preserve"> </w:t>
      </w:r>
      <w:r w:rsidRPr="00A23800">
        <w:rPr>
          <w:rFonts w:ascii="Calibri" w:hAnsi="Calibri"/>
          <w:color w:val="231F20"/>
          <w:w w:val="105"/>
        </w:rPr>
        <w:t>Development</w:t>
      </w:r>
      <w:r w:rsidRPr="00A23800">
        <w:rPr>
          <w:rFonts w:ascii="Calibri" w:hAnsi="Calibri"/>
          <w:color w:val="231F20"/>
          <w:spacing w:val="-50"/>
          <w:w w:val="105"/>
        </w:rPr>
        <w:t xml:space="preserve"> </w:t>
      </w:r>
      <w:r w:rsidRPr="00A23800">
        <w:rPr>
          <w:rFonts w:ascii="Calibri" w:hAnsi="Calibri"/>
          <w:color w:val="231F20"/>
          <w:w w:val="105"/>
        </w:rPr>
        <w:t>Section.</w:t>
      </w:r>
      <w:r w:rsidRPr="00A23800">
        <w:rPr>
          <w:rFonts w:ascii="Calibri" w:hAnsi="Calibri"/>
          <w:color w:val="231F20"/>
          <w:spacing w:val="4"/>
          <w:w w:val="105"/>
        </w:rPr>
        <w:t xml:space="preserve"> </w:t>
      </w:r>
      <w:r w:rsidRPr="00A23800">
        <w:rPr>
          <w:rFonts w:ascii="Calibri" w:hAnsi="Calibri"/>
          <w:color w:val="231F20"/>
          <w:w w:val="105"/>
        </w:rPr>
        <w:t>Data</w:t>
      </w:r>
      <w:r w:rsidRPr="00A23800">
        <w:rPr>
          <w:rFonts w:ascii="Calibri" w:hAnsi="Calibri"/>
          <w:color w:val="231F20"/>
          <w:spacing w:val="4"/>
          <w:w w:val="105"/>
        </w:rPr>
        <w:t xml:space="preserve"> </w:t>
      </w:r>
      <w:r w:rsidRPr="00A23800">
        <w:rPr>
          <w:rFonts w:ascii="Calibri" w:hAnsi="Calibri"/>
          <w:color w:val="231F20"/>
          <w:w w:val="105"/>
        </w:rPr>
        <w:t>from</w:t>
      </w:r>
      <w:r w:rsidRPr="00A23800">
        <w:rPr>
          <w:rFonts w:ascii="Calibri" w:hAnsi="Calibri"/>
          <w:color w:val="231F20"/>
          <w:spacing w:val="4"/>
          <w:w w:val="105"/>
        </w:rPr>
        <w:t xml:space="preserve"> </w:t>
      </w:r>
      <w:r w:rsidRPr="00A23800">
        <w:rPr>
          <w:rFonts w:ascii="Calibri" w:hAnsi="Calibri"/>
          <w:color w:val="231F20"/>
          <w:w w:val="105"/>
        </w:rPr>
        <w:t>numerous</w:t>
      </w:r>
      <w:r w:rsidRPr="00A23800">
        <w:rPr>
          <w:rFonts w:ascii="Calibri" w:hAnsi="Calibri"/>
          <w:color w:val="231F20"/>
          <w:spacing w:val="4"/>
          <w:w w:val="105"/>
        </w:rPr>
        <w:t xml:space="preserve"> </w:t>
      </w:r>
      <w:r w:rsidRPr="00A23800">
        <w:rPr>
          <w:rFonts w:ascii="Calibri" w:hAnsi="Calibri"/>
          <w:color w:val="231F20"/>
          <w:w w:val="105"/>
        </w:rPr>
        <w:t>sources</w:t>
      </w:r>
      <w:r w:rsidRPr="00A23800">
        <w:rPr>
          <w:rFonts w:ascii="Calibri" w:hAnsi="Calibri"/>
          <w:color w:val="231F20"/>
          <w:spacing w:val="4"/>
          <w:w w:val="105"/>
        </w:rPr>
        <w:t xml:space="preserve"> </w:t>
      </w:r>
      <w:r w:rsidRPr="00A23800">
        <w:rPr>
          <w:rFonts w:ascii="Calibri" w:hAnsi="Calibri"/>
          <w:color w:val="231F20"/>
          <w:w w:val="105"/>
        </w:rPr>
        <w:t>is</w:t>
      </w:r>
      <w:r w:rsidRPr="00A23800">
        <w:rPr>
          <w:rFonts w:ascii="Calibri" w:hAnsi="Calibri"/>
          <w:color w:val="231F20"/>
          <w:spacing w:val="4"/>
          <w:w w:val="105"/>
        </w:rPr>
        <w:t xml:space="preserve"> </w:t>
      </w:r>
      <w:r w:rsidRPr="00A23800">
        <w:rPr>
          <w:rFonts w:ascii="Calibri" w:hAnsi="Calibri"/>
          <w:color w:val="231F20"/>
          <w:w w:val="105"/>
        </w:rPr>
        <w:t>used</w:t>
      </w:r>
      <w:r w:rsidRPr="00A23800">
        <w:rPr>
          <w:rFonts w:ascii="Calibri" w:hAnsi="Calibri"/>
          <w:color w:val="231F20"/>
          <w:spacing w:val="4"/>
          <w:w w:val="105"/>
        </w:rPr>
        <w:t xml:space="preserve"> </w:t>
      </w:r>
      <w:r w:rsidRPr="00A23800">
        <w:rPr>
          <w:rFonts w:ascii="Calibri" w:hAnsi="Calibri"/>
          <w:color w:val="231F20"/>
          <w:w w:val="105"/>
        </w:rPr>
        <w:t>to</w:t>
      </w:r>
      <w:r w:rsidRPr="00A23800">
        <w:rPr>
          <w:rFonts w:ascii="Calibri" w:hAnsi="Calibri"/>
          <w:color w:val="231F20"/>
          <w:spacing w:val="4"/>
          <w:w w:val="105"/>
        </w:rPr>
        <w:t xml:space="preserve"> </w:t>
      </w:r>
      <w:r w:rsidRPr="00A23800">
        <w:rPr>
          <w:rFonts w:ascii="Calibri" w:hAnsi="Calibri"/>
          <w:color w:val="231F20"/>
          <w:w w:val="105"/>
        </w:rPr>
        <w:t>determine</w:t>
      </w:r>
      <w:r w:rsidRPr="00A23800">
        <w:rPr>
          <w:rFonts w:ascii="Calibri" w:hAnsi="Calibri"/>
          <w:color w:val="231F20"/>
          <w:spacing w:val="4"/>
          <w:w w:val="105"/>
        </w:rPr>
        <w:t xml:space="preserve"> </w:t>
      </w:r>
      <w:r w:rsidRPr="00A23800">
        <w:rPr>
          <w:rFonts w:ascii="Calibri" w:hAnsi="Calibri"/>
          <w:color w:val="231F20"/>
          <w:w w:val="105"/>
        </w:rPr>
        <w:t>current</w:t>
      </w:r>
      <w:r w:rsidRPr="00A23800">
        <w:rPr>
          <w:rFonts w:ascii="Calibri" w:hAnsi="Calibri"/>
          <w:color w:val="231F20"/>
          <w:spacing w:val="4"/>
          <w:w w:val="105"/>
        </w:rPr>
        <w:t xml:space="preserve"> </w:t>
      </w:r>
      <w:r w:rsidRPr="00A23800">
        <w:rPr>
          <w:rFonts w:ascii="Calibri" w:hAnsi="Calibri"/>
          <w:color w:val="231F20"/>
          <w:w w:val="105"/>
        </w:rPr>
        <w:t>and</w:t>
      </w:r>
      <w:r w:rsidRPr="00A23800">
        <w:rPr>
          <w:rFonts w:ascii="Calibri" w:hAnsi="Calibri"/>
          <w:color w:val="231F20"/>
          <w:spacing w:val="4"/>
          <w:w w:val="105"/>
        </w:rPr>
        <w:t xml:space="preserve"> </w:t>
      </w:r>
      <w:r w:rsidRPr="00A23800">
        <w:rPr>
          <w:rFonts w:ascii="Calibri" w:hAnsi="Calibri"/>
          <w:color w:val="231F20"/>
          <w:w w:val="105"/>
        </w:rPr>
        <w:t>projected</w:t>
      </w:r>
      <w:r w:rsidRPr="00A23800">
        <w:rPr>
          <w:rFonts w:ascii="Calibri" w:hAnsi="Calibri"/>
          <w:color w:val="231F20"/>
          <w:spacing w:val="4"/>
          <w:w w:val="105"/>
        </w:rPr>
        <w:t xml:space="preserve"> </w:t>
      </w:r>
      <w:r w:rsidRPr="00A23800">
        <w:rPr>
          <w:rFonts w:ascii="Calibri" w:hAnsi="Calibri"/>
          <w:color w:val="231F20"/>
          <w:w w:val="105"/>
        </w:rPr>
        <w:t>needs,</w:t>
      </w:r>
      <w:r w:rsidRPr="00A23800">
        <w:rPr>
          <w:rFonts w:ascii="Calibri" w:hAnsi="Calibri"/>
          <w:color w:val="231F20"/>
          <w:spacing w:val="4"/>
          <w:w w:val="105"/>
        </w:rPr>
        <w:t xml:space="preserve"> </w:t>
      </w:r>
      <w:r w:rsidRPr="00A23800">
        <w:rPr>
          <w:rFonts w:ascii="Calibri" w:hAnsi="Calibri"/>
          <w:color w:val="231F20"/>
          <w:w w:val="105"/>
        </w:rPr>
        <w:t>as</w:t>
      </w:r>
      <w:r w:rsidRPr="00A23800">
        <w:rPr>
          <w:rFonts w:ascii="Calibri" w:hAnsi="Calibri"/>
          <w:color w:val="231F20"/>
          <w:spacing w:val="4"/>
          <w:w w:val="105"/>
        </w:rPr>
        <w:t xml:space="preserve"> </w:t>
      </w:r>
      <w:r w:rsidRPr="00A23800">
        <w:rPr>
          <w:rFonts w:ascii="Calibri" w:hAnsi="Calibri"/>
          <w:color w:val="231F20"/>
          <w:w w:val="105"/>
        </w:rPr>
        <w:t>well</w:t>
      </w:r>
      <w:r w:rsidRPr="00A23800">
        <w:rPr>
          <w:rFonts w:ascii="Calibri" w:hAnsi="Calibri"/>
          <w:color w:val="231F20"/>
          <w:spacing w:val="4"/>
          <w:w w:val="105"/>
        </w:rPr>
        <w:t xml:space="preserve"> </w:t>
      </w:r>
      <w:r w:rsidRPr="00A23800">
        <w:rPr>
          <w:rFonts w:ascii="Calibri" w:hAnsi="Calibri"/>
          <w:color w:val="231F20"/>
          <w:w w:val="105"/>
        </w:rPr>
        <w:t>as</w:t>
      </w:r>
      <w:r w:rsidRPr="00A23800">
        <w:rPr>
          <w:rFonts w:ascii="Calibri" w:hAnsi="Calibri"/>
          <w:color w:val="231F20"/>
          <w:spacing w:val="4"/>
          <w:w w:val="105"/>
        </w:rPr>
        <w:t xml:space="preserve"> </w:t>
      </w:r>
      <w:r w:rsidRPr="00A23800">
        <w:rPr>
          <w:rFonts w:ascii="Calibri" w:hAnsi="Calibri"/>
          <w:color w:val="231F20"/>
          <w:spacing w:val="-4"/>
          <w:w w:val="105"/>
        </w:rPr>
        <w:t>VR’s</w:t>
      </w:r>
      <w:r w:rsidRPr="00A23800">
        <w:rPr>
          <w:rFonts w:ascii="Calibri" w:hAnsi="Calibri"/>
          <w:color w:val="231F20"/>
          <w:spacing w:val="-30"/>
          <w:w w:val="105"/>
        </w:rPr>
        <w:t xml:space="preserve"> </w:t>
      </w:r>
      <w:r w:rsidRPr="00A23800">
        <w:rPr>
          <w:rFonts w:ascii="Calibri" w:hAnsi="Calibri"/>
          <w:color w:val="231F20"/>
          <w:w w:val="105"/>
        </w:rPr>
        <w:t>progress toward meeting them. The table below includes VR personnel and turnover data for SFY</w:t>
      </w:r>
      <w:r w:rsidRPr="00A23800">
        <w:rPr>
          <w:rFonts w:ascii="Calibri" w:hAnsi="Calibri"/>
          <w:color w:val="231F20"/>
          <w:spacing w:val="24"/>
          <w:w w:val="105"/>
        </w:rPr>
        <w:t xml:space="preserve"> </w:t>
      </w:r>
      <w:r>
        <w:rPr>
          <w:rFonts w:ascii="Calibri" w:hAnsi="Calibri"/>
          <w:color w:val="231F20"/>
          <w:w w:val="105"/>
        </w:rPr>
        <w:t>2016-2017</w:t>
      </w:r>
      <w:r w:rsidR="00D5537E">
        <w:rPr>
          <w:rFonts w:ascii="Calibri" w:hAnsi="Calibri"/>
          <w:color w:val="231F20"/>
          <w:w w:val="105"/>
        </w:rPr>
        <w:t xml:space="preserve"> and</w:t>
      </w:r>
      <w:r w:rsidRPr="00A23800">
        <w:rPr>
          <w:rFonts w:ascii="Calibri" w:hAnsi="Calibri"/>
          <w:color w:val="231F20"/>
          <w:spacing w:val="-3"/>
          <w:w w:val="105"/>
        </w:rPr>
        <w:t xml:space="preserve"> </w:t>
      </w:r>
      <w:r w:rsidRPr="00A23800">
        <w:rPr>
          <w:rFonts w:ascii="Calibri" w:hAnsi="Calibri"/>
          <w:color w:val="231F20"/>
          <w:w w:val="105"/>
        </w:rPr>
        <w:t>projected</w:t>
      </w:r>
      <w:r w:rsidRPr="00A23800">
        <w:rPr>
          <w:rFonts w:ascii="Calibri" w:hAnsi="Calibri"/>
          <w:color w:val="231F20"/>
          <w:spacing w:val="-3"/>
          <w:w w:val="105"/>
        </w:rPr>
        <w:t xml:space="preserve"> </w:t>
      </w:r>
      <w:r w:rsidRPr="00A23800">
        <w:rPr>
          <w:rFonts w:ascii="Calibri" w:hAnsi="Calibri"/>
          <w:color w:val="231F20"/>
          <w:w w:val="105"/>
        </w:rPr>
        <w:t>staffing</w:t>
      </w:r>
      <w:r w:rsidRPr="00A23800">
        <w:rPr>
          <w:rFonts w:ascii="Calibri" w:hAnsi="Calibri"/>
          <w:color w:val="231F20"/>
          <w:spacing w:val="-3"/>
          <w:w w:val="105"/>
        </w:rPr>
        <w:t xml:space="preserve"> </w:t>
      </w:r>
      <w:r w:rsidRPr="00A23800">
        <w:rPr>
          <w:rFonts w:ascii="Calibri" w:hAnsi="Calibri"/>
          <w:color w:val="231F20"/>
          <w:w w:val="105"/>
        </w:rPr>
        <w:t>requirements</w:t>
      </w:r>
      <w:r w:rsidRPr="00A23800">
        <w:rPr>
          <w:rFonts w:ascii="Calibri" w:hAnsi="Calibri"/>
          <w:color w:val="231F20"/>
          <w:spacing w:val="-3"/>
          <w:w w:val="105"/>
        </w:rPr>
        <w:t xml:space="preserve"> </w:t>
      </w:r>
      <w:r w:rsidRPr="00A23800">
        <w:rPr>
          <w:rFonts w:ascii="Calibri" w:hAnsi="Calibri"/>
          <w:color w:val="231F20"/>
          <w:w w:val="105"/>
        </w:rPr>
        <w:t>for</w:t>
      </w:r>
      <w:r w:rsidRPr="00A23800">
        <w:rPr>
          <w:rFonts w:ascii="Calibri" w:hAnsi="Calibri"/>
          <w:color w:val="231F20"/>
          <w:spacing w:val="-3"/>
          <w:w w:val="105"/>
        </w:rPr>
        <w:t xml:space="preserve"> </w:t>
      </w:r>
      <w:r w:rsidRPr="00A23800">
        <w:rPr>
          <w:rFonts w:ascii="Calibri" w:hAnsi="Calibri"/>
          <w:color w:val="231F20"/>
          <w:w w:val="105"/>
        </w:rPr>
        <w:t>SFY</w:t>
      </w:r>
      <w:r w:rsidRPr="00A23800">
        <w:rPr>
          <w:rFonts w:ascii="Calibri" w:hAnsi="Calibri"/>
          <w:color w:val="231F20"/>
          <w:spacing w:val="-3"/>
          <w:w w:val="105"/>
        </w:rPr>
        <w:t xml:space="preserve"> </w:t>
      </w:r>
      <w:r>
        <w:rPr>
          <w:rFonts w:ascii="Calibri" w:hAnsi="Calibri"/>
          <w:color w:val="231F20"/>
          <w:w w:val="105"/>
        </w:rPr>
        <w:t>2017-2018</w:t>
      </w:r>
      <w:r w:rsidR="005E7C49">
        <w:rPr>
          <w:rFonts w:ascii="Calibri" w:hAnsi="Calibri"/>
          <w:color w:val="231F20"/>
          <w:w w:val="105"/>
        </w:rPr>
        <w:t xml:space="preserve">. </w:t>
      </w:r>
      <w:r w:rsidRPr="00A23800">
        <w:rPr>
          <w:rFonts w:ascii="Calibri" w:hAnsi="Calibri"/>
          <w:color w:val="231F20"/>
          <w:w w:val="105"/>
        </w:rPr>
        <w:t>It</w:t>
      </w:r>
      <w:r w:rsidRPr="00A23800">
        <w:rPr>
          <w:rFonts w:ascii="Calibri" w:hAnsi="Calibri"/>
          <w:color w:val="231F20"/>
          <w:spacing w:val="-3"/>
          <w:w w:val="105"/>
        </w:rPr>
        <w:t xml:space="preserve"> </w:t>
      </w:r>
      <w:r w:rsidRPr="00A23800">
        <w:rPr>
          <w:rFonts w:ascii="Calibri" w:hAnsi="Calibri"/>
          <w:color w:val="231F20"/>
          <w:w w:val="105"/>
        </w:rPr>
        <w:t>should</w:t>
      </w:r>
      <w:r w:rsidRPr="00A23800">
        <w:rPr>
          <w:rFonts w:ascii="Calibri" w:hAnsi="Calibri"/>
          <w:color w:val="231F20"/>
          <w:spacing w:val="-3"/>
          <w:w w:val="105"/>
        </w:rPr>
        <w:t xml:space="preserve"> </w:t>
      </w:r>
      <w:r w:rsidRPr="00A23800">
        <w:rPr>
          <w:rFonts w:ascii="Calibri" w:hAnsi="Calibri"/>
          <w:color w:val="231F20"/>
          <w:w w:val="105"/>
        </w:rPr>
        <w:t>be</w:t>
      </w:r>
      <w:r w:rsidRPr="00A23800">
        <w:rPr>
          <w:rFonts w:ascii="Calibri" w:hAnsi="Calibri"/>
          <w:color w:val="231F20"/>
          <w:spacing w:val="-3"/>
          <w:w w:val="105"/>
        </w:rPr>
        <w:t xml:space="preserve"> </w:t>
      </w:r>
      <w:r w:rsidRPr="00A23800">
        <w:rPr>
          <w:rFonts w:ascii="Calibri" w:hAnsi="Calibri"/>
          <w:color w:val="231F20"/>
          <w:w w:val="105"/>
        </w:rPr>
        <w:t>noted</w:t>
      </w:r>
      <w:r w:rsidRPr="00A23800">
        <w:rPr>
          <w:rFonts w:ascii="Calibri" w:hAnsi="Calibri"/>
          <w:color w:val="231F20"/>
          <w:spacing w:val="-3"/>
          <w:w w:val="105"/>
        </w:rPr>
        <w:t xml:space="preserve"> </w:t>
      </w:r>
      <w:r w:rsidRPr="00A23800">
        <w:rPr>
          <w:rFonts w:ascii="Calibri" w:hAnsi="Calibri"/>
          <w:color w:val="231F20"/>
          <w:w w:val="105"/>
        </w:rPr>
        <w:t>that</w:t>
      </w:r>
      <w:r w:rsidRPr="00A23800">
        <w:rPr>
          <w:rFonts w:ascii="Calibri" w:hAnsi="Calibri"/>
          <w:color w:val="231F20"/>
          <w:spacing w:val="-3"/>
          <w:w w:val="105"/>
        </w:rPr>
        <w:t xml:space="preserve"> </w:t>
      </w:r>
      <w:r w:rsidRPr="00A23800">
        <w:rPr>
          <w:rFonts w:ascii="Calibri" w:hAnsi="Calibri"/>
          <w:color w:val="231F20"/>
          <w:w w:val="105"/>
        </w:rPr>
        <w:t>positions</w:t>
      </w:r>
      <w:r w:rsidRPr="00A23800">
        <w:rPr>
          <w:rFonts w:ascii="Calibri" w:hAnsi="Calibri"/>
          <w:color w:val="231F20"/>
          <w:spacing w:val="-3"/>
          <w:w w:val="105"/>
        </w:rPr>
        <w:t xml:space="preserve"> </w:t>
      </w:r>
      <w:r w:rsidRPr="00A23800">
        <w:rPr>
          <w:rFonts w:ascii="Calibri" w:hAnsi="Calibri"/>
          <w:color w:val="231F20"/>
          <w:w w:val="105"/>
        </w:rPr>
        <w:t>are</w:t>
      </w:r>
      <w:r w:rsidRPr="00A23800">
        <w:rPr>
          <w:rFonts w:ascii="Calibri" w:hAnsi="Calibri"/>
          <w:color w:val="231F20"/>
          <w:spacing w:val="-3"/>
          <w:w w:val="105"/>
        </w:rPr>
        <w:t xml:space="preserve"> </w:t>
      </w:r>
      <w:r w:rsidRPr="00A23800">
        <w:rPr>
          <w:rFonts w:ascii="Calibri" w:hAnsi="Calibri"/>
          <w:color w:val="231F20"/>
          <w:w w:val="105"/>
        </w:rPr>
        <w:t>vacated</w:t>
      </w:r>
      <w:r w:rsidRPr="00A23800">
        <w:rPr>
          <w:rFonts w:ascii="Calibri" w:hAnsi="Calibri"/>
          <w:color w:val="231F20"/>
          <w:spacing w:val="-3"/>
          <w:w w:val="105"/>
        </w:rPr>
        <w:t xml:space="preserve"> </w:t>
      </w:r>
      <w:r w:rsidRPr="00A23800">
        <w:rPr>
          <w:rFonts w:ascii="Calibri" w:hAnsi="Calibri"/>
          <w:color w:val="231F20"/>
          <w:w w:val="105"/>
        </w:rPr>
        <w:t>for</w:t>
      </w:r>
      <w:r w:rsidRPr="00A23800">
        <w:rPr>
          <w:rFonts w:ascii="Calibri" w:hAnsi="Calibri"/>
          <w:color w:val="231F20"/>
          <w:spacing w:val="-3"/>
          <w:w w:val="105"/>
        </w:rPr>
        <w:t xml:space="preserve"> </w:t>
      </w:r>
      <w:r w:rsidRPr="00A23800">
        <w:rPr>
          <w:rFonts w:ascii="Calibri" w:hAnsi="Calibri"/>
          <w:color w:val="231F20"/>
          <w:w w:val="105"/>
        </w:rPr>
        <w:t>many</w:t>
      </w:r>
      <w:r w:rsidRPr="00A23800">
        <w:rPr>
          <w:rFonts w:ascii="Calibri" w:hAnsi="Calibri"/>
          <w:color w:val="231F20"/>
          <w:spacing w:val="-2"/>
          <w:w w:val="105"/>
        </w:rPr>
        <w:t xml:space="preserve"> </w:t>
      </w:r>
      <w:r w:rsidRPr="00A23800">
        <w:rPr>
          <w:rFonts w:ascii="Calibri" w:hAnsi="Calibri"/>
          <w:color w:val="231F20"/>
          <w:w w:val="105"/>
        </w:rPr>
        <w:t>reasons,</w:t>
      </w:r>
      <w:r w:rsidRPr="00A23800">
        <w:rPr>
          <w:rFonts w:ascii="Calibri" w:hAnsi="Calibri"/>
          <w:color w:val="231F20"/>
          <w:spacing w:val="-9"/>
          <w:w w:val="105"/>
        </w:rPr>
        <w:t xml:space="preserve"> </w:t>
      </w:r>
      <w:r w:rsidRPr="00A23800">
        <w:rPr>
          <w:rFonts w:ascii="Calibri" w:hAnsi="Calibri"/>
          <w:color w:val="231F20"/>
          <w:w w:val="105"/>
        </w:rPr>
        <w:t>including</w:t>
      </w:r>
      <w:r w:rsidRPr="00A23800">
        <w:rPr>
          <w:rFonts w:ascii="Calibri" w:hAnsi="Calibri"/>
          <w:color w:val="231F20"/>
          <w:spacing w:val="-9"/>
          <w:w w:val="105"/>
        </w:rPr>
        <w:t xml:space="preserve"> </w:t>
      </w:r>
      <w:r w:rsidRPr="00A23800">
        <w:rPr>
          <w:rFonts w:ascii="Calibri" w:hAnsi="Calibri"/>
          <w:color w:val="231F20"/>
          <w:w w:val="105"/>
        </w:rPr>
        <w:t>termination,</w:t>
      </w:r>
      <w:r w:rsidRPr="00A23800">
        <w:rPr>
          <w:rFonts w:ascii="Calibri" w:hAnsi="Calibri"/>
          <w:color w:val="231F20"/>
          <w:spacing w:val="-9"/>
          <w:w w:val="105"/>
        </w:rPr>
        <w:t xml:space="preserve"> </w:t>
      </w:r>
      <w:r w:rsidRPr="00A23800">
        <w:rPr>
          <w:rFonts w:ascii="Calibri" w:hAnsi="Calibri"/>
          <w:color w:val="231F20"/>
          <w:w w:val="105"/>
        </w:rPr>
        <w:t>promotion,</w:t>
      </w:r>
      <w:r w:rsidRPr="00A23800">
        <w:rPr>
          <w:rFonts w:ascii="Calibri" w:hAnsi="Calibri"/>
          <w:color w:val="231F20"/>
          <w:spacing w:val="-9"/>
          <w:w w:val="105"/>
        </w:rPr>
        <w:t xml:space="preserve"> </w:t>
      </w:r>
      <w:r w:rsidRPr="00A23800">
        <w:rPr>
          <w:rFonts w:ascii="Calibri" w:hAnsi="Calibri"/>
          <w:color w:val="231F20"/>
          <w:w w:val="105"/>
        </w:rPr>
        <w:t>lateral</w:t>
      </w:r>
      <w:r w:rsidRPr="00A23800">
        <w:rPr>
          <w:rFonts w:ascii="Calibri" w:hAnsi="Calibri"/>
          <w:color w:val="231F20"/>
          <w:spacing w:val="-9"/>
          <w:w w:val="105"/>
        </w:rPr>
        <w:t xml:space="preserve"> </w:t>
      </w:r>
      <w:r w:rsidRPr="00A23800">
        <w:rPr>
          <w:rFonts w:ascii="Calibri" w:hAnsi="Calibri"/>
          <w:color w:val="231F20"/>
          <w:w w:val="105"/>
        </w:rPr>
        <w:t>position</w:t>
      </w:r>
      <w:r w:rsidRPr="00A23800">
        <w:rPr>
          <w:rFonts w:ascii="Calibri" w:hAnsi="Calibri"/>
          <w:color w:val="231F20"/>
          <w:spacing w:val="-9"/>
          <w:w w:val="105"/>
        </w:rPr>
        <w:t xml:space="preserve"> </w:t>
      </w:r>
      <w:r w:rsidRPr="00A23800">
        <w:rPr>
          <w:rFonts w:ascii="Calibri" w:hAnsi="Calibri"/>
          <w:color w:val="231F20"/>
          <w:w w:val="105"/>
        </w:rPr>
        <w:t>transfers,</w:t>
      </w:r>
      <w:r w:rsidRPr="00A23800">
        <w:rPr>
          <w:rFonts w:ascii="Calibri" w:hAnsi="Calibri"/>
          <w:color w:val="231F20"/>
          <w:spacing w:val="-9"/>
          <w:w w:val="105"/>
        </w:rPr>
        <w:t xml:space="preserve"> </w:t>
      </w:r>
      <w:r w:rsidRPr="00A23800">
        <w:rPr>
          <w:rFonts w:ascii="Calibri" w:hAnsi="Calibri"/>
          <w:color w:val="231F20"/>
          <w:w w:val="105"/>
        </w:rPr>
        <w:t>or</w:t>
      </w:r>
      <w:r w:rsidRPr="00A23800">
        <w:rPr>
          <w:rFonts w:ascii="Calibri" w:hAnsi="Calibri"/>
          <w:color w:val="231F20"/>
          <w:spacing w:val="-9"/>
          <w:w w:val="105"/>
        </w:rPr>
        <w:t xml:space="preserve"> </w:t>
      </w:r>
      <w:r w:rsidRPr="00A23800">
        <w:rPr>
          <w:rFonts w:ascii="Calibri" w:hAnsi="Calibri"/>
          <w:color w:val="231F20"/>
          <w:w w:val="105"/>
        </w:rPr>
        <w:t>retirement.</w:t>
      </w:r>
      <w:r w:rsidRPr="00A23800">
        <w:rPr>
          <w:rFonts w:ascii="Calibri" w:hAnsi="Calibri"/>
          <w:color w:val="231F20"/>
          <w:spacing w:val="-9"/>
          <w:w w:val="105"/>
        </w:rPr>
        <w:t xml:space="preserve"> </w:t>
      </w:r>
      <w:r w:rsidRPr="00A23800">
        <w:rPr>
          <w:rFonts w:ascii="Calibri" w:hAnsi="Calibri"/>
          <w:color w:val="231F20"/>
          <w:w w:val="105"/>
        </w:rPr>
        <w:t>VR</w:t>
      </w:r>
      <w:r w:rsidR="00240FC6">
        <w:rPr>
          <w:rFonts w:ascii="Calibri" w:hAnsi="Calibri"/>
          <w:color w:val="231F20"/>
          <w:w w:val="105"/>
        </w:rPr>
        <w:t xml:space="preserve"> continues to</w:t>
      </w:r>
      <w:r w:rsidRPr="00A23800">
        <w:rPr>
          <w:rFonts w:ascii="Calibri" w:hAnsi="Calibri"/>
          <w:color w:val="231F20"/>
          <w:spacing w:val="-9"/>
          <w:w w:val="105"/>
        </w:rPr>
        <w:t xml:space="preserve"> </w:t>
      </w:r>
      <w:r w:rsidRPr="00A23800">
        <w:rPr>
          <w:rFonts w:ascii="Calibri" w:hAnsi="Calibri"/>
          <w:color w:val="231F20"/>
          <w:spacing w:val="-2"/>
          <w:w w:val="105"/>
        </w:rPr>
        <w:t>employ</w:t>
      </w:r>
      <w:r w:rsidRPr="00A23800">
        <w:rPr>
          <w:rFonts w:ascii="Calibri" w:hAnsi="Calibri"/>
          <w:color w:val="231F20"/>
          <w:spacing w:val="-2"/>
          <w:w w:val="106"/>
        </w:rPr>
        <w:t xml:space="preserve"> </w:t>
      </w:r>
      <w:r w:rsidRPr="00A23800">
        <w:rPr>
          <w:rFonts w:ascii="Calibri" w:hAnsi="Calibri"/>
          <w:color w:val="231F20"/>
          <w:w w:val="105"/>
        </w:rPr>
        <w:t>strategies to address turnover as well as develop and prepare staff for advancement</w:t>
      </w:r>
      <w:r w:rsidRPr="00A23800">
        <w:rPr>
          <w:rFonts w:ascii="Calibri" w:hAnsi="Calibri"/>
          <w:color w:val="231F20"/>
          <w:spacing w:val="8"/>
          <w:w w:val="105"/>
        </w:rPr>
        <w:t xml:space="preserve"> </w:t>
      </w:r>
      <w:r w:rsidRPr="00A23800">
        <w:rPr>
          <w:rFonts w:ascii="Calibri" w:hAnsi="Calibri"/>
          <w:color w:val="231F20"/>
          <w:w w:val="105"/>
        </w:rPr>
        <w:t>opportunities.</w:t>
      </w:r>
    </w:p>
    <w:p w14:paraId="247BF258" w14:textId="77777777" w:rsidR="00240694" w:rsidRDefault="00240694" w:rsidP="00D63204">
      <w:pPr>
        <w:widowControl w:val="0"/>
        <w:spacing w:after="0" w:line="240" w:lineRule="auto"/>
        <w:ind w:left="107"/>
        <w:outlineLvl w:val="2"/>
        <w:rPr>
          <w:rFonts w:ascii="Calibri" w:hAnsi="Calibri"/>
          <w:b/>
          <w:bCs/>
          <w:w w:val="110"/>
        </w:rPr>
      </w:pPr>
    </w:p>
    <w:p w14:paraId="3A1FA4C4" w14:textId="3443B4CD" w:rsidR="00A07550" w:rsidRPr="00A23800" w:rsidRDefault="00A07550" w:rsidP="00D63204">
      <w:pPr>
        <w:widowControl w:val="0"/>
        <w:spacing w:after="0" w:line="240" w:lineRule="auto"/>
        <w:ind w:left="107"/>
        <w:outlineLvl w:val="2"/>
        <w:rPr>
          <w:rFonts w:ascii="Calibri" w:hAnsi="Calibri"/>
        </w:rPr>
      </w:pPr>
      <w:r w:rsidRPr="00A23800">
        <w:rPr>
          <w:rFonts w:ascii="Calibri" w:hAnsi="Calibri"/>
          <w:b/>
          <w:bCs/>
          <w:w w:val="110"/>
        </w:rPr>
        <w:t>Figure</w:t>
      </w:r>
      <w:r w:rsidRPr="00A23800">
        <w:rPr>
          <w:rFonts w:ascii="Calibri" w:hAnsi="Calibri"/>
          <w:b/>
          <w:bCs/>
          <w:spacing w:val="2"/>
          <w:w w:val="110"/>
        </w:rPr>
        <w:t xml:space="preserve"> </w:t>
      </w:r>
      <w:r w:rsidRPr="00A23800">
        <w:rPr>
          <w:rFonts w:ascii="Calibri" w:hAnsi="Calibri"/>
          <w:b/>
          <w:bCs/>
          <w:spacing w:val="-3"/>
          <w:w w:val="110"/>
        </w:rPr>
        <w:t>9.01</w:t>
      </w:r>
    </w:p>
    <w:p w14:paraId="6B00BBE2" w14:textId="77777777" w:rsidR="00A07550" w:rsidRPr="00A23800" w:rsidRDefault="00A07550" w:rsidP="00D63204">
      <w:pPr>
        <w:widowControl w:val="0"/>
        <w:spacing w:after="0" w:line="240" w:lineRule="auto"/>
        <w:ind w:left="107"/>
        <w:rPr>
          <w:rFonts w:ascii="Calibri" w:hAnsi="Calibri" w:cs="Calibri"/>
        </w:rPr>
      </w:pPr>
      <w:r w:rsidRPr="00A23800">
        <w:rPr>
          <w:rFonts w:ascii="Calibri" w:hAnsi="Calibri"/>
          <w:b/>
          <w:color w:val="231F20"/>
          <w:w w:val="110"/>
        </w:rPr>
        <w:t>VR Personnel and Projected Staffing</w:t>
      </w:r>
      <w:r w:rsidRPr="00A23800">
        <w:rPr>
          <w:rFonts w:ascii="Calibri" w:hAnsi="Calibri"/>
          <w:b/>
          <w:color w:val="231F20"/>
          <w:spacing w:val="7"/>
          <w:w w:val="110"/>
        </w:rPr>
        <w:t xml:space="preserve"> </w:t>
      </w:r>
      <w:r w:rsidRPr="00A23800">
        <w:rPr>
          <w:rFonts w:ascii="Calibri" w:hAnsi="Calibri"/>
          <w:b/>
          <w:color w:val="231F20"/>
          <w:w w:val="110"/>
        </w:rPr>
        <w:t>Needs</w:t>
      </w:r>
    </w:p>
    <w:p w14:paraId="1634AE49" w14:textId="77777777" w:rsidR="00A07550" w:rsidRPr="00A23800" w:rsidRDefault="00A07550" w:rsidP="00D63204">
      <w:pPr>
        <w:widowControl w:val="0"/>
        <w:spacing w:before="1" w:after="0" w:line="240" w:lineRule="auto"/>
        <w:ind w:left="107"/>
        <w:rPr>
          <w:rFonts w:ascii="Calibri" w:hAnsi="Calibri" w:cs="Calibri"/>
          <w:b/>
          <w:bCs/>
          <w:sz w:val="18"/>
          <w:szCs w:val="18"/>
        </w:rPr>
      </w:pPr>
    </w:p>
    <w:tbl>
      <w:tblPr>
        <w:tblW w:w="0" w:type="auto"/>
        <w:tblInd w:w="108" w:type="dxa"/>
        <w:tblLayout w:type="fixed"/>
        <w:tblCellMar>
          <w:left w:w="0" w:type="dxa"/>
          <w:right w:w="0" w:type="dxa"/>
        </w:tblCellMar>
        <w:tblLook w:val="01E0" w:firstRow="1" w:lastRow="1" w:firstColumn="1" w:lastColumn="1" w:noHBand="0" w:noVBand="0"/>
      </w:tblPr>
      <w:tblGrid>
        <w:gridCol w:w="3168"/>
        <w:gridCol w:w="2370"/>
        <w:gridCol w:w="2271"/>
        <w:gridCol w:w="2350"/>
      </w:tblGrid>
      <w:tr w:rsidR="00A07550" w:rsidRPr="00A23800" w14:paraId="4C2DB7A4" w14:textId="77777777" w:rsidTr="00145CC8">
        <w:trPr>
          <w:trHeight w:hRule="exact" w:val="941"/>
        </w:trPr>
        <w:tc>
          <w:tcPr>
            <w:tcW w:w="3168" w:type="dxa"/>
            <w:tcBorders>
              <w:top w:val="single" w:sz="2" w:space="0" w:color="231F20"/>
              <w:left w:val="single" w:sz="2" w:space="0" w:color="231F20"/>
              <w:bottom w:val="single" w:sz="2" w:space="0" w:color="231F20"/>
              <w:right w:val="single" w:sz="2" w:space="0" w:color="231F20"/>
            </w:tcBorders>
            <w:vAlign w:val="center"/>
          </w:tcPr>
          <w:p w14:paraId="7E0EF09F" w14:textId="77777777" w:rsidR="00A07550" w:rsidRPr="00A23800" w:rsidRDefault="00A07550" w:rsidP="00145CC8">
            <w:pPr>
              <w:widowControl w:val="0"/>
              <w:spacing w:before="176" w:after="0" w:line="240" w:lineRule="auto"/>
              <w:ind w:left="107"/>
              <w:rPr>
                <w:rFonts w:ascii="Calibri" w:hAnsi="Calibri" w:cs="Calibri"/>
              </w:rPr>
            </w:pPr>
            <w:r w:rsidRPr="00A23800">
              <w:rPr>
                <w:rFonts w:ascii="Calibri" w:hAnsi="Calibri"/>
                <w:b/>
                <w:color w:val="231F20"/>
                <w:w w:val="110"/>
              </w:rPr>
              <w:t>Personnel</w:t>
            </w:r>
            <w:r w:rsidRPr="00A23800">
              <w:rPr>
                <w:rFonts w:ascii="Calibri" w:hAnsi="Calibri"/>
                <w:b/>
                <w:color w:val="231F20"/>
                <w:spacing w:val="-35"/>
                <w:w w:val="110"/>
              </w:rPr>
              <w:t xml:space="preserve"> </w:t>
            </w:r>
            <w:r w:rsidRPr="00A23800">
              <w:rPr>
                <w:rFonts w:ascii="Calibri" w:hAnsi="Calibri"/>
                <w:b/>
                <w:color w:val="231F20"/>
                <w:w w:val="110"/>
              </w:rPr>
              <w:t>Category*</w:t>
            </w:r>
          </w:p>
        </w:tc>
        <w:tc>
          <w:tcPr>
            <w:tcW w:w="2370" w:type="dxa"/>
            <w:tcBorders>
              <w:top w:val="single" w:sz="2" w:space="0" w:color="231F20"/>
              <w:left w:val="single" w:sz="2" w:space="0" w:color="231F20"/>
              <w:bottom w:val="single" w:sz="2" w:space="0" w:color="231F20"/>
              <w:right w:val="single" w:sz="2" w:space="0" w:color="231F20"/>
            </w:tcBorders>
            <w:vAlign w:val="center"/>
          </w:tcPr>
          <w:p w14:paraId="1E31F641" w14:textId="77777777" w:rsidR="00A07550" w:rsidRPr="00A23800" w:rsidRDefault="00A07550" w:rsidP="00D63204">
            <w:pPr>
              <w:widowControl w:val="0"/>
              <w:spacing w:before="44" w:after="0" w:line="240" w:lineRule="auto"/>
              <w:ind w:left="107"/>
              <w:rPr>
                <w:rFonts w:ascii="Calibri" w:hAnsi="Calibri" w:cs="Calibri"/>
              </w:rPr>
            </w:pPr>
            <w:r w:rsidRPr="00A23800">
              <w:rPr>
                <w:rFonts w:ascii="Calibri" w:hAnsi="Calibri"/>
                <w:b/>
                <w:color w:val="231F20"/>
                <w:w w:val="105"/>
              </w:rPr>
              <w:t>Number of</w:t>
            </w:r>
            <w:r w:rsidRPr="00A23800">
              <w:rPr>
                <w:rFonts w:ascii="Calibri" w:hAnsi="Calibri"/>
                <w:b/>
                <w:color w:val="231F20"/>
                <w:spacing w:val="9"/>
                <w:w w:val="105"/>
              </w:rPr>
              <w:t xml:space="preserve"> </w:t>
            </w:r>
            <w:r w:rsidRPr="00A23800">
              <w:rPr>
                <w:rFonts w:ascii="Calibri" w:hAnsi="Calibri"/>
                <w:b/>
                <w:color w:val="231F20"/>
                <w:w w:val="105"/>
              </w:rPr>
              <w:t>Personnel,</w:t>
            </w:r>
          </w:p>
          <w:p w14:paraId="7DC0E411" w14:textId="77777777" w:rsidR="00A07550" w:rsidRPr="00A23800" w:rsidRDefault="00A07550" w:rsidP="00D63204">
            <w:pPr>
              <w:widowControl w:val="0"/>
              <w:spacing w:after="0" w:line="240" w:lineRule="auto"/>
              <w:ind w:left="107"/>
              <w:rPr>
                <w:rFonts w:ascii="Calibri" w:hAnsi="Calibri" w:cs="Calibri"/>
              </w:rPr>
            </w:pPr>
            <w:r w:rsidRPr="00A23800">
              <w:rPr>
                <w:rFonts w:ascii="Calibri" w:hAnsi="Calibri"/>
                <w:b/>
                <w:color w:val="231F20"/>
              </w:rPr>
              <w:t>as of</w:t>
            </w:r>
            <w:r w:rsidRPr="00A23800">
              <w:rPr>
                <w:rFonts w:ascii="Calibri" w:hAnsi="Calibri"/>
                <w:b/>
                <w:color w:val="231F20"/>
                <w:spacing w:val="-11"/>
              </w:rPr>
              <w:t xml:space="preserve"> </w:t>
            </w:r>
            <w:r>
              <w:rPr>
                <w:rFonts w:ascii="Calibri" w:hAnsi="Calibri"/>
                <w:b/>
                <w:color w:val="231F20"/>
              </w:rPr>
              <w:t>10/1/17</w:t>
            </w:r>
          </w:p>
        </w:tc>
        <w:tc>
          <w:tcPr>
            <w:tcW w:w="2271" w:type="dxa"/>
            <w:tcBorders>
              <w:top w:val="single" w:sz="2" w:space="0" w:color="231F20"/>
              <w:left w:val="single" w:sz="2" w:space="0" w:color="231F20"/>
              <w:bottom w:val="single" w:sz="2" w:space="0" w:color="231F20"/>
              <w:right w:val="single" w:sz="2" w:space="0" w:color="231F20"/>
            </w:tcBorders>
            <w:vAlign w:val="center"/>
          </w:tcPr>
          <w:p w14:paraId="77B52F25" w14:textId="77777777" w:rsidR="00145CC8" w:rsidRPr="00145CC8" w:rsidRDefault="00A07550" w:rsidP="00D63204">
            <w:pPr>
              <w:widowControl w:val="0"/>
              <w:spacing w:before="44" w:after="0" w:line="240" w:lineRule="auto"/>
              <w:ind w:left="107"/>
              <w:rPr>
                <w:rFonts w:ascii="Calibri" w:hAnsi="Calibri"/>
                <w:b/>
                <w:color w:val="231F20"/>
                <w:w w:val="105"/>
              </w:rPr>
            </w:pPr>
            <w:r w:rsidRPr="00145CC8">
              <w:rPr>
                <w:rFonts w:ascii="Calibri" w:hAnsi="Calibri"/>
                <w:b/>
                <w:color w:val="231F20"/>
                <w:w w:val="105"/>
              </w:rPr>
              <w:t xml:space="preserve">Turnover Rate for </w:t>
            </w:r>
          </w:p>
          <w:p w14:paraId="6BFA52D0" w14:textId="7E50AACB" w:rsidR="00A07550" w:rsidRPr="00145CC8" w:rsidRDefault="00A07550" w:rsidP="00D63204">
            <w:pPr>
              <w:widowControl w:val="0"/>
              <w:spacing w:before="44" w:after="0" w:line="240" w:lineRule="auto"/>
              <w:ind w:left="107"/>
              <w:rPr>
                <w:rFonts w:ascii="Calibri" w:hAnsi="Calibri"/>
                <w:b/>
                <w:color w:val="231F20"/>
                <w:w w:val="105"/>
              </w:rPr>
            </w:pPr>
            <w:r w:rsidRPr="00145CC8">
              <w:rPr>
                <w:rFonts w:ascii="Calibri" w:hAnsi="Calibri"/>
                <w:b/>
                <w:color w:val="231F20"/>
                <w:w w:val="105"/>
              </w:rPr>
              <w:t>SFY 2016-17</w:t>
            </w:r>
          </w:p>
        </w:tc>
        <w:tc>
          <w:tcPr>
            <w:tcW w:w="2350" w:type="dxa"/>
            <w:tcBorders>
              <w:top w:val="single" w:sz="2" w:space="0" w:color="231F20"/>
              <w:left w:val="single" w:sz="2" w:space="0" w:color="231F20"/>
              <w:bottom w:val="single" w:sz="2" w:space="0" w:color="231F20"/>
              <w:right w:val="single" w:sz="2" w:space="0" w:color="231F20"/>
            </w:tcBorders>
            <w:vAlign w:val="center"/>
          </w:tcPr>
          <w:p w14:paraId="4D1A2029" w14:textId="77777777" w:rsidR="00145CC8" w:rsidRDefault="00A07550" w:rsidP="00D63204">
            <w:pPr>
              <w:widowControl w:val="0"/>
              <w:spacing w:before="42" w:after="0" w:line="240" w:lineRule="auto"/>
              <w:ind w:left="107"/>
              <w:rPr>
                <w:rFonts w:ascii="Calibri" w:hAnsi="Calibri"/>
                <w:b/>
                <w:color w:val="231F20"/>
                <w:w w:val="110"/>
              </w:rPr>
            </w:pPr>
            <w:r w:rsidRPr="00A23800">
              <w:rPr>
                <w:rFonts w:ascii="Calibri" w:hAnsi="Calibri"/>
                <w:b/>
                <w:color w:val="231F20"/>
                <w:w w:val="105"/>
              </w:rPr>
              <w:t>**Projected</w:t>
            </w:r>
            <w:r w:rsidRPr="00A23800">
              <w:rPr>
                <w:rFonts w:ascii="Calibri" w:hAnsi="Calibri"/>
                <w:b/>
                <w:color w:val="231F20"/>
                <w:spacing w:val="-1"/>
                <w:w w:val="105"/>
              </w:rPr>
              <w:t xml:space="preserve"> </w:t>
            </w:r>
            <w:r w:rsidRPr="00A23800">
              <w:rPr>
                <w:rFonts w:ascii="Calibri" w:hAnsi="Calibri"/>
                <w:b/>
                <w:color w:val="231F20"/>
                <w:w w:val="105"/>
              </w:rPr>
              <w:t>Staffing</w:t>
            </w:r>
            <w:r w:rsidRPr="00A23800">
              <w:rPr>
                <w:rFonts w:ascii="Calibri" w:hAnsi="Calibri"/>
                <w:b/>
                <w:color w:val="231F20"/>
                <w:w w:val="108"/>
              </w:rPr>
              <w:t xml:space="preserve"> </w:t>
            </w:r>
            <w:r w:rsidRPr="00A23800">
              <w:rPr>
                <w:rFonts w:ascii="Calibri" w:hAnsi="Calibri"/>
                <w:b/>
                <w:color w:val="231F20"/>
                <w:w w:val="110"/>
              </w:rPr>
              <w:t>Needs for</w:t>
            </w:r>
            <w:r>
              <w:rPr>
                <w:rFonts w:ascii="Calibri" w:hAnsi="Calibri"/>
                <w:b/>
                <w:color w:val="231F20"/>
                <w:w w:val="110"/>
              </w:rPr>
              <w:t xml:space="preserve"> </w:t>
            </w:r>
          </w:p>
          <w:p w14:paraId="7D47F277" w14:textId="56B73286" w:rsidR="00A07550" w:rsidRPr="00A23800" w:rsidRDefault="00A07550" w:rsidP="00D63204">
            <w:pPr>
              <w:widowControl w:val="0"/>
              <w:spacing w:before="42" w:after="0" w:line="240" w:lineRule="auto"/>
              <w:ind w:left="107"/>
              <w:rPr>
                <w:rFonts w:ascii="Calibri" w:hAnsi="Calibri" w:cs="Calibri"/>
              </w:rPr>
            </w:pPr>
            <w:r>
              <w:rPr>
                <w:rFonts w:ascii="Calibri" w:hAnsi="Calibri"/>
                <w:b/>
                <w:color w:val="231F20"/>
                <w:w w:val="110"/>
              </w:rPr>
              <w:t>SFY</w:t>
            </w:r>
            <w:r w:rsidRPr="00A23800">
              <w:rPr>
                <w:rFonts w:ascii="Calibri" w:hAnsi="Calibri"/>
                <w:b/>
                <w:color w:val="231F20"/>
                <w:w w:val="110"/>
              </w:rPr>
              <w:t xml:space="preserve"> 201</w:t>
            </w:r>
            <w:r>
              <w:rPr>
                <w:rFonts w:ascii="Calibri" w:hAnsi="Calibri"/>
                <w:b/>
                <w:color w:val="231F20"/>
                <w:w w:val="110"/>
              </w:rPr>
              <w:t>7</w:t>
            </w:r>
            <w:r w:rsidRPr="00A23800">
              <w:rPr>
                <w:rFonts w:ascii="Calibri" w:hAnsi="Calibri"/>
                <w:b/>
                <w:color w:val="231F20"/>
                <w:w w:val="110"/>
              </w:rPr>
              <w:t>-1</w:t>
            </w:r>
            <w:r>
              <w:rPr>
                <w:rFonts w:ascii="Calibri" w:hAnsi="Calibri"/>
                <w:b/>
                <w:color w:val="231F20"/>
                <w:w w:val="110"/>
              </w:rPr>
              <w:t>8</w:t>
            </w:r>
          </w:p>
        </w:tc>
      </w:tr>
      <w:tr w:rsidR="00A07550" w:rsidRPr="00A23800" w14:paraId="65D35BDD" w14:textId="77777777" w:rsidTr="00145CC8">
        <w:trPr>
          <w:trHeight w:hRule="exact" w:val="334"/>
        </w:trPr>
        <w:tc>
          <w:tcPr>
            <w:tcW w:w="3168" w:type="dxa"/>
            <w:tcBorders>
              <w:top w:val="single" w:sz="2" w:space="0" w:color="231F20"/>
              <w:left w:val="single" w:sz="2" w:space="0" w:color="231F20"/>
              <w:bottom w:val="single" w:sz="2" w:space="0" w:color="231F20"/>
              <w:right w:val="single" w:sz="2" w:space="0" w:color="231F20"/>
            </w:tcBorders>
            <w:shd w:val="clear" w:color="auto" w:fill="E6E7E8"/>
            <w:vAlign w:val="center"/>
          </w:tcPr>
          <w:p w14:paraId="10EAE486" w14:textId="77777777" w:rsidR="00A07550" w:rsidRPr="00A23800" w:rsidRDefault="00A07550" w:rsidP="00145CC8">
            <w:pPr>
              <w:widowControl w:val="0"/>
              <w:spacing w:before="42" w:after="0" w:line="240" w:lineRule="auto"/>
              <w:ind w:left="107"/>
              <w:rPr>
                <w:rFonts w:ascii="Calibri" w:hAnsi="Calibri" w:cs="Calibri"/>
              </w:rPr>
            </w:pPr>
            <w:r w:rsidRPr="00A23800">
              <w:rPr>
                <w:rFonts w:ascii="Calibri" w:hAnsi="Calibri"/>
                <w:color w:val="231F20"/>
                <w:w w:val="105"/>
              </w:rPr>
              <w:t>Counselor</w:t>
            </w:r>
            <w:r w:rsidRPr="00A23800">
              <w:rPr>
                <w:rFonts w:ascii="Calibri" w:hAnsi="Calibri"/>
                <w:color w:val="231F20"/>
                <w:spacing w:val="42"/>
                <w:w w:val="105"/>
              </w:rPr>
              <w:t xml:space="preserve"> </w:t>
            </w:r>
            <w:r w:rsidRPr="00A23800">
              <w:rPr>
                <w:rFonts w:ascii="Calibri" w:hAnsi="Calibri"/>
                <w:color w:val="231F20"/>
                <w:w w:val="105"/>
              </w:rPr>
              <w:t>Staff</w:t>
            </w:r>
          </w:p>
        </w:tc>
        <w:tc>
          <w:tcPr>
            <w:tcW w:w="2370" w:type="dxa"/>
            <w:tcBorders>
              <w:top w:val="single" w:sz="2" w:space="0" w:color="231F20"/>
              <w:left w:val="single" w:sz="2" w:space="0" w:color="231F20"/>
              <w:bottom w:val="single" w:sz="2" w:space="0" w:color="231F20"/>
              <w:right w:val="single" w:sz="2" w:space="0" w:color="231F20"/>
            </w:tcBorders>
            <w:shd w:val="clear" w:color="auto" w:fill="E6E7E8"/>
            <w:vAlign w:val="center"/>
          </w:tcPr>
          <w:p w14:paraId="1E4DA945" w14:textId="77777777" w:rsidR="00A07550" w:rsidRPr="00167512" w:rsidRDefault="00A07550" w:rsidP="00D63204">
            <w:pPr>
              <w:widowControl w:val="0"/>
              <w:spacing w:before="42" w:after="0" w:line="240" w:lineRule="auto"/>
              <w:ind w:left="107"/>
              <w:rPr>
                <w:rFonts w:ascii="Calibri" w:hAnsi="Calibri" w:cs="Calibri"/>
              </w:rPr>
            </w:pPr>
            <w:r w:rsidRPr="00167512">
              <w:rPr>
                <w:rFonts w:ascii="Calibri" w:hAnsi="Calibri" w:cs="Calibri"/>
                <w:color w:val="231F20"/>
                <w:w w:val="95"/>
              </w:rPr>
              <w:t>381</w:t>
            </w:r>
          </w:p>
        </w:tc>
        <w:tc>
          <w:tcPr>
            <w:tcW w:w="2271" w:type="dxa"/>
            <w:tcBorders>
              <w:top w:val="single" w:sz="2" w:space="0" w:color="231F20"/>
              <w:left w:val="single" w:sz="2" w:space="0" w:color="231F20"/>
              <w:bottom w:val="single" w:sz="2" w:space="0" w:color="231F20"/>
              <w:right w:val="single" w:sz="2" w:space="0" w:color="231F20"/>
            </w:tcBorders>
            <w:shd w:val="clear" w:color="auto" w:fill="E6E7E8"/>
            <w:vAlign w:val="center"/>
          </w:tcPr>
          <w:p w14:paraId="24638593" w14:textId="77777777" w:rsidR="00A07550" w:rsidRPr="00167512" w:rsidRDefault="00A07550" w:rsidP="00D63204">
            <w:pPr>
              <w:widowControl w:val="0"/>
              <w:spacing w:before="42" w:after="0" w:line="240" w:lineRule="auto"/>
              <w:ind w:left="107"/>
              <w:rPr>
                <w:rFonts w:ascii="Calibri" w:hAnsi="Calibri" w:cs="Calibri"/>
              </w:rPr>
            </w:pPr>
            <w:r w:rsidRPr="00167512">
              <w:rPr>
                <w:rFonts w:ascii="Calibri" w:hAnsi="Calibri" w:cs="Calibri"/>
              </w:rPr>
              <w:t>30%</w:t>
            </w:r>
          </w:p>
        </w:tc>
        <w:tc>
          <w:tcPr>
            <w:tcW w:w="2350" w:type="dxa"/>
            <w:tcBorders>
              <w:top w:val="single" w:sz="2" w:space="0" w:color="231F20"/>
              <w:left w:val="single" w:sz="2" w:space="0" w:color="231F20"/>
              <w:bottom w:val="single" w:sz="2" w:space="0" w:color="231F20"/>
              <w:right w:val="single" w:sz="2" w:space="0" w:color="231F20"/>
            </w:tcBorders>
            <w:shd w:val="clear" w:color="auto" w:fill="E6E7E8"/>
            <w:vAlign w:val="center"/>
          </w:tcPr>
          <w:p w14:paraId="19081326" w14:textId="77777777" w:rsidR="00A07550" w:rsidRPr="00167512" w:rsidRDefault="00A07550" w:rsidP="00D63204">
            <w:pPr>
              <w:widowControl w:val="0"/>
              <w:spacing w:before="42" w:after="0" w:line="240" w:lineRule="auto"/>
              <w:ind w:left="107"/>
              <w:rPr>
                <w:rFonts w:ascii="Calibri" w:hAnsi="Calibri" w:cs="Calibri"/>
              </w:rPr>
            </w:pPr>
            <w:r w:rsidRPr="00167512">
              <w:rPr>
                <w:rFonts w:ascii="Calibri" w:hAnsi="Calibri" w:cs="Calibri"/>
              </w:rPr>
              <w:t>114</w:t>
            </w:r>
          </w:p>
        </w:tc>
      </w:tr>
      <w:tr w:rsidR="00A07550" w:rsidRPr="00A23800" w14:paraId="304B3A18" w14:textId="77777777" w:rsidTr="00145CC8">
        <w:trPr>
          <w:trHeight w:hRule="exact" w:val="598"/>
        </w:trPr>
        <w:tc>
          <w:tcPr>
            <w:tcW w:w="3168" w:type="dxa"/>
            <w:tcBorders>
              <w:top w:val="single" w:sz="2" w:space="0" w:color="231F20"/>
              <w:left w:val="single" w:sz="2" w:space="0" w:color="231F20"/>
              <w:bottom w:val="single" w:sz="2" w:space="0" w:color="231F20"/>
              <w:right w:val="single" w:sz="2" w:space="0" w:color="231F20"/>
            </w:tcBorders>
            <w:vAlign w:val="center"/>
          </w:tcPr>
          <w:p w14:paraId="78781CED" w14:textId="77777777" w:rsidR="00A07550" w:rsidRPr="00A23800" w:rsidRDefault="00A07550" w:rsidP="00145CC8">
            <w:pPr>
              <w:widowControl w:val="0"/>
              <w:spacing w:before="40" w:after="0" w:line="240" w:lineRule="auto"/>
              <w:ind w:left="107"/>
              <w:rPr>
                <w:rFonts w:ascii="Calibri" w:hAnsi="Calibri" w:cs="Calibri"/>
              </w:rPr>
            </w:pPr>
            <w:r w:rsidRPr="00A23800">
              <w:rPr>
                <w:rFonts w:ascii="Calibri" w:hAnsi="Calibri"/>
                <w:color w:val="231F20"/>
                <w:w w:val="105"/>
              </w:rPr>
              <w:t>Staff</w:t>
            </w:r>
            <w:r w:rsidRPr="00A23800">
              <w:rPr>
                <w:rFonts w:ascii="Calibri" w:hAnsi="Calibri"/>
                <w:color w:val="231F20"/>
                <w:spacing w:val="36"/>
                <w:w w:val="105"/>
              </w:rPr>
              <w:t xml:space="preserve"> </w:t>
            </w:r>
            <w:r w:rsidRPr="00A23800">
              <w:rPr>
                <w:rFonts w:ascii="Calibri" w:hAnsi="Calibri"/>
                <w:color w:val="231F20"/>
                <w:w w:val="105"/>
              </w:rPr>
              <w:t>Supporting</w:t>
            </w:r>
            <w:r w:rsidRPr="00A23800">
              <w:rPr>
                <w:rFonts w:ascii="Calibri" w:hAnsi="Calibri"/>
                <w:color w:val="231F20"/>
                <w:spacing w:val="36"/>
                <w:w w:val="105"/>
              </w:rPr>
              <w:t xml:space="preserve"> </w:t>
            </w:r>
            <w:r w:rsidRPr="00A23800">
              <w:rPr>
                <w:rFonts w:ascii="Calibri" w:hAnsi="Calibri"/>
                <w:color w:val="231F20"/>
                <w:w w:val="105"/>
              </w:rPr>
              <w:t>Counselor</w:t>
            </w:r>
            <w:r w:rsidRPr="00A23800">
              <w:rPr>
                <w:rFonts w:ascii="Calibri" w:hAnsi="Calibri"/>
                <w:color w:val="231F20"/>
                <w:spacing w:val="-48"/>
                <w:w w:val="105"/>
              </w:rPr>
              <w:t xml:space="preserve"> </w:t>
            </w:r>
            <w:r w:rsidRPr="00A23800">
              <w:rPr>
                <w:rFonts w:ascii="Calibri" w:hAnsi="Calibri"/>
                <w:color w:val="231F20"/>
                <w:w w:val="105"/>
              </w:rPr>
              <w:t>Activities</w:t>
            </w:r>
          </w:p>
        </w:tc>
        <w:tc>
          <w:tcPr>
            <w:tcW w:w="2370" w:type="dxa"/>
            <w:tcBorders>
              <w:top w:val="single" w:sz="2" w:space="0" w:color="231F20"/>
              <w:left w:val="single" w:sz="2" w:space="0" w:color="231F20"/>
              <w:bottom w:val="single" w:sz="2" w:space="0" w:color="231F20"/>
              <w:right w:val="single" w:sz="2" w:space="0" w:color="231F20"/>
            </w:tcBorders>
            <w:vAlign w:val="center"/>
          </w:tcPr>
          <w:p w14:paraId="32FAA2AA" w14:textId="77777777" w:rsidR="00A07550" w:rsidRPr="00240FC6" w:rsidRDefault="00A07550" w:rsidP="00D63204">
            <w:pPr>
              <w:widowControl w:val="0"/>
              <w:spacing w:before="42" w:after="0" w:line="240" w:lineRule="auto"/>
              <w:ind w:left="107"/>
              <w:rPr>
                <w:rFonts w:ascii="Calibri" w:hAnsi="Calibri" w:cs="Calibri"/>
                <w:color w:val="231F20"/>
                <w:w w:val="95"/>
              </w:rPr>
            </w:pPr>
            <w:r w:rsidRPr="00240FC6">
              <w:rPr>
                <w:rFonts w:ascii="Calibri" w:hAnsi="Calibri" w:cs="Calibri"/>
                <w:color w:val="231F20"/>
                <w:w w:val="95"/>
              </w:rPr>
              <w:t>320</w:t>
            </w:r>
          </w:p>
        </w:tc>
        <w:tc>
          <w:tcPr>
            <w:tcW w:w="2271" w:type="dxa"/>
            <w:tcBorders>
              <w:top w:val="single" w:sz="2" w:space="0" w:color="231F20"/>
              <w:left w:val="single" w:sz="2" w:space="0" w:color="231F20"/>
              <w:bottom w:val="single" w:sz="2" w:space="0" w:color="231F20"/>
              <w:right w:val="single" w:sz="2" w:space="0" w:color="231F20"/>
            </w:tcBorders>
            <w:vAlign w:val="center"/>
          </w:tcPr>
          <w:p w14:paraId="543F2341" w14:textId="77777777" w:rsidR="00A07550" w:rsidRPr="00167512" w:rsidRDefault="00A07550" w:rsidP="00D63204">
            <w:pPr>
              <w:widowControl w:val="0"/>
              <w:spacing w:before="174" w:after="0" w:line="240" w:lineRule="auto"/>
              <w:ind w:left="107"/>
              <w:rPr>
                <w:rFonts w:ascii="Calibri" w:hAnsi="Calibri" w:cs="Calibri"/>
              </w:rPr>
            </w:pPr>
            <w:r w:rsidRPr="00167512">
              <w:rPr>
                <w:rFonts w:ascii="Calibri" w:hAnsi="Calibri" w:cs="Calibri"/>
              </w:rPr>
              <w:t>15%</w:t>
            </w:r>
          </w:p>
        </w:tc>
        <w:tc>
          <w:tcPr>
            <w:tcW w:w="2350" w:type="dxa"/>
            <w:tcBorders>
              <w:top w:val="single" w:sz="2" w:space="0" w:color="231F20"/>
              <w:left w:val="single" w:sz="2" w:space="0" w:color="231F20"/>
              <w:bottom w:val="single" w:sz="2" w:space="0" w:color="231F20"/>
              <w:right w:val="single" w:sz="2" w:space="0" w:color="231F20"/>
            </w:tcBorders>
            <w:vAlign w:val="center"/>
          </w:tcPr>
          <w:p w14:paraId="15386A1B" w14:textId="77777777" w:rsidR="00A07550" w:rsidRPr="00167512" w:rsidRDefault="00A07550" w:rsidP="00D63204">
            <w:pPr>
              <w:widowControl w:val="0"/>
              <w:spacing w:before="174" w:after="0" w:line="240" w:lineRule="auto"/>
              <w:ind w:left="107"/>
              <w:rPr>
                <w:rFonts w:ascii="Calibri" w:hAnsi="Calibri" w:cs="Calibri"/>
              </w:rPr>
            </w:pPr>
            <w:r w:rsidRPr="00167512">
              <w:rPr>
                <w:rFonts w:ascii="Calibri" w:hAnsi="Calibri" w:cs="Calibri"/>
              </w:rPr>
              <w:t>48</w:t>
            </w:r>
          </w:p>
        </w:tc>
      </w:tr>
      <w:tr w:rsidR="00A07550" w:rsidRPr="00A23800" w14:paraId="193DEA92" w14:textId="77777777" w:rsidTr="00145CC8">
        <w:trPr>
          <w:trHeight w:hRule="exact" w:val="334"/>
        </w:trPr>
        <w:tc>
          <w:tcPr>
            <w:tcW w:w="3168" w:type="dxa"/>
            <w:tcBorders>
              <w:top w:val="single" w:sz="2" w:space="0" w:color="231F20"/>
              <w:left w:val="single" w:sz="2" w:space="0" w:color="231F20"/>
              <w:bottom w:val="single" w:sz="2" w:space="0" w:color="231F20"/>
              <w:right w:val="single" w:sz="2" w:space="0" w:color="231F20"/>
            </w:tcBorders>
            <w:shd w:val="clear" w:color="auto" w:fill="E6E7E8"/>
            <w:vAlign w:val="center"/>
          </w:tcPr>
          <w:p w14:paraId="51006B9B" w14:textId="77777777" w:rsidR="00A07550" w:rsidRPr="00A23800" w:rsidRDefault="00A07550" w:rsidP="00145CC8">
            <w:pPr>
              <w:widowControl w:val="0"/>
              <w:spacing w:before="42" w:after="0" w:line="240" w:lineRule="auto"/>
              <w:ind w:left="107"/>
              <w:rPr>
                <w:rFonts w:ascii="Calibri" w:hAnsi="Calibri" w:cs="Calibri"/>
              </w:rPr>
            </w:pPr>
            <w:r w:rsidRPr="00A23800">
              <w:rPr>
                <w:rFonts w:ascii="Calibri" w:hAnsi="Calibri"/>
                <w:color w:val="231F20"/>
                <w:w w:val="105"/>
              </w:rPr>
              <w:t>Administrative</w:t>
            </w:r>
            <w:r w:rsidRPr="00A23800">
              <w:rPr>
                <w:rFonts w:ascii="Calibri" w:hAnsi="Calibri"/>
                <w:color w:val="231F20"/>
                <w:spacing w:val="-5"/>
                <w:w w:val="105"/>
              </w:rPr>
              <w:t xml:space="preserve"> </w:t>
            </w:r>
            <w:r w:rsidRPr="00A23800">
              <w:rPr>
                <w:rFonts w:ascii="Calibri" w:hAnsi="Calibri"/>
                <w:color w:val="231F20"/>
                <w:w w:val="105"/>
              </w:rPr>
              <w:t>Staff</w:t>
            </w:r>
          </w:p>
        </w:tc>
        <w:tc>
          <w:tcPr>
            <w:tcW w:w="2370" w:type="dxa"/>
            <w:tcBorders>
              <w:top w:val="single" w:sz="2" w:space="0" w:color="231F20"/>
              <w:left w:val="single" w:sz="2" w:space="0" w:color="231F20"/>
              <w:bottom w:val="single" w:sz="2" w:space="0" w:color="231F20"/>
              <w:right w:val="single" w:sz="2" w:space="0" w:color="231F20"/>
            </w:tcBorders>
            <w:shd w:val="clear" w:color="auto" w:fill="E6E7E8"/>
            <w:vAlign w:val="center"/>
          </w:tcPr>
          <w:p w14:paraId="182CFEB0" w14:textId="77777777" w:rsidR="00A07550" w:rsidRPr="00240FC6" w:rsidRDefault="00A07550" w:rsidP="00D63204">
            <w:pPr>
              <w:widowControl w:val="0"/>
              <w:spacing w:before="42" w:after="0" w:line="240" w:lineRule="auto"/>
              <w:ind w:left="107"/>
              <w:rPr>
                <w:rFonts w:ascii="Calibri" w:hAnsi="Calibri" w:cs="Calibri"/>
                <w:color w:val="231F20"/>
                <w:w w:val="95"/>
              </w:rPr>
            </w:pPr>
            <w:r w:rsidRPr="00167512">
              <w:rPr>
                <w:rFonts w:ascii="Calibri" w:hAnsi="Calibri" w:cs="Calibri"/>
                <w:color w:val="231F20"/>
                <w:w w:val="95"/>
              </w:rPr>
              <w:t>191</w:t>
            </w:r>
          </w:p>
        </w:tc>
        <w:tc>
          <w:tcPr>
            <w:tcW w:w="2271" w:type="dxa"/>
            <w:tcBorders>
              <w:top w:val="single" w:sz="2" w:space="0" w:color="231F20"/>
              <w:left w:val="single" w:sz="2" w:space="0" w:color="231F20"/>
              <w:bottom w:val="single" w:sz="2" w:space="0" w:color="231F20"/>
              <w:right w:val="single" w:sz="2" w:space="0" w:color="231F20"/>
            </w:tcBorders>
            <w:shd w:val="clear" w:color="auto" w:fill="E6E7E8"/>
            <w:vAlign w:val="center"/>
          </w:tcPr>
          <w:p w14:paraId="11337690" w14:textId="77777777" w:rsidR="00A07550" w:rsidRPr="00167512" w:rsidRDefault="00A07550" w:rsidP="00D63204">
            <w:pPr>
              <w:widowControl w:val="0"/>
              <w:spacing w:before="42" w:after="0" w:line="240" w:lineRule="auto"/>
              <w:ind w:left="107"/>
              <w:rPr>
                <w:rFonts w:ascii="Calibri" w:hAnsi="Calibri" w:cs="Calibri"/>
              </w:rPr>
            </w:pPr>
            <w:r w:rsidRPr="00167512">
              <w:rPr>
                <w:rFonts w:ascii="Calibri" w:hAnsi="Calibri" w:cs="Calibri"/>
              </w:rPr>
              <w:t>18%</w:t>
            </w:r>
          </w:p>
        </w:tc>
        <w:tc>
          <w:tcPr>
            <w:tcW w:w="2350" w:type="dxa"/>
            <w:tcBorders>
              <w:top w:val="single" w:sz="2" w:space="0" w:color="231F20"/>
              <w:left w:val="single" w:sz="2" w:space="0" w:color="231F20"/>
              <w:bottom w:val="single" w:sz="2" w:space="0" w:color="231F20"/>
              <w:right w:val="single" w:sz="2" w:space="0" w:color="231F20"/>
            </w:tcBorders>
            <w:shd w:val="clear" w:color="auto" w:fill="E6E7E8"/>
            <w:vAlign w:val="center"/>
          </w:tcPr>
          <w:p w14:paraId="7E5836DE" w14:textId="77777777" w:rsidR="00A07550" w:rsidRPr="00167512" w:rsidRDefault="00A07550" w:rsidP="00D63204">
            <w:pPr>
              <w:widowControl w:val="0"/>
              <w:spacing w:before="42" w:after="0" w:line="240" w:lineRule="auto"/>
              <w:ind w:left="107"/>
              <w:rPr>
                <w:rFonts w:ascii="Calibri" w:hAnsi="Calibri" w:cs="Calibri"/>
              </w:rPr>
            </w:pPr>
            <w:r w:rsidRPr="00167512">
              <w:rPr>
                <w:rFonts w:ascii="Calibri" w:hAnsi="Calibri" w:cs="Calibri"/>
              </w:rPr>
              <w:t>34</w:t>
            </w:r>
          </w:p>
        </w:tc>
      </w:tr>
      <w:tr w:rsidR="00A07550" w:rsidRPr="00A23800" w14:paraId="435E7EB5" w14:textId="77777777" w:rsidTr="00145CC8">
        <w:trPr>
          <w:trHeight w:hRule="exact" w:val="350"/>
        </w:trPr>
        <w:tc>
          <w:tcPr>
            <w:tcW w:w="3168" w:type="dxa"/>
            <w:tcBorders>
              <w:top w:val="single" w:sz="2" w:space="0" w:color="231F20"/>
              <w:left w:val="single" w:sz="2" w:space="0" w:color="231F20"/>
              <w:bottom w:val="single" w:sz="2" w:space="0" w:color="000000"/>
              <w:right w:val="single" w:sz="2" w:space="0" w:color="231F20"/>
            </w:tcBorders>
            <w:vAlign w:val="center"/>
          </w:tcPr>
          <w:p w14:paraId="775CA9B2" w14:textId="77777777" w:rsidR="00A07550" w:rsidRPr="00A23800" w:rsidRDefault="00A07550" w:rsidP="00145CC8">
            <w:pPr>
              <w:widowControl w:val="0"/>
              <w:spacing w:before="49" w:after="0" w:line="240" w:lineRule="auto"/>
              <w:ind w:left="107"/>
              <w:rPr>
                <w:rFonts w:ascii="Calibri" w:hAnsi="Calibri" w:cs="Calibri"/>
              </w:rPr>
            </w:pPr>
            <w:r w:rsidRPr="00A23800">
              <w:rPr>
                <w:rFonts w:ascii="Calibri" w:hAnsi="Calibri"/>
                <w:color w:val="231F20"/>
                <w:spacing w:val="-5"/>
                <w:w w:val="105"/>
              </w:rPr>
              <w:t xml:space="preserve">Total </w:t>
            </w:r>
            <w:r w:rsidRPr="00A23800">
              <w:rPr>
                <w:rFonts w:ascii="Calibri" w:hAnsi="Calibri"/>
                <w:color w:val="231F20"/>
                <w:w w:val="105"/>
              </w:rPr>
              <w:t>Full-time</w:t>
            </w:r>
            <w:r w:rsidRPr="00A23800">
              <w:rPr>
                <w:rFonts w:ascii="Calibri" w:hAnsi="Calibri"/>
                <w:color w:val="231F20"/>
                <w:spacing w:val="35"/>
                <w:w w:val="105"/>
              </w:rPr>
              <w:t xml:space="preserve"> </w:t>
            </w:r>
            <w:r w:rsidRPr="00A23800">
              <w:rPr>
                <w:rFonts w:ascii="Calibri" w:hAnsi="Calibri"/>
                <w:color w:val="231F20"/>
                <w:w w:val="105"/>
              </w:rPr>
              <w:t>Equivalents</w:t>
            </w:r>
          </w:p>
        </w:tc>
        <w:tc>
          <w:tcPr>
            <w:tcW w:w="2370" w:type="dxa"/>
            <w:tcBorders>
              <w:top w:val="single" w:sz="2" w:space="0" w:color="231F20"/>
              <w:left w:val="single" w:sz="2" w:space="0" w:color="231F20"/>
              <w:bottom w:val="single" w:sz="2" w:space="0" w:color="000000"/>
              <w:right w:val="single" w:sz="2" w:space="0" w:color="231F20"/>
            </w:tcBorders>
            <w:vAlign w:val="center"/>
          </w:tcPr>
          <w:p w14:paraId="38E6F685" w14:textId="77777777" w:rsidR="00A07550" w:rsidRPr="00240FC6" w:rsidRDefault="00A07550" w:rsidP="00D63204">
            <w:pPr>
              <w:widowControl w:val="0"/>
              <w:spacing w:before="42" w:after="0" w:line="240" w:lineRule="auto"/>
              <w:ind w:left="107"/>
              <w:rPr>
                <w:rFonts w:ascii="Calibri" w:hAnsi="Calibri" w:cs="Calibri"/>
                <w:color w:val="231F20"/>
                <w:w w:val="95"/>
              </w:rPr>
            </w:pPr>
            <w:r w:rsidRPr="00167512">
              <w:rPr>
                <w:rFonts w:ascii="Calibri" w:hAnsi="Calibri" w:cs="Calibri"/>
                <w:color w:val="231F20"/>
                <w:w w:val="95"/>
              </w:rPr>
              <w:t>892</w:t>
            </w:r>
          </w:p>
        </w:tc>
        <w:tc>
          <w:tcPr>
            <w:tcW w:w="2271" w:type="dxa"/>
            <w:tcBorders>
              <w:top w:val="single" w:sz="2" w:space="0" w:color="231F20"/>
              <w:left w:val="single" w:sz="2" w:space="0" w:color="231F20"/>
              <w:bottom w:val="single" w:sz="2" w:space="0" w:color="000000"/>
              <w:right w:val="single" w:sz="2" w:space="0" w:color="231F20"/>
            </w:tcBorders>
            <w:vAlign w:val="center"/>
          </w:tcPr>
          <w:p w14:paraId="0F8C12AD" w14:textId="77777777" w:rsidR="00A07550" w:rsidRPr="00167512" w:rsidRDefault="00A07550" w:rsidP="00D63204">
            <w:pPr>
              <w:widowControl w:val="0"/>
              <w:spacing w:after="0" w:line="240" w:lineRule="auto"/>
              <w:ind w:left="107"/>
              <w:rPr>
                <w:rFonts w:ascii="Calibri" w:hAnsi="Calibri" w:cs="Calibri"/>
              </w:rPr>
            </w:pPr>
          </w:p>
        </w:tc>
        <w:tc>
          <w:tcPr>
            <w:tcW w:w="2350" w:type="dxa"/>
            <w:tcBorders>
              <w:top w:val="single" w:sz="2" w:space="0" w:color="231F20"/>
              <w:left w:val="single" w:sz="2" w:space="0" w:color="231F20"/>
              <w:bottom w:val="single" w:sz="2" w:space="0" w:color="000000"/>
              <w:right w:val="single" w:sz="2" w:space="0" w:color="231F20"/>
            </w:tcBorders>
            <w:vAlign w:val="center"/>
          </w:tcPr>
          <w:p w14:paraId="0BB53FD5" w14:textId="77777777" w:rsidR="00A07550" w:rsidRPr="00167512" w:rsidRDefault="00A07550" w:rsidP="00D63204">
            <w:pPr>
              <w:widowControl w:val="0"/>
              <w:spacing w:after="0" w:line="240" w:lineRule="auto"/>
              <w:ind w:left="107"/>
              <w:rPr>
                <w:rFonts w:ascii="Calibri" w:hAnsi="Calibri" w:cs="Calibri"/>
              </w:rPr>
            </w:pPr>
          </w:p>
        </w:tc>
      </w:tr>
      <w:tr w:rsidR="00A07550" w:rsidRPr="00A23800" w14:paraId="204A06AF" w14:textId="77777777" w:rsidTr="00145CC8">
        <w:trPr>
          <w:trHeight w:hRule="exact" w:val="350"/>
        </w:trPr>
        <w:tc>
          <w:tcPr>
            <w:tcW w:w="3168" w:type="dxa"/>
            <w:tcBorders>
              <w:top w:val="single" w:sz="2" w:space="0" w:color="000000"/>
              <w:left w:val="single" w:sz="2" w:space="0" w:color="000000"/>
              <w:bottom w:val="single" w:sz="2" w:space="0" w:color="000000"/>
              <w:right w:val="single" w:sz="2" w:space="0" w:color="000000"/>
            </w:tcBorders>
            <w:shd w:val="clear" w:color="auto" w:fill="E6E7E8"/>
            <w:vAlign w:val="center"/>
          </w:tcPr>
          <w:p w14:paraId="1B2FC5AA" w14:textId="4CB8410C" w:rsidR="00A07550" w:rsidRPr="00A23800" w:rsidRDefault="00DE31C3" w:rsidP="00145CC8">
            <w:pPr>
              <w:widowControl w:val="0"/>
              <w:spacing w:before="49" w:after="0" w:line="240" w:lineRule="auto"/>
              <w:ind w:left="107"/>
              <w:rPr>
                <w:rFonts w:ascii="Calibri" w:hAnsi="Calibri" w:cs="Calibri"/>
              </w:rPr>
            </w:pPr>
            <w:r w:rsidRPr="00A23800">
              <w:rPr>
                <w:rFonts w:ascii="Calibri" w:hAnsi="Calibri"/>
                <w:color w:val="231F20"/>
                <w:w w:val="105"/>
              </w:rPr>
              <w:t>Contracted Counselor</w:t>
            </w:r>
            <w:r w:rsidR="00A07550" w:rsidRPr="00A23800">
              <w:rPr>
                <w:rFonts w:ascii="Calibri" w:hAnsi="Calibri"/>
                <w:color w:val="231F20"/>
                <w:spacing w:val="21"/>
                <w:w w:val="105"/>
              </w:rPr>
              <w:t xml:space="preserve"> </w:t>
            </w:r>
            <w:r w:rsidR="00A07550" w:rsidRPr="00A23800">
              <w:rPr>
                <w:rFonts w:ascii="Calibri" w:hAnsi="Calibri"/>
                <w:color w:val="231F20"/>
                <w:w w:val="105"/>
              </w:rPr>
              <w:t>Staff</w:t>
            </w:r>
          </w:p>
        </w:tc>
        <w:tc>
          <w:tcPr>
            <w:tcW w:w="2370" w:type="dxa"/>
            <w:tcBorders>
              <w:top w:val="single" w:sz="2" w:space="0" w:color="000000"/>
              <w:left w:val="single" w:sz="2" w:space="0" w:color="000000"/>
              <w:bottom w:val="single" w:sz="2" w:space="0" w:color="000000"/>
              <w:right w:val="single" w:sz="2" w:space="0" w:color="000000"/>
            </w:tcBorders>
            <w:shd w:val="clear" w:color="auto" w:fill="E6E7E8"/>
            <w:vAlign w:val="center"/>
          </w:tcPr>
          <w:p w14:paraId="12BED16B" w14:textId="77777777" w:rsidR="00A07550" w:rsidRPr="00240FC6" w:rsidRDefault="00A07550" w:rsidP="00D63204">
            <w:pPr>
              <w:widowControl w:val="0"/>
              <w:spacing w:before="42" w:after="0" w:line="240" w:lineRule="auto"/>
              <w:ind w:left="107"/>
              <w:rPr>
                <w:rFonts w:ascii="Calibri" w:hAnsi="Calibri" w:cs="Calibri"/>
                <w:color w:val="231F20"/>
                <w:w w:val="95"/>
              </w:rPr>
            </w:pPr>
            <w:r w:rsidRPr="00240FC6">
              <w:rPr>
                <w:rFonts w:ascii="Calibri" w:hAnsi="Calibri" w:cs="Calibri"/>
                <w:color w:val="231F20"/>
                <w:w w:val="95"/>
              </w:rPr>
              <w:t>74</w:t>
            </w:r>
          </w:p>
        </w:tc>
        <w:tc>
          <w:tcPr>
            <w:tcW w:w="2271" w:type="dxa"/>
            <w:tcBorders>
              <w:top w:val="single" w:sz="2" w:space="0" w:color="000000"/>
              <w:left w:val="single" w:sz="2" w:space="0" w:color="000000"/>
              <w:bottom w:val="single" w:sz="2" w:space="0" w:color="000000"/>
              <w:right w:val="single" w:sz="2" w:space="0" w:color="000000"/>
            </w:tcBorders>
            <w:shd w:val="clear" w:color="auto" w:fill="E6E7E8"/>
            <w:vAlign w:val="center"/>
          </w:tcPr>
          <w:p w14:paraId="3D74B45D" w14:textId="77777777" w:rsidR="00A07550" w:rsidRPr="00167512" w:rsidRDefault="00A07550" w:rsidP="00D63204">
            <w:pPr>
              <w:widowControl w:val="0"/>
              <w:spacing w:after="0" w:line="240" w:lineRule="auto"/>
              <w:ind w:left="107"/>
              <w:rPr>
                <w:rFonts w:ascii="Calibri" w:hAnsi="Calibri" w:cs="Calibri"/>
              </w:rPr>
            </w:pPr>
          </w:p>
        </w:tc>
        <w:tc>
          <w:tcPr>
            <w:tcW w:w="2350" w:type="dxa"/>
            <w:tcBorders>
              <w:top w:val="single" w:sz="2" w:space="0" w:color="000000"/>
              <w:left w:val="single" w:sz="2" w:space="0" w:color="000000"/>
              <w:bottom w:val="single" w:sz="2" w:space="0" w:color="000000"/>
              <w:right w:val="single" w:sz="2" w:space="0" w:color="000000"/>
            </w:tcBorders>
            <w:shd w:val="clear" w:color="auto" w:fill="E6E7E8"/>
            <w:vAlign w:val="center"/>
          </w:tcPr>
          <w:p w14:paraId="413819FE" w14:textId="77777777" w:rsidR="00A07550" w:rsidRPr="00167512" w:rsidRDefault="00A07550" w:rsidP="00D63204">
            <w:pPr>
              <w:widowControl w:val="0"/>
              <w:spacing w:after="0" w:line="240" w:lineRule="auto"/>
              <w:ind w:left="107"/>
              <w:rPr>
                <w:rFonts w:ascii="Calibri" w:hAnsi="Calibri" w:cs="Calibri"/>
              </w:rPr>
            </w:pPr>
          </w:p>
        </w:tc>
      </w:tr>
      <w:tr w:rsidR="00A07550" w:rsidRPr="00A23800" w14:paraId="6C44D467" w14:textId="77777777" w:rsidTr="00145CC8">
        <w:trPr>
          <w:trHeight w:hRule="exact" w:val="350"/>
        </w:trPr>
        <w:tc>
          <w:tcPr>
            <w:tcW w:w="3168" w:type="dxa"/>
            <w:tcBorders>
              <w:top w:val="single" w:sz="2" w:space="0" w:color="000000"/>
              <w:left w:val="single" w:sz="2" w:space="0" w:color="231F20"/>
              <w:bottom w:val="single" w:sz="2" w:space="0" w:color="231F20"/>
              <w:right w:val="single" w:sz="2" w:space="0" w:color="231F20"/>
            </w:tcBorders>
            <w:vAlign w:val="center"/>
          </w:tcPr>
          <w:p w14:paraId="52EF2025" w14:textId="1079B10D" w:rsidR="00A07550" w:rsidRPr="00A23800" w:rsidRDefault="00DE31C3" w:rsidP="00145CC8">
            <w:pPr>
              <w:widowControl w:val="0"/>
              <w:spacing w:before="49" w:after="0" w:line="240" w:lineRule="auto"/>
              <w:ind w:left="107"/>
              <w:rPr>
                <w:rFonts w:ascii="Calibri" w:hAnsi="Calibri" w:cs="Calibri"/>
              </w:rPr>
            </w:pPr>
            <w:r w:rsidRPr="00A23800">
              <w:rPr>
                <w:rFonts w:ascii="Calibri" w:hAnsi="Calibri"/>
                <w:color w:val="231F20"/>
                <w:spacing w:val="-5"/>
                <w:w w:val="105"/>
              </w:rPr>
              <w:t>Total Contracted</w:t>
            </w:r>
            <w:r w:rsidR="00A07550" w:rsidRPr="00A23800">
              <w:rPr>
                <w:rFonts w:ascii="Calibri" w:hAnsi="Calibri"/>
                <w:color w:val="231F20"/>
                <w:w w:val="105"/>
              </w:rPr>
              <w:t xml:space="preserve"> Field</w:t>
            </w:r>
            <w:r w:rsidR="00A07550" w:rsidRPr="00A23800">
              <w:rPr>
                <w:rFonts w:ascii="Calibri" w:hAnsi="Calibri"/>
                <w:color w:val="231F20"/>
                <w:spacing w:val="20"/>
                <w:w w:val="105"/>
              </w:rPr>
              <w:t xml:space="preserve"> </w:t>
            </w:r>
            <w:r w:rsidR="00A07550" w:rsidRPr="00A23800">
              <w:rPr>
                <w:rFonts w:ascii="Calibri" w:hAnsi="Calibri"/>
                <w:color w:val="231F20"/>
                <w:w w:val="105"/>
              </w:rPr>
              <w:t>Staff</w:t>
            </w:r>
          </w:p>
        </w:tc>
        <w:tc>
          <w:tcPr>
            <w:tcW w:w="2370" w:type="dxa"/>
            <w:tcBorders>
              <w:top w:val="single" w:sz="2" w:space="0" w:color="000000"/>
              <w:left w:val="single" w:sz="2" w:space="0" w:color="231F20"/>
              <w:bottom w:val="single" w:sz="2" w:space="0" w:color="231F20"/>
              <w:right w:val="single" w:sz="2" w:space="0" w:color="231F20"/>
            </w:tcBorders>
            <w:vAlign w:val="center"/>
          </w:tcPr>
          <w:p w14:paraId="3AB10A9A" w14:textId="77777777" w:rsidR="00A07550" w:rsidRPr="00240FC6" w:rsidRDefault="00A07550" w:rsidP="00D63204">
            <w:pPr>
              <w:widowControl w:val="0"/>
              <w:spacing w:before="42" w:after="0" w:line="240" w:lineRule="auto"/>
              <w:ind w:left="107"/>
              <w:rPr>
                <w:rFonts w:ascii="Calibri" w:hAnsi="Calibri" w:cs="Calibri"/>
                <w:color w:val="231F20"/>
                <w:w w:val="95"/>
              </w:rPr>
            </w:pPr>
            <w:r w:rsidRPr="00240FC6">
              <w:rPr>
                <w:rFonts w:ascii="Calibri" w:hAnsi="Calibri" w:cs="Calibri"/>
                <w:color w:val="231F20"/>
                <w:w w:val="95"/>
              </w:rPr>
              <w:t>148</w:t>
            </w:r>
          </w:p>
        </w:tc>
        <w:tc>
          <w:tcPr>
            <w:tcW w:w="2271" w:type="dxa"/>
            <w:tcBorders>
              <w:top w:val="single" w:sz="2" w:space="0" w:color="000000"/>
              <w:left w:val="single" w:sz="2" w:space="0" w:color="231F20"/>
              <w:bottom w:val="single" w:sz="2" w:space="0" w:color="231F20"/>
              <w:right w:val="single" w:sz="2" w:space="0" w:color="231F20"/>
            </w:tcBorders>
            <w:vAlign w:val="center"/>
          </w:tcPr>
          <w:p w14:paraId="34F083A6" w14:textId="77777777" w:rsidR="00A07550" w:rsidRPr="00167512" w:rsidRDefault="00A07550" w:rsidP="00D63204">
            <w:pPr>
              <w:widowControl w:val="0"/>
              <w:spacing w:after="0" w:line="240" w:lineRule="auto"/>
              <w:ind w:left="107"/>
              <w:rPr>
                <w:rFonts w:ascii="Calibri" w:hAnsi="Calibri" w:cs="Calibri"/>
              </w:rPr>
            </w:pPr>
          </w:p>
        </w:tc>
        <w:tc>
          <w:tcPr>
            <w:tcW w:w="2350" w:type="dxa"/>
            <w:tcBorders>
              <w:top w:val="single" w:sz="2" w:space="0" w:color="000000"/>
              <w:left w:val="single" w:sz="2" w:space="0" w:color="231F20"/>
              <w:bottom w:val="single" w:sz="2" w:space="0" w:color="231F20"/>
              <w:right w:val="single" w:sz="2" w:space="0" w:color="231F20"/>
            </w:tcBorders>
            <w:vAlign w:val="center"/>
          </w:tcPr>
          <w:p w14:paraId="09F738A5" w14:textId="77777777" w:rsidR="00A07550" w:rsidRPr="00167512" w:rsidRDefault="00A07550" w:rsidP="00D63204">
            <w:pPr>
              <w:widowControl w:val="0"/>
              <w:spacing w:after="0" w:line="240" w:lineRule="auto"/>
              <w:ind w:left="107"/>
              <w:rPr>
                <w:rFonts w:ascii="Calibri" w:hAnsi="Calibri" w:cs="Calibri"/>
              </w:rPr>
            </w:pPr>
          </w:p>
        </w:tc>
      </w:tr>
    </w:tbl>
    <w:p w14:paraId="279551AE" w14:textId="130A2807" w:rsidR="00A07550" w:rsidRPr="00A07550" w:rsidRDefault="00A07550" w:rsidP="00D63204">
      <w:pPr>
        <w:widowControl w:val="0"/>
        <w:spacing w:after="0" w:line="240" w:lineRule="auto"/>
        <w:ind w:left="107"/>
        <w:rPr>
          <w:rFonts w:ascii="Calibri" w:hAnsi="Calibri"/>
          <w:sz w:val="20"/>
          <w:szCs w:val="20"/>
        </w:rPr>
      </w:pPr>
      <w:r w:rsidRPr="00A07550">
        <w:rPr>
          <w:rFonts w:ascii="Calibri" w:hAnsi="Calibri"/>
          <w:b/>
          <w:color w:val="231F20"/>
          <w:w w:val="110"/>
          <w:sz w:val="20"/>
          <w:szCs w:val="20"/>
        </w:rPr>
        <w:t>*</w:t>
      </w:r>
      <w:r w:rsidRPr="00A07550">
        <w:rPr>
          <w:rFonts w:ascii="Calibri" w:hAnsi="Calibri"/>
          <w:color w:val="231F20"/>
          <w:w w:val="110"/>
          <w:sz w:val="20"/>
          <w:szCs w:val="20"/>
        </w:rPr>
        <w:t>Categories</w:t>
      </w:r>
      <w:r w:rsidRPr="00A07550">
        <w:rPr>
          <w:rFonts w:ascii="Calibri" w:hAnsi="Calibri"/>
          <w:color w:val="231F20"/>
          <w:spacing w:val="-15"/>
          <w:w w:val="110"/>
          <w:sz w:val="20"/>
          <w:szCs w:val="20"/>
        </w:rPr>
        <w:t xml:space="preserve"> </w:t>
      </w:r>
      <w:r w:rsidRPr="00A07550">
        <w:rPr>
          <w:rFonts w:ascii="Calibri" w:hAnsi="Calibri"/>
          <w:color w:val="231F20"/>
          <w:w w:val="110"/>
          <w:sz w:val="20"/>
          <w:szCs w:val="20"/>
        </w:rPr>
        <w:t>are</w:t>
      </w:r>
      <w:r w:rsidRPr="00A07550">
        <w:rPr>
          <w:rFonts w:ascii="Calibri" w:hAnsi="Calibri"/>
          <w:color w:val="231F20"/>
          <w:spacing w:val="-15"/>
          <w:w w:val="110"/>
          <w:sz w:val="20"/>
          <w:szCs w:val="20"/>
        </w:rPr>
        <w:t xml:space="preserve"> </w:t>
      </w:r>
      <w:r w:rsidRPr="00A07550">
        <w:rPr>
          <w:rFonts w:ascii="Calibri" w:hAnsi="Calibri"/>
          <w:color w:val="231F20"/>
          <w:w w:val="110"/>
          <w:sz w:val="20"/>
          <w:szCs w:val="20"/>
        </w:rPr>
        <w:t>based</w:t>
      </w:r>
      <w:r w:rsidRPr="00A07550">
        <w:rPr>
          <w:rFonts w:ascii="Calibri" w:hAnsi="Calibri"/>
          <w:color w:val="231F20"/>
          <w:spacing w:val="-15"/>
          <w:w w:val="110"/>
          <w:sz w:val="20"/>
          <w:szCs w:val="20"/>
        </w:rPr>
        <w:t xml:space="preserve"> </w:t>
      </w:r>
      <w:r w:rsidRPr="00A07550">
        <w:rPr>
          <w:rFonts w:ascii="Calibri" w:hAnsi="Calibri"/>
          <w:color w:val="231F20"/>
          <w:w w:val="110"/>
          <w:sz w:val="20"/>
          <w:szCs w:val="20"/>
        </w:rPr>
        <w:t>on</w:t>
      </w:r>
      <w:r w:rsidRPr="00A07550">
        <w:rPr>
          <w:rFonts w:ascii="Calibri" w:hAnsi="Calibri"/>
          <w:color w:val="231F20"/>
          <w:spacing w:val="-15"/>
          <w:w w:val="110"/>
          <w:sz w:val="20"/>
          <w:szCs w:val="20"/>
        </w:rPr>
        <w:t xml:space="preserve"> </w:t>
      </w:r>
      <w:r w:rsidRPr="00A07550">
        <w:rPr>
          <w:rFonts w:ascii="Calibri" w:hAnsi="Calibri"/>
          <w:color w:val="231F20"/>
          <w:w w:val="110"/>
          <w:sz w:val="20"/>
          <w:szCs w:val="20"/>
        </w:rPr>
        <w:t>RSA-2</w:t>
      </w:r>
      <w:r w:rsidRPr="00A07550">
        <w:rPr>
          <w:rFonts w:ascii="Calibri" w:hAnsi="Calibri"/>
          <w:color w:val="231F20"/>
          <w:spacing w:val="-15"/>
          <w:w w:val="110"/>
          <w:sz w:val="20"/>
          <w:szCs w:val="20"/>
        </w:rPr>
        <w:t xml:space="preserve"> </w:t>
      </w:r>
      <w:r w:rsidRPr="00A07550">
        <w:rPr>
          <w:rFonts w:ascii="Calibri" w:hAnsi="Calibri"/>
          <w:color w:val="231F20"/>
          <w:w w:val="110"/>
          <w:sz w:val="20"/>
          <w:szCs w:val="20"/>
        </w:rPr>
        <w:t>Report</w:t>
      </w:r>
      <w:r w:rsidRPr="00A07550">
        <w:rPr>
          <w:rFonts w:ascii="Calibri" w:hAnsi="Calibri"/>
          <w:color w:val="231F20"/>
          <w:spacing w:val="-15"/>
          <w:w w:val="110"/>
          <w:sz w:val="20"/>
          <w:szCs w:val="20"/>
        </w:rPr>
        <w:t xml:space="preserve"> </w:t>
      </w:r>
      <w:r w:rsidRPr="00A07550">
        <w:rPr>
          <w:rFonts w:ascii="Calibri" w:hAnsi="Calibri"/>
          <w:color w:val="231F20"/>
          <w:w w:val="110"/>
          <w:sz w:val="20"/>
          <w:szCs w:val="20"/>
        </w:rPr>
        <w:t>definitions</w:t>
      </w:r>
      <w:r w:rsidR="00D5537E">
        <w:rPr>
          <w:rFonts w:ascii="Calibri" w:hAnsi="Calibri"/>
          <w:color w:val="231F20"/>
          <w:w w:val="110"/>
          <w:sz w:val="20"/>
          <w:szCs w:val="20"/>
        </w:rPr>
        <w:t xml:space="preserve"> and</w:t>
      </w:r>
      <w:r w:rsidRPr="00A07550">
        <w:rPr>
          <w:rFonts w:ascii="Calibri" w:hAnsi="Calibri"/>
          <w:color w:val="231F20"/>
          <w:spacing w:val="-15"/>
          <w:w w:val="110"/>
          <w:sz w:val="20"/>
          <w:szCs w:val="20"/>
        </w:rPr>
        <w:t xml:space="preserve"> </w:t>
      </w:r>
      <w:r w:rsidRPr="00A07550">
        <w:rPr>
          <w:rFonts w:ascii="Calibri" w:hAnsi="Calibri"/>
          <w:color w:val="231F20"/>
          <w:w w:val="110"/>
          <w:sz w:val="20"/>
          <w:szCs w:val="20"/>
        </w:rPr>
        <w:t>positions</w:t>
      </w:r>
      <w:r w:rsidRPr="00A07550">
        <w:rPr>
          <w:rFonts w:ascii="Calibri" w:hAnsi="Calibri"/>
          <w:color w:val="231F20"/>
          <w:spacing w:val="-15"/>
          <w:w w:val="110"/>
          <w:sz w:val="20"/>
          <w:szCs w:val="20"/>
        </w:rPr>
        <w:t xml:space="preserve"> </w:t>
      </w:r>
      <w:r w:rsidRPr="00A07550">
        <w:rPr>
          <w:rFonts w:ascii="Calibri" w:hAnsi="Calibri"/>
          <w:color w:val="231F20"/>
          <w:w w:val="110"/>
          <w:sz w:val="20"/>
          <w:szCs w:val="20"/>
        </w:rPr>
        <w:t>included</w:t>
      </w:r>
      <w:r w:rsidRPr="00A07550">
        <w:rPr>
          <w:rFonts w:ascii="Calibri" w:hAnsi="Calibri"/>
          <w:color w:val="231F20"/>
          <w:spacing w:val="-15"/>
          <w:w w:val="110"/>
          <w:sz w:val="20"/>
          <w:szCs w:val="20"/>
        </w:rPr>
        <w:t xml:space="preserve"> </w:t>
      </w:r>
      <w:r w:rsidRPr="00A07550">
        <w:rPr>
          <w:rFonts w:ascii="Calibri" w:hAnsi="Calibri"/>
          <w:color w:val="231F20"/>
          <w:w w:val="110"/>
          <w:sz w:val="20"/>
          <w:szCs w:val="20"/>
        </w:rPr>
        <w:t>in</w:t>
      </w:r>
      <w:r w:rsidRPr="00A07550">
        <w:rPr>
          <w:rFonts w:ascii="Calibri" w:hAnsi="Calibri"/>
          <w:color w:val="231F20"/>
          <w:spacing w:val="-15"/>
          <w:w w:val="110"/>
          <w:sz w:val="20"/>
          <w:szCs w:val="20"/>
        </w:rPr>
        <w:t xml:space="preserve"> </w:t>
      </w:r>
      <w:r w:rsidRPr="00A07550">
        <w:rPr>
          <w:rFonts w:ascii="Calibri" w:hAnsi="Calibri"/>
          <w:color w:val="231F20"/>
          <w:w w:val="110"/>
          <w:sz w:val="20"/>
          <w:szCs w:val="20"/>
        </w:rPr>
        <w:t>each</w:t>
      </w:r>
      <w:r w:rsidRPr="00A07550">
        <w:rPr>
          <w:rFonts w:ascii="Calibri" w:hAnsi="Calibri"/>
          <w:color w:val="231F20"/>
          <w:spacing w:val="-15"/>
          <w:w w:val="110"/>
          <w:sz w:val="20"/>
          <w:szCs w:val="20"/>
        </w:rPr>
        <w:t xml:space="preserve"> </w:t>
      </w:r>
      <w:r w:rsidRPr="00A07550">
        <w:rPr>
          <w:rFonts w:ascii="Calibri" w:hAnsi="Calibri"/>
          <w:color w:val="231F20"/>
          <w:w w:val="110"/>
          <w:sz w:val="20"/>
          <w:szCs w:val="20"/>
        </w:rPr>
        <w:t>category.</w:t>
      </w:r>
    </w:p>
    <w:p w14:paraId="266B472B" w14:textId="77777777" w:rsidR="00A07550" w:rsidRPr="00A07550" w:rsidRDefault="00A07550" w:rsidP="00D63204">
      <w:pPr>
        <w:widowControl w:val="0"/>
        <w:spacing w:before="2" w:after="0" w:line="240" w:lineRule="auto"/>
        <w:ind w:left="107"/>
        <w:rPr>
          <w:rFonts w:ascii="Calibri" w:hAnsi="Calibri"/>
          <w:sz w:val="20"/>
          <w:szCs w:val="20"/>
        </w:rPr>
      </w:pPr>
      <w:r w:rsidRPr="00A07550">
        <w:rPr>
          <w:rFonts w:ascii="Calibri" w:hAnsi="Calibri"/>
          <w:b/>
          <w:color w:val="231F20"/>
          <w:w w:val="105"/>
          <w:sz w:val="20"/>
          <w:szCs w:val="20"/>
        </w:rPr>
        <w:t>**</w:t>
      </w:r>
      <w:r w:rsidRPr="00A07550">
        <w:rPr>
          <w:rFonts w:ascii="Calibri" w:hAnsi="Calibri"/>
          <w:color w:val="231F20"/>
          <w:w w:val="105"/>
          <w:sz w:val="20"/>
          <w:szCs w:val="20"/>
        </w:rPr>
        <w:t>This number is an annual average derived by multiplying the number of positions for the job category</w:t>
      </w:r>
      <w:r w:rsidRPr="00A07550">
        <w:rPr>
          <w:rFonts w:ascii="Calibri" w:hAnsi="Calibri"/>
          <w:color w:val="231F20"/>
          <w:spacing w:val="33"/>
          <w:w w:val="105"/>
          <w:sz w:val="20"/>
          <w:szCs w:val="20"/>
        </w:rPr>
        <w:t xml:space="preserve"> </w:t>
      </w:r>
      <w:r w:rsidRPr="00A07550">
        <w:rPr>
          <w:rFonts w:ascii="Calibri" w:hAnsi="Calibri"/>
          <w:color w:val="231F20"/>
          <w:w w:val="105"/>
          <w:sz w:val="20"/>
          <w:szCs w:val="20"/>
        </w:rPr>
        <w:t>by</w:t>
      </w:r>
      <w:r w:rsidRPr="00A07550">
        <w:rPr>
          <w:rFonts w:ascii="Calibri" w:hAnsi="Calibri"/>
          <w:color w:val="231F20"/>
          <w:w w:val="108"/>
          <w:sz w:val="20"/>
          <w:szCs w:val="20"/>
        </w:rPr>
        <w:t xml:space="preserve"> </w:t>
      </w:r>
      <w:r w:rsidRPr="00A07550">
        <w:rPr>
          <w:rFonts w:ascii="Calibri" w:hAnsi="Calibri"/>
          <w:color w:val="231F20"/>
          <w:w w:val="105"/>
          <w:sz w:val="20"/>
          <w:szCs w:val="20"/>
        </w:rPr>
        <w:t>the percentage of vacated positions.</w:t>
      </w:r>
    </w:p>
    <w:p w14:paraId="7C9616FB" w14:textId="77777777" w:rsidR="00A07550" w:rsidRPr="00A23800" w:rsidRDefault="00A07550" w:rsidP="00D63204">
      <w:pPr>
        <w:widowControl w:val="0"/>
        <w:spacing w:before="195" w:after="0" w:line="240" w:lineRule="auto"/>
        <w:ind w:left="107"/>
        <w:rPr>
          <w:rFonts w:ascii="Calibri" w:hAnsi="Calibri"/>
        </w:rPr>
      </w:pPr>
      <w:r w:rsidRPr="00A23800">
        <w:rPr>
          <w:rFonts w:ascii="Calibri" w:hAnsi="Calibri"/>
          <w:color w:val="231F20"/>
          <w:w w:val="105"/>
        </w:rPr>
        <w:t>Staffing</w:t>
      </w:r>
      <w:r w:rsidRPr="00A23800">
        <w:rPr>
          <w:rFonts w:ascii="Calibri" w:hAnsi="Calibri"/>
          <w:color w:val="231F20"/>
          <w:spacing w:val="14"/>
          <w:w w:val="105"/>
        </w:rPr>
        <w:t xml:space="preserve"> </w:t>
      </w:r>
      <w:r w:rsidRPr="00A23800">
        <w:rPr>
          <w:rFonts w:ascii="Calibri" w:hAnsi="Calibri"/>
          <w:color w:val="231F20"/>
          <w:w w:val="105"/>
        </w:rPr>
        <w:t>needs</w:t>
      </w:r>
      <w:r w:rsidRPr="00A23800">
        <w:rPr>
          <w:rFonts w:ascii="Calibri" w:hAnsi="Calibri"/>
          <w:color w:val="231F20"/>
          <w:spacing w:val="14"/>
          <w:w w:val="105"/>
        </w:rPr>
        <w:t xml:space="preserve"> </w:t>
      </w:r>
      <w:r w:rsidRPr="00A23800">
        <w:rPr>
          <w:rFonts w:ascii="Calibri" w:hAnsi="Calibri"/>
          <w:color w:val="231F20"/>
          <w:w w:val="105"/>
        </w:rPr>
        <w:t>for</w:t>
      </w:r>
      <w:r w:rsidRPr="00A23800">
        <w:rPr>
          <w:rFonts w:ascii="Calibri" w:hAnsi="Calibri"/>
          <w:color w:val="231F20"/>
          <w:spacing w:val="14"/>
          <w:w w:val="105"/>
        </w:rPr>
        <w:t xml:space="preserve"> </w:t>
      </w:r>
      <w:r w:rsidRPr="00A23800">
        <w:rPr>
          <w:rFonts w:ascii="Calibri" w:hAnsi="Calibri"/>
          <w:color w:val="231F20"/>
          <w:w w:val="105"/>
        </w:rPr>
        <w:t>Transition</w:t>
      </w:r>
      <w:r w:rsidRPr="00A23800">
        <w:rPr>
          <w:rFonts w:ascii="Calibri" w:hAnsi="Calibri"/>
          <w:color w:val="231F20"/>
          <w:spacing w:val="14"/>
          <w:w w:val="105"/>
        </w:rPr>
        <w:t xml:space="preserve"> </w:t>
      </w:r>
      <w:r w:rsidRPr="00A23800">
        <w:rPr>
          <w:rFonts w:ascii="Calibri" w:hAnsi="Calibri"/>
          <w:color w:val="231F20"/>
          <w:spacing w:val="-5"/>
          <w:w w:val="105"/>
        </w:rPr>
        <w:t>Youth</w:t>
      </w:r>
      <w:r w:rsidRPr="00A23800">
        <w:rPr>
          <w:rFonts w:ascii="Calibri" w:hAnsi="Calibri"/>
          <w:color w:val="231F20"/>
          <w:spacing w:val="14"/>
          <w:w w:val="105"/>
        </w:rPr>
        <w:t xml:space="preserve"> </w:t>
      </w:r>
      <w:r w:rsidRPr="00A23800">
        <w:rPr>
          <w:rFonts w:ascii="Calibri" w:hAnsi="Calibri"/>
          <w:color w:val="231F20"/>
          <w:w w:val="105"/>
        </w:rPr>
        <w:t>Program</w:t>
      </w:r>
      <w:r w:rsidRPr="00A23800">
        <w:rPr>
          <w:rFonts w:ascii="Calibri" w:hAnsi="Calibri"/>
          <w:color w:val="231F20"/>
          <w:spacing w:val="14"/>
          <w:w w:val="105"/>
        </w:rPr>
        <w:t xml:space="preserve"> </w:t>
      </w:r>
      <w:r w:rsidRPr="00A23800">
        <w:rPr>
          <w:rFonts w:ascii="Calibri" w:hAnsi="Calibri"/>
          <w:color w:val="231F20"/>
          <w:w w:val="105"/>
        </w:rPr>
        <w:t>counselors</w:t>
      </w:r>
      <w:r w:rsidRPr="00A23800">
        <w:rPr>
          <w:rFonts w:ascii="Calibri" w:hAnsi="Calibri"/>
          <w:color w:val="231F20"/>
          <w:spacing w:val="14"/>
          <w:w w:val="105"/>
        </w:rPr>
        <w:t xml:space="preserve"> </w:t>
      </w:r>
      <w:r w:rsidRPr="00A23800">
        <w:rPr>
          <w:rFonts w:ascii="Calibri" w:hAnsi="Calibri"/>
          <w:color w:val="231F20"/>
          <w:w w:val="105"/>
        </w:rPr>
        <w:t>remains</w:t>
      </w:r>
      <w:r w:rsidRPr="00A23800">
        <w:rPr>
          <w:rFonts w:ascii="Calibri" w:hAnsi="Calibri"/>
          <w:color w:val="231F20"/>
          <w:spacing w:val="14"/>
          <w:w w:val="105"/>
        </w:rPr>
        <w:t xml:space="preserve"> </w:t>
      </w:r>
      <w:r w:rsidRPr="00A23800">
        <w:rPr>
          <w:rFonts w:ascii="Calibri" w:hAnsi="Calibri"/>
          <w:color w:val="231F20"/>
          <w:w w:val="105"/>
        </w:rPr>
        <w:t>consistent</w:t>
      </w:r>
      <w:r w:rsidRPr="00A23800">
        <w:rPr>
          <w:rFonts w:ascii="Calibri" w:hAnsi="Calibri"/>
          <w:color w:val="231F20"/>
          <w:spacing w:val="14"/>
          <w:w w:val="105"/>
        </w:rPr>
        <w:t xml:space="preserve"> </w:t>
      </w:r>
      <w:r w:rsidRPr="00A23800">
        <w:rPr>
          <w:rFonts w:ascii="Calibri" w:hAnsi="Calibri"/>
          <w:color w:val="231F20"/>
          <w:w w:val="105"/>
        </w:rPr>
        <w:t>with</w:t>
      </w:r>
      <w:r w:rsidRPr="00A23800">
        <w:rPr>
          <w:rFonts w:ascii="Calibri" w:hAnsi="Calibri"/>
          <w:color w:val="231F20"/>
          <w:spacing w:val="14"/>
          <w:w w:val="105"/>
        </w:rPr>
        <w:t xml:space="preserve"> </w:t>
      </w:r>
      <w:r w:rsidRPr="00A23800">
        <w:rPr>
          <w:rFonts w:ascii="Calibri" w:hAnsi="Calibri"/>
          <w:color w:val="231F20"/>
          <w:w w:val="105"/>
        </w:rPr>
        <w:t>overall</w:t>
      </w:r>
      <w:r w:rsidRPr="00A23800">
        <w:rPr>
          <w:rFonts w:ascii="Calibri" w:hAnsi="Calibri"/>
          <w:color w:val="231F20"/>
          <w:spacing w:val="14"/>
          <w:w w:val="105"/>
        </w:rPr>
        <w:t xml:space="preserve"> </w:t>
      </w:r>
      <w:r w:rsidRPr="00A23800">
        <w:rPr>
          <w:rFonts w:ascii="Calibri" w:hAnsi="Calibri"/>
          <w:color w:val="231F20"/>
          <w:w w:val="105"/>
        </w:rPr>
        <w:t>counselor</w:t>
      </w:r>
      <w:r w:rsidRPr="00A23800">
        <w:rPr>
          <w:rFonts w:ascii="Calibri" w:hAnsi="Calibri"/>
          <w:color w:val="231F20"/>
          <w:spacing w:val="14"/>
          <w:w w:val="105"/>
        </w:rPr>
        <w:t xml:space="preserve"> </w:t>
      </w:r>
      <w:r w:rsidRPr="00A23800">
        <w:rPr>
          <w:rFonts w:ascii="Calibri" w:hAnsi="Calibri"/>
          <w:color w:val="231F20"/>
          <w:w w:val="105"/>
        </w:rPr>
        <w:t>staffing</w:t>
      </w:r>
      <w:r w:rsidRPr="00A23800">
        <w:rPr>
          <w:rFonts w:ascii="Calibri" w:hAnsi="Calibri"/>
          <w:color w:val="231F20"/>
          <w:spacing w:val="-37"/>
          <w:w w:val="105"/>
        </w:rPr>
        <w:t xml:space="preserve"> </w:t>
      </w:r>
      <w:r w:rsidRPr="00A23800">
        <w:rPr>
          <w:rFonts w:ascii="Calibri" w:hAnsi="Calibri"/>
          <w:color w:val="231F20"/>
          <w:w w:val="105"/>
        </w:rPr>
        <w:t>projections. When factoring in population growth, the projected five-year staffing needs are slightly</w:t>
      </w:r>
      <w:r w:rsidRPr="00A23800">
        <w:rPr>
          <w:rFonts w:ascii="Calibri" w:hAnsi="Calibri"/>
          <w:color w:val="231F20"/>
          <w:spacing w:val="40"/>
          <w:w w:val="105"/>
        </w:rPr>
        <w:t xml:space="preserve"> </w:t>
      </w:r>
      <w:r w:rsidRPr="00A23800">
        <w:rPr>
          <w:rFonts w:ascii="Calibri" w:hAnsi="Calibri"/>
          <w:color w:val="231F20"/>
          <w:w w:val="105"/>
        </w:rPr>
        <w:t>higher</w:t>
      </w:r>
      <w:r w:rsidRPr="00A23800">
        <w:rPr>
          <w:rFonts w:ascii="Calibri" w:hAnsi="Calibri"/>
          <w:color w:val="231F20"/>
          <w:w w:val="107"/>
        </w:rPr>
        <w:t xml:space="preserve"> </w:t>
      </w:r>
      <w:r w:rsidRPr="00A23800">
        <w:rPr>
          <w:rFonts w:ascii="Calibri" w:hAnsi="Calibri"/>
          <w:color w:val="231F20"/>
          <w:w w:val="105"/>
        </w:rPr>
        <w:t>than</w:t>
      </w:r>
      <w:r w:rsidRPr="00A23800">
        <w:rPr>
          <w:rFonts w:ascii="Calibri" w:hAnsi="Calibri"/>
          <w:color w:val="231F20"/>
          <w:spacing w:val="8"/>
          <w:w w:val="105"/>
        </w:rPr>
        <w:t xml:space="preserve"> </w:t>
      </w:r>
      <w:r w:rsidRPr="00A23800">
        <w:rPr>
          <w:rFonts w:ascii="Calibri" w:hAnsi="Calibri"/>
          <w:color w:val="231F20"/>
          <w:w w:val="105"/>
        </w:rPr>
        <w:t>noted</w:t>
      </w:r>
      <w:r w:rsidRPr="00A23800">
        <w:rPr>
          <w:rFonts w:ascii="Calibri" w:hAnsi="Calibri"/>
          <w:color w:val="231F20"/>
          <w:spacing w:val="8"/>
          <w:w w:val="105"/>
        </w:rPr>
        <w:t xml:space="preserve"> </w:t>
      </w:r>
      <w:r w:rsidRPr="00A23800">
        <w:rPr>
          <w:rFonts w:ascii="Calibri" w:hAnsi="Calibri"/>
          <w:color w:val="231F20"/>
          <w:w w:val="105"/>
        </w:rPr>
        <w:t>above,</w:t>
      </w:r>
      <w:r w:rsidRPr="00A23800">
        <w:rPr>
          <w:rFonts w:ascii="Calibri" w:hAnsi="Calibri"/>
          <w:color w:val="231F20"/>
          <w:spacing w:val="8"/>
          <w:w w:val="105"/>
        </w:rPr>
        <w:t xml:space="preserve"> </w:t>
      </w:r>
      <w:r w:rsidRPr="00A23800">
        <w:rPr>
          <w:rFonts w:ascii="Calibri" w:hAnsi="Calibri"/>
          <w:color w:val="231F20"/>
          <w:w w:val="105"/>
        </w:rPr>
        <w:t>but</w:t>
      </w:r>
      <w:r w:rsidRPr="00A23800">
        <w:rPr>
          <w:rFonts w:ascii="Calibri" w:hAnsi="Calibri"/>
          <w:color w:val="231F20"/>
          <w:spacing w:val="8"/>
          <w:w w:val="105"/>
        </w:rPr>
        <w:t xml:space="preserve"> </w:t>
      </w:r>
      <w:r w:rsidRPr="00A23800">
        <w:rPr>
          <w:rFonts w:ascii="Calibri" w:hAnsi="Calibri"/>
          <w:color w:val="231F20"/>
          <w:w w:val="105"/>
        </w:rPr>
        <w:t>would</w:t>
      </w:r>
      <w:r w:rsidRPr="00A23800">
        <w:rPr>
          <w:rFonts w:ascii="Calibri" w:hAnsi="Calibri"/>
          <w:color w:val="231F20"/>
          <w:spacing w:val="8"/>
          <w:w w:val="105"/>
        </w:rPr>
        <w:t xml:space="preserve"> </w:t>
      </w:r>
      <w:r w:rsidRPr="00A23800">
        <w:rPr>
          <w:rFonts w:ascii="Calibri" w:hAnsi="Calibri"/>
          <w:color w:val="231F20"/>
          <w:w w:val="105"/>
        </w:rPr>
        <w:t>require</w:t>
      </w:r>
      <w:r w:rsidRPr="00A23800">
        <w:rPr>
          <w:rFonts w:ascii="Calibri" w:hAnsi="Calibri"/>
          <w:color w:val="231F20"/>
          <w:spacing w:val="8"/>
          <w:w w:val="105"/>
        </w:rPr>
        <w:t xml:space="preserve"> </w:t>
      </w:r>
      <w:r w:rsidRPr="00A23800">
        <w:rPr>
          <w:rFonts w:ascii="Calibri" w:hAnsi="Calibri"/>
          <w:color w:val="231F20"/>
          <w:w w:val="105"/>
        </w:rPr>
        <w:t>that</w:t>
      </w:r>
      <w:r w:rsidRPr="00A23800">
        <w:rPr>
          <w:rFonts w:ascii="Calibri" w:hAnsi="Calibri"/>
          <w:color w:val="231F20"/>
          <w:spacing w:val="8"/>
          <w:w w:val="105"/>
        </w:rPr>
        <w:t xml:space="preserve"> </w:t>
      </w:r>
      <w:r w:rsidRPr="00A23800">
        <w:rPr>
          <w:rFonts w:ascii="Calibri" w:hAnsi="Calibri"/>
          <w:color w:val="231F20"/>
          <w:w w:val="105"/>
        </w:rPr>
        <w:t>VR</w:t>
      </w:r>
      <w:r w:rsidRPr="00A23800">
        <w:rPr>
          <w:rFonts w:ascii="Calibri" w:hAnsi="Calibri"/>
          <w:color w:val="231F20"/>
          <w:spacing w:val="8"/>
          <w:w w:val="105"/>
        </w:rPr>
        <w:t xml:space="preserve"> </w:t>
      </w:r>
      <w:r w:rsidRPr="00A23800">
        <w:rPr>
          <w:rFonts w:ascii="Calibri" w:hAnsi="Calibri"/>
          <w:color w:val="231F20"/>
          <w:w w:val="105"/>
        </w:rPr>
        <w:t>be</w:t>
      </w:r>
      <w:r w:rsidRPr="00A23800">
        <w:rPr>
          <w:rFonts w:ascii="Calibri" w:hAnsi="Calibri"/>
          <w:color w:val="231F20"/>
          <w:spacing w:val="8"/>
          <w:w w:val="105"/>
        </w:rPr>
        <w:t xml:space="preserve"> </w:t>
      </w:r>
      <w:r w:rsidRPr="00A23800">
        <w:rPr>
          <w:rFonts w:ascii="Calibri" w:hAnsi="Calibri"/>
          <w:color w:val="231F20"/>
          <w:w w:val="105"/>
        </w:rPr>
        <w:t>provided</w:t>
      </w:r>
      <w:r w:rsidRPr="00A23800">
        <w:rPr>
          <w:rFonts w:ascii="Calibri" w:hAnsi="Calibri"/>
          <w:color w:val="231F20"/>
          <w:spacing w:val="8"/>
          <w:w w:val="105"/>
        </w:rPr>
        <w:t xml:space="preserve"> </w:t>
      </w:r>
      <w:r w:rsidRPr="00A23800">
        <w:rPr>
          <w:rFonts w:ascii="Calibri" w:hAnsi="Calibri"/>
          <w:color w:val="231F20"/>
          <w:w w:val="105"/>
        </w:rPr>
        <w:t>with</w:t>
      </w:r>
      <w:r w:rsidRPr="00A23800">
        <w:rPr>
          <w:rFonts w:ascii="Calibri" w:hAnsi="Calibri"/>
          <w:color w:val="231F20"/>
          <w:spacing w:val="8"/>
          <w:w w:val="105"/>
        </w:rPr>
        <w:t xml:space="preserve"> </w:t>
      </w:r>
      <w:r w:rsidRPr="00A23800">
        <w:rPr>
          <w:rFonts w:ascii="Calibri" w:hAnsi="Calibri"/>
          <w:color w:val="231F20"/>
          <w:w w:val="105"/>
        </w:rPr>
        <w:t>additional</w:t>
      </w:r>
      <w:r w:rsidRPr="00A23800">
        <w:rPr>
          <w:rFonts w:ascii="Calibri" w:hAnsi="Calibri"/>
          <w:color w:val="231F20"/>
          <w:spacing w:val="8"/>
          <w:w w:val="105"/>
        </w:rPr>
        <w:t xml:space="preserve"> </w:t>
      </w:r>
      <w:r w:rsidRPr="00A23800">
        <w:rPr>
          <w:rFonts w:ascii="Calibri" w:hAnsi="Calibri"/>
          <w:color w:val="231F20"/>
          <w:w w:val="105"/>
        </w:rPr>
        <w:t>FTEs.</w:t>
      </w:r>
    </w:p>
    <w:p w14:paraId="24FC9DA3" w14:textId="77777777" w:rsidR="00A07550" w:rsidRPr="00A23800" w:rsidRDefault="00A07550" w:rsidP="00D63204">
      <w:pPr>
        <w:widowControl w:val="0"/>
        <w:spacing w:before="5" w:after="0" w:line="240" w:lineRule="auto"/>
        <w:ind w:left="107"/>
        <w:rPr>
          <w:rFonts w:ascii="Calibri" w:hAnsi="Calibri" w:cs="Calibri"/>
          <w:sz w:val="16"/>
          <w:szCs w:val="16"/>
        </w:rPr>
      </w:pPr>
    </w:p>
    <w:p w14:paraId="0A3832D6" w14:textId="07AE5BCE" w:rsidR="00A07550" w:rsidRPr="008C5953" w:rsidRDefault="00A07550" w:rsidP="00D63204">
      <w:pPr>
        <w:widowControl w:val="0"/>
        <w:spacing w:after="0" w:line="240" w:lineRule="auto"/>
        <w:ind w:left="107"/>
        <w:rPr>
          <w:rFonts w:ascii="Calibri" w:hAnsi="Calibri"/>
        </w:rPr>
      </w:pPr>
      <w:r w:rsidRPr="00A23800">
        <w:rPr>
          <w:rFonts w:ascii="Calibri" w:hAnsi="Calibri"/>
          <w:color w:val="231F20"/>
          <w:w w:val="105"/>
        </w:rPr>
        <w:t xml:space="preserve">The </w:t>
      </w:r>
      <w:r w:rsidRPr="00A23800">
        <w:rPr>
          <w:rFonts w:ascii="Calibri" w:hAnsi="Calibri"/>
          <w:color w:val="231F20"/>
          <w:spacing w:val="-3"/>
          <w:w w:val="105"/>
        </w:rPr>
        <w:t xml:space="preserve">state’s </w:t>
      </w:r>
      <w:r w:rsidRPr="00A23800">
        <w:rPr>
          <w:rFonts w:ascii="Calibri" w:hAnsi="Calibri"/>
          <w:color w:val="231F20"/>
          <w:w w:val="105"/>
        </w:rPr>
        <w:t xml:space="preserve">automated </w:t>
      </w:r>
      <w:r w:rsidRPr="00A23800">
        <w:rPr>
          <w:rFonts w:ascii="Calibri" w:hAnsi="Calibri"/>
          <w:color w:val="231F20"/>
          <w:spacing w:val="-2"/>
          <w:w w:val="105"/>
        </w:rPr>
        <w:t xml:space="preserve">People </w:t>
      </w:r>
      <w:r w:rsidRPr="00A23800">
        <w:rPr>
          <w:rFonts w:ascii="Calibri" w:hAnsi="Calibri"/>
          <w:color w:val="231F20"/>
          <w:w w:val="105"/>
        </w:rPr>
        <w:t>First personnel system maintains employment histories to help</w:t>
      </w:r>
      <w:r w:rsidRPr="00A23800">
        <w:rPr>
          <w:rFonts w:ascii="Calibri" w:hAnsi="Calibri"/>
          <w:color w:val="231F20"/>
          <w:spacing w:val="17"/>
          <w:w w:val="105"/>
        </w:rPr>
        <w:t xml:space="preserve"> </w:t>
      </w:r>
      <w:r w:rsidRPr="00A23800">
        <w:rPr>
          <w:rFonts w:ascii="Calibri" w:hAnsi="Calibri"/>
          <w:color w:val="231F20"/>
          <w:w w:val="105"/>
        </w:rPr>
        <w:t>project</w:t>
      </w:r>
      <w:r w:rsidRPr="00A23800">
        <w:rPr>
          <w:rFonts w:ascii="Calibri" w:hAnsi="Calibri"/>
          <w:color w:val="231F20"/>
          <w:spacing w:val="-2"/>
          <w:w w:val="105"/>
        </w:rPr>
        <w:t xml:space="preserve"> </w:t>
      </w:r>
      <w:r w:rsidRPr="00A23800">
        <w:rPr>
          <w:rFonts w:ascii="Calibri" w:hAnsi="Calibri"/>
          <w:color w:val="231F20"/>
          <w:w w:val="105"/>
        </w:rPr>
        <w:t>human resource needs. The state</w:t>
      </w:r>
      <w:r w:rsidR="00735D01">
        <w:rPr>
          <w:rFonts w:ascii="Calibri" w:hAnsi="Calibri"/>
          <w:color w:val="231F20"/>
          <w:w w:val="105"/>
        </w:rPr>
        <w:t xml:space="preserve"> continues to</w:t>
      </w:r>
      <w:r w:rsidRPr="00A23800">
        <w:rPr>
          <w:rFonts w:ascii="Calibri" w:hAnsi="Calibri"/>
          <w:color w:val="231F20"/>
          <w:w w:val="105"/>
        </w:rPr>
        <w:t xml:space="preserve"> make available a deferred retirement option</w:t>
      </w:r>
      <w:r w:rsidRPr="00A23800">
        <w:rPr>
          <w:rFonts w:ascii="Calibri" w:hAnsi="Calibri"/>
          <w:color w:val="231F20"/>
          <w:spacing w:val="11"/>
          <w:w w:val="105"/>
        </w:rPr>
        <w:t xml:space="preserve"> </w:t>
      </w:r>
      <w:r w:rsidRPr="00A23800">
        <w:rPr>
          <w:rFonts w:ascii="Calibri" w:hAnsi="Calibri"/>
          <w:color w:val="231F20"/>
          <w:w w:val="105"/>
        </w:rPr>
        <w:t>program</w:t>
      </w:r>
      <w:r w:rsidRPr="00A23800">
        <w:rPr>
          <w:rFonts w:ascii="Calibri" w:hAnsi="Calibri"/>
          <w:color w:val="231F20"/>
          <w:spacing w:val="-2"/>
          <w:w w:val="106"/>
        </w:rPr>
        <w:t xml:space="preserve"> </w:t>
      </w:r>
      <w:r w:rsidRPr="00A23800">
        <w:rPr>
          <w:rFonts w:ascii="Calibri" w:hAnsi="Calibri"/>
          <w:color w:val="231F20"/>
          <w:w w:val="105"/>
        </w:rPr>
        <w:t>(DROP) that allows individuals to continue working for the state for five years beyond their</w:t>
      </w:r>
      <w:r w:rsidRPr="00A23800">
        <w:rPr>
          <w:rFonts w:ascii="Calibri" w:hAnsi="Calibri"/>
          <w:color w:val="231F20"/>
          <w:spacing w:val="-20"/>
          <w:w w:val="105"/>
        </w:rPr>
        <w:t xml:space="preserve"> </w:t>
      </w:r>
      <w:r w:rsidRPr="00A23800">
        <w:rPr>
          <w:rFonts w:ascii="Calibri" w:hAnsi="Calibri"/>
          <w:color w:val="231F20"/>
          <w:w w:val="105"/>
        </w:rPr>
        <w:t>original</w:t>
      </w:r>
      <w:r w:rsidRPr="00A23800">
        <w:rPr>
          <w:rFonts w:ascii="Calibri" w:hAnsi="Calibri"/>
          <w:color w:val="231F20"/>
          <w:spacing w:val="-2"/>
          <w:w w:val="106"/>
        </w:rPr>
        <w:t xml:space="preserve"> </w:t>
      </w:r>
      <w:r w:rsidRPr="00A23800">
        <w:rPr>
          <w:rFonts w:ascii="Calibri" w:hAnsi="Calibri"/>
          <w:color w:val="231F20"/>
          <w:w w:val="105"/>
        </w:rPr>
        <w:t>retirement</w:t>
      </w:r>
      <w:r w:rsidRPr="00A23800">
        <w:rPr>
          <w:rFonts w:ascii="Calibri" w:hAnsi="Calibri"/>
          <w:color w:val="231F20"/>
          <w:spacing w:val="-4"/>
          <w:w w:val="105"/>
        </w:rPr>
        <w:t xml:space="preserve"> </w:t>
      </w:r>
      <w:r w:rsidRPr="00A23800">
        <w:rPr>
          <w:rFonts w:ascii="Calibri" w:hAnsi="Calibri"/>
          <w:color w:val="231F20"/>
          <w:w w:val="105"/>
        </w:rPr>
        <w:t>date.</w:t>
      </w:r>
      <w:r w:rsidRPr="00A23800">
        <w:rPr>
          <w:rFonts w:ascii="Calibri" w:hAnsi="Calibri"/>
          <w:color w:val="231F20"/>
          <w:spacing w:val="-4"/>
          <w:w w:val="105"/>
        </w:rPr>
        <w:t xml:space="preserve"> </w:t>
      </w:r>
      <w:r w:rsidRPr="00A23800">
        <w:rPr>
          <w:rFonts w:ascii="Calibri" w:hAnsi="Calibri"/>
          <w:color w:val="231F20"/>
          <w:w w:val="105"/>
        </w:rPr>
        <w:t>Because</w:t>
      </w:r>
      <w:r w:rsidRPr="00A23800">
        <w:rPr>
          <w:rFonts w:ascii="Calibri" w:hAnsi="Calibri"/>
          <w:color w:val="231F20"/>
          <w:spacing w:val="-4"/>
          <w:w w:val="105"/>
        </w:rPr>
        <w:t xml:space="preserve"> </w:t>
      </w:r>
      <w:r w:rsidRPr="00A23800">
        <w:rPr>
          <w:rFonts w:ascii="Calibri" w:hAnsi="Calibri"/>
          <w:color w:val="231F20"/>
          <w:w w:val="105"/>
        </w:rPr>
        <w:t>it</w:t>
      </w:r>
      <w:r w:rsidRPr="00A23800">
        <w:rPr>
          <w:rFonts w:ascii="Calibri" w:hAnsi="Calibri"/>
          <w:color w:val="231F20"/>
          <w:spacing w:val="-4"/>
          <w:w w:val="105"/>
        </w:rPr>
        <w:t xml:space="preserve"> </w:t>
      </w:r>
      <w:r w:rsidRPr="00A23800">
        <w:rPr>
          <w:rFonts w:ascii="Calibri" w:hAnsi="Calibri"/>
          <w:color w:val="231F20"/>
          <w:w w:val="105"/>
        </w:rPr>
        <w:t>is</w:t>
      </w:r>
      <w:r w:rsidRPr="00A23800">
        <w:rPr>
          <w:rFonts w:ascii="Calibri" w:hAnsi="Calibri"/>
          <w:color w:val="231F20"/>
          <w:spacing w:val="-4"/>
          <w:w w:val="105"/>
        </w:rPr>
        <w:t xml:space="preserve"> </w:t>
      </w:r>
      <w:r w:rsidRPr="00A23800">
        <w:rPr>
          <w:rFonts w:ascii="Calibri" w:hAnsi="Calibri"/>
          <w:color w:val="231F20"/>
          <w:w w:val="105"/>
        </w:rPr>
        <w:t>impossible</w:t>
      </w:r>
      <w:r w:rsidRPr="00A23800">
        <w:rPr>
          <w:rFonts w:ascii="Calibri" w:hAnsi="Calibri"/>
          <w:color w:val="231F20"/>
          <w:spacing w:val="-4"/>
          <w:w w:val="105"/>
        </w:rPr>
        <w:t xml:space="preserve"> </w:t>
      </w:r>
      <w:r w:rsidRPr="00A23800">
        <w:rPr>
          <w:rFonts w:ascii="Calibri" w:hAnsi="Calibri"/>
          <w:color w:val="231F20"/>
          <w:w w:val="105"/>
        </w:rPr>
        <w:t>to</w:t>
      </w:r>
      <w:r w:rsidRPr="00A23800">
        <w:rPr>
          <w:rFonts w:ascii="Calibri" w:hAnsi="Calibri"/>
          <w:color w:val="231F20"/>
          <w:spacing w:val="-4"/>
          <w:w w:val="105"/>
        </w:rPr>
        <w:t xml:space="preserve"> </w:t>
      </w:r>
      <w:r w:rsidRPr="00A23800">
        <w:rPr>
          <w:rFonts w:ascii="Calibri" w:hAnsi="Calibri"/>
          <w:color w:val="231F20"/>
          <w:w w:val="105"/>
        </w:rPr>
        <w:t>anticipate</w:t>
      </w:r>
      <w:r w:rsidRPr="00A23800">
        <w:rPr>
          <w:rFonts w:ascii="Calibri" w:hAnsi="Calibri"/>
          <w:color w:val="231F20"/>
          <w:spacing w:val="-4"/>
          <w:w w:val="105"/>
        </w:rPr>
        <w:t xml:space="preserve"> </w:t>
      </w:r>
      <w:r w:rsidRPr="00A23800">
        <w:rPr>
          <w:rFonts w:ascii="Calibri" w:hAnsi="Calibri"/>
          <w:color w:val="231F20"/>
          <w:w w:val="105"/>
        </w:rPr>
        <w:t>how</w:t>
      </w:r>
      <w:r w:rsidRPr="00A23800">
        <w:rPr>
          <w:rFonts w:ascii="Calibri" w:hAnsi="Calibri"/>
          <w:color w:val="231F20"/>
          <w:spacing w:val="-4"/>
          <w:w w:val="105"/>
        </w:rPr>
        <w:t xml:space="preserve"> </w:t>
      </w:r>
      <w:r w:rsidRPr="00A23800">
        <w:rPr>
          <w:rFonts w:ascii="Calibri" w:hAnsi="Calibri"/>
          <w:color w:val="231F20"/>
          <w:w w:val="105"/>
        </w:rPr>
        <w:t>many</w:t>
      </w:r>
      <w:r w:rsidRPr="00A23800">
        <w:rPr>
          <w:rFonts w:ascii="Calibri" w:hAnsi="Calibri"/>
          <w:color w:val="231F20"/>
          <w:spacing w:val="-4"/>
          <w:w w:val="105"/>
        </w:rPr>
        <w:t xml:space="preserve"> </w:t>
      </w:r>
      <w:r w:rsidRPr="00A23800">
        <w:rPr>
          <w:rFonts w:ascii="Calibri" w:hAnsi="Calibri"/>
          <w:color w:val="231F20"/>
          <w:w w:val="105"/>
        </w:rPr>
        <w:t>individuals</w:t>
      </w:r>
      <w:r w:rsidRPr="00A23800">
        <w:rPr>
          <w:rFonts w:ascii="Calibri" w:hAnsi="Calibri"/>
          <w:color w:val="231F20"/>
          <w:spacing w:val="-4"/>
          <w:w w:val="105"/>
        </w:rPr>
        <w:t xml:space="preserve"> </w:t>
      </w:r>
      <w:r w:rsidRPr="00A23800">
        <w:rPr>
          <w:rFonts w:ascii="Calibri" w:hAnsi="Calibri"/>
          <w:color w:val="231F20"/>
          <w:w w:val="105"/>
        </w:rPr>
        <w:t>will</w:t>
      </w:r>
      <w:r w:rsidRPr="00A23800">
        <w:rPr>
          <w:rFonts w:ascii="Calibri" w:hAnsi="Calibri"/>
          <w:color w:val="231F20"/>
          <w:spacing w:val="-4"/>
          <w:w w:val="105"/>
        </w:rPr>
        <w:t xml:space="preserve"> </w:t>
      </w:r>
      <w:r w:rsidRPr="00A23800">
        <w:rPr>
          <w:rFonts w:ascii="Calibri" w:hAnsi="Calibri"/>
          <w:color w:val="231F20"/>
          <w:w w:val="105"/>
        </w:rPr>
        <w:t>accept</w:t>
      </w:r>
      <w:r w:rsidRPr="00A23800">
        <w:rPr>
          <w:rFonts w:ascii="Calibri" w:hAnsi="Calibri"/>
          <w:color w:val="231F20"/>
          <w:spacing w:val="-4"/>
          <w:w w:val="105"/>
        </w:rPr>
        <w:t xml:space="preserve"> </w:t>
      </w:r>
      <w:r w:rsidRPr="00A23800">
        <w:rPr>
          <w:rFonts w:ascii="Calibri" w:hAnsi="Calibri"/>
          <w:color w:val="231F20"/>
          <w:w w:val="105"/>
        </w:rPr>
        <w:t>the</w:t>
      </w:r>
      <w:r w:rsidRPr="00A23800">
        <w:rPr>
          <w:rFonts w:ascii="Calibri" w:hAnsi="Calibri"/>
          <w:color w:val="231F20"/>
          <w:spacing w:val="-4"/>
          <w:w w:val="105"/>
        </w:rPr>
        <w:t xml:space="preserve"> </w:t>
      </w:r>
      <w:r w:rsidRPr="00A23800">
        <w:rPr>
          <w:rFonts w:ascii="Calibri" w:hAnsi="Calibri"/>
          <w:color w:val="231F20"/>
          <w:w w:val="105"/>
        </w:rPr>
        <w:t>deferral</w:t>
      </w:r>
      <w:r w:rsidRPr="00A23800">
        <w:rPr>
          <w:rFonts w:ascii="Calibri" w:hAnsi="Calibri"/>
          <w:color w:val="231F20"/>
          <w:spacing w:val="-4"/>
          <w:w w:val="105"/>
        </w:rPr>
        <w:t xml:space="preserve"> </w:t>
      </w:r>
      <w:r w:rsidRPr="00A23800">
        <w:rPr>
          <w:rFonts w:ascii="Calibri" w:hAnsi="Calibri"/>
          <w:color w:val="231F20"/>
          <w:w w:val="105"/>
        </w:rPr>
        <w:t>option,</w:t>
      </w:r>
      <w:r w:rsidRPr="00A23800">
        <w:rPr>
          <w:rFonts w:ascii="Calibri" w:hAnsi="Calibri"/>
          <w:color w:val="231F20"/>
          <w:spacing w:val="-2"/>
          <w:w w:val="103"/>
        </w:rPr>
        <w:t xml:space="preserve"> </w:t>
      </w:r>
      <w:r w:rsidRPr="008C5953">
        <w:rPr>
          <w:rFonts w:ascii="Calibri" w:hAnsi="Calibri"/>
          <w:color w:val="231F20"/>
          <w:w w:val="105"/>
        </w:rPr>
        <w:t>projecting</w:t>
      </w:r>
      <w:r w:rsidRPr="008C5953">
        <w:rPr>
          <w:rFonts w:ascii="Calibri" w:hAnsi="Calibri"/>
          <w:color w:val="231F20"/>
          <w:spacing w:val="-6"/>
          <w:w w:val="105"/>
        </w:rPr>
        <w:t xml:space="preserve"> </w:t>
      </w:r>
      <w:r w:rsidRPr="008C5953">
        <w:rPr>
          <w:rFonts w:ascii="Calibri" w:hAnsi="Calibri"/>
          <w:color w:val="231F20"/>
          <w:w w:val="105"/>
        </w:rPr>
        <w:t>future</w:t>
      </w:r>
      <w:r w:rsidRPr="008C5953">
        <w:rPr>
          <w:rFonts w:ascii="Calibri" w:hAnsi="Calibri"/>
          <w:color w:val="231F20"/>
          <w:spacing w:val="-6"/>
          <w:w w:val="105"/>
        </w:rPr>
        <w:t xml:space="preserve"> </w:t>
      </w:r>
      <w:r w:rsidRPr="008C5953">
        <w:rPr>
          <w:rFonts w:ascii="Calibri" w:hAnsi="Calibri"/>
          <w:color w:val="231F20"/>
          <w:w w:val="105"/>
        </w:rPr>
        <w:t>employment</w:t>
      </w:r>
      <w:r w:rsidRPr="008C5953">
        <w:rPr>
          <w:rFonts w:ascii="Calibri" w:hAnsi="Calibri"/>
          <w:color w:val="231F20"/>
          <w:spacing w:val="-6"/>
          <w:w w:val="105"/>
        </w:rPr>
        <w:t xml:space="preserve"> </w:t>
      </w:r>
      <w:r w:rsidRPr="008C5953">
        <w:rPr>
          <w:rFonts w:ascii="Calibri" w:hAnsi="Calibri"/>
          <w:color w:val="231F20"/>
          <w:w w:val="105"/>
        </w:rPr>
        <w:t>needs</w:t>
      </w:r>
      <w:r w:rsidRPr="008C5953">
        <w:rPr>
          <w:rFonts w:ascii="Calibri" w:hAnsi="Calibri"/>
          <w:color w:val="231F20"/>
          <w:spacing w:val="-6"/>
          <w:w w:val="105"/>
        </w:rPr>
        <w:t xml:space="preserve"> </w:t>
      </w:r>
      <w:r w:rsidRPr="008C5953">
        <w:rPr>
          <w:rFonts w:ascii="Calibri" w:hAnsi="Calibri"/>
          <w:color w:val="231F20"/>
          <w:w w:val="105"/>
        </w:rPr>
        <w:t>is</w:t>
      </w:r>
      <w:r w:rsidRPr="008C5953">
        <w:rPr>
          <w:rFonts w:ascii="Calibri" w:hAnsi="Calibri"/>
          <w:color w:val="231F20"/>
          <w:spacing w:val="-6"/>
          <w:w w:val="105"/>
        </w:rPr>
        <w:t xml:space="preserve"> </w:t>
      </w:r>
      <w:r w:rsidRPr="008C5953">
        <w:rPr>
          <w:rFonts w:ascii="Calibri" w:hAnsi="Calibri"/>
          <w:color w:val="231F20"/>
          <w:w w:val="105"/>
        </w:rPr>
        <w:t>difficult.</w:t>
      </w:r>
      <w:r w:rsidRPr="008C5953">
        <w:rPr>
          <w:rFonts w:ascii="Calibri" w:hAnsi="Calibri"/>
          <w:color w:val="231F20"/>
          <w:spacing w:val="-6"/>
          <w:w w:val="105"/>
        </w:rPr>
        <w:t xml:space="preserve"> </w:t>
      </w:r>
      <w:r w:rsidRPr="008C5953">
        <w:rPr>
          <w:rFonts w:ascii="Calibri" w:hAnsi="Calibri"/>
          <w:color w:val="231F20"/>
          <w:spacing w:val="-4"/>
          <w:w w:val="105"/>
        </w:rPr>
        <w:t>However,</w:t>
      </w:r>
      <w:r w:rsidRPr="008C5953">
        <w:rPr>
          <w:rFonts w:ascii="Calibri" w:hAnsi="Calibri"/>
          <w:color w:val="231F20"/>
          <w:spacing w:val="-6"/>
          <w:w w:val="105"/>
        </w:rPr>
        <w:t xml:space="preserve"> </w:t>
      </w:r>
      <w:r w:rsidRPr="008C5953">
        <w:rPr>
          <w:rFonts w:ascii="Calibri" w:hAnsi="Calibri"/>
          <w:color w:val="231F20"/>
          <w:w w:val="105"/>
        </w:rPr>
        <w:t>it</w:t>
      </w:r>
      <w:r w:rsidRPr="008C5953">
        <w:rPr>
          <w:rFonts w:ascii="Calibri" w:hAnsi="Calibri"/>
          <w:color w:val="231F20"/>
          <w:spacing w:val="-6"/>
          <w:w w:val="105"/>
        </w:rPr>
        <w:t xml:space="preserve"> </w:t>
      </w:r>
      <w:r w:rsidRPr="008C5953">
        <w:rPr>
          <w:rFonts w:ascii="Calibri" w:hAnsi="Calibri"/>
          <w:color w:val="231F20"/>
          <w:w w:val="105"/>
        </w:rPr>
        <w:t>is</w:t>
      </w:r>
      <w:r w:rsidRPr="008C5953">
        <w:rPr>
          <w:rFonts w:ascii="Calibri" w:hAnsi="Calibri"/>
          <w:color w:val="231F20"/>
          <w:spacing w:val="-6"/>
          <w:w w:val="105"/>
        </w:rPr>
        <w:t xml:space="preserve"> </w:t>
      </w:r>
      <w:r w:rsidRPr="008C5953">
        <w:rPr>
          <w:rFonts w:ascii="Calibri" w:hAnsi="Calibri"/>
          <w:color w:val="231F20"/>
          <w:w w:val="105"/>
        </w:rPr>
        <w:t>known</w:t>
      </w:r>
      <w:r w:rsidRPr="008C5953">
        <w:rPr>
          <w:rFonts w:ascii="Calibri" w:hAnsi="Calibri"/>
          <w:color w:val="231F20"/>
          <w:spacing w:val="-6"/>
          <w:w w:val="105"/>
        </w:rPr>
        <w:t xml:space="preserve"> </w:t>
      </w:r>
      <w:r w:rsidRPr="008C5953">
        <w:rPr>
          <w:rFonts w:ascii="Calibri" w:hAnsi="Calibri"/>
          <w:color w:val="231F20"/>
          <w:w w:val="105"/>
        </w:rPr>
        <w:t>that</w:t>
      </w:r>
      <w:r w:rsidRPr="008C5953">
        <w:rPr>
          <w:rFonts w:ascii="Calibri" w:hAnsi="Calibri"/>
          <w:color w:val="231F20"/>
          <w:spacing w:val="-6"/>
          <w:w w:val="105"/>
        </w:rPr>
        <w:t xml:space="preserve"> </w:t>
      </w:r>
      <w:r w:rsidRPr="008C5953">
        <w:rPr>
          <w:rFonts w:ascii="Calibri" w:hAnsi="Calibri"/>
          <w:color w:val="231F20"/>
          <w:w w:val="105"/>
        </w:rPr>
        <w:t>there</w:t>
      </w:r>
      <w:r w:rsidRPr="008C5953">
        <w:rPr>
          <w:rFonts w:ascii="Calibri" w:hAnsi="Calibri"/>
          <w:color w:val="231F20"/>
          <w:spacing w:val="-6"/>
          <w:w w:val="105"/>
        </w:rPr>
        <w:t xml:space="preserve"> </w:t>
      </w:r>
      <w:r w:rsidRPr="008C5953">
        <w:rPr>
          <w:rFonts w:ascii="Calibri" w:hAnsi="Calibri"/>
          <w:color w:val="231F20"/>
          <w:w w:val="105"/>
        </w:rPr>
        <w:t>are</w:t>
      </w:r>
      <w:r w:rsidRPr="008C5953">
        <w:rPr>
          <w:rFonts w:ascii="Calibri" w:hAnsi="Calibri"/>
          <w:color w:val="231F20"/>
          <w:spacing w:val="-6"/>
          <w:w w:val="105"/>
        </w:rPr>
        <w:t xml:space="preserve"> </w:t>
      </w:r>
      <w:r w:rsidRPr="008C5953">
        <w:rPr>
          <w:rFonts w:ascii="Calibri" w:hAnsi="Calibri"/>
          <w:color w:val="231F20"/>
          <w:w w:val="105"/>
        </w:rPr>
        <w:t>currently</w:t>
      </w:r>
      <w:r w:rsidRPr="008C5953">
        <w:rPr>
          <w:rFonts w:ascii="Calibri" w:hAnsi="Calibri"/>
          <w:color w:val="231F20"/>
          <w:spacing w:val="-6"/>
          <w:w w:val="105"/>
        </w:rPr>
        <w:t xml:space="preserve"> </w:t>
      </w:r>
      <w:r w:rsidRPr="008C5953">
        <w:rPr>
          <w:rFonts w:ascii="Calibri" w:hAnsi="Calibri"/>
          <w:color w:val="231F20"/>
          <w:w w:val="105"/>
        </w:rPr>
        <w:t>58</w:t>
      </w:r>
      <w:r w:rsidRPr="008C5953">
        <w:rPr>
          <w:rFonts w:ascii="Calibri" w:hAnsi="Calibri"/>
          <w:color w:val="231F20"/>
          <w:spacing w:val="-6"/>
          <w:w w:val="105"/>
        </w:rPr>
        <w:t xml:space="preserve"> </w:t>
      </w:r>
      <w:r w:rsidRPr="008C5953">
        <w:rPr>
          <w:rFonts w:ascii="Calibri" w:hAnsi="Calibri"/>
          <w:color w:val="231F20"/>
          <w:w w:val="105"/>
        </w:rPr>
        <w:t>individuals</w:t>
      </w:r>
      <w:r w:rsidRPr="008C5953">
        <w:rPr>
          <w:rFonts w:ascii="Calibri" w:hAnsi="Calibri"/>
          <w:color w:val="231F20"/>
          <w:spacing w:val="-2"/>
          <w:w w:val="106"/>
        </w:rPr>
        <w:t xml:space="preserve"> </w:t>
      </w:r>
      <w:r w:rsidRPr="008C5953">
        <w:rPr>
          <w:rFonts w:ascii="Calibri" w:hAnsi="Calibri"/>
          <w:color w:val="231F20"/>
          <w:w w:val="105"/>
        </w:rPr>
        <w:t xml:space="preserve">in </w:t>
      </w:r>
      <w:r w:rsidRPr="008C5953">
        <w:rPr>
          <w:rFonts w:ascii="Calibri" w:hAnsi="Calibri"/>
          <w:color w:val="231F20"/>
          <w:spacing w:val="-6"/>
          <w:w w:val="105"/>
        </w:rPr>
        <w:t xml:space="preserve">DROP, </w:t>
      </w:r>
      <w:r w:rsidRPr="008C5953">
        <w:rPr>
          <w:rFonts w:ascii="Calibri" w:hAnsi="Calibri"/>
          <w:color w:val="231F20"/>
          <w:w w:val="105"/>
        </w:rPr>
        <w:t>62 individuals with 30 or more years of service</w:t>
      </w:r>
      <w:r w:rsidR="00D5537E">
        <w:rPr>
          <w:rFonts w:ascii="Calibri" w:hAnsi="Calibri"/>
          <w:color w:val="231F20"/>
          <w:w w:val="105"/>
        </w:rPr>
        <w:t xml:space="preserve"> and</w:t>
      </w:r>
      <w:r w:rsidRPr="008C5953">
        <w:rPr>
          <w:rFonts w:ascii="Calibri" w:hAnsi="Calibri"/>
          <w:color w:val="231F20"/>
          <w:w w:val="105"/>
        </w:rPr>
        <w:t xml:space="preserve"> 110 individuals over the age of</w:t>
      </w:r>
      <w:r>
        <w:rPr>
          <w:rFonts w:ascii="Calibri" w:hAnsi="Calibri"/>
          <w:color w:val="231F20"/>
          <w:spacing w:val="49"/>
          <w:w w:val="105"/>
        </w:rPr>
        <w:t xml:space="preserve"> </w:t>
      </w:r>
      <w:r w:rsidRPr="00735D01">
        <w:rPr>
          <w:rFonts w:ascii="Calibri" w:hAnsi="Calibri"/>
          <w:color w:val="231F20"/>
          <w:w w:val="105"/>
        </w:rPr>
        <w:t>62</w:t>
      </w:r>
      <w:r w:rsidRPr="008C5953">
        <w:rPr>
          <w:rFonts w:ascii="Calibri" w:hAnsi="Calibri"/>
          <w:color w:val="231F20"/>
          <w:spacing w:val="-2"/>
          <w:w w:val="105"/>
        </w:rPr>
        <w:t>.</w:t>
      </w:r>
    </w:p>
    <w:p w14:paraId="2902ED32" w14:textId="77777777" w:rsidR="00A07550" w:rsidRPr="008C5953" w:rsidRDefault="00A07550" w:rsidP="00D63204">
      <w:pPr>
        <w:widowControl w:val="0"/>
        <w:spacing w:before="5" w:after="0" w:line="240" w:lineRule="auto"/>
        <w:ind w:left="107"/>
        <w:rPr>
          <w:rFonts w:ascii="Calibri" w:hAnsi="Calibri" w:cs="Calibri"/>
          <w:sz w:val="16"/>
          <w:szCs w:val="16"/>
        </w:rPr>
      </w:pPr>
    </w:p>
    <w:p w14:paraId="70526C81" w14:textId="77777777" w:rsidR="00A07550" w:rsidRPr="00A23800" w:rsidRDefault="00A07550" w:rsidP="00D63204">
      <w:pPr>
        <w:widowControl w:val="0"/>
        <w:spacing w:after="0" w:line="240" w:lineRule="auto"/>
        <w:ind w:left="107"/>
        <w:rPr>
          <w:rFonts w:ascii="Calibri" w:hAnsi="Calibri"/>
        </w:rPr>
      </w:pPr>
      <w:r w:rsidRPr="008C5953">
        <w:rPr>
          <w:rFonts w:ascii="Calibri" w:hAnsi="Calibri"/>
          <w:color w:val="231F20"/>
          <w:w w:val="105"/>
        </w:rPr>
        <w:t>VR</w:t>
      </w:r>
      <w:r w:rsidRPr="008C5953">
        <w:rPr>
          <w:rFonts w:ascii="Calibri" w:hAnsi="Calibri"/>
          <w:color w:val="231F20"/>
          <w:spacing w:val="-5"/>
          <w:w w:val="105"/>
        </w:rPr>
        <w:t xml:space="preserve"> </w:t>
      </w:r>
      <w:r w:rsidRPr="008C5953">
        <w:rPr>
          <w:rFonts w:ascii="Calibri" w:hAnsi="Calibri"/>
          <w:color w:val="231F20"/>
          <w:w w:val="105"/>
        </w:rPr>
        <w:t>collects</w:t>
      </w:r>
      <w:r w:rsidRPr="008C5953">
        <w:rPr>
          <w:rFonts w:ascii="Calibri" w:hAnsi="Calibri"/>
          <w:color w:val="231F20"/>
          <w:spacing w:val="-5"/>
          <w:w w:val="105"/>
        </w:rPr>
        <w:t xml:space="preserve"> </w:t>
      </w:r>
      <w:r w:rsidRPr="008C5953">
        <w:rPr>
          <w:rFonts w:ascii="Calibri" w:hAnsi="Calibri"/>
          <w:color w:val="231F20"/>
          <w:w w:val="105"/>
        </w:rPr>
        <w:t>data</w:t>
      </w:r>
      <w:r w:rsidRPr="008C5953">
        <w:rPr>
          <w:rFonts w:ascii="Calibri" w:hAnsi="Calibri"/>
          <w:color w:val="231F20"/>
          <w:spacing w:val="-5"/>
          <w:w w:val="105"/>
        </w:rPr>
        <w:t xml:space="preserve"> </w:t>
      </w:r>
      <w:r w:rsidRPr="008C5953">
        <w:rPr>
          <w:rFonts w:ascii="Calibri" w:hAnsi="Calibri"/>
          <w:color w:val="231F20"/>
          <w:w w:val="105"/>
        </w:rPr>
        <w:t>from</w:t>
      </w:r>
      <w:r w:rsidRPr="008C5953">
        <w:rPr>
          <w:rFonts w:ascii="Calibri" w:hAnsi="Calibri"/>
          <w:color w:val="231F20"/>
          <w:spacing w:val="-5"/>
          <w:w w:val="105"/>
        </w:rPr>
        <w:t xml:space="preserve"> </w:t>
      </w:r>
      <w:r w:rsidRPr="008C5953">
        <w:rPr>
          <w:rFonts w:ascii="Calibri" w:hAnsi="Calibri"/>
          <w:color w:val="231F20"/>
          <w:w w:val="105"/>
        </w:rPr>
        <w:t>the</w:t>
      </w:r>
      <w:r w:rsidRPr="008C5953">
        <w:rPr>
          <w:rFonts w:ascii="Calibri" w:hAnsi="Calibri"/>
          <w:color w:val="231F20"/>
          <w:spacing w:val="-5"/>
          <w:w w:val="105"/>
        </w:rPr>
        <w:t xml:space="preserve"> </w:t>
      </w:r>
      <w:r w:rsidRPr="008C5953">
        <w:rPr>
          <w:rFonts w:ascii="Calibri" w:hAnsi="Calibri"/>
          <w:color w:val="231F20"/>
          <w:spacing w:val="-3"/>
          <w:w w:val="105"/>
        </w:rPr>
        <w:t>Rehabilitation</w:t>
      </w:r>
      <w:r w:rsidRPr="008C5953">
        <w:rPr>
          <w:rFonts w:ascii="Calibri" w:hAnsi="Calibri"/>
          <w:color w:val="231F20"/>
          <w:spacing w:val="-5"/>
          <w:w w:val="105"/>
        </w:rPr>
        <w:t xml:space="preserve"> </w:t>
      </w:r>
      <w:r w:rsidRPr="008C5953">
        <w:rPr>
          <w:rFonts w:ascii="Calibri" w:hAnsi="Calibri"/>
          <w:color w:val="231F20"/>
          <w:w w:val="105"/>
        </w:rPr>
        <w:t>Information</w:t>
      </w:r>
      <w:r w:rsidRPr="008C5953">
        <w:rPr>
          <w:rFonts w:ascii="Calibri" w:hAnsi="Calibri"/>
          <w:color w:val="231F20"/>
          <w:spacing w:val="-5"/>
          <w:w w:val="105"/>
        </w:rPr>
        <w:t xml:space="preserve"> </w:t>
      </w:r>
      <w:r w:rsidRPr="008C5953">
        <w:rPr>
          <w:rFonts w:ascii="Calibri" w:hAnsi="Calibri"/>
          <w:color w:val="231F20"/>
          <w:w w:val="105"/>
        </w:rPr>
        <w:t>Management</w:t>
      </w:r>
      <w:r w:rsidRPr="008C5953">
        <w:rPr>
          <w:rFonts w:ascii="Calibri" w:hAnsi="Calibri"/>
          <w:color w:val="231F20"/>
          <w:spacing w:val="-5"/>
          <w:w w:val="105"/>
        </w:rPr>
        <w:t xml:space="preserve"> </w:t>
      </w:r>
      <w:r w:rsidRPr="008C5953">
        <w:rPr>
          <w:rFonts w:ascii="Calibri" w:hAnsi="Calibri"/>
          <w:color w:val="231F20"/>
          <w:w w:val="105"/>
        </w:rPr>
        <w:t>System</w:t>
      </w:r>
      <w:r w:rsidRPr="008C5953">
        <w:rPr>
          <w:rFonts w:ascii="Calibri" w:hAnsi="Calibri"/>
          <w:color w:val="231F20"/>
          <w:spacing w:val="-5"/>
          <w:w w:val="105"/>
        </w:rPr>
        <w:t xml:space="preserve"> </w:t>
      </w:r>
      <w:r w:rsidRPr="008C5953">
        <w:rPr>
          <w:rFonts w:ascii="Calibri" w:hAnsi="Calibri"/>
          <w:color w:val="231F20"/>
          <w:w w:val="105"/>
        </w:rPr>
        <w:t>(RIMS)</w:t>
      </w:r>
      <w:r w:rsidRPr="008C5953">
        <w:rPr>
          <w:rFonts w:ascii="Calibri" w:hAnsi="Calibri"/>
          <w:color w:val="231F20"/>
          <w:spacing w:val="-5"/>
          <w:w w:val="105"/>
        </w:rPr>
        <w:t xml:space="preserve"> </w:t>
      </w:r>
      <w:r w:rsidRPr="008C5953">
        <w:rPr>
          <w:rFonts w:ascii="Calibri" w:hAnsi="Calibri"/>
          <w:color w:val="231F20"/>
          <w:w w:val="105"/>
        </w:rPr>
        <w:t>to</w:t>
      </w:r>
      <w:r w:rsidRPr="008C5953">
        <w:rPr>
          <w:rFonts w:ascii="Calibri" w:hAnsi="Calibri"/>
          <w:color w:val="231F20"/>
          <w:spacing w:val="-5"/>
          <w:w w:val="105"/>
        </w:rPr>
        <w:t xml:space="preserve"> </w:t>
      </w:r>
      <w:r w:rsidRPr="008C5953">
        <w:rPr>
          <w:rFonts w:ascii="Calibri" w:hAnsi="Calibri"/>
          <w:color w:val="231F20"/>
          <w:w w:val="105"/>
        </w:rPr>
        <w:t>calculate</w:t>
      </w:r>
      <w:r w:rsidRPr="008C5953">
        <w:rPr>
          <w:rFonts w:ascii="Calibri" w:hAnsi="Calibri"/>
          <w:color w:val="231F20"/>
          <w:spacing w:val="-5"/>
          <w:w w:val="105"/>
        </w:rPr>
        <w:t xml:space="preserve"> </w:t>
      </w:r>
      <w:r w:rsidRPr="008C5953">
        <w:rPr>
          <w:rFonts w:ascii="Calibri" w:hAnsi="Calibri"/>
          <w:color w:val="231F20"/>
          <w:w w:val="105"/>
        </w:rPr>
        <w:t>the</w:t>
      </w:r>
      <w:r w:rsidRPr="008C5953">
        <w:rPr>
          <w:rFonts w:ascii="Calibri" w:hAnsi="Calibri"/>
          <w:color w:val="231F20"/>
          <w:spacing w:val="-5"/>
          <w:w w:val="105"/>
        </w:rPr>
        <w:t xml:space="preserve"> </w:t>
      </w:r>
      <w:r w:rsidRPr="008C5953">
        <w:rPr>
          <w:rFonts w:ascii="Calibri" w:hAnsi="Calibri"/>
          <w:color w:val="231F20"/>
          <w:w w:val="105"/>
        </w:rPr>
        <w:t>counselor-</w:t>
      </w:r>
      <w:r w:rsidRPr="008C5953">
        <w:rPr>
          <w:rFonts w:ascii="Calibri" w:hAnsi="Calibri"/>
          <w:color w:val="231F20"/>
          <w:spacing w:val="-2"/>
          <w:w w:val="107"/>
        </w:rPr>
        <w:t xml:space="preserve"> </w:t>
      </w:r>
      <w:r w:rsidRPr="008C5953">
        <w:rPr>
          <w:rFonts w:ascii="Calibri" w:hAnsi="Calibri"/>
          <w:color w:val="231F20"/>
          <w:w w:val="105"/>
        </w:rPr>
        <w:t>customer ratio. This is another tool for assessing current and projected staffing needs. The average</w:t>
      </w:r>
      <w:r w:rsidRPr="008C5953">
        <w:rPr>
          <w:rFonts w:ascii="Calibri" w:hAnsi="Calibri"/>
          <w:color w:val="231F20"/>
          <w:spacing w:val="4"/>
          <w:w w:val="105"/>
        </w:rPr>
        <w:t xml:space="preserve"> </w:t>
      </w:r>
      <w:r w:rsidRPr="008C5953">
        <w:rPr>
          <w:rFonts w:ascii="Calibri" w:hAnsi="Calibri"/>
          <w:color w:val="231F20"/>
          <w:w w:val="105"/>
        </w:rPr>
        <w:t xml:space="preserve">counselor-customer caseload is </w:t>
      </w:r>
      <w:r w:rsidRPr="008C5953">
        <w:rPr>
          <w:rFonts w:ascii="Calibri" w:hAnsi="Calibri"/>
          <w:color w:val="231F20"/>
          <w:spacing w:val="-3"/>
          <w:w w:val="105"/>
        </w:rPr>
        <w:t xml:space="preserve">1:97 </w:t>
      </w:r>
      <w:r w:rsidRPr="008C5953">
        <w:rPr>
          <w:rFonts w:ascii="Calibri" w:hAnsi="Calibri"/>
          <w:color w:val="231F20"/>
          <w:w w:val="105"/>
        </w:rPr>
        <w:t>in relation to assisting customers from the application phase to</w:t>
      </w:r>
      <w:r w:rsidRPr="008C5953">
        <w:rPr>
          <w:rFonts w:ascii="Calibri" w:hAnsi="Calibri"/>
          <w:color w:val="231F20"/>
          <w:spacing w:val="-11"/>
          <w:w w:val="105"/>
        </w:rPr>
        <w:t xml:space="preserve"> </w:t>
      </w:r>
      <w:r w:rsidRPr="008C5953">
        <w:rPr>
          <w:rFonts w:ascii="Calibri" w:hAnsi="Calibri"/>
          <w:color w:val="231F20"/>
          <w:w w:val="105"/>
        </w:rPr>
        <w:t>case</w:t>
      </w:r>
      <w:r w:rsidRPr="008C5953">
        <w:rPr>
          <w:rFonts w:ascii="Calibri" w:hAnsi="Calibri"/>
          <w:color w:val="231F20"/>
          <w:spacing w:val="-2"/>
          <w:w w:val="114"/>
        </w:rPr>
        <w:t xml:space="preserve"> </w:t>
      </w:r>
      <w:r w:rsidRPr="008C5953">
        <w:rPr>
          <w:rFonts w:ascii="Calibri" w:hAnsi="Calibri"/>
          <w:color w:val="231F20"/>
          <w:w w:val="105"/>
        </w:rPr>
        <w:t>closure. This ratio is based on both regular counselor positions and contracted counselor positions.</w:t>
      </w:r>
    </w:p>
    <w:p w14:paraId="25198CCC" w14:textId="77777777" w:rsidR="00A07550" w:rsidRDefault="00A07550" w:rsidP="00D63204">
      <w:pPr>
        <w:widowControl w:val="0"/>
        <w:spacing w:before="59" w:after="0" w:line="240" w:lineRule="auto"/>
        <w:ind w:left="107"/>
        <w:rPr>
          <w:rFonts w:ascii="Calibri" w:hAnsi="Calibri"/>
          <w:color w:val="231F20"/>
          <w:w w:val="105"/>
        </w:rPr>
      </w:pPr>
    </w:p>
    <w:p w14:paraId="320DF9F5" w14:textId="77777777" w:rsidR="00240694" w:rsidRDefault="00240694">
      <w:pPr>
        <w:rPr>
          <w:rFonts w:ascii="Calibri" w:hAnsi="Calibri"/>
          <w:color w:val="231F20"/>
          <w:w w:val="105"/>
        </w:rPr>
      </w:pPr>
      <w:r>
        <w:rPr>
          <w:rFonts w:ascii="Calibri" w:hAnsi="Calibri"/>
          <w:color w:val="231F20"/>
          <w:w w:val="105"/>
        </w:rPr>
        <w:br w:type="page"/>
      </w:r>
    </w:p>
    <w:p w14:paraId="3A50D8AE" w14:textId="77777777" w:rsidR="00240694" w:rsidRDefault="00240694" w:rsidP="00D63204">
      <w:pPr>
        <w:widowControl w:val="0"/>
        <w:spacing w:before="59" w:after="0" w:line="240" w:lineRule="auto"/>
        <w:ind w:left="107"/>
        <w:rPr>
          <w:rFonts w:ascii="Calibri" w:hAnsi="Calibri"/>
          <w:color w:val="231F20"/>
          <w:w w:val="105"/>
        </w:rPr>
      </w:pPr>
    </w:p>
    <w:p w14:paraId="603B325E" w14:textId="5D3AF834" w:rsidR="00A07550" w:rsidRPr="00A23800" w:rsidRDefault="00A07550" w:rsidP="00D63204">
      <w:pPr>
        <w:widowControl w:val="0"/>
        <w:spacing w:before="59" w:after="0" w:line="240" w:lineRule="auto"/>
        <w:ind w:left="107"/>
        <w:rPr>
          <w:rFonts w:ascii="Calibri" w:hAnsi="Calibri"/>
        </w:rPr>
      </w:pPr>
      <w:r w:rsidRPr="00A23800">
        <w:rPr>
          <w:rFonts w:ascii="Calibri" w:hAnsi="Calibri"/>
          <w:color w:val="231F20"/>
          <w:w w:val="105"/>
        </w:rPr>
        <w:t>VR uses People First and RIMS data, as well as internal reports, to obtain:</w:t>
      </w:r>
    </w:p>
    <w:p w14:paraId="5A082C32" w14:textId="7BB66430" w:rsidR="00A07550" w:rsidRPr="00A07550" w:rsidRDefault="00A07550" w:rsidP="00D63204">
      <w:pPr>
        <w:pStyle w:val="ListParagraph"/>
        <w:widowControl w:val="0"/>
        <w:numPr>
          <w:ilvl w:val="0"/>
          <w:numId w:val="114"/>
        </w:numPr>
        <w:spacing w:before="193" w:after="0" w:line="240" w:lineRule="auto"/>
        <w:rPr>
          <w:rFonts w:ascii="Calibri" w:hAnsi="Calibri" w:cs="Calibri"/>
          <w:color w:val="231F20"/>
        </w:rPr>
      </w:pPr>
      <w:r w:rsidRPr="00A07550">
        <w:rPr>
          <w:rFonts w:ascii="Calibri" w:hAnsi="Calibri"/>
          <w:color w:val="231F20"/>
          <w:w w:val="105"/>
        </w:rPr>
        <w:t>The</w:t>
      </w:r>
      <w:r w:rsidRPr="00A07550">
        <w:rPr>
          <w:rFonts w:ascii="Calibri" w:hAnsi="Calibri"/>
          <w:color w:val="231F20"/>
          <w:spacing w:val="13"/>
          <w:w w:val="105"/>
        </w:rPr>
        <w:t xml:space="preserve"> </w:t>
      </w:r>
      <w:r w:rsidRPr="00A07550">
        <w:rPr>
          <w:rFonts w:ascii="Calibri" w:hAnsi="Calibri"/>
          <w:color w:val="231F20"/>
          <w:w w:val="105"/>
        </w:rPr>
        <w:t>number</w:t>
      </w:r>
      <w:r w:rsidRPr="00A07550">
        <w:rPr>
          <w:rFonts w:ascii="Calibri" w:hAnsi="Calibri"/>
          <w:color w:val="231F20"/>
          <w:spacing w:val="13"/>
          <w:w w:val="105"/>
        </w:rPr>
        <w:t xml:space="preserve"> </w:t>
      </w:r>
      <w:r w:rsidRPr="00A07550">
        <w:rPr>
          <w:rFonts w:ascii="Calibri" w:hAnsi="Calibri"/>
          <w:color w:val="231F20"/>
          <w:w w:val="105"/>
        </w:rPr>
        <w:t>and</w:t>
      </w:r>
      <w:r w:rsidRPr="00A07550">
        <w:rPr>
          <w:rFonts w:ascii="Calibri" w:hAnsi="Calibri"/>
          <w:color w:val="231F20"/>
          <w:spacing w:val="13"/>
          <w:w w:val="105"/>
        </w:rPr>
        <w:t xml:space="preserve"> </w:t>
      </w:r>
      <w:r w:rsidRPr="00A07550">
        <w:rPr>
          <w:rFonts w:ascii="Calibri" w:hAnsi="Calibri"/>
          <w:color w:val="231F20"/>
          <w:w w:val="105"/>
        </w:rPr>
        <w:t>classification</w:t>
      </w:r>
      <w:r w:rsidRPr="00A07550">
        <w:rPr>
          <w:rFonts w:ascii="Calibri" w:hAnsi="Calibri"/>
          <w:color w:val="231F20"/>
          <w:spacing w:val="13"/>
          <w:w w:val="105"/>
        </w:rPr>
        <w:t xml:space="preserve"> </w:t>
      </w:r>
      <w:r w:rsidRPr="00A07550">
        <w:rPr>
          <w:rFonts w:ascii="Calibri" w:hAnsi="Calibri"/>
          <w:color w:val="231F20"/>
          <w:w w:val="105"/>
        </w:rPr>
        <w:t>of</w:t>
      </w:r>
      <w:r w:rsidRPr="00A07550">
        <w:rPr>
          <w:rFonts w:ascii="Calibri" w:hAnsi="Calibri"/>
          <w:color w:val="231F20"/>
          <w:spacing w:val="13"/>
          <w:w w:val="105"/>
        </w:rPr>
        <w:t xml:space="preserve"> </w:t>
      </w:r>
      <w:r w:rsidRPr="00A07550">
        <w:rPr>
          <w:rFonts w:ascii="Calibri" w:hAnsi="Calibri"/>
          <w:color w:val="231F20"/>
          <w:w w:val="105"/>
        </w:rPr>
        <w:t>authorized</w:t>
      </w:r>
      <w:r w:rsidRPr="00A07550">
        <w:rPr>
          <w:rFonts w:ascii="Calibri" w:hAnsi="Calibri"/>
          <w:color w:val="231F20"/>
          <w:spacing w:val="13"/>
          <w:w w:val="105"/>
        </w:rPr>
        <w:t xml:space="preserve"> </w:t>
      </w:r>
      <w:r w:rsidRPr="00A07550">
        <w:rPr>
          <w:rFonts w:ascii="Calibri" w:hAnsi="Calibri"/>
          <w:color w:val="231F20"/>
          <w:w w:val="105"/>
        </w:rPr>
        <w:t>positions</w:t>
      </w:r>
      <w:r w:rsidRPr="00A07550">
        <w:rPr>
          <w:rFonts w:ascii="Calibri" w:hAnsi="Calibri"/>
          <w:color w:val="231F20"/>
          <w:spacing w:val="13"/>
          <w:w w:val="105"/>
        </w:rPr>
        <w:t xml:space="preserve"> </w:t>
      </w:r>
      <w:r w:rsidRPr="00A07550">
        <w:rPr>
          <w:rFonts w:ascii="Calibri" w:hAnsi="Calibri"/>
          <w:color w:val="231F20"/>
          <w:w w:val="105"/>
        </w:rPr>
        <w:t>for</w:t>
      </w:r>
      <w:r w:rsidRPr="00A07550">
        <w:rPr>
          <w:rFonts w:ascii="Calibri" w:hAnsi="Calibri"/>
          <w:color w:val="231F20"/>
          <w:spacing w:val="13"/>
          <w:w w:val="105"/>
        </w:rPr>
        <w:t xml:space="preserve"> </w:t>
      </w:r>
      <w:r w:rsidRPr="00A07550">
        <w:rPr>
          <w:rFonts w:ascii="Calibri" w:hAnsi="Calibri"/>
          <w:color w:val="231F20"/>
          <w:w w:val="105"/>
        </w:rPr>
        <w:t>each</w:t>
      </w:r>
      <w:r w:rsidRPr="00A07550">
        <w:rPr>
          <w:rFonts w:ascii="Calibri" w:hAnsi="Calibri"/>
          <w:color w:val="231F20"/>
          <w:spacing w:val="13"/>
          <w:w w:val="105"/>
        </w:rPr>
        <w:t xml:space="preserve"> </w:t>
      </w:r>
      <w:r w:rsidRPr="00A07550">
        <w:rPr>
          <w:rFonts w:ascii="Calibri" w:hAnsi="Calibri"/>
          <w:color w:val="231F20"/>
          <w:w w:val="105"/>
        </w:rPr>
        <w:t>local</w:t>
      </w:r>
      <w:r w:rsidRPr="00A07550">
        <w:rPr>
          <w:rFonts w:ascii="Calibri" w:hAnsi="Calibri"/>
          <w:color w:val="231F20"/>
          <w:spacing w:val="13"/>
          <w:w w:val="105"/>
        </w:rPr>
        <w:t xml:space="preserve"> </w:t>
      </w:r>
      <w:r w:rsidRPr="00A07550">
        <w:rPr>
          <w:rFonts w:ascii="Calibri" w:hAnsi="Calibri"/>
          <w:color w:val="231F20"/>
          <w:w w:val="105"/>
        </w:rPr>
        <w:t>unit</w:t>
      </w:r>
      <w:r w:rsidRPr="00A07550">
        <w:rPr>
          <w:rFonts w:ascii="Calibri" w:hAnsi="Calibri"/>
          <w:color w:val="231F20"/>
          <w:spacing w:val="13"/>
          <w:w w:val="105"/>
        </w:rPr>
        <w:t xml:space="preserve"> </w:t>
      </w:r>
      <w:r w:rsidRPr="00A07550">
        <w:rPr>
          <w:rFonts w:ascii="Calibri" w:hAnsi="Calibri"/>
          <w:color w:val="231F20"/>
          <w:w w:val="105"/>
        </w:rPr>
        <w:t>and</w:t>
      </w:r>
      <w:r w:rsidRPr="00A07550">
        <w:rPr>
          <w:rFonts w:ascii="Calibri" w:hAnsi="Calibri"/>
          <w:color w:val="231F20"/>
          <w:spacing w:val="13"/>
          <w:w w:val="105"/>
        </w:rPr>
        <w:t xml:space="preserve"> </w:t>
      </w:r>
      <w:r w:rsidRPr="00A07550">
        <w:rPr>
          <w:rFonts w:ascii="Calibri" w:hAnsi="Calibri"/>
          <w:color w:val="231F20"/>
          <w:w w:val="105"/>
        </w:rPr>
        <w:t>state</w:t>
      </w:r>
      <w:r w:rsidRPr="00A07550">
        <w:rPr>
          <w:rFonts w:ascii="Calibri" w:hAnsi="Calibri"/>
          <w:color w:val="231F20"/>
          <w:spacing w:val="13"/>
          <w:w w:val="105"/>
        </w:rPr>
        <w:t xml:space="preserve"> </w:t>
      </w:r>
      <w:r w:rsidRPr="00A07550">
        <w:rPr>
          <w:rFonts w:ascii="Calibri" w:hAnsi="Calibri"/>
          <w:color w:val="231F20"/>
          <w:w w:val="105"/>
        </w:rPr>
        <w:t>headquarters</w:t>
      </w:r>
      <w:r w:rsidRPr="00A07550">
        <w:rPr>
          <w:rFonts w:ascii="Calibri" w:hAnsi="Calibri"/>
          <w:color w:val="231F20"/>
          <w:spacing w:val="13"/>
          <w:w w:val="105"/>
        </w:rPr>
        <w:t xml:space="preserve"> </w:t>
      </w:r>
      <w:r w:rsidRPr="00A07550">
        <w:rPr>
          <w:rFonts w:ascii="Calibri" w:hAnsi="Calibri"/>
          <w:color w:val="231F20"/>
          <w:w w:val="105"/>
        </w:rPr>
        <w:t>in</w:t>
      </w:r>
      <w:r w:rsidRPr="00A07550">
        <w:rPr>
          <w:rFonts w:ascii="Calibri" w:hAnsi="Calibri"/>
          <w:color w:val="231F20"/>
          <w:w w:val="102"/>
        </w:rPr>
        <w:t xml:space="preserve"> </w:t>
      </w:r>
      <w:r w:rsidRPr="00A07550">
        <w:rPr>
          <w:rFonts w:ascii="Calibri" w:hAnsi="Calibri"/>
          <w:color w:val="231F20"/>
          <w:w w:val="105"/>
        </w:rPr>
        <w:t>relation to the number of individuals</w:t>
      </w:r>
      <w:r w:rsidRPr="00A07550">
        <w:rPr>
          <w:rFonts w:ascii="Calibri" w:hAnsi="Calibri"/>
          <w:color w:val="231F20"/>
          <w:spacing w:val="28"/>
          <w:w w:val="105"/>
        </w:rPr>
        <w:t xml:space="preserve"> </w:t>
      </w:r>
      <w:r w:rsidRPr="00A07550">
        <w:rPr>
          <w:rFonts w:ascii="Calibri" w:hAnsi="Calibri"/>
          <w:color w:val="231F20"/>
          <w:w w:val="105"/>
        </w:rPr>
        <w:t>served</w:t>
      </w:r>
    </w:p>
    <w:p w14:paraId="1F2E929B" w14:textId="77777777" w:rsidR="00A07550" w:rsidRPr="00A07550" w:rsidRDefault="00A07550" w:rsidP="00D63204">
      <w:pPr>
        <w:pStyle w:val="ListParagraph"/>
        <w:widowControl w:val="0"/>
        <w:spacing w:before="193" w:after="0" w:line="240" w:lineRule="auto"/>
        <w:ind w:left="827"/>
        <w:rPr>
          <w:rFonts w:ascii="Calibri" w:hAnsi="Calibri" w:cs="Calibri"/>
          <w:color w:val="231F20"/>
        </w:rPr>
      </w:pPr>
    </w:p>
    <w:p w14:paraId="06945129" w14:textId="5483BA85" w:rsidR="00A07550" w:rsidRPr="00A07550" w:rsidRDefault="00A07550" w:rsidP="00D63204">
      <w:pPr>
        <w:pStyle w:val="ListParagraph"/>
        <w:widowControl w:val="0"/>
        <w:numPr>
          <w:ilvl w:val="0"/>
          <w:numId w:val="114"/>
        </w:numPr>
        <w:spacing w:before="90" w:after="0" w:line="240" w:lineRule="auto"/>
        <w:rPr>
          <w:rFonts w:ascii="Calibri" w:hAnsi="Calibri" w:cs="Calibri"/>
          <w:color w:val="231F20"/>
        </w:rPr>
      </w:pPr>
      <w:r w:rsidRPr="00A07550">
        <w:rPr>
          <w:rFonts w:ascii="Calibri" w:hAnsi="Calibri"/>
          <w:color w:val="231F20"/>
          <w:w w:val="105"/>
        </w:rPr>
        <w:t>The</w:t>
      </w:r>
      <w:r w:rsidRPr="00A07550">
        <w:rPr>
          <w:rFonts w:ascii="Calibri" w:hAnsi="Calibri"/>
          <w:color w:val="231F20"/>
          <w:spacing w:val="17"/>
          <w:w w:val="105"/>
        </w:rPr>
        <w:t xml:space="preserve"> </w:t>
      </w:r>
      <w:r w:rsidRPr="00A07550">
        <w:rPr>
          <w:rFonts w:ascii="Calibri" w:hAnsi="Calibri"/>
          <w:color w:val="231F20"/>
          <w:w w:val="105"/>
        </w:rPr>
        <w:t>number</w:t>
      </w:r>
      <w:r w:rsidRPr="00A07550">
        <w:rPr>
          <w:rFonts w:ascii="Calibri" w:hAnsi="Calibri"/>
          <w:color w:val="231F20"/>
          <w:spacing w:val="17"/>
          <w:w w:val="105"/>
        </w:rPr>
        <w:t xml:space="preserve"> </w:t>
      </w:r>
      <w:r w:rsidRPr="00A07550">
        <w:rPr>
          <w:rFonts w:ascii="Calibri" w:hAnsi="Calibri"/>
          <w:color w:val="231F20"/>
          <w:w w:val="105"/>
        </w:rPr>
        <w:t>and</w:t>
      </w:r>
      <w:r w:rsidRPr="00A07550">
        <w:rPr>
          <w:rFonts w:ascii="Calibri" w:hAnsi="Calibri"/>
          <w:color w:val="231F20"/>
          <w:spacing w:val="17"/>
          <w:w w:val="105"/>
        </w:rPr>
        <w:t xml:space="preserve"> </w:t>
      </w:r>
      <w:r w:rsidRPr="00A07550">
        <w:rPr>
          <w:rFonts w:ascii="Calibri" w:hAnsi="Calibri"/>
          <w:color w:val="231F20"/>
          <w:w w:val="105"/>
        </w:rPr>
        <w:t>classification</w:t>
      </w:r>
      <w:r w:rsidRPr="00A07550">
        <w:rPr>
          <w:rFonts w:ascii="Calibri" w:hAnsi="Calibri"/>
          <w:color w:val="231F20"/>
          <w:spacing w:val="17"/>
          <w:w w:val="105"/>
        </w:rPr>
        <w:t xml:space="preserve"> </w:t>
      </w:r>
      <w:r w:rsidRPr="00A07550">
        <w:rPr>
          <w:rFonts w:ascii="Calibri" w:hAnsi="Calibri"/>
          <w:color w:val="231F20"/>
          <w:w w:val="105"/>
        </w:rPr>
        <w:t>of</w:t>
      </w:r>
      <w:r w:rsidRPr="00A07550">
        <w:rPr>
          <w:rFonts w:ascii="Calibri" w:hAnsi="Calibri"/>
          <w:color w:val="231F20"/>
          <w:spacing w:val="17"/>
          <w:w w:val="105"/>
        </w:rPr>
        <w:t xml:space="preserve"> </w:t>
      </w:r>
      <w:r w:rsidRPr="00A07550">
        <w:rPr>
          <w:rFonts w:ascii="Calibri" w:hAnsi="Calibri"/>
          <w:color w:val="231F20"/>
          <w:w w:val="105"/>
        </w:rPr>
        <w:t>personnel</w:t>
      </w:r>
      <w:r w:rsidRPr="00A07550">
        <w:rPr>
          <w:rFonts w:ascii="Calibri" w:hAnsi="Calibri"/>
          <w:color w:val="231F20"/>
          <w:spacing w:val="17"/>
          <w:w w:val="105"/>
        </w:rPr>
        <w:t xml:space="preserve"> </w:t>
      </w:r>
      <w:r w:rsidRPr="00A07550">
        <w:rPr>
          <w:rFonts w:ascii="Calibri" w:hAnsi="Calibri"/>
          <w:color w:val="231F20"/>
          <w:w w:val="105"/>
        </w:rPr>
        <w:t>currently</w:t>
      </w:r>
      <w:r w:rsidRPr="00A07550">
        <w:rPr>
          <w:rFonts w:ascii="Calibri" w:hAnsi="Calibri"/>
          <w:color w:val="231F20"/>
          <w:spacing w:val="17"/>
          <w:w w:val="105"/>
        </w:rPr>
        <w:t xml:space="preserve"> </w:t>
      </w:r>
      <w:r w:rsidRPr="00A07550">
        <w:rPr>
          <w:rFonts w:ascii="Calibri" w:hAnsi="Calibri"/>
          <w:color w:val="231F20"/>
          <w:w w:val="105"/>
        </w:rPr>
        <w:t>needed</w:t>
      </w:r>
      <w:r w:rsidRPr="00A07550">
        <w:rPr>
          <w:rFonts w:ascii="Calibri" w:hAnsi="Calibri"/>
          <w:color w:val="231F20"/>
          <w:spacing w:val="17"/>
          <w:w w:val="105"/>
        </w:rPr>
        <w:t xml:space="preserve"> </w:t>
      </w:r>
      <w:r w:rsidRPr="00A07550">
        <w:rPr>
          <w:rFonts w:ascii="Calibri" w:hAnsi="Calibri"/>
          <w:color w:val="231F20"/>
          <w:w w:val="105"/>
        </w:rPr>
        <w:t>by</w:t>
      </w:r>
      <w:r w:rsidRPr="00A07550">
        <w:rPr>
          <w:rFonts w:ascii="Calibri" w:hAnsi="Calibri"/>
          <w:color w:val="231F20"/>
          <w:spacing w:val="17"/>
          <w:w w:val="105"/>
        </w:rPr>
        <w:t xml:space="preserve"> </w:t>
      </w:r>
      <w:r w:rsidRPr="00A07550">
        <w:rPr>
          <w:rFonts w:ascii="Calibri" w:hAnsi="Calibri"/>
          <w:color w:val="231F20"/>
          <w:w w:val="105"/>
        </w:rPr>
        <w:t>the</w:t>
      </w:r>
      <w:r w:rsidRPr="00A07550">
        <w:rPr>
          <w:rFonts w:ascii="Calibri" w:hAnsi="Calibri"/>
          <w:color w:val="231F20"/>
          <w:spacing w:val="17"/>
          <w:w w:val="105"/>
        </w:rPr>
        <w:t xml:space="preserve"> </w:t>
      </w:r>
      <w:r w:rsidRPr="00A07550">
        <w:rPr>
          <w:rFonts w:ascii="Calibri" w:hAnsi="Calibri"/>
          <w:color w:val="231F20"/>
          <w:w w:val="105"/>
        </w:rPr>
        <w:t>state</w:t>
      </w:r>
      <w:r w:rsidRPr="00A07550">
        <w:rPr>
          <w:rFonts w:ascii="Calibri" w:hAnsi="Calibri"/>
          <w:color w:val="231F20"/>
          <w:spacing w:val="17"/>
          <w:w w:val="105"/>
        </w:rPr>
        <w:t xml:space="preserve"> </w:t>
      </w:r>
      <w:r w:rsidRPr="00A07550">
        <w:rPr>
          <w:rFonts w:ascii="Calibri" w:hAnsi="Calibri"/>
          <w:color w:val="231F20"/>
          <w:w w:val="105"/>
        </w:rPr>
        <w:t>agency</w:t>
      </w:r>
      <w:r w:rsidRPr="00A07550">
        <w:rPr>
          <w:rFonts w:ascii="Calibri" w:hAnsi="Calibri"/>
          <w:color w:val="231F20"/>
          <w:spacing w:val="17"/>
          <w:w w:val="105"/>
        </w:rPr>
        <w:t xml:space="preserve"> </w:t>
      </w:r>
      <w:r w:rsidRPr="00A07550">
        <w:rPr>
          <w:rFonts w:ascii="Calibri" w:hAnsi="Calibri"/>
          <w:color w:val="231F20"/>
          <w:w w:val="105"/>
        </w:rPr>
        <w:t>to</w:t>
      </w:r>
      <w:r w:rsidRPr="00A07550">
        <w:rPr>
          <w:rFonts w:ascii="Calibri" w:hAnsi="Calibri"/>
          <w:color w:val="231F20"/>
          <w:spacing w:val="17"/>
          <w:w w:val="105"/>
        </w:rPr>
        <w:t xml:space="preserve"> </w:t>
      </w:r>
      <w:r w:rsidRPr="00A07550">
        <w:rPr>
          <w:rFonts w:ascii="Calibri" w:hAnsi="Calibri"/>
          <w:color w:val="231F20"/>
          <w:w w:val="105"/>
        </w:rPr>
        <w:t>provide</w:t>
      </w:r>
      <w:r w:rsidRPr="00A07550">
        <w:rPr>
          <w:rFonts w:ascii="Calibri" w:hAnsi="Calibri"/>
          <w:color w:val="231F20"/>
          <w:w w:val="107"/>
        </w:rPr>
        <w:t xml:space="preserve"> </w:t>
      </w:r>
      <w:r w:rsidRPr="00A07550">
        <w:rPr>
          <w:rFonts w:ascii="Calibri" w:hAnsi="Calibri"/>
          <w:color w:val="231F20"/>
          <w:w w:val="105"/>
        </w:rPr>
        <w:t>vocational rehabilitation</w:t>
      </w:r>
      <w:r w:rsidRPr="00A07550">
        <w:rPr>
          <w:rFonts w:ascii="Calibri" w:hAnsi="Calibri"/>
          <w:color w:val="231F20"/>
          <w:spacing w:val="9"/>
          <w:w w:val="105"/>
        </w:rPr>
        <w:t xml:space="preserve"> </w:t>
      </w:r>
      <w:r w:rsidRPr="00A07550">
        <w:rPr>
          <w:rFonts w:ascii="Calibri" w:hAnsi="Calibri"/>
          <w:color w:val="231F20"/>
          <w:w w:val="105"/>
        </w:rPr>
        <w:t>services</w:t>
      </w:r>
    </w:p>
    <w:p w14:paraId="5C97501D" w14:textId="77777777" w:rsidR="00A07550" w:rsidRPr="00A07550" w:rsidRDefault="00A07550" w:rsidP="00D63204">
      <w:pPr>
        <w:pStyle w:val="ListParagraph"/>
        <w:widowControl w:val="0"/>
        <w:spacing w:before="90" w:after="0" w:line="240" w:lineRule="auto"/>
        <w:ind w:left="827"/>
        <w:rPr>
          <w:rFonts w:ascii="Calibri" w:hAnsi="Calibri" w:cs="Calibri"/>
          <w:color w:val="231F20"/>
        </w:rPr>
      </w:pPr>
    </w:p>
    <w:p w14:paraId="02FA40F4" w14:textId="33B28DEC" w:rsidR="00A07550" w:rsidRPr="00A07550" w:rsidRDefault="00A07550" w:rsidP="00D63204">
      <w:pPr>
        <w:pStyle w:val="ListParagraph"/>
        <w:widowControl w:val="0"/>
        <w:numPr>
          <w:ilvl w:val="0"/>
          <w:numId w:val="114"/>
        </w:numPr>
        <w:spacing w:before="90" w:after="0" w:line="240" w:lineRule="auto"/>
        <w:rPr>
          <w:rFonts w:ascii="Calibri" w:hAnsi="Calibri" w:cs="Calibri"/>
          <w:color w:val="231F20"/>
        </w:rPr>
      </w:pPr>
      <w:r w:rsidRPr="00A07550">
        <w:rPr>
          <w:rFonts w:ascii="Calibri" w:hAnsi="Calibri"/>
          <w:color w:val="231F20"/>
          <w:w w:val="105"/>
        </w:rPr>
        <w:t>The</w:t>
      </w:r>
      <w:r w:rsidRPr="00A07550">
        <w:rPr>
          <w:rFonts w:ascii="Calibri" w:hAnsi="Calibri"/>
          <w:color w:val="231F20"/>
          <w:spacing w:val="15"/>
          <w:w w:val="105"/>
        </w:rPr>
        <w:t xml:space="preserve"> </w:t>
      </w:r>
      <w:r w:rsidRPr="00A07550">
        <w:rPr>
          <w:rFonts w:ascii="Calibri" w:hAnsi="Calibri"/>
          <w:color w:val="231F20"/>
          <w:w w:val="105"/>
        </w:rPr>
        <w:t>projected</w:t>
      </w:r>
      <w:r w:rsidRPr="00A07550">
        <w:rPr>
          <w:rFonts w:ascii="Calibri" w:hAnsi="Calibri"/>
          <w:color w:val="231F20"/>
          <w:spacing w:val="15"/>
          <w:w w:val="105"/>
        </w:rPr>
        <w:t xml:space="preserve"> </w:t>
      </w:r>
      <w:r w:rsidRPr="00A07550">
        <w:rPr>
          <w:rFonts w:ascii="Calibri" w:hAnsi="Calibri"/>
          <w:color w:val="231F20"/>
          <w:w w:val="105"/>
        </w:rPr>
        <w:t>number</w:t>
      </w:r>
      <w:r w:rsidRPr="00A07550">
        <w:rPr>
          <w:rFonts w:ascii="Calibri" w:hAnsi="Calibri"/>
          <w:color w:val="231F20"/>
          <w:spacing w:val="15"/>
          <w:w w:val="105"/>
        </w:rPr>
        <w:t xml:space="preserve"> </w:t>
      </w:r>
      <w:r w:rsidRPr="00A07550">
        <w:rPr>
          <w:rFonts w:ascii="Calibri" w:hAnsi="Calibri"/>
          <w:color w:val="231F20"/>
          <w:w w:val="105"/>
        </w:rPr>
        <w:t>and</w:t>
      </w:r>
      <w:r w:rsidRPr="00A07550">
        <w:rPr>
          <w:rFonts w:ascii="Calibri" w:hAnsi="Calibri"/>
          <w:color w:val="231F20"/>
          <w:spacing w:val="15"/>
          <w:w w:val="105"/>
        </w:rPr>
        <w:t xml:space="preserve"> </w:t>
      </w:r>
      <w:r w:rsidRPr="00A07550">
        <w:rPr>
          <w:rFonts w:ascii="Calibri" w:hAnsi="Calibri"/>
          <w:color w:val="231F20"/>
          <w:w w:val="105"/>
        </w:rPr>
        <w:t>classification</w:t>
      </w:r>
      <w:r w:rsidRPr="00A07550">
        <w:rPr>
          <w:rFonts w:ascii="Calibri" w:hAnsi="Calibri"/>
          <w:color w:val="231F20"/>
          <w:spacing w:val="15"/>
          <w:w w:val="105"/>
        </w:rPr>
        <w:t xml:space="preserve"> </w:t>
      </w:r>
      <w:r w:rsidRPr="00A07550">
        <w:rPr>
          <w:rFonts w:ascii="Calibri" w:hAnsi="Calibri"/>
          <w:color w:val="231F20"/>
          <w:w w:val="105"/>
        </w:rPr>
        <w:t>of</w:t>
      </w:r>
      <w:r w:rsidRPr="00A07550">
        <w:rPr>
          <w:rFonts w:ascii="Calibri" w:hAnsi="Calibri"/>
          <w:color w:val="231F20"/>
          <w:spacing w:val="15"/>
          <w:w w:val="105"/>
        </w:rPr>
        <w:t xml:space="preserve"> </w:t>
      </w:r>
      <w:r w:rsidRPr="00A07550">
        <w:rPr>
          <w:rFonts w:ascii="Calibri" w:hAnsi="Calibri"/>
          <w:color w:val="231F20"/>
          <w:w w:val="105"/>
        </w:rPr>
        <w:t>personnel</w:t>
      </w:r>
      <w:r w:rsidRPr="00A07550">
        <w:rPr>
          <w:rFonts w:ascii="Calibri" w:hAnsi="Calibri"/>
          <w:color w:val="231F20"/>
          <w:spacing w:val="15"/>
          <w:w w:val="105"/>
        </w:rPr>
        <w:t xml:space="preserve"> </w:t>
      </w:r>
      <w:r w:rsidRPr="00A07550">
        <w:rPr>
          <w:rFonts w:ascii="Calibri" w:hAnsi="Calibri"/>
          <w:color w:val="231F20"/>
          <w:w w:val="105"/>
        </w:rPr>
        <w:t>who</w:t>
      </w:r>
      <w:r w:rsidRPr="00A07550">
        <w:rPr>
          <w:rFonts w:ascii="Calibri" w:hAnsi="Calibri"/>
          <w:color w:val="231F20"/>
          <w:spacing w:val="15"/>
          <w:w w:val="105"/>
        </w:rPr>
        <w:t xml:space="preserve"> </w:t>
      </w:r>
      <w:r w:rsidRPr="00A07550">
        <w:rPr>
          <w:rFonts w:ascii="Calibri" w:hAnsi="Calibri"/>
          <w:color w:val="231F20"/>
          <w:w w:val="105"/>
        </w:rPr>
        <w:t>will</w:t>
      </w:r>
      <w:r w:rsidRPr="00A07550">
        <w:rPr>
          <w:rFonts w:ascii="Calibri" w:hAnsi="Calibri"/>
          <w:color w:val="231F20"/>
          <w:spacing w:val="15"/>
          <w:w w:val="105"/>
        </w:rPr>
        <w:t xml:space="preserve"> </w:t>
      </w:r>
      <w:r w:rsidRPr="00A07550">
        <w:rPr>
          <w:rFonts w:ascii="Calibri" w:hAnsi="Calibri"/>
          <w:color w:val="231F20"/>
          <w:w w:val="105"/>
        </w:rPr>
        <w:t>be</w:t>
      </w:r>
      <w:r w:rsidRPr="00A07550">
        <w:rPr>
          <w:rFonts w:ascii="Calibri" w:hAnsi="Calibri"/>
          <w:color w:val="231F20"/>
          <w:spacing w:val="15"/>
          <w:w w:val="105"/>
        </w:rPr>
        <w:t xml:space="preserve"> </w:t>
      </w:r>
      <w:r w:rsidRPr="00A07550">
        <w:rPr>
          <w:rFonts w:ascii="Calibri" w:hAnsi="Calibri"/>
          <w:color w:val="231F20"/>
          <w:w w:val="105"/>
        </w:rPr>
        <w:t>needed</w:t>
      </w:r>
      <w:r w:rsidRPr="00A07550">
        <w:rPr>
          <w:rFonts w:ascii="Calibri" w:hAnsi="Calibri"/>
          <w:color w:val="231F20"/>
          <w:spacing w:val="15"/>
          <w:w w:val="105"/>
        </w:rPr>
        <w:t xml:space="preserve"> </w:t>
      </w:r>
      <w:r w:rsidRPr="00A07550">
        <w:rPr>
          <w:rFonts w:ascii="Calibri" w:hAnsi="Calibri"/>
          <w:color w:val="231F20"/>
          <w:w w:val="105"/>
        </w:rPr>
        <w:t>in</w:t>
      </w:r>
      <w:r w:rsidRPr="00A07550">
        <w:rPr>
          <w:rFonts w:ascii="Calibri" w:hAnsi="Calibri"/>
          <w:color w:val="231F20"/>
          <w:spacing w:val="15"/>
          <w:w w:val="105"/>
        </w:rPr>
        <w:t xml:space="preserve"> </w:t>
      </w:r>
      <w:r w:rsidRPr="00A07550">
        <w:rPr>
          <w:rFonts w:ascii="Calibri" w:hAnsi="Calibri"/>
          <w:color w:val="231F20"/>
          <w:w w:val="105"/>
        </w:rPr>
        <w:t>five</w:t>
      </w:r>
      <w:r w:rsidRPr="00A07550">
        <w:rPr>
          <w:rFonts w:ascii="Calibri" w:hAnsi="Calibri"/>
          <w:color w:val="231F20"/>
          <w:spacing w:val="15"/>
          <w:w w:val="105"/>
        </w:rPr>
        <w:t xml:space="preserve"> </w:t>
      </w:r>
      <w:r w:rsidRPr="00A07550">
        <w:rPr>
          <w:rFonts w:ascii="Calibri" w:hAnsi="Calibri"/>
          <w:color w:val="231F20"/>
          <w:w w:val="105"/>
        </w:rPr>
        <w:t>years</w:t>
      </w:r>
      <w:r w:rsidRPr="00A07550">
        <w:rPr>
          <w:rFonts w:ascii="Calibri" w:hAnsi="Calibri"/>
          <w:color w:val="231F20"/>
          <w:spacing w:val="15"/>
          <w:w w:val="105"/>
        </w:rPr>
        <w:t xml:space="preserve"> </w:t>
      </w:r>
      <w:r w:rsidRPr="00A07550">
        <w:rPr>
          <w:rFonts w:ascii="Calibri" w:hAnsi="Calibri"/>
          <w:color w:val="231F20"/>
          <w:w w:val="105"/>
        </w:rPr>
        <w:t>to</w:t>
      </w:r>
      <w:r w:rsidRPr="00A07550">
        <w:rPr>
          <w:rFonts w:ascii="Calibri" w:hAnsi="Calibri"/>
          <w:color w:val="231F20"/>
          <w:spacing w:val="15"/>
          <w:w w:val="105"/>
        </w:rPr>
        <w:t xml:space="preserve"> </w:t>
      </w:r>
      <w:r w:rsidRPr="00A07550">
        <w:rPr>
          <w:rFonts w:ascii="Calibri" w:hAnsi="Calibri"/>
          <w:color w:val="231F20"/>
          <w:w w:val="105"/>
        </w:rPr>
        <w:t>provide</w:t>
      </w:r>
      <w:r w:rsidRPr="00A07550">
        <w:rPr>
          <w:rFonts w:ascii="Calibri" w:hAnsi="Calibri"/>
          <w:color w:val="231F20"/>
          <w:w w:val="107"/>
        </w:rPr>
        <w:t xml:space="preserve"> </w:t>
      </w:r>
      <w:r w:rsidRPr="00A07550">
        <w:rPr>
          <w:rFonts w:ascii="Calibri" w:hAnsi="Calibri"/>
          <w:color w:val="231F20"/>
          <w:w w:val="105"/>
        </w:rPr>
        <w:t>vocational rehabilitation</w:t>
      </w:r>
      <w:r w:rsidRPr="00A07550">
        <w:rPr>
          <w:rFonts w:ascii="Calibri" w:hAnsi="Calibri"/>
          <w:color w:val="231F20"/>
          <w:spacing w:val="9"/>
          <w:w w:val="105"/>
        </w:rPr>
        <w:t xml:space="preserve"> </w:t>
      </w:r>
      <w:r w:rsidRPr="00A07550">
        <w:rPr>
          <w:rFonts w:ascii="Calibri" w:hAnsi="Calibri"/>
          <w:color w:val="231F20"/>
          <w:w w:val="105"/>
        </w:rPr>
        <w:t>services</w:t>
      </w:r>
    </w:p>
    <w:p w14:paraId="63FB62EF" w14:textId="77777777" w:rsidR="00A07550" w:rsidRPr="00A07550" w:rsidRDefault="00A07550" w:rsidP="00D63204">
      <w:pPr>
        <w:pStyle w:val="ListParagraph"/>
        <w:widowControl w:val="0"/>
        <w:spacing w:before="90" w:after="0" w:line="240" w:lineRule="auto"/>
        <w:ind w:left="827"/>
        <w:rPr>
          <w:rFonts w:ascii="Calibri" w:hAnsi="Calibri" w:cs="Calibri"/>
          <w:color w:val="231F20"/>
        </w:rPr>
      </w:pPr>
    </w:p>
    <w:p w14:paraId="559A86D0" w14:textId="5A885B41" w:rsidR="00A07550" w:rsidRPr="00A07550" w:rsidRDefault="00A07550" w:rsidP="00D63204">
      <w:pPr>
        <w:pStyle w:val="ListParagraph"/>
        <w:widowControl w:val="0"/>
        <w:numPr>
          <w:ilvl w:val="0"/>
          <w:numId w:val="114"/>
        </w:numPr>
        <w:spacing w:before="90" w:after="0" w:line="240" w:lineRule="auto"/>
        <w:rPr>
          <w:rFonts w:ascii="Calibri" w:hAnsi="Calibri" w:cs="Calibri"/>
          <w:color w:val="231F20"/>
        </w:rPr>
      </w:pPr>
      <w:r w:rsidRPr="00A07550">
        <w:rPr>
          <w:rFonts w:ascii="Calibri" w:hAnsi="Calibri"/>
          <w:color w:val="231F20"/>
          <w:w w:val="105"/>
        </w:rPr>
        <w:t>The state institutions of higher education that are preparing vocational rehabilitation</w:t>
      </w:r>
      <w:r w:rsidRPr="00A07550">
        <w:rPr>
          <w:rFonts w:ascii="Calibri" w:hAnsi="Calibri"/>
          <w:color w:val="231F20"/>
          <w:spacing w:val="11"/>
          <w:w w:val="105"/>
        </w:rPr>
        <w:t xml:space="preserve"> </w:t>
      </w:r>
      <w:r w:rsidRPr="00A07550">
        <w:rPr>
          <w:rFonts w:ascii="Calibri" w:hAnsi="Calibri"/>
          <w:color w:val="231F20"/>
          <w:w w:val="105"/>
        </w:rPr>
        <w:t>professionals,</w:t>
      </w:r>
      <w:r w:rsidRPr="00A07550">
        <w:rPr>
          <w:rFonts w:ascii="Calibri" w:hAnsi="Calibri"/>
          <w:color w:val="231F20"/>
          <w:w w:val="107"/>
        </w:rPr>
        <w:t xml:space="preserve"> </w:t>
      </w:r>
      <w:r w:rsidRPr="00A07550">
        <w:rPr>
          <w:rFonts w:ascii="Calibri" w:hAnsi="Calibri"/>
          <w:color w:val="231F20"/>
          <w:w w:val="105"/>
        </w:rPr>
        <w:t>by program</w:t>
      </w:r>
      <w:r w:rsidRPr="00A07550">
        <w:rPr>
          <w:rFonts w:ascii="Calibri" w:hAnsi="Calibri"/>
          <w:color w:val="231F20"/>
          <w:spacing w:val="9"/>
          <w:w w:val="105"/>
        </w:rPr>
        <w:t xml:space="preserve"> </w:t>
      </w:r>
      <w:r w:rsidRPr="00A07550">
        <w:rPr>
          <w:rFonts w:ascii="Calibri" w:hAnsi="Calibri"/>
          <w:color w:val="231F20"/>
          <w:w w:val="105"/>
        </w:rPr>
        <w:t>type</w:t>
      </w:r>
    </w:p>
    <w:p w14:paraId="3C21AA46" w14:textId="77777777" w:rsidR="00A07550" w:rsidRPr="00A07550" w:rsidRDefault="00A07550" w:rsidP="00D63204">
      <w:pPr>
        <w:pStyle w:val="ListParagraph"/>
        <w:widowControl w:val="0"/>
        <w:spacing w:before="90" w:after="0" w:line="240" w:lineRule="auto"/>
        <w:ind w:left="827"/>
        <w:rPr>
          <w:rFonts w:ascii="Calibri" w:hAnsi="Calibri" w:cs="Calibri"/>
          <w:color w:val="231F20"/>
        </w:rPr>
      </w:pPr>
    </w:p>
    <w:p w14:paraId="2432BFEB" w14:textId="3FA9DDE8" w:rsidR="00A07550" w:rsidRPr="00A07550" w:rsidRDefault="00A07550" w:rsidP="00D63204">
      <w:pPr>
        <w:pStyle w:val="ListParagraph"/>
        <w:widowControl w:val="0"/>
        <w:numPr>
          <w:ilvl w:val="0"/>
          <w:numId w:val="114"/>
        </w:numPr>
        <w:spacing w:before="91" w:after="0" w:line="240" w:lineRule="auto"/>
        <w:rPr>
          <w:rFonts w:ascii="Calibri" w:hAnsi="Calibri" w:cs="Calibri"/>
          <w:color w:val="231F20"/>
        </w:rPr>
      </w:pPr>
      <w:r w:rsidRPr="00A07550">
        <w:rPr>
          <w:rFonts w:ascii="Calibri" w:hAnsi="Calibri"/>
          <w:color w:val="231F20"/>
          <w:w w:val="105"/>
        </w:rPr>
        <w:t>The number of students in each of these institutions, by program</w:t>
      </w:r>
      <w:r w:rsidRPr="00A07550">
        <w:rPr>
          <w:rFonts w:ascii="Calibri" w:hAnsi="Calibri"/>
          <w:color w:val="231F20"/>
          <w:spacing w:val="7"/>
          <w:w w:val="105"/>
        </w:rPr>
        <w:t xml:space="preserve"> </w:t>
      </w:r>
      <w:r w:rsidRPr="00A07550">
        <w:rPr>
          <w:rFonts w:ascii="Calibri" w:hAnsi="Calibri"/>
          <w:color w:val="231F20"/>
          <w:w w:val="105"/>
        </w:rPr>
        <w:t>type</w:t>
      </w:r>
    </w:p>
    <w:p w14:paraId="72B2E279" w14:textId="77777777" w:rsidR="00A07550" w:rsidRPr="00A07550" w:rsidRDefault="00A07550" w:rsidP="00D63204">
      <w:pPr>
        <w:pStyle w:val="ListParagraph"/>
        <w:widowControl w:val="0"/>
        <w:spacing w:before="91" w:after="0" w:line="240" w:lineRule="auto"/>
        <w:ind w:left="827"/>
        <w:rPr>
          <w:rFonts w:ascii="Calibri" w:hAnsi="Calibri" w:cs="Calibri"/>
          <w:color w:val="231F20"/>
        </w:rPr>
      </w:pPr>
    </w:p>
    <w:p w14:paraId="50ED278D" w14:textId="77777777" w:rsidR="00A07550" w:rsidRPr="00A07550" w:rsidRDefault="00A07550" w:rsidP="00D63204">
      <w:pPr>
        <w:pStyle w:val="ListParagraph"/>
        <w:widowControl w:val="0"/>
        <w:spacing w:before="83" w:after="0" w:line="240" w:lineRule="auto"/>
        <w:ind w:left="107"/>
        <w:rPr>
          <w:rFonts w:ascii="Calibri" w:hAnsi="Calibri"/>
        </w:rPr>
      </w:pPr>
      <w:r w:rsidRPr="00A07550">
        <w:rPr>
          <w:rFonts w:ascii="Calibri" w:hAnsi="Calibri"/>
          <w:color w:val="231F20"/>
          <w:w w:val="105"/>
        </w:rPr>
        <w:t>The number of students graduating from each program and the credentials they have</w:t>
      </w:r>
      <w:r w:rsidRPr="00A07550">
        <w:rPr>
          <w:rFonts w:ascii="Calibri" w:hAnsi="Calibri"/>
          <w:color w:val="231F20"/>
          <w:spacing w:val="33"/>
          <w:w w:val="105"/>
        </w:rPr>
        <w:t xml:space="preserve"> </w:t>
      </w:r>
      <w:r w:rsidRPr="00A07550">
        <w:rPr>
          <w:rFonts w:ascii="Calibri" w:hAnsi="Calibri"/>
          <w:color w:val="231F20"/>
          <w:w w:val="105"/>
        </w:rPr>
        <w:t>received</w:t>
      </w:r>
    </w:p>
    <w:p w14:paraId="35133473" w14:textId="77777777" w:rsidR="00A07550" w:rsidRPr="00A07550" w:rsidRDefault="00A07550" w:rsidP="00A07550">
      <w:pPr>
        <w:pStyle w:val="ListParagraph"/>
        <w:rPr>
          <w:rFonts w:ascii="Calibri" w:hAnsi="Calibri"/>
          <w:color w:val="231F20"/>
          <w:w w:val="105"/>
        </w:rPr>
      </w:pPr>
    </w:p>
    <w:p w14:paraId="0050FFC9" w14:textId="23AA413B" w:rsidR="00A07550" w:rsidRPr="00A07550" w:rsidRDefault="00366711" w:rsidP="00D63204">
      <w:pPr>
        <w:pStyle w:val="ListParagraph"/>
        <w:widowControl w:val="0"/>
        <w:spacing w:after="0" w:line="240" w:lineRule="auto"/>
        <w:ind w:left="107"/>
        <w:rPr>
          <w:rFonts w:ascii="Calibri" w:hAnsi="Calibri"/>
        </w:rPr>
      </w:pPr>
      <w:r>
        <w:rPr>
          <w:rFonts w:ascii="Calibri" w:hAnsi="Calibri"/>
          <w:color w:val="231F20"/>
          <w:w w:val="105"/>
        </w:rPr>
        <w:t>T</w:t>
      </w:r>
      <w:r w:rsidR="00A07550" w:rsidRPr="00A07550">
        <w:rPr>
          <w:rFonts w:ascii="Calibri" w:hAnsi="Calibri"/>
          <w:color w:val="231F20"/>
          <w:w w:val="105"/>
        </w:rPr>
        <w:t>o</w:t>
      </w:r>
      <w:r w:rsidR="00A07550" w:rsidRPr="00A07550">
        <w:rPr>
          <w:rFonts w:ascii="Calibri" w:hAnsi="Calibri"/>
          <w:color w:val="231F20"/>
          <w:spacing w:val="13"/>
          <w:w w:val="105"/>
        </w:rPr>
        <w:t xml:space="preserve"> </w:t>
      </w:r>
      <w:r w:rsidR="00A07550" w:rsidRPr="00A07550">
        <w:rPr>
          <w:rFonts w:ascii="Calibri" w:hAnsi="Calibri"/>
          <w:color w:val="231F20"/>
          <w:w w:val="105"/>
        </w:rPr>
        <w:t>ensure</w:t>
      </w:r>
      <w:r w:rsidR="00A07550" w:rsidRPr="00A07550">
        <w:rPr>
          <w:rFonts w:ascii="Calibri" w:hAnsi="Calibri"/>
          <w:color w:val="231F20"/>
          <w:spacing w:val="13"/>
          <w:w w:val="105"/>
        </w:rPr>
        <w:t xml:space="preserve"> </w:t>
      </w:r>
      <w:r w:rsidR="00A07550" w:rsidRPr="00A07550">
        <w:rPr>
          <w:rFonts w:ascii="Calibri" w:hAnsi="Calibri"/>
          <w:color w:val="231F20"/>
          <w:w w:val="105"/>
        </w:rPr>
        <w:t>the</w:t>
      </w:r>
      <w:r w:rsidR="00A07550" w:rsidRPr="00A07550">
        <w:rPr>
          <w:rFonts w:ascii="Calibri" w:hAnsi="Calibri"/>
          <w:color w:val="231F20"/>
          <w:spacing w:val="13"/>
          <w:w w:val="105"/>
        </w:rPr>
        <w:t xml:space="preserve"> </w:t>
      </w:r>
      <w:r w:rsidR="00A07550" w:rsidRPr="00A07550">
        <w:rPr>
          <w:rFonts w:ascii="Calibri" w:hAnsi="Calibri"/>
          <w:color w:val="231F20"/>
          <w:w w:val="105"/>
        </w:rPr>
        <w:t>continuity</w:t>
      </w:r>
      <w:r w:rsidR="00A07550" w:rsidRPr="00A07550">
        <w:rPr>
          <w:rFonts w:ascii="Calibri" w:hAnsi="Calibri"/>
          <w:color w:val="231F20"/>
          <w:spacing w:val="13"/>
          <w:w w:val="105"/>
        </w:rPr>
        <w:t xml:space="preserve"> </w:t>
      </w:r>
      <w:r w:rsidR="00A07550" w:rsidRPr="00A07550">
        <w:rPr>
          <w:rFonts w:ascii="Calibri" w:hAnsi="Calibri"/>
          <w:color w:val="231F20"/>
          <w:w w:val="105"/>
        </w:rPr>
        <w:t>of</w:t>
      </w:r>
      <w:r w:rsidR="00A07550" w:rsidRPr="00A07550">
        <w:rPr>
          <w:rFonts w:ascii="Calibri" w:hAnsi="Calibri"/>
          <w:color w:val="231F20"/>
          <w:spacing w:val="13"/>
          <w:w w:val="105"/>
        </w:rPr>
        <w:t xml:space="preserve"> </w:t>
      </w:r>
      <w:r w:rsidR="00A07550" w:rsidRPr="00A07550">
        <w:rPr>
          <w:rFonts w:ascii="Calibri" w:hAnsi="Calibri"/>
          <w:color w:val="231F20"/>
          <w:w w:val="105"/>
        </w:rPr>
        <w:t>quality</w:t>
      </w:r>
      <w:r w:rsidR="00A07550" w:rsidRPr="00A07550">
        <w:rPr>
          <w:rFonts w:ascii="Calibri" w:hAnsi="Calibri"/>
          <w:color w:val="231F20"/>
          <w:spacing w:val="13"/>
          <w:w w:val="105"/>
        </w:rPr>
        <w:t xml:space="preserve"> </w:t>
      </w:r>
      <w:r w:rsidR="00A07550" w:rsidRPr="00A07550">
        <w:rPr>
          <w:rFonts w:ascii="Calibri" w:hAnsi="Calibri"/>
          <w:color w:val="231F20"/>
          <w:w w:val="105"/>
        </w:rPr>
        <w:t>rehabilitation</w:t>
      </w:r>
      <w:r w:rsidR="00A07550" w:rsidRPr="00A07550">
        <w:rPr>
          <w:rFonts w:ascii="Calibri" w:hAnsi="Calibri"/>
          <w:color w:val="231F20"/>
          <w:spacing w:val="13"/>
          <w:w w:val="105"/>
        </w:rPr>
        <w:t xml:space="preserve"> </w:t>
      </w:r>
      <w:r w:rsidR="00A07550" w:rsidRPr="00A07550">
        <w:rPr>
          <w:rFonts w:ascii="Calibri" w:hAnsi="Calibri"/>
          <w:color w:val="231F20"/>
          <w:w w:val="105"/>
        </w:rPr>
        <w:t>services</w:t>
      </w:r>
      <w:r w:rsidR="00A07550" w:rsidRPr="00A07550">
        <w:rPr>
          <w:rFonts w:ascii="Calibri" w:hAnsi="Calibri"/>
          <w:color w:val="231F20"/>
          <w:spacing w:val="13"/>
          <w:w w:val="105"/>
        </w:rPr>
        <w:t xml:space="preserve"> </w:t>
      </w:r>
      <w:r w:rsidR="00A07550" w:rsidRPr="00A07550">
        <w:rPr>
          <w:rFonts w:ascii="Calibri" w:hAnsi="Calibri"/>
          <w:color w:val="231F20"/>
          <w:w w:val="105"/>
        </w:rPr>
        <w:t>and</w:t>
      </w:r>
      <w:r w:rsidR="00A07550" w:rsidRPr="00A07550">
        <w:rPr>
          <w:rFonts w:ascii="Calibri" w:hAnsi="Calibri"/>
          <w:color w:val="231F20"/>
          <w:spacing w:val="13"/>
          <w:w w:val="105"/>
        </w:rPr>
        <w:t xml:space="preserve"> </w:t>
      </w:r>
      <w:r w:rsidR="00A07550" w:rsidRPr="00A07550">
        <w:rPr>
          <w:rFonts w:ascii="Calibri" w:hAnsi="Calibri"/>
          <w:color w:val="231F20"/>
          <w:w w:val="105"/>
        </w:rPr>
        <w:t>to</w:t>
      </w:r>
      <w:r w:rsidR="00A07550" w:rsidRPr="00A07550">
        <w:rPr>
          <w:rFonts w:ascii="Calibri" w:hAnsi="Calibri"/>
          <w:color w:val="231F20"/>
          <w:spacing w:val="13"/>
          <w:w w:val="105"/>
        </w:rPr>
        <w:t xml:space="preserve"> </w:t>
      </w:r>
      <w:r w:rsidR="00A07550" w:rsidRPr="00A07550">
        <w:rPr>
          <w:rFonts w:ascii="Calibri" w:hAnsi="Calibri"/>
          <w:color w:val="231F20"/>
          <w:w w:val="105"/>
        </w:rPr>
        <w:t>address</w:t>
      </w:r>
      <w:r w:rsidR="00A07550" w:rsidRPr="00A07550">
        <w:rPr>
          <w:rFonts w:ascii="Calibri" w:hAnsi="Calibri"/>
          <w:color w:val="231F20"/>
          <w:spacing w:val="13"/>
          <w:w w:val="105"/>
        </w:rPr>
        <w:t xml:space="preserve"> </w:t>
      </w:r>
      <w:r w:rsidR="00A07550" w:rsidRPr="00A07550">
        <w:rPr>
          <w:rFonts w:ascii="Calibri" w:hAnsi="Calibri"/>
          <w:color w:val="231F20"/>
          <w:w w:val="105"/>
        </w:rPr>
        <w:t>employee</w:t>
      </w:r>
      <w:r w:rsidR="00A07550" w:rsidRPr="00A07550">
        <w:rPr>
          <w:rFonts w:ascii="Calibri" w:hAnsi="Calibri"/>
          <w:color w:val="231F20"/>
          <w:spacing w:val="13"/>
          <w:w w:val="105"/>
        </w:rPr>
        <w:t xml:space="preserve"> </w:t>
      </w:r>
      <w:r w:rsidR="00A07550" w:rsidRPr="00A07550">
        <w:rPr>
          <w:rFonts w:ascii="Calibri" w:hAnsi="Calibri"/>
          <w:color w:val="231F20"/>
          <w:w w:val="105"/>
        </w:rPr>
        <w:t>vacancies</w:t>
      </w:r>
      <w:r w:rsidR="00A07550" w:rsidRPr="00A07550">
        <w:rPr>
          <w:rFonts w:ascii="Calibri" w:hAnsi="Calibri"/>
          <w:color w:val="231F20"/>
          <w:spacing w:val="13"/>
          <w:w w:val="105"/>
        </w:rPr>
        <w:t xml:space="preserve"> </w:t>
      </w:r>
      <w:r w:rsidR="00A07550" w:rsidRPr="00A07550">
        <w:rPr>
          <w:rFonts w:ascii="Calibri" w:hAnsi="Calibri"/>
          <w:color w:val="231F20"/>
          <w:w w:val="105"/>
        </w:rPr>
        <w:t>and</w:t>
      </w:r>
      <w:r w:rsidR="00A07550" w:rsidRPr="00A07550">
        <w:rPr>
          <w:rFonts w:ascii="Calibri" w:hAnsi="Calibri"/>
          <w:color w:val="231F20"/>
          <w:w w:val="108"/>
        </w:rPr>
        <w:t xml:space="preserve"> </w:t>
      </w:r>
      <w:r w:rsidR="00A07550" w:rsidRPr="00A07550">
        <w:rPr>
          <w:rFonts w:ascii="Calibri" w:hAnsi="Calibri"/>
          <w:color w:val="231F20"/>
          <w:w w:val="105"/>
        </w:rPr>
        <w:t>turnover</w:t>
      </w:r>
      <w:r w:rsidR="00A07550" w:rsidRPr="00A07550">
        <w:rPr>
          <w:rFonts w:ascii="Calibri" w:hAnsi="Calibri"/>
          <w:color w:val="231F20"/>
          <w:spacing w:val="10"/>
          <w:w w:val="105"/>
        </w:rPr>
        <w:t xml:space="preserve"> </w:t>
      </w:r>
      <w:r w:rsidR="00A07550" w:rsidRPr="00A07550">
        <w:rPr>
          <w:rFonts w:ascii="Calibri" w:hAnsi="Calibri"/>
          <w:color w:val="231F20"/>
          <w:w w:val="105"/>
        </w:rPr>
        <w:t>in</w:t>
      </w:r>
      <w:r w:rsidR="00BF1832">
        <w:rPr>
          <w:rFonts w:ascii="Calibri" w:hAnsi="Calibri"/>
          <w:color w:val="231F20"/>
          <w:w w:val="105"/>
        </w:rPr>
        <w:t xml:space="preserve"> particularly</w:t>
      </w:r>
      <w:r w:rsidR="00A07550" w:rsidRPr="00A07550">
        <w:rPr>
          <w:rFonts w:ascii="Calibri" w:hAnsi="Calibri"/>
          <w:color w:val="231F20"/>
          <w:spacing w:val="10"/>
          <w:w w:val="105"/>
        </w:rPr>
        <w:t xml:space="preserve"> </w:t>
      </w:r>
      <w:r w:rsidR="00A07550" w:rsidRPr="00A07550">
        <w:rPr>
          <w:rFonts w:ascii="Calibri" w:hAnsi="Calibri"/>
          <w:color w:val="231F20"/>
          <w:w w:val="105"/>
        </w:rPr>
        <w:t>difficult</w:t>
      </w:r>
      <w:r w:rsidR="00A07550" w:rsidRPr="00A07550">
        <w:rPr>
          <w:rFonts w:ascii="Calibri" w:hAnsi="Calibri"/>
          <w:color w:val="231F20"/>
          <w:spacing w:val="10"/>
          <w:w w:val="105"/>
        </w:rPr>
        <w:t xml:space="preserve"> </w:t>
      </w:r>
      <w:r w:rsidR="00A07550" w:rsidRPr="00A07550">
        <w:rPr>
          <w:rFonts w:ascii="Calibri" w:hAnsi="Calibri"/>
          <w:color w:val="231F20"/>
          <w:w w:val="105"/>
        </w:rPr>
        <w:t>to</w:t>
      </w:r>
      <w:r w:rsidR="00A07550" w:rsidRPr="00A07550">
        <w:rPr>
          <w:rFonts w:ascii="Calibri" w:hAnsi="Calibri"/>
          <w:color w:val="231F20"/>
          <w:spacing w:val="10"/>
          <w:w w:val="105"/>
        </w:rPr>
        <w:t xml:space="preserve"> </w:t>
      </w:r>
      <w:r w:rsidR="00A07550" w:rsidRPr="00A07550">
        <w:rPr>
          <w:rFonts w:ascii="Calibri" w:hAnsi="Calibri"/>
          <w:color w:val="231F20"/>
          <w:w w:val="105"/>
        </w:rPr>
        <w:t>fill</w:t>
      </w:r>
      <w:r w:rsidR="00A07550" w:rsidRPr="00A07550">
        <w:rPr>
          <w:rFonts w:ascii="Calibri" w:hAnsi="Calibri"/>
          <w:color w:val="231F20"/>
          <w:spacing w:val="10"/>
          <w:w w:val="105"/>
        </w:rPr>
        <w:t xml:space="preserve"> </w:t>
      </w:r>
      <w:r w:rsidR="00A07550" w:rsidRPr="00A07550">
        <w:rPr>
          <w:rFonts w:ascii="Calibri" w:hAnsi="Calibri"/>
          <w:color w:val="231F20"/>
          <w:w w:val="105"/>
        </w:rPr>
        <w:t>geographic</w:t>
      </w:r>
      <w:r w:rsidR="00A07550" w:rsidRPr="00A07550">
        <w:rPr>
          <w:rFonts w:ascii="Calibri" w:hAnsi="Calibri"/>
          <w:color w:val="231F20"/>
          <w:spacing w:val="10"/>
          <w:w w:val="105"/>
        </w:rPr>
        <w:t xml:space="preserve"> </w:t>
      </w:r>
      <w:r w:rsidR="00A07550" w:rsidRPr="00A07550">
        <w:rPr>
          <w:rFonts w:ascii="Calibri" w:hAnsi="Calibri"/>
          <w:color w:val="231F20"/>
          <w:w w:val="105"/>
        </w:rPr>
        <w:t>areas,</w:t>
      </w:r>
      <w:r w:rsidR="00A07550" w:rsidRPr="00A07550">
        <w:rPr>
          <w:rFonts w:ascii="Calibri" w:hAnsi="Calibri"/>
          <w:color w:val="231F20"/>
          <w:spacing w:val="10"/>
          <w:w w:val="105"/>
        </w:rPr>
        <w:t xml:space="preserve"> </w:t>
      </w:r>
      <w:r w:rsidR="00A07550" w:rsidRPr="00A07550">
        <w:rPr>
          <w:rFonts w:ascii="Calibri" w:hAnsi="Calibri"/>
          <w:color w:val="231F20"/>
          <w:w w:val="105"/>
        </w:rPr>
        <w:t>VR</w:t>
      </w:r>
      <w:r w:rsidR="00A07550" w:rsidRPr="00A07550">
        <w:rPr>
          <w:rFonts w:ascii="Calibri" w:hAnsi="Calibri"/>
          <w:color w:val="231F20"/>
          <w:spacing w:val="10"/>
          <w:w w:val="105"/>
        </w:rPr>
        <w:t xml:space="preserve"> </w:t>
      </w:r>
      <w:r w:rsidR="00A07550" w:rsidRPr="00A07550">
        <w:rPr>
          <w:rFonts w:ascii="Calibri" w:hAnsi="Calibri"/>
          <w:color w:val="231F20"/>
          <w:w w:val="105"/>
        </w:rPr>
        <w:t>has</w:t>
      </w:r>
      <w:r w:rsidR="00A07550" w:rsidRPr="00A07550">
        <w:rPr>
          <w:rFonts w:ascii="Calibri" w:hAnsi="Calibri"/>
          <w:color w:val="231F20"/>
          <w:spacing w:val="10"/>
          <w:w w:val="105"/>
        </w:rPr>
        <w:t xml:space="preserve"> </w:t>
      </w:r>
      <w:r w:rsidR="00A07550" w:rsidRPr="00A07550">
        <w:rPr>
          <w:rFonts w:ascii="Calibri" w:hAnsi="Calibri"/>
          <w:color w:val="231F20"/>
          <w:w w:val="105"/>
        </w:rPr>
        <w:t>contracted</w:t>
      </w:r>
      <w:r w:rsidR="00A07550" w:rsidRPr="00A07550">
        <w:rPr>
          <w:rFonts w:ascii="Calibri" w:hAnsi="Calibri"/>
          <w:color w:val="231F20"/>
          <w:spacing w:val="10"/>
          <w:w w:val="105"/>
        </w:rPr>
        <w:t xml:space="preserve"> </w:t>
      </w:r>
      <w:r w:rsidR="00A07550" w:rsidRPr="00A07550">
        <w:rPr>
          <w:rFonts w:ascii="Calibri" w:hAnsi="Calibri"/>
          <w:color w:val="231F20"/>
          <w:w w:val="105"/>
        </w:rPr>
        <w:t>for</w:t>
      </w:r>
      <w:r w:rsidR="00A07550" w:rsidRPr="00A07550">
        <w:rPr>
          <w:rFonts w:ascii="Calibri" w:hAnsi="Calibri"/>
          <w:color w:val="231F20"/>
          <w:spacing w:val="10"/>
          <w:w w:val="105"/>
        </w:rPr>
        <w:t xml:space="preserve"> </w:t>
      </w:r>
      <w:r w:rsidR="00A07550" w:rsidRPr="00A07550">
        <w:rPr>
          <w:rFonts w:ascii="Calibri" w:hAnsi="Calibri"/>
          <w:color w:val="231F20"/>
          <w:w w:val="105"/>
        </w:rPr>
        <w:t>employees.</w:t>
      </w:r>
      <w:r w:rsidR="00A07550" w:rsidRPr="00A07550">
        <w:rPr>
          <w:rFonts w:ascii="Calibri" w:hAnsi="Calibri"/>
          <w:color w:val="231F20"/>
          <w:spacing w:val="10"/>
          <w:w w:val="105"/>
        </w:rPr>
        <w:t xml:space="preserve"> </w:t>
      </w:r>
      <w:r w:rsidR="00A07550" w:rsidRPr="00A07550">
        <w:rPr>
          <w:rFonts w:ascii="Calibri" w:hAnsi="Calibri"/>
          <w:color w:val="231F20"/>
          <w:w w:val="105"/>
        </w:rPr>
        <w:t>The</w:t>
      </w:r>
      <w:r w:rsidR="00A07550" w:rsidRPr="00A07550">
        <w:rPr>
          <w:rFonts w:ascii="Calibri" w:hAnsi="Calibri"/>
          <w:color w:val="231F20"/>
          <w:spacing w:val="10"/>
          <w:w w:val="105"/>
        </w:rPr>
        <w:t xml:space="preserve"> </w:t>
      </w:r>
      <w:r w:rsidR="00A07550" w:rsidRPr="00A07550">
        <w:rPr>
          <w:rFonts w:ascii="Calibri" w:hAnsi="Calibri"/>
          <w:color w:val="231F20"/>
          <w:w w:val="105"/>
        </w:rPr>
        <w:t>contracts</w:t>
      </w:r>
      <w:r w:rsidR="00A07550" w:rsidRPr="00A07550">
        <w:rPr>
          <w:rFonts w:ascii="Calibri" w:hAnsi="Calibri"/>
          <w:color w:val="231F20"/>
          <w:spacing w:val="-29"/>
          <w:w w:val="105"/>
        </w:rPr>
        <w:t xml:space="preserve"> </w:t>
      </w:r>
      <w:r w:rsidR="00A07550" w:rsidRPr="00A07550">
        <w:rPr>
          <w:rFonts w:ascii="Calibri" w:hAnsi="Calibri"/>
          <w:color w:val="231F20"/>
          <w:w w:val="105"/>
        </w:rPr>
        <w:t>ensure</w:t>
      </w:r>
      <w:r w:rsidR="00A07550" w:rsidRPr="00A07550">
        <w:rPr>
          <w:rFonts w:ascii="Calibri" w:hAnsi="Calibri"/>
          <w:color w:val="231F20"/>
          <w:spacing w:val="13"/>
          <w:w w:val="105"/>
        </w:rPr>
        <w:t xml:space="preserve"> </w:t>
      </w:r>
      <w:r w:rsidR="00A07550" w:rsidRPr="00A07550">
        <w:rPr>
          <w:rFonts w:ascii="Calibri" w:hAnsi="Calibri"/>
          <w:color w:val="231F20"/>
          <w:w w:val="105"/>
        </w:rPr>
        <w:t>that</w:t>
      </w:r>
      <w:r w:rsidR="00A07550" w:rsidRPr="00A07550">
        <w:rPr>
          <w:rFonts w:ascii="Calibri" w:hAnsi="Calibri"/>
          <w:color w:val="231F20"/>
          <w:spacing w:val="13"/>
          <w:w w:val="105"/>
        </w:rPr>
        <w:t xml:space="preserve"> </w:t>
      </w:r>
      <w:r w:rsidR="00A07550" w:rsidRPr="00A07550">
        <w:rPr>
          <w:rFonts w:ascii="Calibri" w:hAnsi="Calibri"/>
          <w:color w:val="231F20"/>
          <w:w w:val="105"/>
        </w:rPr>
        <w:t>qualified</w:t>
      </w:r>
      <w:r w:rsidR="00A07550" w:rsidRPr="00A07550">
        <w:rPr>
          <w:rFonts w:ascii="Calibri" w:hAnsi="Calibri"/>
          <w:color w:val="231F20"/>
          <w:spacing w:val="13"/>
          <w:w w:val="105"/>
        </w:rPr>
        <w:t xml:space="preserve"> </w:t>
      </w:r>
      <w:r w:rsidR="00A07550" w:rsidRPr="00A07550">
        <w:rPr>
          <w:rFonts w:ascii="Calibri" w:hAnsi="Calibri"/>
          <w:color w:val="231F20"/>
          <w:w w:val="105"/>
        </w:rPr>
        <w:t>personnel</w:t>
      </w:r>
      <w:r w:rsidR="00A07550" w:rsidRPr="00A07550">
        <w:rPr>
          <w:rFonts w:ascii="Calibri" w:hAnsi="Calibri"/>
          <w:color w:val="231F20"/>
          <w:spacing w:val="13"/>
          <w:w w:val="105"/>
        </w:rPr>
        <w:t xml:space="preserve"> </w:t>
      </w:r>
      <w:r w:rsidR="00A07550" w:rsidRPr="00A07550">
        <w:rPr>
          <w:rFonts w:ascii="Calibri" w:hAnsi="Calibri"/>
          <w:color w:val="231F20"/>
          <w:w w:val="105"/>
        </w:rPr>
        <w:t>are</w:t>
      </w:r>
      <w:r w:rsidR="00A07550" w:rsidRPr="00A07550">
        <w:rPr>
          <w:rFonts w:ascii="Calibri" w:hAnsi="Calibri"/>
          <w:color w:val="231F20"/>
          <w:spacing w:val="13"/>
          <w:w w:val="105"/>
        </w:rPr>
        <w:t xml:space="preserve"> </w:t>
      </w:r>
      <w:r w:rsidR="00A07550" w:rsidRPr="00A07550">
        <w:rPr>
          <w:rFonts w:ascii="Calibri" w:hAnsi="Calibri"/>
          <w:color w:val="231F20"/>
          <w:w w:val="105"/>
        </w:rPr>
        <w:t>hired</w:t>
      </w:r>
      <w:r w:rsidR="00A07550" w:rsidRPr="00A07550">
        <w:rPr>
          <w:rFonts w:ascii="Calibri" w:hAnsi="Calibri"/>
          <w:color w:val="231F20"/>
          <w:spacing w:val="13"/>
          <w:w w:val="105"/>
        </w:rPr>
        <w:t xml:space="preserve"> </w:t>
      </w:r>
      <w:r w:rsidR="00A07550" w:rsidRPr="00A07550">
        <w:rPr>
          <w:rFonts w:ascii="Calibri" w:hAnsi="Calibri"/>
          <w:color w:val="231F20"/>
          <w:w w:val="105"/>
        </w:rPr>
        <w:t>to</w:t>
      </w:r>
      <w:r w:rsidR="00A07550" w:rsidRPr="00A07550">
        <w:rPr>
          <w:rFonts w:ascii="Calibri" w:hAnsi="Calibri"/>
          <w:color w:val="231F20"/>
          <w:spacing w:val="13"/>
          <w:w w:val="105"/>
        </w:rPr>
        <w:t xml:space="preserve"> </w:t>
      </w:r>
      <w:r w:rsidR="00A07550" w:rsidRPr="00A07550">
        <w:rPr>
          <w:rFonts w:ascii="Calibri" w:hAnsi="Calibri"/>
          <w:color w:val="231F20"/>
          <w:w w:val="105"/>
        </w:rPr>
        <w:t>provide</w:t>
      </w:r>
      <w:r w:rsidR="00A07550" w:rsidRPr="00A07550">
        <w:rPr>
          <w:rFonts w:ascii="Calibri" w:hAnsi="Calibri"/>
          <w:color w:val="231F20"/>
          <w:spacing w:val="13"/>
          <w:w w:val="105"/>
        </w:rPr>
        <w:t xml:space="preserve"> </w:t>
      </w:r>
      <w:r w:rsidR="00A07550" w:rsidRPr="00A07550">
        <w:rPr>
          <w:rFonts w:ascii="Calibri" w:hAnsi="Calibri"/>
          <w:color w:val="231F20"/>
          <w:w w:val="105"/>
        </w:rPr>
        <w:t>necessary</w:t>
      </w:r>
      <w:r w:rsidR="00A07550" w:rsidRPr="00A07550">
        <w:rPr>
          <w:rFonts w:ascii="Calibri" w:hAnsi="Calibri"/>
          <w:color w:val="231F20"/>
          <w:spacing w:val="13"/>
          <w:w w:val="105"/>
        </w:rPr>
        <w:t xml:space="preserve"> </w:t>
      </w:r>
      <w:r w:rsidR="00A07550" w:rsidRPr="00A07550">
        <w:rPr>
          <w:rFonts w:ascii="Calibri" w:hAnsi="Calibri"/>
          <w:color w:val="231F20"/>
          <w:w w:val="105"/>
        </w:rPr>
        <w:t>rehabilitation</w:t>
      </w:r>
      <w:r w:rsidR="00A07550" w:rsidRPr="00A07550">
        <w:rPr>
          <w:rFonts w:ascii="Calibri" w:hAnsi="Calibri"/>
          <w:color w:val="231F20"/>
          <w:spacing w:val="13"/>
          <w:w w:val="105"/>
        </w:rPr>
        <w:t xml:space="preserve"> </w:t>
      </w:r>
      <w:r w:rsidR="00A07550" w:rsidRPr="00A07550">
        <w:rPr>
          <w:rFonts w:ascii="Calibri" w:hAnsi="Calibri"/>
          <w:color w:val="231F20"/>
          <w:w w:val="105"/>
        </w:rPr>
        <w:t>services.</w:t>
      </w:r>
      <w:r w:rsidR="00A07550" w:rsidRPr="00A07550">
        <w:rPr>
          <w:rFonts w:ascii="Calibri" w:hAnsi="Calibri"/>
          <w:color w:val="231F20"/>
          <w:spacing w:val="13"/>
          <w:w w:val="105"/>
        </w:rPr>
        <w:t xml:space="preserve"> </w:t>
      </w:r>
      <w:r w:rsidR="00A07550" w:rsidRPr="00A07550">
        <w:rPr>
          <w:rFonts w:ascii="Calibri" w:hAnsi="Calibri"/>
          <w:color w:val="231F20"/>
          <w:w w:val="105"/>
        </w:rPr>
        <w:t>A</w:t>
      </w:r>
      <w:r w:rsidR="00A07550" w:rsidRPr="00A07550">
        <w:rPr>
          <w:rFonts w:ascii="Calibri" w:hAnsi="Calibri"/>
          <w:color w:val="231F20"/>
          <w:spacing w:val="13"/>
          <w:w w:val="105"/>
        </w:rPr>
        <w:t xml:space="preserve"> </w:t>
      </w:r>
      <w:r w:rsidR="00A07550" w:rsidRPr="00A07550">
        <w:rPr>
          <w:rFonts w:ascii="Calibri" w:hAnsi="Calibri"/>
          <w:color w:val="231F20"/>
          <w:w w:val="105"/>
        </w:rPr>
        <w:t>VR</w:t>
      </w:r>
      <w:r w:rsidR="00A07550" w:rsidRPr="00A07550">
        <w:rPr>
          <w:rFonts w:ascii="Calibri" w:hAnsi="Calibri"/>
          <w:color w:val="231F20"/>
          <w:spacing w:val="13"/>
          <w:w w:val="105"/>
        </w:rPr>
        <w:t xml:space="preserve"> </w:t>
      </w:r>
      <w:r w:rsidR="00A07550" w:rsidRPr="00A07550">
        <w:rPr>
          <w:rFonts w:ascii="Calibri" w:hAnsi="Calibri"/>
          <w:color w:val="231F20"/>
          <w:w w:val="105"/>
        </w:rPr>
        <w:t>counselor/</w:t>
      </w:r>
      <w:r w:rsidR="00A07550" w:rsidRPr="00A07550">
        <w:rPr>
          <w:rFonts w:ascii="Calibri" w:hAnsi="Calibri"/>
          <w:color w:val="231F20"/>
          <w:spacing w:val="-5"/>
          <w:w w:val="105"/>
        </w:rPr>
        <w:t xml:space="preserve"> </w:t>
      </w:r>
      <w:r w:rsidR="00A07550" w:rsidRPr="00A07550">
        <w:rPr>
          <w:rFonts w:ascii="Calibri" w:hAnsi="Calibri"/>
          <w:color w:val="231F20"/>
          <w:w w:val="105"/>
        </w:rPr>
        <w:t>analyst</w:t>
      </w:r>
      <w:r w:rsidR="00A07550" w:rsidRPr="00A07550">
        <w:rPr>
          <w:rFonts w:ascii="Calibri" w:hAnsi="Calibri"/>
          <w:color w:val="231F20"/>
          <w:spacing w:val="10"/>
          <w:w w:val="105"/>
        </w:rPr>
        <w:t xml:space="preserve"> </w:t>
      </w:r>
      <w:r w:rsidR="00A07550" w:rsidRPr="00A07550">
        <w:rPr>
          <w:rFonts w:ascii="Calibri" w:hAnsi="Calibri"/>
          <w:color w:val="231F20"/>
          <w:w w:val="105"/>
        </w:rPr>
        <w:t>reviews</w:t>
      </w:r>
      <w:r w:rsidR="00A07550" w:rsidRPr="00A07550">
        <w:rPr>
          <w:rFonts w:ascii="Calibri" w:hAnsi="Calibri"/>
          <w:color w:val="231F20"/>
          <w:spacing w:val="10"/>
          <w:w w:val="105"/>
        </w:rPr>
        <w:t xml:space="preserve"> </w:t>
      </w:r>
      <w:r w:rsidR="00A07550" w:rsidRPr="00A07550">
        <w:rPr>
          <w:rFonts w:ascii="Calibri" w:hAnsi="Calibri"/>
          <w:color w:val="231F20"/>
          <w:w w:val="105"/>
        </w:rPr>
        <w:t>each</w:t>
      </w:r>
      <w:r w:rsidR="00A07550" w:rsidRPr="00A07550">
        <w:rPr>
          <w:rFonts w:ascii="Calibri" w:hAnsi="Calibri"/>
          <w:color w:val="231F20"/>
          <w:spacing w:val="10"/>
          <w:w w:val="105"/>
        </w:rPr>
        <w:t xml:space="preserve"> </w:t>
      </w:r>
      <w:r w:rsidR="00A07550" w:rsidRPr="00A07550">
        <w:rPr>
          <w:rFonts w:ascii="Calibri" w:hAnsi="Calibri"/>
          <w:color w:val="231F20"/>
          <w:w w:val="105"/>
        </w:rPr>
        <w:t>case</w:t>
      </w:r>
      <w:r w:rsidR="00A07550" w:rsidRPr="00A07550">
        <w:rPr>
          <w:rFonts w:ascii="Calibri" w:hAnsi="Calibri"/>
          <w:color w:val="231F20"/>
          <w:spacing w:val="10"/>
          <w:w w:val="105"/>
        </w:rPr>
        <w:t xml:space="preserve"> </w:t>
      </w:r>
      <w:r w:rsidR="00A07550" w:rsidRPr="00A07550">
        <w:rPr>
          <w:rFonts w:ascii="Calibri" w:hAnsi="Calibri"/>
          <w:color w:val="231F20"/>
          <w:w w:val="105"/>
        </w:rPr>
        <w:t>and</w:t>
      </w:r>
      <w:r w:rsidR="00A07550" w:rsidRPr="00A07550">
        <w:rPr>
          <w:rFonts w:ascii="Calibri" w:hAnsi="Calibri"/>
          <w:color w:val="231F20"/>
          <w:spacing w:val="10"/>
          <w:w w:val="105"/>
        </w:rPr>
        <w:t xml:space="preserve"> </w:t>
      </w:r>
      <w:r w:rsidR="00A07550" w:rsidRPr="00A07550">
        <w:rPr>
          <w:rFonts w:ascii="Calibri" w:hAnsi="Calibri"/>
          <w:color w:val="231F20"/>
          <w:w w:val="105"/>
        </w:rPr>
        <w:t>performs/</w:t>
      </w:r>
      <w:r w:rsidR="00A07550" w:rsidRPr="00A07550">
        <w:rPr>
          <w:rFonts w:ascii="Calibri" w:hAnsi="Calibri"/>
          <w:color w:val="231F20"/>
          <w:spacing w:val="10"/>
          <w:w w:val="105"/>
        </w:rPr>
        <w:t xml:space="preserve"> </w:t>
      </w:r>
      <w:r w:rsidR="00A07550" w:rsidRPr="00A07550">
        <w:rPr>
          <w:rFonts w:ascii="Calibri" w:hAnsi="Calibri"/>
          <w:color w:val="231F20"/>
          <w:w w:val="105"/>
        </w:rPr>
        <w:t>authorizes</w:t>
      </w:r>
      <w:r w:rsidR="00A07550" w:rsidRPr="00A07550">
        <w:rPr>
          <w:rFonts w:ascii="Calibri" w:hAnsi="Calibri"/>
          <w:color w:val="231F20"/>
          <w:spacing w:val="10"/>
          <w:w w:val="105"/>
        </w:rPr>
        <w:t xml:space="preserve"> </w:t>
      </w:r>
      <w:r w:rsidR="00A07550" w:rsidRPr="00A07550">
        <w:rPr>
          <w:rFonts w:ascii="Calibri" w:hAnsi="Calibri"/>
          <w:color w:val="231F20"/>
          <w:w w:val="105"/>
        </w:rPr>
        <w:t>administrative</w:t>
      </w:r>
      <w:r w:rsidR="00A07550" w:rsidRPr="00A07550">
        <w:rPr>
          <w:rFonts w:ascii="Calibri" w:hAnsi="Calibri"/>
          <w:color w:val="231F20"/>
          <w:spacing w:val="10"/>
          <w:w w:val="105"/>
        </w:rPr>
        <w:t xml:space="preserve"> </w:t>
      </w:r>
      <w:r w:rsidR="00A07550" w:rsidRPr="00A07550">
        <w:rPr>
          <w:rFonts w:ascii="Calibri" w:hAnsi="Calibri"/>
          <w:color w:val="231F20"/>
          <w:w w:val="105"/>
        </w:rPr>
        <w:t>activities</w:t>
      </w:r>
      <w:r w:rsidR="00A07550" w:rsidRPr="00A07550">
        <w:rPr>
          <w:rFonts w:ascii="Calibri" w:hAnsi="Calibri"/>
          <w:color w:val="231F20"/>
          <w:spacing w:val="10"/>
          <w:w w:val="105"/>
        </w:rPr>
        <w:t xml:space="preserve"> </w:t>
      </w:r>
      <w:r w:rsidR="00A07550" w:rsidRPr="00A07550">
        <w:rPr>
          <w:rFonts w:ascii="Calibri" w:hAnsi="Calibri"/>
          <w:color w:val="231F20"/>
          <w:w w:val="105"/>
        </w:rPr>
        <w:t>that</w:t>
      </w:r>
      <w:r w:rsidR="00A07550" w:rsidRPr="00A07550">
        <w:rPr>
          <w:rFonts w:ascii="Calibri" w:hAnsi="Calibri"/>
          <w:color w:val="231F20"/>
          <w:spacing w:val="10"/>
          <w:w w:val="105"/>
        </w:rPr>
        <w:t xml:space="preserve"> </w:t>
      </w:r>
      <w:r w:rsidR="00A07550" w:rsidRPr="00A07550">
        <w:rPr>
          <w:rFonts w:ascii="Calibri" w:hAnsi="Calibri"/>
          <w:color w:val="231F20"/>
          <w:w w:val="105"/>
        </w:rPr>
        <w:t>federal</w:t>
      </w:r>
      <w:r w:rsidR="00A07550" w:rsidRPr="00A07550">
        <w:rPr>
          <w:rFonts w:ascii="Calibri" w:hAnsi="Calibri"/>
          <w:color w:val="231F20"/>
          <w:spacing w:val="10"/>
          <w:w w:val="105"/>
        </w:rPr>
        <w:t xml:space="preserve"> </w:t>
      </w:r>
      <w:r w:rsidR="00A07550" w:rsidRPr="00A07550">
        <w:rPr>
          <w:rFonts w:ascii="Calibri" w:hAnsi="Calibri"/>
          <w:color w:val="231F20"/>
          <w:w w:val="105"/>
        </w:rPr>
        <w:t>regulations</w:t>
      </w:r>
      <w:r w:rsidR="00A07550" w:rsidRPr="00A07550">
        <w:rPr>
          <w:rFonts w:ascii="Calibri" w:hAnsi="Calibri"/>
          <w:color w:val="231F20"/>
          <w:spacing w:val="10"/>
          <w:w w:val="105"/>
        </w:rPr>
        <w:t xml:space="preserve"> </w:t>
      </w:r>
      <w:r w:rsidR="00A07550" w:rsidRPr="00A07550">
        <w:rPr>
          <w:rFonts w:ascii="Calibri" w:hAnsi="Calibri"/>
          <w:color w:val="231F20"/>
          <w:w w:val="105"/>
        </w:rPr>
        <w:t>(34</w:t>
      </w:r>
      <w:r w:rsidR="00A07550" w:rsidRPr="00A07550">
        <w:rPr>
          <w:rFonts w:ascii="Calibri" w:hAnsi="Calibri"/>
          <w:color w:val="231F20"/>
          <w:spacing w:val="-31"/>
          <w:w w:val="105"/>
        </w:rPr>
        <w:t xml:space="preserve"> </w:t>
      </w:r>
      <w:r w:rsidR="00A07550" w:rsidRPr="00A07550">
        <w:rPr>
          <w:rFonts w:ascii="Calibri" w:hAnsi="Calibri"/>
          <w:color w:val="231F20"/>
          <w:w w:val="105"/>
        </w:rPr>
        <w:t>CFR</w:t>
      </w:r>
      <w:r w:rsidR="00A07550" w:rsidRPr="00A07550">
        <w:rPr>
          <w:rFonts w:ascii="Calibri" w:hAnsi="Calibri"/>
          <w:color w:val="231F20"/>
          <w:spacing w:val="10"/>
          <w:w w:val="105"/>
        </w:rPr>
        <w:t xml:space="preserve"> </w:t>
      </w:r>
      <w:r w:rsidR="00A07550" w:rsidRPr="00A07550">
        <w:rPr>
          <w:rFonts w:ascii="Calibri" w:hAnsi="Calibri"/>
          <w:color w:val="231F20"/>
          <w:spacing w:val="-3"/>
          <w:w w:val="105"/>
        </w:rPr>
        <w:t>361.13)</w:t>
      </w:r>
      <w:r w:rsidR="00A07550" w:rsidRPr="00A07550">
        <w:rPr>
          <w:rFonts w:ascii="Calibri" w:hAnsi="Calibri"/>
          <w:color w:val="231F20"/>
          <w:spacing w:val="10"/>
          <w:w w:val="105"/>
        </w:rPr>
        <w:t xml:space="preserve"> </w:t>
      </w:r>
      <w:r w:rsidR="00A07550" w:rsidRPr="00A07550">
        <w:rPr>
          <w:rFonts w:ascii="Calibri" w:hAnsi="Calibri"/>
          <w:color w:val="231F20"/>
          <w:w w:val="105"/>
        </w:rPr>
        <w:t>specify</w:t>
      </w:r>
      <w:r w:rsidR="00A07550" w:rsidRPr="00A07550">
        <w:rPr>
          <w:rFonts w:ascii="Calibri" w:hAnsi="Calibri"/>
          <w:color w:val="231F20"/>
          <w:spacing w:val="10"/>
          <w:w w:val="105"/>
        </w:rPr>
        <w:t xml:space="preserve"> </w:t>
      </w:r>
      <w:r w:rsidR="00A07550" w:rsidRPr="00A07550">
        <w:rPr>
          <w:rFonts w:ascii="Calibri" w:hAnsi="Calibri"/>
          <w:color w:val="231F20"/>
          <w:w w:val="105"/>
        </w:rPr>
        <w:t>are</w:t>
      </w:r>
      <w:r w:rsidR="00A07550" w:rsidRPr="00A07550">
        <w:rPr>
          <w:rFonts w:ascii="Calibri" w:hAnsi="Calibri"/>
          <w:color w:val="231F20"/>
          <w:spacing w:val="10"/>
          <w:w w:val="105"/>
        </w:rPr>
        <w:t xml:space="preserve"> </w:t>
      </w:r>
      <w:r w:rsidR="00A07550" w:rsidRPr="00A07550">
        <w:rPr>
          <w:rFonts w:ascii="Calibri" w:hAnsi="Calibri"/>
          <w:color w:val="231F20"/>
          <w:w w:val="105"/>
        </w:rPr>
        <w:t>the</w:t>
      </w:r>
      <w:r w:rsidR="00A07550" w:rsidRPr="00A07550">
        <w:rPr>
          <w:rFonts w:ascii="Calibri" w:hAnsi="Calibri"/>
          <w:color w:val="231F20"/>
          <w:spacing w:val="10"/>
          <w:w w:val="105"/>
        </w:rPr>
        <w:t xml:space="preserve"> </w:t>
      </w:r>
      <w:r w:rsidR="00A07550" w:rsidRPr="00A07550">
        <w:rPr>
          <w:rFonts w:ascii="Calibri" w:hAnsi="Calibri"/>
          <w:color w:val="231F20"/>
          <w:w w:val="105"/>
        </w:rPr>
        <w:t>responsibility</w:t>
      </w:r>
      <w:r w:rsidR="00A07550" w:rsidRPr="00A07550">
        <w:rPr>
          <w:rFonts w:ascii="Calibri" w:hAnsi="Calibri"/>
          <w:color w:val="231F20"/>
          <w:spacing w:val="10"/>
          <w:w w:val="105"/>
        </w:rPr>
        <w:t xml:space="preserve"> </w:t>
      </w:r>
      <w:r w:rsidR="00A07550" w:rsidRPr="00A07550">
        <w:rPr>
          <w:rFonts w:ascii="Calibri" w:hAnsi="Calibri"/>
          <w:color w:val="231F20"/>
          <w:w w:val="105"/>
        </w:rPr>
        <w:t>of</w:t>
      </w:r>
      <w:r w:rsidR="00A07550" w:rsidRPr="00A07550">
        <w:rPr>
          <w:rFonts w:ascii="Calibri" w:hAnsi="Calibri"/>
          <w:color w:val="231F20"/>
          <w:spacing w:val="10"/>
          <w:w w:val="105"/>
        </w:rPr>
        <w:t xml:space="preserve"> </w:t>
      </w:r>
      <w:r w:rsidR="00A07550" w:rsidRPr="00A07550">
        <w:rPr>
          <w:rFonts w:ascii="Calibri" w:hAnsi="Calibri"/>
          <w:color w:val="231F20"/>
          <w:w w:val="105"/>
        </w:rPr>
        <w:t>VR</w:t>
      </w:r>
      <w:r w:rsidR="00D5537E">
        <w:rPr>
          <w:rFonts w:ascii="Calibri" w:hAnsi="Calibri"/>
          <w:color w:val="231F20"/>
          <w:w w:val="105"/>
        </w:rPr>
        <w:t xml:space="preserve"> and</w:t>
      </w:r>
      <w:r w:rsidR="00A07550" w:rsidRPr="00A07550">
        <w:rPr>
          <w:rFonts w:ascii="Calibri" w:hAnsi="Calibri"/>
          <w:color w:val="231F20"/>
          <w:spacing w:val="10"/>
          <w:w w:val="105"/>
        </w:rPr>
        <w:t xml:space="preserve"> </w:t>
      </w:r>
      <w:r w:rsidR="00A07550" w:rsidRPr="00A07550">
        <w:rPr>
          <w:rFonts w:ascii="Calibri" w:hAnsi="Calibri"/>
          <w:color w:val="231F20"/>
          <w:w w:val="105"/>
        </w:rPr>
        <w:t>cannot</w:t>
      </w:r>
      <w:r w:rsidR="00A07550" w:rsidRPr="00A07550">
        <w:rPr>
          <w:rFonts w:ascii="Calibri" w:hAnsi="Calibri"/>
          <w:color w:val="231F20"/>
          <w:spacing w:val="10"/>
          <w:w w:val="105"/>
        </w:rPr>
        <w:t xml:space="preserve"> </w:t>
      </w:r>
      <w:r w:rsidR="00A07550" w:rsidRPr="00A07550">
        <w:rPr>
          <w:rFonts w:ascii="Calibri" w:hAnsi="Calibri"/>
          <w:color w:val="231F20"/>
          <w:w w:val="105"/>
        </w:rPr>
        <w:t>be</w:t>
      </w:r>
      <w:r w:rsidR="00A07550" w:rsidRPr="00A07550">
        <w:rPr>
          <w:rFonts w:ascii="Calibri" w:hAnsi="Calibri"/>
          <w:color w:val="231F20"/>
          <w:spacing w:val="10"/>
          <w:w w:val="105"/>
        </w:rPr>
        <w:t xml:space="preserve"> </w:t>
      </w:r>
      <w:r w:rsidR="00A07550" w:rsidRPr="00A07550">
        <w:rPr>
          <w:rFonts w:ascii="Calibri" w:hAnsi="Calibri"/>
          <w:color w:val="231F20"/>
          <w:w w:val="105"/>
        </w:rPr>
        <w:t>delegated</w:t>
      </w:r>
      <w:r w:rsidR="00A07550" w:rsidRPr="00A07550">
        <w:rPr>
          <w:rFonts w:ascii="Calibri" w:hAnsi="Calibri"/>
          <w:color w:val="231F20"/>
          <w:spacing w:val="10"/>
          <w:w w:val="105"/>
        </w:rPr>
        <w:t xml:space="preserve"> </w:t>
      </w:r>
      <w:r w:rsidR="00A07550" w:rsidRPr="00A07550">
        <w:rPr>
          <w:rFonts w:ascii="Calibri" w:hAnsi="Calibri"/>
          <w:color w:val="231F20"/>
          <w:w w:val="105"/>
        </w:rPr>
        <w:t>to</w:t>
      </w:r>
      <w:r w:rsidR="00A07550" w:rsidRPr="00A07550">
        <w:rPr>
          <w:rFonts w:ascii="Calibri" w:hAnsi="Calibri"/>
          <w:color w:val="231F20"/>
          <w:spacing w:val="10"/>
          <w:w w:val="105"/>
        </w:rPr>
        <w:t xml:space="preserve"> </w:t>
      </w:r>
      <w:r w:rsidR="00A07550" w:rsidRPr="00A07550">
        <w:rPr>
          <w:rFonts w:ascii="Calibri" w:hAnsi="Calibri"/>
          <w:color w:val="231F20"/>
          <w:w w:val="105"/>
        </w:rPr>
        <w:t>private</w:t>
      </w:r>
      <w:r w:rsidR="00A07550" w:rsidRPr="00A07550">
        <w:rPr>
          <w:rFonts w:ascii="Calibri" w:hAnsi="Calibri"/>
          <w:color w:val="231F20"/>
          <w:spacing w:val="10"/>
          <w:w w:val="105"/>
        </w:rPr>
        <w:t xml:space="preserve"> </w:t>
      </w:r>
      <w:r w:rsidR="00A07550" w:rsidRPr="00A07550">
        <w:rPr>
          <w:rFonts w:ascii="Calibri" w:hAnsi="Calibri"/>
          <w:color w:val="231F20"/>
          <w:w w:val="105"/>
        </w:rPr>
        <w:t>providers.</w:t>
      </w:r>
      <w:r w:rsidR="00A07550" w:rsidRPr="00A07550">
        <w:rPr>
          <w:rFonts w:ascii="Calibri" w:hAnsi="Calibri"/>
          <w:color w:val="231F20"/>
          <w:spacing w:val="10"/>
          <w:w w:val="105"/>
        </w:rPr>
        <w:t xml:space="preserve"> </w:t>
      </w:r>
      <w:r w:rsidR="00A07550" w:rsidRPr="00A07550">
        <w:rPr>
          <w:rFonts w:ascii="Calibri" w:hAnsi="Calibri"/>
          <w:color w:val="231F20"/>
          <w:w w:val="105"/>
        </w:rPr>
        <w:t>These activities</w:t>
      </w:r>
      <w:r w:rsidR="00A07550" w:rsidRPr="00A07550">
        <w:rPr>
          <w:rFonts w:ascii="Calibri" w:hAnsi="Calibri"/>
          <w:color w:val="231F20"/>
          <w:spacing w:val="16"/>
          <w:w w:val="105"/>
        </w:rPr>
        <w:t xml:space="preserve"> </w:t>
      </w:r>
      <w:r w:rsidR="00A07550" w:rsidRPr="00A07550">
        <w:rPr>
          <w:rFonts w:ascii="Calibri" w:hAnsi="Calibri"/>
          <w:color w:val="231F20"/>
          <w:w w:val="105"/>
        </w:rPr>
        <w:t>include:</w:t>
      </w:r>
    </w:p>
    <w:p w14:paraId="3E7182E8" w14:textId="77777777" w:rsidR="00A07550" w:rsidRPr="00A23800" w:rsidRDefault="00A07550" w:rsidP="00D63204">
      <w:pPr>
        <w:widowControl w:val="0"/>
        <w:spacing w:before="5" w:after="0" w:line="240" w:lineRule="auto"/>
        <w:ind w:left="107"/>
        <w:rPr>
          <w:rFonts w:ascii="Calibri" w:hAnsi="Calibri" w:cs="Calibri"/>
          <w:sz w:val="16"/>
          <w:szCs w:val="16"/>
        </w:rPr>
      </w:pPr>
    </w:p>
    <w:p w14:paraId="23B7E3AA" w14:textId="58734CEF" w:rsidR="00A07550" w:rsidRPr="00A07550" w:rsidRDefault="00A07550" w:rsidP="00D63204">
      <w:pPr>
        <w:pStyle w:val="ListParagraph"/>
        <w:widowControl w:val="0"/>
        <w:numPr>
          <w:ilvl w:val="0"/>
          <w:numId w:val="115"/>
        </w:numPr>
        <w:spacing w:after="0" w:line="240" w:lineRule="auto"/>
        <w:rPr>
          <w:rFonts w:ascii="Calibri" w:hAnsi="Calibri" w:cs="Calibri"/>
          <w:color w:val="231F20"/>
        </w:rPr>
      </w:pPr>
      <w:r w:rsidRPr="00A07550">
        <w:rPr>
          <w:rFonts w:ascii="Calibri" w:hAnsi="Calibri"/>
          <w:color w:val="231F20"/>
          <w:w w:val="110"/>
        </w:rPr>
        <w:t>All</w:t>
      </w:r>
      <w:r w:rsidRPr="00A07550">
        <w:rPr>
          <w:rFonts w:ascii="Calibri" w:hAnsi="Calibri"/>
          <w:color w:val="231F20"/>
          <w:spacing w:val="-13"/>
          <w:w w:val="110"/>
        </w:rPr>
        <w:t xml:space="preserve"> </w:t>
      </w:r>
      <w:r w:rsidRPr="00A07550">
        <w:rPr>
          <w:rFonts w:ascii="Calibri" w:hAnsi="Calibri"/>
          <w:color w:val="231F20"/>
          <w:w w:val="110"/>
        </w:rPr>
        <w:t>decisions</w:t>
      </w:r>
      <w:r w:rsidRPr="00A07550">
        <w:rPr>
          <w:rFonts w:ascii="Calibri" w:hAnsi="Calibri"/>
          <w:color w:val="231F20"/>
          <w:spacing w:val="-13"/>
          <w:w w:val="110"/>
        </w:rPr>
        <w:t xml:space="preserve"> </w:t>
      </w:r>
      <w:r w:rsidRPr="00A07550">
        <w:rPr>
          <w:rFonts w:ascii="Calibri" w:hAnsi="Calibri"/>
          <w:color w:val="231F20"/>
          <w:w w:val="110"/>
        </w:rPr>
        <w:t>affecting</w:t>
      </w:r>
      <w:r w:rsidRPr="00A07550">
        <w:rPr>
          <w:rFonts w:ascii="Calibri" w:hAnsi="Calibri"/>
          <w:color w:val="231F20"/>
          <w:spacing w:val="-13"/>
          <w:w w:val="110"/>
        </w:rPr>
        <w:t xml:space="preserve"> </w:t>
      </w:r>
      <w:r w:rsidRPr="00A07550">
        <w:rPr>
          <w:rFonts w:ascii="Calibri" w:hAnsi="Calibri"/>
          <w:color w:val="231F20"/>
          <w:w w:val="110"/>
        </w:rPr>
        <w:t>eligibility</w:t>
      </w:r>
      <w:r w:rsidRPr="00A07550">
        <w:rPr>
          <w:rFonts w:ascii="Calibri" w:hAnsi="Calibri"/>
          <w:color w:val="231F20"/>
          <w:spacing w:val="-13"/>
          <w:w w:val="110"/>
        </w:rPr>
        <w:t xml:space="preserve"> </w:t>
      </w:r>
      <w:r w:rsidRPr="00A07550">
        <w:rPr>
          <w:rFonts w:ascii="Calibri" w:hAnsi="Calibri"/>
          <w:color w:val="231F20"/>
          <w:w w:val="110"/>
        </w:rPr>
        <w:t>for</w:t>
      </w:r>
      <w:r w:rsidRPr="00A07550">
        <w:rPr>
          <w:rFonts w:ascii="Calibri" w:hAnsi="Calibri"/>
          <w:color w:val="231F20"/>
          <w:spacing w:val="-13"/>
          <w:w w:val="110"/>
        </w:rPr>
        <w:t xml:space="preserve"> </w:t>
      </w:r>
      <w:r w:rsidRPr="00A07550">
        <w:rPr>
          <w:rFonts w:ascii="Calibri" w:hAnsi="Calibri"/>
          <w:color w:val="231F20"/>
          <w:w w:val="110"/>
        </w:rPr>
        <w:t>VR,</w:t>
      </w:r>
      <w:r w:rsidRPr="00A07550">
        <w:rPr>
          <w:rFonts w:ascii="Calibri" w:hAnsi="Calibri"/>
          <w:color w:val="231F20"/>
          <w:spacing w:val="-13"/>
          <w:w w:val="110"/>
        </w:rPr>
        <w:t xml:space="preserve"> </w:t>
      </w:r>
      <w:r w:rsidRPr="00A07550">
        <w:rPr>
          <w:rFonts w:ascii="Calibri" w:hAnsi="Calibri"/>
          <w:color w:val="231F20"/>
          <w:w w:val="110"/>
        </w:rPr>
        <w:t>the</w:t>
      </w:r>
      <w:r w:rsidRPr="00A07550">
        <w:rPr>
          <w:rFonts w:ascii="Calibri" w:hAnsi="Calibri"/>
          <w:color w:val="231F20"/>
          <w:spacing w:val="-13"/>
          <w:w w:val="110"/>
        </w:rPr>
        <w:t xml:space="preserve"> </w:t>
      </w:r>
      <w:r w:rsidRPr="00A07550">
        <w:rPr>
          <w:rFonts w:ascii="Calibri" w:hAnsi="Calibri"/>
          <w:color w:val="231F20"/>
          <w:w w:val="110"/>
        </w:rPr>
        <w:t>nature</w:t>
      </w:r>
      <w:r w:rsidRPr="00A07550">
        <w:rPr>
          <w:rFonts w:ascii="Calibri" w:hAnsi="Calibri"/>
          <w:color w:val="231F20"/>
          <w:spacing w:val="-13"/>
          <w:w w:val="110"/>
        </w:rPr>
        <w:t xml:space="preserve"> </w:t>
      </w:r>
      <w:r w:rsidRPr="00A07550">
        <w:rPr>
          <w:rFonts w:ascii="Calibri" w:hAnsi="Calibri"/>
          <w:color w:val="231F20"/>
          <w:w w:val="110"/>
        </w:rPr>
        <w:t>and</w:t>
      </w:r>
      <w:r w:rsidRPr="00A07550">
        <w:rPr>
          <w:rFonts w:ascii="Calibri" w:hAnsi="Calibri"/>
          <w:color w:val="231F20"/>
          <w:spacing w:val="-13"/>
          <w:w w:val="110"/>
        </w:rPr>
        <w:t xml:space="preserve"> </w:t>
      </w:r>
      <w:r w:rsidRPr="00A07550">
        <w:rPr>
          <w:rFonts w:ascii="Calibri" w:hAnsi="Calibri"/>
          <w:color w:val="231F20"/>
          <w:w w:val="110"/>
        </w:rPr>
        <w:t>scope</w:t>
      </w:r>
      <w:r w:rsidRPr="00A07550">
        <w:rPr>
          <w:rFonts w:ascii="Calibri" w:hAnsi="Calibri"/>
          <w:color w:val="231F20"/>
          <w:spacing w:val="-13"/>
          <w:w w:val="110"/>
        </w:rPr>
        <w:t xml:space="preserve"> </w:t>
      </w:r>
      <w:r w:rsidRPr="00A07550">
        <w:rPr>
          <w:rFonts w:ascii="Calibri" w:hAnsi="Calibri"/>
          <w:color w:val="231F20"/>
          <w:w w:val="110"/>
        </w:rPr>
        <w:t>of</w:t>
      </w:r>
      <w:r w:rsidRPr="00A07550">
        <w:rPr>
          <w:rFonts w:ascii="Calibri" w:hAnsi="Calibri"/>
          <w:color w:val="231F20"/>
          <w:spacing w:val="-13"/>
          <w:w w:val="110"/>
        </w:rPr>
        <w:t xml:space="preserve"> </w:t>
      </w:r>
      <w:r w:rsidRPr="00A07550">
        <w:rPr>
          <w:rFonts w:ascii="Calibri" w:hAnsi="Calibri"/>
          <w:color w:val="231F20"/>
          <w:w w:val="110"/>
        </w:rPr>
        <w:t>available</w:t>
      </w:r>
      <w:r w:rsidRPr="00A07550">
        <w:rPr>
          <w:rFonts w:ascii="Calibri" w:hAnsi="Calibri"/>
          <w:color w:val="231F20"/>
          <w:spacing w:val="-13"/>
          <w:w w:val="110"/>
        </w:rPr>
        <w:t xml:space="preserve"> </w:t>
      </w:r>
      <w:r w:rsidRPr="00A07550">
        <w:rPr>
          <w:rFonts w:ascii="Calibri" w:hAnsi="Calibri"/>
          <w:color w:val="231F20"/>
          <w:w w:val="110"/>
        </w:rPr>
        <w:t>services</w:t>
      </w:r>
      <w:r w:rsidRPr="00A07550">
        <w:rPr>
          <w:rFonts w:ascii="Calibri" w:hAnsi="Calibri"/>
          <w:color w:val="231F20"/>
          <w:spacing w:val="-13"/>
          <w:w w:val="110"/>
        </w:rPr>
        <w:t xml:space="preserve"> </w:t>
      </w:r>
      <w:r w:rsidRPr="00A07550">
        <w:rPr>
          <w:rFonts w:ascii="Calibri" w:hAnsi="Calibri"/>
          <w:color w:val="231F20"/>
          <w:w w:val="110"/>
        </w:rPr>
        <w:t>and</w:t>
      </w:r>
      <w:r w:rsidRPr="00A07550">
        <w:rPr>
          <w:rFonts w:ascii="Calibri" w:hAnsi="Calibri"/>
          <w:color w:val="231F20"/>
          <w:spacing w:val="-13"/>
          <w:w w:val="110"/>
        </w:rPr>
        <w:t xml:space="preserve"> </w:t>
      </w:r>
      <w:r w:rsidRPr="00A07550">
        <w:rPr>
          <w:rFonts w:ascii="Calibri" w:hAnsi="Calibri"/>
          <w:color w:val="231F20"/>
          <w:w w:val="110"/>
        </w:rPr>
        <w:t>the</w:t>
      </w:r>
      <w:r w:rsidRPr="00A07550">
        <w:rPr>
          <w:rFonts w:ascii="Calibri" w:hAnsi="Calibri"/>
          <w:color w:val="231F20"/>
          <w:spacing w:val="-13"/>
          <w:w w:val="110"/>
        </w:rPr>
        <w:t xml:space="preserve"> </w:t>
      </w:r>
      <w:r w:rsidRPr="00A07550">
        <w:rPr>
          <w:rFonts w:ascii="Calibri" w:hAnsi="Calibri"/>
          <w:color w:val="231F20"/>
          <w:w w:val="110"/>
        </w:rPr>
        <w:t>provision</w:t>
      </w:r>
      <w:r w:rsidRPr="00A07550">
        <w:rPr>
          <w:rFonts w:ascii="Calibri" w:hAnsi="Calibri"/>
          <w:color w:val="231F20"/>
          <w:w w:val="106"/>
        </w:rPr>
        <w:t xml:space="preserve"> </w:t>
      </w:r>
      <w:r w:rsidRPr="00A07550">
        <w:rPr>
          <w:rFonts w:ascii="Calibri" w:hAnsi="Calibri"/>
          <w:color w:val="231F20"/>
          <w:w w:val="110"/>
        </w:rPr>
        <w:t>of these services</w:t>
      </w:r>
      <w:r w:rsidR="00D5537E">
        <w:rPr>
          <w:rFonts w:ascii="Calibri" w:hAnsi="Calibri"/>
          <w:color w:val="231F20"/>
          <w:w w:val="110"/>
        </w:rPr>
        <w:t xml:space="preserve"> and</w:t>
      </w:r>
      <w:r w:rsidRPr="00A07550">
        <w:rPr>
          <w:rFonts w:ascii="Calibri" w:hAnsi="Calibri"/>
          <w:color w:val="231F20"/>
          <w:w w:val="110"/>
        </w:rPr>
        <w:t xml:space="preserve"> the suspension, reduction</w:t>
      </w:r>
      <w:r w:rsidR="00D5537E">
        <w:rPr>
          <w:rFonts w:ascii="Calibri" w:hAnsi="Calibri"/>
          <w:color w:val="231F20"/>
          <w:w w:val="110"/>
        </w:rPr>
        <w:t xml:space="preserve"> and</w:t>
      </w:r>
      <w:r w:rsidRPr="00A07550">
        <w:rPr>
          <w:rFonts w:ascii="Calibri" w:hAnsi="Calibri"/>
          <w:color w:val="231F20"/>
          <w:w w:val="110"/>
        </w:rPr>
        <w:t xml:space="preserve"> termination of these</w:t>
      </w:r>
      <w:r w:rsidRPr="00A07550">
        <w:rPr>
          <w:rFonts w:ascii="Calibri" w:hAnsi="Calibri"/>
          <w:color w:val="231F20"/>
          <w:spacing w:val="-36"/>
          <w:w w:val="110"/>
        </w:rPr>
        <w:t xml:space="preserve"> </w:t>
      </w:r>
      <w:r w:rsidRPr="00A07550">
        <w:rPr>
          <w:rFonts w:ascii="Calibri" w:hAnsi="Calibri"/>
          <w:color w:val="231F20"/>
          <w:w w:val="110"/>
        </w:rPr>
        <w:t>services</w:t>
      </w:r>
    </w:p>
    <w:p w14:paraId="2E804372" w14:textId="77777777" w:rsidR="00A07550" w:rsidRPr="00A07550" w:rsidRDefault="00A07550" w:rsidP="00D63204">
      <w:pPr>
        <w:pStyle w:val="ListParagraph"/>
        <w:widowControl w:val="0"/>
        <w:spacing w:after="0" w:line="240" w:lineRule="auto"/>
        <w:ind w:left="827"/>
        <w:rPr>
          <w:rFonts w:ascii="Calibri" w:hAnsi="Calibri" w:cs="Calibri"/>
          <w:color w:val="231F20"/>
        </w:rPr>
      </w:pPr>
    </w:p>
    <w:p w14:paraId="60A5A967" w14:textId="4D70D82A" w:rsidR="00A07550" w:rsidRPr="006206D4" w:rsidRDefault="00A07550" w:rsidP="00D63204">
      <w:pPr>
        <w:pStyle w:val="ListParagraph"/>
        <w:widowControl w:val="0"/>
        <w:numPr>
          <w:ilvl w:val="0"/>
          <w:numId w:val="115"/>
        </w:numPr>
        <w:spacing w:before="90" w:after="0" w:line="240" w:lineRule="auto"/>
        <w:rPr>
          <w:rFonts w:ascii="Calibri" w:hAnsi="Calibri" w:cs="Calibri"/>
          <w:color w:val="231F20"/>
        </w:rPr>
      </w:pPr>
      <w:r w:rsidRPr="00A07550">
        <w:rPr>
          <w:rFonts w:ascii="Calibri" w:hAnsi="Calibri"/>
          <w:color w:val="231F20"/>
          <w:w w:val="105"/>
        </w:rPr>
        <w:t>The</w:t>
      </w:r>
      <w:r w:rsidRPr="00A07550">
        <w:rPr>
          <w:rFonts w:ascii="Calibri" w:hAnsi="Calibri"/>
          <w:color w:val="231F20"/>
          <w:spacing w:val="16"/>
          <w:w w:val="105"/>
        </w:rPr>
        <w:t xml:space="preserve"> </w:t>
      </w:r>
      <w:r w:rsidRPr="00A07550">
        <w:rPr>
          <w:rFonts w:ascii="Calibri" w:hAnsi="Calibri"/>
          <w:color w:val="231F20"/>
          <w:w w:val="105"/>
        </w:rPr>
        <w:t>determination</w:t>
      </w:r>
      <w:r w:rsidRPr="00A07550">
        <w:rPr>
          <w:rFonts w:ascii="Calibri" w:hAnsi="Calibri"/>
          <w:color w:val="231F20"/>
          <w:spacing w:val="16"/>
          <w:w w:val="105"/>
        </w:rPr>
        <w:t xml:space="preserve"> </w:t>
      </w:r>
      <w:r w:rsidRPr="00A07550">
        <w:rPr>
          <w:rFonts w:ascii="Calibri" w:hAnsi="Calibri"/>
          <w:color w:val="231F20"/>
          <w:w w:val="105"/>
        </w:rPr>
        <w:t>to</w:t>
      </w:r>
      <w:r w:rsidRPr="00A07550">
        <w:rPr>
          <w:rFonts w:ascii="Calibri" w:hAnsi="Calibri"/>
          <w:color w:val="231F20"/>
          <w:spacing w:val="16"/>
          <w:w w:val="105"/>
        </w:rPr>
        <w:t xml:space="preserve"> </w:t>
      </w:r>
      <w:r w:rsidRPr="00A07550">
        <w:rPr>
          <w:rFonts w:ascii="Calibri" w:hAnsi="Calibri"/>
          <w:color w:val="231F20"/>
          <w:w w:val="105"/>
        </w:rPr>
        <w:t>close</w:t>
      </w:r>
      <w:r w:rsidRPr="00A07550">
        <w:rPr>
          <w:rFonts w:ascii="Calibri" w:hAnsi="Calibri"/>
          <w:color w:val="231F20"/>
          <w:spacing w:val="16"/>
          <w:w w:val="105"/>
        </w:rPr>
        <w:t xml:space="preserve"> </w:t>
      </w:r>
      <w:r w:rsidRPr="00A07550">
        <w:rPr>
          <w:rFonts w:ascii="Calibri" w:hAnsi="Calibri"/>
          <w:color w:val="231F20"/>
          <w:w w:val="105"/>
        </w:rPr>
        <w:t>the</w:t>
      </w:r>
      <w:r w:rsidRPr="00A07550">
        <w:rPr>
          <w:rFonts w:ascii="Calibri" w:hAnsi="Calibri"/>
          <w:color w:val="231F20"/>
          <w:spacing w:val="16"/>
          <w:w w:val="105"/>
        </w:rPr>
        <w:t xml:space="preserve"> </w:t>
      </w:r>
      <w:r w:rsidRPr="00A07550">
        <w:rPr>
          <w:rFonts w:ascii="Calibri" w:hAnsi="Calibri"/>
          <w:color w:val="231F20"/>
          <w:w w:val="105"/>
        </w:rPr>
        <w:t>records</w:t>
      </w:r>
      <w:r w:rsidRPr="00A07550">
        <w:rPr>
          <w:rFonts w:ascii="Calibri" w:hAnsi="Calibri"/>
          <w:color w:val="231F20"/>
          <w:spacing w:val="16"/>
          <w:w w:val="105"/>
        </w:rPr>
        <w:t xml:space="preserve"> </w:t>
      </w:r>
      <w:r w:rsidRPr="00A07550">
        <w:rPr>
          <w:rFonts w:ascii="Calibri" w:hAnsi="Calibri"/>
          <w:color w:val="231F20"/>
          <w:w w:val="105"/>
        </w:rPr>
        <w:t>of</w:t>
      </w:r>
      <w:r w:rsidRPr="00A07550">
        <w:rPr>
          <w:rFonts w:ascii="Calibri" w:hAnsi="Calibri"/>
          <w:color w:val="231F20"/>
          <w:spacing w:val="16"/>
          <w:w w:val="105"/>
        </w:rPr>
        <w:t xml:space="preserve"> </w:t>
      </w:r>
      <w:r w:rsidRPr="00A07550">
        <w:rPr>
          <w:rFonts w:ascii="Calibri" w:hAnsi="Calibri"/>
          <w:color w:val="231F20"/>
          <w:w w:val="105"/>
        </w:rPr>
        <w:t>services</w:t>
      </w:r>
      <w:r w:rsidRPr="00A07550">
        <w:rPr>
          <w:rFonts w:ascii="Calibri" w:hAnsi="Calibri"/>
          <w:color w:val="231F20"/>
          <w:spacing w:val="16"/>
          <w:w w:val="105"/>
        </w:rPr>
        <w:t xml:space="preserve"> </w:t>
      </w:r>
      <w:r w:rsidRPr="00A07550">
        <w:rPr>
          <w:rFonts w:ascii="Calibri" w:hAnsi="Calibri"/>
          <w:color w:val="231F20"/>
          <w:w w:val="105"/>
        </w:rPr>
        <w:t>of</w:t>
      </w:r>
      <w:r w:rsidRPr="00A07550">
        <w:rPr>
          <w:rFonts w:ascii="Calibri" w:hAnsi="Calibri"/>
          <w:color w:val="231F20"/>
          <w:spacing w:val="16"/>
          <w:w w:val="105"/>
        </w:rPr>
        <w:t xml:space="preserve"> </w:t>
      </w:r>
      <w:r w:rsidRPr="00A07550">
        <w:rPr>
          <w:rFonts w:ascii="Calibri" w:hAnsi="Calibri"/>
          <w:color w:val="231F20"/>
          <w:w w:val="105"/>
        </w:rPr>
        <w:t>an</w:t>
      </w:r>
      <w:r w:rsidRPr="00A07550">
        <w:rPr>
          <w:rFonts w:ascii="Calibri" w:hAnsi="Calibri"/>
          <w:color w:val="231F20"/>
          <w:spacing w:val="16"/>
          <w:w w:val="105"/>
        </w:rPr>
        <w:t xml:space="preserve"> </w:t>
      </w:r>
      <w:r w:rsidRPr="00A07550">
        <w:rPr>
          <w:rFonts w:ascii="Calibri" w:hAnsi="Calibri"/>
          <w:color w:val="231F20"/>
          <w:w w:val="105"/>
        </w:rPr>
        <w:t>individual</w:t>
      </w:r>
      <w:r w:rsidRPr="00A07550">
        <w:rPr>
          <w:rFonts w:ascii="Calibri" w:hAnsi="Calibri"/>
          <w:color w:val="231F20"/>
          <w:spacing w:val="16"/>
          <w:w w:val="105"/>
        </w:rPr>
        <w:t xml:space="preserve"> </w:t>
      </w:r>
      <w:r w:rsidRPr="00A07550">
        <w:rPr>
          <w:rFonts w:ascii="Calibri" w:hAnsi="Calibri"/>
          <w:color w:val="231F20"/>
          <w:w w:val="105"/>
        </w:rPr>
        <w:t>who</w:t>
      </w:r>
      <w:r w:rsidRPr="00A07550">
        <w:rPr>
          <w:rFonts w:ascii="Calibri" w:hAnsi="Calibri"/>
          <w:color w:val="231F20"/>
          <w:spacing w:val="16"/>
          <w:w w:val="105"/>
        </w:rPr>
        <w:t xml:space="preserve"> </w:t>
      </w:r>
      <w:r w:rsidRPr="00A07550">
        <w:rPr>
          <w:rFonts w:ascii="Calibri" w:hAnsi="Calibri"/>
          <w:color w:val="231F20"/>
          <w:w w:val="105"/>
        </w:rPr>
        <w:t>has</w:t>
      </w:r>
      <w:r w:rsidRPr="00A07550">
        <w:rPr>
          <w:rFonts w:ascii="Calibri" w:hAnsi="Calibri"/>
          <w:color w:val="231F20"/>
          <w:spacing w:val="16"/>
          <w:w w:val="105"/>
        </w:rPr>
        <w:t xml:space="preserve"> </w:t>
      </w:r>
      <w:r w:rsidRPr="00A07550">
        <w:rPr>
          <w:rFonts w:ascii="Calibri" w:hAnsi="Calibri"/>
          <w:color w:val="231F20"/>
          <w:w w:val="105"/>
        </w:rPr>
        <w:t>achieved</w:t>
      </w:r>
      <w:r w:rsidRPr="00A07550">
        <w:rPr>
          <w:rFonts w:ascii="Calibri" w:hAnsi="Calibri"/>
          <w:color w:val="231F20"/>
          <w:spacing w:val="16"/>
          <w:w w:val="105"/>
        </w:rPr>
        <w:t xml:space="preserve"> </w:t>
      </w:r>
      <w:r w:rsidRPr="00A07550">
        <w:rPr>
          <w:rFonts w:ascii="Calibri" w:hAnsi="Calibri"/>
          <w:color w:val="231F20"/>
          <w:w w:val="105"/>
        </w:rPr>
        <w:t>an</w:t>
      </w:r>
      <w:r w:rsidRPr="00A07550">
        <w:rPr>
          <w:rFonts w:ascii="Calibri" w:hAnsi="Calibri"/>
          <w:color w:val="231F20"/>
          <w:w w:val="107"/>
        </w:rPr>
        <w:t xml:space="preserve"> </w:t>
      </w:r>
      <w:r w:rsidRPr="00A07550">
        <w:rPr>
          <w:rFonts w:ascii="Calibri" w:hAnsi="Calibri"/>
          <w:color w:val="231F20"/>
          <w:w w:val="105"/>
        </w:rPr>
        <w:t>employment</w:t>
      </w:r>
      <w:r w:rsidRPr="00A07550">
        <w:rPr>
          <w:rFonts w:ascii="Calibri" w:hAnsi="Calibri"/>
          <w:color w:val="231F20"/>
          <w:spacing w:val="4"/>
          <w:w w:val="105"/>
        </w:rPr>
        <w:t xml:space="preserve"> </w:t>
      </w:r>
      <w:r w:rsidRPr="00A07550">
        <w:rPr>
          <w:rFonts w:ascii="Calibri" w:hAnsi="Calibri"/>
          <w:color w:val="231F20"/>
          <w:w w:val="105"/>
        </w:rPr>
        <w:t>outcome</w:t>
      </w:r>
    </w:p>
    <w:p w14:paraId="7D21A4E3" w14:textId="77777777" w:rsidR="006206D4" w:rsidRPr="00A07550" w:rsidRDefault="006206D4" w:rsidP="00D63204">
      <w:pPr>
        <w:pStyle w:val="ListParagraph"/>
        <w:widowControl w:val="0"/>
        <w:spacing w:before="90" w:after="0" w:line="240" w:lineRule="auto"/>
        <w:ind w:left="827"/>
        <w:rPr>
          <w:rFonts w:ascii="Calibri" w:hAnsi="Calibri" w:cs="Calibri"/>
          <w:color w:val="231F20"/>
        </w:rPr>
      </w:pPr>
    </w:p>
    <w:p w14:paraId="4E60BA8B" w14:textId="31373DFA" w:rsidR="00A07550" w:rsidRPr="006206D4" w:rsidRDefault="00A07550" w:rsidP="00D63204">
      <w:pPr>
        <w:pStyle w:val="ListParagraph"/>
        <w:widowControl w:val="0"/>
        <w:numPr>
          <w:ilvl w:val="0"/>
          <w:numId w:val="115"/>
        </w:numPr>
        <w:spacing w:before="91" w:after="0" w:line="240" w:lineRule="auto"/>
        <w:rPr>
          <w:rFonts w:ascii="Calibri" w:hAnsi="Calibri" w:cs="Calibri"/>
          <w:color w:val="231F20"/>
        </w:rPr>
      </w:pPr>
      <w:r w:rsidRPr="00A07550">
        <w:rPr>
          <w:rFonts w:ascii="Calibri" w:hAnsi="Calibri"/>
          <w:color w:val="231F20"/>
          <w:w w:val="105"/>
        </w:rPr>
        <w:t>Policy formulation and</w:t>
      </w:r>
      <w:r w:rsidRPr="00A07550">
        <w:rPr>
          <w:rFonts w:ascii="Calibri" w:hAnsi="Calibri"/>
          <w:color w:val="231F20"/>
          <w:spacing w:val="13"/>
          <w:w w:val="105"/>
        </w:rPr>
        <w:t xml:space="preserve"> </w:t>
      </w:r>
      <w:r w:rsidRPr="00A07550">
        <w:rPr>
          <w:rFonts w:ascii="Calibri" w:hAnsi="Calibri"/>
          <w:color w:val="231F20"/>
          <w:w w:val="105"/>
        </w:rPr>
        <w:t>implementation</w:t>
      </w:r>
    </w:p>
    <w:p w14:paraId="2F516A9A" w14:textId="77777777" w:rsidR="006206D4" w:rsidRPr="00A07550" w:rsidRDefault="006206D4" w:rsidP="00D63204">
      <w:pPr>
        <w:pStyle w:val="ListParagraph"/>
        <w:widowControl w:val="0"/>
        <w:spacing w:before="91" w:after="0" w:line="240" w:lineRule="auto"/>
        <w:ind w:left="827"/>
        <w:rPr>
          <w:rFonts w:ascii="Calibri" w:hAnsi="Calibri" w:cs="Calibri"/>
          <w:color w:val="231F20"/>
        </w:rPr>
      </w:pPr>
    </w:p>
    <w:p w14:paraId="6FE15670" w14:textId="14D3A6D2" w:rsidR="00A07550" w:rsidRPr="006206D4" w:rsidRDefault="00A07550" w:rsidP="00D63204">
      <w:pPr>
        <w:pStyle w:val="ListParagraph"/>
        <w:widowControl w:val="0"/>
        <w:numPr>
          <w:ilvl w:val="0"/>
          <w:numId w:val="115"/>
        </w:numPr>
        <w:spacing w:before="85" w:after="0" w:line="240" w:lineRule="auto"/>
        <w:rPr>
          <w:rFonts w:ascii="Calibri" w:hAnsi="Calibri" w:cs="Calibri"/>
          <w:color w:val="231F20"/>
        </w:rPr>
      </w:pPr>
      <w:r w:rsidRPr="00A07550">
        <w:rPr>
          <w:rFonts w:ascii="Calibri" w:hAnsi="Calibri"/>
          <w:color w:val="231F20"/>
          <w:w w:val="105"/>
        </w:rPr>
        <w:t>Allocation and expenditure of VR</w:t>
      </w:r>
      <w:r w:rsidRPr="00A07550">
        <w:rPr>
          <w:rFonts w:ascii="Calibri" w:hAnsi="Calibri"/>
          <w:color w:val="231F20"/>
          <w:spacing w:val="25"/>
          <w:w w:val="105"/>
        </w:rPr>
        <w:t xml:space="preserve"> </w:t>
      </w:r>
      <w:r w:rsidRPr="00A07550">
        <w:rPr>
          <w:rFonts w:ascii="Calibri" w:hAnsi="Calibri"/>
          <w:color w:val="231F20"/>
          <w:w w:val="105"/>
        </w:rPr>
        <w:t>funds</w:t>
      </w:r>
    </w:p>
    <w:p w14:paraId="01BCFE90" w14:textId="77777777" w:rsidR="006206D4" w:rsidRPr="006206D4" w:rsidRDefault="006206D4" w:rsidP="006206D4">
      <w:pPr>
        <w:pStyle w:val="ListParagraph"/>
        <w:rPr>
          <w:rFonts w:ascii="Calibri" w:hAnsi="Calibri" w:cs="Calibri"/>
          <w:color w:val="231F20"/>
        </w:rPr>
      </w:pPr>
    </w:p>
    <w:p w14:paraId="2F134AFB" w14:textId="0F74E74A" w:rsidR="006206D4" w:rsidRPr="006206D4" w:rsidRDefault="00A07550" w:rsidP="00D63204">
      <w:pPr>
        <w:pStyle w:val="ListParagraph"/>
        <w:widowControl w:val="0"/>
        <w:numPr>
          <w:ilvl w:val="0"/>
          <w:numId w:val="115"/>
        </w:numPr>
        <w:spacing w:before="83" w:after="0" w:line="240" w:lineRule="auto"/>
        <w:rPr>
          <w:rFonts w:ascii="Calibri" w:hAnsi="Calibri"/>
        </w:rPr>
      </w:pPr>
      <w:r w:rsidRPr="006206D4">
        <w:rPr>
          <w:rFonts w:ascii="Calibri" w:hAnsi="Calibri"/>
          <w:color w:val="231F20"/>
          <w:w w:val="105"/>
        </w:rPr>
        <w:t>Participation as a partner in the CareerSource Florida service delivery</w:t>
      </w:r>
      <w:r w:rsidRPr="006206D4">
        <w:rPr>
          <w:rFonts w:ascii="Calibri" w:hAnsi="Calibri"/>
          <w:color w:val="231F20"/>
          <w:spacing w:val="20"/>
          <w:w w:val="105"/>
        </w:rPr>
        <w:t xml:space="preserve"> </w:t>
      </w:r>
      <w:r w:rsidRPr="006206D4">
        <w:rPr>
          <w:rFonts w:ascii="Calibri" w:hAnsi="Calibri"/>
          <w:color w:val="231F20"/>
          <w:w w:val="105"/>
        </w:rPr>
        <w:t>system</w:t>
      </w:r>
    </w:p>
    <w:p w14:paraId="12D9B0A4" w14:textId="77777777" w:rsidR="006206D4" w:rsidRPr="006206D4" w:rsidRDefault="006206D4" w:rsidP="00D63204">
      <w:pPr>
        <w:pStyle w:val="ListParagraph"/>
        <w:widowControl w:val="0"/>
        <w:spacing w:before="83" w:after="0" w:line="240" w:lineRule="auto"/>
        <w:ind w:left="827"/>
        <w:rPr>
          <w:rFonts w:ascii="Calibri" w:hAnsi="Calibri"/>
        </w:rPr>
      </w:pPr>
    </w:p>
    <w:p w14:paraId="5D70601E" w14:textId="77777777" w:rsidR="00240694" w:rsidRDefault="00240694">
      <w:pPr>
        <w:rPr>
          <w:rFonts w:ascii="Calibri" w:hAnsi="Calibri"/>
          <w:color w:val="231F20"/>
          <w:w w:val="105"/>
        </w:rPr>
      </w:pPr>
      <w:r>
        <w:rPr>
          <w:rFonts w:ascii="Calibri" w:hAnsi="Calibri"/>
          <w:color w:val="231F20"/>
          <w:w w:val="105"/>
        </w:rPr>
        <w:br w:type="page"/>
      </w:r>
    </w:p>
    <w:p w14:paraId="7B6D109E" w14:textId="77777777" w:rsidR="00240694" w:rsidRDefault="00240694" w:rsidP="00D63204">
      <w:pPr>
        <w:pStyle w:val="ListParagraph"/>
        <w:widowControl w:val="0"/>
        <w:spacing w:before="83" w:after="0" w:line="240" w:lineRule="auto"/>
        <w:ind w:left="107"/>
        <w:rPr>
          <w:rFonts w:ascii="Calibri" w:hAnsi="Calibri"/>
          <w:color w:val="231F20"/>
          <w:w w:val="105"/>
        </w:rPr>
      </w:pPr>
    </w:p>
    <w:p w14:paraId="42C1456D" w14:textId="3B245210" w:rsidR="00A07550" w:rsidRDefault="00A07550" w:rsidP="00D63204">
      <w:pPr>
        <w:pStyle w:val="ListParagraph"/>
        <w:widowControl w:val="0"/>
        <w:spacing w:before="83" w:after="0" w:line="240" w:lineRule="auto"/>
        <w:ind w:left="107"/>
        <w:rPr>
          <w:rFonts w:ascii="Calibri" w:hAnsi="Calibri"/>
          <w:color w:val="231F20"/>
          <w:w w:val="105"/>
        </w:rPr>
      </w:pPr>
      <w:r w:rsidRPr="006206D4">
        <w:rPr>
          <w:rFonts w:ascii="Calibri" w:hAnsi="Calibri"/>
          <w:color w:val="231F20"/>
          <w:w w:val="105"/>
        </w:rPr>
        <w:t>Described in the following table is information from institutions of higher education in Florida that</w:t>
      </w:r>
      <w:r w:rsidRPr="006206D4">
        <w:rPr>
          <w:rFonts w:ascii="Calibri" w:hAnsi="Calibri"/>
          <w:color w:val="231F20"/>
          <w:spacing w:val="43"/>
          <w:w w:val="105"/>
        </w:rPr>
        <w:t xml:space="preserve"> </w:t>
      </w:r>
      <w:r w:rsidRPr="006206D4">
        <w:rPr>
          <w:rFonts w:ascii="Calibri" w:hAnsi="Calibri"/>
          <w:color w:val="231F20"/>
          <w:w w:val="105"/>
        </w:rPr>
        <w:t>prepare</w:t>
      </w:r>
      <w:r w:rsidRPr="006206D4">
        <w:rPr>
          <w:rFonts w:ascii="Calibri" w:hAnsi="Calibri"/>
          <w:color w:val="231F20"/>
          <w:w w:val="107"/>
        </w:rPr>
        <w:t xml:space="preserve"> </w:t>
      </w:r>
      <w:r w:rsidRPr="006206D4">
        <w:rPr>
          <w:rFonts w:ascii="Calibri" w:hAnsi="Calibri"/>
          <w:color w:val="231F20"/>
          <w:w w:val="105"/>
        </w:rPr>
        <w:t>vocational rehabilitation professionals, categorized by institution and type of program.</w:t>
      </w:r>
    </w:p>
    <w:p w14:paraId="4960FABD" w14:textId="77777777" w:rsidR="006206D4" w:rsidRPr="00A23800" w:rsidRDefault="006206D4" w:rsidP="00D63204">
      <w:pPr>
        <w:pStyle w:val="ListParagraph"/>
        <w:widowControl w:val="0"/>
        <w:spacing w:before="83" w:after="0" w:line="240" w:lineRule="auto"/>
        <w:ind w:left="107"/>
        <w:rPr>
          <w:rFonts w:ascii="Calibri" w:hAnsi="Calibri" w:cs="Calibri"/>
          <w:sz w:val="14"/>
          <w:szCs w:val="14"/>
        </w:rPr>
      </w:pPr>
    </w:p>
    <w:p w14:paraId="0B912CF5" w14:textId="77777777" w:rsidR="00A07550" w:rsidRPr="00A23800" w:rsidRDefault="00A07550" w:rsidP="00D63204">
      <w:pPr>
        <w:widowControl w:val="0"/>
        <w:spacing w:before="57" w:after="0" w:line="240" w:lineRule="auto"/>
        <w:ind w:left="107"/>
        <w:outlineLvl w:val="2"/>
        <w:rPr>
          <w:rFonts w:ascii="Calibri" w:hAnsi="Calibri"/>
        </w:rPr>
      </w:pPr>
      <w:bookmarkStart w:id="149" w:name="_bookmark83"/>
      <w:bookmarkEnd w:id="149"/>
      <w:r w:rsidRPr="00A23800">
        <w:rPr>
          <w:rFonts w:ascii="Calibri" w:hAnsi="Calibri"/>
          <w:b/>
          <w:bCs/>
          <w:w w:val="115"/>
        </w:rPr>
        <w:t>Figure</w:t>
      </w:r>
      <w:r w:rsidRPr="00A23800">
        <w:rPr>
          <w:rFonts w:ascii="Calibri" w:hAnsi="Calibri"/>
          <w:b/>
          <w:bCs/>
          <w:spacing w:val="-7"/>
          <w:w w:val="115"/>
        </w:rPr>
        <w:t xml:space="preserve"> </w:t>
      </w:r>
      <w:r w:rsidRPr="00A23800">
        <w:rPr>
          <w:rFonts w:ascii="Calibri" w:hAnsi="Calibri"/>
          <w:b/>
          <w:bCs/>
          <w:spacing w:val="-3"/>
          <w:w w:val="115"/>
        </w:rPr>
        <w:t>9.02</w:t>
      </w:r>
    </w:p>
    <w:p w14:paraId="5B767BFC" w14:textId="77777777" w:rsidR="00A07550" w:rsidRPr="00A23800" w:rsidRDefault="00A07550" w:rsidP="00D63204">
      <w:pPr>
        <w:widowControl w:val="0"/>
        <w:spacing w:after="0" w:line="240" w:lineRule="auto"/>
        <w:ind w:left="107"/>
        <w:rPr>
          <w:rFonts w:ascii="Calibri" w:hAnsi="Calibri" w:cs="Calibri"/>
        </w:rPr>
      </w:pPr>
      <w:r w:rsidRPr="00A23800">
        <w:rPr>
          <w:rFonts w:ascii="Calibri" w:hAnsi="Calibri"/>
          <w:b/>
          <w:color w:val="231F20"/>
          <w:w w:val="110"/>
        </w:rPr>
        <w:t>Program</w:t>
      </w:r>
      <w:r w:rsidRPr="00A23800">
        <w:rPr>
          <w:rFonts w:ascii="Calibri" w:hAnsi="Calibri"/>
          <w:b/>
          <w:color w:val="231F20"/>
          <w:spacing w:val="-10"/>
          <w:w w:val="110"/>
        </w:rPr>
        <w:t xml:space="preserve"> </w:t>
      </w:r>
      <w:r w:rsidRPr="00A23800">
        <w:rPr>
          <w:rFonts w:ascii="Calibri" w:hAnsi="Calibri"/>
          <w:b/>
          <w:color w:val="231F20"/>
          <w:w w:val="110"/>
        </w:rPr>
        <w:t>Data</w:t>
      </w:r>
      <w:r w:rsidRPr="00A23800">
        <w:rPr>
          <w:rFonts w:ascii="Calibri" w:hAnsi="Calibri"/>
          <w:b/>
          <w:color w:val="231F20"/>
          <w:spacing w:val="-10"/>
          <w:w w:val="110"/>
        </w:rPr>
        <w:t xml:space="preserve"> </w:t>
      </w:r>
      <w:r w:rsidRPr="00A23800">
        <w:rPr>
          <w:rFonts w:ascii="Calibri" w:hAnsi="Calibri"/>
          <w:b/>
          <w:color w:val="231F20"/>
          <w:w w:val="110"/>
        </w:rPr>
        <w:t>for</w:t>
      </w:r>
      <w:r w:rsidRPr="00A23800">
        <w:rPr>
          <w:rFonts w:ascii="Calibri" w:hAnsi="Calibri"/>
          <w:b/>
          <w:color w:val="231F20"/>
          <w:spacing w:val="-10"/>
          <w:w w:val="110"/>
        </w:rPr>
        <w:t xml:space="preserve"> </w:t>
      </w:r>
      <w:r w:rsidRPr="00A23800">
        <w:rPr>
          <w:rFonts w:ascii="Calibri" w:hAnsi="Calibri"/>
          <w:b/>
          <w:color w:val="231F20"/>
          <w:w w:val="110"/>
        </w:rPr>
        <w:t>Institutions</w:t>
      </w:r>
      <w:r w:rsidRPr="00A23800">
        <w:rPr>
          <w:rFonts w:ascii="Calibri" w:hAnsi="Calibri"/>
          <w:b/>
          <w:color w:val="231F20"/>
          <w:spacing w:val="-10"/>
          <w:w w:val="110"/>
        </w:rPr>
        <w:t xml:space="preserve"> </w:t>
      </w:r>
      <w:r w:rsidRPr="00A23800">
        <w:rPr>
          <w:rFonts w:ascii="Calibri" w:hAnsi="Calibri"/>
          <w:b/>
          <w:color w:val="231F20"/>
          <w:w w:val="110"/>
        </w:rPr>
        <w:t>of</w:t>
      </w:r>
      <w:r w:rsidRPr="00A23800">
        <w:rPr>
          <w:rFonts w:ascii="Calibri" w:hAnsi="Calibri"/>
          <w:b/>
          <w:color w:val="231F20"/>
          <w:spacing w:val="-10"/>
          <w:w w:val="110"/>
        </w:rPr>
        <w:t xml:space="preserve"> </w:t>
      </w:r>
      <w:r w:rsidRPr="00A23800">
        <w:rPr>
          <w:rFonts w:ascii="Calibri" w:hAnsi="Calibri"/>
          <w:b/>
          <w:color w:val="231F20"/>
          <w:w w:val="110"/>
        </w:rPr>
        <w:t>Higher</w:t>
      </w:r>
      <w:r w:rsidRPr="00A23800">
        <w:rPr>
          <w:rFonts w:ascii="Calibri" w:hAnsi="Calibri"/>
          <w:b/>
          <w:color w:val="231F20"/>
          <w:spacing w:val="-10"/>
          <w:w w:val="110"/>
        </w:rPr>
        <w:t xml:space="preserve"> </w:t>
      </w:r>
      <w:r w:rsidRPr="00A23800">
        <w:rPr>
          <w:rFonts w:ascii="Calibri" w:hAnsi="Calibri"/>
          <w:b/>
          <w:color w:val="231F20"/>
          <w:w w:val="110"/>
        </w:rPr>
        <w:t>Education</w:t>
      </w:r>
    </w:p>
    <w:p w14:paraId="6B7F493D" w14:textId="77777777" w:rsidR="00A07550" w:rsidRPr="00A23800" w:rsidRDefault="00A07550" w:rsidP="00D63204">
      <w:pPr>
        <w:widowControl w:val="0"/>
        <w:spacing w:before="1" w:after="0" w:line="240" w:lineRule="auto"/>
        <w:ind w:left="107"/>
        <w:rPr>
          <w:rFonts w:ascii="Calibri" w:hAnsi="Calibri" w:cs="Calibri"/>
          <w:b/>
          <w:bCs/>
          <w:sz w:val="18"/>
          <w:szCs w:val="18"/>
        </w:rPr>
      </w:pPr>
    </w:p>
    <w:tbl>
      <w:tblPr>
        <w:tblW w:w="0" w:type="auto"/>
        <w:tblInd w:w="108" w:type="dxa"/>
        <w:tblLayout w:type="fixed"/>
        <w:tblCellMar>
          <w:left w:w="0" w:type="dxa"/>
          <w:right w:w="0" w:type="dxa"/>
        </w:tblCellMar>
        <w:tblLook w:val="01E0" w:firstRow="1" w:lastRow="1" w:firstColumn="1" w:lastColumn="1" w:noHBand="0" w:noVBand="0"/>
      </w:tblPr>
      <w:tblGrid>
        <w:gridCol w:w="4026"/>
        <w:gridCol w:w="1530"/>
        <w:gridCol w:w="1530"/>
        <w:gridCol w:w="1530"/>
        <w:gridCol w:w="1530"/>
      </w:tblGrid>
      <w:tr w:rsidR="00A07550" w:rsidRPr="00A23800" w14:paraId="3163AAFC" w14:textId="77777777" w:rsidTr="00BF1832">
        <w:trPr>
          <w:trHeight w:hRule="exact" w:val="1026"/>
        </w:trPr>
        <w:tc>
          <w:tcPr>
            <w:tcW w:w="4026" w:type="dxa"/>
            <w:tcBorders>
              <w:top w:val="single" w:sz="2" w:space="0" w:color="231F20"/>
              <w:left w:val="single" w:sz="2" w:space="0" w:color="231F20"/>
              <w:bottom w:val="single" w:sz="2" w:space="0" w:color="231F20"/>
              <w:right w:val="single" w:sz="2" w:space="0" w:color="231F20"/>
            </w:tcBorders>
            <w:vAlign w:val="center"/>
          </w:tcPr>
          <w:p w14:paraId="0D7C3E33" w14:textId="77777777" w:rsidR="00A07550" w:rsidRPr="00A23800" w:rsidRDefault="00A07550" w:rsidP="00BF1832">
            <w:pPr>
              <w:widowControl w:val="0"/>
              <w:spacing w:before="155" w:after="0" w:line="240" w:lineRule="auto"/>
              <w:ind w:left="107"/>
              <w:rPr>
                <w:rFonts w:ascii="Calibri" w:hAnsi="Calibri" w:cs="Calibri"/>
                <w:sz w:val="20"/>
                <w:szCs w:val="20"/>
              </w:rPr>
            </w:pPr>
            <w:r w:rsidRPr="00A23800">
              <w:rPr>
                <w:rFonts w:ascii="Calibri" w:hAnsi="Calibri"/>
                <w:b/>
                <w:color w:val="231F20"/>
                <w:w w:val="110"/>
                <w:sz w:val="20"/>
              </w:rPr>
              <w:t>Institution,</w:t>
            </w:r>
            <w:r w:rsidRPr="00A23800">
              <w:rPr>
                <w:rFonts w:ascii="Calibri" w:hAnsi="Calibri"/>
                <w:b/>
                <w:color w:val="231F20"/>
                <w:spacing w:val="-10"/>
                <w:w w:val="110"/>
                <w:sz w:val="20"/>
              </w:rPr>
              <w:t xml:space="preserve"> </w:t>
            </w:r>
            <w:r w:rsidRPr="00A23800">
              <w:rPr>
                <w:rFonts w:ascii="Calibri" w:hAnsi="Calibri"/>
                <w:b/>
                <w:color w:val="231F20"/>
                <w:w w:val="110"/>
                <w:sz w:val="20"/>
              </w:rPr>
              <w:t>Program</w:t>
            </w:r>
            <w:r w:rsidRPr="00A23800">
              <w:rPr>
                <w:rFonts w:ascii="Calibri" w:hAnsi="Calibri"/>
                <w:b/>
                <w:color w:val="231F20"/>
                <w:spacing w:val="-10"/>
                <w:w w:val="110"/>
                <w:sz w:val="20"/>
              </w:rPr>
              <w:t xml:space="preserve"> </w:t>
            </w:r>
            <w:r w:rsidRPr="00A23800">
              <w:rPr>
                <w:rFonts w:ascii="Calibri" w:hAnsi="Calibri"/>
                <w:b/>
                <w:color w:val="231F20"/>
                <w:w w:val="110"/>
                <w:sz w:val="20"/>
              </w:rPr>
              <w:t>Type</w:t>
            </w:r>
            <w:r w:rsidRPr="00A23800">
              <w:rPr>
                <w:rFonts w:ascii="Calibri" w:hAnsi="Calibri"/>
                <w:b/>
                <w:color w:val="231F20"/>
                <w:spacing w:val="-10"/>
                <w:w w:val="110"/>
                <w:sz w:val="20"/>
              </w:rPr>
              <w:t xml:space="preserve"> </w:t>
            </w:r>
            <w:r w:rsidRPr="00A23800">
              <w:rPr>
                <w:rFonts w:ascii="Calibri" w:hAnsi="Calibri"/>
                <w:b/>
                <w:color w:val="231F20"/>
                <w:w w:val="110"/>
                <w:sz w:val="20"/>
              </w:rPr>
              <w:t>and</w:t>
            </w:r>
            <w:r w:rsidRPr="00A23800">
              <w:rPr>
                <w:rFonts w:ascii="Calibri" w:hAnsi="Calibri"/>
                <w:b/>
                <w:color w:val="231F20"/>
                <w:spacing w:val="-10"/>
                <w:w w:val="110"/>
                <w:sz w:val="20"/>
              </w:rPr>
              <w:t xml:space="preserve"> </w:t>
            </w:r>
            <w:r w:rsidRPr="00A23800">
              <w:rPr>
                <w:rFonts w:ascii="Calibri" w:hAnsi="Calibri"/>
                <w:b/>
                <w:color w:val="231F20"/>
                <w:w w:val="110"/>
                <w:sz w:val="20"/>
              </w:rPr>
              <w:t>Degree</w:t>
            </w:r>
          </w:p>
        </w:tc>
        <w:tc>
          <w:tcPr>
            <w:tcW w:w="1530" w:type="dxa"/>
            <w:tcBorders>
              <w:top w:val="single" w:sz="2" w:space="0" w:color="231F20"/>
              <w:left w:val="single" w:sz="2" w:space="0" w:color="231F20"/>
              <w:bottom w:val="single" w:sz="2" w:space="0" w:color="231F20"/>
              <w:right w:val="single" w:sz="2" w:space="0" w:color="231F20"/>
            </w:tcBorders>
            <w:vAlign w:val="center"/>
          </w:tcPr>
          <w:p w14:paraId="726AE904" w14:textId="77777777" w:rsidR="00A07550" w:rsidRPr="00A23800" w:rsidRDefault="00A07550" w:rsidP="00D63204">
            <w:pPr>
              <w:widowControl w:val="0"/>
              <w:spacing w:before="157" w:after="0" w:line="240" w:lineRule="auto"/>
              <w:ind w:left="107"/>
              <w:rPr>
                <w:rFonts w:ascii="Calibri" w:hAnsi="Calibri" w:cs="Calibri"/>
                <w:sz w:val="20"/>
                <w:szCs w:val="20"/>
              </w:rPr>
            </w:pPr>
            <w:r w:rsidRPr="00A23800">
              <w:rPr>
                <w:rFonts w:ascii="Calibri" w:hAnsi="Calibri"/>
                <w:b/>
                <w:color w:val="231F20"/>
                <w:w w:val="110"/>
                <w:sz w:val="20"/>
              </w:rPr>
              <w:t>Students</w:t>
            </w:r>
            <w:r w:rsidRPr="00A23800">
              <w:rPr>
                <w:rFonts w:ascii="Calibri" w:hAnsi="Calibri"/>
                <w:b/>
                <w:color w:val="231F20"/>
                <w:w w:val="107"/>
                <w:sz w:val="20"/>
              </w:rPr>
              <w:t xml:space="preserve"> </w:t>
            </w:r>
            <w:r w:rsidRPr="00A23800">
              <w:rPr>
                <w:rFonts w:ascii="Calibri" w:hAnsi="Calibri"/>
                <w:b/>
                <w:color w:val="231F20"/>
                <w:w w:val="105"/>
                <w:sz w:val="20"/>
              </w:rPr>
              <w:t>Currently</w:t>
            </w:r>
            <w:r w:rsidRPr="00A23800">
              <w:rPr>
                <w:rFonts w:ascii="Calibri" w:hAnsi="Calibri"/>
                <w:b/>
                <w:color w:val="231F20"/>
                <w:spacing w:val="-19"/>
                <w:w w:val="105"/>
                <w:sz w:val="20"/>
              </w:rPr>
              <w:t xml:space="preserve"> </w:t>
            </w:r>
            <w:r w:rsidRPr="00A23800">
              <w:rPr>
                <w:rFonts w:ascii="Calibri" w:hAnsi="Calibri"/>
                <w:b/>
                <w:color w:val="231F20"/>
                <w:w w:val="110"/>
                <w:sz w:val="20"/>
              </w:rPr>
              <w:t>Enrolled</w:t>
            </w:r>
          </w:p>
        </w:tc>
        <w:tc>
          <w:tcPr>
            <w:tcW w:w="1530" w:type="dxa"/>
            <w:tcBorders>
              <w:top w:val="single" w:sz="2" w:space="0" w:color="231F20"/>
              <w:left w:val="single" w:sz="2" w:space="0" w:color="231F20"/>
              <w:bottom w:val="single" w:sz="2" w:space="0" w:color="231F20"/>
              <w:right w:val="single" w:sz="2" w:space="0" w:color="231F20"/>
            </w:tcBorders>
            <w:vAlign w:val="center"/>
          </w:tcPr>
          <w:p w14:paraId="0A7A2B07" w14:textId="77777777" w:rsidR="00A07550" w:rsidRPr="00A23800" w:rsidRDefault="00A07550" w:rsidP="00D63204">
            <w:pPr>
              <w:widowControl w:val="0"/>
              <w:spacing w:before="159" w:after="0" w:line="240" w:lineRule="auto"/>
              <w:ind w:left="107"/>
              <w:rPr>
                <w:rFonts w:ascii="Calibri" w:hAnsi="Calibri" w:cs="Calibri"/>
                <w:sz w:val="20"/>
                <w:szCs w:val="20"/>
              </w:rPr>
            </w:pPr>
            <w:r w:rsidRPr="00A23800">
              <w:rPr>
                <w:rFonts w:ascii="Calibri" w:hAnsi="Calibri"/>
                <w:b/>
                <w:color w:val="231F20"/>
                <w:w w:val="110"/>
                <w:sz w:val="20"/>
              </w:rPr>
              <w:t>VR/RSA</w:t>
            </w:r>
          </w:p>
          <w:p w14:paraId="0BD166AA" w14:textId="77777777" w:rsidR="00A07550" w:rsidRPr="00A23800" w:rsidRDefault="00A07550" w:rsidP="00D63204">
            <w:pPr>
              <w:widowControl w:val="0"/>
              <w:spacing w:before="1" w:after="0" w:line="240" w:lineRule="auto"/>
              <w:ind w:left="107"/>
              <w:rPr>
                <w:rFonts w:ascii="Calibri" w:hAnsi="Calibri" w:cs="Calibri"/>
                <w:sz w:val="20"/>
                <w:szCs w:val="20"/>
              </w:rPr>
            </w:pPr>
            <w:r w:rsidRPr="00A23800">
              <w:rPr>
                <w:rFonts w:ascii="Calibri" w:hAnsi="Calibri"/>
                <w:b/>
                <w:color w:val="231F20"/>
                <w:w w:val="110"/>
                <w:sz w:val="20"/>
              </w:rPr>
              <w:t>Sponsored Employees</w:t>
            </w:r>
          </w:p>
        </w:tc>
        <w:tc>
          <w:tcPr>
            <w:tcW w:w="1530" w:type="dxa"/>
            <w:tcBorders>
              <w:top w:val="single" w:sz="2" w:space="0" w:color="231F20"/>
              <w:left w:val="single" w:sz="2" w:space="0" w:color="231F20"/>
              <w:bottom w:val="single" w:sz="2" w:space="0" w:color="231F20"/>
              <w:right w:val="single" w:sz="2" w:space="0" w:color="231F20"/>
            </w:tcBorders>
            <w:vAlign w:val="center"/>
          </w:tcPr>
          <w:p w14:paraId="7B5C474B" w14:textId="77777777" w:rsidR="00A07550" w:rsidRPr="00A23800" w:rsidRDefault="00A07550" w:rsidP="00D63204">
            <w:pPr>
              <w:widowControl w:val="0"/>
              <w:spacing w:before="159" w:after="0" w:line="240" w:lineRule="auto"/>
              <w:ind w:left="107"/>
              <w:rPr>
                <w:rFonts w:ascii="Calibri" w:hAnsi="Calibri" w:cs="Calibri"/>
                <w:sz w:val="20"/>
                <w:szCs w:val="20"/>
              </w:rPr>
            </w:pPr>
            <w:r w:rsidRPr="00A23800">
              <w:rPr>
                <w:rFonts w:ascii="Calibri" w:hAnsi="Calibri"/>
                <w:b/>
                <w:color w:val="231F20"/>
                <w:w w:val="110"/>
                <w:sz w:val="20"/>
              </w:rPr>
              <w:t>VR/RSA</w:t>
            </w:r>
          </w:p>
          <w:p w14:paraId="1E2809A6" w14:textId="77777777" w:rsidR="00A07550" w:rsidRPr="00A23800" w:rsidRDefault="00A07550" w:rsidP="00D63204">
            <w:pPr>
              <w:widowControl w:val="0"/>
              <w:spacing w:before="1" w:after="0" w:line="240" w:lineRule="auto"/>
              <w:ind w:left="107"/>
              <w:rPr>
                <w:rFonts w:ascii="Calibri" w:hAnsi="Calibri" w:cs="Calibri"/>
                <w:sz w:val="20"/>
                <w:szCs w:val="20"/>
              </w:rPr>
            </w:pPr>
            <w:r w:rsidRPr="00A23800">
              <w:rPr>
                <w:rFonts w:ascii="Calibri" w:hAnsi="Calibri"/>
                <w:b/>
                <w:color w:val="231F20"/>
                <w:w w:val="110"/>
                <w:sz w:val="20"/>
              </w:rPr>
              <w:t>Sponsored</w:t>
            </w:r>
            <w:r w:rsidRPr="00A23800">
              <w:rPr>
                <w:rFonts w:ascii="Calibri" w:hAnsi="Calibri"/>
                <w:b/>
                <w:color w:val="231F20"/>
                <w:spacing w:val="-45"/>
                <w:w w:val="110"/>
                <w:sz w:val="20"/>
              </w:rPr>
              <w:t xml:space="preserve"> </w:t>
            </w:r>
            <w:r w:rsidRPr="00A23800">
              <w:rPr>
                <w:rFonts w:ascii="Calibri" w:hAnsi="Calibri"/>
                <w:b/>
                <w:color w:val="231F20"/>
                <w:w w:val="105"/>
                <w:sz w:val="20"/>
              </w:rPr>
              <w:t>Graduates</w:t>
            </w:r>
          </w:p>
        </w:tc>
        <w:tc>
          <w:tcPr>
            <w:tcW w:w="1530" w:type="dxa"/>
            <w:tcBorders>
              <w:top w:val="single" w:sz="2" w:space="0" w:color="231F20"/>
              <w:left w:val="single" w:sz="2" w:space="0" w:color="231F20"/>
              <w:bottom w:val="single" w:sz="2" w:space="0" w:color="231F20"/>
              <w:right w:val="single" w:sz="2" w:space="0" w:color="231F20"/>
            </w:tcBorders>
            <w:vAlign w:val="center"/>
          </w:tcPr>
          <w:p w14:paraId="02B6944B" w14:textId="77777777" w:rsidR="00A07550" w:rsidRPr="00A23800" w:rsidRDefault="00A07550" w:rsidP="00D63204">
            <w:pPr>
              <w:widowControl w:val="0"/>
              <w:spacing w:after="0" w:line="240" w:lineRule="auto"/>
              <w:ind w:left="107"/>
              <w:rPr>
                <w:rFonts w:ascii="Calibri" w:hAnsi="Calibri" w:cs="Calibri"/>
                <w:sz w:val="20"/>
                <w:szCs w:val="20"/>
              </w:rPr>
            </w:pPr>
            <w:r w:rsidRPr="00A23800">
              <w:rPr>
                <w:rFonts w:ascii="Calibri" w:hAnsi="Calibri"/>
                <w:b/>
                <w:color w:val="231F20"/>
                <w:w w:val="110"/>
                <w:sz w:val="20"/>
              </w:rPr>
              <w:t>Previous</w:t>
            </w:r>
            <w:r w:rsidRPr="00A23800">
              <w:rPr>
                <w:rFonts w:ascii="Calibri" w:hAnsi="Calibri"/>
                <w:b/>
                <w:color w:val="231F20"/>
                <w:spacing w:val="6"/>
                <w:w w:val="110"/>
                <w:sz w:val="20"/>
              </w:rPr>
              <w:t xml:space="preserve"> </w:t>
            </w:r>
            <w:r w:rsidRPr="00A23800">
              <w:rPr>
                <w:rFonts w:ascii="Calibri" w:hAnsi="Calibri"/>
                <w:b/>
                <w:color w:val="231F20"/>
                <w:spacing w:val="-6"/>
                <w:w w:val="110"/>
                <w:sz w:val="20"/>
              </w:rPr>
              <w:t>Year</w:t>
            </w:r>
            <w:r w:rsidRPr="00A23800">
              <w:rPr>
                <w:rFonts w:ascii="Calibri" w:hAnsi="Calibri"/>
                <w:b/>
                <w:color w:val="231F20"/>
                <w:w w:val="107"/>
                <w:sz w:val="20"/>
              </w:rPr>
              <w:t xml:space="preserve"> </w:t>
            </w:r>
            <w:r w:rsidRPr="00A23800">
              <w:rPr>
                <w:rFonts w:ascii="Calibri" w:hAnsi="Calibri"/>
                <w:b/>
                <w:color w:val="231F20"/>
                <w:w w:val="105"/>
                <w:sz w:val="20"/>
              </w:rPr>
              <w:t>Graduates</w:t>
            </w:r>
          </w:p>
        </w:tc>
      </w:tr>
      <w:tr w:rsidR="00A07550" w:rsidRPr="00A23800" w14:paraId="44B21ED3" w14:textId="77777777" w:rsidTr="00BF1832">
        <w:trPr>
          <w:trHeight w:hRule="exact" w:val="1080"/>
        </w:trPr>
        <w:tc>
          <w:tcPr>
            <w:tcW w:w="4026" w:type="dxa"/>
            <w:tcBorders>
              <w:top w:val="single" w:sz="2" w:space="0" w:color="231F20"/>
              <w:left w:val="single" w:sz="2" w:space="0" w:color="231F20"/>
              <w:bottom w:val="single" w:sz="2" w:space="0" w:color="231F20"/>
              <w:right w:val="single" w:sz="2" w:space="0" w:color="231F20"/>
            </w:tcBorders>
            <w:shd w:val="clear" w:color="auto" w:fill="E6E7E8"/>
            <w:vAlign w:val="center"/>
          </w:tcPr>
          <w:p w14:paraId="2E88667D" w14:textId="77777777" w:rsidR="00A07550" w:rsidRPr="00A23800" w:rsidRDefault="00A07550" w:rsidP="00BF1832">
            <w:pPr>
              <w:widowControl w:val="0"/>
              <w:spacing w:after="0" w:line="240" w:lineRule="auto"/>
              <w:ind w:left="107"/>
              <w:rPr>
                <w:rFonts w:ascii="Calibri" w:hAnsi="Calibri" w:cs="Calibri"/>
                <w:sz w:val="20"/>
                <w:szCs w:val="20"/>
              </w:rPr>
            </w:pPr>
            <w:r w:rsidRPr="00A23800">
              <w:rPr>
                <w:rFonts w:ascii="Calibri" w:hAnsi="Calibri"/>
                <w:color w:val="231F20"/>
                <w:w w:val="105"/>
                <w:sz w:val="20"/>
              </w:rPr>
              <w:t>Florida Atlantic</w:t>
            </w:r>
            <w:r w:rsidRPr="00A23800">
              <w:rPr>
                <w:rFonts w:ascii="Calibri" w:hAnsi="Calibri"/>
                <w:color w:val="231F20"/>
                <w:spacing w:val="14"/>
                <w:w w:val="105"/>
                <w:sz w:val="20"/>
              </w:rPr>
              <w:t xml:space="preserve"> </w:t>
            </w:r>
            <w:r w:rsidRPr="00A23800">
              <w:rPr>
                <w:rFonts w:ascii="Calibri" w:hAnsi="Calibri"/>
                <w:color w:val="231F20"/>
                <w:w w:val="105"/>
                <w:sz w:val="20"/>
              </w:rPr>
              <w:t>University-</w:t>
            </w:r>
          </w:p>
          <w:p w14:paraId="41D096BD" w14:textId="77777777" w:rsidR="00A07550" w:rsidRPr="00A23800" w:rsidRDefault="00A07550" w:rsidP="00BF1832">
            <w:pPr>
              <w:widowControl w:val="0"/>
              <w:spacing w:before="1" w:after="0" w:line="240" w:lineRule="auto"/>
              <w:ind w:left="107"/>
              <w:rPr>
                <w:rFonts w:ascii="Calibri" w:hAnsi="Calibri" w:cs="Calibri"/>
                <w:sz w:val="20"/>
                <w:szCs w:val="20"/>
              </w:rPr>
            </w:pPr>
            <w:r w:rsidRPr="00A23800">
              <w:rPr>
                <w:rFonts w:ascii="Calibri" w:hAnsi="Calibri"/>
                <w:color w:val="231F20"/>
                <w:w w:val="105"/>
                <w:sz w:val="20"/>
              </w:rPr>
              <w:t>Graduate-level Rehabilitation</w:t>
            </w:r>
            <w:r w:rsidRPr="00A23800">
              <w:rPr>
                <w:rFonts w:ascii="Calibri" w:hAnsi="Calibri"/>
                <w:color w:val="231F20"/>
                <w:spacing w:val="20"/>
                <w:w w:val="105"/>
                <w:sz w:val="20"/>
              </w:rPr>
              <w:t xml:space="preserve"> </w:t>
            </w:r>
            <w:r w:rsidRPr="00A23800">
              <w:rPr>
                <w:rFonts w:ascii="Calibri" w:hAnsi="Calibri"/>
                <w:color w:val="231F20"/>
                <w:w w:val="105"/>
                <w:sz w:val="20"/>
              </w:rPr>
              <w:t>Training</w:t>
            </w:r>
            <w:r w:rsidRPr="00A23800">
              <w:rPr>
                <w:rFonts w:ascii="Calibri" w:hAnsi="Calibri"/>
                <w:color w:val="231F20"/>
                <w:w w:val="106"/>
                <w:sz w:val="20"/>
              </w:rPr>
              <w:t xml:space="preserve"> </w:t>
            </w:r>
            <w:r w:rsidRPr="00A23800">
              <w:rPr>
                <w:rFonts w:ascii="Calibri" w:hAnsi="Calibri"/>
                <w:color w:val="231F20"/>
                <w:w w:val="105"/>
                <w:sz w:val="20"/>
              </w:rPr>
              <w:t>Program; MEd and</w:t>
            </w:r>
            <w:r w:rsidRPr="00A23800">
              <w:rPr>
                <w:rFonts w:ascii="Calibri" w:hAnsi="Calibri"/>
                <w:color w:val="231F20"/>
                <w:spacing w:val="41"/>
                <w:w w:val="105"/>
                <w:sz w:val="20"/>
              </w:rPr>
              <w:t xml:space="preserve"> </w:t>
            </w:r>
            <w:r w:rsidRPr="00A23800">
              <w:rPr>
                <w:rFonts w:ascii="Calibri" w:hAnsi="Calibri"/>
                <w:color w:val="231F20"/>
                <w:w w:val="105"/>
                <w:sz w:val="20"/>
              </w:rPr>
              <w:t>PhD</w:t>
            </w:r>
          </w:p>
        </w:tc>
        <w:tc>
          <w:tcPr>
            <w:tcW w:w="1530" w:type="dxa"/>
            <w:tcBorders>
              <w:top w:val="single" w:sz="2" w:space="0" w:color="231F20"/>
              <w:left w:val="single" w:sz="2" w:space="0" w:color="231F20"/>
              <w:bottom w:val="single" w:sz="2" w:space="0" w:color="231F20"/>
              <w:right w:val="single" w:sz="2" w:space="0" w:color="231F20"/>
            </w:tcBorders>
            <w:shd w:val="clear" w:color="auto" w:fill="E6E7E8"/>
            <w:vAlign w:val="center"/>
          </w:tcPr>
          <w:p w14:paraId="27FBE663" w14:textId="77777777" w:rsidR="00A07550" w:rsidRPr="00A23800" w:rsidRDefault="00A07550" w:rsidP="00D63204">
            <w:pPr>
              <w:widowControl w:val="0"/>
              <w:spacing w:after="0" w:line="240" w:lineRule="auto"/>
              <w:ind w:left="107"/>
              <w:rPr>
                <w:rFonts w:ascii="Calibri" w:hAnsi="Calibri" w:cs="Calibri"/>
                <w:sz w:val="20"/>
                <w:szCs w:val="20"/>
              </w:rPr>
            </w:pPr>
            <w:r w:rsidRPr="00A23800">
              <w:rPr>
                <w:rFonts w:ascii="Calibri" w:hAnsi="Calibri"/>
                <w:color w:val="231F20"/>
                <w:w w:val="110"/>
                <w:sz w:val="20"/>
              </w:rPr>
              <w:t>MEd-</w:t>
            </w:r>
            <w:r w:rsidRPr="00A23800">
              <w:rPr>
                <w:rFonts w:ascii="Calibri" w:hAnsi="Calibri"/>
                <w:color w:val="231F20"/>
                <w:spacing w:val="-10"/>
                <w:w w:val="110"/>
                <w:sz w:val="20"/>
              </w:rPr>
              <w:t xml:space="preserve"> </w:t>
            </w:r>
            <w:r>
              <w:rPr>
                <w:rFonts w:ascii="Calibri" w:hAnsi="Calibri"/>
                <w:color w:val="231F20"/>
                <w:w w:val="110"/>
                <w:sz w:val="20"/>
              </w:rPr>
              <w:t>3</w:t>
            </w:r>
            <w:r w:rsidRPr="00A23800">
              <w:rPr>
                <w:rFonts w:ascii="Calibri" w:hAnsi="Calibri"/>
                <w:color w:val="231F20"/>
                <w:w w:val="110"/>
                <w:sz w:val="20"/>
              </w:rPr>
              <w:t>0</w:t>
            </w:r>
          </w:p>
          <w:p w14:paraId="05C21A24" w14:textId="77777777" w:rsidR="00A07550" w:rsidRPr="00A23800" w:rsidRDefault="00A07550" w:rsidP="00D63204">
            <w:pPr>
              <w:widowControl w:val="0"/>
              <w:spacing w:after="0" w:line="240" w:lineRule="auto"/>
              <w:ind w:left="107"/>
              <w:rPr>
                <w:rFonts w:ascii="Calibri" w:hAnsi="Calibri" w:cs="Calibri"/>
                <w:sz w:val="20"/>
                <w:szCs w:val="20"/>
              </w:rPr>
            </w:pPr>
            <w:r w:rsidRPr="00A23800">
              <w:rPr>
                <w:rFonts w:ascii="Calibri" w:hAnsi="Calibri"/>
                <w:color w:val="231F20"/>
                <w:w w:val="110"/>
                <w:sz w:val="20"/>
              </w:rPr>
              <w:t>PhD-</w:t>
            </w:r>
            <w:r w:rsidRPr="00A23800">
              <w:rPr>
                <w:rFonts w:ascii="Calibri" w:hAnsi="Calibri"/>
                <w:color w:val="231F20"/>
                <w:spacing w:val="-3"/>
                <w:w w:val="110"/>
                <w:sz w:val="20"/>
              </w:rPr>
              <w:t xml:space="preserve"> </w:t>
            </w:r>
            <w:r>
              <w:rPr>
                <w:rFonts w:ascii="Calibri" w:hAnsi="Calibri"/>
                <w:color w:val="231F20"/>
                <w:w w:val="110"/>
                <w:sz w:val="20"/>
              </w:rPr>
              <w:t>3</w:t>
            </w:r>
          </w:p>
        </w:tc>
        <w:tc>
          <w:tcPr>
            <w:tcW w:w="1530" w:type="dxa"/>
            <w:tcBorders>
              <w:top w:val="single" w:sz="2" w:space="0" w:color="231F20"/>
              <w:left w:val="single" w:sz="2" w:space="0" w:color="231F20"/>
              <w:bottom w:val="single" w:sz="2" w:space="0" w:color="231F20"/>
              <w:right w:val="single" w:sz="2" w:space="0" w:color="231F20"/>
            </w:tcBorders>
            <w:shd w:val="clear" w:color="auto" w:fill="E6E7E8"/>
            <w:vAlign w:val="center"/>
          </w:tcPr>
          <w:p w14:paraId="5ABD45A9" w14:textId="77777777" w:rsidR="00A07550" w:rsidRPr="00A23800" w:rsidRDefault="00A07550" w:rsidP="00D63204">
            <w:pPr>
              <w:widowControl w:val="0"/>
              <w:spacing w:after="0" w:line="240" w:lineRule="auto"/>
              <w:ind w:left="107"/>
              <w:rPr>
                <w:rFonts w:ascii="Calibri" w:hAnsi="Calibri" w:cs="Calibri"/>
                <w:sz w:val="20"/>
                <w:szCs w:val="20"/>
              </w:rPr>
            </w:pPr>
            <w:r w:rsidRPr="00A23800">
              <w:rPr>
                <w:rFonts w:ascii="Calibri" w:hAnsi="Calibri"/>
                <w:color w:val="231F20"/>
                <w:w w:val="110"/>
                <w:sz w:val="20"/>
              </w:rPr>
              <w:t>MEd-</w:t>
            </w:r>
            <w:r w:rsidRPr="00A23800">
              <w:rPr>
                <w:rFonts w:ascii="Calibri" w:hAnsi="Calibri"/>
                <w:color w:val="231F20"/>
                <w:spacing w:val="-16"/>
                <w:w w:val="110"/>
                <w:sz w:val="20"/>
              </w:rPr>
              <w:t xml:space="preserve"> </w:t>
            </w:r>
            <w:r w:rsidRPr="00A23800">
              <w:rPr>
                <w:rFonts w:ascii="Calibri" w:hAnsi="Calibri"/>
                <w:color w:val="231F20"/>
                <w:w w:val="110"/>
                <w:sz w:val="20"/>
              </w:rPr>
              <w:t>0</w:t>
            </w:r>
          </w:p>
          <w:p w14:paraId="2A26401C" w14:textId="77777777" w:rsidR="00A07550" w:rsidRPr="00A23800" w:rsidRDefault="00A07550" w:rsidP="00D63204">
            <w:pPr>
              <w:widowControl w:val="0"/>
              <w:spacing w:after="0" w:line="240" w:lineRule="auto"/>
              <w:ind w:left="107"/>
              <w:rPr>
                <w:rFonts w:ascii="Calibri" w:hAnsi="Calibri" w:cs="Calibri"/>
                <w:sz w:val="20"/>
                <w:szCs w:val="20"/>
              </w:rPr>
            </w:pPr>
            <w:r w:rsidRPr="00A23800">
              <w:rPr>
                <w:rFonts w:ascii="Calibri" w:hAnsi="Calibri"/>
                <w:color w:val="231F20"/>
                <w:w w:val="115"/>
                <w:sz w:val="20"/>
              </w:rPr>
              <w:t>PhD-</w:t>
            </w:r>
            <w:r w:rsidRPr="00A23800">
              <w:rPr>
                <w:rFonts w:ascii="Calibri" w:hAnsi="Calibri"/>
                <w:color w:val="231F20"/>
                <w:spacing w:val="-19"/>
                <w:w w:val="115"/>
                <w:sz w:val="20"/>
              </w:rPr>
              <w:t xml:space="preserve"> </w:t>
            </w:r>
            <w:r w:rsidRPr="00A23800">
              <w:rPr>
                <w:rFonts w:ascii="Calibri" w:hAnsi="Calibri"/>
                <w:color w:val="231F20"/>
                <w:w w:val="115"/>
                <w:sz w:val="20"/>
              </w:rPr>
              <w:t>0</w:t>
            </w:r>
          </w:p>
        </w:tc>
        <w:tc>
          <w:tcPr>
            <w:tcW w:w="1530" w:type="dxa"/>
            <w:tcBorders>
              <w:top w:val="single" w:sz="2" w:space="0" w:color="231F20"/>
              <w:left w:val="single" w:sz="2" w:space="0" w:color="231F20"/>
              <w:bottom w:val="single" w:sz="2" w:space="0" w:color="231F20"/>
              <w:right w:val="single" w:sz="2" w:space="0" w:color="231F20"/>
            </w:tcBorders>
            <w:shd w:val="clear" w:color="auto" w:fill="E6E7E8"/>
            <w:vAlign w:val="center"/>
          </w:tcPr>
          <w:p w14:paraId="0CE4858D" w14:textId="77777777" w:rsidR="00A07550" w:rsidRPr="00A23800" w:rsidRDefault="00A07550" w:rsidP="00D63204">
            <w:pPr>
              <w:widowControl w:val="0"/>
              <w:spacing w:after="0" w:line="240" w:lineRule="auto"/>
              <w:ind w:left="107"/>
              <w:rPr>
                <w:rFonts w:ascii="Calibri" w:hAnsi="Calibri" w:cs="Calibri"/>
                <w:sz w:val="20"/>
                <w:szCs w:val="20"/>
              </w:rPr>
            </w:pPr>
            <w:r w:rsidRPr="00A23800">
              <w:rPr>
                <w:rFonts w:ascii="Calibri" w:hAnsi="Calibri"/>
                <w:color w:val="231F20"/>
                <w:w w:val="110"/>
                <w:sz w:val="20"/>
              </w:rPr>
              <w:t>MEd-</w:t>
            </w:r>
            <w:r w:rsidRPr="00A23800">
              <w:rPr>
                <w:rFonts w:ascii="Calibri" w:hAnsi="Calibri"/>
                <w:color w:val="231F20"/>
                <w:spacing w:val="-16"/>
                <w:w w:val="110"/>
                <w:sz w:val="20"/>
              </w:rPr>
              <w:t xml:space="preserve"> </w:t>
            </w:r>
            <w:r w:rsidRPr="00A23800">
              <w:rPr>
                <w:rFonts w:ascii="Calibri" w:hAnsi="Calibri"/>
                <w:color w:val="231F20"/>
                <w:w w:val="110"/>
                <w:sz w:val="20"/>
              </w:rPr>
              <w:t>0</w:t>
            </w:r>
          </w:p>
          <w:p w14:paraId="35E42447" w14:textId="77777777" w:rsidR="00A07550" w:rsidRPr="00A23800" w:rsidRDefault="00A07550" w:rsidP="00D63204">
            <w:pPr>
              <w:widowControl w:val="0"/>
              <w:spacing w:after="0" w:line="240" w:lineRule="auto"/>
              <w:ind w:left="107"/>
              <w:rPr>
                <w:rFonts w:ascii="Calibri" w:hAnsi="Calibri" w:cs="Calibri"/>
                <w:sz w:val="20"/>
                <w:szCs w:val="20"/>
              </w:rPr>
            </w:pPr>
            <w:r w:rsidRPr="00A23800">
              <w:rPr>
                <w:rFonts w:ascii="Calibri" w:hAnsi="Calibri"/>
                <w:color w:val="231F20"/>
                <w:w w:val="115"/>
                <w:sz w:val="20"/>
              </w:rPr>
              <w:t>PhD-</w:t>
            </w:r>
            <w:r w:rsidRPr="00A23800">
              <w:rPr>
                <w:rFonts w:ascii="Calibri" w:hAnsi="Calibri"/>
                <w:color w:val="231F20"/>
                <w:spacing w:val="-19"/>
                <w:w w:val="115"/>
                <w:sz w:val="20"/>
              </w:rPr>
              <w:t xml:space="preserve"> </w:t>
            </w:r>
            <w:r w:rsidRPr="00A23800">
              <w:rPr>
                <w:rFonts w:ascii="Calibri" w:hAnsi="Calibri"/>
                <w:color w:val="231F20"/>
                <w:w w:val="115"/>
                <w:sz w:val="20"/>
              </w:rPr>
              <w:t>0</w:t>
            </w:r>
          </w:p>
        </w:tc>
        <w:tc>
          <w:tcPr>
            <w:tcW w:w="1530" w:type="dxa"/>
            <w:tcBorders>
              <w:top w:val="single" w:sz="2" w:space="0" w:color="231F20"/>
              <w:left w:val="single" w:sz="2" w:space="0" w:color="231F20"/>
              <w:bottom w:val="single" w:sz="2" w:space="0" w:color="231F20"/>
              <w:right w:val="single" w:sz="2" w:space="0" w:color="231F20"/>
            </w:tcBorders>
            <w:shd w:val="clear" w:color="auto" w:fill="E6E7E8"/>
            <w:vAlign w:val="center"/>
          </w:tcPr>
          <w:p w14:paraId="061E7180" w14:textId="77777777" w:rsidR="00A07550" w:rsidRPr="00A23800" w:rsidRDefault="00A07550" w:rsidP="00D63204">
            <w:pPr>
              <w:widowControl w:val="0"/>
              <w:spacing w:after="0" w:line="240" w:lineRule="auto"/>
              <w:ind w:left="107"/>
              <w:rPr>
                <w:rFonts w:ascii="Calibri" w:hAnsi="Calibri" w:cs="Calibri"/>
                <w:sz w:val="20"/>
                <w:szCs w:val="20"/>
              </w:rPr>
            </w:pPr>
            <w:r w:rsidRPr="00A23800">
              <w:rPr>
                <w:rFonts w:ascii="Calibri" w:hAnsi="Calibri"/>
                <w:color w:val="231F20"/>
                <w:w w:val="110"/>
                <w:sz w:val="20"/>
              </w:rPr>
              <w:t>MEd-</w:t>
            </w:r>
            <w:r w:rsidRPr="00A23800">
              <w:rPr>
                <w:rFonts w:ascii="Calibri" w:hAnsi="Calibri"/>
                <w:color w:val="231F20"/>
                <w:spacing w:val="-20"/>
                <w:w w:val="110"/>
                <w:sz w:val="20"/>
              </w:rPr>
              <w:t xml:space="preserve"> </w:t>
            </w:r>
            <w:r w:rsidRPr="00A23800">
              <w:rPr>
                <w:rFonts w:ascii="Calibri" w:hAnsi="Calibri"/>
                <w:color w:val="231F20"/>
                <w:w w:val="110"/>
                <w:sz w:val="20"/>
              </w:rPr>
              <w:t>6</w:t>
            </w:r>
          </w:p>
          <w:p w14:paraId="58F4DC3E" w14:textId="77777777" w:rsidR="00A07550" w:rsidRPr="00A23800" w:rsidRDefault="00A07550" w:rsidP="00D63204">
            <w:pPr>
              <w:widowControl w:val="0"/>
              <w:spacing w:after="0" w:line="240" w:lineRule="auto"/>
              <w:ind w:left="107"/>
              <w:rPr>
                <w:rFonts w:ascii="Calibri" w:hAnsi="Calibri" w:cs="Calibri"/>
                <w:sz w:val="20"/>
                <w:szCs w:val="20"/>
              </w:rPr>
            </w:pPr>
            <w:r w:rsidRPr="00A23800">
              <w:rPr>
                <w:rFonts w:ascii="Calibri" w:hAnsi="Calibri"/>
                <w:color w:val="231F20"/>
                <w:w w:val="115"/>
                <w:sz w:val="20"/>
              </w:rPr>
              <w:t>PhD-</w:t>
            </w:r>
            <w:r w:rsidRPr="00A23800">
              <w:rPr>
                <w:rFonts w:ascii="Calibri" w:hAnsi="Calibri"/>
                <w:color w:val="231F20"/>
                <w:spacing w:val="-19"/>
                <w:w w:val="115"/>
                <w:sz w:val="20"/>
              </w:rPr>
              <w:t xml:space="preserve"> </w:t>
            </w:r>
            <w:r w:rsidRPr="00A23800">
              <w:rPr>
                <w:rFonts w:ascii="Calibri" w:hAnsi="Calibri"/>
                <w:color w:val="231F20"/>
                <w:w w:val="115"/>
                <w:sz w:val="20"/>
              </w:rPr>
              <w:t>0</w:t>
            </w:r>
          </w:p>
        </w:tc>
      </w:tr>
      <w:tr w:rsidR="00A07550" w:rsidRPr="00A23800" w14:paraId="34FF7BAD" w14:textId="77777777" w:rsidTr="00BF1832">
        <w:trPr>
          <w:trHeight w:hRule="exact" w:val="1080"/>
        </w:trPr>
        <w:tc>
          <w:tcPr>
            <w:tcW w:w="4026" w:type="dxa"/>
            <w:tcBorders>
              <w:top w:val="single" w:sz="2" w:space="0" w:color="231F20"/>
              <w:left w:val="single" w:sz="2" w:space="0" w:color="231F20"/>
              <w:bottom w:val="single" w:sz="2" w:space="0" w:color="231F20"/>
              <w:right w:val="single" w:sz="2" w:space="0" w:color="231F20"/>
            </w:tcBorders>
            <w:vAlign w:val="center"/>
          </w:tcPr>
          <w:p w14:paraId="6530E3CA" w14:textId="77777777" w:rsidR="00A07550" w:rsidRPr="00A23800" w:rsidRDefault="00A07550" w:rsidP="00BF1832">
            <w:pPr>
              <w:widowControl w:val="0"/>
              <w:spacing w:after="0" w:line="240" w:lineRule="auto"/>
              <w:ind w:left="107"/>
              <w:rPr>
                <w:rFonts w:ascii="Calibri" w:hAnsi="Calibri" w:cs="Calibri"/>
                <w:sz w:val="20"/>
                <w:szCs w:val="20"/>
              </w:rPr>
            </w:pPr>
            <w:r w:rsidRPr="00A23800">
              <w:rPr>
                <w:rFonts w:ascii="Calibri" w:hAnsi="Calibri"/>
                <w:color w:val="231F20"/>
                <w:w w:val="105"/>
                <w:sz w:val="20"/>
              </w:rPr>
              <w:t>Florida International</w:t>
            </w:r>
            <w:r w:rsidRPr="00A23800">
              <w:rPr>
                <w:rFonts w:ascii="Calibri" w:hAnsi="Calibri"/>
                <w:color w:val="231F20"/>
                <w:spacing w:val="6"/>
                <w:w w:val="105"/>
                <w:sz w:val="20"/>
              </w:rPr>
              <w:t xml:space="preserve"> </w:t>
            </w:r>
            <w:r w:rsidRPr="00A23800">
              <w:rPr>
                <w:rFonts w:ascii="Calibri" w:hAnsi="Calibri"/>
                <w:color w:val="231F20"/>
                <w:w w:val="105"/>
                <w:sz w:val="20"/>
              </w:rPr>
              <w:t>University- Rehabilitation Counseling Program; MS</w:t>
            </w:r>
            <w:r w:rsidRPr="00A23800">
              <w:rPr>
                <w:rFonts w:ascii="Calibri" w:hAnsi="Calibri"/>
                <w:color w:val="231F20"/>
                <w:spacing w:val="15"/>
                <w:w w:val="105"/>
                <w:sz w:val="20"/>
              </w:rPr>
              <w:t xml:space="preserve"> </w:t>
            </w:r>
            <w:r w:rsidRPr="00A23800">
              <w:rPr>
                <w:rFonts w:ascii="Calibri" w:hAnsi="Calibri"/>
                <w:color w:val="231F20"/>
                <w:w w:val="105"/>
                <w:sz w:val="20"/>
              </w:rPr>
              <w:t>in</w:t>
            </w:r>
            <w:r w:rsidRPr="00A23800">
              <w:rPr>
                <w:rFonts w:ascii="Calibri" w:hAnsi="Calibri"/>
                <w:color w:val="231F20"/>
                <w:w w:val="102"/>
                <w:sz w:val="20"/>
              </w:rPr>
              <w:t xml:space="preserve"> </w:t>
            </w:r>
            <w:r w:rsidRPr="00A23800">
              <w:rPr>
                <w:rFonts w:ascii="Calibri" w:hAnsi="Calibri"/>
                <w:color w:val="231F20"/>
                <w:w w:val="105"/>
                <w:sz w:val="20"/>
              </w:rPr>
              <w:t>Counselor Education</w:t>
            </w:r>
          </w:p>
        </w:tc>
        <w:tc>
          <w:tcPr>
            <w:tcW w:w="1530" w:type="dxa"/>
            <w:tcBorders>
              <w:top w:val="single" w:sz="2" w:space="0" w:color="231F20"/>
              <w:left w:val="single" w:sz="2" w:space="0" w:color="231F20"/>
              <w:bottom w:val="single" w:sz="2" w:space="0" w:color="231F20"/>
              <w:right w:val="single" w:sz="2" w:space="0" w:color="231F20"/>
            </w:tcBorders>
            <w:vAlign w:val="center"/>
          </w:tcPr>
          <w:p w14:paraId="0DAFBF38" w14:textId="77777777" w:rsidR="00A07550" w:rsidRPr="00A23800" w:rsidRDefault="00A07550" w:rsidP="00D63204">
            <w:pPr>
              <w:widowControl w:val="0"/>
              <w:spacing w:after="0" w:line="240" w:lineRule="auto"/>
              <w:ind w:left="107"/>
              <w:rPr>
                <w:rFonts w:ascii="Calibri" w:hAnsi="Calibri" w:cs="Calibri"/>
                <w:sz w:val="20"/>
                <w:szCs w:val="20"/>
              </w:rPr>
            </w:pPr>
            <w:r w:rsidRPr="00A23800">
              <w:rPr>
                <w:rFonts w:ascii="Calibri" w:hAnsi="Calibri"/>
                <w:color w:val="231F20"/>
                <w:w w:val="110"/>
                <w:sz w:val="20"/>
              </w:rPr>
              <w:t>MS-</w:t>
            </w:r>
            <w:r w:rsidRPr="00A23800">
              <w:rPr>
                <w:rFonts w:ascii="Calibri" w:hAnsi="Calibri"/>
                <w:color w:val="231F20"/>
                <w:spacing w:val="-10"/>
                <w:w w:val="110"/>
                <w:sz w:val="20"/>
              </w:rPr>
              <w:t xml:space="preserve"> </w:t>
            </w:r>
            <w:r>
              <w:rPr>
                <w:rFonts w:ascii="Calibri" w:hAnsi="Calibri"/>
                <w:color w:val="231F20"/>
                <w:w w:val="110"/>
                <w:sz w:val="20"/>
              </w:rPr>
              <w:t>12</w:t>
            </w:r>
          </w:p>
        </w:tc>
        <w:tc>
          <w:tcPr>
            <w:tcW w:w="1530" w:type="dxa"/>
            <w:tcBorders>
              <w:top w:val="single" w:sz="2" w:space="0" w:color="231F20"/>
              <w:left w:val="single" w:sz="2" w:space="0" w:color="231F20"/>
              <w:bottom w:val="single" w:sz="2" w:space="0" w:color="231F20"/>
              <w:right w:val="single" w:sz="2" w:space="0" w:color="231F20"/>
            </w:tcBorders>
            <w:vAlign w:val="center"/>
          </w:tcPr>
          <w:p w14:paraId="29D54CBE" w14:textId="77777777" w:rsidR="00A07550" w:rsidRPr="00A23800" w:rsidRDefault="00A07550" w:rsidP="00D63204">
            <w:pPr>
              <w:widowControl w:val="0"/>
              <w:spacing w:after="0" w:line="240" w:lineRule="auto"/>
              <w:ind w:left="107"/>
              <w:rPr>
                <w:rFonts w:ascii="Calibri" w:hAnsi="Calibri" w:cs="Calibri"/>
                <w:sz w:val="20"/>
                <w:szCs w:val="20"/>
              </w:rPr>
            </w:pPr>
            <w:r w:rsidRPr="00A23800">
              <w:rPr>
                <w:rFonts w:ascii="Calibri" w:hAnsi="Calibri"/>
                <w:color w:val="231F20"/>
                <w:w w:val="115"/>
                <w:sz w:val="20"/>
              </w:rPr>
              <w:t>MS-</w:t>
            </w:r>
            <w:r w:rsidRPr="00A23800">
              <w:rPr>
                <w:rFonts w:ascii="Calibri" w:hAnsi="Calibri"/>
                <w:color w:val="231F20"/>
                <w:spacing w:val="-29"/>
                <w:w w:val="115"/>
                <w:sz w:val="20"/>
              </w:rPr>
              <w:t xml:space="preserve"> </w:t>
            </w:r>
            <w:r>
              <w:rPr>
                <w:rFonts w:ascii="Calibri" w:hAnsi="Calibri"/>
                <w:color w:val="231F20"/>
                <w:spacing w:val="-29"/>
                <w:w w:val="115"/>
                <w:sz w:val="20"/>
              </w:rPr>
              <w:t>0</w:t>
            </w:r>
          </w:p>
        </w:tc>
        <w:tc>
          <w:tcPr>
            <w:tcW w:w="1530" w:type="dxa"/>
            <w:tcBorders>
              <w:top w:val="single" w:sz="2" w:space="0" w:color="231F20"/>
              <w:left w:val="single" w:sz="2" w:space="0" w:color="231F20"/>
              <w:bottom w:val="single" w:sz="2" w:space="0" w:color="231F20"/>
              <w:right w:val="single" w:sz="2" w:space="0" w:color="231F20"/>
            </w:tcBorders>
            <w:vAlign w:val="center"/>
          </w:tcPr>
          <w:p w14:paraId="40DE8769" w14:textId="77777777" w:rsidR="00A07550" w:rsidRPr="00A23800" w:rsidRDefault="00A07550" w:rsidP="00D63204">
            <w:pPr>
              <w:widowControl w:val="0"/>
              <w:spacing w:after="0" w:line="240" w:lineRule="auto"/>
              <w:ind w:left="107"/>
              <w:rPr>
                <w:rFonts w:ascii="Calibri" w:hAnsi="Calibri" w:cs="Calibri"/>
                <w:sz w:val="20"/>
                <w:szCs w:val="20"/>
              </w:rPr>
            </w:pPr>
            <w:r w:rsidRPr="00A23800">
              <w:rPr>
                <w:rFonts w:ascii="Calibri" w:hAnsi="Calibri"/>
                <w:color w:val="231F20"/>
                <w:w w:val="115"/>
                <w:sz w:val="20"/>
              </w:rPr>
              <w:t>MS-</w:t>
            </w:r>
            <w:r w:rsidRPr="00A23800">
              <w:rPr>
                <w:rFonts w:ascii="Calibri" w:hAnsi="Calibri"/>
                <w:color w:val="231F20"/>
                <w:spacing w:val="-29"/>
                <w:w w:val="115"/>
                <w:sz w:val="20"/>
              </w:rPr>
              <w:t xml:space="preserve"> </w:t>
            </w:r>
            <w:r>
              <w:rPr>
                <w:rFonts w:ascii="Calibri" w:hAnsi="Calibri"/>
                <w:color w:val="231F20"/>
                <w:w w:val="115"/>
                <w:sz w:val="20"/>
              </w:rPr>
              <w:t>2</w:t>
            </w:r>
          </w:p>
        </w:tc>
        <w:tc>
          <w:tcPr>
            <w:tcW w:w="1530" w:type="dxa"/>
            <w:tcBorders>
              <w:top w:val="single" w:sz="2" w:space="0" w:color="231F20"/>
              <w:left w:val="single" w:sz="2" w:space="0" w:color="231F20"/>
              <w:bottom w:val="single" w:sz="2" w:space="0" w:color="231F20"/>
              <w:right w:val="single" w:sz="2" w:space="0" w:color="231F20"/>
            </w:tcBorders>
            <w:vAlign w:val="center"/>
          </w:tcPr>
          <w:p w14:paraId="20F6BEB9" w14:textId="77777777" w:rsidR="00A07550" w:rsidRPr="00A23800" w:rsidRDefault="00A07550" w:rsidP="00D63204">
            <w:pPr>
              <w:widowControl w:val="0"/>
              <w:spacing w:after="0" w:line="240" w:lineRule="auto"/>
              <w:ind w:left="107"/>
              <w:rPr>
                <w:rFonts w:ascii="Calibri" w:hAnsi="Calibri" w:cs="Calibri"/>
                <w:sz w:val="20"/>
                <w:szCs w:val="20"/>
              </w:rPr>
            </w:pPr>
            <w:r w:rsidRPr="00A23800">
              <w:rPr>
                <w:rFonts w:ascii="Calibri" w:hAnsi="Calibri"/>
                <w:color w:val="231F20"/>
                <w:w w:val="115"/>
                <w:sz w:val="20"/>
              </w:rPr>
              <w:t>MS-</w:t>
            </w:r>
            <w:r w:rsidRPr="00A23800">
              <w:rPr>
                <w:rFonts w:ascii="Calibri" w:hAnsi="Calibri"/>
                <w:color w:val="231F20"/>
                <w:spacing w:val="-29"/>
                <w:w w:val="115"/>
                <w:sz w:val="20"/>
              </w:rPr>
              <w:t xml:space="preserve"> </w:t>
            </w:r>
            <w:r>
              <w:rPr>
                <w:rFonts w:ascii="Calibri" w:hAnsi="Calibri"/>
                <w:color w:val="231F20"/>
                <w:spacing w:val="-29"/>
                <w:w w:val="115"/>
                <w:sz w:val="20"/>
              </w:rPr>
              <w:t>2</w:t>
            </w:r>
          </w:p>
        </w:tc>
      </w:tr>
      <w:tr w:rsidR="00A07550" w:rsidRPr="00A23800" w14:paraId="700C3E55" w14:textId="77777777" w:rsidTr="00BF1832">
        <w:trPr>
          <w:trHeight w:hRule="exact" w:val="1080"/>
        </w:trPr>
        <w:tc>
          <w:tcPr>
            <w:tcW w:w="4026" w:type="dxa"/>
            <w:tcBorders>
              <w:top w:val="single" w:sz="2" w:space="0" w:color="231F20"/>
              <w:left w:val="single" w:sz="2" w:space="0" w:color="231F20"/>
              <w:bottom w:val="single" w:sz="2" w:space="0" w:color="231F20"/>
              <w:right w:val="single" w:sz="2" w:space="0" w:color="231F20"/>
            </w:tcBorders>
            <w:shd w:val="clear" w:color="auto" w:fill="E6E7E8"/>
            <w:vAlign w:val="center"/>
          </w:tcPr>
          <w:p w14:paraId="36A36E28" w14:textId="77777777" w:rsidR="00A07550" w:rsidRPr="00A23800" w:rsidRDefault="00A07550" w:rsidP="00BF1832">
            <w:pPr>
              <w:widowControl w:val="0"/>
              <w:spacing w:after="0" w:line="240" w:lineRule="auto"/>
              <w:ind w:left="107"/>
              <w:rPr>
                <w:rFonts w:ascii="Calibri" w:hAnsi="Calibri" w:cs="Calibri"/>
                <w:sz w:val="20"/>
                <w:szCs w:val="20"/>
              </w:rPr>
            </w:pPr>
            <w:r w:rsidRPr="00A23800">
              <w:rPr>
                <w:rFonts w:ascii="Calibri" w:hAnsi="Calibri"/>
                <w:color w:val="231F20"/>
                <w:w w:val="105"/>
                <w:sz w:val="20"/>
              </w:rPr>
              <w:t>University of South Florida-</w:t>
            </w:r>
            <w:r w:rsidRPr="00A23800">
              <w:rPr>
                <w:rFonts w:ascii="Calibri" w:hAnsi="Calibri"/>
                <w:color w:val="231F20"/>
                <w:spacing w:val="-13"/>
                <w:w w:val="105"/>
                <w:sz w:val="20"/>
              </w:rPr>
              <w:t xml:space="preserve"> </w:t>
            </w:r>
            <w:r w:rsidRPr="00A23800">
              <w:rPr>
                <w:rFonts w:ascii="Calibri" w:hAnsi="Calibri"/>
                <w:color w:val="231F20"/>
                <w:w w:val="105"/>
                <w:sz w:val="20"/>
              </w:rPr>
              <w:t>Rehabilitation and Mental</w:t>
            </w:r>
            <w:r w:rsidRPr="00A23800">
              <w:rPr>
                <w:rFonts w:ascii="Calibri" w:hAnsi="Calibri"/>
                <w:color w:val="231F20"/>
                <w:spacing w:val="3"/>
                <w:w w:val="105"/>
                <w:sz w:val="20"/>
              </w:rPr>
              <w:t xml:space="preserve"> </w:t>
            </w:r>
            <w:r w:rsidRPr="00A23800">
              <w:rPr>
                <w:rFonts w:ascii="Calibri" w:hAnsi="Calibri"/>
                <w:color w:val="231F20"/>
                <w:w w:val="105"/>
                <w:sz w:val="20"/>
              </w:rPr>
              <w:t>Health</w:t>
            </w:r>
            <w:r w:rsidRPr="00A23800">
              <w:rPr>
                <w:rFonts w:ascii="Calibri" w:hAnsi="Calibri"/>
                <w:color w:val="231F20"/>
                <w:w w:val="106"/>
                <w:sz w:val="20"/>
              </w:rPr>
              <w:t xml:space="preserve"> </w:t>
            </w:r>
            <w:r w:rsidRPr="00A23800">
              <w:rPr>
                <w:rFonts w:ascii="Calibri" w:hAnsi="Calibri"/>
                <w:color w:val="231F20"/>
                <w:w w:val="105"/>
                <w:sz w:val="20"/>
              </w:rPr>
              <w:t>Counseling Program;</w:t>
            </w:r>
            <w:r w:rsidRPr="00A23800">
              <w:rPr>
                <w:rFonts w:ascii="Calibri" w:hAnsi="Calibri"/>
                <w:color w:val="231F20"/>
                <w:spacing w:val="9"/>
                <w:w w:val="105"/>
                <w:sz w:val="20"/>
              </w:rPr>
              <w:t xml:space="preserve"> </w:t>
            </w:r>
            <w:r w:rsidRPr="00A23800">
              <w:rPr>
                <w:rFonts w:ascii="Calibri" w:hAnsi="Calibri"/>
                <w:color w:val="231F20"/>
                <w:w w:val="105"/>
                <w:sz w:val="20"/>
              </w:rPr>
              <w:t>MA</w:t>
            </w:r>
          </w:p>
        </w:tc>
        <w:tc>
          <w:tcPr>
            <w:tcW w:w="1530" w:type="dxa"/>
            <w:tcBorders>
              <w:top w:val="single" w:sz="2" w:space="0" w:color="231F20"/>
              <w:left w:val="single" w:sz="2" w:space="0" w:color="231F20"/>
              <w:bottom w:val="single" w:sz="2" w:space="0" w:color="231F20"/>
              <w:right w:val="single" w:sz="2" w:space="0" w:color="231F20"/>
            </w:tcBorders>
            <w:shd w:val="clear" w:color="auto" w:fill="E6E7E8"/>
            <w:vAlign w:val="center"/>
          </w:tcPr>
          <w:p w14:paraId="57F301CA" w14:textId="77777777" w:rsidR="00A07550" w:rsidRPr="00A23800" w:rsidRDefault="00A07550" w:rsidP="00D63204">
            <w:pPr>
              <w:widowControl w:val="0"/>
              <w:spacing w:after="0" w:line="240" w:lineRule="auto"/>
              <w:ind w:left="107"/>
              <w:rPr>
                <w:rFonts w:ascii="Calibri" w:hAnsi="Calibri" w:cs="Calibri"/>
                <w:sz w:val="20"/>
                <w:szCs w:val="20"/>
              </w:rPr>
            </w:pPr>
            <w:r w:rsidRPr="00A23800">
              <w:rPr>
                <w:rFonts w:ascii="Calibri" w:hAnsi="Calibri"/>
                <w:color w:val="231F20"/>
                <w:sz w:val="20"/>
              </w:rPr>
              <w:t>MA-</w:t>
            </w:r>
            <w:r w:rsidRPr="00A23800">
              <w:rPr>
                <w:rFonts w:ascii="Calibri" w:hAnsi="Calibri"/>
                <w:color w:val="231F20"/>
                <w:spacing w:val="-11"/>
                <w:sz w:val="20"/>
              </w:rPr>
              <w:t xml:space="preserve"> </w:t>
            </w:r>
            <w:r>
              <w:rPr>
                <w:rFonts w:ascii="Calibri" w:hAnsi="Calibri"/>
                <w:color w:val="231F20"/>
                <w:sz w:val="20"/>
              </w:rPr>
              <w:t>136</w:t>
            </w:r>
          </w:p>
        </w:tc>
        <w:tc>
          <w:tcPr>
            <w:tcW w:w="1530" w:type="dxa"/>
            <w:tcBorders>
              <w:top w:val="single" w:sz="2" w:space="0" w:color="231F20"/>
              <w:left w:val="single" w:sz="2" w:space="0" w:color="231F20"/>
              <w:bottom w:val="single" w:sz="2" w:space="0" w:color="231F20"/>
              <w:right w:val="single" w:sz="2" w:space="0" w:color="231F20"/>
            </w:tcBorders>
            <w:shd w:val="clear" w:color="auto" w:fill="E6E7E8"/>
            <w:vAlign w:val="center"/>
          </w:tcPr>
          <w:p w14:paraId="46D84439" w14:textId="77777777" w:rsidR="00A07550" w:rsidRPr="00A23800" w:rsidRDefault="00A07550" w:rsidP="00D63204">
            <w:pPr>
              <w:widowControl w:val="0"/>
              <w:spacing w:after="0" w:line="240" w:lineRule="auto"/>
              <w:ind w:left="107"/>
              <w:rPr>
                <w:rFonts w:ascii="Calibri" w:hAnsi="Calibri" w:cs="Calibri"/>
                <w:sz w:val="20"/>
                <w:szCs w:val="20"/>
              </w:rPr>
            </w:pPr>
            <w:r w:rsidRPr="00A23800">
              <w:rPr>
                <w:rFonts w:ascii="Calibri" w:hAnsi="Calibri"/>
                <w:color w:val="231F20"/>
                <w:sz w:val="20"/>
              </w:rPr>
              <w:t>MA-</w:t>
            </w:r>
            <w:r w:rsidRPr="00A23800">
              <w:rPr>
                <w:rFonts w:ascii="Calibri" w:hAnsi="Calibri"/>
                <w:color w:val="231F20"/>
                <w:spacing w:val="-23"/>
                <w:sz w:val="20"/>
              </w:rPr>
              <w:t xml:space="preserve"> </w:t>
            </w:r>
            <w:r w:rsidRPr="00A23800">
              <w:rPr>
                <w:rFonts w:ascii="Calibri" w:hAnsi="Calibri"/>
                <w:color w:val="231F20"/>
                <w:sz w:val="20"/>
              </w:rPr>
              <w:t>1</w:t>
            </w:r>
          </w:p>
        </w:tc>
        <w:tc>
          <w:tcPr>
            <w:tcW w:w="1530" w:type="dxa"/>
            <w:tcBorders>
              <w:top w:val="single" w:sz="2" w:space="0" w:color="231F20"/>
              <w:left w:val="single" w:sz="2" w:space="0" w:color="231F20"/>
              <w:bottom w:val="single" w:sz="2" w:space="0" w:color="231F20"/>
              <w:right w:val="single" w:sz="2" w:space="0" w:color="231F20"/>
            </w:tcBorders>
            <w:shd w:val="clear" w:color="auto" w:fill="E6E7E8"/>
            <w:vAlign w:val="center"/>
          </w:tcPr>
          <w:p w14:paraId="264891CB" w14:textId="77777777" w:rsidR="00A07550" w:rsidRPr="00A23800" w:rsidRDefault="00A07550" w:rsidP="00D63204">
            <w:pPr>
              <w:widowControl w:val="0"/>
              <w:spacing w:after="0" w:line="240" w:lineRule="auto"/>
              <w:ind w:left="107"/>
              <w:rPr>
                <w:rFonts w:ascii="Calibri" w:hAnsi="Calibri" w:cs="Calibri"/>
                <w:sz w:val="20"/>
                <w:szCs w:val="20"/>
              </w:rPr>
            </w:pPr>
            <w:r w:rsidRPr="00A23800">
              <w:rPr>
                <w:rFonts w:ascii="Calibri" w:hAnsi="Calibri"/>
                <w:color w:val="231F20"/>
                <w:w w:val="110"/>
                <w:sz w:val="20"/>
              </w:rPr>
              <w:t>MA-</w:t>
            </w:r>
            <w:r w:rsidRPr="00A23800">
              <w:rPr>
                <w:rFonts w:ascii="Calibri" w:hAnsi="Calibri"/>
                <w:color w:val="231F20"/>
                <w:spacing w:val="-18"/>
                <w:w w:val="110"/>
                <w:sz w:val="20"/>
              </w:rPr>
              <w:t xml:space="preserve"> </w:t>
            </w:r>
            <w:r>
              <w:rPr>
                <w:rFonts w:ascii="Calibri" w:hAnsi="Calibri"/>
                <w:color w:val="231F20"/>
                <w:w w:val="110"/>
                <w:sz w:val="20"/>
              </w:rPr>
              <w:t>7</w:t>
            </w:r>
          </w:p>
        </w:tc>
        <w:tc>
          <w:tcPr>
            <w:tcW w:w="1530" w:type="dxa"/>
            <w:tcBorders>
              <w:top w:val="single" w:sz="2" w:space="0" w:color="231F20"/>
              <w:left w:val="single" w:sz="2" w:space="0" w:color="231F20"/>
              <w:bottom w:val="single" w:sz="2" w:space="0" w:color="231F20"/>
              <w:right w:val="single" w:sz="2" w:space="0" w:color="231F20"/>
            </w:tcBorders>
            <w:shd w:val="clear" w:color="auto" w:fill="E6E7E8"/>
            <w:vAlign w:val="center"/>
          </w:tcPr>
          <w:p w14:paraId="48DA0C07" w14:textId="77777777" w:rsidR="00A07550" w:rsidRPr="00A23800" w:rsidRDefault="00A07550" w:rsidP="00D63204">
            <w:pPr>
              <w:widowControl w:val="0"/>
              <w:spacing w:after="0" w:line="240" w:lineRule="auto"/>
              <w:ind w:left="107"/>
              <w:rPr>
                <w:rFonts w:ascii="Calibri" w:hAnsi="Calibri" w:cs="Calibri"/>
                <w:sz w:val="20"/>
                <w:szCs w:val="20"/>
              </w:rPr>
            </w:pPr>
            <w:r w:rsidRPr="00A23800">
              <w:rPr>
                <w:rFonts w:ascii="Calibri" w:hAnsi="Calibri"/>
                <w:color w:val="231F20"/>
                <w:w w:val="110"/>
                <w:sz w:val="20"/>
              </w:rPr>
              <w:t>MA-</w:t>
            </w:r>
            <w:r w:rsidRPr="00A23800">
              <w:rPr>
                <w:rFonts w:ascii="Calibri" w:hAnsi="Calibri"/>
                <w:color w:val="231F20"/>
                <w:spacing w:val="-11"/>
                <w:w w:val="110"/>
                <w:sz w:val="20"/>
              </w:rPr>
              <w:t xml:space="preserve"> </w:t>
            </w:r>
            <w:r>
              <w:rPr>
                <w:rFonts w:ascii="Calibri" w:hAnsi="Calibri"/>
                <w:color w:val="231F20"/>
                <w:w w:val="110"/>
                <w:sz w:val="20"/>
              </w:rPr>
              <w:t>4</w:t>
            </w:r>
            <w:r w:rsidRPr="00A23800">
              <w:rPr>
                <w:rFonts w:ascii="Calibri" w:hAnsi="Calibri"/>
                <w:color w:val="231F20"/>
                <w:w w:val="110"/>
                <w:sz w:val="20"/>
              </w:rPr>
              <w:t>0</w:t>
            </w:r>
          </w:p>
        </w:tc>
      </w:tr>
    </w:tbl>
    <w:p w14:paraId="20C04242" w14:textId="77777777" w:rsidR="00A07550" w:rsidRPr="00A23800" w:rsidRDefault="00A07550" w:rsidP="00D63204">
      <w:pPr>
        <w:widowControl w:val="0"/>
        <w:spacing w:before="7" w:after="0" w:line="240" w:lineRule="auto"/>
        <w:ind w:left="107"/>
        <w:rPr>
          <w:rFonts w:ascii="Calibri" w:hAnsi="Calibri" w:cs="Calibri"/>
          <w:b/>
          <w:bCs/>
          <w:sz w:val="9"/>
          <w:szCs w:val="9"/>
        </w:rPr>
      </w:pPr>
    </w:p>
    <w:p w14:paraId="0ABAAFBA" w14:textId="5A5B4982" w:rsidR="00A07550" w:rsidRPr="00A23800" w:rsidRDefault="00A07550" w:rsidP="00D63204">
      <w:pPr>
        <w:widowControl w:val="0"/>
        <w:spacing w:before="57" w:after="0" w:line="240" w:lineRule="auto"/>
        <w:ind w:left="107"/>
        <w:rPr>
          <w:rFonts w:ascii="Calibri" w:hAnsi="Calibri" w:cs="Calibri"/>
        </w:rPr>
      </w:pPr>
      <w:r w:rsidRPr="00A23800">
        <w:rPr>
          <w:rFonts w:ascii="Calibri" w:hAnsi="Calibri"/>
          <w:b/>
          <w:color w:val="231F20"/>
          <w:w w:val="105"/>
          <w:u w:val="single" w:color="231F20"/>
        </w:rPr>
        <w:t>Plan for Recruitment, Preparation</w:t>
      </w:r>
      <w:r w:rsidR="00D5537E">
        <w:rPr>
          <w:rFonts w:ascii="Calibri" w:hAnsi="Calibri"/>
          <w:b/>
          <w:color w:val="231F20"/>
          <w:w w:val="105"/>
          <w:u w:val="single" w:color="231F20"/>
        </w:rPr>
        <w:t xml:space="preserve"> and</w:t>
      </w:r>
      <w:r w:rsidRPr="00A23800">
        <w:rPr>
          <w:rFonts w:ascii="Calibri" w:hAnsi="Calibri"/>
          <w:b/>
          <w:color w:val="231F20"/>
          <w:w w:val="105"/>
          <w:u w:val="single" w:color="231F20"/>
        </w:rPr>
        <w:t xml:space="preserve"> Retention of Qualified Personnel</w:t>
      </w:r>
    </w:p>
    <w:p w14:paraId="36F42C91" w14:textId="1C9C54B4" w:rsidR="00A07550" w:rsidRPr="00A23800" w:rsidRDefault="00A07550" w:rsidP="00D63204">
      <w:pPr>
        <w:widowControl w:val="0"/>
        <w:spacing w:before="2" w:after="0" w:line="240" w:lineRule="auto"/>
        <w:ind w:left="107"/>
        <w:rPr>
          <w:rFonts w:ascii="Calibri" w:hAnsi="Calibri"/>
        </w:rPr>
      </w:pPr>
      <w:r w:rsidRPr="00A23800">
        <w:rPr>
          <w:rFonts w:ascii="Calibri" w:hAnsi="Calibri"/>
          <w:color w:val="231F20"/>
          <w:w w:val="105"/>
        </w:rPr>
        <w:t>VR</w:t>
      </w:r>
      <w:r w:rsidRPr="00A23800">
        <w:rPr>
          <w:rFonts w:ascii="Calibri" w:hAnsi="Calibri"/>
          <w:color w:val="231F20"/>
          <w:spacing w:val="13"/>
          <w:w w:val="105"/>
        </w:rPr>
        <w:t xml:space="preserve"> </w:t>
      </w:r>
      <w:r w:rsidRPr="00A23800">
        <w:rPr>
          <w:rFonts w:ascii="Calibri" w:hAnsi="Calibri"/>
          <w:color w:val="231F20"/>
          <w:w w:val="105"/>
        </w:rPr>
        <w:t>maintains</w:t>
      </w:r>
      <w:r w:rsidRPr="00A23800">
        <w:rPr>
          <w:rFonts w:ascii="Calibri" w:hAnsi="Calibri"/>
          <w:color w:val="231F20"/>
          <w:spacing w:val="13"/>
          <w:w w:val="105"/>
        </w:rPr>
        <w:t xml:space="preserve"> </w:t>
      </w:r>
      <w:r w:rsidRPr="00A23800">
        <w:rPr>
          <w:rFonts w:ascii="Calibri" w:hAnsi="Calibri"/>
          <w:color w:val="231F20"/>
          <w:w w:val="105"/>
        </w:rPr>
        <w:t>close</w:t>
      </w:r>
      <w:r w:rsidRPr="00A23800">
        <w:rPr>
          <w:rFonts w:ascii="Calibri" w:hAnsi="Calibri"/>
          <w:color w:val="231F20"/>
          <w:spacing w:val="13"/>
          <w:w w:val="105"/>
        </w:rPr>
        <w:t xml:space="preserve"> </w:t>
      </w:r>
      <w:r w:rsidRPr="00A23800">
        <w:rPr>
          <w:rFonts w:ascii="Calibri" w:hAnsi="Calibri"/>
          <w:color w:val="231F20"/>
          <w:w w:val="105"/>
        </w:rPr>
        <w:t>relationships</w:t>
      </w:r>
      <w:r w:rsidRPr="00A23800">
        <w:rPr>
          <w:rFonts w:ascii="Calibri" w:hAnsi="Calibri"/>
          <w:color w:val="231F20"/>
          <w:spacing w:val="13"/>
          <w:w w:val="105"/>
        </w:rPr>
        <w:t xml:space="preserve"> </w:t>
      </w:r>
      <w:r w:rsidRPr="00A23800">
        <w:rPr>
          <w:rFonts w:ascii="Calibri" w:hAnsi="Calibri"/>
          <w:color w:val="231F20"/>
          <w:w w:val="105"/>
        </w:rPr>
        <w:t>with</w:t>
      </w:r>
      <w:r w:rsidRPr="00A23800">
        <w:rPr>
          <w:rFonts w:ascii="Calibri" w:hAnsi="Calibri"/>
          <w:color w:val="231F20"/>
          <w:spacing w:val="13"/>
          <w:w w:val="105"/>
        </w:rPr>
        <w:t xml:space="preserve"> </w:t>
      </w:r>
      <w:r w:rsidRPr="00A23800">
        <w:rPr>
          <w:rFonts w:ascii="Calibri" w:hAnsi="Calibri"/>
          <w:color w:val="231F20"/>
          <w:w w:val="105"/>
        </w:rPr>
        <w:t>universities</w:t>
      </w:r>
      <w:r w:rsidRPr="00A23800">
        <w:rPr>
          <w:rFonts w:ascii="Calibri" w:hAnsi="Calibri"/>
          <w:color w:val="231F20"/>
          <w:spacing w:val="13"/>
          <w:w w:val="105"/>
        </w:rPr>
        <w:t xml:space="preserve"> </w:t>
      </w:r>
      <w:r w:rsidRPr="00A23800">
        <w:rPr>
          <w:rFonts w:ascii="Calibri" w:hAnsi="Calibri"/>
          <w:color w:val="231F20"/>
          <w:w w:val="105"/>
        </w:rPr>
        <w:t>including</w:t>
      </w:r>
      <w:r w:rsidRPr="00A23800">
        <w:rPr>
          <w:rFonts w:ascii="Calibri" w:hAnsi="Calibri"/>
          <w:color w:val="231F20"/>
          <w:spacing w:val="13"/>
          <w:w w:val="105"/>
        </w:rPr>
        <w:t xml:space="preserve"> </w:t>
      </w:r>
      <w:r w:rsidRPr="00A23800">
        <w:rPr>
          <w:rFonts w:ascii="Calibri" w:hAnsi="Calibri"/>
          <w:color w:val="231F20"/>
          <w:w w:val="105"/>
        </w:rPr>
        <w:t>minority</w:t>
      </w:r>
      <w:r w:rsidRPr="00A23800">
        <w:rPr>
          <w:rFonts w:ascii="Calibri" w:hAnsi="Calibri"/>
          <w:color w:val="231F20"/>
          <w:spacing w:val="13"/>
          <w:w w:val="105"/>
        </w:rPr>
        <w:t xml:space="preserve"> </w:t>
      </w:r>
      <w:r w:rsidRPr="00A23800">
        <w:rPr>
          <w:rFonts w:ascii="Calibri" w:hAnsi="Calibri"/>
          <w:color w:val="231F20"/>
          <w:w w:val="105"/>
        </w:rPr>
        <w:t>institutions</w:t>
      </w:r>
      <w:r w:rsidRPr="00A23800">
        <w:rPr>
          <w:rFonts w:ascii="Calibri" w:hAnsi="Calibri"/>
          <w:color w:val="231F20"/>
          <w:spacing w:val="13"/>
          <w:w w:val="105"/>
        </w:rPr>
        <w:t xml:space="preserve"> </w:t>
      </w:r>
      <w:r w:rsidRPr="00A23800">
        <w:rPr>
          <w:rFonts w:ascii="Calibri" w:hAnsi="Calibri"/>
          <w:color w:val="231F20"/>
          <w:w w:val="105"/>
        </w:rPr>
        <w:t>such</w:t>
      </w:r>
      <w:r w:rsidRPr="00A23800">
        <w:rPr>
          <w:rFonts w:ascii="Calibri" w:hAnsi="Calibri"/>
          <w:color w:val="231F20"/>
          <w:spacing w:val="13"/>
          <w:w w:val="105"/>
        </w:rPr>
        <w:t xml:space="preserve"> </w:t>
      </w:r>
      <w:r w:rsidRPr="00A23800">
        <w:rPr>
          <w:rFonts w:ascii="Calibri" w:hAnsi="Calibri"/>
          <w:color w:val="231F20"/>
          <w:w w:val="105"/>
        </w:rPr>
        <w:t>as</w:t>
      </w:r>
      <w:r w:rsidRPr="00A23800">
        <w:rPr>
          <w:rFonts w:ascii="Calibri" w:hAnsi="Calibri"/>
          <w:color w:val="231F20"/>
          <w:spacing w:val="13"/>
          <w:w w:val="105"/>
        </w:rPr>
        <w:t xml:space="preserve"> </w:t>
      </w:r>
      <w:r w:rsidRPr="00A23800">
        <w:rPr>
          <w:rFonts w:ascii="Calibri" w:hAnsi="Calibri"/>
          <w:color w:val="231F20"/>
          <w:w w:val="105"/>
        </w:rPr>
        <w:t>Historically</w:t>
      </w:r>
      <w:r w:rsidRPr="00A23800">
        <w:rPr>
          <w:rFonts w:ascii="Calibri" w:hAnsi="Calibri"/>
          <w:color w:val="231F20"/>
          <w:spacing w:val="13"/>
          <w:w w:val="105"/>
        </w:rPr>
        <w:t xml:space="preserve"> </w:t>
      </w:r>
      <w:r w:rsidRPr="00A23800">
        <w:rPr>
          <w:rFonts w:ascii="Calibri" w:hAnsi="Calibri"/>
          <w:color w:val="231F20"/>
          <w:w w:val="105"/>
        </w:rPr>
        <w:t>Black</w:t>
      </w:r>
      <w:r w:rsidRPr="00A23800">
        <w:rPr>
          <w:rFonts w:ascii="Calibri" w:hAnsi="Calibri"/>
          <w:color w:val="231F20"/>
          <w:spacing w:val="-33"/>
          <w:w w:val="105"/>
        </w:rPr>
        <w:t xml:space="preserve"> </w:t>
      </w:r>
      <w:r w:rsidRPr="00A23800">
        <w:rPr>
          <w:rFonts w:ascii="Calibri" w:hAnsi="Calibri"/>
          <w:color w:val="231F20"/>
          <w:w w:val="105"/>
        </w:rPr>
        <w:t>Colleges</w:t>
      </w:r>
      <w:r w:rsidRPr="00A23800">
        <w:rPr>
          <w:rFonts w:ascii="Calibri" w:hAnsi="Calibri"/>
          <w:color w:val="231F20"/>
          <w:spacing w:val="28"/>
          <w:w w:val="105"/>
        </w:rPr>
        <w:t xml:space="preserve"> </w:t>
      </w:r>
      <w:r w:rsidRPr="00A23800">
        <w:rPr>
          <w:rFonts w:ascii="Calibri" w:hAnsi="Calibri"/>
          <w:color w:val="231F20"/>
          <w:w w:val="105"/>
        </w:rPr>
        <w:t>and</w:t>
      </w:r>
      <w:r w:rsidRPr="00A23800">
        <w:rPr>
          <w:rFonts w:ascii="Calibri" w:hAnsi="Calibri"/>
          <w:color w:val="231F20"/>
          <w:spacing w:val="28"/>
          <w:w w:val="105"/>
        </w:rPr>
        <w:t xml:space="preserve"> </w:t>
      </w:r>
      <w:r w:rsidRPr="00A23800">
        <w:rPr>
          <w:rFonts w:ascii="Calibri" w:hAnsi="Calibri"/>
          <w:color w:val="231F20"/>
          <w:w w:val="105"/>
        </w:rPr>
        <w:t>Universities</w:t>
      </w:r>
      <w:r w:rsidRPr="00A23800">
        <w:rPr>
          <w:rFonts w:ascii="Calibri" w:hAnsi="Calibri"/>
          <w:color w:val="231F20"/>
          <w:spacing w:val="28"/>
          <w:w w:val="105"/>
        </w:rPr>
        <w:t xml:space="preserve"> </w:t>
      </w:r>
      <w:r w:rsidRPr="00A23800">
        <w:rPr>
          <w:rFonts w:ascii="Calibri" w:hAnsi="Calibri"/>
          <w:color w:val="231F20"/>
          <w:w w:val="105"/>
        </w:rPr>
        <w:t>and</w:t>
      </w:r>
      <w:r w:rsidRPr="00A23800">
        <w:rPr>
          <w:rFonts w:ascii="Calibri" w:hAnsi="Calibri"/>
          <w:color w:val="231F20"/>
          <w:spacing w:val="28"/>
          <w:w w:val="105"/>
        </w:rPr>
        <w:t xml:space="preserve"> </w:t>
      </w:r>
      <w:r w:rsidRPr="00A23800">
        <w:rPr>
          <w:rFonts w:ascii="Calibri" w:hAnsi="Calibri"/>
          <w:color w:val="231F20"/>
          <w:w w:val="105"/>
        </w:rPr>
        <w:t>disability-specific</w:t>
      </w:r>
      <w:r w:rsidRPr="00A23800">
        <w:rPr>
          <w:rFonts w:ascii="Calibri" w:hAnsi="Calibri"/>
          <w:color w:val="231F20"/>
          <w:spacing w:val="28"/>
          <w:w w:val="105"/>
        </w:rPr>
        <w:t xml:space="preserve"> </w:t>
      </w:r>
      <w:r w:rsidRPr="00A23800">
        <w:rPr>
          <w:rFonts w:ascii="Calibri" w:hAnsi="Calibri"/>
          <w:color w:val="231F20"/>
          <w:w w:val="105"/>
        </w:rPr>
        <w:t>organizations.</w:t>
      </w:r>
      <w:r w:rsidRPr="00A23800">
        <w:rPr>
          <w:rFonts w:ascii="Calibri" w:hAnsi="Calibri"/>
          <w:color w:val="231F20"/>
          <w:spacing w:val="28"/>
          <w:w w:val="105"/>
        </w:rPr>
        <w:t xml:space="preserve"> </w:t>
      </w:r>
      <w:r w:rsidRPr="00A23800">
        <w:rPr>
          <w:rFonts w:ascii="Calibri" w:hAnsi="Calibri"/>
          <w:color w:val="231F20"/>
          <w:w w:val="105"/>
        </w:rPr>
        <w:t>VR</w:t>
      </w:r>
      <w:r w:rsidRPr="00A23800">
        <w:rPr>
          <w:rFonts w:ascii="Calibri" w:hAnsi="Calibri"/>
          <w:color w:val="231F20"/>
          <w:spacing w:val="28"/>
          <w:w w:val="105"/>
        </w:rPr>
        <w:t xml:space="preserve"> </w:t>
      </w:r>
      <w:r w:rsidRPr="00A23800">
        <w:rPr>
          <w:rFonts w:ascii="Calibri" w:hAnsi="Calibri"/>
          <w:color w:val="231F20"/>
          <w:w w:val="105"/>
        </w:rPr>
        <w:t>employees</w:t>
      </w:r>
      <w:r w:rsidRPr="00A23800">
        <w:rPr>
          <w:rFonts w:ascii="Calibri" w:hAnsi="Calibri"/>
          <w:color w:val="231F20"/>
          <w:spacing w:val="28"/>
          <w:w w:val="105"/>
        </w:rPr>
        <w:t xml:space="preserve"> </w:t>
      </w:r>
      <w:r w:rsidRPr="00A23800">
        <w:rPr>
          <w:rFonts w:ascii="Calibri" w:hAnsi="Calibri"/>
          <w:color w:val="231F20"/>
          <w:w w:val="105"/>
        </w:rPr>
        <w:t>collaborate</w:t>
      </w:r>
      <w:r w:rsidRPr="00A23800">
        <w:rPr>
          <w:rFonts w:ascii="Calibri" w:hAnsi="Calibri"/>
          <w:color w:val="231F20"/>
          <w:spacing w:val="28"/>
          <w:w w:val="105"/>
        </w:rPr>
        <w:t xml:space="preserve"> </w:t>
      </w:r>
      <w:r w:rsidRPr="00A23800">
        <w:rPr>
          <w:rFonts w:ascii="Calibri" w:hAnsi="Calibri"/>
          <w:color w:val="231F20"/>
          <w:w w:val="105"/>
        </w:rPr>
        <w:t>with</w:t>
      </w:r>
      <w:r w:rsidRPr="00A23800">
        <w:rPr>
          <w:rFonts w:ascii="Calibri" w:hAnsi="Calibri"/>
          <w:color w:val="231F20"/>
          <w:spacing w:val="28"/>
          <w:w w:val="105"/>
        </w:rPr>
        <w:t xml:space="preserve"> </w:t>
      </w:r>
      <w:r w:rsidRPr="00A23800">
        <w:rPr>
          <w:rFonts w:ascii="Calibri" w:hAnsi="Calibri"/>
          <w:color w:val="231F20"/>
          <w:w w:val="105"/>
        </w:rPr>
        <w:t>universities</w:t>
      </w:r>
      <w:r w:rsidRPr="00A23800">
        <w:rPr>
          <w:rFonts w:ascii="Calibri" w:hAnsi="Calibri"/>
          <w:color w:val="231F20"/>
          <w:w w:val="106"/>
        </w:rPr>
        <w:t xml:space="preserve"> </w:t>
      </w:r>
      <w:r w:rsidRPr="00A23800">
        <w:rPr>
          <w:rFonts w:ascii="Calibri" w:hAnsi="Calibri"/>
          <w:color w:val="231F20"/>
          <w:w w:val="105"/>
        </w:rPr>
        <w:t>in</w:t>
      </w:r>
      <w:r w:rsidRPr="00A23800">
        <w:rPr>
          <w:rFonts w:ascii="Calibri" w:hAnsi="Calibri"/>
          <w:color w:val="231F20"/>
          <w:spacing w:val="9"/>
          <w:w w:val="105"/>
        </w:rPr>
        <w:t xml:space="preserve"> </w:t>
      </w:r>
      <w:r w:rsidRPr="00A23800">
        <w:rPr>
          <w:rFonts w:ascii="Calibri" w:hAnsi="Calibri"/>
          <w:color w:val="231F20"/>
          <w:w w:val="105"/>
        </w:rPr>
        <w:t>securing</w:t>
      </w:r>
      <w:r w:rsidRPr="00A23800">
        <w:rPr>
          <w:rFonts w:ascii="Calibri" w:hAnsi="Calibri"/>
          <w:color w:val="231F20"/>
          <w:spacing w:val="9"/>
          <w:w w:val="105"/>
        </w:rPr>
        <w:t xml:space="preserve"> </w:t>
      </w:r>
      <w:r w:rsidRPr="00A23800">
        <w:rPr>
          <w:rFonts w:ascii="Calibri" w:hAnsi="Calibri"/>
          <w:color w:val="231F20"/>
          <w:w w:val="105"/>
        </w:rPr>
        <w:t>grant</w:t>
      </w:r>
      <w:r w:rsidRPr="00A23800">
        <w:rPr>
          <w:rFonts w:ascii="Calibri" w:hAnsi="Calibri"/>
          <w:color w:val="231F20"/>
          <w:spacing w:val="9"/>
          <w:w w:val="105"/>
        </w:rPr>
        <w:t xml:space="preserve"> </w:t>
      </w:r>
      <w:r w:rsidRPr="00A23800">
        <w:rPr>
          <w:rFonts w:ascii="Calibri" w:hAnsi="Calibri"/>
          <w:color w:val="231F20"/>
          <w:w w:val="105"/>
        </w:rPr>
        <w:t>funding,</w:t>
      </w:r>
      <w:r w:rsidRPr="00A23800">
        <w:rPr>
          <w:rFonts w:ascii="Calibri" w:hAnsi="Calibri"/>
          <w:color w:val="231F20"/>
          <w:spacing w:val="9"/>
          <w:w w:val="105"/>
        </w:rPr>
        <w:t xml:space="preserve"> </w:t>
      </w:r>
      <w:r w:rsidRPr="00A23800">
        <w:rPr>
          <w:rFonts w:ascii="Calibri" w:hAnsi="Calibri"/>
          <w:color w:val="231F20"/>
          <w:w w:val="105"/>
        </w:rPr>
        <w:t>invite</w:t>
      </w:r>
      <w:r w:rsidRPr="00A23800">
        <w:rPr>
          <w:rFonts w:ascii="Calibri" w:hAnsi="Calibri"/>
          <w:color w:val="231F20"/>
          <w:spacing w:val="9"/>
          <w:w w:val="105"/>
        </w:rPr>
        <w:t xml:space="preserve"> </w:t>
      </w:r>
      <w:r w:rsidRPr="00A23800">
        <w:rPr>
          <w:rFonts w:ascii="Calibri" w:hAnsi="Calibri"/>
          <w:color w:val="231F20"/>
          <w:w w:val="105"/>
        </w:rPr>
        <w:t>university</w:t>
      </w:r>
      <w:r w:rsidRPr="00A23800">
        <w:rPr>
          <w:rFonts w:ascii="Calibri" w:hAnsi="Calibri"/>
          <w:color w:val="231F20"/>
          <w:spacing w:val="9"/>
          <w:w w:val="105"/>
        </w:rPr>
        <w:t xml:space="preserve"> </w:t>
      </w:r>
      <w:r w:rsidRPr="00A23800">
        <w:rPr>
          <w:rFonts w:ascii="Calibri" w:hAnsi="Calibri"/>
          <w:color w:val="231F20"/>
          <w:w w:val="105"/>
        </w:rPr>
        <w:t>employees</w:t>
      </w:r>
      <w:r w:rsidRPr="00A23800">
        <w:rPr>
          <w:rFonts w:ascii="Calibri" w:hAnsi="Calibri"/>
          <w:color w:val="231F20"/>
          <w:spacing w:val="9"/>
          <w:w w:val="105"/>
        </w:rPr>
        <w:t xml:space="preserve"> </w:t>
      </w:r>
      <w:r w:rsidRPr="00A23800">
        <w:rPr>
          <w:rFonts w:ascii="Calibri" w:hAnsi="Calibri"/>
          <w:color w:val="231F20"/>
          <w:w w:val="105"/>
        </w:rPr>
        <w:t>to</w:t>
      </w:r>
      <w:r w:rsidRPr="00A23800">
        <w:rPr>
          <w:rFonts w:ascii="Calibri" w:hAnsi="Calibri"/>
          <w:color w:val="231F20"/>
          <w:spacing w:val="9"/>
          <w:w w:val="105"/>
        </w:rPr>
        <w:t xml:space="preserve"> </w:t>
      </w:r>
      <w:r w:rsidRPr="00A23800">
        <w:rPr>
          <w:rFonts w:ascii="Calibri" w:hAnsi="Calibri"/>
          <w:color w:val="231F20"/>
          <w:w w:val="105"/>
        </w:rPr>
        <w:t>help</w:t>
      </w:r>
      <w:r w:rsidRPr="00A23800">
        <w:rPr>
          <w:rFonts w:ascii="Calibri" w:hAnsi="Calibri"/>
          <w:color w:val="231F20"/>
          <w:spacing w:val="9"/>
          <w:w w:val="105"/>
        </w:rPr>
        <w:t xml:space="preserve"> </w:t>
      </w:r>
      <w:r w:rsidRPr="00A23800">
        <w:rPr>
          <w:rFonts w:ascii="Calibri" w:hAnsi="Calibri"/>
          <w:color w:val="231F20"/>
          <w:w w:val="105"/>
        </w:rPr>
        <w:t>with</w:t>
      </w:r>
      <w:r w:rsidRPr="00A23800">
        <w:rPr>
          <w:rFonts w:ascii="Calibri" w:hAnsi="Calibri"/>
          <w:color w:val="231F20"/>
          <w:spacing w:val="9"/>
          <w:w w:val="105"/>
        </w:rPr>
        <w:t xml:space="preserve"> </w:t>
      </w:r>
      <w:r w:rsidRPr="00A23800">
        <w:rPr>
          <w:rFonts w:ascii="Calibri" w:hAnsi="Calibri"/>
          <w:color w:val="231F20"/>
          <w:w w:val="105"/>
        </w:rPr>
        <w:t>training</w:t>
      </w:r>
      <w:r w:rsidRPr="00A23800">
        <w:rPr>
          <w:rFonts w:ascii="Calibri" w:hAnsi="Calibri"/>
          <w:color w:val="231F20"/>
          <w:spacing w:val="9"/>
          <w:w w:val="105"/>
        </w:rPr>
        <w:t xml:space="preserve"> </w:t>
      </w:r>
      <w:r w:rsidRPr="00A23800">
        <w:rPr>
          <w:rFonts w:ascii="Calibri" w:hAnsi="Calibri"/>
          <w:color w:val="231F20"/>
          <w:w w:val="105"/>
        </w:rPr>
        <w:t>and</w:t>
      </w:r>
      <w:r w:rsidRPr="00A23800">
        <w:rPr>
          <w:rFonts w:ascii="Calibri" w:hAnsi="Calibri"/>
          <w:color w:val="231F20"/>
          <w:spacing w:val="9"/>
          <w:w w:val="105"/>
        </w:rPr>
        <w:t xml:space="preserve"> </w:t>
      </w:r>
      <w:r w:rsidRPr="00A23800">
        <w:rPr>
          <w:rFonts w:ascii="Calibri" w:hAnsi="Calibri"/>
          <w:color w:val="231F20"/>
          <w:w w:val="105"/>
        </w:rPr>
        <w:t>education</w:t>
      </w:r>
      <w:r w:rsidRPr="00A23800">
        <w:rPr>
          <w:rFonts w:ascii="Calibri" w:hAnsi="Calibri"/>
          <w:color w:val="231F20"/>
          <w:spacing w:val="9"/>
          <w:w w:val="105"/>
        </w:rPr>
        <w:t xml:space="preserve"> </w:t>
      </w:r>
      <w:r w:rsidRPr="00A23800">
        <w:rPr>
          <w:rFonts w:ascii="Calibri" w:hAnsi="Calibri"/>
          <w:color w:val="231F20"/>
          <w:w w:val="105"/>
        </w:rPr>
        <w:t>activities</w:t>
      </w:r>
      <w:r w:rsidR="00D5537E">
        <w:rPr>
          <w:rFonts w:ascii="Calibri" w:hAnsi="Calibri"/>
          <w:color w:val="231F20"/>
          <w:w w:val="105"/>
        </w:rPr>
        <w:t xml:space="preserve"> and</w:t>
      </w:r>
      <w:r w:rsidRPr="00A23800">
        <w:rPr>
          <w:rFonts w:ascii="Calibri" w:hAnsi="Calibri"/>
          <w:color w:val="231F20"/>
          <w:spacing w:val="-30"/>
          <w:w w:val="105"/>
        </w:rPr>
        <w:t xml:space="preserve"> </w:t>
      </w:r>
      <w:r w:rsidRPr="00A23800">
        <w:rPr>
          <w:rFonts w:ascii="Calibri" w:hAnsi="Calibri"/>
          <w:color w:val="231F20"/>
          <w:w w:val="105"/>
        </w:rPr>
        <w:t>provide practicum and internship slots for students.</w:t>
      </w:r>
    </w:p>
    <w:p w14:paraId="505E80C7" w14:textId="346A3D61" w:rsidR="00A07550" w:rsidRPr="00A23800" w:rsidRDefault="00A07550" w:rsidP="00D63204">
      <w:pPr>
        <w:widowControl w:val="0"/>
        <w:spacing w:before="195" w:after="0" w:line="240" w:lineRule="auto"/>
        <w:ind w:left="107"/>
        <w:rPr>
          <w:rFonts w:ascii="Calibri" w:hAnsi="Calibri"/>
        </w:rPr>
      </w:pPr>
      <w:r w:rsidRPr="00A23800">
        <w:rPr>
          <w:rFonts w:ascii="Calibri" w:hAnsi="Calibri"/>
          <w:color w:val="231F20"/>
          <w:w w:val="105"/>
        </w:rPr>
        <w:t>VR</w:t>
      </w:r>
      <w:r w:rsidRPr="00A23800">
        <w:rPr>
          <w:rFonts w:ascii="Calibri" w:hAnsi="Calibri"/>
          <w:color w:val="231F20"/>
          <w:spacing w:val="7"/>
          <w:w w:val="105"/>
        </w:rPr>
        <w:t xml:space="preserve"> </w:t>
      </w:r>
      <w:r w:rsidRPr="00A23800">
        <w:rPr>
          <w:rFonts w:ascii="Calibri" w:hAnsi="Calibri"/>
          <w:color w:val="231F20"/>
          <w:w w:val="105"/>
        </w:rPr>
        <w:t>acknowledges</w:t>
      </w:r>
      <w:r w:rsidRPr="00A23800">
        <w:rPr>
          <w:rFonts w:ascii="Calibri" w:hAnsi="Calibri"/>
          <w:color w:val="231F20"/>
          <w:spacing w:val="7"/>
          <w:w w:val="105"/>
        </w:rPr>
        <w:t xml:space="preserve"> </w:t>
      </w:r>
      <w:r w:rsidRPr="00A23800">
        <w:rPr>
          <w:rFonts w:ascii="Calibri" w:hAnsi="Calibri"/>
          <w:color w:val="231F20"/>
          <w:w w:val="105"/>
        </w:rPr>
        <w:t>that</w:t>
      </w:r>
      <w:r w:rsidRPr="00A23800">
        <w:rPr>
          <w:rFonts w:ascii="Calibri" w:hAnsi="Calibri"/>
          <w:color w:val="231F20"/>
          <w:spacing w:val="7"/>
          <w:w w:val="105"/>
        </w:rPr>
        <w:t xml:space="preserve"> </w:t>
      </w:r>
      <w:r w:rsidRPr="00A23800">
        <w:rPr>
          <w:rFonts w:ascii="Calibri" w:hAnsi="Calibri"/>
          <w:color w:val="231F20"/>
          <w:w w:val="105"/>
        </w:rPr>
        <w:t>it</w:t>
      </w:r>
      <w:r w:rsidRPr="00A23800">
        <w:rPr>
          <w:rFonts w:ascii="Calibri" w:hAnsi="Calibri"/>
          <w:color w:val="231F20"/>
          <w:spacing w:val="7"/>
          <w:w w:val="105"/>
        </w:rPr>
        <w:t xml:space="preserve"> </w:t>
      </w:r>
      <w:r w:rsidRPr="00A23800">
        <w:rPr>
          <w:rFonts w:ascii="Calibri" w:hAnsi="Calibri"/>
          <w:color w:val="231F20"/>
          <w:w w:val="105"/>
        </w:rPr>
        <w:t>will</w:t>
      </w:r>
      <w:r w:rsidRPr="00A23800">
        <w:rPr>
          <w:rFonts w:ascii="Calibri" w:hAnsi="Calibri"/>
          <w:color w:val="231F20"/>
          <w:spacing w:val="7"/>
          <w:w w:val="105"/>
        </w:rPr>
        <w:t xml:space="preserve"> </w:t>
      </w:r>
      <w:r w:rsidRPr="00A23800">
        <w:rPr>
          <w:rFonts w:ascii="Calibri" w:hAnsi="Calibri"/>
          <w:color w:val="231F20"/>
          <w:w w:val="105"/>
        </w:rPr>
        <w:t>not</w:t>
      </w:r>
      <w:r w:rsidRPr="00A23800">
        <w:rPr>
          <w:rFonts w:ascii="Calibri" w:hAnsi="Calibri"/>
          <w:color w:val="231F20"/>
          <w:spacing w:val="7"/>
          <w:w w:val="105"/>
        </w:rPr>
        <w:t xml:space="preserve"> </w:t>
      </w:r>
      <w:r w:rsidRPr="00A23800">
        <w:rPr>
          <w:rFonts w:ascii="Calibri" w:hAnsi="Calibri"/>
          <w:color w:val="231F20"/>
          <w:w w:val="105"/>
        </w:rPr>
        <w:t>be</w:t>
      </w:r>
      <w:r w:rsidRPr="00A23800">
        <w:rPr>
          <w:rFonts w:ascii="Calibri" w:hAnsi="Calibri"/>
          <w:color w:val="231F20"/>
          <w:spacing w:val="7"/>
          <w:w w:val="105"/>
        </w:rPr>
        <w:t xml:space="preserve"> </w:t>
      </w:r>
      <w:r w:rsidRPr="00A23800">
        <w:rPr>
          <w:rFonts w:ascii="Calibri" w:hAnsi="Calibri"/>
          <w:color w:val="231F20"/>
          <w:w w:val="105"/>
        </w:rPr>
        <w:t>able</w:t>
      </w:r>
      <w:r w:rsidRPr="00A23800">
        <w:rPr>
          <w:rFonts w:ascii="Calibri" w:hAnsi="Calibri"/>
          <w:color w:val="231F20"/>
          <w:spacing w:val="7"/>
          <w:w w:val="105"/>
        </w:rPr>
        <w:t xml:space="preserve"> </w:t>
      </w:r>
      <w:r w:rsidRPr="00A23800">
        <w:rPr>
          <w:rFonts w:ascii="Calibri" w:hAnsi="Calibri"/>
          <w:color w:val="231F20"/>
          <w:w w:val="105"/>
        </w:rPr>
        <w:t>to</w:t>
      </w:r>
      <w:r w:rsidRPr="00A23800">
        <w:rPr>
          <w:rFonts w:ascii="Calibri" w:hAnsi="Calibri"/>
          <w:color w:val="231F20"/>
          <w:spacing w:val="7"/>
          <w:w w:val="105"/>
        </w:rPr>
        <w:t xml:space="preserve"> </w:t>
      </w:r>
      <w:r w:rsidRPr="00A23800">
        <w:rPr>
          <w:rFonts w:ascii="Calibri" w:hAnsi="Calibri"/>
          <w:color w:val="231F20"/>
          <w:w w:val="105"/>
        </w:rPr>
        <w:t>recruit</w:t>
      </w:r>
      <w:r w:rsidRPr="00A23800">
        <w:rPr>
          <w:rFonts w:ascii="Calibri" w:hAnsi="Calibri"/>
          <w:color w:val="231F20"/>
          <w:spacing w:val="7"/>
          <w:w w:val="105"/>
        </w:rPr>
        <w:t xml:space="preserve"> </w:t>
      </w:r>
      <w:r w:rsidRPr="00A23800">
        <w:rPr>
          <w:rFonts w:ascii="Calibri" w:hAnsi="Calibri"/>
          <w:color w:val="231F20"/>
          <w:w w:val="105"/>
        </w:rPr>
        <w:t>an</w:t>
      </w:r>
      <w:r w:rsidRPr="00A23800">
        <w:rPr>
          <w:rFonts w:ascii="Calibri" w:hAnsi="Calibri"/>
          <w:color w:val="231F20"/>
          <w:spacing w:val="7"/>
          <w:w w:val="105"/>
        </w:rPr>
        <w:t xml:space="preserve"> </w:t>
      </w:r>
      <w:r w:rsidRPr="00A23800">
        <w:rPr>
          <w:rFonts w:ascii="Calibri" w:hAnsi="Calibri"/>
          <w:color w:val="231F20"/>
          <w:w w:val="105"/>
        </w:rPr>
        <w:t>adequate</w:t>
      </w:r>
      <w:r w:rsidRPr="00A23800">
        <w:rPr>
          <w:rFonts w:ascii="Calibri" w:hAnsi="Calibri"/>
          <w:color w:val="231F20"/>
          <w:spacing w:val="7"/>
          <w:w w:val="105"/>
        </w:rPr>
        <w:t xml:space="preserve"> </w:t>
      </w:r>
      <w:r w:rsidRPr="00A23800">
        <w:rPr>
          <w:rFonts w:ascii="Calibri" w:hAnsi="Calibri"/>
          <w:color w:val="231F20"/>
          <w:w w:val="105"/>
        </w:rPr>
        <w:t>number</w:t>
      </w:r>
      <w:r w:rsidRPr="00A23800">
        <w:rPr>
          <w:rFonts w:ascii="Calibri" w:hAnsi="Calibri"/>
          <w:color w:val="231F20"/>
          <w:spacing w:val="7"/>
          <w:w w:val="105"/>
        </w:rPr>
        <w:t xml:space="preserve"> </w:t>
      </w:r>
      <w:r w:rsidRPr="00A23800">
        <w:rPr>
          <w:rFonts w:ascii="Calibri" w:hAnsi="Calibri"/>
          <w:color w:val="231F20"/>
          <w:w w:val="105"/>
        </w:rPr>
        <w:t>of</w:t>
      </w:r>
      <w:r w:rsidRPr="00A23800">
        <w:rPr>
          <w:rFonts w:ascii="Calibri" w:hAnsi="Calibri"/>
          <w:color w:val="231F20"/>
          <w:spacing w:val="7"/>
          <w:w w:val="105"/>
        </w:rPr>
        <w:t xml:space="preserve"> </w:t>
      </w:r>
      <w:r w:rsidRPr="00A23800">
        <w:rPr>
          <w:rFonts w:ascii="Calibri" w:hAnsi="Calibri"/>
          <w:color w:val="231F20"/>
          <w:w w:val="105"/>
        </w:rPr>
        <w:t>qualified</w:t>
      </w:r>
      <w:r w:rsidRPr="00A23800">
        <w:rPr>
          <w:rFonts w:ascii="Calibri" w:hAnsi="Calibri"/>
          <w:color w:val="231F20"/>
          <w:spacing w:val="7"/>
          <w:w w:val="105"/>
        </w:rPr>
        <w:t xml:space="preserve"> </w:t>
      </w:r>
      <w:r w:rsidRPr="00A23800">
        <w:rPr>
          <w:rFonts w:ascii="Calibri" w:hAnsi="Calibri"/>
          <w:color w:val="231F20"/>
          <w:w w:val="105"/>
        </w:rPr>
        <w:t>rehabilitation</w:t>
      </w:r>
      <w:r w:rsidRPr="00A23800">
        <w:rPr>
          <w:rFonts w:ascii="Calibri" w:hAnsi="Calibri"/>
          <w:color w:val="231F20"/>
          <w:spacing w:val="-38"/>
          <w:w w:val="105"/>
        </w:rPr>
        <w:t xml:space="preserve"> </w:t>
      </w:r>
      <w:r w:rsidRPr="00A23800">
        <w:rPr>
          <w:rFonts w:ascii="Calibri" w:hAnsi="Calibri"/>
          <w:color w:val="231F20"/>
          <w:w w:val="105"/>
        </w:rPr>
        <w:t>counselors</w:t>
      </w:r>
      <w:r w:rsidRPr="00A23800">
        <w:rPr>
          <w:rFonts w:ascii="Calibri" w:hAnsi="Calibri"/>
          <w:color w:val="231F20"/>
          <w:spacing w:val="16"/>
          <w:w w:val="105"/>
        </w:rPr>
        <w:t xml:space="preserve"> </w:t>
      </w:r>
      <w:r w:rsidRPr="00A23800">
        <w:rPr>
          <w:rFonts w:ascii="Calibri" w:hAnsi="Calibri"/>
          <w:color w:val="231F20"/>
          <w:w w:val="105"/>
        </w:rPr>
        <w:t>to</w:t>
      </w:r>
      <w:r w:rsidRPr="00A23800">
        <w:rPr>
          <w:rFonts w:ascii="Calibri" w:hAnsi="Calibri"/>
          <w:color w:val="231F20"/>
          <w:spacing w:val="16"/>
          <w:w w:val="105"/>
        </w:rPr>
        <w:t xml:space="preserve"> </w:t>
      </w:r>
      <w:r w:rsidRPr="00A23800">
        <w:rPr>
          <w:rFonts w:ascii="Calibri" w:hAnsi="Calibri"/>
          <w:color w:val="231F20"/>
          <w:w w:val="105"/>
        </w:rPr>
        <w:t>replace</w:t>
      </w:r>
      <w:r w:rsidRPr="00A23800">
        <w:rPr>
          <w:rFonts w:ascii="Calibri" w:hAnsi="Calibri"/>
          <w:color w:val="231F20"/>
          <w:spacing w:val="16"/>
          <w:w w:val="105"/>
        </w:rPr>
        <w:t xml:space="preserve"> </w:t>
      </w:r>
      <w:r w:rsidRPr="00A23800">
        <w:rPr>
          <w:rFonts w:ascii="Calibri" w:hAnsi="Calibri"/>
          <w:color w:val="231F20"/>
          <w:w w:val="105"/>
        </w:rPr>
        <w:t>those</w:t>
      </w:r>
      <w:r w:rsidRPr="00A23800">
        <w:rPr>
          <w:rFonts w:ascii="Calibri" w:hAnsi="Calibri"/>
          <w:color w:val="231F20"/>
          <w:spacing w:val="16"/>
          <w:w w:val="105"/>
        </w:rPr>
        <w:t xml:space="preserve"> </w:t>
      </w:r>
      <w:r w:rsidRPr="00A23800">
        <w:rPr>
          <w:rFonts w:ascii="Calibri" w:hAnsi="Calibri"/>
          <w:color w:val="231F20"/>
          <w:w w:val="105"/>
        </w:rPr>
        <w:t>retiring</w:t>
      </w:r>
      <w:r w:rsidRPr="00A23800">
        <w:rPr>
          <w:rFonts w:ascii="Calibri" w:hAnsi="Calibri"/>
          <w:color w:val="231F20"/>
          <w:spacing w:val="16"/>
          <w:w w:val="105"/>
        </w:rPr>
        <w:t xml:space="preserve"> </w:t>
      </w:r>
      <w:r w:rsidRPr="00A23800">
        <w:rPr>
          <w:rFonts w:ascii="Calibri" w:hAnsi="Calibri"/>
          <w:color w:val="231F20"/>
          <w:w w:val="105"/>
        </w:rPr>
        <w:t>and</w:t>
      </w:r>
      <w:r w:rsidRPr="00A23800">
        <w:rPr>
          <w:rFonts w:ascii="Calibri" w:hAnsi="Calibri"/>
          <w:color w:val="231F20"/>
          <w:spacing w:val="16"/>
          <w:w w:val="105"/>
        </w:rPr>
        <w:t xml:space="preserve"> </w:t>
      </w:r>
      <w:r w:rsidRPr="00A23800">
        <w:rPr>
          <w:rFonts w:ascii="Calibri" w:hAnsi="Calibri"/>
          <w:color w:val="231F20"/>
          <w:w w:val="105"/>
        </w:rPr>
        <w:t>departing</w:t>
      </w:r>
      <w:r w:rsidRPr="00A23800">
        <w:rPr>
          <w:rFonts w:ascii="Calibri" w:hAnsi="Calibri"/>
          <w:color w:val="231F20"/>
          <w:spacing w:val="16"/>
          <w:w w:val="105"/>
        </w:rPr>
        <w:t xml:space="preserve"> </w:t>
      </w:r>
      <w:r w:rsidRPr="00A23800">
        <w:rPr>
          <w:rFonts w:ascii="Calibri" w:hAnsi="Calibri"/>
          <w:color w:val="231F20"/>
          <w:w w:val="105"/>
        </w:rPr>
        <w:t>for</w:t>
      </w:r>
      <w:r w:rsidRPr="00A23800">
        <w:rPr>
          <w:rFonts w:ascii="Calibri" w:hAnsi="Calibri"/>
          <w:color w:val="231F20"/>
          <w:spacing w:val="14"/>
          <w:w w:val="105"/>
        </w:rPr>
        <w:t xml:space="preserve"> </w:t>
      </w:r>
      <w:r w:rsidRPr="00A23800">
        <w:rPr>
          <w:rFonts w:ascii="Calibri" w:hAnsi="Calibri"/>
          <w:color w:val="231F20"/>
          <w:w w:val="105"/>
        </w:rPr>
        <w:t>other</w:t>
      </w:r>
      <w:r w:rsidRPr="00A23800">
        <w:rPr>
          <w:rFonts w:ascii="Calibri" w:hAnsi="Calibri"/>
          <w:color w:val="231F20"/>
          <w:spacing w:val="16"/>
          <w:w w:val="105"/>
        </w:rPr>
        <w:t xml:space="preserve"> </w:t>
      </w:r>
      <w:r w:rsidRPr="00A23800">
        <w:rPr>
          <w:rFonts w:ascii="Calibri" w:hAnsi="Calibri"/>
          <w:color w:val="231F20"/>
          <w:w w:val="105"/>
        </w:rPr>
        <w:t>reasons.</w:t>
      </w:r>
      <w:r w:rsidRPr="00A23800">
        <w:rPr>
          <w:rFonts w:ascii="Calibri" w:hAnsi="Calibri"/>
          <w:color w:val="231F20"/>
          <w:spacing w:val="16"/>
          <w:w w:val="105"/>
        </w:rPr>
        <w:t xml:space="preserve"> </w:t>
      </w:r>
      <w:r w:rsidRPr="00A23800">
        <w:rPr>
          <w:rFonts w:ascii="Calibri" w:hAnsi="Calibri"/>
          <w:color w:val="231F20"/>
          <w:w w:val="105"/>
        </w:rPr>
        <w:t>VR</w:t>
      </w:r>
      <w:r w:rsidRPr="00A23800">
        <w:rPr>
          <w:rFonts w:ascii="Calibri" w:hAnsi="Calibri"/>
          <w:color w:val="231F20"/>
          <w:spacing w:val="16"/>
          <w:w w:val="105"/>
        </w:rPr>
        <w:t xml:space="preserve"> </w:t>
      </w:r>
      <w:r w:rsidRPr="00A23800">
        <w:rPr>
          <w:rFonts w:ascii="Calibri" w:hAnsi="Calibri"/>
          <w:color w:val="231F20"/>
          <w:w w:val="105"/>
        </w:rPr>
        <w:t>is</w:t>
      </w:r>
      <w:r w:rsidRPr="00A23800">
        <w:rPr>
          <w:rFonts w:ascii="Calibri" w:hAnsi="Calibri"/>
          <w:color w:val="231F20"/>
          <w:spacing w:val="16"/>
          <w:w w:val="105"/>
        </w:rPr>
        <w:t xml:space="preserve"> </w:t>
      </w:r>
      <w:r w:rsidRPr="00A23800">
        <w:rPr>
          <w:rFonts w:ascii="Calibri" w:hAnsi="Calibri"/>
          <w:color w:val="231F20"/>
          <w:w w:val="105"/>
        </w:rPr>
        <w:t>currently</w:t>
      </w:r>
      <w:r w:rsidRPr="00A23800">
        <w:rPr>
          <w:rFonts w:ascii="Calibri" w:hAnsi="Calibri"/>
          <w:color w:val="231F20"/>
          <w:spacing w:val="16"/>
          <w:w w:val="105"/>
        </w:rPr>
        <w:t xml:space="preserve"> </w:t>
      </w:r>
      <w:r w:rsidRPr="00A23800">
        <w:rPr>
          <w:rFonts w:ascii="Calibri" w:hAnsi="Calibri"/>
          <w:color w:val="231F20"/>
          <w:w w:val="105"/>
        </w:rPr>
        <w:t>engaged</w:t>
      </w:r>
      <w:r w:rsidRPr="00A23800">
        <w:rPr>
          <w:rFonts w:ascii="Calibri" w:hAnsi="Calibri"/>
          <w:color w:val="231F20"/>
          <w:spacing w:val="16"/>
          <w:w w:val="105"/>
        </w:rPr>
        <w:t xml:space="preserve"> </w:t>
      </w:r>
      <w:r w:rsidRPr="00A23800">
        <w:rPr>
          <w:rFonts w:ascii="Calibri" w:hAnsi="Calibri"/>
          <w:color w:val="231F20"/>
          <w:w w:val="105"/>
        </w:rPr>
        <w:t>in</w:t>
      </w:r>
      <w:r w:rsidRPr="00A23800">
        <w:rPr>
          <w:rFonts w:ascii="Calibri" w:hAnsi="Calibri"/>
          <w:color w:val="231F20"/>
          <w:spacing w:val="16"/>
          <w:w w:val="105"/>
        </w:rPr>
        <w:t xml:space="preserve"> </w:t>
      </w:r>
      <w:r w:rsidRPr="00A23800">
        <w:rPr>
          <w:rFonts w:ascii="Calibri" w:hAnsi="Calibri"/>
          <w:color w:val="231F20"/>
          <w:w w:val="105"/>
        </w:rPr>
        <w:t>the</w:t>
      </w:r>
      <w:r w:rsidRPr="00A23800">
        <w:rPr>
          <w:rFonts w:ascii="Calibri" w:hAnsi="Calibri"/>
          <w:color w:val="231F20"/>
          <w:w w:val="103"/>
        </w:rPr>
        <w:t xml:space="preserve"> </w:t>
      </w:r>
      <w:r w:rsidRPr="00A23800">
        <w:rPr>
          <w:rFonts w:ascii="Calibri" w:hAnsi="Calibri"/>
          <w:color w:val="231F20"/>
          <w:w w:val="105"/>
        </w:rPr>
        <w:t>activities indicated below to address recruitment, preparation</w:t>
      </w:r>
      <w:r w:rsidR="00D5537E">
        <w:rPr>
          <w:rFonts w:ascii="Calibri" w:hAnsi="Calibri"/>
          <w:color w:val="231F20"/>
          <w:w w:val="105"/>
        </w:rPr>
        <w:t xml:space="preserve"> and</w:t>
      </w:r>
      <w:r w:rsidRPr="00A23800">
        <w:rPr>
          <w:rFonts w:ascii="Calibri" w:hAnsi="Calibri"/>
          <w:color w:val="231F20"/>
          <w:w w:val="105"/>
        </w:rPr>
        <w:t xml:space="preserve"> retention of counselors.</w:t>
      </w:r>
    </w:p>
    <w:p w14:paraId="547F44C8" w14:textId="77777777" w:rsidR="00A07550" w:rsidRPr="00A23800" w:rsidRDefault="00A07550" w:rsidP="00D63204">
      <w:pPr>
        <w:widowControl w:val="0"/>
        <w:spacing w:before="197" w:after="0" w:line="240" w:lineRule="auto"/>
        <w:ind w:left="107"/>
        <w:outlineLvl w:val="2"/>
        <w:rPr>
          <w:rFonts w:ascii="Calibri" w:hAnsi="Calibri"/>
        </w:rPr>
      </w:pPr>
      <w:r w:rsidRPr="00A23800">
        <w:rPr>
          <w:rFonts w:ascii="Calibri" w:hAnsi="Calibri"/>
          <w:b/>
          <w:bCs/>
          <w:color w:val="231F20"/>
          <w:w w:val="110"/>
          <w:u w:val="single" w:color="231F20"/>
        </w:rPr>
        <w:t>Personnel</w:t>
      </w:r>
      <w:r w:rsidRPr="00A23800">
        <w:rPr>
          <w:rFonts w:ascii="Calibri" w:hAnsi="Calibri"/>
          <w:b/>
          <w:bCs/>
          <w:color w:val="231F20"/>
          <w:spacing w:val="-5"/>
          <w:w w:val="110"/>
          <w:u w:val="single" w:color="231F20"/>
        </w:rPr>
        <w:t xml:space="preserve"> </w:t>
      </w:r>
      <w:r w:rsidRPr="00A23800">
        <w:rPr>
          <w:rFonts w:ascii="Calibri" w:hAnsi="Calibri"/>
          <w:b/>
          <w:bCs/>
          <w:color w:val="231F20"/>
          <w:w w:val="110"/>
          <w:u w:val="single" w:color="231F20"/>
        </w:rPr>
        <w:t>Standards</w:t>
      </w:r>
    </w:p>
    <w:p w14:paraId="317E9B7A" w14:textId="77777777" w:rsidR="00A07550" w:rsidRPr="00A23800" w:rsidRDefault="00A07550" w:rsidP="00D63204">
      <w:pPr>
        <w:widowControl w:val="0"/>
        <w:spacing w:before="2" w:after="0" w:line="240" w:lineRule="auto"/>
        <w:ind w:left="107"/>
        <w:rPr>
          <w:rFonts w:ascii="Calibri" w:hAnsi="Calibri"/>
        </w:rPr>
      </w:pPr>
      <w:r w:rsidRPr="00A23800">
        <w:rPr>
          <w:rFonts w:ascii="Calibri" w:hAnsi="Calibri"/>
          <w:color w:val="231F20"/>
          <w:w w:val="105"/>
        </w:rPr>
        <w:t>There is not a state-approved or recognized certification, licensure, or registration of Vocational</w:t>
      </w:r>
      <w:r w:rsidRPr="00A23800">
        <w:rPr>
          <w:rFonts w:ascii="Calibri" w:hAnsi="Calibri"/>
          <w:color w:val="231F20"/>
          <w:spacing w:val="1"/>
          <w:w w:val="105"/>
        </w:rPr>
        <w:t xml:space="preserve"> </w:t>
      </w:r>
      <w:r w:rsidRPr="00A23800">
        <w:rPr>
          <w:rFonts w:ascii="Calibri" w:hAnsi="Calibri"/>
          <w:color w:val="231F20"/>
          <w:w w:val="105"/>
        </w:rPr>
        <w:t>Rehabilitation counselors. VR, in conjunction with the Florida Rehabilitation Council (FRC) established</w:t>
      </w:r>
      <w:r w:rsidRPr="00A23800">
        <w:rPr>
          <w:rFonts w:ascii="Calibri" w:hAnsi="Calibri"/>
          <w:color w:val="231F20"/>
          <w:spacing w:val="9"/>
          <w:w w:val="105"/>
        </w:rPr>
        <w:t xml:space="preserve"> </w:t>
      </w:r>
      <w:r w:rsidRPr="00A23800">
        <w:rPr>
          <w:rFonts w:ascii="Calibri" w:hAnsi="Calibri"/>
          <w:color w:val="231F20"/>
          <w:w w:val="105"/>
        </w:rPr>
        <w:t>the</w:t>
      </w:r>
      <w:r w:rsidRPr="00A23800">
        <w:rPr>
          <w:rFonts w:ascii="Calibri" w:hAnsi="Calibri"/>
          <w:color w:val="231F20"/>
          <w:w w:val="103"/>
        </w:rPr>
        <w:t xml:space="preserve"> </w:t>
      </w:r>
      <w:r w:rsidRPr="00A23800">
        <w:rPr>
          <w:rFonts w:ascii="Calibri" w:hAnsi="Calibri"/>
          <w:color w:val="231F20"/>
          <w:w w:val="105"/>
        </w:rPr>
        <w:t>Certified Rehabilitation Counselor (CRC) educational eligibility requirement as its standard.</w:t>
      </w:r>
    </w:p>
    <w:p w14:paraId="69A7A944" w14:textId="77777777" w:rsidR="006206D4" w:rsidRDefault="00A07550" w:rsidP="00D63204">
      <w:pPr>
        <w:widowControl w:val="0"/>
        <w:spacing w:before="195" w:after="0" w:line="240" w:lineRule="auto"/>
        <w:ind w:left="107"/>
        <w:rPr>
          <w:rFonts w:ascii="Calibri" w:hAnsi="Calibri"/>
          <w:color w:val="231F20"/>
          <w:w w:val="105"/>
        </w:rPr>
      </w:pPr>
      <w:r w:rsidRPr="00A23800">
        <w:rPr>
          <w:rFonts w:ascii="Calibri" w:hAnsi="Calibri"/>
          <w:color w:val="231F20"/>
          <w:w w:val="105"/>
        </w:rPr>
        <w:t>Efforts</w:t>
      </w:r>
      <w:r w:rsidRPr="00A23800">
        <w:rPr>
          <w:rFonts w:ascii="Calibri" w:hAnsi="Calibri"/>
          <w:color w:val="231F20"/>
          <w:spacing w:val="11"/>
          <w:w w:val="105"/>
        </w:rPr>
        <w:t xml:space="preserve"> </w:t>
      </w:r>
      <w:r w:rsidRPr="00A23800">
        <w:rPr>
          <w:rFonts w:ascii="Calibri" w:hAnsi="Calibri"/>
          <w:color w:val="231F20"/>
          <w:w w:val="105"/>
        </w:rPr>
        <w:t>are</w:t>
      </w:r>
      <w:r w:rsidRPr="00A23800">
        <w:rPr>
          <w:rFonts w:ascii="Calibri" w:hAnsi="Calibri"/>
          <w:color w:val="231F20"/>
          <w:spacing w:val="11"/>
          <w:w w:val="105"/>
        </w:rPr>
        <w:t xml:space="preserve"> </w:t>
      </w:r>
      <w:r w:rsidRPr="00A23800">
        <w:rPr>
          <w:rFonts w:ascii="Calibri" w:hAnsi="Calibri"/>
          <w:color w:val="231F20"/>
          <w:w w:val="105"/>
        </w:rPr>
        <w:t>made</w:t>
      </w:r>
      <w:r w:rsidRPr="00A23800">
        <w:rPr>
          <w:rFonts w:ascii="Calibri" w:hAnsi="Calibri"/>
          <w:color w:val="231F20"/>
          <w:spacing w:val="11"/>
          <w:w w:val="105"/>
        </w:rPr>
        <w:t xml:space="preserve"> </w:t>
      </w:r>
      <w:r w:rsidRPr="00A23800">
        <w:rPr>
          <w:rFonts w:ascii="Calibri" w:hAnsi="Calibri"/>
          <w:color w:val="231F20"/>
          <w:w w:val="105"/>
        </w:rPr>
        <w:t>to</w:t>
      </w:r>
      <w:r w:rsidRPr="00A23800">
        <w:rPr>
          <w:rFonts w:ascii="Calibri" w:hAnsi="Calibri"/>
          <w:color w:val="231F20"/>
          <w:spacing w:val="11"/>
          <w:w w:val="105"/>
        </w:rPr>
        <w:t xml:space="preserve"> </w:t>
      </w:r>
      <w:r w:rsidRPr="00A23800">
        <w:rPr>
          <w:rFonts w:ascii="Calibri" w:hAnsi="Calibri"/>
          <w:color w:val="231F20"/>
          <w:w w:val="105"/>
        </w:rPr>
        <w:t>recruit</w:t>
      </w:r>
      <w:r w:rsidRPr="00A23800">
        <w:rPr>
          <w:rFonts w:ascii="Calibri" w:hAnsi="Calibri"/>
          <w:color w:val="231F20"/>
          <w:spacing w:val="11"/>
          <w:w w:val="105"/>
        </w:rPr>
        <w:t xml:space="preserve"> </w:t>
      </w:r>
      <w:r w:rsidRPr="00A23800">
        <w:rPr>
          <w:rFonts w:ascii="Calibri" w:hAnsi="Calibri"/>
          <w:color w:val="231F20"/>
          <w:w w:val="105"/>
        </w:rPr>
        <w:t>and</w:t>
      </w:r>
      <w:r w:rsidRPr="00A23800">
        <w:rPr>
          <w:rFonts w:ascii="Calibri" w:hAnsi="Calibri"/>
          <w:color w:val="231F20"/>
          <w:spacing w:val="11"/>
          <w:w w:val="105"/>
        </w:rPr>
        <w:t xml:space="preserve"> </w:t>
      </w:r>
      <w:r w:rsidRPr="00A23800">
        <w:rPr>
          <w:rFonts w:ascii="Calibri" w:hAnsi="Calibri"/>
          <w:color w:val="231F20"/>
          <w:w w:val="105"/>
        </w:rPr>
        <w:t>hire</w:t>
      </w:r>
      <w:r w:rsidRPr="00A23800">
        <w:rPr>
          <w:rFonts w:ascii="Calibri" w:hAnsi="Calibri"/>
          <w:color w:val="231F20"/>
          <w:spacing w:val="11"/>
          <w:w w:val="105"/>
        </w:rPr>
        <w:t xml:space="preserve"> </w:t>
      </w:r>
      <w:r w:rsidRPr="00A23800">
        <w:rPr>
          <w:rFonts w:ascii="Calibri" w:hAnsi="Calibri"/>
          <w:color w:val="231F20"/>
          <w:w w:val="105"/>
        </w:rPr>
        <w:t>counselors</w:t>
      </w:r>
      <w:r w:rsidRPr="00A23800">
        <w:rPr>
          <w:rFonts w:ascii="Calibri" w:hAnsi="Calibri"/>
          <w:color w:val="231F20"/>
          <w:spacing w:val="11"/>
          <w:w w:val="105"/>
        </w:rPr>
        <w:t xml:space="preserve"> </w:t>
      </w:r>
      <w:r w:rsidRPr="00A23800">
        <w:rPr>
          <w:rFonts w:ascii="Calibri" w:hAnsi="Calibri"/>
          <w:color w:val="231F20"/>
          <w:w w:val="105"/>
        </w:rPr>
        <w:t>who</w:t>
      </w:r>
      <w:r w:rsidRPr="00A23800">
        <w:rPr>
          <w:rFonts w:ascii="Calibri" w:hAnsi="Calibri"/>
          <w:color w:val="231F20"/>
          <w:spacing w:val="11"/>
          <w:w w:val="105"/>
        </w:rPr>
        <w:t xml:space="preserve"> </w:t>
      </w:r>
      <w:r w:rsidRPr="00A23800">
        <w:rPr>
          <w:rFonts w:ascii="Calibri" w:hAnsi="Calibri"/>
          <w:color w:val="231F20"/>
          <w:w w:val="105"/>
        </w:rPr>
        <w:t>meet</w:t>
      </w:r>
      <w:r w:rsidRPr="00A23800">
        <w:rPr>
          <w:rFonts w:ascii="Calibri" w:hAnsi="Calibri"/>
          <w:color w:val="231F20"/>
          <w:spacing w:val="11"/>
          <w:w w:val="105"/>
        </w:rPr>
        <w:t xml:space="preserve"> </w:t>
      </w:r>
      <w:r w:rsidRPr="00A23800">
        <w:rPr>
          <w:rFonts w:ascii="Calibri" w:hAnsi="Calibri"/>
          <w:color w:val="231F20"/>
          <w:w w:val="105"/>
        </w:rPr>
        <w:t>the</w:t>
      </w:r>
      <w:r w:rsidRPr="00A23800">
        <w:rPr>
          <w:rFonts w:ascii="Calibri" w:hAnsi="Calibri"/>
          <w:color w:val="231F20"/>
          <w:spacing w:val="11"/>
          <w:w w:val="105"/>
        </w:rPr>
        <w:t xml:space="preserve"> </w:t>
      </w:r>
      <w:r w:rsidRPr="00A23800">
        <w:rPr>
          <w:rFonts w:ascii="Calibri" w:hAnsi="Calibri"/>
          <w:color w:val="231F20"/>
          <w:w w:val="105"/>
        </w:rPr>
        <w:t>CRC</w:t>
      </w:r>
      <w:r w:rsidRPr="00A23800">
        <w:rPr>
          <w:rFonts w:ascii="Calibri" w:hAnsi="Calibri"/>
          <w:color w:val="231F20"/>
          <w:spacing w:val="11"/>
          <w:w w:val="105"/>
        </w:rPr>
        <w:t xml:space="preserve"> </w:t>
      </w:r>
      <w:r w:rsidRPr="00A23800">
        <w:rPr>
          <w:rFonts w:ascii="Calibri" w:hAnsi="Calibri"/>
          <w:color w:val="231F20"/>
          <w:w w:val="105"/>
        </w:rPr>
        <w:t>educational</w:t>
      </w:r>
      <w:r w:rsidRPr="00A23800">
        <w:rPr>
          <w:rFonts w:ascii="Calibri" w:hAnsi="Calibri"/>
          <w:color w:val="231F20"/>
          <w:spacing w:val="11"/>
          <w:w w:val="105"/>
        </w:rPr>
        <w:t xml:space="preserve"> </w:t>
      </w:r>
      <w:r w:rsidRPr="00A23800">
        <w:rPr>
          <w:rFonts w:ascii="Calibri" w:hAnsi="Calibri"/>
          <w:color w:val="231F20"/>
          <w:w w:val="105"/>
        </w:rPr>
        <w:t>eligibility</w:t>
      </w:r>
      <w:r w:rsidRPr="00A23800">
        <w:rPr>
          <w:rFonts w:ascii="Calibri" w:hAnsi="Calibri"/>
          <w:color w:val="231F20"/>
          <w:spacing w:val="11"/>
          <w:w w:val="105"/>
        </w:rPr>
        <w:t xml:space="preserve"> </w:t>
      </w:r>
      <w:r w:rsidRPr="00A23800">
        <w:rPr>
          <w:rFonts w:ascii="Calibri" w:hAnsi="Calibri"/>
          <w:color w:val="231F20"/>
          <w:w w:val="105"/>
        </w:rPr>
        <w:t>status.</w:t>
      </w:r>
      <w:r w:rsidRPr="00A23800">
        <w:rPr>
          <w:rFonts w:ascii="Calibri" w:hAnsi="Calibri"/>
          <w:color w:val="231F20"/>
          <w:spacing w:val="11"/>
          <w:w w:val="105"/>
        </w:rPr>
        <w:t xml:space="preserve"> </w:t>
      </w:r>
      <w:r w:rsidRPr="00A23800">
        <w:rPr>
          <w:rFonts w:ascii="Calibri" w:hAnsi="Calibri"/>
          <w:color w:val="231F20"/>
          <w:w w:val="105"/>
        </w:rPr>
        <w:t>If</w:t>
      </w:r>
      <w:r w:rsidRPr="00A23800">
        <w:rPr>
          <w:rFonts w:ascii="Calibri" w:hAnsi="Calibri"/>
          <w:color w:val="231F20"/>
          <w:spacing w:val="11"/>
          <w:w w:val="105"/>
        </w:rPr>
        <w:t xml:space="preserve"> </w:t>
      </w:r>
      <w:r w:rsidRPr="00A23800">
        <w:rPr>
          <w:rFonts w:ascii="Calibri" w:hAnsi="Calibri"/>
          <w:color w:val="231F20"/>
          <w:w w:val="105"/>
        </w:rPr>
        <w:t>VR</w:t>
      </w:r>
      <w:r w:rsidRPr="00A23800">
        <w:rPr>
          <w:rFonts w:ascii="Calibri" w:hAnsi="Calibri"/>
          <w:color w:val="231F20"/>
          <w:w w:val="114"/>
        </w:rPr>
        <w:t xml:space="preserve"> </w:t>
      </w:r>
      <w:r w:rsidRPr="00A23800">
        <w:rPr>
          <w:rFonts w:ascii="Calibri" w:hAnsi="Calibri"/>
          <w:color w:val="231F20"/>
          <w:w w:val="105"/>
        </w:rPr>
        <w:t>is unsuccessful in finding enough qualified applicants, it will accept those who meet the minimal</w:t>
      </w:r>
      <w:r w:rsidRPr="00A23800">
        <w:rPr>
          <w:rFonts w:ascii="Calibri" w:hAnsi="Calibri"/>
          <w:color w:val="231F20"/>
          <w:spacing w:val="49"/>
          <w:w w:val="105"/>
        </w:rPr>
        <w:t xml:space="preserve"> </w:t>
      </w:r>
      <w:r w:rsidRPr="00A23800">
        <w:rPr>
          <w:rFonts w:ascii="Calibri" w:hAnsi="Calibri"/>
          <w:color w:val="231F20"/>
          <w:w w:val="105"/>
        </w:rPr>
        <w:t>initial</w:t>
      </w:r>
      <w:r w:rsidRPr="00A23800">
        <w:rPr>
          <w:rFonts w:ascii="Calibri" w:hAnsi="Calibri"/>
          <w:color w:val="231F20"/>
        </w:rPr>
        <w:t xml:space="preserve"> </w:t>
      </w:r>
      <w:r w:rsidRPr="00A23800">
        <w:rPr>
          <w:rFonts w:ascii="Calibri" w:hAnsi="Calibri"/>
          <w:color w:val="231F20"/>
          <w:w w:val="105"/>
        </w:rPr>
        <w:t>standard</w:t>
      </w:r>
      <w:r w:rsidRPr="00A23800">
        <w:rPr>
          <w:rFonts w:ascii="Calibri" w:hAnsi="Calibri"/>
          <w:color w:val="231F20"/>
          <w:spacing w:val="21"/>
          <w:w w:val="105"/>
        </w:rPr>
        <w:t xml:space="preserve"> </w:t>
      </w:r>
      <w:r w:rsidRPr="00A23800">
        <w:rPr>
          <w:rFonts w:ascii="Calibri" w:hAnsi="Calibri"/>
          <w:color w:val="231F20"/>
          <w:w w:val="105"/>
        </w:rPr>
        <w:t>for</w:t>
      </w:r>
      <w:r w:rsidRPr="00A23800">
        <w:rPr>
          <w:rFonts w:ascii="Calibri" w:hAnsi="Calibri"/>
          <w:color w:val="231F20"/>
          <w:spacing w:val="21"/>
          <w:w w:val="105"/>
        </w:rPr>
        <w:t xml:space="preserve"> </w:t>
      </w:r>
      <w:r w:rsidRPr="00A23800">
        <w:rPr>
          <w:rFonts w:ascii="Calibri" w:hAnsi="Calibri"/>
          <w:color w:val="231F20"/>
          <w:w w:val="105"/>
        </w:rPr>
        <w:t>providing</w:t>
      </w:r>
      <w:r w:rsidRPr="00A23800">
        <w:rPr>
          <w:rFonts w:ascii="Calibri" w:hAnsi="Calibri"/>
          <w:color w:val="231F20"/>
          <w:spacing w:val="21"/>
          <w:w w:val="105"/>
        </w:rPr>
        <w:t xml:space="preserve"> </w:t>
      </w:r>
      <w:r w:rsidRPr="00A23800">
        <w:rPr>
          <w:rFonts w:ascii="Calibri" w:hAnsi="Calibri"/>
          <w:color w:val="231F20"/>
          <w:w w:val="105"/>
        </w:rPr>
        <w:t>counseling</w:t>
      </w:r>
      <w:r w:rsidRPr="00A23800">
        <w:rPr>
          <w:rFonts w:ascii="Calibri" w:hAnsi="Calibri"/>
          <w:color w:val="231F20"/>
          <w:spacing w:val="21"/>
          <w:w w:val="105"/>
        </w:rPr>
        <w:t xml:space="preserve"> </w:t>
      </w:r>
      <w:r w:rsidRPr="00A23800">
        <w:rPr>
          <w:rFonts w:ascii="Calibri" w:hAnsi="Calibri"/>
          <w:color w:val="231F20"/>
          <w:w w:val="105"/>
        </w:rPr>
        <w:t>and</w:t>
      </w:r>
      <w:r w:rsidRPr="00A23800">
        <w:rPr>
          <w:rFonts w:ascii="Calibri" w:hAnsi="Calibri"/>
          <w:color w:val="231F20"/>
          <w:spacing w:val="21"/>
          <w:w w:val="105"/>
        </w:rPr>
        <w:t xml:space="preserve"> </w:t>
      </w:r>
      <w:r w:rsidRPr="00A23800">
        <w:rPr>
          <w:rFonts w:ascii="Calibri" w:hAnsi="Calibri"/>
          <w:color w:val="231F20"/>
          <w:w w:val="105"/>
        </w:rPr>
        <w:t>guidance</w:t>
      </w:r>
      <w:r w:rsidRPr="00A23800">
        <w:rPr>
          <w:rFonts w:ascii="Calibri" w:hAnsi="Calibri"/>
          <w:color w:val="231F20"/>
          <w:spacing w:val="21"/>
          <w:w w:val="105"/>
        </w:rPr>
        <w:t xml:space="preserve"> </w:t>
      </w:r>
      <w:r w:rsidRPr="00A23800">
        <w:rPr>
          <w:rFonts w:ascii="Calibri" w:hAnsi="Calibri"/>
          <w:color w:val="231F20"/>
          <w:w w:val="105"/>
        </w:rPr>
        <w:t>services.</w:t>
      </w:r>
      <w:r w:rsidRPr="00A23800">
        <w:rPr>
          <w:rFonts w:ascii="Calibri" w:hAnsi="Calibri"/>
          <w:color w:val="231F20"/>
          <w:spacing w:val="21"/>
          <w:w w:val="105"/>
        </w:rPr>
        <w:t xml:space="preserve"> </w:t>
      </w:r>
      <w:r w:rsidRPr="00A23800">
        <w:rPr>
          <w:rFonts w:ascii="Calibri" w:hAnsi="Calibri"/>
          <w:color w:val="231F20"/>
          <w:w w:val="105"/>
        </w:rPr>
        <w:t>The</w:t>
      </w:r>
      <w:r w:rsidRPr="00A23800">
        <w:rPr>
          <w:rFonts w:ascii="Calibri" w:hAnsi="Calibri"/>
          <w:color w:val="231F20"/>
          <w:spacing w:val="21"/>
          <w:w w:val="105"/>
        </w:rPr>
        <w:t xml:space="preserve"> </w:t>
      </w:r>
      <w:r w:rsidRPr="00A23800">
        <w:rPr>
          <w:rFonts w:ascii="Calibri" w:hAnsi="Calibri"/>
          <w:color w:val="231F20"/>
          <w:w w:val="105"/>
        </w:rPr>
        <w:t>individual(s)</w:t>
      </w:r>
      <w:r w:rsidRPr="00A23800">
        <w:rPr>
          <w:rFonts w:ascii="Calibri" w:hAnsi="Calibri"/>
          <w:color w:val="231F20"/>
          <w:spacing w:val="21"/>
          <w:w w:val="105"/>
        </w:rPr>
        <w:t xml:space="preserve"> </w:t>
      </w:r>
      <w:r w:rsidRPr="00A23800">
        <w:rPr>
          <w:rFonts w:ascii="Calibri" w:hAnsi="Calibri"/>
          <w:color w:val="231F20"/>
          <w:w w:val="105"/>
        </w:rPr>
        <w:t>must</w:t>
      </w:r>
      <w:r w:rsidRPr="00A23800">
        <w:rPr>
          <w:rFonts w:ascii="Calibri" w:hAnsi="Calibri"/>
          <w:color w:val="231F20"/>
          <w:spacing w:val="21"/>
          <w:w w:val="105"/>
        </w:rPr>
        <w:t xml:space="preserve"> </w:t>
      </w:r>
      <w:r w:rsidRPr="00A23800">
        <w:rPr>
          <w:rFonts w:ascii="Calibri" w:hAnsi="Calibri"/>
          <w:color w:val="231F20"/>
          <w:w w:val="105"/>
        </w:rPr>
        <w:t>have</w:t>
      </w:r>
      <w:r w:rsidRPr="00A23800">
        <w:rPr>
          <w:rFonts w:ascii="Calibri" w:hAnsi="Calibri"/>
          <w:color w:val="231F20"/>
          <w:spacing w:val="21"/>
          <w:w w:val="105"/>
        </w:rPr>
        <w:t xml:space="preserve"> </w:t>
      </w:r>
      <w:r w:rsidRPr="00A23800">
        <w:rPr>
          <w:rFonts w:ascii="Calibri" w:hAnsi="Calibri"/>
          <w:color w:val="231F20"/>
          <w:w w:val="105"/>
        </w:rPr>
        <w:t>a</w:t>
      </w:r>
      <w:r w:rsidRPr="00A23800">
        <w:rPr>
          <w:rFonts w:ascii="Calibri" w:hAnsi="Calibri"/>
          <w:color w:val="231F20"/>
          <w:spacing w:val="21"/>
          <w:w w:val="105"/>
        </w:rPr>
        <w:t xml:space="preserve"> </w:t>
      </w:r>
      <w:r w:rsidRPr="00A23800">
        <w:rPr>
          <w:rFonts w:ascii="Calibri" w:hAnsi="Calibri"/>
          <w:color w:val="231F20"/>
          <w:w w:val="105"/>
        </w:rPr>
        <w:t>bachelor’s</w:t>
      </w:r>
      <w:r w:rsidR="006206D4">
        <w:rPr>
          <w:rFonts w:ascii="Calibri" w:hAnsi="Calibri"/>
          <w:color w:val="231F20"/>
          <w:w w:val="105"/>
        </w:rPr>
        <w:t xml:space="preserve"> </w:t>
      </w:r>
      <w:r w:rsidRPr="00A23800">
        <w:rPr>
          <w:rFonts w:ascii="Calibri" w:hAnsi="Calibri"/>
          <w:color w:val="231F20"/>
          <w:w w:val="105"/>
        </w:rPr>
        <w:t>degree</w:t>
      </w:r>
      <w:r w:rsidRPr="00A23800">
        <w:rPr>
          <w:rFonts w:ascii="Calibri" w:hAnsi="Calibri"/>
          <w:color w:val="231F20"/>
          <w:spacing w:val="15"/>
          <w:w w:val="105"/>
        </w:rPr>
        <w:t xml:space="preserve"> </w:t>
      </w:r>
      <w:r w:rsidRPr="00A23800">
        <w:rPr>
          <w:rFonts w:ascii="Calibri" w:hAnsi="Calibri"/>
          <w:color w:val="231F20"/>
          <w:w w:val="105"/>
        </w:rPr>
        <w:t>from</w:t>
      </w:r>
      <w:r w:rsidRPr="00A23800">
        <w:rPr>
          <w:rFonts w:ascii="Calibri" w:hAnsi="Calibri"/>
          <w:color w:val="231F20"/>
          <w:spacing w:val="15"/>
          <w:w w:val="105"/>
        </w:rPr>
        <w:t xml:space="preserve"> </w:t>
      </w:r>
      <w:r w:rsidRPr="00A23800">
        <w:rPr>
          <w:rFonts w:ascii="Calibri" w:hAnsi="Calibri"/>
          <w:color w:val="231F20"/>
          <w:w w:val="105"/>
        </w:rPr>
        <w:t>an</w:t>
      </w:r>
      <w:r w:rsidRPr="00A23800">
        <w:rPr>
          <w:rFonts w:ascii="Calibri" w:hAnsi="Calibri"/>
          <w:color w:val="231F20"/>
          <w:spacing w:val="15"/>
          <w:w w:val="105"/>
        </w:rPr>
        <w:t xml:space="preserve"> </w:t>
      </w:r>
      <w:r w:rsidRPr="00A23800">
        <w:rPr>
          <w:rFonts w:ascii="Calibri" w:hAnsi="Calibri"/>
          <w:color w:val="231F20"/>
          <w:w w:val="105"/>
        </w:rPr>
        <w:t>accredited</w:t>
      </w:r>
      <w:r w:rsidRPr="00A23800">
        <w:rPr>
          <w:rFonts w:ascii="Calibri" w:hAnsi="Calibri"/>
          <w:color w:val="231F20"/>
          <w:spacing w:val="15"/>
          <w:w w:val="105"/>
        </w:rPr>
        <w:t xml:space="preserve"> </w:t>
      </w:r>
      <w:r w:rsidRPr="00A23800">
        <w:rPr>
          <w:rFonts w:ascii="Calibri" w:hAnsi="Calibri"/>
          <w:color w:val="231F20"/>
          <w:w w:val="105"/>
        </w:rPr>
        <w:t>university</w:t>
      </w:r>
      <w:r w:rsidRPr="00A23800">
        <w:rPr>
          <w:rFonts w:ascii="Calibri" w:hAnsi="Calibri"/>
          <w:color w:val="231F20"/>
          <w:spacing w:val="15"/>
          <w:w w:val="105"/>
        </w:rPr>
        <w:t xml:space="preserve"> </w:t>
      </w:r>
      <w:r w:rsidRPr="00A23800">
        <w:rPr>
          <w:rFonts w:ascii="Calibri" w:hAnsi="Calibri"/>
          <w:color w:val="231F20"/>
          <w:w w:val="105"/>
        </w:rPr>
        <w:t>and</w:t>
      </w:r>
      <w:r w:rsidRPr="00A23800">
        <w:rPr>
          <w:rFonts w:ascii="Calibri" w:hAnsi="Calibri"/>
          <w:color w:val="231F20"/>
          <w:spacing w:val="15"/>
          <w:w w:val="105"/>
        </w:rPr>
        <w:t xml:space="preserve"> </w:t>
      </w:r>
      <w:r w:rsidRPr="00A23800">
        <w:rPr>
          <w:rFonts w:ascii="Calibri" w:hAnsi="Calibri"/>
          <w:color w:val="231F20"/>
          <w:w w:val="105"/>
        </w:rPr>
        <w:t>one</w:t>
      </w:r>
      <w:r w:rsidRPr="00A23800">
        <w:rPr>
          <w:rFonts w:ascii="Calibri" w:hAnsi="Calibri"/>
          <w:color w:val="231F20"/>
          <w:spacing w:val="15"/>
          <w:w w:val="105"/>
        </w:rPr>
        <w:t xml:space="preserve"> </w:t>
      </w:r>
      <w:r w:rsidRPr="00A23800">
        <w:rPr>
          <w:rFonts w:ascii="Calibri" w:hAnsi="Calibri"/>
          <w:color w:val="231F20"/>
          <w:w w:val="105"/>
        </w:rPr>
        <w:t>year</w:t>
      </w:r>
      <w:r w:rsidRPr="00A23800">
        <w:rPr>
          <w:rFonts w:ascii="Calibri" w:hAnsi="Calibri"/>
          <w:color w:val="231F20"/>
          <w:spacing w:val="15"/>
          <w:w w:val="105"/>
        </w:rPr>
        <w:t xml:space="preserve"> </w:t>
      </w:r>
      <w:r w:rsidRPr="00A23800">
        <w:rPr>
          <w:rFonts w:ascii="Calibri" w:hAnsi="Calibri"/>
          <w:color w:val="231F20"/>
          <w:w w:val="105"/>
        </w:rPr>
        <w:t>of</w:t>
      </w:r>
      <w:r w:rsidRPr="00A23800">
        <w:rPr>
          <w:rFonts w:ascii="Calibri" w:hAnsi="Calibri"/>
          <w:color w:val="231F20"/>
          <w:spacing w:val="15"/>
          <w:w w:val="105"/>
        </w:rPr>
        <w:t xml:space="preserve"> </w:t>
      </w:r>
      <w:r w:rsidRPr="00A23800">
        <w:rPr>
          <w:rFonts w:ascii="Calibri" w:hAnsi="Calibri"/>
          <w:color w:val="231F20"/>
          <w:w w:val="105"/>
        </w:rPr>
        <w:t>experience</w:t>
      </w:r>
      <w:r w:rsidRPr="00A23800">
        <w:rPr>
          <w:rFonts w:ascii="Calibri" w:hAnsi="Calibri"/>
          <w:color w:val="231F20"/>
          <w:spacing w:val="15"/>
          <w:w w:val="105"/>
        </w:rPr>
        <w:t xml:space="preserve"> </w:t>
      </w:r>
      <w:r w:rsidRPr="00A23800">
        <w:rPr>
          <w:rFonts w:ascii="Calibri" w:hAnsi="Calibri"/>
          <w:color w:val="231F20"/>
          <w:w w:val="105"/>
        </w:rPr>
        <w:t>counseling</w:t>
      </w:r>
      <w:r w:rsidRPr="00A23800">
        <w:rPr>
          <w:rFonts w:ascii="Calibri" w:hAnsi="Calibri"/>
          <w:color w:val="231F20"/>
          <w:spacing w:val="15"/>
          <w:w w:val="105"/>
        </w:rPr>
        <w:t xml:space="preserve"> </w:t>
      </w:r>
      <w:r w:rsidRPr="00A23800">
        <w:rPr>
          <w:rFonts w:ascii="Calibri" w:hAnsi="Calibri"/>
          <w:color w:val="231F20"/>
          <w:w w:val="105"/>
        </w:rPr>
        <w:t>individuals</w:t>
      </w:r>
      <w:r w:rsidRPr="00A23800">
        <w:rPr>
          <w:rFonts w:ascii="Calibri" w:hAnsi="Calibri"/>
          <w:color w:val="231F20"/>
          <w:spacing w:val="15"/>
          <w:w w:val="105"/>
        </w:rPr>
        <w:t xml:space="preserve"> </w:t>
      </w:r>
      <w:r w:rsidRPr="00A23800">
        <w:rPr>
          <w:rFonts w:ascii="Calibri" w:hAnsi="Calibri"/>
          <w:color w:val="231F20"/>
          <w:w w:val="105"/>
        </w:rPr>
        <w:t>with</w:t>
      </w:r>
      <w:r w:rsidRPr="00A23800">
        <w:rPr>
          <w:rFonts w:ascii="Calibri" w:hAnsi="Calibri"/>
          <w:color w:val="231F20"/>
          <w:spacing w:val="15"/>
          <w:w w:val="105"/>
        </w:rPr>
        <w:t xml:space="preserve"> </w:t>
      </w:r>
      <w:r w:rsidRPr="00A23800">
        <w:rPr>
          <w:rFonts w:ascii="Calibri" w:hAnsi="Calibri"/>
          <w:color w:val="231F20"/>
          <w:w w:val="105"/>
        </w:rPr>
        <w:t>disabilities.</w:t>
      </w:r>
      <w:r w:rsidRPr="00A23800">
        <w:rPr>
          <w:rFonts w:ascii="Calibri" w:hAnsi="Calibri"/>
          <w:color w:val="231F20"/>
          <w:spacing w:val="-9"/>
          <w:w w:val="105"/>
        </w:rPr>
        <w:t xml:space="preserve"> </w:t>
      </w:r>
      <w:r w:rsidRPr="00A23800">
        <w:rPr>
          <w:rFonts w:ascii="Calibri" w:hAnsi="Calibri"/>
          <w:color w:val="231F20"/>
          <w:w w:val="105"/>
        </w:rPr>
        <w:t>Alternative</w:t>
      </w:r>
      <w:r w:rsidRPr="00A23800">
        <w:rPr>
          <w:rFonts w:ascii="Calibri" w:hAnsi="Calibri"/>
          <w:color w:val="231F20"/>
          <w:spacing w:val="11"/>
          <w:w w:val="105"/>
        </w:rPr>
        <w:t xml:space="preserve"> </w:t>
      </w:r>
      <w:r w:rsidRPr="00A23800">
        <w:rPr>
          <w:rFonts w:ascii="Calibri" w:hAnsi="Calibri"/>
          <w:color w:val="231F20"/>
          <w:w w:val="105"/>
        </w:rPr>
        <w:t>majors</w:t>
      </w:r>
      <w:r w:rsidRPr="00A23800">
        <w:rPr>
          <w:rFonts w:ascii="Calibri" w:hAnsi="Calibri"/>
          <w:color w:val="231F20"/>
          <w:spacing w:val="11"/>
          <w:w w:val="105"/>
        </w:rPr>
        <w:t xml:space="preserve"> </w:t>
      </w:r>
      <w:r w:rsidRPr="00A23800">
        <w:rPr>
          <w:rFonts w:ascii="Calibri" w:hAnsi="Calibri"/>
          <w:color w:val="231F20"/>
          <w:w w:val="105"/>
        </w:rPr>
        <w:t>other</w:t>
      </w:r>
      <w:r w:rsidRPr="00A23800">
        <w:rPr>
          <w:rFonts w:ascii="Calibri" w:hAnsi="Calibri"/>
          <w:color w:val="231F20"/>
          <w:spacing w:val="11"/>
          <w:w w:val="105"/>
        </w:rPr>
        <w:t xml:space="preserve"> </w:t>
      </w:r>
      <w:r w:rsidRPr="00A23800">
        <w:rPr>
          <w:rFonts w:ascii="Calibri" w:hAnsi="Calibri"/>
          <w:color w:val="231F20"/>
          <w:w w:val="105"/>
        </w:rPr>
        <w:t>than</w:t>
      </w:r>
      <w:r w:rsidRPr="00A23800">
        <w:rPr>
          <w:rFonts w:ascii="Calibri" w:hAnsi="Calibri"/>
          <w:color w:val="231F20"/>
          <w:spacing w:val="11"/>
          <w:w w:val="105"/>
        </w:rPr>
        <w:t xml:space="preserve"> </w:t>
      </w:r>
      <w:r w:rsidRPr="00A23800">
        <w:rPr>
          <w:rFonts w:ascii="Calibri" w:hAnsi="Calibri"/>
          <w:color w:val="231F20"/>
          <w:w w:val="105"/>
        </w:rPr>
        <w:t>social,</w:t>
      </w:r>
      <w:r w:rsidRPr="00A23800">
        <w:rPr>
          <w:rFonts w:ascii="Calibri" w:hAnsi="Calibri"/>
          <w:color w:val="231F20"/>
          <w:spacing w:val="11"/>
          <w:w w:val="105"/>
        </w:rPr>
        <w:t xml:space="preserve"> </w:t>
      </w:r>
      <w:r w:rsidRPr="00A23800">
        <w:rPr>
          <w:rFonts w:ascii="Calibri" w:hAnsi="Calibri"/>
          <w:color w:val="231F20"/>
          <w:w w:val="105"/>
        </w:rPr>
        <w:t>behavioral,</w:t>
      </w:r>
      <w:r w:rsidRPr="00A23800">
        <w:rPr>
          <w:rFonts w:ascii="Calibri" w:hAnsi="Calibri"/>
          <w:color w:val="231F20"/>
          <w:spacing w:val="11"/>
          <w:w w:val="105"/>
        </w:rPr>
        <w:t xml:space="preserve"> </w:t>
      </w:r>
      <w:r w:rsidRPr="00A23800">
        <w:rPr>
          <w:rFonts w:ascii="Calibri" w:hAnsi="Calibri"/>
          <w:color w:val="231F20"/>
          <w:w w:val="105"/>
        </w:rPr>
        <w:t>or</w:t>
      </w:r>
      <w:r w:rsidRPr="00A23800">
        <w:rPr>
          <w:rFonts w:ascii="Calibri" w:hAnsi="Calibri"/>
          <w:color w:val="231F20"/>
          <w:spacing w:val="11"/>
          <w:w w:val="105"/>
        </w:rPr>
        <w:t xml:space="preserve"> </w:t>
      </w:r>
      <w:r w:rsidRPr="00A23800">
        <w:rPr>
          <w:rFonts w:ascii="Calibri" w:hAnsi="Calibri"/>
          <w:color w:val="231F20"/>
          <w:w w:val="105"/>
        </w:rPr>
        <w:t>rehabilitative</w:t>
      </w:r>
      <w:r w:rsidRPr="00A23800">
        <w:rPr>
          <w:rFonts w:ascii="Calibri" w:hAnsi="Calibri"/>
          <w:color w:val="231F20"/>
          <w:spacing w:val="11"/>
          <w:w w:val="105"/>
        </w:rPr>
        <w:t xml:space="preserve"> </w:t>
      </w:r>
      <w:r w:rsidRPr="00A23800">
        <w:rPr>
          <w:rFonts w:ascii="Calibri" w:hAnsi="Calibri"/>
          <w:color w:val="231F20"/>
          <w:w w:val="105"/>
        </w:rPr>
        <w:t>science</w:t>
      </w:r>
      <w:r w:rsidRPr="00A23800">
        <w:rPr>
          <w:rFonts w:ascii="Calibri" w:hAnsi="Calibri"/>
          <w:color w:val="231F20"/>
          <w:spacing w:val="11"/>
          <w:w w:val="105"/>
        </w:rPr>
        <w:t xml:space="preserve"> </w:t>
      </w:r>
      <w:r w:rsidRPr="00A23800">
        <w:rPr>
          <w:rFonts w:ascii="Calibri" w:hAnsi="Calibri"/>
          <w:color w:val="231F20"/>
          <w:w w:val="105"/>
        </w:rPr>
        <w:t>may</w:t>
      </w:r>
      <w:r w:rsidRPr="00A23800">
        <w:rPr>
          <w:rFonts w:ascii="Calibri" w:hAnsi="Calibri"/>
          <w:color w:val="231F20"/>
          <w:spacing w:val="11"/>
          <w:w w:val="105"/>
        </w:rPr>
        <w:t xml:space="preserve"> </w:t>
      </w:r>
      <w:r w:rsidRPr="00A23800">
        <w:rPr>
          <w:rFonts w:ascii="Calibri" w:hAnsi="Calibri"/>
          <w:color w:val="231F20"/>
          <w:w w:val="105"/>
        </w:rPr>
        <w:t>be</w:t>
      </w:r>
      <w:r w:rsidRPr="00A23800">
        <w:rPr>
          <w:rFonts w:ascii="Calibri" w:hAnsi="Calibri"/>
          <w:color w:val="231F20"/>
          <w:spacing w:val="11"/>
          <w:w w:val="105"/>
        </w:rPr>
        <w:t xml:space="preserve"> </w:t>
      </w:r>
      <w:r w:rsidRPr="00A23800">
        <w:rPr>
          <w:rFonts w:ascii="Calibri" w:hAnsi="Calibri"/>
          <w:color w:val="231F20"/>
          <w:w w:val="105"/>
        </w:rPr>
        <w:t>considered</w:t>
      </w:r>
      <w:r w:rsidRPr="00A23800">
        <w:rPr>
          <w:rFonts w:ascii="Calibri" w:hAnsi="Calibri"/>
          <w:color w:val="231F20"/>
          <w:spacing w:val="11"/>
          <w:w w:val="105"/>
        </w:rPr>
        <w:t xml:space="preserve"> </w:t>
      </w:r>
      <w:r w:rsidRPr="00A23800">
        <w:rPr>
          <w:rFonts w:ascii="Calibri" w:hAnsi="Calibri"/>
          <w:color w:val="231F20"/>
          <w:w w:val="105"/>
        </w:rPr>
        <w:t>along</w:t>
      </w:r>
      <w:r w:rsidRPr="00A23800">
        <w:rPr>
          <w:rFonts w:ascii="Calibri" w:hAnsi="Calibri"/>
          <w:color w:val="231F20"/>
          <w:spacing w:val="11"/>
          <w:w w:val="105"/>
        </w:rPr>
        <w:t xml:space="preserve"> </w:t>
      </w:r>
      <w:r w:rsidRPr="00A23800">
        <w:rPr>
          <w:rFonts w:ascii="Calibri" w:hAnsi="Calibri"/>
          <w:color w:val="231F20"/>
          <w:w w:val="105"/>
        </w:rPr>
        <w:t>with</w:t>
      </w:r>
      <w:r w:rsidRPr="00A23800">
        <w:rPr>
          <w:rFonts w:ascii="Calibri" w:hAnsi="Calibri"/>
          <w:color w:val="231F20"/>
          <w:spacing w:val="11"/>
          <w:w w:val="105"/>
        </w:rPr>
        <w:t xml:space="preserve"> </w:t>
      </w:r>
      <w:r w:rsidRPr="00A23800">
        <w:rPr>
          <w:rFonts w:ascii="Calibri" w:hAnsi="Calibri"/>
          <w:color w:val="231F20"/>
          <w:w w:val="105"/>
        </w:rPr>
        <w:t>the</w:t>
      </w:r>
      <w:r w:rsidRPr="00A23800">
        <w:rPr>
          <w:rFonts w:ascii="Calibri" w:hAnsi="Calibri"/>
          <w:color w:val="231F20"/>
          <w:w w:val="103"/>
        </w:rPr>
        <w:t xml:space="preserve"> </w:t>
      </w:r>
      <w:r w:rsidRPr="00A23800">
        <w:rPr>
          <w:rFonts w:ascii="Calibri" w:hAnsi="Calibri"/>
          <w:color w:val="231F20"/>
          <w:w w:val="105"/>
        </w:rPr>
        <w:t xml:space="preserve">minimum qualification requirements for the position. </w:t>
      </w:r>
    </w:p>
    <w:p w14:paraId="09AA9BBC" w14:textId="282FF1CD" w:rsidR="006206D4" w:rsidRDefault="00A07550" w:rsidP="00D63204">
      <w:pPr>
        <w:widowControl w:val="0"/>
        <w:spacing w:before="195" w:after="0" w:line="240" w:lineRule="auto"/>
        <w:ind w:left="107"/>
        <w:rPr>
          <w:rFonts w:ascii="Calibri" w:hAnsi="Calibri"/>
        </w:rPr>
      </w:pPr>
      <w:r w:rsidRPr="00A23800">
        <w:rPr>
          <w:rFonts w:ascii="Calibri" w:hAnsi="Calibri"/>
          <w:color w:val="231F20"/>
          <w:w w:val="105"/>
        </w:rPr>
        <w:t>When evaluating the suitability of alternative</w:t>
      </w:r>
      <w:r w:rsidRPr="00A23800">
        <w:rPr>
          <w:rFonts w:ascii="Calibri" w:hAnsi="Calibri"/>
          <w:color w:val="231F20"/>
          <w:spacing w:val="4"/>
          <w:w w:val="105"/>
        </w:rPr>
        <w:t xml:space="preserve"> </w:t>
      </w:r>
      <w:r w:rsidRPr="00A23800">
        <w:rPr>
          <w:rFonts w:ascii="Calibri" w:hAnsi="Calibri"/>
          <w:color w:val="231F20"/>
          <w:w w:val="105"/>
        </w:rPr>
        <w:t>majors,</w:t>
      </w:r>
      <w:r w:rsidRPr="00A23800">
        <w:rPr>
          <w:rFonts w:ascii="Calibri" w:hAnsi="Calibri"/>
          <w:color w:val="231F20"/>
          <w:w w:val="104"/>
        </w:rPr>
        <w:t xml:space="preserve"> </w:t>
      </w:r>
      <w:r w:rsidRPr="00A23800">
        <w:rPr>
          <w:rFonts w:ascii="Calibri" w:hAnsi="Calibri"/>
          <w:color w:val="231F20"/>
          <w:w w:val="105"/>
        </w:rPr>
        <w:t>the</w:t>
      </w:r>
      <w:r w:rsidRPr="00A23800">
        <w:rPr>
          <w:rFonts w:ascii="Calibri" w:hAnsi="Calibri"/>
          <w:color w:val="231F20"/>
          <w:spacing w:val="12"/>
          <w:w w:val="105"/>
        </w:rPr>
        <w:t xml:space="preserve"> </w:t>
      </w:r>
      <w:r w:rsidRPr="00A23800">
        <w:rPr>
          <w:rFonts w:ascii="Calibri" w:hAnsi="Calibri"/>
          <w:color w:val="231F20"/>
          <w:w w:val="105"/>
        </w:rPr>
        <w:t>hiring</w:t>
      </w:r>
      <w:r w:rsidRPr="00A23800">
        <w:rPr>
          <w:rFonts w:ascii="Calibri" w:hAnsi="Calibri"/>
          <w:color w:val="231F20"/>
          <w:spacing w:val="12"/>
          <w:w w:val="105"/>
        </w:rPr>
        <w:t xml:space="preserve"> </w:t>
      </w:r>
      <w:r w:rsidRPr="00A23800">
        <w:rPr>
          <w:rFonts w:ascii="Calibri" w:hAnsi="Calibri"/>
          <w:color w:val="231F20"/>
          <w:w w:val="105"/>
        </w:rPr>
        <w:t>authority</w:t>
      </w:r>
      <w:r w:rsidRPr="00A23800">
        <w:rPr>
          <w:rFonts w:ascii="Calibri" w:hAnsi="Calibri"/>
          <w:color w:val="231F20"/>
          <w:spacing w:val="12"/>
          <w:w w:val="105"/>
        </w:rPr>
        <w:t xml:space="preserve"> </w:t>
      </w:r>
      <w:r w:rsidRPr="00A23800">
        <w:rPr>
          <w:rFonts w:ascii="Calibri" w:hAnsi="Calibri"/>
          <w:color w:val="231F20"/>
          <w:w w:val="105"/>
        </w:rPr>
        <w:t>should</w:t>
      </w:r>
      <w:r w:rsidRPr="00A23800">
        <w:rPr>
          <w:rFonts w:ascii="Calibri" w:hAnsi="Calibri"/>
          <w:color w:val="231F20"/>
          <w:spacing w:val="12"/>
          <w:w w:val="105"/>
        </w:rPr>
        <w:t xml:space="preserve"> </w:t>
      </w:r>
      <w:r w:rsidRPr="00A23800">
        <w:rPr>
          <w:rFonts w:ascii="Calibri" w:hAnsi="Calibri"/>
          <w:color w:val="231F20"/>
          <w:w w:val="105"/>
        </w:rPr>
        <w:t>consider</w:t>
      </w:r>
      <w:r w:rsidRPr="00A23800">
        <w:rPr>
          <w:rFonts w:ascii="Calibri" w:hAnsi="Calibri"/>
          <w:color w:val="231F20"/>
          <w:spacing w:val="12"/>
          <w:w w:val="105"/>
        </w:rPr>
        <w:t xml:space="preserve"> </w:t>
      </w:r>
      <w:r w:rsidRPr="00A23800">
        <w:rPr>
          <w:rFonts w:ascii="Calibri" w:hAnsi="Calibri"/>
          <w:color w:val="231F20"/>
          <w:w w:val="105"/>
        </w:rPr>
        <w:t>the</w:t>
      </w:r>
      <w:r w:rsidRPr="00A23800">
        <w:rPr>
          <w:rFonts w:ascii="Calibri" w:hAnsi="Calibri"/>
          <w:color w:val="231F20"/>
          <w:spacing w:val="12"/>
          <w:w w:val="105"/>
        </w:rPr>
        <w:t xml:space="preserve"> </w:t>
      </w:r>
      <w:r w:rsidRPr="00A23800">
        <w:rPr>
          <w:rFonts w:ascii="Calibri" w:hAnsi="Calibri"/>
          <w:color w:val="231F20"/>
          <w:w w:val="105"/>
        </w:rPr>
        <w:t>major</w:t>
      </w:r>
      <w:r w:rsidRPr="00A23800">
        <w:rPr>
          <w:rFonts w:ascii="Calibri" w:hAnsi="Calibri"/>
          <w:color w:val="231F20"/>
          <w:spacing w:val="12"/>
          <w:w w:val="105"/>
        </w:rPr>
        <w:t xml:space="preserve"> </w:t>
      </w:r>
      <w:r w:rsidRPr="00A23800">
        <w:rPr>
          <w:rFonts w:ascii="Calibri" w:hAnsi="Calibri"/>
          <w:color w:val="231F20"/>
          <w:w w:val="105"/>
        </w:rPr>
        <w:t>area</w:t>
      </w:r>
      <w:r w:rsidRPr="00A23800">
        <w:rPr>
          <w:rFonts w:ascii="Calibri" w:hAnsi="Calibri"/>
          <w:color w:val="231F20"/>
          <w:spacing w:val="12"/>
          <w:w w:val="105"/>
        </w:rPr>
        <w:t xml:space="preserve"> </w:t>
      </w:r>
      <w:r w:rsidRPr="00A23800">
        <w:rPr>
          <w:rFonts w:ascii="Calibri" w:hAnsi="Calibri"/>
          <w:color w:val="231F20"/>
          <w:w w:val="105"/>
        </w:rPr>
        <w:t>of</w:t>
      </w:r>
      <w:r w:rsidRPr="00A23800">
        <w:rPr>
          <w:rFonts w:ascii="Calibri" w:hAnsi="Calibri"/>
          <w:color w:val="231F20"/>
          <w:spacing w:val="11"/>
          <w:w w:val="105"/>
        </w:rPr>
        <w:t xml:space="preserve"> </w:t>
      </w:r>
      <w:r w:rsidRPr="00A23800">
        <w:rPr>
          <w:rFonts w:ascii="Calibri" w:hAnsi="Calibri"/>
          <w:color w:val="231F20"/>
          <w:w w:val="105"/>
        </w:rPr>
        <w:t>study’s</w:t>
      </w:r>
      <w:r w:rsidRPr="00A23800">
        <w:rPr>
          <w:rFonts w:ascii="Calibri" w:hAnsi="Calibri"/>
          <w:color w:val="231F20"/>
          <w:spacing w:val="12"/>
          <w:w w:val="105"/>
        </w:rPr>
        <w:t xml:space="preserve"> </w:t>
      </w:r>
      <w:r w:rsidRPr="00A23800">
        <w:rPr>
          <w:rFonts w:ascii="Calibri" w:hAnsi="Calibri"/>
          <w:color w:val="231F20"/>
          <w:w w:val="105"/>
        </w:rPr>
        <w:t>applicability</w:t>
      </w:r>
      <w:r w:rsidRPr="00A23800">
        <w:rPr>
          <w:rFonts w:ascii="Calibri" w:hAnsi="Calibri"/>
          <w:color w:val="231F20"/>
          <w:spacing w:val="12"/>
          <w:w w:val="105"/>
        </w:rPr>
        <w:t xml:space="preserve"> </w:t>
      </w:r>
      <w:r w:rsidRPr="00A23800">
        <w:rPr>
          <w:rFonts w:ascii="Calibri" w:hAnsi="Calibri"/>
          <w:color w:val="231F20"/>
          <w:w w:val="105"/>
        </w:rPr>
        <w:t>to</w:t>
      </w:r>
      <w:r w:rsidRPr="00A23800">
        <w:rPr>
          <w:rFonts w:ascii="Calibri" w:hAnsi="Calibri"/>
          <w:color w:val="231F20"/>
          <w:spacing w:val="12"/>
          <w:w w:val="105"/>
        </w:rPr>
        <w:t xml:space="preserve"> </w:t>
      </w:r>
      <w:r w:rsidRPr="00A23800">
        <w:rPr>
          <w:rFonts w:ascii="Calibri" w:hAnsi="Calibri"/>
          <w:color w:val="231F20"/>
          <w:w w:val="105"/>
        </w:rPr>
        <w:t>the</w:t>
      </w:r>
      <w:r w:rsidRPr="00A23800">
        <w:rPr>
          <w:rFonts w:ascii="Calibri" w:hAnsi="Calibri"/>
          <w:color w:val="231F20"/>
          <w:spacing w:val="12"/>
          <w:w w:val="105"/>
        </w:rPr>
        <w:t xml:space="preserve"> </w:t>
      </w:r>
      <w:r w:rsidRPr="00A23800">
        <w:rPr>
          <w:rFonts w:ascii="Calibri" w:hAnsi="Calibri"/>
          <w:color w:val="231F20"/>
          <w:w w:val="105"/>
        </w:rPr>
        <w:t>required</w:t>
      </w:r>
      <w:r w:rsidRPr="00A23800">
        <w:rPr>
          <w:rFonts w:ascii="Calibri" w:hAnsi="Calibri"/>
          <w:color w:val="231F20"/>
          <w:spacing w:val="12"/>
          <w:w w:val="105"/>
        </w:rPr>
        <w:t xml:space="preserve"> </w:t>
      </w:r>
      <w:r w:rsidRPr="00A23800">
        <w:rPr>
          <w:rFonts w:ascii="Calibri" w:hAnsi="Calibri"/>
          <w:color w:val="231F20"/>
          <w:w w:val="105"/>
        </w:rPr>
        <w:t>knowledge,</w:t>
      </w:r>
      <w:r w:rsidRPr="00A23800">
        <w:rPr>
          <w:rFonts w:ascii="Calibri" w:hAnsi="Calibri"/>
          <w:color w:val="231F20"/>
          <w:w w:val="92"/>
        </w:rPr>
        <w:t xml:space="preserve"> </w:t>
      </w:r>
      <w:r w:rsidRPr="00A23800">
        <w:rPr>
          <w:rFonts w:ascii="Calibri" w:hAnsi="Calibri"/>
          <w:color w:val="231F20"/>
          <w:w w:val="105"/>
        </w:rPr>
        <w:t>skills</w:t>
      </w:r>
      <w:r w:rsidR="00D5537E">
        <w:rPr>
          <w:rFonts w:ascii="Calibri" w:hAnsi="Calibri"/>
          <w:color w:val="231F20"/>
          <w:w w:val="105"/>
        </w:rPr>
        <w:t xml:space="preserve"> and</w:t>
      </w:r>
      <w:r w:rsidRPr="00A23800">
        <w:rPr>
          <w:rFonts w:ascii="Calibri" w:hAnsi="Calibri"/>
          <w:color w:val="231F20"/>
          <w:spacing w:val="11"/>
          <w:w w:val="105"/>
        </w:rPr>
        <w:t xml:space="preserve"> </w:t>
      </w:r>
      <w:r w:rsidRPr="00A23800">
        <w:rPr>
          <w:rFonts w:ascii="Calibri" w:hAnsi="Calibri"/>
          <w:color w:val="231F20"/>
          <w:w w:val="105"/>
        </w:rPr>
        <w:t>abilities.</w:t>
      </w:r>
      <w:r w:rsidRPr="00A23800">
        <w:rPr>
          <w:rFonts w:ascii="Calibri" w:hAnsi="Calibri"/>
          <w:color w:val="231F20"/>
          <w:spacing w:val="11"/>
          <w:w w:val="105"/>
        </w:rPr>
        <w:t xml:space="preserve"> </w:t>
      </w:r>
      <w:r w:rsidRPr="00A23800">
        <w:rPr>
          <w:rFonts w:ascii="Calibri" w:hAnsi="Calibri"/>
          <w:color w:val="231F20"/>
          <w:w w:val="105"/>
        </w:rPr>
        <w:t>A</w:t>
      </w:r>
      <w:r w:rsidRPr="00A23800">
        <w:rPr>
          <w:rFonts w:ascii="Calibri" w:hAnsi="Calibri"/>
          <w:color w:val="231F20"/>
          <w:spacing w:val="11"/>
          <w:w w:val="105"/>
        </w:rPr>
        <w:t xml:space="preserve"> </w:t>
      </w:r>
      <w:r w:rsidRPr="00A23800">
        <w:rPr>
          <w:rFonts w:ascii="Calibri" w:hAnsi="Calibri"/>
          <w:color w:val="231F20"/>
          <w:w w:val="105"/>
        </w:rPr>
        <w:t>master’s</w:t>
      </w:r>
      <w:r w:rsidRPr="00A23800">
        <w:rPr>
          <w:rFonts w:ascii="Calibri" w:hAnsi="Calibri"/>
          <w:color w:val="231F20"/>
          <w:spacing w:val="11"/>
          <w:w w:val="105"/>
        </w:rPr>
        <w:t xml:space="preserve"> </w:t>
      </w:r>
      <w:r w:rsidRPr="00A23800">
        <w:rPr>
          <w:rFonts w:ascii="Calibri" w:hAnsi="Calibri"/>
          <w:color w:val="231F20"/>
          <w:w w:val="105"/>
        </w:rPr>
        <w:t>degree</w:t>
      </w:r>
      <w:r w:rsidRPr="00A23800">
        <w:rPr>
          <w:rFonts w:ascii="Calibri" w:hAnsi="Calibri"/>
          <w:color w:val="231F20"/>
          <w:spacing w:val="11"/>
          <w:w w:val="105"/>
        </w:rPr>
        <w:t xml:space="preserve"> </w:t>
      </w:r>
      <w:r w:rsidRPr="00A23800">
        <w:rPr>
          <w:rFonts w:ascii="Calibri" w:hAnsi="Calibri"/>
          <w:color w:val="231F20"/>
          <w:w w:val="105"/>
        </w:rPr>
        <w:t>from</w:t>
      </w:r>
      <w:r w:rsidRPr="00A23800">
        <w:rPr>
          <w:rFonts w:ascii="Calibri" w:hAnsi="Calibri"/>
          <w:color w:val="231F20"/>
          <w:spacing w:val="11"/>
          <w:w w:val="105"/>
        </w:rPr>
        <w:t xml:space="preserve"> </w:t>
      </w:r>
      <w:r w:rsidRPr="00A23800">
        <w:rPr>
          <w:rFonts w:ascii="Calibri" w:hAnsi="Calibri"/>
          <w:color w:val="231F20"/>
          <w:w w:val="105"/>
        </w:rPr>
        <w:t>an</w:t>
      </w:r>
      <w:r w:rsidRPr="00A23800">
        <w:rPr>
          <w:rFonts w:ascii="Calibri" w:hAnsi="Calibri"/>
          <w:color w:val="231F20"/>
          <w:spacing w:val="11"/>
          <w:w w:val="105"/>
        </w:rPr>
        <w:t xml:space="preserve"> </w:t>
      </w:r>
      <w:r w:rsidRPr="00A23800">
        <w:rPr>
          <w:rFonts w:ascii="Calibri" w:hAnsi="Calibri"/>
          <w:color w:val="231F20"/>
          <w:w w:val="105"/>
        </w:rPr>
        <w:t>accredited</w:t>
      </w:r>
      <w:r w:rsidRPr="00A23800">
        <w:rPr>
          <w:rFonts w:ascii="Calibri" w:hAnsi="Calibri"/>
          <w:color w:val="231F20"/>
          <w:spacing w:val="11"/>
          <w:w w:val="105"/>
        </w:rPr>
        <w:t xml:space="preserve"> </w:t>
      </w:r>
      <w:r w:rsidRPr="00A23800">
        <w:rPr>
          <w:rFonts w:ascii="Calibri" w:hAnsi="Calibri"/>
          <w:color w:val="231F20"/>
          <w:w w:val="105"/>
        </w:rPr>
        <w:t>university</w:t>
      </w:r>
      <w:r w:rsidRPr="00A23800">
        <w:rPr>
          <w:rFonts w:ascii="Calibri" w:hAnsi="Calibri"/>
          <w:color w:val="231F20"/>
          <w:spacing w:val="11"/>
          <w:w w:val="105"/>
        </w:rPr>
        <w:t xml:space="preserve"> </w:t>
      </w:r>
      <w:r w:rsidRPr="00A23800">
        <w:rPr>
          <w:rFonts w:ascii="Calibri" w:hAnsi="Calibri"/>
          <w:color w:val="231F20"/>
          <w:w w:val="105"/>
        </w:rPr>
        <w:t>in</w:t>
      </w:r>
      <w:r w:rsidRPr="00A23800">
        <w:rPr>
          <w:rFonts w:ascii="Calibri" w:hAnsi="Calibri"/>
          <w:color w:val="231F20"/>
          <w:spacing w:val="11"/>
          <w:w w:val="105"/>
        </w:rPr>
        <w:t xml:space="preserve"> </w:t>
      </w:r>
      <w:r w:rsidRPr="00A23800">
        <w:rPr>
          <w:rFonts w:ascii="Calibri" w:hAnsi="Calibri"/>
          <w:color w:val="231F20"/>
          <w:w w:val="105"/>
        </w:rPr>
        <w:t>a</w:t>
      </w:r>
      <w:r w:rsidRPr="00A23800">
        <w:rPr>
          <w:rFonts w:ascii="Calibri" w:hAnsi="Calibri"/>
          <w:color w:val="231F20"/>
          <w:spacing w:val="11"/>
          <w:w w:val="105"/>
        </w:rPr>
        <w:t xml:space="preserve"> </w:t>
      </w:r>
      <w:r w:rsidRPr="00A23800">
        <w:rPr>
          <w:rFonts w:ascii="Calibri" w:hAnsi="Calibri"/>
          <w:color w:val="231F20"/>
          <w:w w:val="105"/>
        </w:rPr>
        <w:t>social,</w:t>
      </w:r>
      <w:r w:rsidRPr="00A23800">
        <w:rPr>
          <w:rFonts w:ascii="Calibri" w:hAnsi="Calibri"/>
          <w:color w:val="231F20"/>
          <w:spacing w:val="11"/>
          <w:w w:val="105"/>
        </w:rPr>
        <w:t xml:space="preserve"> </w:t>
      </w:r>
      <w:r w:rsidRPr="00A23800">
        <w:rPr>
          <w:rFonts w:ascii="Calibri" w:hAnsi="Calibri"/>
          <w:color w:val="231F20"/>
          <w:w w:val="105"/>
        </w:rPr>
        <w:t>behavioral,</w:t>
      </w:r>
      <w:r w:rsidRPr="00A23800">
        <w:rPr>
          <w:rFonts w:ascii="Calibri" w:hAnsi="Calibri"/>
          <w:color w:val="231F20"/>
          <w:spacing w:val="11"/>
          <w:w w:val="105"/>
        </w:rPr>
        <w:t xml:space="preserve"> </w:t>
      </w:r>
      <w:r w:rsidRPr="00A23800">
        <w:rPr>
          <w:rFonts w:ascii="Calibri" w:hAnsi="Calibri"/>
          <w:color w:val="231F20"/>
          <w:w w:val="105"/>
        </w:rPr>
        <w:t>or</w:t>
      </w:r>
      <w:r w:rsidRPr="00A23800">
        <w:rPr>
          <w:rFonts w:ascii="Calibri" w:hAnsi="Calibri"/>
          <w:color w:val="231F20"/>
          <w:spacing w:val="11"/>
          <w:w w:val="105"/>
        </w:rPr>
        <w:t xml:space="preserve"> </w:t>
      </w:r>
      <w:r w:rsidRPr="00A23800">
        <w:rPr>
          <w:rFonts w:ascii="Calibri" w:hAnsi="Calibri"/>
          <w:color w:val="231F20"/>
          <w:w w:val="105"/>
        </w:rPr>
        <w:t>rehabilitative</w:t>
      </w:r>
      <w:r w:rsidRPr="00A23800">
        <w:rPr>
          <w:rFonts w:ascii="Calibri" w:hAnsi="Calibri"/>
          <w:color w:val="231F20"/>
          <w:spacing w:val="-45"/>
          <w:w w:val="105"/>
        </w:rPr>
        <w:t xml:space="preserve"> </w:t>
      </w:r>
      <w:r w:rsidRPr="00A23800">
        <w:rPr>
          <w:rFonts w:ascii="Calibri" w:hAnsi="Calibri"/>
          <w:color w:val="231F20"/>
          <w:w w:val="105"/>
        </w:rPr>
        <w:t>science can substitute for the year of required experience.</w:t>
      </w:r>
    </w:p>
    <w:p w14:paraId="016DD4B3" w14:textId="77777777" w:rsidR="00240694" w:rsidRDefault="00240694" w:rsidP="00D63204">
      <w:pPr>
        <w:widowControl w:val="0"/>
        <w:spacing w:before="195" w:after="0" w:line="240" w:lineRule="auto"/>
        <w:ind w:left="107"/>
        <w:rPr>
          <w:rFonts w:ascii="Calibri" w:hAnsi="Calibri"/>
        </w:rPr>
      </w:pPr>
    </w:p>
    <w:p w14:paraId="38613A0D" w14:textId="77777777" w:rsidR="00240694" w:rsidRDefault="00240694" w:rsidP="00D63204">
      <w:pPr>
        <w:widowControl w:val="0"/>
        <w:spacing w:before="195" w:after="0" w:line="240" w:lineRule="auto"/>
        <w:ind w:left="107"/>
        <w:rPr>
          <w:rFonts w:ascii="Calibri" w:hAnsi="Calibri"/>
        </w:rPr>
      </w:pPr>
    </w:p>
    <w:p w14:paraId="2808C4B4" w14:textId="303B98B2" w:rsidR="00A07550" w:rsidRPr="00A23800" w:rsidRDefault="006206D4" w:rsidP="00D63204">
      <w:pPr>
        <w:widowControl w:val="0"/>
        <w:spacing w:before="195" w:after="0" w:line="240" w:lineRule="auto"/>
        <w:ind w:left="107"/>
        <w:rPr>
          <w:rFonts w:ascii="Calibri" w:hAnsi="Calibri"/>
        </w:rPr>
      </w:pPr>
      <w:r>
        <w:rPr>
          <w:rFonts w:ascii="Calibri" w:hAnsi="Calibri"/>
        </w:rPr>
        <w:t>T</w:t>
      </w:r>
      <w:r w:rsidR="00A07550" w:rsidRPr="00A23800">
        <w:rPr>
          <w:rFonts w:ascii="Calibri" w:hAnsi="Calibri"/>
          <w:color w:val="231F20"/>
          <w:w w:val="110"/>
        </w:rPr>
        <w:t>he</w:t>
      </w:r>
      <w:r w:rsidR="00A07550" w:rsidRPr="00A23800">
        <w:rPr>
          <w:rFonts w:ascii="Calibri" w:hAnsi="Calibri"/>
          <w:color w:val="231F20"/>
          <w:spacing w:val="-10"/>
          <w:w w:val="110"/>
        </w:rPr>
        <w:t xml:space="preserve"> </w:t>
      </w:r>
      <w:r w:rsidR="00D226F4">
        <w:rPr>
          <w:rFonts w:ascii="Calibri" w:hAnsi="Calibri"/>
          <w:color w:val="231F20"/>
          <w:w w:val="110"/>
        </w:rPr>
        <w:t>s</w:t>
      </w:r>
      <w:r w:rsidR="00A07550" w:rsidRPr="00A23800">
        <w:rPr>
          <w:rFonts w:ascii="Calibri" w:hAnsi="Calibri"/>
          <w:color w:val="231F20"/>
          <w:w w:val="110"/>
        </w:rPr>
        <w:t>tate</w:t>
      </w:r>
      <w:r w:rsidR="00A07550" w:rsidRPr="00A23800">
        <w:rPr>
          <w:rFonts w:ascii="Calibri" w:hAnsi="Calibri"/>
          <w:color w:val="231F20"/>
          <w:spacing w:val="-10"/>
          <w:w w:val="110"/>
        </w:rPr>
        <w:t xml:space="preserve"> </w:t>
      </w:r>
      <w:r w:rsidR="00A07550" w:rsidRPr="00A23800">
        <w:rPr>
          <w:rFonts w:ascii="Calibri" w:hAnsi="Calibri"/>
          <w:color w:val="231F20"/>
          <w:w w:val="110"/>
        </w:rPr>
        <w:t>of</w:t>
      </w:r>
      <w:r w:rsidR="00A07550" w:rsidRPr="00A23800">
        <w:rPr>
          <w:rFonts w:ascii="Calibri" w:hAnsi="Calibri"/>
          <w:color w:val="231F20"/>
          <w:spacing w:val="-10"/>
          <w:w w:val="110"/>
        </w:rPr>
        <w:t xml:space="preserve"> </w:t>
      </w:r>
      <w:r w:rsidR="00A07550" w:rsidRPr="00A23800">
        <w:rPr>
          <w:rFonts w:ascii="Calibri" w:hAnsi="Calibri"/>
          <w:color w:val="231F20"/>
          <w:w w:val="110"/>
        </w:rPr>
        <w:t>Florida</w:t>
      </w:r>
      <w:r w:rsidR="00A07550" w:rsidRPr="00A23800">
        <w:rPr>
          <w:rFonts w:ascii="Calibri" w:hAnsi="Calibri"/>
          <w:color w:val="231F20"/>
          <w:spacing w:val="-10"/>
          <w:w w:val="110"/>
        </w:rPr>
        <w:t xml:space="preserve"> </w:t>
      </w:r>
      <w:r w:rsidR="00A07550" w:rsidRPr="00A23800">
        <w:rPr>
          <w:rFonts w:ascii="Calibri" w:hAnsi="Calibri"/>
          <w:color w:val="231F20"/>
          <w:w w:val="110"/>
        </w:rPr>
        <w:t>allows</w:t>
      </w:r>
      <w:r w:rsidR="00A07550" w:rsidRPr="00A23800">
        <w:rPr>
          <w:rFonts w:ascii="Calibri" w:hAnsi="Calibri"/>
          <w:color w:val="231F20"/>
          <w:spacing w:val="-10"/>
          <w:w w:val="110"/>
        </w:rPr>
        <w:t xml:space="preserve"> </w:t>
      </w:r>
      <w:r w:rsidR="00A07550" w:rsidRPr="00A23800">
        <w:rPr>
          <w:rFonts w:ascii="Calibri" w:hAnsi="Calibri"/>
          <w:color w:val="231F20"/>
          <w:w w:val="110"/>
        </w:rPr>
        <w:t>employees</w:t>
      </w:r>
      <w:r w:rsidR="00A07550" w:rsidRPr="00A23800">
        <w:rPr>
          <w:rFonts w:ascii="Calibri" w:hAnsi="Calibri"/>
          <w:color w:val="231F20"/>
          <w:spacing w:val="-10"/>
          <w:w w:val="110"/>
        </w:rPr>
        <w:t xml:space="preserve"> </w:t>
      </w:r>
      <w:r w:rsidR="00A07550" w:rsidRPr="00A23800">
        <w:rPr>
          <w:rFonts w:ascii="Calibri" w:hAnsi="Calibri"/>
          <w:color w:val="231F20"/>
          <w:w w:val="110"/>
        </w:rPr>
        <w:t>to</w:t>
      </w:r>
      <w:r w:rsidR="00A07550" w:rsidRPr="00A23800">
        <w:rPr>
          <w:rFonts w:ascii="Calibri" w:hAnsi="Calibri"/>
          <w:color w:val="231F20"/>
          <w:spacing w:val="-10"/>
          <w:w w:val="110"/>
        </w:rPr>
        <w:t xml:space="preserve"> </w:t>
      </w:r>
      <w:r w:rsidR="00A07550" w:rsidRPr="00A23800">
        <w:rPr>
          <w:rFonts w:ascii="Calibri" w:hAnsi="Calibri"/>
          <w:color w:val="231F20"/>
          <w:w w:val="110"/>
        </w:rPr>
        <w:t>use</w:t>
      </w:r>
      <w:r w:rsidR="00A07550" w:rsidRPr="00A23800">
        <w:rPr>
          <w:rFonts w:ascii="Calibri" w:hAnsi="Calibri"/>
          <w:color w:val="231F20"/>
          <w:spacing w:val="-10"/>
          <w:w w:val="110"/>
        </w:rPr>
        <w:t xml:space="preserve"> </w:t>
      </w:r>
      <w:r w:rsidR="00A07550" w:rsidRPr="00A23800">
        <w:rPr>
          <w:rFonts w:ascii="Calibri" w:hAnsi="Calibri"/>
          <w:color w:val="231F20"/>
          <w:w w:val="110"/>
        </w:rPr>
        <w:t>a</w:t>
      </w:r>
      <w:r w:rsidR="00A07550" w:rsidRPr="00A23800">
        <w:rPr>
          <w:rFonts w:ascii="Calibri" w:hAnsi="Calibri"/>
          <w:color w:val="231F20"/>
          <w:spacing w:val="-10"/>
          <w:w w:val="110"/>
        </w:rPr>
        <w:t xml:space="preserve"> </w:t>
      </w:r>
      <w:r w:rsidR="00A07550" w:rsidRPr="00A23800">
        <w:rPr>
          <w:rFonts w:ascii="Calibri" w:hAnsi="Calibri"/>
          <w:color w:val="231F20"/>
          <w:w w:val="110"/>
        </w:rPr>
        <w:t>tuition</w:t>
      </w:r>
      <w:r w:rsidR="00A07550" w:rsidRPr="00A23800">
        <w:rPr>
          <w:rFonts w:ascii="Calibri" w:hAnsi="Calibri"/>
          <w:color w:val="231F20"/>
          <w:spacing w:val="-10"/>
          <w:w w:val="110"/>
        </w:rPr>
        <w:t xml:space="preserve"> </w:t>
      </w:r>
      <w:r w:rsidR="00A07550" w:rsidRPr="00A23800">
        <w:rPr>
          <w:rFonts w:ascii="Calibri" w:hAnsi="Calibri"/>
          <w:color w:val="231F20"/>
          <w:w w:val="110"/>
        </w:rPr>
        <w:t>waiver</w:t>
      </w:r>
      <w:r w:rsidR="00A07550" w:rsidRPr="00A23800">
        <w:rPr>
          <w:rFonts w:ascii="Calibri" w:hAnsi="Calibri"/>
          <w:color w:val="231F20"/>
          <w:spacing w:val="-10"/>
          <w:w w:val="110"/>
        </w:rPr>
        <w:t xml:space="preserve"> </w:t>
      </w:r>
      <w:r w:rsidR="00A07550" w:rsidRPr="00A23800">
        <w:rPr>
          <w:rFonts w:ascii="Calibri" w:hAnsi="Calibri"/>
          <w:color w:val="231F20"/>
          <w:w w:val="110"/>
        </w:rPr>
        <w:t>to</w:t>
      </w:r>
      <w:r w:rsidR="00A07550" w:rsidRPr="00A23800">
        <w:rPr>
          <w:rFonts w:ascii="Calibri" w:hAnsi="Calibri"/>
          <w:color w:val="231F20"/>
          <w:spacing w:val="-10"/>
          <w:w w:val="110"/>
        </w:rPr>
        <w:t xml:space="preserve"> </w:t>
      </w:r>
      <w:r w:rsidR="00A07550" w:rsidRPr="00A23800">
        <w:rPr>
          <w:rFonts w:ascii="Calibri" w:hAnsi="Calibri"/>
          <w:color w:val="231F20"/>
          <w:w w:val="110"/>
        </w:rPr>
        <w:t>enroll</w:t>
      </w:r>
      <w:r w:rsidR="00A07550" w:rsidRPr="00A23800">
        <w:rPr>
          <w:rFonts w:ascii="Calibri" w:hAnsi="Calibri"/>
          <w:color w:val="231F20"/>
          <w:spacing w:val="-10"/>
          <w:w w:val="110"/>
        </w:rPr>
        <w:t xml:space="preserve"> </w:t>
      </w:r>
      <w:r w:rsidR="00A07550" w:rsidRPr="00A23800">
        <w:rPr>
          <w:rFonts w:ascii="Calibri" w:hAnsi="Calibri"/>
          <w:color w:val="231F20"/>
          <w:w w:val="110"/>
        </w:rPr>
        <w:t>in</w:t>
      </w:r>
      <w:r w:rsidR="00A07550" w:rsidRPr="00A23800">
        <w:rPr>
          <w:rFonts w:ascii="Calibri" w:hAnsi="Calibri"/>
          <w:color w:val="231F20"/>
          <w:spacing w:val="-10"/>
          <w:w w:val="110"/>
        </w:rPr>
        <w:t xml:space="preserve"> </w:t>
      </w:r>
      <w:r w:rsidR="00A07550" w:rsidRPr="00A23800">
        <w:rPr>
          <w:rFonts w:ascii="Calibri" w:hAnsi="Calibri"/>
          <w:color w:val="231F20"/>
          <w:w w:val="110"/>
        </w:rPr>
        <w:t>six</w:t>
      </w:r>
      <w:r w:rsidR="00A07550" w:rsidRPr="00A23800">
        <w:rPr>
          <w:rFonts w:ascii="Calibri" w:hAnsi="Calibri"/>
          <w:color w:val="231F20"/>
          <w:spacing w:val="-10"/>
          <w:w w:val="110"/>
        </w:rPr>
        <w:t xml:space="preserve"> </w:t>
      </w:r>
      <w:r w:rsidR="00A07550" w:rsidRPr="00A23800">
        <w:rPr>
          <w:rFonts w:ascii="Calibri" w:hAnsi="Calibri"/>
          <w:color w:val="231F20"/>
          <w:w w:val="110"/>
        </w:rPr>
        <w:t>hours</w:t>
      </w:r>
      <w:r w:rsidR="00A07550" w:rsidRPr="00A23800">
        <w:rPr>
          <w:rFonts w:ascii="Calibri" w:hAnsi="Calibri"/>
          <w:color w:val="231F20"/>
          <w:spacing w:val="-10"/>
          <w:w w:val="110"/>
        </w:rPr>
        <w:t xml:space="preserve"> </w:t>
      </w:r>
      <w:r w:rsidR="00A07550" w:rsidRPr="00A23800">
        <w:rPr>
          <w:rFonts w:ascii="Calibri" w:hAnsi="Calibri"/>
          <w:color w:val="231F20"/>
          <w:w w:val="110"/>
        </w:rPr>
        <w:t>(or</w:t>
      </w:r>
      <w:r w:rsidR="00A07550" w:rsidRPr="00A23800">
        <w:rPr>
          <w:rFonts w:ascii="Calibri" w:hAnsi="Calibri"/>
          <w:color w:val="231F20"/>
          <w:spacing w:val="-10"/>
          <w:w w:val="110"/>
        </w:rPr>
        <w:t xml:space="preserve"> </w:t>
      </w:r>
      <w:r w:rsidR="00A07550" w:rsidRPr="00A23800">
        <w:rPr>
          <w:rFonts w:ascii="Calibri" w:hAnsi="Calibri"/>
          <w:color w:val="231F20"/>
          <w:w w:val="110"/>
        </w:rPr>
        <w:t>less)</w:t>
      </w:r>
      <w:r w:rsidR="00A07550" w:rsidRPr="00A23800">
        <w:rPr>
          <w:rFonts w:ascii="Calibri" w:hAnsi="Calibri"/>
          <w:color w:val="231F20"/>
          <w:spacing w:val="-10"/>
          <w:w w:val="110"/>
        </w:rPr>
        <w:t xml:space="preserve"> </w:t>
      </w:r>
      <w:r w:rsidR="00A07550" w:rsidRPr="00A23800">
        <w:rPr>
          <w:rFonts w:ascii="Calibri" w:hAnsi="Calibri"/>
          <w:color w:val="231F20"/>
          <w:w w:val="110"/>
        </w:rPr>
        <w:t>of</w:t>
      </w:r>
      <w:r w:rsidR="00A07550" w:rsidRPr="00A23800">
        <w:rPr>
          <w:rFonts w:ascii="Calibri" w:hAnsi="Calibri"/>
          <w:color w:val="231F20"/>
          <w:spacing w:val="-10"/>
          <w:w w:val="110"/>
        </w:rPr>
        <w:t xml:space="preserve"> </w:t>
      </w:r>
      <w:r w:rsidR="00A07550" w:rsidRPr="00A23800">
        <w:rPr>
          <w:rFonts w:ascii="Calibri" w:hAnsi="Calibri"/>
          <w:color w:val="231F20"/>
          <w:w w:val="110"/>
        </w:rPr>
        <w:t>courses per</w:t>
      </w:r>
      <w:r w:rsidR="00A07550" w:rsidRPr="00A23800">
        <w:rPr>
          <w:rFonts w:ascii="Calibri" w:hAnsi="Calibri"/>
          <w:color w:val="231F20"/>
          <w:spacing w:val="-7"/>
          <w:w w:val="110"/>
        </w:rPr>
        <w:t xml:space="preserve"> </w:t>
      </w:r>
      <w:r w:rsidR="00A07550" w:rsidRPr="00A23800">
        <w:rPr>
          <w:rFonts w:ascii="Calibri" w:hAnsi="Calibri"/>
          <w:color w:val="231F20"/>
          <w:w w:val="110"/>
        </w:rPr>
        <w:t>semester</w:t>
      </w:r>
      <w:r w:rsidR="00A07550" w:rsidRPr="00A23800">
        <w:rPr>
          <w:rFonts w:ascii="Calibri" w:hAnsi="Calibri"/>
          <w:color w:val="231F20"/>
          <w:spacing w:val="-7"/>
          <w:w w:val="110"/>
        </w:rPr>
        <w:t xml:space="preserve"> </w:t>
      </w:r>
      <w:r w:rsidR="00A07550" w:rsidRPr="00A23800">
        <w:rPr>
          <w:rFonts w:ascii="Calibri" w:hAnsi="Calibri"/>
          <w:color w:val="231F20"/>
          <w:w w:val="110"/>
        </w:rPr>
        <w:t>on</w:t>
      </w:r>
      <w:r w:rsidR="00A07550" w:rsidRPr="00A23800">
        <w:rPr>
          <w:rFonts w:ascii="Calibri" w:hAnsi="Calibri"/>
          <w:color w:val="231F20"/>
          <w:spacing w:val="-7"/>
          <w:w w:val="110"/>
        </w:rPr>
        <w:t xml:space="preserve"> </w:t>
      </w:r>
      <w:r w:rsidR="00A07550" w:rsidRPr="00A23800">
        <w:rPr>
          <w:rFonts w:ascii="Calibri" w:hAnsi="Calibri"/>
          <w:color w:val="231F20"/>
          <w:w w:val="110"/>
        </w:rPr>
        <w:t>a</w:t>
      </w:r>
      <w:r w:rsidR="00A07550" w:rsidRPr="00A23800">
        <w:rPr>
          <w:rFonts w:ascii="Calibri" w:hAnsi="Calibri"/>
          <w:color w:val="231F20"/>
          <w:spacing w:val="-7"/>
          <w:w w:val="110"/>
        </w:rPr>
        <w:t xml:space="preserve"> </w:t>
      </w:r>
      <w:r w:rsidR="00A07550" w:rsidRPr="00A23800">
        <w:rPr>
          <w:rFonts w:ascii="Calibri" w:hAnsi="Calibri"/>
          <w:color w:val="231F20"/>
          <w:w w:val="110"/>
        </w:rPr>
        <w:t>space-available</w:t>
      </w:r>
      <w:r w:rsidR="00A07550" w:rsidRPr="00A23800">
        <w:rPr>
          <w:rFonts w:ascii="Calibri" w:hAnsi="Calibri"/>
          <w:color w:val="231F20"/>
          <w:spacing w:val="-7"/>
          <w:w w:val="110"/>
        </w:rPr>
        <w:t xml:space="preserve"> </w:t>
      </w:r>
      <w:r w:rsidR="00A07550" w:rsidRPr="00A23800">
        <w:rPr>
          <w:rFonts w:ascii="Calibri" w:hAnsi="Calibri"/>
          <w:color w:val="231F20"/>
          <w:w w:val="110"/>
        </w:rPr>
        <w:t>basis</w:t>
      </w:r>
      <w:r w:rsidR="00A07550" w:rsidRPr="00A23800">
        <w:rPr>
          <w:rFonts w:ascii="Calibri" w:hAnsi="Calibri"/>
          <w:color w:val="231F20"/>
          <w:spacing w:val="-7"/>
          <w:w w:val="110"/>
        </w:rPr>
        <w:t xml:space="preserve"> </w:t>
      </w:r>
      <w:r w:rsidR="00A07550" w:rsidRPr="00A23800">
        <w:rPr>
          <w:rFonts w:ascii="Calibri" w:hAnsi="Calibri"/>
          <w:color w:val="231F20"/>
          <w:w w:val="110"/>
        </w:rPr>
        <w:t>at</w:t>
      </w:r>
      <w:r w:rsidR="00A07550" w:rsidRPr="00A23800">
        <w:rPr>
          <w:rFonts w:ascii="Calibri" w:hAnsi="Calibri"/>
          <w:color w:val="231F20"/>
          <w:spacing w:val="-7"/>
          <w:w w:val="110"/>
        </w:rPr>
        <w:t xml:space="preserve"> </w:t>
      </w:r>
      <w:r w:rsidR="00A07550" w:rsidRPr="00A23800">
        <w:rPr>
          <w:rFonts w:ascii="Calibri" w:hAnsi="Calibri"/>
          <w:color w:val="231F20"/>
          <w:w w:val="110"/>
        </w:rPr>
        <w:t>public</w:t>
      </w:r>
      <w:r w:rsidR="00A07550" w:rsidRPr="00A23800">
        <w:rPr>
          <w:rFonts w:ascii="Calibri" w:hAnsi="Calibri"/>
          <w:color w:val="231F20"/>
          <w:spacing w:val="-7"/>
          <w:w w:val="110"/>
        </w:rPr>
        <w:t xml:space="preserve"> </w:t>
      </w:r>
      <w:r w:rsidR="00A07550" w:rsidRPr="00A23800">
        <w:rPr>
          <w:rFonts w:ascii="Calibri" w:hAnsi="Calibri"/>
          <w:color w:val="231F20"/>
          <w:w w:val="110"/>
        </w:rPr>
        <w:t>universities.</w:t>
      </w:r>
      <w:r w:rsidR="00A07550" w:rsidRPr="00A23800">
        <w:rPr>
          <w:rFonts w:ascii="Calibri" w:hAnsi="Calibri"/>
          <w:color w:val="231F20"/>
          <w:spacing w:val="-7"/>
          <w:w w:val="110"/>
        </w:rPr>
        <w:t xml:space="preserve"> </w:t>
      </w:r>
      <w:r w:rsidR="00A07550" w:rsidRPr="00A23800">
        <w:rPr>
          <w:rFonts w:ascii="Calibri" w:hAnsi="Calibri"/>
          <w:color w:val="231F20"/>
          <w:w w:val="110"/>
        </w:rPr>
        <w:t>This</w:t>
      </w:r>
      <w:r w:rsidR="00A07550" w:rsidRPr="00A23800">
        <w:rPr>
          <w:rFonts w:ascii="Calibri" w:hAnsi="Calibri"/>
          <w:color w:val="231F20"/>
          <w:spacing w:val="-7"/>
          <w:w w:val="110"/>
        </w:rPr>
        <w:t xml:space="preserve"> </w:t>
      </w:r>
      <w:r w:rsidR="00A07550" w:rsidRPr="00A23800">
        <w:rPr>
          <w:rFonts w:ascii="Calibri" w:hAnsi="Calibri"/>
          <w:color w:val="231F20"/>
          <w:w w:val="110"/>
        </w:rPr>
        <w:t>approach</w:t>
      </w:r>
      <w:r w:rsidR="00A07550" w:rsidRPr="00A23800">
        <w:rPr>
          <w:rFonts w:ascii="Calibri" w:hAnsi="Calibri"/>
          <w:color w:val="231F20"/>
          <w:spacing w:val="-7"/>
          <w:w w:val="110"/>
        </w:rPr>
        <w:t xml:space="preserve"> </w:t>
      </w:r>
      <w:r w:rsidR="00A07550" w:rsidRPr="00A23800">
        <w:rPr>
          <w:rFonts w:ascii="Calibri" w:hAnsi="Calibri"/>
          <w:color w:val="231F20"/>
          <w:w w:val="110"/>
        </w:rPr>
        <w:t>is</w:t>
      </w:r>
      <w:r w:rsidR="00A07550" w:rsidRPr="00A23800">
        <w:rPr>
          <w:rFonts w:ascii="Calibri" w:hAnsi="Calibri"/>
          <w:color w:val="231F20"/>
          <w:spacing w:val="-7"/>
          <w:w w:val="110"/>
        </w:rPr>
        <w:t xml:space="preserve"> </w:t>
      </w:r>
      <w:r w:rsidR="00A07550" w:rsidRPr="00A23800">
        <w:rPr>
          <w:rFonts w:ascii="Calibri" w:hAnsi="Calibri"/>
          <w:color w:val="231F20"/>
          <w:w w:val="110"/>
        </w:rPr>
        <w:t>how</w:t>
      </w:r>
      <w:r w:rsidR="00A07550" w:rsidRPr="00A23800">
        <w:rPr>
          <w:rFonts w:ascii="Calibri" w:hAnsi="Calibri"/>
          <w:color w:val="231F20"/>
          <w:spacing w:val="-7"/>
          <w:w w:val="110"/>
        </w:rPr>
        <w:t xml:space="preserve"> </w:t>
      </w:r>
      <w:r w:rsidR="00A07550" w:rsidRPr="00A23800">
        <w:rPr>
          <w:rFonts w:ascii="Calibri" w:hAnsi="Calibri"/>
          <w:color w:val="231F20"/>
          <w:w w:val="110"/>
        </w:rPr>
        <w:t>many</w:t>
      </w:r>
      <w:r w:rsidR="00A07550" w:rsidRPr="00A23800">
        <w:rPr>
          <w:rFonts w:ascii="Calibri" w:hAnsi="Calibri"/>
          <w:color w:val="231F20"/>
          <w:spacing w:val="-7"/>
          <w:w w:val="110"/>
        </w:rPr>
        <w:t xml:space="preserve"> </w:t>
      </w:r>
      <w:r w:rsidR="00A07550" w:rsidRPr="00A23800">
        <w:rPr>
          <w:rFonts w:ascii="Calibri" w:hAnsi="Calibri"/>
          <w:color w:val="231F20"/>
          <w:w w:val="110"/>
        </w:rPr>
        <w:t>counselors</w:t>
      </w:r>
      <w:r w:rsidR="00A07550" w:rsidRPr="00A23800">
        <w:rPr>
          <w:rFonts w:ascii="Calibri" w:hAnsi="Calibri"/>
          <w:color w:val="231F20"/>
          <w:w w:val="109"/>
        </w:rPr>
        <w:t xml:space="preserve"> </w:t>
      </w:r>
      <w:r w:rsidR="00A07550" w:rsidRPr="00A23800">
        <w:rPr>
          <w:rFonts w:ascii="Calibri" w:hAnsi="Calibri"/>
          <w:color w:val="231F20"/>
          <w:w w:val="110"/>
        </w:rPr>
        <w:t>worked</w:t>
      </w:r>
      <w:r w:rsidR="00A07550" w:rsidRPr="00A23800">
        <w:rPr>
          <w:rFonts w:ascii="Calibri" w:hAnsi="Calibri"/>
          <w:color w:val="231F20"/>
          <w:spacing w:val="-8"/>
          <w:w w:val="110"/>
        </w:rPr>
        <w:t xml:space="preserve"> </w:t>
      </w:r>
      <w:r w:rsidR="00A07550" w:rsidRPr="00A23800">
        <w:rPr>
          <w:rFonts w:ascii="Calibri" w:hAnsi="Calibri"/>
          <w:color w:val="231F20"/>
          <w:w w:val="110"/>
        </w:rPr>
        <w:t>to</w:t>
      </w:r>
      <w:r w:rsidR="00A07550" w:rsidRPr="00A23800">
        <w:rPr>
          <w:rFonts w:ascii="Calibri" w:hAnsi="Calibri"/>
          <w:color w:val="231F20"/>
          <w:spacing w:val="-8"/>
          <w:w w:val="110"/>
        </w:rPr>
        <w:t xml:space="preserve"> </w:t>
      </w:r>
      <w:r w:rsidR="00A07550" w:rsidRPr="00A23800">
        <w:rPr>
          <w:rFonts w:ascii="Calibri" w:hAnsi="Calibri"/>
          <w:color w:val="231F20"/>
          <w:w w:val="110"/>
        </w:rPr>
        <w:t>reach</w:t>
      </w:r>
      <w:r w:rsidR="00A07550" w:rsidRPr="00A23800">
        <w:rPr>
          <w:rFonts w:ascii="Calibri" w:hAnsi="Calibri"/>
          <w:color w:val="231F20"/>
          <w:spacing w:val="-8"/>
          <w:w w:val="110"/>
        </w:rPr>
        <w:t xml:space="preserve"> </w:t>
      </w:r>
      <w:r w:rsidR="00A07550" w:rsidRPr="00A23800">
        <w:rPr>
          <w:rFonts w:ascii="Calibri" w:hAnsi="Calibri"/>
          <w:color w:val="231F20"/>
          <w:w w:val="110"/>
        </w:rPr>
        <w:t>the</w:t>
      </w:r>
      <w:r w:rsidR="00A07550" w:rsidRPr="00A23800">
        <w:rPr>
          <w:rFonts w:ascii="Calibri" w:hAnsi="Calibri"/>
          <w:color w:val="231F20"/>
          <w:spacing w:val="-8"/>
          <w:w w:val="110"/>
        </w:rPr>
        <w:t xml:space="preserve"> </w:t>
      </w:r>
      <w:r w:rsidR="00A07550" w:rsidRPr="00A23800">
        <w:rPr>
          <w:rFonts w:ascii="Calibri" w:hAnsi="Calibri"/>
          <w:color w:val="231F20"/>
          <w:w w:val="110"/>
        </w:rPr>
        <w:t>CSPD</w:t>
      </w:r>
      <w:r w:rsidR="00A07550" w:rsidRPr="00A23800">
        <w:rPr>
          <w:rFonts w:ascii="Calibri" w:hAnsi="Calibri"/>
          <w:color w:val="231F20"/>
          <w:spacing w:val="-8"/>
          <w:w w:val="110"/>
        </w:rPr>
        <w:t xml:space="preserve"> </w:t>
      </w:r>
      <w:r w:rsidR="00A07550" w:rsidRPr="00A23800">
        <w:rPr>
          <w:rFonts w:ascii="Calibri" w:hAnsi="Calibri"/>
          <w:color w:val="231F20"/>
          <w:w w:val="110"/>
        </w:rPr>
        <w:t>standard</w:t>
      </w:r>
      <w:r w:rsidR="00A07550" w:rsidRPr="00A23800">
        <w:rPr>
          <w:rFonts w:ascii="Calibri" w:hAnsi="Calibri"/>
          <w:color w:val="231F20"/>
          <w:spacing w:val="-8"/>
          <w:w w:val="110"/>
        </w:rPr>
        <w:t xml:space="preserve"> </w:t>
      </w:r>
      <w:r w:rsidR="00A07550" w:rsidRPr="00A23800">
        <w:rPr>
          <w:rFonts w:ascii="Calibri" w:hAnsi="Calibri"/>
          <w:color w:val="231F20"/>
          <w:w w:val="110"/>
        </w:rPr>
        <w:t>until</w:t>
      </w:r>
      <w:r w:rsidR="00A07550" w:rsidRPr="00A23800">
        <w:rPr>
          <w:rFonts w:ascii="Calibri" w:hAnsi="Calibri"/>
          <w:color w:val="231F20"/>
          <w:spacing w:val="-8"/>
          <w:w w:val="110"/>
        </w:rPr>
        <w:t xml:space="preserve"> </w:t>
      </w:r>
      <w:r w:rsidR="00A07550" w:rsidRPr="00A23800">
        <w:rPr>
          <w:rFonts w:ascii="Calibri" w:hAnsi="Calibri"/>
          <w:color w:val="231F20"/>
          <w:w w:val="110"/>
        </w:rPr>
        <w:t>fall</w:t>
      </w:r>
      <w:r w:rsidR="00A07550" w:rsidRPr="00A23800">
        <w:rPr>
          <w:rFonts w:ascii="Calibri" w:hAnsi="Calibri"/>
          <w:color w:val="231F20"/>
          <w:spacing w:val="-8"/>
          <w:w w:val="110"/>
        </w:rPr>
        <w:t xml:space="preserve"> </w:t>
      </w:r>
      <w:r w:rsidR="00A07550" w:rsidRPr="00A23800">
        <w:rPr>
          <w:rFonts w:ascii="Calibri" w:hAnsi="Calibri"/>
          <w:color w:val="231F20"/>
          <w:w w:val="110"/>
        </w:rPr>
        <w:t>2006.</w:t>
      </w:r>
      <w:r w:rsidR="00A07550" w:rsidRPr="00A23800">
        <w:rPr>
          <w:rFonts w:ascii="Calibri" w:hAnsi="Calibri"/>
          <w:color w:val="231F20"/>
          <w:spacing w:val="-8"/>
          <w:w w:val="110"/>
        </w:rPr>
        <w:t xml:space="preserve"> </w:t>
      </w:r>
      <w:r w:rsidR="00A07550" w:rsidRPr="00A23800">
        <w:rPr>
          <w:rFonts w:ascii="Calibri" w:hAnsi="Calibri"/>
          <w:color w:val="231F20"/>
          <w:w w:val="110"/>
        </w:rPr>
        <w:t>As</w:t>
      </w:r>
      <w:r w:rsidR="00A07550" w:rsidRPr="00A23800">
        <w:rPr>
          <w:rFonts w:ascii="Calibri" w:hAnsi="Calibri"/>
          <w:color w:val="231F20"/>
          <w:spacing w:val="-8"/>
          <w:w w:val="110"/>
        </w:rPr>
        <w:t xml:space="preserve"> </w:t>
      </w:r>
      <w:r w:rsidR="00A07550" w:rsidRPr="00A23800">
        <w:rPr>
          <w:rFonts w:ascii="Calibri" w:hAnsi="Calibri"/>
          <w:color w:val="231F20"/>
          <w:w w:val="110"/>
        </w:rPr>
        <w:t>recently</w:t>
      </w:r>
      <w:r w:rsidR="00A07550" w:rsidRPr="00A23800">
        <w:rPr>
          <w:rFonts w:ascii="Calibri" w:hAnsi="Calibri"/>
          <w:color w:val="231F20"/>
          <w:spacing w:val="-8"/>
          <w:w w:val="110"/>
        </w:rPr>
        <w:t xml:space="preserve"> </w:t>
      </w:r>
      <w:r w:rsidR="00A07550" w:rsidRPr="00A23800">
        <w:rPr>
          <w:rFonts w:ascii="Calibri" w:hAnsi="Calibri"/>
          <w:color w:val="231F20"/>
          <w:w w:val="110"/>
        </w:rPr>
        <w:t>as</w:t>
      </w:r>
      <w:r w:rsidR="00A07550" w:rsidRPr="00A23800">
        <w:rPr>
          <w:rFonts w:ascii="Calibri" w:hAnsi="Calibri"/>
          <w:color w:val="231F20"/>
          <w:spacing w:val="-8"/>
          <w:w w:val="110"/>
        </w:rPr>
        <w:t xml:space="preserve"> </w:t>
      </w:r>
      <w:r w:rsidR="00A07550">
        <w:rPr>
          <w:rFonts w:ascii="Calibri" w:hAnsi="Calibri"/>
          <w:color w:val="231F20"/>
          <w:w w:val="110"/>
        </w:rPr>
        <w:t>six</w:t>
      </w:r>
      <w:r w:rsidR="00A07550" w:rsidRPr="00A23800">
        <w:rPr>
          <w:rFonts w:ascii="Calibri" w:hAnsi="Calibri"/>
          <w:color w:val="231F20"/>
          <w:spacing w:val="-8"/>
          <w:w w:val="110"/>
        </w:rPr>
        <w:t xml:space="preserve"> </w:t>
      </w:r>
      <w:r w:rsidR="00A07550" w:rsidRPr="00A23800">
        <w:rPr>
          <w:rFonts w:ascii="Calibri" w:hAnsi="Calibri"/>
          <w:color w:val="231F20"/>
          <w:w w:val="110"/>
        </w:rPr>
        <w:t>years</w:t>
      </w:r>
      <w:r w:rsidR="00A07550" w:rsidRPr="00A23800">
        <w:rPr>
          <w:rFonts w:ascii="Calibri" w:hAnsi="Calibri"/>
          <w:color w:val="231F20"/>
          <w:spacing w:val="-8"/>
          <w:w w:val="110"/>
        </w:rPr>
        <w:t xml:space="preserve"> </w:t>
      </w:r>
      <w:r w:rsidR="00A07550" w:rsidRPr="00A23800">
        <w:rPr>
          <w:rFonts w:ascii="Calibri" w:hAnsi="Calibri"/>
          <w:color w:val="231F20"/>
          <w:w w:val="110"/>
        </w:rPr>
        <w:t>ago,</w:t>
      </w:r>
      <w:r w:rsidR="00A07550" w:rsidRPr="00A23800">
        <w:rPr>
          <w:rFonts w:ascii="Calibri" w:hAnsi="Calibri"/>
          <w:color w:val="231F20"/>
          <w:spacing w:val="-8"/>
          <w:w w:val="110"/>
        </w:rPr>
        <w:t xml:space="preserve"> </w:t>
      </w:r>
      <w:r w:rsidR="00A07550" w:rsidRPr="00A23800">
        <w:rPr>
          <w:rFonts w:ascii="Calibri" w:hAnsi="Calibri"/>
          <w:color w:val="231F20"/>
          <w:w w:val="110"/>
        </w:rPr>
        <w:t>Florida</w:t>
      </w:r>
      <w:r w:rsidR="00A07550" w:rsidRPr="00A23800">
        <w:rPr>
          <w:rFonts w:ascii="Calibri" w:hAnsi="Calibri"/>
          <w:color w:val="231F20"/>
          <w:spacing w:val="-8"/>
          <w:w w:val="110"/>
        </w:rPr>
        <w:t xml:space="preserve"> </w:t>
      </w:r>
      <w:r w:rsidR="00A07550" w:rsidRPr="00A23800">
        <w:rPr>
          <w:rFonts w:ascii="Calibri" w:hAnsi="Calibri"/>
          <w:color w:val="231F20"/>
          <w:w w:val="110"/>
        </w:rPr>
        <w:t>had</w:t>
      </w:r>
      <w:r w:rsidR="00A07550" w:rsidRPr="00A23800">
        <w:rPr>
          <w:rFonts w:ascii="Calibri" w:hAnsi="Calibri"/>
          <w:color w:val="231F20"/>
          <w:spacing w:val="-8"/>
          <w:w w:val="110"/>
        </w:rPr>
        <w:t xml:space="preserve"> </w:t>
      </w:r>
      <w:r w:rsidR="00A07550" w:rsidRPr="00A23800">
        <w:rPr>
          <w:rFonts w:ascii="Calibri" w:hAnsi="Calibri"/>
          <w:color w:val="231F20"/>
          <w:w w:val="110"/>
        </w:rPr>
        <w:t>six</w:t>
      </w:r>
      <w:r w:rsidR="00A07550" w:rsidRPr="00A23800">
        <w:rPr>
          <w:rFonts w:ascii="Calibri" w:hAnsi="Calibri"/>
          <w:color w:val="231F20"/>
          <w:spacing w:val="-8"/>
          <w:w w:val="110"/>
        </w:rPr>
        <w:t xml:space="preserve"> </w:t>
      </w:r>
      <w:r w:rsidR="00A07550" w:rsidRPr="00A23800">
        <w:rPr>
          <w:rFonts w:ascii="Calibri" w:hAnsi="Calibri"/>
          <w:color w:val="231F20"/>
          <w:w w:val="110"/>
        </w:rPr>
        <w:t>Masters</w:t>
      </w:r>
      <w:r w:rsidR="00A07550">
        <w:rPr>
          <w:rFonts w:ascii="Calibri" w:hAnsi="Calibri"/>
          <w:color w:val="231F20"/>
          <w:w w:val="110"/>
        </w:rPr>
        <w:t xml:space="preserve"> </w:t>
      </w:r>
      <w:r w:rsidR="00A07550" w:rsidRPr="00A23800">
        <w:rPr>
          <w:rFonts w:ascii="Calibri" w:hAnsi="Calibri"/>
          <w:color w:val="231F20"/>
          <w:w w:val="110"/>
        </w:rPr>
        <w:t>in</w:t>
      </w:r>
      <w:r w:rsidR="00A07550" w:rsidRPr="00A23800">
        <w:rPr>
          <w:rFonts w:ascii="Calibri" w:hAnsi="Calibri"/>
          <w:color w:val="231F20"/>
          <w:spacing w:val="-18"/>
          <w:w w:val="110"/>
        </w:rPr>
        <w:t xml:space="preserve"> </w:t>
      </w:r>
      <w:r w:rsidR="00A07550" w:rsidRPr="00A23800">
        <w:rPr>
          <w:rFonts w:ascii="Calibri" w:hAnsi="Calibri"/>
          <w:color w:val="231F20"/>
          <w:w w:val="110"/>
        </w:rPr>
        <w:t>Rehabilitation</w:t>
      </w:r>
      <w:r w:rsidR="00A07550" w:rsidRPr="00A23800">
        <w:rPr>
          <w:rFonts w:ascii="Calibri" w:hAnsi="Calibri"/>
          <w:color w:val="231F20"/>
          <w:spacing w:val="-18"/>
          <w:w w:val="110"/>
        </w:rPr>
        <w:t xml:space="preserve"> </w:t>
      </w:r>
      <w:r w:rsidR="00A07550" w:rsidRPr="00A23800">
        <w:rPr>
          <w:rFonts w:ascii="Calibri" w:hAnsi="Calibri"/>
          <w:color w:val="231F20"/>
          <w:w w:val="110"/>
        </w:rPr>
        <w:t>Counseling</w:t>
      </w:r>
      <w:r w:rsidR="00A07550" w:rsidRPr="00A23800">
        <w:rPr>
          <w:rFonts w:ascii="Calibri" w:hAnsi="Calibri"/>
          <w:color w:val="231F20"/>
          <w:spacing w:val="-18"/>
          <w:w w:val="110"/>
        </w:rPr>
        <w:t xml:space="preserve"> </w:t>
      </w:r>
      <w:r w:rsidR="00A07550" w:rsidRPr="00A23800">
        <w:rPr>
          <w:rFonts w:ascii="Calibri" w:hAnsi="Calibri"/>
          <w:color w:val="231F20"/>
          <w:w w:val="110"/>
        </w:rPr>
        <w:t>(MRC)</w:t>
      </w:r>
      <w:r w:rsidR="00A07550" w:rsidRPr="00A23800">
        <w:rPr>
          <w:rFonts w:ascii="Calibri" w:hAnsi="Calibri"/>
          <w:color w:val="231F20"/>
          <w:spacing w:val="-18"/>
          <w:w w:val="110"/>
        </w:rPr>
        <w:t xml:space="preserve"> </w:t>
      </w:r>
      <w:r w:rsidR="00A07550" w:rsidRPr="00A23800">
        <w:rPr>
          <w:rFonts w:ascii="Calibri" w:hAnsi="Calibri"/>
          <w:color w:val="231F20"/>
          <w:w w:val="110"/>
        </w:rPr>
        <w:t>programs,</w:t>
      </w:r>
      <w:r w:rsidR="00A07550" w:rsidRPr="00A23800">
        <w:rPr>
          <w:rFonts w:ascii="Calibri" w:hAnsi="Calibri"/>
          <w:color w:val="231F20"/>
          <w:spacing w:val="-18"/>
          <w:w w:val="110"/>
        </w:rPr>
        <w:t xml:space="preserve"> </w:t>
      </w:r>
      <w:r w:rsidR="00A07550" w:rsidRPr="00A23800">
        <w:rPr>
          <w:rFonts w:ascii="Calibri" w:hAnsi="Calibri"/>
          <w:color w:val="231F20"/>
          <w:w w:val="110"/>
        </w:rPr>
        <w:t>five</w:t>
      </w:r>
      <w:r w:rsidR="00A07550" w:rsidRPr="00A23800">
        <w:rPr>
          <w:rFonts w:ascii="Calibri" w:hAnsi="Calibri"/>
          <w:color w:val="231F20"/>
          <w:spacing w:val="-18"/>
          <w:w w:val="110"/>
        </w:rPr>
        <w:t xml:space="preserve"> </w:t>
      </w:r>
      <w:r w:rsidR="00A07550" w:rsidRPr="00A23800">
        <w:rPr>
          <w:rFonts w:ascii="Calibri" w:hAnsi="Calibri"/>
          <w:color w:val="231F20"/>
          <w:w w:val="110"/>
        </w:rPr>
        <w:t>of</w:t>
      </w:r>
      <w:r w:rsidR="00A07550" w:rsidRPr="00A23800">
        <w:rPr>
          <w:rFonts w:ascii="Calibri" w:hAnsi="Calibri"/>
          <w:color w:val="231F20"/>
          <w:spacing w:val="-18"/>
          <w:w w:val="110"/>
        </w:rPr>
        <w:t xml:space="preserve"> </w:t>
      </w:r>
      <w:r w:rsidR="00A07550" w:rsidRPr="00A23800">
        <w:rPr>
          <w:rFonts w:ascii="Calibri" w:hAnsi="Calibri"/>
          <w:color w:val="231F20"/>
          <w:w w:val="110"/>
        </w:rPr>
        <w:t>which</w:t>
      </w:r>
      <w:r w:rsidR="00A07550" w:rsidRPr="00A23800">
        <w:rPr>
          <w:rFonts w:ascii="Calibri" w:hAnsi="Calibri"/>
          <w:color w:val="231F20"/>
          <w:spacing w:val="-18"/>
          <w:w w:val="110"/>
        </w:rPr>
        <w:t xml:space="preserve"> </w:t>
      </w:r>
      <w:r w:rsidR="00A07550" w:rsidRPr="00A23800">
        <w:rPr>
          <w:rFonts w:ascii="Calibri" w:hAnsi="Calibri"/>
          <w:color w:val="231F20"/>
          <w:w w:val="110"/>
        </w:rPr>
        <w:t>were</w:t>
      </w:r>
      <w:r w:rsidR="00A07550" w:rsidRPr="00A23800">
        <w:rPr>
          <w:rFonts w:ascii="Calibri" w:hAnsi="Calibri"/>
          <w:color w:val="231F20"/>
          <w:spacing w:val="-18"/>
          <w:w w:val="110"/>
        </w:rPr>
        <w:t xml:space="preserve"> </w:t>
      </w:r>
      <w:r w:rsidR="00A07550" w:rsidRPr="00A23800">
        <w:rPr>
          <w:rFonts w:ascii="Calibri" w:hAnsi="Calibri"/>
          <w:color w:val="231F20"/>
          <w:w w:val="110"/>
        </w:rPr>
        <w:t>CORE-accredited.</w:t>
      </w:r>
      <w:r w:rsidR="00A07550" w:rsidRPr="00A23800">
        <w:rPr>
          <w:rFonts w:ascii="Calibri" w:hAnsi="Calibri"/>
          <w:color w:val="231F20"/>
          <w:spacing w:val="-18"/>
          <w:w w:val="110"/>
        </w:rPr>
        <w:t xml:space="preserve"> </w:t>
      </w:r>
      <w:r w:rsidR="00A07550" w:rsidRPr="00A23800">
        <w:rPr>
          <w:rFonts w:ascii="Calibri" w:hAnsi="Calibri"/>
          <w:color w:val="231F20"/>
          <w:w w:val="110"/>
        </w:rPr>
        <w:t>As</w:t>
      </w:r>
      <w:r w:rsidR="00A07550" w:rsidRPr="00A23800">
        <w:rPr>
          <w:rFonts w:ascii="Calibri" w:hAnsi="Calibri"/>
          <w:color w:val="231F20"/>
          <w:spacing w:val="-18"/>
          <w:w w:val="110"/>
        </w:rPr>
        <w:t xml:space="preserve"> </w:t>
      </w:r>
      <w:r w:rsidR="00A07550" w:rsidRPr="00A23800">
        <w:rPr>
          <w:rFonts w:ascii="Calibri" w:hAnsi="Calibri"/>
          <w:color w:val="231F20"/>
          <w:w w:val="110"/>
        </w:rPr>
        <w:t>of</w:t>
      </w:r>
      <w:r w:rsidR="00A07550" w:rsidRPr="00A23800">
        <w:rPr>
          <w:rFonts w:ascii="Calibri" w:hAnsi="Calibri"/>
          <w:color w:val="231F20"/>
          <w:spacing w:val="-18"/>
          <w:w w:val="110"/>
        </w:rPr>
        <w:t xml:space="preserve"> </w:t>
      </w:r>
      <w:r w:rsidR="00A07550" w:rsidRPr="00A23800">
        <w:rPr>
          <w:rFonts w:ascii="Calibri" w:hAnsi="Calibri"/>
          <w:color w:val="231F20"/>
          <w:w w:val="110"/>
        </w:rPr>
        <w:t>201</w:t>
      </w:r>
      <w:r w:rsidR="00A07550">
        <w:rPr>
          <w:rFonts w:ascii="Calibri" w:hAnsi="Calibri"/>
          <w:color w:val="231F20"/>
          <w:w w:val="110"/>
        </w:rPr>
        <w:t>6</w:t>
      </w:r>
      <w:r w:rsidR="00A07550" w:rsidRPr="00A23800">
        <w:rPr>
          <w:rFonts w:ascii="Calibri" w:hAnsi="Calibri"/>
          <w:color w:val="231F20"/>
          <w:w w:val="110"/>
        </w:rPr>
        <w:t>,</w:t>
      </w:r>
      <w:r w:rsidR="00A07550" w:rsidRPr="00A23800">
        <w:rPr>
          <w:rFonts w:ascii="Calibri" w:hAnsi="Calibri"/>
          <w:color w:val="231F20"/>
          <w:spacing w:val="-18"/>
          <w:w w:val="110"/>
        </w:rPr>
        <w:t xml:space="preserve"> </w:t>
      </w:r>
      <w:r w:rsidR="00A07550" w:rsidRPr="00A23800">
        <w:rPr>
          <w:rFonts w:ascii="Calibri" w:hAnsi="Calibri"/>
          <w:color w:val="231F20"/>
          <w:w w:val="110"/>
        </w:rPr>
        <w:t>Florida</w:t>
      </w:r>
      <w:r w:rsidR="00A07550" w:rsidRPr="00A23800">
        <w:rPr>
          <w:rFonts w:ascii="Calibri" w:hAnsi="Calibri"/>
          <w:color w:val="231F20"/>
          <w:spacing w:val="-18"/>
          <w:w w:val="110"/>
        </w:rPr>
        <w:t xml:space="preserve"> </w:t>
      </w:r>
      <w:r w:rsidR="00A07550" w:rsidRPr="00A23800">
        <w:rPr>
          <w:rFonts w:ascii="Calibri" w:hAnsi="Calibri"/>
          <w:color w:val="231F20"/>
          <w:w w:val="110"/>
        </w:rPr>
        <w:t>now</w:t>
      </w:r>
      <w:r w:rsidR="00A07550" w:rsidRPr="00A23800">
        <w:rPr>
          <w:rFonts w:ascii="Calibri" w:hAnsi="Calibri"/>
          <w:color w:val="231F20"/>
          <w:w w:val="105"/>
        </w:rPr>
        <w:t xml:space="preserve"> </w:t>
      </w:r>
      <w:r w:rsidR="00A07550" w:rsidRPr="00A23800">
        <w:rPr>
          <w:rFonts w:ascii="Calibri" w:hAnsi="Calibri"/>
          <w:color w:val="231F20"/>
          <w:w w:val="110"/>
        </w:rPr>
        <w:t>has</w:t>
      </w:r>
      <w:r w:rsidR="00A07550" w:rsidRPr="00A23800">
        <w:rPr>
          <w:rFonts w:ascii="Calibri" w:hAnsi="Calibri"/>
          <w:color w:val="231F20"/>
          <w:spacing w:val="-15"/>
          <w:w w:val="110"/>
        </w:rPr>
        <w:t xml:space="preserve"> </w:t>
      </w:r>
      <w:r w:rsidR="00A07550" w:rsidRPr="00A23800">
        <w:rPr>
          <w:rFonts w:ascii="Calibri" w:hAnsi="Calibri"/>
          <w:color w:val="231F20"/>
          <w:w w:val="110"/>
        </w:rPr>
        <w:t>three</w:t>
      </w:r>
      <w:r w:rsidR="00A07550" w:rsidRPr="00A23800">
        <w:rPr>
          <w:rFonts w:ascii="Calibri" w:hAnsi="Calibri"/>
          <w:color w:val="231F20"/>
          <w:spacing w:val="-15"/>
          <w:w w:val="110"/>
        </w:rPr>
        <w:t xml:space="preserve"> </w:t>
      </w:r>
      <w:r w:rsidR="00A07550">
        <w:rPr>
          <w:rFonts w:ascii="Calibri" w:hAnsi="Calibri"/>
          <w:color w:val="231F20"/>
          <w:w w:val="110"/>
        </w:rPr>
        <w:t>CACREP</w:t>
      </w:r>
      <w:r w:rsidR="00A07550" w:rsidRPr="00A23800">
        <w:rPr>
          <w:rFonts w:ascii="Calibri" w:hAnsi="Calibri"/>
          <w:color w:val="231F20"/>
          <w:w w:val="110"/>
        </w:rPr>
        <w:t>-accredited</w:t>
      </w:r>
      <w:r w:rsidR="00A07550" w:rsidRPr="00A23800">
        <w:rPr>
          <w:rFonts w:ascii="Calibri" w:hAnsi="Calibri"/>
          <w:color w:val="231F20"/>
          <w:spacing w:val="-15"/>
          <w:w w:val="110"/>
        </w:rPr>
        <w:t xml:space="preserve"> </w:t>
      </w:r>
      <w:r w:rsidR="00A07550" w:rsidRPr="00A23800">
        <w:rPr>
          <w:rFonts w:ascii="Calibri" w:hAnsi="Calibri"/>
          <w:color w:val="231F20"/>
          <w:w w:val="110"/>
        </w:rPr>
        <w:t>programs</w:t>
      </w:r>
      <w:r w:rsidR="00A07550" w:rsidRPr="00A23800">
        <w:rPr>
          <w:rFonts w:ascii="Calibri" w:hAnsi="Calibri"/>
          <w:color w:val="231F20"/>
          <w:spacing w:val="-15"/>
          <w:w w:val="110"/>
        </w:rPr>
        <w:t xml:space="preserve"> </w:t>
      </w:r>
      <w:r w:rsidR="00A07550" w:rsidRPr="00A23800">
        <w:rPr>
          <w:rFonts w:ascii="Calibri" w:hAnsi="Calibri"/>
          <w:color w:val="231F20"/>
          <w:w w:val="110"/>
        </w:rPr>
        <w:t>(Florida</w:t>
      </w:r>
      <w:r w:rsidR="00A07550" w:rsidRPr="00A23800">
        <w:rPr>
          <w:rFonts w:ascii="Calibri" w:hAnsi="Calibri"/>
          <w:color w:val="231F20"/>
          <w:spacing w:val="-15"/>
          <w:w w:val="110"/>
        </w:rPr>
        <w:t xml:space="preserve"> </w:t>
      </w:r>
      <w:r w:rsidR="00A07550" w:rsidRPr="00A23800">
        <w:rPr>
          <w:rFonts w:ascii="Calibri" w:hAnsi="Calibri"/>
          <w:color w:val="231F20"/>
          <w:w w:val="110"/>
        </w:rPr>
        <w:t>Atlantic</w:t>
      </w:r>
      <w:r w:rsidR="00A07550" w:rsidRPr="00A23800">
        <w:rPr>
          <w:rFonts w:ascii="Calibri" w:hAnsi="Calibri"/>
          <w:color w:val="231F20"/>
          <w:spacing w:val="-15"/>
          <w:w w:val="110"/>
        </w:rPr>
        <w:t xml:space="preserve"> </w:t>
      </w:r>
      <w:r w:rsidR="00A07550" w:rsidRPr="00A23800">
        <w:rPr>
          <w:rFonts w:ascii="Calibri" w:hAnsi="Calibri"/>
          <w:color w:val="231F20"/>
          <w:w w:val="110"/>
        </w:rPr>
        <w:t>University</w:t>
      </w:r>
      <w:r w:rsidR="00A07550">
        <w:rPr>
          <w:rFonts w:ascii="Calibri" w:hAnsi="Calibri"/>
          <w:color w:val="231F20"/>
          <w:w w:val="110"/>
        </w:rPr>
        <w:t>,</w:t>
      </w:r>
      <w:r w:rsidR="00A07550" w:rsidRPr="00A23800">
        <w:rPr>
          <w:rFonts w:ascii="Calibri" w:hAnsi="Calibri"/>
          <w:color w:val="231F20"/>
          <w:spacing w:val="-15"/>
          <w:w w:val="110"/>
        </w:rPr>
        <w:t xml:space="preserve"> </w:t>
      </w:r>
      <w:r w:rsidR="00A07550" w:rsidRPr="00A23800">
        <w:rPr>
          <w:rFonts w:ascii="Calibri" w:hAnsi="Calibri"/>
          <w:color w:val="231F20"/>
          <w:w w:val="110"/>
        </w:rPr>
        <w:t>the</w:t>
      </w:r>
      <w:r w:rsidR="00A07550" w:rsidRPr="00A23800">
        <w:rPr>
          <w:rFonts w:ascii="Calibri" w:hAnsi="Calibri"/>
          <w:color w:val="231F20"/>
          <w:spacing w:val="-15"/>
          <w:w w:val="110"/>
        </w:rPr>
        <w:t xml:space="preserve"> </w:t>
      </w:r>
      <w:r w:rsidR="00A07550" w:rsidRPr="00A23800">
        <w:rPr>
          <w:rFonts w:ascii="Calibri" w:hAnsi="Calibri"/>
          <w:color w:val="231F20"/>
          <w:w w:val="110"/>
        </w:rPr>
        <w:t>University</w:t>
      </w:r>
      <w:r w:rsidR="00A07550" w:rsidRPr="00A23800">
        <w:rPr>
          <w:rFonts w:ascii="Calibri" w:hAnsi="Calibri"/>
          <w:color w:val="231F20"/>
          <w:spacing w:val="-15"/>
          <w:w w:val="110"/>
        </w:rPr>
        <w:t xml:space="preserve"> </w:t>
      </w:r>
      <w:r w:rsidR="00A07550" w:rsidRPr="00A23800">
        <w:rPr>
          <w:rFonts w:ascii="Calibri" w:hAnsi="Calibri"/>
          <w:color w:val="231F20"/>
          <w:w w:val="110"/>
        </w:rPr>
        <w:t>of</w:t>
      </w:r>
      <w:r w:rsidR="00A07550" w:rsidRPr="00A23800">
        <w:rPr>
          <w:rFonts w:ascii="Calibri" w:hAnsi="Calibri"/>
          <w:color w:val="231F20"/>
          <w:spacing w:val="-15"/>
          <w:w w:val="110"/>
        </w:rPr>
        <w:t xml:space="preserve"> </w:t>
      </w:r>
      <w:r w:rsidR="00A07550" w:rsidRPr="00A23800">
        <w:rPr>
          <w:rFonts w:ascii="Calibri" w:hAnsi="Calibri"/>
          <w:color w:val="231F20"/>
          <w:w w:val="110"/>
        </w:rPr>
        <w:t>South</w:t>
      </w:r>
      <w:r w:rsidR="00A07550" w:rsidRPr="00A23800">
        <w:rPr>
          <w:rFonts w:ascii="Calibri" w:hAnsi="Calibri"/>
          <w:color w:val="231F20"/>
          <w:spacing w:val="-15"/>
          <w:w w:val="110"/>
        </w:rPr>
        <w:t xml:space="preserve"> </w:t>
      </w:r>
      <w:r w:rsidR="00A07550" w:rsidRPr="00A23800">
        <w:rPr>
          <w:rFonts w:ascii="Calibri" w:hAnsi="Calibri"/>
          <w:color w:val="231F20"/>
          <w:w w:val="110"/>
        </w:rPr>
        <w:t>Florida</w:t>
      </w:r>
      <w:r w:rsidR="00D5537E">
        <w:rPr>
          <w:rFonts w:ascii="Calibri" w:hAnsi="Calibri"/>
          <w:color w:val="231F20"/>
          <w:w w:val="110"/>
        </w:rPr>
        <w:t xml:space="preserve"> and</w:t>
      </w:r>
      <w:r w:rsidR="00A07550" w:rsidRPr="00A23800">
        <w:rPr>
          <w:rFonts w:ascii="Calibri" w:hAnsi="Calibri"/>
          <w:color w:val="231F20"/>
          <w:w w:val="108"/>
        </w:rPr>
        <w:t xml:space="preserve"> </w:t>
      </w:r>
      <w:r w:rsidR="00A07550" w:rsidRPr="00A23800">
        <w:rPr>
          <w:rFonts w:ascii="Calibri" w:hAnsi="Calibri"/>
          <w:color w:val="231F20"/>
          <w:w w:val="105"/>
        </w:rPr>
        <w:t>the Florida International</w:t>
      </w:r>
      <w:r w:rsidR="00A07550" w:rsidRPr="00A23800">
        <w:rPr>
          <w:rFonts w:ascii="Calibri" w:hAnsi="Calibri"/>
          <w:color w:val="231F20"/>
          <w:spacing w:val="32"/>
          <w:w w:val="105"/>
        </w:rPr>
        <w:t xml:space="preserve"> </w:t>
      </w:r>
      <w:r w:rsidR="00A07550" w:rsidRPr="00A23800">
        <w:rPr>
          <w:rFonts w:ascii="Calibri" w:hAnsi="Calibri"/>
          <w:color w:val="231F20"/>
          <w:w w:val="105"/>
        </w:rPr>
        <w:t>University).</w:t>
      </w:r>
    </w:p>
    <w:p w14:paraId="736EEA61" w14:textId="77777777" w:rsidR="00A07550" w:rsidRPr="00A23800" w:rsidRDefault="00A07550" w:rsidP="00D63204">
      <w:pPr>
        <w:widowControl w:val="0"/>
        <w:spacing w:before="5" w:after="0" w:line="240" w:lineRule="auto"/>
        <w:ind w:left="107"/>
        <w:rPr>
          <w:rFonts w:ascii="Calibri" w:hAnsi="Calibri" w:cs="Calibri"/>
          <w:sz w:val="16"/>
          <w:szCs w:val="16"/>
        </w:rPr>
      </w:pPr>
    </w:p>
    <w:p w14:paraId="012285E6" w14:textId="6A4E25E7" w:rsidR="00A07550" w:rsidRPr="00A23800" w:rsidRDefault="00A07550" w:rsidP="00D63204">
      <w:pPr>
        <w:widowControl w:val="0"/>
        <w:spacing w:after="0" w:line="240" w:lineRule="auto"/>
        <w:ind w:left="107"/>
        <w:rPr>
          <w:rFonts w:ascii="Calibri" w:hAnsi="Calibri"/>
        </w:rPr>
      </w:pPr>
      <w:r w:rsidRPr="00A23800">
        <w:rPr>
          <w:rFonts w:ascii="Calibri" w:hAnsi="Calibri"/>
          <w:color w:val="231F20"/>
          <w:w w:val="105"/>
        </w:rPr>
        <w:t>In</w:t>
      </w:r>
      <w:r w:rsidRPr="00A23800">
        <w:rPr>
          <w:rFonts w:ascii="Calibri" w:hAnsi="Calibri"/>
          <w:color w:val="231F20"/>
          <w:spacing w:val="17"/>
          <w:w w:val="105"/>
        </w:rPr>
        <w:t xml:space="preserve"> </w:t>
      </w:r>
      <w:r w:rsidRPr="00A23800">
        <w:rPr>
          <w:rFonts w:ascii="Calibri" w:hAnsi="Calibri"/>
          <w:color w:val="231F20"/>
          <w:w w:val="105"/>
        </w:rPr>
        <w:t>recent</w:t>
      </w:r>
      <w:r w:rsidRPr="00A23800">
        <w:rPr>
          <w:rFonts w:ascii="Calibri" w:hAnsi="Calibri"/>
          <w:color w:val="231F20"/>
          <w:spacing w:val="17"/>
          <w:w w:val="105"/>
        </w:rPr>
        <w:t xml:space="preserve"> </w:t>
      </w:r>
      <w:r w:rsidRPr="00A23800">
        <w:rPr>
          <w:rFonts w:ascii="Calibri" w:hAnsi="Calibri"/>
          <w:color w:val="231F20"/>
          <w:w w:val="105"/>
        </w:rPr>
        <w:t>years,</w:t>
      </w:r>
      <w:r w:rsidRPr="00A23800">
        <w:rPr>
          <w:rFonts w:ascii="Calibri" w:hAnsi="Calibri"/>
          <w:color w:val="231F20"/>
          <w:spacing w:val="17"/>
          <w:w w:val="105"/>
        </w:rPr>
        <w:t xml:space="preserve"> </w:t>
      </w:r>
      <w:r w:rsidRPr="00A23800">
        <w:rPr>
          <w:rFonts w:ascii="Calibri" w:hAnsi="Calibri"/>
          <w:color w:val="231F20"/>
          <w:w w:val="105"/>
        </w:rPr>
        <w:t>VR</w:t>
      </w:r>
      <w:r w:rsidRPr="00A23800">
        <w:rPr>
          <w:rFonts w:ascii="Calibri" w:hAnsi="Calibri"/>
          <w:color w:val="231F20"/>
          <w:spacing w:val="17"/>
          <w:w w:val="105"/>
        </w:rPr>
        <w:t xml:space="preserve"> </w:t>
      </w:r>
      <w:r w:rsidRPr="00A23800">
        <w:rPr>
          <w:rFonts w:ascii="Calibri" w:hAnsi="Calibri"/>
          <w:color w:val="231F20"/>
          <w:w w:val="105"/>
        </w:rPr>
        <w:t>has</w:t>
      </w:r>
      <w:r w:rsidRPr="00A23800">
        <w:rPr>
          <w:rFonts w:ascii="Calibri" w:hAnsi="Calibri"/>
          <w:color w:val="231F20"/>
          <w:spacing w:val="17"/>
          <w:w w:val="105"/>
        </w:rPr>
        <w:t xml:space="preserve"> </w:t>
      </w:r>
      <w:r w:rsidRPr="00A23800">
        <w:rPr>
          <w:rFonts w:ascii="Calibri" w:hAnsi="Calibri"/>
          <w:color w:val="231F20"/>
          <w:w w:val="105"/>
        </w:rPr>
        <w:t>implemented</w:t>
      </w:r>
      <w:r w:rsidRPr="00A23800">
        <w:rPr>
          <w:rFonts w:ascii="Calibri" w:hAnsi="Calibri"/>
          <w:color w:val="231F20"/>
          <w:spacing w:val="17"/>
          <w:w w:val="105"/>
        </w:rPr>
        <w:t xml:space="preserve"> </w:t>
      </w:r>
      <w:r w:rsidRPr="00A23800">
        <w:rPr>
          <w:rFonts w:ascii="Calibri" w:hAnsi="Calibri"/>
          <w:color w:val="231F20"/>
          <w:w w:val="105"/>
        </w:rPr>
        <w:t>a</w:t>
      </w:r>
      <w:r w:rsidRPr="00A23800">
        <w:rPr>
          <w:rFonts w:ascii="Calibri" w:hAnsi="Calibri"/>
          <w:color w:val="231F20"/>
          <w:spacing w:val="17"/>
          <w:w w:val="105"/>
        </w:rPr>
        <w:t xml:space="preserve"> </w:t>
      </w:r>
      <w:r w:rsidRPr="00A23800">
        <w:rPr>
          <w:rFonts w:ascii="Calibri" w:hAnsi="Calibri"/>
          <w:color w:val="231F20"/>
          <w:w w:val="105"/>
        </w:rPr>
        <w:t>more</w:t>
      </w:r>
      <w:r w:rsidRPr="00A23800">
        <w:rPr>
          <w:rFonts w:ascii="Calibri" w:hAnsi="Calibri"/>
          <w:color w:val="231F20"/>
          <w:spacing w:val="17"/>
          <w:w w:val="105"/>
        </w:rPr>
        <w:t xml:space="preserve"> </w:t>
      </w:r>
      <w:r w:rsidRPr="00A23800">
        <w:rPr>
          <w:rFonts w:ascii="Calibri" w:hAnsi="Calibri"/>
          <w:color w:val="231F20"/>
          <w:w w:val="105"/>
        </w:rPr>
        <w:t>aggressive</w:t>
      </w:r>
      <w:r w:rsidRPr="00A23800">
        <w:rPr>
          <w:rFonts w:ascii="Calibri" w:hAnsi="Calibri"/>
          <w:color w:val="231F20"/>
          <w:spacing w:val="17"/>
          <w:w w:val="105"/>
        </w:rPr>
        <w:t xml:space="preserve"> </w:t>
      </w:r>
      <w:r w:rsidRPr="00A23800">
        <w:rPr>
          <w:rFonts w:ascii="Calibri" w:hAnsi="Calibri"/>
          <w:color w:val="231F20"/>
          <w:w w:val="105"/>
        </w:rPr>
        <w:t>approach</w:t>
      </w:r>
      <w:r w:rsidRPr="00A23800">
        <w:rPr>
          <w:rFonts w:ascii="Calibri" w:hAnsi="Calibri"/>
          <w:color w:val="231F20"/>
          <w:spacing w:val="17"/>
          <w:w w:val="105"/>
        </w:rPr>
        <w:t xml:space="preserve"> </w:t>
      </w:r>
      <w:r w:rsidRPr="00A23800">
        <w:rPr>
          <w:rFonts w:ascii="Calibri" w:hAnsi="Calibri"/>
          <w:color w:val="231F20"/>
          <w:w w:val="105"/>
        </w:rPr>
        <w:t>in</w:t>
      </w:r>
      <w:r w:rsidRPr="00A23800">
        <w:rPr>
          <w:rFonts w:ascii="Calibri" w:hAnsi="Calibri"/>
          <w:color w:val="231F20"/>
          <w:spacing w:val="17"/>
          <w:w w:val="105"/>
        </w:rPr>
        <w:t xml:space="preserve"> </w:t>
      </w:r>
      <w:r w:rsidRPr="00A23800">
        <w:rPr>
          <w:rFonts w:ascii="Calibri" w:hAnsi="Calibri"/>
          <w:color w:val="231F20"/>
          <w:w w:val="105"/>
        </w:rPr>
        <w:t>meeting</w:t>
      </w:r>
      <w:r w:rsidRPr="00A23800">
        <w:rPr>
          <w:rFonts w:ascii="Calibri" w:hAnsi="Calibri"/>
          <w:color w:val="231F20"/>
          <w:spacing w:val="17"/>
          <w:w w:val="105"/>
        </w:rPr>
        <w:t xml:space="preserve"> </w:t>
      </w:r>
      <w:r w:rsidRPr="00A23800">
        <w:rPr>
          <w:rFonts w:ascii="Calibri" w:hAnsi="Calibri"/>
          <w:color w:val="231F20"/>
          <w:w w:val="105"/>
        </w:rPr>
        <w:t>the</w:t>
      </w:r>
      <w:r w:rsidRPr="00A23800">
        <w:rPr>
          <w:rFonts w:ascii="Calibri" w:hAnsi="Calibri"/>
          <w:color w:val="231F20"/>
          <w:spacing w:val="17"/>
          <w:w w:val="105"/>
        </w:rPr>
        <w:t xml:space="preserve"> </w:t>
      </w:r>
      <w:r w:rsidRPr="00A23800">
        <w:rPr>
          <w:rFonts w:ascii="Calibri" w:hAnsi="Calibri"/>
          <w:color w:val="231F20"/>
          <w:w w:val="105"/>
        </w:rPr>
        <w:t>CSPD</w:t>
      </w:r>
      <w:r w:rsidRPr="00A23800">
        <w:rPr>
          <w:rFonts w:ascii="Calibri" w:hAnsi="Calibri"/>
          <w:color w:val="231F20"/>
          <w:spacing w:val="17"/>
          <w:w w:val="105"/>
        </w:rPr>
        <w:t xml:space="preserve"> </w:t>
      </w:r>
      <w:r w:rsidRPr="00A23800">
        <w:rPr>
          <w:rFonts w:ascii="Calibri" w:hAnsi="Calibri"/>
          <w:color w:val="231F20"/>
          <w:w w:val="105"/>
        </w:rPr>
        <w:t>standard.</w:t>
      </w:r>
      <w:r w:rsidRPr="00A23800">
        <w:rPr>
          <w:rFonts w:ascii="Calibri" w:hAnsi="Calibri"/>
          <w:color w:val="231F20"/>
          <w:spacing w:val="17"/>
          <w:w w:val="105"/>
        </w:rPr>
        <w:t xml:space="preserve"> </w:t>
      </w:r>
      <w:r w:rsidRPr="00A23800">
        <w:rPr>
          <w:rFonts w:ascii="Calibri" w:hAnsi="Calibri"/>
          <w:color w:val="231F20"/>
          <w:w w:val="105"/>
        </w:rPr>
        <w:t>VR</w:t>
      </w:r>
      <w:r w:rsidRPr="00A23800">
        <w:rPr>
          <w:rFonts w:ascii="Calibri" w:hAnsi="Calibri"/>
          <w:color w:val="231F20"/>
          <w:spacing w:val="17"/>
          <w:w w:val="105"/>
        </w:rPr>
        <w:t xml:space="preserve"> </w:t>
      </w:r>
      <w:r w:rsidRPr="00A23800">
        <w:rPr>
          <w:rFonts w:ascii="Calibri" w:hAnsi="Calibri"/>
          <w:color w:val="231F20"/>
          <w:w w:val="105"/>
        </w:rPr>
        <w:t>employees</w:t>
      </w:r>
      <w:r w:rsidRPr="00A23800">
        <w:rPr>
          <w:rFonts w:ascii="Calibri" w:hAnsi="Calibri"/>
          <w:color w:val="231F20"/>
          <w:spacing w:val="14"/>
          <w:w w:val="105"/>
        </w:rPr>
        <w:t xml:space="preserve"> </w:t>
      </w:r>
      <w:r w:rsidRPr="00A23800">
        <w:rPr>
          <w:rFonts w:ascii="Calibri" w:hAnsi="Calibri"/>
          <w:color w:val="231F20"/>
          <w:w w:val="105"/>
        </w:rPr>
        <w:t>will</w:t>
      </w:r>
      <w:r w:rsidRPr="00A23800">
        <w:rPr>
          <w:rFonts w:ascii="Calibri" w:hAnsi="Calibri"/>
          <w:color w:val="231F20"/>
          <w:spacing w:val="14"/>
          <w:w w:val="105"/>
        </w:rPr>
        <w:t xml:space="preserve"> </w:t>
      </w:r>
      <w:r w:rsidRPr="00A23800">
        <w:rPr>
          <w:rFonts w:ascii="Calibri" w:hAnsi="Calibri"/>
          <w:color w:val="231F20"/>
          <w:w w:val="105"/>
        </w:rPr>
        <w:t>be</w:t>
      </w:r>
      <w:r w:rsidRPr="00A23800">
        <w:rPr>
          <w:rFonts w:ascii="Calibri" w:hAnsi="Calibri"/>
          <w:color w:val="231F20"/>
          <w:spacing w:val="14"/>
          <w:w w:val="105"/>
        </w:rPr>
        <w:t xml:space="preserve"> </w:t>
      </w:r>
      <w:r w:rsidRPr="00A23800">
        <w:rPr>
          <w:rFonts w:ascii="Calibri" w:hAnsi="Calibri"/>
          <w:color w:val="231F20"/>
          <w:w w:val="105"/>
        </w:rPr>
        <w:t>encouraged</w:t>
      </w:r>
      <w:r w:rsidRPr="00A23800">
        <w:rPr>
          <w:rFonts w:ascii="Calibri" w:hAnsi="Calibri"/>
          <w:color w:val="231F20"/>
          <w:spacing w:val="14"/>
          <w:w w:val="105"/>
        </w:rPr>
        <w:t xml:space="preserve"> </w:t>
      </w:r>
      <w:r w:rsidRPr="00A23800">
        <w:rPr>
          <w:rFonts w:ascii="Calibri" w:hAnsi="Calibri"/>
          <w:color w:val="231F20"/>
          <w:w w:val="105"/>
        </w:rPr>
        <w:t>to</w:t>
      </w:r>
      <w:r w:rsidRPr="00A23800">
        <w:rPr>
          <w:rFonts w:ascii="Calibri" w:hAnsi="Calibri"/>
          <w:color w:val="231F20"/>
          <w:spacing w:val="14"/>
          <w:w w:val="105"/>
        </w:rPr>
        <w:t xml:space="preserve"> </w:t>
      </w:r>
      <w:r w:rsidRPr="00A23800">
        <w:rPr>
          <w:rFonts w:ascii="Calibri" w:hAnsi="Calibri"/>
          <w:color w:val="231F20"/>
          <w:w w:val="105"/>
        </w:rPr>
        <w:t>use</w:t>
      </w:r>
      <w:r w:rsidRPr="00A23800">
        <w:rPr>
          <w:rFonts w:ascii="Calibri" w:hAnsi="Calibri"/>
          <w:color w:val="231F20"/>
          <w:spacing w:val="14"/>
          <w:w w:val="105"/>
        </w:rPr>
        <w:t xml:space="preserve"> </w:t>
      </w:r>
      <w:r w:rsidRPr="00A23800">
        <w:rPr>
          <w:rFonts w:ascii="Calibri" w:hAnsi="Calibri"/>
          <w:color w:val="231F20"/>
          <w:w w:val="105"/>
        </w:rPr>
        <w:t>the</w:t>
      </w:r>
      <w:r w:rsidRPr="00A23800">
        <w:rPr>
          <w:rFonts w:ascii="Calibri" w:hAnsi="Calibri"/>
          <w:color w:val="231F20"/>
          <w:spacing w:val="14"/>
          <w:w w:val="105"/>
        </w:rPr>
        <w:t xml:space="preserve"> </w:t>
      </w:r>
      <w:r w:rsidRPr="00A23800">
        <w:rPr>
          <w:rFonts w:ascii="Calibri" w:hAnsi="Calibri"/>
          <w:color w:val="231F20"/>
          <w:w w:val="105"/>
        </w:rPr>
        <w:t>State</w:t>
      </w:r>
      <w:r w:rsidRPr="00A23800">
        <w:rPr>
          <w:rFonts w:ascii="Calibri" w:hAnsi="Calibri"/>
          <w:color w:val="231F20"/>
          <w:spacing w:val="14"/>
          <w:w w:val="105"/>
        </w:rPr>
        <w:t xml:space="preserve"> </w:t>
      </w:r>
      <w:r w:rsidRPr="00A23800">
        <w:rPr>
          <w:rFonts w:ascii="Calibri" w:hAnsi="Calibri"/>
          <w:color w:val="231F20"/>
          <w:w w:val="105"/>
        </w:rPr>
        <w:t>of</w:t>
      </w:r>
      <w:r w:rsidRPr="00A23800">
        <w:rPr>
          <w:rFonts w:ascii="Calibri" w:hAnsi="Calibri"/>
          <w:color w:val="231F20"/>
          <w:spacing w:val="14"/>
          <w:w w:val="105"/>
        </w:rPr>
        <w:t xml:space="preserve"> </w:t>
      </w:r>
      <w:r w:rsidRPr="00A23800">
        <w:rPr>
          <w:rFonts w:ascii="Calibri" w:hAnsi="Calibri"/>
          <w:color w:val="231F20"/>
          <w:w w:val="105"/>
        </w:rPr>
        <w:t>Florida</w:t>
      </w:r>
      <w:r w:rsidRPr="00A23800">
        <w:rPr>
          <w:rFonts w:ascii="Calibri" w:hAnsi="Calibri"/>
          <w:color w:val="231F20"/>
          <w:spacing w:val="14"/>
          <w:w w:val="105"/>
        </w:rPr>
        <w:t xml:space="preserve"> </w:t>
      </w:r>
      <w:r w:rsidRPr="00A23800">
        <w:rPr>
          <w:rFonts w:ascii="Calibri" w:hAnsi="Calibri"/>
          <w:color w:val="231F20"/>
          <w:spacing w:val="-3"/>
          <w:w w:val="105"/>
        </w:rPr>
        <w:t>Tuition</w:t>
      </w:r>
      <w:r w:rsidRPr="00A23800">
        <w:rPr>
          <w:rFonts w:ascii="Calibri" w:hAnsi="Calibri"/>
          <w:color w:val="231F20"/>
          <w:spacing w:val="14"/>
          <w:w w:val="105"/>
        </w:rPr>
        <w:t xml:space="preserve"> </w:t>
      </w:r>
      <w:r w:rsidRPr="00A23800">
        <w:rPr>
          <w:rFonts w:ascii="Calibri" w:hAnsi="Calibri"/>
          <w:color w:val="231F20"/>
          <w:w w:val="105"/>
        </w:rPr>
        <w:t>Waiver</w:t>
      </w:r>
      <w:r w:rsidRPr="00A23800">
        <w:rPr>
          <w:rFonts w:ascii="Calibri" w:hAnsi="Calibri"/>
          <w:color w:val="231F20"/>
          <w:spacing w:val="14"/>
          <w:w w:val="105"/>
        </w:rPr>
        <w:t xml:space="preserve"> </w:t>
      </w:r>
      <w:r w:rsidRPr="00A23800">
        <w:rPr>
          <w:rFonts w:ascii="Calibri" w:hAnsi="Calibri"/>
          <w:color w:val="231F20"/>
          <w:w w:val="105"/>
        </w:rPr>
        <w:t>program</w:t>
      </w:r>
      <w:r w:rsidRPr="00A23800">
        <w:rPr>
          <w:rFonts w:ascii="Calibri" w:hAnsi="Calibri"/>
          <w:color w:val="231F20"/>
          <w:spacing w:val="14"/>
          <w:w w:val="105"/>
        </w:rPr>
        <w:t xml:space="preserve"> </w:t>
      </w:r>
      <w:r w:rsidRPr="00A23800">
        <w:rPr>
          <w:rFonts w:ascii="Calibri" w:hAnsi="Calibri"/>
          <w:color w:val="231F20"/>
          <w:w w:val="105"/>
        </w:rPr>
        <w:t>as</w:t>
      </w:r>
      <w:r w:rsidRPr="00A23800">
        <w:rPr>
          <w:rFonts w:ascii="Calibri" w:hAnsi="Calibri"/>
          <w:color w:val="231F20"/>
          <w:spacing w:val="14"/>
          <w:w w:val="105"/>
        </w:rPr>
        <w:t xml:space="preserve"> </w:t>
      </w:r>
      <w:r w:rsidRPr="00A23800">
        <w:rPr>
          <w:rFonts w:ascii="Calibri" w:hAnsi="Calibri"/>
          <w:color w:val="231F20"/>
          <w:w w:val="105"/>
        </w:rPr>
        <w:t>much</w:t>
      </w:r>
      <w:r w:rsidRPr="00A23800">
        <w:rPr>
          <w:rFonts w:ascii="Calibri" w:hAnsi="Calibri"/>
          <w:color w:val="231F20"/>
          <w:spacing w:val="14"/>
          <w:w w:val="105"/>
        </w:rPr>
        <w:t xml:space="preserve"> </w:t>
      </w:r>
      <w:r w:rsidRPr="00A23800">
        <w:rPr>
          <w:rFonts w:ascii="Calibri" w:hAnsi="Calibri"/>
          <w:color w:val="231F20"/>
          <w:w w:val="105"/>
        </w:rPr>
        <w:t>as</w:t>
      </w:r>
      <w:r w:rsidRPr="00A23800">
        <w:rPr>
          <w:rFonts w:ascii="Calibri" w:hAnsi="Calibri"/>
          <w:color w:val="231F20"/>
          <w:spacing w:val="14"/>
          <w:w w:val="105"/>
        </w:rPr>
        <w:t xml:space="preserve"> </w:t>
      </w:r>
      <w:r w:rsidRPr="00A23800">
        <w:rPr>
          <w:rFonts w:ascii="Calibri" w:hAnsi="Calibri"/>
          <w:color w:val="231F20"/>
          <w:w w:val="105"/>
        </w:rPr>
        <w:t>possible,</w:t>
      </w:r>
      <w:r w:rsidRPr="00A23800">
        <w:rPr>
          <w:rFonts w:ascii="Calibri" w:hAnsi="Calibri"/>
          <w:color w:val="231F20"/>
          <w:spacing w:val="-24"/>
          <w:w w:val="105"/>
        </w:rPr>
        <w:t xml:space="preserve"> </w:t>
      </w:r>
      <w:r w:rsidRPr="00A23800">
        <w:rPr>
          <w:rFonts w:ascii="Calibri" w:hAnsi="Calibri"/>
          <w:color w:val="231F20"/>
          <w:w w:val="105"/>
        </w:rPr>
        <w:t>since</w:t>
      </w:r>
      <w:r w:rsidRPr="00A23800">
        <w:rPr>
          <w:rFonts w:ascii="Calibri" w:hAnsi="Calibri"/>
          <w:color w:val="231F20"/>
          <w:spacing w:val="12"/>
          <w:w w:val="105"/>
        </w:rPr>
        <w:t xml:space="preserve"> </w:t>
      </w:r>
      <w:r w:rsidRPr="00A23800">
        <w:rPr>
          <w:rFonts w:ascii="Calibri" w:hAnsi="Calibri"/>
          <w:color w:val="231F20"/>
          <w:w w:val="105"/>
        </w:rPr>
        <w:t>it</w:t>
      </w:r>
      <w:r w:rsidRPr="00A23800">
        <w:rPr>
          <w:rFonts w:ascii="Calibri" w:hAnsi="Calibri"/>
          <w:color w:val="231F20"/>
          <w:spacing w:val="12"/>
          <w:w w:val="105"/>
        </w:rPr>
        <w:t xml:space="preserve"> </w:t>
      </w:r>
      <w:r w:rsidRPr="00A23800">
        <w:rPr>
          <w:rFonts w:ascii="Calibri" w:hAnsi="Calibri"/>
          <w:color w:val="231F20"/>
          <w:w w:val="105"/>
        </w:rPr>
        <w:t>represents</w:t>
      </w:r>
      <w:r w:rsidRPr="00A23800">
        <w:rPr>
          <w:rFonts w:ascii="Calibri" w:hAnsi="Calibri"/>
          <w:color w:val="231F20"/>
          <w:spacing w:val="12"/>
          <w:w w:val="105"/>
        </w:rPr>
        <w:t xml:space="preserve"> </w:t>
      </w:r>
      <w:r w:rsidRPr="00A23800">
        <w:rPr>
          <w:rFonts w:ascii="Calibri" w:hAnsi="Calibri"/>
          <w:color w:val="231F20"/>
          <w:w w:val="105"/>
        </w:rPr>
        <w:t>a</w:t>
      </w:r>
      <w:r w:rsidRPr="00A23800">
        <w:rPr>
          <w:rFonts w:ascii="Calibri" w:hAnsi="Calibri"/>
          <w:color w:val="231F20"/>
          <w:spacing w:val="12"/>
          <w:w w:val="105"/>
        </w:rPr>
        <w:t xml:space="preserve"> </w:t>
      </w:r>
      <w:r w:rsidRPr="00A23800">
        <w:rPr>
          <w:rFonts w:ascii="Calibri" w:hAnsi="Calibri"/>
          <w:color w:val="231F20"/>
          <w:w w:val="105"/>
        </w:rPr>
        <w:t>significant</w:t>
      </w:r>
      <w:r w:rsidRPr="00A23800">
        <w:rPr>
          <w:rFonts w:ascii="Calibri" w:hAnsi="Calibri"/>
          <w:color w:val="231F20"/>
          <w:spacing w:val="12"/>
          <w:w w:val="105"/>
        </w:rPr>
        <w:t xml:space="preserve"> </w:t>
      </w:r>
      <w:r w:rsidRPr="00A23800">
        <w:rPr>
          <w:rFonts w:ascii="Calibri" w:hAnsi="Calibri"/>
          <w:color w:val="231F20"/>
          <w:w w:val="105"/>
        </w:rPr>
        <w:t>savings</w:t>
      </w:r>
      <w:r w:rsidRPr="00A23800">
        <w:rPr>
          <w:rFonts w:ascii="Calibri" w:hAnsi="Calibri"/>
          <w:color w:val="231F20"/>
          <w:spacing w:val="12"/>
          <w:w w:val="105"/>
        </w:rPr>
        <w:t xml:space="preserve"> </w:t>
      </w:r>
      <w:r w:rsidRPr="00A23800">
        <w:rPr>
          <w:rFonts w:ascii="Calibri" w:hAnsi="Calibri"/>
          <w:color w:val="231F20"/>
          <w:w w:val="105"/>
        </w:rPr>
        <w:t>to</w:t>
      </w:r>
      <w:r w:rsidRPr="00A23800">
        <w:rPr>
          <w:rFonts w:ascii="Calibri" w:hAnsi="Calibri"/>
          <w:color w:val="231F20"/>
          <w:spacing w:val="12"/>
          <w:w w:val="105"/>
        </w:rPr>
        <w:t xml:space="preserve"> </w:t>
      </w:r>
      <w:r w:rsidRPr="00A23800">
        <w:rPr>
          <w:rFonts w:ascii="Calibri" w:hAnsi="Calibri"/>
          <w:color w:val="231F20"/>
          <w:w w:val="105"/>
        </w:rPr>
        <w:t>VR.</w:t>
      </w:r>
      <w:r w:rsidRPr="00A23800">
        <w:rPr>
          <w:rFonts w:ascii="Calibri" w:hAnsi="Calibri"/>
          <w:color w:val="231F20"/>
          <w:spacing w:val="12"/>
          <w:w w:val="105"/>
        </w:rPr>
        <w:t xml:space="preserve"> </w:t>
      </w:r>
      <w:r w:rsidRPr="00A23800">
        <w:rPr>
          <w:rFonts w:ascii="Calibri" w:hAnsi="Calibri"/>
          <w:color w:val="231F20"/>
          <w:w w:val="105"/>
        </w:rPr>
        <w:t>A</w:t>
      </w:r>
      <w:r w:rsidRPr="00A23800">
        <w:rPr>
          <w:rFonts w:ascii="Calibri" w:hAnsi="Calibri"/>
          <w:color w:val="231F20"/>
          <w:spacing w:val="12"/>
          <w:w w:val="105"/>
        </w:rPr>
        <w:t xml:space="preserve"> </w:t>
      </w:r>
      <w:r w:rsidRPr="00A23800">
        <w:rPr>
          <w:rFonts w:ascii="Calibri" w:hAnsi="Calibri"/>
          <w:color w:val="231F20"/>
          <w:w w:val="105"/>
        </w:rPr>
        <w:t>substantial</w:t>
      </w:r>
      <w:r w:rsidRPr="00A23800">
        <w:rPr>
          <w:rFonts w:ascii="Calibri" w:hAnsi="Calibri"/>
          <w:color w:val="231F20"/>
          <w:spacing w:val="12"/>
          <w:w w:val="105"/>
        </w:rPr>
        <w:t xml:space="preserve"> </w:t>
      </w:r>
      <w:r w:rsidRPr="00A23800">
        <w:rPr>
          <w:rFonts w:ascii="Calibri" w:hAnsi="Calibri"/>
          <w:color w:val="231F20"/>
          <w:w w:val="105"/>
        </w:rPr>
        <w:t>portion</w:t>
      </w:r>
      <w:r w:rsidRPr="00A23800">
        <w:rPr>
          <w:rFonts w:ascii="Calibri" w:hAnsi="Calibri"/>
          <w:color w:val="231F20"/>
          <w:spacing w:val="12"/>
          <w:w w:val="105"/>
        </w:rPr>
        <w:t xml:space="preserve"> </w:t>
      </w:r>
      <w:r w:rsidRPr="00A23800">
        <w:rPr>
          <w:rFonts w:ascii="Calibri" w:hAnsi="Calibri"/>
          <w:color w:val="231F20"/>
          <w:w w:val="105"/>
        </w:rPr>
        <w:t>of</w:t>
      </w:r>
      <w:r w:rsidRPr="00A23800">
        <w:rPr>
          <w:rFonts w:ascii="Calibri" w:hAnsi="Calibri"/>
          <w:color w:val="231F20"/>
          <w:spacing w:val="12"/>
          <w:w w:val="105"/>
        </w:rPr>
        <w:t xml:space="preserve"> </w:t>
      </w:r>
      <w:r w:rsidRPr="00A23800">
        <w:rPr>
          <w:rFonts w:ascii="Calibri" w:hAnsi="Calibri"/>
          <w:color w:val="231F20"/>
          <w:w w:val="105"/>
        </w:rPr>
        <w:t>the</w:t>
      </w:r>
      <w:r w:rsidRPr="00A23800">
        <w:rPr>
          <w:rFonts w:ascii="Calibri" w:hAnsi="Calibri"/>
          <w:color w:val="231F20"/>
          <w:spacing w:val="12"/>
          <w:w w:val="105"/>
        </w:rPr>
        <w:t xml:space="preserve"> </w:t>
      </w:r>
      <w:r w:rsidRPr="00A23800">
        <w:rPr>
          <w:rFonts w:ascii="Calibri" w:hAnsi="Calibri"/>
          <w:color w:val="231F20"/>
          <w:w w:val="105"/>
        </w:rPr>
        <w:t>in-service</w:t>
      </w:r>
      <w:r w:rsidRPr="00A23800">
        <w:rPr>
          <w:rFonts w:ascii="Calibri" w:hAnsi="Calibri"/>
          <w:color w:val="231F20"/>
          <w:spacing w:val="12"/>
          <w:w w:val="105"/>
        </w:rPr>
        <w:t xml:space="preserve"> </w:t>
      </w:r>
      <w:r w:rsidRPr="00A23800">
        <w:rPr>
          <w:rFonts w:ascii="Calibri" w:hAnsi="Calibri"/>
          <w:color w:val="231F20"/>
          <w:w w:val="105"/>
        </w:rPr>
        <w:t>training</w:t>
      </w:r>
      <w:r w:rsidRPr="00A23800">
        <w:rPr>
          <w:rFonts w:ascii="Calibri" w:hAnsi="Calibri"/>
          <w:color w:val="231F20"/>
          <w:spacing w:val="12"/>
          <w:w w:val="105"/>
        </w:rPr>
        <w:t xml:space="preserve"> </w:t>
      </w:r>
      <w:r w:rsidRPr="00A23800">
        <w:rPr>
          <w:rFonts w:ascii="Calibri" w:hAnsi="Calibri"/>
          <w:color w:val="231F20"/>
          <w:w w:val="105"/>
        </w:rPr>
        <w:t>grant</w:t>
      </w:r>
      <w:r w:rsidRPr="00A23800">
        <w:rPr>
          <w:rFonts w:ascii="Calibri" w:hAnsi="Calibri"/>
          <w:color w:val="231F20"/>
          <w:spacing w:val="12"/>
          <w:w w:val="105"/>
        </w:rPr>
        <w:t xml:space="preserve"> </w:t>
      </w:r>
      <w:r w:rsidRPr="00A23800">
        <w:rPr>
          <w:rFonts w:ascii="Calibri" w:hAnsi="Calibri"/>
          <w:color w:val="231F20"/>
          <w:w w:val="105"/>
        </w:rPr>
        <w:t>was</w:t>
      </w:r>
      <w:r w:rsidRPr="00A23800">
        <w:rPr>
          <w:rFonts w:ascii="Calibri" w:hAnsi="Calibri"/>
          <w:color w:val="231F20"/>
          <w:spacing w:val="-26"/>
          <w:w w:val="105"/>
        </w:rPr>
        <w:t xml:space="preserve"> </w:t>
      </w:r>
      <w:r w:rsidRPr="00A23800">
        <w:rPr>
          <w:rFonts w:ascii="Calibri" w:hAnsi="Calibri"/>
          <w:color w:val="231F20"/>
          <w:w w:val="105"/>
        </w:rPr>
        <w:t>allocated</w:t>
      </w:r>
      <w:r w:rsidRPr="00A23800">
        <w:rPr>
          <w:rFonts w:ascii="Calibri" w:hAnsi="Calibri"/>
          <w:color w:val="231F20"/>
          <w:spacing w:val="10"/>
          <w:w w:val="105"/>
        </w:rPr>
        <w:t xml:space="preserve"> </w:t>
      </w:r>
      <w:r w:rsidRPr="00A23800">
        <w:rPr>
          <w:rFonts w:ascii="Calibri" w:hAnsi="Calibri"/>
          <w:color w:val="231F20"/>
          <w:w w:val="105"/>
        </w:rPr>
        <w:t>solely</w:t>
      </w:r>
      <w:r w:rsidRPr="00A23800">
        <w:rPr>
          <w:rFonts w:ascii="Calibri" w:hAnsi="Calibri"/>
          <w:color w:val="231F20"/>
          <w:spacing w:val="10"/>
          <w:w w:val="105"/>
        </w:rPr>
        <w:t xml:space="preserve"> </w:t>
      </w:r>
      <w:r w:rsidRPr="00A23800">
        <w:rPr>
          <w:rFonts w:ascii="Calibri" w:hAnsi="Calibri"/>
          <w:color w:val="231F20"/>
          <w:w w:val="105"/>
        </w:rPr>
        <w:t>to</w:t>
      </w:r>
      <w:r w:rsidRPr="00A23800">
        <w:rPr>
          <w:rFonts w:ascii="Calibri" w:hAnsi="Calibri"/>
          <w:color w:val="231F20"/>
          <w:spacing w:val="10"/>
          <w:w w:val="105"/>
        </w:rPr>
        <w:t xml:space="preserve"> </w:t>
      </w:r>
      <w:r w:rsidRPr="00A23800">
        <w:rPr>
          <w:rFonts w:ascii="Calibri" w:hAnsi="Calibri"/>
          <w:color w:val="231F20"/>
          <w:spacing w:val="-3"/>
          <w:w w:val="105"/>
        </w:rPr>
        <w:t>VR’s</w:t>
      </w:r>
      <w:r w:rsidRPr="00A23800">
        <w:rPr>
          <w:rFonts w:ascii="Calibri" w:hAnsi="Calibri"/>
          <w:color w:val="231F20"/>
          <w:spacing w:val="10"/>
          <w:w w:val="105"/>
        </w:rPr>
        <w:t xml:space="preserve"> </w:t>
      </w:r>
      <w:r w:rsidRPr="00A23800">
        <w:rPr>
          <w:rFonts w:ascii="Calibri" w:hAnsi="Calibri"/>
          <w:color w:val="231F20"/>
          <w:w w:val="105"/>
        </w:rPr>
        <w:t>CSPD</w:t>
      </w:r>
      <w:r w:rsidRPr="00A23800">
        <w:rPr>
          <w:rFonts w:ascii="Calibri" w:hAnsi="Calibri"/>
          <w:color w:val="231F20"/>
          <w:spacing w:val="10"/>
          <w:w w:val="105"/>
        </w:rPr>
        <w:t xml:space="preserve"> </w:t>
      </w:r>
      <w:r w:rsidRPr="00A23800">
        <w:rPr>
          <w:rFonts w:ascii="Calibri" w:hAnsi="Calibri"/>
          <w:color w:val="231F20"/>
          <w:w w:val="105"/>
        </w:rPr>
        <w:t>activities.</w:t>
      </w:r>
      <w:r w:rsidRPr="00A23800">
        <w:rPr>
          <w:rFonts w:ascii="Calibri" w:hAnsi="Calibri"/>
          <w:color w:val="231F20"/>
          <w:spacing w:val="10"/>
          <w:w w:val="105"/>
        </w:rPr>
        <w:t xml:space="preserve"> </w:t>
      </w:r>
      <w:r w:rsidRPr="00A23800">
        <w:rPr>
          <w:rFonts w:ascii="Calibri" w:hAnsi="Calibri"/>
          <w:color w:val="231F20"/>
          <w:w w:val="105"/>
        </w:rPr>
        <w:t>In-service</w:t>
      </w:r>
      <w:r w:rsidRPr="00A23800">
        <w:rPr>
          <w:rFonts w:ascii="Calibri" w:hAnsi="Calibri"/>
          <w:color w:val="231F20"/>
          <w:spacing w:val="10"/>
          <w:w w:val="105"/>
        </w:rPr>
        <w:t xml:space="preserve"> </w:t>
      </w:r>
      <w:r w:rsidRPr="00A23800">
        <w:rPr>
          <w:rFonts w:ascii="Calibri" w:hAnsi="Calibri"/>
          <w:color w:val="231F20"/>
          <w:w w:val="105"/>
        </w:rPr>
        <w:t>training</w:t>
      </w:r>
      <w:r w:rsidRPr="00A23800">
        <w:rPr>
          <w:rFonts w:ascii="Calibri" w:hAnsi="Calibri"/>
          <w:color w:val="231F20"/>
          <w:spacing w:val="10"/>
          <w:w w:val="105"/>
        </w:rPr>
        <w:t xml:space="preserve"> </w:t>
      </w:r>
      <w:r w:rsidRPr="00A23800">
        <w:rPr>
          <w:rFonts w:ascii="Calibri" w:hAnsi="Calibri"/>
          <w:color w:val="231F20"/>
          <w:w w:val="105"/>
        </w:rPr>
        <w:t>grant</w:t>
      </w:r>
      <w:r w:rsidRPr="00A23800">
        <w:rPr>
          <w:rFonts w:ascii="Calibri" w:hAnsi="Calibri"/>
          <w:color w:val="231F20"/>
          <w:spacing w:val="10"/>
          <w:w w:val="105"/>
        </w:rPr>
        <w:t xml:space="preserve"> </w:t>
      </w:r>
      <w:r w:rsidRPr="00A23800">
        <w:rPr>
          <w:rFonts w:ascii="Calibri" w:hAnsi="Calibri"/>
          <w:color w:val="231F20"/>
          <w:w w:val="105"/>
        </w:rPr>
        <w:t>funds</w:t>
      </w:r>
      <w:r w:rsidRPr="00A23800">
        <w:rPr>
          <w:rFonts w:ascii="Calibri" w:hAnsi="Calibri"/>
          <w:color w:val="231F20"/>
          <w:spacing w:val="10"/>
          <w:w w:val="105"/>
        </w:rPr>
        <w:t xml:space="preserve"> </w:t>
      </w:r>
      <w:r w:rsidRPr="00A23800">
        <w:rPr>
          <w:rFonts w:ascii="Calibri" w:hAnsi="Calibri"/>
          <w:color w:val="231F20"/>
          <w:w w:val="105"/>
        </w:rPr>
        <w:t>were</w:t>
      </w:r>
      <w:r w:rsidRPr="00A23800">
        <w:rPr>
          <w:rFonts w:ascii="Calibri" w:hAnsi="Calibri"/>
          <w:color w:val="231F20"/>
          <w:spacing w:val="10"/>
          <w:w w:val="105"/>
        </w:rPr>
        <w:t xml:space="preserve"> </w:t>
      </w:r>
      <w:r w:rsidRPr="00A23800">
        <w:rPr>
          <w:rFonts w:ascii="Calibri" w:hAnsi="Calibri"/>
          <w:color w:val="231F20"/>
          <w:w w:val="105"/>
        </w:rPr>
        <w:t>used</w:t>
      </w:r>
      <w:r w:rsidRPr="00A23800">
        <w:rPr>
          <w:rFonts w:ascii="Calibri" w:hAnsi="Calibri"/>
          <w:color w:val="231F20"/>
          <w:spacing w:val="10"/>
          <w:w w:val="105"/>
        </w:rPr>
        <w:t xml:space="preserve"> </w:t>
      </w:r>
      <w:r w:rsidRPr="00A23800">
        <w:rPr>
          <w:rFonts w:ascii="Calibri" w:hAnsi="Calibri"/>
          <w:color w:val="231F20"/>
          <w:w w:val="105"/>
        </w:rPr>
        <w:t>to</w:t>
      </w:r>
      <w:r w:rsidRPr="00A23800">
        <w:rPr>
          <w:rFonts w:ascii="Calibri" w:hAnsi="Calibri"/>
          <w:color w:val="231F20"/>
          <w:spacing w:val="10"/>
          <w:w w:val="105"/>
        </w:rPr>
        <w:t xml:space="preserve"> </w:t>
      </w:r>
      <w:r w:rsidRPr="00A23800">
        <w:rPr>
          <w:rFonts w:ascii="Calibri" w:hAnsi="Calibri"/>
          <w:color w:val="231F20"/>
          <w:w w:val="105"/>
        </w:rPr>
        <w:t>pay</w:t>
      </w:r>
      <w:r w:rsidRPr="00A23800">
        <w:rPr>
          <w:rFonts w:ascii="Calibri" w:hAnsi="Calibri"/>
          <w:color w:val="231F20"/>
          <w:spacing w:val="10"/>
          <w:w w:val="105"/>
        </w:rPr>
        <w:t xml:space="preserve"> </w:t>
      </w:r>
      <w:r w:rsidRPr="00A23800">
        <w:rPr>
          <w:rFonts w:ascii="Calibri" w:hAnsi="Calibri"/>
          <w:color w:val="231F20"/>
          <w:w w:val="105"/>
        </w:rPr>
        <w:t>tuition</w:t>
      </w:r>
      <w:r w:rsidRPr="00A23800">
        <w:rPr>
          <w:rFonts w:ascii="Calibri" w:hAnsi="Calibri"/>
          <w:color w:val="231F20"/>
          <w:spacing w:val="10"/>
          <w:w w:val="105"/>
        </w:rPr>
        <w:t xml:space="preserve"> </w:t>
      </w:r>
      <w:r w:rsidRPr="00A23800">
        <w:rPr>
          <w:rFonts w:ascii="Calibri" w:hAnsi="Calibri"/>
          <w:color w:val="231F20"/>
          <w:w w:val="105"/>
        </w:rPr>
        <w:t>for</w:t>
      </w:r>
      <w:r w:rsidRPr="00A23800">
        <w:rPr>
          <w:rFonts w:ascii="Calibri" w:hAnsi="Calibri"/>
          <w:color w:val="231F20"/>
          <w:spacing w:val="11"/>
          <w:w w:val="105"/>
        </w:rPr>
        <w:t xml:space="preserve"> </w:t>
      </w:r>
      <w:r w:rsidRPr="00A23800">
        <w:rPr>
          <w:rFonts w:ascii="Calibri" w:hAnsi="Calibri"/>
          <w:color w:val="231F20"/>
          <w:w w:val="105"/>
        </w:rPr>
        <w:t>individuals</w:t>
      </w:r>
      <w:r w:rsidRPr="00A23800">
        <w:rPr>
          <w:rFonts w:ascii="Calibri" w:hAnsi="Calibri"/>
          <w:color w:val="231F20"/>
          <w:spacing w:val="13"/>
          <w:w w:val="105"/>
        </w:rPr>
        <w:t xml:space="preserve"> </w:t>
      </w:r>
      <w:r w:rsidRPr="00A23800">
        <w:rPr>
          <w:rFonts w:ascii="Calibri" w:hAnsi="Calibri"/>
          <w:color w:val="231F20"/>
          <w:w w:val="105"/>
        </w:rPr>
        <w:t>who</w:t>
      </w:r>
      <w:r w:rsidRPr="00A23800">
        <w:rPr>
          <w:rFonts w:ascii="Calibri" w:hAnsi="Calibri"/>
          <w:color w:val="231F20"/>
          <w:spacing w:val="13"/>
          <w:w w:val="105"/>
        </w:rPr>
        <w:t xml:space="preserve"> </w:t>
      </w:r>
      <w:r w:rsidRPr="00A23800">
        <w:rPr>
          <w:rFonts w:ascii="Calibri" w:hAnsi="Calibri"/>
          <w:color w:val="231F20"/>
          <w:w w:val="105"/>
        </w:rPr>
        <w:t>could</w:t>
      </w:r>
      <w:r w:rsidRPr="00A23800">
        <w:rPr>
          <w:rFonts w:ascii="Calibri" w:hAnsi="Calibri"/>
          <w:color w:val="231F20"/>
          <w:spacing w:val="13"/>
          <w:w w:val="105"/>
        </w:rPr>
        <w:t xml:space="preserve"> </w:t>
      </w:r>
      <w:r w:rsidRPr="00A23800">
        <w:rPr>
          <w:rFonts w:ascii="Calibri" w:hAnsi="Calibri"/>
          <w:color w:val="231F20"/>
          <w:w w:val="105"/>
        </w:rPr>
        <w:t>not</w:t>
      </w:r>
      <w:r w:rsidRPr="00A23800">
        <w:rPr>
          <w:rFonts w:ascii="Calibri" w:hAnsi="Calibri"/>
          <w:color w:val="231F20"/>
          <w:spacing w:val="13"/>
          <w:w w:val="105"/>
        </w:rPr>
        <w:t xml:space="preserve"> </w:t>
      </w:r>
      <w:r w:rsidRPr="00A23800">
        <w:rPr>
          <w:rFonts w:ascii="Calibri" w:hAnsi="Calibri"/>
          <w:color w:val="231F20"/>
          <w:w w:val="105"/>
        </w:rPr>
        <w:t>get</w:t>
      </w:r>
      <w:r w:rsidRPr="00A23800">
        <w:rPr>
          <w:rFonts w:ascii="Calibri" w:hAnsi="Calibri"/>
          <w:color w:val="231F20"/>
          <w:spacing w:val="13"/>
          <w:w w:val="105"/>
        </w:rPr>
        <w:t xml:space="preserve"> </w:t>
      </w:r>
      <w:r w:rsidRPr="00A23800">
        <w:rPr>
          <w:rFonts w:ascii="Calibri" w:hAnsi="Calibri"/>
          <w:color w:val="231F20"/>
          <w:w w:val="105"/>
        </w:rPr>
        <w:t>the</w:t>
      </w:r>
      <w:r w:rsidRPr="00A23800">
        <w:rPr>
          <w:rFonts w:ascii="Calibri" w:hAnsi="Calibri"/>
          <w:color w:val="231F20"/>
          <w:spacing w:val="13"/>
          <w:w w:val="105"/>
        </w:rPr>
        <w:t xml:space="preserve"> </w:t>
      </w:r>
      <w:r w:rsidRPr="00A23800">
        <w:rPr>
          <w:rFonts w:ascii="Calibri" w:hAnsi="Calibri"/>
          <w:color w:val="231F20"/>
          <w:w w:val="105"/>
        </w:rPr>
        <w:t>coursework</w:t>
      </w:r>
      <w:r w:rsidRPr="00A23800">
        <w:rPr>
          <w:rFonts w:ascii="Calibri" w:hAnsi="Calibri"/>
          <w:color w:val="231F20"/>
          <w:spacing w:val="13"/>
          <w:w w:val="105"/>
        </w:rPr>
        <w:t xml:space="preserve"> </w:t>
      </w:r>
      <w:r w:rsidRPr="00A23800">
        <w:rPr>
          <w:rFonts w:ascii="Calibri" w:hAnsi="Calibri"/>
          <w:color w:val="231F20"/>
          <w:w w:val="105"/>
        </w:rPr>
        <w:t>they</w:t>
      </w:r>
      <w:r w:rsidRPr="00A23800">
        <w:rPr>
          <w:rFonts w:ascii="Calibri" w:hAnsi="Calibri"/>
          <w:color w:val="231F20"/>
          <w:spacing w:val="13"/>
          <w:w w:val="105"/>
        </w:rPr>
        <w:t xml:space="preserve"> </w:t>
      </w:r>
      <w:r w:rsidRPr="00A23800">
        <w:rPr>
          <w:rFonts w:ascii="Calibri" w:hAnsi="Calibri"/>
          <w:color w:val="231F20"/>
          <w:w w:val="105"/>
        </w:rPr>
        <w:t>needed</w:t>
      </w:r>
      <w:r w:rsidRPr="00A23800">
        <w:rPr>
          <w:rFonts w:ascii="Calibri" w:hAnsi="Calibri"/>
          <w:color w:val="231F20"/>
          <w:spacing w:val="13"/>
          <w:w w:val="105"/>
        </w:rPr>
        <w:t xml:space="preserve"> </w:t>
      </w:r>
      <w:r w:rsidRPr="00A23800">
        <w:rPr>
          <w:rFonts w:ascii="Calibri" w:hAnsi="Calibri"/>
          <w:color w:val="231F20"/>
          <w:w w:val="105"/>
        </w:rPr>
        <w:t>through</w:t>
      </w:r>
      <w:r w:rsidRPr="00A23800">
        <w:rPr>
          <w:rFonts w:ascii="Calibri" w:hAnsi="Calibri"/>
          <w:color w:val="231F20"/>
          <w:spacing w:val="13"/>
          <w:w w:val="105"/>
        </w:rPr>
        <w:t xml:space="preserve"> </w:t>
      </w:r>
      <w:r w:rsidRPr="00A23800">
        <w:rPr>
          <w:rFonts w:ascii="Calibri" w:hAnsi="Calibri"/>
          <w:color w:val="231F20"/>
          <w:w w:val="105"/>
        </w:rPr>
        <w:t>the</w:t>
      </w:r>
      <w:r w:rsidRPr="00A23800">
        <w:rPr>
          <w:rFonts w:ascii="Calibri" w:hAnsi="Calibri"/>
          <w:color w:val="231F20"/>
          <w:spacing w:val="13"/>
          <w:w w:val="105"/>
        </w:rPr>
        <w:t xml:space="preserve"> </w:t>
      </w:r>
      <w:r w:rsidRPr="00A23800">
        <w:rPr>
          <w:rFonts w:ascii="Calibri" w:hAnsi="Calibri"/>
          <w:color w:val="231F20"/>
          <w:w w:val="105"/>
        </w:rPr>
        <w:t>waiver</w:t>
      </w:r>
      <w:r w:rsidRPr="00A23800">
        <w:rPr>
          <w:rFonts w:ascii="Calibri" w:hAnsi="Calibri"/>
          <w:color w:val="231F20"/>
          <w:spacing w:val="13"/>
          <w:w w:val="105"/>
        </w:rPr>
        <w:t xml:space="preserve"> </w:t>
      </w:r>
      <w:r w:rsidRPr="00A23800">
        <w:rPr>
          <w:rFonts w:ascii="Calibri" w:hAnsi="Calibri"/>
          <w:color w:val="231F20"/>
          <w:w w:val="105"/>
        </w:rPr>
        <w:t>program,</w:t>
      </w:r>
      <w:r w:rsidRPr="00A23800">
        <w:rPr>
          <w:rFonts w:ascii="Calibri" w:hAnsi="Calibri"/>
          <w:color w:val="231F20"/>
          <w:spacing w:val="13"/>
          <w:w w:val="105"/>
        </w:rPr>
        <w:t xml:space="preserve"> </w:t>
      </w:r>
      <w:r w:rsidRPr="00A23800">
        <w:rPr>
          <w:rFonts w:ascii="Calibri" w:hAnsi="Calibri"/>
          <w:color w:val="231F20"/>
          <w:w w:val="105"/>
        </w:rPr>
        <w:t>such</w:t>
      </w:r>
      <w:r w:rsidRPr="00A23800">
        <w:rPr>
          <w:rFonts w:ascii="Calibri" w:hAnsi="Calibri"/>
          <w:color w:val="231F20"/>
          <w:spacing w:val="13"/>
          <w:w w:val="105"/>
        </w:rPr>
        <w:t xml:space="preserve"> </w:t>
      </w:r>
      <w:r w:rsidRPr="00A23800">
        <w:rPr>
          <w:rFonts w:ascii="Calibri" w:hAnsi="Calibri"/>
          <w:color w:val="231F20"/>
          <w:w w:val="105"/>
        </w:rPr>
        <w:t>as</w:t>
      </w:r>
      <w:r w:rsidRPr="00A23800">
        <w:rPr>
          <w:rFonts w:ascii="Calibri" w:hAnsi="Calibri"/>
          <w:color w:val="231F20"/>
          <w:spacing w:val="13"/>
          <w:w w:val="105"/>
        </w:rPr>
        <w:t xml:space="preserve"> </w:t>
      </w:r>
      <w:r w:rsidRPr="00A23800">
        <w:rPr>
          <w:rFonts w:ascii="Calibri" w:hAnsi="Calibri"/>
          <w:color w:val="231F20"/>
          <w:w w:val="105"/>
        </w:rPr>
        <w:t>those</w:t>
      </w:r>
      <w:r w:rsidRPr="00A23800">
        <w:rPr>
          <w:rFonts w:ascii="Calibri" w:hAnsi="Calibri"/>
          <w:color w:val="231F20"/>
          <w:spacing w:val="-27"/>
          <w:w w:val="105"/>
        </w:rPr>
        <w:t xml:space="preserve"> </w:t>
      </w:r>
      <w:r w:rsidRPr="00A23800">
        <w:rPr>
          <w:rFonts w:ascii="Calibri" w:hAnsi="Calibri"/>
          <w:color w:val="231F20"/>
          <w:w w:val="105"/>
        </w:rPr>
        <w:t>who</w:t>
      </w:r>
      <w:r w:rsidRPr="00A23800">
        <w:rPr>
          <w:rFonts w:ascii="Calibri" w:hAnsi="Calibri"/>
          <w:color w:val="231F20"/>
          <w:spacing w:val="8"/>
          <w:w w:val="105"/>
        </w:rPr>
        <w:t xml:space="preserve"> </w:t>
      </w:r>
      <w:r w:rsidRPr="00A23800">
        <w:rPr>
          <w:rFonts w:ascii="Calibri" w:hAnsi="Calibri"/>
          <w:color w:val="231F20"/>
          <w:w w:val="105"/>
        </w:rPr>
        <w:t>do</w:t>
      </w:r>
      <w:r w:rsidRPr="00A23800">
        <w:rPr>
          <w:rFonts w:ascii="Calibri" w:hAnsi="Calibri"/>
          <w:color w:val="231F20"/>
          <w:spacing w:val="8"/>
          <w:w w:val="105"/>
        </w:rPr>
        <w:t xml:space="preserve"> </w:t>
      </w:r>
      <w:r w:rsidRPr="00A23800">
        <w:rPr>
          <w:rFonts w:ascii="Calibri" w:hAnsi="Calibri"/>
          <w:color w:val="231F20"/>
          <w:w w:val="105"/>
        </w:rPr>
        <w:t>not</w:t>
      </w:r>
      <w:r w:rsidRPr="00A23800">
        <w:rPr>
          <w:rFonts w:ascii="Calibri" w:hAnsi="Calibri"/>
          <w:color w:val="231F20"/>
          <w:spacing w:val="8"/>
          <w:w w:val="105"/>
        </w:rPr>
        <w:t xml:space="preserve"> </w:t>
      </w:r>
      <w:r w:rsidRPr="00A23800">
        <w:rPr>
          <w:rFonts w:ascii="Calibri" w:hAnsi="Calibri"/>
          <w:color w:val="231F20"/>
          <w:w w:val="105"/>
        </w:rPr>
        <w:t>live</w:t>
      </w:r>
      <w:r w:rsidRPr="00A23800">
        <w:rPr>
          <w:rFonts w:ascii="Calibri" w:hAnsi="Calibri"/>
          <w:color w:val="231F20"/>
          <w:spacing w:val="8"/>
          <w:w w:val="105"/>
        </w:rPr>
        <w:t xml:space="preserve"> </w:t>
      </w:r>
      <w:r w:rsidRPr="00A23800">
        <w:rPr>
          <w:rFonts w:ascii="Calibri" w:hAnsi="Calibri"/>
          <w:color w:val="231F20"/>
          <w:w w:val="105"/>
        </w:rPr>
        <w:t>near</w:t>
      </w:r>
      <w:r w:rsidRPr="00A23800">
        <w:rPr>
          <w:rFonts w:ascii="Calibri" w:hAnsi="Calibri"/>
          <w:color w:val="231F20"/>
          <w:spacing w:val="8"/>
          <w:w w:val="105"/>
        </w:rPr>
        <w:t xml:space="preserve"> </w:t>
      </w:r>
      <w:r w:rsidRPr="00A23800">
        <w:rPr>
          <w:rFonts w:ascii="Calibri" w:hAnsi="Calibri"/>
          <w:color w:val="231F20"/>
          <w:w w:val="105"/>
        </w:rPr>
        <w:t>a</w:t>
      </w:r>
      <w:r w:rsidRPr="00A23800">
        <w:rPr>
          <w:rFonts w:ascii="Calibri" w:hAnsi="Calibri"/>
          <w:color w:val="231F20"/>
          <w:spacing w:val="8"/>
          <w:w w:val="105"/>
        </w:rPr>
        <w:t xml:space="preserve"> </w:t>
      </w:r>
      <w:r w:rsidRPr="00A23800">
        <w:rPr>
          <w:rFonts w:ascii="Calibri" w:hAnsi="Calibri"/>
          <w:color w:val="231F20"/>
          <w:w w:val="105"/>
        </w:rPr>
        <w:t>public</w:t>
      </w:r>
      <w:r w:rsidRPr="00A23800">
        <w:rPr>
          <w:rFonts w:ascii="Calibri" w:hAnsi="Calibri"/>
          <w:color w:val="231F20"/>
          <w:spacing w:val="8"/>
          <w:w w:val="105"/>
        </w:rPr>
        <w:t xml:space="preserve"> </w:t>
      </w:r>
      <w:r w:rsidRPr="00A23800">
        <w:rPr>
          <w:rFonts w:ascii="Calibri" w:hAnsi="Calibri"/>
          <w:color w:val="231F20"/>
          <w:w w:val="105"/>
        </w:rPr>
        <w:t>university</w:t>
      </w:r>
      <w:r w:rsidRPr="00A23800">
        <w:rPr>
          <w:rFonts w:ascii="Calibri" w:hAnsi="Calibri"/>
          <w:color w:val="231F20"/>
          <w:spacing w:val="8"/>
          <w:w w:val="105"/>
        </w:rPr>
        <w:t xml:space="preserve"> </w:t>
      </w:r>
      <w:r w:rsidRPr="00A23800">
        <w:rPr>
          <w:rFonts w:ascii="Calibri" w:hAnsi="Calibri"/>
          <w:color w:val="231F20"/>
          <w:w w:val="105"/>
        </w:rPr>
        <w:t>or</w:t>
      </w:r>
      <w:r w:rsidRPr="00A23800">
        <w:rPr>
          <w:rFonts w:ascii="Calibri" w:hAnsi="Calibri"/>
          <w:color w:val="231F20"/>
          <w:spacing w:val="8"/>
          <w:w w:val="105"/>
        </w:rPr>
        <w:t xml:space="preserve"> </w:t>
      </w:r>
      <w:r w:rsidRPr="00A23800">
        <w:rPr>
          <w:rFonts w:ascii="Calibri" w:hAnsi="Calibri"/>
          <w:color w:val="231F20"/>
          <w:w w:val="105"/>
        </w:rPr>
        <w:t>who</w:t>
      </w:r>
      <w:r w:rsidRPr="00A23800">
        <w:rPr>
          <w:rFonts w:ascii="Calibri" w:hAnsi="Calibri"/>
          <w:color w:val="231F20"/>
          <w:spacing w:val="8"/>
          <w:w w:val="105"/>
        </w:rPr>
        <w:t xml:space="preserve"> </w:t>
      </w:r>
      <w:r w:rsidRPr="00A23800">
        <w:rPr>
          <w:rFonts w:ascii="Calibri" w:hAnsi="Calibri"/>
          <w:color w:val="231F20"/>
          <w:w w:val="105"/>
        </w:rPr>
        <w:t>otherwise</w:t>
      </w:r>
      <w:r w:rsidRPr="00A23800">
        <w:rPr>
          <w:rFonts w:ascii="Calibri" w:hAnsi="Calibri"/>
          <w:color w:val="231F20"/>
          <w:spacing w:val="8"/>
          <w:w w:val="105"/>
        </w:rPr>
        <w:t xml:space="preserve"> </w:t>
      </w:r>
      <w:r w:rsidRPr="00A23800">
        <w:rPr>
          <w:rFonts w:ascii="Calibri" w:hAnsi="Calibri"/>
          <w:color w:val="231F20"/>
          <w:w w:val="105"/>
        </w:rPr>
        <w:t>cannot</w:t>
      </w:r>
      <w:r w:rsidRPr="00A23800">
        <w:rPr>
          <w:rFonts w:ascii="Calibri" w:hAnsi="Calibri"/>
          <w:color w:val="231F20"/>
          <w:spacing w:val="8"/>
          <w:w w:val="105"/>
        </w:rPr>
        <w:t xml:space="preserve"> </w:t>
      </w:r>
      <w:r w:rsidRPr="00A23800">
        <w:rPr>
          <w:rFonts w:ascii="Calibri" w:hAnsi="Calibri"/>
          <w:color w:val="231F20"/>
          <w:w w:val="105"/>
        </w:rPr>
        <w:t>use</w:t>
      </w:r>
      <w:r w:rsidRPr="00A23800">
        <w:rPr>
          <w:rFonts w:ascii="Calibri" w:hAnsi="Calibri"/>
          <w:color w:val="231F20"/>
          <w:spacing w:val="8"/>
          <w:w w:val="105"/>
        </w:rPr>
        <w:t xml:space="preserve"> </w:t>
      </w:r>
      <w:r w:rsidRPr="00A23800">
        <w:rPr>
          <w:rFonts w:ascii="Calibri" w:hAnsi="Calibri"/>
          <w:color w:val="231F20"/>
          <w:w w:val="105"/>
        </w:rPr>
        <w:t>the</w:t>
      </w:r>
      <w:r w:rsidRPr="00A23800">
        <w:rPr>
          <w:rFonts w:ascii="Calibri" w:hAnsi="Calibri"/>
          <w:color w:val="231F20"/>
          <w:spacing w:val="8"/>
          <w:w w:val="105"/>
        </w:rPr>
        <w:t xml:space="preserve"> </w:t>
      </w:r>
      <w:r w:rsidRPr="00A23800">
        <w:rPr>
          <w:rFonts w:ascii="Calibri" w:hAnsi="Calibri"/>
          <w:color w:val="231F20"/>
          <w:w w:val="105"/>
        </w:rPr>
        <w:t>waiver</w:t>
      </w:r>
      <w:r w:rsidRPr="00A23800">
        <w:rPr>
          <w:rFonts w:ascii="Calibri" w:hAnsi="Calibri"/>
          <w:color w:val="231F20"/>
          <w:spacing w:val="8"/>
          <w:w w:val="105"/>
        </w:rPr>
        <w:t xml:space="preserve"> </w:t>
      </w:r>
      <w:r w:rsidRPr="00A23800">
        <w:rPr>
          <w:rFonts w:ascii="Calibri" w:hAnsi="Calibri"/>
          <w:color w:val="231F20"/>
          <w:w w:val="105"/>
        </w:rPr>
        <w:t>program.</w:t>
      </w:r>
      <w:r w:rsidRPr="00A23800">
        <w:rPr>
          <w:rFonts w:ascii="Calibri" w:hAnsi="Calibri"/>
          <w:color w:val="231F20"/>
          <w:spacing w:val="8"/>
          <w:w w:val="105"/>
        </w:rPr>
        <w:t xml:space="preserve"> </w:t>
      </w:r>
      <w:r w:rsidRPr="00A23800">
        <w:rPr>
          <w:rFonts w:ascii="Calibri" w:hAnsi="Calibri"/>
          <w:color w:val="231F20"/>
          <w:w w:val="105"/>
        </w:rPr>
        <w:t>In-service</w:t>
      </w:r>
      <w:r w:rsidRPr="00A23800">
        <w:rPr>
          <w:rFonts w:ascii="Calibri" w:hAnsi="Calibri"/>
          <w:color w:val="231F20"/>
          <w:spacing w:val="-26"/>
          <w:w w:val="105"/>
        </w:rPr>
        <w:t xml:space="preserve"> </w:t>
      </w:r>
      <w:r w:rsidRPr="00A23800">
        <w:rPr>
          <w:rFonts w:ascii="Calibri" w:hAnsi="Calibri"/>
          <w:color w:val="231F20"/>
          <w:w w:val="105"/>
        </w:rPr>
        <w:t>training</w:t>
      </w:r>
      <w:r w:rsidRPr="00A23800">
        <w:rPr>
          <w:rFonts w:ascii="Calibri" w:hAnsi="Calibri"/>
          <w:color w:val="231F20"/>
          <w:spacing w:val="8"/>
          <w:w w:val="105"/>
        </w:rPr>
        <w:t xml:space="preserve"> </w:t>
      </w:r>
      <w:r w:rsidRPr="00A23800">
        <w:rPr>
          <w:rFonts w:ascii="Calibri" w:hAnsi="Calibri"/>
          <w:color w:val="231F20"/>
          <w:w w:val="105"/>
        </w:rPr>
        <w:t>grant</w:t>
      </w:r>
      <w:r w:rsidRPr="00A23800">
        <w:rPr>
          <w:rFonts w:ascii="Calibri" w:hAnsi="Calibri"/>
          <w:color w:val="231F20"/>
          <w:spacing w:val="8"/>
          <w:w w:val="105"/>
        </w:rPr>
        <w:t xml:space="preserve"> </w:t>
      </w:r>
      <w:r w:rsidRPr="00A23800">
        <w:rPr>
          <w:rFonts w:ascii="Calibri" w:hAnsi="Calibri"/>
          <w:color w:val="231F20"/>
          <w:w w:val="105"/>
        </w:rPr>
        <w:t>funds</w:t>
      </w:r>
      <w:r w:rsidRPr="00A23800">
        <w:rPr>
          <w:rFonts w:ascii="Calibri" w:hAnsi="Calibri"/>
          <w:color w:val="231F20"/>
          <w:spacing w:val="8"/>
          <w:w w:val="105"/>
        </w:rPr>
        <w:t xml:space="preserve"> </w:t>
      </w:r>
      <w:r w:rsidRPr="00A23800">
        <w:rPr>
          <w:rFonts w:ascii="Calibri" w:hAnsi="Calibri"/>
          <w:color w:val="231F20"/>
          <w:w w:val="105"/>
        </w:rPr>
        <w:t>were</w:t>
      </w:r>
      <w:r w:rsidRPr="00A23800">
        <w:rPr>
          <w:rFonts w:ascii="Calibri" w:hAnsi="Calibri"/>
          <w:color w:val="231F20"/>
          <w:spacing w:val="8"/>
          <w:w w:val="105"/>
        </w:rPr>
        <w:t xml:space="preserve"> </w:t>
      </w:r>
      <w:r w:rsidRPr="00A23800">
        <w:rPr>
          <w:rFonts w:ascii="Calibri" w:hAnsi="Calibri"/>
          <w:color w:val="231F20"/>
          <w:w w:val="105"/>
        </w:rPr>
        <w:t>allocated</w:t>
      </w:r>
      <w:r w:rsidRPr="00A23800">
        <w:rPr>
          <w:rFonts w:ascii="Calibri" w:hAnsi="Calibri"/>
          <w:color w:val="231F20"/>
          <w:spacing w:val="8"/>
          <w:w w:val="105"/>
        </w:rPr>
        <w:t xml:space="preserve"> </w:t>
      </w:r>
      <w:r w:rsidRPr="00A23800">
        <w:rPr>
          <w:rFonts w:ascii="Calibri" w:hAnsi="Calibri"/>
          <w:color w:val="231F20"/>
          <w:w w:val="105"/>
        </w:rPr>
        <w:t>for</w:t>
      </w:r>
      <w:r w:rsidRPr="00A23800">
        <w:rPr>
          <w:rFonts w:ascii="Calibri" w:hAnsi="Calibri"/>
          <w:color w:val="231F20"/>
          <w:spacing w:val="8"/>
          <w:w w:val="105"/>
        </w:rPr>
        <w:t xml:space="preserve"> </w:t>
      </w:r>
      <w:r w:rsidRPr="00A23800">
        <w:rPr>
          <w:rFonts w:ascii="Calibri" w:hAnsi="Calibri"/>
          <w:color w:val="231F20"/>
          <w:w w:val="105"/>
        </w:rPr>
        <w:t>textbook</w:t>
      </w:r>
      <w:r w:rsidRPr="00A23800">
        <w:rPr>
          <w:rFonts w:ascii="Calibri" w:hAnsi="Calibri"/>
          <w:color w:val="231F20"/>
          <w:spacing w:val="8"/>
          <w:w w:val="105"/>
        </w:rPr>
        <w:t xml:space="preserve"> </w:t>
      </w:r>
      <w:r w:rsidRPr="00A23800">
        <w:rPr>
          <w:rFonts w:ascii="Calibri" w:hAnsi="Calibri"/>
          <w:color w:val="231F20"/>
          <w:w w:val="105"/>
        </w:rPr>
        <w:t>reimbursement.</w:t>
      </w:r>
      <w:r w:rsidRPr="00A23800">
        <w:rPr>
          <w:rFonts w:ascii="Calibri" w:hAnsi="Calibri"/>
          <w:color w:val="231F20"/>
          <w:spacing w:val="8"/>
          <w:w w:val="105"/>
        </w:rPr>
        <w:t xml:space="preserve"> </w:t>
      </w:r>
      <w:r w:rsidRPr="00A23800">
        <w:rPr>
          <w:rFonts w:ascii="Calibri" w:hAnsi="Calibri"/>
          <w:color w:val="231F20"/>
          <w:w w:val="105"/>
        </w:rPr>
        <w:t>The</w:t>
      </w:r>
      <w:r w:rsidRPr="00A23800">
        <w:rPr>
          <w:rFonts w:ascii="Calibri" w:hAnsi="Calibri"/>
          <w:color w:val="231F20"/>
          <w:spacing w:val="8"/>
          <w:w w:val="105"/>
        </w:rPr>
        <w:t xml:space="preserve"> </w:t>
      </w:r>
      <w:r w:rsidRPr="00A23800">
        <w:rPr>
          <w:rFonts w:ascii="Calibri" w:hAnsi="Calibri"/>
          <w:color w:val="231F20"/>
          <w:w w:val="105"/>
        </w:rPr>
        <w:t>elimination</w:t>
      </w:r>
      <w:r w:rsidRPr="00A23800">
        <w:rPr>
          <w:rFonts w:ascii="Calibri" w:hAnsi="Calibri"/>
          <w:color w:val="231F20"/>
          <w:spacing w:val="8"/>
          <w:w w:val="105"/>
        </w:rPr>
        <w:t xml:space="preserve"> </w:t>
      </w:r>
      <w:r w:rsidRPr="00A23800">
        <w:rPr>
          <w:rFonts w:ascii="Calibri" w:hAnsi="Calibri"/>
          <w:color w:val="231F20"/>
          <w:w w:val="105"/>
        </w:rPr>
        <w:t>of</w:t>
      </w:r>
      <w:r w:rsidRPr="00A23800">
        <w:rPr>
          <w:rFonts w:ascii="Calibri" w:hAnsi="Calibri"/>
          <w:color w:val="231F20"/>
          <w:spacing w:val="8"/>
          <w:w w:val="105"/>
        </w:rPr>
        <w:t xml:space="preserve"> </w:t>
      </w:r>
      <w:r w:rsidRPr="00A23800">
        <w:rPr>
          <w:rFonts w:ascii="Calibri" w:hAnsi="Calibri"/>
          <w:color w:val="231F20"/>
          <w:w w:val="105"/>
        </w:rPr>
        <w:t>the</w:t>
      </w:r>
      <w:r w:rsidRPr="00A23800">
        <w:rPr>
          <w:rFonts w:ascii="Calibri" w:hAnsi="Calibri"/>
          <w:color w:val="231F20"/>
          <w:spacing w:val="8"/>
          <w:w w:val="105"/>
        </w:rPr>
        <w:t xml:space="preserve"> </w:t>
      </w:r>
      <w:r w:rsidRPr="00A23800">
        <w:rPr>
          <w:rFonts w:ascii="Calibri" w:hAnsi="Calibri"/>
          <w:color w:val="231F20"/>
          <w:w w:val="105"/>
        </w:rPr>
        <w:t>in-service</w:t>
      </w:r>
      <w:r w:rsidRPr="00A23800">
        <w:rPr>
          <w:rFonts w:ascii="Calibri" w:hAnsi="Calibri"/>
          <w:color w:val="231F20"/>
          <w:spacing w:val="-36"/>
          <w:w w:val="105"/>
        </w:rPr>
        <w:t xml:space="preserve"> </w:t>
      </w:r>
      <w:r w:rsidRPr="00A23800">
        <w:rPr>
          <w:rFonts w:ascii="Calibri" w:hAnsi="Calibri"/>
          <w:color w:val="231F20"/>
          <w:w w:val="105"/>
        </w:rPr>
        <w:t>training</w:t>
      </w:r>
      <w:r w:rsidRPr="00A23800">
        <w:rPr>
          <w:rFonts w:ascii="Calibri" w:hAnsi="Calibri"/>
          <w:color w:val="231F20"/>
          <w:spacing w:val="9"/>
          <w:w w:val="105"/>
        </w:rPr>
        <w:t xml:space="preserve"> </w:t>
      </w:r>
      <w:r w:rsidRPr="00A23800">
        <w:rPr>
          <w:rFonts w:ascii="Calibri" w:hAnsi="Calibri"/>
          <w:color w:val="231F20"/>
          <w:w w:val="105"/>
        </w:rPr>
        <w:t>grant</w:t>
      </w:r>
      <w:r w:rsidRPr="00A23800">
        <w:rPr>
          <w:rFonts w:ascii="Calibri" w:hAnsi="Calibri"/>
          <w:color w:val="231F20"/>
          <w:spacing w:val="9"/>
          <w:w w:val="105"/>
        </w:rPr>
        <w:t xml:space="preserve"> </w:t>
      </w:r>
      <w:r w:rsidRPr="00A23800">
        <w:rPr>
          <w:rFonts w:ascii="Calibri" w:hAnsi="Calibri"/>
          <w:color w:val="231F20"/>
          <w:w w:val="105"/>
        </w:rPr>
        <w:t>to</w:t>
      </w:r>
      <w:r w:rsidRPr="00A23800">
        <w:rPr>
          <w:rFonts w:ascii="Calibri" w:hAnsi="Calibri"/>
          <w:color w:val="231F20"/>
          <w:spacing w:val="9"/>
          <w:w w:val="105"/>
        </w:rPr>
        <w:t xml:space="preserve"> </w:t>
      </w:r>
      <w:r w:rsidRPr="00A23800">
        <w:rPr>
          <w:rFonts w:ascii="Calibri" w:hAnsi="Calibri"/>
          <w:color w:val="231F20"/>
          <w:w w:val="105"/>
        </w:rPr>
        <w:t>states</w:t>
      </w:r>
      <w:r w:rsidRPr="00A23800">
        <w:rPr>
          <w:rFonts w:ascii="Calibri" w:hAnsi="Calibri"/>
          <w:color w:val="231F20"/>
          <w:spacing w:val="9"/>
          <w:w w:val="105"/>
        </w:rPr>
        <w:t xml:space="preserve"> </w:t>
      </w:r>
      <w:r w:rsidRPr="00A23800">
        <w:rPr>
          <w:rFonts w:ascii="Calibri" w:hAnsi="Calibri"/>
          <w:color w:val="231F20"/>
          <w:w w:val="105"/>
        </w:rPr>
        <w:t>has</w:t>
      </w:r>
      <w:r w:rsidRPr="00A23800">
        <w:rPr>
          <w:rFonts w:ascii="Calibri" w:hAnsi="Calibri"/>
          <w:color w:val="231F20"/>
          <w:spacing w:val="9"/>
          <w:w w:val="105"/>
        </w:rPr>
        <w:t xml:space="preserve"> </w:t>
      </w:r>
      <w:r w:rsidRPr="00A23800">
        <w:rPr>
          <w:rFonts w:ascii="Calibri" w:hAnsi="Calibri"/>
          <w:color w:val="231F20"/>
          <w:w w:val="105"/>
        </w:rPr>
        <w:t>severely</w:t>
      </w:r>
      <w:r w:rsidRPr="00A23800">
        <w:rPr>
          <w:rFonts w:ascii="Calibri" w:hAnsi="Calibri"/>
          <w:color w:val="231F20"/>
          <w:spacing w:val="9"/>
          <w:w w:val="105"/>
        </w:rPr>
        <w:t xml:space="preserve"> </w:t>
      </w:r>
      <w:r w:rsidRPr="00A23800">
        <w:rPr>
          <w:rFonts w:ascii="Calibri" w:hAnsi="Calibri"/>
          <w:color w:val="231F20"/>
          <w:w w:val="105"/>
        </w:rPr>
        <w:t>reduced</w:t>
      </w:r>
      <w:r w:rsidRPr="00A23800">
        <w:rPr>
          <w:rFonts w:ascii="Calibri" w:hAnsi="Calibri"/>
          <w:color w:val="231F20"/>
          <w:spacing w:val="9"/>
          <w:w w:val="105"/>
        </w:rPr>
        <w:t xml:space="preserve"> </w:t>
      </w:r>
      <w:r w:rsidRPr="00A23800">
        <w:rPr>
          <w:rFonts w:ascii="Calibri" w:hAnsi="Calibri"/>
          <w:color w:val="231F20"/>
          <w:spacing w:val="-3"/>
          <w:w w:val="105"/>
        </w:rPr>
        <w:t>VR’s</w:t>
      </w:r>
      <w:r w:rsidRPr="00A23800">
        <w:rPr>
          <w:rFonts w:ascii="Calibri" w:hAnsi="Calibri"/>
          <w:color w:val="231F20"/>
          <w:spacing w:val="9"/>
          <w:w w:val="105"/>
        </w:rPr>
        <w:t xml:space="preserve"> </w:t>
      </w:r>
      <w:r w:rsidRPr="00A23800">
        <w:rPr>
          <w:rFonts w:ascii="Calibri" w:hAnsi="Calibri"/>
          <w:color w:val="231F20"/>
          <w:w w:val="105"/>
        </w:rPr>
        <w:t>ability</w:t>
      </w:r>
      <w:r w:rsidRPr="00A23800">
        <w:rPr>
          <w:rFonts w:ascii="Calibri" w:hAnsi="Calibri"/>
          <w:color w:val="231F20"/>
          <w:spacing w:val="9"/>
          <w:w w:val="105"/>
        </w:rPr>
        <w:t xml:space="preserve"> </w:t>
      </w:r>
      <w:r w:rsidRPr="00A23800">
        <w:rPr>
          <w:rFonts w:ascii="Calibri" w:hAnsi="Calibri"/>
          <w:color w:val="231F20"/>
          <w:w w:val="105"/>
        </w:rPr>
        <w:t>to</w:t>
      </w:r>
      <w:r w:rsidRPr="00A23800">
        <w:rPr>
          <w:rFonts w:ascii="Calibri" w:hAnsi="Calibri"/>
          <w:color w:val="231F20"/>
          <w:spacing w:val="9"/>
          <w:w w:val="105"/>
        </w:rPr>
        <w:t xml:space="preserve"> </w:t>
      </w:r>
      <w:r w:rsidRPr="00A23800">
        <w:rPr>
          <w:rFonts w:ascii="Calibri" w:hAnsi="Calibri"/>
          <w:color w:val="231F20"/>
          <w:w w:val="105"/>
        </w:rPr>
        <w:t>continue</w:t>
      </w:r>
      <w:r w:rsidRPr="00A23800">
        <w:rPr>
          <w:rFonts w:ascii="Calibri" w:hAnsi="Calibri"/>
          <w:color w:val="231F20"/>
          <w:spacing w:val="9"/>
          <w:w w:val="105"/>
        </w:rPr>
        <w:t xml:space="preserve"> </w:t>
      </w:r>
      <w:r w:rsidRPr="00A23800">
        <w:rPr>
          <w:rFonts w:ascii="Calibri" w:hAnsi="Calibri"/>
          <w:color w:val="231F20"/>
          <w:w w:val="105"/>
        </w:rPr>
        <w:t>support</w:t>
      </w:r>
      <w:r w:rsidRPr="00A23800">
        <w:rPr>
          <w:rFonts w:ascii="Calibri" w:hAnsi="Calibri"/>
          <w:color w:val="231F20"/>
          <w:spacing w:val="9"/>
          <w:w w:val="105"/>
        </w:rPr>
        <w:t xml:space="preserve"> </w:t>
      </w:r>
      <w:r w:rsidRPr="00A23800">
        <w:rPr>
          <w:rFonts w:ascii="Calibri" w:hAnsi="Calibri"/>
          <w:color w:val="231F20"/>
          <w:w w:val="105"/>
        </w:rPr>
        <w:t>for</w:t>
      </w:r>
      <w:r w:rsidRPr="00A23800">
        <w:rPr>
          <w:rFonts w:ascii="Calibri" w:hAnsi="Calibri"/>
          <w:color w:val="231F20"/>
          <w:spacing w:val="9"/>
          <w:w w:val="105"/>
        </w:rPr>
        <w:t xml:space="preserve"> </w:t>
      </w:r>
      <w:r w:rsidRPr="00A23800">
        <w:rPr>
          <w:rFonts w:ascii="Calibri" w:hAnsi="Calibri"/>
          <w:color w:val="231F20"/>
          <w:w w:val="105"/>
        </w:rPr>
        <w:t>these</w:t>
      </w:r>
      <w:r w:rsidRPr="00A23800">
        <w:rPr>
          <w:rFonts w:ascii="Calibri" w:hAnsi="Calibri"/>
          <w:color w:val="231F20"/>
          <w:spacing w:val="9"/>
          <w:w w:val="105"/>
        </w:rPr>
        <w:t xml:space="preserve"> </w:t>
      </w:r>
      <w:r w:rsidRPr="00A23800">
        <w:rPr>
          <w:rFonts w:ascii="Calibri" w:hAnsi="Calibri"/>
          <w:color w:val="231F20"/>
          <w:w w:val="105"/>
        </w:rPr>
        <w:t>activities.</w:t>
      </w:r>
      <w:r w:rsidRPr="00A23800">
        <w:rPr>
          <w:rFonts w:ascii="Calibri" w:hAnsi="Calibri"/>
          <w:color w:val="231F20"/>
          <w:spacing w:val="9"/>
          <w:w w:val="105"/>
        </w:rPr>
        <w:t xml:space="preserve"> </w:t>
      </w:r>
      <w:r w:rsidRPr="00A23800">
        <w:rPr>
          <w:rFonts w:ascii="Calibri" w:hAnsi="Calibri"/>
          <w:color w:val="231F20"/>
          <w:w w:val="105"/>
        </w:rPr>
        <w:t>It</w:t>
      </w:r>
      <w:r w:rsidRPr="00A23800">
        <w:rPr>
          <w:rFonts w:ascii="Calibri" w:hAnsi="Calibri"/>
          <w:color w:val="231F20"/>
          <w:spacing w:val="9"/>
          <w:w w:val="105"/>
        </w:rPr>
        <w:t xml:space="preserve"> </w:t>
      </w:r>
      <w:r w:rsidRPr="00A23800">
        <w:rPr>
          <w:rFonts w:ascii="Calibri" w:hAnsi="Calibri"/>
          <w:color w:val="231F20"/>
          <w:w w:val="105"/>
        </w:rPr>
        <w:t>is</w:t>
      </w:r>
      <w:r w:rsidRPr="00A23800">
        <w:rPr>
          <w:rFonts w:ascii="Calibri" w:hAnsi="Calibri"/>
          <w:color w:val="231F20"/>
          <w:spacing w:val="9"/>
          <w:w w:val="105"/>
        </w:rPr>
        <w:t xml:space="preserve"> </w:t>
      </w:r>
      <w:r w:rsidRPr="00A23800">
        <w:rPr>
          <w:rFonts w:ascii="Calibri" w:hAnsi="Calibri"/>
          <w:color w:val="231F20"/>
          <w:w w:val="105"/>
        </w:rPr>
        <w:t>not</w:t>
      </w:r>
      <w:r w:rsidRPr="00A23800">
        <w:rPr>
          <w:rFonts w:ascii="Calibri" w:hAnsi="Calibri"/>
          <w:color w:val="231F20"/>
          <w:spacing w:val="-47"/>
          <w:w w:val="105"/>
        </w:rPr>
        <w:t xml:space="preserve"> </w:t>
      </w:r>
      <w:r w:rsidRPr="00A23800">
        <w:rPr>
          <w:rFonts w:ascii="Calibri" w:hAnsi="Calibri"/>
          <w:color w:val="231F20"/>
          <w:w w:val="105"/>
        </w:rPr>
        <w:t>currently</w:t>
      </w:r>
      <w:r w:rsidRPr="00A23800">
        <w:rPr>
          <w:rFonts w:ascii="Calibri" w:hAnsi="Calibri"/>
          <w:color w:val="231F20"/>
          <w:spacing w:val="9"/>
          <w:w w:val="105"/>
        </w:rPr>
        <w:t xml:space="preserve"> </w:t>
      </w:r>
      <w:r w:rsidRPr="00A23800">
        <w:rPr>
          <w:rFonts w:ascii="Calibri" w:hAnsi="Calibri"/>
          <w:color w:val="231F20"/>
          <w:w w:val="105"/>
        </w:rPr>
        <w:t>clear</w:t>
      </w:r>
      <w:r w:rsidRPr="00A23800">
        <w:rPr>
          <w:rFonts w:ascii="Calibri" w:hAnsi="Calibri"/>
          <w:color w:val="231F20"/>
          <w:spacing w:val="9"/>
          <w:w w:val="105"/>
        </w:rPr>
        <w:t xml:space="preserve"> </w:t>
      </w:r>
      <w:r w:rsidRPr="00A23800">
        <w:rPr>
          <w:rFonts w:ascii="Calibri" w:hAnsi="Calibri"/>
          <w:color w:val="231F20"/>
          <w:w w:val="105"/>
        </w:rPr>
        <w:t>how</w:t>
      </w:r>
      <w:r w:rsidRPr="00A23800">
        <w:rPr>
          <w:rFonts w:ascii="Calibri" w:hAnsi="Calibri"/>
          <w:color w:val="231F20"/>
          <w:spacing w:val="9"/>
          <w:w w:val="105"/>
        </w:rPr>
        <w:t xml:space="preserve"> </w:t>
      </w:r>
      <w:r w:rsidRPr="00A23800">
        <w:rPr>
          <w:rFonts w:ascii="Calibri" w:hAnsi="Calibri"/>
          <w:color w:val="231F20"/>
          <w:w w:val="105"/>
        </w:rPr>
        <w:t>much</w:t>
      </w:r>
      <w:r w:rsidRPr="00A23800">
        <w:rPr>
          <w:rFonts w:ascii="Calibri" w:hAnsi="Calibri"/>
          <w:color w:val="231F20"/>
          <w:spacing w:val="9"/>
          <w:w w:val="105"/>
        </w:rPr>
        <w:t xml:space="preserve"> </w:t>
      </w:r>
      <w:r w:rsidRPr="00A23800">
        <w:rPr>
          <w:rFonts w:ascii="Calibri" w:hAnsi="Calibri"/>
          <w:color w:val="231F20"/>
          <w:w w:val="105"/>
        </w:rPr>
        <w:t>of</w:t>
      </w:r>
      <w:r w:rsidRPr="00A23800">
        <w:rPr>
          <w:rFonts w:ascii="Calibri" w:hAnsi="Calibri"/>
          <w:color w:val="231F20"/>
          <w:spacing w:val="9"/>
          <w:w w:val="105"/>
        </w:rPr>
        <w:t xml:space="preserve"> </w:t>
      </w:r>
      <w:r w:rsidRPr="00A23800">
        <w:rPr>
          <w:rFonts w:ascii="Calibri" w:hAnsi="Calibri"/>
          <w:color w:val="231F20"/>
          <w:w w:val="105"/>
        </w:rPr>
        <w:t>the</w:t>
      </w:r>
      <w:r w:rsidRPr="00A23800">
        <w:rPr>
          <w:rFonts w:ascii="Calibri" w:hAnsi="Calibri"/>
          <w:color w:val="231F20"/>
          <w:spacing w:val="9"/>
          <w:w w:val="105"/>
        </w:rPr>
        <w:t xml:space="preserve"> </w:t>
      </w:r>
      <w:r w:rsidRPr="00A23800">
        <w:rPr>
          <w:rFonts w:ascii="Calibri" w:hAnsi="Calibri"/>
          <w:color w:val="231F20"/>
          <w:w w:val="105"/>
        </w:rPr>
        <w:t>basic</w:t>
      </w:r>
      <w:r w:rsidRPr="00A23800">
        <w:rPr>
          <w:rFonts w:ascii="Calibri" w:hAnsi="Calibri"/>
          <w:color w:val="231F20"/>
          <w:spacing w:val="9"/>
          <w:w w:val="105"/>
        </w:rPr>
        <w:t xml:space="preserve"> </w:t>
      </w:r>
      <w:r w:rsidRPr="00A23800">
        <w:rPr>
          <w:rFonts w:ascii="Calibri" w:hAnsi="Calibri"/>
          <w:color w:val="231F20"/>
          <w:w w:val="105"/>
        </w:rPr>
        <w:t>support</w:t>
      </w:r>
      <w:r w:rsidRPr="00A23800">
        <w:rPr>
          <w:rFonts w:ascii="Calibri" w:hAnsi="Calibri"/>
          <w:color w:val="231F20"/>
          <w:spacing w:val="9"/>
          <w:w w:val="105"/>
        </w:rPr>
        <w:t xml:space="preserve"> </w:t>
      </w:r>
      <w:r w:rsidRPr="00A23800">
        <w:rPr>
          <w:rFonts w:ascii="Calibri" w:hAnsi="Calibri"/>
          <w:color w:val="231F20"/>
          <w:w w:val="105"/>
        </w:rPr>
        <w:t>grant</w:t>
      </w:r>
      <w:r w:rsidRPr="00A23800">
        <w:rPr>
          <w:rFonts w:ascii="Calibri" w:hAnsi="Calibri"/>
          <w:color w:val="231F20"/>
          <w:spacing w:val="9"/>
          <w:w w:val="105"/>
        </w:rPr>
        <w:t xml:space="preserve"> </w:t>
      </w:r>
      <w:r w:rsidRPr="00A23800">
        <w:rPr>
          <w:rFonts w:ascii="Calibri" w:hAnsi="Calibri"/>
          <w:color w:val="231F20"/>
          <w:w w:val="105"/>
        </w:rPr>
        <w:t>will</w:t>
      </w:r>
      <w:r w:rsidRPr="00A23800">
        <w:rPr>
          <w:rFonts w:ascii="Calibri" w:hAnsi="Calibri"/>
          <w:color w:val="231F20"/>
          <w:spacing w:val="9"/>
          <w:w w:val="105"/>
        </w:rPr>
        <w:t xml:space="preserve"> </w:t>
      </w:r>
      <w:r w:rsidRPr="00A23800">
        <w:rPr>
          <w:rFonts w:ascii="Calibri" w:hAnsi="Calibri"/>
          <w:color w:val="231F20"/>
          <w:w w:val="105"/>
        </w:rPr>
        <w:t>be</w:t>
      </w:r>
      <w:r w:rsidRPr="00A23800">
        <w:rPr>
          <w:rFonts w:ascii="Calibri" w:hAnsi="Calibri"/>
          <w:color w:val="231F20"/>
          <w:spacing w:val="9"/>
          <w:w w:val="105"/>
        </w:rPr>
        <w:t xml:space="preserve"> </w:t>
      </w:r>
      <w:r w:rsidRPr="00A23800">
        <w:rPr>
          <w:rFonts w:ascii="Calibri" w:hAnsi="Calibri"/>
          <w:color w:val="231F20"/>
          <w:w w:val="105"/>
        </w:rPr>
        <w:t>available</w:t>
      </w:r>
      <w:r w:rsidRPr="00A23800">
        <w:rPr>
          <w:rFonts w:ascii="Calibri" w:hAnsi="Calibri"/>
          <w:color w:val="231F20"/>
          <w:spacing w:val="9"/>
          <w:w w:val="105"/>
        </w:rPr>
        <w:t xml:space="preserve"> </w:t>
      </w:r>
      <w:r w:rsidRPr="00A23800">
        <w:rPr>
          <w:rFonts w:ascii="Calibri" w:hAnsi="Calibri"/>
          <w:color w:val="231F20"/>
          <w:w w:val="105"/>
        </w:rPr>
        <w:t>for</w:t>
      </w:r>
      <w:r w:rsidRPr="00A23800">
        <w:rPr>
          <w:rFonts w:ascii="Calibri" w:hAnsi="Calibri"/>
          <w:color w:val="231F20"/>
          <w:spacing w:val="9"/>
          <w:w w:val="105"/>
        </w:rPr>
        <w:t xml:space="preserve"> </w:t>
      </w:r>
      <w:r w:rsidRPr="00A23800">
        <w:rPr>
          <w:rFonts w:ascii="Calibri" w:hAnsi="Calibri"/>
          <w:color w:val="231F20"/>
          <w:w w:val="105"/>
        </w:rPr>
        <w:t>this</w:t>
      </w:r>
      <w:r w:rsidRPr="00A23800">
        <w:rPr>
          <w:rFonts w:ascii="Calibri" w:hAnsi="Calibri"/>
          <w:color w:val="231F20"/>
          <w:spacing w:val="9"/>
          <w:w w:val="105"/>
        </w:rPr>
        <w:t xml:space="preserve"> </w:t>
      </w:r>
      <w:r w:rsidRPr="00A23800">
        <w:rPr>
          <w:rFonts w:ascii="Calibri" w:hAnsi="Calibri"/>
          <w:color w:val="231F20"/>
          <w:w w:val="105"/>
        </w:rPr>
        <w:t>kind</w:t>
      </w:r>
      <w:r w:rsidRPr="00A23800">
        <w:rPr>
          <w:rFonts w:ascii="Calibri" w:hAnsi="Calibri"/>
          <w:color w:val="231F20"/>
          <w:spacing w:val="9"/>
          <w:w w:val="105"/>
        </w:rPr>
        <w:t xml:space="preserve"> </w:t>
      </w:r>
      <w:r w:rsidRPr="00A23800">
        <w:rPr>
          <w:rFonts w:ascii="Calibri" w:hAnsi="Calibri"/>
          <w:color w:val="231F20"/>
          <w:w w:val="105"/>
        </w:rPr>
        <w:t>of</w:t>
      </w:r>
      <w:r w:rsidRPr="00A23800">
        <w:rPr>
          <w:rFonts w:ascii="Calibri" w:hAnsi="Calibri"/>
          <w:color w:val="231F20"/>
          <w:spacing w:val="9"/>
          <w:w w:val="105"/>
        </w:rPr>
        <w:t xml:space="preserve"> </w:t>
      </w:r>
      <w:r w:rsidRPr="00A23800">
        <w:rPr>
          <w:rFonts w:ascii="Calibri" w:hAnsi="Calibri"/>
          <w:color w:val="231F20"/>
          <w:w w:val="105"/>
        </w:rPr>
        <w:t>support.</w:t>
      </w:r>
      <w:r w:rsidRPr="00A23800">
        <w:rPr>
          <w:rFonts w:ascii="Calibri" w:hAnsi="Calibri"/>
          <w:color w:val="231F20"/>
          <w:spacing w:val="9"/>
          <w:w w:val="105"/>
        </w:rPr>
        <w:t xml:space="preserve"> </w:t>
      </w:r>
      <w:r w:rsidRPr="00A23800">
        <w:rPr>
          <w:rFonts w:ascii="Calibri" w:hAnsi="Calibri"/>
          <w:color w:val="231F20"/>
          <w:w w:val="105"/>
        </w:rPr>
        <w:t>The</w:t>
      </w:r>
      <w:r w:rsidRPr="00A23800">
        <w:rPr>
          <w:rFonts w:ascii="Calibri" w:hAnsi="Calibri"/>
          <w:color w:val="231F20"/>
          <w:spacing w:val="9"/>
          <w:w w:val="105"/>
        </w:rPr>
        <w:t xml:space="preserve"> </w:t>
      </w:r>
      <w:r>
        <w:rPr>
          <w:rFonts w:ascii="Calibri" w:hAnsi="Calibri"/>
          <w:color w:val="231F20"/>
          <w:w w:val="105"/>
        </w:rPr>
        <w:t>Learning and Development Office</w:t>
      </w:r>
      <w:r w:rsidRPr="00A23800">
        <w:rPr>
          <w:rFonts w:ascii="Calibri" w:hAnsi="Calibri"/>
          <w:color w:val="231F20"/>
          <w:spacing w:val="20"/>
          <w:w w:val="105"/>
        </w:rPr>
        <w:t xml:space="preserve"> </w:t>
      </w:r>
      <w:r w:rsidRPr="00A23800">
        <w:rPr>
          <w:rFonts w:ascii="Calibri" w:hAnsi="Calibri"/>
          <w:color w:val="231F20"/>
          <w:w w:val="105"/>
        </w:rPr>
        <w:t>(</w:t>
      </w:r>
      <w:r>
        <w:rPr>
          <w:rFonts w:ascii="Calibri" w:hAnsi="Calibri"/>
          <w:color w:val="231F20"/>
          <w:w w:val="105"/>
        </w:rPr>
        <w:t>LDO</w:t>
      </w:r>
      <w:r w:rsidRPr="00A23800">
        <w:rPr>
          <w:rFonts w:ascii="Calibri" w:hAnsi="Calibri"/>
          <w:color w:val="231F20"/>
          <w:w w:val="105"/>
        </w:rPr>
        <w:t>)</w:t>
      </w:r>
      <w:r w:rsidRPr="00A23800">
        <w:rPr>
          <w:rFonts w:ascii="Calibri" w:hAnsi="Calibri"/>
          <w:color w:val="231F20"/>
          <w:spacing w:val="20"/>
          <w:w w:val="105"/>
        </w:rPr>
        <w:t xml:space="preserve"> </w:t>
      </w:r>
      <w:r w:rsidRPr="00A23800">
        <w:rPr>
          <w:rFonts w:ascii="Calibri" w:hAnsi="Calibri"/>
          <w:color w:val="231F20"/>
          <w:w w:val="105"/>
        </w:rPr>
        <w:t>has</w:t>
      </w:r>
      <w:r w:rsidRPr="00A23800">
        <w:rPr>
          <w:rFonts w:ascii="Calibri" w:hAnsi="Calibri"/>
          <w:color w:val="231F20"/>
          <w:spacing w:val="20"/>
          <w:w w:val="105"/>
        </w:rPr>
        <w:t xml:space="preserve"> </w:t>
      </w:r>
      <w:r w:rsidRPr="00A23800">
        <w:rPr>
          <w:rFonts w:ascii="Calibri" w:hAnsi="Calibri"/>
          <w:color w:val="231F20"/>
          <w:w w:val="105"/>
        </w:rPr>
        <w:t>implemented</w:t>
      </w:r>
      <w:r w:rsidRPr="00A23800">
        <w:rPr>
          <w:rFonts w:ascii="Calibri" w:hAnsi="Calibri"/>
          <w:color w:val="231F20"/>
          <w:spacing w:val="20"/>
          <w:w w:val="105"/>
        </w:rPr>
        <w:t xml:space="preserve"> </w:t>
      </w:r>
      <w:r w:rsidRPr="00A23800">
        <w:rPr>
          <w:rFonts w:ascii="Calibri" w:hAnsi="Calibri"/>
          <w:color w:val="231F20"/>
          <w:w w:val="105"/>
        </w:rPr>
        <w:t>a</w:t>
      </w:r>
      <w:r w:rsidRPr="00A23800">
        <w:rPr>
          <w:rFonts w:ascii="Calibri" w:hAnsi="Calibri"/>
          <w:color w:val="231F20"/>
          <w:spacing w:val="20"/>
          <w:w w:val="105"/>
        </w:rPr>
        <w:t xml:space="preserve"> </w:t>
      </w:r>
      <w:r w:rsidRPr="00A23800">
        <w:rPr>
          <w:rFonts w:ascii="Calibri" w:hAnsi="Calibri"/>
          <w:color w:val="231F20"/>
          <w:w w:val="105"/>
        </w:rPr>
        <w:t>data</w:t>
      </w:r>
      <w:r w:rsidRPr="00A23800">
        <w:rPr>
          <w:rFonts w:ascii="Calibri" w:hAnsi="Calibri"/>
          <w:color w:val="231F20"/>
          <w:spacing w:val="20"/>
          <w:w w:val="105"/>
        </w:rPr>
        <w:t xml:space="preserve"> </w:t>
      </w:r>
      <w:r w:rsidRPr="00A23800">
        <w:rPr>
          <w:rFonts w:ascii="Calibri" w:hAnsi="Calibri"/>
          <w:color w:val="231F20"/>
          <w:w w:val="105"/>
        </w:rPr>
        <w:t>system</w:t>
      </w:r>
      <w:r w:rsidRPr="00A23800">
        <w:rPr>
          <w:rFonts w:ascii="Calibri" w:hAnsi="Calibri"/>
          <w:color w:val="231F20"/>
          <w:spacing w:val="20"/>
          <w:w w:val="105"/>
        </w:rPr>
        <w:t xml:space="preserve"> </w:t>
      </w:r>
      <w:r w:rsidRPr="00A23800">
        <w:rPr>
          <w:rFonts w:ascii="Calibri" w:hAnsi="Calibri"/>
          <w:color w:val="231F20"/>
          <w:w w:val="105"/>
        </w:rPr>
        <w:t>to</w:t>
      </w:r>
      <w:r w:rsidRPr="00A23800">
        <w:rPr>
          <w:rFonts w:ascii="Calibri" w:hAnsi="Calibri"/>
          <w:color w:val="231F20"/>
          <w:spacing w:val="20"/>
          <w:w w:val="105"/>
        </w:rPr>
        <w:t xml:space="preserve"> </w:t>
      </w:r>
      <w:r w:rsidRPr="00A23800">
        <w:rPr>
          <w:rFonts w:ascii="Calibri" w:hAnsi="Calibri"/>
          <w:color w:val="231F20"/>
          <w:w w:val="105"/>
        </w:rPr>
        <w:t>track</w:t>
      </w:r>
      <w:r w:rsidRPr="00A23800">
        <w:rPr>
          <w:rFonts w:ascii="Calibri" w:hAnsi="Calibri"/>
          <w:color w:val="231F20"/>
          <w:spacing w:val="20"/>
          <w:w w:val="105"/>
        </w:rPr>
        <w:t xml:space="preserve"> </w:t>
      </w:r>
      <w:r w:rsidRPr="00A23800">
        <w:rPr>
          <w:rFonts w:ascii="Calibri" w:hAnsi="Calibri"/>
          <w:color w:val="231F20"/>
          <w:w w:val="105"/>
        </w:rPr>
        <w:t>academic</w:t>
      </w:r>
      <w:r w:rsidRPr="00A23800">
        <w:rPr>
          <w:rFonts w:ascii="Calibri" w:hAnsi="Calibri"/>
          <w:color w:val="231F20"/>
          <w:spacing w:val="20"/>
          <w:w w:val="105"/>
        </w:rPr>
        <w:t xml:space="preserve"> </w:t>
      </w:r>
      <w:r w:rsidRPr="00A23800">
        <w:rPr>
          <w:rFonts w:ascii="Calibri" w:hAnsi="Calibri"/>
          <w:color w:val="231F20"/>
          <w:w w:val="105"/>
        </w:rPr>
        <w:t>classes</w:t>
      </w:r>
      <w:r w:rsidRPr="00A23800">
        <w:rPr>
          <w:rFonts w:ascii="Calibri" w:hAnsi="Calibri"/>
          <w:color w:val="231F20"/>
          <w:spacing w:val="20"/>
          <w:w w:val="105"/>
        </w:rPr>
        <w:t xml:space="preserve"> </w:t>
      </w:r>
      <w:r w:rsidRPr="00A23800">
        <w:rPr>
          <w:rFonts w:ascii="Calibri" w:hAnsi="Calibri"/>
          <w:color w:val="231F20"/>
          <w:w w:val="105"/>
        </w:rPr>
        <w:t>taken</w:t>
      </w:r>
      <w:r w:rsidRPr="00A23800">
        <w:rPr>
          <w:rFonts w:ascii="Calibri" w:hAnsi="Calibri"/>
          <w:color w:val="231F20"/>
          <w:spacing w:val="-22"/>
          <w:w w:val="105"/>
        </w:rPr>
        <w:t xml:space="preserve"> </w:t>
      </w:r>
      <w:r w:rsidRPr="00A23800">
        <w:rPr>
          <w:rFonts w:ascii="Calibri" w:hAnsi="Calibri"/>
          <w:color w:val="231F20"/>
          <w:w w:val="105"/>
        </w:rPr>
        <w:t>and progress toward certification</w:t>
      </w:r>
      <w:r w:rsidRPr="00A23800">
        <w:rPr>
          <w:rFonts w:ascii="Calibri" w:hAnsi="Calibri"/>
          <w:color w:val="231F20"/>
          <w:spacing w:val="31"/>
          <w:w w:val="105"/>
        </w:rPr>
        <w:t xml:space="preserve"> </w:t>
      </w:r>
      <w:r w:rsidRPr="00A23800">
        <w:rPr>
          <w:rFonts w:ascii="Calibri" w:hAnsi="Calibri"/>
          <w:color w:val="231F20"/>
          <w:w w:val="105"/>
        </w:rPr>
        <w:t>eligibility.</w:t>
      </w:r>
    </w:p>
    <w:p w14:paraId="2477895F" w14:textId="77777777" w:rsidR="00A07550" w:rsidRPr="00A23800" w:rsidRDefault="00A07550" w:rsidP="00D63204">
      <w:pPr>
        <w:widowControl w:val="0"/>
        <w:spacing w:before="5" w:after="0" w:line="240" w:lineRule="auto"/>
        <w:ind w:left="107"/>
        <w:rPr>
          <w:rFonts w:ascii="Calibri" w:hAnsi="Calibri" w:cs="Calibri"/>
          <w:sz w:val="16"/>
          <w:szCs w:val="16"/>
        </w:rPr>
      </w:pPr>
    </w:p>
    <w:p w14:paraId="0D248333" w14:textId="65686477" w:rsidR="00A07550" w:rsidRPr="00A23800" w:rsidRDefault="00B200B5" w:rsidP="00D63204">
      <w:pPr>
        <w:widowControl w:val="0"/>
        <w:spacing w:after="0" w:line="240" w:lineRule="auto"/>
        <w:ind w:left="107"/>
        <w:rPr>
          <w:rFonts w:ascii="Calibri" w:hAnsi="Calibri"/>
        </w:rPr>
      </w:pPr>
      <w:r>
        <w:rPr>
          <w:rFonts w:ascii="Calibri" w:hAnsi="Calibri"/>
          <w:color w:val="231F20"/>
          <w:w w:val="105"/>
        </w:rPr>
        <w:t xml:space="preserve">In addition to the Florida public universities </w:t>
      </w:r>
      <w:r w:rsidR="00B315F4">
        <w:rPr>
          <w:rFonts w:ascii="Calibri" w:hAnsi="Calibri"/>
          <w:color w:val="231F20"/>
          <w:w w:val="105"/>
        </w:rPr>
        <w:t xml:space="preserve">referenced above, </w:t>
      </w:r>
      <w:r w:rsidR="00A07550" w:rsidRPr="00A23800">
        <w:rPr>
          <w:rFonts w:ascii="Calibri" w:hAnsi="Calibri"/>
          <w:color w:val="231F20"/>
          <w:w w:val="105"/>
        </w:rPr>
        <w:t>VR</w:t>
      </w:r>
      <w:r w:rsidR="00A07550" w:rsidRPr="00A23800">
        <w:rPr>
          <w:rFonts w:ascii="Calibri" w:hAnsi="Calibri"/>
          <w:color w:val="231F20"/>
          <w:spacing w:val="14"/>
          <w:w w:val="105"/>
        </w:rPr>
        <w:t xml:space="preserve"> </w:t>
      </w:r>
      <w:r w:rsidR="00A07550" w:rsidRPr="00A23800">
        <w:rPr>
          <w:rFonts w:ascii="Calibri" w:hAnsi="Calibri"/>
          <w:color w:val="231F20"/>
          <w:w w:val="105"/>
        </w:rPr>
        <w:t>uses</w:t>
      </w:r>
      <w:r w:rsidR="00A07550" w:rsidRPr="00A23800">
        <w:rPr>
          <w:rFonts w:ascii="Calibri" w:hAnsi="Calibri"/>
          <w:color w:val="231F20"/>
          <w:spacing w:val="14"/>
          <w:w w:val="105"/>
        </w:rPr>
        <w:t xml:space="preserve"> </w:t>
      </w:r>
      <w:r w:rsidR="00A07550" w:rsidRPr="00A23800">
        <w:rPr>
          <w:rFonts w:ascii="Calibri" w:hAnsi="Calibri"/>
          <w:color w:val="231F20"/>
          <w:w w:val="105"/>
        </w:rPr>
        <w:t>the</w:t>
      </w:r>
      <w:r w:rsidR="00A07550" w:rsidRPr="00A23800">
        <w:rPr>
          <w:rFonts w:ascii="Calibri" w:hAnsi="Calibri"/>
          <w:color w:val="231F20"/>
          <w:spacing w:val="14"/>
          <w:w w:val="105"/>
        </w:rPr>
        <w:t xml:space="preserve"> </w:t>
      </w:r>
      <w:r w:rsidR="00A07550" w:rsidRPr="00A23800">
        <w:rPr>
          <w:rFonts w:ascii="Calibri" w:hAnsi="Calibri"/>
          <w:color w:val="231F20"/>
          <w:w w:val="105"/>
        </w:rPr>
        <w:t>resources</w:t>
      </w:r>
      <w:r w:rsidR="00A07550" w:rsidRPr="00A23800">
        <w:rPr>
          <w:rFonts w:ascii="Calibri" w:hAnsi="Calibri"/>
          <w:color w:val="231F20"/>
          <w:spacing w:val="14"/>
          <w:w w:val="105"/>
        </w:rPr>
        <w:t xml:space="preserve"> </w:t>
      </w:r>
      <w:r w:rsidR="00A07550" w:rsidRPr="00A23800">
        <w:rPr>
          <w:rFonts w:ascii="Calibri" w:hAnsi="Calibri"/>
          <w:color w:val="231F20"/>
          <w:w w:val="105"/>
        </w:rPr>
        <w:t>of</w:t>
      </w:r>
      <w:r w:rsidR="00A07550" w:rsidRPr="00A23800">
        <w:rPr>
          <w:rFonts w:ascii="Calibri" w:hAnsi="Calibri"/>
          <w:color w:val="231F20"/>
          <w:spacing w:val="14"/>
          <w:w w:val="105"/>
        </w:rPr>
        <w:t xml:space="preserve"> </w:t>
      </w:r>
      <w:r w:rsidR="00A07550" w:rsidRPr="00A23800">
        <w:rPr>
          <w:rFonts w:ascii="Calibri" w:hAnsi="Calibri"/>
          <w:color w:val="231F20"/>
          <w:w w:val="105"/>
        </w:rPr>
        <w:t>Auburn</w:t>
      </w:r>
      <w:r w:rsidR="00A07550" w:rsidRPr="00A23800">
        <w:rPr>
          <w:rFonts w:ascii="Calibri" w:hAnsi="Calibri"/>
          <w:color w:val="231F20"/>
          <w:spacing w:val="14"/>
          <w:w w:val="105"/>
        </w:rPr>
        <w:t xml:space="preserve"> </w:t>
      </w:r>
      <w:r w:rsidR="00A07550" w:rsidRPr="00A23800">
        <w:rPr>
          <w:rFonts w:ascii="Calibri" w:hAnsi="Calibri"/>
          <w:color w:val="231F20"/>
          <w:w w:val="105"/>
        </w:rPr>
        <w:t>University,</w:t>
      </w:r>
      <w:r w:rsidR="00A07550" w:rsidRPr="00A23800">
        <w:rPr>
          <w:rFonts w:ascii="Calibri" w:hAnsi="Calibri"/>
          <w:color w:val="231F20"/>
          <w:w w:val="92"/>
        </w:rPr>
        <w:t xml:space="preserve"> </w:t>
      </w:r>
      <w:r w:rsidR="00A07550" w:rsidRPr="00A23800">
        <w:rPr>
          <w:rFonts w:ascii="Calibri" w:hAnsi="Calibri"/>
          <w:color w:val="231F20"/>
          <w:w w:val="105"/>
        </w:rPr>
        <w:t>Southern</w:t>
      </w:r>
      <w:r w:rsidR="00A07550" w:rsidRPr="00A23800">
        <w:rPr>
          <w:rFonts w:ascii="Calibri" w:hAnsi="Calibri"/>
          <w:color w:val="231F20"/>
          <w:spacing w:val="6"/>
          <w:w w:val="105"/>
        </w:rPr>
        <w:t xml:space="preserve"> </w:t>
      </w:r>
      <w:r w:rsidR="00A07550" w:rsidRPr="00A23800">
        <w:rPr>
          <w:rFonts w:ascii="Calibri" w:hAnsi="Calibri"/>
          <w:color w:val="231F20"/>
          <w:w w:val="105"/>
        </w:rPr>
        <w:t>University,</w:t>
      </w:r>
      <w:r w:rsidR="00A07550" w:rsidRPr="00A23800">
        <w:rPr>
          <w:rFonts w:ascii="Calibri" w:hAnsi="Calibri"/>
          <w:color w:val="231F20"/>
          <w:spacing w:val="6"/>
          <w:w w:val="105"/>
        </w:rPr>
        <w:t xml:space="preserve"> </w:t>
      </w:r>
      <w:r w:rsidR="00A07550" w:rsidRPr="00A23800">
        <w:rPr>
          <w:rFonts w:ascii="Calibri" w:hAnsi="Calibri"/>
          <w:color w:val="231F20"/>
          <w:w w:val="105"/>
        </w:rPr>
        <w:t>Virginia</w:t>
      </w:r>
      <w:r w:rsidR="00A07550" w:rsidRPr="00A23800">
        <w:rPr>
          <w:rFonts w:ascii="Calibri" w:hAnsi="Calibri"/>
          <w:color w:val="231F20"/>
          <w:spacing w:val="6"/>
          <w:w w:val="105"/>
        </w:rPr>
        <w:t xml:space="preserve"> </w:t>
      </w:r>
      <w:r w:rsidR="00A07550" w:rsidRPr="00A23800">
        <w:rPr>
          <w:rFonts w:ascii="Calibri" w:hAnsi="Calibri"/>
          <w:color w:val="231F20"/>
          <w:w w:val="105"/>
        </w:rPr>
        <w:t>Commonwealth</w:t>
      </w:r>
      <w:r w:rsidR="00A07550" w:rsidRPr="00A23800">
        <w:rPr>
          <w:rFonts w:ascii="Calibri" w:hAnsi="Calibri"/>
          <w:color w:val="231F20"/>
          <w:spacing w:val="6"/>
          <w:w w:val="105"/>
        </w:rPr>
        <w:t xml:space="preserve"> </w:t>
      </w:r>
      <w:r w:rsidR="00A07550" w:rsidRPr="00A23800">
        <w:rPr>
          <w:rFonts w:ascii="Calibri" w:hAnsi="Calibri"/>
          <w:color w:val="231F20"/>
          <w:w w:val="105"/>
        </w:rPr>
        <w:t>University,</w:t>
      </w:r>
      <w:r w:rsidR="00A07550" w:rsidRPr="00A23800">
        <w:rPr>
          <w:rFonts w:ascii="Calibri" w:hAnsi="Calibri"/>
          <w:color w:val="231F20"/>
          <w:spacing w:val="6"/>
          <w:w w:val="105"/>
        </w:rPr>
        <w:t xml:space="preserve"> </w:t>
      </w:r>
      <w:r w:rsidR="00A07550" w:rsidRPr="00A23800">
        <w:rPr>
          <w:rFonts w:ascii="Calibri" w:hAnsi="Calibri"/>
          <w:color w:val="231F20"/>
          <w:w w:val="105"/>
        </w:rPr>
        <w:t>the</w:t>
      </w:r>
      <w:r w:rsidR="00A07550" w:rsidRPr="00A23800">
        <w:rPr>
          <w:rFonts w:ascii="Calibri" w:hAnsi="Calibri"/>
          <w:color w:val="231F20"/>
          <w:spacing w:val="6"/>
          <w:w w:val="105"/>
        </w:rPr>
        <w:t xml:space="preserve"> </w:t>
      </w:r>
      <w:r w:rsidR="00A07550" w:rsidRPr="00A23800">
        <w:rPr>
          <w:rFonts w:ascii="Calibri" w:hAnsi="Calibri"/>
          <w:color w:val="231F20"/>
          <w:w w:val="105"/>
        </w:rPr>
        <w:t>University</w:t>
      </w:r>
      <w:r w:rsidR="00A07550" w:rsidRPr="00A23800">
        <w:rPr>
          <w:rFonts w:ascii="Calibri" w:hAnsi="Calibri"/>
          <w:color w:val="231F20"/>
          <w:spacing w:val="6"/>
          <w:w w:val="105"/>
        </w:rPr>
        <w:t xml:space="preserve"> </w:t>
      </w:r>
      <w:r w:rsidR="00A07550" w:rsidRPr="00A23800">
        <w:rPr>
          <w:rFonts w:ascii="Calibri" w:hAnsi="Calibri"/>
          <w:color w:val="231F20"/>
          <w:w w:val="105"/>
        </w:rPr>
        <w:t>of</w:t>
      </w:r>
      <w:r w:rsidR="00A07550" w:rsidRPr="00A23800">
        <w:rPr>
          <w:rFonts w:ascii="Calibri" w:hAnsi="Calibri"/>
          <w:color w:val="231F20"/>
          <w:spacing w:val="6"/>
          <w:w w:val="105"/>
        </w:rPr>
        <w:t xml:space="preserve"> </w:t>
      </w:r>
      <w:r w:rsidR="00A07550" w:rsidRPr="00A23800">
        <w:rPr>
          <w:rFonts w:ascii="Calibri" w:hAnsi="Calibri"/>
          <w:color w:val="231F20"/>
          <w:spacing w:val="-3"/>
          <w:w w:val="105"/>
        </w:rPr>
        <w:t>Kentucky,</w:t>
      </w:r>
      <w:r w:rsidR="00A07550" w:rsidRPr="00A23800">
        <w:rPr>
          <w:rFonts w:ascii="Calibri" w:hAnsi="Calibri"/>
          <w:color w:val="231F20"/>
          <w:spacing w:val="6"/>
          <w:w w:val="105"/>
        </w:rPr>
        <w:t xml:space="preserve"> </w:t>
      </w:r>
      <w:r w:rsidR="00A07550" w:rsidRPr="00A23800">
        <w:rPr>
          <w:rFonts w:ascii="Calibri" w:hAnsi="Calibri"/>
          <w:color w:val="231F20"/>
          <w:w w:val="105"/>
        </w:rPr>
        <w:t>the</w:t>
      </w:r>
      <w:r w:rsidR="00A07550" w:rsidRPr="00A23800">
        <w:rPr>
          <w:rFonts w:ascii="Calibri" w:hAnsi="Calibri"/>
          <w:color w:val="231F20"/>
          <w:spacing w:val="6"/>
          <w:w w:val="105"/>
        </w:rPr>
        <w:t xml:space="preserve"> </w:t>
      </w:r>
      <w:r w:rsidR="00A07550" w:rsidRPr="00A23800">
        <w:rPr>
          <w:rFonts w:ascii="Calibri" w:hAnsi="Calibri"/>
          <w:color w:val="231F20"/>
          <w:w w:val="105"/>
        </w:rPr>
        <w:t>University</w:t>
      </w:r>
      <w:r w:rsidR="00A07550" w:rsidRPr="00A23800">
        <w:rPr>
          <w:rFonts w:ascii="Calibri" w:hAnsi="Calibri"/>
          <w:color w:val="231F20"/>
          <w:spacing w:val="6"/>
          <w:w w:val="105"/>
        </w:rPr>
        <w:t xml:space="preserve"> </w:t>
      </w:r>
      <w:r w:rsidR="00A07550" w:rsidRPr="00A23800">
        <w:rPr>
          <w:rFonts w:ascii="Calibri" w:hAnsi="Calibri"/>
          <w:color w:val="231F20"/>
          <w:w w:val="105"/>
        </w:rPr>
        <w:t>of</w:t>
      </w:r>
      <w:r w:rsidR="00A07550" w:rsidRPr="00A23800">
        <w:rPr>
          <w:rFonts w:ascii="Calibri" w:hAnsi="Calibri"/>
          <w:color w:val="231F20"/>
          <w:spacing w:val="-30"/>
          <w:w w:val="105"/>
        </w:rPr>
        <w:t xml:space="preserve"> </w:t>
      </w:r>
      <w:r w:rsidR="00A07550" w:rsidRPr="00A23800">
        <w:rPr>
          <w:rFonts w:ascii="Calibri" w:hAnsi="Calibri"/>
          <w:color w:val="231F20"/>
          <w:w w:val="105"/>
        </w:rPr>
        <w:t>Arkansas-Little</w:t>
      </w:r>
      <w:r w:rsidR="00A07550" w:rsidRPr="00A23800">
        <w:rPr>
          <w:rFonts w:ascii="Calibri" w:hAnsi="Calibri"/>
          <w:color w:val="231F20"/>
          <w:spacing w:val="7"/>
          <w:w w:val="105"/>
        </w:rPr>
        <w:t xml:space="preserve"> </w:t>
      </w:r>
      <w:r w:rsidR="00A07550" w:rsidRPr="00A23800">
        <w:rPr>
          <w:rFonts w:ascii="Calibri" w:hAnsi="Calibri"/>
          <w:color w:val="231F20"/>
          <w:w w:val="105"/>
        </w:rPr>
        <w:t>Rock,</w:t>
      </w:r>
      <w:r w:rsidR="00A07550" w:rsidRPr="00A23800">
        <w:rPr>
          <w:rFonts w:ascii="Calibri" w:hAnsi="Calibri"/>
          <w:color w:val="231F20"/>
          <w:spacing w:val="7"/>
          <w:w w:val="105"/>
        </w:rPr>
        <w:t xml:space="preserve"> </w:t>
      </w:r>
      <w:r w:rsidR="00A07550" w:rsidRPr="00A23800">
        <w:rPr>
          <w:rFonts w:ascii="Calibri" w:hAnsi="Calibri"/>
          <w:color w:val="231F20"/>
          <w:w w:val="105"/>
        </w:rPr>
        <w:t>the</w:t>
      </w:r>
      <w:r w:rsidR="00A07550" w:rsidRPr="00A23800">
        <w:rPr>
          <w:rFonts w:ascii="Calibri" w:hAnsi="Calibri"/>
          <w:color w:val="231F20"/>
          <w:spacing w:val="7"/>
          <w:w w:val="105"/>
        </w:rPr>
        <w:t xml:space="preserve"> </w:t>
      </w:r>
      <w:r w:rsidR="00A07550" w:rsidRPr="00A23800">
        <w:rPr>
          <w:rFonts w:ascii="Calibri" w:hAnsi="Calibri"/>
          <w:color w:val="231F20"/>
          <w:w w:val="105"/>
        </w:rPr>
        <w:t>University</w:t>
      </w:r>
      <w:r w:rsidR="00A07550" w:rsidRPr="00A23800">
        <w:rPr>
          <w:rFonts w:ascii="Calibri" w:hAnsi="Calibri"/>
          <w:color w:val="231F20"/>
          <w:spacing w:val="7"/>
          <w:w w:val="105"/>
        </w:rPr>
        <w:t xml:space="preserve"> </w:t>
      </w:r>
      <w:r w:rsidR="00A07550" w:rsidRPr="00A23800">
        <w:rPr>
          <w:rFonts w:ascii="Calibri" w:hAnsi="Calibri"/>
          <w:color w:val="231F20"/>
          <w:w w:val="105"/>
        </w:rPr>
        <w:t>of</w:t>
      </w:r>
      <w:r w:rsidR="00A07550" w:rsidRPr="00A23800">
        <w:rPr>
          <w:rFonts w:ascii="Calibri" w:hAnsi="Calibri"/>
          <w:color w:val="231F20"/>
          <w:spacing w:val="7"/>
          <w:w w:val="105"/>
        </w:rPr>
        <w:t xml:space="preserve"> </w:t>
      </w:r>
      <w:r w:rsidR="00A07550" w:rsidRPr="00A23800">
        <w:rPr>
          <w:rFonts w:ascii="Calibri" w:hAnsi="Calibri"/>
          <w:color w:val="231F20"/>
          <w:spacing w:val="-3"/>
          <w:w w:val="105"/>
        </w:rPr>
        <w:t>West</w:t>
      </w:r>
      <w:r w:rsidR="00A07550" w:rsidRPr="00A23800">
        <w:rPr>
          <w:rFonts w:ascii="Calibri" w:hAnsi="Calibri"/>
          <w:color w:val="231F20"/>
          <w:spacing w:val="7"/>
          <w:w w:val="105"/>
        </w:rPr>
        <w:t xml:space="preserve"> </w:t>
      </w:r>
      <w:r w:rsidR="00A07550" w:rsidRPr="00A23800">
        <w:rPr>
          <w:rFonts w:ascii="Calibri" w:hAnsi="Calibri"/>
          <w:color w:val="231F20"/>
          <w:w w:val="105"/>
        </w:rPr>
        <w:t>Virginia</w:t>
      </w:r>
      <w:r w:rsidR="00D5537E">
        <w:rPr>
          <w:rFonts w:ascii="Calibri" w:hAnsi="Calibri"/>
          <w:color w:val="231F20"/>
          <w:w w:val="105"/>
        </w:rPr>
        <w:t xml:space="preserve"> and</w:t>
      </w:r>
      <w:r w:rsidR="00A07550" w:rsidRPr="00A23800">
        <w:rPr>
          <w:rFonts w:ascii="Calibri" w:hAnsi="Calibri"/>
          <w:color w:val="231F20"/>
          <w:spacing w:val="7"/>
          <w:w w:val="105"/>
        </w:rPr>
        <w:t xml:space="preserve"> </w:t>
      </w:r>
      <w:r w:rsidR="00A07550" w:rsidRPr="00A23800">
        <w:rPr>
          <w:rFonts w:ascii="Calibri" w:hAnsi="Calibri"/>
          <w:color w:val="231F20"/>
          <w:w w:val="105"/>
        </w:rPr>
        <w:t>the</w:t>
      </w:r>
      <w:r w:rsidR="00A07550" w:rsidRPr="00A23800">
        <w:rPr>
          <w:rFonts w:ascii="Calibri" w:hAnsi="Calibri"/>
          <w:color w:val="231F20"/>
          <w:spacing w:val="7"/>
          <w:w w:val="105"/>
        </w:rPr>
        <w:t xml:space="preserve"> </w:t>
      </w:r>
      <w:r w:rsidR="00A07550" w:rsidRPr="00A23800">
        <w:rPr>
          <w:rFonts w:ascii="Calibri" w:hAnsi="Calibri"/>
          <w:color w:val="231F20"/>
          <w:w w:val="105"/>
        </w:rPr>
        <w:t>University</w:t>
      </w:r>
      <w:r w:rsidR="00A07550" w:rsidRPr="00A23800">
        <w:rPr>
          <w:rFonts w:ascii="Calibri" w:hAnsi="Calibri"/>
          <w:color w:val="231F20"/>
          <w:spacing w:val="7"/>
          <w:w w:val="105"/>
        </w:rPr>
        <w:t xml:space="preserve"> </w:t>
      </w:r>
      <w:r w:rsidR="00A07550" w:rsidRPr="00A23800">
        <w:rPr>
          <w:rFonts w:ascii="Calibri" w:hAnsi="Calibri"/>
          <w:color w:val="231F20"/>
          <w:w w:val="105"/>
        </w:rPr>
        <w:t>of</w:t>
      </w:r>
      <w:r w:rsidR="00A07550" w:rsidRPr="00A23800">
        <w:rPr>
          <w:rFonts w:ascii="Calibri" w:hAnsi="Calibri"/>
          <w:color w:val="231F20"/>
          <w:spacing w:val="7"/>
          <w:w w:val="105"/>
        </w:rPr>
        <w:t xml:space="preserve"> </w:t>
      </w:r>
      <w:r w:rsidR="00A07550" w:rsidRPr="00A23800">
        <w:rPr>
          <w:rFonts w:ascii="Calibri" w:hAnsi="Calibri"/>
          <w:color w:val="231F20"/>
          <w:w w:val="105"/>
        </w:rPr>
        <w:t>Wisconsin-Stout,</w:t>
      </w:r>
      <w:r w:rsidR="00A07550" w:rsidRPr="00A23800">
        <w:rPr>
          <w:rFonts w:ascii="Calibri" w:hAnsi="Calibri"/>
          <w:color w:val="231F20"/>
          <w:spacing w:val="7"/>
          <w:w w:val="105"/>
        </w:rPr>
        <w:t xml:space="preserve"> </w:t>
      </w:r>
      <w:r w:rsidR="00A07550" w:rsidRPr="00A23800">
        <w:rPr>
          <w:rFonts w:ascii="Calibri" w:hAnsi="Calibri"/>
          <w:color w:val="231F20"/>
          <w:w w:val="105"/>
        </w:rPr>
        <w:t>all</w:t>
      </w:r>
      <w:r w:rsidR="00A07550" w:rsidRPr="00A23800">
        <w:rPr>
          <w:rFonts w:ascii="Calibri" w:hAnsi="Calibri"/>
          <w:color w:val="231F20"/>
          <w:spacing w:val="7"/>
          <w:w w:val="105"/>
        </w:rPr>
        <w:t xml:space="preserve"> </w:t>
      </w:r>
      <w:r w:rsidR="00A07550" w:rsidRPr="00A23800">
        <w:rPr>
          <w:rFonts w:ascii="Calibri" w:hAnsi="Calibri"/>
          <w:color w:val="231F20"/>
          <w:w w:val="105"/>
        </w:rPr>
        <w:t>of</w:t>
      </w:r>
      <w:r w:rsidR="00A07550" w:rsidRPr="00A23800">
        <w:rPr>
          <w:rFonts w:ascii="Calibri" w:hAnsi="Calibri"/>
          <w:color w:val="231F20"/>
          <w:spacing w:val="7"/>
          <w:w w:val="105"/>
        </w:rPr>
        <w:t xml:space="preserve"> </w:t>
      </w:r>
      <w:r w:rsidR="00A07550" w:rsidRPr="00A23800">
        <w:rPr>
          <w:rFonts w:ascii="Calibri" w:hAnsi="Calibri"/>
          <w:color w:val="231F20"/>
          <w:w w:val="105"/>
        </w:rPr>
        <w:t>whom</w:t>
      </w:r>
      <w:r w:rsidR="00A07550" w:rsidRPr="00A23800">
        <w:rPr>
          <w:rFonts w:ascii="Calibri" w:hAnsi="Calibri"/>
          <w:color w:val="231F20"/>
          <w:spacing w:val="-33"/>
          <w:w w:val="105"/>
        </w:rPr>
        <w:t xml:space="preserve"> </w:t>
      </w:r>
      <w:r w:rsidR="00A07550" w:rsidRPr="00A23800">
        <w:rPr>
          <w:rFonts w:ascii="Calibri" w:hAnsi="Calibri"/>
          <w:color w:val="231F20"/>
          <w:w w:val="105"/>
        </w:rPr>
        <w:t>provide</w:t>
      </w:r>
      <w:r w:rsidR="00A07550" w:rsidRPr="00A23800">
        <w:rPr>
          <w:rFonts w:ascii="Calibri" w:hAnsi="Calibri"/>
          <w:color w:val="231F20"/>
          <w:spacing w:val="14"/>
          <w:w w:val="105"/>
        </w:rPr>
        <w:t xml:space="preserve"> </w:t>
      </w:r>
      <w:r w:rsidR="00A07550" w:rsidRPr="00A23800">
        <w:rPr>
          <w:rFonts w:ascii="Calibri" w:hAnsi="Calibri"/>
          <w:color w:val="231F20"/>
          <w:w w:val="105"/>
        </w:rPr>
        <w:t>online</w:t>
      </w:r>
      <w:r w:rsidR="00A07550" w:rsidRPr="00A23800">
        <w:rPr>
          <w:rFonts w:ascii="Calibri" w:hAnsi="Calibri"/>
          <w:color w:val="231F20"/>
          <w:spacing w:val="14"/>
          <w:w w:val="105"/>
        </w:rPr>
        <w:t xml:space="preserve"> </w:t>
      </w:r>
      <w:r w:rsidR="00A07550" w:rsidRPr="00A23800">
        <w:rPr>
          <w:rFonts w:ascii="Calibri" w:hAnsi="Calibri"/>
          <w:color w:val="231F20"/>
          <w:w w:val="105"/>
        </w:rPr>
        <w:t>Masters-level</w:t>
      </w:r>
      <w:r w:rsidR="00A07550" w:rsidRPr="00A23800">
        <w:rPr>
          <w:rFonts w:ascii="Calibri" w:hAnsi="Calibri"/>
          <w:color w:val="231F20"/>
          <w:spacing w:val="14"/>
          <w:w w:val="105"/>
        </w:rPr>
        <w:t xml:space="preserve"> </w:t>
      </w:r>
      <w:r w:rsidR="00A07550" w:rsidRPr="00A23800">
        <w:rPr>
          <w:rFonts w:ascii="Calibri" w:hAnsi="Calibri"/>
          <w:color w:val="231F20"/>
          <w:w w:val="105"/>
        </w:rPr>
        <w:t>rehabilitation</w:t>
      </w:r>
      <w:r w:rsidR="00A07550" w:rsidRPr="00A23800">
        <w:rPr>
          <w:rFonts w:ascii="Calibri" w:hAnsi="Calibri"/>
          <w:color w:val="231F20"/>
          <w:spacing w:val="14"/>
          <w:w w:val="105"/>
        </w:rPr>
        <w:t xml:space="preserve"> </w:t>
      </w:r>
      <w:r w:rsidR="00A07550" w:rsidRPr="00A23800">
        <w:rPr>
          <w:rFonts w:ascii="Calibri" w:hAnsi="Calibri"/>
          <w:color w:val="231F20"/>
          <w:w w:val="105"/>
        </w:rPr>
        <w:t>programs.</w:t>
      </w:r>
      <w:r w:rsidR="00A07550" w:rsidRPr="00A23800">
        <w:rPr>
          <w:rFonts w:ascii="Calibri" w:hAnsi="Calibri"/>
          <w:color w:val="231F20"/>
          <w:spacing w:val="14"/>
          <w:w w:val="105"/>
        </w:rPr>
        <w:t xml:space="preserve"> </w:t>
      </w:r>
      <w:r w:rsidR="00A07550" w:rsidRPr="00A23800">
        <w:rPr>
          <w:rFonts w:ascii="Calibri" w:hAnsi="Calibri"/>
          <w:color w:val="231F20"/>
          <w:w w:val="105"/>
        </w:rPr>
        <w:t>VR</w:t>
      </w:r>
      <w:r w:rsidR="00B315F4">
        <w:rPr>
          <w:rFonts w:ascii="Calibri" w:hAnsi="Calibri"/>
          <w:color w:val="231F20"/>
          <w:w w:val="105"/>
        </w:rPr>
        <w:t xml:space="preserve"> also</w:t>
      </w:r>
      <w:r w:rsidR="00A07550" w:rsidRPr="00A23800">
        <w:rPr>
          <w:rFonts w:ascii="Calibri" w:hAnsi="Calibri"/>
          <w:color w:val="231F20"/>
          <w:spacing w:val="13"/>
          <w:w w:val="105"/>
        </w:rPr>
        <w:t xml:space="preserve"> </w:t>
      </w:r>
      <w:r w:rsidR="00A07550" w:rsidRPr="00A23800">
        <w:rPr>
          <w:rFonts w:ascii="Calibri" w:hAnsi="Calibri"/>
          <w:color w:val="231F20"/>
          <w:w w:val="105"/>
        </w:rPr>
        <w:t>uses</w:t>
      </w:r>
      <w:r w:rsidR="00A07550" w:rsidRPr="00A23800">
        <w:rPr>
          <w:rFonts w:ascii="Calibri" w:hAnsi="Calibri"/>
          <w:color w:val="231F20"/>
          <w:spacing w:val="14"/>
          <w:w w:val="105"/>
        </w:rPr>
        <w:t xml:space="preserve"> </w:t>
      </w:r>
      <w:r w:rsidR="00A07550" w:rsidRPr="00A23800">
        <w:rPr>
          <w:rFonts w:ascii="Calibri" w:hAnsi="Calibri"/>
          <w:color w:val="231F20"/>
          <w:w w:val="105"/>
        </w:rPr>
        <w:t>the</w:t>
      </w:r>
      <w:r w:rsidR="00A07550" w:rsidRPr="00A23800">
        <w:rPr>
          <w:rFonts w:ascii="Calibri" w:hAnsi="Calibri"/>
          <w:color w:val="231F20"/>
          <w:spacing w:val="14"/>
          <w:w w:val="105"/>
        </w:rPr>
        <w:t xml:space="preserve"> </w:t>
      </w:r>
      <w:r w:rsidR="00A07550" w:rsidRPr="00A23800">
        <w:rPr>
          <w:rFonts w:ascii="Calibri" w:hAnsi="Calibri"/>
          <w:color w:val="231F20"/>
          <w:w w:val="105"/>
        </w:rPr>
        <w:t>resources</w:t>
      </w:r>
      <w:r w:rsidR="00A07550" w:rsidRPr="00A23800">
        <w:rPr>
          <w:rFonts w:ascii="Calibri" w:hAnsi="Calibri"/>
          <w:color w:val="231F20"/>
          <w:spacing w:val="14"/>
          <w:w w:val="105"/>
        </w:rPr>
        <w:t xml:space="preserve"> </w:t>
      </w:r>
      <w:r w:rsidR="00A07550" w:rsidRPr="00A23800">
        <w:rPr>
          <w:rFonts w:ascii="Calibri" w:hAnsi="Calibri"/>
          <w:color w:val="231F20"/>
          <w:w w:val="105"/>
        </w:rPr>
        <w:t>of</w:t>
      </w:r>
      <w:r w:rsidR="00A07550" w:rsidRPr="00A23800">
        <w:rPr>
          <w:rFonts w:ascii="Calibri" w:hAnsi="Calibri"/>
          <w:color w:val="231F20"/>
          <w:spacing w:val="14"/>
          <w:w w:val="105"/>
        </w:rPr>
        <w:t xml:space="preserve"> </w:t>
      </w:r>
      <w:r w:rsidR="00A07550" w:rsidRPr="00A23800">
        <w:rPr>
          <w:rFonts w:ascii="Calibri" w:hAnsi="Calibri"/>
          <w:color w:val="231F20"/>
          <w:w w:val="105"/>
        </w:rPr>
        <w:t>the</w:t>
      </w:r>
      <w:r w:rsidR="00A07550" w:rsidRPr="00A23800">
        <w:rPr>
          <w:rFonts w:ascii="Calibri" w:hAnsi="Calibri"/>
          <w:color w:val="231F20"/>
          <w:spacing w:val="14"/>
          <w:w w:val="105"/>
        </w:rPr>
        <w:t xml:space="preserve"> </w:t>
      </w:r>
      <w:r w:rsidR="00A07550" w:rsidRPr="00A23800">
        <w:rPr>
          <w:rFonts w:ascii="Calibri" w:hAnsi="Calibri"/>
          <w:color w:val="231F20"/>
          <w:w w:val="105"/>
        </w:rPr>
        <w:t>University</w:t>
      </w:r>
      <w:r w:rsidR="00A07550" w:rsidRPr="00A23800">
        <w:rPr>
          <w:rFonts w:ascii="Calibri" w:hAnsi="Calibri"/>
          <w:color w:val="231F20"/>
          <w:spacing w:val="14"/>
          <w:w w:val="105"/>
        </w:rPr>
        <w:t xml:space="preserve"> </w:t>
      </w:r>
      <w:r w:rsidR="00A07550" w:rsidRPr="00A23800">
        <w:rPr>
          <w:rFonts w:ascii="Calibri" w:hAnsi="Calibri"/>
          <w:color w:val="231F20"/>
          <w:w w:val="105"/>
        </w:rPr>
        <w:t>of</w:t>
      </w:r>
      <w:r w:rsidR="00E34567">
        <w:rPr>
          <w:rFonts w:ascii="Calibri" w:hAnsi="Calibri"/>
          <w:color w:val="231F20"/>
          <w:w w:val="105"/>
        </w:rPr>
        <w:t xml:space="preserve"> </w:t>
      </w:r>
      <w:r w:rsidR="00A07550" w:rsidRPr="00A23800">
        <w:rPr>
          <w:rFonts w:ascii="Calibri" w:hAnsi="Calibri"/>
          <w:color w:val="231F20"/>
          <w:w w:val="105"/>
        </w:rPr>
        <w:t>North</w:t>
      </w:r>
      <w:r w:rsidR="00A07550" w:rsidRPr="00A23800">
        <w:rPr>
          <w:rFonts w:ascii="Calibri" w:hAnsi="Calibri"/>
          <w:color w:val="231F20"/>
          <w:spacing w:val="16"/>
          <w:w w:val="105"/>
        </w:rPr>
        <w:t xml:space="preserve"> </w:t>
      </w:r>
      <w:r w:rsidR="00A07550" w:rsidRPr="00A23800">
        <w:rPr>
          <w:rFonts w:ascii="Calibri" w:hAnsi="Calibri"/>
          <w:color w:val="231F20"/>
          <w:spacing w:val="-5"/>
          <w:w w:val="105"/>
        </w:rPr>
        <w:t>Texas</w:t>
      </w:r>
      <w:r w:rsidR="00A07550" w:rsidRPr="00A23800">
        <w:rPr>
          <w:rFonts w:ascii="Calibri" w:hAnsi="Calibri"/>
          <w:color w:val="231F20"/>
          <w:spacing w:val="16"/>
          <w:w w:val="105"/>
        </w:rPr>
        <w:t xml:space="preserve"> </w:t>
      </w:r>
      <w:r w:rsidR="00A07550" w:rsidRPr="00A23800">
        <w:rPr>
          <w:rFonts w:ascii="Calibri" w:hAnsi="Calibri"/>
          <w:color w:val="231F20"/>
          <w:w w:val="105"/>
        </w:rPr>
        <w:t>and</w:t>
      </w:r>
      <w:r w:rsidR="00A07550" w:rsidRPr="00A23800">
        <w:rPr>
          <w:rFonts w:ascii="Calibri" w:hAnsi="Calibri"/>
          <w:color w:val="231F20"/>
          <w:spacing w:val="16"/>
          <w:w w:val="105"/>
        </w:rPr>
        <w:t xml:space="preserve"> </w:t>
      </w:r>
      <w:r w:rsidR="00A07550" w:rsidRPr="00A23800">
        <w:rPr>
          <w:rFonts w:ascii="Calibri" w:hAnsi="Calibri"/>
          <w:color w:val="231F20"/>
          <w:w w:val="105"/>
        </w:rPr>
        <w:t>San</w:t>
      </w:r>
      <w:r w:rsidR="00A07550" w:rsidRPr="00A23800">
        <w:rPr>
          <w:rFonts w:ascii="Calibri" w:hAnsi="Calibri"/>
          <w:color w:val="231F20"/>
          <w:spacing w:val="16"/>
          <w:w w:val="105"/>
        </w:rPr>
        <w:t xml:space="preserve"> </w:t>
      </w:r>
      <w:r w:rsidR="00A07550" w:rsidRPr="00A23800">
        <w:rPr>
          <w:rFonts w:ascii="Calibri" w:hAnsi="Calibri"/>
          <w:color w:val="231F20"/>
          <w:w w:val="105"/>
        </w:rPr>
        <w:t>Diego</w:t>
      </w:r>
      <w:r w:rsidR="00A07550" w:rsidRPr="00A23800">
        <w:rPr>
          <w:rFonts w:ascii="Calibri" w:hAnsi="Calibri"/>
          <w:color w:val="231F20"/>
          <w:spacing w:val="16"/>
          <w:w w:val="105"/>
        </w:rPr>
        <w:t xml:space="preserve"> </w:t>
      </w:r>
      <w:r w:rsidR="00A07550" w:rsidRPr="00A23800">
        <w:rPr>
          <w:rFonts w:ascii="Calibri" w:hAnsi="Calibri"/>
          <w:color w:val="231F20"/>
          <w:w w:val="105"/>
        </w:rPr>
        <w:t>State</w:t>
      </w:r>
      <w:r w:rsidR="00A07550" w:rsidRPr="00A23800">
        <w:rPr>
          <w:rFonts w:ascii="Calibri" w:hAnsi="Calibri"/>
          <w:color w:val="231F20"/>
          <w:spacing w:val="16"/>
          <w:w w:val="105"/>
        </w:rPr>
        <w:t xml:space="preserve"> </w:t>
      </w:r>
      <w:r w:rsidR="00A07550" w:rsidRPr="00A23800">
        <w:rPr>
          <w:rFonts w:ascii="Calibri" w:hAnsi="Calibri"/>
          <w:color w:val="231F20"/>
          <w:w w:val="105"/>
        </w:rPr>
        <w:t>through</w:t>
      </w:r>
      <w:r w:rsidR="00A07550" w:rsidRPr="00A23800">
        <w:rPr>
          <w:rFonts w:ascii="Calibri" w:hAnsi="Calibri"/>
          <w:color w:val="231F20"/>
          <w:spacing w:val="16"/>
          <w:w w:val="105"/>
        </w:rPr>
        <w:t xml:space="preserve"> </w:t>
      </w:r>
      <w:r w:rsidR="00A07550" w:rsidRPr="00A23800">
        <w:rPr>
          <w:rFonts w:ascii="Calibri" w:hAnsi="Calibri"/>
          <w:color w:val="231F20"/>
          <w:w w:val="105"/>
        </w:rPr>
        <w:t>the</w:t>
      </w:r>
      <w:r w:rsidR="00A07550" w:rsidRPr="00A23800">
        <w:rPr>
          <w:rFonts w:ascii="Calibri" w:hAnsi="Calibri"/>
          <w:color w:val="231F20"/>
          <w:spacing w:val="16"/>
          <w:w w:val="105"/>
        </w:rPr>
        <w:t xml:space="preserve"> </w:t>
      </w:r>
      <w:r w:rsidR="00A07550" w:rsidRPr="00A23800">
        <w:rPr>
          <w:rFonts w:ascii="Calibri" w:hAnsi="Calibri"/>
          <w:color w:val="231F20"/>
          <w:w w:val="105"/>
        </w:rPr>
        <w:t>Consortium</w:t>
      </w:r>
      <w:r w:rsidR="00A07550" w:rsidRPr="00A23800">
        <w:rPr>
          <w:rFonts w:ascii="Calibri" w:hAnsi="Calibri"/>
          <w:color w:val="231F20"/>
          <w:spacing w:val="16"/>
          <w:w w:val="105"/>
        </w:rPr>
        <w:t xml:space="preserve"> </w:t>
      </w:r>
      <w:r w:rsidR="00A07550" w:rsidRPr="00A23800">
        <w:rPr>
          <w:rFonts w:ascii="Calibri" w:hAnsi="Calibri"/>
          <w:color w:val="231F20"/>
          <w:w w:val="105"/>
        </w:rPr>
        <w:t>on</w:t>
      </w:r>
      <w:r w:rsidR="00A07550" w:rsidRPr="00A23800">
        <w:rPr>
          <w:rFonts w:ascii="Calibri" w:hAnsi="Calibri"/>
          <w:color w:val="231F20"/>
          <w:spacing w:val="16"/>
          <w:w w:val="105"/>
        </w:rPr>
        <w:t xml:space="preserve"> </w:t>
      </w:r>
      <w:r w:rsidR="00A07550" w:rsidRPr="00A23800">
        <w:rPr>
          <w:rFonts w:ascii="Calibri" w:hAnsi="Calibri"/>
          <w:color w:val="231F20"/>
          <w:w w:val="105"/>
        </w:rPr>
        <w:t>Distance</w:t>
      </w:r>
      <w:r w:rsidR="00A07550" w:rsidRPr="00A23800">
        <w:rPr>
          <w:rFonts w:ascii="Calibri" w:hAnsi="Calibri"/>
          <w:color w:val="231F20"/>
          <w:spacing w:val="16"/>
          <w:w w:val="105"/>
        </w:rPr>
        <w:t xml:space="preserve"> </w:t>
      </w:r>
      <w:r w:rsidR="00A07550" w:rsidRPr="00A23800">
        <w:rPr>
          <w:rFonts w:ascii="Calibri" w:hAnsi="Calibri"/>
          <w:color w:val="231F20"/>
          <w:w w:val="105"/>
        </w:rPr>
        <w:t>Education</w:t>
      </w:r>
      <w:r w:rsidR="00A07550" w:rsidRPr="00A23800">
        <w:rPr>
          <w:rFonts w:ascii="Calibri" w:hAnsi="Calibri"/>
          <w:color w:val="231F20"/>
          <w:spacing w:val="16"/>
          <w:w w:val="105"/>
        </w:rPr>
        <w:t xml:space="preserve"> </w:t>
      </w:r>
      <w:r w:rsidR="00A07550" w:rsidRPr="00A23800">
        <w:rPr>
          <w:rFonts w:ascii="Calibri" w:hAnsi="Calibri"/>
          <w:color w:val="231F20"/>
          <w:w w:val="105"/>
        </w:rPr>
        <w:t>in</w:t>
      </w:r>
      <w:r w:rsidR="00A07550" w:rsidRPr="00A23800">
        <w:rPr>
          <w:rFonts w:ascii="Calibri" w:hAnsi="Calibri"/>
          <w:color w:val="231F20"/>
          <w:spacing w:val="16"/>
          <w:w w:val="105"/>
        </w:rPr>
        <w:t xml:space="preserve"> </w:t>
      </w:r>
      <w:r w:rsidR="00A07550" w:rsidRPr="00A23800">
        <w:rPr>
          <w:rFonts w:ascii="Calibri" w:hAnsi="Calibri"/>
          <w:color w:val="231F20"/>
          <w:w w:val="105"/>
        </w:rPr>
        <w:t>Rehabilitation.</w:t>
      </w:r>
      <w:r w:rsidR="00A07550" w:rsidRPr="00A23800">
        <w:rPr>
          <w:rFonts w:ascii="Calibri" w:hAnsi="Calibri"/>
          <w:color w:val="231F20"/>
          <w:spacing w:val="16"/>
          <w:w w:val="105"/>
        </w:rPr>
        <w:t xml:space="preserve"> </w:t>
      </w:r>
      <w:r w:rsidR="00A07550" w:rsidRPr="00A23800">
        <w:rPr>
          <w:rFonts w:ascii="Calibri" w:hAnsi="Calibri"/>
          <w:color w:val="231F20"/>
          <w:w w:val="105"/>
        </w:rPr>
        <w:t>VR</w:t>
      </w:r>
      <w:r w:rsidR="00A07550" w:rsidRPr="00A23800">
        <w:rPr>
          <w:rFonts w:ascii="Calibri" w:hAnsi="Calibri"/>
          <w:color w:val="231F20"/>
          <w:spacing w:val="16"/>
          <w:w w:val="105"/>
        </w:rPr>
        <w:t xml:space="preserve"> </w:t>
      </w:r>
      <w:r w:rsidR="00A07550" w:rsidRPr="00A23800">
        <w:rPr>
          <w:rFonts w:ascii="Calibri" w:hAnsi="Calibri"/>
          <w:color w:val="231F20"/>
          <w:w w:val="105"/>
        </w:rPr>
        <w:t>will</w:t>
      </w:r>
      <w:r w:rsidR="00A07550" w:rsidRPr="00A23800">
        <w:rPr>
          <w:rFonts w:ascii="Calibri" w:hAnsi="Calibri"/>
          <w:color w:val="231F20"/>
        </w:rPr>
        <w:t xml:space="preserve"> </w:t>
      </w:r>
      <w:r w:rsidR="00B315F4">
        <w:rPr>
          <w:rFonts w:ascii="Calibri" w:hAnsi="Calibri"/>
          <w:color w:val="231F20"/>
        </w:rPr>
        <w:t xml:space="preserve">continue to </w:t>
      </w:r>
      <w:r w:rsidR="00A07550" w:rsidRPr="00A23800">
        <w:rPr>
          <w:rFonts w:ascii="Calibri" w:hAnsi="Calibri"/>
          <w:color w:val="231F20"/>
          <w:w w:val="105"/>
        </w:rPr>
        <w:t>use additional programs, as appropriate.</w:t>
      </w:r>
    </w:p>
    <w:p w14:paraId="4CC9E7FF" w14:textId="77777777" w:rsidR="00A07550" w:rsidRPr="00A23800" w:rsidRDefault="00A07550" w:rsidP="00D63204">
      <w:pPr>
        <w:widowControl w:val="0"/>
        <w:spacing w:after="0" w:line="240" w:lineRule="auto"/>
        <w:ind w:left="107"/>
        <w:rPr>
          <w:rFonts w:ascii="Calibri" w:hAnsi="Calibri" w:cs="Calibri"/>
        </w:rPr>
      </w:pPr>
    </w:p>
    <w:p w14:paraId="78D60720" w14:textId="544DC3EE" w:rsidR="00A07550" w:rsidRPr="00A23800" w:rsidRDefault="006206D4" w:rsidP="00D63204">
      <w:pPr>
        <w:widowControl w:val="0"/>
        <w:spacing w:after="0" w:line="240" w:lineRule="auto"/>
        <w:ind w:left="107"/>
        <w:outlineLvl w:val="2"/>
        <w:rPr>
          <w:rFonts w:ascii="Calibri" w:hAnsi="Calibri"/>
        </w:rPr>
      </w:pPr>
      <w:r>
        <w:rPr>
          <w:rFonts w:ascii="Calibri" w:hAnsi="Calibri"/>
          <w:b/>
          <w:bCs/>
          <w:color w:val="231F20"/>
          <w:w w:val="110"/>
          <w:u w:val="single" w:color="231F20"/>
        </w:rPr>
        <w:br/>
      </w:r>
      <w:r w:rsidR="00A07550" w:rsidRPr="00A23800">
        <w:rPr>
          <w:rFonts w:ascii="Calibri" w:hAnsi="Calibri"/>
          <w:b/>
          <w:bCs/>
          <w:color w:val="231F20"/>
          <w:w w:val="110"/>
          <w:u w:val="single" w:color="231F20"/>
        </w:rPr>
        <w:t>Personnel</w:t>
      </w:r>
      <w:r w:rsidR="00A07550" w:rsidRPr="00A23800">
        <w:rPr>
          <w:rFonts w:ascii="Calibri" w:hAnsi="Calibri"/>
          <w:b/>
          <w:bCs/>
          <w:color w:val="231F20"/>
          <w:spacing w:val="-33"/>
          <w:w w:val="110"/>
          <w:u w:val="single" w:color="231F20"/>
        </w:rPr>
        <w:t xml:space="preserve"> </w:t>
      </w:r>
      <w:r w:rsidR="00A07550" w:rsidRPr="00A23800">
        <w:rPr>
          <w:rFonts w:ascii="Calibri" w:hAnsi="Calibri"/>
          <w:b/>
          <w:bCs/>
          <w:color w:val="231F20"/>
          <w:w w:val="110"/>
          <w:u w:val="single" w:color="231F20"/>
        </w:rPr>
        <w:t>Development</w:t>
      </w:r>
    </w:p>
    <w:p w14:paraId="45DC44EB" w14:textId="68EEE3FC" w:rsidR="00A07550" w:rsidRDefault="00A07550" w:rsidP="00D63204">
      <w:pPr>
        <w:widowControl w:val="0"/>
        <w:spacing w:before="2" w:after="0" w:line="240" w:lineRule="auto"/>
        <w:ind w:left="107"/>
        <w:rPr>
          <w:rFonts w:ascii="Calibri" w:hAnsi="Calibri"/>
          <w:color w:val="231F20"/>
          <w:w w:val="105"/>
        </w:rPr>
      </w:pPr>
      <w:r>
        <w:rPr>
          <w:rFonts w:ascii="Calibri" w:hAnsi="Calibri"/>
          <w:color w:val="231F20"/>
          <w:w w:val="105"/>
        </w:rPr>
        <w:t>LDO</w:t>
      </w:r>
      <w:r w:rsidRPr="00A23800">
        <w:rPr>
          <w:rFonts w:ascii="Calibri" w:hAnsi="Calibri"/>
          <w:color w:val="231F20"/>
          <w:w w:val="105"/>
        </w:rPr>
        <w:t xml:space="preserve"> efforts</w:t>
      </w:r>
      <w:r w:rsidR="00DA2309">
        <w:rPr>
          <w:rFonts w:ascii="Calibri" w:hAnsi="Calibri"/>
          <w:color w:val="231F20"/>
          <w:w w:val="105"/>
        </w:rPr>
        <w:t xml:space="preserve"> will</w:t>
      </w:r>
      <w:r w:rsidRPr="00A23800">
        <w:rPr>
          <w:rFonts w:ascii="Calibri" w:hAnsi="Calibri"/>
          <w:color w:val="231F20"/>
          <w:w w:val="105"/>
        </w:rPr>
        <w:t xml:space="preserve"> continue to be oriented toward appropriate and adequate training for all employees,</w:t>
      </w:r>
      <w:r w:rsidRPr="00A23800">
        <w:rPr>
          <w:rFonts w:ascii="Calibri" w:hAnsi="Calibri"/>
          <w:color w:val="231F20"/>
          <w:spacing w:val="10"/>
          <w:w w:val="105"/>
        </w:rPr>
        <w:t xml:space="preserve"> </w:t>
      </w:r>
      <w:r w:rsidRPr="00A23800">
        <w:rPr>
          <w:rFonts w:ascii="Calibri" w:hAnsi="Calibri"/>
          <w:color w:val="231F20"/>
          <w:w w:val="105"/>
        </w:rPr>
        <w:t>with</w:t>
      </w:r>
      <w:r w:rsidRPr="00A23800">
        <w:rPr>
          <w:rFonts w:ascii="Calibri" w:hAnsi="Calibri"/>
          <w:color w:val="231F20"/>
        </w:rPr>
        <w:t xml:space="preserve"> </w:t>
      </w:r>
      <w:r w:rsidRPr="00A23800">
        <w:rPr>
          <w:rFonts w:ascii="Calibri" w:hAnsi="Calibri"/>
          <w:color w:val="231F20"/>
          <w:w w:val="105"/>
        </w:rPr>
        <w:t>available</w:t>
      </w:r>
      <w:r w:rsidRPr="00A23800">
        <w:rPr>
          <w:rFonts w:ascii="Calibri" w:hAnsi="Calibri"/>
          <w:color w:val="231F20"/>
          <w:spacing w:val="12"/>
          <w:w w:val="105"/>
        </w:rPr>
        <w:t xml:space="preserve"> </w:t>
      </w:r>
      <w:r w:rsidRPr="00A23800">
        <w:rPr>
          <w:rFonts w:ascii="Calibri" w:hAnsi="Calibri"/>
          <w:color w:val="231F20"/>
          <w:w w:val="105"/>
        </w:rPr>
        <w:t>resources</w:t>
      </w:r>
      <w:r w:rsidRPr="00A23800">
        <w:rPr>
          <w:rFonts w:ascii="Calibri" w:hAnsi="Calibri"/>
          <w:color w:val="231F20"/>
          <w:spacing w:val="12"/>
          <w:w w:val="105"/>
        </w:rPr>
        <w:t xml:space="preserve"> </w:t>
      </w:r>
      <w:r w:rsidRPr="00A23800">
        <w:rPr>
          <w:rFonts w:ascii="Calibri" w:hAnsi="Calibri"/>
          <w:color w:val="231F20"/>
          <w:w w:val="105"/>
        </w:rPr>
        <w:t>allocated</w:t>
      </w:r>
      <w:r w:rsidRPr="00A23800">
        <w:rPr>
          <w:rFonts w:ascii="Calibri" w:hAnsi="Calibri"/>
          <w:color w:val="231F20"/>
          <w:spacing w:val="12"/>
          <w:w w:val="105"/>
        </w:rPr>
        <w:t xml:space="preserve"> </w:t>
      </w:r>
      <w:r w:rsidRPr="00A23800">
        <w:rPr>
          <w:rFonts w:ascii="Calibri" w:hAnsi="Calibri"/>
          <w:color w:val="231F20"/>
          <w:w w:val="105"/>
        </w:rPr>
        <w:t>to</w:t>
      </w:r>
      <w:r w:rsidRPr="00A23800">
        <w:rPr>
          <w:rFonts w:ascii="Calibri" w:hAnsi="Calibri"/>
          <w:color w:val="231F20"/>
          <w:spacing w:val="12"/>
          <w:w w:val="105"/>
        </w:rPr>
        <w:t xml:space="preserve"> </w:t>
      </w:r>
      <w:r w:rsidRPr="00A23800">
        <w:rPr>
          <w:rFonts w:ascii="Calibri" w:hAnsi="Calibri"/>
          <w:color w:val="231F20"/>
          <w:w w:val="105"/>
        </w:rPr>
        <w:t>the</w:t>
      </w:r>
      <w:r w:rsidRPr="00A23800">
        <w:rPr>
          <w:rFonts w:ascii="Calibri" w:hAnsi="Calibri"/>
          <w:color w:val="231F20"/>
          <w:spacing w:val="12"/>
          <w:w w:val="105"/>
        </w:rPr>
        <w:t xml:space="preserve"> </w:t>
      </w:r>
      <w:r w:rsidRPr="00A23800">
        <w:rPr>
          <w:rFonts w:ascii="Calibri" w:hAnsi="Calibri"/>
          <w:color w:val="231F20"/>
          <w:w w:val="105"/>
        </w:rPr>
        <w:t>CSPD</w:t>
      </w:r>
      <w:r w:rsidRPr="00A23800">
        <w:rPr>
          <w:rFonts w:ascii="Calibri" w:hAnsi="Calibri"/>
          <w:color w:val="231F20"/>
          <w:spacing w:val="12"/>
          <w:w w:val="105"/>
        </w:rPr>
        <w:t xml:space="preserve"> </w:t>
      </w:r>
      <w:r w:rsidRPr="00A23800">
        <w:rPr>
          <w:rFonts w:ascii="Calibri" w:hAnsi="Calibri"/>
          <w:color w:val="231F20"/>
          <w:w w:val="105"/>
        </w:rPr>
        <w:t>effort.</w:t>
      </w:r>
      <w:r w:rsidRPr="00A23800">
        <w:rPr>
          <w:rFonts w:ascii="Calibri" w:hAnsi="Calibri"/>
          <w:color w:val="231F20"/>
          <w:spacing w:val="12"/>
          <w:w w:val="105"/>
        </w:rPr>
        <w:t xml:space="preserve"> </w:t>
      </w:r>
      <w:r w:rsidRPr="00A23800">
        <w:rPr>
          <w:rFonts w:ascii="Calibri" w:hAnsi="Calibri"/>
          <w:color w:val="231F20"/>
          <w:w w:val="105"/>
        </w:rPr>
        <w:t>Although</w:t>
      </w:r>
      <w:r w:rsidRPr="00A23800">
        <w:rPr>
          <w:rFonts w:ascii="Calibri" w:hAnsi="Calibri"/>
          <w:color w:val="231F20"/>
          <w:spacing w:val="12"/>
          <w:w w:val="105"/>
        </w:rPr>
        <w:t xml:space="preserve"> </w:t>
      </w:r>
      <w:r w:rsidRPr="00A23800">
        <w:rPr>
          <w:rFonts w:ascii="Calibri" w:hAnsi="Calibri"/>
          <w:color w:val="231F20"/>
          <w:w w:val="105"/>
        </w:rPr>
        <w:t>the</w:t>
      </w:r>
      <w:r w:rsidRPr="00A23800">
        <w:rPr>
          <w:rFonts w:ascii="Calibri" w:hAnsi="Calibri"/>
          <w:color w:val="231F20"/>
          <w:spacing w:val="12"/>
          <w:w w:val="105"/>
        </w:rPr>
        <w:t xml:space="preserve"> </w:t>
      </w:r>
      <w:r w:rsidRPr="00A23800">
        <w:rPr>
          <w:rFonts w:ascii="Calibri" w:hAnsi="Calibri"/>
          <w:color w:val="231F20"/>
          <w:w w:val="105"/>
        </w:rPr>
        <w:t>in-service</w:t>
      </w:r>
      <w:r w:rsidRPr="00A23800">
        <w:rPr>
          <w:rFonts w:ascii="Calibri" w:hAnsi="Calibri"/>
          <w:color w:val="231F20"/>
          <w:spacing w:val="12"/>
          <w:w w:val="105"/>
        </w:rPr>
        <w:t xml:space="preserve"> </w:t>
      </w:r>
      <w:r w:rsidRPr="00A23800">
        <w:rPr>
          <w:rFonts w:ascii="Calibri" w:hAnsi="Calibri"/>
          <w:color w:val="231F20"/>
          <w:w w:val="105"/>
        </w:rPr>
        <w:t>training</w:t>
      </w:r>
      <w:r w:rsidRPr="00A23800">
        <w:rPr>
          <w:rFonts w:ascii="Calibri" w:hAnsi="Calibri"/>
          <w:color w:val="231F20"/>
          <w:spacing w:val="12"/>
          <w:w w:val="105"/>
        </w:rPr>
        <w:t xml:space="preserve"> </w:t>
      </w:r>
      <w:r w:rsidRPr="00A23800">
        <w:rPr>
          <w:rFonts w:ascii="Calibri" w:hAnsi="Calibri"/>
          <w:color w:val="231F20"/>
          <w:w w:val="105"/>
        </w:rPr>
        <w:t>grant</w:t>
      </w:r>
      <w:r w:rsidRPr="00A23800">
        <w:rPr>
          <w:rFonts w:ascii="Calibri" w:hAnsi="Calibri"/>
          <w:color w:val="231F20"/>
          <w:spacing w:val="12"/>
          <w:w w:val="105"/>
        </w:rPr>
        <w:t xml:space="preserve"> </w:t>
      </w:r>
      <w:r w:rsidRPr="00A23800">
        <w:rPr>
          <w:rFonts w:ascii="Calibri" w:hAnsi="Calibri"/>
          <w:color w:val="231F20"/>
          <w:w w:val="105"/>
        </w:rPr>
        <w:t>was</w:t>
      </w:r>
      <w:r w:rsidRPr="00A23800">
        <w:rPr>
          <w:rFonts w:ascii="Calibri" w:hAnsi="Calibri"/>
          <w:color w:val="231F20"/>
          <w:spacing w:val="12"/>
          <w:w w:val="105"/>
        </w:rPr>
        <w:t xml:space="preserve"> </w:t>
      </w:r>
      <w:r w:rsidRPr="00A23800">
        <w:rPr>
          <w:rFonts w:ascii="Calibri" w:hAnsi="Calibri"/>
          <w:color w:val="231F20"/>
          <w:w w:val="105"/>
        </w:rPr>
        <w:t>the</w:t>
      </w:r>
      <w:r w:rsidRPr="00A23800">
        <w:rPr>
          <w:rFonts w:ascii="Calibri" w:hAnsi="Calibri"/>
          <w:color w:val="231F20"/>
          <w:spacing w:val="12"/>
          <w:w w:val="105"/>
        </w:rPr>
        <w:t xml:space="preserve"> </w:t>
      </w:r>
      <w:r w:rsidRPr="00A23800">
        <w:rPr>
          <w:rFonts w:ascii="Calibri" w:hAnsi="Calibri"/>
          <w:color w:val="231F20"/>
          <w:w w:val="105"/>
        </w:rPr>
        <w:t>primary</w:t>
      </w:r>
      <w:r w:rsidRPr="00A23800">
        <w:rPr>
          <w:rFonts w:ascii="Calibri" w:hAnsi="Calibri"/>
          <w:color w:val="231F20"/>
          <w:spacing w:val="-21"/>
          <w:w w:val="105"/>
        </w:rPr>
        <w:t xml:space="preserve"> </w:t>
      </w:r>
      <w:r w:rsidRPr="00A23800">
        <w:rPr>
          <w:rFonts w:ascii="Calibri" w:hAnsi="Calibri"/>
          <w:color w:val="231F20"/>
          <w:w w:val="105"/>
        </w:rPr>
        <w:t>funding source for these activities, it was not the only money used to fund staff development and</w:t>
      </w:r>
      <w:r w:rsidRPr="00A23800">
        <w:rPr>
          <w:rFonts w:ascii="Calibri" w:hAnsi="Calibri"/>
          <w:color w:val="231F20"/>
          <w:spacing w:val="40"/>
          <w:w w:val="105"/>
        </w:rPr>
        <w:t xml:space="preserve"> </w:t>
      </w:r>
      <w:r w:rsidRPr="00A23800">
        <w:rPr>
          <w:rFonts w:ascii="Calibri" w:hAnsi="Calibri"/>
          <w:color w:val="231F20"/>
          <w:w w:val="105"/>
        </w:rPr>
        <w:t>training</w:t>
      </w:r>
      <w:r w:rsidRPr="00A23800">
        <w:rPr>
          <w:rFonts w:ascii="Calibri" w:hAnsi="Calibri"/>
          <w:color w:val="231F20"/>
          <w:w w:val="104"/>
        </w:rPr>
        <w:t xml:space="preserve"> </w:t>
      </w:r>
      <w:r w:rsidRPr="00A23800">
        <w:rPr>
          <w:rFonts w:ascii="Calibri" w:hAnsi="Calibri"/>
          <w:color w:val="231F20"/>
          <w:w w:val="105"/>
        </w:rPr>
        <w:t>activities. Supplemental funds were provided from other budget resources.</w:t>
      </w:r>
    </w:p>
    <w:p w14:paraId="3BF9A3B1" w14:textId="77777777" w:rsidR="006206D4" w:rsidRPr="00A23800" w:rsidRDefault="006206D4" w:rsidP="00D63204">
      <w:pPr>
        <w:widowControl w:val="0"/>
        <w:spacing w:before="2" w:after="0" w:line="240" w:lineRule="auto"/>
        <w:ind w:left="107"/>
        <w:rPr>
          <w:rFonts w:ascii="Calibri" w:hAnsi="Calibri"/>
        </w:rPr>
      </w:pPr>
    </w:p>
    <w:p w14:paraId="2E4CD399" w14:textId="70E31FEA" w:rsidR="00A07550" w:rsidRPr="006206D4" w:rsidRDefault="00A07550" w:rsidP="00D63204">
      <w:pPr>
        <w:widowControl w:val="0"/>
        <w:spacing w:before="2" w:after="0" w:line="240" w:lineRule="auto"/>
        <w:ind w:left="107"/>
        <w:rPr>
          <w:rFonts w:ascii="Calibri" w:hAnsi="Calibri"/>
          <w:b/>
          <w:color w:val="231F20"/>
          <w:w w:val="105"/>
        </w:rPr>
      </w:pPr>
      <w:r w:rsidRPr="00A23800">
        <w:rPr>
          <w:rFonts w:ascii="Calibri" w:hAnsi="Calibri"/>
          <w:color w:val="231F20"/>
          <w:w w:val="105"/>
        </w:rPr>
        <w:t>Although</w:t>
      </w:r>
      <w:r w:rsidRPr="006206D4">
        <w:rPr>
          <w:rFonts w:ascii="Calibri" w:hAnsi="Calibri"/>
          <w:color w:val="231F20"/>
          <w:w w:val="105"/>
        </w:rPr>
        <w:t xml:space="preserve"> </w:t>
      </w:r>
      <w:r w:rsidRPr="00A23800">
        <w:rPr>
          <w:rFonts w:ascii="Calibri" w:hAnsi="Calibri"/>
          <w:color w:val="231F20"/>
          <w:w w:val="105"/>
        </w:rPr>
        <w:t>there</w:t>
      </w:r>
      <w:r w:rsidRPr="006206D4">
        <w:rPr>
          <w:rFonts w:ascii="Calibri" w:hAnsi="Calibri"/>
          <w:color w:val="231F20"/>
          <w:w w:val="105"/>
        </w:rPr>
        <w:t xml:space="preserve"> </w:t>
      </w:r>
      <w:r w:rsidRPr="00A23800">
        <w:rPr>
          <w:rFonts w:ascii="Calibri" w:hAnsi="Calibri"/>
          <w:color w:val="231F20"/>
          <w:w w:val="105"/>
        </w:rPr>
        <w:t>has</w:t>
      </w:r>
      <w:r w:rsidRPr="006206D4">
        <w:rPr>
          <w:rFonts w:ascii="Calibri" w:hAnsi="Calibri"/>
          <w:color w:val="231F20"/>
          <w:w w:val="105"/>
        </w:rPr>
        <w:t xml:space="preserve"> </w:t>
      </w:r>
      <w:r w:rsidRPr="00A23800">
        <w:rPr>
          <w:rFonts w:ascii="Calibri" w:hAnsi="Calibri"/>
          <w:color w:val="231F20"/>
          <w:w w:val="105"/>
        </w:rPr>
        <w:t>been</w:t>
      </w:r>
      <w:r w:rsidRPr="006206D4">
        <w:rPr>
          <w:rFonts w:ascii="Calibri" w:hAnsi="Calibri"/>
          <w:color w:val="231F20"/>
          <w:w w:val="105"/>
        </w:rPr>
        <w:t xml:space="preserve"> </w:t>
      </w:r>
      <w:r w:rsidRPr="00A23800">
        <w:rPr>
          <w:rFonts w:ascii="Calibri" w:hAnsi="Calibri"/>
          <w:color w:val="231F20"/>
          <w:w w:val="105"/>
        </w:rPr>
        <w:t>an</w:t>
      </w:r>
      <w:r w:rsidRPr="006206D4">
        <w:rPr>
          <w:rFonts w:ascii="Calibri" w:hAnsi="Calibri"/>
          <w:color w:val="231F20"/>
          <w:w w:val="105"/>
        </w:rPr>
        <w:t xml:space="preserve"> </w:t>
      </w:r>
      <w:r w:rsidRPr="00A23800">
        <w:rPr>
          <w:rFonts w:ascii="Calibri" w:hAnsi="Calibri"/>
          <w:color w:val="231F20"/>
          <w:w w:val="105"/>
        </w:rPr>
        <w:t>emphasis</w:t>
      </w:r>
      <w:r w:rsidRPr="006206D4">
        <w:rPr>
          <w:rFonts w:ascii="Calibri" w:hAnsi="Calibri"/>
          <w:color w:val="231F20"/>
          <w:w w:val="105"/>
        </w:rPr>
        <w:t xml:space="preserve"> </w:t>
      </w:r>
      <w:r w:rsidRPr="00A23800">
        <w:rPr>
          <w:rFonts w:ascii="Calibri" w:hAnsi="Calibri"/>
          <w:color w:val="231F20"/>
          <w:w w:val="105"/>
        </w:rPr>
        <w:t>on</w:t>
      </w:r>
      <w:r w:rsidRPr="006206D4">
        <w:rPr>
          <w:rFonts w:ascii="Calibri" w:hAnsi="Calibri"/>
          <w:color w:val="231F20"/>
          <w:w w:val="105"/>
        </w:rPr>
        <w:t xml:space="preserve"> </w:t>
      </w:r>
      <w:r w:rsidRPr="00A23800">
        <w:rPr>
          <w:rFonts w:ascii="Calibri" w:hAnsi="Calibri"/>
          <w:color w:val="231F20"/>
          <w:w w:val="105"/>
        </w:rPr>
        <w:t>helping</w:t>
      </w:r>
      <w:r w:rsidRPr="006206D4">
        <w:rPr>
          <w:rFonts w:ascii="Calibri" w:hAnsi="Calibri"/>
          <w:color w:val="231F20"/>
          <w:w w:val="105"/>
        </w:rPr>
        <w:t xml:space="preserve"> </w:t>
      </w:r>
      <w:r w:rsidRPr="00A23800">
        <w:rPr>
          <w:rFonts w:ascii="Calibri" w:hAnsi="Calibri"/>
          <w:color w:val="231F20"/>
          <w:w w:val="105"/>
        </w:rPr>
        <w:t>counselors</w:t>
      </w:r>
      <w:r w:rsidRPr="006206D4">
        <w:rPr>
          <w:rFonts w:ascii="Calibri" w:hAnsi="Calibri"/>
          <w:color w:val="231F20"/>
          <w:w w:val="105"/>
        </w:rPr>
        <w:t xml:space="preserve"> </w:t>
      </w:r>
      <w:r w:rsidRPr="00A23800">
        <w:rPr>
          <w:rFonts w:ascii="Calibri" w:hAnsi="Calibri"/>
          <w:color w:val="231F20"/>
          <w:w w:val="105"/>
        </w:rPr>
        <w:t>meet</w:t>
      </w:r>
      <w:r w:rsidRPr="006206D4">
        <w:rPr>
          <w:rFonts w:ascii="Calibri" w:hAnsi="Calibri"/>
          <w:color w:val="231F20"/>
          <w:w w:val="105"/>
        </w:rPr>
        <w:t xml:space="preserve"> </w:t>
      </w:r>
      <w:r w:rsidRPr="00A23800">
        <w:rPr>
          <w:rFonts w:ascii="Calibri" w:hAnsi="Calibri"/>
          <w:color w:val="231F20"/>
          <w:w w:val="105"/>
        </w:rPr>
        <w:t>the</w:t>
      </w:r>
      <w:r w:rsidRPr="006206D4">
        <w:rPr>
          <w:rFonts w:ascii="Calibri" w:hAnsi="Calibri"/>
          <w:color w:val="231F20"/>
          <w:w w:val="105"/>
        </w:rPr>
        <w:t xml:space="preserve"> </w:t>
      </w:r>
      <w:r w:rsidRPr="00A23800">
        <w:rPr>
          <w:rFonts w:ascii="Calibri" w:hAnsi="Calibri"/>
          <w:color w:val="231F20"/>
          <w:w w:val="105"/>
        </w:rPr>
        <w:t>CSPD</w:t>
      </w:r>
      <w:r w:rsidRPr="006206D4">
        <w:rPr>
          <w:rFonts w:ascii="Calibri" w:hAnsi="Calibri"/>
          <w:color w:val="231F20"/>
          <w:w w:val="105"/>
        </w:rPr>
        <w:t xml:space="preserve"> </w:t>
      </w:r>
      <w:r w:rsidRPr="00A23800">
        <w:rPr>
          <w:rFonts w:ascii="Calibri" w:hAnsi="Calibri"/>
          <w:color w:val="231F20"/>
          <w:w w:val="105"/>
        </w:rPr>
        <w:t>standard</w:t>
      </w:r>
      <w:r w:rsidRPr="006206D4">
        <w:rPr>
          <w:rFonts w:ascii="Calibri" w:hAnsi="Calibri"/>
          <w:color w:val="231F20"/>
          <w:w w:val="105"/>
        </w:rPr>
        <w:t xml:space="preserve"> </w:t>
      </w:r>
      <w:r w:rsidRPr="00A23800">
        <w:rPr>
          <w:rFonts w:ascii="Calibri" w:hAnsi="Calibri"/>
          <w:color w:val="231F20"/>
          <w:w w:val="105"/>
        </w:rPr>
        <w:t>and</w:t>
      </w:r>
      <w:r w:rsidRPr="006206D4">
        <w:rPr>
          <w:rFonts w:ascii="Calibri" w:hAnsi="Calibri"/>
          <w:color w:val="231F20"/>
          <w:w w:val="105"/>
        </w:rPr>
        <w:t xml:space="preserve"> </w:t>
      </w:r>
      <w:r w:rsidRPr="00A23800">
        <w:rPr>
          <w:rFonts w:ascii="Calibri" w:hAnsi="Calibri"/>
          <w:color w:val="231F20"/>
          <w:w w:val="105"/>
        </w:rPr>
        <w:t>developing</w:t>
      </w:r>
      <w:r w:rsidRPr="006206D4">
        <w:rPr>
          <w:rFonts w:ascii="Calibri" w:hAnsi="Calibri"/>
          <w:color w:val="231F20"/>
          <w:w w:val="105"/>
        </w:rPr>
        <w:t xml:space="preserve"> </w:t>
      </w:r>
      <w:r w:rsidRPr="00A23800">
        <w:rPr>
          <w:rFonts w:ascii="Calibri" w:hAnsi="Calibri"/>
          <w:color w:val="231F20"/>
          <w:w w:val="105"/>
        </w:rPr>
        <w:t>the technical, managerial</w:t>
      </w:r>
      <w:r w:rsidR="00D5537E">
        <w:rPr>
          <w:rFonts w:ascii="Calibri" w:hAnsi="Calibri"/>
          <w:color w:val="231F20"/>
          <w:w w:val="105"/>
        </w:rPr>
        <w:t xml:space="preserve"> and</w:t>
      </w:r>
      <w:r w:rsidRPr="00A23800">
        <w:rPr>
          <w:rFonts w:ascii="Calibri" w:hAnsi="Calibri"/>
          <w:color w:val="231F20"/>
          <w:w w:val="105"/>
        </w:rPr>
        <w:t xml:space="preserve"> leadership skills of supervisors and managers, VR provides staff development</w:t>
      </w:r>
      <w:r w:rsidRPr="006206D4">
        <w:rPr>
          <w:rFonts w:ascii="Calibri" w:hAnsi="Calibri"/>
          <w:color w:val="231F20"/>
          <w:w w:val="105"/>
        </w:rPr>
        <w:t xml:space="preserve"> </w:t>
      </w:r>
      <w:r w:rsidRPr="00A23800">
        <w:rPr>
          <w:rFonts w:ascii="Calibri" w:hAnsi="Calibri"/>
          <w:color w:val="231F20"/>
          <w:w w:val="105"/>
        </w:rPr>
        <w:t>opportunities</w:t>
      </w:r>
      <w:r w:rsidRPr="006206D4">
        <w:rPr>
          <w:rFonts w:ascii="Calibri" w:hAnsi="Calibri"/>
          <w:color w:val="231F20"/>
          <w:w w:val="105"/>
        </w:rPr>
        <w:t xml:space="preserve"> </w:t>
      </w:r>
      <w:r w:rsidRPr="00A23800">
        <w:rPr>
          <w:rFonts w:ascii="Calibri" w:hAnsi="Calibri"/>
          <w:color w:val="231F20"/>
          <w:w w:val="105"/>
        </w:rPr>
        <w:t>to</w:t>
      </w:r>
      <w:r w:rsidRPr="006206D4">
        <w:rPr>
          <w:rFonts w:ascii="Calibri" w:hAnsi="Calibri"/>
          <w:color w:val="231F20"/>
          <w:w w:val="105"/>
        </w:rPr>
        <w:t xml:space="preserve"> </w:t>
      </w:r>
      <w:r w:rsidRPr="00A23800">
        <w:rPr>
          <w:rFonts w:ascii="Calibri" w:hAnsi="Calibri"/>
          <w:color w:val="231F20"/>
          <w:w w:val="105"/>
        </w:rPr>
        <w:t>employees</w:t>
      </w:r>
      <w:r w:rsidRPr="006206D4">
        <w:rPr>
          <w:rFonts w:ascii="Calibri" w:hAnsi="Calibri"/>
          <w:color w:val="231F20"/>
          <w:w w:val="105"/>
        </w:rPr>
        <w:t xml:space="preserve"> </w:t>
      </w:r>
      <w:r w:rsidRPr="00A23800">
        <w:rPr>
          <w:rFonts w:ascii="Calibri" w:hAnsi="Calibri"/>
          <w:color w:val="231F20"/>
          <w:w w:val="105"/>
        </w:rPr>
        <w:t>at</w:t>
      </w:r>
      <w:r w:rsidRPr="006206D4">
        <w:rPr>
          <w:rFonts w:ascii="Calibri" w:hAnsi="Calibri"/>
          <w:color w:val="231F20"/>
          <w:w w:val="105"/>
        </w:rPr>
        <w:t xml:space="preserve"> </w:t>
      </w:r>
      <w:r w:rsidRPr="00A23800">
        <w:rPr>
          <w:rFonts w:ascii="Calibri" w:hAnsi="Calibri"/>
          <w:color w:val="231F20"/>
          <w:w w:val="105"/>
        </w:rPr>
        <w:t>every</w:t>
      </w:r>
      <w:r w:rsidRPr="006206D4">
        <w:rPr>
          <w:rFonts w:ascii="Calibri" w:hAnsi="Calibri"/>
          <w:color w:val="231F20"/>
          <w:w w:val="105"/>
        </w:rPr>
        <w:t xml:space="preserve"> </w:t>
      </w:r>
      <w:r w:rsidRPr="00A23800">
        <w:rPr>
          <w:rFonts w:ascii="Calibri" w:hAnsi="Calibri"/>
          <w:color w:val="231F20"/>
          <w:w w:val="105"/>
        </w:rPr>
        <w:t>level</w:t>
      </w:r>
      <w:r w:rsidR="005E7C49">
        <w:rPr>
          <w:rFonts w:ascii="Calibri" w:hAnsi="Calibri"/>
          <w:color w:val="231F20"/>
          <w:w w:val="105"/>
        </w:rPr>
        <w:t xml:space="preserve">. </w:t>
      </w:r>
      <w:r w:rsidRPr="006206D4">
        <w:rPr>
          <w:rFonts w:ascii="Calibri" w:hAnsi="Calibri"/>
          <w:b/>
          <w:color w:val="231F20"/>
          <w:w w:val="105"/>
        </w:rPr>
        <w:t>In FFY 2017-18</w:t>
      </w:r>
      <w:r w:rsidR="00DA2309">
        <w:rPr>
          <w:rFonts w:ascii="Calibri" w:hAnsi="Calibri"/>
          <w:b/>
          <w:color w:val="231F20"/>
          <w:w w:val="105"/>
        </w:rPr>
        <w:t>,</w:t>
      </w:r>
      <w:r w:rsidRPr="006206D4">
        <w:rPr>
          <w:rFonts w:ascii="Calibri" w:hAnsi="Calibri"/>
          <w:b/>
          <w:color w:val="231F20"/>
          <w:w w:val="105"/>
        </w:rPr>
        <w:t xml:space="preserve"> LDO will train all employees of the Division in a program titled VR Works</w:t>
      </w:r>
      <w:r w:rsidR="00DA2309">
        <w:rPr>
          <w:rFonts w:ascii="Calibri" w:hAnsi="Calibri"/>
          <w:b/>
          <w:color w:val="231F20"/>
          <w:w w:val="105"/>
        </w:rPr>
        <w:t>!</w:t>
      </w:r>
      <w:r w:rsidR="005E7C49">
        <w:rPr>
          <w:rFonts w:ascii="Calibri" w:hAnsi="Calibri"/>
          <w:b/>
          <w:color w:val="231F20"/>
          <w:w w:val="105"/>
        </w:rPr>
        <w:t xml:space="preserve">. </w:t>
      </w:r>
      <w:r w:rsidRPr="006206D4">
        <w:rPr>
          <w:rFonts w:ascii="Calibri" w:hAnsi="Calibri"/>
          <w:b/>
          <w:color w:val="231F20"/>
          <w:w w:val="105"/>
        </w:rPr>
        <w:t>This program is designed to return the agency to its mission of helping people with disabilities find and maintain employment by refocusing on impediments to employment and job readiness</w:t>
      </w:r>
      <w:r w:rsidR="005E7C49">
        <w:rPr>
          <w:rFonts w:ascii="Calibri" w:hAnsi="Calibri"/>
          <w:b/>
          <w:color w:val="231F20"/>
          <w:w w:val="105"/>
        </w:rPr>
        <w:t xml:space="preserve">. </w:t>
      </w:r>
    </w:p>
    <w:p w14:paraId="545E6175" w14:textId="77777777" w:rsidR="00A07550" w:rsidRPr="00A23800" w:rsidRDefault="00A07550" w:rsidP="00D63204">
      <w:pPr>
        <w:widowControl w:val="0"/>
        <w:spacing w:before="5" w:after="0" w:line="240" w:lineRule="auto"/>
        <w:ind w:left="107"/>
        <w:rPr>
          <w:rFonts w:ascii="Calibri" w:hAnsi="Calibri" w:cs="Calibri"/>
          <w:sz w:val="16"/>
          <w:szCs w:val="16"/>
        </w:rPr>
      </w:pPr>
    </w:p>
    <w:p w14:paraId="447D6C96" w14:textId="217F6510" w:rsidR="00A07550" w:rsidRPr="00A23800" w:rsidRDefault="00A07550" w:rsidP="00D63204">
      <w:pPr>
        <w:widowControl w:val="0"/>
        <w:spacing w:after="0" w:line="240" w:lineRule="auto"/>
        <w:ind w:left="107"/>
        <w:rPr>
          <w:rFonts w:ascii="Calibri" w:hAnsi="Calibri"/>
        </w:rPr>
      </w:pPr>
      <w:r w:rsidRPr="00A23800">
        <w:rPr>
          <w:rFonts w:ascii="Calibri" w:hAnsi="Calibri"/>
          <w:color w:val="231F20"/>
          <w:w w:val="105"/>
        </w:rPr>
        <w:t>VR</w:t>
      </w:r>
      <w:r w:rsidRPr="00A23800">
        <w:rPr>
          <w:rFonts w:ascii="Calibri" w:hAnsi="Calibri"/>
          <w:color w:val="231F20"/>
          <w:spacing w:val="20"/>
          <w:w w:val="105"/>
        </w:rPr>
        <w:t xml:space="preserve"> </w:t>
      </w:r>
      <w:r w:rsidR="00DA2309">
        <w:rPr>
          <w:rFonts w:ascii="Calibri" w:hAnsi="Calibri"/>
          <w:color w:val="231F20"/>
          <w:spacing w:val="20"/>
          <w:w w:val="105"/>
        </w:rPr>
        <w:t xml:space="preserve">continues to </w:t>
      </w:r>
      <w:r w:rsidRPr="00A23800">
        <w:rPr>
          <w:rFonts w:ascii="Calibri" w:hAnsi="Calibri"/>
          <w:color w:val="231F20"/>
          <w:w w:val="105"/>
        </w:rPr>
        <w:t>offer</w:t>
      </w:r>
      <w:r w:rsidRPr="00A23800">
        <w:rPr>
          <w:rFonts w:ascii="Calibri" w:hAnsi="Calibri"/>
          <w:color w:val="231F20"/>
          <w:spacing w:val="20"/>
          <w:w w:val="105"/>
        </w:rPr>
        <w:t xml:space="preserve"> </w:t>
      </w:r>
      <w:r w:rsidRPr="00A23800">
        <w:rPr>
          <w:rFonts w:ascii="Calibri" w:hAnsi="Calibri"/>
          <w:color w:val="231F20"/>
          <w:w w:val="105"/>
        </w:rPr>
        <w:t>individual</w:t>
      </w:r>
      <w:r w:rsidRPr="00A23800">
        <w:rPr>
          <w:rFonts w:ascii="Calibri" w:hAnsi="Calibri"/>
          <w:color w:val="231F20"/>
          <w:spacing w:val="20"/>
          <w:w w:val="105"/>
        </w:rPr>
        <w:t xml:space="preserve"> </w:t>
      </w:r>
      <w:r w:rsidRPr="00A23800">
        <w:rPr>
          <w:rFonts w:ascii="Calibri" w:hAnsi="Calibri"/>
          <w:color w:val="231F20"/>
          <w:w w:val="105"/>
        </w:rPr>
        <w:t>training</w:t>
      </w:r>
      <w:r w:rsidRPr="00A23800">
        <w:rPr>
          <w:rFonts w:ascii="Calibri" w:hAnsi="Calibri"/>
          <w:color w:val="231F20"/>
          <w:spacing w:val="20"/>
          <w:w w:val="105"/>
        </w:rPr>
        <w:t xml:space="preserve"> </w:t>
      </w:r>
      <w:r w:rsidRPr="00A23800">
        <w:rPr>
          <w:rFonts w:ascii="Calibri" w:hAnsi="Calibri"/>
          <w:color w:val="231F20"/>
          <w:w w:val="105"/>
        </w:rPr>
        <w:t>allocations</w:t>
      </w:r>
      <w:r w:rsidRPr="00A23800">
        <w:rPr>
          <w:rFonts w:ascii="Calibri" w:hAnsi="Calibri"/>
          <w:color w:val="231F20"/>
          <w:spacing w:val="20"/>
          <w:w w:val="105"/>
        </w:rPr>
        <w:t xml:space="preserve"> </w:t>
      </w:r>
      <w:r w:rsidRPr="00A23800">
        <w:rPr>
          <w:rFonts w:ascii="Calibri" w:hAnsi="Calibri"/>
          <w:color w:val="231F20"/>
          <w:w w:val="105"/>
        </w:rPr>
        <w:t>for</w:t>
      </w:r>
      <w:r w:rsidRPr="00A23800">
        <w:rPr>
          <w:rFonts w:ascii="Calibri" w:hAnsi="Calibri"/>
          <w:color w:val="231F20"/>
          <w:spacing w:val="20"/>
          <w:w w:val="105"/>
        </w:rPr>
        <w:t xml:space="preserve"> </w:t>
      </w:r>
      <w:r w:rsidRPr="00A23800">
        <w:rPr>
          <w:rFonts w:ascii="Calibri" w:hAnsi="Calibri"/>
          <w:color w:val="231F20"/>
          <w:w w:val="105"/>
        </w:rPr>
        <w:t>each</w:t>
      </w:r>
      <w:r w:rsidRPr="00A23800">
        <w:rPr>
          <w:rFonts w:ascii="Calibri" w:hAnsi="Calibri"/>
          <w:color w:val="231F20"/>
          <w:spacing w:val="20"/>
          <w:w w:val="105"/>
        </w:rPr>
        <w:t xml:space="preserve"> </w:t>
      </w:r>
      <w:r w:rsidRPr="00A23800">
        <w:rPr>
          <w:rFonts w:ascii="Calibri" w:hAnsi="Calibri"/>
          <w:color w:val="231F20"/>
          <w:w w:val="105"/>
        </w:rPr>
        <w:t>staff</w:t>
      </w:r>
      <w:r w:rsidRPr="00A23800">
        <w:rPr>
          <w:rFonts w:ascii="Calibri" w:hAnsi="Calibri"/>
          <w:color w:val="231F20"/>
          <w:spacing w:val="19"/>
          <w:w w:val="105"/>
        </w:rPr>
        <w:t xml:space="preserve"> </w:t>
      </w:r>
      <w:r w:rsidRPr="00A23800">
        <w:rPr>
          <w:rFonts w:ascii="Calibri" w:hAnsi="Calibri"/>
          <w:color w:val="231F20"/>
          <w:w w:val="105"/>
        </w:rPr>
        <w:t>member.</w:t>
      </w:r>
      <w:r w:rsidRPr="00A23800">
        <w:rPr>
          <w:rFonts w:ascii="Calibri" w:hAnsi="Calibri"/>
          <w:color w:val="231F20"/>
          <w:spacing w:val="20"/>
          <w:w w:val="105"/>
        </w:rPr>
        <w:t xml:space="preserve"> </w:t>
      </w:r>
      <w:r w:rsidRPr="00A23800">
        <w:rPr>
          <w:rFonts w:ascii="Calibri" w:hAnsi="Calibri"/>
          <w:color w:val="231F20"/>
          <w:w w:val="105"/>
        </w:rPr>
        <w:t>This</w:t>
      </w:r>
      <w:r w:rsidRPr="00A23800">
        <w:rPr>
          <w:rFonts w:ascii="Calibri" w:hAnsi="Calibri"/>
          <w:color w:val="231F20"/>
          <w:spacing w:val="20"/>
          <w:w w:val="105"/>
        </w:rPr>
        <w:t xml:space="preserve"> </w:t>
      </w:r>
      <w:r w:rsidRPr="00A23800">
        <w:rPr>
          <w:rFonts w:ascii="Calibri" w:hAnsi="Calibri"/>
          <w:color w:val="231F20"/>
          <w:w w:val="105"/>
        </w:rPr>
        <w:t>allocation</w:t>
      </w:r>
      <w:r w:rsidRPr="00A23800">
        <w:rPr>
          <w:rFonts w:ascii="Calibri" w:hAnsi="Calibri"/>
          <w:color w:val="231F20"/>
          <w:spacing w:val="20"/>
          <w:w w:val="105"/>
        </w:rPr>
        <w:t xml:space="preserve"> </w:t>
      </w:r>
      <w:r w:rsidRPr="00A23800">
        <w:rPr>
          <w:rFonts w:ascii="Calibri" w:hAnsi="Calibri"/>
          <w:color w:val="231F20"/>
          <w:w w:val="105"/>
        </w:rPr>
        <w:t>can</w:t>
      </w:r>
      <w:r w:rsidRPr="00A23800">
        <w:rPr>
          <w:rFonts w:ascii="Calibri" w:hAnsi="Calibri"/>
          <w:color w:val="231F20"/>
          <w:spacing w:val="20"/>
          <w:w w:val="105"/>
        </w:rPr>
        <w:t xml:space="preserve"> </w:t>
      </w:r>
      <w:r w:rsidRPr="00A23800">
        <w:rPr>
          <w:rFonts w:ascii="Calibri" w:hAnsi="Calibri"/>
          <w:color w:val="231F20"/>
          <w:w w:val="105"/>
        </w:rPr>
        <w:t>be</w:t>
      </w:r>
      <w:r w:rsidRPr="00A23800">
        <w:rPr>
          <w:rFonts w:ascii="Calibri" w:hAnsi="Calibri"/>
          <w:color w:val="231F20"/>
          <w:spacing w:val="-1"/>
          <w:w w:val="105"/>
        </w:rPr>
        <w:t xml:space="preserve"> </w:t>
      </w:r>
      <w:r w:rsidRPr="00A23800">
        <w:rPr>
          <w:rFonts w:ascii="Calibri" w:hAnsi="Calibri"/>
          <w:color w:val="231F20"/>
          <w:w w:val="105"/>
        </w:rPr>
        <w:t>used</w:t>
      </w:r>
      <w:r w:rsidRPr="00A23800">
        <w:rPr>
          <w:rFonts w:ascii="Calibri" w:hAnsi="Calibri"/>
          <w:color w:val="231F20"/>
          <w:spacing w:val="43"/>
          <w:w w:val="105"/>
        </w:rPr>
        <w:t xml:space="preserve"> </w:t>
      </w:r>
      <w:r w:rsidRPr="00A23800">
        <w:rPr>
          <w:rFonts w:ascii="Calibri" w:hAnsi="Calibri"/>
          <w:color w:val="231F20"/>
          <w:w w:val="105"/>
        </w:rPr>
        <w:t>for</w:t>
      </w:r>
      <w:r w:rsidRPr="00A23800">
        <w:rPr>
          <w:rFonts w:ascii="Calibri" w:hAnsi="Calibri"/>
          <w:color w:val="231F20"/>
          <w:spacing w:val="43"/>
          <w:w w:val="105"/>
        </w:rPr>
        <w:t xml:space="preserve"> </w:t>
      </w:r>
      <w:r w:rsidRPr="00A23800">
        <w:rPr>
          <w:rFonts w:ascii="Calibri" w:hAnsi="Calibri"/>
          <w:color w:val="231F20"/>
          <w:w w:val="105"/>
        </w:rPr>
        <w:t>job-related</w:t>
      </w:r>
      <w:r w:rsidRPr="00A23800">
        <w:rPr>
          <w:rFonts w:ascii="Calibri" w:hAnsi="Calibri"/>
          <w:color w:val="231F20"/>
          <w:spacing w:val="43"/>
          <w:w w:val="105"/>
        </w:rPr>
        <w:t xml:space="preserve"> </w:t>
      </w:r>
      <w:r w:rsidRPr="00A23800">
        <w:rPr>
          <w:rFonts w:ascii="Calibri" w:hAnsi="Calibri"/>
          <w:color w:val="231F20"/>
          <w:w w:val="105"/>
        </w:rPr>
        <w:t>professional</w:t>
      </w:r>
      <w:r w:rsidRPr="00A23800">
        <w:rPr>
          <w:rFonts w:ascii="Calibri" w:hAnsi="Calibri"/>
          <w:color w:val="231F20"/>
          <w:spacing w:val="43"/>
          <w:w w:val="105"/>
        </w:rPr>
        <w:t xml:space="preserve"> </w:t>
      </w:r>
      <w:r w:rsidRPr="00A23800">
        <w:rPr>
          <w:rFonts w:ascii="Calibri" w:hAnsi="Calibri"/>
          <w:color w:val="231F20"/>
          <w:w w:val="105"/>
        </w:rPr>
        <w:t>development</w:t>
      </w:r>
      <w:r w:rsidRPr="00A23800">
        <w:rPr>
          <w:rFonts w:ascii="Calibri" w:hAnsi="Calibri"/>
          <w:color w:val="231F20"/>
          <w:spacing w:val="43"/>
          <w:w w:val="105"/>
        </w:rPr>
        <w:t xml:space="preserve"> </w:t>
      </w:r>
      <w:r w:rsidRPr="00A23800">
        <w:rPr>
          <w:rFonts w:ascii="Calibri" w:hAnsi="Calibri"/>
          <w:color w:val="231F20"/>
          <w:w w:val="105"/>
        </w:rPr>
        <w:t>activities,</w:t>
      </w:r>
      <w:r w:rsidRPr="00A23800">
        <w:rPr>
          <w:rFonts w:ascii="Calibri" w:hAnsi="Calibri"/>
          <w:color w:val="231F20"/>
          <w:spacing w:val="43"/>
          <w:w w:val="105"/>
        </w:rPr>
        <w:t xml:space="preserve"> </w:t>
      </w:r>
      <w:r w:rsidRPr="00A23800">
        <w:rPr>
          <w:rFonts w:ascii="Calibri" w:hAnsi="Calibri"/>
          <w:color w:val="231F20"/>
          <w:w w:val="105"/>
        </w:rPr>
        <w:t>such</w:t>
      </w:r>
      <w:r w:rsidRPr="00A23800">
        <w:rPr>
          <w:rFonts w:ascii="Calibri" w:hAnsi="Calibri"/>
          <w:color w:val="231F20"/>
          <w:spacing w:val="43"/>
          <w:w w:val="105"/>
        </w:rPr>
        <w:t xml:space="preserve"> </w:t>
      </w:r>
      <w:r w:rsidRPr="00A23800">
        <w:rPr>
          <w:rFonts w:ascii="Calibri" w:hAnsi="Calibri"/>
          <w:color w:val="231F20"/>
          <w:w w:val="105"/>
        </w:rPr>
        <w:t>as</w:t>
      </w:r>
      <w:r w:rsidRPr="00A23800">
        <w:rPr>
          <w:rFonts w:ascii="Calibri" w:hAnsi="Calibri"/>
          <w:color w:val="231F20"/>
          <w:spacing w:val="43"/>
          <w:w w:val="105"/>
        </w:rPr>
        <w:t xml:space="preserve"> </w:t>
      </w:r>
      <w:r w:rsidRPr="00A23800">
        <w:rPr>
          <w:rFonts w:ascii="Calibri" w:hAnsi="Calibri"/>
          <w:color w:val="231F20"/>
          <w:w w:val="105"/>
        </w:rPr>
        <w:t>attending</w:t>
      </w:r>
      <w:r w:rsidRPr="00A23800">
        <w:rPr>
          <w:rFonts w:ascii="Calibri" w:hAnsi="Calibri"/>
          <w:color w:val="231F20"/>
          <w:spacing w:val="43"/>
          <w:w w:val="105"/>
        </w:rPr>
        <w:t xml:space="preserve"> </w:t>
      </w:r>
      <w:r w:rsidRPr="00A23800">
        <w:rPr>
          <w:rFonts w:ascii="Calibri" w:hAnsi="Calibri"/>
          <w:color w:val="231F20"/>
          <w:w w:val="105"/>
        </w:rPr>
        <w:t>conferences,</w:t>
      </w:r>
      <w:r w:rsidRPr="00A23800">
        <w:rPr>
          <w:rFonts w:ascii="Calibri" w:hAnsi="Calibri"/>
          <w:color w:val="231F20"/>
          <w:spacing w:val="43"/>
          <w:w w:val="105"/>
        </w:rPr>
        <w:t xml:space="preserve"> </w:t>
      </w:r>
      <w:r w:rsidRPr="00A23800">
        <w:rPr>
          <w:rFonts w:ascii="Calibri" w:hAnsi="Calibri"/>
          <w:color w:val="231F20"/>
          <w:w w:val="105"/>
        </w:rPr>
        <w:t>purchasing</w:t>
      </w:r>
      <w:r w:rsidR="006206D4">
        <w:rPr>
          <w:rFonts w:ascii="Calibri" w:hAnsi="Calibri"/>
          <w:color w:val="231F20"/>
          <w:w w:val="105"/>
        </w:rPr>
        <w:t xml:space="preserve"> </w:t>
      </w:r>
      <w:r w:rsidRPr="00A23800">
        <w:rPr>
          <w:rFonts w:ascii="Calibri" w:hAnsi="Calibri"/>
          <w:color w:val="231F20"/>
          <w:w w:val="105"/>
        </w:rPr>
        <w:t>books,</w:t>
      </w:r>
      <w:r w:rsidRPr="00A23800">
        <w:rPr>
          <w:rFonts w:ascii="Calibri" w:hAnsi="Calibri"/>
          <w:color w:val="231F20"/>
          <w:spacing w:val="31"/>
          <w:w w:val="105"/>
        </w:rPr>
        <w:t xml:space="preserve"> </w:t>
      </w:r>
      <w:r w:rsidRPr="00A23800">
        <w:rPr>
          <w:rFonts w:ascii="Calibri" w:hAnsi="Calibri"/>
          <w:color w:val="231F20"/>
          <w:w w:val="105"/>
        </w:rPr>
        <w:t>CDs,</w:t>
      </w:r>
      <w:r w:rsidRPr="00A23800">
        <w:rPr>
          <w:rFonts w:ascii="Calibri" w:hAnsi="Calibri"/>
          <w:color w:val="231F20"/>
          <w:spacing w:val="31"/>
          <w:w w:val="105"/>
        </w:rPr>
        <w:t xml:space="preserve"> </w:t>
      </w:r>
      <w:r w:rsidRPr="00A23800">
        <w:rPr>
          <w:rFonts w:ascii="Calibri" w:hAnsi="Calibri"/>
          <w:color w:val="231F20"/>
          <w:w w:val="105"/>
        </w:rPr>
        <w:t>DVDs,</w:t>
      </w:r>
      <w:r w:rsidRPr="00A23800">
        <w:rPr>
          <w:rFonts w:ascii="Calibri" w:hAnsi="Calibri"/>
          <w:color w:val="231F20"/>
          <w:spacing w:val="31"/>
          <w:w w:val="105"/>
        </w:rPr>
        <w:t xml:space="preserve"> </w:t>
      </w:r>
      <w:r w:rsidRPr="00A23800">
        <w:rPr>
          <w:rFonts w:ascii="Calibri" w:hAnsi="Calibri"/>
          <w:color w:val="231F20"/>
          <w:w w:val="105"/>
        </w:rPr>
        <w:t>or</w:t>
      </w:r>
      <w:r w:rsidRPr="00A23800">
        <w:rPr>
          <w:rFonts w:ascii="Calibri" w:hAnsi="Calibri"/>
          <w:color w:val="231F20"/>
          <w:spacing w:val="31"/>
          <w:w w:val="105"/>
        </w:rPr>
        <w:t xml:space="preserve"> </w:t>
      </w:r>
      <w:r w:rsidRPr="00A23800">
        <w:rPr>
          <w:rFonts w:ascii="Calibri" w:hAnsi="Calibri"/>
          <w:color w:val="231F20"/>
          <w:w w:val="105"/>
        </w:rPr>
        <w:t>other</w:t>
      </w:r>
      <w:r w:rsidRPr="00A23800">
        <w:rPr>
          <w:rFonts w:ascii="Calibri" w:hAnsi="Calibri"/>
          <w:color w:val="231F20"/>
          <w:spacing w:val="31"/>
          <w:w w:val="105"/>
        </w:rPr>
        <w:t xml:space="preserve"> </w:t>
      </w:r>
      <w:r w:rsidRPr="00A23800">
        <w:rPr>
          <w:rFonts w:ascii="Calibri" w:hAnsi="Calibri"/>
          <w:color w:val="231F20"/>
          <w:w w:val="105"/>
        </w:rPr>
        <w:t>materials,</w:t>
      </w:r>
      <w:r w:rsidRPr="00A23800">
        <w:rPr>
          <w:rFonts w:ascii="Calibri" w:hAnsi="Calibri"/>
          <w:color w:val="231F20"/>
          <w:spacing w:val="31"/>
          <w:w w:val="105"/>
        </w:rPr>
        <w:t xml:space="preserve"> </w:t>
      </w:r>
      <w:r w:rsidRPr="00A23800">
        <w:rPr>
          <w:rFonts w:ascii="Calibri" w:hAnsi="Calibri"/>
          <w:color w:val="231F20"/>
          <w:w w:val="105"/>
        </w:rPr>
        <w:t>taking</w:t>
      </w:r>
      <w:r w:rsidRPr="00A23800">
        <w:rPr>
          <w:rFonts w:ascii="Calibri" w:hAnsi="Calibri"/>
          <w:color w:val="231F20"/>
          <w:spacing w:val="31"/>
          <w:w w:val="105"/>
        </w:rPr>
        <w:t xml:space="preserve"> </w:t>
      </w:r>
      <w:r w:rsidRPr="00A23800">
        <w:rPr>
          <w:rFonts w:ascii="Calibri" w:hAnsi="Calibri"/>
          <w:color w:val="231F20"/>
          <w:w w:val="105"/>
        </w:rPr>
        <w:t>online</w:t>
      </w:r>
      <w:r w:rsidRPr="00A23800">
        <w:rPr>
          <w:rFonts w:ascii="Calibri" w:hAnsi="Calibri"/>
          <w:color w:val="231F20"/>
          <w:spacing w:val="31"/>
          <w:w w:val="105"/>
        </w:rPr>
        <w:t xml:space="preserve"> </w:t>
      </w:r>
      <w:r w:rsidRPr="00A23800">
        <w:rPr>
          <w:rFonts w:ascii="Calibri" w:hAnsi="Calibri"/>
          <w:color w:val="231F20"/>
          <w:w w:val="105"/>
        </w:rPr>
        <w:t>short</w:t>
      </w:r>
      <w:r w:rsidRPr="00A23800">
        <w:rPr>
          <w:rFonts w:ascii="Calibri" w:hAnsi="Calibri"/>
          <w:color w:val="231F20"/>
          <w:spacing w:val="31"/>
          <w:w w:val="105"/>
        </w:rPr>
        <w:t xml:space="preserve"> </w:t>
      </w:r>
      <w:r w:rsidRPr="00A23800">
        <w:rPr>
          <w:rFonts w:ascii="Calibri" w:hAnsi="Calibri"/>
          <w:color w:val="231F20"/>
          <w:w w:val="105"/>
        </w:rPr>
        <w:t>courses,</w:t>
      </w:r>
      <w:r w:rsidRPr="00A23800">
        <w:rPr>
          <w:rFonts w:ascii="Calibri" w:hAnsi="Calibri"/>
          <w:color w:val="231F20"/>
          <w:spacing w:val="31"/>
          <w:w w:val="105"/>
        </w:rPr>
        <w:t xml:space="preserve"> </w:t>
      </w:r>
      <w:r w:rsidRPr="00A23800">
        <w:rPr>
          <w:rFonts w:ascii="Calibri" w:hAnsi="Calibri"/>
          <w:color w:val="231F20"/>
          <w:w w:val="105"/>
        </w:rPr>
        <w:t>or</w:t>
      </w:r>
      <w:r w:rsidRPr="00A23800">
        <w:rPr>
          <w:rFonts w:ascii="Calibri" w:hAnsi="Calibri"/>
          <w:color w:val="231F20"/>
          <w:spacing w:val="31"/>
          <w:w w:val="105"/>
        </w:rPr>
        <w:t xml:space="preserve"> </w:t>
      </w:r>
      <w:r w:rsidRPr="00A23800">
        <w:rPr>
          <w:rFonts w:ascii="Calibri" w:hAnsi="Calibri"/>
          <w:color w:val="231F20"/>
          <w:w w:val="105"/>
        </w:rPr>
        <w:t>any</w:t>
      </w:r>
      <w:r w:rsidRPr="00A23800">
        <w:rPr>
          <w:rFonts w:ascii="Calibri" w:hAnsi="Calibri"/>
          <w:color w:val="231F20"/>
          <w:spacing w:val="31"/>
          <w:w w:val="105"/>
        </w:rPr>
        <w:t xml:space="preserve"> </w:t>
      </w:r>
      <w:r w:rsidRPr="00A23800">
        <w:rPr>
          <w:rFonts w:ascii="Calibri" w:hAnsi="Calibri"/>
          <w:color w:val="231F20"/>
          <w:w w:val="105"/>
        </w:rPr>
        <w:t>other</w:t>
      </w:r>
      <w:r w:rsidRPr="00A23800">
        <w:rPr>
          <w:rFonts w:ascii="Calibri" w:hAnsi="Calibri"/>
          <w:color w:val="231F20"/>
          <w:spacing w:val="31"/>
          <w:w w:val="105"/>
        </w:rPr>
        <w:t xml:space="preserve"> </w:t>
      </w:r>
      <w:r w:rsidRPr="00A23800">
        <w:rPr>
          <w:rFonts w:ascii="Calibri" w:hAnsi="Calibri"/>
          <w:color w:val="231F20"/>
          <w:w w:val="105"/>
        </w:rPr>
        <w:t>approved</w:t>
      </w:r>
      <w:r w:rsidRPr="00A23800">
        <w:rPr>
          <w:rFonts w:ascii="Calibri" w:hAnsi="Calibri"/>
          <w:color w:val="231F20"/>
          <w:spacing w:val="31"/>
          <w:w w:val="105"/>
        </w:rPr>
        <w:t xml:space="preserve"> </w:t>
      </w:r>
      <w:r w:rsidRPr="00DA2309">
        <w:t>professional developmen</w:t>
      </w:r>
      <w:r w:rsidRPr="00A23800">
        <w:rPr>
          <w:rFonts w:ascii="Calibri" w:hAnsi="Calibri"/>
          <w:color w:val="231F20"/>
          <w:w w:val="105"/>
        </w:rPr>
        <w:t>t</w:t>
      </w:r>
      <w:r w:rsidRPr="00A23800">
        <w:rPr>
          <w:rFonts w:ascii="Calibri" w:hAnsi="Calibri"/>
          <w:color w:val="231F20"/>
          <w:spacing w:val="38"/>
          <w:w w:val="105"/>
        </w:rPr>
        <w:t xml:space="preserve"> </w:t>
      </w:r>
      <w:r w:rsidRPr="00A23800">
        <w:rPr>
          <w:rFonts w:ascii="Calibri" w:hAnsi="Calibri"/>
          <w:color w:val="231F20"/>
          <w:w w:val="105"/>
        </w:rPr>
        <w:t>activity.</w:t>
      </w:r>
      <w:r w:rsidRPr="00A23800">
        <w:rPr>
          <w:rFonts w:ascii="Calibri" w:hAnsi="Calibri"/>
          <w:color w:val="231F20"/>
          <w:spacing w:val="38"/>
          <w:w w:val="105"/>
        </w:rPr>
        <w:t xml:space="preserve"> </w:t>
      </w:r>
      <w:r w:rsidRPr="00A23800">
        <w:rPr>
          <w:rFonts w:ascii="Calibri" w:hAnsi="Calibri"/>
          <w:color w:val="231F20"/>
          <w:w w:val="105"/>
        </w:rPr>
        <w:t>Supervisory</w:t>
      </w:r>
      <w:r w:rsidRPr="00A23800">
        <w:rPr>
          <w:rFonts w:ascii="Calibri" w:hAnsi="Calibri"/>
          <w:color w:val="231F20"/>
          <w:spacing w:val="38"/>
          <w:w w:val="105"/>
        </w:rPr>
        <w:t xml:space="preserve"> </w:t>
      </w:r>
      <w:r w:rsidRPr="00A23800">
        <w:rPr>
          <w:rFonts w:ascii="Calibri" w:hAnsi="Calibri"/>
          <w:color w:val="231F20"/>
          <w:w w:val="105"/>
        </w:rPr>
        <w:t>approval</w:t>
      </w:r>
      <w:r w:rsidRPr="00A23800">
        <w:rPr>
          <w:rFonts w:ascii="Calibri" w:hAnsi="Calibri"/>
          <w:color w:val="231F20"/>
          <w:spacing w:val="38"/>
          <w:w w:val="105"/>
        </w:rPr>
        <w:t xml:space="preserve"> </w:t>
      </w:r>
      <w:r w:rsidRPr="00A23800">
        <w:rPr>
          <w:rFonts w:ascii="Calibri" w:hAnsi="Calibri"/>
          <w:color w:val="231F20"/>
          <w:w w:val="105"/>
        </w:rPr>
        <w:t>is</w:t>
      </w:r>
      <w:r w:rsidRPr="00A23800">
        <w:rPr>
          <w:rFonts w:ascii="Calibri" w:hAnsi="Calibri"/>
          <w:color w:val="231F20"/>
          <w:spacing w:val="38"/>
          <w:w w:val="105"/>
        </w:rPr>
        <w:t xml:space="preserve"> </w:t>
      </w:r>
      <w:r w:rsidRPr="00A23800">
        <w:rPr>
          <w:rFonts w:ascii="Calibri" w:hAnsi="Calibri"/>
          <w:color w:val="231F20"/>
          <w:w w:val="105"/>
        </w:rPr>
        <w:t>required</w:t>
      </w:r>
      <w:r w:rsidRPr="00A23800">
        <w:rPr>
          <w:rFonts w:ascii="Calibri" w:hAnsi="Calibri"/>
          <w:color w:val="231F20"/>
          <w:spacing w:val="38"/>
          <w:w w:val="105"/>
        </w:rPr>
        <w:t xml:space="preserve"> </w:t>
      </w:r>
      <w:r w:rsidRPr="00A23800">
        <w:rPr>
          <w:rFonts w:ascii="Calibri" w:hAnsi="Calibri"/>
          <w:color w:val="231F20"/>
          <w:w w:val="105"/>
        </w:rPr>
        <w:t>for</w:t>
      </w:r>
      <w:r w:rsidRPr="00A23800">
        <w:rPr>
          <w:rFonts w:ascii="Calibri" w:hAnsi="Calibri"/>
          <w:color w:val="231F20"/>
          <w:spacing w:val="38"/>
          <w:w w:val="105"/>
        </w:rPr>
        <w:t xml:space="preserve"> </w:t>
      </w:r>
      <w:r w:rsidRPr="00A23800">
        <w:rPr>
          <w:rFonts w:ascii="Calibri" w:hAnsi="Calibri"/>
          <w:color w:val="231F20"/>
          <w:w w:val="105"/>
        </w:rPr>
        <w:t>these</w:t>
      </w:r>
      <w:r w:rsidRPr="00A23800">
        <w:rPr>
          <w:rFonts w:ascii="Calibri" w:hAnsi="Calibri"/>
          <w:color w:val="231F20"/>
          <w:spacing w:val="38"/>
          <w:w w:val="105"/>
        </w:rPr>
        <w:t xml:space="preserve"> </w:t>
      </w:r>
      <w:r w:rsidRPr="00A23800">
        <w:rPr>
          <w:rFonts w:ascii="Calibri" w:hAnsi="Calibri"/>
          <w:color w:val="231F20"/>
          <w:w w:val="105"/>
        </w:rPr>
        <w:t>professional</w:t>
      </w:r>
      <w:r w:rsidRPr="00A23800">
        <w:rPr>
          <w:rFonts w:ascii="Calibri" w:hAnsi="Calibri"/>
          <w:color w:val="231F20"/>
          <w:spacing w:val="38"/>
          <w:w w:val="105"/>
        </w:rPr>
        <w:t xml:space="preserve"> </w:t>
      </w:r>
      <w:r w:rsidRPr="00A23800">
        <w:rPr>
          <w:rFonts w:ascii="Calibri" w:hAnsi="Calibri"/>
          <w:color w:val="231F20"/>
          <w:w w:val="105"/>
        </w:rPr>
        <w:t>development</w:t>
      </w:r>
      <w:r w:rsidRPr="00A23800">
        <w:rPr>
          <w:rFonts w:ascii="Calibri" w:hAnsi="Calibri"/>
          <w:color w:val="231F20"/>
          <w:spacing w:val="38"/>
          <w:w w:val="105"/>
        </w:rPr>
        <w:t xml:space="preserve"> </w:t>
      </w:r>
      <w:r w:rsidRPr="00A23800">
        <w:rPr>
          <w:rFonts w:ascii="Calibri" w:hAnsi="Calibri"/>
          <w:color w:val="231F20"/>
          <w:w w:val="105"/>
        </w:rPr>
        <w:t>activities</w:t>
      </w:r>
      <w:r w:rsidRPr="00A23800">
        <w:rPr>
          <w:rFonts w:ascii="Calibri" w:hAnsi="Calibri"/>
          <w:color w:val="231F20"/>
          <w:spacing w:val="2"/>
          <w:w w:val="105"/>
        </w:rPr>
        <w:t xml:space="preserve"> </w:t>
      </w:r>
      <w:r w:rsidRPr="00A23800">
        <w:rPr>
          <w:rFonts w:ascii="Calibri" w:hAnsi="Calibri"/>
          <w:color w:val="231F20"/>
          <w:w w:val="105"/>
        </w:rPr>
        <w:t>to ensure that employees participate in activities consistent with their individual needs and job</w:t>
      </w:r>
      <w:r w:rsidRPr="00A23800">
        <w:rPr>
          <w:rFonts w:ascii="Calibri" w:hAnsi="Calibri"/>
          <w:color w:val="231F20"/>
          <w:spacing w:val="11"/>
          <w:w w:val="105"/>
        </w:rPr>
        <w:t xml:space="preserve"> </w:t>
      </w:r>
      <w:r w:rsidRPr="00A23800">
        <w:rPr>
          <w:rFonts w:ascii="Calibri" w:hAnsi="Calibri"/>
          <w:color w:val="231F20"/>
          <w:w w:val="105"/>
        </w:rPr>
        <w:t>responsibilities</w:t>
      </w:r>
      <w:r w:rsidR="006206D4">
        <w:rPr>
          <w:rFonts w:ascii="Calibri" w:hAnsi="Calibri"/>
          <w:color w:val="231F20"/>
          <w:spacing w:val="40"/>
          <w:w w:val="105"/>
        </w:rPr>
        <w:t xml:space="preserve"> </w:t>
      </w:r>
      <w:r w:rsidRPr="00A23800">
        <w:rPr>
          <w:rFonts w:ascii="Calibri" w:hAnsi="Calibri"/>
          <w:color w:val="231F20"/>
          <w:w w:val="105"/>
        </w:rPr>
        <w:t>and</w:t>
      </w:r>
      <w:r w:rsidRPr="00A23800">
        <w:rPr>
          <w:rFonts w:ascii="Calibri" w:hAnsi="Calibri"/>
          <w:color w:val="231F20"/>
          <w:spacing w:val="40"/>
          <w:w w:val="105"/>
        </w:rPr>
        <w:t xml:space="preserve"> </w:t>
      </w:r>
      <w:r w:rsidRPr="00A23800">
        <w:rPr>
          <w:rFonts w:ascii="Calibri" w:hAnsi="Calibri"/>
          <w:color w:val="231F20"/>
          <w:w w:val="105"/>
        </w:rPr>
        <w:t>requirements.</w:t>
      </w:r>
      <w:r w:rsidRPr="00A23800">
        <w:rPr>
          <w:rFonts w:ascii="Calibri" w:hAnsi="Calibri"/>
          <w:color w:val="231F20"/>
          <w:spacing w:val="40"/>
          <w:w w:val="105"/>
        </w:rPr>
        <w:t xml:space="preserve"> </w:t>
      </w:r>
      <w:r>
        <w:rPr>
          <w:rFonts w:ascii="Calibri" w:hAnsi="Calibri"/>
          <w:color w:val="231F20"/>
          <w:w w:val="105"/>
        </w:rPr>
        <w:t>LDO</w:t>
      </w:r>
      <w:r w:rsidRPr="00A23800">
        <w:rPr>
          <w:rFonts w:ascii="Calibri" w:hAnsi="Calibri"/>
          <w:color w:val="231F20"/>
          <w:spacing w:val="40"/>
          <w:w w:val="105"/>
        </w:rPr>
        <w:t xml:space="preserve"> </w:t>
      </w:r>
      <w:r w:rsidRPr="00A23800">
        <w:rPr>
          <w:rFonts w:ascii="Calibri" w:hAnsi="Calibri"/>
          <w:color w:val="231F20"/>
          <w:w w:val="105"/>
        </w:rPr>
        <w:t>provides</w:t>
      </w:r>
      <w:r w:rsidRPr="00A23800">
        <w:rPr>
          <w:rFonts w:ascii="Calibri" w:hAnsi="Calibri"/>
          <w:color w:val="231F20"/>
          <w:spacing w:val="40"/>
          <w:w w:val="105"/>
        </w:rPr>
        <w:t xml:space="preserve"> </w:t>
      </w:r>
      <w:r w:rsidRPr="00A23800">
        <w:rPr>
          <w:rFonts w:ascii="Calibri" w:hAnsi="Calibri"/>
          <w:color w:val="231F20"/>
          <w:w w:val="105"/>
        </w:rPr>
        <w:t>consultation</w:t>
      </w:r>
      <w:r w:rsidRPr="00A23800">
        <w:rPr>
          <w:rFonts w:ascii="Calibri" w:hAnsi="Calibri"/>
          <w:color w:val="231F20"/>
          <w:spacing w:val="40"/>
          <w:w w:val="105"/>
        </w:rPr>
        <w:t xml:space="preserve"> </w:t>
      </w:r>
      <w:r w:rsidRPr="00A23800">
        <w:rPr>
          <w:rFonts w:ascii="Calibri" w:hAnsi="Calibri"/>
          <w:color w:val="231F20"/>
          <w:w w:val="105"/>
        </w:rPr>
        <w:t>and</w:t>
      </w:r>
      <w:r w:rsidRPr="00A23800">
        <w:rPr>
          <w:rFonts w:ascii="Calibri" w:hAnsi="Calibri"/>
          <w:color w:val="231F20"/>
          <w:spacing w:val="40"/>
          <w:w w:val="105"/>
        </w:rPr>
        <w:t xml:space="preserve"> </w:t>
      </w:r>
      <w:r w:rsidRPr="00A23800">
        <w:rPr>
          <w:rFonts w:ascii="Calibri" w:hAnsi="Calibri"/>
          <w:color w:val="231F20"/>
          <w:w w:val="105"/>
        </w:rPr>
        <w:t>technical</w:t>
      </w:r>
      <w:r w:rsidRPr="00A23800">
        <w:rPr>
          <w:rFonts w:ascii="Calibri" w:hAnsi="Calibri"/>
          <w:color w:val="231F20"/>
          <w:spacing w:val="40"/>
          <w:w w:val="105"/>
        </w:rPr>
        <w:t xml:space="preserve"> </w:t>
      </w:r>
      <w:r w:rsidRPr="00A23800">
        <w:rPr>
          <w:rFonts w:ascii="Calibri" w:hAnsi="Calibri"/>
          <w:color w:val="231F20"/>
          <w:w w:val="105"/>
        </w:rPr>
        <w:t>assistance</w:t>
      </w:r>
      <w:r w:rsidRPr="00A23800">
        <w:rPr>
          <w:rFonts w:ascii="Calibri" w:hAnsi="Calibri"/>
          <w:color w:val="231F20"/>
          <w:spacing w:val="40"/>
          <w:w w:val="105"/>
        </w:rPr>
        <w:t xml:space="preserve"> </w:t>
      </w:r>
      <w:r w:rsidRPr="00A23800">
        <w:rPr>
          <w:rFonts w:ascii="Calibri" w:hAnsi="Calibri"/>
          <w:color w:val="231F20"/>
          <w:w w:val="105"/>
        </w:rPr>
        <w:t>to</w:t>
      </w:r>
      <w:r w:rsidRPr="00A23800">
        <w:rPr>
          <w:rFonts w:ascii="Calibri" w:hAnsi="Calibri"/>
          <w:color w:val="231F20"/>
          <w:spacing w:val="-23"/>
          <w:w w:val="105"/>
        </w:rPr>
        <w:t xml:space="preserve"> </w:t>
      </w:r>
      <w:r w:rsidRPr="00A23800">
        <w:rPr>
          <w:rFonts w:ascii="Calibri" w:hAnsi="Calibri"/>
          <w:color w:val="231F20"/>
          <w:w w:val="105"/>
        </w:rPr>
        <w:t>VR employees as needed.</w:t>
      </w:r>
    </w:p>
    <w:p w14:paraId="1ABB90A2" w14:textId="77777777" w:rsidR="00A07550" w:rsidRPr="00A23800" w:rsidRDefault="00A07550" w:rsidP="00D63204">
      <w:pPr>
        <w:widowControl w:val="0"/>
        <w:spacing w:after="0" w:line="240" w:lineRule="auto"/>
        <w:ind w:left="107"/>
        <w:rPr>
          <w:rFonts w:ascii="Calibri" w:hAnsi="Calibri"/>
        </w:rPr>
        <w:sectPr w:rsidR="00A07550" w:rsidRPr="00A23800">
          <w:pgSz w:w="12240" w:h="15840"/>
          <w:pgMar w:top="1620" w:right="900" w:bottom="820" w:left="900" w:header="812" w:footer="624" w:gutter="0"/>
          <w:cols w:space="720"/>
        </w:sectPr>
      </w:pPr>
    </w:p>
    <w:p w14:paraId="30D1C76D" w14:textId="77777777" w:rsidR="006206D4" w:rsidRDefault="006206D4" w:rsidP="00D63204">
      <w:pPr>
        <w:widowControl w:val="0"/>
        <w:spacing w:before="58" w:after="0" w:line="240" w:lineRule="auto"/>
        <w:ind w:left="107"/>
        <w:rPr>
          <w:rFonts w:ascii="Calibri" w:hAnsi="Calibri"/>
          <w:color w:val="231F20"/>
          <w:w w:val="105"/>
        </w:rPr>
      </w:pPr>
    </w:p>
    <w:p w14:paraId="28A85E09" w14:textId="35ACC7D7" w:rsidR="00A07550" w:rsidRPr="00A23800" w:rsidRDefault="00A07550" w:rsidP="00D63204">
      <w:pPr>
        <w:widowControl w:val="0"/>
        <w:spacing w:before="58" w:after="0" w:line="240" w:lineRule="auto"/>
        <w:ind w:left="107"/>
        <w:rPr>
          <w:rFonts w:ascii="Calibri" w:hAnsi="Calibri"/>
        </w:rPr>
      </w:pPr>
      <w:r w:rsidRPr="00A23800">
        <w:rPr>
          <w:rFonts w:ascii="Calibri" w:hAnsi="Calibri"/>
          <w:color w:val="231F20"/>
          <w:w w:val="105"/>
        </w:rPr>
        <w:t>Florida</w:t>
      </w:r>
      <w:r w:rsidRPr="00A23800">
        <w:rPr>
          <w:rFonts w:ascii="Calibri" w:hAnsi="Calibri"/>
          <w:color w:val="231F20"/>
          <w:spacing w:val="7"/>
          <w:w w:val="105"/>
        </w:rPr>
        <w:t xml:space="preserve"> </w:t>
      </w:r>
      <w:r w:rsidRPr="00A23800">
        <w:rPr>
          <w:rFonts w:ascii="Calibri" w:hAnsi="Calibri"/>
          <w:color w:val="231F20"/>
          <w:w w:val="105"/>
        </w:rPr>
        <w:t>State</w:t>
      </w:r>
      <w:r w:rsidRPr="00A23800">
        <w:rPr>
          <w:rFonts w:ascii="Calibri" w:hAnsi="Calibri"/>
          <w:color w:val="231F20"/>
          <w:spacing w:val="7"/>
          <w:w w:val="105"/>
        </w:rPr>
        <w:t xml:space="preserve"> </w:t>
      </w:r>
      <w:r w:rsidRPr="00A23800">
        <w:rPr>
          <w:rFonts w:ascii="Calibri" w:hAnsi="Calibri"/>
          <w:color w:val="231F20"/>
          <w:w w:val="105"/>
        </w:rPr>
        <w:t>University</w:t>
      </w:r>
      <w:r w:rsidRPr="00A23800">
        <w:rPr>
          <w:rFonts w:ascii="Calibri" w:hAnsi="Calibri"/>
          <w:color w:val="231F20"/>
          <w:spacing w:val="7"/>
          <w:w w:val="105"/>
        </w:rPr>
        <w:t xml:space="preserve"> </w:t>
      </w:r>
      <w:r w:rsidRPr="00A23800">
        <w:rPr>
          <w:rFonts w:ascii="Calibri" w:hAnsi="Calibri"/>
          <w:color w:val="231F20"/>
          <w:w w:val="105"/>
        </w:rPr>
        <w:t>offers</w:t>
      </w:r>
      <w:r w:rsidRPr="00A23800">
        <w:rPr>
          <w:rFonts w:ascii="Calibri" w:hAnsi="Calibri"/>
          <w:color w:val="231F20"/>
          <w:spacing w:val="7"/>
          <w:w w:val="105"/>
        </w:rPr>
        <w:t xml:space="preserve"> </w:t>
      </w:r>
      <w:r w:rsidRPr="00A23800">
        <w:rPr>
          <w:rFonts w:ascii="Calibri" w:hAnsi="Calibri"/>
          <w:color w:val="231F20"/>
          <w:w w:val="105"/>
        </w:rPr>
        <w:t>a</w:t>
      </w:r>
      <w:r w:rsidRPr="00A23800">
        <w:rPr>
          <w:rFonts w:ascii="Calibri" w:hAnsi="Calibri"/>
          <w:color w:val="231F20"/>
          <w:spacing w:val="7"/>
          <w:w w:val="105"/>
        </w:rPr>
        <w:t xml:space="preserve"> </w:t>
      </w:r>
      <w:r w:rsidRPr="00A23800">
        <w:rPr>
          <w:rFonts w:ascii="Calibri" w:hAnsi="Calibri"/>
          <w:color w:val="231F20"/>
          <w:w w:val="105"/>
        </w:rPr>
        <w:t>Certified</w:t>
      </w:r>
      <w:r w:rsidRPr="00A23800">
        <w:rPr>
          <w:rFonts w:ascii="Calibri" w:hAnsi="Calibri"/>
          <w:color w:val="231F20"/>
          <w:spacing w:val="7"/>
          <w:w w:val="105"/>
        </w:rPr>
        <w:t xml:space="preserve"> </w:t>
      </w:r>
      <w:r w:rsidRPr="00A23800">
        <w:rPr>
          <w:rFonts w:ascii="Calibri" w:hAnsi="Calibri"/>
          <w:color w:val="231F20"/>
          <w:w w:val="105"/>
        </w:rPr>
        <w:t>Public</w:t>
      </w:r>
      <w:r w:rsidRPr="00A23800">
        <w:rPr>
          <w:rFonts w:ascii="Calibri" w:hAnsi="Calibri"/>
          <w:color w:val="231F20"/>
          <w:spacing w:val="7"/>
          <w:w w:val="105"/>
        </w:rPr>
        <w:t xml:space="preserve"> </w:t>
      </w:r>
      <w:r w:rsidRPr="00A23800">
        <w:rPr>
          <w:rFonts w:ascii="Calibri" w:hAnsi="Calibri"/>
          <w:color w:val="231F20"/>
          <w:w w:val="105"/>
        </w:rPr>
        <w:t>Manager</w:t>
      </w:r>
      <w:r w:rsidRPr="00A23800">
        <w:rPr>
          <w:rFonts w:ascii="Calibri" w:hAnsi="Calibri"/>
          <w:color w:val="231F20"/>
          <w:spacing w:val="7"/>
          <w:w w:val="105"/>
        </w:rPr>
        <w:t xml:space="preserve"> </w:t>
      </w:r>
      <w:r w:rsidRPr="00A23800">
        <w:rPr>
          <w:rFonts w:ascii="Calibri" w:hAnsi="Calibri"/>
          <w:color w:val="231F20"/>
          <w:w w:val="105"/>
        </w:rPr>
        <w:t>(CPM)</w:t>
      </w:r>
      <w:r w:rsidRPr="00A23800">
        <w:rPr>
          <w:rFonts w:ascii="Calibri" w:hAnsi="Calibri"/>
          <w:color w:val="231F20"/>
          <w:spacing w:val="7"/>
          <w:w w:val="105"/>
        </w:rPr>
        <w:t xml:space="preserve"> </w:t>
      </w:r>
      <w:r w:rsidRPr="00A23800">
        <w:rPr>
          <w:rFonts w:ascii="Calibri" w:hAnsi="Calibri"/>
          <w:color w:val="231F20"/>
          <w:w w:val="105"/>
        </w:rPr>
        <w:t>program,</w:t>
      </w:r>
      <w:r w:rsidRPr="00A23800">
        <w:rPr>
          <w:rFonts w:ascii="Calibri" w:hAnsi="Calibri"/>
          <w:color w:val="231F20"/>
          <w:spacing w:val="7"/>
          <w:w w:val="105"/>
        </w:rPr>
        <w:t xml:space="preserve"> </w:t>
      </w:r>
      <w:r w:rsidRPr="00A23800">
        <w:rPr>
          <w:rFonts w:ascii="Calibri" w:hAnsi="Calibri"/>
          <w:color w:val="231F20"/>
          <w:w w:val="105"/>
        </w:rPr>
        <w:t>which</w:t>
      </w:r>
      <w:r w:rsidRPr="00A23800">
        <w:rPr>
          <w:rFonts w:ascii="Calibri" w:hAnsi="Calibri"/>
          <w:color w:val="231F20"/>
          <w:spacing w:val="7"/>
          <w:w w:val="105"/>
        </w:rPr>
        <w:t xml:space="preserve"> </w:t>
      </w:r>
      <w:r w:rsidRPr="00A23800">
        <w:rPr>
          <w:rFonts w:ascii="Calibri" w:hAnsi="Calibri"/>
          <w:color w:val="231F20"/>
          <w:w w:val="105"/>
        </w:rPr>
        <w:t>requires</w:t>
      </w:r>
      <w:r w:rsidRPr="00A23800">
        <w:rPr>
          <w:rFonts w:ascii="Calibri" w:hAnsi="Calibri"/>
          <w:color w:val="231F20"/>
          <w:spacing w:val="7"/>
          <w:w w:val="105"/>
        </w:rPr>
        <w:t xml:space="preserve"> </w:t>
      </w:r>
      <w:r w:rsidRPr="00A23800">
        <w:rPr>
          <w:rFonts w:ascii="Calibri" w:hAnsi="Calibri"/>
          <w:color w:val="231F20"/>
          <w:w w:val="105"/>
        </w:rPr>
        <w:t>a</w:t>
      </w:r>
      <w:r w:rsidRPr="00A23800">
        <w:rPr>
          <w:rFonts w:ascii="Calibri" w:hAnsi="Calibri"/>
          <w:color w:val="231F20"/>
          <w:spacing w:val="7"/>
          <w:w w:val="105"/>
        </w:rPr>
        <w:t xml:space="preserve"> </w:t>
      </w:r>
      <w:r w:rsidRPr="00A23800">
        <w:rPr>
          <w:rFonts w:ascii="Calibri" w:hAnsi="Calibri"/>
          <w:color w:val="231F20"/>
          <w:w w:val="105"/>
        </w:rPr>
        <w:t>two-year</w:t>
      </w:r>
      <w:r w:rsidRPr="00A23800">
        <w:rPr>
          <w:rFonts w:ascii="Calibri" w:hAnsi="Calibri"/>
          <w:color w:val="231F20"/>
          <w:spacing w:val="-15"/>
          <w:w w:val="105"/>
        </w:rPr>
        <w:t xml:space="preserve"> </w:t>
      </w:r>
      <w:r w:rsidRPr="00A23800">
        <w:rPr>
          <w:rFonts w:ascii="Calibri" w:hAnsi="Calibri"/>
          <w:color w:val="231F20"/>
          <w:w w:val="105"/>
        </w:rPr>
        <w:t>commitment.</w:t>
      </w:r>
      <w:r w:rsidRPr="00A23800">
        <w:rPr>
          <w:rFonts w:ascii="Calibri" w:hAnsi="Calibri"/>
          <w:color w:val="231F20"/>
          <w:spacing w:val="11"/>
          <w:w w:val="105"/>
        </w:rPr>
        <w:t xml:space="preserve"> </w:t>
      </w:r>
      <w:r w:rsidRPr="00A23800">
        <w:rPr>
          <w:rFonts w:ascii="Calibri" w:hAnsi="Calibri"/>
          <w:color w:val="231F20"/>
          <w:w w:val="105"/>
        </w:rPr>
        <w:t>In</w:t>
      </w:r>
      <w:r w:rsidRPr="00A23800">
        <w:rPr>
          <w:rFonts w:ascii="Calibri" w:hAnsi="Calibri"/>
          <w:color w:val="231F20"/>
          <w:spacing w:val="11"/>
          <w:w w:val="105"/>
        </w:rPr>
        <w:t xml:space="preserve"> </w:t>
      </w:r>
      <w:r w:rsidRPr="00A23800">
        <w:rPr>
          <w:rFonts w:ascii="Calibri" w:hAnsi="Calibri"/>
          <w:color w:val="231F20"/>
          <w:w w:val="105"/>
        </w:rPr>
        <w:t>support</w:t>
      </w:r>
      <w:r w:rsidRPr="00A23800">
        <w:rPr>
          <w:rFonts w:ascii="Calibri" w:hAnsi="Calibri"/>
          <w:color w:val="231F20"/>
          <w:spacing w:val="11"/>
          <w:w w:val="105"/>
        </w:rPr>
        <w:t xml:space="preserve"> </w:t>
      </w:r>
      <w:r w:rsidRPr="00A23800">
        <w:rPr>
          <w:rFonts w:ascii="Calibri" w:hAnsi="Calibri"/>
          <w:color w:val="231F20"/>
          <w:w w:val="105"/>
        </w:rPr>
        <w:t>of</w:t>
      </w:r>
      <w:r w:rsidRPr="00A23800">
        <w:rPr>
          <w:rFonts w:ascii="Calibri" w:hAnsi="Calibri"/>
          <w:color w:val="231F20"/>
          <w:spacing w:val="11"/>
          <w:w w:val="105"/>
        </w:rPr>
        <w:t xml:space="preserve"> </w:t>
      </w:r>
      <w:r w:rsidRPr="00A23800">
        <w:rPr>
          <w:rFonts w:ascii="Calibri" w:hAnsi="Calibri"/>
          <w:color w:val="231F20"/>
          <w:w w:val="105"/>
        </w:rPr>
        <w:t>leadership</w:t>
      </w:r>
      <w:r w:rsidRPr="00A23800">
        <w:rPr>
          <w:rFonts w:ascii="Calibri" w:hAnsi="Calibri"/>
          <w:color w:val="231F20"/>
          <w:spacing w:val="11"/>
          <w:w w:val="105"/>
        </w:rPr>
        <w:t xml:space="preserve"> </w:t>
      </w:r>
      <w:r w:rsidRPr="00A23800">
        <w:rPr>
          <w:rFonts w:ascii="Calibri" w:hAnsi="Calibri"/>
          <w:color w:val="231F20"/>
          <w:w w:val="105"/>
        </w:rPr>
        <w:t>development,</w:t>
      </w:r>
      <w:r w:rsidRPr="00A23800">
        <w:rPr>
          <w:rFonts w:ascii="Calibri" w:hAnsi="Calibri"/>
          <w:color w:val="231F20"/>
          <w:spacing w:val="11"/>
          <w:w w:val="105"/>
        </w:rPr>
        <w:t xml:space="preserve"> </w:t>
      </w:r>
      <w:r w:rsidRPr="00A23800">
        <w:rPr>
          <w:rFonts w:ascii="Calibri" w:hAnsi="Calibri"/>
          <w:color w:val="231F20"/>
          <w:w w:val="105"/>
        </w:rPr>
        <w:t>VR</w:t>
      </w:r>
      <w:r w:rsidRPr="00A23800">
        <w:rPr>
          <w:rFonts w:ascii="Calibri" w:hAnsi="Calibri"/>
          <w:color w:val="231F20"/>
          <w:spacing w:val="11"/>
          <w:w w:val="105"/>
        </w:rPr>
        <w:t xml:space="preserve"> </w:t>
      </w:r>
      <w:r w:rsidRPr="00A23800">
        <w:rPr>
          <w:rFonts w:ascii="Calibri" w:hAnsi="Calibri"/>
          <w:color w:val="231F20"/>
          <w:w w:val="105"/>
        </w:rPr>
        <w:t>has</w:t>
      </w:r>
      <w:r w:rsidRPr="00A23800">
        <w:rPr>
          <w:rFonts w:ascii="Calibri" w:hAnsi="Calibri"/>
          <w:color w:val="231F20"/>
          <w:spacing w:val="11"/>
          <w:w w:val="105"/>
        </w:rPr>
        <w:t xml:space="preserve"> </w:t>
      </w:r>
      <w:r w:rsidRPr="00A23800">
        <w:rPr>
          <w:rFonts w:ascii="Calibri" w:hAnsi="Calibri"/>
          <w:color w:val="231F20"/>
          <w:w w:val="105"/>
        </w:rPr>
        <w:t>developed</w:t>
      </w:r>
      <w:r w:rsidRPr="00A23800">
        <w:rPr>
          <w:rFonts w:ascii="Calibri" w:hAnsi="Calibri"/>
          <w:color w:val="231F20"/>
          <w:spacing w:val="11"/>
          <w:w w:val="105"/>
        </w:rPr>
        <w:t xml:space="preserve"> </w:t>
      </w:r>
      <w:r w:rsidRPr="00A23800">
        <w:rPr>
          <w:rFonts w:ascii="Calibri" w:hAnsi="Calibri"/>
          <w:color w:val="231F20"/>
          <w:w w:val="105"/>
        </w:rPr>
        <w:t>an</w:t>
      </w:r>
      <w:r w:rsidRPr="00A23800">
        <w:rPr>
          <w:rFonts w:ascii="Calibri" w:hAnsi="Calibri"/>
          <w:color w:val="231F20"/>
          <w:spacing w:val="11"/>
          <w:w w:val="105"/>
        </w:rPr>
        <w:t xml:space="preserve"> </w:t>
      </w:r>
      <w:r w:rsidRPr="00A23800">
        <w:rPr>
          <w:rFonts w:ascii="Calibri" w:hAnsi="Calibri"/>
          <w:color w:val="231F20"/>
          <w:w w:val="105"/>
        </w:rPr>
        <w:t>internal</w:t>
      </w:r>
      <w:r w:rsidRPr="00A23800">
        <w:rPr>
          <w:rFonts w:ascii="Calibri" w:hAnsi="Calibri"/>
          <w:color w:val="231F20"/>
          <w:spacing w:val="11"/>
          <w:w w:val="105"/>
        </w:rPr>
        <w:t xml:space="preserve"> </w:t>
      </w:r>
      <w:r w:rsidRPr="00A23800">
        <w:rPr>
          <w:rFonts w:ascii="Calibri" w:hAnsi="Calibri"/>
          <w:color w:val="231F20"/>
          <w:w w:val="105"/>
        </w:rPr>
        <w:t>application,</w:t>
      </w:r>
      <w:r w:rsidRPr="00A23800">
        <w:rPr>
          <w:rFonts w:ascii="Calibri" w:hAnsi="Calibri"/>
          <w:color w:val="231F20"/>
          <w:spacing w:val="11"/>
          <w:w w:val="105"/>
        </w:rPr>
        <w:t xml:space="preserve"> </w:t>
      </w:r>
      <w:r w:rsidRPr="00A23800">
        <w:rPr>
          <w:rFonts w:ascii="Calibri" w:hAnsi="Calibri"/>
          <w:color w:val="231F20"/>
          <w:w w:val="105"/>
        </w:rPr>
        <w:t>selection</w:t>
      </w:r>
      <w:r w:rsidR="00D5537E">
        <w:rPr>
          <w:rFonts w:ascii="Calibri" w:hAnsi="Calibri"/>
          <w:color w:val="231F20"/>
          <w:w w:val="105"/>
        </w:rPr>
        <w:t xml:space="preserve"> and</w:t>
      </w:r>
      <w:r w:rsidRPr="00A23800">
        <w:rPr>
          <w:rFonts w:ascii="Calibri" w:hAnsi="Calibri"/>
          <w:color w:val="231F20"/>
          <w:spacing w:val="14"/>
          <w:w w:val="105"/>
        </w:rPr>
        <w:t xml:space="preserve"> </w:t>
      </w:r>
      <w:r w:rsidRPr="00A23800">
        <w:rPr>
          <w:rFonts w:ascii="Calibri" w:hAnsi="Calibri"/>
          <w:color w:val="231F20"/>
          <w:w w:val="105"/>
        </w:rPr>
        <w:t>CPM</w:t>
      </w:r>
      <w:r w:rsidRPr="00A23800">
        <w:rPr>
          <w:rFonts w:ascii="Calibri" w:hAnsi="Calibri"/>
          <w:color w:val="231F20"/>
          <w:spacing w:val="14"/>
          <w:w w:val="105"/>
        </w:rPr>
        <w:t xml:space="preserve"> </w:t>
      </w:r>
      <w:r w:rsidRPr="00A23800">
        <w:rPr>
          <w:rFonts w:ascii="Calibri" w:hAnsi="Calibri"/>
          <w:color w:val="231F20"/>
          <w:w w:val="105"/>
        </w:rPr>
        <w:t>mentoring</w:t>
      </w:r>
      <w:r w:rsidRPr="00A23800">
        <w:rPr>
          <w:rFonts w:ascii="Calibri" w:hAnsi="Calibri"/>
          <w:color w:val="231F20"/>
          <w:spacing w:val="14"/>
          <w:w w:val="105"/>
        </w:rPr>
        <w:t xml:space="preserve"> </w:t>
      </w:r>
      <w:r w:rsidRPr="00A23800">
        <w:rPr>
          <w:rFonts w:ascii="Calibri" w:hAnsi="Calibri"/>
          <w:color w:val="231F20"/>
          <w:w w:val="105"/>
        </w:rPr>
        <w:t>process.</w:t>
      </w:r>
      <w:r w:rsidRPr="00A23800">
        <w:rPr>
          <w:rFonts w:ascii="Calibri" w:hAnsi="Calibri"/>
          <w:color w:val="231F20"/>
          <w:spacing w:val="14"/>
          <w:w w:val="105"/>
        </w:rPr>
        <w:t xml:space="preserve"> </w:t>
      </w:r>
      <w:r w:rsidRPr="00A23800">
        <w:rPr>
          <w:rFonts w:ascii="Calibri" w:hAnsi="Calibri"/>
          <w:color w:val="231F20"/>
          <w:w w:val="105"/>
        </w:rPr>
        <w:t>VR</w:t>
      </w:r>
      <w:r w:rsidRPr="00A23800">
        <w:rPr>
          <w:rFonts w:ascii="Calibri" w:hAnsi="Calibri"/>
          <w:color w:val="231F20"/>
          <w:spacing w:val="14"/>
          <w:w w:val="105"/>
        </w:rPr>
        <w:t xml:space="preserve"> </w:t>
      </w:r>
      <w:r w:rsidRPr="00A23800">
        <w:rPr>
          <w:rFonts w:ascii="Calibri" w:hAnsi="Calibri"/>
          <w:color w:val="231F20"/>
          <w:w w:val="105"/>
        </w:rPr>
        <w:t>tries</w:t>
      </w:r>
      <w:r w:rsidRPr="00A23800">
        <w:rPr>
          <w:rFonts w:ascii="Calibri" w:hAnsi="Calibri"/>
          <w:color w:val="231F20"/>
          <w:spacing w:val="14"/>
          <w:w w:val="105"/>
        </w:rPr>
        <w:t xml:space="preserve"> </w:t>
      </w:r>
      <w:r w:rsidRPr="00A23800">
        <w:rPr>
          <w:rFonts w:ascii="Calibri" w:hAnsi="Calibri"/>
          <w:color w:val="231F20"/>
          <w:w w:val="105"/>
        </w:rPr>
        <w:t>to</w:t>
      </w:r>
      <w:r w:rsidRPr="00A23800">
        <w:rPr>
          <w:rFonts w:ascii="Calibri" w:hAnsi="Calibri"/>
          <w:color w:val="231F20"/>
          <w:spacing w:val="14"/>
          <w:w w:val="105"/>
        </w:rPr>
        <w:t xml:space="preserve"> </w:t>
      </w:r>
      <w:r w:rsidRPr="00A23800">
        <w:rPr>
          <w:rFonts w:ascii="Calibri" w:hAnsi="Calibri"/>
          <w:color w:val="231F20"/>
          <w:w w:val="105"/>
        </w:rPr>
        <w:t>support</w:t>
      </w:r>
      <w:r w:rsidRPr="00A23800">
        <w:rPr>
          <w:rFonts w:ascii="Calibri" w:hAnsi="Calibri"/>
          <w:color w:val="231F20"/>
          <w:spacing w:val="14"/>
          <w:w w:val="105"/>
        </w:rPr>
        <w:t xml:space="preserve"> </w:t>
      </w:r>
      <w:r w:rsidRPr="00A23800">
        <w:rPr>
          <w:rFonts w:ascii="Calibri" w:hAnsi="Calibri"/>
          <w:color w:val="231F20"/>
          <w:w w:val="105"/>
        </w:rPr>
        <w:t>2-4</w:t>
      </w:r>
      <w:r w:rsidRPr="00A23800">
        <w:rPr>
          <w:rFonts w:ascii="Calibri" w:hAnsi="Calibri"/>
          <w:color w:val="231F20"/>
          <w:spacing w:val="14"/>
          <w:w w:val="105"/>
        </w:rPr>
        <w:t xml:space="preserve"> </w:t>
      </w:r>
      <w:r w:rsidRPr="00A23800">
        <w:rPr>
          <w:rFonts w:ascii="Calibri" w:hAnsi="Calibri"/>
          <w:color w:val="231F20"/>
          <w:w w:val="105"/>
        </w:rPr>
        <w:t>new</w:t>
      </w:r>
      <w:r w:rsidRPr="00A23800">
        <w:rPr>
          <w:rFonts w:ascii="Calibri" w:hAnsi="Calibri"/>
          <w:color w:val="231F20"/>
          <w:spacing w:val="14"/>
          <w:w w:val="105"/>
        </w:rPr>
        <w:t xml:space="preserve"> </w:t>
      </w:r>
      <w:r w:rsidRPr="00A23800">
        <w:rPr>
          <w:rFonts w:ascii="Calibri" w:hAnsi="Calibri"/>
          <w:color w:val="231F20"/>
          <w:w w:val="105"/>
        </w:rPr>
        <w:t>candidates</w:t>
      </w:r>
      <w:r w:rsidRPr="00A23800">
        <w:rPr>
          <w:rFonts w:ascii="Calibri" w:hAnsi="Calibri"/>
          <w:color w:val="231F20"/>
          <w:spacing w:val="14"/>
          <w:w w:val="105"/>
        </w:rPr>
        <w:t xml:space="preserve"> </w:t>
      </w:r>
      <w:r w:rsidRPr="00A23800">
        <w:rPr>
          <w:rFonts w:ascii="Calibri" w:hAnsi="Calibri"/>
          <w:color w:val="231F20"/>
          <w:w w:val="105"/>
        </w:rPr>
        <w:t>each</w:t>
      </w:r>
      <w:r w:rsidRPr="00A23800">
        <w:rPr>
          <w:rFonts w:ascii="Calibri" w:hAnsi="Calibri"/>
          <w:color w:val="231F20"/>
          <w:spacing w:val="14"/>
          <w:w w:val="105"/>
        </w:rPr>
        <w:t xml:space="preserve"> </w:t>
      </w:r>
      <w:r w:rsidRPr="00A23800">
        <w:rPr>
          <w:rFonts w:ascii="Calibri" w:hAnsi="Calibri"/>
          <w:color w:val="231F20"/>
          <w:w w:val="105"/>
        </w:rPr>
        <w:t>year</w:t>
      </w:r>
      <w:r w:rsidRPr="00A23800">
        <w:rPr>
          <w:rFonts w:ascii="Calibri" w:hAnsi="Calibri"/>
          <w:color w:val="231F20"/>
          <w:spacing w:val="14"/>
          <w:w w:val="105"/>
        </w:rPr>
        <w:t xml:space="preserve"> </w:t>
      </w:r>
      <w:r w:rsidRPr="00A23800">
        <w:rPr>
          <w:rFonts w:ascii="Calibri" w:hAnsi="Calibri"/>
          <w:color w:val="231F20"/>
          <w:w w:val="105"/>
        </w:rPr>
        <w:t>through</w:t>
      </w:r>
      <w:r w:rsidRPr="00A23800">
        <w:rPr>
          <w:rFonts w:ascii="Calibri" w:hAnsi="Calibri"/>
          <w:color w:val="231F20"/>
          <w:spacing w:val="14"/>
          <w:w w:val="105"/>
        </w:rPr>
        <w:t xml:space="preserve"> </w:t>
      </w:r>
      <w:r w:rsidRPr="00A23800">
        <w:rPr>
          <w:rFonts w:ascii="Calibri" w:hAnsi="Calibri"/>
          <w:color w:val="231F20"/>
          <w:w w:val="105"/>
        </w:rPr>
        <w:t>the</w:t>
      </w:r>
      <w:r w:rsidRPr="00A23800">
        <w:rPr>
          <w:rFonts w:ascii="Calibri" w:hAnsi="Calibri"/>
          <w:color w:val="231F20"/>
          <w:spacing w:val="14"/>
          <w:w w:val="105"/>
        </w:rPr>
        <w:t xml:space="preserve"> </w:t>
      </w:r>
      <w:r w:rsidRPr="00A23800">
        <w:rPr>
          <w:rFonts w:ascii="Calibri" w:hAnsi="Calibri"/>
          <w:color w:val="231F20"/>
          <w:w w:val="105"/>
        </w:rPr>
        <w:t>program</w:t>
      </w:r>
      <w:r w:rsidR="00D5537E">
        <w:rPr>
          <w:rFonts w:ascii="Calibri" w:hAnsi="Calibri"/>
          <w:color w:val="231F20"/>
          <w:w w:val="105"/>
        </w:rPr>
        <w:t xml:space="preserve"> and</w:t>
      </w:r>
      <w:r w:rsidRPr="00A23800">
        <w:rPr>
          <w:rFonts w:ascii="Calibri" w:hAnsi="Calibri"/>
          <w:color w:val="231F20"/>
          <w:spacing w:val="-38"/>
          <w:w w:val="105"/>
        </w:rPr>
        <w:t xml:space="preserve"> </w:t>
      </w:r>
      <w:r w:rsidRPr="00A23800">
        <w:rPr>
          <w:rFonts w:ascii="Calibri" w:hAnsi="Calibri"/>
          <w:color w:val="231F20"/>
          <w:w w:val="105"/>
        </w:rPr>
        <w:t>once they obtain the CPM credential, VR works to involve staff appropriately in division-wide</w:t>
      </w:r>
      <w:r w:rsidRPr="00A23800">
        <w:rPr>
          <w:rFonts w:ascii="Calibri" w:hAnsi="Calibri"/>
          <w:color w:val="231F20"/>
          <w:spacing w:val="33"/>
          <w:w w:val="105"/>
        </w:rPr>
        <w:t xml:space="preserve"> </w:t>
      </w:r>
      <w:r w:rsidRPr="00A23800">
        <w:rPr>
          <w:rFonts w:ascii="Calibri" w:hAnsi="Calibri"/>
          <w:color w:val="231F20"/>
          <w:w w:val="105"/>
        </w:rPr>
        <w:t>improvement</w:t>
      </w:r>
      <w:r w:rsidRPr="00A23800">
        <w:rPr>
          <w:rFonts w:ascii="Calibri" w:hAnsi="Calibri"/>
          <w:color w:val="231F20"/>
          <w:w w:val="104"/>
        </w:rPr>
        <w:t xml:space="preserve"> </w:t>
      </w:r>
      <w:r w:rsidRPr="00A23800">
        <w:rPr>
          <w:rFonts w:ascii="Calibri" w:hAnsi="Calibri"/>
          <w:color w:val="231F20"/>
          <w:w w:val="105"/>
        </w:rPr>
        <w:t>projects.</w:t>
      </w:r>
      <w:r w:rsidRPr="00A23800">
        <w:rPr>
          <w:rFonts w:ascii="Calibri" w:hAnsi="Calibri"/>
          <w:color w:val="231F20"/>
          <w:spacing w:val="15"/>
          <w:w w:val="105"/>
        </w:rPr>
        <w:t xml:space="preserve"> </w:t>
      </w:r>
      <w:r w:rsidRPr="00A23800">
        <w:rPr>
          <w:rFonts w:ascii="Calibri" w:hAnsi="Calibri"/>
          <w:color w:val="231F20"/>
          <w:w w:val="105"/>
        </w:rPr>
        <w:t>There</w:t>
      </w:r>
      <w:r w:rsidRPr="00A23800">
        <w:rPr>
          <w:rFonts w:ascii="Calibri" w:hAnsi="Calibri"/>
          <w:color w:val="231F20"/>
          <w:spacing w:val="15"/>
          <w:w w:val="105"/>
        </w:rPr>
        <w:t xml:space="preserve"> </w:t>
      </w:r>
      <w:r w:rsidRPr="00A23800">
        <w:rPr>
          <w:rFonts w:ascii="Calibri" w:hAnsi="Calibri"/>
          <w:color w:val="231F20"/>
          <w:w w:val="105"/>
        </w:rPr>
        <w:t>are</w:t>
      </w:r>
      <w:r w:rsidRPr="00A23800">
        <w:rPr>
          <w:rFonts w:ascii="Calibri" w:hAnsi="Calibri"/>
          <w:color w:val="231F20"/>
          <w:spacing w:val="15"/>
          <w:w w:val="105"/>
        </w:rPr>
        <w:t xml:space="preserve"> </w:t>
      </w:r>
      <w:r w:rsidRPr="00A23800">
        <w:rPr>
          <w:rFonts w:ascii="Calibri" w:hAnsi="Calibri"/>
          <w:color w:val="231F20"/>
          <w:w w:val="105"/>
        </w:rPr>
        <w:t>currently</w:t>
      </w:r>
      <w:r w:rsidRPr="00A23800">
        <w:rPr>
          <w:rFonts w:ascii="Calibri" w:hAnsi="Calibri"/>
          <w:color w:val="231F20"/>
          <w:spacing w:val="15"/>
          <w:w w:val="105"/>
        </w:rPr>
        <w:t xml:space="preserve"> </w:t>
      </w:r>
      <w:r w:rsidRPr="00A23800">
        <w:rPr>
          <w:rFonts w:ascii="Calibri" w:hAnsi="Calibri"/>
          <w:color w:val="231F20"/>
          <w:w w:val="105"/>
        </w:rPr>
        <w:t>six</w:t>
      </w:r>
      <w:r w:rsidRPr="00A23800">
        <w:rPr>
          <w:rFonts w:ascii="Calibri" w:hAnsi="Calibri"/>
          <w:color w:val="231F20"/>
          <w:spacing w:val="15"/>
          <w:w w:val="105"/>
        </w:rPr>
        <w:t xml:space="preserve"> </w:t>
      </w:r>
      <w:r w:rsidRPr="00A23800">
        <w:rPr>
          <w:rFonts w:ascii="Calibri" w:hAnsi="Calibri"/>
          <w:color w:val="231F20"/>
          <w:w w:val="105"/>
        </w:rPr>
        <w:t>employees</w:t>
      </w:r>
      <w:r w:rsidRPr="00A23800">
        <w:rPr>
          <w:rFonts w:ascii="Calibri" w:hAnsi="Calibri"/>
          <w:color w:val="231F20"/>
          <w:spacing w:val="15"/>
          <w:w w:val="105"/>
        </w:rPr>
        <w:t xml:space="preserve"> </w:t>
      </w:r>
      <w:r w:rsidRPr="00A23800">
        <w:rPr>
          <w:rFonts w:ascii="Calibri" w:hAnsi="Calibri"/>
          <w:color w:val="231F20"/>
          <w:w w:val="105"/>
        </w:rPr>
        <w:t>from</w:t>
      </w:r>
      <w:r w:rsidRPr="00A23800">
        <w:rPr>
          <w:rFonts w:ascii="Calibri" w:hAnsi="Calibri"/>
          <w:color w:val="231F20"/>
          <w:spacing w:val="15"/>
          <w:w w:val="105"/>
        </w:rPr>
        <w:t xml:space="preserve"> </w:t>
      </w:r>
      <w:r w:rsidRPr="00A23800">
        <w:rPr>
          <w:rFonts w:ascii="Calibri" w:hAnsi="Calibri"/>
          <w:color w:val="231F20"/>
          <w:w w:val="105"/>
        </w:rPr>
        <w:t>HQ</w:t>
      </w:r>
      <w:r w:rsidRPr="00A23800">
        <w:rPr>
          <w:rFonts w:ascii="Calibri" w:hAnsi="Calibri"/>
          <w:color w:val="231F20"/>
          <w:spacing w:val="15"/>
          <w:w w:val="105"/>
        </w:rPr>
        <w:t xml:space="preserve"> </w:t>
      </w:r>
      <w:r w:rsidRPr="00A23800">
        <w:rPr>
          <w:rFonts w:ascii="Calibri" w:hAnsi="Calibri"/>
          <w:color w:val="231F20"/>
          <w:w w:val="105"/>
        </w:rPr>
        <w:t>and</w:t>
      </w:r>
      <w:r w:rsidRPr="00A23800">
        <w:rPr>
          <w:rFonts w:ascii="Calibri" w:hAnsi="Calibri"/>
          <w:color w:val="231F20"/>
          <w:spacing w:val="15"/>
          <w:w w:val="105"/>
        </w:rPr>
        <w:t xml:space="preserve"> </w:t>
      </w:r>
      <w:r w:rsidRPr="00A23800">
        <w:rPr>
          <w:rFonts w:ascii="Calibri" w:hAnsi="Calibri"/>
          <w:color w:val="231F20"/>
          <w:w w:val="105"/>
        </w:rPr>
        <w:t>field</w:t>
      </w:r>
      <w:r w:rsidRPr="00A23800">
        <w:rPr>
          <w:rFonts w:ascii="Calibri" w:hAnsi="Calibri"/>
          <w:color w:val="231F20"/>
          <w:spacing w:val="15"/>
          <w:w w:val="105"/>
        </w:rPr>
        <w:t xml:space="preserve"> </w:t>
      </w:r>
      <w:r w:rsidRPr="00A23800">
        <w:rPr>
          <w:rFonts w:ascii="Calibri" w:hAnsi="Calibri"/>
          <w:color w:val="231F20"/>
          <w:w w:val="105"/>
        </w:rPr>
        <w:t>operations</w:t>
      </w:r>
      <w:r w:rsidRPr="00A23800">
        <w:rPr>
          <w:rFonts w:ascii="Calibri" w:hAnsi="Calibri"/>
          <w:color w:val="231F20"/>
          <w:spacing w:val="15"/>
          <w:w w:val="105"/>
        </w:rPr>
        <w:t xml:space="preserve"> </w:t>
      </w:r>
      <w:r w:rsidRPr="00A23800">
        <w:rPr>
          <w:rFonts w:ascii="Calibri" w:hAnsi="Calibri"/>
          <w:color w:val="231F20"/>
          <w:w w:val="105"/>
        </w:rPr>
        <w:t>enrolled</w:t>
      </w:r>
      <w:r w:rsidRPr="00A23800">
        <w:rPr>
          <w:rFonts w:ascii="Calibri" w:hAnsi="Calibri"/>
          <w:color w:val="231F20"/>
          <w:spacing w:val="15"/>
          <w:w w:val="105"/>
        </w:rPr>
        <w:t xml:space="preserve"> </w:t>
      </w:r>
      <w:r w:rsidRPr="00A23800">
        <w:rPr>
          <w:rFonts w:ascii="Calibri" w:hAnsi="Calibri"/>
          <w:color w:val="231F20"/>
          <w:w w:val="105"/>
        </w:rPr>
        <w:t>in</w:t>
      </w:r>
      <w:r w:rsidRPr="00A23800">
        <w:rPr>
          <w:rFonts w:ascii="Calibri" w:hAnsi="Calibri"/>
          <w:color w:val="231F20"/>
          <w:spacing w:val="15"/>
          <w:w w:val="105"/>
        </w:rPr>
        <w:t xml:space="preserve"> </w:t>
      </w:r>
      <w:r w:rsidRPr="00A23800">
        <w:rPr>
          <w:rFonts w:ascii="Calibri" w:hAnsi="Calibri"/>
          <w:color w:val="231F20"/>
          <w:w w:val="105"/>
        </w:rPr>
        <w:t>some</w:t>
      </w:r>
      <w:r w:rsidRPr="00A23800">
        <w:rPr>
          <w:rFonts w:ascii="Calibri" w:hAnsi="Calibri"/>
          <w:color w:val="231F20"/>
          <w:spacing w:val="15"/>
          <w:w w:val="105"/>
        </w:rPr>
        <w:t xml:space="preserve"> </w:t>
      </w:r>
      <w:r w:rsidRPr="00A23800">
        <w:rPr>
          <w:rFonts w:ascii="Calibri" w:hAnsi="Calibri"/>
          <w:color w:val="231F20"/>
          <w:w w:val="105"/>
        </w:rPr>
        <w:t>phase</w:t>
      </w:r>
      <w:r w:rsidRPr="00A23800">
        <w:rPr>
          <w:rFonts w:ascii="Calibri" w:hAnsi="Calibri"/>
          <w:color w:val="231F20"/>
          <w:spacing w:val="15"/>
          <w:w w:val="105"/>
        </w:rPr>
        <w:t xml:space="preserve"> </w:t>
      </w:r>
      <w:r w:rsidRPr="00A23800">
        <w:rPr>
          <w:rFonts w:ascii="Calibri" w:hAnsi="Calibri"/>
          <w:color w:val="231F20"/>
          <w:w w:val="105"/>
        </w:rPr>
        <w:t>of</w:t>
      </w:r>
      <w:r w:rsidRPr="00A23800">
        <w:rPr>
          <w:rFonts w:ascii="Calibri" w:hAnsi="Calibri"/>
          <w:color w:val="231F20"/>
          <w:spacing w:val="15"/>
          <w:w w:val="105"/>
        </w:rPr>
        <w:t xml:space="preserve"> </w:t>
      </w:r>
      <w:r w:rsidRPr="00A23800">
        <w:rPr>
          <w:rFonts w:ascii="Calibri" w:hAnsi="Calibri"/>
          <w:color w:val="231F20"/>
          <w:w w:val="105"/>
        </w:rPr>
        <w:t>CPM.</w:t>
      </w:r>
    </w:p>
    <w:p w14:paraId="5E2C482C" w14:textId="77777777" w:rsidR="00A07550" w:rsidRPr="00A23800" w:rsidRDefault="00A07550" w:rsidP="00D63204">
      <w:pPr>
        <w:widowControl w:val="0"/>
        <w:spacing w:before="5" w:after="0" w:line="240" w:lineRule="auto"/>
        <w:ind w:left="107"/>
        <w:rPr>
          <w:rFonts w:ascii="Calibri" w:hAnsi="Calibri" w:cs="Calibri"/>
          <w:sz w:val="16"/>
          <w:szCs w:val="16"/>
        </w:rPr>
      </w:pPr>
    </w:p>
    <w:p w14:paraId="322AB492" w14:textId="40ADB46C" w:rsidR="00A07550" w:rsidRPr="00A23800" w:rsidRDefault="00A07550" w:rsidP="00D63204">
      <w:pPr>
        <w:widowControl w:val="0"/>
        <w:spacing w:after="0" w:line="240" w:lineRule="auto"/>
        <w:ind w:left="107"/>
        <w:rPr>
          <w:rFonts w:ascii="Calibri" w:hAnsi="Calibri"/>
        </w:rPr>
      </w:pPr>
      <w:r w:rsidRPr="00A23800">
        <w:rPr>
          <w:rFonts w:ascii="Calibri" w:hAnsi="Calibri"/>
          <w:color w:val="231F20"/>
          <w:w w:val="105"/>
        </w:rPr>
        <w:t>VR</w:t>
      </w:r>
      <w:r w:rsidRPr="00A23800">
        <w:rPr>
          <w:rFonts w:ascii="Calibri" w:hAnsi="Calibri"/>
          <w:color w:val="231F20"/>
          <w:spacing w:val="17"/>
          <w:w w:val="105"/>
        </w:rPr>
        <w:t xml:space="preserve"> </w:t>
      </w:r>
      <w:r w:rsidRPr="00A23800">
        <w:rPr>
          <w:rFonts w:ascii="Calibri" w:hAnsi="Calibri"/>
          <w:color w:val="231F20"/>
          <w:w w:val="105"/>
        </w:rPr>
        <w:t>purchased</w:t>
      </w:r>
      <w:r w:rsidRPr="00A23800">
        <w:rPr>
          <w:rFonts w:ascii="Calibri" w:hAnsi="Calibri"/>
          <w:color w:val="231F20"/>
          <w:spacing w:val="17"/>
          <w:w w:val="105"/>
        </w:rPr>
        <w:t xml:space="preserve"> </w:t>
      </w:r>
      <w:r w:rsidRPr="00A23800">
        <w:rPr>
          <w:rFonts w:ascii="Calibri" w:hAnsi="Calibri"/>
          <w:color w:val="231F20"/>
          <w:w w:val="105"/>
        </w:rPr>
        <w:t>a</w:t>
      </w:r>
      <w:r w:rsidRPr="00A23800">
        <w:rPr>
          <w:rFonts w:ascii="Calibri" w:hAnsi="Calibri"/>
          <w:color w:val="231F20"/>
          <w:spacing w:val="17"/>
          <w:w w:val="105"/>
        </w:rPr>
        <w:t xml:space="preserve"> </w:t>
      </w:r>
      <w:r w:rsidRPr="00A23800">
        <w:rPr>
          <w:rFonts w:ascii="Calibri" w:hAnsi="Calibri"/>
          <w:color w:val="231F20"/>
          <w:w w:val="105"/>
        </w:rPr>
        <w:t>learning</w:t>
      </w:r>
      <w:r w:rsidRPr="00A23800">
        <w:rPr>
          <w:rFonts w:ascii="Calibri" w:hAnsi="Calibri"/>
          <w:color w:val="231F20"/>
          <w:spacing w:val="17"/>
          <w:w w:val="105"/>
        </w:rPr>
        <w:t xml:space="preserve"> </w:t>
      </w:r>
      <w:r w:rsidRPr="00A23800">
        <w:rPr>
          <w:rFonts w:ascii="Calibri" w:hAnsi="Calibri"/>
          <w:color w:val="231F20"/>
          <w:w w:val="105"/>
        </w:rPr>
        <w:t>management</w:t>
      </w:r>
      <w:r w:rsidRPr="00A23800">
        <w:rPr>
          <w:rFonts w:ascii="Calibri" w:hAnsi="Calibri"/>
          <w:color w:val="231F20"/>
          <w:spacing w:val="17"/>
          <w:w w:val="105"/>
        </w:rPr>
        <w:t xml:space="preserve"> </w:t>
      </w:r>
      <w:r w:rsidRPr="00A23800">
        <w:rPr>
          <w:rFonts w:ascii="Calibri" w:hAnsi="Calibri"/>
          <w:color w:val="231F20"/>
          <w:w w:val="105"/>
        </w:rPr>
        <w:t>system</w:t>
      </w:r>
      <w:r w:rsidRPr="00A23800">
        <w:rPr>
          <w:rFonts w:ascii="Calibri" w:hAnsi="Calibri"/>
          <w:color w:val="231F20"/>
          <w:spacing w:val="17"/>
          <w:w w:val="105"/>
        </w:rPr>
        <w:t xml:space="preserve"> </w:t>
      </w:r>
      <w:r w:rsidRPr="00A23800">
        <w:rPr>
          <w:rFonts w:ascii="Calibri" w:hAnsi="Calibri"/>
          <w:color w:val="231F20"/>
          <w:w w:val="105"/>
        </w:rPr>
        <w:t>(LMS)</w:t>
      </w:r>
      <w:r w:rsidRPr="00A23800">
        <w:rPr>
          <w:rFonts w:ascii="Calibri" w:hAnsi="Calibri"/>
          <w:color w:val="231F20"/>
          <w:spacing w:val="17"/>
          <w:w w:val="105"/>
        </w:rPr>
        <w:t xml:space="preserve"> </w:t>
      </w:r>
      <w:r w:rsidRPr="00A23800">
        <w:rPr>
          <w:rFonts w:ascii="Calibri" w:hAnsi="Calibri"/>
          <w:color w:val="231F20"/>
          <w:w w:val="105"/>
        </w:rPr>
        <w:t>in</w:t>
      </w:r>
      <w:r w:rsidRPr="00A23800">
        <w:rPr>
          <w:rFonts w:ascii="Calibri" w:hAnsi="Calibri"/>
          <w:color w:val="231F20"/>
          <w:spacing w:val="17"/>
          <w:w w:val="105"/>
        </w:rPr>
        <w:t xml:space="preserve"> </w:t>
      </w:r>
      <w:r w:rsidRPr="00A23800">
        <w:rPr>
          <w:rFonts w:ascii="Calibri" w:hAnsi="Calibri"/>
          <w:color w:val="231F20"/>
          <w:w w:val="105"/>
        </w:rPr>
        <w:t>the</w:t>
      </w:r>
      <w:r w:rsidRPr="00A23800">
        <w:rPr>
          <w:rFonts w:ascii="Calibri" w:hAnsi="Calibri"/>
          <w:color w:val="231F20"/>
          <w:spacing w:val="17"/>
          <w:w w:val="105"/>
        </w:rPr>
        <w:t xml:space="preserve"> </w:t>
      </w:r>
      <w:r w:rsidRPr="00A23800">
        <w:rPr>
          <w:rFonts w:ascii="Calibri" w:hAnsi="Calibri"/>
          <w:color w:val="231F20"/>
          <w:w w:val="105"/>
        </w:rPr>
        <w:t>spring</w:t>
      </w:r>
      <w:r w:rsidRPr="00A23800">
        <w:rPr>
          <w:rFonts w:ascii="Calibri" w:hAnsi="Calibri"/>
          <w:color w:val="231F20"/>
          <w:spacing w:val="17"/>
          <w:w w:val="105"/>
        </w:rPr>
        <w:t xml:space="preserve"> </w:t>
      </w:r>
      <w:r w:rsidRPr="00A23800">
        <w:rPr>
          <w:rFonts w:ascii="Calibri" w:hAnsi="Calibri"/>
          <w:color w:val="231F20"/>
          <w:w w:val="105"/>
        </w:rPr>
        <w:t>of</w:t>
      </w:r>
      <w:r w:rsidRPr="00A23800">
        <w:rPr>
          <w:rFonts w:ascii="Calibri" w:hAnsi="Calibri"/>
          <w:color w:val="231F20"/>
          <w:spacing w:val="17"/>
          <w:w w:val="105"/>
        </w:rPr>
        <w:t xml:space="preserve"> </w:t>
      </w:r>
      <w:r w:rsidRPr="00A23800">
        <w:rPr>
          <w:rFonts w:ascii="Calibri" w:hAnsi="Calibri"/>
          <w:color w:val="231F20"/>
          <w:w w:val="105"/>
        </w:rPr>
        <w:t>2013</w:t>
      </w:r>
      <w:r w:rsidRPr="00A23800">
        <w:rPr>
          <w:rFonts w:ascii="Calibri" w:hAnsi="Calibri"/>
          <w:color w:val="231F20"/>
          <w:spacing w:val="17"/>
          <w:w w:val="105"/>
        </w:rPr>
        <w:t xml:space="preserve"> </w:t>
      </w:r>
      <w:r w:rsidRPr="00A23800">
        <w:rPr>
          <w:rFonts w:ascii="Calibri" w:hAnsi="Calibri"/>
          <w:color w:val="231F20"/>
          <w:w w:val="105"/>
        </w:rPr>
        <w:t>and</w:t>
      </w:r>
      <w:r w:rsidRPr="00A23800">
        <w:rPr>
          <w:rFonts w:ascii="Calibri" w:hAnsi="Calibri"/>
          <w:color w:val="231F20"/>
          <w:spacing w:val="17"/>
          <w:w w:val="105"/>
        </w:rPr>
        <w:t xml:space="preserve"> </w:t>
      </w:r>
      <w:r w:rsidRPr="00A23800">
        <w:rPr>
          <w:rFonts w:ascii="Calibri" w:hAnsi="Calibri"/>
          <w:color w:val="231F20"/>
          <w:w w:val="105"/>
        </w:rPr>
        <w:t>began</w:t>
      </w:r>
      <w:r w:rsidRPr="00A23800">
        <w:rPr>
          <w:rFonts w:ascii="Calibri" w:hAnsi="Calibri"/>
          <w:color w:val="231F20"/>
          <w:spacing w:val="17"/>
          <w:w w:val="105"/>
        </w:rPr>
        <w:t xml:space="preserve"> </w:t>
      </w:r>
      <w:r w:rsidRPr="00A23800">
        <w:rPr>
          <w:rFonts w:ascii="Calibri" w:hAnsi="Calibri"/>
          <w:color w:val="231F20"/>
          <w:w w:val="105"/>
        </w:rPr>
        <w:t>implementation</w:t>
      </w:r>
      <w:r w:rsidRPr="00A23800">
        <w:rPr>
          <w:rFonts w:ascii="Calibri" w:hAnsi="Calibri"/>
          <w:color w:val="231F20"/>
          <w:w w:val="103"/>
        </w:rPr>
        <w:t xml:space="preserve"> </w:t>
      </w:r>
      <w:r w:rsidRPr="00A23800">
        <w:rPr>
          <w:rFonts w:ascii="Calibri" w:hAnsi="Calibri"/>
          <w:color w:val="231F20"/>
          <w:w w:val="105"/>
        </w:rPr>
        <w:t>in</w:t>
      </w:r>
      <w:r w:rsidRPr="00A23800">
        <w:rPr>
          <w:rFonts w:ascii="Calibri" w:hAnsi="Calibri"/>
          <w:color w:val="231F20"/>
          <w:spacing w:val="11"/>
          <w:w w:val="105"/>
        </w:rPr>
        <w:t xml:space="preserve"> </w:t>
      </w:r>
      <w:r w:rsidRPr="00A23800">
        <w:rPr>
          <w:rFonts w:ascii="Calibri" w:hAnsi="Calibri"/>
          <w:color w:val="231F20"/>
          <w:w w:val="105"/>
        </w:rPr>
        <w:t>May</w:t>
      </w:r>
      <w:r w:rsidRPr="00A23800">
        <w:rPr>
          <w:rFonts w:ascii="Calibri" w:hAnsi="Calibri"/>
          <w:color w:val="231F20"/>
          <w:spacing w:val="11"/>
          <w:w w:val="105"/>
        </w:rPr>
        <w:t xml:space="preserve"> </w:t>
      </w:r>
      <w:r w:rsidRPr="00A23800">
        <w:rPr>
          <w:rFonts w:ascii="Calibri" w:hAnsi="Calibri"/>
          <w:color w:val="231F20"/>
          <w:w w:val="105"/>
        </w:rPr>
        <w:t>2014.</w:t>
      </w:r>
      <w:r w:rsidRPr="00A23800">
        <w:rPr>
          <w:rFonts w:ascii="Calibri" w:hAnsi="Calibri"/>
          <w:color w:val="231F20"/>
          <w:spacing w:val="11"/>
          <w:w w:val="105"/>
        </w:rPr>
        <w:t xml:space="preserve"> </w:t>
      </w:r>
      <w:r w:rsidRPr="00A23800">
        <w:rPr>
          <w:rFonts w:ascii="Calibri" w:hAnsi="Calibri"/>
          <w:color w:val="231F20"/>
          <w:w w:val="105"/>
        </w:rPr>
        <w:t>The</w:t>
      </w:r>
      <w:r w:rsidRPr="00A23800">
        <w:rPr>
          <w:rFonts w:ascii="Calibri" w:hAnsi="Calibri"/>
          <w:color w:val="231F20"/>
          <w:spacing w:val="11"/>
          <w:w w:val="105"/>
        </w:rPr>
        <w:t xml:space="preserve"> </w:t>
      </w:r>
      <w:r w:rsidRPr="00A23800">
        <w:rPr>
          <w:rFonts w:ascii="Calibri" w:hAnsi="Calibri"/>
          <w:color w:val="231F20"/>
          <w:w w:val="105"/>
        </w:rPr>
        <w:t>system</w:t>
      </w:r>
      <w:r w:rsidRPr="00A23800">
        <w:rPr>
          <w:rFonts w:ascii="Calibri" w:hAnsi="Calibri"/>
          <w:color w:val="231F20"/>
          <w:spacing w:val="11"/>
          <w:w w:val="105"/>
        </w:rPr>
        <w:t xml:space="preserve"> </w:t>
      </w:r>
      <w:r w:rsidRPr="00A23800">
        <w:rPr>
          <w:rFonts w:ascii="Calibri" w:hAnsi="Calibri"/>
          <w:color w:val="231F20"/>
          <w:w w:val="105"/>
        </w:rPr>
        <w:t>is</w:t>
      </w:r>
      <w:r w:rsidRPr="00A23800">
        <w:rPr>
          <w:rFonts w:ascii="Calibri" w:hAnsi="Calibri"/>
          <w:color w:val="231F20"/>
          <w:spacing w:val="11"/>
          <w:w w:val="105"/>
        </w:rPr>
        <w:t xml:space="preserve"> </w:t>
      </w:r>
      <w:r w:rsidRPr="00A23800">
        <w:rPr>
          <w:rFonts w:ascii="Calibri" w:hAnsi="Calibri"/>
          <w:color w:val="231F20"/>
          <w:w w:val="105"/>
        </w:rPr>
        <w:t>named</w:t>
      </w:r>
      <w:r w:rsidRPr="00A23800">
        <w:rPr>
          <w:rFonts w:ascii="Calibri" w:hAnsi="Calibri"/>
          <w:color w:val="231F20"/>
          <w:spacing w:val="11"/>
          <w:w w:val="105"/>
        </w:rPr>
        <w:t xml:space="preserve"> </w:t>
      </w:r>
      <w:r w:rsidRPr="00A23800">
        <w:rPr>
          <w:rFonts w:ascii="Calibri" w:hAnsi="Calibri"/>
          <w:color w:val="231F20"/>
          <w:w w:val="105"/>
        </w:rPr>
        <w:t>TED,</w:t>
      </w:r>
      <w:r w:rsidRPr="00A23800">
        <w:rPr>
          <w:rFonts w:ascii="Calibri" w:hAnsi="Calibri"/>
          <w:color w:val="231F20"/>
          <w:spacing w:val="11"/>
          <w:w w:val="105"/>
        </w:rPr>
        <w:t xml:space="preserve"> </w:t>
      </w:r>
      <w:r w:rsidRPr="00A23800">
        <w:rPr>
          <w:rFonts w:ascii="Calibri" w:hAnsi="Calibri"/>
          <w:color w:val="231F20"/>
          <w:w w:val="105"/>
        </w:rPr>
        <w:t>for</w:t>
      </w:r>
      <w:r w:rsidRPr="00A23800">
        <w:rPr>
          <w:rFonts w:ascii="Calibri" w:hAnsi="Calibri"/>
          <w:color w:val="231F20"/>
          <w:spacing w:val="11"/>
          <w:w w:val="105"/>
        </w:rPr>
        <w:t xml:space="preserve"> </w:t>
      </w:r>
      <w:r w:rsidRPr="00A23800">
        <w:rPr>
          <w:rFonts w:ascii="Calibri" w:hAnsi="Calibri"/>
          <w:color w:val="231F20"/>
          <w:w w:val="105"/>
        </w:rPr>
        <w:t>Training,</w:t>
      </w:r>
      <w:r w:rsidRPr="00A23800">
        <w:rPr>
          <w:rFonts w:ascii="Calibri" w:hAnsi="Calibri"/>
          <w:color w:val="231F20"/>
          <w:spacing w:val="11"/>
          <w:w w:val="105"/>
        </w:rPr>
        <w:t xml:space="preserve"> </w:t>
      </w:r>
      <w:r w:rsidRPr="00A23800">
        <w:rPr>
          <w:rFonts w:ascii="Calibri" w:hAnsi="Calibri"/>
          <w:color w:val="231F20"/>
          <w:w w:val="105"/>
        </w:rPr>
        <w:t>Education</w:t>
      </w:r>
      <w:r w:rsidR="00D5537E">
        <w:rPr>
          <w:rFonts w:ascii="Calibri" w:hAnsi="Calibri"/>
          <w:color w:val="231F20"/>
          <w:w w:val="105"/>
        </w:rPr>
        <w:t xml:space="preserve"> and</w:t>
      </w:r>
      <w:r w:rsidRPr="00A23800">
        <w:rPr>
          <w:rFonts w:ascii="Calibri" w:hAnsi="Calibri"/>
          <w:color w:val="231F20"/>
          <w:spacing w:val="11"/>
          <w:w w:val="105"/>
        </w:rPr>
        <w:t xml:space="preserve"> </w:t>
      </w:r>
      <w:r w:rsidRPr="00A23800">
        <w:rPr>
          <w:rFonts w:ascii="Calibri" w:hAnsi="Calibri"/>
          <w:color w:val="231F20"/>
          <w:w w:val="105"/>
        </w:rPr>
        <w:t>Development.</w:t>
      </w:r>
      <w:r w:rsidRPr="00A23800">
        <w:rPr>
          <w:rFonts w:ascii="Calibri" w:hAnsi="Calibri"/>
          <w:color w:val="231F20"/>
          <w:spacing w:val="11"/>
          <w:w w:val="105"/>
        </w:rPr>
        <w:t xml:space="preserve"> </w:t>
      </w:r>
      <w:r w:rsidRPr="00A23800">
        <w:rPr>
          <w:rFonts w:ascii="Calibri" w:hAnsi="Calibri"/>
          <w:color w:val="231F20"/>
          <w:w w:val="105"/>
        </w:rPr>
        <w:t>The</w:t>
      </w:r>
      <w:r w:rsidRPr="00A23800">
        <w:rPr>
          <w:rFonts w:ascii="Calibri" w:hAnsi="Calibri"/>
          <w:color w:val="231F20"/>
          <w:spacing w:val="11"/>
          <w:w w:val="105"/>
        </w:rPr>
        <w:t xml:space="preserve"> </w:t>
      </w:r>
      <w:r w:rsidRPr="00A23800">
        <w:rPr>
          <w:rFonts w:ascii="Calibri" w:hAnsi="Calibri"/>
          <w:color w:val="231F20"/>
          <w:w w:val="105"/>
        </w:rPr>
        <w:t>system</w:t>
      </w:r>
      <w:r w:rsidRPr="00A23800">
        <w:rPr>
          <w:rFonts w:ascii="Calibri" w:hAnsi="Calibri"/>
          <w:color w:val="231F20"/>
          <w:spacing w:val="11"/>
          <w:w w:val="105"/>
        </w:rPr>
        <w:t xml:space="preserve"> </w:t>
      </w:r>
      <w:r w:rsidRPr="00A23800">
        <w:rPr>
          <w:rFonts w:ascii="Calibri" w:hAnsi="Calibri"/>
          <w:color w:val="231F20"/>
          <w:w w:val="105"/>
        </w:rPr>
        <w:t>tracks</w:t>
      </w:r>
      <w:r w:rsidRPr="00A23800">
        <w:rPr>
          <w:rFonts w:ascii="Calibri" w:hAnsi="Calibri"/>
          <w:color w:val="231F20"/>
          <w:spacing w:val="12"/>
          <w:w w:val="105"/>
        </w:rPr>
        <w:t xml:space="preserve"> </w:t>
      </w:r>
      <w:r w:rsidRPr="00A23800">
        <w:rPr>
          <w:rFonts w:ascii="Calibri" w:hAnsi="Calibri"/>
          <w:color w:val="231F20"/>
          <w:w w:val="105"/>
        </w:rPr>
        <w:t>learning</w:t>
      </w:r>
      <w:r w:rsidRPr="00A23800">
        <w:rPr>
          <w:rFonts w:ascii="Calibri" w:hAnsi="Calibri"/>
          <w:color w:val="231F20"/>
          <w:spacing w:val="12"/>
          <w:w w:val="105"/>
        </w:rPr>
        <w:t xml:space="preserve"> </w:t>
      </w:r>
      <w:r w:rsidRPr="00A23800">
        <w:rPr>
          <w:rFonts w:ascii="Calibri" w:hAnsi="Calibri"/>
          <w:color w:val="231F20"/>
          <w:w w:val="105"/>
        </w:rPr>
        <w:t>participation</w:t>
      </w:r>
      <w:r w:rsidR="00E34567">
        <w:rPr>
          <w:rFonts w:ascii="Calibri" w:hAnsi="Calibri"/>
          <w:color w:val="231F20"/>
          <w:w w:val="105"/>
        </w:rPr>
        <w:t xml:space="preserve"> and </w:t>
      </w:r>
      <w:r w:rsidRPr="00A23800">
        <w:rPr>
          <w:rFonts w:ascii="Calibri" w:hAnsi="Calibri"/>
          <w:color w:val="231F20"/>
          <w:w w:val="105"/>
        </w:rPr>
        <w:t>serves</w:t>
      </w:r>
      <w:r w:rsidRPr="00A23800">
        <w:rPr>
          <w:rFonts w:ascii="Calibri" w:hAnsi="Calibri"/>
          <w:color w:val="231F20"/>
          <w:spacing w:val="12"/>
          <w:w w:val="105"/>
        </w:rPr>
        <w:t xml:space="preserve"> </w:t>
      </w:r>
      <w:r w:rsidRPr="00A23800">
        <w:rPr>
          <w:rFonts w:ascii="Calibri" w:hAnsi="Calibri"/>
          <w:color w:val="231F20"/>
          <w:w w:val="105"/>
        </w:rPr>
        <w:t>as</w:t>
      </w:r>
      <w:r w:rsidRPr="00A23800">
        <w:rPr>
          <w:rFonts w:ascii="Calibri" w:hAnsi="Calibri"/>
          <w:color w:val="231F20"/>
          <w:spacing w:val="12"/>
          <w:w w:val="105"/>
        </w:rPr>
        <w:t xml:space="preserve"> </w:t>
      </w:r>
      <w:r w:rsidRPr="00A23800">
        <w:rPr>
          <w:rFonts w:ascii="Calibri" w:hAnsi="Calibri"/>
          <w:color w:val="231F20"/>
          <w:w w:val="105"/>
        </w:rPr>
        <w:t>a</w:t>
      </w:r>
      <w:r w:rsidRPr="00A23800">
        <w:rPr>
          <w:rFonts w:ascii="Calibri" w:hAnsi="Calibri"/>
          <w:color w:val="231F20"/>
          <w:spacing w:val="12"/>
          <w:w w:val="105"/>
        </w:rPr>
        <w:t xml:space="preserve"> </w:t>
      </w:r>
      <w:r w:rsidRPr="00A23800">
        <w:rPr>
          <w:rFonts w:ascii="Calibri" w:hAnsi="Calibri"/>
          <w:color w:val="231F20"/>
          <w:w w:val="105"/>
        </w:rPr>
        <w:t>host</w:t>
      </w:r>
      <w:r w:rsidRPr="00A23800">
        <w:rPr>
          <w:rFonts w:ascii="Calibri" w:hAnsi="Calibri"/>
          <w:color w:val="231F20"/>
          <w:spacing w:val="12"/>
          <w:w w:val="105"/>
        </w:rPr>
        <w:t xml:space="preserve"> </w:t>
      </w:r>
      <w:r w:rsidRPr="00A23800">
        <w:rPr>
          <w:rFonts w:ascii="Calibri" w:hAnsi="Calibri"/>
          <w:color w:val="231F20"/>
          <w:w w:val="105"/>
        </w:rPr>
        <w:t>for</w:t>
      </w:r>
      <w:r w:rsidRPr="00A23800">
        <w:rPr>
          <w:rFonts w:ascii="Calibri" w:hAnsi="Calibri"/>
          <w:color w:val="231F20"/>
          <w:spacing w:val="12"/>
          <w:w w:val="105"/>
        </w:rPr>
        <w:t xml:space="preserve"> </w:t>
      </w:r>
      <w:r w:rsidRPr="00A23800">
        <w:rPr>
          <w:rFonts w:ascii="Calibri" w:hAnsi="Calibri"/>
          <w:color w:val="231F20"/>
          <w:w w:val="105"/>
        </w:rPr>
        <w:t>online</w:t>
      </w:r>
      <w:r w:rsidRPr="00A23800">
        <w:rPr>
          <w:rFonts w:ascii="Calibri" w:hAnsi="Calibri"/>
          <w:color w:val="231F20"/>
          <w:spacing w:val="12"/>
          <w:w w:val="105"/>
        </w:rPr>
        <w:t xml:space="preserve"> </w:t>
      </w:r>
      <w:r w:rsidRPr="00A23800">
        <w:rPr>
          <w:rFonts w:ascii="Calibri" w:hAnsi="Calibri"/>
          <w:color w:val="231F20"/>
          <w:w w:val="105"/>
        </w:rPr>
        <w:t>learning</w:t>
      </w:r>
      <w:r w:rsidRPr="00A23800">
        <w:rPr>
          <w:rFonts w:ascii="Calibri" w:hAnsi="Calibri"/>
          <w:color w:val="231F20"/>
          <w:spacing w:val="12"/>
          <w:w w:val="105"/>
        </w:rPr>
        <w:t xml:space="preserve"> </w:t>
      </w:r>
      <w:r w:rsidRPr="00A23800">
        <w:rPr>
          <w:rFonts w:ascii="Calibri" w:hAnsi="Calibri"/>
          <w:color w:val="231F20"/>
          <w:w w:val="105"/>
        </w:rPr>
        <w:t>activities</w:t>
      </w:r>
      <w:r w:rsidRPr="00A23800">
        <w:rPr>
          <w:rFonts w:ascii="Calibri" w:hAnsi="Calibri"/>
          <w:color w:val="231F20"/>
          <w:spacing w:val="12"/>
          <w:w w:val="105"/>
        </w:rPr>
        <w:t xml:space="preserve"> </w:t>
      </w:r>
      <w:r w:rsidRPr="00A23800">
        <w:rPr>
          <w:rFonts w:ascii="Calibri" w:hAnsi="Calibri"/>
          <w:color w:val="231F20"/>
          <w:w w:val="105"/>
        </w:rPr>
        <w:t>for</w:t>
      </w:r>
      <w:r w:rsidRPr="00A23800">
        <w:rPr>
          <w:rFonts w:ascii="Calibri" w:hAnsi="Calibri"/>
          <w:color w:val="231F20"/>
          <w:spacing w:val="12"/>
          <w:w w:val="105"/>
        </w:rPr>
        <w:t xml:space="preserve"> </w:t>
      </w:r>
      <w:r w:rsidRPr="00A23800">
        <w:rPr>
          <w:rFonts w:ascii="Calibri" w:hAnsi="Calibri"/>
          <w:color w:val="231F20"/>
          <w:w w:val="105"/>
        </w:rPr>
        <w:t>all</w:t>
      </w:r>
      <w:r w:rsidRPr="00A23800">
        <w:rPr>
          <w:rFonts w:ascii="Calibri" w:hAnsi="Calibri"/>
          <w:color w:val="231F20"/>
          <w:spacing w:val="12"/>
          <w:w w:val="105"/>
        </w:rPr>
        <w:t xml:space="preserve"> </w:t>
      </w:r>
      <w:r w:rsidRPr="00A23800">
        <w:rPr>
          <w:rFonts w:ascii="Calibri" w:hAnsi="Calibri"/>
          <w:color w:val="231F20"/>
          <w:w w:val="105"/>
        </w:rPr>
        <w:t>employees.</w:t>
      </w:r>
      <w:r w:rsidR="006206D4">
        <w:rPr>
          <w:rFonts w:ascii="Calibri" w:hAnsi="Calibri"/>
          <w:color w:val="231F20"/>
          <w:w w:val="105"/>
        </w:rPr>
        <w:t xml:space="preserve"> </w:t>
      </w:r>
      <w:r w:rsidRPr="00A23800">
        <w:rPr>
          <w:rFonts w:ascii="Calibri" w:hAnsi="Calibri"/>
          <w:color w:val="231F20"/>
          <w:w w:val="105"/>
        </w:rPr>
        <w:t>VR</w:t>
      </w:r>
      <w:r w:rsidRPr="00A23800">
        <w:rPr>
          <w:rFonts w:ascii="Calibri" w:hAnsi="Calibri"/>
          <w:color w:val="231F20"/>
          <w:spacing w:val="12"/>
          <w:w w:val="105"/>
        </w:rPr>
        <w:t xml:space="preserve"> </w:t>
      </w:r>
      <w:r w:rsidRPr="00A23800">
        <w:rPr>
          <w:rFonts w:ascii="Calibri" w:hAnsi="Calibri"/>
          <w:color w:val="231F20"/>
          <w:w w:val="105"/>
        </w:rPr>
        <w:t>purchased</w:t>
      </w:r>
      <w:r w:rsidRPr="00A23800">
        <w:rPr>
          <w:rFonts w:ascii="Calibri" w:hAnsi="Calibri"/>
          <w:color w:val="231F20"/>
          <w:spacing w:val="12"/>
          <w:w w:val="105"/>
        </w:rPr>
        <w:t xml:space="preserve"> </w:t>
      </w:r>
      <w:r w:rsidRPr="00A23800">
        <w:rPr>
          <w:rFonts w:ascii="Calibri" w:hAnsi="Calibri"/>
          <w:color w:val="231F20"/>
          <w:w w:val="105"/>
        </w:rPr>
        <w:t>licenses</w:t>
      </w:r>
      <w:r w:rsidRPr="00A23800">
        <w:rPr>
          <w:rFonts w:ascii="Calibri" w:hAnsi="Calibri"/>
          <w:color w:val="231F20"/>
          <w:spacing w:val="12"/>
          <w:w w:val="105"/>
        </w:rPr>
        <w:t xml:space="preserve"> </w:t>
      </w:r>
      <w:r w:rsidRPr="00A23800">
        <w:rPr>
          <w:rFonts w:ascii="Calibri" w:hAnsi="Calibri"/>
          <w:color w:val="231F20"/>
          <w:w w:val="105"/>
        </w:rPr>
        <w:t>for</w:t>
      </w:r>
      <w:r w:rsidRPr="00A23800">
        <w:rPr>
          <w:rFonts w:ascii="Calibri" w:hAnsi="Calibri"/>
          <w:color w:val="231F20"/>
          <w:spacing w:val="12"/>
          <w:w w:val="105"/>
        </w:rPr>
        <w:t xml:space="preserve"> </w:t>
      </w:r>
      <w:r w:rsidRPr="00A23800">
        <w:rPr>
          <w:rFonts w:ascii="Calibri" w:hAnsi="Calibri"/>
          <w:color w:val="231F20"/>
          <w:w w:val="105"/>
        </w:rPr>
        <w:t>WebEx</w:t>
      </w:r>
      <w:r w:rsidRPr="00A23800">
        <w:rPr>
          <w:rFonts w:ascii="Calibri" w:hAnsi="Calibri"/>
          <w:color w:val="231F20"/>
          <w:spacing w:val="12"/>
          <w:w w:val="105"/>
        </w:rPr>
        <w:t xml:space="preserve"> </w:t>
      </w:r>
      <w:r w:rsidRPr="00A23800">
        <w:rPr>
          <w:rFonts w:ascii="Calibri" w:hAnsi="Calibri"/>
          <w:color w:val="231F20"/>
          <w:w w:val="105"/>
        </w:rPr>
        <w:t>for</w:t>
      </w:r>
      <w:r w:rsidRPr="00A23800">
        <w:rPr>
          <w:rFonts w:ascii="Calibri" w:hAnsi="Calibri"/>
          <w:color w:val="231F20"/>
          <w:spacing w:val="12"/>
          <w:w w:val="105"/>
        </w:rPr>
        <w:t xml:space="preserve"> </w:t>
      </w:r>
      <w:r w:rsidRPr="00A23800">
        <w:rPr>
          <w:rFonts w:ascii="Calibri" w:hAnsi="Calibri"/>
          <w:color w:val="231F20"/>
          <w:w w:val="105"/>
        </w:rPr>
        <w:t>training</w:t>
      </w:r>
      <w:r w:rsidRPr="00A23800">
        <w:rPr>
          <w:rFonts w:ascii="Calibri" w:hAnsi="Calibri"/>
          <w:color w:val="231F20"/>
          <w:spacing w:val="12"/>
          <w:w w:val="105"/>
        </w:rPr>
        <w:t xml:space="preserve"> </w:t>
      </w:r>
      <w:r w:rsidRPr="00A23800">
        <w:rPr>
          <w:rFonts w:ascii="Calibri" w:hAnsi="Calibri"/>
          <w:color w:val="231F20"/>
          <w:w w:val="105"/>
        </w:rPr>
        <w:t>purposes.</w:t>
      </w:r>
      <w:r w:rsidRPr="00A23800">
        <w:rPr>
          <w:rFonts w:ascii="Calibri" w:hAnsi="Calibri"/>
          <w:color w:val="231F20"/>
          <w:spacing w:val="12"/>
          <w:w w:val="105"/>
        </w:rPr>
        <w:t xml:space="preserve"> </w:t>
      </w:r>
      <w:r w:rsidRPr="00A23800">
        <w:rPr>
          <w:rFonts w:ascii="Calibri" w:hAnsi="Calibri"/>
          <w:color w:val="231F20"/>
          <w:w w:val="105"/>
        </w:rPr>
        <w:t>Every</w:t>
      </w:r>
      <w:r w:rsidRPr="00A23800">
        <w:rPr>
          <w:rFonts w:ascii="Calibri" w:hAnsi="Calibri"/>
          <w:color w:val="231F20"/>
          <w:spacing w:val="12"/>
          <w:w w:val="105"/>
        </w:rPr>
        <w:t xml:space="preserve"> </w:t>
      </w:r>
      <w:r w:rsidRPr="00A23800">
        <w:rPr>
          <w:rFonts w:ascii="Calibri" w:hAnsi="Calibri"/>
          <w:color w:val="231F20"/>
          <w:w w:val="105"/>
        </w:rPr>
        <w:t>effort</w:t>
      </w:r>
      <w:r w:rsidRPr="00A23800">
        <w:rPr>
          <w:rFonts w:ascii="Calibri" w:hAnsi="Calibri"/>
          <w:color w:val="231F20"/>
          <w:spacing w:val="12"/>
          <w:w w:val="105"/>
        </w:rPr>
        <w:t xml:space="preserve"> </w:t>
      </w:r>
      <w:r w:rsidRPr="00A23800">
        <w:rPr>
          <w:rFonts w:ascii="Calibri" w:hAnsi="Calibri"/>
          <w:color w:val="231F20"/>
          <w:w w:val="105"/>
        </w:rPr>
        <w:t>is</w:t>
      </w:r>
      <w:r w:rsidRPr="00A23800">
        <w:rPr>
          <w:rFonts w:ascii="Calibri" w:hAnsi="Calibri"/>
          <w:color w:val="231F20"/>
          <w:spacing w:val="12"/>
          <w:w w:val="105"/>
        </w:rPr>
        <w:t xml:space="preserve"> </w:t>
      </w:r>
      <w:r w:rsidRPr="00A23800">
        <w:rPr>
          <w:rFonts w:ascii="Calibri" w:hAnsi="Calibri"/>
          <w:color w:val="231F20"/>
          <w:w w:val="105"/>
        </w:rPr>
        <w:t>made</w:t>
      </w:r>
      <w:r w:rsidRPr="00A23800">
        <w:rPr>
          <w:rFonts w:ascii="Calibri" w:hAnsi="Calibri"/>
          <w:color w:val="231F20"/>
          <w:spacing w:val="12"/>
          <w:w w:val="105"/>
        </w:rPr>
        <w:t xml:space="preserve"> </w:t>
      </w:r>
      <w:r w:rsidRPr="00A23800">
        <w:rPr>
          <w:rFonts w:ascii="Calibri" w:hAnsi="Calibri"/>
          <w:color w:val="231F20"/>
          <w:w w:val="105"/>
        </w:rPr>
        <w:t>to</w:t>
      </w:r>
      <w:r w:rsidRPr="00A23800">
        <w:rPr>
          <w:rFonts w:ascii="Calibri" w:hAnsi="Calibri"/>
          <w:color w:val="231F20"/>
          <w:spacing w:val="12"/>
          <w:w w:val="105"/>
        </w:rPr>
        <w:t xml:space="preserve"> </w:t>
      </w:r>
      <w:r w:rsidRPr="00A23800">
        <w:rPr>
          <w:rFonts w:ascii="Calibri" w:hAnsi="Calibri"/>
          <w:color w:val="231F20"/>
          <w:w w:val="105"/>
        </w:rPr>
        <w:t>ensure</w:t>
      </w:r>
      <w:r w:rsidRPr="00A23800">
        <w:rPr>
          <w:rFonts w:ascii="Calibri" w:hAnsi="Calibri"/>
          <w:color w:val="231F20"/>
          <w:spacing w:val="12"/>
          <w:w w:val="105"/>
        </w:rPr>
        <w:t xml:space="preserve"> </w:t>
      </w:r>
      <w:r w:rsidRPr="00A23800">
        <w:rPr>
          <w:rFonts w:ascii="Calibri" w:hAnsi="Calibri"/>
          <w:color w:val="231F20"/>
          <w:w w:val="105"/>
        </w:rPr>
        <w:t>that</w:t>
      </w:r>
      <w:r w:rsidRPr="00A23800">
        <w:rPr>
          <w:rFonts w:ascii="Calibri" w:hAnsi="Calibri"/>
          <w:color w:val="231F20"/>
          <w:w w:val="99"/>
        </w:rPr>
        <w:t xml:space="preserve"> </w:t>
      </w:r>
      <w:r w:rsidRPr="00A23800">
        <w:rPr>
          <w:rFonts w:ascii="Calibri" w:hAnsi="Calibri"/>
          <w:color w:val="231F20"/>
          <w:w w:val="105"/>
        </w:rPr>
        <w:t>the</w:t>
      </w:r>
      <w:r w:rsidRPr="00A23800">
        <w:rPr>
          <w:rFonts w:ascii="Calibri" w:hAnsi="Calibri"/>
          <w:color w:val="231F20"/>
          <w:spacing w:val="9"/>
          <w:w w:val="105"/>
        </w:rPr>
        <w:t xml:space="preserve"> </w:t>
      </w:r>
      <w:r w:rsidRPr="00A23800">
        <w:rPr>
          <w:rFonts w:ascii="Calibri" w:hAnsi="Calibri"/>
          <w:color w:val="231F20"/>
          <w:w w:val="105"/>
        </w:rPr>
        <w:t>correct</w:t>
      </w:r>
      <w:r w:rsidRPr="00A23800">
        <w:rPr>
          <w:rFonts w:ascii="Calibri" w:hAnsi="Calibri"/>
          <w:color w:val="231F20"/>
          <w:spacing w:val="9"/>
          <w:w w:val="105"/>
        </w:rPr>
        <w:t xml:space="preserve"> </w:t>
      </w:r>
      <w:r w:rsidRPr="00A23800">
        <w:rPr>
          <w:rFonts w:ascii="Calibri" w:hAnsi="Calibri"/>
          <w:color w:val="231F20"/>
          <w:w w:val="105"/>
        </w:rPr>
        <w:t>medium</w:t>
      </w:r>
      <w:r w:rsidRPr="00A23800">
        <w:rPr>
          <w:rFonts w:ascii="Calibri" w:hAnsi="Calibri"/>
          <w:color w:val="231F20"/>
          <w:spacing w:val="9"/>
          <w:w w:val="105"/>
        </w:rPr>
        <w:t xml:space="preserve"> </w:t>
      </w:r>
      <w:r w:rsidRPr="00A23800">
        <w:rPr>
          <w:rFonts w:ascii="Calibri" w:hAnsi="Calibri"/>
          <w:color w:val="231F20"/>
          <w:w w:val="105"/>
        </w:rPr>
        <w:t>is</w:t>
      </w:r>
      <w:r w:rsidRPr="00A23800">
        <w:rPr>
          <w:rFonts w:ascii="Calibri" w:hAnsi="Calibri"/>
          <w:color w:val="231F20"/>
          <w:spacing w:val="9"/>
          <w:w w:val="105"/>
        </w:rPr>
        <w:t xml:space="preserve"> </w:t>
      </w:r>
      <w:r w:rsidRPr="00A23800">
        <w:rPr>
          <w:rFonts w:ascii="Calibri" w:hAnsi="Calibri"/>
          <w:color w:val="231F20"/>
          <w:w w:val="105"/>
        </w:rPr>
        <w:t>used</w:t>
      </w:r>
      <w:r w:rsidRPr="00A23800">
        <w:rPr>
          <w:rFonts w:ascii="Calibri" w:hAnsi="Calibri"/>
          <w:color w:val="231F20"/>
          <w:spacing w:val="9"/>
          <w:w w:val="105"/>
        </w:rPr>
        <w:t xml:space="preserve"> </w:t>
      </w:r>
      <w:r w:rsidRPr="00A23800">
        <w:rPr>
          <w:rFonts w:ascii="Calibri" w:hAnsi="Calibri"/>
          <w:color w:val="231F20"/>
          <w:w w:val="105"/>
        </w:rPr>
        <w:t>to</w:t>
      </w:r>
      <w:r w:rsidRPr="00A23800">
        <w:rPr>
          <w:rFonts w:ascii="Calibri" w:hAnsi="Calibri"/>
          <w:color w:val="231F20"/>
          <w:spacing w:val="9"/>
          <w:w w:val="105"/>
        </w:rPr>
        <w:t xml:space="preserve"> </w:t>
      </w:r>
      <w:r w:rsidRPr="00A23800">
        <w:rPr>
          <w:rFonts w:ascii="Calibri" w:hAnsi="Calibri"/>
          <w:color w:val="231F20"/>
          <w:w w:val="105"/>
        </w:rPr>
        <w:t>address</w:t>
      </w:r>
      <w:r w:rsidRPr="00A23800">
        <w:rPr>
          <w:rFonts w:ascii="Calibri" w:hAnsi="Calibri"/>
          <w:color w:val="231F20"/>
          <w:spacing w:val="9"/>
          <w:w w:val="105"/>
        </w:rPr>
        <w:t xml:space="preserve"> </w:t>
      </w:r>
      <w:r w:rsidRPr="00A23800">
        <w:rPr>
          <w:rFonts w:ascii="Calibri" w:hAnsi="Calibri"/>
          <w:color w:val="231F20"/>
          <w:w w:val="105"/>
        </w:rPr>
        <w:t>each</w:t>
      </w:r>
      <w:r w:rsidR="00DC66FD">
        <w:rPr>
          <w:rFonts w:ascii="Calibri" w:hAnsi="Calibri"/>
          <w:color w:val="231F20"/>
          <w:w w:val="105"/>
        </w:rPr>
        <w:t xml:space="preserve"> specific</w:t>
      </w:r>
      <w:r w:rsidRPr="00A23800">
        <w:rPr>
          <w:rFonts w:ascii="Calibri" w:hAnsi="Calibri"/>
          <w:color w:val="231F20"/>
          <w:spacing w:val="9"/>
          <w:w w:val="105"/>
        </w:rPr>
        <w:t xml:space="preserve"> </w:t>
      </w:r>
      <w:r w:rsidRPr="00A23800">
        <w:rPr>
          <w:rFonts w:ascii="Calibri" w:hAnsi="Calibri"/>
          <w:color w:val="231F20"/>
          <w:w w:val="105"/>
        </w:rPr>
        <w:t>issue.</w:t>
      </w:r>
      <w:r w:rsidRPr="00A23800">
        <w:rPr>
          <w:rFonts w:ascii="Calibri" w:hAnsi="Calibri"/>
          <w:color w:val="231F20"/>
          <w:spacing w:val="9"/>
          <w:w w:val="105"/>
        </w:rPr>
        <w:t xml:space="preserve"> </w:t>
      </w:r>
      <w:r w:rsidRPr="00A23800">
        <w:rPr>
          <w:rFonts w:ascii="Calibri" w:hAnsi="Calibri"/>
          <w:color w:val="231F20"/>
          <w:w w:val="105"/>
        </w:rPr>
        <w:t>The</w:t>
      </w:r>
      <w:r w:rsidRPr="00A23800">
        <w:rPr>
          <w:rFonts w:ascii="Calibri" w:hAnsi="Calibri"/>
          <w:color w:val="231F20"/>
          <w:spacing w:val="9"/>
          <w:w w:val="105"/>
        </w:rPr>
        <w:t xml:space="preserve"> </w:t>
      </w:r>
      <w:r w:rsidRPr="00A23800">
        <w:rPr>
          <w:rFonts w:ascii="Calibri" w:hAnsi="Calibri"/>
          <w:color w:val="231F20"/>
          <w:w w:val="105"/>
        </w:rPr>
        <w:t>ability</w:t>
      </w:r>
      <w:r w:rsidRPr="00A23800">
        <w:rPr>
          <w:rFonts w:ascii="Calibri" w:hAnsi="Calibri"/>
          <w:color w:val="231F20"/>
          <w:spacing w:val="9"/>
          <w:w w:val="105"/>
        </w:rPr>
        <w:t xml:space="preserve"> </w:t>
      </w:r>
      <w:r w:rsidRPr="00A23800">
        <w:rPr>
          <w:rFonts w:ascii="Calibri" w:hAnsi="Calibri"/>
          <w:color w:val="231F20"/>
          <w:w w:val="105"/>
        </w:rPr>
        <w:t>to</w:t>
      </w:r>
      <w:r w:rsidRPr="00A23800">
        <w:rPr>
          <w:rFonts w:ascii="Calibri" w:hAnsi="Calibri"/>
          <w:color w:val="231F20"/>
          <w:spacing w:val="9"/>
          <w:w w:val="105"/>
        </w:rPr>
        <w:t xml:space="preserve"> </w:t>
      </w:r>
      <w:r w:rsidRPr="00A23800">
        <w:rPr>
          <w:rFonts w:ascii="Calibri" w:hAnsi="Calibri"/>
          <w:color w:val="231F20"/>
          <w:w w:val="105"/>
        </w:rPr>
        <w:t>deliver</w:t>
      </w:r>
      <w:r w:rsidRPr="00A23800">
        <w:rPr>
          <w:rFonts w:ascii="Calibri" w:hAnsi="Calibri"/>
          <w:color w:val="231F20"/>
          <w:spacing w:val="9"/>
          <w:w w:val="105"/>
        </w:rPr>
        <w:t xml:space="preserve"> </w:t>
      </w:r>
      <w:r w:rsidRPr="00A23800">
        <w:rPr>
          <w:rFonts w:ascii="Calibri" w:hAnsi="Calibri"/>
          <w:color w:val="231F20"/>
          <w:w w:val="105"/>
        </w:rPr>
        <w:t>interactive</w:t>
      </w:r>
      <w:r w:rsidRPr="00A23800">
        <w:rPr>
          <w:rFonts w:ascii="Calibri" w:hAnsi="Calibri"/>
          <w:color w:val="231F20"/>
          <w:spacing w:val="9"/>
          <w:w w:val="105"/>
        </w:rPr>
        <w:t xml:space="preserve"> </w:t>
      </w:r>
      <w:r w:rsidRPr="00A23800">
        <w:rPr>
          <w:rFonts w:ascii="Calibri" w:hAnsi="Calibri"/>
          <w:color w:val="231F20"/>
          <w:w w:val="105"/>
        </w:rPr>
        <w:t>training</w:t>
      </w:r>
      <w:r w:rsidRPr="00A23800">
        <w:rPr>
          <w:rFonts w:ascii="Calibri" w:hAnsi="Calibri"/>
          <w:color w:val="231F20"/>
          <w:spacing w:val="-23"/>
          <w:w w:val="105"/>
        </w:rPr>
        <w:t xml:space="preserve"> </w:t>
      </w:r>
      <w:r w:rsidRPr="00A23800">
        <w:rPr>
          <w:rFonts w:ascii="Calibri" w:hAnsi="Calibri"/>
          <w:color w:val="231F20"/>
          <w:w w:val="105"/>
        </w:rPr>
        <w:t>through</w:t>
      </w:r>
      <w:r w:rsidRPr="00A23800">
        <w:rPr>
          <w:rFonts w:ascii="Calibri" w:hAnsi="Calibri"/>
          <w:color w:val="231F20"/>
          <w:spacing w:val="15"/>
          <w:w w:val="105"/>
        </w:rPr>
        <w:t xml:space="preserve"> </w:t>
      </w:r>
      <w:r w:rsidRPr="00A23800">
        <w:rPr>
          <w:rFonts w:ascii="Calibri" w:hAnsi="Calibri"/>
          <w:color w:val="231F20"/>
          <w:w w:val="105"/>
        </w:rPr>
        <w:t>the</w:t>
      </w:r>
      <w:r w:rsidRPr="00A23800">
        <w:rPr>
          <w:rFonts w:ascii="Calibri" w:hAnsi="Calibri"/>
          <w:color w:val="231F20"/>
          <w:spacing w:val="15"/>
          <w:w w:val="105"/>
        </w:rPr>
        <w:t xml:space="preserve"> </w:t>
      </w:r>
      <w:r w:rsidRPr="00A23800">
        <w:rPr>
          <w:rFonts w:ascii="Calibri" w:hAnsi="Calibri"/>
          <w:color w:val="231F20"/>
          <w:w w:val="105"/>
        </w:rPr>
        <w:t>LMS</w:t>
      </w:r>
      <w:r w:rsidRPr="00A23800">
        <w:rPr>
          <w:rFonts w:ascii="Calibri" w:hAnsi="Calibri"/>
          <w:color w:val="231F20"/>
          <w:spacing w:val="15"/>
          <w:w w:val="105"/>
        </w:rPr>
        <w:t xml:space="preserve"> </w:t>
      </w:r>
      <w:r w:rsidRPr="00A23800">
        <w:rPr>
          <w:rFonts w:ascii="Calibri" w:hAnsi="Calibri"/>
          <w:color w:val="231F20"/>
          <w:w w:val="105"/>
        </w:rPr>
        <w:t>greatly</w:t>
      </w:r>
      <w:r w:rsidRPr="00A23800">
        <w:rPr>
          <w:rFonts w:ascii="Calibri" w:hAnsi="Calibri"/>
          <w:color w:val="231F20"/>
          <w:spacing w:val="15"/>
          <w:w w:val="105"/>
        </w:rPr>
        <w:t xml:space="preserve"> </w:t>
      </w:r>
      <w:r w:rsidRPr="00A23800">
        <w:rPr>
          <w:rFonts w:ascii="Calibri" w:hAnsi="Calibri"/>
          <w:color w:val="231F20"/>
          <w:w w:val="105"/>
        </w:rPr>
        <w:t>expands</w:t>
      </w:r>
      <w:r w:rsidRPr="00A23800">
        <w:rPr>
          <w:rFonts w:ascii="Calibri" w:hAnsi="Calibri"/>
          <w:color w:val="231F20"/>
          <w:spacing w:val="15"/>
          <w:w w:val="105"/>
        </w:rPr>
        <w:t xml:space="preserve"> </w:t>
      </w:r>
      <w:r w:rsidRPr="00A23800">
        <w:rPr>
          <w:rFonts w:ascii="Calibri" w:hAnsi="Calibri"/>
          <w:color w:val="231F20"/>
          <w:w w:val="105"/>
        </w:rPr>
        <w:t>the</w:t>
      </w:r>
      <w:r w:rsidRPr="00A23800">
        <w:rPr>
          <w:rFonts w:ascii="Calibri" w:hAnsi="Calibri"/>
          <w:color w:val="231F20"/>
          <w:spacing w:val="15"/>
          <w:w w:val="105"/>
        </w:rPr>
        <w:t xml:space="preserve"> </w:t>
      </w:r>
      <w:r w:rsidRPr="00A23800">
        <w:rPr>
          <w:rFonts w:ascii="Calibri" w:hAnsi="Calibri"/>
          <w:color w:val="231F20"/>
          <w:w w:val="105"/>
        </w:rPr>
        <w:t>capacity</w:t>
      </w:r>
      <w:r w:rsidRPr="00A23800">
        <w:rPr>
          <w:rFonts w:ascii="Calibri" w:hAnsi="Calibri"/>
          <w:color w:val="231F20"/>
          <w:spacing w:val="15"/>
          <w:w w:val="105"/>
        </w:rPr>
        <w:t xml:space="preserve"> </w:t>
      </w:r>
      <w:r w:rsidRPr="00A23800">
        <w:rPr>
          <w:rFonts w:ascii="Calibri" w:hAnsi="Calibri"/>
          <w:color w:val="231F20"/>
          <w:w w:val="105"/>
        </w:rPr>
        <w:t>of</w:t>
      </w:r>
      <w:r w:rsidRPr="00A23800">
        <w:rPr>
          <w:rFonts w:ascii="Calibri" w:hAnsi="Calibri"/>
          <w:color w:val="231F20"/>
          <w:spacing w:val="15"/>
          <w:w w:val="105"/>
        </w:rPr>
        <w:t xml:space="preserve"> </w:t>
      </w:r>
      <w:r w:rsidRPr="00A23800">
        <w:rPr>
          <w:rFonts w:ascii="Calibri" w:hAnsi="Calibri"/>
          <w:color w:val="231F20"/>
          <w:w w:val="105"/>
        </w:rPr>
        <w:t>VR</w:t>
      </w:r>
      <w:r w:rsidRPr="00A23800">
        <w:rPr>
          <w:rFonts w:ascii="Calibri" w:hAnsi="Calibri"/>
          <w:color w:val="231F20"/>
          <w:spacing w:val="15"/>
          <w:w w:val="105"/>
        </w:rPr>
        <w:t xml:space="preserve"> </w:t>
      </w:r>
      <w:r w:rsidRPr="00A23800">
        <w:rPr>
          <w:rFonts w:ascii="Calibri" w:hAnsi="Calibri"/>
          <w:color w:val="231F20"/>
          <w:w w:val="105"/>
        </w:rPr>
        <w:t>to</w:t>
      </w:r>
      <w:r w:rsidRPr="00A23800">
        <w:rPr>
          <w:rFonts w:ascii="Calibri" w:hAnsi="Calibri"/>
          <w:color w:val="231F20"/>
          <w:spacing w:val="15"/>
          <w:w w:val="105"/>
        </w:rPr>
        <w:t xml:space="preserve"> </w:t>
      </w:r>
      <w:r w:rsidRPr="00A23800">
        <w:rPr>
          <w:rFonts w:ascii="Calibri" w:hAnsi="Calibri"/>
          <w:color w:val="231F20"/>
          <w:w w:val="105"/>
        </w:rPr>
        <w:t>provide</w:t>
      </w:r>
      <w:r w:rsidRPr="00A23800">
        <w:rPr>
          <w:rFonts w:ascii="Calibri" w:hAnsi="Calibri"/>
          <w:color w:val="231F20"/>
          <w:spacing w:val="15"/>
          <w:w w:val="105"/>
        </w:rPr>
        <w:t xml:space="preserve"> </w:t>
      </w:r>
      <w:r w:rsidRPr="00A23800">
        <w:rPr>
          <w:rFonts w:ascii="Calibri" w:hAnsi="Calibri"/>
          <w:color w:val="231F20"/>
          <w:w w:val="105"/>
        </w:rPr>
        <w:t>a</w:t>
      </w:r>
      <w:r w:rsidRPr="00A23800">
        <w:rPr>
          <w:rFonts w:ascii="Calibri" w:hAnsi="Calibri"/>
          <w:color w:val="231F20"/>
          <w:spacing w:val="15"/>
          <w:w w:val="105"/>
        </w:rPr>
        <w:t xml:space="preserve"> </w:t>
      </w:r>
      <w:r w:rsidRPr="00A23800">
        <w:rPr>
          <w:rFonts w:ascii="Calibri" w:hAnsi="Calibri"/>
          <w:color w:val="231F20"/>
          <w:w w:val="105"/>
        </w:rPr>
        <w:t>more</w:t>
      </w:r>
      <w:r w:rsidRPr="00A23800">
        <w:rPr>
          <w:rFonts w:ascii="Calibri" w:hAnsi="Calibri"/>
          <w:color w:val="231F20"/>
          <w:spacing w:val="15"/>
          <w:w w:val="105"/>
        </w:rPr>
        <w:t xml:space="preserve"> </w:t>
      </w:r>
      <w:r w:rsidRPr="00A23800">
        <w:rPr>
          <w:rFonts w:ascii="Calibri" w:hAnsi="Calibri"/>
          <w:color w:val="231F20"/>
          <w:w w:val="105"/>
        </w:rPr>
        <w:t>extensive</w:t>
      </w:r>
      <w:r w:rsidRPr="00A23800">
        <w:rPr>
          <w:rFonts w:ascii="Calibri" w:hAnsi="Calibri"/>
          <w:color w:val="231F20"/>
          <w:spacing w:val="15"/>
          <w:w w:val="105"/>
        </w:rPr>
        <w:t xml:space="preserve"> </w:t>
      </w:r>
      <w:r w:rsidRPr="00A23800">
        <w:rPr>
          <w:rFonts w:ascii="Calibri" w:hAnsi="Calibri"/>
          <w:color w:val="231F20"/>
          <w:w w:val="105"/>
        </w:rPr>
        <w:t>and</w:t>
      </w:r>
      <w:r w:rsidRPr="00A23800">
        <w:rPr>
          <w:rFonts w:ascii="Calibri" w:hAnsi="Calibri"/>
          <w:color w:val="231F20"/>
          <w:spacing w:val="15"/>
          <w:w w:val="105"/>
        </w:rPr>
        <w:t xml:space="preserve"> </w:t>
      </w:r>
      <w:r w:rsidRPr="00A23800">
        <w:rPr>
          <w:rFonts w:ascii="Calibri" w:hAnsi="Calibri"/>
          <w:color w:val="231F20"/>
          <w:w w:val="105"/>
        </w:rPr>
        <w:t>comprehensive</w:t>
      </w:r>
      <w:r w:rsidRPr="00A23800">
        <w:rPr>
          <w:rFonts w:ascii="Calibri" w:hAnsi="Calibri"/>
          <w:color w:val="231F20"/>
          <w:spacing w:val="-9"/>
          <w:w w:val="105"/>
        </w:rPr>
        <w:t xml:space="preserve"> </w:t>
      </w:r>
      <w:r w:rsidRPr="00A23800">
        <w:rPr>
          <w:rFonts w:ascii="Calibri" w:hAnsi="Calibri"/>
          <w:color w:val="231F20"/>
          <w:w w:val="105"/>
        </w:rPr>
        <w:t>array of learning activities for all employees.</w:t>
      </w:r>
    </w:p>
    <w:p w14:paraId="2B5E0B53" w14:textId="77777777" w:rsidR="00A07550" w:rsidRPr="00A23800" w:rsidRDefault="00A07550" w:rsidP="00D63204">
      <w:pPr>
        <w:widowControl w:val="0"/>
        <w:spacing w:before="5" w:after="0" w:line="240" w:lineRule="auto"/>
        <w:ind w:left="107"/>
        <w:rPr>
          <w:rFonts w:ascii="Calibri" w:hAnsi="Calibri" w:cs="Calibri"/>
          <w:sz w:val="16"/>
          <w:szCs w:val="16"/>
        </w:rPr>
      </w:pPr>
    </w:p>
    <w:p w14:paraId="51E5312A" w14:textId="62EF6461" w:rsidR="00A07550" w:rsidRPr="00A23800" w:rsidRDefault="00A07550" w:rsidP="00D63204">
      <w:pPr>
        <w:widowControl w:val="0"/>
        <w:spacing w:after="0" w:line="240" w:lineRule="auto"/>
        <w:ind w:left="107"/>
        <w:rPr>
          <w:rFonts w:ascii="Calibri" w:hAnsi="Calibri"/>
        </w:rPr>
      </w:pPr>
      <w:r w:rsidRPr="00A23800">
        <w:rPr>
          <w:rFonts w:ascii="Calibri" w:hAnsi="Calibri"/>
          <w:color w:val="231F20"/>
          <w:w w:val="105"/>
        </w:rPr>
        <w:t>VR</w:t>
      </w:r>
      <w:r w:rsidRPr="00A23800">
        <w:rPr>
          <w:rFonts w:ascii="Calibri" w:hAnsi="Calibri"/>
          <w:color w:val="231F20"/>
          <w:spacing w:val="11"/>
          <w:w w:val="105"/>
        </w:rPr>
        <w:t xml:space="preserve"> </w:t>
      </w:r>
      <w:r w:rsidRPr="00A23800">
        <w:rPr>
          <w:rFonts w:ascii="Calibri" w:hAnsi="Calibri"/>
          <w:color w:val="231F20"/>
          <w:w w:val="105"/>
        </w:rPr>
        <w:t>produces</w:t>
      </w:r>
      <w:r w:rsidRPr="00A23800">
        <w:rPr>
          <w:rFonts w:ascii="Calibri" w:hAnsi="Calibri"/>
          <w:color w:val="231F20"/>
          <w:spacing w:val="11"/>
          <w:w w:val="105"/>
        </w:rPr>
        <w:t xml:space="preserve"> </w:t>
      </w:r>
      <w:r w:rsidRPr="00A23800">
        <w:rPr>
          <w:rFonts w:ascii="Calibri" w:hAnsi="Calibri"/>
          <w:color w:val="231F20"/>
          <w:w w:val="105"/>
        </w:rPr>
        <w:t>a</w:t>
      </w:r>
      <w:r w:rsidRPr="00A23800">
        <w:rPr>
          <w:rFonts w:ascii="Calibri" w:hAnsi="Calibri"/>
          <w:color w:val="231F20"/>
          <w:spacing w:val="11"/>
          <w:w w:val="105"/>
        </w:rPr>
        <w:t xml:space="preserve"> </w:t>
      </w:r>
      <w:r w:rsidRPr="00A23800">
        <w:rPr>
          <w:rFonts w:ascii="Calibri" w:hAnsi="Calibri"/>
          <w:color w:val="231F20"/>
          <w:w w:val="105"/>
        </w:rPr>
        <w:t>monthly</w:t>
      </w:r>
      <w:r w:rsidRPr="00A23800">
        <w:rPr>
          <w:rFonts w:ascii="Calibri" w:hAnsi="Calibri"/>
          <w:color w:val="231F20"/>
          <w:spacing w:val="11"/>
          <w:w w:val="105"/>
        </w:rPr>
        <w:t xml:space="preserve"> </w:t>
      </w:r>
      <w:r w:rsidRPr="00A23800">
        <w:rPr>
          <w:rFonts w:ascii="Calibri" w:hAnsi="Calibri"/>
          <w:color w:val="231F20"/>
          <w:w w:val="105"/>
        </w:rPr>
        <w:t>newsletter</w:t>
      </w:r>
      <w:r w:rsidRPr="00A23800">
        <w:rPr>
          <w:rFonts w:ascii="Calibri" w:hAnsi="Calibri"/>
          <w:color w:val="231F20"/>
          <w:spacing w:val="11"/>
          <w:w w:val="105"/>
        </w:rPr>
        <w:t xml:space="preserve"> </w:t>
      </w:r>
      <w:r w:rsidRPr="00A23800">
        <w:rPr>
          <w:rFonts w:ascii="Calibri" w:hAnsi="Calibri"/>
          <w:color w:val="231F20"/>
          <w:w w:val="105"/>
        </w:rPr>
        <w:t>for</w:t>
      </w:r>
      <w:r w:rsidRPr="00A23800">
        <w:rPr>
          <w:rFonts w:ascii="Calibri" w:hAnsi="Calibri"/>
          <w:color w:val="231F20"/>
          <w:spacing w:val="11"/>
          <w:w w:val="105"/>
        </w:rPr>
        <w:t xml:space="preserve"> </w:t>
      </w:r>
      <w:r w:rsidRPr="00A23800">
        <w:rPr>
          <w:rFonts w:ascii="Calibri" w:hAnsi="Calibri"/>
          <w:color w:val="231F20"/>
          <w:w w:val="105"/>
        </w:rPr>
        <w:t>all</w:t>
      </w:r>
      <w:r w:rsidRPr="00A23800">
        <w:rPr>
          <w:rFonts w:ascii="Calibri" w:hAnsi="Calibri"/>
          <w:color w:val="231F20"/>
          <w:spacing w:val="11"/>
          <w:w w:val="105"/>
        </w:rPr>
        <w:t xml:space="preserve"> </w:t>
      </w:r>
      <w:r w:rsidRPr="00A23800">
        <w:rPr>
          <w:rFonts w:ascii="Calibri" w:hAnsi="Calibri"/>
          <w:color w:val="231F20"/>
          <w:w w:val="105"/>
        </w:rPr>
        <w:t>employees,</w:t>
      </w:r>
      <w:r w:rsidRPr="00A23800">
        <w:rPr>
          <w:rFonts w:ascii="Calibri" w:hAnsi="Calibri"/>
          <w:color w:val="231F20"/>
          <w:spacing w:val="11"/>
          <w:w w:val="105"/>
        </w:rPr>
        <w:t xml:space="preserve"> </w:t>
      </w:r>
      <w:r w:rsidRPr="00A23800">
        <w:rPr>
          <w:rFonts w:ascii="Calibri" w:hAnsi="Calibri"/>
          <w:color w:val="231F20"/>
          <w:w w:val="105"/>
        </w:rPr>
        <w:t>as</w:t>
      </w:r>
      <w:r w:rsidRPr="00A23800">
        <w:rPr>
          <w:rFonts w:ascii="Calibri" w:hAnsi="Calibri"/>
          <w:color w:val="231F20"/>
          <w:spacing w:val="11"/>
          <w:w w:val="105"/>
        </w:rPr>
        <w:t xml:space="preserve"> </w:t>
      </w:r>
      <w:r w:rsidRPr="00A23800">
        <w:rPr>
          <w:rFonts w:ascii="Calibri" w:hAnsi="Calibri"/>
          <w:color w:val="231F20"/>
          <w:w w:val="105"/>
        </w:rPr>
        <w:t>well</w:t>
      </w:r>
      <w:r w:rsidRPr="00A23800">
        <w:rPr>
          <w:rFonts w:ascii="Calibri" w:hAnsi="Calibri"/>
          <w:color w:val="231F20"/>
          <w:spacing w:val="11"/>
          <w:w w:val="105"/>
        </w:rPr>
        <w:t xml:space="preserve"> </w:t>
      </w:r>
      <w:r w:rsidRPr="00A23800">
        <w:rPr>
          <w:rFonts w:ascii="Calibri" w:hAnsi="Calibri"/>
          <w:color w:val="231F20"/>
          <w:w w:val="105"/>
        </w:rPr>
        <w:t>as</w:t>
      </w:r>
      <w:r w:rsidRPr="00A23800">
        <w:rPr>
          <w:rFonts w:ascii="Calibri" w:hAnsi="Calibri"/>
          <w:color w:val="231F20"/>
          <w:spacing w:val="11"/>
          <w:w w:val="105"/>
        </w:rPr>
        <w:t xml:space="preserve"> </w:t>
      </w:r>
      <w:r w:rsidRPr="00A23800">
        <w:rPr>
          <w:rFonts w:ascii="Calibri" w:hAnsi="Calibri"/>
          <w:color w:val="231F20"/>
          <w:w w:val="105"/>
        </w:rPr>
        <w:t>a</w:t>
      </w:r>
      <w:r w:rsidRPr="00A23800">
        <w:rPr>
          <w:rFonts w:ascii="Calibri" w:hAnsi="Calibri"/>
          <w:color w:val="231F20"/>
          <w:spacing w:val="11"/>
          <w:w w:val="105"/>
        </w:rPr>
        <w:t xml:space="preserve"> </w:t>
      </w:r>
      <w:r w:rsidRPr="00A23800">
        <w:rPr>
          <w:rFonts w:ascii="Calibri" w:hAnsi="Calibri"/>
          <w:color w:val="231F20"/>
          <w:w w:val="105"/>
        </w:rPr>
        <w:t>quarterly</w:t>
      </w:r>
      <w:r w:rsidRPr="00A23800">
        <w:rPr>
          <w:rFonts w:ascii="Calibri" w:hAnsi="Calibri"/>
          <w:color w:val="231F20"/>
          <w:spacing w:val="11"/>
          <w:w w:val="105"/>
        </w:rPr>
        <w:t xml:space="preserve"> </w:t>
      </w:r>
      <w:r w:rsidRPr="00A23800">
        <w:rPr>
          <w:rFonts w:ascii="Calibri" w:hAnsi="Calibri"/>
          <w:color w:val="231F20"/>
          <w:w w:val="105"/>
        </w:rPr>
        <w:t>newsletter</w:t>
      </w:r>
      <w:r w:rsidRPr="00A23800">
        <w:rPr>
          <w:rFonts w:ascii="Calibri" w:hAnsi="Calibri"/>
          <w:color w:val="231F20"/>
          <w:spacing w:val="11"/>
          <w:w w:val="105"/>
        </w:rPr>
        <w:t xml:space="preserve"> </w:t>
      </w:r>
      <w:r w:rsidRPr="00A23800">
        <w:rPr>
          <w:rFonts w:ascii="Calibri" w:hAnsi="Calibri"/>
          <w:color w:val="231F20"/>
          <w:w w:val="105"/>
        </w:rPr>
        <w:t>for</w:t>
      </w:r>
      <w:r w:rsidRPr="00A23800">
        <w:rPr>
          <w:rFonts w:ascii="Calibri" w:hAnsi="Calibri"/>
          <w:color w:val="231F20"/>
          <w:spacing w:val="11"/>
          <w:w w:val="105"/>
        </w:rPr>
        <w:t xml:space="preserve"> </w:t>
      </w:r>
      <w:r w:rsidRPr="00A23800">
        <w:rPr>
          <w:rFonts w:ascii="Calibri" w:hAnsi="Calibri"/>
          <w:color w:val="231F20"/>
          <w:w w:val="105"/>
        </w:rPr>
        <w:t>supervisors</w:t>
      </w:r>
      <w:r w:rsidRPr="00A23800">
        <w:rPr>
          <w:rFonts w:ascii="Calibri" w:hAnsi="Calibri"/>
          <w:color w:val="231F20"/>
          <w:spacing w:val="11"/>
          <w:w w:val="105"/>
        </w:rPr>
        <w:t xml:space="preserve"> </w:t>
      </w:r>
      <w:r w:rsidRPr="00A23800">
        <w:rPr>
          <w:rFonts w:ascii="Calibri" w:hAnsi="Calibri"/>
          <w:color w:val="231F20"/>
          <w:w w:val="105"/>
        </w:rPr>
        <w:t>to</w:t>
      </w:r>
      <w:r w:rsidRPr="00A23800">
        <w:rPr>
          <w:rFonts w:ascii="Calibri" w:hAnsi="Calibri"/>
          <w:color w:val="231F20"/>
        </w:rPr>
        <w:t xml:space="preserve"> </w:t>
      </w:r>
      <w:r w:rsidRPr="00A23800">
        <w:rPr>
          <w:rFonts w:ascii="Calibri" w:hAnsi="Calibri"/>
          <w:color w:val="231F20"/>
          <w:w w:val="105"/>
        </w:rPr>
        <w:t>share</w:t>
      </w:r>
      <w:r w:rsidRPr="00A23800">
        <w:rPr>
          <w:rFonts w:ascii="Calibri" w:hAnsi="Calibri"/>
          <w:color w:val="231F20"/>
          <w:spacing w:val="8"/>
          <w:w w:val="105"/>
        </w:rPr>
        <w:t xml:space="preserve"> </w:t>
      </w:r>
      <w:r w:rsidRPr="00A23800">
        <w:rPr>
          <w:rFonts w:ascii="Calibri" w:hAnsi="Calibri"/>
          <w:color w:val="231F20"/>
          <w:w w:val="105"/>
        </w:rPr>
        <w:t>information</w:t>
      </w:r>
      <w:r w:rsidRPr="00A23800">
        <w:rPr>
          <w:rFonts w:ascii="Calibri" w:hAnsi="Calibri"/>
          <w:color w:val="231F20"/>
          <w:spacing w:val="8"/>
          <w:w w:val="105"/>
        </w:rPr>
        <w:t xml:space="preserve"> </w:t>
      </w:r>
      <w:r w:rsidRPr="00A23800">
        <w:rPr>
          <w:rFonts w:ascii="Calibri" w:hAnsi="Calibri"/>
          <w:color w:val="231F20"/>
          <w:w w:val="105"/>
        </w:rPr>
        <w:t>about</w:t>
      </w:r>
      <w:r w:rsidRPr="00A23800">
        <w:rPr>
          <w:rFonts w:ascii="Calibri" w:hAnsi="Calibri"/>
          <w:color w:val="231F20"/>
          <w:spacing w:val="8"/>
          <w:w w:val="105"/>
        </w:rPr>
        <w:t xml:space="preserve"> </w:t>
      </w:r>
      <w:r w:rsidRPr="00A23800">
        <w:rPr>
          <w:rFonts w:ascii="Calibri" w:hAnsi="Calibri"/>
          <w:color w:val="231F20"/>
          <w:w w:val="105"/>
        </w:rPr>
        <w:t>what</w:t>
      </w:r>
      <w:r w:rsidRPr="00A23800">
        <w:rPr>
          <w:rFonts w:ascii="Calibri" w:hAnsi="Calibri"/>
          <w:color w:val="231F20"/>
          <w:spacing w:val="8"/>
          <w:w w:val="105"/>
        </w:rPr>
        <w:t xml:space="preserve"> </w:t>
      </w:r>
      <w:r w:rsidRPr="00A23800">
        <w:rPr>
          <w:rFonts w:ascii="Calibri" w:hAnsi="Calibri"/>
          <w:color w:val="231F20"/>
          <w:w w:val="105"/>
        </w:rPr>
        <w:t>is</w:t>
      </w:r>
      <w:r w:rsidRPr="00A23800">
        <w:rPr>
          <w:rFonts w:ascii="Calibri" w:hAnsi="Calibri"/>
          <w:color w:val="231F20"/>
          <w:spacing w:val="8"/>
          <w:w w:val="105"/>
        </w:rPr>
        <w:t xml:space="preserve"> </w:t>
      </w:r>
      <w:r w:rsidRPr="00A23800">
        <w:rPr>
          <w:rFonts w:ascii="Calibri" w:hAnsi="Calibri"/>
          <w:color w:val="231F20"/>
          <w:w w:val="105"/>
        </w:rPr>
        <w:t>happening</w:t>
      </w:r>
      <w:r w:rsidRPr="00A23800">
        <w:rPr>
          <w:rFonts w:ascii="Calibri" w:hAnsi="Calibri"/>
          <w:color w:val="231F20"/>
          <w:spacing w:val="8"/>
          <w:w w:val="105"/>
        </w:rPr>
        <w:t xml:space="preserve"> </w:t>
      </w:r>
      <w:r w:rsidRPr="00A23800">
        <w:rPr>
          <w:rFonts w:ascii="Calibri" w:hAnsi="Calibri"/>
          <w:color w:val="231F20"/>
          <w:w w:val="105"/>
        </w:rPr>
        <w:t>in</w:t>
      </w:r>
      <w:r w:rsidRPr="00A23800">
        <w:rPr>
          <w:rFonts w:ascii="Calibri" w:hAnsi="Calibri"/>
          <w:color w:val="231F20"/>
          <w:spacing w:val="8"/>
          <w:w w:val="105"/>
        </w:rPr>
        <w:t xml:space="preserve"> </w:t>
      </w:r>
      <w:r w:rsidRPr="00A23800">
        <w:rPr>
          <w:rFonts w:ascii="Calibri" w:hAnsi="Calibri"/>
          <w:color w:val="231F20"/>
          <w:w w:val="105"/>
        </w:rPr>
        <w:t>the</w:t>
      </w:r>
      <w:r w:rsidRPr="00A23800">
        <w:rPr>
          <w:rFonts w:ascii="Calibri" w:hAnsi="Calibri"/>
          <w:color w:val="231F20"/>
          <w:spacing w:val="8"/>
          <w:w w:val="105"/>
        </w:rPr>
        <w:t xml:space="preserve"> </w:t>
      </w:r>
      <w:r w:rsidRPr="00A23800">
        <w:rPr>
          <w:rFonts w:ascii="Calibri" w:hAnsi="Calibri"/>
          <w:color w:val="231F20"/>
          <w:w w:val="105"/>
        </w:rPr>
        <w:t>different</w:t>
      </w:r>
      <w:r w:rsidRPr="00A23800">
        <w:rPr>
          <w:rFonts w:ascii="Calibri" w:hAnsi="Calibri"/>
          <w:color w:val="231F20"/>
          <w:spacing w:val="7"/>
          <w:w w:val="105"/>
        </w:rPr>
        <w:t xml:space="preserve"> </w:t>
      </w:r>
      <w:r w:rsidRPr="00A23800">
        <w:rPr>
          <w:rFonts w:ascii="Calibri" w:hAnsi="Calibri"/>
          <w:color w:val="231F20"/>
          <w:w w:val="105"/>
        </w:rPr>
        <w:t>areas,</w:t>
      </w:r>
      <w:r w:rsidRPr="00A23800">
        <w:rPr>
          <w:rFonts w:ascii="Calibri" w:hAnsi="Calibri"/>
          <w:color w:val="231F20"/>
          <w:spacing w:val="8"/>
          <w:w w:val="105"/>
        </w:rPr>
        <w:t xml:space="preserve"> </w:t>
      </w:r>
      <w:r w:rsidRPr="00A23800">
        <w:rPr>
          <w:rFonts w:ascii="Calibri" w:hAnsi="Calibri"/>
          <w:color w:val="231F20"/>
          <w:w w:val="105"/>
        </w:rPr>
        <w:t>keep</w:t>
      </w:r>
      <w:r w:rsidRPr="00A23800">
        <w:rPr>
          <w:rFonts w:ascii="Calibri" w:hAnsi="Calibri"/>
          <w:color w:val="231F20"/>
          <w:spacing w:val="8"/>
          <w:w w:val="105"/>
        </w:rPr>
        <w:t xml:space="preserve"> </w:t>
      </w:r>
      <w:r w:rsidRPr="00A23800">
        <w:rPr>
          <w:rFonts w:ascii="Calibri" w:hAnsi="Calibri"/>
          <w:color w:val="231F20"/>
          <w:w w:val="105"/>
        </w:rPr>
        <w:t>them</w:t>
      </w:r>
      <w:r w:rsidRPr="00A23800">
        <w:rPr>
          <w:rFonts w:ascii="Calibri" w:hAnsi="Calibri"/>
          <w:color w:val="231F20"/>
          <w:spacing w:val="8"/>
          <w:w w:val="105"/>
        </w:rPr>
        <w:t xml:space="preserve"> </w:t>
      </w:r>
      <w:r w:rsidRPr="00A23800">
        <w:rPr>
          <w:rFonts w:ascii="Calibri" w:hAnsi="Calibri"/>
          <w:color w:val="231F20"/>
          <w:w w:val="105"/>
        </w:rPr>
        <w:t>up</w:t>
      </w:r>
      <w:r w:rsidRPr="00A23800">
        <w:rPr>
          <w:rFonts w:ascii="Calibri" w:hAnsi="Calibri"/>
          <w:color w:val="231F20"/>
          <w:spacing w:val="8"/>
          <w:w w:val="105"/>
        </w:rPr>
        <w:t xml:space="preserve"> </w:t>
      </w:r>
      <w:r w:rsidRPr="00A23800">
        <w:rPr>
          <w:rFonts w:ascii="Calibri" w:hAnsi="Calibri"/>
          <w:color w:val="231F20"/>
          <w:w w:val="105"/>
        </w:rPr>
        <w:t>to</w:t>
      </w:r>
      <w:r w:rsidRPr="00A23800">
        <w:rPr>
          <w:rFonts w:ascii="Calibri" w:hAnsi="Calibri"/>
          <w:color w:val="231F20"/>
          <w:spacing w:val="8"/>
          <w:w w:val="105"/>
        </w:rPr>
        <w:t xml:space="preserve"> </w:t>
      </w:r>
      <w:r w:rsidRPr="00A23800">
        <w:rPr>
          <w:rFonts w:ascii="Calibri" w:hAnsi="Calibri"/>
          <w:color w:val="231F20"/>
          <w:w w:val="105"/>
        </w:rPr>
        <w:t>date</w:t>
      </w:r>
      <w:r w:rsidRPr="00A23800">
        <w:rPr>
          <w:rFonts w:ascii="Calibri" w:hAnsi="Calibri"/>
          <w:color w:val="231F20"/>
          <w:spacing w:val="8"/>
          <w:w w:val="105"/>
        </w:rPr>
        <w:t xml:space="preserve"> </w:t>
      </w:r>
      <w:r w:rsidRPr="00A23800">
        <w:rPr>
          <w:rFonts w:ascii="Calibri" w:hAnsi="Calibri"/>
          <w:color w:val="231F20"/>
          <w:w w:val="105"/>
        </w:rPr>
        <w:t>on</w:t>
      </w:r>
      <w:r w:rsidRPr="00A23800">
        <w:rPr>
          <w:rFonts w:ascii="Calibri" w:hAnsi="Calibri"/>
          <w:color w:val="231F20"/>
          <w:spacing w:val="8"/>
          <w:w w:val="105"/>
        </w:rPr>
        <w:t xml:space="preserve"> </w:t>
      </w:r>
      <w:r w:rsidRPr="00A23800">
        <w:rPr>
          <w:rFonts w:ascii="Calibri" w:hAnsi="Calibri"/>
          <w:color w:val="231F20"/>
          <w:w w:val="105"/>
        </w:rPr>
        <w:t>new</w:t>
      </w:r>
      <w:r w:rsidRPr="00A23800">
        <w:rPr>
          <w:rFonts w:ascii="Calibri" w:hAnsi="Calibri"/>
          <w:color w:val="231F20"/>
          <w:spacing w:val="8"/>
          <w:w w:val="105"/>
        </w:rPr>
        <w:t xml:space="preserve"> </w:t>
      </w:r>
      <w:r w:rsidRPr="00A23800">
        <w:rPr>
          <w:rFonts w:ascii="Calibri" w:hAnsi="Calibri"/>
          <w:color w:val="231F20"/>
          <w:w w:val="105"/>
        </w:rPr>
        <w:t>policies</w:t>
      </w:r>
      <w:r w:rsidRPr="00A23800">
        <w:rPr>
          <w:rFonts w:ascii="Calibri" w:hAnsi="Calibri"/>
          <w:color w:val="231F20"/>
          <w:spacing w:val="-49"/>
          <w:w w:val="105"/>
        </w:rPr>
        <w:t xml:space="preserve"> </w:t>
      </w:r>
      <w:r w:rsidRPr="00A23800">
        <w:rPr>
          <w:rFonts w:ascii="Calibri" w:hAnsi="Calibri"/>
          <w:color w:val="231F20"/>
          <w:w w:val="105"/>
        </w:rPr>
        <w:t>and procedures</w:t>
      </w:r>
      <w:r w:rsidR="00D5537E">
        <w:rPr>
          <w:rFonts w:ascii="Calibri" w:hAnsi="Calibri"/>
          <w:color w:val="231F20"/>
          <w:w w:val="105"/>
        </w:rPr>
        <w:t xml:space="preserve"> and</w:t>
      </w:r>
      <w:r w:rsidRPr="00A23800">
        <w:rPr>
          <w:rFonts w:ascii="Calibri" w:hAnsi="Calibri"/>
          <w:color w:val="231F20"/>
          <w:w w:val="105"/>
        </w:rPr>
        <w:t xml:space="preserve"> offer articles that can help them do their jobs </w:t>
      </w:r>
      <w:r w:rsidRPr="00A23800">
        <w:rPr>
          <w:rFonts w:ascii="Calibri" w:hAnsi="Calibri"/>
          <w:color w:val="231F20"/>
          <w:spacing w:val="-3"/>
          <w:w w:val="105"/>
        </w:rPr>
        <w:t>better.</w:t>
      </w:r>
    </w:p>
    <w:p w14:paraId="609BF312" w14:textId="77777777" w:rsidR="00A07550" w:rsidRPr="00A23800" w:rsidRDefault="00A07550" w:rsidP="00D63204">
      <w:pPr>
        <w:widowControl w:val="0"/>
        <w:spacing w:before="5" w:after="0" w:line="240" w:lineRule="auto"/>
        <w:ind w:left="107"/>
        <w:rPr>
          <w:rFonts w:ascii="Calibri" w:hAnsi="Calibri" w:cs="Calibri"/>
          <w:sz w:val="16"/>
          <w:szCs w:val="16"/>
        </w:rPr>
      </w:pPr>
    </w:p>
    <w:p w14:paraId="59C8D912" w14:textId="14EAD294" w:rsidR="00A07550" w:rsidRPr="00A23800" w:rsidRDefault="00A07550" w:rsidP="00D63204">
      <w:pPr>
        <w:widowControl w:val="0"/>
        <w:spacing w:after="0" w:line="240" w:lineRule="auto"/>
        <w:ind w:left="107"/>
        <w:rPr>
          <w:rFonts w:ascii="Calibri" w:hAnsi="Calibri"/>
        </w:rPr>
      </w:pPr>
      <w:r w:rsidRPr="00A23800">
        <w:rPr>
          <w:rFonts w:ascii="Calibri" w:hAnsi="Calibri"/>
          <w:color w:val="231F20"/>
          <w:w w:val="105"/>
        </w:rPr>
        <w:t xml:space="preserve">Whether offered directly or contracted by </w:t>
      </w:r>
      <w:r>
        <w:rPr>
          <w:rFonts w:ascii="Calibri" w:hAnsi="Calibri"/>
          <w:color w:val="231F20"/>
          <w:w w:val="105"/>
        </w:rPr>
        <w:t>LDO</w:t>
      </w:r>
      <w:r w:rsidRPr="00A23800">
        <w:rPr>
          <w:rFonts w:ascii="Calibri" w:hAnsi="Calibri"/>
          <w:color w:val="231F20"/>
          <w:w w:val="105"/>
        </w:rPr>
        <w:t xml:space="preserve">, </w:t>
      </w:r>
      <w:r w:rsidRPr="00A23800">
        <w:rPr>
          <w:rFonts w:ascii="Calibri" w:hAnsi="Calibri"/>
          <w:color w:val="231F20"/>
          <w:spacing w:val="-4"/>
          <w:w w:val="105"/>
        </w:rPr>
        <w:t xml:space="preserve">VR’s </w:t>
      </w:r>
      <w:r w:rsidRPr="00A23800">
        <w:rPr>
          <w:rFonts w:ascii="Calibri" w:hAnsi="Calibri"/>
          <w:color w:val="231F20"/>
          <w:w w:val="105"/>
        </w:rPr>
        <w:t>staff development and training</w:t>
      </w:r>
      <w:r w:rsidRPr="00A23800">
        <w:rPr>
          <w:rFonts w:ascii="Calibri" w:hAnsi="Calibri"/>
          <w:color w:val="231F20"/>
          <w:spacing w:val="12"/>
          <w:w w:val="105"/>
        </w:rPr>
        <w:t xml:space="preserve"> </w:t>
      </w:r>
      <w:r w:rsidRPr="00A23800">
        <w:rPr>
          <w:rFonts w:ascii="Calibri" w:hAnsi="Calibri"/>
          <w:color w:val="231F20"/>
          <w:w w:val="105"/>
        </w:rPr>
        <w:t>programs</w:t>
      </w:r>
      <w:r w:rsidRPr="00A23800">
        <w:rPr>
          <w:rFonts w:ascii="Calibri" w:hAnsi="Calibri"/>
          <w:color w:val="231F20"/>
          <w:spacing w:val="-2"/>
          <w:w w:val="107"/>
        </w:rPr>
        <w:t xml:space="preserve"> </w:t>
      </w:r>
      <w:r w:rsidRPr="00A23800">
        <w:rPr>
          <w:rFonts w:ascii="Calibri" w:hAnsi="Calibri"/>
          <w:color w:val="231F20"/>
          <w:w w:val="105"/>
        </w:rPr>
        <w:t xml:space="preserve">are designed with the goal of maintaining a well-prepared, competent workforce equipped with </w:t>
      </w:r>
      <w:r w:rsidRPr="00A23800">
        <w:rPr>
          <w:rFonts w:ascii="Calibri" w:hAnsi="Calibri"/>
          <w:color w:val="231F20"/>
          <w:spacing w:val="-2"/>
          <w:w w:val="105"/>
        </w:rPr>
        <w:t>the</w:t>
      </w:r>
      <w:r w:rsidRPr="00A23800">
        <w:rPr>
          <w:rFonts w:ascii="Calibri" w:hAnsi="Calibri"/>
          <w:color w:val="231F20"/>
          <w:spacing w:val="-2"/>
          <w:w w:val="103"/>
        </w:rPr>
        <w:t xml:space="preserve"> </w:t>
      </w:r>
      <w:r w:rsidRPr="00A23800">
        <w:rPr>
          <w:rFonts w:ascii="Calibri" w:hAnsi="Calibri"/>
          <w:color w:val="231F20"/>
          <w:w w:val="105"/>
        </w:rPr>
        <w:t>knowledge, skills</w:t>
      </w:r>
      <w:r w:rsidR="00D5537E">
        <w:rPr>
          <w:rFonts w:ascii="Calibri" w:hAnsi="Calibri"/>
          <w:color w:val="231F20"/>
          <w:w w:val="105"/>
        </w:rPr>
        <w:t xml:space="preserve"> and</w:t>
      </w:r>
      <w:r w:rsidRPr="00A23800">
        <w:rPr>
          <w:rFonts w:ascii="Calibri" w:hAnsi="Calibri"/>
          <w:color w:val="231F20"/>
          <w:w w:val="105"/>
        </w:rPr>
        <w:t xml:space="preserve"> abilities needed to successfully facilitate the rehabilitation of persons with</w:t>
      </w:r>
      <w:r w:rsidRPr="00A23800">
        <w:rPr>
          <w:rFonts w:ascii="Calibri" w:hAnsi="Calibri"/>
          <w:color w:val="231F20"/>
          <w:spacing w:val="-17"/>
          <w:w w:val="105"/>
        </w:rPr>
        <w:t xml:space="preserve"> </w:t>
      </w:r>
      <w:r w:rsidRPr="00A23800">
        <w:rPr>
          <w:rFonts w:ascii="Calibri" w:hAnsi="Calibri"/>
          <w:color w:val="231F20"/>
          <w:w w:val="105"/>
        </w:rPr>
        <w:t>disabilities.</w:t>
      </w:r>
      <w:r w:rsidRPr="00A23800">
        <w:rPr>
          <w:rFonts w:ascii="Calibri" w:hAnsi="Calibri"/>
          <w:color w:val="231F20"/>
          <w:spacing w:val="-2"/>
          <w:w w:val="106"/>
        </w:rPr>
        <w:t xml:space="preserve"> </w:t>
      </w:r>
      <w:r w:rsidRPr="00A23800">
        <w:rPr>
          <w:rFonts w:ascii="Calibri" w:hAnsi="Calibri"/>
          <w:color w:val="231F20"/>
          <w:w w:val="105"/>
        </w:rPr>
        <w:t>VR is responsible for ensuring that employees, including contracted employees, receive necessary</w:t>
      </w:r>
      <w:r w:rsidRPr="00A23800">
        <w:rPr>
          <w:rFonts w:ascii="Calibri" w:hAnsi="Calibri"/>
          <w:color w:val="231F20"/>
          <w:spacing w:val="15"/>
          <w:w w:val="105"/>
        </w:rPr>
        <w:t xml:space="preserve"> </w:t>
      </w:r>
      <w:r w:rsidRPr="00A23800">
        <w:rPr>
          <w:rFonts w:ascii="Calibri" w:hAnsi="Calibri"/>
          <w:color w:val="231F20"/>
          <w:w w:val="105"/>
        </w:rPr>
        <w:t xml:space="preserve">development and training. </w:t>
      </w:r>
      <w:r w:rsidRPr="00A23800">
        <w:rPr>
          <w:rFonts w:ascii="Calibri" w:hAnsi="Calibri"/>
          <w:color w:val="231F20"/>
          <w:spacing w:val="-3"/>
          <w:w w:val="105"/>
        </w:rPr>
        <w:t xml:space="preserve">Accordingly, </w:t>
      </w:r>
      <w:r>
        <w:rPr>
          <w:rFonts w:ascii="Calibri" w:hAnsi="Calibri"/>
          <w:color w:val="231F20"/>
          <w:w w:val="105"/>
        </w:rPr>
        <w:t>LDO</w:t>
      </w:r>
      <w:r w:rsidRPr="00A23800">
        <w:rPr>
          <w:rFonts w:ascii="Calibri" w:hAnsi="Calibri"/>
          <w:color w:val="231F20"/>
          <w:w w:val="105"/>
        </w:rPr>
        <w:t xml:space="preserve"> includes contracted employees at all training programs.</w:t>
      </w:r>
    </w:p>
    <w:p w14:paraId="093C7816" w14:textId="77777777" w:rsidR="00A07550" w:rsidRPr="00A23800" w:rsidRDefault="00A07550" w:rsidP="00D63204">
      <w:pPr>
        <w:widowControl w:val="0"/>
        <w:spacing w:after="0" w:line="240" w:lineRule="auto"/>
        <w:ind w:left="107"/>
        <w:rPr>
          <w:rFonts w:ascii="Calibri" w:hAnsi="Calibri" w:cs="Calibri"/>
        </w:rPr>
      </w:pPr>
    </w:p>
    <w:p w14:paraId="6FD790B9" w14:textId="77777777" w:rsidR="00A07550" w:rsidRPr="00A23800" w:rsidRDefault="00A07550" w:rsidP="00D63204">
      <w:pPr>
        <w:widowControl w:val="0"/>
        <w:spacing w:before="197" w:after="0" w:line="240" w:lineRule="auto"/>
        <w:ind w:left="107"/>
        <w:outlineLvl w:val="2"/>
        <w:rPr>
          <w:rFonts w:ascii="Calibri" w:hAnsi="Calibri"/>
        </w:rPr>
      </w:pPr>
      <w:r w:rsidRPr="00A23800">
        <w:rPr>
          <w:rFonts w:ascii="Calibri" w:hAnsi="Calibri"/>
          <w:b/>
          <w:bCs/>
          <w:color w:val="231F20"/>
          <w:w w:val="110"/>
          <w:u w:val="single" w:color="231F20"/>
        </w:rPr>
        <w:t>Additional</w:t>
      </w:r>
      <w:r w:rsidRPr="00A23800">
        <w:rPr>
          <w:rFonts w:ascii="Calibri" w:hAnsi="Calibri"/>
          <w:b/>
          <w:bCs/>
          <w:color w:val="231F20"/>
          <w:spacing w:val="-23"/>
          <w:w w:val="110"/>
          <w:u w:val="single" w:color="231F20"/>
        </w:rPr>
        <w:t xml:space="preserve"> </w:t>
      </w:r>
      <w:r w:rsidRPr="00A23800">
        <w:rPr>
          <w:rFonts w:ascii="Calibri" w:hAnsi="Calibri"/>
          <w:b/>
          <w:bCs/>
          <w:color w:val="231F20"/>
          <w:w w:val="110"/>
          <w:u w:val="single" w:color="231F20"/>
        </w:rPr>
        <w:t>Personnel</w:t>
      </w:r>
      <w:r w:rsidRPr="00A23800">
        <w:rPr>
          <w:rFonts w:ascii="Calibri" w:hAnsi="Calibri"/>
          <w:b/>
          <w:bCs/>
          <w:color w:val="231F20"/>
          <w:spacing w:val="-23"/>
          <w:w w:val="110"/>
          <w:u w:val="single" w:color="231F20"/>
        </w:rPr>
        <w:t xml:space="preserve"> </w:t>
      </w:r>
      <w:r w:rsidRPr="00A23800">
        <w:rPr>
          <w:rFonts w:ascii="Calibri" w:hAnsi="Calibri"/>
          <w:b/>
          <w:bCs/>
          <w:color w:val="231F20"/>
          <w:w w:val="110"/>
          <w:u w:val="single" w:color="231F20"/>
        </w:rPr>
        <w:t>Development</w:t>
      </w:r>
      <w:r w:rsidRPr="00A23800">
        <w:rPr>
          <w:rFonts w:ascii="Calibri" w:hAnsi="Calibri"/>
          <w:b/>
          <w:bCs/>
          <w:color w:val="231F20"/>
          <w:spacing w:val="-23"/>
          <w:w w:val="110"/>
          <w:u w:val="single" w:color="231F20"/>
        </w:rPr>
        <w:t xml:space="preserve"> </w:t>
      </w:r>
      <w:r w:rsidRPr="00A23800">
        <w:rPr>
          <w:rFonts w:ascii="Calibri" w:hAnsi="Calibri"/>
          <w:b/>
          <w:bCs/>
          <w:color w:val="231F20"/>
          <w:w w:val="110"/>
          <w:u w:val="single" w:color="231F20"/>
        </w:rPr>
        <w:t>Activities</w:t>
      </w:r>
    </w:p>
    <w:p w14:paraId="3BD7F3E8" w14:textId="2DAD6968" w:rsidR="00A07550" w:rsidRDefault="00A07550" w:rsidP="00D63204">
      <w:pPr>
        <w:widowControl w:val="0"/>
        <w:spacing w:after="0" w:line="240" w:lineRule="auto"/>
        <w:ind w:left="107"/>
        <w:rPr>
          <w:rFonts w:ascii="Calibri" w:hAnsi="Calibri"/>
          <w:color w:val="231F20"/>
          <w:w w:val="105"/>
        </w:rPr>
      </w:pPr>
      <w:r w:rsidRPr="00A23800">
        <w:rPr>
          <w:rFonts w:ascii="Calibri" w:hAnsi="Calibri"/>
          <w:color w:val="231F20"/>
          <w:w w:val="105"/>
        </w:rPr>
        <w:t xml:space="preserve">The Organization and Employee Support </w:t>
      </w:r>
      <w:r w:rsidRPr="00096B5A">
        <w:rPr>
          <w:rFonts w:ascii="Calibri" w:hAnsi="Calibri"/>
          <w:color w:val="231F20"/>
          <w:w w:val="105"/>
        </w:rPr>
        <w:t xml:space="preserve">Team </w:t>
      </w:r>
      <w:r w:rsidRPr="00A23800">
        <w:rPr>
          <w:rFonts w:ascii="Calibri" w:hAnsi="Calibri"/>
          <w:color w:val="231F20"/>
          <w:w w:val="105"/>
        </w:rPr>
        <w:t>(OES) recently designed a new human resource information</w:t>
      </w:r>
      <w:r w:rsidRPr="00096B5A">
        <w:rPr>
          <w:rFonts w:ascii="Calibri" w:hAnsi="Calibri"/>
          <w:color w:val="231F20"/>
          <w:w w:val="105"/>
        </w:rPr>
        <w:t xml:space="preserve"> </w:t>
      </w:r>
      <w:r w:rsidRPr="00A23800">
        <w:rPr>
          <w:rFonts w:ascii="Calibri" w:hAnsi="Calibri"/>
          <w:color w:val="231F20"/>
          <w:w w:val="105"/>
        </w:rPr>
        <w:t>site,</w:t>
      </w:r>
      <w:r w:rsidRPr="00096B5A">
        <w:rPr>
          <w:rFonts w:ascii="Calibri" w:hAnsi="Calibri"/>
          <w:color w:val="231F20"/>
          <w:w w:val="105"/>
        </w:rPr>
        <w:t xml:space="preserve"> </w:t>
      </w:r>
      <w:r w:rsidRPr="00A23800">
        <w:rPr>
          <w:rFonts w:ascii="Calibri" w:hAnsi="Calibri"/>
          <w:color w:val="231F20"/>
          <w:w w:val="105"/>
        </w:rPr>
        <w:t>available</w:t>
      </w:r>
      <w:r w:rsidRPr="00096B5A">
        <w:rPr>
          <w:rFonts w:ascii="Calibri" w:hAnsi="Calibri"/>
          <w:color w:val="231F20"/>
          <w:w w:val="105"/>
        </w:rPr>
        <w:t xml:space="preserve"> </w:t>
      </w:r>
      <w:r w:rsidRPr="00A23800">
        <w:rPr>
          <w:rFonts w:ascii="Calibri" w:hAnsi="Calibri"/>
          <w:color w:val="231F20"/>
          <w:w w:val="105"/>
        </w:rPr>
        <w:t>through</w:t>
      </w:r>
      <w:r w:rsidRPr="00096B5A">
        <w:rPr>
          <w:rFonts w:ascii="Calibri" w:hAnsi="Calibri"/>
          <w:color w:val="231F20"/>
          <w:w w:val="105"/>
        </w:rPr>
        <w:t xml:space="preserve"> VR’s </w:t>
      </w:r>
      <w:r w:rsidRPr="00A23800">
        <w:rPr>
          <w:rFonts w:ascii="Calibri" w:hAnsi="Calibri"/>
          <w:color w:val="231F20"/>
          <w:w w:val="105"/>
        </w:rPr>
        <w:t>SharePoint</w:t>
      </w:r>
      <w:r w:rsidRPr="00096B5A">
        <w:rPr>
          <w:rFonts w:ascii="Calibri" w:hAnsi="Calibri"/>
          <w:color w:val="231F20"/>
          <w:w w:val="105"/>
        </w:rPr>
        <w:t xml:space="preserve"> </w:t>
      </w:r>
      <w:r w:rsidRPr="00A23800">
        <w:rPr>
          <w:rFonts w:ascii="Calibri" w:hAnsi="Calibri"/>
          <w:color w:val="231F20"/>
          <w:w w:val="105"/>
        </w:rPr>
        <w:t>application.</w:t>
      </w:r>
      <w:r w:rsidRPr="00096B5A">
        <w:rPr>
          <w:rFonts w:ascii="Calibri" w:hAnsi="Calibri"/>
          <w:color w:val="231F20"/>
          <w:w w:val="105"/>
        </w:rPr>
        <w:t xml:space="preserve"> </w:t>
      </w:r>
      <w:r w:rsidRPr="00A23800">
        <w:rPr>
          <w:rFonts w:ascii="Calibri" w:hAnsi="Calibri"/>
          <w:color w:val="231F20"/>
          <w:w w:val="105"/>
        </w:rPr>
        <w:t>Using</w:t>
      </w:r>
      <w:r w:rsidRPr="00096B5A">
        <w:rPr>
          <w:rFonts w:ascii="Calibri" w:hAnsi="Calibri"/>
          <w:color w:val="231F20"/>
          <w:w w:val="105"/>
        </w:rPr>
        <w:t xml:space="preserve"> </w:t>
      </w:r>
      <w:r w:rsidRPr="00A23800">
        <w:rPr>
          <w:rFonts w:ascii="Calibri" w:hAnsi="Calibri"/>
          <w:color w:val="231F20"/>
          <w:w w:val="105"/>
        </w:rPr>
        <w:t>SharePoint</w:t>
      </w:r>
      <w:r w:rsidRPr="00096B5A">
        <w:rPr>
          <w:rFonts w:ascii="Calibri" w:hAnsi="Calibri"/>
          <w:color w:val="231F20"/>
          <w:w w:val="105"/>
        </w:rPr>
        <w:t xml:space="preserve"> </w:t>
      </w:r>
      <w:r w:rsidRPr="00A23800">
        <w:rPr>
          <w:rFonts w:ascii="Calibri" w:hAnsi="Calibri"/>
          <w:color w:val="231F20"/>
          <w:w w:val="105"/>
        </w:rPr>
        <w:t>increases</w:t>
      </w:r>
      <w:r w:rsidRPr="00096B5A">
        <w:rPr>
          <w:rFonts w:ascii="Calibri" w:hAnsi="Calibri"/>
          <w:color w:val="231F20"/>
          <w:w w:val="105"/>
        </w:rPr>
        <w:t xml:space="preserve"> </w:t>
      </w:r>
      <w:r w:rsidRPr="00A23800">
        <w:rPr>
          <w:rFonts w:ascii="Calibri" w:hAnsi="Calibri"/>
          <w:color w:val="231F20"/>
          <w:w w:val="105"/>
        </w:rPr>
        <w:t>the</w:t>
      </w:r>
      <w:r w:rsidRPr="00096B5A">
        <w:rPr>
          <w:rFonts w:ascii="Calibri" w:hAnsi="Calibri"/>
          <w:color w:val="231F20"/>
          <w:w w:val="105"/>
        </w:rPr>
        <w:t xml:space="preserve"> </w:t>
      </w:r>
      <w:r w:rsidRPr="00A23800">
        <w:rPr>
          <w:rFonts w:ascii="Calibri" w:hAnsi="Calibri"/>
          <w:color w:val="231F20"/>
          <w:w w:val="105"/>
        </w:rPr>
        <w:t>level</w:t>
      </w:r>
      <w:r w:rsidRPr="00096B5A">
        <w:rPr>
          <w:rFonts w:ascii="Calibri" w:hAnsi="Calibri"/>
          <w:color w:val="231F20"/>
          <w:w w:val="105"/>
        </w:rPr>
        <w:t xml:space="preserve"> </w:t>
      </w:r>
      <w:r w:rsidRPr="00A23800">
        <w:rPr>
          <w:rFonts w:ascii="Calibri" w:hAnsi="Calibri"/>
          <w:color w:val="231F20"/>
          <w:w w:val="105"/>
        </w:rPr>
        <w:t>of</w:t>
      </w:r>
      <w:r w:rsidRPr="00096B5A">
        <w:rPr>
          <w:rFonts w:ascii="Calibri" w:hAnsi="Calibri"/>
          <w:color w:val="231F20"/>
          <w:w w:val="105"/>
        </w:rPr>
        <w:t xml:space="preserve"> </w:t>
      </w:r>
      <w:r w:rsidRPr="00A23800">
        <w:rPr>
          <w:rFonts w:ascii="Calibri" w:hAnsi="Calibri"/>
          <w:color w:val="231F20"/>
          <w:w w:val="105"/>
        </w:rPr>
        <w:t>support</w:t>
      </w:r>
      <w:r w:rsidRPr="00096B5A">
        <w:rPr>
          <w:rFonts w:ascii="Calibri" w:hAnsi="Calibri"/>
          <w:color w:val="231F20"/>
          <w:w w:val="105"/>
        </w:rPr>
        <w:t xml:space="preserve"> </w:t>
      </w:r>
      <w:r w:rsidRPr="00A23800">
        <w:rPr>
          <w:rFonts w:ascii="Calibri" w:hAnsi="Calibri"/>
          <w:color w:val="231F20"/>
          <w:w w:val="105"/>
        </w:rPr>
        <w:t>and</w:t>
      </w:r>
      <w:r w:rsidRPr="00096B5A">
        <w:rPr>
          <w:rFonts w:ascii="Calibri" w:hAnsi="Calibri"/>
          <w:color w:val="231F20"/>
          <w:w w:val="105"/>
        </w:rPr>
        <w:t xml:space="preserve"> </w:t>
      </w:r>
      <w:r w:rsidRPr="00A23800">
        <w:rPr>
          <w:rFonts w:ascii="Calibri" w:hAnsi="Calibri"/>
          <w:color w:val="231F20"/>
          <w:w w:val="105"/>
        </w:rPr>
        <w:t>customer</w:t>
      </w:r>
      <w:r w:rsidRPr="00096B5A">
        <w:rPr>
          <w:rFonts w:ascii="Calibri" w:hAnsi="Calibri"/>
          <w:color w:val="231F20"/>
          <w:w w:val="105"/>
        </w:rPr>
        <w:t xml:space="preserve"> </w:t>
      </w:r>
      <w:r w:rsidRPr="00A23800">
        <w:rPr>
          <w:rFonts w:ascii="Calibri" w:hAnsi="Calibri"/>
          <w:color w:val="231F20"/>
          <w:w w:val="105"/>
        </w:rPr>
        <w:t>service</w:t>
      </w:r>
      <w:r w:rsidRPr="00096B5A">
        <w:rPr>
          <w:rFonts w:ascii="Calibri" w:hAnsi="Calibri"/>
          <w:color w:val="231F20"/>
          <w:w w:val="105"/>
        </w:rPr>
        <w:t xml:space="preserve"> </w:t>
      </w:r>
      <w:r w:rsidRPr="00A23800">
        <w:rPr>
          <w:rFonts w:ascii="Calibri" w:hAnsi="Calibri"/>
          <w:color w:val="231F20"/>
          <w:w w:val="105"/>
        </w:rPr>
        <w:t>provided</w:t>
      </w:r>
      <w:r w:rsidRPr="00096B5A">
        <w:rPr>
          <w:rFonts w:ascii="Calibri" w:hAnsi="Calibri"/>
          <w:color w:val="231F20"/>
          <w:w w:val="105"/>
        </w:rPr>
        <w:t xml:space="preserve"> </w:t>
      </w:r>
      <w:r w:rsidRPr="00A23800">
        <w:rPr>
          <w:rFonts w:ascii="Calibri" w:hAnsi="Calibri"/>
          <w:color w:val="231F20"/>
          <w:w w:val="105"/>
        </w:rPr>
        <w:t>to</w:t>
      </w:r>
      <w:r w:rsidRPr="00096B5A">
        <w:rPr>
          <w:rFonts w:ascii="Calibri" w:hAnsi="Calibri"/>
          <w:color w:val="231F20"/>
          <w:w w:val="105"/>
        </w:rPr>
        <w:t xml:space="preserve"> VR’s </w:t>
      </w:r>
      <w:r w:rsidRPr="00A23800">
        <w:rPr>
          <w:rFonts w:ascii="Calibri" w:hAnsi="Calibri"/>
          <w:color w:val="231F20"/>
          <w:w w:val="105"/>
        </w:rPr>
        <w:t>employees,</w:t>
      </w:r>
      <w:r w:rsidRPr="00096B5A">
        <w:rPr>
          <w:rFonts w:ascii="Calibri" w:hAnsi="Calibri"/>
          <w:color w:val="231F20"/>
          <w:w w:val="105"/>
        </w:rPr>
        <w:t xml:space="preserve"> </w:t>
      </w:r>
      <w:r w:rsidRPr="00A23800">
        <w:rPr>
          <w:rFonts w:ascii="Calibri" w:hAnsi="Calibri"/>
          <w:color w:val="231F20"/>
          <w:w w:val="105"/>
        </w:rPr>
        <w:t>volunteers,</w:t>
      </w:r>
      <w:r w:rsidRPr="00096B5A">
        <w:rPr>
          <w:rFonts w:ascii="Calibri" w:hAnsi="Calibri"/>
          <w:color w:val="231F20"/>
          <w:w w:val="105"/>
        </w:rPr>
        <w:t xml:space="preserve"> </w:t>
      </w:r>
      <w:r w:rsidRPr="00A23800">
        <w:rPr>
          <w:rFonts w:ascii="Calibri" w:hAnsi="Calibri"/>
          <w:color w:val="231F20"/>
          <w:w w:val="105"/>
        </w:rPr>
        <w:t>contracted</w:t>
      </w:r>
      <w:r w:rsidRPr="00096B5A">
        <w:rPr>
          <w:rFonts w:ascii="Calibri" w:hAnsi="Calibri"/>
          <w:color w:val="231F20"/>
          <w:w w:val="105"/>
        </w:rPr>
        <w:t xml:space="preserve"> </w:t>
      </w:r>
      <w:r w:rsidRPr="00A23800">
        <w:rPr>
          <w:rFonts w:ascii="Calibri" w:hAnsi="Calibri"/>
          <w:color w:val="231F20"/>
          <w:w w:val="105"/>
        </w:rPr>
        <w:t>staff,</w:t>
      </w:r>
      <w:r w:rsidRPr="00096B5A">
        <w:rPr>
          <w:rFonts w:ascii="Calibri" w:hAnsi="Calibri"/>
          <w:color w:val="231F20"/>
          <w:w w:val="105"/>
        </w:rPr>
        <w:t xml:space="preserve"> </w:t>
      </w:r>
      <w:r w:rsidRPr="00A23800">
        <w:rPr>
          <w:rFonts w:ascii="Calibri" w:hAnsi="Calibri"/>
          <w:color w:val="231F20"/>
          <w:w w:val="105"/>
        </w:rPr>
        <w:t>supervisors</w:t>
      </w:r>
      <w:r w:rsidR="00D5537E">
        <w:rPr>
          <w:rFonts w:ascii="Calibri" w:hAnsi="Calibri"/>
          <w:color w:val="231F20"/>
          <w:w w:val="105"/>
        </w:rPr>
        <w:t xml:space="preserve"> and</w:t>
      </w:r>
      <w:r w:rsidRPr="00096B5A">
        <w:rPr>
          <w:rFonts w:ascii="Calibri" w:hAnsi="Calibri"/>
          <w:color w:val="231F20"/>
          <w:w w:val="105"/>
        </w:rPr>
        <w:t xml:space="preserve"> </w:t>
      </w:r>
      <w:r w:rsidRPr="00A23800">
        <w:rPr>
          <w:rFonts w:ascii="Calibri" w:hAnsi="Calibri"/>
          <w:color w:val="231F20"/>
          <w:w w:val="105"/>
        </w:rPr>
        <w:t>personnel</w:t>
      </w:r>
      <w:r w:rsidRPr="00096B5A">
        <w:rPr>
          <w:rFonts w:ascii="Calibri" w:hAnsi="Calibri"/>
          <w:color w:val="231F20"/>
          <w:w w:val="105"/>
        </w:rPr>
        <w:t xml:space="preserve"> </w:t>
      </w:r>
      <w:r w:rsidRPr="00A23800">
        <w:rPr>
          <w:rFonts w:ascii="Calibri" w:hAnsi="Calibri"/>
          <w:color w:val="231F20"/>
          <w:w w:val="105"/>
        </w:rPr>
        <w:t>liaisons.</w:t>
      </w:r>
      <w:r w:rsidRPr="00096B5A">
        <w:rPr>
          <w:rFonts w:ascii="Calibri" w:hAnsi="Calibri"/>
          <w:color w:val="231F20"/>
          <w:w w:val="105"/>
        </w:rPr>
        <w:t xml:space="preserve"> </w:t>
      </w:r>
      <w:r w:rsidRPr="00A23800">
        <w:rPr>
          <w:rFonts w:ascii="Calibri" w:hAnsi="Calibri"/>
          <w:color w:val="231F20"/>
          <w:w w:val="105"/>
        </w:rPr>
        <w:t>The</w:t>
      </w:r>
      <w:r w:rsidRPr="00096B5A">
        <w:rPr>
          <w:rFonts w:ascii="Calibri" w:hAnsi="Calibri"/>
          <w:color w:val="231F20"/>
          <w:w w:val="105"/>
        </w:rPr>
        <w:t xml:space="preserve"> </w:t>
      </w:r>
      <w:r w:rsidRPr="00A23800">
        <w:rPr>
          <w:rFonts w:ascii="Calibri" w:hAnsi="Calibri"/>
          <w:color w:val="231F20"/>
          <w:w w:val="105"/>
        </w:rPr>
        <w:t>intent</w:t>
      </w:r>
      <w:r w:rsidRPr="00096B5A">
        <w:rPr>
          <w:rFonts w:ascii="Calibri" w:hAnsi="Calibri"/>
          <w:color w:val="231F20"/>
          <w:w w:val="105"/>
        </w:rPr>
        <w:t xml:space="preserve"> </w:t>
      </w:r>
      <w:r w:rsidRPr="00A23800">
        <w:rPr>
          <w:rFonts w:ascii="Calibri" w:hAnsi="Calibri"/>
          <w:color w:val="231F20"/>
          <w:w w:val="105"/>
        </w:rPr>
        <w:t>is</w:t>
      </w:r>
      <w:r w:rsidRPr="00096B5A">
        <w:rPr>
          <w:rFonts w:ascii="Calibri" w:hAnsi="Calibri"/>
          <w:color w:val="231F20"/>
          <w:w w:val="105"/>
        </w:rPr>
        <w:t xml:space="preserve"> </w:t>
      </w:r>
      <w:r w:rsidRPr="00A23800">
        <w:rPr>
          <w:rFonts w:ascii="Calibri" w:hAnsi="Calibri"/>
          <w:color w:val="231F20"/>
          <w:w w:val="105"/>
        </w:rPr>
        <w:t>to</w:t>
      </w:r>
      <w:r w:rsidRPr="00096B5A">
        <w:rPr>
          <w:rFonts w:ascii="Calibri" w:hAnsi="Calibri"/>
          <w:color w:val="231F20"/>
          <w:w w:val="105"/>
        </w:rPr>
        <w:t xml:space="preserve"> </w:t>
      </w:r>
      <w:r w:rsidRPr="00A23800">
        <w:rPr>
          <w:rFonts w:ascii="Calibri" w:hAnsi="Calibri"/>
          <w:color w:val="231F20"/>
          <w:w w:val="105"/>
        </w:rPr>
        <w:t>provide</w:t>
      </w:r>
      <w:r w:rsidRPr="00096B5A">
        <w:rPr>
          <w:rFonts w:ascii="Calibri" w:hAnsi="Calibri"/>
          <w:color w:val="231F20"/>
          <w:w w:val="105"/>
        </w:rPr>
        <w:t xml:space="preserve"> </w:t>
      </w:r>
      <w:r w:rsidRPr="00A23800">
        <w:rPr>
          <w:rFonts w:ascii="Calibri" w:hAnsi="Calibri"/>
          <w:color w:val="231F20"/>
          <w:w w:val="105"/>
        </w:rPr>
        <w:t>user-friendly</w:t>
      </w:r>
      <w:r w:rsidRPr="00096B5A">
        <w:rPr>
          <w:rFonts w:ascii="Calibri" w:hAnsi="Calibri"/>
          <w:color w:val="231F20"/>
          <w:w w:val="105"/>
        </w:rPr>
        <w:t xml:space="preserve"> </w:t>
      </w:r>
      <w:r w:rsidRPr="00A23800">
        <w:rPr>
          <w:rFonts w:ascii="Calibri" w:hAnsi="Calibri"/>
          <w:color w:val="231F20"/>
          <w:w w:val="105"/>
        </w:rPr>
        <w:t>experiences</w:t>
      </w:r>
      <w:r w:rsidRPr="00096B5A">
        <w:rPr>
          <w:rFonts w:ascii="Calibri" w:hAnsi="Calibri"/>
          <w:color w:val="231F20"/>
          <w:w w:val="105"/>
        </w:rPr>
        <w:t xml:space="preserve"> </w:t>
      </w:r>
      <w:r w:rsidRPr="00A23800">
        <w:rPr>
          <w:rFonts w:ascii="Calibri" w:hAnsi="Calibri"/>
          <w:color w:val="231F20"/>
          <w:w w:val="105"/>
        </w:rPr>
        <w:t>for</w:t>
      </w:r>
      <w:r w:rsidRPr="00096B5A">
        <w:rPr>
          <w:rFonts w:ascii="Calibri" w:hAnsi="Calibri"/>
          <w:color w:val="231F20"/>
          <w:w w:val="105"/>
        </w:rPr>
        <w:t xml:space="preserve"> </w:t>
      </w:r>
      <w:r w:rsidRPr="00A23800">
        <w:rPr>
          <w:rFonts w:ascii="Calibri" w:hAnsi="Calibri"/>
          <w:color w:val="231F20"/>
          <w:w w:val="105"/>
        </w:rPr>
        <w:t>new</w:t>
      </w:r>
      <w:r w:rsidRPr="00096B5A">
        <w:rPr>
          <w:rFonts w:ascii="Calibri" w:hAnsi="Calibri"/>
          <w:color w:val="231F20"/>
          <w:w w:val="105"/>
        </w:rPr>
        <w:t xml:space="preserve"> </w:t>
      </w:r>
      <w:r w:rsidRPr="00A23800">
        <w:rPr>
          <w:rFonts w:ascii="Calibri" w:hAnsi="Calibri"/>
          <w:color w:val="231F20"/>
          <w:w w:val="105"/>
        </w:rPr>
        <w:t>and</w:t>
      </w:r>
      <w:r w:rsidRPr="00096B5A">
        <w:rPr>
          <w:rFonts w:ascii="Calibri" w:hAnsi="Calibri"/>
          <w:color w:val="231F20"/>
          <w:w w:val="105"/>
        </w:rPr>
        <w:t xml:space="preserve"> </w:t>
      </w:r>
      <w:r w:rsidRPr="00A23800">
        <w:rPr>
          <w:rFonts w:ascii="Calibri" w:hAnsi="Calibri"/>
          <w:color w:val="231F20"/>
          <w:w w:val="105"/>
        </w:rPr>
        <w:t>existing</w:t>
      </w:r>
      <w:r w:rsidRPr="00096B5A">
        <w:rPr>
          <w:rFonts w:ascii="Calibri" w:hAnsi="Calibri"/>
          <w:color w:val="231F20"/>
          <w:w w:val="105"/>
        </w:rPr>
        <w:t xml:space="preserve"> </w:t>
      </w:r>
      <w:r w:rsidRPr="00A23800">
        <w:rPr>
          <w:rFonts w:ascii="Calibri" w:hAnsi="Calibri"/>
          <w:color w:val="231F20"/>
          <w:w w:val="105"/>
        </w:rPr>
        <w:t>employees.</w:t>
      </w:r>
    </w:p>
    <w:p w14:paraId="6FA43C2E" w14:textId="77777777" w:rsidR="00096B5A" w:rsidRPr="00096B5A" w:rsidRDefault="00096B5A" w:rsidP="00D63204">
      <w:pPr>
        <w:widowControl w:val="0"/>
        <w:spacing w:after="0" w:line="240" w:lineRule="auto"/>
        <w:ind w:left="107"/>
        <w:rPr>
          <w:rFonts w:ascii="Calibri" w:hAnsi="Calibri"/>
          <w:color w:val="231F20"/>
          <w:w w:val="105"/>
        </w:rPr>
      </w:pPr>
    </w:p>
    <w:p w14:paraId="66B4D7EE" w14:textId="4DB00C1F" w:rsidR="00A07550" w:rsidRPr="00096B5A" w:rsidRDefault="00A07550" w:rsidP="00D63204">
      <w:pPr>
        <w:widowControl w:val="0"/>
        <w:spacing w:after="0" w:line="240" w:lineRule="auto"/>
        <w:ind w:left="107"/>
        <w:rPr>
          <w:rFonts w:ascii="Calibri" w:hAnsi="Calibri"/>
          <w:color w:val="231F20"/>
          <w:w w:val="105"/>
        </w:rPr>
      </w:pPr>
      <w:r w:rsidRPr="00A23800">
        <w:rPr>
          <w:rFonts w:ascii="Calibri" w:hAnsi="Calibri"/>
          <w:color w:val="231F20"/>
          <w:w w:val="105"/>
        </w:rPr>
        <w:t>The</w:t>
      </w:r>
      <w:r w:rsidRPr="00096B5A">
        <w:rPr>
          <w:rFonts w:ascii="Calibri" w:hAnsi="Calibri"/>
          <w:color w:val="231F20"/>
          <w:w w:val="105"/>
        </w:rPr>
        <w:t xml:space="preserve"> </w:t>
      </w:r>
      <w:r w:rsidRPr="00A23800">
        <w:rPr>
          <w:rFonts w:ascii="Calibri" w:hAnsi="Calibri"/>
          <w:color w:val="231F20"/>
          <w:w w:val="105"/>
        </w:rPr>
        <w:t>OES</w:t>
      </w:r>
      <w:r w:rsidRPr="00096B5A">
        <w:rPr>
          <w:rFonts w:ascii="Calibri" w:hAnsi="Calibri"/>
          <w:color w:val="231F20"/>
          <w:w w:val="105"/>
        </w:rPr>
        <w:t xml:space="preserve"> </w:t>
      </w:r>
      <w:r w:rsidRPr="00A23800">
        <w:rPr>
          <w:rFonts w:ascii="Calibri" w:hAnsi="Calibri"/>
          <w:color w:val="231F20"/>
          <w:w w:val="105"/>
        </w:rPr>
        <w:t>Homepage</w:t>
      </w:r>
      <w:r w:rsidRPr="00096B5A">
        <w:rPr>
          <w:rFonts w:ascii="Calibri" w:hAnsi="Calibri"/>
          <w:color w:val="231F20"/>
          <w:w w:val="105"/>
        </w:rPr>
        <w:t xml:space="preserve"> </w:t>
      </w:r>
      <w:r w:rsidRPr="00A23800">
        <w:rPr>
          <w:rFonts w:ascii="Calibri" w:hAnsi="Calibri"/>
          <w:color w:val="231F20"/>
          <w:w w:val="105"/>
        </w:rPr>
        <w:t>provides</w:t>
      </w:r>
      <w:r w:rsidRPr="00096B5A">
        <w:rPr>
          <w:rFonts w:ascii="Calibri" w:hAnsi="Calibri"/>
          <w:color w:val="231F20"/>
          <w:w w:val="105"/>
        </w:rPr>
        <w:t xml:space="preserve"> </w:t>
      </w:r>
      <w:r w:rsidRPr="00A23800">
        <w:rPr>
          <w:rFonts w:ascii="Calibri" w:hAnsi="Calibri"/>
          <w:color w:val="231F20"/>
          <w:w w:val="105"/>
        </w:rPr>
        <w:t>job</w:t>
      </w:r>
      <w:r w:rsidRPr="00096B5A">
        <w:rPr>
          <w:rFonts w:ascii="Calibri" w:hAnsi="Calibri"/>
          <w:color w:val="231F20"/>
          <w:w w:val="105"/>
        </w:rPr>
        <w:t xml:space="preserve"> </w:t>
      </w:r>
      <w:r w:rsidRPr="00A23800">
        <w:rPr>
          <w:rFonts w:ascii="Calibri" w:hAnsi="Calibri"/>
          <w:color w:val="231F20"/>
          <w:w w:val="105"/>
        </w:rPr>
        <w:t>opportunity</w:t>
      </w:r>
      <w:r w:rsidRPr="00096B5A">
        <w:rPr>
          <w:rFonts w:ascii="Calibri" w:hAnsi="Calibri"/>
          <w:color w:val="231F20"/>
          <w:w w:val="105"/>
        </w:rPr>
        <w:t xml:space="preserve"> </w:t>
      </w:r>
      <w:r w:rsidRPr="00A23800">
        <w:rPr>
          <w:rFonts w:ascii="Calibri" w:hAnsi="Calibri"/>
          <w:color w:val="231F20"/>
          <w:w w:val="105"/>
        </w:rPr>
        <w:t>announcements,</w:t>
      </w:r>
      <w:r w:rsidRPr="00096B5A">
        <w:rPr>
          <w:rFonts w:ascii="Calibri" w:hAnsi="Calibri"/>
          <w:color w:val="231F20"/>
          <w:w w:val="105"/>
        </w:rPr>
        <w:t xml:space="preserve"> </w:t>
      </w:r>
      <w:r w:rsidRPr="00A23800">
        <w:rPr>
          <w:rFonts w:ascii="Calibri" w:hAnsi="Calibri"/>
          <w:color w:val="231F20"/>
          <w:w w:val="105"/>
        </w:rPr>
        <w:t>access</w:t>
      </w:r>
      <w:r w:rsidRPr="00096B5A">
        <w:rPr>
          <w:rFonts w:ascii="Calibri" w:hAnsi="Calibri"/>
          <w:color w:val="231F20"/>
          <w:w w:val="105"/>
        </w:rPr>
        <w:t xml:space="preserve"> </w:t>
      </w:r>
      <w:r w:rsidRPr="00A23800">
        <w:rPr>
          <w:rFonts w:ascii="Calibri" w:hAnsi="Calibri"/>
          <w:color w:val="231F20"/>
          <w:w w:val="105"/>
        </w:rPr>
        <w:t>to</w:t>
      </w:r>
      <w:r w:rsidRPr="00096B5A">
        <w:rPr>
          <w:rFonts w:ascii="Calibri" w:hAnsi="Calibri"/>
          <w:color w:val="231F20"/>
          <w:w w:val="105"/>
        </w:rPr>
        <w:t xml:space="preserve"> </w:t>
      </w:r>
      <w:r w:rsidRPr="00A23800">
        <w:rPr>
          <w:rFonts w:ascii="Calibri" w:hAnsi="Calibri"/>
          <w:color w:val="231F20"/>
          <w:w w:val="105"/>
        </w:rPr>
        <w:t>more</w:t>
      </w:r>
      <w:r w:rsidRPr="00096B5A">
        <w:rPr>
          <w:rFonts w:ascii="Calibri" w:hAnsi="Calibri"/>
          <w:color w:val="231F20"/>
          <w:w w:val="105"/>
        </w:rPr>
        <w:t xml:space="preserve"> </w:t>
      </w:r>
      <w:r w:rsidRPr="00A23800">
        <w:rPr>
          <w:rFonts w:ascii="Calibri" w:hAnsi="Calibri"/>
          <w:color w:val="231F20"/>
          <w:w w:val="105"/>
        </w:rPr>
        <w:t>than</w:t>
      </w:r>
      <w:r w:rsidRPr="00096B5A">
        <w:rPr>
          <w:rFonts w:ascii="Calibri" w:hAnsi="Calibri"/>
          <w:color w:val="231F20"/>
          <w:w w:val="105"/>
        </w:rPr>
        <w:t xml:space="preserve"> </w:t>
      </w:r>
      <w:r w:rsidRPr="00A23800">
        <w:rPr>
          <w:rFonts w:ascii="Calibri" w:hAnsi="Calibri"/>
          <w:color w:val="231F20"/>
          <w:w w:val="105"/>
        </w:rPr>
        <w:t>900</w:t>
      </w:r>
      <w:r w:rsidRPr="00096B5A">
        <w:rPr>
          <w:rFonts w:ascii="Calibri" w:hAnsi="Calibri"/>
          <w:color w:val="231F20"/>
          <w:w w:val="105"/>
        </w:rPr>
        <w:t xml:space="preserve"> </w:t>
      </w:r>
      <w:r w:rsidRPr="00A23800">
        <w:rPr>
          <w:rFonts w:ascii="Calibri" w:hAnsi="Calibri"/>
          <w:color w:val="231F20"/>
          <w:w w:val="105"/>
        </w:rPr>
        <w:t>HR</w:t>
      </w:r>
      <w:r w:rsidRPr="00096B5A">
        <w:rPr>
          <w:rFonts w:ascii="Calibri" w:hAnsi="Calibri"/>
          <w:color w:val="231F20"/>
          <w:w w:val="105"/>
        </w:rPr>
        <w:t xml:space="preserve"> </w:t>
      </w:r>
      <w:r w:rsidRPr="00A23800">
        <w:rPr>
          <w:rFonts w:ascii="Calibri" w:hAnsi="Calibri"/>
          <w:color w:val="231F20"/>
          <w:w w:val="105"/>
        </w:rPr>
        <w:t>forms,</w:t>
      </w:r>
      <w:r w:rsidRPr="00096B5A">
        <w:rPr>
          <w:rFonts w:ascii="Calibri" w:hAnsi="Calibri"/>
          <w:color w:val="231F20"/>
          <w:w w:val="105"/>
        </w:rPr>
        <w:t xml:space="preserve"> </w:t>
      </w:r>
      <w:r w:rsidRPr="00A23800">
        <w:rPr>
          <w:rFonts w:ascii="Calibri" w:hAnsi="Calibri"/>
          <w:color w:val="231F20"/>
          <w:w w:val="105"/>
        </w:rPr>
        <w:t>procedures</w:t>
      </w:r>
      <w:r w:rsidR="00D5537E">
        <w:rPr>
          <w:rFonts w:ascii="Calibri" w:hAnsi="Calibri"/>
          <w:color w:val="231F20"/>
          <w:w w:val="105"/>
        </w:rPr>
        <w:t xml:space="preserve"> and</w:t>
      </w:r>
      <w:r w:rsidRPr="00096B5A">
        <w:rPr>
          <w:rFonts w:ascii="Calibri" w:hAnsi="Calibri"/>
          <w:color w:val="231F20"/>
          <w:w w:val="105"/>
        </w:rPr>
        <w:t xml:space="preserve"> </w:t>
      </w:r>
      <w:r w:rsidRPr="00A23800">
        <w:rPr>
          <w:rFonts w:ascii="Calibri" w:hAnsi="Calibri"/>
          <w:color w:val="231F20"/>
          <w:w w:val="105"/>
        </w:rPr>
        <w:t>policies</w:t>
      </w:r>
      <w:r w:rsidR="00D5537E">
        <w:rPr>
          <w:rFonts w:ascii="Calibri" w:hAnsi="Calibri"/>
          <w:color w:val="231F20"/>
          <w:w w:val="105"/>
        </w:rPr>
        <w:t xml:space="preserve"> and</w:t>
      </w:r>
      <w:r w:rsidRPr="00096B5A">
        <w:rPr>
          <w:rFonts w:ascii="Calibri" w:hAnsi="Calibri"/>
          <w:color w:val="231F20"/>
          <w:w w:val="105"/>
        </w:rPr>
        <w:t xml:space="preserve"> </w:t>
      </w:r>
      <w:r w:rsidRPr="00A23800">
        <w:rPr>
          <w:rFonts w:ascii="Calibri" w:hAnsi="Calibri"/>
          <w:color w:val="231F20"/>
          <w:w w:val="105"/>
        </w:rPr>
        <w:t>a</w:t>
      </w:r>
      <w:r w:rsidRPr="00096B5A">
        <w:rPr>
          <w:rFonts w:ascii="Calibri" w:hAnsi="Calibri"/>
          <w:color w:val="231F20"/>
          <w:w w:val="105"/>
        </w:rPr>
        <w:t xml:space="preserve"> </w:t>
      </w:r>
      <w:r w:rsidRPr="00A23800">
        <w:rPr>
          <w:rFonts w:ascii="Calibri" w:hAnsi="Calibri"/>
          <w:color w:val="231F20"/>
          <w:w w:val="105"/>
        </w:rPr>
        <w:t>calendar</w:t>
      </w:r>
      <w:r w:rsidRPr="00096B5A">
        <w:rPr>
          <w:rFonts w:ascii="Calibri" w:hAnsi="Calibri"/>
          <w:color w:val="231F20"/>
          <w:w w:val="105"/>
        </w:rPr>
        <w:t xml:space="preserve"> </w:t>
      </w:r>
      <w:r w:rsidRPr="00A23800">
        <w:rPr>
          <w:rFonts w:ascii="Calibri" w:hAnsi="Calibri"/>
          <w:color w:val="231F20"/>
          <w:w w:val="105"/>
        </w:rPr>
        <w:t>of</w:t>
      </w:r>
      <w:r w:rsidRPr="00096B5A">
        <w:rPr>
          <w:rFonts w:ascii="Calibri" w:hAnsi="Calibri"/>
          <w:color w:val="231F20"/>
          <w:w w:val="105"/>
        </w:rPr>
        <w:t xml:space="preserve"> </w:t>
      </w:r>
      <w:r w:rsidRPr="00A23800">
        <w:rPr>
          <w:rFonts w:ascii="Calibri" w:hAnsi="Calibri"/>
          <w:color w:val="231F20"/>
          <w:w w:val="105"/>
        </w:rPr>
        <w:t>upcoming</w:t>
      </w:r>
      <w:r w:rsidRPr="00096B5A">
        <w:rPr>
          <w:rFonts w:ascii="Calibri" w:hAnsi="Calibri"/>
          <w:color w:val="231F20"/>
          <w:w w:val="105"/>
        </w:rPr>
        <w:t xml:space="preserve"> </w:t>
      </w:r>
      <w:r w:rsidRPr="00A23800">
        <w:rPr>
          <w:rFonts w:ascii="Calibri" w:hAnsi="Calibri"/>
          <w:color w:val="231F20"/>
          <w:w w:val="105"/>
        </w:rPr>
        <w:t>important</w:t>
      </w:r>
      <w:r w:rsidRPr="00096B5A">
        <w:rPr>
          <w:rFonts w:ascii="Calibri" w:hAnsi="Calibri"/>
          <w:color w:val="231F20"/>
          <w:w w:val="105"/>
        </w:rPr>
        <w:t xml:space="preserve"> </w:t>
      </w:r>
      <w:r w:rsidRPr="00A23800">
        <w:rPr>
          <w:rFonts w:ascii="Calibri" w:hAnsi="Calibri"/>
          <w:color w:val="231F20"/>
          <w:w w:val="105"/>
        </w:rPr>
        <w:t>HR</w:t>
      </w:r>
      <w:r w:rsidRPr="00096B5A">
        <w:rPr>
          <w:rFonts w:ascii="Calibri" w:hAnsi="Calibri"/>
          <w:color w:val="231F20"/>
          <w:w w:val="105"/>
        </w:rPr>
        <w:t xml:space="preserve"> </w:t>
      </w:r>
      <w:r w:rsidRPr="00A23800">
        <w:rPr>
          <w:rFonts w:ascii="Calibri" w:hAnsi="Calibri"/>
          <w:color w:val="231F20"/>
          <w:w w:val="105"/>
        </w:rPr>
        <w:t>dates</w:t>
      </w:r>
      <w:r w:rsidRPr="00096B5A">
        <w:rPr>
          <w:rFonts w:ascii="Calibri" w:hAnsi="Calibri"/>
          <w:color w:val="231F20"/>
          <w:w w:val="105"/>
        </w:rPr>
        <w:t xml:space="preserve"> </w:t>
      </w:r>
      <w:r w:rsidRPr="00A23800">
        <w:rPr>
          <w:rFonts w:ascii="Calibri" w:hAnsi="Calibri"/>
          <w:color w:val="231F20"/>
          <w:w w:val="105"/>
        </w:rPr>
        <w:t>and</w:t>
      </w:r>
      <w:r w:rsidRPr="00096B5A">
        <w:rPr>
          <w:rFonts w:ascii="Calibri" w:hAnsi="Calibri"/>
          <w:color w:val="231F20"/>
          <w:w w:val="105"/>
        </w:rPr>
        <w:t xml:space="preserve"> </w:t>
      </w:r>
      <w:r w:rsidRPr="00A23800">
        <w:rPr>
          <w:rFonts w:ascii="Calibri" w:hAnsi="Calibri"/>
          <w:color w:val="231F20"/>
          <w:w w:val="105"/>
        </w:rPr>
        <w:t>events.</w:t>
      </w:r>
    </w:p>
    <w:p w14:paraId="42CCBEB2" w14:textId="77777777" w:rsidR="00A07550" w:rsidRPr="00A23800" w:rsidRDefault="00A07550" w:rsidP="00D63204">
      <w:pPr>
        <w:widowControl w:val="0"/>
        <w:spacing w:after="0" w:line="240" w:lineRule="auto"/>
        <w:ind w:left="107"/>
        <w:rPr>
          <w:rFonts w:ascii="Calibri" w:hAnsi="Calibri" w:cs="Calibri"/>
        </w:rPr>
      </w:pPr>
    </w:p>
    <w:p w14:paraId="43BC8875" w14:textId="77777777" w:rsidR="00A07550" w:rsidRPr="00A23800" w:rsidRDefault="00A07550" w:rsidP="00D63204">
      <w:pPr>
        <w:widowControl w:val="0"/>
        <w:spacing w:before="192" w:after="0" w:line="240" w:lineRule="auto"/>
        <w:ind w:left="107"/>
        <w:outlineLvl w:val="2"/>
        <w:rPr>
          <w:rFonts w:ascii="Calibri" w:hAnsi="Calibri"/>
        </w:rPr>
      </w:pPr>
      <w:r w:rsidRPr="00A23800">
        <w:rPr>
          <w:rFonts w:ascii="Calibri" w:hAnsi="Calibri"/>
          <w:b/>
          <w:bCs/>
          <w:color w:val="231F20"/>
          <w:w w:val="110"/>
          <w:u w:val="single" w:color="231F20"/>
        </w:rPr>
        <w:t>Onboarding</w:t>
      </w:r>
    </w:p>
    <w:p w14:paraId="32CBC985" w14:textId="47F51C70" w:rsidR="00A07550" w:rsidRPr="00A23800" w:rsidRDefault="00A07550" w:rsidP="00D63204">
      <w:pPr>
        <w:widowControl w:val="0"/>
        <w:spacing w:before="2" w:after="0" w:line="240" w:lineRule="auto"/>
        <w:ind w:left="107"/>
        <w:rPr>
          <w:rFonts w:ascii="Calibri" w:hAnsi="Calibri"/>
        </w:rPr>
      </w:pPr>
      <w:r w:rsidRPr="00A23800">
        <w:rPr>
          <w:rFonts w:ascii="Calibri" w:hAnsi="Calibri"/>
          <w:color w:val="231F20"/>
          <w:w w:val="105"/>
        </w:rPr>
        <w:t>Onboarding</w:t>
      </w:r>
      <w:r w:rsidRPr="00A23800">
        <w:rPr>
          <w:rFonts w:ascii="Calibri" w:hAnsi="Calibri"/>
          <w:color w:val="231F20"/>
          <w:spacing w:val="19"/>
          <w:w w:val="105"/>
        </w:rPr>
        <w:t xml:space="preserve"> </w:t>
      </w:r>
      <w:r w:rsidRPr="00A23800">
        <w:rPr>
          <w:rFonts w:ascii="Calibri" w:hAnsi="Calibri"/>
          <w:color w:val="231F20"/>
          <w:w w:val="105"/>
        </w:rPr>
        <w:t>helps</w:t>
      </w:r>
      <w:r w:rsidRPr="00A23800">
        <w:rPr>
          <w:rFonts w:ascii="Calibri" w:hAnsi="Calibri"/>
          <w:color w:val="231F20"/>
          <w:spacing w:val="19"/>
          <w:w w:val="105"/>
        </w:rPr>
        <w:t xml:space="preserve"> </w:t>
      </w:r>
      <w:r w:rsidRPr="00A23800">
        <w:rPr>
          <w:rFonts w:ascii="Calibri" w:hAnsi="Calibri"/>
          <w:color w:val="231F20"/>
          <w:w w:val="105"/>
        </w:rPr>
        <w:t>new</w:t>
      </w:r>
      <w:r w:rsidRPr="00A23800">
        <w:rPr>
          <w:rFonts w:ascii="Calibri" w:hAnsi="Calibri"/>
          <w:color w:val="231F20"/>
          <w:spacing w:val="19"/>
          <w:w w:val="105"/>
        </w:rPr>
        <w:t xml:space="preserve"> </w:t>
      </w:r>
      <w:r w:rsidRPr="00A23800">
        <w:rPr>
          <w:rFonts w:ascii="Calibri" w:hAnsi="Calibri"/>
          <w:color w:val="231F20"/>
          <w:w w:val="105"/>
        </w:rPr>
        <w:t>personnel</w:t>
      </w:r>
      <w:r w:rsidRPr="00A23800">
        <w:rPr>
          <w:rFonts w:ascii="Calibri" w:hAnsi="Calibri"/>
          <w:color w:val="231F20"/>
          <w:spacing w:val="19"/>
          <w:w w:val="105"/>
        </w:rPr>
        <w:t xml:space="preserve"> </w:t>
      </w:r>
      <w:r w:rsidRPr="00A23800">
        <w:rPr>
          <w:rFonts w:ascii="Calibri" w:hAnsi="Calibri"/>
          <w:color w:val="231F20"/>
          <w:w w:val="105"/>
        </w:rPr>
        <w:t>successfully</w:t>
      </w:r>
      <w:r w:rsidRPr="00A23800">
        <w:rPr>
          <w:rFonts w:ascii="Calibri" w:hAnsi="Calibri"/>
          <w:color w:val="231F20"/>
          <w:spacing w:val="19"/>
          <w:w w:val="105"/>
        </w:rPr>
        <w:t xml:space="preserve"> </w:t>
      </w:r>
      <w:r w:rsidRPr="00A23800">
        <w:rPr>
          <w:rFonts w:ascii="Calibri" w:hAnsi="Calibri"/>
          <w:color w:val="231F20"/>
          <w:w w:val="105"/>
        </w:rPr>
        <w:t>assimilate</w:t>
      </w:r>
      <w:r w:rsidRPr="00A23800">
        <w:rPr>
          <w:rFonts w:ascii="Calibri" w:hAnsi="Calibri"/>
          <w:color w:val="231F20"/>
          <w:spacing w:val="19"/>
          <w:w w:val="105"/>
        </w:rPr>
        <w:t xml:space="preserve"> </w:t>
      </w:r>
      <w:r w:rsidRPr="00A23800">
        <w:rPr>
          <w:rFonts w:ascii="Calibri" w:hAnsi="Calibri"/>
          <w:color w:val="231F20"/>
          <w:w w:val="105"/>
        </w:rPr>
        <w:t>into</w:t>
      </w:r>
      <w:r w:rsidRPr="00A23800">
        <w:rPr>
          <w:rFonts w:ascii="Calibri" w:hAnsi="Calibri"/>
          <w:color w:val="231F20"/>
          <w:spacing w:val="19"/>
          <w:w w:val="105"/>
        </w:rPr>
        <w:t xml:space="preserve"> </w:t>
      </w:r>
      <w:r w:rsidRPr="00A23800">
        <w:rPr>
          <w:rFonts w:ascii="Calibri" w:hAnsi="Calibri"/>
          <w:color w:val="231F20"/>
          <w:w w:val="105"/>
        </w:rPr>
        <w:t>their</w:t>
      </w:r>
      <w:r w:rsidRPr="00A23800">
        <w:rPr>
          <w:rFonts w:ascii="Calibri" w:hAnsi="Calibri"/>
          <w:color w:val="231F20"/>
          <w:spacing w:val="19"/>
          <w:w w:val="105"/>
        </w:rPr>
        <w:t xml:space="preserve"> </w:t>
      </w:r>
      <w:r w:rsidRPr="00A23800">
        <w:rPr>
          <w:rFonts w:ascii="Calibri" w:hAnsi="Calibri"/>
          <w:color w:val="231F20"/>
          <w:w w:val="105"/>
        </w:rPr>
        <w:t>new</w:t>
      </w:r>
      <w:r w:rsidRPr="00A23800">
        <w:rPr>
          <w:rFonts w:ascii="Calibri" w:hAnsi="Calibri"/>
          <w:color w:val="231F20"/>
          <w:spacing w:val="19"/>
          <w:w w:val="105"/>
        </w:rPr>
        <w:t xml:space="preserve"> </w:t>
      </w:r>
      <w:r w:rsidRPr="00A23800">
        <w:rPr>
          <w:rFonts w:ascii="Calibri" w:hAnsi="Calibri"/>
          <w:color w:val="231F20"/>
          <w:w w:val="105"/>
        </w:rPr>
        <w:t>position,</w:t>
      </w:r>
      <w:r w:rsidRPr="00A23800">
        <w:rPr>
          <w:rFonts w:ascii="Calibri" w:hAnsi="Calibri"/>
          <w:color w:val="231F20"/>
          <w:spacing w:val="19"/>
          <w:w w:val="105"/>
        </w:rPr>
        <w:t xml:space="preserve"> </w:t>
      </w:r>
      <w:r w:rsidRPr="00A23800">
        <w:rPr>
          <w:rFonts w:ascii="Calibri" w:hAnsi="Calibri"/>
          <w:color w:val="231F20"/>
          <w:w w:val="105"/>
        </w:rPr>
        <w:t>with</w:t>
      </w:r>
      <w:r w:rsidRPr="00A23800">
        <w:rPr>
          <w:rFonts w:ascii="Calibri" w:hAnsi="Calibri"/>
          <w:color w:val="231F20"/>
          <w:spacing w:val="19"/>
          <w:w w:val="105"/>
        </w:rPr>
        <w:t xml:space="preserve"> </w:t>
      </w:r>
      <w:r w:rsidRPr="00A23800">
        <w:rPr>
          <w:rFonts w:ascii="Calibri" w:hAnsi="Calibri"/>
          <w:color w:val="231F20"/>
          <w:w w:val="105"/>
        </w:rPr>
        <w:t>a</w:t>
      </w:r>
      <w:r w:rsidRPr="00A23800">
        <w:rPr>
          <w:rFonts w:ascii="Calibri" w:hAnsi="Calibri"/>
          <w:color w:val="231F20"/>
          <w:spacing w:val="19"/>
          <w:w w:val="105"/>
        </w:rPr>
        <w:t xml:space="preserve"> </w:t>
      </w:r>
      <w:r w:rsidRPr="00A23800">
        <w:rPr>
          <w:rFonts w:ascii="Calibri" w:hAnsi="Calibri"/>
          <w:color w:val="231F20"/>
          <w:w w:val="105"/>
        </w:rPr>
        <w:t>quicker</w:t>
      </w:r>
      <w:r w:rsidRPr="00A23800">
        <w:rPr>
          <w:rFonts w:ascii="Calibri" w:hAnsi="Calibri"/>
          <w:color w:val="231F20"/>
          <w:spacing w:val="19"/>
          <w:w w:val="105"/>
        </w:rPr>
        <w:t xml:space="preserve"> </w:t>
      </w:r>
      <w:r w:rsidRPr="00A23800">
        <w:rPr>
          <w:rFonts w:ascii="Calibri" w:hAnsi="Calibri"/>
          <w:color w:val="231F20"/>
          <w:w w:val="105"/>
        </w:rPr>
        <w:t>ramp-up</w:t>
      </w:r>
      <w:r w:rsidRPr="00A23800">
        <w:rPr>
          <w:rFonts w:ascii="Calibri" w:hAnsi="Calibri"/>
          <w:color w:val="231F20"/>
          <w:w w:val="104"/>
        </w:rPr>
        <w:t xml:space="preserve"> </w:t>
      </w:r>
      <w:r w:rsidRPr="00A23800">
        <w:rPr>
          <w:rFonts w:ascii="Calibri" w:hAnsi="Calibri"/>
          <w:color w:val="231F20"/>
          <w:w w:val="105"/>
        </w:rPr>
        <w:t>to productivity. VR wants to help all personnel be successful in their new job, get up-and-running with</w:t>
      </w:r>
      <w:r w:rsidRPr="00A23800">
        <w:rPr>
          <w:rFonts w:ascii="Calibri" w:hAnsi="Calibri"/>
          <w:color w:val="231F20"/>
          <w:spacing w:val="24"/>
          <w:w w:val="105"/>
        </w:rPr>
        <w:t xml:space="preserve"> </w:t>
      </w:r>
      <w:r w:rsidRPr="00A23800">
        <w:rPr>
          <w:rFonts w:ascii="Calibri" w:hAnsi="Calibri"/>
          <w:color w:val="231F20"/>
          <w:w w:val="105"/>
        </w:rPr>
        <w:t>their</w:t>
      </w:r>
      <w:r w:rsidRPr="00A23800">
        <w:rPr>
          <w:rFonts w:ascii="Calibri" w:hAnsi="Calibri"/>
          <w:color w:val="231F20"/>
          <w:w w:val="101"/>
        </w:rPr>
        <w:t xml:space="preserve"> </w:t>
      </w:r>
      <w:r w:rsidRPr="00A23800">
        <w:rPr>
          <w:rFonts w:ascii="Calibri" w:hAnsi="Calibri"/>
          <w:color w:val="231F20"/>
          <w:w w:val="105"/>
        </w:rPr>
        <w:t>new</w:t>
      </w:r>
      <w:r w:rsidRPr="00A23800">
        <w:rPr>
          <w:rFonts w:ascii="Calibri" w:hAnsi="Calibri"/>
          <w:color w:val="231F20"/>
          <w:spacing w:val="15"/>
          <w:w w:val="105"/>
        </w:rPr>
        <w:t xml:space="preserve"> </w:t>
      </w:r>
      <w:r w:rsidRPr="00A23800">
        <w:rPr>
          <w:rFonts w:ascii="Calibri" w:hAnsi="Calibri"/>
          <w:color w:val="231F20"/>
          <w:w w:val="105"/>
        </w:rPr>
        <w:t>duties</w:t>
      </w:r>
      <w:r w:rsidRPr="00A23800">
        <w:rPr>
          <w:rFonts w:ascii="Calibri" w:hAnsi="Calibri"/>
          <w:color w:val="231F20"/>
          <w:spacing w:val="15"/>
          <w:w w:val="105"/>
        </w:rPr>
        <w:t xml:space="preserve"> </w:t>
      </w:r>
      <w:r w:rsidRPr="00A23800">
        <w:rPr>
          <w:rFonts w:ascii="Calibri" w:hAnsi="Calibri"/>
          <w:color w:val="231F20"/>
          <w:w w:val="105"/>
        </w:rPr>
        <w:t>quickly</w:t>
      </w:r>
      <w:r w:rsidRPr="00A23800">
        <w:rPr>
          <w:rFonts w:ascii="Calibri" w:hAnsi="Calibri"/>
          <w:color w:val="231F20"/>
          <w:spacing w:val="15"/>
          <w:w w:val="105"/>
        </w:rPr>
        <w:t xml:space="preserve"> </w:t>
      </w:r>
      <w:r w:rsidRPr="00A23800">
        <w:rPr>
          <w:rFonts w:ascii="Calibri" w:hAnsi="Calibri"/>
          <w:color w:val="231F20"/>
          <w:w w:val="105"/>
        </w:rPr>
        <w:t>and</w:t>
      </w:r>
      <w:r w:rsidRPr="00A23800">
        <w:rPr>
          <w:rFonts w:ascii="Calibri" w:hAnsi="Calibri"/>
          <w:color w:val="231F20"/>
          <w:spacing w:val="15"/>
          <w:w w:val="105"/>
        </w:rPr>
        <w:t xml:space="preserve"> </w:t>
      </w:r>
      <w:r w:rsidRPr="00A23800">
        <w:rPr>
          <w:rFonts w:ascii="Calibri" w:hAnsi="Calibri"/>
          <w:color w:val="231F20"/>
          <w:w w:val="105"/>
        </w:rPr>
        <w:t>smoothly</w:t>
      </w:r>
      <w:r w:rsidR="00D5537E">
        <w:rPr>
          <w:rFonts w:ascii="Calibri" w:hAnsi="Calibri"/>
          <w:color w:val="231F20"/>
          <w:w w:val="105"/>
        </w:rPr>
        <w:t xml:space="preserve"> and</w:t>
      </w:r>
      <w:r w:rsidRPr="00A23800">
        <w:rPr>
          <w:rFonts w:ascii="Calibri" w:hAnsi="Calibri"/>
          <w:color w:val="231F20"/>
          <w:spacing w:val="15"/>
          <w:w w:val="105"/>
        </w:rPr>
        <w:t xml:space="preserve"> </w:t>
      </w:r>
      <w:r w:rsidRPr="00A23800">
        <w:rPr>
          <w:rFonts w:ascii="Calibri" w:hAnsi="Calibri"/>
          <w:color w:val="231F20"/>
          <w:w w:val="105"/>
        </w:rPr>
        <w:t>contribute</w:t>
      </w:r>
      <w:r w:rsidRPr="00A23800">
        <w:rPr>
          <w:rFonts w:ascii="Calibri" w:hAnsi="Calibri"/>
          <w:color w:val="231F20"/>
          <w:spacing w:val="15"/>
          <w:w w:val="105"/>
        </w:rPr>
        <w:t xml:space="preserve"> </w:t>
      </w:r>
      <w:r w:rsidRPr="00A23800">
        <w:rPr>
          <w:rFonts w:ascii="Calibri" w:hAnsi="Calibri"/>
          <w:color w:val="231F20"/>
          <w:w w:val="105"/>
        </w:rPr>
        <w:t>to</w:t>
      </w:r>
      <w:r w:rsidRPr="00A23800">
        <w:rPr>
          <w:rFonts w:ascii="Calibri" w:hAnsi="Calibri"/>
          <w:color w:val="231F20"/>
          <w:spacing w:val="15"/>
          <w:w w:val="105"/>
        </w:rPr>
        <w:t xml:space="preserve"> </w:t>
      </w:r>
      <w:r w:rsidRPr="00A23800">
        <w:rPr>
          <w:rFonts w:ascii="Calibri" w:hAnsi="Calibri"/>
          <w:color w:val="231F20"/>
          <w:spacing w:val="-3"/>
          <w:w w:val="105"/>
        </w:rPr>
        <w:t>VR’s</w:t>
      </w:r>
      <w:r w:rsidRPr="00A23800">
        <w:rPr>
          <w:rFonts w:ascii="Calibri" w:hAnsi="Calibri"/>
          <w:color w:val="231F20"/>
          <w:spacing w:val="15"/>
          <w:w w:val="105"/>
        </w:rPr>
        <w:t xml:space="preserve"> </w:t>
      </w:r>
      <w:r w:rsidRPr="00A23800">
        <w:rPr>
          <w:rFonts w:ascii="Calibri" w:hAnsi="Calibri"/>
          <w:color w:val="231F20"/>
          <w:w w:val="105"/>
        </w:rPr>
        <w:t>success.</w:t>
      </w:r>
      <w:r w:rsidRPr="00A23800">
        <w:rPr>
          <w:rFonts w:ascii="Calibri" w:hAnsi="Calibri"/>
          <w:color w:val="231F20"/>
          <w:spacing w:val="15"/>
          <w:w w:val="105"/>
        </w:rPr>
        <w:t xml:space="preserve"> </w:t>
      </w:r>
      <w:r w:rsidRPr="00A23800">
        <w:rPr>
          <w:rFonts w:ascii="Calibri" w:hAnsi="Calibri"/>
          <w:color w:val="231F20"/>
          <w:w w:val="105"/>
        </w:rPr>
        <w:t>Since</w:t>
      </w:r>
      <w:r w:rsidRPr="00A23800">
        <w:rPr>
          <w:rFonts w:ascii="Calibri" w:hAnsi="Calibri"/>
          <w:color w:val="231F20"/>
          <w:spacing w:val="15"/>
          <w:w w:val="105"/>
        </w:rPr>
        <w:t xml:space="preserve"> </w:t>
      </w:r>
      <w:r w:rsidRPr="00A23800">
        <w:rPr>
          <w:rFonts w:ascii="Calibri" w:hAnsi="Calibri"/>
          <w:color w:val="231F20"/>
          <w:w w:val="105"/>
        </w:rPr>
        <w:t>VR</w:t>
      </w:r>
      <w:r w:rsidRPr="00A23800">
        <w:rPr>
          <w:rFonts w:ascii="Calibri" w:hAnsi="Calibri"/>
          <w:color w:val="231F20"/>
          <w:spacing w:val="15"/>
          <w:w w:val="105"/>
        </w:rPr>
        <w:t xml:space="preserve"> </w:t>
      </w:r>
      <w:r w:rsidRPr="00A23800">
        <w:rPr>
          <w:rFonts w:ascii="Calibri" w:hAnsi="Calibri"/>
          <w:color w:val="231F20"/>
          <w:w w:val="105"/>
        </w:rPr>
        <w:t>personnel</w:t>
      </w:r>
      <w:r w:rsidRPr="00A23800">
        <w:rPr>
          <w:rFonts w:ascii="Calibri" w:hAnsi="Calibri"/>
          <w:color w:val="231F20"/>
          <w:spacing w:val="15"/>
          <w:w w:val="105"/>
        </w:rPr>
        <w:t xml:space="preserve"> </w:t>
      </w:r>
      <w:r w:rsidRPr="00A23800">
        <w:rPr>
          <w:rFonts w:ascii="Calibri" w:hAnsi="Calibri"/>
          <w:color w:val="231F20"/>
          <w:w w:val="105"/>
        </w:rPr>
        <w:t>includes</w:t>
      </w:r>
      <w:r w:rsidRPr="00A23800">
        <w:rPr>
          <w:rFonts w:ascii="Calibri" w:hAnsi="Calibri"/>
          <w:color w:val="231F20"/>
          <w:spacing w:val="15"/>
          <w:w w:val="105"/>
        </w:rPr>
        <w:t xml:space="preserve"> </w:t>
      </w:r>
      <w:r w:rsidRPr="00A23800">
        <w:rPr>
          <w:rFonts w:ascii="Calibri" w:hAnsi="Calibri"/>
          <w:color w:val="231F20"/>
          <w:w w:val="105"/>
        </w:rPr>
        <w:t>career</w:t>
      </w:r>
      <w:r w:rsidRPr="00A23800">
        <w:rPr>
          <w:rFonts w:ascii="Calibri" w:hAnsi="Calibri"/>
          <w:color w:val="231F20"/>
          <w:spacing w:val="40"/>
          <w:w w:val="105"/>
        </w:rPr>
        <w:t xml:space="preserve"> </w:t>
      </w:r>
      <w:r w:rsidRPr="00A23800">
        <w:rPr>
          <w:rFonts w:ascii="Calibri" w:hAnsi="Calibri"/>
          <w:color w:val="231F20"/>
          <w:w w:val="105"/>
        </w:rPr>
        <w:t>service,</w:t>
      </w:r>
      <w:r w:rsidRPr="00A23800">
        <w:rPr>
          <w:rFonts w:ascii="Calibri" w:hAnsi="Calibri"/>
          <w:color w:val="231F20"/>
          <w:spacing w:val="22"/>
          <w:w w:val="105"/>
        </w:rPr>
        <w:t xml:space="preserve"> </w:t>
      </w:r>
      <w:r w:rsidRPr="00A23800">
        <w:rPr>
          <w:rFonts w:ascii="Calibri" w:hAnsi="Calibri"/>
          <w:color w:val="231F20"/>
          <w:w w:val="105"/>
        </w:rPr>
        <w:t>selected</w:t>
      </w:r>
      <w:r w:rsidRPr="00A23800">
        <w:rPr>
          <w:rFonts w:ascii="Calibri" w:hAnsi="Calibri"/>
          <w:color w:val="231F20"/>
          <w:spacing w:val="22"/>
          <w:w w:val="105"/>
        </w:rPr>
        <w:t xml:space="preserve"> </w:t>
      </w:r>
      <w:r w:rsidRPr="00A23800">
        <w:rPr>
          <w:rFonts w:ascii="Calibri" w:hAnsi="Calibri"/>
          <w:color w:val="231F20"/>
          <w:w w:val="105"/>
        </w:rPr>
        <w:t>exempt</w:t>
      </w:r>
      <w:r w:rsidRPr="00A23800">
        <w:rPr>
          <w:rFonts w:ascii="Calibri" w:hAnsi="Calibri"/>
          <w:color w:val="231F20"/>
          <w:spacing w:val="22"/>
          <w:w w:val="105"/>
        </w:rPr>
        <w:t xml:space="preserve"> </w:t>
      </w:r>
      <w:r w:rsidRPr="00A23800">
        <w:rPr>
          <w:rFonts w:ascii="Calibri" w:hAnsi="Calibri"/>
          <w:color w:val="231F20"/>
          <w:w w:val="105"/>
        </w:rPr>
        <w:t>service/senior</w:t>
      </w:r>
      <w:r w:rsidRPr="00A23800">
        <w:rPr>
          <w:rFonts w:ascii="Calibri" w:hAnsi="Calibri"/>
          <w:color w:val="231F20"/>
          <w:spacing w:val="22"/>
          <w:w w:val="105"/>
        </w:rPr>
        <w:t xml:space="preserve"> </w:t>
      </w:r>
      <w:r w:rsidRPr="00A23800">
        <w:rPr>
          <w:rFonts w:ascii="Calibri" w:hAnsi="Calibri"/>
          <w:color w:val="231F20"/>
          <w:w w:val="105"/>
        </w:rPr>
        <w:t>management</w:t>
      </w:r>
      <w:r w:rsidRPr="00A23800">
        <w:rPr>
          <w:rFonts w:ascii="Calibri" w:hAnsi="Calibri"/>
          <w:color w:val="231F20"/>
          <w:spacing w:val="22"/>
          <w:w w:val="105"/>
        </w:rPr>
        <w:t xml:space="preserve"> </w:t>
      </w:r>
      <w:r w:rsidRPr="00A23800">
        <w:rPr>
          <w:rFonts w:ascii="Calibri" w:hAnsi="Calibri"/>
          <w:color w:val="231F20"/>
          <w:w w:val="105"/>
        </w:rPr>
        <w:t>service</w:t>
      </w:r>
      <w:r w:rsidRPr="00A23800">
        <w:rPr>
          <w:rFonts w:ascii="Calibri" w:hAnsi="Calibri"/>
          <w:color w:val="231F20"/>
          <w:spacing w:val="22"/>
          <w:w w:val="105"/>
        </w:rPr>
        <w:t xml:space="preserve"> </w:t>
      </w:r>
      <w:r w:rsidRPr="00A23800">
        <w:rPr>
          <w:rFonts w:ascii="Calibri" w:hAnsi="Calibri"/>
          <w:color w:val="231F20"/>
          <w:w w:val="105"/>
        </w:rPr>
        <w:t>and</w:t>
      </w:r>
      <w:r w:rsidRPr="00A23800">
        <w:rPr>
          <w:rFonts w:ascii="Calibri" w:hAnsi="Calibri"/>
          <w:color w:val="231F20"/>
          <w:spacing w:val="22"/>
          <w:w w:val="105"/>
        </w:rPr>
        <w:t xml:space="preserve"> </w:t>
      </w:r>
      <w:r w:rsidRPr="00A23800">
        <w:rPr>
          <w:rFonts w:ascii="Calibri" w:hAnsi="Calibri"/>
          <w:color w:val="231F20"/>
          <w:w w:val="105"/>
        </w:rPr>
        <w:t>OPS</w:t>
      </w:r>
      <w:r w:rsidRPr="00A23800">
        <w:rPr>
          <w:rFonts w:ascii="Calibri" w:hAnsi="Calibri"/>
          <w:color w:val="231F20"/>
          <w:spacing w:val="22"/>
          <w:w w:val="105"/>
        </w:rPr>
        <w:t xml:space="preserve"> </w:t>
      </w:r>
      <w:r w:rsidRPr="00A23800">
        <w:rPr>
          <w:rFonts w:ascii="Calibri" w:hAnsi="Calibri"/>
          <w:color w:val="231F20"/>
          <w:w w:val="105"/>
        </w:rPr>
        <w:t>employees,</w:t>
      </w:r>
      <w:r w:rsidRPr="00A23800">
        <w:rPr>
          <w:rFonts w:ascii="Calibri" w:hAnsi="Calibri"/>
          <w:color w:val="231F20"/>
          <w:spacing w:val="22"/>
          <w:w w:val="105"/>
        </w:rPr>
        <w:t xml:space="preserve"> </w:t>
      </w:r>
      <w:r w:rsidRPr="00A23800">
        <w:rPr>
          <w:rFonts w:ascii="Calibri" w:hAnsi="Calibri"/>
          <w:color w:val="231F20"/>
          <w:w w:val="105"/>
        </w:rPr>
        <w:t>as</w:t>
      </w:r>
      <w:r w:rsidRPr="00A23800">
        <w:rPr>
          <w:rFonts w:ascii="Calibri" w:hAnsi="Calibri"/>
          <w:color w:val="231F20"/>
          <w:spacing w:val="22"/>
          <w:w w:val="105"/>
        </w:rPr>
        <w:t xml:space="preserve"> </w:t>
      </w:r>
      <w:r w:rsidRPr="00A23800">
        <w:rPr>
          <w:rFonts w:ascii="Calibri" w:hAnsi="Calibri"/>
          <w:color w:val="231F20"/>
          <w:w w:val="105"/>
        </w:rPr>
        <w:t>well</w:t>
      </w:r>
      <w:r w:rsidRPr="00A23800">
        <w:rPr>
          <w:rFonts w:ascii="Calibri" w:hAnsi="Calibri"/>
          <w:color w:val="231F20"/>
          <w:spacing w:val="22"/>
          <w:w w:val="105"/>
        </w:rPr>
        <w:t xml:space="preserve"> </w:t>
      </w:r>
      <w:r w:rsidRPr="00A23800">
        <w:rPr>
          <w:rFonts w:ascii="Calibri" w:hAnsi="Calibri"/>
          <w:color w:val="231F20"/>
          <w:w w:val="105"/>
        </w:rPr>
        <w:t>as</w:t>
      </w:r>
      <w:r w:rsidRPr="00A23800">
        <w:rPr>
          <w:rFonts w:ascii="Calibri" w:hAnsi="Calibri"/>
          <w:color w:val="231F20"/>
          <w:spacing w:val="22"/>
          <w:w w:val="105"/>
        </w:rPr>
        <w:t xml:space="preserve"> </w:t>
      </w:r>
      <w:r w:rsidRPr="00A23800">
        <w:rPr>
          <w:rFonts w:ascii="Calibri" w:hAnsi="Calibri"/>
          <w:color w:val="231F20"/>
          <w:w w:val="105"/>
        </w:rPr>
        <w:t>volunteers</w:t>
      </w:r>
      <w:r w:rsidRPr="00A23800">
        <w:rPr>
          <w:rFonts w:ascii="Calibri" w:hAnsi="Calibri"/>
          <w:color w:val="231F20"/>
          <w:spacing w:val="8"/>
          <w:w w:val="105"/>
        </w:rPr>
        <w:t xml:space="preserve"> </w:t>
      </w:r>
      <w:r w:rsidRPr="00A23800">
        <w:rPr>
          <w:rFonts w:ascii="Calibri" w:hAnsi="Calibri"/>
          <w:color w:val="231F20"/>
          <w:w w:val="105"/>
        </w:rPr>
        <w:t>and</w:t>
      </w:r>
      <w:r w:rsidRPr="00A23800">
        <w:rPr>
          <w:rFonts w:ascii="Calibri" w:hAnsi="Calibri"/>
          <w:color w:val="231F20"/>
          <w:spacing w:val="6"/>
          <w:w w:val="105"/>
        </w:rPr>
        <w:t xml:space="preserve"> </w:t>
      </w:r>
      <w:r w:rsidRPr="00A23800">
        <w:rPr>
          <w:rFonts w:ascii="Calibri" w:hAnsi="Calibri"/>
          <w:color w:val="231F20"/>
          <w:w w:val="105"/>
        </w:rPr>
        <w:t>contracted</w:t>
      </w:r>
      <w:r w:rsidRPr="00A23800">
        <w:rPr>
          <w:rFonts w:ascii="Calibri" w:hAnsi="Calibri"/>
          <w:color w:val="231F20"/>
          <w:spacing w:val="6"/>
          <w:w w:val="105"/>
        </w:rPr>
        <w:t xml:space="preserve"> </w:t>
      </w:r>
      <w:r w:rsidRPr="00A23800">
        <w:rPr>
          <w:rFonts w:ascii="Calibri" w:hAnsi="Calibri"/>
          <w:color w:val="231F20"/>
          <w:w w:val="105"/>
        </w:rPr>
        <w:t>staff,</w:t>
      </w:r>
      <w:r w:rsidRPr="00A23800">
        <w:rPr>
          <w:rFonts w:ascii="Calibri" w:hAnsi="Calibri"/>
          <w:color w:val="231F20"/>
          <w:spacing w:val="6"/>
          <w:w w:val="105"/>
        </w:rPr>
        <w:t xml:space="preserve"> </w:t>
      </w:r>
      <w:r w:rsidRPr="00A23800">
        <w:rPr>
          <w:rFonts w:ascii="Calibri" w:hAnsi="Calibri"/>
          <w:color w:val="231F20"/>
          <w:w w:val="105"/>
        </w:rPr>
        <w:t>all</w:t>
      </w:r>
      <w:r w:rsidRPr="00A23800">
        <w:rPr>
          <w:rFonts w:ascii="Calibri" w:hAnsi="Calibri"/>
          <w:color w:val="231F20"/>
          <w:spacing w:val="6"/>
          <w:w w:val="105"/>
        </w:rPr>
        <w:t xml:space="preserve"> </w:t>
      </w:r>
      <w:r w:rsidRPr="00A23800">
        <w:rPr>
          <w:rFonts w:ascii="Calibri" w:hAnsi="Calibri"/>
          <w:color w:val="231F20"/>
          <w:w w:val="105"/>
        </w:rPr>
        <w:t>with</w:t>
      </w:r>
      <w:r w:rsidRPr="00A23800">
        <w:rPr>
          <w:rFonts w:ascii="Calibri" w:hAnsi="Calibri"/>
          <w:color w:val="231F20"/>
          <w:spacing w:val="6"/>
          <w:w w:val="105"/>
        </w:rPr>
        <w:t xml:space="preserve"> </w:t>
      </w:r>
      <w:r w:rsidRPr="00A23800">
        <w:rPr>
          <w:rFonts w:ascii="Calibri" w:hAnsi="Calibri"/>
          <w:color w:val="231F20"/>
          <w:w w:val="105"/>
        </w:rPr>
        <w:t>differing</w:t>
      </w:r>
      <w:r w:rsidRPr="00A23800">
        <w:rPr>
          <w:rFonts w:ascii="Calibri" w:hAnsi="Calibri"/>
          <w:color w:val="231F20"/>
          <w:spacing w:val="6"/>
          <w:w w:val="105"/>
        </w:rPr>
        <w:t xml:space="preserve"> </w:t>
      </w:r>
      <w:r w:rsidRPr="00A23800">
        <w:rPr>
          <w:rFonts w:ascii="Calibri" w:hAnsi="Calibri"/>
          <w:color w:val="231F20"/>
          <w:w w:val="105"/>
        </w:rPr>
        <w:t>onboarding</w:t>
      </w:r>
      <w:r w:rsidRPr="00A23800">
        <w:rPr>
          <w:rFonts w:ascii="Calibri" w:hAnsi="Calibri"/>
          <w:color w:val="231F20"/>
          <w:spacing w:val="6"/>
          <w:w w:val="105"/>
        </w:rPr>
        <w:t xml:space="preserve"> </w:t>
      </w:r>
      <w:r w:rsidRPr="00A23800">
        <w:rPr>
          <w:rFonts w:ascii="Calibri" w:hAnsi="Calibri"/>
          <w:color w:val="231F20"/>
          <w:w w:val="105"/>
        </w:rPr>
        <w:t>needs,</w:t>
      </w:r>
      <w:r w:rsidRPr="00A23800">
        <w:rPr>
          <w:rFonts w:ascii="Calibri" w:hAnsi="Calibri"/>
          <w:color w:val="231F20"/>
          <w:spacing w:val="6"/>
          <w:w w:val="105"/>
        </w:rPr>
        <w:t xml:space="preserve"> </w:t>
      </w:r>
      <w:r w:rsidRPr="00A23800">
        <w:rPr>
          <w:rFonts w:ascii="Calibri" w:hAnsi="Calibri"/>
          <w:color w:val="231F20"/>
          <w:w w:val="105"/>
        </w:rPr>
        <w:t>it</w:t>
      </w:r>
      <w:r w:rsidRPr="00A23800">
        <w:rPr>
          <w:rFonts w:ascii="Calibri" w:hAnsi="Calibri"/>
          <w:color w:val="231F20"/>
          <w:spacing w:val="6"/>
          <w:w w:val="105"/>
        </w:rPr>
        <w:t xml:space="preserve"> </w:t>
      </w:r>
      <w:r w:rsidRPr="00A23800">
        <w:rPr>
          <w:rFonts w:ascii="Calibri" w:hAnsi="Calibri"/>
          <w:color w:val="231F20"/>
          <w:w w:val="105"/>
        </w:rPr>
        <w:t>became</w:t>
      </w:r>
      <w:r w:rsidRPr="00A23800">
        <w:rPr>
          <w:rFonts w:ascii="Calibri" w:hAnsi="Calibri"/>
          <w:color w:val="231F20"/>
          <w:spacing w:val="6"/>
          <w:w w:val="105"/>
        </w:rPr>
        <w:t xml:space="preserve"> </w:t>
      </w:r>
      <w:r w:rsidRPr="00A23800">
        <w:rPr>
          <w:rFonts w:ascii="Calibri" w:hAnsi="Calibri"/>
          <w:color w:val="231F20"/>
          <w:w w:val="105"/>
        </w:rPr>
        <w:t>apparent</w:t>
      </w:r>
      <w:r w:rsidRPr="00A23800">
        <w:rPr>
          <w:rFonts w:ascii="Calibri" w:hAnsi="Calibri"/>
          <w:color w:val="231F20"/>
          <w:spacing w:val="6"/>
          <w:w w:val="105"/>
        </w:rPr>
        <w:t xml:space="preserve"> </w:t>
      </w:r>
      <w:r w:rsidRPr="00A23800">
        <w:rPr>
          <w:rFonts w:ascii="Calibri" w:hAnsi="Calibri"/>
          <w:color w:val="231F20"/>
          <w:w w:val="105"/>
        </w:rPr>
        <w:t>that</w:t>
      </w:r>
      <w:r w:rsidRPr="00A23800">
        <w:rPr>
          <w:rFonts w:ascii="Calibri" w:hAnsi="Calibri"/>
          <w:color w:val="231F20"/>
          <w:spacing w:val="6"/>
          <w:w w:val="105"/>
        </w:rPr>
        <w:t xml:space="preserve"> </w:t>
      </w:r>
      <w:r w:rsidRPr="00A23800">
        <w:rPr>
          <w:rFonts w:ascii="Calibri" w:hAnsi="Calibri"/>
          <w:color w:val="231F20"/>
          <w:w w:val="105"/>
        </w:rPr>
        <w:t>a</w:t>
      </w:r>
      <w:r w:rsidRPr="00A23800">
        <w:rPr>
          <w:rFonts w:ascii="Calibri" w:hAnsi="Calibri"/>
          <w:color w:val="231F20"/>
          <w:spacing w:val="6"/>
          <w:w w:val="105"/>
        </w:rPr>
        <w:t xml:space="preserve"> </w:t>
      </w:r>
      <w:r w:rsidRPr="00A23800">
        <w:rPr>
          <w:rFonts w:ascii="Calibri" w:hAnsi="Calibri"/>
          <w:color w:val="231F20"/>
          <w:w w:val="105"/>
        </w:rPr>
        <w:t>one-size-fits-all</w:t>
      </w:r>
      <w:r w:rsidRPr="00A23800">
        <w:rPr>
          <w:rFonts w:ascii="Calibri" w:hAnsi="Calibri"/>
          <w:color w:val="231F20"/>
          <w:spacing w:val="-24"/>
          <w:w w:val="105"/>
        </w:rPr>
        <w:t xml:space="preserve"> </w:t>
      </w:r>
      <w:r w:rsidRPr="00A23800">
        <w:rPr>
          <w:rFonts w:ascii="Calibri" w:hAnsi="Calibri"/>
          <w:color w:val="231F20"/>
          <w:w w:val="105"/>
        </w:rPr>
        <w:t>approach to onboarding was not sufficient.</w:t>
      </w:r>
    </w:p>
    <w:p w14:paraId="1EDAD72C" w14:textId="0F66CB73" w:rsidR="00A07550" w:rsidRPr="00A23800" w:rsidRDefault="00A07550" w:rsidP="00D63204">
      <w:pPr>
        <w:widowControl w:val="0"/>
        <w:spacing w:before="195" w:after="0" w:line="240" w:lineRule="auto"/>
        <w:ind w:left="107"/>
        <w:rPr>
          <w:rFonts w:ascii="Calibri" w:hAnsi="Calibri"/>
        </w:rPr>
      </w:pPr>
      <w:r w:rsidRPr="00A23800">
        <w:rPr>
          <w:rFonts w:ascii="Calibri" w:hAnsi="Calibri"/>
          <w:color w:val="231F20"/>
          <w:w w:val="105"/>
        </w:rPr>
        <w:t>Based</w:t>
      </w:r>
      <w:r w:rsidRPr="00A23800">
        <w:rPr>
          <w:rFonts w:ascii="Calibri" w:hAnsi="Calibri"/>
          <w:color w:val="231F20"/>
          <w:spacing w:val="20"/>
          <w:w w:val="105"/>
        </w:rPr>
        <w:t xml:space="preserve"> </w:t>
      </w:r>
      <w:r w:rsidRPr="00A23800">
        <w:rPr>
          <w:rFonts w:ascii="Calibri" w:hAnsi="Calibri"/>
          <w:color w:val="231F20"/>
          <w:w w:val="105"/>
        </w:rPr>
        <w:t>on</w:t>
      </w:r>
      <w:r w:rsidRPr="00A23800">
        <w:rPr>
          <w:rFonts w:ascii="Calibri" w:hAnsi="Calibri"/>
          <w:color w:val="231F20"/>
          <w:spacing w:val="20"/>
          <w:w w:val="105"/>
        </w:rPr>
        <w:t xml:space="preserve"> </w:t>
      </w:r>
      <w:r w:rsidRPr="00A23800">
        <w:rPr>
          <w:rFonts w:ascii="Calibri" w:hAnsi="Calibri"/>
          <w:color w:val="231F20"/>
          <w:w w:val="105"/>
        </w:rPr>
        <w:t>that,</w:t>
      </w:r>
      <w:r w:rsidRPr="00A23800">
        <w:rPr>
          <w:rFonts w:ascii="Calibri" w:hAnsi="Calibri"/>
          <w:color w:val="231F20"/>
          <w:spacing w:val="20"/>
          <w:w w:val="105"/>
        </w:rPr>
        <w:t xml:space="preserve"> </w:t>
      </w:r>
      <w:r w:rsidRPr="00A23800">
        <w:rPr>
          <w:rFonts w:ascii="Calibri" w:hAnsi="Calibri"/>
          <w:color w:val="231F20"/>
          <w:w w:val="105"/>
        </w:rPr>
        <w:t>OES</w:t>
      </w:r>
      <w:r w:rsidRPr="00A23800">
        <w:rPr>
          <w:rFonts w:ascii="Calibri" w:hAnsi="Calibri"/>
          <w:color w:val="231F20"/>
          <w:spacing w:val="20"/>
          <w:w w:val="105"/>
        </w:rPr>
        <w:t xml:space="preserve"> </w:t>
      </w:r>
      <w:r w:rsidRPr="00A23800">
        <w:rPr>
          <w:rFonts w:ascii="Calibri" w:hAnsi="Calibri"/>
          <w:color w:val="231F20"/>
          <w:w w:val="105"/>
        </w:rPr>
        <w:t>created</w:t>
      </w:r>
      <w:r w:rsidRPr="00A23800">
        <w:rPr>
          <w:rFonts w:ascii="Calibri" w:hAnsi="Calibri"/>
          <w:color w:val="231F20"/>
          <w:spacing w:val="20"/>
          <w:w w:val="105"/>
        </w:rPr>
        <w:t xml:space="preserve"> </w:t>
      </w:r>
      <w:r w:rsidRPr="00A23800">
        <w:rPr>
          <w:rFonts w:ascii="Calibri" w:hAnsi="Calibri"/>
          <w:color w:val="231F20"/>
          <w:w w:val="105"/>
        </w:rPr>
        <w:t>Onboarding</w:t>
      </w:r>
      <w:r w:rsidRPr="00A23800">
        <w:rPr>
          <w:rFonts w:ascii="Calibri" w:hAnsi="Calibri"/>
          <w:color w:val="231F20"/>
          <w:spacing w:val="20"/>
          <w:w w:val="105"/>
        </w:rPr>
        <w:t xml:space="preserve"> </w:t>
      </w:r>
      <w:r w:rsidRPr="00A23800">
        <w:rPr>
          <w:rFonts w:ascii="Calibri" w:hAnsi="Calibri"/>
          <w:color w:val="231F20"/>
          <w:w w:val="105"/>
        </w:rPr>
        <w:t>resource</w:t>
      </w:r>
      <w:r w:rsidRPr="00A23800">
        <w:rPr>
          <w:rFonts w:ascii="Calibri" w:hAnsi="Calibri"/>
          <w:color w:val="231F20"/>
          <w:spacing w:val="20"/>
          <w:w w:val="105"/>
        </w:rPr>
        <w:t xml:space="preserve"> </w:t>
      </w:r>
      <w:r w:rsidRPr="00A23800">
        <w:rPr>
          <w:rFonts w:ascii="Calibri" w:hAnsi="Calibri"/>
          <w:color w:val="231F20"/>
          <w:w w:val="105"/>
        </w:rPr>
        <w:t>sites</w:t>
      </w:r>
      <w:r w:rsidRPr="00A23800">
        <w:rPr>
          <w:rFonts w:ascii="Calibri" w:hAnsi="Calibri"/>
          <w:color w:val="231F20"/>
          <w:spacing w:val="20"/>
          <w:w w:val="105"/>
        </w:rPr>
        <w:t xml:space="preserve"> </w:t>
      </w:r>
      <w:r w:rsidRPr="00A23800">
        <w:rPr>
          <w:rFonts w:ascii="Calibri" w:hAnsi="Calibri"/>
          <w:color w:val="231F20"/>
          <w:w w:val="105"/>
        </w:rPr>
        <w:t>specific</w:t>
      </w:r>
      <w:r w:rsidRPr="00A23800">
        <w:rPr>
          <w:rFonts w:ascii="Calibri" w:hAnsi="Calibri"/>
          <w:color w:val="231F20"/>
          <w:spacing w:val="20"/>
          <w:w w:val="105"/>
        </w:rPr>
        <w:t xml:space="preserve"> </w:t>
      </w:r>
      <w:r w:rsidRPr="00A23800">
        <w:rPr>
          <w:rFonts w:ascii="Calibri" w:hAnsi="Calibri"/>
          <w:color w:val="231F20"/>
          <w:w w:val="105"/>
        </w:rPr>
        <w:t>to</w:t>
      </w:r>
      <w:r w:rsidRPr="00A23800">
        <w:rPr>
          <w:rFonts w:ascii="Calibri" w:hAnsi="Calibri"/>
          <w:color w:val="231F20"/>
          <w:spacing w:val="20"/>
          <w:w w:val="105"/>
        </w:rPr>
        <w:t xml:space="preserve"> </w:t>
      </w:r>
      <w:r w:rsidRPr="00A23800">
        <w:rPr>
          <w:rFonts w:ascii="Calibri" w:hAnsi="Calibri"/>
          <w:color w:val="231F20"/>
          <w:w w:val="105"/>
        </w:rPr>
        <w:t>needs</w:t>
      </w:r>
      <w:r w:rsidRPr="00A23800">
        <w:rPr>
          <w:rFonts w:ascii="Calibri" w:hAnsi="Calibri"/>
          <w:color w:val="231F20"/>
          <w:spacing w:val="20"/>
          <w:w w:val="105"/>
        </w:rPr>
        <w:t xml:space="preserve"> </w:t>
      </w:r>
      <w:r w:rsidRPr="00A23800">
        <w:rPr>
          <w:rFonts w:ascii="Calibri" w:hAnsi="Calibri"/>
          <w:color w:val="231F20"/>
          <w:w w:val="105"/>
        </w:rPr>
        <w:t>of</w:t>
      </w:r>
      <w:r w:rsidRPr="00A23800">
        <w:rPr>
          <w:rFonts w:ascii="Calibri" w:hAnsi="Calibri"/>
          <w:color w:val="231F20"/>
          <w:spacing w:val="20"/>
          <w:w w:val="105"/>
        </w:rPr>
        <w:t xml:space="preserve"> </w:t>
      </w:r>
      <w:r w:rsidRPr="00A23800">
        <w:rPr>
          <w:rFonts w:ascii="Calibri" w:hAnsi="Calibri"/>
          <w:color w:val="231F20"/>
          <w:spacing w:val="-3"/>
          <w:w w:val="105"/>
        </w:rPr>
        <w:t>VR’s</w:t>
      </w:r>
      <w:r w:rsidRPr="00A23800">
        <w:rPr>
          <w:rFonts w:ascii="Calibri" w:hAnsi="Calibri"/>
          <w:color w:val="231F20"/>
          <w:spacing w:val="20"/>
          <w:w w:val="105"/>
        </w:rPr>
        <w:t xml:space="preserve"> </w:t>
      </w:r>
      <w:r w:rsidRPr="00A23800">
        <w:rPr>
          <w:rFonts w:ascii="Calibri" w:hAnsi="Calibri"/>
          <w:color w:val="231F20"/>
          <w:w w:val="105"/>
        </w:rPr>
        <w:t>career</w:t>
      </w:r>
      <w:r w:rsidRPr="00A23800">
        <w:rPr>
          <w:rFonts w:ascii="Calibri" w:hAnsi="Calibri"/>
          <w:color w:val="231F20"/>
          <w:spacing w:val="20"/>
          <w:w w:val="105"/>
        </w:rPr>
        <w:t xml:space="preserve"> </w:t>
      </w:r>
      <w:r w:rsidRPr="00A23800">
        <w:rPr>
          <w:rFonts w:ascii="Calibri" w:hAnsi="Calibri"/>
          <w:color w:val="231F20"/>
          <w:w w:val="105"/>
        </w:rPr>
        <w:t>service,</w:t>
      </w:r>
      <w:r w:rsidRPr="00A23800">
        <w:rPr>
          <w:rFonts w:ascii="Calibri" w:hAnsi="Calibri"/>
          <w:color w:val="231F20"/>
          <w:spacing w:val="34"/>
          <w:w w:val="105"/>
        </w:rPr>
        <w:t xml:space="preserve"> </w:t>
      </w:r>
      <w:r w:rsidRPr="00A23800">
        <w:rPr>
          <w:rFonts w:ascii="Calibri" w:hAnsi="Calibri"/>
          <w:color w:val="231F20"/>
          <w:w w:val="105"/>
        </w:rPr>
        <w:t>selected</w:t>
      </w:r>
      <w:r w:rsidRPr="00A23800">
        <w:rPr>
          <w:rFonts w:ascii="Calibri" w:hAnsi="Calibri"/>
          <w:color w:val="231F20"/>
          <w:spacing w:val="27"/>
          <w:w w:val="105"/>
        </w:rPr>
        <w:t xml:space="preserve"> </w:t>
      </w:r>
      <w:r w:rsidRPr="00A23800">
        <w:rPr>
          <w:rFonts w:ascii="Calibri" w:hAnsi="Calibri"/>
          <w:color w:val="231F20"/>
          <w:w w:val="105"/>
        </w:rPr>
        <w:t>exempt</w:t>
      </w:r>
      <w:r w:rsidRPr="00A23800">
        <w:rPr>
          <w:rFonts w:ascii="Calibri" w:hAnsi="Calibri"/>
          <w:color w:val="231F20"/>
          <w:spacing w:val="27"/>
          <w:w w:val="105"/>
        </w:rPr>
        <w:t xml:space="preserve"> </w:t>
      </w:r>
      <w:r w:rsidRPr="00A23800">
        <w:rPr>
          <w:rFonts w:ascii="Calibri" w:hAnsi="Calibri"/>
          <w:color w:val="231F20"/>
          <w:w w:val="105"/>
        </w:rPr>
        <w:t>service/senior</w:t>
      </w:r>
      <w:r w:rsidRPr="00A23800">
        <w:rPr>
          <w:rFonts w:ascii="Calibri" w:hAnsi="Calibri"/>
          <w:color w:val="231F20"/>
          <w:spacing w:val="27"/>
          <w:w w:val="105"/>
        </w:rPr>
        <w:t xml:space="preserve"> </w:t>
      </w:r>
      <w:r w:rsidRPr="00A23800">
        <w:rPr>
          <w:rFonts w:ascii="Calibri" w:hAnsi="Calibri"/>
          <w:color w:val="231F20"/>
          <w:w w:val="105"/>
        </w:rPr>
        <w:t>management</w:t>
      </w:r>
      <w:r w:rsidRPr="00A23800">
        <w:rPr>
          <w:rFonts w:ascii="Calibri" w:hAnsi="Calibri"/>
          <w:color w:val="231F20"/>
          <w:spacing w:val="27"/>
          <w:w w:val="105"/>
        </w:rPr>
        <w:t xml:space="preserve"> </w:t>
      </w:r>
      <w:r w:rsidRPr="00A23800">
        <w:rPr>
          <w:rFonts w:ascii="Calibri" w:hAnsi="Calibri"/>
          <w:color w:val="231F20"/>
          <w:w w:val="105"/>
        </w:rPr>
        <w:t>service</w:t>
      </w:r>
      <w:r w:rsidR="00D5537E">
        <w:rPr>
          <w:rFonts w:ascii="Calibri" w:hAnsi="Calibri"/>
          <w:color w:val="231F20"/>
          <w:w w:val="105"/>
        </w:rPr>
        <w:t xml:space="preserve"> and</w:t>
      </w:r>
      <w:r w:rsidRPr="00A23800">
        <w:rPr>
          <w:rFonts w:ascii="Calibri" w:hAnsi="Calibri"/>
          <w:color w:val="231F20"/>
          <w:spacing w:val="27"/>
          <w:w w:val="105"/>
        </w:rPr>
        <w:t xml:space="preserve"> </w:t>
      </w:r>
      <w:r w:rsidRPr="00A23800">
        <w:rPr>
          <w:rFonts w:ascii="Calibri" w:hAnsi="Calibri"/>
          <w:color w:val="231F20"/>
          <w:w w:val="105"/>
        </w:rPr>
        <w:t>OPS</w:t>
      </w:r>
      <w:r w:rsidRPr="00A23800">
        <w:rPr>
          <w:rFonts w:ascii="Calibri" w:hAnsi="Calibri"/>
          <w:color w:val="231F20"/>
          <w:spacing w:val="27"/>
          <w:w w:val="105"/>
        </w:rPr>
        <w:t xml:space="preserve"> </w:t>
      </w:r>
      <w:r w:rsidRPr="00A23800">
        <w:rPr>
          <w:rFonts w:ascii="Calibri" w:hAnsi="Calibri"/>
          <w:color w:val="231F20"/>
          <w:w w:val="105"/>
        </w:rPr>
        <w:t>employees,</w:t>
      </w:r>
      <w:r w:rsidRPr="00A23800">
        <w:rPr>
          <w:rFonts w:ascii="Calibri" w:hAnsi="Calibri"/>
          <w:color w:val="231F20"/>
          <w:spacing w:val="27"/>
          <w:w w:val="105"/>
        </w:rPr>
        <w:t xml:space="preserve"> </w:t>
      </w:r>
      <w:r w:rsidRPr="00A23800">
        <w:rPr>
          <w:rFonts w:ascii="Calibri" w:hAnsi="Calibri"/>
          <w:color w:val="231F20"/>
          <w:w w:val="105"/>
        </w:rPr>
        <w:t>as</w:t>
      </w:r>
      <w:r w:rsidRPr="00A23800">
        <w:rPr>
          <w:rFonts w:ascii="Calibri" w:hAnsi="Calibri"/>
          <w:color w:val="231F20"/>
          <w:spacing w:val="27"/>
          <w:w w:val="105"/>
        </w:rPr>
        <w:t xml:space="preserve"> </w:t>
      </w:r>
      <w:r w:rsidRPr="00A23800">
        <w:rPr>
          <w:rFonts w:ascii="Calibri" w:hAnsi="Calibri"/>
          <w:color w:val="231F20"/>
          <w:w w:val="105"/>
        </w:rPr>
        <w:t>well</w:t>
      </w:r>
      <w:r w:rsidRPr="00A23800">
        <w:rPr>
          <w:rFonts w:ascii="Calibri" w:hAnsi="Calibri"/>
          <w:color w:val="231F20"/>
          <w:spacing w:val="27"/>
          <w:w w:val="105"/>
        </w:rPr>
        <w:t xml:space="preserve"> </w:t>
      </w:r>
      <w:r w:rsidRPr="00A23800">
        <w:rPr>
          <w:rFonts w:ascii="Calibri" w:hAnsi="Calibri"/>
          <w:color w:val="231F20"/>
          <w:w w:val="105"/>
        </w:rPr>
        <w:t>as</w:t>
      </w:r>
      <w:r w:rsidRPr="00A23800">
        <w:rPr>
          <w:rFonts w:ascii="Calibri" w:hAnsi="Calibri"/>
          <w:color w:val="231F20"/>
          <w:spacing w:val="27"/>
          <w:w w:val="105"/>
        </w:rPr>
        <w:t xml:space="preserve"> </w:t>
      </w:r>
      <w:r w:rsidRPr="00A23800">
        <w:rPr>
          <w:rFonts w:ascii="Calibri" w:hAnsi="Calibri"/>
          <w:color w:val="231F20"/>
          <w:w w:val="105"/>
        </w:rPr>
        <w:t>sites</w:t>
      </w:r>
      <w:r w:rsidRPr="00A23800">
        <w:rPr>
          <w:rFonts w:ascii="Calibri" w:hAnsi="Calibri"/>
          <w:color w:val="231F20"/>
          <w:spacing w:val="27"/>
          <w:w w:val="105"/>
        </w:rPr>
        <w:t xml:space="preserve"> </w:t>
      </w:r>
      <w:r w:rsidRPr="00A23800">
        <w:rPr>
          <w:rFonts w:ascii="Calibri" w:hAnsi="Calibri"/>
          <w:color w:val="231F20"/>
          <w:w w:val="105"/>
        </w:rPr>
        <w:t>specific</w:t>
      </w:r>
      <w:r w:rsidRPr="00A23800">
        <w:rPr>
          <w:rFonts w:ascii="Calibri" w:hAnsi="Calibri"/>
          <w:color w:val="231F20"/>
          <w:w w:val="109"/>
        </w:rPr>
        <w:t xml:space="preserve"> </w:t>
      </w:r>
      <w:r w:rsidRPr="00A23800">
        <w:rPr>
          <w:rFonts w:ascii="Calibri" w:hAnsi="Calibri"/>
          <w:color w:val="231F20"/>
          <w:w w:val="105"/>
        </w:rPr>
        <w:t>to</w:t>
      </w:r>
      <w:r w:rsidRPr="00A23800">
        <w:rPr>
          <w:rFonts w:ascii="Calibri" w:hAnsi="Calibri"/>
          <w:color w:val="231F20"/>
          <w:spacing w:val="12"/>
          <w:w w:val="105"/>
        </w:rPr>
        <w:t xml:space="preserve"> </w:t>
      </w:r>
      <w:r w:rsidRPr="00A23800">
        <w:rPr>
          <w:rFonts w:ascii="Calibri" w:hAnsi="Calibri"/>
          <w:color w:val="231F20"/>
          <w:spacing w:val="-3"/>
          <w:w w:val="105"/>
        </w:rPr>
        <w:t>VR’s</w:t>
      </w:r>
      <w:r w:rsidRPr="00A23800">
        <w:rPr>
          <w:rFonts w:ascii="Calibri" w:hAnsi="Calibri"/>
          <w:color w:val="231F20"/>
          <w:spacing w:val="12"/>
          <w:w w:val="105"/>
        </w:rPr>
        <w:t xml:space="preserve"> </w:t>
      </w:r>
      <w:r w:rsidRPr="00A23800">
        <w:rPr>
          <w:rFonts w:ascii="Calibri" w:hAnsi="Calibri"/>
          <w:color w:val="231F20"/>
          <w:w w:val="105"/>
        </w:rPr>
        <w:t>volunteers</w:t>
      </w:r>
      <w:r w:rsidRPr="00A23800">
        <w:rPr>
          <w:rFonts w:ascii="Calibri" w:hAnsi="Calibri"/>
          <w:color w:val="231F20"/>
          <w:spacing w:val="12"/>
          <w:w w:val="105"/>
        </w:rPr>
        <w:t xml:space="preserve"> </w:t>
      </w:r>
      <w:r w:rsidRPr="00A23800">
        <w:rPr>
          <w:rFonts w:ascii="Calibri" w:hAnsi="Calibri"/>
          <w:color w:val="231F20"/>
          <w:w w:val="105"/>
        </w:rPr>
        <w:t>and</w:t>
      </w:r>
      <w:r w:rsidRPr="00A23800">
        <w:rPr>
          <w:rFonts w:ascii="Calibri" w:hAnsi="Calibri"/>
          <w:color w:val="231F20"/>
          <w:spacing w:val="12"/>
          <w:w w:val="105"/>
        </w:rPr>
        <w:t xml:space="preserve"> </w:t>
      </w:r>
      <w:r w:rsidRPr="00A23800">
        <w:rPr>
          <w:rFonts w:ascii="Calibri" w:hAnsi="Calibri"/>
          <w:color w:val="231F20"/>
          <w:w w:val="105"/>
        </w:rPr>
        <w:t>contracted</w:t>
      </w:r>
      <w:r w:rsidRPr="00A23800">
        <w:rPr>
          <w:rFonts w:ascii="Calibri" w:hAnsi="Calibri"/>
          <w:color w:val="231F20"/>
          <w:spacing w:val="12"/>
          <w:w w:val="105"/>
        </w:rPr>
        <w:t xml:space="preserve"> </w:t>
      </w:r>
      <w:r w:rsidRPr="00A23800">
        <w:rPr>
          <w:rFonts w:ascii="Calibri" w:hAnsi="Calibri"/>
          <w:color w:val="231F20"/>
          <w:w w:val="105"/>
        </w:rPr>
        <w:t>staff.</w:t>
      </w:r>
      <w:r w:rsidRPr="00A23800">
        <w:rPr>
          <w:rFonts w:ascii="Calibri" w:hAnsi="Calibri"/>
          <w:color w:val="231F20"/>
          <w:spacing w:val="12"/>
          <w:w w:val="105"/>
        </w:rPr>
        <w:t xml:space="preserve"> </w:t>
      </w:r>
      <w:r w:rsidRPr="00A23800">
        <w:rPr>
          <w:rFonts w:ascii="Calibri" w:hAnsi="Calibri"/>
          <w:color w:val="231F20"/>
          <w:w w:val="105"/>
        </w:rPr>
        <w:t>Each</w:t>
      </w:r>
      <w:r w:rsidRPr="00A23800">
        <w:rPr>
          <w:rFonts w:ascii="Calibri" w:hAnsi="Calibri"/>
          <w:color w:val="231F20"/>
          <w:spacing w:val="12"/>
          <w:w w:val="105"/>
        </w:rPr>
        <w:t xml:space="preserve"> </w:t>
      </w:r>
      <w:r w:rsidRPr="00A23800">
        <w:rPr>
          <w:rFonts w:ascii="Calibri" w:hAnsi="Calibri"/>
          <w:color w:val="231F20"/>
          <w:w w:val="105"/>
        </w:rPr>
        <w:t>site</w:t>
      </w:r>
      <w:r w:rsidRPr="00A23800">
        <w:rPr>
          <w:rFonts w:ascii="Calibri" w:hAnsi="Calibri"/>
          <w:color w:val="231F20"/>
          <w:spacing w:val="12"/>
          <w:w w:val="105"/>
        </w:rPr>
        <w:t xml:space="preserve"> </w:t>
      </w:r>
      <w:r w:rsidRPr="00A23800">
        <w:rPr>
          <w:rFonts w:ascii="Calibri" w:hAnsi="Calibri"/>
          <w:color w:val="231F20"/>
          <w:w w:val="105"/>
        </w:rPr>
        <w:t>provides</w:t>
      </w:r>
      <w:r w:rsidRPr="00A23800">
        <w:rPr>
          <w:rFonts w:ascii="Calibri" w:hAnsi="Calibri"/>
          <w:color w:val="231F20"/>
          <w:spacing w:val="12"/>
          <w:w w:val="105"/>
        </w:rPr>
        <w:t xml:space="preserve"> </w:t>
      </w:r>
      <w:r w:rsidRPr="00A23800">
        <w:rPr>
          <w:rFonts w:ascii="Calibri" w:hAnsi="Calibri"/>
          <w:color w:val="231F20"/>
          <w:w w:val="105"/>
        </w:rPr>
        <w:t>onboarding</w:t>
      </w:r>
      <w:r w:rsidRPr="00A23800">
        <w:rPr>
          <w:rFonts w:ascii="Calibri" w:hAnsi="Calibri"/>
          <w:color w:val="231F20"/>
          <w:spacing w:val="12"/>
          <w:w w:val="105"/>
        </w:rPr>
        <w:t xml:space="preserve"> </w:t>
      </w:r>
      <w:r w:rsidRPr="00A23800">
        <w:rPr>
          <w:rFonts w:ascii="Calibri" w:hAnsi="Calibri"/>
          <w:color w:val="231F20"/>
          <w:w w:val="105"/>
        </w:rPr>
        <w:t>information</w:t>
      </w:r>
      <w:r w:rsidRPr="00A23800">
        <w:rPr>
          <w:rFonts w:ascii="Calibri" w:hAnsi="Calibri"/>
          <w:color w:val="231F20"/>
          <w:spacing w:val="12"/>
          <w:w w:val="105"/>
        </w:rPr>
        <w:t xml:space="preserve"> </w:t>
      </w:r>
      <w:r w:rsidRPr="00A23800">
        <w:rPr>
          <w:rFonts w:ascii="Calibri" w:hAnsi="Calibri"/>
          <w:color w:val="231F20"/>
          <w:w w:val="105"/>
        </w:rPr>
        <w:t>for</w:t>
      </w:r>
      <w:r w:rsidRPr="00A23800">
        <w:rPr>
          <w:rFonts w:ascii="Calibri" w:hAnsi="Calibri"/>
          <w:color w:val="231F20"/>
          <w:spacing w:val="12"/>
          <w:w w:val="105"/>
        </w:rPr>
        <w:t xml:space="preserve"> </w:t>
      </w:r>
      <w:r w:rsidRPr="00A23800">
        <w:rPr>
          <w:rFonts w:ascii="Calibri" w:hAnsi="Calibri"/>
          <w:color w:val="231F20"/>
          <w:w w:val="105"/>
        </w:rPr>
        <w:t>the</w:t>
      </w:r>
      <w:r w:rsidRPr="00A23800">
        <w:rPr>
          <w:rFonts w:ascii="Calibri" w:hAnsi="Calibri"/>
          <w:color w:val="231F20"/>
          <w:spacing w:val="12"/>
          <w:w w:val="105"/>
        </w:rPr>
        <w:t xml:space="preserve"> </w:t>
      </w:r>
      <w:r w:rsidRPr="00A23800">
        <w:rPr>
          <w:rFonts w:ascii="Calibri" w:hAnsi="Calibri"/>
          <w:color w:val="231F20"/>
          <w:w w:val="105"/>
        </w:rPr>
        <w:t>specific</w:t>
      </w:r>
      <w:r w:rsidR="006206D4">
        <w:rPr>
          <w:rFonts w:ascii="Calibri" w:hAnsi="Calibri"/>
          <w:color w:val="231F20"/>
          <w:w w:val="105"/>
        </w:rPr>
        <w:t xml:space="preserve"> </w:t>
      </w:r>
      <w:r w:rsidRPr="00A23800">
        <w:rPr>
          <w:rFonts w:ascii="Calibri" w:hAnsi="Calibri"/>
          <w:color w:val="231F20"/>
          <w:w w:val="110"/>
        </w:rPr>
        <w:t>personnel</w:t>
      </w:r>
      <w:r w:rsidRPr="00A23800">
        <w:rPr>
          <w:rFonts w:ascii="Calibri" w:hAnsi="Calibri"/>
          <w:color w:val="231F20"/>
          <w:spacing w:val="-17"/>
          <w:w w:val="110"/>
        </w:rPr>
        <w:t xml:space="preserve"> </w:t>
      </w:r>
      <w:r w:rsidRPr="00A23800">
        <w:rPr>
          <w:rFonts w:ascii="Calibri" w:hAnsi="Calibri"/>
          <w:color w:val="231F20"/>
          <w:w w:val="110"/>
        </w:rPr>
        <w:t>category,</w:t>
      </w:r>
      <w:r w:rsidRPr="00A23800">
        <w:rPr>
          <w:rFonts w:ascii="Calibri" w:hAnsi="Calibri"/>
          <w:color w:val="231F20"/>
          <w:spacing w:val="-17"/>
          <w:w w:val="110"/>
        </w:rPr>
        <w:t xml:space="preserve"> </w:t>
      </w:r>
      <w:r w:rsidRPr="00A23800">
        <w:rPr>
          <w:rFonts w:ascii="Calibri" w:hAnsi="Calibri"/>
          <w:color w:val="231F20"/>
          <w:w w:val="110"/>
        </w:rPr>
        <w:t>such</w:t>
      </w:r>
      <w:r w:rsidRPr="00A23800">
        <w:rPr>
          <w:rFonts w:ascii="Calibri" w:hAnsi="Calibri"/>
          <w:color w:val="231F20"/>
          <w:spacing w:val="-17"/>
          <w:w w:val="110"/>
        </w:rPr>
        <w:t xml:space="preserve"> </w:t>
      </w:r>
      <w:r w:rsidRPr="00A23800">
        <w:rPr>
          <w:rFonts w:ascii="Calibri" w:hAnsi="Calibri"/>
          <w:color w:val="231F20"/>
          <w:w w:val="110"/>
        </w:rPr>
        <w:t>as</w:t>
      </w:r>
      <w:r w:rsidRPr="00A23800">
        <w:rPr>
          <w:rFonts w:ascii="Calibri" w:hAnsi="Calibri"/>
          <w:color w:val="231F20"/>
          <w:spacing w:val="-17"/>
          <w:w w:val="110"/>
        </w:rPr>
        <w:t xml:space="preserve"> </w:t>
      </w:r>
      <w:r w:rsidRPr="00A23800">
        <w:rPr>
          <w:rFonts w:ascii="Calibri" w:hAnsi="Calibri"/>
          <w:color w:val="231F20"/>
          <w:w w:val="110"/>
        </w:rPr>
        <w:t>New</w:t>
      </w:r>
      <w:r w:rsidRPr="00A23800">
        <w:rPr>
          <w:rFonts w:ascii="Calibri" w:hAnsi="Calibri"/>
          <w:color w:val="231F20"/>
          <w:spacing w:val="-17"/>
          <w:w w:val="110"/>
        </w:rPr>
        <w:t xml:space="preserve"> </w:t>
      </w:r>
      <w:r w:rsidRPr="00A23800">
        <w:rPr>
          <w:rFonts w:ascii="Calibri" w:hAnsi="Calibri"/>
          <w:color w:val="231F20"/>
          <w:w w:val="110"/>
        </w:rPr>
        <w:t>Hire</w:t>
      </w:r>
      <w:r w:rsidRPr="00A23800">
        <w:rPr>
          <w:rFonts w:ascii="Calibri" w:hAnsi="Calibri"/>
          <w:color w:val="231F20"/>
          <w:spacing w:val="-17"/>
          <w:w w:val="110"/>
        </w:rPr>
        <w:t xml:space="preserve"> </w:t>
      </w:r>
      <w:r w:rsidRPr="00A23800">
        <w:rPr>
          <w:rFonts w:ascii="Calibri" w:hAnsi="Calibri"/>
          <w:color w:val="231F20"/>
          <w:w w:val="110"/>
        </w:rPr>
        <w:t>Paperwork</w:t>
      </w:r>
      <w:r w:rsidRPr="00A23800">
        <w:rPr>
          <w:rFonts w:ascii="Calibri" w:hAnsi="Calibri"/>
          <w:color w:val="231F20"/>
          <w:spacing w:val="-17"/>
          <w:w w:val="110"/>
        </w:rPr>
        <w:t xml:space="preserve"> </w:t>
      </w:r>
      <w:r w:rsidRPr="00A23800">
        <w:rPr>
          <w:rFonts w:ascii="Calibri" w:hAnsi="Calibri"/>
          <w:color w:val="231F20"/>
          <w:w w:val="110"/>
        </w:rPr>
        <w:t>that</w:t>
      </w:r>
      <w:r w:rsidRPr="00A23800">
        <w:rPr>
          <w:rFonts w:ascii="Calibri" w:hAnsi="Calibri"/>
          <w:color w:val="231F20"/>
          <w:spacing w:val="-17"/>
          <w:w w:val="110"/>
        </w:rPr>
        <w:t xml:space="preserve"> </w:t>
      </w:r>
      <w:r w:rsidRPr="00A23800">
        <w:rPr>
          <w:rFonts w:ascii="Calibri" w:hAnsi="Calibri"/>
          <w:color w:val="231F20"/>
          <w:w w:val="110"/>
        </w:rPr>
        <w:t>provides</w:t>
      </w:r>
      <w:r w:rsidRPr="00A23800">
        <w:rPr>
          <w:rFonts w:ascii="Calibri" w:hAnsi="Calibri"/>
          <w:color w:val="231F20"/>
          <w:spacing w:val="-17"/>
          <w:w w:val="110"/>
        </w:rPr>
        <w:t xml:space="preserve"> </w:t>
      </w:r>
      <w:r w:rsidRPr="00A23800">
        <w:rPr>
          <w:rFonts w:ascii="Calibri" w:hAnsi="Calibri"/>
          <w:color w:val="231F20"/>
          <w:w w:val="110"/>
        </w:rPr>
        <w:t>the</w:t>
      </w:r>
      <w:r w:rsidRPr="00A23800">
        <w:rPr>
          <w:rFonts w:ascii="Calibri" w:hAnsi="Calibri"/>
          <w:color w:val="231F20"/>
          <w:spacing w:val="-17"/>
          <w:w w:val="110"/>
        </w:rPr>
        <w:t xml:space="preserve"> </w:t>
      </w:r>
      <w:r w:rsidRPr="00A23800">
        <w:rPr>
          <w:rFonts w:ascii="Calibri" w:hAnsi="Calibri"/>
          <w:color w:val="231F20"/>
          <w:w w:val="110"/>
        </w:rPr>
        <w:t>new</w:t>
      </w:r>
      <w:r w:rsidRPr="00A23800">
        <w:rPr>
          <w:rFonts w:ascii="Calibri" w:hAnsi="Calibri"/>
          <w:color w:val="231F20"/>
          <w:spacing w:val="-17"/>
          <w:w w:val="110"/>
        </w:rPr>
        <w:t xml:space="preserve"> </w:t>
      </w:r>
      <w:r w:rsidRPr="00A23800">
        <w:rPr>
          <w:rFonts w:ascii="Calibri" w:hAnsi="Calibri"/>
          <w:color w:val="231F20"/>
          <w:w w:val="110"/>
        </w:rPr>
        <w:t>employee</w:t>
      </w:r>
      <w:r w:rsidRPr="00A23800">
        <w:rPr>
          <w:rFonts w:ascii="Calibri" w:hAnsi="Calibri"/>
          <w:color w:val="231F20"/>
          <w:spacing w:val="-17"/>
          <w:w w:val="110"/>
        </w:rPr>
        <w:t xml:space="preserve"> </w:t>
      </w:r>
      <w:r w:rsidRPr="00A23800">
        <w:rPr>
          <w:rFonts w:ascii="Calibri" w:hAnsi="Calibri"/>
          <w:color w:val="231F20"/>
          <w:w w:val="110"/>
        </w:rPr>
        <w:t>with</w:t>
      </w:r>
      <w:r w:rsidRPr="00A23800">
        <w:rPr>
          <w:rFonts w:ascii="Calibri" w:hAnsi="Calibri"/>
          <w:color w:val="231F20"/>
          <w:spacing w:val="-17"/>
          <w:w w:val="110"/>
        </w:rPr>
        <w:t xml:space="preserve"> </w:t>
      </w:r>
      <w:r w:rsidR="000E7DD7" w:rsidRPr="00A23800">
        <w:rPr>
          <w:rFonts w:ascii="Calibri" w:hAnsi="Calibri"/>
          <w:color w:val="231F20"/>
          <w:w w:val="110"/>
        </w:rPr>
        <w:t>all</w:t>
      </w:r>
      <w:r w:rsidRPr="00A23800">
        <w:rPr>
          <w:rFonts w:ascii="Calibri" w:hAnsi="Calibri"/>
          <w:color w:val="231F20"/>
          <w:spacing w:val="-17"/>
          <w:w w:val="110"/>
        </w:rPr>
        <w:t xml:space="preserve"> </w:t>
      </w:r>
      <w:r w:rsidRPr="00A23800">
        <w:rPr>
          <w:rFonts w:ascii="Calibri" w:hAnsi="Calibri"/>
          <w:color w:val="231F20"/>
          <w:w w:val="110"/>
        </w:rPr>
        <w:t>the</w:t>
      </w:r>
      <w:r w:rsidRPr="00A23800">
        <w:rPr>
          <w:rFonts w:ascii="Calibri" w:hAnsi="Calibri"/>
          <w:color w:val="231F20"/>
          <w:spacing w:val="-17"/>
          <w:w w:val="110"/>
        </w:rPr>
        <w:t xml:space="preserve"> </w:t>
      </w:r>
      <w:r w:rsidRPr="00A23800">
        <w:rPr>
          <w:rFonts w:ascii="Calibri" w:hAnsi="Calibri"/>
          <w:color w:val="231F20"/>
          <w:w w:val="110"/>
        </w:rPr>
        <w:t>required</w:t>
      </w:r>
      <w:r w:rsidRPr="00A23800">
        <w:rPr>
          <w:rFonts w:ascii="Calibri" w:hAnsi="Calibri"/>
          <w:color w:val="231F20"/>
          <w:w w:val="106"/>
        </w:rPr>
        <w:t xml:space="preserve"> </w:t>
      </w:r>
      <w:r w:rsidRPr="00A23800">
        <w:rPr>
          <w:rFonts w:ascii="Calibri" w:hAnsi="Calibri"/>
          <w:color w:val="231F20"/>
          <w:w w:val="110"/>
        </w:rPr>
        <w:t>hiring</w:t>
      </w:r>
      <w:r w:rsidRPr="00A23800">
        <w:rPr>
          <w:rFonts w:ascii="Calibri" w:hAnsi="Calibri"/>
          <w:color w:val="231F20"/>
          <w:spacing w:val="-15"/>
          <w:w w:val="110"/>
        </w:rPr>
        <w:t xml:space="preserve"> </w:t>
      </w:r>
      <w:r w:rsidRPr="00A23800">
        <w:rPr>
          <w:rFonts w:ascii="Calibri" w:hAnsi="Calibri"/>
          <w:color w:val="231F20"/>
          <w:w w:val="110"/>
        </w:rPr>
        <w:t>forms</w:t>
      </w:r>
      <w:r w:rsidRPr="00A23800">
        <w:rPr>
          <w:rFonts w:ascii="Calibri" w:hAnsi="Calibri"/>
          <w:color w:val="231F20"/>
          <w:spacing w:val="-15"/>
          <w:w w:val="110"/>
        </w:rPr>
        <w:t xml:space="preserve"> </w:t>
      </w:r>
      <w:r w:rsidRPr="00A23800">
        <w:rPr>
          <w:rFonts w:ascii="Calibri" w:hAnsi="Calibri"/>
          <w:color w:val="231F20"/>
          <w:w w:val="110"/>
        </w:rPr>
        <w:t>and</w:t>
      </w:r>
      <w:r w:rsidRPr="00A23800">
        <w:rPr>
          <w:rFonts w:ascii="Calibri" w:hAnsi="Calibri"/>
          <w:color w:val="231F20"/>
          <w:spacing w:val="-15"/>
          <w:w w:val="110"/>
        </w:rPr>
        <w:t xml:space="preserve"> </w:t>
      </w:r>
      <w:r w:rsidRPr="00A23800">
        <w:rPr>
          <w:rFonts w:ascii="Calibri" w:hAnsi="Calibri"/>
          <w:color w:val="231F20"/>
          <w:w w:val="110"/>
        </w:rPr>
        <w:t>related</w:t>
      </w:r>
      <w:r w:rsidRPr="00A23800">
        <w:rPr>
          <w:rFonts w:ascii="Calibri" w:hAnsi="Calibri"/>
          <w:color w:val="231F20"/>
          <w:spacing w:val="-15"/>
          <w:w w:val="110"/>
        </w:rPr>
        <w:t xml:space="preserve"> </w:t>
      </w:r>
      <w:r w:rsidRPr="00A23800">
        <w:rPr>
          <w:rFonts w:ascii="Calibri" w:hAnsi="Calibri"/>
          <w:color w:val="231F20"/>
          <w:w w:val="110"/>
        </w:rPr>
        <w:t>policies,</w:t>
      </w:r>
      <w:r w:rsidRPr="00A23800">
        <w:rPr>
          <w:rFonts w:ascii="Calibri" w:hAnsi="Calibri"/>
          <w:color w:val="231F20"/>
          <w:spacing w:val="-15"/>
          <w:w w:val="110"/>
        </w:rPr>
        <w:t xml:space="preserve"> </w:t>
      </w:r>
      <w:r w:rsidRPr="00A23800">
        <w:rPr>
          <w:rFonts w:ascii="Calibri" w:hAnsi="Calibri"/>
          <w:color w:val="231F20"/>
          <w:w w:val="110"/>
        </w:rPr>
        <w:t>VR</w:t>
      </w:r>
      <w:r w:rsidRPr="00A23800">
        <w:rPr>
          <w:rFonts w:ascii="Calibri" w:hAnsi="Calibri"/>
          <w:color w:val="231F20"/>
          <w:spacing w:val="-15"/>
          <w:w w:val="110"/>
        </w:rPr>
        <w:t xml:space="preserve"> </w:t>
      </w:r>
      <w:r w:rsidRPr="00A23800">
        <w:rPr>
          <w:rFonts w:ascii="Calibri" w:hAnsi="Calibri"/>
          <w:color w:val="231F20"/>
          <w:w w:val="110"/>
        </w:rPr>
        <w:t>Mentorship</w:t>
      </w:r>
      <w:r w:rsidRPr="00A23800">
        <w:rPr>
          <w:rFonts w:ascii="Calibri" w:hAnsi="Calibri"/>
          <w:color w:val="231F20"/>
          <w:spacing w:val="-15"/>
          <w:w w:val="110"/>
        </w:rPr>
        <w:t xml:space="preserve"> </w:t>
      </w:r>
      <w:r w:rsidRPr="00A23800">
        <w:rPr>
          <w:rFonts w:ascii="Calibri" w:hAnsi="Calibri"/>
          <w:color w:val="231F20"/>
          <w:w w:val="110"/>
        </w:rPr>
        <w:t>Program</w:t>
      </w:r>
      <w:r w:rsidRPr="00A23800">
        <w:rPr>
          <w:rFonts w:ascii="Calibri" w:hAnsi="Calibri"/>
          <w:color w:val="231F20"/>
          <w:spacing w:val="-15"/>
          <w:w w:val="110"/>
        </w:rPr>
        <w:t xml:space="preserve"> </w:t>
      </w:r>
      <w:r w:rsidRPr="00A23800">
        <w:rPr>
          <w:rFonts w:ascii="Calibri" w:hAnsi="Calibri"/>
          <w:color w:val="231F20"/>
          <w:w w:val="110"/>
        </w:rPr>
        <w:t>information,</w:t>
      </w:r>
      <w:r w:rsidRPr="00A23800">
        <w:rPr>
          <w:rFonts w:ascii="Calibri" w:hAnsi="Calibri"/>
          <w:color w:val="231F20"/>
          <w:spacing w:val="-15"/>
          <w:w w:val="110"/>
        </w:rPr>
        <w:t xml:space="preserve"> </w:t>
      </w:r>
      <w:r w:rsidRPr="00A23800">
        <w:rPr>
          <w:rFonts w:ascii="Calibri" w:hAnsi="Calibri"/>
          <w:color w:val="231F20"/>
          <w:w w:val="110"/>
        </w:rPr>
        <w:t>TED-</w:t>
      </w:r>
      <w:r w:rsidRPr="00A23800">
        <w:rPr>
          <w:rFonts w:ascii="Calibri" w:hAnsi="Calibri"/>
          <w:color w:val="231F20"/>
          <w:spacing w:val="-15"/>
          <w:w w:val="110"/>
        </w:rPr>
        <w:t xml:space="preserve"> </w:t>
      </w:r>
      <w:r w:rsidRPr="00A23800">
        <w:rPr>
          <w:rFonts w:ascii="Calibri" w:hAnsi="Calibri"/>
          <w:color w:val="231F20"/>
          <w:w w:val="110"/>
        </w:rPr>
        <w:t>Training,</w:t>
      </w:r>
      <w:r w:rsidRPr="00A23800">
        <w:rPr>
          <w:rFonts w:ascii="Calibri" w:hAnsi="Calibri"/>
          <w:color w:val="231F20"/>
          <w:spacing w:val="-15"/>
          <w:w w:val="110"/>
        </w:rPr>
        <w:t xml:space="preserve"> </w:t>
      </w:r>
      <w:r w:rsidRPr="00A23800">
        <w:rPr>
          <w:rFonts w:ascii="Calibri" w:hAnsi="Calibri"/>
          <w:color w:val="231F20"/>
          <w:w w:val="110"/>
        </w:rPr>
        <w:t>Education</w:t>
      </w:r>
      <w:r w:rsidR="00D5537E">
        <w:rPr>
          <w:rFonts w:ascii="Calibri" w:hAnsi="Calibri"/>
          <w:color w:val="231F20"/>
          <w:w w:val="110"/>
        </w:rPr>
        <w:t xml:space="preserve"> and</w:t>
      </w:r>
      <w:r w:rsidRPr="00A23800">
        <w:rPr>
          <w:rFonts w:ascii="Calibri" w:hAnsi="Calibri"/>
          <w:color w:val="231F20"/>
          <w:w w:val="108"/>
        </w:rPr>
        <w:t xml:space="preserve"> </w:t>
      </w:r>
      <w:r w:rsidRPr="00A23800">
        <w:rPr>
          <w:rFonts w:ascii="Calibri" w:hAnsi="Calibri"/>
          <w:color w:val="231F20"/>
          <w:w w:val="110"/>
        </w:rPr>
        <w:t>Development</w:t>
      </w:r>
      <w:r w:rsidRPr="00A23800">
        <w:rPr>
          <w:rFonts w:ascii="Calibri" w:hAnsi="Calibri"/>
          <w:color w:val="231F20"/>
          <w:spacing w:val="-11"/>
          <w:w w:val="110"/>
        </w:rPr>
        <w:t xml:space="preserve"> </w:t>
      </w:r>
      <w:r w:rsidRPr="00A23800">
        <w:rPr>
          <w:rFonts w:ascii="Calibri" w:hAnsi="Calibri"/>
          <w:color w:val="231F20"/>
          <w:w w:val="110"/>
        </w:rPr>
        <w:t>links</w:t>
      </w:r>
      <w:r w:rsidRPr="00A23800">
        <w:rPr>
          <w:rFonts w:ascii="Calibri" w:hAnsi="Calibri"/>
          <w:color w:val="231F20"/>
          <w:spacing w:val="-11"/>
          <w:w w:val="110"/>
        </w:rPr>
        <w:t xml:space="preserve"> </w:t>
      </w:r>
      <w:r w:rsidRPr="00A23800">
        <w:rPr>
          <w:rFonts w:ascii="Calibri" w:hAnsi="Calibri"/>
          <w:color w:val="231F20"/>
          <w:w w:val="110"/>
        </w:rPr>
        <w:t>and</w:t>
      </w:r>
      <w:r w:rsidRPr="00A23800">
        <w:rPr>
          <w:rFonts w:ascii="Calibri" w:hAnsi="Calibri"/>
          <w:color w:val="231F20"/>
          <w:spacing w:val="-11"/>
          <w:w w:val="110"/>
        </w:rPr>
        <w:t xml:space="preserve"> </w:t>
      </w:r>
      <w:r w:rsidRPr="00A23800">
        <w:rPr>
          <w:rFonts w:ascii="Calibri" w:hAnsi="Calibri"/>
          <w:color w:val="231F20"/>
          <w:w w:val="110"/>
        </w:rPr>
        <w:t>resources</w:t>
      </w:r>
      <w:r w:rsidR="00D5537E">
        <w:rPr>
          <w:rFonts w:ascii="Calibri" w:hAnsi="Calibri"/>
          <w:color w:val="231F20"/>
          <w:w w:val="110"/>
        </w:rPr>
        <w:t xml:space="preserve"> and</w:t>
      </w:r>
      <w:r w:rsidRPr="00A23800">
        <w:rPr>
          <w:rFonts w:ascii="Calibri" w:hAnsi="Calibri"/>
          <w:color w:val="231F20"/>
          <w:spacing w:val="-11"/>
          <w:w w:val="110"/>
        </w:rPr>
        <w:t xml:space="preserve"> </w:t>
      </w:r>
      <w:r w:rsidRPr="00A23800">
        <w:rPr>
          <w:rFonts w:ascii="Calibri" w:hAnsi="Calibri"/>
          <w:color w:val="231F20"/>
          <w:w w:val="110"/>
        </w:rPr>
        <w:t>the</w:t>
      </w:r>
      <w:r w:rsidRPr="00A23800">
        <w:rPr>
          <w:rFonts w:ascii="Calibri" w:hAnsi="Calibri"/>
          <w:color w:val="231F20"/>
          <w:spacing w:val="-11"/>
          <w:w w:val="110"/>
        </w:rPr>
        <w:t xml:space="preserve"> </w:t>
      </w:r>
      <w:r w:rsidRPr="00A23800">
        <w:rPr>
          <w:rFonts w:ascii="Calibri" w:hAnsi="Calibri"/>
          <w:color w:val="231F20"/>
          <w:w w:val="110"/>
        </w:rPr>
        <w:t>Human</w:t>
      </w:r>
      <w:r w:rsidRPr="00A23800">
        <w:rPr>
          <w:rFonts w:ascii="Calibri" w:hAnsi="Calibri"/>
          <w:color w:val="231F20"/>
          <w:spacing w:val="-11"/>
          <w:w w:val="110"/>
        </w:rPr>
        <w:t xml:space="preserve"> </w:t>
      </w:r>
      <w:r w:rsidRPr="00A23800">
        <w:rPr>
          <w:rFonts w:ascii="Calibri" w:hAnsi="Calibri"/>
          <w:color w:val="231F20"/>
          <w:w w:val="110"/>
        </w:rPr>
        <w:t>Resources</w:t>
      </w:r>
      <w:r w:rsidRPr="00A23800">
        <w:rPr>
          <w:rFonts w:ascii="Calibri" w:hAnsi="Calibri"/>
          <w:color w:val="231F20"/>
          <w:spacing w:val="-11"/>
          <w:w w:val="110"/>
        </w:rPr>
        <w:t xml:space="preserve"> </w:t>
      </w:r>
      <w:r w:rsidRPr="00A23800">
        <w:rPr>
          <w:rFonts w:ascii="Calibri" w:hAnsi="Calibri"/>
          <w:color w:val="231F20"/>
          <w:w w:val="110"/>
        </w:rPr>
        <w:t>Page.</w:t>
      </w:r>
    </w:p>
    <w:p w14:paraId="4C7D7D17" w14:textId="77777777" w:rsidR="00A07550" w:rsidRPr="00A23800" w:rsidRDefault="00A07550" w:rsidP="00D63204">
      <w:pPr>
        <w:widowControl w:val="0"/>
        <w:spacing w:after="0" w:line="240" w:lineRule="auto"/>
        <w:ind w:left="107"/>
        <w:rPr>
          <w:rFonts w:ascii="Calibri" w:hAnsi="Calibri"/>
        </w:rPr>
        <w:sectPr w:rsidR="00A07550" w:rsidRPr="00A23800" w:rsidSect="00A07550">
          <w:pgSz w:w="12240" w:h="15840"/>
          <w:pgMar w:top="1620" w:right="900" w:bottom="820" w:left="900" w:header="812" w:footer="624" w:gutter="0"/>
          <w:cols w:space="720"/>
        </w:sectPr>
      </w:pPr>
    </w:p>
    <w:p w14:paraId="0534A77D" w14:textId="77777777" w:rsidR="00A07550" w:rsidRPr="00A23800" w:rsidRDefault="00A07550" w:rsidP="00D63204">
      <w:pPr>
        <w:widowControl w:val="0"/>
        <w:spacing w:before="57" w:after="0" w:line="240" w:lineRule="auto"/>
        <w:ind w:left="107"/>
        <w:outlineLvl w:val="2"/>
        <w:rPr>
          <w:rFonts w:ascii="Calibri" w:hAnsi="Calibri"/>
        </w:rPr>
      </w:pPr>
      <w:r w:rsidRPr="00A23800">
        <w:rPr>
          <w:rFonts w:ascii="Calibri" w:hAnsi="Calibri"/>
          <w:b/>
          <w:bCs/>
          <w:color w:val="231F20"/>
          <w:spacing w:val="-3"/>
          <w:w w:val="110"/>
          <w:u w:val="single" w:color="231F20"/>
        </w:rPr>
        <w:lastRenderedPageBreak/>
        <w:t xml:space="preserve">VR’s </w:t>
      </w:r>
      <w:r w:rsidRPr="00A23800">
        <w:rPr>
          <w:rFonts w:ascii="Calibri" w:hAnsi="Calibri"/>
          <w:b/>
          <w:bCs/>
          <w:color w:val="231F20"/>
          <w:w w:val="110"/>
          <w:u w:val="single" w:color="231F20"/>
        </w:rPr>
        <w:t>Mentorship</w:t>
      </w:r>
      <w:r w:rsidRPr="00A23800">
        <w:rPr>
          <w:rFonts w:ascii="Calibri" w:hAnsi="Calibri"/>
          <w:b/>
          <w:bCs/>
          <w:color w:val="231F20"/>
          <w:spacing w:val="-27"/>
          <w:w w:val="110"/>
          <w:u w:val="single" w:color="231F20"/>
        </w:rPr>
        <w:t xml:space="preserve"> </w:t>
      </w:r>
      <w:r w:rsidRPr="00A23800">
        <w:rPr>
          <w:rFonts w:ascii="Calibri" w:hAnsi="Calibri"/>
          <w:b/>
          <w:bCs/>
          <w:color w:val="231F20"/>
          <w:w w:val="110"/>
          <w:u w:val="single" w:color="231F20"/>
        </w:rPr>
        <w:t>Program</w:t>
      </w:r>
    </w:p>
    <w:p w14:paraId="500A0880" w14:textId="13A324C1" w:rsidR="00A07550" w:rsidRPr="00DE31C3" w:rsidRDefault="00DE31C3" w:rsidP="00D63204">
      <w:pPr>
        <w:widowControl w:val="0"/>
        <w:spacing w:after="0" w:line="240" w:lineRule="auto"/>
        <w:ind w:left="107"/>
        <w:rPr>
          <w:rFonts w:ascii="Calibri" w:hAnsi="Calibri"/>
          <w:color w:val="231F20"/>
          <w:w w:val="105"/>
        </w:rPr>
      </w:pPr>
      <w:r w:rsidRPr="00A23800">
        <w:rPr>
          <w:rFonts w:ascii="Calibri" w:hAnsi="Calibri"/>
          <w:color w:val="231F20"/>
          <w:w w:val="105"/>
        </w:rPr>
        <w:t>A major reason newly</w:t>
      </w:r>
      <w:r w:rsidR="00555B5D">
        <w:rPr>
          <w:rFonts w:ascii="Calibri" w:hAnsi="Calibri"/>
          <w:color w:val="231F20"/>
          <w:w w:val="105"/>
        </w:rPr>
        <w:t>-</w:t>
      </w:r>
      <w:r w:rsidRPr="00A23800">
        <w:rPr>
          <w:rFonts w:ascii="Calibri" w:hAnsi="Calibri"/>
          <w:color w:val="231F20"/>
          <w:w w:val="105"/>
        </w:rPr>
        <w:t>hired employee</w:t>
      </w:r>
      <w:r>
        <w:rPr>
          <w:rFonts w:ascii="Calibri" w:hAnsi="Calibri"/>
          <w:color w:val="231F20"/>
          <w:w w:val="105"/>
        </w:rPr>
        <w:t>s</w:t>
      </w:r>
      <w:r w:rsidR="00A07550" w:rsidRPr="00A23800">
        <w:rPr>
          <w:rFonts w:ascii="Calibri" w:hAnsi="Calibri"/>
          <w:color w:val="231F20"/>
          <w:w w:val="105"/>
        </w:rPr>
        <w:t xml:space="preserve"> struggle and ultimately leave is failure to establish</w:t>
      </w:r>
      <w:r>
        <w:rPr>
          <w:rFonts w:ascii="Calibri" w:hAnsi="Calibri"/>
          <w:color w:val="231F20"/>
          <w:w w:val="105"/>
        </w:rPr>
        <w:t xml:space="preserve"> </w:t>
      </w:r>
      <w:r w:rsidR="00A07550" w:rsidRPr="00A23800">
        <w:rPr>
          <w:rFonts w:ascii="Calibri" w:hAnsi="Calibri"/>
          <w:color w:val="231F20"/>
          <w:w w:val="105"/>
        </w:rPr>
        <w:t>connections and build strong interpersonal relationships within the organization. Understanding that</w:t>
      </w:r>
      <w:r w:rsidR="00A07550" w:rsidRPr="00DE31C3">
        <w:rPr>
          <w:rFonts w:ascii="Calibri" w:hAnsi="Calibri"/>
          <w:color w:val="231F20"/>
          <w:w w:val="105"/>
        </w:rPr>
        <w:t xml:space="preserve"> </w:t>
      </w:r>
      <w:r w:rsidR="00A07550" w:rsidRPr="00A23800">
        <w:rPr>
          <w:rFonts w:ascii="Calibri" w:hAnsi="Calibri"/>
          <w:color w:val="231F20"/>
          <w:w w:val="105"/>
        </w:rPr>
        <w:t>new</w:t>
      </w:r>
      <w:r w:rsidR="00A07550" w:rsidRPr="00DE31C3">
        <w:rPr>
          <w:rFonts w:ascii="Calibri" w:hAnsi="Calibri"/>
          <w:color w:val="231F20"/>
          <w:w w:val="105"/>
        </w:rPr>
        <w:t xml:space="preserve"> </w:t>
      </w:r>
      <w:r w:rsidR="00A07550" w:rsidRPr="00A23800">
        <w:rPr>
          <w:rFonts w:ascii="Calibri" w:hAnsi="Calibri"/>
          <w:color w:val="231F20"/>
          <w:w w:val="105"/>
        </w:rPr>
        <w:t>employees</w:t>
      </w:r>
      <w:r w:rsidR="00A07550" w:rsidRPr="00DE31C3">
        <w:rPr>
          <w:rFonts w:ascii="Calibri" w:hAnsi="Calibri"/>
          <w:color w:val="231F20"/>
          <w:w w:val="105"/>
        </w:rPr>
        <w:t xml:space="preserve"> </w:t>
      </w:r>
      <w:r w:rsidR="00A07550" w:rsidRPr="00A23800">
        <w:rPr>
          <w:rFonts w:ascii="Calibri" w:hAnsi="Calibri"/>
          <w:color w:val="231F20"/>
          <w:w w:val="105"/>
        </w:rPr>
        <w:t>need</w:t>
      </w:r>
      <w:r w:rsidR="00A07550" w:rsidRPr="00DE31C3">
        <w:rPr>
          <w:rFonts w:ascii="Calibri" w:hAnsi="Calibri"/>
          <w:color w:val="231F20"/>
          <w:w w:val="105"/>
        </w:rPr>
        <w:t xml:space="preserve"> </w:t>
      </w:r>
      <w:r w:rsidR="00A07550" w:rsidRPr="00A23800">
        <w:rPr>
          <w:rFonts w:ascii="Calibri" w:hAnsi="Calibri"/>
          <w:color w:val="231F20"/>
          <w:w w:val="105"/>
        </w:rPr>
        <w:t>connection,</w:t>
      </w:r>
      <w:r w:rsidR="00A07550" w:rsidRPr="00DE31C3">
        <w:rPr>
          <w:rFonts w:ascii="Calibri" w:hAnsi="Calibri"/>
          <w:color w:val="231F20"/>
          <w:w w:val="105"/>
        </w:rPr>
        <w:t xml:space="preserve"> </w:t>
      </w:r>
      <w:r w:rsidR="00A07550" w:rsidRPr="00A23800">
        <w:rPr>
          <w:rFonts w:ascii="Calibri" w:hAnsi="Calibri"/>
          <w:color w:val="231F20"/>
          <w:w w:val="105"/>
        </w:rPr>
        <w:t>a</w:t>
      </w:r>
      <w:r w:rsidR="00A07550" w:rsidRPr="00DE31C3">
        <w:rPr>
          <w:rFonts w:ascii="Calibri" w:hAnsi="Calibri"/>
          <w:color w:val="231F20"/>
          <w:w w:val="105"/>
        </w:rPr>
        <w:t xml:space="preserve"> </w:t>
      </w:r>
      <w:r w:rsidR="00A07550" w:rsidRPr="00A23800">
        <w:rPr>
          <w:rFonts w:ascii="Calibri" w:hAnsi="Calibri"/>
          <w:color w:val="231F20"/>
          <w:w w:val="105"/>
        </w:rPr>
        <w:t>sense</w:t>
      </w:r>
      <w:r w:rsidR="00A07550" w:rsidRPr="00DE31C3">
        <w:rPr>
          <w:rFonts w:ascii="Calibri" w:hAnsi="Calibri"/>
          <w:color w:val="231F20"/>
          <w:w w:val="105"/>
        </w:rPr>
        <w:t xml:space="preserve"> </w:t>
      </w:r>
      <w:r w:rsidR="00A07550" w:rsidRPr="00A23800">
        <w:rPr>
          <w:rFonts w:ascii="Calibri" w:hAnsi="Calibri"/>
          <w:color w:val="231F20"/>
          <w:w w:val="105"/>
        </w:rPr>
        <w:t>of</w:t>
      </w:r>
      <w:r w:rsidR="00A07550" w:rsidRPr="00DE31C3">
        <w:rPr>
          <w:rFonts w:ascii="Calibri" w:hAnsi="Calibri"/>
          <w:color w:val="231F20"/>
          <w:w w:val="105"/>
        </w:rPr>
        <w:t xml:space="preserve"> </w:t>
      </w:r>
      <w:r w:rsidR="00A07550" w:rsidRPr="00A23800">
        <w:rPr>
          <w:rFonts w:ascii="Calibri" w:hAnsi="Calibri"/>
          <w:color w:val="231F20"/>
          <w:w w:val="105"/>
        </w:rPr>
        <w:t>belonging,</w:t>
      </w:r>
      <w:r w:rsidR="00A07550" w:rsidRPr="00DE31C3">
        <w:rPr>
          <w:rFonts w:ascii="Calibri" w:hAnsi="Calibri"/>
          <w:color w:val="231F20"/>
          <w:w w:val="105"/>
        </w:rPr>
        <w:t xml:space="preserve"> </w:t>
      </w:r>
      <w:r w:rsidR="00A07550" w:rsidRPr="00A23800">
        <w:rPr>
          <w:rFonts w:ascii="Calibri" w:hAnsi="Calibri"/>
          <w:color w:val="231F20"/>
          <w:w w:val="105"/>
        </w:rPr>
        <w:t>a</w:t>
      </w:r>
      <w:r w:rsidR="00A07550" w:rsidRPr="00DE31C3">
        <w:rPr>
          <w:rFonts w:ascii="Calibri" w:hAnsi="Calibri"/>
          <w:color w:val="231F20"/>
          <w:w w:val="105"/>
        </w:rPr>
        <w:t xml:space="preserve"> </w:t>
      </w:r>
      <w:r w:rsidR="00A07550" w:rsidRPr="00A23800">
        <w:rPr>
          <w:rFonts w:ascii="Calibri" w:hAnsi="Calibri"/>
          <w:color w:val="231F20"/>
          <w:w w:val="105"/>
        </w:rPr>
        <w:t>sense</w:t>
      </w:r>
      <w:r w:rsidR="00A07550" w:rsidRPr="00DE31C3">
        <w:rPr>
          <w:rFonts w:ascii="Calibri" w:hAnsi="Calibri"/>
          <w:color w:val="231F20"/>
          <w:w w:val="105"/>
        </w:rPr>
        <w:t xml:space="preserve"> </w:t>
      </w:r>
      <w:r w:rsidR="00A07550" w:rsidRPr="00A23800">
        <w:rPr>
          <w:rFonts w:ascii="Calibri" w:hAnsi="Calibri"/>
          <w:color w:val="231F20"/>
          <w:w w:val="105"/>
        </w:rPr>
        <w:t>of</w:t>
      </w:r>
      <w:r w:rsidR="00A07550" w:rsidRPr="00DE31C3">
        <w:rPr>
          <w:rFonts w:ascii="Calibri" w:hAnsi="Calibri"/>
          <w:color w:val="231F20"/>
          <w:w w:val="105"/>
        </w:rPr>
        <w:t xml:space="preserve"> </w:t>
      </w:r>
      <w:r w:rsidR="00A07550" w:rsidRPr="00A23800">
        <w:rPr>
          <w:rFonts w:ascii="Calibri" w:hAnsi="Calibri"/>
          <w:color w:val="231F20"/>
          <w:w w:val="105"/>
        </w:rPr>
        <w:t>their</w:t>
      </w:r>
      <w:r w:rsidR="00A07550" w:rsidRPr="00DE31C3">
        <w:rPr>
          <w:rFonts w:ascii="Calibri" w:hAnsi="Calibri"/>
          <w:color w:val="231F20"/>
          <w:w w:val="105"/>
        </w:rPr>
        <w:t xml:space="preserve"> </w:t>
      </w:r>
      <w:r w:rsidR="00A07550" w:rsidRPr="00A23800">
        <w:rPr>
          <w:rFonts w:ascii="Calibri" w:hAnsi="Calibri"/>
          <w:color w:val="231F20"/>
          <w:w w:val="105"/>
        </w:rPr>
        <w:t>potential</w:t>
      </w:r>
      <w:r w:rsidR="00D5537E">
        <w:rPr>
          <w:rFonts w:ascii="Calibri" w:hAnsi="Calibri"/>
          <w:color w:val="231F20"/>
          <w:w w:val="105"/>
        </w:rPr>
        <w:t xml:space="preserve"> and</w:t>
      </w:r>
      <w:r w:rsidR="00A07550" w:rsidRPr="00DE31C3">
        <w:rPr>
          <w:rFonts w:ascii="Calibri" w:hAnsi="Calibri"/>
          <w:color w:val="231F20"/>
          <w:w w:val="105"/>
        </w:rPr>
        <w:t xml:space="preserve"> </w:t>
      </w:r>
      <w:r w:rsidR="00A07550" w:rsidRPr="00A23800">
        <w:rPr>
          <w:rFonts w:ascii="Calibri" w:hAnsi="Calibri"/>
          <w:color w:val="231F20"/>
          <w:w w:val="105"/>
        </w:rPr>
        <w:t>a</w:t>
      </w:r>
      <w:r w:rsidR="00A07550" w:rsidRPr="00DE31C3">
        <w:rPr>
          <w:rFonts w:ascii="Calibri" w:hAnsi="Calibri"/>
          <w:color w:val="231F20"/>
          <w:w w:val="105"/>
        </w:rPr>
        <w:t xml:space="preserve"> </w:t>
      </w:r>
      <w:r w:rsidR="00A07550" w:rsidRPr="00A23800">
        <w:rPr>
          <w:rFonts w:ascii="Calibri" w:hAnsi="Calibri"/>
          <w:color w:val="231F20"/>
          <w:w w:val="105"/>
        </w:rPr>
        <w:t>need</w:t>
      </w:r>
      <w:r w:rsidR="00A07550" w:rsidRPr="00DE31C3">
        <w:rPr>
          <w:rFonts w:ascii="Calibri" w:hAnsi="Calibri"/>
          <w:color w:val="231F20"/>
          <w:w w:val="105"/>
        </w:rPr>
        <w:t xml:space="preserve"> </w:t>
      </w:r>
      <w:r w:rsidR="00A07550" w:rsidRPr="00A23800">
        <w:rPr>
          <w:rFonts w:ascii="Calibri" w:hAnsi="Calibri"/>
          <w:color w:val="231F20"/>
          <w:w w:val="105"/>
        </w:rPr>
        <w:t>to</w:t>
      </w:r>
      <w:r w:rsidR="00A07550" w:rsidRPr="00DE31C3">
        <w:rPr>
          <w:rFonts w:ascii="Calibri" w:hAnsi="Calibri"/>
          <w:color w:val="231F20"/>
          <w:w w:val="105"/>
        </w:rPr>
        <w:t xml:space="preserve"> </w:t>
      </w:r>
      <w:r w:rsidR="00A07550" w:rsidRPr="00A23800">
        <w:rPr>
          <w:rFonts w:ascii="Calibri" w:hAnsi="Calibri"/>
          <w:color w:val="231F20"/>
          <w:w w:val="105"/>
        </w:rPr>
        <w:t>feel</w:t>
      </w:r>
      <w:r w:rsidR="00A07550" w:rsidRPr="00DE31C3">
        <w:rPr>
          <w:rFonts w:ascii="Calibri" w:hAnsi="Calibri"/>
          <w:color w:val="231F20"/>
          <w:w w:val="105"/>
        </w:rPr>
        <w:t xml:space="preserve"> </w:t>
      </w:r>
      <w:r w:rsidR="00A07550" w:rsidRPr="00A23800">
        <w:rPr>
          <w:rFonts w:ascii="Calibri" w:hAnsi="Calibri"/>
          <w:color w:val="231F20"/>
          <w:w w:val="105"/>
        </w:rPr>
        <w:t>valued,</w:t>
      </w:r>
      <w:r w:rsidR="00A07550" w:rsidRPr="00DE31C3">
        <w:rPr>
          <w:rFonts w:ascii="Calibri" w:hAnsi="Calibri"/>
          <w:color w:val="231F20"/>
          <w:w w:val="105"/>
        </w:rPr>
        <w:t xml:space="preserve"> </w:t>
      </w:r>
      <w:r w:rsidR="00A07550" w:rsidRPr="00A23800">
        <w:rPr>
          <w:rFonts w:ascii="Calibri" w:hAnsi="Calibri"/>
          <w:color w:val="231F20"/>
          <w:w w:val="105"/>
        </w:rPr>
        <w:t>OES worked with various sections within VR to create a Mentorship Program.</w:t>
      </w:r>
    </w:p>
    <w:p w14:paraId="2BF50924" w14:textId="5709B0C2" w:rsidR="00A07550" w:rsidRPr="00A23800" w:rsidRDefault="00A07550" w:rsidP="00D63204">
      <w:pPr>
        <w:widowControl w:val="0"/>
        <w:spacing w:before="195" w:after="0" w:line="240" w:lineRule="auto"/>
        <w:ind w:left="107"/>
        <w:rPr>
          <w:rFonts w:ascii="Calibri" w:hAnsi="Calibri"/>
        </w:rPr>
      </w:pPr>
      <w:r w:rsidRPr="00A23800">
        <w:rPr>
          <w:rFonts w:ascii="Calibri" w:hAnsi="Calibri"/>
          <w:color w:val="231F20"/>
          <w:w w:val="105"/>
        </w:rPr>
        <w:t>Mentors often play an important role in making new employees feel valued, developing coworker</w:t>
      </w:r>
      <w:r w:rsidRPr="00A23800">
        <w:rPr>
          <w:rFonts w:ascii="Calibri" w:hAnsi="Calibri"/>
          <w:color w:val="231F20"/>
          <w:spacing w:val="6"/>
          <w:w w:val="105"/>
        </w:rPr>
        <w:t xml:space="preserve"> </w:t>
      </w:r>
      <w:r w:rsidRPr="00A23800">
        <w:rPr>
          <w:rFonts w:ascii="Calibri" w:hAnsi="Calibri"/>
          <w:color w:val="231F20"/>
          <w:w w:val="105"/>
        </w:rPr>
        <w:t>relationships</w:t>
      </w:r>
      <w:r w:rsidR="00D5537E">
        <w:rPr>
          <w:rFonts w:ascii="Calibri" w:hAnsi="Calibri"/>
          <w:color w:val="231F20"/>
          <w:w w:val="105"/>
        </w:rPr>
        <w:t xml:space="preserve"> and</w:t>
      </w:r>
      <w:r w:rsidRPr="00A23800">
        <w:rPr>
          <w:rFonts w:ascii="Calibri" w:hAnsi="Calibri"/>
          <w:color w:val="231F20"/>
          <w:spacing w:val="8"/>
          <w:w w:val="105"/>
        </w:rPr>
        <w:t xml:space="preserve"> </w:t>
      </w:r>
      <w:r w:rsidRPr="00A23800">
        <w:rPr>
          <w:rFonts w:ascii="Calibri" w:hAnsi="Calibri"/>
          <w:color w:val="231F20"/>
          <w:w w:val="105"/>
        </w:rPr>
        <w:t>helping</w:t>
      </w:r>
      <w:r w:rsidRPr="00A23800">
        <w:rPr>
          <w:rFonts w:ascii="Calibri" w:hAnsi="Calibri"/>
          <w:color w:val="231F20"/>
          <w:spacing w:val="8"/>
          <w:w w:val="105"/>
        </w:rPr>
        <w:t xml:space="preserve"> </w:t>
      </w:r>
      <w:r w:rsidRPr="00A23800">
        <w:rPr>
          <w:rFonts w:ascii="Calibri" w:hAnsi="Calibri"/>
          <w:color w:val="231F20"/>
          <w:w w:val="105"/>
        </w:rPr>
        <w:t>new</w:t>
      </w:r>
      <w:r w:rsidRPr="00A23800">
        <w:rPr>
          <w:rFonts w:ascii="Calibri" w:hAnsi="Calibri"/>
          <w:color w:val="231F20"/>
          <w:spacing w:val="8"/>
          <w:w w:val="105"/>
        </w:rPr>
        <w:t xml:space="preserve"> </w:t>
      </w:r>
      <w:r w:rsidRPr="00A23800">
        <w:rPr>
          <w:rFonts w:ascii="Calibri" w:hAnsi="Calibri"/>
          <w:color w:val="231F20"/>
          <w:w w:val="105"/>
        </w:rPr>
        <w:t>employees</w:t>
      </w:r>
      <w:r w:rsidRPr="00A23800">
        <w:rPr>
          <w:rFonts w:ascii="Calibri" w:hAnsi="Calibri"/>
          <w:color w:val="231F20"/>
          <w:spacing w:val="8"/>
          <w:w w:val="105"/>
        </w:rPr>
        <w:t xml:space="preserve"> </w:t>
      </w:r>
      <w:r w:rsidRPr="00A23800">
        <w:rPr>
          <w:rFonts w:ascii="Calibri" w:hAnsi="Calibri"/>
          <w:color w:val="231F20"/>
          <w:w w:val="105"/>
        </w:rPr>
        <w:t>feel</w:t>
      </w:r>
      <w:r w:rsidRPr="00A23800">
        <w:rPr>
          <w:rFonts w:ascii="Calibri" w:hAnsi="Calibri"/>
          <w:color w:val="231F20"/>
          <w:spacing w:val="8"/>
          <w:w w:val="105"/>
        </w:rPr>
        <w:t xml:space="preserve"> </w:t>
      </w:r>
      <w:r w:rsidRPr="00A23800">
        <w:rPr>
          <w:rFonts w:ascii="Calibri" w:hAnsi="Calibri"/>
          <w:color w:val="231F20"/>
          <w:w w:val="105"/>
        </w:rPr>
        <w:t>comfortable</w:t>
      </w:r>
      <w:r w:rsidRPr="00A23800">
        <w:rPr>
          <w:rFonts w:ascii="Calibri" w:hAnsi="Calibri"/>
          <w:color w:val="231F20"/>
          <w:spacing w:val="8"/>
          <w:w w:val="105"/>
        </w:rPr>
        <w:t xml:space="preserve"> </w:t>
      </w:r>
      <w:r w:rsidRPr="00A23800">
        <w:rPr>
          <w:rFonts w:ascii="Calibri" w:hAnsi="Calibri"/>
          <w:color w:val="231F20"/>
          <w:w w:val="105"/>
        </w:rPr>
        <w:t>during</w:t>
      </w:r>
      <w:r w:rsidRPr="00A23800">
        <w:rPr>
          <w:rFonts w:ascii="Calibri" w:hAnsi="Calibri"/>
          <w:color w:val="231F20"/>
          <w:spacing w:val="8"/>
          <w:w w:val="105"/>
        </w:rPr>
        <w:t xml:space="preserve"> </w:t>
      </w:r>
      <w:r w:rsidRPr="00A23800">
        <w:rPr>
          <w:rFonts w:ascii="Calibri" w:hAnsi="Calibri"/>
          <w:color w:val="231F20"/>
          <w:w w:val="105"/>
        </w:rPr>
        <w:t>the</w:t>
      </w:r>
      <w:r w:rsidRPr="00A23800">
        <w:rPr>
          <w:rFonts w:ascii="Calibri" w:hAnsi="Calibri"/>
          <w:color w:val="231F20"/>
          <w:spacing w:val="8"/>
          <w:w w:val="105"/>
        </w:rPr>
        <w:t xml:space="preserve"> </w:t>
      </w:r>
      <w:r w:rsidRPr="00A23800">
        <w:rPr>
          <w:rFonts w:ascii="Calibri" w:hAnsi="Calibri"/>
          <w:color w:val="231F20"/>
          <w:w w:val="105"/>
        </w:rPr>
        <w:t>first</w:t>
      </w:r>
      <w:r w:rsidRPr="00A23800">
        <w:rPr>
          <w:rFonts w:ascii="Calibri" w:hAnsi="Calibri"/>
          <w:color w:val="231F20"/>
          <w:spacing w:val="8"/>
          <w:w w:val="105"/>
        </w:rPr>
        <w:t xml:space="preserve"> </w:t>
      </w:r>
      <w:r w:rsidRPr="00A23800">
        <w:rPr>
          <w:rFonts w:ascii="Calibri" w:hAnsi="Calibri"/>
          <w:color w:val="231F20"/>
          <w:w w:val="105"/>
        </w:rPr>
        <w:t>few</w:t>
      </w:r>
      <w:r w:rsidRPr="00A23800">
        <w:rPr>
          <w:rFonts w:ascii="Calibri" w:hAnsi="Calibri"/>
          <w:color w:val="231F20"/>
          <w:spacing w:val="8"/>
          <w:w w:val="105"/>
        </w:rPr>
        <w:t xml:space="preserve"> </w:t>
      </w:r>
      <w:r w:rsidRPr="00A23800">
        <w:rPr>
          <w:rFonts w:ascii="Calibri" w:hAnsi="Calibri"/>
          <w:color w:val="231F20"/>
          <w:w w:val="105"/>
        </w:rPr>
        <w:t>months</w:t>
      </w:r>
      <w:r w:rsidRPr="00A23800">
        <w:rPr>
          <w:rFonts w:ascii="Calibri" w:hAnsi="Calibri"/>
          <w:color w:val="231F20"/>
          <w:spacing w:val="8"/>
          <w:w w:val="105"/>
        </w:rPr>
        <w:t xml:space="preserve"> </w:t>
      </w:r>
      <w:r w:rsidRPr="00A23800">
        <w:rPr>
          <w:rFonts w:ascii="Calibri" w:hAnsi="Calibri"/>
          <w:color w:val="231F20"/>
          <w:w w:val="105"/>
        </w:rPr>
        <w:t>of</w:t>
      </w:r>
      <w:r w:rsidRPr="00A23800">
        <w:rPr>
          <w:rFonts w:ascii="Calibri" w:hAnsi="Calibri"/>
          <w:color w:val="231F20"/>
          <w:spacing w:val="8"/>
          <w:w w:val="105"/>
        </w:rPr>
        <w:t xml:space="preserve"> </w:t>
      </w:r>
      <w:r w:rsidRPr="00A23800">
        <w:rPr>
          <w:rFonts w:ascii="Calibri" w:hAnsi="Calibri"/>
          <w:color w:val="231F20"/>
          <w:w w:val="105"/>
        </w:rPr>
        <w:t>employment.</w:t>
      </w:r>
      <w:r w:rsidRPr="00A23800">
        <w:rPr>
          <w:rFonts w:ascii="Calibri" w:hAnsi="Calibri"/>
          <w:color w:val="231F20"/>
          <w:spacing w:val="-43"/>
          <w:w w:val="105"/>
        </w:rPr>
        <w:t xml:space="preserve"> </w:t>
      </w:r>
      <w:r w:rsidR="00DE31C3">
        <w:rPr>
          <w:rFonts w:ascii="Calibri" w:hAnsi="Calibri"/>
          <w:color w:val="231F20"/>
          <w:spacing w:val="-43"/>
          <w:w w:val="105"/>
        </w:rPr>
        <w:t xml:space="preserve"> </w:t>
      </w:r>
      <w:r w:rsidRPr="00A23800">
        <w:rPr>
          <w:rFonts w:ascii="Calibri" w:hAnsi="Calibri"/>
          <w:color w:val="231F20"/>
          <w:w w:val="105"/>
        </w:rPr>
        <w:t>Each</w:t>
      </w:r>
      <w:r w:rsidRPr="00A23800">
        <w:rPr>
          <w:rFonts w:ascii="Calibri" w:hAnsi="Calibri"/>
          <w:color w:val="231F20"/>
          <w:spacing w:val="8"/>
          <w:w w:val="105"/>
        </w:rPr>
        <w:t xml:space="preserve"> </w:t>
      </w:r>
      <w:r w:rsidRPr="00A23800">
        <w:rPr>
          <w:rFonts w:ascii="Calibri" w:hAnsi="Calibri"/>
          <w:color w:val="231F20"/>
          <w:w w:val="105"/>
        </w:rPr>
        <w:t>new</w:t>
      </w:r>
      <w:r w:rsidRPr="00A23800">
        <w:rPr>
          <w:rFonts w:ascii="Calibri" w:hAnsi="Calibri"/>
          <w:color w:val="231F20"/>
          <w:spacing w:val="8"/>
          <w:w w:val="105"/>
        </w:rPr>
        <w:t xml:space="preserve"> </w:t>
      </w:r>
      <w:r w:rsidRPr="00A23800">
        <w:rPr>
          <w:rFonts w:ascii="Calibri" w:hAnsi="Calibri"/>
          <w:color w:val="231F20"/>
          <w:w w:val="105"/>
        </w:rPr>
        <w:t>employee,</w:t>
      </w:r>
      <w:r w:rsidRPr="00A23800">
        <w:rPr>
          <w:rFonts w:ascii="Calibri" w:hAnsi="Calibri"/>
          <w:color w:val="231F20"/>
          <w:spacing w:val="8"/>
          <w:w w:val="105"/>
        </w:rPr>
        <w:t xml:space="preserve"> </w:t>
      </w:r>
      <w:r w:rsidRPr="00A23800">
        <w:rPr>
          <w:rFonts w:ascii="Calibri" w:hAnsi="Calibri"/>
          <w:color w:val="231F20"/>
          <w:w w:val="105"/>
        </w:rPr>
        <w:t>or</w:t>
      </w:r>
      <w:r w:rsidRPr="00A23800">
        <w:rPr>
          <w:rFonts w:ascii="Calibri" w:hAnsi="Calibri"/>
          <w:color w:val="231F20"/>
          <w:spacing w:val="8"/>
          <w:w w:val="105"/>
        </w:rPr>
        <w:t xml:space="preserve"> </w:t>
      </w:r>
      <w:r w:rsidRPr="00A23800">
        <w:rPr>
          <w:rFonts w:ascii="Calibri" w:hAnsi="Calibri"/>
          <w:color w:val="231F20"/>
          <w:w w:val="105"/>
        </w:rPr>
        <w:t>protégé,</w:t>
      </w:r>
      <w:r w:rsidRPr="00A23800">
        <w:rPr>
          <w:rFonts w:ascii="Calibri" w:hAnsi="Calibri"/>
          <w:color w:val="231F20"/>
          <w:spacing w:val="8"/>
          <w:w w:val="105"/>
        </w:rPr>
        <w:t xml:space="preserve"> </w:t>
      </w:r>
      <w:r w:rsidRPr="00A23800">
        <w:rPr>
          <w:rFonts w:ascii="Calibri" w:hAnsi="Calibri"/>
          <w:color w:val="231F20"/>
          <w:w w:val="105"/>
        </w:rPr>
        <w:t>will</w:t>
      </w:r>
      <w:r w:rsidRPr="00A23800">
        <w:rPr>
          <w:rFonts w:ascii="Calibri" w:hAnsi="Calibri"/>
          <w:color w:val="231F20"/>
          <w:spacing w:val="8"/>
          <w:w w:val="105"/>
        </w:rPr>
        <w:t xml:space="preserve"> </w:t>
      </w:r>
      <w:r w:rsidRPr="00A23800">
        <w:rPr>
          <w:rFonts w:ascii="Calibri" w:hAnsi="Calibri"/>
          <w:color w:val="231F20"/>
          <w:w w:val="105"/>
        </w:rPr>
        <w:t>be</w:t>
      </w:r>
      <w:r w:rsidRPr="00A23800">
        <w:rPr>
          <w:rFonts w:ascii="Calibri" w:hAnsi="Calibri"/>
          <w:color w:val="231F20"/>
          <w:spacing w:val="8"/>
          <w:w w:val="105"/>
        </w:rPr>
        <w:t xml:space="preserve"> </w:t>
      </w:r>
      <w:r w:rsidRPr="00A23800">
        <w:rPr>
          <w:rFonts w:ascii="Calibri" w:hAnsi="Calibri"/>
          <w:color w:val="231F20"/>
          <w:w w:val="105"/>
        </w:rPr>
        <w:t>assigned</w:t>
      </w:r>
      <w:r w:rsidRPr="00A23800">
        <w:rPr>
          <w:rFonts w:ascii="Calibri" w:hAnsi="Calibri"/>
          <w:color w:val="231F20"/>
          <w:spacing w:val="8"/>
          <w:w w:val="105"/>
        </w:rPr>
        <w:t xml:space="preserve"> </w:t>
      </w:r>
      <w:r w:rsidRPr="00A23800">
        <w:rPr>
          <w:rFonts w:ascii="Calibri" w:hAnsi="Calibri"/>
          <w:color w:val="231F20"/>
          <w:w w:val="105"/>
        </w:rPr>
        <w:t>to</w:t>
      </w:r>
      <w:r w:rsidRPr="00A23800">
        <w:rPr>
          <w:rFonts w:ascii="Calibri" w:hAnsi="Calibri"/>
          <w:color w:val="231F20"/>
          <w:spacing w:val="8"/>
          <w:w w:val="105"/>
        </w:rPr>
        <w:t xml:space="preserve"> </w:t>
      </w:r>
      <w:r w:rsidRPr="00A23800">
        <w:rPr>
          <w:rFonts w:ascii="Calibri" w:hAnsi="Calibri"/>
          <w:color w:val="231F20"/>
          <w:w w:val="105"/>
        </w:rPr>
        <w:t>a</w:t>
      </w:r>
      <w:r w:rsidRPr="00A23800">
        <w:rPr>
          <w:rFonts w:ascii="Calibri" w:hAnsi="Calibri"/>
          <w:color w:val="231F20"/>
          <w:spacing w:val="8"/>
          <w:w w:val="105"/>
        </w:rPr>
        <w:t xml:space="preserve"> </w:t>
      </w:r>
      <w:r w:rsidRPr="00A23800">
        <w:rPr>
          <w:rFonts w:ascii="Calibri" w:hAnsi="Calibri"/>
          <w:color w:val="231F20"/>
          <w:w w:val="105"/>
        </w:rPr>
        <w:t>mentor</w:t>
      </w:r>
      <w:r w:rsidRPr="00A23800">
        <w:rPr>
          <w:rFonts w:ascii="Calibri" w:hAnsi="Calibri"/>
          <w:color w:val="231F20"/>
          <w:spacing w:val="8"/>
          <w:w w:val="105"/>
        </w:rPr>
        <w:t xml:space="preserve"> </w:t>
      </w:r>
      <w:r w:rsidRPr="00A23800">
        <w:rPr>
          <w:rFonts w:ascii="Calibri" w:hAnsi="Calibri"/>
          <w:color w:val="231F20"/>
          <w:w w:val="105"/>
        </w:rPr>
        <w:t>for</w:t>
      </w:r>
      <w:r w:rsidRPr="00A23800">
        <w:rPr>
          <w:rFonts w:ascii="Calibri" w:hAnsi="Calibri"/>
          <w:color w:val="231F20"/>
          <w:spacing w:val="8"/>
          <w:w w:val="105"/>
        </w:rPr>
        <w:t xml:space="preserve"> </w:t>
      </w:r>
      <w:r w:rsidRPr="00A23800">
        <w:rPr>
          <w:rFonts w:ascii="Calibri" w:hAnsi="Calibri"/>
          <w:color w:val="231F20"/>
          <w:w w:val="105"/>
        </w:rPr>
        <w:t>a</w:t>
      </w:r>
      <w:r w:rsidRPr="00A23800">
        <w:rPr>
          <w:rFonts w:ascii="Calibri" w:hAnsi="Calibri"/>
          <w:color w:val="231F20"/>
          <w:spacing w:val="8"/>
          <w:w w:val="105"/>
        </w:rPr>
        <w:t xml:space="preserve"> </w:t>
      </w:r>
      <w:r w:rsidRPr="00A23800">
        <w:rPr>
          <w:rFonts w:ascii="Calibri" w:hAnsi="Calibri"/>
          <w:color w:val="231F20"/>
          <w:w w:val="105"/>
        </w:rPr>
        <w:t>period</w:t>
      </w:r>
      <w:r w:rsidRPr="00A23800">
        <w:rPr>
          <w:rFonts w:ascii="Calibri" w:hAnsi="Calibri"/>
          <w:color w:val="231F20"/>
          <w:spacing w:val="8"/>
          <w:w w:val="105"/>
        </w:rPr>
        <w:t xml:space="preserve"> </w:t>
      </w:r>
      <w:r w:rsidRPr="00A23800">
        <w:rPr>
          <w:rFonts w:ascii="Calibri" w:hAnsi="Calibri"/>
          <w:color w:val="231F20"/>
          <w:w w:val="105"/>
        </w:rPr>
        <w:t>of</w:t>
      </w:r>
      <w:r w:rsidRPr="00A23800">
        <w:rPr>
          <w:rFonts w:ascii="Calibri" w:hAnsi="Calibri"/>
          <w:color w:val="231F20"/>
          <w:spacing w:val="8"/>
          <w:w w:val="105"/>
        </w:rPr>
        <w:t xml:space="preserve"> </w:t>
      </w:r>
      <w:r w:rsidRPr="00A23800">
        <w:rPr>
          <w:rFonts w:ascii="Calibri" w:hAnsi="Calibri"/>
          <w:color w:val="231F20"/>
          <w:w w:val="105"/>
        </w:rPr>
        <w:t>up</w:t>
      </w:r>
      <w:r w:rsidRPr="00A23800">
        <w:rPr>
          <w:rFonts w:ascii="Calibri" w:hAnsi="Calibri"/>
          <w:color w:val="231F20"/>
          <w:spacing w:val="8"/>
          <w:w w:val="105"/>
        </w:rPr>
        <w:t xml:space="preserve"> </w:t>
      </w:r>
      <w:r w:rsidRPr="00A23800">
        <w:rPr>
          <w:rFonts w:ascii="Calibri" w:hAnsi="Calibri"/>
          <w:color w:val="231F20"/>
          <w:w w:val="105"/>
        </w:rPr>
        <w:t>to</w:t>
      </w:r>
      <w:r w:rsidRPr="00A23800">
        <w:rPr>
          <w:rFonts w:ascii="Calibri" w:hAnsi="Calibri"/>
          <w:color w:val="231F20"/>
          <w:spacing w:val="8"/>
          <w:w w:val="105"/>
        </w:rPr>
        <w:t xml:space="preserve"> </w:t>
      </w:r>
      <w:r w:rsidRPr="00A23800">
        <w:rPr>
          <w:rFonts w:ascii="Calibri" w:hAnsi="Calibri"/>
          <w:color w:val="231F20"/>
          <w:w w:val="105"/>
        </w:rPr>
        <w:t>a</w:t>
      </w:r>
      <w:r w:rsidRPr="00A23800">
        <w:rPr>
          <w:rFonts w:ascii="Calibri" w:hAnsi="Calibri"/>
          <w:color w:val="231F20"/>
          <w:spacing w:val="8"/>
          <w:w w:val="105"/>
        </w:rPr>
        <w:t xml:space="preserve"> </w:t>
      </w:r>
      <w:r w:rsidRPr="00A23800">
        <w:rPr>
          <w:rFonts w:ascii="Calibri" w:hAnsi="Calibri"/>
          <w:color w:val="231F20"/>
          <w:spacing w:val="-4"/>
          <w:w w:val="105"/>
        </w:rPr>
        <w:t>year.</w:t>
      </w:r>
      <w:r w:rsidRPr="00A23800">
        <w:rPr>
          <w:rFonts w:ascii="Calibri" w:hAnsi="Calibri"/>
          <w:color w:val="231F20"/>
          <w:spacing w:val="8"/>
          <w:w w:val="105"/>
        </w:rPr>
        <w:t xml:space="preserve"> </w:t>
      </w:r>
      <w:r w:rsidRPr="00A23800">
        <w:rPr>
          <w:rFonts w:ascii="Calibri" w:hAnsi="Calibri"/>
          <w:color w:val="231F20"/>
          <w:w w:val="105"/>
        </w:rPr>
        <w:t>No</w:t>
      </w:r>
      <w:r w:rsidRPr="00A23800">
        <w:rPr>
          <w:rFonts w:ascii="Calibri" w:hAnsi="Calibri"/>
          <w:color w:val="231F20"/>
          <w:spacing w:val="8"/>
          <w:w w:val="105"/>
        </w:rPr>
        <w:t xml:space="preserve"> </w:t>
      </w:r>
      <w:r w:rsidRPr="00A23800">
        <w:rPr>
          <w:rFonts w:ascii="Calibri" w:hAnsi="Calibri"/>
          <w:color w:val="231F20"/>
          <w:w w:val="105"/>
        </w:rPr>
        <w:t>mentor</w:t>
      </w:r>
      <w:r w:rsidRPr="00A23800">
        <w:rPr>
          <w:rFonts w:ascii="Calibri" w:hAnsi="Calibri"/>
          <w:color w:val="231F20"/>
          <w:spacing w:val="8"/>
          <w:w w:val="105"/>
        </w:rPr>
        <w:t xml:space="preserve"> </w:t>
      </w:r>
      <w:r w:rsidRPr="00A23800">
        <w:rPr>
          <w:rFonts w:ascii="Calibri" w:hAnsi="Calibri"/>
          <w:color w:val="231F20"/>
          <w:w w:val="105"/>
        </w:rPr>
        <w:t>will</w:t>
      </w:r>
      <w:r w:rsidRPr="00A23800">
        <w:rPr>
          <w:rFonts w:ascii="Calibri" w:hAnsi="Calibri"/>
          <w:color w:val="231F20"/>
        </w:rPr>
        <w:t xml:space="preserve"> </w:t>
      </w:r>
      <w:r w:rsidRPr="00A23800">
        <w:rPr>
          <w:rFonts w:ascii="Calibri" w:hAnsi="Calibri"/>
          <w:color w:val="231F20"/>
          <w:w w:val="105"/>
        </w:rPr>
        <w:t>be assigned to more than two active protégés at any one time.</w:t>
      </w:r>
    </w:p>
    <w:p w14:paraId="726C8078" w14:textId="77777777" w:rsidR="00A07550" w:rsidRPr="00A23800" w:rsidRDefault="00A07550" w:rsidP="00D63204">
      <w:pPr>
        <w:widowControl w:val="0"/>
        <w:spacing w:before="5" w:after="0" w:line="240" w:lineRule="auto"/>
        <w:ind w:left="107"/>
        <w:rPr>
          <w:rFonts w:ascii="Calibri" w:hAnsi="Calibri" w:cs="Calibri"/>
          <w:sz w:val="16"/>
          <w:szCs w:val="16"/>
        </w:rPr>
      </w:pPr>
    </w:p>
    <w:p w14:paraId="0055FDDE" w14:textId="58A1A800" w:rsidR="00A07550" w:rsidRPr="00A23800" w:rsidRDefault="00A07550" w:rsidP="00D63204">
      <w:pPr>
        <w:widowControl w:val="0"/>
        <w:spacing w:after="0" w:line="240" w:lineRule="auto"/>
        <w:ind w:left="107"/>
        <w:rPr>
          <w:rFonts w:ascii="Calibri" w:hAnsi="Calibri" w:cs="Calibri"/>
          <w:sz w:val="16"/>
          <w:szCs w:val="16"/>
        </w:rPr>
      </w:pPr>
      <w:r w:rsidRPr="00A23800">
        <w:rPr>
          <w:rFonts w:ascii="Calibri" w:hAnsi="Calibri"/>
          <w:color w:val="231F20"/>
          <w:w w:val="105"/>
        </w:rPr>
        <w:t>The</w:t>
      </w:r>
      <w:r w:rsidRPr="00A23800">
        <w:rPr>
          <w:rFonts w:ascii="Calibri" w:hAnsi="Calibri"/>
          <w:color w:val="231F20"/>
          <w:spacing w:val="10"/>
          <w:w w:val="105"/>
        </w:rPr>
        <w:t xml:space="preserve"> </w:t>
      </w:r>
      <w:r w:rsidRPr="00A23800">
        <w:rPr>
          <w:rFonts w:ascii="Calibri" w:hAnsi="Calibri"/>
          <w:color w:val="231F20"/>
          <w:w w:val="105"/>
        </w:rPr>
        <w:t>Mentorship</w:t>
      </w:r>
      <w:r w:rsidRPr="00A23800">
        <w:rPr>
          <w:rFonts w:ascii="Calibri" w:hAnsi="Calibri"/>
          <w:color w:val="231F20"/>
          <w:spacing w:val="10"/>
          <w:w w:val="105"/>
        </w:rPr>
        <w:t xml:space="preserve"> </w:t>
      </w:r>
      <w:r w:rsidRPr="00A23800">
        <w:rPr>
          <w:rFonts w:ascii="Calibri" w:hAnsi="Calibri"/>
          <w:color w:val="231F20"/>
          <w:w w:val="105"/>
        </w:rPr>
        <w:t>Program</w:t>
      </w:r>
      <w:r w:rsidRPr="00A23800">
        <w:rPr>
          <w:rFonts w:ascii="Calibri" w:hAnsi="Calibri"/>
          <w:color w:val="231F20"/>
          <w:spacing w:val="10"/>
          <w:w w:val="105"/>
        </w:rPr>
        <w:t xml:space="preserve"> </w:t>
      </w:r>
      <w:r w:rsidRPr="00A23800">
        <w:rPr>
          <w:rFonts w:ascii="Calibri" w:hAnsi="Calibri"/>
          <w:color w:val="231F20"/>
          <w:w w:val="105"/>
        </w:rPr>
        <w:t>is</w:t>
      </w:r>
      <w:r w:rsidRPr="00A23800">
        <w:rPr>
          <w:rFonts w:ascii="Calibri" w:hAnsi="Calibri"/>
          <w:color w:val="231F20"/>
          <w:spacing w:val="10"/>
          <w:w w:val="105"/>
        </w:rPr>
        <w:t xml:space="preserve"> </w:t>
      </w:r>
      <w:r w:rsidRPr="00A23800">
        <w:rPr>
          <w:rFonts w:ascii="Calibri" w:hAnsi="Calibri"/>
          <w:color w:val="231F20"/>
          <w:w w:val="105"/>
        </w:rPr>
        <w:t>composed</w:t>
      </w:r>
      <w:r w:rsidRPr="00A23800">
        <w:rPr>
          <w:rFonts w:ascii="Calibri" w:hAnsi="Calibri"/>
          <w:color w:val="231F20"/>
          <w:spacing w:val="10"/>
          <w:w w:val="105"/>
        </w:rPr>
        <w:t xml:space="preserve"> </w:t>
      </w:r>
      <w:r w:rsidRPr="00A23800">
        <w:rPr>
          <w:rFonts w:ascii="Calibri" w:hAnsi="Calibri"/>
          <w:color w:val="231F20"/>
          <w:w w:val="105"/>
        </w:rPr>
        <w:t>of</w:t>
      </w:r>
      <w:r w:rsidRPr="00A23800">
        <w:rPr>
          <w:rFonts w:ascii="Calibri" w:hAnsi="Calibri"/>
          <w:color w:val="231F20"/>
          <w:spacing w:val="10"/>
          <w:w w:val="105"/>
        </w:rPr>
        <w:t xml:space="preserve"> </w:t>
      </w:r>
      <w:r w:rsidRPr="00A23800">
        <w:rPr>
          <w:rFonts w:ascii="Calibri" w:hAnsi="Calibri"/>
          <w:color w:val="231F20"/>
          <w:w w:val="105"/>
        </w:rPr>
        <w:t>two</w:t>
      </w:r>
      <w:r w:rsidRPr="00A23800">
        <w:rPr>
          <w:rFonts w:ascii="Calibri" w:hAnsi="Calibri"/>
          <w:color w:val="231F20"/>
          <w:spacing w:val="10"/>
          <w:w w:val="105"/>
        </w:rPr>
        <w:t xml:space="preserve"> </w:t>
      </w:r>
      <w:r w:rsidRPr="00A23800">
        <w:rPr>
          <w:rFonts w:ascii="Calibri" w:hAnsi="Calibri"/>
          <w:color w:val="231F20"/>
          <w:w w:val="105"/>
        </w:rPr>
        <w:t>parts.</w:t>
      </w:r>
      <w:r w:rsidRPr="00A23800">
        <w:rPr>
          <w:rFonts w:ascii="Calibri" w:hAnsi="Calibri"/>
          <w:color w:val="231F20"/>
          <w:spacing w:val="10"/>
          <w:w w:val="105"/>
        </w:rPr>
        <w:t xml:space="preserve"> </w:t>
      </w:r>
      <w:r w:rsidRPr="00A23800">
        <w:rPr>
          <w:rFonts w:ascii="Calibri" w:hAnsi="Calibri"/>
          <w:color w:val="231F20"/>
          <w:w w:val="105"/>
        </w:rPr>
        <w:t>The</w:t>
      </w:r>
      <w:r w:rsidRPr="00A23800">
        <w:rPr>
          <w:rFonts w:ascii="Calibri" w:hAnsi="Calibri"/>
          <w:color w:val="231F20"/>
          <w:spacing w:val="10"/>
          <w:w w:val="105"/>
        </w:rPr>
        <w:t xml:space="preserve"> </w:t>
      </w:r>
      <w:r w:rsidRPr="00A23800">
        <w:rPr>
          <w:rFonts w:ascii="Calibri" w:hAnsi="Calibri"/>
          <w:color w:val="231F20"/>
          <w:w w:val="105"/>
        </w:rPr>
        <w:t>first</w:t>
      </w:r>
      <w:r w:rsidRPr="00A23800">
        <w:rPr>
          <w:rFonts w:ascii="Calibri" w:hAnsi="Calibri"/>
          <w:color w:val="231F20"/>
          <w:spacing w:val="10"/>
          <w:w w:val="105"/>
        </w:rPr>
        <w:t xml:space="preserve"> </w:t>
      </w:r>
      <w:r w:rsidRPr="00A23800">
        <w:rPr>
          <w:rFonts w:ascii="Calibri" w:hAnsi="Calibri"/>
          <w:color w:val="231F20"/>
          <w:w w:val="105"/>
        </w:rPr>
        <w:t>is</w:t>
      </w:r>
      <w:r w:rsidRPr="00A23800">
        <w:rPr>
          <w:rFonts w:ascii="Calibri" w:hAnsi="Calibri"/>
          <w:color w:val="231F20"/>
          <w:spacing w:val="10"/>
          <w:w w:val="105"/>
        </w:rPr>
        <w:t xml:space="preserve"> </w:t>
      </w:r>
      <w:r w:rsidRPr="00A23800">
        <w:rPr>
          <w:rFonts w:ascii="Calibri" w:hAnsi="Calibri"/>
          <w:color w:val="231F20"/>
          <w:w w:val="105"/>
        </w:rPr>
        <w:t>a</w:t>
      </w:r>
      <w:r w:rsidRPr="00A23800">
        <w:rPr>
          <w:rFonts w:ascii="Calibri" w:hAnsi="Calibri"/>
          <w:color w:val="231F20"/>
          <w:spacing w:val="10"/>
          <w:w w:val="105"/>
        </w:rPr>
        <w:t xml:space="preserve"> </w:t>
      </w:r>
      <w:r w:rsidRPr="00A23800">
        <w:rPr>
          <w:rFonts w:ascii="Calibri" w:hAnsi="Calibri"/>
          <w:color w:val="231F20"/>
          <w:w w:val="105"/>
        </w:rPr>
        <w:t>comprehensive</w:t>
      </w:r>
      <w:r w:rsidRPr="00A23800">
        <w:rPr>
          <w:rFonts w:ascii="Calibri" w:hAnsi="Calibri"/>
          <w:color w:val="231F20"/>
          <w:spacing w:val="10"/>
          <w:w w:val="105"/>
        </w:rPr>
        <w:t xml:space="preserve"> </w:t>
      </w:r>
      <w:r w:rsidRPr="00A23800">
        <w:rPr>
          <w:rFonts w:ascii="Calibri" w:hAnsi="Calibri"/>
          <w:color w:val="231F20"/>
          <w:w w:val="105"/>
        </w:rPr>
        <w:t>information</w:t>
      </w:r>
      <w:r w:rsidRPr="00A23800">
        <w:rPr>
          <w:rFonts w:ascii="Calibri" w:hAnsi="Calibri"/>
          <w:color w:val="231F20"/>
          <w:spacing w:val="10"/>
          <w:w w:val="105"/>
        </w:rPr>
        <w:t xml:space="preserve"> </w:t>
      </w:r>
      <w:r w:rsidRPr="00A23800">
        <w:rPr>
          <w:rFonts w:ascii="Calibri" w:hAnsi="Calibri"/>
          <w:color w:val="231F20"/>
          <w:w w:val="105"/>
        </w:rPr>
        <w:t>resource</w:t>
      </w:r>
      <w:r w:rsidRPr="00A23800">
        <w:rPr>
          <w:rFonts w:ascii="Calibri" w:hAnsi="Calibri"/>
          <w:color w:val="231F20"/>
          <w:spacing w:val="-25"/>
          <w:w w:val="105"/>
        </w:rPr>
        <w:t xml:space="preserve"> </w:t>
      </w:r>
      <w:r w:rsidRPr="00A23800">
        <w:rPr>
          <w:rFonts w:ascii="Calibri" w:hAnsi="Calibri"/>
          <w:color w:val="231F20"/>
          <w:w w:val="105"/>
        </w:rPr>
        <w:t>site delivered through SharePoint. The site has information specific to mentors, protégés, Subject</w:t>
      </w:r>
      <w:r w:rsidRPr="00A23800">
        <w:rPr>
          <w:rFonts w:ascii="Calibri" w:hAnsi="Calibri"/>
          <w:color w:val="231F20"/>
          <w:spacing w:val="49"/>
          <w:w w:val="105"/>
        </w:rPr>
        <w:t xml:space="preserve"> </w:t>
      </w:r>
      <w:r w:rsidRPr="00A23800">
        <w:rPr>
          <w:rFonts w:ascii="Calibri" w:hAnsi="Calibri"/>
          <w:color w:val="231F20"/>
          <w:w w:val="105"/>
        </w:rPr>
        <w:t>Matter</w:t>
      </w:r>
      <w:r w:rsidRPr="00A23800">
        <w:rPr>
          <w:rFonts w:ascii="Calibri" w:hAnsi="Calibri"/>
          <w:color w:val="231F20"/>
          <w:w w:val="98"/>
        </w:rPr>
        <w:t xml:space="preserve"> </w:t>
      </w:r>
      <w:r w:rsidRPr="00A23800">
        <w:rPr>
          <w:rFonts w:ascii="Calibri" w:hAnsi="Calibri"/>
          <w:color w:val="231F20"/>
          <w:w w:val="105"/>
        </w:rPr>
        <w:t>Experts</w:t>
      </w:r>
      <w:r w:rsidRPr="00A23800">
        <w:rPr>
          <w:rFonts w:ascii="Calibri" w:hAnsi="Calibri"/>
          <w:color w:val="231F20"/>
          <w:spacing w:val="15"/>
          <w:w w:val="105"/>
        </w:rPr>
        <w:t xml:space="preserve"> </w:t>
      </w:r>
      <w:r w:rsidRPr="00A23800">
        <w:rPr>
          <w:rFonts w:ascii="Calibri" w:hAnsi="Calibri"/>
          <w:color w:val="231F20"/>
          <w:w w:val="105"/>
        </w:rPr>
        <w:t>(SMEs)</w:t>
      </w:r>
      <w:r w:rsidR="00D5537E">
        <w:rPr>
          <w:rFonts w:ascii="Calibri" w:hAnsi="Calibri"/>
          <w:color w:val="231F20"/>
          <w:w w:val="105"/>
        </w:rPr>
        <w:t xml:space="preserve"> and</w:t>
      </w:r>
      <w:r w:rsidRPr="00A23800">
        <w:rPr>
          <w:rFonts w:ascii="Calibri" w:hAnsi="Calibri"/>
          <w:color w:val="231F20"/>
          <w:spacing w:val="15"/>
          <w:w w:val="105"/>
        </w:rPr>
        <w:t xml:space="preserve"> </w:t>
      </w:r>
      <w:r w:rsidRPr="00A23800">
        <w:rPr>
          <w:rFonts w:ascii="Calibri" w:hAnsi="Calibri"/>
          <w:color w:val="231F20"/>
          <w:w w:val="105"/>
        </w:rPr>
        <w:t>supervisors.</w:t>
      </w:r>
      <w:r w:rsidRPr="00A23800">
        <w:rPr>
          <w:rFonts w:ascii="Calibri" w:hAnsi="Calibri"/>
          <w:color w:val="231F20"/>
          <w:spacing w:val="15"/>
          <w:w w:val="105"/>
        </w:rPr>
        <w:t xml:space="preserve"> </w:t>
      </w:r>
      <w:r w:rsidRPr="00A23800">
        <w:rPr>
          <w:rFonts w:ascii="Calibri" w:hAnsi="Calibri"/>
          <w:color w:val="231F20"/>
          <w:w w:val="105"/>
        </w:rPr>
        <w:t>The</w:t>
      </w:r>
      <w:r w:rsidRPr="00A23800">
        <w:rPr>
          <w:rFonts w:ascii="Calibri" w:hAnsi="Calibri"/>
          <w:color w:val="231F20"/>
          <w:spacing w:val="15"/>
          <w:w w:val="105"/>
        </w:rPr>
        <w:t xml:space="preserve"> </w:t>
      </w:r>
      <w:r w:rsidRPr="00A23800">
        <w:rPr>
          <w:rFonts w:ascii="Calibri" w:hAnsi="Calibri"/>
          <w:color w:val="231F20"/>
          <w:w w:val="105"/>
        </w:rPr>
        <w:t>second</w:t>
      </w:r>
      <w:r w:rsidRPr="00A23800">
        <w:rPr>
          <w:rFonts w:ascii="Calibri" w:hAnsi="Calibri"/>
          <w:color w:val="231F20"/>
          <w:spacing w:val="15"/>
          <w:w w:val="105"/>
        </w:rPr>
        <w:t xml:space="preserve"> </w:t>
      </w:r>
      <w:r w:rsidRPr="00A23800">
        <w:rPr>
          <w:rFonts w:ascii="Calibri" w:hAnsi="Calibri"/>
          <w:color w:val="231F20"/>
          <w:w w:val="105"/>
        </w:rPr>
        <w:t>component</w:t>
      </w:r>
      <w:r w:rsidRPr="00A23800">
        <w:rPr>
          <w:rFonts w:ascii="Calibri" w:hAnsi="Calibri"/>
          <w:color w:val="231F20"/>
          <w:spacing w:val="15"/>
          <w:w w:val="105"/>
        </w:rPr>
        <w:t xml:space="preserve"> </w:t>
      </w:r>
      <w:r w:rsidRPr="00A23800">
        <w:rPr>
          <w:rFonts w:ascii="Calibri" w:hAnsi="Calibri"/>
          <w:color w:val="231F20"/>
          <w:w w:val="105"/>
        </w:rPr>
        <w:t>is</w:t>
      </w:r>
      <w:r w:rsidRPr="00A23800">
        <w:rPr>
          <w:rFonts w:ascii="Calibri" w:hAnsi="Calibri"/>
          <w:color w:val="231F20"/>
          <w:spacing w:val="15"/>
          <w:w w:val="105"/>
        </w:rPr>
        <w:t xml:space="preserve"> </w:t>
      </w:r>
      <w:r w:rsidRPr="00A23800">
        <w:rPr>
          <w:rFonts w:ascii="Calibri" w:hAnsi="Calibri"/>
          <w:color w:val="231F20"/>
          <w:w w:val="105"/>
        </w:rPr>
        <w:t>the</w:t>
      </w:r>
      <w:r w:rsidRPr="00A23800">
        <w:rPr>
          <w:rFonts w:ascii="Calibri" w:hAnsi="Calibri"/>
          <w:color w:val="231F20"/>
          <w:spacing w:val="15"/>
          <w:w w:val="105"/>
        </w:rPr>
        <w:t xml:space="preserve"> </w:t>
      </w:r>
      <w:r w:rsidRPr="00A23800">
        <w:rPr>
          <w:rFonts w:ascii="Calibri" w:hAnsi="Calibri"/>
          <w:color w:val="231F20"/>
          <w:w w:val="105"/>
        </w:rPr>
        <w:t>Individualized</w:t>
      </w:r>
      <w:r w:rsidRPr="00A23800">
        <w:rPr>
          <w:rFonts w:ascii="Calibri" w:hAnsi="Calibri"/>
          <w:color w:val="231F20"/>
          <w:spacing w:val="15"/>
          <w:w w:val="105"/>
        </w:rPr>
        <w:t xml:space="preserve"> </w:t>
      </w:r>
      <w:r w:rsidRPr="00A23800">
        <w:rPr>
          <w:rFonts w:ascii="Calibri" w:hAnsi="Calibri"/>
          <w:color w:val="231F20"/>
          <w:w w:val="105"/>
        </w:rPr>
        <w:t>Mentoring</w:t>
      </w:r>
      <w:r w:rsidRPr="00A23800">
        <w:rPr>
          <w:rFonts w:ascii="Calibri" w:hAnsi="Calibri"/>
          <w:color w:val="231F20"/>
          <w:spacing w:val="15"/>
          <w:w w:val="105"/>
        </w:rPr>
        <w:t xml:space="preserve"> </w:t>
      </w:r>
      <w:r w:rsidRPr="00A23800">
        <w:rPr>
          <w:rFonts w:ascii="Calibri" w:hAnsi="Calibri"/>
          <w:color w:val="231F20"/>
          <w:w w:val="105"/>
        </w:rPr>
        <w:t>Action</w:t>
      </w:r>
      <w:r w:rsidRPr="00A23800">
        <w:rPr>
          <w:rFonts w:ascii="Calibri" w:hAnsi="Calibri"/>
          <w:color w:val="231F20"/>
          <w:spacing w:val="15"/>
          <w:w w:val="105"/>
        </w:rPr>
        <w:t xml:space="preserve"> </w:t>
      </w:r>
      <w:r w:rsidRPr="00A23800">
        <w:rPr>
          <w:rFonts w:ascii="Calibri" w:hAnsi="Calibri"/>
          <w:color w:val="231F20"/>
          <w:w w:val="105"/>
        </w:rPr>
        <w:t>Plan,</w:t>
      </w:r>
      <w:r w:rsidRPr="00A23800">
        <w:rPr>
          <w:rFonts w:ascii="Calibri" w:hAnsi="Calibri"/>
          <w:color w:val="231F20"/>
          <w:spacing w:val="15"/>
          <w:w w:val="105"/>
        </w:rPr>
        <w:t xml:space="preserve"> </w:t>
      </w:r>
      <w:r w:rsidRPr="00A23800">
        <w:rPr>
          <w:rFonts w:ascii="Calibri" w:hAnsi="Calibri"/>
          <w:color w:val="231F20"/>
          <w:w w:val="105"/>
        </w:rPr>
        <w:t>or</w:t>
      </w:r>
      <w:r w:rsidRPr="00A23800">
        <w:rPr>
          <w:rFonts w:ascii="Calibri" w:hAnsi="Calibri"/>
          <w:color w:val="231F20"/>
          <w:spacing w:val="-34"/>
          <w:w w:val="105"/>
        </w:rPr>
        <w:t xml:space="preserve"> </w:t>
      </w:r>
      <w:r w:rsidRPr="00A23800">
        <w:rPr>
          <w:rFonts w:ascii="Calibri" w:hAnsi="Calibri"/>
          <w:color w:val="231F20"/>
          <w:spacing w:val="-4"/>
          <w:w w:val="105"/>
        </w:rPr>
        <w:t xml:space="preserve">IMAP. </w:t>
      </w:r>
      <w:r w:rsidRPr="00A23800">
        <w:rPr>
          <w:rFonts w:ascii="Calibri" w:hAnsi="Calibri"/>
          <w:color w:val="231F20"/>
          <w:w w:val="105"/>
        </w:rPr>
        <w:t xml:space="preserve">The IMAP is a software application designed specifically for the mentorship program. In the </w:t>
      </w:r>
      <w:r w:rsidRPr="00A23800">
        <w:rPr>
          <w:rFonts w:ascii="Calibri" w:hAnsi="Calibri"/>
          <w:color w:val="231F20"/>
          <w:spacing w:val="-4"/>
          <w:w w:val="105"/>
        </w:rPr>
        <w:t>IMAP,</w:t>
      </w:r>
      <w:r w:rsidR="001D47D7">
        <w:rPr>
          <w:rFonts w:ascii="Calibri" w:hAnsi="Calibri"/>
          <w:color w:val="231F20"/>
          <w:spacing w:val="-4"/>
          <w:w w:val="105"/>
        </w:rPr>
        <w:t xml:space="preserve"> </w:t>
      </w:r>
      <w:r w:rsidRPr="00A23800">
        <w:rPr>
          <w:rFonts w:ascii="Calibri" w:hAnsi="Calibri"/>
          <w:color w:val="231F20"/>
          <w:w w:val="105"/>
        </w:rPr>
        <w:t>mentors</w:t>
      </w:r>
      <w:r w:rsidRPr="00A23800">
        <w:rPr>
          <w:rFonts w:ascii="Calibri" w:hAnsi="Calibri"/>
          <w:color w:val="231F20"/>
          <w:spacing w:val="18"/>
          <w:w w:val="105"/>
        </w:rPr>
        <w:t xml:space="preserve"> </w:t>
      </w:r>
      <w:r w:rsidRPr="00A23800">
        <w:rPr>
          <w:rFonts w:ascii="Calibri" w:hAnsi="Calibri"/>
          <w:color w:val="231F20"/>
          <w:w w:val="105"/>
        </w:rPr>
        <w:t>and</w:t>
      </w:r>
      <w:r w:rsidRPr="00A23800">
        <w:rPr>
          <w:rFonts w:ascii="Calibri" w:hAnsi="Calibri"/>
          <w:color w:val="231F20"/>
          <w:spacing w:val="18"/>
          <w:w w:val="105"/>
        </w:rPr>
        <w:t xml:space="preserve"> </w:t>
      </w:r>
      <w:r w:rsidRPr="00A23800">
        <w:rPr>
          <w:rFonts w:ascii="Calibri" w:hAnsi="Calibri"/>
          <w:color w:val="231F20"/>
          <w:w w:val="105"/>
        </w:rPr>
        <w:t>SMEs</w:t>
      </w:r>
      <w:r w:rsidRPr="00A23800">
        <w:rPr>
          <w:rFonts w:ascii="Calibri" w:hAnsi="Calibri"/>
          <w:color w:val="231F20"/>
          <w:spacing w:val="18"/>
          <w:w w:val="105"/>
        </w:rPr>
        <w:t xml:space="preserve"> </w:t>
      </w:r>
      <w:r w:rsidRPr="00A23800">
        <w:rPr>
          <w:rFonts w:ascii="Calibri" w:hAnsi="Calibri"/>
          <w:color w:val="231F20"/>
          <w:w w:val="105"/>
        </w:rPr>
        <w:t>create</w:t>
      </w:r>
      <w:r w:rsidRPr="00A23800">
        <w:rPr>
          <w:rFonts w:ascii="Calibri" w:hAnsi="Calibri"/>
          <w:color w:val="231F20"/>
          <w:spacing w:val="18"/>
          <w:w w:val="105"/>
        </w:rPr>
        <w:t xml:space="preserve"> </w:t>
      </w:r>
      <w:r w:rsidRPr="00A23800">
        <w:rPr>
          <w:rFonts w:ascii="Calibri" w:hAnsi="Calibri"/>
          <w:color w:val="231F20"/>
          <w:w w:val="105"/>
        </w:rPr>
        <w:t>personalized</w:t>
      </w:r>
      <w:r w:rsidRPr="00A23800">
        <w:rPr>
          <w:rFonts w:ascii="Calibri" w:hAnsi="Calibri"/>
          <w:color w:val="231F20"/>
          <w:spacing w:val="18"/>
          <w:w w:val="105"/>
        </w:rPr>
        <w:t xml:space="preserve"> </w:t>
      </w:r>
      <w:r w:rsidRPr="00A23800">
        <w:rPr>
          <w:rFonts w:ascii="Calibri" w:hAnsi="Calibri"/>
          <w:color w:val="231F20"/>
          <w:w w:val="105"/>
        </w:rPr>
        <w:t>profiles.</w:t>
      </w:r>
      <w:r w:rsidRPr="00A23800">
        <w:rPr>
          <w:rFonts w:ascii="Calibri" w:hAnsi="Calibri"/>
          <w:color w:val="231F20"/>
          <w:spacing w:val="18"/>
          <w:w w:val="105"/>
        </w:rPr>
        <w:t xml:space="preserve"> </w:t>
      </w:r>
      <w:r w:rsidRPr="00A23800">
        <w:rPr>
          <w:rFonts w:ascii="Calibri" w:hAnsi="Calibri"/>
          <w:color w:val="231F20"/>
          <w:w w:val="105"/>
        </w:rPr>
        <w:t>The</w:t>
      </w:r>
      <w:r w:rsidRPr="00A23800">
        <w:rPr>
          <w:rFonts w:ascii="Calibri" w:hAnsi="Calibri"/>
          <w:color w:val="231F20"/>
          <w:spacing w:val="18"/>
          <w:w w:val="105"/>
        </w:rPr>
        <w:t xml:space="preserve"> </w:t>
      </w:r>
      <w:r w:rsidRPr="00A23800">
        <w:rPr>
          <w:rFonts w:ascii="Calibri" w:hAnsi="Calibri"/>
          <w:color w:val="231F20"/>
          <w:w w:val="105"/>
        </w:rPr>
        <w:t>profiles</w:t>
      </w:r>
      <w:r w:rsidRPr="00A23800">
        <w:rPr>
          <w:rFonts w:ascii="Calibri" w:hAnsi="Calibri"/>
          <w:color w:val="231F20"/>
          <w:spacing w:val="18"/>
          <w:w w:val="105"/>
        </w:rPr>
        <w:t xml:space="preserve"> </w:t>
      </w:r>
      <w:r w:rsidRPr="00A23800">
        <w:rPr>
          <w:rFonts w:ascii="Calibri" w:hAnsi="Calibri"/>
          <w:color w:val="231F20"/>
          <w:w w:val="105"/>
        </w:rPr>
        <w:t>are</w:t>
      </w:r>
      <w:r w:rsidRPr="00A23800">
        <w:rPr>
          <w:rFonts w:ascii="Calibri" w:hAnsi="Calibri"/>
          <w:color w:val="231F20"/>
          <w:spacing w:val="18"/>
          <w:w w:val="105"/>
        </w:rPr>
        <w:t xml:space="preserve"> </w:t>
      </w:r>
      <w:r w:rsidRPr="00A23800">
        <w:rPr>
          <w:rFonts w:ascii="Calibri" w:hAnsi="Calibri"/>
          <w:color w:val="231F20"/>
          <w:w w:val="105"/>
        </w:rPr>
        <w:t>used</w:t>
      </w:r>
      <w:r w:rsidRPr="00A23800">
        <w:rPr>
          <w:rFonts w:ascii="Calibri" w:hAnsi="Calibri"/>
          <w:color w:val="231F20"/>
          <w:spacing w:val="18"/>
          <w:w w:val="105"/>
        </w:rPr>
        <w:t xml:space="preserve"> </w:t>
      </w:r>
      <w:r w:rsidRPr="00A23800">
        <w:rPr>
          <w:rFonts w:ascii="Calibri" w:hAnsi="Calibri"/>
          <w:color w:val="231F20"/>
          <w:w w:val="105"/>
        </w:rPr>
        <w:t>to</w:t>
      </w:r>
      <w:r w:rsidRPr="00A23800">
        <w:rPr>
          <w:rFonts w:ascii="Calibri" w:hAnsi="Calibri"/>
          <w:color w:val="231F20"/>
          <w:spacing w:val="18"/>
          <w:w w:val="105"/>
        </w:rPr>
        <w:t xml:space="preserve"> </w:t>
      </w:r>
      <w:r w:rsidRPr="00A23800">
        <w:rPr>
          <w:rFonts w:ascii="Calibri" w:hAnsi="Calibri"/>
          <w:color w:val="231F20"/>
          <w:w w:val="105"/>
        </w:rPr>
        <w:t>assist</w:t>
      </w:r>
      <w:r w:rsidRPr="00A23800">
        <w:rPr>
          <w:rFonts w:ascii="Calibri" w:hAnsi="Calibri"/>
          <w:color w:val="231F20"/>
          <w:spacing w:val="18"/>
          <w:w w:val="105"/>
        </w:rPr>
        <w:t xml:space="preserve"> </w:t>
      </w:r>
      <w:r w:rsidRPr="00A23800">
        <w:rPr>
          <w:rFonts w:ascii="Calibri" w:hAnsi="Calibri"/>
          <w:color w:val="231F20"/>
          <w:w w:val="105"/>
        </w:rPr>
        <w:t>with</w:t>
      </w:r>
      <w:r w:rsidRPr="00A23800">
        <w:rPr>
          <w:rFonts w:ascii="Calibri" w:hAnsi="Calibri"/>
          <w:color w:val="231F20"/>
          <w:spacing w:val="18"/>
          <w:w w:val="105"/>
        </w:rPr>
        <w:t xml:space="preserve"> </w:t>
      </w:r>
      <w:r w:rsidRPr="00A23800">
        <w:rPr>
          <w:rFonts w:ascii="Calibri" w:hAnsi="Calibri"/>
          <w:color w:val="231F20"/>
          <w:w w:val="105"/>
        </w:rPr>
        <w:t>assigning</w:t>
      </w:r>
      <w:r w:rsidRPr="00A23800">
        <w:rPr>
          <w:rFonts w:ascii="Calibri" w:hAnsi="Calibri"/>
          <w:color w:val="231F20"/>
          <w:spacing w:val="18"/>
          <w:w w:val="105"/>
        </w:rPr>
        <w:t xml:space="preserve"> </w:t>
      </w:r>
      <w:r w:rsidRPr="00A23800">
        <w:rPr>
          <w:rFonts w:ascii="Calibri" w:hAnsi="Calibri"/>
          <w:color w:val="231F20"/>
          <w:w w:val="105"/>
        </w:rPr>
        <w:t>mentors</w:t>
      </w:r>
      <w:r w:rsidRPr="00A23800">
        <w:rPr>
          <w:rFonts w:ascii="Calibri" w:hAnsi="Calibri"/>
          <w:color w:val="231F20"/>
          <w:spacing w:val="18"/>
          <w:w w:val="105"/>
        </w:rPr>
        <w:t xml:space="preserve"> </w:t>
      </w:r>
      <w:r w:rsidRPr="00A23800">
        <w:rPr>
          <w:rFonts w:ascii="Calibri" w:hAnsi="Calibri"/>
          <w:color w:val="231F20"/>
          <w:w w:val="105"/>
        </w:rPr>
        <w:t>and</w:t>
      </w:r>
      <w:r w:rsidRPr="00A23800">
        <w:rPr>
          <w:rFonts w:ascii="Calibri" w:hAnsi="Calibri"/>
          <w:color w:val="231F20"/>
          <w:w w:val="108"/>
        </w:rPr>
        <w:t xml:space="preserve"> </w:t>
      </w:r>
      <w:r w:rsidRPr="00A23800">
        <w:rPr>
          <w:rFonts w:ascii="Calibri" w:hAnsi="Calibri"/>
          <w:color w:val="231F20"/>
          <w:w w:val="105"/>
        </w:rPr>
        <w:t>SMEs</w:t>
      </w:r>
      <w:r w:rsidRPr="00A23800">
        <w:rPr>
          <w:rFonts w:ascii="Calibri" w:hAnsi="Calibri"/>
          <w:color w:val="231F20"/>
          <w:spacing w:val="12"/>
          <w:w w:val="105"/>
        </w:rPr>
        <w:t xml:space="preserve"> </w:t>
      </w:r>
      <w:r w:rsidRPr="00A23800">
        <w:rPr>
          <w:rFonts w:ascii="Calibri" w:hAnsi="Calibri"/>
          <w:color w:val="231F20"/>
          <w:w w:val="105"/>
        </w:rPr>
        <w:t>to</w:t>
      </w:r>
      <w:r w:rsidRPr="00A23800">
        <w:rPr>
          <w:rFonts w:ascii="Calibri" w:hAnsi="Calibri"/>
          <w:color w:val="231F20"/>
          <w:spacing w:val="12"/>
          <w:w w:val="105"/>
        </w:rPr>
        <w:t xml:space="preserve"> </w:t>
      </w:r>
      <w:r w:rsidRPr="00A23800">
        <w:rPr>
          <w:rFonts w:ascii="Calibri" w:hAnsi="Calibri"/>
          <w:color w:val="231F20"/>
          <w:w w:val="105"/>
        </w:rPr>
        <w:t>appropriate</w:t>
      </w:r>
      <w:r w:rsidRPr="00A23800">
        <w:rPr>
          <w:rFonts w:ascii="Calibri" w:hAnsi="Calibri"/>
          <w:color w:val="231F20"/>
          <w:spacing w:val="12"/>
          <w:w w:val="105"/>
        </w:rPr>
        <w:t xml:space="preserve"> </w:t>
      </w:r>
      <w:r w:rsidRPr="00A23800">
        <w:rPr>
          <w:rFonts w:ascii="Calibri" w:hAnsi="Calibri"/>
          <w:color w:val="231F20"/>
          <w:w w:val="105"/>
        </w:rPr>
        <w:t>protégés.</w:t>
      </w:r>
      <w:r w:rsidRPr="00A23800">
        <w:rPr>
          <w:rFonts w:ascii="Calibri" w:hAnsi="Calibri"/>
          <w:color w:val="231F20"/>
          <w:spacing w:val="12"/>
          <w:w w:val="105"/>
        </w:rPr>
        <w:t xml:space="preserve"> </w:t>
      </w:r>
      <w:r w:rsidRPr="00A23800">
        <w:rPr>
          <w:rFonts w:ascii="Calibri" w:hAnsi="Calibri"/>
          <w:color w:val="231F20"/>
          <w:w w:val="105"/>
        </w:rPr>
        <w:t>The</w:t>
      </w:r>
      <w:r w:rsidRPr="00A23800">
        <w:rPr>
          <w:rFonts w:ascii="Calibri" w:hAnsi="Calibri"/>
          <w:color w:val="231F20"/>
          <w:spacing w:val="12"/>
          <w:w w:val="105"/>
        </w:rPr>
        <w:t xml:space="preserve"> </w:t>
      </w:r>
      <w:r w:rsidRPr="00A23800">
        <w:rPr>
          <w:rFonts w:ascii="Calibri" w:hAnsi="Calibri"/>
          <w:color w:val="231F20"/>
          <w:w w:val="105"/>
        </w:rPr>
        <w:t>software</w:t>
      </w:r>
      <w:r w:rsidRPr="00A23800">
        <w:rPr>
          <w:rFonts w:ascii="Calibri" w:hAnsi="Calibri"/>
          <w:color w:val="231F20"/>
          <w:spacing w:val="12"/>
          <w:w w:val="105"/>
        </w:rPr>
        <w:t xml:space="preserve"> </w:t>
      </w:r>
      <w:r w:rsidRPr="00A23800">
        <w:rPr>
          <w:rFonts w:ascii="Calibri" w:hAnsi="Calibri"/>
          <w:color w:val="231F20"/>
          <w:w w:val="105"/>
        </w:rPr>
        <w:t>is</w:t>
      </w:r>
      <w:r w:rsidRPr="00A23800">
        <w:rPr>
          <w:rFonts w:ascii="Calibri" w:hAnsi="Calibri"/>
          <w:color w:val="231F20"/>
          <w:spacing w:val="12"/>
          <w:w w:val="105"/>
        </w:rPr>
        <w:t xml:space="preserve"> </w:t>
      </w:r>
      <w:r w:rsidRPr="00A23800">
        <w:rPr>
          <w:rFonts w:ascii="Calibri" w:hAnsi="Calibri"/>
          <w:color w:val="231F20"/>
          <w:w w:val="105"/>
        </w:rPr>
        <w:t>designed</w:t>
      </w:r>
      <w:r w:rsidRPr="00A23800">
        <w:rPr>
          <w:rFonts w:ascii="Calibri" w:hAnsi="Calibri"/>
          <w:color w:val="231F20"/>
          <w:spacing w:val="12"/>
          <w:w w:val="105"/>
        </w:rPr>
        <w:t xml:space="preserve"> </w:t>
      </w:r>
      <w:r w:rsidRPr="00A23800">
        <w:rPr>
          <w:rFonts w:ascii="Calibri" w:hAnsi="Calibri"/>
          <w:color w:val="231F20"/>
          <w:w w:val="105"/>
        </w:rPr>
        <w:t>to</w:t>
      </w:r>
      <w:r w:rsidRPr="00A23800">
        <w:rPr>
          <w:rFonts w:ascii="Calibri" w:hAnsi="Calibri"/>
          <w:color w:val="231F20"/>
          <w:spacing w:val="12"/>
          <w:w w:val="105"/>
        </w:rPr>
        <w:t xml:space="preserve"> </w:t>
      </w:r>
      <w:r w:rsidRPr="00A23800">
        <w:rPr>
          <w:rFonts w:ascii="Calibri" w:hAnsi="Calibri"/>
          <w:color w:val="231F20"/>
          <w:w w:val="105"/>
        </w:rPr>
        <w:t>quickly</w:t>
      </w:r>
      <w:r w:rsidRPr="00A23800">
        <w:rPr>
          <w:rFonts w:ascii="Calibri" w:hAnsi="Calibri"/>
          <w:color w:val="231F20"/>
          <w:spacing w:val="12"/>
          <w:w w:val="105"/>
        </w:rPr>
        <w:t xml:space="preserve"> </w:t>
      </w:r>
      <w:r w:rsidRPr="00A23800">
        <w:rPr>
          <w:rFonts w:ascii="Calibri" w:hAnsi="Calibri"/>
          <w:color w:val="231F20"/>
          <w:w w:val="105"/>
        </w:rPr>
        <w:t>sort</w:t>
      </w:r>
      <w:r w:rsidRPr="00A23800">
        <w:rPr>
          <w:rFonts w:ascii="Calibri" w:hAnsi="Calibri"/>
          <w:color w:val="231F20"/>
          <w:spacing w:val="12"/>
          <w:w w:val="105"/>
        </w:rPr>
        <w:t xml:space="preserve"> </w:t>
      </w:r>
      <w:r w:rsidRPr="00A23800">
        <w:rPr>
          <w:rFonts w:ascii="Calibri" w:hAnsi="Calibri"/>
          <w:color w:val="231F20"/>
          <w:w w:val="105"/>
        </w:rPr>
        <w:t>through</w:t>
      </w:r>
      <w:r w:rsidRPr="00A23800">
        <w:rPr>
          <w:rFonts w:ascii="Calibri" w:hAnsi="Calibri"/>
          <w:color w:val="231F20"/>
          <w:spacing w:val="12"/>
          <w:w w:val="105"/>
        </w:rPr>
        <w:t xml:space="preserve"> </w:t>
      </w:r>
      <w:r w:rsidRPr="00A23800">
        <w:rPr>
          <w:rFonts w:ascii="Calibri" w:hAnsi="Calibri"/>
          <w:color w:val="231F20"/>
          <w:w w:val="105"/>
        </w:rPr>
        <w:t>hundreds</w:t>
      </w:r>
      <w:r w:rsidRPr="00A23800">
        <w:rPr>
          <w:rFonts w:ascii="Calibri" w:hAnsi="Calibri"/>
          <w:color w:val="231F20"/>
          <w:spacing w:val="12"/>
          <w:w w:val="105"/>
        </w:rPr>
        <w:t xml:space="preserve"> </w:t>
      </w:r>
      <w:r w:rsidRPr="00A23800">
        <w:rPr>
          <w:rFonts w:ascii="Calibri" w:hAnsi="Calibri"/>
          <w:color w:val="231F20"/>
          <w:w w:val="105"/>
        </w:rPr>
        <w:t>of</w:t>
      </w:r>
      <w:r w:rsidRPr="00A23800">
        <w:rPr>
          <w:rFonts w:ascii="Calibri" w:hAnsi="Calibri"/>
          <w:color w:val="231F20"/>
          <w:spacing w:val="12"/>
          <w:w w:val="105"/>
        </w:rPr>
        <w:t xml:space="preserve"> </w:t>
      </w:r>
      <w:r w:rsidRPr="00A23800">
        <w:rPr>
          <w:rFonts w:ascii="Calibri" w:hAnsi="Calibri"/>
          <w:color w:val="231F20"/>
          <w:w w:val="105"/>
        </w:rPr>
        <w:t>mentor</w:t>
      </w:r>
      <w:r w:rsidRPr="00A23800">
        <w:rPr>
          <w:rFonts w:ascii="Calibri" w:hAnsi="Calibri"/>
          <w:color w:val="231F20"/>
          <w:spacing w:val="12"/>
          <w:w w:val="105"/>
        </w:rPr>
        <w:t xml:space="preserve"> </w:t>
      </w:r>
      <w:r w:rsidRPr="00A23800">
        <w:rPr>
          <w:rFonts w:ascii="Calibri" w:hAnsi="Calibri"/>
          <w:color w:val="231F20"/>
          <w:w w:val="105"/>
        </w:rPr>
        <w:t>and</w:t>
      </w:r>
      <w:r w:rsidRPr="00A23800">
        <w:rPr>
          <w:rFonts w:ascii="Calibri" w:hAnsi="Calibri"/>
          <w:color w:val="231F20"/>
          <w:spacing w:val="-21"/>
          <w:w w:val="105"/>
        </w:rPr>
        <w:t xml:space="preserve"> </w:t>
      </w:r>
      <w:r w:rsidRPr="00A23800">
        <w:rPr>
          <w:rFonts w:ascii="Calibri" w:hAnsi="Calibri"/>
          <w:color w:val="231F20"/>
          <w:w w:val="105"/>
        </w:rPr>
        <w:t>SME profiles that match the needs identified in the protégé’s profile.</w:t>
      </w:r>
    </w:p>
    <w:p w14:paraId="7DF8DBBA" w14:textId="6F04D233" w:rsidR="00A07550" w:rsidRPr="00A23800" w:rsidRDefault="006206D4" w:rsidP="00D63204">
      <w:pPr>
        <w:widowControl w:val="0"/>
        <w:spacing w:after="0" w:line="240" w:lineRule="auto"/>
        <w:ind w:left="107"/>
        <w:outlineLvl w:val="2"/>
        <w:rPr>
          <w:rFonts w:ascii="Calibri" w:hAnsi="Calibri"/>
        </w:rPr>
      </w:pPr>
      <w:r>
        <w:rPr>
          <w:rFonts w:ascii="Calibri" w:hAnsi="Calibri"/>
          <w:b/>
          <w:bCs/>
          <w:color w:val="231F20"/>
          <w:w w:val="110"/>
          <w:u w:val="single" w:color="231F20"/>
        </w:rPr>
        <w:br/>
      </w:r>
      <w:r>
        <w:rPr>
          <w:rFonts w:ascii="Calibri" w:hAnsi="Calibri"/>
          <w:b/>
          <w:bCs/>
          <w:color w:val="231F20"/>
          <w:w w:val="110"/>
          <w:u w:val="single" w:color="231F20"/>
        </w:rPr>
        <w:br/>
      </w:r>
      <w:r w:rsidR="00A07550" w:rsidRPr="00A23800">
        <w:rPr>
          <w:rFonts w:ascii="Calibri" w:hAnsi="Calibri"/>
          <w:b/>
          <w:bCs/>
          <w:color w:val="231F20"/>
          <w:w w:val="110"/>
          <w:u w:val="single" w:color="231F20"/>
        </w:rPr>
        <w:t>Human Resources</w:t>
      </w:r>
      <w:r w:rsidR="00A07550" w:rsidRPr="00A23800">
        <w:rPr>
          <w:rFonts w:ascii="Calibri" w:hAnsi="Calibri"/>
          <w:b/>
          <w:bCs/>
          <w:color w:val="231F20"/>
          <w:spacing w:val="24"/>
          <w:w w:val="110"/>
          <w:u w:val="single" w:color="231F20"/>
        </w:rPr>
        <w:t xml:space="preserve"> </w:t>
      </w:r>
      <w:r w:rsidR="00A07550" w:rsidRPr="00A23800">
        <w:rPr>
          <w:rFonts w:ascii="Calibri" w:hAnsi="Calibri"/>
          <w:b/>
          <w:bCs/>
          <w:color w:val="231F20"/>
          <w:w w:val="110"/>
          <w:u w:val="single" w:color="231F20"/>
        </w:rPr>
        <w:t>Page</w:t>
      </w:r>
    </w:p>
    <w:p w14:paraId="4F12639C" w14:textId="61B98997" w:rsidR="00A07550" w:rsidRPr="00A23800" w:rsidRDefault="00A07550" w:rsidP="00D63204">
      <w:pPr>
        <w:widowControl w:val="0"/>
        <w:spacing w:before="2" w:after="0" w:line="240" w:lineRule="auto"/>
        <w:ind w:left="107"/>
        <w:rPr>
          <w:rFonts w:ascii="Calibri" w:hAnsi="Calibri"/>
        </w:rPr>
      </w:pPr>
      <w:r w:rsidRPr="00A23800">
        <w:rPr>
          <w:rFonts w:ascii="Calibri" w:hAnsi="Calibri"/>
          <w:color w:val="231F20"/>
          <w:w w:val="105"/>
        </w:rPr>
        <w:t>The</w:t>
      </w:r>
      <w:r w:rsidRPr="00A23800">
        <w:rPr>
          <w:rFonts w:ascii="Calibri" w:hAnsi="Calibri"/>
          <w:color w:val="231F20"/>
          <w:spacing w:val="21"/>
          <w:w w:val="105"/>
        </w:rPr>
        <w:t xml:space="preserve"> </w:t>
      </w:r>
      <w:r w:rsidRPr="00A23800">
        <w:rPr>
          <w:rFonts w:ascii="Calibri" w:hAnsi="Calibri"/>
          <w:color w:val="231F20"/>
          <w:w w:val="105"/>
        </w:rPr>
        <w:t>Human</w:t>
      </w:r>
      <w:r w:rsidRPr="00A23800">
        <w:rPr>
          <w:rFonts w:ascii="Calibri" w:hAnsi="Calibri"/>
          <w:color w:val="231F20"/>
          <w:spacing w:val="21"/>
          <w:w w:val="105"/>
        </w:rPr>
        <w:t xml:space="preserve"> </w:t>
      </w:r>
      <w:r w:rsidRPr="00A23800">
        <w:rPr>
          <w:rFonts w:ascii="Calibri" w:hAnsi="Calibri"/>
          <w:color w:val="231F20"/>
          <w:w w:val="105"/>
        </w:rPr>
        <w:t>Resources</w:t>
      </w:r>
      <w:r w:rsidRPr="00A23800">
        <w:rPr>
          <w:rFonts w:ascii="Calibri" w:hAnsi="Calibri"/>
          <w:color w:val="231F20"/>
          <w:spacing w:val="21"/>
          <w:w w:val="105"/>
        </w:rPr>
        <w:t xml:space="preserve"> </w:t>
      </w:r>
      <w:r w:rsidRPr="00A23800">
        <w:rPr>
          <w:rFonts w:ascii="Calibri" w:hAnsi="Calibri"/>
          <w:color w:val="231F20"/>
          <w:w w:val="105"/>
        </w:rPr>
        <w:t>page</w:t>
      </w:r>
      <w:r w:rsidRPr="00A23800">
        <w:rPr>
          <w:rFonts w:ascii="Calibri" w:hAnsi="Calibri"/>
          <w:color w:val="231F20"/>
          <w:spacing w:val="21"/>
          <w:w w:val="105"/>
        </w:rPr>
        <w:t xml:space="preserve"> </w:t>
      </w:r>
      <w:r w:rsidRPr="00A23800">
        <w:rPr>
          <w:rFonts w:ascii="Calibri" w:hAnsi="Calibri"/>
          <w:color w:val="231F20"/>
          <w:w w:val="105"/>
        </w:rPr>
        <w:t>is</w:t>
      </w:r>
      <w:r w:rsidRPr="00A23800">
        <w:rPr>
          <w:rFonts w:ascii="Calibri" w:hAnsi="Calibri"/>
          <w:color w:val="231F20"/>
          <w:spacing w:val="21"/>
          <w:w w:val="105"/>
        </w:rPr>
        <w:t xml:space="preserve"> </w:t>
      </w:r>
      <w:r w:rsidRPr="00A23800">
        <w:rPr>
          <w:rFonts w:ascii="Calibri" w:hAnsi="Calibri"/>
          <w:color w:val="231F20"/>
          <w:w w:val="105"/>
        </w:rPr>
        <w:t>a</w:t>
      </w:r>
      <w:r w:rsidRPr="00A23800">
        <w:rPr>
          <w:rFonts w:ascii="Calibri" w:hAnsi="Calibri"/>
          <w:color w:val="231F20"/>
          <w:spacing w:val="21"/>
          <w:w w:val="105"/>
        </w:rPr>
        <w:t xml:space="preserve"> </w:t>
      </w:r>
      <w:r w:rsidRPr="00A23800">
        <w:rPr>
          <w:rFonts w:ascii="Calibri" w:hAnsi="Calibri"/>
          <w:color w:val="231F20"/>
          <w:w w:val="105"/>
        </w:rPr>
        <w:t>one-stop</w:t>
      </w:r>
      <w:r w:rsidRPr="00A23800">
        <w:rPr>
          <w:rFonts w:ascii="Calibri" w:hAnsi="Calibri"/>
          <w:color w:val="231F20"/>
          <w:spacing w:val="21"/>
          <w:w w:val="105"/>
        </w:rPr>
        <w:t xml:space="preserve"> </w:t>
      </w:r>
      <w:r w:rsidRPr="00A23800">
        <w:rPr>
          <w:rFonts w:ascii="Calibri" w:hAnsi="Calibri"/>
          <w:color w:val="231F20"/>
          <w:w w:val="105"/>
        </w:rPr>
        <w:t>information</w:t>
      </w:r>
      <w:r w:rsidRPr="00A23800">
        <w:rPr>
          <w:rFonts w:ascii="Calibri" w:hAnsi="Calibri"/>
          <w:color w:val="231F20"/>
          <w:spacing w:val="21"/>
          <w:w w:val="105"/>
        </w:rPr>
        <w:t xml:space="preserve"> </w:t>
      </w:r>
      <w:r w:rsidRPr="00A23800">
        <w:rPr>
          <w:rFonts w:ascii="Calibri" w:hAnsi="Calibri"/>
          <w:color w:val="231F20"/>
          <w:w w:val="105"/>
        </w:rPr>
        <w:t>resource</w:t>
      </w:r>
      <w:r w:rsidRPr="00A23800">
        <w:rPr>
          <w:rFonts w:ascii="Calibri" w:hAnsi="Calibri"/>
          <w:color w:val="231F20"/>
          <w:spacing w:val="21"/>
          <w:w w:val="105"/>
        </w:rPr>
        <w:t xml:space="preserve"> </w:t>
      </w:r>
      <w:r w:rsidRPr="00A23800">
        <w:rPr>
          <w:rFonts w:ascii="Calibri" w:hAnsi="Calibri"/>
          <w:color w:val="231F20"/>
          <w:w w:val="105"/>
        </w:rPr>
        <w:t>for</w:t>
      </w:r>
      <w:r w:rsidRPr="00A23800">
        <w:rPr>
          <w:rFonts w:ascii="Calibri" w:hAnsi="Calibri"/>
          <w:color w:val="231F20"/>
          <w:spacing w:val="21"/>
          <w:w w:val="105"/>
        </w:rPr>
        <w:t xml:space="preserve"> </w:t>
      </w:r>
      <w:r w:rsidRPr="00A23800">
        <w:rPr>
          <w:rFonts w:ascii="Calibri" w:hAnsi="Calibri"/>
          <w:color w:val="231F20"/>
          <w:w w:val="105"/>
        </w:rPr>
        <w:t>VR</w:t>
      </w:r>
      <w:r w:rsidRPr="00A23800">
        <w:rPr>
          <w:rFonts w:ascii="Calibri" w:hAnsi="Calibri"/>
          <w:color w:val="231F20"/>
          <w:spacing w:val="21"/>
          <w:w w:val="105"/>
        </w:rPr>
        <w:t xml:space="preserve"> </w:t>
      </w:r>
      <w:r w:rsidRPr="00A23800">
        <w:rPr>
          <w:rFonts w:ascii="Calibri" w:hAnsi="Calibri"/>
          <w:color w:val="231F20"/>
          <w:w w:val="105"/>
        </w:rPr>
        <w:t>personnel.</w:t>
      </w:r>
      <w:r w:rsidRPr="00A23800">
        <w:rPr>
          <w:rFonts w:ascii="Calibri" w:hAnsi="Calibri"/>
          <w:color w:val="231F20"/>
          <w:spacing w:val="21"/>
          <w:w w:val="105"/>
        </w:rPr>
        <w:t xml:space="preserve"> </w:t>
      </w:r>
      <w:r w:rsidRPr="00A23800">
        <w:rPr>
          <w:rFonts w:ascii="Calibri" w:hAnsi="Calibri"/>
          <w:color w:val="231F20"/>
          <w:w w:val="105"/>
        </w:rPr>
        <w:t>The</w:t>
      </w:r>
      <w:r w:rsidRPr="00A23800">
        <w:rPr>
          <w:rFonts w:ascii="Calibri" w:hAnsi="Calibri"/>
          <w:color w:val="231F20"/>
          <w:spacing w:val="21"/>
          <w:w w:val="105"/>
        </w:rPr>
        <w:t xml:space="preserve"> </w:t>
      </w:r>
      <w:r w:rsidRPr="00A23800">
        <w:rPr>
          <w:rFonts w:ascii="Calibri" w:hAnsi="Calibri"/>
          <w:color w:val="231F20"/>
          <w:w w:val="105"/>
        </w:rPr>
        <w:t>Human</w:t>
      </w:r>
      <w:r w:rsidRPr="00A23800">
        <w:rPr>
          <w:rFonts w:ascii="Calibri" w:hAnsi="Calibri"/>
          <w:color w:val="231F20"/>
          <w:spacing w:val="21"/>
          <w:w w:val="105"/>
        </w:rPr>
        <w:t xml:space="preserve"> </w:t>
      </w:r>
      <w:r w:rsidRPr="00A23800">
        <w:rPr>
          <w:rFonts w:ascii="Calibri" w:hAnsi="Calibri"/>
          <w:color w:val="231F20"/>
          <w:w w:val="105"/>
        </w:rPr>
        <w:t>Resources</w:t>
      </w:r>
      <w:r w:rsidRPr="00A23800">
        <w:rPr>
          <w:rFonts w:ascii="Calibri" w:hAnsi="Calibri"/>
          <w:color w:val="231F20"/>
          <w:spacing w:val="-24"/>
          <w:w w:val="105"/>
        </w:rPr>
        <w:t xml:space="preserve"> </w:t>
      </w:r>
      <w:r w:rsidRPr="00A23800">
        <w:rPr>
          <w:rFonts w:ascii="Calibri" w:hAnsi="Calibri"/>
          <w:color w:val="231F20"/>
          <w:w w:val="105"/>
        </w:rPr>
        <w:t>page</w:t>
      </w:r>
      <w:r w:rsidRPr="00A23800">
        <w:rPr>
          <w:rFonts w:ascii="Calibri" w:hAnsi="Calibri"/>
          <w:color w:val="231F20"/>
          <w:spacing w:val="16"/>
          <w:w w:val="105"/>
        </w:rPr>
        <w:t xml:space="preserve"> </w:t>
      </w:r>
      <w:r w:rsidRPr="00A23800">
        <w:rPr>
          <w:rFonts w:ascii="Calibri" w:hAnsi="Calibri"/>
          <w:color w:val="231F20"/>
          <w:w w:val="105"/>
        </w:rPr>
        <w:t>consists</w:t>
      </w:r>
      <w:r w:rsidRPr="00A23800">
        <w:rPr>
          <w:rFonts w:ascii="Calibri" w:hAnsi="Calibri"/>
          <w:color w:val="231F20"/>
          <w:spacing w:val="16"/>
          <w:w w:val="105"/>
        </w:rPr>
        <w:t xml:space="preserve"> </w:t>
      </w:r>
      <w:r w:rsidRPr="00A23800">
        <w:rPr>
          <w:rFonts w:ascii="Calibri" w:hAnsi="Calibri"/>
          <w:color w:val="231F20"/>
          <w:w w:val="105"/>
        </w:rPr>
        <w:t>of</w:t>
      </w:r>
      <w:r w:rsidRPr="00A23800">
        <w:rPr>
          <w:rFonts w:ascii="Calibri" w:hAnsi="Calibri"/>
          <w:color w:val="231F20"/>
          <w:spacing w:val="16"/>
          <w:w w:val="105"/>
        </w:rPr>
        <w:t xml:space="preserve"> </w:t>
      </w:r>
      <w:r w:rsidRPr="00A23800">
        <w:rPr>
          <w:rFonts w:ascii="Calibri" w:hAnsi="Calibri"/>
          <w:color w:val="231F20"/>
          <w:w w:val="105"/>
        </w:rPr>
        <w:t>six</w:t>
      </w:r>
      <w:r w:rsidRPr="00A23800">
        <w:rPr>
          <w:rFonts w:ascii="Calibri" w:hAnsi="Calibri"/>
          <w:color w:val="231F20"/>
          <w:spacing w:val="16"/>
          <w:w w:val="105"/>
        </w:rPr>
        <w:t xml:space="preserve"> </w:t>
      </w:r>
      <w:r w:rsidRPr="00A23800">
        <w:rPr>
          <w:rFonts w:ascii="Calibri" w:hAnsi="Calibri"/>
          <w:color w:val="231F20"/>
          <w:w w:val="105"/>
        </w:rPr>
        <w:t>functional</w:t>
      </w:r>
      <w:r w:rsidRPr="00A23800">
        <w:rPr>
          <w:rFonts w:ascii="Calibri" w:hAnsi="Calibri"/>
          <w:color w:val="231F20"/>
          <w:spacing w:val="16"/>
          <w:w w:val="105"/>
        </w:rPr>
        <w:t xml:space="preserve"> </w:t>
      </w:r>
      <w:r w:rsidRPr="00A23800">
        <w:rPr>
          <w:rFonts w:ascii="Calibri" w:hAnsi="Calibri"/>
          <w:color w:val="231F20"/>
          <w:w w:val="105"/>
        </w:rPr>
        <w:t>groups,</w:t>
      </w:r>
      <w:r w:rsidRPr="00A23800">
        <w:rPr>
          <w:rFonts w:ascii="Calibri" w:hAnsi="Calibri"/>
          <w:color w:val="231F20"/>
          <w:spacing w:val="16"/>
          <w:w w:val="105"/>
        </w:rPr>
        <w:t xml:space="preserve"> </w:t>
      </w:r>
      <w:r w:rsidRPr="00A23800">
        <w:rPr>
          <w:rFonts w:ascii="Calibri" w:hAnsi="Calibri"/>
          <w:color w:val="231F20"/>
          <w:w w:val="105"/>
        </w:rPr>
        <w:t>which</w:t>
      </w:r>
      <w:r w:rsidRPr="00A23800">
        <w:rPr>
          <w:rFonts w:ascii="Calibri" w:hAnsi="Calibri"/>
          <w:color w:val="231F20"/>
          <w:spacing w:val="16"/>
          <w:w w:val="105"/>
        </w:rPr>
        <w:t xml:space="preserve"> </w:t>
      </w:r>
      <w:r w:rsidRPr="00A23800">
        <w:rPr>
          <w:rFonts w:ascii="Calibri" w:hAnsi="Calibri"/>
          <w:color w:val="231F20"/>
          <w:w w:val="105"/>
        </w:rPr>
        <w:t>are</w:t>
      </w:r>
      <w:r w:rsidRPr="00A23800">
        <w:rPr>
          <w:rFonts w:ascii="Calibri" w:hAnsi="Calibri"/>
          <w:color w:val="231F20"/>
          <w:spacing w:val="16"/>
          <w:w w:val="105"/>
        </w:rPr>
        <w:t xml:space="preserve"> </w:t>
      </w:r>
      <w:r w:rsidRPr="00A23800">
        <w:rPr>
          <w:rFonts w:ascii="Calibri" w:hAnsi="Calibri"/>
          <w:color w:val="231F20"/>
          <w:w w:val="105"/>
        </w:rPr>
        <w:t>further</w:t>
      </w:r>
      <w:r w:rsidRPr="00A23800">
        <w:rPr>
          <w:rFonts w:ascii="Calibri" w:hAnsi="Calibri"/>
          <w:color w:val="231F20"/>
          <w:spacing w:val="16"/>
          <w:w w:val="105"/>
        </w:rPr>
        <w:t xml:space="preserve"> </w:t>
      </w:r>
      <w:r w:rsidRPr="00A23800">
        <w:rPr>
          <w:rFonts w:ascii="Calibri" w:hAnsi="Calibri"/>
          <w:color w:val="231F20"/>
          <w:w w:val="105"/>
        </w:rPr>
        <w:t>divided</w:t>
      </w:r>
      <w:r w:rsidRPr="00A23800">
        <w:rPr>
          <w:rFonts w:ascii="Calibri" w:hAnsi="Calibri"/>
          <w:color w:val="231F20"/>
          <w:spacing w:val="16"/>
          <w:w w:val="105"/>
        </w:rPr>
        <w:t xml:space="preserve"> </w:t>
      </w:r>
      <w:r w:rsidRPr="00A23800">
        <w:rPr>
          <w:rFonts w:ascii="Calibri" w:hAnsi="Calibri"/>
          <w:color w:val="231F20"/>
          <w:w w:val="105"/>
        </w:rPr>
        <w:t>into</w:t>
      </w:r>
      <w:r w:rsidRPr="00A23800">
        <w:rPr>
          <w:rFonts w:ascii="Calibri" w:hAnsi="Calibri"/>
          <w:color w:val="231F20"/>
          <w:spacing w:val="16"/>
          <w:w w:val="105"/>
        </w:rPr>
        <w:t xml:space="preserve"> </w:t>
      </w:r>
      <w:r w:rsidRPr="00A23800">
        <w:rPr>
          <w:rFonts w:ascii="Calibri" w:hAnsi="Calibri"/>
          <w:color w:val="231F20"/>
          <w:w w:val="105"/>
        </w:rPr>
        <w:t>subject</w:t>
      </w:r>
      <w:r w:rsidRPr="00A23800">
        <w:rPr>
          <w:rFonts w:ascii="Calibri" w:hAnsi="Calibri"/>
          <w:color w:val="231F20"/>
          <w:spacing w:val="16"/>
          <w:w w:val="105"/>
        </w:rPr>
        <w:t xml:space="preserve"> </w:t>
      </w:r>
      <w:r w:rsidRPr="00A23800">
        <w:rPr>
          <w:rFonts w:ascii="Calibri" w:hAnsi="Calibri"/>
          <w:color w:val="231F20"/>
          <w:w w:val="105"/>
        </w:rPr>
        <w:t>groups,</w:t>
      </w:r>
      <w:r w:rsidRPr="00A23800">
        <w:rPr>
          <w:rFonts w:ascii="Calibri" w:hAnsi="Calibri"/>
          <w:color w:val="231F20"/>
          <w:spacing w:val="16"/>
          <w:w w:val="105"/>
        </w:rPr>
        <w:t xml:space="preserve"> </w:t>
      </w:r>
      <w:r w:rsidRPr="00A23800">
        <w:rPr>
          <w:rFonts w:ascii="Calibri" w:hAnsi="Calibri"/>
          <w:color w:val="231F20"/>
          <w:w w:val="105"/>
        </w:rPr>
        <w:t>specific</w:t>
      </w:r>
      <w:r w:rsidRPr="00A23800">
        <w:rPr>
          <w:rFonts w:ascii="Calibri" w:hAnsi="Calibri"/>
          <w:color w:val="231F20"/>
          <w:spacing w:val="16"/>
          <w:w w:val="105"/>
        </w:rPr>
        <w:t xml:space="preserve"> </w:t>
      </w:r>
      <w:r w:rsidRPr="00A23800">
        <w:rPr>
          <w:rFonts w:ascii="Calibri" w:hAnsi="Calibri"/>
          <w:color w:val="231F20"/>
          <w:w w:val="105"/>
        </w:rPr>
        <w:t>categories</w:t>
      </w:r>
      <w:r w:rsidR="00D5537E">
        <w:rPr>
          <w:rFonts w:ascii="Calibri" w:hAnsi="Calibri"/>
          <w:color w:val="231F20"/>
          <w:w w:val="105"/>
        </w:rPr>
        <w:t xml:space="preserve"> and</w:t>
      </w:r>
      <w:r w:rsidRPr="00A23800">
        <w:rPr>
          <w:rFonts w:ascii="Calibri" w:hAnsi="Calibri"/>
          <w:color w:val="231F20"/>
          <w:spacing w:val="18"/>
          <w:w w:val="105"/>
        </w:rPr>
        <w:t xml:space="preserve"> </w:t>
      </w:r>
      <w:r w:rsidRPr="00A23800">
        <w:rPr>
          <w:rFonts w:ascii="Calibri" w:hAnsi="Calibri"/>
          <w:color w:val="231F20"/>
          <w:w w:val="105"/>
        </w:rPr>
        <w:t>detailed</w:t>
      </w:r>
      <w:r w:rsidRPr="00A23800">
        <w:rPr>
          <w:rFonts w:ascii="Calibri" w:hAnsi="Calibri"/>
          <w:color w:val="231F20"/>
          <w:spacing w:val="18"/>
          <w:w w:val="105"/>
        </w:rPr>
        <w:t xml:space="preserve"> </w:t>
      </w:r>
      <w:r w:rsidRPr="00A23800">
        <w:rPr>
          <w:rFonts w:ascii="Calibri" w:hAnsi="Calibri"/>
          <w:color w:val="231F20"/>
          <w:w w:val="105"/>
        </w:rPr>
        <w:t>information</w:t>
      </w:r>
      <w:r w:rsidRPr="00A23800">
        <w:rPr>
          <w:rFonts w:ascii="Calibri" w:hAnsi="Calibri"/>
          <w:color w:val="231F20"/>
          <w:spacing w:val="18"/>
          <w:w w:val="105"/>
        </w:rPr>
        <w:t xml:space="preserve"> </w:t>
      </w:r>
      <w:r w:rsidRPr="00A23800">
        <w:rPr>
          <w:rFonts w:ascii="Calibri" w:hAnsi="Calibri"/>
          <w:color w:val="231F20"/>
          <w:w w:val="105"/>
        </w:rPr>
        <w:t>pages.</w:t>
      </w:r>
      <w:r w:rsidRPr="00A23800">
        <w:rPr>
          <w:rFonts w:ascii="Calibri" w:hAnsi="Calibri"/>
          <w:color w:val="231F20"/>
          <w:spacing w:val="18"/>
          <w:w w:val="105"/>
        </w:rPr>
        <w:t xml:space="preserve"> </w:t>
      </w:r>
      <w:r w:rsidRPr="00A23800">
        <w:rPr>
          <w:rFonts w:ascii="Calibri" w:hAnsi="Calibri"/>
          <w:color w:val="231F20"/>
          <w:spacing w:val="-4"/>
          <w:w w:val="105"/>
        </w:rPr>
        <w:t>Topics</w:t>
      </w:r>
      <w:r w:rsidRPr="00A23800">
        <w:rPr>
          <w:rFonts w:ascii="Calibri" w:hAnsi="Calibri"/>
          <w:color w:val="231F20"/>
          <w:spacing w:val="18"/>
          <w:w w:val="105"/>
        </w:rPr>
        <w:t xml:space="preserve"> </w:t>
      </w:r>
      <w:r w:rsidRPr="00A23800">
        <w:rPr>
          <w:rFonts w:ascii="Calibri" w:hAnsi="Calibri"/>
          <w:color w:val="231F20"/>
          <w:w w:val="105"/>
        </w:rPr>
        <w:t>include</w:t>
      </w:r>
      <w:r w:rsidRPr="00A23800">
        <w:rPr>
          <w:rFonts w:ascii="Calibri" w:hAnsi="Calibri"/>
          <w:color w:val="231F20"/>
          <w:spacing w:val="18"/>
          <w:w w:val="105"/>
        </w:rPr>
        <w:t xml:space="preserve"> </w:t>
      </w:r>
      <w:r w:rsidRPr="00A23800">
        <w:rPr>
          <w:rFonts w:ascii="Calibri" w:hAnsi="Calibri"/>
          <w:color w:val="231F20"/>
          <w:w w:val="105"/>
        </w:rPr>
        <w:t>employee</w:t>
      </w:r>
      <w:r w:rsidRPr="00A23800">
        <w:rPr>
          <w:rFonts w:ascii="Calibri" w:hAnsi="Calibri"/>
          <w:color w:val="231F20"/>
          <w:spacing w:val="18"/>
          <w:w w:val="105"/>
        </w:rPr>
        <w:t xml:space="preserve"> </w:t>
      </w:r>
      <w:r w:rsidRPr="00A23800">
        <w:rPr>
          <w:rFonts w:ascii="Calibri" w:hAnsi="Calibri"/>
          <w:color w:val="231F20"/>
          <w:w w:val="105"/>
        </w:rPr>
        <w:t>rights,</w:t>
      </w:r>
      <w:r w:rsidRPr="00A23800">
        <w:rPr>
          <w:rFonts w:ascii="Calibri" w:hAnsi="Calibri"/>
          <w:color w:val="231F20"/>
          <w:spacing w:val="18"/>
          <w:w w:val="105"/>
        </w:rPr>
        <w:t xml:space="preserve"> </w:t>
      </w:r>
      <w:r w:rsidRPr="00A23800">
        <w:rPr>
          <w:rFonts w:ascii="Calibri" w:hAnsi="Calibri"/>
          <w:color w:val="231F20"/>
          <w:w w:val="105"/>
        </w:rPr>
        <w:t>benefits</w:t>
      </w:r>
      <w:r w:rsidRPr="00A23800">
        <w:rPr>
          <w:rFonts w:ascii="Calibri" w:hAnsi="Calibri"/>
          <w:color w:val="231F20"/>
          <w:spacing w:val="18"/>
          <w:w w:val="105"/>
        </w:rPr>
        <w:t xml:space="preserve"> </w:t>
      </w:r>
      <w:r w:rsidRPr="00A23800">
        <w:rPr>
          <w:rFonts w:ascii="Calibri" w:hAnsi="Calibri"/>
          <w:color w:val="231F20"/>
          <w:w w:val="105"/>
        </w:rPr>
        <w:t>and</w:t>
      </w:r>
      <w:r w:rsidRPr="00A23800">
        <w:rPr>
          <w:rFonts w:ascii="Calibri" w:hAnsi="Calibri"/>
          <w:color w:val="231F20"/>
          <w:spacing w:val="18"/>
          <w:w w:val="105"/>
        </w:rPr>
        <w:t xml:space="preserve"> </w:t>
      </w:r>
      <w:r w:rsidRPr="00A23800">
        <w:rPr>
          <w:rFonts w:ascii="Calibri" w:hAnsi="Calibri"/>
          <w:color w:val="231F20"/>
          <w:w w:val="105"/>
        </w:rPr>
        <w:t>responsibilities,</w:t>
      </w:r>
      <w:r w:rsidRPr="00A23800">
        <w:rPr>
          <w:rFonts w:ascii="Calibri" w:hAnsi="Calibri"/>
          <w:color w:val="231F20"/>
          <w:spacing w:val="18"/>
          <w:w w:val="105"/>
        </w:rPr>
        <w:t xml:space="preserve"> </w:t>
      </w:r>
      <w:r w:rsidRPr="00A23800">
        <w:rPr>
          <w:rFonts w:ascii="Calibri" w:hAnsi="Calibri"/>
          <w:color w:val="231F20"/>
          <w:w w:val="105"/>
        </w:rPr>
        <w:t>resources</w:t>
      </w:r>
      <w:r w:rsidRPr="00A23800">
        <w:rPr>
          <w:rFonts w:ascii="Calibri" w:hAnsi="Calibri"/>
          <w:color w:val="231F20"/>
          <w:spacing w:val="-2"/>
          <w:w w:val="105"/>
        </w:rPr>
        <w:t xml:space="preserve"> </w:t>
      </w:r>
      <w:r w:rsidRPr="00A23800">
        <w:rPr>
          <w:rFonts w:ascii="Calibri" w:hAnsi="Calibri"/>
          <w:color w:val="231F20"/>
          <w:w w:val="105"/>
        </w:rPr>
        <w:t>such</w:t>
      </w:r>
      <w:r w:rsidRPr="00A23800">
        <w:rPr>
          <w:rFonts w:ascii="Calibri" w:hAnsi="Calibri"/>
          <w:color w:val="231F20"/>
          <w:spacing w:val="9"/>
          <w:w w:val="105"/>
        </w:rPr>
        <w:t xml:space="preserve"> </w:t>
      </w:r>
      <w:r w:rsidRPr="00A23800">
        <w:rPr>
          <w:rFonts w:ascii="Calibri" w:hAnsi="Calibri"/>
          <w:color w:val="231F20"/>
          <w:w w:val="105"/>
        </w:rPr>
        <w:t>as</w:t>
      </w:r>
      <w:r w:rsidRPr="00A23800">
        <w:rPr>
          <w:rFonts w:ascii="Calibri" w:hAnsi="Calibri"/>
          <w:color w:val="231F20"/>
          <w:spacing w:val="9"/>
          <w:w w:val="105"/>
        </w:rPr>
        <w:t xml:space="preserve"> </w:t>
      </w:r>
      <w:r w:rsidRPr="00A23800">
        <w:rPr>
          <w:rFonts w:ascii="Calibri" w:hAnsi="Calibri"/>
          <w:color w:val="231F20"/>
          <w:w w:val="105"/>
        </w:rPr>
        <w:t>forms,</w:t>
      </w:r>
      <w:r w:rsidRPr="00A23800">
        <w:rPr>
          <w:rFonts w:ascii="Calibri" w:hAnsi="Calibri"/>
          <w:color w:val="231F20"/>
          <w:spacing w:val="9"/>
          <w:w w:val="105"/>
        </w:rPr>
        <w:t xml:space="preserve"> </w:t>
      </w:r>
      <w:r w:rsidRPr="00A23800">
        <w:rPr>
          <w:rFonts w:ascii="Calibri" w:hAnsi="Calibri"/>
          <w:color w:val="231F20"/>
          <w:w w:val="105"/>
        </w:rPr>
        <w:t>procedures</w:t>
      </w:r>
      <w:r w:rsidR="00D5537E">
        <w:rPr>
          <w:rFonts w:ascii="Calibri" w:hAnsi="Calibri"/>
          <w:color w:val="231F20"/>
          <w:w w:val="105"/>
        </w:rPr>
        <w:t xml:space="preserve"> and</w:t>
      </w:r>
      <w:r w:rsidRPr="00A23800">
        <w:rPr>
          <w:rFonts w:ascii="Calibri" w:hAnsi="Calibri"/>
          <w:color w:val="231F20"/>
          <w:spacing w:val="9"/>
          <w:w w:val="105"/>
        </w:rPr>
        <w:t xml:space="preserve"> </w:t>
      </w:r>
      <w:r w:rsidRPr="00A23800">
        <w:rPr>
          <w:rFonts w:ascii="Calibri" w:hAnsi="Calibri"/>
          <w:color w:val="231F20"/>
          <w:w w:val="105"/>
        </w:rPr>
        <w:t>policies</w:t>
      </w:r>
      <w:r w:rsidR="00D5537E">
        <w:rPr>
          <w:rFonts w:ascii="Calibri" w:hAnsi="Calibri"/>
          <w:color w:val="231F20"/>
          <w:w w:val="105"/>
        </w:rPr>
        <w:t xml:space="preserve"> and</w:t>
      </w:r>
      <w:r w:rsidRPr="00A23800">
        <w:rPr>
          <w:rFonts w:ascii="Calibri" w:hAnsi="Calibri"/>
          <w:color w:val="231F20"/>
          <w:spacing w:val="9"/>
          <w:w w:val="105"/>
        </w:rPr>
        <w:t xml:space="preserve"> </w:t>
      </w:r>
      <w:r w:rsidRPr="00A23800">
        <w:rPr>
          <w:rFonts w:ascii="Calibri" w:hAnsi="Calibri"/>
          <w:color w:val="231F20"/>
          <w:w w:val="105"/>
        </w:rPr>
        <w:t>useful</w:t>
      </w:r>
      <w:r w:rsidRPr="00A23800">
        <w:rPr>
          <w:rFonts w:ascii="Calibri" w:hAnsi="Calibri"/>
          <w:color w:val="231F20"/>
          <w:spacing w:val="9"/>
          <w:w w:val="105"/>
        </w:rPr>
        <w:t xml:space="preserve"> </w:t>
      </w:r>
      <w:r w:rsidRPr="00A23800">
        <w:rPr>
          <w:rFonts w:ascii="Calibri" w:hAnsi="Calibri"/>
          <w:color w:val="231F20"/>
          <w:w w:val="105"/>
        </w:rPr>
        <w:t>information</w:t>
      </w:r>
      <w:r w:rsidRPr="00A23800">
        <w:rPr>
          <w:rFonts w:ascii="Calibri" w:hAnsi="Calibri"/>
          <w:color w:val="231F20"/>
          <w:spacing w:val="9"/>
          <w:w w:val="105"/>
        </w:rPr>
        <w:t xml:space="preserve"> </w:t>
      </w:r>
      <w:r w:rsidRPr="00A23800">
        <w:rPr>
          <w:rFonts w:ascii="Calibri" w:hAnsi="Calibri"/>
          <w:color w:val="231F20"/>
          <w:w w:val="105"/>
        </w:rPr>
        <w:t>about</w:t>
      </w:r>
      <w:r w:rsidRPr="00A23800">
        <w:rPr>
          <w:rFonts w:ascii="Calibri" w:hAnsi="Calibri"/>
          <w:color w:val="231F20"/>
          <w:spacing w:val="9"/>
          <w:w w:val="105"/>
        </w:rPr>
        <w:t xml:space="preserve"> </w:t>
      </w:r>
      <w:r w:rsidRPr="00A23800">
        <w:rPr>
          <w:rFonts w:ascii="Calibri" w:hAnsi="Calibri"/>
          <w:color w:val="231F20"/>
          <w:w w:val="105"/>
        </w:rPr>
        <w:t>VR</w:t>
      </w:r>
      <w:r w:rsidRPr="00A23800">
        <w:rPr>
          <w:rFonts w:ascii="Calibri" w:hAnsi="Calibri"/>
          <w:color w:val="231F20"/>
          <w:spacing w:val="9"/>
          <w:w w:val="105"/>
        </w:rPr>
        <w:t xml:space="preserve"> </w:t>
      </w:r>
      <w:r w:rsidRPr="00A23800">
        <w:rPr>
          <w:rFonts w:ascii="Calibri" w:hAnsi="Calibri"/>
          <w:color w:val="231F20"/>
          <w:w w:val="105"/>
        </w:rPr>
        <w:t>and</w:t>
      </w:r>
      <w:r w:rsidRPr="00A23800">
        <w:rPr>
          <w:rFonts w:ascii="Calibri" w:hAnsi="Calibri"/>
          <w:color w:val="231F20"/>
          <w:spacing w:val="9"/>
          <w:w w:val="105"/>
        </w:rPr>
        <w:t xml:space="preserve"> </w:t>
      </w:r>
      <w:r w:rsidRPr="00A23800">
        <w:rPr>
          <w:rFonts w:ascii="Calibri" w:hAnsi="Calibri"/>
          <w:color w:val="231F20"/>
          <w:w w:val="105"/>
        </w:rPr>
        <w:t>state</w:t>
      </w:r>
      <w:r w:rsidRPr="00A23800">
        <w:rPr>
          <w:rFonts w:ascii="Calibri" w:hAnsi="Calibri"/>
          <w:color w:val="231F20"/>
          <w:spacing w:val="9"/>
          <w:w w:val="105"/>
        </w:rPr>
        <w:t xml:space="preserve"> </w:t>
      </w:r>
      <w:r w:rsidRPr="00A23800">
        <w:rPr>
          <w:rFonts w:ascii="Calibri" w:hAnsi="Calibri"/>
          <w:color w:val="231F20"/>
          <w:w w:val="105"/>
        </w:rPr>
        <w:t>government.</w:t>
      </w:r>
      <w:r w:rsidRPr="00A23800">
        <w:rPr>
          <w:rFonts w:ascii="Calibri" w:hAnsi="Calibri"/>
          <w:color w:val="231F20"/>
          <w:spacing w:val="9"/>
          <w:w w:val="105"/>
        </w:rPr>
        <w:t xml:space="preserve"> </w:t>
      </w:r>
      <w:r w:rsidRPr="00A23800">
        <w:rPr>
          <w:rFonts w:ascii="Calibri" w:hAnsi="Calibri"/>
          <w:color w:val="231F20"/>
          <w:w w:val="105"/>
        </w:rPr>
        <w:t>Most</w:t>
      </w:r>
      <w:r w:rsidRPr="00A23800">
        <w:rPr>
          <w:rFonts w:ascii="Calibri" w:hAnsi="Calibri"/>
          <w:color w:val="231F20"/>
          <w:spacing w:val="-16"/>
          <w:w w:val="105"/>
        </w:rPr>
        <w:t xml:space="preserve"> </w:t>
      </w:r>
      <w:r w:rsidRPr="00A23800">
        <w:rPr>
          <w:rFonts w:ascii="Calibri" w:hAnsi="Calibri"/>
          <w:color w:val="231F20"/>
          <w:w w:val="105"/>
        </w:rPr>
        <w:t>pages</w:t>
      </w:r>
      <w:r w:rsidRPr="00A23800">
        <w:rPr>
          <w:rFonts w:ascii="Calibri" w:hAnsi="Calibri"/>
          <w:color w:val="231F20"/>
          <w:spacing w:val="10"/>
          <w:w w:val="105"/>
        </w:rPr>
        <w:t xml:space="preserve"> </w:t>
      </w:r>
      <w:r w:rsidRPr="00A23800">
        <w:rPr>
          <w:rFonts w:ascii="Calibri" w:hAnsi="Calibri"/>
          <w:color w:val="231F20"/>
          <w:w w:val="105"/>
        </w:rPr>
        <w:t>have</w:t>
      </w:r>
      <w:r w:rsidRPr="00A23800">
        <w:rPr>
          <w:rFonts w:ascii="Calibri" w:hAnsi="Calibri"/>
          <w:color w:val="231F20"/>
          <w:spacing w:val="10"/>
          <w:w w:val="105"/>
        </w:rPr>
        <w:t xml:space="preserve"> </w:t>
      </w:r>
      <w:r w:rsidRPr="00A23800">
        <w:rPr>
          <w:rFonts w:ascii="Calibri" w:hAnsi="Calibri"/>
          <w:color w:val="231F20"/>
          <w:w w:val="105"/>
        </w:rPr>
        <w:t>embedded</w:t>
      </w:r>
      <w:r w:rsidRPr="00A23800">
        <w:rPr>
          <w:rFonts w:ascii="Calibri" w:hAnsi="Calibri"/>
          <w:color w:val="231F20"/>
          <w:spacing w:val="10"/>
          <w:w w:val="105"/>
        </w:rPr>
        <w:t xml:space="preserve"> </w:t>
      </w:r>
      <w:r w:rsidRPr="00A23800">
        <w:rPr>
          <w:rFonts w:ascii="Calibri" w:hAnsi="Calibri"/>
          <w:color w:val="231F20"/>
          <w:w w:val="105"/>
        </w:rPr>
        <w:t>links</w:t>
      </w:r>
      <w:r w:rsidRPr="00A23800">
        <w:rPr>
          <w:rFonts w:ascii="Calibri" w:hAnsi="Calibri"/>
          <w:color w:val="231F20"/>
          <w:spacing w:val="10"/>
          <w:w w:val="105"/>
        </w:rPr>
        <w:t xml:space="preserve"> </w:t>
      </w:r>
      <w:r w:rsidRPr="00A23800">
        <w:rPr>
          <w:rFonts w:ascii="Calibri" w:hAnsi="Calibri"/>
          <w:color w:val="231F20"/>
          <w:w w:val="105"/>
        </w:rPr>
        <w:t>to</w:t>
      </w:r>
      <w:r w:rsidRPr="00A23800">
        <w:rPr>
          <w:rFonts w:ascii="Calibri" w:hAnsi="Calibri"/>
          <w:color w:val="231F20"/>
          <w:spacing w:val="10"/>
          <w:w w:val="105"/>
        </w:rPr>
        <w:t xml:space="preserve"> </w:t>
      </w:r>
      <w:r w:rsidRPr="00A23800">
        <w:rPr>
          <w:rFonts w:ascii="Calibri" w:hAnsi="Calibri"/>
          <w:color w:val="231F20"/>
          <w:w w:val="105"/>
        </w:rPr>
        <w:t>either</w:t>
      </w:r>
      <w:r w:rsidRPr="00A23800">
        <w:rPr>
          <w:rFonts w:ascii="Calibri" w:hAnsi="Calibri"/>
          <w:color w:val="231F20"/>
          <w:spacing w:val="10"/>
          <w:w w:val="105"/>
        </w:rPr>
        <w:t xml:space="preserve"> </w:t>
      </w:r>
      <w:r w:rsidRPr="00A23800">
        <w:rPr>
          <w:rFonts w:ascii="Calibri" w:hAnsi="Calibri"/>
          <w:color w:val="231F20"/>
          <w:w w:val="105"/>
        </w:rPr>
        <w:t>an</w:t>
      </w:r>
      <w:r w:rsidRPr="00A23800">
        <w:rPr>
          <w:rFonts w:ascii="Calibri" w:hAnsi="Calibri"/>
          <w:color w:val="231F20"/>
          <w:spacing w:val="10"/>
          <w:w w:val="105"/>
        </w:rPr>
        <w:t xml:space="preserve"> </w:t>
      </w:r>
      <w:r w:rsidRPr="00A23800">
        <w:rPr>
          <w:rFonts w:ascii="Calibri" w:hAnsi="Calibri"/>
          <w:color w:val="231F20"/>
          <w:w w:val="105"/>
        </w:rPr>
        <w:t>internal</w:t>
      </w:r>
      <w:r w:rsidRPr="00A23800">
        <w:rPr>
          <w:rFonts w:ascii="Calibri" w:hAnsi="Calibri"/>
          <w:color w:val="231F20"/>
          <w:spacing w:val="10"/>
          <w:w w:val="105"/>
        </w:rPr>
        <w:t xml:space="preserve"> </w:t>
      </w:r>
      <w:r w:rsidRPr="00A23800">
        <w:rPr>
          <w:rFonts w:ascii="Calibri" w:hAnsi="Calibri"/>
          <w:color w:val="231F20"/>
          <w:w w:val="105"/>
        </w:rPr>
        <w:t>portion</w:t>
      </w:r>
      <w:r w:rsidRPr="00A23800">
        <w:rPr>
          <w:rFonts w:ascii="Calibri" w:hAnsi="Calibri"/>
          <w:color w:val="231F20"/>
          <w:spacing w:val="10"/>
          <w:w w:val="105"/>
        </w:rPr>
        <w:t xml:space="preserve"> </w:t>
      </w:r>
      <w:r w:rsidRPr="00A23800">
        <w:rPr>
          <w:rFonts w:ascii="Calibri" w:hAnsi="Calibri"/>
          <w:color w:val="231F20"/>
          <w:w w:val="105"/>
        </w:rPr>
        <w:t>of</w:t>
      </w:r>
      <w:r w:rsidRPr="00A23800">
        <w:rPr>
          <w:rFonts w:ascii="Calibri" w:hAnsi="Calibri"/>
          <w:color w:val="231F20"/>
          <w:spacing w:val="10"/>
          <w:w w:val="105"/>
        </w:rPr>
        <w:t xml:space="preserve"> </w:t>
      </w:r>
      <w:r w:rsidRPr="00A23800">
        <w:rPr>
          <w:rFonts w:ascii="Calibri" w:hAnsi="Calibri"/>
          <w:color w:val="231F20"/>
          <w:w w:val="105"/>
        </w:rPr>
        <w:t>the</w:t>
      </w:r>
      <w:r w:rsidRPr="00A23800">
        <w:rPr>
          <w:rFonts w:ascii="Calibri" w:hAnsi="Calibri"/>
          <w:color w:val="231F20"/>
          <w:spacing w:val="10"/>
          <w:w w:val="105"/>
        </w:rPr>
        <w:t xml:space="preserve"> </w:t>
      </w:r>
      <w:r w:rsidRPr="00A23800">
        <w:rPr>
          <w:rFonts w:ascii="Calibri" w:hAnsi="Calibri"/>
          <w:color w:val="231F20"/>
          <w:w w:val="105"/>
        </w:rPr>
        <w:t>VR</w:t>
      </w:r>
      <w:r w:rsidRPr="00A23800">
        <w:rPr>
          <w:rFonts w:ascii="Calibri" w:hAnsi="Calibri"/>
          <w:color w:val="231F20"/>
          <w:spacing w:val="10"/>
          <w:w w:val="105"/>
        </w:rPr>
        <w:t xml:space="preserve"> </w:t>
      </w:r>
      <w:r w:rsidRPr="00A23800">
        <w:rPr>
          <w:rFonts w:ascii="Calibri" w:hAnsi="Calibri"/>
          <w:color w:val="231F20"/>
          <w:w w:val="105"/>
        </w:rPr>
        <w:t>Intranet,</w:t>
      </w:r>
      <w:r w:rsidRPr="00A23800">
        <w:rPr>
          <w:rFonts w:ascii="Calibri" w:hAnsi="Calibri"/>
          <w:color w:val="231F20"/>
          <w:spacing w:val="10"/>
          <w:w w:val="105"/>
        </w:rPr>
        <w:t xml:space="preserve"> </w:t>
      </w:r>
      <w:r w:rsidRPr="00A23800">
        <w:rPr>
          <w:rFonts w:ascii="Calibri" w:hAnsi="Calibri"/>
          <w:color w:val="231F20"/>
          <w:w w:val="105"/>
        </w:rPr>
        <w:t>or</w:t>
      </w:r>
      <w:r w:rsidRPr="00A23800">
        <w:rPr>
          <w:rFonts w:ascii="Calibri" w:hAnsi="Calibri"/>
          <w:color w:val="231F20"/>
          <w:spacing w:val="10"/>
          <w:w w:val="105"/>
        </w:rPr>
        <w:t xml:space="preserve"> </w:t>
      </w:r>
      <w:r w:rsidRPr="00A23800">
        <w:rPr>
          <w:rFonts w:ascii="Calibri" w:hAnsi="Calibri"/>
          <w:color w:val="231F20"/>
          <w:w w:val="105"/>
        </w:rPr>
        <w:t>to</w:t>
      </w:r>
      <w:r w:rsidRPr="00A23800">
        <w:rPr>
          <w:rFonts w:ascii="Calibri" w:hAnsi="Calibri"/>
          <w:color w:val="231F20"/>
          <w:spacing w:val="10"/>
          <w:w w:val="105"/>
        </w:rPr>
        <w:t xml:space="preserve"> </w:t>
      </w:r>
      <w:r w:rsidRPr="00A23800">
        <w:rPr>
          <w:rFonts w:ascii="Calibri" w:hAnsi="Calibri"/>
          <w:color w:val="231F20"/>
          <w:w w:val="105"/>
        </w:rPr>
        <w:t>an</w:t>
      </w:r>
      <w:r w:rsidRPr="00A23800">
        <w:rPr>
          <w:rFonts w:ascii="Calibri" w:hAnsi="Calibri"/>
          <w:color w:val="231F20"/>
          <w:spacing w:val="10"/>
          <w:w w:val="105"/>
        </w:rPr>
        <w:t xml:space="preserve"> </w:t>
      </w:r>
      <w:r w:rsidRPr="00A23800">
        <w:rPr>
          <w:rFonts w:ascii="Calibri" w:hAnsi="Calibri"/>
          <w:color w:val="231F20"/>
          <w:w w:val="105"/>
        </w:rPr>
        <w:t>outside</w:t>
      </w:r>
      <w:r w:rsidRPr="00A23800">
        <w:rPr>
          <w:rFonts w:ascii="Calibri" w:hAnsi="Calibri"/>
          <w:color w:val="231F20"/>
          <w:spacing w:val="10"/>
          <w:w w:val="105"/>
        </w:rPr>
        <w:t xml:space="preserve"> </w:t>
      </w:r>
      <w:r w:rsidRPr="00A23800">
        <w:rPr>
          <w:rFonts w:ascii="Calibri" w:hAnsi="Calibri"/>
          <w:color w:val="231F20"/>
          <w:w w:val="105"/>
        </w:rPr>
        <w:t>website.</w:t>
      </w:r>
      <w:r w:rsidRPr="00A23800">
        <w:rPr>
          <w:rFonts w:ascii="Calibri" w:hAnsi="Calibri"/>
          <w:color w:val="231F20"/>
          <w:spacing w:val="10"/>
          <w:w w:val="105"/>
        </w:rPr>
        <w:t xml:space="preserve"> </w:t>
      </w:r>
      <w:r w:rsidRPr="00A23800">
        <w:rPr>
          <w:rFonts w:ascii="Calibri" w:hAnsi="Calibri"/>
          <w:color w:val="231F20"/>
          <w:w w:val="105"/>
        </w:rPr>
        <w:t>Each</w:t>
      </w:r>
      <w:r w:rsidRPr="00A23800">
        <w:rPr>
          <w:rFonts w:ascii="Calibri" w:hAnsi="Calibri"/>
          <w:color w:val="231F20"/>
          <w:w w:val="111"/>
        </w:rPr>
        <w:t xml:space="preserve"> </w:t>
      </w:r>
      <w:r w:rsidRPr="00A23800">
        <w:rPr>
          <w:rFonts w:ascii="Calibri" w:hAnsi="Calibri"/>
          <w:color w:val="231F20"/>
          <w:w w:val="105"/>
        </w:rPr>
        <w:t>employee</w:t>
      </w:r>
      <w:r w:rsidRPr="00A23800">
        <w:rPr>
          <w:rFonts w:ascii="Calibri" w:hAnsi="Calibri"/>
          <w:color w:val="231F20"/>
          <w:spacing w:val="26"/>
          <w:w w:val="105"/>
        </w:rPr>
        <w:t xml:space="preserve"> </w:t>
      </w:r>
      <w:r w:rsidRPr="00A23800">
        <w:rPr>
          <w:rFonts w:ascii="Calibri" w:hAnsi="Calibri"/>
          <w:color w:val="231F20"/>
          <w:w w:val="105"/>
        </w:rPr>
        <w:t>can</w:t>
      </w:r>
      <w:r w:rsidRPr="00A23800">
        <w:rPr>
          <w:rFonts w:ascii="Calibri" w:hAnsi="Calibri"/>
          <w:color w:val="231F20"/>
          <w:spacing w:val="26"/>
          <w:w w:val="105"/>
        </w:rPr>
        <w:t xml:space="preserve"> </w:t>
      </w:r>
      <w:r w:rsidRPr="00A23800">
        <w:rPr>
          <w:rFonts w:ascii="Calibri" w:hAnsi="Calibri"/>
          <w:color w:val="231F20"/>
          <w:w w:val="105"/>
        </w:rPr>
        <w:t>then</w:t>
      </w:r>
      <w:r w:rsidRPr="00A23800">
        <w:rPr>
          <w:rFonts w:ascii="Calibri" w:hAnsi="Calibri"/>
          <w:color w:val="231F20"/>
          <w:spacing w:val="26"/>
          <w:w w:val="105"/>
        </w:rPr>
        <w:t xml:space="preserve"> </w:t>
      </w:r>
      <w:r w:rsidRPr="00A23800">
        <w:rPr>
          <w:rFonts w:ascii="Calibri" w:hAnsi="Calibri"/>
          <w:color w:val="231F20"/>
          <w:w w:val="105"/>
        </w:rPr>
        <w:t>bookmark</w:t>
      </w:r>
      <w:r w:rsidRPr="00A23800">
        <w:rPr>
          <w:rFonts w:ascii="Calibri" w:hAnsi="Calibri"/>
          <w:color w:val="231F20"/>
          <w:spacing w:val="26"/>
          <w:w w:val="105"/>
        </w:rPr>
        <w:t xml:space="preserve"> </w:t>
      </w:r>
      <w:r w:rsidRPr="00A23800">
        <w:rPr>
          <w:rFonts w:ascii="Calibri" w:hAnsi="Calibri"/>
          <w:color w:val="231F20"/>
          <w:w w:val="105"/>
        </w:rPr>
        <w:t>any</w:t>
      </w:r>
      <w:r w:rsidRPr="00A23800">
        <w:rPr>
          <w:rFonts w:ascii="Calibri" w:hAnsi="Calibri"/>
          <w:color w:val="231F20"/>
          <w:spacing w:val="26"/>
          <w:w w:val="105"/>
        </w:rPr>
        <w:t xml:space="preserve"> </w:t>
      </w:r>
      <w:r w:rsidRPr="00A23800">
        <w:rPr>
          <w:rFonts w:ascii="Calibri" w:hAnsi="Calibri"/>
          <w:color w:val="231F20"/>
          <w:w w:val="105"/>
        </w:rPr>
        <w:t>page</w:t>
      </w:r>
      <w:r w:rsidRPr="00A23800">
        <w:rPr>
          <w:rFonts w:ascii="Calibri" w:hAnsi="Calibri"/>
          <w:color w:val="231F20"/>
          <w:spacing w:val="26"/>
          <w:w w:val="105"/>
        </w:rPr>
        <w:t xml:space="preserve"> </w:t>
      </w:r>
      <w:r w:rsidRPr="00A23800">
        <w:rPr>
          <w:rFonts w:ascii="Calibri" w:hAnsi="Calibri"/>
          <w:color w:val="231F20"/>
          <w:w w:val="105"/>
        </w:rPr>
        <w:t>for</w:t>
      </w:r>
      <w:r w:rsidRPr="00A23800">
        <w:rPr>
          <w:rFonts w:ascii="Calibri" w:hAnsi="Calibri"/>
          <w:color w:val="231F20"/>
          <w:spacing w:val="26"/>
          <w:w w:val="105"/>
        </w:rPr>
        <w:t xml:space="preserve"> </w:t>
      </w:r>
      <w:r w:rsidRPr="00A23800">
        <w:rPr>
          <w:rFonts w:ascii="Calibri" w:hAnsi="Calibri"/>
          <w:color w:val="231F20"/>
          <w:w w:val="105"/>
        </w:rPr>
        <w:t>easy</w:t>
      </w:r>
      <w:r w:rsidRPr="00A23800">
        <w:rPr>
          <w:rFonts w:ascii="Calibri" w:hAnsi="Calibri"/>
          <w:color w:val="231F20"/>
          <w:spacing w:val="26"/>
          <w:w w:val="105"/>
        </w:rPr>
        <w:t xml:space="preserve"> </w:t>
      </w:r>
      <w:r w:rsidRPr="00A23800">
        <w:rPr>
          <w:rFonts w:ascii="Calibri" w:hAnsi="Calibri"/>
          <w:color w:val="231F20"/>
          <w:w w:val="105"/>
        </w:rPr>
        <w:t>access.</w:t>
      </w:r>
    </w:p>
    <w:p w14:paraId="0F843543" w14:textId="77777777" w:rsidR="00A07550" w:rsidRPr="00A23800" w:rsidRDefault="00A07550" w:rsidP="00D63204">
      <w:pPr>
        <w:widowControl w:val="0"/>
        <w:spacing w:after="0" w:line="240" w:lineRule="auto"/>
        <w:ind w:left="107"/>
        <w:rPr>
          <w:rFonts w:ascii="Calibri" w:hAnsi="Calibri" w:cs="Calibri"/>
        </w:rPr>
      </w:pPr>
    </w:p>
    <w:p w14:paraId="5DFBF9CB" w14:textId="77777777" w:rsidR="00A07550" w:rsidRPr="00A23800" w:rsidRDefault="00A07550" w:rsidP="00D63204">
      <w:pPr>
        <w:widowControl w:val="0"/>
        <w:spacing w:before="192" w:after="0" w:line="240" w:lineRule="auto"/>
        <w:ind w:left="107"/>
        <w:outlineLvl w:val="2"/>
        <w:rPr>
          <w:rFonts w:ascii="Calibri" w:hAnsi="Calibri"/>
        </w:rPr>
      </w:pPr>
      <w:r w:rsidRPr="00A23800">
        <w:rPr>
          <w:rFonts w:ascii="Calibri" w:hAnsi="Calibri"/>
          <w:b/>
          <w:bCs/>
          <w:color w:val="231F20"/>
          <w:w w:val="110"/>
          <w:u w:val="single" w:color="231F20"/>
        </w:rPr>
        <w:t>Needs Assessment and</w:t>
      </w:r>
      <w:r w:rsidRPr="00A23800">
        <w:rPr>
          <w:rFonts w:ascii="Calibri" w:hAnsi="Calibri"/>
          <w:b/>
          <w:bCs/>
          <w:color w:val="231F20"/>
          <w:spacing w:val="6"/>
          <w:w w:val="110"/>
          <w:u w:val="single" w:color="231F20"/>
        </w:rPr>
        <w:t xml:space="preserve"> </w:t>
      </w:r>
      <w:r w:rsidRPr="00A23800">
        <w:rPr>
          <w:rFonts w:ascii="Calibri" w:hAnsi="Calibri"/>
          <w:b/>
          <w:bCs/>
          <w:color w:val="231F20"/>
          <w:w w:val="110"/>
          <w:u w:val="single" w:color="231F20"/>
        </w:rPr>
        <w:t>Evaluation</w:t>
      </w:r>
    </w:p>
    <w:p w14:paraId="26AAD244" w14:textId="09884AD9" w:rsidR="00A07550" w:rsidRPr="00A23800" w:rsidRDefault="00A07550" w:rsidP="00D63204">
      <w:pPr>
        <w:widowControl w:val="0"/>
        <w:spacing w:before="2" w:after="0" w:line="240" w:lineRule="auto"/>
        <w:ind w:left="107"/>
        <w:rPr>
          <w:rFonts w:ascii="Calibri" w:hAnsi="Calibri"/>
        </w:rPr>
      </w:pPr>
      <w:r w:rsidRPr="00A23800">
        <w:rPr>
          <w:rFonts w:ascii="Calibri" w:hAnsi="Calibri"/>
          <w:color w:val="231F20"/>
          <w:w w:val="105"/>
        </w:rPr>
        <w:t>A</w:t>
      </w:r>
      <w:r w:rsidRPr="00A23800">
        <w:rPr>
          <w:rFonts w:ascii="Calibri" w:hAnsi="Calibri"/>
          <w:color w:val="231F20"/>
          <w:spacing w:val="18"/>
          <w:w w:val="105"/>
        </w:rPr>
        <w:t xml:space="preserve"> </w:t>
      </w:r>
      <w:r w:rsidR="00555B5D">
        <w:rPr>
          <w:rFonts w:ascii="Calibri" w:hAnsi="Calibri"/>
          <w:color w:val="231F20"/>
          <w:w w:val="105"/>
        </w:rPr>
        <w:t>bi</w:t>
      </w:r>
      <w:r w:rsidRPr="00A23800">
        <w:rPr>
          <w:rFonts w:ascii="Calibri" w:hAnsi="Calibri"/>
          <w:color w:val="231F20"/>
          <w:w w:val="105"/>
        </w:rPr>
        <w:t>annual</w:t>
      </w:r>
      <w:r w:rsidRPr="00A23800">
        <w:rPr>
          <w:rFonts w:ascii="Calibri" w:hAnsi="Calibri"/>
          <w:color w:val="231F20"/>
          <w:spacing w:val="18"/>
          <w:w w:val="105"/>
        </w:rPr>
        <w:t xml:space="preserve"> </w:t>
      </w:r>
      <w:r w:rsidRPr="00A23800">
        <w:rPr>
          <w:rFonts w:ascii="Calibri" w:hAnsi="Calibri"/>
          <w:color w:val="231F20"/>
          <w:w w:val="105"/>
        </w:rPr>
        <w:t>training</w:t>
      </w:r>
      <w:r w:rsidRPr="00A23800">
        <w:rPr>
          <w:rFonts w:ascii="Calibri" w:hAnsi="Calibri"/>
          <w:color w:val="231F20"/>
          <w:spacing w:val="18"/>
          <w:w w:val="105"/>
        </w:rPr>
        <w:t xml:space="preserve"> </w:t>
      </w:r>
      <w:r w:rsidRPr="00A23800">
        <w:rPr>
          <w:rFonts w:ascii="Calibri" w:hAnsi="Calibri"/>
          <w:color w:val="231F20"/>
          <w:w w:val="105"/>
        </w:rPr>
        <w:t>needs</w:t>
      </w:r>
      <w:r w:rsidRPr="00A23800">
        <w:rPr>
          <w:rFonts w:ascii="Calibri" w:hAnsi="Calibri"/>
          <w:color w:val="231F20"/>
          <w:spacing w:val="18"/>
          <w:w w:val="105"/>
        </w:rPr>
        <w:t xml:space="preserve"> </w:t>
      </w:r>
      <w:r w:rsidRPr="00A23800">
        <w:rPr>
          <w:rFonts w:ascii="Calibri" w:hAnsi="Calibri"/>
          <w:color w:val="231F20"/>
          <w:w w:val="105"/>
        </w:rPr>
        <w:t>assessment</w:t>
      </w:r>
      <w:r w:rsidRPr="00A23800">
        <w:rPr>
          <w:rFonts w:ascii="Calibri" w:hAnsi="Calibri"/>
          <w:color w:val="231F20"/>
          <w:spacing w:val="18"/>
          <w:w w:val="105"/>
        </w:rPr>
        <w:t xml:space="preserve"> </w:t>
      </w:r>
      <w:r w:rsidRPr="00A23800">
        <w:rPr>
          <w:rFonts w:ascii="Calibri" w:hAnsi="Calibri"/>
          <w:color w:val="231F20"/>
          <w:w w:val="105"/>
        </w:rPr>
        <w:t>is</w:t>
      </w:r>
      <w:r w:rsidRPr="00A23800">
        <w:rPr>
          <w:rFonts w:ascii="Calibri" w:hAnsi="Calibri"/>
          <w:color w:val="231F20"/>
          <w:spacing w:val="18"/>
          <w:w w:val="105"/>
        </w:rPr>
        <w:t xml:space="preserve"> </w:t>
      </w:r>
      <w:r w:rsidRPr="00A23800">
        <w:rPr>
          <w:rFonts w:ascii="Calibri" w:hAnsi="Calibri"/>
          <w:color w:val="231F20"/>
          <w:w w:val="105"/>
        </w:rPr>
        <w:t>conducted</w:t>
      </w:r>
      <w:r w:rsidRPr="00A23800">
        <w:rPr>
          <w:rFonts w:ascii="Calibri" w:hAnsi="Calibri"/>
          <w:color w:val="231F20"/>
          <w:spacing w:val="18"/>
          <w:w w:val="105"/>
        </w:rPr>
        <w:t xml:space="preserve"> </w:t>
      </w:r>
      <w:r w:rsidRPr="00A23800">
        <w:rPr>
          <w:rFonts w:ascii="Calibri" w:hAnsi="Calibri"/>
          <w:color w:val="231F20"/>
          <w:w w:val="105"/>
        </w:rPr>
        <w:t>using</w:t>
      </w:r>
      <w:r w:rsidRPr="00A23800">
        <w:rPr>
          <w:rFonts w:ascii="Calibri" w:hAnsi="Calibri"/>
          <w:color w:val="231F20"/>
          <w:spacing w:val="18"/>
          <w:w w:val="105"/>
        </w:rPr>
        <w:t xml:space="preserve"> </w:t>
      </w:r>
      <w:r w:rsidRPr="00A23800">
        <w:rPr>
          <w:rFonts w:ascii="Calibri" w:hAnsi="Calibri"/>
          <w:color w:val="231F20"/>
          <w:w w:val="105"/>
        </w:rPr>
        <w:t>information</w:t>
      </w:r>
      <w:r w:rsidRPr="00A23800">
        <w:rPr>
          <w:rFonts w:ascii="Calibri" w:hAnsi="Calibri"/>
          <w:color w:val="231F20"/>
          <w:spacing w:val="18"/>
          <w:w w:val="105"/>
        </w:rPr>
        <w:t xml:space="preserve"> </w:t>
      </w:r>
      <w:r w:rsidRPr="00A23800">
        <w:rPr>
          <w:rFonts w:ascii="Calibri" w:hAnsi="Calibri"/>
          <w:color w:val="231F20"/>
          <w:w w:val="105"/>
        </w:rPr>
        <w:t>from</w:t>
      </w:r>
      <w:r w:rsidRPr="00A23800">
        <w:rPr>
          <w:rFonts w:ascii="Calibri" w:hAnsi="Calibri"/>
          <w:color w:val="231F20"/>
          <w:spacing w:val="18"/>
          <w:w w:val="105"/>
        </w:rPr>
        <w:t xml:space="preserve"> </w:t>
      </w:r>
      <w:r w:rsidR="00096B5A" w:rsidRPr="00A23800">
        <w:rPr>
          <w:rFonts w:ascii="Calibri" w:hAnsi="Calibri"/>
          <w:color w:val="231F20"/>
          <w:w w:val="105"/>
        </w:rPr>
        <w:t>several</w:t>
      </w:r>
      <w:r w:rsidRPr="00A23800">
        <w:rPr>
          <w:rFonts w:ascii="Calibri" w:hAnsi="Calibri"/>
          <w:color w:val="231F20"/>
          <w:spacing w:val="18"/>
          <w:w w:val="105"/>
        </w:rPr>
        <w:t xml:space="preserve"> </w:t>
      </w:r>
      <w:r w:rsidRPr="00A23800">
        <w:rPr>
          <w:rFonts w:ascii="Calibri" w:hAnsi="Calibri"/>
          <w:color w:val="231F20"/>
          <w:w w:val="105"/>
        </w:rPr>
        <w:t>sources.</w:t>
      </w:r>
      <w:r w:rsidRPr="00A23800">
        <w:rPr>
          <w:rFonts w:ascii="Calibri" w:hAnsi="Calibri"/>
          <w:color w:val="231F20"/>
          <w:spacing w:val="18"/>
          <w:w w:val="105"/>
        </w:rPr>
        <w:t xml:space="preserve"> </w:t>
      </w:r>
      <w:r w:rsidRPr="00A23800">
        <w:rPr>
          <w:rFonts w:ascii="Calibri" w:hAnsi="Calibri"/>
          <w:color w:val="231F20"/>
          <w:w w:val="105"/>
        </w:rPr>
        <w:t>These</w:t>
      </w:r>
      <w:r w:rsidRPr="00A23800">
        <w:rPr>
          <w:rFonts w:ascii="Calibri" w:hAnsi="Calibri"/>
          <w:color w:val="231F20"/>
          <w:w w:val="113"/>
        </w:rPr>
        <w:t xml:space="preserve"> </w:t>
      </w:r>
      <w:r w:rsidRPr="00A23800">
        <w:rPr>
          <w:rFonts w:ascii="Calibri" w:hAnsi="Calibri"/>
          <w:color w:val="231F20"/>
          <w:w w:val="105"/>
        </w:rPr>
        <w:t>include</w:t>
      </w:r>
      <w:r w:rsidRPr="00A23800">
        <w:rPr>
          <w:rFonts w:ascii="Calibri" w:hAnsi="Calibri"/>
          <w:color w:val="231F20"/>
          <w:spacing w:val="13"/>
          <w:w w:val="105"/>
        </w:rPr>
        <w:t xml:space="preserve"> </w:t>
      </w:r>
      <w:r w:rsidRPr="00A23800">
        <w:rPr>
          <w:rFonts w:ascii="Calibri" w:hAnsi="Calibri"/>
          <w:color w:val="231F20"/>
          <w:w w:val="105"/>
        </w:rPr>
        <w:t>a</w:t>
      </w:r>
      <w:r w:rsidRPr="00A23800">
        <w:rPr>
          <w:rFonts w:ascii="Calibri" w:hAnsi="Calibri"/>
          <w:color w:val="231F20"/>
          <w:spacing w:val="13"/>
          <w:w w:val="105"/>
        </w:rPr>
        <w:t xml:space="preserve"> </w:t>
      </w:r>
      <w:r w:rsidRPr="00A23800">
        <w:rPr>
          <w:rFonts w:ascii="Calibri" w:hAnsi="Calibri"/>
          <w:color w:val="231F20"/>
          <w:w w:val="105"/>
        </w:rPr>
        <w:t>formal</w:t>
      </w:r>
      <w:r w:rsidRPr="00A23800">
        <w:rPr>
          <w:rFonts w:ascii="Calibri" w:hAnsi="Calibri"/>
          <w:color w:val="231F20"/>
          <w:spacing w:val="13"/>
          <w:w w:val="105"/>
        </w:rPr>
        <w:t xml:space="preserve"> </w:t>
      </w:r>
      <w:r w:rsidRPr="00A23800">
        <w:rPr>
          <w:rFonts w:ascii="Calibri" w:hAnsi="Calibri"/>
          <w:color w:val="231F20"/>
          <w:w w:val="105"/>
        </w:rPr>
        <w:t>needs</w:t>
      </w:r>
      <w:r w:rsidRPr="00A23800">
        <w:rPr>
          <w:rFonts w:ascii="Calibri" w:hAnsi="Calibri"/>
          <w:color w:val="231F20"/>
          <w:spacing w:val="13"/>
          <w:w w:val="105"/>
        </w:rPr>
        <w:t xml:space="preserve"> </w:t>
      </w:r>
      <w:r w:rsidRPr="00A23800">
        <w:rPr>
          <w:rFonts w:ascii="Calibri" w:hAnsi="Calibri"/>
          <w:color w:val="231F20"/>
          <w:w w:val="105"/>
        </w:rPr>
        <w:t>assessment</w:t>
      </w:r>
      <w:r w:rsidRPr="00A23800">
        <w:rPr>
          <w:rFonts w:ascii="Calibri" w:hAnsi="Calibri"/>
          <w:color w:val="231F20"/>
          <w:spacing w:val="13"/>
          <w:w w:val="105"/>
        </w:rPr>
        <w:t xml:space="preserve"> </w:t>
      </w:r>
      <w:r w:rsidRPr="00A23800">
        <w:rPr>
          <w:rFonts w:ascii="Calibri" w:hAnsi="Calibri"/>
          <w:color w:val="231F20"/>
          <w:w w:val="105"/>
        </w:rPr>
        <w:t>instrument,</w:t>
      </w:r>
      <w:r w:rsidRPr="00A23800">
        <w:rPr>
          <w:rFonts w:ascii="Calibri" w:hAnsi="Calibri"/>
          <w:color w:val="231F20"/>
          <w:spacing w:val="13"/>
          <w:w w:val="105"/>
        </w:rPr>
        <w:t xml:space="preserve"> </w:t>
      </w:r>
      <w:r w:rsidRPr="00A23800">
        <w:rPr>
          <w:rFonts w:ascii="Calibri" w:hAnsi="Calibri"/>
          <w:color w:val="231F20"/>
          <w:w w:val="105"/>
        </w:rPr>
        <w:t>performance</w:t>
      </w:r>
      <w:r w:rsidRPr="00A23800">
        <w:rPr>
          <w:rFonts w:ascii="Calibri" w:hAnsi="Calibri"/>
          <w:color w:val="231F20"/>
          <w:spacing w:val="13"/>
          <w:w w:val="105"/>
        </w:rPr>
        <w:t xml:space="preserve"> </w:t>
      </w:r>
      <w:r w:rsidRPr="00A23800">
        <w:rPr>
          <w:rFonts w:ascii="Calibri" w:hAnsi="Calibri"/>
          <w:color w:val="231F20"/>
          <w:w w:val="105"/>
        </w:rPr>
        <w:t>evaluation</w:t>
      </w:r>
      <w:r w:rsidRPr="00A23800">
        <w:rPr>
          <w:rFonts w:ascii="Calibri" w:hAnsi="Calibri"/>
          <w:color w:val="231F20"/>
          <w:spacing w:val="13"/>
          <w:w w:val="105"/>
        </w:rPr>
        <w:t xml:space="preserve"> </w:t>
      </w:r>
      <w:r w:rsidRPr="00A23800">
        <w:rPr>
          <w:rFonts w:ascii="Calibri" w:hAnsi="Calibri"/>
          <w:color w:val="231F20"/>
          <w:w w:val="105"/>
        </w:rPr>
        <w:t>data,</w:t>
      </w:r>
      <w:r w:rsidRPr="00A23800">
        <w:rPr>
          <w:rFonts w:ascii="Calibri" w:hAnsi="Calibri"/>
          <w:color w:val="231F20"/>
          <w:spacing w:val="13"/>
          <w:w w:val="105"/>
        </w:rPr>
        <w:t xml:space="preserve"> </w:t>
      </w:r>
      <w:r w:rsidRPr="00A23800">
        <w:rPr>
          <w:rFonts w:ascii="Calibri" w:hAnsi="Calibri"/>
          <w:color w:val="231F20"/>
          <w:w w:val="105"/>
        </w:rPr>
        <w:t>training</w:t>
      </w:r>
      <w:r w:rsidRPr="00A23800">
        <w:rPr>
          <w:rFonts w:ascii="Calibri" w:hAnsi="Calibri"/>
          <w:color w:val="231F20"/>
          <w:spacing w:val="13"/>
          <w:w w:val="105"/>
        </w:rPr>
        <w:t xml:space="preserve"> </w:t>
      </w:r>
      <w:r w:rsidRPr="00A23800">
        <w:rPr>
          <w:rFonts w:ascii="Calibri" w:hAnsi="Calibri"/>
          <w:color w:val="231F20"/>
          <w:w w:val="105"/>
        </w:rPr>
        <w:t>evaluation</w:t>
      </w:r>
      <w:r w:rsidRPr="00A23800">
        <w:rPr>
          <w:rFonts w:ascii="Calibri" w:hAnsi="Calibri"/>
          <w:color w:val="231F20"/>
          <w:spacing w:val="13"/>
          <w:w w:val="105"/>
        </w:rPr>
        <w:t xml:space="preserve"> </w:t>
      </w:r>
      <w:r w:rsidRPr="00A23800">
        <w:rPr>
          <w:rFonts w:ascii="Calibri" w:hAnsi="Calibri"/>
          <w:color w:val="231F20"/>
          <w:w w:val="105"/>
        </w:rPr>
        <w:t>sheets</w:t>
      </w:r>
      <w:r w:rsidRPr="00A23800">
        <w:rPr>
          <w:rFonts w:ascii="Calibri" w:hAnsi="Calibri"/>
          <w:color w:val="231F20"/>
          <w:spacing w:val="-43"/>
          <w:w w:val="105"/>
        </w:rPr>
        <w:t xml:space="preserve"> </w:t>
      </w:r>
      <w:r w:rsidRPr="00A23800">
        <w:rPr>
          <w:rFonts w:ascii="Calibri" w:hAnsi="Calibri"/>
          <w:color w:val="231F20"/>
          <w:w w:val="105"/>
        </w:rPr>
        <w:t>obtained</w:t>
      </w:r>
      <w:r w:rsidRPr="00A23800">
        <w:rPr>
          <w:rFonts w:ascii="Calibri" w:hAnsi="Calibri"/>
          <w:color w:val="231F20"/>
          <w:spacing w:val="17"/>
          <w:w w:val="105"/>
        </w:rPr>
        <w:t xml:space="preserve"> </w:t>
      </w:r>
      <w:r w:rsidRPr="00A23800">
        <w:rPr>
          <w:rFonts w:ascii="Calibri" w:hAnsi="Calibri"/>
          <w:color w:val="231F20"/>
          <w:w w:val="105"/>
        </w:rPr>
        <w:t>from</w:t>
      </w:r>
      <w:r w:rsidRPr="00A23800">
        <w:rPr>
          <w:rFonts w:ascii="Calibri" w:hAnsi="Calibri"/>
          <w:color w:val="231F20"/>
          <w:spacing w:val="17"/>
          <w:w w:val="105"/>
        </w:rPr>
        <w:t xml:space="preserve"> </w:t>
      </w:r>
      <w:r w:rsidRPr="00A23800">
        <w:rPr>
          <w:rFonts w:ascii="Calibri" w:hAnsi="Calibri"/>
          <w:color w:val="231F20"/>
          <w:w w:val="105"/>
        </w:rPr>
        <w:t>every</w:t>
      </w:r>
      <w:r w:rsidRPr="00A23800">
        <w:rPr>
          <w:rFonts w:ascii="Calibri" w:hAnsi="Calibri"/>
          <w:color w:val="231F20"/>
          <w:spacing w:val="17"/>
          <w:w w:val="105"/>
        </w:rPr>
        <w:t xml:space="preserve"> </w:t>
      </w:r>
      <w:r w:rsidRPr="00A23800">
        <w:rPr>
          <w:rFonts w:ascii="Calibri" w:hAnsi="Calibri"/>
          <w:color w:val="231F20"/>
          <w:w w:val="105"/>
        </w:rPr>
        <w:t>sponsored</w:t>
      </w:r>
      <w:r w:rsidRPr="00A23800">
        <w:rPr>
          <w:rFonts w:ascii="Calibri" w:hAnsi="Calibri"/>
          <w:color w:val="231F20"/>
          <w:spacing w:val="17"/>
          <w:w w:val="105"/>
        </w:rPr>
        <w:t xml:space="preserve"> </w:t>
      </w:r>
      <w:r w:rsidRPr="00A23800">
        <w:rPr>
          <w:rFonts w:ascii="Calibri" w:hAnsi="Calibri"/>
          <w:color w:val="231F20"/>
          <w:w w:val="105"/>
        </w:rPr>
        <w:t>program,</w:t>
      </w:r>
      <w:r w:rsidRPr="00A23800">
        <w:rPr>
          <w:rFonts w:ascii="Calibri" w:hAnsi="Calibri"/>
          <w:color w:val="231F20"/>
          <w:spacing w:val="17"/>
          <w:w w:val="105"/>
        </w:rPr>
        <w:t xml:space="preserve"> </w:t>
      </w:r>
      <w:r w:rsidRPr="00A23800">
        <w:rPr>
          <w:rFonts w:ascii="Calibri" w:hAnsi="Calibri"/>
          <w:color w:val="231F20"/>
          <w:w w:val="105"/>
        </w:rPr>
        <w:t>exit</w:t>
      </w:r>
      <w:r w:rsidRPr="00A23800">
        <w:rPr>
          <w:rFonts w:ascii="Calibri" w:hAnsi="Calibri"/>
          <w:color w:val="231F20"/>
          <w:spacing w:val="17"/>
          <w:w w:val="105"/>
        </w:rPr>
        <w:t xml:space="preserve"> </w:t>
      </w:r>
      <w:r w:rsidRPr="00A23800">
        <w:rPr>
          <w:rFonts w:ascii="Calibri" w:hAnsi="Calibri"/>
          <w:color w:val="231F20"/>
          <w:w w:val="105"/>
        </w:rPr>
        <w:t>interviews</w:t>
      </w:r>
      <w:r w:rsidR="00D5537E">
        <w:rPr>
          <w:rFonts w:ascii="Calibri" w:hAnsi="Calibri"/>
          <w:color w:val="231F20"/>
          <w:w w:val="105"/>
        </w:rPr>
        <w:t xml:space="preserve"> and</w:t>
      </w:r>
      <w:r w:rsidRPr="00A23800">
        <w:rPr>
          <w:rFonts w:ascii="Calibri" w:hAnsi="Calibri"/>
          <w:color w:val="231F20"/>
          <w:spacing w:val="17"/>
          <w:w w:val="105"/>
        </w:rPr>
        <w:t xml:space="preserve"> </w:t>
      </w:r>
      <w:r w:rsidRPr="00A23800">
        <w:rPr>
          <w:rFonts w:ascii="Calibri" w:hAnsi="Calibri"/>
          <w:color w:val="231F20"/>
          <w:w w:val="105"/>
        </w:rPr>
        <w:t>supervisory</w:t>
      </w:r>
      <w:r w:rsidRPr="00A23800">
        <w:rPr>
          <w:rFonts w:ascii="Calibri" w:hAnsi="Calibri"/>
          <w:color w:val="231F20"/>
          <w:spacing w:val="17"/>
          <w:w w:val="105"/>
        </w:rPr>
        <w:t xml:space="preserve"> </w:t>
      </w:r>
      <w:r w:rsidRPr="00A23800">
        <w:rPr>
          <w:rFonts w:ascii="Calibri" w:hAnsi="Calibri"/>
          <w:color w:val="231F20"/>
          <w:w w:val="105"/>
        </w:rPr>
        <w:t>input.</w:t>
      </w:r>
      <w:r w:rsidRPr="00A23800">
        <w:rPr>
          <w:rFonts w:ascii="Calibri" w:hAnsi="Calibri"/>
          <w:color w:val="231F20"/>
          <w:spacing w:val="17"/>
          <w:w w:val="105"/>
        </w:rPr>
        <w:t xml:space="preserve"> </w:t>
      </w:r>
      <w:r w:rsidRPr="00A23800">
        <w:rPr>
          <w:rFonts w:ascii="Calibri" w:hAnsi="Calibri"/>
          <w:color w:val="231F20"/>
          <w:w w:val="105"/>
        </w:rPr>
        <w:t>The</w:t>
      </w:r>
      <w:r w:rsidRPr="00A23800">
        <w:rPr>
          <w:rFonts w:ascii="Calibri" w:hAnsi="Calibri"/>
          <w:color w:val="231F20"/>
          <w:spacing w:val="17"/>
          <w:w w:val="105"/>
        </w:rPr>
        <w:t xml:space="preserve"> </w:t>
      </w:r>
      <w:r w:rsidRPr="00A23800">
        <w:rPr>
          <w:rFonts w:ascii="Calibri" w:hAnsi="Calibri"/>
          <w:color w:val="231F20"/>
          <w:w w:val="105"/>
        </w:rPr>
        <w:t>needs</w:t>
      </w:r>
      <w:r w:rsidRPr="00A23800">
        <w:rPr>
          <w:rFonts w:ascii="Calibri" w:hAnsi="Calibri"/>
          <w:color w:val="231F20"/>
          <w:spacing w:val="17"/>
          <w:w w:val="105"/>
        </w:rPr>
        <w:t xml:space="preserve"> </w:t>
      </w:r>
      <w:r w:rsidRPr="00A23800">
        <w:rPr>
          <w:rFonts w:ascii="Calibri" w:hAnsi="Calibri"/>
          <w:color w:val="231F20"/>
          <w:w w:val="105"/>
        </w:rPr>
        <w:t>assessment</w:t>
      </w:r>
      <w:r w:rsidRPr="00A23800">
        <w:rPr>
          <w:rFonts w:ascii="Calibri" w:hAnsi="Calibri"/>
          <w:color w:val="231F20"/>
          <w:spacing w:val="-36"/>
          <w:w w:val="105"/>
        </w:rPr>
        <w:t xml:space="preserve"> </w:t>
      </w:r>
      <w:r w:rsidRPr="00A23800">
        <w:rPr>
          <w:rFonts w:ascii="Calibri" w:hAnsi="Calibri"/>
          <w:color w:val="231F20"/>
          <w:w w:val="105"/>
        </w:rPr>
        <w:t>data determines program development and modification.</w:t>
      </w:r>
    </w:p>
    <w:p w14:paraId="0251354D" w14:textId="1B83C400" w:rsidR="00A07550" w:rsidRPr="00A23800" w:rsidRDefault="00A07550" w:rsidP="00D63204">
      <w:pPr>
        <w:widowControl w:val="0"/>
        <w:spacing w:before="195" w:after="0" w:line="240" w:lineRule="auto"/>
        <w:ind w:left="107"/>
        <w:rPr>
          <w:rFonts w:ascii="Calibri" w:hAnsi="Calibri"/>
        </w:rPr>
      </w:pPr>
      <w:r w:rsidRPr="00A23800">
        <w:rPr>
          <w:rFonts w:ascii="Calibri" w:hAnsi="Calibri"/>
          <w:color w:val="231F20"/>
          <w:w w:val="105"/>
        </w:rPr>
        <w:t>Annual</w:t>
      </w:r>
      <w:r w:rsidRPr="00A23800">
        <w:rPr>
          <w:rFonts w:ascii="Calibri" w:hAnsi="Calibri"/>
          <w:color w:val="231F20"/>
          <w:spacing w:val="6"/>
          <w:w w:val="105"/>
        </w:rPr>
        <w:t xml:space="preserve"> </w:t>
      </w:r>
      <w:r w:rsidRPr="00A23800">
        <w:rPr>
          <w:rFonts w:ascii="Calibri" w:hAnsi="Calibri"/>
          <w:color w:val="231F20"/>
          <w:w w:val="105"/>
        </w:rPr>
        <w:t>performance</w:t>
      </w:r>
      <w:r w:rsidRPr="00A23800">
        <w:rPr>
          <w:rFonts w:ascii="Calibri" w:hAnsi="Calibri"/>
          <w:color w:val="231F20"/>
          <w:spacing w:val="6"/>
          <w:w w:val="105"/>
        </w:rPr>
        <w:t xml:space="preserve"> </w:t>
      </w:r>
      <w:r w:rsidRPr="00A23800">
        <w:rPr>
          <w:rFonts w:ascii="Calibri" w:hAnsi="Calibri"/>
          <w:color w:val="231F20"/>
          <w:w w:val="105"/>
        </w:rPr>
        <w:t>evaluations</w:t>
      </w:r>
      <w:r w:rsidRPr="00A23800">
        <w:rPr>
          <w:rFonts w:ascii="Calibri" w:hAnsi="Calibri"/>
          <w:color w:val="231F20"/>
          <w:spacing w:val="6"/>
          <w:w w:val="105"/>
        </w:rPr>
        <w:t xml:space="preserve"> </w:t>
      </w:r>
      <w:r w:rsidRPr="00A23800">
        <w:rPr>
          <w:rFonts w:ascii="Calibri" w:hAnsi="Calibri"/>
          <w:color w:val="231F20"/>
          <w:w w:val="105"/>
        </w:rPr>
        <w:t>are</w:t>
      </w:r>
      <w:r w:rsidRPr="00A23800">
        <w:rPr>
          <w:rFonts w:ascii="Calibri" w:hAnsi="Calibri"/>
          <w:color w:val="231F20"/>
          <w:spacing w:val="6"/>
          <w:w w:val="105"/>
        </w:rPr>
        <w:t xml:space="preserve"> </w:t>
      </w:r>
      <w:r w:rsidRPr="00A23800">
        <w:rPr>
          <w:rFonts w:ascii="Calibri" w:hAnsi="Calibri"/>
          <w:color w:val="231F20"/>
          <w:w w:val="105"/>
        </w:rPr>
        <w:t>conducted</w:t>
      </w:r>
      <w:r w:rsidRPr="00A23800">
        <w:rPr>
          <w:rFonts w:ascii="Calibri" w:hAnsi="Calibri"/>
          <w:color w:val="231F20"/>
          <w:spacing w:val="6"/>
          <w:w w:val="105"/>
        </w:rPr>
        <w:t xml:space="preserve"> </w:t>
      </w:r>
      <w:r w:rsidRPr="00A23800">
        <w:rPr>
          <w:rFonts w:ascii="Calibri" w:hAnsi="Calibri"/>
          <w:color w:val="231F20"/>
          <w:w w:val="105"/>
        </w:rPr>
        <w:t>on</w:t>
      </w:r>
      <w:r w:rsidRPr="00A23800">
        <w:rPr>
          <w:rFonts w:ascii="Calibri" w:hAnsi="Calibri"/>
          <w:color w:val="231F20"/>
          <w:spacing w:val="6"/>
          <w:w w:val="105"/>
        </w:rPr>
        <w:t xml:space="preserve"> </w:t>
      </w:r>
      <w:r w:rsidRPr="00A23800">
        <w:rPr>
          <w:rFonts w:ascii="Calibri" w:hAnsi="Calibri"/>
          <w:color w:val="231F20"/>
          <w:w w:val="105"/>
        </w:rPr>
        <w:t>each</w:t>
      </w:r>
      <w:r w:rsidRPr="00A23800">
        <w:rPr>
          <w:rFonts w:ascii="Calibri" w:hAnsi="Calibri"/>
          <w:color w:val="231F20"/>
          <w:spacing w:val="6"/>
          <w:w w:val="105"/>
        </w:rPr>
        <w:t xml:space="preserve"> </w:t>
      </w:r>
      <w:r w:rsidRPr="00A23800">
        <w:rPr>
          <w:rFonts w:ascii="Calibri" w:hAnsi="Calibri"/>
          <w:color w:val="231F20"/>
          <w:w w:val="105"/>
        </w:rPr>
        <w:t>employee,</w:t>
      </w:r>
      <w:r w:rsidRPr="00A23800">
        <w:rPr>
          <w:rFonts w:ascii="Calibri" w:hAnsi="Calibri"/>
          <w:color w:val="231F20"/>
          <w:spacing w:val="6"/>
          <w:w w:val="105"/>
        </w:rPr>
        <w:t xml:space="preserve"> </w:t>
      </w:r>
      <w:r w:rsidRPr="00A23800">
        <w:rPr>
          <w:rFonts w:ascii="Calibri" w:hAnsi="Calibri"/>
          <w:color w:val="231F20"/>
          <w:w w:val="105"/>
        </w:rPr>
        <w:t>with</w:t>
      </w:r>
      <w:r w:rsidRPr="00A23800">
        <w:rPr>
          <w:rFonts w:ascii="Calibri" w:hAnsi="Calibri"/>
          <w:color w:val="231F20"/>
          <w:spacing w:val="6"/>
          <w:w w:val="105"/>
        </w:rPr>
        <w:t xml:space="preserve"> </w:t>
      </w:r>
      <w:r w:rsidRPr="00A23800">
        <w:rPr>
          <w:rFonts w:ascii="Calibri" w:hAnsi="Calibri"/>
          <w:color w:val="231F20"/>
          <w:w w:val="105"/>
        </w:rPr>
        <w:t>intermittent</w:t>
      </w:r>
      <w:r w:rsidRPr="00A23800">
        <w:rPr>
          <w:rFonts w:ascii="Calibri" w:hAnsi="Calibri"/>
          <w:color w:val="231F20"/>
          <w:spacing w:val="6"/>
          <w:w w:val="105"/>
        </w:rPr>
        <w:t xml:space="preserve"> </w:t>
      </w:r>
      <w:r w:rsidRPr="00A23800">
        <w:rPr>
          <w:rFonts w:ascii="Calibri" w:hAnsi="Calibri"/>
          <w:color w:val="231F20"/>
          <w:w w:val="105"/>
        </w:rPr>
        <w:t>evaluation,</w:t>
      </w:r>
      <w:r w:rsidRPr="00A23800">
        <w:rPr>
          <w:rFonts w:ascii="Calibri" w:hAnsi="Calibri"/>
          <w:color w:val="231F20"/>
          <w:spacing w:val="6"/>
          <w:w w:val="105"/>
        </w:rPr>
        <w:t xml:space="preserve"> </w:t>
      </w:r>
      <w:r w:rsidRPr="00A23800">
        <w:rPr>
          <w:rFonts w:ascii="Calibri" w:hAnsi="Calibri"/>
          <w:color w:val="231F20"/>
          <w:w w:val="105"/>
        </w:rPr>
        <w:t>if</w:t>
      </w:r>
      <w:r w:rsidRPr="00A23800">
        <w:rPr>
          <w:rFonts w:ascii="Calibri" w:hAnsi="Calibri"/>
          <w:color w:val="231F20"/>
          <w:spacing w:val="-27"/>
          <w:w w:val="105"/>
        </w:rPr>
        <w:t xml:space="preserve"> </w:t>
      </w:r>
      <w:r w:rsidRPr="00A23800">
        <w:rPr>
          <w:rFonts w:ascii="Calibri" w:hAnsi="Calibri"/>
          <w:color w:val="231F20"/>
          <w:w w:val="105"/>
        </w:rPr>
        <w:t>indicated.</w:t>
      </w:r>
      <w:r w:rsidRPr="00A23800">
        <w:rPr>
          <w:rFonts w:ascii="Calibri" w:hAnsi="Calibri"/>
          <w:color w:val="231F20"/>
          <w:spacing w:val="19"/>
          <w:w w:val="105"/>
        </w:rPr>
        <w:t xml:space="preserve"> </w:t>
      </w:r>
      <w:r w:rsidRPr="00A23800">
        <w:rPr>
          <w:rFonts w:ascii="Calibri" w:hAnsi="Calibri"/>
          <w:color w:val="231F20"/>
          <w:w w:val="105"/>
        </w:rPr>
        <w:t>Performance</w:t>
      </w:r>
      <w:r w:rsidRPr="00A23800">
        <w:rPr>
          <w:rFonts w:ascii="Calibri" w:hAnsi="Calibri"/>
          <w:color w:val="231F20"/>
          <w:spacing w:val="19"/>
          <w:w w:val="105"/>
        </w:rPr>
        <w:t xml:space="preserve"> </w:t>
      </w:r>
      <w:r w:rsidRPr="00A23800">
        <w:rPr>
          <w:rFonts w:ascii="Calibri" w:hAnsi="Calibri"/>
          <w:color w:val="231F20"/>
          <w:w w:val="105"/>
        </w:rPr>
        <w:t>is</w:t>
      </w:r>
      <w:r w:rsidRPr="00A23800">
        <w:rPr>
          <w:rFonts w:ascii="Calibri" w:hAnsi="Calibri"/>
          <w:color w:val="231F20"/>
          <w:spacing w:val="19"/>
          <w:w w:val="105"/>
        </w:rPr>
        <w:t xml:space="preserve"> </w:t>
      </w:r>
      <w:r w:rsidRPr="00A23800">
        <w:rPr>
          <w:rFonts w:ascii="Calibri" w:hAnsi="Calibri"/>
          <w:color w:val="231F20"/>
          <w:w w:val="105"/>
        </w:rPr>
        <w:t>evaluated</w:t>
      </w:r>
      <w:r w:rsidRPr="00A23800">
        <w:rPr>
          <w:rFonts w:ascii="Calibri" w:hAnsi="Calibri"/>
          <w:color w:val="231F20"/>
          <w:spacing w:val="19"/>
          <w:w w:val="105"/>
        </w:rPr>
        <w:t xml:space="preserve"> </w:t>
      </w:r>
      <w:r w:rsidRPr="00A23800">
        <w:rPr>
          <w:rFonts w:ascii="Calibri" w:hAnsi="Calibri"/>
          <w:color w:val="231F20"/>
          <w:w w:val="105"/>
        </w:rPr>
        <w:t>according</w:t>
      </w:r>
      <w:r w:rsidRPr="00A23800">
        <w:rPr>
          <w:rFonts w:ascii="Calibri" w:hAnsi="Calibri"/>
          <w:color w:val="231F20"/>
          <w:spacing w:val="19"/>
          <w:w w:val="105"/>
        </w:rPr>
        <w:t xml:space="preserve"> </w:t>
      </w:r>
      <w:r w:rsidRPr="00A23800">
        <w:rPr>
          <w:rFonts w:ascii="Calibri" w:hAnsi="Calibri"/>
          <w:color w:val="231F20"/>
          <w:w w:val="105"/>
        </w:rPr>
        <w:t>to</w:t>
      </w:r>
      <w:r w:rsidRPr="00A23800">
        <w:rPr>
          <w:rFonts w:ascii="Calibri" w:hAnsi="Calibri"/>
          <w:color w:val="231F20"/>
          <w:spacing w:val="19"/>
          <w:w w:val="105"/>
        </w:rPr>
        <w:t xml:space="preserve"> </w:t>
      </w:r>
      <w:r w:rsidRPr="00A23800">
        <w:rPr>
          <w:rFonts w:ascii="Calibri" w:hAnsi="Calibri"/>
          <w:color w:val="231F20"/>
          <w:w w:val="105"/>
        </w:rPr>
        <w:t>standards</w:t>
      </w:r>
      <w:r w:rsidRPr="00A23800">
        <w:rPr>
          <w:rFonts w:ascii="Calibri" w:hAnsi="Calibri"/>
          <w:color w:val="231F20"/>
          <w:spacing w:val="19"/>
          <w:w w:val="105"/>
        </w:rPr>
        <w:t xml:space="preserve"> </w:t>
      </w:r>
      <w:r w:rsidRPr="00A23800">
        <w:rPr>
          <w:rFonts w:ascii="Calibri" w:hAnsi="Calibri"/>
          <w:color w:val="231F20"/>
          <w:w w:val="105"/>
        </w:rPr>
        <w:t>and</w:t>
      </w:r>
      <w:r w:rsidRPr="00A23800">
        <w:rPr>
          <w:rFonts w:ascii="Calibri" w:hAnsi="Calibri"/>
          <w:color w:val="231F20"/>
          <w:spacing w:val="19"/>
          <w:w w:val="105"/>
        </w:rPr>
        <w:t xml:space="preserve"> </w:t>
      </w:r>
      <w:r w:rsidRPr="00A23800">
        <w:rPr>
          <w:rFonts w:ascii="Calibri" w:hAnsi="Calibri"/>
          <w:color w:val="231F20"/>
          <w:w w:val="105"/>
        </w:rPr>
        <w:t>goals</w:t>
      </w:r>
      <w:r w:rsidRPr="00A23800">
        <w:rPr>
          <w:rFonts w:ascii="Calibri" w:hAnsi="Calibri"/>
          <w:color w:val="231F20"/>
          <w:spacing w:val="19"/>
          <w:w w:val="105"/>
        </w:rPr>
        <w:t xml:space="preserve"> </w:t>
      </w:r>
      <w:r w:rsidRPr="00A23800">
        <w:rPr>
          <w:rFonts w:ascii="Calibri" w:hAnsi="Calibri"/>
          <w:color w:val="231F20"/>
          <w:w w:val="105"/>
        </w:rPr>
        <w:t>established</w:t>
      </w:r>
      <w:r w:rsidRPr="00A23800">
        <w:rPr>
          <w:rFonts w:ascii="Calibri" w:hAnsi="Calibri"/>
          <w:color w:val="231F20"/>
          <w:spacing w:val="19"/>
          <w:w w:val="105"/>
        </w:rPr>
        <w:t xml:space="preserve"> </w:t>
      </w:r>
      <w:r w:rsidRPr="00A23800">
        <w:rPr>
          <w:rFonts w:ascii="Calibri" w:hAnsi="Calibri"/>
          <w:color w:val="231F20"/>
          <w:w w:val="105"/>
        </w:rPr>
        <w:t>at</w:t>
      </w:r>
      <w:r w:rsidRPr="00A23800">
        <w:rPr>
          <w:rFonts w:ascii="Calibri" w:hAnsi="Calibri"/>
          <w:color w:val="231F20"/>
          <w:spacing w:val="19"/>
          <w:w w:val="105"/>
        </w:rPr>
        <w:t xml:space="preserve"> </w:t>
      </w:r>
      <w:r w:rsidRPr="00A23800">
        <w:rPr>
          <w:rFonts w:ascii="Calibri" w:hAnsi="Calibri"/>
          <w:color w:val="231F20"/>
          <w:w w:val="105"/>
        </w:rPr>
        <w:t>the</w:t>
      </w:r>
      <w:r w:rsidRPr="00A23800">
        <w:rPr>
          <w:rFonts w:ascii="Calibri" w:hAnsi="Calibri"/>
          <w:color w:val="231F20"/>
          <w:spacing w:val="19"/>
          <w:w w:val="105"/>
        </w:rPr>
        <w:t xml:space="preserve"> </w:t>
      </w:r>
      <w:r w:rsidRPr="00A23800">
        <w:rPr>
          <w:rFonts w:ascii="Calibri" w:hAnsi="Calibri"/>
          <w:color w:val="231F20"/>
          <w:w w:val="105"/>
        </w:rPr>
        <w:t>beginning</w:t>
      </w:r>
      <w:r w:rsidRPr="00A23800">
        <w:rPr>
          <w:rFonts w:ascii="Calibri" w:hAnsi="Calibri"/>
          <w:color w:val="231F20"/>
          <w:spacing w:val="19"/>
          <w:w w:val="105"/>
        </w:rPr>
        <w:t xml:space="preserve"> </w:t>
      </w:r>
      <w:r w:rsidRPr="00A23800">
        <w:rPr>
          <w:rFonts w:ascii="Calibri" w:hAnsi="Calibri"/>
          <w:color w:val="231F20"/>
          <w:w w:val="105"/>
        </w:rPr>
        <w:t>of</w:t>
      </w:r>
      <w:r w:rsidRPr="00A23800">
        <w:rPr>
          <w:rFonts w:ascii="Calibri" w:hAnsi="Calibri"/>
          <w:color w:val="231F20"/>
          <w:spacing w:val="19"/>
          <w:w w:val="105"/>
        </w:rPr>
        <w:t xml:space="preserve"> </w:t>
      </w:r>
      <w:r w:rsidRPr="00A23800">
        <w:rPr>
          <w:rFonts w:ascii="Calibri" w:hAnsi="Calibri"/>
          <w:color w:val="231F20"/>
          <w:w w:val="105"/>
        </w:rPr>
        <w:t>the</w:t>
      </w:r>
      <w:r w:rsidRPr="00A23800">
        <w:rPr>
          <w:rFonts w:ascii="Calibri" w:hAnsi="Calibri"/>
          <w:color w:val="231F20"/>
          <w:spacing w:val="-39"/>
          <w:w w:val="105"/>
        </w:rPr>
        <w:t xml:space="preserve"> </w:t>
      </w:r>
      <w:r w:rsidRPr="00A23800">
        <w:rPr>
          <w:rFonts w:ascii="Calibri" w:hAnsi="Calibri"/>
          <w:color w:val="231F20"/>
          <w:w w:val="105"/>
        </w:rPr>
        <w:t>evaluation</w:t>
      </w:r>
      <w:r w:rsidRPr="00A23800">
        <w:rPr>
          <w:rFonts w:ascii="Calibri" w:hAnsi="Calibri"/>
          <w:color w:val="231F20"/>
          <w:spacing w:val="10"/>
          <w:w w:val="105"/>
        </w:rPr>
        <w:t xml:space="preserve"> </w:t>
      </w:r>
      <w:r w:rsidRPr="00A23800">
        <w:rPr>
          <w:rFonts w:ascii="Calibri" w:hAnsi="Calibri"/>
          <w:color w:val="231F20"/>
          <w:w w:val="105"/>
        </w:rPr>
        <w:t>period.</w:t>
      </w:r>
      <w:r w:rsidRPr="00A23800">
        <w:rPr>
          <w:rFonts w:ascii="Calibri" w:hAnsi="Calibri"/>
          <w:color w:val="231F20"/>
          <w:spacing w:val="10"/>
          <w:w w:val="105"/>
        </w:rPr>
        <w:t xml:space="preserve"> </w:t>
      </w:r>
      <w:r w:rsidRPr="00A23800">
        <w:rPr>
          <w:rFonts w:ascii="Calibri" w:hAnsi="Calibri"/>
          <w:color w:val="231F20"/>
          <w:w w:val="105"/>
        </w:rPr>
        <w:t>Employees</w:t>
      </w:r>
      <w:r w:rsidRPr="00A23800">
        <w:rPr>
          <w:rFonts w:ascii="Calibri" w:hAnsi="Calibri"/>
          <w:color w:val="231F20"/>
          <w:spacing w:val="10"/>
          <w:w w:val="105"/>
        </w:rPr>
        <w:t xml:space="preserve"> </w:t>
      </w:r>
      <w:r w:rsidRPr="00A23800">
        <w:rPr>
          <w:rFonts w:ascii="Calibri" w:hAnsi="Calibri"/>
          <w:color w:val="231F20"/>
          <w:w w:val="105"/>
        </w:rPr>
        <w:t>are</w:t>
      </w:r>
      <w:r w:rsidRPr="00A23800">
        <w:rPr>
          <w:rFonts w:ascii="Calibri" w:hAnsi="Calibri"/>
          <w:color w:val="231F20"/>
          <w:spacing w:val="10"/>
          <w:w w:val="105"/>
        </w:rPr>
        <w:t xml:space="preserve"> </w:t>
      </w:r>
      <w:r w:rsidRPr="00A23800">
        <w:rPr>
          <w:rFonts w:ascii="Calibri" w:hAnsi="Calibri"/>
          <w:color w:val="231F20"/>
          <w:w w:val="105"/>
        </w:rPr>
        <w:t>evaluated</w:t>
      </w:r>
      <w:r w:rsidRPr="00A23800">
        <w:rPr>
          <w:rFonts w:ascii="Calibri" w:hAnsi="Calibri"/>
          <w:color w:val="231F20"/>
          <w:spacing w:val="10"/>
          <w:w w:val="105"/>
        </w:rPr>
        <w:t xml:space="preserve"> </w:t>
      </w:r>
      <w:r w:rsidRPr="00A23800">
        <w:rPr>
          <w:rFonts w:ascii="Calibri" w:hAnsi="Calibri"/>
          <w:color w:val="231F20"/>
          <w:w w:val="105"/>
        </w:rPr>
        <w:t>in</w:t>
      </w:r>
      <w:r w:rsidRPr="00A23800">
        <w:rPr>
          <w:rFonts w:ascii="Calibri" w:hAnsi="Calibri"/>
          <w:color w:val="231F20"/>
          <w:spacing w:val="10"/>
          <w:w w:val="105"/>
        </w:rPr>
        <w:t xml:space="preserve"> </w:t>
      </w:r>
      <w:r w:rsidRPr="00A23800">
        <w:rPr>
          <w:rFonts w:ascii="Calibri" w:hAnsi="Calibri"/>
          <w:color w:val="231F20"/>
          <w:w w:val="105"/>
        </w:rPr>
        <w:t>the</w:t>
      </w:r>
      <w:r w:rsidRPr="00A23800">
        <w:rPr>
          <w:rFonts w:ascii="Calibri" w:hAnsi="Calibri"/>
          <w:color w:val="231F20"/>
          <w:spacing w:val="10"/>
          <w:w w:val="105"/>
        </w:rPr>
        <w:t xml:space="preserve"> </w:t>
      </w:r>
      <w:r w:rsidRPr="00A23800">
        <w:rPr>
          <w:rFonts w:ascii="Calibri" w:hAnsi="Calibri"/>
          <w:color w:val="231F20"/>
          <w:w w:val="105"/>
        </w:rPr>
        <w:t>context</w:t>
      </w:r>
      <w:r w:rsidRPr="00A23800">
        <w:rPr>
          <w:rFonts w:ascii="Calibri" w:hAnsi="Calibri"/>
          <w:color w:val="231F20"/>
          <w:spacing w:val="10"/>
          <w:w w:val="105"/>
        </w:rPr>
        <w:t xml:space="preserve"> </w:t>
      </w:r>
      <w:r w:rsidRPr="00A23800">
        <w:rPr>
          <w:rFonts w:ascii="Calibri" w:hAnsi="Calibri"/>
          <w:color w:val="231F20"/>
          <w:w w:val="105"/>
        </w:rPr>
        <w:t>of</w:t>
      </w:r>
      <w:r w:rsidRPr="00A23800">
        <w:rPr>
          <w:rFonts w:ascii="Calibri" w:hAnsi="Calibri"/>
          <w:color w:val="231F20"/>
          <w:spacing w:val="10"/>
          <w:w w:val="105"/>
        </w:rPr>
        <w:t xml:space="preserve"> </w:t>
      </w:r>
      <w:r w:rsidRPr="00A23800">
        <w:rPr>
          <w:rFonts w:ascii="Calibri" w:hAnsi="Calibri"/>
          <w:color w:val="231F20"/>
          <w:w w:val="105"/>
        </w:rPr>
        <w:t>their</w:t>
      </w:r>
      <w:r w:rsidRPr="00A23800">
        <w:rPr>
          <w:rFonts w:ascii="Calibri" w:hAnsi="Calibri"/>
          <w:color w:val="231F20"/>
          <w:spacing w:val="10"/>
          <w:w w:val="105"/>
        </w:rPr>
        <w:t xml:space="preserve"> </w:t>
      </w:r>
      <w:r w:rsidRPr="00A23800">
        <w:rPr>
          <w:rFonts w:ascii="Calibri" w:hAnsi="Calibri"/>
          <w:color w:val="231F20"/>
          <w:w w:val="105"/>
        </w:rPr>
        <w:t>knowledge,</w:t>
      </w:r>
      <w:r w:rsidRPr="00A23800">
        <w:rPr>
          <w:rFonts w:ascii="Calibri" w:hAnsi="Calibri"/>
          <w:color w:val="231F20"/>
          <w:spacing w:val="10"/>
          <w:w w:val="105"/>
        </w:rPr>
        <w:t xml:space="preserve"> </w:t>
      </w:r>
      <w:r w:rsidRPr="00A23800">
        <w:rPr>
          <w:rFonts w:ascii="Calibri" w:hAnsi="Calibri"/>
          <w:color w:val="231F20"/>
          <w:w w:val="105"/>
        </w:rPr>
        <w:t>skills</w:t>
      </w:r>
      <w:r w:rsidR="00D5537E">
        <w:rPr>
          <w:rFonts w:ascii="Calibri" w:hAnsi="Calibri"/>
          <w:color w:val="231F20"/>
          <w:w w:val="105"/>
        </w:rPr>
        <w:t xml:space="preserve"> and</w:t>
      </w:r>
      <w:r w:rsidRPr="00A23800">
        <w:rPr>
          <w:rFonts w:ascii="Calibri" w:hAnsi="Calibri"/>
          <w:color w:val="231F20"/>
          <w:spacing w:val="10"/>
          <w:w w:val="105"/>
        </w:rPr>
        <w:t xml:space="preserve"> </w:t>
      </w:r>
      <w:r w:rsidRPr="00A23800">
        <w:rPr>
          <w:rFonts w:ascii="Calibri" w:hAnsi="Calibri"/>
          <w:color w:val="231F20"/>
          <w:w w:val="105"/>
        </w:rPr>
        <w:t>abilities</w:t>
      </w:r>
      <w:r w:rsidRPr="00A23800">
        <w:rPr>
          <w:rFonts w:ascii="Calibri" w:hAnsi="Calibri"/>
          <w:color w:val="231F20"/>
          <w:spacing w:val="10"/>
          <w:w w:val="105"/>
        </w:rPr>
        <w:t xml:space="preserve"> </w:t>
      </w:r>
      <w:r w:rsidRPr="00A23800">
        <w:rPr>
          <w:rFonts w:ascii="Calibri" w:hAnsi="Calibri"/>
          <w:color w:val="231F20"/>
          <w:w w:val="105"/>
        </w:rPr>
        <w:t>within</w:t>
      </w:r>
      <w:r w:rsidRPr="00A23800">
        <w:rPr>
          <w:rFonts w:ascii="Calibri" w:hAnsi="Calibri"/>
          <w:color w:val="231F20"/>
          <w:spacing w:val="-28"/>
          <w:w w:val="105"/>
        </w:rPr>
        <w:t xml:space="preserve"> </w:t>
      </w:r>
      <w:r w:rsidRPr="00A23800">
        <w:rPr>
          <w:rFonts w:ascii="Calibri" w:hAnsi="Calibri"/>
          <w:color w:val="231F20"/>
          <w:w w:val="105"/>
        </w:rPr>
        <w:t>the field of rehabilitation</w:t>
      </w:r>
      <w:r w:rsidR="00D5537E">
        <w:rPr>
          <w:rFonts w:ascii="Calibri" w:hAnsi="Calibri"/>
          <w:color w:val="231F20"/>
          <w:w w:val="105"/>
        </w:rPr>
        <w:t xml:space="preserve"> and</w:t>
      </w:r>
      <w:r w:rsidRPr="00A23800">
        <w:rPr>
          <w:rFonts w:ascii="Calibri" w:hAnsi="Calibri"/>
          <w:color w:val="231F20"/>
          <w:w w:val="105"/>
        </w:rPr>
        <w:t xml:space="preserve"> on policy about priority of service to individuals with the most</w:t>
      </w:r>
      <w:r w:rsidRPr="00A23800">
        <w:rPr>
          <w:rFonts w:ascii="Calibri" w:hAnsi="Calibri"/>
          <w:color w:val="231F20"/>
          <w:spacing w:val="19"/>
          <w:w w:val="105"/>
        </w:rPr>
        <w:t xml:space="preserve"> </w:t>
      </w:r>
      <w:r w:rsidRPr="00A23800">
        <w:rPr>
          <w:rFonts w:ascii="Calibri" w:hAnsi="Calibri"/>
          <w:color w:val="231F20"/>
          <w:w w:val="105"/>
        </w:rPr>
        <w:t>significant</w:t>
      </w:r>
      <w:r w:rsidRPr="00A23800">
        <w:rPr>
          <w:rFonts w:ascii="Calibri" w:hAnsi="Calibri"/>
          <w:color w:val="231F20"/>
          <w:w w:val="106"/>
        </w:rPr>
        <w:t xml:space="preserve"> </w:t>
      </w:r>
      <w:r w:rsidRPr="00A23800">
        <w:rPr>
          <w:rFonts w:ascii="Calibri" w:hAnsi="Calibri"/>
          <w:color w:val="231F20"/>
          <w:w w:val="105"/>
        </w:rPr>
        <w:t>disabilities.</w:t>
      </w:r>
      <w:r w:rsidRPr="00A23800">
        <w:rPr>
          <w:rFonts w:ascii="Calibri" w:hAnsi="Calibri"/>
          <w:color w:val="231F20"/>
          <w:spacing w:val="17"/>
          <w:w w:val="105"/>
        </w:rPr>
        <w:t xml:space="preserve"> </w:t>
      </w:r>
      <w:r w:rsidRPr="00A23800">
        <w:rPr>
          <w:rFonts w:ascii="Calibri" w:hAnsi="Calibri"/>
          <w:color w:val="231F20"/>
          <w:w w:val="105"/>
        </w:rPr>
        <w:t>If</w:t>
      </w:r>
      <w:r w:rsidRPr="00A23800">
        <w:rPr>
          <w:rFonts w:ascii="Calibri" w:hAnsi="Calibri"/>
          <w:color w:val="231F20"/>
          <w:spacing w:val="17"/>
          <w:w w:val="105"/>
        </w:rPr>
        <w:t xml:space="preserve"> </w:t>
      </w:r>
      <w:r w:rsidRPr="00A23800">
        <w:rPr>
          <w:rFonts w:ascii="Calibri" w:hAnsi="Calibri"/>
          <w:color w:val="231F20"/>
          <w:w w:val="105"/>
        </w:rPr>
        <w:t>circumstances</w:t>
      </w:r>
      <w:r w:rsidRPr="00A23800">
        <w:rPr>
          <w:rFonts w:ascii="Calibri" w:hAnsi="Calibri"/>
          <w:color w:val="231F20"/>
          <w:spacing w:val="17"/>
          <w:w w:val="105"/>
        </w:rPr>
        <w:t xml:space="preserve"> </w:t>
      </w:r>
      <w:r w:rsidRPr="00A23800">
        <w:rPr>
          <w:rFonts w:ascii="Calibri" w:hAnsi="Calibri"/>
          <w:color w:val="231F20"/>
          <w:w w:val="105"/>
        </w:rPr>
        <w:t>change,</w:t>
      </w:r>
      <w:r w:rsidRPr="00A23800">
        <w:rPr>
          <w:rFonts w:ascii="Calibri" w:hAnsi="Calibri"/>
          <w:color w:val="231F20"/>
          <w:spacing w:val="17"/>
          <w:w w:val="105"/>
        </w:rPr>
        <w:t xml:space="preserve"> </w:t>
      </w:r>
      <w:r w:rsidRPr="00A23800">
        <w:rPr>
          <w:rFonts w:ascii="Calibri" w:hAnsi="Calibri"/>
          <w:color w:val="231F20"/>
          <w:w w:val="105"/>
        </w:rPr>
        <w:t>training</w:t>
      </w:r>
      <w:r w:rsidRPr="00A23800">
        <w:rPr>
          <w:rFonts w:ascii="Calibri" w:hAnsi="Calibri"/>
          <w:color w:val="231F20"/>
          <w:spacing w:val="17"/>
          <w:w w:val="105"/>
        </w:rPr>
        <w:t xml:space="preserve"> </w:t>
      </w:r>
      <w:r w:rsidRPr="00A23800">
        <w:rPr>
          <w:rFonts w:ascii="Calibri" w:hAnsi="Calibri"/>
          <w:color w:val="231F20"/>
          <w:w w:val="105"/>
        </w:rPr>
        <w:t>and</w:t>
      </w:r>
      <w:r w:rsidRPr="00A23800">
        <w:rPr>
          <w:rFonts w:ascii="Calibri" w:hAnsi="Calibri"/>
          <w:color w:val="231F20"/>
          <w:spacing w:val="17"/>
          <w:w w:val="105"/>
        </w:rPr>
        <w:t xml:space="preserve"> </w:t>
      </w:r>
      <w:r w:rsidRPr="00A23800">
        <w:rPr>
          <w:rFonts w:ascii="Calibri" w:hAnsi="Calibri"/>
          <w:color w:val="231F20"/>
          <w:w w:val="105"/>
        </w:rPr>
        <w:t>professional</w:t>
      </w:r>
      <w:r w:rsidRPr="00A23800">
        <w:rPr>
          <w:rFonts w:ascii="Calibri" w:hAnsi="Calibri"/>
          <w:color w:val="231F20"/>
          <w:spacing w:val="17"/>
          <w:w w:val="105"/>
        </w:rPr>
        <w:t xml:space="preserve"> </w:t>
      </w:r>
      <w:r w:rsidRPr="00A23800">
        <w:rPr>
          <w:rFonts w:ascii="Calibri" w:hAnsi="Calibri"/>
          <w:color w:val="231F20"/>
          <w:w w:val="105"/>
        </w:rPr>
        <w:t>development</w:t>
      </w:r>
      <w:r w:rsidRPr="00A23800">
        <w:rPr>
          <w:rFonts w:ascii="Calibri" w:hAnsi="Calibri"/>
          <w:color w:val="231F20"/>
          <w:spacing w:val="17"/>
          <w:w w:val="105"/>
        </w:rPr>
        <w:t xml:space="preserve"> </w:t>
      </w:r>
      <w:r w:rsidRPr="00A23800">
        <w:rPr>
          <w:rFonts w:ascii="Calibri" w:hAnsi="Calibri"/>
          <w:color w:val="231F20"/>
          <w:w w:val="105"/>
        </w:rPr>
        <w:t>activities</w:t>
      </w:r>
      <w:r w:rsidRPr="00A23800">
        <w:rPr>
          <w:rFonts w:ascii="Calibri" w:hAnsi="Calibri"/>
          <w:color w:val="231F20"/>
          <w:spacing w:val="17"/>
          <w:w w:val="105"/>
        </w:rPr>
        <w:t xml:space="preserve"> </w:t>
      </w:r>
      <w:r w:rsidRPr="00A23800">
        <w:rPr>
          <w:rFonts w:ascii="Calibri" w:hAnsi="Calibri"/>
          <w:color w:val="231F20"/>
          <w:w w:val="105"/>
        </w:rPr>
        <w:t>are</w:t>
      </w:r>
      <w:r w:rsidRPr="00A23800">
        <w:rPr>
          <w:rFonts w:ascii="Calibri" w:hAnsi="Calibri"/>
          <w:color w:val="231F20"/>
          <w:spacing w:val="17"/>
          <w:w w:val="105"/>
        </w:rPr>
        <w:t xml:space="preserve"> </w:t>
      </w:r>
      <w:r w:rsidRPr="00A23800">
        <w:rPr>
          <w:rFonts w:ascii="Calibri" w:hAnsi="Calibri"/>
          <w:color w:val="231F20"/>
          <w:w w:val="105"/>
        </w:rPr>
        <w:t>provided</w:t>
      </w:r>
      <w:r w:rsidRPr="00A23800">
        <w:rPr>
          <w:rFonts w:ascii="Calibri" w:hAnsi="Calibri"/>
          <w:color w:val="231F20"/>
          <w:spacing w:val="17"/>
          <w:w w:val="105"/>
        </w:rPr>
        <w:t xml:space="preserve"> </w:t>
      </w:r>
      <w:r w:rsidRPr="00A23800">
        <w:rPr>
          <w:rFonts w:ascii="Calibri" w:hAnsi="Calibri"/>
          <w:color w:val="231F20"/>
          <w:w w:val="105"/>
        </w:rPr>
        <w:t>to</w:t>
      </w:r>
      <w:r w:rsidRPr="00A23800">
        <w:rPr>
          <w:rFonts w:ascii="Calibri" w:hAnsi="Calibri"/>
          <w:color w:val="231F20"/>
          <w:spacing w:val="17"/>
          <w:w w:val="105"/>
        </w:rPr>
        <w:t xml:space="preserve"> </w:t>
      </w:r>
      <w:r w:rsidRPr="00A23800">
        <w:rPr>
          <w:rFonts w:ascii="Calibri" w:hAnsi="Calibri"/>
          <w:color w:val="231F20"/>
          <w:w w:val="105"/>
        </w:rPr>
        <w:t>help</w:t>
      </w:r>
      <w:r w:rsidRPr="00A23800">
        <w:rPr>
          <w:rFonts w:ascii="Calibri" w:hAnsi="Calibri"/>
          <w:color w:val="231F20"/>
          <w:w w:val="107"/>
        </w:rPr>
        <w:t xml:space="preserve"> </w:t>
      </w:r>
      <w:r w:rsidRPr="00A23800">
        <w:rPr>
          <w:rFonts w:ascii="Calibri" w:hAnsi="Calibri"/>
          <w:color w:val="231F20"/>
          <w:w w:val="105"/>
        </w:rPr>
        <w:t xml:space="preserve">the employee meet his/her goal in support of </w:t>
      </w:r>
      <w:r w:rsidRPr="00A23800">
        <w:rPr>
          <w:rFonts w:ascii="Calibri" w:hAnsi="Calibri"/>
          <w:color w:val="231F20"/>
          <w:spacing w:val="-3"/>
          <w:w w:val="105"/>
        </w:rPr>
        <w:t xml:space="preserve">VR’s </w:t>
      </w:r>
      <w:r w:rsidRPr="00A23800">
        <w:rPr>
          <w:rFonts w:ascii="Calibri" w:hAnsi="Calibri"/>
          <w:color w:val="231F20"/>
          <w:w w:val="105"/>
        </w:rPr>
        <w:t>mission.</w:t>
      </w:r>
    </w:p>
    <w:p w14:paraId="0076801A" w14:textId="77777777" w:rsidR="00A07550" w:rsidRPr="00A23800" w:rsidRDefault="00A07550" w:rsidP="00D63204">
      <w:pPr>
        <w:widowControl w:val="0"/>
        <w:spacing w:before="6" w:after="0" w:line="240" w:lineRule="auto"/>
        <w:ind w:left="107"/>
        <w:rPr>
          <w:rFonts w:ascii="Calibri" w:hAnsi="Calibri" w:cs="Calibri"/>
          <w:sz w:val="16"/>
          <w:szCs w:val="16"/>
        </w:rPr>
      </w:pPr>
    </w:p>
    <w:p w14:paraId="5D1D109B" w14:textId="77777777" w:rsidR="00A07550" w:rsidRPr="00A23800" w:rsidRDefault="00A07550" w:rsidP="00D63204">
      <w:pPr>
        <w:widowControl w:val="0"/>
        <w:spacing w:after="0" w:line="240" w:lineRule="auto"/>
        <w:ind w:left="107"/>
        <w:rPr>
          <w:rFonts w:ascii="Calibri" w:hAnsi="Calibri"/>
        </w:rPr>
      </w:pPr>
      <w:r w:rsidRPr="00A23800">
        <w:rPr>
          <w:rFonts w:ascii="Calibri" w:hAnsi="Calibri"/>
          <w:color w:val="231F20"/>
          <w:w w:val="110"/>
          <w:u w:val="single" w:color="231F20"/>
        </w:rPr>
        <w:t>In-Service</w:t>
      </w:r>
      <w:r w:rsidRPr="00A23800">
        <w:rPr>
          <w:rFonts w:ascii="Calibri" w:hAnsi="Calibri"/>
          <w:color w:val="231F20"/>
          <w:spacing w:val="-24"/>
          <w:w w:val="110"/>
          <w:u w:val="single" w:color="231F20"/>
        </w:rPr>
        <w:t xml:space="preserve"> </w:t>
      </w:r>
      <w:r w:rsidRPr="00A23800">
        <w:rPr>
          <w:rFonts w:ascii="Calibri" w:hAnsi="Calibri"/>
          <w:color w:val="231F20"/>
          <w:spacing w:val="-3"/>
          <w:w w:val="110"/>
          <w:u w:val="single" w:color="231F20"/>
        </w:rPr>
        <w:t>Training</w:t>
      </w:r>
      <w:r w:rsidRPr="00A23800">
        <w:rPr>
          <w:rFonts w:ascii="Calibri" w:hAnsi="Calibri"/>
          <w:color w:val="231F20"/>
          <w:spacing w:val="-24"/>
          <w:w w:val="110"/>
          <w:u w:val="single" w:color="231F20"/>
        </w:rPr>
        <w:t xml:space="preserve"> </w:t>
      </w:r>
      <w:r w:rsidRPr="00A23800">
        <w:rPr>
          <w:rFonts w:ascii="Calibri" w:hAnsi="Calibri"/>
          <w:color w:val="231F20"/>
          <w:w w:val="110"/>
          <w:u w:val="single" w:color="231F20"/>
        </w:rPr>
        <w:t>Grant</w:t>
      </w:r>
      <w:r w:rsidRPr="00A23800">
        <w:rPr>
          <w:rFonts w:ascii="Calibri" w:hAnsi="Calibri"/>
          <w:color w:val="231F20"/>
          <w:spacing w:val="-24"/>
          <w:w w:val="110"/>
          <w:u w:val="single" w:color="231F20"/>
        </w:rPr>
        <w:t xml:space="preserve"> </w:t>
      </w:r>
      <w:r w:rsidRPr="00A23800">
        <w:rPr>
          <w:rFonts w:ascii="Calibri" w:hAnsi="Calibri"/>
          <w:color w:val="231F20"/>
          <w:w w:val="110"/>
          <w:u w:val="single" w:color="231F20"/>
        </w:rPr>
        <w:t>(please</w:t>
      </w:r>
      <w:r w:rsidRPr="00A23800">
        <w:rPr>
          <w:rFonts w:ascii="Calibri" w:hAnsi="Calibri"/>
          <w:color w:val="231F20"/>
          <w:spacing w:val="-24"/>
          <w:w w:val="110"/>
          <w:u w:val="single" w:color="231F20"/>
        </w:rPr>
        <w:t xml:space="preserve"> </w:t>
      </w:r>
      <w:r w:rsidRPr="00A23800">
        <w:rPr>
          <w:rFonts w:ascii="Calibri" w:hAnsi="Calibri"/>
          <w:color w:val="231F20"/>
          <w:w w:val="110"/>
          <w:u w:val="single" w:color="231F20"/>
        </w:rPr>
        <w:t>note</w:t>
      </w:r>
      <w:r w:rsidRPr="00A23800">
        <w:rPr>
          <w:rFonts w:ascii="Calibri" w:hAnsi="Calibri"/>
          <w:color w:val="231F20"/>
          <w:spacing w:val="-24"/>
          <w:w w:val="110"/>
          <w:u w:val="single" w:color="231F20"/>
        </w:rPr>
        <w:t xml:space="preserve"> </w:t>
      </w:r>
      <w:r w:rsidRPr="00A23800">
        <w:rPr>
          <w:rFonts w:ascii="Calibri" w:hAnsi="Calibri"/>
          <w:color w:val="231F20"/>
          <w:w w:val="110"/>
          <w:u w:val="single" w:color="231F20"/>
        </w:rPr>
        <w:t>this</w:t>
      </w:r>
      <w:r w:rsidRPr="00A23800">
        <w:rPr>
          <w:rFonts w:ascii="Calibri" w:hAnsi="Calibri"/>
          <w:color w:val="231F20"/>
          <w:spacing w:val="-24"/>
          <w:w w:val="110"/>
          <w:u w:val="single" w:color="231F20"/>
        </w:rPr>
        <w:t xml:space="preserve"> </w:t>
      </w:r>
      <w:r w:rsidRPr="00A23800">
        <w:rPr>
          <w:rFonts w:ascii="Calibri" w:hAnsi="Calibri"/>
          <w:color w:val="231F20"/>
          <w:w w:val="110"/>
          <w:u w:val="single" w:color="231F20"/>
        </w:rPr>
        <w:t>grant</w:t>
      </w:r>
      <w:r w:rsidRPr="00A23800">
        <w:rPr>
          <w:rFonts w:ascii="Calibri" w:hAnsi="Calibri"/>
          <w:color w:val="231F20"/>
          <w:spacing w:val="-24"/>
          <w:w w:val="110"/>
          <w:u w:val="single" w:color="231F20"/>
        </w:rPr>
        <w:t xml:space="preserve"> </w:t>
      </w:r>
      <w:r w:rsidRPr="00A23800">
        <w:rPr>
          <w:rFonts w:ascii="Calibri" w:hAnsi="Calibri"/>
          <w:color w:val="231F20"/>
          <w:w w:val="110"/>
          <w:u w:val="single" w:color="231F20"/>
        </w:rPr>
        <w:t>ended</w:t>
      </w:r>
      <w:r w:rsidRPr="00A23800">
        <w:rPr>
          <w:rFonts w:ascii="Calibri" w:hAnsi="Calibri"/>
          <w:color w:val="231F20"/>
          <w:spacing w:val="-24"/>
          <w:w w:val="110"/>
          <w:u w:val="single" w:color="231F20"/>
        </w:rPr>
        <w:t xml:space="preserve"> </w:t>
      </w:r>
      <w:r w:rsidRPr="00A23800">
        <w:rPr>
          <w:rFonts w:ascii="Calibri" w:hAnsi="Calibri"/>
          <w:color w:val="231F20"/>
          <w:w w:val="110"/>
          <w:u w:val="single" w:color="231F20"/>
        </w:rPr>
        <w:t>on</w:t>
      </w:r>
      <w:r w:rsidRPr="00A23800">
        <w:rPr>
          <w:rFonts w:ascii="Calibri" w:hAnsi="Calibri"/>
          <w:color w:val="231F20"/>
          <w:spacing w:val="-24"/>
          <w:w w:val="110"/>
          <w:u w:val="single" w:color="231F20"/>
        </w:rPr>
        <w:t xml:space="preserve"> </w:t>
      </w:r>
      <w:r w:rsidRPr="00A23800">
        <w:rPr>
          <w:rFonts w:ascii="Calibri" w:hAnsi="Calibri"/>
          <w:color w:val="231F20"/>
          <w:w w:val="110"/>
          <w:u w:val="single" w:color="231F20"/>
        </w:rPr>
        <w:t>9/30/15)</w:t>
      </w:r>
    </w:p>
    <w:p w14:paraId="3F12ECC2" w14:textId="3BE9416B" w:rsidR="00A07550" w:rsidRPr="00A23800" w:rsidRDefault="00A07550" w:rsidP="00D63204">
      <w:pPr>
        <w:widowControl w:val="0"/>
        <w:spacing w:before="2" w:after="0" w:line="240" w:lineRule="auto"/>
        <w:ind w:left="107"/>
        <w:rPr>
          <w:rFonts w:ascii="Calibri" w:hAnsi="Calibri"/>
        </w:rPr>
      </w:pPr>
      <w:r w:rsidRPr="00A23800">
        <w:rPr>
          <w:rFonts w:ascii="Calibri" w:hAnsi="Calibri"/>
          <w:color w:val="231F20"/>
          <w:w w:val="105"/>
        </w:rPr>
        <w:t>Funds</w:t>
      </w:r>
      <w:r w:rsidRPr="00A23800">
        <w:rPr>
          <w:rFonts w:ascii="Calibri" w:hAnsi="Calibri"/>
          <w:color w:val="231F20"/>
          <w:spacing w:val="13"/>
          <w:w w:val="105"/>
        </w:rPr>
        <w:t xml:space="preserve"> </w:t>
      </w:r>
      <w:r w:rsidRPr="00A23800">
        <w:rPr>
          <w:rFonts w:ascii="Calibri" w:hAnsi="Calibri"/>
          <w:color w:val="231F20"/>
          <w:w w:val="105"/>
        </w:rPr>
        <w:t>were</w:t>
      </w:r>
      <w:r w:rsidRPr="00A23800">
        <w:rPr>
          <w:rFonts w:ascii="Calibri" w:hAnsi="Calibri"/>
          <w:color w:val="231F20"/>
          <w:spacing w:val="13"/>
          <w:w w:val="105"/>
        </w:rPr>
        <w:t xml:space="preserve"> </w:t>
      </w:r>
      <w:r w:rsidRPr="00A23800">
        <w:rPr>
          <w:rFonts w:ascii="Calibri" w:hAnsi="Calibri"/>
          <w:color w:val="231F20"/>
          <w:w w:val="105"/>
        </w:rPr>
        <w:t>requested</w:t>
      </w:r>
      <w:r w:rsidRPr="00A23800">
        <w:rPr>
          <w:rFonts w:ascii="Calibri" w:hAnsi="Calibri"/>
          <w:color w:val="231F20"/>
          <w:spacing w:val="13"/>
          <w:w w:val="105"/>
        </w:rPr>
        <w:t xml:space="preserve"> </w:t>
      </w:r>
      <w:r w:rsidRPr="00A23800">
        <w:rPr>
          <w:rFonts w:ascii="Calibri" w:hAnsi="Calibri"/>
          <w:color w:val="231F20"/>
          <w:w w:val="105"/>
        </w:rPr>
        <w:t>for</w:t>
      </w:r>
      <w:r w:rsidRPr="00A23800">
        <w:rPr>
          <w:rFonts w:ascii="Calibri" w:hAnsi="Calibri"/>
          <w:color w:val="231F20"/>
          <w:spacing w:val="13"/>
          <w:w w:val="105"/>
        </w:rPr>
        <w:t xml:space="preserve"> </w:t>
      </w:r>
      <w:r w:rsidRPr="00A23800">
        <w:rPr>
          <w:rFonts w:ascii="Calibri" w:hAnsi="Calibri"/>
          <w:color w:val="231F20"/>
          <w:w w:val="105"/>
        </w:rPr>
        <w:t>the</w:t>
      </w:r>
      <w:r w:rsidRPr="00A23800">
        <w:rPr>
          <w:rFonts w:ascii="Calibri" w:hAnsi="Calibri"/>
          <w:color w:val="231F20"/>
          <w:spacing w:val="13"/>
          <w:w w:val="105"/>
        </w:rPr>
        <w:t xml:space="preserve"> </w:t>
      </w:r>
      <w:r w:rsidRPr="00A23800">
        <w:rPr>
          <w:rFonts w:ascii="Calibri" w:hAnsi="Calibri"/>
          <w:color w:val="231F20"/>
          <w:w w:val="105"/>
        </w:rPr>
        <w:t>in-service</w:t>
      </w:r>
      <w:r w:rsidRPr="00A23800">
        <w:rPr>
          <w:rFonts w:ascii="Calibri" w:hAnsi="Calibri"/>
          <w:color w:val="231F20"/>
          <w:spacing w:val="13"/>
          <w:w w:val="105"/>
        </w:rPr>
        <w:t xml:space="preserve"> </w:t>
      </w:r>
      <w:r w:rsidRPr="00A23800">
        <w:rPr>
          <w:rFonts w:ascii="Calibri" w:hAnsi="Calibri"/>
          <w:color w:val="231F20"/>
          <w:w w:val="105"/>
        </w:rPr>
        <w:t>training</w:t>
      </w:r>
      <w:r w:rsidRPr="00A23800">
        <w:rPr>
          <w:rFonts w:ascii="Calibri" w:hAnsi="Calibri"/>
          <w:color w:val="231F20"/>
          <w:spacing w:val="13"/>
          <w:w w:val="105"/>
        </w:rPr>
        <w:t xml:space="preserve"> </w:t>
      </w:r>
      <w:r w:rsidRPr="00A23800">
        <w:rPr>
          <w:rFonts w:ascii="Calibri" w:hAnsi="Calibri"/>
          <w:color w:val="231F20"/>
          <w:w w:val="105"/>
        </w:rPr>
        <w:t>grant</w:t>
      </w:r>
      <w:r w:rsidRPr="00A23800">
        <w:rPr>
          <w:rFonts w:ascii="Calibri" w:hAnsi="Calibri"/>
          <w:color w:val="231F20"/>
          <w:spacing w:val="13"/>
          <w:w w:val="105"/>
        </w:rPr>
        <w:t xml:space="preserve"> </w:t>
      </w:r>
      <w:r w:rsidRPr="00A23800">
        <w:rPr>
          <w:rFonts w:ascii="Calibri" w:hAnsi="Calibri"/>
          <w:color w:val="231F20"/>
          <w:w w:val="105"/>
        </w:rPr>
        <w:t>based</w:t>
      </w:r>
      <w:r w:rsidRPr="00A23800">
        <w:rPr>
          <w:rFonts w:ascii="Calibri" w:hAnsi="Calibri"/>
          <w:color w:val="231F20"/>
          <w:spacing w:val="13"/>
          <w:w w:val="105"/>
        </w:rPr>
        <w:t xml:space="preserve"> </w:t>
      </w:r>
      <w:r w:rsidRPr="00A23800">
        <w:rPr>
          <w:rFonts w:ascii="Calibri" w:hAnsi="Calibri"/>
          <w:color w:val="231F20"/>
          <w:w w:val="105"/>
        </w:rPr>
        <w:t>on</w:t>
      </w:r>
      <w:r w:rsidRPr="00A23800">
        <w:rPr>
          <w:rFonts w:ascii="Calibri" w:hAnsi="Calibri"/>
          <w:color w:val="231F20"/>
          <w:spacing w:val="13"/>
          <w:w w:val="105"/>
        </w:rPr>
        <w:t xml:space="preserve"> </w:t>
      </w:r>
      <w:r w:rsidRPr="00A23800">
        <w:rPr>
          <w:rFonts w:ascii="Calibri" w:hAnsi="Calibri"/>
          <w:color w:val="231F20"/>
          <w:w w:val="105"/>
        </w:rPr>
        <w:t>current</w:t>
      </w:r>
      <w:r w:rsidRPr="00A23800">
        <w:rPr>
          <w:rFonts w:ascii="Calibri" w:hAnsi="Calibri"/>
          <w:color w:val="231F20"/>
          <w:spacing w:val="13"/>
          <w:w w:val="105"/>
        </w:rPr>
        <w:t xml:space="preserve"> </w:t>
      </w:r>
      <w:r w:rsidRPr="00A23800">
        <w:rPr>
          <w:rFonts w:ascii="Calibri" w:hAnsi="Calibri"/>
          <w:color w:val="231F20"/>
          <w:w w:val="105"/>
        </w:rPr>
        <w:t>and</w:t>
      </w:r>
      <w:r w:rsidRPr="00A23800">
        <w:rPr>
          <w:rFonts w:ascii="Calibri" w:hAnsi="Calibri"/>
          <w:color w:val="231F20"/>
          <w:spacing w:val="13"/>
          <w:w w:val="105"/>
        </w:rPr>
        <w:t xml:space="preserve"> </w:t>
      </w:r>
      <w:r w:rsidRPr="00A23800">
        <w:rPr>
          <w:rFonts w:ascii="Calibri" w:hAnsi="Calibri"/>
          <w:color w:val="231F20"/>
          <w:w w:val="105"/>
        </w:rPr>
        <w:t>anticipated</w:t>
      </w:r>
      <w:r w:rsidRPr="00A23800">
        <w:rPr>
          <w:rFonts w:ascii="Calibri" w:hAnsi="Calibri"/>
          <w:color w:val="231F20"/>
          <w:spacing w:val="13"/>
          <w:w w:val="105"/>
        </w:rPr>
        <w:t xml:space="preserve"> </w:t>
      </w:r>
      <w:r w:rsidRPr="00A23800">
        <w:rPr>
          <w:rFonts w:ascii="Calibri" w:hAnsi="Calibri"/>
          <w:color w:val="231F20"/>
          <w:w w:val="105"/>
        </w:rPr>
        <w:t>needs.</w:t>
      </w:r>
      <w:r w:rsidRPr="00A23800">
        <w:rPr>
          <w:rFonts w:ascii="Calibri" w:hAnsi="Calibri"/>
          <w:color w:val="231F20"/>
          <w:spacing w:val="13"/>
          <w:w w:val="105"/>
        </w:rPr>
        <w:t xml:space="preserve"> </w:t>
      </w:r>
      <w:r w:rsidRPr="00A23800">
        <w:rPr>
          <w:rFonts w:ascii="Calibri" w:hAnsi="Calibri"/>
          <w:color w:val="231F20"/>
          <w:w w:val="105"/>
        </w:rPr>
        <w:t>VR</w:t>
      </w:r>
      <w:r w:rsidRPr="00A23800">
        <w:rPr>
          <w:rFonts w:ascii="Calibri" w:hAnsi="Calibri"/>
          <w:color w:val="231F20"/>
          <w:spacing w:val="-10"/>
          <w:w w:val="105"/>
        </w:rPr>
        <w:t xml:space="preserve"> </w:t>
      </w:r>
      <w:r w:rsidR="001D47D7">
        <w:rPr>
          <w:rFonts w:ascii="Calibri" w:hAnsi="Calibri"/>
          <w:color w:val="231F20"/>
          <w:spacing w:val="-10"/>
          <w:w w:val="105"/>
        </w:rPr>
        <w:t xml:space="preserve">continues to </w:t>
      </w:r>
      <w:r w:rsidRPr="00A23800">
        <w:rPr>
          <w:rFonts w:ascii="Calibri" w:hAnsi="Calibri"/>
          <w:color w:val="231F20"/>
          <w:w w:val="105"/>
        </w:rPr>
        <w:t>provide</w:t>
      </w:r>
      <w:r w:rsidRPr="00A23800">
        <w:rPr>
          <w:rFonts w:ascii="Calibri" w:hAnsi="Calibri"/>
          <w:color w:val="231F20"/>
          <w:spacing w:val="14"/>
          <w:w w:val="105"/>
        </w:rPr>
        <w:t xml:space="preserve"> </w:t>
      </w:r>
      <w:r w:rsidRPr="00A23800">
        <w:rPr>
          <w:rFonts w:ascii="Calibri" w:hAnsi="Calibri"/>
          <w:color w:val="231F20"/>
          <w:w w:val="105"/>
        </w:rPr>
        <w:t>a</w:t>
      </w:r>
      <w:r w:rsidRPr="00A23800">
        <w:rPr>
          <w:rFonts w:ascii="Calibri" w:hAnsi="Calibri"/>
          <w:color w:val="231F20"/>
          <w:spacing w:val="14"/>
          <w:w w:val="105"/>
        </w:rPr>
        <w:t xml:space="preserve"> </w:t>
      </w:r>
      <w:r w:rsidRPr="00A23800">
        <w:rPr>
          <w:rFonts w:ascii="Calibri" w:hAnsi="Calibri"/>
          <w:color w:val="231F20"/>
          <w:w w:val="105"/>
        </w:rPr>
        <w:t>variety</w:t>
      </w:r>
      <w:r w:rsidRPr="00A23800">
        <w:rPr>
          <w:rFonts w:ascii="Calibri" w:hAnsi="Calibri"/>
          <w:color w:val="231F20"/>
          <w:spacing w:val="14"/>
          <w:w w:val="105"/>
        </w:rPr>
        <w:t xml:space="preserve"> </w:t>
      </w:r>
      <w:r w:rsidRPr="00A23800">
        <w:rPr>
          <w:rFonts w:ascii="Calibri" w:hAnsi="Calibri"/>
          <w:color w:val="231F20"/>
          <w:w w:val="105"/>
        </w:rPr>
        <w:t>of</w:t>
      </w:r>
      <w:r w:rsidRPr="00A23800">
        <w:rPr>
          <w:rFonts w:ascii="Calibri" w:hAnsi="Calibri"/>
          <w:color w:val="231F20"/>
          <w:spacing w:val="14"/>
          <w:w w:val="105"/>
        </w:rPr>
        <w:t xml:space="preserve"> </w:t>
      </w:r>
      <w:r w:rsidRPr="00A23800">
        <w:rPr>
          <w:rFonts w:ascii="Calibri" w:hAnsi="Calibri"/>
          <w:color w:val="231F20"/>
          <w:w w:val="105"/>
        </w:rPr>
        <w:t>in-house</w:t>
      </w:r>
      <w:r w:rsidRPr="00A23800">
        <w:rPr>
          <w:rFonts w:ascii="Calibri" w:hAnsi="Calibri"/>
          <w:color w:val="231F20"/>
          <w:spacing w:val="14"/>
          <w:w w:val="105"/>
        </w:rPr>
        <w:t xml:space="preserve"> </w:t>
      </w:r>
      <w:r w:rsidRPr="00A23800">
        <w:rPr>
          <w:rFonts w:ascii="Calibri" w:hAnsi="Calibri"/>
          <w:color w:val="231F20"/>
          <w:w w:val="105"/>
        </w:rPr>
        <w:t>training</w:t>
      </w:r>
      <w:r w:rsidRPr="00A23800">
        <w:rPr>
          <w:rFonts w:ascii="Calibri" w:hAnsi="Calibri"/>
          <w:color w:val="231F20"/>
          <w:spacing w:val="14"/>
          <w:w w:val="105"/>
        </w:rPr>
        <w:t xml:space="preserve"> </w:t>
      </w:r>
      <w:r w:rsidRPr="00A23800">
        <w:rPr>
          <w:rFonts w:ascii="Calibri" w:hAnsi="Calibri"/>
          <w:color w:val="231F20"/>
          <w:w w:val="105"/>
        </w:rPr>
        <w:t>programs,</w:t>
      </w:r>
      <w:r w:rsidRPr="00A23800">
        <w:rPr>
          <w:rFonts w:ascii="Calibri" w:hAnsi="Calibri"/>
          <w:color w:val="231F20"/>
          <w:spacing w:val="14"/>
          <w:w w:val="105"/>
        </w:rPr>
        <w:t xml:space="preserve"> </w:t>
      </w:r>
      <w:r w:rsidRPr="00A23800">
        <w:rPr>
          <w:rFonts w:ascii="Calibri" w:hAnsi="Calibri"/>
          <w:color w:val="231F20"/>
          <w:w w:val="105"/>
        </w:rPr>
        <w:t>including</w:t>
      </w:r>
      <w:r w:rsidRPr="00A23800">
        <w:rPr>
          <w:rFonts w:ascii="Calibri" w:hAnsi="Calibri"/>
          <w:color w:val="231F20"/>
          <w:spacing w:val="14"/>
          <w:w w:val="105"/>
        </w:rPr>
        <w:t xml:space="preserve"> </w:t>
      </w:r>
      <w:r w:rsidRPr="00A23800">
        <w:rPr>
          <w:rFonts w:ascii="Calibri" w:hAnsi="Calibri"/>
          <w:color w:val="231F20"/>
          <w:w w:val="105"/>
        </w:rPr>
        <w:t>counselor</w:t>
      </w:r>
      <w:r w:rsidRPr="00A23800">
        <w:rPr>
          <w:rFonts w:ascii="Calibri" w:hAnsi="Calibri"/>
          <w:color w:val="231F20"/>
          <w:spacing w:val="14"/>
          <w:w w:val="105"/>
        </w:rPr>
        <w:t xml:space="preserve"> </w:t>
      </w:r>
      <w:r w:rsidRPr="00A23800">
        <w:rPr>
          <w:rFonts w:ascii="Calibri" w:hAnsi="Calibri"/>
          <w:color w:val="231F20"/>
          <w:w w:val="105"/>
        </w:rPr>
        <w:t>training,</w:t>
      </w:r>
      <w:r w:rsidRPr="00A23800">
        <w:rPr>
          <w:rFonts w:ascii="Calibri" w:hAnsi="Calibri"/>
          <w:color w:val="231F20"/>
          <w:spacing w:val="14"/>
          <w:w w:val="105"/>
        </w:rPr>
        <w:t xml:space="preserve"> </w:t>
      </w:r>
      <w:r w:rsidRPr="00A23800">
        <w:rPr>
          <w:rFonts w:ascii="Calibri" w:hAnsi="Calibri"/>
          <w:color w:val="231F20"/>
          <w:w w:val="105"/>
        </w:rPr>
        <w:t>supervisory</w:t>
      </w:r>
      <w:r w:rsidRPr="00A23800">
        <w:rPr>
          <w:rFonts w:ascii="Calibri" w:hAnsi="Calibri"/>
          <w:color w:val="231F20"/>
          <w:w w:val="107"/>
        </w:rPr>
        <w:t xml:space="preserve"> </w:t>
      </w:r>
      <w:r w:rsidRPr="00A23800">
        <w:rPr>
          <w:rFonts w:ascii="Calibri" w:hAnsi="Calibri"/>
          <w:color w:val="231F20"/>
          <w:w w:val="105"/>
        </w:rPr>
        <w:t>training, policy training, new legislation, casework review training, etc.</w:t>
      </w:r>
    </w:p>
    <w:p w14:paraId="5411AF22" w14:textId="2685421E" w:rsidR="00A07550" w:rsidRDefault="00A07550" w:rsidP="00D63204">
      <w:pPr>
        <w:widowControl w:val="0"/>
        <w:spacing w:after="0" w:line="240" w:lineRule="auto"/>
        <w:ind w:left="107"/>
        <w:rPr>
          <w:rFonts w:ascii="Calibri" w:hAnsi="Calibri"/>
        </w:rPr>
      </w:pPr>
    </w:p>
    <w:p w14:paraId="61464027" w14:textId="5FE1A5A6" w:rsidR="00240694" w:rsidRDefault="00240694" w:rsidP="00D63204">
      <w:pPr>
        <w:widowControl w:val="0"/>
        <w:spacing w:after="0" w:line="240" w:lineRule="auto"/>
        <w:ind w:left="107"/>
        <w:rPr>
          <w:rFonts w:ascii="Calibri" w:hAnsi="Calibri"/>
        </w:rPr>
      </w:pPr>
    </w:p>
    <w:p w14:paraId="6E9CBA20" w14:textId="0D9D6240" w:rsidR="00240694" w:rsidRDefault="00240694" w:rsidP="00D63204">
      <w:pPr>
        <w:widowControl w:val="0"/>
        <w:spacing w:after="0" w:line="240" w:lineRule="auto"/>
        <w:ind w:left="107"/>
        <w:rPr>
          <w:rFonts w:ascii="Calibri" w:hAnsi="Calibri"/>
        </w:rPr>
      </w:pPr>
    </w:p>
    <w:p w14:paraId="69CEF834" w14:textId="4414E39E" w:rsidR="00240694" w:rsidRDefault="00240694" w:rsidP="00D63204">
      <w:pPr>
        <w:widowControl w:val="0"/>
        <w:spacing w:after="0" w:line="240" w:lineRule="auto"/>
        <w:ind w:left="107"/>
        <w:rPr>
          <w:rFonts w:ascii="Calibri" w:hAnsi="Calibri"/>
        </w:rPr>
      </w:pPr>
    </w:p>
    <w:p w14:paraId="706D007C" w14:textId="1429326B" w:rsidR="00240694" w:rsidRDefault="00240694" w:rsidP="00D63204">
      <w:pPr>
        <w:widowControl w:val="0"/>
        <w:spacing w:after="0" w:line="240" w:lineRule="auto"/>
        <w:ind w:left="107"/>
        <w:rPr>
          <w:rFonts w:ascii="Calibri" w:hAnsi="Calibri"/>
        </w:rPr>
      </w:pPr>
    </w:p>
    <w:p w14:paraId="45789154" w14:textId="0A330776" w:rsidR="00A07550" w:rsidRPr="00096B5A" w:rsidRDefault="00A07550" w:rsidP="00D63204">
      <w:pPr>
        <w:widowControl w:val="0"/>
        <w:spacing w:after="0" w:line="240" w:lineRule="auto"/>
        <w:ind w:left="107"/>
        <w:rPr>
          <w:rFonts w:ascii="Calibri" w:hAnsi="Calibri"/>
          <w:color w:val="231F20"/>
          <w:w w:val="105"/>
        </w:rPr>
      </w:pPr>
      <w:r w:rsidRPr="00A23800">
        <w:rPr>
          <w:rFonts w:ascii="Calibri" w:hAnsi="Calibri"/>
          <w:color w:val="231F20"/>
          <w:w w:val="105"/>
        </w:rPr>
        <w:t>In</w:t>
      </w:r>
      <w:r w:rsidRPr="00096B5A">
        <w:rPr>
          <w:rFonts w:ascii="Calibri" w:hAnsi="Calibri"/>
          <w:color w:val="231F20"/>
          <w:w w:val="105"/>
        </w:rPr>
        <w:t xml:space="preserve"> </w:t>
      </w:r>
      <w:r w:rsidRPr="00A23800">
        <w:rPr>
          <w:rFonts w:ascii="Calibri" w:hAnsi="Calibri"/>
          <w:color w:val="231F20"/>
          <w:w w:val="105"/>
        </w:rPr>
        <w:t>carrying</w:t>
      </w:r>
      <w:r w:rsidRPr="00096B5A">
        <w:rPr>
          <w:rFonts w:ascii="Calibri" w:hAnsi="Calibri"/>
          <w:color w:val="231F20"/>
          <w:w w:val="105"/>
        </w:rPr>
        <w:t xml:space="preserve"> </w:t>
      </w:r>
      <w:r w:rsidRPr="00A23800">
        <w:rPr>
          <w:rFonts w:ascii="Calibri" w:hAnsi="Calibri"/>
          <w:color w:val="231F20"/>
          <w:w w:val="105"/>
        </w:rPr>
        <w:t>out</w:t>
      </w:r>
      <w:r w:rsidRPr="00096B5A">
        <w:rPr>
          <w:rFonts w:ascii="Calibri" w:hAnsi="Calibri"/>
          <w:color w:val="231F20"/>
          <w:w w:val="105"/>
        </w:rPr>
        <w:t xml:space="preserve"> </w:t>
      </w:r>
      <w:r w:rsidRPr="00A23800">
        <w:rPr>
          <w:rFonts w:ascii="Calibri" w:hAnsi="Calibri"/>
          <w:color w:val="231F20"/>
          <w:w w:val="105"/>
        </w:rPr>
        <w:t>its</w:t>
      </w:r>
      <w:r w:rsidRPr="00096B5A">
        <w:rPr>
          <w:rFonts w:ascii="Calibri" w:hAnsi="Calibri"/>
          <w:color w:val="231F20"/>
          <w:w w:val="105"/>
        </w:rPr>
        <w:t xml:space="preserve"> </w:t>
      </w:r>
      <w:r w:rsidRPr="00A23800">
        <w:rPr>
          <w:rFonts w:ascii="Calibri" w:hAnsi="Calibri"/>
          <w:color w:val="231F20"/>
          <w:w w:val="105"/>
        </w:rPr>
        <w:t>staff</w:t>
      </w:r>
      <w:r w:rsidRPr="00096B5A">
        <w:rPr>
          <w:rFonts w:ascii="Calibri" w:hAnsi="Calibri"/>
          <w:color w:val="231F20"/>
          <w:w w:val="105"/>
        </w:rPr>
        <w:t xml:space="preserve"> </w:t>
      </w:r>
      <w:r w:rsidRPr="00A23800">
        <w:rPr>
          <w:rFonts w:ascii="Calibri" w:hAnsi="Calibri"/>
          <w:color w:val="231F20"/>
          <w:w w:val="105"/>
        </w:rPr>
        <w:t>development</w:t>
      </w:r>
      <w:r w:rsidRPr="00096B5A">
        <w:rPr>
          <w:rFonts w:ascii="Calibri" w:hAnsi="Calibri"/>
          <w:color w:val="231F20"/>
          <w:w w:val="105"/>
        </w:rPr>
        <w:t xml:space="preserve"> </w:t>
      </w:r>
      <w:r w:rsidRPr="00A23800">
        <w:rPr>
          <w:rFonts w:ascii="Calibri" w:hAnsi="Calibri"/>
          <w:color w:val="231F20"/>
          <w:w w:val="105"/>
        </w:rPr>
        <w:t>and</w:t>
      </w:r>
      <w:r w:rsidRPr="00096B5A">
        <w:rPr>
          <w:rFonts w:ascii="Calibri" w:hAnsi="Calibri"/>
          <w:color w:val="231F20"/>
          <w:w w:val="105"/>
        </w:rPr>
        <w:t xml:space="preserve"> </w:t>
      </w:r>
      <w:r w:rsidRPr="00A23800">
        <w:rPr>
          <w:rFonts w:ascii="Calibri" w:hAnsi="Calibri"/>
          <w:color w:val="231F20"/>
          <w:w w:val="105"/>
        </w:rPr>
        <w:t>training</w:t>
      </w:r>
      <w:r w:rsidRPr="00096B5A">
        <w:rPr>
          <w:rFonts w:ascii="Calibri" w:hAnsi="Calibri"/>
          <w:color w:val="231F20"/>
          <w:w w:val="105"/>
        </w:rPr>
        <w:t xml:space="preserve"> </w:t>
      </w:r>
      <w:r w:rsidRPr="00A23800">
        <w:rPr>
          <w:rFonts w:ascii="Calibri" w:hAnsi="Calibri"/>
          <w:color w:val="231F20"/>
          <w:w w:val="105"/>
        </w:rPr>
        <w:t>program,</w:t>
      </w:r>
      <w:r w:rsidRPr="00096B5A">
        <w:rPr>
          <w:rFonts w:ascii="Calibri" w:hAnsi="Calibri"/>
          <w:color w:val="231F20"/>
          <w:w w:val="105"/>
        </w:rPr>
        <w:t xml:space="preserve"> </w:t>
      </w:r>
      <w:r w:rsidRPr="00A23800">
        <w:rPr>
          <w:rFonts w:ascii="Calibri" w:hAnsi="Calibri"/>
          <w:color w:val="231F20"/>
          <w:w w:val="105"/>
        </w:rPr>
        <w:t>VR</w:t>
      </w:r>
      <w:r w:rsidRPr="00096B5A">
        <w:rPr>
          <w:rFonts w:ascii="Calibri" w:hAnsi="Calibri"/>
          <w:color w:val="231F20"/>
          <w:w w:val="105"/>
        </w:rPr>
        <w:t xml:space="preserve"> </w:t>
      </w:r>
      <w:r w:rsidRPr="00A23800">
        <w:rPr>
          <w:rFonts w:ascii="Calibri" w:hAnsi="Calibri"/>
          <w:color w:val="231F20"/>
          <w:w w:val="105"/>
        </w:rPr>
        <w:t>addresses</w:t>
      </w:r>
      <w:r w:rsidRPr="00096B5A">
        <w:rPr>
          <w:rFonts w:ascii="Calibri" w:hAnsi="Calibri"/>
          <w:color w:val="231F20"/>
          <w:w w:val="105"/>
        </w:rPr>
        <w:t xml:space="preserve"> </w:t>
      </w:r>
      <w:r w:rsidRPr="00A23800">
        <w:rPr>
          <w:rFonts w:ascii="Calibri" w:hAnsi="Calibri"/>
          <w:color w:val="231F20"/>
          <w:w w:val="105"/>
        </w:rPr>
        <w:t>several</w:t>
      </w:r>
      <w:r w:rsidRPr="00096B5A">
        <w:rPr>
          <w:rFonts w:ascii="Calibri" w:hAnsi="Calibri"/>
          <w:color w:val="231F20"/>
          <w:w w:val="105"/>
        </w:rPr>
        <w:t xml:space="preserve"> </w:t>
      </w:r>
      <w:r w:rsidRPr="00A23800">
        <w:rPr>
          <w:rFonts w:ascii="Calibri" w:hAnsi="Calibri"/>
          <w:color w:val="231F20"/>
          <w:w w:val="105"/>
        </w:rPr>
        <w:t>topics</w:t>
      </w:r>
      <w:r w:rsidRPr="00096B5A">
        <w:rPr>
          <w:rFonts w:ascii="Calibri" w:hAnsi="Calibri"/>
          <w:color w:val="231F20"/>
          <w:w w:val="105"/>
        </w:rPr>
        <w:t xml:space="preserve"> </w:t>
      </w:r>
      <w:r w:rsidRPr="00A23800">
        <w:rPr>
          <w:rFonts w:ascii="Calibri" w:hAnsi="Calibri"/>
          <w:color w:val="231F20"/>
          <w:w w:val="105"/>
        </w:rPr>
        <w:t>in</w:t>
      </w:r>
      <w:r w:rsidRPr="00096B5A">
        <w:rPr>
          <w:rFonts w:ascii="Calibri" w:hAnsi="Calibri"/>
          <w:color w:val="231F20"/>
          <w:w w:val="105"/>
        </w:rPr>
        <w:t xml:space="preserve"> </w:t>
      </w:r>
      <w:r w:rsidRPr="00A23800">
        <w:rPr>
          <w:rFonts w:ascii="Calibri" w:hAnsi="Calibri"/>
          <w:color w:val="231F20"/>
          <w:w w:val="105"/>
        </w:rPr>
        <w:t>its</w:t>
      </w:r>
      <w:r w:rsidRPr="00096B5A">
        <w:rPr>
          <w:rFonts w:ascii="Calibri" w:hAnsi="Calibri"/>
          <w:color w:val="231F20"/>
          <w:w w:val="105"/>
        </w:rPr>
        <w:t xml:space="preserve"> </w:t>
      </w:r>
      <w:r w:rsidRPr="00A23800">
        <w:rPr>
          <w:rFonts w:ascii="Calibri" w:hAnsi="Calibri"/>
          <w:color w:val="231F20"/>
          <w:w w:val="105"/>
        </w:rPr>
        <w:t>training</w:t>
      </w:r>
      <w:r w:rsidRPr="00096B5A">
        <w:rPr>
          <w:rFonts w:ascii="Calibri" w:hAnsi="Calibri"/>
          <w:color w:val="231F20"/>
          <w:w w:val="105"/>
        </w:rPr>
        <w:t xml:space="preserve"> </w:t>
      </w:r>
      <w:r w:rsidRPr="00A23800">
        <w:rPr>
          <w:rFonts w:ascii="Calibri" w:hAnsi="Calibri"/>
          <w:color w:val="231F20"/>
          <w:w w:val="105"/>
        </w:rPr>
        <w:t>curricula. The training curricula include (but are not limited to) modules on the following:</w:t>
      </w:r>
      <w:r w:rsidRPr="00096B5A">
        <w:rPr>
          <w:rFonts w:ascii="Calibri" w:hAnsi="Calibri"/>
          <w:color w:val="231F20"/>
          <w:w w:val="105"/>
        </w:rPr>
        <w:t xml:space="preserve"> </w:t>
      </w:r>
      <w:r w:rsidRPr="00A23800">
        <w:rPr>
          <w:rFonts w:ascii="Calibri" w:hAnsi="Calibri"/>
          <w:color w:val="231F20"/>
          <w:w w:val="105"/>
        </w:rPr>
        <w:t>preliminary</w:t>
      </w:r>
      <w:r w:rsidRPr="00096B5A">
        <w:rPr>
          <w:rFonts w:ascii="Calibri" w:hAnsi="Calibri"/>
          <w:color w:val="231F20"/>
          <w:w w:val="105"/>
        </w:rPr>
        <w:t xml:space="preserve"> </w:t>
      </w:r>
      <w:r w:rsidRPr="00A23800">
        <w:rPr>
          <w:rFonts w:ascii="Calibri" w:hAnsi="Calibri"/>
          <w:color w:val="231F20"/>
          <w:w w:val="105"/>
        </w:rPr>
        <w:t>assessment, eligibility determination, assessment, IPE development, vocational counseling (within the modules on eligibility determination and individualized plan for employment development), job</w:t>
      </w:r>
      <w:r w:rsidRPr="00096B5A">
        <w:rPr>
          <w:rFonts w:ascii="Calibri" w:hAnsi="Calibri"/>
          <w:color w:val="231F20"/>
          <w:w w:val="105"/>
        </w:rPr>
        <w:t xml:space="preserve"> </w:t>
      </w:r>
      <w:r w:rsidRPr="00A23800">
        <w:rPr>
          <w:rFonts w:ascii="Calibri" w:hAnsi="Calibri"/>
          <w:color w:val="231F20"/>
          <w:w w:val="105"/>
        </w:rPr>
        <w:t>placement, rehabilitation</w:t>
      </w:r>
      <w:r w:rsidRPr="00096B5A">
        <w:rPr>
          <w:rFonts w:ascii="Calibri" w:hAnsi="Calibri"/>
          <w:color w:val="231F20"/>
          <w:w w:val="105"/>
        </w:rPr>
        <w:t xml:space="preserve"> </w:t>
      </w:r>
      <w:r w:rsidRPr="00A23800">
        <w:rPr>
          <w:rFonts w:ascii="Calibri" w:hAnsi="Calibri"/>
          <w:color w:val="231F20"/>
          <w:w w:val="105"/>
        </w:rPr>
        <w:t>technology,</w:t>
      </w:r>
      <w:r w:rsidRPr="00096B5A">
        <w:rPr>
          <w:rFonts w:ascii="Calibri" w:hAnsi="Calibri"/>
          <w:color w:val="231F20"/>
          <w:w w:val="105"/>
        </w:rPr>
        <w:t xml:space="preserve"> </w:t>
      </w:r>
      <w:r w:rsidRPr="00A23800">
        <w:rPr>
          <w:rFonts w:ascii="Calibri" w:hAnsi="Calibri"/>
          <w:color w:val="231F20"/>
          <w:w w:val="105"/>
        </w:rPr>
        <w:t>cultural</w:t>
      </w:r>
      <w:r w:rsidRPr="00096B5A">
        <w:rPr>
          <w:rFonts w:ascii="Calibri" w:hAnsi="Calibri"/>
          <w:color w:val="231F20"/>
          <w:w w:val="105"/>
        </w:rPr>
        <w:t xml:space="preserve"> </w:t>
      </w:r>
      <w:r w:rsidRPr="00A23800">
        <w:rPr>
          <w:rFonts w:ascii="Calibri" w:hAnsi="Calibri"/>
          <w:color w:val="231F20"/>
          <w:w w:val="105"/>
        </w:rPr>
        <w:t>competence,</w:t>
      </w:r>
      <w:r w:rsidRPr="00096B5A">
        <w:rPr>
          <w:rFonts w:ascii="Calibri" w:hAnsi="Calibri"/>
          <w:color w:val="231F20"/>
          <w:w w:val="105"/>
        </w:rPr>
        <w:t xml:space="preserve"> </w:t>
      </w:r>
      <w:r w:rsidRPr="00A23800">
        <w:rPr>
          <w:rFonts w:ascii="Calibri" w:hAnsi="Calibri"/>
          <w:color w:val="231F20"/>
          <w:w w:val="105"/>
        </w:rPr>
        <w:t>ethics,</w:t>
      </w:r>
      <w:r w:rsidRPr="00096B5A">
        <w:rPr>
          <w:rFonts w:ascii="Calibri" w:hAnsi="Calibri"/>
          <w:color w:val="231F20"/>
          <w:w w:val="105"/>
        </w:rPr>
        <w:t xml:space="preserve"> </w:t>
      </w:r>
      <w:r w:rsidRPr="00A23800">
        <w:rPr>
          <w:rFonts w:ascii="Calibri" w:hAnsi="Calibri"/>
          <w:color w:val="231F20"/>
          <w:w w:val="105"/>
        </w:rPr>
        <w:t>supported</w:t>
      </w:r>
      <w:r w:rsidRPr="00096B5A">
        <w:rPr>
          <w:rFonts w:ascii="Calibri" w:hAnsi="Calibri"/>
          <w:color w:val="231F20"/>
          <w:w w:val="105"/>
        </w:rPr>
        <w:t xml:space="preserve"> </w:t>
      </w:r>
      <w:r w:rsidRPr="00A23800">
        <w:rPr>
          <w:rFonts w:ascii="Calibri" w:hAnsi="Calibri"/>
          <w:color w:val="231F20"/>
          <w:w w:val="105"/>
        </w:rPr>
        <w:t>employment,</w:t>
      </w:r>
      <w:r w:rsidRPr="00096B5A">
        <w:rPr>
          <w:rFonts w:ascii="Calibri" w:hAnsi="Calibri"/>
          <w:color w:val="231F20"/>
          <w:w w:val="105"/>
        </w:rPr>
        <w:t xml:space="preserve"> </w:t>
      </w:r>
      <w:r w:rsidRPr="00A23800">
        <w:rPr>
          <w:rFonts w:ascii="Calibri" w:hAnsi="Calibri"/>
          <w:color w:val="231F20"/>
          <w:w w:val="105"/>
        </w:rPr>
        <w:t>transition</w:t>
      </w:r>
      <w:r w:rsidRPr="00096B5A">
        <w:rPr>
          <w:rFonts w:ascii="Calibri" w:hAnsi="Calibri"/>
          <w:color w:val="231F20"/>
          <w:w w:val="105"/>
        </w:rPr>
        <w:t xml:space="preserve"> </w:t>
      </w:r>
      <w:r w:rsidRPr="00A23800">
        <w:rPr>
          <w:rFonts w:ascii="Calibri" w:hAnsi="Calibri"/>
          <w:color w:val="231F20"/>
          <w:w w:val="105"/>
        </w:rPr>
        <w:t>from</w:t>
      </w:r>
      <w:r w:rsidRPr="00096B5A">
        <w:rPr>
          <w:rFonts w:ascii="Calibri" w:hAnsi="Calibri"/>
          <w:color w:val="231F20"/>
          <w:w w:val="105"/>
        </w:rPr>
        <w:t xml:space="preserve"> </w:t>
      </w:r>
      <w:r w:rsidRPr="00A23800">
        <w:rPr>
          <w:rFonts w:ascii="Calibri" w:hAnsi="Calibri"/>
          <w:color w:val="231F20"/>
          <w:w w:val="105"/>
        </w:rPr>
        <w:t>school</w:t>
      </w:r>
      <w:r w:rsidRPr="00096B5A">
        <w:rPr>
          <w:rFonts w:ascii="Calibri" w:hAnsi="Calibri"/>
          <w:color w:val="231F20"/>
          <w:w w:val="105"/>
        </w:rPr>
        <w:t xml:space="preserve"> </w:t>
      </w:r>
      <w:r w:rsidRPr="00A23800">
        <w:rPr>
          <w:rFonts w:ascii="Calibri" w:hAnsi="Calibri"/>
          <w:color w:val="231F20"/>
          <w:w w:val="105"/>
        </w:rPr>
        <w:t>to</w:t>
      </w:r>
      <w:r w:rsidRPr="00096B5A">
        <w:rPr>
          <w:rFonts w:ascii="Calibri" w:hAnsi="Calibri"/>
          <w:color w:val="231F20"/>
          <w:w w:val="105"/>
        </w:rPr>
        <w:t xml:space="preserve"> </w:t>
      </w:r>
      <w:r w:rsidRPr="00A23800">
        <w:rPr>
          <w:rFonts w:ascii="Calibri" w:hAnsi="Calibri"/>
          <w:color w:val="231F20"/>
          <w:w w:val="105"/>
        </w:rPr>
        <w:t>work,</w:t>
      </w:r>
      <w:r w:rsidRPr="00096B5A">
        <w:rPr>
          <w:rFonts w:ascii="Calibri" w:hAnsi="Calibri"/>
          <w:color w:val="231F20"/>
          <w:w w:val="105"/>
        </w:rPr>
        <w:t xml:space="preserve"> </w:t>
      </w:r>
      <w:r w:rsidRPr="00A23800">
        <w:rPr>
          <w:rFonts w:ascii="Calibri" w:hAnsi="Calibri"/>
          <w:color w:val="231F20"/>
          <w:w w:val="105"/>
        </w:rPr>
        <w:t>medical</w:t>
      </w:r>
      <w:r w:rsidRPr="00096B5A">
        <w:rPr>
          <w:rFonts w:ascii="Calibri" w:hAnsi="Calibri"/>
          <w:color w:val="231F20"/>
          <w:w w:val="105"/>
        </w:rPr>
        <w:t xml:space="preserve"> </w:t>
      </w:r>
      <w:r w:rsidRPr="00A23800">
        <w:rPr>
          <w:rFonts w:ascii="Calibri" w:hAnsi="Calibri"/>
          <w:color w:val="231F20"/>
          <w:w w:val="105"/>
        </w:rPr>
        <w:t>and</w:t>
      </w:r>
      <w:r w:rsidRPr="00096B5A">
        <w:rPr>
          <w:rFonts w:ascii="Calibri" w:hAnsi="Calibri"/>
          <w:color w:val="231F20"/>
          <w:w w:val="105"/>
        </w:rPr>
        <w:t xml:space="preserve"> </w:t>
      </w:r>
      <w:r w:rsidRPr="00A23800">
        <w:rPr>
          <w:rFonts w:ascii="Calibri" w:hAnsi="Calibri"/>
          <w:color w:val="231F20"/>
          <w:w w:val="105"/>
        </w:rPr>
        <w:t>psychological</w:t>
      </w:r>
      <w:r w:rsidRPr="00096B5A">
        <w:rPr>
          <w:rFonts w:ascii="Calibri" w:hAnsi="Calibri"/>
          <w:color w:val="231F20"/>
          <w:w w:val="105"/>
        </w:rPr>
        <w:t xml:space="preserve"> </w:t>
      </w:r>
      <w:r w:rsidRPr="00A23800">
        <w:rPr>
          <w:rFonts w:ascii="Calibri" w:hAnsi="Calibri"/>
          <w:color w:val="231F20"/>
          <w:w w:val="105"/>
        </w:rPr>
        <w:t>issues,</w:t>
      </w:r>
      <w:r w:rsidRPr="00096B5A">
        <w:rPr>
          <w:rFonts w:ascii="Calibri" w:hAnsi="Calibri"/>
          <w:color w:val="231F20"/>
          <w:w w:val="105"/>
        </w:rPr>
        <w:t xml:space="preserve"> </w:t>
      </w:r>
      <w:r w:rsidRPr="00A23800">
        <w:rPr>
          <w:rFonts w:ascii="Calibri" w:hAnsi="Calibri"/>
          <w:color w:val="231F20"/>
          <w:w w:val="105"/>
        </w:rPr>
        <w:t>caseload</w:t>
      </w:r>
      <w:r w:rsidRPr="00096B5A">
        <w:rPr>
          <w:rFonts w:ascii="Calibri" w:hAnsi="Calibri"/>
          <w:color w:val="231F20"/>
          <w:w w:val="105"/>
        </w:rPr>
        <w:t xml:space="preserve"> </w:t>
      </w:r>
      <w:r w:rsidRPr="00A23800">
        <w:rPr>
          <w:rFonts w:ascii="Calibri" w:hAnsi="Calibri"/>
          <w:color w:val="231F20"/>
          <w:w w:val="105"/>
        </w:rPr>
        <w:t>management</w:t>
      </w:r>
      <w:r w:rsidR="00D5537E">
        <w:rPr>
          <w:rFonts w:ascii="Calibri" w:hAnsi="Calibri"/>
          <w:color w:val="231F20"/>
          <w:w w:val="105"/>
        </w:rPr>
        <w:t xml:space="preserve"> and</w:t>
      </w:r>
      <w:r w:rsidRPr="00096B5A">
        <w:rPr>
          <w:rFonts w:ascii="Calibri" w:hAnsi="Calibri"/>
          <w:color w:val="231F20"/>
          <w:w w:val="105"/>
        </w:rPr>
        <w:t xml:space="preserve"> </w:t>
      </w:r>
      <w:r w:rsidRPr="00A23800">
        <w:rPr>
          <w:rFonts w:ascii="Calibri" w:hAnsi="Calibri"/>
          <w:color w:val="231F20"/>
          <w:w w:val="105"/>
        </w:rPr>
        <w:t>special</w:t>
      </w:r>
      <w:r w:rsidRPr="00096B5A">
        <w:rPr>
          <w:rFonts w:ascii="Calibri" w:hAnsi="Calibri"/>
          <w:color w:val="231F20"/>
          <w:w w:val="105"/>
        </w:rPr>
        <w:t xml:space="preserve"> </w:t>
      </w:r>
      <w:r w:rsidRPr="00A23800">
        <w:rPr>
          <w:rFonts w:ascii="Calibri" w:hAnsi="Calibri"/>
          <w:color w:val="231F20"/>
          <w:w w:val="105"/>
        </w:rPr>
        <w:t>programs.</w:t>
      </w:r>
    </w:p>
    <w:p w14:paraId="3D6C2586" w14:textId="77777777" w:rsidR="00A07550" w:rsidRPr="00A23800" w:rsidRDefault="00A07550" w:rsidP="00D63204">
      <w:pPr>
        <w:widowControl w:val="0"/>
        <w:spacing w:before="5" w:after="0" w:line="240" w:lineRule="auto"/>
        <w:ind w:left="107"/>
        <w:rPr>
          <w:rFonts w:ascii="Calibri" w:hAnsi="Calibri" w:cs="Calibri"/>
          <w:sz w:val="16"/>
          <w:szCs w:val="16"/>
        </w:rPr>
      </w:pPr>
    </w:p>
    <w:p w14:paraId="78E84FA1" w14:textId="1C26CEFC" w:rsidR="00A07550" w:rsidRPr="00A23800" w:rsidRDefault="00A07550" w:rsidP="00D63204">
      <w:pPr>
        <w:widowControl w:val="0"/>
        <w:spacing w:after="0" w:line="240" w:lineRule="auto"/>
        <w:ind w:left="107"/>
        <w:rPr>
          <w:rFonts w:ascii="Calibri" w:hAnsi="Calibri"/>
        </w:rPr>
      </w:pPr>
      <w:r w:rsidRPr="00A23800">
        <w:rPr>
          <w:rFonts w:ascii="Calibri" w:hAnsi="Calibri"/>
          <w:color w:val="231F20"/>
          <w:w w:val="105"/>
        </w:rPr>
        <w:t>VR</w:t>
      </w:r>
      <w:r w:rsidRPr="00A23800">
        <w:rPr>
          <w:rFonts w:ascii="Calibri" w:hAnsi="Calibri"/>
          <w:color w:val="231F20"/>
          <w:spacing w:val="18"/>
          <w:w w:val="105"/>
        </w:rPr>
        <w:t xml:space="preserve"> </w:t>
      </w:r>
      <w:r w:rsidRPr="00A23800">
        <w:rPr>
          <w:rFonts w:ascii="Calibri" w:hAnsi="Calibri"/>
          <w:color w:val="231F20"/>
          <w:w w:val="105"/>
        </w:rPr>
        <w:t>places</w:t>
      </w:r>
      <w:r w:rsidRPr="00A23800">
        <w:rPr>
          <w:rFonts w:ascii="Calibri" w:hAnsi="Calibri"/>
          <w:color w:val="231F20"/>
          <w:spacing w:val="18"/>
          <w:w w:val="105"/>
        </w:rPr>
        <w:t xml:space="preserve"> </w:t>
      </w:r>
      <w:r w:rsidRPr="00A23800">
        <w:rPr>
          <w:rFonts w:ascii="Calibri" w:hAnsi="Calibri"/>
          <w:color w:val="231F20"/>
          <w:w w:val="105"/>
        </w:rPr>
        <w:t>emphasis</w:t>
      </w:r>
      <w:r w:rsidRPr="00A23800">
        <w:rPr>
          <w:rFonts w:ascii="Calibri" w:hAnsi="Calibri"/>
          <w:color w:val="231F20"/>
          <w:spacing w:val="18"/>
          <w:w w:val="105"/>
        </w:rPr>
        <w:t xml:space="preserve"> </w:t>
      </w:r>
      <w:r w:rsidRPr="00A23800">
        <w:rPr>
          <w:rFonts w:ascii="Calibri" w:hAnsi="Calibri"/>
          <w:color w:val="231F20"/>
          <w:w w:val="105"/>
        </w:rPr>
        <w:t>on</w:t>
      </w:r>
      <w:r w:rsidRPr="00A23800">
        <w:rPr>
          <w:rFonts w:ascii="Calibri" w:hAnsi="Calibri"/>
          <w:color w:val="231F20"/>
          <w:spacing w:val="18"/>
          <w:w w:val="105"/>
        </w:rPr>
        <w:t xml:space="preserve"> </w:t>
      </w:r>
      <w:r w:rsidRPr="00A23800">
        <w:rPr>
          <w:rFonts w:ascii="Calibri" w:hAnsi="Calibri"/>
          <w:color w:val="231F20"/>
          <w:w w:val="105"/>
        </w:rPr>
        <w:t>the</w:t>
      </w:r>
      <w:r w:rsidRPr="00A23800">
        <w:rPr>
          <w:rFonts w:ascii="Calibri" w:hAnsi="Calibri"/>
          <w:color w:val="231F20"/>
          <w:spacing w:val="18"/>
          <w:w w:val="105"/>
        </w:rPr>
        <w:t xml:space="preserve"> </w:t>
      </w:r>
      <w:r w:rsidRPr="00A23800">
        <w:rPr>
          <w:rFonts w:ascii="Calibri" w:hAnsi="Calibri"/>
          <w:color w:val="231F20"/>
          <w:w w:val="105"/>
        </w:rPr>
        <w:t>professional</w:t>
      </w:r>
      <w:r w:rsidRPr="00A23800">
        <w:rPr>
          <w:rFonts w:ascii="Calibri" w:hAnsi="Calibri"/>
          <w:color w:val="231F20"/>
          <w:spacing w:val="18"/>
          <w:w w:val="105"/>
        </w:rPr>
        <w:t xml:space="preserve"> </w:t>
      </w:r>
      <w:r w:rsidRPr="00A23800">
        <w:rPr>
          <w:rFonts w:ascii="Calibri" w:hAnsi="Calibri"/>
          <w:color w:val="231F20"/>
          <w:w w:val="105"/>
        </w:rPr>
        <w:t>development</w:t>
      </w:r>
      <w:r w:rsidRPr="00A23800">
        <w:rPr>
          <w:rFonts w:ascii="Calibri" w:hAnsi="Calibri"/>
          <w:color w:val="231F20"/>
          <w:spacing w:val="18"/>
          <w:w w:val="105"/>
        </w:rPr>
        <w:t xml:space="preserve"> </w:t>
      </w:r>
      <w:r w:rsidRPr="00A23800">
        <w:rPr>
          <w:rFonts w:ascii="Calibri" w:hAnsi="Calibri"/>
          <w:color w:val="231F20"/>
          <w:w w:val="105"/>
        </w:rPr>
        <w:t>of</w:t>
      </w:r>
      <w:r w:rsidRPr="00A23800">
        <w:rPr>
          <w:rFonts w:ascii="Calibri" w:hAnsi="Calibri"/>
          <w:color w:val="231F20"/>
          <w:spacing w:val="18"/>
          <w:w w:val="105"/>
        </w:rPr>
        <w:t xml:space="preserve"> </w:t>
      </w:r>
      <w:r w:rsidRPr="00A23800">
        <w:rPr>
          <w:rFonts w:ascii="Calibri" w:hAnsi="Calibri"/>
          <w:color w:val="231F20"/>
          <w:w w:val="105"/>
        </w:rPr>
        <w:t>unit</w:t>
      </w:r>
      <w:r w:rsidRPr="00A23800">
        <w:rPr>
          <w:rFonts w:ascii="Calibri" w:hAnsi="Calibri"/>
          <w:color w:val="231F20"/>
          <w:spacing w:val="18"/>
          <w:w w:val="105"/>
        </w:rPr>
        <w:t xml:space="preserve"> </w:t>
      </w:r>
      <w:r w:rsidRPr="00A23800">
        <w:rPr>
          <w:rFonts w:ascii="Calibri" w:hAnsi="Calibri"/>
          <w:color w:val="231F20"/>
          <w:w w:val="105"/>
        </w:rPr>
        <w:t>supervisors,</w:t>
      </w:r>
      <w:r w:rsidRPr="00A23800">
        <w:rPr>
          <w:rFonts w:ascii="Calibri" w:hAnsi="Calibri"/>
          <w:color w:val="231F20"/>
          <w:spacing w:val="18"/>
          <w:w w:val="105"/>
        </w:rPr>
        <w:t xml:space="preserve"> </w:t>
      </w:r>
      <w:r w:rsidRPr="00A23800">
        <w:rPr>
          <w:rFonts w:ascii="Calibri" w:hAnsi="Calibri"/>
          <w:color w:val="231F20"/>
          <w:w w:val="105"/>
        </w:rPr>
        <w:t>area</w:t>
      </w:r>
      <w:r w:rsidRPr="00A23800">
        <w:rPr>
          <w:rFonts w:ascii="Calibri" w:hAnsi="Calibri"/>
          <w:color w:val="231F20"/>
          <w:spacing w:val="18"/>
          <w:w w:val="105"/>
        </w:rPr>
        <w:t xml:space="preserve"> </w:t>
      </w:r>
      <w:r w:rsidRPr="00A23800">
        <w:rPr>
          <w:rFonts w:ascii="Calibri" w:hAnsi="Calibri"/>
          <w:color w:val="231F20"/>
          <w:w w:val="105"/>
        </w:rPr>
        <w:t>supervisors</w:t>
      </w:r>
      <w:r w:rsidR="00D5537E">
        <w:rPr>
          <w:rFonts w:ascii="Calibri" w:hAnsi="Calibri"/>
          <w:color w:val="231F20"/>
          <w:w w:val="105"/>
        </w:rPr>
        <w:t xml:space="preserve"> and</w:t>
      </w:r>
      <w:r w:rsidRPr="00A23800">
        <w:rPr>
          <w:rFonts w:ascii="Calibri" w:hAnsi="Calibri"/>
          <w:color w:val="231F20"/>
          <w:spacing w:val="18"/>
          <w:w w:val="105"/>
        </w:rPr>
        <w:t xml:space="preserve"> </w:t>
      </w:r>
      <w:r w:rsidRPr="00A23800">
        <w:rPr>
          <w:rFonts w:ascii="Calibri" w:hAnsi="Calibri"/>
          <w:color w:val="231F20"/>
          <w:w w:val="105"/>
        </w:rPr>
        <w:t>area</w:t>
      </w:r>
      <w:r w:rsidRPr="00A23800">
        <w:rPr>
          <w:rFonts w:ascii="Calibri" w:hAnsi="Calibri"/>
          <w:color w:val="231F20"/>
          <w:spacing w:val="-23"/>
          <w:w w:val="105"/>
        </w:rPr>
        <w:t xml:space="preserve"> </w:t>
      </w:r>
      <w:r w:rsidRPr="00A23800">
        <w:rPr>
          <w:rFonts w:ascii="Calibri" w:hAnsi="Calibri"/>
          <w:color w:val="231F20"/>
          <w:w w:val="105"/>
        </w:rPr>
        <w:t>directors.</w:t>
      </w:r>
      <w:r w:rsidRPr="00A23800">
        <w:rPr>
          <w:rFonts w:ascii="Calibri" w:hAnsi="Calibri"/>
          <w:color w:val="231F20"/>
          <w:spacing w:val="19"/>
          <w:w w:val="105"/>
        </w:rPr>
        <w:t xml:space="preserve"> </w:t>
      </w:r>
      <w:r w:rsidRPr="00A23800">
        <w:rPr>
          <w:rFonts w:ascii="Calibri" w:hAnsi="Calibri"/>
          <w:color w:val="231F20"/>
          <w:spacing w:val="-4"/>
          <w:w w:val="105"/>
        </w:rPr>
        <w:t>Topics</w:t>
      </w:r>
      <w:r w:rsidRPr="00A23800">
        <w:rPr>
          <w:rFonts w:ascii="Calibri" w:hAnsi="Calibri"/>
          <w:color w:val="231F20"/>
          <w:spacing w:val="19"/>
          <w:w w:val="105"/>
        </w:rPr>
        <w:t xml:space="preserve"> </w:t>
      </w:r>
      <w:r w:rsidRPr="00A23800">
        <w:rPr>
          <w:rFonts w:ascii="Calibri" w:hAnsi="Calibri"/>
          <w:color w:val="231F20"/>
          <w:w w:val="105"/>
        </w:rPr>
        <w:t>are</w:t>
      </w:r>
      <w:r w:rsidRPr="00A23800">
        <w:rPr>
          <w:rFonts w:ascii="Calibri" w:hAnsi="Calibri"/>
          <w:color w:val="231F20"/>
          <w:spacing w:val="19"/>
          <w:w w:val="105"/>
        </w:rPr>
        <w:t xml:space="preserve"> </w:t>
      </w:r>
      <w:r w:rsidRPr="00A23800">
        <w:rPr>
          <w:rFonts w:ascii="Calibri" w:hAnsi="Calibri"/>
          <w:color w:val="231F20"/>
          <w:w w:val="105"/>
        </w:rPr>
        <w:t>selected</w:t>
      </w:r>
      <w:r w:rsidRPr="00A23800">
        <w:rPr>
          <w:rFonts w:ascii="Calibri" w:hAnsi="Calibri"/>
          <w:color w:val="231F20"/>
          <w:spacing w:val="19"/>
          <w:w w:val="105"/>
        </w:rPr>
        <w:t xml:space="preserve"> </w:t>
      </w:r>
      <w:r w:rsidRPr="00A23800">
        <w:rPr>
          <w:rFonts w:ascii="Calibri" w:hAnsi="Calibri"/>
          <w:color w:val="231F20"/>
          <w:w w:val="105"/>
        </w:rPr>
        <w:t>based</w:t>
      </w:r>
      <w:r w:rsidRPr="00A23800">
        <w:rPr>
          <w:rFonts w:ascii="Calibri" w:hAnsi="Calibri"/>
          <w:color w:val="231F20"/>
          <w:spacing w:val="19"/>
          <w:w w:val="105"/>
        </w:rPr>
        <w:t xml:space="preserve"> </w:t>
      </w:r>
      <w:r w:rsidRPr="00A23800">
        <w:rPr>
          <w:rFonts w:ascii="Calibri" w:hAnsi="Calibri"/>
          <w:color w:val="231F20"/>
          <w:w w:val="105"/>
        </w:rPr>
        <w:t>on</w:t>
      </w:r>
      <w:r w:rsidRPr="00A23800">
        <w:rPr>
          <w:rFonts w:ascii="Calibri" w:hAnsi="Calibri"/>
          <w:color w:val="231F20"/>
          <w:spacing w:val="19"/>
          <w:w w:val="105"/>
        </w:rPr>
        <w:t xml:space="preserve"> </w:t>
      </w:r>
      <w:r w:rsidRPr="00A23800">
        <w:rPr>
          <w:rFonts w:ascii="Calibri" w:hAnsi="Calibri"/>
          <w:color w:val="231F20"/>
          <w:w w:val="105"/>
        </w:rPr>
        <w:t>policy</w:t>
      </w:r>
      <w:r w:rsidRPr="00A23800">
        <w:rPr>
          <w:rFonts w:ascii="Calibri" w:hAnsi="Calibri"/>
          <w:color w:val="231F20"/>
          <w:spacing w:val="19"/>
          <w:w w:val="105"/>
        </w:rPr>
        <w:t xml:space="preserve"> </w:t>
      </w:r>
      <w:r w:rsidRPr="00A23800">
        <w:rPr>
          <w:rFonts w:ascii="Calibri" w:hAnsi="Calibri"/>
          <w:color w:val="231F20"/>
          <w:w w:val="105"/>
        </w:rPr>
        <w:t>or</w:t>
      </w:r>
      <w:r w:rsidRPr="00A23800">
        <w:rPr>
          <w:rFonts w:ascii="Calibri" w:hAnsi="Calibri"/>
          <w:color w:val="231F20"/>
          <w:spacing w:val="19"/>
          <w:w w:val="105"/>
        </w:rPr>
        <w:t xml:space="preserve"> </w:t>
      </w:r>
      <w:r w:rsidRPr="00A23800">
        <w:rPr>
          <w:rFonts w:ascii="Calibri" w:hAnsi="Calibri"/>
          <w:color w:val="231F20"/>
          <w:w w:val="105"/>
        </w:rPr>
        <w:t>procedure</w:t>
      </w:r>
      <w:r w:rsidRPr="00A23800">
        <w:rPr>
          <w:rFonts w:ascii="Calibri" w:hAnsi="Calibri"/>
          <w:color w:val="231F20"/>
          <w:spacing w:val="19"/>
          <w:w w:val="105"/>
        </w:rPr>
        <w:t xml:space="preserve"> </w:t>
      </w:r>
      <w:r w:rsidRPr="00A23800">
        <w:rPr>
          <w:rFonts w:ascii="Calibri" w:hAnsi="Calibri"/>
          <w:color w:val="231F20"/>
          <w:w w:val="105"/>
        </w:rPr>
        <w:t>changes,</w:t>
      </w:r>
      <w:r w:rsidRPr="00A23800">
        <w:rPr>
          <w:rFonts w:ascii="Calibri" w:hAnsi="Calibri"/>
          <w:color w:val="231F20"/>
          <w:spacing w:val="19"/>
          <w:w w:val="105"/>
        </w:rPr>
        <w:t xml:space="preserve"> </w:t>
      </w:r>
      <w:r w:rsidRPr="00A23800">
        <w:rPr>
          <w:rFonts w:ascii="Calibri" w:hAnsi="Calibri"/>
          <w:color w:val="231F20"/>
          <w:w w:val="105"/>
        </w:rPr>
        <w:t>new</w:t>
      </w:r>
      <w:r w:rsidRPr="00A23800">
        <w:rPr>
          <w:rFonts w:ascii="Calibri" w:hAnsi="Calibri"/>
          <w:color w:val="231F20"/>
          <w:spacing w:val="19"/>
          <w:w w:val="105"/>
        </w:rPr>
        <w:t xml:space="preserve"> </w:t>
      </w:r>
      <w:r w:rsidRPr="00A23800">
        <w:rPr>
          <w:rFonts w:ascii="Calibri" w:hAnsi="Calibri"/>
          <w:color w:val="231F20"/>
          <w:w w:val="105"/>
        </w:rPr>
        <w:t>initiatives,</w:t>
      </w:r>
      <w:r w:rsidRPr="00A23800">
        <w:rPr>
          <w:rFonts w:ascii="Calibri" w:hAnsi="Calibri"/>
          <w:color w:val="231F20"/>
          <w:spacing w:val="19"/>
          <w:w w:val="105"/>
        </w:rPr>
        <w:t xml:space="preserve"> </w:t>
      </w:r>
      <w:r w:rsidRPr="00A23800">
        <w:rPr>
          <w:rFonts w:ascii="Calibri" w:hAnsi="Calibri"/>
          <w:color w:val="231F20"/>
          <w:w w:val="105"/>
        </w:rPr>
        <w:t>audit</w:t>
      </w:r>
      <w:r w:rsidRPr="00A23800">
        <w:rPr>
          <w:rFonts w:ascii="Calibri" w:hAnsi="Calibri"/>
          <w:color w:val="231F20"/>
          <w:spacing w:val="19"/>
          <w:w w:val="105"/>
        </w:rPr>
        <w:t xml:space="preserve"> </w:t>
      </w:r>
      <w:r w:rsidRPr="00A23800">
        <w:rPr>
          <w:rFonts w:ascii="Calibri" w:hAnsi="Calibri"/>
          <w:color w:val="231F20"/>
          <w:w w:val="105"/>
        </w:rPr>
        <w:t>and</w:t>
      </w:r>
      <w:r w:rsidRPr="00A23800">
        <w:rPr>
          <w:rFonts w:ascii="Calibri" w:hAnsi="Calibri"/>
          <w:color w:val="231F20"/>
          <w:spacing w:val="19"/>
          <w:w w:val="105"/>
        </w:rPr>
        <w:t xml:space="preserve"> </w:t>
      </w:r>
      <w:r w:rsidRPr="00A23800">
        <w:rPr>
          <w:rFonts w:ascii="Calibri" w:hAnsi="Calibri"/>
          <w:color w:val="231F20"/>
          <w:w w:val="105"/>
        </w:rPr>
        <w:t>review findings</w:t>
      </w:r>
      <w:r w:rsidR="00D5537E">
        <w:rPr>
          <w:rFonts w:ascii="Calibri" w:hAnsi="Calibri"/>
          <w:color w:val="231F20"/>
          <w:w w:val="105"/>
        </w:rPr>
        <w:t xml:space="preserve"> and</w:t>
      </w:r>
      <w:r w:rsidRPr="00A23800">
        <w:rPr>
          <w:rFonts w:ascii="Calibri" w:hAnsi="Calibri"/>
          <w:color w:val="231F20"/>
          <w:w w:val="105"/>
        </w:rPr>
        <w:t xml:space="preserve"> general professional development.</w:t>
      </w:r>
    </w:p>
    <w:p w14:paraId="0343DE69" w14:textId="77777777" w:rsidR="00A07550" w:rsidRPr="00A23800" w:rsidRDefault="00A07550" w:rsidP="00D63204">
      <w:pPr>
        <w:widowControl w:val="0"/>
        <w:spacing w:before="5" w:after="0" w:line="240" w:lineRule="auto"/>
        <w:ind w:left="107"/>
        <w:rPr>
          <w:rFonts w:ascii="Calibri" w:hAnsi="Calibri" w:cs="Calibri"/>
          <w:sz w:val="16"/>
          <w:szCs w:val="16"/>
        </w:rPr>
      </w:pPr>
    </w:p>
    <w:p w14:paraId="5DB80CA1" w14:textId="6533B340" w:rsidR="00A07550" w:rsidRPr="00096B5A" w:rsidRDefault="00A07550" w:rsidP="00D63204">
      <w:pPr>
        <w:widowControl w:val="0"/>
        <w:spacing w:after="0" w:line="240" w:lineRule="auto"/>
        <w:ind w:left="107"/>
        <w:rPr>
          <w:rFonts w:ascii="Calibri" w:hAnsi="Calibri"/>
          <w:color w:val="231F20"/>
          <w:w w:val="105"/>
        </w:rPr>
      </w:pPr>
      <w:r w:rsidRPr="00A23800">
        <w:rPr>
          <w:rFonts w:ascii="Calibri" w:hAnsi="Calibri"/>
          <w:color w:val="231F20"/>
          <w:w w:val="105"/>
        </w:rPr>
        <w:t>Counseling</w:t>
      </w:r>
      <w:r w:rsidRPr="00096B5A">
        <w:rPr>
          <w:rFonts w:ascii="Calibri" w:hAnsi="Calibri"/>
          <w:color w:val="231F20"/>
          <w:w w:val="105"/>
        </w:rPr>
        <w:t xml:space="preserve"> </w:t>
      </w:r>
      <w:r w:rsidRPr="00A23800">
        <w:rPr>
          <w:rFonts w:ascii="Calibri" w:hAnsi="Calibri"/>
          <w:color w:val="231F20"/>
          <w:w w:val="105"/>
        </w:rPr>
        <w:t>and</w:t>
      </w:r>
      <w:r w:rsidRPr="00096B5A">
        <w:rPr>
          <w:rFonts w:ascii="Calibri" w:hAnsi="Calibri"/>
          <w:color w:val="231F20"/>
          <w:w w:val="105"/>
        </w:rPr>
        <w:t xml:space="preserve"> </w:t>
      </w:r>
      <w:r w:rsidRPr="00A23800">
        <w:rPr>
          <w:rFonts w:ascii="Calibri" w:hAnsi="Calibri"/>
          <w:color w:val="231F20"/>
          <w:w w:val="105"/>
        </w:rPr>
        <w:t>non-counseling</w:t>
      </w:r>
      <w:r w:rsidRPr="00096B5A">
        <w:rPr>
          <w:rFonts w:ascii="Calibri" w:hAnsi="Calibri"/>
          <w:color w:val="231F20"/>
          <w:w w:val="105"/>
        </w:rPr>
        <w:t xml:space="preserve"> </w:t>
      </w:r>
      <w:r w:rsidRPr="00A23800">
        <w:rPr>
          <w:rFonts w:ascii="Calibri" w:hAnsi="Calibri"/>
          <w:color w:val="231F20"/>
          <w:w w:val="105"/>
        </w:rPr>
        <w:t>employees,</w:t>
      </w:r>
      <w:r w:rsidRPr="00096B5A">
        <w:rPr>
          <w:rFonts w:ascii="Calibri" w:hAnsi="Calibri"/>
          <w:color w:val="231F20"/>
          <w:w w:val="105"/>
        </w:rPr>
        <w:t xml:space="preserve"> </w:t>
      </w:r>
      <w:r w:rsidRPr="00A23800">
        <w:rPr>
          <w:rFonts w:ascii="Calibri" w:hAnsi="Calibri"/>
          <w:color w:val="231F20"/>
          <w:w w:val="105"/>
        </w:rPr>
        <w:t>including</w:t>
      </w:r>
      <w:r w:rsidRPr="00096B5A">
        <w:rPr>
          <w:rFonts w:ascii="Calibri" w:hAnsi="Calibri"/>
          <w:color w:val="231F20"/>
          <w:w w:val="105"/>
        </w:rPr>
        <w:t xml:space="preserve"> </w:t>
      </w:r>
      <w:r w:rsidRPr="00A23800">
        <w:rPr>
          <w:rFonts w:ascii="Calibri" w:hAnsi="Calibri"/>
          <w:color w:val="231F20"/>
          <w:w w:val="105"/>
        </w:rPr>
        <w:t>administrative</w:t>
      </w:r>
      <w:r w:rsidRPr="00096B5A">
        <w:rPr>
          <w:rFonts w:ascii="Calibri" w:hAnsi="Calibri"/>
          <w:color w:val="231F20"/>
          <w:w w:val="105"/>
        </w:rPr>
        <w:t xml:space="preserve"> </w:t>
      </w:r>
      <w:r w:rsidRPr="00A23800">
        <w:rPr>
          <w:rFonts w:ascii="Calibri" w:hAnsi="Calibri"/>
          <w:color w:val="231F20"/>
          <w:w w:val="105"/>
        </w:rPr>
        <w:t>employees,</w:t>
      </w:r>
      <w:r w:rsidRPr="00096B5A">
        <w:rPr>
          <w:rFonts w:ascii="Calibri" w:hAnsi="Calibri"/>
          <w:color w:val="231F20"/>
          <w:w w:val="105"/>
        </w:rPr>
        <w:t xml:space="preserve"> </w:t>
      </w:r>
      <w:r w:rsidRPr="00A23800">
        <w:rPr>
          <w:rFonts w:ascii="Calibri" w:hAnsi="Calibri"/>
          <w:color w:val="231F20"/>
          <w:w w:val="105"/>
        </w:rPr>
        <w:t>will</w:t>
      </w:r>
      <w:r w:rsidR="008527CD">
        <w:rPr>
          <w:rFonts w:ascii="Calibri" w:hAnsi="Calibri"/>
          <w:color w:val="231F20"/>
          <w:w w:val="105"/>
        </w:rPr>
        <w:t xml:space="preserve"> continue to</w:t>
      </w:r>
      <w:r w:rsidRPr="00096B5A">
        <w:rPr>
          <w:rFonts w:ascii="Calibri" w:hAnsi="Calibri"/>
          <w:color w:val="231F20"/>
          <w:w w:val="105"/>
        </w:rPr>
        <w:t xml:space="preserve"> </w:t>
      </w:r>
      <w:r w:rsidRPr="00A23800">
        <w:rPr>
          <w:rFonts w:ascii="Calibri" w:hAnsi="Calibri"/>
          <w:color w:val="231F20"/>
          <w:w w:val="105"/>
        </w:rPr>
        <w:t>receive</w:t>
      </w:r>
      <w:r w:rsidRPr="00096B5A">
        <w:rPr>
          <w:rFonts w:ascii="Calibri" w:hAnsi="Calibri"/>
          <w:color w:val="231F20"/>
          <w:w w:val="105"/>
        </w:rPr>
        <w:t xml:space="preserve"> </w:t>
      </w:r>
      <w:r w:rsidRPr="00A23800">
        <w:rPr>
          <w:rFonts w:ascii="Calibri" w:hAnsi="Calibri"/>
          <w:color w:val="231F20"/>
          <w:w w:val="105"/>
        </w:rPr>
        <w:t xml:space="preserve">training in core subjects through distance and </w:t>
      </w:r>
      <w:r w:rsidR="00C00BCD">
        <w:rPr>
          <w:rFonts w:ascii="Calibri" w:hAnsi="Calibri"/>
          <w:color w:val="231F20"/>
          <w:w w:val="105"/>
        </w:rPr>
        <w:t>on</w:t>
      </w:r>
      <w:r w:rsidRPr="00A23800">
        <w:rPr>
          <w:rFonts w:ascii="Calibri" w:hAnsi="Calibri"/>
          <w:color w:val="231F20"/>
          <w:w w:val="105"/>
        </w:rPr>
        <w:t>site learning. As caseloads and customer needs</w:t>
      </w:r>
      <w:r w:rsidR="00096B5A">
        <w:rPr>
          <w:rFonts w:ascii="Calibri" w:hAnsi="Calibri"/>
          <w:color w:val="231F20"/>
          <w:w w:val="105"/>
        </w:rPr>
        <w:t xml:space="preserve"> </w:t>
      </w:r>
      <w:r w:rsidRPr="00A23800">
        <w:rPr>
          <w:rFonts w:ascii="Calibri" w:hAnsi="Calibri"/>
          <w:color w:val="231F20"/>
          <w:w w:val="105"/>
        </w:rPr>
        <w:t>continue</w:t>
      </w:r>
      <w:r w:rsidRPr="00096B5A">
        <w:rPr>
          <w:rFonts w:ascii="Calibri" w:hAnsi="Calibri"/>
          <w:color w:val="231F20"/>
          <w:w w:val="105"/>
        </w:rPr>
        <w:t xml:space="preserve"> </w:t>
      </w:r>
      <w:r w:rsidRPr="00A23800">
        <w:rPr>
          <w:rFonts w:ascii="Calibri" w:hAnsi="Calibri"/>
          <w:color w:val="231F20"/>
          <w:w w:val="105"/>
        </w:rPr>
        <w:t>to</w:t>
      </w:r>
      <w:r w:rsidRPr="00096B5A">
        <w:rPr>
          <w:rFonts w:ascii="Calibri" w:hAnsi="Calibri"/>
          <w:color w:val="231F20"/>
          <w:w w:val="105"/>
        </w:rPr>
        <w:t xml:space="preserve"> </w:t>
      </w:r>
      <w:r w:rsidRPr="00A23800">
        <w:rPr>
          <w:rFonts w:ascii="Calibri" w:hAnsi="Calibri"/>
          <w:color w:val="231F20"/>
          <w:w w:val="105"/>
        </w:rPr>
        <w:t>grow</w:t>
      </w:r>
      <w:r w:rsidRPr="00096B5A">
        <w:rPr>
          <w:rFonts w:ascii="Calibri" w:hAnsi="Calibri"/>
          <w:color w:val="231F20"/>
          <w:w w:val="105"/>
        </w:rPr>
        <w:t xml:space="preserve"> </w:t>
      </w:r>
      <w:r w:rsidRPr="00A23800">
        <w:rPr>
          <w:rFonts w:ascii="Calibri" w:hAnsi="Calibri"/>
          <w:color w:val="231F20"/>
          <w:w w:val="105"/>
        </w:rPr>
        <w:t>more</w:t>
      </w:r>
      <w:r w:rsidRPr="00096B5A">
        <w:rPr>
          <w:rFonts w:ascii="Calibri" w:hAnsi="Calibri"/>
          <w:color w:val="231F20"/>
          <w:w w:val="105"/>
        </w:rPr>
        <w:t xml:space="preserve"> </w:t>
      </w:r>
      <w:r w:rsidRPr="00A23800">
        <w:rPr>
          <w:rFonts w:ascii="Calibri" w:hAnsi="Calibri"/>
          <w:color w:val="231F20"/>
          <w:w w:val="105"/>
        </w:rPr>
        <w:t>complex,</w:t>
      </w:r>
      <w:r w:rsidRPr="00096B5A">
        <w:rPr>
          <w:rFonts w:ascii="Calibri" w:hAnsi="Calibri"/>
          <w:color w:val="231F20"/>
          <w:w w:val="105"/>
        </w:rPr>
        <w:t xml:space="preserve"> </w:t>
      </w:r>
      <w:r w:rsidRPr="00A23800">
        <w:rPr>
          <w:rFonts w:ascii="Calibri" w:hAnsi="Calibri"/>
          <w:color w:val="231F20"/>
          <w:w w:val="105"/>
        </w:rPr>
        <w:t>the</w:t>
      </w:r>
      <w:r w:rsidRPr="00096B5A">
        <w:rPr>
          <w:rFonts w:ascii="Calibri" w:hAnsi="Calibri"/>
          <w:color w:val="231F20"/>
          <w:w w:val="105"/>
        </w:rPr>
        <w:t xml:space="preserve"> </w:t>
      </w:r>
      <w:r w:rsidRPr="00A23800">
        <w:rPr>
          <w:rFonts w:ascii="Calibri" w:hAnsi="Calibri"/>
          <w:color w:val="231F20"/>
          <w:w w:val="105"/>
        </w:rPr>
        <w:t>role</w:t>
      </w:r>
      <w:r w:rsidRPr="00096B5A">
        <w:rPr>
          <w:rFonts w:ascii="Calibri" w:hAnsi="Calibri"/>
          <w:color w:val="231F20"/>
          <w:w w:val="105"/>
        </w:rPr>
        <w:t xml:space="preserve"> </w:t>
      </w:r>
      <w:r w:rsidRPr="00A23800">
        <w:rPr>
          <w:rFonts w:ascii="Calibri" w:hAnsi="Calibri"/>
          <w:color w:val="231F20"/>
          <w:w w:val="105"/>
        </w:rPr>
        <w:t>of</w:t>
      </w:r>
      <w:r w:rsidRPr="00096B5A">
        <w:rPr>
          <w:rFonts w:ascii="Calibri" w:hAnsi="Calibri"/>
          <w:color w:val="231F20"/>
          <w:w w:val="105"/>
        </w:rPr>
        <w:t xml:space="preserve"> </w:t>
      </w:r>
      <w:r w:rsidRPr="00A23800">
        <w:rPr>
          <w:rFonts w:ascii="Calibri" w:hAnsi="Calibri"/>
          <w:color w:val="231F20"/>
          <w:w w:val="105"/>
        </w:rPr>
        <w:t>the</w:t>
      </w:r>
      <w:r w:rsidRPr="00096B5A">
        <w:rPr>
          <w:rFonts w:ascii="Calibri" w:hAnsi="Calibri"/>
          <w:color w:val="231F20"/>
          <w:w w:val="105"/>
        </w:rPr>
        <w:t xml:space="preserve"> </w:t>
      </w:r>
      <w:r w:rsidRPr="00A23800">
        <w:rPr>
          <w:rFonts w:ascii="Calibri" w:hAnsi="Calibri"/>
          <w:color w:val="231F20"/>
          <w:w w:val="105"/>
        </w:rPr>
        <w:t>paraprofessional</w:t>
      </w:r>
      <w:r w:rsidRPr="00096B5A">
        <w:rPr>
          <w:rFonts w:ascii="Calibri" w:hAnsi="Calibri"/>
          <w:color w:val="231F20"/>
          <w:w w:val="105"/>
        </w:rPr>
        <w:t xml:space="preserve"> </w:t>
      </w:r>
      <w:r w:rsidRPr="00A23800">
        <w:rPr>
          <w:rFonts w:ascii="Calibri" w:hAnsi="Calibri"/>
          <w:color w:val="231F20"/>
          <w:w w:val="105"/>
        </w:rPr>
        <w:t>technician</w:t>
      </w:r>
      <w:r w:rsidRPr="00096B5A">
        <w:rPr>
          <w:rFonts w:ascii="Calibri" w:hAnsi="Calibri"/>
          <w:color w:val="231F20"/>
          <w:w w:val="105"/>
        </w:rPr>
        <w:t xml:space="preserve"> </w:t>
      </w:r>
      <w:r w:rsidRPr="00A23800">
        <w:rPr>
          <w:rFonts w:ascii="Calibri" w:hAnsi="Calibri"/>
          <w:color w:val="231F20"/>
          <w:w w:val="105"/>
        </w:rPr>
        <w:t>becomes</w:t>
      </w:r>
      <w:r w:rsidRPr="00096B5A">
        <w:rPr>
          <w:rFonts w:ascii="Calibri" w:hAnsi="Calibri"/>
          <w:color w:val="231F20"/>
          <w:w w:val="105"/>
        </w:rPr>
        <w:t xml:space="preserve"> </w:t>
      </w:r>
      <w:r w:rsidRPr="00A23800">
        <w:rPr>
          <w:rFonts w:ascii="Calibri" w:hAnsi="Calibri"/>
          <w:color w:val="231F20"/>
          <w:w w:val="105"/>
        </w:rPr>
        <w:t>more</w:t>
      </w:r>
      <w:r w:rsidRPr="00096B5A">
        <w:rPr>
          <w:rFonts w:ascii="Calibri" w:hAnsi="Calibri"/>
          <w:color w:val="231F20"/>
          <w:w w:val="105"/>
        </w:rPr>
        <w:t xml:space="preserve"> </w:t>
      </w:r>
      <w:r w:rsidRPr="00A23800">
        <w:rPr>
          <w:rFonts w:ascii="Calibri" w:hAnsi="Calibri"/>
          <w:color w:val="231F20"/>
          <w:w w:val="105"/>
        </w:rPr>
        <w:t>and</w:t>
      </w:r>
      <w:r w:rsidRPr="00096B5A">
        <w:rPr>
          <w:rFonts w:ascii="Calibri" w:hAnsi="Calibri"/>
          <w:color w:val="231F20"/>
          <w:w w:val="105"/>
        </w:rPr>
        <w:t xml:space="preserve"> </w:t>
      </w:r>
      <w:r w:rsidRPr="00A23800">
        <w:rPr>
          <w:rFonts w:ascii="Calibri" w:hAnsi="Calibri"/>
          <w:color w:val="231F20"/>
          <w:w w:val="105"/>
        </w:rPr>
        <w:t>more</w:t>
      </w:r>
      <w:r w:rsidRPr="00096B5A">
        <w:rPr>
          <w:rFonts w:ascii="Calibri" w:hAnsi="Calibri"/>
          <w:color w:val="231F20"/>
          <w:w w:val="105"/>
        </w:rPr>
        <w:t xml:space="preserve"> </w:t>
      </w:r>
      <w:r w:rsidRPr="00A23800">
        <w:rPr>
          <w:rFonts w:ascii="Calibri" w:hAnsi="Calibri"/>
          <w:color w:val="231F20"/>
          <w:w w:val="105"/>
        </w:rPr>
        <w:t>critical</w:t>
      </w:r>
      <w:r w:rsidRPr="00096B5A">
        <w:rPr>
          <w:rFonts w:ascii="Calibri" w:hAnsi="Calibri"/>
          <w:color w:val="231F20"/>
          <w:w w:val="105"/>
        </w:rPr>
        <w:t xml:space="preserve"> </w:t>
      </w:r>
      <w:r w:rsidRPr="00A23800">
        <w:rPr>
          <w:rFonts w:ascii="Calibri" w:hAnsi="Calibri"/>
          <w:color w:val="231F20"/>
          <w:w w:val="105"/>
        </w:rPr>
        <w:t>to</w:t>
      </w:r>
      <w:r w:rsidRPr="00096B5A">
        <w:rPr>
          <w:rFonts w:ascii="Calibri" w:hAnsi="Calibri"/>
          <w:color w:val="231F20"/>
          <w:w w:val="105"/>
        </w:rPr>
        <w:t xml:space="preserve"> </w:t>
      </w:r>
      <w:r w:rsidRPr="00A23800">
        <w:rPr>
          <w:rFonts w:ascii="Calibri" w:hAnsi="Calibri"/>
          <w:color w:val="231F20"/>
          <w:w w:val="105"/>
        </w:rPr>
        <w:t>the</w:t>
      </w:r>
      <w:r w:rsidRPr="00096B5A">
        <w:rPr>
          <w:rFonts w:ascii="Calibri" w:hAnsi="Calibri"/>
          <w:color w:val="231F20"/>
          <w:w w:val="105"/>
        </w:rPr>
        <w:t xml:space="preserve"> </w:t>
      </w:r>
      <w:r w:rsidRPr="00A23800">
        <w:rPr>
          <w:rFonts w:ascii="Calibri" w:hAnsi="Calibri"/>
          <w:color w:val="231F20"/>
          <w:w w:val="105"/>
        </w:rPr>
        <w:t>effective</w:t>
      </w:r>
      <w:r w:rsidRPr="00096B5A">
        <w:rPr>
          <w:rFonts w:ascii="Calibri" w:hAnsi="Calibri"/>
          <w:color w:val="231F20"/>
          <w:w w:val="105"/>
        </w:rPr>
        <w:t xml:space="preserve"> </w:t>
      </w:r>
      <w:r w:rsidRPr="00A23800">
        <w:rPr>
          <w:rFonts w:ascii="Calibri" w:hAnsi="Calibri"/>
          <w:color w:val="231F20"/>
          <w:w w:val="105"/>
        </w:rPr>
        <w:t>management</w:t>
      </w:r>
      <w:r w:rsidRPr="00096B5A">
        <w:rPr>
          <w:rFonts w:ascii="Calibri" w:hAnsi="Calibri"/>
          <w:color w:val="231F20"/>
          <w:w w:val="105"/>
        </w:rPr>
        <w:t xml:space="preserve"> </w:t>
      </w:r>
      <w:r w:rsidRPr="00A23800">
        <w:rPr>
          <w:rFonts w:ascii="Calibri" w:hAnsi="Calibri"/>
          <w:color w:val="231F20"/>
          <w:w w:val="105"/>
        </w:rPr>
        <w:t>of</w:t>
      </w:r>
      <w:r w:rsidRPr="00096B5A">
        <w:rPr>
          <w:rFonts w:ascii="Calibri" w:hAnsi="Calibri"/>
          <w:color w:val="231F20"/>
          <w:w w:val="105"/>
        </w:rPr>
        <w:t xml:space="preserve"> </w:t>
      </w:r>
      <w:r w:rsidRPr="00A23800">
        <w:rPr>
          <w:rFonts w:ascii="Calibri" w:hAnsi="Calibri"/>
          <w:color w:val="231F20"/>
          <w:w w:val="105"/>
        </w:rPr>
        <w:t>caseloads.</w:t>
      </w:r>
      <w:r w:rsidRPr="00096B5A">
        <w:rPr>
          <w:rFonts w:ascii="Calibri" w:hAnsi="Calibri"/>
          <w:color w:val="231F20"/>
          <w:w w:val="105"/>
        </w:rPr>
        <w:t xml:space="preserve"> </w:t>
      </w:r>
      <w:r w:rsidRPr="00A23800">
        <w:rPr>
          <w:rFonts w:ascii="Calibri" w:hAnsi="Calibri"/>
          <w:color w:val="231F20"/>
          <w:w w:val="105"/>
        </w:rPr>
        <w:t>All</w:t>
      </w:r>
      <w:r w:rsidRPr="00096B5A">
        <w:rPr>
          <w:rFonts w:ascii="Calibri" w:hAnsi="Calibri"/>
          <w:color w:val="231F20"/>
          <w:w w:val="105"/>
        </w:rPr>
        <w:t xml:space="preserve"> </w:t>
      </w:r>
      <w:r w:rsidRPr="00A23800">
        <w:rPr>
          <w:rFonts w:ascii="Calibri" w:hAnsi="Calibri"/>
          <w:color w:val="231F20"/>
          <w:w w:val="105"/>
        </w:rPr>
        <w:t>counseling</w:t>
      </w:r>
      <w:r w:rsidRPr="00096B5A">
        <w:rPr>
          <w:rFonts w:ascii="Calibri" w:hAnsi="Calibri"/>
          <w:color w:val="231F20"/>
          <w:w w:val="105"/>
        </w:rPr>
        <w:t xml:space="preserve"> </w:t>
      </w:r>
      <w:r w:rsidRPr="00A23800">
        <w:rPr>
          <w:rFonts w:ascii="Calibri" w:hAnsi="Calibri"/>
          <w:color w:val="231F20"/>
          <w:w w:val="105"/>
        </w:rPr>
        <w:t>staff</w:t>
      </w:r>
      <w:r w:rsidRPr="00096B5A">
        <w:rPr>
          <w:rFonts w:ascii="Calibri" w:hAnsi="Calibri"/>
          <w:color w:val="231F20"/>
          <w:w w:val="105"/>
        </w:rPr>
        <w:t xml:space="preserve"> </w:t>
      </w:r>
      <w:r w:rsidR="008527CD">
        <w:rPr>
          <w:rFonts w:ascii="Calibri" w:hAnsi="Calibri"/>
          <w:color w:val="231F20"/>
          <w:w w:val="105"/>
        </w:rPr>
        <w:t xml:space="preserve">will continue to </w:t>
      </w:r>
      <w:r w:rsidRPr="00A23800">
        <w:rPr>
          <w:rFonts w:ascii="Calibri" w:hAnsi="Calibri"/>
          <w:color w:val="231F20"/>
          <w:w w:val="105"/>
        </w:rPr>
        <w:t>work</w:t>
      </w:r>
      <w:r w:rsidRPr="00096B5A">
        <w:rPr>
          <w:rFonts w:ascii="Calibri" w:hAnsi="Calibri"/>
          <w:color w:val="231F20"/>
          <w:w w:val="105"/>
        </w:rPr>
        <w:t xml:space="preserve"> </w:t>
      </w:r>
      <w:r w:rsidRPr="00A23800">
        <w:rPr>
          <w:rFonts w:ascii="Calibri" w:hAnsi="Calibri"/>
          <w:color w:val="231F20"/>
          <w:w w:val="105"/>
        </w:rPr>
        <w:t>toward</w:t>
      </w:r>
      <w:r w:rsidRPr="00096B5A">
        <w:rPr>
          <w:rFonts w:ascii="Calibri" w:hAnsi="Calibri"/>
          <w:color w:val="231F20"/>
          <w:w w:val="105"/>
        </w:rPr>
        <w:t xml:space="preserve"> </w:t>
      </w:r>
      <w:r w:rsidRPr="00A23800">
        <w:rPr>
          <w:rFonts w:ascii="Calibri" w:hAnsi="Calibri"/>
          <w:color w:val="231F20"/>
          <w:w w:val="105"/>
        </w:rPr>
        <w:t>CRC</w:t>
      </w:r>
      <w:r w:rsidRPr="00096B5A">
        <w:rPr>
          <w:rFonts w:ascii="Calibri" w:hAnsi="Calibri"/>
          <w:color w:val="231F20"/>
          <w:w w:val="105"/>
        </w:rPr>
        <w:t xml:space="preserve"> </w:t>
      </w:r>
      <w:r w:rsidRPr="00A23800">
        <w:rPr>
          <w:rFonts w:ascii="Calibri" w:hAnsi="Calibri"/>
          <w:color w:val="231F20"/>
          <w:w w:val="105"/>
        </w:rPr>
        <w:t>eligibility and/or degrees in rehabilitation or counseling through tuition waivers and other mechanisms.</w:t>
      </w:r>
    </w:p>
    <w:p w14:paraId="78C955F4" w14:textId="77777777" w:rsidR="00A07550" w:rsidRPr="00A23800" w:rsidRDefault="00A07550" w:rsidP="00D63204">
      <w:pPr>
        <w:widowControl w:val="0"/>
        <w:spacing w:before="5" w:after="0" w:line="240" w:lineRule="auto"/>
        <w:ind w:left="107"/>
        <w:rPr>
          <w:rFonts w:ascii="Calibri" w:hAnsi="Calibri" w:cs="Calibri"/>
          <w:sz w:val="16"/>
          <w:szCs w:val="16"/>
        </w:rPr>
      </w:pPr>
    </w:p>
    <w:p w14:paraId="5EF35DD6" w14:textId="77777777" w:rsidR="00A07550" w:rsidRPr="00A23800" w:rsidRDefault="00A07550" w:rsidP="00D63204">
      <w:pPr>
        <w:widowControl w:val="0"/>
        <w:spacing w:after="0" w:line="240" w:lineRule="auto"/>
        <w:ind w:left="107"/>
        <w:rPr>
          <w:rFonts w:ascii="Calibri" w:hAnsi="Calibri"/>
        </w:rPr>
      </w:pPr>
      <w:r w:rsidRPr="00A23800">
        <w:rPr>
          <w:rFonts w:ascii="Calibri" w:hAnsi="Calibri"/>
          <w:color w:val="231F20"/>
          <w:w w:val="105"/>
        </w:rPr>
        <w:t>Engineers</w:t>
      </w:r>
      <w:r w:rsidRPr="00A23800">
        <w:rPr>
          <w:rFonts w:ascii="Calibri" w:hAnsi="Calibri"/>
          <w:color w:val="231F20"/>
          <w:spacing w:val="17"/>
          <w:w w:val="105"/>
        </w:rPr>
        <w:t xml:space="preserve"> </w:t>
      </w:r>
      <w:r w:rsidRPr="00A23800">
        <w:rPr>
          <w:rFonts w:ascii="Calibri" w:hAnsi="Calibri"/>
          <w:color w:val="231F20"/>
          <w:w w:val="105"/>
        </w:rPr>
        <w:t>from</w:t>
      </w:r>
      <w:r w:rsidRPr="00A23800">
        <w:rPr>
          <w:rFonts w:ascii="Calibri" w:hAnsi="Calibri"/>
          <w:color w:val="231F20"/>
          <w:spacing w:val="17"/>
          <w:w w:val="105"/>
        </w:rPr>
        <w:t xml:space="preserve"> </w:t>
      </w:r>
      <w:r w:rsidRPr="00A23800">
        <w:rPr>
          <w:rFonts w:ascii="Calibri" w:hAnsi="Calibri"/>
          <w:color w:val="231F20"/>
          <w:w w:val="105"/>
        </w:rPr>
        <w:t>the</w:t>
      </w:r>
      <w:r w:rsidRPr="00A23800">
        <w:rPr>
          <w:rFonts w:ascii="Calibri" w:hAnsi="Calibri"/>
          <w:color w:val="231F20"/>
          <w:spacing w:val="17"/>
          <w:w w:val="105"/>
        </w:rPr>
        <w:t xml:space="preserve"> </w:t>
      </w:r>
      <w:r w:rsidRPr="00A23800">
        <w:rPr>
          <w:rFonts w:ascii="Calibri" w:hAnsi="Calibri"/>
          <w:color w:val="231F20"/>
          <w:w w:val="105"/>
        </w:rPr>
        <w:t>Rehabilitation</w:t>
      </w:r>
      <w:r w:rsidRPr="00A23800">
        <w:rPr>
          <w:rFonts w:ascii="Calibri" w:hAnsi="Calibri"/>
          <w:color w:val="231F20"/>
          <w:spacing w:val="17"/>
          <w:w w:val="105"/>
        </w:rPr>
        <w:t xml:space="preserve"> </w:t>
      </w:r>
      <w:r w:rsidRPr="00A23800">
        <w:rPr>
          <w:rFonts w:ascii="Calibri" w:hAnsi="Calibri"/>
          <w:color w:val="231F20"/>
          <w:spacing w:val="-3"/>
          <w:w w:val="105"/>
        </w:rPr>
        <w:t>Technology</w:t>
      </w:r>
      <w:r w:rsidRPr="00A23800">
        <w:rPr>
          <w:rFonts w:ascii="Calibri" w:hAnsi="Calibri"/>
          <w:color w:val="231F20"/>
          <w:spacing w:val="17"/>
          <w:w w:val="105"/>
        </w:rPr>
        <w:t xml:space="preserve"> </w:t>
      </w:r>
      <w:r w:rsidRPr="00A23800">
        <w:rPr>
          <w:rFonts w:ascii="Calibri" w:hAnsi="Calibri"/>
          <w:color w:val="231F20"/>
          <w:w w:val="105"/>
        </w:rPr>
        <w:t>Engineering</w:t>
      </w:r>
      <w:r w:rsidRPr="00A23800">
        <w:rPr>
          <w:rFonts w:ascii="Calibri" w:hAnsi="Calibri"/>
          <w:color w:val="231F20"/>
          <w:spacing w:val="17"/>
          <w:w w:val="105"/>
        </w:rPr>
        <w:t xml:space="preserve"> </w:t>
      </w:r>
      <w:r w:rsidRPr="00A23800">
        <w:rPr>
          <w:rFonts w:ascii="Calibri" w:hAnsi="Calibri"/>
          <w:color w:val="231F20"/>
          <w:w w:val="105"/>
        </w:rPr>
        <w:t>Program,</w:t>
      </w:r>
      <w:r w:rsidRPr="00A23800">
        <w:rPr>
          <w:rFonts w:ascii="Calibri" w:hAnsi="Calibri"/>
          <w:color w:val="231F20"/>
          <w:spacing w:val="17"/>
          <w:w w:val="105"/>
        </w:rPr>
        <w:t xml:space="preserve"> </w:t>
      </w:r>
      <w:r w:rsidRPr="00A23800">
        <w:rPr>
          <w:rFonts w:ascii="Calibri" w:hAnsi="Calibri"/>
          <w:color w:val="231F20"/>
          <w:w w:val="105"/>
        </w:rPr>
        <w:t>contracted</w:t>
      </w:r>
      <w:r w:rsidRPr="00A23800">
        <w:rPr>
          <w:rFonts w:ascii="Calibri" w:hAnsi="Calibri"/>
          <w:color w:val="231F20"/>
          <w:spacing w:val="17"/>
          <w:w w:val="105"/>
        </w:rPr>
        <w:t xml:space="preserve"> </w:t>
      </w:r>
      <w:r w:rsidRPr="00A23800">
        <w:rPr>
          <w:rFonts w:ascii="Calibri" w:hAnsi="Calibri"/>
          <w:color w:val="231F20"/>
          <w:w w:val="105"/>
        </w:rPr>
        <w:t>through</w:t>
      </w:r>
      <w:r w:rsidRPr="00A23800">
        <w:rPr>
          <w:rFonts w:ascii="Calibri" w:hAnsi="Calibri"/>
          <w:color w:val="231F20"/>
          <w:spacing w:val="17"/>
          <w:w w:val="105"/>
        </w:rPr>
        <w:t xml:space="preserve"> </w:t>
      </w:r>
      <w:r w:rsidRPr="00A23800">
        <w:rPr>
          <w:rFonts w:ascii="Calibri" w:hAnsi="Calibri"/>
          <w:color w:val="231F20"/>
          <w:w w:val="105"/>
        </w:rPr>
        <w:t>the</w:t>
      </w:r>
      <w:r w:rsidRPr="00A23800">
        <w:rPr>
          <w:rFonts w:ascii="Calibri" w:hAnsi="Calibri"/>
          <w:color w:val="231F20"/>
          <w:spacing w:val="17"/>
          <w:w w:val="105"/>
        </w:rPr>
        <w:t xml:space="preserve"> </w:t>
      </w:r>
      <w:r w:rsidRPr="00A23800">
        <w:rPr>
          <w:rFonts w:ascii="Calibri" w:hAnsi="Calibri"/>
          <w:color w:val="231F20"/>
          <w:w w:val="105"/>
        </w:rPr>
        <w:t>University</w:t>
      </w:r>
      <w:r w:rsidRPr="00A23800">
        <w:rPr>
          <w:rFonts w:ascii="Calibri" w:hAnsi="Calibri"/>
          <w:color w:val="231F20"/>
          <w:spacing w:val="17"/>
          <w:w w:val="105"/>
        </w:rPr>
        <w:t xml:space="preserve"> </w:t>
      </w:r>
      <w:r w:rsidRPr="00A23800">
        <w:rPr>
          <w:rFonts w:ascii="Calibri" w:hAnsi="Calibri"/>
          <w:color w:val="231F20"/>
          <w:w w:val="105"/>
        </w:rPr>
        <w:t>of</w:t>
      </w:r>
      <w:r w:rsidRPr="00A23800">
        <w:rPr>
          <w:rFonts w:ascii="Calibri" w:hAnsi="Calibri"/>
          <w:color w:val="231F20"/>
          <w:w w:val="102"/>
        </w:rPr>
        <w:t xml:space="preserve"> </w:t>
      </w:r>
      <w:r w:rsidRPr="00A23800">
        <w:rPr>
          <w:rFonts w:ascii="Calibri" w:hAnsi="Calibri"/>
          <w:color w:val="231F20"/>
          <w:w w:val="105"/>
        </w:rPr>
        <w:t>South</w:t>
      </w:r>
      <w:r w:rsidRPr="00A23800">
        <w:rPr>
          <w:rFonts w:ascii="Calibri" w:hAnsi="Calibri"/>
          <w:color w:val="231F20"/>
          <w:spacing w:val="13"/>
          <w:w w:val="105"/>
        </w:rPr>
        <w:t xml:space="preserve"> </w:t>
      </w:r>
      <w:r w:rsidRPr="00A23800">
        <w:rPr>
          <w:rFonts w:ascii="Calibri" w:hAnsi="Calibri"/>
          <w:color w:val="231F20"/>
          <w:w w:val="105"/>
        </w:rPr>
        <w:t>Florida,</w:t>
      </w:r>
      <w:r w:rsidRPr="00A23800">
        <w:rPr>
          <w:rFonts w:ascii="Calibri" w:hAnsi="Calibri"/>
          <w:color w:val="231F20"/>
          <w:spacing w:val="13"/>
          <w:w w:val="105"/>
        </w:rPr>
        <w:t xml:space="preserve"> </w:t>
      </w:r>
      <w:r w:rsidRPr="00A23800">
        <w:rPr>
          <w:rFonts w:ascii="Calibri" w:hAnsi="Calibri"/>
          <w:color w:val="231F20"/>
          <w:w w:val="105"/>
        </w:rPr>
        <w:t>provide</w:t>
      </w:r>
      <w:r w:rsidRPr="00A23800">
        <w:rPr>
          <w:rFonts w:ascii="Calibri" w:hAnsi="Calibri"/>
          <w:color w:val="231F20"/>
          <w:spacing w:val="13"/>
          <w:w w:val="105"/>
        </w:rPr>
        <w:t xml:space="preserve"> </w:t>
      </w:r>
      <w:r w:rsidRPr="00A23800">
        <w:rPr>
          <w:rFonts w:ascii="Calibri" w:hAnsi="Calibri"/>
          <w:color w:val="231F20"/>
          <w:w w:val="105"/>
        </w:rPr>
        <w:t>training</w:t>
      </w:r>
      <w:r w:rsidRPr="00A23800">
        <w:rPr>
          <w:rFonts w:ascii="Calibri" w:hAnsi="Calibri"/>
          <w:color w:val="231F20"/>
          <w:spacing w:val="13"/>
          <w:w w:val="105"/>
        </w:rPr>
        <w:t xml:space="preserve"> </w:t>
      </w:r>
      <w:r w:rsidRPr="00A23800">
        <w:rPr>
          <w:rFonts w:ascii="Calibri" w:hAnsi="Calibri"/>
          <w:color w:val="231F20"/>
          <w:w w:val="105"/>
        </w:rPr>
        <w:t>on</w:t>
      </w:r>
      <w:r w:rsidRPr="00A23800">
        <w:rPr>
          <w:rFonts w:ascii="Calibri" w:hAnsi="Calibri"/>
          <w:color w:val="231F20"/>
          <w:spacing w:val="13"/>
          <w:w w:val="105"/>
        </w:rPr>
        <w:t xml:space="preserve"> </w:t>
      </w:r>
      <w:r w:rsidRPr="00A23800">
        <w:rPr>
          <w:rFonts w:ascii="Calibri" w:hAnsi="Calibri"/>
          <w:color w:val="231F20"/>
          <w:w w:val="105"/>
        </w:rPr>
        <w:t>rehabilitation</w:t>
      </w:r>
      <w:r w:rsidRPr="00A23800">
        <w:rPr>
          <w:rFonts w:ascii="Calibri" w:hAnsi="Calibri"/>
          <w:color w:val="231F20"/>
          <w:spacing w:val="13"/>
          <w:w w:val="105"/>
        </w:rPr>
        <w:t xml:space="preserve"> </w:t>
      </w:r>
      <w:r w:rsidRPr="00A23800">
        <w:rPr>
          <w:rFonts w:ascii="Calibri" w:hAnsi="Calibri"/>
          <w:color w:val="231F20"/>
          <w:w w:val="105"/>
        </w:rPr>
        <w:t>technology</w:t>
      </w:r>
      <w:r w:rsidRPr="00A23800">
        <w:rPr>
          <w:rFonts w:ascii="Calibri" w:hAnsi="Calibri"/>
          <w:color w:val="231F20"/>
          <w:spacing w:val="13"/>
          <w:w w:val="105"/>
        </w:rPr>
        <w:t xml:space="preserve"> </w:t>
      </w:r>
      <w:r w:rsidRPr="00A23800">
        <w:rPr>
          <w:rFonts w:ascii="Calibri" w:hAnsi="Calibri"/>
          <w:color w:val="231F20"/>
          <w:w w:val="105"/>
        </w:rPr>
        <w:t>and</w:t>
      </w:r>
      <w:r w:rsidRPr="00A23800">
        <w:rPr>
          <w:rFonts w:ascii="Calibri" w:hAnsi="Calibri"/>
          <w:color w:val="231F20"/>
          <w:spacing w:val="13"/>
          <w:w w:val="105"/>
        </w:rPr>
        <w:t xml:space="preserve"> </w:t>
      </w:r>
      <w:r w:rsidRPr="00A23800">
        <w:rPr>
          <w:rFonts w:ascii="Calibri" w:hAnsi="Calibri"/>
          <w:color w:val="231F20"/>
          <w:w w:val="105"/>
        </w:rPr>
        <w:t>engineering.</w:t>
      </w:r>
      <w:r w:rsidRPr="00A23800">
        <w:rPr>
          <w:rFonts w:ascii="Calibri" w:hAnsi="Calibri"/>
          <w:color w:val="231F20"/>
          <w:spacing w:val="13"/>
          <w:w w:val="105"/>
        </w:rPr>
        <w:t xml:space="preserve"> </w:t>
      </w:r>
      <w:r w:rsidRPr="00A23800">
        <w:rPr>
          <w:rFonts w:ascii="Calibri" w:hAnsi="Calibri"/>
          <w:color w:val="231F20"/>
          <w:w w:val="105"/>
        </w:rPr>
        <w:t>The</w:t>
      </w:r>
      <w:r w:rsidRPr="00A23800">
        <w:rPr>
          <w:rFonts w:ascii="Calibri" w:hAnsi="Calibri"/>
          <w:color w:val="231F20"/>
          <w:spacing w:val="13"/>
          <w:w w:val="105"/>
        </w:rPr>
        <w:t xml:space="preserve"> </w:t>
      </w:r>
      <w:r w:rsidRPr="00A23800">
        <w:rPr>
          <w:rFonts w:ascii="Calibri" w:hAnsi="Calibri"/>
          <w:color w:val="231F20"/>
          <w:w w:val="105"/>
        </w:rPr>
        <w:t>contract</w:t>
      </w:r>
      <w:r w:rsidRPr="00A23800">
        <w:rPr>
          <w:rFonts w:ascii="Calibri" w:hAnsi="Calibri"/>
          <w:color w:val="231F20"/>
          <w:spacing w:val="13"/>
          <w:w w:val="105"/>
        </w:rPr>
        <w:t xml:space="preserve"> </w:t>
      </w:r>
      <w:r w:rsidRPr="00A23800">
        <w:rPr>
          <w:rFonts w:ascii="Calibri" w:hAnsi="Calibri"/>
          <w:color w:val="231F20"/>
          <w:w w:val="105"/>
        </w:rPr>
        <w:t>ensures</w:t>
      </w:r>
      <w:r w:rsidRPr="00A23800">
        <w:rPr>
          <w:rFonts w:ascii="Calibri" w:hAnsi="Calibri"/>
          <w:color w:val="231F20"/>
          <w:spacing w:val="13"/>
          <w:w w:val="105"/>
        </w:rPr>
        <w:t xml:space="preserve"> </w:t>
      </w:r>
      <w:r w:rsidRPr="00A23800">
        <w:rPr>
          <w:rFonts w:ascii="Calibri" w:hAnsi="Calibri"/>
          <w:color w:val="231F20"/>
          <w:w w:val="105"/>
        </w:rPr>
        <w:t>that</w:t>
      </w:r>
      <w:r w:rsidRPr="00A23800">
        <w:rPr>
          <w:rFonts w:ascii="Calibri" w:hAnsi="Calibri"/>
          <w:color w:val="231F20"/>
          <w:spacing w:val="-24"/>
          <w:w w:val="105"/>
        </w:rPr>
        <w:t xml:space="preserve"> </w:t>
      </w:r>
      <w:r w:rsidRPr="00A23800">
        <w:rPr>
          <w:rFonts w:ascii="Calibri" w:hAnsi="Calibri"/>
          <w:color w:val="231F20"/>
          <w:w w:val="105"/>
        </w:rPr>
        <w:t>rehabilitation technology engineers are available statewide.</w:t>
      </w:r>
    </w:p>
    <w:p w14:paraId="3963BFAC" w14:textId="77777777" w:rsidR="00A07550" w:rsidRPr="00A23800" w:rsidRDefault="00A07550" w:rsidP="00D63204">
      <w:pPr>
        <w:widowControl w:val="0"/>
        <w:spacing w:before="5" w:after="0" w:line="240" w:lineRule="auto"/>
        <w:ind w:left="107"/>
        <w:rPr>
          <w:rFonts w:ascii="Calibri" w:hAnsi="Calibri" w:cs="Calibri"/>
          <w:sz w:val="16"/>
          <w:szCs w:val="16"/>
        </w:rPr>
      </w:pPr>
    </w:p>
    <w:p w14:paraId="42BCF6A9" w14:textId="77777777" w:rsidR="00A07550" w:rsidRPr="00A23800" w:rsidRDefault="00A07550" w:rsidP="00D63204">
      <w:pPr>
        <w:widowControl w:val="0"/>
        <w:spacing w:after="0" w:line="240" w:lineRule="auto"/>
        <w:ind w:left="107"/>
        <w:rPr>
          <w:rFonts w:ascii="Calibri" w:hAnsi="Calibri"/>
        </w:rPr>
      </w:pPr>
      <w:r w:rsidRPr="00A23800">
        <w:rPr>
          <w:rFonts w:ascii="Calibri" w:hAnsi="Calibri"/>
          <w:color w:val="231F20"/>
          <w:w w:val="105"/>
        </w:rPr>
        <w:t>State labor market information, as well as national data, provides information on the employment</w:t>
      </w:r>
      <w:r w:rsidRPr="00A23800">
        <w:rPr>
          <w:rFonts w:ascii="Calibri" w:hAnsi="Calibri"/>
          <w:color w:val="231F20"/>
          <w:spacing w:val="10"/>
          <w:w w:val="105"/>
        </w:rPr>
        <w:t xml:space="preserve"> </w:t>
      </w:r>
      <w:r w:rsidRPr="00A23800">
        <w:rPr>
          <w:rFonts w:ascii="Calibri" w:hAnsi="Calibri"/>
          <w:color w:val="231F20"/>
          <w:w w:val="105"/>
        </w:rPr>
        <w:t>and</w:t>
      </w:r>
      <w:r w:rsidRPr="00A23800">
        <w:rPr>
          <w:rFonts w:ascii="Calibri" w:hAnsi="Calibri"/>
          <w:color w:val="231F20"/>
          <w:w w:val="108"/>
        </w:rPr>
        <w:t xml:space="preserve"> </w:t>
      </w:r>
      <w:r w:rsidRPr="00A23800">
        <w:rPr>
          <w:rFonts w:ascii="Calibri" w:hAnsi="Calibri"/>
          <w:color w:val="231F20"/>
          <w:w w:val="105"/>
        </w:rPr>
        <w:t>advancement</w:t>
      </w:r>
      <w:r w:rsidRPr="00A23800">
        <w:rPr>
          <w:rFonts w:ascii="Calibri" w:hAnsi="Calibri"/>
          <w:color w:val="231F20"/>
          <w:spacing w:val="18"/>
          <w:w w:val="105"/>
        </w:rPr>
        <w:t xml:space="preserve"> </w:t>
      </w:r>
      <w:r w:rsidRPr="00A23800">
        <w:rPr>
          <w:rFonts w:ascii="Calibri" w:hAnsi="Calibri"/>
          <w:color w:val="231F20"/>
          <w:w w:val="105"/>
        </w:rPr>
        <w:t>of</w:t>
      </w:r>
      <w:r w:rsidRPr="00A23800">
        <w:rPr>
          <w:rFonts w:ascii="Calibri" w:hAnsi="Calibri"/>
          <w:color w:val="231F20"/>
          <w:spacing w:val="18"/>
          <w:w w:val="105"/>
        </w:rPr>
        <w:t xml:space="preserve"> </w:t>
      </w:r>
      <w:r w:rsidRPr="00A23800">
        <w:rPr>
          <w:rFonts w:ascii="Calibri" w:hAnsi="Calibri"/>
          <w:color w:val="231F20"/>
          <w:w w:val="105"/>
        </w:rPr>
        <w:t>qualified</w:t>
      </w:r>
      <w:r w:rsidRPr="00A23800">
        <w:rPr>
          <w:rFonts w:ascii="Calibri" w:hAnsi="Calibri"/>
          <w:color w:val="231F20"/>
          <w:spacing w:val="18"/>
          <w:w w:val="105"/>
        </w:rPr>
        <w:t xml:space="preserve"> </w:t>
      </w:r>
      <w:r w:rsidRPr="00A23800">
        <w:rPr>
          <w:rFonts w:ascii="Calibri" w:hAnsi="Calibri"/>
          <w:color w:val="231F20"/>
          <w:w w:val="105"/>
        </w:rPr>
        <w:t>individuals</w:t>
      </w:r>
      <w:r w:rsidRPr="00A23800">
        <w:rPr>
          <w:rFonts w:ascii="Calibri" w:hAnsi="Calibri"/>
          <w:color w:val="231F20"/>
          <w:spacing w:val="18"/>
          <w:w w:val="105"/>
        </w:rPr>
        <w:t xml:space="preserve"> </w:t>
      </w:r>
      <w:r w:rsidRPr="00A23800">
        <w:rPr>
          <w:rFonts w:ascii="Calibri" w:hAnsi="Calibri"/>
          <w:color w:val="231F20"/>
          <w:w w:val="105"/>
        </w:rPr>
        <w:t>with</w:t>
      </w:r>
      <w:r w:rsidRPr="00A23800">
        <w:rPr>
          <w:rFonts w:ascii="Calibri" w:hAnsi="Calibri"/>
          <w:color w:val="231F20"/>
          <w:spacing w:val="18"/>
          <w:w w:val="105"/>
        </w:rPr>
        <w:t xml:space="preserve"> </w:t>
      </w:r>
      <w:r w:rsidRPr="00A23800">
        <w:rPr>
          <w:rFonts w:ascii="Calibri" w:hAnsi="Calibri"/>
          <w:color w:val="231F20"/>
          <w:w w:val="105"/>
        </w:rPr>
        <w:t>disabilities.</w:t>
      </w:r>
      <w:r w:rsidRPr="00A23800">
        <w:rPr>
          <w:rFonts w:ascii="Calibri" w:hAnsi="Calibri"/>
          <w:color w:val="231F20"/>
          <w:spacing w:val="18"/>
          <w:w w:val="105"/>
        </w:rPr>
        <w:t xml:space="preserve"> </w:t>
      </w:r>
      <w:r w:rsidRPr="00A23800">
        <w:rPr>
          <w:rFonts w:ascii="Calibri" w:hAnsi="Calibri"/>
          <w:color w:val="231F20"/>
          <w:w w:val="105"/>
        </w:rPr>
        <w:t>Job</w:t>
      </w:r>
      <w:r w:rsidRPr="00A23800">
        <w:rPr>
          <w:rFonts w:ascii="Calibri" w:hAnsi="Calibri"/>
          <w:color w:val="231F20"/>
          <w:spacing w:val="18"/>
          <w:w w:val="105"/>
        </w:rPr>
        <w:t xml:space="preserve"> </w:t>
      </w:r>
      <w:r w:rsidRPr="00A23800">
        <w:rPr>
          <w:rFonts w:ascii="Calibri" w:hAnsi="Calibri"/>
          <w:color w:val="231F20"/>
          <w:w w:val="105"/>
        </w:rPr>
        <w:t>announcements</w:t>
      </w:r>
      <w:r w:rsidRPr="00A23800">
        <w:rPr>
          <w:rFonts w:ascii="Calibri" w:hAnsi="Calibri"/>
          <w:color w:val="231F20"/>
          <w:spacing w:val="18"/>
          <w:w w:val="105"/>
        </w:rPr>
        <w:t xml:space="preserve"> </w:t>
      </w:r>
      <w:r w:rsidRPr="00A23800">
        <w:rPr>
          <w:rFonts w:ascii="Calibri" w:hAnsi="Calibri"/>
          <w:color w:val="231F20"/>
          <w:w w:val="105"/>
        </w:rPr>
        <w:t>are</w:t>
      </w:r>
      <w:r w:rsidRPr="00A23800">
        <w:rPr>
          <w:rFonts w:ascii="Calibri" w:hAnsi="Calibri"/>
          <w:color w:val="231F20"/>
          <w:spacing w:val="18"/>
          <w:w w:val="105"/>
        </w:rPr>
        <w:t xml:space="preserve"> </w:t>
      </w:r>
      <w:r w:rsidRPr="00A23800">
        <w:rPr>
          <w:rFonts w:ascii="Calibri" w:hAnsi="Calibri"/>
          <w:color w:val="231F20"/>
          <w:w w:val="105"/>
        </w:rPr>
        <w:t>published</w:t>
      </w:r>
      <w:r w:rsidRPr="00A23800">
        <w:rPr>
          <w:rFonts w:ascii="Calibri" w:hAnsi="Calibri"/>
          <w:color w:val="231F20"/>
          <w:spacing w:val="18"/>
          <w:w w:val="105"/>
        </w:rPr>
        <w:t xml:space="preserve"> </w:t>
      </w:r>
      <w:r w:rsidRPr="00A23800">
        <w:rPr>
          <w:rFonts w:ascii="Calibri" w:hAnsi="Calibri"/>
          <w:color w:val="231F20"/>
          <w:w w:val="105"/>
        </w:rPr>
        <w:t>online</w:t>
      </w:r>
      <w:r w:rsidRPr="00A23800">
        <w:rPr>
          <w:rFonts w:ascii="Calibri" w:hAnsi="Calibri"/>
          <w:color w:val="231F20"/>
          <w:spacing w:val="18"/>
          <w:w w:val="105"/>
        </w:rPr>
        <w:t xml:space="preserve"> </w:t>
      </w:r>
      <w:r w:rsidRPr="00A23800">
        <w:rPr>
          <w:rFonts w:ascii="Calibri" w:hAnsi="Calibri"/>
          <w:color w:val="231F20"/>
          <w:w w:val="105"/>
        </w:rPr>
        <w:t>through the People First website, providing access to all state jobs through one internet portal.</w:t>
      </w:r>
    </w:p>
    <w:p w14:paraId="664F8EAE" w14:textId="77777777" w:rsidR="00A07550" w:rsidRPr="00A23800" w:rsidRDefault="00A07550" w:rsidP="00D63204">
      <w:pPr>
        <w:widowControl w:val="0"/>
        <w:spacing w:before="5" w:after="0" w:line="240" w:lineRule="auto"/>
        <w:ind w:left="107"/>
        <w:rPr>
          <w:rFonts w:ascii="Calibri" w:hAnsi="Calibri" w:cs="Calibri"/>
          <w:sz w:val="16"/>
          <w:szCs w:val="16"/>
        </w:rPr>
      </w:pPr>
    </w:p>
    <w:p w14:paraId="15218886" w14:textId="2097BCF2" w:rsidR="00A07550" w:rsidRPr="00096B5A" w:rsidRDefault="00A07550" w:rsidP="00D63204">
      <w:pPr>
        <w:widowControl w:val="0"/>
        <w:spacing w:after="0" w:line="240" w:lineRule="auto"/>
        <w:ind w:left="107"/>
        <w:rPr>
          <w:rFonts w:ascii="Calibri" w:hAnsi="Calibri"/>
          <w:color w:val="231F20"/>
          <w:w w:val="105"/>
        </w:rPr>
      </w:pPr>
      <w:r w:rsidRPr="00A23800">
        <w:rPr>
          <w:rFonts w:ascii="Calibri" w:hAnsi="Calibri"/>
          <w:color w:val="231F20"/>
          <w:w w:val="105"/>
        </w:rPr>
        <w:t>Manuals related to policy and rehabilitation information management are available online.</w:t>
      </w:r>
      <w:r w:rsidRPr="00096B5A">
        <w:rPr>
          <w:rFonts w:ascii="Calibri" w:hAnsi="Calibri"/>
          <w:color w:val="231F20"/>
          <w:w w:val="105"/>
        </w:rPr>
        <w:t xml:space="preserve"> </w:t>
      </w:r>
      <w:r w:rsidRPr="00A23800">
        <w:rPr>
          <w:rFonts w:ascii="Calibri" w:hAnsi="Calibri"/>
          <w:color w:val="231F20"/>
          <w:w w:val="105"/>
        </w:rPr>
        <w:t>Employees</w:t>
      </w:r>
      <w:r w:rsidRPr="00096B5A">
        <w:rPr>
          <w:rFonts w:ascii="Calibri" w:hAnsi="Calibri"/>
          <w:color w:val="231F20"/>
          <w:w w:val="105"/>
        </w:rPr>
        <w:t xml:space="preserve"> </w:t>
      </w:r>
      <w:r w:rsidRPr="00A23800">
        <w:rPr>
          <w:rFonts w:ascii="Calibri" w:hAnsi="Calibri"/>
          <w:color w:val="231F20"/>
          <w:w w:val="105"/>
        </w:rPr>
        <w:t>can</w:t>
      </w:r>
      <w:r w:rsidRPr="00096B5A">
        <w:rPr>
          <w:rFonts w:ascii="Calibri" w:hAnsi="Calibri"/>
          <w:color w:val="231F20"/>
          <w:w w:val="105"/>
        </w:rPr>
        <w:t xml:space="preserve"> </w:t>
      </w:r>
      <w:r w:rsidRPr="00A23800">
        <w:rPr>
          <w:rFonts w:ascii="Calibri" w:hAnsi="Calibri"/>
          <w:color w:val="231F20"/>
          <w:w w:val="105"/>
        </w:rPr>
        <w:t>find</w:t>
      </w:r>
      <w:r w:rsidR="00D226F4">
        <w:rPr>
          <w:rFonts w:ascii="Calibri" w:hAnsi="Calibri"/>
          <w:color w:val="231F20"/>
          <w:w w:val="105"/>
        </w:rPr>
        <w:t xml:space="preserve"> more</w:t>
      </w:r>
      <w:r w:rsidRPr="00096B5A">
        <w:rPr>
          <w:rFonts w:ascii="Calibri" w:hAnsi="Calibri"/>
          <w:color w:val="231F20"/>
          <w:w w:val="105"/>
        </w:rPr>
        <w:t xml:space="preserve"> </w:t>
      </w:r>
      <w:r w:rsidRPr="00A23800">
        <w:rPr>
          <w:rFonts w:ascii="Calibri" w:hAnsi="Calibri"/>
          <w:color w:val="231F20"/>
          <w:w w:val="105"/>
        </w:rPr>
        <w:t>information</w:t>
      </w:r>
      <w:r w:rsidRPr="00096B5A">
        <w:rPr>
          <w:rFonts w:ascii="Calibri" w:hAnsi="Calibri"/>
          <w:color w:val="231F20"/>
          <w:w w:val="105"/>
        </w:rPr>
        <w:t xml:space="preserve"> </w:t>
      </w:r>
      <w:r w:rsidRPr="00A23800">
        <w:rPr>
          <w:rFonts w:ascii="Calibri" w:hAnsi="Calibri"/>
          <w:color w:val="231F20"/>
          <w:w w:val="105"/>
        </w:rPr>
        <w:t>about</w:t>
      </w:r>
      <w:r w:rsidRPr="00096B5A">
        <w:rPr>
          <w:rFonts w:ascii="Calibri" w:hAnsi="Calibri"/>
          <w:color w:val="231F20"/>
          <w:w w:val="105"/>
        </w:rPr>
        <w:t xml:space="preserve"> </w:t>
      </w:r>
      <w:r w:rsidRPr="00A23800">
        <w:rPr>
          <w:rFonts w:ascii="Calibri" w:hAnsi="Calibri"/>
          <w:color w:val="231F20"/>
          <w:w w:val="105"/>
        </w:rPr>
        <w:t>medical</w:t>
      </w:r>
      <w:r w:rsidRPr="00096B5A">
        <w:rPr>
          <w:rFonts w:ascii="Calibri" w:hAnsi="Calibri"/>
          <w:color w:val="231F20"/>
          <w:w w:val="105"/>
        </w:rPr>
        <w:t xml:space="preserve"> </w:t>
      </w:r>
      <w:r w:rsidRPr="00A23800">
        <w:rPr>
          <w:rFonts w:ascii="Calibri" w:hAnsi="Calibri"/>
          <w:color w:val="231F20"/>
          <w:w w:val="105"/>
        </w:rPr>
        <w:t>and</w:t>
      </w:r>
      <w:r w:rsidRPr="00096B5A">
        <w:rPr>
          <w:rFonts w:ascii="Calibri" w:hAnsi="Calibri"/>
          <w:color w:val="231F20"/>
          <w:w w:val="105"/>
        </w:rPr>
        <w:t xml:space="preserve"> </w:t>
      </w:r>
      <w:r w:rsidRPr="00A23800">
        <w:rPr>
          <w:rFonts w:ascii="Calibri" w:hAnsi="Calibri"/>
          <w:color w:val="231F20"/>
          <w:w w:val="105"/>
        </w:rPr>
        <w:t>psychological</w:t>
      </w:r>
      <w:r w:rsidRPr="00096B5A">
        <w:rPr>
          <w:rFonts w:ascii="Calibri" w:hAnsi="Calibri"/>
          <w:color w:val="231F20"/>
          <w:w w:val="105"/>
        </w:rPr>
        <w:t xml:space="preserve"> </w:t>
      </w:r>
      <w:r w:rsidRPr="00A23800">
        <w:rPr>
          <w:rFonts w:ascii="Calibri" w:hAnsi="Calibri"/>
          <w:color w:val="231F20"/>
          <w:w w:val="105"/>
        </w:rPr>
        <w:t>conditions,</w:t>
      </w:r>
      <w:r w:rsidRPr="00096B5A">
        <w:rPr>
          <w:rFonts w:ascii="Calibri" w:hAnsi="Calibri"/>
          <w:color w:val="231F20"/>
          <w:w w:val="105"/>
        </w:rPr>
        <w:t xml:space="preserve"> </w:t>
      </w:r>
      <w:r w:rsidRPr="00A23800">
        <w:rPr>
          <w:rFonts w:ascii="Calibri" w:hAnsi="Calibri"/>
          <w:color w:val="231F20"/>
          <w:w w:val="105"/>
        </w:rPr>
        <w:t>rehabilitation</w:t>
      </w:r>
      <w:r w:rsidRPr="00096B5A">
        <w:rPr>
          <w:rFonts w:ascii="Calibri" w:hAnsi="Calibri"/>
          <w:color w:val="231F20"/>
          <w:w w:val="105"/>
        </w:rPr>
        <w:t xml:space="preserve"> </w:t>
      </w:r>
      <w:r w:rsidRPr="00A23800">
        <w:rPr>
          <w:rFonts w:ascii="Calibri" w:hAnsi="Calibri"/>
          <w:color w:val="231F20"/>
          <w:w w:val="105"/>
        </w:rPr>
        <w:t xml:space="preserve">technology, </w:t>
      </w:r>
      <w:r w:rsidR="00D226F4">
        <w:rPr>
          <w:rFonts w:ascii="Calibri" w:hAnsi="Calibri"/>
          <w:color w:val="231F20"/>
          <w:w w:val="105"/>
        </w:rPr>
        <w:t>federal and s</w:t>
      </w:r>
      <w:r w:rsidRPr="00A23800">
        <w:rPr>
          <w:rFonts w:ascii="Calibri" w:hAnsi="Calibri"/>
          <w:color w:val="231F20"/>
          <w:w w:val="105"/>
        </w:rPr>
        <w:t xml:space="preserve">tate </w:t>
      </w:r>
      <w:r w:rsidR="00D226F4">
        <w:rPr>
          <w:rFonts w:ascii="Calibri" w:hAnsi="Calibri"/>
          <w:color w:val="231F20"/>
          <w:w w:val="105"/>
        </w:rPr>
        <w:t>p</w:t>
      </w:r>
      <w:r w:rsidRPr="00A23800">
        <w:rPr>
          <w:rFonts w:ascii="Calibri" w:hAnsi="Calibri"/>
          <w:color w:val="231F20"/>
          <w:w w:val="105"/>
        </w:rPr>
        <w:t>lan</w:t>
      </w:r>
      <w:r w:rsidR="00D226F4">
        <w:rPr>
          <w:rFonts w:ascii="Calibri" w:hAnsi="Calibri"/>
          <w:color w:val="231F20"/>
          <w:w w:val="105"/>
        </w:rPr>
        <w:t>s</w:t>
      </w:r>
      <w:r w:rsidRPr="00A23800">
        <w:rPr>
          <w:rFonts w:ascii="Calibri" w:hAnsi="Calibri"/>
          <w:color w:val="231F20"/>
          <w:w w:val="105"/>
        </w:rPr>
        <w:t>, legislation and regulations</w:t>
      </w:r>
      <w:r w:rsidR="00D5537E">
        <w:rPr>
          <w:rFonts w:ascii="Calibri" w:hAnsi="Calibri"/>
          <w:color w:val="231F20"/>
          <w:w w:val="105"/>
        </w:rPr>
        <w:t xml:space="preserve"> and</w:t>
      </w:r>
      <w:r w:rsidRPr="00A23800">
        <w:rPr>
          <w:rFonts w:ascii="Calibri" w:hAnsi="Calibri"/>
          <w:color w:val="231F20"/>
          <w:w w:val="105"/>
        </w:rPr>
        <w:t xml:space="preserve"> employment-related information.</w:t>
      </w:r>
    </w:p>
    <w:p w14:paraId="427F31F4" w14:textId="77777777" w:rsidR="00A07550" w:rsidRPr="00A23800" w:rsidRDefault="00A07550" w:rsidP="00D63204">
      <w:pPr>
        <w:widowControl w:val="0"/>
        <w:spacing w:after="0" w:line="240" w:lineRule="auto"/>
        <w:ind w:left="107"/>
        <w:rPr>
          <w:rFonts w:ascii="Calibri" w:hAnsi="Calibri" w:cs="Calibri"/>
        </w:rPr>
      </w:pPr>
    </w:p>
    <w:p w14:paraId="66150C65" w14:textId="77777777" w:rsidR="006206D4" w:rsidRDefault="00A07550" w:rsidP="00D63204">
      <w:pPr>
        <w:widowControl w:val="0"/>
        <w:spacing w:before="195" w:after="0" w:line="240" w:lineRule="auto"/>
        <w:ind w:left="107"/>
        <w:rPr>
          <w:rFonts w:ascii="Calibri" w:hAnsi="Calibri" w:cs="Calibri"/>
          <w:b/>
          <w:bCs/>
          <w:color w:val="231F20"/>
          <w:spacing w:val="-1"/>
          <w:w w:val="113"/>
          <w:u w:val="single" w:color="231F20"/>
        </w:rPr>
      </w:pPr>
      <w:r w:rsidRPr="00A23800">
        <w:rPr>
          <w:rFonts w:ascii="Calibri" w:hAnsi="Calibri" w:cs="Calibri"/>
          <w:b/>
          <w:bCs/>
          <w:color w:val="231F20"/>
          <w:w w:val="110"/>
          <w:u w:val="single" w:color="231F20"/>
        </w:rPr>
        <w:t>Coordination of Personnel Development under the Individuals with Disabilities Education Act</w:t>
      </w:r>
      <w:r w:rsidRPr="00A23800">
        <w:rPr>
          <w:rFonts w:ascii="Calibri" w:hAnsi="Calibri" w:cs="Calibri"/>
          <w:b/>
          <w:bCs/>
          <w:color w:val="231F20"/>
          <w:spacing w:val="-1"/>
          <w:w w:val="113"/>
          <w:u w:val="single" w:color="231F20"/>
        </w:rPr>
        <w:t xml:space="preserve"> </w:t>
      </w:r>
    </w:p>
    <w:p w14:paraId="24AC3D1A" w14:textId="5397ED9B" w:rsidR="00A07550" w:rsidRPr="00A23800" w:rsidRDefault="00A07550" w:rsidP="00D63204">
      <w:pPr>
        <w:widowControl w:val="0"/>
        <w:spacing w:after="0" w:line="240" w:lineRule="auto"/>
        <w:ind w:left="107"/>
        <w:rPr>
          <w:rFonts w:ascii="Calibri" w:hAnsi="Calibri"/>
        </w:rPr>
      </w:pPr>
      <w:r w:rsidRPr="00A23800">
        <w:rPr>
          <w:rFonts w:ascii="Calibri" w:hAnsi="Calibri"/>
          <w:color w:val="231F20"/>
          <w:w w:val="110"/>
        </w:rPr>
        <w:t>Presenters</w:t>
      </w:r>
      <w:r w:rsidRPr="00A23800">
        <w:rPr>
          <w:rFonts w:ascii="Calibri" w:hAnsi="Calibri"/>
          <w:color w:val="231F20"/>
          <w:spacing w:val="-28"/>
          <w:w w:val="110"/>
        </w:rPr>
        <w:t xml:space="preserve"> </w:t>
      </w:r>
      <w:r w:rsidRPr="00A23800">
        <w:rPr>
          <w:rFonts w:ascii="Calibri" w:hAnsi="Calibri"/>
          <w:color w:val="231F20"/>
          <w:w w:val="110"/>
        </w:rPr>
        <w:t>provide</w:t>
      </w:r>
      <w:r w:rsidRPr="00A23800">
        <w:rPr>
          <w:rFonts w:ascii="Calibri" w:hAnsi="Calibri"/>
          <w:color w:val="231F20"/>
          <w:spacing w:val="-28"/>
          <w:w w:val="110"/>
        </w:rPr>
        <w:t xml:space="preserve"> </w:t>
      </w:r>
      <w:r w:rsidRPr="00A23800">
        <w:rPr>
          <w:rFonts w:ascii="Calibri" w:hAnsi="Calibri"/>
          <w:color w:val="231F20"/>
          <w:w w:val="110"/>
        </w:rPr>
        <w:t>orientation</w:t>
      </w:r>
      <w:r w:rsidRPr="00A23800">
        <w:rPr>
          <w:rFonts w:ascii="Calibri" w:hAnsi="Calibri"/>
          <w:color w:val="231F20"/>
          <w:spacing w:val="-28"/>
          <w:w w:val="110"/>
        </w:rPr>
        <w:t xml:space="preserve"> </w:t>
      </w:r>
      <w:r w:rsidRPr="00A23800">
        <w:rPr>
          <w:rFonts w:ascii="Calibri" w:hAnsi="Calibri"/>
          <w:color w:val="231F20"/>
          <w:w w:val="110"/>
        </w:rPr>
        <w:t>and</w:t>
      </w:r>
      <w:r w:rsidRPr="00A23800">
        <w:rPr>
          <w:rFonts w:ascii="Calibri" w:hAnsi="Calibri"/>
          <w:color w:val="231F20"/>
          <w:spacing w:val="-28"/>
          <w:w w:val="110"/>
        </w:rPr>
        <w:t xml:space="preserve"> </w:t>
      </w:r>
      <w:r w:rsidRPr="00A23800">
        <w:rPr>
          <w:rFonts w:ascii="Calibri" w:hAnsi="Calibri"/>
          <w:color w:val="231F20"/>
          <w:w w:val="110"/>
        </w:rPr>
        <w:t>training</w:t>
      </w:r>
      <w:r w:rsidRPr="00A23800">
        <w:rPr>
          <w:rFonts w:ascii="Calibri" w:hAnsi="Calibri"/>
          <w:color w:val="231F20"/>
          <w:spacing w:val="-28"/>
          <w:w w:val="110"/>
        </w:rPr>
        <w:t xml:space="preserve"> </w:t>
      </w:r>
      <w:r w:rsidRPr="00A23800">
        <w:rPr>
          <w:rFonts w:ascii="Calibri" w:hAnsi="Calibri"/>
          <w:color w:val="231F20"/>
          <w:w w:val="110"/>
        </w:rPr>
        <w:t>for</w:t>
      </w:r>
      <w:r w:rsidRPr="00A23800">
        <w:rPr>
          <w:rFonts w:ascii="Calibri" w:hAnsi="Calibri"/>
          <w:color w:val="231F20"/>
          <w:spacing w:val="-28"/>
          <w:w w:val="110"/>
        </w:rPr>
        <w:t xml:space="preserve"> </w:t>
      </w:r>
      <w:r w:rsidRPr="00A23800">
        <w:rPr>
          <w:rFonts w:ascii="Calibri" w:hAnsi="Calibri"/>
          <w:color w:val="231F20"/>
          <w:w w:val="110"/>
        </w:rPr>
        <w:t>employees</w:t>
      </w:r>
      <w:r w:rsidRPr="00A23800">
        <w:rPr>
          <w:rFonts w:ascii="Calibri" w:hAnsi="Calibri"/>
          <w:color w:val="231F20"/>
          <w:spacing w:val="-28"/>
          <w:w w:val="110"/>
        </w:rPr>
        <w:t xml:space="preserve"> </w:t>
      </w:r>
      <w:r w:rsidRPr="00A23800">
        <w:rPr>
          <w:rFonts w:ascii="Calibri" w:hAnsi="Calibri"/>
          <w:color w:val="231F20"/>
          <w:w w:val="110"/>
        </w:rPr>
        <w:t>serving</w:t>
      </w:r>
      <w:r w:rsidRPr="00A23800">
        <w:rPr>
          <w:rFonts w:ascii="Calibri" w:hAnsi="Calibri"/>
          <w:color w:val="231F20"/>
          <w:spacing w:val="-28"/>
          <w:w w:val="110"/>
        </w:rPr>
        <w:t xml:space="preserve"> </w:t>
      </w:r>
      <w:r w:rsidRPr="00A23800">
        <w:rPr>
          <w:rFonts w:ascii="Calibri" w:hAnsi="Calibri"/>
          <w:color w:val="231F20"/>
          <w:w w:val="110"/>
        </w:rPr>
        <w:t>transition</w:t>
      </w:r>
      <w:r w:rsidRPr="00A23800">
        <w:rPr>
          <w:rFonts w:ascii="Calibri" w:hAnsi="Calibri"/>
          <w:color w:val="231F20"/>
          <w:spacing w:val="-28"/>
          <w:w w:val="110"/>
        </w:rPr>
        <w:t xml:space="preserve"> </w:t>
      </w:r>
      <w:r w:rsidRPr="00A23800">
        <w:rPr>
          <w:rFonts w:ascii="Calibri" w:hAnsi="Calibri"/>
          <w:color w:val="231F20"/>
          <w:w w:val="110"/>
        </w:rPr>
        <w:t>students</w:t>
      </w:r>
      <w:r w:rsidRPr="00A23800">
        <w:rPr>
          <w:rFonts w:ascii="Calibri" w:hAnsi="Calibri"/>
          <w:color w:val="231F20"/>
          <w:spacing w:val="-28"/>
          <w:w w:val="110"/>
        </w:rPr>
        <w:t xml:space="preserve"> </w:t>
      </w:r>
      <w:r w:rsidRPr="00A23800">
        <w:rPr>
          <w:rFonts w:ascii="Calibri" w:hAnsi="Calibri"/>
          <w:color w:val="231F20"/>
          <w:w w:val="110"/>
        </w:rPr>
        <w:t>with</w:t>
      </w:r>
      <w:r w:rsidRPr="00A23800">
        <w:rPr>
          <w:rFonts w:ascii="Calibri" w:hAnsi="Calibri"/>
          <w:color w:val="231F20"/>
          <w:spacing w:val="-28"/>
          <w:w w:val="110"/>
        </w:rPr>
        <w:t xml:space="preserve"> </w:t>
      </w:r>
      <w:r w:rsidRPr="00A23800">
        <w:rPr>
          <w:rFonts w:ascii="Calibri" w:hAnsi="Calibri"/>
          <w:color w:val="231F20"/>
          <w:w w:val="110"/>
        </w:rPr>
        <w:t>disabilities</w:t>
      </w:r>
      <w:r w:rsidRPr="00A23800">
        <w:rPr>
          <w:rFonts w:ascii="Calibri" w:hAnsi="Calibri"/>
          <w:color w:val="231F20"/>
          <w:spacing w:val="-28"/>
          <w:w w:val="110"/>
        </w:rPr>
        <w:t xml:space="preserve"> </w:t>
      </w:r>
      <w:r w:rsidRPr="00A23800">
        <w:rPr>
          <w:rFonts w:ascii="Calibri" w:hAnsi="Calibri"/>
          <w:color w:val="231F20"/>
          <w:w w:val="110"/>
        </w:rPr>
        <w:t>from</w:t>
      </w:r>
      <w:r w:rsidRPr="00A23800">
        <w:rPr>
          <w:rFonts w:ascii="Calibri" w:hAnsi="Calibri"/>
          <w:color w:val="231F20"/>
        </w:rPr>
        <w:t xml:space="preserve"> </w:t>
      </w:r>
      <w:r w:rsidRPr="00A23800">
        <w:rPr>
          <w:rFonts w:ascii="Calibri" w:hAnsi="Calibri"/>
          <w:color w:val="231F20"/>
          <w:w w:val="110"/>
        </w:rPr>
        <w:t>VR,</w:t>
      </w:r>
      <w:r w:rsidRPr="00A23800">
        <w:rPr>
          <w:rFonts w:ascii="Calibri" w:hAnsi="Calibri"/>
          <w:color w:val="231F20"/>
          <w:spacing w:val="-10"/>
          <w:w w:val="110"/>
        </w:rPr>
        <w:t xml:space="preserve"> </w:t>
      </w:r>
      <w:r w:rsidRPr="00A23800">
        <w:rPr>
          <w:rFonts w:ascii="Calibri" w:hAnsi="Calibri"/>
          <w:color w:val="231F20"/>
          <w:w w:val="110"/>
        </w:rPr>
        <w:t>the</w:t>
      </w:r>
      <w:r w:rsidRPr="00A23800">
        <w:rPr>
          <w:rFonts w:ascii="Calibri" w:hAnsi="Calibri"/>
          <w:color w:val="231F20"/>
          <w:spacing w:val="-10"/>
          <w:w w:val="110"/>
        </w:rPr>
        <w:t xml:space="preserve"> </w:t>
      </w:r>
      <w:r w:rsidRPr="00A23800">
        <w:rPr>
          <w:rFonts w:ascii="Calibri" w:hAnsi="Calibri"/>
          <w:color w:val="231F20"/>
          <w:w w:val="110"/>
        </w:rPr>
        <w:t>Bureau</w:t>
      </w:r>
      <w:r w:rsidRPr="00A23800">
        <w:rPr>
          <w:rFonts w:ascii="Calibri" w:hAnsi="Calibri"/>
          <w:color w:val="231F20"/>
          <w:spacing w:val="-10"/>
          <w:w w:val="110"/>
        </w:rPr>
        <w:t xml:space="preserve"> </w:t>
      </w:r>
      <w:r w:rsidRPr="00A23800">
        <w:rPr>
          <w:rFonts w:ascii="Calibri" w:hAnsi="Calibri"/>
          <w:color w:val="231F20"/>
          <w:w w:val="110"/>
        </w:rPr>
        <w:t>of</w:t>
      </w:r>
      <w:r w:rsidRPr="00A23800">
        <w:rPr>
          <w:rFonts w:ascii="Calibri" w:hAnsi="Calibri"/>
          <w:color w:val="231F20"/>
          <w:spacing w:val="-10"/>
          <w:w w:val="110"/>
        </w:rPr>
        <w:t xml:space="preserve"> </w:t>
      </w:r>
      <w:r w:rsidRPr="00A23800">
        <w:rPr>
          <w:rFonts w:ascii="Calibri" w:hAnsi="Calibri"/>
          <w:color w:val="231F20"/>
          <w:w w:val="110"/>
        </w:rPr>
        <w:t>Exceptional</w:t>
      </w:r>
      <w:r w:rsidRPr="00A23800">
        <w:rPr>
          <w:rFonts w:ascii="Calibri" w:hAnsi="Calibri"/>
          <w:color w:val="231F20"/>
          <w:spacing w:val="-10"/>
          <w:w w:val="110"/>
        </w:rPr>
        <w:t xml:space="preserve"> </w:t>
      </w:r>
      <w:r w:rsidRPr="00A23800">
        <w:rPr>
          <w:rFonts w:ascii="Calibri" w:hAnsi="Calibri"/>
          <w:color w:val="231F20"/>
          <w:w w:val="110"/>
        </w:rPr>
        <w:t>Education</w:t>
      </w:r>
      <w:r w:rsidRPr="00A23800">
        <w:rPr>
          <w:rFonts w:ascii="Calibri" w:hAnsi="Calibri"/>
          <w:color w:val="231F20"/>
          <w:spacing w:val="-10"/>
          <w:w w:val="110"/>
        </w:rPr>
        <w:t xml:space="preserve"> </w:t>
      </w:r>
      <w:r w:rsidRPr="00A23800">
        <w:rPr>
          <w:rFonts w:ascii="Calibri" w:hAnsi="Calibri"/>
          <w:color w:val="231F20"/>
          <w:w w:val="110"/>
        </w:rPr>
        <w:t>and</w:t>
      </w:r>
      <w:r w:rsidRPr="00A23800">
        <w:rPr>
          <w:rFonts w:ascii="Calibri" w:hAnsi="Calibri"/>
          <w:color w:val="231F20"/>
          <w:spacing w:val="-10"/>
          <w:w w:val="110"/>
        </w:rPr>
        <w:t xml:space="preserve"> </w:t>
      </w:r>
      <w:r w:rsidRPr="00A23800">
        <w:rPr>
          <w:rFonts w:ascii="Calibri" w:hAnsi="Calibri"/>
          <w:color w:val="231F20"/>
          <w:w w:val="110"/>
        </w:rPr>
        <w:t>Student</w:t>
      </w:r>
      <w:r w:rsidRPr="00A23800">
        <w:rPr>
          <w:rFonts w:ascii="Calibri" w:hAnsi="Calibri"/>
          <w:color w:val="231F20"/>
          <w:spacing w:val="-10"/>
          <w:w w:val="110"/>
        </w:rPr>
        <w:t xml:space="preserve"> </w:t>
      </w:r>
      <w:r w:rsidRPr="00A23800">
        <w:rPr>
          <w:rFonts w:ascii="Calibri" w:hAnsi="Calibri"/>
          <w:color w:val="231F20"/>
          <w:w w:val="110"/>
        </w:rPr>
        <w:t>Services</w:t>
      </w:r>
      <w:r w:rsidRPr="00A23800">
        <w:rPr>
          <w:rFonts w:ascii="Calibri" w:hAnsi="Calibri"/>
          <w:color w:val="231F20"/>
          <w:spacing w:val="-10"/>
          <w:w w:val="110"/>
        </w:rPr>
        <w:t xml:space="preserve"> </w:t>
      </w:r>
      <w:r w:rsidRPr="00A23800">
        <w:rPr>
          <w:rFonts w:ascii="Calibri" w:hAnsi="Calibri"/>
          <w:color w:val="231F20"/>
          <w:w w:val="110"/>
        </w:rPr>
        <w:t>(BEESS)</w:t>
      </w:r>
      <w:r w:rsidR="00D5537E">
        <w:rPr>
          <w:rFonts w:ascii="Calibri" w:hAnsi="Calibri"/>
          <w:color w:val="231F20"/>
          <w:w w:val="110"/>
        </w:rPr>
        <w:t xml:space="preserve"> and</w:t>
      </w:r>
      <w:r w:rsidRPr="00A23800">
        <w:rPr>
          <w:rFonts w:ascii="Calibri" w:hAnsi="Calibri"/>
          <w:color w:val="231F20"/>
          <w:spacing w:val="-10"/>
          <w:w w:val="110"/>
        </w:rPr>
        <w:t xml:space="preserve"> </w:t>
      </w:r>
      <w:r w:rsidRPr="00A23800">
        <w:rPr>
          <w:rFonts w:ascii="Calibri" w:hAnsi="Calibri"/>
          <w:color w:val="231F20"/>
          <w:w w:val="110"/>
        </w:rPr>
        <w:t>community</w:t>
      </w:r>
      <w:r w:rsidRPr="00A23800">
        <w:rPr>
          <w:rFonts w:ascii="Calibri" w:hAnsi="Calibri"/>
          <w:color w:val="231F20"/>
          <w:spacing w:val="-10"/>
          <w:w w:val="110"/>
        </w:rPr>
        <w:t xml:space="preserve"> </w:t>
      </w:r>
      <w:r w:rsidRPr="00A23800">
        <w:rPr>
          <w:rFonts w:ascii="Calibri" w:hAnsi="Calibri"/>
          <w:color w:val="231F20"/>
          <w:w w:val="110"/>
        </w:rPr>
        <w:t>partners.</w:t>
      </w:r>
      <w:r w:rsidRPr="00A23800">
        <w:rPr>
          <w:rFonts w:ascii="Calibri" w:hAnsi="Calibri"/>
          <w:color w:val="231F20"/>
          <w:spacing w:val="-10"/>
          <w:w w:val="110"/>
        </w:rPr>
        <w:t xml:space="preserve"> </w:t>
      </w:r>
      <w:r w:rsidRPr="00A23800">
        <w:rPr>
          <w:rFonts w:ascii="Calibri" w:hAnsi="Calibri"/>
          <w:color w:val="231F20"/>
          <w:w w:val="110"/>
        </w:rPr>
        <w:t>Cross-</w:t>
      </w:r>
      <w:r w:rsidRPr="00A23800">
        <w:rPr>
          <w:rFonts w:ascii="Calibri" w:hAnsi="Calibri"/>
          <w:color w:val="231F20"/>
          <w:w w:val="112"/>
        </w:rPr>
        <w:t xml:space="preserve"> </w:t>
      </w:r>
      <w:r w:rsidRPr="00A23800">
        <w:rPr>
          <w:rFonts w:ascii="Calibri" w:hAnsi="Calibri"/>
          <w:color w:val="231F20"/>
          <w:w w:val="110"/>
        </w:rPr>
        <w:t>training</w:t>
      </w:r>
      <w:r w:rsidRPr="00A23800">
        <w:rPr>
          <w:rFonts w:ascii="Calibri" w:hAnsi="Calibri"/>
          <w:color w:val="231F20"/>
          <w:spacing w:val="-5"/>
          <w:w w:val="110"/>
        </w:rPr>
        <w:t xml:space="preserve"> </w:t>
      </w:r>
      <w:r w:rsidRPr="00A23800">
        <w:rPr>
          <w:rFonts w:ascii="Calibri" w:hAnsi="Calibri"/>
          <w:color w:val="231F20"/>
          <w:w w:val="110"/>
        </w:rPr>
        <w:t>between</w:t>
      </w:r>
      <w:r w:rsidRPr="00A23800">
        <w:rPr>
          <w:rFonts w:ascii="Calibri" w:hAnsi="Calibri"/>
          <w:color w:val="231F20"/>
          <w:spacing w:val="-5"/>
          <w:w w:val="110"/>
        </w:rPr>
        <w:t xml:space="preserve"> </w:t>
      </w:r>
      <w:r w:rsidRPr="00A23800">
        <w:rPr>
          <w:rFonts w:ascii="Calibri" w:hAnsi="Calibri"/>
          <w:color w:val="231F20"/>
          <w:w w:val="110"/>
        </w:rPr>
        <w:t>BEESS</w:t>
      </w:r>
      <w:r w:rsidRPr="00A23800">
        <w:rPr>
          <w:rFonts w:ascii="Calibri" w:hAnsi="Calibri"/>
          <w:color w:val="231F20"/>
          <w:spacing w:val="-5"/>
          <w:w w:val="110"/>
        </w:rPr>
        <w:t xml:space="preserve"> </w:t>
      </w:r>
      <w:r w:rsidRPr="00A23800">
        <w:rPr>
          <w:rFonts w:ascii="Calibri" w:hAnsi="Calibri"/>
          <w:color w:val="231F20"/>
          <w:w w:val="110"/>
        </w:rPr>
        <w:t>and</w:t>
      </w:r>
      <w:r w:rsidRPr="00A23800">
        <w:rPr>
          <w:rFonts w:ascii="Calibri" w:hAnsi="Calibri"/>
          <w:color w:val="231F20"/>
          <w:spacing w:val="-5"/>
          <w:w w:val="110"/>
        </w:rPr>
        <w:t xml:space="preserve"> </w:t>
      </w:r>
      <w:r w:rsidRPr="00A23800">
        <w:rPr>
          <w:rFonts w:ascii="Calibri" w:hAnsi="Calibri"/>
          <w:color w:val="231F20"/>
          <w:w w:val="110"/>
        </w:rPr>
        <w:t>VR</w:t>
      </w:r>
      <w:r w:rsidRPr="00A23800">
        <w:rPr>
          <w:rFonts w:ascii="Calibri" w:hAnsi="Calibri"/>
          <w:color w:val="231F20"/>
          <w:spacing w:val="-5"/>
          <w:w w:val="110"/>
        </w:rPr>
        <w:t xml:space="preserve"> </w:t>
      </w:r>
      <w:r w:rsidRPr="00A23800">
        <w:rPr>
          <w:rFonts w:ascii="Calibri" w:hAnsi="Calibri"/>
          <w:color w:val="231F20"/>
          <w:w w:val="110"/>
        </w:rPr>
        <w:t>staff</w:t>
      </w:r>
      <w:r w:rsidRPr="00A23800">
        <w:rPr>
          <w:rFonts w:ascii="Calibri" w:hAnsi="Calibri"/>
          <w:color w:val="231F20"/>
          <w:spacing w:val="-5"/>
          <w:w w:val="110"/>
        </w:rPr>
        <w:t xml:space="preserve"> </w:t>
      </w:r>
      <w:r w:rsidRPr="00A23800">
        <w:rPr>
          <w:rFonts w:ascii="Calibri" w:hAnsi="Calibri"/>
          <w:color w:val="231F20"/>
          <w:w w:val="110"/>
        </w:rPr>
        <w:t>is</w:t>
      </w:r>
      <w:r w:rsidRPr="00A23800">
        <w:rPr>
          <w:rFonts w:ascii="Calibri" w:hAnsi="Calibri"/>
          <w:color w:val="231F20"/>
          <w:spacing w:val="-5"/>
          <w:w w:val="110"/>
        </w:rPr>
        <w:t xml:space="preserve"> </w:t>
      </w:r>
      <w:r w:rsidRPr="00A23800">
        <w:rPr>
          <w:rFonts w:ascii="Calibri" w:hAnsi="Calibri"/>
          <w:color w:val="231F20"/>
          <w:w w:val="110"/>
        </w:rPr>
        <w:t>emphasized</w:t>
      </w:r>
      <w:r w:rsidRPr="00A23800">
        <w:rPr>
          <w:rFonts w:ascii="Calibri" w:hAnsi="Calibri"/>
          <w:color w:val="231F20"/>
          <w:spacing w:val="-5"/>
          <w:w w:val="110"/>
        </w:rPr>
        <w:t xml:space="preserve"> </w:t>
      </w:r>
      <w:r w:rsidRPr="00A23800">
        <w:rPr>
          <w:rFonts w:ascii="Calibri" w:hAnsi="Calibri"/>
          <w:color w:val="231F20"/>
          <w:w w:val="110"/>
        </w:rPr>
        <w:t>through</w:t>
      </w:r>
      <w:r w:rsidRPr="00A23800">
        <w:rPr>
          <w:rFonts w:ascii="Calibri" w:hAnsi="Calibri"/>
          <w:color w:val="231F20"/>
          <w:spacing w:val="-5"/>
          <w:w w:val="110"/>
        </w:rPr>
        <w:t xml:space="preserve"> </w:t>
      </w:r>
      <w:r w:rsidRPr="00A23800">
        <w:rPr>
          <w:rFonts w:ascii="Calibri" w:hAnsi="Calibri"/>
          <w:color w:val="231F20"/>
          <w:w w:val="110"/>
        </w:rPr>
        <w:t>interagency</w:t>
      </w:r>
      <w:r w:rsidRPr="00A23800">
        <w:rPr>
          <w:rFonts w:ascii="Calibri" w:hAnsi="Calibri"/>
          <w:color w:val="231F20"/>
          <w:spacing w:val="-5"/>
          <w:w w:val="110"/>
        </w:rPr>
        <w:t xml:space="preserve"> </w:t>
      </w:r>
      <w:r w:rsidRPr="00A23800">
        <w:rPr>
          <w:rFonts w:ascii="Calibri" w:hAnsi="Calibri"/>
          <w:color w:val="231F20"/>
          <w:w w:val="110"/>
        </w:rPr>
        <w:t>agreements</w:t>
      </w:r>
      <w:r w:rsidRPr="00A23800">
        <w:rPr>
          <w:rFonts w:ascii="Calibri" w:hAnsi="Calibri"/>
          <w:color w:val="231F20"/>
          <w:spacing w:val="-5"/>
          <w:w w:val="110"/>
        </w:rPr>
        <w:t xml:space="preserve"> </w:t>
      </w:r>
      <w:r w:rsidRPr="00A23800">
        <w:rPr>
          <w:rFonts w:ascii="Calibri" w:hAnsi="Calibri"/>
          <w:color w:val="231F20"/>
          <w:w w:val="110"/>
        </w:rPr>
        <w:t>as</w:t>
      </w:r>
      <w:r w:rsidRPr="00A23800">
        <w:rPr>
          <w:rFonts w:ascii="Calibri" w:hAnsi="Calibri"/>
          <w:color w:val="231F20"/>
          <w:spacing w:val="-5"/>
          <w:w w:val="110"/>
        </w:rPr>
        <w:t xml:space="preserve"> </w:t>
      </w:r>
      <w:r w:rsidRPr="00A23800">
        <w:rPr>
          <w:rFonts w:ascii="Calibri" w:hAnsi="Calibri"/>
          <w:color w:val="231F20"/>
          <w:w w:val="110"/>
        </w:rPr>
        <w:t>presented</w:t>
      </w:r>
      <w:r w:rsidRPr="00A23800">
        <w:rPr>
          <w:rFonts w:ascii="Calibri" w:hAnsi="Calibri"/>
          <w:color w:val="231F20"/>
          <w:spacing w:val="-5"/>
          <w:w w:val="110"/>
        </w:rPr>
        <w:t xml:space="preserve"> </w:t>
      </w:r>
      <w:r w:rsidRPr="00A23800">
        <w:rPr>
          <w:rFonts w:ascii="Calibri" w:hAnsi="Calibri"/>
          <w:color w:val="231F20"/>
          <w:w w:val="110"/>
        </w:rPr>
        <w:t>in</w:t>
      </w:r>
      <w:r w:rsidRPr="00A23800">
        <w:rPr>
          <w:rFonts w:ascii="Calibri" w:hAnsi="Calibri"/>
          <w:color w:val="231F20"/>
          <w:w w:val="102"/>
        </w:rPr>
        <w:t xml:space="preserve"> </w:t>
      </w:r>
      <w:r w:rsidRPr="00A23800">
        <w:rPr>
          <w:rFonts w:ascii="Calibri" w:hAnsi="Calibri"/>
          <w:color w:val="231F20"/>
          <w:w w:val="110"/>
        </w:rPr>
        <w:t>Section</w:t>
      </w:r>
      <w:r w:rsidRPr="00A23800">
        <w:rPr>
          <w:rFonts w:ascii="Calibri" w:hAnsi="Calibri"/>
          <w:color w:val="231F20"/>
          <w:spacing w:val="-11"/>
          <w:w w:val="110"/>
        </w:rPr>
        <w:t xml:space="preserve"> </w:t>
      </w:r>
      <w:r w:rsidRPr="00A23800">
        <w:rPr>
          <w:rFonts w:ascii="Calibri" w:hAnsi="Calibri"/>
          <w:color w:val="231F20"/>
          <w:w w:val="110"/>
        </w:rPr>
        <w:t>(d)</w:t>
      </w:r>
      <w:r w:rsidRPr="00A23800">
        <w:rPr>
          <w:rFonts w:ascii="Calibri" w:hAnsi="Calibri"/>
          <w:color w:val="231F20"/>
          <w:spacing w:val="-11"/>
          <w:w w:val="110"/>
        </w:rPr>
        <w:t xml:space="preserve"> </w:t>
      </w:r>
      <w:r w:rsidRPr="00A23800">
        <w:rPr>
          <w:rFonts w:ascii="Calibri" w:hAnsi="Calibri"/>
          <w:color w:val="231F20"/>
          <w:w w:val="110"/>
        </w:rPr>
        <w:t>of</w:t>
      </w:r>
      <w:r w:rsidRPr="00A23800">
        <w:rPr>
          <w:rFonts w:ascii="Calibri" w:hAnsi="Calibri"/>
          <w:color w:val="231F20"/>
          <w:spacing w:val="-11"/>
          <w:w w:val="110"/>
        </w:rPr>
        <w:t xml:space="preserve"> </w:t>
      </w:r>
      <w:r w:rsidRPr="00A23800">
        <w:rPr>
          <w:rFonts w:ascii="Calibri" w:hAnsi="Calibri"/>
          <w:color w:val="231F20"/>
          <w:w w:val="110"/>
        </w:rPr>
        <w:t>this</w:t>
      </w:r>
      <w:r w:rsidRPr="00A23800">
        <w:rPr>
          <w:rFonts w:ascii="Calibri" w:hAnsi="Calibri"/>
          <w:color w:val="231F20"/>
          <w:spacing w:val="-11"/>
          <w:w w:val="110"/>
        </w:rPr>
        <w:t xml:space="preserve"> </w:t>
      </w:r>
      <w:r w:rsidRPr="00A23800">
        <w:rPr>
          <w:rFonts w:ascii="Calibri" w:hAnsi="Calibri"/>
          <w:color w:val="231F20"/>
          <w:w w:val="110"/>
        </w:rPr>
        <w:t>plan</w:t>
      </w:r>
      <w:r w:rsidRPr="00A23800">
        <w:rPr>
          <w:rFonts w:ascii="Calibri" w:hAnsi="Calibri"/>
          <w:color w:val="231F20"/>
          <w:spacing w:val="-11"/>
          <w:w w:val="110"/>
        </w:rPr>
        <w:t xml:space="preserve"> </w:t>
      </w:r>
      <w:r w:rsidRPr="00A23800">
        <w:rPr>
          <w:rFonts w:ascii="Calibri" w:hAnsi="Calibri"/>
          <w:color w:val="231F20"/>
          <w:w w:val="110"/>
        </w:rPr>
        <w:t>portion.</w:t>
      </w:r>
      <w:r w:rsidRPr="00A23800">
        <w:rPr>
          <w:rFonts w:ascii="Calibri" w:hAnsi="Calibri"/>
          <w:color w:val="231F20"/>
          <w:spacing w:val="-11"/>
          <w:w w:val="110"/>
        </w:rPr>
        <w:t xml:space="preserve"> </w:t>
      </w:r>
      <w:r w:rsidRPr="00A23800">
        <w:rPr>
          <w:rFonts w:ascii="Calibri" w:hAnsi="Calibri"/>
          <w:color w:val="231F20"/>
          <w:w w:val="110"/>
        </w:rPr>
        <w:t>The</w:t>
      </w:r>
      <w:r w:rsidRPr="00A23800">
        <w:rPr>
          <w:rFonts w:ascii="Calibri" w:hAnsi="Calibri"/>
          <w:color w:val="231F20"/>
          <w:spacing w:val="-11"/>
          <w:w w:val="110"/>
        </w:rPr>
        <w:t xml:space="preserve"> </w:t>
      </w:r>
      <w:r w:rsidRPr="00A23800">
        <w:rPr>
          <w:rFonts w:ascii="Calibri" w:hAnsi="Calibri"/>
          <w:color w:val="231F20"/>
          <w:w w:val="110"/>
        </w:rPr>
        <w:t>Department</w:t>
      </w:r>
      <w:r w:rsidRPr="00A23800">
        <w:rPr>
          <w:rFonts w:ascii="Calibri" w:hAnsi="Calibri"/>
          <w:color w:val="231F20"/>
          <w:spacing w:val="-11"/>
          <w:w w:val="110"/>
        </w:rPr>
        <w:t xml:space="preserve"> </w:t>
      </w:r>
      <w:r w:rsidRPr="00A23800">
        <w:rPr>
          <w:rFonts w:ascii="Calibri" w:hAnsi="Calibri"/>
          <w:color w:val="231F20"/>
          <w:w w:val="110"/>
        </w:rPr>
        <w:t>of</w:t>
      </w:r>
      <w:r w:rsidRPr="00A23800">
        <w:rPr>
          <w:rFonts w:ascii="Calibri" w:hAnsi="Calibri"/>
          <w:color w:val="231F20"/>
          <w:spacing w:val="-11"/>
          <w:w w:val="110"/>
        </w:rPr>
        <w:t xml:space="preserve"> </w:t>
      </w:r>
      <w:r w:rsidRPr="00A23800">
        <w:rPr>
          <w:rFonts w:ascii="Calibri" w:hAnsi="Calibri"/>
          <w:color w:val="231F20"/>
          <w:w w:val="110"/>
        </w:rPr>
        <w:t>Education’s</w:t>
      </w:r>
      <w:r w:rsidRPr="00A23800">
        <w:rPr>
          <w:rFonts w:ascii="Calibri" w:hAnsi="Calibri"/>
          <w:color w:val="231F20"/>
          <w:spacing w:val="-11"/>
          <w:w w:val="110"/>
        </w:rPr>
        <w:t xml:space="preserve"> </w:t>
      </w:r>
      <w:r w:rsidRPr="00A23800">
        <w:rPr>
          <w:rFonts w:ascii="Calibri" w:hAnsi="Calibri"/>
          <w:color w:val="231F20"/>
          <w:w w:val="110"/>
        </w:rPr>
        <w:t>State</w:t>
      </w:r>
      <w:r w:rsidRPr="00A23800">
        <w:rPr>
          <w:rFonts w:ascii="Calibri" w:hAnsi="Calibri"/>
          <w:color w:val="231F20"/>
          <w:spacing w:val="-11"/>
          <w:w w:val="110"/>
        </w:rPr>
        <w:t xml:space="preserve"> </w:t>
      </w:r>
      <w:r w:rsidRPr="00A23800">
        <w:rPr>
          <w:rFonts w:ascii="Calibri" w:hAnsi="Calibri"/>
          <w:color w:val="231F20"/>
          <w:w w:val="110"/>
        </w:rPr>
        <w:t>Education</w:t>
      </w:r>
      <w:r w:rsidRPr="00A23800">
        <w:rPr>
          <w:rFonts w:ascii="Calibri" w:hAnsi="Calibri"/>
          <w:color w:val="231F20"/>
          <w:spacing w:val="-11"/>
          <w:w w:val="110"/>
        </w:rPr>
        <w:t xml:space="preserve"> </w:t>
      </w:r>
      <w:r w:rsidRPr="00A23800">
        <w:rPr>
          <w:rFonts w:ascii="Calibri" w:hAnsi="Calibri"/>
          <w:color w:val="231F20"/>
          <w:w w:val="110"/>
        </w:rPr>
        <w:t>Agency</w:t>
      </w:r>
      <w:r w:rsidRPr="00A23800">
        <w:rPr>
          <w:rFonts w:ascii="Calibri" w:hAnsi="Calibri"/>
          <w:color w:val="231F20"/>
          <w:spacing w:val="-11"/>
          <w:w w:val="110"/>
        </w:rPr>
        <w:t xml:space="preserve"> </w:t>
      </w:r>
      <w:r w:rsidRPr="00A23800">
        <w:rPr>
          <w:rFonts w:ascii="Calibri" w:hAnsi="Calibri"/>
          <w:color w:val="231F20"/>
          <w:w w:val="110"/>
        </w:rPr>
        <w:t>(SEA)</w:t>
      </w:r>
      <w:r w:rsidRPr="00A23800">
        <w:rPr>
          <w:rFonts w:ascii="Calibri" w:hAnsi="Calibri"/>
          <w:color w:val="231F20"/>
          <w:spacing w:val="-11"/>
          <w:w w:val="110"/>
        </w:rPr>
        <w:t xml:space="preserve"> </w:t>
      </w:r>
      <w:r w:rsidRPr="00A23800">
        <w:rPr>
          <w:rFonts w:ascii="Calibri" w:hAnsi="Calibri"/>
          <w:color w:val="231F20"/>
          <w:w w:val="110"/>
        </w:rPr>
        <w:t>and</w:t>
      </w:r>
      <w:r w:rsidRPr="00A23800">
        <w:rPr>
          <w:rFonts w:ascii="Calibri" w:hAnsi="Calibri"/>
          <w:color w:val="231F20"/>
          <w:spacing w:val="-11"/>
          <w:w w:val="110"/>
        </w:rPr>
        <w:t xml:space="preserve"> </w:t>
      </w:r>
      <w:r w:rsidRPr="00A23800">
        <w:rPr>
          <w:rFonts w:ascii="Calibri" w:hAnsi="Calibri"/>
          <w:color w:val="231F20"/>
          <w:w w:val="110"/>
        </w:rPr>
        <w:t>Local</w:t>
      </w:r>
      <w:r w:rsidRPr="00A23800">
        <w:rPr>
          <w:rFonts w:ascii="Calibri" w:hAnsi="Calibri"/>
          <w:color w:val="231F20"/>
          <w:w w:val="109"/>
        </w:rPr>
        <w:t xml:space="preserve"> </w:t>
      </w:r>
      <w:r w:rsidRPr="00A23800">
        <w:rPr>
          <w:rFonts w:ascii="Calibri" w:hAnsi="Calibri"/>
          <w:color w:val="231F20"/>
          <w:w w:val="110"/>
        </w:rPr>
        <w:t>Education</w:t>
      </w:r>
      <w:r w:rsidRPr="00A23800">
        <w:rPr>
          <w:rFonts w:ascii="Calibri" w:hAnsi="Calibri"/>
          <w:color w:val="231F20"/>
          <w:spacing w:val="-25"/>
          <w:w w:val="110"/>
        </w:rPr>
        <w:t xml:space="preserve"> </w:t>
      </w:r>
      <w:r w:rsidRPr="00A23800">
        <w:rPr>
          <w:rFonts w:ascii="Calibri" w:hAnsi="Calibri"/>
          <w:color w:val="231F20"/>
          <w:w w:val="110"/>
        </w:rPr>
        <w:t>Agencies</w:t>
      </w:r>
      <w:r w:rsidRPr="00A23800">
        <w:rPr>
          <w:rFonts w:ascii="Calibri" w:hAnsi="Calibri"/>
          <w:color w:val="231F20"/>
          <w:spacing w:val="-25"/>
          <w:w w:val="110"/>
        </w:rPr>
        <w:t xml:space="preserve"> </w:t>
      </w:r>
      <w:r w:rsidRPr="00A23800">
        <w:rPr>
          <w:rFonts w:ascii="Calibri" w:hAnsi="Calibri"/>
          <w:color w:val="231F20"/>
          <w:w w:val="110"/>
        </w:rPr>
        <w:t>(LEAs)</w:t>
      </w:r>
      <w:r w:rsidRPr="00A23800">
        <w:rPr>
          <w:rFonts w:ascii="Calibri" w:hAnsi="Calibri"/>
          <w:color w:val="231F20"/>
          <w:spacing w:val="-25"/>
          <w:w w:val="110"/>
        </w:rPr>
        <w:t xml:space="preserve"> </w:t>
      </w:r>
      <w:r w:rsidRPr="00A23800">
        <w:rPr>
          <w:rFonts w:ascii="Calibri" w:hAnsi="Calibri"/>
          <w:color w:val="231F20"/>
          <w:w w:val="110"/>
        </w:rPr>
        <w:t>profiles</w:t>
      </w:r>
      <w:r w:rsidRPr="00A23800">
        <w:rPr>
          <w:rFonts w:ascii="Calibri" w:hAnsi="Calibri"/>
          <w:color w:val="231F20"/>
          <w:spacing w:val="-25"/>
          <w:w w:val="110"/>
        </w:rPr>
        <w:t xml:space="preserve"> </w:t>
      </w:r>
      <w:r w:rsidRPr="00A23800">
        <w:rPr>
          <w:rFonts w:ascii="Calibri" w:hAnsi="Calibri"/>
          <w:color w:val="231F20"/>
          <w:w w:val="110"/>
        </w:rPr>
        <w:t>are</w:t>
      </w:r>
      <w:r w:rsidRPr="00A23800">
        <w:rPr>
          <w:rFonts w:ascii="Calibri" w:hAnsi="Calibri"/>
          <w:color w:val="231F20"/>
          <w:spacing w:val="-25"/>
          <w:w w:val="110"/>
        </w:rPr>
        <w:t xml:space="preserve"> </w:t>
      </w:r>
      <w:r w:rsidRPr="00A23800">
        <w:rPr>
          <w:rFonts w:ascii="Calibri" w:hAnsi="Calibri"/>
          <w:color w:val="231F20"/>
          <w:w w:val="110"/>
        </w:rPr>
        <w:t>used</w:t>
      </w:r>
      <w:r w:rsidRPr="00A23800">
        <w:rPr>
          <w:rFonts w:ascii="Calibri" w:hAnsi="Calibri"/>
          <w:color w:val="231F20"/>
          <w:spacing w:val="-25"/>
          <w:w w:val="110"/>
        </w:rPr>
        <w:t xml:space="preserve"> </w:t>
      </w:r>
      <w:r w:rsidRPr="00A23800">
        <w:rPr>
          <w:rFonts w:ascii="Calibri" w:hAnsi="Calibri"/>
          <w:color w:val="231F20"/>
          <w:w w:val="110"/>
        </w:rPr>
        <w:t>to</w:t>
      </w:r>
      <w:r w:rsidRPr="00A23800">
        <w:rPr>
          <w:rFonts w:ascii="Calibri" w:hAnsi="Calibri"/>
          <w:color w:val="231F20"/>
          <w:spacing w:val="-25"/>
          <w:w w:val="110"/>
        </w:rPr>
        <w:t xml:space="preserve"> </w:t>
      </w:r>
      <w:r w:rsidRPr="00A23800">
        <w:rPr>
          <w:rFonts w:ascii="Calibri" w:hAnsi="Calibri"/>
          <w:color w:val="231F20"/>
          <w:w w:val="110"/>
        </w:rPr>
        <w:t>gather</w:t>
      </w:r>
      <w:r w:rsidRPr="00A23800">
        <w:rPr>
          <w:rFonts w:ascii="Calibri" w:hAnsi="Calibri"/>
          <w:color w:val="231F20"/>
          <w:spacing w:val="-25"/>
          <w:w w:val="110"/>
        </w:rPr>
        <w:t xml:space="preserve"> </w:t>
      </w:r>
      <w:r w:rsidRPr="00A23800">
        <w:rPr>
          <w:rFonts w:ascii="Calibri" w:hAnsi="Calibri"/>
          <w:color w:val="231F20"/>
          <w:w w:val="110"/>
        </w:rPr>
        <w:t>important</w:t>
      </w:r>
      <w:r w:rsidRPr="00A23800">
        <w:rPr>
          <w:rFonts w:ascii="Calibri" w:hAnsi="Calibri"/>
          <w:color w:val="231F20"/>
          <w:spacing w:val="-25"/>
          <w:w w:val="110"/>
        </w:rPr>
        <w:t xml:space="preserve"> </w:t>
      </w:r>
      <w:r w:rsidRPr="00A23800">
        <w:rPr>
          <w:rFonts w:ascii="Calibri" w:hAnsi="Calibri"/>
          <w:color w:val="231F20"/>
          <w:w w:val="110"/>
        </w:rPr>
        <w:t>statistical</w:t>
      </w:r>
      <w:r w:rsidRPr="00A23800">
        <w:rPr>
          <w:rFonts w:ascii="Calibri" w:hAnsi="Calibri"/>
          <w:color w:val="231F20"/>
          <w:spacing w:val="-25"/>
          <w:w w:val="110"/>
        </w:rPr>
        <w:t xml:space="preserve"> </w:t>
      </w:r>
      <w:r w:rsidRPr="00A23800">
        <w:rPr>
          <w:rFonts w:ascii="Calibri" w:hAnsi="Calibri"/>
          <w:color w:val="231F20"/>
          <w:w w:val="110"/>
        </w:rPr>
        <w:t>information</w:t>
      </w:r>
      <w:r w:rsidRPr="00A23800">
        <w:rPr>
          <w:rFonts w:ascii="Calibri" w:hAnsi="Calibri"/>
          <w:color w:val="231F20"/>
          <w:spacing w:val="-25"/>
          <w:w w:val="110"/>
        </w:rPr>
        <w:t xml:space="preserve"> </w:t>
      </w:r>
      <w:r w:rsidRPr="00A23800">
        <w:rPr>
          <w:rFonts w:ascii="Calibri" w:hAnsi="Calibri"/>
          <w:color w:val="231F20"/>
          <w:w w:val="110"/>
        </w:rPr>
        <w:t>on</w:t>
      </w:r>
      <w:r w:rsidRPr="00A23800">
        <w:rPr>
          <w:rFonts w:ascii="Calibri" w:hAnsi="Calibri"/>
          <w:color w:val="231F20"/>
          <w:spacing w:val="-25"/>
          <w:w w:val="110"/>
        </w:rPr>
        <w:t xml:space="preserve"> </w:t>
      </w:r>
      <w:r w:rsidRPr="00A23800">
        <w:rPr>
          <w:rFonts w:ascii="Calibri" w:hAnsi="Calibri"/>
          <w:color w:val="231F20"/>
          <w:w w:val="110"/>
        </w:rPr>
        <w:t>graduation</w:t>
      </w:r>
      <w:r w:rsidRPr="00A23800">
        <w:rPr>
          <w:rFonts w:ascii="Calibri" w:hAnsi="Calibri"/>
          <w:color w:val="231F20"/>
          <w:spacing w:val="-25"/>
          <w:w w:val="110"/>
        </w:rPr>
        <w:t xml:space="preserve"> </w:t>
      </w:r>
      <w:r w:rsidRPr="00A23800">
        <w:rPr>
          <w:rFonts w:ascii="Calibri" w:hAnsi="Calibri"/>
          <w:color w:val="231F20"/>
          <w:w w:val="110"/>
        </w:rPr>
        <w:t>rates,</w:t>
      </w:r>
      <w:r w:rsidRPr="00A23800">
        <w:rPr>
          <w:rFonts w:ascii="Calibri" w:hAnsi="Calibri"/>
          <w:color w:val="231F20"/>
          <w:w w:val="104"/>
        </w:rPr>
        <w:t xml:space="preserve"> </w:t>
      </w:r>
      <w:r w:rsidRPr="00A23800">
        <w:rPr>
          <w:rFonts w:ascii="Calibri" w:hAnsi="Calibri"/>
          <w:color w:val="231F20"/>
          <w:w w:val="110"/>
        </w:rPr>
        <w:t>dropout</w:t>
      </w:r>
      <w:r w:rsidRPr="00A23800">
        <w:rPr>
          <w:rFonts w:ascii="Calibri" w:hAnsi="Calibri"/>
          <w:color w:val="231F20"/>
          <w:spacing w:val="-15"/>
          <w:w w:val="110"/>
        </w:rPr>
        <w:t xml:space="preserve"> </w:t>
      </w:r>
      <w:r w:rsidRPr="00A23800">
        <w:rPr>
          <w:rFonts w:ascii="Calibri" w:hAnsi="Calibri"/>
          <w:color w:val="231F20"/>
          <w:w w:val="110"/>
        </w:rPr>
        <w:t>rates,</w:t>
      </w:r>
      <w:r w:rsidRPr="00A23800">
        <w:rPr>
          <w:rFonts w:ascii="Calibri" w:hAnsi="Calibri"/>
          <w:color w:val="231F20"/>
          <w:spacing w:val="-15"/>
          <w:w w:val="110"/>
        </w:rPr>
        <w:t xml:space="preserve"> </w:t>
      </w:r>
      <w:r w:rsidRPr="00A23800">
        <w:rPr>
          <w:rFonts w:ascii="Calibri" w:hAnsi="Calibri"/>
          <w:color w:val="231F20"/>
          <w:w w:val="110"/>
        </w:rPr>
        <w:t>Individual</w:t>
      </w:r>
      <w:r w:rsidRPr="00A23800">
        <w:rPr>
          <w:rFonts w:ascii="Calibri" w:hAnsi="Calibri"/>
          <w:color w:val="231F20"/>
          <w:spacing w:val="-15"/>
          <w:w w:val="110"/>
        </w:rPr>
        <w:t xml:space="preserve"> </w:t>
      </w:r>
      <w:r w:rsidRPr="00A23800">
        <w:rPr>
          <w:rFonts w:ascii="Calibri" w:hAnsi="Calibri"/>
          <w:color w:val="231F20"/>
          <w:w w:val="110"/>
        </w:rPr>
        <w:t>Educational</w:t>
      </w:r>
      <w:r w:rsidRPr="00A23800">
        <w:rPr>
          <w:rFonts w:ascii="Calibri" w:hAnsi="Calibri"/>
          <w:color w:val="231F20"/>
          <w:spacing w:val="-15"/>
          <w:w w:val="110"/>
        </w:rPr>
        <w:t xml:space="preserve"> </w:t>
      </w:r>
      <w:r w:rsidRPr="00A23800">
        <w:rPr>
          <w:rFonts w:ascii="Calibri" w:hAnsi="Calibri"/>
          <w:color w:val="231F20"/>
          <w:w w:val="110"/>
        </w:rPr>
        <w:t>Plan</w:t>
      </w:r>
      <w:r w:rsidRPr="00A23800">
        <w:rPr>
          <w:rFonts w:ascii="Calibri" w:hAnsi="Calibri"/>
          <w:color w:val="231F20"/>
          <w:spacing w:val="-15"/>
          <w:w w:val="110"/>
        </w:rPr>
        <w:t xml:space="preserve"> </w:t>
      </w:r>
      <w:r w:rsidRPr="00A23800">
        <w:rPr>
          <w:rFonts w:ascii="Calibri" w:hAnsi="Calibri"/>
          <w:color w:val="231F20"/>
          <w:w w:val="110"/>
        </w:rPr>
        <w:t>compliance</w:t>
      </w:r>
      <w:r w:rsidR="00D5537E">
        <w:rPr>
          <w:rFonts w:ascii="Calibri" w:hAnsi="Calibri"/>
          <w:color w:val="231F20"/>
          <w:w w:val="110"/>
        </w:rPr>
        <w:t xml:space="preserve"> and</w:t>
      </w:r>
      <w:r w:rsidRPr="00A23800">
        <w:rPr>
          <w:rFonts w:ascii="Calibri" w:hAnsi="Calibri"/>
          <w:color w:val="231F20"/>
          <w:spacing w:val="-15"/>
          <w:w w:val="110"/>
        </w:rPr>
        <w:t xml:space="preserve"> </w:t>
      </w:r>
      <w:r w:rsidRPr="00A23800">
        <w:rPr>
          <w:rFonts w:ascii="Calibri" w:hAnsi="Calibri"/>
          <w:color w:val="231F20"/>
          <w:w w:val="110"/>
        </w:rPr>
        <w:t>postsecondary</w:t>
      </w:r>
      <w:r w:rsidRPr="00A23800">
        <w:rPr>
          <w:rFonts w:ascii="Calibri" w:hAnsi="Calibri"/>
          <w:color w:val="231F20"/>
          <w:spacing w:val="-15"/>
          <w:w w:val="110"/>
        </w:rPr>
        <w:t xml:space="preserve"> </w:t>
      </w:r>
      <w:r w:rsidRPr="00A23800">
        <w:rPr>
          <w:rFonts w:ascii="Calibri" w:hAnsi="Calibri"/>
          <w:color w:val="231F20"/>
          <w:w w:val="110"/>
        </w:rPr>
        <w:t>outcomes</w:t>
      </w:r>
      <w:r w:rsidRPr="00A23800">
        <w:rPr>
          <w:rFonts w:ascii="Calibri" w:hAnsi="Calibri"/>
          <w:color w:val="231F20"/>
          <w:spacing w:val="-15"/>
          <w:w w:val="110"/>
        </w:rPr>
        <w:t xml:space="preserve"> </w:t>
      </w:r>
      <w:r w:rsidRPr="00A23800">
        <w:rPr>
          <w:rFonts w:ascii="Calibri" w:hAnsi="Calibri"/>
          <w:color w:val="231F20"/>
          <w:w w:val="110"/>
        </w:rPr>
        <w:t>for</w:t>
      </w:r>
      <w:r w:rsidRPr="00A23800">
        <w:rPr>
          <w:rFonts w:ascii="Calibri" w:hAnsi="Calibri"/>
          <w:color w:val="231F20"/>
          <w:spacing w:val="-15"/>
          <w:w w:val="110"/>
        </w:rPr>
        <w:t xml:space="preserve"> </w:t>
      </w:r>
      <w:r w:rsidRPr="00A23800">
        <w:rPr>
          <w:rFonts w:ascii="Calibri" w:hAnsi="Calibri"/>
          <w:color w:val="231F20"/>
          <w:w w:val="110"/>
        </w:rPr>
        <w:t>students</w:t>
      </w:r>
      <w:r w:rsidRPr="00A23800">
        <w:rPr>
          <w:rFonts w:ascii="Calibri" w:hAnsi="Calibri"/>
          <w:color w:val="231F20"/>
          <w:spacing w:val="-15"/>
          <w:w w:val="110"/>
        </w:rPr>
        <w:t xml:space="preserve"> </w:t>
      </w:r>
      <w:r w:rsidRPr="00A23800">
        <w:rPr>
          <w:rFonts w:ascii="Calibri" w:hAnsi="Calibri"/>
          <w:color w:val="231F20"/>
          <w:w w:val="110"/>
        </w:rPr>
        <w:t>with</w:t>
      </w:r>
      <w:r w:rsidRPr="00A23800">
        <w:rPr>
          <w:rFonts w:ascii="Calibri" w:hAnsi="Calibri"/>
          <w:color w:val="231F20"/>
        </w:rPr>
        <w:t xml:space="preserve"> </w:t>
      </w:r>
      <w:r w:rsidRPr="00A23800">
        <w:rPr>
          <w:rFonts w:ascii="Calibri" w:hAnsi="Calibri"/>
          <w:color w:val="231F20"/>
          <w:w w:val="110"/>
        </w:rPr>
        <w:t>disabilities.</w:t>
      </w:r>
      <w:r w:rsidRPr="00A23800">
        <w:rPr>
          <w:rFonts w:ascii="Calibri" w:hAnsi="Calibri"/>
          <w:color w:val="231F20"/>
          <w:spacing w:val="-11"/>
          <w:w w:val="110"/>
        </w:rPr>
        <w:t xml:space="preserve"> </w:t>
      </w:r>
      <w:r w:rsidRPr="00A23800">
        <w:rPr>
          <w:rFonts w:ascii="Calibri" w:hAnsi="Calibri"/>
          <w:color w:val="231F20"/>
          <w:w w:val="110"/>
        </w:rPr>
        <w:t>BEESS</w:t>
      </w:r>
      <w:r w:rsidRPr="00A23800">
        <w:rPr>
          <w:rFonts w:ascii="Calibri" w:hAnsi="Calibri"/>
          <w:color w:val="231F20"/>
          <w:spacing w:val="-11"/>
          <w:w w:val="110"/>
        </w:rPr>
        <w:t xml:space="preserve"> </w:t>
      </w:r>
      <w:r w:rsidRPr="00A23800">
        <w:rPr>
          <w:rFonts w:ascii="Calibri" w:hAnsi="Calibri"/>
          <w:color w:val="231F20"/>
          <w:w w:val="110"/>
        </w:rPr>
        <w:t>and</w:t>
      </w:r>
      <w:r w:rsidRPr="00A23800">
        <w:rPr>
          <w:rFonts w:ascii="Calibri" w:hAnsi="Calibri"/>
          <w:color w:val="231F20"/>
          <w:spacing w:val="-11"/>
          <w:w w:val="110"/>
        </w:rPr>
        <w:t xml:space="preserve"> </w:t>
      </w:r>
      <w:r w:rsidRPr="00A23800">
        <w:rPr>
          <w:rFonts w:ascii="Calibri" w:hAnsi="Calibri"/>
          <w:color w:val="231F20"/>
          <w:w w:val="110"/>
        </w:rPr>
        <w:t>VR</w:t>
      </w:r>
      <w:r w:rsidRPr="00A23800">
        <w:rPr>
          <w:rFonts w:ascii="Calibri" w:hAnsi="Calibri"/>
          <w:color w:val="231F20"/>
          <w:spacing w:val="-11"/>
          <w:w w:val="110"/>
        </w:rPr>
        <w:t xml:space="preserve"> </w:t>
      </w:r>
      <w:r w:rsidRPr="00A23800">
        <w:rPr>
          <w:rFonts w:ascii="Calibri" w:hAnsi="Calibri"/>
          <w:color w:val="231F20"/>
          <w:w w:val="110"/>
        </w:rPr>
        <w:t>continue</w:t>
      </w:r>
      <w:r w:rsidRPr="00A23800">
        <w:rPr>
          <w:rFonts w:ascii="Calibri" w:hAnsi="Calibri"/>
          <w:color w:val="231F20"/>
          <w:spacing w:val="-11"/>
          <w:w w:val="110"/>
        </w:rPr>
        <w:t xml:space="preserve"> </w:t>
      </w:r>
      <w:r w:rsidRPr="00A23800">
        <w:rPr>
          <w:rFonts w:ascii="Calibri" w:hAnsi="Calibri"/>
          <w:color w:val="231F20"/>
          <w:w w:val="110"/>
        </w:rPr>
        <w:t>to</w:t>
      </w:r>
      <w:r w:rsidRPr="00A23800">
        <w:rPr>
          <w:rFonts w:ascii="Calibri" w:hAnsi="Calibri"/>
          <w:color w:val="231F20"/>
          <w:spacing w:val="-11"/>
          <w:w w:val="110"/>
        </w:rPr>
        <w:t xml:space="preserve"> </w:t>
      </w:r>
      <w:r w:rsidRPr="00A23800">
        <w:rPr>
          <w:rFonts w:ascii="Calibri" w:hAnsi="Calibri"/>
          <w:color w:val="231F20"/>
          <w:w w:val="110"/>
        </w:rPr>
        <w:t>share</w:t>
      </w:r>
      <w:r w:rsidRPr="00A23800">
        <w:rPr>
          <w:rFonts w:ascii="Calibri" w:hAnsi="Calibri"/>
          <w:color w:val="231F20"/>
          <w:spacing w:val="-11"/>
          <w:w w:val="110"/>
        </w:rPr>
        <w:t xml:space="preserve"> </w:t>
      </w:r>
      <w:r w:rsidRPr="00A23800">
        <w:rPr>
          <w:rFonts w:ascii="Calibri" w:hAnsi="Calibri"/>
          <w:color w:val="231F20"/>
          <w:w w:val="110"/>
        </w:rPr>
        <w:t>and</w:t>
      </w:r>
      <w:r w:rsidRPr="00A23800">
        <w:rPr>
          <w:rFonts w:ascii="Calibri" w:hAnsi="Calibri"/>
          <w:color w:val="231F20"/>
          <w:spacing w:val="-11"/>
          <w:w w:val="110"/>
        </w:rPr>
        <w:t xml:space="preserve"> </w:t>
      </w:r>
      <w:r w:rsidRPr="00A23800">
        <w:rPr>
          <w:rFonts w:ascii="Calibri" w:hAnsi="Calibri"/>
          <w:color w:val="231F20"/>
          <w:w w:val="110"/>
        </w:rPr>
        <w:t>analyze</w:t>
      </w:r>
      <w:r w:rsidRPr="00A23800">
        <w:rPr>
          <w:rFonts w:ascii="Calibri" w:hAnsi="Calibri"/>
          <w:color w:val="231F20"/>
          <w:spacing w:val="-11"/>
          <w:w w:val="110"/>
        </w:rPr>
        <w:t xml:space="preserve"> </w:t>
      </w:r>
      <w:r w:rsidRPr="00A23800">
        <w:rPr>
          <w:rFonts w:ascii="Calibri" w:hAnsi="Calibri"/>
          <w:color w:val="231F20"/>
          <w:w w:val="110"/>
        </w:rPr>
        <w:t>student</w:t>
      </w:r>
      <w:r w:rsidRPr="00A23800">
        <w:rPr>
          <w:rFonts w:ascii="Calibri" w:hAnsi="Calibri"/>
          <w:color w:val="231F20"/>
          <w:spacing w:val="-11"/>
          <w:w w:val="110"/>
        </w:rPr>
        <w:t xml:space="preserve"> </w:t>
      </w:r>
      <w:r w:rsidRPr="00A23800">
        <w:rPr>
          <w:rFonts w:ascii="Calibri" w:hAnsi="Calibri"/>
          <w:color w:val="231F20"/>
          <w:w w:val="110"/>
        </w:rPr>
        <w:t>data</w:t>
      </w:r>
      <w:r w:rsidRPr="00A23800">
        <w:rPr>
          <w:rFonts w:ascii="Calibri" w:hAnsi="Calibri"/>
          <w:color w:val="231F20"/>
          <w:spacing w:val="-11"/>
          <w:w w:val="110"/>
        </w:rPr>
        <w:t xml:space="preserve"> </w:t>
      </w:r>
      <w:r w:rsidRPr="00A23800">
        <w:rPr>
          <w:rFonts w:ascii="Calibri" w:hAnsi="Calibri"/>
          <w:color w:val="231F20"/>
          <w:w w:val="110"/>
        </w:rPr>
        <w:t>to</w:t>
      </w:r>
      <w:r w:rsidRPr="00A23800">
        <w:rPr>
          <w:rFonts w:ascii="Calibri" w:hAnsi="Calibri"/>
          <w:color w:val="231F20"/>
          <w:spacing w:val="-11"/>
          <w:w w:val="110"/>
        </w:rPr>
        <w:t xml:space="preserve"> </w:t>
      </w:r>
      <w:r w:rsidRPr="00A23800">
        <w:rPr>
          <w:rFonts w:ascii="Calibri" w:hAnsi="Calibri"/>
          <w:color w:val="231F20"/>
          <w:w w:val="110"/>
        </w:rPr>
        <w:t>identify</w:t>
      </w:r>
      <w:r w:rsidRPr="00A23800">
        <w:rPr>
          <w:rFonts w:ascii="Calibri" w:hAnsi="Calibri"/>
          <w:color w:val="231F20"/>
          <w:spacing w:val="-11"/>
          <w:w w:val="110"/>
        </w:rPr>
        <w:t xml:space="preserve"> </w:t>
      </w:r>
      <w:r w:rsidRPr="00A23800">
        <w:rPr>
          <w:rFonts w:ascii="Calibri" w:hAnsi="Calibri"/>
          <w:color w:val="231F20"/>
          <w:w w:val="110"/>
        </w:rPr>
        <w:t>students</w:t>
      </w:r>
      <w:r w:rsidRPr="00A23800">
        <w:rPr>
          <w:rFonts w:ascii="Calibri" w:hAnsi="Calibri"/>
          <w:color w:val="231F20"/>
          <w:w w:val="106"/>
        </w:rPr>
        <w:t xml:space="preserve"> </w:t>
      </w:r>
      <w:r w:rsidRPr="00A23800">
        <w:rPr>
          <w:rFonts w:ascii="Calibri" w:hAnsi="Calibri"/>
          <w:color w:val="231F20"/>
          <w:w w:val="110"/>
        </w:rPr>
        <w:t>with</w:t>
      </w:r>
      <w:r w:rsidRPr="00A23800">
        <w:rPr>
          <w:rFonts w:ascii="Calibri" w:hAnsi="Calibri"/>
          <w:color w:val="231F20"/>
          <w:spacing w:val="-9"/>
          <w:w w:val="110"/>
        </w:rPr>
        <w:t xml:space="preserve"> </w:t>
      </w:r>
      <w:r w:rsidRPr="00A23800">
        <w:rPr>
          <w:rFonts w:ascii="Calibri" w:hAnsi="Calibri"/>
          <w:color w:val="231F20"/>
          <w:w w:val="110"/>
        </w:rPr>
        <w:t>Individual</w:t>
      </w:r>
      <w:r w:rsidRPr="00A23800">
        <w:rPr>
          <w:rFonts w:ascii="Calibri" w:hAnsi="Calibri"/>
          <w:color w:val="231F20"/>
          <w:spacing w:val="-9"/>
          <w:w w:val="110"/>
        </w:rPr>
        <w:t xml:space="preserve"> </w:t>
      </w:r>
      <w:r w:rsidRPr="00A23800">
        <w:rPr>
          <w:rFonts w:ascii="Calibri" w:hAnsi="Calibri"/>
          <w:color w:val="231F20"/>
          <w:w w:val="110"/>
        </w:rPr>
        <w:t>Education</w:t>
      </w:r>
      <w:r w:rsidRPr="00A23800">
        <w:rPr>
          <w:rFonts w:ascii="Calibri" w:hAnsi="Calibri"/>
          <w:color w:val="231F20"/>
          <w:spacing w:val="-9"/>
          <w:w w:val="110"/>
        </w:rPr>
        <w:t xml:space="preserve"> </w:t>
      </w:r>
      <w:r w:rsidRPr="00A23800">
        <w:rPr>
          <w:rFonts w:ascii="Calibri" w:hAnsi="Calibri"/>
          <w:color w:val="231F20"/>
          <w:w w:val="110"/>
        </w:rPr>
        <w:t>Plans</w:t>
      </w:r>
      <w:r w:rsidRPr="00A23800">
        <w:rPr>
          <w:rFonts w:ascii="Calibri" w:hAnsi="Calibri"/>
          <w:color w:val="231F20"/>
          <w:spacing w:val="-9"/>
          <w:w w:val="110"/>
        </w:rPr>
        <w:t xml:space="preserve"> </w:t>
      </w:r>
      <w:r w:rsidRPr="00A23800">
        <w:rPr>
          <w:rFonts w:ascii="Calibri" w:hAnsi="Calibri"/>
          <w:color w:val="231F20"/>
          <w:w w:val="110"/>
        </w:rPr>
        <w:t>or</w:t>
      </w:r>
      <w:r w:rsidRPr="00A23800">
        <w:rPr>
          <w:rFonts w:ascii="Calibri" w:hAnsi="Calibri"/>
          <w:color w:val="231F20"/>
          <w:spacing w:val="-9"/>
          <w:w w:val="110"/>
        </w:rPr>
        <w:t xml:space="preserve"> </w:t>
      </w:r>
      <w:r w:rsidRPr="00A23800">
        <w:rPr>
          <w:rFonts w:ascii="Calibri" w:hAnsi="Calibri"/>
          <w:color w:val="231F20"/>
          <w:w w:val="110"/>
        </w:rPr>
        <w:t>504</w:t>
      </w:r>
      <w:r w:rsidRPr="00A23800">
        <w:rPr>
          <w:rFonts w:ascii="Calibri" w:hAnsi="Calibri"/>
          <w:color w:val="231F20"/>
          <w:spacing w:val="-9"/>
          <w:w w:val="110"/>
        </w:rPr>
        <w:t xml:space="preserve"> </w:t>
      </w:r>
      <w:r w:rsidRPr="00A23800">
        <w:rPr>
          <w:rFonts w:ascii="Calibri" w:hAnsi="Calibri"/>
          <w:color w:val="231F20"/>
          <w:w w:val="110"/>
        </w:rPr>
        <w:t>Plans</w:t>
      </w:r>
      <w:r w:rsidRPr="00A23800">
        <w:rPr>
          <w:rFonts w:ascii="Calibri" w:hAnsi="Calibri"/>
          <w:color w:val="231F20"/>
          <w:spacing w:val="-9"/>
          <w:w w:val="110"/>
        </w:rPr>
        <w:t xml:space="preserve"> </w:t>
      </w:r>
      <w:r w:rsidRPr="00A23800">
        <w:rPr>
          <w:rFonts w:ascii="Calibri" w:hAnsi="Calibri"/>
          <w:color w:val="231F20"/>
          <w:w w:val="110"/>
        </w:rPr>
        <w:t>who</w:t>
      </w:r>
      <w:r w:rsidRPr="00A23800">
        <w:rPr>
          <w:rFonts w:ascii="Calibri" w:hAnsi="Calibri"/>
          <w:color w:val="231F20"/>
          <w:spacing w:val="-9"/>
          <w:w w:val="110"/>
        </w:rPr>
        <w:t xml:space="preserve"> </w:t>
      </w:r>
      <w:r w:rsidRPr="00A23800">
        <w:rPr>
          <w:rFonts w:ascii="Calibri" w:hAnsi="Calibri"/>
          <w:color w:val="231F20"/>
          <w:w w:val="110"/>
        </w:rPr>
        <w:t>can</w:t>
      </w:r>
      <w:r w:rsidRPr="00A23800">
        <w:rPr>
          <w:rFonts w:ascii="Calibri" w:hAnsi="Calibri"/>
          <w:color w:val="231F20"/>
          <w:spacing w:val="-9"/>
          <w:w w:val="110"/>
        </w:rPr>
        <w:t xml:space="preserve"> </w:t>
      </w:r>
      <w:r w:rsidRPr="00A23800">
        <w:rPr>
          <w:rFonts w:ascii="Calibri" w:hAnsi="Calibri"/>
          <w:color w:val="231F20"/>
          <w:w w:val="110"/>
        </w:rPr>
        <w:t>benefit</w:t>
      </w:r>
      <w:r w:rsidRPr="00A23800">
        <w:rPr>
          <w:rFonts w:ascii="Calibri" w:hAnsi="Calibri"/>
          <w:color w:val="231F20"/>
          <w:spacing w:val="-9"/>
          <w:w w:val="110"/>
        </w:rPr>
        <w:t xml:space="preserve"> </w:t>
      </w:r>
      <w:r w:rsidRPr="00A23800">
        <w:rPr>
          <w:rFonts w:ascii="Calibri" w:hAnsi="Calibri"/>
          <w:color w:val="231F20"/>
          <w:w w:val="110"/>
        </w:rPr>
        <w:t>from</w:t>
      </w:r>
      <w:r w:rsidRPr="00A23800">
        <w:rPr>
          <w:rFonts w:ascii="Calibri" w:hAnsi="Calibri"/>
          <w:color w:val="231F20"/>
          <w:spacing w:val="-9"/>
          <w:w w:val="110"/>
        </w:rPr>
        <w:t xml:space="preserve"> </w:t>
      </w:r>
      <w:r w:rsidRPr="00A23800">
        <w:rPr>
          <w:rFonts w:ascii="Calibri" w:hAnsi="Calibri"/>
          <w:color w:val="231F20"/>
          <w:w w:val="110"/>
        </w:rPr>
        <w:t>VR</w:t>
      </w:r>
      <w:r w:rsidRPr="00A23800">
        <w:rPr>
          <w:rFonts w:ascii="Calibri" w:hAnsi="Calibri"/>
          <w:color w:val="231F20"/>
          <w:spacing w:val="-9"/>
          <w:w w:val="110"/>
        </w:rPr>
        <w:t xml:space="preserve"> </w:t>
      </w:r>
      <w:r w:rsidRPr="00A23800">
        <w:rPr>
          <w:rFonts w:ascii="Calibri" w:hAnsi="Calibri"/>
          <w:color w:val="231F20"/>
          <w:w w:val="110"/>
        </w:rPr>
        <w:t>services</w:t>
      </w:r>
      <w:r w:rsidRPr="00A23800">
        <w:rPr>
          <w:rFonts w:ascii="Calibri" w:hAnsi="Calibri"/>
          <w:color w:val="231F20"/>
          <w:spacing w:val="-9"/>
          <w:w w:val="110"/>
        </w:rPr>
        <w:t xml:space="preserve"> </w:t>
      </w:r>
      <w:r w:rsidRPr="00A23800">
        <w:rPr>
          <w:rFonts w:ascii="Calibri" w:hAnsi="Calibri"/>
          <w:color w:val="231F20"/>
          <w:w w:val="110"/>
        </w:rPr>
        <w:t>and</w:t>
      </w:r>
      <w:r w:rsidRPr="00A23800">
        <w:rPr>
          <w:rFonts w:ascii="Calibri" w:hAnsi="Calibri"/>
          <w:color w:val="231F20"/>
          <w:spacing w:val="-9"/>
          <w:w w:val="110"/>
        </w:rPr>
        <w:t xml:space="preserve"> </w:t>
      </w:r>
      <w:r w:rsidRPr="00A23800">
        <w:rPr>
          <w:rFonts w:ascii="Calibri" w:hAnsi="Calibri"/>
          <w:color w:val="231F20"/>
          <w:w w:val="110"/>
        </w:rPr>
        <w:t>any</w:t>
      </w:r>
      <w:r w:rsidRPr="00A23800">
        <w:rPr>
          <w:rFonts w:ascii="Calibri" w:hAnsi="Calibri"/>
          <w:color w:val="231F20"/>
          <w:spacing w:val="-9"/>
          <w:w w:val="110"/>
        </w:rPr>
        <w:t xml:space="preserve"> </w:t>
      </w:r>
      <w:r w:rsidRPr="00A23800">
        <w:rPr>
          <w:rFonts w:ascii="Calibri" w:hAnsi="Calibri"/>
          <w:color w:val="231F20"/>
          <w:w w:val="110"/>
        </w:rPr>
        <w:t>potential</w:t>
      </w:r>
      <w:r w:rsidRPr="00A23800">
        <w:rPr>
          <w:rFonts w:ascii="Calibri" w:hAnsi="Calibri"/>
          <w:color w:val="231F20"/>
          <w:spacing w:val="-9"/>
          <w:w w:val="110"/>
        </w:rPr>
        <w:t xml:space="preserve"> </w:t>
      </w:r>
      <w:r w:rsidRPr="00A23800">
        <w:rPr>
          <w:rFonts w:ascii="Calibri" w:hAnsi="Calibri"/>
          <w:color w:val="231F20"/>
          <w:w w:val="110"/>
        </w:rPr>
        <w:t>gaps</w:t>
      </w:r>
      <w:r w:rsidRPr="00A23800">
        <w:rPr>
          <w:rFonts w:ascii="Calibri" w:hAnsi="Calibri"/>
          <w:color w:val="231F20"/>
          <w:spacing w:val="-9"/>
          <w:w w:val="110"/>
        </w:rPr>
        <w:t xml:space="preserve"> </w:t>
      </w:r>
      <w:r w:rsidRPr="00A23800">
        <w:rPr>
          <w:rFonts w:ascii="Calibri" w:hAnsi="Calibri"/>
          <w:color w:val="231F20"/>
          <w:w w:val="110"/>
        </w:rPr>
        <w:t>in</w:t>
      </w:r>
      <w:r w:rsidRPr="00A23800">
        <w:rPr>
          <w:rFonts w:ascii="Calibri" w:hAnsi="Calibri"/>
          <w:color w:val="231F20"/>
          <w:w w:val="102"/>
        </w:rPr>
        <w:t xml:space="preserve"> </w:t>
      </w:r>
      <w:r w:rsidRPr="00A23800">
        <w:rPr>
          <w:rFonts w:ascii="Calibri" w:hAnsi="Calibri"/>
          <w:color w:val="231F20"/>
          <w:w w:val="110"/>
        </w:rPr>
        <w:t>service.</w:t>
      </w:r>
    </w:p>
    <w:p w14:paraId="7EB0D1A7" w14:textId="77777777" w:rsidR="00A07550" w:rsidRPr="00A23800" w:rsidRDefault="00A07550" w:rsidP="00D63204">
      <w:pPr>
        <w:widowControl w:val="0"/>
        <w:spacing w:before="5" w:after="0" w:line="240" w:lineRule="auto"/>
        <w:ind w:left="107"/>
        <w:rPr>
          <w:rFonts w:ascii="Calibri" w:hAnsi="Calibri" w:cs="Calibri"/>
          <w:sz w:val="16"/>
          <w:szCs w:val="16"/>
        </w:rPr>
      </w:pPr>
    </w:p>
    <w:p w14:paraId="0E9EE837" w14:textId="1F041689" w:rsidR="00A07550" w:rsidRPr="00A23800" w:rsidRDefault="00A07550" w:rsidP="00D63204">
      <w:pPr>
        <w:widowControl w:val="0"/>
        <w:spacing w:after="0" w:line="240" w:lineRule="auto"/>
        <w:ind w:left="107"/>
        <w:rPr>
          <w:rFonts w:ascii="Calibri" w:hAnsi="Calibri"/>
        </w:rPr>
        <w:sectPr w:rsidR="00A07550" w:rsidRPr="00A23800">
          <w:pgSz w:w="12240" w:h="15840"/>
          <w:pgMar w:top="1620" w:right="900" w:bottom="820" w:left="900" w:header="812" w:footer="624" w:gutter="0"/>
          <w:cols w:space="720"/>
        </w:sectPr>
      </w:pPr>
      <w:r w:rsidRPr="00A23800">
        <w:rPr>
          <w:rFonts w:ascii="Calibri" w:hAnsi="Calibri"/>
          <w:color w:val="231F20"/>
          <w:w w:val="105"/>
        </w:rPr>
        <w:t>The</w:t>
      </w:r>
      <w:r w:rsidRPr="00A23800">
        <w:rPr>
          <w:rFonts w:ascii="Calibri" w:hAnsi="Calibri"/>
          <w:color w:val="231F20"/>
          <w:spacing w:val="10"/>
          <w:w w:val="105"/>
        </w:rPr>
        <w:t xml:space="preserve"> </w:t>
      </w:r>
      <w:r w:rsidRPr="00A23800">
        <w:rPr>
          <w:rFonts w:ascii="Calibri" w:hAnsi="Calibri"/>
          <w:color w:val="231F20"/>
          <w:w w:val="105"/>
        </w:rPr>
        <w:t>Workforce</w:t>
      </w:r>
      <w:r w:rsidRPr="00A23800">
        <w:rPr>
          <w:rFonts w:ascii="Calibri" w:hAnsi="Calibri"/>
          <w:color w:val="231F20"/>
          <w:spacing w:val="10"/>
          <w:w w:val="105"/>
        </w:rPr>
        <w:t xml:space="preserve"> </w:t>
      </w:r>
      <w:r w:rsidRPr="00A23800">
        <w:rPr>
          <w:rFonts w:ascii="Calibri" w:hAnsi="Calibri"/>
          <w:color w:val="231F20"/>
          <w:w w:val="105"/>
        </w:rPr>
        <w:t>Innovation</w:t>
      </w:r>
      <w:r w:rsidRPr="00A23800">
        <w:rPr>
          <w:rFonts w:ascii="Calibri" w:hAnsi="Calibri"/>
          <w:color w:val="231F20"/>
          <w:spacing w:val="10"/>
          <w:w w:val="105"/>
        </w:rPr>
        <w:t xml:space="preserve"> </w:t>
      </w:r>
      <w:r w:rsidRPr="00A23800">
        <w:rPr>
          <w:rFonts w:ascii="Calibri" w:hAnsi="Calibri"/>
          <w:color w:val="231F20"/>
          <w:w w:val="105"/>
        </w:rPr>
        <w:t>and</w:t>
      </w:r>
      <w:r w:rsidRPr="00A23800">
        <w:rPr>
          <w:rFonts w:ascii="Calibri" w:hAnsi="Calibri"/>
          <w:color w:val="231F20"/>
          <w:spacing w:val="10"/>
          <w:w w:val="105"/>
        </w:rPr>
        <w:t xml:space="preserve"> </w:t>
      </w:r>
      <w:r w:rsidRPr="00A23800">
        <w:rPr>
          <w:rFonts w:ascii="Calibri" w:hAnsi="Calibri"/>
          <w:color w:val="231F20"/>
          <w:w w:val="105"/>
        </w:rPr>
        <w:t>Opportunity</w:t>
      </w:r>
      <w:r w:rsidRPr="00A23800">
        <w:rPr>
          <w:rFonts w:ascii="Calibri" w:hAnsi="Calibri"/>
          <w:color w:val="231F20"/>
          <w:spacing w:val="10"/>
          <w:w w:val="105"/>
        </w:rPr>
        <w:t xml:space="preserve"> </w:t>
      </w:r>
      <w:r w:rsidRPr="00A23800">
        <w:rPr>
          <w:rFonts w:ascii="Calibri" w:hAnsi="Calibri"/>
          <w:color w:val="231F20"/>
          <w:w w:val="105"/>
        </w:rPr>
        <w:t>Act</w:t>
      </w:r>
      <w:r w:rsidRPr="00A23800">
        <w:rPr>
          <w:rFonts w:ascii="Calibri" w:hAnsi="Calibri"/>
          <w:color w:val="231F20"/>
          <w:spacing w:val="10"/>
          <w:w w:val="105"/>
        </w:rPr>
        <w:t xml:space="preserve"> </w:t>
      </w:r>
      <w:r w:rsidRPr="00A23800">
        <w:rPr>
          <w:rFonts w:ascii="Calibri" w:hAnsi="Calibri"/>
          <w:color w:val="231F20"/>
          <w:w w:val="105"/>
        </w:rPr>
        <w:t>was</w:t>
      </w:r>
      <w:r w:rsidRPr="00A23800">
        <w:rPr>
          <w:rFonts w:ascii="Calibri" w:hAnsi="Calibri"/>
          <w:color w:val="231F20"/>
          <w:spacing w:val="10"/>
          <w:w w:val="105"/>
        </w:rPr>
        <w:t xml:space="preserve"> </w:t>
      </w:r>
      <w:r w:rsidRPr="00A23800">
        <w:rPr>
          <w:rFonts w:ascii="Calibri" w:hAnsi="Calibri"/>
          <w:color w:val="231F20"/>
          <w:w w:val="105"/>
        </w:rPr>
        <w:t>signed</w:t>
      </w:r>
      <w:r w:rsidRPr="00A23800">
        <w:rPr>
          <w:rFonts w:ascii="Calibri" w:hAnsi="Calibri"/>
          <w:color w:val="231F20"/>
          <w:spacing w:val="10"/>
          <w:w w:val="105"/>
        </w:rPr>
        <w:t xml:space="preserve"> </w:t>
      </w:r>
      <w:r w:rsidRPr="00A23800">
        <w:rPr>
          <w:rFonts w:ascii="Calibri" w:hAnsi="Calibri"/>
          <w:color w:val="231F20"/>
          <w:w w:val="105"/>
        </w:rPr>
        <w:t>into</w:t>
      </w:r>
      <w:r w:rsidRPr="00A23800">
        <w:rPr>
          <w:rFonts w:ascii="Calibri" w:hAnsi="Calibri"/>
          <w:color w:val="231F20"/>
          <w:spacing w:val="10"/>
          <w:w w:val="105"/>
        </w:rPr>
        <w:t xml:space="preserve"> </w:t>
      </w:r>
      <w:r w:rsidRPr="00A23800">
        <w:rPr>
          <w:rFonts w:ascii="Calibri" w:hAnsi="Calibri"/>
          <w:color w:val="231F20"/>
          <w:w w:val="105"/>
        </w:rPr>
        <w:t>law</w:t>
      </w:r>
      <w:r w:rsidRPr="00A23800">
        <w:rPr>
          <w:rFonts w:ascii="Calibri" w:hAnsi="Calibri"/>
          <w:color w:val="231F20"/>
          <w:spacing w:val="10"/>
          <w:w w:val="105"/>
        </w:rPr>
        <w:t xml:space="preserve"> </w:t>
      </w:r>
      <w:r w:rsidRPr="00A23800">
        <w:rPr>
          <w:rFonts w:ascii="Calibri" w:hAnsi="Calibri"/>
          <w:color w:val="231F20"/>
          <w:w w:val="105"/>
        </w:rPr>
        <w:t>on</w:t>
      </w:r>
      <w:r w:rsidRPr="00A23800">
        <w:rPr>
          <w:rFonts w:ascii="Calibri" w:hAnsi="Calibri"/>
          <w:color w:val="231F20"/>
          <w:spacing w:val="10"/>
          <w:w w:val="105"/>
        </w:rPr>
        <w:t xml:space="preserve"> </w:t>
      </w:r>
      <w:r w:rsidRPr="00A23800">
        <w:rPr>
          <w:rFonts w:ascii="Calibri" w:hAnsi="Calibri"/>
          <w:color w:val="231F20"/>
          <w:w w:val="105"/>
        </w:rPr>
        <w:t>July</w:t>
      </w:r>
      <w:r w:rsidRPr="00A23800">
        <w:rPr>
          <w:rFonts w:ascii="Calibri" w:hAnsi="Calibri"/>
          <w:color w:val="231F20"/>
          <w:spacing w:val="10"/>
          <w:w w:val="105"/>
        </w:rPr>
        <w:t xml:space="preserve"> </w:t>
      </w:r>
      <w:r w:rsidRPr="00A23800">
        <w:rPr>
          <w:rFonts w:ascii="Calibri" w:hAnsi="Calibri"/>
          <w:color w:val="231F20"/>
          <w:w w:val="105"/>
        </w:rPr>
        <w:t>24,</w:t>
      </w:r>
      <w:r w:rsidRPr="00A23800">
        <w:rPr>
          <w:rFonts w:ascii="Calibri" w:hAnsi="Calibri"/>
          <w:color w:val="231F20"/>
          <w:spacing w:val="10"/>
          <w:w w:val="105"/>
        </w:rPr>
        <w:t xml:space="preserve"> </w:t>
      </w:r>
      <w:r w:rsidRPr="00A23800">
        <w:rPr>
          <w:rFonts w:ascii="Calibri" w:hAnsi="Calibri"/>
          <w:color w:val="231F20"/>
          <w:w w:val="105"/>
        </w:rPr>
        <w:t>2014</w:t>
      </w:r>
      <w:r w:rsidR="005E7C49">
        <w:rPr>
          <w:rFonts w:ascii="Calibri" w:hAnsi="Calibri"/>
          <w:color w:val="231F20"/>
          <w:w w:val="105"/>
        </w:rPr>
        <w:t xml:space="preserve">. </w:t>
      </w:r>
      <w:r w:rsidRPr="00A23800">
        <w:rPr>
          <w:rFonts w:ascii="Calibri" w:hAnsi="Calibri"/>
          <w:color w:val="231F20"/>
          <w:w w:val="105"/>
        </w:rPr>
        <w:t>The</w:t>
      </w:r>
      <w:r w:rsidRPr="00A23800">
        <w:rPr>
          <w:rFonts w:ascii="Calibri" w:hAnsi="Calibri"/>
          <w:color w:val="231F20"/>
          <w:spacing w:val="10"/>
          <w:w w:val="105"/>
        </w:rPr>
        <w:t xml:space="preserve"> </w:t>
      </w:r>
      <w:r w:rsidRPr="00A23800">
        <w:rPr>
          <w:rFonts w:ascii="Calibri" w:hAnsi="Calibri"/>
          <w:color w:val="231F20"/>
          <w:w w:val="105"/>
        </w:rPr>
        <w:t>new</w:t>
      </w:r>
      <w:r w:rsidRPr="00A23800">
        <w:rPr>
          <w:rFonts w:ascii="Calibri" w:hAnsi="Calibri"/>
          <w:color w:val="231F20"/>
          <w:spacing w:val="10"/>
          <w:w w:val="105"/>
        </w:rPr>
        <w:t xml:space="preserve"> </w:t>
      </w:r>
      <w:r w:rsidRPr="00A23800">
        <w:rPr>
          <w:rFonts w:ascii="Calibri" w:hAnsi="Calibri"/>
          <w:color w:val="231F20"/>
          <w:w w:val="105"/>
        </w:rPr>
        <w:t>law</w:t>
      </w:r>
      <w:r w:rsidRPr="00A23800">
        <w:rPr>
          <w:rFonts w:ascii="Calibri" w:hAnsi="Calibri"/>
          <w:color w:val="231F20"/>
          <w:spacing w:val="-27"/>
          <w:w w:val="105"/>
        </w:rPr>
        <w:t xml:space="preserve"> </w:t>
      </w:r>
      <w:r w:rsidRPr="00A23800">
        <w:rPr>
          <w:rFonts w:ascii="Calibri" w:hAnsi="Calibri"/>
          <w:color w:val="231F20"/>
          <w:w w:val="105"/>
        </w:rPr>
        <w:t>required</w:t>
      </w:r>
      <w:r w:rsidRPr="00A23800">
        <w:rPr>
          <w:rFonts w:ascii="Calibri" w:hAnsi="Calibri"/>
          <w:color w:val="231F20"/>
          <w:spacing w:val="8"/>
          <w:w w:val="105"/>
        </w:rPr>
        <w:t xml:space="preserve"> </w:t>
      </w:r>
      <w:r w:rsidRPr="00A23800">
        <w:rPr>
          <w:rFonts w:ascii="Calibri" w:hAnsi="Calibri"/>
          <w:color w:val="231F20"/>
          <w:w w:val="105"/>
        </w:rPr>
        <w:t>VR</w:t>
      </w:r>
      <w:r w:rsidRPr="00A23800">
        <w:rPr>
          <w:rFonts w:ascii="Calibri" w:hAnsi="Calibri"/>
          <w:color w:val="231F20"/>
          <w:spacing w:val="8"/>
          <w:w w:val="105"/>
        </w:rPr>
        <w:t xml:space="preserve"> </w:t>
      </w:r>
      <w:r w:rsidRPr="00A23800">
        <w:rPr>
          <w:rFonts w:ascii="Calibri" w:hAnsi="Calibri"/>
          <w:color w:val="231F20"/>
          <w:w w:val="105"/>
        </w:rPr>
        <w:t>to</w:t>
      </w:r>
      <w:r w:rsidRPr="00A23800">
        <w:rPr>
          <w:rFonts w:ascii="Calibri" w:hAnsi="Calibri"/>
          <w:color w:val="231F20"/>
          <w:spacing w:val="8"/>
          <w:w w:val="105"/>
        </w:rPr>
        <w:t xml:space="preserve"> </w:t>
      </w:r>
      <w:r w:rsidRPr="00A23800">
        <w:rPr>
          <w:rFonts w:ascii="Calibri" w:hAnsi="Calibri"/>
          <w:color w:val="231F20"/>
          <w:w w:val="105"/>
        </w:rPr>
        <w:t>fund</w:t>
      </w:r>
      <w:r w:rsidRPr="00A23800">
        <w:rPr>
          <w:rFonts w:ascii="Calibri" w:hAnsi="Calibri"/>
          <w:color w:val="231F20"/>
          <w:spacing w:val="8"/>
          <w:w w:val="105"/>
        </w:rPr>
        <w:t xml:space="preserve"> </w:t>
      </w:r>
      <w:r w:rsidRPr="00A23800">
        <w:rPr>
          <w:rFonts w:ascii="Calibri" w:hAnsi="Calibri"/>
          <w:color w:val="231F20"/>
          <w:w w:val="105"/>
        </w:rPr>
        <w:t>specific</w:t>
      </w:r>
      <w:r w:rsidRPr="00A23800">
        <w:rPr>
          <w:rFonts w:ascii="Calibri" w:hAnsi="Calibri"/>
          <w:color w:val="231F20"/>
          <w:spacing w:val="8"/>
          <w:w w:val="105"/>
        </w:rPr>
        <w:t xml:space="preserve"> </w:t>
      </w:r>
      <w:r w:rsidRPr="00A23800">
        <w:rPr>
          <w:rFonts w:ascii="Calibri" w:hAnsi="Calibri"/>
          <w:color w:val="231F20"/>
          <w:w w:val="105"/>
        </w:rPr>
        <w:t>Pre-Employment</w:t>
      </w:r>
      <w:r w:rsidRPr="00A23800">
        <w:rPr>
          <w:rFonts w:ascii="Calibri" w:hAnsi="Calibri"/>
          <w:color w:val="231F20"/>
          <w:spacing w:val="8"/>
          <w:w w:val="105"/>
        </w:rPr>
        <w:t xml:space="preserve"> </w:t>
      </w:r>
      <w:r w:rsidRPr="00A23800">
        <w:rPr>
          <w:rFonts w:ascii="Calibri" w:hAnsi="Calibri"/>
          <w:color w:val="231F20"/>
          <w:w w:val="105"/>
        </w:rPr>
        <w:t>Transition</w:t>
      </w:r>
      <w:r w:rsidRPr="00A23800">
        <w:rPr>
          <w:rFonts w:ascii="Calibri" w:hAnsi="Calibri"/>
          <w:color w:val="231F20"/>
          <w:spacing w:val="8"/>
          <w:w w:val="105"/>
        </w:rPr>
        <w:t xml:space="preserve"> </w:t>
      </w:r>
      <w:r w:rsidRPr="00A23800">
        <w:rPr>
          <w:rFonts w:ascii="Calibri" w:hAnsi="Calibri"/>
          <w:color w:val="231F20"/>
          <w:w w:val="105"/>
        </w:rPr>
        <w:t>Services</w:t>
      </w:r>
      <w:r w:rsidRPr="00A23800">
        <w:rPr>
          <w:rFonts w:ascii="Calibri" w:hAnsi="Calibri"/>
          <w:color w:val="231F20"/>
          <w:spacing w:val="8"/>
          <w:w w:val="105"/>
        </w:rPr>
        <w:t xml:space="preserve"> </w:t>
      </w:r>
      <w:r w:rsidRPr="00A23800">
        <w:rPr>
          <w:rFonts w:ascii="Calibri" w:hAnsi="Calibri"/>
          <w:color w:val="231F20"/>
          <w:w w:val="105"/>
        </w:rPr>
        <w:t>to</w:t>
      </w:r>
      <w:r w:rsidRPr="00A23800">
        <w:rPr>
          <w:rFonts w:ascii="Calibri" w:hAnsi="Calibri"/>
          <w:color w:val="231F20"/>
          <w:spacing w:val="8"/>
          <w:w w:val="105"/>
        </w:rPr>
        <w:t xml:space="preserve"> </w:t>
      </w:r>
      <w:r w:rsidRPr="00A23800">
        <w:rPr>
          <w:rFonts w:ascii="Calibri" w:hAnsi="Calibri"/>
          <w:color w:val="231F20"/>
          <w:w w:val="105"/>
        </w:rPr>
        <w:t>youth</w:t>
      </w:r>
      <w:r w:rsidRPr="00A23800">
        <w:rPr>
          <w:rFonts w:ascii="Calibri" w:hAnsi="Calibri"/>
          <w:color w:val="231F20"/>
          <w:spacing w:val="8"/>
          <w:w w:val="105"/>
        </w:rPr>
        <w:t xml:space="preserve"> </w:t>
      </w:r>
      <w:r w:rsidRPr="00A23800">
        <w:rPr>
          <w:rFonts w:ascii="Calibri" w:hAnsi="Calibri"/>
          <w:color w:val="231F20"/>
          <w:w w:val="105"/>
        </w:rPr>
        <w:t>while</w:t>
      </w:r>
      <w:r w:rsidRPr="00A23800">
        <w:rPr>
          <w:rFonts w:ascii="Calibri" w:hAnsi="Calibri"/>
          <w:color w:val="231F20"/>
          <w:spacing w:val="8"/>
          <w:w w:val="105"/>
        </w:rPr>
        <w:t xml:space="preserve"> </w:t>
      </w:r>
      <w:r w:rsidRPr="00A23800">
        <w:rPr>
          <w:rFonts w:ascii="Calibri" w:hAnsi="Calibri"/>
          <w:color w:val="231F20"/>
          <w:w w:val="105"/>
        </w:rPr>
        <w:t>still</w:t>
      </w:r>
      <w:r w:rsidRPr="00A23800">
        <w:rPr>
          <w:rFonts w:ascii="Calibri" w:hAnsi="Calibri"/>
          <w:color w:val="231F20"/>
          <w:spacing w:val="8"/>
          <w:w w:val="105"/>
        </w:rPr>
        <w:t xml:space="preserve"> </w:t>
      </w:r>
      <w:r w:rsidRPr="00A23800">
        <w:rPr>
          <w:rFonts w:ascii="Calibri" w:hAnsi="Calibri"/>
          <w:color w:val="231F20"/>
          <w:w w:val="105"/>
        </w:rPr>
        <w:t>in</w:t>
      </w:r>
      <w:r w:rsidRPr="00A23800">
        <w:rPr>
          <w:rFonts w:ascii="Calibri" w:hAnsi="Calibri"/>
          <w:color w:val="231F20"/>
          <w:spacing w:val="8"/>
          <w:w w:val="105"/>
        </w:rPr>
        <w:t xml:space="preserve"> </w:t>
      </w:r>
      <w:r w:rsidRPr="00A23800">
        <w:rPr>
          <w:rFonts w:ascii="Calibri" w:hAnsi="Calibri"/>
          <w:color w:val="231F20"/>
          <w:w w:val="105"/>
        </w:rPr>
        <w:t>high</w:t>
      </w:r>
      <w:r w:rsidRPr="00A23800">
        <w:rPr>
          <w:rFonts w:ascii="Calibri" w:hAnsi="Calibri"/>
          <w:color w:val="231F20"/>
          <w:spacing w:val="8"/>
          <w:w w:val="105"/>
        </w:rPr>
        <w:t xml:space="preserve"> </w:t>
      </w:r>
      <w:r w:rsidRPr="00A23800">
        <w:rPr>
          <w:rFonts w:ascii="Calibri" w:hAnsi="Calibri"/>
          <w:color w:val="231F20"/>
          <w:w w:val="105"/>
        </w:rPr>
        <w:t>school,</w:t>
      </w:r>
      <w:r w:rsidRPr="00A23800">
        <w:rPr>
          <w:rFonts w:ascii="Calibri" w:hAnsi="Calibri"/>
          <w:color w:val="231F20"/>
          <w:spacing w:val="-5"/>
          <w:w w:val="105"/>
        </w:rPr>
        <w:t xml:space="preserve"> </w:t>
      </w:r>
      <w:r w:rsidRPr="00A23800">
        <w:rPr>
          <w:rFonts w:ascii="Calibri" w:hAnsi="Calibri"/>
          <w:color w:val="231F20"/>
          <w:w w:val="105"/>
        </w:rPr>
        <w:t>including</w:t>
      </w:r>
      <w:r w:rsidRPr="00A23800">
        <w:rPr>
          <w:rFonts w:ascii="Calibri" w:hAnsi="Calibri"/>
          <w:color w:val="231F20"/>
          <w:spacing w:val="18"/>
          <w:w w:val="105"/>
        </w:rPr>
        <w:t xml:space="preserve"> </w:t>
      </w:r>
      <w:r w:rsidRPr="00A23800">
        <w:rPr>
          <w:rFonts w:ascii="Calibri" w:hAnsi="Calibri"/>
          <w:color w:val="231F20"/>
          <w:w w:val="105"/>
        </w:rPr>
        <w:t>career</w:t>
      </w:r>
      <w:r w:rsidRPr="00A23800">
        <w:rPr>
          <w:rFonts w:ascii="Calibri" w:hAnsi="Calibri"/>
          <w:color w:val="231F20"/>
          <w:spacing w:val="18"/>
          <w:w w:val="105"/>
        </w:rPr>
        <w:t xml:space="preserve"> </w:t>
      </w:r>
      <w:r w:rsidRPr="00A23800">
        <w:rPr>
          <w:rFonts w:ascii="Calibri" w:hAnsi="Calibri"/>
          <w:color w:val="231F20"/>
          <w:w w:val="105"/>
        </w:rPr>
        <w:t>exploration,</w:t>
      </w:r>
      <w:r w:rsidRPr="00A23800">
        <w:rPr>
          <w:rFonts w:ascii="Calibri" w:hAnsi="Calibri"/>
          <w:color w:val="231F20"/>
          <w:spacing w:val="18"/>
          <w:w w:val="105"/>
        </w:rPr>
        <w:t xml:space="preserve"> </w:t>
      </w:r>
      <w:r w:rsidRPr="00A23800">
        <w:rPr>
          <w:rFonts w:ascii="Calibri" w:hAnsi="Calibri"/>
          <w:color w:val="231F20"/>
          <w:w w:val="105"/>
        </w:rPr>
        <w:t>work</w:t>
      </w:r>
      <w:r w:rsidRPr="00A23800">
        <w:rPr>
          <w:rFonts w:ascii="Calibri" w:hAnsi="Calibri"/>
          <w:color w:val="231F20"/>
          <w:spacing w:val="18"/>
          <w:w w:val="105"/>
        </w:rPr>
        <w:t xml:space="preserve"> </w:t>
      </w:r>
      <w:r w:rsidRPr="00A23800">
        <w:rPr>
          <w:rFonts w:ascii="Calibri" w:hAnsi="Calibri"/>
          <w:color w:val="231F20"/>
          <w:w w:val="105"/>
        </w:rPr>
        <w:t>readiness</w:t>
      </w:r>
      <w:r w:rsidRPr="00A23800">
        <w:rPr>
          <w:rFonts w:ascii="Calibri" w:hAnsi="Calibri"/>
          <w:color w:val="231F20"/>
          <w:spacing w:val="18"/>
          <w:w w:val="105"/>
        </w:rPr>
        <w:t xml:space="preserve"> </w:t>
      </w:r>
      <w:r w:rsidRPr="00A23800">
        <w:rPr>
          <w:rFonts w:ascii="Calibri" w:hAnsi="Calibri"/>
          <w:color w:val="231F20"/>
          <w:w w:val="105"/>
        </w:rPr>
        <w:t>training</w:t>
      </w:r>
      <w:r w:rsidRPr="00A23800">
        <w:rPr>
          <w:rFonts w:ascii="Calibri" w:hAnsi="Calibri"/>
          <w:color w:val="231F20"/>
          <w:spacing w:val="18"/>
          <w:w w:val="105"/>
        </w:rPr>
        <w:t xml:space="preserve"> </w:t>
      </w:r>
      <w:r w:rsidRPr="00A23800">
        <w:rPr>
          <w:rFonts w:ascii="Calibri" w:hAnsi="Calibri"/>
          <w:color w:val="231F20"/>
          <w:w w:val="105"/>
        </w:rPr>
        <w:t>and</w:t>
      </w:r>
      <w:r w:rsidRPr="00A23800">
        <w:rPr>
          <w:rFonts w:ascii="Calibri" w:hAnsi="Calibri"/>
          <w:color w:val="231F20"/>
          <w:spacing w:val="18"/>
          <w:w w:val="105"/>
        </w:rPr>
        <w:t xml:space="preserve"> </w:t>
      </w:r>
      <w:r w:rsidRPr="00A23800">
        <w:rPr>
          <w:rFonts w:ascii="Calibri" w:hAnsi="Calibri"/>
          <w:color w:val="231F20"/>
          <w:w w:val="105"/>
        </w:rPr>
        <w:t>work</w:t>
      </w:r>
      <w:r w:rsidRPr="00A23800">
        <w:rPr>
          <w:rFonts w:ascii="Calibri" w:hAnsi="Calibri"/>
          <w:color w:val="231F20"/>
          <w:spacing w:val="18"/>
          <w:w w:val="105"/>
        </w:rPr>
        <w:t xml:space="preserve"> </w:t>
      </w:r>
      <w:r w:rsidRPr="00A23800">
        <w:rPr>
          <w:rFonts w:ascii="Calibri" w:hAnsi="Calibri"/>
          <w:color w:val="231F20"/>
          <w:w w:val="105"/>
        </w:rPr>
        <w:t>experiences.</w:t>
      </w:r>
      <w:r w:rsidRPr="00A23800">
        <w:rPr>
          <w:rFonts w:ascii="Calibri" w:hAnsi="Calibri"/>
          <w:color w:val="231F20"/>
          <w:spacing w:val="18"/>
          <w:w w:val="105"/>
        </w:rPr>
        <w:t xml:space="preserve"> </w:t>
      </w:r>
      <w:r w:rsidRPr="00A23800">
        <w:rPr>
          <w:rFonts w:ascii="Calibri" w:hAnsi="Calibri"/>
          <w:color w:val="231F20"/>
          <w:w w:val="105"/>
        </w:rPr>
        <w:t>VR</w:t>
      </w:r>
      <w:r w:rsidRPr="00A23800">
        <w:rPr>
          <w:rFonts w:ascii="Calibri" w:hAnsi="Calibri"/>
          <w:color w:val="231F20"/>
          <w:spacing w:val="18"/>
          <w:w w:val="105"/>
        </w:rPr>
        <w:t xml:space="preserve"> </w:t>
      </w:r>
      <w:r w:rsidRPr="00A23800">
        <w:rPr>
          <w:rFonts w:ascii="Calibri" w:hAnsi="Calibri"/>
          <w:color w:val="231F20"/>
          <w:w w:val="105"/>
        </w:rPr>
        <w:t>updated</w:t>
      </w:r>
      <w:r w:rsidRPr="00A23800">
        <w:rPr>
          <w:rFonts w:ascii="Calibri" w:hAnsi="Calibri"/>
          <w:color w:val="231F20"/>
          <w:spacing w:val="18"/>
          <w:w w:val="105"/>
        </w:rPr>
        <w:t xml:space="preserve"> </w:t>
      </w:r>
      <w:r w:rsidRPr="00A23800">
        <w:rPr>
          <w:rFonts w:ascii="Calibri" w:hAnsi="Calibri"/>
          <w:color w:val="231F20"/>
          <w:w w:val="105"/>
        </w:rPr>
        <w:t>the</w:t>
      </w:r>
      <w:r w:rsidRPr="00A23800">
        <w:rPr>
          <w:rFonts w:ascii="Calibri" w:hAnsi="Calibri"/>
          <w:color w:val="231F20"/>
          <w:spacing w:val="18"/>
          <w:w w:val="105"/>
        </w:rPr>
        <w:t xml:space="preserve"> </w:t>
      </w:r>
      <w:r w:rsidRPr="00A23800">
        <w:rPr>
          <w:rFonts w:ascii="Calibri" w:hAnsi="Calibri"/>
          <w:color w:val="231F20"/>
          <w:w w:val="105"/>
        </w:rPr>
        <w:t>Rehabilitation</w:t>
      </w:r>
      <w:r w:rsidRPr="00A23800">
        <w:rPr>
          <w:rFonts w:ascii="Calibri" w:hAnsi="Calibri"/>
          <w:color w:val="231F20"/>
          <w:w w:val="104"/>
        </w:rPr>
        <w:t xml:space="preserve"> </w:t>
      </w:r>
      <w:r w:rsidRPr="00A23800">
        <w:rPr>
          <w:rFonts w:ascii="Calibri" w:hAnsi="Calibri"/>
          <w:color w:val="231F20"/>
          <w:w w:val="105"/>
        </w:rPr>
        <w:t>Information</w:t>
      </w:r>
      <w:r w:rsidRPr="00A23800">
        <w:rPr>
          <w:rFonts w:ascii="Calibri" w:hAnsi="Calibri"/>
          <w:color w:val="231F20"/>
          <w:spacing w:val="6"/>
          <w:w w:val="105"/>
        </w:rPr>
        <w:t xml:space="preserve"> </w:t>
      </w:r>
      <w:r w:rsidRPr="00A23800">
        <w:rPr>
          <w:rFonts w:ascii="Calibri" w:hAnsi="Calibri"/>
          <w:color w:val="231F20"/>
          <w:w w:val="105"/>
        </w:rPr>
        <w:t>Management</w:t>
      </w:r>
      <w:r w:rsidRPr="00A23800">
        <w:rPr>
          <w:rFonts w:ascii="Calibri" w:hAnsi="Calibri"/>
          <w:color w:val="231F20"/>
          <w:spacing w:val="6"/>
          <w:w w:val="105"/>
        </w:rPr>
        <w:t xml:space="preserve"> </w:t>
      </w:r>
      <w:r w:rsidRPr="00A23800">
        <w:rPr>
          <w:rFonts w:ascii="Calibri" w:hAnsi="Calibri"/>
          <w:color w:val="231F20"/>
          <w:w w:val="105"/>
        </w:rPr>
        <w:t>System</w:t>
      </w:r>
      <w:r w:rsidRPr="00A23800">
        <w:rPr>
          <w:rFonts w:ascii="Calibri" w:hAnsi="Calibri"/>
          <w:color w:val="231F20"/>
          <w:spacing w:val="6"/>
          <w:w w:val="105"/>
        </w:rPr>
        <w:t xml:space="preserve"> </w:t>
      </w:r>
      <w:r w:rsidRPr="00A23800">
        <w:rPr>
          <w:rFonts w:ascii="Calibri" w:hAnsi="Calibri"/>
          <w:color w:val="231F20"/>
          <w:w w:val="105"/>
        </w:rPr>
        <w:t>(RIMS)</w:t>
      </w:r>
      <w:r w:rsidRPr="00A23800">
        <w:rPr>
          <w:rFonts w:ascii="Calibri" w:hAnsi="Calibri"/>
          <w:color w:val="231F20"/>
          <w:spacing w:val="6"/>
          <w:w w:val="105"/>
        </w:rPr>
        <w:t xml:space="preserve"> </w:t>
      </w:r>
      <w:r w:rsidRPr="00A23800">
        <w:rPr>
          <w:rFonts w:ascii="Calibri" w:hAnsi="Calibri"/>
          <w:color w:val="231F20"/>
          <w:w w:val="105"/>
        </w:rPr>
        <w:t>and</w:t>
      </w:r>
      <w:r w:rsidRPr="00A23800">
        <w:rPr>
          <w:rFonts w:ascii="Calibri" w:hAnsi="Calibri"/>
          <w:color w:val="231F20"/>
          <w:spacing w:val="6"/>
          <w:w w:val="105"/>
        </w:rPr>
        <w:t xml:space="preserve"> </w:t>
      </w:r>
      <w:r w:rsidRPr="00A23800">
        <w:rPr>
          <w:rFonts w:ascii="Calibri" w:hAnsi="Calibri"/>
          <w:color w:val="231F20"/>
          <w:w w:val="105"/>
        </w:rPr>
        <w:t>the</w:t>
      </w:r>
      <w:r w:rsidRPr="00A23800">
        <w:rPr>
          <w:rFonts w:ascii="Calibri" w:hAnsi="Calibri"/>
          <w:color w:val="231F20"/>
          <w:spacing w:val="6"/>
          <w:w w:val="105"/>
        </w:rPr>
        <w:t xml:space="preserve"> </w:t>
      </w:r>
      <w:r w:rsidRPr="00A23800">
        <w:rPr>
          <w:rFonts w:ascii="Calibri" w:hAnsi="Calibri"/>
          <w:color w:val="231F20"/>
          <w:w w:val="105"/>
        </w:rPr>
        <w:t>Rehabilitation</w:t>
      </w:r>
      <w:r w:rsidRPr="00A23800">
        <w:rPr>
          <w:rFonts w:ascii="Calibri" w:hAnsi="Calibri"/>
          <w:color w:val="231F20"/>
          <w:spacing w:val="6"/>
          <w:w w:val="105"/>
        </w:rPr>
        <w:t xml:space="preserve"> </w:t>
      </w:r>
      <w:r w:rsidRPr="00A23800">
        <w:rPr>
          <w:rFonts w:ascii="Calibri" w:hAnsi="Calibri"/>
          <w:color w:val="231F20"/>
          <w:w w:val="105"/>
        </w:rPr>
        <w:t>Electronic</w:t>
      </w:r>
      <w:r w:rsidRPr="00A23800">
        <w:rPr>
          <w:rFonts w:ascii="Calibri" w:hAnsi="Calibri"/>
          <w:color w:val="231F20"/>
          <w:spacing w:val="6"/>
          <w:w w:val="105"/>
        </w:rPr>
        <w:t xml:space="preserve"> </w:t>
      </w:r>
      <w:r w:rsidRPr="00A23800">
        <w:rPr>
          <w:rFonts w:ascii="Calibri" w:hAnsi="Calibri"/>
          <w:color w:val="231F20"/>
          <w:w w:val="105"/>
        </w:rPr>
        <w:t>Billing</w:t>
      </w:r>
      <w:r w:rsidRPr="00A23800">
        <w:rPr>
          <w:rFonts w:ascii="Calibri" w:hAnsi="Calibri"/>
          <w:color w:val="231F20"/>
          <w:spacing w:val="6"/>
          <w:w w:val="105"/>
        </w:rPr>
        <w:t xml:space="preserve"> </w:t>
      </w:r>
      <w:r w:rsidRPr="00A23800">
        <w:rPr>
          <w:rFonts w:ascii="Calibri" w:hAnsi="Calibri"/>
          <w:color w:val="231F20"/>
          <w:w w:val="105"/>
        </w:rPr>
        <w:t>Application</w:t>
      </w:r>
      <w:r w:rsidRPr="00A23800">
        <w:rPr>
          <w:rFonts w:ascii="Calibri" w:hAnsi="Calibri"/>
          <w:color w:val="231F20"/>
          <w:spacing w:val="6"/>
          <w:w w:val="105"/>
        </w:rPr>
        <w:t xml:space="preserve"> </w:t>
      </w:r>
      <w:r w:rsidRPr="00A23800">
        <w:rPr>
          <w:rFonts w:ascii="Calibri" w:hAnsi="Calibri"/>
          <w:color w:val="231F20"/>
          <w:w w:val="105"/>
        </w:rPr>
        <w:t>(REBA)</w:t>
      </w:r>
      <w:r w:rsidRPr="00A23800">
        <w:rPr>
          <w:rFonts w:ascii="Calibri" w:hAnsi="Calibri"/>
          <w:color w:val="231F20"/>
          <w:spacing w:val="6"/>
          <w:w w:val="105"/>
        </w:rPr>
        <w:t xml:space="preserve"> </w:t>
      </w:r>
      <w:r w:rsidRPr="00A23800">
        <w:rPr>
          <w:rFonts w:ascii="Calibri" w:hAnsi="Calibri"/>
          <w:color w:val="231F20"/>
          <w:w w:val="105"/>
        </w:rPr>
        <w:t>to</w:t>
      </w:r>
      <w:r w:rsidRPr="00A23800">
        <w:rPr>
          <w:rFonts w:ascii="Calibri" w:hAnsi="Calibri"/>
          <w:color w:val="231F20"/>
          <w:spacing w:val="-38"/>
          <w:w w:val="105"/>
        </w:rPr>
        <w:t xml:space="preserve"> </w:t>
      </w:r>
      <w:r w:rsidRPr="00A23800">
        <w:rPr>
          <w:rFonts w:ascii="Calibri" w:hAnsi="Calibri"/>
          <w:color w:val="231F20"/>
          <w:w w:val="105"/>
        </w:rPr>
        <w:t>collect</w:t>
      </w:r>
      <w:r w:rsidRPr="00A23800">
        <w:rPr>
          <w:rFonts w:ascii="Calibri" w:hAnsi="Calibri"/>
          <w:color w:val="231F20"/>
          <w:spacing w:val="9"/>
          <w:w w:val="105"/>
        </w:rPr>
        <w:t xml:space="preserve"> </w:t>
      </w:r>
      <w:r w:rsidRPr="00A23800">
        <w:rPr>
          <w:rFonts w:ascii="Calibri" w:hAnsi="Calibri"/>
          <w:color w:val="231F20"/>
          <w:w w:val="105"/>
        </w:rPr>
        <w:t>transition</w:t>
      </w:r>
      <w:r w:rsidRPr="00A23800">
        <w:rPr>
          <w:rFonts w:ascii="Calibri" w:hAnsi="Calibri"/>
          <w:color w:val="231F20"/>
          <w:spacing w:val="9"/>
          <w:w w:val="105"/>
        </w:rPr>
        <w:t xml:space="preserve"> </w:t>
      </w:r>
      <w:r w:rsidRPr="00A23800">
        <w:rPr>
          <w:rFonts w:ascii="Calibri" w:hAnsi="Calibri"/>
          <w:color w:val="231F20"/>
          <w:w w:val="105"/>
        </w:rPr>
        <w:t>data</w:t>
      </w:r>
      <w:r w:rsidRPr="00A23800">
        <w:rPr>
          <w:rFonts w:ascii="Calibri" w:hAnsi="Calibri"/>
          <w:color w:val="231F20"/>
          <w:spacing w:val="9"/>
          <w:w w:val="105"/>
        </w:rPr>
        <w:t xml:space="preserve"> </w:t>
      </w:r>
      <w:r w:rsidRPr="00A23800">
        <w:rPr>
          <w:rFonts w:ascii="Calibri" w:hAnsi="Calibri"/>
          <w:color w:val="231F20"/>
          <w:w w:val="105"/>
        </w:rPr>
        <w:t>elements</w:t>
      </w:r>
      <w:r w:rsidRPr="00A23800">
        <w:rPr>
          <w:rFonts w:ascii="Calibri" w:hAnsi="Calibri"/>
          <w:color w:val="231F20"/>
          <w:spacing w:val="9"/>
          <w:w w:val="105"/>
        </w:rPr>
        <w:t xml:space="preserve"> </w:t>
      </w:r>
      <w:r w:rsidRPr="00A23800">
        <w:rPr>
          <w:rFonts w:ascii="Calibri" w:hAnsi="Calibri"/>
          <w:color w:val="231F20"/>
          <w:w w:val="105"/>
        </w:rPr>
        <w:t>and</w:t>
      </w:r>
      <w:r w:rsidRPr="00A23800">
        <w:rPr>
          <w:rFonts w:ascii="Calibri" w:hAnsi="Calibri"/>
          <w:color w:val="231F20"/>
          <w:spacing w:val="9"/>
          <w:w w:val="105"/>
        </w:rPr>
        <w:t xml:space="preserve"> </w:t>
      </w:r>
      <w:r w:rsidRPr="00A23800">
        <w:rPr>
          <w:rFonts w:ascii="Calibri" w:hAnsi="Calibri"/>
          <w:color w:val="231F20"/>
          <w:w w:val="105"/>
        </w:rPr>
        <w:t>track</w:t>
      </w:r>
      <w:r w:rsidRPr="00A23800">
        <w:rPr>
          <w:rFonts w:ascii="Calibri" w:hAnsi="Calibri"/>
          <w:color w:val="231F20"/>
          <w:spacing w:val="9"/>
          <w:w w:val="105"/>
        </w:rPr>
        <w:t xml:space="preserve"> </w:t>
      </w:r>
      <w:r w:rsidRPr="00A23800">
        <w:rPr>
          <w:rFonts w:ascii="Calibri" w:hAnsi="Calibri"/>
          <w:color w:val="231F20"/>
          <w:w w:val="105"/>
        </w:rPr>
        <w:t>expenditures</w:t>
      </w:r>
      <w:r w:rsidRPr="00A23800">
        <w:rPr>
          <w:rFonts w:ascii="Calibri" w:hAnsi="Calibri"/>
          <w:color w:val="231F20"/>
          <w:spacing w:val="9"/>
          <w:w w:val="105"/>
        </w:rPr>
        <w:t xml:space="preserve"> </w:t>
      </w:r>
      <w:r w:rsidRPr="00A23800">
        <w:rPr>
          <w:rFonts w:ascii="Calibri" w:hAnsi="Calibri"/>
          <w:color w:val="231F20"/>
          <w:w w:val="105"/>
        </w:rPr>
        <w:t>for</w:t>
      </w:r>
      <w:r w:rsidRPr="00A23800">
        <w:rPr>
          <w:rFonts w:ascii="Calibri" w:hAnsi="Calibri"/>
          <w:color w:val="231F20"/>
          <w:spacing w:val="9"/>
          <w:w w:val="105"/>
        </w:rPr>
        <w:t xml:space="preserve"> </w:t>
      </w:r>
      <w:r w:rsidRPr="00A23800">
        <w:rPr>
          <w:rFonts w:ascii="Calibri" w:hAnsi="Calibri"/>
          <w:color w:val="231F20"/>
          <w:w w:val="105"/>
        </w:rPr>
        <w:t>transition</w:t>
      </w:r>
      <w:r w:rsidRPr="00A23800">
        <w:rPr>
          <w:rFonts w:ascii="Calibri" w:hAnsi="Calibri"/>
          <w:color w:val="231F20"/>
          <w:spacing w:val="9"/>
          <w:w w:val="105"/>
        </w:rPr>
        <w:t xml:space="preserve"> </w:t>
      </w:r>
      <w:r w:rsidRPr="00A23800">
        <w:rPr>
          <w:rFonts w:ascii="Calibri" w:hAnsi="Calibri"/>
          <w:color w:val="231F20"/>
          <w:w w:val="105"/>
        </w:rPr>
        <w:t>youth.</w:t>
      </w:r>
    </w:p>
    <w:p w14:paraId="215C43D7" w14:textId="77777777" w:rsidR="00240694" w:rsidRDefault="00240694" w:rsidP="00D63204">
      <w:pPr>
        <w:widowControl w:val="0"/>
        <w:spacing w:after="0" w:line="240" w:lineRule="auto"/>
        <w:ind w:left="107"/>
        <w:rPr>
          <w:rFonts w:ascii="Calibri" w:hAnsi="Calibri"/>
          <w:color w:val="231F20"/>
          <w:w w:val="105"/>
        </w:rPr>
      </w:pPr>
    </w:p>
    <w:p w14:paraId="013F2FCB" w14:textId="752B432F" w:rsidR="00A07550" w:rsidRPr="00F7048E" w:rsidRDefault="00A07550" w:rsidP="00D63204">
      <w:pPr>
        <w:widowControl w:val="0"/>
        <w:spacing w:after="0" w:line="240" w:lineRule="auto"/>
        <w:ind w:left="107"/>
        <w:rPr>
          <w:rFonts w:ascii="Calibri" w:hAnsi="Calibri"/>
          <w:color w:val="231F20"/>
          <w:w w:val="105"/>
        </w:rPr>
      </w:pPr>
      <w:r w:rsidRPr="00A23800">
        <w:rPr>
          <w:rFonts w:ascii="Calibri" w:hAnsi="Calibri"/>
          <w:color w:val="231F20"/>
          <w:w w:val="105"/>
        </w:rPr>
        <w:t>VR</w:t>
      </w:r>
      <w:r w:rsidRPr="00F7048E">
        <w:rPr>
          <w:rFonts w:ascii="Calibri" w:hAnsi="Calibri"/>
          <w:color w:val="231F20"/>
          <w:w w:val="105"/>
        </w:rPr>
        <w:t xml:space="preserve"> </w:t>
      </w:r>
      <w:r w:rsidRPr="00A23800">
        <w:rPr>
          <w:rFonts w:ascii="Calibri" w:hAnsi="Calibri"/>
          <w:color w:val="231F20"/>
          <w:w w:val="105"/>
        </w:rPr>
        <w:t>strives</w:t>
      </w:r>
      <w:r w:rsidRPr="00F7048E">
        <w:rPr>
          <w:rFonts w:ascii="Calibri" w:hAnsi="Calibri"/>
          <w:color w:val="231F20"/>
          <w:w w:val="105"/>
        </w:rPr>
        <w:t xml:space="preserve"> </w:t>
      </w:r>
      <w:r w:rsidRPr="00A23800">
        <w:rPr>
          <w:rFonts w:ascii="Calibri" w:hAnsi="Calibri"/>
          <w:color w:val="231F20"/>
          <w:w w:val="105"/>
        </w:rPr>
        <w:t>to</w:t>
      </w:r>
      <w:r w:rsidRPr="00F7048E">
        <w:rPr>
          <w:rFonts w:ascii="Calibri" w:hAnsi="Calibri"/>
          <w:color w:val="231F20"/>
          <w:w w:val="105"/>
        </w:rPr>
        <w:t xml:space="preserve"> </w:t>
      </w:r>
      <w:r w:rsidRPr="00A23800">
        <w:rPr>
          <w:rFonts w:ascii="Calibri" w:hAnsi="Calibri"/>
          <w:color w:val="231F20"/>
          <w:w w:val="105"/>
        </w:rPr>
        <w:t>help</w:t>
      </w:r>
      <w:r w:rsidRPr="00F7048E">
        <w:rPr>
          <w:rFonts w:ascii="Calibri" w:hAnsi="Calibri"/>
          <w:color w:val="231F20"/>
          <w:w w:val="105"/>
        </w:rPr>
        <w:t xml:space="preserve"> </w:t>
      </w:r>
      <w:r w:rsidRPr="00A23800">
        <w:rPr>
          <w:rFonts w:ascii="Calibri" w:hAnsi="Calibri"/>
          <w:color w:val="231F20"/>
          <w:w w:val="105"/>
        </w:rPr>
        <w:t>LEAs</w:t>
      </w:r>
      <w:r w:rsidRPr="00F7048E">
        <w:rPr>
          <w:rFonts w:ascii="Calibri" w:hAnsi="Calibri"/>
          <w:color w:val="231F20"/>
          <w:w w:val="105"/>
        </w:rPr>
        <w:t xml:space="preserve"> </w:t>
      </w:r>
      <w:r w:rsidRPr="00A23800">
        <w:rPr>
          <w:rFonts w:ascii="Calibri" w:hAnsi="Calibri"/>
          <w:color w:val="231F20"/>
          <w:w w:val="105"/>
        </w:rPr>
        <w:t>meet</w:t>
      </w:r>
      <w:r w:rsidRPr="00F7048E">
        <w:rPr>
          <w:rFonts w:ascii="Calibri" w:hAnsi="Calibri"/>
          <w:color w:val="231F20"/>
          <w:w w:val="105"/>
        </w:rPr>
        <w:t xml:space="preserve"> </w:t>
      </w:r>
      <w:r w:rsidRPr="00A23800">
        <w:rPr>
          <w:rFonts w:ascii="Calibri" w:hAnsi="Calibri"/>
          <w:color w:val="231F20"/>
          <w:w w:val="105"/>
        </w:rPr>
        <w:t>the</w:t>
      </w:r>
      <w:r w:rsidRPr="00F7048E">
        <w:rPr>
          <w:rFonts w:ascii="Calibri" w:hAnsi="Calibri"/>
          <w:color w:val="231F20"/>
          <w:w w:val="105"/>
        </w:rPr>
        <w:t xml:space="preserve"> </w:t>
      </w:r>
      <w:r w:rsidRPr="00A23800">
        <w:rPr>
          <w:rFonts w:ascii="Calibri" w:hAnsi="Calibri"/>
          <w:color w:val="231F20"/>
          <w:w w:val="105"/>
        </w:rPr>
        <w:t>mandates</w:t>
      </w:r>
      <w:r w:rsidRPr="00F7048E">
        <w:rPr>
          <w:rFonts w:ascii="Calibri" w:hAnsi="Calibri"/>
          <w:color w:val="231F20"/>
          <w:w w:val="105"/>
        </w:rPr>
        <w:t xml:space="preserve"> </w:t>
      </w:r>
      <w:r w:rsidRPr="00A23800">
        <w:rPr>
          <w:rFonts w:ascii="Calibri" w:hAnsi="Calibri"/>
          <w:color w:val="231F20"/>
          <w:w w:val="105"/>
        </w:rPr>
        <w:t>of</w:t>
      </w:r>
      <w:r w:rsidRPr="00F7048E">
        <w:rPr>
          <w:rFonts w:ascii="Calibri" w:hAnsi="Calibri"/>
          <w:color w:val="231F20"/>
          <w:w w:val="105"/>
        </w:rPr>
        <w:t xml:space="preserve"> </w:t>
      </w:r>
      <w:r w:rsidRPr="00A23800">
        <w:rPr>
          <w:rFonts w:ascii="Calibri" w:hAnsi="Calibri"/>
          <w:color w:val="231F20"/>
          <w:w w:val="105"/>
        </w:rPr>
        <w:t>the</w:t>
      </w:r>
      <w:r w:rsidRPr="00F7048E">
        <w:rPr>
          <w:rFonts w:ascii="Calibri" w:hAnsi="Calibri"/>
          <w:color w:val="231F20"/>
          <w:w w:val="105"/>
        </w:rPr>
        <w:t xml:space="preserve"> </w:t>
      </w:r>
      <w:r w:rsidRPr="00A23800">
        <w:rPr>
          <w:rFonts w:ascii="Calibri" w:hAnsi="Calibri"/>
          <w:color w:val="231F20"/>
          <w:w w:val="105"/>
        </w:rPr>
        <w:t>Individuals</w:t>
      </w:r>
      <w:r w:rsidRPr="00F7048E">
        <w:rPr>
          <w:rFonts w:ascii="Calibri" w:hAnsi="Calibri"/>
          <w:color w:val="231F20"/>
          <w:w w:val="105"/>
        </w:rPr>
        <w:t xml:space="preserve"> </w:t>
      </w:r>
      <w:r w:rsidRPr="00A23800">
        <w:rPr>
          <w:rFonts w:ascii="Calibri" w:hAnsi="Calibri"/>
          <w:color w:val="231F20"/>
          <w:w w:val="105"/>
        </w:rPr>
        <w:t>with</w:t>
      </w:r>
      <w:r w:rsidRPr="00F7048E">
        <w:rPr>
          <w:rFonts w:ascii="Calibri" w:hAnsi="Calibri"/>
          <w:color w:val="231F20"/>
          <w:w w:val="105"/>
        </w:rPr>
        <w:t xml:space="preserve"> </w:t>
      </w:r>
      <w:r w:rsidRPr="00A23800">
        <w:rPr>
          <w:rFonts w:ascii="Calibri" w:hAnsi="Calibri"/>
          <w:color w:val="231F20"/>
          <w:w w:val="105"/>
        </w:rPr>
        <w:t>Disabilities</w:t>
      </w:r>
      <w:r w:rsidRPr="00F7048E">
        <w:rPr>
          <w:rFonts w:ascii="Calibri" w:hAnsi="Calibri"/>
          <w:color w:val="231F20"/>
          <w:w w:val="105"/>
        </w:rPr>
        <w:t xml:space="preserve"> </w:t>
      </w:r>
      <w:r w:rsidRPr="00A23800">
        <w:rPr>
          <w:rFonts w:ascii="Calibri" w:hAnsi="Calibri"/>
          <w:color w:val="231F20"/>
          <w:w w:val="105"/>
        </w:rPr>
        <w:t>Education</w:t>
      </w:r>
      <w:r w:rsidRPr="00F7048E">
        <w:rPr>
          <w:rFonts w:ascii="Calibri" w:hAnsi="Calibri"/>
          <w:color w:val="231F20"/>
          <w:w w:val="105"/>
        </w:rPr>
        <w:t xml:space="preserve"> </w:t>
      </w:r>
      <w:r w:rsidRPr="00A23800">
        <w:rPr>
          <w:rFonts w:ascii="Calibri" w:hAnsi="Calibri"/>
          <w:color w:val="231F20"/>
          <w:w w:val="105"/>
        </w:rPr>
        <w:t>Improvement</w:t>
      </w:r>
      <w:r w:rsidRPr="00F7048E">
        <w:rPr>
          <w:rFonts w:ascii="Calibri" w:hAnsi="Calibri"/>
          <w:color w:val="231F20"/>
          <w:w w:val="105"/>
        </w:rPr>
        <w:t xml:space="preserve"> </w:t>
      </w:r>
      <w:r w:rsidRPr="00A23800">
        <w:rPr>
          <w:rFonts w:ascii="Calibri" w:hAnsi="Calibri"/>
          <w:color w:val="231F20"/>
          <w:w w:val="105"/>
        </w:rPr>
        <w:t>Act</w:t>
      </w:r>
      <w:r w:rsidRPr="00F7048E">
        <w:rPr>
          <w:rFonts w:ascii="Calibri" w:hAnsi="Calibri"/>
          <w:color w:val="231F20"/>
          <w:w w:val="105"/>
        </w:rPr>
        <w:t xml:space="preserve"> </w:t>
      </w:r>
      <w:r w:rsidRPr="00A23800">
        <w:rPr>
          <w:rFonts w:ascii="Calibri" w:hAnsi="Calibri"/>
          <w:color w:val="231F20"/>
          <w:w w:val="105"/>
        </w:rPr>
        <w:t>of</w:t>
      </w:r>
      <w:r w:rsidRPr="00F7048E">
        <w:rPr>
          <w:rFonts w:ascii="Calibri" w:hAnsi="Calibri"/>
          <w:color w:val="231F20"/>
          <w:w w:val="105"/>
        </w:rPr>
        <w:t xml:space="preserve"> </w:t>
      </w:r>
      <w:r w:rsidRPr="00A23800">
        <w:rPr>
          <w:rFonts w:ascii="Calibri" w:hAnsi="Calibri"/>
          <w:color w:val="231F20"/>
          <w:w w:val="105"/>
        </w:rPr>
        <w:t>2004.</w:t>
      </w:r>
      <w:r w:rsidRPr="00F7048E">
        <w:rPr>
          <w:rFonts w:ascii="Calibri" w:hAnsi="Calibri"/>
          <w:color w:val="231F20"/>
          <w:w w:val="105"/>
        </w:rPr>
        <w:t xml:space="preserve"> </w:t>
      </w:r>
      <w:r w:rsidRPr="00A23800">
        <w:rPr>
          <w:rFonts w:ascii="Calibri" w:hAnsi="Calibri"/>
          <w:color w:val="231F20"/>
          <w:w w:val="105"/>
        </w:rPr>
        <w:t>VR</w:t>
      </w:r>
      <w:r w:rsidRPr="00F7048E">
        <w:rPr>
          <w:rFonts w:ascii="Calibri" w:hAnsi="Calibri"/>
          <w:color w:val="231F20"/>
          <w:w w:val="105"/>
        </w:rPr>
        <w:t xml:space="preserve"> </w:t>
      </w:r>
      <w:r w:rsidRPr="00A23800">
        <w:rPr>
          <w:rFonts w:ascii="Calibri" w:hAnsi="Calibri"/>
          <w:color w:val="231F20"/>
          <w:w w:val="105"/>
        </w:rPr>
        <w:t>support</w:t>
      </w:r>
      <w:r w:rsidRPr="00F7048E">
        <w:rPr>
          <w:rFonts w:ascii="Calibri" w:hAnsi="Calibri"/>
          <w:color w:val="231F20"/>
          <w:w w:val="105"/>
        </w:rPr>
        <w:t xml:space="preserve"> </w:t>
      </w:r>
      <w:r w:rsidRPr="00A23800">
        <w:rPr>
          <w:rFonts w:ascii="Calibri" w:hAnsi="Calibri"/>
          <w:color w:val="231F20"/>
          <w:w w:val="105"/>
        </w:rPr>
        <w:t>includes</w:t>
      </w:r>
      <w:r w:rsidRPr="00F7048E">
        <w:rPr>
          <w:rFonts w:ascii="Calibri" w:hAnsi="Calibri"/>
          <w:color w:val="231F20"/>
          <w:w w:val="105"/>
        </w:rPr>
        <w:t xml:space="preserve"> </w:t>
      </w:r>
      <w:r w:rsidRPr="00A23800">
        <w:rPr>
          <w:rFonts w:ascii="Calibri" w:hAnsi="Calibri"/>
          <w:color w:val="231F20"/>
          <w:w w:val="105"/>
        </w:rPr>
        <w:t>offering</w:t>
      </w:r>
      <w:r w:rsidRPr="00F7048E">
        <w:rPr>
          <w:rFonts w:ascii="Calibri" w:hAnsi="Calibri"/>
          <w:color w:val="231F20"/>
          <w:w w:val="105"/>
        </w:rPr>
        <w:t xml:space="preserve"> </w:t>
      </w:r>
      <w:r w:rsidRPr="00A23800">
        <w:rPr>
          <w:rFonts w:ascii="Calibri" w:hAnsi="Calibri"/>
          <w:color w:val="231F20"/>
          <w:w w:val="105"/>
        </w:rPr>
        <w:t>an</w:t>
      </w:r>
      <w:r w:rsidRPr="00F7048E">
        <w:rPr>
          <w:rFonts w:ascii="Calibri" w:hAnsi="Calibri"/>
          <w:color w:val="231F20"/>
          <w:w w:val="105"/>
        </w:rPr>
        <w:t xml:space="preserve"> </w:t>
      </w:r>
      <w:r w:rsidRPr="00A23800">
        <w:rPr>
          <w:rFonts w:ascii="Calibri" w:hAnsi="Calibri"/>
          <w:color w:val="231F20"/>
          <w:w w:val="105"/>
        </w:rPr>
        <w:t>early</w:t>
      </w:r>
      <w:r w:rsidRPr="00F7048E">
        <w:rPr>
          <w:rFonts w:ascii="Calibri" w:hAnsi="Calibri"/>
          <w:color w:val="231F20"/>
          <w:w w:val="105"/>
        </w:rPr>
        <w:t xml:space="preserve"> </w:t>
      </w:r>
      <w:r w:rsidRPr="00A23800">
        <w:rPr>
          <w:rFonts w:ascii="Calibri" w:hAnsi="Calibri"/>
          <w:color w:val="231F20"/>
          <w:w w:val="105"/>
        </w:rPr>
        <w:t>VR</w:t>
      </w:r>
      <w:r w:rsidRPr="00F7048E">
        <w:rPr>
          <w:rFonts w:ascii="Calibri" w:hAnsi="Calibri"/>
          <w:color w:val="231F20"/>
          <w:w w:val="105"/>
        </w:rPr>
        <w:t xml:space="preserve"> </w:t>
      </w:r>
      <w:r w:rsidRPr="00A23800">
        <w:rPr>
          <w:rFonts w:ascii="Calibri" w:hAnsi="Calibri"/>
          <w:color w:val="231F20"/>
          <w:w w:val="105"/>
        </w:rPr>
        <w:t>referral</w:t>
      </w:r>
      <w:r w:rsidRPr="00F7048E">
        <w:rPr>
          <w:rFonts w:ascii="Calibri" w:hAnsi="Calibri"/>
          <w:color w:val="231F20"/>
          <w:w w:val="105"/>
        </w:rPr>
        <w:t xml:space="preserve"> </w:t>
      </w:r>
      <w:r w:rsidRPr="00A23800">
        <w:rPr>
          <w:rFonts w:ascii="Calibri" w:hAnsi="Calibri"/>
          <w:color w:val="231F20"/>
          <w:w w:val="105"/>
        </w:rPr>
        <w:t>and</w:t>
      </w:r>
      <w:r w:rsidRPr="00F7048E">
        <w:rPr>
          <w:rFonts w:ascii="Calibri" w:hAnsi="Calibri"/>
          <w:color w:val="231F20"/>
          <w:w w:val="105"/>
        </w:rPr>
        <w:t xml:space="preserve"> </w:t>
      </w:r>
      <w:r w:rsidRPr="00A23800">
        <w:rPr>
          <w:rFonts w:ascii="Calibri" w:hAnsi="Calibri"/>
          <w:color w:val="231F20"/>
          <w:w w:val="105"/>
        </w:rPr>
        <w:t>application</w:t>
      </w:r>
      <w:r w:rsidRPr="00F7048E">
        <w:rPr>
          <w:rFonts w:ascii="Calibri" w:hAnsi="Calibri"/>
          <w:color w:val="231F20"/>
          <w:w w:val="105"/>
        </w:rPr>
        <w:t xml:space="preserve"> </w:t>
      </w:r>
      <w:r w:rsidRPr="00A23800">
        <w:rPr>
          <w:rFonts w:ascii="Calibri" w:hAnsi="Calibri"/>
          <w:color w:val="231F20"/>
          <w:w w:val="105"/>
        </w:rPr>
        <w:t>process</w:t>
      </w:r>
      <w:r w:rsidRPr="00F7048E">
        <w:rPr>
          <w:rFonts w:ascii="Calibri" w:hAnsi="Calibri"/>
          <w:color w:val="231F20"/>
          <w:w w:val="105"/>
        </w:rPr>
        <w:t xml:space="preserve"> </w:t>
      </w:r>
      <w:r w:rsidRPr="00A23800">
        <w:rPr>
          <w:rFonts w:ascii="Calibri" w:hAnsi="Calibri"/>
          <w:color w:val="231F20"/>
          <w:w w:val="105"/>
        </w:rPr>
        <w:t>beginning</w:t>
      </w:r>
      <w:r w:rsidRPr="00F7048E">
        <w:rPr>
          <w:rFonts w:ascii="Calibri" w:hAnsi="Calibri"/>
          <w:color w:val="231F20"/>
          <w:w w:val="105"/>
        </w:rPr>
        <w:t xml:space="preserve"> </w:t>
      </w:r>
      <w:r w:rsidRPr="00A23800">
        <w:rPr>
          <w:rFonts w:ascii="Calibri" w:hAnsi="Calibri"/>
          <w:color w:val="231F20"/>
          <w:w w:val="105"/>
        </w:rPr>
        <w:t>at</w:t>
      </w:r>
      <w:r w:rsidRPr="00F7048E">
        <w:rPr>
          <w:rFonts w:ascii="Calibri" w:hAnsi="Calibri"/>
          <w:color w:val="231F20"/>
          <w:w w:val="105"/>
        </w:rPr>
        <w:t xml:space="preserve"> </w:t>
      </w:r>
      <w:r w:rsidRPr="00A23800">
        <w:rPr>
          <w:rFonts w:ascii="Calibri" w:hAnsi="Calibri"/>
          <w:color w:val="231F20"/>
          <w:w w:val="105"/>
        </w:rPr>
        <w:t>age</w:t>
      </w:r>
      <w:r w:rsidRPr="00F7048E">
        <w:rPr>
          <w:rFonts w:ascii="Calibri" w:hAnsi="Calibri"/>
          <w:color w:val="231F20"/>
          <w:w w:val="105"/>
        </w:rPr>
        <w:t xml:space="preserve"> </w:t>
      </w:r>
      <w:r w:rsidRPr="00A23800">
        <w:rPr>
          <w:rFonts w:ascii="Calibri" w:hAnsi="Calibri"/>
          <w:color w:val="231F20"/>
          <w:w w:val="105"/>
        </w:rPr>
        <w:t>15,</w:t>
      </w:r>
      <w:r w:rsidRPr="00F7048E">
        <w:rPr>
          <w:rFonts w:ascii="Calibri" w:hAnsi="Calibri"/>
          <w:color w:val="231F20"/>
          <w:w w:val="105"/>
        </w:rPr>
        <w:t xml:space="preserve"> </w:t>
      </w:r>
      <w:r w:rsidRPr="00A23800">
        <w:rPr>
          <w:rFonts w:ascii="Calibri" w:hAnsi="Calibri"/>
          <w:color w:val="231F20"/>
          <w:w w:val="105"/>
        </w:rPr>
        <w:t>VR</w:t>
      </w:r>
      <w:r w:rsidRPr="00F7048E">
        <w:rPr>
          <w:rFonts w:ascii="Calibri" w:hAnsi="Calibri"/>
          <w:color w:val="231F20"/>
          <w:w w:val="105"/>
        </w:rPr>
        <w:t xml:space="preserve"> </w:t>
      </w:r>
      <w:r w:rsidRPr="00A23800">
        <w:rPr>
          <w:rFonts w:ascii="Calibri" w:hAnsi="Calibri"/>
          <w:color w:val="231F20"/>
          <w:w w:val="105"/>
        </w:rPr>
        <w:t>Transition</w:t>
      </w:r>
      <w:r w:rsidRPr="00F7048E">
        <w:rPr>
          <w:rFonts w:ascii="Calibri" w:hAnsi="Calibri"/>
          <w:color w:val="231F20"/>
          <w:w w:val="105"/>
        </w:rPr>
        <w:t xml:space="preserve"> </w:t>
      </w:r>
      <w:r w:rsidRPr="00A23800">
        <w:rPr>
          <w:rFonts w:ascii="Calibri" w:hAnsi="Calibri"/>
          <w:color w:val="231F20"/>
          <w:w w:val="105"/>
        </w:rPr>
        <w:t>Liaisons</w:t>
      </w:r>
      <w:r w:rsidRPr="00F7048E">
        <w:rPr>
          <w:rFonts w:ascii="Calibri" w:hAnsi="Calibri"/>
          <w:color w:val="231F20"/>
          <w:w w:val="105"/>
        </w:rPr>
        <w:t xml:space="preserve"> </w:t>
      </w:r>
      <w:r w:rsidRPr="00A23800">
        <w:rPr>
          <w:rFonts w:ascii="Calibri" w:hAnsi="Calibri"/>
          <w:color w:val="231F20"/>
          <w:w w:val="105"/>
        </w:rPr>
        <w:t>Contact</w:t>
      </w:r>
      <w:r w:rsidRPr="00F7048E">
        <w:rPr>
          <w:rFonts w:ascii="Calibri" w:hAnsi="Calibri"/>
          <w:color w:val="231F20"/>
          <w:w w:val="105"/>
        </w:rPr>
        <w:t xml:space="preserve"> </w:t>
      </w:r>
      <w:r w:rsidRPr="00A23800">
        <w:rPr>
          <w:rFonts w:ascii="Calibri" w:hAnsi="Calibri"/>
          <w:color w:val="231F20"/>
          <w:w w:val="105"/>
        </w:rPr>
        <w:t>List,</w:t>
      </w:r>
      <w:r w:rsidRPr="00F7048E">
        <w:rPr>
          <w:rFonts w:ascii="Calibri" w:hAnsi="Calibri"/>
          <w:color w:val="231F20"/>
          <w:w w:val="105"/>
        </w:rPr>
        <w:t xml:space="preserve"> </w:t>
      </w:r>
      <w:r w:rsidRPr="00A23800">
        <w:rPr>
          <w:rFonts w:ascii="Calibri" w:hAnsi="Calibri"/>
          <w:color w:val="231F20"/>
          <w:w w:val="105"/>
        </w:rPr>
        <w:t>VR</w:t>
      </w:r>
      <w:r w:rsidRPr="00F7048E">
        <w:rPr>
          <w:rFonts w:ascii="Calibri" w:hAnsi="Calibri"/>
          <w:color w:val="231F20"/>
          <w:w w:val="105"/>
        </w:rPr>
        <w:t xml:space="preserve"> </w:t>
      </w:r>
      <w:r w:rsidRPr="00A23800">
        <w:rPr>
          <w:rFonts w:ascii="Calibri" w:hAnsi="Calibri"/>
          <w:color w:val="231F20"/>
          <w:w w:val="105"/>
        </w:rPr>
        <w:t>Transition</w:t>
      </w:r>
      <w:r w:rsidRPr="00F7048E">
        <w:rPr>
          <w:rFonts w:ascii="Calibri" w:hAnsi="Calibri"/>
          <w:color w:val="231F20"/>
          <w:w w:val="105"/>
        </w:rPr>
        <w:t xml:space="preserve"> </w:t>
      </w:r>
      <w:r w:rsidRPr="00A23800">
        <w:rPr>
          <w:rFonts w:ascii="Calibri" w:hAnsi="Calibri"/>
          <w:color w:val="231F20"/>
          <w:w w:val="105"/>
        </w:rPr>
        <w:t>Brochures</w:t>
      </w:r>
      <w:r w:rsidR="00D5537E">
        <w:rPr>
          <w:rFonts w:ascii="Calibri" w:hAnsi="Calibri"/>
          <w:color w:val="231F20"/>
          <w:w w:val="105"/>
        </w:rPr>
        <w:t xml:space="preserve"> and</w:t>
      </w:r>
      <w:r w:rsidRPr="00F7048E">
        <w:rPr>
          <w:rFonts w:ascii="Calibri" w:hAnsi="Calibri"/>
          <w:color w:val="231F20"/>
          <w:w w:val="105"/>
        </w:rPr>
        <w:t xml:space="preserve"> </w:t>
      </w:r>
      <w:r w:rsidRPr="00A23800">
        <w:rPr>
          <w:rFonts w:ascii="Calibri" w:hAnsi="Calibri"/>
          <w:color w:val="231F20"/>
          <w:w w:val="105"/>
        </w:rPr>
        <w:t>coordination</w:t>
      </w:r>
      <w:r w:rsidRPr="00F7048E">
        <w:rPr>
          <w:rFonts w:ascii="Calibri" w:hAnsi="Calibri"/>
          <w:color w:val="231F20"/>
          <w:w w:val="105"/>
        </w:rPr>
        <w:t xml:space="preserve"> </w:t>
      </w:r>
      <w:r w:rsidRPr="00A23800">
        <w:rPr>
          <w:rFonts w:ascii="Calibri" w:hAnsi="Calibri"/>
          <w:color w:val="231F20"/>
          <w:w w:val="105"/>
        </w:rPr>
        <w:t>of</w:t>
      </w:r>
      <w:r w:rsidRPr="00F7048E">
        <w:rPr>
          <w:rFonts w:ascii="Calibri" w:hAnsi="Calibri"/>
          <w:color w:val="231F20"/>
          <w:w w:val="105"/>
        </w:rPr>
        <w:t xml:space="preserve"> </w:t>
      </w:r>
      <w:r w:rsidRPr="00A23800">
        <w:rPr>
          <w:rFonts w:ascii="Calibri" w:hAnsi="Calibri"/>
          <w:color w:val="231F20"/>
          <w:w w:val="105"/>
        </w:rPr>
        <w:t>the</w:t>
      </w:r>
      <w:r w:rsidRPr="00F7048E">
        <w:rPr>
          <w:rFonts w:ascii="Calibri" w:hAnsi="Calibri"/>
          <w:color w:val="231F20"/>
          <w:w w:val="105"/>
        </w:rPr>
        <w:t xml:space="preserve"> </w:t>
      </w:r>
      <w:r w:rsidRPr="00A23800">
        <w:rPr>
          <w:rFonts w:ascii="Calibri" w:hAnsi="Calibri"/>
          <w:color w:val="231F20"/>
          <w:w w:val="105"/>
        </w:rPr>
        <w:t>Individual</w:t>
      </w:r>
      <w:r w:rsidRPr="00F7048E">
        <w:rPr>
          <w:rFonts w:ascii="Calibri" w:hAnsi="Calibri"/>
          <w:color w:val="231F20"/>
          <w:w w:val="105"/>
        </w:rPr>
        <w:t xml:space="preserve"> </w:t>
      </w:r>
      <w:r w:rsidRPr="00A23800">
        <w:rPr>
          <w:rFonts w:ascii="Calibri" w:hAnsi="Calibri"/>
          <w:color w:val="231F20"/>
          <w:w w:val="105"/>
        </w:rPr>
        <w:t>Education</w:t>
      </w:r>
      <w:r w:rsidRPr="00F7048E">
        <w:rPr>
          <w:rFonts w:ascii="Calibri" w:hAnsi="Calibri"/>
          <w:color w:val="231F20"/>
          <w:w w:val="105"/>
        </w:rPr>
        <w:t xml:space="preserve"> </w:t>
      </w:r>
      <w:r w:rsidRPr="00A23800">
        <w:rPr>
          <w:rFonts w:ascii="Calibri" w:hAnsi="Calibri"/>
          <w:color w:val="231F20"/>
          <w:w w:val="105"/>
        </w:rPr>
        <w:t>Plan</w:t>
      </w:r>
      <w:r w:rsidRPr="00F7048E">
        <w:rPr>
          <w:rFonts w:ascii="Calibri" w:hAnsi="Calibri"/>
          <w:color w:val="231F20"/>
          <w:w w:val="105"/>
        </w:rPr>
        <w:t xml:space="preserve"> </w:t>
      </w:r>
      <w:r w:rsidRPr="00A23800">
        <w:rPr>
          <w:rFonts w:ascii="Calibri" w:hAnsi="Calibri"/>
          <w:color w:val="231F20"/>
          <w:w w:val="105"/>
        </w:rPr>
        <w:t>with</w:t>
      </w:r>
      <w:r w:rsidRPr="00F7048E">
        <w:rPr>
          <w:rFonts w:ascii="Calibri" w:hAnsi="Calibri"/>
          <w:color w:val="231F20"/>
          <w:w w:val="105"/>
        </w:rPr>
        <w:t xml:space="preserve"> </w:t>
      </w:r>
      <w:r w:rsidRPr="00A23800">
        <w:rPr>
          <w:rFonts w:ascii="Calibri" w:hAnsi="Calibri"/>
          <w:color w:val="231F20"/>
          <w:w w:val="105"/>
        </w:rPr>
        <w:t>the</w:t>
      </w:r>
      <w:r w:rsidRPr="00F7048E">
        <w:rPr>
          <w:rFonts w:ascii="Calibri" w:hAnsi="Calibri"/>
          <w:color w:val="231F20"/>
          <w:w w:val="105"/>
        </w:rPr>
        <w:t xml:space="preserve"> </w:t>
      </w:r>
      <w:r w:rsidRPr="00A23800">
        <w:rPr>
          <w:rFonts w:ascii="Calibri" w:hAnsi="Calibri"/>
          <w:color w:val="231F20"/>
          <w:w w:val="105"/>
        </w:rPr>
        <w:t>Individualized</w:t>
      </w:r>
      <w:r w:rsidRPr="00F7048E">
        <w:rPr>
          <w:rFonts w:ascii="Calibri" w:hAnsi="Calibri"/>
          <w:color w:val="231F20"/>
          <w:w w:val="105"/>
        </w:rPr>
        <w:t xml:space="preserve"> </w:t>
      </w:r>
      <w:r w:rsidRPr="00A23800">
        <w:rPr>
          <w:rFonts w:ascii="Calibri" w:hAnsi="Calibri"/>
          <w:color w:val="231F20"/>
          <w:w w:val="105"/>
        </w:rPr>
        <w:t>Plan</w:t>
      </w:r>
      <w:r w:rsidRPr="00F7048E">
        <w:rPr>
          <w:rFonts w:ascii="Calibri" w:hAnsi="Calibri"/>
          <w:color w:val="231F20"/>
          <w:w w:val="105"/>
        </w:rPr>
        <w:t xml:space="preserve"> </w:t>
      </w:r>
      <w:r w:rsidRPr="00A23800">
        <w:rPr>
          <w:rFonts w:ascii="Calibri" w:hAnsi="Calibri"/>
          <w:color w:val="231F20"/>
          <w:w w:val="105"/>
        </w:rPr>
        <w:t>for</w:t>
      </w:r>
      <w:r w:rsidRPr="00F7048E">
        <w:rPr>
          <w:rFonts w:ascii="Calibri" w:hAnsi="Calibri"/>
          <w:color w:val="231F20"/>
          <w:w w:val="105"/>
        </w:rPr>
        <w:t xml:space="preserve"> </w:t>
      </w:r>
      <w:r w:rsidRPr="00A23800">
        <w:rPr>
          <w:rFonts w:ascii="Calibri" w:hAnsi="Calibri"/>
          <w:color w:val="231F20"/>
          <w:w w:val="105"/>
        </w:rPr>
        <w:t>Employment</w:t>
      </w:r>
      <w:r w:rsidRPr="00F7048E">
        <w:rPr>
          <w:rFonts w:ascii="Calibri" w:hAnsi="Calibri"/>
          <w:color w:val="231F20"/>
          <w:w w:val="105"/>
        </w:rPr>
        <w:t xml:space="preserve"> </w:t>
      </w:r>
      <w:r w:rsidRPr="00A23800">
        <w:rPr>
          <w:rFonts w:ascii="Calibri" w:hAnsi="Calibri"/>
          <w:color w:val="231F20"/>
          <w:w w:val="105"/>
        </w:rPr>
        <w:t>when</w:t>
      </w:r>
      <w:r w:rsidRPr="00F7048E">
        <w:rPr>
          <w:rFonts w:ascii="Calibri" w:hAnsi="Calibri"/>
          <w:color w:val="231F20"/>
          <w:w w:val="105"/>
        </w:rPr>
        <w:t xml:space="preserve"> </w:t>
      </w:r>
      <w:r w:rsidRPr="00A23800">
        <w:rPr>
          <w:rFonts w:ascii="Calibri" w:hAnsi="Calibri"/>
          <w:color w:val="231F20"/>
          <w:w w:val="105"/>
        </w:rPr>
        <w:t>served</w:t>
      </w:r>
      <w:r w:rsidRPr="00F7048E">
        <w:rPr>
          <w:rFonts w:ascii="Calibri" w:hAnsi="Calibri"/>
          <w:color w:val="231F20"/>
          <w:w w:val="105"/>
        </w:rPr>
        <w:t xml:space="preserve"> </w:t>
      </w:r>
      <w:r w:rsidRPr="00A23800">
        <w:rPr>
          <w:rFonts w:ascii="Calibri" w:hAnsi="Calibri"/>
          <w:color w:val="231F20"/>
          <w:w w:val="105"/>
        </w:rPr>
        <w:t>by</w:t>
      </w:r>
      <w:r w:rsidRPr="00F7048E">
        <w:rPr>
          <w:rFonts w:ascii="Calibri" w:hAnsi="Calibri"/>
          <w:color w:val="231F20"/>
          <w:w w:val="105"/>
        </w:rPr>
        <w:t xml:space="preserve"> </w:t>
      </w:r>
      <w:r w:rsidRPr="00A23800">
        <w:rPr>
          <w:rFonts w:ascii="Calibri" w:hAnsi="Calibri"/>
          <w:color w:val="231F20"/>
          <w:w w:val="105"/>
        </w:rPr>
        <w:t>both</w:t>
      </w:r>
      <w:r w:rsidRPr="00F7048E">
        <w:rPr>
          <w:rFonts w:ascii="Calibri" w:hAnsi="Calibri"/>
          <w:color w:val="231F20"/>
          <w:w w:val="105"/>
        </w:rPr>
        <w:t xml:space="preserve"> </w:t>
      </w:r>
      <w:r w:rsidRPr="00A23800">
        <w:rPr>
          <w:rFonts w:ascii="Calibri" w:hAnsi="Calibri"/>
          <w:color w:val="231F20"/>
          <w:w w:val="105"/>
        </w:rPr>
        <w:t>agencies.</w:t>
      </w:r>
      <w:r w:rsidRPr="00F7048E">
        <w:rPr>
          <w:rFonts w:ascii="Calibri" w:hAnsi="Calibri"/>
          <w:color w:val="231F20"/>
          <w:w w:val="105"/>
        </w:rPr>
        <w:t xml:space="preserve"> </w:t>
      </w:r>
      <w:r w:rsidRPr="00A23800">
        <w:rPr>
          <w:rFonts w:ascii="Calibri" w:hAnsi="Calibri"/>
          <w:color w:val="231F20"/>
          <w:w w:val="105"/>
        </w:rPr>
        <w:t>VR</w:t>
      </w:r>
      <w:r w:rsidRPr="00F7048E">
        <w:rPr>
          <w:rFonts w:ascii="Calibri" w:hAnsi="Calibri"/>
          <w:color w:val="231F20"/>
          <w:w w:val="105"/>
        </w:rPr>
        <w:t xml:space="preserve"> </w:t>
      </w:r>
      <w:r w:rsidRPr="00A23800">
        <w:rPr>
          <w:rFonts w:ascii="Calibri" w:hAnsi="Calibri"/>
          <w:color w:val="231F20"/>
          <w:w w:val="105"/>
        </w:rPr>
        <w:t>endorses</w:t>
      </w:r>
      <w:r w:rsidRPr="00F7048E">
        <w:rPr>
          <w:rFonts w:ascii="Calibri" w:hAnsi="Calibri"/>
          <w:color w:val="231F20"/>
          <w:w w:val="105"/>
        </w:rPr>
        <w:t xml:space="preserve"> </w:t>
      </w:r>
      <w:r w:rsidRPr="00A23800">
        <w:rPr>
          <w:rFonts w:ascii="Calibri" w:hAnsi="Calibri"/>
          <w:color w:val="231F20"/>
          <w:w w:val="105"/>
        </w:rPr>
        <w:t>evidence-based</w:t>
      </w:r>
      <w:r w:rsidRPr="00F7048E">
        <w:rPr>
          <w:rFonts w:ascii="Calibri" w:hAnsi="Calibri"/>
          <w:color w:val="231F20"/>
          <w:w w:val="105"/>
        </w:rPr>
        <w:t xml:space="preserve"> </w:t>
      </w:r>
      <w:r w:rsidRPr="00A23800">
        <w:rPr>
          <w:rFonts w:ascii="Calibri" w:hAnsi="Calibri"/>
          <w:color w:val="231F20"/>
          <w:w w:val="105"/>
        </w:rPr>
        <w:t>LEA</w:t>
      </w:r>
      <w:r w:rsidRPr="00F7048E">
        <w:rPr>
          <w:rFonts w:ascii="Calibri" w:hAnsi="Calibri"/>
          <w:color w:val="231F20"/>
          <w:w w:val="105"/>
        </w:rPr>
        <w:t xml:space="preserve"> </w:t>
      </w:r>
      <w:r w:rsidRPr="00A23800">
        <w:rPr>
          <w:rFonts w:ascii="Calibri" w:hAnsi="Calibri"/>
          <w:color w:val="231F20"/>
          <w:w w:val="105"/>
        </w:rPr>
        <w:t>services</w:t>
      </w:r>
      <w:r w:rsidRPr="00F7048E">
        <w:rPr>
          <w:rFonts w:ascii="Calibri" w:hAnsi="Calibri"/>
          <w:color w:val="231F20"/>
          <w:w w:val="105"/>
        </w:rPr>
        <w:t xml:space="preserve"> </w:t>
      </w:r>
      <w:r w:rsidRPr="00A23800">
        <w:rPr>
          <w:rFonts w:ascii="Calibri" w:hAnsi="Calibri"/>
          <w:color w:val="231F20"/>
          <w:w w:val="105"/>
        </w:rPr>
        <w:t>that</w:t>
      </w:r>
      <w:r w:rsidRPr="00F7048E">
        <w:rPr>
          <w:rFonts w:ascii="Calibri" w:hAnsi="Calibri"/>
          <w:color w:val="231F20"/>
          <w:w w:val="105"/>
        </w:rPr>
        <w:t xml:space="preserve"> </w:t>
      </w:r>
      <w:r w:rsidRPr="00A23800">
        <w:rPr>
          <w:rFonts w:ascii="Calibri" w:hAnsi="Calibri"/>
          <w:color w:val="231F20"/>
          <w:w w:val="105"/>
        </w:rPr>
        <w:t>benefit</w:t>
      </w:r>
      <w:r w:rsidRPr="00F7048E">
        <w:rPr>
          <w:rFonts w:ascii="Calibri" w:hAnsi="Calibri"/>
          <w:color w:val="231F20"/>
          <w:w w:val="105"/>
        </w:rPr>
        <w:t xml:space="preserve"> </w:t>
      </w:r>
      <w:r w:rsidRPr="00A23800">
        <w:rPr>
          <w:rFonts w:ascii="Calibri" w:hAnsi="Calibri"/>
          <w:color w:val="231F20"/>
          <w:w w:val="105"/>
        </w:rPr>
        <w:t>students</w:t>
      </w:r>
      <w:r w:rsidRPr="00F7048E">
        <w:rPr>
          <w:rFonts w:ascii="Calibri" w:hAnsi="Calibri"/>
          <w:color w:val="231F20"/>
          <w:w w:val="105"/>
        </w:rPr>
        <w:t xml:space="preserve"> </w:t>
      </w:r>
      <w:r w:rsidRPr="00A23800">
        <w:rPr>
          <w:rFonts w:ascii="Calibri" w:hAnsi="Calibri"/>
          <w:color w:val="231F20"/>
          <w:w w:val="105"/>
        </w:rPr>
        <w:t>with</w:t>
      </w:r>
      <w:r w:rsidRPr="00F7048E">
        <w:rPr>
          <w:rFonts w:ascii="Calibri" w:hAnsi="Calibri"/>
          <w:color w:val="231F20"/>
          <w:w w:val="105"/>
        </w:rPr>
        <w:t xml:space="preserve"> </w:t>
      </w:r>
      <w:r w:rsidRPr="00A23800">
        <w:rPr>
          <w:rFonts w:ascii="Calibri" w:hAnsi="Calibri"/>
          <w:color w:val="231F20"/>
          <w:w w:val="105"/>
        </w:rPr>
        <w:t>disabilities,</w:t>
      </w:r>
      <w:r w:rsidRPr="00F7048E">
        <w:rPr>
          <w:rFonts w:ascii="Calibri" w:hAnsi="Calibri"/>
          <w:color w:val="231F20"/>
          <w:w w:val="105"/>
        </w:rPr>
        <w:t xml:space="preserve"> </w:t>
      </w:r>
      <w:r w:rsidRPr="00A23800">
        <w:rPr>
          <w:rFonts w:ascii="Calibri" w:hAnsi="Calibri"/>
          <w:color w:val="231F20"/>
          <w:w w:val="105"/>
        </w:rPr>
        <w:t>including</w:t>
      </w:r>
      <w:r w:rsidRPr="00F7048E">
        <w:rPr>
          <w:rFonts w:ascii="Calibri" w:hAnsi="Calibri"/>
          <w:color w:val="231F20"/>
          <w:w w:val="105"/>
        </w:rPr>
        <w:t xml:space="preserve"> </w:t>
      </w:r>
      <w:r w:rsidRPr="00A23800">
        <w:rPr>
          <w:rFonts w:ascii="Calibri" w:hAnsi="Calibri"/>
          <w:color w:val="231F20"/>
          <w:w w:val="105"/>
        </w:rPr>
        <w:t>educating</w:t>
      </w:r>
      <w:r w:rsidRPr="00F7048E">
        <w:rPr>
          <w:rFonts w:ascii="Calibri" w:hAnsi="Calibri"/>
          <w:color w:val="231F20"/>
          <w:w w:val="105"/>
        </w:rPr>
        <w:t xml:space="preserve"> </w:t>
      </w:r>
      <w:r w:rsidRPr="00A23800">
        <w:rPr>
          <w:rFonts w:ascii="Calibri" w:hAnsi="Calibri"/>
          <w:color w:val="231F20"/>
          <w:w w:val="105"/>
        </w:rPr>
        <w:t>students</w:t>
      </w:r>
      <w:r w:rsidRPr="00F7048E">
        <w:rPr>
          <w:rFonts w:ascii="Calibri" w:hAnsi="Calibri"/>
          <w:color w:val="231F20"/>
          <w:w w:val="105"/>
        </w:rPr>
        <w:t xml:space="preserve"> </w:t>
      </w:r>
      <w:r w:rsidRPr="00A23800">
        <w:rPr>
          <w:rFonts w:ascii="Calibri" w:hAnsi="Calibri"/>
          <w:color w:val="231F20"/>
          <w:w w:val="105"/>
        </w:rPr>
        <w:t>in</w:t>
      </w:r>
      <w:r w:rsidRPr="00F7048E">
        <w:rPr>
          <w:rFonts w:ascii="Calibri" w:hAnsi="Calibri"/>
          <w:color w:val="231F20"/>
          <w:w w:val="105"/>
        </w:rPr>
        <w:t xml:space="preserve"> </w:t>
      </w:r>
      <w:r w:rsidRPr="00A23800">
        <w:rPr>
          <w:rFonts w:ascii="Calibri" w:hAnsi="Calibri"/>
          <w:color w:val="231F20"/>
          <w:w w:val="105"/>
        </w:rPr>
        <w:t>the</w:t>
      </w:r>
      <w:r w:rsidRPr="00F7048E">
        <w:rPr>
          <w:rFonts w:ascii="Calibri" w:hAnsi="Calibri"/>
          <w:color w:val="231F20"/>
          <w:w w:val="105"/>
        </w:rPr>
        <w:t xml:space="preserve"> </w:t>
      </w:r>
      <w:r w:rsidRPr="00A23800">
        <w:rPr>
          <w:rFonts w:ascii="Calibri" w:hAnsi="Calibri"/>
          <w:color w:val="231F20"/>
          <w:w w:val="105"/>
        </w:rPr>
        <w:t>least</w:t>
      </w:r>
      <w:r w:rsidRPr="00F7048E">
        <w:rPr>
          <w:rFonts w:ascii="Calibri" w:hAnsi="Calibri"/>
          <w:color w:val="231F20"/>
          <w:w w:val="105"/>
        </w:rPr>
        <w:t xml:space="preserve"> </w:t>
      </w:r>
      <w:r w:rsidRPr="00A23800">
        <w:rPr>
          <w:rFonts w:ascii="Calibri" w:hAnsi="Calibri"/>
          <w:color w:val="231F20"/>
          <w:w w:val="105"/>
        </w:rPr>
        <w:t>restrictive</w:t>
      </w:r>
      <w:r w:rsidRPr="00F7048E">
        <w:rPr>
          <w:rFonts w:ascii="Calibri" w:hAnsi="Calibri"/>
          <w:color w:val="231F20"/>
          <w:w w:val="105"/>
        </w:rPr>
        <w:t xml:space="preserve"> </w:t>
      </w:r>
      <w:r w:rsidRPr="00A23800">
        <w:rPr>
          <w:rFonts w:ascii="Calibri" w:hAnsi="Calibri"/>
          <w:color w:val="231F20"/>
          <w:w w:val="105"/>
        </w:rPr>
        <w:t>environment with their non-disabled peers and having access to the original curricula. VR counselors</w:t>
      </w:r>
      <w:r w:rsidRPr="00F7048E">
        <w:rPr>
          <w:rFonts w:ascii="Calibri" w:hAnsi="Calibri"/>
          <w:color w:val="231F20"/>
          <w:w w:val="105"/>
        </w:rPr>
        <w:t xml:space="preserve"> </w:t>
      </w:r>
      <w:r w:rsidRPr="00A23800">
        <w:rPr>
          <w:rFonts w:ascii="Calibri" w:hAnsi="Calibri"/>
          <w:color w:val="231F20"/>
          <w:w w:val="105"/>
        </w:rPr>
        <w:t>continue</w:t>
      </w:r>
      <w:r w:rsidRPr="00F7048E">
        <w:rPr>
          <w:rFonts w:ascii="Calibri" w:hAnsi="Calibri"/>
          <w:color w:val="231F20"/>
          <w:w w:val="105"/>
        </w:rPr>
        <w:t xml:space="preserve"> </w:t>
      </w:r>
      <w:r w:rsidRPr="00A23800">
        <w:rPr>
          <w:rFonts w:ascii="Calibri" w:hAnsi="Calibri"/>
          <w:color w:val="231F20"/>
          <w:w w:val="105"/>
        </w:rPr>
        <w:t>to</w:t>
      </w:r>
      <w:r w:rsidRPr="00F7048E">
        <w:rPr>
          <w:rFonts w:ascii="Calibri" w:hAnsi="Calibri"/>
          <w:color w:val="231F20"/>
          <w:w w:val="105"/>
        </w:rPr>
        <w:t xml:space="preserve"> </w:t>
      </w:r>
      <w:r w:rsidRPr="00A23800">
        <w:rPr>
          <w:rFonts w:ascii="Calibri" w:hAnsi="Calibri"/>
          <w:color w:val="231F20"/>
          <w:w w:val="105"/>
        </w:rPr>
        <w:t>attend</w:t>
      </w:r>
      <w:r w:rsidRPr="00F7048E">
        <w:rPr>
          <w:rFonts w:ascii="Calibri" w:hAnsi="Calibri"/>
          <w:color w:val="231F20"/>
          <w:w w:val="105"/>
        </w:rPr>
        <w:t xml:space="preserve"> </w:t>
      </w:r>
      <w:r w:rsidRPr="00A23800">
        <w:rPr>
          <w:rFonts w:ascii="Calibri" w:hAnsi="Calibri"/>
          <w:color w:val="231F20"/>
          <w:w w:val="105"/>
        </w:rPr>
        <w:t>regular</w:t>
      </w:r>
      <w:r w:rsidRPr="00F7048E">
        <w:rPr>
          <w:rFonts w:ascii="Calibri" w:hAnsi="Calibri"/>
          <w:color w:val="231F20"/>
          <w:w w:val="105"/>
        </w:rPr>
        <w:t xml:space="preserve"> </w:t>
      </w:r>
      <w:r w:rsidRPr="00A23800">
        <w:rPr>
          <w:rFonts w:ascii="Calibri" w:hAnsi="Calibri"/>
          <w:color w:val="231F20"/>
          <w:w w:val="105"/>
        </w:rPr>
        <w:t>in-service</w:t>
      </w:r>
      <w:r w:rsidRPr="00F7048E">
        <w:rPr>
          <w:rFonts w:ascii="Calibri" w:hAnsi="Calibri"/>
          <w:color w:val="231F20"/>
          <w:w w:val="105"/>
        </w:rPr>
        <w:t xml:space="preserve"> </w:t>
      </w:r>
      <w:r w:rsidRPr="00A23800">
        <w:rPr>
          <w:rFonts w:ascii="Calibri" w:hAnsi="Calibri"/>
          <w:color w:val="231F20"/>
          <w:w w:val="105"/>
        </w:rPr>
        <w:t>training</w:t>
      </w:r>
      <w:r w:rsidRPr="00F7048E">
        <w:rPr>
          <w:rFonts w:ascii="Calibri" w:hAnsi="Calibri"/>
          <w:color w:val="231F20"/>
          <w:w w:val="105"/>
        </w:rPr>
        <w:t xml:space="preserve"> </w:t>
      </w:r>
      <w:r w:rsidRPr="00A23800">
        <w:rPr>
          <w:rFonts w:ascii="Calibri" w:hAnsi="Calibri"/>
          <w:color w:val="231F20"/>
          <w:w w:val="105"/>
        </w:rPr>
        <w:t>that</w:t>
      </w:r>
      <w:r w:rsidRPr="00F7048E">
        <w:rPr>
          <w:rFonts w:ascii="Calibri" w:hAnsi="Calibri"/>
          <w:color w:val="231F20"/>
          <w:w w:val="105"/>
        </w:rPr>
        <w:t xml:space="preserve"> </w:t>
      </w:r>
      <w:r w:rsidRPr="00A23800">
        <w:rPr>
          <w:rFonts w:ascii="Calibri" w:hAnsi="Calibri"/>
          <w:color w:val="231F20"/>
          <w:w w:val="105"/>
        </w:rPr>
        <w:t>specifically</w:t>
      </w:r>
      <w:r w:rsidRPr="00F7048E">
        <w:rPr>
          <w:rFonts w:ascii="Calibri" w:hAnsi="Calibri"/>
          <w:color w:val="231F20"/>
          <w:w w:val="105"/>
        </w:rPr>
        <w:t xml:space="preserve"> </w:t>
      </w:r>
      <w:r w:rsidRPr="00A23800">
        <w:rPr>
          <w:rFonts w:ascii="Calibri" w:hAnsi="Calibri"/>
          <w:color w:val="231F20"/>
          <w:w w:val="105"/>
        </w:rPr>
        <w:t>targets</w:t>
      </w:r>
      <w:r w:rsidRPr="00F7048E">
        <w:rPr>
          <w:rFonts w:ascii="Calibri" w:hAnsi="Calibri"/>
          <w:color w:val="231F20"/>
          <w:w w:val="105"/>
        </w:rPr>
        <w:t xml:space="preserve"> </w:t>
      </w:r>
      <w:r w:rsidRPr="00A23800">
        <w:rPr>
          <w:rFonts w:ascii="Calibri" w:hAnsi="Calibri"/>
          <w:color w:val="231F20"/>
          <w:w w:val="105"/>
        </w:rPr>
        <w:t>transition</w:t>
      </w:r>
      <w:r w:rsidRPr="00F7048E">
        <w:rPr>
          <w:rFonts w:ascii="Calibri" w:hAnsi="Calibri"/>
          <w:color w:val="231F20"/>
          <w:w w:val="105"/>
        </w:rPr>
        <w:t xml:space="preserve"> </w:t>
      </w:r>
      <w:r w:rsidRPr="00A23800">
        <w:rPr>
          <w:rFonts w:ascii="Calibri" w:hAnsi="Calibri"/>
          <w:color w:val="231F20"/>
          <w:w w:val="105"/>
        </w:rPr>
        <w:t>youth</w:t>
      </w:r>
      <w:r w:rsidRPr="00F7048E">
        <w:rPr>
          <w:rFonts w:ascii="Calibri" w:hAnsi="Calibri"/>
          <w:color w:val="231F20"/>
          <w:w w:val="105"/>
        </w:rPr>
        <w:t xml:space="preserve"> </w:t>
      </w:r>
      <w:r w:rsidRPr="00A23800">
        <w:rPr>
          <w:rFonts w:ascii="Calibri" w:hAnsi="Calibri"/>
          <w:color w:val="231F20"/>
          <w:w w:val="105"/>
        </w:rPr>
        <w:t>issues</w:t>
      </w:r>
      <w:r w:rsidRPr="00F7048E">
        <w:rPr>
          <w:rFonts w:ascii="Calibri" w:hAnsi="Calibri"/>
          <w:color w:val="231F20"/>
          <w:w w:val="105"/>
        </w:rPr>
        <w:t xml:space="preserve"> </w:t>
      </w:r>
      <w:r w:rsidRPr="00A23800">
        <w:rPr>
          <w:rFonts w:ascii="Calibri" w:hAnsi="Calibri"/>
          <w:color w:val="231F20"/>
          <w:w w:val="105"/>
        </w:rPr>
        <w:t>and</w:t>
      </w:r>
      <w:r w:rsidRPr="00F7048E">
        <w:rPr>
          <w:rFonts w:ascii="Calibri" w:hAnsi="Calibri"/>
          <w:color w:val="231F20"/>
          <w:w w:val="105"/>
        </w:rPr>
        <w:t xml:space="preserve"> </w:t>
      </w:r>
      <w:r w:rsidRPr="00A23800">
        <w:rPr>
          <w:rFonts w:ascii="Calibri" w:hAnsi="Calibri"/>
          <w:color w:val="231F20"/>
          <w:w w:val="105"/>
        </w:rPr>
        <w:t>helps</w:t>
      </w:r>
      <w:r w:rsidRPr="00F7048E">
        <w:rPr>
          <w:rFonts w:ascii="Calibri" w:hAnsi="Calibri"/>
          <w:color w:val="231F20"/>
          <w:w w:val="105"/>
        </w:rPr>
        <w:t xml:space="preserve"> </w:t>
      </w:r>
      <w:r w:rsidRPr="00A23800">
        <w:rPr>
          <w:rFonts w:ascii="Calibri" w:hAnsi="Calibri"/>
          <w:color w:val="231F20"/>
          <w:w w:val="105"/>
        </w:rPr>
        <w:t>meet the requirements of the CSPD.</w:t>
      </w:r>
    </w:p>
    <w:p w14:paraId="70193FDB" w14:textId="77777777" w:rsidR="00A07550" w:rsidRPr="00F7048E" w:rsidRDefault="00A07550" w:rsidP="00D63204">
      <w:pPr>
        <w:widowControl w:val="0"/>
        <w:spacing w:after="0" w:line="240" w:lineRule="auto"/>
        <w:ind w:left="107"/>
        <w:rPr>
          <w:rFonts w:ascii="Calibri" w:hAnsi="Calibri"/>
          <w:color w:val="231F20"/>
          <w:w w:val="105"/>
        </w:rPr>
      </w:pPr>
    </w:p>
    <w:p w14:paraId="13B3AED9" w14:textId="405BC9AC" w:rsidR="00A07550" w:rsidRPr="00F7048E" w:rsidRDefault="00A07550" w:rsidP="00D63204">
      <w:pPr>
        <w:widowControl w:val="0"/>
        <w:spacing w:after="0" w:line="240" w:lineRule="auto"/>
        <w:ind w:left="107"/>
        <w:rPr>
          <w:rFonts w:ascii="Calibri" w:hAnsi="Calibri"/>
          <w:color w:val="231F20"/>
          <w:w w:val="105"/>
        </w:rPr>
      </w:pPr>
      <w:r w:rsidRPr="00A23800">
        <w:rPr>
          <w:rFonts w:ascii="Calibri" w:hAnsi="Calibri"/>
          <w:color w:val="231F20"/>
          <w:w w:val="105"/>
        </w:rPr>
        <w:t>VR</w:t>
      </w:r>
      <w:r w:rsidRPr="00F7048E">
        <w:rPr>
          <w:rFonts w:ascii="Calibri" w:hAnsi="Calibri"/>
          <w:color w:val="231F20"/>
          <w:w w:val="105"/>
        </w:rPr>
        <w:t xml:space="preserve"> </w:t>
      </w:r>
      <w:r w:rsidRPr="00A23800">
        <w:rPr>
          <w:rFonts w:ascii="Calibri" w:hAnsi="Calibri"/>
          <w:color w:val="231F20"/>
          <w:w w:val="105"/>
        </w:rPr>
        <w:t>and</w:t>
      </w:r>
      <w:r w:rsidRPr="00F7048E">
        <w:rPr>
          <w:rFonts w:ascii="Calibri" w:hAnsi="Calibri"/>
          <w:color w:val="231F20"/>
          <w:w w:val="105"/>
        </w:rPr>
        <w:t xml:space="preserve"> </w:t>
      </w:r>
      <w:r w:rsidRPr="00A23800">
        <w:rPr>
          <w:rFonts w:ascii="Calibri" w:hAnsi="Calibri"/>
          <w:color w:val="231F20"/>
          <w:w w:val="105"/>
        </w:rPr>
        <w:t>community</w:t>
      </w:r>
      <w:r w:rsidRPr="00F7048E">
        <w:rPr>
          <w:rFonts w:ascii="Calibri" w:hAnsi="Calibri"/>
          <w:color w:val="231F20"/>
          <w:w w:val="105"/>
        </w:rPr>
        <w:t xml:space="preserve"> </w:t>
      </w:r>
      <w:r w:rsidRPr="00A23800">
        <w:rPr>
          <w:rFonts w:ascii="Calibri" w:hAnsi="Calibri"/>
          <w:color w:val="231F20"/>
          <w:w w:val="105"/>
        </w:rPr>
        <w:t>partners</w:t>
      </w:r>
      <w:r w:rsidRPr="00F7048E">
        <w:rPr>
          <w:rFonts w:ascii="Calibri" w:hAnsi="Calibri"/>
          <w:color w:val="231F20"/>
          <w:w w:val="105"/>
        </w:rPr>
        <w:t xml:space="preserve"> </w:t>
      </w:r>
      <w:r w:rsidRPr="00A23800">
        <w:rPr>
          <w:rFonts w:ascii="Calibri" w:hAnsi="Calibri"/>
          <w:color w:val="231F20"/>
          <w:w w:val="105"/>
        </w:rPr>
        <w:t>continue</w:t>
      </w:r>
      <w:r w:rsidRPr="00F7048E">
        <w:rPr>
          <w:rFonts w:ascii="Calibri" w:hAnsi="Calibri"/>
          <w:color w:val="231F20"/>
          <w:w w:val="105"/>
        </w:rPr>
        <w:t xml:space="preserve"> </w:t>
      </w:r>
      <w:r w:rsidRPr="00A23800">
        <w:rPr>
          <w:rFonts w:ascii="Calibri" w:hAnsi="Calibri"/>
          <w:color w:val="231F20"/>
          <w:w w:val="105"/>
        </w:rPr>
        <w:t>to</w:t>
      </w:r>
      <w:r w:rsidRPr="00F7048E">
        <w:rPr>
          <w:rFonts w:ascii="Calibri" w:hAnsi="Calibri"/>
          <w:color w:val="231F20"/>
          <w:w w:val="105"/>
        </w:rPr>
        <w:t xml:space="preserve"> </w:t>
      </w:r>
      <w:r w:rsidRPr="00A23800">
        <w:rPr>
          <w:rFonts w:ascii="Calibri" w:hAnsi="Calibri"/>
          <w:color w:val="231F20"/>
          <w:w w:val="105"/>
        </w:rPr>
        <w:t>make</w:t>
      </w:r>
      <w:r w:rsidRPr="00F7048E">
        <w:rPr>
          <w:rFonts w:ascii="Calibri" w:hAnsi="Calibri"/>
          <w:color w:val="231F20"/>
          <w:w w:val="105"/>
        </w:rPr>
        <w:t xml:space="preserve"> </w:t>
      </w:r>
      <w:r w:rsidRPr="00A23800">
        <w:rPr>
          <w:rFonts w:ascii="Calibri" w:hAnsi="Calibri"/>
          <w:color w:val="231F20"/>
          <w:w w:val="105"/>
        </w:rPr>
        <w:t>presentations</w:t>
      </w:r>
      <w:r w:rsidRPr="00F7048E">
        <w:rPr>
          <w:rFonts w:ascii="Calibri" w:hAnsi="Calibri"/>
          <w:color w:val="231F20"/>
          <w:w w:val="105"/>
        </w:rPr>
        <w:t xml:space="preserve"> </w:t>
      </w:r>
      <w:r w:rsidRPr="00A23800">
        <w:rPr>
          <w:rFonts w:ascii="Calibri" w:hAnsi="Calibri"/>
          <w:color w:val="231F20"/>
          <w:w w:val="105"/>
        </w:rPr>
        <w:t>and</w:t>
      </w:r>
      <w:r w:rsidRPr="00F7048E">
        <w:rPr>
          <w:rFonts w:ascii="Calibri" w:hAnsi="Calibri"/>
          <w:color w:val="231F20"/>
          <w:w w:val="105"/>
        </w:rPr>
        <w:t xml:space="preserve"> </w:t>
      </w:r>
      <w:r w:rsidRPr="00A23800">
        <w:rPr>
          <w:rFonts w:ascii="Calibri" w:hAnsi="Calibri"/>
          <w:color w:val="231F20"/>
          <w:w w:val="105"/>
        </w:rPr>
        <w:t>participate</w:t>
      </w:r>
      <w:r w:rsidRPr="00F7048E">
        <w:rPr>
          <w:rFonts w:ascii="Calibri" w:hAnsi="Calibri"/>
          <w:color w:val="231F20"/>
          <w:w w:val="105"/>
        </w:rPr>
        <w:t xml:space="preserve"> </w:t>
      </w:r>
      <w:r w:rsidRPr="00A23800">
        <w:rPr>
          <w:rFonts w:ascii="Calibri" w:hAnsi="Calibri"/>
          <w:color w:val="231F20"/>
          <w:w w:val="105"/>
        </w:rPr>
        <w:t>in</w:t>
      </w:r>
      <w:r w:rsidRPr="00F7048E">
        <w:rPr>
          <w:rFonts w:ascii="Calibri" w:hAnsi="Calibri"/>
          <w:color w:val="231F20"/>
          <w:w w:val="105"/>
        </w:rPr>
        <w:t xml:space="preserve"> </w:t>
      </w:r>
      <w:r w:rsidRPr="00A23800">
        <w:rPr>
          <w:rFonts w:ascii="Calibri" w:hAnsi="Calibri"/>
          <w:color w:val="231F20"/>
          <w:w w:val="105"/>
        </w:rPr>
        <w:t>annual</w:t>
      </w:r>
      <w:r w:rsidRPr="00F7048E">
        <w:rPr>
          <w:rFonts w:ascii="Calibri" w:hAnsi="Calibri"/>
          <w:color w:val="231F20"/>
          <w:w w:val="105"/>
        </w:rPr>
        <w:t xml:space="preserve"> </w:t>
      </w:r>
      <w:r w:rsidRPr="00A23800">
        <w:rPr>
          <w:rFonts w:ascii="Calibri" w:hAnsi="Calibri"/>
          <w:color w:val="231F20"/>
          <w:w w:val="105"/>
        </w:rPr>
        <w:t>transition</w:t>
      </w:r>
      <w:r w:rsidRPr="00F7048E">
        <w:rPr>
          <w:rFonts w:ascii="Calibri" w:hAnsi="Calibri"/>
          <w:color w:val="231F20"/>
          <w:w w:val="105"/>
        </w:rPr>
        <w:t xml:space="preserve"> </w:t>
      </w:r>
      <w:r w:rsidRPr="00A23800">
        <w:rPr>
          <w:rFonts w:ascii="Calibri" w:hAnsi="Calibri"/>
          <w:color w:val="231F20"/>
          <w:w w:val="105"/>
        </w:rPr>
        <w:t>conferences</w:t>
      </w:r>
      <w:r w:rsidRPr="00F7048E">
        <w:rPr>
          <w:rFonts w:ascii="Calibri" w:hAnsi="Calibri"/>
          <w:color w:val="231F20"/>
          <w:w w:val="105"/>
        </w:rPr>
        <w:t xml:space="preserve"> </w:t>
      </w:r>
      <w:r w:rsidRPr="00A23800">
        <w:rPr>
          <w:rFonts w:ascii="Calibri" w:hAnsi="Calibri"/>
          <w:color w:val="231F20"/>
          <w:w w:val="105"/>
        </w:rPr>
        <w:t>at</w:t>
      </w:r>
      <w:r w:rsidRPr="00F7048E">
        <w:rPr>
          <w:rFonts w:ascii="Calibri" w:hAnsi="Calibri"/>
          <w:color w:val="231F20"/>
          <w:w w:val="105"/>
        </w:rPr>
        <w:t xml:space="preserve"> </w:t>
      </w:r>
      <w:r w:rsidRPr="00A23800">
        <w:rPr>
          <w:rFonts w:ascii="Calibri" w:hAnsi="Calibri"/>
          <w:color w:val="231F20"/>
          <w:w w:val="105"/>
        </w:rPr>
        <w:t>the</w:t>
      </w:r>
      <w:r w:rsidRPr="00F7048E">
        <w:rPr>
          <w:rFonts w:ascii="Calibri" w:hAnsi="Calibri"/>
          <w:color w:val="231F20"/>
          <w:w w:val="105"/>
        </w:rPr>
        <w:t xml:space="preserve"> </w:t>
      </w:r>
      <w:r w:rsidRPr="00A23800">
        <w:rPr>
          <w:rFonts w:ascii="Calibri" w:hAnsi="Calibri"/>
          <w:color w:val="231F20"/>
          <w:w w:val="105"/>
        </w:rPr>
        <w:t>national,</w:t>
      </w:r>
      <w:r w:rsidRPr="00F7048E">
        <w:rPr>
          <w:rFonts w:ascii="Calibri" w:hAnsi="Calibri"/>
          <w:color w:val="231F20"/>
          <w:w w:val="105"/>
        </w:rPr>
        <w:t xml:space="preserve"> </w:t>
      </w:r>
      <w:r w:rsidRPr="00A23800">
        <w:rPr>
          <w:rFonts w:ascii="Calibri" w:hAnsi="Calibri"/>
          <w:color w:val="231F20"/>
          <w:w w:val="105"/>
        </w:rPr>
        <w:t>state</w:t>
      </w:r>
      <w:r w:rsidR="00D5537E">
        <w:rPr>
          <w:rFonts w:ascii="Calibri" w:hAnsi="Calibri"/>
          <w:color w:val="231F20"/>
          <w:w w:val="105"/>
        </w:rPr>
        <w:t xml:space="preserve"> and</w:t>
      </w:r>
      <w:r w:rsidRPr="00F7048E">
        <w:rPr>
          <w:rFonts w:ascii="Calibri" w:hAnsi="Calibri"/>
          <w:color w:val="231F20"/>
          <w:w w:val="105"/>
        </w:rPr>
        <w:t xml:space="preserve"> </w:t>
      </w:r>
      <w:r w:rsidRPr="00A23800">
        <w:rPr>
          <w:rFonts w:ascii="Calibri" w:hAnsi="Calibri"/>
          <w:color w:val="231F20"/>
          <w:w w:val="105"/>
        </w:rPr>
        <w:t>local</w:t>
      </w:r>
      <w:r w:rsidRPr="00F7048E">
        <w:rPr>
          <w:rFonts w:ascii="Calibri" w:hAnsi="Calibri"/>
          <w:color w:val="231F20"/>
          <w:w w:val="105"/>
        </w:rPr>
        <w:t xml:space="preserve"> </w:t>
      </w:r>
      <w:r w:rsidRPr="00A23800">
        <w:rPr>
          <w:rFonts w:ascii="Calibri" w:hAnsi="Calibri"/>
          <w:color w:val="231F20"/>
          <w:w w:val="105"/>
        </w:rPr>
        <w:t>level</w:t>
      </w:r>
      <w:r w:rsidRPr="00F7048E">
        <w:rPr>
          <w:rFonts w:ascii="Calibri" w:hAnsi="Calibri"/>
          <w:color w:val="231F20"/>
          <w:w w:val="105"/>
        </w:rPr>
        <w:t xml:space="preserve"> </w:t>
      </w:r>
      <w:r w:rsidRPr="00A23800">
        <w:rPr>
          <w:rFonts w:ascii="Calibri" w:hAnsi="Calibri"/>
          <w:color w:val="231F20"/>
          <w:w w:val="105"/>
        </w:rPr>
        <w:t>to</w:t>
      </w:r>
      <w:r w:rsidRPr="00F7048E">
        <w:rPr>
          <w:rFonts w:ascii="Calibri" w:hAnsi="Calibri"/>
          <w:color w:val="231F20"/>
          <w:w w:val="105"/>
        </w:rPr>
        <w:t xml:space="preserve"> </w:t>
      </w:r>
      <w:r w:rsidRPr="00A23800">
        <w:rPr>
          <w:rFonts w:ascii="Calibri" w:hAnsi="Calibri"/>
          <w:color w:val="231F20"/>
          <w:w w:val="105"/>
        </w:rPr>
        <w:t>better</w:t>
      </w:r>
      <w:r w:rsidRPr="00F7048E">
        <w:rPr>
          <w:rFonts w:ascii="Calibri" w:hAnsi="Calibri"/>
          <w:color w:val="231F20"/>
          <w:w w:val="105"/>
        </w:rPr>
        <w:t xml:space="preserve"> </w:t>
      </w:r>
      <w:r w:rsidRPr="00A23800">
        <w:rPr>
          <w:rFonts w:ascii="Calibri" w:hAnsi="Calibri"/>
          <w:color w:val="231F20"/>
          <w:w w:val="105"/>
        </w:rPr>
        <w:t>serve</w:t>
      </w:r>
      <w:r w:rsidRPr="00F7048E">
        <w:rPr>
          <w:rFonts w:ascii="Calibri" w:hAnsi="Calibri"/>
          <w:color w:val="231F20"/>
          <w:w w:val="105"/>
        </w:rPr>
        <w:t xml:space="preserve"> </w:t>
      </w:r>
      <w:r w:rsidRPr="00A23800">
        <w:rPr>
          <w:rFonts w:ascii="Calibri" w:hAnsi="Calibri"/>
          <w:color w:val="231F20"/>
          <w:w w:val="105"/>
        </w:rPr>
        <w:t>students</w:t>
      </w:r>
      <w:r w:rsidRPr="00F7048E">
        <w:rPr>
          <w:rFonts w:ascii="Calibri" w:hAnsi="Calibri"/>
          <w:color w:val="231F20"/>
          <w:w w:val="105"/>
        </w:rPr>
        <w:t xml:space="preserve"> </w:t>
      </w:r>
      <w:r w:rsidRPr="00A23800">
        <w:rPr>
          <w:rFonts w:ascii="Calibri" w:hAnsi="Calibri"/>
          <w:color w:val="231F20"/>
          <w:w w:val="105"/>
        </w:rPr>
        <w:t>with</w:t>
      </w:r>
      <w:r w:rsidRPr="00F7048E">
        <w:rPr>
          <w:rFonts w:ascii="Calibri" w:hAnsi="Calibri"/>
          <w:color w:val="231F20"/>
          <w:w w:val="105"/>
        </w:rPr>
        <w:t xml:space="preserve"> </w:t>
      </w:r>
      <w:r w:rsidRPr="00A23800">
        <w:rPr>
          <w:rFonts w:ascii="Calibri" w:hAnsi="Calibri"/>
          <w:color w:val="231F20"/>
          <w:w w:val="105"/>
        </w:rPr>
        <w:t>disabilities.</w:t>
      </w:r>
      <w:r w:rsidRPr="00F7048E">
        <w:rPr>
          <w:rFonts w:ascii="Calibri" w:hAnsi="Calibri"/>
          <w:color w:val="231F20"/>
          <w:w w:val="105"/>
        </w:rPr>
        <w:t xml:space="preserve"> </w:t>
      </w:r>
      <w:r w:rsidRPr="00A23800">
        <w:rPr>
          <w:rFonts w:ascii="Calibri" w:hAnsi="Calibri"/>
          <w:color w:val="231F20"/>
          <w:w w:val="105"/>
        </w:rPr>
        <w:t>These</w:t>
      </w:r>
      <w:r w:rsidRPr="00F7048E">
        <w:rPr>
          <w:rFonts w:ascii="Calibri" w:hAnsi="Calibri"/>
          <w:color w:val="231F20"/>
          <w:w w:val="105"/>
        </w:rPr>
        <w:t xml:space="preserve"> </w:t>
      </w:r>
      <w:r w:rsidRPr="00A23800">
        <w:rPr>
          <w:rFonts w:ascii="Calibri" w:hAnsi="Calibri"/>
          <w:color w:val="231F20"/>
          <w:w w:val="105"/>
        </w:rPr>
        <w:t>events</w:t>
      </w:r>
      <w:r w:rsidRPr="00F7048E">
        <w:rPr>
          <w:rFonts w:ascii="Calibri" w:hAnsi="Calibri"/>
          <w:color w:val="231F20"/>
          <w:w w:val="105"/>
        </w:rPr>
        <w:t xml:space="preserve"> </w:t>
      </w:r>
      <w:r w:rsidRPr="00A23800">
        <w:rPr>
          <w:rFonts w:ascii="Calibri" w:hAnsi="Calibri"/>
          <w:color w:val="231F20"/>
          <w:w w:val="105"/>
        </w:rPr>
        <w:t>allow</w:t>
      </w:r>
      <w:r w:rsidRPr="00F7048E">
        <w:rPr>
          <w:rFonts w:ascii="Calibri" w:hAnsi="Calibri"/>
          <w:color w:val="231F20"/>
          <w:w w:val="105"/>
        </w:rPr>
        <w:t xml:space="preserve"> </w:t>
      </w:r>
      <w:r w:rsidRPr="00A23800">
        <w:rPr>
          <w:rFonts w:ascii="Calibri" w:hAnsi="Calibri"/>
          <w:color w:val="231F20"/>
          <w:w w:val="105"/>
        </w:rPr>
        <w:t>for</w:t>
      </w:r>
      <w:r w:rsidRPr="00F7048E">
        <w:rPr>
          <w:rFonts w:ascii="Calibri" w:hAnsi="Calibri"/>
          <w:color w:val="231F20"/>
          <w:w w:val="105"/>
        </w:rPr>
        <w:t xml:space="preserve"> </w:t>
      </w:r>
      <w:r w:rsidRPr="00A23800">
        <w:rPr>
          <w:rFonts w:ascii="Calibri" w:hAnsi="Calibri"/>
          <w:color w:val="231F20"/>
          <w:w w:val="105"/>
        </w:rPr>
        <w:t>agency</w:t>
      </w:r>
      <w:r w:rsidRPr="00F7048E">
        <w:rPr>
          <w:rFonts w:ascii="Calibri" w:hAnsi="Calibri"/>
          <w:color w:val="231F20"/>
          <w:w w:val="105"/>
        </w:rPr>
        <w:t xml:space="preserve"> </w:t>
      </w:r>
      <w:r w:rsidRPr="00A23800">
        <w:rPr>
          <w:rFonts w:ascii="Calibri" w:hAnsi="Calibri"/>
          <w:color w:val="231F20"/>
          <w:w w:val="105"/>
        </w:rPr>
        <w:t>updates,</w:t>
      </w:r>
      <w:r w:rsidRPr="00F7048E">
        <w:rPr>
          <w:rFonts w:ascii="Calibri" w:hAnsi="Calibri"/>
          <w:color w:val="231F20"/>
          <w:w w:val="105"/>
        </w:rPr>
        <w:t xml:space="preserve"> </w:t>
      </w:r>
      <w:r w:rsidRPr="00A23800">
        <w:rPr>
          <w:rFonts w:ascii="Calibri" w:hAnsi="Calibri"/>
          <w:color w:val="231F20"/>
          <w:w w:val="105"/>
        </w:rPr>
        <w:t>contributing</w:t>
      </w:r>
      <w:r w:rsidRPr="00F7048E">
        <w:rPr>
          <w:rFonts w:ascii="Calibri" w:hAnsi="Calibri"/>
          <w:color w:val="231F20"/>
          <w:w w:val="105"/>
        </w:rPr>
        <w:t xml:space="preserve"> </w:t>
      </w:r>
      <w:r w:rsidRPr="00A23800">
        <w:rPr>
          <w:rFonts w:ascii="Calibri" w:hAnsi="Calibri"/>
          <w:color w:val="231F20"/>
          <w:w w:val="105"/>
        </w:rPr>
        <w:t>information</w:t>
      </w:r>
      <w:r w:rsidRPr="00F7048E">
        <w:rPr>
          <w:rFonts w:ascii="Calibri" w:hAnsi="Calibri"/>
          <w:color w:val="231F20"/>
          <w:w w:val="105"/>
        </w:rPr>
        <w:t xml:space="preserve"> </w:t>
      </w:r>
      <w:r w:rsidRPr="00A23800">
        <w:rPr>
          <w:rFonts w:ascii="Calibri" w:hAnsi="Calibri"/>
          <w:color w:val="231F20"/>
          <w:w w:val="105"/>
        </w:rPr>
        <w:t>on</w:t>
      </w:r>
      <w:r w:rsidRPr="00F7048E">
        <w:rPr>
          <w:rFonts w:ascii="Calibri" w:hAnsi="Calibri"/>
          <w:color w:val="231F20"/>
          <w:w w:val="105"/>
        </w:rPr>
        <w:t xml:space="preserve"> </w:t>
      </w:r>
      <w:r w:rsidRPr="00A23800">
        <w:rPr>
          <w:rFonts w:ascii="Calibri" w:hAnsi="Calibri"/>
          <w:color w:val="231F20"/>
          <w:w w:val="105"/>
        </w:rPr>
        <w:t>promising</w:t>
      </w:r>
      <w:r w:rsidRPr="00F7048E">
        <w:rPr>
          <w:rFonts w:ascii="Calibri" w:hAnsi="Calibri"/>
          <w:color w:val="231F20"/>
          <w:w w:val="105"/>
        </w:rPr>
        <w:t xml:space="preserve"> </w:t>
      </w:r>
      <w:r w:rsidRPr="00A23800">
        <w:rPr>
          <w:rFonts w:ascii="Calibri" w:hAnsi="Calibri"/>
          <w:color w:val="231F20"/>
          <w:w w:val="105"/>
        </w:rPr>
        <w:t>initiatives</w:t>
      </w:r>
      <w:r w:rsidRPr="00F7048E">
        <w:rPr>
          <w:rFonts w:ascii="Calibri" w:hAnsi="Calibri"/>
          <w:color w:val="231F20"/>
          <w:w w:val="105"/>
        </w:rPr>
        <w:t xml:space="preserve"> </w:t>
      </w:r>
      <w:r w:rsidRPr="00A23800">
        <w:rPr>
          <w:rFonts w:ascii="Calibri" w:hAnsi="Calibri"/>
          <w:color w:val="231F20"/>
          <w:w w:val="105"/>
        </w:rPr>
        <w:t>and</w:t>
      </w:r>
      <w:r w:rsidRPr="00F7048E">
        <w:rPr>
          <w:rFonts w:ascii="Calibri" w:hAnsi="Calibri"/>
          <w:color w:val="231F20"/>
          <w:w w:val="105"/>
        </w:rPr>
        <w:t xml:space="preserve"> </w:t>
      </w:r>
      <w:r w:rsidRPr="00A23800">
        <w:rPr>
          <w:rFonts w:ascii="Calibri" w:hAnsi="Calibri"/>
          <w:color w:val="231F20"/>
          <w:w w:val="105"/>
        </w:rPr>
        <w:t>sharing</w:t>
      </w:r>
      <w:r w:rsidRPr="00F7048E">
        <w:rPr>
          <w:rFonts w:ascii="Calibri" w:hAnsi="Calibri"/>
          <w:color w:val="231F20"/>
          <w:w w:val="105"/>
        </w:rPr>
        <w:t xml:space="preserve"> </w:t>
      </w:r>
      <w:r w:rsidRPr="00A23800">
        <w:rPr>
          <w:rFonts w:ascii="Calibri" w:hAnsi="Calibri"/>
          <w:color w:val="231F20"/>
          <w:w w:val="105"/>
        </w:rPr>
        <w:t>evidence-based</w:t>
      </w:r>
      <w:r w:rsidRPr="00F7048E">
        <w:rPr>
          <w:rFonts w:ascii="Calibri" w:hAnsi="Calibri"/>
          <w:color w:val="231F20"/>
          <w:w w:val="105"/>
        </w:rPr>
        <w:t xml:space="preserve"> </w:t>
      </w:r>
      <w:r w:rsidRPr="00A23800">
        <w:rPr>
          <w:rFonts w:ascii="Calibri" w:hAnsi="Calibri"/>
          <w:color w:val="231F20"/>
          <w:w w:val="105"/>
        </w:rPr>
        <w:t>best</w:t>
      </w:r>
      <w:r w:rsidRPr="00F7048E">
        <w:rPr>
          <w:rFonts w:ascii="Calibri" w:hAnsi="Calibri"/>
          <w:color w:val="231F20"/>
          <w:w w:val="105"/>
        </w:rPr>
        <w:t xml:space="preserve"> </w:t>
      </w:r>
      <w:r w:rsidRPr="00A23800">
        <w:rPr>
          <w:rFonts w:ascii="Calibri" w:hAnsi="Calibri"/>
          <w:color w:val="231F20"/>
          <w:w w:val="105"/>
        </w:rPr>
        <w:t>practices.</w:t>
      </w:r>
      <w:r w:rsidRPr="00F7048E">
        <w:rPr>
          <w:rFonts w:ascii="Calibri" w:hAnsi="Calibri"/>
          <w:color w:val="231F20"/>
          <w:w w:val="105"/>
        </w:rPr>
        <w:t xml:space="preserve"> </w:t>
      </w:r>
      <w:r w:rsidRPr="00A23800">
        <w:rPr>
          <w:rFonts w:ascii="Calibri" w:hAnsi="Calibri"/>
          <w:color w:val="231F20"/>
          <w:w w:val="105"/>
        </w:rPr>
        <w:t>When</w:t>
      </w:r>
      <w:r w:rsidRPr="00F7048E">
        <w:rPr>
          <w:rFonts w:ascii="Calibri" w:hAnsi="Calibri"/>
          <w:color w:val="231F20"/>
          <w:w w:val="105"/>
        </w:rPr>
        <w:t xml:space="preserve"> </w:t>
      </w:r>
      <w:r w:rsidRPr="00A23800">
        <w:rPr>
          <w:rFonts w:ascii="Calibri" w:hAnsi="Calibri"/>
          <w:color w:val="231F20"/>
          <w:w w:val="105"/>
        </w:rPr>
        <w:t>VR</w:t>
      </w:r>
      <w:r w:rsidRPr="00F7048E">
        <w:rPr>
          <w:rFonts w:ascii="Calibri" w:hAnsi="Calibri"/>
          <w:color w:val="231F20"/>
          <w:w w:val="105"/>
        </w:rPr>
        <w:t xml:space="preserve"> </w:t>
      </w:r>
      <w:r w:rsidRPr="00A23800">
        <w:rPr>
          <w:rFonts w:ascii="Calibri" w:hAnsi="Calibri"/>
          <w:color w:val="231F20"/>
          <w:w w:val="105"/>
        </w:rPr>
        <w:t>employees</w:t>
      </w:r>
      <w:r w:rsidRPr="00F7048E">
        <w:rPr>
          <w:rFonts w:ascii="Calibri" w:hAnsi="Calibri"/>
          <w:color w:val="231F20"/>
          <w:w w:val="105"/>
        </w:rPr>
        <w:t xml:space="preserve"> </w:t>
      </w:r>
      <w:r w:rsidRPr="00A23800">
        <w:rPr>
          <w:rFonts w:ascii="Calibri" w:hAnsi="Calibri"/>
          <w:color w:val="231F20"/>
          <w:w w:val="105"/>
        </w:rPr>
        <w:t>and</w:t>
      </w:r>
      <w:r w:rsidRPr="00F7048E">
        <w:rPr>
          <w:rFonts w:ascii="Calibri" w:hAnsi="Calibri"/>
          <w:color w:val="231F20"/>
          <w:w w:val="105"/>
        </w:rPr>
        <w:t xml:space="preserve"> </w:t>
      </w:r>
      <w:r w:rsidRPr="00A23800">
        <w:rPr>
          <w:rFonts w:ascii="Calibri" w:hAnsi="Calibri"/>
          <w:color w:val="231F20"/>
          <w:w w:val="105"/>
        </w:rPr>
        <w:t>local</w:t>
      </w:r>
      <w:r w:rsidRPr="00F7048E">
        <w:rPr>
          <w:rFonts w:ascii="Calibri" w:hAnsi="Calibri"/>
          <w:color w:val="231F20"/>
          <w:w w:val="105"/>
        </w:rPr>
        <w:t xml:space="preserve"> </w:t>
      </w:r>
      <w:r w:rsidRPr="00A23800">
        <w:rPr>
          <w:rFonts w:ascii="Calibri" w:hAnsi="Calibri"/>
          <w:color w:val="231F20"/>
          <w:w w:val="105"/>
        </w:rPr>
        <w:t>educators</w:t>
      </w:r>
      <w:r w:rsidRPr="00F7048E">
        <w:rPr>
          <w:rFonts w:ascii="Calibri" w:hAnsi="Calibri"/>
          <w:color w:val="231F20"/>
          <w:w w:val="105"/>
        </w:rPr>
        <w:t xml:space="preserve"> </w:t>
      </w:r>
      <w:r w:rsidRPr="00A23800">
        <w:rPr>
          <w:rFonts w:ascii="Calibri" w:hAnsi="Calibri"/>
          <w:color w:val="231F20"/>
          <w:w w:val="105"/>
        </w:rPr>
        <w:t>are</w:t>
      </w:r>
      <w:r w:rsidRPr="00F7048E">
        <w:rPr>
          <w:rFonts w:ascii="Calibri" w:hAnsi="Calibri"/>
          <w:color w:val="231F20"/>
          <w:w w:val="105"/>
        </w:rPr>
        <w:t xml:space="preserve"> </w:t>
      </w:r>
      <w:r w:rsidRPr="00A23800">
        <w:rPr>
          <w:rFonts w:ascii="Calibri" w:hAnsi="Calibri"/>
          <w:color w:val="231F20"/>
          <w:w w:val="105"/>
        </w:rPr>
        <w:t>assigned</w:t>
      </w:r>
      <w:r w:rsidRPr="00F7048E">
        <w:rPr>
          <w:rFonts w:ascii="Calibri" w:hAnsi="Calibri"/>
          <w:color w:val="231F20"/>
          <w:w w:val="105"/>
        </w:rPr>
        <w:t xml:space="preserve"> </w:t>
      </w:r>
      <w:r w:rsidRPr="00A23800">
        <w:rPr>
          <w:rFonts w:ascii="Calibri" w:hAnsi="Calibri"/>
          <w:color w:val="231F20"/>
          <w:w w:val="105"/>
        </w:rPr>
        <w:t>to</w:t>
      </w:r>
      <w:r w:rsidRPr="00F7048E">
        <w:rPr>
          <w:rFonts w:ascii="Calibri" w:hAnsi="Calibri"/>
          <w:color w:val="231F20"/>
          <w:w w:val="105"/>
        </w:rPr>
        <w:t xml:space="preserve"> </w:t>
      </w:r>
      <w:r w:rsidRPr="00A23800">
        <w:rPr>
          <w:rFonts w:ascii="Calibri" w:hAnsi="Calibri"/>
          <w:color w:val="231F20"/>
          <w:w w:val="105"/>
        </w:rPr>
        <w:t>teams</w:t>
      </w:r>
      <w:r w:rsidRPr="00F7048E">
        <w:rPr>
          <w:rFonts w:ascii="Calibri" w:hAnsi="Calibri"/>
          <w:color w:val="231F20"/>
          <w:w w:val="105"/>
        </w:rPr>
        <w:t xml:space="preserve"> </w:t>
      </w:r>
      <w:r w:rsidRPr="00A23800">
        <w:rPr>
          <w:rFonts w:ascii="Calibri" w:hAnsi="Calibri"/>
          <w:color w:val="231F20"/>
          <w:w w:val="105"/>
        </w:rPr>
        <w:t>at</w:t>
      </w:r>
      <w:r w:rsidRPr="00F7048E">
        <w:rPr>
          <w:rFonts w:ascii="Calibri" w:hAnsi="Calibri"/>
          <w:color w:val="231F20"/>
          <w:w w:val="105"/>
        </w:rPr>
        <w:t xml:space="preserve"> </w:t>
      </w:r>
      <w:r w:rsidRPr="00A23800">
        <w:rPr>
          <w:rFonts w:ascii="Calibri" w:hAnsi="Calibri"/>
          <w:color w:val="231F20"/>
          <w:w w:val="105"/>
        </w:rPr>
        <w:t>events,</w:t>
      </w:r>
      <w:r w:rsidRPr="00F7048E">
        <w:rPr>
          <w:rFonts w:ascii="Calibri" w:hAnsi="Calibri"/>
          <w:color w:val="231F20"/>
          <w:w w:val="105"/>
        </w:rPr>
        <w:t xml:space="preserve"> </w:t>
      </w:r>
      <w:r w:rsidRPr="00A23800">
        <w:rPr>
          <w:rFonts w:ascii="Calibri" w:hAnsi="Calibri"/>
          <w:color w:val="231F20"/>
          <w:w w:val="105"/>
        </w:rPr>
        <w:t>they</w:t>
      </w:r>
      <w:r w:rsidRPr="00F7048E">
        <w:rPr>
          <w:rFonts w:ascii="Calibri" w:hAnsi="Calibri"/>
          <w:color w:val="231F20"/>
          <w:w w:val="105"/>
        </w:rPr>
        <w:t xml:space="preserve"> </w:t>
      </w:r>
      <w:r w:rsidRPr="00A23800">
        <w:rPr>
          <w:rFonts w:ascii="Calibri" w:hAnsi="Calibri"/>
          <w:color w:val="231F20"/>
          <w:w w:val="105"/>
        </w:rPr>
        <w:t>use</w:t>
      </w:r>
      <w:r w:rsidRPr="00F7048E">
        <w:rPr>
          <w:rFonts w:ascii="Calibri" w:hAnsi="Calibri"/>
          <w:color w:val="231F20"/>
          <w:w w:val="105"/>
        </w:rPr>
        <w:t xml:space="preserve"> </w:t>
      </w:r>
      <w:r w:rsidRPr="00A23800">
        <w:rPr>
          <w:rFonts w:ascii="Calibri" w:hAnsi="Calibri"/>
          <w:color w:val="231F20"/>
          <w:w w:val="105"/>
        </w:rPr>
        <w:t>this</w:t>
      </w:r>
      <w:r w:rsidRPr="00F7048E">
        <w:rPr>
          <w:rFonts w:ascii="Calibri" w:hAnsi="Calibri"/>
          <w:color w:val="231F20"/>
          <w:w w:val="105"/>
        </w:rPr>
        <w:t xml:space="preserve"> </w:t>
      </w:r>
      <w:r w:rsidRPr="00A23800">
        <w:rPr>
          <w:rFonts w:ascii="Calibri" w:hAnsi="Calibri"/>
          <w:color w:val="231F20"/>
          <w:w w:val="105"/>
        </w:rPr>
        <w:t>time to discuss issues and learn from one another about effective transition practices. This information</w:t>
      </w:r>
      <w:r w:rsidRPr="00F7048E">
        <w:rPr>
          <w:rFonts w:ascii="Calibri" w:hAnsi="Calibri"/>
          <w:color w:val="231F20"/>
          <w:w w:val="105"/>
        </w:rPr>
        <w:t xml:space="preserve"> </w:t>
      </w:r>
      <w:r w:rsidRPr="00A23800">
        <w:rPr>
          <w:rFonts w:ascii="Calibri" w:hAnsi="Calibri"/>
          <w:color w:val="231F20"/>
          <w:w w:val="105"/>
        </w:rPr>
        <w:t>is</w:t>
      </w:r>
      <w:r w:rsidRPr="00F7048E">
        <w:rPr>
          <w:rFonts w:ascii="Calibri" w:hAnsi="Calibri"/>
          <w:color w:val="231F20"/>
          <w:w w:val="105"/>
        </w:rPr>
        <w:t xml:space="preserve"> </w:t>
      </w:r>
      <w:r w:rsidRPr="00A23800">
        <w:rPr>
          <w:rFonts w:ascii="Calibri" w:hAnsi="Calibri"/>
          <w:color w:val="231F20"/>
          <w:w w:val="105"/>
        </w:rPr>
        <w:t>often incorporated into VR staff</w:t>
      </w:r>
      <w:r w:rsidRPr="00F7048E">
        <w:rPr>
          <w:rFonts w:ascii="Calibri" w:hAnsi="Calibri"/>
          <w:color w:val="231F20"/>
          <w:w w:val="105"/>
        </w:rPr>
        <w:t xml:space="preserve"> </w:t>
      </w:r>
      <w:r w:rsidRPr="00A23800">
        <w:rPr>
          <w:rFonts w:ascii="Calibri" w:hAnsi="Calibri"/>
          <w:color w:val="231F20"/>
          <w:w w:val="105"/>
        </w:rPr>
        <w:t>trainings.</w:t>
      </w:r>
    </w:p>
    <w:p w14:paraId="6F476444" w14:textId="77777777" w:rsidR="00A07550" w:rsidRPr="00F7048E" w:rsidRDefault="00A07550" w:rsidP="00D63204">
      <w:pPr>
        <w:widowControl w:val="0"/>
        <w:spacing w:after="0" w:line="240" w:lineRule="auto"/>
        <w:ind w:left="107"/>
        <w:rPr>
          <w:rFonts w:ascii="Calibri" w:hAnsi="Calibri"/>
          <w:color w:val="231F20"/>
          <w:w w:val="105"/>
        </w:rPr>
      </w:pPr>
    </w:p>
    <w:p w14:paraId="20DE6FB4" w14:textId="1C54AADF" w:rsidR="00A07550" w:rsidRPr="00F7048E" w:rsidRDefault="00A07550" w:rsidP="00D63204">
      <w:pPr>
        <w:widowControl w:val="0"/>
        <w:spacing w:after="0" w:line="240" w:lineRule="auto"/>
        <w:ind w:left="107"/>
        <w:rPr>
          <w:rFonts w:ascii="Calibri" w:hAnsi="Calibri"/>
          <w:color w:val="231F20"/>
          <w:w w:val="105"/>
        </w:rPr>
      </w:pPr>
      <w:r w:rsidRPr="00F7048E">
        <w:rPr>
          <w:rFonts w:ascii="Calibri" w:hAnsi="Calibri"/>
          <w:color w:val="231F20"/>
          <w:w w:val="105"/>
        </w:rPr>
        <w:t>Statewide transition training is provided on yearly basis. New counselors</w:t>
      </w:r>
      <w:r w:rsidR="00E21F07">
        <w:rPr>
          <w:rFonts w:ascii="Calibri" w:hAnsi="Calibri"/>
          <w:color w:val="231F20"/>
          <w:w w:val="105"/>
        </w:rPr>
        <w:t xml:space="preserve"> also</w:t>
      </w:r>
      <w:r w:rsidRPr="00F7048E">
        <w:rPr>
          <w:rFonts w:ascii="Calibri" w:hAnsi="Calibri"/>
          <w:color w:val="231F20"/>
          <w:w w:val="105"/>
        </w:rPr>
        <w:t xml:space="preserve"> receive this training which includes resources from the VR Transition Youth Program. The VR Transition Youth Guidelines and Best Practices is a resource for VR transition teams to assure statewide consistency in coordinating services to students with disabilities. VR employees have access to the “Effective Practices for Working with the School System</w:t>
      </w:r>
      <w:r w:rsidRPr="00A23800">
        <w:rPr>
          <w:rFonts w:ascii="Calibri" w:hAnsi="Calibri"/>
          <w:color w:val="231F20"/>
          <w:w w:val="105"/>
        </w:rPr>
        <w:t>”</w:t>
      </w:r>
      <w:r w:rsidRPr="00F7048E">
        <w:rPr>
          <w:rFonts w:ascii="Calibri" w:hAnsi="Calibri"/>
          <w:color w:val="231F20"/>
          <w:w w:val="105"/>
        </w:rPr>
        <w:t xml:space="preserve"> </w:t>
      </w:r>
      <w:r w:rsidRPr="00A23800">
        <w:rPr>
          <w:rFonts w:ascii="Calibri" w:hAnsi="Calibri"/>
          <w:color w:val="231F20"/>
          <w:w w:val="105"/>
        </w:rPr>
        <w:t>and</w:t>
      </w:r>
      <w:r w:rsidRPr="00F7048E">
        <w:rPr>
          <w:rFonts w:ascii="Calibri" w:hAnsi="Calibri"/>
          <w:color w:val="231F20"/>
          <w:w w:val="105"/>
        </w:rPr>
        <w:t xml:space="preserve"> </w:t>
      </w:r>
      <w:r w:rsidRPr="00A23800">
        <w:rPr>
          <w:rFonts w:ascii="Calibri" w:hAnsi="Calibri"/>
          <w:color w:val="231F20"/>
          <w:w w:val="105"/>
        </w:rPr>
        <w:t>the</w:t>
      </w:r>
      <w:r w:rsidRPr="00F7048E">
        <w:rPr>
          <w:rFonts w:ascii="Calibri" w:hAnsi="Calibri"/>
          <w:color w:val="231F20"/>
          <w:w w:val="105"/>
        </w:rPr>
        <w:t xml:space="preserve"> </w:t>
      </w:r>
      <w:r w:rsidRPr="00A23800">
        <w:rPr>
          <w:rFonts w:ascii="Calibri" w:hAnsi="Calibri"/>
          <w:color w:val="231F20"/>
          <w:w w:val="105"/>
        </w:rPr>
        <w:t>“</w:t>
      </w:r>
      <w:r w:rsidRPr="00F7048E">
        <w:rPr>
          <w:rFonts w:ascii="Calibri" w:hAnsi="Calibri"/>
          <w:color w:val="231F20"/>
          <w:w w:val="105"/>
        </w:rPr>
        <w:t>Outreach for the School System</w:t>
      </w:r>
      <w:r w:rsidRPr="00A23800">
        <w:rPr>
          <w:rFonts w:ascii="Calibri" w:hAnsi="Calibri"/>
          <w:color w:val="231F20"/>
          <w:w w:val="105"/>
        </w:rPr>
        <w:t>”</w:t>
      </w:r>
      <w:r w:rsidRPr="00F7048E">
        <w:rPr>
          <w:rFonts w:ascii="Calibri" w:hAnsi="Calibri"/>
          <w:color w:val="231F20"/>
          <w:w w:val="105"/>
        </w:rPr>
        <w:t xml:space="preserve"> </w:t>
      </w:r>
      <w:r w:rsidRPr="00A23800">
        <w:rPr>
          <w:rFonts w:ascii="Calibri" w:hAnsi="Calibri"/>
          <w:color w:val="231F20"/>
          <w:w w:val="105"/>
        </w:rPr>
        <w:t>presentations</w:t>
      </w:r>
      <w:r w:rsidRPr="00F7048E">
        <w:rPr>
          <w:rFonts w:ascii="Calibri" w:hAnsi="Calibri"/>
          <w:color w:val="231F20"/>
          <w:w w:val="105"/>
        </w:rPr>
        <w:t xml:space="preserve"> </w:t>
      </w:r>
      <w:r w:rsidRPr="00A23800">
        <w:rPr>
          <w:rFonts w:ascii="Calibri" w:hAnsi="Calibri"/>
          <w:color w:val="231F20"/>
          <w:w w:val="105"/>
        </w:rPr>
        <w:t>developed</w:t>
      </w:r>
      <w:r w:rsidRPr="00F7048E">
        <w:rPr>
          <w:rFonts w:ascii="Calibri" w:hAnsi="Calibri"/>
          <w:color w:val="231F20"/>
          <w:w w:val="105"/>
        </w:rPr>
        <w:t xml:space="preserve"> </w:t>
      </w:r>
      <w:r w:rsidRPr="00A23800">
        <w:rPr>
          <w:rFonts w:ascii="Calibri" w:hAnsi="Calibri"/>
          <w:color w:val="231F20"/>
          <w:w w:val="105"/>
        </w:rPr>
        <w:t>to</w:t>
      </w:r>
      <w:r w:rsidRPr="00F7048E">
        <w:rPr>
          <w:rFonts w:ascii="Calibri" w:hAnsi="Calibri"/>
          <w:color w:val="231F20"/>
          <w:w w:val="105"/>
        </w:rPr>
        <w:t xml:space="preserve"> </w:t>
      </w:r>
      <w:r w:rsidRPr="00A23800">
        <w:rPr>
          <w:rFonts w:ascii="Calibri" w:hAnsi="Calibri"/>
          <w:color w:val="231F20"/>
          <w:w w:val="105"/>
        </w:rPr>
        <w:t>improve</w:t>
      </w:r>
      <w:r w:rsidRPr="00F7048E">
        <w:rPr>
          <w:rFonts w:ascii="Calibri" w:hAnsi="Calibri"/>
          <w:color w:val="231F20"/>
          <w:w w:val="105"/>
        </w:rPr>
        <w:t xml:space="preserve"> </w:t>
      </w:r>
      <w:r w:rsidRPr="00A23800">
        <w:rPr>
          <w:rFonts w:ascii="Calibri" w:hAnsi="Calibri"/>
          <w:color w:val="231F20"/>
          <w:w w:val="105"/>
        </w:rPr>
        <w:t>collaboration</w:t>
      </w:r>
      <w:r w:rsidRPr="00F7048E">
        <w:rPr>
          <w:rFonts w:ascii="Calibri" w:hAnsi="Calibri"/>
          <w:color w:val="231F20"/>
          <w:w w:val="105"/>
        </w:rPr>
        <w:t xml:space="preserve"> </w:t>
      </w:r>
      <w:r w:rsidRPr="00A23800">
        <w:rPr>
          <w:rFonts w:ascii="Calibri" w:hAnsi="Calibri"/>
          <w:color w:val="231F20"/>
          <w:w w:val="105"/>
        </w:rPr>
        <w:t>between</w:t>
      </w:r>
      <w:r w:rsidRPr="00F7048E">
        <w:rPr>
          <w:rFonts w:ascii="Calibri" w:hAnsi="Calibri"/>
          <w:color w:val="231F20"/>
          <w:w w:val="105"/>
        </w:rPr>
        <w:t xml:space="preserve"> </w:t>
      </w:r>
      <w:r w:rsidRPr="00A23800">
        <w:rPr>
          <w:rFonts w:ascii="Calibri" w:hAnsi="Calibri"/>
          <w:color w:val="231F20"/>
          <w:w w:val="105"/>
        </w:rPr>
        <w:t>VR</w:t>
      </w:r>
      <w:r w:rsidRPr="00F7048E">
        <w:rPr>
          <w:rFonts w:ascii="Calibri" w:hAnsi="Calibri"/>
          <w:color w:val="231F20"/>
          <w:w w:val="105"/>
        </w:rPr>
        <w:t xml:space="preserve"> </w:t>
      </w:r>
      <w:r w:rsidRPr="00A23800">
        <w:rPr>
          <w:rFonts w:ascii="Calibri" w:hAnsi="Calibri"/>
          <w:color w:val="231F20"/>
          <w:w w:val="105"/>
        </w:rPr>
        <w:t>and</w:t>
      </w:r>
      <w:r w:rsidRPr="00F7048E">
        <w:rPr>
          <w:rFonts w:ascii="Calibri" w:hAnsi="Calibri"/>
          <w:color w:val="231F20"/>
          <w:w w:val="105"/>
        </w:rPr>
        <w:t xml:space="preserve"> </w:t>
      </w:r>
      <w:r w:rsidRPr="00A23800">
        <w:rPr>
          <w:rFonts w:ascii="Calibri" w:hAnsi="Calibri"/>
          <w:color w:val="231F20"/>
          <w:w w:val="105"/>
        </w:rPr>
        <w:t>the</w:t>
      </w:r>
      <w:r w:rsidRPr="00F7048E">
        <w:rPr>
          <w:rFonts w:ascii="Calibri" w:hAnsi="Calibri"/>
          <w:color w:val="231F20"/>
          <w:w w:val="105"/>
        </w:rPr>
        <w:t xml:space="preserve"> </w:t>
      </w:r>
      <w:r w:rsidRPr="00A23800">
        <w:rPr>
          <w:rFonts w:ascii="Calibri" w:hAnsi="Calibri"/>
          <w:color w:val="231F20"/>
          <w:w w:val="105"/>
        </w:rPr>
        <w:t>LEAs.</w:t>
      </w:r>
      <w:r w:rsidRPr="00F7048E">
        <w:rPr>
          <w:rFonts w:ascii="Calibri" w:hAnsi="Calibri"/>
          <w:color w:val="231F20"/>
          <w:w w:val="105"/>
        </w:rPr>
        <w:t xml:space="preserve"> </w:t>
      </w:r>
      <w:r w:rsidRPr="00A23800">
        <w:rPr>
          <w:rFonts w:ascii="Calibri" w:hAnsi="Calibri"/>
          <w:color w:val="231F20"/>
          <w:w w:val="105"/>
        </w:rPr>
        <w:t>At</w:t>
      </w:r>
      <w:r w:rsidRPr="00F7048E">
        <w:rPr>
          <w:rFonts w:ascii="Calibri" w:hAnsi="Calibri"/>
          <w:color w:val="231F20"/>
          <w:w w:val="105"/>
        </w:rPr>
        <w:t xml:space="preserve"> </w:t>
      </w:r>
      <w:r w:rsidRPr="00A23800">
        <w:rPr>
          <w:rFonts w:ascii="Calibri" w:hAnsi="Calibri"/>
          <w:color w:val="231F20"/>
          <w:w w:val="105"/>
        </w:rPr>
        <w:t>the</w:t>
      </w:r>
      <w:r w:rsidRPr="00F7048E">
        <w:rPr>
          <w:rFonts w:ascii="Calibri" w:hAnsi="Calibri"/>
          <w:color w:val="231F20"/>
          <w:w w:val="105"/>
        </w:rPr>
        <w:t xml:space="preserve"> </w:t>
      </w:r>
      <w:r w:rsidRPr="00A23800">
        <w:rPr>
          <w:rFonts w:ascii="Calibri" w:hAnsi="Calibri"/>
          <w:color w:val="231F20"/>
          <w:w w:val="105"/>
        </w:rPr>
        <w:t>local</w:t>
      </w:r>
      <w:r w:rsidRPr="00F7048E">
        <w:rPr>
          <w:rFonts w:ascii="Calibri" w:hAnsi="Calibri"/>
          <w:color w:val="231F20"/>
          <w:w w:val="105"/>
        </w:rPr>
        <w:t xml:space="preserve"> </w:t>
      </w:r>
      <w:r w:rsidRPr="00A23800">
        <w:rPr>
          <w:rFonts w:ascii="Calibri" w:hAnsi="Calibri"/>
          <w:color w:val="231F20"/>
          <w:w w:val="105"/>
        </w:rPr>
        <w:t>level,</w:t>
      </w:r>
      <w:r w:rsidRPr="00F7048E">
        <w:rPr>
          <w:rFonts w:ascii="Calibri" w:hAnsi="Calibri"/>
          <w:color w:val="231F20"/>
          <w:w w:val="105"/>
        </w:rPr>
        <w:t xml:space="preserve"> </w:t>
      </w:r>
      <w:r w:rsidRPr="00A23800">
        <w:rPr>
          <w:rFonts w:ascii="Calibri" w:hAnsi="Calibri"/>
          <w:color w:val="231F20"/>
          <w:w w:val="105"/>
        </w:rPr>
        <w:t>VR</w:t>
      </w:r>
      <w:r w:rsidRPr="00F7048E">
        <w:rPr>
          <w:rFonts w:ascii="Calibri" w:hAnsi="Calibri"/>
          <w:color w:val="231F20"/>
          <w:w w:val="105"/>
        </w:rPr>
        <w:t xml:space="preserve"> </w:t>
      </w:r>
      <w:r w:rsidRPr="00A23800">
        <w:rPr>
          <w:rFonts w:ascii="Calibri" w:hAnsi="Calibri"/>
          <w:color w:val="231F20"/>
          <w:w w:val="105"/>
        </w:rPr>
        <w:t>employees</w:t>
      </w:r>
      <w:r w:rsidRPr="00F7048E">
        <w:rPr>
          <w:rFonts w:ascii="Calibri" w:hAnsi="Calibri"/>
          <w:color w:val="231F20"/>
          <w:w w:val="105"/>
        </w:rPr>
        <w:t xml:space="preserve"> </w:t>
      </w:r>
      <w:r w:rsidRPr="00A23800">
        <w:rPr>
          <w:rFonts w:ascii="Calibri" w:hAnsi="Calibri"/>
          <w:color w:val="231F20"/>
          <w:w w:val="105"/>
        </w:rPr>
        <w:t>participate</w:t>
      </w:r>
      <w:r w:rsidRPr="00F7048E">
        <w:rPr>
          <w:rFonts w:ascii="Calibri" w:hAnsi="Calibri"/>
          <w:color w:val="231F20"/>
          <w:w w:val="105"/>
        </w:rPr>
        <w:t xml:space="preserve"> </w:t>
      </w:r>
      <w:r w:rsidRPr="00A23800">
        <w:rPr>
          <w:rFonts w:ascii="Calibri" w:hAnsi="Calibri"/>
          <w:color w:val="231F20"/>
          <w:w w:val="105"/>
        </w:rPr>
        <w:t>in</w:t>
      </w:r>
      <w:r w:rsidRPr="00F7048E">
        <w:rPr>
          <w:rFonts w:ascii="Calibri" w:hAnsi="Calibri"/>
          <w:color w:val="231F20"/>
          <w:w w:val="105"/>
        </w:rPr>
        <w:t xml:space="preserve"> </w:t>
      </w:r>
      <w:r w:rsidRPr="00A23800">
        <w:rPr>
          <w:rFonts w:ascii="Calibri" w:hAnsi="Calibri"/>
          <w:color w:val="231F20"/>
          <w:w w:val="105"/>
        </w:rPr>
        <w:t>interagency</w:t>
      </w:r>
      <w:r w:rsidRPr="00F7048E">
        <w:rPr>
          <w:rFonts w:ascii="Calibri" w:hAnsi="Calibri"/>
          <w:color w:val="231F20"/>
          <w:w w:val="105"/>
        </w:rPr>
        <w:t xml:space="preserve"> </w:t>
      </w:r>
      <w:r w:rsidRPr="00A23800">
        <w:rPr>
          <w:rFonts w:ascii="Calibri" w:hAnsi="Calibri"/>
          <w:color w:val="231F20"/>
          <w:w w:val="105"/>
        </w:rPr>
        <w:t>groups</w:t>
      </w:r>
      <w:r w:rsidRPr="00F7048E">
        <w:rPr>
          <w:rFonts w:ascii="Calibri" w:hAnsi="Calibri"/>
          <w:color w:val="231F20"/>
          <w:w w:val="105"/>
        </w:rPr>
        <w:t xml:space="preserve"> </w:t>
      </w:r>
      <w:r w:rsidRPr="00A23800">
        <w:rPr>
          <w:rFonts w:ascii="Calibri" w:hAnsi="Calibri"/>
          <w:color w:val="231F20"/>
          <w:w w:val="105"/>
        </w:rPr>
        <w:t>with</w:t>
      </w:r>
      <w:r w:rsidRPr="00F7048E">
        <w:rPr>
          <w:rFonts w:ascii="Calibri" w:hAnsi="Calibri"/>
          <w:color w:val="231F20"/>
          <w:w w:val="105"/>
        </w:rPr>
        <w:t xml:space="preserve"> </w:t>
      </w:r>
      <w:r w:rsidRPr="00A23800">
        <w:rPr>
          <w:rFonts w:ascii="Calibri" w:hAnsi="Calibri"/>
          <w:color w:val="231F20"/>
          <w:w w:val="105"/>
        </w:rPr>
        <w:t>a</w:t>
      </w:r>
      <w:r w:rsidRPr="00F7048E">
        <w:rPr>
          <w:rFonts w:ascii="Calibri" w:hAnsi="Calibri"/>
          <w:color w:val="231F20"/>
          <w:w w:val="105"/>
        </w:rPr>
        <w:t xml:space="preserve"> </w:t>
      </w:r>
      <w:r w:rsidRPr="00A23800">
        <w:rPr>
          <w:rFonts w:ascii="Calibri" w:hAnsi="Calibri"/>
          <w:color w:val="231F20"/>
          <w:w w:val="105"/>
        </w:rPr>
        <w:t>transition</w:t>
      </w:r>
      <w:r w:rsidRPr="00F7048E">
        <w:rPr>
          <w:rFonts w:ascii="Calibri" w:hAnsi="Calibri"/>
          <w:color w:val="231F20"/>
          <w:w w:val="105"/>
        </w:rPr>
        <w:t xml:space="preserve"> </w:t>
      </w:r>
      <w:r w:rsidRPr="00A23800">
        <w:rPr>
          <w:rFonts w:ascii="Calibri" w:hAnsi="Calibri"/>
          <w:color w:val="231F20"/>
          <w:w w:val="105"/>
        </w:rPr>
        <w:t>focus</w:t>
      </w:r>
      <w:r w:rsidRPr="00F7048E">
        <w:rPr>
          <w:rFonts w:ascii="Calibri" w:hAnsi="Calibri"/>
          <w:color w:val="231F20"/>
          <w:w w:val="105"/>
        </w:rPr>
        <w:t xml:space="preserve"> </w:t>
      </w:r>
      <w:r w:rsidRPr="00A23800">
        <w:rPr>
          <w:rFonts w:ascii="Calibri" w:hAnsi="Calibri"/>
          <w:color w:val="231F20"/>
          <w:w w:val="105"/>
        </w:rPr>
        <w:t>to</w:t>
      </w:r>
      <w:r w:rsidRPr="00F7048E">
        <w:rPr>
          <w:rFonts w:ascii="Calibri" w:hAnsi="Calibri"/>
          <w:color w:val="231F20"/>
          <w:w w:val="105"/>
        </w:rPr>
        <w:t xml:space="preserve"> </w:t>
      </w:r>
      <w:r w:rsidRPr="00A23800">
        <w:rPr>
          <w:rFonts w:ascii="Calibri" w:hAnsi="Calibri"/>
          <w:color w:val="231F20"/>
          <w:w w:val="105"/>
        </w:rPr>
        <w:t>improve</w:t>
      </w:r>
      <w:r w:rsidRPr="00F7048E">
        <w:rPr>
          <w:rFonts w:ascii="Calibri" w:hAnsi="Calibri"/>
          <w:color w:val="231F20"/>
          <w:w w:val="105"/>
        </w:rPr>
        <w:t xml:space="preserve"> </w:t>
      </w:r>
      <w:r w:rsidRPr="00A23800">
        <w:rPr>
          <w:rFonts w:ascii="Calibri" w:hAnsi="Calibri"/>
          <w:color w:val="231F20"/>
          <w:w w:val="105"/>
        </w:rPr>
        <w:t>local</w:t>
      </w:r>
      <w:r w:rsidRPr="00F7048E">
        <w:rPr>
          <w:rFonts w:ascii="Calibri" w:hAnsi="Calibri"/>
          <w:color w:val="231F20"/>
          <w:w w:val="105"/>
        </w:rPr>
        <w:t xml:space="preserve"> </w:t>
      </w:r>
      <w:r w:rsidRPr="00A23800">
        <w:rPr>
          <w:rFonts w:ascii="Calibri" w:hAnsi="Calibri"/>
          <w:color w:val="231F20"/>
          <w:w w:val="105"/>
        </w:rPr>
        <w:t>coordination</w:t>
      </w:r>
      <w:r w:rsidRPr="00F7048E">
        <w:rPr>
          <w:rFonts w:ascii="Calibri" w:hAnsi="Calibri"/>
          <w:color w:val="231F20"/>
          <w:w w:val="105"/>
        </w:rPr>
        <w:t xml:space="preserve"> </w:t>
      </w:r>
      <w:r w:rsidRPr="00A23800">
        <w:rPr>
          <w:rFonts w:ascii="Calibri" w:hAnsi="Calibri"/>
          <w:color w:val="231F20"/>
          <w:w w:val="105"/>
        </w:rPr>
        <w:t>and</w:t>
      </w:r>
      <w:r w:rsidRPr="00F7048E">
        <w:rPr>
          <w:rFonts w:ascii="Calibri" w:hAnsi="Calibri"/>
          <w:color w:val="231F20"/>
          <w:w w:val="105"/>
        </w:rPr>
        <w:t xml:space="preserve"> </w:t>
      </w:r>
      <w:r w:rsidRPr="00A23800">
        <w:rPr>
          <w:rFonts w:ascii="Calibri" w:hAnsi="Calibri"/>
          <w:color w:val="231F20"/>
          <w:w w:val="105"/>
        </w:rPr>
        <w:t>services</w:t>
      </w:r>
      <w:r w:rsidRPr="00F7048E">
        <w:rPr>
          <w:rFonts w:ascii="Calibri" w:hAnsi="Calibri"/>
          <w:color w:val="231F20"/>
          <w:w w:val="105"/>
        </w:rPr>
        <w:t xml:space="preserve"> </w:t>
      </w:r>
      <w:r w:rsidRPr="00A23800">
        <w:rPr>
          <w:rFonts w:ascii="Calibri" w:hAnsi="Calibri"/>
          <w:color w:val="231F20"/>
          <w:w w:val="105"/>
        </w:rPr>
        <w:t>to</w:t>
      </w:r>
      <w:r w:rsidRPr="00F7048E">
        <w:rPr>
          <w:rFonts w:ascii="Calibri" w:hAnsi="Calibri"/>
          <w:color w:val="231F20"/>
          <w:w w:val="105"/>
        </w:rPr>
        <w:t xml:space="preserve"> </w:t>
      </w:r>
      <w:r w:rsidRPr="00A23800">
        <w:rPr>
          <w:rFonts w:ascii="Calibri" w:hAnsi="Calibri"/>
          <w:color w:val="231F20"/>
          <w:w w:val="105"/>
        </w:rPr>
        <w:t>students,</w:t>
      </w:r>
      <w:r w:rsidRPr="00F7048E">
        <w:rPr>
          <w:rFonts w:ascii="Calibri" w:hAnsi="Calibri"/>
          <w:color w:val="231F20"/>
          <w:w w:val="105"/>
        </w:rPr>
        <w:t xml:space="preserve"> </w:t>
      </w:r>
      <w:r w:rsidRPr="00A23800">
        <w:rPr>
          <w:rFonts w:ascii="Calibri" w:hAnsi="Calibri"/>
          <w:color w:val="231F20"/>
          <w:w w:val="105"/>
        </w:rPr>
        <w:t>families,</w:t>
      </w:r>
      <w:r w:rsidRPr="00F7048E">
        <w:rPr>
          <w:rFonts w:ascii="Calibri" w:hAnsi="Calibri"/>
          <w:color w:val="231F20"/>
          <w:w w:val="105"/>
        </w:rPr>
        <w:t xml:space="preserve"> </w:t>
      </w:r>
      <w:r w:rsidRPr="00A23800">
        <w:rPr>
          <w:rFonts w:ascii="Calibri" w:hAnsi="Calibri"/>
          <w:color w:val="231F20"/>
          <w:w w:val="105"/>
        </w:rPr>
        <w:t>schools,</w:t>
      </w:r>
      <w:r w:rsidRPr="00F7048E">
        <w:rPr>
          <w:rFonts w:ascii="Calibri" w:hAnsi="Calibri"/>
          <w:color w:val="231F20"/>
          <w:w w:val="105"/>
        </w:rPr>
        <w:t xml:space="preserve"> </w:t>
      </w:r>
      <w:r w:rsidRPr="00A23800">
        <w:rPr>
          <w:rFonts w:ascii="Calibri" w:hAnsi="Calibri"/>
          <w:color w:val="231F20"/>
          <w:w w:val="105"/>
        </w:rPr>
        <w:t>employers</w:t>
      </w:r>
      <w:r w:rsidR="00D5537E">
        <w:rPr>
          <w:rFonts w:ascii="Calibri" w:hAnsi="Calibri"/>
          <w:color w:val="231F20"/>
          <w:w w:val="105"/>
        </w:rPr>
        <w:t xml:space="preserve"> and</w:t>
      </w:r>
      <w:r w:rsidRPr="00A23800">
        <w:rPr>
          <w:rFonts w:ascii="Calibri" w:hAnsi="Calibri"/>
          <w:color w:val="231F20"/>
          <w:w w:val="105"/>
        </w:rPr>
        <w:t xml:space="preserve"> agency</w:t>
      </w:r>
      <w:r w:rsidRPr="00F7048E">
        <w:rPr>
          <w:rFonts w:ascii="Calibri" w:hAnsi="Calibri"/>
          <w:color w:val="231F20"/>
          <w:w w:val="105"/>
        </w:rPr>
        <w:t xml:space="preserve"> </w:t>
      </w:r>
      <w:r w:rsidRPr="00A23800">
        <w:rPr>
          <w:rFonts w:ascii="Calibri" w:hAnsi="Calibri"/>
          <w:color w:val="231F20"/>
          <w:w w:val="105"/>
        </w:rPr>
        <w:t>partners.</w:t>
      </w:r>
    </w:p>
    <w:p w14:paraId="10700E8E" w14:textId="77777777" w:rsidR="00A07550" w:rsidRPr="00A23800" w:rsidRDefault="00A07550" w:rsidP="00D63204">
      <w:pPr>
        <w:widowControl w:val="0"/>
        <w:spacing w:after="0" w:line="240" w:lineRule="auto"/>
        <w:ind w:left="107"/>
        <w:rPr>
          <w:rFonts w:ascii="Calibri" w:hAnsi="Calibri" w:cs="Calibri"/>
        </w:rPr>
      </w:pPr>
    </w:p>
    <w:p w14:paraId="35EB1FF9" w14:textId="77777777" w:rsidR="00A07550" w:rsidRPr="00A23800" w:rsidRDefault="00A07550" w:rsidP="00D63204">
      <w:pPr>
        <w:widowControl w:val="0"/>
        <w:spacing w:before="197" w:after="0" w:line="240" w:lineRule="auto"/>
        <w:ind w:left="107"/>
        <w:outlineLvl w:val="2"/>
        <w:rPr>
          <w:rFonts w:ascii="Calibri" w:hAnsi="Calibri"/>
        </w:rPr>
      </w:pPr>
      <w:r w:rsidRPr="00A23800">
        <w:rPr>
          <w:rFonts w:ascii="Calibri" w:hAnsi="Calibri"/>
          <w:b/>
          <w:bCs/>
          <w:color w:val="231F20"/>
          <w:w w:val="110"/>
          <w:u w:val="single" w:color="231F20"/>
        </w:rPr>
        <w:t>Personnel to Address Individual Communication</w:t>
      </w:r>
      <w:r w:rsidRPr="00A23800">
        <w:rPr>
          <w:rFonts w:ascii="Calibri" w:hAnsi="Calibri"/>
          <w:b/>
          <w:bCs/>
          <w:color w:val="231F20"/>
          <w:spacing w:val="-38"/>
          <w:w w:val="110"/>
          <w:u w:val="single" w:color="231F20"/>
        </w:rPr>
        <w:t xml:space="preserve"> </w:t>
      </w:r>
      <w:r w:rsidRPr="00A23800">
        <w:rPr>
          <w:rFonts w:ascii="Calibri" w:hAnsi="Calibri"/>
          <w:b/>
          <w:bCs/>
          <w:color w:val="231F20"/>
          <w:w w:val="110"/>
          <w:u w:val="single" w:color="231F20"/>
        </w:rPr>
        <w:t>Needs</w:t>
      </w:r>
      <w:r w:rsidRPr="00A23800">
        <w:rPr>
          <w:rFonts w:ascii="Calibri" w:hAnsi="Calibri"/>
          <w:b/>
          <w:bCs/>
          <w:color w:val="231F20"/>
          <w:spacing w:val="-1"/>
          <w:w w:val="113"/>
          <w:u w:val="single" w:color="231F20"/>
        </w:rPr>
        <w:t xml:space="preserve"> </w:t>
      </w:r>
    </w:p>
    <w:p w14:paraId="18366AC0" w14:textId="14AD9F49" w:rsidR="00A07550" w:rsidRPr="00A23800" w:rsidRDefault="00A07550" w:rsidP="00D63204">
      <w:pPr>
        <w:widowControl w:val="0"/>
        <w:spacing w:before="2" w:after="0" w:line="240" w:lineRule="auto"/>
        <w:ind w:left="107"/>
        <w:rPr>
          <w:rFonts w:ascii="Calibri" w:hAnsi="Calibri"/>
        </w:rPr>
      </w:pPr>
      <w:r w:rsidRPr="00A23800">
        <w:rPr>
          <w:rFonts w:ascii="Calibri" w:hAnsi="Calibri"/>
          <w:color w:val="231F20"/>
          <w:w w:val="110"/>
        </w:rPr>
        <w:t>VR</w:t>
      </w:r>
      <w:r w:rsidRPr="00A23800">
        <w:rPr>
          <w:rFonts w:ascii="Calibri" w:hAnsi="Calibri"/>
          <w:color w:val="231F20"/>
          <w:spacing w:val="-10"/>
          <w:w w:val="110"/>
        </w:rPr>
        <w:t xml:space="preserve"> </w:t>
      </w:r>
      <w:r w:rsidRPr="00A23800">
        <w:rPr>
          <w:rFonts w:ascii="Calibri" w:hAnsi="Calibri"/>
          <w:color w:val="231F20"/>
          <w:w w:val="110"/>
        </w:rPr>
        <w:t>employees</w:t>
      </w:r>
      <w:r w:rsidRPr="00A23800">
        <w:rPr>
          <w:rFonts w:ascii="Calibri" w:hAnsi="Calibri"/>
          <w:color w:val="231F20"/>
          <w:spacing w:val="-10"/>
          <w:w w:val="110"/>
        </w:rPr>
        <w:t xml:space="preserve"> </w:t>
      </w:r>
      <w:r w:rsidRPr="00A23800">
        <w:rPr>
          <w:rFonts w:ascii="Calibri" w:hAnsi="Calibri"/>
          <w:color w:val="231F20"/>
          <w:w w:val="110"/>
        </w:rPr>
        <w:t>need</w:t>
      </w:r>
      <w:r w:rsidRPr="00A23800">
        <w:rPr>
          <w:rFonts w:ascii="Calibri" w:hAnsi="Calibri"/>
          <w:color w:val="231F20"/>
          <w:spacing w:val="-10"/>
          <w:w w:val="110"/>
        </w:rPr>
        <w:t xml:space="preserve"> </w:t>
      </w:r>
      <w:r w:rsidRPr="00A23800">
        <w:rPr>
          <w:rFonts w:ascii="Calibri" w:hAnsi="Calibri"/>
          <w:color w:val="231F20"/>
          <w:w w:val="110"/>
        </w:rPr>
        <w:t>to</w:t>
      </w:r>
      <w:r w:rsidR="00E21F07">
        <w:rPr>
          <w:rFonts w:ascii="Calibri" w:hAnsi="Calibri"/>
          <w:color w:val="231F20"/>
          <w:w w:val="110"/>
        </w:rPr>
        <w:t xml:space="preserve"> be able to</w:t>
      </w:r>
      <w:r w:rsidRPr="00A23800">
        <w:rPr>
          <w:rFonts w:ascii="Calibri" w:hAnsi="Calibri"/>
          <w:color w:val="231F20"/>
          <w:spacing w:val="-10"/>
          <w:w w:val="110"/>
        </w:rPr>
        <w:t xml:space="preserve"> </w:t>
      </w:r>
      <w:r w:rsidRPr="00A23800">
        <w:rPr>
          <w:rFonts w:ascii="Calibri" w:hAnsi="Calibri"/>
          <w:color w:val="231F20"/>
          <w:w w:val="110"/>
        </w:rPr>
        <w:t>work</w:t>
      </w:r>
      <w:r w:rsidRPr="00A23800">
        <w:rPr>
          <w:rFonts w:ascii="Calibri" w:hAnsi="Calibri"/>
          <w:color w:val="231F20"/>
          <w:spacing w:val="-10"/>
          <w:w w:val="110"/>
        </w:rPr>
        <w:t xml:space="preserve"> </w:t>
      </w:r>
      <w:r w:rsidRPr="00A23800">
        <w:rPr>
          <w:rFonts w:ascii="Calibri" w:hAnsi="Calibri"/>
          <w:color w:val="231F20"/>
          <w:w w:val="110"/>
        </w:rPr>
        <w:t>with</w:t>
      </w:r>
      <w:r w:rsidRPr="00A23800">
        <w:rPr>
          <w:rFonts w:ascii="Calibri" w:hAnsi="Calibri"/>
          <w:color w:val="231F20"/>
          <w:spacing w:val="-10"/>
          <w:w w:val="110"/>
        </w:rPr>
        <w:t xml:space="preserve"> </w:t>
      </w:r>
      <w:r w:rsidRPr="00A23800">
        <w:rPr>
          <w:rFonts w:ascii="Calibri" w:hAnsi="Calibri"/>
          <w:color w:val="231F20"/>
          <w:w w:val="110"/>
        </w:rPr>
        <w:t>Florida’s</w:t>
      </w:r>
      <w:r w:rsidRPr="00A23800">
        <w:rPr>
          <w:rFonts w:ascii="Calibri" w:hAnsi="Calibri"/>
          <w:color w:val="231F20"/>
          <w:spacing w:val="-10"/>
          <w:w w:val="110"/>
        </w:rPr>
        <w:t xml:space="preserve"> </w:t>
      </w:r>
      <w:r w:rsidRPr="00A23800">
        <w:rPr>
          <w:rFonts w:ascii="Calibri" w:hAnsi="Calibri"/>
          <w:color w:val="231F20"/>
          <w:w w:val="110"/>
        </w:rPr>
        <w:t>diverse</w:t>
      </w:r>
      <w:r w:rsidRPr="00A23800">
        <w:rPr>
          <w:rFonts w:ascii="Calibri" w:hAnsi="Calibri"/>
          <w:color w:val="231F20"/>
          <w:spacing w:val="-10"/>
          <w:w w:val="110"/>
        </w:rPr>
        <w:t xml:space="preserve"> </w:t>
      </w:r>
      <w:r w:rsidRPr="00A23800">
        <w:rPr>
          <w:rFonts w:ascii="Calibri" w:hAnsi="Calibri"/>
          <w:color w:val="231F20"/>
          <w:w w:val="110"/>
        </w:rPr>
        <w:t>population.</w:t>
      </w:r>
      <w:r w:rsidRPr="00A23800">
        <w:rPr>
          <w:rFonts w:ascii="Calibri" w:hAnsi="Calibri"/>
          <w:color w:val="231F20"/>
          <w:spacing w:val="-10"/>
          <w:w w:val="110"/>
        </w:rPr>
        <w:t xml:space="preserve"> </w:t>
      </w:r>
      <w:r w:rsidR="00240694" w:rsidRPr="00A23800">
        <w:rPr>
          <w:rFonts w:ascii="Calibri" w:hAnsi="Calibri"/>
          <w:color w:val="231F20"/>
          <w:w w:val="110"/>
        </w:rPr>
        <w:t>One</w:t>
      </w:r>
      <w:r w:rsidR="00163B68">
        <w:rPr>
          <w:rFonts w:ascii="Calibri" w:hAnsi="Calibri"/>
          <w:color w:val="231F20"/>
          <w:w w:val="110"/>
        </w:rPr>
        <w:t xml:space="preserve"> </w:t>
      </w:r>
      <w:r w:rsidR="00240694" w:rsidRPr="00A23800">
        <w:rPr>
          <w:rFonts w:ascii="Calibri" w:hAnsi="Calibri"/>
          <w:color w:val="231F20"/>
          <w:spacing w:val="-10"/>
          <w:w w:val="110"/>
        </w:rPr>
        <w:t>way</w:t>
      </w:r>
      <w:r w:rsidRPr="00A23800">
        <w:rPr>
          <w:rFonts w:ascii="Calibri" w:hAnsi="Calibri"/>
          <w:color w:val="231F20"/>
          <w:spacing w:val="-10"/>
          <w:w w:val="110"/>
        </w:rPr>
        <w:t xml:space="preserve"> </w:t>
      </w:r>
      <w:r w:rsidRPr="00A23800">
        <w:rPr>
          <w:rFonts w:ascii="Calibri" w:hAnsi="Calibri"/>
          <w:color w:val="231F20"/>
          <w:w w:val="110"/>
        </w:rPr>
        <w:t>VR</w:t>
      </w:r>
      <w:r w:rsidRPr="00A23800">
        <w:rPr>
          <w:rFonts w:ascii="Calibri" w:hAnsi="Calibri"/>
          <w:color w:val="231F20"/>
          <w:spacing w:val="-10"/>
          <w:w w:val="110"/>
        </w:rPr>
        <w:t xml:space="preserve"> </w:t>
      </w:r>
      <w:r w:rsidRPr="00A23800">
        <w:rPr>
          <w:rFonts w:ascii="Calibri" w:hAnsi="Calibri"/>
          <w:color w:val="231F20"/>
          <w:w w:val="110"/>
        </w:rPr>
        <w:t>does</w:t>
      </w:r>
      <w:r w:rsidRPr="00A23800">
        <w:rPr>
          <w:rFonts w:ascii="Calibri" w:hAnsi="Calibri"/>
          <w:color w:val="231F20"/>
          <w:spacing w:val="-10"/>
          <w:w w:val="110"/>
        </w:rPr>
        <w:t xml:space="preserve"> </w:t>
      </w:r>
      <w:r w:rsidRPr="00A23800">
        <w:rPr>
          <w:rFonts w:ascii="Calibri" w:hAnsi="Calibri"/>
          <w:color w:val="231F20"/>
          <w:w w:val="110"/>
        </w:rPr>
        <w:t>this</w:t>
      </w:r>
      <w:r w:rsidRPr="00A23800">
        <w:rPr>
          <w:rFonts w:ascii="Calibri" w:hAnsi="Calibri"/>
          <w:color w:val="231F20"/>
          <w:spacing w:val="-10"/>
          <w:w w:val="110"/>
        </w:rPr>
        <w:t xml:space="preserve"> </w:t>
      </w:r>
      <w:r w:rsidRPr="00A23800">
        <w:rPr>
          <w:rFonts w:ascii="Calibri" w:hAnsi="Calibri"/>
          <w:color w:val="231F20"/>
          <w:w w:val="110"/>
        </w:rPr>
        <w:t>is</w:t>
      </w:r>
      <w:r w:rsidRPr="00A23800">
        <w:rPr>
          <w:rFonts w:ascii="Calibri" w:hAnsi="Calibri"/>
          <w:color w:val="231F20"/>
          <w:w w:val="111"/>
        </w:rPr>
        <w:t xml:space="preserve"> </w:t>
      </w:r>
      <w:r w:rsidRPr="00A23800">
        <w:rPr>
          <w:rFonts w:ascii="Calibri" w:hAnsi="Calibri"/>
          <w:color w:val="231F20"/>
          <w:w w:val="110"/>
        </w:rPr>
        <w:t>to</w:t>
      </w:r>
      <w:r w:rsidRPr="00A23800">
        <w:rPr>
          <w:rFonts w:ascii="Calibri" w:hAnsi="Calibri"/>
          <w:color w:val="231F20"/>
          <w:spacing w:val="-11"/>
          <w:w w:val="110"/>
        </w:rPr>
        <w:t xml:space="preserve"> </w:t>
      </w:r>
      <w:r w:rsidRPr="00A23800">
        <w:rPr>
          <w:rFonts w:ascii="Calibri" w:hAnsi="Calibri"/>
          <w:color w:val="231F20"/>
          <w:w w:val="110"/>
        </w:rPr>
        <w:t>actively</w:t>
      </w:r>
      <w:r w:rsidRPr="00A23800">
        <w:rPr>
          <w:rFonts w:ascii="Calibri" w:hAnsi="Calibri"/>
          <w:color w:val="231F20"/>
          <w:spacing w:val="-11"/>
          <w:w w:val="110"/>
        </w:rPr>
        <w:t xml:space="preserve"> </w:t>
      </w:r>
      <w:r w:rsidRPr="00A23800">
        <w:rPr>
          <w:rFonts w:ascii="Calibri" w:hAnsi="Calibri"/>
          <w:color w:val="231F20"/>
          <w:w w:val="110"/>
        </w:rPr>
        <w:t>recruit</w:t>
      </w:r>
      <w:r w:rsidRPr="00A23800">
        <w:rPr>
          <w:rFonts w:ascii="Calibri" w:hAnsi="Calibri"/>
          <w:color w:val="231F20"/>
          <w:spacing w:val="-11"/>
          <w:w w:val="110"/>
        </w:rPr>
        <w:t xml:space="preserve"> </w:t>
      </w:r>
      <w:r w:rsidRPr="00A23800">
        <w:rPr>
          <w:rFonts w:ascii="Calibri" w:hAnsi="Calibri"/>
          <w:color w:val="231F20"/>
          <w:w w:val="110"/>
        </w:rPr>
        <w:t>counselors</w:t>
      </w:r>
      <w:r w:rsidRPr="00A23800">
        <w:rPr>
          <w:rFonts w:ascii="Calibri" w:hAnsi="Calibri"/>
          <w:color w:val="231F20"/>
          <w:spacing w:val="-11"/>
          <w:w w:val="110"/>
        </w:rPr>
        <w:t xml:space="preserve"> </w:t>
      </w:r>
      <w:r w:rsidRPr="00A23800">
        <w:rPr>
          <w:rFonts w:ascii="Calibri" w:hAnsi="Calibri"/>
          <w:color w:val="231F20"/>
          <w:w w:val="110"/>
        </w:rPr>
        <w:t>and</w:t>
      </w:r>
      <w:r w:rsidRPr="00A23800">
        <w:rPr>
          <w:rFonts w:ascii="Calibri" w:hAnsi="Calibri"/>
          <w:color w:val="231F20"/>
          <w:spacing w:val="-11"/>
          <w:w w:val="110"/>
        </w:rPr>
        <w:t xml:space="preserve"> </w:t>
      </w:r>
      <w:r w:rsidRPr="00A23800">
        <w:rPr>
          <w:rFonts w:ascii="Calibri" w:hAnsi="Calibri"/>
          <w:color w:val="231F20"/>
          <w:w w:val="110"/>
        </w:rPr>
        <w:t>support</w:t>
      </w:r>
      <w:r w:rsidRPr="00A23800">
        <w:rPr>
          <w:rFonts w:ascii="Calibri" w:hAnsi="Calibri"/>
          <w:color w:val="231F20"/>
          <w:spacing w:val="-11"/>
          <w:w w:val="110"/>
        </w:rPr>
        <w:t xml:space="preserve"> </w:t>
      </w:r>
      <w:r w:rsidRPr="00A23800">
        <w:rPr>
          <w:rFonts w:ascii="Calibri" w:hAnsi="Calibri"/>
          <w:color w:val="231F20"/>
          <w:w w:val="110"/>
        </w:rPr>
        <w:t>employees</w:t>
      </w:r>
      <w:r w:rsidRPr="00A23800">
        <w:rPr>
          <w:rFonts w:ascii="Calibri" w:hAnsi="Calibri"/>
          <w:color w:val="231F20"/>
          <w:spacing w:val="-11"/>
          <w:w w:val="110"/>
        </w:rPr>
        <w:t xml:space="preserve"> </w:t>
      </w:r>
      <w:r w:rsidRPr="00A23800">
        <w:rPr>
          <w:rFonts w:ascii="Calibri" w:hAnsi="Calibri"/>
          <w:color w:val="231F20"/>
          <w:w w:val="110"/>
        </w:rPr>
        <w:t>who</w:t>
      </w:r>
      <w:r w:rsidRPr="00A23800">
        <w:rPr>
          <w:rFonts w:ascii="Calibri" w:hAnsi="Calibri"/>
          <w:color w:val="231F20"/>
          <w:spacing w:val="-11"/>
          <w:w w:val="110"/>
        </w:rPr>
        <w:t xml:space="preserve"> </w:t>
      </w:r>
      <w:r w:rsidRPr="00A23800">
        <w:rPr>
          <w:rFonts w:ascii="Calibri" w:hAnsi="Calibri"/>
          <w:color w:val="231F20"/>
          <w:w w:val="110"/>
        </w:rPr>
        <w:t>have</w:t>
      </w:r>
      <w:r w:rsidRPr="00A23800">
        <w:rPr>
          <w:rFonts w:ascii="Calibri" w:hAnsi="Calibri"/>
          <w:color w:val="231F20"/>
          <w:spacing w:val="-11"/>
          <w:w w:val="110"/>
        </w:rPr>
        <w:t xml:space="preserve"> </w:t>
      </w:r>
      <w:r w:rsidRPr="00A23800">
        <w:rPr>
          <w:rFonts w:ascii="Calibri" w:hAnsi="Calibri"/>
          <w:color w:val="231F20"/>
          <w:w w:val="110"/>
        </w:rPr>
        <w:t>diverse</w:t>
      </w:r>
      <w:r w:rsidRPr="00A23800">
        <w:rPr>
          <w:rFonts w:ascii="Calibri" w:hAnsi="Calibri"/>
          <w:color w:val="231F20"/>
          <w:spacing w:val="-11"/>
          <w:w w:val="110"/>
        </w:rPr>
        <w:t xml:space="preserve"> </w:t>
      </w:r>
      <w:r w:rsidRPr="00A23800">
        <w:rPr>
          <w:rFonts w:ascii="Calibri" w:hAnsi="Calibri"/>
          <w:color w:val="231F20"/>
          <w:w w:val="110"/>
        </w:rPr>
        <w:t>backgrounds.</w:t>
      </w:r>
      <w:r w:rsidRPr="00A23800">
        <w:rPr>
          <w:rFonts w:ascii="Calibri" w:hAnsi="Calibri"/>
          <w:color w:val="231F20"/>
          <w:spacing w:val="-11"/>
          <w:w w:val="110"/>
        </w:rPr>
        <w:t xml:space="preserve"> </w:t>
      </w:r>
      <w:r w:rsidRPr="00A23800">
        <w:rPr>
          <w:rFonts w:ascii="Calibri" w:hAnsi="Calibri"/>
          <w:color w:val="231F20"/>
          <w:w w:val="110"/>
        </w:rPr>
        <w:t>VR</w:t>
      </w:r>
      <w:r w:rsidRPr="00A23800">
        <w:rPr>
          <w:rFonts w:ascii="Calibri" w:hAnsi="Calibri"/>
          <w:color w:val="231F20"/>
          <w:spacing w:val="-11"/>
          <w:w w:val="110"/>
        </w:rPr>
        <w:t xml:space="preserve"> </w:t>
      </w:r>
      <w:r w:rsidRPr="00A23800">
        <w:rPr>
          <w:rFonts w:ascii="Calibri" w:hAnsi="Calibri"/>
          <w:color w:val="231F20"/>
          <w:w w:val="110"/>
        </w:rPr>
        <w:t>places</w:t>
      </w:r>
      <w:r>
        <w:rPr>
          <w:rFonts w:ascii="Calibri" w:hAnsi="Calibri"/>
          <w:color w:val="231F20"/>
          <w:w w:val="110"/>
        </w:rPr>
        <w:t xml:space="preserve"> </w:t>
      </w:r>
      <w:r w:rsidRPr="00A23800">
        <w:rPr>
          <w:rFonts w:ascii="Calibri" w:hAnsi="Calibri"/>
          <w:color w:val="231F20"/>
          <w:w w:val="105"/>
        </w:rPr>
        <w:t>advertisements in ethnic newspapers and collaborates with local civic and social service groups.</w:t>
      </w:r>
      <w:r>
        <w:rPr>
          <w:rFonts w:ascii="Calibri" w:hAnsi="Calibri"/>
          <w:color w:val="231F20"/>
          <w:w w:val="105"/>
        </w:rPr>
        <w:t xml:space="preserve"> VR</w:t>
      </w:r>
      <w:r w:rsidR="00E21F07">
        <w:rPr>
          <w:rFonts w:ascii="Calibri" w:hAnsi="Calibri"/>
          <w:color w:val="231F20"/>
          <w:w w:val="105"/>
        </w:rPr>
        <w:t xml:space="preserve"> also</w:t>
      </w:r>
      <w:r>
        <w:rPr>
          <w:rFonts w:ascii="Calibri" w:hAnsi="Calibri"/>
          <w:color w:val="231F20"/>
          <w:w w:val="105"/>
        </w:rPr>
        <w:t xml:space="preserve"> provides a five percent pay increase to bilingual staff, for positions where this is beneficial to the agency.</w:t>
      </w:r>
      <w:r w:rsidRPr="00A23800">
        <w:rPr>
          <w:rFonts w:ascii="Calibri" w:hAnsi="Calibri"/>
          <w:color w:val="231F20"/>
          <w:spacing w:val="31"/>
          <w:w w:val="105"/>
        </w:rPr>
        <w:t xml:space="preserve"> </w:t>
      </w:r>
      <w:r w:rsidRPr="00A23800">
        <w:rPr>
          <w:rFonts w:ascii="Calibri" w:hAnsi="Calibri"/>
          <w:color w:val="231F20"/>
          <w:w w:val="105"/>
        </w:rPr>
        <w:t>Bilingual</w:t>
      </w:r>
      <w:r w:rsidRPr="00A23800">
        <w:rPr>
          <w:rFonts w:ascii="Calibri" w:hAnsi="Calibri"/>
          <w:color w:val="231F20"/>
          <w:w w:val="107"/>
        </w:rPr>
        <w:t xml:space="preserve"> </w:t>
      </w:r>
      <w:r w:rsidRPr="00A23800">
        <w:rPr>
          <w:rFonts w:ascii="Calibri" w:hAnsi="Calibri"/>
          <w:color w:val="231F20"/>
          <w:w w:val="105"/>
        </w:rPr>
        <w:t>individuals</w:t>
      </w:r>
      <w:r w:rsidRPr="00A23800">
        <w:rPr>
          <w:rFonts w:ascii="Calibri" w:hAnsi="Calibri"/>
          <w:color w:val="231F20"/>
          <w:spacing w:val="6"/>
          <w:w w:val="105"/>
        </w:rPr>
        <w:t xml:space="preserve"> </w:t>
      </w:r>
      <w:r w:rsidRPr="00A23800">
        <w:rPr>
          <w:rFonts w:ascii="Calibri" w:hAnsi="Calibri"/>
          <w:color w:val="231F20"/>
          <w:w w:val="105"/>
        </w:rPr>
        <w:t>are</w:t>
      </w:r>
      <w:r w:rsidRPr="00A23800">
        <w:rPr>
          <w:rFonts w:ascii="Calibri" w:hAnsi="Calibri"/>
          <w:color w:val="231F20"/>
          <w:spacing w:val="6"/>
          <w:w w:val="105"/>
        </w:rPr>
        <w:t xml:space="preserve"> </w:t>
      </w:r>
      <w:r w:rsidRPr="00A23800">
        <w:rPr>
          <w:rFonts w:ascii="Calibri" w:hAnsi="Calibri"/>
          <w:color w:val="231F20"/>
          <w:w w:val="105"/>
        </w:rPr>
        <w:t>on</w:t>
      </w:r>
      <w:r w:rsidRPr="00A23800">
        <w:rPr>
          <w:rFonts w:ascii="Calibri" w:hAnsi="Calibri"/>
          <w:color w:val="231F20"/>
          <w:spacing w:val="6"/>
          <w:w w:val="105"/>
        </w:rPr>
        <w:t xml:space="preserve"> </w:t>
      </w:r>
      <w:r w:rsidRPr="00A23800">
        <w:rPr>
          <w:rFonts w:ascii="Calibri" w:hAnsi="Calibri"/>
          <w:color w:val="231F20"/>
          <w:w w:val="105"/>
        </w:rPr>
        <w:t>staff,</w:t>
      </w:r>
      <w:r w:rsidRPr="00A23800">
        <w:rPr>
          <w:rFonts w:ascii="Calibri" w:hAnsi="Calibri"/>
          <w:color w:val="231F20"/>
          <w:spacing w:val="6"/>
          <w:w w:val="105"/>
        </w:rPr>
        <w:t xml:space="preserve"> </w:t>
      </w:r>
      <w:r w:rsidRPr="00A23800">
        <w:rPr>
          <w:rFonts w:ascii="Calibri" w:hAnsi="Calibri"/>
          <w:color w:val="231F20"/>
          <w:w w:val="105"/>
        </w:rPr>
        <w:t>but</w:t>
      </w:r>
      <w:r w:rsidRPr="00A23800">
        <w:rPr>
          <w:rFonts w:ascii="Calibri" w:hAnsi="Calibri"/>
          <w:color w:val="231F20"/>
          <w:spacing w:val="6"/>
          <w:w w:val="105"/>
        </w:rPr>
        <w:t xml:space="preserve"> </w:t>
      </w:r>
      <w:r w:rsidRPr="00A23800">
        <w:rPr>
          <w:rFonts w:ascii="Calibri" w:hAnsi="Calibri"/>
          <w:color w:val="231F20"/>
          <w:w w:val="105"/>
        </w:rPr>
        <w:t>qualified</w:t>
      </w:r>
      <w:r w:rsidRPr="00A23800">
        <w:rPr>
          <w:rFonts w:ascii="Calibri" w:hAnsi="Calibri"/>
          <w:color w:val="231F20"/>
          <w:spacing w:val="6"/>
          <w:w w:val="105"/>
        </w:rPr>
        <w:t xml:space="preserve"> </w:t>
      </w:r>
      <w:r w:rsidRPr="00A23800">
        <w:rPr>
          <w:rFonts w:ascii="Calibri" w:hAnsi="Calibri"/>
          <w:color w:val="231F20"/>
          <w:w w:val="105"/>
        </w:rPr>
        <w:t>interpreters</w:t>
      </w:r>
      <w:r w:rsidRPr="00A23800">
        <w:rPr>
          <w:rFonts w:ascii="Calibri" w:hAnsi="Calibri"/>
          <w:color w:val="231F20"/>
          <w:spacing w:val="6"/>
          <w:w w:val="105"/>
        </w:rPr>
        <w:t xml:space="preserve"> </w:t>
      </w:r>
      <w:r w:rsidRPr="00A23800">
        <w:rPr>
          <w:rFonts w:ascii="Calibri" w:hAnsi="Calibri"/>
          <w:color w:val="231F20"/>
          <w:w w:val="105"/>
        </w:rPr>
        <w:t>or</w:t>
      </w:r>
      <w:r w:rsidRPr="00A23800">
        <w:rPr>
          <w:rFonts w:ascii="Calibri" w:hAnsi="Calibri"/>
          <w:color w:val="231F20"/>
          <w:spacing w:val="6"/>
          <w:w w:val="105"/>
        </w:rPr>
        <w:t xml:space="preserve"> </w:t>
      </w:r>
      <w:r w:rsidRPr="00A23800">
        <w:rPr>
          <w:rFonts w:ascii="Calibri" w:hAnsi="Calibri"/>
          <w:color w:val="231F20"/>
          <w:w w:val="105"/>
        </w:rPr>
        <w:t>translators</w:t>
      </w:r>
      <w:r w:rsidRPr="00A23800">
        <w:rPr>
          <w:rFonts w:ascii="Calibri" w:hAnsi="Calibri"/>
          <w:color w:val="231F20"/>
          <w:spacing w:val="6"/>
          <w:w w:val="105"/>
        </w:rPr>
        <w:t xml:space="preserve"> </w:t>
      </w:r>
      <w:r w:rsidR="00EF543E">
        <w:rPr>
          <w:rFonts w:ascii="Calibri" w:hAnsi="Calibri"/>
          <w:color w:val="231F20"/>
          <w:w w:val="105"/>
        </w:rPr>
        <w:t>will continue to be</w:t>
      </w:r>
      <w:r w:rsidR="00C442E2">
        <w:rPr>
          <w:rFonts w:ascii="Calibri" w:hAnsi="Calibri"/>
          <w:color w:val="231F20"/>
          <w:w w:val="105"/>
        </w:rPr>
        <w:t xml:space="preserve"> </w:t>
      </w:r>
      <w:r w:rsidRPr="00A23800">
        <w:rPr>
          <w:rFonts w:ascii="Calibri" w:hAnsi="Calibri"/>
          <w:color w:val="231F20"/>
          <w:w w:val="105"/>
        </w:rPr>
        <w:t>used</w:t>
      </w:r>
      <w:r w:rsidRPr="00A23800">
        <w:rPr>
          <w:rFonts w:ascii="Calibri" w:hAnsi="Calibri"/>
          <w:color w:val="231F20"/>
          <w:spacing w:val="6"/>
          <w:w w:val="105"/>
        </w:rPr>
        <w:t xml:space="preserve"> </w:t>
      </w:r>
      <w:r w:rsidRPr="00A23800">
        <w:rPr>
          <w:rFonts w:ascii="Calibri" w:hAnsi="Calibri"/>
          <w:color w:val="231F20"/>
          <w:w w:val="105"/>
        </w:rPr>
        <w:t>when</w:t>
      </w:r>
      <w:r w:rsidRPr="00A23800">
        <w:rPr>
          <w:rFonts w:ascii="Calibri" w:hAnsi="Calibri"/>
          <w:color w:val="231F20"/>
          <w:spacing w:val="6"/>
          <w:w w:val="105"/>
        </w:rPr>
        <w:t xml:space="preserve"> </w:t>
      </w:r>
      <w:r w:rsidRPr="00A23800">
        <w:rPr>
          <w:rFonts w:ascii="Calibri" w:hAnsi="Calibri"/>
          <w:color w:val="231F20"/>
          <w:w w:val="105"/>
        </w:rPr>
        <w:t>a</w:t>
      </w:r>
      <w:r w:rsidRPr="00A23800">
        <w:rPr>
          <w:rFonts w:ascii="Calibri" w:hAnsi="Calibri"/>
          <w:color w:val="231F20"/>
          <w:spacing w:val="6"/>
          <w:w w:val="105"/>
        </w:rPr>
        <w:t xml:space="preserve"> </w:t>
      </w:r>
      <w:r w:rsidRPr="0028140F">
        <w:t>counselor is</w:t>
      </w:r>
      <w:r w:rsidRPr="00A23800">
        <w:rPr>
          <w:rFonts w:ascii="Calibri" w:hAnsi="Calibri"/>
          <w:color w:val="231F20"/>
          <w:spacing w:val="6"/>
          <w:w w:val="105"/>
        </w:rPr>
        <w:t xml:space="preserve"> </w:t>
      </w:r>
      <w:r w:rsidRPr="00A23800">
        <w:rPr>
          <w:rFonts w:ascii="Calibri" w:hAnsi="Calibri"/>
          <w:color w:val="231F20"/>
          <w:w w:val="105"/>
        </w:rPr>
        <w:t>unable</w:t>
      </w:r>
      <w:r w:rsidRPr="00A23800">
        <w:rPr>
          <w:rFonts w:ascii="Calibri" w:hAnsi="Calibri"/>
          <w:color w:val="231F20"/>
          <w:spacing w:val="6"/>
          <w:w w:val="105"/>
        </w:rPr>
        <w:t xml:space="preserve"> </w:t>
      </w:r>
      <w:r w:rsidRPr="00A23800">
        <w:rPr>
          <w:rFonts w:ascii="Calibri" w:hAnsi="Calibri"/>
          <w:color w:val="231F20"/>
          <w:w w:val="105"/>
        </w:rPr>
        <w:t>to</w:t>
      </w:r>
      <w:r w:rsidRPr="00A23800">
        <w:rPr>
          <w:rFonts w:ascii="Calibri" w:hAnsi="Calibri"/>
          <w:color w:val="231F20"/>
          <w:spacing w:val="6"/>
          <w:w w:val="105"/>
        </w:rPr>
        <w:t xml:space="preserve"> </w:t>
      </w:r>
      <w:r w:rsidRPr="00A23800">
        <w:rPr>
          <w:rFonts w:ascii="Calibri" w:hAnsi="Calibri"/>
          <w:color w:val="231F20"/>
          <w:w w:val="105"/>
        </w:rPr>
        <w:t>communicate</w:t>
      </w:r>
      <w:r w:rsidRPr="00A23800">
        <w:rPr>
          <w:rFonts w:ascii="Calibri" w:hAnsi="Calibri"/>
          <w:color w:val="231F20"/>
          <w:spacing w:val="6"/>
          <w:w w:val="105"/>
        </w:rPr>
        <w:t xml:space="preserve"> </w:t>
      </w:r>
      <w:r w:rsidRPr="00A23800">
        <w:rPr>
          <w:rFonts w:ascii="Calibri" w:hAnsi="Calibri"/>
          <w:color w:val="231F20"/>
          <w:w w:val="105"/>
        </w:rPr>
        <w:t>directly</w:t>
      </w:r>
      <w:r w:rsidRPr="00A23800">
        <w:rPr>
          <w:rFonts w:ascii="Calibri" w:hAnsi="Calibri"/>
          <w:color w:val="231F20"/>
          <w:spacing w:val="6"/>
          <w:w w:val="105"/>
        </w:rPr>
        <w:t xml:space="preserve"> </w:t>
      </w:r>
      <w:r w:rsidRPr="00A23800">
        <w:rPr>
          <w:rFonts w:ascii="Calibri" w:hAnsi="Calibri"/>
          <w:color w:val="231F20"/>
          <w:w w:val="105"/>
        </w:rPr>
        <w:t>with</w:t>
      </w:r>
      <w:r w:rsidRPr="00A23800">
        <w:rPr>
          <w:rFonts w:ascii="Calibri" w:hAnsi="Calibri"/>
          <w:color w:val="231F20"/>
          <w:spacing w:val="6"/>
          <w:w w:val="105"/>
        </w:rPr>
        <w:t xml:space="preserve"> </w:t>
      </w:r>
      <w:r w:rsidRPr="00A23800">
        <w:rPr>
          <w:rFonts w:ascii="Calibri" w:hAnsi="Calibri"/>
          <w:color w:val="231F20"/>
          <w:w w:val="105"/>
        </w:rPr>
        <w:t>a</w:t>
      </w:r>
      <w:r w:rsidRPr="00A23800">
        <w:rPr>
          <w:rFonts w:ascii="Calibri" w:hAnsi="Calibri"/>
          <w:color w:val="231F20"/>
          <w:spacing w:val="6"/>
          <w:w w:val="105"/>
        </w:rPr>
        <w:t xml:space="preserve"> </w:t>
      </w:r>
      <w:r w:rsidRPr="00A23800">
        <w:rPr>
          <w:rFonts w:ascii="Calibri" w:hAnsi="Calibri"/>
          <w:color w:val="231F20"/>
          <w:w w:val="105"/>
        </w:rPr>
        <w:t>customer</w:t>
      </w:r>
      <w:r w:rsidRPr="00A23800">
        <w:rPr>
          <w:rFonts w:ascii="Calibri" w:hAnsi="Calibri"/>
          <w:color w:val="231F20"/>
          <w:spacing w:val="6"/>
          <w:w w:val="105"/>
        </w:rPr>
        <w:t xml:space="preserve"> </w:t>
      </w:r>
      <w:r w:rsidRPr="00A23800">
        <w:rPr>
          <w:rFonts w:ascii="Calibri" w:hAnsi="Calibri"/>
          <w:color w:val="231F20"/>
          <w:w w:val="105"/>
        </w:rPr>
        <w:t>in</w:t>
      </w:r>
      <w:r w:rsidRPr="00A23800">
        <w:rPr>
          <w:rFonts w:ascii="Calibri" w:hAnsi="Calibri"/>
          <w:color w:val="231F20"/>
          <w:spacing w:val="6"/>
          <w:w w:val="105"/>
        </w:rPr>
        <w:t xml:space="preserve"> </w:t>
      </w:r>
      <w:r w:rsidRPr="00A23800">
        <w:rPr>
          <w:rFonts w:ascii="Calibri" w:hAnsi="Calibri"/>
          <w:color w:val="231F20"/>
          <w:w w:val="105"/>
        </w:rPr>
        <w:t>his/her</w:t>
      </w:r>
      <w:r w:rsidRPr="00A23800">
        <w:rPr>
          <w:rFonts w:ascii="Calibri" w:hAnsi="Calibri"/>
          <w:color w:val="231F20"/>
          <w:spacing w:val="6"/>
          <w:w w:val="105"/>
        </w:rPr>
        <w:t xml:space="preserve"> </w:t>
      </w:r>
      <w:r w:rsidRPr="00A23800">
        <w:rPr>
          <w:rFonts w:ascii="Calibri" w:hAnsi="Calibri"/>
          <w:color w:val="231F20"/>
          <w:w w:val="105"/>
        </w:rPr>
        <w:t>preferred</w:t>
      </w:r>
      <w:r w:rsidRPr="00A23800">
        <w:rPr>
          <w:rFonts w:ascii="Calibri" w:hAnsi="Calibri"/>
          <w:color w:val="231F20"/>
          <w:spacing w:val="6"/>
          <w:w w:val="105"/>
        </w:rPr>
        <w:t xml:space="preserve"> </w:t>
      </w:r>
      <w:r w:rsidRPr="00A23800">
        <w:rPr>
          <w:rFonts w:ascii="Calibri" w:hAnsi="Calibri"/>
          <w:color w:val="231F20"/>
          <w:w w:val="105"/>
        </w:rPr>
        <w:t>language.</w:t>
      </w:r>
      <w:r w:rsidRPr="00A23800">
        <w:rPr>
          <w:rFonts w:ascii="Calibri" w:hAnsi="Calibri"/>
          <w:color w:val="231F20"/>
          <w:spacing w:val="6"/>
          <w:w w:val="105"/>
        </w:rPr>
        <w:t xml:space="preserve"> </w:t>
      </w:r>
      <w:r w:rsidRPr="00A23800">
        <w:rPr>
          <w:rFonts w:ascii="Calibri" w:hAnsi="Calibri"/>
          <w:color w:val="231F20"/>
          <w:w w:val="105"/>
        </w:rPr>
        <w:t>VR</w:t>
      </w:r>
      <w:r w:rsidR="00EF543E">
        <w:rPr>
          <w:rFonts w:ascii="Calibri" w:hAnsi="Calibri"/>
          <w:color w:val="231F20"/>
          <w:w w:val="105"/>
        </w:rPr>
        <w:t xml:space="preserve"> will continue to</w:t>
      </w:r>
      <w:r w:rsidRPr="00A23800">
        <w:rPr>
          <w:rFonts w:ascii="Calibri" w:hAnsi="Calibri"/>
          <w:color w:val="231F20"/>
          <w:spacing w:val="6"/>
          <w:w w:val="105"/>
        </w:rPr>
        <w:t xml:space="preserve"> </w:t>
      </w:r>
      <w:r w:rsidR="00EF543E">
        <w:rPr>
          <w:rFonts w:ascii="Calibri" w:hAnsi="Calibri"/>
          <w:color w:val="231F20"/>
          <w:w w:val="105"/>
        </w:rPr>
        <w:t>partner</w:t>
      </w:r>
      <w:r w:rsidR="00C442E2">
        <w:rPr>
          <w:rFonts w:ascii="Calibri" w:hAnsi="Calibri"/>
          <w:color w:val="231F20"/>
          <w:w w:val="105"/>
        </w:rPr>
        <w:t xml:space="preserve"> </w:t>
      </w:r>
      <w:r w:rsidRPr="00A23800">
        <w:rPr>
          <w:rFonts w:ascii="Calibri" w:hAnsi="Calibri"/>
          <w:color w:val="231F20"/>
          <w:w w:val="105"/>
        </w:rPr>
        <w:t>with local vendors to offer this service.</w:t>
      </w:r>
    </w:p>
    <w:p w14:paraId="7AAA12AD" w14:textId="0F48A5A8" w:rsidR="00A07550" w:rsidRPr="00A23800" w:rsidRDefault="00A07550" w:rsidP="00D63204">
      <w:pPr>
        <w:widowControl w:val="0"/>
        <w:spacing w:before="195" w:after="0" w:line="240" w:lineRule="auto"/>
        <w:ind w:left="107"/>
        <w:rPr>
          <w:rFonts w:ascii="Calibri" w:hAnsi="Calibri"/>
        </w:rPr>
      </w:pPr>
      <w:r w:rsidRPr="00A23800">
        <w:rPr>
          <w:rFonts w:ascii="Calibri" w:hAnsi="Calibri"/>
          <w:color w:val="231F20"/>
          <w:w w:val="105"/>
        </w:rPr>
        <w:t>American</w:t>
      </w:r>
      <w:r w:rsidRPr="00A23800">
        <w:rPr>
          <w:rFonts w:ascii="Calibri" w:hAnsi="Calibri"/>
          <w:color w:val="231F20"/>
          <w:spacing w:val="16"/>
          <w:w w:val="105"/>
        </w:rPr>
        <w:t xml:space="preserve"> </w:t>
      </w:r>
      <w:r w:rsidRPr="00A23800">
        <w:rPr>
          <w:rFonts w:ascii="Calibri" w:hAnsi="Calibri"/>
          <w:color w:val="231F20"/>
          <w:w w:val="105"/>
        </w:rPr>
        <w:t>Sign</w:t>
      </w:r>
      <w:r w:rsidRPr="00A23800">
        <w:rPr>
          <w:rFonts w:ascii="Calibri" w:hAnsi="Calibri"/>
          <w:color w:val="231F20"/>
          <w:spacing w:val="16"/>
          <w:w w:val="105"/>
        </w:rPr>
        <w:t xml:space="preserve"> </w:t>
      </w:r>
      <w:r w:rsidRPr="00A23800">
        <w:rPr>
          <w:rFonts w:ascii="Calibri" w:hAnsi="Calibri"/>
          <w:color w:val="231F20"/>
          <w:w w:val="105"/>
        </w:rPr>
        <w:t>Language</w:t>
      </w:r>
      <w:r w:rsidRPr="00A23800">
        <w:rPr>
          <w:rFonts w:ascii="Calibri" w:hAnsi="Calibri"/>
          <w:color w:val="231F20"/>
          <w:spacing w:val="16"/>
          <w:w w:val="105"/>
        </w:rPr>
        <w:t xml:space="preserve"> </w:t>
      </w:r>
      <w:r w:rsidRPr="00A23800">
        <w:rPr>
          <w:rFonts w:ascii="Calibri" w:hAnsi="Calibri"/>
          <w:color w:val="231F20"/>
          <w:w w:val="105"/>
        </w:rPr>
        <w:t>interpretation</w:t>
      </w:r>
      <w:r w:rsidRPr="00A23800">
        <w:rPr>
          <w:rFonts w:ascii="Calibri" w:hAnsi="Calibri"/>
          <w:color w:val="231F20"/>
          <w:spacing w:val="16"/>
          <w:w w:val="105"/>
        </w:rPr>
        <w:t xml:space="preserve"> </w:t>
      </w:r>
      <w:r w:rsidRPr="00A23800">
        <w:rPr>
          <w:rFonts w:ascii="Calibri" w:hAnsi="Calibri"/>
          <w:color w:val="231F20"/>
          <w:w w:val="105"/>
        </w:rPr>
        <w:t>needs</w:t>
      </w:r>
      <w:r w:rsidRPr="00A23800">
        <w:rPr>
          <w:rFonts w:ascii="Calibri" w:hAnsi="Calibri"/>
          <w:color w:val="231F20"/>
          <w:spacing w:val="16"/>
          <w:w w:val="105"/>
        </w:rPr>
        <w:t xml:space="preserve"> </w:t>
      </w:r>
      <w:r w:rsidRPr="00A23800">
        <w:rPr>
          <w:rFonts w:ascii="Calibri" w:hAnsi="Calibri"/>
          <w:color w:val="231F20"/>
          <w:w w:val="105"/>
        </w:rPr>
        <w:t>for</w:t>
      </w:r>
      <w:r w:rsidRPr="00A23800">
        <w:rPr>
          <w:rFonts w:ascii="Calibri" w:hAnsi="Calibri"/>
          <w:color w:val="231F20"/>
          <w:spacing w:val="16"/>
          <w:w w:val="105"/>
        </w:rPr>
        <w:t xml:space="preserve"> </w:t>
      </w:r>
      <w:r w:rsidRPr="00A23800">
        <w:rPr>
          <w:rFonts w:ascii="Calibri" w:hAnsi="Calibri"/>
          <w:color w:val="231F20"/>
          <w:w w:val="105"/>
        </w:rPr>
        <w:t>customers</w:t>
      </w:r>
      <w:r w:rsidRPr="00A23800">
        <w:rPr>
          <w:rFonts w:ascii="Calibri" w:hAnsi="Calibri"/>
          <w:color w:val="231F20"/>
          <w:spacing w:val="16"/>
          <w:w w:val="105"/>
        </w:rPr>
        <w:t xml:space="preserve"> </w:t>
      </w:r>
      <w:r w:rsidRPr="00A23800">
        <w:rPr>
          <w:rFonts w:ascii="Calibri" w:hAnsi="Calibri"/>
          <w:color w:val="231F20"/>
          <w:w w:val="105"/>
        </w:rPr>
        <w:t>who</w:t>
      </w:r>
      <w:r w:rsidRPr="00A23800">
        <w:rPr>
          <w:rFonts w:ascii="Calibri" w:hAnsi="Calibri"/>
          <w:color w:val="231F20"/>
          <w:spacing w:val="16"/>
          <w:w w:val="105"/>
        </w:rPr>
        <w:t xml:space="preserve"> </w:t>
      </w:r>
      <w:r w:rsidRPr="00A23800">
        <w:rPr>
          <w:rFonts w:ascii="Calibri" w:hAnsi="Calibri"/>
          <w:color w:val="231F20"/>
          <w:w w:val="105"/>
        </w:rPr>
        <w:t>are</w:t>
      </w:r>
      <w:r w:rsidRPr="00A23800">
        <w:rPr>
          <w:rFonts w:ascii="Calibri" w:hAnsi="Calibri"/>
          <w:color w:val="231F20"/>
          <w:spacing w:val="16"/>
          <w:w w:val="105"/>
        </w:rPr>
        <w:t xml:space="preserve"> </w:t>
      </w:r>
      <w:r w:rsidRPr="00A23800">
        <w:rPr>
          <w:rFonts w:ascii="Calibri" w:hAnsi="Calibri"/>
          <w:color w:val="231F20"/>
          <w:w w:val="105"/>
        </w:rPr>
        <w:t>deaf</w:t>
      </w:r>
      <w:r w:rsidRPr="00A23800">
        <w:rPr>
          <w:rFonts w:ascii="Calibri" w:hAnsi="Calibri"/>
          <w:color w:val="231F20"/>
          <w:spacing w:val="16"/>
          <w:w w:val="105"/>
        </w:rPr>
        <w:t xml:space="preserve"> </w:t>
      </w:r>
      <w:r w:rsidRPr="00A23800">
        <w:rPr>
          <w:rFonts w:ascii="Calibri" w:hAnsi="Calibri"/>
          <w:color w:val="231F20"/>
          <w:w w:val="105"/>
        </w:rPr>
        <w:t>or</w:t>
      </w:r>
      <w:r w:rsidRPr="00A23800">
        <w:rPr>
          <w:rFonts w:ascii="Calibri" w:hAnsi="Calibri"/>
          <w:color w:val="231F20"/>
          <w:spacing w:val="16"/>
          <w:w w:val="105"/>
        </w:rPr>
        <w:t xml:space="preserve"> </w:t>
      </w:r>
      <w:r w:rsidRPr="00A23800">
        <w:rPr>
          <w:rFonts w:ascii="Calibri" w:hAnsi="Calibri"/>
          <w:color w:val="231F20"/>
          <w:w w:val="105"/>
        </w:rPr>
        <w:t>deaf-blind</w:t>
      </w:r>
      <w:r w:rsidRPr="00A23800">
        <w:rPr>
          <w:rFonts w:ascii="Calibri" w:hAnsi="Calibri"/>
          <w:color w:val="231F20"/>
          <w:spacing w:val="16"/>
          <w:w w:val="105"/>
        </w:rPr>
        <w:t xml:space="preserve"> </w:t>
      </w:r>
      <w:r w:rsidRPr="00A23800">
        <w:rPr>
          <w:rFonts w:ascii="Calibri" w:hAnsi="Calibri"/>
          <w:color w:val="231F20"/>
          <w:w w:val="105"/>
        </w:rPr>
        <w:t>are</w:t>
      </w:r>
      <w:r w:rsidRPr="00A23800">
        <w:rPr>
          <w:rFonts w:ascii="Calibri" w:hAnsi="Calibri"/>
          <w:color w:val="231F20"/>
          <w:spacing w:val="16"/>
          <w:w w:val="105"/>
        </w:rPr>
        <w:t xml:space="preserve"> </w:t>
      </w:r>
      <w:r w:rsidRPr="00A23800">
        <w:rPr>
          <w:rFonts w:ascii="Calibri" w:hAnsi="Calibri"/>
          <w:color w:val="231F20"/>
          <w:w w:val="105"/>
        </w:rPr>
        <w:t>met</w:t>
      </w:r>
      <w:r w:rsidRPr="00A23800">
        <w:rPr>
          <w:rFonts w:ascii="Calibri" w:hAnsi="Calibri"/>
          <w:color w:val="231F20"/>
          <w:spacing w:val="16"/>
          <w:w w:val="105"/>
        </w:rPr>
        <w:t xml:space="preserve"> </w:t>
      </w:r>
      <w:r w:rsidRPr="00A23800">
        <w:rPr>
          <w:rFonts w:ascii="Calibri" w:hAnsi="Calibri"/>
          <w:color w:val="231F20"/>
          <w:w w:val="105"/>
        </w:rPr>
        <w:t>using</w:t>
      </w:r>
      <w:r w:rsidRPr="00A23800">
        <w:rPr>
          <w:rFonts w:ascii="Calibri" w:hAnsi="Calibri"/>
          <w:color w:val="231F20"/>
          <w:spacing w:val="16"/>
          <w:w w:val="105"/>
        </w:rPr>
        <w:t xml:space="preserve"> </w:t>
      </w:r>
      <w:r w:rsidRPr="00A23800">
        <w:rPr>
          <w:rFonts w:ascii="Calibri" w:hAnsi="Calibri"/>
          <w:color w:val="231F20"/>
          <w:w w:val="105"/>
        </w:rPr>
        <w:t>a</w:t>
      </w:r>
      <w:r w:rsidRPr="00A23800">
        <w:rPr>
          <w:rFonts w:ascii="Calibri" w:hAnsi="Calibri"/>
          <w:color w:val="231F20"/>
          <w:w w:val="110"/>
        </w:rPr>
        <w:t xml:space="preserve"> </w:t>
      </w:r>
      <w:r w:rsidRPr="00A23800">
        <w:rPr>
          <w:rFonts w:ascii="Calibri" w:hAnsi="Calibri"/>
          <w:color w:val="231F20"/>
          <w:w w:val="105"/>
        </w:rPr>
        <w:t>combination of employee positions and arrangements with qualified local interpreter service providers.</w:t>
      </w:r>
      <w:r>
        <w:rPr>
          <w:rFonts w:ascii="Calibri" w:hAnsi="Calibri"/>
          <w:color w:val="231F20"/>
          <w:w w:val="105"/>
        </w:rPr>
        <w:t xml:space="preserve"> </w:t>
      </w:r>
      <w:r w:rsidRPr="00A23800">
        <w:rPr>
          <w:rFonts w:ascii="Calibri" w:hAnsi="Calibri"/>
          <w:color w:val="231F20"/>
          <w:w w:val="105"/>
        </w:rPr>
        <w:t>When</w:t>
      </w:r>
      <w:r w:rsidRPr="00A23800">
        <w:rPr>
          <w:rFonts w:ascii="Calibri" w:hAnsi="Calibri"/>
          <w:color w:val="231F20"/>
          <w:spacing w:val="6"/>
          <w:w w:val="105"/>
        </w:rPr>
        <w:t xml:space="preserve"> </w:t>
      </w:r>
      <w:r w:rsidRPr="00A23800">
        <w:rPr>
          <w:rFonts w:ascii="Calibri" w:hAnsi="Calibri"/>
          <w:color w:val="231F20"/>
          <w:w w:val="105"/>
        </w:rPr>
        <w:t>either</w:t>
      </w:r>
      <w:r w:rsidRPr="00A23800">
        <w:rPr>
          <w:rFonts w:ascii="Calibri" w:hAnsi="Calibri"/>
          <w:color w:val="231F20"/>
          <w:spacing w:val="6"/>
          <w:w w:val="105"/>
        </w:rPr>
        <w:t xml:space="preserve"> </w:t>
      </w:r>
      <w:r w:rsidRPr="00A23800">
        <w:rPr>
          <w:rFonts w:ascii="Calibri" w:hAnsi="Calibri"/>
          <w:color w:val="231F20"/>
          <w:w w:val="105"/>
        </w:rPr>
        <w:t>staff</w:t>
      </w:r>
      <w:r w:rsidRPr="00A23800">
        <w:rPr>
          <w:rFonts w:ascii="Calibri" w:hAnsi="Calibri"/>
          <w:color w:val="231F20"/>
          <w:spacing w:val="6"/>
          <w:w w:val="105"/>
        </w:rPr>
        <w:t xml:space="preserve"> </w:t>
      </w:r>
      <w:r w:rsidRPr="00A23800">
        <w:rPr>
          <w:rFonts w:ascii="Calibri" w:hAnsi="Calibri"/>
          <w:color w:val="231F20"/>
          <w:w w:val="105"/>
        </w:rPr>
        <w:t>interpreters</w:t>
      </w:r>
      <w:r w:rsidRPr="00A23800">
        <w:rPr>
          <w:rFonts w:ascii="Calibri" w:hAnsi="Calibri"/>
          <w:color w:val="231F20"/>
          <w:spacing w:val="6"/>
          <w:w w:val="105"/>
        </w:rPr>
        <w:t xml:space="preserve"> </w:t>
      </w:r>
      <w:r w:rsidRPr="00A23800">
        <w:rPr>
          <w:rFonts w:ascii="Calibri" w:hAnsi="Calibri"/>
          <w:color w:val="231F20"/>
          <w:w w:val="105"/>
        </w:rPr>
        <w:t>or</w:t>
      </w:r>
      <w:r w:rsidRPr="00A23800">
        <w:rPr>
          <w:rFonts w:ascii="Calibri" w:hAnsi="Calibri"/>
          <w:color w:val="231F20"/>
          <w:spacing w:val="6"/>
          <w:w w:val="105"/>
        </w:rPr>
        <w:t xml:space="preserve"> </w:t>
      </w:r>
      <w:r w:rsidRPr="00A23800">
        <w:rPr>
          <w:rFonts w:ascii="Calibri" w:hAnsi="Calibri"/>
          <w:color w:val="231F20"/>
          <w:w w:val="105"/>
        </w:rPr>
        <w:t>local</w:t>
      </w:r>
      <w:r w:rsidRPr="00A23800">
        <w:rPr>
          <w:rFonts w:ascii="Calibri" w:hAnsi="Calibri"/>
          <w:color w:val="231F20"/>
          <w:spacing w:val="6"/>
          <w:w w:val="105"/>
        </w:rPr>
        <w:t xml:space="preserve"> </w:t>
      </w:r>
      <w:r w:rsidRPr="00A23800">
        <w:rPr>
          <w:rFonts w:ascii="Calibri" w:hAnsi="Calibri"/>
          <w:color w:val="231F20"/>
          <w:w w:val="105"/>
        </w:rPr>
        <w:t>interpreters</w:t>
      </w:r>
      <w:r w:rsidRPr="00A23800">
        <w:rPr>
          <w:rFonts w:ascii="Calibri" w:hAnsi="Calibri"/>
          <w:color w:val="231F20"/>
          <w:spacing w:val="6"/>
          <w:w w:val="105"/>
        </w:rPr>
        <w:t xml:space="preserve"> </w:t>
      </w:r>
      <w:r w:rsidRPr="00A23800">
        <w:rPr>
          <w:rFonts w:ascii="Calibri" w:hAnsi="Calibri"/>
          <w:color w:val="231F20"/>
          <w:w w:val="105"/>
        </w:rPr>
        <w:t>are</w:t>
      </w:r>
      <w:r w:rsidRPr="00A23800">
        <w:rPr>
          <w:rFonts w:ascii="Calibri" w:hAnsi="Calibri"/>
          <w:color w:val="231F20"/>
          <w:spacing w:val="6"/>
          <w:w w:val="105"/>
        </w:rPr>
        <w:t xml:space="preserve"> </w:t>
      </w:r>
      <w:r w:rsidRPr="00A23800">
        <w:rPr>
          <w:rFonts w:ascii="Calibri" w:hAnsi="Calibri"/>
          <w:color w:val="231F20"/>
          <w:w w:val="105"/>
        </w:rPr>
        <w:t>not</w:t>
      </w:r>
      <w:r w:rsidRPr="00A23800">
        <w:rPr>
          <w:rFonts w:ascii="Calibri" w:hAnsi="Calibri"/>
          <w:color w:val="231F20"/>
          <w:spacing w:val="5"/>
          <w:w w:val="105"/>
        </w:rPr>
        <w:t xml:space="preserve"> </w:t>
      </w:r>
      <w:r w:rsidRPr="00A23800">
        <w:rPr>
          <w:rFonts w:ascii="Calibri" w:hAnsi="Calibri"/>
          <w:color w:val="231F20"/>
          <w:w w:val="105"/>
        </w:rPr>
        <w:t>available,</w:t>
      </w:r>
      <w:r w:rsidRPr="00A23800">
        <w:rPr>
          <w:rFonts w:ascii="Calibri" w:hAnsi="Calibri"/>
          <w:color w:val="231F20"/>
          <w:spacing w:val="6"/>
          <w:w w:val="105"/>
        </w:rPr>
        <w:t xml:space="preserve"> </w:t>
      </w:r>
      <w:r w:rsidRPr="00A23800">
        <w:rPr>
          <w:rFonts w:ascii="Calibri" w:hAnsi="Calibri"/>
          <w:color w:val="231F20"/>
          <w:w w:val="105"/>
        </w:rPr>
        <w:t>VR</w:t>
      </w:r>
      <w:r w:rsidRPr="00A23800">
        <w:rPr>
          <w:rFonts w:ascii="Calibri" w:hAnsi="Calibri"/>
          <w:color w:val="231F20"/>
          <w:spacing w:val="6"/>
          <w:w w:val="105"/>
        </w:rPr>
        <w:t xml:space="preserve"> </w:t>
      </w:r>
      <w:r w:rsidRPr="00A23800">
        <w:rPr>
          <w:rFonts w:ascii="Calibri" w:hAnsi="Calibri"/>
          <w:color w:val="231F20"/>
          <w:w w:val="105"/>
        </w:rPr>
        <w:t>will</w:t>
      </w:r>
      <w:r w:rsidRPr="00A23800">
        <w:rPr>
          <w:rFonts w:ascii="Calibri" w:hAnsi="Calibri"/>
          <w:color w:val="231F20"/>
          <w:spacing w:val="6"/>
          <w:w w:val="105"/>
        </w:rPr>
        <w:t xml:space="preserve"> </w:t>
      </w:r>
      <w:r w:rsidRPr="00A23800">
        <w:rPr>
          <w:rFonts w:ascii="Calibri" w:hAnsi="Calibri"/>
          <w:color w:val="231F20"/>
          <w:w w:val="105"/>
        </w:rPr>
        <w:t>reschedule</w:t>
      </w:r>
      <w:r w:rsidRPr="00A23800">
        <w:rPr>
          <w:rFonts w:ascii="Calibri" w:hAnsi="Calibri"/>
          <w:color w:val="231F20"/>
          <w:spacing w:val="6"/>
          <w:w w:val="105"/>
        </w:rPr>
        <w:t xml:space="preserve"> </w:t>
      </w:r>
      <w:r w:rsidRPr="00A23800">
        <w:rPr>
          <w:rFonts w:ascii="Calibri" w:hAnsi="Calibri"/>
          <w:color w:val="231F20"/>
          <w:w w:val="105"/>
        </w:rPr>
        <w:t>appointments</w:t>
      </w:r>
      <w:r w:rsidRPr="00A23800">
        <w:rPr>
          <w:rFonts w:ascii="Calibri" w:hAnsi="Calibri"/>
          <w:color w:val="231F20"/>
          <w:spacing w:val="-46"/>
          <w:w w:val="105"/>
        </w:rPr>
        <w:t xml:space="preserve"> </w:t>
      </w:r>
      <w:r w:rsidRPr="00A23800">
        <w:rPr>
          <w:rFonts w:ascii="Calibri" w:hAnsi="Calibri"/>
          <w:color w:val="231F20"/>
          <w:w w:val="105"/>
        </w:rPr>
        <w:t>or</w:t>
      </w:r>
      <w:r w:rsidRPr="00A23800">
        <w:rPr>
          <w:rFonts w:ascii="Calibri" w:hAnsi="Calibri"/>
          <w:color w:val="231F20"/>
          <w:spacing w:val="17"/>
          <w:w w:val="105"/>
        </w:rPr>
        <w:t xml:space="preserve"> </w:t>
      </w:r>
      <w:r w:rsidRPr="00A23800">
        <w:rPr>
          <w:rFonts w:ascii="Calibri" w:hAnsi="Calibri"/>
          <w:color w:val="231F20"/>
          <w:w w:val="105"/>
        </w:rPr>
        <w:t>use</w:t>
      </w:r>
      <w:r w:rsidRPr="00A23800">
        <w:rPr>
          <w:rFonts w:ascii="Calibri" w:hAnsi="Calibri"/>
          <w:color w:val="231F20"/>
          <w:spacing w:val="17"/>
          <w:w w:val="105"/>
        </w:rPr>
        <w:t xml:space="preserve"> </w:t>
      </w:r>
      <w:r w:rsidRPr="00A23800">
        <w:rPr>
          <w:rFonts w:ascii="Calibri" w:hAnsi="Calibri"/>
          <w:color w:val="231F20"/>
          <w:w w:val="105"/>
        </w:rPr>
        <w:t>available</w:t>
      </w:r>
      <w:r w:rsidRPr="00A23800">
        <w:rPr>
          <w:rFonts w:ascii="Calibri" w:hAnsi="Calibri"/>
          <w:color w:val="231F20"/>
          <w:spacing w:val="17"/>
          <w:w w:val="105"/>
        </w:rPr>
        <w:t xml:space="preserve"> </w:t>
      </w:r>
      <w:r w:rsidRPr="00A23800">
        <w:rPr>
          <w:rFonts w:ascii="Calibri" w:hAnsi="Calibri"/>
          <w:color w:val="231F20"/>
          <w:w w:val="105"/>
        </w:rPr>
        <w:t>text</w:t>
      </w:r>
      <w:r w:rsidRPr="00A23800">
        <w:rPr>
          <w:rFonts w:ascii="Calibri" w:hAnsi="Calibri"/>
          <w:color w:val="231F20"/>
          <w:spacing w:val="17"/>
          <w:w w:val="105"/>
        </w:rPr>
        <w:t xml:space="preserve"> </w:t>
      </w:r>
      <w:r w:rsidRPr="00A23800">
        <w:rPr>
          <w:rFonts w:ascii="Calibri" w:hAnsi="Calibri"/>
          <w:color w:val="231F20"/>
          <w:w w:val="105"/>
        </w:rPr>
        <w:t>communication</w:t>
      </w:r>
      <w:r w:rsidRPr="00A23800">
        <w:rPr>
          <w:rFonts w:ascii="Calibri" w:hAnsi="Calibri"/>
          <w:color w:val="231F20"/>
          <w:spacing w:val="17"/>
          <w:w w:val="105"/>
        </w:rPr>
        <w:t xml:space="preserve"> </w:t>
      </w:r>
      <w:r w:rsidRPr="00A23800">
        <w:rPr>
          <w:rFonts w:ascii="Calibri" w:hAnsi="Calibri"/>
          <w:color w:val="231F20"/>
          <w:w w:val="105"/>
        </w:rPr>
        <w:t>devices</w:t>
      </w:r>
      <w:r w:rsidRPr="00A23800">
        <w:rPr>
          <w:rFonts w:ascii="Calibri" w:hAnsi="Calibri"/>
          <w:color w:val="231F20"/>
          <w:spacing w:val="17"/>
          <w:w w:val="105"/>
        </w:rPr>
        <w:t xml:space="preserve"> </w:t>
      </w:r>
      <w:r w:rsidRPr="00A23800">
        <w:rPr>
          <w:rFonts w:ascii="Calibri" w:hAnsi="Calibri"/>
          <w:color w:val="231F20"/>
          <w:w w:val="105"/>
        </w:rPr>
        <w:t>with</w:t>
      </w:r>
      <w:r w:rsidRPr="00A23800">
        <w:rPr>
          <w:rFonts w:ascii="Calibri" w:hAnsi="Calibri"/>
          <w:color w:val="231F20"/>
          <w:spacing w:val="17"/>
          <w:w w:val="105"/>
        </w:rPr>
        <w:t xml:space="preserve"> </w:t>
      </w:r>
      <w:r w:rsidRPr="00A23800">
        <w:rPr>
          <w:rFonts w:ascii="Calibri" w:hAnsi="Calibri"/>
          <w:color w:val="231F20"/>
          <w:w w:val="105"/>
        </w:rPr>
        <w:t>customers.</w:t>
      </w:r>
      <w:r w:rsidRPr="00A23800">
        <w:rPr>
          <w:rFonts w:ascii="Calibri" w:hAnsi="Calibri"/>
          <w:color w:val="231F20"/>
          <w:spacing w:val="34"/>
          <w:w w:val="105"/>
        </w:rPr>
        <w:t xml:space="preserve"> </w:t>
      </w:r>
      <w:r w:rsidRPr="00A23800">
        <w:rPr>
          <w:rFonts w:ascii="Calibri" w:hAnsi="Calibri"/>
          <w:color w:val="231F20"/>
          <w:w w:val="105"/>
        </w:rPr>
        <w:t>VR</w:t>
      </w:r>
      <w:r w:rsidR="00EF543E">
        <w:rPr>
          <w:rFonts w:ascii="Calibri" w:hAnsi="Calibri"/>
          <w:color w:val="231F20"/>
          <w:w w:val="105"/>
        </w:rPr>
        <w:t xml:space="preserve"> also</w:t>
      </w:r>
      <w:r w:rsidRPr="00A23800">
        <w:rPr>
          <w:rFonts w:ascii="Calibri" w:hAnsi="Calibri"/>
          <w:color w:val="231F20"/>
          <w:spacing w:val="17"/>
          <w:w w:val="105"/>
        </w:rPr>
        <w:t xml:space="preserve"> </w:t>
      </w:r>
      <w:r w:rsidRPr="00A23800">
        <w:rPr>
          <w:rFonts w:ascii="Calibri" w:hAnsi="Calibri"/>
          <w:color w:val="231F20"/>
          <w:w w:val="105"/>
        </w:rPr>
        <w:t>has</w:t>
      </w:r>
      <w:r w:rsidRPr="00A23800">
        <w:rPr>
          <w:rFonts w:ascii="Calibri" w:hAnsi="Calibri"/>
          <w:color w:val="231F20"/>
          <w:spacing w:val="17"/>
          <w:w w:val="105"/>
        </w:rPr>
        <w:t xml:space="preserve"> </w:t>
      </w:r>
      <w:r w:rsidRPr="00A23800">
        <w:rPr>
          <w:rFonts w:ascii="Calibri" w:hAnsi="Calibri"/>
          <w:color w:val="231F20"/>
          <w:w w:val="105"/>
        </w:rPr>
        <w:t>assistive</w:t>
      </w:r>
      <w:r w:rsidRPr="00A23800">
        <w:rPr>
          <w:rFonts w:ascii="Calibri" w:hAnsi="Calibri"/>
          <w:color w:val="231F20"/>
          <w:spacing w:val="17"/>
          <w:w w:val="105"/>
        </w:rPr>
        <w:t xml:space="preserve"> </w:t>
      </w:r>
      <w:r w:rsidRPr="00A23800">
        <w:rPr>
          <w:rFonts w:ascii="Calibri" w:hAnsi="Calibri"/>
          <w:color w:val="231F20"/>
          <w:w w:val="105"/>
        </w:rPr>
        <w:t>listening</w:t>
      </w:r>
      <w:r w:rsidRPr="00A23800">
        <w:rPr>
          <w:rFonts w:ascii="Calibri" w:hAnsi="Calibri"/>
          <w:color w:val="231F20"/>
          <w:spacing w:val="17"/>
          <w:w w:val="105"/>
        </w:rPr>
        <w:t xml:space="preserve"> </w:t>
      </w:r>
      <w:r w:rsidRPr="00A23800">
        <w:rPr>
          <w:rFonts w:ascii="Calibri" w:hAnsi="Calibri"/>
          <w:color w:val="231F20"/>
          <w:w w:val="105"/>
        </w:rPr>
        <w:t>devices</w:t>
      </w:r>
      <w:r w:rsidRPr="00A23800">
        <w:rPr>
          <w:rFonts w:ascii="Calibri" w:hAnsi="Calibri"/>
          <w:color w:val="231F20"/>
          <w:spacing w:val="-3"/>
          <w:w w:val="105"/>
        </w:rPr>
        <w:t xml:space="preserve"> </w:t>
      </w:r>
      <w:r w:rsidRPr="00A23800">
        <w:rPr>
          <w:rFonts w:ascii="Calibri" w:hAnsi="Calibri"/>
          <w:color w:val="231F20"/>
          <w:w w:val="105"/>
        </w:rPr>
        <w:t>available</w:t>
      </w:r>
      <w:r w:rsidRPr="00A23800">
        <w:rPr>
          <w:rFonts w:ascii="Calibri" w:hAnsi="Calibri"/>
          <w:color w:val="231F20"/>
          <w:spacing w:val="11"/>
          <w:w w:val="105"/>
        </w:rPr>
        <w:t xml:space="preserve"> </w:t>
      </w:r>
      <w:r w:rsidRPr="00A23800">
        <w:rPr>
          <w:rFonts w:ascii="Calibri" w:hAnsi="Calibri"/>
          <w:color w:val="231F20"/>
          <w:w w:val="105"/>
        </w:rPr>
        <w:t>in</w:t>
      </w:r>
      <w:r w:rsidRPr="00A23800">
        <w:rPr>
          <w:rFonts w:ascii="Calibri" w:hAnsi="Calibri"/>
          <w:color w:val="231F20"/>
          <w:spacing w:val="11"/>
          <w:w w:val="105"/>
        </w:rPr>
        <w:t xml:space="preserve"> </w:t>
      </w:r>
      <w:r w:rsidRPr="00A23800">
        <w:rPr>
          <w:rFonts w:ascii="Calibri" w:hAnsi="Calibri"/>
          <w:color w:val="231F20"/>
          <w:w w:val="105"/>
        </w:rPr>
        <w:t>most</w:t>
      </w:r>
      <w:r w:rsidRPr="00A23800">
        <w:rPr>
          <w:rFonts w:ascii="Calibri" w:hAnsi="Calibri"/>
          <w:color w:val="231F20"/>
          <w:spacing w:val="11"/>
          <w:w w:val="105"/>
        </w:rPr>
        <w:t xml:space="preserve"> </w:t>
      </w:r>
      <w:r w:rsidRPr="00A23800">
        <w:rPr>
          <w:rFonts w:ascii="Calibri" w:hAnsi="Calibri"/>
          <w:color w:val="231F20"/>
          <w:w w:val="105"/>
        </w:rPr>
        <w:t>offices</w:t>
      </w:r>
      <w:r w:rsidRPr="00A23800">
        <w:rPr>
          <w:rFonts w:ascii="Calibri" w:hAnsi="Calibri"/>
          <w:color w:val="231F20"/>
          <w:spacing w:val="11"/>
          <w:w w:val="105"/>
        </w:rPr>
        <w:t xml:space="preserve"> </w:t>
      </w:r>
      <w:r w:rsidRPr="00A23800">
        <w:rPr>
          <w:rFonts w:ascii="Calibri" w:hAnsi="Calibri"/>
          <w:color w:val="231F20"/>
          <w:w w:val="105"/>
        </w:rPr>
        <w:t>for</w:t>
      </w:r>
      <w:r w:rsidRPr="00A23800">
        <w:rPr>
          <w:rFonts w:ascii="Calibri" w:hAnsi="Calibri"/>
          <w:color w:val="231F20"/>
          <w:spacing w:val="11"/>
          <w:w w:val="105"/>
        </w:rPr>
        <w:t xml:space="preserve"> </w:t>
      </w:r>
      <w:r w:rsidRPr="00A23800">
        <w:rPr>
          <w:rFonts w:ascii="Calibri" w:hAnsi="Calibri"/>
          <w:color w:val="231F20"/>
          <w:w w:val="105"/>
        </w:rPr>
        <w:t>VR</w:t>
      </w:r>
      <w:r w:rsidRPr="00A23800">
        <w:rPr>
          <w:rFonts w:ascii="Calibri" w:hAnsi="Calibri"/>
          <w:color w:val="231F20"/>
          <w:spacing w:val="11"/>
          <w:w w:val="105"/>
        </w:rPr>
        <w:t xml:space="preserve"> </w:t>
      </w:r>
      <w:r w:rsidRPr="00A23800">
        <w:rPr>
          <w:rFonts w:ascii="Calibri" w:hAnsi="Calibri"/>
          <w:color w:val="231F20"/>
          <w:w w:val="105"/>
        </w:rPr>
        <w:t>employees</w:t>
      </w:r>
      <w:r w:rsidRPr="00A23800">
        <w:rPr>
          <w:rFonts w:ascii="Calibri" w:hAnsi="Calibri"/>
          <w:color w:val="231F20"/>
          <w:spacing w:val="11"/>
          <w:w w:val="105"/>
        </w:rPr>
        <w:t xml:space="preserve"> </w:t>
      </w:r>
      <w:r w:rsidRPr="00A23800">
        <w:rPr>
          <w:rFonts w:ascii="Calibri" w:hAnsi="Calibri"/>
          <w:color w:val="231F20"/>
          <w:w w:val="105"/>
        </w:rPr>
        <w:t>to</w:t>
      </w:r>
      <w:r w:rsidRPr="00A23800">
        <w:rPr>
          <w:rFonts w:ascii="Calibri" w:hAnsi="Calibri"/>
          <w:color w:val="231F20"/>
          <w:spacing w:val="11"/>
          <w:w w:val="105"/>
        </w:rPr>
        <w:t xml:space="preserve"> </w:t>
      </w:r>
      <w:r w:rsidRPr="00A23800">
        <w:rPr>
          <w:rFonts w:ascii="Calibri" w:hAnsi="Calibri"/>
          <w:color w:val="231F20"/>
          <w:w w:val="105"/>
        </w:rPr>
        <w:t>communicate</w:t>
      </w:r>
      <w:r w:rsidRPr="00A23800">
        <w:rPr>
          <w:rFonts w:ascii="Calibri" w:hAnsi="Calibri"/>
          <w:color w:val="231F20"/>
          <w:spacing w:val="11"/>
          <w:w w:val="105"/>
        </w:rPr>
        <w:t xml:space="preserve"> </w:t>
      </w:r>
      <w:r w:rsidRPr="00A23800">
        <w:rPr>
          <w:rFonts w:ascii="Calibri" w:hAnsi="Calibri"/>
          <w:color w:val="231F20"/>
          <w:w w:val="105"/>
        </w:rPr>
        <w:t>with</w:t>
      </w:r>
      <w:r w:rsidRPr="00A23800">
        <w:rPr>
          <w:rFonts w:ascii="Calibri" w:hAnsi="Calibri"/>
          <w:color w:val="231F20"/>
          <w:spacing w:val="11"/>
          <w:w w:val="105"/>
        </w:rPr>
        <w:t xml:space="preserve"> </w:t>
      </w:r>
      <w:r w:rsidRPr="00A23800">
        <w:rPr>
          <w:rFonts w:ascii="Calibri" w:hAnsi="Calibri"/>
          <w:color w:val="231F20"/>
          <w:w w:val="105"/>
        </w:rPr>
        <w:t>individuals</w:t>
      </w:r>
      <w:r w:rsidRPr="00A23800">
        <w:rPr>
          <w:rFonts w:ascii="Calibri" w:hAnsi="Calibri"/>
          <w:color w:val="231F20"/>
          <w:spacing w:val="11"/>
          <w:w w:val="105"/>
        </w:rPr>
        <w:t xml:space="preserve"> </w:t>
      </w:r>
      <w:r w:rsidRPr="00A23800">
        <w:rPr>
          <w:rFonts w:ascii="Calibri" w:hAnsi="Calibri"/>
          <w:color w:val="231F20"/>
          <w:w w:val="105"/>
        </w:rPr>
        <w:t>who</w:t>
      </w:r>
      <w:r w:rsidRPr="00A23800">
        <w:rPr>
          <w:rFonts w:ascii="Calibri" w:hAnsi="Calibri"/>
          <w:color w:val="231F20"/>
          <w:spacing w:val="11"/>
          <w:w w:val="105"/>
        </w:rPr>
        <w:t xml:space="preserve"> </w:t>
      </w:r>
      <w:r w:rsidRPr="00A23800">
        <w:rPr>
          <w:rFonts w:ascii="Calibri" w:hAnsi="Calibri"/>
          <w:color w:val="231F20"/>
          <w:w w:val="105"/>
        </w:rPr>
        <w:t>are</w:t>
      </w:r>
      <w:r w:rsidRPr="00A23800">
        <w:rPr>
          <w:rFonts w:ascii="Calibri" w:hAnsi="Calibri"/>
          <w:color w:val="231F20"/>
          <w:spacing w:val="11"/>
          <w:w w:val="105"/>
        </w:rPr>
        <w:t xml:space="preserve"> </w:t>
      </w:r>
      <w:r w:rsidRPr="00A23800">
        <w:rPr>
          <w:rFonts w:ascii="Calibri" w:hAnsi="Calibri"/>
          <w:color w:val="231F20"/>
          <w:w w:val="105"/>
        </w:rPr>
        <w:t>hard</w:t>
      </w:r>
      <w:r w:rsidRPr="00A23800">
        <w:rPr>
          <w:rFonts w:ascii="Calibri" w:hAnsi="Calibri"/>
          <w:color w:val="231F20"/>
          <w:spacing w:val="11"/>
          <w:w w:val="105"/>
        </w:rPr>
        <w:t xml:space="preserve"> </w:t>
      </w:r>
      <w:r w:rsidRPr="00A23800">
        <w:rPr>
          <w:rFonts w:ascii="Calibri" w:hAnsi="Calibri"/>
          <w:color w:val="231F20"/>
          <w:w w:val="105"/>
        </w:rPr>
        <w:t>of</w:t>
      </w:r>
      <w:r w:rsidRPr="00A23800">
        <w:rPr>
          <w:rFonts w:ascii="Calibri" w:hAnsi="Calibri"/>
          <w:color w:val="231F20"/>
          <w:spacing w:val="11"/>
          <w:w w:val="105"/>
        </w:rPr>
        <w:t xml:space="preserve"> </w:t>
      </w:r>
      <w:r w:rsidRPr="00A23800">
        <w:rPr>
          <w:rFonts w:ascii="Calibri" w:hAnsi="Calibri"/>
          <w:color w:val="231F20"/>
          <w:w w:val="105"/>
        </w:rPr>
        <w:t>hearing</w:t>
      </w:r>
      <w:r w:rsidRPr="00A23800">
        <w:rPr>
          <w:rFonts w:ascii="Calibri" w:hAnsi="Calibri"/>
          <w:color w:val="231F20"/>
          <w:spacing w:val="11"/>
          <w:w w:val="105"/>
        </w:rPr>
        <w:t xml:space="preserve"> </w:t>
      </w:r>
      <w:r w:rsidRPr="00A23800">
        <w:rPr>
          <w:rFonts w:ascii="Calibri" w:hAnsi="Calibri"/>
          <w:color w:val="231F20"/>
          <w:w w:val="105"/>
        </w:rPr>
        <w:t>or</w:t>
      </w:r>
      <w:r w:rsidRPr="00A23800">
        <w:rPr>
          <w:rFonts w:ascii="Calibri" w:hAnsi="Calibri"/>
          <w:color w:val="231F20"/>
          <w:w w:val="102"/>
        </w:rPr>
        <w:t xml:space="preserve"> </w:t>
      </w:r>
      <w:r w:rsidRPr="00A23800">
        <w:rPr>
          <w:rFonts w:ascii="Calibri" w:hAnsi="Calibri"/>
          <w:color w:val="231F20"/>
          <w:w w:val="105"/>
        </w:rPr>
        <w:t>late-deafened and do not know sign-language.</w:t>
      </w:r>
    </w:p>
    <w:p w14:paraId="699B6943" w14:textId="77777777" w:rsidR="00A07550" w:rsidRPr="00A23800" w:rsidRDefault="00A07550" w:rsidP="00D63204">
      <w:pPr>
        <w:widowControl w:val="0"/>
        <w:spacing w:before="5" w:after="0" w:line="240" w:lineRule="auto"/>
        <w:ind w:left="107"/>
        <w:rPr>
          <w:rFonts w:ascii="Calibri" w:hAnsi="Calibri" w:cs="Calibri"/>
          <w:sz w:val="16"/>
          <w:szCs w:val="16"/>
        </w:rPr>
      </w:pPr>
    </w:p>
    <w:p w14:paraId="0A221745" w14:textId="588B37E9" w:rsidR="006206D4" w:rsidRDefault="00A07550" w:rsidP="00D63204">
      <w:pPr>
        <w:widowControl w:val="0"/>
        <w:spacing w:after="0" w:line="240" w:lineRule="auto"/>
        <w:ind w:left="107"/>
        <w:rPr>
          <w:rFonts w:ascii="Calibri" w:hAnsi="Calibri"/>
          <w:color w:val="231F20"/>
          <w:w w:val="105"/>
        </w:rPr>
      </w:pPr>
      <w:r w:rsidRPr="00A23800">
        <w:rPr>
          <w:rFonts w:ascii="Calibri" w:hAnsi="Calibri"/>
          <w:color w:val="231F20"/>
          <w:w w:val="105"/>
        </w:rPr>
        <w:t>VR</w:t>
      </w:r>
      <w:r w:rsidRPr="00A23800">
        <w:rPr>
          <w:rFonts w:ascii="Calibri" w:hAnsi="Calibri"/>
          <w:color w:val="231F20"/>
          <w:spacing w:val="9"/>
          <w:w w:val="105"/>
        </w:rPr>
        <w:t xml:space="preserve"> </w:t>
      </w:r>
      <w:r w:rsidRPr="00A23800">
        <w:rPr>
          <w:rFonts w:ascii="Calibri" w:hAnsi="Calibri"/>
          <w:color w:val="231F20"/>
          <w:w w:val="105"/>
        </w:rPr>
        <w:t>complies</w:t>
      </w:r>
      <w:r w:rsidRPr="00A23800">
        <w:rPr>
          <w:rFonts w:ascii="Calibri" w:hAnsi="Calibri"/>
          <w:color w:val="231F20"/>
          <w:spacing w:val="9"/>
          <w:w w:val="105"/>
        </w:rPr>
        <w:t xml:space="preserve"> </w:t>
      </w:r>
      <w:r w:rsidRPr="00A23800">
        <w:rPr>
          <w:rFonts w:ascii="Calibri" w:hAnsi="Calibri"/>
          <w:color w:val="231F20"/>
          <w:w w:val="105"/>
        </w:rPr>
        <w:t>with</w:t>
      </w:r>
      <w:r w:rsidRPr="00A23800">
        <w:rPr>
          <w:rFonts w:ascii="Calibri" w:hAnsi="Calibri"/>
          <w:color w:val="231F20"/>
          <w:spacing w:val="9"/>
          <w:w w:val="105"/>
        </w:rPr>
        <w:t xml:space="preserve"> </w:t>
      </w:r>
      <w:r w:rsidRPr="00A23800">
        <w:rPr>
          <w:rFonts w:ascii="Calibri" w:hAnsi="Calibri"/>
          <w:color w:val="231F20"/>
          <w:w w:val="105"/>
        </w:rPr>
        <w:t>the</w:t>
      </w:r>
      <w:r w:rsidRPr="00A23800">
        <w:rPr>
          <w:rFonts w:ascii="Calibri" w:hAnsi="Calibri"/>
          <w:color w:val="231F20"/>
          <w:spacing w:val="9"/>
          <w:w w:val="105"/>
        </w:rPr>
        <w:t xml:space="preserve"> </w:t>
      </w:r>
      <w:r w:rsidRPr="00A23800">
        <w:rPr>
          <w:rFonts w:ascii="Calibri" w:hAnsi="Calibri"/>
          <w:color w:val="231F20"/>
          <w:w w:val="105"/>
        </w:rPr>
        <w:t>Americans</w:t>
      </w:r>
      <w:r w:rsidRPr="00A23800">
        <w:rPr>
          <w:rFonts w:ascii="Calibri" w:hAnsi="Calibri"/>
          <w:color w:val="231F20"/>
          <w:spacing w:val="9"/>
          <w:w w:val="105"/>
        </w:rPr>
        <w:t xml:space="preserve"> </w:t>
      </w:r>
      <w:r w:rsidRPr="00A23800">
        <w:rPr>
          <w:rFonts w:ascii="Calibri" w:hAnsi="Calibri"/>
          <w:color w:val="231F20"/>
          <w:w w:val="105"/>
        </w:rPr>
        <w:t>with</w:t>
      </w:r>
      <w:r w:rsidRPr="00A23800">
        <w:rPr>
          <w:rFonts w:ascii="Calibri" w:hAnsi="Calibri"/>
          <w:color w:val="231F20"/>
          <w:spacing w:val="9"/>
          <w:w w:val="105"/>
        </w:rPr>
        <w:t xml:space="preserve"> </w:t>
      </w:r>
      <w:r w:rsidRPr="00A23800">
        <w:rPr>
          <w:rFonts w:ascii="Calibri" w:hAnsi="Calibri"/>
          <w:color w:val="231F20"/>
          <w:w w:val="105"/>
        </w:rPr>
        <w:t>Disabilities</w:t>
      </w:r>
      <w:r w:rsidRPr="00A23800">
        <w:rPr>
          <w:rFonts w:ascii="Calibri" w:hAnsi="Calibri"/>
          <w:color w:val="231F20"/>
          <w:spacing w:val="9"/>
          <w:w w:val="105"/>
        </w:rPr>
        <w:t xml:space="preserve"> </w:t>
      </w:r>
      <w:r w:rsidRPr="00A23800">
        <w:rPr>
          <w:rFonts w:ascii="Calibri" w:hAnsi="Calibri"/>
          <w:color w:val="231F20"/>
          <w:w w:val="105"/>
        </w:rPr>
        <w:t>Act</w:t>
      </w:r>
      <w:r w:rsidRPr="00A23800">
        <w:rPr>
          <w:rFonts w:ascii="Calibri" w:hAnsi="Calibri"/>
          <w:color w:val="231F20"/>
          <w:spacing w:val="9"/>
          <w:w w:val="105"/>
        </w:rPr>
        <w:t xml:space="preserve"> </w:t>
      </w:r>
      <w:r w:rsidRPr="00A23800">
        <w:rPr>
          <w:rFonts w:ascii="Calibri" w:hAnsi="Calibri"/>
          <w:color w:val="231F20"/>
          <w:w w:val="105"/>
        </w:rPr>
        <w:t>by</w:t>
      </w:r>
      <w:r w:rsidRPr="00A23800">
        <w:rPr>
          <w:rFonts w:ascii="Calibri" w:hAnsi="Calibri"/>
          <w:color w:val="231F20"/>
          <w:spacing w:val="9"/>
          <w:w w:val="105"/>
        </w:rPr>
        <w:t xml:space="preserve"> </w:t>
      </w:r>
      <w:r w:rsidRPr="00A23800">
        <w:rPr>
          <w:rFonts w:ascii="Calibri" w:hAnsi="Calibri"/>
          <w:color w:val="231F20"/>
          <w:w w:val="105"/>
        </w:rPr>
        <w:t>providing</w:t>
      </w:r>
      <w:r w:rsidRPr="00A23800">
        <w:rPr>
          <w:rFonts w:ascii="Calibri" w:hAnsi="Calibri"/>
          <w:color w:val="231F20"/>
          <w:spacing w:val="9"/>
          <w:w w:val="105"/>
        </w:rPr>
        <w:t xml:space="preserve"> </w:t>
      </w:r>
      <w:r w:rsidRPr="00A23800">
        <w:rPr>
          <w:rFonts w:ascii="Calibri" w:hAnsi="Calibri"/>
          <w:color w:val="231F20"/>
          <w:w w:val="105"/>
        </w:rPr>
        <w:t>materials</w:t>
      </w:r>
      <w:r w:rsidRPr="00A23800">
        <w:rPr>
          <w:rFonts w:ascii="Calibri" w:hAnsi="Calibri"/>
          <w:color w:val="231F20"/>
          <w:spacing w:val="9"/>
          <w:w w:val="105"/>
        </w:rPr>
        <w:t xml:space="preserve"> </w:t>
      </w:r>
      <w:r w:rsidRPr="00A23800">
        <w:rPr>
          <w:rFonts w:ascii="Calibri" w:hAnsi="Calibri"/>
          <w:color w:val="231F20"/>
          <w:w w:val="105"/>
        </w:rPr>
        <w:t>in</w:t>
      </w:r>
      <w:r w:rsidRPr="00A23800">
        <w:rPr>
          <w:rFonts w:ascii="Calibri" w:hAnsi="Calibri"/>
          <w:color w:val="231F20"/>
          <w:spacing w:val="9"/>
          <w:w w:val="105"/>
        </w:rPr>
        <w:t xml:space="preserve"> </w:t>
      </w:r>
      <w:r w:rsidR="00506601">
        <w:rPr>
          <w:rFonts w:ascii="Calibri" w:hAnsi="Calibri"/>
          <w:color w:val="231F20"/>
          <w:w w:val="105"/>
        </w:rPr>
        <w:t>b</w:t>
      </w:r>
      <w:r w:rsidRPr="00A23800">
        <w:rPr>
          <w:rFonts w:ascii="Calibri" w:hAnsi="Calibri"/>
          <w:color w:val="231F20"/>
          <w:w w:val="105"/>
        </w:rPr>
        <w:t>raille</w:t>
      </w:r>
      <w:r w:rsidRPr="00A23800">
        <w:rPr>
          <w:rFonts w:ascii="Calibri" w:hAnsi="Calibri"/>
          <w:color w:val="231F20"/>
          <w:spacing w:val="9"/>
          <w:w w:val="105"/>
        </w:rPr>
        <w:t xml:space="preserve"> </w:t>
      </w:r>
      <w:r w:rsidRPr="00A23800">
        <w:rPr>
          <w:rFonts w:ascii="Calibri" w:hAnsi="Calibri"/>
          <w:color w:val="231F20"/>
          <w:w w:val="105"/>
        </w:rPr>
        <w:t>and</w:t>
      </w:r>
      <w:r w:rsidRPr="00A23800">
        <w:rPr>
          <w:rFonts w:ascii="Calibri" w:hAnsi="Calibri"/>
          <w:color w:val="231F20"/>
          <w:spacing w:val="9"/>
          <w:w w:val="105"/>
        </w:rPr>
        <w:t xml:space="preserve"> </w:t>
      </w:r>
      <w:r w:rsidRPr="00A23800">
        <w:rPr>
          <w:rFonts w:ascii="Calibri" w:hAnsi="Calibri"/>
          <w:color w:val="231F20"/>
          <w:w w:val="105"/>
        </w:rPr>
        <w:t>large</w:t>
      </w:r>
      <w:r w:rsidRPr="00A23800">
        <w:rPr>
          <w:rFonts w:ascii="Calibri" w:hAnsi="Calibri"/>
          <w:color w:val="231F20"/>
          <w:spacing w:val="9"/>
          <w:w w:val="105"/>
        </w:rPr>
        <w:t xml:space="preserve"> </w:t>
      </w:r>
      <w:r w:rsidRPr="00A23800">
        <w:rPr>
          <w:rFonts w:ascii="Calibri" w:hAnsi="Calibri"/>
          <w:color w:val="231F20"/>
          <w:w w:val="105"/>
        </w:rPr>
        <w:t>print,</w:t>
      </w:r>
      <w:r w:rsidRPr="00A23800">
        <w:rPr>
          <w:rFonts w:ascii="Calibri" w:hAnsi="Calibri"/>
          <w:color w:val="231F20"/>
          <w:spacing w:val="-27"/>
          <w:w w:val="105"/>
        </w:rPr>
        <w:t xml:space="preserve"> </w:t>
      </w:r>
      <w:r w:rsidRPr="00A23800">
        <w:rPr>
          <w:rFonts w:ascii="Calibri" w:hAnsi="Calibri"/>
          <w:color w:val="231F20"/>
          <w:w w:val="105"/>
        </w:rPr>
        <w:t>through having qualified sign language interpreters</w:t>
      </w:r>
      <w:r w:rsidR="00D5537E">
        <w:rPr>
          <w:rFonts w:ascii="Calibri" w:hAnsi="Calibri"/>
          <w:color w:val="231F20"/>
          <w:w w:val="105"/>
        </w:rPr>
        <w:t xml:space="preserve"> and</w:t>
      </w:r>
      <w:r w:rsidRPr="00A23800">
        <w:rPr>
          <w:rFonts w:ascii="Calibri" w:hAnsi="Calibri"/>
          <w:color w:val="231F20"/>
          <w:w w:val="105"/>
        </w:rPr>
        <w:t xml:space="preserve"> offering text-based communication access.</w:t>
      </w:r>
      <w:r w:rsidRPr="00A23800">
        <w:rPr>
          <w:rFonts w:ascii="Calibri" w:hAnsi="Calibri"/>
          <w:color w:val="231F20"/>
          <w:spacing w:val="17"/>
          <w:w w:val="105"/>
        </w:rPr>
        <w:t xml:space="preserve"> </w:t>
      </w:r>
      <w:r w:rsidRPr="00A23800">
        <w:rPr>
          <w:rFonts w:ascii="Calibri" w:hAnsi="Calibri"/>
          <w:color w:val="231F20"/>
          <w:w w:val="105"/>
        </w:rPr>
        <w:t xml:space="preserve">VR </w:t>
      </w:r>
      <w:r w:rsidR="00EF543E">
        <w:rPr>
          <w:rFonts w:ascii="Calibri" w:hAnsi="Calibri"/>
          <w:color w:val="231F20"/>
          <w:w w:val="105"/>
        </w:rPr>
        <w:t xml:space="preserve">also </w:t>
      </w:r>
      <w:r w:rsidRPr="00A23800">
        <w:rPr>
          <w:rFonts w:ascii="Calibri" w:hAnsi="Calibri"/>
          <w:color w:val="231F20"/>
          <w:w w:val="105"/>
        </w:rPr>
        <w:t>arranges for foreign language translators when needed.</w:t>
      </w:r>
    </w:p>
    <w:p w14:paraId="588FDB96" w14:textId="77777777" w:rsidR="006206D4" w:rsidRDefault="006206D4">
      <w:pPr>
        <w:rPr>
          <w:rFonts w:ascii="Calibri" w:hAnsi="Calibri"/>
          <w:color w:val="231F20"/>
          <w:w w:val="105"/>
        </w:rPr>
      </w:pPr>
      <w:r>
        <w:rPr>
          <w:rFonts w:ascii="Calibri" w:hAnsi="Calibri"/>
          <w:color w:val="231F20"/>
          <w:w w:val="105"/>
        </w:rPr>
        <w:br w:type="page"/>
      </w:r>
    </w:p>
    <w:p w14:paraId="2DCC65EC" w14:textId="77777777" w:rsidR="00A07550" w:rsidRPr="00A23800" w:rsidRDefault="00A07550" w:rsidP="00D63204">
      <w:pPr>
        <w:widowControl w:val="0"/>
        <w:spacing w:after="0" w:line="240" w:lineRule="auto"/>
        <w:ind w:left="107"/>
        <w:rPr>
          <w:rFonts w:ascii="Calibri" w:hAnsi="Calibri"/>
        </w:rPr>
      </w:pPr>
    </w:p>
    <w:p w14:paraId="58D4E953" w14:textId="77777777" w:rsidR="00EA7458" w:rsidRPr="00EA7458" w:rsidRDefault="00EA7458" w:rsidP="00D63204">
      <w:pPr>
        <w:widowControl w:val="0"/>
        <w:spacing w:before="3" w:after="0" w:line="240" w:lineRule="auto"/>
        <w:ind w:left="90" w:hanging="18"/>
        <w:rPr>
          <w:rFonts w:ascii="Calibri" w:hAnsi="Calibri" w:cs="Calibri"/>
          <w:sz w:val="14"/>
          <w:szCs w:val="14"/>
        </w:rPr>
      </w:pPr>
    </w:p>
    <w:p w14:paraId="7B07E9D1" w14:textId="0F2F2015" w:rsidR="00EA7458" w:rsidRPr="00493CD4" w:rsidRDefault="006206D4" w:rsidP="00D63204">
      <w:pPr>
        <w:widowControl w:val="0"/>
        <w:numPr>
          <w:ilvl w:val="0"/>
          <w:numId w:val="49"/>
        </w:numPr>
        <w:tabs>
          <w:tab w:val="left" w:pos="828"/>
        </w:tabs>
        <w:spacing w:before="52" w:after="0" w:line="240" w:lineRule="auto"/>
        <w:outlineLvl w:val="1"/>
        <w:rPr>
          <w:rFonts w:ascii="Calibri" w:hAnsi="Calibri"/>
          <w:color w:val="1F497D" w:themeColor="text2"/>
          <w:sz w:val="26"/>
          <w:szCs w:val="26"/>
        </w:rPr>
      </w:pPr>
      <w:bookmarkStart w:id="150" w:name="(m)_Order_of_Selection_"/>
      <w:bookmarkStart w:id="151" w:name="_bookmark90"/>
      <w:bookmarkEnd w:id="150"/>
      <w:bookmarkEnd w:id="151"/>
      <w:r w:rsidRPr="00493CD4">
        <w:rPr>
          <w:rFonts w:ascii="Calibri" w:hAnsi="Calibri"/>
          <w:b/>
          <w:bCs/>
          <w:color w:val="1F497D" w:themeColor="text2"/>
          <w:w w:val="110"/>
          <w:sz w:val="26"/>
          <w:szCs w:val="26"/>
        </w:rPr>
        <w:t>Statewide Assessment</w:t>
      </w:r>
    </w:p>
    <w:p w14:paraId="5ACF325C" w14:textId="55D578FC" w:rsidR="006206D4" w:rsidRDefault="006206D4" w:rsidP="00D63204">
      <w:pPr>
        <w:widowControl w:val="0"/>
        <w:spacing w:before="183" w:after="0" w:line="240" w:lineRule="auto"/>
        <w:ind w:left="107"/>
        <w:rPr>
          <w:rFonts w:cstheme="minorHAnsi"/>
          <w:color w:val="231F20"/>
          <w:w w:val="105"/>
        </w:rPr>
      </w:pPr>
      <w:r w:rsidRPr="006206D4">
        <w:rPr>
          <w:rFonts w:cstheme="minorHAnsi"/>
          <w:color w:val="231F20"/>
          <w:w w:val="105"/>
        </w:rPr>
        <w:t>During</w:t>
      </w:r>
      <w:r w:rsidRPr="006206D4">
        <w:rPr>
          <w:rFonts w:cstheme="minorHAnsi"/>
          <w:color w:val="231F20"/>
          <w:spacing w:val="6"/>
          <w:w w:val="105"/>
        </w:rPr>
        <w:t xml:space="preserve"> </w:t>
      </w:r>
      <w:r w:rsidRPr="006206D4">
        <w:rPr>
          <w:rFonts w:cstheme="minorHAnsi"/>
          <w:color w:val="231F20"/>
          <w:w w:val="105"/>
        </w:rPr>
        <w:t>FFY 2014-15,</w:t>
      </w:r>
      <w:r w:rsidRPr="006206D4">
        <w:rPr>
          <w:rFonts w:cstheme="minorHAnsi"/>
          <w:color w:val="231F20"/>
          <w:spacing w:val="6"/>
          <w:w w:val="105"/>
        </w:rPr>
        <w:t xml:space="preserve"> </w:t>
      </w:r>
      <w:r w:rsidRPr="006206D4">
        <w:rPr>
          <w:rFonts w:cstheme="minorHAnsi"/>
          <w:color w:val="231F20"/>
          <w:w w:val="105"/>
        </w:rPr>
        <w:t>the</w:t>
      </w:r>
      <w:r w:rsidRPr="006206D4">
        <w:rPr>
          <w:rFonts w:cstheme="minorHAnsi"/>
          <w:color w:val="231F20"/>
          <w:spacing w:val="6"/>
          <w:w w:val="105"/>
        </w:rPr>
        <w:t xml:space="preserve"> </w:t>
      </w:r>
      <w:r w:rsidRPr="006206D4">
        <w:rPr>
          <w:rFonts w:cstheme="minorHAnsi"/>
          <w:color w:val="231F20"/>
          <w:w w:val="105"/>
        </w:rPr>
        <w:t>Florida</w:t>
      </w:r>
      <w:r w:rsidRPr="006206D4">
        <w:rPr>
          <w:rFonts w:cstheme="minorHAnsi"/>
          <w:color w:val="231F20"/>
          <w:spacing w:val="6"/>
          <w:w w:val="105"/>
        </w:rPr>
        <w:t xml:space="preserve"> </w:t>
      </w:r>
      <w:r w:rsidRPr="006206D4">
        <w:rPr>
          <w:rFonts w:cstheme="minorHAnsi"/>
          <w:color w:val="231F20"/>
          <w:w w:val="105"/>
        </w:rPr>
        <w:t>Division</w:t>
      </w:r>
      <w:r w:rsidRPr="006206D4">
        <w:rPr>
          <w:rFonts w:cstheme="minorHAnsi"/>
          <w:color w:val="231F20"/>
          <w:spacing w:val="6"/>
          <w:w w:val="105"/>
        </w:rPr>
        <w:t xml:space="preserve"> </w:t>
      </w:r>
      <w:r w:rsidRPr="006206D4">
        <w:rPr>
          <w:rFonts w:cstheme="minorHAnsi"/>
          <w:color w:val="231F20"/>
          <w:w w:val="105"/>
        </w:rPr>
        <w:t>of</w:t>
      </w:r>
      <w:r w:rsidRPr="006206D4">
        <w:rPr>
          <w:rFonts w:cstheme="minorHAnsi"/>
          <w:color w:val="231F20"/>
          <w:spacing w:val="6"/>
          <w:w w:val="105"/>
        </w:rPr>
        <w:t xml:space="preserve"> </w:t>
      </w:r>
      <w:r w:rsidRPr="006206D4">
        <w:rPr>
          <w:rFonts w:cstheme="minorHAnsi"/>
          <w:color w:val="231F20"/>
          <w:w w:val="105"/>
        </w:rPr>
        <w:t>Vocational</w:t>
      </w:r>
      <w:r w:rsidRPr="006206D4">
        <w:rPr>
          <w:rFonts w:cstheme="minorHAnsi"/>
          <w:color w:val="231F20"/>
          <w:spacing w:val="6"/>
          <w:w w:val="105"/>
        </w:rPr>
        <w:t xml:space="preserve"> </w:t>
      </w:r>
      <w:r w:rsidRPr="006206D4">
        <w:rPr>
          <w:rFonts w:cstheme="minorHAnsi"/>
          <w:color w:val="231F20"/>
          <w:w w:val="105"/>
        </w:rPr>
        <w:t>Rehabilitation</w:t>
      </w:r>
      <w:r w:rsidRPr="006206D4">
        <w:rPr>
          <w:rFonts w:cstheme="minorHAnsi"/>
          <w:color w:val="231F20"/>
          <w:spacing w:val="6"/>
          <w:w w:val="105"/>
        </w:rPr>
        <w:t xml:space="preserve"> </w:t>
      </w:r>
      <w:r w:rsidRPr="006206D4">
        <w:rPr>
          <w:rFonts w:cstheme="minorHAnsi"/>
          <w:color w:val="231F20"/>
          <w:w w:val="105"/>
        </w:rPr>
        <w:t>(VR),</w:t>
      </w:r>
      <w:r w:rsidRPr="006206D4">
        <w:rPr>
          <w:rFonts w:cstheme="minorHAnsi"/>
          <w:color w:val="231F20"/>
          <w:spacing w:val="6"/>
          <w:w w:val="105"/>
        </w:rPr>
        <w:t xml:space="preserve"> </w:t>
      </w:r>
      <w:r w:rsidRPr="006206D4">
        <w:rPr>
          <w:rFonts w:cstheme="minorHAnsi"/>
          <w:color w:val="231F20"/>
          <w:w w:val="105"/>
        </w:rPr>
        <w:t>in</w:t>
      </w:r>
      <w:r w:rsidRPr="006206D4">
        <w:rPr>
          <w:rFonts w:cstheme="minorHAnsi"/>
          <w:color w:val="231F20"/>
          <w:spacing w:val="6"/>
          <w:w w:val="105"/>
        </w:rPr>
        <w:t xml:space="preserve"> </w:t>
      </w:r>
      <w:r w:rsidRPr="006206D4">
        <w:rPr>
          <w:rFonts w:cstheme="minorHAnsi"/>
          <w:color w:val="231F20"/>
          <w:w w:val="105"/>
        </w:rPr>
        <w:t>partnership</w:t>
      </w:r>
      <w:r w:rsidRPr="006206D4">
        <w:rPr>
          <w:rFonts w:cstheme="minorHAnsi"/>
          <w:color w:val="231F20"/>
          <w:spacing w:val="6"/>
          <w:w w:val="105"/>
        </w:rPr>
        <w:t xml:space="preserve"> </w:t>
      </w:r>
      <w:r w:rsidRPr="006206D4">
        <w:rPr>
          <w:rFonts w:cstheme="minorHAnsi"/>
          <w:color w:val="231F20"/>
          <w:w w:val="105"/>
        </w:rPr>
        <w:t>with</w:t>
      </w:r>
      <w:r w:rsidRPr="006206D4">
        <w:rPr>
          <w:rFonts w:cstheme="minorHAnsi"/>
          <w:color w:val="231F20"/>
          <w:spacing w:val="6"/>
          <w:w w:val="105"/>
        </w:rPr>
        <w:t xml:space="preserve"> </w:t>
      </w:r>
      <w:r w:rsidRPr="006206D4">
        <w:rPr>
          <w:rFonts w:cstheme="minorHAnsi"/>
          <w:color w:val="231F20"/>
          <w:w w:val="105"/>
        </w:rPr>
        <w:t>the</w:t>
      </w:r>
      <w:r w:rsidRPr="006206D4">
        <w:rPr>
          <w:rFonts w:cstheme="minorHAnsi"/>
          <w:color w:val="231F20"/>
          <w:spacing w:val="6"/>
          <w:w w:val="105"/>
        </w:rPr>
        <w:t xml:space="preserve"> </w:t>
      </w:r>
      <w:r w:rsidRPr="006206D4">
        <w:rPr>
          <w:rFonts w:cstheme="minorHAnsi"/>
          <w:color w:val="231F20"/>
          <w:w w:val="105"/>
        </w:rPr>
        <w:t>Florida</w:t>
      </w:r>
      <w:r w:rsidRPr="006206D4">
        <w:rPr>
          <w:rFonts w:cstheme="minorHAnsi"/>
          <w:color w:val="231F20"/>
          <w:spacing w:val="-45"/>
          <w:w w:val="105"/>
        </w:rPr>
        <w:t xml:space="preserve"> </w:t>
      </w:r>
      <w:r w:rsidRPr="006206D4">
        <w:rPr>
          <w:rFonts w:cstheme="minorHAnsi"/>
          <w:color w:val="231F20"/>
          <w:w w:val="105"/>
        </w:rPr>
        <w:t>Rehabilitation</w:t>
      </w:r>
      <w:r w:rsidRPr="006206D4">
        <w:rPr>
          <w:rFonts w:cstheme="minorHAnsi"/>
          <w:color w:val="231F20"/>
          <w:spacing w:val="26"/>
          <w:w w:val="105"/>
        </w:rPr>
        <w:t xml:space="preserve"> </w:t>
      </w:r>
      <w:r w:rsidRPr="006206D4">
        <w:rPr>
          <w:rFonts w:cstheme="minorHAnsi"/>
          <w:color w:val="231F20"/>
          <w:w w:val="105"/>
        </w:rPr>
        <w:t>Council,</w:t>
      </w:r>
      <w:r w:rsidRPr="006206D4">
        <w:rPr>
          <w:rFonts w:cstheme="minorHAnsi"/>
          <w:color w:val="231F20"/>
          <w:spacing w:val="26"/>
          <w:w w:val="105"/>
        </w:rPr>
        <w:t xml:space="preserve"> </w:t>
      </w:r>
      <w:r w:rsidRPr="006206D4">
        <w:rPr>
          <w:rFonts w:cstheme="minorHAnsi"/>
          <w:color w:val="231F20"/>
          <w:w w:val="105"/>
        </w:rPr>
        <w:t>conducted</w:t>
      </w:r>
      <w:r w:rsidRPr="006206D4">
        <w:rPr>
          <w:rFonts w:cstheme="minorHAnsi"/>
          <w:color w:val="231F20"/>
          <w:spacing w:val="26"/>
          <w:w w:val="105"/>
        </w:rPr>
        <w:t xml:space="preserve"> </w:t>
      </w:r>
      <w:r w:rsidRPr="006206D4">
        <w:rPr>
          <w:rFonts w:cstheme="minorHAnsi"/>
          <w:color w:val="231F20"/>
          <w:w w:val="105"/>
        </w:rPr>
        <w:t>a</w:t>
      </w:r>
      <w:r w:rsidRPr="006206D4">
        <w:rPr>
          <w:rFonts w:cstheme="minorHAnsi"/>
          <w:color w:val="231F20"/>
          <w:spacing w:val="26"/>
          <w:w w:val="105"/>
        </w:rPr>
        <w:t xml:space="preserve"> </w:t>
      </w:r>
      <w:r w:rsidRPr="006206D4">
        <w:rPr>
          <w:rFonts w:cstheme="minorHAnsi"/>
          <w:color w:val="231F20"/>
          <w:w w:val="105"/>
        </w:rPr>
        <w:t>comprehensive</w:t>
      </w:r>
      <w:r w:rsidRPr="006206D4">
        <w:rPr>
          <w:rFonts w:cstheme="minorHAnsi"/>
          <w:color w:val="231F20"/>
          <w:spacing w:val="26"/>
          <w:w w:val="105"/>
        </w:rPr>
        <w:t xml:space="preserve"> </w:t>
      </w:r>
      <w:r w:rsidRPr="006206D4">
        <w:rPr>
          <w:rFonts w:cstheme="minorHAnsi"/>
          <w:color w:val="231F20"/>
          <w:w w:val="105"/>
        </w:rPr>
        <w:t>statewide</w:t>
      </w:r>
      <w:r w:rsidRPr="006206D4">
        <w:rPr>
          <w:rFonts w:cstheme="minorHAnsi"/>
          <w:color w:val="231F20"/>
          <w:spacing w:val="26"/>
          <w:w w:val="105"/>
        </w:rPr>
        <w:t xml:space="preserve"> </w:t>
      </w:r>
      <w:r w:rsidRPr="006206D4">
        <w:rPr>
          <w:rFonts w:cstheme="minorHAnsi"/>
          <w:color w:val="231F20"/>
          <w:w w:val="105"/>
        </w:rPr>
        <w:t>needs</w:t>
      </w:r>
      <w:r w:rsidRPr="006206D4">
        <w:rPr>
          <w:rFonts w:cstheme="minorHAnsi"/>
          <w:color w:val="231F20"/>
          <w:spacing w:val="26"/>
          <w:w w:val="105"/>
        </w:rPr>
        <w:t xml:space="preserve"> </w:t>
      </w:r>
      <w:r w:rsidRPr="006206D4">
        <w:rPr>
          <w:rFonts w:cstheme="minorHAnsi"/>
          <w:color w:val="231F20"/>
          <w:w w:val="105"/>
        </w:rPr>
        <w:t>assessment</w:t>
      </w:r>
      <w:r w:rsidRPr="006206D4">
        <w:rPr>
          <w:rFonts w:cstheme="minorHAnsi"/>
          <w:color w:val="231F20"/>
          <w:spacing w:val="26"/>
          <w:w w:val="105"/>
        </w:rPr>
        <w:t xml:space="preserve"> </w:t>
      </w:r>
      <w:r w:rsidRPr="006206D4">
        <w:rPr>
          <w:rFonts w:cstheme="minorHAnsi"/>
          <w:color w:val="231F20"/>
          <w:w w:val="105"/>
        </w:rPr>
        <w:t>(CSNA)</w:t>
      </w:r>
      <w:r w:rsidRPr="006206D4">
        <w:rPr>
          <w:rFonts w:cstheme="minorHAnsi"/>
          <w:color w:val="231F20"/>
          <w:spacing w:val="26"/>
          <w:w w:val="105"/>
        </w:rPr>
        <w:t xml:space="preserve"> </w:t>
      </w:r>
      <w:r w:rsidRPr="006206D4">
        <w:rPr>
          <w:rFonts w:cstheme="minorHAnsi"/>
          <w:color w:val="231F20"/>
          <w:w w:val="105"/>
        </w:rPr>
        <w:t>to</w:t>
      </w:r>
      <w:r w:rsidRPr="006206D4">
        <w:rPr>
          <w:rFonts w:cstheme="minorHAnsi"/>
          <w:color w:val="231F20"/>
          <w:spacing w:val="26"/>
          <w:w w:val="105"/>
        </w:rPr>
        <w:t xml:space="preserve"> </w:t>
      </w:r>
      <w:r w:rsidRPr="006206D4">
        <w:rPr>
          <w:rFonts w:cstheme="minorHAnsi"/>
          <w:color w:val="231F20"/>
          <w:w w:val="105"/>
        </w:rPr>
        <w:t>identify</w:t>
      </w:r>
      <w:r w:rsidRPr="006206D4">
        <w:rPr>
          <w:rFonts w:cstheme="minorHAnsi"/>
          <w:color w:val="231F20"/>
          <w:w w:val="103"/>
        </w:rPr>
        <w:t xml:space="preserve"> </w:t>
      </w:r>
      <w:r w:rsidRPr="006206D4">
        <w:rPr>
          <w:rFonts w:cstheme="minorHAnsi"/>
          <w:color w:val="231F20"/>
          <w:w w:val="105"/>
        </w:rPr>
        <w:t>factors</w:t>
      </w:r>
      <w:r w:rsidRPr="006206D4">
        <w:rPr>
          <w:rFonts w:cstheme="minorHAnsi"/>
          <w:color w:val="231F20"/>
          <w:spacing w:val="6"/>
          <w:w w:val="105"/>
        </w:rPr>
        <w:t xml:space="preserve"> </w:t>
      </w:r>
      <w:r w:rsidRPr="006206D4">
        <w:rPr>
          <w:rFonts w:cstheme="minorHAnsi"/>
          <w:color w:val="231F20"/>
          <w:w w:val="105"/>
        </w:rPr>
        <w:t>that</w:t>
      </w:r>
      <w:r w:rsidRPr="006206D4">
        <w:rPr>
          <w:rFonts w:cstheme="minorHAnsi"/>
          <w:color w:val="231F20"/>
          <w:spacing w:val="6"/>
          <w:w w:val="105"/>
        </w:rPr>
        <w:t xml:space="preserve"> </w:t>
      </w:r>
      <w:r w:rsidRPr="006206D4">
        <w:rPr>
          <w:rFonts w:cstheme="minorHAnsi"/>
          <w:color w:val="231F20"/>
          <w:w w:val="105"/>
        </w:rPr>
        <w:t>affect</w:t>
      </w:r>
      <w:r w:rsidRPr="006206D4">
        <w:rPr>
          <w:rFonts w:cstheme="minorHAnsi"/>
          <w:color w:val="231F20"/>
          <w:spacing w:val="6"/>
          <w:w w:val="105"/>
        </w:rPr>
        <w:t xml:space="preserve"> </w:t>
      </w:r>
      <w:r w:rsidRPr="006206D4">
        <w:rPr>
          <w:rFonts w:cstheme="minorHAnsi"/>
          <w:color w:val="231F20"/>
          <w:w w:val="105"/>
        </w:rPr>
        <w:t>VR</w:t>
      </w:r>
      <w:r w:rsidRPr="006206D4">
        <w:rPr>
          <w:rFonts w:cstheme="minorHAnsi"/>
          <w:color w:val="231F20"/>
          <w:spacing w:val="6"/>
          <w:w w:val="105"/>
        </w:rPr>
        <w:t xml:space="preserve"> </w:t>
      </w:r>
      <w:r w:rsidRPr="006206D4">
        <w:rPr>
          <w:rFonts w:cstheme="minorHAnsi"/>
          <w:color w:val="231F20"/>
          <w:w w:val="105"/>
        </w:rPr>
        <w:t>customers’</w:t>
      </w:r>
      <w:r w:rsidRPr="006206D4">
        <w:rPr>
          <w:rFonts w:cstheme="minorHAnsi"/>
          <w:color w:val="231F20"/>
          <w:spacing w:val="6"/>
          <w:w w:val="105"/>
        </w:rPr>
        <w:t xml:space="preserve"> </w:t>
      </w:r>
      <w:r w:rsidRPr="006206D4">
        <w:rPr>
          <w:rFonts w:cstheme="minorHAnsi"/>
          <w:color w:val="231F20"/>
          <w:w w:val="105"/>
        </w:rPr>
        <w:t>ability</w:t>
      </w:r>
      <w:r w:rsidRPr="006206D4">
        <w:rPr>
          <w:rFonts w:cstheme="minorHAnsi"/>
          <w:color w:val="231F20"/>
          <w:spacing w:val="6"/>
          <w:w w:val="105"/>
        </w:rPr>
        <w:t xml:space="preserve"> </w:t>
      </w:r>
      <w:r w:rsidRPr="006206D4">
        <w:rPr>
          <w:rFonts w:cstheme="minorHAnsi"/>
          <w:color w:val="231F20"/>
          <w:w w:val="105"/>
        </w:rPr>
        <w:t>to</w:t>
      </w:r>
      <w:r w:rsidRPr="006206D4">
        <w:rPr>
          <w:rFonts w:cstheme="minorHAnsi"/>
          <w:color w:val="231F20"/>
          <w:spacing w:val="6"/>
          <w:w w:val="105"/>
        </w:rPr>
        <w:t xml:space="preserve"> </w:t>
      </w:r>
      <w:r w:rsidRPr="006206D4">
        <w:rPr>
          <w:rFonts w:cstheme="minorHAnsi"/>
          <w:color w:val="231F20"/>
          <w:w w:val="105"/>
        </w:rPr>
        <w:t>get</w:t>
      </w:r>
      <w:r w:rsidRPr="006206D4">
        <w:rPr>
          <w:rFonts w:cstheme="minorHAnsi"/>
          <w:color w:val="231F20"/>
          <w:spacing w:val="6"/>
          <w:w w:val="105"/>
        </w:rPr>
        <w:t xml:space="preserve"> </w:t>
      </w:r>
      <w:r w:rsidRPr="006206D4">
        <w:rPr>
          <w:rFonts w:cstheme="minorHAnsi"/>
          <w:color w:val="231F20"/>
          <w:w w:val="105"/>
        </w:rPr>
        <w:t>and</w:t>
      </w:r>
      <w:r w:rsidRPr="006206D4">
        <w:rPr>
          <w:rFonts w:cstheme="minorHAnsi"/>
          <w:color w:val="231F20"/>
          <w:spacing w:val="6"/>
          <w:w w:val="105"/>
        </w:rPr>
        <w:t xml:space="preserve"> </w:t>
      </w:r>
      <w:r w:rsidRPr="006206D4">
        <w:rPr>
          <w:rFonts w:cstheme="minorHAnsi"/>
          <w:color w:val="231F20"/>
          <w:w w:val="105"/>
        </w:rPr>
        <w:t>keep</w:t>
      </w:r>
      <w:r w:rsidRPr="006206D4">
        <w:rPr>
          <w:rFonts w:cstheme="minorHAnsi"/>
          <w:color w:val="231F20"/>
          <w:spacing w:val="6"/>
          <w:w w:val="105"/>
        </w:rPr>
        <w:t xml:space="preserve"> </w:t>
      </w:r>
      <w:r w:rsidRPr="006206D4">
        <w:rPr>
          <w:rFonts w:cstheme="minorHAnsi"/>
          <w:color w:val="231F20"/>
          <w:w w:val="105"/>
        </w:rPr>
        <w:t>jobs</w:t>
      </w:r>
      <w:r w:rsidR="00D5537E">
        <w:rPr>
          <w:rFonts w:cstheme="minorHAnsi"/>
          <w:color w:val="231F20"/>
          <w:w w:val="105"/>
        </w:rPr>
        <w:t xml:space="preserve"> and</w:t>
      </w:r>
      <w:r w:rsidRPr="006206D4">
        <w:rPr>
          <w:rFonts w:cstheme="minorHAnsi"/>
          <w:color w:val="231F20"/>
          <w:spacing w:val="6"/>
          <w:w w:val="105"/>
        </w:rPr>
        <w:t xml:space="preserve"> </w:t>
      </w:r>
      <w:r w:rsidRPr="006206D4">
        <w:rPr>
          <w:rFonts w:cstheme="minorHAnsi"/>
          <w:color w:val="231F20"/>
          <w:w w:val="105"/>
        </w:rPr>
        <w:t>any</w:t>
      </w:r>
      <w:r w:rsidRPr="006206D4">
        <w:rPr>
          <w:rFonts w:cstheme="minorHAnsi"/>
          <w:color w:val="231F20"/>
          <w:spacing w:val="6"/>
          <w:w w:val="105"/>
        </w:rPr>
        <w:t xml:space="preserve"> </w:t>
      </w:r>
      <w:r w:rsidRPr="006206D4">
        <w:rPr>
          <w:rFonts w:cstheme="minorHAnsi"/>
          <w:color w:val="231F20"/>
          <w:w w:val="105"/>
        </w:rPr>
        <w:t>barriers</w:t>
      </w:r>
      <w:r w:rsidRPr="006206D4">
        <w:rPr>
          <w:rFonts w:cstheme="minorHAnsi"/>
          <w:color w:val="231F20"/>
          <w:spacing w:val="6"/>
          <w:w w:val="105"/>
        </w:rPr>
        <w:t xml:space="preserve"> </w:t>
      </w:r>
      <w:r w:rsidRPr="006206D4">
        <w:rPr>
          <w:rFonts w:cstheme="minorHAnsi"/>
          <w:color w:val="231F20"/>
          <w:w w:val="105"/>
        </w:rPr>
        <w:t>or</w:t>
      </w:r>
      <w:r w:rsidRPr="006206D4">
        <w:rPr>
          <w:rFonts w:cstheme="minorHAnsi"/>
          <w:color w:val="231F20"/>
          <w:spacing w:val="6"/>
          <w:w w:val="105"/>
        </w:rPr>
        <w:t xml:space="preserve"> </w:t>
      </w:r>
      <w:r w:rsidRPr="006206D4">
        <w:rPr>
          <w:rFonts w:cstheme="minorHAnsi"/>
          <w:color w:val="231F20"/>
          <w:w w:val="105"/>
        </w:rPr>
        <w:t>limitations</w:t>
      </w:r>
      <w:r w:rsidRPr="006206D4">
        <w:rPr>
          <w:rFonts w:cstheme="minorHAnsi"/>
          <w:color w:val="231F20"/>
          <w:spacing w:val="6"/>
          <w:w w:val="105"/>
        </w:rPr>
        <w:t xml:space="preserve"> </w:t>
      </w:r>
      <w:r w:rsidRPr="006206D4">
        <w:rPr>
          <w:rFonts w:cstheme="minorHAnsi"/>
          <w:color w:val="231F20"/>
          <w:w w:val="105"/>
        </w:rPr>
        <w:t>they</w:t>
      </w:r>
      <w:r w:rsidRPr="006206D4">
        <w:rPr>
          <w:rFonts w:cstheme="minorHAnsi"/>
          <w:color w:val="231F20"/>
          <w:spacing w:val="6"/>
          <w:w w:val="105"/>
        </w:rPr>
        <w:t xml:space="preserve"> </w:t>
      </w:r>
      <w:r w:rsidRPr="006206D4">
        <w:rPr>
          <w:rFonts w:cstheme="minorHAnsi"/>
          <w:color w:val="231F20"/>
          <w:w w:val="105"/>
        </w:rPr>
        <w:t>may</w:t>
      </w:r>
      <w:r w:rsidRPr="006206D4">
        <w:rPr>
          <w:rFonts w:cstheme="minorHAnsi"/>
          <w:color w:val="231F20"/>
          <w:spacing w:val="-35"/>
          <w:w w:val="105"/>
        </w:rPr>
        <w:t xml:space="preserve"> </w:t>
      </w:r>
      <w:r w:rsidRPr="006206D4">
        <w:rPr>
          <w:rFonts w:cstheme="minorHAnsi"/>
          <w:color w:val="231F20"/>
          <w:w w:val="105"/>
        </w:rPr>
        <w:t>experience.</w:t>
      </w:r>
      <w:r w:rsidRPr="006206D4">
        <w:rPr>
          <w:rFonts w:cstheme="minorHAnsi"/>
          <w:color w:val="231F20"/>
          <w:spacing w:val="17"/>
          <w:w w:val="105"/>
        </w:rPr>
        <w:t xml:space="preserve"> </w:t>
      </w:r>
      <w:r w:rsidRPr="006206D4">
        <w:rPr>
          <w:rFonts w:cstheme="minorHAnsi"/>
          <w:color w:val="231F20"/>
          <w:w w:val="105"/>
        </w:rPr>
        <w:t>The</w:t>
      </w:r>
      <w:r w:rsidRPr="006206D4">
        <w:rPr>
          <w:rFonts w:cstheme="minorHAnsi"/>
          <w:color w:val="231F20"/>
          <w:spacing w:val="17"/>
          <w:w w:val="105"/>
        </w:rPr>
        <w:t xml:space="preserve"> </w:t>
      </w:r>
      <w:r w:rsidRPr="006206D4">
        <w:rPr>
          <w:rFonts w:cstheme="minorHAnsi"/>
          <w:color w:val="231F20"/>
          <w:w w:val="105"/>
        </w:rPr>
        <w:t>CSNA</w:t>
      </w:r>
      <w:r w:rsidRPr="006206D4">
        <w:rPr>
          <w:rFonts w:cstheme="minorHAnsi"/>
          <w:color w:val="231F20"/>
          <w:spacing w:val="17"/>
          <w:w w:val="105"/>
        </w:rPr>
        <w:t xml:space="preserve"> </w:t>
      </w:r>
      <w:r w:rsidRPr="006206D4">
        <w:rPr>
          <w:rFonts w:cstheme="minorHAnsi"/>
          <w:color w:val="231F20"/>
          <w:w w:val="105"/>
        </w:rPr>
        <w:t>consisted</w:t>
      </w:r>
      <w:r w:rsidRPr="006206D4">
        <w:rPr>
          <w:rFonts w:cstheme="minorHAnsi"/>
          <w:color w:val="231F20"/>
          <w:spacing w:val="17"/>
          <w:w w:val="105"/>
        </w:rPr>
        <w:t xml:space="preserve"> </w:t>
      </w:r>
      <w:r w:rsidRPr="006206D4">
        <w:rPr>
          <w:rFonts w:cstheme="minorHAnsi"/>
          <w:color w:val="231F20"/>
          <w:w w:val="105"/>
        </w:rPr>
        <w:t>of</w:t>
      </w:r>
      <w:r w:rsidRPr="006206D4">
        <w:rPr>
          <w:rFonts w:cstheme="minorHAnsi"/>
          <w:color w:val="231F20"/>
          <w:spacing w:val="17"/>
          <w:w w:val="105"/>
        </w:rPr>
        <w:t xml:space="preserve"> </w:t>
      </w:r>
      <w:r w:rsidRPr="006206D4">
        <w:rPr>
          <w:rFonts w:cstheme="minorHAnsi"/>
          <w:color w:val="231F20"/>
          <w:w w:val="105"/>
        </w:rPr>
        <w:t>the</w:t>
      </w:r>
      <w:r w:rsidRPr="006206D4">
        <w:rPr>
          <w:rFonts w:cstheme="minorHAnsi"/>
          <w:color w:val="231F20"/>
          <w:spacing w:val="17"/>
          <w:w w:val="105"/>
        </w:rPr>
        <w:t xml:space="preserve"> </w:t>
      </w:r>
      <w:r w:rsidRPr="006206D4">
        <w:rPr>
          <w:rFonts w:cstheme="minorHAnsi"/>
          <w:color w:val="231F20"/>
          <w:w w:val="105"/>
        </w:rPr>
        <w:t>following</w:t>
      </w:r>
      <w:r w:rsidRPr="006206D4">
        <w:rPr>
          <w:rFonts w:cstheme="minorHAnsi"/>
          <w:color w:val="231F20"/>
          <w:spacing w:val="17"/>
          <w:w w:val="105"/>
        </w:rPr>
        <w:t xml:space="preserve"> </w:t>
      </w:r>
      <w:r w:rsidRPr="006206D4">
        <w:rPr>
          <w:rFonts w:cstheme="minorHAnsi"/>
          <w:color w:val="231F20"/>
          <w:w w:val="105"/>
        </w:rPr>
        <w:t>components:</w:t>
      </w:r>
      <w:r w:rsidRPr="006206D4">
        <w:rPr>
          <w:rFonts w:cstheme="minorHAnsi"/>
          <w:color w:val="231F20"/>
          <w:spacing w:val="17"/>
          <w:w w:val="105"/>
        </w:rPr>
        <w:t xml:space="preserve"> </w:t>
      </w:r>
      <w:r w:rsidRPr="006206D4">
        <w:rPr>
          <w:rFonts w:cstheme="minorHAnsi"/>
          <w:color w:val="231F20"/>
          <w:w w:val="105"/>
        </w:rPr>
        <w:t>state</w:t>
      </w:r>
      <w:r w:rsidRPr="006206D4">
        <w:rPr>
          <w:rFonts w:cstheme="minorHAnsi"/>
          <w:color w:val="231F20"/>
          <w:spacing w:val="17"/>
          <w:w w:val="105"/>
        </w:rPr>
        <w:t xml:space="preserve"> </w:t>
      </w:r>
      <w:r w:rsidRPr="006206D4">
        <w:rPr>
          <w:rFonts w:cstheme="minorHAnsi"/>
          <w:color w:val="231F20"/>
          <w:w w:val="105"/>
        </w:rPr>
        <w:t>demographic</w:t>
      </w:r>
      <w:r w:rsidRPr="006206D4">
        <w:rPr>
          <w:rFonts w:cstheme="minorHAnsi"/>
          <w:color w:val="231F20"/>
          <w:spacing w:val="17"/>
          <w:w w:val="105"/>
        </w:rPr>
        <w:t xml:space="preserve"> </w:t>
      </w:r>
      <w:r w:rsidRPr="006206D4">
        <w:rPr>
          <w:rFonts w:cstheme="minorHAnsi"/>
          <w:color w:val="231F20"/>
          <w:w w:val="105"/>
        </w:rPr>
        <w:t>profiles,</w:t>
      </w:r>
      <w:r w:rsidRPr="006206D4">
        <w:rPr>
          <w:rFonts w:cstheme="minorHAnsi"/>
          <w:color w:val="231F20"/>
          <w:spacing w:val="17"/>
          <w:w w:val="105"/>
        </w:rPr>
        <w:t xml:space="preserve"> </w:t>
      </w:r>
      <w:r w:rsidRPr="006206D4">
        <w:rPr>
          <w:rFonts w:cstheme="minorHAnsi"/>
          <w:color w:val="231F20"/>
          <w:w w:val="105"/>
        </w:rPr>
        <w:t>a</w:t>
      </w:r>
      <w:r w:rsidRPr="006206D4">
        <w:rPr>
          <w:rFonts w:cstheme="minorHAnsi"/>
          <w:color w:val="231F20"/>
          <w:spacing w:val="17"/>
          <w:w w:val="105"/>
        </w:rPr>
        <w:t xml:space="preserve"> </w:t>
      </w:r>
      <w:r w:rsidRPr="006206D4">
        <w:rPr>
          <w:rFonts w:cstheme="minorHAnsi"/>
          <w:color w:val="231F20"/>
          <w:w w:val="105"/>
        </w:rPr>
        <w:t>statewide</w:t>
      </w:r>
      <w:r w:rsidRPr="006206D4">
        <w:rPr>
          <w:rFonts w:cstheme="minorHAnsi"/>
          <w:color w:val="231F20"/>
          <w:spacing w:val="20"/>
          <w:w w:val="105"/>
        </w:rPr>
        <w:t xml:space="preserve"> </w:t>
      </w:r>
      <w:r w:rsidRPr="006206D4">
        <w:rPr>
          <w:rFonts w:cstheme="minorHAnsi"/>
          <w:color w:val="231F20"/>
          <w:w w:val="105"/>
        </w:rPr>
        <w:t>public survey, stakeholder interviews</w:t>
      </w:r>
      <w:r w:rsidR="00D5537E">
        <w:rPr>
          <w:rFonts w:cstheme="minorHAnsi"/>
          <w:color w:val="231F20"/>
          <w:w w:val="105"/>
        </w:rPr>
        <w:t xml:space="preserve"> and</w:t>
      </w:r>
      <w:r w:rsidRPr="006206D4">
        <w:rPr>
          <w:rFonts w:cstheme="minorHAnsi"/>
          <w:color w:val="231F20"/>
          <w:w w:val="105"/>
        </w:rPr>
        <w:t xml:space="preserve"> additional information from agency performance data,</w:t>
      </w:r>
      <w:r w:rsidRPr="006206D4">
        <w:rPr>
          <w:rFonts w:cstheme="minorHAnsi"/>
          <w:color w:val="231F20"/>
          <w:spacing w:val="6"/>
          <w:w w:val="105"/>
        </w:rPr>
        <w:t xml:space="preserve"> </w:t>
      </w:r>
      <w:r w:rsidRPr="006206D4">
        <w:rPr>
          <w:rFonts w:cstheme="minorHAnsi"/>
          <w:color w:val="231F20"/>
          <w:w w:val="105"/>
        </w:rPr>
        <w:t>customer</w:t>
      </w:r>
      <w:r w:rsidRPr="006206D4">
        <w:rPr>
          <w:rFonts w:cstheme="minorHAnsi"/>
          <w:color w:val="231F20"/>
          <w:w w:val="106"/>
        </w:rPr>
        <w:t xml:space="preserve"> </w:t>
      </w:r>
      <w:r w:rsidRPr="006206D4">
        <w:rPr>
          <w:rFonts w:cstheme="minorHAnsi"/>
          <w:color w:val="231F20"/>
          <w:w w:val="105"/>
        </w:rPr>
        <w:t>satisfaction</w:t>
      </w:r>
      <w:r w:rsidRPr="006206D4">
        <w:rPr>
          <w:rFonts w:cstheme="minorHAnsi"/>
          <w:color w:val="231F20"/>
          <w:spacing w:val="16"/>
          <w:w w:val="105"/>
        </w:rPr>
        <w:t xml:space="preserve"> </w:t>
      </w:r>
      <w:r w:rsidRPr="006206D4">
        <w:rPr>
          <w:rFonts w:cstheme="minorHAnsi"/>
          <w:color w:val="231F20"/>
          <w:w w:val="105"/>
        </w:rPr>
        <w:t>surveys</w:t>
      </w:r>
      <w:r w:rsidRPr="006206D4">
        <w:rPr>
          <w:rFonts w:cstheme="minorHAnsi"/>
          <w:color w:val="231F20"/>
          <w:spacing w:val="16"/>
          <w:w w:val="105"/>
        </w:rPr>
        <w:t xml:space="preserve"> </w:t>
      </w:r>
      <w:r w:rsidRPr="006206D4">
        <w:rPr>
          <w:rFonts w:cstheme="minorHAnsi"/>
          <w:color w:val="231F20"/>
          <w:w w:val="105"/>
        </w:rPr>
        <w:t>and</w:t>
      </w:r>
      <w:r w:rsidRPr="006206D4">
        <w:rPr>
          <w:rFonts w:cstheme="minorHAnsi"/>
          <w:color w:val="231F20"/>
          <w:spacing w:val="16"/>
          <w:w w:val="105"/>
        </w:rPr>
        <w:t xml:space="preserve"> </w:t>
      </w:r>
      <w:r w:rsidRPr="006206D4">
        <w:rPr>
          <w:rFonts w:cstheme="minorHAnsi"/>
          <w:color w:val="231F20"/>
          <w:w w:val="105"/>
        </w:rPr>
        <w:t>public</w:t>
      </w:r>
      <w:r w:rsidRPr="006206D4">
        <w:rPr>
          <w:rFonts w:cstheme="minorHAnsi"/>
          <w:color w:val="231F20"/>
          <w:spacing w:val="16"/>
          <w:w w:val="105"/>
        </w:rPr>
        <w:t xml:space="preserve"> </w:t>
      </w:r>
      <w:r w:rsidRPr="006206D4">
        <w:rPr>
          <w:rFonts w:cstheme="minorHAnsi"/>
          <w:color w:val="231F20"/>
          <w:w w:val="105"/>
        </w:rPr>
        <w:t>input.</w:t>
      </w:r>
      <w:r w:rsidRPr="006206D4">
        <w:rPr>
          <w:rFonts w:cstheme="minorHAnsi"/>
          <w:color w:val="231F20"/>
          <w:spacing w:val="16"/>
          <w:w w:val="105"/>
        </w:rPr>
        <w:t xml:space="preserve"> </w:t>
      </w:r>
      <w:r w:rsidRPr="006206D4">
        <w:rPr>
          <w:rFonts w:cstheme="minorHAnsi"/>
          <w:color w:val="231F20"/>
          <w:w w:val="105"/>
        </w:rPr>
        <w:t>Findings</w:t>
      </w:r>
      <w:r w:rsidRPr="006206D4">
        <w:rPr>
          <w:rFonts w:cstheme="minorHAnsi"/>
          <w:color w:val="231F20"/>
          <w:spacing w:val="16"/>
          <w:w w:val="105"/>
        </w:rPr>
        <w:t xml:space="preserve"> </w:t>
      </w:r>
      <w:r w:rsidRPr="006206D4">
        <w:rPr>
          <w:rFonts w:cstheme="minorHAnsi"/>
          <w:color w:val="231F20"/>
          <w:w w:val="105"/>
        </w:rPr>
        <w:t>and</w:t>
      </w:r>
      <w:r w:rsidRPr="006206D4">
        <w:rPr>
          <w:rFonts w:cstheme="minorHAnsi"/>
          <w:color w:val="231F20"/>
          <w:spacing w:val="16"/>
          <w:w w:val="105"/>
        </w:rPr>
        <w:t xml:space="preserve"> </w:t>
      </w:r>
      <w:r w:rsidRPr="006206D4">
        <w:rPr>
          <w:rFonts w:cstheme="minorHAnsi"/>
          <w:color w:val="231F20"/>
          <w:w w:val="105"/>
        </w:rPr>
        <w:t>recommendations</w:t>
      </w:r>
      <w:r w:rsidRPr="006206D4">
        <w:rPr>
          <w:rFonts w:cstheme="minorHAnsi"/>
          <w:color w:val="231F20"/>
          <w:spacing w:val="16"/>
          <w:w w:val="105"/>
        </w:rPr>
        <w:t xml:space="preserve"> </w:t>
      </w:r>
      <w:r w:rsidRPr="006206D4">
        <w:rPr>
          <w:rFonts w:cstheme="minorHAnsi"/>
          <w:color w:val="231F20"/>
          <w:w w:val="105"/>
        </w:rPr>
        <w:t>from</w:t>
      </w:r>
      <w:r w:rsidRPr="006206D4">
        <w:rPr>
          <w:rFonts w:cstheme="minorHAnsi"/>
          <w:color w:val="231F20"/>
          <w:spacing w:val="16"/>
          <w:w w:val="105"/>
        </w:rPr>
        <w:t xml:space="preserve"> </w:t>
      </w:r>
      <w:r w:rsidRPr="006206D4">
        <w:rPr>
          <w:rFonts w:cstheme="minorHAnsi"/>
          <w:color w:val="231F20"/>
          <w:w w:val="105"/>
        </w:rPr>
        <w:t>the</w:t>
      </w:r>
      <w:r w:rsidRPr="006206D4">
        <w:rPr>
          <w:rFonts w:cstheme="minorHAnsi"/>
          <w:color w:val="231F20"/>
          <w:spacing w:val="16"/>
          <w:w w:val="105"/>
        </w:rPr>
        <w:t xml:space="preserve"> </w:t>
      </w:r>
      <w:r w:rsidRPr="006206D4">
        <w:rPr>
          <w:rFonts w:cstheme="minorHAnsi"/>
          <w:color w:val="231F20"/>
          <w:w w:val="105"/>
        </w:rPr>
        <w:t>CSNA</w:t>
      </w:r>
      <w:r w:rsidRPr="006206D4">
        <w:rPr>
          <w:rFonts w:cstheme="minorHAnsi"/>
          <w:color w:val="231F20"/>
          <w:spacing w:val="16"/>
          <w:w w:val="105"/>
        </w:rPr>
        <w:t xml:space="preserve"> </w:t>
      </w:r>
      <w:r w:rsidRPr="006206D4">
        <w:rPr>
          <w:rFonts w:cstheme="minorHAnsi"/>
          <w:color w:val="231F20"/>
          <w:w w:val="105"/>
        </w:rPr>
        <w:t>will</w:t>
      </w:r>
      <w:r w:rsidRPr="006206D4">
        <w:rPr>
          <w:rFonts w:cstheme="minorHAnsi"/>
          <w:color w:val="231F20"/>
          <w:spacing w:val="16"/>
          <w:w w:val="105"/>
        </w:rPr>
        <w:t xml:space="preserve"> </w:t>
      </w:r>
      <w:r w:rsidRPr="006206D4">
        <w:rPr>
          <w:rFonts w:cstheme="minorHAnsi"/>
          <w:color w:val="231F20"/>
          <w:w w:val="105"/>
        </w:rPr>
        <w:t>guide</w:t>
      </w:r>
      <w:r w:rsidRPr="006206D4">
        <w:rPr>
          <w:rFonts w:cstheme="minorHAnsi"/>
          <w:color w:val="231F20"/>
          <w:spacing w:val="16"/>
          <w:w w:val="105"/>
        </w:rPr>
        <w:t xml:space="preserve"> </w:t>
      </w:r>
      <w:r w:rsidRPr="006206D4">
        <w:rPr>
          <w:rFonts w:cstheme="minorHAnsi"/>
          <w:color w:val="231F20"/>
          <w:w w:val="105"/>
        </w:rPr>
        <w:t>agency</w:t>
      </w:r>
      <w:r w:rsidRPr="006206D4">
        <w:rPr>
          <w:rFonts w:cstheme="minorHAnsi"/>
          <w:color w:val="231F20"/>
          <w:spacing w:val="19"/>
          <w:w w:val="105"/>
        </w:rPr>
        <w:t xml:space="preserve"> </w:t>
      </w:r>
      <w:r w:rsidRPr="006206D4">
        <w:rPr>
          <w:rFonts w:cstheme="minorHAnsi"/>
          <w:color w:val="231F20"/>
          <w:w w:val="105"/>
        </w:rPr>
        <w:t>planning and development of state plans for federal fiscal years 2016</w:t>
      </w:r>
      <w:r w:rsidR="00163B68">
        <w:rPr>
          <w:rFonts w:cstheme="minorHAnsi"/>
          <w:color w:val="231F20"/>
          <w:w w:val="105"/>
        </w:rPr>
        <w:t>-</w:t>
      </w:r>
      <w:r w:rsidRPr="006206D4">
        <w:rPr>
          <w:rFonts w:cstheme="minorHAnsi"/>
          <w:color w:val="231F20"/>
          <w:w w:val="105"/>
        </w:rPr>
        <w:t>18.</w:t>
      </w:r>
    </w:p>
    <w:p w14:paraId="5A0C1845" w14:textId="77777777" w:rsidR="006206D4" w:rsidRDefault="006206D4" w:rsidP="00D63204">
      <w:pPr>
        <w:widowControl w:val="0"/>
        <w:spacing w:after="0" w:line="240" w:lineRule="auto"/>
        <w:ind w:left="107"/>
        <w:rPr>
          <w:rFonts w:cstheme="minorHAnsi"/>
          <w:color w:val="231F20"/>
          <w:w w:val="105"/>
        </w:rPr>
      </w:pPr>
    </w:p>
    <w:p w14:paraId="2DC0BBA4" w14:textId="320B31B0" w:rsidR="006206D4" w:rsidRDefault="006206D4" w:rsidP="00D63204">
      <w:pPr>
        <w:widowControl w:val="0"/>
        <w:spacing w:after="0" w:line="240" w:lineRule="auto"/>
        <w:ind w:left="107"/>
        <w:rPr>
          <w:rFonts w:cstheme="minorHAnsi"/>
        </w:rPr>
      </w:pPr>
      <w:r w:rsidRPr="006206D4">
        <w:rPr>
          <w:rFonts w:cstheme="minorHAnsi"/>
        </w:rPr>
        <w:t>In October 2014, VR conducted 35 Key Informant Interviews with VR staff, partner council members, employers</w:t>
      </w:r>
      <w:r w:rsidR="00D5537E">
        <w:rPr>
          <w:rFonts w:cstheme="minorHAnsi"/>
        </w:rPr>
        <w:t xml:space="preserve"> and</w:t>
      </w:r>
      <w:r w:rsidRPr="006206D4">
        <w:rPr>
          <w:rFonts w:cstheme="minorHAnsi"/>
        </w:rPr>
        <w:t xml:space="preserve"> stakeholders. VR’s new WIOA partners were well represented, with responses from eight different CareerSource F</w:t>
      </w:r>
      <w:r w:rsidR="003545C6">
        <w:rPr>
          <w:rFonts w:cstheme="minorHAnsi"/>
        </w:rPr>
        <w:t>lorida</w:t>
      </w:r>
      <w:r w:rsidRPr="006206D4">
        <w:rPr>
          <w:rFonts w:cstheme="minorHAnsi"/>
        </w:rPr>
        <w:t xml:space="preserve"> regions, as well as F</w:t>
      </w:r>
      <w:r w:rsidR="003545C6">
        <w:rPr>
          <w:rFonts w:cstheme="minorHAnsi"/>
        </w:rPr>
        <w:t>lorida</w:t>
      </w:r>
      <w:r w:rsidRPr="006206D4">
        <w:rPr>
          <w:rFonts w:cstheme="minorHAnsi"/>
        </w:rPr>
        <w:t xml:space="preserve"> Division of Blind Services. Group responses were </w:t>
      </w:r>
      <w:r w:rsidR="009D48E1">
        <w:rPr>
          <w:rFonts w:cstheme="minorHAnsi"/>
        </w:rPr>
        <w:t xml:space="preserve">also </w:t>
      </w:r>
      <w:r w:rsidRPr="006206D4">
        <w:rPr>
          <w:rFonts w:cstheme="minorHAnsi"/>
        </w:rPr>
        <w:t>received from Florida’s Project TEN team and Orange County Public Schools. Interview themes are presented in the form of findings and future consideration, in Figure 9.04. Florida conducted a statewide public survey during December 2014, with over 2,200 responses received and over half of those submitted by people with disabilities. Key results from the statewide public survey are presented below.</w:t>
      </w:r>
    </w:p>
    <w:p w14:paraId="48FCE6D0" w14:textId="37BDEC7E" w:rsidR="006206D4" w:rsidRDefault="006206D4" w:rsidP="00D63204">
      <w:pPr>
        <w:widowControl w:val="0"/>
        <w:spacing w:before="183" w:after="0" w:line="240" w:lineRule="auto"/>
        <w:ind w:left="107"/>
        <w:rPr>
          <w:rFonts w:cstheme="minorHAnsi"/>
          <w:color w:val="231F20"/>
          <w:w w:val="105"/>
        </w:rPr>
      </w:pPr>
      <w:r w:rsidRPr="006206D4">
        <w:rPr>
          <w:rFonts w:cstheme="minorHAnsi"/>
          <w:color w:val="231F20"/>
          <w:spacing w:val="-4"/>
          <w:w w:val="105"/>
        </w:rPr>
        <w:t>Figure 9.03</w:t>
      </w:r>
      <w:r w:rsidRPr="006206D4">
        <w:rPr>
          <w:rFonts w:cstheme="minorHAnsi"/>
          <w:color w:val="231F20"/>
          <w:spacing w:val="22"/>
          <w:w w:val="105"/>
        </w:rPr>
        <w:t xml:space="preserve"> </w:t>
      </w:r>
      <w:r w:rsidRPr="006206D4">
        <w:rPr>
          <w:rFonts w:cstheme="minorHAnsi"/>
          <w:color w:val="231F20"/>
          <w:w w:val="105"/>
        </w:rPr>
        <w:t>summarizes</w:t>
      </w:r>
      <w:r w:rsidRPr="006206D4">
        <w:rPr>
          <w:rFonts w:cstheme="minorHAnsi"/>
          <w:color w:val="231F20"/>
          <w:spacing w:val="22"/>
          <w:w w:val="105"/>
        </w:rPr>
        <w:t xml:space="preserve"> </w:t>
      </w:r>
      <w:r w:rsidRPr="006206D4">
        <w:rPr>
          <w:rFonts w:cstheme="minorHAnsi"/>
          <w:color w:val="231F20"/>
          <w:w w:val="105"/>
        </w:rPr>
        <w:t>key</w:t>
      </w:r>
      <w:r w:rsidRPr="006206D4">
        <w:rPr>
          <w:rFonts w:cstheme="minorHAnsi"/>
          <w:color w:val="231F20"/>
          <w:spacing w:val="22"/>
          <w:w w:val="105"/>
        </w:rPr>
        <w:t xml:space="preserve"> </w:t>
      </w:r>
      <w:r w:rsidRPr="006206D4">
        <w:rPr>
          <w:rFonts w:cstheme="minorHAnsi"/>
          <w:color w:val="231F20"/>
          <w:w w:val="105"/>
        </w:rPr>
        <w:t>results</w:t>
      </w:r>
      <w:r w:rsidRPr="006206D4">
        <w:rPr>
          <w:rFonts w:cstheme="minorHAnsi"/>
          <w:color w:val="231F20"/>
          <w:spacing w:val="22"/>
          <w:w w:val="105"/>
        </w:rPr>
        <w:t xml:space="preserve"> </w:t>
      </w:r>
      <w:r w:rsidRPr="006206D4">
        <w:rPr>
          <w:rFonts w:cstheme="minorHAnsi"/>
          <w:color w:val="231F20"/>
          <w:w w:val="105"/>
        </w:rPr>
        <w:t>from</w:t>
      </w:r>
      <w:r w:rsidRPr="006206D4">
        <w:rPr>
          <w:rFonts w:cstheme="minorHAnsi"/>
          <w:color w:val="231F20"/>
          <w:spacing w:val="22"/>
          <w:w w:val="105"/>
        </w:rPr>
        <w:t xml:space="preserve"> </w:t>
      </w:r>
      <w:r w:rsidRPr="006206D4">
        <w:rPr>
          <w:rFonts w:cstheme="minorHAnsi"/>
          <w:color w:val="231F20"/>
          <w:w w:val="105"/>
        </w:rPr>
        <w:t>the</w:t>
      </w:r>
      <w:r w:rsidRPr="006206D4">
        <w:rPr>
          <w:rFonts w:cstheme="minorHAnsi"/>
          <w:color w:val="231F20"/>
          <w:spacing w:val="22"/>
          <w:w w:val="105"/>
        </w:rPr>
        <w:t xml:space="preserve"> </w:t>
      </w:r>
      <w:r w:rsidRPr="006206D4">
        <w:rPr>
          <w:rFonts w:cstheme="minorHAnsi"/>
          <w:color w:val="231F20"/>
          <w:w w:val="105"/>
        </w:rPr>
        <w:t>needs</w:t>
      </w:r>
      <w:r w:rsidRPr="006206D4">
        <w:rPr>
          <w:rFonts w:cstheme="minorHAnsi"/>
          <w:color w:val="231F20"/>
          <w:spacing w:val="22"/>
          <w:w w:val="105"/>
        </w:rPr>
        <w:t xml:space="preserve"> </w:t>
      </w:r>
      <w:r w:rsidRPr="006206D4">
        <w:rPr>
          <w:rFonts w:cstheme="minorHAnsi"/>
          <w:color w:val="231F20"/>
          <w:w w:val="105"/>
        </w:rPr>
        <w:t>assessment</w:t>
      </w:r>
      <w:r w:rsidRPr="006206D4">
        <w:rPr>
          <w:rFonts w:cstheme="minorHAnsi"/>
          <w:color w:val="231F20"/>
          <w:spacing w:val="22"/>
          <w:w w:val="105"/>
        </w:rPr>
        <w:t xml:space="preserve"> </w:t>
      </w:r>
      <w:r w:rsidRPr="006206D4">
        <w:rPr>
          <w:rFonts w:cstheme="minorHAnsi"/>
          <w:color w:val="231F20"/>
          <w:w w:val="105"/>
        </w:rPr>
        <w:t>survey</w:t>
      </w:r>
      <w:r w:rsidR="00D5537E">
        <w:rPr>
          <w:rFonts w:cstheme="minorHAnsi"/>
          <w:color w:val="231F20"/>
          <w:w w:val="105"/>
        </w:rPr>
        <w:t xml:space="preserve"> and</w:t>
      </w:r>
      <w:r w:rsidRPr="006206D4">
        <w:rPr>
          <w:rFonts w:cstheme="minorHAnsi"/>
          <w:color w:val="231F20"/>
          <w:spacing w:val="22"/>
          <w:w w:val="105"/>
        </w:rPr>
        <w:t xml:space="preserve"> </w:t>
      </w:r>
      <w:r w:rsidRPr="006206D4">
        <w:rPr>
          <w:rFonts w:cstheme="minorHAnsi"/>
          <w:color w:val="231F20"/>
          <w:spacing w:val="-4"/>
          <w:w w:val="105"/>
        </w:rPr>
        <w:t>Figure 9.04</w:t>
      </w:r>
      <w:r w:rsidRPr="006206D4">
        <w:rPr>
          <w:rFonts w:cstheme="minorHAnsi"/>
          <w:color w:val="231F20"/>
          <w:spacing w:val="22"/>
          <w:w w:val="105"/>
        </w:rPr>
        <w:t xml:space="preserve"> </w:t>
      </w:r>
      <w:r w:rsidRPr="006206D4">
        <w:rPr>
          <w:rFonts w:cstheme="minorHAnsi"/>
          <w:color w:val="231F20"/>
          <w:w w:val="105"/>
        </w:rPr>
        <w:t>provides</w:t>
      </w:r>
      <w:r w:rsidRPr="006206D4">
        <w:rPr>
          <w:rFonts w:cstheme="minorHAnsi"/>
          <w:color w:val="231F20"/>
          <w:spacing w:val="22"/>
          <w:w w:val="105"/>
        </w:rPr>
        <w:t xml:space="preserve"> </w:t>
      </w:r>
      <w:r w:rsidRPr="006206D4">
        <w:rPr>
          <w:rFonts w:cstheme="minorHAnsi"/>
          <w:color w:val="231F20"/>
          <w:w w:val="105"/>
        </w:rPr>
        <w:t>CSNA</w:t>
      </w:r>
      <w:r w:rsidRPr="006206D4">
        <w:rPr>
          <w:rFonts w:cstheme="minorHAnsi"/>
          <w:color w:val="231F20"/>
          <w:spacing w:val="22"/>
          <w:w w:val="105"/>
        </w:rPr>
        <w:t xml:space="preserve"> </w:t>
      </w:r>
      <w:r w:rsidRPr="006206D4">
        <w:rPr>
          <w:rFonts w:cstheme="minorHAnsi"/>
          <w:color w:val="231F20"/>
          <w:w w:val="105"/>
        </w:rPr>
        <w:t>findings,</w:t>
      </w:r>
      <w:r w:rsidRPr="006206D4">
        <w:rPr>
          <w:rFonts w:cstheme="minorHAnsi"/>
          <w:color w:val="231F20"/>
          <w:spacing w:val="-10"/>
          <w:w w:val="105"/>
        </w:rPr>
        <w:t xml:space="preserve"> </w:t>
      </w:r>
      <w:r w:rsidRPr="006206D4">
        <w:rPr>
          <w:rFonts w:cstheme="minorHAnsi"/>
          <w:color w:val="231F20"/>
          <w:w w:val="105"/>
        </w:rPr>
        <w:t>strategic</w:t>
      </w:r>
      <w:r w:rsidRPr="006206D4">
        <w:rPr>
          <w:rFonts w:cstheme="minorHAnsi"/>
          <w:color w:val="231F20"/>
          <w:spacing w:val="25"/>
          <w:w w:val="105"/>
        </w:rPr>
        <w:t xml:space="preserve"> </w:t>
      </w:r>
      <w:r w:rsidRPr="006206D4">
        <w:rPr>
          <w:rFonts w:cstheme="minorHAnsi"/>
          <w:color w:val="231F20"/>
          <w:w w:val="105"/>
        </w:rPr>
        <w:t>references</w:t>
      </w:r>
      <w:r w:rsidR="00D5537E">
        <w:rPr>
          <w:rFonts w:cstheme="minorHAnsi"/>
          <w:color w:val="231F20"/>
          <w:w w:val="105"/>
        </w:rPr>
        <w:t xml:space="preserve"> and</w:t>
      </w:r>
      <w:r w:rsidRPr="006206D4">
        <w:rPr>
          <w:rFonts w:cstheme="minorHAnsi"/>
          <w:color w:val="231F20"/>
          <w:spacing w:val="25"/>
          <w:w w:val="105"/>
        </w:rPr>
        <w:t xml:space="preserve"> </w:t>
      </w:r>
      <w:r w:rsidRPr="006206D4">
        <w:rPr>
          <w:rFonts w:cstheme="minorHAnsi"/>
          <w:color w:val="231F20"/>
          <w:w w:val="105"/>
        </w:rPr>
        <w:t>future</w:t>
      </w:r>
      <w:r w:rsidRPr="006206D4">
        <w:rPr>
          <w:rFonts w:cstheme="minorHAnsi"/>
          <w:color w:val="231F20"/>
          <w:spacing w:val="25"/>
          <w:w w:val="105"/>
        </w:rPr>
        <w:t xml:space="preserve"> </w:t>
      </w:r>
      <w:r w:rsidRPr="006206D4">
        <w:rPr>
          <w:rFonts w:cstheme="minorHAnsi"/>
          <w:color w:val="231F20"/>
          <w:w w:val="105"/>
        </w:rPr>
        <w:t>considerations.</w:t>
      </w:r>
      <w:r w:rsidRPr="006206D4">
        <w:rPr>
          <w:rFonts w:cstheme="minorHAnsi"/>
          <w:color w:val="231F20"/>
          <w:spacing w:val="25"/>
          <w:w w:val="105"/>
        </w:rPr>
        <w:t xml:space="preserve"> </w:t>
      </w:r>
      <w:r w:rsidRPr="006206D4">
        <w:rPr>
          <w:rFonts w:cstheme="minorHAnsi"/>
          <w:color w:val="231F20"/>
          <w:w w:val="105"/>
        </w:rPr>
        <w:t>Findings</w:t>
      </w:r>
      <w:r w:rsidRPr="006206D4">
        <w:rPr>
          <w:rFonts w:cstheme="minorHAnsi"/>
          <w:color w:val="231F20"/>
          <w:spacing w:val="25"/>
          <w:w w:val="105"/>
        </w:rPr>
        <w:t xml:space="preserve"> </w:t>
      </w:r>
      <w:r w:rsidRPr="006206D4">
        <w:rPr>
          <w:rFonts w:cstheme="minorHAnsi"/>
          <w:color w:val="231F20"/>
          <w:w w:val="105"/>
        </w:rPr>
        <w:t>have</w:t>
      </w:r>
      <w:r w:rsidRPr="006206D4">
        <w:rPr>
          <w:rFonts w:cstheme="minorHAnsi"/>
          <w:color w:val="231F20"/>
          <w:spacing w:val="25"/>
          <w:w w:val="105"/>
        </w:rPr>
        <w:t xml:space="preserve"> </w:t>
      </w:r>
      <w:r w:rsidRPr="006206D4">
        <w:rPr>
          <w:rFonts w:cstheme="minorHAnsi"/>
          <w:color w:val="231F20"/>
          <w:w w:val="105"/>
        </w:rPr>
        <w:t>been</w:t>
      </w:r>
      <w:r w:rsidRPr="006206D4">
        <w:rPr>
          <w:rFonts w:cstheme="minorHAnsi"/>
          <w:color w:val="231F20"/>
          <w:spacing w:val="25"/>
          <w:w w:val="105"/>
        </w:rPr>
        <w:t xml:space="preserve"> </w:t>
      </w:r>
      <w:r w:rsidRPr="006206D4">
        <w:rPr>
          <w:rFonts w:cstheme="minorHAnsi"/>
          <w:color w:val="231F20"/>
          <w:w w:val="105"/>
        </w:rPr>
        <w:t>considered</w:t>
      </w:r>
      <w:r w:rsidRPr="006206D4">
        <w:rPr>
          <w:rFonts w:cstheme="minorHAnsi"/>
          <w:color w:val="231F20"/>
          <w:spacing w:val="25"/>
          <w:w w:val="105"/>
        </w:rPr>
        <w:t xml:space="preserve"> </w:t>
      </w:r>
      <w:r w:rsidRPr="006206D4">
        <w:rPr>
          <w:rFonts w:cstheme="minorHAnsi"/>
          <w:color w:val="231F20"/>
          <w:w w:val="105"/>
        </w:rPr>
        <w:t>during</w:t>
      </w:r>
      <w:r w:rsidRPr="006206D4">
        <w:rPr>
          <w:rFonts w:cstheme="minorHAnsi"/>
          <w:color w:val="231F20"/>
          <w:spacing w:val="25"/>
          <w:w w:val="105"/>
        </w:rPr>
        <w:t xml:space="preserve"> </w:t>
      </w:r>
      <w:r w:rsidRPr="006206D4">
        <w:rPr>
          <w:rFonts w:cstheme="minorHAnsi"/>
          <w:color w:val="231F20"/>
          <w:w w:val="105"/>
        </w:rPr>
        <w:t>statewide</w:t>
      </w:r>
      <w:r w:rsidRPr="006206D4">
        <w:rPr>
          <w:rFonts w:cstheme="minorHAnsi"/>
          <w:color w:val="231F20"/>
          <w:spacing w:val="25"/>
          <w:w w:val="105"/>
        </w:rPr>
        <w:t xml:space="preserve"> </w:t>
      </w:r>
      <w:r w:rsidRPr="006206D4">
        <w:rPr>
          <w:rFonts w:cstheme="minorHAnsi"/>
          <w:color w:val="231F20"/>
          <w:w w:val="105"/>
        </w:rPr>
        <w:t>planning</w:t>
      </w:r>
      <w:r w:rsidRPr="006206D4">
        <w:rPr>
          <w:rFonts w:cstheme="minorHAnsi"/>
          <w:color w:val="231F20"/>
          <w:w w:val="107"/>
        </w:rPr>
        <w:t xml:space="preserve"> </w:t>
      </w:r>
      <w:r w:rsidRPr="006206D4">
        <w:rPr>
          <w:rFonts w:cstheme="minorHAnsi"/>
          <w:color w:val="231F20"/>
          <w:w w:val="105"/>
        </w:rPr>
        <w:t xml:space="preserve">and Workforce Innovation and Opportunity Act (WIOA) implementation activities. VR will </w:t>
      </w:r>
      <w:r w:rsidR="00163B68">
        <w:rPr>
          <w:rFonts w:cstheme="minorHAnsi"/>
          <w:color w:val="231F20"/>
          <w:w w:val="105"/>
        </w:rPr>
        <w:t xml:space="preserve">continue to </w:t>
      </w:r>
      <w:r w:rsidRPr="006206D4">
        <w:rPr>
          <w:rFonts w:cstheme="minorHAnsi"/>
          <w:color w:val="231F20"/>
          <w:w w:val="105"/>
        </w:rPr>
        <w:t>use</w:t>
      </w:r>
      <w:r w:rsidRPr="006206D4">
        <w:rPr>
          <w:rFonts w:cstheme="minorHAnsi"/>
          <w:color w:val="231F20"/>
          <w:w w:val="111"/>
        </w:rPr>
        <w:t xml:space="preserve"> </w:t>
      </w:r>
      <w:r w:rsidRPr="006206D4">
        <w:rPr>
          <w:rFonts w:cstheme="minorHAnsi"/>
          <w:color w:val="231F20"/>
          <w:w w:val="105"/>
        </w:rPr>
        <w:t>this</w:t>
      </w:r>
      <w:r w:rsidRPr="006206D4">
        <w:rPr>
          <w:rFonts w:cstheme="minorHAnsi"/>
          <w:color w:val="231F20"/>
          <w:spacing w:val="10"/>
          <w:w w:val="105"/>
        </w:rPr>
        <w:t xml:space="preserve"> </w:t>
      </w:r>
      <w:r w:rsidRPr="006206D4">
        <w:rPr>
          <w:rFonts w:cstheme="minorHAnsi"/>
          <w:color w:val="231F20"/>
          <w:w w:val="105"/>
        </w:rPr>
        <w:t>information</w:t>
      </w:r>
      <w:r w:rsidRPr="006206D4">
        <w:rPr>
          <w:rFonts w:cstheme="minorHAnsi"/>
          <w:color w:val="231F20"/>
          <w:spacing w:val="10"/>
          <w:w w:val="105"/>
        </w:rPr>
        <w:t xml:space="preserve"> </w:t>
      </w:r>
      <w:r w:rsidRPr="006206D4">
        <w:rPr>
          <w:rFonts w:cstheme="minorHAnsi"/>
          <w:color w:val="231F20"/>
          <w:w w:val="105"/>
        </w:rPr>
        <w:t>to</w:t>
      </w:r>
      <w:r w:rsidRPr="006206D4">
        <w:rPr>
          <w:rFonts w:cstheme="minorHAnsi"/>
          <w:color w:val="231F20"/>
          <w:spacing w:val="10"/>
          <w:w w:val="105"/>
        </w:rPr>
        <w:t xml:space="preserve"> </w:t>
      </w:r>
      <w:r w:rsidRPr="006206D4">
        <w:rPr>
          <w:rFonts w:cstheme="minorHAnsi"/>
          <w:color w:val="231F20"/>
          <w:w w:val="105"/>
        </w:rPr>
        <w:t>guide</w:t>
      </w:r>
      <w:r w:rsidRPr="006206D4">
        <w:rPr>
          <w:rFonts w:cstheme="minorHAnsi"/>
          <w:color w:val="231F20"/>
          <w:spacing w:val="10"/>
          <w:w w:val="105"/>
        </w:rPr>
        <w:t xml:space="preserve"> </w:t>
      </w:r>
      <w:r w:rsidRPr="006206D4">
        <w:rPr>
          <w:rFonts w:cstheme="minorHAnsi"/>
          <w:color w:val="231F20"/>
          <w:w w:val="105"/>
        </w:rPr>
        <w:t>statewide</w:t>
      </w:r>
      <w:r w:rsidRPr="006206D4">
        <w:rPr>
          <w:rFonts w:cstheme="minorHAnsi"/>
          <w:color w:val="231F20"/>
          <w:spacing w:val="10"/>
          <w:w w:val="105"/>
        </w:rPr>
        <w:t xml:space="preserve"> </w:t>
      </w:r>
      <w:r w:rsidRPr="006206D4">
        <w:rPr>
          <w:rFonts w:cstheme="minorHAnsi"/>
          <w:color w:val="231F20"/>
          <w:w w:val="105"/>
        </w:rPr>
        <w:t>and</w:t>
      </w:r>
      <w:r w:rsidRPr="006206D4">
        <w:rPr>
          <w:rFonts w:cstheme="minorHAnsi"/>
          <w:color w:val="231F20"/>
          <w:spacing w:val="10"/>
          <w:w w:val="105"/>
        </w:rPr>
        <w:t xml:space="preserve"> </w:t>
      </w:r>
      <w:r w:rsidRPr="006206D4">
        <w:rPr>
          <w:rFonts w:cstheme="minorHAnsi"/>
          <w:color w:val="231F20"/>
          <w:w w:val="105"/>
        </w:rPr>
        <w:t>agency</w:t>
      </w:r>
      <w:r w:rsidRPr="006206D4">
        <w:rPr>
          <w:rFonts w:cstheme="minorHAnsi"/>
          <w:color w:val="231F20"/>
          <w:spacing w:val="10"/>
          <w:w w:val="105"/>
        </w:rPr>
        <w:t xml:space="preserve"> </w:t>
      </w:r>
      <w:r w:rsidRPr="006206D4">
        <w:rPr>
          <w:rFonts w:cstheme="minorHAnsi"/>
          <w:color w:val="231F20"/>
          <w:w w:val="105"/>
        </w:rPr>
        <w:t>planning,</w:t>
      </w:r>
      <w:r w:rsidRPr="006206D4">
        <w:rPr>
          <w:rFonts w:cstheme="minorHAnsi"/>
          <w:color w:val="231F20"/>
          <w:spacing w:val="10"/>
          <w:w w:val="105"/>
        </w:rPr>
        <w:t xml:space="preserve"> </w:t>
      </w:r>
      <w:r w:rsidRPr="006206D4">
        <w:rPr>
          <w:rFonts w:cstheme="minorHAnsi"/>
          <w:color w:val="231F20"/>
          <w:w w:val="105"/>
        </w:rPr>
        <w:t>as</w:t>
      </w:r>
      <w:r w:rsidRPr="006206D4">
        <w:rPr>
          <w:rFonts w:cstheme="minorHAnsi"/>
          <w:color w:val="231F20"/>
          <w:spacing w:val="10"/>
          <w:w w:val="105"/>
        </w:rPr>
        <w:t xml:space="preserve"> </w:t>
      </w:r>
      <w:r w:rsidRPr="006206D4">
        <w:rPr>
          <w:rFonts w:cstheme="minorHAnsi"/>
          <w:color w:val="231F20"/>
          <w:w w:val="105"/>
        </w:rPr>
        <w:t>well</w:t>
      </w:r>
      <w:r w:rsidRPr="006206D4">
        <w:rPr>
          <w:rFonts w:cstheme="minorHAnsi"/>
          <w:color w:val="231F20"/>
          <w:spacing w:val="10"/>
          <w:w w:val="105"/>
        </w:rPr>
        <w:t xml:space="preserve"> </w:t>
      </w:r>
      <w:r w:rsidRPr="006206D4">
        <w:rPr>
          <w:rFonts w:cstheme="minorHAnsi"/>
          <w:color w:val="231F20"/>
          <w:w w:val="105"/>
        </w:rPr>
        <w:t>as</w:t>
      </w:r>
      <w:r w:rsidRPr="006206D4">
        <w:rPr>
          <w:rFonts w:cstheme="minorHAnsi"/>
          <w:color w:val="231F20"/>
          <w:spacing w:val="10"/>
          <w:w w:val="105"/>
        </w:rPr>
        <w:t xml:space="preserve"> </w:t>
      </w:r>
      <w:r w:rsidRPr="006206D4">
        <w:rPr>
          <w:rFonts w:cstheme="minorHAnsi"/>
          <w:color w:val="231F20"/>
          <w:w w:val="105"/>
        </w:rPr>
        <w:t>future</w:t>
      </w:r>
      <w:r w:rsidRPr="006206D4">
        <w:rPr>
          <w:rFonts w:cstheme="minorHAnsi"/>
          <w:color w:val="231F20"/>
          <w:spacing w:val="10"/>
          <w:w w:val="105"/>
        </w:rPr>
        <w:t xml:space="preserve"> </w:t>
      </w:r>
      <w:r w:rsidRPr="006206D4">
        <w:rPr>
          <w:rFonts w:cstheme="minorHAnsi"/>
          <w:color w:val="231F20"/>
          <w:w w:val="105"/>
        </w:rPr>
        <w:t>collaborations</w:t>
      </w:r>
      <w:r w:rsidRPr="006206D4">
        <w:rPr>
          <w:rFonts w:cstheme="minorHAnsi"/>
          <w:color w:val="231F20"/>
          <w:spacing w:val="10"/>
          <w:w w:val="105"/>
        </w:rPr>
        <w:t xml:space="preserve"> </w:t>
      </w:r>
      <w:r w:rsidRPr="006206D4">
        <w:rPr>
          <w:rFonts w:cstheme="minorHAnsi"/>
          <w:color w:val="231F20"/>
          <w:w w:val="105"/>
        </w:rPr>
        <w:t>with</w:t>
      </w:r>
      <w:r w:rsidRPr="006206D4">
        <w:rPr>
          <w:rFonts w:cstheme="minorHAnsi"/>
          <w:color w:val="231F20"/>
          <w:spacing w:val="10"/>
          <w:w w:val="105"/>
        </w:rPr>
        <w:t xml:space="preserve"> </w:t>
      </w:r>
      <w:r w:rsidRPr="006206D4">
        <w:rPr>
          <w:rFonts w:cstheme="minorHAnsi"/>
          <w:color w:val="231F20"/>
          <w:spacing w:val="-3"/>
          <w:w w:val="105"/>
        </w:rPr>
        <w:t>WIOA</w:t>
      </w:r>
      <w:r w:rsidRPr="006206D4">
        <w:rPr>
          <w:rFonts w:cstheme="minorHAnsi"/>
          <w:color w:val="231F20"/>
          <w:spacing w:val="10"/>
          <w:w w:val="105"/>
        </w:rPr>
        <w:t xml:space="preserve"> </w:t>
      </w:r>
      <w:r w:rsidRPr="006206D4">
        <w:rPr>
          <w:rFonts w:cstheme="minorHAnsi"/>
          <w:color w:val="231F20"/>
          <w:w w:val="105"/>
        </w:rPr>
        <w:t>core</w:t>
      </w:r>
      <w:r w:rsidRPr="006206D4">
        <w:rPr>
          <w:rFonts w:cstheme="minorHAnsi"/>
          <w:color w:val="231F20"/>
          <w:spacing w:val="-36"/>
          <w:w w:val="105"/>
        </w:rPr>
        <w:t xml:space="preserve"> </w:t>
      </w:r>
      <w:r w:rsidRPr="006206D4">
        <w:rPr>
          <w:rFonts w:cstheme="minorHAnsi"/>
          <w:color w:val="231F20"/>
          <w:w w:val="105"/>
        </w:rPr>
        <w:t>programs and other stakeholders.</w:t>
      </w:r>
      <w:r>
        <w:rPr>
          <w:rFonts w:cstheme="minorHAnsi"/>
          <w:color w:val="231F20"/>
          <w:w w:val="105"/>
        </w:rPr>
        <w:br w:type="page"/>
      </w:r>
    </w:p>
    <w:p w14:paraId="1EB045EA" w14:textId="77777777" w:rsidR="006206D4" w:rsidRPr="006206D4" w:rsidRDefault="006206D4" w:rsidP="00D63204">
      <w:pPr>
        <w:widowControl w:val="0"/>
        <w:spacing w:before="183" w:after="0" w:line="240" w:lineRule="auto"/>
        <w:ind w:left="107"/>
        <w:rPr>
          <w:rFonts w:cstheme="minorHAnsi"/>
        </w:rPr>
      </w:pPr>
    </w:p>
    <w:p w14:paraId="08F0290E" w14:textId="77777777" w:rsidR="006206D4" w:rsidRPr="006206D4" w:rsidRDefault="006206D4" w:rsidP="00D63204">
      <w:pPr>
        <w:widowControl w:val="0"/>
        <w:spacing w:after="0" w:line="240" w:lineRule="auto"/>
        <w:ind w:left="107"/>
        <w:outlineLvl w:val="2"/>
        <w:rPr>
          <w:rFonts w:cstheme="minorHAnsi"/>
        </w:rPr>
      </w:pPr>
      <w:r w:rsidRPr="006206D4">
        <w:rPr>
          <w:rFonts w:cstheme="minorHAnsi"/>
          <w:b/>
          <w:bCs/>
          <w:w w:val="115"/>
        </w:rPr>
        <w:t>Figure</w:t>
      </w:r>
      <w:r w:rsidRPr="006206D4">
        <w:rPr>
          <w:rFonts w:cstheme="minorHAnsi"/>
          <w:b/>
          <w:bCs/>
          <w:spacing w:val="-10"/>
          <w:w w:val="115"/>
        </w:rPr>
        <w:t xml:space="preserve"> </w:t>
      </w:r>
      <w:r w:rsidRPr="006206D4">
        <w:rPr>
          <w:rFonts w:cstheme="minorHAnsi"/>
          <w:b/>
          <w:bCs/>
          <w:spacing w:val="-3"/>
          <w:w w:val="115"/>
        </w:rPr>
        <w:t>9.03</w:t>
      </w:r>
    </w:p>
    <w:p w14:paraId="0063B3AA" w14:textId="77777777" w:rsidR="006206D4" w:rsidRPr="006206D4" w:rsidRDefault="006206D4" w:rsidP="00D63204">
      <w:pPr>
        <w:widowControl w:val="0"/>
        <w:spacing w:after="0" w:line="240" w:lineRule="auto"/>
        <w:ind w:left="107"/>
        <w:rPr>
          <w:rFonts w:cstheme="minorHAnsi"/>
        </w:rPr>
      </w:pPr>
      <w:r w:rsidRPr="006206D4">
        <w:rPr>
          <w:rFonts w:cstheme="minorHAnsi"/>
          <w:b/>
          <w:color w:val="231F20"/>
          <w:w w:val="110"/>
        </w:rPr>
        <w:t>Key Results of Comprehensive Statewide Needs Assessment</w:t>
      </w:r>
      <w:r w:rsidRPr="006206D4">
        <w:rPr>
          <w:rFonts w:cstheme="minorHAnsi"/>
          <w:b/>
          <w:color w:val="231F20"/>
          <w:spacing w:val="3"/>
          <w:w w:val="110"/>
        </w:rPr>
        <w:t xml:space="preserve"> </w:t>
      </w:r>
      <w:r w:rsidRPr="006206D4">
        <w:rPr>
          <w:rFonts w:cstheme="minorHAnsi"/>
          <w:b/>
          <w:color w:val="231F20"/>
          <w:w w:val="110"/>
        </w:rPr>
        <w:t>Survey</w:t>
      </w:r>
    </w:p>
    <w:p w14:paraId="0BF02F5E" w14:textId="77777777" w:rsidR="006206D4" w:rsidRPr="006206D4" w:rsidRDefault="006206D4" w:rsidP="00D63204">
      <w:pPr>
        <w:widowControl w:val="0"/>
        <w:spacing w:before="1" w:after="0" w:line="240" w:lineRule="auto"/>
        <w:ind w:left="107"/>
        <w:rPr>
          <w:rFonts w:cstheme="minorHAnsi"/>
          <w:b/>
          <w:bCs/>
        </w:rPr>
      </w:pPr>
    </w:p>
    <w:tbl>
      <w:tblPr>
        <w:tblW w:w="0" w:type="auto"/>
        <w:tblInd w:w="108" w:type="dxa"/>
        <w:tblLayout w:type="fixed"/>
        <w:tblCellMar>
          <w:left w:w="0" w:type="dxa"/>
          <w:right w:w="0" w:type="dxa"/>
        </w:tblCellMar>
        <w:tblLook w:val="01E0" w:firstRow="1" w:lastRow="1" w:firstColumn="1" w:lastColumn="1" w:noHBand="0" w:noVBand="0"/>
      </w:tblPr>
      <w:tblGrid>
        <w:gridCol w:w="3089"/>
        <w:gridCol w:w="7076"/>
      </w:tblGrid>
      <w:tr w:rsidR="006206D4" w:rsidRPr="006206D4" w14:paraId="43E84ECA" w14:textId="77777777" w:rsidTr="004A3FCD">
        <w:trPr>
          <w:trHeight w:hRule="exact" w:val="476"/>
        </w:trPr>
        <w:tc>
          <w:tcPr>
            <w:tcW w:w="3089" w:type="dxa"/>
            <w:tcBorders>
              <w:top w:val="single" w:sz="2" w:space="0" w:color="231F20"/>
              <w:left w:val="single" w:sz="2" w:space="0" w:color="231F20"/>
              <w:bottom w:val="single" w:sz="2" w:space="0" w:color="231F20"/>
              <w:right w:val="single" w:sz="2" w:space="0" w:color="231F20"/>
            </w:tcBorders>
          </w:tcPr>
          <w:p w14:paraId="1855DBE1" w14:textId="77777777" w:rsidR="006206D4" w:rsidRPr="006206D4" w:rsidRDefault="006206D4" w:rsidP="00D63204">
            <w:pPr>
              <w:widowControl w:val="0"/>
              <w:spacing w:before="124" w:after="0" w:line="240" w:lineRule="auto"/>
              <w:ind w:left="107"/>
              <w:rPr>
                <w:rFonts w:cstheme="minorHAnsi"/>
              </w:rPr>
            </w:pPr>
            <w:r w:rsidRPr="006206D4">
              <w:rPr>
                <w:rFonts w:cstheme="minorHAnsi"/>
                <w:b/>
                <w:color w:val="231F20"/>
                <w:w w:val="110"/>
              </w:rPr>
              <w:t>CSNA Survey</w:t>
            </w:r>
            <w:r w:rsidRPr="006206D4">
              <w:rPr>
                <w:rFonts w:cstheme="minorHAnsi"/>
                <w:b/>
                <w:color w:val="231F20"/>
                <w:spacing w:val="34"/>
                <w:w w:val="110"/>
              </w:rPr>
              <w:t xml:space="preserve"> </w:t>
            </w:r>
            <w:r w:rsidRPr="006206D4">
              <w:rPr>
                <w:rFonts w:cstheme="minorHAnsi"/>
                <w:b/>
                <w:color w:val="231F20"/>
                <w:w w:val="110"/>
              </w:rPr>
              <w:t>Items</w:t>
            </w:r>
          </w:p>
        </w:tc>
        <w:tc>
          <w:tcPr>
            <w:tcW w:w="7076" w:type="dxa"/>
            <w:tcBorders>
              <w:top w:val="single" w:sz="2" w:space="0" w:color="231F20"/>
              <w:left w:val="single" w:sz="2" w:space="0" w:color="231F20"/>
              <w:bottom w:val="single" w:sz="2" w:space="0" w:color="231F20"/>
              <w:right w:val="single" w:sz="2" w:space="0" w:color="231F20"/>
            </w:tcBorders>
          </w:tcPr>
          <w:p w14:paraId="30E10778" w14:textId="77777777" w:rsidR="006206D4" w:rsidRPr="006206D4" w:rsidRDefault="006206D4" w:rsidP="00D63204">
            <w:pPr>
              <w:widowControl w:val="0"/>
              <w:spacing w:before="124" w:after="0" w:line="240" w:lineRule="auto"/>
              <w:ind w:left="107"/>
              <w:rPr>
                <w:rFonts w:cstheme="minorHAnsi"/>
              </w:rPr>
            </w:pPr>
            <w:r w:rsidRPr="006206D4">
              <w:rPr>
                <w:rFonts w:cstheme="minorHAnsi"/>
                <w:b/>
                <w:color w:val="231F20"/>
                <w:w w:val="110"/>
              </w:rPr>
              <w:t>Results</w:t>
            </w:r>
          </w:p>
        </w:tc>
      </w:tr>
      <w:tr w:rsidR="006206D4" w:rsidRPr="006206D4" w14:paraId="44545B67" w14:textId="77777777" w:rsidTr="004A3FCD">
        <w:trPr>
          <w:trHeight w:hRule="exact" w:val="978"/>
        </w:trPr>
        <w:tc>
          <w:tcPr>
            <w:tcW w:w="3089" w:type="dxa"/>
            <w:tcBorders>
              <w:top w:val="single" w:sz="2" w:space="0" w:color="231F20"/>
              <w:left w:val="single" w:sz="2" w:space="0" w:color="231F20"/>
              <w:bottom w:val="single" w:sz="2" w:space="0" w:color="231F20"/>
              <w:right w:val="single" w:sz="2" w:space="0" w:color="231F20"/>
            </w:tcBorders>
            <w:shd w:val="clear" w:color="auto" w:fill="E6E7E8"/>
          </w:tcPr>
          <w:p w14:paraId="42236274" w14:textId="77777777" w:rsidR="006206D4" w:rsidRPr="006206D4" w:rsidRDefault="006206D4" w:rsidP="006206D4">
            <w:pPr>
              <w:widowControl w:val="0"/>
              <w:spacing w:before="43" w:after="0" w:line="240" w:lineRule="auto"/>
              <w:ind w:left="107"/>
              <w:rPr>
                <w:rFonts w:cstheme="minorHAnsi"/>
              </w:rPr>
            </w:pPr>
            <w:r w:rsidRPr="006206D4">
              <w:rPr>
                <w:rFonts w:cstheme="minorHAnsi"/>
                <w:color w:val="231F20"/>
                <w:w w:val="105"/>
              </w:rPr>
              <w:t>Factors rated most important to</w:t>
            </w:r>
            <w:r w:rsidRPr="006206D4">
              <w:rPr>
                <w:rFonts w:cstheme="minorHAnsi"/>
                <w:color w:val="231F20"/>
              </w:rPr>
              <w:t xml:space="preserve"> </w:t>
            </w:r>
            <w:r w:rsidRPr="006206D4">
              <w:rPr>
                <w:rFonts w:cstheme="minorHAnsi"/>
                <w:color w:val="231F20"/>
                <w:w w:val="105"/>
              </w:rPr>
              <w:t>job seekers with disabilities</w:t>
            </w:r>
          </w:p>
        </w:tc>
        <w:tc>
          <w:tcPr>
            <w:tcW w:w="7076" w:type="dxa"/>
            <w:tcBorders>
              <w:top w:val="single" w:sz="2" w:space="0" w:color="231F20"/>
              <w:left w:val="single" w:sz="2" w:space="0" w:color="231F20"/>
              <w:bottom w:val="single" w:sz="2" w:space="0" w:color="231F20"/>
              <w:right w:val="single" w:sz="2" w:space="0" w:color="231F20"/>
            </w:tcBorders>
            <w:shd w:val="clear" w:color="auto" w:fill="E6E7E8"/>
          </w:tcPr>
          <w:p w14:paraId="6284CDD0" w14:textId="77777777" w:rsidR="006206D4" w:rsidRPr="006206D4" w:rsidRDefault="006206D4" w:rsidP="00160DE7">
            <w:pPr>
              <w:pStyle w:val="ListParagraph"/>
              <w:widowControl w:val="0"/>
              <w:numPr>
                <w:ilvl w:val="0"/>
                <w:numId w:val="116"/>
              </w:numPr>
              <w:spacing w:before="45" w:after="0" w:line="240" w:lineRule="auto"/>
              <w:rPr>
                <w:rFonts w:cstheme="minorHAnsi"/>
              </w:rPr>
            </w:pPr>
            <w:r w:rsidRPr="006206D4">
              <w:rPr>
                <w:rFonts w:cstheme="minorHAnsi"/>
                <w:color w:val="231F20"/>
                <w:spacing w:val="-3"/>
                <w:w w:val="105"/>
              </w:rPr>
              <w:t xml:space="preserve">Type </w:t>
            </w:r>
            <w:r w:rsidRPr="006206D4">
              <w:rPr>
                <w:rFonts w:cstheme="minorHAnsi"/>
                <w:color w:val="231F20"/>
                <w:w w:val="105"/>
              </w:rPr>
              <w:t>of job matches personal abilities</w:t>
            </w:r>
            <w:r w:rsidRPr="006206D4">
              <w:rPr>
                <w:rFonts w:cstheme="minorHAnsi"/>
                <w:color w:val="231F20"/>
                <w:spacing w:val="32"/>
                <w:w w:val="105"/>
              </w:rPr>
              <w:t xml:space="preserve"> </w:t>
            </w:r>
            <w:r w:rsidRPr="006206D4">
              <w:rPr>
                <w:rFonts w:cstheme="minorHAnsi"/>
                <w:color w:val="231F20"/>
                <w:w w:val="105"/>
              </w:rPr>
              <w:t>(83.65%)</w:t>
            </w:r>
          </w:p>
          <w:p w14:paraId="1BD87DF4" w14:textId="77777777" w:rsidR="006206D4" w:rsidRPr="006206D4" w:rsidRDefault="006206D4" w:rsidP="00160DE7">
            <w:pPr>
              <w:pStyle w:val="ListParagraph"/>
              <w:widowControl w:val="0"/>
              <w:numPr>
                <w:ilvl w:val="0"/>
                <w:numId w:val="116"/>
              </w:numPr>
              <w:spacing w:before="86" w:after="0" w:line="240" w:lineRule="auto"/>
              <w:rPr>
                <w:rFonts w:cstheme="minorHAnsi"/>
              </w:rPr>
            </w:pPr>
            <w:r w:rsidRPr="006206D4">
              <w:rPr>
                <w:rFonts w:cstheme="minorHAnsi"/>
                <w:color w:val="231F20"/>
                <w:spacing w:val="-3"/>
              </w:rPr>
              <w:t xml:space="preserve">Work </w:t>
            </w:r>
            <w:r w:rsidRPr="006206D4">
              <w:rPr>
                <w:rFonts w:cstheme="minorHAnsi"/>
                <w:color w:val="231F20"/>
              </w:rPr>
              <w:t>location / available transportation</w:t>
            </w:r>
            <w:r w:rsidRPr="006206D4">
              <w:rPr>
                <w:rFonts w:cstheme="minorHAnsi"/>
                <w:color w:val="231F20"/>
                <w:spacing w:val="3"/>
              </w:rPr>
              <w:t xml:space="preserve"> </w:t>
            </w:r>
            <w:r w:rsidRPr="006206D4">
              <w:rPr>
                <w:rFonts w:cstheme="minorHAnsi"/>
                <w:color w:val="231F20"/>
              </w:rPr>
              <w:t>(79.59%)</w:t>
            </w:r>
          </w:p>
          <w:p w14:paraId="5B64C7DD" w14:textId="77777777" w:rsidR="006206D4" w:rsidRPr="006206D4" w:rsidRDefault="006206D4" w:rsidP="00160DE7">
            <w:pPr>
              <w:pStyle w:val="ListParagraph"/>
              <w:widowControl w:val="0"/>
              <w:numPr>
                <w:ilvl w:val="0"/>
                <w:numId w:val="116"/>
              </w:numPr>
              <w:spacing w:before="86" w:after="0" w:line="240" w:lineRule="auto"/>
              <w:rPr>
                <w:rFonts w:cstheme="minorHAnsi"/>
              </w:rPr>
            </w:pPr>
            <w:r w:rsidRPr="006206D4">
              <w:rPr>
                <w:rFonts w:cstheme="minorHAnsi"/>
                <w:color w:val="231F20"/>
                <w:spacing w:val="-3"/>
              </w:rPr>
              <w:t xml:space="preserve">Work </w:t>
            </w:r>
            <w:r w:rsidRPr="006206D4">
              <w:rPr>
                <w:rFonts w:cstheme="minorHAnsi"/>
                <w:color w:val="231F20"/>
              </w:rPr>
              <w:t>environment / culture</w:t>
            </w:r>
            <w:r w:rsidRPr="006206D4">
              <w:rPr>
                <w:rFonts w:cstheme="minorHAnsi"/>
                <w:color w:val="231F20"/>
                <w:spacing w:val="30"/>
              </w:rPr>
              <w:t xml:space="preserve"> </w:t>
            </w:r>
            <w:r w:rsidRPr="006206D4">
              <w:rPr>
                <w:rFonts w:cstheme="minorHAnsi"/>
                <w:color w:val="231F20"/>
              </w:rPr>
              <w:t>(72.73%)</w:t>
            </w:r>
          </w:p>
        </w:tc>
      </w:tr>
      <w:tr w:rsidR="006206D4" w:rsidRPr="006206D4" w14:paraId="501F9114" w14:textId="77777777" w:rsidTr="004A3FCD">
        <w:trPr>
          <w:trHeight w:hRule="exact" w:val="978"/>
        </w:trPr>
        <w:tc>
          <w:tcPr>
            <w:tcW w:w="3089" w:type="dxa"/>
            <w:tcBorders>
              <w:top w:val="single" w:sz="2" w:space="0" w:color="231F20"/>
              <w:left w:val="single" w:sz="2" w:space="0" w:color="231F20"/>
              <w:bottom w:val="single" w:sz="2" w:space="0" w:color="231F20"/>
              <w:right w:val="single" w:sz="2" w:space="0" w:color="231F20"/>
            </w:tcBorders>
          </w:tcPr>
          <w:p w14:paraId="73434A64" w14:textId="77777777" w:rsidR="006206D4" w:rsidRPr="006206D4" w:rsidRDefault="006206D4" w:rsidP="006206D4">
            <w:pPr>
              <w:widowControl w:val="0"/>
              <w:spacing w:before="43" w:after="0" w:line="240" w:lineRule="auto"/>
              <w:ind w:left="107"/>
              <w:rPr>
                <w:rFonts w:cstheme="minorHAnsi"/>
              </w:rPr>
            </w:pPr>
            <w:r w:rsidRPr="006206D4">
              <w:rPr>
                <w:rFonts w:cstheme="minorHAnsi"/>
                <w:color w:val="231F20"/>
                <w:w w:val="105"/>
              </w:rPr>
              <w:t>VR services rated most</w:t>
            </w:r>
            <w:r w:rsidRPr="006206D4">
              <w:rPr>
                <w:rFonts w:cstheme="minorHAnsi"/>
                <w:color w:val="231F20"/>
                <w:spacing w:val="43"/>
                <w:w w:val="105"/>
              </w:rPr>
              <w:t xml:space="preserve"> </w:t>
            </w:r>
            <w:r w:rsidRPr="006206D4">
              <w:rPr>
                <w:rFonts w:cstheme="minorHAnsi"/>
                <w:color w:val="231F20"/>
                <w:w w:val="105"/>
              </w:rPr>
              <w:t>important</w:t>
            </w:r>
            <w:r w:rsidRPr="006206D4">
              <w:rPr>
                <w:rFonts w:cstheme="minorHAnsi"/>
                <w:color w:val="231F20"/>
                <w:w w:val="101"/>
              </w:rPr>
              <w:t xml:space="preserve"> </w:t>
            </w:r>
            <w:r w:rsidRPr="006206D4">
              <w:rPr>
                <w:rFonts w:cstheme="minorHAnsi"/>
                <w:color w:val="231F20"/>
                <w:w w:val="105"/>
              </w:rPr>
              <w:t>to job seekers</w:t>
            </w:r>
          </w:p>
        </w:tc>
        <w:tc>
          <w:tcPr>
            <w:tcW w:w="7076" w:type="dxa"/>
            <w:tcBorders>
              <w:top w:val="single" w:sz="2" w:space="0" w:color="231F20"/>
              <w:left w:val="single" w:sz="2" w:space="0" w:color="231F20"/>
              <w:bottom w:val="single" w:sz="2" w:space="0" w:color="231F20"/>
              <w:right w:val="single" w:sz="2" w:space="0" w:color="231F20"/>
            </w:tcBorders>
          </w:tcPr>
          <w:p w14:paraId="7789E592" w14:textId="77777777" w:rsidR="006206D4" w:rsidRPr="00282376" w:rsidRDefault="006206D4" w:rsidP="00160DE7">
            <w:pPr>
              <w:pStyle w:val="ListParagraph"/>
              <w:widowControl w:val="0"/>
              <w:numPr>
                <w:ilvl w:val="0"/>
                <w:numId w:val="116"/>
              </w:numPr>
              <w:spacing w:before="45" w:after="0" w:line="240" w:lineRule="auto"/>
              <w:rPr>
                <w:rFonts w:cstheme="minorHAnsi"/>
                <w:color w:val="231F20"/>
                <w:spacing w:val="-3"/>
                <w:w w:val="105"/>
              </w:rPr>
            </w:pPr>
            <w:r w:rsidRPr="00282376">
              <w:rPr>
                <w:rFonts w:cstheme="minorHAnsi"/>
                <w:color w:val="231F20"/>
                <w:spacing w:val="-3"/>
                <w:w w:val="105"/>
              </w:rPr>
              <w:t>Training (61%)</w:t>
            </w:r>
          </w:p>
          <w:p w14:paraId="00390D00" w14:textId="77777777" w:rsidR="006206D4" w:rsidRPr="00282376" w:rsidRDefault="006206D4" w:rsidP="00160DE7">
            <w:pPr>
              <w:pStyle w:val="ListParagraph"/>
              <w:widowControl w:val="0"/>
              <w:numPr>
                <w:ilvl w:val="0"/>
                <w:numId w:val="116"/>
              </w:numPr>
              <w:spacing w:before="45" w:after="0" w:line="240" w:lineRule="auto"/>
              <w:rPr>
                <w:rFonts w:cstheme="minorHAnsi"/>
                <w:color w:val="231F20"/>
                <w:spacing w:val="-3"/>
                <w:w w:val="105"/>
              </w:rPr>
            </w:pPr>
            <w:r w:rsidRPr="00282376">
              <w:rPr>
                <w:rFonts w:cstheme="minorHAnsi"/>
                <w:color w:val="231F20"/>
                <w:spacing w:val="-3"/>
                <w:w w:val="105"/>
              </w:rPr>
              <w:t>Job Search, Placement and/or Coaching (60%)</w:t>
            </w:r>
          </w:p>
          <w:p w14:paraId="27B46F53" w14:textId="77777777" w:rsidR="006206D4" w:rsidRPr="00282376" w:rsidRDefault="006206D4" w:rsidP="00160DE7">
            <w:pPr>
              <w:pStyle w:val="ListParagraph"/>
              <w:widowControl w:val="0"/>
              <w:numPr>
                <w:ilvl w:val="0"/>
                <w:numId w:val="116"/>
              </w:numPr>
              <w:spacing w:before="45" w:after="0" w:line="240" w:lineRule="auto"/>
              <w:rPr>
                <w:rFonts w:cstheme="minorHAnsi"/>
                <w:color w:val="231F20"/>
                <w:spacing w:val="-3"/>
                <w:w w:val="105"/>
              </w:rPr>
            </w:pPr>
            <w:r w:rsidRPr="00282376">
              <w:rPr>
                <w:rFonts w:cstheme="minorHAnsi"/>
                <w:color w:val="231F20"/>
                <w:spacing w:val="-3"/>
                <w:w w:val="105"/>
              </w:rPr>
              <w:t>Supported Employment (52%)</w:t>
            </w:r>
          </w:p>
        </w:tc>
      </w:tr>
      <w:tr w:rsidR="006206D4" w:rsidRPr="006206D4" w14:paraId="75ACCCE0" w14:textId="77777777" w:rsidTr="004A3FCD">
        <w:trPr>
          <w:trHeight w:hRule="exact" w:val="978"/>
        </w:trPr>
        <w:tc>
          <w:tcPr>
            <w:tcW w:w="3089" w:type="dxa"/>
            <w:tcBorders>
              <w:top w:val="single" w:sz="2" w:space="0" w:color="231F20"/>
              <w:left w:val="single" w:sz="2" w:space="0" w:color="231F20"/>
              <w:bottom w:val="single" w:sz="2" w:space="0" w:color="231F20"/>
              <w:right w:val="single" w:sz="2" w:space="0" w:color="231F20"/>
            </w:tcBorders>
            <w:shd w:val="clear" w:color="auto" w:fill="E6E7E8"/>
          </w:tcPr>
          <w:p w14:paraId="660D90E4" w14:textId="77777777" w:rsidR="006206D4" w:rsidRPr="006206D4" w:rsidRDefault="006206D4" w:rsidP="006206D4">
            <w:pPr>
              <w:widowControl w:val="0"/>
              <w:spacing w:before="43" w:after="0" w:line="240" w:lineRule="auto"/>
              <w:ind w:left="107"/>
              <w:rPr>
                <w:rFonts w:cstheme="minorHAnsi"/>
              </w:rPr>
            </w:pPr>
            <w:r w:rsidRPr="006206D4">
              <w:rPr>
                <w:rFonts w:cstheme="minorHAnsi"/>
                <w:color w:val="231F20"/>
                <w:w w:val="110"/>
              </w:rPr>
              <w:t>VR services rated most</w:t>
            </w:r>
            <w:r w:rsidRPr="006206D4">
              <w:rPr>
                <w:rFonts w:cstheme="minorHAnsi"/>
                <w:color w:val="231F20"/>
                <w:spacing w:val="-20"/>
                <w:w w:val="110"/>
              </w:rPr>
              <w:t xml:space="preserve"> </w:t>
            </w:r>
            <w:r w:rsidRPr="006206D4">
              <w:rPr>
                <w:rFonts w:cstheme="minorHAnsi"/>
                <w:color w:val="231F20"/>
                <w:w w:val="110"/>
              </w:rPr>
              <w:t>needed now by job</w:t>
            </w:r>
            <w:r w:rsidRPr="006206D4">
              <w:rPr>
                <w:rFonts w:cstheme="minorHAnsi"/>
                <w:color w:val="231F20"/>
                <w:spacing w:val="-11"/>
                <w:w w:val="110"/>
              </w:rPr>
              <w:t xml:space="preserve"> </w:t>
            </w:r>
            <w:r w:rsidRPr="006206D4">
              <w:rPr>
                <w:rFonts w:cstheme="minorHAnsi"/>
                <w:color w:val="231F20"/>
                <w:w w:val="110"/>
              </w:rPr>
              <w:t>seekers</w:t>
            </w:r>
          </w:p>
        </w:tc>
        <w:tc>
          <w:tcPr>
            <w:tcW w:w="7076" w:type="dxa"/>
            <w:tcBorders>
              <w:top w:val="single" w:sz="2" w:space="0" w:color="231F20"/>
              <w:left w:val="single" w:sz="2" w:space="0" w:color="231F20"/>
              <w:bottom w:val="single" w:sz="2" w:space="0" w:color="231F20"/>
              <w:right w:val="single" w:sz="2" w:space="0" w:color="231F20"/>
            </w:tcBorders>
            <w:shd w:val="clear" w:color="auto" w:fill="E6E7E8"/>
          </w:tcPr>
          <w:p w14:paraId="317C78DC" w14:textId="77777777" w:rsidR="006206D4" w:rsidRPr="00282376" w:rsidRDefault="006206D4" w:rsidP="00160DE7">
            <w:pPr>
              <w:pStyle w:val="ListParagraph"/>
              <w:widowControl w:val="0"/>
              <w:numPr>
                <w:ilvl w:val="0"/>
                <w:numId w:val="116"/>
              </w:numPr>
              <w:spacing w:before="45" w:after="0" w:line="240" w:lineRule="auto"/>
              <w:rPr>
                <w:rFonts w:cstheme="minorHAnsi"/>
                <w:color w:val="231F20"/>
                <w:spacing w:val="-3"/>
                <w:w w:val="105"/>
              </w:rPr>
            </w:pPr>
            <w:r w:rsidRPr="00282376">
              <w:rPr>
                <w:rFonts w:cstheme="minorHAnsi"/>
                <w:color w:val="231F20"/>
                <w:spacing w:val="-3"/>
                <w:w w:val="105"/>
              </w:rPr>
              <w:t>Supported Employment (34%)</w:t>
            </w:r>
          </w:p>
          <w:p w14:paraId="0F355755" w14:textId="77777777" w:rsidR="006206D4" w:rsidRPr="00282376" w:rsidRDefault="006206D4" w:rsidP="00160DE7">
            <w:pPr>
              <w:pStyle w:val="ListParagraph"/>
              <w:widowControl w:val="0"/>
              <w:numPr>
                <w:ilvl w:val="0"/>
                <w:numId w:val="116"/>
              </w:numPr>
              <w:spacing w:before="45" w:after="0" w:line="240" w:lineRule="auto"/>
              <w:rPr>
                <w:rFonts w:cstheme="minorHAnsi"/>
                <w:color w:val="231F20"/>
                <w:spacing w:val="-3"/>
                <w:w w:val="105"/>
              </w:rPr>
            </w:pPr>
            <w:r w:rsidRPr="00282376">
              <w:rPr>
                <w:rFonts w:cstheme="minorHAnsi"/>
                <w:color w:val="231F20"/>
                <w:spacing w:val="-3"/>
                <w:w w:val="105"/>
              </w:rPr>
              <w:t>Job Search, Placement and/or Coaching (30%)</w:t>
            </w:r>
          </w:p>
          <w:p w14:paraId="0C640F54" w14:textId="77777777" w:rsidR="006206D4" w:rsidRPr="00282376" w:rsidRDefault="006206D4" w:rsidP="00160DE7">
            <w:pPr>
              <w:pStyle w:val="ListParagraph"/>
              <w:widowControl w:val="0"/>
              <w:numPr>
                <w:ilvl w:val="0"/>
                <w:numId w:val="116"/>
              </w:numPr>
              <w:spacing w:before="45" w:after="0" w:line="240" w:lineRule="auto"/>
              <w:rPr>
                <w:rFonts w:cstheme="minorHAnsi"/>
                <w:color w:val="231F20"/>
                <w:spacing w:val="-3"/>
                <w:w w:val="105"/>
              </w:rPr>
            </w:pPr>
            <w:r w:rsidRPr="00282376">
              <w:rPr>
                <w:rFonts w:cstheme="minorHAnsi"/>
                <w:color w:val="231F20"/>
                <w:spacing w:val="-3"/>
                <w:w w:val="105"/>
              </w:rPr>
              <w:t>Training (29%)</w:t>
            </w:r>
          </w:p>
        </w:tc>
      </w:tr>
      <w:tr w:rsidR="006206D4" w:rsidRPr="006206D4" w14:paraId="18B6B8FD" w14:textId="77777777" w:rsidTr="004A3FCD">
        <w:trPr>
          <w:trHeight w:hRule="exact" w:val="978"/>
        </w:trPr>
        <w:tc>
          <w:tcPr>
            <w:tcW w:w="3089" w:type="dxa"/>
            <w:tcBorders>
              <w:top w:val="single" w:sz="2" w:space="0" w:color="231F20"/>
              <w:left w:val="single" w:sz="2" w:space="0" w:color="231F20"/>
              <w:bottom w:val="single" w:sz="2" w:space="0" w:color="231F20"/>
              <w:right w:val="single" w:sz="2" w:space="0" w:color="231F20"/>
            </w:tcBorders>
          </w:tcPr>
          <w:p w14:paraId="013C9288" w14:textId="77777777" w:rsidR="006206D4" w:rsidRPr="006206D4" w:rsidRDefault="006206D4" w:rsidP="006206D4">
            <w:pPr>
              <w:widowControl w:val="0"/>
              <w:spacing w:before="43" w:after="0" w:line="240" w:lineRule="auto"/>
              <w:ind w:left="107"/>
              <w:rPr>
                <w:rFonts w:cstheme="minorHAnsi"/>
              </w:rPr>
            </w:pPr>
            <w:r w:rsidRPr="006206D4">
              <w:rPr>
                <w:rFonts w:cstheme="minorHAnsi"/>
                <w:color w:val="231F20"/>
                <w:w w:val="105"/>
              </w:rPr>
              <w:t>VR</w:t>
            </w:r>
            <w:r w:rsidRPr="006206D4">
              <w:rPr>
                <w:rFonts w:cstheme="minorHAnsi"/>
                <w:color w:val="231F20"/>
                <w:spacing w:val="15"/>
                <w:w w:val="105"/>
              </w:rPr>
              <w:t xml:space="preserve"> </w:t>
            </w:r>
            <w:r w:rsidRPr="006206D4">
              <w:rPr>
                <w:rFonts w:cstheme="minorHAnsi"/>
                <w:color w:val="231F20"/>
                <w:w w:val="105"/>
              </w:rPr>
              <w:t>services</w:t>
            </w:r>
            <w:r w:rsidRPr="006206D4">
              <w:rPr>
                <w:rFonts w:cstheme="minorHAnsi"/>
                <w:color w:val="231F20"/>
                <w:spacing w:val="15"/>
                <w:w w:val="105"/>
              </w:rPr>
              <w:t xml:space="preserve"> </w:t>
            </w:r>
            <w:r w:rsidRPr="006206D4">
              <w:rPr>
                <w:rFonts w:cstheme="minorHAnsi"/>
                <w:color w:val="231F20"/>
                <w:w w:val="105"/>
              </w:rPr>
              <w:t>rated</w:t>
            </w:r>
            <w:r w:rsidRPr="006206D4">
              <w:rPr>
                <w:rFonts w:cstheme="minorHAnsi"/>
                <w:color w:val="231F20"/>
                <w:spacing w:val="15"/>
                <w:w w:val="105"/>
              </w:rPr>
              <w:t xml:space="preserve"> </w:t>
            </w:r>
            <w:r w:rsidRPr="006206D4">
              <w:rPr>
                <w:rFonts w:cstheme="minorHAnsi"/>
                <w:color w:val="231F20"/>
                <w:w w:val="105"/>
              </w:rPr>
              <w:t>most</w:t>
            </w:r>
            <w:r w:rsidRPr="006206D4">
              <w:rPr>
                <w:rFonts w:cstheme="minorHAnsi"/>
                <w:color w:val="231F20"/>
                <w:spacing w:val="15"/>
                <w:w w:val="105"/>
              </w:rPr>
              <w:t xml:space="preserve"> </w:t>
            </w:r>
            <w:r w:rsidRPr="006206D4">
              <w:rPr>
                <w:rFonts w:cstheme="minorHAnsi"/>
                <w:color w:val="231F20"/>
                <w:w w:val="105"/>
              </w:rPr>
              <w:t>in-</w:t>
            </w:r>
            <w:r w:rsidRPr="006206D4">
              <w:rPr>
                <w:rFonts w:cstheme="minorHAnsi"/>
                <w:color w:val="231F20"/>
                <w:spacing w:val="-46"/>
                <w:w w:val="105"/>
              </w:rPr>
              <w:t xml:space="preserve"> </w:t>
            </w:r>
            <w:r w:rsidRPr="006206D4">
              <w:rPr>
                <w:rFonts w:cstheme="minorHAnsi"/>
                <w:color w:val="231F20"/>
                <w:w w:val="105"/>
              </w:rPr>
              <w:t>demand in the</w:t>
            </w:r>
            <w:r w:rsidRPr="006206D4">
              <w:rPr>
                <w:rFonts w:cstheme="minorHAnsi"/>
                <w:color w:val="231F20"/>
                <w:spacing w:val="2"/>
                <w:w w:val="105"/>
              </w:rPr>
              <w:t xml:space="preserve"> </w:t>
            </w:r>
            <w:r w:rsidRPr="006206D4">
              <w:rPr>
                <w:rFonts w:cstheme="minorHAnsi"/>
                <w:color w:val="231F20"/>
                <w:w w:val="105"/>
              </w:rPr>
              <w:t>future</w:t>
            </w:r>
          </w:p>
        </w:tc>
        <w:tc>
          <w:tcPr>
            <w:tcW w:w="7076" w:type="dxa"/>
            <w:tcBorders>
              <w:top w:val="single" w:sz="2" w:space="0" w:color="231F20"/>
              <w:left w:val="single" w:sz="2" w:space="0" w:color="231F20"/>
              <w:bottom w:val="single" w:sz="2" w:space="0" w:color="231F20"/>
              <w:right w:val="single" w:sz="2" w:space="0" w:color="231F20"/>
            </w:tcBorders>
          </w:tcPr>
          <w:p w14:paraId="0BCE2747" w14:textId="77777777" w:rsidR="006206D4" w:rsidRPr="00282376" w:rsidRDefault="006206D4" w:rsidP="00160DE7">
            <w:pPr>
              <w:pStyle w:val="ListParagraph"/>
              <w:widowControl w:val="0"/>
              <w:numPr>
                <w:ilvl w:val="0"/>
                <w:numId w:val="116"/>
              </w:numPr>
              <w:spacing w:before="45" w:after="0" w:line="240" w:lineRule="auto"/>
              <w:rPr>
                <w:rFonts w:cstheme="minorHAnsi"/>
                <w:color w:val="231F20"/>
                <w:spacing w:val="-3"/>
                <w:w w:val="105"/>
              </w:rPr>
            </w:pPr>
            <w:r w:rsidRPr="00282376">
              <w:rPr>
                <w:rFonts w:cstheme="minorHAnsi"/>
                <w:color w:val="231F20"/>
                <w:spacing w:val="-3"/>
                <w:w w:val="105"/>
              </w:rPr>
              <w:t>Job Search, Placement and/or Coaching (66%)</w:t>
            </w:r>
          </w:p>
          <w:p w14:paraId="7EC58749" w14:textId="77777777" w:rsidR="006206D4" w:rsidRPr="00282376" w:rsidRDefault="006206D4" w:rsidP="00160DE7">
            <w:pPr>
              <w:pStyle w:val="ListParagraph"/>
              <w:widowControl w:val="0"/>
              <w:numPr>
                <w:ilvl w:val="0"/>
                <w:numId w:val="116"/>
              </w:numPr>
              <w:spacing w:before="45" w:after="0" w:line="240" w:lineRule="auto"/>
              <w:rPr>
                <w:rFonts w:cstheme="minorHAnsi"/>
                <w:color w:val="231F20"/>
                <w:spacing w:val="-3"/>
                <w:w w:val="105"/>
              </w:rPr>
            </w:pPr>
            <w:r w:rsidRPr="00282376">
              <w:rPr>
                <w:rFonts w:cstheme="minorHAnsi"/>
                <w:color w:val="231F20"/>
                <w:spacing w:val="-3"/>
                <w:w w:val="105"/>
              </w:rPr>
              <w:t>Supported Employment (65%)</w:t>
            </w:r>
          </w:p>
          <w:p w14:paraId="7AE40592" w14:textId="77777777" w:rsidR="006206D4" w:rsidRPr="00282376" w:rsidRDefault="006206D4" w:rsidP="00160DE7">
            <w:pPr>
              <w:pStyle w:val="ListParagraph"/>
              <w:widowControl w:val="0"/>
              <w:numPr>
                <w:ilvl w:val="0"/>
                <w:numId w:val="116"/>
              </w:numPr>
              <w:spacing w:before="45" w:after="0" w:line="240" w:lineRule="auto"/>
              <w:rPr>
                <w:rFonts w:cstheme="minorHAnsi"/>
                <w:color w:val="231F20"/>
                <w:spacing w:val="-3"/>
                <w:w w:val="105"/>
              </w:rPr>
            </w:pPr>
            <w:r w:rsidRPr="00282376">
              <w:rPr>
                <w:rFonts w:cstheme="minorHAnsi"/>
                <w:color w:val="231F20"/>
                <w:spacing w:val="-3"/>
                <w:w w:val="105"/>
              </w:rPr>
              <w:t>Training (64%)</w:t>
            </w:r>
          </w:p>
        </w:tc>
      </w:tr>
      <w:tr w:rsidR="006206D4" w:rsidRPr="006206D4" w14:paraId="0A124D83" w14:textId="77777777" w:rsidTr="006206D4">
        <w:trPr>
          <w:trHeight w:hRule="exact" w:val="1832"/>
        </w:trPr>
        <w:tc>
          <w:tcPr>
            <w:tcW w:w="3089" w:type="dxa"/>
            <w:tcBorders>
              <w:top w:val="single" w:sz="2" w:space="0" w:color="231F20"/>
              <w:left w:val="single" w:sz="2" w:space="0" w:color="231F20"/>
              <w:bottom w:val="single" w:sz="2" w:space="0" w:color="231F20"/>
              <w:right w:val="single" w:sz="2" w:space="0" w:color="231F20"/>
            </w:tcBorders>
            <w:shd w:val="clear" w:color="auto" w:fill="E6E7E8"/>
          </w:tcPr>
          <w:p w14:paraId="34E37AA2" w14:textId="77777777" w:rsidR="006206D4" w:rsidRPr="006206D4" w:rsidRDefault="006206D4" w:rsidP="006206D4">
            <w:pPr>
              <w:widowControl w:val="0"/>
              <w:spacing w:before="43" w:after="0" w:line="240" w:lineRule="auto"/>
              <w:ind w:left="107"/>
              <w:rPr>
                <w:rFonts w:cstheme="minorHAnsi"/>
              </w:rPr>
            </w:pPr>
            <w:r w:rsidRPr="006206D4">
              <w:rPr>
                <w:rFonts w:cstheme="minorHAnsi"/>
                <w:color w:val="231F20"/>
                <w:w w:val="110"/>
              </w:rPr>
              <w:t>Groups rated as having</w:t>
            </w:r>
            <w:r w:rsidRPr="006206D4">
              <w:rPr>
                <w:rFonts w:cstheme="minorHAnsi"/>
                <w:color w:val="231F20"/>
                <w:spacing w:val="-33"/>
                <w:w w:val="110"/>
              </w:rPr>
              <w:t xml:space="preserve"> </w:t>
            </w:r>
            <w:r w:rsidRPr="006206D4">
              <w:rPr>
                <w:rFonts w:cstheme="minorHAnsi"/>
                <w:color w:val="231F20"/>
                <w:w w:val="110"/>
              </w:rPr>
              <w:t>least</w:t>
            </w:r>
            <w:r w:rsidRPr="006206D4">
              <w:rPr>
                <w:rFonts w:cstheme="minorHAnsi"/>
                <w:color w:val="231F20"/>
                <w:w w:val="107"/>
              </w:rPr>
              <w:t xml:space="preserve"> </w:t>
            </w:r>
            <w:r w:rsidRPr="006206D4">
              <w:rPr>
                <w:rFonts w:cstheme="minorHAnsi"/>
                <w:color w:val="231F20"/>
                <w:w w:val="110"/>
              </w:rPr>
              <w:t>access to</w:t>
            </w:r>
            <w:r w:rsidRPr="006206D4">
              <w:rPr>
                <w:rFonts w:cstheme="minorHAnsi"/>
                <w:color w:val="231F20"/>
                <w:spacing w:val="23"/>
                <w:w w:val="110"/>
              </w:rPr>
              <w:t xml:space="preserve"> </w:t>
            </w:r>
            <w:r w:rsidRPr="006206D4">
              <w:rPr>
                <w:rFonts w:cstheme="minorHAnsi"/>
                <w:color w:val="231F20"/>
                <w:w w:val="110"/>
              </w:rPr>
              <w:t>services</w:t>
            </w:r>
          </w:p>
        </w:tc>
        <w:tc>
          <w:tcPr>
            <w:tcW w:w="7076" w:type="dxa"/>
            <w:tcBorders>
              <w:top w:val="single" w:sz="2" w:space="0" w:color="231F20"/>
              <w:left w:val="single" w:sz="2" w:space="0" w:color="231F20"/>
              <w:bottom w:val="single" w:sz="2" w:space="0" w:color="231F20"/>
              <w:right w:val="single" w:sz="2" w:space="0" w:color="231F20"/>
            </w:tcBorders>
            <w:shd w:val="clear" w:color="auto" w:fill="E6E7E8"/>
          </w:tcPr>
          <w:p w14:paraId="15E45F96" w14:textId="77777777" w:rsidR="006206D4" w:rsidRPr="00282376" w:rsidRDefault="006206D4" w:rsidP="00160DE7">
            <w:pPr>
              <w:pStyle w:val="ListParagraph"/>
              <w:widowControl w:val="0"/>
              <w:numPr>
                <w:ilvl w:val="0"/>
                <w:numId w:val="116"/>
              </w:numPr>
              <w:spacing w:before="45" w:after="0" w:line="240" w:lineRule="auto"/>
              <w:rPr>
                <w:rFonts w:cstheme="minorHAnsi"/>
                <w:color w:val="231F20"/>
                <w:spacing w:val="-3"/>
                <w:w w:val="105"/>
              </w:rPr>
            </w:pPr>
            <w:r w:rsidRPr="00282376">
              <w:rPr>
                <w:rFonts w:cstheme="minorHAnsi"/>
                <w:color w:val="231F20"/>
                <w:spacing w:val="-3"/>
                <w:w w:val="105"/>
              </w:rPr>
              <w:t>Individuals living in rural areas (58.86%)</w:t>
            </w:r>
          </w:p>
          <w:p w14:paraId="7533C2F3" w14:textId="77777777" w:rsidR="006206D4" w:rsidRPr="00282376" w:rsidRDefault="006206D4" w:rsidP="00160DE7">
            <w:pPr>
              <w:pStyle w:val="ListParagraph"/>
              <w:widowControl w:val="0"/>
              <w:numPr>
                <w:ilvl w:val="0"/>
                <w:numId w:val="116"/>
              </w:numPr>
              <w:spacing w:before="45" w:after="0" w:line="240" w:lineRule="auto"/>
              <w:rPr>
                <w:rFonts w:cstheme="minorHAnsi"/>
                <w:color w:val="231F20"/>
                <w:spacing w:val="-3"/>
                <w:w w:val="105"/>
              </w:rPr>
            </w:pPr>
            <w:r w:rsidRPr="00282376">
              <w:rPr>
                <w:rFonts w:cstheme="minorHAnsi"/>
                <w:color w:val="231F20"/>
                <w:spacing w:val="-3"/>
                <w:w w:val="105"/>
              </w:rPr>
              <w:t>Individuals with a criminal background (48.57%)</w:t>
            </w:r>
          </w:p>
          <w:p w14:paraId="5DCACCBA" w14:textId="77777777" w:rsidR="006206D4" w:rsidRPr="00282376" w:rsidRDefault="006206D4" w:rsidP="00160DE7">
            <w:pPr>
              <w:pStyle w:val="ListParagraph"/>
              <w:widowControl w:val="0"/>
              <w:numPr>
                <w:ilvl w:val="0"/>
                <w:numId w:val="116"/>
              </w:numPr>
              <w:spacing w:before="45" w:after="0" w:line="240" w:lineRule="auto"/>
              <w:rPr>
                <w:rFonts w:cstheme="minorHAnsi"/>
                <w:color w:val="231F20"/>
                <w:spacing w:val="-3"/>
                <w:w w:val="105"/>
              </w:rPr>
            </w:pPr>
            <w:r w:rsidRPr="00282376">
              <w:rPr>
                <w:rFonts w:cstheme="minorHAnsi"/>
                <w:color w:val="231F20"/>
                <w:spacing w:val="-3"/>
                <w:w w:val="105"/>
              </w:rPr>
              <w:t>Individuals on waiting list (43.95%)</w:t>
            </w:r>
          </w:p>
          <w:p w14:paraId="481CDD80" w14:textId="77777777" w:rsidR="006206D4" w:rsidRPr="00282376" w:rsidRDefault="006206D4" w:rsidP="00160DE7">
            <w:pPr>
              <w:pStyle w:val="ListParagraph"/>
              <w:widowControl w:val="0"/>
              <w:numPr>
                <w:ilvl w:val="0"/>
                <w:numId w:val="116"/>
              </w:numPr>
              <w:spacing w:before="45" w:after="0" w:line="240" w:lineRule="auto"/>
              <w:rPr>
                <w:rFonts w:cstheme="minorHAnsi"/>
                <w:color w:val="231F20"/>
                <w:spacing w:val="-3"/>
                <w:w w:val="105"/>
              </w:rPr>
            </w:pPr>
            <w:r w:rsidRPr="00282376">
              <w:rPr>
                <w:rFonts w:cstheme="minorHAnsi"/>
                <w:color w:val="231F20"/>
                <w:spacing w:val="-3"/>
                <w:w w:val="105"/>
              </w:rPr>
              <w:t>Individuals with a mental health disability (43.57%)</w:t>
            </w:r>
          </w:p>
          <w:p w14:paraId="166A60DA" w14:textId="77777777" w:rsidR="006206D4" w:rsidRPr="00282376" w:rsidRDefault="006206D4" w:rsidP="00160DE7">
            <w:pPr>
              <w:pStyle w:val="ListParagraph"/>
              <w:widowControl w:val="0"/>
              <w:numPr>
                <w:ilvl w:val="0"/>
                <w:numId w:val="116"/>
              </w:numPr>
              <w:spacing w:before="45" w:after="0" w:line="240" w:lineRule="auto"/>
              <w:rPr>
                <w:rFonts w:cstheme="minorHAnsi"/>
                <w:color w:val="231F20"/>
                <w:spacing w:val="-3"/>
                <w:w w:val="105"/>
              </w:rPr>
            </w:pPr>
            <w:r w:rsidRPr="00282376">
              <w:rPr>
                <w:rFonts w:cstheme="minorHAnsi"/>
                <w:color w:val="231F20"/>
                <w:spacing w:val="-3"/>
                <w:w w:val="105"/>
              </w:rPr>
              <w:t>Individuals with an intellectual disability (43.42%)</w:t>
            </w:r>
          </w:p>
        </w:tc>
      </w:tr>
      <w:tr w:rsidR="006206D4" w:rsidRPr="006206D4" w14:paraId="488C739B" w14:textId="77777777" w:rsidTr="006206D4">
        <w:trPr>
          <w:trHeight w:hRule="exact" w:val="1805"/>
        </w:trPr>
        <w:tc>
          <w:tcPr>
            <w:tcW w:w="3089" w:type="dxa"/>
            <w:tcBorders>
              <w:top w:val="single" w:sz="2" w:space="0" w:color="231F20"/>
              <w:left w:val="single" w:sz="2" w:space="0" w:color="231F20"/>
              <w:bottom w:val="single" w:sz="2" w:space="0" w:color="231F20"/>
              <w:right w:val="single" w:sz="2" w:space="0" w:color="231F20"/>
            </w:tcBorders>
          </w:tcPr>
          <w:p w14:paraId="7B34448C" w14:textId="77777777" w:rsidR="006206D4" w:rsidRPr="006206D4" w:rsidRDefault="006206D4" w:rsidP="006206D4">
            <w:pPr>
              <w:widowControl w:val="0"/>
              <w:spacing w:before="43" w:after="0" w:line="240" w:lineRule="auto"/>
              <w:ind w:left="107"/>
              <w:rPr>
                <w:rFonts w:cstheme="minorHAnsi"/>
              </w:rPr>
            </w:pPr>
            <w:r w:rsidRPr="006206D4">
              <w:rPr>
                <w:rFonts w:cstheme="minorHAnsi"/>
                <w:color w:val="231F20"/>
                <w:w w:val="105"/>
              </w:rPr>
              <w:t>Greatest barriers to</w:t>
            </w:r>
            <w:r w:rsidRPr="006206D4">
              <w:rPr>
                <w:rFonts w:cstheme="minorHAnsi"/>
                <w:color w:val="231F20"/>
                <w:spacing w:val="17"/>
                <w:w w:val="105"/>
              </w:rPr>
              <w:t xml:space="preserve"> </w:t>
            </w:r>
            <w:r w:rsidRPr="006206D4">
              <w:rPr>
                <w:rFonts w:cstheme="minorHAnsi"/>
                <w:color w:val="231F20"/>
                <w:w w:val="105"/>
              </w:rPr>
              <w:t>employment</w:t>
            </w:r>
            <w:r w:rsidRPr="006206D4">
              <w:rPr>
                <w:rFonts w:cstheme="minorHAnsi"/>
                <w:color w:val="231F20"/>
                <w:w w:val="104"/>
              </w:rPr>
              <w:t xml:space="preserve"> </w:t>
            </w:r>
            <w:r w:rsidRPr="006206D4">
              <w:rPr>
                <w:rFonts w:cstheme="minorHAnsi"/>
                <w:color w:val="231F20"/>
                <w:w w:val="105"/>
              </w:rPr>
              <w:t>for job seekers with disabilities</w:t>
            </w:r>
          </w:p>
        </w:tc>
        <w:tc>
          <w:tcPr>
            <w:tcW w:w="7076" w:type="dxa"/>
            <w:tcBorders>
              <w:top w:val="single" w:sz="2" w:space="0" w:color="231F20"/>
              <w:left w:val="single" w:sz="2" w:space="0" w:color="231F20"/>
              <w:bottom w:val="single" w:sz="2" w:space="0" w:color="231F20"/>
              <w:right w:val="single" w:sz="2" w:space="0" w:color="231F20"/>
            </w:tcBorders>
          </w:tcPr>
          <w:p w14:paraId="1F36A446" w14:textId="77777777" w:rsidR="006206D4" w:rsidRPr="00282376" w:rsidRDefault="006206D4" w:rsidP="00160DE7">
            <w:pPr>
              <w:pStyle w:val="ListParagraph"/>
              <w:widowControl w:val="0"/>
              <w:numPr>
                <w:ilvl w:val="0"/>
                <w:numId w:val="116"/>
              </w:numPr>
              <w:spacing w:before="45" w:after="0" w:line="240" w:lineRule="auto"/>
              <w:rPr>
                <w:rFonts w:cstheme="minorHAnsi"/>
                <w:color w:val="231F20"/>
                <w:spacing w:val="-3"/>
                <w:w w:val="105"/>
              </w:rPr>
            </w:pPr>
            <w:r w:rsidRPr="00282376">
              <w:rPr>
                <w:rFonts w:cstheme="minorHAnsi"/>
                <w:color w:val="231F20"/>
                <w:spacing w:val="-3"/>
                <w:w w:val="105"/>
              </w:rPr>
              <w:t>Job seekers need transportation (personal or public) (76.16%)</w:t>
            </w:r>
          </w:p>
          <w:p w14:paraId="0E48DD30" w14:textId="717D9942" w:rsidR="006206D4" w:rsidRPr="00282376" w:rsidRDefault="006206D4" w:rsidP="00160DE7">
            <w:pPr>
              <w:pStyle w:val="ListParagraph"/>
              <w:widowControl w:val="0"/>
              <w:numPr>
                <w:ilvl w:val="0"/>
                <w:numId w:val="116"/>
              </w:numPr>
              <w:spacing w:before="45" w:after="0" w:line="240" w:lineRule="auto"/>
              <w:rPr>
                <w:rFonts w:cstheme="minorHAnsi"/>
                <w:color w:val="231F20"/>
                <w:spacing w:val="-3"/>
                <w:w w:val="105"/>
              </w:rPr>
            </w:pPr>
            <w:r w:rsidRPr="00282376">
              <w:rPr>
                <w:rFonts w:cstheme="minorHAnsi"/>
                <w:color w:val="231F20"/>
                <w:spacing w:val="-3"/>
                <w:w w:val="105"/>
              </w:rPr>
              <w:t>Employers underestimate the talent and skills of people with disabilities (70.67%)</w:t>
            </w:r>
          </w:p>
          <w:p w14:paraId="1C5A200E" w14:textId="77777777" w:rsidR="006206D4" w:rsidRPr="00282376" w:rsidRDefault="006206D4" w:rsidP="00160DE7">
            <w:pPr>
              <w:pStyle w:val="ListParagraph"/>
              <w:widowControl w:val="0"/>
              <w:numPr>
                <w:ilvl w:val="0"/>
                <w:numId w:val="116"/>
              </w:numPr>
              <w:spacing w:before="45" w:after="0" w:line="240" w:lineRule="auto"/>
              <w:rPr>
                <w:rFonts w:cstheme="minorHAnsi"/>
                <w:color w:val="231F20"/>
                <w:spacing w:val="-3"/>
                <w:w w:val="105"/>
              </w:rPr>
            </w:pPr>
            <w:r w:rsidRPr="00282376">
              <w:rPr>
                <w:rFonts w:cstheme="minorHAnsi"/>
                <w:color w:val="231F20"/>
                <w:spacing w:val="-3"/>
                <w:w w:val="105"/>
              </w:rPr>
              <w:t>Employers need training on working with people with disabilities (66.9%)</w:t>
            </w:r>
          </w:p>
        </w:tc>
      </w:tr>
    </w:tbl>
    <w:p w14:paraId="4F3BD5D4" w14:textId="77777777" w:rsidR="006206D4" w:rsidRPr="006206D4" w:rsidRDefault="006206D4" w:rsidP="00D63204">
      <w:pPr>
        <w:widowControl w:val="0"/>
        <w:spacing w:after="0" w:line="240" w:lineRule="auto"/>
        <w:ind w:left="107"/>
        <w:rPr>
          <w:rFonts w:cstheme="minorHAnsi"/>
        </w:rPr>
        <w:sectPr w:rsidR="006206D4" w:rsidRPr="006206D4" w:rsidSect="00F7048E">
          <w:pgSz w:w="12240" w:h="15840"/>
          <w:pgMar w:top="1440" w:right="900" w:bottom="1440" w:left="990" w:header="720" w:footer="720" w:gutter="0"/>
          <w:cols w:space="720"/>
          <w:docGrid w:linePitch="360"/>
        </w:sectPr>
      </w:pPr>
    </w:p>
    <w:p w14:paraId="4586FBA9" w14:textId="3A592C76" w:rsidR="006206D4" w:rsidRPr="006206D4" w:rsidRDefault="00282376" w:rsidP="00D63204">
      <w:pPr>
        <w:widowControl w:val="0"/>
        <w:spacing w:before="57" w:after="0" w:line="240" w:lineRule="auto"/>
        <w:ind w:left="107"/>
        <w:rPr>
          <w:rFonts w:cstheme="minorHAnsi"/>
        </w:rPr>
      </w:pPr>
      <w:bookmarkStart w:id="152" w:name="_bookmark86"/>
      <w:bookmarkEnd w:id="152"/>
      <w:r>
        <w:rPr>
          <w:rFonts w:cstheme="minorHAnsi"/>
          <w:b/>
          <w:w w:val="115"/>
        </w:rPr>
        <w:lastRenderedPageBreak/>
        <w:br/>
      </w:r>
      <w:r w:rsidR="006206D4" w:rsidRPr="006206D4">
        <w:rPr>
          <w:rFonts w:cstheme="minorHAnsi"/>
          <w:b/>
          <w:w w:val="115"/>
        </w:rPr>
        <w:t>Figure</w:t>
      </w:r>
      <w:r w:rsidR="006206D4" w:rsidRPr="006206D4">
        <w:rPr>
          <w:rFonts w:cstheme="minorHAnsi"/>
          <w:b/>
          <w:spacing w:val="-7"/>
          <w:w w:val="115"/>
        </w:rPr>
        <w:t xml:space="preserve"> </w:t>
      </w:r>
      <w:r w:rsidR="006206D4" w:rsidRPr="006206D4">
        <w:rPr>
          <w:rFonts w:cstheme="minorHAnsi"/>
          <w:b/>
          <w:spacing w:val="-3"/>
          <w:w w:val="115"/>
        </w:rPr>
        <w:t>9.04</w:t>
      </w:r>
    </w:p>
    <w:p w14:paraId="66714D78" w14:textId="77777777" w:rsidR="006206D4" w:rsidRPr="006206D4" w:rsidRDefault="006206D4" w:rsidP="00D63204">
      <w:pPr>
        <w:widowControl w:val="0"/>
        <w:spacing w:after="0" w:line="240" w:lineRule="auto"/>
        <w:ind w:left="107"/>
        <w:rPr>
          <w:rFonts w:cstheme="minorHAnsi"/>
        </w:rPr>
      </w:pPr>
      <w:r w:rsidRPr="006206D4">
        <w:rPr>
          <w:rFonts w:cstheme="minorHAnsi"/>
          <w:b/>
          <w:color w:val="231F20"/>
          <w:w w:val="110"/>
        </w:rPr>
        <w:t>CSNA Findings and</w:t>
      </w:r>
      <w:r w:rsidRPr="006206D4">
        <w:rPr>
          <w:rFonts w:cstheme="minorHAnsi"/>
          <w:b/>
          <w:color w:val="231F20"/>
          <w:spacing w:val="36"/>
          <w:w w:val="110"/>
        </w:rPr>
        <w:t xml:space="preserve"> </w:t>
      </w:r>
      <w:r w:rsidRPr="006206D4">
        <w:rPr>
          <w:rFonts w:cstheme="minorHAnsi"/>
          <w:b/>
          <w:color w:val="231F20"/>
          <w:w w:val="110"/>
        </w:rPr>
        <w:t>Recommendations</w:t>
      </w:r>
    </w:p>
    <w:p w14:paraId="23B5F4F3" w14:textId="77777777" w:rsidR="006206D4" w:rsidRPr="006206D4" w:rsidRDefault="006206D4" w:rsidP="00D63204">
      <w:pPr>
        <w:widowControl w:val="0"/>
        <w:spacing w:before="1" w:after="0" w:line="240" w:lineRule="auto"/>
        <w:ind w:left="107"/>
        <w:rPr>
          <w:rFonts w:cstheme="minorHAnsi"/>
          <w:b/>
          <w:bCs/>
        </w:rPr>
      </w:pPr>
    </w:p>
    <w:tbl>
      <w:tblPr>
        <w:tblW w:w="0" w:type="auto"/>
        <w:tblInd w:w="108" w:type="dxa"/>
        <w:tblLayout w:type="fixed"/>
        <w:tblCellMar>
          <w:left w:w="0" w:type="dxa"/>
          <w:right w:w="0" w:type="dxa"/>
        </w:tblCellMar>
        <w:tblLook w:val="01E0" w:firstRow="1" w:lastRow="1" w:firstColumn="1" w:lastColumn="1" w:noHBand="0" w:noVBand="0"/>
      </w:tblPr>
      <w:tblGrid>
        <w:gridCol w:w="3849"/>
        <w:gridCol w:w="6301"/>
      </w:tblGrid>
      <w:tr w:rsidR="006206D4" w:rsidRPr="006206D4" w14:paraId="0AB703FE" w14:textId="77777777" w:rsidTr="007A31C5">
        <w:trPr>
          <w:trHeight w:hRule="exact" w:val="498"/>
        </w:trPr>
        <w:tc>
          <w:tcPr>
            <w:tcW w:w="3849" w:type="dxa"/>
            <w:tcBorders>
              <w:top w:val="single" w:sz="2" w:space="0" w:color="231F20"/>
              <w:left w:val="single" w:sz="2" w:space="0" w:color="231F20"/>
              <w:bottom w:val="single" w:sz="2" w:space="0" w:color="231F20"/>
              <w:right w:val="single" w:sz="2" w:space="0" w:color="231F20"/>
            </w:tcBorders>
          </w:tcPr>
          <w:p w14:paraId="1682C787" w14:textId="77777777" w:rsidR="006206D4" w:rsidRPr="006206D4" w:rsidRDefault="006206D4" w:rsidP="00D63204">
            <w:pPr>
              <w:widowControl w:val="0"/>
              <w:spacing w:before="135" w:after="0" w:line="240" w:lineRule="auto"/>
              <w:ind w:left="107"/>
              <w:rPr>
                <w:rFonts w:cstheme="minorHAnsi"/>
              </w:rPr>
            </w:pPr>
            <w:r w:rsidRPr="006206D4">
              <w:rPr>
                <w:rFonts w:cstheme="minorHAnsi"/>
                <w:b/>
                <w:color w:val="231F20"/>
                <w:w w:val="115"/>
              </w:rPr>
              <w:t>CSNA</w:t>
            </w:r>
            <w:r w:rsidRPr="006206D4">
              <w:rPr>
                <w:rFonts w:cstheme="minorHAnsi"/>
                <w:b/>
                <w:color w:val="231F20"/>
                <w:spacing w:val="4"/>
                <w:w w:val="115"/>
              </w:rPr>
              <w:t xml:space="preserve"> </w:t>
            </w:r>
            <w:r w:rsidRPr="006206D4">
              <w:rPr>
                <w:rFonts w:cstheme="minorHAnsi"/>
                <w:b/>
                <w:color w:val="231F20"/>
                <w:w w:val="115"/>
              </w:rPr>
              <w:t>Findings</w:t>
            </w:r>
          </w:p>
        </w:tc>
        <w:tc>
          <w:tcPr>
            <w:tcW w:w="6301" w:type="dxa"/>
            <w:tcBorders>
              <w:top w:val="single" w:sz="2" w:space="0" w:color="231F20"/>
              <w:left w:val="single" w:sz="2" w:space="0" w:color="231F20"/>
              <w:bottom w:val="single" w:sz="2" w:space="0" w:color="231F20"/>
              <w:right w:val="single" w:sz="2" w:space="0" w:color="231F20"/>
            </w:tcBorders>
          </w:tcPr>
          <w:p w14:paraId="322D30D4" w14:textId="77777777" w:rsidR="006206D4" w:rsidRPr="006206D4" w:rsidRDefault="006206D4" w:rsidP="00D63204">
            <w:pPr>
              <w:widowControl w:val="0"/>
              <w:spacing w:before="135" w:after="0" w:line="240" w:lineRule="auto"/>
              <w:ind w:left="107"/>
              <w:rPr>
                <w:rFonts w:cstheme="minorHAnsi"/>
              </w:rPr>
            </w:pPr>
            <w:r w:rsidRPr="006206D4">
              <w:rPr>
                <w:rFonts w:cstheme="minorHAnsi"/>
                <w:b/>
                <w:color w:val="231F20"/>
                <w:w w:val="110"/>
              </w:rPr>
              <w:t>Strategic References and Future</w:t>
            </w:r>
            <w:r w:rsidRPr="006206D4">
              <w:rPr>
                <w:rFonts w:cstheme="minorHAnsi"/>
                <w:b/>
                <w:color w:val="231F20"/>
                <w:spacing w:val="5"/>
                <w:w w:val="110"/>
              </w:rPr>
              <w:t xml:space="preserve"> </w:t>
            </w:r>
            <w:r w:rsidRPr="006206D4">
              <w:rPr>
                <w:rFonts w:cstheme="minorHAnsi"/>
                <w:b/>
                <w:color w:val="231F20"/>
                <w:w w:val="110"/>
              </w:rPr>
              <w:t>Considerations</w:t>
            </w:r>
          </w:p>
        </w:tc>
      </w:tr>
      <w:tr w:rsidR="006206D4" w:rsidRPr="006206D4" w14:paraId="0238BB8C" w14:textId="77777777" w:rsidTr="007A31C5">
        <w:trPr>
          <w:trHeight w:hRule="exact" w:val="1535"/>
        </w:trPr>
        <w:tc>
          <w:tcPr>
            <w:tcW w:w="3849" w:type="dxa"/>
            <w:tcBorders>
              <w:top w:val="single" w:sz="2" w:space="0" w:color="231F20"/>
              <w:left w:val="single" w:sz="2" w:space="0" w:color="231F20"/>
              <w:bottom w:val="single" w:sz="2" w:space="0" w:color="231F20"/>
              <w:right w:val="single" w:sz="2" w:space="0" w:color="231F20"/>
            </w:tcBorders>
            <w:shd w:val="clear" w:color="auto" w:fill="E6E7E8"/>
          </w:tcPr>
          <w:p w14:paraId="2A20EBFC" w14:textId="4F2F993D" w:rsidR="006206D4" w:rsidRPr="006206D4" w:rsidRDefault="006206D4" w:rsidP="00282376">
            <w:pPr>
              <w:widowControl w:val="0"/>
              <w:spacing w:before="43" w:after="0" w:line="240" w:lineRule="auto"/>
              <w:ind w:left="107"/>
              <w:rPr>
                <w:rFonts w:cstheme="minorHAnsi"/>
              </w:rPr>
            </w:pPr>
            <w:r w:rsidRPr="006206D4">
              <w:rPr>
                <w:rFonts w:cstheme="minorHAnsi"/>
                <w:color w:val="231F20"/>
                <w:w w:val="105"/>
              </w:rPr>
              <w:t>VR</w:t>
            </w:r>
            <w:r w:rsidRPr="006206D4">
              <w:rPr>
                <w:rFonts w:cstheme="minorHAnsi"/>
                <w:color w:val="231F20"/>
                <w:spacing w:val="16"/>
                <w:w w:val="105"/>
              </w:rPr>
              <w:t xml:space="preserve"> </w:t>
            </w:r>
            <w:r w:rsidRPr="006206D4">
              <w:rPr>
                <w:rFonts w:cstheme="minorHAnsi"/>
                <w:color w:val="231F20"/>
                <w:w w:val="105"/>
              </w:rPr>
              <w:t>needs</w:t>
            </w:r>
            <w:r w:rsidRPr="006206D4">
              <w:rPr>
                <w:rFonts w:cstheme="minorHAnsi"/>
                <w:color w:val="231F20"/>
                <w:spacing w:val="16"/>
                <w:w w:val="105"/>
              </w:rPr>
              <w:t xml:space="preserve"> </w:t>
            </w:r>
            <w:r w:rsidRPr="006206D4">
              <w:rPr>
                <w:rFonts w:cstheme="minorHAnsi"/>
                <w:color w:val="231F20"/>
                <w:w w:val="105"/>
              </w:rPr>
              <w:t>to</w:t>
            </w:r>
            <w:r w:rsidRPr="006206D4">
              <w:rPr>
                <w:rFonts w:cstheme="minorHAnsi"/>
                <w:color w:val="231F20"/>
                <w:spacing w:val="16"/>
                <w:w w:val="105"/>
              </w:rPr>
              <w:t xml:space="preserve"> </w:t>
            </w:r>
            <w:r w:rsidRPr="006206D4">
              <w:rPr>
                <w:rFonts w:cstheme="minorHAnsi"/>
                <w:color w:val="231F20"/>
                <w:w w:val="105"/>
              </w:rPr>
              <w:t>make</w:t>
            </w:r>
            <w:r w:rsidRPr="006206D4">
              <w:rPr>
                <w:rFonts w:cstheme="minorHAnsi"/>
                <w:color w:val="231F20"/>
                <w:spacing w:val="16"/>
                <w:w w:val="105"/>
              </w:rPr>
              <w:t xml:space="preserve"> </w:t>
            </w:r>
            <w:r w:rsidRPr="006206D4">
              <w:rPr>
                <w:rFonts w:cstheme="minorHAnsi"/>
                <w:color w:val="231F20"/>
                <w:w w:val="105"/>
              </w:rPr>
              <w:t>a</w:t>
            </w:r>
            <w:r w:rsidRPr="006206D4">
              <w:rPr>
                <w:rFonts w:cstheme="minorHAnsi"/>
                <w:color w:val="231F20"/>
                <w:spacing w:val="16"/>
                <w:w w:val="105"/>
              </w:rPr>
              <w:t xml:space="preserve"> </w:t>
            </w:r>
            <w:r w:rsidRPr="006206D4">
              <w:rPr>
                <w:rFonts w:cstheme="minorHAnsi"/>
                <w:color w:val="231F20"/>
                <w:w w:val="105"/>
              </w:rPr>
              <w:t>stronger</w:t>
            </w:r>
            <w:r w:rsidRPr="006206D4">
              <w:rPr>
                <w:rFonts w:cstheme="minorHAnsi"/>
                <w:color w:val="231F20"/>
                <w:spacing w:val="16"/>
                <w:w w:val="105"/>
              </w:rPr>
              <w:t xml:space="preserve"> </w:t>
            </w:r>
            <w:r w:rsidRPr="006206D4">
              <w:rPr>
                <w:rFonts w:cstheme="minorHAnsi"/>
                <w:color w:val="231F20"/>
                <w:w w:val="105"/>
              </w:rPr>
              <w:t>case</w:t>
            </w:r>
            <w:r w:rsidRPr="006206D4">
              <w:rPr>
                <w:rFonts w:cstheme="minorHAnsi"/>
                <w:color w:val="231F20"/>
                <w:spacing w:val="-14"/>
                <w:w w:val="105"/>
              </w:rPr>
              <w:t xml:space="preserve"> </w:t>
            </w:r>
            <w:r w:rsidRPr="006206D4">
              <w:rPr>
                <w:rFonts w:cstheme="minorHAnsi"/>
                <w:color w:val="231F20"/>
                <w:w w:val="105"/>
              </w:rPr>
              <w:t>for hiring individuals with</w:t>
            </w:r>
            <w:r w:rsidRPr="006206D4">
              <w:rPr>
                <w:rFonts w:cstheme="minorHAnsi"/>
                <w:color w:val="231F20"/>
                <w:spacing w:val="21"/>
                <w:w w:val="105"/>
              </w:rPr>
              <w:t xml:space="preserve"> </w:t>
            </w:r>
            <w:r w:rsidRPr="006206D4">
              <w:rPr>
                <w:rFonts w:cstheme="minorHAnsi"/>
                <w:color w:val="231F20"/>
                <w:w w:val="105"/>
              </w:rPr>
              <w:t>disabilities</w:t>
            </w:r>
            <w:r w:rsidRPr="006206D4">
              <w:rPr>
                <w:rFonts w:cstheme="minorHAnsi"/>
                <w:color w:val="231F20"/>
                <w:w w:val="106"/>
              </w:rPr>
              <w:t xml:space="preserve"> </w:t>
            </w:r>
            <w:r w:rsidRPr="006206D4">
              <w:rPr>
                <w:rFonts w:cstheme="minorHAnsi"/>
                <w:color w:val="231F20"/>
                <w:w w:val="105"/>
              </w:rPr>
              <w:t>because</w:t>
            </w:r>
            <w:r w:rsidRPr="006206D4">
              <w:rPr>
                <w:rFonts w:cstheme="minorHAnsi"/>
                <w:color w:val="231F20"/>
                <w:spacing w:val="11"/>
                <w:w w:val="105"/>
              </w:rPr>
              <w:t xml:space="preserve"> </w:t>
            </w:r>
            <w:r w:rsidRPr="006206D4">
              <w:rPr>
                <w:rFonts w:cstheme="minorHAnsi"/>
                <w:color w:val="231F20"/>
                <w:w w:val="105"/>
              </w:rPr>
              <w:t>of</w:t>
            </w:r>
            <w:r w:rsidRPr="006206D4">
              <w:rPr>
                <w:rFonts w:cstheme="minorHAnsi"/>
                <w:color w:val="231F20"/>
                <w:spacing w:val="11"/>
                <w:w w:val="105"/>
              </w:rPr>
              <w:t xml:space="preserve"> </w:t>
            </w:r>
            <w:r w:rsidRPr="006206D4">
              <w:rPr>
                <w:rFonts w:cstheme="minorHAnsi"/>
                <w:color w:val="231F20"/>
                <w:w w:val="105"/>
              </w:rPr>
              <w:t>their</w:t>
            </w:r>
            <w:r w:rsidRPr="006206D4">
              <w:rPr>
                <w:rFonts w:cstheme="minorHAnsi"/>
                <w:color w:val="231F20"/>
                <w:spacing w:val="11"/>
                <w:w w:val="105"/>
              </w:rPr>
              <w:t xml:space="preserve"> </w:t>
            </w:r>
            <w:r w:rsidRPr="006206D4">
              <w:rPr>
                <w:rFonts w:cstheme="minorHAnsi"/>
                <w:color w:val="231F20"/>
                <w:w w:val="105"/>
              </w:rPr>
              <w:t>skills,</w:t>
            </w:r>
            <w:r w:rsidRPr="006206D4">
              <w:rPr>
                <w:rFonts w:cstheme="minorHAnsi"/>
                <w:color w:val="231F20"/>
                <w:spacing w:val="11"/>
                <w:w w:val="105"/>
              </w:rPr>
              <w:t xml:space="preserve"> </w:t>
            </w:r>
            <w:r w:rsidRPr="006206D4">
              <w:rPr>
                <w:rFonts w:cstheme="minorHAnsi"/>
                <w:color w:val="231F20"/>
                <w:w w:val="105"/>
              </w:rPr>
              <w:t>abilities</w:t>
            </w:r>
            <w:r w:rsidR="00D5537E">
              <w:rPr>
                <w:rFonts w:cstheme="minorHAnsi"/>
                <w:color w:val="231F20"/>
                <w:w w:val="105"/>
              </w:rPr>
              <w:t xml:space="preserve"> and</w:t>
            </w:r>
            <w:r w:rsidRPr="006206D4">
              <w:rPr>
                <w:rFonts w:cstheme="minorHAnsi"/>
                <w:color w:val="231F20"/>
                <w:spacing w:val="-37"/>
                <w:w w:val="105"/>
              </w:rPr>
              <w:t xml:space="preserve"> </w:t>
            </w:r>
            <w:r w:rsidRPr="006206D4">
              <w:rPr>
                <w:rFonts w:cstheme="minorHAnsi"/>
                <w:color w:val="231F20"/>
                <w:w w:val="105"/>
              </w:rPr>
              <w:t>qualifications.</w:t>
            </w:r>
          </w:p>
        </w:tc>
        <w:tc>
          <w:tcPr>
            <w:tcW w:w="6301" w:type="dxa"/>
            <w:tcBorders>
              <w:top w:val="single" w:sz="2" w:space="0" w:color="231F20"/>
              <w:left w:val="single" w:sz="2" w:space="0" w:color="231F20"/>
              <w:right w:val="single" w:sz="2" w:space="0" w:color="231F20"/>
            </w:tcBorders>
          </w:tcPr>
          <w:p w14:paraId="35290886" w14:textId="30106958" w:rsidR="006206D4" w:rsidRPr="00282376" w:rsidRDefault="00622D95" w:rsidP="00F36BFB">
            <w:pPr>
              <w:widowControl w:val="0"/>
              <w:spacing w:before="90" w:after="0" w:line="240" w:lineRule="auto"/>
              <w:ind w:left="75"/>
              <w:rPr>
                <w:rFonts w:cstheme="minorHAnsi"/>
              </w:rPr>
            </w:pPr>
            <w:r w:rsidRPr="00F36BFB">
              <w:rPr>
                <w:rFonts w:cstheme="minorHAnsi"/>
              </w:rPr>
              <w:t xml:space="preserve">Goal 1 of VR’s strategic plan focuses on ensuring customer success and satisfaction by improving business and support processes. All strategies are anticipated to increase opportunities for job seekers with disabilities, as well as increase VRs community presence and marketing. </w:t>
            </w:r>
          </w:p>
        </w:tc>
      </w:tr>
      <w:tr w:rsidR="006206D4" w:rsidRPr="006206D4" w14:paraId="312FA235" w14:textId="77777777" w:rsidTr="007A31C5">
        <w:trPr>
          <w:trHeight w:hRule="exact" w:val="1547"/>
        </w:trPr>
        <w:tc>
          <w:tcPr>
            <w:tcW w:w="3849" w:type="dxa"/>
            <w:tcBorders>
              <w:top w:val="single" w:sz="2" w:space="0" w:color="231F20"/>
              <w:left w:val="single" w:sz="2" w:space="0" w:color="231F20"/>
              <w:bottom w:val="single" w:sz="2" w:space="0" w:color="231F20"/>
              <w:right w:val="single" w:sz="2" w:space="0" w:color="231F20"/>
            </w:tcBorders>
          </w:tcPr>
          <w:p w14:paraId="557FAC8B" w14:textId="3E4C1889" w:rsidR="006206D4" w:rsidRPr="006206D4" w:rsidRDefault="006206D4" w:rsidP="00282376">
            <w:pPr>
              <w:widowControl w:val="0"/>
              <w:spacing w:before="43" w:after="0" w:line="240" w:lineRule="auto"/>
              <w:ind w:left="107"/>
              <w:rPr>
                <w:rFonts w:cstheme="minorHAnsi"/>
              </w:rPr>
            </w:pPr>
            <w:r w:rsidRPr="006206D4">
              <w:rPr>
                <w:rFonts w:cstheme="minorHAnsi"/>
                <w:color w:val="231F20"/>
                <w:w w:val="105"/>
              </w:rPr>
              <w:t>VR</w:t>
            </w:r>
            <w:r w:rsidRPr="006206D4">
              <w:rPr>
                <w:rFonts w:cstheme="minorHAnsi"/>
                <w:color w:val="231F20"/>
                <w:spacing w:val="15"/>
                <w:w w:val="105"/>
              </w:rPr>
              <w:t xml:space="preserve"> </w:t>
            </w:r>
            <w:r w:rsidRPr="006206D4">
              <w:rPr>
                <w:rFonts w:cstheme="minorHAnsi"/>
                <w:color w:val="231F20"/>
                <w:w w:val="105"/>
              </w:rPr>
              <w:t>needs</w:t>
            </w:r>
            <w:r w:rsidRPr="006206D4">
              <w:rPr>
                <w:rFonts w:cstheme="minorHAnsi"/>
                <w:color w:val="231F20"/>
                <w:spacing w:val="15"/>
                <w:w w:val="105"/>
              </w:rPr>
              <w:t xml:space="preserve"> </w:t>
            </w:r>
            <w:r w:rsidRPr="006206D4">
              <w:rPr>
                <w:rFonts w:cstheme="minorHAnsi"/>
                <w:color w:val="231F20"/>
                <w:w w:val="105"/>
              </w:rPr>
              <w:t>to</w:t>
            </w:r>
            <w:r w:rsidRPr="006206D4">
              <w:rPr>
                <w:rFonts w:cstheme="minorHAnsi"/>
                <w:color w:val="231F20"/>
                <w:spacing w:val="15"/>
                <w:w w:val="105"/>
              </w:rPr>
              <w:t xml:space="preserve"> </w:t>
            </w:r>
            <w:r w:rsidRPr="006206D4">
              <w:rPr>
                <w:rFonts w:cstheme="minorHAnsi"/>
                <w:color w:val="231F20"/>
                <w:w w:val="105"/>
              </w:rPr>
              <w:t>have</w:t>
            </w:r>
            <w:r w:rsidRPr="006206D4">
              <w:rPr>
                <w:rFonts w:cstheme="minorHAnsi"/>
                <w:color w:val="231F20"/>
                <w:spacing w:val="15"/>
                <w:w w:val="105"/>
              </w:rPr>
              <w:t xml:space="preserve"> </w:t>
            </w:r>
            <w:r w:rsidRPr="006206D4">
              <w:rPr>
                <w:rFonts w:cstheme="minorHAnsi"/>
                <w:color w:val="231F20"/>
                <w:w w:val="105"/>
              </w:rPr>
              <w:t>greater</w:t>
            </w:r>
            <w:r w:rsidRPr="006206D4">
              <w:rPr>
                <w:rFonts w:cstheme="minorHAnsi"/>
                <w:color w:val="231F20"/>
                <w:spacing w:val="15"/>
                <w:w w:val="105"/>
              </w:rPr>
              <w:t xml:space="preserve"> </w:t>
            </w:r>
            <w:r w:rsidRPr="006206D4">
              <w:rPr>
                <w:rFonts w:cstheme="minorHAnsi"/>
                <w:color w:val="231F20"/>
                <w:w w:val="105"/>
              </w:rPr>
              <w:t>community</w:t>
            </w:r>
            <w:r w:rsidRPr="006206D4">
              <w:rPr>
                <w:rFonts w:cstheme="minorHAnsi"/>
                <w:color w:val="231F20"/>
                <w:spacing w:val="-46"/>
                <w:w w:val="105"/>
              </w:rPr>
              <w:t xml:space="preserve"> </w:t>
            </w:r>
            <w:r w:rsidRPr="006206D4">
              <w:rPr>
                <w:rFonts w:cstheme="minorHAnsi"/>
                <w:color w:val="231F20"/>
                <w:w w:val="105"/>
              </w:rPr>
              <w:t>presence</w:t>
            </w:r>
            <w:r w:rsidR="00D5537E">
              <w:rPr>
                <w:rFonts w:cstheme="minorHAnsi"/>
                <w:color w:val="231F20"/>
                <w:w w:val="105"/>
              </w:rPr>
              <w:t xml:space="preserve"> and</w:t>
            </w:r>
            <w:r w:rsidRPr="006206D4">
              <w:rPr>
                <w:rFonts w:cstheme="minorHAnsi"/>
                <w:color w:val="231F20"/>
                <w:spacing w:val="19"/>
                <w:w w:val="105"/>
              </w:rPr>
              <w:t xml:space="preserve"> </w:t>
            </w:r>
            <w:r w:rsidRPr="006206D4">
              <w:rPr>
                <w:rFonts w:cstheme="minorHAnsi"/>
                <w:color w:val="231F20"/>
                <w:w w:val="105"/>
              </w:rPr>
              <w:t>increase</w:t>
            </w:r>
            <w:r w:rsidRPr="006206D4">
              <w:rPr>
                <w:rFonts w:cstheme="minorHAnsi"/>
                <w:color w:val="231F20"/>
                <w:spacing w:val="19"/>
                <w:w w:val="105"/>
              </w:rPr>
              <w:t xml:space="preserve"> </w:t>
            </w:r>
            <w:r w:rsidRPr="006206D4">
              <w:rPr>
                <w:rFonts w:cstheme="minorHAnsi"/>
                <w:color w:val="231F20"/>
                <w:w w:val="105"/>
              </w:rPr>
              <w:t>its</w:t>
            </w:r>
            <w:r w:rsidRPr="006206D4">
              <w:rPr>
                <w:rFonts w:cstheme="minorHAnsi"/>
                <w:color w:val="231F20"/>
                <w:spacing w:val="19"/>
                <w:w w:val="105"/>
              </w:rPr>
              <w:t xml:space="preserve"> </w:t>
            </w:r>
            <w:r w:rsidRPr="006206D4">
              <w:rPr>
                <w:rFonts w:cstheme="minorHAnsi"/>
                <w:color w:val="231F20"/>
                <w:w w:val="105"/>
              </w:rPr>
              <w:t>marketing</w:t>
            </w:r>
            <w:r w:rsidRPr="006206D4">
              <w:rPr>
                <w:rFonts w:cstheme="minorHAnsi"/>
                <w:color w:val="231F20"/>
                <w:spacing w:val="-35"/>
                <w:w w:val="105"/>
              </w:rPr>
              <w:t xml:space="preserve"> </w:t>
            </w:r>
            <w:r w:rsidRPr="006206D4">
              <w:rPr>
                <w:rFonts w:cstheme="minorHAnsi"/>
                <w:color w:val="231F20"/>
                <w:w w:val="105"/>
              </w:rPr>
              <w:t>and outreach to employers and</w:t>
            </w:r>
            <w:r w:rsidRPr="006206D4">
              <w:rPr>
                <w:rFonts w:cstheme="minorHAnsi"/>
                <w:color w:val="231F20"/>
                <w:spacing w:val="7"/>
                <w:w w:val="105"/>
              </w:rPr>
              <w:t xml:space="preserve"> </w:t>
            </w:r>
            <w:r w:rsidRPr="006206D4">
              <w:rPr>
                <w:rFonts w:cstheme="minorHAnsi"/>
                <w:color w:val="231F20"/>
                <w:w w:val="105"/>
              </w:rPr>
              <w:t>businesses.</w:t>
            </w:r>
          </w:p>
        </w:tc>
        <w:tc>
          <w:tcPr>
            <w:tcW w:w="6301" w:type="dxa"/>
            <w:tcBorders>
              <w:left w:val="single" w:sz="2" w:space="0" w:color="231F20"/>
              <w:right w:val="single" w:sz="2" w:space="0" w:color="231F20"/>
            </w:tcBorders>
          </w:tcPr>
          <w:p w14:paraId="779218D5" w14:textId="77777777" w:rsidR="006206D4" w:rsidRDefault="00F36BFB" w:rsidP="00282376">
            <w:pPr>
              <w:widowControl w:val="0"/>
              <w:spacing w:after="0" w:line="240" w:lineRule="auto"/>
              <w:ind w:left="107"/>
              <w:rPr>
                <w:color w:val="231F20"/>
                <w:w w:val="105"/>
              </w:rPr>
            </w:pPr>
            <w:r w:rsidRPr="007A31C5">
              <w:rPr>
                <w:color w:val="231F20"/>
                <w:w w:val="105"/>
              </w:rPr>
              <w:t>Strategies</w:t>
            </w:r>
            <w:r w:rsidRPr="007A31C5">
              <w:rPr>
                <w:color w:val="231F20"/>
                <w:spacing w:val="-14"/>
                <w:w w:val="105"/>
              </w:rPr>
              <w:t xml:space="preserve"> </w:t>
            </w:r>
            <w:r w:rsidRPr="007A31C5">
              <w:rPr>
                <w:color w:val="231F20"/>
                <w:w w:val="105"/>
              </w:rPr>
              <w:t>within that goal include the</w:t>
            </w:r>
            <w:r w:rsidRPr="007A31C5">
              <w:rPr>
                <w:color w:val="231F20"/>
                <w:spacing w:val="10"/>
                <w:w w:val="105"/>
              </w:rPr>
              <w:t xml:space="preserve"> </w:t>
            </w:r>
            <w:r w:rsidRPr="007A31C5">
              <w:rPr>
                <w:color w:val="231F20"/>
                <w:w w:val="105"/>
              </w:rPr>
              <w:t>following.</w:t>
            </w:r>
          </w:p>
          <w:p w14:paraId="21E0B843" w14:textId="77777777" w:rsidR="00F36BFB" w:rsidRPr="00F36BFB" w:rsidRDefault="00F36BFB" w:rsidP="00F36BFB">
            <w:pPr>
              <w:pStyle w:val="ListParagraph"/>
              <w:widowControl w:val="0"/>
              <w:numPr>
                <w:ilvl w:val="0"/>
                <w:numId w:val="117"/>
              </w:numPr>
              <w:spacing w:after="0" w:line="240" w:lineRule="auto"/>
              <w:rPr>
                <w:rFonts w:cstheme="minorHAnsi"/>
              </w:rPr>
            </w:pPr>
            <w:r w:rsidRPr="007A31C5">
              <w:rPr>
                <w:color w:val="231F20"/>
                <w:w w:val="105"/>
              </w:rPr>
              <w:t>Develop</w:t>
            </w:r>
            <w:r w:rsidRPr="007A31C5">
              <w:rPr>
                <w:color w:val="231F20"/>
                <w:spacing w:val="18"/>
                <w:w w:val="105"/>
              </w:rPr>
              <w:t xml:space="preserve"> </w:t>
            </w:r>
            <w:r w:rsidRPr="007A31C5">
              <w:rPr>
                <w:color w:val="231F20"/>
                <w:w w:val="105"/>
              </w:rPr>
              <w:t>and</w:t>
            </w:r>
            <w:r w:rsidRPr="007A31C5">
              <w:rPr>
                <w:color w:val="231F20"/>
                <w:spacing w:val="18"/>
                <w:w w:val="105"/>
              </w:rPr>
              <w:t xml:space="preserve"> </w:t>
            </w:r>
            <w:r w:rsidRPr="007A31C5">
              <w:rPr>
                <w:color w:val="231F20"/>
                <w:w w:val="105"/>
              </w:rPr>
              <w:t>implement</w:t>
            </w:r>
            <w:r w:rsidRPr="007A31C5">
              <w:rPr>
                <w:color w:val="231F20"/>
                <w:spacing w:val="18"/>
                <w:w w:val="105"/>
              </w:rPr>
              <w:t xml:space="preserve"> </w:t>
            </w:r>
            <w:r w:rsidRPr="007A31C5">
              <w:rPr>
                <w:color w:val="231F20"/>
                <w:w w:val="105"/>
              </w:rPr>
              <w:t>all</w:t>
            </w:r>
            <w:r w:rsidRPr="007A31C5">
              <w:rPr>
                <w:color w:val="231F20"/>
                <w:spacing w:val="18"/>
                <w:w w:val="105"/>
              </w:rPr>
              <w:t xml:space="preserve"> </w:t>
            </w:r>
            <w:r w:rsidRPr="007A31C5">
              <w:rPr>
                <w:color w:val="231F20"/>
                <w:w w:val="105"/>
              </w:rPr>
              <w:t>components</w:t>
            </w:r>
            <w:r w:rsidRPr="007A31C5">
              <w:rPr>
                <w:color w:val="231F20"/>
                <w:spacing w:val="18"/>
                <w:w w:val="105"/>
              </w:rPr>
              <w:t xml:space="preserve"> </w:t>
            </w:r>
            <w:r w:rsidRPr="007A31C5">
              <w:rPr>
                <w:color w:val="231F20"/>
                <w:w w:val="105"/>
              </w:rPr>
              <w:t>of</w:t>
            </w:r>
            <w:r w:rsidRPr="007A31C5">
              <w:rPr>
                <w:color w:val="231F20"/>
                <w:spacing w:val="18"/>
                <w:w w:val="105"/>
              </w:rPr>
              <w:t xml:space="preserve"> </w:t>
            </w:r>
            <w:r w:rsidRPr="007A31C5">
              <w:rPr>
                <w:color w:val="231F20"/>
                <w:w w:val="105"/>
              </w:rPr>
              <w:t>the</w:t>
            </w:r>
            <w:r w:rsidRPr="007A31C5">
              <w:rPr>
                <w:color w:val="231F20"/>
                <w:spacing w:val="18"/>
                <w:w w:val="105"/>
              </w:rPr>
              <w:t xml:space="preserve"> </w:t>
            </w:r>
            <w:r w:rsidRPr="007A31C5">
              <w:rPr>
                <w:color w:val="231F20"/>
                <w:w w:val="105"/>
              </w:rPr>
              <w:t>VR</w:t>
            </w:r>
            <w:r w:rsidRPr="007A31C5">
              <w:rPr>
                <w:color w:val="231F20"/>
                <w:spacing w:val="18"/>
                <w:w w:val="105"/>
              </w:rPr>
              <w:t xml:space="preserve"> </w:t>
            </w:r>
            <w:r w:rsidRPr="007A31C5">
              <w:rPr>
                <w:color w:val="231F20"/>
                <w:w w:val="105"/>
              </w:rPr>
              <w:t>Business</w:t>
            </w:r>
            <w:r w:rsidRPr="007A31C5">
              <w:rPr>
                <w:color w:val="231F20"/>
                <w:spacing w:val="-45"/>
                <w:w w:val="105"/>
              </w:rPr>
              <w:t xml:space="preserve"> </w:t>
            </w:r>
            <w:r w:rsidRPr="007A31C5">
              <w:rPr>
                <w:color w:val="231F20"/>
                <w:w w:val="105"/>
              </w:rPr>
              <w:t>Relations</w:t>
            </w:r>
            <w:r w:rsidRPr="007A31C5">
              <w:rPr>
                <w:color w:val="231F20"/>
                <w:spacing w:val="3"/>
                <w:w w:val="105"/>
              </w:rPr>
              <w:t xml:space="preserve"> </w:t>
            </w:r>
            <w:r w:rsidRPr="007A31C5">
              <w:rPr>
                <w:color w:val="231F20"/>
                <w:w w:val="105"/>
              </w:rPr>
              <w:t>Program.</w:t>
            </w:r>
          </w:p>
          <w:p w14:paraId="1E0B43AA" w14:textId="1BA11FA7" w:rsidR="00F36BFB" w:rsidRPr="006206D4" w:rsidRDefault="00F36BFB" w:rsidP="00AC0F0A">
            <w:pPr>
              <w:pStyle w:val="ListParagraph"/>
              <w:widowControl w:val="0"/>
              <w:numPr>
                <w:ilvl w:val="0"/>
                <w:numId w:val="117"/>
              </w:numPr>
              <w:spacing w:after="0" w:line="240" w:lineRule="auto"/>
              <w:rPr>
                <w:rFonts w:cstheme="minorHAnsi"/>
              </w:rPr>
            </w:pPr>
            <w:r w:rsidRPr="007A31C5">
              <w:rPr>
                <w:color w:val="231F20"/>
                <w:w w:val="105"/>
              </w:rPr>
              <w:t>Redesign and implement pre-employment services for</w:t>
            </w:r>
            <w:r w:rsidRPr="007A31C5">
              <w:rPr>
                <w:color w:val="231F20"/>
                <w:spacing w:val="27"/>
                <w:w w:val="105"/>
              </w:rPr>
              <w:t xml:space="preserve"> </w:t>
            </w:r>
            <w:r w:rsidRPr="007A31C5">
              <w:rPr>
                <w:color w:val="231F20"/>
                <w:w w:val="105"/>
              </w:rPr>
              <w:t>transition</w:t>
            </w:r>
            <w:r w:rsidR="00AC0F0A">
              <w:rPr>
                <w:color w:val="231F20"/>
                <w:w w:val="105"/>
              </w:rPr>
              <w:t xml:space="preserve"> </w:t>
            </w:r>
            <w:r w:rsidRPr="007A31C5">
              <w:rPr>
                <w:color w:val="231F20"/>
                <w:w w:val="105"/>
              </w:rPr>
              <w:t>age</w:t>
            </w:r>
            <w:r w:rsidRPr="007A31C5">
              <w:rPr>
                <w:color w:val="231F20"/>
                <w:spacing w:val="4"/>
                <w:w w:val="105"/>
              </w:rPr>
              <w:t xml:space="preserve"> </w:t>
            </w:r>
            <w:r w:rsidRPr="007A31C5">
              <w:rPr>
                <w:color w:val="231F20"/>
                <w:w w:val="105"/>
              </w:rPr>
              <w:t>customers.</w:t>
            </w:r>
          </w:p>
        </w:tc>
      </w:tr>
      <w:tr w:rsidR="006206D4" w:rsidRPr="006206D4" w14:paraId="601B01E0" w14:textId="77777777" w:rsidTr="007A31C5">
        <w:trPr>
          <w:trHeight w:hRule="exact" w:val="1799"/>
        </w:trPr>
        <w:tc>
          <w:tcPr>
            <w:tcW w:w="3849" w:type="dxa"/>
            <w:tcBorders>
              <w:top w:val="single" w:sz="2" w:space="0" w:color="231F20"/>
              <w:left w:val="single" w:sz="2" w:space="0" w:color="231F20"/>
              <w:bottom w:val="single" w:sz="2" w:space="0" w:color="231F20"/>
              <w:right w:val="single" w:sz="2" w:space="0" w:color="231F20"/>
            </w:tcBorders>
            <w:shd w:val="clear" w:color="auto" w:fill="E6E7E8"/>
          </w:tcPr>
          <w:p w14:paraId="0B6E8FBE" w14:textId="77777777" w:rsidR="006206D4" w:rsidRPr="006206D4" w:rsidRDefault="006206D4" w:rsidP="00282376">
            <w:pPr>
              <w:widowControl w:val="0"/>
              <w:spacing w:before="43" w:after="0" w:line="240" w:lineRule="auto"/>
              <w:ind w:left="107"/>
              <w:rPr>
                <w:rFonts w:cstheme="minorHAnsi"/>
              </w:rPr>
            </w:pPr>
            <w:r w:rsidRPr="006206D4">
              <w:rPr>
                <w:rFonts w:cstheme="minorHAnsi"/>
                <w:color w:val="231F20"/>
                <w:w w:val="105"/>
              </w:rPr>
              <w:t>VR</w:t>
            </w:r>
            <w:r w:rsidRPr="006206D4">
              <w:rPr>
                <w:rFonts w:cstheme="minorHAnsi"/>
                <w:color w:val="231F20"/>
                <w:spacing w:val="9"/>
                <w:w w:val="105"/>
              </w:rPr>
              <w:t xml:space="preserve"> </w:t>
            </w:r>
            <w:r w:rsidRPr="006206D4">
              <w:rPr>
                <w:rFonts w:cstheme="minorHAnsi"/>
                <w:color w:val="231F20"/>
                <w:w w:val="105"/>
              </w:rPr>
              <w:t>needs</w:t>
            </w:r>
            <w:r w:rsidRPr="006206D4">
              <w:rPr>
                <w:rFonts w:cstheme="minorHAnsi"/>
                <w:color w:val="231F20"/>
                <w:spacing w:val="9"/>
                <w:w w:val="105"/>
              </w:rPr>
              <w:t xml:space="preserve"> </w:t>
            </w:r>
            <w:r w:rsidRPr="006206D4">
              <w:rPr>
                <w:rFonts w:cstheme="minorHAnsi"/>
                <w:color w:val="231F20"/>
                <w:w w:val="105"/>
              </w:rPr>
              <w:t>to</w:t>
            </w:r>
            <w:r w:rsidRPr="006206D4">
              <w:rPr>
                <w:rFonts w:cstheme="minorHAnsi"/>
                <w:color w:val="231F20"/>
                <w:spacing w:val="9"/>
                <w:w w:val="105"/>
              </w:rPr>
              <w:t xml:space="preserve"> </w:t>
            </w:r>
            <w:r w:rsidRPr="006206D4">
              <w:rPr>
                <w:rFonts w:cstheme="minorHAnsi"/>
                <w:color w:val="231F20"/>
                <w:w w:val="105"/>
              </w:rPr>
              <w:t>better</w:t>
            </w:r>
            <w:r w:rsidRPr="006206D4">
              <w:rPr>
                <w:rFonts w:cstheme="minorHAnsi"/>
                <w:color w:val="231F20"/>
                <w:spacing w:val="9"/>
                <w:w w:val="105"/>
              </w:rPr>
              <w:t xml:space="preserve"> </w:t>
            </w:r>
            <w:r w:rsidRPr="006206D4">
              <w:rPr>
                <w:rFonts w:cstheme="minorHAnsi"/>
                <w:color w:val="231F20"/>
                <w:w w:val="105"/>
              </w:rPr>
              <w:t>match</w:t>
            </w:r>
            <w:r w:rsidRPr="006206D4">
              <w:rPr>
                <w:rFonts w:cstheme="minorHAnsi"/>
                <w:color w:val="231F20"/>
                <w:spacing w:val="9"/>
                <w:w w:val="105"/>
              </w:rPr>
              <w:t xml:space="preserve"> </w:t>
            </w:r>
            <w:r w:rsidRPr="006206D4">
              <w:rPr>
                <w:rFonts w:cstheme="minorHAnsi"/>
                <w:color w:val="231F20"/>
                <w:w w:val="105"/>
              </w:rPr>
              <w:t>customer</w:t>
            </w:r>
            <w:r w:rsidRPr="006206D4">
              <w:rPr>
                <w:rFonts w:cstheme="minorHAnsi"/>
                <w:color w:val="231F20"/>
                <w:spacing w:val="-39"/>
                <w:w w:val="105"/>
              </w:rPr>
              <w:t xml:space="preserve"> </w:t>
            </w:r>
            <w:r w:rsidRPr="006206D4">
              <w:rPr>
                <w:rFonts w:cstheme="minorHAnsi"/>
                <w:color w:val="231F20"/>
                <w:w w:val="105"/>
              </w:rPr>
              <w:t>skills</w:t>
            </w:r>
            <w:r w:rsidRPr="006206D4">
              <w:rPr>
                <w:rFonts w:cstheme="minorHAnsi"/>
                <w:color w:val="231F20"/>
                <w:spacing w:val="15"/>
                <w:w w:val="105"/>
              </w:rPr>
              <w:t xml:space="preserve"> </w:t>
            </w:r>
            <w:r w:rsidRPr="006206D4">
              <w:rPr>
                <w:rFonts w:cstheme="minorHAnsi"/>
                <w:color w:val="231F20"/>
                <w:w w:val="105"/>
              </w:rPr>
              <w:t>to</w:t>
            </w:r>
            <w:r w:rsidRPr="006206D4">
              <w:rPr>
                <w:rFonts w:cstheme="minorHAnsi"/>
                <w:color w:val="231F20"/>
                <w:spacing w:val="15"/>
                <w:w w:val="105"/>
              </w:rPr>
              <w:t xml:space="preserve"> </w:t>
            </w:r>
            <w:r w:rsidRPr="006206D4">
              <w:rPr>
                <w:rFonts w:cstheme="minorHAnsi"/>
                <w:color w:val="231F20"/>
                <w:w w:val="105"/>
              </w:rPr>
              <w:t>jobs</w:t>
            </w:r>
            <w:r w:rsidRPr="006206D4">
              <w:rPr>
                <w:rFonts w:cstheme="minorHAnsi"/>
                <w:color w:val="231F20"/>
                <w:spacing w:val="15"/>
                <w:w w:val="105"/>
              </w:rPr>
              <w:t xml:space="preserve"> </w:t>
            </w:r>
            <w:r w:rsidRPr="006206D4">
              <w:rPr>
                <w:rFonts w:cstheme="minorHAnsi"/>
                <w:color w:val="231F20"/>
                <w:w w:val="105"/>
              </w:rPr>
              <w:t>available.</w:t>
            </w:r>
            <w:r w:rsidRPr="006206D4">
              <w:rPr>
                <w:rFonts w:cstheme="minorHAnsi"/>
                <w:color w:val="231F20"/>
                <w:spacing w:val="15"/>
                <w:w w:val="105"/>
              </w:rPr>
              <w:t xml:space="preserve"> </w:t>
            </w:r>
            <w:r w:rsidRPr="006206D4">
              <w:rPr>
                <w:rFonts w:cstheme="minorHAnsi"/>
                <w:color w:val="231F20"/>
                <w:w w:val="105"/>
              </w:rPr>
              <w:t>This</w:t>
            </w:r>
            <w:r w:rsidRPr="006206D4">
              <w:rPr>
                <w:rFonts w:cstheme="minorHAnsi"/>
                <w:color w:val="231F20"/>
                <w:spacing w:val="15"/>
                <w:w w:val="105"/>
              </w:rPr>
              <w:t xml:space="preserve"> </w:t>
            </w:r>
            <w:r w:rsidRPr="006206D4">
              <w:rPr>
                <w:rFonts w:cstheme="minorHAnsi"/>
                <w:color w:val="231F20"/>
                <w:w w:val="105"/>
              </w:rPr>
              <w:t>requires</w:t>
            </w:r>
            <w:r w:rsidRPr="006206D4">
              <w:rPr>
                <w:rFonts w:cstheme="minorHAnsi"/>
                <w:color w:val="231F20"/>
                <w:spacing w:val="-35"/>
                <w:w w:val="105"/>
              </w:rPr>
              <w:t xml:space="preserve"> </w:t>
            </w:r>
            <w:r w:rsidRPr="006206D4">
              <w:rPr>
                <w:rFonts w:cstheme="minorHAnsi"/>
                <w:color w:val="231F20"/>
                <w:w w:val="105"/>
              </w:rPr>
              <w:t>first knowing what jobs are</w:t>
            </w:r>
            <w:r w:rsidRPr="006206D4">
              <w:rPr>
                <w:rFonts w:cstheme="minorHAnsi"/>
                <w:color w:val="231F20"/>
                <w:spacing w:val="2"/>
                <w:w w:val="105"/>
              </w:rPr>
              <w:t xml:space="preserve"> </w:t>
            </w:r>
            <w:r w:rsidRPr="006206D4">
              <w:rPr>
                <w:rFonts w:cstheme="minorHAnsi"/>
                <w:color w:val="231F20"/>
                <w:w w:val="105"/>
              </w:rPr>
              <w:t>available</w:t>
            </w:r>
            <w:r w:rsidRPr="006206D4">
              <w:rPr>
                <w:rFonts w:cstheme="minorHAnsi"/>
                <w:color w:val="231F20"/>
                <w:w w:val="107"/>
              </w:rPr>
              <w:t xml:space="preserve"> </w:t>
            </w:r>
            <w:r w:rsidRPr="006206D4">
              <w:rPr>
                <w:rFonts w:cstheme="minorHAnsi"/>
                <w:color w:val="231F20"/>
                <w:w w:val="105"/>
              </w:rPr>
              <w:t>and understanding the needs of</w:t>
            </w:r>
            <w:r w:rsidRPr="006206D4">
              <w:rPr>
                <w:rFonts w:cstheme="minorHAnsi"/>
                <w:color w:val="231F20"/>
                <w:spacing w:val="28"/>
                <w:w w:val="105"/>
              </w:rPr>
              <w:t xml:space="preserve"> </w:t>
            </w:r>
            <w:r w:rsidRPr="006206D4">
              <w:rPr>
                <w:rFonts w:cstheme="minorHAnsi"/>
                <w:color w:val="231F20"/>
                <w:w w:val="105"/>
              </w:rPr>
              <w:t>employers.</w:t>
            </w:r>
          </w:p>
        </w:tc>
        <w:tc>
          <w:tcPr>
            <w:tcW w:w="6301" w:type="dxa"/>
            <w:tcBorders>
              <w:left w:val="single" w:sz="2" w:space="0" w:color="231F20"/>
              <w:right w:val="single" w:sz="2" w:space="0" w:color="231F20"/>
            </w:tcBorders>
          </w:tcPr>
          <w:p w14:paraId="777E699B" w14:textId="77777777" w:rsidR="006206D4" w:rsidRDefault="007A31C5" w:rsidP="007A31C5">
            <w:pPr>
              <w:pStyle w:val="ListParagraph"/>
              <w:widowControl w:val="0"/>
              <w:numPr>
                <w:ilvl w:val="0"/>
                <w:numId w:val="117"/>
              </w:numPr>
              <w:spacing w:after="0" w:line="240" w:lineRule="auto"/>
              <w:rPr>
                <w:color w:val="231F20"/>
                <w:w w:val="105"/>
              </w:rPr>
            </w:pPr>
            <w:r w:rsidRPr="007A31C5">
              <w:rPr>
                <w:color w:val="231F20"/>
                <w:w w:val="105"/>
              </w:rPr>
              <w:t>Design and implement a program about service alternatives for customers to use in making an informed choice prior to entering subminimum wage employment.</w:t>
            </w:r>
          </w:p>
          <w:p w14:paraId="2B8D2040" w14:textId="3CFB0A8D" w:rsidR="007A31C5" w:rsidRPr="007A31C5" w:rsidRDefault="007A31C5" w:rsidP="007A31C5">
            <w:pPr>
              <w:pStyle w:val="ListParagraph"/>
              <w:widowControl w:val="0"/>
              <w:numPr>
                <w:ilvl w:val="0"/>
                <w:numId w:val="117"/>
              </w:numPr>
              <w:spacing w:after="0" w:line="240" w:lineRule="auto"/>
              <w:rPr>
                <w:color w:val="231F20"/>
                <w:w w:val="105"/>
              </w:rPr>
            </w:pPr>
            <w:r w:rsidRPr="00577DF8">
              <w:rPr>
                <w:color w:val="231F20"/>
                <w:w w:val="105"/>
              </w:rPr>
              <w:t>Design and implement enhancements to the Vendor Profile</w:t>
            </w:r>
            <w:r w:rsidRPr="00577DF8">
              <w:rPr>
                <w:color w:val="231F20"/>
                <w:spacing w:val="2"/>
                <w:w w:val="105"/>
              </w:rPr>
              <w:t xml:space="preserve"> </w:t>
            </w:r>
            <w:r w:rsidRPr="00577DF8">
              <w:rPr>
                <w:color w:val="231F20"/>
                <w:w w:val="105"/>
              </w:rPr>
              <w:t>document</w:t>
            </w:r>
            <w:r w:rsidRPr="00577DF8">
              <w:rPr>
                <w:color w:val="231F20"/>
                <w:spacing w:val="16"/>
                <w:w w:val="105"/>
              </w:rPr>
              <w:t xml:space="preserve"> </w:t>
            </w:r>
            <w:r w:rsidRPr="00577DF8">
              <w:rPr>
                <w:color w:val="231F20"/>
                <w:w w:val="105"/>
              </w:rPr>
              <w:t>for</w:t>
            </w:r>
            <w:r w:rsidRPr="00577DF8">
              <w:rPr>
                <w:color w:val="231F20"/>
                <w:spacing w:val="16"/>
                <w:w w:val="105"/>
              </w:rPr>
              <w:t xml:space="preserve"> </w:t>
            </w:r>
            <w:r w:rsidRPr="00577DF8">
              <w:rPr>
                <w:color w:val="231F20"/>
                <w:w w:val="105"/>
              </w:rPr>
              <w:t>customer</w:t>
            </w:r>
            <w:r w:rsidRPr="00577DF8">
              <w:rPr>
                <w:color w:val="231F20"/>
                <w:spacing w:val="16"/>
                <w:w w:val="105"/>
              </w:rPr>
              <w:t xml:space="preserve"> </w:t>
            </w:r>
            <w:r w:rsidRPr="00577DF8">
              <w:rPr>
                <w:color w:val="231F20"/>
                <w:w w:val="105"/>
              </w:rPr>
              <w:t>use</w:t>
            </w:r>
            <w:r w:rsidRPr="00577DF8">
              <w:rPr>
                <w:color w:val="231F20"/>
                <w:spacing w:val="16"/>
                <w:w w:val="105"/>
              </w:rPr>
              <w:t xml:space="preserve"> </w:t>
            </w:r>
            <w:r w:rsidRPr="00577DF8">
              <w:rPr>
                <w:color w:val="231F20"/>
                <w:w w:val="105"/>
              </w:rPr>
              <w:t>in</w:t>
            </w:r>
            <w:r w:rsidRPr="00577DF8">
              <w:rPr>
                <w:color w:val="231F20"/>
                <w:spacing w:val="16"/>
                <w:w w:val="105"/>
              </w:rPr>
              <w:t xml:space="preserve"> </w:t>
            </w:r>
            <w:r w:rsidRPr="00577DF8">
              <w:rPr>
                <w:color w:val="231F20"/>
                <w:w w:val="105"/>
              </w:rPr>
              <w:t>making</w:t>
            </w:r>
            <w:r w:rsidRPr="00577DF8">
              <w:rPr>
                <w:color w:val="231F20"/>
                <w:spacing w:val="16"/>
                <w:w w:val="105"/>
              </w:rPr>
              <w:t xml:space="preserve"> </w:t>
            </w:r>
            <w:r w:rsidRPr="00577DF8">
              <w:rPr>
                <w:color w:val="231F20"/>
                <w:w w:val="105"/>
              </w:rPr>
              <w:t>informed</w:t>
            </w:r>
            <w:r w:rsidRPr="00577DF8">
              <w:rPr>
                <w:color w:val="231F20"/>
                <w:spacing w:val="16"/>
                <w:w w:val="105"/>
              </w:rPr>
              <w:t xml:space="preserve"> </w:t>
            </w:r>
            <w:r w:rsidRPr="00577DF8">
              <w:rPr>
                <w:color w:val="231F20"/>
                <w:w w:val="105"/>
              </w:rPr>
              <w:t>choices</w:t>
            </w:r>
            <w:r w:rsidRPr="00577DF8">
              <w:rPr>
                <w:color w:val="231F20"/>
                <w:spacing w:val="16"/>
                <w:w w:val="105"/>
              </w:rPr>
              <w:t xml:space="preserve"> </w:t>
            </w:r>
            <w:r w:rsidRPr="00577DF8">
              <w:rPr>
                <w:color w:val="231F20"/>
                <w:w w:val="105"/>
              </w:rPr>
              <w:t>regarding</w:t>
            </w:r>
            <w:r w:rsidRPr="00577DF8">
              <w:rPr>
                <w:color w:val="231F20"/>
                <w:spacing w:val="-45"/>
                <w:w w:val="105"/>
              </w:rPr>
              <w:t xml:space="preserve"> </w:t>
            </w:r>
            <w:r w:rsidRPr="00577DF8">
              <w:rPr>
                <w:color w:val="231F20"/>
                <w:w w:val="105"/>
              </w:rPr>
              <w:t>employment</w:t>
            </w:r>
            <w:r w:rsidRPr="00577DF8">
              <w:rPr>
                <w:color w:val="231F20"/>
                <w:spacing w:val="3"/>
                <w:w w:val="105"/>
              </w:rPr>
              <w:t xml:space="preserve"> </w:t>
            </w:r>
            <w:r w:rsidRPr="00577DF8">
              <w:rPr>
                <w:color w:val="231F20"/>
                <w:w w:val="105"/>
              </w:rPr>
              <w:t>providers.</w:t>
            </w:r>
          </w:p>
        </w:tc>
      </w:tr>
      <w:tr w:rsidR="006206D4" w:rsidRPr="006206D4" w14:paraId="687FEFE3" w14:textId="77777777" w:rsidTr="007A31C5">
        <w:trPr>
          <w:trHeight w:hRule="exact" w:val="935"/>
        </w:trPr>
        <w:tc>
          <w:tcPr>
            <w:tcW w:w="3849" w:type="dxa"/>
            <w:tcBorders>
              <w:top w:val="single" w:sz="2" w:space="0" w:color="231F20"/>
              <w:left w:val="single" w:sz="2" w:space="0" w:color="231F20"/>
              <w:bottom w:val="single" w:sz="2" w:space="0" w:color="231F20"/>
              <w:right w:val="single" w:sz="2" w:space="0" w:color="231F20"/>
            </w:tcBorders>
          </w:tcPr>
          <w:p w14:paraId="0723EB49" w14:textId="77777777" w:rsidR="006206D4" w:rsidRPr="006206D4" w:rsidRDefault="006206D4" w:rsidP="00282376">
            <w:pPr>
              <w:widowControl w:val="0"/>
              <w:spacing w:before="43" w:after="0" w:line="240" w:lineRule="auto"/>
              <w:ind w:left="107"/>
              <w:rPr>
                <w:rFonts w:cstheme="minorHAnsi"/>
              </w:rPr>
            </w:pPr>
            <w:r w:rsidRPr="006206D4">
              <w:rPr>
                <w:rFonts w:cstheme="minorHAnsi"/>
                <w:color w:val="231F20"/>
                <w:w w:val="105"/>
              </w:rPr>
              <w:t>VR needs to support better</w:t>
            </w:r>
            <w:r w:rsidRPr="006206D4">
              <w:rPr>
                <w:rFonts w:cstheme="minorHAnsi"/>
                <w:color w:val="231F20"/>
                <w:spacing w:val="12"/>
                <w:w w:val="105"/>
              </w:rPr>
              <w:t xml:space="preserve"> </w:t>
            </w:r>
            <w:r w:rsidRPr="006206D4">
              <w:rPr>
                <w:rFonts w:cstheme="minorHAnsi"/>
                <w:color w:val="231F20"/>
                <w:w w:val="105"/>
              </w:rPr>
              <w:t>alignment between job coaches and employers.</w:t>
            </w:r>
          </w:p>
        </w:tc>
        <w:tc>
          <w:tcPr>
            <w:tcW w:w="6301" w:type="dxa"/>
            <w:tcBorders>
              <w:left w:val="single" w:sz="2" w:space="0" w:color="231F20"/>
              <w:bottom w:val="single" w:sz="2" w:space="0" w:color="231F20"/>
              <w:right w:val="single" w:sz="2" w:space="0" w:color="231F20"/>
            </w:tcBorders>
          </w:tcPr>
          <w:p w14:paraId="0805FB22" w14:textId="77777777" w:rsidR="006206D4" w:rsidRPr="006206D4" w:rsidRDefault="006206D4" w:rsidP="00282376">
            <w:pPr>
              <w:widowControl w:val="0"/>
              <w:spacing w:after="0" w:line="240" w:lineRule="auto"/>
              <w:ind w:left="107"/>
              <w:rPr>
                <w:rFonts w:cstheme="minorHAnsi"/>
              </w:rPr>
            </w:pPr>
          </w:p>
        </w:tc>
      </w:tr>
      <w:tr w:rsidR="006206D4" w:rsidRPr="006206D4" w14:paraId="27D90423" w14:textId="77777777" w:rsidTr="007A31C5">
        <w:trPr>
          <w:trHeight w:hRule="exact" w:val="1472"/>
        </w:trPr>
        <w:tc>
          <w:tcPr>
            <w:tcW w:w="3849" w:type="dxa"/>
            <w:tcBorders>
              <w:top w:val="single" w:sz="2" w:space="0" w:color="231F20"/>
              <w:left w:val="single" w:sz="2" w:space="0" w:color="231F20"/>
              <w:bottom w:val="single" w:sz="2" w:space="0" w:color="231F20"/>
              <w:right w:val="single" w:sz="2" w:space="0" w:color="231F20"/>
            </w:tcBorders>
            <w:shd w:val="clear" w:color="auto" w:fill="E6E7E8"/>
          </w:tcPr>
          <w:p w14:paraId="0F22BB93" w14:textId="77777777" w:rsidR="006206D4" w:rsidRPr="006206D4" w:rsidRDefault="006206D4" w:rsidP="00282376">
            <w:pPr>
              <w:widowControl w:val="0"/>
              <w:spacing w:before="43" w:after="0" w:line="240" w:lineRule="auto"/>
              <w:ind w:left="107"/>
              <w:rPr>
                <w:rFonts w:cstheme="minorHAnsi"/>
              </w:rPr>
            </w:pPr>
            <w:r w:rsidRPr="006206D4">
              <w:rPr>
                <w:rFonts w:cstheme="minorHAnsi"/>
                <w:color w:val="231F20"/>
                <w:w w:val="105"/>
              </w:rPr>
              <w:t>VR’s current benchmark payment</w:t>
            </w:r>
            <w:r w:rsidRPr="006206D4">
              <w:rPr>
                <w:rFonts w:cstheme="minorHAnsi"/>
                <w:color w:val="231F20"/>
                <w:spacing w:val="-4"/>
                <w:w w:val="105"/>
              </w:rPr>
              <w:t xml:space="preserve"> </w:t>
            </w:r>
            <w:r w:rsidRPr="006206D4">
              <w:rPr>
                <w:rFonts w:cstheme="minorHAnsi"/>
                <w:color w:val="231F20"/>
                <w:w w:val="105"/>
              </w:rPr>
              <w:t>system disincentivizes working with</w:t>
            </w:r>
            <w:r w:rsidRPr="006206D4">
              <w:rPr>
                <w:rFonts w:cstheme="minorHAnsi"/>
                <w:color w:val="231F20"/>
                <w:spacing w:val="17"/>
                <w:w w:val="105"/>
              </w:rPr>
              <w:t xml:space="preserve"> </w:t>
            </w:r>
            <w:r w:rsidRPr="006206D4">
              <w:rPr>
                <w:rFonts w:cstheme="minorHAnsi"/>
                <w:color w:val="231F20"/>
                <w:w w:val="105"/>
              </w:rPr>
              <w:t>customers who have more difficulty</w:t>
            </w:r>
            <w:r w:rsidRPr="006206D4">
              <w:rPr>
                <w:rFonts w:cstheme="minorHAnsi"/>
                <w:color w:val="231F20"/>
                <w:spacing w:val="30"/>
                <w:w w:val="105"/>
              </w:rPr>
              <w:t xml:space="preserve"> </w:t>
            </w:r>
            <w:r w:rsidRPr="006206D4">
              <w:rPr>
                <w:rFonts w:cstheme="minorHAnsi"/>
                <w:color w:val="231F20"/>
                <w:w w:val="105"/>
              </w:rPr>
              <w:t>or</w:t>
            </w:r>
            <w:r w:rsidRPr="006206D4">
              <w:rPr>
                <w:rFonts w:cstheme="minorHAnsi"/>
                <w:color w:val="231F20"/>
                <w:w w:val="102"/>
              </w:rPr>
              <w:t xml:space="preserve"> </w:t>
            </w:r>
            <w:r w:rsidRPr="006206D4">
              <w:rPr>
                <w:rFonts w:cstheme="minorHAnsi"/>
                <w:color w:val="231F20"/>
                <w:w w:val="105"/>
              </w:rPr>
              <w:t>require more time, finding a</w:t>
            </w:r>
            <w:r w:rsidRPr="006206D4">
              <w:rPr>
                <w:rFonts w:cstheme="minorHAnsi"/>
                <w:color w:val="231F20"/>
                <w:spacing w:val="4"/>
                <w:w w:val="105"/>
              </w:rPr>
              <w:t xml:space="preserve"> </w:t>
            </w:r>
            <w:r w:rsidRPr="006206D4">
              <w:rPr>
                <w:rFonts w:cstheme="minorHAnsi"/>
                <w:color w:val="231F20"/>
                <w:w w:val="105"/>
              </w:rPr>
              <w:t>job.</w:t>
            </w:r>
          </w:p>
        </w:tc>
        <w:tc>
          <w:tcPr>
            <w:tcW w:w="6301" w:type="dxa"/>
            <w:tcBorders>
              <w:top w:val="single" w:sz="2" w:space="0" w:color="231F20"/>
              <w:left w:val="single" w:sz="2" w:space="0" w:color="231F20"/>
              <w:bottom w:val="single" w:sz="2" w:space="0" w:color="231F20"/>
              <w:right w:val="single" w:sz="2" w:space="0" w:color="231F20"/>
            </w:tcBorders>
            <w:shd w:val="clear" w:color="auto" w:fill="E6E7E8"/>
          </w:tcPr>
          <w:p w14:paraId="42829D4A" w14:textId="77777777" w:rsidR="006206D4" w:rsidRPr="006206D4" w:rsidRDefault="006206D4" w:rsidP="00282376">
            <w:pPr>
              <w:widowControl w:val="0"/>
              <w:spacing w:before="43" w:after="0" w:line="240" w:lineRule="auto"/>
              <w:ind w:left="107"/>
              <w:rPr>
                <w:rFonts w:cstheme="minorHAnsi"/>
              </w:rPr>
            </w:pPr>
            <w:r w:rsidRPr="006206D4">
              <w:rPr>
                <w:rFonts w:cstheme="minorHAnsi"/>
                <w:color w:val="231F20"/>
                <w:w w:val="105"/>
              </w:rPr>
              <w:t>VR</w:t>
            </w:r>
            <w:r w:rsidRPr="006206D4">
              <w:rPr>
                <w:rFonts w:cstheme="minorHAnsi"/>
                <w:color w:val="231F20"/>
                <w:spacing w:val="18"/>
                <w:w w:val="105"/>
              </w:rPr>
              <w:t xml:space="preserve"> </w:t>
            </w:r>
            <w:r w:rsidRPr="006206D4">
              <w:rPr>
                <w:rFonts w:cstheme="minorHAnsi"/>
                <w:color w:val="231F20"/>
                <w:w w:val="105"/>
              </w:rPr>
              <w:t>has</w:t>
            </w:r>
            <w:r w:rsidRPr="006206D4">
              <w:rPr>
                <w:rFonts w:cstheme="minorHAnsi"/>
                <w:color w:val="231F20"/>
                <w:spacing w:val="18"/>
                <w:w w:val="105"/>
              </w:rPr>
              <w:t xml:space="preserve"> </w:t>
            </w:r>
            <w:r w:rsidRPr="006206D4">
              <w:rPr>
                <w:rFonts w:cstheme="minorHAnsi"/>
                <w:color w:val="231F20"/>
                <w:w w:val="105"/>
              </w:rPr>
              <w:t>recently</w:t>
            </w:r>
            <w:r w:rsidRPr="006206D4">
              <w:rPr>
                <w:rFonts w:cstheme="minorHAnsi"/>
                <w:color w:val="231F20"/>
                <w:spacing w:val="18"/>
                <w:w w:val="105"/>
              </w:rPr>
              <w:t xml:space="preserve"> </w:t>
            </w:r>
            <w:r w:rsidRPr="006206D4">
              <w:rPr>
                <w:rFonts w:cstheme="minorHAnsi"/>
                <w:color w:val="231F20"/>
                <w:w w:val="105"/>
              </w:rPr>
              <w:t>added</w:t>
            </w:r>
            <w:r w:rsidRPr="006206D4">
              <w:rPr>
                <w:rFonts w:cstheme="minorHAnsi"/>
                <w:color w:val="231F20"/>
                <w:spacing w:val="18"/>
                <w:w w:val="105"/>
              </w:rPr>
              <w:t xml:space="preserve"> </w:t>
            </w:r>
            <w:r w:rsidRPr="006206D4">
              <w:rPr>
                <w:rFonts w:cstheme="minorHAnsi"/>
                <w:color w:val="231F20"/>
                <w:w w:val="105"/>
              </w:rPr>
              <w:t>a</w:t>
            </w:r>
            <w:r w:rsidRPr="006206D4">
              <w:rPr>
                <w:rFonts w:cstheme="minorHAnsi"/>
                <w:color w:val="231F20"/>
                <w:spacing w:val="18"/>
                <w:w w:val="105"/>
              </w:rPr>
              <w:t xml:space="preserve"> </w:t>
            </w:r>
            <w:r w:rsidRPr="006206D4">
              <w:rPr>
                <w:rFonts w:cstheme="minorHAnsi"/>
                <w:color w:val="231F20"/>
                <w:w w:val="105"/>
              </w:rPr>
              <w:t>customized</w:t>
            </w:r>
            <w:r w:rsidRPr="006206D4">
              <w:rPr>
                <w:rFonts w:cstheme="minorHAnsi"/>
                <w:color w:val="231F20"/>
                <w:spacing w:val="18"/>
                <w:w w:val="105"/>
              </w:rPr>
              <w:t xml:space="preserve"> </w:t>
            </w:r>
            <w:r w:rsidRPr="006206D4">
              <w:rPr>
                <w:rFonts w:cstheme="minorHAnsi"/>
                <w:color w:val="231F20"/>
                <w:w w:val="105"/>
              </w:rPr>
              <w:t>placement</w:t>
            </w:r>
            <w:r w:rsidRPr="006206D4">
              <w:rPr>
                <w:rFonts w:cstheme="minorHAnsi"/>
                <w:color w:val="231F20"/>
                <w:spacing w:val="18"/>
                <w:w w:val="105"/>
              </w:rPr>
              <w:t xml:space="preserve"> </w:t>
            </w:r>
            <w:r w:rsidRPr="006206D4">
              <w:rPr>
                <w:rFonts w:cstheme="minorHAnsi"/>
                <w:color w:val="231F20"/>
                <w:w w:val="105"/>
              </w:rPr>
              <w:t>benchmark</w:t>
            </w:r>
            <w:r w:rsidRPr="006206D4">
              <w:rPr>
                <w:rFonts w:cstheme="minorHAnsi"/>
                <w:color w:val="231F20"/>
                <w:spacing w:val="18"/>
                <w:w w:val="105"/>
              </w:rPr>
              <w:t xml:space="preserve"> </w:t>
            </w:r>
            <w:r w:rsidRPr="006206D4">
              <w:rPr>
                <w:rFonts w:cstheme="minorHAnsi"/>
                <w:color w:val="231F20"/>
                <w:w w:val="105"/>
              </w:rPr>
              <w:t>payment</w:t>
            </w:r>
            <w:r w:rsidRPr="006206D4">
              <w:rPr>
                <w:rFonts w:cstheme="minorHAnsi"/>
                <w:color w:val="231F20"/>
                <w:spacing w:val="18"/>
                <w:w w:val="105"/>
              </w:rPr>
              <w:t xml:space="preserve"> </w:t>
            </w:r>
            <w:r w:rsidRPr="00622D95">
              <w:t>to its</w:t>
            </w:r>
            <w:r w:rsidRPr="006206D4">
              <w:rPr>
                <w:rFonts w:cstheme="minorHAnsi"/>
                <w:color w:val="231F20"/>
                <w:w w:val="105"/>
              </w:rPr>
              <w:t xml:space="preserve"> reimbursement schedule, with a higher reimbursement rate. This will</w:t>
            </w:r>
            <w:r w:rsidRPr="006206D4">
              <w:rPr>
                <w:rFonts w:cstheme="minorHAnsi"/>
                <w:color w:val="231F20"/>
              </w:rPr>
              <w:t xml:space="preserve"> </w:t>
            </w:r>
            <w:r w:rsidRPr="006206D4">
              <w:rPr>
                <w:rFonts w:cstheme="minorHAnsi"/>
                <w:color w:val="231F20"/>
                <w:w w:val="105"/>
              </w:rPr>
              <w:t>be monitored for effectiveness in the</w:t>
            </w:r>
            <w:r w:rsidRPr="006206D4">
              <w:rPr>
                <w:rFonts w:cstheme="minorHAnsi"/>
                <w:color w:val="231F20"/>
                <w:spacing w:val="20"/>
                <w:w w:val="105"/>
              </w:rPr>
              <w:t xml:space="preserve"> </w:t>
            </w:r>
            <w:r w:rsidRPr="006206D4">
              <w:rPr>
                <w:rFonts w:cstheme="minorHAnsi"/>
                <w:color w:val="231F20"/>
                <w:w w:val="105"/>
              </w:rPr>
              <w:t>future.</w:t>
            </w:r>
          </w:p>
        </w:tc>
      </w:tr>
      <w:tr w:rsidR="006206D4" w:rsidRPr="006206D4" w14:paraId="6A6D3065" w14:textId="77777777" w:rsidTr="007A31C5">
        <w:trPr>
          <w:trHeight w:hRule="exact" w:val="2615"/>
        </w:trPr>
        <w:tc>
          <w:tcPr>
            <w:tcW w:w="3849" w:type="dxa"/>
            <w:tcBorders>
              <w:top w:val="single" w:sz="2" w:space="0" w:color="231F20"/>
              <w:left w:val="single" w:sz="2" w:space="0" w:color="231F20"/>
              <w:bottom w:val="single" w:sz="2" w:space="0" w:color="231F20"/>
              <w:right w:val="single" w:sz="2" w:space="0" w:color="231F20"/>
            </w:tcBorders>
          </w:tcPr>
          <w:p w14:paraId="4B808DE7" w14:textId="77777777" w:rsidR="006206D4" w:rsidRPr="006206D4" w:rsidRDefault="006206D4" w:rsidP="00282376">
            <w:pPr>
              <w:widowControl w:val="0"/>
              <w:spacing w:before="43" w:after="0" w:line="240" w:lineRule="auto"/>
              <w:ind w:left="107"/>
              <w:rPr>
                <w:rFonts w:cstheme="minorHAnsi"/>
              </w:rPr>
            </w:pPr>
            <w:r w:rsidRPr="006206D4">
              <w:rPr>
                <w:rFonts w:cstheme="minorHAnsi"/>
                <w:color w:val="231F20"/>
                <w:w w:val="105"/>
              </w:rPr>
              <w:t>VR needs to explore collaborative</w:t>
            </w:r>
            <w:r w:rsidRPr="006206D4">
              <w:rPr>
                <w:rFonts w:cstheme="minorHAnsi"/>
                <w:color w:val="231F20"/>
                <w:spacing w:val="46"/>
                <w:w w:val="105"/>
              </w:rPr>
              <w:t xml:space="preserve"> </w:t>
            </w:r>
            <w:r w:rsidRPr="006206D4">
              <w:rPr>
                <w:rFonts w:cstheme="minorHAnsi"/>
                <w:color w:val="231F20"/>
                <w:w w:val="105"/>
              </w:rPr>
              <w:t>opportunities to increase access to</w:t>
            </w:r>
            <w:r w:rsidRPr="006206D4">
              <w:rPr>
                <w:rFonts w:cstheme="minorHAnsi"/>
                <w:color w:val="231F20"/>
                <w:spacing w:val="36"/>
                <w:w w:val="105"/>
              </w:rPr>
              <w:t xml:space="preserve"> </w:t>
            </w:r>
            <w:r w:rsidRPr="006206D4">
              <w:rPr>
                <w:rFonts w:cstheme="minorHAnsi"/>
                <w:color w:val="231F20"/>
                <w:w w:val="105"/>
              </w:rPr>
              <w:t>services</w:t>
            </w:r>
            <w:r w:rsidRPr="006206D4">
              <w:rPr>
                <w:rFonts w:cstheme="minorHAnsi"/>
                <w:color w:val="231F20"/>
                <w:spacing w:val="18"/>
                <w:w w:val="105"/>
              </w:rPr>
              <w:t xml:space="preserve"> </w:t>
            </w:r>
            <w:r w:rsidRPr="006206D4">
              <w:rPr>
                <w:rFonts w:cstheme="minorHAnsi"/>
                <w:color w:val="231F20"/>
                <w:w w:val="105"/>
              </w:rPr>
              <w:t>and</w:t>
            </w:r>
            <w:r w:rsidRPr="006206D4">
              <w:rPr>
                <w:rFonts w:cstheme="minorHAnsi"/>
                <w:color w:val="231F20"/>
                <w:spacing w:val="18"/>
                <w:w w:val="105"/>
              </w:rPr>
              <w:t xml:space="preserve"> </w:t>
            </w:r>
            <w:r w:rsidRPr="006206D4">
              <w:rPr>
                <w:rFonts w:cstheme="minorHAnsi"/>
                <w:color w:val="231F20"/>
                <w:w w:val="105"/>
              </w:rPr>
              <w:t>employment</w:t>
            </w:r>
            <w:r w:rsidRPr="006206D4">
              <w:rPr>
                <w:rFonts w:cstheme="minorHAnsi"/>
                <w:color w:val="231F20"/>
                <w:spacing w:val="18"/>
                <w:w w:val="105"/>
              </w:rPr>
              <w:t xml:space="preserve"> </w:t>
            </w:r>
            <w:r w:rsidRPr="006206D4">
              <w:rPr>
                <w:rFonts w:cstheme="minorHAnsi"/>
                <w:color w:val="231F20"/>
                <w:w w:val="105"/>
              </w:rPr>
              <w:t>for</w:t>
            </w:r>
            <w:r w:rsidRPr="006206D4">
              <w:rPr>
                <w:rFonts w:cstheme="minorHAnsi"/>
                <w:color w:val="231F20"/>
                <w:spacing w:val="18"/>
                <w:w w:val="105"/>
              </w:rPr>
              <w:t xml:space="preserve"> </w:t>
            </w:r>
            <w:r w:rsidRPr="006206D4">
              <w:rPr>
                <w:rFonts w:cstheme="minorHAnsi"/>
                <w:color w:val="231F20"/>
                <w:w w:val="105"/>
              </w:rPr>
              <w:t>people</w:t>
            </w:r>
            <w:r w:rsidRPr="006206D4">
              <w:rPr>
                <w:rFonts w:cstheme="minorHAnsi"/>
                <w:color w:val="231F20"/>
                <w:spacing w:val="-45"/>
                <w:w w:val="105"/>
              </w:rPr>
              <w:t xml:space="preserve"> </w:t>
            </w:r>
            <w:r w:rsidRPr="006206D4">
              <w:rPr>
                <w:rFonts w:cstheme="minorHAnsi"/>
                <w:color w:val="231F20"/>
                <w:w w:val="105"/>
              </w:rPr>
              <w:t>with mental health or</w:t>
            </w:r>
            <w:r w:rsidRPr="006206D4">
              <w:rPr>
                <w:rFonts w:cstheme="minorHAnsi"/>
                <w:color w:val="231F20"/>
                <w:spacing w:val="2"/>
                <w:w w:val="105"/>
              </w:rPr>
              <w:t xml:space="preserve"> </w:t>
            </w:r>
            <w:r w:rsidRPr="006206D4">
              <w:rPr>
                <w:rFonts w:cstheme="minorHAnsi"/>
                <w:color w:val="231F20"/>
                <w:w w:val="105"/>
              </w:rPr>
              <w:t>intellectual</w:t>
            </w:r>
            <w:r w:rsidRPr="006206D4">
              <w:rPr>
                <w:rFonts w:cstheme="minorHAnsi"/>
                <w:color w:val="231F20"/>
                <w:w w:val="104"/>
              </w:rPr>
              <w:t xml:space="preserve"> </w:t>
            </w:r>
            <w:r w:rsidRPr="006206D4">
              <w:rPr>
                <w:rFonts w:cstheme="minorHAnsi"/>
                <w:color w:val="231F20"/>
                <w:w w:val="105"/>
              </w:rPr>
              <w:t>disabilities.</w:t>
            </w:r>
          </w:p>
        </w:tc>
        <w:tc>
          <w:tcPr>
            <w:tcW w:w="6301" w:type="dxa"/>
            <w:tcBorders>
              <w:top w:val="single" w:sz="2" w:space="0" w:color="231F20"/>
              <w:left w:val="single" w:sz="2" w:space="0" w:color="231F20"/>
              <w:bottom w:val="single" w:sz="2" w:space="0" w:color="231F20"/>
              <w:right w:val="single" w:sz="2" w:space="0" w:color="231F20"/>
            </w:tcBorders>
          </w:tcPr>
          <w:p w14:paraId="1DD0B2EF" w14:textId="19D9F178" w:rsidR="006206D4" w:rsidRPr="006206D4" w:rsidRDefault="006206D4" w:rsidP="00622D95">
            <w:pPr>
              <w:widowControl w:val="0"/>
              <w:spacing w:before="43" w:after="0" w:line="240" w:lineRule="auto"/>
              <w:ind w:left="107"/>
              <w:rPr>
                <w:rFonts w:cstheme="minorHAnsi"/>
              </w:rPr>
            </w:pPr>
            <w:r w:rsidRPr="006206D4">
              <w:rPr>
                <w:rFonts w:cstheme="minorHAnsi"/>
                <w:color w:val="231F20"/>
                <w:w w:val="105"/>
              </w:rPr>
              <w:t>VR</w:t>
            </w:r>
            <w:r w:rsidRPr="006206D4">
              <w:rPr>
                <w:rFonts w:cstheme="minorHAnsi"/>
                <w:color w:val="231F20"/>
                <w:spacing w:val="14"/>
                <w:w w:val="105"/>
              </w:rPr>
              <w:t xml:space="preserve"> </w:t>
            </w:r>
            <w:r w:rsidRPr="006206D4">
              <w:rPr>
                <w:rFonts w:cstheme="minorHAnsi"/>
                <w:color w:val="231F20"/>
                <w:w w:val="105"/>
              </w:rPr>
              <w:t>is</w:t>
            </w:r>
            <w:r w:rsidRPr="006206D4">
              <w:rPr>
                <w:rFonts w:cstheme="minorHAnsi"/>
                <w:color w:val="231F20"/>
                <w:spacing w:val="14"/>
                <w:w w:val="105"/>
              </w:rPr>
              <w:t xml:space="preserve"> </w:t>
            </w:r>
            <w:r w:rsidRPr="006206D4">
              <w:rPr>
                <w:rFonts w:cstheme="minorHAnsi"/>
                <w:color w:val="231F20"/>
                <w:w w:val="105"/>
              </w:rPr>
              <w:t>piloting</w:t>
            </w:r>
            <w:r w:rsidRPr="006206D4">
              <w:rPr>
                <w:rFonts w:cstheme="minorHAnsi"/>
                <w:color w:val="231F20"/>
                <w:spacing w:val="14"/>
                <w:w w:val="105"/>
              </w:rPr>
              <w:t xml:space="preserve"> </w:t>
            </w:r>
            <w:r w:rsidRPr="006206D4">
              <w:rPr>
                <w:rFonts w:cstheme="minorHAnsi"/>
                <w:color w:val="231F20"/>
                <w:w w:val="105"/>
              </w:rPr>
              <w:t>innovative</w:t>
            </w:r>
            <w:r w:rsidRPr="006206D4">
              <w:rPr>
                <w:rFonts w:cstheme="minorHAnsi"/>
                <w:color w:val="231F20"/>
                <w:spacing w:val="14"/>
                <w:w w:val="105"/>
              </w:rPr>
              <w:t xml:space="preserve"> </w:t>
            </w:r>
            <w:r w:rsidRPr="006206D4">
              <w:rPr>
                <w:rFonts w:cstheme="minorHAnsi"/>
                <w:color w:val="231F20"/>
                <w:w w:val="105"/>
              </w:rPr>
              <w:t>service</w:t>
            </w:r>
            <w:r w:rsidRPr="006206D4">
              <w:rPr>
                <w:rFonts w:cstheme="minorHAnsi"/>
                <w:color w:val="231F20"/>
                <w:spacing w:val="14"/>
                <w:w w:val="105"/>
              </w:rPr>
              <w:t xml:space="preserve"> </w:t>
            </w:r>
            <w:r w:rsidRPr="006206D4">
              <w:rPr>
                <w:rFonts w:cstheme="minorHAnsi"/>
                <w:color w:val="231F20"/>
                <w:w w:val="105"/>
              </w:rPr>
              <w:t>models</w:t>
            </w:r>
            <w:r w:rsidRPr="006206D4">
              <w:rPr>
                <w:rFonts w:cstheme="minorHAnsi"/>
                <w:color w:val="231F20"/>
                <w:spacing w:val="14"/>
                <w:w w:val="105"/>
              </w:rPr>
              <w:t xml:space="preserve"> </w:t>
            </w:r>
            <w:r w:rsidRPr="006206D4">
              <w:rPr>
                <w:rFonts w:cstheme="minorHAnsi"/>
                <w:color w:val="231F20"/>
                <w:w w:val="105"/>
              </w:rPr>
              <w:t>such</w:t>
            </w:r>
            <w:r w:rsidRPr="006206D4">
              <w:rPr>
                <w:rFonts w:cstheme="minorHAnsi"/>
                <w:color w:val="231F20"/>
                <w:spacing w:val="14"/>
                <w:w w:val="105"/>
              </w:rPr>
              <w:t xml:space="preserve"> </w:t>
            </w:r>
            <w:r w:rsidRPr="006206D4">
              <w:rPr>
                <w:rFonts w:cstheme="minorHAnsi"/>
                <w:color w:val="231F20"/>
                <w:w w:val="105"/>
              </w:rPr>
              <w:t>as</w:t>
            </w:r>
            <w:r w:rsidRPr="006206D4">
              <w:rPr>
                <w:rFonts w:cstheme="minorHAnsi"/>
                <w:color w:val="231F20"/>
                <w:spacing w:val="14"/>
                <w:w w:val="105"/>
              </w:rPr>
              <w:t xml:space="preserve"> </w:t>
            </w:r>
            <w:r w:rsidRPr="006206D4">
              <w:rPr>
                <w:rFonts w:cstheme="minorHAnsi"/>
                <w:color w:val="231F20"/>
                <w:w w:val="105"/>
              </w:rPr>
              <w:t>Individual</w:t>
            </w:r>
            <w:r w:rsidRPr="006206D4">
              <w:rPr>
                <w:rFonts w:cstheme="minorHAnsi"/>
                <w:color w:val="231F20"/>
                <w:spacing w:val="14"/>
                <w:w w:val="105"/>
              </w:rPr>
              <w:t xml:space="preserve"> </w:t>
            </w:r>
            <w:r w:rsidRPr="006206D4">
              <w:rPr>
                <w:rFonts w:cstheme="minorHAnsi"/>
                <w:color w:val="231F20"/>
                <w:w w:val="105"/>
              </w:rPr>
              <w:t>Placement</w:t>
            </w:r>
            <w:r w:rsidRPr="006206D4">
              <w:rPr>
                <w:rFonts w:cstheme="minorHAnsi"/>
                <w:color w:val="231F20"/>
                <w:spacing w:val="-1"/>
                <w:w w:val="105"/>
              </w:rPr>
              <w:t xml:space="preserve"> </w:t>
            </w:r>
            <w:r w:rsidRPr="006206D4">
              <w:rPr>
                <w:rFonts w:cstheme="minorHAnsi"/>
                <w:color w:val="231F20"/>
                <w:w w:val="105"/>
              </w:rPr>
              <w:t>and</w:t>
            </w:r>
            <w:r w:rsidRPr="006206D4">
              <w:rPr>
                <w:rFonts w:cstheme="minorHAnsi"/>
                <w:color w:val="231F20"/>
                <w:spacing w:val="6"/>
                <w:w w:val="105"/>
              </w:rPr>
              <w:t xml:space="preserve"> </w:t>
            </w:r>
            <w:r w:rsidRPr="006206D4">
              <w:rPr>
                <w:rFonts w:cstheme="minorHAnsi"/>
                <w:color w:val="231F20"/>
                <w:w w:val="105"/>
              </w:rPr>
              <w:t>Support</w:t>
            </w:r>
            <w:r w:rsidRPr="006206D4">
              <w:rPr>
                <w:rFonts w:cstheme="minorHAnsi"/>
                <w:color w:val="231F20"/>
                <w:spacing w:val="6"/>
                <w:w w:val="105"/>
              </w:rPr>
              <w:t xml:space="preserve"> </w:t>
            </w:r>
            <w:r w:rsidRPr="006206D4">
              <w:rPr>
                <w:rFonts w:cstheme="minorHAnsi"/>
                <w:color w:val="231F20"/>
                <w:w w:val="105"/>
              </w:rPr>
              <w:t>(IPS)</w:t>
            </w:r>
            <w:r w:rsidRPr="006206D4">
              <w:rPr>
                <w:rFonts w:cstheme="minorHAnsi"/>
                <w:color w:val="231F20"/>
                <w:spacing w:val="6"/>
                <w:w w:val="105"/>
              </w:rPr>
              <w:t xml:space="preserve"> </w:t>
            </w:r>
            <w:r w:rsidR="00622D95">
              <w:rPr>
                <w:rFonts w:cstheme="minorHAnsi"/>
                <w:color w:val="231F20"/>
                <w:w w:val="105"/>
              </w:rPr>
              <w:t>and</w:t>
            </w:r>
            <w:r w:rsidRPr="006206D4">
              <w:rPr>
                <w:rFonts w:cstheme="minorHAnsi"/>
                <w:color w:val="231F20"/>
                <w:spacing w:val="6"/>
                <w:w w:val="105"/>
              </w:rPr>
              <w:t xml:space="preserve"> </w:t>
            </w:r>
            <w:r w:rsidRPr="006206D4">
              <w:rPr>
                <w:rFonts w:cstheme="minorHAnsi"/>
                <w:color w:val="231F20"/>
                <w:w w:val="105"/>
              </w:rPr>
              <w:t>peer</w:t>
            </w:r>
            <w:r w:rsidRPr="006206D4">
              <w:rPr>
                <w:rFonts w:cstheme="minorHAnsi"/>
                <w:color w:val="231F20"/>
                <w:spacing w:val="6"/>
                <w:w w:val="105"/>
              </w:rPr>
              <w:t xml:space="preserve"> </w:t>
            </w:r>
            <w:r w:rsidRPr="006206D4">
              <w:rPr>
                <w:rFonts w:cstheme="minorHAnsi"/>
                <w:color w:val="231F20"/>
                <w:w w:val="105"/>
              </w:rPr>
              <w:t>mentoring</w:t>
            </w:r>
            <w:r w:rsidRPr="006206D4">
              <w:rPr>
                <w:rFonts w:cstheme="minorHAnsi"/>
                <w:color w:val="231F20"/>
                <w:spacing w:val="6"/>
                <w:w w:val="105"/>
              </w:rPr>
              <w:t xml:space="preserve"> </w:t>
            </w:r>
            <w:r w:rsidRPr="006206D4">
              <w:rPr>
                <w:rFonts w:cstheme="minorHAnsi"/>
                <w:color w:val="231F20"/>
                <w:w w:val="105"/>
              </w:rPr>
              <w:t>to</w:t>
            </w:r>
            <w:r w:rsidRPr="006206D4">
              <w:rPr>
                <w:rFonts w:cstheme="minorHAnsi"/>
                <w:color w:val="231F20"/>
                <w:spacing w:val="6"/>
                <w:w w:val="105"/>
              </w:rPr>
              <w:t xml:space="preserve"> </w:t>
            </w:r>
            <w:r w:rsidRPr="006206D4">
              <w:rPr>
                <w:rFonts w:cstheme="minorHAnsi"/>
                <w:color w:val="231F20"/>
                <w:w w:val="105"/>
              </w:rPr>
              <w:t>provide</w:t>
            </w:r>
            <w:r w:rsidRPr="006206D4">
              <w:rPr>
                <w:rFonts w:cstheme="minorHAnsi"/>
                <w:color w:val="231F20"/>
                <w:spacing w:val="6"/>
                <w:w w:val="105"/>
              </w:rPr>
              <w:t xml:space="preserve"> </w:t>
            </w:r>
            <w:r w:rsidRPr="006206D4">
              <w:rPr>
                <w:rFonts w:cstheme="minorHAnsi"/>
                <w:color w:val="231F20"/>
                <w:w w:val="105"/>
              </w:rPr>
              <w:t>more</w:t>
            </w:r>
            <w:r w:rsidRPr="006206D4">
              <w:rPr>
                <w:rFonts w:cstheme="minorHAnsi"/>
                <w:color w:val="231F20"/>
                <w:spacing w:val="6"/>
                <w:w w:val="105"/>
              </w:rPr>
              <w:t xml:space="preserve"> </w:t>
            </w:r>
            <w:r w:rsidRPr="006206D4">
              <w:rPr>
                <w:rFonts w:cstheme="minorHAnsi"/>
                <w:color w:val="231F20"/>
                <w:w w:val="105"/>
              </w:rPr>
              <w:t>service</w:t>
            </w:r>
            <w:r w:rsidRPr="006206D4">
              <w:rPr>
                <w:rFonts w:cstheme="minorHAnsi"/>
                <w:color w:val="231F20"/>
                <w:spacing w:val="6"/>
                <w:w w:val="105"/>
              </w:rPr>
              <w:t xml:space="preserve"> </w:t>
            </w:r>
            <w:r w:rsidRPr="006206D4">
              <w:rPr>
                <w:rFonts w:cstheme="minorHAnsi"/>
                <w:color w:val="231F20"/>
                <w:w w:val="105"/>
              </w:rPr>
              <w:t>options</w:t>
            </w:r>
            <w:r w:rsidRPr="006206D4">
              <w:rPr>
                <w:rFonts w:cstheme="minorHAnsi"/>
                <w:color w:val="231F20"/>
                <w:spacing w:val="6"/>
                <w:w w:val="105"/>
              </w:rPr>
              <w:t xml:space="preserve"> </w:t>
            </w:r>
            <w:r w:rsidRPr="006206D4">
              <w:rPr>
                <w:rFonts w:cstheme="minorHAnsi"/>
                <w:color w:val="231F20"/>
                <w:w w:val="105"/>
              </w:rPr>
              <w:t>to</w:t>
            </w:r>
            <w:r w:rsidRPr="006206D4">
              <w:rPr>
                <w:rFonts w:cstheme="minorHAnsi"/>
                <w:color w:val="231F20"/>
                <w:spacing w:val="-37"/>
                <w:w w:val="105"/>
              </w:rPr>
              <w:t xml:space="preserve"> </w:t>
            </w:r>
            <w:r w:rsidRPr="006206D4">
              <w:rPr>
                <w:rFonts w:cstheme="minorHAnsi"/>
                <w:color w:val="231F20"/>
                <w:w w:val="105"/>
              </w:rPr>
              <w:t>individuals</w:t>
            </w:r>
            <w:r w:rsidRPr="006206D4">
              <w:rPr>
                <w:rFonts w:cstheme="minorHAnsi"/>
                <w:color w:val="231F20"/>
                <w:spacing w:val="15"/>
                <w:w w:val="105"/>
              </w:rPr>
              <w:t xml:space="preserve"> </w:t>
            </w:r>
            <w:r w:rsidRPr="006206D4">
              <w:rPr>
                <w:rFonts w:cstheme="minorHAnsi"/>
                <w:color w:val="231F20"/>
                <w:w w:val="105"/>
              </w:rPr>
              <w:t>with</w:t>
            </w:r>
            <w:r w:rsidRPr="006206D4">
              <w:rPr>
                <w:rFonts w:cstheme="minorHAnsi"/>
                <w:color w:val="231F20"/>
                <w:spacing w:val="15"/>
                <w:w w:val="105"/>
              </w:rPr>
              <w:t xml:space="preserve"> </w:t>
            </w:r>
            <w:r w:rsidRPr="006206D4">
              <w:rPr>
                <w:rFonts w:cstheme="minorHAnsi"/>
                <w:color w:val="231F20"/>
                <w:w w:val="105"/>
              </w:rPr>
              <w:t>severe</w:t>
            </w:r>
            <w:r w:rsidRPr="006206D4">
              <w:rPr>
                <w:rFonts w:cstheme="minorHAnsi"/>
                <w:color w:val="231F20"/>
                <w:spacing w:val="15"/>
                <w:w w:val="105"/>
              </w:rPr>
              <w:t xml:space="preserve"> </w:t>
            </w:r>
            <w:r w:rsidRPr="006206D4">
              <w:rPr>
                <w:rFonts w:cstheme="minorHAnsi"/>
                <w:color w:val="231F20"/>
                <w:w w:val="105"/>
              </w:rPr>
              <w:t>and</w:t>
            </w:r>
            <w:r w:rsidRPr="006206D4">
              <w:rPr>
                <w:rFonts w:cstheme="minorHAnsi"/>
                <w:color w:val="231F20"/>
                <w:spacing w:val="15"/>
                <w:w w:val="105"/>
              </w:rPr>
              <w:t xml:space="preserve"> </w:t>
            </w:r>
            <w:r w:rsidRPr="006206D4">
              <w:rPr>
                <w:rFonts w:cstheme="minorHAnsi"/>
                <w:color w:val="231F20"/>
                <w:w w:val="105"/>
              </w:rPr>
              <w:t>persistent</w:t>
            </w:r>
            <w:r w:rsidRPr="006206D4">
              <w:rPr>
                <w:rFonts w:cstheme="minorHAnsi"/>
                <w:color w:val="231F20"/>
                <w:spacing w:val="15"/>
                <w:w w:val="105"/>
              </w:rPr>
              <w:t xml:space="preserve"> </w:t>
            </w:r>
            <w:r w:rsidRPr="006206D4">
              <w:rPr>
                <w:rFonts w:cstheme="minorHAnsi"/>
                <w:color w:val="231F20"/>
                <w:w w:val="105"/>
              </w:rPr>
              <w:t>mental</w:t>
            </w:r>
            <w:r w:rsidRPr="006206D4">
              <w:rPr>
                <w:rFonts w:cstheme="minorHAnsi"/>
                <w:color w:val="231F20"/>
                <w:spacing w:val="15"/>
                <w:w w:val="105"/>
              </w:rPr>
              <w:t xml:space="preserve"> </w:t>
            </w:r>
            <w:r w:rsidRPr="006206D4">
              <w:rPr>
                <w:rFonts w:cstheme="minorHAnsi"/>
                <w:color w:val="231F20"/>
                <w:w w:val="105"/>
              </w:rPr>
              <w:t>illness.</w:t>
            </w:r>
            <w:r w:rsidRPr="006206D4">
              <w:rPr>
                <w:rFonts w:cstheme="minorHAnsi"/>
                <w:color w:val="231F20"/>
                <w:spacing w:val="15"/>
                <w:w w:val="105"/>
              </w:rPr>
              <w:t xml:space="preserve"> </w:t>
            </w:r>
            <w:r w:rsidRPr="006206D4">
              <w:rPr>
                <w:rFonts w:cstheme="minorHAnsi"/>
                <w:color w:val="231F20"/>
                <w:w w:val="105"/>
              </w:rPr>
              <w:t>VR</w:t>
            </w:r>
            <w:r w:rsidRPr="006206D4">
              <w:rPr>
                <w:rFonts w:cstheme="minorHAnsi"/>
                <w:color w:val="231F20"/>
                <w:spacing w:val="15"/>
                <w:w w:val="105"/>
              </w:rPr>
              <w:t xml:space="preserve"> </w:t>
            </w:r>
            <w:r w:rsidRPr="006206D4">
              <w:rPr>
                <w:rFonts w:cstheme="minorHAnsi"/>
                <w:color w:val="231F20"/>
                <w:w w:val="105"/>
              </w:rPr>
              <w:t>has</w:t>
            </w:r>
            <w:r w:rsidRPr="006206D4">
              <w:rPr>
                <w:rFonts w:cstheme="minorHAnsi"/>
                <w:color w:val="231F20"/>
                <w:spacing w:val="15"/>
                <w:w w:val="105"/>
              </w:rPr>
              <w:t xml:space="preserve"> </w:t>
            </w:r>
            <w:r w:rsidRPr="006206D4">
              <w:rPr>
                <w:rFonts w:cstheme="minorHAnsi"/>
                <w:color w:val="231F20"/>
                <w:w w:val="105"/>
              </w:rPr>
              <w:t>expanded</w:t>
            </w:r>
            <w:r w:rsidRPr="006206D4">
              <w:rPr>
                <w:rFonts w:cstheme="minorHAnsi"/>
                <w:color w:val="231F20"/>
                <w:spacing w:val="-26"/>
                <w:w w:val="105"/>
              </w:rPr>
              <w:t xml:space="preserve"> </w:t>
            </w:r>
            <w:r w:rsidRPr="006206D4">
              <w:rPr>
                <w:rFonts w:cstheme="minorHAnsi"/>
                <w:color w:val="231F20"/>
                <w:w w:val="105"/>
              </w:rPr>
              <w:t>the</w:t>
            </w:r>
            <w:r w:rsidRPr="006206D4">
              <w:rPr>
                <w:rFonts w:cstheme="minorHAnsi"/>
                <w:color w:val="231F20"/>
                <w:spacing w:val="14"/>
                <w:w w:val="105"/>
              </w:rPr>
              <w:t xml:space="preserve"> </w:t>
            </w:r>
            <w:r w:rsidRPr="006206D4">
              <w:rPr>
                <w:rFonts w:cstheme="minorHAnsi"/>
                <w:color w:val="231F20"/>
                <w:w w:val="105"/>
              </w:rPr>
              <w:t>use</w:t>
            </w:r>
            <w:r w:rsidRPr="006206D4">
              <w:rPr>
                <w:rFonts w:cstheme="minorHAnsi"/>
                <w:color w:val="231F20"/>
                <w:spacing w:val="14"/>
                <w:w w:val="105"/>
              </w:rPr>
              <w:t xml:space="preserve"> </w:t>
            </w:r>
            <w:r w:rsidRPr="006206D4">
              <w:rPr>
                <w:rFonts w:cstheme="minorHAnsi"/>
                <w:color w:val="231F20"/>
                <w:w w:val="105"/>
              </w:rPr>
              <w:t>of</w:t>
            </w:r>
            <w:r w:rsidRPr="006206D4">
              <w:rPr>
                <w:rFonts w:cstheme="minorHAnsi"/>
                <w:color w:val="231F20"/>
                <w:spacing w:val="14"/>
                <w:w w:val="105"/>
              </w:rPr>
              <w:t xml:space="preserve"> </w:t>
            </w:r>
            <w:r w:rsidRPr="006206D4">
              <w:rPr>
                <w:rFonts w:cstheme="minorHAnsi"/>
                <w:color w:val="231F20"/>
                <w:w w:val="105"/>
              </w:rPr>
              <w:t>Discovery</w:t>
            </w:r>
            <w:r w:rsidRPr="006206D4">
              <w:rPr>
                <w:rFonts w:cstheme="minorHAnsi"/>
                <w:color w:val="231F20"/>
                <w:spacing w:val="14"/>
                <w:w w:val="105"/>
              </w:rPr>
              <w:t xml:space="preserve"> </w:t>
            </w:r>
            <w:r w:rsidRPr="006206D4">
              <w:rPr>
                <w:rFonts w:cstheme="minorHAnsi"/>
                <w:color w:val="231F20"/>
                <w:w w:val="105"/>
              </w:rPr>
              <w:t>and</w:t>
            </w:r>
            <w:r w:rsidRPr="006206D4">
              <w:rPr>
                <w:rFonts w:cstheme="minorHAnsi"/>
                <w:color w:val="231F20"/>
                <w:spacing w:val="14"/>
                <w:w w:val="105"/>
              </w:rPr>
              <w:t xml:space="preserve"> </w:t>
            </w:r>
            <w:r w:rsidRPr="006206D4">
              <w:rPr>
                <w:rFonts w:cstheme="minorHAnsi"/>
                <w:color w:val="231F20"/>
                <w:w w:val="105"/>
              </w:rPr>
              <w:t>Customized</w:t>
            </w:r>
            <w:r w:rsidRPr="006206D4">
              <w:rPr>
                <w:rFonts w:cstheme="minorHAnsi"/>
                <w:color w:val="231F20"/>
                <w:spacing w:val="14"/>
                <w:w w:val="105"/>
              </w:rPr>
              <w:t xml:space="preserve"> </w:t>
            </w:r>
            <w:r w:rsidRPr="006206D4">
              <w:rPr>
                <w:rFonts w:cstheme="minorHAnsi"/>
                <w:color w:val="231F20"/>
                <w:w w:val="105"/>
              </w:rPr>
              <w:t>Employment</w:t>
            </w:r>
            <w:r w:rsidRPr="006206D4">
              <w:rPr>
                <w:rFonts w:cstheme="minorHAnsi"/>
                <w:color w:val="231F20"/>
                <w:spacing w:val="14"/>
                <w:w w:val="105"/>
              </w:rPr>
              <w:t xml:space="preserve"> </w:t>
            </w:r>
            <w:r w:rsidRPr="006206D4">
              <w:rPr>
                <w:rFonts w:cstheme="minorHAnsi"/>
                <w:color w:val="231F20"/>
                <w:w w:val="105"/>
              </w:rPr>
              <w:t>statewide</w:t>
            </w:r>
            <w:r w:rsidR="00D5537E">
              <w:rPr>
                <w:rFonts w:cstheme="minorHAnsi"/>
                <w:color w:val="231F20"/>
                <w:w w:val="105"/>
              </w:rPr>
              <w:t xml:space="preserve"> and</w:t>
            </w:r>
            <w:r w:rsidRPr="006206D4">
              <w:rPr>
                <w:rFonts w:cstheme="minorHAnsi"/>
                <w:color w:val="231F20"/>
                <w:spacing w:val="14"/>
                <w:w w:val="105"/>
              </w:rPr>
              <w:t xml:space="preserve"> </w:t>
            </w:r>
            <w:r w:rsidRPr="006206D4">
              <w:rPr>
                <w:rFonts w:cstheme="minorHAnsi"/>
                <w:color w:val="231F20"/>
                <w:w w:val="105"/>
              </w:rPr>
              <w:t>is</w:t>
            </w:r>
            <w:r w:rsidRPr="006206D4">
              <w:rPr>
                <w:rFonts w:cstheme="minorHAnsi"/>
                <w:color w:val="231F20"/>
                <w:spacing w:val="-20"/>
                <w:w w:val="105"/>
              </w:rPr>
              <w:t xml:space="preserve"> </w:t>
            </w:r>
            <w:r w:rsidRPr="006206D4">
              <w:rPr>
                <w:rFonts w:cstheme="minorHAnsi"/>
                <w:color w:val="231F20"/>
                <w:w w:val="105"/>
              </w:rPr>
              <w:t>now</w:t>
            </w:r>
            <w:r w:rsidRPr="006206D4">
              <w:rPr>
                <w:rFonts w:cstheme="minorHAnsi"/>
                <w:color w:val="231F20"/>
                <w:spacing w:val="20"/>
                <w:w w:val="105"/>
              </w:rPr>
              <w:t xml:space="preserve"> </w:t>
            </w:r>
            <w:r w:rsidRPr="006206D4">
              <w:rPr>
                <w:rFonts w:cstheme="minorHAnsi"/>
                <w:color w:val="231F20"/>
                <w:w w:val="105"/>
              </w:rPr>
              <w:t>focusing</w:t>
            </w:r>
            <w:r w:rsidRPr="006206D4">
              <w:rPr>
                <w:rFonts w:cstheme="minorHAnsi"/>
                <w:color w:val="231F20"/>
                <w:spacing w:val="20"/>
                <w:w w:val="105"/>
              </w:rPr>
              <w:t xml:space="preserve"> </w:t>
            </w:r>
            <w:r w:rsidRPr="006206D4">
              <w:rPr>
                <w:rFonts w:cstheme="minorHAnsi"/>
                <w:color w:val="231F20"/>
                <w:w w:val="105"/>
              </w:rPr>
              <w:t>on</w:t>
            </w:r>
            <w:r w:rsidRPr="006206D4">
              <w:rPr>
                <w:rFonts w:cstheme="minorHAnsi"/>
                <w:color w:val="231F20"/>
                <w:spacing w:val="20"/>
                <w:w w:val="105"/>
              </w:rPr>
              <w:t xml:space="preserve"> </w:t>
            </w:r>
            <w:r w:rsidRPr="006206D4">
              <w:rPr>
                <w:rFonts w:cstheme="minorHAnsi"/>
                <w:color w:val="231F20"/>
                <w:w w:val="105"/>
              </w:rPr>
              <w:t>increasing</w:t>
            </w:r>
            <w:r w:rsidRPr="006206D4">
              <w:rPr>
                <w:rFonts w:cstheme="minorHAnsi"/>
                <w:color w:val="231F20"/>
                <w:spacing w:val="20"/>
                <w:w w:val="105"/>
              </w:rPr>
              <w:t xml:space="preserve"> </w:t>
            </w:r>
            <w:r w:rsidRPr="006206D4">
              <w:rPr>
                <w:rFonts w:cstheme="minorHAnsi"/>
                <w:color w:val="231F20"/>
                <w:w w:val="105"/>
              </w:rPr>
              <w:t>provider</w:t>
            </w:r>
            <w:r w:rsidRPr="006206D4">
              <w:rPr>
                <w:rFonts w:cstheme="minorHAnsi"/>
                <w:color w:val="231F20"/>
                <w:spacing w:val="20"/>
                <w:w w:val="105"/>
              </w:rPr>
              <w:t xml:space="preserve"> </w:t>
            </w:r>
            <w:r w:rsidRPr="006206D4">
              <w:rPr>
                <w:rFonts w:cstheme="minorHAnsi"/>
                <w:color w:val="231F20"/>
                <w:w w:val="105"/>
              </w:rPr>
              <w:t>capacity</w:t>
            </w:r>
            <w:r w:rsidRPr="006206D4">
              <w:rPr>
                <w:rFonts w:cstheme="minorHAnsi"/>
                <w:color w:val="231F20"/>
                <w:spacing w:val="20"/>
                <w:w w:val="105"/>
              </w:rPr>
              <w:t xml:space="preserve"> </w:t>
            </w:r>
            <w:r w:rsidRPr="006206D4">
              <w:rPr>
                <w:rFonts w:cstheme="minorHAnsi"/>
                <w:color w:val="231F20"/>
                <w:w w:val="105"/>
              </w:rPr>
              <w:t>to</w:t>
            </w:r>
            <w:r w:rsidRPr="006206D4">
              <w:rPr>
                <w:rFonts w:cstheme="minorHAnsi"/>
                <w:color w:val="231F20"/>
                <w:spacing w:val="20"/>
                <w:w w:val="105"/>
              </w:rPr>
              <w:t xml:space="preserve"> </w:t>
            </w:r>
            <w:r w:rsidRPr="006206D4">
              <w:rPr>
                <w:rFonts w:cstheme="minorHAnsi"/>
                <w:color w:val="231F20"/>
                <w:w w:val="105"/>
              </w:rPr>
              <w:t>provide</w:t>
            </w:r>
            <w:r w:rsidRPr="006206D4">
              <w:rPr>
                <w:rFonts w:cstheme="minorHAnsi"/>
                <w:color w:val="231F20"/>
                <w:spacing w:val="20"/>
                <w:w w:val="105"/>
              </w:rPr>
              <w:t xml:space="preserve"> </w:t>
            </w:r>
            <w:r w:rsidRPr="006206D4">
              <w:rPr>
                <w:rFonts w:cstheme="minorHAnsi"/>
                <w:color w:val="231F20"/>
                <w:w w:val="105"/>
              </w:rPr>
              <w:t>these</w:t>
            </w:r>
            <w:r w:rsidRPr="006206D4">
              <w:rPr>
                <w:rFonts w:cstheme="minorHAnsi"/>
                <w:color w:val="231F20"/>
                <w:spacing w:val="20"/>
                <w:w w:val="105"/>
              </w:rPr>
              <w:t xml:space="preserve"> </w:t>
            </w:r>
            <w:r w:rsidRPr="006206D4">
              <w:rPr>
                <w:rFonts w:cstheme="minorHAnsi"/>
                <w:color w:val="231F20"/>
                <w:w w:val="105"/>
              </w:rPr>
              <w:t>services.</w:t>
            </w:r>
            <w:r w:rsidRPr="006206D4">
              <w:rPr>
                <w:rFonts w:cstheme="minorHAnsi"/>
                <w:color w:val="231F20"/>
                <w:spacing w:val="-44"/>
                <w:w w:val="105"/>
              </w:rPr>
              <w:t xml:space="preserve"> </w:t>
            </w:r>
            <w:r w:rsidRPr="006206D4">
              <w:rPr>
                <w:rFonts w:cstheme="minorHAnsi"/>
                <w:color w:val="231F20"/>
                <w:w w:val="105"/>
              </w:rPr>
              <w:t>VR</w:t>
            </w:r>
            <w:r w:rsidR="00622D95">
              <w:rPr>
                <w:rFonts w:cstheme="minorHAnsi"/>
                <w:color w:val="231F20"/>
                <w:w w:val="105"/>
              </w:rPr>
              <w:t xml:space="preserve"> continues to</w:t>
            </w:r>
            <w:r w:rsidRPr="006206D4">
              <w:rPr>
                <w:rFonts w:cstheme="minorHAnsi"/>
                <w:color w:val="231F20"/>
                <w:spacing w:val="13"/>
                <w:w w:val="105"/>
              </w:rPr>
              <w:t xml:space="preserve"> </w:t>
            </w:r>
            <w:r w:rsidRPr="006206D4">
              <w:rPr>
                <w:rFonts w:cstheme="minorHAnsi"/>
                <w:color w:val="231F20"/>
                <w:w w:val="105"/>
              </w:rPr>
              <w:t>develop</w:t>
            </w:r>
            <w:r w:rsidRPr="006206D4">
              <w:rPr>
                <w:rFonts w:cstheme="minorHAnsi"/>
                <w:color w:val="231F20"/>
                <w:spacing w:val="13"/>
                <w:w w:val="105"/>
              </w:rPr>
              <w:t xml:space="preserve"> </w:t>
            </w:r>
            <w:r w:rsidRPr="006206D4">
              <w:rPr>
                <w:rFonts w:cstheme="minorHAnsi"/>
                <w:color w:val="231F20"/>
                <w:w w:val="105"/>
              </w:rPr>
              <w:t>agreements</w:t>
            </w:r>
            <w:r w:rsidRPr="006206D4">
              <w:rPr>
                <w:rFonts w:cstheme="minorHAnsi"/>
                <w:color w:val="231F20"/>
                <w:spacing w:val="13"/>
                <w:w w:val="105"/>
              </w:rPr>
              <w:t xml:space="preserve"> </w:t>
            </w:r>
            <w:r w:rsidRPr="006206D4">
              <w:rPr>
                <w:rFonts w:cstheme="minorHAnsi"/>
                <w:color w:val="231F20"/>
                <w:w w:val="105"/>
              </w:rPr>
              <w:t>and</w:t>
            </w:r>
            <w:r w:rsidRPr="006206D4">
              <w:rPr>
                <w:rFonts w:cstheme="minorHAnsi"/>
                <w:color w:val="231F20"/>
                <w:spacing w:val="13"/>
                <w:w w:val="105"/>
              </w:rPr>
              <w:t xml:space="preserve"> </w:t>
            </w:r>
            <w:r w:rsidRPr="006206D4">
              <w:rPr>
                <w:rFonts w:cstheme="minorHAnsi"/>
                <w:color w:val="231F20"/>
                <w:w w:val="105"/>
              </w:rPr>
              <w:t>partner</w:t>
            </w:r>
            <w:r w:rsidRPr="006206D4">
              <w:rPr>
                <w:rFonts w:cstheme="minorHAnsi"/>
                <w:color w:val="231F20"/>
                <w:spacing w:val="13"/>
                <w:w w:val="105"/>
              </w:rPr>
              <w:t xml:space="preserve"> </w:t>
            </w:r>
            <w:r w:rsidRPr="006206D4">
              <w:rPr>
                <w:rFonts w:cstheme="minorHAnsi"/>
                <w:color w:val="231F20"/>
                <w:w w:val="105"/>
              </w:rPr>
              <w:t>with</w:t>
            </w:r>
            <w:r w:rsidRPr="006206D4">
              <w:rPr>
                <w:rFonts w:cstheme="minorHAnsi"/>
                <w:color w:val="231F20"/>
                <w:spacing w:val="13"/>
                <w:w w:val="105"/>
              </w:rPr>
              <w:t xml:space="preserve"> </w:t>
            </w:r>
            <w:r w:rsidRPr="006206D4">
              <w:rPr>
                <w:rFonts w:cstheme="minorHAnsi"/>
                <w:color w:val="231F20"/>
                <w:w w:val="105"/>
              </w:rPr>
              <w:t>other</w:t>
            </w:r>
            <w:r w:rsidRPr="006206D4">
              <w:rPr>
                <w:rFonts w:cstheme="minorHAnsi"/>
                <w:color w:val="231F20"/>
                <w:spacing w:val="13"/>
                <w:w w:val="105"/>
              </w:rPr>
              <w:t xml:space="preserve"> </w:t>
            </w:r>
            <w:r w:rsidRPr="006206D4">
              <w:rPr>
                <w:rFonts w:cstheme="minorHAnsi"/>
                <w:color w:val="231F20"/>
                <w:w w:val="105"/>
              </w:rPr>
              <w:t>agencies</w:t>
            </w:r>
            <w:r w:rsidRPr="006206D4">
              <w:rPr>
                <w:rFonts w:cstheme="minorHAnsi"/>
                <w:color w:val="231F20"/>
                <w:spacing w:val="-14"/>
                <w:w w:val="105"/>
              </w:rPr>
              <w:t xml:space="preserve"> </w:t>
            </w:r>
            <w:r w:rsidRPr="006206D4">
              <w:rPr>
                <w:rFonts w:cstheme="minorHAnsi"/>
                <w:color w:val="231F20"/>
                <w:w w:val="105"/>
              </w:rPr>
              <w:t>and organizations to provide customers more access to community</w:t>
            </w:r>
            <w:r w:rsidRPr="006206D4">
              <w:rPr>
                <w:rFonts w:cstheme="minorHAnsi"/>
                <w:color w:val="231F20"/>
                <w:spacing w:val="33"/>
                <w:w w:val="105"/>
              </w:rPr>
              <w:t xml:space="preserve"> </w:t>
            </w:r>
            <w:r w:rsidRPr="006206D4">
              <w:rPr>
                <w:rFonts w:cstheme="minorHAnsi"/>
                <w:color w:val="231F20"/>
                <w:w w:val="105"/>
              </w:rPr>
              <w:t>resources.</w:t>
            </w:r>
          </w:p>
        </w:tc>
      </w:tr>
    </w:tbl>
    <w:p w14:paraId="79E68E05" w14:textId="77777777" w:rsidR="006206D4" w:rsidRPr="006206D4" w:rsidRDefault="006206D4" w:rsidP="00D63204">
      <w:pPr>
        <w:widowControl w:val="0"/>
        <w:spacing w:after="0" w:line="240" w:lineRule="auto"/>
        <w:ind w:left="107"/>
        <w:rPr>
          <w:rFonts w:cstheme="minorHAnsi"/>
        </w:rPr>
        <w:sectPr w:rsidR="006206D4" w:rsidRPr="006206D4">
          <w:pgSz w:w="12240" w:h="15840"/>
          <w:pgMar w:top="1620" w:right="900" w:bottom="820" w:left="900" w:header="812" w:footer="624" w:gutter="0"/>
          <w:cols w:space="720"/>
        </w:sectPr>
      </w:pPr>
    </w:p>
    <w:p w14:paraId="06CA122D" w14:textId="77777777" w:rsidR="00282376" w:rsidRDefault="00282376" w:rsidP="00D63204">
      <w:pPr>
        <w:widowControl w:val="0"/>
        <w:spacing w:before="3" w:after="0" w:line="240" w:lineRule="auto"/>
        <w:ind w:left="107"/>
        <w:rPr>
          <w:rFonts w:cstheme="minorHAnsi"/>
          <w:bCs/>
        </w:rPr>
      </w:pPr>
    </w:p>
    <w:p w14:paraId="1CE35546" w14:textId="02A02CFE" w:rsidR="006206D4" w:rsidRPr="006206D4" w:rsidRDefault="006206D4" w:rsidP="00D63204">
      <w:pPr>
        <w:widowControl w:val="0"/>
        <w:spacing w:before="3" w:after="0" w:line="240" w:lineRule="auto"/>
        <w:ind w:left="107"/>
        <w:rPr>
          <w:rFonts w:cstheme="minorHAnsi"/>
          <w:bCs/>
        </w:rPr>
      </w:pPr>
      <w:r w:rsidRPr="006206D4">
        <w:rPr>
          <w:rFonts w:cstheme="minorHAnsi"/>
          <w:bCs/>
        </w:rPr>
        <w:t xml:space="preserve">Although results of the CSNA public survey and a review of VR customer data and state demographic estimates did not indicate any specific ethnic groups with limited access to VR services, VR </w:t>
      </w:r>
      <w:r w:rsidR="00AC0F0A">
        <w:rPr>
          <w:rFonts w:cstheme="minorHAnsi"/>
          <w:bCs/>
        </w:rPr>
        <w:t xml:space="preserve">continues to </w:t>
      </w:r>
      <w:r w:rsidRPr="006206D4">
        <w:rPr>
          <w:rFonts w:cstheme="minorHAnsi"/>
          <w:bCs/>
        </w:rPr>
        <w:t>assess its services to individuals with the most significant disabilities and individuals who may be unserved or underserved, as well as those with the most significant disabilities who may be from minority populations.</w:t>
      </w:r>
    </w:p>
    <w:p w14:paraId="584B10DB" w14:textId="77777777" w:rsidR="006206D4" w:rsidRPr="006206D4" w:rsidRDefault="006206D4" w:rsidP="00D63204">
      <w:pPr>
        <w:widowControl w:val="0"/>
        <w:spacing w:before="3" w:after="0" w:line="240" w:lineRule="auto"/>
        <w:ind w:left="107"/>
        <w:rPr>
          <w:rFonts w:cstheme="minorHAnsi"/>
          <w:bCs/>
        </w:rPr>
      </w:pPr>
      <w:r w:rsidRPr="006206D4">
        <w:rPr>
          <w:rFonts w:cstheme="minorHAnsi"/>
          <w:bCs/>
        </w:rPr>
        <w:t xml:space="preserve"> </w:t>
      </w:r>
    </w:p>
    <w:p w14:paraId="52D284C3" w14:textId="77777777" w:rsidR="006206D4" w:rsidRPr="006206D4" w:rsidRDefault="006206D4" w:rsidP="00D63204">
      <w:pPr>
        <w:widowControl w:val="0"/>
        <w:spacing w:before="3" w:after="0" w:line="240" w:lineRule="auto"/>
        <w:ind w:left="107"/>
        <w:rPr>
          <w:rFonts w:cstheme="minorHAnsi"/>
          <w:bCs/>
        </w:rPr>
      </w:pPr>
      <w:r w:rsidRPr="006206D4">
        <w:rPr>
          <w:rFonts w:cstheme="minorHAnsi"/>
          <w:bCs/>
        </w:rPr>
        <w:t>Results of the CSNA public survey indicated the following groups as having limited access to VR services.</w:t>
      </w:r>
    </w:p>
    <w:p w14:paraId="445EA275" w14:textId="77777777" w:rsidR="00282376" w:rsidRDefault="00282376" w:rsidP="00D63204">
      <w:pPr>
        <w:widowControl w:val="0"/>
        <w:spacing w:before="3" w:after="0" w:line="240" w:lineRule="auto"/>
        <w:ind w:left="107"/>
        <w:rPr>
          <w:rFonts w:cstheme="minorHAnsi"/>
          <w:bCs/>
        </w:rPr>
      </w:pPr>
    </w:p>
    <w:p w14:paraId="713C198F" w14:textId="5DE564F3" w:rsidR="006206D4" w:rsidRPr="00282376" w:rsidRDefault="006206D4" w:rsidP="00D63204">
      <w:pPr>
        <w:pStyle w:val="ListParagraph"/>
        <w:widowControl w:val="0"/>
        <w:numPr>
          <w:ilvl w:val="0"/>
          <w:numId w:val="118"/>
        </w:numPr>
        <w:spacing w:before="3" w:after="0" w:line="240" w:lineRule="auto"/>
        <w:rPr>
          <w:rFonts w:cstheme="minorHAnsi"/>
          <w:bCs/>
        </w:rPr>
      </w:pPr>
      <w:r w:rsidRPr="00282376">
        <w:rPr>
          <w:rFonts w:cstheme="minorHAnsi"/>
          <w:bCs/>
        </w:rPr>
        <w:t>Individuals living in rural areas (58.86%)</w:t>
      </w:r>
    </w:p>
    <w:p w14:paraId="7BACAB66" w14:textId="77777777" w:rsidR="00282376" w:rsidRDefault="00282376" w:rsidP="00D63204">
      <w:pPr>
        <w:widowControl w:val="0"/>
        <w:spacing w:before="3" w:after="0" w:line="240" w:lineRule="auto"/>
        <w:ind w:left="90"/>
        <w:rPr>
          <w:rFonts w:cstheme="minorHAnsi"/>
          <w:bCs/>
        </w:rPr>
      </w:pPr>
    </w:p>
    <w:p w14:paraId="29AD724B" w14:textId="4C15CED5" w:rsidR="006206D4" w:rsidRPr="00282376" w:rsidRDefault="006206D4" w:rsidP="00D63204">
      <w:pPr>
        <w:pStyle w:val="ListParagraph"/>
        <w:widowControl w:val="0"/>
        <w:numPr>
          <w:ilvl w:val="0"/>
          <w:numId w:val="118"/>
        </w:numPr>
        <w:spacing w:before="3" w:after="0" w:line="240" w:lineRule="auto"/>
        <w:rPr>
          <w:rFonts w:cstheme="minorHAnsi"/>
          <w:bCs/>
        </w:rPr>
      </w:pPr>
      <w:r w:rsidRPr="00282376">
        <w:rPr>
          <w:rFonts w:cstheme="minorHAnsi"/>
          <w:bCs/>
        </w:rPr>
        <w:t>Individuals with a criminal background (48.57%)</w:t>
      </w:r>
    </w:p>
    <w:p w14:paraId="1AA396AB" w14:textId="77777777" w:rsidR="00282376" w:rsidRDefault="00282376" w:rsidP="00D63204">
      <w:pPr>
        <w:widowControl w:val="0"/>
        <w:spacing w:before="3" w:after="0" w:line="240" w:lineRule="auto"/>
        <w:ind w:left="90"/>
        <w:rPr>
          <w:rFonts w:cstheme="minorHAnsi"/>
          <w:bCs/>
        </w:rPr>
      </w:pPr>
    </w:p>
    <w:p w14:paraId="7E067E16" w14:textId="7FF5FACD" w:rsidR="006206D4" w:rsidRPr="00282376" w:rsidRDefault="006206D4" w:rsidP="00D63204">
      <w:pPr>
        <w:pStyle w:val="ListParagraph"/>
        <w:widowControl w:val="0"/>
        <w:numPr>
          <w:ilvl w:val="0"/>
          <w:numId w:val="118"/>
        </w:numPr>
        <w:spacing w:before="3" w:after="0" w:line="240" w:lineRule="auto"/>
        <w:rPr>
          <w:rFonts w:cstheme="minorHAnsi"/>
          <w:bCs/>
        </w:rPr>
      </w:pPr>
      <w:r w:rsidRPr="00282376">
        <w:rPr>
          <w:rFonts w:cstheme="minorHAnsi"/>
          <w:bCs/>
        </w:rPr>
        <w:t>Individuals on waiting list (43.95%)</w:t>
      </w:r>
    </w:p>
    <w:p w14:paraId="7ACAD5BB" w14:textId="77777777" w:rsidR="00282376" w:rsidRDefault="00282376" w:rsidP="00D63204">
      <w:pPr>
        <w:widowControl w:val="0"/>
        <w:spacing w:before="3" w:after="0" w:line="240" w:lineRule="auto"/>
        <w:ind w:left="90"/>
        <w:rPr>
          <w:rFonts w:cstheme="minorHAnsi"/>
          <w:bCs/>
        </w:rPr>
      </w:pPr>
    </w:p>
    <w:p w14:paraId="5A1FFFD6" w14:textId="78FC1BFE" w:rsidR="006206D4" w:rsidRPr="00282376" w:rsidRDefault="006206D4" w:rsidP="00D63204">
      <w:pPr>
        <w:pStyle w:val="ListParagraph"/>
        <w:widowControl w:val="0"/>
        <w:numPr>
          <w:ilvl w:val="0"/>
          <w:numId w:val="118"/>
        </w:numPr>
        <w:spacing w:before="3" w:after="0" w:line="240" w:lineRule="auto"/>
        <w:rPr>
          <w:rFonts w:cstheme="minorHAnsi"/>
          <w:bCs/>
        </w:rPr>
      </w:pPr>
      <w:r w:rsidRPr="00282376">
        <w:rPr>
          <w:rFonts w:cstheme="minorHAnsi"/>
          <w:bCs/>
        </w:rPr>
        <w:t>Individuals with a mental health disability (43.57%)</w:t>
      </w:r>
    </w:p>
    <w:p w14:paraId="6B13F5FF" w14:textId="77777777" w:rsidR="00282376" w:rsidRDefault="00282376" w:rsidP="00D63204">
      <w:pPr>
        <w:widowControl w:val="0"/>
        <w:spacing w:before="3" w:after="0" w:line="240" w:lineRule="auto"/>
        <w:ind w:left="90"/>
        <w:rPr>
          <w:rFonts w:cstheme="minorHAnsi"/>
          <w:bCs/>
        </w:rPr>
      </w:pPr>
    </w:p>
    <w:p w14:paraId="18A699AC" w14:textId="112C49B2" w:rsidR="006206D4" w:rsidRPr="00282376" w:rsidRDefault="006206D4" w:rsidP="00D63204">
      <w:pPr>
        <w:pStyle w:val="ListParagraph"/>
        <w:widowControl w:val="0"/>
        <w:numPr>
          <w:ilvl w:val="0"/>
          <w:numId w:val="118"/>
        </w:numPr>
        <w:spacing w:before="3" w:after="0" w:line="240" w:lineRule="auto"/>
        <w:rPr>
          <w:rFonts w:cstheme="minorHAnsi"/>
          <w:bCs/>
        </w:rPr>
      </w:pPr>
      <w:r w:rsidRPr="00282376">
        <w:rPr>
          <w:rFonts w:cstheme="minorHAnsi"/>
          <w:bCs/>
        </w:rPr>
        <w:t>Individuals with an intellectual disability (43.42%)</w:t>
      </w:r>
    </w:p>
    <w:p w14:paraId="4A6228A9" w14:textId="77777777" w:rsidR="006206D4" w:rsidRPr="006206D4" w:rsidRDefault="006206D4" w:rsidP="00D63204">
      <w:pPr>
        <w:widowControl w:val="0"/>
        <w:spacing w:before="3" w:after="0" w:line="240" w:lineRule="auto"/>
        <w:ind w:left="107"/>
        <w:rPr>
          <w:rFonts w:cstheme="minorHAnsi"/>
          <w:bCs/>
        </w:rPr>
      </w:pPr>
    </w:p>
    <w:p w14:paraId="32BEB8AE" w14:textId="4BB05AC0" w:rsidR="006206D4" w:rsidRPr="006206D4" w:rsidRDefault="006206D4" w:rsidP="00D63204">
      <w:pPr>
        <w:widowControl w:val="0"/>
        <w:spacing w:before="3" w:after="0" w:line="240" w:lineRule="auto"/>
        <w:ind w:left="107"/>
        <w:rPr>
          <w:rFonts w:cstheme="minorHAnsi"/>
          <w:bCs/>
        </w:rPr>
      </w:pPr>
      <w:r w:rsidRPr="006206D4">
        <w:rPr>
          <w:rFonts w:cstheme="minorHAnsi"/>
          <w:bCs/>
        </w:rPr>
        <w:t xml:space="preserve">VR anticipates that continued WIOA implementation will increase access to the groups mentioned above. </w:t>
      </w:r>
      <w:r w:rsidR="00AB0EDD">
        <w:rPr>
          <w:rFonts w:cstheme="minorHAnsi"/>
          <w:bCs/>
        </w:rPr>
        <w:t>Additional projects</w:t>
      </w:r>
      <w:r w:rsidRPr="006206D4">
        <w:rPr>
          <w:rFonts w:cstheme="minorHAnsi"/>
          <w:bCs/>
        </w:rPr>
        <w:t xml:space="preserve"> and local</w:t>
      </w:r>
      <w:r w:rsidR="00AD71D3">
        <w:rPr>
          <w:rFonts w:cstheme="minorHAnsi"/>
          <w:bCs/>
        </w:rPr>
        <w:t>-</w:t>
      </w:r>
      <w:r w:rsidRPr="006206D4">
        <w:rPr>
          <w:rFonts w:cstheme="minorHAnsi"/>
          <w:bCs/>
        </w:rPr>
        <w:t>level outreach activities include the following:</w:t>
      </w:r>
    </w:p>
    <w:p w14:paraId="59BFCA85" w14:textId="77777777" w:rsidR="006206D4" w:rsidRPr="006206D4" w:rsidRDefault="006206D4" w:rsidP="00D63204">
      <w:pPr>
        <w:widowControl w:val="0"/>
        <w:spacing w:before="3" w:after="0" w:line="240" w:lineRule="auto"/>
        <w:ind w:left="107"/>
        <w:rPr>
          <w:rFonts w:cstheme="minorHAnsi"/>
          <w:bCs/>
        </w:rPr>
      </w:pPr>
    </w:p>
    <w:p w14:paraId="2DC92BF5" w14:textId="4A0C9249" w:rsidR="006206D4" w:rsidRPr="00AD71D3" w:rsidRDefault="006206D4" w:rsidP="00D63204">
      <w:pPr>
        <w:pStyle w:val="ListParagraph"/>
        <w:widowControl w:val="0"/>
        <w:numPr>
          <w:ilvl w:val="0"/>
          <w:numId w:val="120"/>
        </w:numPr>
        <w:spacing w:before="3" w:after="0" w:line="240" w:lineRule="auto"/>
        <w:rPr>
          <w:rFonts w:cstheme="minorHAnsi"/>
          <w:bCs/>
        </w:rPr>
      </w:pPr>
      <w:r w:rsidRPr="00AD71D3">
        <w:rPr>
          <w:rFonts w:cstheme="minorHAnsi"/>
          <w:bCs/>
        </w:rPr>
        <w:t>Develop and implement all components of the VR Business Relationship Program</w:t>
      </w:r>
    </w:p>
    <w:p w14:paraId="3C1B2ABA" w14:textId="77777777" w:rsidR="00282376" w:rsidRPr="00282376" w:rsidRDefault="00282376" w:rsidP="00D63204">
      <w:pPr>
        <w:pStyle w:val="ListParagraph"/>
        <w:widowControl w:val="0"/>
        <w:spacing w:before="3" w:after="0" w:line="240" w:lineRule="auto"/>
        <w:ind w:left="827"/>
        <w:rPr>
          <w:rFonts w:cstheme="minorHAnsi"/>
          <w:bCs/>
        </w:rPr>
      </w:pPr>
    </w:p>
    <w:p w14:paraId="19A80F1A" w14:textId="5570BEE4" w:rsidR="006206D4" w:rsidRPr="00AD71D3" w:rsidRDefault="006206D4" w:rsidP="00D63204">
      <w:pPr>
        <w:pStyle w:val="ListParagraph"/>
        <w:widowControl w:val="0"/>
        <w:numPr>
          <w:ilvl w:val="0"/>
          <w:numId w:val="120"/>
        </w:numPr>
        <w:spacing w:before="3" w:after="0" w:line="240" w:lineRule="auto"/>
        <w:rPr>
          <w:rFonts w:cstheme="minorHAnsi"/>
          <w:bCs/>
        </w:rPr>
      </w:pPr>
      <w:r w:rsidRPr="00AD71D3">
        <w:rPr>
          <w:rFonts w:cstheme="minorHAnsi"/>
          <w:bCs/>
        </w:rPr>
        <w:t>Redesign and implement pre</w:t>
      </w:r>
      <w:r w:rsidR="00AD71D3" w:rsidRPr="00AD71D3">
        <w:rPr>
          <w:rFonts w:cstheme="minorHAnsi"/>
          <w:bCs/>
        </w:rPr>
        <w:t>-</w:t>
      </w:r>
      <w:r w:rsidRPr="00AD71D3">
        <w:rPr>
          <w:rFonts w:cstheme="minorHAnsi"/>
          <w:bCs/>
        </w:rPr>
        <w:t>employment services for transition</w:t>
      </w:r>
      <w:r w:rsidR="00AD71D3" w:rsidRPr="00AD71D3">
        <w:rPr>
          <w:rFonts w:cstheme="minorHAnsi"/>
          <w:bCs/>
        </w:rPr>
        <w:t xml:space="preserve"> </w:t>
      </w:r>
      <w:r w:rsidR="00F53876">
        <w:rPr>
          <w:rFonts w:cstheme="minorHAnsi"/>
          <w:bCs/>
        </w:rPr>
        <w:t>age customers</w:t>
      </w:r>
    </w:p>
    <w:p w14:paraId="38E16DF9" w14:textId="77777777" w:rsidR="00282376" w:rsidRDefault="00282376" w:rsidP="00D63204">
      <w:pPr>
        <w:pStyle w:val="ListParagraph"/>
        <w:widowControl w:val="0"/>
        <w:spacing w:before="3" w:after="0" w:line="240" w:lineRule="auto"/>
        <w:ind w:left="827"/>
        <w:rPr>
          <w:rFonts w:cstheme="minorHAnsi"/>
          <w:bCs/>
        </w:rPr>
      </w:pPr>
    </w:p>
    <w:p w14:paraId="44CCDD4E" w14:textId="582C61FB" w:rsidR="00282376" w:rsidRPr="00AD71D3" w:rsidRDefault="006206D4" w:rsidP="00D63204">
      <w:pPr>
        <w:pStyle w:val="ListParagraph"/>
        <w:widowControl w:val="0"/>
        <w:numPr>
          <w:ilvl w:val="0"/>
          <w:numId w:val="120"/>
        </w:numPr>
        <w:spacing w:before="3" w:after="0" w:line="240" w:lineRule="auto"/>
        <w:rPr>
          <w:rFonts w:cstheme="minorHAnsi"/>
          <w:bCs/>
        </w:rPr>
      </w:pPr>
      <w:r w:rsidRPr="00AD71D3">
        <w:rPr>
          <w:rFonts w:cstheme="minorHAnsi"/>
          <w:bCs/>
        </w:rPr>
        <w:t>Design and implement a program about service alternatives for customers to use in making an informed choice prior to ente</w:t>
      </w:r>
      <w:r w:rsidR="00F53876">
        <w:rPr>
          <w:rFonts w:cstheme="minorHAnsi"/>
          <w:bCs/>
        </w:rPr>
        <w:t>ring subminimum wage employment</w:t>
      </w:r>
    </w:p>
    <w:p w14:paraId="60D4CC00" w14:textId="77777777" w:rsidR="00AD71D3" w:rsidRDefault="00AD71D3" w:rsidP="00D63204">
      <w:pPr>
        <w:pStyle w:val="ListParagraph"/>
        <w:widowControl w:val="0"/>
        <w:spacing w:before="3" w:after="0" w:line="240" w:lineRule="auto"/>
        <w:ind w:left="827"/>
        <w:rPr>
          <w:rFonts w:cstheme="minorHAnsi"/>
          <w:bCs/>
        </w:rPr>
      </w:pPr>
    </w:p>
    <w:p w14:paraId="5229D33F" w14:textId="070810DC" w:rsidR="006206D4" w:rsidRPr="00AD71D3" w:rsidRDefault="006206D4" w:rsidP="00D63204">
      <w:pPr>
        <w:pStyle w:val="ListParagraph"/>
        <w:widowControl w:val="0"/>
        <w:numPr>
          <w:ilvl w:val="0"/>
          <w:numId w:val="120"/>
        </w:numPr>
        <w:spacing w:before="3" w:after="0" w:line="240" w:lineRule="auto"/>
        <w:rPr>
          <w:rFonts w:cstheme="minorHAnsi"/>
          <w:bCs/>
        </w:rPr>
      </w:pPr>
      <w:r w:rsidRPr="00AD71D3">
        <w:rPr>
          <w:rFonts w:cstheme="minorHAnsi"/>
          <w:bCs/>
        </w:rPr>
        <w:t>Design and implement enhancements to the Vendor Profile document for customer use in making informed choices</w:t>
      </w:r>
      <w:r w:rsidR="00F53876">
        <w:rPr>
          <w:rFonts w:cstheme="minorHAnsi"/>
          <w:bCs/>
        </w:rPr>
        <w:t xml:space="preserve"> regarding employment providers</w:t>
      </w:r>
    </w:p>
    <w:p w14:paraId="4090A266" w14:textId="77777777" w:rsidR="00282376" w:rsidRDefault="00282376" w:rsidP="00D63204">
      <w:pPr>
        <w:widowControl w:val="0"/>
        <w:spacing w:before="3" w:after="0" w:line="240" w:lineRule="auto"/>
        <w:ind w:left="107"/>
        <w:contextualSpacing/>
        <w:rPr>
          <w:rFonts w:cstheme="minorHAnsi"/>
          <w:bCs/>
        </w:rPr>
      </w:pPr>
    </w:p>
    <w:p w14:paraId="299A0236" w14:textId="0BFD63CB" w:rsidR="006206D4" w:rsidRDefault="006206D4" w:rsidP="00D63204">
      <w:pPr>
        <w:pStyle w:val="ListParagraph"/>
        <w:widowControl w:val="0"/>
        <w:numPr>
          <w:ilvl w:val="0"/>
          <w:numId w:val="120"/>
        </w:numPr>
        <w:spacing w:before="3" w:after="0" w:line="240" w:lineRule="auto"/>
        <w:rPr>
          <w:rFonts w:cstheme="minorHAnsi"/>
          <w:bCs/>
        </w:rPr>
      </w:pPr>
      <w:r w:rsidRPr="00282376">
        <w:rPr>
          <w:rFonts w:cstheme="minorHAnsi"/>
          <w:bCs/>
        </w:rPr>
        <w:t>Continue to explore partnership opportunities with community/faith</w:t>
      </w:r>
      <w:r w:rsidR="00AD71D3">
        <w:rPr>
          <w:rFonts w:cstheme="minorHAnsi"/>
          <w:bCs/>
        </w:rPr>
        <w:t>-</w:t>
      </w:r>
      <w:r w:rsidRPr="00282376">
        <w:rPr>
          <w:rFonts w:cstheme="minorHAnsi"/>
          <w:bCs/>
        </w:rPr>
        <w:t>based organizations. Develop contact lists of faith</w:t>
      </w:r>
      <w:r w:rsidR="001D5DBF">
        <w:rPr>
          <w:rFonts w:cstheme="minorHAnsi"/>
          <w:bCs/>
        </w:rPr>
        <w:t>-</w:t>
      </w:r>
      <w:r w:rsidRPr="00282376">
        <w:rPr>
          <w:rFonts w:cstheme="minorHAnsi"/>
          <w:bCs/>
        </w:rPr>
        <w:t>based and other diverse programs as resource</w:t>
      </w:r>
      <w:r w:rsidR="00F53876">
        <w:rPr>
          <w:rFonts w:cstheme="minorHAnsi"/>
          <w:bCs/>
        </w:rPr>
        <w:t>s for partnership opportunities</w:t>
      </w:r>
    </w:p>
    <w:p w14:paraId="488E274E" w14:textId="77777777" w:rsidR="00282376" w:rsidRPr="00282376" w:rsidRDefault="00282376" w:rsidP="00D63204">
      <w:pPr>
        <w:pStyle w:val="ListParagraph"/>
        <w:widowControl w:val="0"/>
        <w:spacing w:before="3" w:after="0" w:line="240" w:lineRule="auto"/>
        <w:ind w:left="827"/>
        <w:rPr>
          <w:rFonts w:cstheme="minorHAnsi"/>
          <w:bCs/>
        </w:rPr>
      </w:pPr>
    </w:p>
    <w:p w14:paraId="1453A1CB" w14:textId="59113E77" w:rsidR="006206D4" w:rsidRDefault="006206D4" w:rsidP="00D63204">
      <w:pPr>
        <w:pStyle w:val="ListParagraph"/>
        <w:widowControl w:val="0"/>
        <w:numPr>
          <w:ilvl w:val="0"/>
          <w:numId w:val="120"/>
        </w:numPr>
        <w:spacing w:before="3" w:after="0" w:line="240" w:lineRule="auto"/>
        <w:rPr>
          <w:rFonts w:cstheme="minorHAnsi"/>
          <w:bCs/>
        </w:rPr>
      </w:pPr>
      <w:r w:rsidRPr="00282376">
        <w:rPr>
          <w:rFonts w:cstheme="minorHAnsi"/>
          <w:bCs/>
        </w:rPr>
        <w:t>Continue to identify outreach activities conducted by VR area offices for underrepresented populations. Conduct outreach in local communities to promote VR as an agency</w:t>
      </w:r>
      <w:r w:rsidR="00D5537E">
        <w:rPr>
          <w:rFonts w:cstheme="minorHAnsi"/>
          <w:bCs/>
        </w:rPr>
        <w:t xml:space="preserve"> and</w:t>
      </w:r>
      <w:r w:rsidRPr="00282376">
        <w:rPr>
          <w:rFonts w:cstheme="minorHAnsi"/>
          <w:bCs/>
        </w:rPr>
        <w:t xml:space="preserve"> help individuals with disabilities who are minorities or who may be unserved or underserved to return or remain in the workplace.</w:t>
      </w:r>
    </w:p>
    <w:p w14:paraId="3C146C86" w14:textId="77777777" w:rsidR="00282376" w:rsidRPr="00282376" w:rsidRDefault="00282376" w:rsidP="00D63204">
      <w:pPr>
        <w:pStyle w:val="ListParagraph"/>
        <w:widowControl w:val="0"/>
        <w:spacing w:before="3" w:after="0" w:line="240" w:lineRule="auto"/>
        <w:ind w:left="827"/>
        <w:rPr>
          <w:rFonts w:cstheme="minorHAnsi"/>
          <w:bCs/>
        </w:rPr>
      </w:pPr>
    </w:p>
    <w:p w14:paraId="6772A9DB" w14:textId="4A2D100F" w:rsidR="006206D4" w:rsidRDefault="006206D4" w:rsidP="00D63204">
      <w:pPr>
        <w:pStyle w:val="ListParagraph"/>
        <w:widowControl w:val="0"/>
        <w:numPr>
          <w:ilvl w:val="0"/>
          <w:numId w:val="120"/>
        </w:numPr>
        <w:spacing w:before="3" w:after="0" w:line="240" w:lineRule="auto"/>
        <w:rPr>
          <w:rFonts w:cstheme="minorHAnsi"/>
          <w:bCs/>
        </w:rPr>
      </w:pPr>
      <w:r w:rsidRPr="00282376">
        <w:rPr>
          <w:rFonts w:cstheme="minorHAnsi"/>
          <w:bCs/>
        </w:rPr>
        <w:t>Continue to conduct outreach to migrant and seasonal farmworkers and their families through contracts with community</w:t>
      </w:r>
      <w:r w:rsidR="001D5DBF">
        <w:rPr>
          <w:rFonts w:cstheme="minorHAnsi"/>
          <w:bCs/>
        </w:rPr>
        <w:t>-</w:t>
      </w:r>
      <w:r w:rsidRPr="00282376">
        <w:rPr>
          <w:rFonts w:cstheme="minorHAnsi"/>
          <w:bCs/>
        </w:rPr>
        <w:t>based o</w:t>
      </w:r>
      <w:r w:rsidR="00F53876">
        <w:rPr>
          <w:rFonts w:cstheme="minorHAnsi"/>
          <w:bCs/>
        </w:rPr>
        <w:t>rganizations and other partners</w:t>
      </w:r>
    </w:p>
    <w:p w14:paraId="5F098FDA" w14:textId="77777777" w:rsidR="00282376" w:rsidRPr="00282376" w:rsidRDefault="00282376" w:rsidP="00D63204">
      <w:pPr>
        <w:pStyle w:val="ListParagraph"/>
        <w:widowControl w:val="0"/>
        <w:spacing w:before="3" w:after="0" w:line="240" w:lineRule="auto"/>
        <w:ind w:left="827"/>
        <w:rPr>
          <w:rFonts w:cstheme="minorHAnsi"/>
          <w:bCs/>
        </w:rPr>
      </w:pPr>
    </w:p>
    <w:p w14:paraId="34EB30D8" w14:textId="5EA1143D" w:rsidR="006206D4" w:rsidRPr="00282376" w:rsidRDefault="006206D4" w:rsidP="00D63204">
      <w:pPr>
        <w:pStyle w:val="ListParagraph"/>
        <w:widowControl w:val="0"/>
        <w:numPr>
          <w:ilvl w:val="0"/>
          <w:numId w:val="120"/>
        </w:numPr>
        <w:spacing w:before="3" w:after="0" w:line="240" w:lineRule="auto"/>
        <w:rPr>
          <w:rFonts w:cstheme="minorHAnsi"/>
          <w:bCs/>
        </w:rPr>
      </w:pPr>
      <w:r w:rsidRPr="00282376">
        <w:rPr>
          <w:rFonts w:cstheme="minorHAnsi"/>
          <w:bCs/>
        </w:rPr>
        <w:t>Continue to implement activities outlined in the Memorandum of Understanding with</w:t>
      </w:r>
      <w:r w:rsidR="00F53876">
        <w:rPr>
          <w:rFonts w:cstheme="minorHAnsi"/>
          <w:bCs/>
        </w:rPr>
        <w:t xml:space="preserve"> the Lower Muscogee Creek Tribe</w:t>
      </w:r>
    </w:p>
    <w:p w14:paraId="3DBD92BB" w14:textId="77777777" w:rsidR="006206D4" w:rsidRPr="006206D4" w:rsidRDefault="006206D4" w:rsidP="00D63204">
      <w:pPr>
        <w:widowControl w:val="0"/>
        <w:spacing w:before="3" w:after="0" w:line="240" w:lineRule="auto"/>
        <w:ind w:left="107"/>
        <w:rPr>
          <w:rFonts w:cstheme="minorHAnsi"/>
          <w:bCs/>
        </w:rPr>
      </w:pPr>
    </w:p>
    <w:p w14:paraId="250E2374" w14:textId="77777777" w:rsidR="001D5DBF" w:rsidRDefault="001D5DBF" w:rsidP="00D63204">
      <w:pPr>
        <w:widowControl w:val="0"/>
        <w:spacing w:before="3" w:after="0" w:line="240" w:lineRule="auto"/>
        <w:ind w:left="107"/>
        <w:rPr>
          <w:rFonts w:cstheme="minorHAnsi"/>
          <w:bCs/>
        </w:rPr>
      </w:pPr>
    </w:p>
    <w:p w14:paraId="77005D16" w14:textId="77777777" w:rsidR="001D5DBF" w:rsidRDefault="001D5DBF" w:rsidP="00D63204">
      <w:pPr>
        <w:widowControl w:val="0"/>
        <w:spacing w:before="3" w:after="0" w:line="240" w:lineRule="auto"/>
        <w:ind w:left="107"/>
        <w:rPr>
          <w:rFonts w:cstheme="minorHAnsi"/>
          <w:bCs/>
        </w:rPr>
      </w:pPr>
    </w:p>
    <w:p w14:paraId="7E3628A4" w14:textId="77777777" w:rsidR="001D5DBF" w:rsidRDefault="001D5DBF" w:rsidP="00D63204">
      <w:pPr>
        <w:widowControl w:val="0"/>
        <w:spacing w:before="3" w:after="0" w:line="240" w:lineRule="auto"/>
        <w:ind w:left="107"/>
        <w:rPr>
          <w:rFonts w:cstheme="minorHAnsi"/>
          <w:bCs/>
        </w:rPr>
      </w:pPr>
    </w:p>
    <w:p w14:paraId="30EEC1C8" w14:textId="77777777" w:rsidR="001D5DBF" w:rsidRDefault="001D5DBF" w:rsidP="00D63204">
      <w:pPr>
        <w:widowControl w:val="0"/>
        <w:spacing w:before="3" w:after="0" w:line="240" w:lineRule="auto"/>
        <w:ind w:left="107"/>
        <w:rPr>
          <w:rFonts w:cstheme="minorHAnsi"/>
          <w:bCs/>
        </w:rPr>
      </w:pPr>
    </w:p>
    <w:p w14:paraId="2CB2D59E" w14:textId="05964C14" w:rsidR="006206D4" w:rsidRPr="006206D4" w:rsidRDefault="006206D4" w:rsidP="00D63204">
      <w:pPr>
        <w:widowControl w:val="0"/>
        <w:spacing w:before="3" w:after="0" w:line="240" w:lineRule="auto"/>
        <w:ind w:left="107"/>
        <w:rPr>
          <w:rFonts w:cstheme="minorHAnsi"/>
          <w:bCs/>
        </w:rPr>
      </w:pPr>
      <w:r w:rsidRPr="006206D4">
        <w:rPr>
          <w:rFonts w:cstheme="minorHAnsi"/>
          <w:bCs/>
        </w:rPr>
        <w:t>VR’s most recent CSNA was conducted prior to WIOA</w:t>
      </w:r>
      <w:r w:rsidR="00D5537E">
        <w:rPr>
          <w:rFonts w:cstheme="minorHAnsi"/>
          <w:bCs/>
        </w:rPr>
        <w:t xml:space="preserve"> and</w:t>
      </w:r>
      <w:r w:rsidRPr="006206D4">
        <w:rPr>
          <w:rFonts w:cstheme="minorHAnsi"/>
          <w:bCs/>
        </w:rPr>
        <w:t xml:space="preserve"> does not include an assessment of the VR needs of youth and students with disabilities. The VR Transition Youth Program conducted an analysis of “VR Engagement of Youth with Disabilities in High School". Data from the VR Rehabilitation Information Management System (RIMS) and the Bureau of Exceptional Education and Student Services’ (BEESS) State and Local Education Agency profiles was used to determine the extent to which VR was engaging youth while still in high school. </w:t>
      </w:r>
    </w:p>
    <w:p w14:paraId="63B9E563" w14:textId="77777777" w:rsidR="006206D4" w:rsidRPr="006206D4" w:rsidRDefault="006206D4" w:rsidP="00D63204">
      <w:pPr>
        <w:widowControl w:val="0"/>
        <w:spacing w:before="3" w:after="0" w:line="240" w:lineRule="auto"/>
        <w:ind w:left="107"/>
        <w:rPr>
          <w:rFonts w:cstheme="minorHAnsi"/>
          <w:bCs/>
        </w:rPr>
      </w:pPr>
    </w:p>
    <w:p w14:paraId="6DA202BE" w14:textId="19719327" w:rsidR="006206D4" w:rsidRPr="006206D4" w:rsidRDefault="006206D4" w:rsidP="00D63204">
      <w:pPr>
        <w:widowControl w:val="0"/>
        <w:spacing w:before="3" w:line="240" w:lineRule="auto"/>
        <w:ind w:left="107"/>
        <w:rPr>
          <w:rFonts w:cstheme="minorHAnsi"/>
          <w:bCs/>
        </w:rPr>
      </w:pPr>
      <w:r w:rsidRPr="006206D4">
        <w:rPr>
          <w:rFonts w:cstheme="minorHAnsi"/>
          <w:bCs/>
        </w:rPr>
        <w:t>The analysis compared the number of youth with disabilities who had applied for VR services to the total number of youth with disabilities (having an IEP) in a given school district. This provided a percentage of VR engagement for each Florida School District and a way to make comparisons between and among school districts. The information is being used to target intensive technical assistance in poorly engaged areas and facilitate improved communication and collaboration in all school districts. VR will use student engagement data to improve consistency of effort throughout the state and as an additional way to measure gains in performance. In addition to findings and recommendations derived from the Transition Youth Program Analysis, VR</w:t>
      </w:r>
      <w:r w:rsidR="00F53876">
        <w:rPr>
          <w:rFonts w:cstheme="minorHAnsi"/>
          <w:bCs/>
        </w:rPr>
        <w:t xml:space="preserve"> has</w:t>
      </w:r>
      <w:r w:rsidRPr="006206D4">
        <w:rPr>
          <w:rFonts w:cstheme="minorHAnsi"/>
          <w:bCs/>
        </w:rPr>
        <w:t xml:space="preserve"> identified the following strategies that will further increase services to youth and students with disabilities.</w:t>
      </w:r>
    </w:p>
    <w:p w14:paraId="3BC4E75F" w14:textId="4A0F6178" w:rsidR="00282376" w:rsidRPr="00282376" w:rsidRDefault="006206D4" w:rsidP="00D63204">
      <w:pPr>
        <w:pStyle w:val="ListParagraph"/>
        <w:widowControl w:val="0"/>
        <w:numPr>
          <w:ilvl w:val="0"/>
          <w:numId w:val="121"/>
        </w:numPr>
        <w:spacing w:before="3" w:after="0" w:line="240" w:lineRule="auto"/>
        <w:rPr>
          <w:rFonts w:cstheme="minorHAnsi"/>
          <w:bCs/>
        </w:rPr>
      </w:pPr>
      <w:r w:rsidRPr="00282376">
        <w:rPr>
          <w:rFonts w:cstheme="minorHAnsi"/>
          <w:bCs/>
        </w:rPr>
        <w:t>Continue to offer Third</w:t>
      </w:r>
      <w:r w:rsidR="00AB0EDD">
        <w:rPr>
          <w:rFonts w:cstheme="minorHAnsi"/>
          <w:bCs/>
        </w:rPr>
        <w:t xml:space="preserve"> </w:t>
      </w:r>
      <w:r w:rsidRPr="00282376">
        <w:rPr>
          <w:rFonts w:cstheme="minorHAnsi"/>
          <w:bCs/>
        </w:rPr>
        <w:t>Party Cooperative Arrangements (TPCA) to all school districts annually. Although VR approaches and offers TPCA partnerships to all school districts in Florida, the partnership is dependent on the individual district’s decision to participate. VR has recently hired another transition administrator to ensure that information is provided consistently to all school districts</w:t>
      </w:r>
      <w:r w:rsidR="00D5537E">
        <w:rPr>
          <w:rFonts w:cstheme="minorHAnsi"/>
          <w:bCs/>
        </w:rPr>
        <w:t xml:space="preserve"> and</w:t>
      </w:r>
      <w:r w:rsidRPr="00282376">
        <w:rPr>
          <w:rFonts w:cstheme="minorHAnsi"/>
          <w:bCs/>
        </w:rPr>
        <w:t xml:space="preserve"> to coordinate and monitor active and potential TPCA partnerships. VR currently holds 25 TPCA, which will expire on June 30, 2018. VR is in the process of revising the contractual agreement it offers to school districts, but new contracts have not been developed yet. Once developed, if the contract changes the way VR delivers Transition services, the </w:t>
      </w:r>
      <w:r w:rsidR="00D226F4">
        <w:rPr>
          <w:rFonts w:cstheme="minorHAnsi"/>
          <w:bCs/>
        </w:rPr>
        <w:t>s</w:t>
      </w:r>
      <w:r w:rsidRPr="00282376">
        <w:rPr>
          <w:rFonts w:cstheme="minorHAnsi"/>
          <w:bCs/>
        </w:rPr>
        <w:t xml:space="preserve">tate </w:t>
      </w:r>
      <w:r w:rsidR="00D226F4">
        <w:rPr>
          <w:rFonts w:cstheme="minorHAnsi"/>
          <w:bCs/>
        </w:rPr>
        <w:t>p</w:t>
      </w:r>
      <w:r w:rsidRPr="00282376">
        <w:rPr>
          <w:rFonts w:cstheme="minorHAnsi"/>
          <w:bCs/>
        </w:rPr>
        <w:t>lan will be amended.</w:t>
      </w:r>
    </w:p>
    <w:p w14:paraId="6899C2C7" w14:textId="77777777" w:rsidR="00282376" w:rsidRDefault="00282376" w:rsidP="00D63204">
      <w:pPr>
        <w:widowControl w:val="0"/>
        <w:spacing w:before="3" w:after="0" w:line="240" w:lineRule="auto"/>
        <w:ind w:left="107"/>
        <w:contextualSpacing/>
        <w:rPr>
          <w:rFonts w:cstheme="minorHAnsi"/>
          <w:bCs/>
        </w:rPr>
      </w:pPr>
    </w:p>
    <w:p w14:paraId="3217AC8F" w14:textId="02A2206D" w:rsidR="00282376" w:rsidRPr="00282376" w:rsidRDefault="006206D4" w:rsidP="00D63204">
      <w:pPr>
        <w:pStyle w:val="ListParagraph"/>
        <w:widowControl w:val="0"/>
        <w:numPr>
          <w:ilvl w:val="0"/>
          <w:numId w:val="121"/>
        </w:numPr>
        <w:spacing w:before="3" w:after="0" w:line="240" w:lineRule="auto"/>
        <w:rPr>
          <w:rFonts w:cstheme="minorHAnsi"/>
          <w:bCs/>
        </w:rPr>
      </w:pPr>
      <w:r w:rsidRPr="00282376">
        <w:rPr>
          <w:rFonts w:cstheme="minorHAnsi"/>
          <w:bCs/>
        </w:rPr>
        <w:t xml:space="preserve">Two peer mentoring initiatives are planned. A peer mentoring/IPS project with a youth element is </w:t>
      </w:r>
      <w:r w:rsidR="00DF3C2C">
        <w:rPr>
          <w:rFonts w:cstheme="minorHAnsi"/>
          <w:bCs/>
        </w:rPr>
        <w:t>in development</w:t>
      </w:r>
      <w:r w:rsidRPr="00282376">
        <w:rPr>
          <w:rFonts w:cstheme="minorHAnsi"/>
          <w:bCs/>
        </w:rPr>
        <w:t xml:space="preserve"> in Broward County</w:t>
      </w:r>
      <w:r w:rsidR="00D5537E">
        <w:rPr>
          <w:rFonts w:cstheme="minorHAnsi"/>
          <w:bCs/>
        </w:rPr>
        <w:t xml:space="preserve"> and</w:t>
      </w:r>
      <w:r w:rsidRPr="00282376">
        <w:rPr>
          <w:rFonts w:cstheme="minorHAnsi"/>
          <w:bCs/>
        </w:rPr>
        <w:t xml:space="preserve"> a youth</w:t>
      </w:r>
      <w:r w:rsidR="001D5DBF">
        <w:rPr>
          <w:rFonts w:cstheme="minorHAnsi"/>
          <w:bCs/>
        </w:rPr>
        <w:t>-</w:t>
      </w:r>
      <w:r w:rsidRPr="00282376">
        <w:rPr>
          <w:rFonts w:cstheme="minorHAnsi"/>
          <w:bCs/>
        </w:rPr>
        <w:t xml:space="preserve">specific peer mentoring project is </w:t>
      </w:r>
      <w:r w:rsidR="00DF3C2C">
        <w:rPr>
          <w:rFonts w:cstheme="minorHAnsi"/>
          <w:bCs/>
        </w:rPr>
        <w:t>in development</w:t>
      </w:r>
      <w:r w:rsidRPr="00282376">
        <w:rPr>
          <w:rFonts w:cstheme="minorHAnsi"/>
          <w:bCs/>
        </w:rPr>
        <w:t xml:space="preserve"> in partnership with Florida Atlantic University.</w:t>
      </w:r>
    </w:p>
    <w:p w14:paraId="28449E81" w14:textId="77777777" w:rsidR="00282376" w:rsidRDefault="00282376" w:rsidP="00D63204">
      <w:pPr>
        <w:widowControl w:val="0"/>
        <w:spacing w:before="3" w:after="0" w:line="240" w:lineRule="auto"/>
        <w:ind w:left="107"/>
        <w:contextualSpacing/>
        <w:rPr>
          <w:rFonts w:cstheme="minorHAnsi"/>
          <w:bCs/>
        </w:rPr>
      </w:pPr>
    </w:p>
    <w:p w14:paraId="39CE5B6C" w14:textId="6D7226AC" w:rsidR="006206D4" w:rsidRPr="00282376" w:rsidRDefault="006206D4" w:rsidP="00D63204">
      <w:pPr>
        <w:pStyle w:val="ListParagraph"/>
        <w:widowControl w:val="0"/>
        <w:numPr>
          <w:ilvl w:val="0"/>
          <w:numId w:val="121"/>
        </w:numPr>
        <w:spacing w:before="3" w:after="0" w:line="240" w:lineRule="auto"/>
        <w:rPr>
          <w:rFonts w:cstheme="minorHAnsi"/>
          <w:bCs/>
        </w:rPr>
      </w:pPr>
      <w:r w:rsidRPr="00282376">
        <w:rPr>
          <w:rFonts w:cstheme="minorHAnsi"/>
          <w:bCs/>
        </w:rPr>
        <w:t>Additional initiatives are under way to increase provider capacity and offer more opportunities to youth. These include approval of CareerSource Florida to provide pre–placement services, revision of Certified Business and Technical Assistance Consultants (CBTAC) recertification procedures</w:t>
      </w:r>
      <w:r w:rsidR="00D5537E">
        <w:rPr>
          <w:rFonts w:cstheme="minorHAnsi"/>
          <w:bCs/>
        </w:rPr>
        <w:t xml:space="preserve"> and</w:t>
      </w:r>
      <w:r w:rsidRPr="00282376">
        <w:rPr>
          <w:rFonts w:cstheme="minorHAnsi"/>
          <w:bCs/>
        </w:rPr>
        <w:t xml:space="preserve"> increase in CBTAC and Discovery providers. VR</w:t>
      </w:r>
      <w:r w:rsidR="009271E5">
        <w:rPr>
          <w:rFonts w:cstheme="minorHAnsi"/>
          <w:bCs/>
        </w:rPr>
        <w:t xml:space="preserve"> is also partnering</w:t>
      </w:r>
      <w:r w:rsidR="00E34567">
        <w:rPr>
          <w:rFonts w:cstheme="minorHAnsi"/>
          <w:bCs/>
        </w:rPr>
        <w:t xml:space="preserve"> </w:t>
      </w:r>
      <w:r w:rsidRPr="00282376">
        <w:rPr>
          <w:rFonts w:cstheme="minorHAnsi"/>
          <w:bCs/>
        </w:rPr>
        <w:t>with Volunteer Florida, Centers for Independent Living, Florida ARC</w:t>
      </w:r>
      <w:r w:rsidR="00D5537E">
        <w:rPr>
          <w:rFonts w:cstheme="minorHAnsi"/>
          <w:bCs/>
        </w:rPr>
        <w:t xml:space="preserve"> and</w:t>
      </w:r>
      <w:r w:rsidRPr="00282376">
        <w:rPr>
          <w:rFonts w:cstheme="minorHAnsi"/>
          <w:bCs/>
        </w:rPr>
        <w:t xml:space="preserve"> High School High Tech to offer more OJT and community work experiences.</w:t>
      </w:r>
    </w:p>
    <w:p w14:paraId="3C961CCB" w14:textId="77777777" w:rsidR="006206D4" w:rsidRPr="006206D4" w:rsidRDefault="006206D4" w:rsidP="00D63204">
      <w:pPr>
        <w:widowControl w:val="0"/>
        <w:spacing w:before="3" w:after="0" w:line="240" w:lineRule="auto"/>
        <w:ind w:left="107"/>
        <w:rPr>
          <w:rFonts w:cstheme="minorHAnsi"/>
          <w:bCs/>
        </w:rPr>
      </w:pPr>
    </w:p>
    <w:p w14:paraId="65DB7A6D" w14:textId="470F5A64" w:rsidR="006206D4" w:rsidRPr="006206D4" w:rsidRDefault="006206D4" w:rsidP="00D63204">
      <w:pPr>
        <w:widowControl w:val="0"/>
        <w:spacing w:before="3" w:after="0" w:line="240" w:lineRule="auto"/>
        <w:ind w:left="107"/>
        <w:rPr>
          <w:rFonts w:cstheme="minorHAnsi"/>
          <w:bCs/>
        </w:rPr>
      </w:pPr>
      <w:r w:rsidRPr="006206D4">
        <w:rPr>
          <w:rFonts w:cstheme="minorHAnsi"/>
          <w:bCs/>
        </w:rPr>
        <w:t xml:space="preserve">VR assesses its business processes and organizational capacity on an ongoing basis to make consistent improvements. Results of the FFY 2014-15 Comprehensive Statewide Needs Assessment did not indicate a need to establish or develop community rehabilitation programs, although it was indicated that employment providers have a need to better promote and raise awareness of their services. Strategies to improve relationships with community </w:t>
      </w:r>
      <w:r w:rsidRPr="007C62E8">
        <w:rPr>
          <w:rFonts w:cstheme="minorHAnsi"/>
        </w:rPr>
        <w:t>rehabilitation programs are included in Figure 9.04</w:t>
      </w:r>
      <w:r w:rsidR="00D5537E">
        <w:rPr>
          <w:rFonts w:cstheme="minorHAnsi"/>
        </w:rPr>
        <w:t xml:space="preserve"> and</w:t>
      </w:r>
      <w:r>
        <w:rPr>
          <w:rFonts w:cstheme="minorHAnsi"/>
        </w:rPr>
        <w:t xml:space="preserve"> further </w:t>
      </w:r>
      <w:r w:rsidR="00DF3C2C">
        <w:rPr>
          <w:rFonts w:cstheme="minorHAnsi"/>
          <w:bCs/>
        </w:rPr>
        <w:t xml:space="preserve">explained </w:t>
      </w:r>
      <w:r>
        <w:rPr>
          <w:rFonts w:cstheme="minorHAnsi"/>
        </w:rPr>
        <w:t xml:space="preserve">in </w:t>
      </w:r>
      <w:r w:rsidR="00DF3C2C">
        <w:rPr>
          <w:rFonts w:cstheme="minorHAnsi"/>
          <w:bCs/>
        </w:rPr>
        <w:t>Figure (</w:t>
      </w:r>
      <w:r>
        <w:rPr>
          <w:rFonts w:cstheme="minorHAnsi"/>
        </w:rPr>
        <w:t>o) State’s Strategies</w:t>
      </w:r>
      <w:r w:rsidRPr="006206D4">
        <w:rPr>
          <w:rFonts w:cstheme="minorHAnsi"/>
          <w:bCs/>
        </w:rPr>
        <w:t>.</w:t>
      </w:r>
    </w:p>
    <w:p w14:paraId="2FF489E8" w14:textId="77777777" w:rsidR="006206D4" w:rsidRDefault="006206D4" w:rsidP="006206D4">
      <w:r>
        <w:br w:type="page"/>
      </w:r>
    </w:p>
    <w:p w14:paraId="5093D2C9" w14:textId="77777777" w:rsidR="00BD2380" w:rsidRPr="00EA7458" w:rsidRDefault="00BD2380" w:rsidP="00D63204">
      <w:pPr>
        <w:widowControl w:val="0"/>
        <w:spacing w:after="0" w:line="264" w:lineRule="exact"/>
        <w:ind w:left="90" w:hanging="18"/>
        <w:rPr>
          <w:rFonts w:ascii="Calibri" w:hAnsi="Calibri" w:cs="Calibri"/>
          <w:sz w:val="14"/>
          <w:szCs w:val="14"/>
        </w:rPr>
      </w:pPr>
    </w:p>
    <w:p w14:paraId="2DC277CF" w14:textId="5FBF4CAF" w:rsidR="00EA7458" w:rsidRPr="00EA7458" w:rsidRDefault="009C7E39" w:rsidP="00D63204">
      <w:pPr>
        <w:widowControl w:val="0"/>
        <w:numPr>
          <w:ilvl w:val="0"/>
          <w:numId w:val="49"/>
        </w:numPr>
        <w:tabs>
          <w:tab w:val="left" w:pos="828"/>
        </w:tabs>
        <w:spacing w:after="0" w:line="240" w:lineRule="auto"/>
        <w:outlineLvl w:val="1"/>
        <w:rPr>
          <w:rFonts w:ascii="Calibri" w:hAnsi="Calibri"/>
          <w:sz w:val="26"/>
          <w:szCs w:val="26"/>
        </w:rPr>
      </w:pPr>
      <w:bookmarkStart w:id="153" w:name="_bookmark92"/>
      <w:bookmarkEnd w:id="153"/>
      <w:r>
        <w:rPr>
          <w:rFonts w:ascii="Calibri" w:hAnsi="Calibri"/>
          <w:b/>
          <w:bCs/>
          <w:color w:val="295CA3"/>
          <w:w w:val="110"/>
          <w:sz w:val="26"/>
          <w:szCs w:val="26"/>
        </w:rPr>
        <w:t xml:space="preserve"> </w:t>
      </w:r>
      <w:r w:rsidR="00282376" w:rsidRPr="00493CD4">
        <w:rPr>
          <w:rFonts w:ascii="Calibri" w:hAnsi="Calibri"/>
          <w:b/>
          <w:bCs/>
          <w:color w:val="1F497D" w:themeColor="text2"/>
          <w:w w:val="110"/>
          <w:sz w:val="26"/>
          <w:szCs w:val="26"/>
        </w:rPr>
        <w:t>Annual Estimates</w:t>
      </w:r>
    </w:p>
    <w:p w14:paraId="74234A40" w14:textId="77777777" w:rsidR="00282376" w:rsidRDefault="00282376" w:rsidP="00282376">
      <w:pPr>
        <w:widowControl w:val="0"/>
        <w:spacing w:after="0" w:line="266" w:lineRule="exact"/>
        <w:rPr>
          <w:rFonts w:ascii="Calibri" w:hAnsi="Calibri"/>
          <w:b/>
          <w:color w:val="231F20"/>
          <w:w w:val="110"/>
          <w:u w:val="single" w:color="231F20"/>
        </w:rPr>
      </w:pPr>
    </w:p>
    <w:p w14:paraId="1FD2EC14" w14:textId="77777777" w:rsidR="00282376" w:rsidRPr="00282376" w:rsidRDefault="00282376" w:rsidP="00D63204">
      <w:pPr>
        <w:widowControl w:val="0"/>
        <w:spacing w:after="0" w:line="240" w:lineRule="auto"/>
        <w:ind w:left="90"/>
        <w:rPr>
          <w:rFonts w:cstheme="minorHAnsi"/>
        </w:rPr>
      </w:pPr>
      <w:r w:rsidRPr="00282376">
        <w:rPr>
          <w:rFonts w:cstheme="minorHAnsi"/>
          <w:b/>
          <w:color w:val="231F20"/>
          <w:w w:val="110"/>
          <w:u w:val="single" w:color="231F20"/>
        </w:rPr>
        <w:t>Number</w:t>
      </w:r>
      <w:r w:rsidRPr="00282376">
        <w:rPr>
          <w:rFonts w:cstheme="minorHAnsi"/>
          <w:b/>
          <w:color w:val="231F20"/>
          <w:spacing w:val="-7"/>
          <w:w w:val="110"/>
          <w:u w:val="single" w:color="231F20"/>
        </w:rPr>
        <w:t xml:space="preserve"> </w:t>
      </w:r>
      <w:r w:rsidRPr="00282376">
        <w:rPr>
          <w:rFonts w:cstheme="minorHAnsi"/>
          <w:b/>
          <w:color w:val="231F20"/>
          <w:w w:val="110"/>
          <w:u w:val="single" w:color="231F20"/>
        </w:rPr>
        <w:t>of</w:t>
      </w:r>
      <w:r w:rsidRPr="00282376">
        <w:rPr>
          <w:rFonts w:cstheme="minorHAnsi"/>
          <w:b/>
          <w:color w:val="231F20"/>
          <w:spacing w:val="-7"/>
          <w:w w:val="110"/>
          <w:u w:val="single" w:color="231F20"/>
        </w:rPr>
        <w:t xml:space="preserve"> </w:t>
      </w:r>
      <w:r w:rsidRPr="00282376">
        <w:rPr>
          <w:rFonts w:cstheme="minorHAnsi"/>
          <w:b/>
          <w:color w:val="231F20"/>
          <w:w w:val="110"/>
          <w:u w:val="single" w:color="231F20"/>
        </w:rPr>
        <w:t>Individuals</w:t>
      </w:r>
      <w:r w:rsidRPr="00282376">
        <w:rPr>
          <w:rFonts w:cstheme="minorHAnsi"/>
          <w:b/>
          <w:color w:val="231F20"/>
          <w:spacing w:val="-7"/>
          <w:w w:val="110"/>
          <w:u w:val="single" w:color="231F20"/>
        </w:rPr>
        <w:t xml:space="preserve"> </w:t>
      </w:r>
      <w:r w:rsidRPr="00282376">
        <w:rPr>
          <w:rFonts w:cstheme="minorHAnsi"/>
          <w:b/>
          <w:color w:val="231F20"/>
          <w:w w:val="110"/>
          <w:u w:val="single" w:color="231F20"/>
        </w:rPr>
        <w:t>in</w:t>
      </w:r>
      <w:r w:rsidRPr="00282376">
        <w:rPr>
          <w:rFonts w:cstheme="minorHAnsi"/>
          <w:b/>
          <w:color w:val="231F20"/>
          <w:spacing w:val="-7"/>
          <w:w w:val="110"/>
          <w:u w:val="single" w:color="231F20"/>
        </w:rPr>
        <w:t xml:space="preserve"> </w:t>
      </w:r>
      <w:r w:rsidRPr="00282376">
        <w:rPr>
          <w:rFonts w:cstheme="minorHAnsi"/>
          <w:b/>
          <w:color w:val="231F20"/>
          <w:w w:val="110"/>
          <w:u w:val="single" w:color="231F20"/>
        </w:rPr>
        <w:t>the</w:t>
      </w:r>
      <w:r w:rsidRPr="00282376">
        <w:rPr>
          <w:rFonts w:cstheme="minorHAnsi"/>
          <w:b/>
          <w:color w:val="231F20"/>
          <w:spacing w:val="-7"/>
          <w:w w:val="110"/>
          <w:u w:val="single" w:color="231F20"/>
        </w:rPr>
        <w:t xml:space="preserve"> </w:t>
      </w:r>
      <w:r w:rsidRPr="00282376">
        <w:rPr>
          <w:rFonts w:cstheme="minorHAnsi"/>
          <w:b/>
          <w:color w:val="231F20"/>
          <w:w w:val="110"/>
          <w:u w:val="single" w:color="231F20"/>
        </w:rPr>
        <w:t>State</w:t>
      </w:r>
      <w:r w:rsidRPr="00282376">
        <w:rPr>
          <w:rFonts w:cstheme="minorHAnsi"/>
          <w:b/>
          <w:color w:val="231F20"/>
          <w:spacing w:val="-7"/>
          <w:w w:val="110"/>
          <w:u w:val="single" w:color="231F20"/>
        </w:rPr>
        <w:t xml:space="preserve"> </w:t>
      </w:r>
      <w:r w:rsidRPr="00282376">
        <w:rPr>
          <w:rFonts w:cstheme="minorHAnsi"/>
          <w:b/>
          <w:color w:val="231F20"/>
          <w:w w:val="110"/>
          <w:u w:val="single" w:color="231F20"/>
        </w:rPr>
        <w:t>Who</w:t>
      </w:r>
      <w:r w:rsidRPr="00282376">
        <w:rPr>
          <w:rFonts w:cstheme="minorHAnsi"/>
          <w:b/>
          <w:color w:val="231F20"/>
          <w:spacing w:val="-7"/>
          <w:w w:val="110"/>
          <w:u w:val="single" w:color="231F20"/>
        </w:rPr>
        <w:t xml:space="preserve"> </w:t>
      </w:r>
      <w:r w:rsidRPr="00282376">
        <w:rPr>
          <w:rFonts w:cstheme="minorHAnsi"/>
          <w:b/>
          <w:color w:val="231F20"/>
          <w:w w:val="110"/>
          <w:u w:val="single" w:color="231F20"/>
        </w:rPr>
        <w:t>are</w:t>
      </w:r>
      <w:r w:rsidRPr="00282376">
        <w:rPr>
          <w:rFonts w:cstheme="minorHAnsi"/>
          <w:b/>
          <w:color w:val="231F20"/>
          <w:spacing w:val="-7"/>
          <w:w w:val="110"/>
          <w:u w:val="single" w:color="231F20"/>
        </w:rPr>
        <w:t xml:space="preserve"> </w:t>
      </w:r>
      <w:r w:rsidRPr="00282376">
        <w:rPr>
          <w:rFonts w:cstheme="minorHAnsi"/>
          <w:b/>
          <w:color w:val="231F20"/>
          <w:w w:val="110"/>
          <w:u w:val="single" w:color="231F20"/>
        </w:rPr>
        <w:t>Eligible</w:t>
      </w:r>
      <w:r w:rsidRPr="00282376">
        <w:rPr>
          <w:rFonts w:cstheme="minorHAnsi"/>
          <w:b/>
          <w:color w:val="231F20"/>
          <w:spacing w:val="-7"/>
          <w:w w:val="110"/>
          <w:u w:val="single" w:color="231F20"/>
        </w:rPr>
        <w:t xml:space="preserve"> </w:t>
      </w:r>
      <w:r w:rsidRPr="00282376">
        <w:rPr>
          <w:rFonts w:cstheme="minorHAnsi"/>
          <w:b/>
          <w:color w:val="231F20"/>
          <w:w w:val="110"/>
          <w:u w:val="single" w:color="231F20"/>
        </w:rPr>
        <w:t>for</w:t>
      </w:r>
      <w:r w:rsidRPr="00282376">
        <w:rPr>
          <w:rFonts w:cstheme="minorHAnsi"/>
          <w:b/>
          <w:color w:val="231F20"/>
          <w:spacing w:val="-7"/>
          <w:w w:val="110"/>
          <w:u w:val="single" w:color="231F20"/>
        </w:rPr>
        <w:t xml:space="preserve"> </w:t>
      </w:r>
      <w:r w:rsidRPr="00282376">
        <w:rPr>
          <w:rFonts w:cstheme="minorHAnsi"/>
          <w:b/>
          <w:color w:val="231F20"/>
          <w:w w:val="110"/>
          <w:u w:val="single" w:color="231F20"/>
        </w:rPr>
        <w:t>Services</w:t>
      </w:r>
      <w:r w:rsidRPr="00282376">
        <w:rPr>
          <w:rFonts w:cstheme="minorHAnsi"/>
          <w:b/>
          <w:color w:val="231F20"/>
          <w:spacing w:val="-7"/>
          <w:w w:val="110"/>
          <w:u w:val="single" w:color="231F20"/>
        </w:rPr>
        <w:t xml:space="preserve"> </w:t>
      </w:r>
      <w:r w:rsidRPr="00282376">
        <w:rPr>
          <w:rFonts w:cstheme="minorHAnsi"/>
          <w:b/>
          <w:color w:val="231F20"/>
          <w:w w:val="110"/>
          <w:u w:val="single" w:color="231F20"/>
        </w:rPr>
        <w:t>under</w:t>
      </w:r>
      <w:r w:rsidRPr="00282376">
        <w:rPr>
          <w:rFonts w:cstheme="minorHAnsi"/>
          <w:b/>
          <w:color w:val="231F20"/>
          <w:spacing w:val="-7"/>
          <w:w w:val="110"/>
          <w:u w:val="single" w:color="231F20"/>
        </w:rPr>
        <w:t xml:space="preserve"> </w:t>
      </w:r>
      <w:r w:rsidRPr="00282376">
        <w:rPr>
          <w:rFonts w:cstheme="minorHAnsi"/>
          <w:b/>
          <w:color w:val="231F20"/>
          <w:w w:val="110"/>
          <w:u w:val="single" w:color="231F20"/>
        </w:rPr>
        <w:t>this</w:t>
      </w:r>
      <w:r w:rsidRPr="00282376">
        <w:rPr>
          <w:rFonts w:cstheme="minorHAnsi"/>
          <w:b/>
          <w:color w:val="231F20"/>
          <w:spacing w:val="-7"/>
          <w:w w:val="110"/>
          <w:u w:val="single" w:color="231F20"/>
        </w:rPr>
        <w:t xml:space="preserve"> </w:t>
      </w:r>
      <w:r w:rsidRPr="00282376">
        <w:rPr>
          <w:rFonts w:cstheme="minorHAnsi"/>
          <w:b/>
          <w:color w:val="231F20"/>
          <w:w w:val="110"/>
          <w:u w:val="single" w:color="231F20"/>
        </w:rPr>
        <w:t>State</w:t>
      </w:r>
      <w:r w:rsidRPr="00282376">
        <w:rPr>
          <w:rFonts w:cstheme="minorHAnsi"/>
          <w:b/>
          <w:color w:val="231F20"/>
          <w:spacing w:val="-7"/>
          <w:w w:val="110"/>
          <w:u w:val="single" w:color="231F20"/>
        </w:rPr>
        <w:t xml:space="preserve"> </w:t>
      </w:r>
      <w:r w:rsidRPr="00282376">
        <w:rPr>
          <w:rFonts w:cstheme="minorHAnsi"/>
          <w:b/>
          <w:color w:val="231F20"/>
          <w:w w:val="110"/>
          <w:u w:val="single" w:color="231F20"/>
        </w:rPr>
        <w:t>Plan</w:t>
      </w:r>
      <w:r w:rsidRPr="00282376">
        <w:rPr>
          <w:rFonts w:cstheme="minorHAnsi"/>
          <w:b/>
          <w:color w:val="231F20"/>
          <w:spacing w:val="-1"/>
          <w:w w:val="113"/>
          <w:u w:val="single" w:color="231F20"/>
        </w:rPr>
        <w:t xml:space="preserve"> </w:t>
      </w:r>
    </w:p>
    <w:p w14:paraId="79B782F8" w14:textId="77777777" w:rsidR="00282376" w:rsidRPr="00282376" w:rsidRDefault="00282376" w:rsidP="00D63204">
      <w:pPr>
        <w:widowControl w:val="0"/>
        <w:spacing w:before="3" w:after="0" w:line="240" w:lineRule="auto"/>
        <w:ind w:left="90"/>
        <w:rPr>
          <w:rFonts w:cstheme="minorHAnsi"/>
          <w:bCs/>
        </w:rPr>
      </w:pPr>
      <w:r w:rsidRPr="00282376">
        <w:rPr>
          <w:rFonts w:cstheme="minorHAnsi"/>
          <w:bCs/>
        </w:rPr>
        <w:t>From October 1, 2018, to September 30, 2019, the Florida Division of Vocational Rehabilitation (VR) anticipates that approximately 42,343 Floridians will be eligible for VR services.</w:t>
      </w:r>
    </w:p>
    <w:p w14:paraId="10285DC8" w14:textId="77777777" w:rsidR="00282376" w:rsidRPr="00282376" w:rsidRDefault="00282376" w:rsidP="00D63204">
      <w:pPr>
        <w:widowControl w:val="0"/>
        <w:spacing w:before="3" w:after="0" w:line="240" w:lineRule="auto"/>
        <w:ind w:left="90"/>
        <w:rPr>
          <w:rFonts w:cstheme="minorHAnsi"/>
          <w:bCs/>
        </w:rPr>
      </w:pPr>
    </w:p>
    <w:p w14:paraId="77A27488" w14:textId="77777777" w:rsidR="00282376" w:rsidRPr="00282376" w:rsidRDefault="00282376" w:rsidP="00D63204">
      <w:pPr>
        <w:widowControl w:val="0"/>
        <w:spacing w:before="3" w:after="0" w:line="240" w:lineRule="auto"/>
        <w:ind w:left="90"/>
        <w:rPr>
          <w:rFonts w:cstheme="minorHAnsi"/>
          <w:b/>
          <w:bCs/>
          <w:u w:val="single"/>
        </w:rPr>
      </w:pPr>
      <w:r w:rsidRPr="00282376">
        <w:rPr>
          <w:rFonts w:cstheme="minorHAnsi"/>
          <w:b/>
          <w:bCs/>
          <w:u w:val="single"/>
        </w:rPr>
        <w:t xml:space="preserve">Annual Estimates of Individuals to be Served and Cost of Services with Funds Provided Under Part B of Title I and Part B of Title VI of the Act </w:t>
      </w:r>
    </w:p>
    <w:p w14:paraId="2E5D6C0F" w14:textId="77777777" w:rsidR="00282376" w:rsidRPr="00282376" w:rsidRDefault="00282376" w:rsidP="00D63204">
      <w:pPr>
        <w:widowControl w:val="0"/>
        <w:spacing w:before="3" w:after="0" w:line="240" w:lineRule="auto"/>
        <w:ind w:left="90"/>
        <w:rPr>
          <w:rFonts w:cstheme="minorHAnsi"/>
          <w:bCs/>
        </w:rPr>
      </w:pPr>
      <w:r w:rsidRPr="00282376">
        <w:rPr>
          <w:rFonts w:cstheme="minorHAnsi"/>
          <w:bCs/>
        </w:rPr>
        <w:t>From October 1, 2018, to September 30, 2019, the Florida Division of Vocational Rehabilitation (VR) anticipates a workload of 42,343 individuals. Because of limited resources, VR has determined that vocational rehabilitation services cannot be provided to all individuals with disabilities in the state who apply for services. The following projections for Federal Fiscal Year (FFY) 2018-19 are based on case management and budget projection models.</w:t>
      </w:r>
    </w:p>
    <w:p w14:paraId="4CF7A782" w14:textId="77777777" w:rsidR="00282376" w:rsidRDefault="00282376" w:rsidP="00D63204">
      <w:pPr>
        <w:widowControl w:val="0"/>
        <w:spacing w:before="3" w:after="0" w:line="240" w:lineRule="auto"/>
        <w:ind w:left="90"/>
        <w:rPr>
          <w:rFonts w:cstheme="minorHAnsi"/>
          <w:bCs/>
        </w:rPr>
      </w:pPr>
    </w:p>
    <w:p w14:paraId="51074F98" w14:textId="46D9467F" w:rsidR="00282376" w:rsidRPr="00282376" w:rsidRDefault="00282376" w:rsidP="00D63204">
      <w:pPr>
        <w:widowControl w:val="0"/>
        <w:spacing w:before="3" w:after="0" w:line="240" w:lineRule="auto"/>
        <w:ind w:left="90"/>
        <w:rPr>
          <w:rFonts w:cstheme="minorHAnsi"/>
          <w:bCs/>
        </w:rPr>
      </w:pPr>
      <w:r w:rsidRPr="00282376">
        <w:rPr>
          <w:rFonts w:cstheme="minorHAnsi"/>
          <w:bCs/>
        </w:rPr>
        <w:t>The projected number of eligible individuals to receive vocational rehabilitation services by priority category</w:t>
      </w:r>
      <w:r w:rsidR="00D5537E">
        <w:rPr>
          <w:rFonts w:cstheme="minorHAnsi"/>
          <w:bCs/>
        </w:rPr>
        <w:t xml:space="preserve"> and</w:t>
      </w:r>
      <w:r w:rsidRPr="00282376">
        <w:rPr>
          <w:rFonts w:cstheme="minorHAnsi"/>
          <w:bCs/>
        </w:rPr>
        <w:t xml:space="preserve"> cost of services per category are as follows:</w:t>
      </w:r>
    </w:p>
    <w:p w14:paraId="20855363" w14:textId="77777777" w:rsidR="00282376" w:rsidRPr="00282376" w:rsidRDefault="00282376" w:rsidP="00D63204">
      <w:pPr>
        <w:pStyle w:val="ListParagraph"/>
        <w:widowControl w:val="0"/>
        <w:spacing w:before="10" w:after="0" w:line="240" w:lineRule="auto"/>
        <w:ind w:left="90"/>
        <w:rPr>
          <w:rFonts w:cstheme="minorHAnsi"/>
          <w:sz w:val="19"/>
          <w:szCs w:val="19"/>
        </w:rPr>
      </w:pPr>
    </w:p>
    <w:p w14:paraId="35DCB649" w14:textId="77777777" w:rsidR="00282376" w:rsidRPr="00282376" w:rsidRDefault="00282376" w:rsidP="00D63204">
      <w:pPr>
        <w:pStyle w:val="ListParagraph"/>
        <w:widowControl w:val="0"/>
        <w:spacing w:after="0" w:line="240" w:lineRule="auto"/>
        <w:ind w:left="90"/>
        <w:outlineLvl w:val="2"/>
        <w:rPr>
          <w:rFonts w:cstheme="minorHAnsi"/>
        </w:rPr>
      </w:pPr>
      <w:r w:rsidRPr="00282376">
        <w:rPr>
          <w:rFonts w:cstheme="minorHAnsi"/>
          <w:b/>
          <w:bCs/>
          <w:w w:val="115"/>
        </w:rPr>
        <w:t>Figure</w:t>
      </w:r>
      <w:r w:rsidRPr="00282376">
        <w:rPr>
          <w:rFonts w:cstheme="minorHAnsi"/>
          <w:b/>
          <w:bCs/>
          <w:spacing w:val="-5"/>
          <w:w w:val="115"/>
        </w:rPr>
        <w:t xml:space="preserve"> </w:t>
      </w:r>
      <w:r w:rsidRPr="00282376">
        <w:rPr>
          <w:rFonts w:cstheme="minorHAnsi"/>
          <w:b/>
          <w:bCs/>
          <w:spacing w:val="-3"/>
          <w:w w:val="115"/>
        </w:rPr>
        <w:t>9.05</w:t>
      </w:r>
    </w:p>
    <w:p w14:paraId="6F49E6A2" w14:textId="77777777" w:rsidR="00282376" w:rsidRPr="00282376" w:rsidRDefault="00282376" w:rsidP="00D63204">
      <w:pPr>
        <w:pStyle w:val="ListParagraph"/>
        <w:widowControl w:val="0"/>
        <w:spacing w:after="0" w:line="240" w:lineRule="auto"/>
        <w:ind w:left="90"/>
        <w:rPr>
          <w:rFonts w:cstheme="minorHAnsi"/>
        </w:rPr>
      </w:pPr>
      <w:r w:rsidRPr="00282376">
        <w:rPr>
          <w:rFonts w:cstheme="minorHAnsi"/>
          <w:b/>
          <w:color w:val="231F20"/>
          <w:w w:val="110"/>
        </w:rPr>
        <w:t>Projected Number of Eligible Individuals to Receive VR</w:t>
      </w:r>
      <w:r w:rsidRPr="00282376">
        <w:rPr>
          <w:rFonts w:cstheme="minorHAnsi"/>
          <w:b/>
          <w:color w:val="231F20"/>
          <w:spacing w:val="-16"/>
          <w:w w:val="110"/>
        </w:rPr>
        <w:t xml:space="preserve"> </w:t>
      </w:r>
      <w:r w:rsidRPr="00282376">
        <w:rPr>
          <w:rFonts w:cstheme="minorHAnsi"/>
          <w:b/>
          <w:color w:val="231F20"/>
          <w:w w:val="110"/>
        </w:rPr>
        <w:t>Services</w:t>
      </w:r>
    </w:p>
    <w:p w14:paraId="0121C613" w14:textId="77777777" w:rsidR="00282376" w:rsidRPr="00282376" w:rsidRDefault="00282376" w:rsidP="00D63204">
      <w:pPr>
        <w:pStyle w:val="ListParagraph"/>
        <w:widowControl w:val="0"/>
        <w:spacing w:before="1" w:after="0" w:line="240" w:lineRule="auto"/>
        <w:ind w:left="90"/>
        <w:rPr>
          <w:rFonts w:cstheme="minorHAnsi"/>
          <w:b/>
          <w:bCs/>
          <w:sz w:val="18"/>
          <w:szCs w:val="18"/>
        </w:rPr>
      </w:pPr>
    </w:p>
    <w:tbl>
      <w:tblPr>
        <w:tblW w:w="10162" w:type="dxa"/>
        <w:tblInd w:w="108" w:type="dxa"/>
        <w:tblLayout w:type="fixed"/>
        <w:tblCellMar>
          <w:left w:w="0" w:type="dxa"/>
          <w:right w:w="0" w:type="dxa"/>
        </w:tblCellMar>
        <w:tblLook w:val="01E0" w:firstRow="1" w:lastRow="1" w:firstColumn="1" w:lastColumn="1" w:noHBand="0" w:noVBand="0"/>
      </w:tblPr>
      <w:tblGrid>
        <w:gridCol w:w="3227"/>
        <w:gridCol w:w="3592"/>
        <w:gridCol w:w="3343"/>
      </w:tblGrid>
      <w:tr w:rsidR="00282376" w:rsidRPr="00282376" w14:paraId="79C92BB7" w14:textId="77777777" w:rsidTr="009271E5">
        <w:trPr>
          <w:trHeight w:hRule="exact" w:val="502"/>
        </w:trPr>
        <w:tc>
          <w:tcPr>
            <w:tcW w:w="3227" w:type="dxa"/>
            <w:tcBorders>
              <w:top w:val="single" w:sz="2" w:space="0" w:color="231F20"/>
              <w:left w:val="single" w:sz="2" w:space="0" w:color="231F20"/>
              <w:bottom w:val="single" w:sz="2" w:space="0" w:color="231F20"/>
              <w:right w:val="single" w:sz="2" w:space="0" w:color="231F20"/>
            </w:tcBorders>
            <w:vAlign w:val="center"/>
          </w:tcPr>
          <w:p w14:paraId="07B865B4" w14:textId="77777777" w:rsidR="00282376" w:rsidRPr="00282376" w:rsidRDefault="00282376" w:rsidP="009271E5">
            <w:pPr>
              <w:widowControl w:val="0"/>
              <w:spacing w:before="125" w:after="0" w:line="240" w:lineRule="auto"/>
              <w:ind w:left="90"/>
              <w:rPr>
                <w:rFonts w:cstheme="minorHAnsi"/>
              </w:rPr>
            </w:pPr>
            <w:r w:rsidRPr="00282376">
              <w:rPr>
                <w:rFonts w:cstheme="minorHAnsi"/>
                <w:b/>
                <w:color w:val="231F20"/>
                <w:w w:val="110"/>
              </w:rPr>
              <w:t>Priority Category</w:t>
            </w:r>
          </w:p>
        </w:tc>
        <w:tc>
          <w:tcPr>
            <w:tcW w:w="3592" w:type="dxa"/>
            <w:tcBorders>
              <w:top w:val="single" w:sz="2" w:space="0" w:color="231F20"/>
              <w:left w:val="single" w:sz="2" w:space="0" w:color="231F20"/>
              <w:bottom w:val="single" w:sz="2" w:space="0" w:color="231F20"/>
              <w:right w:val="single" w:sz="2" w:space="0" w:color="231F20"/>
            </w:tcBorders>
            <w:vAlign w:val="center"/>
          </w:tcPr>
          <w:p w14:paraId="4822509B" w14:textId="77777777" w:rsidR="00282376" w:rsidRPr="00282376" w:rsidRDefault="00282376" w:rsidP="00D63204">
            <w:pPr>
              <w:widowControl w:val="0"/>
              <w:spacing w:before="125" w:after="0" w:line="240" w:lineRule="auto"/>
              <w:ind w:left="90"/>
              <w:rPr>
                <w:rFonts w:cstheme="minorHAnsi"/>
              </w:rPr>
            </w:pPr>
            <w:r w:rsidRPr="00282376">
              <w:rPr>
                <w:rFonts w:cstheme="minorHAnsi"/>
                <w:b/>
                <w:color w:val="231F20"/>
                <w:w w:val="110"/>
              </w:rPr>
              <w:t>Projected Number</w:t>
            </w:r>
            <w:r w:rsidRPr="00282376">
              <w:rPr>
                <w:rFonts w:cstheme="minorHAnsi"/>
                <w:b/>
                <w:color w:val="231F20"/>
                <w:spacing w:val="-19"/>
                <w:w w:val="110"/>
              </w:rPr>
              <w:t xml:space="preserve"> </w:t>
            </w:r>
            <w:r w:rsidRPr="00282376">
              <w:rPr>
                <w:rFonts w:cstheme="minorHAnsi"/>
                <w:b/>
                <w:color w:val="231F20"/>
                <w:w w:val="110"/>
              </w:rPr>
              <w:t>Served</w:t>
            </w:r>
          </w:p>
        </w:tc>
        <w:tc>
          <w:tcPr>
            <w:tcW w:w="3343" w:type="dxa"/>
            <w:tcBorders>
              <w:top w:val="single" w:sz="2" w:space="0" w:color="231F20"/>
              <w:left w:val="single" w:sz="2" w:space="0" w:color="231F20"/>
              <w:bottom w:val="single" w:sz="2" w:space="0" w:color="231F20"/>
              <w:right w:val="single" w:sz="2" w:space="0" w:color="231F20"/>
            </w:tcBorders>
            <w:vAlign w:val="center"/>
          </w:tcPr>
          <w:p w14:paraId="677B21B6" w14:textId="77777777" w:rsidR="00282376" w:rsidRPr="00282376" w:rsidRDefault="00282376" w:rsidP="00D63204">
            <w:pPr>
              <w:widowControl w:val="0"/>
              <w:spacing w:before="125" w:after="0" w:line="240" w:lineRule="auto"/>
              <w:ind w:left="90"/>
              <w:rPr>
                <w:rFonts w:cstheme="minorHAnsi"/>
              </w:rPr>
            </w:pPr>
            <w:r w:rsidRPr="00282376">
              <w:rPr>
                <w:rFonts w:cstheme="minorHAnsi"/>
                <w:b/>
                <w:color w:val="231F20"/>
                <w:w w:val="110"/>
              </w:rPr>
              <w:t>Projected Service</w:t>
            </w:r>
            <w:r w:rsidRPr="00282376">
              <w:rPr>
                <w:rFonts w:cstheme="minorHAnsi"/>
                <w:b/>
                <w:color w:val="231F20"/>
                <w:spacing w:val="8"/>
                <w:w w:val="110"/>
              </w:rPr>
              <w:t xml:space="preserve"> </w:t>
            </w:r>
            <w:r w:rsidRPr="00282376">
              <w:rPr>
                <w:rFonts w:cstheme="minorHAnsi"/>
                <w:b/>
                <w:color w:val="231F20"/>
                <w:w w:val="110"/>
              </w:rPr>
              <w:t>Cost</w:t>
            </w:r>
          </w:p>
        </w:tc>
      </w:tr>
      <w:tr w:rsidR="00282376" w:rsidRPr="00282376" w14:paraId="7CDFA1F7" w14:textId="77777777" w:rsidTr="009271E5">
        <w:trPr>
          <w:trHeight w:hRule="exact" w:val="354"/>
        </w:trPr>
        <w:tc>
          <w:tcPr>
            <w:tcW w:w="3227" w:type="dxa"/>
            <w:tcBorders>
              <w:top w:val="single" w:sz="2" w:space="0" w:color="231F20"/>
              <w:left w:val="single" w:sz="2" w:space="0" w:color="231F20"/>
              <w:bottom w:val="single" w:sz="2" w:space="0" w:color="231F20"/>
              <w:right w:val="single" w:sz="2" w:space="0" w:color="231F20"/>
            </w:tcBorders>
            <w:shd w:val="clear" w:color="auto" w:fill="E6E7E8"/>
            <w:vAlign w:val="center"/>
          </w:tcPr>
          <w:p w14:paraId="359EFB33" w14:textId="77777777" w:rsidR="00282376" w:rsidRPr="00282376" w:rsidRDefault="00282376" w:rsidP="009271E5">
            <w:pPr>
              <w:widowControl w:val="0"/>
              <w:spacing w:before="62" w:after="0" w:line="240" w:lineRule="auto"/>
              <w:ind w:left="90"/>
              <w:rPr>
                <w:rFonts w:cstheme="minorHAnsi"/>
              </w:rPr>
            </w:pPr>
            <w:r w:rsidRPr="00282376">
              <w:rPr>
                <w:rFonts w:cstheme="minorHAnsi"/>
                <w:color w:val="231F20"/>
              </w:rPr>
              <w:t>Category</w:t>
            </w:r>
            <w:r w:rsidRPr="00282376">
              <w:rPr>
                <w:rFonts w:cstheme="minorHAnsi"/>
                <w:color w:val="231F20"/>
                <w:spacing w:val="25"/>
              </w:rPr>
              <w:t xml:space="preserve"> </w:t>
            </w:r>
            <w:r w:rsidRPr="00282376">
              <w:rPr>
                <w:rFonts w:cstheme="minorHAnsi"/>
                <w:color w:val="231F20"/>
              </w:rPr>
              <w:t>1</w:t>
            </w:r>
          </w:p>
        </w:tc>
        <w:tc>
          <w:tcPr>
            <w:tcW w:w="3592" w:type="dxa"/>
            <w:tcBorders>
              <w:top w:val="single" w:sz="2" w:space="0" w:color="231F20"/>
              <w:left w:val="single" w:sz="2" w:space="0" w:color="231F20"/>
              <w:bottom w:val="single" w:sz="2" w:space="0" w:color="231F20"/>
              <w:right w:val="single" w:sz="2" w:space="0" w:color="231F20"/>
            </w:tcBorders>
            <w:shd w:val="clear" w:color="auto" w:fill="E6E7E8"/>
            <w:vAlign w:val="center"/>
          </w:tcPr>
          <w:p w14:paraId="2F17A6C6" w14:textId="77777777" w:rsidR="00282376" w:rsidRPr="00282376" w:rsidRDefault="00282376" w:rsidP="00D63204">
            <w:pPr>
              <w:widowControl w:val="0"/>
              <w:spacing w:before="62" w:after="0" w:line="240" w:lineRule="auto"/>
              <w:ind w:left="90"/>
              <w:rPr>
                <w:rFonts w:cstheme="minorHAnsi"/>
                <w:color w:val="231F20"/>
                <w:w w:val="110"/>
              </w:rPr>
            </w:pPr>
            <w:r w:rsidRPr="00282376">
              <w:rPr>
                <w:rFonts w:cstheme="minorHAnsi"/>
                <w:color w:val="231F20"/>
                <w:w w:val="110"/>
              </w:rPr>
              <w:t>24,677</w:t>
            </w:r>
          </w:p>
          <w:p w14:paraId="3965CC34" w14:textId="77777777" w:rsidR="00282376" w:rsidRPr="00282376" w:rsidRDefault="00282376" w:rsidP="00D63204">
            <w:pPr>
              <w:widowControl w:val="0"/>
              <w:spacing w:before="62" w:after="0" w:line="240" w:lineRule="auto"/>
              <w:ind w:left="90"/>
              <w:rPr>
                <w:rFonts w:cstheme="minorHAnsi"/>
              </w:rPr>
            </w:pPr>
          </w:p>
        </w:tc>
        <w:tc>
          <w:tcPr>
            <w:tcW w:w="3343" w:type="dxa"/>
            <w:tcBorders>
              <w:top w:val="single" w:sz="2" w:space="0" w:color="231F20"/>
              <w:left w:val="single" w:sz="2" w:space="0" w:color="231F20"/>
              <w:bottom w:val="single" w:sz="2" w:space="0" w:color="231F20"/>
              <w:right w:val="single" w:sz="2" w:space="0" w:color="231F20"/>
            </w:tcBorders>
            <w:shd w:val="clear" w:color="auto" w:fill="E6E7E8"/>
            <w:vAlign w:val="center"/>
          </w:tcPr>
          <w:p w14:paraId="1157AB4E" w14:textId="6DF17BF9" w:rsidR="00282376" w:rsidRPr="00282376" w:rsidRDefault="00282376" w:rsidP="00D63204">
            <w:pPr>
              <w:widowControl w:val="0"/>
              <w:spacing w:before="62" w:after="0" w:line="240" w:lineRule="auto"/>
              <w:ind w:left="90"/>
              <w:rPr>
                <w:rFonts w:cstheme="minorHAnsi"/>
                <w:color w:val="231F20"/>
                <w:w w:val="115"/>
              </w:rPr>
            </w:pPr>
            <w:r w:rsidRPr="00282376">
              <w:rPr>
                <w:rFonts w:cstheme="minorHAnsi"/>
                <w:color w:val="231F20"/>
                <w:w w:val="115"/>
              </w:rPr>
              <w:t>$65,082,905</w:t>
            </w:r>
          </w:p>
          <w:p w14:paraId="6B537C97" w14:textId="77777777" w:rsidR="00282376" w:rsidRPr="00282376" w:rsidRDefault="00282376" w:rsidP="00D63204">
            <w:pPr>
              <w:widowControl w:val="0"/>
              <w:spacing w:before="62" w:after="0" w:line="240" w:lineRule="auto"/>
              <w:ind w:left="90"/>
              <w:rPr>
                <w:rFonts w:cstheme="minorHAnsi"/>
              </w:rPr>
            </w:pPr>
          </w:p>
        </w:tc>
      </w:tr>
      <w:tr w:rsidR="00282376" w:rsidRPr="00282376" w14:paraId="1E1A2221" w14:textId="77777777" w:rsidTr="009271E5">
        <w:trPr>
          <w:trHeight w:hRule="exact" w:val="354"/>
        </w:trPr>
        <w:tc>
          <w:tcPr>
            <w:tcW w:w="3227" w:type="dxa"/>
            <w:tcBorders>
              <w:top w:val="single" w:sz="2" w:space="0" w:color="231F20"/>
              <w:left w:val="single" w:sz="2" w:space="0" w:color="231F20"/>
              <w:bottom w:val="single" w:sz="2" w:space="0" w:color="231F20"/>
              <w:right w:val="single" w:sz="2" w:space="0" w:color="231F20"/>
            </w:tcBorders>
            <w:vAlign w:val="center"/>
          </w:tcPr>
          <w:p w14:paraId="2A557D56" w14:textId="77777777" w:rsidR="00282376" w:rsidRPr="00282376" w:rsidRDefault="00282376" w:rsidP="009271E5">
            <w:pPr>
              <w:widowControl w:val="0"/>
              <w:spacing w:before="62" w:after="0" w:line="240" w:lineRule="auto"/>
              <w:ind w:left="90"/>
              <w:rPr>
                <w:rFonts w:cstheme="minorHAnsi"/>
              </w:rPr>
            </w:pPr>
            <w:r w:rsidRPr="00282376">
              <w:rPr>
                <w:rFonts w:cstheme="minorHAnsi"/>
                <w:color w:val="231F20"/>
                <w:w w:val="110"/>
              </w:rPr>
              <w:t>Category</w:t>
            </w:r>
            <w:r w:rsidRPr="00282376">
              <w:rPr>
                <w:rFonts w:cstheme="minorHAnsi"/>
                <w:color w:val="231F20"/>
                <w:spacing w:val="-38"/>
                <w:w w:val="110"/>
              </w:rPr>
              <w:t xml:space="preserve"> </w:t>
            </w:r>
            <w:r w:rsidRPr="00282376">
              <w:rPr>
                <w:rFonts w:cstheme="minorHAnsi"/>
                <w:color w:val="231F20"/>
                <w:w w:val="110"/>
              </w:rPr>
              <w:t>2</w:t>
            </w:r>
          </w:p>
        </w:tc>
        <w:tc>
          <w:tcPr>
            <w:tcW w:w="3592" w:type="dxa"/>
            <w:tcBorders>
              <w:top w:val="single" w:sz="2" w:space="0" w:color="231F20"/>
              <w:left w:val="single" w:sz="2" w:space="0" w:color="231F20"/>
              <w:bottom w:val="single" w:sz="2" w:space="0" w:color="231F20"/>
              <w:right w:val="single" w:sz="2" w:space="0" w:color="231F20"/>
            </w:tcBorders>
            <w:vAlign w:val="center"/>
          </w:tcPr>
          <w:p w14:paraId="2CB628C8" w14:textId="77777777" w:rsidR="00282376" w:rsidRPr="00282376" w:rsidRDefault="00282376" w:rsidP="00D63204">
            <w:pPr>
              <w:widowControl w:val="0"/>
              <w:spacing w:before="62" w:after="0" w:line="240" w:lineRule="auto"/>
              <w:ind w:left="90"/>
              <w:rPr>
                <w:rFonts w:cstheme="minorHAnsi"/>
                <w:color w:val="231F20"/>
              </w:rPr>
            </w:pPr>
            <w:r w:rsidRPr="00282376">
              <w:rPr>
                <w:rFonts w:cstheme="minorHAnsi"/>
                <w:color w:val="231F20"/>
              </w:rPr>
              <w:t>16,783</w:t>
            </w:r>
          </w:p>
          <w:p w14:paraId="634740A5" w14:textId="77777777" w:rsidR="00282376" w:rsidRPr="00282376" w:rsidRDefault="00282376" w:rsidP="00D63204">
            <w:pPr>
              <w:widowControl w:val="0"/>
              <w:spacing w:before="62" w:after="0" w:line="240" w:lineRule="auto"/>
              <w:ind w:left="90"/>
              <w:rPr>
                <w:rFonts w:cstheme="minorHAnsi"/>
              </w:rPr>
            </w:pPr>
          </w:p>
        </w:tc>
        <w:tc>
          <w:tcPr>
            <w:tcW w:w="3343" w:type="dxa"/>
            <w:tcBorders>
              <w:top w:val="single" w:sz="2" w:space="0" w:color="231F20"/>
              <w:left w:val="single" w:sz="2" w:space="0" w:color="231F20"/>
              <w:bottom w:val="single" w:sz="2" w:space="0" w:color="231F20"/>
              <w:right w:val="single" w:sz="2" w:space="0" w:color="231F20"/>
            </w:tcBorders>
            <w:vAlign w:val="center"/>
          </w:tcPr>
          <w:p w14:paraId="3F87D86D" w14:textId="642DFE9C" w:rsidR="00282376" w:rsidRPr="00282376" w:rsidRDefault="00282376" w:rsidP="00D63204">
            <w:pPr>
              <w:widowControl w:val="0"/>
              <w:spacing w:before="62" w:after="0" w:line="240" w:lineRule="auto"/>
              <w:ind w:left="90"/>
              <w:rPr>
                <w:rFonts w:cstheme="minorHAnsi"/>
                <w:color w:val="231F20"/>
                <w:w w:val="110"/>
              </w:rPr>
            </w:pPr>
            <w:r w:rsidRPr="00282376">
              <w:rPr>
                <w:rFonts w:cstheme="minorHAnsi"/>
                <w:color w:val="231F20"/>
                <w:w w:val="110"/>
              </w:rPr>
              <w:t>$38,281,595</w:t>
            </w:r>
          </w:p>
          <w:p w14:paraId="5986A94F" w14:textId="77777777" w:rsidR="00282376" w:rsidRPr="00282376" w:rsidRDefault="00282376" w:rsidP="00D63204">
            <w:pPr>
              <w:widowControl w:val="0"/>
              <w:spacing w:before="62" w:after="0" w:line="240" w:lineRule="auto"/>
              <w:ind w:left="90"/>
              <w:rPr>
                <w:rFonts w:cstheme="minorHAnsi"/>
              </w:rPr>
            </w:pPr>
          </w:p>
        </w:tc>
      </w:tr>
      <w:tr w:rsidR="00282376" w:rsidRPr="00282376" w14:paraId="02818FF0" w14:textId="77777777" w:rsidTr="009271E5">
        <w:trPr>
          <w:trHeight w:hRule="exact" w:val="354"/>
        </w:trPr>
        <w:tc>
          <w:tcPr>
            <w:tcW w:w="3227" w:type="dxa"/>
            <w:tcBorders>
              <w:top w:val="single" w:sz="2" w:space="0" w:color="231F20"/>
              <w:left w:val="single" w:sz="2" w:space="0" w:color="231F20"/>
              <w:bottom w:val="single" w:sz="2" w:space="0" w:color="231F20"/>
              <w:right w:val="single" w:sz="2" w:space="0" w:color="231F20"/>
            </w:tcBorders>
            <w:shd w:val="clear" w:color="auto" w:fill="E6E7E8"/>
            <w:vAlign w:val="center"/>
          </w:tcPr>
          <w:p w14:paraId="6B9C0B13" w14:textId="77777777" w:rsidR="00282376" w:rsidRPr="00282376" w:rsidRDefault="00282376" w:rsidP="009271E5">
            <w:pPr>
              <w:widowControl w:val="0"/>
              <w:spacing w:before="62" w:after="0" w:line="240" w:lineRule="auto"/>
              <w:ind w:left="90"/>
              <w:rPr>
                <w:rFonts w:cstheme="minorHAnsi"/>
              </w:rPr>
            </w:pPr>
            <w:r w:rsidRPr="00282376">
              <w:rPr>
                <w:rFonts w:cstheme="minorHAnsi"/>
                <w:color w:val="231F20"/>
                <w:w w:val="110"/>
              </w:rPr>
              <w:t>Category</w:t>
            </w:r>
            <w:r w:rsidRPr="00282376">
              <w:rPr>
                <w:rFonts w:cstheme="minorHAnsi"/>
                <w:color w:val="231F20"/>
                <w:spacing w:val="-22"/>
                <w:w w:val="110"/>
              </w:rPr>
              <w:t xml:space="preserve"> </w:t>
            </w:r>
            <w:r w:rsidRPr="00282376">
              <w:rPr>
                <w:rFonts w:cstheme="minorHAnsi"/>
                <w:color w:val="231F20"/>
                <w:w w:val="110"/>
              </w:rPr>
              <w:t>3</w:t>
            </w:r>
          </w:p>
        </w:tc>
        <w:tc>
          <w:tcPr>
            <w:tcW w:w="3592" w:type="dxa"/>
            <w:tcBorders>
              <w:top w:val="single" w:sz="2" w:space="0" w:color="231F20"/>
              <w:left w:val="single" w:sz="2" w:space="0" w:color="231F20"/>
              <w:bottom w:val="single" w:sz="2" w:space="0" w:color="231F20"/>
              <w:right w:val="single" w:sz="2" w:space="0" w:color="231F20"/>
            </w:tcBorders>
            <w:shd w:val="clear" w:color="auto" w:fill="E6E7E8"/>
            <w:vAlign w:val="center"/>
          </w:tcPr>
          <w:p w14:paraId="5C61D5DB" w14:textId="77777777" w:rsidR="00282376" w:rsidRPr="00282376" w:rsidRDefault="00282376" w:rsidP="00D63204">
            <w:pPr>
              <w:widowControl w:val="0"/>
              <w:spacing w:before="62" w:after="0" w:line="240" w:lineRule="auto"/>
              <w:ind w:left="90"/>
              <w:rPr>
                <w:rFonts w:cstheme="minorHAnsi"/>
              </w:rPr>
            </w:pPr>
            <w:r w:rsidRPr="00282376">
              <w:rPr>
                <w:rFonts w:cstheme="minorHAnsi"/>
                <w:color w:val="231F20"/>
                <w:w w:val="110"/>
              </w:rPr>
              <w:t>883</w:t>
            </w:r>
          </w:p>
        </w:tc>
        <w:tc>
          <w:tcPr>
            <w:tcW w:w="3343" w:type="dxa"/>
            <w:tcBorders>
              <w:top w:val="single" w:sz="2" w:space="0" w:color="231F20"/>
              <w:left w:val="single" w:sz="2" w:space="0" w:color="231F20"/>
              <w:bottom w:val="single" w:sz="2" w:space="0" w:color="231F20"/>
              <w:right w:val="single" w:sz="2" w:space="0" w:color="231F20"/>
            </w:tcBorders>
            <w:shd w:val="clear" w:color="auto" w:fill="E6E7E8"/>
            <w:vAlign w:val="center"/>
          </w:tcPr>
          <w:p w14:paraId="30561970" w14:textId="77777777" w:rsidR="00282376" w:rsidRPr="00282376" w:rsidRDefault="00282376" w:rsidP="00D63204">
            <w:pPr>
              <w:widowControl w:val="0"/>
              <w:spacing w:before="62" w:after="0" w:line="240" w:lineRule="auto"/>
              <w:ind w:left="90"/>
              <w:rPr>
                <w:rFonts w:cstheme="minorHAnsi"/>
                <w:color w:val="231F20"/>
                <w:w w:val="110"/>
              </w:rPr>
            </w:pPr>
            <w:r w:rsidRPr="00282376">
              <w:rPr>
                <w:rFonts w:cstheme="minorHAnsi"/>
                <w:color w:val="231F20"/>
                <w:w w:val="110"/>
              </w:rPr>
              <w:t>$3,140,499</w:t>
            </w:r>
          </w:p>
          <w:p w14:paraId="721AA039" w14:textId="77777777" w:rsidR="00282376" w:rsidRPr="00282376" w:rsidRDefault="00282376" w:rsidP="00D63204">
            <w:pPr>
              <w:widowControl w:val="0"/>
              <w:spacing w:before="62" w:after="0" w:line="240" w:lineRule="auto"/>
              <w:ind w:left="90"/>
              <w:rPr>
                <w:rFonts w:cstheme="minorHAnsi"/>
              </w:rPr>
            </w:pPr>
          </w:p>
        </w:tc>
      </w:tr>
      <w:tr w:rsidR="00282376" w:rsidRPr="00282376" w14:paraId="36248195" w14:textId="77777777" w:rsidTr="009271E5">
        <w:trPr>
          <w:trHeight w:hRule="exact" w:val="373"/>
        </w:trPr>
        <w:tc>
          <w:tcPr>
            <w:tcW w:w="3227" w:type="dxa"/>
            <w:tcBorders>
              <w:top w:val="single" w:sz="2" w:space="0" w:color="231F20"/>
              <w:left w:val="single" w:sz="2" w:space="0" w:color="231F20"/>
              <w:bottom w:val="single" w:sz="2" w:space="0" w:color="231F20"/>
              <w:right w:val="single" w:sz="2" w:space="0" w:color="231F20"/>
            </w:tcBorders>
            <w:vAlign w:val="center"/>
          </w:tcPr>
          <w:p w14:paraId="3F7BACF3" w14:textId="77777777" w:rsidR="00282376" w:rsidRPr="00282376" w:rsidRDefault="00282376" w:rsidP="009271E5">
            <w:pPr>
              <w:widowControl w:val="0"/>
              <w:spacing w:before="81" w:after="0" w:line="240" w:lineRule="auto"/>
              <w:ind w:left="90"/>
              <w:rPr>
                <w:rFonts w:cstheme="minorHAnsi"/>
              </w:rPr>
            </w:pPr>
            <w:r w:rsidRPr="00282376">
              <w:rPr>
                <w:rFonts w:cstheme="minorHAnsi"/>
                <w:color w:val="231F20"/>
                <w:spacing w:val="-5"/>
                <w:w w:val="105"/>
              </w:rPr>
              <w:t>Total</w:t>
            </w:r>
          </w:p>
        </w:tc>
        <w:tc>
          <w:tcPr>
            <w:tcW w:w="3592" w:type="dxa"/>
            <w:tcBorders>
              <w:top w:val="single" w:sz="2" w:space="0" w:color="231F20"/>
              <w:left w:val="single" w:sz="2" w:space="0" w:color="231F20"/>
              <w:bottom w:val="single" w:sz="2" w:space="0" w:color="231F20"/>
              <w:right w:val="single" w:sz="2" w:space="0" w:color="231F20"/>
            </w:tcBorders>
            <w:vAlign w:val="center"/>
          </w:tcPr>
          <w:p w14:paraId="06A6BA0E" w14:textId="77777777" w:rsidR="00282376" w:rsidRPr="00282376" w:rsidRDefault="00282376" w:rsidP="00D63204">
            <w:pPr>
              <w:widowControl w:val="0"/>
              <w:spacing w:before="81" w:after="0" w:line="240" w:lineRule="auto"/>
              <w:ind w:left="90"/>
              <w:rPr>
                <w:rFonts w:cstheme="minorHAnsi"/>
              </w:rPr>
            </w:pPr>
            <w:r w:rsidRPr="00282376">
              <w:rPr>
                <w:rFonts w:cstheme="minorHAnsi"/>
                <w:color w:val="231F20"/>
                <w:spacing w:val="-7"/>
              </w:rPr>
              <w:t>42,343</w:t>
            </w:r>
          </w:p>
        </w:tc>
        <w:tc>
          <w:tcPr>
            <w:tcW w:w="3343" w:type="dxa"/>
            <w:tcBorders>
              <w:top w:val="single" w:sz="2" w:space="0" w:color="231F20"/>
              <w:left w:val="single" w:sz="2" w:space="0" w:color="231F20"/>
              <w:bottom w:val="single" w:sz="2" w:space="0" w:color="231F20"/>
              <w:right w:val="single" w:sz="2" w:space="0" w:color="231F20"/>
            </w:tcBorders>
            <w:vAlign w:val="center"/>
          </w:tcPr>
          <w:p w14:paraId="453C520C" w14:textId="77777777" w:rsidR="00282376" w:rsidRPr="00282376" w:rsidRDefault="00282376" w:rsidP="00D63204">
            <w:pPr>
              <w:widowControl w:val="0"/>
              <w:spacing w:before="81" w:after="0" w:line="240" w:lineRule="auto"/>
              <w:ind w:left="90"/>
              <w:rPr>
                <w:rFonts w:cstheme="minorHAnsi"/>
              </w:rPr>
            </w:pPr>
            <w:r w:rsidRPr="00282376">
              <w:rPr>
                <w:rFonts w:cstheme="minorHAnsi"/>
                <w:color w:val="231F20"/>
                <w:w w:val="110"/>
              </w:rPr>
              <w:t>$106,505,000</w:t>
            </w:r>
          </w:p>
        </w:tc>
      </w:tr>
    </w:tbl>
    <w:p w14:paraId="318C0832" w14:textId="77777777" w:rsidR="00282376" w:rsidRPr="00282376" w:rsidRDefault="00282376" w:rsidP="00D63204">
      <w:pPr>
        <w:pStyle w:val="ListParagraph"/>
        <w:widowControl w:val="0"/>
        <w:spacing w:before="5" w:after="0" w:line="240" w:lineRule="auto"/>
        <w:ind w:left="90"/>
        <w:rPr>
          <w:rFonts w:cstheme="minorHAnsi"/>
          <w:b/>
          <w:bCs/>
          <w:sz w:val="9"/>
          <w:szCs w:val="9"/>
        </w:rPr>
      </w:pPr>
    </w:p>
    <w:p w14:paraId="6423428C" w14:textId="77777777" w:rsidR="00282376" w:rsidRPr="00282376" w:rsidRDefault="00282376" w:rsidP="00D63204">
      <w:pPr>
        <w:widowControl w:val="0"/>
        <w:spacing w:before="3" w:after="0" w:line="240" w:lineRule="auto"/>
        <w:ind w:left="90"/>
        <w:rPr>
          <w:rFonts w:cstheme="minorHAnsi"/>
          <w:bCs/>
        </w:rPr>
      </w:pPr>
      <w:r w:rsidRPr="00282376">
        <w:rPr>
          <w:rFonts w:cstheme="minorHAnsi"/>
          <w:bCs/>
        </w:rPr>
        <w:t>The estimated number of customers to be served in Supported Employment (Part B of Title VI of the Act) is 8,080.</w:t>
      </w:r>
    </w:p>
    <w:p w14:paraId="37BCF3A4" w14:textId="77777777" w:rsidR="00282376" w:rsidRPr="00282376" w:rsidRDefault="00282376" w:rsidP="00D63204">
      <w:pPr>
        <w:widowControl w:val="0"/>
        <w:spacing w:before="3" w:after="0" w:line="240" w:lineRule="auto"/>
        <w:ind w:left="90"/>
        <w:rPr>
          <w:rFonts w:cstheme="minorHAnsi"/>
          <w:bCs/>
        </w:rPr>
      </w:pPr>
    </w:p>
    <w:p w14:paraId="66DB9AF1" w14:textId="30D12097" w:rsidR="00282376" w:rsidRPr="00282376" w:rsidRDefault="00282376" w:rsidP="00D63204">
      <w:pPr>
        <w:widowControl w:val="0"/>
        <w:spacing w:after="0" w:line="240" w:lineRule="auto"/>
        <w:ind w:left="90"/>
        <w:rPr>
          <w:rFonts w:cstheme="minorHAnsi"/>
          <w:bCs/>
        </w:rPr>
      </w:pPr>
      <w:r w:rsidRPr="00282376">
        <w:rPr>
          <w:rFonts w:cstheme="minorHAnsi"/>
          <w:bCs/>
        </w:rPr>
        <w:t xml:space="preserve">Total projected costs for IPE services are $106,505,000. </w:t>
      </w:r>
      <w:r w:rsidR="009271E5">
        <w:rPr>
          <w:rFonts w:cstheme="minorHAnsi"/>
          <w:bCs/>
        </w:rPr>
        <w:t>Additionally, t</w:t>
      </w:r>
      <w:r w:rsidRPr="00282376">
        <w:rPr>
          <w:rFonts w:cstheme="minorHAnsi"/>
          <w:bCs/>
        </w:rPr>
        <w:t>he cost for assessment services is projected at $20,342,455. Total projected revenue needed for IPE and assessment services for FFY 2019 is $126,847,455. The revenue available for IPE and assessment services is estimated to be $125.3 million.</w:t>
      </w:r>
    </w:p>
    <w:p w14:paraId="11D3EA84" w14:textId="77777777" w:rsidR="00282376" w:rsidRPr="00282376" w:rsidRDefault="00282376" w:rsidP="00D63204">
      <w:pPr>
        <w:widowControl w:val="0"/>
        <w:spacing w:before="3" w:after="0" w:line="240" w:lineRule="auto"/>
        <w:ind w:left="90"/>
        <w:rPr>
          <w:rFonts w:cstheme="minorHAnsi"/>
          <w:bCs/>
        </w:rPr>
      </w:pPr>
    </w:p>
    <w:p w14:paraId="09D89110" w14:textId="18725526" w:rsidR="00282376" w:rsidRDefault="00282376" w:rsidP="00D63204">
      <w:pPr>
        <w:widowControl w:val="0"/>
        <w:spacing w:after="0" w:line="240" w:lineRule="auto"/>
        <w:ind w:left="90"/>
        <w:rPr>
          <w:rFonts w:cstheme="minorHAnsi"/>
          <w:bCs/>
        </w:rPr>
      </w:pPr>
      <w:r w:rsidRPr="00282376">
        <w:rPr>
          <w:rFonts w:cstheme="minorHAnsi"/>
          <w:bCs/>
        </w:rPr>
        <w:t>Some expenditures associated with Workforce Innovation and Opportunity Act (WIOA) initiatives such as pre-employment transition services</w:t>
      </w:r>
      <w:r w:rsidR="00D5537E">
        <w:rPr>
          <w:rFonts w:cstheme="minorHAnsi"/>
          <w:bCs/>
        </w:rPr>
        <w:t xml:space="preserve"> and</w:t>
      </w:r>
      <w:r w:rsidRPr="00282376">
        <w:rPr>
          <w:rFonts w:cstheme="minorHAnsi"/>
          <w:bCs/>
        </w:rPr>
        <w:t xml:space="preserve"> Job Retention Services (discretionary services under Order of Selection) have not been factored into these projections. Until these costs are fully realized and included into service and cost projections, VR will </w:t>
      </w:r>
      <w:r w:rsidR="009271E5">
        <w:rPr>
          <w:rFonts w:cstheme="minorHAnsi"/>
          <w:bCs/>
        </w:rPr>
        <w:t>continue</w:t>
      </w:r>
      <w:r w:rsidR="00C442E2">
        <w:rPr>
          <w:rFonts w:cstheme="minorHAnsi"/>
          <w:bCs/>
        </w:rPr>
        <w:t xml:space="preserve"> its</w:t>
      </w:r>
      <w:r w:rsidR="009271E5">
        <w:rPr>
          <w:rFonts w:cstheme="minorHAnsi"/>
          <w:bCs/>
        </w:rPr>
        <w:t xml:space="preserve"> current management of</w:t>
      </w:r>
      <w:r w:rsidR="00C442E2">
        <w:rPr>
          <w:rFonts w:cstheme="minorHAnsi"/>
          <w:bCs/>
        </w:rPr>
        <w:t xml:space="preserve"> </w:t>
      </w:r>
      <w:r w:rsidRPr="00282376">
        <w:rPr>
          <w:rFonts w:cstheme="minorHAnsi"/>
          <w:bCs/>
        </w:rPr>
        <w:t>wait list categories under Order of Selection.</w:t>
      </w:r>
    </w:p>
    <w:p w14:paraId="776457E7" w14:textId="77777777" w:rsidR="00282376" w:rsidRPr="00282376" w:rsidRDefault="00282376" w:rsidP="00D63204">
      <w:pPr>
        <w:widowControl w:val="0"/>
        <w:spacing w:after="0" w:line="240" w:lineRule="auto"/>
        <w:ind w:left="90"/>
        <w:rPr>
          <w:rFonts w:cstheme="minorHAnsi"/>
          <w:bCs/>
        </w:rPr>
      </w:pPr>
    </w:p>
    <w:p w14:paraId="16D6353A" w14:textId="4690545F" w:rsidR="00EA7458" w:rsidRPr="00B96E3C" w:rsidRDefault="001134E2" w:rsidP="00D63204">
      <w:pPr>
        <w:pStyle w:val="ListParagraph"/>
        <w:widowControl w:val="0"/>
        <w:numPr>
          <w:ilvl w:val="0"/>
          <w:numId w:val="122"/>
        </w:numPr>
        <w:tabs>
          <w:tab w:val="left" w:pos="828"/>
        </w:tabs>
        <w:spacing w:before="101" w:after="0" w:line="240" w:lineRule="auto"/>
        <w:outlineLvl w:val="1"/>
        <w:rPr>
          <w:rFonts w:ascii="Calibri" w:hAnsi="Calibri"/>
          <w:sz w:val="26"/>
          <w:szCs w:val="26"/>
        </w:rPr>
      </w:pPr>
      <w:r w:rsidRPr="00282376">
        <w:rPr>
          <w:rFonts w:ascii="Calibri" w:hAnsi="Calibri"/>
          <w:b/>
          <w:bCs/>
          <w:color w:val="295CA3"/>
          <w:spacing w:val="-3"/>
          <w:w w:val="110"/>
          <w:sz w:val="26"/>
          <w:szCs w:val="26"/>
        </w:rPr>
        <w:t xml:space="preserve"> </w:t>
      </w:r>
      <w:r w:rsidR="00B96E3C" w:rsidRPr="00493CD4">
        <w:rPr>
          <w:rFonts w:ascii="Calibri" w:hAnsi="Calibri"/>
          <w:b/>
          <w:bCs/>
          <w:color w:val="1F497D" w:themeColor="text2"/>
          <w:spacing w:val="-3"/>
          <w:w w:val="110"/>
          <w:sz w:val="26"/>
          <w:szCs w:val="26"/>
        </w:rPr>
        <w:t>State Goals and Priorities</w:t>
      </w:r>
    </w:p>
    <w:p w14:paraId="2A018DC4" w14:textId="77777777" w:rsidR="00B96E3C" w:rsidRPr="00282376" w:rsidRDefault="00B96E3C" w:rsidP="00D63204">
      <w:pPr>
        <w:pStyle w:val="ListParagraph"/>
        <w:widowControl w:val="0"/>
        <w:tabs>
          <w:tab w:val="left" w:pos="828"/>
        </w:tabs>
        <w:spacing w:before="101" w:after="0" w:line="240" w:lineRule="auto"/>
        <w:ind w:left="1080"/>
        <w:outlineLvl w:val="1"/>
        <w:rPr>
          <w:rFonts w:ascii="Calibri" w:hAnsi="Calibri"/>
          <w:sz w:val="26"/>
          <w:szCs w:val="26"/>
        </w:rPr>
      </w:pPr>
    </w:p>
    <w:p w14:paraId="325278A2" w14:textId="77777777" w:rsidR="00B96E3C" w:rsidRPr="00B96E3C" w:rsidRDefault="00B96E3C" w:rsidP="00D63204">
      <w:pPr>
        <w:widowControl w:val="0"/>
        <w:spacing w:after="0" w:line="240" w:lineRule="auto"/>
        <w:ind w:left="107"/>
        <w:outlineLvl w:val="2"/>
        <w:rPr>
          <w:rFonts w:cstheme="minorHAnsi"/>
        </w:rPr>
      </w:pPr>
      <w:r w:rsidRPr="00B96E3C">
        <w:rPr>
          <w:rFonts w:cstheme="minorHAnsi"/>
          <w:b/>
          <w:bCs/>
          <w:color w:val="231F20"/>
          <w:w w:val="115"/>
          <w:u w:val="single" w:color="231F20"/>
        </w:rPr>
        <w:t>VR</w:t>
      </w:r>
      <w:r w:rsidRPr="00B96E3C">
        <w:rPr>
          <w:rFonts w:cstheme="minorHAnsi"/>
          <w:b/>
          <w:bCs/>
          <w:color w:val="231F20"/>
          <w:spacing w:val="-28"/>
          <w:w w:val="115"/>
          <w:u w:val="single" w:color="231F20"/>
        </w:rPr>
        <w:t xml:space="preserve"> </w:t>
      </w:r>
      <w:r w:rsidRPr="00B96E3C">
        <w:rPr>
          <w:rFonts w:cstheme="minorHAnsi"/>
          <w:b/>
          <w:bCs/>
          <w:color w:val="231F20"/>
          <w:w w:val="115"/>
          <w:u w:val="single" w:color="231F20"/>
        </w:rPr>
        <w:t>Vision</w:t>
      </w:r>
    </w:p>
    <w:p w14:paraId="20EAA968" w14:textId="1979CF3A" w:rsidR="00B96E3C" w:rsidRPr="00B96E3C" w:rsidRDefault="00B96E3C" w:rsidP="00D63204">
      <w:pPr>
        <w:widowControl w:val="0"/>
        <w:spacing w:before="2" w:after="0" w:line="240" w:lineRule="auto"/>
        <w:ind w:left="107"/>
        <w:rPr>
          <w:rFonts w:cstheme="minorHAnsi"/>
        </w:rPr>
      </w:pPr>
      <w:r w:rsidRPr="00B96E3C">
        <w:rPr>
          <w:rFonts w:cstheme="minorHAnsi"/>
          <w:color w:val="231F20"/>
          <w:spacing w:val="-12"/>
          <w:w w:val="105"/>
        </w:rPr>
        <w:t>To</w:t>
      </w:r>
      <w:r w:rsidRPr="00B96E3C">
        <w:rPr>
          <w:rFonts w:cstheme="minorHAnsi"/>
          <w:color w:val="231F20"/>
          <w:spacing w:val="13"/>
          <w:w w:val="105"/>
        </w:rPr>
        <w:t xml:space="preserve"> </w:t>
      </w:r>
      <w:r w:rsidRPr="00B96E3C">
        <w:rPr>
          <w:rFonts w:cstheme="minorHAnsi"/>
          <w:color w:val="231F20"/>
          <w:w w:val="105"/>
        </w:rPr>
        <w:t>become</w:t>
      </w:r>
      <w:r w:rsidRPr="00B96E3C">
        <w:rPr>
          <w:rFonts w:cstheme="minorHAnsi"/>
          <w:color w:val="231F20"/>
          <w:spacing w:val="13"/>
          <w:w w:val="105"/>
        </w:rPr>
        <w:t xml:space="preserve"> </w:t>
      </w:r>
      <w:r w:rsidRPr="00B96E3C">
        <w:rPr>
          <w:rFonts w:cstheme="minorHAnsi"/>
          <w:color w:val="231F20"/>
          <w:w w:val="105"/>
        </w:rPr>
        <w:t>the</w:t>
      </w:r>
      <w:r w:rsidRPr="00B96E3C">
        <w:rPr>
          <w:rFonts w:cstheme="minorHAnsi"/>
          <w:color w:val="231F20"/>
          <w:spacing w:val="13"/>
          <w:w w:val="105"/>
        </w:rPr>
        <w:t xml:space="preserve"> </w:t>
      </w:r>
      <w:r w:rsidR="00DE31C3" w:rsidRPr="00B96E3C">
        <w:rPr>
          <w:rFonts w:cstheme="minorHAnsi"/>
          <w:color w:val="231F20"/>
          <w:w w:val="105"/>
        </w:rPr>
        <w:t>first</w:t>
      </w:r>
      <w:r w:rsidR="009271E5">
        <w:rPr>
          <w:rFonts w:cstheme="minorHAnsi"/>
          <w:color w:val="231F20"/>
          <w:w w:val="105"/>
        </w:rPr>
        <w:t xml:space="preserve"> </w:t>
      </w:r>
      <w:r w:rsidR="00DE31C3" w:rsidRPr="00B96E3C">
        <w:rPr>
          <w:rFonts w:cstheme="minorHAnsi"/>
          <w:color w:val="231F20"/>
          <w:spacing w:val="13"/>
          <w:w w:val="105"/>
        </w:rPr>
        <w:t>place</w:t>
      </w:r>
      <w:r w:rsidRPr="00B96E3C">
        <w:rPr>
          <w:rFonts w:cstheme="minorHAnsi"/>
          <w:color w:val="231F20"/>
          <w:spacing w:val="13"/>
          <w:w w:val="105"/>
        </w:rPr>
        <w:t xml:space="preserve"> </w:t>
      </w:r>
      <w:r w:rsidRPr="00B96E3C">
        <w:rPr>
          <w:rFonts w:cstheme="minorHAnsi"/>
          <w:color w:val="231F20"/>
          <w:w w:val="105"/>
        </w:rPr>
        <w:t>people</w:t>
      </w:r>
      <w:r w:rsidRPr="00B96E3C">
        <w:rPr>
          <w:rFonts w:cstheme="minorHAnsi"/>
          <w:color w:val="231F20"/>
          <w:spacing w:val="13"/>
          <w:w w:val="105"/>
        </w:rPr>
        <w:t xml:space="preserve"> </w:t>
      </w:r>
      <w:r w:rsidRPr="00B96E3C">
        <w:rPr>
          <w:rFonts w:cstheme="minorHAnsi"/>
          <w:color w:val="231F20"/>
          <w:w w:val="105"/>
        </w:rPr>
        <w:t>with</w:t>
      </w:r>
      <w:r w:rsidRPr="00B96E3C">
        <w:rPr>
          <w:rFonts w:cstheme="minorHAnsi"/>
          <w:color w:val="231F20"/>
          <w:spacing w:val="13"/>
          <w:w w:val="105"/>
        </w:rPr>
        <w:t xml:space="preserve"> </w:t>
      </w:r>
      <w:r w:rsidRPr="00B96E3C">
        <w:rPr>
          <w:rFonts w:cstheme="minorHAnsi"/>
          <w:color w:val="231F20"/>
          <w:w w:val="105"/>
        </w:rPr>
        <w:t>disabilities</w:t>
      </w:r>
      <w:r w:rsidRPr="00B96E3C">
        <w:rPr>
          <w:rFonts w:cstheme="minorHAnsi"/>
          <w:color w:val="231F20"/>
          <w:spacing w:val="13"/>
          <w:w w:val="105"/>
        </w:rPr>
        <w:t xml:space="preserve"> </w:t>
      </w:r>
      <w:r w:rsidRPr="00B96E3C">
        <w:rPr>
          <w:rFonts w:cstheme="minorHAnsi"/>
          <w:color w:val="231F20"/>
          <w:w w:val="105"/>
        </w:rPr>
        <w:t>turn</w:t>
      </w:r>
      <w:r w:rsidRPr="00B96E3C">
        <w:rPr>
          <w:rFonts w:cstheme="minorHAnsi"/>
          <w:color w:val="231F20"/>
          <w:spacing w:val="13"/>
          <w:w w:val="105"/>
        </w:rPr>
        <w:t xml:space="preserve"> </w:t>
      </w:r>
      <w:r w:rsidRPr="00B96E3C">
        <w:rPr>
          <w:rFonts w:cstheme="minorHAnsi"/>
          <w:color w:val="231F20"/>
          <w:w w:val="105"/>
        </w:rPr>
        <w:t>when</w:t>
      </w:r>
      <w:r w:rsidRPr="00B96E3C">
        <w:rPr>
          <w:rFonts w:cstheme="minorHAnsi"/>
          <w:color w:val="231F20"/>
          <w:spacing w:val="13"/>
          <w:w w:val="105"/>
        </w:rPr>
        <w:t xml:space="preserve"> </w:t>
      </w:r>
      <w:r w:rsidRPr="00B96E3C">
        <w:rPr>
          <w:rFonts w:cstheme="minorHAnsi"/>
          <w:color w:val="231F20"/>
          <w:w w:val="105"/>
        </w:rPr>
        <w:t>seeking</w:t>
      </w:r>
      <w:r w:rsidRPr="00B96E3C">
        <w:rPr>
          <w:rFonts w:cstheme="minorHAnsi"/>
          <w:color w:val="231F20"/>
          <w:spacing w:val="13"/>
          <w:w w:val="105"/>
        </w:rPr>
        <w:t xml:space="preserve"> </w:t>
      </w:r>
      <w:r w:rsidRPr="00B96E3C">
        <w:rPr>
          <w:rFonts w:cstheme="minorHAnsi"/>
          <w:color w:val="231F20"/>
          <w:w w:val="105"/>
        </w:rPr>
        <w:t>employment</w:t>
      </w:r>
      <w:r w:rsidRPr="00B96E3C">
        <w:rPr>
          <w:rFonts w:cstheme="minorHAnsi"/>
          <w:color w:val="231F20"/>
          <w:spacing w:val="13"/>
          <w:w w:val="105"/>
        </w:rPr>
        <w:t xml:space="preserve"> </w:t>
      </w:r>
      <w:r w:rsidRPr="00B96E3C">
        <w:rPr>
          <w:rFonts w:cstheme="minorHAnsi"/>
          <w:color w:val="231F20"/>
          <w:w w:val="105"/>
        </w:rPr>
        <w:t>and</w:t>
      </w:r>
      <w:r w:rsidRPr="00B96E3C">
        <w:rPr>
          <w:rFonts w:cstheme="minorHAnsi"/>
          <w:color w:val="231F20"/>
          <w:spacing w:val="13"/>
          <w:w w:val="105"/>
        </w:rPr>
        <w:t xml:space="preserve"> </w:t>
      </w:r>
      <w:r w:rsidRPr="00B96E3C">
        <w:rPr>
          <w:rFonts w:cstheme="minorHAnsi"/>
          <w:color w:val="231F20"/>
          <w:w w:val="105"/>
        </w:rPr>
        <w:t>a</w:t>
      </w:r>
      <w:r w:rsidRPr="00B96E3C">
        <w:rPr>
          <w:rFonts w:cstheme="minorHAnsi"/>
          <w:color w:val="231F20"/>
          <w:spacing w:val="13"/>
          <w:w w:val="105"/>
        </w:rPr>
        <w:t xml:space="preserve"> </w:t>
      </w:r>
      <w:r w:rsidRPr="00B96E3C">
        <w:rPr>
          <w:rFonts w:cstheme="minorHAnsi"/>
          <w:color w:val="231F20"/>
          <w:w w:val="105"/>
        </w:rPr>
        <w:t>top</w:t>
      </w:r>
      <w:r w:rsidRPr="00B96E3C">
        <w:rPr>
          <w:rFonts w:cstheme="minorHAnsi"/>
          <w:color w:val="231F20"/>
          <w:spacing w:val="13"/>
          <w:w w:val="105"/>
        </w:rPr>
        <w:t xml:space="preserve"> </w:t>
      </w:r>
      <w:r w:rsidRPr="00B96E3C">
        <w:rPr>
          <w:rFonts w:cstheme="minorHAnsi"/>
          <w:color w:val="231F20"/>
          <w:w w:val="105"/>
        </w:rPr>
        <w:t>resource</w:t>
      </w:r>
      <w:r w:rsidRPr="00B96E3C">
        <w:rPr>
          <w:rFonts w:cstheme="minorHAnsi"/>
          <w:color w:val="231F20"/>
          <w:spacing w:val="13"/>
          <w:w w:val="105"/>
        </w:rPr>
        <w:t xml:space="preserve"> </w:t>
      </w:r>
      <w:r w:rsidRPr="00B96E3C">
        <w:rPr>
          <w:rFonts w:cstheme="minorHAnsi"/>
          <w:color w:val="231F20"/>
          <w:w w:val="105"/>
        </w:rPr>
        <w:t>for</w:t>
      </w:r>
      <w:r w:rsidRPr="00B96E3C">
        <w:rPr>
          <w:rFonts w:cstheme="minorHAnsi"/>
          <w:color w:val="231F20"/>
        </w:rPr>
        <w:t xml:space="preserve"> </w:t>
      </w:r>
      <w:r w:rsidRPr="00B96E3C">
        <w:rPr>
          <w:rFonts w:cstheme="minorHAnsi"/>
          <w:color w:val="231F20"/>
          <w:w w:val="105"/>
        </w:rPr>
        <w:t>employers in need of qualified employees.</w:t>
      </w:r>
    </w:p>
    <w:p w14:paraId="6571CA5A" w14:textId="77777777" w:rsidR="00B96E3C" w:rsidRPr="00B96E3C" w:rsidRDefault="00B96E3C" w:rsidP="00D63204">
      <w:pPr>
        <w:widowControl w:val="0"/>
        <w:spacing w:before="10" w:after="0" w:line="240" w:lineRule="auto"/>
        <w:ind w:left="107"/>
        <w:rPr>
          <w:rFonts w:cstheme="minorHAnsi"/>
        </w:rPr>
      </w:pPr>
    </w:p>
    <w:p w14:paraId="596CDB26" w14:textId="77777777" w:rsidR="00B96E3C" w:rsidRPr="00B96E3C" w:rsidRDefault="00B96E3C" w:rsidP="00D63204">
      <w:pPr>
        <w:widowControl w:val="0"/>
        <w:spacing w:after="0" w:line="240" w:lineRule="auto"/>
        <w:ind w:left="107"/>
        <w:outlineLvl w:val="2"/>
        <w:rPr>
          <w:rFonts w:cstheme="minorHAnsi"/>
        </w:rPr>
      </w:pPr>
      <w:r w:rsidRPr="00B96E3C">
        <w:rPr>
          <w:rFonts w:cstheme="minorHAnsi"/>
          <w:b/>
          <w:bCs/>
          <w:color w:val="231F20"/>
          <w:w w:val="110"/>
          <w:u w:val="single" w:color="231F20"/>
        </w:rPr>
        <w:t>VR</w:t>
      </w:r>
      <w:r w:rsidRPr="00B96E3C">
        <w:rPr>
          <w:rFonts w:cstheme="minorHAnsi"/>
          <w:b/>
          <w:bCs/>
          <w:color w:val="231F20"/>
          <w:spacing w:val="-7"/>
          <w:w w:val="110"/>
          <w:u w:val="single" w:color="231F20"/>
        </w:rPr>
        <w:t xml:space="preserve"> </w:t>
      </w:r>
      <w:r w:rsidRPr="00B96E3C">
        <w:rPr>
          <w:rFonts w:cstheme="minorHAnsi"/>
          <w:b/>
          <w:bCs/>
          <w:color w:val="231F20"/>
          <w:w w:val="110"/>
          <w:u w:val="single" w:color="231F20"/>
        </w:rPr>
        <w:t>Mission</w:t>
      </w:r>
    </w:p>
    <w:p w14:paraId="402035B1" w14:textId="75395291" w:rsidR="00B96E3C" w:rsidRPr="00B96E3C" w:rsidRDefault="00B96E3C" w:rsidP="00D63204">
      <w:pPr>
        <w:widowControl w:val="0"/>
        <w:spacing w:after="0" w:line="240" w:lineRule="auto"/>
        <w:ind w:left="107"/>
        <w:rPr>
          <w:rFonts w:cstheme="minorHAnsi"/>
        </w:rPr>
      </w:pPr>
      <w:r w:rsidRPr="00B96E3C">
        <w:rPr>
          <w:rFonts w:cstheme="minorHAnsi"/>
          <w:color w:val="231F20"/>
          <w:spacing w:val="-12"/>
          <w:w w:val="105"/>
        </w:rPr>
        <w:t xml:space="preserve">To </w:t>
      </w:r>
      <w:r w:rsidRPr="00B96E3C">
        <w:rPr>
          <w:rFonts w:cstheme="minorHAnsi"/>
          <w:color w:val="231F20"/>
          <w:w w:val="105"/>
        </w:rPr>
        <w:t>help people with disabilities find and maintain employment</w:t>
      </w:r>
      <w:r w:rsidR="00D5537E">
        <w:rPr>
          <w:rFonts w:cstheme="minorHAnsi"/>
          <w:color w:val="231F20"/>
          <w:w w:val="105"/>
        </w:rPr>
        <w:t xml:space="preserve"> and</w:t>
      </w:r>
      <w:r w:rsidRPr="00B96E3C">
        <w:rPr>
          <w:rFonts w:cstheme="minorHAnsi"/>
          <w:color w:val="231F20"/>
          <w:w w:val="105"/>
        </w:rPr>
        <w:t xml:space="preserve"> enhance their independence.</w:t>
      </w:r>
    </w:p>
    <w:p w14:paraId="2EB8AEEE" w14:textId="77777777" w:rsidR="00B96E3C" w:rsidRPr="00B96E3C" w:rsidRDefault="00B96E3C" w:rsidP="00D63204">
      <w:pPr>
        <w:widowControl w:val="0"/>
        <w:spacing w:before="9" w:after="0" w:line="240" w:lineRule="auto"/>
        <w:ind w:left="107"/>
        <w:rPr>
          <w:rFonts w:cstheme="minorHAnsi"/>
        </w:rPr>
      </w:pPr>
    </w:p>
    <w:p w14:paraId="64D1BBE7" w14:textId="77777777" w:rsidR="00B96E3C" w:rsidRDefault="00B96E3C" w:rsidP="00D63204">
      <w:pPr>
        <w:widowControl w:val="0"/>
        <w:spacing w:after="0" w:line="240" w:lineRule="auto"/>
        <w:ind w:left="107"/>
        <w:outlineLvl w:val="2"/>
        <w:rPr>
          <w:rFonts w:cstheme="minorHAnsi"/>
          <w:b/>
          <w:bCs/>
          <w:color w:val="231F20"/>
          <w:w w:val="110"/>
          <w:u w:val="single" w:color="231F20"/>
        </w:rPr>
      </w:pPr>
    </w:p>
    <w:p w14:paraId="7E1B9BF3" w14:textId="518B3735" w:rsidR="00B96E3C" w:rsidRPr="00B96E3C" w:rsidRDefault="00B96E3C" w:rsidP="00D63204">
      <w:pPr>
        <w:widowControl w:val="0"/>
        <w:spacing w:after="0" w:line="240" w:lineRule="auto"/>
        <w:ind w:left="107"/>
        <w:outlineLvl w:val="2"/>
        <w:rPr>
          <w:rFonts w:cstheme="minorHAnsi"/>
        </w:rPr>
      </w:pPr>
      <w:r w:rsidRPr="00B96E3C">
        <w:rPr>
          <w:rFonts w:cstheme="minorHAnsi"/>
          <w:b/>
          <w:bCs/>
          <w:color w:val="231F20"/>
          <w:w w:val="110"/>
          <w:u w:val="single" w:color="231F20"/>
        </w:rPr>
        <w:t>Strategic Goals and Priorities</w:t>
      </w:r>
    </w:p>
    <w:p w14:paraId="043AC207" w14:textId="79782DF9" w:rsidR="00B96E3C" w:rsidRPr="00B96E3C" w:rsidRDefault="00B96E3C" w:rsidP="00D63204">
      <w:pPr>
        <w:widowControl w:val="0"/>
        <w:spacing w:before="2" w:after="0" w:line="240" w:lineRule="auto"/>
        <w:ind w:left="107"/>
        <w:rPr>
          <w:rFonts w:cstheme="minorHAnsi"/>
        </w:rPr>
      </w:pPr>
      <w:r w:rsidRPr="00B96E3C">
        <w:rPr>
          <w:rFonts w:cstheme="minorHAnsi"/>
          <w:color w:val="231F20"/>
          <w:w w:val="110"/>
        </w:rPr>
        <w:t>During</w:t>
      </w:r>
      <w:r w:rsidRPr="00B96E3C">
        <w:rPr>
          <w:rFonts w:cstheme="minorHAnsi"/>
          <w:color w:val="231F20"/>
          <w:spacing w:val="-14"/>
          <w:w w:val="110"/>
        </w:rPr>
        <w:t xml:space="preserve"> </w:t>
      </w:r>
      <w:r w:rsidRPr="00B96E3C">
        <w:rPr>
          <w:rFonts w:cstheme="minorHAnsi"/>
          <w:color w:val="231F20"/>
          <w:w w:val="110"/>
        </w:rPr>
        <w:t>FFY</w:t>
      </w:r>
      <w:r w:rsidRPr="00B96E3C">
        <w:rPr>
          <w:rFonts w:cstheme="minorHAnsi"/>
          <w:color w:val="231F20"/>
          <w:spacing w:val="-14"/>
          <w:w w:val="110"/>
        </w:rPr>
        <w:t xml:space="preserve"> </w:t>
      </w:r>
      <w:r w:rsidRPr="00B96E3C">
        <w:rPr>
          <w:rFonts w:cstheme="minorHAnsi"/>
          <w:color w:val="231F20"/>
          <w:w w:val="110"/>
        </w:rPr>
        <w:t>2014-15,</w:t>
      </w:r>
      <w:r w:rsidRPr="00B96E3C">
        <w:rPr>
          <w:rFonts w:cstheme="minorHAnsi"/>
          <w:color w:val="231F20"/>
          <w:spacing w:val="-14"/>
          <w:w w:val="110"/>
        </w:rPr>
        <w:t xml:space="preserve"> </w:t>
      </w:r>
      <w:r w:rsidRPr="00B96E3C">
        <w:rPr>
          <w:rFonts w:cstheme="minorHAnsi"/>
          <w:color w:val="231F20"/>
          <w:w w:val="110"/>
        </w:rPr>
        <w:t>VR,</w:t>
      </w:r>
      <w:r w:rsidRPr="00B96E3C">
        <w:rPr>
          <w:rFonts w:cstheme="minorHAnsi"/>
          <w:color w:val="231F20"/>
          <w:spacing w:val="-14"/>
          <w:w w:val="110"/>
        </w:rPr>
        <w:t xml:space="preserve"> </w:t>
      </w:r>
      <w:r w:rsidRPr="00B96E3C">
        <w:rPr>
          <w:rFonts w:cstheme="minorHAnsi"/>
          <w:color w:val="231F20"/>
          <w:w w:val="110"/>
        </w:rPr>
        <w:t>in</w:t>
      </w:r>
      <w:r w:rsidRPr="00B96E3C">
        <w:rPr>
          <w:rFonts w:cstheme="minorHAnsi"/>
          <w:color w:val="231F20"/>
          <w:spacing w:val="-14"/>
          <w:w w:val="110"/>
        </w:rPr>
        <w:t xml:space="preserve"> </w:t>
      </w:r>
      <w:r w:rsidRPr="00B96E3C">
        <w:rPr>
          <w:rFonts w:cstheme="minorHAnsi"/>
          <w:color w:val="231F20"/>
          <w:w w:val="110"/>
        </w:rPr>
        <w:t>collaboration</w:t>
      </w:r>
      <w:r w:rsidRPr="00B96E3C">
        <w:rPr>
          <w:rFonts w:cstheme="minorHAnsi"/>
          <w:color w:val="231F20"/>
          <w:spacing w:val="-14"/>
          <w:w w:val="110"/>
        </w:rPr>
        <w:t xml:space="preserve"> </w:t>
      </w:r>
      <w:r w:rsidRPr="00B96E3C">
        <w:rPr>
          <w:rFonts w:cstheme="minorHAnsi"/>
          <w:color w:val="231F20"/>
          <w:w w:val="110"/>
        </w:rPr>
        <w:t>with</w:t>
      </w:r>
      <w:r w:rsidRPr="00B96E3C">
        <w:rPr>
          <w:rFonts w:cstheme="minorHAnsi"/>
          <w:color w:val="231F20"/>
          <w:spacing w:val="-14"/>
          <w:w w:val="110"/>
        </w:rPr>
        <w:t xml:space="preserve"> </w:t>
      </w:r>
      <w:r w:rsidRPr="00B96E3C">
        <w:rPr>
          <w:rFonts w:cstheme="minorHAnsi"/>
          <w:color w:val="231F20"/>
          <w:w w:val="110"/>
        </w:rPr>
        <w:t>the</w:t>
      </w:r>
      <w:r w:rsidRPr="00B96E3C">
        <w:rPr>
          <w:rFonts w:cstheme="minorHAnsi"/>
          <w:color w:val="231F20"/>
          <w:spacing w:val="-14"/>
          <w:w w:val="110"/>
        </w:rPr>
        <w:t xml:space="preserve"> </w:t>
      </w:r>
      <w:r w:rsidRPr="00B96E3C">
        <w:rPr>
          <w:rFonts w:cstheme="minorHAnsi"/>
          <w:color w:val="231F20"/>
          <w:w w:val="110"/>
        </w:rPr>
        <w:t>Florida</w:t>
      </w:r>
      <w:r w:rsidRPr="00B96E3C">
        <w:rPr>
          <w:rFonts w:cstheme="minorHAnsi"/>
          <w:color w:val="231F20"/>
          <w:spacing w:val="-14"/>
          <w:w w:val="110"/>
        </w:rPr>
        <w:t xml:space="preserve"> </w:t>
      </w:r>
      <w:r w:rsidRPr="00B96E3C">
        <w:rPr>
          <w:rFonts w:cstheme="minorHAnsi"/>
          <w:color w:val="231F20"/>
          <w:w w:val="110"/>
        </w:rPr>
        <w:t>Rehabilitation</w:t>
      </w:r>
      <w:r w:rsidRPr="00B96E3C">
        <w:rPr>
          <w:rFonts w:cstheme="minorHAnsi"/>
          <w:color w:val="231F20"/>
          <w:spacing w:val="-14"/>
          <w:w w:val="110"/>
        </w:rPr>
        <w:t xml:space="preserve"> </w:t>
      </w:r>
      <w:r w:rsidRPr="00B96E3C">
        <w:rPr>
          <w:rFonts w:cstheme="minorHAnsi"/>
          <w:color w:val="231F20"/>
          <w:w w:val="110"/>
        </w:rPr>
        <w:t>Council</w:t>
      </w:r>
      <w:r w:rsidRPr="00B96E3C">
        <w:rPr>
          <w:rFonts w:cstheme="minorHAnsi"/>
          <w:color w:val="231F20"/>
          <w:spacing w:val="-14"/>
          <w:w w:val="110"/>
        </w:rPr>
        <w:t xml:space="preserve"> </w:t>
      </w:r>
      <w:r w:rsidRPr="00B96E3C">
        <w:rPr>
          <w:rFonts w:cstheme="minorHAnsi"/>
          <w:color w:val="231F20"/>
          <w:w w:val="110"/>
        </w:rPr>
        <w:t>(FRC),</w:t>
      </w:r>
      <w:r w:rsidRPr="00B96E3C">
        <w:rPr>
          <w:rFonts w:cstheme="minorHAnsi"/>
          <w:color w:val="231F20"/>
          <w:spacing w:val="-14"/>
          <w:w w:val="110"/>
        </w:rPr>
        <w:t xml:space="preserve"> </w:t>
      </w:r>
      <w:r w:rsidRPr="00B96E3C">
        <w:rPr>
          <w:rFonts w:cstheme="minorHAnsi"/>
          <w:color w:val="231F20"/>
          <w:w w:val="110"/>
        </w:rPr>
        <w:t>completed</w:t>
      </w:r>
      <w:r w:rsidRPr="00B96E3C">
        <w:rPr>
          <w:rFonts w:cstheme="minorHAnsi"/>
          <w:color w:val="231F20"/>
          <w:spacing w:val="-14"/>
          <w:w w:val="110"/>
        </w:rPr>
        <w:t xml:space="preserve"> </w:t>
      </w:r>
      <w:r w:rsidRPr="00B96E3C">
        <w:rPr>
          <w:rFonts w:cstheme="minorHAnsi"/>
          <w:color w:val="231F20"/>
          <w:w w:val="110"/>
        </w:rPr>
        <w:t>its</w:t>
      </w:r>
      <w:r w:rsidRPr="00B96E3C">
        <w:rPr>
          <w:rFonts w:cstheme="minorHAnsi"/>
          <w:color w:val="231F20"/>
          <w:spacing w:val="-14"/>
          <w:w w:val="110"/>
        </w:rPr>
        <w:t xml:space="preserve"> </w:t>
      </w:r>
      <w:r w:rsidRPr="00B96E3C">
        <w:rPr>
          <w:rFonts w:cstheme="minorHAnsi"/>
          <w:color w:val="231F20"/>
          <w:w w:val="110"/>
        </w:rPr>
        <w:t>three-</w:t>
      </w:r>
      <w:r w:rsidRPr="00B96E3C">
        <w:rPr>
          <w:rFonts w:cstheme="minorHAnsi"/>
          <w:color w:val="231F20"/>
          <w:w w:val="103"/>
        </w:rPr>
        <w:t xml:space="preserve"> </w:t>
      </w:r>
      <w:r w:rsidRPr="00B96E3C">
        <w:rPr>
          <w:rFonts w:cstheme="minorHAnsi"/>
          <w:color w:val="231F20"/>
          <w:w w:val="110"/>
        </w:rPr>
        <w:t>year</w:t>
      </w:r>
      <w:r w:rsidRPr="00B96E3C">
        <w:rPr>
          <w:rFonts w:cstheme="minorHAnsi"/>
          <w:color w:val="231F20"/>
          <w:spacing w:val="-11"/>
          <w:w w:val="110"/>
        </w:rPr>
        <w:t xml:space="preserve"> </w:t>
      </w:r>
      <w:r w:rsidRPr="00B96E3C">
        <w:rPr>
          <w:rFonts w:cstheme="minorHAnsi"/>
          <w:color w:val="231F20"/>
          <w:w w:val="110"/>
        </w:rPr>
        <w:t>comprehensive</w:t>
      </w:r>
      <w:r w:rsidRPr="00B96E3C">
        <w:rPr>
          <w:rFonts w:cstheme="minorHAnsi"/>
          <w:color w:val="231F20"/>
          <w:spacing w:val="-11"/>
          <w:w w:val="110"/>
        </w:rPr>
        <w:t xml:space="preserve"> </w:t>
      </w:r>
      <w:r w:rsidRPr="00B96E3C">
        <w:rPr>
          <w:rFonts w:cstheme="minorHAnsi"/>
          <w:color w:val="231F20"/>
          <w:w w:val="110"/>
        </w:rPr>
        <w:t>statewide</w:t>
      </w:r>
      <w:r w:rsidRPr="00B96E3C">
        <w:rPr>
          <w:rFonts w:cstheme="minorHAnsi"/>
          <w:color w:val="231F20"/>
          <w:spacing w:val="-11"/>
          <w:w w:val="110"/>
        </w:rPr>
        <w:t xml:space="preserve"> </w:t>
      </w:r>
      <w:r w:rsidRPr="00B96E3C">
        <w:rPr>
          <w:rFonts w:cstheme="minorHAnsi"/>
          <w:color w:val="231F20"/>
          <w:w w:val="110"/>
        </w:rPr>
        <w:t>needs</w:t>
      </w:r>
      <w:r w:rsidRPr="00B96E3C">
        <w:rPr>
          <w:rFonts w:cstheme="minorHAnsi"/>
          <w:color w:val="231F20"/>
          <w:spacing w:val="-11"/>
          <w:w w:val="110"/>
        </w:rPr>
        <w:t xml:space="preserve"> </w:t>
      </w:r>
      <w:r w:rsidRPr="00B96E3C">
        <w:rPr>
          <w:rFonts w:cstheme="minorHAnsi"/>
          <w:color w:val="231F20"/>
          <w:w w:val="110"/>
        </w:rPr>
        <w:t>assessment.</w:t>
      </w:r>
      <w:r w:rsidRPr="00B96E3C">
        <w:rPr>
          <w:rFonts w:cstheme="minorHAnsi"/>
          <w:color w:val="231F20"/>
          <w:spacing w:val="-11"/>
          <w:w w:val="110"/>
        </w:rPr>
        <w:t xml:space="preserve"> </w:t>
      </w:r>
      <w:r w:rsidRPr="00B96E3C">
        <w:rPr>
          <w:rFonts w:cstheme="minorHAnsi"/>
          <w:color w:val="231F20"/>
          <w:w w:val="110"/>
        </w:rPr>
        <w:t>Information</w:t>
      </w:r>
      <w:r w:rsidRPr="00B96E3C">
        <w:rPr>
          <w:rFonts w:cstheme="minorHAnsi"/>
          <w:color w:val="231F20"/>
          <w:spacing w:val="-11"/>
          <w:w w:val="110"/>
        </w:rPr>
        <w:t xml:space="preserve"> </w:t>
      </w:r>
      <w:r w:rsidRPr="00B96E3C">
        <w:rPr>
          <w:rFonts w:cstheme="minorHAnsi"/>
          <w:color w:val="231F20"/>
          <w:w w:val="110"/>
        </w:rPr>
        <w:t>obtained</w:t>
      </w:r>
      <w:r w:rsidRPr="00B96E3C">
        <w:rPr>
          <w:rFonts w:cstheme="minorHAnsi"/>
          <w:color w:val="231F20"/>
          <w:spacing w:val="-11"/>
          <w:w w:val="110"/>
        </w:rPr>
        <w:t xml:space="preserve"> </w:t>
      </w:r>
      <w:r w:rsidRPr="00B96E3C">
        <w:rPr>
          <w:rFonts w:cstheme="minorHAnsi"/>
          <w:color w:val="231F20"/>
          <w:w w:val="110"/>
        </w:rPr>
        <w:t>from</w:t>
      </w:r>
      <w:r w:rsidRPr="00B96E3C">
        <w:rPr>
          <w:rFonts w:cstheme="minorHAnsi"/>
          <w:color w:val="231F20"/>
          <w:spacing w:val="-11"/>
          <w:w w:val="110"/>
        </w:rPr>
        <w:t xml:space="preserve"> </w:t>
      </w:r>
      <w:r w:rsidRPr="00B96E3C">
        <w:rPr>
          <w:rFonts w:cstheme="minorHAnsi"/>
          <w:color w:val="231F20"/>
          <w:w w:val="110"/>
        </w:rPr>
        <w:t>the</w:t>
      </w:r>
      <w:r w:rsidRPr="00B96E3C">
        <w:rPr>
          <w:rFonts w:cstheme="minorHAnsi"/>
          <w:color w:val="231F20"/>
          <w:spacing w:val="-11"/>
          <w:w w:val="110"/>
        </w:rPr>
        <w:t xml:space="preserve"> </w:t>
      </w:r>
      <w:r w:rsidRPr="00B96E3C">
        <w:rPr>
          <w:rFonts w:cstheme="minorHAnsi"/>
          <w:color w:val="231F20"/>
          <w:w w:val="110"/>
        </w:rPr>
        <w:t>needs</w:t>
      </w:r>
      <w:r w:rsidRPr="00B96E3C">
        <w:rPr>
          <w:rFonts w:cstheme="minorHAnsi"/>
          <w:color w:val="231F20"/>
          <w:spacing w:val="-11"/>
          <w:w w:val="110"/>
        </w:rPr>
        <w:t xml:space="preserve"> </w:t>
      </w:r>
      <w:r w:rsidRPr="00B96E3C">
        <w:rPr>
          <w:rFonts w:cstheme="minorHAnsi"/>
          <w:color w:val="231F20"/>
          <w:w w:val="110"/>
        </w:rPr>
        <w:t>assessment,</w:t>
      </w:r>
      <w:r w:rsidRPr="00B96E3C">
        <w:rPr>
          <w:rFonts w:cstheme="minorHAnsi"/>
          <w:color w:val="231F20"/>
          <w:w w:val="109"/>
        </w:rPr>
        <w:t xml:space="preserve"> </w:t>
      </w:r>
      <w:r w:rsidRPr="00B96E3C">
        <w:rPr>
          <w:rFonts w:cstheme="minorHAnsi"/>
          <w:color w:val="231F20"/>
          <w:w w:val="110"/>
        </w:rPr>
        <w:t>management</w:t>
      </w:r>
      <w:r w:rsidRPr="00B96E3C">
        <w:rPr>
          <w:rFonts w:cstheme="minorHAnsi"/>
          <w:color w:val="231F20"/>
          <w:spacing w:val="-17"/>
          <w:w w:val="110"/>
        </w:rPr>
        <w:t xml:space="preserve"> </w:t>
      </w:r>
      <w:r w:rsidRPr="00B96E3C">
        <w:rPr>
          <w:rFonts w:cstheme="minorHAnsi"/>
          <w:color w:val="231F20"/>
          <w:w w:val="110"/>
        </w:rPr>
        <w:t>reports</w:t>
      </w:r>
      <w:r w:rsidR="00D5537E">
        <w:rPr>
          <w:rFonts w:cstheme="minorHAnsi"/>
          <w:color w:val="231F20"/>
          <w:w w:val="110"/>
        </w:rPr>
        <w:t xml:space="preserve"> and</w:t>
      </w:r>
      <w:r w:rsidRPr="00B96E3C">
        <w:rPr>
          <w:rFonts w:cstheme="minorHAnsi"/>
          <w:color w:val="231F20"/>
          <w:spacing w:val="-17"/>
          <w:w w:val="110"/>
        </w:rPr>
        <w:t xml:space="preserve"> </w:t>
      </w:r>
      <w:r w:rsidRPr="00B96E3C">
        <w:rPr>
          <w:rFonts w:cstheme="minorHAnsi"/>
          <w:color w:val="231F20"/>
          <w:w w:val="110"/>
        </w:rPr>
        <w:t>feedback</w:t>
      </w:r>
      <w:r w:rsidRPr="00B96E3C">
        <w:rPr>
          <w:rFonts w:cstheme="minorHAnsi"/>
          <w:color w:val="231F20"/>
          <w:spacing w:val="-17"/>
          <w:w w:val="110"/>
        </w:rPr>
        <w:t xml:space="preserve"> </w:t>
      </w:r>
      <w:r w:rsidRPr="00B96E3C">
        <w:rPr>
          <w:rFonts w:cstheme="minorHAnsi"/>
          <w:color w:val="231F20"/>
          <w:w w:val="110"/>
        </w:rPr>
        <w:t>from</w:t>
      </w:r>
      <w:r w:rsidRPr="00B96E3C">
        <w:rPr>
          <w:rFonts w:cstheme="minorHAnsi"/>
          <w:color w:val="231F20"/>
          <w:spacing w:val="-17"/>
          <w:w w:val="110"/>
        </w:rPr>
        <w:t xml:space="preserve"> </w:t>
      </w:r>
      <w:r w:rsidRPr="00B96E3C">
        <w:rPr>
          <w:rFonts w:cstheme="minorHAnsi"/>
          <w:color w:val="231F20"/>
          <w:w w:val="110"/>
        </w:rPr>
        <w:t>VR</w:t>
      </w:r>
      <w:r w:rsidRPr="00B96E3C">
        <w:rPr>
          <w:rFonts w:cstheme="minorHAnsi"/>
          <w:color w:val="231F20"/>
          <w:spacing w:val="-17"/>
          <w:w w:val="110"/>
        </w:rPr>
        <w:t xml:space="preserve"> </w:t>
      </w:r>
      <w:r w:rsidRPr="00B96E3C">
        <w:rPr>
          <w:rFonts w:cstheme="minorHAnsi"/>
          <w:color w:val="231F20"/>
          <w:w w:val="110"/>
        </w:rPr>
        <w:t>employees,</w:t>
      </w:r>
      <w:r w:rsidRPr="00B96E3C">
        <w:rPr>
          <w:rFonts w:cstheme="minorHAnsi"/>
          <w:color w:val="231F20"/>
          <w:spacing w:val="-17"/>
          <w:w w:val="110"/>
        </w:rPr>
        <w:t xml:space="preserve"> </w:t>
      </w:r>
      <w:r w:rsidRPr="00B96E3C">
        <w:rPr>
          <w:rFonts w:cstheme="minorHAnsi"/>
          <w:color w:val="231F20"/>
          <w:w w:val="110"/>
        </w:rPr>
        <w:t>stakeholders</w:t>
      </w:r>
      <w:r w:rsidR="00D5537E">
        <w:rPr>
          <w:rFonts w:cstheme="minorHAnsi"/>
          <w:color w:val="231F20"/>
          <w:w w:val="110"/>
        </w:rPr>
        <w:t xml:space="preserve"> and</w:t>
      </w:r>
      <w:r w:rsidRPr="00B96E3C">
        <w:rPr>
          <w:rFonts w:cstheme="minorHAnsi"/>
          <w:color w:val="231F20"/>
          <w:spacing w:val="-17"/>
          <w:w w:val="110"/>
        </w:rPr>
        <w:t xml:space="preserve"> </w:t>
      </w:r>
      <w:r w:rsidRPr="00B96E3C">
        <w:rPr>
          <w:rFonts w:cstheme="minorHAnsi"/>
          <w:color w:val="231F20"/>
          <w:w w:val="110"/>
        </w:rPr>
        <w:t>customers,</w:t>
      </w:r>
      <w:r w:rsidRPr="00B96E3C">
        <w:rPr>
          <w:rFonts w:cstheme="minorHAnsi"/>
          <w:color w:val="231F20"/>
          <w:spacing w:val="-17"/>
          <w:w w:val="110"/>
        </w:rPr>
        <w:t xml:space="preserve"> </w:t>
      </w:r>
      <w:r w:rsidRPr="00B96E3C">
        <w:rPr>
          <w:rFonts w:cstheme="minorHAnsi"/>
          <w:color w:val="231F20"/>
          <w:w w:val="110"/>
        </w:rPr>
        <w:t>is</w:t>
      </w:r>
      <w:r w:rsidRPr="00B96E3C">
        <w:rPr>
          <w:rFonts w:cstheme="minorHAnsi"/>
          <w:color w:val="231F20"/>
          <w:spacing w:val="-17"/>
          <w:w w:val="110"/>
        </w:rPr>
        <w:t xml:space="preserve"> </w:t>
      </w:r>
      <w:r w:rsidRPr="00B96E3C">
        <w:rPr>
          <w:rFonts w:cstheme="minorHAnsi"/>
          <w:color w:val="231F20"/>
          <w:w w:val="110"/>
        </w:rPr>
        <w:t>used</w:t>
      </w:r>
      <w:r w:rsidRPr="00B96E3C">
        <w:rPr>
          <w:rFonts w:cstheme="minorHAnsi"/>
          <w:color w:val="231F20"/>
          <w:spacing w:val="-17"/>
          <w:w w:val="110"/>
        </w:rPr>
        <w:t xml:space="preserve"> </w:t>
      </w:r>
      <w:r w:rsidRPr="00B96E3C">
        <w:rPr>
          <w:rFonts w:cstheme="minorHAnsi"/>
          <w:color w:val="231F20"/>
          <w:w w:val="110"/>
        </w:rPr>
        <w:t>to</w:t>
      </w:r>
      <w:r w:rsidRPr="00B96E3C">
        <w:rPr>
          <w:rFonts w:cstheme="minorHAnsi"/>
          <w:color w:val="231F20"/>
          <w:spacing w:val="-17"/>
          <w:w w:val="110"/>
        </w:rPr>
        <w:t xml:space="preserve"> </w:t>
      </w:r>
      <w:r w:rsidRPr="00B96E3C">
        <w:rPr>
          <w:rFonts w:cstheme="minorHAnsi"/>
          <w:color w:val="231F20"/>
          <w:w w:val="110"/>
        </w:rPr>
        <w:t>evaluate</w:t>
      </w:r>
      <w:r w:rsidRPr="00B96E3C">
        <w:rPr>
          <w:rFonts w:cstheme="minorHAnsi"/>
          <w:color w:val="231F20"/>
          <w:w w:val="107"/>
        </w:rPr>
        <w:t xml:space="preserve"> </w:t>
      </w:r>
      <w:r w:rsidRPr="00B96E3C">
        <w:rPr>
          <w:rFonts w:cstheme="minorHAnsi"/>
          <w:color w:val="231F20"/>
          <w:w w:val="110"/>
        </w:rPr>
        <w:t>current</w:t>
      </w:r>
      <w:r w:rsidRPr="00B96E3C">
        <w:rPr>
          <w:rFonts w:cstheme="minorHAnsi"/>
          <w:color w:val="231F20"/>
          <w:spacing w:val="-23"/>
          <w:w w:val="110"/>
        </w:rPr>
        <w:t xml:space="preserve"> </w:t>
      </w:r>
      <w:r w:rsidRPr="00B96E3C">
        <w:rPr>
          <w:rFonts w:cstheme="minorHAnsi"/>
          <w:color w:val="231F20"/>
          <w:w w:val="110"/>
        </w:rPr>
        <w:t>goals,</w:t>
      </w:r>
      <w:r w:rsidRPr="00B96E3C">
        <w:rPr>
          <w:rFonts w:cstheme="minorHAnsi"/>
          <w:color w:val="231F20"/>
          <w:spacing w:val="-23"/>
          <w:w w:val="110"/>
        </w:rPr>
        <w:t xml:space="preserve"> </w:t>
      </w:r>
      <w:r w:rsidRPr="00B96E3C">
        <w:rPr>
          <w:rFonts w:cstheme="minorHAnsi"/>
          <w:color w:val="231F20"/>
          <w:w w:val="110"/>
        </w:rPr>
        <w:t>objectives</w:t>
      </w:r>
      <w:r w:rsidR="00D5537E">
        <w:rPr>
          <w:rFonts w:cstheme="minorHAnsi"/>
          <w:color w:val="231F20"/>
          <w:w w:val="110"/>
        </w:rPr>
        <w:t xml:space="preserve"> and</w:t>
      </w:r>
      <w:r w:rsidRPr="00B96E3C">
        <w:rPr>
          <w:rFonts w:cstheme="minorHAnsi"/>
          <w:color w:val="231F20"/>
          <w:spacing w:val="-23"/>
          <w:w w:val="110"/>
        </w:rPr>
        <w:t xml:space="preserve"> </w:t>
      </w:r>
      <w:r w:rsidRPr="00B96E3C">
        <w:rPr>
          <w:rFonts w:cstheme="minorHAnsi"/>
          <w:color w:val="231F20"/>
          <w:w w:val="110"/>
        </w:rPr>
        <w:t>projects</w:t>
      </w:r>
      <w:r w:rsidR="00D5537E">
        <w:rPr>
          <w:rFonts w:cstheme="minorHAnsi"/>
          <w:color w:val="231F20"/>
          <w:w w:val="110"/>
        </w:rPr>
        <w:t xml:space="preserve"> and</w:t>
      </w:r>
      <w:r w:rsidRPr="00B96E3C">
        <w:rPr>
          <w:rFonts w:cstheme="minorHAnsi"/>
          <w:color w:val="231F20"/>
          <w:spacing w:val="-23"/>
          <w:w w:val="110"/>
        </w:rPr>
        <w:t xml:space="preserve"> </w:t>
      </w:r>
      <w:r w:rsidRPr="00B96E3C">
        <w:rPr>
          <w:rFonts w:cstheme="minorHAnsi"/>
          <w:color w:val="231F20"/>
          <w:w w:val="110"/>
        </w:rPr>
        <w:t>establish</w:t>
      </w:r>
      <w:r w:rsidRPr="00B96E3C">
        <w:rPr>
          <w:rFonts w:cstheme="minorHAnsi"/>
          <w:color w:val="231F20"/>
          <w:spacing w:val="-23"/>
          <w:w w:val="110"/>
        </w:rPr>
        <w:t xml:space="preserve"> </w:t>
      </w:r>
      <w:r w:rsidRPr="00B96E3C">
        <w:rPr>
          <w:rFonts w:cstheme="minorHAnsi"/>
          <w:color w:val="231F20"/>
          <w:w w:val="110"/>
        </w:rPr>
        <w:t>new</w:t>
      </w:r>
      <w:r w:rsidRPr="00B96E3C">
        <w:rPr>
          <w:rFonts w:cstheme="minorHAnsi"/>
          <w:color w:val="231F20"/>
          <w:spacing w:val="-23"/>
          <w:w w:val="110"/>
        </w:rPr>
        <w:t xml:space="preserve"> </w:t>
      </w:r>
      <w:r w:rsidRPr="00B96E3C">
        <w:rPr>
          <w:rFonts w:cstheme="minorHAnsi"/>
          <w:color w:val="231F20"/>
          <w:w w:val="110"/>
        </w:rPr>
        <w:t>strategic</w:t>
      </w:r>
      <w:r w:rsidRPr="00B96E3C">
        <w:rPr>
          <w:rFonts w:cstheme="minorHAnsi"/>
          <w:color w:val="231F20"/>
          <w:spacing w:val="-23"/>
          <w:w w:val="110"/>
        </w:rPr>
        <w:t xml:space="preserve"> </w:t>
      </w:r>
      <w:r w:rsidRPr="00B96E3C">
        <w:rPr>
          <w:rFonts w:cstheme="minorHAnsi"/>
          <w:color w:val="231F20"/>
          <w:w w:val="110"/>
        </w:rPr>
        <w:t>priorities.</w:t>
      </w:r>
    </w:p>
    <w:p w14:paraId="5D3226B0" w14:textId="26AF9F4F" w:rsidR="00B96E3C" w:rsidRPr="00B96E3C" w:rsidRDefault="00B96E3C" w:rsidP="00D63204">
      <w:pPr>
        <w:widowControl w:val="0"/>
        <w:spacing w:before="195" w:after="0" w:line="240" w:lineRule="auto"/>
        <w:ind w:left="107"/>
        <w:rPr>
          <w:rFonts w:cstheme="minorHAnsi"/>
          <w:color w:val="231F20"/>
          <w:w w:val="110"/>
        </w:rPr>
      </w:pPr>
      <w:r w:rsidRPr="00B96E3C">
        <w:rPr>
          <w:rFonts w:cstheme="minorHAnsi"/>
          <w:color w:val="231F20"/>
          <w:w w:val="110"/>
        </w:rPr>
        <w:t>Following</w:t>
      </w:r>
      <w:r w:rsidRPr="00B96E3C">
        <w:rPr>
          <w:rFonts w:cstheme="minorHAnsi"/>
          <w:color w:val="231F20"/>
          <w:spacing w:val="-7"/>
          <w:w w:val="110"/>
        </w:rPr>
        <w:t xml:space="preserve"> </w:t>
      </w:r>
      <w:r w:rsidRPr="00B96E3C">
        <w:rPr>
          <w:rFonts w:cstheme="minorHAnsi"/>
          <w:color w:val="231F20"/>
          <w:w w:val="110"/>
        </w:rPr>
        <w:t>the</w:t>
      </w:r>
      <w:r w:rsidRPr="00B96E3C">
        <w:rPr>
          <w:rFonts w:cstheme="minorHAnsi"/>
          <w:color w:val="231F20"/>
          <w:spacing w:val="-7"/>
          <w:w w:val="110"/>
        </w:rPr>
        <w:t xml:space="preserve"> previously established </w:t>
      </w:r>
      <w:r w:rsidRPr="00B96E3C">
        <w:rPr>
          <w:rFonts w:cstheme="minorHAnsi"/>
          <w:color w:val="231F20"/>
          <w:w w:val="110"/>
        </w:rPr>
        <w:t>planning</w:t>
      </w:r>
      <w:r w:rsidRPr="00B96E3C">
        <w:rPr>
          <w:rFonts w:cstheme="minorHAnsi"/>
          <w:color w:val="231F20"/>
          <w:spacing w:val="-7"/>
          <w:w w:val="110"/>
        </w:rPr>
        <w:t xml:space="preserve"> </w:t>
      </w:r>
      <w:r w:rsidRPr="00B96E3C">
        <w:rPr>
          <w:rFonts w:cstheme="minorHAnsi"/>
          <w:color w:val="231F20"/>
          <w:w w:val="110"/>
        </w:rPr>
        <w:t>process,</w:t>
      </w:r>
      <w:r w:rsidRPr="00B96E3C">
        <w:rPr>
          <w:rFonts w:cstheme="minorHAnsi"/>
          <w:color w:val="231F20"/>
          <w:spacing w:val="-7"/>
          <w:w w:val="110"/>
        </w:rPr>
        <w:t xml:space="preserve"> </w:t>
      </w:r>
      <w:r w:rsidRPr="00B96E3C">
        <w:rPr>
          <w:rFonts w:cstheme="minorHAnsi"/>
          <w:color w:val="231F20"/>
          <w:w w:val="110"/>
        </w:rPr>
        <w:t>the</w:t>
      </w:r>
      <w:r w:rsidRPr="00B96E3C">
        <w:rPr>
          <w:rFonts w:cstheme="minorHAnsi"/>
          <w:color w:val="231F20"/>
          <w:spacing w:val="-7"/>
          <w:w w:val="110"/>
        </w:rPr>
        <w:t xml:space="preserve"> </w:t>
      </w:r>
      <w:r w:rsidRPr="00B96E3C">
        <w:rPr>
          <w:rFonts w:cstheme="minorHAnsi"/>
          <w:color w:val="231F20"/>
          <w:w w:val="110"/>
        </w:rPr>
        <w:t>Senior</w:t>
      </w:r>
      <w:r w:rsidRPr="00B96E3C">
        <w:rPr>
          <w:rFonts w:cstheme="minorHAnsi"/>
          <w:color w:val="231F20"/>
          <w:spacing w:val="-7"/>
          <w:w w:val="110"/>
        </w:rPr>
        <w:t xml:space="preserve"> </w:t>
      </w:r>
      <w:r w:rsidRPr="00B96E3C">
        <w:rPr>
          <w:rFonts w:cstheme="minorHAnsi"/>
          <w:color w:val="231F20"/>
          <w:w w:val="110"/>
        </w:rPr>
        <w:t>Leadership</w:t>
      </w:r>
      <w:r w:rsidRPr="00B96E3C">
        <w:rPr>
          <w:rFonts w:cstheme="minorHAnsi"/>
          <w:color w:val="231F20"/>
          <w:spacing w:val="-7"/>
          <w:w w:val="110"/>
        </w:rPr>
        <w:t xml:space="preserve"> </w:t>
      </w:r>
      <w:r w:rsidRPr="00B96E3C">
        <w:rPr>
          <w:rFonts w:cstheme="minorHAnsi"/>
          <w:color w:val="231F20"/>
          <w:spacing w:val="-6"/>
          <w:w w:val="110"/>
        </w:rPr>
        <w:t>Team</w:t>
      </w:r>
      <w:r w:rsidRPr="00B96E3C">
        <w:rPr>
          <w:rFonts w:cstheme="minorHAnsi"/>
          <w:color w:val="231F20"/>
          <w:spacing w:val="-7"/>
          <w:w w:val="110"/>
        </w:rPr>
        <w:t xml:space="preserve"> </w:t>
      </w:r>
      <w:r w:rsidRPr="00B96E3C">
        <w:rPr>
          <w:rFonts w:cstheme="minorHAnsi"/>
          <w:color w:val="231F20"/>
          <w:w w:val="110"/>
        </w:rPr>
        <w:t>regularly</w:t>
      </w:r>
      <w:r w:rsidRPr="00B96E3C">
        <w:rPr>
          <w:rFonts w:cstheme="minorHAnsi"/>
          <w:color w:val="231F20"/>
          <w:spacing w:val="-8"/>
          <w:w w:val="110"/>
        </w:rPr>
        <w:t xml:space="preserve"> </w:t>
      </w:r>
      <w:r w:rsidRPr="00B96E3C">
        <w:rPr>
          <w:rFonts w:cstheme="minorHAnsi"/>
          <w:color w:val="231F20"/>
          <w:w w:val="110"/>
        </w:rPr>
        <w:t>reviews</w:t>
      </w:r>
      <w:r w:rsidRPr="00B96E3C">
        <w:rPr>
          <w:rFonts w:cstheme="minorHAnsi"/>
          <w:color w:val="231F20"/>
          <w:spacing w:val="-8"/>
          <w:w w:val="110"/>
        </w:rPr>
        <w:t xml:space="preserve"> </w:t>
      </w:r>
      <w:r w:rsidRPr="00B96E3C">
        <w:rPr>
          <w:rFonts w:cstheme="minorHAnsi"/>
          <w:color w:val="231F20"/>
          <w:w w:val="110"/>
        </w:rPr>
        <w:t>progress</w:t>
      </w:r>
      <w:r w:rsidRPr="00B96E3C">
        <w:rPr>
          <w:rFonts w:cstheme="minorHAnsi"/>
          <w:color w:val="231F20"/>
          <w:spacing w:val="-8"/>
          <w:w w:val="110"/>
        </w:rPr>
        <w:t xml:space="preserve"> </w:t>
      </w:r>
      <w:r w:rsidRPr="00B96E3C">
        <w:rPr>
          <w:rFonts w:cstheme="minorHAnsi"/>
          <w:color w:val="231F20"/>
          <w:w w:val="110"/>
        </w:rPr>
        <w:t>and</w:t>
      </w:r>
      <w:r w:rsidRPr="00B96E3C">
        <w:rPr>
          <w:rFonts w:cstheme="minorHAnsi"/>
          <w:color w:val="231F20"/>
          <w:spacing w:val="-8"/>
          <w:w w:val="110"/>
        </w:rPr>
        <w:t xml:space="preserve"> </w:t>
      </w:r>
      <w:r w:rsidRPr="00B96E3C">
        <w:rPr>
          <w:rFonts w:cstheme="minorHAnsi"/>
          <w:color w:val="231F20"/>
          <w:w w:val="110"/>
        </w:rPr>
        <w:t>updates</w:t>
      </w:r>
      <w:r w:rsidRPr="00B96E3C">
        <w:rPr>
          <w:rFonts w:cstheme="minorHAnsi"/>
          <w:color w:val="231F20"/>
          <w:spacing w:val="-8"/>
          <w:w w:val="110"/>
        </w:rPr>
        <w:t xml:space="preserve"> </w:t>
      </w:r>
      <w:r w:rsidRPr="00B96E3C">
        <w:rPr>
          <w:rFonts w:cstheme="minorHAnsi"/>
          <w:color w:val="231F20"/>
          <w:w w:val="110"/>
        </w:rPr>
        <w:t>strategies</w:t>
      </w:r>
      <w:r w:rsidRPr="00B96E3C">
        <w:rPr>
          <w:rFonts w:cstheme="minorHAnsi"/>
          <w:color w:val="231F20"/>
          <w:spacing w:val="-8"/>
          <w:w w:val="110"/>
        </w:rPr>
        <w:t xml:space="preserve"> </w:t>
      </w:r>
      <w:r w:rsidRPr="00B96E3C">
        <w:rPr>
          <w:rFonts w:cstheme="minorHAnsi"/>
          <w:color w:val="231F20"/>
          <w:w w:val="110"/>
        </w:rPr>
        <w:t>as</w:t>
      </w:r>
      <w:r w:rsidRPr="00B96E3C">
        <w:rPr>
          <w:rFonts w:cstheme="minorHAnsi"/>
          <w:color w:val="231F20"/>
          <w:spacing w:val="-8"/>
          <w:w w:val="110"/>
        </w:rPr>
        <w:t xml:space="preserve"> </w:t>
      </w:r>
      <w:r w:rsidRPr="00B96E3C">
        <w:rPr>
          <w:rFonts w:cstheme="minorHAnsi"/>
          <w:color w:val="231F20"/>
          <w:w w:val="110"/>
        </w:rPr>
        <w:t>needed.</w:t>
      </w:r>
      <w:r w:rsidRPr="00B96E3C">
        <w:rPr>
          <w:rFonts w:cstheme="minorHAnsi"/>
          <w:color w:val="231F20"/>
          <w:spacing w:val="-8"/>
          <w:w w:val="110"/>
        </w:rPr>
        <w:t xml:space="preserve"> </w:t>
      </w:r>
      <w:r w:rsidRPr="00B96E3C">
        <w:rPr>
          <w:rFonts w:cstheme="minorHAnsi"/>
          <w:color w:val="231F20"/>
          <w:w w:val="110"/>
        </w:rPr>
        <w:t>Annually,</w:t>
      </w:r>
      <w:r w:rsidRPr="00B96E3C">
        <w:rPr>
          <w:rFonts w:cstheme="minorHAnsi"/>
          <w:color w:val="231F20"/>
          <w:spacing w:val="-8"/>
          <w:w w:val="110"/>
        </w:rPr>
        <w:t xml:space="preserve"> </w:t>
      </w:r>
      <w:r w:rsidRPr="00B96E3C">
        <w:rPr>
          <w:rFonts w:cstheme="minorHAnsi"/>
          <w:color w:val="231F20"/>
          <w:w w:val="110"/>
        </w:rPr>
        <w:t>the</w:t>
      </w:r>
      <w:r w:rsidRPr="00B96E3C">
        <w:rPr>
          <w:rFonts w:cstheme="minorHAnsi"/>
          <w:color w:val="231F20"/>
          <w:spacing w:val="-8"/>
          <w:w w:val="110"/>
        </w:rPr>
        <w:t xml:space="preserve"> </w:t>
      </w:r>
      <w:r w:rsidRPr="00B96E3C">
        <w:rPr>
          <w:rFonts w:cstheme="minorHAnsi"/>
          <w:color w:val="231F20"/>
          <w:w w:val="110"/>
        </w:rPr>
        <w:t>Senior</w:t>
      </w:r>
      <w:r w:rsidRPr="00B96E3C">
        <w:rPr>
          <w:rFonts w:cstheme="minorHAnsi"/>
          <w:color w:val="231F20"/>
          <w:spacing w:val="-8"/>
          <w:w w:val="110"/>
        </w:rPr>
        <w:t xml:space="preserve"> </w:t>
      </w:r>
      <w:r w:rsidRPr="00B96E3C">
        <w:rPr>
          <w:rFonts w:cstheme="minorHAnsi"/>
          <w:color w:val="231F20"/>
          <w:w w:val="110"/>
        </w:rPr>
        <w:t>Leadership</w:t>
      </w:r>
      <w:r w:rsidRPr="00B96E3C">
        <w:rPr>
          <w:rFonts w:cstheme="minorHAnsi"/>
          <w:color w:val="231F20"/>
          <w:spacing w:val="-8"/>
          <w:w w:val="110"/>
        </w:rPr>
        <w:t xml:space="preserve"> </w:t>
      </w:r>
      <w:r w:rsidRPr="00B96E3C">
        <w:rPr>
          <w:rFonts w:cstheme="minorHAnsi"/>
          <w:color w:val="231F20"/>
          <w:spacing w:val="-6"/>
          <w:w w:val="110"/>
        </w:rPr>
        <w:t>Team</w:t>
      </w:r>
      <w:r w:rsidRPr="00B96E3C">
        <w:rPr>
          <w:rFonts w:cstheme="minorHAnsi"/>
          <w:color w:val="231F20"/>
          <w:w w:val="106"/>
        </w:rPr>
        <w:t xml:space="preserve"> </w:t>
      </w:r>
      <w:r w:rsidRPr="00B96E3C">
        <w:rPr>
          <w:rFonts w:cstheme="minorHAnsi"/>
          <w:color w:val="231F20"/>
          <w:w w:val="110"/>
        </w:rPr>
        <w:t>completed</w:t>
      </w:r>
      <w:r w:rsidRPr="00B96E3C">
        <w:rPr>
          <w:rFonts w:cstheme="minorHAnsi"/>
          <w:color w:val="231F20"/>
          <w:spacing w:val="-19"/>
          <w:w w:val="110"/>
        </w:rPr>
        <w:t xml:space="preserve"> </w:t>
      </w:r>
      <w:r w:rsidRPr="00B96E3C">
        <w:rPr>
          <w:rFonts w:cstheme="minorHAnsi"/>
          <w:color w:val="231F20"/>
          <w:w w:val="110"/>
        </w:rPr>
        <w:t>a</w:t>
      </w:r>
      <w:r w:rsidRPr="00B96E3C">
        <w:rPr>
          <w:rFonts w:cstheme="minorHAnsi"/>
          <w:color w:val="231F20"/>
          <w:spacing w:val="-19"/>
          <w:w w:val="110"/>
        </w:rPr>
        <w:t xml:space="preserve"> </w:t>
      </w:r>
      <w:r w:rsidRPr="00B96E3C">
        <w:rPr>
          <w:rFonts w:cstheme="minorHAnsi"/>
          <w:color w:val="231F20"/>
          <w:w w:val="110"/>
        </w:rPr>
        <w:t>thorough</w:t>
      </w:r>
      <w:r w:rsidRPr="00B96E3C">
        <w:rPr>
          <w:rFonts w:cstheme="minorHAnsi"/>
          <w:color w:val="231F20"/>
          <w:spacing w:val="-19"/>
          <w:w w:val="110"/>
        </w:rPr>
        <w:t xml:space="preserve"> </w:t>
      </w:r>
      <w:r w:rsidRPr="00B96E3C">
        <w:rPr>
          <w:rFonts w:cstheme="minorHAnsi"/>
          <w:color w:val="231F20"/>
          <w:w w:val="110"/>
        </w:rPr>
        <w:t>review</w:t>
      </w:r>
      <w:r w:rsidRPr="00B96E3C">
        <w:rPr>
          <w:rFonts w:cstheme="minorHAnsi"/>
          <w:color w:val="231F20"/>
          <w:spacing w:val="-19"/>
          <w:w w:val="110"/>
        </w:rPr>
        <w:t xml:space="preserve"> </w:t>
      </w:r>
      <w:r w:rsidRPr="00B96E3C">
        <w:rPr>
          <w:rFonts w:cstheme="minorHAnsi"/>
          <w:color w:val="231F20"/>
          <w:w w:val="110"/>
        </w:rPr>
        <w:t>of</w:t>
      </w:r>
      <w:r w:rsidRPr="00B96E3C">
        <w:rPr>
          <w:rFonts w:cstheme="minorHAnsi"/>
          <w:color w:val="231F20"/>
          <w:spacing w:val="-19"/>
          <w:w w:val="110"/>
        </w:rPr>
        <w:t xml:space="preserve"> </w:t>
      </w:r>
      <w:r w:rsidRPr="00B96E3C">
        <w:rPr>
          <w:rFonts w:cstheme="minorHAnsi"/>
          <w:color w:val="231F20"/>
          <w:w w:val="110"/>
        </w:rPr>
        <w:t>the</w:t>
      </w:r>
      <w:r w:rsidRPr="00B96E3C">
        <w:rPr>
          <w:rFonts w:cstheme="minorHAnsi"/>
          <w:color w:val="231F20"/>
          <w:spacing w:val="-19"/>
          <w:w w:val="110"/>
        </w:rPr>
        <w:t xml:space="preserve"> </w:t>
      </w:r>
      <w:r w:rsidRPr="00B96E3C">
        <w:rPr>
          <w:rFonts w:cstheme="minorHAnsi"/>
          <w:color w:val="231F20"/>
          <w:w w:val="110"/>
        </w:rPr>
        <w:t>strategic</w:t>
      </w:r>
      <w:r w:rsidRPr="00B96E3C">
        <w:rPr>
          <w:rFonts w:cstheme="minorHAnsi"/>
          <w:color w:val="231F20"/>
          <w:spacing w:val="-19"/>
          <w:w w:val="110"/>
        </w:rPr>
        <w:t xml:space="preserve"> </w:t>
      </w:r>
      <w:r w:rsidRPr="00B96E3C">
        <w:rPr>
          <w:rFonts w:cstheme="minorHAnsi"/>
          <w:color w:val="231F20"/>
          <w:w w:val="110"/>
        </w:rPr>
        <w:t>plan</w:t>
      </w:r>
      <w:r w:rsidR="00D5537E">
        <w:rPr>
          <w:rFonts w:cstheme="minorHAnsi"/>
          <w:color w:val="231F20"/>
          <w:w w:val="110"/>
        </w:rPr>
        <w:t xml:space="preserve"> and</w:t>
      </w:r>
      <w:r w:rsidRPr="00B96E3C">
        <w:rPr>
          <w:rFonts w:cstheme="minorHAnsi"/>
          <w:color w:val="231F20"/>
          <w:spacing w:val="-19"/>
          <w:w w:val="110"/>
        </w:rPr>
        <w:t xml:space="preserve"> </w:t>
      </w:r>
      <w:r w:rsidRPr="00B96E3C">
        <w:rPr>
          <w:rFonts w:cstheme="minorHAnsi"/>
          <w:color w:val="231F20"/>
          <w:w w:val="110"/>
        </w:rPr>
        <w:t>then</w:t>
      </w:r>
      <w:r w:rsidRPr="00B96E3C">
        <w:rPr>
          <w:rFonts w:cstheme="minorHAnsi"/>
          <w:color w:val="231F20"/>
          <w:spacing w:val="-19"/>
          <w:w w:val="110"/>
        </w:rPr>
        <w:t xml:space="preserve"> </w:t>
      </w:r>
      <w:r w:rsidRPr="00B96E3C">
        <w:rPr>
          <w:rFonts w:cstheme="minorHAnsi"/>
          <w:color w:val="231F20"/>
          <w:w w:val="110"/>
        </w:rPr>
        <w:t>held</w:t>
      </w:r>
      <w:r w:rsidRPr="00B96E3C">
        <w:rPr>
          <w:rFonts w:cstheme="minorHAnsi"/>
          <w:color w:val="231F20"/>
          <w:spacing w:val="-19"/>
          <w:w w:val="110"/>
        </w:rPr>
        <w:t xml:space="preserve"> </w:t>
      </w:r>
      <w:r w:rsidRPr="00B96E3C">
        <w:rPr>
          <w:rFonts w:cstheme="minorHAnsi"/>
          <w:color w:val="231F20"/>
          <w:w w:val="110"/>
        </w:rPr>
        <w:t>a</w:t>
      </w:r>
      <w:r w:rsidRPr="00B96E3C">
        <w:rPr>
          <w:rFonts w:cstheme="minorHAnsi"/>
          <w:color w:val="231F20"/>
          <w:spacing w:val="-19"/>
          <w:w w:val="110"/>
        </w:rPr>
        <w:t xml:space="preserve"> </w:t>
      </w:r>
      <w:r w:rsidRPr="00B96E3C">
        <w:rPr>
          <w:rFonts w:cstheme="minorHAnsi"/>
          <w:color w:val="231F20"/>
          <w:w w:val="110"/>
        </w:rPr>
        <w:t>planning</w:t>
      </w:r>
      <w:r w:rsidRPr="00B96E3C">
        <w:rPr>
          <w:rFonts w:cstheme="minorHAnsi"/>
          <w:color w:val="231F20"/>
          <w:spacing w:val="-19"/>
          <w:w w:val="110"/>
        </w:rPr>
        <w:t xml:space="preserve"> </w:t>
      </w:r>
      <w:r w:rsidRPr="00B96E3C">
        <w:rPr>
          <w:rFonts w:cstheme="minorHAnsi"/>
          <w:color w:val="231F20"/>
          <w:w w:val="110"/>
        </w:rPr>
        <w:t>meeting</w:t>
      </w:r>
      <w:r w:rsidRPr="00B96E3C">
        <w:rPr>
          <w:rFonts w:cstheme="minorHAnsi"/>
          <w:color w:val="231F20"/>
          <w:spacing w:val="-19"/>
          <w:w w:val="110"/>
        </w:rPr>
        <w:t xml:space="preserve"> </w:t>
      </w:r>
      <w:r w:rsidRPr="00B96E3C">
        <w:rPr>
          <w:rFonts w:cstheme="minorHAnsi"/>
          <w:color w:val="231F20"/>
          <w:w w:val="110"/>
        </w:rPr>
        <w:t>to</w:t>
      </w:r>
      <w:r w:rsidRPr="00B96E3C">
        <w:rPr>
          <w:rFonts w:cstheme="minorHAnsi"/>
          <w:color w:val="231F20"/>
          <w:spacing w:val="-19"/>
          <w:w w:val="110"/>
        </w:rPr>
        <w:t xml:space="preserve"> </w:t>
      </w:r>
      <w:r w:rsidRPr="00B96E3C">
        <w:rPr>
          <w:rFonts w:cstheme="minorHAnsi"/>
          <w:color w:val="231F20"/>
          <w:w w:val="110"/>
        </w:rPr>
        <w:t>determine</w:t>
      </w:r>
      <w:r w:rsidRPr="00B96E3C">
        <w:rPr>
          <w:rFonts w:cstheme="minorHAnsi"/>
          <w:color w:val="231F20"/>
          <w:spacing w:val="-19"/>
          <w:w w:val="110"/>
        </w:rPr>
        <w:t xml:space="preserve"> </w:t>
      </w:r>
      <w:r w:rsidRPr="00B96E3C">
        <w:rPr>
          <w:rFonts w:cstheme="minorHAnsi"/>
          <w:color w:val="231F20"/>
          <w:w w:val="110"/>
        </w:rPr>
        <w:t>which</w:t>
      </w:r>
      <w:r w:rsidRPr="00B96E3C">
        <w:rPr>
          <w:rFonts w:cstheme="minorHAnsi"/>
          <w:color w:val="231F20"/>
          <w:w w:val="105"/>
        </w:rPr>
        <w:t xml:space="preserve"> </w:t>
      </w:r>
      <w:r w:rsidRPr="00B96E3C">
        <w:rPr>
          <w:rFonts w:cstheme="minorHAnsi"/>
          <w:color w:val="231F20"/>
          <w:w w:val="110"/>
        </w:rPr>
        <w:t>projects</w:t>
      </w:r>
      <w:r w:rsidRPr="00B96E3C">
        <w:rPr>
          <w:rFonts w:cstheme="minorHAnsi"/>
          <w:color w:val="231F20"/>
          <w:spacing w:val="-9"/>
          <w:w w:val="110"/>
        </w:rPr>
        <w:t xml:space="preserve"> </w:t>
      </w:r>
      <w:r w:rsidRPr="00B96E3C">
        <w:rPr>
          <w:rFonts w:cstheme="minorHAnsi"/>
          <w:color w:val="231F20"/>
          <w:w w:val="110"/>
        </w:rPr>
        <w:t>to</w:t>
      </w:r>
      <w:r w:rsidRPr="00B96E3C">
        <w:rPr>
          <w:rFonts w:cstheme="minorHAnsi"/>
          <w:color w:val="231F20"/>
          <w:spacing w:val="-9"/>
          <w:w w:val="110"/>
        </w:rPr>
        <w:t xml:space="preserve"> </w:t>
      </w:r>
      <w:r w:rsidRPr="00B96E3C">
        <w:rPr>
          <w:rFonts w:cstheme="minorHAnsi"/>
          <w:color w:val="231F20"/>
          <w:w w:val="110"/>
        </w:rPr>
        <w:t>include</w:t>
      </w:r>
      <w:r w:rsidRPr="00B96E3C">
        <w:rPr>
          <w:rFonts w:cstheme="minorHAnsi"/>
          <w:color w:val="231F20"/>
          <w:spacing w:val="-9"/>
          <w:w w:val="110"/>
        </w:rPr>
        <w:t xml:space="preserve"> </w:t>
      </w:r>
      <w:r w:rsidRPr="00B96E3C">
        <w:rPr>
          <w:rFonts w:cstheme="minorHAnsi"/>
          <w:color w:val="231F20"/>
          <w:w w:val="110"/>
        </w:rPr>
        <w:t>in</w:t>
      </w:r>
      <w:r w:rsidRPr="00B96E3C">
        <w:rPr>
          <w:rFonts w:cstheme="minorHAnsi"/>
          <w:color w:val="231F20"/>
          <w:spacing w:val="-9"/>
          <w:w w:val="110"/>
        </w:rPr>
        <w:t xml:space="preserve"> </w:t>
      </w:r>
      <w:r w:rsidRPr="00B96E3C">
        <w:rPr>
          <w:rFonts w:cstheme="minorHAnsi"/>
          <w:color w:val="231F20"/>
          <w:w w:val="110"/>
        </w:rPr>
        <w:t>the</w:t>
      </w:r>
      <w:r w:rsidRPr="00B96E3C">
        <w:rPr>
          <w:rFonts w:cstheme="minorHAnsi"/>
          <w:color w:val="231F20"/>
          <w:spacing w:val="-9"/>
          <w:w w:val="110"/>
        </w:rPr>
        <w:t xml:space="preserve"> </w:t>
      </w:r>
      <w:r w:rsidRPr="00B96E3C">
        <w:rPr>
          <w:rFonts w:cstheme="minorHAnsi"/>
          <w:color w:val="231F20"/>
          <w:w w:val="110"/>
        </w:rPr>
        <w:t>updated</w:t>
      </w:r>
      <w:r w:rsidRPr="00B96E3C">
        <w:rPr>
          <w:rFonts w:cstheme="minorHAnsi"/>
          <w:color w:val="231F20"/>
          <w:spacing w:val="-9"/>
          <w:w w:val="110"/>
        </w:rPr>
        <w:t xml:space="preserve"> </w:t>
      </w:r>
      <w:r w:rsidRPr="00B96E3C">
        <w:rPr>
          <w:rFonts w:cstheme="minorHAnsi"/>
          <w:color w:val="231F20"/>
          <w:w w:val="110"/>
        </w:rPr>
        <w:t>strategic</w:t>
      </w:r>
      <w:r w:rsidRPr="00B96E3C">
        <w:rPr>
          <w:rFonts w:cstheme="minorHAnsi"/>
          <w:color w:val="231F20"/>
          <w:spacing w:val="-9"/>
          <w:w w:val="110"/>
        </w:rPr>
        <w:t xml:space="preserve"> </w:t>
      </w:r>
      <w:r w:rsidRPr="00B96E3C">
        <w:rPr>
          <w:rFonts w:cstheme="minorHAnsi"/>
          <w:color w:val="231F20"/>
          <w:w w:val="110"/>
        </w:rPr>
        <w:t>plan.</w:t>
      </w:r>
      <w:r w:rsidRPr="00B96E3C">
        <w:rPr>
          <w:rFonts w:cstheme="minorHAnsi"/>
          <w:color w:val="231F20"/>
          <w:spacing w:val="-9"/>
          <w:w w:val="110"/>
        </w:rPr>
        <w:t xml:space="preserve"> </w:t>
      </w:r>
      <w:r w:rsidRPr="00B96E3C">
        <w:rPr>
          <w:rFonts w:cstheme="minorHAnsi"/>
          <w:color w:val="231F20"/>
          <w:w w:val="110"/>
        </w:rPr>
        <w:t>Strategy updates are provided quarterly and reported out to VR Leadership and stakeholders.</w:t>
      </w:r>
    </w:p>
    <w:p w14:paraId="680304DA" w14:textId="3A7F6F31" w:rsidR="00B96E3C" w:rsidRPr="00B96E3C" w:rsidRDefault="00B96E3C" w:rsidP="00D63204">
      <w:pPr>
        <w:widowControl w:val="0"/>
        <w:spacing w:before="195" w:after="0" w:line="240" w:lineRule="auto"/>
        <w:ind w:left="107"/>
        <w:rPr>
          <w:rFonts w:cstheme="minorHAnsi"/>
        </w:rPr>
      </w:pPr>
      <w:r w:rsidRPr="00B96E3C">
        <w:rPr>
          <w:rFonts w:cstheme="minorHAnsi"/>
          <w:color w:val="231F20"/>
          <w:w w:val="110"/>
        </w:rPr>
        <w:t>The Rehabilitation Services Administration (RSA) completed their monitoring visit with VR in April 2017. VR is</w:t>
      </w:r>
      <w:r w:rsidR="004E4DA4">
        <w:rPr>
          <w:rFonts w:cstheme="minorHAnsi"/>
          <w:color w:val="231F20"/>
          <w:w w:val="110"/>
        </w:rPr>
        <w:t xml:space="preserve"> currently</w:t>
      </w:r>
      <w:r w:rsidRPr="00B96E3C">
        <w:rPr>
          <w:rFonts w:cstheme="minorHAnsi"/>
          <w:color w:val="231F20"/>
          <w:w w:val="110"/>
        </w:rPr>
        <w:t xml:space="preserve"> planning for its next Comprehensive Statewide Needs Assessment (CSNA), which will inform agency planning in FFYs 2019-21. VR will update its strategic goals and priorities after receipt of the RSA Monitoring Report and completion of the next CSNA. Currently, VR agency priorities are to ensure IT systems are fully capable of collecting data required for federal reporting</w:t>
      </w:r>
      <w:r w:rsidR="00D5537E">
        <w:rPr>
          <w:rFonts w:cstheme="minorHAnsi"/>
          <w:color w:val="231F20"/>
          <w:w w:val="110"/>
        </w:rPr>
        <w:t xml:space="preserve"> and</w:t>
      </w:r>
      <w:r w:rsidRPr="00B96E3C">
        <w:rPr>
          <w:rFonts w:cstheme="minorHAnsi"/>
          <w:color w:val="231F20"/>
          <w:w w:val="110"/>
        </w:rPr>
        <w:t xml:space="preserve"> to refine its service delivery procedures to meet Pre-ETS budget requirements while continuing to meet the needs of other customers. </w:t>
      </w:r>
    </w:p>
    <w:p w14:paraId="56DE1402" w14:textId="45D98E4E" w:rsidR="00B96E3C" w:rsidRPr="00B96E3C" w:rsidRDefault="00B96E3C" w:rsidP="00D63204">
      <w:pPr>
        <w:widowControl w:val="0"/>
        <w:spacing w:before="197" w:after="0" w:line="240" w:lineRule="auto"/>
        <w:ind w:left="107"/>
        <w:outlineLvl w:val="2"/>
        <w:rPr>
          <w:rFonts w:cstheme="minorHAnsi"/>
        </w:rPr>
      </w:pPr>
      <w:r w:rsidRPr="00B96E3C">
        <w:rPr>
          <w:rFonts w:cstheme="minorHAnsi"/>
          <w:b/>
          <w:bCs/>
          <w:color w:val="231F20"/>
          <w:w w:val="110"/>
          <w:u w:val="single" w:color="231F20"/>
        </w:rPr>
        <w:t>Current Goals, Objectives</w:t>
      </w:r>
      <w:r w:rsidR="00D5537E">
        <w:rPr>
          <w:rFonts w:cstheme="minorHAnsi"/>
          <w:b/>
          <w:bCs/>
          <w:color w:val="231F20"/>
          <w:w w:val="110"/>
          <w:u w:val="single" w:color="231F20"/>
        </w:rPr>
        <w:t xml:space="preserve"> and</w:t>
      </w:r>
      <w:r w:rsidRPr="00B96E3C">
        <w:rPr>
          <w:rFonts w:cstheme="minorHAnsi"/>
          <w:b/>
          <w:bCs/>
          <w:color w:val="231F20"/>
          <w:spacing w:val="-5"/>
          <w:w w:val="110"/>
          <w:u w:val="single" w:color="231F20"/>
        </w:rPr>
        <w:t xml:space="preserve"> </w:t>
      </w:r>
      <w:r w:rsidRPr="00B96E3C">
        <w:rPr>
          <w:rFonts w:cstheme="minorHAnsi"/>
          <w:b/>
          <w:bCs/>
          <w:color w:val="231F20"/>
          <w:w w:val="110"/>
          <w:u w:val="single" w:color="231F20"/>
        </w:rPr>
        <w:t>Strategies</w:t>
      </w:r>
    </w:p>
    <w:p w14:paraId="20B27163" w14:textId="77777777" w:rsidR="00B96E3C" w:rsidRPr="00B96E3C" w:rsidRDefault="00B96E3C" w:rsidP="00D63204">
      <w:pPr>
        <w:widowControl w:val="0"/>
        <w:spacing w:before="139" w:after="0" w:line="240" w:lineRule="auto"/>
        <w:ind w:left="107"/>
        <w:rPr>
          <w:rFonts w:cstheme="minorHAnsi"/>
        </w:rPr>
      </w:pPr>
      <w:r w:rsidRPr="00B96E3C">
        <w:rPr>
          <w:rFonts w:cstheme="minorHAnsi"/>
          <w:b/>
          <w:color w:val="231F20"/>
          <w:w w:val="110"/>
        </w:rPr>
        <w:t>Goal 1: Ensure Customer success and satisfaction by improving business and support</w:t>
      </w:r>
      <w:r w:rsidRPr="00B96E3C">
        <w:rPr>
          <w:rFonts w:cstheme="minorHAnsi"/>
          <w:b/>
          <w:color w:val="231F20"/>
          <w:spacing w:val="-22"/>
          <w:w w:val="110"/>
        </w:rPr>
        <w:t xml:space="preserve"> </w:t>
      </w:r>
      <w:r w:rsidRPr="00B96E3C">
        <w:rPr>
          <w:rFonts w:cstheme="minorHAnsi"/>
          <w:b/>
          <w:color w:val="231F20"/>
          <w:w w:val="110"/>
        </w:rPr>
        <w:t>processes.</w:t>
      </w:r>
    </w:p>
    <w:p w14:paraId="55BDE576" w14:textId="77777777" w:rsidR="00AE012E" w:rsidRDefault="00B96E3C" w:rsidP="00D63204">
      <w:pPr>
        <w:widowControl w:val="0"/>
        <w:spacing w:before="139" w:after="0" w:line="240" w:lineRule="auto"/>
        <w:ind w:left="107"/>
        <w:rPr>
          <w:rFonts w:cstheme="minorHAnsi"/>
          <w:color w:val="231F20"/>
          <w:spacing w:val="-15"/>
          <w:w w:val="105"/>
          <w:u w:val="single" w:color="231F20"/>
        </w:rPr>
      </w:pPr>
      <w:r w:rsidRPr="00B96E3C">
        <w:rPr>
          <w:rFonts w:cstheme="minorHAnsi"/>
          <w:color w:val="231F20"/>
          <w:w w:val="105"/>
          <w:u w:val="single" w:color="231F20"/>
        </w:rPr>
        <w:t>Objective</w:t>
      </w:r>
      <w:r w:rsidRPr="00B96E3C">
        <w:rPr>
          <w:rFonts w:cstheme="minorHAnsi"/>
          <w:color w:val="231F20"/>
          <w:spacing w:val="8"/>
          <w:w w:val="105"/>
          <w:u w:val="single" w:color="231F20"/>
        </w:rPr>
        <w:t xml:space="preserve"> </w:t>
      </w:r>
      <w:r w:rsidRPr="00B96E3C">
        <w:rPr>
          <w:rFonts w:cstheme="minorHAnsi"/>
          <w:color w:val="231F20"/>
          <w:spacing w:val="-6"/>
          <w:w w:val="105"/>
          <w:u w:val="single" w:color="231F20"/>
        </w:rPr>
        <w:t>1.1:</w:t>
      </w:r>
      <w:r w:rsidRPr="00B96E3C">
        <w:rPr>
          <w:rFonts w:cstheme="minorHAnsi"/>
          <w:color w:val="231F20"/>
          <w:spacing w:val="8"/>
          <w:w w:val="105"/>
          <w:u w:val="single" w:color="231F20"/>
        </w:rPr>
        <w:t xml:space="preserve"> </w:t>
      </w:r>
      <w:r w:rsidRPr="00B96E3C">
        <w:rPr>
          <w:rFonts w:cstheme="minorHAnsi"/>
          <w:color w:val="231F20"/>
          <w:w w:val="105"/>
          <w:u w:val="single" w:color="231F20"/>
        </w:rPr>
        <w:t>Improve</w:t>
      </w:r>
      <w:r w:rsidRPr="00B96E3C">
        <w:rPr>
          <w:rFonts w:cstheme="minorHAnsi"/>
          <w:color w:val="231F20"/>
          <w:spacing w:val="8"/>
          <w:w w:val="105"/>
          <w:u w:val="single" w:color="231F20"/>
        </w:rPr>
        <w:t xml:space="preserve"> </w:t>
      </w:r>
      <w:r w:rsidRPr="00B96E3C">
        <w:rPr>
          <w:rFonts w:cstheme="minorHAnsi"/>
          <w:color w:val="231F20"/>
          <w:w w:val="105"/>
          <w:u w:val="single" w:color="231F20"/>
        </w:rPr>
        <w:t>and</w:t>
      </w:r>
      <w:r w:rsidRPr="00B96E3C">
        <w:rPr>
          <w:rFonts w:cstheme="minorHAnsi"/>
          <w:color w:val="231F20"/>
          <w:spacing w:val="8"/>
          <w:w w:val="105"/>
          <w:u w:val="single" w:color="231F20"/>
        </w:rPr>
        <w:t xml:space="preserve"> </w:t>
      </w:r>
      <w:r w:rsidRPr="00B96E3C">
        <w:rPr>
          <w:rFonts w:cstheme="minorHAnsi"/>
          <w:color w:val="231F20"/>
          <w:w w:val="105"/>
          <w:u w:val="single" w:color="231F20"/>
        </w:rPr>
        <w:t>align</w:t>
      </w:r>
      <w:r w:rsidRPr="00B96E3C">
        <w:rPr>
          <w:rFonts w:cstheme="minorHAnsi"/>
          <w:color w:val="231F20"/>
          <w:spacing w:val="8"/>
          <w:w w:val="105"/>
          <w:u w:val="single" w:color="231F20"/>
        </w:rPr>
        <w:t xml:space="preserve"> </w:t>
      </w:r>
      <w:r w:rsidRPr="00B96E3C">
        <w:rPr>
          <w:rFonts w:cstheme="minorHAnsi"/>
          <w:color w:val="231F20"/>
          <w:w w:val="105"/>
          <w:u w:val="single" w:color="231F20"/>
        </w:rPr>
        <w:t>VR</w:t>
      </w:r>
      <w:r w:rsidRPr="00B96E3C">
        <w:rPr>
          <w:rFonts w:cstheme="minorHAnsi"/>
          <w:color w:val="231F20"/>
          <w:spacing w:val="8"/>
          <w:w w:val="105"/>
          <w:u w:val="single" w:color="231F20"/>
        </w:rPr>
        <w:t xml:space="preserve"> </w:t>
      </w:r>
      <w:r w:rsidRPr="00B96E3C">
        <w:rPr>
          <w:rFonts w:cstheme="minorHAnsi"/>
          <w:color w:val="231F20"/>
          <w:w w:val="105"/>
          <w:u w:val="single" w:color="231F20"/>
        </w:rPr>
        <w:t>business</w:t>
      </w:r>
      <w:r w:rsidRPr="00B96E3C">
        <w:rPr>
          <w:rFonts w:cstheme="minorHAnsi"/>
          <w:color w:val="231F20"/>
          <w:spacing w:val="8"/>
          <w:w w:val="105"/>
          <w:u w:val="single" w:color="231F20"/>
        </w:rPr>
        <w:t xml:space="preserve"> </w:t>
      </w:r>
      <w:r w:rsidRPr="00B96E3C">
        <w:rPr>
          <w:rFonts w:cstheme="minorHAnsi"/>
          <w:color w:val="231F20"/>
          <w:w w:val="105"/>
          <w:u w:val="single" w:color="231F20"/>
        </w:rPr>
        <w:t>processes</w:t>
      </w:r>
      <w:r w:rsidRPr="00B96E3C">
        <w:rPr>
          <w:rFonts w:cstheme="minorHAnsi"/>
          <w:color w:val="231F20"/>
          <w:spacing w:val="8"/>
          <w:w w:val="105"/>
          <w:u w:val="single" w:color="231F20"/>
        </w:rPr>
        <w:t xml:space="preserve"> </w:t>
      </w:r>
      <w:r w:rsidRPr="00B96E3C">
        <w:rPr>
          <w:rFonts w:cstheme="minorHAnsi"/>
          <w:color w:val="231F20"/>
          <w:w w:val="105"/>
          <w:u w:val="single" w:color="231F20"/>
        </w:rPr>
        <w:t>to</w:t>
      </w:r>
      <w:r w:rsidRPr="00B96E3C">
        <w:rPr>
          <w:rFonts w:cstheme="minorHAnsi"/>
          <w:color w:val="231F20"/>
          <w:spacing w:val="8"/>
          <w:w w:val="105"/>
          <w:u w:val="single" w:color="231F20"/>
        </w:rPr>
        <w:t xml:space="preserve"> </w:t>
      </w:r>
      <w:r w:rsidRPr="00B96E3C">
        <w:rPr>
          <w:rFonts w:cstheme="minorHAnsi"/>
          <w:color w:val="231F20"/>
          <w:w w:val="105"/>
          <w:u w:val="single" w:color="231F20"/>
        </w:rPr>
        <w:t>support</w:t>
      </w:r>
      <w:r w:rsidRPr="00B96E3C">
        <w:rPr>
          <w:rFonts w:cstheme="minorHAnsi"/>
          <w:color w:val="231F20"/>
          <w:spacing w:val="8"/>
          <w:w w:val="105"/>
          <w:u w:val="single" w:color="231F20"/>
        </w:rPr>
        <w:t xml:space="preserve"> </w:t>
      </w:r>
      <w:r w:rsidRPr="00B96E3C">
        <w:rPr>
          <w:rFonts w:cstheme="minorHAnsi"/>
          <w:color w:val="231F20"/>
          <w:spacing w:val="-3"/>
          <w:w w:val="105"/>
          <w:u w:val="single" w:color="231F20"/>
        </w:rPr>
        <w:t>WIOA</w:t>
      </w:r>
      <w:r w:rsidRPr="00B96E3C">
        <w:rPr>
          <w:rFonts w:cstheme="minorHAnsi"/>
          <w:color w:val="231F20"/>
          <w:spacing w:val="8"/>
          <w:w w:val="105"/>
          <w:u w:val="single" w:color="231F20"/>
        </w:rPr>
        <w:t xml:space="preserve"> </w:t>
      </w:r>
      <w:r w:rsidRPr="00B96E3C">
        <w:rPr>
          <w:rFonts w:cstheme="minorHAnsi"/>
          <w:color w:val="231F20"/>
          <w:w w:val="105"/>
          <w:u w:val="single" w:color="231F20"/>
        </w:rPr>
        <w:t>implementation</w:t>
      </w:r>
      <w:r w:rsidRPr="00B96E3C">
        <w:rPr>
          <w:rFonts w:cstheme="minorHAnsi"/>
          <w:color w:val="231F20"/>
          <w:spacing w:val="-15"/>
          <w:w w:val="105"/>
          <w:u w:val="single" w:color="231F20"/>
        </w:rPr>
        <w:t xml:space="preserve"> </w:t>
      </w:r>
    </w:p>
    <w:p w14:paraId="78B4A293" w14:textId="620E32C0" w:rsidR="00B96E3C" w:rsidRPr="00B96E3C" w:rsidRDefault="00B96E3C" w:rsidP="00D63204">
      <w:pPr>
        <w:widowControl w:val="0"/>
        <w:spacing w:before="139" w:after="0" w:line="240" w:lineRule="auto"/>
        <w:ind w:left="107"/>
        <w:rPr>
          <w:rFonts w:cstheme="minorHAnsi"/>
          <w:color w:val="231F20"/>
          <w:w w:val="105"/>
        </w:rPr>
      </w:pPr>
      <w:r w:rsidRPr="00B96E3C">
        <w:rPr>
          <w:rFonts w:cstheme="minorHAnsi"/>
          <w:b/>
          <w:color w:val="231F20"/>
          <w:w w:val="105"/>
        </w:rPr>
        <w:t>Strategy:</w:t>
      </w:r>
      <w:r w:rsidRPr="00B96E3C">
        <w:rPr>
          <w:rFonts w:cstheme="minorHAnsi"/>
          <w:b/>
          <w:color w:val="231F20"/>
          <w:spacing w:val="13"/>
          <w:w w:val="105"/>
        </w:rPr>
        <w:t xml:space="preserve"> </w:t>
      </w:r>
      <w:r w:rsidRPr="00B96E3C">
        <w:rPr>
          <w:rFonts w:cstheme="minorHAnsi"/>
          <w:b/>
          <w:color w:val="231F20"/>
          <w:w w:val="105"/>
        </w:rPr>
        <w:t>1.</w:t>
      </w:r>
      <w:r w:rsidRPr="00B96E3C">
        <w:rPr>
          <w:rFonts w:cstheme="minorHAnsi"/>
          <w:b/>
          <w:color w:val="231F20"/>
          <w:spacing w:val="14"/>
          <w:w w:val="105"/>
        </w:rPr>
        <w:t xml:space="preserve"> </w:t>
      </w:r>
      <w:r w:rsidRPr="00B96E3C">
        <w:rPr>
          <w:rFonts w:cstheme="minorHAnsi"/>
          <w:color w:val="231F20"/>
          <w:w w:val="105"/>
        </w:rPr>
        <w:t>Develop</w:t>
      </w:r>
      <w:r w:rsidRPr="00B96E3C">
        <w:rPr>
          <w:rFonts w:cstheme="minorHAnsi"/>
          <w:color w:val="231F20"/>
          <w:spacing w:val="14"/>
          <w:w w:val="105"/>
        </w:rPr>
        <w:t xml:space="preserve"> </w:t>
      </w:r>
      <w:r w:rsidRPr="00B96E3C">
        <w:rPr>
          <w:rFonts w:cstheme="minorHAnsi"/>
          <w:color w:val="231F20"/>
          <w:w w:val="105"/>
        </w:rPr>
        <w:t>and</w:t>
      </w:r>
      <w:r w:rsidRPr="00B96E3C">
        <w:rPr>
          <w:rFonts w:cstheme="minorHAnsi"/>
          <w:color w:val="231F20"/>
          <w:spacing w:val="14"/>
          <w:w w:val="105"/>
        </w:rPr>
        <w:t xml:space="preserve"> </w:t>
      </w:r>
      <w:r w:rsidRPr="00B96E3C">
        <w:rPr>
          <w:rFonts w:cstheme="minorHAnsi"/>
          <w:color w:val="231F20"/>
          <w:w w:val="105"/>
        </w:rPr>
        <w:t>implement</w:t>
      </w:r>
      <w:r w:rsidRPr="00B96E3C">
        <w:rPr>
          <w:rFonts w:cstheme="minorHAnsi"/>
          <w:color w:val="231F20"/>
          <w:spacing w:val="14"/>
          <w:w w:val="105"/>
        </w:rPr>
        <w:t xml:space="preserve"> </w:t>
      </w:r>
      <w:r w:rsidRPr="00B96E3C">
        <w:rPr>
          <w:rFonts w:cstheme="minorHAnsi"/>
          <w:color w:val="231F20"/>
          <w:w w:val="105"/>
        </w:rPr>
        <w:t>all</w:t>
      </w:r>
      <w:r w:rsidRPr="00B96E3C">
        <w:rPr>
          <w:rFonts w:cstheme="minorHAnsi"/>
          <w:color w:val="231F20"/>
          <w:spacing w:val="14"/>
          <w:w w:val="105"/>
        </w:rPr>
        <w:t xml:space="preserve"> </w:t>
      </w:r>
      <w:r w:rsidRPr="00B96E3C">
        <w:rPr>
          <w:rFonts w:cstheme="minorHAnsi"/>
          <w:color w:val="231F20"/>
          <w:w w:val="105"/>
        </w:rPr>
        <w:t>components</w:t>
      </w:r>
      <w:r w:rsidRPr="00B96E3C">
        <w:rPr>
          <w:rFonts w:cstheme="minorHAnsi"/>
          <w:color w:val="231F20"/>
          <w:spacing w:val="14"/>
          <w:w w:val="105"/>
        </w:rPr>
        <w:t xml:space="preserve"> </w:t>
      </w:r>
      <w:r w:rsidRPr="00B96E3C">
        <w:rPr>
          <w:rFonts w:cstheme="minorHAnsi"/>
          <w:color w:val="231F20"/>
          <w:w w:val="105"/>
        </w:rPr>
        <w:t>of</w:t>
      </w:r>
      <w:r w:rsidRPr="00B96E3C">
        <w:rPr>
          <w:rFonts w:cstheme="minorHAnsi"/>
          <w:color w:val="231F20"/>
          <w:spacing w:val="14"/>
          <w:w w:val="105"/>
        </w:rPr>
        <w:t xml:space="preserve"> </w:t>
      </w:r>
      <w:r w:rsidRPr="00B96E3C">
        <w:rPr>
          <w:rFonts w:cstheme="minorHAnsi"/>
          <w:color w:val="231F20"/>
          <w:w w:val="105"/>
        </w:rPr>
        <w:t>the</w:t>
      </w:r>
      <w:r w:rsidRPr="00B96E3C">
        <w:rPr>
          <w:rFonts w:cstheme="minorHAnsi"/>
          <w:color w:val="231F20"/>
          <w:spacing w:val="14"/>
          <w:w w:val="105"/>
        </w:rPr>
        <w:t xml:space="preserve"> </w:t>
      </w:r>
      <w:r w:rsidRPr="00B96E3C">
        <w:rPr>
          <w:rFonts w:cstheme="minorHAnsi"/>
          <w:color w:val="231F20"/>
          <w:w w:val="105"/>
        </w:rPr>
        <w:t>VR</w:t>
      </w:r>
      <w:r w:rsidRPr="00B96E3C">
        <w:rPr>
          <w:rFonts w:cstheme="minorHAnsi"/>
          <w:color w:val="231F20"/>
          <w:spacing w:val="14"/>
          <w:w w:val="105"/>
        </w:rPr>
        <w:t xml:space="preserve"> </w:t>
      </w:r>
      <w:r w:rsidRPr="00B96E3C">
        <w:rPr>
          <w:rFonts w:cstheme="minorHAnsi"/>
          <w:color w:val="231F20"/>
          <w:w w:val="105"/>
        </w:rPr>
        <w:t>Business</w:t>
      </w:r>
      <w:r w:rsidRPr="00B96E3C">
        <w:rPr>
          <w:rFonts w:cstheme="minorHAnsi"/>
          <w:color w:val="231F20"/>
          <w:spacing w:val="14"/>
          <w:w w:val="105"/>
        </w:rPr>
        <w:t xml:space="preserve"> </w:t>
      </w:r>
      <w:r w:rsidRPr="00B96E3C">
        <w:rPr>
          <w:rFonts w:cstheme="minorHAnsi"/>
          <w:color w:val="231F20"/>
          <w:w w:val="105"/>
        </w:rPr>
        <w:t>Relationship</w:t>
      </w:r>
      <w:r w:rsidRPr="00B96E3C">
        <w:rPr>
          <w:rFonts w:cstheme="minorHAnsi"/>
          <w:color w:val="231F20"/>
          <w:spacing w:val="14"/>
          <w:w w:val="105"/>
        </w:rPr>
        <w:t xml:space="preserve"> </w:t>
      </w:r>
      <w:r w:rsidRPr="00B96E3C">
        <w:rPr>
          <w:rFonts w:cstheme="minorHAnsi"/>
          <w:color w:val="231F20"/>
          <w:w w:val="105"/>
        </w:rPr>
        <w:t xml:space="preserve">Program. </w:t>
      </w:r>
    </w:p>
    <w:p w14:paraId="44CDE9C6" w14:textId="498640DA" w:rsidR="00B96E3C" w:rsidRDefault="00B96E3C" w:rsidP="00D63204">
      <w:pPr>
        <w:widowControl w:val="0"/>
        <w:spacing w:before="139" w:after="0" w:line="240" w:lineRule="auto"/>
        <w:ind w:left="107"/>
        <w:rPr>
          <w:rFonts w:cstheme="minorHAnsi"/>
          <w:b/>
          <w:color w:val="231F20"/>
          <w:w w:val="105"/>
        </w:rPr>
      </w:pPr>
      <w:r w:rsidRPr="00B96E3C">
        <w:rPr>
          <w:rFonts w:cstheme="minorHAnsi"/>
          <w:b/>
          <w:color w:val="231F20"/>
          <w:w w:val="105"/>
        </w:rPr>
        <w:t>Measure of</w:t>
      </w:r>
      <w:r w:rsidRPr="00B96E3C">
        <w:rPr>
          <w:rFonts w:cstheme="minorHAnsi"/>
          <w:b/>
          <w:color w:val="231F20"/>
          <w:spacing w:val="23"/>
          <w:w w:val="105"/>
        </w:rPr>
        <w:t xml:space="preserve"> </w:t>
      </w:r>
      <w:r w:rsidRPr="00B96E3C">
        <w:rPr>
          <w:rFonts w:cstheme="minorHAnsi"/>
          <w:b/>
          <w:color w:val="231F20"/>
          <w:w w:val="105"/>
        </w:rPr>
        <w:t>Success:</w:t>
      </w:r>
    </w:p>
    <w:p w14:paraId="3E72C8C8" w14:textId="77777777" w:rsidR="00B96E3C" w:rsidRPr="00B96E3C" w:rsidRDefault="00B96E3C" w:rsidP="00D63204">
      <w:pPr>
        <w:widowControl w:val="0"/>
        <w:spacing w:after="0" w:line="240" w:lineRule="auto"/>
        <w:rPr>
          <w:rFonts w:cstheme="minorHAnsi"/>
        </w:rPr>
      </w:pPr>
    </w:p>
    <w:p w14:paraId="2A8E1AE3" w14:textId="77777777" w:rsidR="00B96E3C" w:rsidRPr="00B96E3C" w:rsidRDefault="00B96E3C" w:rsidP="00D63204">
      <w:pPr>
        <w:pStyle w:val="ListParagraph"/>
        <w:widowControl w:val="0"/>
        <w:numPr>
          <w:ilvl w:val="0"/>
          <w:numId w:val="123"/>
        </w:numPr>
        <w:spacing w:after="0" w:line="240" w:lineRule="auto"/>
        <w:rPr>
          <w:rFonts w:cstheme="minorHAnsi"/>
          <w:color w:val="231F20"/>
        </w:rPr>
      </w:pPr>
      <w:r w:rsidRPr="00B96E3C">
        <w:rPr>
          <w:rFonts w:cstheme="minorHAnsi"/>
          <w:color w:val="231F20"/>
          <w:w w:val="105"/>
        </w:rPr>
        <w:t>Full</w:t>
      </w:r>
      <w:r w:rsidRPr="00B96E3C">
        <w:rPr>
          <w:rFonts w:cstheme="minorHAnsi"/>
          <w:color w:val="231F20"/>
          <w:spacing w:val="19"/>
          <w:w w:val="105"/>
        </w:rPr>
        <w:t xml:space="preserve"> </w:t>
      </w:r>
      <w:r w:rsidRPr="00B96E3C">
        <w:rPr>
          <w:rFonts w:cstheme="minorHAnsi"/>
          <w:color w:val="231F20"/>
          <w:w w:val="105"/>
        </w:rPr>
        <w:t>integration</w:t>
      </w:r>
      <w:r w:rsidRPr="00B96E3C">
        <w:rPr>
          <w:rFonts w:cstheme="minorHAnsi"/>
          <w:color w:val="231F20"/>
          <w:spacing w:val="19"/>
          <w:w w:val="105"/>
        </w:rPr>
        <w:t xml:space="preserve"> </w:t>
      </w:r>
      <w:r w:rsidRPr="00B96E3C">
        <w:rPr>
          <w:rFonts w:cstheme="minorHAnsi"/>
          <w:color w:val="231F20"/>
          <w:w w:val="105"/>
        </w:rPr>
        <w:t>and</w:t>
      </w:r>
      <w:r w:rsidRPr="00B96E3C">
        <w:rPr>
          <w:rFonts w:cstheme="minorHAnsi"/>
          <w:color w:val="231F20"/>
          <w:spacing w:val="19"/>
          <w:w w:val="105"/>
        </w:rPr>
        <w:t xml:space="preserve"> </w:t>
      </w:r>
      <w:r w:rsidRPr="00B96E3C">
        <w:rPr>
          <w:rFonts w:cstheme="minorHAnsi"/>
          <w:color w:val="231F20"/>
          <w:w w:val="105"/>
        </w:rPr>
        <w:t>implementation</w:t>
      </w:r>
      <w:r w:rsidRPr="00B96E3C">
        <w:rPr>
          <w:rFonts w:cstheme="minorHAnsi"/>
          <w:color w:val="231F20"/>
          <w:spacing w:val="19"/>
          <w:w w:val="105"/>
        </w:rPr>
        <w:t xml:space="preserve"> </w:t>
      </w:r>
      <w:r w:rsidRPr="00B96E3C">
        <w:rPr>
          <w:rFonts w:cstheme="minorHAnsi"/>
          <w:color w:val="231F20"/>
          <w:w w:val="105"/>
        </w:rPr>
        <w:t>of</w:t>
      </w:r>
      <w:r w:rsidRPr="00B96E3C">
        <w:rPr>
          <w:rFonts w:cstheme="minorHAnsi"/>
          <w:color w:val="231F20"/>
          <w:spacing w:val="19"/>
          <w:w w:val="105"/>
        </w:rPr>
        <w:t xml:space="preserve"> </w:t>
      </w:r>
      <w:r w:rsidRPr="00B96E3C">
        <w:rPr>
          <w:rFonts w:cstheme="minorHAnsi"/>
          <w:color w:val="231F20"/>
          <w:w w:val="105"/>
        </w:rPr>
        <w:t>all</w:t>
      </w:r>
      <w:r w:rsidRPr="00B96E3C">
        <w:rPr>
          <w:rFonts w:cstheme="minorHAnsi"/>
          <w:color w:val="231F20"/>
          <w:spacing w:val="19"/>
          <w:w w:val="105"/>
        </w:rPr>
        <w:t xml:space="preserve"> </w:t>
      </w:r>
      <w:r w:rsidRPr="00B96E3C">
        <w:rPr>
          <w:rFonts w:cstheme="minorHAnsi"/>
          <w:color w:val="231F20"/>
          <w:w w:val="105"/>
        </w:rPr>
        <w:t>components,</w:t>
      </w:r>
      <w:r w:rsidRPr="00B96E3C">
        <w:rPr>
          <w:rFonts w:cstheme="minorHAnsi"/>
          <w:color w:val="231F20"/>
          <w:spacing w:val="19"/>
          <w:w w:val="105"/>
        </w:rPr>
        <w:t xml:space="preserve"> </w:t>
      </w:r>
      <w:r w:rsidRPr="00B96E3C">
        <w:rPr>
          <w:rFonts w:cstheme="minorHAnsi"/>
          <w:color w:val="231F20"/>
          <w:w w:val="105"/>
        </w:rPr>
        <w:t>including</w:t>
      </w:r>
      <w:r w:rsidRPr="00B96E3C">
        <w:rPr>
          <w:rFonts w:cstheme="minorHAnsi"/>
          <w:color w:val="231F20"/>
          <w:spacing w:val="19"/>
          <w:w w:val="105"/>
        </w:rPr>
        <w:t xml:space="preserve"> </w:t>
      </w:r>
      <w:r w:rsidRPr="00B96E3C">
        <w:rPr>
          <w:rFonts w:cstheme="minorHAnsi"/>
          <w:color w:val="231F20"/>
          <w:w w:val="105"/>
        </w:rPr>
        <w:t>business</w:t>
      </w:r>
      <w:r w:rsidRPr="00B96E3C">
        <w:rPr>
          <w:rFonts w:cstheme="minorHAnsi"/>
          <w:color w:val="231F20"/>
          <w:spacing w:val="19"/>
          <w:w w:val="105"/>
        </w:rPr>
        <w:t xml:space="preserve"> </w:t>
      </w:r>
      <w:r w:rsidRPr="00B96E3C">
        <w:rPr>
          <w:rFonts w:cstheme="minorHAnsi"/>
          <w:color w:val="231F20"/>
          <w:w w:val="105"/>
        </w:rPr>
        <w:t>services,</w:t>
      </w:r>
      <w:r w:rsidRPr="00B96E3C">
        <w:rPr>
          <w:rFonts w:cstheme="minorHAnsi"/>
          <w:color w:val="231F20"/>
          <w:spacing w:val="19"/>
          <w:w w:val="105"/>
        </w:rPr>
        <w:t xml:space="preserve"> </w:t>
      </w:r>
      <w:r w:rsidRPr="00B96E3C">
        <w:rPr>
          <w:rFonts w:cstheme="minorHAnsi"/>
          <w:color w:val="231F20"/>
          <w:w w:val="105"/>
        </w:rPr>
        <w:t>field</w:t>
      </w:r>
      <w:r w:rsidRPr="00B96E3C">
        <w:rPr>
          <w:rFonts w:cstheme="minorHAnsi"/>
          <w:color w:val="231F20"/>
          <w:spacing w:val="19"/>
          <w:w w:val="105"/>
        </w:rPr>
        <w:t xml:space="preserve"> </w:t>
      </w:r>
      <w:r w:rsidRPr="00B96E3C">
        <w:rPr>
          <w:rFonts w:cstheme="minorHAnsi"/>
          <w:color w:val="231F20"/>
          <w:w w:val="105"/>
        </w:rPr>
        <w:t>services</w:t>
      </w:r>
      <w:r w:rsidRPr="00B96E3C">
        <w:rPr>
          <w:rFonts w:cstheme="minorHAnsi"/>
          <w:color w:val="231F20"/>
          <w:w w:val="111"/>
        </w:rPr>
        <w:t xml:space="preserve"> </w:t>
      </w:r>
      <w:r w:rsidRPr="00B96E3C">
        <w:rPr>
          <w:rFonts w:cstheme="minorHAnsi"/>
          <w:color w:val="231F20"/>
          <w:w w:val="105"/>
        </w:rPr>
        <w:t>operations and IT support</w:t>
      </w:r>
      <w:r w:rsidRPr="00B96E3C">
        <w:rPr>
          <w:rFonts w:cstheme="minorHAnsi"/>
          <w:color w:val="231F20"/>
          <w:spacing w:val="20"/>
          <w:w w:val="105"/>
        </w:rPr>
        <w:t xml:space="preserve"> </w:t>
      </w:r>
      <w:r w:rsidRPr="00B96E3C">
        <w:rPr>
          <w:rFonts w:cstheme="minorHAnsi"/>
          <w:color w:val="231F20"/>
          <w:w w:val="105"/>
        </w:rPr>
        <w:t>systems</w:t>
      </w:r>
    </w:p>
    <w:p w14:paraId="28AA34A8" w14:textId="77777777" w:rsidR="00B96E3C" w:rsidRPr="00B96E3C" w:rsidRDefault="00B96E3C" w:rsidP="00D63204">
      <w:pPr>
        <w:widowControl w:val="0"/>
        <w:spacing w:before="10" w:after="0" w:line="240" w:lineRule="auto"/>
        <w:ind w:left="107"/>
        <w:rPr>
          <w:rFonts w:cstheme="minorHAnsi"/>
        </w:rPr>
      </w:pPr>
    </w:p>
    <w:p w14:paraId="24B2E1BB" w14:textId="77777777" w:rsidR="00B96E3C" w:rsidRPr="00B96E3C" w:rsidRDefault="00B96E3C" w:rsidP="00D63204">
      <w:pPr>
        <w:widowControl w:val="0"/>
        <w:spacing w:after="0" w:line="240" w:lineRule="auto"/>
        <w:ind w:left="107"/>
        <w:rPr>
          <w:rFonts w:cstheme="minorHAnsi"/>
        </w:rPr>
      </w:pPr>
      <w:r w:rsidRPr="00B96E3C">
        <w:rPr>
          <w:rFonts w:cstheme="minorHAnsi"/>
          <w:b/>
          <w:color w:val="231F20"/>
          <w:w w:val="105"/>
        </w:rPr>
        <w:t xml:space="preserve">Strategy: 2. </w:t>
      </w:r>
      <w:r w:rsidRPr="00B96E3C">
        <w:rPr>
          <w:rFonts w:cstheme="minorHAnsi"/>
          <w:color w:val="231F20"/>
          <w:w w:val="105"/>
        </w:rPr>
        <w:t>Redesign and implement pre-employment services for transition-age customers.</w:t>
      </w:r>
    </w:p>
    <w:p w14:paraId="7D8A8E75" w14:textId="77777777" w:rsidR="00B96E3C" w:rsidRPr="00B96E3C" w:rsidRDefault="00B96E3C" w:rsidP="00D63204">
      <w:pPr>
        <w:widowControl w:val="0"/>
        <w:spacing w:before="139" w:after="0" w:line="240" w:lineRule="auto"/>
        <w:ind w:left="107"/>
        <w:outlineLvl w:val="2"/>
        <w:rPr>
          <w:rFonts w:cstheme="minorHAnsi"/>
        </w:rPr>
      </w:pPr>
      <w:r w:rsidRPr="00B96E3C">
        <w:rPr>
          <w:rFonts w:cstheme="minorHAnsi"/>
          <w:b/>
          <w:bCs/>
          <w:color w:val="231F20"/>
          <w:w w:val="105"/>
        </w:rPr>
        <w:t>Measures of</w:t>
      </w:r>
      <w:r w:rsidRPr="00B96E3C">
        <w:rPr>
          <w:rFonts w:cstheme="minorHAnsi"/>
          <w:b/>
          <w:bCs/>
          <w:color w:val="231F20"/>
          <w:spacing w:val="35"/>
          <w:w w:val="105"/>
        </w:rPr>
        <w:t xml:space="preserve"> </w:t>
      </w:r>
      <w:r w:rsidRPr="00B96E3C">
        <w:rPr>
          <w:rFonts w:cstheme="minorHAnsi"/>
          <w:b/>
          <w:bCs/>
          <w:color w:val="231F20"/>
          <w:w w:val="105"/>
        </w:rPr>
        <w:t>Success:</w:t>
      </w:r>
    </w:p>
    <w:p w14:paraId="4788224D" w14:textId="27493A01" w:rsidR="00B96E3C" w:rsidRPr="00B96E3C" w:rsidRDefault="00B96E3C" w:rsidP="00D63204">
      <w:pPr>
        <w:pStyle w:val="ListParagraph"/>
        <w:widowControl w:val="0"/>
        <w:numPr>
          <w:ilvl w:val="0"/>
          <w:numId w:val="123"/>
        </w:numPr>
        <w:spacing w:before="139" w:after="0" w:line="240" w:lineRule="auto"/>
        <w:rPr>
          <w:rFonts w:cstheme="minorHAnsi"/>
          <w:color w:val="231F20"/>
        </w:rPr>
      </w:pPr>
      <w:r w:rsidRPr="00B96E3C">
        <w:rPr>
          <w:rFonts w:cstheme="minorHAnsi"/>
          <w:color w:val="231F20"/>
          <w:w w:val="105"/>
        </w:rPr>
        <w:t xml:space="preserve">Services re-aligned to new </w:t>
      </w:r>
      <w:r w:rsidRPr="00B96E3C">
        <w:rPr>
          <w:rFonts w:cstheme="minorHAnsi"/>
          <w:color w:val="231F20"/>
          <w:spacing w:val="-3"/>
          <w:w w:val="105"/>
        </w:rPr>
        <w:t xml:space="preserve">WIOA </w:t>
      </w:r>
      <w:r w:rsidRPr="00B96E3C">
        <w:rPr>
          <w:rFonts w:cstheme="minorHAnsi"/>
          <w:color w:val="231F20"/>
          <w:w w:val="105"/>
        </w:rPr>
        <w:t>guidelines and implemented within required</w:t>
      </w:r>
      <w:r w:rsidRPr="00B96E3C">
        <w:rPr>
          <w:rFonts w:cstheme="minorHAnsi"/>
          <w:color w:val="231F20"/>
          <w:spacing w:val="34"/>
          <w:w w:val="105"/>
        </w:rPr>
        <w:t xml:space="preserve"> </w:t>
      </w:r>
      <w:r w:rsidRPr="00B96E3C">
        <w:rPr>
          <w:rFonts w:cstheme="minorHAnsi"/>
          <w:color w:val="231F20"/>
          <w:w w:val="105"/>
        </w:rPr>
        <w:t>timeframes</w:t>
      </w:r>
    </w:p>
    <w:p w14:paraId="3F430577" w14:textId="77777777" w:rsidR="00B96E3C" w:rsidRPr="00B96E3C" w:rsidRDefault="00B96E3C" w:rsidP="00D63204">
      <w:pPr>
        <w:pStyle w:val="ListParagraph"/>
        <w:widowControl w:val="0"/>
        <w:spacing w:before="139" w:after="0" w:line="240" w:lineRule="auto"/>
        <w:ind w:left="827"/>
        <w:rPr>
          <w:rFonts w:cstheme="minorHAnsi"/>
          <w:color w:val="231F20"/>
        </w:rPr>
      </w:pPr>
    </w:p>
    <w:p w14:paraId="4C98D14B" w14:textId="77777777" w:rsidR="00B96E3C" w:rsidRPr="00B96E3C" w:rsidRDefault="00B96E3C" w:rsidP="00D63204">
      <w:pPr>
        <w:pStyle w:val="ListParagraph"/>
        <w:widowControl w:val="0"/>
        <w:numPr>
          <w:ilvl w:val="0"/>
          <w:numId w:val="123"/>
        </w:numPr>
        <w:spacing w:before="139" w:after="160" w:line="240" w:lineRule="auto"/>
        <w:rPr>
          <w:rFonts w:cstheme="minorHAnsi"/>
        </w:rPr>
      </w:pPr>
      <w:r w:rsidRPr="00B96E3C">
        <w:rPr>
          <w:rFonts w:cstheme="minorHAnsi"/>
          <w:color w:val="231F20"/>
          <w:w w:val="105"/>
        </w:rPr>
        <w:t>Budget set-aside requirements</w:t>
      </w:r>
      <w:r w:rsidRPr="00B96E3C">
        <w:rPr>
          <w:rFonts w:cstheme="minorHAnsi"/>
          <w:color w:val="231F20"/>
          <w:spacing w:val="14"/>
          <w:w w:val="105"/>
        </w:rPr>
        <w:t xml:space="preserve"> </w:t>
      </w:r>
      <w:r w:rsidRPr="00B96E3C">
        <w:rPr>
          <w:rFonts w:cstheme="minorHAnsi"/>
          <w:color w:val="231F20"/>
          <w:w w:val="105"/>
        </w:rPr>
        <w:t>met</w:t>
      </w:r>
    </w:p>
    <w:p w14:paraId="1DA2049D" w14:textId="77777777" w:rsidR="00B96E3C" w:rsidRPr="00B96E3C" w:rsidRDefault="00B96E3C" w:rsidP="00D63204">
      <w:pPr>
        <w:widowControl w:val="0"/>
        <w:spacing w:before="58" w:after="0" w:line="240" w:lineRule="auto"/>
        <w:ind w:left="107"/>
        <w:rPr>
          <w:rFonts w:cstheme="minorHAnsi"/>
        </w:rPr>
      </w:pPr>
      <w:r w:rsidRPr="00B96E3C">
        <w:rPr>
          <w:rFonts w:cstheme="minorHAnsi"/>
          <w:b/>
          <w:color w:val="231F20"/>
          <w:w w:val="105"/>
        </w:rPr>
        <w:t>Strategy:</w:t>
      </w:r>
      <w:r w:rsidRPr="00B96E3C">
        <w:rPr>
          <w:rFonts w:cstheme="minorHAnsi"/>
          <w:b/>
          <w:color w:val="231F20"/>
          <w:spacing w:val="12"/>
          <w:w w:val="105"/>
        </w:rPr>
        <w:t xml:space="preserve"> </w:t>
      </w:r>
      <w:r w:rsidRPr="00B96E3C">
        <w:rPr>
          <w:rFonts w:cstheme="minorHAnsi"/>
          <w:b/>
          <w:color w:val="231F20"/>
          <w:w w:val="105"/>
        </w:rPr>
        <w:t>3.</w:t>
      </w:r>
      <w:r w:rsidRPr="00B96E3C">
        <w:rPr>
          <w:rFonts w:cstheme="minorHAnsi"/>
          <w:b/>
          <w:color w:val="231F20"/>
          <w:spacing w:val="14"/>
          <w:w w:val="105"/>
        </w:rPr>
        <w:t xml:space="preserve"> </w:t>
      </w:r>
      <w:r w:rsidRPr="00B96E3C">
        <w:rPr>
          <w:rFonts w:cstheme="minorHAnsi"/>
          <w:color w:val="231F20"/>
          <w:w w:val="105"/>
        </w:rPr>
        <w:t>Design</w:t>
      </w:r>
      <w:r w:rsidRPr="00B96E3C">
        <w:rPr>
          <w:rFonts w:cstheme="minorHAnsi"/>
          <w:color w:val="231F20"/>
          <w:spacing w:val="14"/>
          <w:w w:val="105"/>
        </w:rPr>
        <w:t xml:space="preserve"> </w:t>
      </w:r>
      <w:r w:rsidRPr="00B96E3C">
        <w:rPr>
          <w:rFonts w:cstheme="minorHAnsi"/>
          <w:color w:val="231F20"/>
          <w:w w:val="105"/>
        </w:rPr>
        <w:t>and</w:t>
      </w:r>
      <w:r w:rsidRPr="00B96E3C">
        <w:rPr>
          <w:rFonts w:cstheme="minorHAnsi"/>
          <w:color w:val="231F20"/>
          <w:spacing w:val="14"/>
          <w:w w:val="105"/>
        </w:rPr>
        <w:t xml:space="preserve"> </w:t>
      </w:r>
      <w:r w:rsidRPr="00B96E3C">
        <w:rPr>
          <w:rFonts w:cstheme="minorHAnsi"/>
          <w:color w:val="231F20"/>
          <w:w w:val="105"/>
        </w:rPr>
        <w:t>implement</w:t>
      </w:r>
      <w:r w:rsidRPr="00B96E3C">
        <w:rPr>
          <w:rFonts w:cstheme="minorHAnsi"/>
          <w:color w:val="231F20"/>
          <w:spacing w:val="14"/>
          <w:w w:val="105"/>
        </w:rPr>
        <w:t xml:space="preserve"> </w:t>
      </w:r>
      <w:r w:rsidRPr="00B96E3C">
        <w:rPr>
          <w:rFonts w:cstheme="minorHAnsi"/>
          <w:color w:val="231F20"/>
          <w:w w:val="105"/>
        </w:rPr>
        <w:t>a</w:t>
      </w:r>
      <w:r w:rsidRPr="00B96E3C">
        <w:rPr>
          <w:rFonts w:cstheme="minorHAnsi"/>
          <w:color w:val="231F20"/>
          <w:spacing w:val="14"/>
          <w:w w:val="105"/>
        </w:rPr>
        <w:t xml:space="preserve"> </w:t>
      </w:r>
      <w:r w:rsidRPr="00B96E3C">
        <w:rPr>
          <w:rFonts w:cstheme="minorHAnsi"/>
          <w:color w:val="231F20"/>
          <w:w w:val="105"/>
        </w:rPr>
        <w:t>program</w:t>
      </w:r>
      <w:r w:rsidRPr="00B96E3C">
        <w:rPr>
          <w:rFonts w:cstheme="minorHAnsi"/>
          <w:color w:val="231F20"/>
          <w:spacing w:val="14"/>
          <w:w w:val="105"/>
        </w:rPr>
        <w:t xml:space="preserve"> </w:t>
      </w:r>
      <w:r w:rsidRPr="00B96E3C">
        <w:rPr>
          <w:rFonts w:cstheme="minorHAnsi"/>
          <w:color w:val="231F20"/>
          <w:w w:val="105"/>
        </w:rPr>
        <w:t>about</w:t>
      </w:r>
      <w:r w:rsidRPr="00B96E3C">
        <w:rPr>
          <w:rFonts w:cstheme="minorHAnsi"/>
          <w:color w:val="231F20"/>
          <w:spacing w:val="14"/>
          <w:w w:val="105"/>
        </w:rPr>
        <w:t xml:space="preserve"> </w:t>
      </w:r>
      <w:r w:rsidRPr="00B96E3C">
        <w:rPr>
          <w:rFonts w:cstheme="minorHAnsi"/>
          <w:color w:val="231F20"/>
          <w:w w:val="105"/>
        </w:rPr>
        <w:t>service</w:t>
      </w:r>
      <w:r w:rsidRPr="00B96E3C">
        <w:rPr>
          <w:rFonts w:cstheme="minorHAnsi"/>
          <w:color w:val="231F20"/>
          <w:spacing w:val="14"/>
          <w:w w:val="105"/>
        </w:rPr>
        <w:t xml:space="preserve"> </w:t>
      </w:r>
      <w:r w:rsidRPr="00B96E3C">
        <w:rPr>
          <w:rFonts w:cstheme="minorHAnsi"/>
          <w:color w:val="231F20"/>
          <w:w w:val="105"/>
        </w:rPr>
        <w:t>alternatives</w:t>
      </w:r>
      <w:r w:rsidRPr="00B96E3C">
        <w:rPr>
          <w:rFonts w:cstheme="minorHAnsi"/>
          <w:color w:val="231F20"/>
          <w:spacing w:val="14"/>
          <w:w w:val="105"/>
        </w:rPr>
        <w:t xml:space="preserve"> </w:t>
      </w:r>
      <w:r w:rsidRPr="00B96E3C">
        <w:rPr>
          <w:rFonts w:cstheme="minorHAnsi"/>
          <w:color w:val="231F20"/>
          <w:w w:val="105"/>
        </w:rPr>
        <w:t>for</w:t>
      </w:r>
      <w:r w:rsidRPr="00B96E3C">
        <w:rPr>
          <w:rFonts w:cstheme="minorHAnsi"/>
          <w:color w:val="231F20"/>
          <w:spacing w:val="14"/>
          <w:w w:val="105"/>
        </w:rPr>
        <w:t xml:space="preserve"> </w:t>
      </w:r>
      <w:r w:rsidRPr="00B96E3C">
        <w:rPr>
          <w:rFonts w:cstheme="minorHAnsi"/>
          <w:color w:val="231F20"/>
          <w:w w:val="105"/>
        </w:rPr>
        <w:t>customers</w:t>
      </w:r>
      <w:r w:rsidRPr="00B96E3C">
        <w:rPr>
          <w:rFonts w:cstheme="minorHAnsi"/>
          <w:color w:val="231F20"/>
          <w:spacing w:val="14"/>
          <w:w w:val="105"/>
        </w:rPr>
        <w:t xml:space="preserve"> </w:t>
      </w:r>
      <w:r w:rsidRPr="00B96E3C">
        <w:rPr>
          <w:rFonts w:cstheme="minorHAnsi"/>
          <w:color w:val="231F20"/>
          <w:w w:val="105"/>
        </w:rPr>
        <w:t>to</w:t>
      </w:r>
      <w:r w:rsidRPr="00B96E3C">
        <w:rPr>
          <w:rFonts w:cstheme="minorHAnsi"/>
          <w:color w:val="231F20"/>
          <w:spacing w:val="14"/>
          <w:w w:val="105"/>
        </w:rPr>
        <w:t xml:space="preserve"> </w:t>
      </w:r>
      <w:r w:rsidRPr="00B96E3C">
        <w:rPr>
          <w:rFonts w:cstheme="minorHAnsi"/>
          <w:color w:val="231F20"/>
          <w:w w:val="105"/>
        </w:rPr>
        <w:t>use</w:t>
      </w:r>
      <w:r w:rsidRPr="00B96E3C">
        <w:rPr>
          <w:rFonts w:cstheme="minorHAnsi"/>
          <w:color w:val="231F20"/>
          <w:spacing w:val="14"/>
          <w:w w:val="105"/>
        </w:rPr>
        <w:t xml:space="preserve"> </w:t>
      </w:r>
      <w:r w:rsidRPr="00B96E3C">
        <w:rPr>
          <w:rFonts w:cstheme="minorHAnsi"/>
          <w:color w:val="231F20"/>
          <w:w w:val="105"/>
        </w:rPr>
        <w:t>in</w:t>
      </w:r>
      <w:r w:rsidRPr="00B96E3C">
        <w:rPr>
          <w:rFonts w:cstheme="minorHAnsi"/>
          <w:color w:val="231F20"/>
          <w:spacing w:val="14"/>
          <w:w w:val="105"/>
        </w:rPr>
        <w:t xml:space="preserve"> </w:t>
      </w:r>
      <w:r w:rsidRPr="00B96E3C">
        <w:rPr>
          <w:rFonts w:cstheme="minorHAnsi"/>
          <w:color w:val="231F20"/>
          <w:w w:val="105"/>
        </w:rPr>
        <w:t>making</w:t>
      </w:r>
      <w:r w:rsidRPr="00B96E3C">
        <w:rPr>
          <w:rFonts w:cstheme="minorHAnsi"/>
          <w:color w:val="231F20"/>
          <w:spacing w:val="14"/>
          <w:w w:val="105"/>
        </w:rPr>
        <w:t xml:space="preserve"> </w:t>
      </w:r>
      <w:r w:rsidRPr="00B96E3C">
        <w:rPr>
          <w:rFonts w:cstheme="minorHAnsi"/>
          <w:color w:val="231F20"/>
          <w:w w:val="105"/>
        </w:rPr>
        <w:t>an</w:t>
      </w:r>
      <w:r w:rsidRPr="00B96E3C">
        <w:rPr>
          <w:rFonts w:cstheme="minorHAnsi"/>
          <w:color w:val="231F20"/>
          <w:w w:val="107"/>
        </w:rPr>
        <w:t xml:space="preserve"> </w:t>
      </w:r>
      <w:r w:rsidRPr="00B96E3C">
        <w:rPr>
          <w:rFonts w:cstheme="minorHAnsi"/>
          <w:color w:val="231F20"/>
          <w:w w:val="105"/>
        </w:rPr>
        <w:t>informed choice prior to entering subminimum wage</w:t>
      </w:r>
      <w:r w:rsidRPr="00B96E3C">
        <w:rPr>
          <w:rFonts w:cstheme="minorHAnsi"/>
          <w:color w:val="231F20"/>
          <w:spacing w:val="4"/>
          <w:w w:val="105"/>
        </w:rPr>
        <w:t xml:space="preserve"> </w:t>
      </w:r>
      <w:r w:rsidRPr="00B96E3C">
        <w:rPr>
          <w:rFonts w:cstheme="minorHAnsi"/>
          <w:color w:val="231F20"/>
          <w:w w:val="105"/>
        </w:rPr>
        <w:t>employment.</w:t>
      </w:r>
    </w:p>
    <w:p w14:paraId="6B97B0C2" w14:textId="77777777" w:rsidR="00B96E3C" w:rsidRPr="00B96E3C" w:rsidRDefault="00B96E3C" w:rsidP="00D63204">
      <w:pPr>
        <w:widowControl w:val="0"/>
        <w:spacing w:before="145" w:after="0" w:line="240" w:lineRule="auto"/>
        <w:ind w:left="107"/>
        <w:outlineLvl w:val="2"/>
        <w:rPr>
          <w:rFonts w:cstheme="minorHAnsi"/>
        </w:rPr>
      </w:pPr>
      <w:r w:rsidRPr="00B96E3C">
        <w:rPr>
          <w:rFonts w:cstheme="minorHAnsi"/>
          <w:b/>
          <w:bCs/>
          <w:color w:val="231F20"/>
          <w:w w:val="105"/>
        </w:rPr>
        <w:t>Measure of</w:t>
      </w:r>
      <w:r w:rsidRPr="00B96E3C">
        <w:rPr>
          <w:rFonts w:cstheme="minorHAnsi"/>
          <w:b/>
          <w:bCs/>
          <w:color w:val="231F20"/>
          <w:spacing w:val="23"/>
          <w:w w:val="105"/>
        </w:rPr>
        <w:t xml:space="preserve"> </w:t>
      </w:r>
      <w:r w:rsidRPr="00B96E3C">
        <w:rPr>
          <w:rFonts w:cstheme="minorHAnsi"/>
          <w:b/>
          <w:bCs/>
          <w:color w:val="231F20"/>
          <w:w w:val="105"/>
        </w:rPr>
        <w:t>Success:</w:t>
      </w:r>
    </w:p>
    <w:p w14:paraId="7AC0B172" w14:textId="5FC28964" w:rsidR="00B96E3C" w:rsidRDefault="00B96E3C" w:rsidP="00D63204">
      <w:pPr>
        <w:pStyle w:val="ListParagraph"/>
        <w:widowControl w:val="0"/>
        <w:numPr>
          <w:ilvl w:val="0"/>
          <w:numId w:val="124"/>
        </w:numPr>
        <w:spacing w:before="139" w:after="0" w:line="240" w:lineRule="auto"/>
        <w:rPr>
          <w:rFonts w:cstheme="minorHAnsi"/>
          <w:color w:val="231F20"/>
          <w:w w:val="105"/>
        </w:rPr>
      </w:pPr>
      <w:r w:rsidRPr="00B96E3C">
        <w:rPr>
          <w:rFonts w:cstheme="minorHAnsi"/>
          <w:color w:val="231F20"/>
          <w:w w:val="105"/>
        </w:rPr>
        <w:t>Number of people diverted from or transitioned out of subminimum wage</w:t>
      </w:r>
      <w:r w:rsidRPr="00B96E3C">
        <w:rPr>
          <w:rFonts w:cstheme="minorHAnsi"/>
          <w:color w:val="231F20"/>
          <w:spacing w:val="3"/>
          <w:w w:val="105"/>
        </w:rPr>
        <w:t xml:space="preserve"> </w:t>
      </w:r>
      <w:r w:rsidRPr="00B96E3C">
        <w:rPr>
          <w:rFonts w:cstheme="minorHAnsi"/>
          <w:color w:val="231F20"/>
          <w:w w:val="105"/>
        </w:rPr>
        <w:t>jobs</w:t>
      </w:r>
    </w:p>
    <w:p w14:paraId="5F2F0A10" w14:textId="77777777" w:rsidR="00B96E3C" w:rsidRDefault="00B96E3C" w:rsidP="00D63204">
      <w:pPr>
        <w:widowControl w:val="0"/>
        <w:spacing w:after="0" w:line="240" w:lineRule="auto"/>
        <w:ind w:left="107"/>
        <w:rPr>
          <w:rFonts w:cstheme="minorHAnsi"/>
          <w:b/>
          <w:color w:val="231F20"/>
          <w:w w:val="105"/>
        </w:rPr>
      </w:pPr>
    </w:p>
    <w:p w14:paraId="7ADBBC29" w14:textId="77777777" w:rsidR="00AE012E" w:rsidRDefault="00AE012E">
      <w:pPr>
        <w:rPr>
          <w:rFonts w:cstheme="minorHAnsi"/>
          <w:b/>
          <w:color w:val="231F20"/>
          <w:w w:val="105"/>
        </w:rPr>
      </w:pPr>
      <w:r>
        <w:rPr>
          <w:rFonts w:cstheme="minorHAnsi"/>
          <w:b/>
          <w:color w:val="231F20"/>
          <w:w w:val="105"/>
        </w:rPr>
        <w:br w:type="page"/>
      </w:r>
    </w:p>
    <w:p w14:paraId="57A008FB" w14:textId="77777777" w:rsidR="00AE012E" w:rsidRDefault="00AE012E" w:rsidP="00D63204">
      <w:pPr>
        <w:widowControl w:val="0"/>
        <w:spacing w:after="0" w:line="240" w:lineRule="auto"/>
        <w:ind w:left="107"/>
        <w:rPr>
          <w:rFonts w:cstheme="minorHAnsi"/>
          <w:b/>
          <w:color w:val="231F20"/>
          <w:w w:val="105"/>
        </w:rPr>
      </w:pPr>
    </w:p>
    <w:p w14:paraId="4D64623E" w14:textId="0C52980E" w:rsidR="00B96E3C" w:rsidRPr="00B96E3C" w:rsidRDefault="00B96E3C" w:rsidP="00D63204">
      <w:pPr>
        <w:widowControl w:val="0"/>
        <w:spacing w:after="0" w:line="240" w:lineRule="auto"/>
        <w:ind w:left="107"/>
        <w:rPr>
          <w:rFonts w:cstheme="minorHAnsi"/>
        </w:rPr>
      </w:pPr>
      <w:r w:rsidRPr="00B96E3C">
        <w:rPr>
          <w:rFonts w:cstheme="minorHAnsi"/>
          <w:b/>
          <w:color w:val="231F20"/>
          <w:w w:val="105"/>
        </w:rPr>
        <w:t>Strategy:</w:t>
      </w:r>
      <w:r w:rsidRPr="00B96E3C">
        <w:rPr>
          <w:rFonts w:cstheme="minorHAnsi"/>
          <w:b/>
          <w:color w:val="231F20"/>
          <w:spacing w:val="12"/>
          <w:w w:val="105"/>
        </w:rPr>
        <w:t xml:space="preserve"> </w:t>
      </w:r>
      <w:r w:rsidRPr="00B96E3C">
        <w:rPr>
          <w:rFonts w:cstheme="minorHAnsi"/>
          <w:b/>
          <w:color w:val="231F20"/>
          <w:w w:val="105"/>
        </w:rPr>
        <w:t>4.</w:t>
      </w:r>
      <w:r w:rsidRPr="00B96E3C">
        <w:rPr>
          <w:rFonts w:cstheme="minorHAnsi"/>
          <w:b/>
          <w:color w:val="231F20"/>
          <w:spacing w:val="12"/>
          <w:w w:val="105"/>
        </w:rPr>
        <w:t xml:space="preserve"> </w:t>
      </w:r>
      <w:r w:rsidRPr="00B96E3C">
        <w:rPr>
          <w:rFonts w:cstheme="minorHAnsi"/>
          <w:color w:val="231F20"/>
          <w:w w:val="105"/>
        </w:rPr>
        <w:t>Design</w:t>
      </w:r>
      <w:r w:rsidRPr="00B96E3C">
        <w:rPr>
          <w:rFonts w:cstheme="minorHAnsi"/>
          <w:color w:val="231F20"/>
          <w:spacing w:val="14"/>
          <w:w w:val="105"/>
        </w:rPr>
        <w:t xml:space="preserve"> </w:t>
      </w:r>
      <w:r w:rsidRPr="00B96E3C">
        <w:rPr>
          <w:rFonts w:cstheme="minorHAnsi"/>
          <w:color w:val="231F20"/>
          <w:w w:val="105"/>
        </w:rPr>
        <w:t>and</w:t>
      </w:r>
      <w:r w:rsidRPr="00B96E3C">
        <w:rPr>
          <w:rFonts w:cstheme="minorHAnsi"/>
          <w:color w:val="231F20"/>
          <w:spacing w:val="14"/>
          <w:w w:val="105"/>
        </w:rPr>
        <w:t xml:space="preserve"> </w:t>
      </w:r>
      <w:r w:rsidRPr="00B96E3C">
        <w:rPr>
          <w:rFonts w:cstheme="minorHAnsi"/>
          <w:color w:val="231F20"/>
          <w:w w:val="105"/>
        </w:rPr>
        <w:t>implement</w:t>
      </w:r>
      <w:r w:rsidRPr="00B96E3C">
        <w:rPr>
          <w:rFonts w:cstheme="minorHAnsi"/>
          <w:color w:val="231F20"/>
          <w:spacing w:val="14"/>
          <w:w w:val="105"/>
        </w:rPr>
        <w:t xml:space="preserve"> </w:t>
      </w:r>
      <w:r w:rsidRPr="00B96E3C">
        <w:rPr>
          <w:rFonts w:cstheme="minorHAnsi"/>
          <w:color w:val="231F20"/>
          <w:w w:val="105"/>
        </w:rPr>
        <w:t>enhancements</w:t>
      </w:r>
      <w:r w:rsidRPr="00B96E3C">
        <w:rPr>
          <w:rFonts w:cstheme="minorHAnsi"/>
          <w:color w:val="231F20"/>
          <w:spacing w:val="14"/>
          <w:w w:val="105"/>
        </w:rPr>
        <w:t xml:space="preserve"> </w:t>
      </w:r>
      <w:r w:rsidRPr="00B96E3C">
        <w:rPr>
          <w:rFonts w:cstheme="minorHAnsi"/>
          <w:color w:val="231F20"/>
          <w:w w:val="105"/>
        </w:rPr>
        <w:t>to</w:t>
      </w:r>
      <w:r w:rsidRPr="00B96E3C">
        <w:rPr>
          <w:rFonts w:cstheme="minorHAnsi"/>
          <w:color w:val="231F20"/>
          <w:spacing w:val="14"/>
          <w:w w:val="105"/>
        </w:rPr>
        <w:t xml:space="preserve"> </w:t>
      </w:r>
      <w:r w:rsidRPr="00B96E3C">
        <w:rPr>
          <w:rFonts w:cstheme="minorHAnsi"/>
          <w:color w:val="231F20"/>
          <w:w w:val="105"/>
        </w:rPr>
        <w:t>the</w:t>
      </w:r>
      <w:r w:rsidRPr="00B96E3C">
        <w:rPr>
          <w:rFonts w:cstheme="minorHAnsi"/>
          <w:color w:val="231F20"/>
          <w:spacing w:val="14"/>
          <w:w w:val="105"/>
        </w:rPr>
        <w:t xml:space="preserve"> </w:t>
      </w:r>
      <w:r w:rsidRPr="00B96E3C">
        <w:rPr>
          <w:rFonts w:cstheme="minorHAnsi"/>
          <w:color w:val="231F20"/>
          <w:spacing w:val="-3"/>
          <w:w w:val="105"/>
        </w:rPr>
        <w:t>Vendor</w:t>
      </w:r>
      <w:r w:rsidRPr="00B96E3C">
        <w:rPr>
          <w:rFonts w:cstheme="minorHAnsi"/>
          <w:color w:val="231F20"/>
          <w:spacing w:val="14"/>
          <w:w w:val="105"/>
        </w:rPr>
        <w:t xml:space="preserve"> </w:t>
      </w:r>
      <w:r w:rsidRPr="00B96E3C">
        <w:rPr>
          <w:rFonts w:cstheme="minorHAnsi"/>
          <w:color w:val="231F20"/>
          <w:w w:val="105"/>
        </w:rPr>
        <w:t>Profile</w:t>
      </w:r>
      <w:r w:rsidRPr="00B96E3C">
        <w:rPr>
          <w:rFonts w:cstheme="minorHAnsi"/>
          <w:color w:val="231F20"/>
          <w:spacing w:val="14"/>
          <w:w w:val="105"/>
        </w:rPr>
        <w:t xml:space="preserve"> </w:t>
      </w:r>
      <w:r w:rsidRPr="00B96E3C">
        <w:rPr>
          <w:rFonts w:cstheme="minorHAnsi"/>
          <w:color w:val="231F20"/>
          <w:w w:val="105"/>
        </w:rPr>
        <w:t>document</w:t>
      </w:r>
      <w:r w:rsidRPr="00B96E3C">
        <w:rPr>
          <w:rFonts w:cstheme="minorHAnsi"/>
          <w:color w:val="231F20"/>
          <w:spacing w:val="14"/>
          <w:w w:val="105"/>
        </w:rPr>
        <w:t xml:space="preserve"> </w:t>
      </w:r>
      <w:r w:rsidRPr="00B96E3C">
        <w:rPr>
          <w:rFonts w:cstheme="minorHAnsi"/>
          <w:color w:val="231F20"/>
          <w:w w:val="105"/>
        </w:rPr>
        <w:t>for</w:t>
      </w:r>
      <w:r w:rsidRPr="00B96E3C">
        <w:rPr>
          <w:rFonts w:cstheme="minorHAnsi"/>
          <w:color w:val="231F20"/>
          <w:spacing w:val="14"/>
          <w:w w:val="105"/>
        </w:rPr>
        <w:t xml:space="preserve"> </w:t>
      </w:r>
      <w:r w:rsidRPr="00B96E3C">
        <w:rPr>
          <w:rFonts w:cstheme="minorHAnsi"/>
          <w:color w:val="231F20"/>
          <w:w w:val="105"/>
        </w:rPr>
        <w:t>customer</w:t>
      </w:r>
      <w:r w:rsidRPr="00B96E3C">
        <w:rPr>
          <w:rFonts w:cstheme="minorHAnsi"/>
          <w:color w:val="231F20"/>
          <w:spacing w:val="14"/>
          <w:w w:val="105"/>
        </w:rPr>
        <w:t xml:space="preserve"> </w:t>
      </w:r>
      <w:r w:rsidRPr="00B96E3C">
        <w:rPr>
          <w:rFonts w:cstheme="minorHAnsi"/>
          <w:color w:val="231F20"/>
          <w:w w:val="105"/>
        </w:rPr>
        <w:t>use</w:t>
      </w:r>
      <w:r w:rsidRPr="00B96E3C">
        <w:rPr>
          <w:rFonts w:cstheme="minorHAnsi"/>
          <w:color w:val="231F20"/>
          <w:spacing w:val="14"/>
          <w:w w:val="105"/>
        </w:rPr>
        <w:t xml:space="preserve"> </w:t>
      </w:r>
      <w:r w:rsidRPr="00B96E3C">
        <w:rPr>
          <w:rFonts w:cstheme="minorHAnsi"/>
          <w:color w:val="231F20"/>
          <w:w w:val="105"/>
        </w:rPr>
        <w:t>in</w:t>
      </w:r>
      <w:r w:rsidRPr="00B96E3C">
        <w:rPr>
          <w:rFonts w:cstheme="minorHAnsi"/>
          <w:color w:val="231F20"/>
          <w:w w:val="102"/>
        </w:rPr>
        <w:t xml:space="preserve"> </w:t>
      </w:r>
      <w:r w:rsidRPr="00B96E3C">
        <w:rPr>
          <w:rFonts w:cstheme="minorHAnsi"/>
          <w:color w:val="231F20"/>
          <w:w w:val="105"/>
        </w:rPr>
        <w:t>making informed choices regarding employment providers.</w:t>
      </w:r>
    </w:p>
    <w:p w14:paraId="1F19B9DE" w14:textId="77777777" w:rsidR="00B96E3C" w:rsidRPr="00B96E3C" w:rsidRDefault="00B96E3C" w:rsidP="00D63204">
      <w:pPr>
        <w:widowControl w:val="0"/>
        <w:spacing w:before="145" w:after="0" w:line="240" w:lineRule="auto"/>
        <w:ind w:left="107"/>
        <w:outlineLvl w:val="2"/>
        <w:rPr>
          <w:rFonts w:cstheme="minorHAnsi"/>
        </w:rPr>
      </w:pPr>
      <w:r w:rsidRPr="00B96E3C">
        <w:rPr>
          <w:rFonts w:cstheme="minorHAnsi"/>
          <w:b/>
          <w:bCs/>
          <w:color w:val="231F20"/>
          <w:w w:val="105"/>
        </w:rPr>
        <w:t>Measures of</w:t>
      </w:r>
      <w:r w:rsidRPr="00B96E3C">
        <w:rPr>
          <w:rFonts w:cstheme="minorHAnsi"/>
          <w:b/>
          <w:bCs/>
          <w:color w:val="231F20"/>
          <w:spacing w:val="35"/>
          <w:w w:val="105"/>
        </w:rPr>
        <w:t xml:space="preserve"> </w:t>
      </w:r>
      <w:r w:rsidRPr="00B96E3C">
        <w:rPr>
          <w:rFonts w:cstheme="minorHAnsi"/>
          <w:b/>
          <w:bCs/>
          <w:color w:val="231F20"/>
          <w:w w:val="105"/>
        </w:rPr>
        <w:t>Success:</w:t>
      </w:r>
    </w:p>
    <w:p w14:paraId="38FC4F38" w14:textId="1C967903" w:rsidR="00B96E3C" w:rsidRPr="00B96E3C" w:rsidRDefault="00B96E3C" w:rsidP="00D63204">
      <w:pPr>
        <w:pStyle w:val="ListParagraph"/>
        <w:widowControl w:val="0"/>
        <w:numPr>
          <w:ilvl w:val="0"/>
          <w:numId w:val="124"/>
        </w:numPr>
        <w:spacing w:before="139" w:after="0" w:line="240" w:lineRule="auto"/>
        <w:rPr>
          <w:rFonts w:cstheme="minorHAnsi"/>
          <w:color w:val="231F20"/>
        </w:rPr>
      </w:pPr>
      <w:r w:rsidRPr="00B96E3C">
        <w:rPr>
          <w:rFonts w:cstheme="minorHAnsi"/>
          <w:color w:val="231F20"/>
          <w:w w:val="110"/>
        </w:rPr>
        <w:t xml:space="preserve">Establish baseline use of </w:t>
      </w:r>
      <w:r w:rsidRPr="00B96E3C">
        <w:rPr>
          <w:rFonts w:cstheme="minorHAnsi"/>
          <w:color w:val="231F20"/>
          <w:spacing w:val="-3"/>
          <w:w w:val="110"/>
        </w:rPr>
        <w:t>Vendor</w:t>
      </w:r>
      <w:r w:rsidRPr="00B96E3C">
        <w:rPr>
          <w:rFonts w:cstheme="minorHAnsi"/>
          <w:color w:val="231F20"/>
          <w:spacing w:val="7"/>
          <w:w w:val="110"/>
        </w:rPr>
        <w:t xml:space="preserve"> </w:t>
      </w:r>
      <w:r w:rsidRPr="00B96E3C">
        <w:rPr>
          <w:rFonts w:cstheme="minorHAnsi"/>
          <w:color w:val="231F20"/>
          <w:w w:val="110"/>
        </w:rPr>
        <w:t>Profile</w:t>
      </w:r>
    </w:p>
    <w:p w14:paraId="53AD302C" w14:textId="77777777" w:rsidR="00B96E3C" w:rsidRPr="00B96E3C" w:rsidRDefault="00B96E3C" w:rsidP="00D63204">
      <w:pPr>
        <w:pStyle w:val="ListParagraph"/>
        <w:widowControl w:val="0"/>
        <w:spacing w:before="139" w:after="0" w:line="240" w:lineRule="auto"/>
        <w:ind w:left="827"/>
        <w:rPr>
          <w:rFonts w:cstheme="minorHAnsi"/>
          <w:color w:val="231F20"/>
        </w:rPr>
      </w:pPr>
    </w:p>
    <w:p w14:paraId="4277DB74" w14:textId="77777777" w:rsidR="00B96E3C" w:rsidRPr="00B96E3C" w:rsidRDefault="00B96E3C" w:rsidP="00D63204">
      <w:pPr>
        <w:pStyle w:val="ListParagraph"/>
        <w:widowControl w:val="0"/>
        <w:numPr>
          <w:ilvl w:val="0"/>
          <w:numId w:val="124"/>
        </w:numPr>
        <w:spacing w:before="139" w:after="0" w:line="240" w:lineRule="auto"/>
        <w:rPr>
          <w:rFonts w:cstheme="minorHAnsi"/>
          <w:color w:val="231F20"/>
        </w:rPr>
      </w:pPr>
      <w:r w:rsidRPr="00B96E3C">
        <w:rPr>
          <w:rFonts w:cstheme="minorHAnsi"/>
          <w:color w:val="231F20"/>
          <w:w w:val="105"/>
        </w:rPr>
        <w:t xml:space="preserve">Customer satisfaction with </w:t>
      </w:r>
      <w:r w:rsidRPr="00B96E3C">
        <w:rPr>
          <w:rFonts w:cstheme="minorHAnsi"/>
          <w:color w:val="231F20"/>
          <w:spacing w:val="-3"/>
          <w:w w:val="105"/>
        </w:rPr>
        <w:t>Vendor</w:t>
      </w:r>
      <w:r w:rsidRPr="00B96E3C">
        <w:rPr>
          <w:rFonts w:cstheme="minorHAnsi"/>
          <w:color w:val="231F20"/>
          <w:spacing w:val="19"/>
          <w:w w:val="105"/>
        </w:rPr>
        <w:t xml:space="preserve"> </w:t>
      </w:r>
      <w:r w:rsidRPr="00B96E3C">
        <w:rPr>
          <w:rFonts w:cstheme="minorHAnsi"/>
          <w:color w:val="231F20"/>
          <w:w w:val="105"/>
        </w:rPr>
        <w:t>Profile</w:t>
      </w:r>
    </w:p>
    <w:p w14:paraId="0B2ACF41" w14:textId="77777777" w:rsidR="00B96E3C" w:rsidRPr="00B96E3C" w:rsidRDefault="00B96E3C" w:rsidP="00D63204">
      <w:pPr>
        <w:widowControl w:val="0"/>
        <w:spacing w:after="0" w:line="240" w:lineRule="auto"/>
        <w:ind w:left="107"/>
        <w:rPr>
          <w:rFonts w:cstheme="minorHAnsi"/>
        </w:rPr>
      </w:pPr>
    </w:p>
    <w:p w14:paraId="045DA97D" w14:textId="77777777" w:rsidR="00B96E3C" w:rsidRPr="00B96E3C" w:rsidRDefault="00B96E3C" w:rsidP="00D63204">
      <w:pPr>
        <w:widowControl w:val="0"/>
        <w:spacing w:after="0" w:line="240" w:lineRule="auto"/>
        <w:ind w:left="107"/>
        <w:rPr>
          <w:rFonts w:cstheme="minorHAnsi"/>
        </w:rPr>
      </w:pPr>
      <w:r w:rsidRPr="00B96E3C">
        <w:rPr>
          <w:rFonts w:cstheme="minorHAnsi"/>
          <w:color w:val="231F20"/>
          <w:w w:val="105"/>
          <w:u w:val="single" w:color="231F20"/>
        </w:rPr>
        <w:t>Objective</w:t>
      </w:r>
      <w:r w:rsidRPr="00B96E3C">
        <w:rPr>
          <w:rFonts w:cstheme="minorHAnsi"/>
          <w:color w:val="231F20"/>
          <w:spacing w:val="25"/>
          <w:w w:val="105"/>
          <w:u w:val="single" w:color="231F20"/>
        </w:rPr>
        <w:t xml:space="preserve"> </w:t>
      </w:r>
      <w:r w:rsidRPr="00B96E3C">
        <w:rPr>
          <w:rFonts w:cstheme="minorHAnsi"/>
          <w:color w:val="231F20"/>
          <w:w w:val="105"/>
          <w:u w:val="single" w:color="231F20"/>
        </w:rPr>
        <w:t>1.2:</w:t>
      </w:r>
      <w:r w:rsidRPr="00B96E3C">
        <w:rPr>
          <w:rFonts w:cstheme="minorHAnsi"/>
          <w:color w:val="231F20"/>
          <w:spacing w:val="25"/>
          <w:w w:val="105"/>
          <w:u w:val="single" w:color="231F20"/>
        </w:rPr>
        <w:t xml:space="preserve"> </w:t>
      </w:r>
      <w:r w:rsidRPr="00B96E3C">
        <w:rPr>
          <w:rFonts w:cstheme="minorHAnsi"/>
          <w:color w:val="231F20"/>
          <w:w w:val="105"/>
          <w:u w:val="single" w:color="231F20"/>
        </w:rPr>
        <w:t>Redesign</w:t>
      </w:r>
      <w:r w:rsidRPr="00B96E3C">
        <w:rPr>
          <w:rFonts w:cstheme="minorHAnsi"/>
          <w:color w:val="231F20"/>
          <w:spacing w:val="25"/>
          <w:w w:val="105"/>
          <w:u w:val="single" w:color="231F20"/>
        </w:rPr>
        <w:t xml:space="preserve"> </w:t>
      </w:r>
      <w:r w:rsidRPr="00B96E3C">
        <w:rPr>
          <w:rFonts w:cstheme="minorHAnsi"/>
          <w:color w:val="231F20"/>
          <w:w w:val="105"/>
          <w:u w:val="single" w:color="231F20"/>
        </w:rPr>
        <w:t>supports</w:t>
      </w:r>
      <w:r w:rsidRPr="00B96E3C">
        <w:rPr>
          <w:rFonts w:cstheme="minorHAnsi"/>
          <w:color w:val="231F20"/>
          <w:spacing w:val="25"/>
          <w:w w:val="105"/>
          <w:u w:val="single" w:color="231F20"/>
        </w:rPr>
        <w:t xml:space="preserve"> </w:t>
      </w:r>
      <w:r w:rsidRPr="00B96E3C">
        <w:rPr>
          <w:rFonts w:cstheme="minorHAnsi"/>
          <w:color w:val="231F20"/>
          <w:w w:val="105"/>
          <w:u w:val="single" w:color="231F20"/>
        </w:rPr>
        <w:t>for</w:t>
      </w:r>
      <w:r w:rsidRPr="00B96E3C">
        <w:rPr>
          <w:rFonts w:cstheme="minorHAnsi"/>
          <w:color w:val="231F20"/>
          <w:spacing w:val="25"/>
          <w:w w:val="105"/>
          <w:u w:val="single" w:color="231F20"/>
        </w:rPr>
        <w:t xml:space="preserve"> </w:t>
      </w:r>
      <w:r w:rsidRPr="00B96E3C">
        <w:rPr>
          <w:rFonts w:cstheme="minorHAnsi"/>
          <w:color w:val="231F20"/>
          <w:w w:val="105"/>
          <w:u w:val="single" w:color="231F20"/>
        </w:rPr>
        <w:t>VR</w:t>
      </w:r>
      <w:r w:rsidRPr="00B96E3C">
        <w:rPr>
          <w:rFonts w:cstheme="minorHAnsi"/>
          <w:color w:val="231F20"/>
          <w:spacing w:val="25"/>
          <w:w w:val="105"/>
          <w:u w:val="single" w:color="231F20"/>
        </w:rPr>
        <w:t xml:space="preserve"> </w:t>
      </w:r>
      <w:r w:rsidRPr="00B96E3C">
        <w:rPr>
          <w:rFonts w:cstheme="minorHAnsi"/>
          <w:color w:val="231F20"/>
          <w:w w:val="105"/>
          <w:u w:val="single" w:color="231F20"/>
        </w:rPr>
        <w:t>service</w:t>
      </w:r>
      <w:r w:rsidRPr="00B96E3C">
        <w:rPr>
          <w:rFonts w:cstheme="minorHAnsi"/>
          <w:color w:val="231F20"/>
          <w:spacing w:val="25"/>
          <w:w w:val="105"/>
          <w:u w:val="single" w:color="231F20"/>
        </w:rPr>
        <w:t xml:space="preserve"> </w:t>
      </w:r>
      <w:r w:rsidRPr="00B96E3C">
        <w:rPr>
          <w:rFonts w:cstheme="minorHAnsi"/>
          <w:color w:val="231F20"/>
          <w:w w:val="105"/>
          <w:u w:val="single" w:color="231F20"/>
        </w:rPr>
        <w:t>&amp;</w:t>
      </w:r>
      <w:r w:rsidRPr="00B96E3C">
        <w:rPr>
          <w:rFonts w:cstheme="minorHAnsi"/>
          <w:color w:val="231F20"/>
          <w:spacing w:val="25"/>
          <w:w w:val="105"/>
          <w:u w:val="single" w:color="231F20"/>
        </w:rPr>
        <w:t xml:space="preserve"> </w:t>
      </w:r>
      <w:r w:rsidRPr="00B96E3C">
        <w:rPr>
          <w:rFonts w:cstheme="minorHAnsi"/>
          <w:color w:val="231F20"/>
          <w:w w:val="105"/>
          <w:u w:val="single" w:color="231F20"/>
        </w:rPr>
        <w:t>business</w:t>
      </w:r>
      <w:r w:rsidRPr="00B96E3C">
        <w:rPr>
          <w:rFonts w:cstheme="minorHAnsi"/>
          <w:color w:val="231F20"/>
          <w:spacing w:val="25"/>
          <w:w w:val="105"/>
          <w:u w:val="single" w:color="231F20"/>
        </w:rPr>
        <w:t xml:space="preserve"> </w:t>
      </w:r>
      <w:r w:rsidRPr="00B96E3C">
        <w:rPr>
          <w:rFonts w:cstheme="minorHAnsi"/>
          <w:color w:val="231F20"/>
          <w:w w:val="105"/>
          <w:u w:val="single" w:color="231F20"/>
        </w:rPr>
        <w:t>processes</w:t>
      </w:r>
    </w:p>
    <w:p w14:paraId="183BCEB8" w14:textId="77777777" w:rsidR="00B96E3C" w:rsidRPr="00B96E3C" w:rsidRDefault="00B96E3C" w:rsidP="00D63204">
      <w:pPr>
        <w:widowControl w:val="0"/>
        <w:spacing w:before="139" w:after="0" w:line="240" w:lineRule="auto"/>
        <w:ind w:left="107"/>
        <w:rPr>
          <w:rFonts w:cstheme="minorHAnsi"/>
        </w:rPr>
      </w:pPr>
      <w:r w:rsidRPr="00B96E3C">
        <w:rPr>
          <w:rFonts w:cstheme="minorHAnsi"/>
          <w:b/>
          <w:color w:val="231F20"/>
          <w:w w:val="110"/>
        </w:rPr>
        <w:t>Strategy:</w:t>
      </w:r>
      <w:r w:rsidRPr="00B96E3C">
        <w:rPr>
          <w:rFonts w:cstheme="minorHAnsi"/>
          <w:b/>
          <w:color w:val="231F20"/>
          <w:spacing w:val="-20"/>
          <w:w w:val="110"/>
        </w:rPr>
        <w:t xml:space="preserve"> </w:t>
      </w:r>
      <w:r w:rsidRPr="00B96E3C">
        <w:rPr>
          <w:rFonts w:cstheme="minorHAnsi"/>
          <w:b/>
          <w:color w:val="231F20"/>
          <w:w w:val="110"/>
        </w:rPr>
        <w:t>1.</w:t>
      </w:r>
      <w:r w:rsidRPr="00B96E3C">
        <w:rPr>
          <w:rFonts w:cstheme="minorHAnsi"/>
          <w:b/>
          <w:color w:val="231F20"/>
          <w:spacing w:val="-20"/>
          <w:w w:val="110"/>
        </w:rPr>
        <w:t xml:space="preserve"> </w:t>
      </w:r>
      <w:r w:rsidRPr="00B96E3C">
        <w:rPr>
          <w:rFonts w:cstheme="minorHAnsi"/>
          <w:color w:val="231F20"/>
          <w:w w:val="110"/>
        </w:rPr>
        <w:t>Coordinate</w:t>
      </w:r>
      <w:r w:rsidRPr="00B96E3C">
        <w:rPr>
          <w:rFonts w:cstheme="minorHAnsi"/>
          <w:color w:val="231F20"/>
          <w:spacing w:val="-19"/>
          <w:w w:val="110"/>
        </w:rPr>
        <w:t xml:space="preserve"> </w:t>
      </w:r>
      <w:r w:rsidRPr="00B96E3C">
        <w:rPr>
          <w:rFonts w:cstheme="minorHAnsi"/>
          <w:color w:val="231F20"/>
          <w:w w:val="110"/>
        </w:rPr>
        <w:t>and</w:t>
      </w:r>
      <w:r w:rsidRPr="00B96E3C">
        <w:rPr>
          <w:rFonts w:cstheme="minorHAnsi"/>
          <w:color w:val="231F20"/>
          <w:spacing w:val="-19"/>
          <w:w w:val="110"/>
        </w:rPr>
        <w:t xml:space="preserve"> </w:t>
      </w:r>
      <w:r w:rsidRPr="00B96E3C">
        <w:rPr>
          <w:rFonts w:cstheme="minorHAnsi"/>
          <w:color w:val="231F20"/>
          <w:w w:val="110"/>
        </w:rPr>
        <w:t>develop</w:t>
      </w:r>
      <w:r w:rsidRPr="00B96E3C">
        <w:rPr>
          <w:rFonts w:cstheme="minorHAnsi"/>
          <w:color w:val="231F20"/>
          <w:spacing w:val="-19"/>
          <w:w w:val="110"/>
        </w:rPr>
        <w:t xml:space="preserve"> </w:t>
      </w:r>
      <w:r w:rsidRPr="00B96E3C">
        <w:rPr>
          <w:rFonts w:cstheme="minorHAnsi"/>
          <w:color w:val="231F20"/>
          <w:w w:val="110"/>
        </w:rPr>
        <w:t>the</w:t>
      </w:r>
      <w:r w:rsidRPr="00B96E3C">
        <w:rPr>
          <w:rFonts w:cstheme="minorHAnsi"/>
          <w:color w:val="231F20"/>
          <w:spacing w:val="-19"/>
          <w:w w:val="110"/>
        </w:rPr>
        <w:t xml:space="preserve"> </w:t>
      </w:r>
      <w:r w:rsidRPr="00B96E3C">
        <w:rPr>
          <w:rFonts w:cstheme="minorHAnsi"/>
          <w:color w:val="231F20"/>
          <w:w w:val="110"/>
        </w:rPr>
        <w:t>VR</w:t>
      </w:r>
      <w:r w:rsidRPr="00B96E3C">
        <w:rPr>
          <w:rFonts w:cstheme="minorHAnsi"/>
          <w:color w:val="231F20"/>
          <w:spacing w:val="-19"/>
          <w:w w:val="110"/>
        </w:rPr>
        <w:t xml:space="preserve"> </w:t>
      </w:r>
      <w:r w:rsidRPr="00B96E3C">
        <w:rPr>
          <w:rFonts w:cstheme="minorHAnsi"/>
          <w:color w:val="231F20"/>
          <w:w w:val="110"/>
        </w:rPr>
        <w:t>services</w:t>
      </w:r>
      <w:r w:rsidRPr="00B96E3C">
        <w:rPr>
          <w:rFonts w:cstheme="minorHAnsi"/>
          <w:color w:val="231F20"/>
          <w:spacing w:val="-19"/>
          <w:w w:val="110"/>
        </w:rPr>
        <w:t xml:space="preserve"> </w:t>
      </w:r>
      <w:r w:rsidRPr="00B96E3C">
        <w:rPr>
          <w:rFonts w:cstheme="minorHAnsi"/>
          <w:color w:val="231F20"/>
          <w:w w:val="110"/>
        </w:rPr>
        <w:t>portion</w:t>
      </w:r>
      <w:r w:rsidRPr="00B96E3C">
        <w:rPr>
          <w:rFonts w:cstheme="minorHAnsi"/>
          <w:color w:val="231F20"/>
          <w:spacing w:val="-19"/>
          <w:w w:val="110"/>
        </w:rPr>
        <w:t xml:space="preserve"> </w:t>
      </w:r>
      <w:r w:rsidRPr="00B96E3C">
        <w:rPr>
          <w:rFonts w:cstheme="minorHAnsi"/>
          <w:color w:val="231F20"/>
          <w:w w:val="110"/>
        </w:rPr>
        <w:t>of</w:t>
      </w:r>
      <w:r w:rsidRPr="00B96E3C">
        <w:rPr>
          <w:rFonts w:cstheme="minorHAnsi"/>
          <w:color w:val="231F20"/>
          <w:spacing w:val="-19"/>
          <w:w w:val="110"/>
        </w:rPr>
        <w:t xml:space="preserve"> </w:t>
      </w:r>
      <w:r w:rsidRPr="00B96E3C">
        <w:rPr>
          <w:rFonts w:cstheme="minorHAnsi"/>
          <w:color w:val="231F20"/>
          <w:w w:val="110"/>
        </w:rPr>
        <w:t>the</w:t>
      </w:r>
      <w:r w:rsidRPr="00B96E3C">
        <w:rPr>
          <w:rFonts w:cstheme="minorHAnsi"/>
          <w:color w:val="231F20"/>
          <w:spacing w:val="-19"/>
          <w:w w:val="110"/>
        </w:rPr>
        <w:t xml:space="preserve"> </w:t>
      </w:r>
      <w:r w:rsidRPr="00B96E3C">
        <w:rPr>
          <w:rFonts w:cstheme="minorHAnsi"/>
          <w:color w:val="231F20"/>
          <w:w w:val="110"/>
        </w:rPr>
        <w:t>statewide</w:t>
      </w:r>
      <w:r w:rsidRPr="00B96E3C">
        <w:rPr>
          <w:rFonts w:cstheme="minorHAnsi"/>
          <w:color w:val="231F20"/>
          <w:spacing w:val="-19"/>
          <w:w w:val="110"/>
        </w:rPr>
        <w:t xml:space="preserve"> </w:t>
      </w:r>
      <w:r w:rsidRPr="00B96E3C">
        <w:rPr>
          <w:rFonts w:cstheme="minorHAnsi"/>
          <w:color w:val="231F20"/>
          <w:w w:val="110"/>
        </w:rPr>
        <w:t>plan.</w:t>
      </w:r>
    </w:p>
    <w:p w14:paraId="4976260F" w14:textId="77777777" w:rsidR="00B96E3C" w:rsidRPr="00B96E3C" w:rsidRDefault="00B96E3C" w:rsidP="00D63204">
      <w:pPr>
        <w:widowControl w:val="0"/>
        <w:spacing w:before="139" w:after="0" w:line="240" w:lineRule="auto"/>
        <w:ind w:left="107"/>
        <w:outlineLvl w:val="2"/>
        <w:rPr>
          <w:rFonts w:cstheme="minorHAnsi"/>
        </w:rPr>
      </w:pPr>
      <w:r w:rsidRPr="00B96E3C">
        <w:rPr>
          <w:rFonts w:cstheme="minorHAnsi"/>
          <w:b/>
          <w:bCs/>
          <w:color w:val="231F20"/>
          <w:w w:val="105"/>
        </w:rPr>
        <w:t>Measure of</w:t>
      </w:r>
      <w:r w:rsidRPr="00B96E3C">
        <w:rPr>
          <w:rFonts w:cstheme="minorHAnsi"/>
          <w:b/>
          <w:bCs/>
          <w:color w:val="231F20"/>
          <w:spacing w:val="23"/>
          <w:w w:val="105"/>
        </w:rPr>
        <w:t xml:space="preserve"> </w:t>
      </w:r>
      <w:r w:rsidRPr="00B96E3C">
        <w:rPr>
          <w:rFonts w:cstheme="minorHAnsi"/>
          <w:b/>
          <w:bCs/>
          <w:color w:val="231F20"/>
          <w:w w:val="105"/>
        </w:rPr>
        <w:t>Success:</w:t>
      </w:r>
    </w:p>
    <w:p w14:paraId="549EF6A6" w14:textId="77777777" w:rsidR="00B96E3C" w:rsidRPr="00B96E3C" w:rsidRDefault="00B96E3C" w:rsidP="00D63204">
      <w:pPr>
        <w:pStyle w:val="ListParagraph"/>
        <w:widowControl w:val="0"/>
        <w:numPr>
          <w:ilvl w:val="0"/>
          <w:numId w:val="125"/>
        </w:numPr>
        <w:tabs>
          <w:tab w:val="left" w:pos="668"/>
        </w:tabs>
        <w:spacing w:before="139" w:after="0" w:line="240" w:lineRule="auto"/>
        <w:rPr>
          <w:rFonts w:cstheme="minorHAnsi"/>
          <w:color w:val="231F20"/>
        </w:rPr>
      </w:pPr>
      <w:r w:rsidRPr="00B96E3C">
        <w:rPr>
          <w:rFonts w:cstheme="minorHAnsi"/>
          <w:color w:val="231F20"/>
          <w:w w:val="105"/>
        </w:rPr>
        <w:t>Timely submission of all required</w:t>
      </w:r>
      <w:r w:rsidRPr="00B96E3C">
        <w:rPr>
          <w:rFonts w:cstheme="minorHAnsi"/>
          <w:color w:val="231F20"/>
          <w:spacing w:val="23"/>
          <w:w w:val="105"/>
        </w:rPr>
        <w:t xml:space="preserve"> </w:t>
      </w:r>
      <w:r w:rsidRPr="00B96E3C">
        <w:rPr>
          <w:rFonts w:cstheme="minorHAnsi"/>
          <w:color w:val="231F20"/>
          <w:w w:val="105"/>
        </w:rPr>
        <w:t>information</w:t>
      </w:r>
    </w:p>
    <w:p w14:paraId="7169190A" w14:textId="77777777" w:rsidR="00B96E3C" w:rsidRPr="00B96E3C" w:rsidRDefault="00B96E3C" w:rsidP="00D63204">
      <w:pPr>
        <w:widowControl w:val="0"/>
        <w:spacing w:before="7" w:after="0" w:line="240" w:lineRule="auto"/>
        <w:ind w:left="107"/>
        <w:rPr>
          <w:rFonts w:cstheme="minorHAnsi"/>
        </w:rPr>
      </w:pPr>
    </w:p>
    <w:p w14:paraId="67F2938F" w14:textId="77777777" w:rsidR="00B96E3C" w:rsidRPr="00B96E3C" w:rsidRDefault="00B96E3C" w:rsidP="00D63204">
      <w:pPr>
        <w:widowControl w:val="0"/>
        <w:spacing w:after="0" w:line="240" w:lineRule="auto"/>
        <w:ind w:left="107"/>
        <w:rPr>
          <w:rFonts w:cstheme="minorHAnsi"/>
        </w:rPr>
      </w:pPr>
      <w:r w:rsidRPr="00B96E3C">
        <w:rPr>
          <w:rFonts w:cstheme="minorHAnsi"/>
          <w:b/>
          <w:color w:val="231F20"/>
          <w:w w:val="105"/>
        </w:rPr>
        <w:t>Strategy:</w:t>
      </w:r>
      <w:r w:rsidRPr="00B96E3C">
        <w:rPr>
          <w:rFonts w:cstheme="minorHAnsi"/>
          <w:b/>
          <w:color w:val="231F20"/>
          <w:spacing w:val="16"/>
          <w:w w:val="105"/>
        </w:rPr>
        <w:t xml:space="preserve"> </w:t>
      </w:r>
      <w:r w:rsidRPr="00B96E3C">
        <w:rPr>
          <w:rFonts w:cstheme="minorHAnsi"/>
          <w:b/>
          <w:color w:val="231F20"/>
          <w:w w:val="105"/>
        </w:rPr>
        <w:t>2.</w:t>
      </w:r>
      <w:r w:rsidRPr="00B96E3C">
        <w:rPr>
          <w:rFonts w:cstheme="minorHAnsi"/>
          <w:b/>
          <w:color w:val="231F20"/>
          <w:spacing w:val="16"/>
          <w:w w:val="105"/>
        </w:rPr>
        <w:t xml:space="preserve"> </w:t>
      </w:r>
      <w:r w:rsidRPr="00B96E3C">
        <w:rPr>
          <w:rFonts w:cstheme="minorHAnsi"/>
          <w:color w:val="231F20"/>
          <w:w w:val="105"/>
        </w:rPr>
        <w:t>Design</w:t>
      </w:r>
      <w:r w:rsidRPr="00B96E3C">
        <w:rPr>
          <w:rFonts w:cstheme="minorHAnsi"/>
          <w:color w:val="231F20"/>
          <w:spacing w:val="17"/>
          <w:w w:val="105"/>
        </w:rPr>
        <w:t xml:space="preserve"> </w:t>
      </w:r>
      <w:r w:rsidRPr="00B96E3C">
        <w:rPr>
          <w:rFonts w:cstheme="minorHAnsi"/>
          <w:color w:val="231F20"/>
          <w:w w:val="105"/>
        </w:rPr>
        <w:t>and</w:t>
      </w:r>
      <w:r w:rsidRPr="00B96E3C">
        <w:rPr>
          <w:rFonts w:cstheme="minorHAnsi"/>
          <w:color w:val="231F20"/>
          <w:spacing w:val="17"/>
          <w:w w:val="105"/>
        </w:rPr>
        <w:t xml:space="preserve"> </w:t>
      </w:r>
      <w:r w:rsidRPr="00B96E3C">
        <w:rPr>
          <w:rFonts w:cstheme="minorHAnsi"/>
          <w:color w:val="231F20"/>
          <w:w w:val="105"/>
        </w:rPr>
        <w:t>implement</w:t>
      </w:r>
      <w:r w:rsidRPr="00B96E3C">
        <w:rPr>
          <w:rFonts w:cstheme="minorHAnsi"/>
          <w:color w:val="231F20"/>
          <w:spacing w:val="17"/>
          <w:w w:val="105"/>
        </w:rPr>
        <w:t xml:space="preserve"> </w:t>
      </w:r>
      <w:r w:rsidRPr="00B96E3C">
        <w:rPr>
          <w:rFonts w:cstheme="minorHAnsi"/>
          <w:color w:val="231F20"/>
          <w:w w:val="105"/>
        </w:rPr>
        <w:t>an</w:t>
      </w:r>
      <w:r w:rsidRPr="00B96E3C">
        <w:rPr>
          <w:rFonts w:cstheme="minorHAnsi"/>
          <w:color w:val="231F20"/>
          <w:spacing w:val="17"/>
          <w:w w:val="105"/>
        </w:rPr>
        <w:t xml:space="preserve"> </w:t>
      </w:r>
      <w:r w:rsidRPr="00B96E3C">
        <w:rPr>
          <w:rFonts w:cstheme="minorHAnsi"/>
          <w:color w:val="231F20"/>
          <w:w w:val="105"/>
        </w:rPr>
        <w:t>approach</w:t>
      </w:r>
      <w:r w:rsidRPr="00B96E3C">
        <w:rPr>
          <w:rFonts w:cstheme="minorHAnsi"/>
          <w:color w:val="231F20"/>
          <w:spacing w:val="17"/>
          <w:w w:val="105"/>
        </w:rPr>
        <w:t xml:space="preserve"> </w:t>
      </w:r>
      <w:r w:rsidRPr="00B96E3C">
        <w:rPr>
          <w:rFonts w:cstheme="minorHAnsi"/>
          <w:color w:val="231F20"/>
          <w:w w:val="105"/>
        </w:rPr>
        <w:t>for</w:t>
      </w:r>
      <w:r w:rsidRPr="00B96E3C">
        <w:rPr>
          <w:rFonts w:cstheme="minorHAnsi"/>
          <w:color w:val="231F20"/>
          <w:spacing w:val="17"/>
          <w:w w:val="105"/>
        </w:rPr>
        <w:t xml:space="preserve"> </w:t>
      </w:r>
      <w:r w:rsidRPr="00B96E3C">
        <w:rPr>
          <w:rFonts w:cstheme="minorHAnsi"/>
          <w:color w:val="231F20"/>
          <w:w w:val="105"/>
        </w:rPr>
        <w:t>integration</w:t>
      </w:r>
      <w:r w:rsidRPr="00B96E3C">
        <w:rPr>
          <w:rFonts w:cstheme="minorHAnsi"/>
          <w:color w:val="231F20"/>
          <w:spacing w:val="17"/>
          <w:w w:val="105"/>
        </w:rPr>
        <w:t xml:space="preserve"> </w:t>
      </w:r>
      <w:r w:rsidRPr="00B96E3C">
        <w:rPr>
          <w:rFonts w:cstheme="minorHAnsi"/>
          <w:color w:val="231F20"/>
          <w:w w:val="105"/>
        </w:rPr>
        <w:t>of</w:t>
      </w:r>
      <w:r w:rsidRPr="00B96E3C">
        <w:rPr>
          <w:rFonts w:cstheme="minorHAnsi"/>
          <w:color w:val="231F20"/>
          <w:spacing w:val="17"/>
          <w:w w:val="105"/>
        </w:rPr>
        <w:t xml:space="preserve"> </w:t>
      </w:r>
      <w:r w:rsidRPr="00B96E3C">
        <w:rPr>
          <w:rFonts w:cstheme="minorHAnsi"/>
          <w:color w:val="231F20"/>
          <w:w w:val="105"/>
        </w:rPr>
        <w:t>performance</w:t>
      </w:r>
      <w:r w:rsidRPr="00B96E3C">
        <w:rPr>
          <w:rFonts w:cstheme="minorHAnsi"/>
          <w:color w:val="231F20"/>
          <w:spacing w:val="17"/>
          <w:w w:val="105"/>
        </w:rPr>
        <w:t xml:space="preserve"> </w:t>
      </w:r>
      <w:r w:rsidRPr="00B96E3C">
        <w:rPr>
          <w:rFonts w:cstheme="minorHAnsi"/>
          <w:color w:val="231F20"/>
          <w:w w:val="105"/>
        </w:rPr>
        <w:t>and</w:t>
      </w:r>
      <w:r w:rsidRPr="00B96E3C">
        <w:rPr>
          <w:rFonts w:cstheme="minorHAnsi"/>
          <w:color w:val="231F20"/>
          <w:spacing w:val="17"/>
          <w:w w:val="105"/>
        </w:rPr>
        <w:t xml:space="preserve"> </w:t>
      </w:r>
      <w:r w:rsidRPr="00B96E3C">
        <w:rPr>
          <w:rFonts w:cstheme="minorHAnsi"/>
          <w:color w:val="231F20"/>
          <w:w w:val="105"/>
        </w:rPr>
        <w:t>business</w:t>
      </w:r>
      <w:r w:rsidRPr="00B96E3C">
        <w:rPr>
          <w:rFonts w:cstheme="minorHAnsi"/>
          <w:color w:val="231F20"/>
          <w:spacing w:val="17"/>
          <w:w w:val="105"/>
        </w:rPr>
        <w:t xml:space="preserve"> </w:t>
      </w:r>
      <w:r w:rsidRPr="00B96E3C">
        <w:rPr>
          <w:rFonts w:cstheme="minorHAnsi"/>
          <w:color w:val="231F20"/>
          <w:w w:val="105"/>
        </w:rPr>
        <w:t>intelligence</w:t>
      </w:r>
      <w:r w:rsidRPr="00B96E3C">
        <w:rPr>
          <w:rFonts w:cstheme="minorHAnsi"/>
          <w:color w:val="231F20"/>
          <w:w w:val="107"/>
        </w:rPr>
        <w:t xml:space="preserve"> </w:t>
      </w:r>
      <w:r w:rsidRPr="00B96E3C">
        <w:rPr>
          <w:rFonts w:cstheme="minorHAnsi"/>
          <w:color w:val="231F20"/>
          <w:w w:val="105"/>
        </w:rPr>
        <w:t>information.</w:t>
      </w:r>
    </w:p>
    <w:p w14:paraId="6013C9C3" w14:textId="77777777" w:rsidR="00B96E3C" w:rsidRPr="00B96E3C" w:rsidRDefault="00B96E3C" w:rsidP="00D63204">
      <w:pPr>
        <w:widowControl w:val="0"/>
        <w:spacing w:before="145" w:after="0" w:line="240" w:lineRule="auto"/>
        <w:ind w:left="107"/>
        <w:outlineLvl w:val="2"/>
        <w:rPr>
          <w:rFonts w:cstheme="minorHAnsi"/>
        </w:rPr>
      </w:pPr>
      <w:r w:rsidRPr="00B96E3C">
        <w:rPr>
          <w:rFonts w:cstheme="minorHAnsi"/>
          <w:b/>
          <w:bCs/>
          <w:color w:val="231F20"/>
          <w:w w:val="105"/>
        </w:rPr>
        <w:t>Measures of</w:t>
      </w:r>
      <w:r w:rsidRPr="00B96E3C">
        <w:rPr>
          <w:rFonts w:cstheme="minorHAnsi"/>
          <w:b/>
          <w:bCs/>
          <w:color w:val="231F20"/>
          <w:spacing w:val="35"/>
          <w:w w:val="105"/>
        </w:rPr>
        <w:t xml:space="preserve"> </w:t>
      </w:r>
      <w:r w:rsidRPr="00B96E3C">
        <w:rPr>
          <w:rFonts w:cstheme="minorHAnsi"/>
          <w:b/>
          <w:bCs/>
          <w:color w:val="231F20"/>
          <w:w w:val="105"/>
        </w:rPr>
        <w:t>Success:</w:t>
      </w:r>
    </w:p>
    <w:p w14:paraId="72301E7F" w14:textId="791C2215" w:rsidR="00B96E3C" w:rsidRPr="00B96E3C" w:rsidRDefault="00B96E3C" w:rsidP="00D63204">
      <w:pPr>
        <w:pStyle w:val="ListParagraph"/>
        <w:widowControl w:val="0"/>
        <w:numPr>
          <w:ilvl w:val="0"/>
          <w:numId w:val="125"/>
        </w:numPr>
        <w:tabs>
          <w:tab w:val="left" w:pos="668"/>
        </w:tabs>
        <w:spacing w:before="139" w:after="0" w:line="240" w:lineRule="auto"/>
        <w:rPr>
          <w:rFonts w:cstheme="minorHAnsi"/>
          <w:color w:val="231F20"/>
        </w:rPr>
      </w:pPr>
      <w:r w:rsidRPr="00B96E3C">
        <w:rPr>
          <w:rFonts w:cstheme="minorHAnsi"/>
          <w:color w:val="231F20"/>
          <w:w w:val="105"/>
        </w:rPr>
        <w:t>Number of revised management reports</w:t>
      </w:r>
      <w:r w:rsidRPr="00B96E3C">
        <w:rPr>
          <w:rFonts w:cstheme="minorHAnsi"/>
          <w:color w:val="231F20"/>
          <w:spacing w:val="25"/>
          <w:w w:val="105"/>
        </w:rPr>
        <w:t xml:space="preserve"> </w:t>
      </w:r>
      <w:r w:rsidRPr="00B96E3C">
        <w:rPr>
          <w:rFonts w:cstheme="minorHAnsi"/>
          <w:color w:val="231F20"/>
          <w:w w:val="105"/>
        </w:rPr>
        <w:t>implemented</w:t>
      </w:r>
    </w:p>
    <w:p w14:paraId="47547BDC" w14:textId="77777777" w:rsidR="00B96E3C" w:rsidRPr="00B96E3C" w:rsidRDefault="00B96E3C" w:rsidP="00D63204">
      <w:pPr>
        <w:pStyle w:val="ListParagraph"/>
        <w:widowControl w:val="0"/>
        <w:tabs>
          <w:tab w:val="left" w:pos="668"/>
        </w:tabs>
        <w:spacing w:before="139" w:after="0" w:line="240" w:lineRule="auto"/>
        <w:ind w:left="827"/>
        <w:rPr>
          <w:rFonts w:cstheme="minorHAnsi"/>
          <w:color w:val="231F20"/>
        </w:rPr>
      </w:pPr>
    </w:p>
    <w:p w14:paraId="3B0ED41D" w14:textId="77777777" w:rsidR="00B96E3C" w:rsidRPr="00B96E3C" w:rsidRDefault="00B96E3C" w:rsidP="00D63204">
      <w:pPr>
        <w:pStyle w:val="ListParagraph"/>
        <w:widowControl w:val="0"/>
        <w:numPr>
          <w:ilvl w:val="0"/>
          <w:numId w:val="125"/>
        </w:numPr>
        <w:tabs>
          <w:tab w:val="left" w:pos="668"/>
        </w:tabs>
        <w:spacing w:before="139" w:after="0" w:line="240" w:lineRule="auto"/>
        <w:rPr>
          <w:rFonts w:cstheme="minorHAnsi"/>
          <w:color w:val="231F20"/>
        </w:rPr>
      </w:pPr>
      <w:r w:rsidRPr="00B96E3C">
        <w:rPr>
          <w:rFonts w:cstheme="minorHAnsi"/>
          <w:color w:val="231F20"/>
          <w:w w:val="105"/>
        </w:rPr>
        <w:t>Satisfaction of affected VR Managers with revised</w:t>
      </w:r>
      <w:r w:rsidRPr="00B96E3C">
        <w:rPr>
          <w:rFonts w:cstheme="minorHAnsi"/>
          <w:color w:val="231F20"/>
          <w:spacing w:val="38"/>
          <w:w w:val="105"/>
        </w:rPr>
        <w:t xml:space="preserve"> </w:t>
      </w:r>
      <w:r w:rsidRPr="00B96E3C">
        <w:rPr>
          <w:rFonts w:cstheme="minorHAnsi"/>
          <w:color w:val="231F20"/>
          <w:w w:val="105"/>
        </w:rPr>
        <w:t>reports</w:t>
      </w:r>
    </w:p>
    <w:p w14:paraId="42EC3E9E" w14:textId="77777777" w:rsidR="00B96E3C" w:rsidRPr="00B96E3C" w:rsidRDefault="00B96E3C" w:rsidP="00D63204">
      <w:pPr>
        <w:widowControl w:val="0"/>
        <w:spacing w:before="9" w:after="0" w:line="240" w:lineRule="auto"/>
        <w:ind w:left="107"/>
        <w:rPr>
          <w:rFonts w:cstheme="minorHAnsi"/>
        </w:rPr>
      </w:pPr>
    </w:p>
    <w:p w14:paraId="7C2B0451" w14:textId="77777777" w:rsidR="00B96E3C" w:rsidRPr="00B96E3C" w:rsidRDefault="00B96E3C" w:rsidP="00D63204">
      <w:pPr>
        <w:widowControl w:val="0"/>
        <w:spacing w:after="0" w:line="240" w:lineRule="auto"/>
        <w:ind w:left="107"/>
        <w:outlineLvl w:val="2"/>
        <w:rPr>
          <w:rFonts w:cstheme="minorHAnsi"/>
        </w:rPr>
      </w:pPr>
      <w:r w:rsidRPr="00B96E3C">
        <w:rPr>
          <w:rFonts w:cstheme="minorHAnsi"/>
          <w:b/>
          <w:bCs/>
          <w:color w:val="231F20"/>
          <w:w w:val="110"/>
        </w:rPr>
        <w:t>Goal</w:t>
      </w:r>
      <w:r w:rsidRPr="00B96E3C">
        <w:rPr>
          <w:rFonts w:cstheme="minorHAnsi"/>
          <w:b/>
          <w:bCs/>
          <w:color w:val="231F20"/>
          <w:spacing w:val="-7"/>
          <w:w w:val="110"/>
        </w:rPr>
        <w:t xml:space="preserve"> </w:t>
      </w:r>
      <w:r w:rsidRPr="00B96E3C">
        <w:rPr>
          <w:rFonts w:cstheme="minorHAnsi"/>
          <w:b/>
          <w:bCs/>
          <w:color w:val="231F20"/>
          <w:w w:val="110"/>
        </w:rPr>
        <w:t>2:</w:t>
      </w:r>
      <w:r w:rsidRPr="00B96E3C">
        <w:rPr>
          <w:rFonts w:cstheme="minorHAnsi"/>
          <w:b/>
          <w:bCs/>
          <w:color w:val="231F20"/>
          <w:spacing w:val="-7"/>
          <w:w w:val="110"/>
        </w:rPr>
        <w:t xml:space="preserve"> </w:t>
      </w:r>
      <w:r w:rsidRPr="00B96E3C">
        <w:rPr>
          <w:rFonts w:cstheme="minorHAnsi"/>
          <w:b/>
          <w:bCs/>
          <w:color w:val="231F20"/>
          <w:w w:val="110"/>
        </w:rPr>
        <w:t>Ensure</w:t>
      </w:r>
      <w:r w:rsidRPr="00B96E3C">
        <w:rPr>
          <w:rFonts w:cstheme="minorHAnsi"/>
          <w:b/>
          <w:bCs/>
          <w:color w:val="231F20"/>
          <w:spacing w:val="-7"/>
          <w:w w:val="110"/>
        </w:rPr>
        <w:t xml:space="preserve"> </w:t>
      </w:r>
      <w:r w:rsidRPr="00B96E3C">
        <w:rPr>
          <w:rFonts w:cstheme="minorHAnsi"/>
          <w:b/>
          <w:bCs/>
          <w:color w:val="231F20"/>
          <w:w w:val="110"/>
        </w:rPr>
        <w:t>Employee</w:t>
      </w:r>
      <w:r w:rsidRPr="00B96E3C">
        <w:rPr>
          <w:rFonts w:cstheme="minorHAnsi"/>
          <w:b/>
          <w:bCs/>
          <w:color w:val="231F20"/>
          <w:spacing w:val="-7"/>
          <w:w w:val="110"/>
        </w:rPr>
        <w:t xml:space="preserve"> </w:t>
      </w:r>
      <w:r w:rsidRPr="00B96E3C">
        <w:rPr>
          <w:rFonts w:cstheme="minorHAnsi"/>
          <w:b/>
          <w:bCs/>
          <w:color w:val="231F20"/>
          <w:w w:val="110"/>
        </w:rPr>
        <w:t>success</w:t>
      </w:r>
      <w:r w:rsidRPr="00B96E3C">
        <w:rPr>
          <w:rFonts w:cstheme="minorHAnsi"/>
          <w:b/>
          <w:bCs/>
          <w:color w:val="231F20"/>
          <w:spacing w:val="-7"/>
          <w:w w:val="110"/>
        </w:rPr>
        <w:t xml:space="preserve"> </w:t>
      </w:r>
      <w:r w:rsidRPr="00B96E3C">
        <w:rPr>
          <w:rFonts w:cstheme="minorHAnsi"/>
          <w:b/>
          <w:bCs/>
          <w:color w:val="231F20"/>
          <w:w w:val="110"/>
        </w:rPr>
        <w:t>and</w:t>
      </w:r>
      <w:r w:rsidRPr="00B96E3C">
        <w:rPr>
          <w:rFonts w:cstheme="minorHAnsi"/>
          <w:b/>
          <w:bCs/>
          <w:color w:val="231F20"/>
          <w:spacing w:val="-7"/>
          <w:w w:val="110"/>
        </w:rPr>
        <w:t xml:space="preserve"> </w:t>
      </w:r>
      <w:r w:rsidRPr="00B96E3C">
        <w:rPr>
          <w:rFonts w:cstheme="minorHAnsi"/>
          <w:b/>
          <w:bCs/>
          <w:color w:val="231F20"/>
          <w:w w:val="110"/>
        </w:rPr>
        <w:t>satisfaction</w:t>
      </w:r>
      <w:r w:rsidRPr="00B96E3C">
        <w:rPr>
          <w:rFonts w:cstheme="minorHAnsi"/>
          <w:b/>
          <w:bCs/>
          <w:color w:val="231F20"/>
          <w:spacing w:val="-7"/>
          <w:w w:val="110"/>
        </w:rPr>
        <w:t xml:space="preserve"> </w:t>
      </w:r>
      <w:r w:rsidRPr="00B96E3C">
        <w:rPr>
          <w:rFonts w:cstheme="minorHAnsi"/>
          <w:b/>
          <w:bCs/>
          <w:color w:val="231F20"/>
          <w:w w:val="110"/>
        </w:rPr>
        <w:t>by</w:t>
      </w:r>
      <w:r w:rsidRPr="00B96E3C">
        <w:rPr>
          <w:rFonts w:cstheme="minorHAnsi"/>
          <w:b/>
          <w:bCs/>
          <w:color w:val="231F20"/>
          <w:spacing w:val="-7"/>
          <w:w w:val="110"/>
        </w:rPr>
        <w:t xml:space="preserve"> </w:t>
      </w:r>
      <w:r w:rsidRPr="00B96E3C">
        <w:rPr>
          <w:rFonts w:cstheme="minorHAnsi"/>
          <w:b/>
          <w:bCs/>
          <w:color w:val="231F20"/>
          <w:w w:val="110"/>
        </w:rPr>
        <w:t>improving</w:t>
      </w:r>
      <w:r w:rsidRPr="00B96E3C">
        <w:rPr>
          <w:rFonts w:cstheme="minorHAnsi"/>
          <w:b/>
          <w:bCs/>
          <w:color w:val="231F20"/>
          <w:spacing w:val="-7"/>
          <w:w w:val="110"/>
        </w:rPr>
        <w:t xml:space="preserve"> </w:t>
      </w:r>
      <w:r w:rsidRPr="00B96E3C">
        <w:rPr>
          <w:rFonts w:cstheme="minorHAnsi"/>
          <w:b/>
          <w:bCs/>
          <w:color w:val="231F20"/>
          <w:w w:val="110"/>
        </w:rPr>
        <w:t>development</w:t>
      </w:r>
      <w:r w:rsidRPr="00B96E3C">
        <w:rPr>
          <w:rFonts w:cstheme="minorHAnsi"/>
          <w:b/>
          <w:bCs/>
          <w:color w:val="231F20"/>
          <w:spacing w:val="-7"/>
          <w:w w:val="110"/>
        </w:rPr>
        <w:t xml:space="preserve"> </w:t>
      </w:r>
      <w:r w:rsidRPr="00B96E3C">
        <w:rPr>
          <w:rFonts w:cstheme="minorHAnsi"/>
          <w:b/>
          <w:bCs/>
          <w:color w:val="231F20"/>
          <w:w w:val="110"/>
        </w:rPr>
        <w:t>opportunities</w:t>
      </w:r>
      <w:r w:rsidRPr="00B96E3C">
        <w:rPr>
          <w:rFonts w:cstheme="minorHAnsi"/>
          <w:b/>
          <w:bCs/>
          <w:color w:val="231F20"/>
          <w:spacing w:val="-7"/>
          <w:w w:val="110"/>
        </w:rPr>
        <w:t xml:space="preserve"> </w:t>
      </w:r>
      <w:r w:rsidRPr="00B96E3C">
        <w:rPr>
          <w:rFonts w:cstheme="minorHAnsi"/>
          <w:b/>
          <w:bCs/>
          <w:color w:val="231F20"/>
          <w:w w:val="110"/>
        </w:rPr>
        <w:t>and</w:t>
      </w:r>
      <w:r w:rsidRPr="00B96E3C">
        <w:rPr>
          <w:rFonts w:cstheme="minorHAnsi"/>
          <w:b/>
          <w:bCs/>
          <w:color w:val="231F20"/>
          <w:w w:val="108"/>
        </w:rPr>
        <w:t xml:space="preserve"> </w:t>
      </w:r>
      <w:r w:rsidRPr="00B96E3C">
        <w:rPr>
          <w:rFonts w:cstheme="minorHAnsi"/>
          <w:b/>
          <w:bCs/>
          <w:color w:val="231F20"/>
          <w:w w:val="105"/>
        </w:rPr>
        <w:t>workplace</w:t>
      </w:r>
      <w:r w:rsidRPr="00B96E3C">
        <w:rPr>
          <w:rFonts w:cstheme="minorHAnsi"/>
          <w:b/>
          <w:bCs/>
          <w:color w:val="231F20"/>
          <w:spacing w:val="44"/>
          <w:w w:val="105"/>
        </w:rPr>
        <w:t xml:space="preserve"> </w:t>
      </w:r>
      <w:r w:rsidRPr="00B96E3C">
        <w:rPr>
          <w:rFonts w:cstheme="minorHAnsi"/>
          <w:b/>
          <w:bCs/>
          <w:color w:val="231F20"/>
          <w:w w:val="105"/>
        </w:rPr>
        <w:t>environment.</w:t>
      </w:r>
    </w:p>
    <w:p w14:paraId="19519E39" w14:textId="77777777" w:rsidR="00B96E3C" w:rsidRPr="00B96E3C" w:rsidRDefault="00B96E3C" w:rsidP="00D63204">
      <w:pPr>
        <w:widowControl w:val="0"/>
        <w:spacing w:before="145" w:after="0" w:line="240" w:lineRule="auto"/>
        <w:ind w:left="107"/>
        <w:rPr>
          <w:rFonts w:cstheme="minorHAnsi"/>
        </w:rPr>
      </w:pPr>
      <w:r w:rsidRPr="00B96E3C">
        <w:rPr>
          <w:rFonts w:cstheme="minorHAnsi"/>
          <w:color w:val="231F20"/>
          <w:w w:val="110"/>
          <w:u w:val="single" w:color="231F20"/>
        </w:rPr>
        <w:t>Objective</w:t>
      </w:r>
      <w:r w:rsidRPr="00B96E3C">
        <w:rPr>
          <w:rFonts w:cstheme="minorHAnsi"/>
          <w:color w:val="231F20"/>
          <w:spacing w:val="-24"/>
          <w:w w:val="110"/>
          <w:u w:val="single" w:color="231F20"/>
        </w:rPr>
        <w:t xml:space="preserve"> </w:t>
      </w:r>
      <w:r w:rsidRPr="00B96E3C">
        <w:rPr>
          <w:rFonts w:cstheme="minorHAnsi"/>
          <w:color w:val="231F20"/>
          <w:spacing w:val="-5"/>
          <w:w w:val="110"/>
          <w:u w:val="single" w:color="231F20"/>
        </w:rPr>
        <w:t>2.1:</w:t>
      </w:r>
      <w:r w:rsidRPr="00B96E3C">
        <w:rPr>
          <w:rFonts w:cstheme="minorHAnsi"/>
          <w:color w:val="231F20"/>
          <w:spacing w:val="-24"/>
          <w:w w:val="110"/>
          <w:u w:val="single" w:color="231F20"/>
        </w:rPr>
        <w:t xml:space="preserve"> </w:t>
      </w:r>
      <w:r w:rsidRPr="00B96E3C">
        <w:rPr>
          <w:rFonts w:cstheme="minorHAnsi"/>
          <w:color w:val="231F20"/>
          <w:w w:val="110"/>
          <w:u w:val="single" w:color="231F20"/>
        </w:rPr>
        <w:t>Provide</w:t>
      </w:r>
      <w:r w:rsidRPr="00B96E3C">
        <w:rPr>
          <w:rFonts w:cstheme="minorHAnsi"/>
          <w:color w:val="231F20"/>
          <w:spacing w:val="-24"/>
          <w:w w:val="110"/>
          <w:u w:val="single" w:color="231F20"/>
        </w:rPr>
        <w:t xml:space="preserve"> </w:t>
      </w:r>
      <w:r w:rsidRPr="00B96E3C">
        <w:rPr>
          <w:rFonts w:cstheme="minorHAnsi"/>
          <w:color w:val="231F20"/>
          <w:w w:val="110"/>
          <w:u w:val="single" w:color="231F20"/>
        </w:rPr>
        <w:t>a</w:t>
      </w:r>
      <w:r w:rsidRPr="00B96E3C">
        <w:rPr>
          <w:rFonts w:cstheme="minorHAnsi"/>
          <w:color w:val="231F20"/>
          <w:spacing w:val="-24"/>
          <w:w w:val="110"/>
          <w:u w:val="single" w:color="231F20"/>
        </w:rPr>
        <w:t xml:space="preserve"> </w:t>
      </w:r>
      <w:r w:rsidRPr="00B96E3C">
        <w:rPr>
          <w:rFonts w:cstheme="minorHAnsi"/>
          <w:color w:val="231F20"/>
          <w:w w:val="110"/>
          <w:u w:val="single" w:color="231F20"/>
        </w:rPr>
        <w:t>comprehensive</w:t>
      </w:r>
      <w:r w:rsidRPr="00B96E3C">
        <w:rPr>
          <w:rFonts w:cstheme="minorHAnsi"/>
          <w:color w:val="231F20"/>
          <w:spacing w:val="-24"/>
          <w:w w:val="110"/>
          <w:u w:val="single" w:color="231F20"/>
        </w:rPr>
        <w:t xml:space="preserve"> </w:t>
      </w:r>
      <w:r w:rsidRPr="00B96E3C">
        <w:rPr>
          <w:rFonts w:cstheme="minorHAnsi"/>
          <w:color w:val="231F20"/>
          <w:w w:val="110"/>
          <w:u w:val="single" w:color="231F20"/>
        </w:rPr>
        <w:t>workforce</w:t>
      </w:r>
      <w:r w:rsidRPr="00B96E3C">
        <w:rPr>
          <w:rFonts w:cstheme="minorHAnsi"/>
          <w:color w:val="231F20"/>
          <w:spacing w:val="-24"/>
          <w:w w:val="110"/>
          <w:u w:val="single" w:color="231F20"/>
        </w:rPr>
        <w:t xml:space="preserve"> </w:t>
      </w:r>
      <w:r w:rsidRPr="00B96E3C">
        <w:rPr>
          <w:rFonts w:cstheme="minorHAnsi"/>
          <w:color w:val="231F20"/>
          <w:w w:val="110"/>
          <w:u w:val="single" w:color="231F20"/>
        </w:rPr>
        <w:t>planning</w:t>
      </w:r>
      <w:r w:rsidRPr="00B96E3C">
        <w:rPr>
          <w:rFonts w:cstheme="minorHAnsi"/>
          <w:color w:val="231F20"/>
          <w:spacing w:val="-24"/>
          <w:w w:val="110"/>
          <w:u w:val="single" w:color="231F20"/>
        </w:rPr>
        <w:t xml:space="preserve"> </w:t>
      </w:r>
      <w:r w:rsidRPr="00B96E3C">
        <w:rPr>
          <w:rFonts w:cstheme="minorHAnsi"/>
          <w:color w:val="231F20"/>
          <w:w w:val="110"/>
          <w:u w:val="single" w:color="231F20"/>
        </w:rPr>
        <w:t>and</w:t>
      </w:r>
      <w:r w:rsidRPr="00B96E3C">
        <w:rPr>
          <w:rFonts w:cstheme="minorHAnsi"/>
          <w:color w:val="231F20"/>
          <w:spacing w:val="-24"/>
          <w:w w:val="110"/>
          <w:u w:val="single" w:color="231F20"/>
        </w:rPr>
        <w:t xml:space="preserve"> </w:t>
      </w:r>
      <w:r w:rsidRPr="00B96E3C">
        <w:rPr>
          <w:rFonts w:cstheme="minorHAnsi"/>
          <w:color w:val="231F20"/>
          <w:w w:val="110"/>
          <w:u w:val="single" w:color="231F20"/>
        </w:rPr>
        <w:t>development</w:t>
      </w:r>
      <w:r w:rsidRPr="00B96E3C">
        <w:rPr>
          <w:rFonts w:cstheme="minorHAnsi"/>
          <w:color w:val="231F20"/>
          <w:spacing w:val="-24"/>
          <w:w w:val="110"/>
          <w:u w:val="single" w:color="231F20"/>
        </w:rPr>
        <w:t xml:space="preserve"> </w:t>
      </w:r>
      <w:r w:rsidRPr="00B96E3C">
        <w:rPr>
          <w:rFonts w:cstheme="minorHAnsi"/>
          <w:color w:val="231F20"/>
          <w:w w:val="110"/>
          <w:u w:val="single" w:color="231F20"/>
        </w:rPr>
        <w:t>system</w:t>
      </w:r>
    </w:p>
    <w:p w14:paraId="6B2FC1DA" w14:textId="77777777" w:rsidR="00B96E3C" w:rsidRPr="00B96E3C" w:rsidRDefault="00B96E3C" w:rsidP="00D63204">
      <w:pPr>
        <w:widowControl w:val="0"/>
        <w:spacing w:before="139" w:after="0" w:line="240" w:lineRule="auto"/>
        <w:ind w:left="107"/>
        <w:rPr>
          <w:rFonts w:cstheme="minorHAnsi"/>
        </w:rPr>
      </w:pPr>
      <w:r w:rsidRPr="00B96E3C">
        <w:rPr>
          <w:rFonts w:cstheme="minorHAnsi"/>
          <w:b/>
          <w:color w:val="231F20"/>
          <w:w w:val="105"/>
        </w:rPr>
        <w:t xml:space="preserve">Strategy: 1. </w:t>
      </w:r>
      <w:r w:rsidRPr="00B96E3C">
        <w:rPr>
          <w:rFonts w:cstheme="minorHAnsi"/>
          <w:color w:val="231F20"/>
          <w:w w:val="105"/>
        </w:rPr>
        <w:t>Implement employee onboarding and mentoring processes statewide.</w:t>
      </w:r>
    </w:p>
    <w:p w14:paraId="222CBD89" w14:textId="77777777" w:rsidR="00B96E3C" w:rsidRPr="00B96E3C" w:rsidRDefault="00B96E3C" w:rsidP="00D63204">
      <w:pPr>
        <w:widowControl w:val="0"/>
        <w:spacing w:before="139" w:after="0" w:line="240" w:lineRule="auto"/>
        <w:ind w:left="107"/>
        <w:outlineLvl w:val="2"/>
        <w:rPr>
          <w:rFonts w:cstheme="minorHAnsi"/>
        </w:rPr>
      </w:pPr>
      <w:r w:rsidRPr="00B96E3C">
        <w:rPr>
          <w:rFonts w:cstheme="minorHAnsi"/>
          <w:b/>
          <w:bCs/>
          <w:color w:val="231F20"/>
          <w:w w:val="105"/>
        </w:rPr>
        <w:t>Measures of</w:t>
      </w:r>
      <w:r w:rsidRPr="00B96E3C">
        <w:rPr>
          <w:rFonts w:cstheme="minorHAnsi"/>
          <w:b/>
          <w:bCs/>
          <w:color w:val="231F20"/>
          <w:spacing w:val="35"/>
          <w:w w:val="105"/>
        </w:rPr>
        <w:t xml:space="preserve"> </w:t>
      </w:r>
      <w:r w:rsidRPr="00B96E3C">
        <w:rPr>
          <w:rFonts w:cstheme="minorHAnsi"/>
          <w:b/>
          <w:bCs/>
          <w:color w:val="231F20"/>
          <w:w w:val="105"/>
        </w:rPr>
        <w:t>Success:</w:t>
      </w:r>
    </w:p>
    <w:p w14:paraId="296FF5A1" w14:textId="02E5A60E" w:rsidR="00B96E3C" w:rsidRPr="00B96E3C" w:rsidRDefault="00B96E3C" w:rsidP="00D63204">
      <w:pPr>
        <w:pStyle w:val="ListParagraph"/>
        <w:widowControl w:val="0"/>
        <w:numPr>
          <w:ilvl w:val="0"/>
          <w:numId w:val="126"/>
        </w:numPr>
        <w:spacing w:before="139" w:after="0" w:line="240" w:lineRule="auto"/>
        <w:rPr>
          <w:rFonts w:cstheme="minorHAnsi"/>
          <w:color w:val="231F20"/>
        </w:rPr>
      </w:pPr>
      <w:r w:rsidRPr="00B96E3C">
        <w:rPr>
          <w:rFonts w:cstheme="minorHAnsi"/>
          <w:color w:val="231F20"/>
          <w:w w:val="105"/>
        </w:rPr>
        <w:t>Percentage of new employees completing all requirements within 90</w:t>
      </w:r>
      <w:r w:rsidRPr="00B96E3C">
        <w:rPr>
          <w:rFonts w:cstheme="minorHAnsi"/>
          <w:color w:val="231F20"/>
          <w:spacing w:val="11"/>
          <w:w w:val="105"/>
        </w:rPr>
        <w:t xml:space="preserve"> </w:t>
      </w:r>
      <w:r w:rsidRPr="00B96E3C">
        <w:rPr>
          <w:rFonts w:cstheme="minorHAnsi"/>
          <w:color w:val="231F20"/>
          <w:w w:val="105"/>
        </w:rPr>
        <w:t>days</w:t>
      </w:r>
    </w:p>
    <w:p w14:paraId="3F2018B0" w14:textId="77777777" w:rsidR="00B96E3C" w:rsidRPr="00B96E3C" w:rsidRDefault="00B96E3C" w:rsidP="00D63204">
      <w:pPr>
        <w:pStyle w:val="ListParagraph"/>
        <w:widowControl w:val="0"/>
        <w:spacing w:before="139" w:after="0" w:line="240" w:lineRule="auto"/>
        <w:ind w:left="827"/>
        <w:rPr>
          <w:rFonts w:cstheme="minorHAnsi"/>
          <w:color w:val="231F20"/>
        </w:rPr>
      </w:pPr>
    </w:p>
    <w:p w14:paraId="472EF88E" w14:textId="00EB0C66" w:rsidR="00B96E3C" w:rsidRPr="00B96E3C" w:rsidRDefault="00B96E3C" w:rsidP="00D63204">
      <w:pPr>
        <w:pStyle w:val="ListParagraph"/>
        <w:widowControl w:val="0"/>
        <w:numPr>
          <w:ilvl w:val="0"/>
          <w:numId w:val="126"/>
        </w:numPr>
        <w:spacing w:before="139" w:after="0" w:line="240" w:lineRule="auto"/>
        <w:rPr>
          <w:rFonts w:cstheme="minorHAnsi"/>
          <w:color w:val="231F20"/>
        </w:rPr>
      </w:pPr>
      <w:r w:rsidRPr="00B96E3C">
        <w:rPr>
          <w:rFonts w:cstheme="minorHAnsi"/>
          <w:color w:val="231F20"/>
          <w:w w:val="105"/>
        </w:rPr>
        <w:t>Percentage of new employees assigned a mentor within 10 days from start</w:t>
      </w:r>
      <w:r w:rsidRPr="00B96E3C">
        <w:rPr>
          <w:rFonts w:cstheme="minorHAnsi"/>
          <w:color w:val="231F20"/>
          <w:spacing w:val="22"/>
          <w:w w:val="105"/>
        </w:rPr>
        <w:t xml:space="preserve"> </w:t>
      </w:r>
      <w:r w:rsidRPr="00B96E3C">
        <w:rPr>
          <w:rFonts w:cstheme="minorHAnsi"/>
          <w:color w:val="231F20"/>
          <w:w w:val="105"/>
        </w:rPr>
        <w:t>date</w:t>
      </w:r>
    </w:p>
    <w:p w14:paraId="544748B8" w14:textId="77777777" w:rsidR="00B96E3C" w:rsidRPr="00B96E3C" w:rsidRDefault="00B96E3C" w:rsidP="00D63204">
      <w:pPr>
        <w:pStyle w:val="ListParagraph"/>
        <w:widowControl w:val="0"/>
        <w:spacing w:before="139" w:after="0" w:line="240" w:lineRule="auto"/>
        <w:ind w:left="827"/>
        <w:rPr>
          <w:rFonts w:cstheme="minorHAnsi"/>
          <w:color w:val="231F20"/>
        </w:rPr>
      </w:pPr>
    </w:p>
    <w:p w14:paraId="70023BF8" w14:textId="77777777" w:rsidR="00B96E3C" w:rsidRPr="00B96E3C" w:rsidRDefault="00B96E3C" w:rsidP="00D63204">
      <w:pPr>
        <w:pStyle w:val="ListParagraph"/>
        <w:widowControl w:val="0"/>
        <w:numPr>
          <w:ilvl w:val="0"/>
          <w:numId w:val="126"/>
        </w:numPr>
        <w:spacing w:before="139" w:after="0" w:line="240" w:lineRule="auto"/>
        <w:rPr>
          <w:rFonts w:cstheme="minorHAnsi"/>
          <w:color w:val="231F20"/>
        </w:rPr>
      </w:pPr>
      <w:r w:rsidRPr="00B96E3C">
        <w:rPr>
          <w:rFonts w:cstheme="minorHAnsi"/>
          <w:color w:val="231F20"/>
          <w:w w:val="105"/>
        </w:rPr>
        <w:t>Protégé/mentor/supervisor satisfaction</w:t>
      </w:r>
      <w:r w:rsidRPr="00B96E3C">
        <w:rPr>
          <w:rFonts w:cstheme="minorHAnsi"/>
          <w:color w:val="231F20"/>
          <w:spacing w:val="9"/>
          <w:w w:val="105"/>
        </w:rPr>
        <w:t xml:space="preserve"> </w:t>
      </w:r>
      <w:r w:rsidRPr="00B96E3C">
        <w:rPr>
          <w:rFonts w:cstheme="minorHAnsi"/>
          <w:color w:val="231F20"/>
          <w:w w:val="105"/>
        </w:rPr>
        <w:t>ratings</w:t>
      </w:r>
    </w:p>
    <w:p w14:paraId="20C397E0" w14:textId="77777777" w:rsidR="00B96E3C" w:rsidRPr="00B96E3C" w:rsidRDefault="00B96E3C" w:rsidP="00D63204">
      <w:pPr>
        <w:widowControl w:val="0"/>
        <w:spacing w:after="0" w:line="240" w:lineRule="auto"/>
        <w:ind w:left="107"/>
        <w:rPr>
          <w:rFonts w:cstheme="minorHAnsi"/>
        </w:rPr>
      </w:pPr>
    </w:p>
    <w:p w14:paraId="0AA62CBE" w14:textId="77777777" w:rsidR="00B96E3C" w:rsidRPr="00B96E3C" w:rsidRDefault="00B96E3C" w:rsidP="00D63204">
      <w:pPr>
        <w:widowControl w:val="0"/>
        <w:spacing w:before="58" w:after="0" w:line="240" w:lineRule="auto"/>
        <w:ind w:left="107"/>
        <w:rPr>
          <w:rFonts w:cstheme="minorHAnsi"/>
        </w:rPr>
      </w:pPr>
      <w:r w:rsidRPr="00B96E3C">
        <w:rPr>
          <w:rFonts w:cstheme="minorHAnsi"/>
          <w:b/>
          <w:color w:val="231F20"/>
          <w:w w:val="105"/>
        </w:rPr>
        <w:t>Strategy:</w:t>
      </w:r>
      <w:r w:rsidRPr="00B96E3C">
        <w:rPr>
          <w:rFonts w:cstheme="minorHAnsi"/>
          <w:b/>
          <w:color w:val="231F20"/>
          <w:spacing w:val="24"/>
          <w:w w:val="105"/>
        </w:rPr>
        <w:t xml:space="preserve"> </w:t>
      </w:r>
      <w:r w:rsidRPr="00B96E3C">
        <w:rPr>
          <w:rFonts w:cstheme="minorHAnsi"/>
          <w:b/>
          <w:color w:val="231F20"/>
          <w:w w:val="105"/>
        </w:rPr>
        <w:t>2.</w:t>
      </w:r>
      <w:r w:rsidRPr="00B96E3C">
        <w:rPr>
          <w:rFonts w:cstheme="minorHAnsi"/>
          <w:b/>
          <w:color w:val="231F20"/>
          <w:spacing w:val="24"/>
          <w:w w:val="105"/>
        </w:rPr>
        <w:t xml:space="preserve"> </w:t>
      </w:r>
      <w:r w:rsidRPr="00B96E3C">
        <w:rPr>
          <w:rFonts w:cstheme="minorHAnsi"/>
          <w:color w:val="231F20"/>
          <w:w w:val="105"/>
        </w:rPr>
        <w:t>Develop</w:t>
      </w:r>
      <w:r w:rsidRPr="00B96E3C">
        <w:rPr>
          <w:rFonts w:cstheme="minorHAnsi"/>
          <w:color w:val="231F20"/>
          <w:spacing w:val="25"/>
          <w:w w:val="105"/>
        </w:rPr>
        <w:t xml:space="preserve"> </w:t>
      </w:r>
      <w:r w:rsidRPr="00B96E3C">
        <w:rPr>
          <w:rFonts w:cstheme="minorHAnsi"/>
          <w:color w:val="231F20"/>
          <w:w w:val="105"/>
        </w:rPr>
        <w:t>an</w:t>
      </w:r>
      <w:r w:rsidRPr="00B96E3C">
        <w:rPr>
          <w:rFonts w:cstheme="minorHAnsi"/>
          <w:color w:val="231F20"/>
          <w:spacing w:val="25"/>
          <w:w w:val="105"/>
        </w:rPr>
        <w:t xml:space="preserve"> </w:t>
      </w:r>
      <w:r w:rsidRPr="00B96E3C">
        <w:rPr>
          <w:rFonts w:cstheme="minorHAnsi"/>
          <w:color w:val="231F20"/>
          <w:w w:val="105"/>
        </w:rPr>
        <w:t>agency-wide</w:t>
      </w:r>
      <w:r w:rsidRPr="00B96E3C">
        <w:rPr>
          <w:rFonts w:cstheme="minorHAnsi"/>
          <w:color w:val="231F20"/>
          <w:spacing w:val="25"/>
          <w:w w:val="105"/>
        </w:rPr>
        <w:t xml:space="preserve"> </w:t>
      </w:r>
      <w:r w:rsidRPr="00B96E3C">
        <w:rPr>
          <w:rFonts w:cstheme="minorHAnsi"/>
          <w:color w:val="231F20"/>
          <w:w w:val="105"/>
        </w:rPr>
        <w:t>workforce</w:t>
      </w:r>
      <w:r w:rsidRPr="00B96E3C">
        <w:rPr>
          <w:rFonts w:cstheme="minorHAnsi"/>
          <w:color w:val="231F20"/>
          <w:spacing w:val="25"/>
          <w:w w:val="105"/>
        </w:rPr>
        <w:t xml:space="preserve"> </w:t>
      </w:r>
      <w:r w:rsidRPr="00B96E3C">
        <w:rPr>
          <w:rFonts w:cstheme="minorHAnsi"/>
          <w:color w:val="231F20"/>
          <w:w w:val="105"/>
        </w:rPr>
        <w:t>and</w:t>
      </w:r>
      <w:r w:rsidRPr="00B96E3C">
        <w:rPr>
          <w:rFonts w:cstheme="minorHAnsi"/>
          <w:color w:val="231F20"/>
          <w:spacing w:val="25"/>
          <w:w w:val="105"/>
        </w:rPr>
        <w:t xml:space="preserve"> </w:t>
      </w:r>
      <w:r w:rsidRPr="00B96E3C">
        <w:rPr>
          <w:rFonts w:cstheme="minorHAnsi"/>
          <w:color w:val="231F20"/>
          <w:w w:val="105"/>
        </w:rPr>
        <w:t>succession</w:t>
      </w:r>
      <w:r w:rsidRPr="00B96E3C">
        <w:rPr>
          <w:rFonts w:cstheme="minorHAnsi"/>
          <w:color w:val="231F20"/>
          <w:spacing w:val="25"/>
          <w:w w:val="105"/>
        </w:rPr>
        <w:t xml:space="preserve"> </w:t>
      </w:r>
      <w:r w:rsidRPr="00B96E3C">
        <w:rPr>
          <w:rFonts w:cstheme="minorHAnsi"/>
          <w:color w:val="231F20"/>
          <w:w w:val="105"/>
        </w:rPr>
        <w:t>management</w:t>
      </w:r>
      <w:r w:rsidRPr="00B96E3C">
        <w:rPr>
          <w:rFonts w:cstheme="minorHAnsi"/>
          <w:color w:val="231F20"/>
          <w:spacing w:val="25"/>
          <w:w w:val="105"/>
        </w:rPr>
        <w:t xml:space="preserve"> </w:t>
      </w:r>
      <w:r w:rsidRPr="00B96E3C">
        <w:rPr>
          <w:rFonts w:cstheme="minorHAnsi"/>
          <w:color w:val="231F20"/>
          <w:w w:val="105"/>
        </w:rPr>
        <w:t>plan,</w:t>
      </w:r>
      <w:r w:rsidRPr="00B96E3C">
        <w:rPr>
          <w:rFonts w:cstheme="minorHAnsi"/>
          <w:color w:val="231F20"/>
          <w:spacing w:val="25"/>
          <w:w w:val="105"/>
        </w:rPr>
        <w:t xml:space="preserve"> </w:t>
      </w:r>
      <w:r w:rsidRPr="00B96E3C">
        <w:rPr>
          <w:rFonts w:cstheme="minorHAnsi"/>
          <w:color w:val="231F20"/>
          <w:w w:val="105"/>
        </w:rPr>
        <w:t>including</w:t>
      </w:r>
      <w:r w:rsidRPr="00B96E3C">
        <w:rPr>
          <w:rFonts w:cstheme="minorHAnsi"/>
          <w:color w:val="231F20"/>
          <w:spacing w:val="25"/>
          <w:w w:val="105"/>
        </w:rPr>
        <w:t xml:space="preserve"> </w:t>
      </w:r>
      <w:r w:rsidRPr="00B96E3C">
        <w:rPr>
          <w:rFonts w:cstheme="minorHAnsi"/>
          <w:color w:val="231F20"/>
          <w:w w:val="105"/>
        </w:rPr>
        <w:t>a</w:t>
      </w:r>
      <w:r w:rsidRPr="00B96E3C">
        <w:rPr>
          <w:rFonts w:cstheme="minorHAnsi"/>
          <w:color w:val="231F20"/>
          <w:spacing w:val="25"/>
          <w:w w:val="105"/>
        </w:rPr>
        <w:t xml:space="preserve"> </w:t>
      </w:r>
      <w:r w:rsidRPr="00B96E3C">
        <w:rPr>
          <w:rFonts w:cstheme="minorHAnsi"/>
          <w:color w:val="231F20"/>
          <w:w w:val="105"/>
        </w:rPr>
        <w:t>process</w:t>
      </w:r>
      <w:r w:rsidRPr="00B96E3C">
        <w:rPr>
          <w:rFonts w:cstheme="minorHAnsi"/>
          <w:color w:val="231F20"/>
          <w:spacing w:val="25"/>
          <w:w w:val="105"/>
        </w:rPr>
        <w:t xml:space="preserve"> </w:t>
      </w:r>
      <w:r w:rsidRPr="00B96E3C">
        <w:rPr>
          <w:rFonts w:cstheme="minorHAnsi"/>
        </w:rPr>
        <w:t>to capture</w:t>
      </w:r>
      <w:r w:rsidRPr="00B96E3C">
        <w:rPr>
          <w:rFonts w:cstheme="minorHAnsi"/>
          <w:color w:val="231F20"/>
          <w:w w:val="105"/>
        </w:rPr>
        <w:t xml:space="preserve"> organizational</w:t>
      </w:r>
      <w:r w:rsidRPr="00B96E3C">
        <w:rPr>
          <w:rFonts w:cstheme="minorHAnsi"/>
          <w:color w:val="231F20"/>
          <w:spacing w:val="24"/>
          <w:w w:val="105"/>
        </w:rPr>
        <w:t xml:space="preserve"> </w:t>
      </w:r>
      <w:r w:rsidRPr="00B96E3C">
        <w:rPr>
          <w:rFonts w:cstheme="minorHAnsi"/>
          <w:color w:val="231F20"/>
          <w:w w:val="105"/>
        </w:rPr>
        <w:t>knowledge.</w:t>
      </w:r>
    </w:p>
    <w:p w14:paraId="240F29A0" w14:textId="77777777" w:rsidR="00B96E3C" w:rsidRPr="00B96E3C" w:rsidRDefault="00B96E3C" w:rsidP="00D63204">
      <w:pPr>
        <w:widowControl w:val="0"/>
        <w:spacing w:before="145" w:after="0" w:line="240" w:lineRule="auto"/>
        <w:ind w:left="107"/>
        <w:outlineLvl w:val="2"/>
        <w:rPr>
          <w:rFonts w:cstheme="minorHAnsi"/>
        </w:rPr>
      </w:pPr>
      <w:r w:rsidRPr="00B96E3C">
        <w:rPr>
          <w:rFonts w:cstheme="minorHAnsi"/>
          <w:b/>
          <w:bCs/>
          <w:color w:val="231F20"/>
          <w:w w:val="105"/>
        </w:rPr>
        <w:t>Measures of</w:t>
      </w:r>
      <w:r w:rsidRPr="00B96E3C">
        <w:rPr>
          <w:rFonts w:cstheme="minorHAnsi"/>
          <w:b/>
          <w:bCs/>
          <w:color w:val="231F20"/>
          <w:spacing w:val="35"/>
          <w:w w:val="105"/>
        </w:rPr>
        <w:t xml:space="preserve"> </w:t>
      </w:r>
      <w:r w:rsidRPr="00B96E3C">
        <w:rPr>
          <w:rFonts w:cstheme="minorHAnsi"/>
          <w:b/>
          <w:bCs/>
          <w:color w:val="231F20"/>
          <w:w w:val="105"/>
        </w:rPr>
        <w:t>Success:</w:t>
      </w:r>
    </w:p>
    <w:p w14:paraId="74BCA63B" w14:textId="34E07E9B" w:rsidR="00B96E3C" w:rsidRPr="00B96E3C" w:rsidRDefault="00B96E3C" w:rsidP="00D63204">
      <w:pPr>
        <w:pStyle w:val="ListParagraph"/>
        <w:widowControl w:val="0"/>
        <w:numPr>
          <w:ilvl w:val="0"/>
          <w:numId w:val="127"/>
        </w:numPr>
        <w:spacing w:before="139" w:after="0" w:line="240" w:lineRule="auto"/>
        <w:rPr>
          <w:rFonts w:cstheme="minorHAnsi"/>
          <w:color w:val="231F20"/>
        </w:rPr>
      </w:pPr>
      <w:r w:rsidRPr="00B96E3C">
        <w:rPr>
          <w:rFonts w:cstheme="minorHAnsi"/>
          <w:color w:val="231F20"/>
          <w:w w:val="105"/>
        </w:rPr>
        <w:t>Process accurately identifies critical positions and</w:t>
      </w:r>
      <w:r w:rsidRPr="00B96E3C">
        <w:rPr>
          <w:rFonts w:cstheme="minorHAnsi"/>
          <w:color w:val="231F20"/>
          <w:spacing w:val="32"/>
          <w:w w:val="105"/>
        </w:rPr>
        <w:t xml:space="preserve"> </w:t>
      </w:r>
      <w:r w:rsidRPr="00B96E3C">
        <w:rPr>
          <w:rFonts w:cstheme="minorHAnsi"/>
          <w:color w:val="231F20"/>
          <w:w w:val="105"/>
        </w:rPr>
        <w:t>information</w:t>
      </w:r>
    </w:p>
    <w:p w14:paraId="2365C851" w14:textId="77777777" w:rsidR="00B96E3C" w:rsidRPr="00B96E3C" w:rsidRDefault="00B96E3C" w:rsidP="00D63204">
      <w:pPr>
        <w:pStyle w:val="ListParagraph"/>
        <w:widowControl w:val="0"/>
        <w:spacing w:before="139" w:after="0" w:line="240" w:lineRule="auto"/>
        <w:ind w:left="827"/>
        <w:rPr>
          <w:rFonts w:cstheme="minorHAnsi"/>
          <w:color w:val="231F20"/>
        </w:rPr>
      </w:pPr>
    </w:p>
    <w:p w14:paraId="04420DBD" w14:textId="3668AB4B" w:rsidR="00B96E3C" w:rsidRDefault="00B96E3C" w:rsidP="00D63204">
      <w:pPr>
        <w:pStyle w:val="ListParagraph"/>
        <w:widowControl w:val="0"/>
        <w:numPr>
          <w:ilvl w:val="0"/>
          <w:numId w:val="127"/>
        </w:numPr>
        <w:spacing w:before="139" w:after="0" w:line="240" w:lineRule="auto"/>
        <w:rPr>
          <w:rFonts w:cstheme="minorHAnsi"/>
          <w:color w:val="231F20"/>
        </w:rPr>
      </w:pPr>
      <w:r w:rsidRPr="00B96E3C">
        <w:rPr>
          <w:rFonts w:cstheme="minorHAnsi"/>
          <w:color w:val="231F20"/>
        </w:rPr>
        <w:t>Participant satisfaction with process /</w:t>
      </w:r>
      <w:r w:rsidRPr="00B96E3C">
        <w:rPr>
          <w:rFonts w:cstheme="minorHAnsi"/>
          <w:color w:val="231F20"/>
          <w:spacing w:val="47"/>
        </w:rPr>
        <w:t xml:space="preserve"> </w:t>
      </w:r>
      <w:r w:rsidRPr="00B96E3C">
        <w:rPr>
          <w:rFonts w:cstheme="minorHAnsi"/>
          <w:color w:val="231F20"/>
        </w:rPr>
        <w:t>components</w:t>
      </w:r>
    </w:p>
    <w:p w14:paraId="0ACB5AD7" w14:textId="77777777" w:rsidR="00B96E3C" w:rsidRPr="00B96E3C" w:rsidRDefault="00B96E3C" w:rsidP="00D63204">
      <w:pPr>
        <w:pStyle w:val="ListParagraph"/>
        <w:widowControl w:val="0"/>
        <w:spacing w:before="139" w:after="0" w:line="240" w:lineRule="auto"/>
        <w:ind w:left="827"/>
        <w:rPr>
          <w:rFonts w:cstheme="minorHAnsi"/>
          <w:color w:val="231F20"/>
        </w:rPr>
      </w:pPr>
    </w:p>
    <w:p w14:paraId="4FF04D71" w14:textId="77777777" w:rsidR="00AE012E" w:rsidRDefault="00AE012E">
      <w:pPr>
        <w:rPr>
          <w:rFonts w:cstheme="minorHAnsi"/>
          <w:b/>
          <w:color w:val="231F20"/>
          <w:w w:val="110"/>
        </w:rPr>
      </w:pPr>
      <w:r>
        <w:rPr>
          <w:rFonts w:cstheme="minorHAnsi"/>
          <w:b/>
          <w:color w:val="231F20"/>
          <w:w w:val="110"/>
        </w:rPr>
        <w:br w:type="page"/>
      </w:r>
    </w:p>
    <w:p w14:paraId="4786783B" w14:textId="77777777" w:rsidR="00AE012E" w:rsidRDefault="00AE012E" w:rsidP="00D63204">
      <w:pPr>
        <w:widowControl w:val="0"/>
        <w:spacing w:after="0" w:line="240" w:lineRule="auto"/>
        <w:ind w:left="107"/>
        <w:rPr>
          <w:rFonts w:cstheme="minorHAnsi"/>
          <w:b/>
          <w:color w:val="231F20"/>
          <w:w w:val="110"/>
        </w:rPr>
      </w:pPr>
    </w:p>
    <w:p w14:paraId="7515B924" w14:textId="03008F4F" w:rsidR="00B96E3C" w:rsidRPr="00B96E3C" w:rsidRDefault="00B96E3C" w:rsidP="00D63204">
      <w:pPr>
        <w:widowControl w:val="0"/>
        <w:spacing w:after="0" w:line="240" w:lineRule="auto"/>
        <w:ind w:left="107"/>
        <w:rPr>
          <w:rFonts w:cstheme="minorHAnsi"/>
        </w:rPr>
      </w:pPr>
      <w:r w:rsidRPr="00B96E3C">
        <w:rPr>
          <w:rFonts w:cstheme="minorHAnsi"/>
          <w:b/>
          <w:color w:val="231F20"/>
          <w:w w:val="110"/>
        </w:rPr>
        <w:t>Strategy:</w:t>
      </w:r>
      <w:r w:rsidRPr="00B96E3C">
        <w:rPr>
          <w:rFonts w:cstheme="minorHAnsi"/>
          <w:b/>
          <w:color w:val="231F20"/>
          <w:spacing w:val="-13"/>
          <w:w w:val="110"/>
        </w:rPr>
        <w:t xml:space="preserve"> </w:t>
      </w:r>
      <w:r w:rsidRPr="00B96E3C">
        <w:rPr>
          <w:rFonts w:cstheme="minorHAnsi"/>
          <w:b/>
          <w:color w:val="231F20"/>
          <w:w w:val="110"/>
        </w:rPr>
        <w:t>3.</w:t>
      </w:r>
      <w:r w:rsidRPr="00B96E3C">
        <w:rPr>
          <w:rFonts w:cstheme="minorHAnsi"/>
          <w:b/>
          <w:color w:val="231F20"/>
          <w:spacing w:val="-12"/>
          <w:w w:val="110"/>
        </w:rPr>
        <w:t xml:space="preserve"> </w:t>
      </w:r>
      <w:r w:rsidRPr="00B96E3C">
        <w:rPr>
          <w:rFonts w:cstheme="minorHAnsi"/>
          <w:color w:val="231F20"/>
          <w:w w:val="110"/>
        </w:rPr>
        <w:t>Design</w:t>
      </w:r>
      <w:r w:rsidRPr="00B96E3C">
        <w:rPr>
          <w:rFonts w:cstheme="minorHAnsi"/>
          <w:color w:val="231F20"/>
          <w:spacing w:val="-12"/>
          <w:w w:val="110"/>
        </w:rPr>
        <w:t xml:space="preserve"> </w:t>
      </w:r>
      <w:r w:rsidRPr="00B96E3C">
        <w:rPr>
          <w:rFonts w:cstheme="minorHAnsi"/>
          <w:color w:val="231F20"/>
          <w:w w:val="110"/>
        </w:rPr>
        <w:t>a</w:t>
      </w:r>
      <w:r w:rsidRPr="00B96E3C">
        <w:rPr>
          <w:rFonts w:cstheme="minorHAnsi"/>
          <w:color w:val="231F20"/>
          <w:spacing w:val="-12"/>
          <w:w w:val="110"/>
        </w:rPr>
        <w:t xml:space="preserve"> </w:t>
      </w:r>
      <w:r w:rsidRPr="00B96E3C">
        <w:rPr>
          <w:rFonts w:cstheme="minorHAnsi"/>
          <w:color w:val="231F20"/>
          <w:w w:val="110"/>
        </w:rPr>
        <w:t>program</w:t>
      </w:r>
      <w:r w:rsidRPr="00B96E3C">
        <w:rPr>
          <w:rFonts w:cstheme="minorHAnsi"/>
          <w:color w:val="231F20"/>
          <w:spacing w:val="-12"/>
          <w:w w:val="110"/>
        </w:rPr>
        <w:t xml:space="preserve"> </w:t>
      </w:r>
      <w:r w:rsidRPr="00B96E3C">
        <w:rPr>
          <w:rFonts w:cstheme="minorHAnsi"/>
          <w:color w:val="231F20"/>
          <w:w w:val="110"/>
        </w:rPr>
        <w:t>for</w:t>
      </w:r>
      <w:r w:rsidRPr="00B96E3C">
        <w:rPr>
          <w:rFonts w:cstheme="minorHAnsi"/>
          <w:color w:val="231F20"/>
          <w:spacing w:val="-12"/>
          <w:w w:val="110"/>
        </w:rPr>
        <w:t xml:space="preserve"> </w:t>
      </w:r>
      <w:r w:rsidRPr="00B96E3C">
        <w:rPr>
          <w:rFonts w:cstheme="minorHAnsi"/>
          <w:color w:val="231F20"/>
          <w:w w:val="110"/>
        </w:rPr>
        <w:t>identifying</w:t>
      </w:r>
      <w:r w:rsidRPr="00B96E3C">
        <w:rPr>
          <w:rFonts w:cstheme="minorHAnsi"/>
          <w:color w:val="231F20"/>
          <w:spacing w:val="-12"/>
          <w:w w:val="110"/>
        </w:rPr>
        <w:t xml:space="preserve"> </w:t>
      </w:r>
      <w:r w:rsidRPr="00B96E3C">
        <w:rPr>
          <w:rFonts w:cstheme="minorHAnsi"/>
          <w:color w:val="231F20"/>
          <w:w w:val="110"/>
        </w:rPr>
        <w:t>and</w:t>
      </w:r>
      <w:r w:rsidRPr="00B96E3C">
        <w:rPr>
          <w:rFonts w:cstheme="minorHAnsi"/>
          <w:color w:val="231F20"/>
          <w:spacing w:val="-12"/>
          <w:w w:val="110"/>
        </w:rPr>
        <w:t xml:space="preserve"> </w:t>
      </w:r>
      <w:r w:rsidRPr="00B96E3C">
        <w:rPr>
          <w:rFonts w:cstheme="minorHAnsi"/>
          <w:color w:val="231F20"/>
          <w:w w:val="110"/>
        </w:rPr>
        <w:t>developing</w:t>
      </w:r>
      <w:r w:rsidRPr="00B96E3C">
        <w:rPr>
          <w:rFonts w:cstheme="minorHAnsi"/>
          <w:color w:val="231F20"/>
          <w:spacing w:val="-12"/>
          <w:w w:val="110"/>
        </w:rPr>
        <w:t xml:space="preserve"> </w:t>
      </w:r>
      <w:r w:rsidRPr="00B96E3C">
        <w:rPr>
          <w:rFonts w:cstheme="minorHAnsi"/>
          <w:color w:val="231F20"/>
          <w:w w:val="110"/>
        </w:rPr>
        <w:t>VR</w:t>
      </w:r>
      <w:r w:rsidRPr="00B96E3C">
        <w:rPr>
          <w:rFonts w:cstheme="minorHAnsi"/>
          <w:color w:val="231F20"/>
          <w:spacing w:val="-12"/>
          <w:w w:val="110"/>
        </w:rPr>
        <w:t xml:space="preserve"> </w:t>
      </w:r>
      <w:r w:rsidRPr="00B96E3C">
        <w:rPr>
          <w:rFonts w:cstheme="minorHAnsi"/>
          <w:color w:val="231F20"/>
          <w:w w:val="110"/>
        </w:rPr>
        <w:t>Leadership</w:t>
      </w:r>
      <w:r w:rsidRPr="00B96E3C">
        <w:rPr>
          <w:rFonts w:cstheme="minorHAnsi"/>
          <w:color w:val="231F20"/>
          <w:spacing w:val="-12"/>
          <w:w w:val="110"/>
        </w:rPr>
        <w:t xml:space="preserve"> </w:t>
      </w:r>
      <w:r w:rsidRPr="00B96E3C">
        <w:rPr>
          <w:rFonts w:cstheme="minorHAnsi"/>
          <w:color w:val="231F20"/>
          <w:w w:val="110"/>
        </w:rPr>
        <w:t>candidates.</w:t>
      </w:r>
    </w:p>
    <w:p w14:paraId="5D6C7DBB" w14:textId="77777777" w:rsidR="00B96E3C" w:rsidRPr="00B96E3C" w:rsidRDefault="00B96E3C" w:rsidP="00D63204">
      <w:pPr>
        <w:widowControl w:val="0"/>
        <w:spacing w:before="139" w:after="0" w:line="240" w:lineRule="auto"/>
        <w:ind w:left="107"/>
        <w:outlineLvl w:val="2"/>
        <w:rPr>
          <w:rFonts w:cstheme="minorHAnsi"/>
        </w:rPr>
      </w:pPr>
      <w:r w:rsidRPr="00B96E3C">
        <w:rPr>
          <w:rFonts w:cstheme="minorHAnsi"/>
          <w:b/>
          <w:bCs/>
          <w:color w:val="231F20"/>
          <w:w w:val="105"/>
        </w:rPr>
        <w:t>Measures of</w:t>
      </w:r>
      <w:r w:rsidRPr="00B96E3C">
        <w:rPr>
          <w:rFonts w:cstheme="minorHAnsi"/>
          <w:b/>
          <w:bCs/>
          <w:color w:val="231F20"/>
          <w:spacing w:val="35"/>
          <w:w w:val="105"/>
        </w:rPr>
        <w:t xml:space="preserve"> </w:t>
      </w:r>
      <w:r w:rsidRPr="00B96E3C">
        <w:rPr>
          <w:rFonts w:cstheme="minorHAnsi"/>
          <w:b/>
          <w:bCs/>
          <w:color w:val="231F20"/>
          <w:w w:val="105"/>
        </w:rPr>
        <w:t>Success:</w:t>
      </w:r>
    </w:p>
    <w:p w14:paraId="26205F41" w14:textId="2DD20D60" w:rsidR="00B96E3C" w:rsidRPr="00B96E3C" w:rsidRDefault="00B96E3C" w:rsidP="00D63204">
      <w:pPr>
        <w:pStyle w:val="ListParagraph"/>
        <w:widowControl w:val="0"/>
        <w:numPr>
          <w:ilvl w:val="0"/>
          <w:numId w:val="128"/>
        </w:numPr>
        <w:spacing w:before="139" w:after="0" w:line="240" w:lineRule="auto"/>
        <w:rPr>
          <w:rFonts w:cstheme="minorHAnsi"/>
          <w:color w:val="231F20"/>
        </w:rPr>
      </w:pPr>
      <w:r w:rsidRPr="00B96E3C">
        <w:rPr>
          <w:rFonts w:cstheme="minorHAnsi"/>
          <w:color w:val="231F20"/>
          <w:w w:val="105"/>
        </w:rPr>
        <w:t>Successful rollout of pilot</w:t>
      </w:r>
      <w:r w:rsidRPr="00B96E3C">
        <w:rPr>
          <w:rFonts w:cstheme="minorHAnsi"/>
          <w:color w:val="231F20"/>
          <w:spacing w:val="18"/>
          <w:w w:val="105"/>
        </w:rPr>
        <w:t xml:space="preserve"> </w:t>
      </w:r>
      <w:r w:rsidRPr="00B96E3C">
        <w:rPr>
          <w:rFonts w:cstheme="minorHAnsi"/>
          <w:color w:val="231F20"/>
          <w:w w:val="105"/>
        </w:rPr>
        <w:t>program</w:t>
      </w:r>
    </w:p>
    <w:p w14:paraId="21AA4617" w14:textId="77777777" w:rsidR="00B96E3C" w:rsidRPr="00B96E3C" w:rsidRDefault="00B96E3C" w:rsidP="00D63204">
      <w:pPr>
        <w:pStyle w:val="ListParagraph"/>
        <w:widowControl w:val="0"/>
        <w:spacing w:before="139" w:after="0" w:line="240" w:lineRule="auto"/>
        <w:ind w:left="827"/>
        <w:rPr>
          <w:rFonts w:cstheme="minorHAnsi"/>
          <w:color w:val="231F20"/>
        </w:rPr>
      </w:pPr>
    </w:p>
    <w:p w14:paraId="42F2FECE" w14:textId="77BC46B1" w:rsidR="00B96E3C" w:rsidRPr="00B96E3C" w:rsidRDefault="00B96E3C" w:rsidP="00D63204">
      <w:pPr>
        <w:pStyle w:val="ListParagraph"/>
        <w:widowControl w:val="0"/>
        <w:numPr>
          <w:ilvl w:val="0"/>
          <w:numId w:val="128"/>
        </w:numPr>
        <w:spacing w:before="139" w:after="0" w:line="240" w:lineRule="auto"/>
        <w:rPr>
          <w:rFonts w:cstheme="minorHAnsi"/>
          <w:color w:val="231F20"/>
        </w:rPr>
      </w:pPr>
      <w:r w:rsidRPr="00B96E3C">
        <w:rPr>
          <w:rFonts w:cstheme="minorHAnsi"/>
          <w:color w:val="231F20"/>
          <w:w w:val="105"/>
        </w:rPr>
        <w:t>Percent of VR employees initiating</w:t>
      </w:r>
      <w:r w:rsidRPr="00B96E3C">
        <w:rPr>
          <w:rFonts w:cstheme="minorHAnsi"/>
          <w:color w:val="231F20"/>
          <w:spacing w:val="25"/>
          <w:w w:val="105"/>
        </w:rPr>
        <w:t xml:space="preserve"> </w:t>
      </w:r>
      <w:r w:rsidRPr="00B96E3C">
        <w:rPr>
          <w:rFonts w:cstheme="minorHAnsi"/>
          <w:color w:val="231F20"/>
          <w:w w:val="105"/>
        </w:rPr>
        <w:t>participation</w:t>
      </w:r>
    </w:p>
    <w:p w14:paraId="23A6F8E7" w14:textId="77777777" w:rsidR="00B96E3C" w:rsidRPr="00B96E3C" w:rsidRDefault="00B96E3C" w:rsidP="00B96E3C">
      <w:pPr>
        <w:pStyle w:val="ListParagraph"/>
        <w:rPr>
          <w:rFonts w:cstheme="minorHAnsi"/>
          <w:color w:val="231F20"/>
        </w:rPr>
      </w:pPr>
    </w:p>
    <w:p w14:paraId="7F25F588" w14:textId="77777777" w:rsidR="00B96E3C" w:rsidRPr="00B96E3C" w:rsidRDefault="00B96E3C" w:rsidP="00D63204">
      <w:pPr>
        <w:pStyle w:val="ListParagraph"/>
        <w:widowControl w:val="0"/>
        <w:numPr>
          <w:ilvl w:val="0"/>
          <w:numId w:val="128"/>
        </w:numPr>
        <w:spacing w:before="139" w:after="0" w:line="240" w:lineRule="auto"/>
        <w:rPr>
          <w:rFonts w:cstheme="minorHAnsi"/>
          <w:color w:val="231F20"/>
        </w:rPr>
      </w:pPr>
      <w:r w:rsidRPr="00B96E3C">
        <w:rPr>
          <w:rFonts w:cstheme="minorHAnsi"/>
          <w:color w:val="231F20"/>
          <w:w w:val="105"/>
        </w:rPr>
        <w:t>Participant satisfaction with program</w:t>
      </w:r>
      <w:r w:rsidRPr="00B96E3C">
        <w:rPr>
          <w:rFonts w:cstheme="minorHAnsi"/>
          <w:color w:val="231F20"/>
          <w:spacing w:val="18"/>
          <w:w w:val="105"/>
        </w:rPr>
        <w:t xml:space="preserve"> </w:t>
      </w:r>
      <w:r w:rsidRPr="00B96E3C">
        <w:rPr>
          <w:rFonts w:cstheme="minorHAnsi"/>
          <w:color w:val="231F20"/>
          <w:w w:val="105"/>
        </w:rPr>
        <w:t>components</w:t>
      </w:r>
    </w:p>
    <w:p w14:paraId="6E49544B" w14:textId="77777777" w:rsidR="00B96E3C" w:rsidRPr="00B96E3C" w:rsidRDefault="00B96E3C" w:rsidP="00D63204">
      <w:pPr>
        <w:widowControl w:val="0"/>
        <w:spacing w:before="9" w:after="0" w:line="240" w:lineRule="auto"/>
        <w:ind w:left="107"/>
        <w:rPr>
          <w:rFonts w:cstheme="minorHAnsi"/>
        </w:rPr>
      </w:pPr>
    </w:p>
    <w:p w14:paraId="0E33C50C" w14:textId="77777777" w:rsidR="00B96E3C" w:rsidRPr="00B96E3C" w:rsidRDefault="00B96E3C" w:rsidP="00D63204">
      <w:pPr>
        <w:widowControl w:val="0"/>
        <w:spacing w:after="0" w:line="240" w:lineRule="auto"/>
        <w:ind w:left="107"/>
        <w:rPr>
          <w:rFonts w:cstheme="minorHAnsi"/>
        </w:rPr>
      </w:pPr>
      <w:r w:rsidRPr="00B96E3C">
        <w:rPr>
          <w:rFonts w:cstheme="minorHAnsi"/>
          <w:b/>
          <w:color w:val="231F20"/>
          <w:w w:val="105"/>
        </w:rPr>
        <w:t>Strategy:</w:t>
      </w:r>
      <w:r w:rsidRPr="00B96E3C">
        <w:rPr>
          <w:rFonts w:cstheme="minorHAnsi"/>
          <w:b/>
          <w:color w:val="231F20"/>
          <w:spacing w:val="17"/>
          <w:w w:val="105"/>
        </w:rPr>
        <w:t xml:space="preserve"> </w:t>
      </w:r>
      <w:r w:rsidRPr="00B96E3C">
        <w:rPr>
          <w:rFonts w:cstheme="minorHAnsi"/>
          <w:b/>
          <w:color w:val="231F20"/>
          <w:w w:val="105"/>
        </w:rPr>
        <w:t>4.</w:t>
      </w:r>
      <w:r w:rsidRPr="00B96E3C">
        <w:rPr>
          <w:rFonts w:cstheme="minorHAnsi"/>
          <w:b/>
          <w:color w:val="231F20"/>
          <w:spacing w:val="18"/>
          <w:w w:val="105"/>
        </w:rPr>
        <w:t xml:space="preserve"> </w:t>
      </w:r>
      <w:r w:rsidRPr="00B96E3C">
        <w:rPr>
          <w:rFonts w:cstheme="minorHAnsi"/>
          <w:color w:val="231F20"/>
          <w:w w:val="105"/>
        </w:rPr>
        <w:t>Develop</w:t>
      </w:r>
      <w:r w:rsidRPr="00B96E3C">
        <w:rPr>
          <w:rFonts w:cstheme="minorHAnsi"/>
          <w:color w:val="231F20"/>
          <w:spacing w:val="18"/>
          <w:w w:val="105"/>
        </w:rPr>
        <w:t xml:space="preserve"> </w:t>
      </w:r>
      <w:r w:rsidRPr="00B96E3C">
        <w:rPr>
          <w:rFonts w:cstheme="minorHAnsi"/>
          <w:color w:val="231F20"/>
          <w:w w:val="105"/>
        </w:rPr>
        <w:t>standards,</w:t>
      </w:r>
      <w:r w:rsidRPr="00B96E3C">
        <w:rPr>
          <w:rFonts w:cstheme="minorHAnsi"/>
          <w:color w:val="231F20"/>
          <w:spacing w:val="18"/>
          <w:w w:val="105"/>
        </w:rPr>
        <w:t xml:space="preserve"> </w:t>
      </w:r>
      <w:r w:rsidRPr="00B96E3C">
        <w:rPr>
          <w:rFonts w:cstheme="minorHAnsi"/>
          <w:color w:val="231F20"/>
          <w:w w:val="105"/>
        </w:rPr>
        <w:t>guidelines</w:t>
      </w:r>
      <w:r w:rsidRPr="00B96E3C">
        <w:rPr>
          <w:rFonts w:cstheme="minorHAnsi"/>
          <w:color w:val="231F20"/>
          <w:spacing w:val="18"/>
          <w:w w:val="105"/>
        </w:rPr>
        <w:t xml:space="preserve"> </w:t>
      </w:r>
      <w:r w:rsidRPr="00B96E3C">
        <w:rPr>
          <w:rFonts w:cstheme="minorHAnsi"/>
          <w:color w:val="231F20"/>
          <w:w w:val="105"/>
        </w:rPr>
        <w:t>and</w:t>
      </w:r>
      <w:r w:rsidRPr="00B96E3C">
        <w:rPr>
          <w:rFonts w:cstheme="minorHAnsi"/>
          <w:color w:val="231F20"/>
          <w:spacing w:val="18"/>
          <w:w w:val="105"/>
        </w:rPr>
        <w:t xml:space="preserve"> </w:t>
      </w:r>
      <w:r w:rsidRPr="00B96E3C">
        <w:rPr>
          <w:rFonts w:cstheme="minorHAnsi"/>
          <w:color w:val="231F20"/>
          <w:w w:val="105"/>
        </w:rPr>
        <w:t>curriculum</w:t>
      </w:r>
      <w:r w:rsidRPr="00B96E3C">
        <w:rPr>
          <w:rFonts w:cstheme="minorHAnsi"/>
          <w:color w:val="231F20"/>
          <w:spacing w:val="18"/>
          <w:w w:val="105"/>
        </w:rPr>
        <w:t xml:space="preserve"> </w:t>
      </w:r>
      <w:r w:rsidRPr="00B96E3C">
        <w:rPr>
          <w:rFonts w:cstheme="minorHAnsi"/>
          <w:color w:val="231F20"/>
          <w:w w:val="105"/>
        </w:rPr>
        <w:t>for</w:t>
      </w:r>
      <w:r w:rsidRPr="00B96E3C">
        <w:rPr>
          <w:rFonts w:cstheme="minorHAnsi"/>
          <w:color w:val="231F20"/>
          <w:spacing w:val="18"/>
          <w:w w:val="105"/>
        </w:rPr>
        <w:t xml:space="preserve"> </w:t>
      </w:r>
      <w:r w:rsidRPr="00B96E3C">
        <w:rPr>
          <w:rFonts w:cstheme="minorHAnsi"/>
          <w:color w:val="231F20"/>
          <w:w w:val="105"/>
        </w:rPr>
        <w:t>VR</w:t>
      </w:r>
      <w:r w:rsidRPr="00B96E3C">
        <w:rPr>
          <w:rFonts w:cstheme="minorHAnsi"/>
          <w:color w:val="231F20"/>
          <w:spacing w:val="18"/>
          <w:w w:val="105"/>
        </w:rPr>
        <w:t xml:space="preserve"> </w:t>
      </w:r>
      <w:r w:rsidRPr="00B96E3C">
        <w:rPr>
          <w:rFonts w:cstheme="minorHAnsi"/>
          <w:color w:val="231F20"/>
          <w:w w:val="105"/>
        </w:rPr>
        <w:t>employee</w:t>
      </w:r>
      <w:r w:rsidRPr="00B96E3C">
        <w:rPr>
          <w:rFonts w:cstheme="minorHAnsi"/>
          <w:color w:val="231F20"/>
          <w:spacing w:val="18"/>
          <w:w w:val="105"/>
        </w:rPr>
        <w:t xml:space="preserve"> </w:t>
      </w:r>
      <w:r w:rsidRPr="00B96E3C">
        <w:rPr>
          <w:rFonts w:cstheme="minorHAnsi"/>
          <w:color w:val="231F20"/>
          <w:w w:val="105"/>
        </w:rPr>
        <w:t>training.</w:t>
      </w:r>
    </w:p>
    <w:p w14:paraId="731B2450" w14:textId="77777777" w:rsidR="00B96E3C" w:rsidRPr="00B96E3C" w:rsidRDefault="00B96E3C" w:rsidP="00D63204">
      <w:pPr>
        <w:widowControl w:val="0"/>
        <w:spacing w:before="139" w:after="0" w:line="240" w:lineRule="auto"/>
        <w:ind w:left="107"/>
        <w:outlineLvl w:val="2"/>
        <w:rPr>
          <w:rFonts w:cstheme="minorHAnsi"/>
        </w:rPr>
      </w:pPr>
      <w:r w:rsidRPr="00B96E3C">
        <w:rPr>
          <w:rFonts w:cstheme="minorHAnsi"/>
          <w:b/>
          <w:bCs/>
          <w:color w:val="231F20"/>
          <w:w w:val="105"/>
        </w:rPr>
        <w:t>Measures of</w:t>
      </w:r>
      <w:r w:rsidRPr="00B96E3C">
        <w:rPr>
          <w:rFonts w:cstheme="minorHAnsi"/>
          <w:b/>
          <w:bCs/>
          <w:color w:val="231F20"/>
          <w:spacing w:val="35"/>
          <w:w w:val="105"/>
        </w:rPr>
        <w:t xml:space="preserve"> </w:t>
      </w:r>
      <w:r w:rsidRPr="00B96E3C">
        <w:rPr>
          <w:rFonts w:cstheme="minorHAnsi"/>
          <w:b/>
          <w:bCs/>
          <w:color w:val="231F20"/>
          <w:w w:val="105"/>
        </w:rPr>
        <w:t>Success:</w:t>
      </w:r>
    </w:p>
    <w:p w14:paraId="734D11C9" w14:textId="233A74BA" w:rsidR="00B96E3C" w:rsidRPr="00B96E3C" w:rsidRDefault="00B96E3C" w:rsidP="00D63204">
      <w:pPr>
        <w:pStyle w:val="ListParagraph"/>
        <w:widowControl w:val="0"/>
        <w:numPr>
          <w:ilvl w:val="0"/>
          <w:numId w:val="129"/>
        </w:numPr>
        <w:spacing w:before="139" w:after="0" w:line="240" w:lineRule="auto"/>
        <w:rPr>
          <w:rFonts w:cstheme="minorHAnsi"/>
          <w:color w:val="231F20"/>
        </w:rPr>
      </w:pPr>
      <w:r w:rsidRPr="00B96E3C">
        <w:rPr>
          <w:rFonts w:cstheme="minorHAnsi"/>
          <w:color w:val="231F20"/>
          <w:w w:val="105"/>
        </w:rPr>
        <w:t>Improvement in climate survey items: Q8. Opportunities to learn and grow</w:t>
      </w:r>
      <w:r w:rsidR="00D6328F">
        <w:rPr>
          <w:rFonts w:cstheme="minorHAnsi"/>
          <w:color w:val="231F20"/>
          <w:w w:val="105"/>
        </w:rPr>
        <w:t xml:space="preserve"> </w:t>
      </w:r>
      <w:r w:rsidRPr="00B96E3C">
        <w:rPr>
          <w:rFonts w:cstheme="minorHAnsi"/>
          <w:color w:val="231F20"/>
          <w:w w:val="105"/>
        </w:rPr>
        <w:t>-</w:t>
      </w:r>
      <w:r>
        <w:rPr>
          <w:rFonts w:cstheme="minorHAnsi"/>
          <w:color w:val="231F20"/>
          <w:w w:val="105"/>
        </w:rPr>
        <w:t xml:space="preserve"> </w:t>
      </w:r>
      <w:r w:rsidRPr="00B96E3C">
        <w:rPr>
          <w:rFonts w:cstheme="minorHAnsi"/>
          <w:color w:val="231F20"/>
          <w:w w:val="105"/>
        </w:rPr>
        <w:t>83.61</w:t>
      </w:r>
      <w:r w:rsidR="00D6328F">
        <w:rPr>
          <w:rFonts w:cstheme="minorHAnsi"/>
          <w:color w:val="231F20"/>
          <w:w w:val="105"/>
        </w:rPr>
        <w:t xml:space="preserve"> percent</w:t>
      </w:r>
    </w:p>
    <w:p w14:paraId="4236D7A0" w14:textId="77777777" w:rsidR="00B96E3C" w:rsidRPr="00B96E3C" w:rsidRDefault="00B96E3C" w:rsidP="00D63204">
      <w:pPr>
        <w:pStyle w:val="ListParagraph"/>
        <w:widowControl w:val="0"/>
        <w:spacing w:before="139" w:after="0" w:line="240" w:lineRule="auto"/>
        <w:ind w:left="827"/>
        <w:rPr>
          <w:rFonts w:cstheme="minorHAnsi"/>
          <w:color w:val="231F20"/>
        </w:rPr>
      </w:pPr>
    </w:p>
    <w:p w14:paraId="6EB04E9E" w14:textId="37427A9F" w:rsidR="00B96E3C" w:rsidRPr="00B96E3C" w:rsidRDefault="00B96E3C" w:rsidP="00D63204">
      <w:pPr>
        <w:pStyle w:val="ListParagraph"/>
        <w:widowControl w:val="0"/>
        <w:numPr>
          <w:ilvl w:val="0"/>
          <w:numId w:val="129"/>
        </w:numPr>
        <w:spacing w:before="139" w:after="0" w:line="240" w:lineRule="auto"/>
        <w:rPr>
          <w:rFonts w:cstheme="minorHAnsi"/>
          <w:color w:val="231F20"/>
        </w:rPr>
      </w:pPr>
      <w:r w:rsidRPr="00B96E3C">
        <w:rPr>
          <w:rFonts w:cstheme="minorHAnsi"/>
          <w:color w:val="231F20"/>
          <w:w w:val="105"/>
        </w:rPr>
        <w:t>Q11. I am satisfied with the training provided by VR</w:t>
      </w:r>
      <w:r w:rsidR="00D6328F">
        <w:rPr>
          <w:rFonts w:cstheme="minorHAnsi"/>
          <w:color w:val="231F20"/>
          <w:w w:val="105"/>
        </w:rPr>
        <w:t xml:space="preserve"> </w:t>
      </w:r>
      <w:r w:rsidRPr="00B96E3C">
        <w:rPr>
          <w:rFonts w:cstheme="minorHAnsi"/>
          <w:color w:val="231F20"/>
          <w:w w:val="105"/>
        </w:rPr>
        <w:t>-</w:t>
      </w:r>
      <w:r>
        <w:rPr>
          <w:rFonts w:cstheme="minorHAnsi"/>
          <w:color w:val="231F20"/>
          <w:w w:val="105"/>
        </w:rPr>
        <w:t xml:space="preserve"> </w:t>
      </w:r>
      <w:r w:rsidRPr="00B96E3C">
        <w:rPr>
          <w:rFonts w:cstheme="minorHAnsi"/>
          <w:color w:val="231F20"/>
          <w:spacing w:val="-7"/>
          <w:w w:val="105"/>
        </w:rPr>
        <w:t>77.19</w:t>
      </w:r>
      <w:r w:rsidR="00D6328F">
        <w:rPr>
          <w:rFonts w:cstheme="minorHAnsi"/>
          <w:color w:val="231F20"/>
          <w:spacing w:val="-7"/>
          <w:w w:val="105"/>
        </w:rPr>
        <w:t xml:space="preserve"> percent</w:t>
      </w:r>
    </w:p>
    <w:p w14:paraId="72002BF2" w14:textId="77777777" w:rsidR="00B96E3C" w:rsidRPr="00B96E3C" w:rsidRDefault="00B96E3C" w:rsidP="00B96E3C">
      <w:pPr>
        <w:pStyle w:val="ListParagraph"/>
        <w:rPr>
          <w:rFonts w:cstheme="minorHAnsi"/>
          <w:color w:val="231F20"/>
        </w:rPr>
      </w:pPr>
    </w:p>
    <w:p w14:paraId="7CC4F450" w14:textId="77777777" w:rsidR="00B96E3C" w:rsidRPr="00B96E3C" w:rsidRDefault="00B96E3C" w:rsidP="00D63204">
      <w:pPr>
        <w:pStyle w:val="ListParagraph"/>
        <w:widowControl w:val="0"/>
        <w:numPr>
          <w:ilvl w:val="0"/>
          <w:numId w:val="129"/>
        </w:numPr>
        <w:spacing w:before="139" w:after="0" w:line="240" w:lineRule="auto"/>
        <w:rPr>
          <w:rFonts w:cstheme="minorHAnsi"/>
          <w:color w:val="231F20"/>
        </w:rPr>
      </w:pPr>
      <w:r w:rsidRPr="00B96E3C">
        <w:rPr>
          <w:rFonts w:cstheme="minorHAnsi"/>
          <w:color w:val="231F20"/>
          <w:w w:val="105"/>
        </w:rPr>
        <w:t>Percentage of VR employees successfully completing identified training</w:t>
      </w:r>
      <w:r w:rsidRPr="00B96E3C">
        <w:rPr>
          <w:rFonts w:cstheme="minorHAnsi"/>
          <w:color w:val="231F20"/>
          <w:spacing w:val="23"/>
          <w:w w:val="105"/>
        </w:rPr>
        <w:t xml:space="preserve"> </w:t>
      </w:r>
      <w:r w:rsidRPr="00B96E3C">
        <w:rPr>
          <w:rFonts w:cstheme="minorHAnsi"/>
          <w:color w:val="231F20"/>
          <w:w w:val="105"/>
        </w:rPr>
        <w:t>requirements</w:t>
      </w:r>
    </w:p>
    <w:p w14:paraId="2ADD9714" w14:textId="77777777" w:rsidR="00B96E3C" w:rsidRPr="00B96E3C" w:rsidRDefault="00B96E3C" w:rsidP="00D63204">
      <w:pPr>
        <w:widowControl w:val="0"/>
        <w:spacing w:after="0" w:line="240" w:lineRule="auto"/>
        <w:ind w:left="107"/>
        <w:rPr>
          <w:rFonts w:cstheme="minorHAnsi"/>
        </w:rPr>
      </w:pPr>
    </w:p>
    <w:p w14:paraId="11F9910B" w14:textId="4FAD5CF6" w:rsidR="00B96E3C" w:rsidRPr="00B96E3C" w:rsidRDefault="00B96E3C" w:rsidP="00D63204">
      <w:pPr>
        <w:widowControl w:val="0"/>
        <w:spacing w:after="0" w:line="240" w:lineRule="auto"/>
        <w:ind w:left="107"/>
        <w:rPr>
          <w:rFonts w:cstheme="minorHAnsi"/>
        </w:rPr>
      </w:pPr>
      <w:r w:rsidRPr="00B96E3C">
        <w:rPr>
          <w:rFonts w:cstheme="minorHAnsi"/>
          <w:color w:val="231F20"/>
          <w:w w:val="110"/>
          <w:u w:val="single" w:color="231F20"/>
        </w:rPr>
        <w:t>Objective</w:t>
      </w:r>
      <w:r w:rsidRPr="00B96E3C">
        <w:rPr>
          <w:rFonts w:cstheme="minorHAnsi"/>
          <w:color w:val="231F20"/>
          <w:spacing w:val="-15"/>
          <w:w w:val="110"/>
          <w:u w:val="single" w:color="231F20"/>
        </w:rPr>
        <w:t xml:space="preserve"> </w:t>
      </w:r>
      <w:r w:rsidRPr="00B96E3C">
        <w:rPr>
          <w:rFonts w:cstheme="minorHAnsi"/>
          <w:color w:val="231F20"/>
          <w:w w:val="110"/>
          <w:u w:val="single" w:color="231F20"/>
        </w:rPr>
        <w:t>2.2:</w:t>
      </w:r>
      <w:r w:rsidRPr="00B96E3C">
        <w:rPr>
          <w:rFonts w:cstheme="minorHAnsi"/>
          <w:color w:val="231F20"/>
          <w:spacing w:val="-15"/>
          <w:w w:val="110"/>
          <w:u w:val="single" w:color="231F20"/>
        </w:rPr>
        <w:t xml:space="preserve"> </w:t>
      </w:r>
      <w:r w:rsidRPr="00B96E3C">
        <w:rPr>
          <w:rFonts w:cstheme="minorHAnsi"/>
          <w:color w:val="231F20"/>
          <w:w w:val="110"/>
          <w:u w:val="single" w:color="231F20"/>
        </w:rPr>
        <w:t>Provide</w:t>
      </w:r>
      <w:r w:rsidRPr="00B96E3C">
        <w:rPr>
          <w:rFonts w:cstheme="minorHAnsi"/>
          <w:color w:val="231F20"/>
          <w:spacing w:val="-15"/>
          <w:w w:val="110"/>
          <w:u w:val="single" w:color="231F20"/>
        </w:rPr>
        <w:t xml:space="preserve"> </w:t>
      </w:r>
      <w:r w:rsidRPr="00B96E3C">
        <w:rPr>
          <w:rFonts w:cstheme="minorHAnsi"/>
          <w:color w:val="231F20"/>
          <w:w w:val="110"/>
          <w:u w:val="single" w:color="231F20"/>
        </w:rPr>
        <w:t>a</w:t>
      </w:r>
      <w:r w:rsidRPr="00B96E3C">
        <w:rPr>
          <w:rFonts w:cstheme="minorHAnsi"/>
          <w:color w:val="231F20"/>
          <w:spacing w:val="-15"/>
          <w:w w:val="110"/>
          <w:u w:val="single" w:color="231F20"/>
        </w:rPr>
        <w:t xml:space="preserve"> </w:t>
      </w:r>
      <w:r w:rsidRPr="00B96E3C">
        <w:rPr>
          <w:rFonts w:cstheme="minorHAnsi"/>
          <w:color w:val="231F20"/>
          <w:w w:val="110"/>
          <w:u w:val="single" w:color="231F20"/>
        </w:rPr>
        <w:t>safe,</w:t>
      </w:r>
      <w:r w:rsidRPr="00B96E3C">
        <w:rPr>
          <w:rFonts w:cstheme="minorHAnsi"/>
          <w:color w:val="231F20"/>
          <w:spacing w:val="-15"/>
          <w:w w:val="110"/>
          <w:u w:val="single" w:color="231F20"/>
        </w:rPr>
        <w:t xml:space="preserve"> </w:t>
      </w:r>
      <w:r w:rsidRPr="00B96E3C">
        <w:rPr>
          <w:rFonts w:cstheme="minorHAnsi"/>
          <w:color w:val="231F20"/>
          <w:w w:val="110"/>
          <w:u w:val="single" w:color="231F20"/>
        </w:rPr>
        <w:t>accessible</w:t>
      </w:r>
      <w:r w:rsidR="00D5537E">
        <w:rPr>
          <w:rFonts w:cstheme="minorHAnsi"/>
          <w:color w:val="231F20"/>
          <w:w w:val="110"/>
          <w:u w:val="single" w:color="231F20"/>
        </w:rPr>
        <w:t xml:space="preserve"> and</w:t>
      </w:r>
      <w:r w:rsidRPr="00B96E3C">
        <w:rPr>
          <w:rFonts w:cstheme="minorHAnsi"/>
          <w:color w:val="231F20"/>
          <w:spacing w:val="-15"/>
          <w:w w:val="110"/>
          <w:u w:val="single" w:color="231F20"/>
        </w:rPr>
        <w:t xml:space="preserve"> </w:t>
      </w:r>
      <w:r w:rsidRPr="00B96E3C">
        <w:rPr>
          <w:rFonts w:cstheme="minorHAnsi"/>
          <w:color w:val="231F20"/>
          <w:w w:val="110"/>
          <w:u w:val="single" w:color="231F20"/>
        </w:rPr>
        <w:t>adequately</w:t>
      </w:r>
      <w:r w:rsidRPr="00B96E3C">
        <w:rPr>
          <w:rFonts w:cstheme="minorHAnsi"/>
          <w:color w:val="231F20"/>
          <w:spacing w:val="-15"/>
          <w:w w:val="110"/>
          <w:u w:val="single" w:color="231F20"/>
        </w:rPr>
        <w:t xml:space="preserve"> </w:t>
      </w:r>
      <w:r w:rsidRPr="00B96E3C">
        <w:rPr>
          <w:rFonts w:cstheme="minorHAnsi"/>
          <w:color w:val="231F20"/>
          <w:w w:val="110"/>
          <w:u w:val="single" w:color="231F20"/>
        </w:rPr>
        <w:t>equipped</w:t>
      </w:r>
      <w:r w:rsidRPr="00B96E3C">
        <w:rPr>
          <w:rFonts w:cstheme="minorHAnsi"/>
          <w:color w:val="231F20"/>
          <w:spacing w:val="-15"/>
          <w:w w:val="110"/>
          <w:u w:val="single" w:color="231F20"/>
        </w:rPr>
        <w:t xml:space="preserve"> </w:t>
      </w:r>
      <w:r w:rsidRPr="00B96E3C">
        <w:rPr>
          <w:rFonts w:cstheme="minorHAnsi"/>
          <w:color w:val="231F20"/>
          <w:w w:val="110"/>
          <w:u w:val="single" w:color="231F20"/>
        </w:rPr>
        <w:t>work</w:t>
      </w:r>
      <w:r w:rsidRPr="00B96E3C">
        <w:rPr>
          <w:rFonts w:cstheme="minorHAnsi"/>
          <w:color w:val="231F20"/>
          <w:spacing w:val="-15"/>
          <w:w w:val="110"/>
          <w:u w:val="single" w:color="231F20"/>
        </w:rPr>
        <w:t xml:space="preserve"> </w:t>
      </w:r>
      <w:r w:rsidRPr="00B96E3C">
        <w:rPr>
          <w:rFonts w:cstheme="minorHAnsi"/>
          <w:color w:val="231F20"/>
          <w:w w:val="110"/>
          <w:u w:val="single" w:color="231F20"/>
        </w:rPr>
        <w:t>environment</w:t>
      </w:r>
    </w:p>
    <w:p w14:paraId="2E3DFE02" w14:textId="48D41B31" w:rsidR="00B96E3C" w:rsidRPr="00B96E3C" w:rsidRDefault="00B96E3C" w:rsidP="00D63204">
      <w:pPr>
        <w:widowControl w:val="0"/>
        <w:spacing w:before="137" w:after="0" w:line="240" w:lineRule="auto"/>
        <w:ind w:left="107"/>
        <w:rPr>
          <w:rFonts w:cstheme="minorHAnsi"/>
        </w:rPr>
      </w:pPr>
      <w:r w:rsidRPr="00B96E3C">
        <w:rPr>
          <w:rFonts w:cstheme="minorHAnsi"/>
          <w:b/>
          <w:color w:val="231F20"/>
          <w:w w:val="105"/>
        </w:rPr>
        <w:t xml:space="preserve">Strategy: 1. </w:t>
      </w:r>
      <w:r w:rsidRPr="00B96E3C">
        <w:rPr>
          <w:rFonts w:cstheme="minorHAnsi"/>
          <w:color w:val="231F20"/>
          <w:w w:val="105"/>
        </w:rPr>
        <w:t>Develop a comprehensive safety plan for monitoring VR facilities statewide. Specific</w:t>
      </w:r>
      <w:r w:rsidRPr="00B96E3C">
        <w:rPr>
          <w:rFonts w:cstheme="minorHAnsi"/>
          <w:color w:val="231F20"/>
          <w:spacing w:val="14"/>
          <w:w w:val="105"/>
        </w:rPr>
        <w:t xml:space="preserve"> </w:t>
      </w:r>
      <w:r w:rsidRPr="00B96E3C">
        <w:rPr>
          <w:rFonts w:cstheme="minorHAnsi"/>
          <w:color w:val="231F20"/>
          <w:w w:val="105"/>
        </w:rPr>
        <w:t>components</w:t>
      </w:r>
      <w:r w:rsidRPr="00B96E3C">
        <w:rPr>
          <w:rFonts w:cstheme="minorHAnsi"/>
          <w:color w:val="231F20"/>
          <w:spacing w:val="16"/>
          <w:w w:val="105"/>
        </w:rPr>
        <w:t xml:space="preserve"> </w:t>
      </w:r>
      <w:r w:rsidRPr="00B96E3C">
        <w:rPr>
          <w:rFonts w:cstheme="minorHAnsi"/>
          <w:color w:val="231F20"/>
          <w:w w:val="105"/>
        </w:rPr>
        <w:t>include</w:t>
      </w:r>
      <w:r w:rsidRPr="00B96E3C">
        <w:rPr>
          <w:rFonts w:cstheme="minorHAnsi"/>
          <w:color w:val="231F20"/>
          <w:spacing w:val="16"/>
          <w:w w:val="105"/>
        </w:rPr>
        <w:t xml:space="preserve"> </w:t>
      </w:r>
      <w:r w:rsidRPr="00B96E3C">
        <w:rPr>
          <w:rFonts w:cstheme="minorHAnsi"/>
          <w:color w:val="231F20"/>
          <w:w w:val="105"/>
        </w:rPr>
        <w:t>a</w:t>
      </w:r>
      <w:r w:rsidRPr="00B96E3C">
        <w:rPr>
          <w:rFonts w:cstheme="minorHAnsi"/>
          <w:color w:val="231F20"/>
          <w:spacing w:val="16"/>
          <w:w w:val="105"/>
        </w:rPr>
        <w:t xml:space="preserve"> </w:t>
      </w:r>
      <w:r w:rsidRPr="00B96E3C">
        <w:rPr>
          <w:rFonts w:cstheme="minorHAnsi"/>
          <w:color w:val="231F20"/>
          <w:w w:val="105"/>
        </w:rPr>
        <w:t>process</w:t>
      </w:r>
      <w:r w:rsidRPr="00B96E3C">
        <w:rPr>
          <w:rFonts w:cstheme="minorHAnsi"/>
          <w:color w:val="231F20"/>
          <w:spacing w:val="16"/>
          <w:w w:val="105"/>
        </w:rPr>
        <w:t xml:space="preserve"> </w:t>
      </w:r>
      <w:r w:rsidRPr="00B96E3C">
        <w:rPr>
          <w:rFonts w:cstheme="minorHAnsi"/>
          <w:color w:val="231F20"/>
          <w:w w:val="105"/>
        </w:rPr>
        <w:t>for</w:t>
      </w:r>
      <w:r w:rsidRPr="00B96E3C">
        <w:rPr>
          <w:rFonts w:cstheme="minorHAnsi"/>
          <w:color w:val="231F20"/>
          <w:spacing w:val="16"/>
          <w:w w:val="105"/>
        </w:rPr>
        <w:t xml:space="preserve"> </w:t>
      </w:r>
      <w:r w:rsidRPr="00B96E3C">
        <w:rPr>
          <w:rFonts w:cstheme="minorHAnsi"/>
          <w:color w:val="231F20"/>
          <w:w w:val="105"/>
        </w:rPr>
        <w:t>reporting</w:t>
      </w:r>
      <w:r w:rsidRPr="00B96E3C">
        <w:rPr>
          <w:rFonts w:cstheme="minorHAnsi"/>
          <w:color w:val="231F20"/>
          <w:spacing w:val="16"/>
          <w:w w:val="105"/>
        </w:rPr>
        <w:t xml:space="preserve"> </w:t>
      </w:r>
      <w:r w:rsidRPr="00B96E3C">
        <w:rPr>
          <w:rFonts w:cstheme="minorHAnsi"/>
          <w:color w:val="231F20"/>
          <w:w w:val="105"/>
        </w:rPr>
        <w:t>defective/unsafe</w:t>
      </w:r>
      <w:r w:rsidRPr="00B96E3C">
        <w:rPr>
          <w:rFonts w:cstheme="minorHAnsi"/>
          <w:color w:val="231F20"/>
          <w:spacing w:val="16"/>
          <w:w w:val="105"/>
        </w:rPr>
        <w:t xml:space="preserve"> </w:t>
      </w:r>
      <w:r w:rsidRPr="00B96E3C">
        <w:rPr>
          <w:rFonts w:cstheme="minorHAnsi"/>
          <w:color w:val="231F20"/>
          <w:w w:val="105"/>
        </w:rPr>
        <w:t>working</w:t>
      </w:r>
      <w:r w:rsidRPr="00B96E3C">
        <w:rPr>
          <w:rFonts w:cstheme="minorHAnsi"/>
          <w:color w:val="231F20"/>
          <w:spacing w:val="16"/>
          <w:w w:val="105"/>
        </w:rPr>
        <w:t xml:space="preserve"> </w:t>
      </w:r>
      <w:r w:rsidRPr="00B96E3C">
        <w:rPr>
          <w:rFonts w:cstheme="minorHAnsi"/>
          <w:color w:val="231F20"/>
          <w:w w:val="105"/>
        </w:rPr>
        <w:t>conditions,</w:t>
      </w:r>
      <w:r w:rsidRPr="00B96E3C">
        <w:rPr>
          <w:rFonts w:cstheme="minorHAnsi"/>
          <w:color w:val="231F20"/>
          <w:spacing w:val="16"/>
          <w:w w:val="105"/>
        </w:rPr>
        <w:t xml:space="preserve"> </w:t>
      </w:r>
      <w:r w:rsidRPr="00B96E3C">
        <w:rPr>
          <w:rFonts w:cstheme="minorHAnsi"/>
          <w:color w:val="231F20"/>
          <w:w w:val="105"/>
        </w:rPr>
        <w:t>safety</w:t>
      </w:r>
      <w:r w:rsidRPr="00B96E3C">
        <w:rPr>
          <w:rFonts w:cstheme="minorHAnsi"/>
          <w:color w:val="231F20"/>
          <w:spacing w:val="16"/>
          <w:w w:val="105"/>
        </w:rPr>
        <w:t xml:space="preserve"> </w:t>
      </w:r>
      <w:r w:rsidRPr="00B96E3C">
        <w:rPr>
          <w:rFonts w:cstheme="minorHAnsi"/>
          <w:color w:val="231F20"/>
          <w:w w:val="105"/>
        </w:rPr>
        <w:t>and</w:t>
      </w:r>
      <w:r w:rsidRPr="00B96E3C">
        <w:rPr>
          <w:rFonts w:cstheme="minorHAnsi"/>
          <w:color w:val="231F20"/>
          <w:spacing w:val="16"/>
          <w:w w:val="105"/>
        </w:rPr>
        <w:t xml:space="preserve"> </w:t>
      </w:r>
      <w:r w:rsidRPr="00B96E3C">
        <w:rPr>
          <w:rFonts w:cstheme="minorHAnsi"/>
          <w:color w:val="231F20"/>
          <w:w w:val="105"/>
        </w:rPr>
        <w:t>facilities</w:t>
      </w:r>
      <w:r w:rsidRPr="00B96E3C">
        <w:rPr>
          <w:rFonts w:cstheme="minorHAnsi"/>
          <w:color w:val="231F20"/>
          <w:spacing w:val="-38"/>
          <w:w w:val="105"/>
        </w:rPr>
        <w:t xml:space="preserve"> </w:t>
      </w:r>
      <w:r w:rsidRPr="00B96E3C">
        <w:rPr>
          <w:rFonts w:cstheme="minorHAnsi"/>
          <w:color w:val="231F20"/>
          <w:w w:val="105"/>
        </w:rPr>
        <w:t>management training for area staff, a move manual, a statewide safety manual, statewide first aid info,</w:t>
      </w:r>
      <w:r w:rsidRPr="00B96E3C">
        <w:rPr>
          <w:rFonts w:cstheme="minorHAnsi"/>
          <w:color w:val="231F20"/>
          <w:w w:val="92"/>
        </w:rPr>
        <w:t xml:space="preserve"> </w:t>
      </w:r>
      <w:r w:rsidRPr="00B96E3C">
        <w:rPr>
          <w:rFonts w:cstheme="minorHAnsi"/>
          <w:color w:val="231F20"/>
          <w:w w:val="105"/>
        </w:rPr>
        <w:t>furniture inspection instructions</w:t>
      </w:r>
      <w:r w:rsidR="00D5537E">
        <w:rPr>
          <w:rFonts w:cstheme="minorHAnsi"/>
          <w:color w:val="231F20"/>
          <w:w w:val="105"/>
        </w:rPr>
        <w:t xml:space="preserve"> and</w:t>
      </w:r>
      <w:r w:rsidRPr="00B96E3C">
        <w:rPr>
          <w:rFonts w:cstheme="minorHAnsi"/>
          <w:color w:val="231F20"/>
          <w:w w:val="105"/>
        </w:rPr>
        <w:t xml:space="preserve"> a facility security / building access policy at HQ.</w:t>
      </w:r>
    </w:p>
    <w:p w14:paraId="1B46503F" w14:textId="77777777" w:rsidR="00B96E3C" w:rsidRPr="00B96E3C" w:rsidRDefault="00B96E3C" w:rsidP="00D63204">
      <w:pPr>
        <w:widowControl w:val="0"/>
        <w:spacing w:before="145" w:after="0" w:line="240" w:lineRule="auto"/>
        <w:ind w:left="107"/>
        <w:outlineLvl w:val="2"/>
        <w:rPr>
          <w:rFonts w:cstheme="minorHAnsi"/>
        </w:rPr>
      </w:pPr>
      <w:r w:rsidRPr="00B96E3C">
        <w:rPr>
          <w:rFonts w:cstheme="minorHAnsi"/>
          <w:b/>
          <w:bCs/>
          <w:color w:val="231F20"/>
          <w:w w:val="105"/>
        </w:rPr>
        <w:t>Measures of</w:t>
      </w:r>
      <w:r w:rsidRPr="00B96E3C">
        <w:rPr>
          <w:rFonts w:cstheme="minorHAnsi"/>
          <w:b/>
          <w:bCs/>
          <w:color w:val="231F20"/>
          <w:spacing w:val="35"/>
          <w:w w:val="105"/>
        </w:rPr>
        <w:t xml:space="preserve"> </w:t>
      </w:r>
      <w:r w:rsidRPr="00B96E3C">
        <w:rPr>
          <w:rFonts w:cstheme="minorHAnsi"/>
          <w:b/>
          <w:bCs/>
          <w:color w:val="231F20"/>
          <w:w w:val="105"/>
        </w:rPr>
        <w:t>Success:</w:t>
      </w:r>
    </w:p>
    <w:p w14:paraId="7381393B" w14:textId="36A86532" w:rsidR="00B96E3C" w:rsidRPr="00B96E3C" w:rsidRDefault="00B96E3C" w:rsidP="00D63204">
      <w:pPr>
        <w:pStyle w:val="ListParagraph"/>
        <w:widowControl w:val="0"/>
        <w:numPr>
          <w:ilvl w:val="0"/>
          <w:numId w:val="130"/>
        </w:numPr>
        <w:tabs>
          <w:tab w:val="left" w:pos="668"/>
        </w:tabs>
        <w:spacing w:before="139" w:after="0" w:line="240" w:lineRule="auto"/>
        <w:rPr>
          <w:rFonts w:cstheme="minorHAnsi"/>
          <w:color w:val="231F20"/>
        </w:rPr>
      </w:pPr>
      <w:r w:rsidRPr="00B96E3C">
        <w:rPr>
          <w:rFonts w:cstheme="minorHAnsi"/>
          <w:color w:val="231F20"/>
          <w:w w:val="105"/>
        </w:rPr>
        <w:t xml:space="preserve">Improvement in climate survey item: </w:t>
      </w:r>
      <w:r w:rsidRPr="00B96E3C">
        <w:rPr>
          <w:rFonts w:cstheme="minorHAnsi"/>
          <w:color w:val="231F20"/>
          <w:spacing w:val="-6"/>
          <w:w w:val="105"/>
        </w:rPr>
        <w:t xml:space="preserve">Q17. </w:t>
      </w:r>
      <w:r w:rsidRPr="00B96E3C">
        <w:rPr>
          <w:rFonts w:cstheme="minorHAnsi"/>
          <w:color w:val="231F20"/>
          <w:w w:val="105"/>
        </w:rPr>
        <w:t>Physically safe work environment-</w:t>
      </w:r>
      <w:r w:rsidRPr="00B96E3C">
        <w:rPr>
          <w:rFonts w:cstheme="minorHAnsi"/>
          <w:color w:val="231F20"/>
          <w:spacing w:val="40"/>
          <w:w w:val="105"/>
        </w:rPr>
        <w:t xml:space="preserve"> </w:t>
      </w:r>
      <w:r w:rsidRPr="00B96E3C">
        <w:rPr>
          <w:rFonts w:cstheme="minorHAnsi"/>
          <w:color w:val="231F20"/>
          <w:w w:val="105"/>
        </w:rPr>
        <w:t>81.94%</w:t>
      </w:r>
    </w:p>
    <w:p w14:paraId="753EFE23" w14:textId="77777777" w:rsidR="00B96E3C" w:rsidRPr="00B96E3C" w:rsidRDefault="00B96E3C" w:rsidP="00D63204">
      <w:pPr>
        <w:pStyle w:val="ListParagraph"/>
        <w:widowControl w:val="0"/>
        <w:tabs>
          <w:tab w:val="left" w:pos="668"/>
        </w:tabs>
        <w:spacing w:before="139" w:after="0" w:line="240" w:lineRule="auto"/>
        <w:ind w:left="827"/>
        <w:rPr>
          <w:rFonts w:cstheme="minorHAnsi"/>
          <w:color w:val="231F20"/>
        </w:rPr>
      </w:pPr>
    </w:p>
    <w:p w14:paraId="3F7D7D0D" w14:textId="77777777" w:rsidR="00B96E3C" w:rsidRPr="00B96E3C" w:rsidRDefault="00B96E3C" w:rsidP="00D63204">
      <w:pPr>
        <w:pStyle w:val="ListParagraph"/>
        <w:widowControl w:val="0"/>
        <w:numPr>
          <w:ilvl w:val="0"/>
          <w:numId w:val="130"/>
        </w:numPr>
        <w:tabs>
          <w:tab w:val="left" w:pos="668"/>
        </w:tabs>
        <w:spacing w:before="139" w:after="0" w:line="240" w:lineRule="auto"/>
        <w:rPr>
          <w:rFonts w:cstheme="minorHAnsi"/>
          <w:color w:val="231F20"/>
        </w:rPr>
      </w:pPr>
      <w:r w:rsidRPr="00B96E3C">
        <w:rPr>
          <w:rFonts w:cstheme="minorHAnsi"/>
          <w:color w:val="231F20"/>
          <w:w w:val="105"/>
        </w:rPr>
        <w:t>Pulse survey results following implementation of each</w:t>
      </w:r>
      <w:r w:rsidRPr="00B96E3C">
        <w:rPr>
          <w:rFonts w:cstheme="minorHAnsi"/>
          <w:color w:val="231F20"/>
          <w:spacing w:val="34"/>
          <w:w w:val="105"/>
        </w:rPr>
        <w:t xml:space="preserve"> </w:t>
      </w:r>
      <w:r w:rsidRPr="00B96E3C">
        <w:rPr>
          <w:rFonts w:cstheme="minorHAnsi"/>
          <w:color w:val="231F20"/>
          <w:w w:val="105"/>
        </w:rPr>
        <w:t>improvement</w:t>
      </w:r>
    </w:p>
    <w:p w14:paraId="590469DC" w14:textId="77777777" w:rsidR="00EA7458" w:rsidRPr="00EA7458" w:rsidRDefault="00EA7458" w:rsidP="00D63204">
      <w:pPr>
        <w:widowControl w:val="0"/>
        <w:spacing w:before="3" w:after="0" w:line="240" w:lineRule="auto"/>
        <w:ind w:left="90" w:hanging="18"/>
        <w:rPr>
          <w:rFonts w:ascii="Calibri" w:hAnsi="Calibri" w:cs="Calibri"/>
          <w:sz w:val="14"/>
          <w:szCs w:val="14"/>
        </w:rPr>
      </w:pPr>
    </w:p>
    <w:p w14:paraId="195E0C1E" w14:textId="38013FC4" w:rsidR="00EA7458" w:rsidRPr="00493CD4" w:rsidRDefault="005B265A" w:rsidP="00D63204">
      <w:pPr>
        <w:pStyle w:val="ListParagraph"/>
        <w:widowControl w:val="0"/>
        <w:numPr>
          <w:ilvl w:val="0"/>
          <w:numId w:val="122"/>
        </w:numPr>
        <w:spacing w:after="0" w:line="240" w:lineRule="auto"/>
        <w:outlineLvl w:val="1"/>
        <w:rPr>
          <w:rFonts w:cstheme="minorHAnsi"/>
          <w:color w:val="1F497D" w:themeColor="text2"/>
          <w:sz w:val="26"/>
          <w:szCs w:val="26"/>
        </w:rPr>
      </w:pPr>
      <w:bookmarkStart w:id="154" w:name="(p)_Evaluation_and_Reports_of_Progress"/>
      <w:bookmarkStart w:id="155" w:name="_bookmark95"/>
      <w:bookmarkEnd w:id="154"/>
      <w:bookmarkEnd w:id="155"/>
      <w:r w:rsidRPr="00493CD4">
        <w:rPr>
          <w:rFonts w:cstheme="minorHAnsi"/>
          <w:b/>
          <w:bCs/>
          <w:color w:val="1F497D" w:themeColor="text2"/>
          <w:w w:val="110"/>
        </w:rPr>
        <w:t xml:space="preserve"> </w:t>
      </w:r>
      <w:r w:rsidR="004A3FCD" w:rsidRPr="00493CD4">
        <w:rPr>
          <w:rFonts w:cstheme="minorHAnsi"/>
          <w:b/>
          <w:bCs/>
          <w:color w:val="1F497D" w:themeColor="text2"/>
          <w:w w:val="110"/>
          <w:sz w:val="26"/>
          <w:szCs w:val="26"/>
        </w:rPr>
        <w:t>Order of Selection</w:t>
      </w:r>
    </w:p>
    <w:p w14:paraId="3F0AA707" w14:textId="77777777" w:rsidR="005B265A" w:rsidRPr="005B265A" w:rsidRDefault="005B265A" w:rsidP="00D63204">
      <w:pPr>
        <w:pStyle w:val="ListParagraph"/>
        <w:widowControl w:val="0"/>
        <w:spacing w:after="0" w:line="240" w:lineRule="auto"/>
        <w:ind w:left="90"/>
        <w:outlineLvl w:val="1"/>
        <w:rPr>
          <w:rFonts w:cstheme="minorHAnsi"/>
        </w:rPr>
      </w:pPr>
    </w:p>
    <w:p w14:paraId="66CC9A4A" w14:textId="77777777" w:rsidR="004A3FCD" w:rsidRPr="005B265A" w:rsidRDefault="004A3FCD" w:rsidP="00D63204">
      <w:pPr>
        <w:widowControl w:val="0"/>
        <w:spacing w:after="0" w:line="240" w:lineRule="auto"/>
        <w:ind w:left="90"/>
        <w:outlineLvl w:val="2"/>
        <w:rPr>
          <w:rFonts w:cstheme="minorHAnsi"/>
        </w:rPr>
      </w:pPr>
      <w:r w:rsidRPr="005B265A">
        <w:rPr>
          <w:rFonts w:cstheme="minorHAnsi"/>
          <w:b/>
          <w:bCs/>
          <w:color w:val="231F20"/>
          <w:w w:val="105"/>
          <w:u w:val="single" w:color="231F20"/>
        </w:rPr>
        <w:t>Justification for the Order of Selection</w:t>
      </w:r>
      <w:r w:rsidRPr="005B265A">
        <w:rPr>
          <w:rFonts w:cstheme="minorHAnsi"/>
          <w:b/>
          <w:bCs/>
          <w:color w:val="231F20"/>
          <w:spacing w:val="-1"/>
          <w:w w:val="113"/>
          <w:u w:val="single" w:color="231F20"/>
        </w:rPr>
        <w:t xml:space="preserve"> </w:t>
      </w:r>
    </w:p>
    <w:p w14:paraId="5247EAF7" w14:textId="0C23F627" w:rsidR="004A3FCD" w:rsidRPr="005B265A" w:rsidRDefault="004A3FCD" w:rsidP="00D63204">
      <w:pPr>
        <w:widowControl w:val="0"/>
        <w:spacing w:after="0" w:line="240" w:lineRule="auto"/>
        <w:ind w:left="90"/>
        <w:rPr>
          <w:rFonts w:cstheme="minorHAnsi"/>
        </w:rPr>
      </w:pPr>
      <w:r w:rsidRPr="005B265A">
        <w:rPr>
          <w:rFonts w:cstheme="minorHAnsi"/>
          <w:color w:val="231F20"/>
          <w:w w:val="105"/>
        </w:rPr>
        <w:t>The</w:t>
      </w:r>
      <w:r w:rsidRPr="005B265A">
        <w:rPr>
          <w:rFonts w:cstheme="minorHAnsi"/>
          <w:color w:val="231F20"/>
          <w:spacing w:val="26"/>
          <w:w w:val="105"/>
        </w:rPr>
        <w:t xml:space="preserve"> </w:t>
      </w:r>
      <w:r w:rsidRPr="005B265A">
        <w:rPr>
          <w:rFonts w:cstheme="minorHAnsi"/>
          <w:color w:val="231F20"/>
          <w:w w:val="105"/>
        </w:rPr>
        <w:t>Division</w:t>
      </w:r>
      <w:r w:rsidRPr="005B265A">
        <w:rPr>
          <w:rFonts w:cstheme="minorHAnsi"/>
          <w:color w:val="231F20"/>
          <w:spacing w:val="26"/>
          <w:w w:val="105"/>
        </w:rPr>
        <w:t xml:space="preserve"> </w:t>
      </w:r>
      <w:r w:rsidRPr="005B265A">
        <w:rPr>
          <w:rFonts w:cstheme="minorHAnsi"/>
          <w:color w:val="231F20"/>
          <w:w w:val="105"/>
        </w:rPr>
        <w:t>of</w:t>
      </w:r>
      <w:r w:rsidRPr="005B265A">
        <w:rPr>
          <w:rFonts w:cstheme="minorHAnsi"/>
          <w:color w:val="231F20"/>
          <w:spacing w:val="26"/>
          <w:w w:val="105"/>
        </w:rPr>
        <w:t xml:space="preserve"> </w:t>
      </w:r>
      <w:r w:rsidRPr="005B265A">
        <w:rPr>
          <w:rFonts w:cstheme="minorHAnsi"/>
          <w:color w:val="231F20"/>
          <w:w w:val="105"/>
        </w:rPr>
        <w:t>Vocational</w:t>
      </w:r>
      <w:r w:rsidRPr="005B265A">
        <w:rPr>
          <w:rFonts w:cstheme="minorHAnsi"/>
          <w:color w:val="231F20"/>
          <w:spacing w:val="26"/>
          <w:w w:val="105"/>
        </w:rPr>
        <w:t xml:space="preserve"> </w:t>
      </w:r>
      <w:r w:rsidRPr="005B265A">
        <w:rPr>
          <w:rFonts w:cstheme="minorHAnsi"/>
          <w:color w:val="231F20"/>
          <w:w w:val="105"/>
        </w:rPr>
        <w:t>Rehabilitation</w:t>
      </w:r>
      <w:r w:rsidRPr="005B265A">
        <w:rPr>
          <w:rFonts w:cstheme="minorHAnsi"/>
          <w:color w:val="231F20"/>
          <w:spacing w:val="26"/>
          <w:w w:val="105"/>
        </w:rPr>
        <w:t xml:space="preserve"> </w:t>
      </w:r>
      <w:r w:rsidRPr="005B265A">
        <w:rPr>
          <w:rFonts w:cstheme="minorHAnsi"/>
          <w:color w:val="231F20"/>
          <w:w w:val="105"/>
        </w:rPr>
        <w:t>(VR)</w:t>
      </w:r>
      <w:r w:rsidRPr="005B265A">
        <w:rPr>
          <w:rFonts w:cstheme="minorHAnsi"/>
          <w:color w:val="231F20"/>
          <w:spacing w:val="26"/>
          <w:w w:val="105"/>
        </w:rPr>
        <w:t xml:space="preserve"> </w:t>
      </w:r>
      <w:r w:rsidRPr="005B265A">
        <w:rPr>
          <w:rFonts w:cstheme="minorHAnsi"/>
          <w:color w:val="231F20"/>
          <w:w w:val="105"/>
        </w:rPr>
        <w:t>determined</w:t>
      </w:r>
      <w:r w:rsidRPr="005B265A">
        <w:rPr>
          <w:rFonts w:cstheme="minorHAnsi"/>
          <w:color w:val="231F20"/>
          <w:spacing w:val="26"/>
          <w:w w:val="105"/>
        </w:rPr>
        <w:t xml:space="preserve"> </w:t>
      </w:r>
      <w:r w:rsidRPr="005B265A">
        <w:rPr>
          <w:rFonts w:cstheme="minorHAnsi"/>
          <w:color w:val="231F20"/>
          <w:w w:val="105"/>
        </w:rPr>
        <w:t>that</w:t>
      </w:r>
      <w:r w:rsidRPr="005B265A">
        <w:rPr>
          <w:rFonts w:cstheme="minorHAnsi"/>
          <w:color w:val="231F20"/>
          <w:spacing w:val="26"/>
          <w:w w:val="105"/>
        </w:rPr>
        <w:t xml:space="preserve"> </w:t>
      </w:r>
      <w:r w:rsidRPr="005B265A">
        <w:rPr>
          <w:rFonts w:cstheme="minorHAnsi"/>
          <w:color w:val="231F20"/>
          <w:w w:val="105"/>
        </w:rPr>
        <w:t>sufficient</w:t>
      </w:r>
      <w:r w:rsidRPr="005B265A">
        <w:rPr>
          <w:rFonts w:cstheme="minorHAnsi"/>
          <w:color w:val="231F20"/>
          <w:spacing w:val="26"/>
          <w:w w:val="105"/>
        </w:rPr>
        <w:t xml:space="preserve"> </w:t>
      </w:r>
      <w:r w:rsidRPr="005B265A">
        <w:rPr>
          <w:rFonts w:cstheme="minorHAnsi"/>
          <w:color w:val="231F20"/>
          <w:w w:val="105"/>
        </w:rPr>
        <w:t>resources</w:t>
      </w:r>
      <w:r w:rsidRPr="005B265A">
        <w:rPr>
          <w:rFonts w:cstheme="minorHAnsi"/>
          <w:color w:val="231F20"/>
          <w:spacing w:val="26"/>
          <w:w w:val="105"/>
        </w:rPr>
        <w:t xml:space="preserve"> </w:t>
      </w:r>
      <w:r w:rsidRPr="005B265A">
        <w:rPr>
          <w:rFonts w:cstheme="minorHAnsi"/>
          <w:color w:val="231F20"/>
          <w:w w:val="105"/>
        </w:rPr>
        <w:t>were</w:t>
      </w:r>
      <w:r w:rsidRPr="005B265A">
        <w:rPr>
          <w:rFonts w:cstheme="minorHAnsi"/>
          <w:color w:val="231F20"/>
          <w:spacing w:val="26"/>
          <w:w w:val="105"/>
        </w:rPr>
        <w:t xml:space="preserve"> </w:t>
      </w:r>
      <w:r w:rsidRPr="005B265A">
        <w:rPr>
          <w:rFonts w:cstheme="minorHAnsi"/>
          <w:color w:val="231F20"/>
          <w:w w:val="105"/>
        </w:rPr>
        <w:t>not</w:t>
      </w:r>
      <w:r w:rsidRPr="005B265A">
        <w:rPr>
          <w:rFonts w:cstheme="minorHAnsi"/>
          <w:color w:val="231F20"/>
          <w:spacing w:val="26"/>
          <w:w w:val="105"/>
        </w:rPr>
        <w:t xml:space="preserve"> </w:t>
      </w:r>
      <w:r w:rsidRPr="005B265A">
        <w:rPr>
          <w:rFonts w:cstheme="minorHAnsi"/>
          <w:color w:val="231F20"/>
          <w:w w:val="105"/>
        </w:rPr>
        <w:t>available</w:t>
      </w:r>
      <w:r w:rsidRPr="005B265A">
        <w:rPr>
          <w:rFonts w:cstheme="minorHAnsi"/>
          <w:color w:val="231F20"/>
          <w:spacing w:val="-45"/>
          <w:w w:val="105"/>
        </w:rPr>
        <w:t xml:space="preserve"> </w:t>
      </w:r>
      <w:r w:rsidRPr="005B265A">
        <w:rPr>
          <w:rFonts w:cstheme="minorHAnsi"/>
          <w:color w:val="231F20"/>
          <w:w w:val="105"/>
        </w:rPr>
        <w:t>to provide rehabilitation services to all individuals with disabilities who apply. Consequently, VR</w:t>
      </w:r>
      <w:r w:rsidRPr="005B265A">
        <w:rPr>
          <w:rFonts w:cstheme="minorHAnsi"/>
          <w:color w:val="231F20"/>
          <w:spacing w:val="24"/>
          <w:w w:val="105"/>
        </w:rPr>
        <w:t xml:space="preserve"> </w:t>
      </w:r>
      <w:r w:rsidRPr="005B265A">
        <w:rPr>
          <w:rFonts w:cstheme="minorHAnsi"/>
          <w:color w:val="231F20"/>
          <w:w w:val="105"/>
        </w:rPr>
        <w:t>established</w:t>
      </w:r>
      <w:r w:rsidRPr="005B265A">
        <w:rPr>
          <w:rFonts w:cstheme="minorHAnsi"/>
          <w:color w:val="231F20"/>
          <w:spacing w:val="17"/>
          <w:w w:val="105"/>
        </w:rPr>
        <w:t xml:space="preserve"> </w:t>
      </w:r>
      <w:r w:rsidRPr="005B265A">
        <w:rPr>
          <w:rFonts w:cstheme="minorHAnsi"/>
          <w:color w:val="231F20"/>
          <w:w w:val="105"/>
        </w:rPr>
        <w:t>an</w:t>
      </w:r>
      <w:r w:rsidRPr="005B265A">
        <w:rPr>
          <w:rFonts w:cstheme="minorHAnsi"/>
          <w:color w:val="231F20"/>
          <w:spacing w:val="17"/>
          <w:w w:val="105"/>
        </w:rPr>
        <w:t xml:space="preserve"> </w:t>
      </w:r>
      <w:r w:rsidRPr="005B265A">
        <w:rPr>
          <w:rFonts w:cstheme="minorHAnsi"/>
          <w:color w:val="231F20"/>
          <w:w w:val="105"/>
        </w:rPr>
        <w:t>Order</w:t>
      </w:r>
      <w:r w:rsidRPr="005B265A">
        <w:rPr>
          <w:rFonts w:cstheme="minorHAnsi"/>
          <w:color w:val="231F20"/>
          <w:spacing w:val="17"/>
          <w:w w:val="105"/>
        </w:rPr>
        <w:t xml:space="preserve"> </w:t>
      </w:r>
      <w:r w:rsidRPr="005B265A">
        <w:rPr>
          <w:rFonts w:cstheme="minorHAnsi"/>
          <w:color w:val="231F20"/>
          <w:w w:val="105"/>
        </w:rPr>
        <w:t>of</w:t>
      </w:r>
      <w:r w:rsidRPr="005B265A">
        <w:rPr>
          <w:rFonts w:cstheme="minorHAnsi"/>
          <w:color w:val="231F20"/>
          <w:spacing w:val="17"/>
          <w:w w:val="105"/>
        </w:rPr>
        <w:t xml:space="preserve"> </w:t>
      </w:r>
      <w:r w:rsidRPr="005B265A">
        <w:rPr>
          <w:rFonts w:cstheme="minorHAnsi"/>
          <w:color w:val="231F20"/>
          <w:w w:val="105"/>
        </w:rPr>
        <w:t>Selection</w:t>
      </w:r>
      <w:r w:rsidRPr="005B265A">
        <w:rPr>
          <w:rFonts w:cstheme="minorHAnsi"/>
          <w:color w:val="231F20"/>
          <w:spacing w:val="17"/>
          <w:w w:val="105"/>
        </w:rPr>
        <w:t xml:space="preserve"> </w:t>
      </w:r>
      <w:r w:rsidRPr="005B265A">
        <w:rPr>
          <w:rFonts w:cstheme="minorHAnsi"/>
          <w:color w:val="231F20"/>
          <w:w w:val="105"/>
        </w:rPr>
        <w:t>(OOS)</w:t>
      </w:r>
      <w:r w:rsidRPr="005B265A">
        <w:rPr>
          <w:rFonts w:cstheme="minorHAnsi"/>
          <w:color w:val="231F20"/>
          <w:spacing w:val="17"/>
          <w:w w:val="105"/>
        </w:rPr>
        <w:t xml:space="preserve"> </w:t>
      </w:r>
      <w:r w:rsidRPr="005B265A">
        <w:rPr>
          <w:rFonts w:cstheme="minorHAnsi"/>
          <w:color w:val="231F20"/>
          <w:w w:val="105"/>
        </w:rPr>
        <w:t>within</w:t>
      </w:r>
      <w:r w:rsidRPr="005B265A">
        <w:rPr>
          <w:rFonts w:cstheme="minorHAnsi"/>
          <w:color w:val="231F20"/>
          <w:spacing w:val="17"/>
          <w:w w:val="105"/>
        </w:rPr>
        <w:t xml:space="preserve"> </w:t>
      </w:r>
      <w:r w:rsidRPr="005B265A">
        <w:rPr>
          <w:rFonts w:cstheme="minorHAnsi"/>
          <w:color w:val="231F20"/>
          <w:w w:val="105"/>
        </w:rPr>
        <w:t>the</w:t>
      </w:r>
      <w:r w:rsidRPr="005B265A">
        <w:rPr>
          <w:rFonts w:cstheme="minorHAnsi"/>
          <w:color w:val="231F20"/>
          <w:spacing w:val="17"/>
          <w:w w:val="105"/>
        </w:rPr>
        <w:t xml:space="preserve"> </w:t>
      </w:r>
      <w:r w:rsidRPr="005B265A">
        <w:rPr>
          <w:rFonts w:cstheme="minorHAnsi"/>
          <w:color w:val="231F20"/>
          <w:w w:val="105"/>
        </w:rPr>
        <w:t>state</w:t>
      </w:r>
      <w:r w:rsidRPr="005B265A">
        <w:rPr>
          <w:rFonts w:cstheme="minorHAnsi"/>
          <w:color w:val="231F20"/>
          <w:spacing w:val="17"/>
          <w:w w:val="105"/>
        </w:rPr>
        <w:t xml:space="preserve"> </w:t>
      </w:r>
      <w:r w:rsidRPr="005B265A">
        <w:rPr>
          <w:rFonts w:cstheme="minorHAnsi"/>
          <w:color w:val="231F20"/>
          <w:w w:val="105"/>
        </w:rPr>
        <w:t>to</w:t>
      </w:r>
      <w:r w:rsidRPr="005B265A">
        <w:rPr>
          <w:rFonts w:cstheme="minorHAnsi"/>
          <w:color w:val="231F20"/>
          <w:spacing w:val="17"/>
          <w:w w:val="105"/>
        </w:rPr>
        <w:t xml:space="preserve"> </w:t>
      </w:r>
      <w:r w:rsidRPr="005B265A">
        <w:rPr>
          <w:rFonts w:cstheme="minorHAnsi"/>
          <w:color w:val="231F20"/>
          <w:w w:val="105"/>
        </w:rPr>
        <w:t>ensure</w:t>
      </w:r>
      <w:r w:rsidRPr="005B265A">
        <w:rPr>
          <w:rFonts w:cstheme="minorHAnsi"/>
          <w:color w:val="231F20"/>
          <w:spacing w:val="17"/>
          <w:w w:val="105"/>
        </w:rPr>
        <w:t xml:space="preserve"> </w:t>
      </w:r>
      <w:r w:rsidRPr="005B265A">
        <w:rPr>
          <w:rFonts w:cstheme="minorHAnsi"/>
          <w:color w:val="231F20"/>
          <w:w w:val="105"/>
        </w:rPr>
        <w:t>that</w:t>
      </w:r>
      <w:r w:rsidRPr="005B265A">
        <w:rPr>
          <w:rFonts w:cstheme="minorHAnsi"/>
          <w:color w:val="231F20"/>
          <w:spacing w:val="17"/>
          <w:w w:val="105"/>
        </w:rPr>
        <w:t xml:space="preserve"> </w:t>
      </w:r>
      <w:r w:rsidRPr="005B265A">
        <w:rPr>
          <w:rFonts w:cstheme="minorHAnsi"/>
          <w:color w:val="231F20"/>
          <w:w w:val="105"/>
        </w:rPr>
        <w:t>individuals</w:t>
      </w:r>
      <w:r w:rsidRPr="005B265A">
        <w:rPr>
          <w:rFonts w:cstheme="minorHAnsi"/>
          <w:color w:val="231F20"/>
          <w:spacing w:val="17"/>
          <w:w w:val="105"/>
        </w:rPr>
        <w:t xml:space="preserve"> </w:t>
      </w:r>
      <w:r w:rsidRPr="005B265A">
        <w:rPr>
          <w:rFonts w:cstheme="minorHAnsi"/>
          <w:color w:val="231F20"/>
          <w:w w:val="105"/>
        </w:rPr>
        <w:t>with</w:t>
      </w:r>
      <w:r w:rsidRPr="005B265A">
        <w:rPr>
          <w:rFonts w:cstheme="minorHAnsi"/>
          <w:color w:val="231F20"/>
          <w:spacing w:val="17"/>
          <w:w w:val="105"/>
        </w:rPr>
        <w:t xml:space="preserve"> </w:t>
      </w:r>
      <w:r w:rsidRPr="005B265A">
        <w:rPr>
          <w:rFonts w:cstheme="minorHAnsi"/>
          <w:color w:val="231F20"/>
          <w:w w:val="105"/>
        </w:rPr>
        <w:t>the</w:t>
      </w:r>
      <w:r w:rsidRPr="005B265A">
        <w:rPr>
          <w:rFonts w:cstheme="minorHAnsi"/>
          <w:color w:val="231F20"/>
          <w:spacing w:val="17"/>
          <w:w w:val="105"/>
        </w:rPr>
        <w:t xml:space="preserve"> </w:t>
      </w:r>
      <w:r w:rsidRPr="005B265A">
        <w:rPr>
          <w:rFonts w:cstheme="minorHAnsi"/>
          <w:color w:val="231F20"/>
          <w:w w:val="105"/>
        </w:rPr>
        <w:t>most</w:t>
      </w:r>
      <w:r w:rsidRPr="005B265A">
        <w:rPr>
          <w:rFonts w:cstheme="minorHAnsi"/>
          <w:color w:val="231F20"/>
          <w:spacing w:val="18"/>
          <w:w w:val="105"/>
        </w:rPr>
        <w:t xml:space="preserve"> </w:t>
      </w:r>
      <w:r w:rsidRPr="005B265A">
        <w:rPr>
          <w:rFonts w:cstheme="minorHAnsi"/>
          <w:color w:val="231F20"/>
          <w:w w:val="105"/>
        </w:rPr>
        <w:t>significant</w:t>
      </w:r>
      <w:r w:rsidRPr="005B265A">
        <w:rPr>
          <w:rFonts w:cstheme="minorHAnsi"/>
          <w:color w:val="231F20"/>
          <w:spacing w:val="23"/>
          <w:w w:val="105"/>
        </w:rPr>
        <w:t xml:space="preserve"> </w:t>
      </w:r>
      <w:r w:rsidRPr="005B265A">
        <w:rPr>
          <w:rFonts w:cstheme="minorHAnsi"/>
          <w:color w:val="231F20"/>
          <w:w w:val="105"/>
        </w:rPr>
        <w:t>disabilities</w:t>
      </w:r>
      <w:r w:rsidRPr="005B265A">
        <w:rPr>
          <w:rFonts w:cstheme="minorHAnsi"/>
          <w:color w:val="231F20"/>
          <w:spacing w:val="23"/>
          <w:w w:val="105"/>
        </w:rPr>
        <w:t xml:space="preserve"> </w:t>
      </w:r>
      <w:r w:rsidRPr="005B265A">
        <w:rPr>
          <w:rFonts w:cstheme="minorHAnsi"/>
          <w:color w:val="231F20"/>
          <w:w w:val="105"/>
        </w:rPr>
        <w:t>are</w:t>
      </w:r>
      <w:r w:rsidRPr="005B265A">
        <w:rPr>
          <w:rFonts w:cstheme="minorHAnsi"/>
          <w:color w:val="231F20"/>
          <w:spacing w:val="23"/>
          <w:w w:val="105"/>
        </w:rPr>
        <w:t xml:space="preserve"> </w:t>
      </w:r>
      <w:r w:rsidRPr="005B265A">
        <w:rPr>
          <w:rFonts w:cstheme="minorHAnsi"/>
          <w:color w:val="231F20"/>
          <w:w w:val="105"/>
        </w:rPr>
        <w:t>selected</w:t>
      </w:r>
      <w:r w:rsidRPr="005B265A">
        <w:rPr>
          <w:rFonts w:cstheme="minorHAnsi"/>
          <w:color w:val="231F20"/>
          <w:spacing w:val="23"/>
          <w:w w:val="105"/>
        </w:rPr>
        <w:t xml:space="preserve"> </w:t>
      </w:r>
      <w:r w:rsidRPr="005B265A">
        <w:rPr>
          <w:rFonts w:cstheme="minorHAnsi"/>
          <w:color w:val="231F20"/>
          <w:w w:val="105"/>
        </w:rPr>
        <w:t>first</w:t>
      </w:r>
      <w:r w:rsidRPr="005B265A">
        <w:rPr>
          <w:rFonts w:cstheme="minorHAnsi"/>
          <w:color w:val="231F20"/>
          <w:spacing w:val="23"/>
          <w:w w:val="105"/>
        </w:rPr>
        <w:t xml:space="preserve"> </w:t>
      </w:r>
      <w:r w:rsidRPr="005B265A">
        <w:rPr>
          <w:rFonts w:cstheme="minorHAnsi"/>
          <w:color w:val="231F20"/>
          <w:w w:val="105"/>
        </w:rPr>
        <w:t>for</w:t>
      </w:r>
      <w:r w:rsidRPr="005B265A">
        <w:rPr>
          <w:rFonts w:cstheme="minorHAnsi"/>
          <w:color w:val="231F20"/>
          <w:spacing w:val="23"/>
          <w:w w:val="105"/>
        </w:rPr>
        <w:t xml:space="preserve"> </w:t>
      </w:r>
      <w:r w:rsidRPr="005B265A">
        <w:rPr>
          <w:rFonts w:cstheme="minorHAnsi"/>
          <w:color w:val="231F20"/>
          <w:w w:val="105"/>
        </w:rPr>
        <w:t>vocational</w:t>
      </w:r>
      <w:r w:rsidRPr="005B265A">
        <w:rPr>
          <w:rFonts w:cstheme="minorHAnsi"/>
          <w:color w:val="231F20"/>
          <w:spacing w:val="23"/>
          <w:w w:val="105"/>
        </w:rPr>
        <w:t xml:space="preserve"> </w:t>
      </w:r>
      <w:r w:rsidRPr="005B265A">
        <w:rPr>
          <w:rFonts w:cstheme="minorHAnsi"/>
          <w:color w:val="231F20"/>
          <w:w w:val="105"/>
        </w:rPr>
        <w:t>rehabilitation</w:t>
      </w:r>
      <w:r w:rsidRPr="005B265A">
        <w:rPr>
          <w:rFonts w:cstheme="minorHAnsi"/>
          <w:color w:val="231F20"/>
          <w:spacing w:val="23"/>
          <w:w w:val="105"/>
        </w:rPr>
        <w:t xml:space="preserve"> </w:t>
      </w:r>
      <w:r w:rsidRPr="005B265A">
        <w:rPr>
          <w:rFonts w:cstheme="minorHAnsi"/>
          <w:color w:val="231F20"/>
          <w:w w:val="105"/>
        </w:rPr>
        <w:t>services,</w:t>
      </w:r>
      <w:r w:rsidRPr="005B265A">
        <w:rPr>
          <w:rFonts w:cstheme="minorHAnsi"/>
          <w:color w:val="231F20"/>
          <w:spacing w:val="23"/>
          <w:w w:val="105"/>
        </w:rPr>
        <w:t xml:space="preserve"> </w:t>
      </w:r>
      <w:r w:rsidRPr="005B265A">
        <w:rPr>
          <w:rFonts w:cstheme="minorHAnsi"/>
          <w:color w:val="231F20"/>
          <w:w w:val="105"/>
        </w:rPr>
        <w:t>those</w:t>
      </w:r>
      <w:r w:rsidRPr="005B265A">
        <w:rPr>
          <w:rFonts w:cstheme="minorHAnsi"/>
          <w:color w:val="231F20"/>
          <w:spacing w:val="23"/>
          <w:w w:val="105"/>
        </w:rPr>
        <w:t xml:space="preserve"> </w:t>
      </w:r>
      <w:r w:rsidRPr="005B265A">
        <w:rPr>
          <w:rFonts w:cstheme="minorHAnsi"/>
          <w:color w:val="231F20"/>
          <w:w w:val="105"/>
        </w:rPr>
        <w:t>with</w:t>
      </w:r>
      <w:r w:rsidRPr="005B265A">
        <w:rPr>
          <w:rFonts w:cstheme="minorHAnsi"/>
          <w:color w:val="231F20"/>
          <w:spacing w:val="23"/>
          <w:w w:val="105"/>
        </w:rPr>
        <w:t xml:space="preserve"> </w:t>
      </w:r>
      <w:r w:rsidRPr="005B265A">
        <w:rPr>
          <w:rFonts w:cstheme="minorHAnsi"/>
          <w:color w:val="231F20"/>
          <w:w w:val="105"/>
        </w:rPr>
        <w:t>significant</w:t>
      </w:r>
      <w:r w:rsidRPr="005B265A">
        <w:rPr>
          <w:rFonts w:cstheme="minorHAnsi"/>
          <w:color w:val="231F20"/>
          <w:spacing w:val="29"/>
          <w:w w:val="105"/>
        </w:rPr>
        <w:t xml:space="preserve"> </w:t>
      </w:r>
      <w:r w:rsidRPr="005B265A">
        <w:rPr>
          <w:rFonts w:cstheme="minorHAnsi"/>
          <w:color w:val="231F20"/>
          <w:w w:val="105"/>
        </w:rPr>
        <w:t>disabilities</w:t>
      </w:r>
      <w:r w:rsidRPr="005B265A">
        <w:rPr>
          <w:rFonts w:cstheme="minorHAnsi"/>
          <w:color w:val="231F20"/>
          <w:spacing w:val="32"/>
          <w:w w:val="105"/>
        </w:rPr>
        <w:t xml:space="preserve"> </w:t>
      </w:r>
      <w:r w:rsidRPr="005B265A">
        <w:rPr>
          <w:rFonts w:cstheme="minorHAnsi"/>
          <w:color w:val="231F20"/>
          <w:w w:val="105"/>
        </w:rPr>
        <w:t>second</w:t>
      </w:r>
      <w:r w:rsidRPr="005B265A">
        <w:rPr>
          <w:rFonts w:cstheme="minorHAnsi"/>
          <w:color w:val="231F20"/>
          <w:spacing w:val="32"/>
          <w:w w:val="105"/>
        </w:rPr>
        <w:t xml:space="preserve"> </w:t>
      </w:r>
      <w:r w:rsidRPr="005B265A">
        <w:rPr>
          <w:rFonts w:cstheme="minorHAnsi"/>
          <w:color w:val="231F20"/>
          <w:w w:val="105"/>
        </w:rPr>
        <w:t>and</w:t>
      </w:r>
      <w:r w:rsidRPr="005B265A">
        <w:rPr>
          <w:rFonts w:cstheme="minorHAnsi"/>
          <w:color w:val="231F20"/>
          <w:spacing w:val="32"/>
          <w:w w:val="105"/>
        </w:rPr>
        <w:t xml:space="preserve"> </w:t>
      </w:r>
      <w:r w:rsidRPr="005B265A">
        <w:rPr>
          <w:rFonts w:cstheme="minorHAnsi"/>
          <w:color w:val="231F20"/>
          <w:w w:val="105"/>
        </w:rPr>
        <w:t>all</w:t>
      </w:r>
      <w:r w:rsidRPr="005B265A">
        <w:rPr>
          <w:rFonts w:cstheme="minorHAnsi"/>
          <w:color w:val="231F20"/>
          <w:spacing w:val="32"/>
          <w:w w:val="105"/>
        </w:rPr>
        <w:t xml:space="preserve"> </w:t>
      </w:r>
      <w:r w:rsidRPr="005B265A">
        <w:rPr>
          <w:rFonts w:cstheme="minorHAnsi"/>
          <w:color w:val="231F20"/>
          <w:w w:val="105"/>
        </w:rPr>
        <w:t>other</w:t>
      </w:r>
      <w:r w:rsidRPr="005B265A">
        <w:rPr>
          <w:rFonts w:cstheme="minorHAnsi"/>
          <w:color w:val="231F20"/>
          <w:spacing w:val="32"/>
          <w:w w:val="105"/>
        </w:rPr>
        <w:t xml:space="preserve"> </w:t>
      </w:r>
      <w:r w:rsidRPr="005B265A">
        <w:rPr>
          <w:rFonts w:cstheme="minorHAnsi"/>
          <w:color w:val="231F20"/>
          <w:w w:val="105"/>
        </w:rPr>
        <w:t>eligible</w:t>
      </w:r>
      <w:r w:rsidRPr="005B265A">
        <w:rPr>
          <w:rFonts w:cstheme="minorHAnsi"/>
          <w:color w:val="231F20"/>
          <w:spacing w:val="32"/>
          <w:w w:val="105"/>
        </w:rPr>
        <w:t xml:space="preserve"> </w:t>
      </w:r>
      <w:r w:rsidRPr="005B265A">
        <w:rPr>
          <w:rFonts w:cstheme="minorHAnsi"/>
          <w:color w:val="231F20"/>
          <w:w w:val="105"/>
        </w:rPr>
        <w:t>individuals</w:t>
      </w:r>
      <w:r w:rsidRPr="005B265A">
        <w:rPr>
          <w:rFonts w:cstheme="minorHAnsi"/>
          <w:color w:val="231F20"/>
          <w:spacing w:val="32"/>
          <w:w w:val="105"/>
        </w:rPr>
        <w:t xml:space="preserve"> </w:t>
      </w:r>
      <w:r w:rsidRPr="005B265A">
        <w:rPr>
          <w:rFonts w:cstheme="minorHAnsi"/>
          <w:color w:val="231F20"/>
          <w:w w:val="105"/>
        </w:rPr>
        <w:t>selected</w:t>
      </w:r>
      <w:r w:rsidRPr="005B265A">
        <w:rPr>
          <w:rFonts w:cstheme="minorHAnsi"/>
          <w:color w:val="231F20"/>
          <w:spacing w:val="32"/>
          <w:w w:val="105"/>
        </w:rPr>
        <w:t xml:space="preserve"> </w:t>
      </w:r>
      <w:r w:rsidRPr="005B265A">
        <w:rPr>
          <w:rFonts w:cstheme="minorHAnsi"/>
          <w:color w:val="231F20"/>
          <w:w w:val="105"/>
        </w:rPr>
        <w:t>last.</w:t>
      </w:r>
      <w:r w:rsidRPr="005B265A">
        <w:rPr>
          <w:rFonts w:cstheme="minorHAnsi"/>
          <w:color w:val="231F20"/>
          <w:spacing w:val="32"/>
          <w:w w:val="105"/>
        </w:rPr>
        <w:t xml:space="preserve"> </w:t>
      </w:r>
      <w:r w:rsidRPr="005B265A">
        <w:rPr>
          <w:rFonts w:cstheme="minorHAnsi"/>
          <w:color w:val="231F20"/>
          <w:w w:val="105"/>
        </w:rPr>
        <w:t>This</w:t>
      </w:r>
      <w:r w:rsidRPr="005B265A">
        <w:rPr>
          <w:rFonts w:cstheme="minorHAnsi"/>
          <w:color w:val="231F20"/>
          <w:spacing w:val="32"/>
          <w:w w:val="105"/>
        </w:rPr>
        <w:t xml:space="preserve"> </w:t>
      </w:r>
      <w:r w:rsidRPr="005B265A">
        <w:rPr>
          <w:rFonts w:cstheme="minorHAnsi"/>
          <w:color w:val="231F20"/>
          <w:w w:val="105"/>
        </w:rPr>
        <w:t>decision</w:t>
      </w:r>
      <w:r w:rsidRPr="005B265A">
        <w:rPr>
          <w:rFonts w:cstheme="minorHAnsi"/>
          <w:color w:val="231F20"/>
          <w:spacing w:val="32"/>
          <w:w w:val="105"/>
        </w:rPr>
        <w:t xml:space="preserve"> </w:t>
      </w:r>
      <w:r w:rsidRPr="005B265A">
        <w:rPr>
          <w:rFonts w:cstheme="minorHAnsi"/>
          <w:color w:val="231F20"/>
          <w:w w:val="105"/>
        </w:rPr>
        <w:t>was</w:t>
      </w:r>
      <w:r w:rsidRPr="005B265A">
        <w:rPr>
          <w:rFonts w:cstheme="minorHAnsi"/>
          <w:color w:val="231F20"/>
          <w:spacing w:val="32"/>
          <w:w w:val="105"/>
        </w:rPr>
        <w:t xml:space="preserve"> </w:t>
      </w:r>
      <w:r w:rsidRPr="005B265A">
        <w:rPr>
          <w:rFonts w:cstheme="minorHAnsi"/>
          <w:color w:val="231F20"/>
          <w:w w:val="105"/>
        </w:rPr>
        <w:t>based</w:t>
      </w:r>
      <w:r w:rsidRPr="005B265A">
        <w:rPr>
          <w:rFonts w:cstheme="minorHAnsi"/>
          <w:color w:val="231F20"/>
          <w:spacing w:val="32"/>
          <w:w w:val="105"/>
        </w:rPr>
        <w:t xml:space="preserve"> </w:t>
      </w:r>
      <w:r w:rsidRPr="005B265A">
        <w:rPr>
          <w:rFonts w:cstheme="minorHAnsi"/>
          <w:color w:val="231F20"/>
          <w:w w:val="105"/>
        </w:rPr>
        <w:t>on</w:t>
      </w:r>
      <w:r w:rsidRPr="005B265A">
        <w:rPr>
          <w:rFonts w:cstheme="minorHAnsi"/>
          <w:color w:val="231F20"/>
          <w:spacing w:val="32"/>
          <w:w w:val="105"/>
        </w:rPr>
        <w:t xml:space="preserve"> </w:t>
      </w:r>
      <w:r w:rsidRPr="005B265A">
        <w:rPr>
          <w:rFonts w:cstheme="minorHAnsi"/>
          <w:color w:val="231F20"/>
          <w:w w:val="105"/>
        </w:rPr>
        <w:t>use</w:t>
      </w:r>
      <w:r w:rsidRPr="005B265A">
        <w:rPr>
          <w:rFonts w:cstheme="minorHAnsi"/>
          <w:color w:val="231F20"/>
          <w:spacing w:val="32"/>
          <w:w w:val="105"/>
        </w:rPr>
        <w:t xml:space="preserve"> </w:t>
      </w:r>
      <w:r w:rsidRPr="005B265A">
        <w:rPr>
          <w:rFonts w:cstheme="minorHAnsi"/>
          <w:color w:val="231F20"/>
          <w:w w:val="105"/>
        </w:rPr>
        <w:t>of</w:t>
      </w:r>
      <w:r w:rsidRPr="005B265A">
        <w:rPr>
          <w:rFonts w:cstheme="minorHAnsi"/>
          <w:color w:val="231F20"/>
          <w:spacing w:val="-5"/>
          <w:w w:val="105"/>
        </w:rPr>
        <w:t xml:space="preserve"> </w:t>
      </w:r>
      <w:r w:rsidRPr="005B265A">
        <w:rPr>
          <w:rFonts w:cstheme="minorHAnsi"/>
          <w:color w:val="231F20"/>
          <w:w w:val="105"/>
        </w:rPr>
        <w:t>funds</w:t>
      </w:r>
      <w:r w:rsidRPr="005B265A">
        <w:rPr>
          <w:rFonts w:cstheme="minorHAnsi"/>
          <w:color w:val="231F20"/>
          <w:spacing w:val="24"/>
          <w:w w:val="105"/>
        </w:rPr>
        <w:t xml:space="preserve"> </w:t>
      </w:r>
      <w:r w:rsidRPr="005B265A">
        <w:rPr>
          <w:rFonts w:cstheme="minorHAnsi"/>
          <w:color w:val="231F20"/>
          <w:w w:val="105"/>
        </w:rPr>
        <w:t>in</w:t>
      </w:r>
      <w:r w:rsidRPr="005B265A">
        <w:rPr>
          <w:rFonts w:cstheme="minorHAnsi"/>
          <w:color w:val="231F20"/>
          <w:spacing w:val="24"/>
          <w:w w:val="105"/>
        </w:rPr>
        <w:t xml:space="preserve"> </w:t>
      </w:r>
      <w:r w:rsidRPr="005B265A">
        <w:rPr>
          <w:rFonts w:cstheme="minorHAnsi"/>
          <w:color w:val="231F20"/>
          <w:w w:val="105"/>
        </w:rPr>
        <w:t>the</w:t>
      </w:r>
      <w:r w:rsidRPr="005B265A">
        <w:rPr>
          <w:rFonts w:cstheme="minorHAnsi"/>
          <w:color w:val="231F20"/>
          <w:spacing w:val="24"/>
          <w:w w:val="105"/>
        </w:rPr>
        <w:t xml:space="preserve"> </w:t>
      </w:r>
      <w:r w:rsidRPr="005B265A">
        <w:rPr>
          <w:rFonts w:cstheme="minorHAnsi"/>
          <w:color w:val="231F20"/>
          <w:w w:val="105"/>
        </w:rPr>
        <w:t>preceding</w:t>
      </w:r>
      <w:r w:rsidRPr="005B265A">
        <w:rPr>
          <w:rFonts w:cstheme="minorHAnsi"/>
          <w:color w:val="231F20"/>
          <w:spacing w:val="24"/>
          <w:w w:val="105"/>
        </w:rPr>
        <w:t xml:space="preserve"> </w:t>
      </w:r>
      <w:r w:rsidRPr="005B265A">
        <w:rPr>
          <w:rFonts w:cstheme="minorHAnsi"/>
          <w:color w:val="231F20"/>
          <w:w w:val="105"/>
        </w:rPr>
        <w:t>years,</w:t>
      </w:r>
      <w:r w:rsidRPr="005B265A">
        <w:rPr>
          <w:rFonts w:cstheme="minorHAnsi"/>
          <w:color w:val="231F20"/>
          <w:spacing w:val="24"/>
          <w:w w:val="105"/>
        </w:rPr>
        <w:t xml:space="preserve"> </w:t>
      </w:r>
      <w:r w:rsidRPr="005B265A">
        <w:rPr>
          <w:rFonts w:cstheme="minorHAnsi"/>
          <w:color w:val="231F20"/>
          <w:w w:val="105"/>
        </w:rPr>
        <w:t>projected</w:t>
      </w:r>
      <w:r w:rsidRPr="005B265A">
        <w:rPr>
          <w:rFonts w:cstheme="minorHAnsi"/>
          <w:color w:val="231F20"/>
          <w:spacing w:val="24"/>
          <w:w w:val="105"/>
        </w:rPr>
        <w:t xml:space="preserve"> </w:t>
      </w:r>
      <w:r w:rsidRPr="005B265A">
        <w:rPr>
          <w:rFonts w:cstheme="minorHAnsi"/>
          <w:color w:val="231F20"/>
          <w:w w:val="105"/>
        </w:rPr>
        <w:t>funding,</w:t>
      </w:r>
      <w:r w:rsidRPr="005B265A">
        <w:rPr>
          <w:rFonts w:cstheme="minorHAnsi"/>
          <w:color w:val="231F20"/>
          <w:spacing w:val="24"/>
          <w:w w:val="105"/>
        </w:rPr>
        <w:t xml:space="preserve"> </w:t>
      </w:r>
      <w:r w:rsidRPr="005B265A">
        <w:rPr>
          <w:rFonts w:cstheme="minorHAnsi"/>
          <w:color w:val="231F20"/>
          <w:w w:val="105"/>
        </w:rPr>
        <w:t>projected</w:t>
      </w:r>
      <w:r w:rsidRPr="005B265A">
        <w:rPr>
          <w:rFonts w:cstheme="minorHAnsi"/>
          <w:color w:val="231F20"/>
          <w:spacing w:val="24"/>
          <w:w w:val="105"/>
        </w:rPr>
        <w:t xml:space="preserve"> </w:t>
      </w:r>
      <w:r w:rsidRPr="005B265A">
        <w:rPr>
          <w:rFonts w:cstheme="minorHAnsi"/>
          <w:color w:val="231F20"/>
          <w:w w:val="105"/>
        </w:rPr>
        <w:t>number</w:t>
      </w:r>
      <w:r w:rsidRPr="005B265A">
        <w:rPr>
          <w:rFonts w:cstheme="minorHAnsi"/>
          <w:color w:val="231F20"/>
          <w:spacing w:val="24"/>
          <w:w w:val="105"/>
        </w:rPr>
        <w:t xml:space="preserve"> </w:t>
      </w:r>
      <w:r w:rsidRPr="005B265A">
        <w:rPr>
          <w:rFonts w:cstheme="minorHAnsi"/>
          <w:color w:val="231F20"/>
          <w:w w:val="105"/>
        </w:rPr>
        <w:t>and</w:t>
      </w:r>
      <w:r w:rsidRPr="005B265A">
        <w:rPr>
          <w:rFonts w:cstheme="minorHAnsi"/>
          <w:color w:val="231F20"/>
          <w:spacing w:val="24"/>
          <w:w w:val="105"/>
        </w:rPr>
        <w:t xml:space="preserve"> </w:t>
      </w:r>
      <w:r w:rsidRPr="005B265A">
        <w:rPr>
          <w:rFonts w:cstheme="minorHAnsi"/>
          <w:color w:val="231F20"/>
          <w:w w:val="105"/>
        </w:rPr>
        <w:t>types</w:t>
      </w:r>
      <w:r w:rsidRPr="005B265A">
        <w:rPr>
          <w:rFonts w:cstheme="minorHAnsi"/>
          <w:color w:val="231F20"/>
          <w:spacing w:val="24"/>
          <w:w w:val="105"/>
        </w:rPr>
        <w:t xml:space="preserve"> </w:t>
      </w:r>
      <w:r w:rsidRPr="005B265A">
        <w:rPr>
          <w:rFonts w:cstheme="minorHAnsi"/>
          <w:color w:val="231F20"/>
          <w:w w:val="105"/>
        </w:rPr>
        <w:t>of</w:t>
      </w:r>
      <w:r w:rsidRPr="005B265A">
        <w:rPr>
          <w:rFonts w:cstheme="minorHAnsi"/>
          <w:color w:val="231F20"/>
          <w:spacing w:val="24"/>
          <w:w w:val="105"/>
        </w:rPr>
        <w:t xml:space="preserve"> </w:t>
      </w:r>
      <w:r w:rsidRPr="005B265A">
        <w:rPr>
          <w:rFonts w:cstheme="minorHAnsi"/>
          <w:color w:val="231F20"/>
          <w:w w:val="105"/>
        </w:rPr>
        <w:t>referrals,</w:t>
      </w:r>
      <w:r w:rsidRPr="005B265A">
        <w:rPr>
          <w:rFonts w:cstheme="minorHAnsi"/>
          <w:color w:val="231F20"/>
          <w:spacing w:val="24"/>
          <w:w w:val="105"/>
        </w:rPr>
        <w:t xml:space="preserve"> </w:t>
      </w:r>
      <w:r w:rsidRPr="005B265A">
        <w:rPr>
          <w:rFonts w:cstheme="minorHAnsi"/>
          <w:color w:val="231F20"/>
          <w:w w:val="105"/>
        </w:rPr>
        <w:t>number</w:t>
      </w:r>
      <w:r w:rsidRPr="005B265A">
        <w:rPr>
          <w:rFonts w:cstheme="minorHAnsi"/>
          <w:color w:val="231F20"/>
          <w:spacing w:val="24"/>
          <w:w w:val="105"/>
        </w:rPr>
        <w:t xml:space="preserve"> </w:t>
      </w:r>
      <w:r w:rsidRPr="005B265A">
        <w:rPr>
          <w:rFonts w:cstheme="minorHAnsi"/>
          <w:color w:val="231F20"/>
          <w:w w:val="105"/>
        </w:rPr>
        <w:t>of</w:t>
      </w:r>
      <w:r w:rsidRPr="005B265A">
        <w:rPr>
          <w:rFonts w:cstheme="minorHAnsi"/>
          <w:color w:val="231F20"/>
          <w:spacing w:val="-28"/>
          <w:w w:val="105"/>
        </w:rPr>
        <w:t xml:space="preserve"> </w:t>
      </w:r>
      <w:r w:rsidRPr="005B265A">
        <w:rPr>
          <w:rFonts w:cstheme="minorHAnsi"/>
          <w:color w:val="231F20"/>
          <w:w w:val="105"/>
        </w:rPr>
        <w:t>eligible individuals</w:t>
      </w:r>
      <w:r w:rsidR="00D5537E">
        <w:rPr>
          <w:rFonts w:cstheme="minorHAnsi"/>
          <w:color w:val="231F20"/>
          <w:w w:val="105"/>
        </w:rPr>
        <w:t xml:space="preserve"> and</w:t>
      </w:r>
      <w:r w:rsidRPr="005B265A">
        <w:rPr>
          <w:rFonts w:cstheme="minorHAnsi"/>
          <w:color w:val="231F20"/>
          <w:w w:val="105"/>
        </w:rPr>
        <w:t xml:space="preserve"> counselor caseloads.</w:t>
      </w:r>
    </w:p>
    <w:p w14:paraId="2C91754F" w14:textId="77777777" w:rsidR="005B265A" w:rsidRDefault="005B265A" w:rsidP="00D63204">
      <w:pPr>
        <w:widowControl w:val="0"/>
        <w:spacing w:after="0" w:line="240" w:lineRule="auto"/>
        <w:ind w:left="90"/>
        <w:rPr>
          <w:rFonts w:cstheme="minorHAnsi"/>
          <w:color w:val="231F20"/>
          <w:w w:val="105"/>
        </w:rPr>
      </w:pPr>
    </w:p>
    <w:p w14:paraId="2C0DD6A8" w14:textId="7588D1EC" w:rsidR="004A3FCD" w:rsidRPr="005B265A" w:rsidRDefault="004A3FCD" w:rsidP="00D63204">
      <w:pPr>
        <w:widowControl w:val="0"/>
        <w:spacing w:after="0" w:line="240" w:lineRule="auto"/>
        <w:ind w:left="90"/>
        <w:rPr>
          <w:rFonts w:cstheme="minorHAnsi"/>
        </w:rPr>
      </w:pPr>
      <w:r w:rsidRPr="005B265A">
        <w:rPr>
          <w:rFonts w:cstheme="minorHAnsi"/>
          <w:color w:val="231F20"/>
          <w:w w:val="105"/>
        </w:rPr>
        <w:t xml:space="preserve">A historical account of </w:t>
      </w:r>
      <w:r w:rsidRPr="005B265A">
        <w:rPr>
          <w:rFonts w:cstheme="minorHAnsi"/>
          <w:color w:val="231F20"/>
          <w:spacing w:val="-3"/>
          <w:w w:val="105"/>
        </w:rPr>
        <w:t xml:space="preserve">VR’s </w:t>
      </w:r>
      <w:r w:rsidRPr="005B265A">
        <w:rPr>
          <w:rFonts w:cstheme="minorHAnsi"/>
          <w:color w:val="231F20"/>
          <w:w w:val="105"/>
        </w:rPr>
        <w:t>management of OOS wait list categories is as follows.</w:t>
      </w:r>
    </w:p>
    <w:p w14:paraId="6F83616B" w14:textId="77777777" w:rsidR="005B265A" w:rsidRDefault="005B265A" w:rsidP="00D63204">
      <w:pPr>
        <w:widowControl w:val="0"/>
        <w:tabs>
          <w:tab w:val="left" w:pos="668"/>
        </w:tabs>
        <w:spacing w:after="0" w:line="240" w:lineRule="auto"/>
        <w:ind w:left="90"/>
        <w:rPr>
          <w:rFonts w:cstheme="minorHAnsi"/>
          <w:color w:val="231F20"/>
          <w:w w:val="105"/>
        </w:rPr>
      </w:pPr>
    </w:p>
    <w:p w14:paraId="29F0A51A" w14:textId="306A8EB1" w:rsidR="004A3FCD" w:rsidRPr="005B265A" w:rsidRDefault="004A3FCD" w:rsidP="00D63204">
      <w:pPr>
        <w:pStyle w:val="ListParagraph"/>
        <w:widowControl w:val="0"/>
        <w:numPr>
          <w:ilvl w:val="0"/>
          <w:numId w:val="131"/>
        </w:numPr>
        <w:spacing w:after="0" w:line="240" w:lineRule="auto"/>
        <w:rPr>
          <w:rFonts w:cstheme="minorHAnsi"/>
          <w:color w:val="231F20"/>
        </w:rPr>
      </w:pPr>
      <w:r w:rsidRPr="005B265A">
        <w:rPr>
          <w:rFonts w:cstheme="minorHAnsi"/>
          <w:color w:val="231F20"/>
          <w:w w:val="105"/>
        </w:rPr>
        <w:t>August 4, 2008 - the Order of Selection was initially implemented, closing all</w:t>
      </w:r>
      <w:r w:rsidRPr="005B265A">
        <w:rPr>
          <w:rFonts w:cstheme="minorHAnsi"/>
          <w:color w:val="231F20"/>
          <w:spacing w:val="19"/>
          <w:w w:val="105"/>
        </w:rPr>
        <w:t xml:space="preserve"> </w:t>
      </w:r>
      <w:r w:rsidRPr="005B265A">
        <w:rPr>
          <w:rFonts w:cstheme="minorHAnsi"/>
          <w:color w:val="231F20"/>
          <w:w w:val="105"/>
        </w:rPr>
        <w:t>categories</w:t>
      </w:r>
    </w:p>
    <w:p w14:paraId="02F0ECDA" w14:textId="77777777" w:rsidR="005B265A" w:rsidRPr="005B265A" w:rsidRDefault="005B265A" w:rsidP="00D63204">
      <w:pPr>
        <w:pStyle w:val="ListParagraph"/>
        <w:widowControl w:val="0"/>
        <w:spacing w:after="0" w:line="240" w:lineRule="auto"/>
        <w:ind w:left="810"/>
        <w:rPr>
          <w:rFonts w:cstheme="minorHAnsi"/>
          <w:color w:val="231F20"/>
        </w:rPr>
      </w:pPr>
    </w:p>
    <w:p w14:paraId="0FFAA785" w14:textId="46A438C4" w:rsidR="004A3FCD" w:rsidRDefault="004A3FCD" w:rsidP="00D63204">
      <w:pPr>
        <w:pStyle w:val="ListParagraph"/>
        <w:widowControl w:val="0"/>
        <w:numPr>
          <w:ilvl w:val="0"/>
          <w:numId w:val="131"/>
        </w:numPr>
        <w:spacing w:after="0" w:line="240" w:lineRule="auto"/>
        <w:rPr>
          <w:rFonts w:cstheme="minorHAnsi"/>
          <w:color w:val="231F20"/>
        </w:rPr>
      </w:pPr>
      <w:r w:rsidRPr="005B265A">
        <w:rPr>
          <w:rFonts w:cstheme="minorHAnsi"/>
          <w:color w:val="231F20"/>
          <w:w w:val="105"/>
        </w:rPr>
        <w:t>February</w:t>
      </w:r>
      <w:r w:rsidRPr="005B265A">
        <w:rPr>
          <w:rFonts w:cstheme="minorHAnsi"/>
          <w:color w:val="231F20"/>
          <w:spacing w:val="11"/>
          <w:w w:val="105"/>
        </w:rPr>
        <w:t xml:space="preserve"> </w:t>
      </w:r>
      <w:r w:rsidRPr="005B265A">
        <w:rPr>
          <w:rFonts w:cstheme="minorHAnsi"/>
          <w:color w:val="231F20"/>
          <w:w w:val="105"/>
        </w:rPr>
        <w:t>15,</w:t>
      </w:r>
      <w:r w:rsidRPr="005B265A">
        <w:rPr>
          <w:rFonts w:cstheme="minorHAnsi"/>
          <w:color w:val="231F20"/>
          <w:spacing w:val="11"/>
          <w:w w:val="105"/>
        </w:rPr>
        <w:t xml:space="preserve"> </w:t>
      </w:r>
      <w:r w:rsidRPr="005B265A">
        <w:rPr>
          <w:rFonts w:cstheme="minorHAnsi"/>
          <w:color w:val="231F20"/>
          <w:w w:val="105"/>
        </w:rPr>
        <w:t>2010</w:t>
      </w:r>
      <w:r w:rsidRPr="005B265A">
        <w:rPr>
          <w:rFonts w:cstheme="minorHAnsi"/>
          <w:color w:val="231F20"/>
          <w:spacing w:val="11"/>
          <w:w w:val="105"/>
        </w:rPr>
        <w:t xml:space="preserve"> </w:t>
      </w:r>
      <w:r w:rsidRPr="005B265A">
        <w:rPr>
          <w:rFonts w:cstheme="minorHAnsi"/>
          <w:color w:val="231F20"/>
          <w:w w:val="105"/>
        </w:rPr>
        <w:t>-</w:t>
      </w:r>
      <w:r w:rsidRPr="005B265A">
        <w:rPr>
          <w:rFonts w:cstheme="minorHAnsi"/>
          <w:color w:val="231F20"/>
          <w:spacing w:val="11"/>
          <w:w w:val="105"/>
        </w:rPr>
        <w:t xml:space="preserve"> </w:t>
      </w:r>
      <w:r w:rsidRPr="005B265A">
        <w:rPr>
          <w:rFonts w:cstheme="minorHAnsi"/>
          <w:color w:val="231F20"/>
          <w:w w:val="105"/>
        </w:rPr>
        <w:t>VR</w:t>
      </w:r>
      <w:r w:rsidRPr="005B265A">
        <w:rPr>
          <w:rFonts w:cstheme="minorHAnsi"/>
          <w:color w:val="231F20"/>
          <w:spacing w:val="11"/>
          <w:w w:val="105"/>
        </w:rPr>
        <w:t xml:space="preserve"> </w:t>
      </w:r>
      <w:r w:rsidRPr="005B265A">
        <w:rPr>
          <w:rFonts w:cstheme="minorHAnsi"/>
          <w:color w:val="231F20"/>
          <w:w w:val="105"/>
        </w:rPr>
        <w:t>determined</w:t>
      </w:r>
      <w:r w:rsidRPr="005B265A">
        <w:rPr>
          <w:rFonts w:cstheme="minorHAnsi"/>
          <w:color w:val="231F20"/>
          <w:spacing w:val="11"/>
          <w:w w:val="105"/>
        </w:rPr>
        <w:t xml:space="preserve"> </w:t>
      </w:r>
      <w:r w:rsidRPr="005B265A">
        <w:rPr>
          <w:rFonts w:cstheme="minorHAnsi"/>
          <w:color w:val="231F20"/>
          <w:w w:val="105"/>
        </w:rPr>
        <w:t>that</w:t>
      </w:r>
      <w:r w:rsidRPr="005B265A">
        <w:rPr>
          <w:rFonts w:cstheme="minorHAnsi"/>
          <w:color w:val="231F20"/>
          <w:spacing w:val="11"/>
          <w:w w:val="105"/>
        </w:rPr>
        <w:t xml:space="preserve"> </w:t>
      </w:r>
      <w:r w:rsidRPr="005B265A">
        <w:rPr>
          <w:rFonts w:cstheme="minorHAnsi"/>
          <w:color w:val="231F20"/>
          <w:w w:val="105"/>
        </w:rPr>
        <w:t>sufficient</w:t>
      </w:r>
      <w:r w:rsidRPr="005B265A">
        <w:rPr>
          <w:rFonts w:cstheme="minorHAnsi"/>
          <w:color w:val="231F20"/>
          <w:spacing w:val="11"/>
          <w:w w:val="105"/>
        </w:rPr>
        <w:t xml:space="preserve"> </w:t>
      </w:r>
      <w:r w:rsidRPr="005B265A">
        <w:rPr>
          <w:rFonts w:cstheme="minorHAnsi"/>
          <w:color w:val="231F20"/>
          <w:w w:val="105"/>
        </w:rPr>
        <w:t>fiscal</w:t>
      </w:r>
      <w:r w:rsidRPr="005B265A">
        <w:rPr>
          <w:rFonts w:cstheme="minorHAnsi"/>
          <w:color w:val="231F20"/>
          <w:spacing w:val="11"/>
          <w:w w:val="105"/>
        </w:rPr>
        <w:t xml:space="preserve"> </w:t>
      </w:r>
      <w:r w:rsidRPr="005B265A">
        <w:rPr>
          <w:rFonts w:cstheme="minorHAnsi"/>
          <w:color w:val="231F20"/>
          <w:w w:val="105"/>
        </w:rPr>
        <w:t>and</w:t>
      </w:r>
      <w:r w:rsidRPr="005B265A">
        <w:rPr>
          <w:rFonts w:cstheme="minorHAnsi"/>
          <w:color w:val="231F20"/>
          <w:spacing w:val="11"/>
          <w:w w:val="105"/>
        </w:rPr>
        <w:t xml:space="preserve"> </w:t>
      </w:r>
      <w:r w:rsidRPr="005B265A">
        <w:rPr>
          <w:rFonts w:cstheme="minorHAnsi"/>
          <w:color w:val="231F20"/>
          <w:w w:val="105"/>
        </w:rPr>
        <w:t>human</w:t>
      </w:r>
      <w:r w:rsidRPr="005B265A">
        <w:rPr>
          <w:rFonts w:cstheme="minorHAnsi"/>
          <w:color w:val="231F20"/>
          <w:spacing w:val="11"/>
          <w:w w:val="105"/>
        </w:rPr>
        <w:t xml:space="preserve"> </w:t>
      </w:r>
      <w:r w:rsidRPr="005B265A">
        <w:rPr>
          <w:rFonts w:cstheme="minorHAnsi"/>
          <w:color w:val="231F20"/>
          <w:w w:val="105"/>
        </w:rPr>
        <w:t>resources</w:t>
      </w:r>
      <w:r w:rsidRPr="005B265A">
        <w:rPr>
          <w:rFonts w:cstheme="minorHAnsi"/>
          <w:color w:val="231F20"/>
          <w:spacing w:val="11"/>
          <w:w w:val="105"/>
        </w:rPr>
        <w:t xml:space="preserve"> </w:t>
      </w:r>
      <w:r w:rsidRPr="005B265A">
        <w:rPr>
          <w:rFonts w:cstheme="minorHAnsi"/>
          <w:color w:val="231F20"/>
          <w:w w:val="105"/>
        </w:rPr>
        <w:t>were</w:t>
      </w:r>
      <w:r w:rsidRPr="005B265A">
        <w:rPr>
          <w:rFonts w:cstheme="minorHAnsi"/>
          <w:color w:val="231F20"/>
          <w:spacing w:val="11"/>
          <w:w w:val="105"/>
        </w:rPr>
        <w:t xml:space="preserve"> </w:t>
      </w:r>
      <w:r w:rsidRPr="005B265A">
        <w:rPr>
          <w:rFonts w:cstheme="minorHAnsi"/>
          <w:color w:val="231F20"/>
          <w:w w:val="105"/>
        </w:rPr>
        <w:t>available</w:t>
      </w:r>
      <w:r w:rsidRPr="005B265A">
        <w:rPr>
          <w:rFonts w:cstheme="minorHAnsi"/>
          <w:color w:val="231F20"/>
          <w:spacing w:val="11"/>
          <w:w w:val="105"/>
        </w:rPr>
        <w:t xml:space="preserve"> </w:t>
      </w:r>
      <w:r w:rsidRPr="005B265A">
        <w:rPr>
          <w:rFonts w:cstheme="minorHAnsi"/>
          <w:color w:val="231F20"/>
          <w:w w:val="105"/>
        </w:rPr>
        <w:t>to</w:t>
      </w:r>
      <w:r w:rsidRPr="005B265A">
        <w:rPr>
          <w:rFonts w:cstheme="minorHAnsi"/>
          <w:color w:val="231F20"/>
          <w:spacing w:val="11"/>
          <w:w w:val="105"/>
        </w:rPr>
        <w:t xml:space="preserve"> </w:t>
      </w:r>
      <w:r w:rsidRPr="005B265A">
        <w:rPr>
          <w:rFonts w:cstheme="minorHAnsi"/>
          <w:color w:val="231F20"/>
          <w:w w:val="105"/>
        </w:rPr>
        <w:lastRenderedPageBreak/>
        <w:t>serve</w:t>
      </w:r>
      <w:r w:rsidRPr="005B265A">
        <w:rPr>
          <w:rFonts w:cstheme="minorHAnsi"/>
          <w:color w:val="231F20"/>
          <w:w w:val="110"/>
        </w:rPr>
        <w:t xml:space="preserve"> </w:t>
      </w:r>
      <w:r w:rsidRPr="005B265A">
        <w:rPr>
          <w:rFonts w:cstheme="minorHAnsi"/>
          <w:color w:val="231F20"/>
          <w:w w:val="105"/>
        </w:rPr>
        <w:t xml:space="preserve">all Category </w:t>
      </w:r>
      <w:r w:rsidRPr="005B265A">
        <w:rPr>
          <w:rFonts w:cstheme="minorHAnsi"/>
          <w:color w:val="231F20"/>
        </w:rPr>
        <w:t xml:space="preserve">1 </w:t>
      </w:r>
      <w:r w:rsidRPr="005B265A">
        <w:rPr>
          <w:rFonts w:cstheme="minorHAnsi"/>
          <w:color w:val="231F20"/>
          <w:w w:val="105"/>
        </w:rPr>
        <w:t>individuals and opened Category</w:t>
      </w:r>
      <w:r w:rsidRPr="005B265A">
        <w:rPr>
          <w:rFonts w:cstheme="minorHAnsi"/>
          <w:color w:val="231F20"/>
          <w:spacing w:val="47"/>
          <w:w w:val="105"/>
        </w:rPr>
        <w:t xml:space="preserve"> </w:t>
      </w:r>
      <w:r w:rsidRPr="005B265A">
        <w:rPr>
          <w:rFonts w:cstheme="minorHAnsi"/>
          <w:color w:val="231F20"/>
        </w:rPr>
        <w:t>1</w:t>
      </w:r>
    </w:p>
    <w:p w14:paraId="51EA7284" w14:textId="77777777" w:rsidR="00240694" w:rsidRPr="00240694" w:rsidRDefault="00240694" w:rsidP="00240694">
      <w:pPr>
        <w:pStyle w:val="ListParagraph"/>
        <w:rPr>
          <w:rFonts w:cstheme="minorHAnsi"/>
          <w:color w:val="231F20"/>
        </w:rPr>
      </w:pPr>
    </w:p>
    <w:p w14:paraId="25229876" w14:textId="77777777" w:rsidR="00240694" w:rsidRDefault="00240694" w:rsidP="00D63204">
      <w:pPr>
        <w:pStyle w:val="ListParagraph"/>
        <w:widowControl w:val="0"/>
        <w:spacing w:after="0" w:line="240" w:lineRule="auto"/>
        <w:ind w:left="810"/>
        <w:rPr>
          <w:rFonts w:cstheme="minorHAnsi"/>
          <w:color w:val="231F20"/>
        </w:rPr>
      </w:pPr>
    </w:p>
    <w:p w14:paraId="1DAD6FE1" w14:textId="77777777" w:rsidR="005B265A" w:rsidRPr="005B265A" w:rsidRDefault="005B265A" w:rsidP="00D63204">
      <w:pPr>
        <w:pStyle w:val="ListParagraph"/>
        <w:widowControl w:val="0"/>
        <w:spacing w:after="0" w:line="240" w:lineRule="auto"/>
        <w:ind w:left="810"/>
        <w:rPr>
          <w:rFonts w:cstheme="minorHAnsi"/>
          <w:color w:val="231F20"/>
        </w:rPr>
      </w:pPr>
    </w:p>
    <w:p w14:paraId="1DF96153" w14:textId="38C54DF5" w:rsidR="004A3FCD" w:rsidRPr="005B265A" w:rsidRDefault="004A3FCD" w:rsidP="00D63204">
      <w:pPr>
        <w:pStyle w:val="ListParagraph"/>
        <w:widowControl w:val="0"/>
        <w:numPr>
          <w:ilvl w:val="0"/>
          <w:numId w:val="131"/>
        </w:numPr>
        <w:spacing w:after="0" w:line="240" w:lineRule="auto"/>
        <w:rPr>
          <w:rFonts w:cstheme="minorHAnsi"/>
          <w:color w:val="231F20"/>
        </w:rPr>
      </w:pPr>
      <w:r w:rsidRPr="005B265A">
        <w:rPr>
          <w:rFonts w:cstheme="minorHAnsi"/>
          <w:color w:val="231F20"/>
          <w:w w:val="105"/>
        </w:rPr>
        <w:t>August 2, 2010 - Category 2 was opened, but Category 3 remained</w:t>
      </w:r>
      <w:r w:rsidRPr="005B265A">
        <w:rPr>
          <w:rFonts w:cstheme="minorHAnsi"/>
          <w:color w:val="231F20"/>
          <w:spacing w:val="29"/>
          <w:w w:val="105"/>
        </w:rPr>
        <w:t xml:space="preserve"> </w:t>
      </w:r>
      <w:r w:rsidRPr="005B265A">
        <w:rPr>
          <w:rFonts w:cstheme="minorHAnsi"/>
          <w:color w:val="231F20"/>
          <w:w w:val="105"/>
        </w:rPr>
        <w:t>closed</w:t>
      </w:r>
    </w:p>
    <w:p w14:paraId="044C8B58" w14:textId="77777777" w:rsidR="005B265A" w:rsidRPr="005B265A" w:rsidRDefault="005B265A" w:rsidP="00D63204">
      <w:pPr>
        <w:pStyle w:val="ListParagraph"/>
        <w:widowControl w:val="0"/>
        <w:spacing w:after="0" w:line="240" w:lineRule="auto"/>
        <w:ind w:left="810"/>
        <w:rPr>
          <w:rFonts w:cstheme="minorHAnsi"/>
          <w:color w:val="231F20"/>
        </w:rPr>
      </w:pPr>
    </w:p>
    <w:p w14:paraId="3A47B82F" w14:textId="1F793570" w:rsidR="005B265A" w:rsidRPr="005B265A" w:rsidRDefault="004A3FCD" w:rsidP="00D63204">
      <w:pPr>
        <w:pStyle w:val="ListParagraph"/>
        <w:widowControl w:val="0"/>
        <w:numPr>
          <w:ilvl w:val="0"/>
          <w:numId w:val="131"/>
        </w:numPr>
        <w:spacing w:after="0" w:line="240" w:lineRule="auto"/>
        <w:rPr>
          <w:rFonts w:cstheme="minorHAnsi"/>
          <w:color w:val="231F20"/>
        </w:rPr>
      </w:pPr>
      <w:r w:rsidRPr="005B265A">
        <w:rPr>
          <w:rFonts w:cstheme="minorHAnsi"/>
          <w:color w:val="231F20"/>
          <w:w w:val="105"/>
        </w:rPr>
        <w:t>November 15, 2013 - VR again closed Category</w:t>
      </w:r>
      <w:r w:rsidRPr="005B265A">
        <w:rPr>
          <w:rFonts w:cstheme="minorHAnsi"/>
          <w:color w:val="231F20"/>
          <w:spacing w:val="50"/>
          <w:w w:val="105"/>
        </w:rPr>
        <w:t xml:space="preserve"> </w:t>
      </w:r>
      <w:r w:rsidRPr="005B265A">
        <w:rPr>
          <w:rFonts w:cstheme="minorHAnsi"/>
          <w:color w:val="231F20"/>
          <w:w w:val="105"/>
        </w:rPr>
        <w:t>2</w:t>
      </w:r>
    </w:p>
    <w:p w14:paraId="0803BB5E" w14:textId="77777777" w:rsidR="005B265A" w:rsidRPr="005B265A" w:rsidRDefault="005B265A" w:rsidP="00D63204">
      <w:pPr>
        <w:pStyle w:val="ListParagraph"/>
        <w:widowControl w:val="0"/>
        <w:spacing w:after="0" w:line="240" w:lineRule="auto"/>
        <w:ind w:left="810"/>
        <w:rPr>
          <w:rFonts w:cstheme="minorHAnsi"/>
          <w:color w:val="231F20"/>
        </w:rPr>
      </w:pPr>
    </w:p>
    <w:p w14:paraId="38F36ED2" w14:textId="0E91B0BF" w:rsidR="005B265A" w:rsidRPr="005B265A" w:rsidRDefault="004A3FCD" w:rsidP="00D63204">
      <w:pPr>
        <w:pStyle w:val="ListParagraph"/>
        <w:widowControl w:val="0"/>
        <w:numPr>
          <w:ilvl w:val="0"/>
          <w:numId w:val="131"/>
        </w:numPr>
        <w:spacing w:after="160" w:line="240" w:lineRule="auto"/>
        <w:rPr>
          <w:rFonts w:cstheme="minorHAnsi"/>
          <w:color w:val="231F20"/>
        </w:rPr>
      </w:pPr>
      <w:r w:rsidRPr="005B265A">
        <w:rPr>
          <w:rFonts w:cstheme="minorHAnsi"/>
          <w:color w:val="231F20"/>
          <w:w w:val="105"/>
        </w:rPr>
        <w:t xml:space="preserve">February </w:t>
      </w:r>
      <w:r w:rsidRPr="005B265A">
        <w:rPr>
          <w:rFonts w:cstheme="minorHAnsi"/>
          <w:color w:val="231F20"/>
          <w:spacing w:val="-3"/>
          <w:w w:val="105"/>
        </w:rPr>
        <w:t xml:space="preserve">19, </w:t>
      </w:r>
      <w:r w:rsidRPr="005B265A">
        <w:rPr>
          <w:rFonts w:cstheme="minorHAnsi"/>
          <w:color w:val="231F20"/>
          <w:w w:val="105"/>
        </w:rPr>
        <w:t>2014 - VR again closed Category 1, but received an additional $1.4 million</w:t>
      </w:r>
      <w:r w:rsidRPr="005B265A">
        <w:rPr>
          <w:rFonts w:cstheme="minorHAnsi"/>
          <w:color w:val="231F20"/>
          <w:spacing w:val="41"/>
          <w:w w:val="105"/>
        </w:rPr>
        <w:t xml:space="preserve"> </w:t>
      </w:r>
      <w:r w:rsidRPr="005B265A">
        <w:rPr>
          <w:rFonts w:cstheme="minorHAnsi"/>
          <w:color w:val="231F20"/>
          <w:w w:val="105"/>
        </w:rPr>
        <w:t>in</w:t>
      </w:r>
      <w:r w:rsidRPr="005B265A">
        <w:rPr>
          <w:rFonts w:cstheme="minorHAnsi"/>
          <w:color w:val="231F20"/>
          <w:w w:val="102"/>
        </w:rPr>
        <w:t xml:space="preserve"> </w:t>
      </w:r>
      <w:r w:rsidRPr="005B265A">
        <w:rPr>
          <w:rFonts w:cstheme="minorHAnsi"/>
          <w:color w:val="231F20"/>
          <w:w w:val="105"/>
        </w:rPr>
        <w:t>nonrecurring</w:t>
      </w:r>
      <w:r w:rsidRPr="005B265A">
        <w:rPr>
          <w:rFonts w:cstheme="minorHAnsi"/>
          <w:color w:val="231F20"/>
          <w:spacing w:val="13"/>
          <w:w w:val="105"/>
        </w:rPr>
        <w:t xml:space="preserve"> </w:t>
      </w:r>
      <w:r w:rsidRPr="005B265A">
        <w:rPr>
          <w:rFonts w:cstheme="minorHAnsi"/>
          <w:color w:val="231F20"/>
          <w:w w:val="105"/>
        </w:rPr>
        <w:t>general</w:t>
      </w:r>
      <w:r w:rsidRPr="005B265A">
        <w:rPr>
          <w:rFonts w:cstheme="minorHAnsi"/>
          <w:color w:val="231F20"/>
          <w:spacing w:val="13"/>
          <w:w w:val="105"/>
        </w:rPr>
        <w:t xml:space="preserve"> </w:t>
      </w:r>
      <w:r w:rsidRPr="005B265A">
        <w:rPr>
          <w:rFonts w:cstheme="minorHAnsi"/>
          <w:color w:val="231F20"/>
          <w:w w:val="105"/>
        </w:rPr>
        <w:t>revenue.</w:t>
      </w:r>
      <w:r w:rsidRPr="005B265A">
        <w:rPr>
          <w:rFonts w:cstheme="minorHAnsi"/>
          <w:color w:val="231F20"/>
          <w:spacing w:val="13"/>
          <w:w w:val="105"/>
        </w:rPr>
        <w:t xml:space="preserve"> </w:t>
      </w:r>
      <w:r w:rsidRPr="005B265A">
        <w:rPr>
          <w:rFonts w:cstheme="minorHAnsi"/>
          <w:color w:val="231F20"/>
          <w:w w:val="105"/>
        </w:rPr>
        <w:t>This</w:t>
      </w:r>
      <w:r w:rsidRPr="005B265A">
        <w:rPr>
          <w:rFonts w:cstheme="minorHAnsi"/>
          <w:color w:val="231F20"/>
          <w:spacing w:val="13"/>
          <w:w w:val="105"/>
        </w:rPr>
        <w:t xml:space="preserve"> </w:t>
      </w:r>
      <w:r w:rsidRPr="005B265A">
        <w:rPr>
          <w:rFonts w:cstheme="minorHAnsi"/>
          <w:color w:val="231F20"/>
          <w:w w:val="105"/>
        </w:rPr>
        <w:t>state</w:t>
      </w:r>
      <w:r w:rsidRPr="005B265A">
        <w:rPr>
          <w:rFonts w:cstheme="minorHAnsi"/>
          <w:color w:val="231F20"/>
          <w:spacing w:val="13"/>
          <w:w w:val="105"/>
        </w:rPr>
        <w:t xml:space="preserve"> </w:t>
      </w:r>
      <w:r w:rsidRPr="005B265A">
        <w:rPr>
          <w:rFonts w:cstheme="minorHAnsi"/>
          <w:color w:val="231F20"/>
          <w:w w:val="105"/>
        </w:rPr>
        <w:t>match</w:t>
      </w:r>
      <w:r w:rsidRPr="005B265A">
        <w:rPr>
          <w:rFonts w:cstheme="minorHAnsi"/>
          <w:color w:val="231F20"/>
          <w:spacing w:val="13"/>
          <w:w w:val="105"/>
        </w:rPr>
        <w:t xml:space="preserve"> </w:t>
      </w:r>
      <w:r w:rsidRPr="005B265A">
        <w:rPr>
          <w:rFonts w:cstheme="minorHAnsi"/>
          <w:color w:val="231F20"/>
          <w:w w:val="105"/>
        </w:rPr>
        <w:t>funding</w:t>
      </w:r>
      <w:r w:rsidRPr="005B265A">
        <w:rPr>
          <w:rFonts w:cstheme="minorHAnsi"/>
          <w:color w:val="231F20"/>
          <w:spacing w:val="13"/>
          <w:w w:val="105"/>
        </w:rPr>
        <w:t xml:space="preserve"> </w:t>
      </w:r>
      <w:r w:rsidRPr="005B265A">
        <w:rPr>
          <w:rFonts w:cstheme="minorHAnsi"/>
          <w:color w:val="231F20"/>
          <w:w w:val="105"/>
        </w:rPr>
        <w:t>allowed</w:t>
      </w:r>
      <w:r w:rsidRPr="005B265A">
        <w:rPr>
          <w:rFonts w:cstheme="minorHAnsi"/>
          <w:color w:val="231F20"/>
          <w:spacing w:val="13"/>
          <w:w w:val="105"/>
        </w:rPr>
        <w:t xml:space="preserve"> </w:t>
      </w:r>
      <w:r w:rsidRPr="005B265A">
        <w:rPr>
          <w:rFonts w:cstheme="minorHAnsi"/>
          <w:color w:val="231F20"/>
          <w:w w:val="105"/>
        </w:rPr>
        <w:t>VR</w:t>
      </w:r>
      <w:r w:rsidRPr="005B265A">
        <w:rPr>
          <w:rFonts w:cstheme="minorHAnsi"/>
          <w:color w:val="231F20"/>
          <w:spacing w:val="13"/>
          <w:w w:val="105"/>
        </w:rPr>
        <w:t xml:space="preserve"> </w:t>
      </w:r>
      <w:r w:rsidRPr="005B265A">
        <w:rPr>
          <w:rFonts w:cstheme="minorHAnsi"/>
          <w:color w:val="231F20"/>
          <w:w w:val="105"/>
        </w:rPr>
        <w:t>to</w:t>
      </w:r>
      <w:r w:rsidRPr="005B265A">
        <w:rPr>
          <w:rFonts w:cstheme="minorHAnsi"/>
          <w:color w:val="231F20"/>
          <w:spacing w:val="13"/>
          <w:w w:val="105"/>
        </w:rPr>
        <w:t xml:space="preserve"> </w:t>
      </w:r>
      <w:r w:rsidRPr="005B265A">
        <w:rPr>
          <w:rFonts w:cstheme="minorHAnsi"/>
          <w:color w:val="231F20"/>
          <w:w w:val="105"/>
        </w:rPr>
        <w:t>draw</w:t>
      </w:r>
      <w:r w:rsidRPr="005B265A">
        <w:rPr>
          <w:rFonts w:cstheme="minorHAnsi"/>
          <w:color w:val="231F20"/>
          <w:spacing w:val="13"/>
          <w:w w:val="105"/>
        </w:rPr>
        <w:t xml:space="preserve"> </w:t>
      </w:r>
      <w:r w:rsidRPr="005B265A">
        <w:rPr>
          <w:rFonts w:cstheme="minorHAnsi"/>
          <w:color w:val="231F20"/>
          <w:w w:val="105"/>
        </w:rPr>
        <w:t>down</w:t>
      </w:r>
      <w:r w:rsidRPr="005B265A">
        <w:rPr>
          <w:rFonts w:cstheme="minorHAnsi"/>
          <w:color w:val="231F20"/>
          <w:spacing w:val="13"/>
          <w:w w:val="105"/>
        </w:rPr>
        <w:t xml:space="preserve"> </w:t>
      </w:r>
      <w:r w:rsidRPr="005B265A">
        <w:rPr>
          <w:rFonts w:cstheme="minorHAnsi"/>
          <w:color w:val="231F20"/>
          <w:w w:val="105"/>
        </w:rPr>
        <w:t>an</w:t>
      </w:r>
      <w:r w:rsidRPr="005B265A">
        <w:rPr>
          <w:rFonts w:cstheme="minorHAnsi"/>
          <w:color w:val="231F20"/>
          <w:spacing w:val="13"/>
          <w:w w:val="105"/>
        </w:rPr>
        <w:t xml:space="preserve"> </w:t>
      </w:r>
      <w:r w:rsidRPr="005B265A">
        <w:rPr>
          <w:rFonts w:cstheme="minorHAnsi"/>
          <w:color w:val="231F20"/>
          <w:w w:val="105"/>
        </w:rPr>
        <w:t xml:space="preserve">additional </w:t>
      </w:r>
      <w:r w:rsidRPr="005B265A">
        <w:rPr>
          <w:rFonts w:cstheme="minorHAnsi"/>
          <w:color w:val="231F20"/>
          <w:spacing w:val="-4"/>
          <w:w w:val="105"/>
        </w:rPr>
        <w:t xml:space="preserve">$5,172,770 </w:t>
      </w:r>
      <w:r w:rsidRPr="005B265A">
        <w:rPr>
          <w:rFonts w:cstheme="minorHAnsi"/>
          <w:color w:val="231F20"/>
          <w:w w:val="105"/>
        </w:rPr>
        <w:t>of its federal</w:t>
      </w:r>
      <w:r w:rsidRPr="005B265A">
        <w:rPr>
          <w:rFonts w:cstheme="minorHAnsi"/>
          <w:color w:val="231F20"/>
          <w:spacing w:val="11"/>
          <w:w w:val="105"/>
        </w:rPr>
        <w:t xml:space="preserve"> </w:t>
      </w:r>
      <w:r w:rsidRPr="005B265A">
        <w:rPr>
          <w:rFonts w:cstheme="minorHAnsi"/>
          <w:color w:val="231F20"/>
          <w:w w:val="105"/>
        </w:rPr>
        <w:t>grant.</w:t>
      </w:r>
    </w:p>
    <w:p w14:paraId="06364C3B" w14:textId="77777777" w:rsidR="005B265A" w:rsidRPr="005B265A" w:rsidRDefault="005B265A" w:rsidP="00D63204">
      <w:pPr>
        <w:pStyle w:val="ListParagraph"/>
        <w:widowControl w:val="0"/>
        <w:spacing w:after="160" w:line="240" w:lineRule="auto"/>
        <w:ind w:left="810"/>
        <w:rPr>
          <w:rFonts w:cstheme="minorHAnsi"/>
          <w:color w:val="231F20"/>
        </w:rPr>
      </w:pPr>
    </w:p>
    <w:p w14:paraId="428AD1CB" w14:textId="0A5D86EF" w:rsidR="005B265A" w:rsidRPr="005B265A" w:rsidRDefault="004A3FCD" w:rsidP="00D63204">
      <w:pPr>
        <w:pStyle w:val="ListParagraph"/>
        <w:widowControl w:val="0"/>
        <w:numPr>
          <w:ilvl w:val="0"/>
          <w:numId w:val="131"/>
        </w:numPr>
        <w:spacing w:after="160" w:line="240" w:lineRule="auto"/>
        <w:rPr>
          <w:rFonts w:cstheme="minorHAnsi"/>
          <w:color w:val="231F20"/>
        </w:rPr>
      </w:pPr>
      <w:r w:rsidRPr="005B265A">
        <w:rPr>
          <w:rFonts w:cstheme="minorHAnsi"/>
          <w:color w:val="231F20"/>
          <w:w w:val="105"/>
        </w:rPr>
        <w:t xml:space="preserve">June 2014 - VR opened Category </w:t>
      </w:r>
      <w:r w:rsidRPr="005B265A">
        <w:rPr>
          <w:rFonts w:cstheme="minorHAnsi"/>
          <w:color w:val="231F20"/>
        </w:rPr>
        <w:t xml:space="preserve">1 </w:t>
      </w:r>
      <w:r w:rsidRPr="005B265A">
        <w:rPr>
          <w:rFonts w:cstheme="minorHAnsi"/>
          <w:color w:val="231F20"/>
          <w:w w:val="105"/>
        </w:rPr>
        <w:t>and began a structured</w:t>
      </w:r>
      <w:r w:rsidRPr="005B265A">
        <w:rPr>
          <w:rFonts w:cstheme="minorHAnsi"/>
          <w:color w:val="231F20"/>
          <w:spacing w:val="34"/>
          <w:w w:val="105"/>
        </w:rPr>
        <w:t xml:space="preserve"> </w:t>
      </w:r>
      <w:r w:rsidRPr="005B265A">
        <w:rPr>
          <w:rFonts w:cstheme="minorHAnsi"/>
          <w:color w:val="231F20"/>
          <w:w w:val="105"/>
        </w:rPr>
        <w:t>release</w:t>
      </w:r>
    </w:p>
    <w:p w14:paraId="410E2962" w14:textId="77777777" w:rsidR="005B265A" w:rsidRPr="005B265A" w:rsidRDefault="005B265A" w:rsidP="00D63204">
      <w:pPr>
        <w:pStyle w:val="ListParagraph"/>
        <w:widowControl w:val="0"/>
        <w:spacing w:after="160" w:line="240" w:lineRule="auto"/>
        <w:ind w:left="810"/>
        <w:rPr>
          <w:rFonts w:cstheme="minorHAnsi"/>
          <w:color w:val="231F20"/>
        </w:rPr>
      </w:pPr>
    </w:p>
    <w:p w14:paraId="3F93798C" w14:textId="27472A8B" w:rsidR="005B265A" w:rsidRPr="005B265A" w:rsidRDefault="004A3FCD" w:rsidP="00D63204">
      <w:pPr>
        <w:pStyle w:val="ListParagraph"/>
        <w:widowControl w:val="0"/>
        <w:numPr>
          <w:ilvl w:val="0"/>
          <w:numId w:val="131"/>
        </w:numPr>
        <w:spacing w:after="160" w:line="240" w:lineRule="auto"/>
        <w:rPr>
          <w:rFonts w:cstheme="minorHAnsi"/>
          <w:color w:val="231F20"/>
        </w:rPr>
      </w:pPr>
      <w:r w:rsidRPr="005B265A">
        <w:rPr>
          <w:rFonts w:cstheme="minorHAnsi"/>
          <w:color w:val="231F20"/>
          <w:w w:val="110"/>
        </w:rPr>
        <w:t>February 2015 - VR opened Category</w:t>
      </w:r>
      <w:r w:rsidRPr="005B265A">
        <w:rPr>
          <w:rFonts w:cstheme="minorHAnsi"/>
          <w:color w:val="231F20"/>
          <w:spacing w:val="8"/>
          <w:w w:val="110"/>
        </w:rPr>
        <w:t xml:space="preserve"> </w:t>
      </w:r>
      <w:r w:rsidRPr="005B265A">
        <w:rPr>
          <w:rFonts w:cstheme="minorHAnsi"/>
          <w:color w:val="231F20"/>
          <w:w w:val="110"/>
        </w:rPr>
        <w:t>2</w:t>
      </w:r>
    </w:p>
    <w:p w14:paraId="7037E132" w14:textId="77777777" w:rsidR="005B265A" w:rsidRPr="005B265A" w:rsidRDefault="005B265A" w:rsidP="00D63204">
      <w:pPr>
        <w:pStyle w:val="ListParagraph"/>
        <w:widowControl w:val="0"/>
        <w:spacing w:after="160" w:line="240" w:lineRule="auto"/>
        <w:ind w:left="810"/>
        <w:rPr>
          <w:rFonts w:cstheme="minorHAnsi"/>
          <w:color w:val="231F20"/>
        </w:rPr>
      </w:pPr>
    </w:p>
    <w:p w14:paraId="14D5CB62" w14:textId="70C32C41" w:rsidR="005B265A" w:rsidRPr="005B265A" w:rsidRDefault="004A3FCD" w:rsidP="00D63204">
      <w:pPr>
        <w:pStyle w:val="ListParagraph"/>
        <w:widowControl w:val="0"/>
        <w:numPr>
          <w:ilvl w:val="0"/>
          <w:numId w:val="131"/>
        </w:numPr>
        <w:spacing w:after="160" w:line="240" w:lineRule="auto"/>
        <w:rPr>
          <w:rFonts w:cstheme="minorHAnsi"/>
          <w:color w:val="231F20"/>
        </w:rPr>
      </w:pPr>
      <w:r w:rsidRPr="005B265A">
        <w:rPr>
          <w:rFonts w:cstheme="minorHAnsi"/>
        </w:rPr>
        <w:t>As of December 2015, all individuals previously on the Category 2 wait list are receiving services</w:t>
      </w:r>
    </w:p>
    <w:p w14:paraId="0A859D32" w14:textId="77777777" w:rsidR="005B265A" w:rsidRPr="005B265A" w:rsidRDefault="005B265A" w:rsidP="00D63204">
      <w:pPr>
        <w:pStyle w:val="ListParagraph"/>
        <w:widowControl w:val="0"/>
        <w:spacing w:after="160" w:line="240" w:lineRule="auto"/>
        <w:ind w:left="810"/>
        <w:rPr>
          <w:rFonts w:cstheme="minorHAnsi"/>
          <w:color w:val="231F20"/>
        </w:rPr>
      </w:pPr>
    </w:p>
    <w:p w14:paraId="08FA9B44" w14:textId="1D56B539" w:rsidR="005B265A" w:rsidRPr="005B265A" w:rsidRDefault="004A3FCD" w:rsidP="00D63204">
      <w:pPr>
        <w:pStyle w:val="ListParagraph"/>
        <w:widowControl w:val="0"/>
        <w:numPr>
          <w:ilvl w:val="0"/>
          <w:numId w:val="131"/>
        </w:numPr>
        <w:spacing w:after="160" w:line="240" w:lineRule="auto"/>
        <w:rPr>
          <w:rFonts w:cstheme="minorHAnsi"/>
          <w:color w:val="231F20"/>
        </w:rPr>
      </w:pPr>
      <w:r w:rsidRPr="005B265A">
        <w:rPr>
          <w:rFonts w:cstheme="minorHAnsi"/>
        </w:rPr>
        <w:t>As of March 15, 2016, 1,512 individuals remain on the Category 3 wait list</w:t>
      </w:r>
      <w:r w:rsidRPr="005B265A">
        <w:rPr>
          <w:rFonts w:cstheme="minorHAnsi"/>
          <w:color w:val="231F20"/>
          <w:w w:val="110"/>
        </w:rPr>
        <w:t xml:space="preserve"> </w:t>
      </w:r>
    </w:p>
    <w:p w14:paraId="227317B0" w14:textId="77777777" w:rsidR="005B265A" w:rsidRPr="005B265A" w:rsidRDefault="005B265A" w:rsidP="00D63204">
      <w:pPr>
        <w:pStyle w:val="ListParagraph"/>
        <w:widowControl w:val="0"/>
        <w:spacing w:after="160" w:line="240" w:lineRule="auto"/>
        <w:ind w:left="810"/>
        <w:rPr>
          <w:rFonts w:cstheme="minorHAnsi"/>
          <w:color w:val="231F20"/>
        </w:rPr>
      </w:pPr>
    </w:p>
    <w:p w14:paraId="71E16263" w14:textId="757447FD" w:rsidR="004A3FCD" w:rsidRPr="005B265A" w:rsidRDefault="004A3FCD" w:rsidP="00D63204">
      <w:pPr>
        <w:pStyle w:val="ListParagraph"/>
        <w:widowControl w:val="0"/>
        <w:numPr>
          <w:ilvl w:val="0"/>
          <w:numId w:val="131"/>
        </w:numPr>
        <w:spacing w:after="160" w:line="240" w:lineRule="auto"/>
        <w:rPr>
          <w:rFonts w:cstheme="minorHAnsi"/>
          <w:color w:val="231F20"/>
        </w:rPr>
      </w:pPr>
      <w:r w:rsidRPr="005B265A">
        <w:rPr>
          <w:rFonts w:cstheme="minorHAnsi"/>
          <w:color w:val="231F20"/>
          <w:w w:val="110"/>
        </w:rPr>
        <w:t>As of September 30, 2017, 37 individuals remain in Category 3</w:t>
      </w:r>
    </w:p>
    <w:p w14:paraId="6E8852B8" w14:textId="77777777" w:rsidR="004A3FCD" w:rsidRPr="005B265A" w:rsidRDefault="004A3FCD" w:rsidP="00D63204">
      <w:pPr>
        <w:widowControl w:val="0"/>
        <w:spacing w:after="0" w:line="240" w:lineRule="auto"/>
        <w:ind w:left="90"/>
        <w:rPr>
          <w:rFonts w:cstheme="minorHAnsi"/>
          <w:color w:val="231F20"/>
          <w:w w:val="110"/>
        </w:rPr>
      </w:pPr>
    </w:p>
    <w:p w14:paraId="16C68E6D" w14:textId="1CD1826B" w:rsidR="004A3FCD" w:rsidRDefault="004A3FCD" w:rsidP="00D63204">
      <w:pPr>
        <w:widowControl w:val="0"/>
        <w:spacing w:after="0" w:line="240" w:lineRule="auto"/>
        <w:ind w:left="90"/>
        <w:rPr>
          <w:rFonts w:cstheme="minorHAnsi"/>
          <w:color w:val="231F20"/>
          <w:spacing w:val="8"/>
          <w:w w:val="105"/>
        </w:rPr>
      </w:pPr>
      <w:r w:rsidRPr="005B265A">
        <w:rPr>
          <w:rFonts w:cstheme="minorHAnsi"/>
          <w:color w:val="231F20"/>
          <w:w w:val="110"/>
        </w:rPr>
        <w:t>The</w:t>
      </w:r>
      <w:r w:rsidRPr="005B265A">
        <w:rPr>
          <w:rFonts w:cstheme="minorHAnsi"/>
          <w:color w:val="231F20"/>
          <w:spacing w:val="-7"/>
          <w:w w:val="110"/>
        </w:rPr>
        <w:t xml:space="preserve"> </w:t>
      </w:r>
      <w:r w:rsidRPr="005B265A">
        <w:rPr>
          <w:rFonts w:cstheme="minorHAnsi"/>
          <w:color w:val="231F20"/>
          <w:w w:val="110"/>
        </w:rPr>
        <w:t>OOS</w:t>
      </w:r>
      <w:r w:rsidRPr="005B265A">
        <w:rPr>
          <w:rFonts w:cstheme="minorHAnsi"/>
          <w:color w:val="231F20"/>
          <w:spacing w:val="-7"/>
          <w:w w:val="110"/>
        </w:rPr>
        <w:t xml:space="preserve"> </w:t>
      </w:r>
      <w:r w:rsidRPr="005B265A">
        <w:rPr>
          <w:rFonts w:cstheme="minorHAnsi"/>
          <w:color w:val="231F20"/>
          <w:w w:val="110"/>
        </w:rPr>
        <w:t>remains</w:t>
      </w:r>
      <w:r w:rsidRPr="005B265A">
        <w:rPr>
          <w:rFonts w:cstheme="minorHAnsi"/>
          <w:color w:val="231F20"/>
          <w:spacing w:val="-7"/>
          <w:w w:val="110"/>
        </w:rPr>
        <w:t xml:space="preserve"> </w:t>
      </w:r>
      <w:r w:rsidRPr="005B265A">
        <w:rPr>
          <w:rFonts w:cstheme="minorHAnsi"/>
          <w:color w:val="231F20"/>
          <w:w w:val="110"/>
        </w:rPr>
        <w:t>in</w:t>
      </w:r>
      <w:r w:rsidRPr="005B265A">
        <w:rPr>
          <w:rFonts w:cstheme="minorHAnsi"/>
          <w:color w:val="231F20"/>
          <w:spacing w:val="-7"/>
          <w:w w:val="110"/>
        </w:rPr>
        <w:t xml:space="preserve"> </w:t>
      </w:r>
      <w:r w:rsidRPr="005B265A">
        <w:rPr>
          <w:rFonts w:cstheme="minorHAnsi"/>
          <w:color w:val="231F20"/>
          <w:w w:val="110"/>
        </w:rPr>
        <w:t>effect</w:t>
      </w:r>
      <w:r w:rsidRPr="005B265A">
        <w:rPr>
          <w:rFonts w:cstheme="minorHAnsi"/>
          <w:color w:val="231F20"/>
          <w:spacing w:val="-7"/>
          <w:w w:val="110"/>
        </w:rPr>
        <w:t xml:space="preserve"> </w:t>
      </w:r>
      <w:r w:rsidRPr="005B265A">
        <w:rPr>
          <w:rFonts w:cstheme="minorHAnsi"/>
          <w:color w:val="231F20"/>
          <w:w w:val="110"/>
        </w:rPr>
        <w:t>statewide</w:t>
      </w:r>
      <w:r w:rsidRPr="005B265A">
        <w:rPr>
          <w:rFonts w:cstheme="minorHAnsi"/>
          <w:color w:val="231F20"/>
          <w:spacing w:val="-7"/>
          <w:w w:val="110"/>
        </w:rPr>
        <w:t xml:space="preserve"> </w:t>
      </w:r>
      <w:r w:rsidRPr="005B265A">
        <w:rPr>
          <w:rFonts w:cstheme="minorHAnsi"/>
          <w:color w:val="231F20"/>
          <w:w w:val="110"/>
        </w:rPr>
        <w:t>and</w:t>
      </w:r>
      <w:r w:rsidRPr="005B265A">
        <w:rPr>
          <w:rFonts w:cstheme="minorHAnsi"/>
          <w:color w:val="231F20"/>
          <w:spacing w:val="-7"/>
          <w:w w:val="110"/>
        </w:rPr>
        <w:t xml:space="preserve"> </w:t>
      </w:r>
      <w:r w:rsidRPr="005B265A">
        <w:rPr>
          <w:rFonts w:cstheme="minorHAnsi"/>
          <w:color w:val="231F20"/>
          <w:w w:val="110"/>
        </w:rPr>
        <w:t>does</w:t>
      </w:r>
      <w:r w:rsidRPr="005B265A">
        <w:rPr>
          <w:rFonts w:cstheme="minorHAnsi"/>
          <w:color w:val="231F20"/>
          <w:spacing w:val="-7"/>
          <w:w w:val="110"/>
        </w:rPr>
        <w:t xml:space="preserve"> </w:t>
      </w:r>
      <w:r w:rsidRPr="005B265A">
        <w:rPr>
          <w:rFonts w:cstheme="minorHAnsi"/>
          <w:color w:val="231F20"/>
          <w:w w:val="110"/>
        </w:rPr>
        <w:t>not</w:t>
      </w:r>
      <w:r w:rsidRPr="005B265A">
        <w:rPr>
          <w:rFonts w:cstheme="minorHAnsi"/>
          <w:color w:val="231F20"/>
          <w:spacing w:val="-7"/>
          <w:w w:val="110"/>
        </w:rPr>
        <w:t xml:space="preserve"> </w:t>
      </w:r>
      <w:r w:rsidRPr="005B265A">
        <w:rPr>
          <w:rFonts w:cstheme="minorHAnsi"/>
          <w:color w:val="231F20"/>
          <w:w w:val="110"/>
        </w:rPr>
        <w:t>select</w:t>
      </w:r>
      <w:r w:rsidRPr="005B265A">
        <w:rPr>
          <w:rFonts w:cstheme="minorHAnsi"/>
          <w:color w:val="231F20"/>
          <w:spacing w:val="-7"/>
          <w:w w:val="110"/>
        </w:rPr>
        <w:t xml:space="preserve"> </w:t>
      </w:r>
      <w:r w:rsidRPr="005B265A">
        <w:rPr>
          <w:rFonts w:cstheme="minorHAnsi"/>
          <w:color w:val="231F20"/>
          <w:w w:val="110"/>
        </w:rPr>
        <w:t>one</w:t>
      </w:r>
      <w:r w:rsidRPr="005B265A">
        <w:rPr>
          <w:rFonts w:cstheme="minorHAnsi"/>
          <w:color w:val="231F20"/>
          <w:spacing w:val="-7"/>
          <w:w w:val="110"/>
        </w:rPr>
        <w:t xml:space="preserve"> </w:t>
      </w:r>
      <w:r w:rsidRPr="005B265A">
        <w:rPr>
          <w:rFonts w:cstheme="minorHAnsi"/>
          <w:color w:val="231F20"/>
          <w:w w:val="110"/>
        </w:rPr>
        <w:t>type</w:t>
      </w:r>
      <w:r w:rsidRPr="005B265A">
        <w:rPr>
          <w:rFonts w:cstheme="minorHAnsi"/>
          <w:color w:val="231F20"/>
          <w:spacing w:val="-7"/>
          <w:w w:val="110"/>
        </w:rPr>
        <w:t xml:space="preserve"> </w:t>
      </w:r>
      <w:r w:rsidRPr="005B265A">
        <w:rPr>
          <w:rFonts w:cstheme="minorHAnsi"/>
          <w:color w:val="231F20"/>
          <w:w w:val="110"/>
        </w:rPr>
        <w:t>of</w:t>
      </w:r>
      <w:r w:rsidRPr="005B265A">
        <w:rPr>
          <w:rFonts w:cstheme="minorHAnsi"/>
          <w:color w:val="231F20"/>
          <w:spacing w:val="-7"/>
          <w:w w:val="110"/>
        </w:rPr>
        <w:t xml:space="preserve"> </w:t>
      </w:r>
      <w:r w:rsidRPr="005B265A">
        <w:rPr>
          <w:rFonts w:cstheme="minorHAnsi"/>
          <w:color w:val="231F20"/>
          <w:w w:val="110"/>
        </w:rPr>
        <w:t>disability</w:t>
      </w:r>
      <w:r w:rsidRPr="005B265A">
        <w:rPr>
          <w:rFonts w:cstheme="minorHAnsi"/>
          <w:color w:val="231F20"/>
          <w:spacing w:val="-7"/>
          <w:w w:val="110"/>
        </w:rPr>
        <w:t xml:space="preserve"> </w:t>
      </w:r>
      <w:r w:rsidRPr="005B265A">
        <w:rPr>
          <w:rFonts w:cstheme="minorHAnsi"/>
          <w:color w:val="231F20"/>
          <w:w w:val="110"/>
        </w:rPr>
        <w:t>over</w:t>
      </w:r>
      <w:r w:rsidRPr="005B265A">
        <w:rPr>
          <w:rFonts w:cstheme="minorHAnsi"/>
          <w:color w:val="231F20"/>
          <w:spacing w:val="-7"/>
          <w:w w:val="110"/>
        </w:rPr>
        <w:t xml:space="preserve"> </w:t>
      </w:r>
      <w:r w:rsidRPr="005B265A">
        <w:rPr>
          <w:rFonts w:cstheme="minorHAnsi"/>
          <w:color w:val="231F20"/>
          <w:spacing w:val="-3"/>
          <w:w w:val="110"/>
        </w:rPr>
        <w:t>another.</w:t>
      </w:r>
      <w:r w:rsidRPr="005B265A">
        <w:rPr>
          <w:rFonts w:cstheme="minorHAnsi"/>
          <w:color w:val="231F20"/>
          <w:spacing w:val="-7"/>
          <w:w w:val="110"/>
        </w:rPr>
        <w:t xml:space="preserve"> </w:t>
      </w:r>
      <w:r w:rsidRPr="005B265A">
        <w:rPr>
          <w:rFonts w:cstheme="minorHAnsi"/>
          <w:color w:val="231F20"/>
          <w:w w:val="110"/>
        </w:rPr>
        <w:t>The</w:t>
      </w:r>
      <w:r w:rsidRPr="005B265A">
        <w:rPr>
          <w:rFonts w:cstheme="minorHAnsi"/>
          <w:color w:val="231F20"/>
          <w:spacing w:val="-7"/>
          <w:w w:val="110"/>
        </w:rPr>
        <w:t xml:space="preserve"> </w:t>
      </w:r>
      <w:r w:rsidRPr="005B265A">
        <w:rPr>
          <w:rFonts w:cstheme="minorHAnsi"/>
          <w:color w:val="231F20"/>
          <w:w w:val="110"/>
        </w:rPr>
        <w:t>OOS</w:t>
      </w:r>
      <w:r w:rsidRPr="005B265A">
        <w:rPr>
          <w:rFonts w:cstheme="minorHAnsi"/>
          <w:color w:val="231F20"/>
          <w:spacing w:val="-7"/>
          <w:w w:val="110"/>
        </w:rPr>
        <w:t xml:space="preserve"> </w:t>
      </w:r>
      <w:r w:rsidRPr="005B265A">
        <w:rPr>
          <w:rFonts w:cstheme="minorHAnsi"/>
          <w:color w:val="231F20"/>
          <w:w w:val="110"/>
        </w:rPr>
        <w:t>is</w:t>
      </w:r>
      <w:r w:rsidRPr="005B265A">
        <w:rPr>
          <w:rFonts w:cstheme="minorHAnsi"/>
          <w:color w:val="231F20"/>
          <w:w w:val="111"/>
        </w:rPr>
        <w:t xml:space="preserve"> </w:t>
      </w:r>
      <w:r w:rsidRPr="005B265A">
        <w:rPr>
          <w:rFonts w:cstheme="minorHAnsi"/>
          <w:color w:val="231F20"/>
          <w:w w:val="110"/>
        </w:rPr>
        <w:t>not</w:t>
      </w:r>
      <w:r w:rsidRPr="005B265A">
        <w:rPr>
          <w:rFonts w:cstheme="minorHAnsi"/>
          <w:color w:val="231F20"/>
          <w:spacing w:val="-24"/>
          <w:w w:val="110"/>
        </w:rPr>
        <w:t xml:space="preserve"> </w:t>
      </w:r>
      <w:r w:rsidRPr="005B265A">
        <w:rPr>
          <w:rFonts w:cstheme="minorHAnsi"/>
          <w:color w:val="231F20"/>
          <w:w w:val="110"/>
        </w:rPr>
        <w:t>established</w:t>
      </w:r>
      <w:r w:rsidRPr="005B265A">
        <w:rPr>
          <w:rFonts w:cstheme="minorHAnsi"/>
          <w:color w:val="231F20"/>
          <w:spacing w:val="-24"/>
          <w:w w:val="110"/>
        </w:rPr>
        <w:t xml:space="preserve"> </w:t>
      </w:r>
      <w:r w:rsidRPr="005B265A">
        <w:rPr>
          <w:rFonts w:cstheme="minorHAnsi"/>
          <w:color w:val="231F20"/>
          <w:w w:val="110"/>
        </w:rPr>
        <w:t>based</w:t>
      </w:r>
      <w:r w:rsidRPr="005B265A">
        <w:rPr>
          <w:rFonts w:cstheme="minorHAnsi"/>
          <w:color w:val="231F20"/>
          <w:spacing w:val="-24"/>
          <w:w w:val="110"/>
        </w:rPr>
        <w:t xml:space="preserve"> </w:t>
      </w:r>
      <w:r w:rsidRPr="005B265A">
        <w:rPr>
          <w:rFonts w:cstheme="minorHAnsi"/>
          <w:color w:val="231F20"/>
          <w:w w:val="110"/>
        </w:rPr>
        <w:t>on</w:t>
      </w:r>
      <w:r w:rsidRPr="005B265A">
        <w:rPr>
          <w:rFonts w:cstheme="minorHAnsi"/>
          <w:color w:val="231F20"/>
          <w:spacing w:val="-24"/>
          <w:w w:val="110"/>
        </w:rPr>
        <w:t xml:space="preserve"> </w:t>
      </w:r>
      <w:r w:rsidRPr="005B265A">
        <w:rPr>
          <w:rFonts w:cstheme="minorHAnsi"/>
          <w:color w:val="231F20"/>
          <w:w w:val="110"/>
        </w:rPr>
        <w:t>age,</w:t>
      </w:r>
      <w:r w:rsidRPr="005B265A">
        <w:rPr>
          <w:rFonts w:cstheme="minorHAnsi"/>
          <w:color w:val="231F20"/>
          <w:spacing w:val="-24"/>
          <w:w w:val="110"/>
        </w:rPr>
        <w:t xml:space="preserve"> </w:t>
      </w:r>
      <w:r w:rsidRPr="005B265A">
        <w:rPr>
          <w:rFonts w:cstheme="minorHAnsi"/>
          <w:color w:val="231F20"/>
          <w:w w:val="110"/>
        </w:rPr>
        <w:t>sex,</w:t>
      </w:r>
      <w:r w:rsidRPr="005B265A">
        <w:rPr>
          <w:rFonts w:cstheme="minorHAnsi"/>
          <w:color w:val="231F20"/>
          <w:spacing w:val="-24"/>
          <w:w w:val="110"/>
        </w:rPr>
        <w:t xml:space="preserve"> </w:t>
      </w:r>
      <w:r w:rsidRPr="005B265A">
        <w:rPr>
          <w:rFonts w:cstheme="minorHAnsi"/>
          <w:color w:val="231F20"/>
          <w:w w:val="110"/>
        </w:rPr>
        <w:t>marital</w:t>
      </w:r>
      <w:r w:rsidRPr="005B265A">
        <w:rPr>
          <w:rFonts w:cstheme="minorHAnsi"/>
          <w:color w:val="231F20"/>
          <w:spacing w:val="-24"/>
          <w:w w:val="110"/>
        </w:rPr>
        <w:t xml:space="preserve"> </w:t>
      </w:r>
      <w:r w:rsidRPr="005B265A">
        <w:rPr>
          <w:rFonts w:cstheme="minorHAnsi"/>
          <w:color w:val="231F20"/>
          <w:w w:val="110"/>
        </w:rPr>
        <w:t>status,</w:t>
      </w:r>
      <w:r w:rsidRPr="005B265A">
        <w:rPr>
          <w:rFonts w:cstheme="minorHAnsi"/>
          <w:color w:val="231F20"/>
          <w:spacing w:val="-24"/>
          <w:w w:val="110"/>
        </w:rPr>
        <w:t xml:space="preserve"> </w:t>
      </w:r>
      <w:r w:rsidRPr="005B265A">
        <w:rPr>
          <w:rFonts w:cstheme="minorHAnsi"/>
          <w:color w:val="231F20"/>
          <w:w w:val="110"/>
        </w:rPr>
        <w:t>religion,</w:t>
      </w:r>
      <w:r w:rsidRPr="005B265A">
        <w:rPr>
          <w:rFonts w:cstheme="minorHAnsi"/>
          <w:color w:val="231F20"/>
          <w:spacing w:val="-24"/>
          <w:w w:val="110"/>
        </w:rPr>
        <w:t xml:space="preserve"> </w:t>
      </w:r>
      <w:r w:rsidRPr="005B265A">
        <w:rPr>
          <w:rFonts w:cstheme="minorHAnsi"/>
          <w:color w:val="231F20"/>
          <w:w w:val="110"/>
        </w:rPr>
        <w:t>race,</w:t>
      </w:r>
      <w:r w:rsidRPr="005B265A">
        <w:rPr>
          <w:rFonts w:cstheme="minorHAnsi"/>
          <w:color w:val="231F20"/>
          <w:spacing w:val="-24"/>
          <w:w w:val="110"/>
        </w:rPr>
        <w:t xml:space="preserve"> </w:t>
      </w:r>
      <w:r w:rsidRPr="005B265A">
        <w:rPr>
          <w:rFonts w:cstheme="minorHAnsi"/>
          <w:color w:val="231F20"/>
          <w:spacing w:val="-3"/>
          <w:w w:val="110"/>
        </w:rPr>
        <w:t>color,</w:t>
      </w:r>
      <w:r w:rsidRPr="005B265A">
        <w:rPr>
          <w:rFonts w:cstheme="minorHAnsi"/>
          <w:color w:val="231F20"/>
          <w:spacing w:val="-24"/>
          <w:w w:val="110"/>
        </w:rPr>
        <w:t xml:space="preserve"> </w:t>
      </w:r>
      <w:r w:rsidRPr="005B265A">
        <w:rPr>
          <w:rFonts w:cstheme="minorHAnsi"/>
          <w:color w:val="231F20"/>
          <w:w w:val="110"/>
        </w:rPr>
        <w:t>national</w:t>
      </w:r>
      <w:r w:rsidRPr="005B265A">
        <w:rPr>
          <w:rFonts w:cstheme="minorHAnsi"/>
          <w:color w:val="231F20"/>
          <w:spacing w:val="-24"/>
          <w:w w:val="110"/>
        </w:rPr>
        <w:t xml:space="preserve"> </w:t>
      </w:r>
      <w:r w:rsidRPr="005B265A">
        <w:rPr>
          <w:rFonts w:cstheme="minorHAnsi"/>
          <w:color w:val="231F20"/>
          <w:w w:val="110"/>
        </w:rPr>
        <w:t>origin,</w:t>
      </w:r>
      <w:r w:rsidRPr="005B265A">
        <w:rPr>
          <w:rFonts w:cstheme="minorHAnsi"/>
          <w:color w:val="231F20"/>
          <w:spacing w:val="-24"/>
          <w:w w:val="110"/>
        </w:rPr>
        <w:t xml:space="preserve"> </w:t>
      </w:r>
      <w:r w:rsidRPr="005B265A">
        <w:rPr>
          <w:rFonts w:cstheme="minorHAnsi"/>
          <w:color w:val="231F20"/>
          <w:w w:val="110"/>
        </w:rPr>
        <w:t>or</w:t>
      </w:r>
      <w:r w:rsidRPr="005B265A">
        <w:rPr>
          <w:rFonts w:cstheme="minorHAnsi"/>
          <w:color w:val="231F20"/>
          <w:spacing w:val="-24"/>
          <w:w w:val="110"/>
        </w:rPr>
        <w:t xml:space="preserve"> </w:t>
      </w:r>
      <w:r w:rsidRPr="005B265A">
        <w:rPr>
          <w:rFonts w:cstheme="minorHAnsi"/>
          <w:color w:val="231F20"/>
          <w:w w:val="110"/>
        </w:rPr>
        <w:t>political</w:t>
      </w:r>
      <w:r w:rsidRPr="005B265A">
        <w:rPr>
          <w:rFonts w:cstheme="minorHAnsi"/>
          <w:color w:val="231F20"/>
          <w:spacing w:val="-24"/>
          <w:w w:val="110"/>
        </w:rPr>
        <w:t xml:space="preserve"> </w:t>
      </w:r>
      <w:r w:rsidRPr="005B265A">
        <w:rPr>
          <w:rFonts w:cstheme="minorHAnsi"/>
          <w:color w:val="231F20"/>
          <w:w w:val="110"/>
        </w:rPr>
        <w:t>affiliation</w:t>
      </w:r>
      <w:r w:rsidR="00D5537E">
        <w:rPr>
          <w:rFonts w:cstheme="minorHAnsi"/>
          <w:color w:val="231F20"/>
          <w:w w:val="110"/>
        </w:rPr>
        <w:t xml:space="preserve"> and</w:t>
      </w:r>
      <w:r w:rsidRPr="005B265A">
        <w:rPr>
          <w:rFonts w:cstheme="minorHAnsi"/>
          <w:color w:val="231F20"/>
          <w:spacing w:val="-11"/>
          <w:w w:val="110"/>
        </w:rPr>
        <w:t xml:space="preserve"> </w:t>
      </w:r>
      <w:r w:rsidRPr="005B265A">
        <w:rPr>
          <w:rFonts w:cstheme="minorHAnsi"/>
          <w:color w:val="231F20"/>
          <w:w w:val="110"/>
        </w:rPr>
        <w:t>is</w:t>
      </w:r>
      <w:r w:rsidRPr="005B265A">
        <w:rPr>
          <w:rFonts w:cstheme="minorHAnsi"/>
          <w:color w:val="231F20"/>
          <w:spacing w:val="-11"/>
          <w:w w:val="110"/>
        </w:rPr>
        <w:t xml:space="preserve"> </w:t>
      </w:r>
      <w:r w:rsidRPr="005B265A">
        <w:rPr>
          <w:rFonts w:cstheme="minorHAnsi"/>
          <w:color w:val="231F20"/>
          <w:w w:val="110"/>
        </w:rPr>
        <w:t>not</w:t>
      </w:r>
      <w:r w:rsidRPr="005B265A">
        <w:rPr>
          <w:rFonts w:cstheme="minorHAnsi"/>
          <w:color w:val="231F20"/>
          <w:spacing w:val="-11"/>
          <w:w w:val="110"/>
        </w:rPr>
        <w:t xml:space="preserve"> </w:t>
      </w:r>
      <w:r w:rsidRPr="005B265A">
        <w:rPr>
          <w:rFonts w:cstheme="minorHAnsi"/>
          <w:color w:val="231F20"/>
          <w:w w:val="110"/>
        </w:rPr>
        <w:t>based</w:t>
      </w:r>
      <w:r w:rsidRPr="005B265A">
        <w:rPr>
          <w:rFonts w:cstheme="minorHAnsi"/>
          <w:color w:val="231F20"/>
          <w:spacing w:val="-11"/>
          <w:w w:val="110"/>
        </w:rPr>
        <w:t xml:space="preserve"> </w:t>
      </w:r>
      <w:r w:rsidRPr="005B265A">
        <w:rPr>
          <w:rFonts w:cstheme="minorHAnsi"/>
          <w:color w:val="231F20"/>
          <w:w w:val="110"/>
        </w:rPr>
        <w:t>on</w:t>
      </w:r>
      <w:r w:rsidRPr="005B265A">
        <w:rPr>
          <w:rFonts w:cstheme="minorHAnsi"/>
          <w:color w:val="231F20"/>
          <w:spacing w:val="-11"/>
          <w:w w:val="110"/>
        </w:rPr>
        <w:t xml:space="preserve"> </w:t>
      </w:r>
      <w:r w:rsidRPr="005B265A">
        <w:rPr>
          <w:rFonts w:cstheme="minorHAnsi"/>
          <w:color w:val="231F20"/>
          <w:w w:val="110"/>
        </w:rPr>
        <w:t>the</w:t>
      </w:r>
      <w:r w:rsidRPr="005B265A">
        <w:rPr>
          <w:rFonts w:cstheme="minorHAnsi"/>
          <w:color w:val="231F20"/>
          <w:spacing w:val="-11"/>
          <w:w w:val="110"/>
        </w:rPr>
        <w:t xml:space="preserve"> </w:t>
      </w:r>
      <w:r w:rsidRPr="005B265A">
        <w:rPr>
          <w:rFonts w:cstheme="minorHAnsi"/>
          <w:color w:val="231F20"/>
          <w:w w:val="110"/>
        </w:rPr>
        <w:t>vocational</w:t>
      </w:r>
      <w:r w:rsidRPr="005B265A">
        <w:rPr>
          <w:rFonts w:cstheme="minorHAnsi"/>
          <w:color w:val="231F20"/>
          <w:spacing w:val="-11"/>
          <w:w w:val="110"/>
        </w:rPr>
        <w:t xml:space="preserve"> </w:t>
      </w:r>
      <w:r w:rsidRPr="005B265A">
        <w:rPr>
          <w:rFonts w:cstheme="minorHAnsi"/>
          <w:color w:val="231F20"/>
          <w:w w:val="110"/>
        </w:rPr>
        <w:t>goal</w:t>
      </w:r>
      <w:r w:rsidRPr="005B265A">
        <w:rPr>
          <w:rFonts w:cstheme="minorHAnsi"/>
          <w:color w:val="231F20"/>
          <w:spacing w:val="-11"/>
          <w:w w:val="110"/>
        </w:rPr>
        <w:t xml:space="preserve"> </w:t>
      </w:r>
      <w:r w:rsidRPr="005B265A">
        <w:rPr>
          <w:rFonts w:cstheme="minorHAnsi"/>
          <w:color w:val="231F20"/>
          <w:w w:val="110"/>
        </w:rPr>
        <w:t>of</w:t>
      </w:r>
      <w:r w:rsidRPr="005B265A">
        <w:rPr>
          <w:rFonts w:cstheme="minorHAnsi"/>
          <w:color w:val="231F20"/>
          <w:spacing w:val="-11"/>
          <w:w w:val="110"/>
        </w:rPr>
        <w:t xml:space="preserve"> </w:t>
      </w:r>
      <w:r w:rsidRPr="005B265A">
        <w:rPr>
          <w:rFonts w:cstheme="minorHAnsi"/>
          <w:color w:val="231F20"/>
          <w:w w:val="110"/>
        </w:rPr>
        <w:t>the</w:t>
      </w:r>
      <w:r w:rsidRPr="005B265A">
        <w:rPr>
          <w:rFonts w:cstheme="minorHAnsi"/>
          <w:color w:val="231F20"/>
          <w:spacing w:val="-11"/>
          <w:w w:val="110"/>
        </w:rPr>
        <w:t xml:space="preserve"> </w:t>
      </w:r>
      <w:r w:rsidRPr="005B265A">
        <w:rPr>
          <w:rFonts w:cstheme="minorHAnsi"/>
          <w:color w:val="231F20"/>
          <w:w w:val="110"/>
        </w:rPr>
        <w:t>individual</w:t>
      </w:r>
      <w:r w:rsidRPr="005B265A">
        <w:rPr>
          <w:rFonts w:cstheme="minorHAnsi"/>
          <w:color w:val="231F20"/>
          <w:spacing w:val="-11"/>
          <w:w w:val="110"/>
        </w:rPr>
        <w:t xml:space="preserve"> </w:t>
      </w:r>
      <w:r w:rsidRPr="005B265A">
        <w:rPr>
          <w:rFonts w:cstheme="minorHAnsi"/>
          <w:color w:val="231F20"/>
          <w:w w:val="110"/>
        </w:rPr>
        <w:t>with</w:t>
      </w:r>
      <w:r w:rsidRPr="005B265A">
        <w:rPr>
          <w:rFonts w:cstheme="minorHAnsi"/>
          <w:color w:val="231F20"/>
          <w:spacing w:val="-11"/>
          <w:w w:val="110"/>
        </w:rPr>
        <w:t xml:space="preserve"> </w:t>
      </w:r>
      <w:r w:rsidRPr="005B265A">
        <w:rPr>
          <w:rFonts w:cstheme="minorHAnsi"/>
          <w:color w:val="231F20"/>
          <w:w w:val="110"/>
        </w:rPr>
        <w:t>a</w:t>
      </w:r>
      <w:r w:rsidRPr="005B265A">
        <w:rPr>
          <w:rFonts w:cstheme="minorHAnsi"/>
          <w:color w:val="231F20"/>
          <w:spacing w:val="-11"/>
          <w:w w:val="110"/>
        </w:rPr>
        <w:t xml:space="preserve"> </w:t>
      </w:r>
      <w:r w:rsidRPr="005B265A">
        <w:rPr>
          <w:rFonts w:cstheme="minorHAnsi"/>
          <w:color w:val="231F20"/>
          <w:w w:val="110"/>
        </w:rPr>
        <w:t>disability.</w:t>
      </w:r>
      <w:r w:rsidRPr="005B265A">
        <w:rPr>
          <w:rFonts w:cstheme="minorHAnsi"/>
          <w:color w:val="231F20"/>
          <w:spacing w:val="-11"/>
          <w:w w:val="110"/>
        </w:rPr>
        <w:t xml:space="preserve"> </w:t>
      </w:r>
      <w:r w:rsidRPr="005B265A">
        <w:rPr>
          <w:rFonts w:cstheme="minorHAnsi"/>
          <w:color w:val="231F20"/>
          <w:w w:val="110"/>
        </w:rPr>
        <w:t>Elements</w:t>
      </w:r>
      <w:r w:rsidRPr="005B265A">
        <w:rPr>
          <w:rFonts w:cstheme="minorHAnsi"/>
          <w:color w:val="231F20"/>
          <w:spacing w:val="-11"/>
          <w:w w:val="110"/>
        </w:rPr>
        <w:t xml:space="preserve"> </w:t>
      </w:r>
      <w:r w:rsidRPr="005B265A">
        <w:rPr>
          <w:rFonts w:cstheme="minorHAnsi"/>
          <w:color w:val="231F20"/>
          <w:w w:val="110"/>
        </w:rPr>
        <w:t>that</w:t>
      </w:r>
      <w:r w:rsidRPr="005B265A">
        <w:rPr>
          <w:rFonts w:cstheme="minorHAnsi"/>
          <w:color w:val="231F20"/>
          <w:spacing w:val="-11"/>
          <w:w w:val="110"/>
        </w:rPr>
        <w:t xml:space="preserve"> </w:t>
      </w:r>
      <w:r w:rsidRPr="005B265A">
        <w:rPr>
          <w:rFonts w:cstheme="minorHAnsi"/>
          <w:color w:val="231F20"/>
          <w:w w:val="110"/>
        </w:rPr>
        <w:t>relate</w:t>
      </w:r>
      <w:r w:rsidRPr="005B265A">
        <w:rPr>
          <w:rFonts w:cstheme="minorHAnsi"/>
          <w:color w:val="231F20"/>
          <w:spacing w:val="-11"/>
          <w:w w:val="110"/>
        </w:rPr>
        <w:t xml:space="preserve"> </w:t>
      </w:r>
      <w:r w:rsidRPr="005B265A">
        <w:rPr>
          <w:rFonts w:cstheme="minorHAnsi"/>
          <w:color w:val="231F20"/>
          <w:w w:val="110"/>
        </w:rPr>
        <w:t>to</w:t>
      </w:r>
      <w:r w:rsidRPr="005B265A">
        <w:rPr>
          <w:rFonts w:cstheme="minorHAnsi"/>
          <w:color w:val="231F20"/>
          <w:spacing w:val="-11"/>
          <w:w w:val="110"/>
        </w:rPr>
        <w:t xml:space="preserve"> </w:t>
      </w:r>
      <w:r w:rsidRPr="005B265A">
        <w:rPr>
          <w:rFonts w:cstheme="minorHAnsi"/>
          <w:color w:val="231F20"/>
          <w:w w:val="110"/>
        </w:rPr>
        <w:t>the</w:t>
      </w:r>
      <w:r w:rsidRPr="005B265A">
        <w:rPr>
          <w:rFonts w:cstheme="minorHAnsi"/>
          <w:color w:val="231F20"/>
          <w:w w:val="103"/>
        </w:rPr>
        <w:t xml:space="preserve"> </w:t>
      </w:r>
      <w:r w:rsidRPr="005B265A">
        <w:rPr>
          <w:rFonts w:cstheme="minorHAnsi"/>
          <w:color w:val="231F20"/>
          <w:w w:val="110"/>
        </w:rPr>
        <w:t>significance</w:t>
      </w:r>
      <w:r w:rsidRPr="005B265A">
        <w:rPr>
          <w:rFonts w:cstheme="minorHAnsi"/>
          <w:color w:val="231F20"/>
          <w:spacing w:val="-10"/>
          <w:w w:val="110"/>
        </w:rPr>
        <w:t xml:space="preserve"> </w:t>
      </w:r>
      <w:r w:rsidRPr="005B265A">
        <w:rPr>
          <w:rFonts w:cstheme="minorHAnsi"/>
          <w:color w:val="231F20"/>
          <w:w w:val="110"/>
        </w:rPr>
        <w:t>of</w:t>
      </w:r>
      <w:r w:rsidRPr="005B265A">
        <w:rPr>
          <w:rFonts w:cstheme="minorHAnsi"/>
          <w:color w:val="231F20"/>
          <w:spacing w:val="-10"/>
          <w:w w:val="110"/>
        </w:rPr>
        <w:t xml:space="preserve"> </w:t>
      </w:r>
      <w:r w:rsidRPr="005B265A">
        <w:rPr>
          <w:rFonts w:cstheme="minorHAnsi"/>
          <w:color w:val="231F20"/>
          <w:w w:val="110"/>
        </w:rPr>
        <w:t>disability</w:t>
      </w:r>
      <w:r w:rsidRPr="005B265A">
        <w:rPr>
          <w:rFonts w:cstheme="minorHAnsi"/>
          <w:color w:val="231F20"/>
          <w:spacing w:val="-10"/>
          <w:w w:val="110"/>
        </w:rPr>
        <w:t xml:space="preserve"> </w:t>
      </w:r>
      <w:r w:rsidRPr="005B265A">
        <w:rPr>
          <w:rFonts w:cstheme="minorHAnsi"/>
          <w:color w:val="231F20"/>
          <w:w w:val="110"/>
        </w:rPr>
        <w:t>are</w:t>
      </w:r>
      <w:r w:rsidRPr="005B265A">
        <w:rPr>
          <w:rFonts w:cstheme="minorHAnsi"/>
          <w:color w:val="231F20"/>
          <w:spacing w:val="-10"/>
          <w:w w:val="110"/>
        </w:rPr>
        <w:t xml:space="preserve"> </w:t>
      </w:r>
      <w:r w:rsidRPr="005B265A">
        <w:rPr>
          <w:rFonts w:cstheme="minorHAnsi"/>
          <w:color w:val="231F20"/>
          <w:w w:val="110"/>
        </w:rPr>
        <w:t>the</w:t>
      </w:r>
      <w:r w:rsidRPr="005B265A">
        <w:rPr>
          <w:rFonts w:cstheme="minorHAnsi"/>
          <w:color w:val="231F20"/>
          <w:spacing w:val="-10"/>
          <w:w w:val="110"/>
        </w:rPr>
        <w:t xml:space="preserve"> </w:t>
      </w:r>
      <w:r w:rsidRPr="005B265A">
        <w:rPr>
          <w:rFonts w:cstheme="minorHAnsi"/>
          <w:color w:val="231F20"/>
          <w:w w:val="110"/>
        </w:rPr>
        <w:t>only</w:t>
      </w:r>
      <w:r w:rsidRPr="005B265A">
        <w:rPr>
          <w:rFonts w:cstheme="minorHAnsi"/>
          <w:color w:val="231F20"/>
          <w:spacing w:val="-10"/>
          <w:w w:val="110"/>
        </w:rPr>
        <w:t xml:space="preserve"> </w:t>
      </w:r>
      <w:r w:rsidRPr="005B265A">
        <w:rPr>
          <w:rFonts w:cstheme="minorHAnsi"/>
          <w:color w:val="231F20"/>
          <w:w w:val="110"/>
        </w:rPr>
        <w:t>factors</w:t>
      </w:r>
      <w:r w:rsidRPr="005B265A">
        <w:rPr>
          <w:rFonts w:cstheme="minorHAnsi"/>
          <w:color w:val="231F20"/>
          <w:spacing w:val="-10"/>
          <w:w w:val="110"/>
        </w:rPr>
        <w:t xml:space="preserve"> </w:t>
      </w:r>
      <w:r w:rsidRPr="005B265A">
        <w:rPr>
          <w:rFonts w:cstheme="minorHAnsi"/>
          <w:color w:val="231F20"/>
          <w:w w:val="110"/>
        </w:rPr>
        <w:t>used</w:t>
      </w:r>
      <w:r w:rsidRPr="005B265A">
        <w:rPr>
          <w:rFonts w:cstheme="minorHAnsi"/>
          <w:color w:val="231F20"/>
          <w:spacing w:val="-10"/>
          <w:w w:val="110"/>
        </w:rPr>
        <w:t xml:space="preserve"> </w:t>
      </w:r>
      <w:r w:rsidRPr="005B265A">
        <w:rPr>
          <w:rFonts w:cstheme="minorHAnsi"/>
          <w:color w:val="231F20"/>
          <w:w w:val="110"/>
        </w:rPr>
        <w:t>in</w:t>
      </w:r>
      <w:r w:rsidRPr="005B265A">
        <w:rPr>
          <w:rFonts w:cstheme="minorHAnsi"/>
          <w:color w:val="231F20"/>
          <w:spacing w:val="-10"/>
          <w:w w:val="110"/>
        </w:rPr>
        <w:t xml:space="preserve"> </w:t>
      </w:r>
      <w:r w:rsidRPr="005B265A">
        <w:rPr>
          <w:rFonts w:cstheme="minorHAnsi"/>
          <w:color w:val="231F20"/>
          <w:w w:val="110"/>
        </w:rPr>
        <w:t>OOS.</w:t>
      </w:r>
      <w:r w:rsidRPr="005B265A">
        <w:rPr>
          <w:rFonts w:cstheme="minorHAnsi"/>
        </w:rPr>
        <w:t xml:space="preserve"> In accordance with Section 412 of WIOA, VR has elected to provide </w:t>
      </w:r>
      <w:r w:rsidRPr="005B265A">
        <w:rPr>
          <w:rFonts w:cstheme="minorHAnsi"/>
          <w:color w:val="231F20"/>
          <w:w w:val="105"/>
        </w:rPr>
        <w:t>Job Retention Services</w:t>
      </w:r>
      <w:r w:rsidRPr="005B265A">
        <w:rPr>
          <w:rFonts w:cstheme="minorHAnsi"/>
          <w:color w:val="231F20"/>
          <w:spacing w:val="13"/>
          <w:w w:val="105"/>
        </w:rPr>
        <w:t xml:space="preserve"> (</w:t>
      </w:r>
      <w:r w:rsidRPr="005B265A">
        <w:rPr>
          <w:rFonts w:cstheme="minorHAnsi"/>
          <w:color w:val="231F20"/>
          <w:w w:val="105"/>
        </w:rPr>
        <w:t>discretionary</w:t>
      </w:r>
      <w:r w:rsidRPr="005B265A">
        <w:rPr>
          <w:rFonts w:cstheme="minorHAnsi"/>
          <w:color w:val="231F20"/>
          <w:spacing w:val="13"/>
          <w:w w:val="105"/>
        </w:rPr>
        <w:t xml:space="preserve"> </w:t>
      </w:r>
      <w:r w:rsidRPr="005B265A">
        <w:rPr>
          <w:rFonts w:cstheme="minorHAnsi"/>
          <w:color w:val="231F20"/>
          <w:w w:val="105"/>
        </w:rPr>
        <w:t>services</w:t>
      </w:r>
      <w:r w:rsidRPr="005B265A">
        <w:rPr>
          <w:rFonts w:cstheme="minorHAnsi"/>
          <w:color w:val="231F20"/>
          <w:spacing w:val="13"/>
          <w:w w:val="105"/>
        </w:rPr>
        <w:t xml:space="preserve"> </w:t>
      </w:r>
      <w:r w:rsidRPr="005B265A">
        <w:rPr>
          <w:rFonts w:cstheme="minorHAnsi"/>
          <w:color w:val="231F20"/>
          <w:w w:val="105"/>
        </w:rPr>
        <w:t>to</w:t>
      </w:r>
      <w:r w:rsidRPr="005B265A">
        <w:rPr>
          <w:rFonts w:cstheme="minorHAnsi"/>
          <w:color w:val="231F20"/>
          <w:spacing w:val="13"/>
          <w:w w:val="105"/>
        </w:rPr>
        <w:t xml:space="preserve"> </w:t>
      </w:r>
      <w:r w:rsidRPr="005B265A">
        <w:rPr>
          <w:rFonts w:cstheme="minorHAnsi"/>
          <w:color w:val="231F20"/>
          <w:w w:val="105"/>
        </w:rPr>
        <w:t>eligible</w:t>
      </w:r>
      <w:r w:rsidRPr="005B265A">
        <w:rPr>
          <w:rFonts w:cstheme="minorHAnsi"/>
          <w:color w:val="231F20"/>
          <w:spacing w:val="13"/>
          <w:w w:val="105"/>
        </w:rPr>
        <w:t xml:space="preserve"> </w:t>
      </w:r>
      <w:r w:rsidRPr="005B265A">
        <w:rPr>
          <w:rFonts w:cstheme="minorHAnsi"/>
          <w:color w:val="231F20"/>
          <w:w w:val="105"/>
        </w:rPr>
        <w:t>individuals</w:t>
      </w:r>
      <w:r w:rsidRPr="005B265A">
        <w:rPr>
          <w:rFonts w:cstheme="minorHAnsi"/>
          <w:color w:val="231F20"/>
          <w:spacing w:val="13"/>
          <w:w w:val="105"/>
        </w:rPr>
        <w:t xml:space="preserve"> </w:t>
      </w:r>
      <w:r w:rsidRPr="005B265A">
        <w:rPr>
          <w:rFonts w:cstheme="minorHAnsi"/>
          <w:color w:val="231F20"/>
          <w:w w:val="105"/>
        </w:rPr>
        <w:t>regardless</w:t>
      </w:r>
      <w:r w:rsidRPr="005B265A">
        <w:rPr>
          <w:rFonts w:cstheme="minorHAnsi"/>
          <w:color w:val="231F20"/>
          <w:spacing w:val="13"/>
          <w:w w:val="105"/>
        </w:rPr>
        <w:t xml:space="preserve"> </w:t>
      </w:r>
      <w:r w:rsidRPr="005B265A">
        <w:rPr>
          <w:rFonts w:cstheme="minorHAnsi"/>
          <w:color w:val="231F20"/>
          <w:w w:val="105"/>
        </w:rPr>
        <w:t>of</w:t>
      </w:r>
      <w:r w:rsidRPr="005B265A">
        <w:rPr>
          <w:rFonts w:cstheme="minorHAnsi"/>
          <w:color w:val="231F20"/>
          <w:spacing w:val="13"/>
          <w:w w:val="105"/>
        </w:rPr>
        <w:t xml:space="preserve"> </w:t>
      </w:r>
      <w:r w:rsidRPr="005B265A">
        <w:rPr>
          <w:rFonts w:cstheme="minorHAnsi"/>
          <w:color w:val="231F20"/>
          <w:w w:val="105"/>
        </w:rPr>
        <w:t>order</w:t>
      </w:r>
      <w:r w:rsidRPr="005B265A">
        <w:rPr>
          <w:rFonts w:cstheme="minorHAnsi"/>
          <w:color w:val="231F20"/>
          <w:spacing w:val="8"/>
          <w:w w:val="105"/>
        </w:rPr>
        <w:t xml:space="preserve"> </w:t>
      </w:r>
      <w:r w:rsidRPr="005B265A">
        <w:rPr>
          <w:rFonts w:cstheme="minorHAnsi"/>
          <w:color w:val="231F20"/>
          <w:w w:val="105"/>
        </w:rPr>
        <w:t>of</w:t>
      </w:r>
      <w:r w:rsidRPr="005B265A">
        <w:rPr>
          <w:rFonts w:cstheme="minorHAnsi"/>
          <w:color w:val="231F20"/>
          <w:spacing w:val="8"/>
          <w:w w:val="105"/>
        </w:rPr>
        <w:t xml:space="preserve"> </w:t>
      </w:r>
      <w:r w:rsidRPr="005B265A">
        <w:rPr>
          <w:rFonts w:cstheme="minorHAnsi"/>
          <w:color w:val="231F20"/>
          <w:w w:val="105"/>
        </w:rPr>
        <w:t>selection,</w:t>
      </w:r>
      <w:r w:rsidRPr="005B265A">
        <w:rPr>
          <w:rFonts w:cstheme="minorHAnsi"/>
          <w:color w:val="231F20"/>
          <w:spacing w:val="8"/>
          <w:w w:val="105"/>
        </w:rPr>
        <w:t xml:space="preserve"> </w:t>
      </w:r>
      <w:r w:rsidRPr="005B265A">
        <w:rPr>
          <w:rFonts w:cstheme="minorHAnsi"/>
          <w:color w:val="231F20"/>
          <w:w w:val="105"/>
        </w:rPr>
        <w:t>who</w:t>
      </w:r>
      <w:r w:rsidRPr="005B265A">
        <w:rPr>
          <w:rFonts w:cstheme="minorHAnsi"/>
          <w:color w:val="231F20"/>
          <w:spacing w:val="8"/>
          <w:w w:val="105"/>
        </w:rPr>
        <w:t xml:space="preserve"> </w:t>
      </w:r>
      <w:r w:rsidRPr="005B265A">
        <w:rPr>
          <w:rFonts w:cstheme="minorHAnsi"/>
          <w:color w:val="231F20"/>
          <w:w w:val="105"/>
        </w:rPr>
        <w:t>require</w:t>
      </w:r>
      <w:r w:rsidRPr="005B265A">
        <w:rPr>
          <w:rFonts w:cstheme="minorHAnsi"/>
          <w:color w:val="231F20"/>
          <w:spacing w:val="8"/>
          <w:w w:val="105"/>
        </w:rPr>
        <w:t xml:space="preserve"> </w:t>
      </w:r>
      <w:r w:rsidRPr="005B265A">
        <w:rPr>
          <w:rFonts w:cstheme="minorHAnsi"/>
          <w:color w:val="231F20"/>
          <w:w w:val="105"/>
        </w:rPr>
        <w:t>specific</w:t>
      </w:r>
      <w:r w:rsidRPr="005B265A">
        <w:rPr>
          <w:rFonts w:cstheme="minorHAnsi"/>
          <w:color w:val="231F20"/>
          <w:spacing w:val="8"/>
          <w:w w:val="105"/>
        </w:rPr>
        <w:t xml:space="preserve"> </w:t>
      </w:r>
      <w:r w:rsidRPr="005B265A">
        <w:rPr>
          <w:rFonts w:cstheme="minorHAnsi"/>
          <w:color w:val="231F20"/>
          <w:w w:val="105"/>
        </w:rPr>
        <w:t>services</w:t>
      </w:r>
      <w:r w:rsidRPr="005B265A">
        <w:rPr>
          <w:rFonts w:cstheme="minorHAnsi"/>
          <w:color w:val="231F20"/>
          <w:spacing w:val="8"/>
          <w:w w:val="105"/>
        </w:rPr>
        <w:t xml:space="preserve"> </w:t>
      </w:r>
      <w:r w:rsidRPr="005B265A">
        <w:rPr>
          <w:rFonts w:cstheme="minorHAnsi"/>
          <w:color w:val="231F20"/>
          <w:w w:val="105"/>
        </w:rPr>
        <w:t>or</w:t>
      </w:r>
      <w:r w:rsidRPr="005B265A">
        <w:rPr>
          <w:rFonts w:cstheme="minorHAnsi"/>
          <w:color w:val="231F20"/>
          <w:spacing w:val="8"/>
          <w:w w:val="105"/>
        </w:rPr>
        <w:t xml:space="preserve"> </w:t>
      </w:r>
      <w:r w:rsidRPr="005B265A">
        <w:rPr>
          <w:rFonts w:cstheme="minorHAnsi"/>
          <w:color w:val="231F20"/>
          <w:w w:val="105"/>
        </w:rPr>
        <w:t>equipment</w:t>
      </w:r>
      <w:r w:rsidRPr="005B265A">
        <w:rPr>
          <w:rFonts w:cstheme="minorHAnsi"/>
          <w:color w:val="231F20"/>
          <w:spacing w:val="8"/>
          <w:w w:val="105"/>
        </w:rPr>
        <w:t xml:space="preserve"> </w:t>
      </w:r>
      <w:r w:rsidRPr="005B265A">
        <w:rPr>
          <w:rFonts w:cstheme="minorHAnsi"/>
          <w:color w:val="231F20"/>
          <w:w w:val="105"/>
        </w:rPr>
        <w:t>to</w:t>
      </w:r>
      <w:r w:rsidRPr="005B265A">
        <w:rPr>
          <w:rFonts w:cstheme="minorHAnsi"/>
          <w:color w:val="231F20"/>
          <w:spacing w:val="8"/>
          <w:w w:val="105"/>
        </w:rPr>
        <w:t xml:space="preserve"> </w:t>
      </w:r>
      <w:r w:rsidRPr="005B265A">
        <w:rPr>
          <w:rFonts w:cstheme="minorHAnsi"/>
          <w:color w:val="231F20"/>
          <w:w w:val="105"/>
        </w:rPr>
        <w:t>maintain</w:t>
      </w:r>
      <w:r w:rsidRPr="005B265A">
        <w:rPr>
          <w:rFonts w:cstheme="minorHAnsi"/>
          <w:color w:val="231F20"/>
          <w:spacing w:val="8"/>
          <w:w w:val="105"/>
        </w:rPr>
        <w:t xml:space="preserve"> </w:t>
      </w:r>
      <w:r w:rsidRPr="005B265A">
        <w:rPr>
          <w:rFonts w:cstheme="minorHAnsi"/>
          <w:color w:val="231F20"/>
          <w:w w:val="105"/>
        </w:rPr>
        <w:t>employment).</w:t>
      </w:r>
      <w:r w:rsidRPr="005B265A">
        <w:rPr>
          <w:rFonts w:cstheme="minorHAnsi"/>
          <w:color w:val="231F20"/>
          <w:spacing w:val="8"/>
          <w:w w:val="105"/>
        </w:rPr>
        <w:t xml:space="preserve"> </w:t>
      </w:r>
    </w:p>
    <w:p w14:paraId="56756B8E" w14:textId="71AC0A2A" w:rsidR="005B265A" w:rsidRDefault="005B265A" w:rsidP="00D63204">
      <w:pPr>
        <w:widowControl w:val="0"/>
        <w:spacing w:after="0" w:line="240" w:lineRule="auto"/>
        <w:ind w:left="90"/>
        <w:rPr>
          <w:rFonts w:cstheme="minorHAnsi"/>
          <w:color w:val="231F20"/>
          <w:spacing w:val="8"/>
          <w:w w:val="105"/>
        </w:rPr>
      </w:pPr>
    </w:p>
    <w:p w14:paraId="5A52987A" w14:textId="77777777" w:rsidR="004A3FCD" w:rsidRPr="005B265A" w:rsidRDefault="004A3FCD" w:rsidP="00D63204">
      <w:pPr>
        <w:widowControl w:val="0"/>
        <w:spacing w:after="0" w:line="240" w:lineRule="auto"/>
        <w:ind w:left="90"/>
        <w:outlineLvl w:val="2"/>
        <w:rPr>
          <w:rFonts w:cstheme="minorHAnsi"/>
        </w:rPr>
      </w:pPr>
      <w:bookmarkStart w:id="156" w:name="_bookmark91"/>
      <w:bookmarkEnd w:id="156"/>
      <w:r w:rsidRPr="005B265A">
        <w:rPr>
          <w:rFonts w:cstheme="minorHAnsi"/>
          <w:b/>
          <w:bCs/>
          <w:w w:val="115"/>
        </w:rPr>
        <w:t>Figure</w:t>
      </w:r>
      <w:r w:rsidRPr="005B265A">
        <w:rPr>
          <w:rFonts w:cstheme="minorHAnsi"/>
          <w:b/>
          <w:bCs/>
          <w:spacing w:val="-5"/>
          <w:w w:val="115"/>
        </w:rPr>
        <w:t xml:space="preserve"> </w:t>
      </w:r>
      <w:r w:rsidRPr="005B265A">
        <w:rPr>
          <w:rFonts w:cstheme="minorHAnsi"/>
          <w:b/>
          <w:bCs/>
          <w:spacing w:val="-3"/>
          <w:w w:val="115"/>
        </w:rPr>
        <w:t>9.06</w:t>
      </w:r>
    </w:p>
    <w:p w14:paraId="7719A63F" w14:textId="77777777" w:rsidR="005E1F11" w:rsidRDefault="004A3FCD" w:rsidP="00D63204">
      <w:pPr>
        <w:widowControl w:val="0"/>
        <w:spacing w:after="0" w:line="240" w:lineRule="auto"/>
        <w:ind w:left="90"/>
        <w:rPr>
          <w:rFonts w:cstheme="minorHAnsi"/>
          <w:b/>
          <w:color w:val="231F20"/>
          <w:w w:val="110"/>
        </w:rPr>
      </w:pPr>
      <w:r w:rsidRPr="005B265A">
        <w:rPr>
          <w:rFonts w:cstheme="minorHAnsi"/>
          <w:b/>
          <w:color w:val="231F20"/>
          <w:w w:val="110"/>
        </w:rPr>
        <w:t xml:space="preserve">Projected Outcome and Service Goals and Time Frames </w:t>
      </w:r>
    </w:p>
    <w:p w14:paraId="2DB078F5" w14:textId="1445EC88" w:rsidR="004A3FCD" w:rsidRPr="005B265A" w:rsidRDefault="004A3FCD" w:rsidP="00D63204">
      <w:pPr>
        <w:widowControl w:val="0"/>
        <w:spacing w:after="0" w:line="240" w:lineRule="auto"/>
        <w:ind w:left="90"/>
        <w:rPr>
          <w:rFonts w:cstheme="minorHAnsi"/>
        </w:rPr>
      </w:pPr>
      <w:r w:rsidRPr="005B265A">
        <w:rPr>
          <w:rFonts w:cstheme="minorHAnsi"/>
          <w:b/>
          <w:color w:val="231F20"/>
          <w:w w:val="110"/>
        </w:rPr>
        <w:t xml:space="preserve">for </w:t>
      </w:r>
      <w:r w:rsidR="005E1F11">
        <w:rPr>
          <w:rFonts w:cstheme="minorHAnsi"/>
          <w:b/>
          <w:color w:val="231F20"/>
          <w:w w:val="110"/>
        </w:rPr>
        <w:t xml:space="preserve">Federal Fiscal Year </w:t>
      </w:r>
      <w:r w:rsidRPr="005B265A">
        <w:rPr>
          <w:rFonts w:cstheme="minorHAnsi"/>
          <w:b/>
          <w:color w:val="231F20"/>
          <w:w w:val="110"/>
        </w:rPr>
        <w:t>2018-19</w:t>
      </w:r>
    </w:p>
    <w:p w14:paraId="661D1369" w14:textId="77777777" w:rsidR="004A3FCD" w:rsidRPr="005B265A" w:rsidRDefault="004A3FCD" w:rsidP="00D63204">
      <w:pPr>
        <w:widowControl w:val="0"/>
        <w:spacing w:after="0" w:line="240" w:lineRule="auto"/>
        <w:ind w:left="90"/>
        <w:rPr>
          <w:rFonts w:cstheme="minorHAnsi"/>
          <w:b/>
          <w:bCs/>
        </w:rPr>
      </w:pPr>
    </w:p>
    <w:tbl>
      <w:tblPr>
        <w:tblW w:w="10609" w:type="dxa"/>
        <w:tblInd w:w="108" w:type="dxa"/>
        <w:tblLayout w:type="fixed"/>
        <w:tblCellMar>
          <w:left w:w="0" w:type="dxa"/>
          <w:right w:w="0" w:type="dxa"/>
        </w:tblCellMar>
        <w:tblLook w:val="01E0" w:firstRow="1" w:lastRow="1" w:firstColumn="1" w:lastColumn="1" w:noHBand="0" w:noVBand="0"/>
      </w:tblPr>
      <w:tblGrid>
        <w:gridCol w:w="1389"/>
        <w:gridCol w:w="1599"/>
        <w:gridCol w:w="1411"/>
        <w:gridCol w:w="1788"/>
        <w:gridCol w:w="1411"/>
        <w:gridCol w:w="1599"/>
        <w:gridCol w:w="1412"/>
      </w:tblGrid>
      <w:tr w:rsidR="004A3FCD" w:rsidRPr="005B265A" w14:paraId="4FD3E9D4" w14:textId="77777777" w:rsidTr="004A3FCD">
        <w:trPr>
          <w:trHeight w:hRule="exact" w:val="853"/>
        </w:trPr>
        <w:tc>
          <w:tcPr>
            <w:tcW w:w="1389" w:type="dxa"/>
            <w:tcBorders>
              <w:top w:val="single" w:sz="2" w:space="0" w:color="231F20"/>
              <w:left w:val="single" w:sz="2" w:space="0" w:color="231F20"/>
              <w:bottom w:val="single" w:sz="2" w:space="0" w:color="231F20"/>
              <w:right w:val="single" w:sz="2" w:space="0" w:color="231F20"/>
            </w:tcBorders>
            <w:vAlign w:val="bottom"/>
          </w:tcPr>
          <w:p w14:paraId="047E9D22" w14:textId="77777777" w:rsidR="004A3FCD" w:rsidRPr="005B265A" w:rsidRDefault="004A3FCD" w:rsidP="005B265A">
            <w:pPr>
              <w:spacing w:after="0" w:line="240" w:lineRule="auto"/>
              <w:ind w:left="90"/>
              <w:rPr>
                <w:rFonts w:cstheme="minorHAnsi"/>
                <w:b/>
              </w:rPr>
            </w:pPr>
            <w:r w:rsidRPr="005B265A">
              <w:rPr>
                <w:rFonts w:cstheme="minorHAnsi"/>
                <w:b/>
              </w:rPr>
              <w:t xml:space="preserve">Priority </w:t>
            </w:r>
          </w:p>
          <w:p w14:paraId="085EC9BE" w14:textId="77777777" w:rsidR="004A3FCD" w:rsidRPr="005B265A" w:rsidRDefault="004A3FCD" w:rsidP="005B265A">
            <w:pPr>
              <w:spacing w:line="240" w:lineRule="auto"/>
              <w:ind w:left="90"/>
              <w:rPr>
                <w:rFonts w:cstheme="minorHAnsi"/>
                <w:b/>
              </w:rPr>
            </w:pPr>
            <w:r w:rsidRPr="005B265A">
              <w:rPr>
                <w:rFonts w:cstheme="minorHAnsi"/>
                <w:b/>
              </w:rPr>
              <w:t>Category</w:t>
            </w:r>
          </w:p>
        </w:tc>
        <w:tc>
          <w:tcPr>
            <w:tcW w:w="1599" w:type="dxa"/>
            <w:tcBorders>
              <w:top w:val="single" w:sz="2" w:space="0" w:color="231F20"/>
              <w:left w:val="single" w:sz="2" w:space="0" w:color="231F20"/>
              <w:bottom w:val="single" w:sz="2" w:space="0" w:color="231F20"/>
              <w:right w:val="single" w:sz="2" w:space="0" w:color="231F20"/>
            </w:tcBorders>
            <w:vAlign w:val="bottom"/>
          </w:tcPr>
          <w:p w14:paraId="376E2DD4" w14:textId="77777777" w:rsidR="004A3FCD" w:rsidRPr="005B265A" w:rsidRDefault="004A3FCD" w:rsidP="005B265A">
            <w:pPr>
              <w:spacing w:line="240" w:lineRule="auto"/>
              <w:ind w:left="90"/>
              <w:rPr>
                <w:rFonts w:cstheme="minorHAnsi"/>
                <w:b/>
              </w:rPr>
            </w:pPr>
            <w:r w:rsidRPr="005B265A">
              <w:rPr>
                <w:rFonts w:cstheme="minorHAnsi"/>
                <w:b/>
              </w:rPr>
              <w:t>Projected Number Served</w:t>
            </w:r>
          </w:p>
        </w:tc>
        <w:tc>
          <w:tcPr>
            <w:tcW w:w="1411" w:type="dxa"/>
            <w:tcBorders>
              <w:top w:val="single" w:sz="2" w:space="0" w:color="231F20"/>
              <w:left w:val="single" w:sz="2" w:space="0" w:color="231F20"/>
              <w:bottom w:val="single" w:sz="2" w:space="0" w:color="231F20"/>
              <w:right w:val="single" w:sz="2" w:space="0" w:color="231F20"/>
            </w:tcBorders>
            <w:vAlign w:val="bottom"/>
          </w:tcPr>
          <w:p w14:paraId="18E0F383" w14:textId="77777777" w:rsidR="004A3FCD" w:rsidRPr="005B265A" w:rsidRDefault="004A3FCD" w:rsidP="005B265A">
            <w:pPr>
              <w:spacing w:line="240" w:lineRule="auto"/>
              <w:ind w:left="90"/>
              <w:rPr>
                <w:rFonts w:cstheme="minorHAnsi"/>
                <w:b/>
              </w:rPr>
            </w:pPr>
            <w:r w:rsidRPr="005B265A">
              <w:rPr>
                <w:rFonts w:cstheme="minorHAnsi"/>
                <w:b/>
              </w:rPr>
              <w:t>Average Case Cost</w:t>
            </w:r>
          </w:p>
        </w:tc>
        <w:tc>
          <w:tcPr>
            <w:tcW w:w="1788" w:type="dxa"/>
            <w:tcBorders>
              <w:top w:val="single" w:sz="2" w:space="0" w:color="231F20"/>
              <w:left w:val="single" w:sz="2" w:space="0" w:color="231F20"/>
              <w:bottom w:val="single" w:sz="2" w:space="0" w:color="231F20"/>
              <w:right w:val="single" w:sz="2" w:space="0" w:color="231F20"/>
            </w:tcBorders>
            <w:vAlign w:val="bottom"/>
          </w:tcPr>
          <w:p w14:paraId="08EAA5BC" w14:textId="77777777" w:rsidR="004A3FCD" w:rsidRPr="005B265A" w:rsidRDefault="004A3FCD" w:rsidP="005B265A">
            <w:pPr>
              <w:spacing w:line="240" w:lineRule="auto"/>
              <w:ind w:left="90"/>
              <w:rPr>
                <w:rFonts w:cstheme="minorHAnsi"/>
                <w:b/>
              </w:rPr>
            </w:pPr>
            <w:r w:rsidRPr="005B265A">
              <w:rPr>
                <w:rFonts w:cstheme="minorHAnsi"/>
                <w:b/>
              </w:rPr>
              <w:t>Projected Service Cost</w:t>
            </w:r>
          </w:p>
        </w:tc>
        <w:tc>
          <w:tcPr>
            <w:tcW w:w="1411" w:type="dxa"/>
            <w:tcBorders>
              <w:top w:val="single" w:sz="2" w:space="0" w:color="231F20"/>
              <w:left w:val="single" w:sz="2" w:space="0" w:color="231F20"/>
              <w:bottom w:val="single" w:sz="2" w:space="0" w:color="231F20"/>
              <w:right w:val="single" w:sz="2" w:space="0" w:color="231F20"/>
            </w:tcBorders>
            <w:vAlign w:val="bottom"/>
          </w:tcPr>
          <w:p w14:paraId="2CE4D92B" w14:textId="77777777" w:rsidR="004A3FCD" w:rsidRPr="005B265A" w:rsidRDefault="004A3FCD" w:rsidP="005B265A">
            <w:pPr>
              <w:spacing w:after="0" w:line="240" w:lineRule="auto"/>
              <w:ind w:left="90"/>
              <w:rPr>
                <w:rFonts w:cstheme="minorHAnsi"/>
                <w:b/>
              </w:rPr>
            </w:pPr>
            <w:r w:rsidRPr="005B265A">
              <w:rPr>
                <w:rFonts w:cstheme="minorHAnsi"/>
                <w:b/>
              </w:rPr>
              <w:t>Projected</w:t>
            </w:r>
          </w:p>
          <w:p w14:paraId="626BFF1E" w14:textId="77777777" w:rsidR="004A3FCD" w:rsidRPr="005B265A" w:rsidRDefault="004A3FCD" w:rsidP="005B265A">
            <w:pPr>
              <w:spacing w:line="240" w:lineRule="auto"/>
              <w:ind w:left="90"/>
              <w:rPr>
                <w:rFonts w:cstheme="minorHAnsi"/>
                <w:b/>
              </w:rPr>
            </w:pPr>
            <w:r w:rsidRPr="005B265A">
              <w:rPr>
                <w:rFonts w:cstheme="minorHAnsi"/>
                <w:b/>
              </w:rPr>
              <w:t>Successful Closures</w:t>
            </w:r>
          </w:p>
        </w:tc>
        <w:tc>
          <w:tcPr>
            <w:tcW w:w="1599" w:type="dxa"/>
            <w:tcBorders>
              <w:top w:val="single" w:sz="2" w:space="0" w:color="231F20"/>
              <w:left w:val="single" w:sz="2" w:space="0" w:color="231F20"/>
              <w:bottom w:val="single" w:sz="2" w:space="0" w:color="231F20"/>
              <w:right w:val="single" w:sz="2" w:space="0" w:color="231F20"/>
            </w:tcBorders>
            <w:vAlign w:val="bottom"/>
          </w:tcPr>
          <w:p w14:paraId="6426FA16" w14:textId="77777777" w:rsidR="004A3FCD" w:rsidRPr="005B265A" w:rsidRDefault="004A3FCD" w:rsidP="005B265A">
            <w:pPr>
              <w:spacing w:after="0" w:line="240" w:lineRule="auto"/>
              <w:ind w:left="90"/>
              <w:rPr>
                <w:rFonts w:cstheme="minorHAnsi"/>
                <w:b/>
              </w:rPr>
            </w:pPr>
            <w:r w:rsidRPr="005B265A">
              <w:rPr>
                <w:rFonts w:cstheme="minorHAnsi"/>
                <w:b/>
              </w:rPr>
              <w:t>Projected</w:t>
            </w:r>
          </w:p>
          <w:p w14:paraId="4655162D" w14:textId="77777777" w:rsidR="004A3FCD" w:rsidRPr="005B265A" w:rsidRDefault="004A3FCD" w:rsidP="005B265A">
            <w:pPr>
              <w:spacing w:line="240" w:lineRule="auto"/>
              <w:ind w:left="90"/>
              <w:rPr>
                <w:rFonts w:cstheme="minorHAnsi"/>
                <w:b/>
              </w:rPr>
            </w:pPr>
            <w:r w:rsidRPr="005B265A">
              <w:rPr>
                <w:rFonts w:cstheme="minorHAnsi"/>
                <w:b/>
              </w:rPr>
              <w:t>Unsuccessful Closures</w:t>
            </w:r>
          </w:p>
        </w:tc>
        <w:tc>
          <w:tcPr>
            <w:tcW w:w="1412" w:type="dxa"/>
            <w:tcBorders>
              <w:top w:val="single" w:sz="2" w:space="0" w:color="231F20"/>
              <w:left w:val="single" w:sz="2" w:space="0" w:color="231F20"/>
              <w:bottom w:val="single" w:sz="2" w:space="0" w:color="231F20"/>
              <w:right w:val="single" w:sz="2" w:space="0" w:color="231F20"/>
            </w:tcBorders>
            <w:vAlign w:val="bottom"/>
          </w:tcPr>
          <w:p w14:paraId="4940A3AC" w14:textId="77777777" w:rsidR="004A3FCD" w:rsidRPr="005B265A" w:rsidRDefault="004A3FCD" w:rsidP="005B265A">
            <w:pPr>
              <w:spacing w:line="240" w:lineRule="auto"/>
              <w:ind w:left="90"/>
              <w:rPr>
                <w:rFonts w:cstheme="minorHAnsi"/>
                <w:b/>
              </w:rPr>
            </w:pPr>
            <w:r w:rsidRPr="005B265A">
              <w:rPr>
                <w:rFonts w:cstheme="minorHAnsi"/>
                <w:b/>
              </w:rPr>
              <w:t>Months to Complete</w:t>
            </w:r>
          </w:p>
        </w:tc>
      </w:tr>
      <w:tr w:rsidR="004A3FCD" w:rsidRPr="005B265A" w14:paraId="508CB85F" w14:textId="77777777" w:rsidTr="004A3FCD">
        <w:trPr>
          <w:trHeight w:hRule="exact" w:val="339"/>
        </w:trPr>
        <w:tc>
          <w:tcPr>
            <w:tcW w:w="1389" w:type="dxa"/>
            <w:tcBorders>
              <w:top w:val="single" w:sz="2" w:space="0" w:color="231F20"/>
              <w:left w:val="single" w:sz="2" w:space="0" w:color="231F20"/>
              <w:bottom w:val="single" w:sz="2" w:space="0" w:color="231F20"/>
              <w:right w:val="single" w:sz="2" w:space="0" w:color="231F20"/>
            </w:tcBorders>
            <w:shd w:val="clear" w:color="auto" w:fill="E6E7E8"/>
            <w:vAlign w:val="bottom"/>
          </w:tcPr>
          <w:p w14:paraId="0FBE5CE2" w14:textId="77777777" w:rsidR="004A3FCD" w:rsidRPr="005B265A" w:rsidRDefault="004A3FCD" w:rsidP="005B265A">
            <w:pPr>
              <w:spacing w:line="240" w:lineRule="auto"/>
              <w:ind w:left="90"/>
              <w:rPr>
                <w:rFonts w:cstheme="minorHAnsi"/>
              </w:rPr>
            </w:pPr>
            <w:r w:rsidRPr="005B265A">
              <w:rPr>
                <w:rFonts w:cstheme="minorHAnsi"/>
              </w:rPr>
              <w:t>Category 1</w:t>
            </w:r>
          </w:p>
        </w:tc>
        <w:tc>
          <w:tcPr>
            <w:tcW w:w="1599" w:type="dxa"/>
            <w:tcBorders>
              <w:top w:val="single" w:sz="2" w:space="0" w:color="231F20"/>
              <w:left w:val="single" w:sz="2" w:space="0" w:color="231F20"/>
              <w:bottom w:val="single" w:sz="2" w:space="0" w:color="231F20"/>
              <w:right w:val="single" w:sz="2" w:space="0" w:color="231F20"/>
            </w:tcBorders>
            <w:shd w:val="clear" w:color="auto" w:fill="E6E7E8"/>
            <w:vAlign w:val="bottom"/>
          </w:tcPr>
          <w:p w14:paraId="14FE0F0A" w14:textId="77777777" w:rsidR="004A3FCD" w:rsidRPr="005B265A" w:rsidRDefault="004A3FCD" w:rsidP="005B265A">
            <w:pPr>
              <w:widowControl w:val="0"/>
              <w:spacing w:after="0" w:line="240" w:lineRule="auto"/>
              <w:ind w:left="90"/>
              <w:rPr>
                <w:rFonts w:cstheme="minorHAnsi"/>
                <w:color w:val="231F20"/>
                <w:w w:val="110"/>
              </w:rPr>
            </w:pPr>
            <w:r w:rsidRPr="005B265A">
              <w:rPr>
                <w:rFonts w:cstheme="minorHAnsi"/>
                <w:color w:val="231F20"/>
                <w:w w:val="110"/>
              </w:rPr>
              <w:t>24,677</w:t>
            </w:r>
          </w:p>
          <w:p w14:paraId="7193AA4D" w14:textId="77777777" w:rsidR="004A3FCD" w:rsidRPr="005B265A" w:rsidRDefault="004A3FCD" w:rsidP="005B265A">
            <w:pPr>
              <w:widowControl w:val="0"/>
              <w:spacing w:after="0" w:line="240" w:lineRule="auto"/>
              <w:ind w:left="90"/>
              <w:rPr>
                <w:rFonts w:cstheme="minorHAnsi"/>
              </w:rPr>
            </w:pPr>
          </w:p>
        </w:tc>
        <w:tc>
          <w:tcPr>
            <w:tcW w:w="1411" w:type="dxa"/>
            <w:tcBorders>
              <w:top w:val="single" w:sz="2" w:space="0" w:color="231F20"/>
              <w:left w:val="single" w:sz="2" w:space="0" w:color="231F20"/>
              <w:bottom w:val="single" w:sz="2" w:space="0" w:color="231F20"/>
              <w:right w:val="single" w:sz="2" w:space="0" w:color="231F20"/>
            </w:tcBorders>
            <w:shd w:val="clear" w:color="auto" w:fill="E6E7E8"/>
            <w:vAlign w:val="bottom"/>
          </w:tcPr>
          <w:p w14:paraId="48F94A9A" w14:textId="77777777" w:rsidR="004A3FCD" w:rsidRPr="005B265A" w:rsidRDefault="004A3FCD" w:rsidP="005B265A">
            <w:pPr>
              <w:spacing w:line="240" w:lineRule="auto"/>
              <w:ind w:left="90"/>
              <w:rPr>
                <w:rFonts w:cstheme="minorHAnsi"/>
              </w:rPr>
            </w:pPr>
            <w:r w:rsidRPr="005B265A">
              <w:rPr>
                <w:rFonts w:cstheme="minorHAnsi"/>
              </w:rPr>
              <w:t>$2,513</w:t>
            </w:r>
          </w:p>
        </w:tc>
        <w:tc>
          <w:tcPr>
            <w:tcW w:w="1788" w:type="dxa"/>
            <w:tcBorders>
              <w:top w:val="single" w:sz="2" w:space="0" w:color="231F20"/>
              <w:left w:val="single" w:sz="2" w:space="0" w:color="231F20"/>
              <w:bottom w:val="single" w:sz="2" w:space="0" w:color="231F20"/>
              <w:right w:val="single" w:sz="2" w:space="0" w:color="231F20"/>
            </w:tcBorders>
            <w:shd w:val="clear" w:color="auto" w:fill="E6E7E8"/>
            <w:vAlign w:val="bottom"/>
          </w:tcPr>
          <w:p w14:paraId="1EAFCEE3" w14:textId="77777777" w:rsidR="004A3FCD" w:rsidRPr="005B265A" w:rsidRDefault="004A3FCD" w:rsidP="005B265A">
            <w:pPr>
              <w:spacing w:line="240" w:lineRule="auto"/>
              <w:ind w:left="90"/>
              <w:rPr>
                <w:rFonts w:cstheme="minorHAnsi"/>
              </w:rPr>
            </w:pPr>
            <w:r w:rsidRPr="005B265A">
              <w:rPr>
                <w:rFonts w:cstheme="minorHAnsi"/>
              </w:rPr>
              <w:t>$65,082,905</w:t>
            </w:r>
          </w:p>
        </w:tc>
        <w:tc>
          <w:tcPr>
            <w:tcW w:w="1411" w:type="dxa"/>
            <w:tcBorders>
              <w:top w:val="single" w:sz="2" w:space="0" w:color="231F20"/>
              <w:left w:val="single" w:sz="2" w:space="0" w:color="231F20"/>
              <w:bottom w:val="single" w:sz="2" w:space="0" w:color="231F20"/>
              <w:right w:val="single" w:sz="2" w:space="0" w:color="231F20"/>
            </w:tcBorders>
            <w:shd w:val="clear" w:color="auto" w:fill="E6E7E8"/>
            <w:vAlign w:val="bottom"/>
          </w:tcPr>
          <w:p w14:paraId="59A0A53E" w14:textId="77777777" w:rsidR="004A3FCD" w:rsidRPr="005B265A" w:rsidRDefault="004A3FCD" w:rsidP="005B265A">
            <w:pPr>
              <w:spacing w:line="240" w:lineRule="auto"/>
              <w:ind w:left="90"/>
              <w:rPr>
                <w:rFonts w:cstheme="minorHAnsi"/>
              </w:rPr>
            </w:pPr>
            <w:r w:rsidRPr="005B265A">
              <w:rPr>
                <w:rFonts w:cstheme="minorHAnsi"/>
              </w:rPr>
              <w:t>2,880</w:t>
            </w:r>
          </w:p>
        </w:tc>
        <w:tc>
          <w:tcPr>
            <w:tcW w:w="1599" w:type="dxa"/>
            <w:tcBorders>
              <w:top w:val="single" w:sz="2" w:space="0" w:color="231F20"/>
              <w:left w:val="single" w:sz="2" w:space="0" w:color="231F20"/>
              <w:bottom w:val="single" w:sz="2" w:space="0" w:color="231F20"/>
              <w:right w:val="single" w:sz="2" w:space="0" w:color="231F20"/>
            </w:tcBorders>
            <w:shd w:val="clear" w:color="auto" w:fill="E6E7E8"/>
            <w:vAlign w:val="bottom"/>
          </w:tcPr>
          <w:p w14:paraId="02F02002" w14:textId="77777777" w:rsidR="004A3FCD" w:rsidRPr="005B265A" w:rsidRDefault="004A3FCD" w:rsidP="005B265A">
            <w:pPr>
              <w:spacing w:line="240" w:lineRule="auto"/>
              <w:ind w:left="90"/>
              <w:rPr>
                <w:rFonts w:cstheme="minorHAnsi"/>
              </w:rPr>
            </w:pPr>
            <w:r w:rsidRPr="005B265A">
              <w:rPr>
                <w:rFonts w:cstheme="minorHAnsi"/>
              </w:rPr>
              <w:t>6,168</w:t>
            </w:r>
          </w:p>
        </w:tc>
        <w:tc>
          <w:tcPr>
            <w:tcW w:w="1412" w:type="dxa"/>
            <w:tcBorders>
              <w:top w:val="single" w:sz="2" w:space="0" w:color="231F20"/>
              <w:left w:val="single" w:sz="2" w:space="0" w:color="231F20"/>
              <w:bottom w:val="single" w:sz="2" w:space="0" w:color="231F20"/>
              <w:right w:val="single" w:sz="2" w:space="0" w:color="231F20"/>
            </w:tcBorders>
            <w:shd w:val="clear" w:color="auto" w:fill="E6E7E8"/>
            <w:vAlign w:val="bottom"/>
          </w:tcPr>
          <w:p w14:paraId="51089018" w14:textId="77777777" w:rsidR="004A3FCD" w:rsidRPr="005B265A" w:rsidRDefault="004A3FCD" w:rsidP="005B265A">
            <w:pPr>
              <w:spacing w:line="240" w:lineRule="auto"/>
              <w:ind w:left="90"/>
              <w:rPr>
                <w:rFonts w:cstheme="minorHAnsi"/>
              </w:rPr>
            </w:pPr>
            <w:r w:rsidRPr="005B265A">
              <w:rPr>
                <w:rFonts w:cstheme="minorHAnsi"/>
              </w:rPr>
              <w:t>20</w:t>
            </w:r>
          </w:p>
        </w:tc>
      </w:tr>
      <w:tr w:rsidR="004A3FCD" w:rsidRPr="005B265A" w14:paraId="6FF42EB7" w14:textId="77777777" w:rsidTr="004A3FCD">
        <w:trPr>
          <w:trHeight w:hRule="exact" w:val="339"/>
        </w:trPr>
        <w:tc>
          <w:tcPr>
            <w:tcW w:w="1389" w:type="dxa"/>
            <w:tcBorders>
              <w:top w:val="single" w:sz="2" w:space="0" w:color="231F20"/>
              <w:left w:val="single" w:sz="2" w:space="0" w:color="231F20"/>
              <w:bottom w:val="single" w:sz="2" w:space="0" w:color="231F20"/>
              <w:right w:val="single" w:sz="2" w:space="0" w:color="231F20"/>
            </w:tcBorders>
            <w:vAlign w:val="bottom"/>
          </w:tcPr>
          <w:p w14:paraId="4189E236" w14:textId="77777777" w:rsidR="004A3FCD" w:rsidRPr="005B265A" w:rsidRDefault="004A3FCD" w:rsidP="005B265A">
            <w:pPr>
              <w:spacing w:line="240" w:lineRule="auto"/>
              <w:ind w:left="90"/>
              <w:rPr>
                <w:rFonts w:cstheme="minorHAnsi"/>
              </w:rPr>
            </w:pPr>
            <w:r w:rsidRPr="005B265A">
              <w:rPr>
                <w:rFonts w:cstheme="minorHAnsi"/>
              </w:rPr>
              <w:t>Category 2</w:t>
            </w:r>
          </w:p>
        </w:tc>
        <w:tc>
          <w:tcPr>
            <w:tcW w:w="1599" w:type="dxa"/>
            <w:tcBorders>
              <w:top w:val="single" w:sz="2" w:space="0" w:color="231F20"/>
              <w:left w:val="single" w:sz="2" w:space="0" w:color="231F20"/>
              <w:bottom w:val="single" w:sz="2" w:space="0" w:color="231F20"/>
              <w:right w:val="single" w:sz="2" w:space="0" w:color="231F20"/>
            </w:tcBorders>
            <w:vAlign w:val="bottom"/>
          </w:tcPr>
          <w:p w14:paraId="61B81951" w14:textId="77777777" w:rsidR="004A3FCD" w:rsidRPr="005B265A" w:rsidRDefault="004A3FCD" w:rsidP="005B265A">
            <w:pPr>
              <w:widowControl w:val="0"/>
              <w:spacing w:after="0" w:line="240" w:lineRule="auto"/>
              <w:ind w:left="90"/>
              <w:rPr>
                <w:rFonts w:cstheme="minorHAnsi"/>
                <w:color w:val="231F20"/>
              </w:rPr>
            </w:pPr>
            <w:r w:rsidRPr="005B265A">
              <w:rPr>
                <w:rFonts w:cstheme="minorHAnsi"/>
                <w:color w:val="231F20"/>
              </w:rPr>
              <w:t>16,783</w:t>
            </w:r>
          </w:p>
          <w:p w14:paraId="6EB0213F" w14:textId="77777777" w:rsidR="004A3FCD" w:rsidRPr="005B265A" w:rsidRDefault="004A3FCD" w:rsidP="005B265A">
            <w:pPr>
              <w:widowControl w:val="0"/>
              <w:spacing w:after="0" w:line="240" w:lineRule="auto"/>
              <w:ind w:left="90"/>
              <w:rPr>
                <w:rFonts w:cstheme="minorHAnsi"/>
              </w:rPr>
            </w:pPr>
          </w:p>
        </w:tc>
        <w:tc>
          <w:tcPr>
            <w:tcW w:w="1411" w:type="dxa"/>
            <w:tcBorders>
              <w:top w:val="single" w:sz="2" w:space="0" w:color="231F20"/>
              <w:left w:val="single" w:sz="2" w:space="0" w:color="231F20"/>
              <w:bottom w:val="single" w:sz="2" w:space="0" w:color="231F20"/>
              <w:right w:val="single" w:sz="2" w:space="0" w:color="231F20"/>
            </w:tcBorders>
            <w:vAlign w:val="bottom"/>
          </w:tcPr>
          <w:p w14:paraId="75F87282" w14:textId="77777777" w:rsidR="004A3FCD" w:rsidRPr="005B265A" w:rsidRDefault="004A3FCD" w:rsidP="005B265A">
            <w:pPr>
              <w:spacing w:line="240" w:lineRule="auto"/>
              <w:ind w:left="90"/>
              <w:rPr>
                <w:rFonts w:cstheme="minorHAnsi"/>
              </w:rPr>
            </w:pPr>
            <w:r w:rsidRPr="005B265A">
              <w:rPr>
                <w:rFonts w:cstheme="minorHAnsi"/>
              </w:rPr>
              <w:t>$1,757</w:t>
            </w:r>
          </w:p>
        </w:tc>
        <w:tc>
          <w:tcPr>
            <w:tcW w:w="1788" w:type="dxa"/>
            <w:tcBorders>
              <w:top w:val="single" w:sz="2" w:space="0" w:color="231F20"/>
              <w:left w:val="single" w:sz="2" w:space="0" w:color="231F20"/>
              <w:bottom w:val="single" w:sz="2" w:space="0" w:color="231F20"/>
              <w:right w:val="single" w:sz="2" w:space="0" w:color="231F20"/>
            </w:tcBorders>
            <w:vAlign w:val="bottom"/>
          </w:tcPr>
          <w:p w14:paraId="574DD28C" w14:textId="77777777" w:rsidR="004A3FCD" w:rsidRPr="005B265A" w:rsidRDefault="004A3FCD" w:rsidP="005B265A">
            <w:pPr>
              <w:spacing w:line="240" w:lineRule="auto"/>
              <w:ind w:left="90"/>
              <w:rPr>
                <w:rFonts w:cstheme="minorHAnsi"/>
              </w:rPr>
            </w:pPr>
            <w:r w:rsidRPr="005B265A">
              <w:rPr>
                <w:rFonts w:cstheme="minorHAnsi"/>
              </w:rPr>
              <w:t>$38,281,595</w:t>
            </w:r>
          </w:p>
        </w:tc>
        <w:tc>
          <w:tcPr>
            <w:tcW w:w="1411" w:type="dxa"/>
            <w:tcBorders>
              <w:top w:val="single" w:sz="2" w:space="0" w:color="231F20"/>
              <w:left w:val="single" w:sz="2" w:space="0" w:color="231F20"/>
              <w:bottom w:val="single" w:sz="2" w:space="0" w:color="231F20"/>
              <w:right w:val="single" w:sz="2" w:space="0" w:color="231F20"/>
            </w:tcBorders>
            <w:vAlign w:val="bottom"/>
          </w:tcPr>
          <w:p w14:paraId="5F931F4C" w14:textId="77777777" w:rsidR="004A3FCD" w:rsidRPr="005B265A" w:rsidRDefault="004A3FCD" w:rsidP="005B265A">
            <w:pPr>
              <w:spacing w:line="240" w:lineRule="auto"/>
              <w:ind w:left="90"/>
              <w:rPr>
                <w:rFonts w:cstheme="minorHAnsi"/>
              </w:rPr>
            </w:pPr>
            <w:r w:rsidRPr="005B265A">
              <w:rPr>
                <w:rFonts w:cstheme="minorHAnsi"/>
              </w:rPr>
              <w:t>2,274</w:t>
            </w:r>
          </w:p>
        </w:tc>
        <w:tc>
          <w:tcPr>
            <w:tcW w:w="1599" w:type="dxa"/>
            <w:tcBorders>
              <w:top w:val="single" w:sz="2" w:space="0" w:color="231F20"/>
              <w:left w:val="single" w:sz="2" w:space="0" w:color="231F20"/>
              <w:bottom w:val="single" w:sz="2" w:space="0" w:color="231F20"/>
              <w:right w:val="single" w:sz="2" w:space="0" w:color="231F20"/>
            </w:tcBorders>
            <w:vAlign w:val="bottom"/>
          </w:tcPr>
          <w:p w14:paraId="2A2489AB" w14:textId="77777777" w:rsidR="004A3FCD" w:rsidRPr="005B265A" w:rsidRDefault="004A3FCD" w:rsidP="005B265A">
            <w:pPr>
              <w:spacing w:line="240" w:lineRule="auto"/>
              <w:ind w:left="90"/>
              <w:rPr>
                <w:rFonts w:cstheme="minorHAnsi"/>
              </w:rPr>
            </w:pPr>
            <w:r w:rsidRPr="005B265A">
              <w:rPr>
                <w:rFonts w:cstheme="minorHAnsi"/>
              </w:rPr>
              <w:t>3,892</w:t>
            </w:r>
          </w:p>
        </w:tc>
        <w:tc>
          <w:tcPr>
            <w:tcW w:w="1412" w:type="dxa"/>
            <w:tcBorders>
              <w:top w:val="single" w:sz="2" w:space="0" w:color="231F20"/>
              <w:left w:val="single" w:sz="2" w:space="0" w:color="231F20"/>
              <w:bottom w:val="single" w:sz="2" w:space="0" w:color="231F20"/>
              <w:right w:val="single" w:sz="2" w:space="0" w:color="231F20"/>
            </w:tcBorders>
            <w:vAlign w:val="bottom"/>
          </w:tcPr>
          <w:p w14:paraId="56C21D8B" w14:textId="77777777" w:rsidR="004A3FCD" w:rsidRPr="005B265A" w:rsidRDefault="004A3FCD" w:rsidP="005B265A">
            <w:pPr>
              <w:spacing w:line="240" w:lineRule="auto"/>
              <w:ind w:left="90"/>
              <w:rPr>
                <w:rFonts w:cstheme="minorHAnsi"/>
              </w:rPr>
            </w:pPr>
            <w:r w:rsidRPr="005B265A">
              <w:rPr>
                <w:rFonts w:cstheme="minorHAnsi"/>
              </w:rPr>
              <w:t>12</w:t>
            </w:r>
          </w:p>
        </w:tc>
      </w:tr>
      <w:tr w:rsidR="004A3FCD" w:rsidRPr="005B265A" w14:paraId="261FA5DB" w14:textId="77777777" w:rsidTr="004A3FCD">
        <w:trPr>
          <w:trHeight w:hRule="exact" w:val="339"/>
        </w:trPr>
        <w:tc>
          <w:tcPr>
            <w:tcW w:w="1389" w:type="dxa"/>
            <w:tcBorders>
              <w:top w:val="single" w:sz="2" w:space="0" w:color="231F20"/>
              <w:left w:val="single" w:sz="2" w:space="0" w:color="231F20"/>
              <w:bottom w:val="single" w:sz="2" w:space="0" w:color="231F20"/>
              <w:right w:val="single" w:sz="2" w:space="0" w:color="231F20"/>
            </w:tcBorders>
            <w:shd w:val="clear" w:color="auto" w:fill="E6E7E8"/>
            <w:vAlign w:val="bottom"/>
          </w:tcPr>
          <w:p w14:paraId="05B11ECA" w14:textId="77777777" w:rsidR="004A3FCD" w:rsidRPr="005B265A" w:rsidRDefault="004A3FCD" w:rsidP="005B265A">
            <w:pPr>
              <w:spacing w:line="240" w:lineRule="auto"/>
              <w:ind w:left="90"/>
              <w:rPr>
                <w:rFonts w:cstheme="minorHAnsi"/>
              </w:rPr>
            </w:pPr>
            <w:r w:rsidRPr="005B265A">
              <w:rPr>
                <w:rFonts w:cstheme="minorHAnsi"/>
              </w:rPr>
              <w:t>Category 3</w:t>
            </w:r>
          </w:p>
        </w:tc>
        <w:tc>
          <w:tcPr>
            <w:tcW w:w="1599" w:type="dxa"/>
            <w:tcBorders>
              <w:top w:val="single" w:sz="2" w:space="0" w:color="231F20"/>
              <w:left w:val="single" w:sz="2" w:space="0" w:color="231F20"/>
              <w:bottom w:val="single" w:sz="2" w:space="0" w:color="231F20"/>
              <w:right w:val="single" w:sz="2" w:space="0" w:color="231F20"/>
            </w:tcBorders>
            <w:shd w:val="clear" w:color="auto" w:fill="E6E7E8"/>
            <w:vAlign w:val="bottom"/>
          </w:tcPr>
          <w:p w14:paraId="76F6EC0B" w14:textId="77777777" w:rsidR="004A3FCD" w:rsidRPr="005B265A" w:rsidRDefault="004A3FCD" w:rsidP="005B265A">
            <w:pPr>
              <w:widowControl w:val="0"/>
              <w:spacing w:after="0" w:line="240" w:lineRule="auto"/>
              <w:ind w:left="90"/>
              <w:rPr>
                <w:rFonts w:cstheme="minorHAnsi"/>
              </w:rPr>
            </w:pPr>
            <w:r w:rsidRPr="005B265A">
              <w:rPr>
                <w:rFonts w:cstheme="minorHAnsi"/>
                <w:color w:val="231F20"/>
                <w:w w:val="110"/>
              </w:rPr>
              <w:t>883</w:t>
            </w:r>
          </w:p>
        </w:tc>
        <w:tc>
          <w:tcPr>
            <w:tcW w:w="1411" w:type="dxa"/>
            <w:tcBorders>
              <w:top w:val="single" w:sz="2" w:space="0" w:color="231F20"/>
              <w:left w:val="single" w:sz="2" w:space="0" w:color="231F20"/>
              <w:bottom w:val="single" w:sz="2" w:space="0" w:color="231F20"/>
              <w:right w:val="single" w:sz="2" w:space="0" w:color="231F20"/>
            </w:tcBorders>
            <w:shd w:val="clear" w:color="auto" w:fill="E6E7E8"/>
            <w:vAlign w:val="bottom"/>
          </w:tcPr>
          <w:p w14:paraId="79CA58D4" w14:textId="77777777" w:rsidR="004A3FCD" w:rsidRPr="005B265A" w:rsidRDefault="004A3FCD" w:rsidP="005B265A">
            <w:pPr>
              <w:spacing w:line="240" w:lineRule="auto"/>
              <w:ind w:left="90"/>
              <w:rPr>
                <w:rFonts w:cstheme="minorHAnsi"/>
              </w:rPr>
            </w:pPr>
            <w:r w:rsidRPr="005B265A">
              <w:rPr>
                <w:rFonts w:cstheme="minorHAnsi"/>
              </w:rPr>
              <w:t>$6,704</w:t>
            </w:r>
          </w:p>
        </w:tc>
        <w:tc>
          <w:tcPr>
            <w:tcW w:w="1788" w:type="dxa"/>
            <w:tcBorders>
              <w:top w:val="single" w:sz="2" w:space="0" w:color="231F20"/>
              <w:left w:val="single" w:sz="2" w:space="0" w:color="231F20"/>
              <w:bottom w:val="single" w:sz="2" w:space="0" w:color="231F20"/>
              <w:right w:val="single" w:sz="2" w:space="0" w:color="231F20"/>
            </w:tcBorders>
            <w:shd w:val="clear" w:color="auto" w:fill="E6E7E8"/>
            <w:vAlign w:val="bottom"/>
          </w:tcPr>
          <w:p w14:paraId="62BEC083" w14:textId="77777777" w:rsidR="004A3FCD" w:rsidRPr="005B265A" w:rsidRDefault="004A3FCD" w:rsidP="005B265A">
            <w:pPr>
              <w:spacing w:line="240" w:lineRule="auto"/>
              <w:ind w:left="90"/>
              <w:rPr>
                <w:rFonts w:cstheme="minorHAnsi"/>
              </w:rPr>
            </w:pPr>
            <w:r w:rsidRPr="005B265A">
              <w:rPr>
                <w:rFonts w:cstheme="minorHAnsi"/>
              </w:rPr>
              <w:t>$3,140,499</w:t>
            </w:r>
          </w:p>
        </w:tc>
        <w:tc>
          <w:tcPr>
            <w:tcW w:w="1411" w:type="dxa"/>
            <w:tcBorders>
              <w:top w:val="single" w:sz="2" w:space="0" w:color="231F20"/>
              <w:left w:val="single" w:sz="2" w:space="0" w:color="231F20"/>
              <w:bottom w:val="single" w:sz="2" w:space="0" w:color="231F20"/>
              <w:right w:val="single" w:sz="2" w:space="0" w:color="231F20"/>
            </w:tcBorders>
            <w:shd w:val="clear" w:color="auto" w:fill="E6E7E8"/>
            <w:vAlign w:val="bottom"/>
          </w:tcPr>
          <w:p w14:paraId="4AEC5966" w14:textId="77777777" w:rsidR="004A3FCD" w:rsidRPr="005B265A" w:rsidRDefault="004A3FCD" w:rsidP="005B265A">
            <w:pPr>
              <w:spacing w:line="240" w:lineRule="auto"/>
              <w:ind w:left="90"/>
              <w:rPr>
                <w:rFonts w:cstheme="minorHAnsi"/>
              </w:rPr>
            </w:pPr>
            <w:r w:rsidRPr="005B265A">
              <w:rPr>
                <w:rFonts w:cstheme="minorHAnsi"/>
              </w:rPr>
              <w:t>431</w:t>
            </w:r>
          </w:p>
        </w:tc>
        <w:tc>
          <w:tcPr>
            <w:tcW w:w="1599" w:type="dxa"/>
            <w:tcBorders>
              <w:top w:val="single" w:sz="2" w:space="0" w:color="231F20"/>
              <w:left w:val="single" w:sz="2" w:space="0" w:color="231F20"/>
              <w:bottom w:val="single" w:sz="2" w:space="0" w:color="231F20"/>
              <w:right w:val="single" w:sz="2" w:space="0" w:color="231F20"/>
            </w:tcBorders>
            <w:shd w:val="clear" w:color="auto" w:fill="E6E7E8"/>
            <w:vAlign w:val="bottom"/>
          </w:tcPr>
          <w:p w14:paraId="682E88E6" w14:textId="77777777" w:rsidR="004A3FCD" w:rsidRPr="005B265A" w:rsidRDefault="004A3FCD" w:rsidP="005B265A">
            <w:pPr>
              <w:spacing w:line="240" w:lineRule="auto"/>
              <w:ind w:left="90"/>
              <w:rPr>
                <w:rFonts w:cstheme="minorHAnsi"/>
              </w:rPr>
            </w:pPr>
            <w:r w:rsidRPr="005B265A">
              <w:rPr>
                <w:rFonts w:cstheme="minorHAnsi"/>
              </w:rPr>
              <w:t>61</w:t>
            </w:r>
          </w:p>
        </w:tc>
        <w:tc>
          <w:tcPr>
            <w:tcW w:w="1412" w:type="dxa"/>
            <w:tcBorders>
              <w:top w:val="single" w:sz="2" w:space="0" w:color="231F20"/>
              <w:left w:val="single" w:sz="2" w:space="0" w:color="231F20"/>
              <w:bottom w:val="single" w:sz="2" w:space="0" w:color="231F20"/>
              <w:right w:val="single" w:sz="2" w:space="0" w:color="231F20"/>
            </w:tcBorders>
            <w:shd w:val="clear" w:color="auto" w:fill="E6E7E8"/>
            <w:vAlign w:val="bottom"/>
          </w:tcPr>
          <w:p w14:paraId="5C46E081" w14:textId="77777777" w:rsidR="004A3FCD" w:rsidRPr="005B265A" w:rsidRDefault="004A3FCD" w:rsidP="005B265A">
            <w:pPr>
              <w:spacing w:line="240" w:lineRule="auto"/>
              <w:ind w:left="90"/>
              <w:rPr>
                <w:rFonts w:cstheme="minorHAnsi"/>
              </w:rPr>
            </w:pPr>
            <w:r w:rsidRPr="005B265A">
              <w:rPr>
                <w:rFonts w:cstheme="minorHAnsi"/>
              </w:rPr>
              <w:t>6</w:t>
            </w:r>
          </w:p>
        </w:tc>
      </w:tr>
    </w:tbl>
    <w:p w14:paraId="272A991A" w14:textId="77777777" w:rsidR="004A3FCD" w:rsidRPr="005B265A" w:rsidRDefault="004A3FCD" w:rsidP="00D63204">
      <w:pPr>
        <w:widowControl w:val="0"/>
        <w:spacing w:after="0" w:line="240" w:lineRule="auto"/>
        <w:ind w:left="90"/>
        <w:rPr>
          <w:rFonts w:cstheme="minorHAnsi"/>
          <w:b/>
          <w:bCs/>
        </w:rPr>
      </w:pPr>
    </w:p>
    <w:p w14:paraId="4F25DF23" w14:textId="77777777" w:rsidR="005B265A" w:rsidRDefault="005B265A" w:rsidP="00D63204">
      <w:pPr>
        <w:widowControl w:val="0"/>
        <w:spacing w:after="0" w:line="240" w:lineRule="auto"/>
        <w:ind w:left="90"/>
        <w:rPr>
          <w:rFonts w:cstheme="minorHAnsi"/>
          <w:color w:val="231F20"/>
          <w:w w:val="110"/>
          <w:u w:val="single" w:color="231F20"/>
        </w:rPr>
      </w:pPr>
    </w:p>
    <w:p w14:paraId="28404C6B" w14:textId="5C128FDC" w:rsidR="004A3FCD" w:rsidRPr="00F7048E" w:rsidRDefault="004A3FCD" w:rsidP="00D63204">
      <w:pPr>
        <w:widowControl w:val="0"/>
        <w:spacing w:after="0" w:line="240" w:lineRule="auto"/>
        <w:ind w:left="90"/>
        <w:rPr>
          <w:rFonts w:cstheme="minorHAnsi"/>
          <w:b/>
        </w:rPr>
      </w:pPr>
      <w:r w:rsidRPr="00F7048E">
        <w:rPr>
          <w:rFonts w:cstheme="minorHAnsi"/>
          <w:b/>
          <w:color w:val="231F20"/>
          <w:w w:val="110"/>
          <w:u w:val="single" w:color="231F20"/>
        </w:rPr>
        <w:t>Service Costs for FFY</w:t>
      </w:r>
      <w:r w:rsidRPr="00F7048E">
        <w:rPr>
          <w:rFonts w:cstheme="minorHAnsi"/>
          <w:b/>
          <w:color w:val="231F20"/>
          <w:spacing w:val="20"/>
          <w:w w:val="110"/>
          <w:u w:val="single" w:color="231F20"/>
        </w:rPr>
        <w:t xml:space="preserve"> </w:t>
      </w:r>
      <w:r w:rsidRPr="00F7048E">
        <w:rPr>
          <w:rFonts w:cstheme="minorHAnsi"/>
          <w:b/>
          <w:color w:val="231F20"/>
          <w:w w:val="110"/>
          <w:u w:val="single" w:color="231F20"/>
        </w:rPr>
        <w:t>2018-19</w:t>
      </w:r>
    </w:p>
    <w:p w14:paraId="032630AD" w14:textId="2C8508EE" w:rsidR="004A3FCD" w:rsidRPr="005B265A" w:rsidRDefault="004A3FCD" w:rsidP="00D63204">
      <w:pPr>
        <w:widowControl w:val="0"/>
        <w:spacing w:after="0" w:line="240" w:lineRule="auto"/>
        <w:ind w:left="90"/>
        <w:rPr>
          <w:rFonts w:cstheme="minorHAnsi"/>
        </w:rPr>
      </w:pPr>
      <w:r w:rsidRPr="005B265A">
        <w:rPr>
          <w:rFonts w:cstheme="minorHAnsi"/>
          <w:color w:val="231F20"/>
          <w:spacing w:val="-5"/>
          <w:w w:val="110"/>
        </w:rPr>
        <w:t xml:space="preserve">Total projected costs for IPE services are $106,505,000. </w:t>
      </w:r>
      <w:r w:rsidR="004E4DA4">
        <w:rPr>
          <w:rFonts w:cstheme="minorHAnsi"/>
          <w:color w:val="231F20"/>
          <w:spacing w:val="-5"/>
          <w:w w:val="110"/>
        </w:rPr>
        <w:t>Additionally, t</w:t>
      </w:r>
      <w:r w:rsidRPr="005B265A">
        <w:rPr>
          <w:rFonts w:cstheme="minorHAnsi"/>
          <w:color w:val="231F20"/>
          <w:spacing w:val="-5"/>
          <w:w w:val="110"/>
        </w:rPr>
        <w:t>he cost for assessment services is projected at $20,342,455. Total projected revenue needed for IPE and assessment services for FFY 2019 is $126,847,455. The revenue available for IPE and assessment services is estimated to be $125.3 million.</w:t>
      </w:r>
      <w:r w:rsidR="005E1F11">
        <w:rPr>
          <w:rFonts w:cstheme="minorHAnsi"/>
          <w:color w:val="231F20"/>
          <w:spacing w:val="-5"/>
          <w:w w:val="110"/>
        </w:rPr>
        <w:t xml:space="preserve"> </w:t>
      </w:r>
      <w:r w:rsidRPr="005B265A">
        <w:rPr>
          <w:rFonts w:cstheme="minorHAnsi"/>
          <w:color w:val="231F20"/>
          <w:w w:val="105"/>
        </w:rPr>
        <w:t>Some expenditures associated with Workforce Innovation and Opportunity Act (WIOA) initiatives such as pre-</w:t>
      </w:r>
      <w:r w:rsidRPr="005B265A">
        <w:rPr>
          <w:rFonts w:cstheme="minorHAnsi"/>
          <w:color w:val="231F20"/>
          <w:w w:val="105"/>
        </w:rPr>
        <w:lastRenderedPageBreak/>
        <w:t>employment transition services</w:t>
      </w:r>
      <w:r w:rsidR="00D5537E">
        <w:rPr>
          <w:rFonts w:cstheme="minorHAnsi"/>
          <w:color w:val="231F20"/>
          <w:w w:val="105"/>
        </w:rPr>
        <w:t xml:space="preserve"> and</w:t>
      </w:r>
      <w:r w:rsidRPr="005B265A">
        <w:rPr>
          <w:rFonts w:cstheme="minorHAnsi"/>
          <w:color w:val="231F20"/>
          <w:w w:val="105"/>
        </w:rPr>
        <w:t xml:space="preserve"> Job Retention Services (discretionary services under Order of Selection) have not been factored into these projections. Until these costs are fully realized and included into service and cost projections, VR will </w:t>
      </w:r>
      <w:r w:rsidR="0039117F">
        <w:rPr>
          <w:rFonts w:cstheme="minorHAnsi"/>
          <w:color w:val="231F20"/>
          <w:w w:val="105"/>
        </w:rPr>
        <w:t>continue</w:t>
      </w:r>
      <w:r w:rsidR="00C442E2">
        <w:rPr>
          <w:rFonts w:cstheme="minorHAnsi"/>
          <w:color w:val="231F20"/>
          <w:w w:val="105"/>
        </w:rPr>
        <w:t xml:space="preserve"> its</w:t>
      </w:r>
      <w:r w:rsidR="0039117F">
        <w:rPr>
          <w:rFonts w:cstheme="minorHAnsi"/>
          <w:color w:val="231F20"/>
          <w:w w:val="105"/>
        </w:rPr>
        <w:t xml:space="preserve"> current management of</w:t>
      </w:r>
      <w:r w:rsidR="00C442E2">
        <w:rPr>
          <w:rFonts w:cstheme="minorHAnsi"/>
          <w:color w:val="231F20"/>
          <w:w w:val="105"/>
        </w:rPr>
        <w:t xml:space="preserve"> </w:t>
      </w:r>
      <w:r w:rsidRPr="005B265A">
        <w:rPr>
          <w:rFonts w:cstheme="minorHAnsi"/>
          <w:color w:val="231F20"/>
          <w:w w:val="105"/>
        </w:rPr>
        <w:t>waitlist categories under Order of Selection.</w:t>
      </w:r>
    </w:p>
    <w:p w14:paraId="6B2603BC" w14:textId="77777777" w:rsidR="004A3FCD" w:rsidRPr="005B265A" w:rsidRDefault="004A3FCD" w:rsidP="00D63204">
      <w:pPr>
        <w:widowControl w:val="0"/>
        <w:spacing w:after="0" w:line="240" w:lineRule="auto"/>
        <w:ind w:left="90"/>
        <w:rPr>
          <w:rFonts w:cstheme="minorHAnsi"/>
        </w:rPr>
      </w:pPr>
    </w:p>
    <w:p w14:paraId="5611DBFE" w14:textId="77777777" w:rsidR="00AE012E" w:rsidRDefault="00AE012E" w:rsidP="00D63204">
      <w:pPr>
        <w:widowControl w:val="0"/>
        <w:spacing w:after="0" w:line="240" w:lineRule="auto"/>
        <w:ind w:left="90"/>
        <w:outlineLvl w:val="2"/>
        <w:rPr>
          <w:rFonts w:cstheme="minorHAnsi"/>
          <w:b/>
          <w:bCs/>
          <w:color w:val="231F20"/>
          <w:w w:val="110"/>
          <w:u w:val="single" w:color="231F20"/>
        </w:rPr>
      </w:pPr>
    </w:p>
    <w:p w14:paraId="2C6A278E" w14:textId="19D9FE03" w:rsidR="004A3FCD" w:rsidRPr="005B265A" w:rsidRDefault="004A3FCD" w:rsidP="00D63204">
      <w:pPr>
        <w:widowControl w:val="0"/>
        <w:spacing w:after="0" w:line="240" w:lineRule="auto"/>
        <w:ind w:left="90"/>
        <w:outlineLvl w:val="2"/>
        <w:rPr>
          <w:rFonts w:cstheme="minorHAnsi"/>
        </w:rPr>
      </w:pPr>
      <w:r w:rsidRPr="005B265A">
        <w:rPr>
          <w:rFonts w:cstheme="minorHAnsi"/>
          <w:b/>
          <w:bCs/>
          <w:color w:val="231F20"/>
          <w:w w:val="110"/>
          <w:u w:val="single" w:color="231F20"/>
        </w:rPr>
        <w:t>Order of Selection</w:t>
      </w:r>
      <w:r w:rsidRPr="005B265A">
        <w:rPr>
          <w:rFonts w:cstheme="minorHAnsi"/>
          <w:b/>
          <w:bCs/>
          <w:color w:val="231F20"/>
          <w:spacing w:val="-6"/>
          <w:w w:val="110"/>
          <w:u w:val="single" w:color="231F20"/>
        </w:rPr>
        <w:t xml:space="preserve"> </w:t>
      </w:r>
      <w:r w:rsidRPr="005B265A">
        <w:rPr>
          <w:rFonts w:cstheme="minorHAnsi"/>
          <w:b/>
          <w:bCs/>
          <w:color w:val="231F20"/>
          <w:w w:val="110"/>
          <w:u w:val="single" w:color="231F20"/>
        </w:rPr>
        <w:t>Policies</w:t>
      </w:r>
      <w:r w:rsidRPr="005B265A">
        <w:rPr>
          <w:rFonts w:cstheme="minorHAnsi"/>
          <w:b/>
          <w:bCs/>
          <w:color w:val="231F20"/>
          <w:w w:val="113"/>
          <w:u w:val="single" w:color="231F20"/>
        </w:rPr>
        <w:t xml:space="preserve"> </w:t>
      </w:r>
    </w:p>
    <w:p w14:paraId="7F7C3E7C" w14:textId="5334D8C1" w:rsidR="004A3FCD" w:rsidRPr="00366711" w:rsidRDefault="004A3FCD" w:rsidP="00D63204">
      <w:pPr>
        <w:widowControl w:val="0"/>
        <w:spacing w:after="0" w:line="240" w:lineRule="auto"/>
        <w:ind w:left="107"/>
        <w:rPr>
          <w:rFonts w:ascii="Calibri" w:hAnsi="Calibri"/>
          <w:spacing w:val="-12"/>
          <w:w w:val="105"/>
        </w:rPr>
      </w:pPr>
      <w:r w:rsidRPr="00366711">
        <w:rPr>
          <w:rFonts w:ascii="Calibri" w:hAnsi="Calibri"/>
          <w:spacing w:val="-12"/>
          <w:w w:val="105"/>
        </w:rPr>
        <w:t xml:space="preserve">Individuals needing Supported Employment services are assessed as having a most significant disability. </w:t>
      </w:r>
      <w:r w:rsidR="0039117F">
        <w:rPr>
          <w:rFonts w:ascii="Calibri" w:hAnsi="Calibri"/>
          <w:spacing w:val="-12"/>
          <w:w w:val="105"/>
        </w:rPr>
        <w:t>Additionally, i</w:t>
      </w:r>
      <w:r w:rsidRPr="00366711">
        <w:rPr>
          <w:rFonts w:ascii="Calibri" w:hAnsi="Calibri"/>
          <w:spacing w:val="-12"/>
          <w:w w:val="105"/>
        </w:rPr>
        <w:t xml:space="preserve">ndividuals receiving Supplemental Security Income or Social Security Disability Insurance benefits </w:t>
      </w:r>
      <w:r w:rsidR="0039117F">
        <w:rPr>
          <w:rFonts w:ascii="Calibri" w:hAnsi="Calibri"/>
          <w:spacing w:val="-12"/>
          <w:w w:val="105"/>
        </w:rPr>
        <w:t>as a result of</w:t>
      </w:r>
      <w:r w:rsidRPr="00366711">
        <w:rPr>
          <w:rFonts w:ascii="Calibri" w:hAnsi="Calibri"/>
          <w:spacing w:val="-12"/>
          <w:w w:val="105"/>
        </w:rPr>
        <w:t xml:space="preserve"> being determined to be disabled or blind are assessed as having at least a significant disability and are evaluated to determine whether they meet the criteria for individuals with most significant disabilities.</w:t>
      </w:r>
    </w:p>
    <w:p w14:paraId="5C761B53" w14:textId="06B465EF" w:rsidR="004A3FCD" w:rsidRPr="00366711" w:rsidRDefault="004A3FCD" w:rsidP="00D63204">
      <w:pPr>
        <w:widowControl w:val="0"/>
        <w:spacing w:before="183" w:after="0" w:line="240" w:lineRule="auto"/>
        <w:ind w:left="107"/>
        <w:rPr>
          <w:rFonts w:ascii="Calibri" w:hAnsi="Calibri"/>
          <w:spacing w:val="-12"/>
          <w:w w:val="105"/>
        </w:rPr>
      </w:pPr>
      <w:r w:rsidRPr="00366711">
        <w:rPr>
          <w:rFonts w:ascii="Calibri" w:hAnsi="Calibri"/>
          <w:spacing w:val="-12"/>
          <w:w w:val="105"/>
        </w:rPr>
        <w:t>After an individual is found eligible for VR services, an OOS determination is completed. Additional evaluations or assessments to make this determination may be needed. The VR counselor and individual jointly determine the individual’s OOS priority category by evaluating his or her functional limitations, anticipated services needed</w:t>
      </w:r>
      <w:r w:rsidR="00D5537E">
        <w:rPr>
          <w:rFonts w:ascii="Calibri" w:hAnsi="Calibri"/>
          <w:spacing w:val="-12"/>
          <w:w w:val="105"/>
        </w:rPr>
        <w:t xml:space="preserve"> and</w:t>
      </w:r>
      <w:r w:rsidRPr="00366711">
        <w:rPr>
          <w:rFonts w:ascii="Calibri" w:hAnsi="Calibri"/>
          <w:spacing w:val="-12"/>
          <w:w w:val="105"/>
        </w:rPr>
        <w:t xml:space="preserve"> the duration of the services.</w:t>
      </w:r>
    </w:p>
    <w:p w14:paraId="23B49C04" w14:textId="22E01EF7" w:rsidR="004A3FCD" w:rsidRPr="00366711" w:rsidRDefault="004A3FCD" w:rsidP="00D63204">
      <w:pPr>
        <w:widowControl w:val="0"/>
        <w:spacing w:before="183" w:after="0" w:line="240" w:lineRule="auto"/>
        <w:ind w:left="107"/>
        <w:rPr>
          <w:rFonts w:ascii="Calibri" w:hAnsi="Calibri"/>
          <w:spacing w:val="-12"/>
          <w:w w:val="105"/>
        </w:rPr>
      </w:pPr>
      <w:r w:rsidRPr="00366711">
        <w:rPr>
          <w:rFonts w:ascii="Calibri" w:hAnsi="Calibri"/>
          <w:spacing w:val="-12"/>
          <w:w w:val="105"/>
        </w:rPr>
        <w:t>This policy does not affect an individual who began to receive services under an approved individualized plan for employment prior to the implementation date of OOS, or those individuals who</w:t>
      </w:r>
      <w:r w:rsidR="00FF5789">
        <w:rPr>
          <w:rFonts w:ascii="Calibri" w:hAnsi="Calibri"/>
          <w:spacing w:val="-12"/>
          <w:w w:val="105"/>
        </w:rPr>
        <w:t xml:space="preserve"> are in</w:t>
      </w:r>
      <w:r w:rsidRPr="00366711">
        <w:rPr>
          <w:rFonts w:ascii="Calibri" w:hAnsi="Calibri"/>
          <w:spacing w:val="-12"/>
          <w:w w:val="105"/>
        </w:rPr>
        <w:t xml:space="preserve"> </w:t>
      </w:r>
      <w:r w:rsidR="006008DA" w:rsidRPr="00366711">
        <w:rPr>
          <w:rFonts w:ascii="Calibri" w:hAnsi="Calibri"/>
          <w:spacing w:val="-12"/>
          <w:w w:val="105"/>
        </w:rPr>
        <w:t>need</w:t>
      </w:r>
      <w:r w:rsidRPr="00366711">
        <w:rPr>
          <w:rFonts w:ascii="Calibri" w:hAnsi="Calibri"/>
          <w:spacing w:val="-12"/>
          <w:w w:val="105"/>
        </w:rPr>
        <w:t xml:space="preserve"> </w:t>
      </w:r>
      <w:r w:rsidR="00FF5789">
        <w:rPr>
          <w:rFonts w:ascii="Calibri" w:hAnsi="Calibri"/>
          <w:spacing w:val="-12"/>
          <w:w w:val="105"/>
        </w:rPr>
        <w:t xml:space="preserve">of </w:t>
      </w:r>
      <w:r w:rsidRPr="00366711">
        <w:rPr>
          <w:rFonts w:ascii="Calibri" w:hAnsi="Calibri"/>
          <w:spacing w:val="-12"/>
          <w:w w:val="105"/>
        </w:rPr>
        <w:t>post-employment services.</w:t>
      </w:r>
    </w:p>
    <w:p w14:paraId="409C7229" w14:textId="51B742A3" w:rsidR="004A3FCD" w:rsidRPr="00366711" w:rsidRDefault="004A3FCD" w:rsidP="00D63204">
      <w:pPr>
        <w:widowControl w:val="0"/>
        <w:spacing w:before="183" w:after="0" w:line="240" w:lineRule="auto"/>
        <w:ind w:left="107"/>
        <w:rPr>
          <w:rFonts w:ascii="Calibri" w:hAnsi="Calibri"/>
          <w:spacing w:val="-12"/>
          <w:w w:val="105"/>
        </w:rPr>
      </w:pPr>
      <w:r w:rsidRPr="00366711">
        <w:rPr>
          <w:rFonts w:ascii="Calibri" w:hAnsi="Calibri"/>
          <w:spacing w:val="-12"/>
          <w:w w:val="105"/>
        </w:rPr>
        <w:t>VR officially notifies all individuals of their individual OOS determination. Individuals not immediately activated for development of an employment plan are offered Information and Referral services</w:t>
      </w:r>
      <w:r w:rsidR="00FF5789">
        <w:rPr>
          <w:rFonts w:ascii="Calibri" w:hAnsi="Calibri"/>
          <w:spacing w:val="-12"/>
          <w:w w:val="105"/>
        </w:rPr>
        <w:t xml:space="preserve"> </w:t>
      </w:r>
      <w:r w:rsidRPr="00366711">
        <w:rPr>
          <w:rFonts w:ascii="Calibri" w:hAnsi="Calibri"/>
          <w:spacing w:val="-12"/>
          <w:w w:val="105"/>
        </w:rPr>
        <w:t>and the option to be placed on a waiting list until employment plan development services can be initiated. Individuals on the waiting list are contacted annually to determine if additional information is available. As resources become available, those with the most significant disabilities are selected first for vocational rehabilitation services, those with significant disabilities second</w:t>
      </w:r>
      <w:r w:rsidR="00D5537E">
        <w:rPr>
          <w:rFonts w:ascii="Calibri" w:hAnsi="Calibri"/>
          <w:spacing w:val="-12"/>
          <w:w w:val="105"/>
        </w:rPr>
        <w:t xml:space="preserve"> and</w:t>
      </w:r>
      <w:r w:rsidRPr="00366711">
        <w:rPr>
          <w:rFonts w:ascii="Calibri" w:hAnsi="Calibri"/>
          <w:spacing w:val="-12"/>
          <w:w w:val="105"/>
        </w:rPr>
        <w:t xml:space="preserve"> all other eligible individuals selected last.</w:t>
      </w:r>
    </w:p>
    <w:p w14:paraId="1708F60C" w14:textId="77777777" w:rsidR="005B265A" w:rsidRDefault="005B265A" w:rsidP="00D63204">
      <w:pPr>
        <w:widowControl w:val="0"/>
        <w:spacing w:after="0" w:line="240" w:lineRule="auto"/>
        <w:ind w:left="90"/>
        <w:outlineLvl w:val="2"/>
        <w:rPr>
          <w:rFonts w:cstheme="minorHAnsi"/>
          <w:b/>
          <w:bCs/>
          <w:color w:val="231F20"/>
          <w:w w:val="110"/>
          <w:u w:val="single" w:color="231F20"/>
        </w:rPr>
      </w:pPr>
    </w:p>
    <w:p w14:paraId="0D18D695" w14:textId="1C5C2BCC" w:rsidR="004A3FCD" w:rsidRPr="005B265A" w:rsidRDefault="004A3FCD" w:rsidP="00D63204">
      <w:pPr>
        <w:widowControl w:val="0"/>
        <w:spacing w:after="0" w:line="240" w:lineRule="auto"/>
        <w:ind w:left="90"/>
        <w:outlineLvl w:val="2"/>
        <w:rPr>
          <w:rFonts w:cstheme="minorHAnsi"/>
        </w:rPr>
      </w:pPr>
      <w:r w:rsidRPr="005B265A">
        <w:rPr>
          <w:rFonts w:cstheme="minorHAnsi"/>
          <w:b/>
          <w:bCs/>
          <w:color w:val="231F20"/>
          <w:w w:val="110"/>
          <w:u w:val="single" w:color="231F20"/>
        </w:rPr>
        <w:t>Order of Selection Priority Category</w:t>
      </w:r>
      <w:r w:rsidRPr="005B265A">
        <w:rPr>
          <w:rFonts w:cstheme="minorHAnsi"/>
          <w:b/>
          <w:bCs/>
          <w:color w:val="231F20"/>
          <w:spacing w:val="-31"/>
          <w:w w:val="110"/>
          <w:u w:val="single" w:color="231F20"/>
        </w:rPr>
        <w:t xml:space="preserve"> </w:t>
      </w:r>
      <w:r w:rsidRPr="005B265A">
        <w:rPr>
          <w:rFonts w:cstheme="minorHAnsi"/>
          <w:b/>
          <w:bCs/>
          <w:color w:val="231F20"/>
          <w:w w:val="110"/>
          <w:u w:val="single" w:color="231F20"/>
        </w:rPr>
        <w:t>Description</w:t>
      </w:r>
      <w:r w:rsidRPr="005B265A">
        <w:rPr>
          <w:rFonts w:cstheme="minorHAnsi"/>
          <w:b/>
          <w:bCs/>
          <w:color w:val="231F20"/>
          <w:spacing w:val="-1"/>
          <w:w w:val="113"/>
          <w:u w:val="single" w:color="231F20"/>
        </w:rPr>
        <w:t xml:space="preserve"> </w:t>
      </w:r>
    </w:p>
    <w:p w14:paraId="0CECCD7A" w14:textId="274CE71B" w:rsidR="004A3FCD" w:rsidRPr="00F7048E" w:rsidRDefault="004A3FCD" w:rsidP="00D63204">
      <w:pPr>
        <w:widowControl w:val="0"/>
        <w:spacing w:after="0" w:line="240" w:lineRule="auto"/>
        <w:ind w:left="90"/>
        <w:rPr>
          <w:rFonts w:cstheme="minorHAnsi"/>
          <w:b/>
          <w:color w:val="231F20"/>
          <w:spacing w:val="-17"/>
          <w:u w:val="single" w:color="231F20"/>
        </w:rPr>
      </w:pPr>
      <w:r w:rsidRPr="00F7048E">
        <w:rPr>
          <w:rFonts w:cstheme="minorHAnsi"/>
          <w:b/>
          <w:color w:val="231F20"/>
          <w:u w:val="single" w:color="231F20"/>
        </w:rPr>
        <w:t>Individuals</w:t>
      </w:r>
      <w:r w:rsidRPr="00F7048E">
        <w:rPr>
          <w:rFonts w:cstheme="minorHAnsi"/>
          <w:b/>
          <w:color w:val="231F20"/>
          <w:spacing w:val="38"/>
          <w:u w:val="single" w:color="231F20"/>
        </w:rPr>
        <w:t xml:space="preserve"> </w:t>
      </w:r>
      <w:r w:rsidRPr="00F7048E">
        <w:rPr>
          <w:rFonts w:cstheme="minorHAnsi"/>
          <w:b/>
          <w:color w:val="231F20"/>
          <w:u w:val="single" w:color="231F20"/>
        </w:rPr>
        <w:t>with</w:t>
      </w:r>
      <w:r w:rsidRPr="00F7048E">
        <w:rPr>
          <w:rFonts w:cstheme="minorHAnsi"/>
          <w:b/>
          <w:color w:val="231F20"/>
          <w:spacing w:val="38"/>
          <w:u w:val="single" w:color="231F20"/>
        </w:rPr>
        <w:t xml:space="preserve"> </w:t>
      </w:r>
      <w:r w:rsidRPr="00F7048E">
        <w:rPr>
          <w:rFonts w:cstheme="minorHAnsi"/>
          <w:b/>
          <w:color w:val="231F20"/>
          <w:u w:val="single" w:color="231F20"/>
        </w:rPr>
        <w:t>Most</w:t>
      </w:r>
      <w:r w:rsidRPr="00F7048E">
        <w:rPr>
          <w:rFonts w:cstheme="minorHAnsi"/>
          <w:b/>
          <w:color w:val="231F20"/>
          <w:spacing w:val="38"/>
          <w:u w:val="single" w:color="231F20"/>
        </w:rPr>
        <w:t xml:space="preserve"> </w:t>
      </w:r>
      <w:r w:rsidRPr="00F7048E">
        <w:rPr>
          <w:rFonts w:cstheme="minorHAnsi"/>
          <w:b/>
          <w:color w:val="231F20"/>
          <w:u w:val="single" w:color="231F20"/>
        </w:rPr>
        <w:t>Significant</w:t>
      </w:r>
      <w:r w:rsidRPr="00F7048E">
        <w:rPr>
          <w:rFonts w:cstheme="minorHAnsi"/>
          <w:b/>
          <w:color w:val="231F20"/>
          <w:spacing w:val="38"/>
          <w:u w:val="single" w:color="231F20"/>
        </w:rPr>
        <w:t xml:space="preserve"> </w:t>
      </w:r>
      <w:r w:rsidRPr="00F7048E">
        <w:rPr>
          <w:rFonts w:cstheme="minorHAnsi"/>
          <w:b/>
          <w:color w:val="231F20"/>
          <w:u w:val="single" w:color="231F20"/>
        </w:rPr>
        <w:t>Disabilities</w:t>
      </w:r>
      <w:r w:rsidRPr="00F7048E">
        <w:rPr>
          <w:rFonts w:cstheme="minorHAnsi"/>
          <w:b/>
          <w:color w:val="231F20"/>
          <w:spacing w:val="38"/>
          <w:u w:val="single" w:color="231F20"/>
        </w:rPr>
        <w:t xml:space="preserve"> </w:t>
      </w:r>
      <w:r w:rsidRPr="00F7048E">
        <w:rPr>
          <w:rFonts w:cstheme="minorHAnsi"/>
          <w:b/>
          <w:color w:val="231F20"/>
          <w:u w:val="single" w:color="231F20"/>
        </w:rPr>
        <w:t>(Priority</w:t>
      </w:r>
      <w:r w:rsidRPr="00F7048E">
        <w:rPr>
          <w:rFonts w:cstheme="minorHAnsi"/>
          <w:b/>
          <w:color w:val="231F20"/>
          <w:spacing w:val="38"/>
          <w:u w:val="single" w:color="231F20"/>
        </w:rPr>
        <w:t xml:space="preserve"> </w:t>
      </w:r>
      <w:r w:rsidRPr="00F7048E">
        <w:rPr>
          <w:rFonts w:cstheme="minorHAnsi"/>
          <w:b/>
          <w:color w:val="231F20"/>
          <w:u w:val="single" w:color="231F20"/>
        </w:rPr>
        <w:t>Category</w:t>
      </w:r>
      <w:r w:rsidRPr="00F7048E">
        <w:rPr>
          <w:rFonts w:cstheme="minorHAnsi"/>
          <w:b/>
          <w:color w:val="231F20"/>
          <w:spacing w:val="38"/>
          <w:u w:val="single" w:color="231F20"/>
        </w:rPr>
        <w:t xml:space="preserve"> </w:t>
      </w:r>
      <w:r w:rsidRPr="00F7048E">
        <w:rPr>
          <w:rFonts w:cstheme="minorHAnsi"/>
          <w:b/>
          <w:color w:val="231F20"/>
          <w:u w:val="single" w:color="231F20"/>
        </w:rPr>
        <w:t>1)</w:t>
      </w:r>
      <w:r w:rsidRPr="00F7048E">
        <w:rPr>
          <w:rFonts w:cstheme="minorHAnsi"/>
          <w:b/>
          <w:color w:val="231F20"/>
          <w:spacing w:val="-17"/>
          <w:u w:val="single" w:color="231F20"/>
        </w:rPr>
        <w:t xml:space="preserve"> </w:t>
      </w:r>
    </w:p>
    <w:p w14:paraId="4C4AB6F2" w14:textId="77777777" w:rsidR="005B265A" w:rsidRPr="005B265A" w:rsidRDefault="005B265A" w:rsidP="00D63204">
      <w:pPr>
        <w:widowControl w:val="0"/>
        <w:spacing w:after="0" w:line="240" w:lineRule="auto"/>
        <w:ind w:left="90"/>
        <w:rPr>
          <w:rFonts w:cstheme="minorHAnsi"/>
          <w:color w:val="231F20"/>
          <w:spacing w:val="-17"/>
          <w:u w:val="single" w:color="231F20"/>
        </w:rPr>
      </w:pPr>
    </w:p>
    <w:p w14:paraId="73936F66" w14:textId="76527363" w:rsidR="004A3FCD" w:rsidRDefault="004A3FCD" w:rsidP="00D63204">
      <w:pPr>
        <w:widowControl w:val="0"/>
        <w:spacing w:after="0" w:line="240" w:lineRule="auto"/>
        <w:ind w:left="90"/>
        <w:rPr>
          <w:rFonts w:cstheme="minorHAnsi"/>
          <w:color w:val="231F20"/>
        </w:rPr>
      </w:pPr>
      <w:r w:rsidRPr="005B265A">
        <w:rPr>
          <w:rFonts w:cstheme="minorHAnsi"/>
          <w:color w:val="231F20"/>
        </w:rPr>
        <w:t>An eligible individual with a disability</w:t>
      </w:r>
      <w:r w:rsidRPr="005B265A">
        <w:rPr>
          <w:rFonts w:cstheme="minorHAnsi"/>
          <w:color w:val="231F20"/>
          <w:spacing w:val="1"/>
        </w:rPr>
        <w:t xml:space="preserve"> </w:t>
      </w:r>
      <w:r w:rsidRPr="005B265A">
        <w:rPr>
          <w:rFonts w:cstheme="minorHAnsi"/>
          <w:color w:val="231F20"/>
        </w:rPr>
        <w:t>which:</w:t>
      </w:r>
    </w:p>
    <w:p w14:paraId="542184AA" w14:textId="77777777" w:rsidR="005B265A" w:rsidRPr="005B265A" w:rsidRDefault="005B265A" w:rsidP="00D63204">
      <w:pPr>
        <w:widowControl w:val="0"/>
        <w:spacing w:after="0" w:line="240" w:lineRule="auto"/>
        <w:rPr>
          <w:rFonts w:cstheme="minorHAnsi"/>
        </w:rPr>
      </w:pPr>
    </w:p>
    <w:p w14:paraId="7A259117" w14:textId="718D21B8" w:rsidR="004A3FCD" w:rsidRPr="005B265A" w:rsidRDefault="004A3FCD" w:rsidP="00D63204">
      <w:pPr>
        <w:pStyle w:val="ListParagraph"/>
        <w:widowControl w:val="0"/>
        <w:numPr>
          <w:ilvl w:val="0"/>
          <w:numId w:val="132"/>
        </w:numPr>
        <w:spacing w:after="0" w:line="240" w:lineRule="auto"/>
        <w:rPr>
          <w:rFonts w:cstheme="minorHAnsi"/>
        </w:rPr>
      </w:pPr>
      <w:r w:rsidRPr="005B265A">
        <w:rPr>
          <w:rFonts w:cstheme="minorHAnsi"/>
          <w:color w:val="231F20"/>
          <w:w w:val="105"/>
        </w:rPr>
        <w:t>Seriously limits three or more functional capacities in terms of an employment</w:t>
      </w:r>
      <w:r w:rsidRPr="005B265A">
        <w:rPr>
          <w:rFonts w:cstheme="minorHAnsi"/>
          <w:color w:val="231F20"/>
          <w:spacing w:val="12"/>
          <w:w w:val="105"/>
        </w:rPr>
        <w:t xml:space="preserve"> </w:t>
      </w:r>
      <w:r w:rsidRPr="005B265A">
        <w:rPr>
          <w:rFonts w:cstheme="minorHAnsi"/>
          <w:color w:val="231F20"/>
          <w:w w:val="105"/>
        </w:rPr>
        <w:t>outcome;</w:t>
      </w:r>
    </w:p>
    <w:p w14:paraId="4E538E06" w14:textId="77777777" w:rsidR="005B265A" w:rsidRPr="005B265A" w:rsidRDefault="005B265A" w:rsidP="00D63204">
      <w:pPr>
        <w:pStyle w:val="ListParagraph"/>
        <w:widowControl w:val="0"/>
        <w:spacing w:after="0" w:line="240" w:lineRule="auto"/>
        <w:ind w:left="810"/>
        <w:rPr>
          <w:rFonts w:cstheme="minorHAnsi"/>
        </w:rPr>
      </w:pPr>
    </w:p>
    <w:p w14:paraId="0E3C1512" w14:textId="67496B35" w:rsidR="004A3FCD" w:rsidRPr="005B265A" w:rsidRDefault="004A3FCD" w:rsidP="00D63204">
      <w:pPr>
        <w:pStyle w:val="ListParagraph"/>
        <w:widowControl w:val="0"/>
        <w:numPr>
          <w:ilvl w:val="0"/>
          <w:numId w:val="132"/>
        </w:numPr>
        <w:spacing w:after="0" w:line="240" w:lineRule="auto"/>
        <w:rPr>
          <w:rFonts w:cstheme="minorHAnsi"/>
        </w:rPr>
      </w:pPr>
      <w:r w:rsidRPr="005B265A">
        <w:rPr>
          <w:rFonts w:cstheme="minorHAnsi"/>
          <w:color w:val="231F20"/>
          <w:w w:val="105"/>
        </w:rPr>
        <w:t>Requires three or more primary</w:t>
      </w:r>
      <w:r w:rsidRPr="005B265A">
        <w:rPr>
          <w:rFonts w:cstheme="minorHAnsi"/>
          <w:color w:val="231F20"/>
          <w:spacing w:val="24"/>
          <w:w w:val="105"/>
        </w:rPr>
        <w:t xml:space="preserve"> </w:t>
      </w:r>
      <w:r w:rsidRPr="005B265A">
        <w:rPr>
          <w:rFonts w:cstheme="minorHAnsi"/>
          <w:color w:val="231F20"/>
          <w:w w:val="105"/>
        </w:rPr>
        <w:t>services;</w:t>
      </w:r>
    </w:p>
    <w:p w14:paraId="06A2C91E" w14:textId="77777777" w:rsidR="005B265A" w:rsidRPr="005B265A" w:rsidRDefault="005B265A" w:rsidP="00D63204">
      <w:pPr>
        <w:pStyle w:val="ListParagraph"/>
        <w:widowControl w:val="0"/>
        <w:spacing w:after="0" w:line="240" w:lineRule="auto"/>
        <w:ind w:left="810"/>
        <w:rPr>
          <w:rFonts w:cstheme="minorHAnsi"/>
        </w:rPr>
      </w:pPr>
    </w:p>
    <w:p w14:paraId="320114CE" w14:textId="0D7E7816" w:rsidR="004A3FCD" w:rsidRPr="005B265A" w:rsidRDefault="004A3FCD" w:rsidP="00D63204">
      <w:pPr>
        <w:pStyle w:val="ListParagraph"/>
        <w:widowControl w:val="0"/>
        <w:numPr>
          <w:ilvl w:val="0"/>
          <w:numId w:val="132"/>
        </w:numPr>
        <w:spacing w:after="0" w:line="240" w:lineRule="auto"/>
        <w:rPr>
          <w:rFonts w:cstheme="minorHAnsi"/>
        </w:rPr>
      </w:pPr>
      <w:r w:rsidRPr="005B265A">
        <w:rPr>
          <w:rFonts w:cstheme="minorHAnsi"/>
          <w:color w:val="231F20"/>
          <w:spacing w:val="-4"/>
          <w:w w:val="110"/>
        </w:rPr>
        <w:t>Requires</w:t>
      </w:r>
      <w:r w:rsidRPr="005B265A">
        <w:rPr>
          <w:rFonts w:cstheme="minorHAnsi"/>
          <w:color w:val="231F20"/>
          <w:spacing w:val="-17"/>
          <w:w w:val="110"/>
        </w:rPr>
        <w:t xml:space="preserve"> </w:t>
      </w:r>
      <w:r w:rsidRPr="005B265A">
        <w:rPr>
          <w:rFonts w:cstheme="minorHAnsi"/>
          <w:color w:val="231F20"/>
          <w:spacing w:val="-3"/>
          <w:w w:val="110"/>
        </w:rPr>
        <w:t>services</w:t>
      </w:r>
      <w:r w:rsidRPr="005B265A">
        <w:rPr>
          <w:rFonts w:cstheme="minorHAnsi"/>
          <w:color w:val="231F20"/>
          <w:spacing w:val="-17"/>
          <w:w w:val="110"/>
        </w:rPr>
        <w:t xml:space="preserve"> </w:t>
      </w:r>
      <w:r w:rsidRPr="005B265A">
        <w:rPr>
          <w:rFonts w:cstheme="minorHAnsi"/>
          <w:color w:val="231F20"/>
          <w:spacing w:val="-3"/>
          <w:w w:val="110"/>
        </w:rPr>
        <w:t>which</w:t>
      </w:r>
      <w:r w:rsidRPr="005B265A">
        <w:rPr>
          <w:rFonts w:cstheme="minorHAnsi"/>
          <w:color w:val="231F20"/>
          <w:spacing w:val="-17"/>
          <w:w w:val="110"/>
        </w:rPr>
        <w:t xml:space="preserve"> </w:t>
      </w:r>
      <w:r w:rsidRPr="005B265A">
        <w:rPr>
          <w:rFonts w:cstheme="minorHAnsi"/>
          <w:color w:val="231F20"/>
          <w:spacing w:val="-3"/>
          <w:w w:val="110"/>
        </w:rPr>
        <w:t>must</w:t>
      </w:r>
      <w:r w:rsidRPr="005B265A">
        <w:rPr>
          <w:rFonts w:cstheme="minorHAnsi"/>
          <w:color w:val="231F20"/>
          <w:spacing w:val="-17"/>
          <w:w w:val="110"/>
        </w:rPr>
        <w:t xml:space="preserve"> </w:t>
      </w:r>
      <w:r w:rsidRPr="005B265A">
        <w:rPr>
          <w:rFonts w:cstheme="minorHAnsi"/>
          <w:color w:val="231F20"/>
          <w:w w:val="110"/>
        </w:rPr>
        <w:t>be</w:t>
      </w:r>
      <w:r w:rsidRPr="005B265A">
        <w:rPr>
          <w:rFonts w:cstheme="minorHAnsi"/>
          <w:color w:val="231F20"/>
          <w:spacing w:val="-17"/>
          <w:w w:val="110"/>
        </w:rPr>
        <w:t xml:space="preserve"> </w:t>
      </w:r>
      <w:r w:rsidRPr="005B265A">
        <w:rPr>
          <w:rFonts w:cstheme="minorHAnsi"/>
          <w:color w:val="231F20"/>
          <w:spacing w:val="-3"/>
          <w:w w:val="110"/>
        </w:rPr>
        <w:t>provided</w:t>
      </w:r>
      <w:r w:rsidRPr="005B265A">
        <w:rPr>
          <w:rFonts w:cstheme="minorHAnsi"/>
          <w:color w:val="231F20"/>
          <w:spacing w:val="-17"/>
          <w:w w:val="110"/>
        </w:rPr>
        <w:t xml:space="preserve"> </w:t>
      </w:r>
      <w:r w:rsidRPr="005B265A">
        <w:rPr>
          <w:rFonts w:cstheme="minorHAnsi"/>
          <w:color w:val="231F20"/>
          <w:spacing w:val="-3"/>
          <w:w w:val="110"/>
        </w:rPr>
        <w:t>over</w:t>
      </w:r>
      <w:r w:rsidRPr="005B265A">
        <w:rPr>
          <w:rFonts w:cstheme="minorHAnsi"/>
          <w:color w:val="231F20"/>
          <w:spacing w:val="-17"/>
          <w:w w:val="110"/>
        </w:rPr>
        <w:t xml:space="preserve"> </w:t>
      </w:r>
      <w:r w:rsidRPr="005B265A">
        <w:rPr>
          <w:rFonts w:cstheme="minorHAnsi"/>
          <w:color w:val="231F20"/>
          <w:w w:val="110"/>
        </w:rPr>
        <w:t>an</w:t>
      </w:r>
      <w:r w:rsidRPr="005B265A">
        <w:rPr>
          <w:rFonts w:cstheme="minorHAnsi"/>
          <w:color w:val="231F20"/>
          <w:spacing w:val="-17"/>
          <w:w w:val="110"/>
        </w:rPr>
        <w:t xml:space="preserve"> </w:t>
      </w:r>
      <w:r w:rsidRPr="005B265A">
        <w:rPr>
          <w:rFonts w:cstheme="minorHAnsi"/>
          <w:color w:val="231F20"/>
          <w:spacing w:val="-3"/>
          <w:w w:val="110"/>
        </w:rPr>
        <w:t>extended</w:t>
      </w:r>
      <w:r w:rsidRPr="005B265A">
        <w:rPr>
          <w:rFonts w:cstheme="minorHAnsi"/>
          <w:color w:val="231F20"/>
          <w:spacing w:val="-17"/>
          <w:w w:val="110"/>
        </w:rPr>
        <w:t xml:space="preserve"> </w:t>
      </w:r>
      <w:r w:rsidR="00263B54" w:rsidRPr="005B265A">
        <w:rPr>
          <w:rFonts w:cstheme="minorHAnsi"/>
          <w:color w:val="231F20"/>
          <w:spacing w:val="-3"/>
          <w:w w:val="110"/>
        </w:rPr>
        <w:t>period</w:t>
      </w:r>
      <w:r w:rsidRPr="005B265A">
        <w:rPr>
          <w:rFonts w:cstheme="minorHAnsi"/>
          <w:color w:val="231F20"/>
          <w:spacing w:val="-17"/>
          <w:w w:val="110"/>
        </w:rPr>
        <w:t xml:space="preserve"> </w:t>
      </w:r>
      <w:r w:rsidRPr="005B265A">
        <w:rPr>
          <w:rFonts w:cstheme="minorHAnsi"/>
          <w:color w:val="231F20"/>
          <w:spacing w:val="-3"/>
          <w:w w:val="110"/>
        </w:rPr>
        <w:t>(at</w:t>
      </w:r>
      <w:r w:rsidRPr="005B265A">
        <w:rPr>
          <w:rFonts w:cstheme="minorHAnsi"/>
          <w:color w:val="231F20"/>
          <w:spacing w:val="-17"/>
          <w:w w:val="110"/>
        </w:rPr>
        <w:t xml:space="preserve"> </w:t>
      </w:r>
      <w:r w:rsidRPr="005B265A">
        <w:rPr>
          <w:rFonts w:cstheme="minorHAnsi"/>
          <w:color w:val="231F20"/>
          <w:spacing w:val="-3"/>
          <w:w w:val="110"/>
        </w:rPr>
        <w:t>least</w:t>
      </w:r>
      <w:r w:rsidRPr="005B265A">
        <w:rPr>
          <w:rFonts w:cstheme="minorHAnsi"/>
          <w:color w:val="231F20"/>
          <w:spacing w:val="-17"/>
          <w:w w:val="110"/>
        </w:rPr>
        <w:t xml:space="preserve"> </w:t>
      </w:r>
      <w:r w:rsidRPr="005B265A">
        <w:rPr>
          <w:rFonts w:cstheme="minorHAnsi"/>
          <w:color w:val="231F20"/>
          <w:w w:val="110"/>
        </w:rPr>
        <w:t>12</w:t>
      </w:r>
      <w:r w:rsidRPr="005B265A">
        <w:rPr>
          <w:rFonts w:cstheme="minorHAnsi"/>
          <w:color w:val="231F20"/>
          <w:spacing w:val="-17"/>
          <w:w w:val="110"/>
        </w:rPr>
        <w:t xml:space="preserve"> </w:t>
      </w:r>
      <w:r w:rsidRPr="005B265A">
        <w:rPr>
          <w:rFonts w:cstheme="minorHAnsi"/>
          <w:color w:val="231F20"/>
          <w:spacing w:val="-3"/>
          <w:w w:val="110"/>
        </w:rPr>
        <w:t>months);</w:t>
      </w:r>
      <w:r w:rsidRPr="005B265A">
        <w:rPr>
          <w:rFonts w:cstheme="minorHAnsi"/>
          <w:color w:val="231F20"/>
          <w:spacing w:val="-17"/>
          <w:w w:val="110"/>
        </w:rPr>
        <w:t xml:space="preserve"> </w:t>
      </w:r>
      <w:r w:rsidRPr="005B265A">
        <w:rPr>
          <w:rFonts w:cstheme="minorHAnsi"/>
          <w:color w:val="231F20"/>
          <w:spacing w:val="-3"/>
          <w:w w:val="110"/>
        </w:rPr>
        <w:t>and</w:t>
      </w:r>
    </w:p>
    <w:p w14:paraId="1DE5A103" w14:textId="77777777" w:rsidR="005B265A" w:rsidRPr="005B265A" w:rsidRDefault="005B265A" w:rsidP="00D63204">
      <w:pPr>
        <w:pStyle w:val="ListParagraph"/>
        <w:widowControl w:val="0"/>
        <w:spacing w:after="0" w:line="240" w:lineRule="auto"/>
        <w:ind w:left="810"/>
        <w:rPr>
          <w:rFonts w:cstheme="minorHAnsi"/>
        </w:rPr>
      </w:pPr>
    </w:p>
    <w:p w14:paraId="6E87DE54" w14:textId="77777777" w:rsidR="004A3FCD" w:rsidRPr="005B265A" w:rsidRDefault="004A3FCD" w:rsidP="00D63204">
      <w:pPr>
        <w:pStyle w:val="ListParagraph"/>
        <w:widowControl w:val="0"/>
        <w:numPr>
          <w:ilvl w:val="0"/>
          <w:numId w:val="132"/>
        </w:numPr>
        <w:spacing w:after="0" w:line="240" w:lineRule="auto"/>
        <w:rPr>
          <w:rFonts w:cstheme="minorHAnsi"/>
        </w:rPr>
      </w:pPr>
      <w:r w:rsidRPr="005B265A">
        <w:rPr>
          <w:rFonts w:cstheme="minorHAnsi"/>
          <w:color w:val="231F20"/>
          <w:w w:val="105"/>
        </w:rPr>
        <w:t>Requires services that are not likely to be corrected through surgical intervention and/or</w:t>
      </w:r>
      <w:r w:rsidRPr="005B265A">
        <w:rPr>
          <w:rFonts w:cstheme="minorHAnsi"/>
          <w:color w:val="231F20"/>
          <w:spacing w:val="26"/>
          <w:w w:val="105"/>
        </w:rPr>
        <w:t xml:space="preserve"> </w:t>
      </w:r>
      <w:r w:rsidRPr="005B265A">
        <w:rPr>
          <w:rFonts w:cstheme="minorHAnsi"/>
          <w:color w:val="231F20"/>
          <w:w w:val="105"/>
        </w:rPr>
        <w:t>other</w:t>
      </w:r>
      <w:r w:rsidRPr="005B265A">
        <w:rPr>
          <w:rFonts w:cstheme="minorHAnsi"/>
          <w:color w:val="231F20"/>
          <w:w w:val="103"/>
        </w:rPr>
        <w:t xml:space="preserve"> </w:t>
      </w:r>
      <w:r w:rsidRPr="005B265A">
        <w:rPr>
          <w:rFonts w:cstheme="minorHAnsi"/>
          <w:color w:val="231F20"/>
          <w:w w:val="105"/>
        </w:rPr>
        <w:t>treatment</w:t>
      </w:r>
      <w:r w:rsidRPr="005B265A">
        <w:rPr>
          <w:rFonts w:cstheme="minorHAnsi"/>
          <w:color w:val="231F20"/>
          <w:spacing w:val="4"/>
          <w:w w:val="105"/>
        </w:rPr>
        <w:t xml:space="preserve"> </w:t>
      </w:r>
      <w:r w:rsidRPr="005B265A">
        <w:rPr>
          <w:rFonts w:cstheme="minorHAnsi"/>
          <w:color w:val="231F20"/>
          <w:w w:val="105"/>
        </w:rPr>
        <w:t>modes.</w:t>
      </w:r>
    </w:p>
    <w:p w14:paraId="6D691EE5" w14:textId="77777777" w:rsidR="004A3FCD" w:rsidRPr="005B265A" w:rsidRDefault="004A3FCD" w:rsidP="00D63204">
      <w:pPr>
        <w:widowControl w:val="0"/>
        <w:spacing w:after="0" w:line="240" w:lineRule="auto"/>
        <w:ind w:left="90"/>
        <w:rPr>
          <w:rFonts w:cstheme="minorHAnsi"/>
        </w:rPr>
      </w:pPr>
    </w:p>
    <w:p w14:paraId="4249967E" w14:textId="77777777" w:rsidR="005B265A" w:rsidRDefault="005B265A">
      <w:pPr>
        <w:rPr>
          <w:rFonts w:cstheme="minorHAnsi"/>
          <w:color w:val="231F20"/>
          <w:w w:val="105"/>
          <w:u w:val="single" w:color="231F20"/>
        </w:rPr>
      </w:pPr>
      <w:r>
        <w:rPr>
          <w:rFonts w:cstheme="minorHAnsi"/>
          <w:color w:val="231F20"/>
          <w:w w:val="105"/>
          <w:u w:val="single" w:color="231F20"/>
        </w:rPr>
        <w:br w:type="page"/>
      </w:r>
    </w:p>
    <w:p w14:paraId="7F14C540" w14:textId="77777777" w:rsidR="005B265A" w:rsidRDefault="005B265A" w:rsidP="00D63204">
      <w:pPr>
        <w:widowControl w:val="0"/>
        <w:spacing w:after="0" w:line="240" w:lineRule="auto"/>
        <w:ind w:left="90"/>
        <w:rPr>
          <w:rFonts w:cstheme="minorHAnsi"/>
          <w:color w:val="231F20"/>
          <w:w w:val="105"/>
          <w:u w:val="single" w:color="231F20"/>
        </w:rPr>
      </w:pPr>
    </w:p>
    <w:p w14:paraId="74D3240F" w14:textId="4587A013" w:rsidR="004A3FCD" w:rsidRPr="00F7048E" w:rsidRDefault="004A3FCD" w:rsidP="00D63204">
      <w:pPr>
        <w:widowControl w:val="0"/>
        <w:spacing w:after="0" w:line="240" w:lineRule="auto"/>
        <w:ind w:left="90"/>
        <w:rPr>
          <w:rFonts w:cstheme="minorHAnsi"/>
          <w:b/>
          <w:color w:val="231F20"/>
          <w:spacing w:val="-45"/>
          <w:w w:val="105"/>
          <w:u w:val="single" w:color="231F20"/>
        </w:rPr>
      </w:pPr>
      <w:r w:rsidRPr="00F7048E">
        <w:rPr>
          <w:rFonts w:cstheme="minorHAnsi"/>
          <w:b/>
          <w:color w:val="231F20"/>
          <w:w w:val="105"/>
          <w:u w:val="single" w:color="231F20"/>
        </w:rPr>
        <w:t>Individuals</w:t>
      </w:r>
      <w:r w:rsidRPr="00F7048E">
        <w:rPr>
          <w:rFonts w:cstheme="minorHAnsi"/>
          <w:b/>
          <w:color w:val="231F20"/>
          <w:spacing w:val="12"/>
          <w:w w:val="105"/>
          <w:u w:val="single" w:color="231F20"/>
        </w:rPr>
        <w:t xml:space="preserve"> </w:t>
      </w:r>
      <w:r w:rsidRPr="00F7048E">
        <w:rPr>
          <w:rFonts w:cstheme="minorHAnsi"/>
          <w:b/>
          <w:color w:val="231F20"/>
          <w:w w:val="105"/>
          <w:u w:val="single" w:color="231F20"/>
        </w:rPr>
        <w:t>with</w:t>
      </w:r>
      <w:r w:rsidRPr="00F7048E">
        <w:rPr>
          <w:rFonts w:cstheme="minorHAnsi"/>
          <w:b/>
          <w:color w:val="231F20"/>
          <w:spacing w:val="12"/>
          <w:w w:val="105"/>
          <w:u w:val="single" w:color="231F20"/>
        </w:rPr>
        <w:t xml:space="preserve"> </w:t>
      </w:r>
      <w:r w:rsidRPr="00F7048E">
        <w:rPr>
          <w:rFonts w:cstheme="minorHAnsi"/>
          <w:b/>
          <w:color w:val="231F20"/>
          <w:w w:val="105"/>
          <w:u w:val="single" w:color="231F20"/>
        </w:rPr>
        <w:t>Significant</w:t>
      </w:r>
      <w:r w:rsidRPr="00F7048E">
        <w:rPr>
          <w:rFonts w:cstheme="minorHAnsi"/>
          <w:b/>
          <w:color w:val="231F20"/>
          <w:spacing w:val="12"/>
          <w:w w:val="105"/>
          <w:u w:val="single" w:color="231F20"/>
        </w:rPr>
        <w:t xml:space="preserve"> </w:t>
      </w:r>
      <w:r w:rsidRPr="00F7048E">
        <w:rPr>
          <w:rFonts w:cstheme="minorHAnsi"/>
          <w:b/>
          <w:color w:val="231F20"/>
          <w:w w:val="105"/>
          <w:u w:val="single" w:color="231F20"/>
        </w:rPr>
        <w:t>Disabilities</w:t>
      </w:r>
      <w:r w:rsidRPr="00F7048E">
        <w:rPr>
          <w:rFonts w:cstheme="minorHAnsi"/>
          <w:b/>
          <w:color w:val="231F20"/>
          <w:spacing w:val="12"/>
          <w:w w:val="105"/>
          <w:u w:val="single" w:color="231F20"/>
        </w:rPr>
        <w:t xml:space="preserve"> </w:t>
      </w:r>
      <w:r w:rsidRPr="00F7048E">
        <w:rPr>
          <w:rFonts w:cstheme="minorHAnsi"/>
          <w:b/>
          <w:color w:val="231F20"/>
          <w:w w:val="105"/>
          <w:u w:val="single" w:color="231F20"/>
        </w:rPr>
        <w:t>(Priority</w:t>
      </w:r>
      <w:r w:rsidRPr="00F7048E">
        <w:rPr>
          <w:rFonts w:cstheme="minorHAnsi"/>
          <w:b/>
          <w:color w:val="231F20"/>
          <w:spacing w:val="12"/>
          <w:w w:val="105"/>
          <w:u w:val="single" w:color="231F20"/>
        </w:rPr>
        <w:t xml:space="preserve"> </w:t>
      </w:r>
      <w:r w:rsidRPr="00F7048E">
        <w:rPr>
          <w:rFonts w:cstheme="minorHAnsi"/>
          <w:b/>
          <w:color w:val="231F20"/>
          <w:w w:val="105"/>
          <w:u w:val="single" w:color="231F20"/>
        </w:rPr>
        <w:t>Category</w:t>
      </w:r>
      <w:r w:rsidRPr="00F7048E">
        <w:rPr>
          <w:rFonts w:cstheme="minorHAnsi"/>
          <w:b/>
          <w:color w:val="231F20"/>
          <w:spacing w:val="12"/>
          <w:w w:val="105"/>
          <w:u w:val="single" w:color="231F20"/>
        </w:rPr>
        <w:t xml:space="preserve"> </w:t>
      </w:r>
      <w:r w:rsidRPr="00F7048E">
        <w:rPr>
          <w:rFonts w:cstheme="minorHAnsi"/>
          <w:b/>
          <w:color w:val="231F20"/>
          <w:w w:val="105"/>
          <w:u w:val="single" w:color="231F20"/>
        </w:rPr>
        <w:t>2)</w:t>
      </w:r>
      <w:r w:rsidRPr="00F7048E">
        <w:rPr>
          <w:rFonts w:cstheme="minorHAnsi"/>
          <w:b/>
          <w:color w:val="231F20"/>
          <w:spacing w:val="-45"/>
          <w:w w:val="105"/>
          <w:u w:val="single" w:color="231F20"/>
        </w:rPr>
        <w:t xml:space="preserve"> </w:t>
      </w:r>
    </w:p>
    <w:p w14:paraId="745BDBAF" w14:textId="77777777" w:rsidR="005B265A" w:rsidRPr="00F7048E" w:rsidRDefault="005B265A" w:rsidP="00D63204">
      <w:pPr>
        <w:widowControl w:val="0"/>
        <w:spacing w:after="0" w:line="240" w:lineRule="auto"/>
        <w:ind w:left="90"/>
        <w:rPr>
          <w:rFonts w:cstheme="minorHAnsi"/>
          <w:b/>
          <w:color w:val="231F20"/>
          <w:w w:val="105"/>
        </w:rPr>
      </w:pPr>
    </w:p>
    <w:p w14:paraId="631B50CD" w14:textId="237FAEA6" w:rsidR="004A3FCD" w:rsidRPr="005B265A" w:rsidRDefault="004A3FCD" w:rsidP="00D63204">
      <w:pPr>
        <w:widowControl w:val="0"/>
        <w:spacing w:after="0" w:line="240" w:lineRule="auto"/>
        <w:ind w:left="90"/>
        <w:rPr>
          <w:rFonts w:cstheme="minorHAnsi"/>
        </w:rPr>
      </w:pPr>
      <w:r w:rsidRPr="005B265A">
        <w:rPr>
          <w:rFonts w:cstheme="minorHAnsi"/>
          <w:color w:val="231F20"/>
          <w:w w:val="105"/>
        </w:rPr>
        <w:t>An eligible individual with a disability which:</w:t>
      </w:r>
    </w:p>
    <w:p w14:paraId="4783E2A5" w14:textId="77777777" w:rsidR="005B265A" w:rsidRDefault="005B265A" w:rsidP="00D63204">
      <w:pPr>
        <w:widowControl w:val="0"/>
        <w:tabs>
          <w:tab w:val="left" w:pos="828"/>
        </w:tabs>
        <w:spacing w:after="0" w:line="240" w:lineRule="auto"/>
        <w:ind w:left="90"/>
        <w:rPr>
          <w:rFonts w:cstheme="minorHAnsi"/>
          <w:color w:val="231F20"/>
          <w:w w:val="105"/>
        </w:rPr>
      </w:pPr>
    </w:p>
    <w:p w14:paraId="29F7C455" w14:textId="0C8590EA" w:rsidR="004A3FCD" w:rsidRPr="005B265A" w:rsidRDefault="004A3FCD" w:rsidP="00D63204">
      <w:pPr>
        <w:pStyle w:val="ListParagraph"/>
        <w:widowControl w:val="0"/>
        <w:numPr>
          <w:ilvl w:val="0"/>
          <w:numId w:val="133"/>
        </w:numPr>
        <w:tabs>
          <w:tab w:val="left" w:pos="828"/>
        </w:tabs>
        <w:spacing w:after="0" w:line="240" w:lineRule="auto"/>
        <w:rPr>
          <w:rFonts w:cstheme="minorHAnsi"/>
        </w:rPr>
      </w:pPr>
      <w:r w:rsidRPr="005B265A">
        <w:rPr>
          <w:rFonts w:cstheme="minorHAnsi"/>
          <w:color w:val="231F20"/>
          <w:w w:val="105"/>
        </w:rPr>
        <w:t>Seriously limits one or two functional capacities, in terms of an employment</w:t>
      </w:r>
      <w:r w:rsidRPr="005B265A">
        <w:rPr>
          <w:rFonts w:cstheme="minorHAnsi"/>
          <w:color w:val="231F20"/>
          <w:spacing w:val="10"/>
          <w:w w:val="105"/>
        </w:rPr>
        <w:t xml:space="preserve"> </w:t>
      </w:r>
      <w:r w:rsidRPr="005B265A">
        <w:rPr>
          <w:rFonts w:cstheme="minorHAnsi"/>
          <w:color w:val="231F20"/>
          <w:w w:val="105"/>
        </w:rPr>
        <w:t>outcome;</w:t>
      </w:r>
    </w:p>
    <w:p w14:paraId="7B1523C4" w14:textId="77777777" w:rsidR="005B265A" w:rsidRPr="005B265A" w:rsidRDefault="005B265A" w:rsidP="00D63204">
      <w:pPr>
        <w:pStyle w:val="ListParagraph"/>
        <w:widowControl w:val="0"/>
        <w:tabs>
          <w:tab w:val="left" w:pos="828"/>
        </w:tabs>
        <w:spacing w:after="0" w:line="240" w:lineRule="auto"/>
        <w:ind w:left="810"/>
        <w:rPr>
          <w:rFonts w:cstheme="minorHAnsi"/>
        </w:rPr>
      </w:pPr>
    </w:p>
    <w:p w14:paraId="2133AE06" w14:textId="00E8A877" w:rsidR="004A3FCD" w:rsidRPr="005B265A" w:rsidRDefault="004A3FCD" w:rsidP="00D63204">
      <w:pPr>
        <w:pStyle w:val="ListParagraph"/>
        <w:widowControl w:val="0"/>
        <w:numPr>
          <w:ilvl w:val="0"/>
          <w:numId w:val="133"/>
        </w:numPr>
        <w:tabs>
          <w:tab w:val="left" w:pos="828"/>
        </w:tabs>
        <w:spacing w:after="0" w:line="240" w:lineRule="auto"/>
        <w:rPr>
          <w:rFonts w:cstheme="minorHAnsi"/>
        </w:rPr>
      </w:pPr>
      <w:r w:rsidRPr="005B265A">
        <w:rPr>
          <w:rFonts w:cstheme="minorHAnsi"/>
          <w:color w:val="231F20"/>
          <w:w w:val="105"/>
        </w:rPr>
        <w:t>Requires two or more primary</w:t>
      </w:r>
      <w:r w:rsidRPr="005B265A">
        <w:rPr>
          <w:rFonts w:cstheme="minorHAnsi"/>
          <w:color w:val="231F20"/>
          <w:spacing w:val="23"/>
          <w:w w:val="105"/>
        </w:rPr>
        <w:t xml:space="preserve"> </w:t>
      </w:r>
      <w:r w:rsidRPr="005B265A">
        <w:rPr>
          <w:rFonts w:cstheme="minorHAnsi"/>
          <w:color w:val="231F20"/>
          <w:w w:val="105"/>
        </w:rPr>
        <w:t>services;</w:t>
      </w:r>
    </w:p>
    <w:p w14:paraId="789394AD" w14:textId="77777777" w:rsidR="005B265A" w:rsidRPr="005B265A" w:rsidRDefault="005B265A" w:rsidP="00D63204">
      <w:pPr>
        <w:pStyle w:val="ListParagraph"/>
        <w:widowControl w:val="0"/>
        <w:tabs>
          <w:tab w:val="left" w:pos="828"/>
        </w:tabs>
        <w:spacing w:after="0" w:line="240" w:lineRule="auto"/>
        <w:ind w:left="810"/>
        <w:rPr>
          <w:rFonts w:cstheme="minorHAnsi"/>
        </w:rPr>
      </w:pPr>
    </w:p>
    <w:p w14:paraId="16DFEFA7" w14:textId="610E2AEB" w:rsidR="005B265A" w:rsidRPr="005B265A" w:rsidRDefault="004A3FCD" w:rsidP="00D63204">
      <w:pPr>
        <w:pStyle w:val="ListParagraph"/>
        <w:widowControl w:val="0"/>
        <w:numPr>
          <w:ilvl w:val="0"/>
          <w:numId w:val="133"/>
        </w:numPr>
        <w:tabs>
          <w:tab w:val="left" w:pos="828"/>
        </w:tabs>
        <w:spacing w:after="0" w:line="240" w:lineRule="auto"/>
        <w:rPr>
          <w:rFonts w:cstheme="minorHAnsi"/>
        </w:rPr>
      </w:pPr>
      <w:r w:rsidRPr="005B265A">
        <w:rPr>
          <w:rFonts w:cstheme="minorHAnsi"/>
          <w:color w:val="231F20"/>
          <w:w w:val="110"/>
        </w:rPr>
        <w:t>Requires</w:t>
      </w:r>
      <w:r w:rsidRPr="005B265A">
        <w:rPr>
          <w:rFonts w:cstheme="minorHAnsi"/>
          <w:color w:val="231F20"/>
          <w:spacing w:val="-17"/>
          <w:w w:val="110"/>
        </w:rPr>
        <w:t xml:space="preserve"> </w:t>
      </w:r>
      <w:r w:rsidRPr="005B265A">
        <w:rPr>
          <w:rFonts w:cstheme="minorHAnsi"/>
          <w:color w:val="231F20"/>
          <w:w w:val="110"/>
        </w:rPr>
        <w:t>services</w:t>
      </w:r>
      <w:r w:rsidRPr="005B265A">
        <w:rPr>
          <w:rFonts w:cstheme="minorHAnsi"/>
          <w:color w:val="231F20"/>
          <w:spacing w:val="-17"/>
          <w:w w:val="110"/>
        </w:rPr>
        <w:t xml:space="preserve"> </w:t>
      </w:r>
      <w:r w:rsidRPr="005B265A">
        <w:rPr>
          <w:rFonts w:cstheme="minorHAnsi"/>
          <w:color w:val="231F20"/>
          <w:w w:val="110"/>
        </w:rPr>
        <w:t>which</w:t>
      </w:r>
      <w:r w:rsidRPr="005B265A">
        <w:rPr>
          <w:rFonts w:cstheme="minorHAnsi"/>
          <w:color w:val="231F20"/>
          <w:spacing w:val="-17"/>
          <w:w w:val="110"/>
        </w:rPr>
        <w:t xml:space="preserve"> </w:t>
      </w:r>
      <w:r w:rsidRPr="005B265A">
        <w:rPr>
          <w:rFonts w:cstheme="minorHAnsi"/>
          <w:color w:val="231F20"/>
          <w:w w:val="110"/>
        </w:rPr>
        <w:t>must</w:t>
      </w:r>
      <w:r w:rsidRPr="005B265A">
        <w:rPr>
          <w:rFonts w:cstheme="minorHAnsi"/>
          <w:color w:val="231F20"/>
          <w:spacing w:val="-17"/>
          <w:w w:val="110"/>
        </w:rPr>
        <w:t xml:space="preserve"> </w:t>
      </w:r>
      <w:r w:rsidRPr="005B265A">
        <w:rPr>
          <w:rFonts w:cstheme="minorHAnsi"/>
          <w:color w:val="231F20"/>
          <w:w w:val="110"/>
        </w:rPr>
        <w:t>be</w:t>
      </w:r>
      <w:r w:rsidRPr="005B265A">
        <w:rPr>
          <w:rFonts w:cstheme="minorHAnsi"/>
          <w:color w:val="231F20"/>
          <w:spacing w:val="-17"/>
          <w:w w:val="110"/>
        </w:rPr>
        <w:t xml:space="preserve"> </w:t>
      </w:r>
      <w:r w:rsidRPr="005B265A">
        <w:rPr>
          <w:rFonts w:cstheme="minorHAnsi"/>
          <w:color w:val="231F20"/>
          <w:w w:val="110"/>
        </w:rPr>
        <w:t>provided</w:t>
      </w:r>
      <w:r w:rsidRPr="005B265A">
        <w:rPr>
          <w:rFonts w:cstheme="minorHAnsi"/>
          <w:color w:val="231F20"/>
          <w:spacing w:val="-17"/>
          <w:w w:val="110"/>
        </w:rPr>
        <w:t xml:space="preserve"> </w:t>
      </w:r>
      <w:r w:rsidRPr="005B265A">
        <w:rPr>
          <w:rFonts w:cstheme="minorHAnsi"/>
          <w:color w:val="231F20"/>
          <w:w w:val="110"/>
        </w:rPr>
        <w:t>over</w:t>
      </w:r>
      <w:r w:rsidRPr="005B265A">
        <w:rPr>
          <w:rFonts w:cstheme="minorHAnsi"/>
          <w:color w:val="231F20"/>
          <w:spacing w:val="-17"/>
          <w:w w:val="110"/>
        </w:rPr>
        <w:t xml:space="preserve"> </w:t>
      </w:r>
      <w:r w:rsidRPr="005B265A">
        <w:rPr>
          <w:rFonts w:cstheme="minorHAnsi"/>
          <w:color w:val="231F20"/>
          <w:w w:val="110"/>
        </w:rPr>
        <w:t>an</w:t>
      </w:r>
      <w:r w:rsidRPr="005B265A">
        <w:rPr>
          <w:rFonts w:cstheme="minorHAnsi"/>
          <w:color w:val="231F20"/>
          <w:spacing w:val="-17"/>
          <w:w w:val="110"/>
        </w:rPr>
        <w:t xml:space="preserve"> </w:t>
      </w:r>
      <w:r w:rsidRPr="005B265A">
        <w:rPr>
          <w:rFonts w:cstheme="minorHAnsi"/>
          <w:color w:val="231F20"/>
          <w:w w:val="110"/>
        </w:rPr>
        <w:t>extended</w:t>
      </w:r>
      <w:r w:rsidRPr="005B265A">
        <w:rPr>
          <w:rFonts w:cstheme="minorHAnsi"/>
          <w:color w:val="231F20"/>
          <w:spacing w:val="-17"/>
          <w:w w:val="110"/>
        </w:rPr>
        <w:t xml:space="preserve"> </w:t>
      </w:r>
      <w:r w:rsidR="00263B54" w:rsidRPr="005B265A">
        <w:rPr>
          <w:rFonts w:cstheme="minorHAnsi"/>
          <w:color w:val="231F20"/>
          <w:w w:val="110"/>
        </w:rPr>
        <w:t>period</w:t>
      </w:r>
      <w:r w:rsidRPr="005B265A">
        <w:rPr>
          <w:rFonts w:cstheme="minorHAnsi"/>
          <w:color w:val="231F20"/>
          <w:spacing w:val="-17"/>
          <w:w w:val="110"/>
        </w:rPr>
        <w:t xml:space="preserve"> </w:t>
      </w:r>
      <w:r w:rsidRPr="005B265A">
        <w:rPr>
          <w:rFonts w:cstheme="minorHAnsi"/>
          <w:color w:val="231F20"/>
          <w:w w:val="110"/>
        </w:rPr>
        <w:t>(at</w:t>
      </w:r>
      <w:r w:rsidRPr="005B265A">
        <w:rPr>
          <w:rFonts w:cstheme="minorHAnsi"/>
          <w:color w:val="231F20"/>
          <w:spacing w:val="-17"/>
          <w:w w:val="110"/>
        </w:rPr>
        <w:t xml:space="preserve"> </w:t>
      </w:r>
      <w:r w:rsidRPr="005B265A">
        <w:rPr>
          <w:rFonts w:cstheme="minorHAnsi"/>
          <w:color w:val="231F20"/>
          <w:w w:val="110"/>
        </w:rPr>
        <w:t>least</w:t>
      </w:r>
      <w:r w:rsidRPr="005B265A">
        <w:rPr>
          <w:rFonts w:cstheme="minorHAnsi"/>
          <w:color w:val="231F20"/>
          <w:spacing w:val="-17"/>
          <w:w w:val="110"/>
        </w:rPr>
        <w:t xml:space="preserve"> </w:t>
      </w:r>
      <w:r w:rsidRPr="005B265A">
        <w:rPr>
          <w:rFonts w:cstheme="minorHAnsi"/>
          <w:color w:val="231F20"/>
          <w:w w:val="110"/>
        </w:rPr>
        <w:t>six</w:t>
      </w:r>
      <w:r w:rsidRPr="005B265A">
        <w:rPr>
          <w:rFonts w:cstheme="minorHAnsi"/>
          <w:color w:val="231F20"/>
          <w:spacing w:val="-17"/>
          <w:w w:val="110"/>
        </w:rPr>
        <w:t xml:space="preserve"> </w:t>
      </w:r>
      <w:r w:rsidRPr="005B265A">
        <w:rPr>
          <w:rFonts w:cstheme="minorHAnsi"/>
          <w:color w:val="231F20"/>
          <w:w w:val="110"/>
        </w:rPr>
        <w:t>months);</w:t>
      </w:r>
      <w:r w:rsidRPr="005B265A">
        <w:rPr>
          <w:rFonts w:cstheme="minorHAnsi"/>
          <w:color w:val="231F20"/>
          <w:w w:val="101"/>
        </w:rPr>
        <w:t xml:space="preserve"> </w:t>
      </w:r>
      <w:r w:rsidRPr="005B265A">
        <w:rPr>
          <w:rFonts w:cstheme="minorHAnsi"/>
          <w:color w:val="231F20"/>
          <w:w w:val="110"/>
        </w:rPr>
        <w:t>OR</w:t>
      </w:r>
    </w:p>
    <w:p w14:paraId="51487819" w14:textId="77777777" w:rsidR="005B265A" w:rsidRPr="005B265A" w:rsidRDefault="005B265A" w:rsidP="00D63204">
      <w:pPr>
        <w:pStyle w:val="ListParagraph"/>
        <w:widowControl w:val="0"/>
        <w:spacing w:after="0" w:line="240" w:lineRule="auto"/>
        <w:ind w:left="810"/>
        <w:rPr>
          <w:rFonts w:cstheme="minorHAnsi"/>
        </w:rPr>
      </w:pPr>
    </w:p>
    <w:p w14:paraId="390BF389" w14:textId="19532D9B" w:rsidR="004A3FCD" w:rsidRPr="005B265A" w:rsidRDefault="004A3FCD" w:rsidP="00D63204">
      <w:pPr>
        <w:pStyle w:val="ListParagraph"/>
        <w:widowControl w:val="0"/>
        <w:numPr>
          <w:ilvl w:val="0"/>
          <w:numId w:val="133"/>
        </w:numPr>
        <w:spacing w:after="0" w:line="240" w:lineRule="auto"/>
        <w:rPr>
          <w:rFonts w:cstheme="minorHAnsi"/>
        </w:rPr>
      </w:pPr>
      <w:r w:rsidRPr="005B265A">
        <w:rPr>
          <w:rFonts w:cstheme="minorHAnsi"/>
          <w:color w:val="231F20"/>
          <w:w w:val="105"/>
        </w:rPr>
        <w:t>The</w:t>
      </w:r>
      <w:r w:rsidRPr="005B265A">
        <w:rPr>
          <w:rFonts w:cstheme="minorHAnsi"/>
          <w:color w:val="231F20"/>
          <w:spacing w:val="19"/>
          <w:w w:val="105"/>
        </w:rPr>
        <w:t xml:space="preserve"> </w:t>
      </w:r>
      <w:r w:rsidRPr="005B265A">
        <w:rPr>
          <w:rFonts w:cstheme="minorHAnsi"/>
          <w:color w:val="231F20"/>
          <w:w w:val="105"/>
        </w:rPr>
        <w:t>individual</w:t>
      </w:r>
      <w:r w:rsidRPr="005B265A">
        <w:rPr>
          <w:rFonts w:cstheme="minorHAnsi"/>
          <w:color w:val="231F20"/>
          <w:spacing w:val="19"/>
          <w:w w:val="105"/>
        </w:rPr>
        <w:t xml:space="preserve"> </w:t>
      </w:r>
      <w:r w:rsidRPr="005B265A">
        <w:rPr>
          <w:rFonts w:cstheme="minorHAnsi"/>
          <w:color w:val="231F20"/>
          <w:w w:val="105"/>
        </w:rPr>
        <w:t>is</w:t>
      </w:r>
      <w:r w:rsidRPr="005B265A">
        <w:rPr>
          <w:rFonts w:cstheme="minorHAnsi"/>
          <w:color w:val="231F20"/>
          <w:spacing w:val="19"/>
          <w:w w:val="105"/>
        </w:rPr>
        <w:t xml:space="preserve"> </w:t>
      </w:r>
      <w:r w:rsidRPr="005B265A">
        <w:rPr>
          <w:rFonts w:cstheme="minorHAnsi"/>
          <w:color w:val="231F20"/>
          <w:w w:val="105"/>
        </w:rPr>
        <w:t>a</w:t>
      </w:r>
      <w:r w:rsidRPr="005B265A">
        <w:rPr>
          <w:rFonts w:cstheme="minorHAnsi"/>
          <w:color w:val="231F20"/>
          <w:spacing w:val="19"/>
          <w:w w:val="105"/>
        </w:rPr>
        <w:t xml:space="preserve"> </w:t>
      </w:r>
      <w:r w:rsidRPr="005B265A">
        <w:rPr>
          <w:rFonts w:cstheme="minorHAnsi"/>
          <w:color w:val="231F20"/>
          <w:w w:val="105"/>
        </w:rPr>
        <w:t>recipient</w:t>
      </w:r>
      <w:r w:rsidRPr="005B265A">
        <w:rPr>
          <w:rFonts w:cstheme="minorHAnsi"/>
          <w:color w:val="231F20"/>
          <w:spacing w:val="19"/>
          <w:w w:val="105"/>
        </w:rPr>
        <w:t xml:space="preserve"> </w:t>
      </w:r>
      <w:r w:rsidRPr="005B265A">
        <w:rPr>
          <w:rFonts w:cstheme="minorHAnsi"/>
          <w:color w:val="231F20"/>
          <w:w w:val="105"/>
        </w:rPr>
        <w:t>of</w:t>
      </w:r>
      <w:r w:rsidRPr="005B265A">
        <w:rPr>
          <w:rFonts w:cstheme="minorHAnsi"/>
          <w:color w:val="231F20"/>
          <w:spacing w:val="19"/>
          <w:w w:val="105"/>
        </w:rPr>
        <w:t xml:space="preserve"> </w:t>
      </w:r>
      <w:r w:rsidRPr="005B265A">
        <w:rPr>
          <w:rFonts w:cstheme="minorHAnsi"/>
          <w:color w:val="231F20"/>
          <w:w w:val="105"/>
        </w:rPr>
        <w:t>Social</w:t>
      </w:r>
      <w:r w:rsidRPr="005B265A">
        <w:rPr>
          <w:rFonts w:cstheme="minorHAnsi"/>
          <w:color w:val="231F20"/>
          <w:spacing w:val="19"/>
          <w:w w:val="105"/>
        </w:rPr>
        <w:t xml:space="preserve"> </w:t>
      </w:r>
      <w:r w:rsidRPr="005B265A">
        <w:rPr>
          <w:rFonts w:cstheme="minorHAnsi"/>
          <w:color w:val="231F20"/>
          <w:w w:val="105"/>
        </w:rPr>
        <w:t>Security</w:t>
      </w:r>
      <w:r w:rsidRPr="005B265A">
        <w:rPr>
          <w:rFonts w:cstheme="minorHAnsi"/>
          <w:color w:val="231F20"/>
          <w:spacing w:val="19"/>
          <w:w w:val="105"/>
        </w:rPr>
        <w:t xml:space="preserve"> </w:t>
      </w:r>
      <w:r w:rsidRPr="005B265A">
        <w:rPr>
          <w:rFonts w:cstheme="minorHAnsi"/>
          <w:color w:val="231F20"/>
          <w:w w:val="105"/>
        </w:rPr>
        <w:t>Disability</w:t>
      </w:r>
      <w:r w:rsidRPr="005B265A">
        <w:rPr>
          <w:rFonts w:cstheme="minorHAnsi"/>
          <w:color w:val="231F20"/>
          <w:spacing w:val="19"/>
          <w:w w:val="105"/>
        </w:rPr>
        <w:t xml:space="preserve"> </w:t>
      </w:r>
      <w:r w:rsidR="00780ED8">
        <w:rPr>
          <w:rFonts w:cstheme="minorHAnsi"/>
          <w:color w:val="231F20"/>
          <w:spacing w:val="19"/>
          <w:w w:val="105"/>
        </w:rPr>
        <w:t>Insurance benefi</w:t>
      </w:r>
      <w:r w:rsidRPr="005B265A">
        <w:rPr>
          <w:rFonts w:cstheme="minorHAnsi"/>
          <w:color w:val="231F20"/>
          <w:w w:val="105"/>
        </w:rPr>
        <w:t>ts</w:t>
      </w:r>
      <w:r w:rsidRPr="005B265A">
        <w:rPr>
          <w:rFonts w:cstheme="minorHAnsi"/>
          <w:color w:val="231F20"/>
          <w:spacing w:val="19"/>
          <w:w w:val="105"/>
        </w:rPr>
        <w:t xml:space="preserve"> </w:t>
      </w:r>
      <w:r w:rsidRPr="005B265A">
        <w:rPr>
          <w:rFonts w:cstheme="minorHAnsi"/>
          <w:color w:val="231F20"/>
          <w:w w:val="105"/>
        </w:rPr>
        <w:t>(SSDI)</w:t>
      </w:r>
      <w:r w:rsidRPr="005B265A">
        <w:rPr>
          <w:rFonts w:cstheme="minorHAnsi"/>
          <w:color w:val="231F20"/>
          <w:spacing w:val="19"/>
          <w:w w:val="105"/>
        </w:rPr>
        <w:t xml:space="preserve"> </w:t>
      </w:r>
      <w:r w:rsidRPr="005B265A">
        <w:rPr>
          <w:rFonts w:cstheme="minorHAnsi"/>
          <w:color w:val="231F20"/>
          <w:w w:val="105"/>
        </w:rPr>
        <w:t>or</w:t>
      </w:r>
      <w:r w:rsidRPr="005B265A">
        <w:rPr>
          <w:rFonts w:cstheme="minorHAnsi"/>
          <w:color w:val="231F20"/>
          <w:spacing w:val="19"/>
          <w:w w:val="105"/>
        </w:rPr>
        <w:t xml:space="preserve"> </w:t>
      </w:r>
      <w:r w:rsidRPr="005B265A">
        <w:rPr>
          <w:rFonts w:cstheme="minorHAnsi"/>
          <w:color w:val="231F20"/>
          <w:w w:val="105"/>
        </w:rPr>
        <w:t>Supplemental</w:t>
      </w:r>
      <w:r w:rsidRPr="005B265A">
        <w:rPr>
          <w:rFonts w:cstheme="minorHAnsi"/>
          <w:color w:val="231F20"/>
          <w:spacing w:val="19"/>
          <w:w w:val="105"/>
        </w:rPr>
        <w:t xml:space="preserve"> </w:t>
      </w:r>
      <w:r w:rsidRPr="005B265A">
        <w:rPr>
          <w:rFonts w:cstheme="minorHAnsi"/>
          <w:color w:val="231F20"/>
          <w:w w:val="105"/>
        </w:rPr>
        <w:t>Security</w:t>
      </w:r>
      <w:r w:rsidRPr="005B265A">
        <w:rPr>
          <w:rFonts w:cstheme="minorHAnsi"/>
          <w:color w:val="231F20"/>
          <w:w w:val="108"/>
        </w:rPr>
        <w:t xml:space="preserve"> </w:t>
      </w:r>
      <w:r w:rsidRPr="005B265A">
        <w:rPr>
          <w:rFonts w:cstheme="minorHAnsi"/>
          <w:color w:val="231F20"/>
          <w:w w:val="105"/>
        </w:rPr>
        <w:t>Income (SSI) as a result of disability or</w:t>
      </w:r>
      <w:r w:rsidRPr="005B265A">
        <w:rPr>
          <w:rFonts w:cstheme="minorHAnsi"/>
          <w:color w:val="231F20"/>
          <w:spacing w:val="41"/>
          <w:w w:val="105"/>
        </w:rPr>
        <w:t xml:space="preserve"> </w:t>
      </w:r>
      <w:r w:rsidRPr="005B265A">
        <w:rPr>
          <w:rFonts w:cstheme="minorHAnsi"/>
          <w:color w:val="231F20"/>
          <w:w w:val="105"/>
        </w:rPr>
        <w:t>blindness.</w:t>
      </w:r>
    </w:p>
    <w:p w14:paraId="1A8AA098" w14:textId="77777777" w:rsidR="004A3FCD" w:rsidRPr="005B265A" w:rsidRDefault="004A3FCD" w:rsidP="00D63204">
      <w:pPr>
        <w:widowControl w:val="0"/>
        <w:spacing w:after="0" w:line="240" w:lineRule="auto"/>
        <w:ind w:left="90"/>
        <w:rPr>
          <w:rFonts w:cstheme="minorHAnsi"/>
        </w:rPr>
      </w:pPr>
    </w:p>
    <w:p w14:paraId="533FB5D1" w14:textId="77777777" w:rsidR="004A3FCD" w:rsidRPr="00F7048E" w:rsidRDefault="004A3FCD" w:rsidP="00D63204">
      <w:pPr>
        <w:widowControl w:val="0"/>
        <w:spacing w:after="0" w:line="240" w:lineRule="auto"/>
        <w:ind w:left="90"/>
        <w:rPr>
          <w:rFonts w:cstheme="minorHAnsi"/>
          <w:b/>
          <w:color w:val="231F20"/>
          <w:spacing w:val="-44"/>
          <w:w w:val="105"/>
          <w:u w:val="single" w:color="231F20"/>
        </w:rPr>
      </w:pPr>
      <w:r w:rsidRPr="00F7048E">
        <w:rPr>
          <w:rFonts w:cstheme="minorHAnsi"/>
          <w:b/>
          <w:color w:val="231F20"/>
          <w:w w:val="105"/>
          <w:u w:val="single" w:color="231F20"/>
        </w:rPr>
        <w:t>Other</w:t>
      </w:r>
      <w:r w:rsidRPr="00F7048E">
        <w:rPr>
          <w:rFonts w:cstheme="minorHAnsi"/>
          <w:b/>
          <w:color w:val="231F20"/>
          <w:spacing w:val="12"/>
          <w:w w:val="105"/>
          <w:u w:val="single" w:color="231F20"/>
        </w:rPr>
        <w:t xml:space="preserve"> </w:t>
      </w:r>
      <w:r w:rsidRPr="00F7048E">
        <w:rPr>
          <w:rFonts w:cstheme="minorHAnsi"/>
          <w:b/>
          <w:color w:val="231F20"/>
          <w:w w:val="105"/>
          <w:u w:val="single" w:color="231F20"/>
        </w:rPr>
        <w:t>Eligible</w:t>
      </w:r>
      <w:r w:rsidRPr="00F7048E">
        <w:rPr>
          <w:rFonts w:cstheme="minorHAnsi"/>
          <w:b/>
          <w:color w:val="231F20"/>
          <w:spacing w:val="12"/>
          <w:w w:val="105"/>
          <w:u w:val="single" w:color="231F20"/>
        </w:rPr>
        <w:t xml:space="preserve"> </w:t>
      </w:r>
      <w:r w:rsidRPr="00F7048E">
        <w:rPr>
          <w:rFonts w:cstheme="minorHAnsi"/>
          <w:b/>
          <w:color w:val="231F20"/>
          <w:w w:val="105"/>
          <w:u w:val="single" w:color="231F20"/>
        </w:rPr>
        <w:t>Individuals</w:t>
      </w:r>
      <w:r w:rsidRPr="00F7048E">
        <w:rPr>
          <w:rFonts w:cstheme="minorHAnsi"/>
          <w:b/>
          <w:color w:val="231F20"/>
          <w:spacing w:val="12"/>
          <w:w w:val="105"/>
          <w:u w:val="single" w:color="231F20"/>
        </w:rPr>
        <w:t xml:space="preserve"> </w:t>
      </w:r>
      <w:r w:rsidRPr="00F7048E">
        <w:rPr>
          <w:rFonts w:cstheme="minorHAnsi"/>
          <w:b/>
          <w:color w:val="231F20"/>
          <w:w w:val="105"/>
          <w:u w:val="single" w:color="231F20"/>
        </w:rPr>
        <w:t>(Priority</w:t>
      </w:r>
      <w:r w:rsidRPr="00F7048E">
        <w:rPr>
          <w:rFonts w:cstheme="minorHAnsi"/>
          <w:b/>
          <w:color w:val="231F20"/>
          <w:spacing w:val="12"/>
          <w:w w:val="105"/>
          <w:u w:val="single" w:color="231F20"/>
        </w:rPr>
        <w:t xml:space="preserve"> </w:t>
      </w:r>
      <w:r w:rsidRPr="00F7048E">
        <w:rPr>
          <w:rFonts w:cstheme="minorHAnsi"/>
          <w:b/>
          <w:color w:val="231F20"/>
          <w:w w:val="105"/>
          <w:u w:val="single" w:color="231F20"/>
        </w:rPr>
        <w:t>Category</w:t>
      </w:r>
      <w:r w:rsidRPr="00F7048E">
        <w:rPr>
          <w:rFonts w:cstheme="minorHAnsi"/>
          <w:b/>
          <w:color w:val="231F20"/>
          <w:spacing w:val="12"/>
          <w:w w:val="105"/>
          <w:u w:val="single" w:color="231F20"/>
        </w:rPr>
        <w:t xml:space="preserve"> </w:t>
      </w:r>
      <w:r w:rsidRPr="00F7048E">
        <w:rPr>
          <w:rFonts w:cstheme="minorHAnsi"/>
          <w:b/>
          <w:color w:val="231F20"/>
          <w:w w:val="105"/>
          <w:u w:val="single" w:color="231F20"/>
        </w:rPr>
        <w:t>3)</w:t>
      </w:r>
      <w:r w:rsidRPr="00F7048E">
        <w:rPr>
          <w:rFonts w:cstheme="minorHAnsi"/>
          <w:b/>
          <w:color w:val="231F20"/>
          <w:spacing w:val="-44"/>
          <w:w w:val="105"/>
          <w:u w:val="single" w:color="231F20"/>
        </w:rPr>
        <w:t xml:space="preserve"> </w:t>
      </w:r>
    </w:p>
    <w:p w14:paraId="6CBEAEBE" w14:textId="77777777" w:rsidR="00F36FD8" w:rsidRDefault="00F36FD8" w:rsidP="00D63204">
      <w:pPr>
        <w:widowControl w:val="0"/>
        <w:spacing w:after="0" w:line="240" w:lineRule="auto"/>
        <w:ind w:left="90"/>
        <w:rPr>
          <w:rFonts w:cstheme="minorHAnsi"/>
          <w:color w:val="231F20"/>
          <w:w w:val="105"/>
        </w:rPr>
      </w:pPr>
    </w:p>
    <w:p w14:paraId="4E2F0185" w14:textId="18BB83DF" w:rsidR="004A3FCD" w:rsidRPr="005B265A" w:rsidRDefault="004A3FCD" w:rsidP="00D63204">
      <w:pPr>
        <w:widowControl w:val="0"/>
        <w:spacing w:after="0" w:line="240" w:lineRule="auto"/>
        <w:ind w:left="90"/>
        <w:rPr>
          <w:rFonts w:cstheme="minorHAnsi"/>
        </w:rPr>
      </w:pPr>
      <w:r w:rsidRPr="005B265A">
        <w:rPr>
          <w:rFonts w:cstheme="minorHAnsi"/>
          <w:color w:val="231F20"/>
          <w:w w:val="105"/>
        </w:rPr>
        <w:t>An eligible individual with a disability which:</w:t>
      </w:r>
    </w:p>
    <w:p w14:paraId="4704040E" w14:textId="77777777" w:rsidR="00F36FD8" w:rsidRDefault="00F36FD8" w:rsidP="00D63204">
      <w:pPr>
        <w:widowControl w:val="0"/>
        <w:spacing w:after="0" w:line="240" w:lineRule="auto"/>
        <w:ind w:left="90"/>
        <w:rPr>
          <w:rFonts w:cstheme="minorHAnsi"/>
          <w:color w:val="231F20"/>
          <w:w w:val="105"/>
        </w:rPr>
      </w:pPr>
    </w:p>
    <w:p w14:paraId="7C5A290C" w14:textId="07C56EC4" w:rsidR="004A3FCD" w:rsidRPr="00F36FD8" w:rsidRDefault="004A3FCD" w:rsidP="00D63204">
      <w:pPr>
        <w:pStyle w:val="ListParagraph"/>
        <w:widowControl w:val="0"/>
        <w:numPr>
          <w:ilvl w:val="0"/>
          <w:numId w:val="134"/>
        </w:numPr>
        <w:spacing w:after="0" w:line="240" w:lineRule="auto"/>
        <w:rPr>
          <w:rFonts w:cstheme="minorHAnsi"/>
        </w:rPr>
      </w:pPr>
      <w:r w:rsidRPr="00F36FD8">
        <w:rPr>
          <w:rFonts w:cstheme="minorHAnsi"/>
          <w:color w:val="231F20"/>
          <w:w w:val="105"/>
        </w:rPr>
        <w:t>Limits one or more major life</w:t>
      </w:r>
      <w:r w:rsidR="0046501D">
        <w:rPr>
          <w:rFonts w:cstheme="minorHAnsi"/>
          <w:color w:val="231F20"/>
          <w:w w:val="105"/>
        </w:rPr>
        <w:t xml:space="preserve"> </w:t>
      </w:r>
      <w:r w:rsidRPr="00F36FD8">
        <w:rPr>
          <w:rFonts w:cstheme="minorHAnsi"/>
          <w:color w:val="231F20"/>
          <w:w w:val="105"/>
        </w:rPr>
        <w:t>activities;</w:t>
      </w:r>
      <w:r w:rsidRPr="00F36FD8">
        <w:rPr>
          <w:rFonts w:cstheme="minorHAnsi"/>
          <w:color w:val="231F20"/>
          <w:spacing w:val="28"/>
          <w:w w:val="105"/>
        </w:rPr>
        <w:t xml:space="preserve"> </w:t>
      </w:r>
      <w:r w:rsidRPr="00F36FD8">
        <w:rPr>
          <w:rFonts w:cstheme="minorHAnsi"/>
          <w:color w:val="231F20"/>
          <w:w w:val="105"/>
        </w:rPr>
        <w:t>and/or</w:t>
      </w:r>
    </w:p>
    <w:p w14:paraId="30F2DE2E" w14:textId="77777777" w:rsidR="00F36FD8" w:rsidRPr="00F36FD8" w:rsidRDefault="00F36FD8" w:rsidP="00D63204">
      <w:pPr>
        <w:pStyle w:val="ListParagraph"/>
        <w:widowControl w:val="0"/>
        <w:spacing w:after="0" w:line="240" w:lineRule="auto"/>
        <w:ind w:left="810"/>
        <w:rPr>
          <w:rFonts w:cstheme="minorHAnsi"/>
        </w:rPr>
      </w:pPr>
    </w:p>
    <w:p w14:paraId="29E5BA7B" w14:textId="77777777" w:rsidR="004A3FCD" w:rsidRPr="00F36FD8" w:rsidRDefault="004A3FCD" w:rsidP="00D63204">
      <w:pPr>
        <w:pStyle w:val="ListParagraph"/>
        <w:widowControl w:val="0"/>
        <w:numPr>
          <w:ilvl w:val="0"/>
          <w:numId w:val="134"/>
        </w:numPr>
        <w:tabs>
          <w:tab w:val="left" w:pos="828"/>
        </w:tabs>
        <w:spacing w:after="0" w:line="240" w:lineRule="auto"/>
        <w:rPr>
          <w:rFonts w:cstheme="minorHAnsi"/>
        </w:rPr>
      </w:pPr>
      <w:r w:rsidRPr="00F36FD8">
        <w:rPr>
          <w:rFonts w:cstheme="minorHAnsi"/>
          <w:color w:val="231F20"/>
          <w:w w:val="110"/>
        </w:rPr>
        <w:t>Services are expected to last less than six</w:t>
      </w:r>
      <w:r w:rsidRPr="00F36FD8">
        <w:rPr>
          <w:rFonts w:cstheme="minorHAnsi"/>
          <w:color w:val="231F20"/>
          <w:spacing w:val="9"/>
          <w:w w:val="110"/>
        </w:rPr>
        <w:t xml:space="preserve"> </w:t>
      </w:r>
      <w:r w:rsidRPr="00F36FD8">
        <w:rPr>
          <w:rFonts w:cstheme="minorHAnsi"/>
          <w:color w:val="231F20"/>
          <w:w w:val="110"/>
        </w:rPr>
        <w:t>months.</w:t>
      </w:r>
    </w:p>
    <w:p w14:paraId="017DBC99" w14:textId="54AD752A" w:rsidR="00EA7458" w:rsidRPr="00E34567" w:rsidRDefault="004A3FCD" w:rsidP="00D63204">
      <w:pPr>
        <w:widowControl w:val="0"/>
        <w:spacing w:before="183" w:after="0" w:line="240" w:lineRule="auto"/>
        <w:ind w:left="107"/>
        <w:rPr>
          <w:rFonts w:ascii="Calibri" w:hAnsi="Calibri"/>
          <w:spacing w:val="-12"/>
          <w:w w:val="105"/>
        </w:rPr>
      </w:pPr>
      <w:r w:rsidRPr="00E34567">
        <w:rPr>
          <w:rFonts w:ascii="Calibri" w:hAnsi="Calibri"/>
          <w:spacing w:val="-12"/>
          <w:w w:val="105"/>
        </w:rPr>
        <w:t>VR provides Job Retention Services (discretionary services to eligible individuals regardless of order of selection, who require specific services or equipment to maintain employment). This is a new option created by WIOA. Between May 2016 and January 2018, 658 customers were released from the OOS wait list and received Job Retention Services.</w:t>
      </w:r>
    </w:p>
    <w:p w14:paraId="4FB8EDBB" w14:textId="77777777" w:rsidR="00EA7458" w:rsidRPr="00EA7458" w:rsidRDefault="00EA7458" w:rsidP="00D63204">
      <w:pPr>
        <w:widowControl w:val="0"/>
        <w:spacing w:before="4" w:after="0" w:line="240" w:lineRule="auto"/>
        <w:ind w:left="90" w:hanging="18"/>
        <w:rPr>
          <w:rFonts w:ascii="Calibri" w:hAnsi="Calibri" w:cs="Calibri"/>
          <w:sz w:val="17"/>
          <w:szCs w:val="17"/>
        </w:rPr>
      </w:pPr>
    </w:p>
    <w:p w14:paraId="048508F6" w14:textId="3E8D2EC2" w:rsidR="00EA7458" w:rsidRPr="00493CD4" w:rsidRDefault="003C43AF" w:rsidP="00D63204">
      <w:pPr>
        <w:widowControl w:val="0"/>
        <w:numPr>
          <w:ilvl w:val="0"/>
          <w:numId w:val="122"/>
        </w:numPr>
        <w:tabs>
          <w:tab w:val="left" w:pos="828"/>
        </w:tabs>
        <w:spacing w:after="0" w:line="240" w:lineRule="auto"/>
        <w:outlineLvl w:val="1"/>
        <w:rPr>
          <w:rFonts w:ascii="Calibri" w:hAnsi="Calibri"/>
          <w:color w:val="1F497D" w:themeColor="text2"/>
          <w:sz w:val="26"/>
          <w:szCs w:val="26"/>
        </w:rPr>
      </w:pPr>
      <w:bookmarkStart w:id="157" w:name="_bookmark98"/>
      <w:bookmarkEnd w:id="157"/>
      <w:r>
        <w:rPr>
          <w:rFonts w:ascii="Calibri" w:hAnsi="Calibri"/>
          <w:b/>
          <w:bCs/>
          <w:color w:val="295CA3"/>
          <w:w w:val="110"/>
          <w:sz w:val="26"/>
          <w:szCs w:val="26"/>
        </w:rPr>
        <w:t xml:space="preserve"> </w:t>
      </w:r>
      <w:r w:rsidR="00F36FD8" w:rsidRPr="00493CD4">
        <w:rPr>
          <w:rFonts w:ascii="Calibri" w:hAnsi="Calibri"/>
          <w:b/>
          <w:bCs/>
          <w:color w:val="1F497D" w:themeColor="text2"/>
          <w:w w:val="110"/>
          <w:sz w:val="26"/>
          <w:szCs w:val="26"/>
        </w:rPr>
        <w:t>Goals and Plans for Distribution of Title VI, Part B Funds</w:t>
      </w:r>
    </w:p>
    <w:p w14:paraId="0B489EED" w14:textId="6EC62C34" w:rsidR="00F36FD8" w:rsidRPr="00F36FD8" w:rsidRDefault="00F36FD8" w:rsidP="00D63204">
      <w:pPr>
        <w:widowControl w:val="0"/>
        <w:spacing w:before="183" w:after="0" w:line="240" w:lineRule="auto"/>
        <w:ind w:left="107"/>
        <w:rPr>
          <w:rFonts w:ascii="Calibri" w:hAnsi="Calibri"/>
          <w:spacing w:val="-12"/>
          <w:w w:val="105"/>
        </w:rPr>
      </w:pPr>
      <w:r w:rsidRPr="00F36FD8">
        <w:rPr>
          <w:rFonts w:ascii="Calibri" w:hAnsi="Calibri"/>
          <w:spacing w:val="-12"/>
          <w:w w:val="105"/>
        </w:rPr>
        <w:t>To</w:t>
      </w:r>
      <w:r w:rsidRPr="00E34567">
        <w:rPr>
          <w:rFonts w:ascii="Calibri" w:hAnsi="Calibri"/>
          <w:spacing w:val="-12"/>
          <w:w w:val="105"/>
        </w:rPr>
        <w:t xml:space="preserve"> meet the needs of individuals with the most significant disabilities, the Division of Vocational Rehabilitation (VR) collaborates and contracts with community partners to provide Supported Employment </w:t>
      </w:r>
      <w:r w:rsidR="00023BD0">
        <w:rPr>
          <w:rFonts w:ascii="Calibri" w:hAnsi="Calibri"/>
          <w:spacing w:val="-12"/>
          <w:w w:val="105"/>
        </w:rPr>
        <w:t>s</w:t>
      </w:r>
      <w:r w:rsidRPr="00E34567">
        <w:rPr>
          <w:rFonts w:ascii="Calibri" w:hAnsi="Calibri"/>
          <w:spacing w:val="-12"/>
          <w:w w:val="105"/>
        </w:rPr>
        <w:t xml:space="preserve">ervices. For FFY 2017-18, Supported Employment services are funded solely by Title I funding, as Title VI-B funding was not federally approved for this fiscal year. These funds are available on a statewide basis. </w:t>
      </w:r>
      <w:r w:rsidRPr="00F36FD8">
        <w:rPr>
          <w:rFonts w:ascii="Calibri" w:hAnsi="Calibri"/>
          <w:spacing w:val="-12"/>
          <w:w w:val="105"/>
        </w:rPr>
        <w:t xml:space="preserve">Florida VR uses </w:t>
      </w:r>
      <w:r w:rsidR="00023BD0">
        <w:rPr>
          <w:rFonts w:ascii="Calibri" w:hAnsi="Calibri"/>
          <w:spacing w:val="-12"/>
          <w:w w:val="105"/>
        </w:rPr>
        <w:t>the majority</w:t>
      </w:r>
      <w:r w:rsidR="00393615" w:rsidRPr="00F36FD8">
        <w:rPr>
          <w:rFonts w:ascii="Calibri" w:hAnsi="Calibri"/>
          <w:spacing w:val="-12"/>
          <w:w w:val="105"/>
        </w:rPr>
        <w:t xml:space="preserve"> of</w:t>
      </w:r>
      <w:r w:rsidRPr="00F36FD8">
        <w:rPr>
          <w:rFonts w:ascii="Calibri" w:hAnsi="Calibri"/>
          <w:spacing w:val="-12"/>
          <w:w w:val="105"/>
        </w:rPr>
        <w:t xml:space="preserve"> its Supported Employment expenditures on allowable services to youth</w:t>
      </w:r>
      <w:r w:rsidR="005E7C49">
        <w:rPr>
          <w:rFonts w:ascii="Calibri" w:hAnsi="Calibri"/>
          <w:spacing w:val="-12"/>
          <w:w w:val="105"/>
        </w:rPr>
        <w:t xml:space="preserve">. </w:t>
      </w:r>
    </w:p>
    <w:p w14:paraId="7C05A6B6" w14:textId="59212BBE" w:rsidR="00F36FD8" w:rsidRPr="00F36FD8" w:rsidRDefault="00F36FD8" w:rsidP="00D63204">
      <w:pPr>
        <w:widowControl w:val="0"/>
        <w:spacing w:before="183" w:after="0" w:line="240" w:lineRule="auto"/>
        <w:ind w:left="107"/>
        <w:rPr>
          <w:rFonts w:ascii="Calibri" w:hAnsi="Calibri"/>
          <w:spacing w:val="-12"/>
          <w:w w:val="105"/>
        </w:rPr>
      </w:pPr>
      <w:r w:rsidRPr="00F36FD8">
        <w:rPr>
          <w:rFonts w:ascii="Calibri" w:hAnsi="Calibri"/>
          <w:spacing w:val="-12"/>
          <w:w w:val="105"/>
        </w:rPr>
        <w:t>The Workforce Innovation and Opportunity Act (WIOA) presents VR with the opportunity to provide a wide array of services with a focus on youth</w:t>
      </w:r>
      <w:r w:rsidR="005E7C49">
        <w:rPr>
          <w:rFonts w:ascii="Calibri" w:hAnsi="Calibri"/>
          <w:spacing w:val="-12"/>
          <w:w w:val="105"/>
        </w:rPr>
        <w:t xml:space="preserve">. </w:t>
      </w:r>
      <w:r w:rsidRPr="00F36FD8">
        <w:rPr>
          <w:rFonts w:ascii="Calibri" w:hAnsi="Calibri"/>
          <w:spacing w:val="-12"/>
          <w:w w:val="105"/>
        </w:rPr>
        <w:t xml:space="preserve">Additional opportunities available include the provision of Extended Services to youth for up to four years or until 24 years of age, as funds permit. VR is </w:t>
      </w:r>
      <w:r w:rsidR="00023BD0">
        <w:rPr>
          <w:rFonts w:ascii="Calibri" w:hAnsi="Calibri"/>
          <w:spacing w:val="-12"/>
          <w:w w:val="105"/>
        </w:rPr>
        <w:t xml:space="preserve">now also </w:t>
      </w:r>
      <w:r w:rsidRPr="00F36FD8">
        <w:rPr>
          <w:rFonts w:ascii="Calibri" w:hAnsi="Calibri"/>
          <w:spacing w:val="-12"/>
          <w:w w:val="105"/>
        </w:rPr>
        <w:t>authorized to provide supported employment services up to 24 months and may extend this time period if necessary.</w:t>
      </w:r>
    </w:p>
    <w:p w14:paraId="7FD9924B" w14:textId="7E84459F" w:rsidR="00F36FD8" w:rsidRDefault="00F36FD8" w:rsidP="00D63204">
      <w:pPr>
        <w:widowControl w:val="0"/>
        <w:spacing w:before="183" w:after="0" w:line="240" w:lineRule="auto"/>
        <w:ind w:left="107"/>
        <w:rPr>
          <w:rFonts w:ascii="Calibri" w:hAnsi="Calibri"/>
          <w:spacing w:val="-12"/>
          <w:w w:val="105"/>
        </w:rPr>
      </w:pPr>
      <w:r w:rsidRPr="00F36FD8">
        <w:rPr>
          <w:rFonts w:ascii="Calibri" w:hAnsi="Calibri"/>
          <w:spacing w:val="-12"/>
          <w:w w:val="105"/>
        </w:rPr>
        <w:t xml:space="preserve">VR has increased its age range of services to include </w:t>
      </w:r>
      <w:r w:rsidR="00393615" w:rsidRPr="00F36FD8">
        <w:rPr>
          <w:rFonts w:ascii="Calibri" w:hAnsi="Calibri"/>
          <w:spacing w:val="-12"/>
          <w:w w:val="105"/>
        </w:rPr>
        <w:t>14-year</w:t>
      </w:r>
      <w:r w:rsidRPr="00F36FD8">
        <w:rPr>
          <w:rFonts w:ascii="Calibri" w:hAnsi="Calibri"/>
          <w:spacing w:val="-12"/>
          <w:w w:val="105"/>
        </w:rPr>
        <w:t xml:space="preserve"> olds</w:t>
      </w:r>
      <w:r w:rsidR="005E7C49">
        <w:rPr>
          <w:rFonts w:ascii="Calibri" w:hAnsi="Calibri"/>
          <w:spacing w:val="-12"/>
          <w:w w:val="105"/>
        </w:rPr>
        <w:t xml:space="preserve">. </w:t>
      </w:r>
      <w:r w:rsidRPr="00F36FD8">
        <w:rPr>
          <w:rFonts w:ascii="Calibri" w:hAnsi="Calibri"/>
          <w:spacing w:val="-12"/>
          <w:w w:val="105"/>
        </w:rPr>
        <w:t>VR has focused on youth services and has expanded several options designed to help youth achieve employment outcomes. These options allow youth to gain a variety of skills and exposure to multiple career options</w:t>
      </w:r>
      <w:r w:rsidR="00D5537E">
        <w:rPr>
          <w:rFonts w:ascii="Calibri" w:hAnsi="Calibri"/>
          <w:spacing w:val="-12"/>
          <w:w w:val="105"/>
        </w:rPr>
        <w:t xml:space="preserve"> and</w:t>
      </w:r>
      <w:r w:rsidRPr="00F36FD8">
        <w:rPr>
          <w:rFonts w:ascii="Calibri" w:hAnsi="Calibri"/>
          <w:spacing w:val="-12"/>
          <w:w w:val="105"/>
        </w:rPr>
        <w:t xml:space="preserve"> are designed to provide skills and direction for youth so that when they are ready for Supported Employment services they have skills and knowledge to help their efforts be successful.</w:t>
      </w:r>
    </w:p>
    <w:p w14:paraId="480FE512" w14:textId="77777777" w:rsidR="00F36FD8" w:rsidRDefault="00F36FD8">
      <w:pPr>
        <w:rPr>
          <w:rFonts w:ascii="Calibri" w:hAnsi="Calibri"/>
          <w:spacing w:val="-12"/>
          <w:w w:val="105"/>
        </w:rPr>
      </w:pPr>
      <w:r>
        <w:rPr>
          <w:rFonts w:ascii="Calibri" w:hAnsi="Calibri"/>
          <w:spacing w:val="-12"/>
          <w:w w:val="105"/>
        </w:rPr>
        <w:br w:type="page"/>
      </w:r>
    </w:p>
    <w:p w14:paraId="3251E0C2" w14:textId="77777777" w:rsidR="00F36FD8" w:rsidRPr="00F36FD8" w:rsidRDefault="00F36FD8" w:rsidP="00D63204">
      <w:pPr>
        <w:widowControl w:val="0"/>
        <w:spacing w:before="183" w:after="0" w:line="240" w:lineRule="auto"/>
        <w:ind w:left="107"/>
        <w:rPr>
          <w:rFonts w:ascii="Calibri" w:hAnsi="Calibri"/>
          <w:spacing w:val="-12"/>
          <w:w w:val="105"/>
        </w:rPr>
      </w:pPr>
    </w:p>
    <w:p w14:paraId="58CE42F4" w14:textId="77777777" w:rsidR="00F36FD8" w:rsidRPr="00F36FD8" w:rsidRDefault="00F36FD8" w:rsidP="00D63204">
      <w:pPr>
        <w:widowControl w:val="0"/>
        <w:spacing w:before="2" w:after="0" w:line="240" w:lineRule="auto"/>
        <w:ind w:left="107"/>
        <w:rPr>
          <w:rFonts w:ascii="Calibri" w:hAnsi="Calibri" w:cs="Calibri"/>
        </w:rPr>
      </w:pPr>
    </w:p>
    <w:p w14:paraId="7BEB6048" w14:textId="77777777" w:rsidR="00F36FD8" w:rsidRPr="00F36FD8" w:rsidRDefault="00F36FD8" w:rsidP="00D63204">
      <w:pPr>
        <w:widowControl w:val="0"/>
        <w:spacing w:after="0" w:line="240" w:lineRule="auto"/>
        <w:ind w:left="107"/>
        <w:outlineLvl w:val="2"/>
        <w:rPr>
          <w:rFonts w:ascii="Calibri" w:hAnsi="Calibri"/>
        </w:rPr>
      </w:pPr>
      <w:r w:rsidRPr="00F36FD8">
        <w:rPr>
          <w:rFonts w:ascii="Calibri" w:hAnsi="Calibri"/>
          <w:b/>
          <w:bCs/>
          <w:color w:val="231F20"/>
          <w:w w:val="110"/>
        </w:rPr>
        <w:t>Goal</w:t>
      </w:r>
      <w:r w:rsidRPr="00F36FD8">
        <w:rPr>
          <w:rFonts w:ascii="Calibri" w:hAnsi="Calibri"/>
          <w:b/>
          <w:bCs/>
          <w:color w:val="231F20"/>
          <w:spacing w:val="-14"/>
          <w:w w:val="110"/>
        </w:rPr>
        <w:t xml:space="preserve"> </w:t>
      </w:r>
      <w:r w:rsidRPr="00F36FD8">
        <w:rPr>
          <w:rFonts w:ascii="Calibri" w:hAnsi="Calibri"/>
          <w:b/>
          <w:bCs/>
          <w:color w:val="231F20"/>
          <w:w w:val="110"/>
        </w:rPr>
        <w:t>1:</w:t>
      </w:r>
      <w:r w:rsidRPr="00F36FD8">
        <w:rPr>
          <w:rFonts w:ascii="Calibri" w:hAnsi="Calibri"/>
          <w:b/>
          <w:bCs/>
          <w:color w:val="231F20"/>
          <w:spacing w:val="-14"/>
          <w:w w:val="110"/>
        </w:rPr>
        <w:t xml:space="preserve"> </w:t>
      </w:r>
      <w:r w:rsidRPr="00F36FD8">
        <w:rPr>
          <w:rFonts w:ascii="Calibri" w:hAnsi="Calibri"/>
          <w:b/>
          <w:bCs/>
          <w:color w:val="231F20"/>
          <w:w w:val="110"/>
        </w:rPr>
        <w:t>Increase</w:t>
      </w:r>
      <w:r w:rsidRPr="00F36FD8">
        <w:rPr>
          <w:rFonts w:ascii="Calibri" w:hAnsi="Calibri"/>
          <w:b/>
          <w:bCs/>
          <w:color w:val="231F20"/>
          <w:spacing w:val="-14"/>
          <w:w w:val="110"/>
        </w:rPr>
        <w:t xml:space="preserve"> </w:t>
      </w:r>
      <w:r w:rsidRPr="00F36FD8">
        <w:rPr>
          <w:rFonts w:ascii="Calibri" w:hAnsi="Calibri"/>
          <w:b/>
          <w:bCs/>
          <w:color w:val="231F20"/>
          <w:w w:val="110"/>
        </w:rPr>
        <w:t>the</w:t>
      </w:r>
      <w:r w:rsidRPr="00F36FD8">
        <w:rPr>
          <w:rFonts w:ascii="Calibri" w:hAnsi="Calibri"/>
          <w:b/>
          <w:bCs/>
          <w:color w:val="231F20"/>
          <w:spacing w:val="-14"/>
          <w:w w:val="110"/>
        </w:rPr>
        <w:t xml:space="preserve"> </w:t>
      </w:r>
      <w:r w:rsidRPr="00F36FD8">
        <w:rPr>
          <w:rFonts w:ascii="Calibri" w:hAnsi="Calibri"/>
          <w:b/>
          <w:bCs/>
          <w:color w:val="231F20"/>
          <w:w w:val="110"/>
        </w:rPr>
        <w:t>number</w:t>
      </w:r>
      <w:r w:rsidRPr="00F36FD8">
        <w:rPr>
          <w:rFonts w:ascii="Calibri" w:hAnsi="Calibri"/>
          <w:b/>
          <w:bCs/>
          <w:color w:val="231F20"/>
          <w:spacing w:val="-14"/>
          <w:w w:val="110"/>
        </w:rPr>
        <w:t xml:space="preserve"> </w:t>
      </w:r>
      <w:r w:rsidRPr="00F36FD8">
        <w:rPr>
          <w:rFonts w:ascii="Calibri" w:hAnsi="Calibri"/>
          <w:b/>
          <w:bCs/>
          <w:color w:val="231F20"/>
          <w:w w:val="110"/>
        </w:rPr>
        <w:t>of</w:t>
      </w:r>
      <w:r w:rsidRPr="00F36FD8">
        <w:rPr>
          <w:rFonts w:ascii="Calibri" w:hAnsi="Calibri"/>
          <w:b/>
          <w:bCs/>
          <w:color w:val="231F20"/>
          <w:spacing w:val="-14"/>
          <w:w w:val="110"/>
        </w:rPr>
        <w:t xml:space="preserve"> </w:t>
      </w:r>
      <w:r w:rsidRPr="00F36FD8">
        <w:rPr>
          <w:rFonts w:ascii="Calibri" w:hAnsi="Calibri"/>
          <w:b/>
          <w:bCs/>
          <w:color w:val="231F20"/>
          <w:w w:val="110"/>
        </w:rPr>
        <w:t>individuals</w:t>
      </w:r>
      <w:r w:rsidRPr="00F36FD8">
        <w:rPr>
          <w:rFonts w:ascii="Calibri" w:hAnsi="Calibri"/>
          <w:b/>
          <w:bCs/>
          <w:color w:val="231F20"/>
          <w:spacing w:val="-14"/>
          <w:w w:val="110"/>
        </w:rPr>
        <w:t xml:space="preserve"> </w:t>
      </w:r>
      <w:r w:rsidRPr="00F36FD8">
        <w:rPr>
          <w:rFonts w:ascii="Calibri" w:hAnsi="Calibri"/>
          <w:b/>
          <w:bCs/>
          <w:color w:val="231F20"/>
          <w:w w:val="110"/>
        </w:rPr>
        <w:t>with</w:t>
      </w:r>
      <w:r w:rsidRPr="00F36FD8">
        <w:rPr>
          <w:rFonts w:ascii="Calibri" w:hAnsi="Calibri"/>
          <w:b/>
          <w:bCs/>
          <w:color w:val="231F20"/>
          <w:spacing w:val="-14"/>
          <w:w w:val="110"/>
        </w:rPr>
        <w:t xml:space="preserve"> </w:t>
      </w:r>
      <w:r w:rsidRPr="00F36FD8">
        <w:rPr>
          <w:rFonts w:ascii="Calibri" w:hAnsi="Calibri"/>
          <w:b/>
          <w:bCs/>
          <w:color w:val="231F20"/>
          <w:w w:val="110"/>
        </w:rPr>
        <w:t>most</w:t>
      </w:r>
      <w:r w:rsidRPr="00F36FD8">
        <w:rPr>
          <w:rFonts w:ascii="Calibri" w:hAnsi="Calibri"/>
          <w:b/>
          <w:bCs/>
          <w:color w:val="231F20"/>
          <w:spacing w:val="-14"/>
          <w:w w:val="110"/>
        </w:rPr>
        <w:t xml:space="preserve"> </w:t>
      </w:r>
      <w:r w:rsidRPr="00F36FD8">
        <w:rPr>
          <w:rFonts w:ascii="Calibri" w:hAnsi="Calibri"/>
          <w:b/>
          <w:bCs/>
          <w:color w:val="231F20"/>
          <w:w w:val="110"/>
        </w:rPr>
        <w:t>significant</w:t>
      </w:r>
      <w:r w:rsidRPr="00F36FD8">
        <w:rPr>
          <w:rFonts w:ascii="Calibri" w:hAnsi="Calibri"/>
          <w:b/>
          <w:bCs/>
          <w:color w:val="231F20"/>
          <w:spacing w:val="-14"/>
          <w:w w:val="110"/>
        </w:rPr>
        <w:t xml:space="preserve"> </w:t>
      </w:r>
      <w:r w:rsidRPr="00F36FD8">
        <w:rPr>
          <w:rFonts w:ascii="Calibri" w:hAnsi="Calibri"/>
          <w:b/>
          <w:bCs/>
          <w:color w:val="231F20"/>
          <w:w w:val="110"/>
        </w:rPr>
        <w:t>disabilities</w:t>
      </w:r>
      <w:r w:rsidRPr="00F36FD8">
        <w:rPr>
          <w:rFonts w:ascii="Calibri" w:hAnsi="Calibri"/>
          <w:b/>
          <w:bCs/>
          <w:color w:val="231F20"/>
          <w:spacing w:val="-14"/>
          <w:w w:val="110"/>
        </w:rPr>
        <w:t xml:space="preserve"> </w:t>
      </w:r>
      <w:r w:rsidRPr="00F36FD8">
        <w:rPr>
          <w:rFonts w:ascii="Calibri" w:hAnsi="Calibri"/>
          <w:b/>
          <w:bCs/>
          <w:color w:val="231F20"/>
          <w:w w:val="110"/>
        </w:rPr>
        <w:t>who</w:t>
      </w:r>
      <w:r w:rsidRPr="00F36FD8">
        <w:rPr>
          <w:rFonts w:ascii="Calibri" w:hAnsi="Calibri"/>
          <w:b/>
          <w:bCs/>
          <w:color w:val="231F20"/>
          <w:spacing w:val="-14"/>
          <w:w w:val="110"/>
        </w:rPr>
        <w:t xml:space="preserve"> </w:t>
      </w:r>
      <w:r w:rsidRPr="00F36FD8">
        <w:rPr>
          <w:rFonts w:ascii="Calibri" w:hAnsi="Calibri"/>
          <w:b/>
          <w:bCs/>
          <w:color w:val="231F20"/>
          <w:w w:val="110"/>
        </w:rPr>
        <w:t>receive</w:t>
      </w:r>
      <w:r w:rsidRPr="00F36FD8">
        <w:rPr>
          <w:rFonts w:ascii="Calibri" w:hAnsi="Calibri"/>
          <w:b/>
          <w:bCs/>
          <w:color w:val="231F20"/>
          <w:spacing w:val="-14"/>
          <w:w w:val="110"/>
        </w:rPr>
        <w:t xml:space="preserve"> </w:t>
      </w:r>
      <w:r w:rsidRPr="00F36FD8">
        <w:rPr>
          <w:rFonts w:ascii="Calibri" w:hAnsi="Calibri"/>
          <w:b/>
          <w:bCs/>
          <w:color w:val="231F20"/>
          <w:w w:val="110"/>
        </w:rPr>
        <w:t>Supported</w:t>
      </w:r>
      <w:r w:rsidRPr="00F36FD8">
        <w:rPr>
          <w:rFonts w:ascii="Calibri" w:hAnsi="Calibri"/>
          <w:b/>
          <w:bCs/>
          <w:color w:val="231F20"/>
          <w:w w:val="108"/>
        </w:rPr>
        <w:t xml:space="preserve"> </w:t>
      </w:r>
      <w:r w:rsidRPr="00F36FD8">
        <w:rPr>
          <w:rFonts w:ascii="Calibri" w:hAnsi="Calibri"/>
          <w:b/>
          <w:bCs/>
          <w:color w:val="231F20"/>
          <w:w w:val="110"/>
        </w:rPr>
        <w:t>Employment</w:t>
      </w:r>
      <w:r w:rsidRPr="00F36FD8">
        <w:rPr>
          <w:rFonts w:ascii="Calibri" w:hAnsi="Calibri"/>
          <w:b/>
          <w:bCs/>
          <w:color w:val="231F20"/>
          <w:spacing w:val="-27"/>
          <w:w w:val="110"/>
        </w:rPr>
        <w:t xml:space="preserve"> </w:t>
      </w:r>
      <w:r w:rsidRPr="00F36FD8">
        <w:rPr>
          <w:rFonts w:ascii="Calibri" w:hAnsi="Calibri"/>
          <w:b/>
          <w:bCs/>
          <w:color w:val="231F20"/>
          <w:w w:val="110"/>
        </w:rPr>
        <w:t>services.</w:t>
      </w:r>
    </w:p>
    <w:p w14:paraId="0FD99B9A" w14:textId="77777777" w:rsidR="00F36FD8" w:rsidRPr="00F36FD8" w:rsidRDefault="00F36FD8" w:rsidP="00D63204">
      <w:pPr>
        <w:widowControl w:val="0"/>
        <w:spacing w:before="6" w:after="0" w:line="240" w:lineRule="auto"/>
        <w:ind w:left="107"/>
        <w:rPr>
          <w:rFonts w:ascii="Calibri" w:hAnsi="Calibri" w:cs="Calibri"/>
          <w:b/>
          <w:bCs/>
        </w:rPr>
      </w:pPr>
    </w:p>
    <w:p w14:paraId="2A3316B9" w14:textId="77777777" w:rsidR="00F36FD8" w:rsidRPr="00F36FD8" w:rsidRDefault="00F36FD8" w:rsidP="00D63204">
      <w:pPr>
        <w:widowControl w:val="0"/>
        <w:tabs>
          <w:tab w:val="left" w:pos="668"/>
        </w:tabs>
        <w:spacing w:before="2" w:after="0" w:line="240" w:lineRule="auto"/>
        <w:ind w:left="107"/>
        <w:rPr>
          <w:rFonts w:ascii="Calibri" w:hAnsi="Calibri" w:cs="Calibri"/>
          <w:b/>
          <w:color w:val="231F20"/>
        </w:rPr>
      </w:pPr>
      <w:r w:rsidRPr="00F36FD8">
        <w:rPr>
          <w:rFonts w:ascii="Calibri" w:hAnsi="Calibri"/>
          <w:b/>
          <w:color w:val="231F20"/>
          <w:w w:val="105"/>
        </w:rPr>
        <w:t>VR will:</w:t>
      </w:r>
    </w:p>
    <w:p w14:paraId="04FB7E65" w14:textId="336FDFDF" w:rsidR="00F36FD8" w:rsidRPr="00F36FD8" w:rsidRDefault="00F36FD8" w:rsidP="00D63204">
      <w:pPr>
        <w:widowControl w:val="0"/>
        <w:spacing w:before="183" w:after="0" w:line="240" w:lineRule="auto"/>
        <w:ind w:left="107"/>
        <w:rPr>
          <w:rFonts w:ascii="Calibri" w:hAnsi="Calibri"/>
          <w:spacing w:val="-12"/>
          <w:w w:val="105"/>
        </w:rPr>
      </w:pPr>
      <w:r w:rsidRPr="00F36FD8">
        <w:rPr>
          <w:rFonts w:ascii="Calibri" w:hAnsi="Calibri"/>
          <w:spacing w:val="-12"/>
          <w:w w:val="105"/>
        </w:rPr>
        <w:t>Continue to provide supported employment services on a statewide basis through Title I funds. Statewide allocation of funds allows for equal delivery of services throughout Florida. Individuals may receive supported employment services using a combination of Title I funds</w:t>
      </w:r>
      <w:r w:rsidR="00D5537E">
        <w:rPr>
          <w:rFonts w:ascii="Calibri" w:hAnsi="Calibri"/>
          <w:spacing w:val="-12"/>
          <w:w w:val="105"/>
        </w:rPr>
        <w:t xml:space="preserve"> and</w:t>
      </w:r>
      <w:r w:rsidRPr="00F36FD8">
        <w:rPr>
          <w:rFonts w:ascii="Calibri" w:hAnsi="Calibri"/>
          <w:spacing w:val="-12"/>
          <w:w w:val="105"/>
        </w:rPr>
        <w:t xml:space="preserve"> revenues generated from Social Security reimbursements, community rehabilitation partners, or other state program revenues.</w:t>
      </w:r>
    </w:p>
    <w:p w14:paraId="3F2C8B3C" w14:textId="65EC3245" w:rsidR="00F36FD8" w:rsidRPr="00F36FD8" w:rsidRDefault="00F36FD8" w:rsidP="00D63204">
      <w:pPr>
        <w:widowControl w:val="0"/>
        <w:spacing w:before="183" w:after="0" w:line="240" w:lineRule="auto"/>
        <w:ind w:left="107"/>
        <w:rPr>
          <w:rFonts w:ascii="Calibri" w:hAnsi="Calibri"/>
          <w:spacing w:val="-12"/>
          <w:w w:val="105"/>
        </w:rPr>
      </w:pPr>
      <w:r w:rsidRPr="00F36FD8">
        <w:rPr>
          <w:rFonts w:ascii="Calibri" w:hAnsi="Calibri"/>
          <w:spacing w:val="-12"/>
          <w:w w:val="105"/>
        </w:rPr>
        <w:t>Provide a variety of training and awareness programs designed to increase the awareness of supported employment as a vocational service for individuals with the most significant disabilities. VR Senior Program Consultants have increased outreach activities with a focus on state and local education partnerships</w:t>
      </w:r>
      <w:r w:rsidR="005E7C49">
        <w:rPr>
          <w:rFonts w:ascii="Calibri" w:hAnsi="Calibri"/>
          <w:spacing w:val="-12"/>
          <w:w w:val="105"/>
        </w:rPr>
        <w:t xml:space="preserve">. </w:t>
      </w:r>
      <w:r w:rsidRPr="00F36FD8">
        <w:rPr>
          <w:rFonts w:ascii="Calibri" w:hAnsi="Calibri"/>
          <w:spacing w:val="-12"/>
          <w:w w:val="105"/>
        </w:rPr>
        <w:t>The VR consultants have provided trainings with a focus on sharing information to assist youth, adults</w:t>
      </w:r>
      <w:r w:rsidR="00D5537E">
        <w:rPr>
          <w:rFonts w:ascii="Calibri" w:hAnsi="Calibri"/>
          <w:spacing w:val="-12"/>
          <w:w w:val="105"/>
        </w:rPr>
        <w:t xml:space="preserve"> and</w:t>
      </w:r>
      <w:r w:rsidRPr="00F36FD8">
        <w:rPr>
          <w:rFonts w:ascii="Calibri" w:hAnsi="Calibri"/>
          <w:spacing w:val="-12"/>
          <w:w w:val="105"/>
        </w:rPr>
        <w:t xml:space="preserve"> families in their consideration of pursuing Supported Employment Services.</w:t>
      </w:r>
    </w:p>
    <w:p w14:paraId="2AE64C86" w14:textId="77777777" w:rsidR="00F36FD8" w:rsidRPr="00F36FD8" w:rsidRDefault="00F36FD8" w:rsidP="00D63204">
      <w:pPr>
        <w:widowControl w:val="0"/>
        <w:spacing w:before="183" w:after="0" w:line="240" w:lineRule="auto"/>
        <w:ind w:left="107"/>
        <w:rPr>
          <w:rFonts w:ascii="Calibri" w:hAnsi="Calibri"/>
          <w:spacing w:val="-12"/>
          <w:w w:val="105"/>
        </w:rPr>
      </w:pPr>
      <w:r w:rsidRPr="00F36FD8">
        <w:rPr>
          <w:rFonts w:ascii="Calibri" w:hAnsi="Calibri"/>
          <w:spacing w:val="-12"/>
          <w:w w:val="105"/>
        </w:rPr>
        <w:t>Review pilot and innovative employment practices and assess the feasibility of replicating programs with successful strategies.</w:t>
      </w:r>
    </w:p>
    <w:p w14:paraId="60126E58" w14:textId="4B7D7B7A" w:rsidR="00F36FD8" w:rsidRPr="00F36FD8" w:rsidRDefault="00F36FD8" w:rsidP="00D63204">
      <w:pPr>
        <w:widowControl w:val="0"/>
        <w:spacing w:before="183" w:after="0" w:line="240" w:lineRule="auto"/>
        <w:ind w:left="107"/>
        <w:rPr>
          <w:rFonts w:ascii="Calibri" w:hAnsi="Calibri"/>
          <w:spacing w:val="-12"/>
          <w:w w:val="105"/>
        </w:rPr>
      </w:pPr>
      <w:r w:rsidRPr="00F36FD8">
        <w:rPr>
          <w:rFonts w:ascii="Calibri" w:hAnsi="Calibri"/>
          <w:spacing w:val="-12"/>
          <w:w w:val="105"/>
        </w:rPr>
        <w:t>VR has initiated Discovery Services, a person-centered planning tool</w:t>
      </w:r>
      <w:r w:rsidR="00023BD0">
        <w:rPr>
          <w:rFonts w:ascii="Calibri" w:hAnsi="Calibri"/>
          <w:spacing w:val="-12"/>
          <w:w w:val="105"/>
        </w:rPr>
        <w:t xml:space="preserve"> as a way</w:t>
      </w:r>
      <w:r w:rsidRPr="00F36FD8">
        <w:rPr>
          <w:rFonts w:ascii="Calibri" w:hAnsi="Calibri"/>
          <w:spacing w:val="-12"/>
          <w:w w:val="105"/>
        </w:rPr>
        <w:t xml:space="preserve"> </w:t>
      </w:r>
      <w:r w:rsidR="00096B5A" w:rsidRPr="00F36FD8">
        <w:rPr>
          <w:rFonts w:ascii="Calibri" w:hAnsi="Calibri"/>
          <w:spacing w:val="-12"/>
          <w:w w:val="105"/>
        </w:rPr>
        <w:t>to</w:t>
      </w:r>
      <w:r w:rsidRPr="00F36FD8">
        <w:rPr>
          <w:rFonts w:ascii="Calibri" w:hAnsi="Calibri"/>
          <w:spacing w:val="-12"/>
          <w:w w:val="105"/>
        </w:rPr>
        <w:t xml:space="preserve"> increase the number of individuals with significant and complex disabilities receiving supported employment services. Discovery provides an opportunity for individuals to move seamlessly from this </w:t>
      </w:r>
      <w:r w:rsidR="00096B5A" w:rsidRPr="00F36FD8">
        <w:rPr>
          <w:rFonts w:ascii="Calibri" w:hAnsi="Calibri"/>
          <w:spacing w:val="-12"/>
          <w:w w:val="105"/>
        </w:rPr>
        <w:t>person-centered</w:t>
      </w:r>
      <w:r w:rsidRPr="00F36FD8">
        <w:rPr>
          <w:rFonts w:ascii="Calibri" w:hAnsi="Calibri"/>
          <w:spacing w:val="-12"/>
          <w:w w:val="105"/>
        </w:rPr>
        <w:t xml:space="preserve"> assessment and planning to Supported Employment Services.</w:t>
      </w:r>
    </w:p>
    <w:p w14:paraId="3E20129D" w14:textId="77777777" w:rsidR="00F36FD8" w:rsidRPr="00F36FD8" w:rsidRDefault="00F36FD8" w:rsidP="00D63204">
      <w:pPr>
        <w:widowControl w:val="0"/>
        <w:spacing w:before="183" w:after="0" w:line="240" w:lineRule="auto"/>
        <w:ind w:left="107"/>
        <w:rPr>
          <w:rFonts w:ascii="Calibri" w:hAnsi="Calibri"/>
        </w:rPr>
      </w:pPr>
      <w:r w:rsidRPr="00F36FD8">
        <w:rPr>
          <w:rFonts w:ascii="Calibri" w:hAnsi="Calibri"/>
          <w:spacing w:val="-12"/>
          <w:w w:val="105"/>
        </w:rPr>
        <w:t>VR has initiated a Supported Employment Customized Placement Benchmark to incentives providers to work with individuals who will need more intense supports and assistance to become successfully employed. Training opportunities were developed for providers and VR staff on this customized</w:t>
      </w:r>
      <w:r w:rsidRPr="00F36FD8">
        <w:rPr>
          <w:rFonts w:ascii="Calibri" w:hAnsi="Calibri"/>
          <w:color w:val="231F20"/>
          <w:w w:val="105"/>
        </w:rPr>
        <w:t xml:space="preserve"> employment strategy.</w:t>
      </w:r>
    </w:p>
    <w:p w14:paraId="6F76F968" w14:textId="77777777" w:rsidR="00F36FD8" w:rsidRPr="00F36FD8" w:rsidRDefault="00F36FD8" w:rsidP="00D63204">
      <w:pPr>
        <w:widowControl w:val="0"/>
        <w:spacing w:before="4" w:after="0" w:line="240" w:lineRule="auto"/>
        <w:ind w:left="107"/>
        <w:rPr>
          <w:rFonts w:ascii="Calibri" w:hAnsi="Calibri" w:cs="Calibri"/>
        </w:rPr>
      </w:pPr>
    </w:p>
    <w:p w14:paraId="54169589" w14:textId="77777777" w:rsidR="00F36FD8" w:rsidRPr="00F36FD8" w:rsidRDefault="00F36FD8" w:rsidP="00D63204">
      <w:pPr>
        <w:widowControl w:val="0"/>
        <w:spacing w:before="56" w:after="0" w:line="240" w:lineRule="auto"/>
        <w:ind w:left="107"/>
        <w:outlineLvl w:val="2"/>
        <w:rPr>
          <w:rFonts w:ascii="Calibri" w:hAnsi="Calibri"/>
        </w:rPr>
      </w:pPr>
      <w:r w:rsidRPr="00F36FD8">
        <w:rPr>
          <w:rFonts w:ascii="Calibri" w:hAnsi="Calibri"/>
          <w:b/>
          <w:bCs/>
          <w:color w:val="231F20"/>
          <w:w w:val="110"/>
        </w:rPr>
        <w:t>Goal</w:t>
      </w:r>
      <w:r w:rsidRPr="00F36FD8">
        <w:rPr>
          <w:rFonts w:ascii="Calibri" w:hAnsi="Calibri"/>
          <w:b/>
          <w:bCs/>
          <w:color w:val="231F20"/>
          <w:spacing w:val="-11"/>
          <w:w w:val="110"/>
        </w:rPr>
        <w:t xml:space="preserve"> </w:t>
      </w:r>
      <w:r w:rsidRPr="00F36FD8">
        <w:rPr>
          <w:rFonts w:ascii="Calibri" w:hAnsi="Calibri"/>
          <w:b/>
          <w:bCs/>
          <w:color w:val="231F20"/>
          <w:w w:val="110"/>
        </w:rPr>
        <w:t>2:</w:t>
      </w:r>
      <w:r w:rsidRPr="00F36FD8">
        <w:rPr>
          <w:rFonts w:ascii="Calibri" w:hAnsi="Calibri"/>
          <w:b/>
          <w:bCs/>
          <w:color w:val="231F20"/>
          <w:spacing w:val="-11"/>
          <w:w w:val="110"/>
        </w:rPr>
        <w:t xml:space="preserve"> </w:t>
      </w:r>
      <w:r w:rsidRPr="00F36FD8">
        <w:rPr>
          <w:rFonts w:ascii="Calibri" w:hAnsi="Calibri"/>
          <w:b/>
          <w:bCs/>
          <w:color w:val="231F20"/>
          <w:w w:val="110"/>
        </w:rPr>
        <w:t>Use</w:t>
      </w:r>
      <w:r w:rsidRPr="00F36FD8">
        <w:rPr>
          <w:rFonts w:ascii="Calibri" w:hAnsi="Calibri"/>
          <w:b/>
          <w:bCs/>
          <w:color w:val="231F20"/>
          <w:spacing w:val="-11"/>
          <w:w w:val="110"/>
        </w:rPr>
        <w:t xml:space="preserve"> </w:t>
      </w:r>
      <w:r w:rsidRPr="00F36FD8">
        <w:rPr>
          <w:rFonts w:ascii="Calibri" w:hAnsi="Calibri"/>
          <w:b/>
          <w:bCs/>
          <w:color w:val="231F20"/>
          <w:w w:val="110"/>
        </w:rPr>
        <w:t>Title</w:t>
      </w:r>
      <w:r w:rsidRPr="00F36FD8">
        <w:rPr>
          <w:rFonts w:ascii="Calibri" w:hAnsi="Calibri"/>
          <w:b/>
          <w:bCs/>
          <w:color w:val="231F20"/>
          <w:spacing w:val="-11"/>
          <w:w w:val="110"/>
        </w:rPr>
        <w:t xml:space="preserve"> </w:t>
      </w:r>
      <w:r w:rsidRPr="00F36FD8">
        <w:rPr>
          <w:rFonts w:ascii="Calibri" w:hAnsi="Calibri"/>
          <w:b/>
          <w:bCs/>
          <w:color w:val="231F20"/>
          <w:w w:val="110"/>
        </w:rPr>
        <w:t>I funds</w:t>
      </w:r>
      <w:r w:rsidRPr="00F36FD8">
        <w:rPr>
          <w:rFonts w:ascii="Calibri" w:hAnsi="Calibri"/>
          <w:b/>
          <w:bCs/>
          <w:color w:val="231F20"/>
          <w:spacing w:val="-11"/>
          <w:w w:val="110"/>
        </w:rPr>
        <w:t xml:space="preserve"> </w:t>
      </w:r>
      <w:r w:rsidRPr="00F36FD8">
        <w:rPr>
          <w:rFonts w:ascii="Calibri" w:hAnsi="Calibri"/>
          <w:b/>
          <w:bCs/>
          <w:color w:val="231F20"/>
          <w:w w:val="110"/>
        </w:rPr>
        <w:t>for Supported Employment services</w:t>
      </w:r>
      <w:r w:rsidRPr="00F36FD8">
        <w:rPr>
          <w:rFonts w:ascii="Calibri" w:hAnsi="Calibri"/>
          <w:b/>
          <w:bCs/>
          <w:color w:val="231F20"/>
          <w:spacing w:val="-11"/>
          <w:w w:val="110"/>
        </w:rPr>
        <w:t xml:space="preserve"> </w:t>
      </w:r>
      <w:r w:rsidRPr="00F36FD8">
        <w:rPr>
          <w:rFonts w:ascii="Calibri" w:hAnsi="Calibri"/>
          <w:b/>
          <w:bCs/>
          <w:color w:val="231F20"/>
          <w:w w:val="110"/>
        </w:rPr>
        <w:t>to</w:t>
      </w:r>
      <w:r w:rsidRPr="00F36FD8">
        <w:rPr>
          <w:rFonts w:ascii="Calibri" w:hAnsi="Calibri"/>
          <w:b/>
          <w:bCs/>
          <w:color w:val="231F20"/>
          <w:spacing w:val="-11"/>
          <w:w w:val="110"/>
        </w:rPr>
        <w:t xml:space="preserve"> </w:t>
      </w:r>
      <w:r w:rsidRPr="00F36FD8">
        <w:rPr>
          <w:rFonts w:ascii="Calibri" w:hAnsi="Calibri"/>
          <w:b/>
          <w:bCs/>
          <w:color w:val="231F20"/>
          <w:w w:val="110"/>
        </w:rPr>
        <w:t>achieve</w:t>
      </w:r>
      <w:r w:rsidRPr="00F36FD8">
        <w:rPr>
          <w:rFonts w:ascii="Calibri" w:hAnsi="Calibri"/>
          <w:b/>
          <w:bCs/>
          <w:color w:val="231F20"/>
          <w:spacing w:val="-11"/>
          <w:w w:val="110"/>
        </w:rPr>
        <w:t xml:space="preserve"> </w:t>
      </w:r>
      <w:r w:rsidRPr="00F36FD8">
        <w:rPr>
          <w:rFonts w:ascii="Calibri" w:hAnsi="Calibri"/>
          <w:b/>
          <w:bCs/>
          <w:color w:val="231F20"/>
          <w:w w:val="110"/>
        </w:rPr>
        <w:t>the</w:t>
      </w:r>
      <w:r w:rsidRPr="00F36FD8">
        <w:rPr>
          <w:rFonts w:ascii="Calibri" w:hAnsi="Calibri"/>
          <w:b/>
          <w:bCs/>
          <w:color w:val="231F20"/>
          <w:spacing w:val="-11"/>
          <w:w w:val="110"/>
        </w:rPr>
        <w:t xml:space="preserve"> </w:t>
      </w:r>
      <w:r w:rsidRPr="00F36FD8">
        <w:rPr>
          <w:rFonts w:ascii="Calibri" w:hAnsi="Calibri"/>
          <w:b/>
          <w:bCs/>
          <w:color w:val="231F20"/>
          <w:w w:val="110"/>
        </w:rPr>
        <w:t>maximum</w:t>
      </w:r>
      <w:r w:rsidRPr="00F36FD8">
        <w:rPr>
          <w:rFonts w:ascii="Calibri" w:hAnsi="Calibri"/>
          <w:b/>
          <w:bCs/>
          <w:color w:val="231F20"/>
          <w:spacing w:val="-11"/>
          <w:w w:val="110"/>
        </w:rPr>
        <w:t xml:space="preserve"> </w:t>
      </w:r>
      <w:r w:rsidRPr="00F36FD8">
        <w:rPr>
          <w:rFonts w:ascii="Calibri" w:hAnsi="Calibri"/>
          <w:b/>
          <w:bCs/>
          <w:color w:val="231F20"/>
          <w:w w:val="110"/>
        </w:rPr>
        <w:t>number</w:t>
      </w:r>
      <w:r w:rsidRPr="00F36FD8">
        <w:rPr>
          <w:rFonts w:ascii="Calibri" w:hAnsi="Calibri"/>
          <w:b/>
          <w:bCs/>
          <w:color w:val="231F20"/>
          <w:spacing w:val="-11"/>
          <w:w w:val="110"/>
        </w:rPr>
        <w:t xml:space="preserve"> </w:t>
      </w:r>
      <w:r w:rsidRPr="00F36FD8">
        <w:rPr>
          <w:rFonts w:ascii="Calibri" w:hAnsi="Calibri"/>
          <w:b/>
          <w:bCs/>
          <w:color w:val="231F20"/>
          <w:w w:val="110"/>
        </w:rPr>
        <w:t>of</w:t>
      </w:r>
      <w:r w:rsidRPr="00F36FD8">
        <w:rPr>
          <w:rFonts w:ascii="Calibri" w:hAnsi="Calibri"/>
          <w:b/>
          <w:bCs/>
          <w:color w:val="231F20"/>
          <w:spacing w:val="-11"/>
          <w:w w:val="110"/>
        </w:rPr>
        <w:t xml:space="preserve"> </w:t>
      </w:r>
      <w:r w:rsidRPr="00F36FD8">
        <w:rPr>
          <w:rFonts w:ascii="Calibri" w:hAnsi="Calibri"/>
          <w:b/>
          <w:bCs/>
          <w:color w:val="231F20"/>
          <w:w w:val="110"/>
        </w:rPr>
        <w:t>quality</w:t>
      </w:r>
      <w:r w:rsidRPr="00F36FD8">
        <w:rPr>
          <w:rFonts w:ascii="Calibri" w:hAnsi="Calibri"/>
          <w:b/>
          <w:bCs/>
          <w:color w:val="231F20"/>
          <w:spacing w:val="-11"/>
          <w:w w:val="110"/>
        </w:rPr>
        <w:t xml:space="preserve"> </w:t>
      </w:r>
      <w:r w:rsidRPr="00F36FD8">
        <w:rPr>
          <w:rFonts w:ascii="Calibri" w:hAnsi="Calibri"/>
          <w:b/>
          <w:bCs/>
          <w:color w:val="231F20"/>
          <w:w w:val="110"/>
        </w:rPr>
        <w:t>employment</w:t>
      </w:r>
      <w:r w:rsidRPr="00F36FD8">
        <w:rPr>
          <w:rFonts w:ascii="Calibri" w:hAnsi="Calibri"/>
          <w:b/>
          <w:bCs/>
          <w:color w:val="231F20"/>
          <w:spacing w:val="-11"/>
          <w:w w:val="110"/>
        </w:rPr>
        <w:t xml:space="preserve"> </w:t>
      </w:r>
      <w:r w:rsidRPr="00F36FD8">
        <w:rPr>
          <w:rFonts w:ascii="Calibri" w:hAnsi="Calibri"/>
          <w:b/>
          <w:bCs/>
          <w:color w:val="231F20"/>
          <w:w w:val="110"/>
        </w:rPr>
        <w:t>outcomes</w:t>
      </w:r>
      <w:r w:rsidRPr="00F36FD8">
        <w:rPr>
          <w:rFonts w:ascii="Calibri" w:hAnsi="Calibri"/>
          <w:b/>
          <w:bCs/>
          <w:color w:val="231F20"/>
          <w:spacing w:val="-11"/>
          <w:w w:val="110"/>
        </w:rPr>
        <w:t xml:space="preserve"> </w:t>
      </w:r>
      <w:r w:rsidRPr="00F36FD8">
        <w:rPr>
          <w:rFonts w:ascii="Calibri" w:hAnsi="Calibri"/>
          <w:b/>
          <w:bCs/>
          <w:color w:val="231F20"/>
          <w:w w:val="110"/>
        </w:rPr>
        <w:t>for</w:t>
      </w:r>
      <w:r w:rsidRPr="00F36FD8">
        <w:rPr>
          <w:rFonts w:ascii="Calibri" w:hAnsi="Calibri"/>
          <w:b/>
          <w:bCs/>
          <w:color w:val="231F20"/>
          <w:w w:val="104"/>
        </w:rPr>
        <w:t xml:space="preserve"> </w:t>
      </w:r>
      <w:r w:rsidRPr="00F36FD8">
        <w:rPr>
          <w:rFonts w:ascii="Calibri" w:hAnsi="Calibri"/>
          <w:b/>
          <w:bCs/>
          <w:color w:val="231F20"/>
          <w:w w:val="110"/>
        </w:rPr>
        <w:t>individuals</w:t>
      </w:r>
      <w:r w:rsidRPr="00F36FD8">
        <w:rPr>
          <w:rFonts w:ascii="Calibri" w:hAnsi="Calibri"/>
          <w:b/>
          <w:bCs/>
          <w:color w:val="231F20"/>
          <w:spacing w:val="-19"/>
          <w:w w:val="110"/>
        </w:rPr>
        <w:t xml:space="preserve"> </w:t>
      </w:r>
      <w:r w:rsidRPr="00F36FD8">
        <w:rPr>
          <w:rFonts w:ascii="Calibri" w:hAnsi="Calibri"/>
          <w:b/>
          <w:bCs/>
          <w:color w:val="231F20"/>
          <w:w w:val="110"/>
        </w:rPr>
        <w:t>with</w:t>
      </w:r>
      <w:r w:rsidRPr="00F36FD8">
        <w:rPr>
          <w:rFonts w:ascii="Calibri" w:hAnsi="Calibri"/>
          <w:b/>
          <w:bCs/>
          <w:color w:val="231F20"/>
          <w:spacing w:val="-19"/>
          <w:w w:val="110"/>
        </w:rPr>
        <w:t xml:space="preserve"> </w:t>
      </w:r>
      <w:r w:rsidRPr="00F36FD8">
        <w:rPr>
          <w:rFonts w:ascii="Calibri" w:hAnsi="Calibri"/>
          <w:b/>
          <w:bCs/>
          <w:color w:val="231F20"/>
          <w:w w:val="110"/>
        </w:rPr>
        <w:t>most</w:t>
      </w:r>
      <w:r w:rsidRPr="00F36FD8">
        <w:rPr>
          <w:rFonts w:ascii="Calibri" w:hAnsi="Calibri"/>
          <w:b/>
          <w:bCs/>
          <w:color w:val="231F20"/>
          <w:spacing w:val="-19"/>
          <w:w w:val="110"/>
        </w:rPr>
        <w:t xml:space="preserve"> </w:t>
      </w:r>
      <w:r w:rsidRPr="00F36FD8">
        <w:rPr>
          <w:rFonts w:ascii="Calibri" w:hAnsi="Calibri"/>
          <w:b/>
          <w:bCs/>
          <w:color w:val="231F20"/>
          <w:w w:val="110"/>
        </w:rPr>
        <w:t>significant</w:t>
      </w:r>
      <w:r w:rsidRPr="00F36FD8">
        <w:rPr>
          <w:rFonts w:ascii="Calibri" w:hAnsi="Calibri"/>
          <w:b/>
          <w:bCs/>
          <w:color w:val="231F20"/>
          <w:spacing w:val="-19"/>
          <w:w w:val="110"/>
        </w:rPr>
        <w:t xml:space="preserve"> </w:t>
      </w:r>
      <w:r w:rsidRPr="00F36FD8">
        <w:rPr>
          <w:rFonts w:ascii="Calibri" w:hAnsi="Calibri"/>
          <w:b/>
          <w:bCs/>
          <w:color w:val="231F20"/>
          <w:w w:val="110"/>
        </w:rPr>
        <w:t>disabilities with a focus on youth.</w:t>
      </w:r>
    </w:p>
    <w:p w14:paraId="01739951" w14:textId="77777777" w:rsidR="00F36FD8" w:rsidRPr="00F36FD8" w:rsidRDefault="00F36FD8" w:rsidP="00D63204">
      <w:pPr>
        <w:widowControl w:val="0"/>
        <w:spacing w:before="6" w:after="0" w:line="240" w:lineRule="auto"/>
        <w:ind w:left="107"/>
        <w:rPr>
          <w:rFonts w:ascii="Calibri" w:hAnsi="Calibri" w:cs="Calibri"/>
          <w:b/>
          <w:bCs/>
        </w:rPr>
      </w:pPr>
    </w:p>
    <w:p w14:paraId="4ACD6528" w14:textId="71602B81" w:rsidR="00F36FD8" w:rsidRPr="00F36FD8" w:rsidRDefault="00F36FD8" w:rsidP="00D63204">
      <w:pPr>
        <w:pStyle w:val="ListParagraph"/>
        <w:widowControl w:val="0"/>
        <w:numPr>
          <w:ilvl w:val="0"/>
          <w:numId w:val="135"/>
        </w:numPr>
        <w:spacing w:before="2" w:after="0" w:line="240" w:lineRule="auto"/>
        <w:rPr>
          <w:rFonts w:ascii="Calibri" w:hAnsi="Calibri" w:cs="Calibri"/>
          <w:color w:val="231F20"/>
        </w:rPr>
      </w:pPr>
      <w:r w:rsidRPr="00F36FD8">
        <w:rPr>
          <w:rFonts w:ascii="Calibri" w:hAnsi="Calibri"/>
          <w:color w:val="231F20"/>
          <w:w w:val="105"/>
        </w:rPr>
        <w:t>Use Title I funds to provide supported</w:t>
      </w:r>
      <w:r w:rsidRPr="00F36FD8">
        <w:rPr>
          <w:rFonts w:ascii="Calibri" w:hAnsi="Calibri"/>
          <w:color w:val="231F20"/>
          <w:spacing w:val="24"/>
          <w:w w:val="105"/>
        </w:rPr>
        <w:t xml:space="preserve"> </w:t>
      </w:r>
      <w:r w:rsidRPr="00F36FD8">
        <w:rPr>
          <w:rFonts w:ascii="Calibri" w:hAnsi="Calibri"/>
          <w:color w:val="231F20"/>
          <w:w w:val="105"/>
        </w:rPr>
        <w:t>employment</w:t>
      </w:r>
      <w:r w:rsidRPr="00F36FD8">
        <w:rPr>
          <w:rFonts w:ascii="Calibri" w:hAnsi="Calibri"/>
          <w:color w:val="231F20"/>
          <w:w w:val="104"/>
        </w:rPr>
        <w:t xml:space="preserve"> </w:t>
      </w:r>
      <w:r w:rsidRPr="00F36FD8">
        <w:rPr>
          <w:rFonts w:ascii="Calibri" w:hAnsi="Calibri"/>
          <w:color w:val="231F20"/>
          <w:w w:val="105"/>
        </w:rPr>
        <w:t>services as specified in the Individualized Plan for</w:t>
      </w:r>
      <w:r w:rsidRPr="00F36FD8">
        <w:rPr>
          <w:rFonts w:ascii="Calibri" w:hAnsi="Calibri"/>
          <w:color w:val="231F20"/>
          <w:spacing w:val="51"/>
          <w:w w:val="105"/>
        </w:rPr>
        <w:t xml:space="preserve"> </w:t>
      </w:r>
      <w:r w:rsidRPr="00F36FD8">
        <w:rPr>
          <w:rFonts w:ascii="Calibri" w:hAnsi="Calibri"/>
          <w:color w:val="231F20"/>
          <w:w w:val="105"/>
        </w:rPr>
        <w:t>Employment for youth.</w:t>
      </w:r>
    </w:p>
    <w:p w14:paraId="1171E528" w14:textId="77777777" w:rsidR="00F36FD8" w:rsidRPr="00F36FD8" w:rsidRDefault="00F36FD8" w:rsidP="00D63204">
      <w:pPr>
        <w:pStyle w:val="ListParagraph"/>
        <w:widowControl w:val="0"/>
        <w:spacing w:before="2" w:after="0" w:line="240" w:lineRule="auto"/>
        <w:ind w:left="827"/>
        <w:rPr>
          <w:rFonts w:ascii="Calibri" w:hAnsi="Calibri" w:cs="Calibri"/>
          <w:color w:val="231F20"/>
        </w:rPr>
      </w:pPr>
    </w:p>
    <w:p w14:paraId="44AE9A3B" w14:textId="4C349BAF" w:rsidR="00F36FD8" w:rsidRDefault="00F36FD8" w:rsidP="00D63204">
      <w:pPr>
        <w:pStyle w:val="ListParagraph"/>
        <w:widowControl w:val="0"/>
        <w:numPr>
          <w:ilvl w:val="0"/>
          <w:numId w:val="135"/>
        </w:numPr>
        <w:spacing w:before="2" w:after="0" w:line="240" w:lineRule="auto"/>
        <w:rPr>
          <w:rFonts w:ascii="Calibri" w:hAnsi="Calibri"/>
          <w:color w:val="231F20"/>
          <w:w w:val="105"/>
        </w:rPr>
      </w:pPr>
      <w:r w:rsidRPr="00F36FD8">
        <w:rPr>
          <w:rFonts w:ascii="Calibri" w:hAnsi="Calibri"/>
          <w:color w:val="231F20"/>
          <w:w w:val="105"/>
        </w:rPr>
        <w:t>Purchase supported employment services based upon established performance benchmarks. The contract for supported employment focuses on performance and reinforces the focus on successful outcomes for individuals served.</w:t>
      </w:r>
    </w:p>
    <w:p w14:paraId="1AEAF5DB" w14:textId="77777777" w:rsidR="00F36FD8" w:rsidRPr="00F36FD8" w:rsidRDefault="00F36FD8" w:rsidP="00F36FD8">
      <w:pPr>
        <w:pStyle w:val="ListParagraph"/>
        <w:rPr>
          <w:rFonts w:ascii="Calibri" w:hAnsi="Calibri"/>
          <w:color w:val="231F20"/>
          <w:w w:val="105"/>
        </w:rPr>
      </w:pPr>
    </w:p>
    <w:p w14:paraId="795FA18C" w14:textId="5129AF7B" w:rsidR="00F36FD8" w:rsidRDefault="00F36FD8" w:rsidP="00D63204">
      <w:pPr>
        <w:pStyle w:val="ListParagraph"/>
        <w:widowControl w:val="0"/>
        <w:numPr>
          <w:ilvl w:val="0"/>
          <w:numId w:val="135"/>
        </w:numPr>
        <w:spacing w:before="2" w:after="0" w:line="240" w:lineRule="auto"/>
        <w:rPr>
          <w:rFonts w:ascii="Calibri" w:hAnsi="Calibri"/>
          <w:color w:val="231F20"/>
          <w:w w:val="105"/>
        </w:rPr>
      </w:pPr>
      <w:r w:rsidRPr="00F36FD8">
        <w:rPr>
          <w:rFonts w:ascii="Calibri" w:hAnsi="Calibri"/>
          <w:color w:val="231F20"/>
          <w:w w:val="105"/>
        </w:rPr>
        <w:t>Funds may</w:t>
      </w:r>
      <w:r w:rsidR="00023BD0">
        <w:rPr>
          <w:rFonts w:ascii="Calibri" w:hAnsi="Calibri"/>
          <w:color w:val="231F20"/>
          <w:w w:val="105"/>
        </w:rPr>
        <w:t xml:space="preserve"> also</w:t>
      </w:r>
      <w:r w:rsidRPr="00F36FD8">
        <w:rPr>
          <w:rFonts w:ascii="Calibri" w:hAnsi="Calibri"/>
          <w:color w:val="231F20"/>
          <w:w w:val="105"/>
        </w:rPr>
        <w:t xml:space="preserve"> be used for related customized employment strategies of Supported </w:t>
      </w:r>
      <w:r w:rsidR="00240694" w:rsidRPr="00F36FD8">
        <w:rPr>
          <w:rFonts w:ascii="Calibri" w:hAnsi="Calibri"/>
          <w:color w:val="231F20"/>
          <w:w w:val="105"/>
        </w:rPr>
        <w:t>Self-Employment</w:t>
      </w:r>
      <w:r w:rsidRPr="00F36FD8">
        <w:rPr>
          <w:rFonts w:ascii="Calibri" w:hAnsi="Calibri"/>
          <w:color w:val="231F20"/>
          <w:w w:val="105"/>
        </w:rPr>
        <w:t xml:space="preserve"> </w:t>
      </w:r>
      <w:r w:rsidR="00023BD0">
        <w:rPr>
          <w:rFonts w:ascii="Calibri" w:hAnsi="Calibri"/>
          <w:color w:val="231F20"/>
          <w:w w:val="105"/>
        </w:rPr>
        <w:t>s</w:t>
      </w:r>
      <w:r w:rsidRPr="00F36FD8">
        <w:rPr>
          <w:rFonts w:ascii="Calibri" w:hAnsi="Calibri"/>
          <w:color w:val="231F20"/>
          <w:w w:val="105"/>
        </w:rPr>
        <w:t>ervices</w:t>
      </w:r>
    </w:p>
    <w:p w14:paraId="0DD8E5A3" w14:textId="77777777" w:rsidR="00F36FD8" w:rsidRPr="00F36FD8" w:rsidRDefault="00F36FD8" w:rsidP="00D63204">
      <w:pPr>
        <w:pStyle w:val="ListParagraph"/>
        <w:widowControl w:val="0"/>
        <w:spacing w:before="2" w:after="0" w:line="240" w:lineRule="auto"/>
        <w:ind w:left="827"/>
        <w:rPr>
          <w:rFonts w:ascii="Calibri" w:hAnsi="Calibri"/>
          <w:color w:val="231F20"/>
          <w:w w:val="105"/>
        </w:rPr>
      </w:pPr>
    </w:p>
    <w:p w14:paraId="64C56913" w14:textId="6916290B" w:rsidR="00F36FD8" w:rsidRDefault="00F36FD8" w:rsidP="00D63204">
      <w:pPr>
        <w:pStyle w:val="ListParagraph"/>
        <w:widowControl w:val="0"/>
        <w:numPr>
          <w:ilvl w:val="0"/>
          <w:numId w:val="135"/>
        </w:numPr>
        <w:spacing w:before="2" w:after="0" w:line="240" w:lineRule="auto"/>
        <w:rPr>
          <w:rFonts w:ascii="Calibri" w:hAnsi="Calibri"/>
          <w:color w:val="231F20"/>
          <w:w w:val="105"/>
        </w:rPr>
      </w:pPr>
      <w:r w:rsidRPr="00F36FD8">
        <w:rPr>
          <w:rFonts w:ascii="Calibri" w:hAnsi="Calibri"/>
          <w:color w:val="231F20"/>
          <w:w w:val="105"/>
        </w:rPr>
        <w:t>Provide up to four years of extended services for youth 24 and under when appropriate</w:t>
      </w:r>
    </w:p>
    <w:p w14:paraId="12317120" w14:textId="77777777" w:rsidR="00F36FD8" w:rsidRPr="00F36FD8" w:rsidRDefault="00F36FD8" w:rsidP="00D63204">
      <w:pPr>
        <w:pStyle w:val="ListParagraph"/>
        <w:widowControl w:val="0"/>
        <w:spacing w:before="2" w:after="0" w:line="240" w:lineRule="auto"/>
        <w:ind w:left="827"/>
        <w:rPr>
          <w:rFonts w:ascii="Calibri" w:hAnsi="Calibri"/>
          <w:color w:val="231F20"/>
          <w:w w:val="105"/>
        </w:rPr>
      </w:pPr>
    </w:p>
    <w:p w14:paraId="045CE96E" w14:textId="5DA12EAE" w:rsidR="00F36FD8" w:rsidRDefault="00F36FD8" w:rsidP="00D63204">
      <w:pPr>
        <w:pStyle w:val="ListParagraph"/>
        <w:widowControl w:val="0"/>
        <w:numPr>
          <w:ilvl w:val="0"/>
          <w:numId w:val="135"/>
        </w:numPr>
        <w:spacing w:before="2" w:after="0" w:line="240" w:lineRule="auto"/>
        <w:rPr>
          <w:rFonts w:ascii="Calibri" w:hAnsi="Calibri"/>
          <w:color w:val="231F20"/>
          <w:w w:val="105"/>
        </w:rPr>
      </w:pPr>
      <w:r w:rsidRPr="00F36FD8">
        <w:rPr>
          <w:rFonts w:ascii="Calibri" w:hAnsi="Calibri"/>
          <w:color w:val="231F20"/>
          <w:w w:val="105"/>
        </w:rPr>
        <w:t>VR Consultants have provided extensive outreach to educators, community providers, individuals, families, community partners, VR staff to promote Supported Employment as an opportunity for youth to become successful in becoming employed and developing a career path.</w:t>
      </w:r>
    </w:p>
    <w:p w14:paraId="0B88B017" w14:textId="77777777" w:rsidR="00F36FD8" w:rsidRPr="00F36FD8" w:rsidRDefault="00F36FD8" w:rsidP="00D63204">
      <w:pPr>
        <w:pStyle w:val="ListParagraph"/>
        <w:widowControl w:val="0"/>
        <w:spacing w:before="2" w:after="0" w:line="240" w:lineRule="auto"/>
        <w:ind w:left="827"/>
        <w:rPr>
          <w:rFonts w:ascii="Calibri" w:hAnsi="Calibri"/>
          <w:color w:val="231F20"/>
          <w:w w:val="105"/>
        </w:rPr>
      </w:pPr>
    </w:p>
    <w:p w14:paraId="7B73C72C" w14:textId="5EF9BB3E" w:rsidR="00F36FD8" w:rsidRDefault="00F36FD8" w:rsidP="00D63204">
      <w:pPr>
        <w:pStyle w:val="ListParagraph"/>
        <w:widowControl w:val="0"/>
        <w:numPr>
          <w:ilvl w:val="0"/>
          <w:numId w:val="135"/>
        </w:numPr>
        <w:spacing w:before="2" w:after="0" w:line="240" w:lineRule="auto"/>
        <w:rPr>
          <w:rFonts w:ascii="Calibri" w:hAnsi="Calibri"/>
          <w:color w:val="231F20"/>
          <w:w w:val="105"/>
        </w:rPr>
      </w:pPr>
      <w:r w:rsidRPr="00F36FD8">
        <w:rPr>
          <w:rFonts w:ascii="Calibri" w:hAnsi="Calibri"/>
          <w:color w:val="231F20"/>
          <w:w w:val="105"/>
        </w:rPr>
        <w:t>VR works closely with the Statewide Employment First Interagency Committee</w:t>
      </w:r>
      <w:r w:rsidR="005E7C49">
        <w:rPr>
          <w:rFonts w:ascii="Calibri" w:hAnsi="Calibri"/>
          <w:color w:val="231F20"/>
          <w:w w:val="105"/>
        </w:rPr>
        <w:t xml:space="preserve">. </w:t>
      </w:r>
      <w:r w:rsidRPr="00F36FD8">
        <w:rPr>
          <w:rFonts w:ascii="Calibri" w:hAnsi="Calibri"/>
          <w:color w:val="231F20"/>
          <w:w w:val="105"/>
        </w:rPr>
        <w:t>This group focuses on promoting competitive integrated employment as a first choice for youth and adults with disabilities in Florida</w:t>
      </w:r>
      <w:r w:rsidR="005E7C49">
        <w:rPr>
          <w:rFonts w:ascii="Calibri" w:hAnsi="Calibri"/>
          <w:color w:val="231F20"/>
          <w:w w:val="105"/>
        </w:rPr>
        <w:t xml:space="preserve">. </w:t>
      </w:r>
    </w:p>
    <w:p w14:paraId="56A96C28" w14:textId="77777777" w:rsidR="00F36FD8" w:rsidRPr="00F36FD8" w:rsidRDefault="00F36FD8" w:rsidP="00F36FD8">
      <w:pPr>
        <w:pStyle w:val="ListParagraph"/>
        <w:rPr>
          <w:rFonts w:ascii="Calibri" w:hAnsi="Calibri"/>
          <w:color w:val="231F20"/>
          <w:w w:val="105"/>
        </w:rPr>
      </w:pPr>
    </w:p>
    <w:p w14:paraId="37B8E130" w14:textId="77777777" w:rsidR="00F36FD8" w:rsidRPr="00F36FD8" w:rsidRDefault="00F36FD8" w:rsidP="00D63204">
      <w:pPr>
        <w:pStyle w:val="ListParagraph"/>
        <w:widowControl w:val="0"/>
        <w:spacing w:before="2" w:after="0" w:line="240" w:lineRule="auto"/>
        <w:ind w:left="827"/>
        <w:rPr>
          <w:rFonts w:ascii="Calibri" w:hAnsi="Calibri"/>
          <w:color w:val="231F20"/>
          <w:w w:val="105"/>
        </w:rPr>
      </w:pPr>
    </w:p>
    <w:p w14:paraId="23ACD541" w14:textId="7430FA57" w:rsidR="00F36FD8" w:rsidRDefault="00F36FD8" w:rsidP="00D63204">
      <w:pPr>
        <w:pStyle w:val="ListParagraph"/>
        <w:widowControl w:val="0"/>
        <w:numPr>
          <w:ilvl w:val="0"/>
          <w:numId w:val="135"/>
        </w:numPr>
        <w:spacing w:before="2" w:after="0" w:line="240" w:lineRule="auto"/>
        <w:rPr>
          <w:rFonts w:ascii="Calibri" w:hAnsi="Calibri"/>
          <w:color w:val="231F20"/>
          <w:w w:val="105"/>
        </w:rPr>
      </w:pPr>
      <w:r w:rsidRPr="00F36FD8">
        <w:rPr>
          <w:rFonts w:ascii="Calibri" w:hAnsi="Calibri"/>
          <w:color w:val="231F20"/>
          <w:w w:val="105"/>
        </w:rPr>
        <w:t>The Program Development and Assistance Bureau provides technical assistance and support to a wide variety of stakeholders.</w:t>
      </w:r>
    </w:p>
    <w:p w14:paraId="1600E481" w14:textId="77777777" w:rsidR="00F36FD8" w:rsidRPr="00F36FD8" w:rsidRDefault="00F36FD8" w:rsidP="00D63204">
      <w:pPr>
        <w:pStyle w:val="ListParagraph"/>
        <w:widowControl w:val="0"/>
        <w:spacing w:before="2" w:after="0" w:line="240" w:lineRule="auto"/>
        <w:ind w:left="827"/>
        <w:rPr>
          <w:rFonts w:ascii="Calibri" w:hAnsi="Calibri"/>
          <w:color w:val="231F20"/>
          <w:w w:val="105"/>
        </w:rPr>
      </w:pPr>
    </w:p>
    <w:p w14:paraId="387DD23D" w14:textId="31516D1D" w:rsidR="00F36FD8" w:rsidRPr="00F36FD8" w:rsidRDefault="00F36FD8" w:rsidP="00D63204">
      <w:pPr>
        <w:pStyle w:val="ListParagraph"/>
        <w:widowControl w:val="0"/>
        <w:numPr>
          <w:ilvl w:val="0"/>
          <w:numId w:val="135"/>
        </w:numPr>
        <w:spacing w:before="2" w:after="0" w:line="240" w:lineRule="auto"/>
        <w:rPr>
          <w:rFonts w:ascii="Calibri" w:hAnsi="Calibri"/>
          <w:color w:val="231F20"/>
          <w:w w:val="105"/>
        </w:rPr>
      </w:pPr>
      <w:r w:rsidRPr="00F36FD8">
        <w:rPr>
          <w:rFonts w:ascii="Calibri" w:hAnsi="Calibri"/>
          <w:color w:val="231F20"/>
          <w:w w:val="105"/>
        </w:rPr>
        <w:t>VR has provided youth receiving subminimum wage employment training opportunities to encourage their consideration of competitive integrated employment opportunities</w:t>
      </w:r>
      <w:r w:rsidR="005E7C49">
        <w:rPr>
          <w:rFonts w:ascii="Calibri" w:hAnsi="Calibri"/>
          <w:color w:val="231F20"/>
          <w:w w:val="105"/>
        </w:rPr>
        <w:t xml:space="preserve">. </w:t>
      </w:r>
      <w:r w:rsidR="00E5294F">
        <w:rPr>
          <w:rFonts w:ascii="Calibri" w:hAnsi="Calibri"/>
          <w:color w:val="231F20"/>
          <w:w w:val="105"/>
        </w:rPr>
        <w:t xml:space="preserve">VR offers </w:t>
      </w:r>
      <w:r w:rsidRPr="00F36FD8">
        <w:rPr>
          <w:rFonts w:ascii="Calibri" w:hAnsi="Calibri"/>
          <w:color w:val="231F20"/>
          <w:w w:val="105"/>
        </w:rPr>
        <w:t xml:space="preserve">a </w:t>
      </w:r>
      <w:r w:rsidR="00096B5A" w:rsidRPr="00F36FD8">
        <w:rPr>
          <w:rFonts w:ascii="Calibri" w:hAnsi="Calibri"/>
          <w:color w:val="231F20"/>
          <w:w w:val="105"/>
        </w:rPr>
        <w:t>four-hour</w:t>
      </w:r>
      <w:r w:rsidRPr="00F36FD8">
        <w:rPr>
          <w:rFonts w:ascii="Calibri" w:hAnsi="Calibri"/>
          <w:color w:val="231F20"/>
          <w:w w:val="105"/>
        </w:rPr>
        <w:t xml:space="preserve"> course focused on self-advocacy, communication, employment options in local communities, how to obtain supports and services</w:t>
      </w:r>
      <w:r w:rsidR="00D5537E">
        <w:rPr>
          <w:rFonts w:ascii="Calibri" w:hAnsi="Calibri"/>
          <w:color w:val="231F20"/>
          <w:w w:val="105"/>
        </w:rPr>
        <w:t xml:space="preserve"> and</w:t>
      </w:r>
      <w:r w:rsidRPr="00F36FD8">
        <w:rPr>
          <w:rFonts w:ascii="Calibri" w:hAnsi="Calibri"/>
          <w:color w:val="231F20"/>
          <w:w w:val="105"/>
        </w:rPr>
        <w:t xml:space="preserve"> other related topics.</w:t>
      </w:r>
    </w:p>
    <w:p w14:paraId="4DF74DC5" w14:textId="77777777" w:rsidR="00F36FD8" w:rsidRPr="00F36FD8" w:rsidRDefault="00F36FD8" w:rsidP="00D63204">
      <w:pPr>
        <w:widowControl w:val="0"/>
        <w:spacing w:before="120" w:after="0" w:line="240" w:lineRule="auto"/>
        <w:ind w:left="107"/>
        <w:rPr>
          <w:rFonts w:ascii="Calibri" w:hAnsi="Calibri"/>
          <w:color w:val="231F20"/>
          <w:w w:val="105"/>
        </w:rPr>
      </w:pPr>
    </w:p>
    <w:p w14:paraId="236F4FB7" w14:textId="4A716367" w:rsidR="00F36FD8" w:rsidRPr="00F36FD8" w:rsidRDefault="00F36FD8" w:rsidP="00D63204">
      <w:pPr>
        <w:widowControl w:val="0"/>
        <w:spacing w:after="0" w:line="240" w:lineRule="auto"/>
        <w:ind w:left="107"/>
        <w:outlineLvl w:val="2"/>
        <w:rPr>
          <w:rFonts w:ascii="Calibri" w:hAnsi="Calibri"/>
        </w:rPr>
      </w:pPr>
      <w:r w:rsidRPr="00F36FD8">
        <w:rPr>
          <w:rFonts w:ascii="Calibri" w:hAnsi="Calibri"/>
          <w:b/>
          <w:bCs/>
          <w:color w:val="231F20"/>
          <w:w w:val="110"/>
        </w:rPr>
        <w:t>Goal</w:t>
      </w:r>
      <w:r w:rsidRPr="00F36FD8">
        <w:rPr>
          <w:rFonts w:ascii="Calibri" w:hAnsi="Calibri"/>
          <w:b/>
          <w:bCs/>
          <w:color w:val="231F20"/>
          <w:spacing w:val="-11"/>
          <w:w w:val="110"/>
        </w:rPr>
        <w:t xml:space="preserve"> </w:t>
      </w:r>
      <w:r w:rsidRPr="00F36FD8">
        <w:rPr>
          <w:rFonts w:ascii="Calibri" w:hAnsi="Calibri"/>
          <w:b/>
          <w:bCs/>
          <w:color w:val="231F20"/>
          <w:w w:val="110"/>
        </w:rPr>
        <w:t>3:</w:t>
      </w:r>
      <w:r w:rsidRPr="00F36FD8">
        <w:rPr>
          <w:rFonts w:ascii="Calibri" w:hAnsi="Calibri"/>
          <w:b/>
          <w:bCs/>
          <w:color w:val="231F20"/>
          <w:spacing w:val="-11"/>
          <w:w w:val="110"/>
        </w:rPr>
        <w:t xml:space="preserve"> </w:t>
      </w:r>
      <w:r w:rsidRPr="00F36FD8">
        <w:rPr>
          <w:rFonts w:ascii="Calibri" w:hAnsi="Calibri"/>
          <w:b/>
          <w:bCs/>
          <w:color w:val="231F20"/>
          <w:w w:val="110"/>
        </w:rPr>
        <w:t>Increase</w:t>
      </w:r>
      <w:r w:rsidRPr="00F36FD8">
        <w:rPr>
          <w:rFonts w:ascii="Calibri" w:hAnsi="Calibri"/>
          <w:b/>
          <w:bCs/>
          <w:color w:val="231F20"/>
          <w:spacing w:val="-11"/>
          <w:w w:val="110"/>
        </w:rPr>
        <w:t xml:space="preserve"> </w:t>
      </w:r>
      <w:r w:rsidRPr="00F36FD8">
        <w:rPr>
          <w:rFonts w:ascii="Calibri" w:hAnsi="Calibri"/>
          <w:b/>
          <w:bCs/>
          <w:color w:val="231F20"/>
          <w:w w:val="110"/>
        </w:rPr>
        <w:t>Supported</w:t>
      </w:r>
      <w:r w:rsidRPr="00F36FD8">
        <w:rPr>
          <w:rFonts w:ascii="Calibri" w:hAnsi="Calibri"/>
          <w:b/>
          <w:bCs/>
          <w:color w:val="231F20"/>
          <w:spacing w:val="-11"/>
          <w:w w:val="110"/>
        </w:rPr>
        <w:t xml:space="preserve"> </w:t>
      </w:r>
      <w:r w:rsidRPr="00F36FD8">
        <w:rPr>
          <w:rFonts w:ascii="Calibri" w:hAnsi="Calibri"/>
          <w:b/>
          <w:bCs/>
          <w:color w:val="231F20"/>
          <w:w w:val="110"/>
        </w:rPr>
        <w:t>Employment</w:t>
      </w:r>
      <w:r w:rsidRPr="00F36FD8">
        <w:rPr>
          <w:rFonts w:ascii="Calibri" w:hAnsi="Calibri"/>
          <w:b/>
          <w:bCs/>
          <w:color w:val="231F20"/>
          <w:spacing w:val="-11"/>
          <w:w w:val="110"/>
        </w:rPr>
        <w:t xml:space="preserve"> </w:t>
      </w:r>
      <w:r w:rsidRPr="00F36FD8">
        <w:rPr>
          <w:rFonts w:ascii="Calibri" w:hAnsi="Calibri"/>
          <w:b/>
          <w:bCs/>
          <w:color w:val="231F20"/>
          <w:w w:val="110"/>
        </w:rPr>
        <w:t>training</w:t>
      </w:r>
      <w:r w:rsidRPr="00F36FD8">
        <w:rPr>
          <w:rFonts w:ascii="Calibri" w:hAnsi="Calibri"/>
          <w:b/>
          <w:bCs/>
          <w:color w:val="231F20"/>
          <w:spacing w:val="-11"/>
          <w:w w:val="110"/>
        </w:rPr>
        <w:t xml:space="preserve"> </w:t>
      </w:r>
      <w:r w:rsidRPr="00F36FD8">
        <w:rPr>
          <w:rFonts w:ascii="Calibri" w:hAnsi="Calibri"/>
          <w:b/>
          <w:bCs/>
          <w:color w:val="231F20"/>
          <w:w w:val="110"/>
        </w:rPr>
        <w:t>opportunities</w:t>
      </w:r>
      <w:r w:rsidRPr="00F36FD8">
        <w:rPr>
          <w:rFonts w:ascii="Calibri" w:hAnsi="Calibri"/>
          <w:b/>
          <w:bCs/>
          <w:color w:val="231F20"/>
          <w:spacing w:val="-11"/>
          <w:w w:val="110"/>
        </w:rPr>
        <w:t xml:space="preserve"> </w:t>
      </w:r>
      <w:r w:rsidRPr="00F36FD8">
        <w:rPr>
          <w:rFonts w:ascii="Calibri" w:hAnsi="Calibri"/>
          <w:b/>
          <w:bCs/>
          <w:color w:val="231F20"/>
          <w:w w:val="110"/>
        </w:rPr>
        <w:t>for</w:t>
      </w:r>
      <w:r w:rsidRPr="00F36FD8">
        <w:rPr>
          <w:rFonts w:ascii="Calibri" w:hAnsi="Calibri"/>
          <w:b/>
          <w:bCs/>
          <w:color w:val="231F20"/>
          <w:spacing w:val="-11"/>
          <w:w w:val="110"/>
        </w:rPr>
        <w:t xml:space="preserve"> </w:t>
      </w:r>
      <w:r w:rsidRPr="00F36FD8">
        <w:rPr>
          <w:rFonts w:ascii="Calibri" w:hAnsi="Calibri"/>
          <w:b/>
          <w:bCs/>
          <w:color w:val="231F20"/>
          <w:w w:val="110"/>
        </w:rPr>
        <w:t>VR</w:t>
      </w:r>
      <w:r w:rsidRPr="00F36FD8">
        <w:rPr>
          <w:rFonts w:ascii="Calibri" w:hAnsi="Calibri"/>
          <w:b/>
          <w:bCs/>
          <w:color w:val="231F20"/>
          <w:spacing w:val="-11"/>
          <w:w w:val="110"/>
        </w:rPr>
        <w:t xml:space="preserve"> </w:t>
      </w:r>
      <w:r w:rsidRPr="00F36FD8">
        <w:rPr>
          <w:rFonts w:ascii="Calibri" w:hAnsi="Calibri"/>
          <w:b/>
          <w:bCs/>
          <w:color w:val="231F20"/>
          <w:w w:val="110"/>
        </w:rPr>
        <w:t>Counselors,</w:t>
      </w:r>
      <w:r w:rsidRPr="00F36FD8">
        <w:rPr>
          <w:rFonts w:ascii="Calibri" w:hAnsi="Calibri"/>
          <w:b/>
          <w:bCs/>
          <w:color w:val="231F20"/>
          <w:spacing w:val="-11"/>
          <w:w w:val="110"/>
        </w:rPr>
        <w:t xml:space="preserve"> </w:t>
      </w:r>
      <w:r w:rsidRPr="00F36FD8">
        <w:rPr>
          <w:rFonts w:ascii="Calibri" w:hAnsi="Calibri"/>
          <w:b/>
          <w:bCs/>
          <w:color w:val="231F20"/>
          <w:w w:val="110"/>
        </w:rPr>
        <w:t>Community</w:t>
      </w:r>
      <w:r w:rsidRPr="00F36FD8">
        <w:rPr>
          <w:rFonts w:ascii="Calibri" w:hAnsi="Calibri"/>
          <w:b/>
          <w:bCs/>
          <w:color w:val="231F20"/>
          <w:w w:val="108"/>
        </w:rPr>
        <w:t xml:space="preserve"> </w:t>
      </w:r>
      <w:r w:rsidRPr="00F36FD8">
        <w:rPr>
          <w:rFonts w:ascii="Calibri" w:hAnsi="Calibri"/>
          <w:b/>
          <w:bCs/>
          <w:color w:val="231F20"/>
          <w:w w:val="110"/>
        </w:rPr>
        <w:t>Rehabilitation</w:t>
      </w:r>
      <w:r w:rsidRPr="00F36FD8">
        <w:rPr>
          <w:rFonts w:ascii="Calibri" w:hAnsi="Calibri"/>
          <w:b/>
          <w:bCs/>
          <w:color w:val="231F20"/>
          <w:spacing w:val="-24"/>
          <w:w w:val="110"/>
        </w:rPr>
        <w:t xml:space="preserve"> </w:t>
      </w:r>
      <w:r w:rsidRPr="00F36FD8">
        <w:rPr>
          <w:rFonts w:ascii="Calibri" w:hAnsi="Calibri"/>
          <w:b/>
          <w:bCs/>
          <w:color w:val="231F20"/>
          <w:w w:val="110"/>
        </w:rPr>
        <w:t>service</w:t>
      </w:r>
      <w:r w:rsidRPr="00F36FD8">
        <w:rPr>
          <w:rFonts w:ascii="Calibri" w:hAnsi="Calibri"/>
          <w:b/>
          <w:bCs/>
          <w:color w:val="231F20"/>
          <w:spacing w:val="-24"/>
          <w:w w:val="110"/>
        </w:rPr>
        <w:t xml:space="preserve"> </w:t>
      </w:r>
      <w:r w:rsidRPr="00F36FD8">
        <w:rPr>
          <w:rFonts w:ascii="Calibri" w:hAnsi="Calibri"/>
          <w:b/>
          <w:bCs/>
          <w:color w:val="231F20"/>
          <w:w w:val="110"/>
        </w:rPr>
        <w:t>staff,</w:t>
      </w:r>
      <w:r w:rsidRPr="00F36FD8">
        <w:rPr>
          <w:rFonts w:ascii="Calibri" w:hAnsi="Calibri"/>
          <w:b/>
          <w:bCs/>
          <w:color w:val="231F20"/>
          <w:spacing w:val="-24"/>
          <w:w w:val="110"/>
        </w:rPr>
        <w:t xml:space="preserve"> </w:t>
      </w:r>
      <w:r w:rsidRPr="00F36FD8">
        <w:rPr>
          <w:rFonts w:ascii="Calibri" w:hAnsi="Calibri"/>
          <w:b/>
          <w:bCs/>
          <w:color w:val="231F20"/>
          <w:w w:val="110"/>
        </w:rPr>
        <w:t>families</w:t>
      </w:r>
      <w:r w:rsidR="00D5537E">
        <w:rPr>
          <w:rFonts w:ascii="Calibri" w:hAnsi="Calibri"/>
          <w:b/>
          <w:bCs/>
          <w:color w:val="231F20"/>
          <w:w w:val="110"/>
        </w:rPr>
        <w:t xml:space="preserve"> and</w:t>
      </w:r>
      <w:r w:rsidRPr="00F36FD8">
        <w:rPr>
          <w:rFonts w:ascii="Calibri" w:hAnsi="Calibri"/>
          <w:b/>
          <w:bCs/>
          <w:color w:val="231F20"/>
          <w:spacing w:val="-24"/>
          <w:w w:val="110"/>
        </w:rPr>
        <w:t xml:space="preserve"> </w:t>
      </w:r>
      <w:r w:rsidRPr="00F36FD8">
        <w:rPr>
          <w:rFonts w:ascii="Calibri" w:hAnsi="Calibri"/>
          <w:b/>
          <w:bCs/>
          <w:color w:val="231F20"/>
          <w:w w:val="110"/>
        </w:rPr>
        <w:t>individuals.</w:t>
      </w:r>
    </w:p>
    <w:p w14:paraId="0051EE76" w14:textId="77777777" w:rsidR="00F36FD8" w:rsidRPr="00F36FD8" w:rsidRDefault="00F36FD8" w:rsidP="00D63204">
      <w:pPr>
        <w:widowControl w:val="0"/>
        <w:spacing w:before="6" w:after="0" w:line="240" w:lineRule="auto"/>
        <w:ind w:left="107"/>
        <w:rPr>
          <w:rFonts w:ascii="Calibri" w:hAnsi="Calibri" w:cs="Calibri"/>
          <w:b/>
          <w:bCs/>
        </w:rPr>
      </w:pPr>
    </w:p>
    <w:p w14:paraId="6235C336" w14:textId="77777777" w:rsidR="00F36FD8" w:rsidRPr="00F36FD8" w:rsidRDefault="00F36FD8" w:rsidP="00D63204">
      <w:pPr>
        <w:widowControl w:val="0"/>
        <w:tabs>
          <w:tab w:val="left" w:pos="668"/>
        </w:tabs>
        <w:spacing w:before="2" w:after="0" w:line="240" w:lineRule="auto"/>
        <w:ind w:left="107"/>
        <w:rPr>
          <w:rFonts w:ascii="Calibri" w:hAnsi="Calibri"/>
          <w:b/>
          <w:color w:val="231F20"/>
          <w:w w:val="105"/>
        </w:rPr>
      </w:pPr>
      <w:r w:rsidRPr="00F36FD8">
        <w:rPr>
          <w:rFonts w:ascii="Calibri" w:hAnsi="Calibri"/>
          <w:b/>
          <w:color w:val="231F20"/>
          <w:w w:val="105"/>
        </w:rPr>
        <w:t>VR will:</w:t>
      </w:r>
    </w:p>
    <w:p w14:paraId="438EDE1D" w14:textId="77777777" w:rsidR="00F36FD8" w:rsidRPr="00F36FD8" w:rsidRDefault="00F36FD8" w:rsidP="00D63204">
      <w:pPr>
        <w:widowControl w:val="0"/>
        <w:tabs>
          <w:tab w:val="left" w:pos="668"/>
        </w:tabs>
        <w:spacing w:before="2" w:after="0" w:line="240" w:lineRule="auto"/>
        <w:ind w:left="107"/>
        <w:rPr>
          <w:rFonts w:ascii="Calibri" w:hAnsi="Calibri" w:cs="Calibri"/>
          <w:b/>
          <w:color w:val="231F20"/>
        </w:rPr>
      </w:pPr>
    </w:p>
    <w:p w14:paraId="5AEBCB2F" w14:textId="05DBCE84" w:rsidR="00F36FD8" w:rsidRPr="00F36FD8" w:rsidRDefault="00F36FD8" w:rsidP="00D63204">
      <w:pPr>
        <w:pStyle w:val="ListParagraph"/>
        <w:widowControl w:val="0"/>
        <w:numPr>
          <w:ilvl w:val="0"/>
          <w:numId w:val="136"/>
        </w:numPr>
        <w:spacing w:after="0" w:line="240" w:lineRule="auto"/>
        <w:rPr>
          <w:rFonts w:ascii="Calibri" w:hAnsi="Calibri" w:cs="Calibri"/>
          <w:color w:val="231F20"/>
        </w:rPr>
      </w:pPr>
      <w:r w:rsidRPr="00F36FD8">
        <w:rPr>
          <w:rFonts w:ascii="Calibri" w:hAnsi="Calibri"/>
          <w:color w:val="231F20"/>
          <w:w w:val="105"/>
        </w:rPr>
        <w:t>Increase supported employment training opportunities for VR counselors, providers, families</w:t>
      </w:r>
      <w:r w:rsidR="00D5537E">
        <w:rPr>
          <w:rFonts w:ascii="Calibri" w:hAnsi="Calibri"/>
          <w:color w:val="231F20"/>
          <w:w w:val="105"/>
        </w:rPr>
        <w:t xml:space="preserve"> and</w:t>
      </w:r>
      <w:r w:rsidRPr="00F36FD8">
        <w:rPr>
          <w:rFonts w:ascii="Calibri" w:hAnsi="Calibri"/>
          <w:color w:val="231F20"/>
          <w:w w:val="108"/>
        </w:rPr>
        <w:t xml:space="preserve"> </w:t>
      </w:r>
      <w:r w:rsidRPr="00F36FD8">
        <w:rPr>
          <w:rFonts w:ascii="Calibri" w:hAnsi="Calibri"/>
          <w:color w:val="231F20"/>
          <w:w w:val="105"/>
        </w:rPr>
        <w:t>individuals.</w:t>
      </w:r>
    </w:p>
    <w:p w14:paraId="7E3CFBE3" w14:textId="77777777" w:rsidR="00F36FD8" w:rsidRPr="00F36FD8" w:rsidRDefault="00F36FD8" w:rsidP="00D63204">
      <w:pPr>
        <w:pStyle w:val="ListParagraph"/>
        <w:widowControl w:val="0"/>
        <w:spacing w:after="0" w:line="240" w:lineRule="auto"/>
        <w:ind w:left="827"/>
        <w:rPr>
          <w:rFonts w:ascii="Calibri" w:hAnsi="Calibri" w:cs="Calibri"/>
          <w:color w:val="231F20"/>
        </w:rPr>
      </w:pPr>
    </w:p>
    <w:p w14:paraId="22DEC34F" w14:textId="5C8E3E9F" w:rsidR="00F36FD8" w:rsidRPr="00F36FD8" w:rsidRDefault="00F36FD8" w:rsidP="00D63204">
      <w:pPr>
        <w:pStyle w:val="ListParagraph"/>
        <w:widowControl w:val="0"/>
        <w:numPr>
          <w:ilvl w:val="0"/>
          <w:numId w:val="136"/>
        </w:numPr>
        <w:spacing w:after="0" w:line="240" w:lineRule="auto"/>
        <w:rPr>
          <w:rFonts w:ascii="Calibri" w:hAnsi="Calibri" w:cs="Calibri"/>
          <w:color w:val="231F20"/>
        </w:rPr>
      </w:pPr>
      <w:r w:rsidRPr="00F36FD8">
        <w:rPr>
          <w:rFonts w:ascii="Calibri" w:hAnsi="Calibri"/>
          <w:color w:val="231F20"/>
          <w:w w:val="105"/>
        </w:rPr>
        <w:t>Participate in the development of a consortium of providers designed to identify, share</w:t>
      </w:r>
      <w:r w:rsidR="00D5537E">
        <w:rPr>
          <w:rFonts w:ascii="Calibri" w:hAnsi="Calibri"/>
          <w:color w:val="231F20"/>
          <w:w w:val="105"/>
        </w:rPr>
        <w:t xml:space="preserve"> and</w:t>
      </w:r>
      <w:r w:rsidRPr="00F36FD8">
        <w:rPr>
          <w:rFonts w:ascii="Calibri" w:hAnsi="Calibri"/>
          <w:color w:val="231F20"/>
          <w:spacing w:val="16"/>
          <w:w w:val="105"/>
        </w:rPr>
        <w:t xml:space="preserve"> </w:t>
      </w:r>
      <w:r w:rsidRPr="00F36FD8">
        <w:rPr>
          <w:rFonts w:ascii="Calibri" w:hAnsi="Calibri"/>
          <w:color w:val="231F20"/>
          <w:w w:val="105"/>
        </w:rPr>
        <w:t>promote</w:t>
      </w:r>
      <w:r w:rsidRPr="00F36FD8">
        <w:rPr>
          <w:rFonts w:ascii="Calibri" w:hAnsi="Calibri"/>
          <w:color w:val="231F20"/>
          <w:w w:val="104"/>
        </w:rPr>
        <w:t xml:space="preserve"> </w:t>
      </w:r>
      <w:r w:rsidRPr="00F36FD8">
        <w:rPr>
          <w:rFonts w:ascii="Calibri" w:hAnsi="Calibri"/>
          <w:color w:val="231F20"/>
          <w:w w:val="105"/>
        </w:rPr>
        <w:t>innovative employment</w:t>
      </w:r>
      <w:r w:rsidRPr="00F36FD8">
        <w:rPr>
          <w:rFonts w:ascii="Calibri" w:hAnsi="Calibri"/>
          <w:color w:val="231F20"/>
          <w:spacing w:val="9"/>
          <w:w w:val="105"/>
        </w:rPr>
        <w:t xml:space="preserve"> </w:t>
      </w:r>
      <w:r w:rsidRPr="00F36FD8">
        <w:rPr>
          <w:rFonts w:ascii="Calibri" w:hAnsi="Calibri"/>
          <w:color w:val="231F20"/>
          <w:w w:val="105"/>
        </w:rPr>
        <w:t>practices.</w:t>
      </w:r>
    </w:p>
    <w:p w14:paraId="49DB4299" w14:textId="77777777" w:rsidR="00F36FD8" w:rsidRPr="00F36FD8" w:rsidRDefault="00F36FD8" w:rsidP="00F36FD8">
      <w:pPr>
        <w:pStyle w:val="ListParagraph"/>
        <w:rPr>
          <w:rFonts w:ascii="Calibri" w:hAnsi="Calibri" w:cs="Calibri"/>
          <w:color w:val="231F20"/>
        </w:rPr>
      </w:pPr>
    </w:p>
    <w:p w14:paraId="56F7837E" w14:textId="78942338" w:rsidR="00F36FD8" w:rsidRPr="00F36FD8" w:rsidRDefault="00F36FD8" w:rsidP="00D63204">
      <w:pPr>
        <w:pStyle w:val="ListParagraph"/>
        <w:widowControl w:val="0"/>
        <w:numPr>
          <w:ilvl w:val="0"/>
          <w:numId w:val="136"/>
        </w:numPr>
        <w:spacing w:after="0" w:line="240" w:lineRule="auto"/>
        <w:rPr>
          <w:rFonts w:ascii="Calibri" w:hAnsi="Calibri" w:cs="Calibri"/>
          <w:color w:val="231F20"/>
        </w:rPr>
      </w:pPr>
      <w:r w:rsidRPr="00F36FD8">
        <w:rPr>
          <w:rFonts w:ascii="Calibri" w:hAnsi="Calibri"/>
          <w:color w:val="231F20"/>
          <w:w w:val="110"/>
        </w:rPr>
        <w:t>Promote</w:t>
      </w:r>
      <w:r w:rsidRPr="00F36FD8">
        <w:rPr>
          <w:rFonts w:ascii="Calibri" w:hAnsi="Calibri"/>
          <w:color w:val="231F20"/>
          <w:spacing w:val="-5"/>
          <w:w w:val="110"/>
        </w:rPr>
        <w:t xml:space="preserve"> </w:t>
      </w:r>
      <w:r w:rsidRPr="00F36FD8">
        <w:rPr>
          <w:rFonts w:ascii="Calibri" w:hAnsi="Calibri"/>
          <w:color w:val="231F20"/>
          <w:w w:val="110"/>
        </w:rPr>
        <w:t>awareness</w:t>
      </w:r>
      <w:r w:rsidRPr="00F36FD8">
        <w:rPr>
          <w:rFonts w:ascii="Calibri" w:hAnsi="Calibri"/>
          <w:color w:val="231F20"/>
          <w:spacing w:val="-5"/>
          <w:w w:val="110"/>
        </w:rPr>
        <w:t xml:space="preserve"> </w:t>
      </w:r>
      <w:r w:rsidRPr="00F36FD8">
        <w:rPr>
          <w:rFonts w:ascii="Calibri" w:hAnsi="Calibri"/>
          <w:color w:val="231F20"/>
          <w:w w:val="110"/>
        </w:rPr>
        <w:t>of</w:t>
      </w:r>
      <w:r w:rsidRPr="00F36FD8">
        <w:rPr>
          <w:rFonts w:ascii="Calibri" w:hAnsi="Calibri"/>
          <w:color w:val="231F20"/>
          <w:spacing w:val="-5"/>
          <w:w w:val="110"/>
        </w:rPr>
        <w:t xml:space="preserve"> </w:t>
      </w:r>
      <w:r w:rsidRPr="00F36FD8">
        <w:rPr>
          <w:rFonts w:ascii="Calibri" w:hAnsi="Calibri"/>
          <w:color w:val="231F20"/>
          <w:w w:val="110"/>
        </w:rPr>
        <w:t>social</w:t>
      </w:r>
      <w:r w:rsidRPr="00F36FD8">
        <w:rPr>
          <w:rFonts w:ascii="Calibri" w:hAnsi="Calibri"/>
          <w:color w:val="231F20"/>
          <w:spacing w:val="-5"/>
          <w:w w:val="110"/>
        </w:rPr>
        <w:t xml:space="preserve"> </w:t>
      </w:r>
      <w:r w:rsidRPr="00F36FD8">
        <w:rPr>
          <w:rFonts w:ascii="Calibri" w:hAnsi="Calibri"/>
          <w:color w:val="231F20"/>
          <w:w w:val="110"/>
        </w:rPr>
        <w:t>security</w:t>
      </w:r>
      <w:r w:rsidRPr="00F36FD8">
        <w:rPr>
          <w:rFonts w:ascii="Calibri" w:hAnsi="Calibri"/>
          <w:color w:val="231F20"/>
          <w:spacing w:val="-5"/>
          <w:w w:val="110"/>
        </w:rPr>
        <w:t xml:space="preserve"> </w:t>
      </w:r>
      <w:r w:rsidRPr="00F36FD8">
        <w:rPr>
          <w:rFonts w:ascii="Calibri" w:hAnsi="Calibri"/>
          <w:color w:val="231F20"/>
          <w:w w:val="110"/>
        </w:rPr>
        <w:t>benefits</w:t>
      </w:r>
      <w:r w:rsidRPr="00F36FD8">
        <w:rPr>
          <w:rFonts w:ascii="Calibri" w:hAnsi="Calibri"/>
          <w:color w:val="231F20"/>
          <w:spacing w:val="-5"/>
          <w:w w:val="110"/>
        </w:rPr>
        <w:t xml:space="preserve"> </w:t>
      </w:r>
      <w:r w:rsidRPr="00F36FD8">
        <w:rPr>
          <w:rFonts w:ascii="Calibri" w:hAnsi="Calibri"/>
          <w:color w:val="231F20"/>
          <w:w w:val="110"/>
        </w:rPr>
        <w:t>planning</w:t>
      </w:r>
      <w:r w:rsidRPr="00F36FD8">
        <w:rPr>
          <w:rFonts w:ascii="Calibri" w:hAnsi="Calibri"/>
          <w:color w:val="231F20"/>
          <w:spacing w:val="-5"/>
          <w:w w:val="110"/>
        </w:rPr>
        <w:t xml:space="preserve"> </w:t>
      </w:r>
      <w:r w:rsidR="00E5294F">
        <w:rPr>
          <w:rFonts w:ascii="Calibri" w:hAnsi="Calibri"/>
          <w:color w:val="231F20"/>
          <w:spacing w:val="-5"/>
          <w:w w:val="110"/>
        </w:rPr>
        <w:t xml:space="preserve">as a way </w:t>
      </w:r>
      <w:r w:rsidR="00096B5A" w:rsidRPr="00F36FD8">
        <w:rPr>
          <w:rFonts w:ascii="Calibri" w:hAnsi="Calibri"/>
          <w:color w:val="231F20"/>
          <w:w w:val="110"/>
        </w:rPr>
        <w:t>to</w:t>
      </w:r>
      <w:r w:rsidRPr="00F36FD8">
        <w:rPr>
          <w:rFonts w:ascii="Calibri" w:hAnsi="Calibri"/>
          <w:color w:val="231F20"/>
          <w:spacing w:val="-5"/>
          <w:w w:val="110"/>
        </w:rPr>
        <w:t xml:space="preserve"> </w:t>
      </w:r>
      <w:r w:rsidRPr="00F36FD8">
        <w:rPr>
          <w:rFonts w:ascii="Calibri" w:hAnsi="Calibri"/>
          <w:color w:val="231F20"/>
          <w:w w:val="110"/>
        </w:rPr>
        <w:t>fund</w:t>
      </w:r>
      <w:r w:rsidRPr="00F36FD8">
        <w:rPr>
          <w:rFonts w:ascii="Calibri" w:hAnsi="Calibri"/>
          <w:color w:val="231F20"/>
          <w:spacing w:val="-5"/>
          <w:w w:val="110"/>
        </w:rPr>
        <w:t xml:space="preserve"> </w:t>
      </w:r>
      <w:r w:rsidRPr="00F36FD8">
        <w:rPr>
          <w:rFonts w:ascii="Calibri" w:hAnsi="Calibri"/>
          <w:color w:val="231F20"/>
          <w:w w:val="110"/>
        </w:rPr>
        <w:t>extended</w:t>
      </w:r>
      <w:r w:rsidRPr="00F36FD8">
        <w:rPr>
          <w:rFonts w:ascii="Calibri" w:hAnsi="Calibri"/>
          <w:color w:val="231F20"/>
          <w:spacing w:val="-5"/>
          <w:w w:val="110"/>
        </w:rPr>
        <w:t xml:space="preserve"> </w:t>
      </w:r>
      <w:r w:rsidRPr="00F36FD8">
        <w:rPr>
          <w:rFonts w:ascii="Calibri" w:hAnsi="Calibri"/>
          <w:color w:val="231F20"/>
          <w:w w:val="110"/>
        </w:rPr>
        <w:t>services.</w:t>
      </w:r>
    </w:p>
    <w:p w14:paraId="3E0A3FE2" w14:textId="77777777" w:rsidR="00F36FD8" w:rsidRPr="00F36FD8" w:rsidRDefault="00F36FD8" w:rsidP="00D63204">
      <w:pPr>
        <w:pStyle w:val="ListParagraph"/>
        <w:widowControl w:val="0"/>
        <w:spacing w:after="0" w:line="240" w:lineRule="auto"/>
        <w:ind w:left="827"/>
        <w:rPr>
          <w:rFonts w:ascii="Calibri" w:hAnsi="Calibri" w:cs="Calibri"/>
          <w:color w:val="231F20"/>
        </w:rPr>
      </w:pPr>
    </w:p>
    <w:p w14:paraId="707C51C9" w14:textId="0395AD81" w:rsidR="00F36FD8" w:rsidRPr="00F36FD8" w:rsidRDefault="00F36FD8" w:rsidP="00D63204">
      <w:pPr>
        <w:pStyle w:val="ListParagraph"/>
        <w:widowControl w:val="0"/>
        <w:numPr>
          <w:ilvl w:val="0"/>
          <w:numId w:val="136"/>
        </w:numPr>
        <w:spacing w:after="0" w:line="240" w:lineRule="auto"/>
        <w:rPr>
          <w:rFonts w:ascii="Calibri" w:hAnsi="Calibri" w:cs="Calibri"/>
          <w:color w:val="231F20"/>
        </w:rPr>
      </w:pPr>
      <w:r w:rsidRPr="00F36FD8">
        <w:rPr>
          <w:rFonts w:ascii="Calibri" w:hAnsi="Calibri"/>
          <w:color w:val="231F20"/>
          <w:w w:val="105"/>
        </w:rPr>
        <w:t>Continue</w:t>
      </w:r>
      <w:r w:rsidRPr="00F36FD8">
        <w:rPr>
          <w:rFonts w:ascii="Calibri" w:hAnsi="Calibri"/>
          <w:color w:val="231F20"/>
          <w:spacing w:val="12"/>
          <w:w w:val="105"/>
        </w:rPr>
        <w:t xml:space="preserve"> </w:t>
      </w:r>
      <w:r w:rsidRPr="00F36FD8">
        <w:rPr>
          <w:rFonts w:ascii="Calibri" w:hAnsi="Calibri"/>
          <w:color w:val="231F20"/>
          <w:w w:val="105"/>
        </w:rPr>
        <w:t>to</w:t>
      </w:r>
      <w:r w:rsidRPr="00F36FD8">
        <w:rPr>
          <w:rFonts w:ascii="Calibri" w:hAnsi="Calibri"/>
          <w:color w:val="231F20"/>
          <w:spacing w:val="12"/>
          <w:w w:val="105"/>
        </w:rPr>
        <w:t xml:space="preserve"> </w:t>
      </w:r>
      <w:r w:rsidRPr="00F36FD8">
        <w:rPr>
          <w:rFonts w:ascii="Calibri" w:hAnsi="Calibri"/>
          <w:color w:val="231F20"/>
          <w:w w:val="105"/>
        </w:rPr>
        <w:t>provide</w:t>
      </w:r>
      <w:r w:rsidRPr="00F36FD8">
        <w:rPr>
          <w:rFonts w:ascii="Calibri" w:hAnsi="Calibri"/>
          <w:color w:val="231F20"/>
          <w:spacing w:val="12"/>
          <w:w w:val="105"/>
        </w:rPr>
        <w:t xml:space="preserve"> </w:t>
      </w:r>
      <w:r w:rsidRPr="00F36FD8">
        <w:rPr>
          <w:rFonts w:ascii="Calibri" w:hAnsi="Calibri"/>
          <w:color w:val="231F20"/>
          <w:w w:val="105"/>
        </w:rPr>
        <w:t>joint</w:t>
      </w:r>
      <w:r w:rsidRPr="00F36FD8">
        <w:rPr>
          <w:rFonts w:ascii="Calibri" w:hAnsi="Calibri"/>
          <w:color w:val="231F20"/>
          <w:spacing w:val="12"/>
          <w:w w:val="105"/>
        </w:rPr>
        <w:t xml:space="preserve"> </w:t>
      </w:r>
      <w:r w:rsidRPr="00F36FD8">
        <w:rPr>
          <w:rFonts w:ascii="Calibri" w:hAnsi="Calibri"/>
          <w:color w:val="231F20"/>
          <w:w w:val="105"/>
        </w:rPr>
        <w:t>training</w:t>
      </w:r>
      <w:r w:rsidRPr="00F36FD8">
        <w:rPr>
          <w:rFonts w:ascii="Calibri" w:hAnsi="Calibri"/>
          <w:color w:val="231F20"/>
          <w:spacing w:val="12"/>
          <w:w w:val="105"/>
        </w:rPr>
        <w:t xml:space="preserve"> </w:t>
      </w:r>
      <w:r w:rsidRPr="00F36FD8">
        <w:rPr>
          <w:rFonts w:ascii="Calibri" w:hAnsi="Calibri"/>
          <w:color w:val="231F20"/>
          <w:w w:val="105"/>
        </w:rPr>
        <w:t>opportunities</w:t>
      </w:r>
      <w:r w:rsidRPr="00F36FD8">
        <w:rPr>
          <w:rFonts w:ascii="Calibri" w:hAnsi="Calibri"/>
          <w:color w:val="231F20"/>
          <w:spacing w:val="12"/>
          <w:w w:val="105"/>
        </w:rPr>
        <w:t xml:space="preserve"> </w:t>
      </w:r>
      <w:r w:rsidRPr="00F36FD8">
        <w:rPr>
          <w:rFonts w:ascii="Calibri" w:hAnsi="Calibri"/>
          <w:color w:val="231F20"/>
          <w:w w:val="105"/>
        </w:rPr>
        <w:t>for</w:t>
      </w:r>
      <w:r w:rsidRPr="00F36FD8">
        <w:rPr>
          <w:rFonts w:ascii="Calibri" w:hAnsi="Calibri"/>
          <w:color w:val="231F20"/>
          <w:spacing w:val="12"/>
          <w:w w:val="105"/>
        </w:rPr>
        <w:t xml:space="preserve"> </w:t>
      </w:r>
      <w:r w:rsidRPr="00F36FD8">
        <w:rPr>
          <w:rFonts w:ascii="Calibri" w:hAnsi="Calibri"/>
          <w:color w:val="231F20"/>
          <w:w w:val="105"/>
        </w:rPr>
        <w:t>VR</w:t>
      </w:r>
      <w:r w:rsidRPr="00F36FD8">
        <w:rPr>
          <w:rFonts w:ascii="Calibri" w:hAnsi="Calibri"/>
          <w:color w:val="231F20"/>
          <w:spacing w:val="12"/>
          <w:w w:val="105"/>
        </w:rPr>
        <w:t xml:space="preserve"> </w:t>
      </w:r>
      <w:r w:rsidRPr="00F36FD8">
        <w:rPr>
          <w:rFonts w:ascii="Calibri" w:hAnsi="Calibri"/>
          <w:color w:val="231F20"/>
          <w:w w:val="105"/>
        </w:rPr>
        <w:t>employees</w:t>
      </w:r>
      <w:r w:rsidRPr="00F36FD8">
        <w:rPr>
          <w:rFonts w:ascii="Calibri" w:hAnsi="Calibri"/>
          <w:color w:val="231F20"/>
          <w:spacing w:val="12"/>
          <w:w w:val="105"/>
        </w:rPr>
        <w:t xml:space="preserve"> </w:t>
      </w:r>
      <w:r w:rsidRPr="00F36FD8">
        <w:rPr>
          <w:rFonts w:ascii="Calibri" w:hAnsi="Calibri"/>
          <w:color w:val="231F20"/>
          <w:w w:val="105"/>
        </w:rPr>
        <w:t>and</w:t>
      </w:r>
      <w:r w:rsidRPr="00F36FD8">
        <w:rPr>
          <w:rFonts w:ascii="Calibri" w:hAnsi="Calibri"/>
          <w:color w:val="231F20"/>
          <w:spacing w:val="12"/>
          <w:w w:val="105"/>
        </w:rPr>
        <w:t xml:space="preserve"> </w:t>
      </w:r>
      <w:r w:rsidRPr="00F36FD8">
        <w:rPr>
          <w:rFonts w:ascii="Calibri" w:hAnsi="Calibri"/>
          <w:color w:val="231F20"/>
          <w:w w:val="105"/>
        </w:rPr>
        <w:t>the</w:t>
      </w:r>
      <w:r w:rsidRPr="00F36FD8">
        <w:rPr>
          <w:rFonts w:ascii="Calibri" w:hAnsi="Calibri"/>
          <w:color w:val="231F20"/>
          <w:spacing w:val="12"/>
          <w:w w:val="105"/>
        </w:rPr>
        <w:t xml:space="preserve"> </w:t>
      </w:r>
      <w:r w:rsidRPr="00F36FD8">
        <w:rPr>
          <w:rFonts w:ascii="Calibri" w:hAnsi="Calibri"/>
          <w:color w:val="231F20"/>
          <w:w w:val="105"/>
        </w:rPr>
        <w:t>Agency</w:t>
      </w:r>
      <w:r w:rsidRPr="00F36FD8">
        <w:rPr>
          <w:rFonts w:ascii="Calibri" w:hAnsi="Calibri"/>
          <w:color w:val="231F20"/>
          <w:spacing w:val="12"/>
          <w:w w:val="105"/>
        </w:rPr>
        <w:t xml:space="preserve"> </w:t>
      </w:r>
      <w:r w:rsidRPr="00F36FD8">
        <w:rPr>
          <w:rFonts w:ascii="Calibri" w:hAnsi="Calibri"/>
          <w:color w:val="231F20"/>
          <w:w w:val="105"/>
        </w:rPr>
        <w:t>for</w:t>
      </w:r>
      <w:r w:rsidRPr="00F36FD8">
        <w:rPr>
          <w:rFonts w:ascii="Calibri" w:hAnsi="Calibri"/>
          <w:color w:val="231F20"/>
          <w:spacing w:val="12"/>
          <w:w w:val="105"/>
        </w:rPr>
        <w:t xml:space="preserve"> </w:t>
      </w:r>
      <w:r w:rsidRPr="00F36FD8">
        <w:rPr>
          <w:rFonts w:ascii="Calibri" w:hAnsi="Calibri"/>
          <w:color w:val="231F20"/>
          <w:w w:val="105"/>
        </w:rPr>
        <w:t>Persons</w:t>
      </w:r>
      <w:r w:rsidRPr="00F36FD8">
        <w:rPr>
          <w:rFonts w:ascii="Calibri" w:hAnsi="Calibri"/>
          <w:color w:val="231F20"/>
          <w:spacing w:val="12"/>
          <w:w w:val="105"/>
        </w:rPr>
        <w:t xml:space="preserve"> </w:t>
      </w:r>
      <w:r w:rsidRPr="00F36FD8">
        <w:rPr>
          <w:rFonts w:ascii="Calibri" w:hAnsi="Calibri"/>
          <w:color w:val="231F20"/>
          <w:w w:val="105"/>
        </w:rPr>
        <w:t>with</w:t>
      </w:r>
      <w:r w:rsidRPr="00F36FD8">
        <w:rPr>
          <w:rFonts w:ascii="Calibri" w:hAnsi="Calibri"/>
          <w:color w:val="231F20"/>
        </w:rPr>
        <w:t xml:space="preserve"> </w:t>
      </w:r>
      <w:r w:rsidRPr="00F36FD8">
        <w:rPr>
          <w:rFonts w:ascii="Calibri" w:hAnsi="Calibri"/>
          <w:color w:val="231F20"/>
          <w:w w:val="105"/>
        </w:rPr>
        <w:t>Disabilities</w:t>
      </w:r>
      <w:r w:rsidRPr="00F36FD8">
        <w:rPr>
          <w:rFonts w:ascii="Calibri" w:hAnsi="Calibri"/>
          <w:color w:val="231F20"/>
          <w:spacing w:val="4"/>
          <w:w w:val="105"/>
        </w:rPr>
        <w:t xml:space="preserve"> </w:t>
      </w:r>
      <w:r w:rsidRPr="00F36FD8">
        <w:rPr>
          <w:rFonts w:ascii="Calibri" w:hAnsi="Calibri"/>
          <w:color w:val="231F20"/>
          <w:w w:val="105"/>
        </w:rPr>
        <w:t>(APD).</w:t>
      </w:r>
    </w:p>
    <w:p w14:paraId="202DDA99" w14:textId="77777777" w:rsidR="00F36FD8" w:rsidRPr="00F36FD8" w:rsidRDefault="00F36FD8" w:rsidP="00D63204">
      <w:pPr>
        <w:pStyle w:val="ListParagraph"/>
        <w:widowControl w:val="0"/>
        <w:spacing w:after="0" w:line="240" w:lineRule="auto"/>
        <w:ind w:left="827"/>
        <w:rPr>
          <w:rFonts w:ascii="Calibri" w:hAnsi="Calibri" w:cs="Calibri"/>
          <w:color w:val="231F20"/>
        </w:rPr>
      </w:pPr>
    </w:p>
    <w:p w14:paraId="6C5A8421" w14:textId="3D7A3D5E" w:rsidR="00F36FD8" w:rsidRPr="00F36FD8" w:rsidRDefault="00F36FD8" w:rsidP="00D63204">
      <w:pPr>
        <w:pStyle w:val="ListParagraph"/>
        <w:widowControl w:val="0"/>
        <w:numPr>
          <w:ilvl w:val="0"/>
          <w:numId w:val="136"/>
        </w:numPr>
        <w:spacing w:after="0" w:line="240" w:lineRule="auto"/>
        <w:rPr>
          <w:rFonts w:ascii="Calibri" w:hAnsi="Calibri" w:cs="Calibri"/>
          <w:color w:val="231F20"/>
        </w:rPr>
      </w:pPr>
      <w:r w:rsidRPr="00F36FD8">
        <w:rPr>
          <w:rFonts w:ascii="Calibri" w:hAnsi="Calibri"/>
          <w:color w:val="231F20"/>
          <w:w w:val="105"/>
        </w:rPr>
        <w:t>Provide funding to support collaboration between VR and other community resources</w:t>
      </w:r>
      <w:r w:rsidRPr="00F36FD8">
        <w:rPr>
          <w:rFonts w:ascii="Calibri" w:hAnsi="Calibri"/>
          <w:color w:val="231F20"/>
          <w:spacing w:val="50"/>
          <w:w w:val="105"/>
        </w:rPr>
        <w:t xml:space="preserve"> </w:t>
      </w:r>
      <w:r w:rsidRPr="00F36FD8">
        <w:rPr>
          <w:rFonts w:ascii="Calibri" w:hAnsi="Calibri"/>
          <w:color w:val="231F20"/>
          <w:w w:val="105"/>
        </w:rPr>
        <w:t>through networking and leadership</w:t>
      </w:r>
      <w:r w:rsidRPr="00F36FD8">
        <w:rPr>
          <w:rFonts w:ascii="Calibri" w:hAnsi="Calibri"/>
          <w:color w:val="231F20"/>
          <w:spacing w:val="14"/>
          <w:w w:val="105"/>
        </w:rPr>
        <w:t xml:space="preserve"> </w:t>
      </w:r>
      <w:r w:rsidRPr="00F36FD8">
        <w:rPr>
          <w:rFonts w:ascii="Calibri" w:hAnsi="Calibri"/>
          <w:color w:val="231F20"/>
          <w:w w:val="105"/>
        </w:rPr>
        <w:t>activities.</w:t>
      </w:r>
    </w:p>
    <w:p w14:paraId="159124FB" w14:textId="77777777" w:rsidR="00F36FD8" w:rsidRPr="00F36FD8" w:rsidRDefault="00F36FD8" w:rsidP="00D63204">
      <w:pPr>
        <w:pStyle w:val="ListParagraph"/>
        <w:widowControl w:val="0"/>
        <w:spacing w:after="0" w:line="240" w:lineRule="auto"/>
        <w:ind w:left="827"/>
        <w:rPr>
          <w:rFonts w:ascii="Calibri" w:hAnsi="Calibri" w:cs="Calibri"/>
          <w:color w:val="231F20"/>
        </w:rPr>
      </w:pPr>
    </w:p>
    <w:p w14:paraId="678BC66B" w14:textId="5E6A1FDA" w:rsidR="00F36FD8" w:rsidRPr="00F36FD8" w:rsidRDefault="00F36FD8" w:rsidP="00D63204">
      <w:pPr>
        <w:pStyle w:val="ListParagraph"/>
        <w:widowControl w:val="0"/>
        <w:numPr>
          <w:ilvl w:val="0"/>
          <w:numId w:val="136"/>
        </w:numPr>
        <w:spacing w:after="0" w:line="240" w:lineRule="auto"/>
        <w:rPr>
          <w:rFonts w:ascii="Calibri" w:hAnsi="Calibri"/>
          <w:color w:val="231F20"/>
          <w:w w:val="105"/>
        </w:rPr>
      </w:pPr>
      <w:r w:rsidRPr="00F36FD8">
        <w:rPr>
          <w:rFonts w:ascii="Calibri" w:hAnsi="Calibri"/>
          <w:color w:val="231F20"/>
          <w:w w:val="105"/>
        </w:rPr>
        <w:t>Participate</w:t>
      </w:r>
      <w:r w:rsidRPr="00F36FD8">
        <w:rPr>
          <w:rFonts w:ascii="Calibri" w:hAnsi="Calibri"/>
          <w:color w:val="231F20"/>
          <w:spacing w:val="12"/>
          <w:w w:val="105"/>
        </w:rPr>
        <w:t xml:space="preserve"> </w:t>
      </w:r>
      <w:r w:rsidRPr="00F36FD8">
        <w:rPr>
          <w:rFonts w:ascii="Calibri" w:hAnsi="Calibri"/>
          <w:color w:val="231F20"/>
          <w:w w:val="105"/>
        </w:rPr>
        <w:t>as</w:t>
      </w:r>
      <w:r w:rsidRPr="00F36FD8">
        <w:rPr>
          <w:rFonts w:ascii="Calibri" w:hAnsi="Calibri"/>
          <w:color w:val="231F20"/>
          <w:spacing w:val="12"/>
          <w:w w:val="105"/>
        </w:rPr>
        <w:t xml:space="preserve"> </w:t>
      </w:r>
      <w:r w:rsidRPr="00F36FD8">
        <w:rPr>
          <w:rFonts w:ascii="Calibri" w:hAnsi="Calibri"/>
          <w:color w:val="231F20"/>
          <w:w w:val="105"/>
        </w:rPr>
        <w:t>an</w:t>
      </w:r>
      <w:r w:rsidRPr="00F36FD8">
        <w:rPr>
          <w:rFonts w:ascii="Calibri" w:hAnsi="Calibri"/>
          <w:color w:val="231F20"/>
          <w:spacing w:val="12"/>
          <w:w w:val="105"/>
        </w:rPr>
        <w:t xml:space="preserve"> </w:t>
      </w:r>
      <w:r w:rsidRPr="00F36FD8">
        <w:rPr>
          <w:rFonts w:ascii="Calibri" w:hAnsi="Calibri"/>
          <w:color w:val="231F20"/>
          <w:w w:val="105"/>
        </w:rPr>
        <w:t>advisory</w:t>
      </w:r>
      <w:r w:rsidRPr="00F36FD8">
        <w:rPr>
          <w:rFonts w:ascii="Calibri" w:hAnsi="Calibri"/>
          <w:color w:val="231F20"/>
          <w:spacing w:val="12"/>
          <w:w w:val="105"/>
        </w:rPr>
        <w:t xml:space="preserve"> </w:t>
      </w:r>
      <w:r w:rsidRPr="00F36FD8">
        <w:rPr>
          <w:rFonts w:ascii="Calibri" w:hAnsi="Calibri"/>
          <w:color w:val="231F20"/>
          <w:w w:val="105"/>
        </w:rPr>
        <w:t>member</w:t>
      </w:r>
      <w:r w:rsidRPr="00F36FD8">
        <w:rPr>
          <w:rFonts w:ascii="Calibri" w:hAnsi="Calibri"/>
          <w:color w:val="231F20"/>
          <w:spacing w:val="12"/>
          <w:w w:val="105"/>
        </w:rPr>
        <w:t xml:space="preserve"> </w:t>
      </w:r>
      <w:r w:rsidRPr="00F36FD8">
        <w:rPr>
          <w:rFonts w:ascii="Calibri" w:hAnsi="Calibri"/>
          <w:color w:val="231F20"/>
          <w:w w:val="105"/>
        </w:rPr>
        <w:t>on</w:t>
      </w:r>
      <w:r w:rsidRPr="00F36FD8">
        <w:rPr>
          <w:rFonts w:ascii="Calibri" w:hAnsi="Calibri"/>
          <w:color w:val="231F20"/>
          <w:spacing w:val="12"/>
          <w:w w:val="105"/>
        </w:rPr>
        <w:t xml:space="preserve"> </w:t>
      </w:r>
      <w:r w:rsidRPr="00F36FD8">
        <w:rPr>
          <w:rFonts w:ascii="Calibri" w:hAnsi="Calibri"/>
          <w:color w:val="231F20"/>
          <w:w w:val="105"/>
        </w:rPr>
        <w:t>a</w:t>
      </w:r>
      <w:r w:rsidRPr="00F36FD8">
        <w:rPr>
          <w:rFonts w:ascii="Calibri" w:hAnsi="Calibri"/>
          <w:color w:val="231F20"/>
          <w:spacing w:val="12"/>
          <w:w w:val="105"/>
        </w:rPr>
        <w:t xml:space="preserve"> </w:t>
      </w:r>
      <w:r w:rsidRPr="00F36FD8">
        <w:rPr>
          <w:rFonts w:ascii="Calibri" w:hAnsi="Calibri"/>
          <w:color w:val="231F20"/>
          <w:w w:val="105"/>
        </w:rPr>
        <w:t>variety</w:t>
      </w:r>
      <w:r w:rsidRPr="00F36FD8">
        <w:rPr>
          <w:rFonts w:ascii="Calibri" w:hAnsi="Calibri"/>
          <w:color w:val="231F20"/>
          <w:spacing w:val="12"/>
          <w:w w:val="105"/>
        </w:rPr>
        <w:t xml:space="preserve"> </w:t>
      </w:r>
      <w:r w:rsidRPr="00F36FD8">
        <w:rPr>
          <w:rFonts w:ascii="Calibri" w:hAnsi="Calibri"/>
          <w:color w:val="231F20"/>
          <w:w w:val="105"/>
        </w:rPr>
        <w:t>of</w:t>
      </w:r>
      <w:r w:rsidRPr="00F36FD8">
        <w:rPr>
          <w:rFonts w:ascii="Calibri" w:hAnsi="Calibri"/>
          <w:color w:val="231F20"/>
          <w:spacing w:val="12"/>
          <w:w w:val="105"/>
        </w:rPr>
        <w:t xml:space="preserve"> </w:t>
      </w:r>
      <w:r w:rsidRPr="00F36FD8">
        <w:rPr>
          <w:rFonts w:ascii="Calibri" w:hAnsi="Calibri"/>
          <w:color w:val="231F20"/>
          <w:w w:val="105"/>
        </w:rPr>
        <w:t>grants</w:t>
      </w:r>
      <w:r w:rsidRPr="00F36FD8">
        <w:rPr>
          <w:rFonts w:ascii="Calibri" w:hAnsi="Calibri"/>
          <w:color w:val="231F20"/>
          <w:spacing w:val="12"/>
          <w:w w:val="105"/>
        </w:rPr>
        <w:t xml:space="preserve"> </w:t>
      </w:r>
      <w:r w:rsidRPr="00F36FD8">
        <w:rPr>
          <w:rFonts w:ascii="Calibri" w:hAnsi="Calibri"/>
          <w:color w:val="231F20"/>
          <w:w w:val="105"/>
        </w:rPr>
        <w:t>from</w:t>
      </w:r>
      <w:r w:rsidRPr="00F36FD8">
        <w:rPr>
          <w:rFonts w:ascii="Calibri" w:hAnsi="Calibri"/>
          <w:color w:val="231F20"/>
          <w:spacing w:val="12"/>
          <w:w w:val="105"/>
        </w:rPr>
        <w:t xml:space="preserve"> </w:t>
      </w:r>
      <w:r w:rsidRPr="00F36FD8">
        <w:rPr>
          <w:rFonts w:ascii="Calibri" w:hAnsi="Calibri"/>
          <w:color w:val="231F20"/>
          <w:w w:val="105"/>
        </w:rPr>
        <w:t>the</w:t>
      </w:r>
      <w:r w:rsidRPr="00F36FD8">
        <w:rPr>
          <w:rFonts w:ascii="Calibri" w:hAnsi="Calibri"/>
          <w:color w:val="231F20"/>
          <w:spacing w:val="12"/>
          <w:w w:val="105"/>
        </w:rPr>
        <w:t xml:space="preserve"> </w:t>
      </w:r>
      <w:r w:rsidRPr="00F36FD8">
        <w:rPr>
          <w:rFonts w:ascii="Calibri" w:hAnsi="Calibri"/>
          <w:color w:val="231F20"/>
          <w:w w:val="105"/>
        </w:rPr>
        <w:t>Florida</w:t>
      </w:r>
      <w:r w:rsidRPr="00F36FD8">
        <w:rPr>
          <w:rFonts w:ascii="Calibri" w:hAnsi="Calibri"/>
          <w:color w:val="231F20"/>
          <w:spacing w:val="12"/>
          <w:w w:val="105"/>
        </w:rPr>
        <w:t xml:space="preserve"> </w:t>
      </w:r>
      <w:r w:rsidRPr="00F36FD8">
        <w:rPr>
          <w:rFonts w:ascii="Calibri" w:hAnsi="Calibri"/>
          <w:color w:val="231F20"/>
          <w:w w:val="105"/>
        </w:rPr>
        <w:t>Developmental</w:t>
      </w:r>
      <w:r w:rsidRPr="00F36FD8">
        <w:rPr>
          <w:rFonts w:ascii="Calibri" w:hAnsi="Calibri"/>
          <w:color w:val="231F20"/>
          <w:spacing w:val="12"/>
          <w:w w:val="105"/>
        </w:rPr>
        <w:t xml:space="preserve"> </w:t>
      </w:r>
      <w:r w:rsidRPr="00F36FD8">
        <w:rPr>
          <w:rFonts w:ascii="Calibri" w:hAnsi="Calibri"/>
          <w:color w:val="231F20"/>
          <w:w w:val="105"/>
        </w:rPr>
        <w:t>Disabilities</w:t>
      </w:r>
      <w:r w:rsidRPr="00F36FD8">
        <w:rPr>
          <w:rFonts w:ascii="Calibri" w:hAnsi="Calibri"/>
          <w:color w:val="231F20"/>
          <w:w w:val="107"/>
        </w:rPr>
        <w:t xml:space="preserve"> </w:t>
      </w:r>
      <w:r w:rsidRPr="00F36FD8">
        <w:rPr>
          <w:rFonts w:ascii="Calibri" w:hAnsi="Calibri"/>
          <w:color w:val="231F20"/>
          <w:w w:val="105"/>
        </w:rPr>
        <w:t>Council</w:t>
      </w:r>
      <w:r w:rsidRPr="00F36FD8">
        <w:rPr>
          <w:rFonts w:ascii="Calibri" w:hAnsi="Calibri"/>
          <w:color w:val="231F20"/>
          <w:spacing w:val="15"/>
          <w:w w:val="105"/>
        </w:rPr>
        <w:t xml:space="preserve"> </w:t>
      </w:r>
      <w:r w:rsidRPr="00F36FD8">
        <w:rPr>
          <w:rFonts w:ascii="Calibri" w:hAnsi="Calibri"/>
          <w:color w:val="231F20"/>
          <w:w w:val="105"/>
        </w:rPr>
        <w:t>that</w:t>
      </w:r>
      <w:r w:rsidRPr="00F36FD8">
        <w:rPr>
          <w:rFonts w:ascii="Calibri" w:hAnsi="Calibri"/>
          <w:color w:val="231F20"/>
          <w:spacing w:val="15"/>
          <w:w w:val="105"/>
        </w:rPr>
        <w:t xml:space="preserve"> </w:t>
      </w:r>
      <w:r w:rsidRPr="00F36FD8">
        <w:rPr>
          <w:rFonts w:ascii="Calibri" w:hAnsi="Calibri"/>
          <w:color w:val="231F20"/>
          <w:w w:val="105"/>
        </w:rPr>
        <w:t>provide</w:t>
      </w:r>
      <w:r w:rsidRPr="00F36FD8">
        <w:rPr>
          <w:rFonts w:ascii="Calibri" w:hAnsi="Calibri"/>
          <w:color w:val="231F20"/>
          <w:spacing w:val="15"/>
          <w:w w:val="105"/>
        </w:rPr>
        <w:t xml:space="preserve"> </w:t>
      </w:r>
      <w:r w:rsidRPr="00F36FD8">
        <w:rPr>
          <w:rFonts w:ascii="Calibri" w:hAnsi="Calibri"/>
          <w:color w:val="231F20"/>
          <w:w w:val="105"/>
        </w:rPr>
        <w:t>training</w:t>
      </w:r>
      <w:r w:rsidRPr="00F36FD8">
        <w:rPr>
          <w:rFonts w:ascii="Calibri" w:hAnsi="Calibri"/>
          <w:color w:val="231F20"/>
          <w:spacing w:val="15"/>
          <w:w w:val="105"/>
        </w:rPr>
        <w:t xml:space="preserve"> </w:t>
      </w:r>
      <w:r w:rsidRPr="00F36FD8">
        <w:rPr>
          <w:rFonts w:ascii="Calibri" w:hAnsi="Calibri"/>
          <w:color w:val="231F20"/>
          <w:w w:val="105"/>
        </w:rPr>
        <w:t>and</w:t>
      </w:r>
      <w:r w:rsidRPr="00F36FD8">
        <w:rPr>
          <w:rFonts w:ascii="Calibri" w:hAnsi="Calibri"/>
          <w:color w:val="231F20"/>
          <w:spacing w:val="15"/>
          <w:w w:val="105"/>
        </w:rPr>
        <w:t xml:space="preserve"> </w:t>
      </w:r>
      <w:r w:rsidRPr="00F36FD8">
        <w:rPr>
          <w:rFonts w:ascii="Calibri" w:hAnsi="Calibri"/>
          <w:color w:val="231F20"/>
          <w:w w:val="105"/>
        </w:rPr>
        <w:t>collaborative</w:t>
      </w:r>
      <w:r w:rsidRPr="00F36FD8">
        <w:rPr>
          <w:rFonts w:ascii="Calibri" w:hAnsi="Calibri"/>
          <w:color w:val="231F20"/>
          <w:spacing w:val="15"/>
          <w:w w:val="105"/>
        </w:rPr>
        <w:t xml:space="preserve"> </w:t>
      </w:r>
      <w:r w:rsidRPr="00F36FD8">
        <w:rPr>
          <w:rFonts w:ascii="Calibri" w:hAnsi="Calibri"/>
          <w:color w:val="231F20"/>
          <w:w w:val="105"/>
        </w:rPr>
        <w:t>activities</w:t>
      </w:r>
      <w:r w:rsidRPr="00F36FD8">
        <w:rPr>
          <w:rFonts w:ascii="Calibri" w:hAnsi="Calibri"/>
          <w:color w:val="231F20"/>
          <w:spacing w:val="15"/>
          <w:w w:val="105"/>
        </w:rPr>
        <w:t xml:space="preserve"> </w:t>
      </w:r>
      <w:r w:rsidRPr="00F36FD8">
        <w:rPr>
          <w:rFonts w:ascii="Calibri" w:hAnsi="Calibri"/>
          <w:color w:val="231F20"/>
          <w:w w:val="105"/>
        </w:rPr>
        <w:t>for</w:t>
      </w:r>
      <w:r w:rsidRPr="00F36FD8">
        <w:rPr>
          <w:rFonts w:ascii="Calibri" w:hAnsi="Calibri"/>
          <w:color w:val="231F20"/>
          <w:spacing w:val="15"/>
          <w:w w:val="105"/>
        </w:rPr>
        <w:t xml:space="preserve"> </w:t>
      </w:r>
      <w:r w:rsidRPr="00F36FD8">
        <w:rPr>
          <w:rFonts w:ascii="Calibri" w:hAnsi="Calibri"/>
          <w:color w:val="231F20"/>
          <w:w w:val="105"/>
        </w:rPr>
        <w:t>providers,</w:t>
      </w:r>
      <w:r w:rsidRPr="00F36FD8">
        <w:rPr>
          <w:rFonts w:ascii="Calibri" w:hAnsi="Calibri"/>
          <w:color w:val="231F20"/>
          <w:spacing w:val="15"/>
          <w:w w:val="105"/>
        </w:rPr>
        <w:t xml:space="preserve"> </w:t>
      </w:r>
      <w:r w:rsidRPr="00F36FD8">
        <w:rPr>
          <w:rFonts w:ascii="Calibri" w:hAnsi="Calibri"/>
          <w:color w:val="231F20"/>
          <w:w w:val="105"/>
        </w:rPr>
        <w:t>counselors</w:t>
      </w:r>
      <w:r w:rsidR="00D5537E">
        <w:rPr>
          <w:rFonts w:ascii="Calibri" w:hAnsi="Calibri"/>
          <w:color w:val="231F20"/>
          <w:w w:val="105"/>
        </w:rPr>
        <w:t xml:space="preserve"> and</w:t>
      </w:r>
      <w:r w:rsidRPr="00F36FD8">
        <w:rPr>
          <w:rFonts w:ascii="Calibri" w:hAnsi="Calibri"/>
          <w:color w:val="231F20"/>
          <w:spacing w:val="15"/>
          <w:w w:val="105"/>
        </w:rPr>
        <w:t xml:space="preserve"> </w:t>
      </w:r>
      <w:r w:rsidRPr="00F36FD8">
        <w:rPr>
          <w:rFonts w:ascii="Calibri" w:hAnsi="Calibri"/>
          <w:color w:val="231F20"/>
          <w:w w:val="105"/>
        </w:rPr>
        <w:t>other</w:t>
      </w:r>
      <w:r w:rsidRPr="00F36FD8">
        <w:rPr>
          <w:rFonts w:ascii="Calibri" w:hAnsi="Calibri"/>
          <w:color w:val="231F20"/>
          <w:spacing w:val="15"/>
          <w:w w:val="105"/>
        </w:rPr>
        <w:t xml:space="preserve"> </w:t>
      </w:r>
      <w:r w:rsidRPr="00F36FD8">
        <w:rPr>
          <w:rFonts w:ascii="Calibri" w:hAnsi="Calibri"/>
          <w:color w:val="231F20"/>
          <w:w w:val="105"/>
        </w:rPr>
        <w:t>agency</w:t>
      </w:r>
      <w:r w:rsidRPr="00F36FD8">
        <w:rPr>
          <w:rFonts w:ascii="Calibri" w:hAnsi="Calibri"/>
          <w:color w:val="231F20"/>
          <w:spacing w:val="-48"/>
          <w:w w:val="105"/>
        </w:rPr>
        <w:t xml:space="preserve"> </w:t>
      </w:r>
      <w:r w:rsidRPr="00F36FD8">
        <w:rPr>
          <w:rFonts w:ascii="Calibri" w:hAnsi="Calibri"/>
          <w:color w:val="231F20"/>
          <w:w w:val="105"/>
        </w:rPr>
        <w:t>employees.</w:t>
      </w:r>
    </w:p>
    <w:p w14:paraId="452459DF" w14:textId="77777777" w:rsidR="00F36FD8" w:rsidRPr="00F36FD8" w:rsidRDefault="00F36FD8" w:rsidP="00D63204">
      <w:pPr>
        <w:widowControl w:val="0"/>
        <w:tabs>
          <w:tab w:val="left" w:pos="668"/>
        </w:tabs>
        <w:spacing w:before="90" w:after="0" w:line="240" w:lineRule="auto"/>
        <w:ind w:left="107"/>
        <w:rPr>
          <w:rFonts w:ascii="Calibri" w:hAnsi="Calibri" w:cs="Calibri"/>
          <w:color w:val="231F20"/>
        </w:rPr>
      </w:pPr>
    </w:p>
    <w:p w14:paraId="7847EE61" w14:textId="77777777" w:rsidR="00F36FD8" w:rsidRPr="00F36FD8" w:rsidRDefault="00F36FD8" w:rsidP="00D63204">
      <w:pPr>
        <w:widowControl w:val="0"/>
        <w:spacing w:before="57" w:after="0" w:line="240" w:lineRule="auto"/>
        <w:ind w:left="107"/>
        <w:outlineLvl w:val="2"/>
        <w:rPr>
          <w:rFonts w:ascii="Calibri" w:hAnsi="Calibri"/>
        </w:rPr>
      </w:pPr>
      <w:bookmarkStart w:id="158" w:name="_bookmark93"/>
      <w:bookmarkEnd w:id="158"/>
      <w:r w:rsidRPr="00F36FD8">
        <w:rPr>
          <w:rFonts w:ascii="Calibri" w:hAnsi="Calibri"/>
          <w:b/>
          <w:bCs/>
          <w:color w:val="231F20"/>
          <w:w w:val="110"/>
        </w:rPr>
        <w:t>Goal 4: Leverage resources for extended ongoing support</w:t>
      </w:r>
      <w:r w:rsidRPr="00F36FD8">
        <w:rPr>
          <w:rFonts w:ascii="Calibri" w:hAnsi="Calibri"/>
          <w:b/>
          <w:bCs/>
          <w:color w:val="231F20"/>
          <w:spacing w:val="-10"/>
          <w:w w:val="110"/>
        </w:rPr>
        <w:t xml:space="preserve"> </w:t>
      </w:r>
      <w:r w:rsidRPr="00F36FD8">
        <w:rPr>
          <w:rFonts w:ascii="Calibri" w:hAnsi="Calibri"/>
          <w:b/>
          <w:bCs/>
          <w:color w:val="231F20"/>
          <w:w w:val="110"/>
        </w:rPr>
        <w:t>services.</w:t>
      </w:r>
    </w:p>
    <w:p w14:paraId="7A90F493" w14:textId="77777777" w:rsidR="00F36FD8" w:rsidRPr="00F36FD8" w:rsidRDefault="00F36FD8" w:rsidP="00D63204">
      <w:pPr>
        <w:widowControl w:val="0"/>
        <w:tabs>
          <w:tab w:val="left" w:pos="668"/>
        </w:tabs>
        <w:spacing w:before="2" w:after="0" w:line="240" w:lineRule="auto"/>
        <w:ind w:left="107"/>
        <w:rPr>
          <w:rFonts w:ascii="Calibri" w:hAnsi="Calibri"/>
          <w:b/>
          <w:color w:val="231F20"/>
          <w:w w:val="110"/>
          <w:u w:val="single" w:color="231F20"/>
        </w:rPr>
      </w:pPr>
    </w:p>
    <w:p w14:paraId="260396A0" w14:textId="77777777" w:rsidR="00F36FD8" w:rsidRPr="00F36FD8" w:rsidRDefault="00F36FD8" w:rsidP="00D63204">
      <w:pPr>
        <w:widowControl w:val="0"/>
        <w:tabs>
          <w:tab w:val="left" w:pos="668"/>
        </w:tabs>
        <w:spacing w:before="2" w:after="0" w:line="240" w:lineRule="auto"/>
        <w:ind w:left="107"/>
        <w:rPr>
          <w:rFonts w:ascii="Calibri" w:hAnsi="Calibri"/>
          <w:b/>
          <w:color w:val="231F20"/>
          <w:w w:val="105"/>
        </w:rPr>
      </w:pPr>
      <w:r w:rsidRPr="00F36FD8">
        <w:rPr>
          <w:rFonts w:ascii="Calibri" w:hAnsi="Calibri"/>
          <w:b/>
          <w:color w:val="231F20"/>
          <w:w w:val="105"/>
        </w:rPr>
        <w:t xml:space="preserve">VR will: </w:t>
      </w:r>
    </w:p>
    <w:p w14:paraId="72B64F44" w14:textId="388D96DB" w:rsidR="00F36FD8" w:rsidRPr="00F36FD8" w:rsidRDefault="00F36FD8" w:rsidP="00D63204">
      <w:pPr>
        <w:pStyle w:val="ListParagraph"/>
        <w:widowControl w:val="0"/>
        <w:numPr>
          <w:ilvl w:val="0"/>
          <w:numId w:val="137"/>
        </w:numPr>
        <w:spacing w:before="120" w:after="0" w:line="240" w:lineRule="auto"/>
        <w:rPr>
          <w:rFonts w:ascii="Calibri" w:hAnsi="Calibri" w:cs="Calibri"/>
          <w:color w:val="231F20"/>
        </w:rPr>
      </w:pPr>
      <w:r w:rsidRPr="00F36FD8">
        <w:rPr>
          <w:rFonts w:ascii="Calibri" w:hAnsi="Calibri" w:cs="Calibri"/>
          <w:color w:val="231F20"/>
        </w:rPr>
        <w:t>Participate as a key member of the Employment First Interagency Committee</w:t>
      </w:r>
      <w:r w:rsidR="005E7C49">
        <w:rPr>
          <w:rFonts w:ascii="Calibri" w:hAnsi="Calibri" w:cs="Calibri"/>
          <w:color w:val="231F20"/>
        </w:rPr>
        <w:t xml:space="preserve">. </w:t>
      </w:r>
      <w:r w:rsidRPr="00F36FD8">
        <w:rPr>
          <w:rFonts w:ascii="Calibri" w:hAnsi="Calibri" w:cs="Calibri"/>
          <w:color w:val="231F20"/>
        </w:rPr>
        <w:t>This committee is composed of nine agencies/organizations.</w:t>
      </w:r>
      <w:r>
        <w:rPr>
          <w:rFonts w:ascii="Calibri" w:hAnsi="Calibri" w:cs="Calibri"/>
          <w:color w:val="231F20"/>
        </w:rPr>
        <w:t xml:space="preserve"> </w:t>
      </w:r>
      <w:r w:rsidRPr="00F36FD8">
        <w:rPr>
          <w:rFonts w:ascii="Calibri" w:hAnsi="Calibri" w:cs="Calibri"/>
          <w:color w:val="231F20"/>
        </w:rPr>
        <w:t>The focus is on competitive integrated employment as a preferred option for youth and adults.</w:t>
      </w:r>
      <w:r>
        <w:rPr>
          <w:rFonts w:ascii="Calibri" w:hAnsi="Calibri" w:cs="Calibri"/>
          <w:color w:val="231F20"/>
        </w:rPr>
        <w:t xml:space="preserve"> </w:t>
      </w:r>
      <w:r w:rsidRPr="00F36FD8">
        <w:rPr>
          <w:rFonts w:ascii="Calibri" w:hAnsi="Calibri" w:cs="Calibri"/>
          <w:color w:val="231F20"/>
        </w:rPr>
        <w:t xml:space="preserve">The group </w:t>
      </w:r>
      <w:r w:rsidR="00E5294F">
        <w:rPr>
          <w:rFonts w:ascii="Calibri" w:hAnsi="Calibri" w:cs="Calibri"/>
          <w:color w:val="231F20"/>
        </w:rPr>
        <w:t xml:space="preserve">also </w:t>
      </w:r>
      <w:r w:rsidRPr="00F36FD8">
        <w:rPr>
          <w:rFonts w:ascii="Calibri" w:hAnsi="Calibri" w:cs="Calibri"/>
          <w:color w:val="231F20"/>
        </w:rPr>
        <w:t xml:space="preserve">works on a </w:t>
      </w:r>
      <w:r w:rsidR="00240694" w:rsidRPr="00F36FD8">
        <w:rPr>
          <w:rFonts w:ascii="Calibri" w:hAnsi="Calibri" w:cs="Calibri"/>
          <w:color w:val="231F20"/>
        </w:rPr>
        <w:t>statewide</w:t>
      </w:r>
      <w:r w:rsidRPr="00F36FD8">
        <w:rPr>
          <w:rFonts w:ascii="Calibri" w:hAnsi="Calibri" w:cs="Calibri"/>
          <w:color w:val="231F20"/>
        </w:rPr>
        <w:t xml:space="preserve"> level to leverage and collaborate on the use of resources to benefit </w:t>
      </w:r>
      <w:r w:rsidR="00096B5A" w:rsidRPr="00F36FD8">
        <w:rPr>
          <w:rFonts w:ascii="Calibri" w:hAnsi="Calibri" w:cs="Calibri"/>
          <w:color w:val="231F20"/>
        </w:rPr>
        <w:t>all</w:t>
      </w:r>
      <w:r w:rsidRPr="00F36FD8">
        <w:rPr>
          <w:rFonts w:ascii="Calibri" w:hAnsi="Calibri" w:cs="Calibri"/>
          <w:color w:val="231F20"/>
        </w:rPr>
        <w:t xml:space="preserve"> individuals served by the agencies.</w:t>
      </w:r>
      <w:r>
        <w:rPr>
          <w:rFonts w:ascii="Calibri" w:hAnsi="Calibri" w:cs="Calibri"/>
          <w:color w:val="231F20"/>
        </w:rPr>
        <w:t xml:space="preserve"> </w:t>
      </w:r>
      <w:r w:rsidRPr="00F36FD8">
        <w:rPr>
          <w:rFonts w:ascii="Calibri" w:hAnsi="Calibri" w:cs="Calibri"/>
          <w:color w:val="231F20"/>
        </w:rPr>
        <w:t>This includes mutual training, technical assistance, advocacy and other mutually beneficial activities.</w:t>
      </w:r>
    </w:p>
    <w:p w14:paraId="570BC70F" w14:textId="77777777" w:rsidR="00F36FD8" w:rsidRPr="00F36FD8" w:rsidRDefault="00F36FD8" w:rsidP="00D63204">
      <w:pPr>
        <w:pStyle w:val="ListParagraph"/>
        <w:widowControl w:val="0"/>
        <w:spacing w:before="120" w:after="0" w:line="240" w:lineRule="auto"/>
        <w:ind w:left="107"/>
        <w:rPr>
          <w:rFonts w:ascii="Calibri" w:hAnsi="Calibri" w:cs="Calibri"/>
          <w:color w:val="231F20"/>
        </w:rPr>
      </w:pPr>
    </w:p>
    <w:p w14:paraId="79E05EE4" w14:textId="3544EB35" w:rsidR="00F36FD8" w:rsidRDefault="00F36FD8" w:rsidP="00D63204">
      <w:pPr>
        <w:pStyle w:val="ListParagraph"/>
        <w:widowControl w:val="0"/>
        <w:numPr>
          <w:ilvl w:val="0"/>
          <w:numId w:val="137"/>
        </w:numPr>
        <w:spacing w:before="120" w:after="0" w:line="240" w:lineRule="auto"/>
        <w:rPr>
          <w:rFonts w:ascii="Calibri" w:hAnsi="Calibri" w:cs="Calibri"/>
          <w:color w:val="231F20"/>
        </w:rPr>
      </w:pPr>
      <w:r w:rsidRPr="00F36FD8">
        <w:rPr>
          <w:rFonts w:ascii="Calibri" w:hAnsi="Calibri" w:cs="Calibri"/>
          <w:color w:val="231F20"/>
        </w:rPr>
        <w:t>Continue to work with APD to make sure that referred customers know about the extended service resources they can get through Medicaid Waiver Funding and/or general revenue funding.</w:t>
      </w:r>
    </w:p>
    <w:p w14:paraId="30001A82" w14:textId="77777777" w:rsidR="00F36FD8" w:rsidRPr="00F36FD8" w:rsidRDefault="00F36FD8" w:rsidP="00D63204">
      <w:pPr>
        <w:pStyle w:val="ListParagraph"/>
        <w:widowControl w:val="0"/>
        <w:spacing w:before="120" w:after="0" w:line="240" w:lineRule="auto"/>
        <w:ind w:left="827"/>
        <w:rPr>
          <w:rFonts w:ascii="Calibri" w:hAnsi="Calibri" w:cs="Calibri"/>
          <w:color w:val="231F20"/>
        </w:rPr>
      </w:pPr>
    </w:p>
    <w:p w14:paraId="2FA545DE" w14:textId="372A4040" w:rsidR="00F36FD8" w:rsidRDefault="00F36FD8" w:rsidP="00D63204">
      <w:pPr>
        <w:pStyle w:val="ListParagraph"/>
        <w:widowControl w:val="0"/>
        <w:numPr>
          <w:ilvl w:val="0"/>
          <w:numId w:val="137"/>
        </w:numPr>
        <w:spacing w:before="120" w:after="0" w:line="240" w:lineRule="auto"/>
        <w:rPr>
          <w:rFonts w:ascii="Calibri" w:hAnsi="Calibri" w:cs="Calibri"/>
          <w:color w:val="231F20"/>
        </w:rPr>
      </w:pPr>
      <w:r w:rsidRPr="00F36FD8">
        <w:rPr>
          <w:rFonts w:ascii="Calibri" w:hAnsi="Calibri" w:cs="Calibri"/>
          <w:color w:val="231F20"/>
        </w:rPr>
        <w:lastRenderedPageBreak/>
        <w:t>Continue to work with a network of providers to provide technical assistance and support of innovative projects that promote employment for individuals with the most significant disabilities.</w:t>
      </w:r>
    </w:p>
    <w:p w14:paraId="701A81E0" w14:textId="77777777" w:rsidR="00F36FD8" w:rsidRPr="00F36FD8" w:rsidRDefault="00F36FD8" w:rsidP="00F36FD8">
      <w:pPr>
        <w:pStyle w:val="ListParagraph"/>
        <w:rPr>
          <w:rFonts w:ascii="Calibri" w:hAnsi="Calibri" w:cs="Calibri"/>
          <w:color w:val="231F20"/>
        </w:rPr>
      </w:pPr>
    </w:p>
    <w:p w14:paraId="6AEF9729" w14:textId="77777777" w:rsidR="00F36FD8" w:rsidRPr="00F36FD8" w:rsidRDefault="00F36FD8" w:rsidP="00D63204">
      <w:pPr>
        <w:pStyle w:val="ListParagraph"/>
        <w:widowControl w:val="0"/>
        <w:spacing w:before="120" w:after="0" w:line="240" w:lineRule="auto"/>
        <w:ind w:left="827"/>
        <w:rPr>
          <w:rFonts w:ascii="Calibri" w:hAnsi="Calibri" w:cs="Calibri"/>
          <w:color w:val="231F20"/>
        </w:rPr>
      </w:pPr>
    </w:p>
    <w:p w14:paraId="727624FF" w14:textId="2854E1E3" w:rsidR="00F36FD8" w:rsidRDefault="00F36FD8" w:rsidP="00D63204">
      <w:pPr>
        <w:pStyle w:val="ListParagraph"/>
        <w:widowControl w:val="0"/>
        <w:numPr>
          <w:ilvl w:val="0"/>
          <w:numId w:val="137"/>
        </w:numPr>
        <w:spacing w:before="120" w:after="0" w:line="240" w:lineRule="auto"/>
        <w:rPr>
          <w:rFonts w:ascii="Calibri" w:hAnsi="Calibri" w:cs="Calibri"/>
          <w:color w:val="231F20"/>
        </w:rPr>
      </w:pPr>
      <w:r w:rsidRPr="00F36FD8">
        <w:rPr>
          <w:rFonts w:ascii="Calibri" w:hAnsi="Calibri" w:cs="Calibri"/>
          <w:color w:val="231F20"/>
        </w:rPr>
        <w:t>Provide training on the availability of funding ongoing support through Ticket to Work-Employment Network partnerships, natural supports</w:t>
      </w:r>
      <w:r w:rsidR="00D5537E">
        <w:rPr>
          <w:rFonts w:ascii="Calibri" w:hAnsi="Calibri" w:cs="Calibri"/>
          <w:color w:val="231F20"/>
        </w:rPr>
        <w:t xml:space="preserve"> and</w:t>
      </w:r>
      <w:r w:rsidRPr="00F36FD8">
        <w:rPr>
          <w:rFonts w:ascii="Calibri" w:hAnsi="Calibri" w:cs="Calibri"/>
          <w:color w:val="231F20"/>
        </w:rPr>
        <w:t xml:space="preserve"> Social Security Work Incentives as possible resources for ongoing supports.</w:t>
      </w:r>
    </w:p>
    <w:p w14:paraId="65FCE082" w14:textId="77777777" w:rsidR="00F36FD8" w:rsidRPr="00F36FD8" w:rsidRDefault="00F36FD8" w:rsidP="00D63204">
      <w:pPr>
        <w:pStyle w:val="ListParagraph"/>
        <w:widowControl w:val="0"/>
        <w:spacing w:before="120" w:after="0" w:line="240" w:lineRule="auto"/>
        <w:ind w:left="827"/>
        <w:rPr>
          <w:rFonts w:ascii="Calibri" w:hAnsi="Calibri" w:cs="Calibri"/>
          <w:color w:val="231F20"/>
        </w:rPr>
      </w:pPr>
    </w:p>
    <w:p w14:paraId="39763230" w14:textId="5F4AF60E" w:rsidR="00F36FD8" w:rsidRDefault="00F36FD8" w:rsidP="00D63204">
      <w:pPr>
        <w:pStyle w:val="ListParagraph"/>
        <w:widowControl w:val="0"/>
        <w:numPr>
          <w:ilvl w:val="0"/>
          <w:numId w:val="137"/>
        </w:numPr>
        <w:spacing w:before="120" w:after="0" w:line="240" w:lineRule="auto"/>
        <w:rPr>
          <w:rFonts w:ascii="Calibri" w:hAnsi="Calibri" w:cs="Calibri"/>
          <w:color w:val="231F20"/>
        </w:rPr>
      </w:pPr>
      <w:r w:rsidRPr="00F36FD8">
        <w:rPr>
          <w:rFonts w:ascii="Calibri" w:hAnsi="Calibri" w:cs="Calibri"/>
          <w:color w:val="231F20"/>
        </w:rPr>
        <w:t>Encourage the use of employer and natural supports.</w:t>
      </w:r>
    </w:p>
    <w:p w14:paraId="3A92061E" w14:textId="77777777" w:rsidR="00F36FD8" w:rsidRPr="00F36FD8" w:rsidRDefault="00F36FD8" w:rsidP="00D63204">
      <w:pPr>
        <w:pStyle w:val="ListParagraph"/>
        <w:widowControl w:val="0"/>
        <w:spacing w:before="120" w:after="0" w:line="240" w:lineRule="auto"/>
        <w:ind w:left="827"/>
        <w:rPr>
          <w:rFonts w:ascii="Calibri" w:hAnsi="Calibri" w:cs="Calibri"/>
          <w:color w:val="231F20"/>
        </w:rPr>
      </w:pPr>
    </w:p>
    <w:p w14:paraId="0670367B" w14:textId="5FE6BD8B" w:rsidR="00F36FD8" w:rsidRDefault="00F36FD8" w:rsidP="00D63204">
      <w:pPr>
        <w:pStyle w:val="ListParagraph"/>
        <w:widowControl w:val="0"/>
        <w:numPr>
          <w:ilvl w:val="0"/>
          <w:numId w:val="137"/>
        </w:numPr>
        <w:spacing w:before="120" w:after="0" w:line="240" w:lineRule="auto"/>
        <w:rPr>
          <w:rFonts w:ascii="Calibri" w:hAnsi="Calibri" w:cs="Calibri"/>
          <w:color w:val="231F20"/>
        </w:rPr>
      </w:pPr>
      <w:r w:rsidRPr="00F36FD8">
        <w:rPr>
          <w:rFonts w:ascii="Calibri" w:hAnsi="Calibri" w:cs="Calibri"/>
          <w:color w:val="231F20"/>
        </w:rPr>
        <w:t>Enhance relationships with businesses and employers to let them know that on-the-job supports for individuals in supported employment are available. VR will continue efforts to strengthen community partnerships to increase access to appropriate employment services.</w:t>
      </w:r>
    </w:p>
    <w:p w14:paraId="320262E0" w14:textId="77777777" w:rsidR="00F36FD8" w:rsidRPr="00F36FD8" w:rsidRDefault="00F36FD8" w:rsidP="00D63204">
      <w:pPr>
        <w:pStyle w:val="ListParagraph"/>
        <w:widowControl w:val="0"/>
        <w:spacing w:before="120" w:after="0" w:line="240" w:lineRule="auto"/>
        <w:ind w:left="827"/>
        <w:rPr>
          <w:rFonts w:ascii="Calibri" w:hAnsi="Calibri" w:cs="Calibri"/>
          <w:color w:val="231F20"/>
        </w:rPr>
      </w:pPr>
    </w:p>
    <w:p w14:paraId="19E6B466" w14:textId="3C02C8DD" w:rsidR="00F36FD8" w:rsidRDefault="00F36FD8" w:rsidP="00D63204">
      <w:pPr>
        <w:pStyle w:val="ListParagraph"/>
        <w:widowControl w:val="0"/>
        <w:numPr>
          <w:ilvl w:val="0"/>
          <w:numId w:val="137"/>
        </w:numPr>
        <w:spacing w:before="120" w:after="0" w:line="240" w:lineRule="auto"/>
        <w:rPr>
          <w:rFonts w:ascii="Calibri" w:hAnsi="Calibri" w:cs="Calibri"/>
          <w:color w:val="231F20"/>
        </w:rPr>
      </w:pPr>
      <w:r w:rsidRPr="00F36FD8">
        <w:rPr>
          <w:rFonts w:ascii="Calibri" w:hAnsi="Calibri" w:cs="Calibri"/>
          <w:color w:val="231F20"/>
        </w:rPr>
        <w:t xml:space="preserve">Use the Business Relations Team to provide training and technical assistance to employers interested in working with VR customers. They will </w:t>
      </w:r>
      <w:r w:rsidR="007828A9">
        <w:rPr>
          <w:rFonts w:ascii="Calibri" w:hAnsi="Calibri" w:cs="Calibri"/>
          <w:color w:val="231F20"/>
        </w:rPr>
        <w:t xml:space="preserve">also </w:t>
      </w:r>
      <w:r w:rsidRPr="00F36FD8">
        <w:rPr>
          <w:rFonts w:ascii="Calibri" w:hAnsi="Calibri" w:cs="Calibri"/>
          <w:color w:val="231F20"/>
        </w:rPr>
        <w:t>develop positive relationships with employers to increase employment opportunities.</w:t>
      </w:r>
    </w:p>
    <w:p w14:paraId="70B97CA9" w14:textId="77777777" w:rsidR="00F36FD8" w:rsidRPr="00F36FD8" w:rsidRDefault="00F36FD8" w:rsidP="00D63204">
      <w:pPr>
        <w:pStyle w:val="ListParagraph"/>
        <w:widowControl w:val="0"/>
        <w:spacing w:before="120" w:after="0" w:line="240" w:lineRule="auto"/>
        <w:ind w:left="827"/>
        <w:rPr>
          <w:rFonts w:ascii="Calibri" w:hAnsi="Calibri" w:cs="Calibri"/>
          <w:color w:val="231F20"/>
        </w:rPr>
      </w:pPr>
    </w:p>
    <w:p w14:paraId="787B5DCF" w14:textId="48D75E51" w:rsidR="00EA7458" w:rsidRPr="0029105B" w:rsidRDefault="00F36FD8" w:rsidP="00D63204">
      <w:pPr>
        <w:pStyle w:val="ListParagraph"/>
        <w:widowControl w:val="0"/>
        <w:numPr>
          <w:ilvl w:val="0"/>
          <w:numId w:val="137"/>
        </w:numPr>
        <w:spacing w:before="120" w:after="0" w:line="240" w:lineRule="auto"/>
        <w:rPr>
          <w:rFonts w:ascii="Calibri" w:hAnsi="Calibri"/>
        </w:rPr>
      </w:pPr>
      <w:r w:rsidRPr="00F36FD8">
        <w:rPr>
          <w:rFonts w:ascii="Calibri" w:hAnsi="Calibri" w:cs="Calibri"/>
          <w:color w:val="231F20"/>
        </w:rPr>
        <w:t xml:space="preserve">Use the AbilitiesWork Help Desk as a resource to link employers to qualified </w:t>
      </w:r>
      <w:r w:rsidR="00EB646F">
        <w:rPr>
          <w:rFonts w:ascii="Calibri" w:hAnsi="Calibri" w:cs="Calibri"/>
          <w:color w:val="231F20"/>
        </w:rPr>
        <w:t>job seeker</w:t>
      </w:r>
      <w:r w:rsidRPr="00F36FD8">
        <w:rPr>
          <w:rFonts w:ascii="Calibri" w:hAnsi="Calibri" w:cs="Calibri"/>
          <w:color w:val="231F20"/>
        </w:rPr>
        <w:t>s with disabilities. VR is a partner in the development of and administers the AbilitiesWork Help Desk, a collaboration between the state’s Workforce system, Division of Blind Services</w:t>
      </w:r>
      <w:r w:rsidR="00D5537E">
        <w:rPr>
          <w:rFonts w:ascii="Calibri" w:hAnsi="Calibri" w:cs="Calibri"/>
          <w:color w:val="231F20"/>
        </w:rPr>
        <w:t xml:space="preserve"> and</w:t>
      </w:r>
      <w:r w:rsidRPr="00F36FD8">
        <w:rPr>
          <w:rFonts w:ascii="Calibri" w:hAnsi="Calibri" w:cs="Calibri"/>
          <w:color w:val="231F20"/>
        </w:rPr>
        <w:t xml:space="preserve"> APD.</w:t>
      </w:r>
    </w:p>
    <w:p w14:paraId="6839FB37" w14:textId="77777777" w:rsidR="0029105B" w:rsidRPr="0029105B" w:rsidRDefault="0029105B" w:rsidP="0029105B">
      <w:pPr>
        <w:pStyle w:val="ListParagraph"/>
        <w:rPr>
          <w:rFonts w:ascii="Calibri" w:hAnsi="Calibri"/>
        </w:rPr>
      </w:pPr>
    </w:p>
    <w:p w14:paraId="669F64FB" w14:textId="3B8CB39B" w:rsidR="00F36FD8" w:rsidRDefault="0029105B" w:rsidP="00D63204">
      <w:pPr>
        <w:pStyle w:val="ListParagraph"/>
        <w:numPr>
          <w:ilvl w:val="0"/>
          <w:numId w:val="122"/>
        </w:numPr>
        <w:spacing w:line="240" w:lineRule="auto"/>
        <w:rPr>
          <w:rFonts w:ascii="Calibri" w:hAnsi="Calibri"/>
          <w:b/>
          <w:color w:val="1F497D" w:themeColor="text2"/>
          <w:sz w:val="26"/>
          <w:szCs w:val="26"/>
        </w:rPr>
      </w:pPr>
      <w:r w:rsidRPr="0029105B">
        <w:rPr>
          <w:rFonts w:ascii="Calibri" w:hAnsi="Calibri"/>
          <w:b/>
          <w:color w:val="4F81BD" w:themeColor="accent1"/>
          <w:sz w:val="26"/>
          <w:szCs w:val="26"/>
        </w:rPr>
        <w:t xml:space="preserve"> </w:t>
      </w:r>
      <w:r w:rsidR="00F36FD8" w:rsidRPr="00493CD4">
        <w:rPr>
          <w:rFonts w:ascii="Calibri" w:hAnsi="Calibri"/>
          <w:b/>
          <w:color w:val="1F497D" w:themeColor="text2"/>
          <w:sz w:val="26"/>
          <w:szCs w:val="26"/>
        </w:rPr>
        <w:t>State’s Strategies</w:t>
      </w:r>
    </w:p>
    <w:p w14:paraId="0B2B75F6" w14:textId="77777777" w:rsidR="0029105B" w:rsidRDefault="00F36FD8" w:rsidP="00D63204">
      <w:pPr>
        <w:spacing w:after="0" w:line="240" w:lineRule="auto"/>
        <w:ind w:left="90"/>
        <w:rPr>
          <w:rFonts w:ascii="Calibri" w:hAnsi="Calibri"/>
          <w:b/>
          <w:u w:val="single"/>
        </w:rPr>
      </w:pPr>
      <w:r w:rsidRPr="0029105B">
        <w:rPr>
          <w:rFonts w:ascii="Calibri" w:hAnsi="Calibri"/>
          <w:b/>
          <w:u w:val="single"/>
        </w:rPr>
        <w:t xml:space="preserve">Council Support </w:t>
      </w:r>
    </w:p>
    <w:p w14:paraId="563A3486" w14:textId="081AB3EE" w:rsidR="00F36FD8" w:rsidRPr="00F36FD8" w:rsidRDefault="00F36FD8" w:rsidP="00D63204">
      <w:pPr>
        <w:spacing w:line="240" w:lineRule="auto"/>
        <w:ind w:left="90"/>
        <w:rPr>
          <w:rFonts w:ascii="Calibri" w:hAnsi="Calibri"/>
        </w:rPr>
      </w:pPr>
      <w:r w:rsidRPr="00F36FD8">
        <w:rPr>
          <w:rFonts w:ascii="Calibri" w:hAnsi="Calibri"/>
        </w:rPr>
        <w:t>The Division of Vocational Rehabilitation (VR)</w:t>
      </w:r>
      <w:r w:rsidR="007828A9">
        <w:rPr>
          <w:rFonts w:ascii="Calibri" w:hAnsi="Calibri"/>
        </w:rPr>
        <w:t xml:space="preserve"> continues to</w:t>
      </w:r>
      <w:r w:rsidRPr="00F36FD8">
        <w:rPr>
          <w:rFonts w:ascii="Calibri" w:hAnsi="Calibri"/>
        </w:rPr>
        <w:t xml:space="preserve"> provide support for the Florida Rehabilitation Council (FRC) and Florida Independent Living Council (FILC). VR allocates funds for the operation of FRC to achieve the goals and objectives in their strategic plan. FRC participates as an active strategic partner with VR in carrying out the requirements of the Rehabilitation Act. VR and FILC operate under a contract which aligns with the State Plan for Independent Living.</w:t>
      </w:r>
    </w:p>
    <w:p w14:paraId="11FDD49F" w14:textId="77777777" w:rsidR="00F36FD8" w:rsidRPr="0029105B" w:rsidRDefault="00F36FD8" w:rsidP="00D63204">
      <w:pPr>
        <w:spacing w:after="0" w:line="240" w:lineRule="auto"/>
        <w:ind w:left="90"/>
        <w:rPr>
          <w:rFonts w:ascii="Calibri" w:hAnsi="Calibri"/>
          <w:b/>
          <w:u w:val="single"/>
        </w:rPr>
      </w:pPr>
      <w:r w:rsidRPr="0029105B">
        <w:rPr>
          <w:rFonts w:ascii="Calibri" w:hAnsi="Calibri"/>
          <w:b/>
          <w:u w:val="single"/>
        </w:rPr>
        <w:t xml:space="preserve">Use of Innovation and Expansion Funds </w:t>
      </w:r>
    </w:p>
    <w:p w14:paraId="51D2865E" w14:textId="77777777" w:rsidR="00F36FD8" w:rsidRPr="00F36FD8" w:rsidRDefault="00F36FD8" w:rsidP="00D63204">
      <w:pPr>
        <w:spacing w:line="240" w:lineRule="auto"/>
        <w:ind w:left="90"/>
        <w:rPr>
          <w:rFonts w:ascii="Calibri" w:hAnsi="Calibri"/>
        </w:rPr>
      </w:pPr>
      <w:r w:rsidRPr="00F36FD8">
        <w:rPr>
          <w:rFonts w:ascii="Calibri" w:hAnsi="Calibri"/>
        </w:rPr>
        <w:t>VR recognizes Innovation and Expansion projects as beneficial and complementary to WIOA-related initiatives. Following a formal procurement process, VR has entered into contracts for five Innovation and Expansion projects, described below. Contracts for the projects run through SFY 2020.</w:t>
      </w:r>
    </w:p>
    <w:p w14:paraId="2A906828" w14:textId="195F41BC" w:rsidR="0029105B" w:rsidRDefault="00F36FD8" w:rsidP="00D63204">
      <w:pPr>
        <w:pStyle w:val="ListParagraph"/>
        <w:numPr>
          <w:ilvl w:val="0"/>
          <w:numId w:val="138"/>
        </w:numPr>
        <w:spacing w:line="240" w:lineRule="auto"/>
        <w:rPr>
          <w:rFonts w:ascii="Calibri" w:hAnsi="Calibri"/>
        </w:rPr>
      </w:pPr>
      <w:r w:rsidRPr="0029105B">
        <w:rPr>
          <w:rFonts w:ascii="Calibri" w:hAnsi="Calibri"/>
        </w:rPr>
        <w:t>The Business Center for Diversity and Inclusion (BCDI) – Operated by The Diversity Initiative, Inc. (TDI). TDI is providing a “no fee” Business Center provides consultation, development, training</w:t>
      </w:r>
      <w:r w:rsidR="00D5537E">
        <w:rPr>
          <w:rFonts w:ascii="Calibri" w:hAnsi="Calibri"/>
        </w:rPr>
        <w:t xml:space="preserve"> and</w:t>
      </w:r>
      <w:r w:rsidRPr="0029105B">
        <w:rPr>
          <w:rFonts w:ascii="Calibri" w:hAnsi="Calibri"/>
        </w:rPr>
        <w:t xml:space="preserve"> support services to local businesses and organizations to facilitate employment placement for individuals with unique abilities</w:t>
      </w:r>
      <w:r w:rsidR="005E7C49">
        <w:rPr>
          <w:rFonts w:ascii="Calibri" w:hAnsi="Calibri"/>
        </w:rPr>
        <w:t xml:space="preserve">. </w:t>
      </w:r>
      <w:r w:rsidRPr="0029105B">
        <w:rPr>
          <w:rFonts w:ascii="Calibri" w:hAnsi="Calibri"/>
        </w:rPr>
        <w:t>The BCDI serves Pasco, Pinellas, Hillsborough</w:t>
      </w:r>
      <w:r w:rsidR="00D5537E">
        <w:rPr>
          <w:rFonts w:ascii="Calibri" w:hAnsi="Calibri"/>
        </w:rPr>
        <w:t xml:space="preserve"> and</w:t>
      </w:r>
      <w:r w:rsidRPr="0029105B">
        <w:rPr>
          <w:rFonts w:ascii="Calibri" w:hAnsi="Calibri"/>
        </w:rPr>
        <w:t xml:space="preserve"> Hernando counties.</w:t>
      </w:r>
    </w:p>
    <w:p w14:paraId="0624CBE9" w14:textId="77777777" w:rsidR="0029105B" w:rsidRPr="0029105B" w:rsidRDefault="0029105B" w:rsidP="00D63204">
      <w:pPr>
        <w:pStyle w:val="ListParagraph"/>
        <w:spacing w:line="240" w:lineRule="auto"/>
        <w:ind w:left="810"/>
        <w:rPr>
          <w:rFonts w:ascii="Calibri" w:hAnsi="Calibri"/>
        </w:rPr>
      </w:pPr>
    </w:p>
    <w:p w14:paraId="20B00842" w14:textId="3FE6363F" w:rsidR="0029105B" w:rsidRDefault="00F36FD8" w:rsidP="00D63204">
      <w:pPr>
        <w:pStyle w:val="ListParagraph"/>
        <w:numPr>
          <w:ilvl w:val="0"/>
          <w:numId w:val="138"/>
        </w:numPr>
        <w:spacing w:line="240" w:lineRule="auto"/>
        <w:rPr>
          <w:rFonts w:ascii="Calibri" w:hAnsi="Calibri"/>
        </w:rPr>
      </w:pPr>
      <w:r w:rsidRPr="0029105B">
        <w:rPr>
          <w:rFonts w:ascii="Calibri" w:hAnsi="Calibri"/>
        </w:rPr>
        <w:t>The Arc-2-Work: a work-skills training program – Operated by Arc of Alachua County. The Arc-2-Work program is providing pre-employment training and participation in volunteering positions to high school students and clients of the Arc that will foster employment placement for individuals with unique abilities in Alachua County.</w:t>
      </w:r>
    </w:p>
    <w:p w14:paraId="7DBBE9C5" w14:textId="77777777" w:rsidR="0029105B" w:rsidRPr="0029105B" w:rsidRDefault="0029105B" w:rsidP="00D63204">
      <w:pPr>
        <w:pStyle w:val="ListParagraph"/>
        <w:spacing w:line="240" w:lineRule="auto"/>
        <w:ind w:left="810"/>
        <w:rPr>
          <w:rFonts w:ascii="Calibri" w:hAnsi="Calibri"/>
        </w:rPr>
      </w:pPr>
    </w:p>
    <w:p w14:paraId="3A83EA4C" w14:textId="319692FE" w:rsidR="0029105B" w:rsidRDefault="00F36FD8" w:rsidP="00D63204">
      <w:pPr>
        <w:pStyle w:val="ListParagraph"/>
        <w:numPr>
          <w:ilvl w:val="0"/>
          <w:numId w:val="138"/>
        </w:numPr>
        <w:spacing w:line="240" w:lineRule="auto"/>
        <w:rPr>
          <w:rFonts w:ascii="Calibri" w:hAnsi="Calibri"/>
        </w:rPr>
      </w:pPr>
      <w:r w:rsidRPr="0029105B">
        <w:rPr>
          <w:rFonts w:ascii="Calibri" w:hAnsi="Calibri"/>
        </w:rPr>
        <w:lastRenderedPageBreak/>
        <w:t>The Industry Readiness Training (IRT) Program – Operated by Brevard Achievement Center. The IRT Program is providing pre-employment training and participation in volunteering positions that will foster employment placement for individuals with uniqu</w:t>
      </w:r>
      <w:r w:rsidR="0029105B" w:rsidRPr="0029105B">
        <w:rPr>
          <w:rFonts w:ascii="Calibri" w:hAnsi="Calibri"/>
        </w:rPr>
        <w:t>e abilities in Brevard County.</w:t>
      </w:r>
    </w:p>
    <w:p w14:paraId="7CAFC5EB" w14:textId="77777777" w:rsidR="00096B5A" w:rsidRPr="00096B5A" w:rsidRDefault="00096B5A" w:rsidP="00096B5A">
      <w:pPr>
        <w:pStyle w:val="ListParagraph"/>
        <w:rPr>
          <w:rFonts w:ascii="Calibri" w:hAnsi="Calibri"/>
        </w:rPr>
      </w:pPr>
    </w:p>
    <w:p w14:paraId="7A244CE8" w14:textId="47ADEC0F" w:rsidR="0029105B" w:rsidRDefault="00F36FD8" w:rsidP="00D63204">
      <w:pPr>
        <w:pStyle w:val="ListParagraph"/>
        <w:numPr>
          <w:ilvl w:val="0"/>
          <w:numId w:val="138"/>
        </w:numPr>
        <w:spacing w:line="240" w:lineRule="auto"/>
        <w:rPr>
          <w:rFonts w:ascii="Calibri" w:hAnsi="Calibri"/>
        </w:rPr>
      </w:pPr>
      <w:r w:rsidRPr="0029105B">
        <w:rPr>
          <w:rFonts w:ascii="Calibri" w:hAnsi="Calibri"/>
        </w:rPr>
        <w:t>Discovering Your Potential (DYP) – Operated by Gulfstream Goodwill Industries, Inc. The DYP Program is providing highly focused, intensive discovery, training</w:t>
      </w:r>
      <w:r w:rsidR="00D5537E">
        <w:rPr>
          <w:rFonts w:ascii="Calibri" w:hAnsi="Calibri"/>
        </w:rPr>
        <w:t xml:space="preserve"> and</w:t>
      </w:r>
      <w:r w:rsidRPr="0029105B">
        <w:rPr>
          <w:rFonts w:ascii="Calibri" w:hAnsi="Calibri"/>
        </w:rPr>
        <w:t xml:space="preserve"> support to individuals with unique abilities to increase employment outcomes in Indian River, St. Lucie, Martin</w:t>
      </w:r>
      <w:r w:rsidR="00D5537E">
        <w:rPr>
          <w:rFonts w:ascii="Calibri" w:hAnsi="Calibri"/>
        </w:rPr>
        <w:t xml:space="preserve"> and</w:t>
      </w:r>
      <w:r w:rsidRPr="0029105B">
        <w:rPr>
          <w:rFonts w:ascii="Calibri" w:hAnsi="Calibri"/>
        </w:rPr>
        <w:t xml:space="preserve"> Okeechobee counties.</w:t>
      </w:r>
    </w:p>
    <w:p w14:paraId="4FD4BACE" w14:textId="77777777" w:rsidR="0029105B" w:rsidRPr="0029105B" w:rsidRDefault="0029105B" w:rsidP="00D63204">
      <w:pPr>
        <w:pStyle w:val="ListParagraph"/>
        <w:spacing w:line="240" w:lineRule="auto"/>
        <w:ind w:left="810"/>
        <w:rPr>
          <w:rFonts w:ascii="Calibri" w:hAnsi="Calibri"/>
        </w:rPr>
      </w:pPr>
    </w:p>
    <w:p w14:paraId="082B7E6F" w14:textId="7645D67C" w:rsidR="00F36FD8" w:rsidRPr="0029105B" w:rsidRDefault="00F36FD8" w:rsidP="00D63204">
      <w:pPr>
        <w:pStyle w:val="ListParagraph"/>
        <w:numPr>
          <w:ilvl w:val="0"/>
          <w:numId w:val="138"/>
        </w:numPr>
        <w:spacing w:line="240" w:lineRule="auto"/>
        <w:rPr>
          <w:rFonts w:ascii="Calibri" w:hAnsi="Calibri"/>
        </w:rPr>
      </w:pPr>
      <w:r w:rsidRPr="0029105B">
        <w:rPr>
          <w:rFonts w:ascii="Calibri" w:hAnsi="Calibri"/>
        </w:rPr>
        <w:t>Discovering Your Potential (DYP) – Operated by Gulfstream Goodwill Industries, Inc. The DYP Program is providing highly focused, intensive discovery, training</w:t>
      </w:r>
      <w:r w:rsidR="00D5537E">
        <w:rPr>
          <w:rFonts w:ascii="Calibri" w:hAnsi="Calibri"/>
        </w:rPr>
        <w:t xml:space="preserve"> and</w:t>
      </w:r>
      <w:r w:rsidRPr="0029105B">
        <w:rPr>
          <w:rFonts w:ascii="Calibri" w:hAnsi="Calibri"/>
        </w:rPr>
        <w:t xml:space="preserve"> support to individuals with unique abilities to increase employment outcomes in Palm Beach County.</w:t>
      </w:r>
    </w:p>
    <w:p w14:paraId="57FF14BF" w14:textId="77777777" w:rsidR="00F36FD8" w:rsidRPr="0029105B" w:rsidRDefault="00F36FD8" w:rsidP="00D63204">
      <w:pPr>
        <w:spacing w:after="0" w:line="240" w:lineRule="auto"/>
        <w:ind w:left="90"/>
        <w:rPr>
          <w:rFonts w:ascii="Calibri" w:hAnsi="Calibri"/>
          <w:b/>
          <w:u w:val="single"/>
        </w:rPr>
      </w:pPr>
      <w:r w:rsidRPr="0029105B">
        <w:rPr>
          <w:rFonts w:ascii="Calibri" w:hAnsi="Calibri"/>
          <w:b/>
          <w:u w:val="single"/>
        </w:rPr>
        <w:t xml:space="preserve">Rehabilitation Technology </w:t>
      </w:r>
    </w:p>
    <w:p w14:paraId="6FCBCA1C" w14:textId="77777777" w:rsidR="00F36FD8" w:rsidRPr="00F36FD8" w:rsidRDefault="00F36FD8" w:rsidP="00D63204">
      <w:pPr>
        <w:spacing w:line="240" w:lineRule="auto"/>
        <w:ind w:left="90"/>
        <w:rPr>
          <w:rFonts w:ascii="Calibri" w:hAnsi="Calibri"/>
        </w:rPr>
      </w:pPr>
      <w:r w:rsidRPr="00F36FD8">
        <w:rPr>
          <w:rFonts w:ascii="Calibri" w:hAnsi="Calibri"/>
        </w:rPr>
        <w:t>Rehabilitation Technology is provided through a contractual agreement with the Center for Assistive, Rehabilitation and Robotics Technologies at the University of South Florida. The program provides rehabilitation technology assessment and evaluation services for VR customers across all stages of the rehabilitation process. Rehabilitation technology includes a range of services and devices that supplement and enhance individual functions. It includes services like job redesign or worksite modifications that improve the work environment.</w:t>
      </w:r>
    </w:p>
    <w:p w14:paraId="7815957F" w14:textId="77777777" w:rsidR="00F36FD8" w:rsidRPr="0029105B" w:rsidRDefault="00F36FD8" w:rsidP="00D63204">
      <w:pPr>
        <w:spacing w:after="0" w:line="240" w:lineRule="auto"/>
        <w:ind w:left="90"/>
        <w:rPr>
          <w:rFonts w:ascii="Calibri" w:hAnsi="Calibri"/>
          <w:b/>
          <w:u w:val="single"/>
        </w:rPr>
      </w:pPr>
      <w:r w:rsidRPr="0029105B">
        <w:rPr>
          <w:rFonts w:ascii="Calibri" w:hAnsi="Calibri"/>
          <w:b/>
          <w:u w:val="single"/>
        </w:rPr>
        <w:t>Assistive Technology Services and Devices</w:t>
      </w:r>
    </w:p>
    <w:p w14:paraId="6F1516C1" w14:textId="7042477C" w:rsidR="00F36FD8" w:rsidRPr="00F36FD8" w:rsidRDefault="00F36FD8" w:rsidP="00D63204">
      <w:pPr>
        <w:spacing w:line="240" w:lineRule="auto"/>
        <w:ind w:left="90"/>
        <w:rPr>
          <w:rFonts w:ascii="Calibri" w:hAnsi="Calibri"/>
        </w:rPr>
      </w:pPr>
      <w:r w:rsidRPr="00F36FD8">
        <w:rPr>
          <w:rFonts w:ascii="Calibri" w:hAnsi="Calibri"/>
        </w:rPr>
        <w:t>VR sponsors the Alliance for Assistive Services and Technology Project that is directed by the Assistive Technology Advisory Council in accordance with Section 413.407, Florida Statutes. The project provides for the coordination and delivery of appropriate, cost-effective, state-of-the-art assistive technology services and devices on a statewide basis. The Florida Alliance for Assistive Services and Technology, Inc. (FAAST), is a not-for-profit corporation for which the Assistive Technology Advisory Council acts as the board of directors, manages the project</w:t>
      </w:r>
      <w:r w:rsidR="00D5537E">
        <w:rPr>
          <w:rFonts w:ascii="Calibri" w:hAnsi="Calibri"/>
        </w:rPr>
        <w:t xml:space="preserve"> and</w:t>
      </w:r>
      <w:r w:rsidRPr="00F36FD8">
        <w:rPr>
          <w:rFonts w:ascii="Calibri" w:hAnsi="Calibri"/>
        </w:rPr>
        <w:t xml:space="preserve"> provides administrative and technical support to the council.</w:t>
      </w:r>
    </w:p>
    <w:p w14:paraId="1716E06E" w14:textId="77777777" w:rsidR="00F36FD8" w:rsidRPr="00F36FD8" w:rsidRDefault="00F36FD8" w:rsidP="00D63204">
      <w:pPr>
        <w:spacing w:line="240" w:lineRule="auto"/>
        <w:ind w:left="90"/>
        <w:rPr>
          <w:rFonts w:ascii="Calibri" w:hAnsi="Calibri"/>
        </w:rPr>
      </w:pPr>
      <w:r w:rsidRPr="00F36FD8">
        <w:rPr>
          <w:rFonts w:ascii="Calibri" w:hAnsi="Calibri"/>
        </w:rPr>
        <w:t>FAAST is responsible for administering a low interest loan authority that provides funding to individuals with disabilities who may be unable to qualify for traditional loans and bank financing to purchase assistive technology devices.</w:t>
      </w:r>
    </w:p>
    <w:p w14:paraId="6CF399C6" w14:textId="39BD4460" w:rsidR="00F36FD8" w:rsidRPr="00F36FD8" w:rsidRDefault="00F36FD8" w:rsidP="00D63204">
      <w:pPr>
        <w:spacing w:line="240" w:lineRule="auto"/>
        <w:ind w:left="90"/>
        <w:rPr>
          <w:rFonts w:ascii="Calibri" w:hAnsi="Calibri"/>
        </w:rPr>
      </w:pPr>
      <w:r w:rsidRPr="00F36FD8">
        <w:rPr>
          <w:rFonts w:ascii="Calibri" w:hAnsi="Calibri"/>
        </w:rPr>
        <w:t>Assistive technology includes both devices and services. A device is any item or piece of equipment used to maintain or improve the functional capabilities of a person with a disability. Many high-tech and low-tech devices are available to help people with disabilities in daily living tasks, communication, education, work</w:t>
      </w:r>
      <w:r w:rsidR="00D5537E">
        <w:rPr>
          <w:rFonts w:ascii="Calibri" w:hAnsi="Calibri"/>
        </w:rPr>
        <w:t xml:space="preserve"> and</w:t>
      </w:r>
      <w:r w:rsidRPr="00F36FD8">
        <w:rPr>
          <w:rFonts w:ascii="Calibri" w:hAnsi="Calibri"/>
        </w:rPr>
        <w:t xml:space="preserve"> recreation.</w:t>
      </w:r>
    </w:p>
    <w:p w14:paraId="4B50F408" w14:textId="77777777" w:rsidR="00096B5A" w:rsidRDefault="00096B5A" w:rsidP="00D63204">
      <w:pPr>
        <w:spacing w:after="0" w:line="240" w:lineRule="auto"/>
        <w:ind w:left="90"/>
        <w:rPr>
          <w:rFonts w:ascii="Calibri" w:hAnsi="Calibri"/>
          <w:b/>
          <w:u w:val="single"/>
        </w:rPr>
      </w:pPr>
    </w:p>
    <w:p w14:paraId="585F264E" w14:textId="5C9E9898" w:rsidR="00F36FD8" w:rsidRPr="0029105B" w:rsidRDefault="00F36FD8" w:rsidP="00D63204">
      <w:pPr>
        <w:spacing w:after="0" w:line="240" w:lineRule="auto"/>
        <w:ind w:left="90"/>
        <w:rPr>
          <w:rFonts w:ascii="Calibri" w:hAnsi="Calibri"/>
          <w:b/>
          <w:u w:val="single"/>
        </w:rPr>
      </w:pPr>
      <w:r w:rsidRPr="0029105B">
        <w:rPr>
          <w:rFonts w:ascii="Calibri" w:hAnsi="Calibri"/>
          <w:b/>
          <w:u w:val="single"/>
        </w:rPr>
        <w:t>Expansion and Improvement of Services</w:t>
      </w:r>
    </w:p>
    <w:p w14:paraId="554D7565" w14:textId="77777777" w:rsidR="00F36FD8" w:rsidRPr="00F36FD8" w:rsidRDefault="00F36FD8" w:rsidP="00D63204">
      <w:pPr>
        <w:spacing w:line="240" w:lineRule="auto"/>
        <w:ind w:left="90"/>
        <w:rPr>
          <w:rFonts w:ascii="Calibri" w:hAnsi="Calibri"/>
        </w:rPr>
      </w:pPr>
      <w:r w:rsidRPr="00F36FD8">
        <w:rPr>
          <w:rFonts w:ascii="Calibri" w:hAnsi="Calibri"/>
        </w:rPr>
        <w:t>Results gained through the Innovation and Expansion projects described above will contribute to increased employment opportunities for VR customers. In addition to the innovation and expansion projects, VR’s strategic plan contains the following initiatives anticipated to expand and improve services to individuals with disabilities:</w:t>
      </w:r>
    </w:p>
    <w:p w14:paraId="179D9596" w14:textId="0940A5D4" w:rsidR="00F36FD8" w:rsidRDefault="00F36FD8" w:rsidP="00D63204">
      <w:pPr>
        <w:pStyle w:val="ListParagraph"/>
        <w:numPr>
          <w:ilvl w:val="0"/>
          <w:numId w:val="139"/>
        </w:numPr>
        <w:spacing w:line="240" w:lineRule="auto"/>
        <w:rPr>
          <w:rFonts w:ascii="Calibri" w:hAnsi="Calibri"/>
        </w:rPr>
      </w:pPr>
      <w:r w:rsidRPr="0029105B">
        <w:rPr>
          <w:rFonts w:ascii="Calibri" w:hAnsi="Calibri"/>
        </w:rPr>
        <w:t>Develop and implement all components of the VR Business Relations Program.</w:t>
      </w:r>
    </w:p>
    <w:p w14:paraId="10265B09" w14:textId="77777777" w:rsidR="0029105B" w:rsidRPr="0029105B" w:rsidRDefault="0029105B" w:rsidP="00D63204">
      <w:pPr>
        <w:pStyle w:val="ListParagraph"/>
        <w:spacing w:line="240" w:lineRule="auto"/>
        <w:ind w:left="810"/>
        <w:rPr>
          <w:rFonts w:ascii="Calibri" w:hAnsi="Calibri"/>
        </w:rPr>
      </w:pPr>
    </w:p>
    <w:p w14:paraId="13805291" w14:textId="1EB29D97" w:rsidR="00F36FD8" w:rsidRDefault="00F36FD8" w:rsidP="00D63204">
      <w:pPr>
        <w:pStyle w:val="ListParagraph"/>
        <w:numPr>
          <w:ilvl w:val="0"/>
          <w:numId w:val="139"/>
        </w:numPr>
        <w:spacing w:line="240" w:lineRule="auto"/>
        <w:rPr>
          <w:rFonts w:ascii="Calibri" w:hAnsi="Calibri"/>
        </w:rPr>
      </w:pPr>
      <w:r w:rsidRPr="0029105B">
        <w:rPr>
          <w:rFonts w:ascii="Calibri" w:hAnsi="Calibri"/>
        </w:rPr>
        <w:t>Redesign and implement pre-employment services for transition-age customers.</w:t>
      </w:r>
    </w:p>
    <w:p w14:paraId="45546A4B" w14:textId="77777777" w:rsidR="0029105B" w:rsidRPr="0029105B" w:rsidRDefault="0029105B" w:rsidP="00D63204">
      <w:pPr>
        <w:pStyle w:val="ListParagraph"/>
        <w:spacing w:line="240" w:lineRule="auto"/>
        <w:ind w:left="810"/>
        <w:rPr>
          <w:rFonts w:ascii="Calibri" w:hAnsi="Calibri"/>
        </w:rPr>
      </w:pPr>
    </w:p>
    <w:p w14:paraId="3CEC4B8F" w14:textId="3A32E8FF" w:rsidR="00F36FD8" w:rsidRDefault="00F36FD8" w:rsidP="00D63204">
      <w:pPr>
        <w:pStyle w:val="ListParagraph"/>
        <w:numPr>
          <w:ilvl w:val="0"/>
          <w:numId w:val="139"/>
        </w:numPr>
        <w:spacing w:line="240" w:lineRule="auto"/>
        <w:rPr>
          <w:rFonts w:ascii="Calibri" w:hAnsi="Calibri"/>
        </w:rPr>
      </w:pPr>
      <w:r w:rsidRPr="0029105B">
        <w:rPr>
          <w:rFonts w:ascii="Calibri" w:hAnsi="Calibri"/>
        </w:rPr>
        <w:t>Design and implement a program about service alternatives for customers to use in making an informed choice prior to entering subminimum wage employment.</w:t>
      </w:r>
    </w:p>
    <w:p w14:paraId="4E215CBF" w14:textId="77777777" w:rsidR="0029105B" w:rsidRPr="0029105B" w:rsidRDefault="0029105B" w:rsidP="00D63204">
      <w:pPr>
        <w:pStyle w:val="ListParagraph"/>
        <w:spacing w:line="240" w:lineRule="auto"/>
        <w:ind w:left="810"/>
        <w:rPr>
          <w:rFonts w:ascii="Calibri" w:hAnsi="Calibri"/>
        </w:rPr>
      </w:pPr>
    </w:p>
    <w:p w14:paraId="501B8058" w14:textId="24F1F4BB" w:rsidR="00F36FD8" w:rsidRPr="0029105B" w:rsidRDefault="00F36FD8" w:rsidP="00D63204">
      <w:pPr>
        <w:pStyle w:val="ListParagraph"/>
        <w:numPr>
          <w:ilvl w:val="0"/>
          <w:numId w:val="139"/>
        </w:numPr>
        <w:spacing w:line="240" w:lineRule="auto"/>
        <w:rPr>
          <w:rFonts w:ascii="Calibri" w:hAnsi="Calibri"/>
        </w:rPr>
      </w:pPr>
      <w:r w:rsidRPr="0029105B">
        <w:rPr>
          <w:rFonts w:ascii="Calibri" w:hAnsi="Calibri"/>
        </w:rPr>
        <w:lastRenderedPageBreak/>
        <w:t>Design and implement enhancements to the Vendor Profile document for customer use in making informed choices regarding employment providers.</w:t>
      </w:r>
    </w:p>
    <w:p w14:paraId="0502F0E2" w14:textId="5D485A09" w:rsidR="00F36FD8" w:rsidRPr="0029105B" w:rsidRDefault="00F36FD8" w:rsidP="00D63204">
      <w:pPr>
        <w:spacing w:after="0" w:line="240" w:lineRule="auto"/>
        <w:ind w:left="90"/>
        <w:rPr>
          <w:rFonts w:ascii="Calibri" w:hAnsi="Calibri"/>
          <w:b/>
          <w:u w:val="single"/>
        </w:rPr>
      </w:pPr>
      <w:r w:rsidRPr="0029105B">
        <w:rPr>
          <w:rFonts w:ascii="Calibri" w:hAnsi="Calibri"/>
          <w:b/>
          <w:u w:val="single"/>
        </w:rPr>
        <w:t xml:space="preserve">Outreach to Individuals with Disabilities who are Minorities and/or who have been Unserved or Underserved </w:t>
      </w:r>
    </w:p>
    <w:p w14:paraId="3BE21E8C" w14:textId="5FDE974E" w:rsidR="0029105B" w:rsidRDefault="00F36FD8" w:rsidP="00D63204">
      <w:pPr>
        <w:spacing w:line="240" w:lineRule="auto"/>
        <w:ind w:left="90"/>
        <w:rPr>
          <w:rFonts w:ascii="Calibri" w:hAnsi="Calibri"/>
        </w:rPr>
      </w:pPr>
      <w:r w:rsidRPr="00F36FD8">
        <w:rPr>
          <w:rFonts w:ascii="Calibri" w:hAnsi="Calibri"/>
        </w:rPr>
        <w:t>VR</w:t>
      </w:r>
      <w:r w:rsidR="007828A9">
        <w:rPr>
          <w:rFonts w:ascii="Calibri" w:hAnsi="Calibri"/>
        </w:rPr>
        <w:t xml:space="preserve"> continues to</w:t>
      </w:r>
      <w:r w:rsidRPr="00F36FD8">
        <w:rPr>
          <w:rFonts w:ascii="Calibri" w:hAnsi="Calibri"/>
        </w:rPr>
        <w:t xml:space="preserve"> assess its services to individuals with the most significant disabilities and individuals who may be unserved or underserved, as well as those with the most significant disabilities who may be from minority populations. VR will be completing its next CSNA during FFY2018-19, which will further identify unserved and/ or underserved groups, as well as recommendations for how to better serve these groups. Strategic projects and local-level outreach ac</w:t>
      </w:r>
      <w:r w:rsidR="0029105B">
        <w:rPr>
          <w:rFonts w:ascii="Calibri" w:hAnsi="Calibri"/>
        </w:rPr>
        <w:t>tivities</w:t>
      </w:r>
      <w:r w:rsidR="003651B5">
        <w:rPr>
          <w:rFonts w:ascii="Calibri" w:hAnsi="Calibri"/>
        </w:rPr>
        <w:t xml:space="preserve"> to ensure services to minorities and unserved/ underserved groups</w:t>
      </w:r>
      <w:r w:rsidR="0029105B">
        <w:rPr>
          <w:rFonts w:ascii="Calibri" w:hAnsi="Calibri"/>
        </w:rPr>
        <w:t xml:space="preserve"> include the following:</w:t>
      </w:r>
    </w:p>
    <w:p w14:paraId="3C7C2EC3" w14:textId="15A43873" w:rsidR="0029105B" w:rsidRDefault="00F36FD8" w:rsidP="00D63204">
      <w:pPr>
        <w:pStyle w:val="ListParagraph"/>
        <w:numPr>
          <w:ilvl w:val="0"/>
          <w:numId w:val="140"/>
        </w:numPr>
        <w:spacing w:line="240" w:lineRule="auto"/>
        <w:rPr>
          <w:rFonts w:ascii="Calibri" w:hAnsi="Calibri"/>
        </w:rPr>
      </w:pPr>
      <w:r w:rsidRPr="0029105B">
        <w:rPr>
          <w:rFonts w:ascii="Calibri" w:hAnsi="Calibri"/>
        </w:rPr>
        <w:t>Develop and implement all components of the VR Business Relationship Program.</w:t>
      </w:r>
    </w:p>
    <w:p w14:paraId="58164454" w14:textId="77777777" w:rsidR="0029105B" w:rsidRPr="0029105B" w:rsidRDefault="0029105B" w:rsidP="00D63204">
      <w:pPr>
        <w:pStyle w:val="ListParagraph"/>
        <w:spacing w:line="240" w:lineRule="auto"/>
        <w:ind w:left="810"/>
        <w:rPr>
          <w:rFonts w:ascii="Calibri" w:hAnsi="Calibri"/>
        </w:rPr>
      </w:pPr>
    </w:p>
    <w:p w14:paraId="7036B59A" w14:textId="0324C035" w:rsidR="0029105B" w:rsidRDefault="00F36FD8" w:rsidP="00D63204">
      <w:pPr>
        <w:pStyle w:val="ListParagraph"/>
        <w:numPr>
          <w:ilvl w:val="0"/>
          <w:numId w:val="140"/>
        </w:numPr>
        <w:spacing w:line="240" w:lineRule="auto"/>
        <w:rPr>
          <w:rFonts w:ascii="Calibri" w:hAnsi="Calibri"/>
        </w:rPr>
      </w:pPr>
      <w:r w:rsidRPr="0029105B">
        <w:rPr>
          <w:rFonts w:ascii="Calibri" w:hAnsi="Calibri"/>
        </w:rPr>
        <w:t>Redesign and implement pre-employment services for transition-age customers.</w:t>
      </w:r>
    </w:p>
    <w:p w14:paraId="33EE5838" w14:textId="77777777" w:rsidR="0029105B" w:rsidRPr="0029105B" w:rsidRDefault="0029105B" w:rsidP="00D63204">
      <w:pPr>
        <w:pStyle w:val="ListParagraph"/>
        <w:spacing w:line="240" w:lineRule="auto"/>
        <w:ind w:left="810"/>
        <w:rPr>
          <w:rFonts w:ascii="Calibri" w:hAnsi="Calibri"/>
        </w:rPr>
      </w:pPr>
    </w:p>
    <w:p w14:paraId="23B7D403" w14:textId="7F8BB1FF" w:rsidR="0029105B" w:rsidRDefault="00F36FD8" w:rsidP="00D63204">
      <w:pPr>
        <w:pStyle w:val="ListParagraph"/>
        <w:numPr>
          <w:ilvl w:val="0"/>
          <w:numId w:val="140"/>
        </w:numPr>
        <w:spacing w:line="240" w:lineRule="auto"/>
        <w:rPr>
          <w:rFonts w:ascii="Calibri" w:hAnsi="Calibri"/>
        </w:rPr>
      </w:pPr>
      <w:r w:rsidRPr="0029105B">
        <w:rPr>
          <w:rFonts w:ascii="Calibri" w:hAnsi="Calibri"/>
        </w:rPr>
        <w:t>Design and implement a program about service alternatives for customers to use in making an informed choice prior to entering subminimum wage employment.</w:t>
      </w:r>
    </w:p>
    <w:p w14:paraId="2D387AD9" w14:textId="77777777" w:rsidR="0029105B" w:rsidRPr="0029105B" w:rsidRDefault="0029105B" w:rsidP="00D63204">
      <w:pPr>
        <w:pStyle w:val="ListParagraph"/>
        <w:spacing w:line="240" w:lineRule="auto"/>
        <w:ind w:left="810"/>
        <w:rPr>
          <w:rFonts w:ascii="Calibri" w:hAnsi="Calibri"/>
        </w:rPr>
      </w:pPr>
    </w:p>
    <w:p w14:paraId="3D9473FA" w14:textId="39ECF575" w:rsidR="0029105B" w:rsidRDefault="00F36FD8" w:rsidP="00D63204">
      <w:pPr>
        <w:pStyle w:val="ListParagraph"/>
        <w:numPr>
          <w:ilvl w:val="0"/>
          <w:numId w:val="140"/>
        </w:numPr>
        <w:spacing w:line="240" w:lineRule="auto"/>
        <w:rPr>
          <w:rFonts w:ascii="Calibri" w:hAnsi="Calibri"/>
        </w:rPr>
      </w:pPr>
      <w:r w:rsidRPr="0029105B">
        <w:rPr>
          <w:rFonts w:ascii="Calibri" w:hAnsi="Calibri"/>
        </w:rPr>
        <w:t>Design and implement enhancements to the Vendor Profile document for customer use in making informed choices regarding employment providers.</w:t>
      </w:r>
    </w:p>
    <w:p w14:paraId="52916810" w14:textId="77777777" w:rsidR="0029105B" w:rsidRPr="0029105B" w:rsidRDefault="0029105B" w:rsidP="00D63204">
      <w:pPr>
        <w:pStyle w:val="ListParagraph"/>
        <w:spacing w:line="240" w:lineRule="auto"/>
        <w:ind w:left="810"/>
        <w:rPr>
          <w:rFonts w:ascii="Calibri" w:hAnsi="Calibri"/>
        </w:rPr>
      </w:pPr>
    </w:p>
    <w:p w14:paraId="792EC9D7" w14:textId="6326F189" w:rsidR="0029105B" w:rsidRDefault="00F36FD8" w:rsidP="00D63204">
      <w:pPr>
        <w:pStyle w:val="ListParagraph"/>
        <w:numPr>
          <w:ilvl w:val="0"/>
          <w:numId w:val="140"/>
        </w:numPr>
        <w:spacing w:line="240" w:lineRule="auto"/>
        <w:rPr>
          <w:rFonts w:ascii="Calibri" w:hAnsi="Calibri"/>
        </w:rPr>
      </w:pPr>
      <w:r w:rsidRPr="0029105B">
        <w:rPr>
          <w:rFonts w:ascii="Calibri" w:hAnsi="Calibri"/>
        </w:rPr>
        <w:t>Continue to explore partnership opportunities with community/faith-based organizations. Develop contact lists of faith-based and other diverse programs as resources for partnership opportunities.</w:t>
      </w:r>
    </w:p>
    <w:p w14:paraId="680CF5CD" w14:textId="77777777" w:rsidR="0029105B" w:rsidRPr="0029105B" w:rsidRDefault="0029105B" w:rsidP="00D63204">
      <w:pPr>
        <w:pStyle w:val="ListParagraph"/>
        <w:spacing w:line="240" w:lineRule="auto"/>
        <w:ind w:left="810"/>
        <w:rPr>
          <w:rFonts w:ascii="Calibri" w:hAnsi="Calibri"/>
        </w:rPr>
      </w:pPr>
    </w:p>
    <w:p w14:paraId="3C1DB6E0" w14:textId="2CF4F91C" w:rsidR="0029105B" w:rsidRDefault="00F36FD8" w:rsidP="00D63204">
      <w:pPr>
        <w:pStyle w:val="ListParagraph"/>
        <w:numPr>
          <w:ilvl w:val="0"/>
          <w:numId w:val="140"/>
        </w:numPr>
        <w:spacing w:line="240" w:lineRule="auto"/>
        <w:rPr>
          <w:rFonts w:ascii="Calibri" w:hAnsi="Calibri"/>
        </w:rPr>
      </w:pPr>
      <w:r w:rsidRPr="0029105B">
        <w:rPr>
          <w:rFonts w:ascii="Calibri" w:hAnsi="Calibri"/>
        </w:rPr>
        <w:t>Continue to identify outreach activities conducted by VR area offices for underrepresented populations. Conduct outreach in local communities to promote VR as an agency</w:t>
      </w:r>
      <w:r w:rsidR="00D5537E">
        <w:rPr>
          <w:rFonts w:ascii="Calibri" w:hAnsi="Calibri"/>
        </w:rPr>
        <w:t xml:space="preserve"> and</w:t>
      </w:r>
      <w:r w:rsidRPr="0029105B">
        <w:rPr>
          <w:rFonts w:ascii="Calibri" w:hAnsi="Calibri"/>
        </w:rPr>
        <w:t xml:space="preserve"> help individuals with disabilities who are minorities or who may be unserved or underserved to return or remain in the workplace.</w:t>
      </w:r>
    </w:p>
    <w:p w14:paraId="52AAE140" w14:textId="77777777" w:rsidR="0029105B" w:rsidRPr="0029105B" w:rsidRDefault="0029105B" w:rsidP="00D63204">
      <w:pPr>
        <w:pStyle w:val="ListParagraph"/>
        <w:spacing w:line="240" w:lineRule="auto"/>
        <w:ind w:left="810"/>
        <w:rPr>
          <w:rFonts w:ascii="Calibri" w:hAnsi="Calibri"/>
        </w:rPr>
      </w:pPr>
    </w:p>
    <w:p w14:paraId="0B11F3AB" w14:textId="4496492C" w:rsidR="0029105B" w:rsidRDefault="00F36FD8" w:rsidP="00D63204">
      <w:pPr>
        <w:pStyle w:val="ListParagraph"/>
        <w:numPr>
          <w:ilvl w:val="0"/>
          <w:numId w:val="140"/>
        </w:numPr>
        <w:spacing w:line="240" w:lineRule="auto"/>
        <w:rPr>
          <w:rFonts w:ascii="Calibri" w:hAnsi="Calibri"/>
        </w:rPr>
      </w:pPr>
      <w:r w:rsidRPr="0029105B">
        <w:rPr>
          <w:rFonts w:ascii="Calibri" w:hAnsi="Calibri"/>
        </w:rPr>
        <w:t>Continue to conduct outreach to migrant and seasonal farmworkers and their families through contracts with community-based organizations and other partners.</w:t>
      </w:r>
    </w:p>
    <w:p w14:paraId="5481E79D" w14:textId="77777777" w:rsidR="0029105B" w:rsidRPr="0029105B" w:rsidRDefault="0029105B" w:rsidP="00D63204">
      <w:pPr>
        <w:pStyle w:val="ListParagraph"/>
        <w:spacing w:line="240" w:lineRule="auto"/>
        <w:ind w:left="810"/>
        <w:rPr>
          <w:rFonts w:ascii="Calibri" w:hAnsi="Calibri"/>
        </w:rPr>
      </w:pPr>
    </w:p>
    <w:p w14:paraId="1188593B" w14:textId="798554C5" w:rsidR="00F36FD8" w:rsidRPr="0029105B" w:rsidRDefault="00F36FD8" w:rsidP="00D63204">
      <w:pPr>
        <w:pStyle w:val="ListParagraph"/>
        <w:numPr>
          <w:ilvl w:val="0"/>
          <w:numId w:val="140"/>
        </w:numPr>
        <w:spacing w:line="240" w:lineRule="auto"/>
        <w:rPr>
          <w:rFonts w:ascii="Calibri" w:hAnsi="Calibri"/>
        </w:rPr>
      </w:pPr>
      <w:r w:rsidRPr="0029105B">
        <w:rPr>
          <w:rFonts w:ascii="Calibri" w:hAnsi="Calibri"/>
        </w:rPr>
        <w:t>Continue to implement activities outlined in the Memorandum of Understanding with the Lower Muscogee Creek Tribe.</w:t>
      </w:r>
    </w:p>
    <w:p w14:paraId="36D3E528" w14:textId="77777777" w:rsidR="00F36FD8" w:rsidRPr="0029105B" w:rsidRDefault="00F36FD8" w:rsidP="00D63204">
      <w:pPr>
        <w:spacing w:after="0" w:line="240" w:lineRule="auto"/>
        <w:ind w:left="90"/>
        <w:rPr>
          <w:rFonts w:ascii="Calibri" w:hAnsi="Calibri"/>
          <w:b/>
          <w:u w:val="single"/>
        </w:rPr>
      </w:pPr>
      <w:r w:rsidRPr="0029105B">
        <w:rPr>
          <w:rFonts w:ascii="Calibri" w:hAnsi="Calibri"/>
          <w:b/>
          <w:u w:val="single"/>
        </w:rPr>
        <w:t>Improving and Expanding VR Services for Students with Disabilities</w:t>
      </w:r>
    </w:p>
    <w:p w14:paraId="716DD421" w14:textId="4D055FAB" w:rsidR="0029105B" w:rsidRDefault="00F36FD8" w:rsidP="00D63204">
      <w:pPr>
        <w:spacing w:line="240" w:lineRule="auto"/>
        <w:ind w:left="90"/>
        <w:rPr>
          <w:rFonts w:ascii="Calibri" w:hAnsi="Calibri"/>
        </w:rPr>
      </w:pPr>
      <w:r w:rsidRPr="00F36FD8">
        <w:rPr>
          <w:rFonts w:ascii="Calibri" w:hAnsi="Calibri"/>
        </w:rPr>
        <w:t>WIOA provides great opportunities for VR to increase transition services and opportunities to youth with disabilities. Increased information and referral to transition age youth is built into WIOA</w:t>
      </w:r>
      <w:r w:rsidR="00D5537E">
        <w:rPr>
          <w:rFonts w:ascii="Calibri" w:hAnsi="Calibri"/>
        </w:rPr>
        <w:t xml:space="preserve"> and</w:t>
      </w:r>
      <w:r w:rsidRPr="00F36FD8">
        <w:rPr>
          <w:rFonts w:ascii="Calibri" w:hAnsi="Calibri"/>
        </w:rPr>
        <w:t xml:space="preserve"> VR has already begun providing more transition service-related information to youth. Strategies noted below are anticipated to increase opportunities for students with disabilities.</w:t>
      </w:r>
    </w:p>
    <w:p w14:paraId="1FD50160" w14:textId="664D4F07" w:rsidR="0029105B" w:rsidRDefault="00F36FD8" w:rsidP="00D63204">
      <w:pPr>
        <w:pStyle w:val="ListParagraph"/>
        <w:numPr>
          <w:ilvl w:val="0"/>
          <w:numId w:val="141"/>
        </w:numPr>
        <w:spacing w:line="240" w:lineRule="auto"/>
        <w:rPr>
          <w:rFonts w:ascii="Calibri" w:hAnsi="Calibri"/>
        </w:rPr>
      </w:pPr>
      <w:r w:rsidRPr="0029105B">
        <w:rPr>
          <w:rFonts w:ascii="Calibri" w:hAnsi="Calibri"/>
        </w:rPr>
        <w:t>Continue to offer Third</w:t>
      </w:r>
      <w:r w:rsidR="003651B5">
        <w:rPr>
          <w:rFonts w:ascii="Calibri" w:hAnsi="Calibri"/>
        </w:rPr>
        <w:t xml:space="preserve"> </w:t>
      </w:r>
      <w:r w:rsidRPr="0029105B">
        <w:rPr>
          <w:rFonts w:ascii="Calibri" w:hAnsi="Calibri"/>
        </w:rPr>
        <w:t>Party Cooperative Arrangements (TPCA) to all school districts annually. Although VR approaches and offers TPCA partnerships to all school districts in Florida, the partnership is dependent on the individual district’s decision to participate. VR has recently hired another transition administrator to ensure that information is provided consistently to all school districts</w:t>
      </w:r>
      <w:r w:rsidR="00D5537E">
        <w:rPr>
          <w:rFonts w:ascii="Calibri" w:hAnsi="Calibri"/>
        </w:rPr>
        <w:t xml:space="preserve"> and</w:t>
      </w:r>
      <w:r w:rsidRPr="0029105B">
        <w:rPr>
          <w:rFonts w:ascii="Calibri" w:hAnsi="Calibri"/>
        </w:rPr>
        <w:t xml:space="preserve"> to coordinate and monitor active and potential TPCA partnerships. The current arrangements will expire on June 30, 2018. VR is in the process of revising the contractual agreement it offers to school districts, but new contracts have not been developed yet. Once developed, if the contract changes the way VR delivers Transition services, the </w:t>
      </w:r>
      <w:r w:rsidR="00D226F4">
        <w:rPr>
          <w:rFonts w:ascii="Calibri" w:hAnsi="Calibri"/>
        </w:rPr>
        <w:t>s</w:t>
      </w:r>
      <w:r w:rsidRPr="0029105B">
        <w:rPr>
          <w:rFonts w:ascii="Calibri" w:hAnsi="Calibri"/>
        </w:rPr>
        <w:t xml:space="preserve">tate </w:t>
      </w:r>
      <w:r w:rsidR="00D226F4">
        <w:rPr>
          <w:rFonts w:ascii="Calibri" w:hAnsi="Calibri"/>
        </w:rPr>
        <w:t>p</w:t>
      </w:r>
      <w:r w:rsidRPr="0029105B">
        <w:rPr>
          <w:rFonts w:ascii="Calibri" w:hAnsi="Calibri"/>
        </w:rPr>
        <w:t>lan will be amended as needed.</w:t>
      </w:r>
    </w:p>
    <w:p w14:paraId="6048AD5F" w14:textId="30383457" w:rsidR="0029105B" w:rsidRDefault="0029105B" w:rsidP="00D63204">
      <w:pPr>
        <w:pStyle w:val="ListParagraph"/>
        <w:spacing w:line="240" w:lineRule="auto"/>
        <w:ind w:left="810"/>
        <w:rPr>
          <w:rFonts w:ascii="Calibri" w:hAnsi="Calibri"/>
        </w:rPr>
      </w:pPr>
    </w:p>
    <w:p w14:paraId="773CBCE0" w14:textId="15D4B6E6" w:rsidR="0029105B" w:rsidRDefault="0029105B" w:rsidP="00D63204">
      <w:pPr>
        <w:pStyle w:val="ListParagraph"/>
        <w:spacing w:line="240" w:lineRule="auto"/>
        <w:ind w:left="810"/>
        <w:rPr>
          <w:rFonts w:ascii="Calibri" w:hAnsi="Calibri"/>
        </w:rPr>
      </w:pPr>
    </w:p>
    <w:p w14:paraId="1C79582B" w14:textId="4DB29B7B" w:rsidR="0029105B" w:rsidRDefault="0029105B" w:rsidP="00D63204">
      <w:pPr>
        <w:pStyle w:val="ListParagraph"/>
        <w:spacing w:line="240" w:lineRule="auto"/>
        <w:ind w:left="810"/>
        <w:rPr>
          <w:rFonts w:ascii="Calibri" w:hAnsi="Calibri"/>
        </w:rPr>
      </w:pPr>
    </w:p>
    <w:p w14:paraId="0D88E422" w14:textId="77777777" w:rsidR="00AE012E" w:rsidRPr="0029105B" w:rsidRDefault="00AE012E" w:rsidP="00D63204">
      <w:pPr>
        <w:pStyle w:val="ListParagraph"/>
        <w:spacing w:line="240" w:lineRule="auto"/>
        <w:ind w:left="810"/>
        <w:rPr>
          <w:rFonts w:ascii="Calibri" w:hAnsi="Calibri"/>
        </w:rPr>
      </w:pPr>
    </w:p>
    <w:p w14:paraId="0C88123E" w14:textId="4F7D2B49" w:rsidR="0029105B" w:rsidRDefault="00F36FD8" w:rsidP="00D63204">
      <w:pPr>
        <w:pStyle w:val="ListParagraph"/>
        <w:numPr>
          <w:ilvl w:val="0"/>
          <w:numId w:val="141"/>
        </w:numPr>
        <w:spacing w:line="240" w:lineRule="auto"/>
        <w:rPr>
          <w:rFonts w:ascii="Calibri" w:hAnsi="Calibri"/>
        </w:rPr>
      </w:pPr>
      <w:r w:rsidRPr="0029105B">
        <w:rPr>
          <w:rFonts w:ascii="Calibri" w:hAnsi="Calibri"/>
        </w:rPr>
        <w:t>Continue to provide activities for youth and students designed to assist in developing a concept of work, navigating the community</w:t>
      </w:r>
      <w:r w:rsidR="00D5537E">
        <w:rPr>
          <w:rFonts w:ascii="Calibri" w:hAnsi="Calibri"/>
        </w:rPr>
        <w:t xml:space="preserve"> and</w:t>
      </w:r>
      <w:r w:rsidRPr="0029105B">
        <w:rPr>
          <w:rFonts w:ascii="Calibri" w:hAnsi="Calibri"/>
        </w:rPr>
        <w:t xml:space="preserve"> obtaining work experience during high school. Pre-Employment Transition Services include vocational evaluation, career guidance and counseling, work readiness and self-advocacy training</w:t>
      </w:r>
      <w:r w:rsidR="00D5537E">
        <w:rPr>
          <w:rFonts w:ascii="Calibri" w:hAnsi="Calibri"/>
        </w:rPr>
        <w:t xml:space="preserve"> and</w:t>
      </w:r>
      <w:r w:rsidRPr="0029105B">
        <w:rPr>
          <w:rFonts w:ascii="Calibri" w:hAnsi="Calibri"/>
        </w:rPr>
        <w:t xml:space="preserve"> experiential activities such as community-based work experience and on-the-job training. Support services include assistive technology and services, transportation and uniforms. Intensive services are designed for those who need additional support with appropriate work behavior, require repetition to acquire skills, build endurance to work</w:t>
      </w:r>
      <w:r w:rsidR="00D5537E">
        <w:rPr>
          <w:rFonts w:ascii="Calibri" w:hAnsi="Calibri"/>
        </w:rPr>
        <w:t xml:space="preserve"> and</w:t>
      </w:r>
      <w:r w:rsidRPr="0029105B">
        <w:rPr>
          <w:rFonts w:ascii="Calibri" w:hAnsi="Calibri"/>
        </w:rPr>
        <w:t xml:space="preserve"> identify the right fit or environment for work. These services include Discovery, Youth Peer Mentoring, Project SEARCH</w:t>
      </w:r>
      <w:r w:rsidR="003651B5">
        <w:rPr>
          <w:rFonts w:ascii="Calibri" w:hAnsi="Calibri"/>
        </w:rPr>
        <w:t>, services provided under Third P</w:t>
      </w:r>
      <w:r w:rsidRPr="0029105B">
        <w:rPr>
          <w:rFonts w:ascii="Calibri" w:hAnsi="Calibri"/>
        </w:rPr>
        <w:t>arty Cooperative Arrangements with school districts</w:t>
      </w:r>
      <w:r w:rsidR="00D5537E">
        <w:rPr>
          <w:rFonts w:ascii="Calibri" w:hAnsi="Calibri"/>
        </w:rPr>
        <w:t xml:space="preserve"> and</w:t>
      </w:r>
      <w:r w:rsidRPr="0029105B">
        <w:rPr>
          <w:rFonts w:ascii="Calibri" w:hAnsi="Calibri"/>
        </w:rPr>
        <w:t xml:space="preserve"> tuition, books and supplies for </w:t>
      </w:r>
      <w:r w:rsidR="00600A6C">
        <w:rPr>
          <w:rFonts w:ascii="Calibri" w:hAnsi="Calibri"/>
        </w:rPr>
        <w:t xml:space="preserve">postsecondary education </w:t>
      </w:r>
      <w:r w:rsidRPr="0029105B">
        <w:rPr>
          <w:rFonts w:ascii="Calibri" w:hAnsi="Calibri"/>
        </w:rPr>
        <w:t>programs.</w:t>
      </w:r>
    </w:p>
    <w:p w14:paraId="5527407A" w14:textId="77777777" w:rsidR="0029105B" w:rsidRDefault="0029105B" w:rsidP="00D63204">
      <w:pPr>
        <w:pStyle w:val="ListParagraph"/>
        <w:spacing w:line="240" w:lineRule="auto"/>
        <w:ind w:left="810"/>
        <w:rPr>
          <w:rFonts w:ascii="Calibri" w:hAnsi="Calibri"/>
        </w:rPr>
      </w:pPr>
    </w:p>
    <w:p w14:paraId="3C029E9F" w14:textId="63C06912" w:rsidR="00F36FD8" w:rsidRPr="0029105B" w:rsidRDefault="00F36FD8" w:rsidP="00D63204">
      <w:pPr>
        <w:pStyle w:val="ListParagraph"/>
        <w:numPr>
          <w:ilvl w:val="0"/>
          <w:numId w:val="141"/>
        </w:numPr>
        <w:spacing w:line="240" w:lineRule="auto"/>
        <w:rPr>
          <w:rFonts w:ascii="Calibri" w:hAnsi="Calibri"/>
        </w:rPr>
      </w:pPr>
      <w:r w:rsidRPr="0029105B">
        <w:rPr>
          <w:rFonts w:ascii="Calibri" w:hAnsi="Calibri"/>
        </w:rPr>
        <w:t>Additional initiatives are under way to increase provider capacity and offer more opportunities to youth. These include approval of CareerSource Florida to provide pre-placement services, revision of Certified Business and Technical Assistance Consultants (CBTAC) recertification procedures</w:t>
      </w:r>
      <w:r w:rsidR="00D5537E">
        <w:rPr>
          <w:rFonts w:ascii="Calibri" w:hAnsi="Calibri"/>
        </w:rPr>
        <w:t xml:space="preserve"> and</w:t>
      </w:r>
      <w:r w:rsidRPr="0029105B">
        <w:rPr>
          <w:rFonts w:ascii="Calibri" w:hAnsi="Calibri"/>
        </w:rPr>
        <w:t xml:space="preserve"> increase in CBTAC and Discovery providers. VR </w:t>
      </w:r>
      <w:r w:rsidR="00366711">
        <w:rPr>
          <w:rFonts w:ascii="Calibri" w:hAnsi="Calibri"/>
        </w:rPr>
        <w:t xml:space="preserve">partners </w:t>
      </w:r>
      <w:r w:rsidRPr="0029105B">
        <w:rPr>
          <w:rFonts w:ascii="Calibri" w:hAnsi="Calibri"/>
        </w:rPr>
        <w:t>with Volunteer Florida, Centers for Independent Living, Florida ARC</w:t>
      </w:r>
      <w:r w:rsidR="00D5537E">
        <w:rPr>
          <w:rFonts w:ascii="Calibri" w:hAnsi="Calibri"/>
        </w:rPr>
        <w:t xml:space="preserve"> and</w:t>
      </w:r>
      <w:r w:rsidRPr="0029105B">
        <w:rPr>
          <w:rFonts w:ascii="Calibri" w:hAnsi="Calibri"/>
        </w:rPr>
        <w:t xml:space="preserve"> High School High Tech to offer more OJT and community work experiences.</w:t>
      </w:r>
    </w:p>
    <w:p w14:paraId="57771103" w14:textId="77777777" w:rsidR="00F36FD8" w:rsidRPr="0029105B" w:rsidRDefault="00F36FD8" w:rsidP="00D63204">
      <w:pPr>
        <w:spacing w:after="0" w:line="240" w:lineRule="auto"/>
        <w:ind w:left="90"/>
        <w:rPr>
          <w:rFonts w:ascii="Calibri" w:hAnsi="Calibri"/>
          <w:b/>
          <w:u w:val="single"/>
        </w:rPr>
      </w:pPr>
      <w:r w:rsidRPr="0029105B">
        <w:rPr>
          <w:rFonts w:ascii="Calibri" w:hAnsi="Calibri"/>
          <w:b/>
          <w:u w:val="single"/>
        </w:rPr>
        <w:t xml:space="preserve">Improving Community Rehabilitation Programs </w:t>
      </w:r>
    </w:p>
    <w:p w14:paraId="0DD49282" w14:textId="77777777" w:rsidR="00F36FD8" w:rsidRPr="00F36FD8" w:rsidRDefault="00F36FD8" w:rsidP="00D63204">
      <w:pPr>
        <w:spacing w:line="240" w:lineRule="auto"/>
        <w:ind w:left="90"/>
        <w:rPr>
          <w:rFonts w:ascii="Calibri" w:hAnsi="Calibri"/>
        </w:rPr>
      </w:pPr>
      <w:r w:rsidRPr="00F36FD8">
        <w:rPr>
          <w:rFonts w:ascii="Calibri" w:hAnsi="Calibri"/>
        </w:rPr>
        <w:t xml:space="preserve">VR assesses its business processes and organizational capacity on an ongoing basis to make consistent improvements. Results of the FFY 2014-15 Comprehensive Statewide Needs Assessment did not indicate a need to establish or develop community rehabilitation programs, although it was indicated that employment providers have a need to better promote and raise awareness of their services. </w:t>
      </w:r>
    </w:p>
    <w:p w14:paraId="7876AAE0" w14:textId="77777777" w:rsidR="00F36FD8" w:rsidRPr="00F36FD8" w:rsidRDefault="00F36FD8" w:rsidP="00D63204">
      <w:pPr>
        <w:spacing w:line="240" w:lineRule="auto"/>
        <w:ind w:left="90"/>
        <w:rPr>
          <w:rFonts w:ascii="Calibri" w:hAnsi="Calibri"/>
        </w:rPr>
      </w:pPr>
      <w:r w:rsidRPr="00F36FD8">
        <w:rPr>
          <w:rFonts w:ascii="Calibri" w:hAnsi="Calibri"/>
        </w:rPr>
        <w:t xml:space="preserve">In April 2017, VR established the Field and Provider Relations Unit (FLPR) within its Bureau of Vendor and Contracted Services (BVCS), to better connect employment service providers to field operations. This unit works complimentary to the Monitoring and Employment Contracting Unit (MECU) to ensure that providers have the tools and resources needed to provide quality services to VR customers. The Field and Provider Relations Unit has 7 Area Provider Liaisons housed throughout VR’s service areas. The supervisor is housed in VR headquarters in Tallahassee. </w:t>
      </w:r>
    </w:p>
    <w:p w14:paraId="6AAE8D08" w14:textId="43828357" w:rsidR="00F36FD8" w:rsidRPr="00F36FD8" w:rsidRDefault="00F36FD8" w:rsidP="00D63204">
      <w:pPr>
        <w:spacing w:line="240" w:lineRule="auto"/>
        <w:ind w:left="90"/>
        <w:rPr>
          <w:rFonts w:ascii="Calibri" w:hAnsi="Calibri"/>
        </w:rPr>
      </w:pPr>
      <w:r w:rsidRPr="00F36FD8">
        <w:rPr>
          <w:rFonts w:ascii="Calibri" w:hAnsi="Calibri"/>
        </w:rPr>
        <w:t>MECU and FLPR work together to engage providers on a regular basis and deliver support and consistent information</w:t>
      </w:r>
      <w:r w:rsidR="005E7C49">
        <w:rPr>
          <w:rFonts w:ascii="Calibri" w:hAnsi="Calibri"/>
        </w:rPr>
        <w:t xml:space="preserve">. </w:t>
      </w:r>
      <w:r w:rsidRPr="00F36FD8">
        <w:rPr>
          <w:rFonts w:ascii="Calibri" w:hAnsi="Calibri"/>
        </w:rPr>
        <w:t>BVCS will be engaging the providers on a quarterly basis through face-to-face meetings, area wide provider trainings</w:t>
      </w:r>
      <w:r w:rsidR="00D5537E">
        <w:rPr>
          <w:rFonts w:ascii="Calibri" w:hAnsi="Calibri"/>
        </w:rPr>
        <w:t xml:space="preserve"> and</w:t>
      </w:r>
      <w:r w:rsidRPr="00F36FD8">
        <w:rPr>
          <w:rFonts w:ascii="Calibri" w:hAnsi="Calibri"/>
        </w:rPr>
        <w:t xml:space="preserve"> a Provider Engagement Conference Call. FLPR Provider Liaisons hold bi-annual face-to-face meetings with providers in their service area. During these meetings the MECU Provider Managers, Provider Liaisons</w:t>
      </w:r>
      <w:r w:rsidR="00D5537E">
        <w:rPr>
          <w:rFonts w:ascii="Calibri" w:hAnsi="Calibri"/>
        </w:rPr>
        <w:t xml:space="preserve"> and</w:t>
      </w:r>
      <w:r w:rsidRPr="00F36FD8">
        <w:rPr>
          <w:rFonts w:ascii="Calibri" w:hAnsi="Calibri"/>
        </w:rPr>
        <w:t xml:space="preserve"> CRP staff discuss internal agency changes, CRP performance and concerns, as well as provide individualized service training if needed</w:t>
      </w:r>
      <w:r w:rsidR="005E7C49">
        <w:rPr>
          <w:rFonts w:ascii="Calibri" w:hAnsi="Calibri"/>
        </w:rPr>
        <w:t xml:space="preserve">. </w:t>
      </w:r>
      <w:r w:rsidRPr="00F36FD8">
        <w:rPr>
          <w:rFonts w:ascii="Calibri" w:hAnsi="Calibri"/>
        </w:rPr>
        <w:t xml:space="preserve">Another component of provider engagement efforts </w:t>
      </w:r>
      <w:r w:rsidR="00894DCA" w:rsidRPr="00F36FD8">
        <w:rPr>
          <w:rFonts w:ascii="Calibri" w:hAnsi="Calibri"/>
        </w:rPr>
        <w:t>is</w:t>
      </w:r>
      <w:r w:rsidRPr="00F36FD8">
        <w:rPr>
          <w:rFonts w:ascii="Calibri" w:hAnsi="Calibri"/>
        </w:rPr>
        <w:t xml:space="preserve"> planned area wide group provider trainings</w:t>
      </w:r>
      <w:r w:rsidR="00D5537E">
        <w:rPr>
          <w:rFonts w:ascii="Calibri" w:hAnsi="Calibri"/>
        </w:rPr>
        <w:t xml:space="preserve"> and</w:t>
      </w:r>
      <w:r w:rsidRPr="00F36FD8">
        <w:rPr>
          <w:rFonts w:ascii="Calibri" w:hAnsi="Calibri"/>
        </w:rPr>
        <w:t xml:space="preserve"> a management level provider engagement call that gives CRP staff access to BVCS leadership. The first Provider Engagement Conference call took place in November 2017. CRP staff had access to BVCS leadership to ask questions and learn about updates</w:t>
      </w:r>
      <w:r w:rsidR="005E7C49">
        <w:rPr>
          <w:rFonts w:ascii="Calibri" w:hAnsi="Calibri"/>
        </w:rPr>
        <w:t xml:space="preserve">. </w:t>
      </w:r>
      <w:r w:rsidRPr="00F36FD8">
        <w:rPr>
          <w:rFonts w:ascii="Calibri" w:hAnsi="Calibri"/>
        </w:rPr>
        <w:t xml:space="preserve">FLPR and MECU are working to build provider capacity by revamping the provider onboarding and orientation process. </w:t>
      </w:r>
    </w:p>
    <w:p w14:paraId="5BE36305" w14:textId="51568D98" w:rsidR="00F36FD8" w:rsidRPr="00F36FD8" w:rsidRDefault="00F36FD8" w:rsidP="00D63204">
      <w:pPr>
        <w:spacing w:line="240" w:lineRule="auto"/>
        <w:ind w:left="90"/>
        <w:rPr>
          <w:rFonts w:ascii="Calibri" w:hAnsi="Calibri"/>
        </w:rPr>
      </w:pPr>
      <w:r w:rsidRPr="00F36FD8">
        <w:rPr>
          <w:rFonts w:ascii="Calibri" w:hAnsi="Calibri"/>
        </w:rPr>
        <w:t xml:space="preserve">MECU recently developed a new Intake Process for Provider Applicants. The Applicant’s packet goes through several vetting processes before being considered for approval. After the initial intake and background screening is completed, the Applicant goes through an Onboarding. Prior to scheduling the Onboarding, the Applicant is sent a Welcome Guide. The Welcome Guide was developed by the Managers and includes the Manual, Helpful Tips, contact information and resource documents. The Welcome Guide is sent to the Applicant through the mail. Once the Welcome Guide has been received, the Manager will schedule a call to complete the Onboarding. The Manager </w:t>
      </w:r>
      <w:r w:rsidRPr="00F36FD8">
        <w:rPr>
          <w:rFonts w:ascii="Calibri" w:hAnsi="Calibri"/>
        </w:rPr>
        <w:lastRenderedPageBreak/>
        <w:t>will go over the Welcome Guide, provide technical support</w:t>
      </w:r>
      <w:r w:rsidR="00D5537E">
        <w:rPr>
          <w:rFonts w:ascii="Calibri" w:hAnsi="Calibri"/>
        </w:rPr>
        <w:t xml:space="preserve"> and</w:t>
      </w:r>
      <w:r w:rsidRPr="00F36FD8">
        <w:rPr>
          <w:rFonts w:ascii="Calibri" w:hAnsi="Calibri"/>
        </w:rPr>
        <w:t xml:space="preserve"> answer any questions. After Onboarding, the Provider Liaison will schedule an Orientation</w:t>
      </w:r>
      <w:r w:rsidR="005E7C49">
        <w:rPr>
          <w:rFonts w:ascii="Calibri" w:hAnsi="Calibri"/>
        </w:rPr>
        <w:t xml:space="preserve">. </w:t>
      </w:r>
      <w:r w:rsidRPr="00F36FD8">
        <w:rPr>
          <w:rFonts w:ascii="Calibri" w:hAnsi="Calibri"/>
        </w:rPr>
        <w:t>The Orientation provides the Applicant the opportunity to meet face-to-face with the Liaison and Area staff. Both units have put great effort into standardizing provider materials and resources</w:t>
      </w:r>
      <w:r w:rsidR="00D5537E">
        <w:rPr>
          <w:rFonts w:ascii="Calibri" w:hAnsi="Calibri"/>
        </w:rPr>
        <w:t xml:space="preserve"> and</w:t>
      </w:r>
      <w:r w:rsidRPr="00F36FD8">
        <w:rPr>
          <w:rFonts w:ascii="Calibri" w:hAnsi="Calibri"/>
        </w:rPr>
        <w:t xml:space="preserve"> centralizing provider information by creating a dedicated page on the VR external website for provider resources. </w:t>
      </w:r>
    </w:p>
    <w:p w14:paraId="579D00FE" w14:textId="0082DC29" w:rsidR="00F36FD8" w:rsidRPr="00F36FD8" w:rsidRDefault="00F36FD8" w:rsidP="00D63204">
      <w:pPr>
        <w:spacing w:line="240" w:lineRule="auto"/>
        <w:ind w:left="90"/>
        <w:rPr>
          <w:rFonts w:ascii="Calibri" w:hAnsi="Calibri"/>
        </w:rPr>
      </w:pPr>
      <w:r w:rsidRPr="00F36FD8">
        <w:rPr>
          <w:rFonts w:ascii="Calibri" w:hAnsi="Calibri"/>
        </w:rPr>
        <w:t>Additional initiatives for these units are to identify required training for VR providers and new provider staff</w:t>
      </w:r>
      <w:r w:rsidR="00D5537E">
        <w:rPr>
          <w:rFonts w:ascii="Calibri" w:hAnsi="Calibri"/>
        </w:rPr>
        <w:t xml:space="preserve"> and</w:t>
      </w:r>
      <w:r w:rsidRPr="00F36FD8">
        <w:rPr>
          <w:rFonts w:ascii="Calibri" w:hAnsi="Calibri"/>
        </w:rPr>
        <w:t xml:space="preserve"> to develop a Provider Newsletter, which is rolling out in January 2018. VR anticipates the work of these units to be beneficial in improving relations with VR employment service providers, leading to improved services for VR customers. </w:t>
      </w:r>
    </w:p>
    <w:p w14:paraId="3D3C0131" w14:textId="3744BF80" w:rsidR="00F36FD8" w:rsidRPr="0029105B" w:rsidRDefault="00F36FD8" w:rsidP="00D63204">
      <w:pPr>
        <w:spacing w:line="240" w:lineRule="auto"/>
        <w:ind w:left="90"/>
        <w:rPr>
          <w:rFonts w:ascii="Calibri" w:hAnsi="Calibri"/>
          <w:b/>
          <w:u w:val="single"/>
        </w:rPr>
      </w:pPr>
      <w:r w:rsidRPr="0029105B">
        <w:rPr>
          <w:rFonts w:ascii="Calibri" w:hAnsi="Calibri"/>
          <w:b/>
          <w:u w:val="single"/>
        </w:rPr>
        <w:t>Strategies to Improve the Performance Related to Goals, Priorities</w:t>
      </w:r>
      <w:r w:rsidR="00D5537E">
        <w:rPr>
          <w:rFonts w:ascii="Calibri" w:hAnsi="Calibri"/>
          <w:b/>
          <w:u w:val="single"/>
        </w:rPr>
        <w:t xml:space="preserve"> and</w:t>
      </w:r>
      <w:r w:rsidRPr="0029105B">
        <w:rPr>
          <w:rFonts w:ascii="Calibri" w:hAnsi="Calibri"/>
          <w:b/>
          <w:u w:val="single"/>
        </w:rPr>
        <w:t xml:space="preserve"> Performance Indicators </w:t>
      </w:r>
    </w:p>
    <w:p w14:paraId="2158D6E2" w14:textId="77777777" w:rsidR="0029105B" w:rsidRDefault="0029105B" w:rsidP="00D63204">
      <w:pPr>
        <w:widowControl w:val="0"/>
        <w:spacing w:after="0" w:line="266" w:lineRule="exact"/>
        <w:ind w:left="468" w:right="468"/>
        <w:rPr>
          <w:rFonts w:ascii="Calibri" w:hAnsi="Calibri"/>
          <w:b/>
          <w:spacing w:val="-3"/>
          <w:w w:val="110"/>
        </w:rPr>
      </w:pPr>
      <w:r w:rsidRPr="00A23800">
        <w:rPr>
          <w:rFonts w:ascii="Calibri" w:hAnsi="Calibri"/>
          <w:b/>
          <w:w w:val="110"/>
        </w:rPr>
        <w:t>Figure</w:t>
      </w:r>
      <w:r w:rsidRPr="00A23800">
        <w:rPr>
          <w:rFonts w:ascii="Calibri" w:hAnsi="Calibri"/>
          <w:b/>
          <w:spacing w:val="32"/>
          <w:w w:val="110"/>
        </w:rPr>
        <w:t xml:space="preserve"> </w:t>
      </w:r>
      <w:r w:rsidRPr="00A23800">
        <w:rPr>
          <w:rFonts w:ascii="Calibri" w:hAnsi="Calibri"/>
          <w:b/>
          <w:spacing w:val="-3"/>
          <w:w w:val="110"/>
        </w:rPr>
        <w:t>9.07</w:t>
      </w:r>
    </w:p>
    <w:p w14:paraId="37B4A1AD" w14:textId="3578BFEE" w:rsidR="0029105B" w:rsidRDefault="0029105B" w:rsidP="00D63204">
      <w:pPr>
        <w:widowControl w:val="0"/>
        <w:spacing w:after="0" w:line="266" w:lineRule="exact"/>
        <w:ind w:left="468" w:right="468"/>
        <w:rPr>
          <w:rFonts w:ascii="Calibri" w:hAnsi="Calibri"/>
          <w:b/>
          <w:color w:val="231F20"/>
          <w:w w:val="110"/>
        </w:rPr>
      </w:pPr>
      <w:r w:rsidRPr="00A23800">
        <w:rPr>
          <w:rFonts w:ascii="Calibri" w:hAnsi="Calibri"/>
          <w:b/>
          <w:spacing w:val="-3"/>
          <w:w w:val="110"/>
        </w:rPr>
        <w:t xml:space="preserve"> </w:t>
      </w:r>
      <w:r w:rsidRPr="00A23800">
        <w:rPr>
          <w:rFonts w:ascii="Calibri" w:hAnsi="Calibri"/>
          <w:b/>
          <w:color w:val="231F20"/>
          <w:w w:val="110"/>
        </w:rPr>
        <w:t>Federal Standards and</w:t>
      </w:r>
      <w:r w:rsidRPr="00A23800">
        <w:rPr>
          <w:rFonts w:ascii="Calibri" w:hAnsi="Calibri"/>
          <w:b/>
          <w:color w:val="231F20"/>
          <w:spacing w:val="-13"/>
          <w:w w:val="110"/>
        </w:rPr>
        <w:t xml:space="preserve"> </w:t>
      </w:r>
      <w:r w:rsidRPr="00A23800">
        <w:rPr>
          <w:rFonts w:ascii="Calibri" w:hAnsi="Calibri"/>
          <w:b/>
          <w:color w:val="231F20"/>
          <w:w w:val="110"/>
        </w:rPr>
        <w:t>Indicators</w:t>
      </w:r>
    </w:p>
    <w:p w14:paraId="7467D76A" w14:textId="369626DF" w:rsidR="00F85D20" w:rsidRDefault="00F85D20" w:rsidP="00D63204">
      <w:pPr>
        <w:widowControl w:val="0"/>
        <w:spacing w:after="0" w:line="266" w:lineRule="exact"/>
        <w:ind w:left="468" w:right="468"/>
        <w:rPr>
          <w:rFonts w:ascii="Calibri" w:hAnsi="Calibri"/>
          <w:b/>
          <w:color w:val="231F20"/>
          <w:w w:val="110"/>
        </w:rPr>
      </w:pPr>
    </w:p>
    <w:tbl>
      <w:tblPr>
        <w:tblW w:w="10608" w:type="dxa"/>
        <w:tblInd w:w="108" w:type="dxa"/>
        <w:tblLayout w:type="fixed"/>
        <w:tblCellMar>
          <w:left w:w="0" w:type="dxa"/>
          <w:right w:w="0" w:type="dxa"/>
        </w:tblCellMar>
        <w:tblLook w:val="01E0" w:firstRow="1" w:lastRow="1" w:firstColumn="1" w:lastColumn="1" w:noHBand="0" w:noVBand="0"/>
      </w:tblPr>
      <w:tblGrid>
        <w:gridCol w:w="5748"/>
        <w:gridCol w:w="2430"/>
        <w:gridCol w:w="2430"/>
      </w:tblGrid>
      <w:tr w:rsidR="00F85D20" w:rsidRPr="00E06806" w14:paraId="1E9B505F" w14:textId="77777777" w:rsidTr="007A31C5">
        <w:trPr>
          <w:trHeight w:hRule="exact" w:val="644"/>
        </w:trPr>
        <w:tc>
          <w:tcPr>
            <w:tcW w:w="5748" w:type="dxa"/>
            <w:tcBorders>
              <w:top w:val="single" w:sz="2" w:space="0" w:color="231F20"/>
              <w:left w:val="single" w:sz="2" w:space="0" w:color="231F20"/>
              <w:bottom w:val="single" w:sz="2" w:space="0" w:color="231F20"/>
              <w:right w:val="single" w:sz="2" w:space="0" w:color="231F20"/>
            </w:tcBorders>
            <w:vAlign w:val="center"/>
          </w:tcPr>
          <w:p w14:paraId="1653073C" w14:textId="77777777" w:rsidR="00F85D20" w:rsidRPr="00E06806" w:rsidRDefault="00F85D20" w:rsidP="007A31C5">
            <w:pPr>
              <w:widowControl w:val="0"/>
              <w:spacing w:before="170" w:after="0" w:line="240" w:lineRule="auto"/>
              <w:ind w:left="107"/>
              <w:rPr>
                <w:rFonts w:cstheme="minorHAnsi"/>
                <w:sz w:val="20"/>
                <w:szCs w:val="20"/>
              </w:rPr>
            </w:pPr>
            <w:r w:rsidRPr="00E06806">
              <w:rPr>
                <w:rFonts w:cstheme="minorHAnsi"/>
                <w:b/>
                <w:color w:val="231F20"/>
                <w:w w:val="110"/>
                <w:sz w:val="20"/>
              </w:rPr>
              <w:t>Federal Performance Indicators and</w:t>
            </w:r>
            <w:r w:rsidRPr="00E06806">
              <w:rPr>
                <w:rFonts w:cstheme="minorHAnsi"/>
                <w:b/>
                <w:color w:val="231F20"/>
                <w:spacing w:val="-32"/>
                <w:w w:val="110"/>
                <w:sz w:val="20"/>
              </w:rPr>
              <w:t xml:space="preserve"> </w:t>
            </w:r>
            <w:r w:rsidRPr="00E06806">
              <w:rPr>
                <w:rFonts w:cstheme="minorHAnsi"/>
                <w:b/>
                <w:color w:val="231F20"/>
                <w:w w:val="110"/>
                <w:sz w:val="20"/>
              </w:rPr>
              <w:t>Targets</w:t>
            </w:r>
          </w:p>
        </w:tc>
        <w:tc>
          <w:tcPr>
            <w:tcW w:w="2430" w:type="dxa"/>
            <w:tcBorders>
              <w:top w:val="single" w:sz="2" w:space="0" w:color="231F20"/>
              <w:left w:val="single" w:sz="2" w:space="0" w:color="231F20"/>
              <w:bottom w:val="single" w:sz="2" w:space="0" w:color="231F20"/>
              <w:right w:val="single" w:sz="2" w:space="0" w:color="231F20"/>
            </w:tcBorders>
          </w:tcPr>
          <w:p w14:paraId="0A493BFA" w14:textId="77777777" w:rsidR="00F85D20" w:rsidRPr="00E06806" w:rsidRDefault="00F85D20" w:rsidP="00D63204">
            <w:pPr>
              <w:widowControl w:val="0"/>
              <w:spacing w:before="50" w:after="0" w:line="242" w:lineRule="exact"/>
              <w:ind w:left="107"/>
              <w:rPr>
                <w:rFonts w:cstheme="minorHAnsi"/>
                <w:sz w:val="20"/>
                <w:szCs w:val="20"/>
              </w:rPr>
            </w:pPr>
            <w:r w:rsidRPr="00E06806">
              <w:rPr>
                <w:rFonts w:cstheme="minorHAnsi"/>
                <w:b/>
                <w:color w:val="231F20"/>
                <w:w w:val="110"/>
                <w:sz w:val="20"/>
              </w:rPr>
              <w:t>Actual</w:t>
            </w:r>
            <w:r w:rsidRPr="00E06806">
              <w:rPr>
                <w:rFonts w:cstheme="minorHAnsi"/>
                <w:b/>
                <w:color w:val="231F20"/>
                <w:spacing w:val="-22"/>
                <w:w w:val="110"/>
                <w:sz w:val="20"/>
              </w:rPr>
              <w:t xml:space="preserve"> </w:t>
            </w:r>
            <w:r w:rsidRPr="00E06806">
              <w:rPr>
                <w:rFonts w:cstheme="minorHAnsi"/>
                <w:b/>
                <w:color w:val="231F20"/>
                <w:w w:val="110"/>
                <w:sz w:val="20"/>
              </w:rPr>
              <w:t>Performance</w:t>
            </w:r>
          </w:p>
          <w:p w14:paraId="368E9B9F" w14:textId="77777777" w:rsidR="00F85D20" w:rsidRPr="00E06806" w:rsidRDefault="00F85D20" w:rsidP="00D63204">
            <w:pPr>
              <w:widowControl w:val="0"/>
              <w:spacing w:before="50" w:after="0" w:line="242" w:lineRule="exact"/>
              <w:ind w:left="107"/>
              <w:rPr>
                <w:rFonts w:cstheme="minorHAnsi"/>
                <w:b/>
                <w:color w:val="231F20"/>
                <w:w w:val="110"/>
                <w:sz w:val="20"/>
              </w:rPr>
            </w:pPr>
            <w:r w:rsidRPr="00E06806">
              <w:rPr>
                <w:rFonts w:cstheme="minorHAnsi"/>
                <w:b/>
                <w:color w:val="231F20"/>
                <w:w w:val="110"/>
                <w:sz w:val="20"/>
              </w:rPr>
              <w:t>(FFY</w:t>
            </w:r>
            <w:r w:rsidRPr="00E06806">
              <w:rPr>
                <w:rFonts w:cstheme="minorHAnsi"/>
                <w:b/>
                <w:color w:val="231F20"/>
                <w:spacing w:val="4"/>
                <w:w w:val="110"/>
                <w:sz w:val="20"/>
              </w:rPr>
              <w:t xml:space="preserve"> </w:t>
            </w:r>
            <w:r w:rsidRPr="00E06806">
              <w:rPr>
                <w:rFonts w:cstheme="minorHAnsi"/>
                <w:b/>
                <w:color w:val="231F20"/>
                <w:w w:val="110"/>
                <w:sz w:val="20"/>
              </w:rPr>
              <w:t>1</w:t>
            </w:r>
            <w:r>
              <w:rPr>
                <w:rFonts w:cstheme="minorHAnsi"/>
                <w:b/>
                <w:color w:val="231F20"/>
                <w:w w:val="110"/>
                <w:sz w:val="20"/>
              </w:rPr>
              <w:t>7</w:t>
            </w:r>
            <w:r w:rsidRPr="00E06806">
              <w:rPr>
                <w:rFonts w:cstheme="minorHAnsi"/>
                <w:b/>
                <w:color w:val="231F20"/>
                <w:w w:val="110"/>
                <w:sz w:val="20"/>
              </w:rPr>
              <w:t>)</w:t>
            </w:r>
          </w:p>
        </w:tc>
        <w:tc>
          <w:tcPr>
            <w:tcW w:w="2430" w:type="dxa"/>
            <w:tcBorders>
              <w:top w:val="single" w:sz="2" w:space="0" w:color="231F20"/>
              <w:left w:val="single" w:sz="2" w:space="0" w:color="231F20"/>
              <w:bottom w:val="single" w:sz="2" w:space="0" w:color="231F20"/>
              <w:right w:val="single" w:sz="2" w:space="0" w:color="231F20"/>
            </w:tcBorders>
          </w:tcPr>
          <w:p w14:paraId="17F4E646" w14:textId="77777777" w:rsidR="00F85D20" w:rsidRPr="00E06806" w:rsidRDefault="00F85D20" w:rsidP="00D63204">
            <w:pPr>
              <w:widowControl w:val="0"/>
              <w:spacing w:before="50" w:after="0" w:line="242" w:lineRule="exact"/>
              <w:ind w:left="107"/>
              <w:rPr>
                <w:rFonts w:cstheme="minorHAnsi"/>
                <w:sz w:val="20"/>
                <w:szCs w:val="20"/>
              </w:rPr>
            </w:pPr>
            <w:r w:rsidRPr="00E06806">
              <w:rPr>
                <w:rFonts w:cstheme="minorHAnsi"/>
                <w:b/>
                <w:color w:val="231F20"/>
                <w:w w:val="110"/>
                <w:sz w:val="20"/>
              </w:rPr>
              <w:t>Previous</w:t>
            </w:r>
          </w:p>
          <w:p w14:paraId="2932D828" w14:textId="77777777" w:rsidR="00F85D20" w:rsidRPr="00E06806" w:rsidRDefault="00F85D20" w:rsidP="00D63204">
            <w:pPr>
              <w:widowControl w:val="0"/>
              <w:spacing w:after="0" w:line="242" w:lineRule="exact"/>
              <w:ind w:left="107"/>
              <w:rPr>
                <w:rFonts w:cstheme="minorHAnsi"/>
                <w:sz w:val="20"/>
                <w:szCs w:val="20"/>
              </w:rPr>
            </w:pPr>
            <w:r w:rsidRPr="00E06806">
              <w:rPr>
                <w:rFonts w:cstheme="minorHAnsi"/>
                <w:b/>
                <w:color w:val="231F20"/>
                <w:w w:val="110"/>
                <w:sz w:val="20"/>
              </w:rPr>
              <w:t>(FFY</w:t>
            </w:r>
            <w:r w:rsidRPr="00E06806">
              <w:rPr>
                <w:rFonts w:cstheme="minorHAnsi"/>
                <w:b/>
                <w:color w:val="231F20"/>
                <w:spacing w:val="2"/>
                <w:w w:val="110"/>
                <w:sz w:val="20"/>
              </w:rPr>
              <w:t xml:space="preserve"> </w:t>
            </w:r>
            <w:r w:rsidRPr="00E06806">
              <w:rPr>
                <w:rFonts w:cstheme="minorHAnsi"/>
                <w:b/>
                <w:color w:val="231F20"/>
                <w:w w:val="110"/>
                <w:sz w:val="20"/>
              </w:rPr>
              <w:t>1</w:t>
            </w:r>
            <w:r>
              <w:rPr>
                <w:rFonts w:cstheme="minorHAnsi"/>
                <w:b/>
                <w:color w:val="231F20"/>
                <w:w w:val="110"/>
                <w:sz w:val="20"/>
              </w:rPr>
              <w:t>6</w:t>
            </w:r>
            <w:r w:rsidRPr="00E06806">
              <w:rPr>
                <w:rFonts w:cstheme="minorHAnsi"/>
                <w:b/>
                <w:color w:val="231F20"/>
                <w:w w:val="110"/>
                <w:sz w:val="20"/>
              </w:rPr>
              <w:t>)</w:t>
            </w:r>
          </w:p>
        </w:tc>
      </w:tr>
      <w:tr w:rsidR="00F85D20" w:rsidRPr="00E06806" w14:paraId="01BD2108" w14:textId="77777777" w:rsidTr="007A31C5">
        <w:trPr>
          <w:trHeight w:hRule="exact" w:val="632"/>
        </w:trPr>
        <w:tc>
          <w:tcPr>
            <w:tcW w:w="5748" w:type="dxa"/>
            <w:tcBorders>
              <w:top w:val="single" w:sz="2" w:space="0" w:color="231F20"/>
              <w:left w:val="single" w:sz="2" w:space="0" w:color="231F20"/>
              <w:bottom w:val="single" w:sz="2" w:space="0" w:color="231F20"/>
              <w:right w:val="single" w:sz="2" w:space="0" w:color="231F20"/>
            </w:tcBorders>
            <w:shd w:val="clear" w:color="auto" w:fill="E6E7E8"/>
            <w:vAlign w:val="center"/>
          </w:tcPr>
          <w:p w14:paraId="47671E2F" w14:textId="77777777" w:rsidR="00F85D20" w:rsidRDefault="00F85D20" w:rsidP="007A31C5">
            <w:pPr>
              <w:widowControl w:val="0"/>
              <w:spacing w:before="43" w:after="0" w:line="240" w:lineRule="exact"/>
              <w:ind w:left="107"/>
              <w:rPr>
                <w:rFonts w:cstheme="minorHAnsi"/>
                <w:color w:val="231F20"/>
                <w:w w:val="108"/>
                <w:sz w:val="20"/>
              </w:rPr>
            </w:pPr>
            <w:r w:rsidRPr="00E06806">
              <w:rPr>
                <w:rFonts w:cstheme="minorHAnsi"/>
                <w:b/>
                <w:color w:val="231F20"/>
                <w:w w:val="105"/>
                <w:sz w:val="20"/>
              </w:rPr>
              <w:t xml:space="preserve">Indicator </w:t>
            </w:r>
            <w:r w:rsidRPr="00E06806">
              <w:rPr>
                <w:rFonts w:cstheme="minorHAnsi"/>
                <w:b/>
                <w:color w:val="231F20"/>
                <w:spacing w:val="-6"/>
                <w:w w:val="105"/>
                <w:sz w:val="20"/>
              </w:rPr>
              <w:t>1.1</w:t>
            </w:r>
            <w:r w:rsidRPr="00E06806">
              <w:rPr>
                <w:rFonts w:cstheme="minorHAnsi"/>
                <w:color w:val="231F20"/>
                <w:spacing w:val="-6"/>
                <w:w w:val="105"/>
                <w:sz w:val="20"/>
              </w:rPr>
              <w:t xml:space="preserve">: </w:t>
            </w:r>
            <w:r w:rsidRPr="00E06806">
              <w:rPr>
                <w:rFonts w:cstheme="minorHAnsi"/>
                <w:color w:val="231F20"/>
                <w:w w:val="105"/>
                <w:sz w:val="20"/>
              </w:rPr>
              <w:t>Change in Employment</w:t>
            </w:r>
            <w:r w:rsidRPr="00E06806">
              <w:rPr>
                <w:rFonts w:cstheme="minorHAnsi"/>
                <w:color w:val="231F20"/>
                <w:spacing w:val="13"/>
                <w:w w:val="105"/>
                <w:sz w:val="20"/>
              </w:rPr>
              <w:t xml:space="preserve"> </w:t>
            </w:r>
            <w:r w:rsidRPr="00E06806">
              <w:rPr>
                <w:rFonts w:cstheme="minorHAnsi"/>
                <w:color w:val="231F20"/>
                <w:w w:val="105"/>
                <w:sz w:val="20"/>
              </w:rPr>
              <w:t>Outcomes</w:t>
            </w:r>
            <w:r w:rsidRPr="00E06806">
              <w:rPr>
                <w:rFonts w:cstheme="minorHAnsi"/>
                <w:color w:val="231F20"/>
                <w:w w:val="108"/>
                <w:sz w:val="20"/>
              </w:rPr>
              <w:t xml:space="preserve"> </w:t>
            </w:r>
          </w:p>
          <w:p w14:paraId="59FDCA76" w14:textId="77777777" w:rsidR="00F85D20" w:rsidRPr="00E06806" w:rsidRDefault="00F85D20" w:rsidP="007A31C5">
            <w:pPr>
              <w:widowControl w:val="0"/>
              <w:spacing w:before="43" w:after="0" w:line="240" w:lineRule="exact"/>
              <w:ind w:left="107"/>
              <w:rPr>
                <w:rFonts w:cstheme="minorHAnsi"/>
                <w:sz w:val="20"/>
                <w:szCs w:val="20"/>
              </w:rPr>
            </w:pPr>
            <w:r w:rsidRPr="00E06806">
              <w:rPr>
                <w:rFonts w:cstheme="minorHAnsi"/>
                <w:color w:val="231F20"/>
                <w:w w:val="105"/>
                <w:sz w:val="20"/>
              </w:rPr>
              <w:t xml:space="preserve">(RSA </w:t>
            </w:r>
            <w:r w:rsidRPr="00E06806">
              <w:rPr>
                <w:rFonts w:cstheme="minorHAnsi"/>
                <w:color w:val="231F20"/>
                <w:spacing w:val="-3"/>
                <w:w w:val="105"/>
                <w:sz w:val="20"/>
              </w:rPr>
              <w:t xml:space="preserve">Target: </w:t>
            </w:r>
            <w:r w:rsidRPr="00E06806">
              <w:rPr>
                <w:rFonts w:cstheme="minorHAnsi"/>
                <w:color w:val="231F20"/>
                <w:w w:val="105"/>
                <w:sz w:val="20"/>
              </w:rPr>
              <w:t>Increase over prior year)</w:t>
            </w:r>
          </w:p>
        </w:tc>
        <w:tc>
          <w:tcPr>
            <w:tcW w:w="2430" w:type="dxa"/>
            <w:tcBorders>
              <w:top w:val="single" w:sz="2" w:space="0" w:color="231F20"/>
              <w:left w:val="single" w:sz="2" w:space="0" w:color="231F20"/>
              <w:bottom w:val="single" w:sz="2" w:space="0" w:color="231F20"/>
              <w:right w:val="single" w:sz="2" w:space="0" w:color="231F20"/>
            </w:tcBorders>
            <w:shd w:val="clear" w:color="auto" w:fill="E6E7E8"/>
            <w:vAlign w:val="center"/>
          </w:tcPr>
          <w:p w14:paraId="784D0574" w14:textId="77777777" w:rsidR="00F85D20" w:rsidRPr="00E06806" w:rsidRDefault="00F85D20" w:rsidP="00D63204">
            <w:pPr>
              <w:widowControl w:val="0"/>
              <w:spacing w:before="165" w:after="0" w:line="240" w:lineRule="auto"/>
              <w:ind w:left="107"/>
              <w:rPr>
                <w:rFonts w:cstheme="minorHAnsi"/>
                <w:color w:val="231F20"/>
                <w:spacing w:val="-3"/>
                <w:w w:val="95"/>
                <w:sz w:val="20"/>
              </w:rPr>
            </w:pPr>
            <w:r>
              <w:rPr>
                <w:rFonts w:cstheme="minorHAnsi"/>
                <w:color w:val="231F20"/>
                <w:spacing w:val="-3"/>
                <w:w w:val="95"/>
                <w:sz w:val="20"/>
              </w:rPr>
              <w:t>+265</w:t>
            </w:r>
          </w:p>
        </w:tc>
        <w:tc>
          <w:tcPr>
            <w:tcW w:w="2430" w:type="dxa"/>
            <w:tcBorders>
              <w:top w:val="single" w:sz="2" w:space="0" w:color="231F20"/>
              <w:left w:val="single" w:sz="2" w:space="0" w:color="231F20"/>
              <w:bottom w:val="single" w:sz="2" w:space="0" w:color="231F20"/>
              <w:right w:val="single" w:sz="2" w:space="0" w:color="231F20"/>
            </w:tcBorders>
            <w:shd w:val="clear" w:color="auto" w:fill="E6E7E8"/>
            <w:vAlign w:val="center"/>
          </w:tcPr>
          <w:p w14:paraId="3DD72542" w14:textId="77777777" w:rsidR="00F85D20" w:rsidRPr="00E06806" w:rsidRDefault="00F85D20" w:rsidP="00D63204">
            <w:pPr>
              <w:widowControl w:val="0"/>
              <w:spacing w:before="165" w:after="0" w:line="240" w:lineRule="auto"/>
              <w:ind w:left="107"/>
              <w:rPr>
                <w:rFonts w:cstheme="minorHAnsi"/>
                <w:sz w:val="20"/>
                <w:szCs w:val="20"/>
              </w:rPr>
            </w:pPr>
            <w:r>
              <w:rPr>
                <w:rFonts w:cstheme="minorHAnsi"/>
                <w:color w:val="231F20"/>
                <w:spacing w:val="-3"/>
                <w:w w:val="95"/>
                <w:sz w:val="20"/>
              </w:rPr>
              <w:t>+419</w:t>
            </w:r>
          </w:p>
        </w:tc>
      </w:tr>
      <w:tr w:rsidR="00F85D20" w:rsidRPr="00E06806" w14:paraId="7FE0AE23" w14:textId="77777777" w:rsidTr="007A31C5">
        <w:trPr>
          <w:trHeight w:hRule="exact" w:val="662"/>
        </w:trPr>
        <w:tc>
          <w:tcPr>
            <w:tcW w:w="5748" w:type="dxa"/>
            <w:tcBorders>
              <w:top w:val="single" w:sz="2" w:space="0" w:color="231F20"/>
              <w:left w:val="single" w:sz="2" w:space="0" w:color="231F20"/>
              <w:bottom w:val="single" w:sz="2" w:space="0" w:color="231F20"/>
              <w:right w:val="single" w:sz="2" w:space="0" w:color="231F20"/>
            </w:tcBorders>
            <w:vAlign w:val="center"/>
          </w:tcPr>
          <w:p w14:paraId="4FA8F165" w14:textId="77777777" w:rsidR="00F85D20" w:rsidRDefault="00F85D20" w:rsidP="007A31C5">
            <w:pPr>
              <w:widowControl w:val="0"/>
              <w:spacing w:before="57" w:after="0" w:line="240" w:lineRule="exact"/>
              <w:ind w:left="107"/>
              <w:rPr>
                <w:rFonts w:cstheme="minorHAnsi"/>
                <w:color w:val="231F20"/>
                <w:w w:val="108"/>
                <w:sz w:val="20"/>
              </w:rPr>
            </w:pPr>
            <w:r w:rsidRPr="00E06806">
              <w:rPr>
                <w:rFonts w:cstheme="minorHAnsi"/>
                <w:b/>
                <w:color w:val="231F20"/>
                <w:w w:val="105"/>
                <w:sz w:val="20"/>
              </w:rPr>
              <w:t>Indicator 1.2</w:t>
            </w:r>
            <w:r w:rsidRPr="00E06806">
              <w:rPr>
                <w:rFonts w:cstheme="minorHAnsi"/>
                <w:color w:val="231F20"/>
                <w:w w:val="105"/>
                <w:sz w:val="20"/>
              </w:rPr>
              <w:t>: Percent of Employment</w:t>
            </w:r>
            <w:r w:rsidRPr="00E06806">
              <w:rPr>
                <w:rFonts w:cstheme="minorHAnsi"/>
                <w:color w:val="231F20"/>
                <w:spacing w:val="1"/>
                <w:w w:val="105"/>
                <w:sz w:val="20"/>
              </w:rPr>
              <w:t xml:space="preserve"> </w:t>
            </w:r>
            <w:r w:rsidRPr="00E06806">
              <w:rPr>
                <w:rFonts w:cstheme="minorHAnsi"/>
                <w:color w:val="231F20"/>
                <w:w w:val="105"/>
                <w:sz w:val="20"/>
              </w:rPr>
              <w:t>Outcomes</w:t>
            </w:r>
            <w:r w:rsidRPr="00E06806">
              <w:rPr>
                <w:rFonts w:cstheme="minorHAnsi"/>
                <w:color w:val="231F20"/>
                <w:w w:val="108"/>
                <w:sz w:val="20"/>
              </w:rPr>
              <w:t xml:space="preserve"> </w:t>
            </w:r>
          </w:p>
          <w:p w14:paraId="1F418018" w14:textId="77777777" w:rsidR="00F85D20" w:rsidRPr="00E06806" w:rsidRDefault="00F85D20" w:rsidP="007A31C5">
            <w:pPr>
              <w:widowControl w:val="0"/>
              <w:spacing w:before="57" w:after="0" w:line="240" w:lineRule="exact"/>
              <w:ind w:left="107"/>
              <w:rPr>
                <w:rFonts w:cstheme="minorHAnsi"/>
                <w:sz w:val="20"/>
                <w:szCs w:val="20"/>
              </w:rPr>
            </w:pPr>
            <w:r w:rsidRPr="00E06806">
              <w:rPr>
                <w:rFonts w:cstheme="minorHAnsi"/>
                <w:color w:val="231F20"/>
                <w:w w:val="105"/>
                <w:sz w:val="20"/>
              </w:rPr>
              <w:t xml:space="preserve">(RSA </w:t>
            </w:r>
            <w:r w:rsidRPr="00E06806">
              <w:rPr>
                <w:rFonts w:cstheme="minorHAnsi"/>
                <w:color w:val="231F20"/>
                <w:spacing w:val="-3"/>
                <w:w w:val="105"/>
                <w:sz w:val="20"/>
              </w:rPr>
              <w:t>Target:</w:t>
            </w:r>
            <w:r w:rsidRPr="00E06806">
              <w:rPr>
                <w:rFonts w:cstheme="minorHAnsi"/>
                <w:color w:val="231F20"/>
                <w:spacing w:val="3"/>
                <w:w w:val="105"/>
                <w:sz w:val="20"/>
              </w:rPr>
              <w:t xml:space="preserve"> </w:t>
            </w:r>
            <w:r w:rsidRPr="00E06806">
              <w:rPr>
                <w:rFonts w:cstheme="minorHAnsi"/>
                <w:color w:val="231F20"/>
                <w:w w:val="105"/>
                <w:sz w:val="20"/>
              </w:rPr>
              <w:t>55.8%)</w:t>
            </w:r>
          </w:p>
        </w:tc>
        <w:tc>
          <w:tcPr>
            <w:tcW w:w="2430" w:type="dxa"/>
            <w:tcBorders>
              <w:top w:val="single" w:sz="2" w:space="0" w:color="231F20"/>
              <w:left w:val="single" w:sz="2" w:space="0" w:color="231F20"/>
              <w:bottom w:val="single" w:sz="2" w:space="0" w:color="231F20"/>
              <w:right w:val="single" w:sz="2" w:space="0" w:color="231F20"/>
            </w:tcBorders>
            <w:vAlign w:val="center"/>
          </w:tcPr>
          <w:p w14:paraId="2EDBDF61" w14:textId="77777777" w:rsidR="00F85D20" w:rsidRPr="00E06806" w:rsidRDefault="00F85D20" w:rsidP="00D63204">
            <w:pPr>
              <w:widowControl w:val="0"/>
              <w:spacing w:before="178" w:after="0" w:line="240" w:lineRule="auto"/>
              <w:ind w:left="107"/>
              <w:rPr>
                <w:rFonts w:cstheme="minorHAnsi"/>
                <w:color w:val="231F20"/>
                <w:spacing w:val="-4"/>
                <w:sz w:val="20"/>
              </w:rPr>
            </w:pPr>
            <w:r>
              <w:rPr>
                <w:rFonts w:cstheme="minorHAnsi"/>
                <w:color w:val="231F20"/>
                <w:spacing w:val="-4"/>
                <w:sz w:val="20"/>
              </w:rPr>
              <w:t>37.9%</w:t>
            </w:r>
          </w:p>
        </w:tc>
        <w:tc>
          <w:tcPr>
            <w:tcW w:w="2430" w:type="dxa"/>
            <w:tcBorders>
              <w:top w:val="single" w:sz="2" w:space="0" w:color="231F20"/>
              <w:left w:val="single" w:sz="2" w:space="0" w:color="231F20"/>
              <w:bottom w:val="single" w:sz="2" w:space="0" w:color="231F20"/>
              <w:right w:val="single" w:sz="2" w:space="0" w:color="231F20"/>
            </w:tcBorders>
            <w:vAlign w:val="center"/>
          </w:tcPr>
          <w:p w14:paraId="44154ABB" w14:textId="77777777" w:rsidR="00F85D20" w:rsidRPr="00E06806" w:rsidRDefault="00F85D20" w:rsidP="00D63204">
            <w:pPr>
              <w:widowControl w:val="0"/>
              <w:spacing w:before="178" w:after="0" w:line="240" w:lineRule="auto"/>
              <w:ind w:left="107"/>
              <w:rPr>
                <w:rFonts w:cstheme="minorHAnsi"/>
                <w:sz w:val="20"/>
                <w:szCs w:val="20"/>
              </w:rPr>
            </w:pPr>
            <w:r>
              <w:rPr>
                <w:rFonts w:cstheme="minorHAnsi"/>
                <w:color w:val="231F20"/>
                <w:spacing w:val="-4"/>
                <w:sz w:val="20"/>
              </w:rPr>
              <w:t>40.8</w:t>
            </w:r>
            <w:r w:rsidRPr="00E06806">
              <w:rPr>
                <w:rFonts w:cstheme="minorHAnsi"/>
                <w:color w:val="231F20"/>
                <w:spacing w:val="-4"/>
                <w:sz w:val="20"/>
              </w:rPr>
              <w:t>%</w:t>
            </w:r>
          </w:p>
        </w:tc>
      </w:tr>
      <w:tr w:rsidR="00F85D20" w:rsidRPr="00E06806" w14:paraId="30A847D3" w14:textId="77777777" w:rsidTr="007A31C5">
        <w:trPr>
          <w:trHeight w:hRule="exact" w:val="644"/>
        </w:trPr>
        <w:tc>
          <w:tcPr>
            <w:tcW w:w="5748" w:type="dxa"/>
            <w:tcBorders>
              <w:top w:val="single" w:sz="2" w:space="0" w:color="231F20"/>
              <w:left w:val="single" w:sz="2" w:space="0" w:color="231F20"/>
              <w:bottom w:val="single" w:sz="2" w:space="0" w:color="231F20"/>
              <w:right w:val="single" w:sz="2" w:space="0" w:color="231F20"/>
            </w:tcBorders>
            <w:shd w:val="clear" w:color="auto" w:fill="E6E7E8"/>
            <w:vAlign w:val="center"/>
          </w:tcPr>
          <w:p w14:paraId="69857C7C" w14:textId="77777777" w:rsidR="00F85D20" w:rsidRDefault="00F85D20" w:rsidP="007A31C5">
            <w:pPr>
              <w:widowControl w:val="0"/>
              <w:spacing w:before="49" w:after="0" w:line="240" w:lineRule="exact"/>
              <w:ind w:left="107"/>
              <w:rPr>
                <w:rFonts w:cstheme="minorHAnsi"/>
                <w:color w:val="231F20"/>
                <w:sz w:val="20"/>
              </w:rPr>
            </w:pPr>
            <w:r w:rsidRPr="00E06806">
              <w:rPr>
                <w:rFonts w:cstheme="minorHAnsi"/>
                <w:b/>
                <w:color w:val="231F20"/>
                <w:w w:val="105"/>
                <w:sz w:val="20"/>
              </w:rPr>
              <w:t>Indicator 1.3</w:t>
            </w:r>
            <w:r w:rsidRPr="00E06806">
              <w:rPr>
                <w:rFonts w:cstheme="minorHAnsi"/>
                <w:color w:val="231F20"/>
                <w:w w:val="105"/>
                <w:sz w:val="20"/>
              </w:rPr>
              <w:t>: Competitive Employment Outcome</w:t>
            </w:r>
            <w:r w:rsidRPr="00E06806">
              <w:rPr>
                <w:rFonts w:cstheme="minorHAnsi"/>
                <w:color w:val="231F20"/>
                <w:spacing w:val="7"/>
                <w:w w:val="105"/>
                <w:sz w:val="20"/>
              </w:rPr>
              <w:t xml:space="preserve"> </w:t>
            </w:r>
            <w:r w:rsidRPr="00E06806">
              <w:rPr>
                <w:rFonts w:cstheme="minorHAnsi"/>
                <w:color w:val="231F20"/>
                <w:w w:val="105"/>
                <w:sz w:val="20"/>
              </w:rPr>
              <w:t>(Primary)</w:t>
            </w:r>
            <w:r w:rsidRPr="00E06806">
              <w:rPr>
                <w:rFonts w:cstheme="minorHAnsi"/>
                <w:color w:val="231F20"/>
                <w:sz w:val="20"/>
              </w:rPr>
              <w:t xml:space="preserve"> </w:t>
            </w:r>
          </w:p>
          <w:p w14:paraId="41057FFB" w14:textId="77777777" w:rsidR="00F85D20" w:rsidRPr="00E06806" w:rsidRDefault="00F85D20" w:rsidP="007A31C5">
            <w:pPr>
              <w:widowControl w:val="0"/>
              <w:spacing w:before="49" w:after="0" w:line="240" w:lineRule="exact"/>
              <w:ind w:left="107"/>
              <w:rPr>
                <w:rFonts w:cstheme="minorHAnsi"/>
                <w:sz w:val="20"/>
                <w:szCs w:val="20"/>
              </w:rPr>
            </w:pPr>
            <w:r w:rsidRPr="00E06806">
              <w:rPr>
                <w:rFonts w:cstheme="minorHAnsi"/>
                <w:color w:val="231F20"/>
                <w:w w:val="105"/>
                <w:sz w:val="20"/>
              </w:rPr>
              <w:t xml:space="preserve">(RSA </w:t>
            </w:r>
            <w:r w:rsidRPr="00E06806">
              <w:rPr>
                <w:rFonts w:cstheme="minorHAnsi"/>
                <w:color w:val="231F20"/>
                <w:spacing w:val="-3"/>
                <w:w w:val="105"/>
                <w:sz w:val="20"/>
              </w:rPr>
              <w:t>Target:</w:t>
            </w:r>
            <w:r w:rsidRPr="00E06806">
              <w:rPr>
                <w:rFonts w:cstheme="minorHAnsi"/>
                <w:color w:val="231F20"/>
                <w:spacing w:val="30"/>
                <w:w w:val="105"/>
                <w:sz w:val="20"/>
              </w:rPr>
              <w:t xml:space="preserve"> </w:t>
            </w:r>
            <w:r w:rsidRPr="00E06806">
              <w:rPr>
                <w:rFonts w:cstheme="minorHAnsi"/>
                <w:color w:val="231F20"/>
                <w:w w:val="105"/>
                <w:sz w:val="20"/>
              </w:rPr>
              <w:t>72.6%)</w:t>
            </w:r>
          </w:p>
        </w:tc>
        <w:tc>
          <w:tcPr>
            <w:tcW w:w="2430" w:type="dxa"/>
            <w:tcBorders>
              <w:top w:val="single" w:sz="2" w:space="0" w:color="231F20"/>
              <w:left w:val="single" w:sz="2" w:space="0" w:color="231F20"/>
              <w:bottom w:val="single" w:sz="2" w:space="0" w:color="231F20"/>
              <w:right w:val="single" w:sz="2" w:space="0" w:color="231F20"/>
            </w:tcBorders>
            <w:shd w:val="clear" w:color="auto" w:fill="E6E7E8"/>
            <w:vAlign w:val="center"/>
          </w:tcPr>
          <w:p w14:paraId="0B0B9F59" w14:textId="77777777" w:rsidR="00F85D20" w:rsidRPr="00E06806" w:rsidRDefault="00F85D20" w:rsidP="00D63204">
            <w:pPr>
              <w:widowControl w:val="0"/>
              <w:spacing w:before="170" w:after="0" w:line="240" w:lineRule="auto"/>
              <w:ind w:left="107"/>
              <w:rPr>
                <w:rFonts w:cstheme="minorHAnsi"/>
                <w:color w:val="231F20"/>
                <w:w w:val="110"/>
                <w:sz w:val="20"/>
              </w:rPr>
            </w:pPr>
            <w:r>
              <w:rPr>
                <w:rFonts w:cstheme="minorHAnsi"/>
                <w:color w:val="231F20"/>
                <w:w w:val="110"/>
                <w:sz w:val="20"/>
              </w:rPr>
              <w:t>96.94%</w:t>
            </w:r>
          </w:p>
        </w:tc>
        <w:tc>
          <w:tcPr>
            <w:tcW w:w="2430" w:type="dxa"/>
            <w:tcBorders>
              <w:top w:val="single" w:sz="2" w:space="0" w:color="231F20"/>
              <w:left w:val="single" w:sz="2" w:space="0" w:color="231F20"/>
              <w:bottom w:val="single" w:sz="2" w:space="0" w:color="231F20"/>
              <w:right w:val="single" w:sz="2" w:space="0" w:color="231F20"/>
            </w:tcBorders>
            <w:shd w:val="clear" w:color="auto" w:fill="E6E7E8"/>
            <w:vAlign w:val="center"/>
          </w:tcPr>
          <w:p w14:paraId="57ECC0AB" w14:textId="77777777" w:rsidR="00F85D20" w:rsidRPr="00E06806" w:rsidRDefault="00F85D20" w:rsidP="00D63204">
            <w:pPr>
              <w:widowControl w:val="0"/>
              <w:spacing w:before="170" w:after="0" w:line="240" w:lineRule="auto"/>
              <w:ind w:left="107"/>
              <w:rPr>
                <w:rFonts w:cstheme="minorHAnsi"/>
                <w:sz w:val="20"/>
                <w:szCs w:val="20"/>
              </w:rPr>
            </w:pPr>
            <w:r w:rsidRPr="00E06806">
              <w:rPr>
                <w:rFonts w:cstheme="minorHAnsi"/>
                <w:color w:val="231F20"/>
                <w:w w:val="110"/>
                <w:sz w:val="20"/>
              </w:rPr>
              <w:t>9</w:t>
            </w:r>
            <w:r>
              <w:rPr>
                <w:rFonts w:cstheme="minorHAnsi"/>
                <w:color w:val="231F20"/>
                <w:w w:val="110"/>
                <w:sz w:val="20"/>
              </w:rPr>
              <w:t>7.7</w:t>
            </w:r>
            <w:r w:rsidRPr="00E06806">
              <w:rPr>
                <w:rFonts w:cstheme="minorHAnsi"/>
                <w:color w:val="231F20"/>
                <w:w w:val="110"/>
                <w:sz w:val="20"/>
              </w:rPr>
              <w:t>%</w:t>
            </w:r>
          </w:p>
        </w:tc>
      </w:tr>
      <w:tr w:rsidR="00F85D20" w:rsidRPr="00E06806" w14:paraId="20C77F50" w14:textId="77777777" w:rsidTr="007A31C5">
        <w:trPr>
          <w:trHeight w:hRule="exact" w:val="662"/>
        </w:trPr>
        <w:tc>
          <w:tcPr>
            <w:tcW w:w="5748" w:type="dxa"/>
            <w:tcBorders>
              <w:top w:val="single" w:sz="2" w:space="0" w:color="231F20"/>
              <w:left w:val="single" w:sz="2" w:space="0" w:color="231F20"/>
              <w:bottom w:val="single" w:sz="2" w:space="0" w:color="231F20"/>
              <w:right w:val="single" w:sz="2" w:space="0" w:color="231F20"/>
            </w:tcBorders>
            <w:vAlign w:val="center"/>
          </w:tcPr>
          <w:p w14:paraId="42D82C1D" w14:textId="77777777" w:rsidR="00F85D20" w:rsidRDefault="00F85D20" w:rsidP="007A31C5">
            <w:pPr>
              <w:widowControl w:val="0"/>
              <w:spacing w:before="57" w:after="0" w:line="240" w:lineRule="exact"/>
              <w:ind w:left="107"/>
              <w:rPr>
                <w:rFonts w:cstheme="minorHAnsi"/>
                <w:color w:val="231F20"/>
                <w:sz w:val="20"/>
              </w:rPr>
            </w:pPr>
            <w:r w:rsidRPr="00E06806">
              <w:rPr>
                <w:rFonts w:cstheme="minorHAnsi"/>
                <w:b/>
                <w:color w:val="231F20"/>
                <w:w w:val="105"/>
                <w:sz w:val="20"/>
              </w:rPr>
              <w:t>Indicator 1.4</w:t>
            </w:r>
            <w:r w:rsidRPr="00E06806">
              <w:rPr>
                <w:rFonts w:cstheme="minorHAnsi"/>
                <w:color w:val="231F20"/>
                <w:w w:val="105"/>
                <w:sz w:val="20"/>
              </w:rPr>
              <w:t>: Significance of Disability</w:t>
            </w:r>
            <w:r w:rsidRPr="00E06806">
              <w:rPr>
                <w:rFonts w:cstheme="minorHAnsi"/>
                <w:color w:val="231F20"/>
                <w:spacing w:val="32"/>
                <w:w w:val="105"/>
                <w:sz w:val="20"/>
              </w:rPr>
              <w:t xml:space="preserve"> </w:t>
            </w:r>
            <w:r w:rsidRPr="00E06806">
              <w:rPr>
                <w:rFonts w:cstheme="minorHAnsi"/>
                <w:color w:val="231F20"/>
                <w:w w:val="105"/>
                <w:sz w:val="20"/>
              </w:rPr>
              <w:t>(Primary)</w:t>
            </w:r>
            <w:r w:rsidRPr="00E06806">
              <w:rPr>
                <w:rFonts w:cstheme="minorHAnsi"/>
                <w:color w:val="231F20"/>
                <w:sz w:val="20"/>
              </w:rPr>
              <w:t xml:space="preserve"> </w:t>
            </w:r>
          </w:p>
          <w:p w14:paraId="7A2132CB" w14:textId="77777777" w:rsidR="00F85D20" w:rsidRPr="00E06806" w:rsidRDefault="00F85D20" w:rsidP="007A31C5">
            <w:pPr>
              <w:widowControl w:val="0"/>
              <w:spacing w:before="57" w:after="0" w:line="240" w:lineRule="exact"/>
              <w:ind w:left="107"/>
              <w:rPr>
                <w:rFonts w:cstheme="minorHAnsi"/>
                <w:sz w:val="20"/>
                <w:szCs w:val="20"/>
              </w:rPr>
            </w:pPr>
            <w:r w:rsidRPr="00E06806">
              <w:rPr>
                <w:rFonts w:cstheme="minorHAnsi"/>
                <w:color w:val="231F20"/>
                <w:w w:val="105"/>
                <w:sz w:val="20"/>
              </w:rPr>
              <w:t xml:space="preserve">(RSA </w:t>
            </w:r>
            <w:r w:rsidRPr="00E06806">
              <w:rPr>
                <w:rFonts w:cstheme="minorHAnsi"/>
                <w:color w:val="231F20"/>
                <w:spacing w:val="-3"/>
                <w:w w:val="105"/>
                <w:sz w:val="20"/>
              </w:rPr>
              <w:t xml:space="preserve">Target: </w:t>
            </w:r>
            <w:r w:rsidRPr="00E06806">
              <w:rPr>
                <w:rFonts w:cstheme="minorHAnsi"/>
                <w:color w:val="231F20"/>
                <w:spacing w:val="1"/>
                <w:w w:val="105"/>
                <w:sz w:val="20"/>
              </w:rPr>
              <w:t xml:space="preserve"> </w:t>
            </w:r>
            <w:r w:rsidRPr="00E06806">
              <w:rPr>
                <w:rFonts w:cstheme="minorHAnsi"/>
                <w:color w:val="231F20"/>
                <w:w w:val="105"/>
                <w:sz w:val="20"/>
              </w:rPr>
              <w:t>62.4%)</w:t>
            </w:r>
          </w:p>
        </w:tc>
        <w:tc>
          <w:tcPr>
            <w:tcW w:w="2430" w:type="dxa"/>
            <w:tcBorders>
              <w:top w:val="single" w:sz="2" w:space="0" w:color="231F20"/>
              <w:left w:val="single" w:sz="2" w:space="0" w:color="231F20"/>
              <w:bottom w:val="single" w:sz="2" w:space="0" w:color="231F20"/>
              <w:right w:val="single" w:sz="2" w:space="0" w:color="231F20"/>
            </w:tcBorders>
            <w:vAlign w:val="center"/>
          </w:tcPr>
          <w:p w14:paraId="66A682EA" w14:textId="77777777" w:rsidR="00F85D20" w:rsidRPr="00E06806" w:rsidRDefault="00F85D20" w:rsidP="00D63204">
            <w:pPr>
              <w:widowControl w:val="0"/>
              <w:spacing w:before="178" w:after="0" w:line="240" w:lineRule="auto"/>
              <w:ind w:left="107"/>
              <w:rPr>
                <w:rFonts w:cstheme="minorHAnsi"/>
                <w:color w:val="231F20"/>
                <w:spacing w:val="-5"/>
                <w:sz w:val="20"/>
              </w:rPr>
            </w:pPr>
            <w:r>
              <w:rPr>
                <w:rFonts w:cstheme="minorHAnsi"/>
                <w:color w:val="231F20"/>
                <w:spacing w:val="-5"/>
                <w:sz w:val="20"/>
              </w:rPr>
              <w:t>92.56%</w:t>
            </w:r>
          </w:p>
        </w:tc>
        <w:tc>
          <w:tcPr>
            <w:tcW w:w="2430" w:type="dxa"/>
            <w:tcBorders>
              <w:top w:val="single" w:sz="2" w:space="0" w:color="231F20"/>
              <w:left w:val="single" w:sz="2" w:space="0" w:color="231F20"/>
              <w:bottom w:val="single" w:sz="2" w:space="0" w:color="231F20"/>
              <w:right w:val="single" w:sz="2" w:space="0" w:color="231F20"/>
            </w:tcBorders>
            <w:vAlign w:val="center"/>
          </w:tcPr>
          <w:p w14:paraId="1CF93DE0" w14:textId="77777777" w:rsidR="00F85D20" w:rsidRPr="00E06806" w:rsidRDefault="00F85D20" w:rsidP="00D63204">
            <w:pPr>
              <w:widowControl w:val="0"/>
              <w:spacing w:before="178" w:after="0" w:line="240" w:lineRule="auto"/>
              <w:ind w:left="107"/>
              <w:rPr>
                <w:rFonts w:cstheme="minorHAnsi"/>
                <w:sz w:val="20"/>
                <w:szCs w:val="20"/>
              </w:rPr>
            </w:pPr>
            <w:r w:rsidRPr="00E06806">
              <w:rPr>
                <w:rFonts w:cstheme="minorHAnsi"/>
                <w:color w:val="231F20"/>
                <w:spacing w:val="-5"/>
                <w:sz w:val="20"/>
              </w:rPr>
              <w:t>99.</w:t>
            </w:r>
            <w:r>
              <w:rPr>
                <w:rFonts w:cstheme="minorHAnsi"/>
                <w:color w:val="231F20"/>
                <w:spacing w:val="-5"/>
                <w:sz w:val="20"/>
              </w:rPr>
              <w:t>5</w:t>
            </w:r>
            <w:r w:rsidRPr="00E06806">
              <w:rPr>
                <w:rFonts w:cstheme="minorHAnsi"/>
                <w:color w:val="231F20"/>
                <w:spacing w:val="-5"/>
                <w:sz w:val="20"/>
              </w:rPr>
              <w:t>%</w:t>
            </w:r>
          </w:p>
        </w:tc>
      </w:tr>
      <w:tr w:rsidR="00F85D20" w:rsidRPr="00E06806" w14:paraId="13E7A507" w14:textId="77777777" w:rsidTr="007A31C5">
        <w:trPr>
          <w:trHeight w:hRule="exact" w:val="644"/>
        </w:trPr>
        <w:tc>
          <w:tcPr>
            <w:tcW w:w="5748" w:type="dxa"/>
            <w:tcBorders>
              <w:top w:val="single" w:sz="2" w:space="0" w:color="231F20"/>
              <w:left w:val="single" w:sz="2" w:space="0" w:color="231F20"/>
              <w:bottom w:val="single" w:sz="2" w:space="0" w:color="231F20"/>
              <w:right w:val="single" w:sz="2" w:space="0" w:color="231F20"/>
            </w:tcBorders>
            <w:shd w:val="clear" w:color="auto" w:fill="E6E7E8"/>
            <w:vAlign w:val="center"/>
          </w:tcPr>
          <w:p w14:paraId="206BD7BD" w14:textId="77777777" w:rsidR="00F85D20" w:rsidRDefault="00F85D20" w:rsidP="007A31C5">
            <w:pPr>
              <w:widowControl w:val="0"/>
              <w:spacing w:before="87" w:after="0" w:line="240" w:lineRule="auto"/>
              <w:ind w:left="107"/>
              <w:rPr>
                <w:rFonts w:cstheme="minorHAnsi"/>
                <w:color w:val="231F20"/>
                <w:spacing w:val="-26"/>
                <w:w w:val="110"/>
                <w:sz w:val="20"/>
              </w:rPr>
            </w:pPr>
            <w:r w:rsidRPr="00E06806">
              <w:rPr>
                <w:rFonts w:cstheme="minorHAnsi"/>
                <w:b/>
                <w:color w:val="231F20"/>
                <w:w w:val="110"/>
                <w:sz w:val="20"/>
              </w:rPr>
              <w:t>Indicator</w:t>
            </w:r>
            <w:r w:rsidRPr="00E06806">
              <w:rPr>
                <w:rFonts w:cstheme="minorHAnsi"/>
                <w:b/>
                <w:color w:val="231F20"/>
                <w:spacing w:val="-26"/>
                <w:w w:val="110"/>
                <w:sz w:val="20"/>
              </w:rPr>
              <w:t xml:space="preserve"> </w:t>
            </w:r>
            <w:r w:rsidRPr="00E06806">
              <w:rPr>
                <w:rFonts w:cstheme="minorHAnsi"/>
                <w:b/>
                <w:color w:val="231F20"/>
                <w:w w:val="110"/>
                <w:sz w:val="20"/>
              </w:rPr>
              <w:t>1.5</w:t>
            </w:r>
            <w:r w:rsidRPr="00E06806">
              <w:rPr>
                <w:rFonts w:cstheme="minorHAnsi"/>
                <w:color w:val="231F20"/>
                <w:w w:val="110"/>
                <w:sz w:val="20"/>
              </w:rPr>
              <w:t>:</w:t>
            </w:r>
            <w:r w:rsidRPr="00E06806">
              <w:rPr>
                <w:rFonts w:cstheme="minorHAnsi"/>
                <w:color w:val="231F20"/>
                <w:spacing w:val="-26"/>
                <w:w w:val="110"/>
                <w:sz w:val="20"/>
              </w:rPr>
              <w:t xml:space="preserve"> </w:t>
            </w:r>
            <w:r w:rsidRPr="00E06806">
              <w:rPr>
                <w:rFonts w:cstheme="minorHAnsi"/>
                <w:color w:val="231F20"/>
                <w:w w:val="110"/>
                <w:sz w:val="20"/>
              </w:rPr>
              <w:t>Earnings</w:t>
            </w:r>
            <w:r w:rsidRPr="00E06806">
              <w:rPr>
                <w:rFonts w:cstheme="minorHAnsi"/>
                <w:color w:val="231F20"/>
                <w:spacing w:val="-26"/>
                <w:w w:val="110"/>
                <w:sz w:val="20"/>
              </w:rPr>
              <w:t xml:space="preserve"> </w:t>
            </w:r>
            <w:r w:rsidRPr="00E06806">
              <w:rPr>
                <w:rFonts w:cstheme="minorHAnsi"/>
                <w:color w:val="231F20"/>
                <w:w w:val="110"/>
                <w:sz w:val="20"/>
              </w:rPr>
              <w:t>Ratio</w:t>
            </w:r>
            <w:r w:rsidRPr="00E06806">
              <w:rPr>
                <w:rFonts w:cstheme="minorHAnsi"/>
                <w:color w:val="231F20"/>
                <w:spacing w:val="-26"/>
                <w:w w:val="110"/>
                <w:sz w:val="20"/>
              </w:rPr>
              <w:t xml:space="preserve"> </w:t>
            </w:r>
            <w:r w:rsidRPr="00E06806">
              <w:rPr>
                <w:rFonts w:cstheme="minorHAnsi"/>
                <w:color w:val="231F20"/>
                <w:w w:val="110"/>
                <w:sz w:val="20"/>
              </w:rPr>
              <w:t>(Primary)</w:t>
            </w:r>
            <w:r w:rsidRPr="00E06806">
              <w:rPr>
                <w:rFonts w:cstheme="minorHAnsi"/>
                <w:color w:val="231F20"/>
                <w:spacing w:val="-26"/>
                <w:w w:val="110"/>
                <w:sz w:val="20"/>
              </w:rPr>
              <w:t xml:space="preserve"> </w:t>
            </w:r>
          </w:p>
          <w:p w14:paraId="64401F8F" w14:textId="77777777" w:rsidR="00F85D20" w:rsidRPr="00E06806" w:rsidRDefault="00F85D20" w:rsidP="007A31C5">
            <w:pPr>
              <w:widowControl w:val="0"/>
              <w:spacing w:before="87" w:after="0" w:line="240" w:lineRule="auto"/>
              <w:ind w:left="107"/>
              <w:rPr>
                <w:rFonts w:cstheme="minorHAnsi"/>
                <w:sz w:val="20"/>
                <w:szCs w:val="20"/>
              </w:rPr>
            </w:pPr>
            <w:r w:rsidRPr="00E06806">
              <w:rPr>
                <w:rFonts w:cstheme="minorHAnsi"/>
                <w:color w:val="231F20"/>
                <w:w w:val="110"/>
                <w:sz w:val="20"/>
              </w:rPr>
              <w:t>(RSA</w:t>
            </w:r>
            <w:r w:rsidRPr="00E06806">
              <w:rPr>
                <w:rFonts w:cstheme="minorHAnsi"/>
                <w:color w:val="231F20"/>
                <w:spacing w:val="-26"/>
                <w:w w:val="110"/>
                <w:sz w:val="20"/>
              </w:rPr>
              <w:t xml:space="preserve"> </w:t>
            </w:r>
            <w:r w:rsidRPr="00E06806">
              <w:rPr>
                <w:rFonts w:cstheme="minorHAnsi"/>
                <w:color w:val="231F20"/>
                <w:spacing w:val="-3"/>
                <w:w w:val="110"/>
                <w:sz w:val="20"/>
              </w:rPr>
              <w:t>Target:</w:t>
            </w:r>
            <w:r w:rsidRPr="00E06806">
              <w:rPr>
                <w:rFonts w:cstheme="minorHAnsi"/>
                <w:color w:val="231F20"/>
                <w:spacing w:val="-26"/>
                <w:w w:val="110"/>
                <w:sz w:val="20"/>
              </w:rPr>
              <w:t xml:space="preserve"> </w:t>
            </w:r>
            <w:r w:rsidRPr="00E06806">
              <w:rPr>
                <w:rFonts w:cstheme="minorHAnsi"/>
                <w:color w:val="231F20"/>
                <w:w w:val="110"/>
                <w:sz w:val="20"/>
              </w:rPr>
              <w:t>52%)</w:t>
            </w:r>
          </w:p>
        </w:tc>
        <w:tc>
          <w:tcPr>
            <w:tcW w:w="2430" w:type="dxa"/>
            <w:tcBorders>
              <w:top w:val="single" w:sz="2" w:space="0" w:color="231F20"/>
              <w:left w:val="single" w:sz="2" w:space="0" w:color="231F20"/>
              <w:bottom w:val="single" w:sz="2" w:space="0" w:color="231F20"/>
              <w:right w:val="single" w:sz="2" w:space="0" w:color="231F20"/>
            </w:tcBorders>
            <w:shd w:val="clear" w:color="auto" w:fill="E6E7E8"/>
            <w:vAlign w:val="center"/>
          </w:tcPr>
          <w:p w14:paraId="0B07B01B" w14:textId="77777777" w:rsidR="00F85D20" w:rsidRPr="00E06806" w:rsidRDefault="00F85D20" w:rsidP="00D63204">
            <w:pPr>
              <w:widowControl w:val="0"/>
              <w:spacing w:before="87" w:after="0" w:line="240" w:lineRule="auto"/>
              <w:ind w:left="107"/>
              <w:rPr>
                <w:rFonts w:cstheme="minorHAnsi"/>
                <w:color w:val="231F20"/>
                <w:w w:val="105"/>
                <w:sz w:val="20"/>
              </w:rPr>
            </w:pPr>
            <w:r>
              <w:rPr>
                <w:rFonts w:cstheme="minorHAnsi"/>
                <w:color w:val="231F20"/>
                <w:w w:val="105"/>
                <w:sz w:val="20"/>
              </w:rPr>
              <w:t>55%</w:t>
            </w:r>
          </w:p>
        </w:tc>
        <w:tc>
          <w:tcPr>
            <w:tcW w:w="2430" w:type="dxa"/>
            <w:tcBorders>
              <w:top w:val="single" w:sz="2" w:space="0" w:color="231F20"/>
              <w:left w:val="single" w:sz="2" w:space="0" w:color="231F20"/>
              <w:bottom w:val="single" w:sz="2" w:space="0" w:color="231F20"/>
              <w:right w:val="single" w:sz="2" w:space="0" w:color="231F20"/>
            </w:tcBorders>
            <w:shd w:val="clear" w:color="auto" w:fill="E6E7E8"/>
            <w:vAlign w:val="center"/>
          </w:tcPr>
          <w:p w14:paraId="40FBB8A7" w14:textId="77777777" w:rsidR="00F85D20" w:rsidRPr="00E06806" w:rsidRDefault="00F85D20" w:rsidP="00D63204">
            <w:pPr>
              <w:widowControl w:val="0"/>
              <w:spacing w:before="87" w:after="0" w:line="240" w:lineRule="auto"/>
              <w:ind w:left="107"/>
              <w:rPr>
                <w:rFonts w:cstheme="minorHAnsi"/>
                <w:sz w:val="20"/>
                <w:szCs w:val="20"/>
              </w:rPr>
            </w:pPr>
            <w:r w:rsidRPr="00E06806">
              <w:rPr>
                <w:rFonts w:cstheme="minorHAnsi"/>
                <w:color w:val="231F20"/>
                <w:w w:val="105"/>
                <w:sz w:val="20"/>
              </w:rPr>
              <w:t>5</w:t>
            </w:r>
            <w:r>
              <w:rPr>
                <w:rFonts w:cstheme="minorHAnsi"/>
                <w:color w:val="231F20"/>
                <w:w w:val="105"/>
                <w:sz w:val="20"/>
              </w:rPr>
              <w:t>3</w:t>
            </w:r>
            <w:r w:rsidRPr="00E06806">
              <w:rPr>
                <w:rFonts w:cstheme="minorHAnsi"/>
                <w:color w:val="231F20"/>
                <w:w w:val="105"/>
                <w:sz w:val="20"/>
              </w:rPr>
              <w:t>%</w:t>
            </w:r>
          </w:p>
        </w:tc>
      </w:tr>
      <w:tr w:rsidR="00F85D20" w:rsidRPr="00E06806" w14:paraId="58E149AE" w14:textId="77777777" w:rsidTr="007A31C5">
        <w:trPr>
          <w:trHeight w:hRule="exact" w:val="635"/>
        </w:trPr>
        <w:tc>
          <w:tcPr>
            <w:tcW w:w="5748" w:type="dxa"/>
            <w:tcBorders>
              <w:top w:val="single" w:sz="2" w:space="0" w:color="231F20"/>
              <w:left w:val="single" w:sz="2" w:space="0" w:color="231F20"/>
              <w:bottom w:val="single" w:sz="2" w:space="0" w:color="231F20"/>
              <w:right w:val="single" w:sz="2" w:space="0" w:color="231F20"/>
            </w:tcBorders>
            <w:vAlign w:val="center"/>
          </w:tcPr>
          <w:p w14:paraId="38B2C686" w14:textId="77777777" w:rsidR="00F85D20" w:rsidRDefault="00F85D20" w:rsidP="007A31C5">
            <w:pPr>
              <w:widowControl w:val="0"/>
              <w:spacing w:before="52" w:after="0" w:line="240" w:lineRule="auto"/>
              <w:ind w:left="107"/>
              <w:rPr>
                <w:rFonts w:cstheme="minorHAnsi"/>
                <w:color w:val="231F20"/>
                <w:w w:val="105"/>
                <w:sz w:val="20"/>
              </w:rPr>
            </w:pPr>
            <w:r w:rsidRPr="00E06806">
              <w:rPr>
                <w:rFonts w:cstheme="minorHAnsi"/>
                <w:b/>
                <w:color w:val="231F20"/>
                <w:w w:val="105"/>
                <w:sz w:val="20"/>
              </w:rPr>
              <w:t>Indicator 1.6</w:t>
            </w:r>
            <w:r w:rsidRPr="00E06806">
              <w:rPr>
                <w:rFonts w:cstheme="minorHAnsi"/>
                <w:color w:val="231F20"/>
                <w:w w:val="105"/>
                <w:sz w:val="20"/>
              </w:rPr>
              <w:t xml:space="preserve">: Self-Support </w:t>
            </w:r>
          </w:p>
          <w:p w14:paraId="3D76D95F" w14:textId="77777777" w:rsidR="00F85D20" w:rsidRPr="00E06806" w:rsidRDefault="00F85D20" w:rsidP="007A31C5">
            <w:pPr>
              <w:widowControl w:val="0"/>
              <w:spacing w:before="52" w:after="0" w:line="240" w:lineRule="auto"/>
              <w:ind w:left="107"/>
              <w:rPr>
                <w:rFonts w:cstheme="minorHAnsi"/>
                <w:sz w:val="20"/>
                <w:szCs w:val="20"/>
              </w:rPr>
            </w:pPr>
            <w:r w:rsidRPr="00E06806">
              <w:rPr>
                <w:rFonts w:cstheme="minorHAnsi"/>
                <w:color w:val="231F20"/>
                <w:w w:val="105"/>
                <w:sz w:val="20"/>
              </w:rPr>
              <w:t xml:space="preserve">(RSA </w:t>
            </w:r>
            <w:r w:rsidRPr="00E06806">
              <w:rPr>
                <w:rFonts w:cstheme="minorHAnsi"/>
                <w:color w:val="231F20"/>
                <w:spacing w:val="-3"/>
                <w:w w:val="105"/>
                <w:sz w:val="20"/>
              </w:rPr>
              <w:t xml:space="preserve">Target: </w:t>
            </w:r>
            <w:r w:rsidRPr="00E06806">
              <w:rPr>
                <w:rFonts w:cstheme="minorHAnsi"/>
                <w:color w:val="231F20"/>
                <w:spacing w:val="23"/>
                <w:w w:val="105"/>
                <w:sz w:val="20"/>
              </w:rPr>
              <w:t xml:space="preserve"> </w:t>
            </w:r>
            <w:r w:rsidRPr="00E06806">
              <w:rPr>
                <w:rFonts w:cstheme="minorHAnsi"/>
                <w:color w:val="231F20"/>
                <w:w w:val="105"/>
                <w:sz w:val="20"/>
              </w:rPr>
              <w:t>53%)</w:t>
            </w:r>
          </w:p>
        </w:tc>
        <w:tc>
          <w:tcPr>
            <w:tcW w:w="2430" w:type="dxa"/>
            <w:tcBorders>
              <w:top w:val="single" w:sz="2" w:space="0" w:color="231F20"/>
              <w:left w:val="single" w:sz="2" w:space="0" w:color="231F20"/>
              <w:bottom w:val="single" w:sz="2" w:space="0" w:color="231F20"/>
              <w:right w:val="single" w:sz="2" w:space="0" w:color="231F20"/>
            </w:tcBorders>
            <w:vAlign w:val="center"/>
          </w:tcPr>
          <w:p w14:paraId="137DF16C" w14:textId="77777777" w:rsidR="00F85D20" w:rsidRPr="00E06806" w:rsidRDefault="00F85D20" w:rsidP="00D63204">
            <w:pPr>
              <w:widowControl w:val="0"/>
              <w:spacing w:before="52" w:after="0" w:line="240" w:lineRule="auto"/>
              <w:ind w:left="107"/>
              <w:rPr>
                <w:rFonts w:cstheme="minorHAnsi"/>
                <w:color w:val="231F20"/>
                <w:w w:val="105"/>
                <w:sz w:val="20"/>
              </w:rPr>
            </w:pPr>
            <w:r>
              <w:rPr>
                <w:rFonts w:cstheme="minorHAnsi"/>
                <w:color w:val="231F20"/>
                <w:w w:val="105"/>
                <w:sz w:val="20"/>
              </w:rPr>
              <w:t>54.53%</w:t>
            </w:r>
          </w:p>
        </w:tc>
        <w:tc>
          <w:tcPr>
            <w:tcW w:w="2430" w:type="dxa"/>
            <w:tcBorders>
              <w:top w:val="single" w:sz="2" w:space="0" w:color="231F20"/>
              <w:left w:val="single" w:sz="2" w:space="0" w:color="231F20"/>
              <w:bottom w:val="single" w:sz="2" w:space="0" w:color="231F20"/>
              <w:right w:val="single" w:sz="2" w:space="0" w:color="231F20"/>
            </w:tcBorders>
            <w:vAlign w:val="center"/>
          </w:tcPr>
          <w:p w14:paraId="61A382E4" w14:textId="77777777" w:rsidR="00F85D20" w:rsidRPr="00E06806" w:rsidRDefault="00F85D20" w:rsidP="00D63204">
            <w:pPr>
              <w:widowControl w:val="0"/>
              <w:spacing w:before="52" w:after="0" w:line="240" w:lineRule="auto"/>
              <w:ind w:left="107"/>
              <w:rPr>
                <w:rFonts w:cstheme="minorHAnsi"/>
                <w:sz w:val="20"/>
                <w:szCs w:val="20"/>
              </w:rPr>
            </w:pPr>
            <w:r w:rsidRPr="00E06806">
              <w:rPr>
                <w:rFonts w:cstheme="minorHAnsi"/>
                <w:color w:val="231F20"/>
                <w:w w:val="105"/>
                <w:sz w:val="20"/>
              </w:rPr>
              <w:t>6</w:t>
            </w:r>
            <w:r>
              <w:rPr>
                <w:rFonts w:cstheme="minorHAnsi"/>
                <w:color w:val="231F20"/>
                <w:w w:val="105"/>
                <w:sz w:val="20"/>
              </w:rPr>
              <w:t>0</w:t>
            </w:r>
            <w:r w:rsidRPr="00E06806">
              <w:rPr>
                <w:rFonts w:cstheme="minorHAnsi"/>
                <w:color w:val="231F20"/>
                <w:w w:val="105"/>
                <w:sz w:val="20"/>
              </w:rPr>
              <w:t>.</w:t>
            </w:r>
            <w:r>
              <w:rPr>
                <w:rFonts w:cstheme="minorHAnsi"/>
                <w:color w:val="231F20"/>
                <w:w w:val="105"/>
                <w:sz w:val="20"/>
              </w:rPr>
              <w:t>2</w:t>
            </w:r>
            <w:r w:rsidRPr="00E06806">
              <w:rPr>
                <w:rFonts w:cstheme="minorHAnsi"/>
                <w:color w:val="231F20"/>
                <w:w w:val="105"/>
                <w:sz w:val="20"/>
              </w:rPr>
              <w:t>%</w:t>
            </w:r>
          </w:p>
        </w:tc>
      </w:tr>
      <w:tr w:rsidR="00F85D20" w:rsidRPr="00E06806" w14:paraId="5C7E6DA6" w14:textId="77777777" w:rsidTr="007A31C5">
        <w:trPr>
          <w:trHeight w:hRule="exact" w:val="702"/>
        </w:trPr>
        <w:tc>
          <w:tcPr>
            <w:tcW w:w="5748" w:type="dxa"/>
            <w:tcBorders>
              <w:top w:val="single" w:sz="2" w:space="0" w:color="231F20"/>
              <w:left w:val="single" w:sz="2" w:space="0" w:color="231F20"/>
              <w:bottom w:val="single" w:sz="2" w:space="0" w:color="231F20"/>
              <w:right w:val="single" w:sz="2" w:space="0" w:color="231F20"/>
            </w:tcBorders>
            <w:shd w:val="clear" w:color="auto" w:fill="E6E7E8"/>
            <w:vAlign w:val="center"/>
          </w:tcPr>
          <w:p w14:paraId="55D484C8" w14:textId="77777777" w:rsidR="00F85D20" w:rsidRDefault="00F85D20" w:rsidP="007A31C5">
            <w:pPr>
              <w:widowControl w:val="0"/>
              <w:spacing w:before="74" w:after="0" w:line="240" w:lineRule="exact"/>
              <w:ind w:left="107"/>
              <w:rPr>
                <w:rFonts w:cstheme="minorHAnsi"/>
                <w:color w:val="231F20"/>
                <w:w w:val="105"/>
                <w:sz w:val="20"/>
              </w:rPr>
            </w:pPr>
            <w:r w:rsidRPr="00E06806">
              <w:rPr>
                <w:rFonts w:cstheme="minorHAnsi"/>
                <w:b/>
                <w:color w:val="231F20"/>
                <w:w w:val="105"/>
                <w:sz w:val="20"/>
              </w:rPr>
              <w:t xml:space="preserve">Indicator </w:t>
            </w:r>
            <w:r w:rsidRPr="00E06806">
              <w:rPr>
                <w:rFonts w:cstheme="minorHAnsi"/>
                <w:b/>
                <w:color w:val="231F20"/>
                <w:spacing w:val="-5"/>
                <w:w w:val="105"/>
                <w:sz w:val="20"/>
              </w:rPr>
              <w:t>2.1</w:t>
            </w:r>
            <w:r w:rsidRPr="00E06806">
              <w:rPr>
                <w:rFonts w:cstheme="minorHAnsi"/>
                <w:color w:val="231F20"/>
                <w:spacing w:val="-5"/>
                <w:w w:val="105"/>
                <w:sz w:val="20"/>
              </w:rPr>
              <w:t xml:space="preserve">: </w:t>
            </w:r>
            <w:r w:rsidRPr="00E06806">
              <w:rPr>
                <w:rFonts w:cstheme="minorHAnsi"/>
                <w:color w:val="231F20"/>
                <w:w w:val="105"/>
                <w:sz w:val="20"/>
              </w:rPr>
              <w:t>Ratio of Minority to Non-Minority Service</w:t>
            </w:r>
            <w:r w:rsidRPr="00E06806">
              <w:rPr>
                <w:rFonts w:cstheme="minorHAnsi"/>
                <w:color w:val="231F20"/>
                <w:spacing w:val="-12"/>
                <w:w w:val="105"/>
                <w:sz w:val="20"/>
              </w:rPr>
              <w:t xml:space="preserve"> </w:t>
            </w:r>
            <w:r w:rsidRPr="00E06806">
              <w:rPr>
                <w:rFonts w:cstheme="minorHAnsi"/>
                <w:color w:val="231F20"/>
                <w:w w:val="105"/>
                <w:sz w:val="20"/>
              </w:rPr>
              <w:t xml:space="preserve">Rate </w:t>
            </w:r>
          </w:p>
          <w:p w14:paraId="54F6CE10" w14:textId="77777777" w:rsidR="00F85D20" w:rsidRPr="00E06806" w:rsidRDefault="00F85D20" w:rsidP="007A31C5">
            <w:pPr>
              <w:widowControl w:val="0"/>
              <w:spacing w:before="74" w:after="0" w:line="240" w:lineRule="exact"/>
              <w:ind w:left="107"/>
              <w:rPr>
                <w:rFonts w:cstheme="minorHAnsi"/>
                <w:sz w:val="20"/>
                <w:szCs w:val="20"/>
              </w:rPr>
            </w:pPr>
            <w:r w:rsidRPr="00E06806">
              <w:rPr>
                <w:rFonts w:cstheme="minorHAnsi"/>
                <w:color w:val="231F20"/>
                <w:w w:val="105"/>
                <w:sz w:val="20"/>
              </w:rPr>
              <w:t xml:space="preserve">(RSA </w:t>
            </w:r>
            <w:r w:rsidRPr="00E06806">
              <w:rPr>
                <w:rFonts w:cstheme="minorHAnsi"/>
                <w:color w:val="231F20"/>
                <w:spacing w:val="-3"/>
                <w:w w:val="105"/>
                <w:sz w:val="20"/>
              </w:rPr>
              <w:t>Target:</w:t>
            </w:r>
            <w:r w:rsidRPr="00E06806">
              <w:rPr>
                <w:rFonts w:cstheme="minorHAnsi"/>
                <w:color w:val="231F20"/>
                <w:spacing w:val="3"/>
                <w:w w:val="105"/>
                <w:sz w:val="20"/>
              </w:rPr>
              <w:t xml:space="preserve"> </w:t>
            </w:r>
            <w:r w:rsidRPr="00E06806">
              <w:rPr>
                <w:rFonts w:cstheme="minorHAnsi"/>
                <w:color w:val="231F20"/>
                <w:w w:val="105"/>
                <w:sz w:val="20"/>
              </w:rPr>
              <w:t>80%)</w:t>
            </w:r>
          </w:p>
        </w:tc>
        <w:tc>
          <w:tcPr>
            <w:tcW w:w="2430" w:type="dxa"/>
            <w:tcBorders>
              <w:top w:val="single" w:sz="2" w:space="0" w:color="231F20"/>
              <w:left w:val="single" w:sz="2" w:space="0" w:color="231F20"/>
              <w:bottom w:val="single" w:sz="2" w:space="0" w:color="231F20"/>
              <w:right w:val="single" w:sz="2" w:space="0" w:color="231F20"/>
            </w:tcBorders>
            <w:shd w:val="clear" w:color="auto" w:fill="E6E7E8"/>
            <w:vAlign w:val="center"/>
          </w:tcPr>
          <w:p w14:paraId="1B4C1AC0" w14:textId="77777777" w:rsidR="00F85D20" w:rsidRPr="00E06806" w:rsidRDefault="00F85D20" w:rsidP="00D63204">
            <w:pPr>
              <w:widowControl w:val="0"/>
              <w:spacing w:before="1" w:after="0" w:line="240" w:lineRule="auto"/>
              <w:ind w:left="107"/>
              <w:rPr>
                <w:rFonts w:cstheme="minorHAnsi"/>
                <w:b/>
                <w:bCs/>
                <w:sz w:val="16"/>
                <w:szCs w:val="16"/>
              </w:rPr>
            </w:pPr>
            <w:r w:rsidRPr="009A5912">
              <w:rPr>
                <w:rFonts w:cstheme="minorHAnsi"/>
                <w:bCs/>
                <w:sz w:val="20"/>
                <w:szCs w:val="16"/>
              </w:rPr>
              <w:t>94</w:t>
            </w:r>
            <w:r>
              <w:rPr>
                <w:rFonts w:cstheme="minorHAnsi"/>
                <w:b/>
                <w:bCs/>
                <w:sz w:val="16"/>
                <w:szCs w:val="16"/>
              </w:rPr>
              <w:t>%</w:t>
            </w:r>
          </w:p>
        </w:tc>
        <w:tc>
          <w:tcPr>
            <w:tcW w:w="2430" w:type="dxa"/>
            <w:tcBorders>
              <w:top w:val="single" w:sz="2" w:space="0" w:color="231F20"/>
              <w:left w:val="single" w:sz="2" w:space="0" w:color="231F20"/>
              <w:bottom w:val="single" w:sz="2" w:space="0" w:color="231F20"/>
              <w:right w:val="single" w:sz="2" w:space="0" w:color="231F20"/>
            </w:tcBorders>
            <w:shd w:val="clear" w:color="auto" w:fill="E6E7E8"/>
            <w:vAlign w:val="center"/>
          </w:tcPr>
          <w:p w14:paraId="51AAF08B" w14:textId="77777777" w:rsidR="00F85D20" w:rsidRPr="00E06806" w:rsidRDefault="00F85D20" w:rsidP="00D63204">
            <w:pPr>
              <w:widowControl w:val="0"/>
              <w:spacing w:before="1" w:after="0" w:line="240" w:lineRule="auto"/>
              <w:ind w:left="107"/>
              <w:rPr>
                <w:rFonts w:cstheme="minorHAnsi"/>
                <w:b/>
                <w:bCs/>
                <w:sz w:val="16"/>
                <w:szCs w:val="16"/>
              </w:rPr>
            </w:pPr>
          </w:p>
          <w:p w14:paraId="25DAF890" w14:textId="77777777" w:rsidR="00F85D20" w:rsidRPr="00E06806" w:rsidRDefault="00F85D20" w:rsidP="00D63204">
            <w:pPr>
              <w:widowControl w:val="0"/>
              <w:spacing w:after="0" w:line="240" w:lineRule="auto"/>
              <w:ind w:left="107"/>
              <w:rPr>
                <w:rFonts w:cstheme="minorHAnsi"/>
                <w:sz w:val="20"/>
                <w:szCs w:val="20"/>
              </w:rPr>
            </w:pPr>
            <w:r w:rsidRPr="00E06806">
              <w:rPr>
                <w:rFonts w:cstheme="minorHAnsi"/>
                <w:color w:val="231F20"/>
                <w:w w:val="110"/>
                <w:sz w:val="20"/>
              </w:rPr>
              <w:t>9</w:t>
            </w:r>
            <w:r>
              <w:rPr>
                <w:rFonts w:cstheme="minorHAnsi"/>
                <w:color w:val="231F20"/>
                <w:w w:val="110"/>
                <w:sz w:val="20"/>
              </w:rPr>
              <w:t>5</w:t>
            </w:r>
            <w:r w:rsidRPr="00E06806">
              <w:rPr>
                <w:rFonts w:cstheme="minorHAnsi"/>
                <w:color w:val="231F20"/>
                <w:w w:val="110"/>
                <w:sz w:val="20"/>
              </w:rPr>
              <w:t>%</w:t>
            </w:r>
          </w:p>
        </w:tc>
      </w:tr>
    </w:tbl>
    <w:p w14:paraId="4141E8B4" w14:textId="56CD63F2" w:rsidR="0029105B" w:rsidRDefault="0029105B" w:rsidP="00F85D20">
      <w:pPr>
        <w:widowControl w:val="0"/>
        <w:spacing w:after="0" w:line="240" w:lineRule="auto"/>
        <w:rPr>
          <w:rFonts w:ascii="Calibri" w:hAnsi="Calibri" w:cs="Calibri"/>
        </w:rPr>
      </w:pPr>
    </w:p>
    <w:p w14:paraId="2A71FC4A" w14:textId="7F7DF319" w:rsidR="00F36FD8" w:rsidRPr="00F36FD8" w:rsidRDefault="00F36FD8" w:rsidP="00D63204">
      <w:pPr>
        <w:spacing w:line="240" w:lineRule="auto"/>
        <w:ind w:left="90"/>
        <w:rPr>
          <w:rFonts w:ascii="Calibri" w:hAnsi="Calibri"/>
        </w:rPr>
      </w:pPr>
      <w:r w:rsidRPr="00F36FD8">
        <w:rPr>
          <w:rFonts w:ascii="Calibri" w:hAnsi="Calibri"/>
        </w:rPr>
        <w:t xml:space="preserve">VR’s rehabilitation rate remains below the federal target, but has increased over the past two years, as has the overall number of customer employment outcomes. This is expected as VR </w:t>
      </w:r>
      <w:r w:rsidR="00B46429">
        <w:rPr>
          <w:rFonts w:ascii="Calibri" w:hAnsi="Calibri"/>
        </w:rPr>
        <w:t xml:space="preserve">continues to </w:t>
      </w:r>
      <w:r w:rsidRPr="00F36FD8">
        <w:rPr>
          <w:rFonts w:ascii="Calibri" w:hAnsi="Calibri"/>
        </w:rPr>
        <w:t xml:space="preserve">release customers from the Category 3 wait list. </w:t>
      </w:r>
    </w:p>
    <w:p w14:paraId="7A3D0DF8" w14:textId="77777777" w:rsidR="00F36FD8" w:rsidRPr="00F36FD8" w:rsidRDefault="00F36FD8" w:rsidP="00D63204">
      <w:pPr>
        <w:spacing w:line="240" w:lineRule="auto"/>
        <w:ind w:left="90"/>
        <w:rPr>
          <w:rFonts w:ascii="Calibri" w:hAnsi="Calibri"/>
        </w:rPr>
      </w:pPr>
      <w:r w:rsidRPr="00F36FD8">
        <w:rPr>
          <w:rFonts w:ascii="Calibri" w:hAnsi="Calibri"/>
        </w:rPr>
        <w:t xml:space="preserve">VR collaborates with partners at the state and local levels to maximize employment services for people with disabilities. VR anticipates that the following projects will have a positive impact on program performance. </w:t>
      </w:r>
    </w:p>
    <w:p w14:paraId="2CA5BCE9" w14:textId="5A5DF027" w:rsidR="00F36FD8" w:rsidRDefault="00F36FD8" w:rsidP="00D63204">
      <w:pPr>
        <w:pStyle w:val="ListParagraph"/>
        <w:numPr>
          <w:ilvl w:val="0"/>
          <w:numId w:val="142"/>
        </w:numPr>
        <w:spacing w:line="240" w:lineRule="auto"/>
        <w:rPr>
          <w:rFonts w:ascii="Calibri" w:hAnsi="Calibri"/>
        </w:rPr>
      </w:pPr>
      <w:r w:rsidRPr="00042ACD">
        <w:rPr>
          <w:rFonts w:ascii="Calibri" w:hAnsi="Calibri"/>
        </w:rPr>
        <w:t>Support employers and community partnerships through the Business Relations program.</w:t>
      </w:r>
    </w:p>
    <w:p w14:paraId="60D2EF58" w14:textId="77777777" w:rsidR="00042ACD" w:rsidRPr="00042ACD" w:rsidRDefault="00042ACD" w:rsidP="00D63204">
      <w:pPr>
        <w:pStyle w:val="ListParagraph"/>
        <w:spacing w:line="240" w:lineRule="auto"/>
        <w:ind w:left="810"/>
        <w:rPr>
          <w:rFonts w:ascii="Calibri" w:hAnsi="Calibri"/>
        </w:rPr>
      </w:pPr>
    </w:p>
    <w:p w14:paraId="6D4D0D69" w14:textId="23E02C02" w:rsidR="00F36FD8" w:rsidRDefault="00F36FD8" w:rsidP="00D63204">
      <w:pPr>
        <w:pStyle w:val="ListParagraph"/>
        <w:numPr>
          <w:ilvl w:val="0"/>
          <w:numId w:val="142"/>
        </w:numPr>
        <w:spacing w:line="240" w:lineRule="auto"/>
        <w:rPr>
          <w:rFonts w:ascii="Calibri" w:hAnsi="Calibri"/>
        </w:rPr>
      </w:pPr>
      <w:r w:rsidRPr="00042ACD">
        <w:rPr>
          <w:rFonts w:ascii="Calibri" w:hAnsi="Calibri"/>
        </w:rPr>
        <w:t>Expand the Youth Peer Mentoring pilot to all VR areas.</w:t>
      </w:r>
    </w:p>
    <w:p w14:paraId="6A0508F0" w14:textId="77777777" w:rsidR="00042ACD" w:rsidRPr="00042ACD" w:rsidRDefault="00042ACD" w:rsidP="00D63204">
      <w:pPr>
        <w:pStyle w:val="ListParagraph"/>
        <w:spacing w:line="240" w:lineRule="auto"/>
        <w:ind w:left="810"/>
        <w:rPr>
          <w:rFonts w:ascii="Calibri" w:hAnsi="Calibri"/>
        </w:rPr>
      </w:pPr>
    </w:p>
    <w:p w14:paraId="40085C05" w14:textId="17ABF2B4" w:rsidR="00F36FD8" w:rsidRDefault="00F36FD8" w:rsidP="00D63204">
      <w:pPr>
        <w:pStyle w:val="ListParagraph"/>
        <w:numPr>
          <w:ilvl w:val="0"/>
          <w:numId w:val="142"/>
        </w:numPr>
        <w:spacing w:line="240" w:lineRule="auto"/>
        <w:rPr>
          <w:rFonts w:ascii="Calibri" w:hAnsi="Calibri"/>
        </w:rPr>
      </w:pPr>
      <w:r w:rsidRPr="00042ACD">
        <w:rPr>
          <w:rFonts w:ascii="Calibri" w:hAnsi="Calibri"/>
        </w:rPr>
        <w:lastRenderedPageBreak/>
        <w:t>Provide Career Counseling / Information and Referral (CCIR) services to individuals participating in subminimum wage employment. Due to the positive response to CCIR services, VR is developing an orientation and follow-up process for CCIR service recipients who expressed interest in VR services.</w:t>
      </w:r>
    </w:p>
    <w:p w14:paraId="3A8A9E82" w14:textId="77777777" w:rsidR="00042ACD" w:rsidRPr="00042ACD" w:rsidRDefault="00042ACD" w:rsidP="00D63204">
      <w:pPr>
        <w:pStyle w:val="ListParagraph"/>
        <w:spacing w:line="240" w:lineRule="auto"/>
        <w:ind w:left="810"/>
        <w:rPr>
          <w:rFonts w:ascii="Calibri" w:hAnsi="Calibri"/>
        </w:rPr>
      </w:pPr>
    </w:p>
    <w:p w14:paraId="1BBF14CB" w14:textId="3FA4D42D" w:rsidR="00F36FD8" w:rsidRDefault="00F36FD8" w:rsidP="00D63204">
      <w:pPr>
        <w:pStyle w:val="ListParagraph"/>
        <w:numPr>
          <w:ilvl w:val="0"/>
          <w:numId w:val="142"/>
        </w:numPr>
        <w:spacing w:line="240" w:lineRule="auto"/>
        <w:rPr>
          <w:rFonts w:ascii="Calibri" w:hAnsi="Calibri"/>
        </w:rPr>
      </w:pPr>
      <w:r w:rsidRPr="00042ACD">
        <w:rPr>
          <w:rFonts w:ascii="Calibri" w:hAnsi="Calibri"/>
        </w:rPr>
        <w:t>Assist customers in making informed choices about employment providers through use of the Service Provider Choice Directory.</w:t>
      </w:r>
    </w:p>
    <w:p w14:paraId="316C918C" w14:textId="77777777" w:rsidR="00042ACD" w:rsidRPr="00042ACD" w:rsidRDefault="00042ACD" w:rsidP="00D63204">
      <w:pPr>
        <w:pStyle w:val="ListParagraph"/>
        <w:spacing w:line="240" w:lineRule="auto"/>
        <w:ind w:left="810"/>
        <w:rPr>
          <w:rFonts w:ascii="Calibri" w:hAnsi="Calibri"/>
        </w:rPr>
      </w:pPr>
    </w:p>
    <w:p w14:paraId="0C8D7595" w14:textId="3E1043ED" w:rsidR="00F36FD8" w:rsidRDefault="00F36FD8" w:rsidP="00D63204">
      <w:pPr>
        <w:pStyle w:val="ListParagraph"/>
        <w:numPr>
          <w:ilvl w:val="0"/>
          <w:numId w:val="142"/>
        </w:numPr>
        <w:spacing w:line="240" w:lineRule="auto"/>
        <w:rPr>
          <w:rFonts w:ascii="Calibri" w:hAnsi="Calibri"/>
        </w:rPr>
      </w:pPr>
      <w:r w:rsidRPr="00042ACD">
        <w:rPr>
          <w:rFonts w:ascii="Calibri" w:hAnsi="Calibri"/>
        </w:rPr>
        <w:t>Redesign and implement pre-employment services for transition-age customers.</w:t>
      </w:r>
    </w:p>
    <w:p w14:paraId="3D7056F2" w14:textId="191C8BB0" w:rsidR="00042ACD" w:rsidRDefault="00042ACD" w:rsidP="00042ACD">
      <w:pPr>
        <w:pStyle w:val="ListParagraph"/>
        <w:rPr>
          <w:rFonts w:ascii="Calibri" w:hAnsi="Calibri"/>
        </w:rPr>
      </w:pPr>
    </w:p>
    <w:p w14:paraId="29E493B2" w14:textId="5DCD0708" w:rsidR="00F36FD8" w:rsidRDefault="00F36FD8" w:rsidP="00D63204">
      <w:pPr>
        <w:pStyle w:val="ListParagraph"/>
        <w:numPr>
          <w:ilvl w:val="0"/>
          <w:numId w:val="142"/>
        </w:numPr>
        <w:spacing w:line="240" w:lineRule="auto"/>
        <w:rPr>
          <w:rFonts w:ascii="Calibri" w:hAnsi="Calibri"/>
        </w:rPr>
      </w:pPr>
      <w:r w:rsidRPr="00042ACD">
        <w:rPr>
          <w:rFonts w:ascii="Calibri" w:hAnsi="Calibri"/>
        </w:rPr>
        <w:t>Implement additional mental health training for counselors</w:t>
      </w:r>
      <w:r w:rsidR="00D5537E">
        <w:rPr>
          <w:rFonts w:ascii="Calibri" w:hAnsi="Calibri"/>
        </w:rPr>
        <w:t xml:space="preserve"> and</w:t>
      </w:r>
      <w:r w:rsidRPr="00042ACD">
        <w:rPr>
          <w:rFonts w:ascii="Calibri" w:hAnsi="Calibri"/>
        </w:rPr>
        <w:t xml:space="preserve"> develop transitional employment, Individual Placement and Support</w:t>
      </w:r>
      <w:r w:rsidR="00D5537E">
        <w:rPr>
          <w:rFonts w:ascii="Calibri" w:hAnsi="Calibri"/>
        </w:rPr>
        <w:t xml:space="preserve"> and</w:t>
      </w:r>
      <w:r w:rsidRPr="00042ACD">
        <w:rPr>
          <w:rFonts w:ascii="Calibri" w:hAnsi="Calibri"/>
        </w:rPr>
        <w:t xml:space="preserve"> peer specialist models to improve success with individuals with severe and persistent mental illness.</w:t>
      </w:r>
    </w:p>
    <w:p w14:paraId="12F75071" w14:textId="77777777" w:rsidR="00042ACD" w:rsidRPr="00042ACD" w:rsidRDefault="00042ACD" w:rsidP="00D63204">
      <w:pPr>
        <w:pStyle w:val="ListParagraph"/>
        <w:spacing w:line="240" w:lineRule="auto"/>
        <w:ind w:left="810"/>
        <w:rPr>
          <w:rFonts w:ascii="Calibri" w:hAnsi="Calibri"/>
        </w:rPr>
      </w:pPr>
    </w:p>
    <w:p w14:paraId="4102E0D7" w14:textId="3763D2B8" w:rsidR="00F36FD8" w:rsidRDefault="00F36FD8" w:rsidP="00D63204">
      <w:pPr>
        <w:pStyle w:val="ListParagraph"/>
        <w:numPr>
          <w:ilvl w:val="0"/>
          <w:numId w:val="142"/>
        </w:numPr>
        <w:spacing w:line="240" w:lineRule="auto"/>
        <w:rPr>
          <w:rFonts w:ascii="Calibri" w:hAnsi="Calibri"/>
        </w:rPr>
      </w:pPr>
      <w:r w:rsidRPr="00042ACD">
        <w:rPr>
          <w:rFonts w:ascii="Calibri" w:hAnsi="Calibri"/>
        </w:rPr>
        <w:t>Expand the capacity for providing Discovery and Customized Employment services.</w:t>
      </w:r>
    </w:p>
    <w:p w14:paraId="0B97BD48" w14:textId="77777777" w:rsidR="00042ACD" w:rsidRPr="00042ACD" w:rsidRDefault="00042ACD" w:rsidP="00D63204">
      <w:pPr>
        <w:pStyle w:val="ListParagraph"/>
        <w:spacing w:line="240" w:lineRule="auto"/>
        <w:ind w:left="810"/>
        <w:rPr>
          <w:rFonts w:ascii="Calibri" w:hAnsi="Calibri"/>
        </w:rPr>
      </w:pPr>
    </w:p>
    <w:p w14:paraId="26787565" w14:textId="090B5242" w:rsidR="00F36FD8" w:rsidRDefault="00F36FD8" w:rsidP="00D63204">
      <w:pPr>
        <w:pStyle w:val="ListParagraph"/>
        <w:numPr>
          <w:ilvl w:val="0"/>
          <w:numId w:val="142"/>
        </w:numPr>
        <w:spacing w:line="240" w:lineRule="auto"/>
        <w:rPr>
          <w:rFonts w:ascii="Calibri" w:hAnsi="Calibri"/>
        </w:rPr>
      </w:pPr>
      <w:r w:rsidRPr="00042ACD">
        <w:rPr>
          <w:rFonts w:ascii="Calibri" w:hAnsi="Calibri"/>
        </w:rPr>
        <w:t>Establish additional casework quality assurance review practices to validate data entry.</w:t>
      </w:r>
    </w:p>
    <w:p w14:paraId="125F5B76" w14:textId="77777777" w:rsidR="00042ACD" w:rsidRPr="00042ACD" w:rsidRDefault="00042ACD" w:rsidP="00D63204">
      <w:pPr>
        <w:pStyle w:val="ListParagraph"/>
        <w:spacing w:line="240" w:lineRule="auto"/>
        <w:ind w:left="810"/>
        <w:rPr>
          <w:rFonts w:ascii="Calibri" w:hAnsi="Calibri"/>
        </w:rPr>
      </w:pPr>
    </w:p>
    <w:p w14:paraId="763C5CA2" w14:textId="794CDEFD" w:rsidR="00F36FD8" w:rsidRDefault="00F36FD8" w:rsidP="00D63204">
      <w:pPr>
        <w:pStyle w:val="ListParagraph"/>
        <w:numPr>
          <w:ilvl w:val="0"/>
          <w:numId w:val="142"/>
        </w:numPr>
        <w:spacing w:line="240" w:lineRule="auto"/>
        <w:rPr>
          <w:rFonts w:ascii="Calibri" w:hAnsi="Calibri"/>
        </w:rPr>
      </w:pPr>
      <w:r w:rsidRPr="00042ACD">
        <w:rPr>
          <w:rFonts w:ascii="Calibri" w:hAnsi="Calibri"/>
        </w:rPr>
        <w:t>Continue data validation practices to detect errors prior to reporting.</w:t>
      </w:r>
    </w:p>
    <w:p w14:paraId="15139549" w14:textId="77777777" w:rsidR="00042ACD" w:rsidRPr="00042ACD" w:rsidRDefault="00042ACD" w:rsidP="00D63204">
      <w:pPr>
        <w:pStyle w:val="ListParagraph"/>
        <w:spacing w:line="240" w:lineRule="auto"/>
        <w:ind w:left="810"/>
        <w:rPr>
          <w:rFonts w:ascii="Calibri" w:hAnsi="Calibri"/>
        </w:rPr>
      </w:pPr>
    </w:p>
    <w:p w14:paraId="04BAB4DB" w14:textId="21278CE7" w:rsidR="00F36FD8" w:rsidRPr="00042ACD" w:rsidRDefault="00F36FD8" w:rsidP="00D63204">
      <w:pPr>
        <w:pStyle w:val="ListParagraph"/>
        <w:numPr>
          <w:ilvl w:val="0"/>
          <w:numId w:val="142"/>
        </w:numPr>
        <w:spacing w:line="240" w:lineRule="auto"/>
        <w:rPr>
          <w:rFonts w:ascii="Calibri" w:hAnsi="Calibri"/>
        </w:rPr>
      </w:pPr>
      <w:r w:rsidRPr="00042ACD">
        <w:rPr>
          <w:rFonts w:ascii="Calibri" w:hAnsi="Calibri"/>
        </w:rPr>
        <w:t>Expand use of Benefits Planning services for Social Security recipients that will promote self-support. Purchase these services when not available from SSA.</w:t>
      </w:r>
    </w:p>
    <w:p w14:paraId="16AB461E" w14:textId="77777777" w:rsidR="00F36FD8" w:rsidRPr="00042ACD" w:rsidRDefault="00F36FD8" w:rsidP="00D63204">
      <w:pPr>
        <w:spacing w:after="0" w:line="240" w:lineRule="auto"/>
        <w:ind w:left="90"/>
        <w:rPr>
          <w:rFonts w:ascii="Calibri" w:hAnsi="Calibri"/>
          <w:b/>
          <w:u w:val="single"/>
        </w:rPr>
      </w:pPr>
      <w:r w:rsidRPr="00042ACD">
        <w:rPr>
          <w:rFonts w:ascii="Calibri" w:hAnsi="Calibri"/>
          <w:b/>
          <w:u w:val="single"/>
        </w:rPr>
        <w:t>Strategies for the Statewide Workforce Investment System to Assist Individuals with Disabilities</w:t>
      </w:r>
    </w:p>
    <w:p w14:paraId="43AD99A1" w14:textId="0388088B" w:rsidR="00F36FD8" w:rsidRPr="00F36FD8" w:rsidRDefault="00F36FD8" w:rsidP="00D63204">
      <w:pPr>
        <w:spacing w:line="240" w:lineRule="auto"/>
        <w:ind w:left="90"/>
        <w:rPr>
          <w:rFonts w:ascii="Calibri" w:hAnsi="Calibri"/>
        </w:rPr>
      </w:pPr>
      <w:r w:rsidRPr="00F36FD8">
        <w:rPr>
          <w:rFonts w:ascii="Calibri" w:hAnsi="Calibri"/>
        </w:rPr>
        <w:t xml:space="preserve">WIOA presents requirements and opportunities for VR to strengthen its partnership with entities of the Statewide Workforce Development System. In addition to requirements outlined in WIOA, the following strategies will increase partnerships with the statewide workforce development system to further help </w:t>
      </w:r>
      <w:r w:rsidR="00EB646F">
        <w:rPr>
          <w:rFonts w:ascii="Calibri" w:hAnsi="Calibri"/>
        </w:rPr>
        <w:t>job seeker</w:t>
      </w:r>
      <w:r w:rsidRPr="00F36FD8">
        <w:rPr>
          <w:rFonts w:ascii="Calibri" w:hAnsi="Calibri"/>
        </w:rPr>
        <w:t>s with disabilities.</w:t>
      </w:r>
    </w:p>
    <w:p w14:paraId="3B5A8DA0" w14:textId="17209084" w:rsidR="00042ACD" w:rsidRDefault="00F36FD8" w:rsidP="00D63204">
      <w:pPr>
        <w:pStyle w:val="ListParagraph"/>
        <w:numPr>
          <w:ilvl w:val="0"/>
          <w:numId w:val="143"/>
        </w:numPr>
        <w:spacing w:line="240" w:lineRule="auto"/>
        <w:rPr>
          <w:rFonts w:ascii="Calibri" w:hAnsi="Calibri"/>
        </w:rPr>
      </w:pPr>
      <w:r w:rsidRPr="00042ACD">
        <w:rPr>
          <w:rFonts w:ascii="Calibri" w:hAnsi="Calibri"/>
        </w:rPr>
        <w:t>Continue implementation of WIOA with other core programs, including design of the one-stop career center system and integrated performance accountability system.</w:t>
      </w:r>
    </w:p>
    <w:p w14:paraId="5754C7AE" w14:textId="77777777" w:rsidR="00042ACD" w:rsidRPr="00042ACD" w:rsidRDefault="00042ACD" w:rsidP="00D63204">
      <w:pPr>
        <w:pStyle w:val="ListParagraph"/>
        <w:spacing w:line="240" w:lineRule="auto"/>
        <w:ind w:left="810"/>
        <w:rPr>
          <w:rFonts w:ascii="Calibri" w:hAnsi="Calibri"/>
        </w:rPr>
      </w:pPr>
    </w:p>
    <w:p w14:paraId="54282B4D" w14:textId="716D5E57" w:rsidR="00F36FD8" w:rsidRDefault="00F36FD8" w:rsidP="00D63204">
      <w:pPr>
        <w:pStyle w:val="ListParagraph"/>
        <w:numPr>
          <w:ilvl w:val="0"/>
          <w:numId w:val="143"/>
        </w:numPr>
        <w:spacing w:line="240" w:lineRule="auto"/>
        <w:rPr>
          <w:rFonts w:ascii="Calibri" w:hAnsi="Calibri"/>
        </w:rPr>
      </w:pPr>
      <w:r w:rsidRPr="00042ACD">
        <w:rPr>
          <w:rFonts w:ascii="Calibri" w:hAnsi="Calibri"/>
        </w:rPr>
        <w:t>Collaborate with and offer training to CareerSource Florida and Employment Networks to provide services.</w:t>
      </w:r>
    </w:p>
    <w:p w14:paraId="0BC93428" w14:textId="77777777" w:rsidR="00042ACD" w:rsidRPr="00042ACD" w:rsidRDefault="00042ACD" w:rsidP="00D63204">
      <w:pPr>
        <w:pStyle w:val="ListParagraph"/>
        <w:spacing w:line="240" w:lineRule="auto"/>
        <w:ind w:left="810"/>
        <w:rPr>
          <w:rFonts w:ascii="Calibri" w:hAnsi="Calibri"/>
        </w:rPr>
      </w:pPr>
    </w:p>
    <w:p w14:paraId="241205D0" w14:textId="20DF3F06" w:rsidR="00F36FD8" w:rsidRDefault="00F36FD8" w:rsidP="00D63204">
      <w:pPr>
        <w:pStyle w:val="ListParagraph"/>
        <w:numPr>
          <w:ilvl w:val="0"/>
          <w:numId w:val="143"/>
        </w:numPr>
        <w:spacing w:line="240" w:lineRule="auto"/>
        <w:rPr>
          <w:rFonts w:ascii="Calibri" w:hAnsi="Calibri"/>
        </w:rPr>
      </w:pPr>
      <w:r w:rsidRPr="00042ACD">
        <w:rPr>
          <w:rFonts w:ascii="Calibri" w:hAnsi="Calibri"/>
        </w:rPr>
        <w:t>Continue area directors’ and representatives’ participation on the local Workforce Boards.</w:t>
      </w:r>
    </w:p>
    <w:p w14:paraId="2F818739" w14:textId="77777777" w:rsidR="00042ACD" w:rsidRPr="00042ACD" w:rsidRDefault="00042ACD" w:rsidP="00D63204">
      <w:pPr>
        <w:pStyle w:val="ListParagraph"/>
        <w:spacing w:line="240" w:lineRule="auto"/>
        <w:ind w:left="810"/>
        <w:rPr>
          <w:rFonts w:ascii="Calibri" w:hAnsi="Calibri"/>
        </w:rPr>
      </w:pPr>
    </w:p>
    <w:p w14:paraId="6275B20F" w14:textId="1D93B87E" w:rsidR="00F36FD8" w:rsidRDefault="00F36FD8" w:rsidP="00D63204">
      <w:pPr>
        <w:pStyle w:val="ListParagraph"/>
        <w:numPr>
          <w:ilvl w:val="0"/>
          <w:numId w:val="143"/>
        </w:numPr>
        <w:spacing w:line="240" w:lineRule="auto"/>
        <w:rPr>
          <w:rFonts w:ascii="Calibri" w:hAnsi="Calibri"/>
        </w:rPr>
      </w:pPr>
      <w:r w:rsidRPr="00042ACD">
        <w:rPr>
          <w:rFonts w:ascii="Calibri" w:hAnsi="Calibri"/>
        </w:rPr>
        <w:t>Continue to promote VR’s presence in CareerSource Florida through co-location of VR units in One-Stop Career Centers, employees being out-stationed</w:t>
      </w:r>
      <w:r w:rsidR="00D5537E">
        <w:rPr>
          <w:rFonts w:ascii="Calibri" w:hAnsi="Calibri"/>
        </w:rPr>
        <w:t xml:space="preserve"> and</w:t>
      </w:r>
      <w:r w:rsidRPr="00042ACD">
        <w:rPr>
          <w:rFonts w:ascii="Calibri" w:hAnsi="Calibri"/>
        </w:rPr>
        <w:t>/or through regular visits by VR employees to One-Stop Career Centers.</w:t>
      </w:r>
    </w:p>
    <w:p w14:paraId="7F276906" w14:textId="77777777" w:rsidR="00042ACD" w:rsidRPr="00042ACD" w:rsidRDefault="00042ACD" w:rsidP="00D63204">
      <w:pPr>
        <w:pStyle w:val="ListParagraph"/>
        <w:spacing w:line="240" w:lineRule="auto"/>
        <w:ind w:left="810"/>
        <w:rPr>
          <w:rFonts w:ascii="Calibri" w:hAnsi="Calibri"/>
        </w:rPr>
      </w:pPr>
    </w:p>
    <w:p w14:paraId="583CDDD0" w14:textId="3672770F" w:rsidR="00F36FD8" w:rsidRPr="00042ACD" w:rsidRDefault="00F36FD8" w:rsidP="00D63204">
      <w:pPr>
        <w:pStyle w:val="ListParagraph"/>
        <w:numPr>
          <w:ilvl w:val="0"/>
          <w:numId w:val="143"/>
        </w:numPr>
        <w:spacing w:line="240" w:lineRule="auto"/>
        <w:rPr>
          <w:rFonts w:ascii="Calibri" w:hAnsi="Calibri"/>
        </w:rPr>
      </w:pPr>
      <w:r w:rsidRPr="00042ACD">
        <w:rPr>
          <w:rFonts w:ascii="Calibri" w:hAnsi="Calibri"/>
        </w:rPr>
        <w:t>Develop a network of qualified benefits planners to augment the SSA contracts for Work Incentives Planning and Assistance (WIPA) program services. SSA contracted networks are insufficient in quantity</w:t>
      </w:r>
      <w:r w:rsidR="00D5537E">
        <w:rPr>
          <w:rFonts w:ascii="Calibri" w:hAnsi="Calibri"/>
        </w:rPr>
        <w:t xml:space="preserve"> and</w:t>
      </w:r>
      <w:r w:rsidRPr="00042ACD">
        <w:rPr>
          <w:rFonts w:ascii="Calibri" w:hAnsi="Calibri"/>
        </w:rPr>
        <w:t xml:space="preserve"> they have reprioritized their service population so that ticketholders, youth and SSI/ SSDI beneficiaries who are not yet working or ready to work are in last place. VR believes benefits planning must be provided early to families and youth</w:t>
      </w:r>
      <w:r w:rsidR="00D5537E">
        <w:rPr>
          <w:rFonts w:ascii="Calibri" w:hAnsi="Calibri"/>
        </w:rPr>
        <w:t xml:space="preserve"> and</w:t>
      </w:r>
      <w:r w:rsidRPr="00042ACD">
        <w:rPr>
          <w:rFonts w:ascii="Calibri" w:hAnsi="Calibri"/>
        </w:rPr>
        <w:t xml:space="preserve"> will purchase these services when not available through SSA capacity.</w:t>
      </w:r>
    </w:p>
    <w:p w14:paraId="633E11AD" w14:textId="77777777" w:rsidR="00042ACD" w:rsidRDefault="00042ACD" w:rsidP="00D63204">
      <w:pPr>
        <w:spacing w:after="0" w:line="240" w:lineRule="auto"/>
        <w:ind w:left="90"/>
        <w:rPr>
          <w:rFonts w:ascii="Calibri" w:hAnsi="Calibri"/>
          <w:b/>
          <w:u w:val="single"/>
        </w:rPr>
      </w:pPr>
    </w:p>
    <w:p w14:paraId="1D4BF146" w14:textId="46DB399D" w:rsidR="00F36FD8" w:rsidRPr="00042ACD" w:rsidRDefault="00F36FD8" w:rsidP="00D63204">
      <w:pPr>
        <w:spacing w:after="0" w:line="240" w:lineRule="auto"/>
        <w:ind w:left="90"/>
        <w:rPr>
          <w:rFonts w:ascii="Calibri" w:hAnsi="Calibri"/>
          <w:b/>
          <w:u w:val="single"/>
        </w:rPr>
      </w:pPr>
      <w:r w:rsidRPr="00042ACD">
        <w:rPr>
          <w:rFonts w:ascii="Calibri" w:hAnsi="Calibri"/>
          <w:b/>
          <w:u w:val="single"/>
        </w:rPr>
        <w:t xml:space="preserve">Equitable Access </w:t>
      </w:r>
    </w:p>
    <w:p w14:paraId="299F369F" w14:textId="77777777" w:rsidR="00822489" w:rsidRDefault="00F36FD8" w:rsidP="00822489">
      <w:pPr>
        <w:spacing w:line="240" w:lineRule="auto"/>
        <w:ind w:left="90"/>
        <w:rPr>
          <w:rFonts w:ascii="Calibri" w:hAnsi="Calibri"/>
        </w:rPr>
      </w:pPr>
      <w:r w:rsidRPr="00F36FD8">
        <w:rPr>
          <w:rFonts w:ascii="Calibri" w:hAnsi="Calibri"/>
        </w:rPr>
        <w:lastRenderedPageBreak/>
        <w:t>Since 2013, VR has made great progress in accommodation and access to services for individuals who are deaf or hard of hearing. Specific accomplishments include completion of revised best practices guides for services and communication, as well as hiring a specialized consultant in the field of deaf-blindness to develop best practices, provide consultation, training</w:t>
      </w:r>
      <w:r w:rsidR="00D5537E">
        <w:rPr>
          <w:rFonts w:ascii="Calibri" w:hAnsi="Calibri"/>
        </w:rPr>
        <w:t xml:space="preserve"> and</w:t>
      </w:r>
      <w:r w:rsidRPr="00F36FD8">
        <w:rPr>
          <w:rFonts w:ascii="Calibri" w:hAnsi="Calibri"/>
        </w:rPr>
        <w:t xml:space="preserve"> advocacy with stakeholders involved in these cases. VR </w:t>
      </w:r>
      <w:r w:rsidR="00B46429">
        <w:rPr>
          <w:rFonts w:ascii="Calibri" w:hAnsi="Calibri"/>
        </w:rPr>
        <w:t xml:space="preserve">also </w:t>
      </w:r>
      <w:r w:rsidRPr="00F36FD8">
        <w:rPr>
          <w:rFonts w:ascii="Calibri" w:hAnsi="Calibri"/>
        </w:rPr>
        <w:t>repurposed a vacated FTE into a Deaf-Blind Specialist position, which was filled during FFY 2014.</w:t>
      </w:r>
      <w:r w:rsidR="00822489">
        <w:rPr>
          <w:rFonts w:ascii="Calibri" w:hAnsi="Calibri"/>
        </w:rPr>
        <w:t xml:space="preserve"> </w:t>
      </w:r>
    </w:p>
    <w:p w14:paraId="50BB9D64" w14:textId="248F543C" w:rsidR="00F36FD8" w:rsidRPr="00F36FD8" w:rsidRDefault="00F36FD8" w:rsidP="00822489">
      <w:pPr>
        <w:spacing w:line="240" w:lineRule="auto"/>
        <w:ind w:left="90"/>
        <w:rPr>
          <w:rFonts w:ascii="Calibri" w:hAnsi="Calibri"/>
        </w:rPr>
      </w:pPr>
      <w:r w:rsidRPr="00F36FD8">
        <w:rPr>
          <w:rFonts w:ascii="Calibri" w:hAnsi="Calibri"/>
        </w:rPr>
        <w:t>Key administrators from VR and FDBS held monthly meetings to revise and update the Memorandum of Agreement, develop strategies, discuss training needs, create informational guides needed by both agencies for this population</w:t>
      </w:r>
      <w:r w:rsidR="00D5537E">
        <w:rPr>
          <w:rFonts w:ascii="Calibri" w:hAnsi="Calibri"/>
        </w:rPr>
        <w:t xml:space="preserve"> and</w:t>
      </w:r>
      <w:r w:rsidRPr="00F36FD8">
        <w:rPr>
          <w:rFonts w:ascii="Calibri" w:hAnsi="Calibri"/>
        </w:rPr>
        <w:t xml:space="preserve"> provide case consultation. Additional VR strategies and activities to increase equal access to individuals requesting services are as follows:</w:t>
      </w:r>
    </w:p>
    <w:p w14:paraId="4891F126" w14:textId="1F2F0D66" w:rsidR="00F36FD8" w:rsidRDefault="00F36FD8" w:rsidP="00D63204">
      <w:pPr>
        <w:pStyle w:val="ListParagraph"/>
        <w:numPr>
          <w:ilvl w:val="0"/>
          <w:numId w:val="144"/>
        </w:numPr>
        <w:spacing w:line="240" w:lineRule="auto"/>
        <w:rPr>
          <w:rFonts w:ascii="Calibri" w:hAnsi="Calibri"/>
        </w:rPr>
      </w:pPr>
      <w:r w:rsidRPr="00042ACD">
        <w:rPr>
          <w:rFonts w:ascii="Calibri" w:hAnsi="Calibri"/>
        </w:rPr>
        <w:t>Develop a comprehensive safety plan for monitoring VR facilities statewide. Specific components include a process for reporting defective/unsafe working conditions, safety and facilities management training for area staff, a move manual, a statewide safety manual, statewide first aid information, furniture inspection instructions</w:t>
      </w:r>
      <w:r w:rsidR="00D5537E">
        <w:rPr>
          <w:rFonts w:ascii="Calibri" w:hAnsi="Calibri"/>
        </w:rPr>
        <w:t xml:space="preserve"> and</w:t>
      </w:r>
      <w:r w:rsidRPr="00042ACD">
        <w:rPr>
          <w:rFonts w:ascii="Calibri" w:hAnsi="Calibri"/>
        </w:rPr>
        <w:t xml:space="preserve"> a facility security/building access policy at HQ.</w:t>
      </w:r>
    </w:p>
    <w:p w14:paraId="1C1F20FF" w14:textId="77777777" w:rsidR="00042ACD" w:rsidRPr="00042ACD" w:rsidRDefault="00042ACD" w:rsidP="00D63204">
      <w:pPr>
        <w:pStyle w:val="ListParagraph"/>
        <w:spacing w:line="240" w:lineRule="auto"/>
        <w:ind w:left="810"/>
        <w:rPr>
          <w:rFonts w:ascii="Calibri" w:hAnsi="Calibri"/>
        </w:rPr>
      </w:pPr>
    </w:p>
    <w:p w14:paraId="21DD2742" w14:textId="17821E65" w:rsidR="00F36FD8" w:rsidRDefault="00F36FD8" w:rsidP="00D63204">
      <w:pPr>
        <w:pStyle w:val="ListParagraph"/>
        <w:numPr>
          <w:ilvl w:val="0"/>
          <w:numId w:val="144"/>
        </w:numPr>
        <w:spacing w:line="240" w:lineRule="auto"/>
        <w:rPr>
          <w:rFonts w:ascii="Calibri" w:hAnsi="Calibri"/>
        </w:rPr>
      </w:pPr>
      <w:r w:rsidRPr="00042ACD">
        <w:rPr>
          <w:rFonts w:ascii="Calibri" w:hAnsi="Calibri"/>
        </w:rPr>
        <w:t>Continue to use interpreters and translators and VR’s online resources as well as the websites of other partners and stakeholders (where permitted) to reach underserved populations and increase communication with customers.</w:t>
      </w:r>
    </w:p>
    <w:p w14:paraId="75D4CFCC" w14:textId="77777777" w:rsidR="00042ACD" w:rsidRPr="00042ACD" w:rsidRDefault="00042ACD" w:rsidP="00D63204">
      <w:pPr>
        <w:pStyle w:val="ListParagraph"/>
        <w:spacing w:line="240" w:lineRule="auto"/>
        <w:ind w:left="810"/>
        <w:rPr>
          <w:rFonts w:ascii="Calibri" w:hAnsi="Calibri"/>
        </w:rPr>
      </w:pPr>
    </w:p>
    <w:p w14:paraId="3C37CA65" w14:textId="52F1E0B1" w:rsidR="00F36FD8" w:rsidRDefault="00F36FD8" w:rsidP="00D63204">
      <w:pPr>
        <w:pStyle w:val="ListParagraph"/>
        <w:numPr>
          <w:ilvl w:val="0"/>
          <w:numId w:val="144"/>
        </w:numPr>
        <w:spacing w:line="240" w:lineRule="auto"/>
        <w:rPr>
          <w:rFonts w:ascii="Calibri" w:hAnsi="Calibri"/>
        </w:rPr>
      </w:pPr>
      <w:r w:rsidRPr="00042ACD">
        <w:rPr>
          <w:rFonts w:ascii="Calibri" w:hAnsi="Calibri"/>
        </w:rPr>
        <w:t>Offer reasonable accommodations to give equal access to services</w:t>
      </w:r>
      <w:r w:rsidR="00D5537E">
        <w:rPr>
          <w:rFonts w:ascii="Calibri" w:hAnsi="Calibri"/>
        </w:rPr>
        <w:t xml:space="preserve"> and</w:t>
      </w:r>
      <w:r w:rsidRPr="00042ACD">
        <w:rPr>
          <w:rFonts w:ascii="Calibri" w:hAnsi="Calibri"/>
        </w:rPr>
        <w:t xml:space="preserve"> make sure materials and other program information are available in English, Spanish</w:t>
      </w:r>
      <w:r w:rsidR="00D5537E">
        <w:rPr>
          <w:rFonts w:ascii="Calibri" w:hAnsi="Calibri"/>
        </w:rPr>
        <w:t xml:space="preserve"> and</w:t>
      </w:r>
      <w:r w:rsidRPr="00042ACD">
        <w:rPr>
          <w:rFonts w:ascii="Calibri" w:hAnsi="Calibri"/>
        </w:rPr>
        <w:t xml:space="preserve"> Haitian-Creole for various agencies, employers, churches, community leaders, health clinics</w:t>
      </w:r>
      <w:r w:rsidR="00D5537E">
        <w:rPr>
          <w:rFonts w:ascii="Calibri" w:hAnsi="Calibri"/>
        </w:rPr>
        <w:t xml:space="preserve"> and</w:t>
      </w:r>
      <w:r w:rsidRPr="00042ACD">
        <w:rPr>
          <w:rFonts w:ascii="Calibri" w:hAnsi="Calibri"/>
        </w:rPr>
        <w:t xml:space="preserve"> other settings.</w:t>
      </w:r>
    </w:p>
    <w:p w14:paraId="2F888705" w14:textId="77777777" w:rsidR="00042ACD" w:rsidRPr="00042ACD" w:rsidRDefault="00042ACD" w:rsidP="00D63204">
      <w:pPr>
        <w:pStyle w:val="ListParagraph"/>
        <w:spacing w:line="240" w:lineRule="auto"/>
        <w:ind w:left="810"/>
        <w:rPr>
          <w:rFonts w:ascii="Calibri" w:hAnsi="Calibri"/>
        </w:rPr>
      </w:pPr>
    </w:p>
    <w:p w14:paraId="435C601B" w14:textId="2445C4DD" w:rsidR="00F36FD8" w:rsidRDefault="00F36FD8" w:rsidP="00D63204">
      <w:pPr>
        <w:pStyle w:val="ListParagraph"/>
        <w:numPr>
          <w:ilvl w:val="0"/>
          <w:numId w:val="144"/>
        </w:numPr>
        <w:spacing w:line="240" w:lineRule="auto"/>
        <w:rPr>
          <w:rFonts w:ascii="Calibri" w:hAnsi="Calibri"/>
        </w:rPr>
      </w:pPr>
      <w:r w:rsidRPr="00042ACD">
        <w:rPr>
          <w:rFonts w:ascii="Calibri" w:hAnsi="Calibri"/>
        </w:rPr>
        <w:t>Continue to assign counselors and consultants to serve specialized populations, such as the deaf and hard-of-hearing, transition students, mental health customers</w:t>
      </w:r>
      <w:r w:rsidR="00D5537E">
        <w:rPr>
          <w:rFonts w:ascii="Calibri" w:hAnsi="Calibri"/>
        </w:rPr>
        <w:t xml:space="preserve"> and</w:t>
      </w:r>
      <w:r w:rsidRPr="00042ACD">
        <w:rPr>
          <w:rFonts w:ascii="Calibri" w:hAnsi="Calibri"/>
        </w:rPr>
        <w:t xml:space="preserve"> brain and spinal cord injury customers.</w:t>
      </w:r>
    </w:p>
    <w:p w14:paraId="6D5CBF76" w14:textId="77777777" w:rsidR="00042ACD" w:rsidRPr="00042ACD" w:rsidRDefault="00042ACD" w:rsidP="00D63204">
      <w:pPr>
        <w:pStyle w:val="ListParagraph"/>
        <w:spacing w:line="240" w:lineRule="auto"/>
        <w:ind w:left="810"/>
        <w:rPr>
          <w:rFonts w:ascii="Calibri" w:hAnsi="Calibri"/>
        </w:rPr>
      </w:pPr>
    </w:p>
    <w:p w14:paraId="38517620" w14:textId="77777777" w:rsidR="00042ACD" w:rsidRDefault="00F36FD8" w:rsidP="00D63204">
      <w:pPr>
        <w:pStyle w:val="ListParagraph"/>
        <w:numPr>
          <w:ilvl w:val="0"/>
          <w:numId w:val="144"/>
        </w:numPr>
        <w:spacing w:line="240" w:lineRule="auto"/>
        <w:rPr>
          <w:rFonts w:ascii="Calibri" w:hAnsi="Calibri"/>
        </w:rPr>
      </w:pPr>
      <w:r w:rsidRPr="00042ACD">
        <w:rPr>
          <w:rFonts w:ascii="Calibri" w:hAnsi="Calibri"/>
        </w:rPr>
        <w:t>Collaborate with CareerSource Florida and other One-stop system partners to implement universal design principles into the workforce development system’s facilities and operations, with the intent to include universal design as a separate component of the One-stop career center certification process.</w:t>
      </w:r>
    </w:p>
    <w:p w14:paraId="06DD49F5" w14:textId="77777777" w:rsidR="00042ACD" w:rsidRPr="00042ACD" w:rsidRDefault="00042ACD" w:rsidP="00042ACD">
      <w:pPr>
        <w:pStyle w:val="ListParagraph"/>
        <w:rPr>
          <w:rFonts w:ascii="Calibri" w:hAnsi="Calibri"/>
        </w:rPr>
      </w:pPr>
    </w:p>
    <w:p w14:paraId="28F7DE7B" w14:textId="0D4F0866" w:rsidR="00F36FD8" w:rsidRPr="00493CD4" w:rsidRDefault="00042ACD" w:rsidP="00D63204">
      <w:pPr>
        <w:pStyle w:val="ListParagraph"/>
        <w:numPr>
          <w:ilvl w:val="0"/>
          <w:numId w:val="122"/>
        </w:numPr>
        <w:spacing w:line="240" w:lineRule="auto"/>
        <w:rPr>
          <w:rFonts w:ascii="Calibri" w:hAnsi="Calibri"/>
          <w:b/>
          <w:color w:val="1F497D" w:themeColor="text2"/>
          <w:sz w:val="26"/>
          <w:szCs w:val="26"/>
        </w:rPr>
      </w:pPr>
      <w:r w:rsidRPr="00493CD4">
        <w:rPr>
          <w:rFonts w:ascii="Calibri" w:hAnsi="Calibri"/>
          <w:color w:val="1F497D" w:themeColor="text2"/>
        </w:rPr>
        <w:t xml:space="preserve"> </w:t>
      </w:r>
      <w:r w:rsidR="00F36FD8" w:rsidRPr="00493CD4">
        <w:rPr>
          <w:rFonts w:ascii="Calibri" w:hAnsi="Calibri"/>
          <w:b/>
          <w:color w:val="1F497D" w:themeColor="text2"/>
          <w:sz w:val="26"/>
          <w:szCs w:val="26"/>
        </w:rPr>
        <w:t>Evaluation and Reports of Progress</w:t>
      </w:r>
    </w:p>
    <w:p w14:paraId="481ED5F2" w14:textId="6719D913" w:rsidR="00F36FD8" w:rsidRPr="00F36FD8" w:rsidRDefault="00F36FD8" w:rsidP="00D63204">
      <w:pPr>
        <w:spacing w:line="240" w:lineRule="auto"/>
        <w:ind w:left="90"/>
        <w:rPr>
          <w:rFonts w:ascii="Calibri" w:hAnsi="Calibri"/>
        </w:rPr>
      </w:pPr>
      <w:r w:rsidRPr="00F36FD8">
        <w:rPr>
          <w:rFonts w:ascii="Calibri" w:hAnsi="Calibri"/>
        </w:rPr>
        <w:t>The Division of Vocational Rehabilitation (VR), in collaboration with the Florida Rehabilitation Council (FRC), established three strategic goals for FFY 2015. These goals and priorities were developed based on an analysis of VR’s performance on the federal standards and indicators, the preliminary results of the statewide needs assessment</w:t>
      </w:r>
      <w:r w:rsidR="00D5537E">
        <w:rPr>
          <w:rFonts w:ascii="Calibri" w:hAnsi="Calibri"/>
        </w:rPr>
        <w:t xml:space="preserve"> and</w:t>
      </w:r>
      <w:r w:rsidRPr="00F36FD8">
        <w:rPr>
          <w:rFonts w:ascii="Calibri" w:hAnsi="Calibri"/>
        </w:rPr>
        <w:t xml:space="preserve"> input from customers, providers</w:t>
      </w:r>
      <w:r w:rsidR="00D5537E">
        <w:rPr>
          <w:rFonts w:ascii="Calibri" w:hAnsi="Calibri"/>
        </w:rPr>
        <w:t xml:space="preserve"> and</w:t>
      </w:r>
      <w:r w:rsidRPr="00F36FD8">
        <w:rPr>
          <w:rFonts w:ascii="Calibri" w:hAnsi="Calibri"/>
        </w:rPr>
        <w:t xml:space="preserve"> other stakeholders.</w:t>
      </w:r>
    </w:p>
    <w:p w14:paraId="15F915F3" w14:textId="77777777" w:rsidR="00F36FD8" w:rsidRPr="00F36FD8" w:rsidRDefault="00F36FD8" w:rsidP="00D63204">
      <w:pPr>
        <w:spacing w:line="240" w:lineRule="auto"/>
        <w:ind w:left="90"/>
        <w:rPr>
          <w:rFonts w:ascii="Calibri" w:hAnsi="Calibri"/>
        </w:rPr>
      </w:pPr>
      <w:r w:rsidRPr="00F36FD8">
        <w:rPr>
          <w:rFonts w:ascii="Calibri" w:hAnsi="Calibri"/>
        </w:rPr>
        <w:t>The following section provides VR’s evaluation and report of progress towards achieving its strategic goals.</w:t>
      </w:r>
    </w:p>
    <w:p w14:paraId="0FCBD1B7" w14:textId="65A9A856" w:rsidR="00F36FD8" w:rsidRPr="00042ACD" w:rsidRDefault="00F36FD8" w:rsidP="00D63204">
      <w:pPr>
        <w:spacing w:line="240" w:lineRule="auto"/>
        <w:ind w:left="90"/>
        <w:rPr>
          <w:rFonts w:ascii="Calibri" w:hAnsi="Calibri"/>
          <w:b/>
          <w:u w:val="single"/>
        </w:rPr>
      </w:pPr>
      <w:r w:rsidRPr="00042ACD">
        <w:rPr>
          <w:rFonts w:ascii="Calibri" w:hAnsi="Calibri"/>
          <w:b/>
          <w:u w:val="single"/>
        </w:rPr>
        <w:t>Review of Current Goals, Objectives</w:t>
      </w:r>
      <w:r w:rsidR="00D5537E">
        <w:rPr>
          <w:rFonts w:ascii="Calibri" w:hAnsi="Calibri"/>
          <w:b/>
          <w:u w:val="single"/>
        </w:rPr>
        <w:t xml:space="preserve"> and</w:t>
      </w:r>
      <w:r w:rsidRPr="00042ACD">
        <w:rPr>
          <w:rFonts w:ascii="Calibri" w:hAnsi="Calibri"/>
          <w:b/>
          <w:u w:val="single"/>
        </w:rPr>
        <w:t xml:space="preserve"> Strategies</w:t>
      </w:r>
    </w:p>
    <w:p w14:paraId="19390312" w14:textId="77777777" w:rsidR="00F36FD8" w:rsidRPr="00042ACD" w:rsidRDefault="00F36FD8" w:rsidP="00D63204">
      <w:pPr>
        <w:spacing w:line="240" w:lineRule="auto"/>
        <w:ind w:left="90"/>
        <w:rPr>
          <w:rFonts w:ascii="Calibri" w:hAnsi="Calibri"/>
          <w:b/>
        </w:rPr>
      </w:pPr>
      <w:r w:rsidRPr="00042ACD">
        <w:rPr>
          <w:rFonts w:ascii="Calibri" w:hAnsi="Calibri"/>
          <w:b/>
        </w:rPr>
        <w:t>Goal 1: Ensure Customer success and satisfaction by improving business and support processes.</w:t>
      </w:r>
    </w:p>
    <w:p w14:paraId="4E859E6E" w14:textId="77777777" w:rsidR="00042ACD" w:rsidRDefault="00F36FD8" w:rsidP="00D63204">
      <w:pPr>
        <w:spacing w:line="240" w:lineRule="auto"/>
        <w:ind w:left="90"/>
        <w:rPr>
          <w:rFonts w:ascii="Calibri" w:hAnsi="Calibri"/>
        </w:rPr>
      </w:pPr>
      <w:r w:rsidRPr="00042ACD">
        <w:rPr>
          <w:rFonts w:ascii="Calibri" w:hAnsi="Calibri"/>
          <w:b/>
        </w:rPr>
        <w:t>Objective 1.1:</w:t>
      </w:r>
      <w:r w:rsidRPr="00F36FD8">
        <w:rPr>
          <w:rFonts w:ascii="Calibri" w:hAnsi="Calibri"/>
        </w:rPr>
        <w:t xml:space="preserve"> Improve and align VR business processes to support WIOA implementation </w:t>
      </w:r>
    </w:p>
    <w:p w14:paraId="3B3775BF" w14:textId="2B394129" w:rsidR="00F36FD8" w:rsidRPr="00F36FD8" w:rsidRDefault="00F36FD8" w:rsidP="00D63204">
      <w:pPr>
        <w:spacing w:line="240" w:lineRule="auto"/>
        <w:ind w:left="90"/>
        <w:rPr>
          <w:rFonts w:ascii="Calibri" w:hAnsi="Calibri"/>
        </w:rPr>
      </w:pPr>
      <w:r w:rsidRPr="00042ACD">
        <w:rPr>
          <w:rFonts w:ascii="Calibri" w:hAnsi="Calibri"/>
          <w:b/>
        </w:rPr>
        <w:t>Strategy: 1.</w:t>
      </w:r>
      <w:r w:rsidRPr="00F36FD8">
        <w:rPr>
          <w:rFonts w:ascii="Calibri" w:hAnsi="Calibri"/>
        </w:rPr>
        <w:t xml:space="preserve"> Develop and implement all components of the VR Business Relationship Program. Performance Measure:</w:t>
      </w:r>
    </w:p>
    <w:p w14:paraId="59AD00AB" w14:textId="2C100C62" w:rsidR="00F36FD8" w:rsidRPr="00042ACD" w:rsidRDefault="00F36FD8" w:rsidP="00D63204">
      <w:pPr>
        <w:pStyle w:val="ListParagraph"/>
        <w:numPr>
          <w:ilvl w:val="0"/>
          <w:numId w:val="145"/>
        </w:numPr>
        <w:spacing w:line="240" w:lineRule="auto"/>
        <w:rPr>
          <w:rFonts w:ascii="Calibri" w:hAnsi="Calibri"/>
        </w:rPr>
      </w:pPr>
      <w:r w:rsidRPr="00042ACD">
        <w:rPr>
          <w:rFonts w:ascii="Calibri" w:hAnsi="Calibri"/>
        </w:rPr>
        <w:lastRenderedPageBreak/>
        <w:t>Full integration and implementation of all components, including business services, field services operations and IT support systems</w:t>
      </w:r>
    </w:p>
    <w:p w14:paraId="524F6902" w14:textId="0AF47834" w:rsidR="00F36FD8" w:rsidRPr="00042ACD" w:rsidRDefault="00F36FD8" w:rsidP="00D63204">
      <w:pPr>
        <w:spacing w:after="0" w:line="240" w:lineRule="auto"/>
        <w:ind w:left="90"/>
        <w:rPr>
          <w:rFonts w:ascii="Calibri" w:hAnsi="Calibri"/>
          <w:b/>
        </w:rPr>
      </w:pPr>
      <w:r w:rsidRPr="00042ACD">
        <w:rPr>
          <w:rFonts w:ascii="Calibri" w:hAnsi="Calibri"/>
          <w:b/>
        </w:rPr>
        <w:t xml:space="preserve">Actual Performance: </w:t>
      </w:r>
    </w:p>
    <w:p w14:paraId="76F5CC9C" w14:textId="77777777" w:rsidR="00042ACD" w:rsidRDefault="00F36FD8" w:rsidP="00D63204">
      <w:pPr>
        <w:spacing w:line="240" w:lineRule="auto"/>
        <w:ind w:left="90"/>
        <w:rPr>
          <w:rFonts w:ascii="Calibri" w:hAnsi="Calibri"/>
        </w:rPr>
      </w:pPr>
      <w:r w:rsidRPr="00F36FD8">
        <w:rPr>
          <w:rFonts w:ascii="Calibri" w:hAnsi="Calibri"/>
        </w:rPr>
        <w:t xml:space="preserve">The VR Business Relations Program (BRP) developed processes to streamline their operations and better integrate into field service operations. BRP has developed partnerships with businesses and industry sectors to expand customized employment and summer worksite opportunities. </w:t>
      </w:r>
    </w:p>
    <w:p w14:paraId="4D707BA2" w14:textId="77777777" w:rsidR="00042ACD" w:rsidRDefault="00042ACD" w:rsidP="00D63204">
      <w:pPr>
        <w:spacing w:line="240" w:lineRule="auto"/>
        <w:ind w:left="90"/>
        <w:rPr>
          <w:rFonts w:ascii="Calibri" w:hAnsi="Calibri"/>
        </w:rPr>
      </w:pPr>
    </w:p>
    <w:p w14:paraId="4B7C602C" w14:textId="38ABC8E7" w:rsidR="00F36FD8" w:rsidRPr="00F36FD8" w:rsidRDefault="00F36FD8" w:rsidP="00D63204">
      <w:pPr>
        <w:spacing w:line="240" w:lineRule="auto"/>
        <w:ind w:left="90"/>
        <w:rPr>
          <w:rFonts w:ascii="Calibri" w:hAnsi="Calibri"/>
        </w:rPr>
      </w:pPr>
      <w:r w:rsidRPr="00F36FD8">
        <w:rPr>
          <w:rFonts w:ascii="Calibri" w:hAnsi="Calibri"/>
        </w:rPr>
        <w:t>BRP staff have provided numerous trainings and presentations to businesses, providers, VR staff and local groups such as Chambers and trade-group chapters. BRP implemented and customized Salesforce software to track employer information and outreach activities</w:t>
      </w:r>
      <w:r w:rsidR="00D5537E">
        <w:rPr>
          <w:rFonts w:ascii="Calibri" w:hAnsi="Calibri"/>
        </w:rPr>
        <w:t xml:space="preserve"> and</w:t>
      </w:r>
      <w:r w:rsidRPr="00F36FD8">
        <w:rPr>
          <w:rFonts w:ascii="Calibri" w:hAnsi="Calibri"/>
        </w:rPr>
        <w:t xml:space="preserve"> allows for reporting out area level employer and performance data. BRP</w:t>
      </w:r>
      <w:r w:rsidR="00344BBB">
        <w:rPr>
          <w:rFonts w:ascii="Calibri" w:hAnsi="Calibri"/>
        </w:rPr>
        <w:t xml:space="preserve"> also</w:t>
      </w:r>
      <w:r w:rsidRPr="00F36FD8">
        <w:rPr>
          <w:rFonts w:ascii="Calibri" w:hAnsi="Calibri"/>
        </w:rPr>
        <w:t xml:space="preserve"> participates in collaborative activities such as the ApprenticeshipUSA grant team and USDOL-ETAs Integrated Business Services Cohort. </w:t>
      </w:r>
    </w:p>
    <w:p w14:paraId="0A08AEA8" w14:textId="77777777" w:rsidR="00F36FD8" w:rsidRPr="00F36FD8" w:rsidRDefault="00F36FD8" w:rsidP="00D63204">
      <w:pPr>
        <w:spacing w:line="240" w:lineRule="auto"/>
        <w:ind w:left="90"/>
        <w:rPr>
          <w:rFonts w:ascii="Calibri" w:hAnsi="Calibri"/>
        </w:rPr>
      </w:pPr>
      <w:r w:rsidRPr="00042ACD">
        <w:rPr>
          <w:rFonts w:ascii="Calibri" w:hAnsi="Calibri"/>
          <w:b/>
        </w:rPr>
        <w:t>Strategy: 2.</w:t>
      </w:r>
      <w:r w:rsidRPr="00F36FD8">
        <w:rPr>
          <w:rFonts w:ascii="Calibri" w:hAnsi="Calibri"/>
        </w:rPr>
        <w:t xml:space="preserve"> Redesign and implement pre-employment services for transition-age customers.</w:t>
      </w:r>
    </w:p>
    <w:p w14:paraId="0A212532" w14:textId="77777777" w:rsidR="00F36FD8" w:rsidRPr="00042ACD" w:rsidRDefault="00F36FD8" w:rsidP="00D63204">
      <w:pPr>
        <w:spacing w:line="240" w:lineRule="auto"/>
        <w:ind w:left="90"/>
        <w:rPr>
          <w:rFonts w:ascii="Calibri" w:hAnsi="Calibri"/>
          <w:b/>
        </w:rPr>
      </w:pPr>
      <w:r w:rsidRPr="00042ACD">
        <w:rPr>
          <w:rFonts w:ascii="Calibri" w:hAnsi="Calibri"/>
          <w:b/>
        </w:rPr>
        <w:t>Performance Measures:</w:t>
      </w:r>
    </w:p>
    <w:p w14:paraId="349CB18D" w14:textId="49FAC0E9" w:rsidR="00F36FD8" w:rsidRDefault="00042ACD" w:rsidP="00D63204">
      <w:pPr>
        <w:pStyle w:val="ListParagraph"/>
        <w:numPr>
          <w:ilvl w:val="0"/>
          <w:numId w:val="145"/>
        </w:numPr>
        <w:spacing w:line="240" w:lineRule="auto"/>
        <w:rPr>
          <w:rFonts w:ascii="Calibri" w:hAnsi="Calibri"/>
        </w:rPr>
      </w:pPr>
      <w:r w:rsidRPr="00042ACD">
        <w:rPr>
          <w:rFonts w:ascii="Calibri" w:hAnsi="Calibri"/>
        </w:rPr>
        <w:t>S</w:t>
      </w:r>
      <w:r w:rsidR="00F36FD8" w:rsidRPr="00042ACD">
        <w:rPr>
          <w:rFonts w:ascii="Calibri" w:hAnsi="Calibri"/>
        </w:rPr>
        <w:t>ervices re-aligned to new WIOA guidelines and implemented within required timeframes</w:t>
      </w:r>
    </w:p>
    <w:p w14:paraId="33C7816A" w14:textId="77777777" w:rsidR="00042ACD" w:rsidRPr="00042ACD" w:rsidRDefault="00042ACD" w:rsidP="00D63204">
      <w:pPr>
        <w:pStyle w:val="ListParagraph"/>
        <w:spacing w:line="240" w:lineRule="auto"/>
        <w:ind w:left="810"/>
        <w:rPr>
          <w:rFonts w:ascii="Calibri" w:hAnsi="Calibri"/>
        </w:rPr>
      </w:pPr>
    </w:p>
    <w:p w14:paraId="7A544583" w14:textId="6E13AE15" w:rsidR="00F36FD8" w:rsidRPr="00042ACD" w:rsidRDefault="00F36FD8" w:rsidP="00D63204">
      <w:pPr>
        <w:pStyle w:val="ListParagraph"/>
        <w:numPr>
          <w:ilvl w:val="0"/>
          <w:numId w:val="145"/>
        </w:numPr>
        <w:spacing w:line="240" w:lineRule="auto"/>
        <w:rPr>
          <w:rFonts w:ascii="Calibri" w:hAnsi="Calibri"/>
        </w:rPr>
      </w:pPr>
      <w:r w:rsidRPr="00042ACD">
        <w:rPr>
          <w:rFonts w:ascii="Calibri" w:hAnsi="Calibri"/>
        </w:rPr>
        <w:t>Budget set-aside requirements met</w:t>
      </w:r>
    </w:p>
    <w:p w14:paraId="09CAE128" w14:textId="77777777" w:rsidR="00F36FD8" w:rsidRPr="00042ACD" w:rsidRDefault="00F36FD8" w:rsidP="00D63204">
      <w:pPr>
        <w:spacing w:line="240" w:lineRule="auto"/>
        <w:ind w:left="90"/>
        <w:rPr>
          <w:rFonts w:ascii="Calibri" w:hAnsi="Calibri"/>
          <w:b/>
        </w:rPr>
      </w:pPr>
      <w:r w:rsidRPr="00042ACD">
        <w:rPr>
          <w:rFonts w:ascii="Calibri" w:hAnsi="Calibri"/>
          <w:b/>
        </w:rPr>
        <w:t xml:space="preserve">Actual Performance: </w:t>
      </w:r>
    </w:p>
    <w:p w14:paraId="472C7D05" w14:textId="314721B5" w:rsidR="00F36FD8" w:rsidRPr="00F36FD8" w:rsidRDefault="00F36FD8" w:rsidP="00D63204">
      <w:pPr>
        <w:spacing w:line="240" w:lineRule="auto"/>
        <w:ind w:left="90"/>
        <w:rPr>
          <w:rFonts w:ascii="Calibri" w:hAnsi="Calibri"/>
        </w:rPr>
      </w:pPr>
      <w:r w:rsidRPr="00F36FD8">
        <w:rPr>
          <w:rFonts w:ascii="Calibri" w:hAnsi="Calibri"/>
        </w:rPr>
        <w:t>VR has recently lowered the age limit for Transition services to 14 years of age</w:t>
      </w:r>
      <w:r w:rsidR="00D5537E">
        <w:rPr>
          <w:rFonts w:ascii="Calibri" w:hAnsi="Calibri"/>
        </w:rPr>
        <w:t xml:space="preserve"> and</w:t>
      </w:r>
      <w:r w:rsidRPr="00F36FD8">
        <w:rPr>
          <w:rFonts w:ascii="Calibri" w:hAnsi="Calibri"/>
        </w:rPr>
        <w:t xml:space="preserve"> implemented pre-employment transition services (Pre-ETS) t</w:t>
      </w:r>
      <w:r w:rsidR="00344BBB">
        <w:rPr>
          <w:rFonts w:ascii="Calibri" w:hAnsi="Calibri"/>
        </w:rPr>
        <w:t>hrough the following activities.</w:t>
      </w:r>
    </w:p>
    <w:p w14:paraId="10C4F938" w14:textId="10E4E3CA" w:rsidR="00F36FD8" w:rsidRPr="00042ACD" w:rsidRDefault="00F36FD8" w:rsidP="00D63204">
      <w:pPr>
        <w:pStyle w:val="ListParagraph"/>
        <w:numPr>
          <w:ilvl w:val="0"/>
          <w:numId w:val="145"/>
        </w:numPr>
        <w:spacing w:line="240" w:lineRule="auto"/>
        <w:rPr>
          <w:rFonts w:ascii="Calibri" w:hAnsi="Calibri"/>
        </w:rPr>
      </w:pPr>
      <w:r w:rsidRPr="00042ACD">
        <w:rPr>
          <w:rFonts w:ascii="Calibri" w:hAnsi="Calibri"/>
        </w:rPr>
        <w:t xml:space="preserve">Expansion of Third Party Cooperative </w:t>
      </w:r>
      <w:r w:rsidR="00344BBB">
        <w:rPr>
          <w:rFonts w:ascii="Calibri" w:hAnsi="Calibri"/>
        </w:rPr>
        <w:t>Arrangements</w:t>
      </w:r>
      <w:r w:rsidRPr="00042ACD">
        <w:rPr>
          <w:rFonts w:ascii="Calibri" w:hAnsi="Calibri"/>
        </w:rPr>
        <w:t xml:space="preserve"> with school districts to include pre-employment transition services</w:t>
      </w:r>
      <w:r w:rsidR="00D5537E">
        <w:rPr>
          <w:rFonts w:ascii="Calibri" w:hAnsi="Calibri"/>
        </w:rPr>
        <w:t xml:space="preserve"> and</w:t>
      </w:r>
      <w:r w:rsidRPr="00042ACD">
        <w:rPr>
          <w:rFonts w:ascii="Calibri" w:hAnsi="Calibri"/>
        </w:rPr>
        <w:t xml:space="preserve"> providing updated training and resources to schools, providers and VR staff. </w:t>
      </w:r>
    </w:p>
    <w:p w14:paraId="6F9988FF" w14:textId="3803775A" w:rsidR="00F36FD8" w:rsidRPr="00042ACD" w:rsidRDefault="00F36FD8" w:rsidP="00D63204">
      <w:pPr>
        <w:pStyle w:val="ListParagraph"/>
        <w:numPr>
          <w:ilvl w:val="0"/>
          <w:numId w:val="145"/>
        </w:numPr>
        <w:spacing w:line="240" w:lineRule="auto"/>
        <w:rPr>
          <w:rFonts w:ascii="Calibri" w:hAnsi="Calibri"/>
        </w:rPr>
      </w:pPr>
      <w:r w:rsidRPr="00042ACD">
        <w:rPr>
          <w:rFonts w:ascii="Calibri" w:hAnsi="Calibri"/>
        </w:rPr>
        <w:t>Piloting Youth Peer Mentoring Services in 3 counties</w:t>
      </w:r>
      <w:r w:rsidR="00D5537E">
        <w:rPr>
          <w:rFonts w:ascii="Calibri" w:hAnsi="Calibri"/>
        </w:rPr>
        <w:t xml:space="preserve"> and</w:t>
      </w:r>
      <w:r w:rsidRPr="00042ACD">
        <w:rPr>
          <w:rFonts w:ascii="Calibri" w:hAnsi="Calibri"/>
        </w:rPr>
        <w:t xml:space="preserve"> entering into an Intensive Technical Assistance Plan to expand the program statewide. </w:t>
      </w:r>
    </w:p>
    <w:p w14:paraId="70298C8E" w14:textId="78068FA8" w:rsidR="00F36FD8" w:rsidRPr="00042ACD" w:rsidRDefault="00F36FD8" w:rsidP="00D63204">
      <w:pPr>
        <w:pStyle w:val="ListParagraph"/>
        <w:numPr>
          <w:ilvl w:val="0"/>
          <w:numId w:val="145"/>
        </w:numPr>
        <w:spacing w:line="240" w:lineRule="auto"/>
        <w:rPr>
          <w:rFonts w:ascii="Calibri" w:hAnsi="Calibri"/>
        </w:rPr>
      </w:pPr>
      <w:r w:rsidRPr="00042ACD">
        <w:rPr>
          <w:rFonts w:ascii="Calibri" w:hAnsi="Calibri"/>
        </w:rPr>
        <w:t>Developing the Student Transition Activities Record (STAR) Program to track Pre-ETS referrals</w:t>
      </w:r>
      <w:r w:rsidR="00D5537E">
        <w:rPr>
          <w:rFonts w:ascii="Calibri" w:hAnsi="Calibri"/>
        </w:rPr>
        <w:t xml:space="preserve"> and</w:t>
      </w:r>
      <w:r w:rsidRPr="00042ACD">
        <w:rPr>
          <w:rFonts w:ascii="Calibri" w:hAnsi="Calibri"/>
        </w:rPr>
        <w:t xml:space="preserve"> providing training to school districts, providers and VR staff. VR </w:t>
      </w:r>
      <w:r w:rsidR="00E3078B">
        <w:rPr>
          <w:rFonts w:ascii="Calibri" w:hAnsi="Calibri"/>
        </w:rPr>
        <w:t>is also working</w:t>
      </w:r>
      <w:r w:rsidR="00366711">
        <w:rPr>
          <w:rFonts w:ascii="Calibri" w:hAnsi="Calibri"/>
        </w:rPr>
        <w:t xml:space="preserve"> </w:t>
      </w:r>
      <w:r w:rsidRPr="00042ACD">
        <w:rPr>
          <w:rFonts w:ascii="Calibri" w:hAnsi="Calibri"/>
        </w:rPr>
        <w:t>with stakeholders to develop ways to engage school districts not using the STAR program.</w:t>
      </w:r>
    </w:p>
    <w:p w14:paraId="3B15F14F" w14:textId="2EC229AD" w:rsidR="00F36FD8" w:rsidRPr="00F36FD8" w:rsidRDefault="00F36FD8" w:rsidP="00D63204">
      <w:pPr>
        <w:spacing w:line="240" w:lineRule="auto"/>
        <w:ind w:left="90"/>
        <w:rPr>
          <w:rFonts w:ascii="Calibri" w:hAnsi="Calibri"/>
        </w:rPr>
      </w:pPr>
      <w:r w:rsidRPr="00F36FD8">
        <w:rPr>
          <w:rFonts w:ascii="Calibri" w:hAnsi="Calibri"/>
        </w:rPr>
        <w:t>VR is still working toward meeting the Pre-ETS budget requirements</w:t>
      </w:r>
      <w:r w:rsidR="00D5537E">
        <w:rPr>
          <w:rFonts w:ascii="Calibri" w:hAnsi="Calibri"/>
        </w:rPr>
        <w:t xml:space="preserve"> and</w:t>
      </w:r>
      <w:r w:rsidRPr="00F36FD8">
        <w:rPr>
          <w:rFonts w:ascii="Calibri" w:hAnsi="Calibri"/>
        </w:rPr>
        <w:t xml:space="preserve"> is working with WINTAC on a Technical Assistance Agreement to better plan future services. </w:t>
      </w:r>
    </w:p>
    <w:p w14:paraId="7FDCF148" w14:textId="77777777" w:rsidR="00F36FD8" w:rsidRPr="00F36FD8" w:rsidRDefault="00F36FD8" w:rsidP="00D63204">
      <w:pPr>
        <w:spacing w:line="240" w:lineRule="auto"/>
        <w:ind w:left="90"/>
        <w:rPr>
          <w:rFonts w:ascii="Calibri" w:hAnsi="Calibri"/>
        </w:rPr>
      </w:pPr>
      <w:r w:rsidRPr="00042ACD">
        <w:rPr>
          <w:rFonts w:ascii="Calibri" w:hAnsi="Calibri"/>
          <w:b/>
        </w:rPr>
        <w:t>Strategy: 3.</w:t>
      </w:r>
      <w:r w:rsidRPr="00F36FD8">
        <w:rPr>
          <w:rFonts w:ascii="Calibri" w:hAnsi="Calibri"/>
        </w:rPr>
        <w:t xml:space="preserve"> Design and implement a program about service alternatives for customers to use in making an informed choice prior to entering subminimum wage employment.</w:t>
      </w:r>
    </w:p>
    <w:p w14:paraId="5A214872" w14:textId="77777777" w:rsidR="00F36FD8" w:rsidRPr="00042ACD" w:rsidRDefault="00F36FD8" w:rsidP="00D63204">
      <w:pPr>
        <w:spacing w:line="240" w:lineRule="auto"/>
        <w:ind w:left="90"/>
        <w:rPr>
          <w:rFonts w:ascii="Calibri" w:hAnsi="Calibri"/>
          <w:b/>
        </w:rPr>
      </w:pPr>
      <w:r w:rsidRPr="00042ACD">
        <w:rPr>
          <w:rFonts w:ascii="Calibri" w:hAnsi="Calibri"/>
          <w:b/>
        </w:rPr>
        <w:t>Performance Measure:</w:t>
      </w:r>
    </w:p>
    <w:p w14:paraId="49E52FD4" w14:textId="780EF1E8" w:rsidR="00F36FD8" w:rsidRPr="00042ACD" w:rsidRDefault="00F36FD8" w:rsidP="00D63204">
      <w:pPr>
        <w:pStyle w:val="ListParagraph"/>
        <w:numPr>
          <w:ilvl w:val="0"/>
          <w:numId w:val="146"/>
        </w:numPr>
        <w:spacing w:line="240" w:lineRule="auto"/>
        <w:rPr>
          <w:rFonts w:ascii="Calibri" w:hAnsi="Calibri"/>
        </w:rPr>
      </w:pPr>
      <w:r w:rsidRPr="00042ACD">
        <w:rPr>
          <w:rFonts w:ascii="Calibri" w:hAnsi="Calibri"/>
        </w:rPr>
        <w:t>Number of people diverted from or transitioned out of subminimum wage jobs</w:t>
      </w:r>
    </w:p>
    <w:p w14:paraId="6595780B" w14:textId="77777777" w:rsidR="00F36FD8" w:rsidRPr="00042ACD" w:rsidRDefault="00F36FD8" w:rsidP="00D63204">
      <w:pPr>
        <w:spacing w:after="0" w:line="240" w:lineRule="auto"/>
        <w:ind w:left="90"/>
        <w:rPr>
          <w:rFonts w:ascii="Calibri" w:hAnsi="Calibri"/>
          <w:b/>
        </w:rPr>
      </w:pPr>
      <w:r w:rsidRPr="00042ACD">
        <w:rPr>
          <w:rFonts w:ascii="Calibri" w:hAnsi="Calibri"/>
          <w:b/>
        </w:rPr>
        <w:t xml:space="preserve">Actual Performance: </w:t>
      </w:r>
    </w:p>
    <w:p w14:paraId="322B3A74" w14:textId="17B8259F" w:rsidR="00F36FD8" w:rsidRPr="00F36FD8" w:rsidRDefault="00F36FD8" w:rsidP="00D63204">
      <w:pPr>
        <w:spacing w:line="240" w:lineRule="auto"/>
        <w:ind w:left="90"/>
        <w:rPr>
          <w:rFonts w:ascii="Calibri" w:hAnsi="Calibri"/>
        </w:rPr>
      </w:pPr>
      <w:r w:rsidRPr="00F36FD8">
        <w:rPr>
          <w:rFonts w:ascii="Calibri" w:hAnsi="Calibri"/>
        </w:rPr>
        <w:t xml:space="preserve">VR has successfully implemented Career Counseling/ Information and Referral (CCIR) services for participants in subminimum wage employment. During SFY 2016-17, approximately 4,780 participants received CCIR services. VR </w:t>
      </w:r>
      <w:r w:rsidRPr="00F36FD8">
        <w:rPr>
          <w:rFonts w:ascii="Calibri" w:hAnsi="Calibri"/>
        </w:rPr>
        <w:lastRenderedPageBreak/>
        <w:t>has approved 21 agencies and 315 individuals to provide this service. VR</w:t>
      </w:r>
      <w:r w:rsidR="002701D1">
        <w:rPr>
          <w:rFonts w:ascii="Calibri" w:hAnsi="Calibri"/>
        </w:rPr>
        <w:t xml:space="preserve"> also</w:t>
      </w:r>
      <w:r w:rsidRPr="00F36FD8">
        <w:rPr>
          <w:rFonts w:ascii="Calibri" w:hAnsi="Calibri"/>
        </w:rPr>
        <w:t xml:space="preserve"> provides internal and external stakeholders technical assistance and support on compliance with Section 511. </w:t>
      </w:r>
    </w:p>
    <w:p w14:paraId="04005B63" w14:textId="69C59F3F" w:rsidR="00F36FD8" w:rsidRPr="00F36FD8" w:rsidRDefault="00F36FD8" w:rsidP="00D63204">
      <w:pPr>
        <w:spacing w:line="240" w:lineRule="auto"/>
        <w:ind w:left="90"/>
        <w:rPr>
          <w:rFonts w:ascii="Calibri" w:hAnsi="Calibri"/>
        </w:rPr>
      </w:pPr>
      <w:r w:rsidRPr="00F36FD8">
        <w:rPr>
          <w:rFonts w:ascii="Calibri" w:hAnsi="Calibri"/>
        </w:rPr>
        <w:t>CCIR services have received positive feedback from providers and participants</w:t>
      </w:r>
      <w:r w:rsidR="00D5537E">
        <w:rPr>
          <w:rFonts w:ascii="Calibri" w:hAnsi="Calibri"/>
        </w:rPr>
        <w:t xml:space="preserve"> and</w:t>
      </w:r>
      <w:r w:rsidRPr="00F36FD8">
        <w:rPr>
          <w:rFonts w:ascii="Calibri" w:hAnsi="Calibri"/>
        </w:rPr>
        <w:t xml:space="preserve"> VR is working with stakeholders to develop a follow-up process for CCIR participants who express an interest in VR services or employment.</w:t>
      </w:r>
    </w:p>
    <w:p w14:paraId="581E8AE2" w14:textId="3B3D21AF" w:rsidR="00F36FD8" w:rsidRPr="00F36FD8" w:rsidRDefault="00F36FD8" w:rsidP="00D63204">
      <w:pPr>
        <w:spacing w:line="240" w:lineRule="auto"/>
        <w:ind w:left="90"/>
        <w:rPr>
          <w:rFonts w:ascii="Calibri" w:hAnsi="Calibri"/>
        </w:rPr>
      </w:pPr>
      <w:r w:rsidRPr="00042ACD">
        <w:rPr>
          <w:rFonts w:ascii="Calibri" w:hAnsi="Calibri"/>
          <w:b/>
        </w:rPr>
        <w:t>Strategy: 4.</w:t>
      </w:r>
      <w:r w:rsidRPr="00F36FD8">
        <w:rPr>
          <w:rFonts w:ascii="Calibri" w:hAnsi="Calibri"/>
        </w:rPr>
        <w:t xml:space="preserve"> Design and implement enhancements to the Vendor Profile document for customer use in making informed choices regarding employment providers.</w:t>
      </w:r>
    </w:p>
    <w:p w14:paraId="26C2ECE6" w14:textId="77777777" w:rsidR="00F36FD8" w:rsidRPr="00042ACD" w:rsidRDefault="00F36FD8" w:rsidP="00D63204">
      <w:pPr>
        <w:spacing w:line="240" w:lineRule="auto"/>
        <w:ind w:left="90"/>
        <w:rPr>
          <w:rFonts w:ascii="Calibri" w:hAnsi="Calibri"/>
          <w:b/>
        </w:rPr>
      </w:pPr>
      <w:r w:rsidRPr="00042ACD">
        <w:rPr>
          <w:rFonts w:ascii="Calibri" w:hAnsi="Calibri"/>
          <w:b/>
        </w:rPr>
        <w:t>Performance Measures:</w:t>
      </w:r>
    </w:p>
    <w:p w14:paraId="1F070381" w14:textId="13D7F570" w:rsidR="00F36FD8" w:rsidRDefault="00F36FD8" w:rsidP="00D63204">
      <w:pPr>
        <w:pStyle w:val="ListParagraph"/>
        <w:numPr>
          <w:ilvl w:val="0"/>
          <w:numId w:val="146"/>
        </w:numPr>
        <w:spacing w:line="240" w:lineRule="auto"/>
        <w:rPr>
          <w:rFonts w:ascii="Calibri" w:hAnsi="Calibri"/>
        </w:rPr>
      </w:pPr>
      <w:r w:rsidRPr="00042ACD">
        <w:rPr>
          <w:rFonts w:ascii="Calibri" w:hAnsi="Calibri"/>
        </w:rPr>
        <w:t>Establish baseline use of Vendor Profile</w:t>
      </w:r>
    </w:p>
    <w:p w14:paraId="5EEF75F8" w14:textId="77777777" w:rsidR="00042ACD" w:rsidRPr="00042ACD" w:rsidRDefault="00042ACD" w:rsidP="00D63204">
      <w:pPr>
        <w:pStyle w:val="ListParagraph"/>
        <w:spacing w:line="240" w:lineRule="auto"/>
        <w:ind w:left="810"/>
        <w:rPr>
          <w:rFonts w:ascii="Calibri" w:hAnsi="Calibri"/>
        </w:rPr>
      </w:pPr>
    </w:p>
    <w:p w14:paraId="6B1E3E6F" w14:textId="157CB68C" w:rsidR="00F36FD8" w:rsidRPr="00042ACD" w:rsidRDefault="00F36FD8" w:rsidP="00D63204">
      <w:pPr>
        <w:pStyle w:val="ListParagraph"/>
        <w:numPr>
          <w:ilvl w:val="0"/>
          <w:numId w:val="146"/>
        </w:numPr>
        <w:spacing w:line="240" w:lineRule="auto"/>
        <w:rPr>
          <w:rFonts w:ascii="Calibri" w:hAnsi="Calibri"/>
        </w:rPr>
      </w:pPr>
      <w:r w:rsidRPr="00042ACD">
        <w:rPr>
          <w:rFonts w:ascii="Calibri" w:hAnsi="Calibri"/>
        </w:rPr>
        <w:t>Customer satisfaction with Vendor Profile</w:t>
      </w:r>
    </w:p>
    <w:p w14:paraId="06E415C3" w14:textId="77777777" w:rsidR="00FB2798" w:rsidRDefault="00F36FD8" w:rsidP="00D63204">
      <w:pPr>
        <w:spacing w:after="0" w:line="240" w:lineRule="auto"/>
        <w:ind w:left="90"/>
        <w:rPr>
          <w:rFonts w:ascii="Calibri" w:hAnsi="Calibri"/>
          <w:b/>
        </w:rPr>
      </w:pPr>
      <w:r w:rsidRPr="00042ACD">
        <w:rPr>
          <w:rFonts w:ascii="Calibri" w:hAnsi="Calibri"/>
          <w:b/>
        </w:rPr>
        <w:t xml:space="preserve">Actual Performance: </w:t>
      </w:r>
    </w:p>
    <w:p w14:paraId="37ADB452" w14:textId="56921814" w:rsidR="00F36FD8" w:rsidRPr="00F36FD8" w:rsidRDefault="00F36FD8" w:rsidP="00D63204">
      <w:pPr>
        <w:spacing w:line="240" w:lineRule="auto"/>
        <w:ind w:left="90"/>
        <w:rPr>
          <w:rFonts w:ascii="Calibri" w:hAnsi="Calibri"/>
        </w:rPr>
      </w:pPr>
      <w:r w:rsidRPr="00F36FD8">
        <w:rPr>
          <w:rFonts w:ascii="Calibri" w:hAnsi="Calibri"/>
        </w:rPr>
        <w:t xml:space="preserve">VR launched the Service Provider Choice Directory (SPCD) in August 2017, through the VR external website. Prior to its launch, VR delivered live orientation webinars for VR staff and providers to discuss the information available in the Directory and system use. Usage statistics for October-December 2017 are below. </w:t>
      </w:r>
    </w:p>
    <w:p w14:paraId="6FE9BF35" w14:textId="2E3A4941" w:rsidR="00F36FD8" w:rsidRPr="002701D1" w:rsidRDefault="00F36FD8" w:rsidP="00D63204">
      <w:pPr>
        <w:spacing w:line="240" w:lineRule="auto"/>
        <w:ind w:left="90"/>
        <w:rPr>
          <w:rFonts w:ascii="Calibri" w:hAnsi="Calibri"/>
        </w:rPr>
      </w:pPr>
      <w:r w:rsidRPr="002701D1">
        <w:rPr>
          <w:rFonts w:ascii="Calibri" w:hAnsi="Calibri"/>
        </w:rPr>
        <w:t xml:space="preserve">Usage Statistics for Website: </w:t>
      </w:r>
      <w:hyperlink r:id="rId181" w:history="1">
        <w:r w:rsidR="00454868" w:rsidRPr="00B81598">
          <w:rPr>
            <w:rStyle w:val="Hyperlink"/>
            <w:rFonts w:cstheme="minorHAnsi"/>
          </w:rPr>
          <w:t>http://ChoiceDirectory.Rehabworks.org</w:t>
        </w:r>
      </w:hyperlink>
      <w:r w:rsidR="00454868">
        <w:rPr>
          <w:rStyle w:val="Hyperlink"/>
          <w:rFonts w:cstheme="minorHAnsi"/>
          <w:u w:val="none"/>
        </w:rPr>
        <w:t xml:space="preserve"> </w:t>
      </w:r>
      <w:r w:rsidRPr="002701D1">
        <w:rPr>
          <w:rFonts w:ascii="Calibri" w:hAnsi="Calibri"/>
        </w:rPr>
        <w:t>(external)</w:t>
      </w:r>
    </w:p>
    <w:p w14:paraId="75593A74" w14:textId="030D875C" w:rsidR="00F36FD8" w:rsidRDefault="00F36FD8" w:rsidP="00D63204">
      <w:pPr>
        <w:pStyle w:val="ListParagraph"/>
        <w:numPr>
          <w:ilvl w:val="0"/>
          <w:numId w:val="147"/>
        </w:numPr>
        <w:spacing w:line="240" w:lineRule="auto"/>
        <w:rPr>
          <w:rFonts w:ascii="Calibri" w:hAnsi="Calibri"/>
        </w:rPr>
      </w:pPr>
      <w:r w:rsidRPr="00FB2798">
        <w:rPr>
          <w:rFonts w:ascii="Calibri" w:hAnsi="Calibri"/>
        </w:rPr>
        <w:t>Date Range: October 1st, 2017 – December 30th, 2017</w:t>
      </w:r>
    </w:p>
    <w:p w14:paraId="390E788A" w14:textId="77777777" w:rsidR="00FB2798" w:rsidRPr="00FB2798" w:rsidRDefault="00FB2798" w:rsidP="00D63204">
      <w:pPr>
        <w:pStyle w:val="ListParagraph"/>
        <w:spacing w:line="240" w:lineRule="auto"/>
        <w:ind w:left="810"/>
        <w:rPr>
          <w:rFonts w:ascii="Calibri" w:hAnsi="Calibri"/>
        </w:rPr>
      </w:pPr>
    </w:p>
    <w:p w14:paraId="7B246B0C" w14:textId="2C4DEB59" w:rsidR="00F36FD8" w:rsidRDefault="00F36FD8" w:rsidP="00D63204">
      <w:pPr>
        <w:pStyle w:val="ListParagraph"/>
        <w:numPr>
          <w:ilvl w:val="0"/>
          <w:numId w:val="147"/>
        </w:numPr>
        <w:spacing w:line="240" w:lineRule="auto"/>
        <w:rPr>
          <w:rFonts w:ascii="Calibri" w:hAnsi="Calibri"/>
        </w:rPr>
      </w:pPr>
      <w:r w:rsidRPr="00FB2798">
        <w:rPr>
          <w:rFonts w:ascii="Calibri" w:hAnsi="Calibri"/>
        </w:rPr>
        <w:t>Total number of Visit During this Date Range: ~114,132</w:t>
      </w:r>
    </w:p>
    <w:p w14:paraId="202D73F9" w14:textId="77777777" w:rsidR="00FB2798" w:rsidRPr="00FB2798" w:rsidRDefault="00FB2798" w:rsidP="00FB2798">
      <w:pPr>
        <w:pStyle w:val="ListParagraph"/>
        <w:rPr>
          <w:rFonts w:ascii="Calibri" w:hAnsi="Calibri"/>
        </w:rPr>
      </w:pPr>
    </w:p>
    <w:p w14:paraId="3F2BB5C1" w14:textId="46B78986" w:rsidR="00F36FD8" w:rsidRPr="00FB2798" w:rsidRDefault="00F36FD8" w:rsidP="00D63204">
      <w:pPr>
        <w:pStyle w:val="ListParagraph"/>
        <w:numPr>
          <w:ilvl w:val="0"/>
          <w:numId w:val="147"/>
        </w:numPr>
        <w:spacing w:line="240" w:lineRule="auto"/>
        <w:rPr>
          <w:rFonts w:ascii="Calibri" w:hAnsi="Calibri"/>
        </w:rPr>
      </w:pPr>
      <w:r w:rsidRPr="00FB2798">
        <w:rPr>
          <w:rFonts w:ascii="Calibri" w:hAnsi="Calibri"/>
        </w:rPr>
        <w:t>Total Number of Pages Viewed by Visitors: ~1,544,497</w:t>
      </w:r>
    </w:p>
    <w:p w14:paraId="12A2B1F1" w14:textId="649E6B9B" w:rsidR="00F36FD8" w:rsidRPr="00454868" w:rsidRDefault="00F36FD8" w:rsidP="00D63204">
      <w:pPr>
        <w:spacing w:after="0" w:line="240" w:lineRule="auto"/>
        <w:ind w:left="90"/>
        <w:rPr>
          <w:rFonts w:ascii="Calibri" w:hAnsi="Calibri"/>
        </w:rPr>
      </w:pPr>
      <w:r w:rsidRPr="00454868">
        <w:rPr>
          <w:rFonts w:ascii="Calibri" w:hAnsi="Calibri"/>
        </w:rPr>
        <w:t xml:space="preserve">Usage Statistics for Website: </w:t>
      </w:r>
      <w:hyperlink r:id="rId182" w:history="1">
        <w:r w:rsidR="00454868" w:rsidRPr="00B81598">
          <w:rPr>
            <w:rStyle w:val="Hyperlink"/>
            <w:rFonts w:cstheme="minorHAnsi"/>
          </w:rPr>
          <w:t>http://it-in-web-01/vendorprofile</w:t>
        </w:r>
      </w:hyperlink>
      <w:r w:rsidR="00454868">
        <w:rPr>
          <w:rStyle w:val="Hyperlink"/>
          <w:rFonts w:cstheme="minorHAnsi"/>
          <w:u w:val="none"/>
        </w:rPr>
        <w:t xml:space="preserve"> </w:t>
      </w:r>
      <w:r w:rsidRPr="00454868">
        <w:rPr>
          <w:rFonts w:ascii="Calibri" w:hAnsi="Calibri"/>
        </w:rPr>
        <w:t>(internal)</w:t>
      </w:r>
    </w:p>
    <w:p w14:paraId="59E7B981" w14:textId="77777777" w:rsidR="00FB2798" w:rsidRPr="00FB2798" w:rsidRDefault="00FB2798" w:rsidP="00D63204">
      <w:pPr>
        <w:spacing w:after="0" w:line="240" w:lineRule="auto"/>
        <w:ind w:left="90"/>
        <w:rPr>
          <w:rFonts w:ascii="Calibri" w:hAnsi="Calibri"/>
          <w:b/>
          <w:u w:val="single"/>
        </w:rPr>
      </w:pPr>
    </w:p>
    <w:p w14:paraId="06911AE2" w14:textId="52BED75B" w:rsidR="00F36FD8" w:rsidRDefault="00F36FD8" w:rsidP="00D63204">
      <w:pPr>
        <w:pStyle w:val="ListParagraph"/>
        <w:numPr>
          <w:ilvl w:val="0"/>
          <w:numId w:val="148"/>
        </w:numPr>
        <w:spacing w:line="240" w:lineRule="auto"/>
        <w:rPr>
          <w:rFonts w:ascii="Calibri" w:hAnsi="Calibri"/>
        </w:rPr>
      </w:pPr>
      <w:r w:rsidRPr="00FB2798">
        <w:rPr>
          <w:rFonts w:ascii="Calibri" w:hAnsi="Calibri"/>
        </w:rPr>
        <w:t>Date Range: October 1st, 2017 – December 30th, 2017</w:t>
      </w:r>
    </w:p>
    <w:p w14:paraId="7E58A89A" w14:textId="77777777" w:rsidR="00FB2798" w:rsidRPr="00FB2798" w:rsidRDefault="00FB2798" w:rsidP="00D63204">
      <w:pPr>
        <w:pStyle w:val="ListParagraph"/>
        <w:spacing w:line="240" w:lineRule="auto"/>
        <w:ind w:left="810"/>
        <w:rPr>
          <w:rFonts w:ascii="Calibri" w:hAnsi="Calibri"/>
        </w:rPr>
      </w:pPr>
    </w:p>
    <w:p w14:paraId="07C109A6" w14:textId="40C0BE53" w:rsidR="00F36FD8" w:rsidRPr="00FB2798" w:rsidRDefault="00F36FD8" w:rsidP="00D63204">
      <w:pPr>
        <w:pStyle w:val="ListParagraph"/>
        <w:numPr>
          <w:ilvl w:val="0"/>
          <w:numId w:val="148"/>
        </w:numPr>
        <w:spacing w:line="240" w:lineRule="auto"/>
        <w:rPr>
          <w:rFonts w:ascii="Calibri" w:hAnsi="Calibri"/>
        </w:rPr>
      </w:pPr>
      <w:r w:rsidRPr="00FB2798">
        <w:rPr>
          <w:rFonts w:ascii="Calibri" w:hAnsi="Calibri"/>
        </w:rPr>
        <w:t>Total number of Visit During this Date Range: ~ 3,442</w:t>
      </w:r>
    </w:p>
    <w:p w14:paraId="139BEBF7" w14:textId="77777777" w:rsidR="00F36FD8" w:rsidRPr="00F36FD8" w:rsidRDefault="00F36FD8" w:rsidP="00D63204">
      <w:pPr>
        <w:spacing w:after="0" w:line="240" w:lineRule="auto"/>
        <w:ind w:left="90"/>
        <w:rPr>
          <w:rFonts w:ascii="Calibri" w:hAnsi="Calibri"/>
        </w:rPr>
      </w:pPr>
      <w:r w:rsidRPr="00F36FD8">
        <w:rPr>
          <w:rFonts w:ascii="Calibri" w:hAnsi="Calibri"/>
        </w:rPr>
        <w:t>Total Number of Pages Viewed by Visitors: ~ 6,309</w:t>
      </w:r>
    </w:p>
    <w:p w14:paraId="336F4AC7" w14:textId="77777777" w:rsidR="00FB2798" w:rsidRDefault="00FB2798" w:rsidP="00D63204">
      <w:pPr>
        <w:spacing w:line="240" w:lineRule="auto"/>
        <w:ind w:left="90"/>
        <w:rPr>
          <w:rFonts w:ascii="Calibri" w:hAnsi="Calibri"/>
        </w:rPr>
      </w:pPr>
    </w:p>
    <w:p w14:paraId="35DF4DEA" w14:textId="3C0F5652" w:rsidR="00F36FD8" w:rsidRPr="00FB2798" w:rsidRDefault="00F36FD8" w:rsidP="00D63204">
      <w:pPr>
        <w:spacing w:line="240" w:lineRule="auto"/>
        <w:ind w:left="90"/>
        <w:rPr>
          <w:rFonts w:ascii="Calibri" w:hAnsi="Calibri"/>
          <w:b/>
          <w:u w:val="single"/>
        </w:rPr>
      </w:pPr>
      <w:r w:rsidRPr="00FB2798">
        <w:rPr>
          <w:rFonts w:ascii="Calibri" w:hAnsi="Calibri"/>
          <w:b/>
          <w:u w:val="single"/>
        </w:rPr>
        <w:t>Objective 1.2: Redesign supports for VR service &amp; business processes</w:t>
      </w:r>
    </w:p>
    <w:p w14:paraId="52BCEB6A" w14:textId="77777777" w:rsidR="00F36FD8" w:rsidRPr="00F36FD8" w:rsidRDefault="00F36FD8" w:rsidP="00D63204">
      <w:pPr>
        <w:spacing w:line="240" w:lineRule="auto"/>
        <w:ind w:left="90"/>
        <w:rPr>
          <w:rFonts w:ascii="Calibri" w:hAnsi="Calibri"/>
        </w:rPr>
      </w:pPr>
      <w:r w:rsidRPr="00FB2798">
        <w:rPr>
          <w:rFonts w:ascii="Calibri" w:hAnsi="Calibri"/>
          <w:b/>
        </w:rPr>
        <w:t>Strategy: 1.</w:t>
      </w:r>
      <w:r w:rsidRPr="00F36FD8">
        <w:rPr>
          <w:rFonts w:ascii="Calibri" w:hAnsi="Calibri"/>
        </w:rPr>
        <w:t xml:space="preserve"> Coordinate and develop the VR services portion of the statewide plan.</w:t>
      </w:r>
    </w:p>
    <w:p w14:paraId="34A02071" w14:textId="77777777" w:rsidR="00F36FD8" w:rsidRPr="00FB2798" w:rsidRDefault="00F36FD8" w:rsidP="00D63204">
      <w:pPr>
        <w:spacing w:line="240" w:lineRule="auto"/>
        <w:ind w:left="90"/>
        <w:rPr>
          <w:rFonts w:ascii="Calibri" w:hAnsi="Calibri"/>
          <w:b/>
        </w:rPr>
      </w:pPr>
      <w:r w:rsidRPr="00FB2798">
        <w:rPr>
          <w:rFonts w:ascii="Calibri" w:hAnsi="Calibri"/>
          <w:b/>
        </w:rPr>
        <w:t>Performance Measure:</w:t>
      </w:r>
    </w:p>
    <w:p w14:paraId="7E096E35" w14:textId="301E9307" w:rsidR="00F36FD8" w:rsidRPr="00FB2798" w:rsidRDefault="00F36FD8" w:rsidP="00D63204">
      <w:pPr>
        <w:pStyle w:val="ListParagraph"/>
        <w:numPr>
          <w:ilvl w:val="0"/>
          <w:numId w:val="149"/>
        </w:numPr>
        <w:spacing w:after="0" w:line="240" w:lineRule="auto"/>
        <w:rPr>
          <w:rFonts w:ascii="Calibri" w:hAnsi="Calibri"/>
        </w:rPr>
      </w:pPr>
      <w:r w:rsidRPr="00FB2798">
        <w:rPr>
          <w:rFonts w:ascii="Calibri" w:hAnsi="Calibri"/>
        </w:rPr>
        <w:t>Timely submission of all required information</w:t>
      </w:r>
    </w:p>
    <w:p w14:paraId="02369DF8" w14:textId="77777777" w:rsidR="00FB2798" w:rsidRDefault="00FB2798" w:rsidP="00D63204">
      <w:pPr>
        <w:spacing w:line="240" w:lineRule="auto"/>
        <w:ind w:left="90"/>
        <w:rPr>
          <w:rFonts w:ascii="Calibri" w:hAnsi="Calibri"/>
        </w:rPr>
      </w:pPr>
    </w:p>
    <w:p w14:paraId="094B9A35" w14:textId="4A38DB01" w:rsidR="00F36FD8" w:rsidRPr="00FB2798" w:rsidRDefault="00F36FD8" w:rsidP="00D63204">
      <w:pPr>
        <w:spacing w:after="0" w:line="240" w:lineRule="auto"/>
        <w:ind w:left="90"/>
        <w:rPr>
          <w:rFonts w:ascii="Calibri" w:hAnsi="Calibri"/>
          <w:b/>
        </w:rPr>
      </w:pPr>
      <w:r w:rsidRPr="00FB2798">
        <w:rPr>
          <w:rFonts w:ascii="Calibri" w:hAnsi="Calibri"/>
          <w:b/>
        </w:rPr>
        <w:t xml:space="preserve">Actual Performance: </w:t>
      </w:r>
    </w:p>
    <w:p w14:paraId="34678652" w14:textId="77777777" w:rsidR="00F36FD8" w:rsidRPr="00F36FD8" w:rsidRDefault="00F36FD8" w:rsidP="00D63204">
      <w:pPr>
        <w:spacing w:line="240" w:lineRule="auto"/>
        <w:ind w:left="90"/>
        <w:rPr>
          <w:rFonts w:ascii="Calibri" w:hAnsi="Calibri"/>
        </w:rPr>
      </w:pPr>
      <w:r w:rsidRPr="00F36FD8">
        <w:rPr>
          <w:rFonts w:ascii="Calibri" w:hAnsi="Calibri"/>
        </w:rPr>
        <w:t xml:space="preserve">VR successfully developed and submitted the VR services portion of the Unified State Plan. </w:t>
      </w:r>
    </w:p>
    <w:p w14:paraId="3BBA5EA5" w14:textId="77777777" w:rsidR="00F36FD8" w:rsidRPr="00F36FD8" w:rsidRDefault="00F36FD8" w:rsidP="00D63204">
      <w:pPr>
        <w:spacing w:line="240" w:lineRule="auto"/>
        <w:ind w:left="90"/>
        <w:rPr>
          <w:rFonts w:ascii="Calibri" w:hAnsi="Calibri"/>
        </w:rPr>
      </w:pPr>
      <w:r w:rsidRPr="00FB2798">
        <w:rPr>
          <w:rFonts w:ascii="Calibri" w:hAnsi="Calibri"/>
          <w:b/>
        </w:rPr>
        <w:t>Strategy: 2.</w:t>
      </w:r>
      <w:r w:rsidRPr="00F36FD8">
        <w:rPr>
          <w:rFonts w:ascii="Calibri" w:hAnsi="Calibri"/>
        </w:rPr>
        <w:t xml:space="preserve"> Design and implement an approach for integration of performance and business intelligence information.</w:t>
      </w:r>
    </w:p>
    <w:p w14:paraId="77CDA8D9" w14:textId="674D03C7" w:rsidR="00F36FD8" w:rsidRDefault="00F36FD8" w:rsidP="00D63204">
      <w:pPr>
        <w:spacing w:after="0" w:line="240" w:lineRule="auto"/>
        <w:ind w:left="90"/>
        <w:rPr>
          <w:rFonts w:ascii="Calibri" w:hAnsi="Calibri"/>
          <w:b/>
        </w:rPr>
      </w:pPr>
      <w:r w:rsidRPr="00FB2798">
        <w:rPr>
          <w:rFonts w:ascii="Calibri" w:hAnsi="Calibri"/>
          <w:b/>
        </w:rPr>
        <w:lastRenderedPageBreak/>
        <w:t>Performance Measures:</w:t>
      </w:r>
    </w:p>
    <w:p w14:paraId="1096CA8E" w14:textId="77777777" w:rsidR="00FB2798" w:rsidRPr="00FB2798" w:rsidRDefault="00FB2798" w:rsidP="00D63204">
      <w:pPr>
        <w:spacing w:after="0" w:line="240" w:lineRule="auto"/>
        <w:ind w:left="90"/>
        <w:rPr>
          <w:rFonts w:ascii="Calibri" w:hAnsi="Calibri"/>
          <w:b/>
        </w:rPr>
      </w:pPr>
    </w:p>
    <w:p w14:paraId="27D3738F" w14:textId="630F4BC9" w:rsidR="00F36FD8" w:rsidRDefault="00F36FD8" w:rsidP="00D63204">
      <w:pPr>
        <w:pStyle w:val="ListParagraph"/>
        <w:numPr>
          <w:ilvl w:val="0"/>
          <w:numId w:val="149"/>
        </w:numPr>
        <w:spacing w:line="240" w:lineRule="auto"/>
        <w:rPr>
          <w:rFonts w:ascii="Calibri" w:hAnsi="Calibri"/>
        </w:rPr>
      </w:pPr>
      <w:r w:rsidRPr="00FB2798">
        <w:rPr>
          <w:rFonts w:ascii="Calibri" w:hAnsi="Calibri"/>
        </w:rPr>
        <w:t>Number of revised management reports implemented</w:t>
      </w:r>
    </w:p>
    <w:p w14:paraId="5CDB38E8" w14:textId="77777777" w:rsidR="00FB2798" w:rsidRPr="00FB2798" w:rsidRDefault="00FB2798" w:rsidP="00D63204">
      <w:pPr>
        <w:pStyle w:val="ListParagraph"/>
        <w:spacing w:line="240" w:lineRule="auto"/>
        <w:ind w:left="810"/>
        <w:rPr>
          <w:rFonts w:ascii="Calibri" w:hAnsi="Calibri"/>
        </w:rPr>
      </w:pPr>
    </w:p>
    <w:p w14:paraId="76050FFC" w14:textId="1D653667" w:rsidR="00F36FD8" w:rsidRPr="00FB2798" w:rsidRDefault="00F36FD8" w:rsidP="00D63204">
      <w:pPr>
        <w:pStyle w:val="ListParagraph"/>
        <w:numPr>
          <w:ilvl w:val="0"/>
          <w:numId w:val="149"/>
        </w:numPr>
        <w:spacing w:line="240" w:lineRule="auto"/>
        <w:rPr>
          <w:rFonts w:ascii="Calibri" w:hAnsi="Calibri"/>
        </w:rPr>
      </w:pPr>
      <w:r w:rsidRPr="00FB2798">
        <w:rPr>
          <w:rFonts w:ascii="Calibri" w:hAnsi="Calibri"/>
        </w:rPr>
        <w:t>Satisfaction of affected VR Managers with revised reports</w:t>
      </w:r>
    </w:p>
    <w:p w14:paraId="3B432AFC" w14:textId="77777777" w:rsidR="00F36FD8" w:rsidRPr="00F36FD8" w:rsidRDefault="00F36FD8" w:rsidP="00D63204">
      <w:pPr>
        <w:spacing w:line="240" w:lineRule="auto"/>
        <w:ind w:left="90"/>
        <w:rPr>
          <w:rFonts w:ascii="Calibri" w:hAnsi="Calibri"/>
        </w:rPr>
      </w:pPr>
    </w:p>
    <w:p w14:paraId="1AD4E9E1" w14:textId="77777777" w:rsidR="00F36FD8" w:rsidRPr="00FB2798" w:rsidRDefault="00F36FD8" w:rsidP="00D63204">
      <w:pPr>
        <w:spacing w:after="0" w:line="240" w:lineRule="auto"/>
        <w:ind w:left="90"/>
        <w:rPr>
          <w:rFonts w:ascii="Calibri" w:hAnsi="Calibri"/>
          <w:b/>
        </w:rPr>
      </w:pPr>
      <w:r w:rsidRPr="00FB2798">
        <w:rPr>
          <w:rFonts w:ascii="Calibri" w:hAnsi="Calibri"/>
          <w:b/>
        </w:rPr>
        <w:t xml:space="preserve">Actual Performance: </w:t>
      </w:r>
    </w:p>
    <w:p w14:paraId="751D1887" w14:textId="77777777" w:rsidR="00F36FD8" w:rsidRPr="00F36FD8" w:rsidRDefault="00F36FD8" w:rsidP="00D63204">
      <w:pPr>
        <w:spacing w:line="240" w:lineRule="auto"/>
        <w:ind w:left="90"/>
        <w:rPr>
          <w:rFonts w:ascii="Calibri" w:hAnsi="Calibri"/>
        </w:rPr>
      </w:pPr>
      <w:r w:rsidRPr="00F36FD8">
        <w:rPr>
          <w:rFonts w:ascii="Calibri" w:hAnsi="Calibri"/>
        </w:rPr>
        <w:t xml:space="preserve">This strategy is on hold until after all current reporting processes are modified to meet WIOA requirements. </w:t>
      </w:r>
    </w:p>
    <w:p w14:paraId="3B2FCCFF" w14:textId="77777777" w:rsidR="00F36FD8" w:rsidRPr="00F36FD8" w:rsidRDefault="00F36FD8" w:rsidP="00D63204">
      <w:pPr>
        <w:spacing w:line="240" w:lineRule="auto"/>
        <w:ind w:left="90"/>
        <w:rPr>
          <w:rFonts w:ascii="Calibri" w:hAnsi="Calibri"/>
        </w:rPr>
      </w:pPr>
      <w:r w:rsidRPr="00FB2798">
        <w:rPr>
          <w:rFonts w:ascii="Calibri" w:hAnsi="Calibri"/>
          <w:b/>
        </w:rPr>
        <w:t>Goal 2:</w:t>
      </w:r>
      <w:r w:rsidRPr="00F36FD8">
        <w:rPr>
          <w:rFonts w:ascii="Calibri" w:hAnsi="Calibri"/>
        </w:rPr>
        <w:t xml:space="preserve"> Ensure Employee success and satisfaction by improving development opportunities and workplace environment.</w:t>
      </w:r>
    </w:p>
    <w:p w14:paraId="33D82B21" w14:textId="77777777" w:rsidR="00F36FD8" w:rsidRPr="00F36FD8" w:rsidRDefault="00F36FD8" w:rsidP="00D63204">
      <w:pPr>
        <w:spacing w:line="240" w:lineRule="auto"/>
        <w:ind w:left="90"/>
        <w:rPr>
          <w:rFonts w:ascii="Calibri" w:hAnsi="Calibri"/>
        </w:rPr>
      </w:pPr>
      <w:r w:rsidRPr="00FB2798">
        <w:rPr>
          <w:rFonts w:ascii="Calibri" w:hAnsi="Calibri"/>
          <w:b/>
        </w:rPr>
        <w:t>Objective 2.1:</w:t>
      </w:r>
      <w:r w:rsidRPr="00F36FD8">
        <w:rPr>
          <w:rFonts w:ascii="Calibri" w:hAnsi="Calibri"/>
        </w:rPr>
        <w:t xml:space="preserve"> Provide a comprehensive workforce planning and development system</w:t>
      </w:r>
    </w:p>
    <w:p w14:paraId="06FB5853" w14:textId="77777777" w:rsidR="00F36FD8" w:rsidRPr="00F36FD8" w:rsidRDefault="00F36FD8" w:rsidP="00D63204">
      <w:pPr>
        <w:spacing w:line="240" w:lineRule="auto"/>
        <w:ind w:left="90"/>
        <w:rPr>
          <w:rFonts w:ascii="Calibri" w:hAnsi="Calibri"/>
        </w:rPr>
      </w:pPr>
      <w:r w:rsidRPr="00FB2798">
        <w:rPr>
          <w:rFonts w:ascii="Calibri" w:hAnsi="Calibri"/>
          <w:b/>
        </w:rPr>
        <w:t>Strategy: 1.</w:t>
      </w:r>
      <w:r w:rsidRPr="00F36FD8">
        <w:rPr>
          <w:rFonts w:ascii="Calibri" w:hAnsi="Calibri"/>
        </w:rPr>
        <w:t xml:space="preserve"> Implement employee onboarding and mentoring processes statewide.</w:t>
      </w:r>
    </w:p>
    <w:p w14:paraId="737818A1" w14:textId="77777777" w:rsidR="00F36FD8" w:rsidRPr="00FB2798" w:rsidRDefault="00F36FD8" w:rsidP="00D63204">
      <w:pPr>
        <w:spacing w:line="240" w:lineRule="auto"/>
        <w:ind w:left="90"/>
        <w:rPr>
          <w:rFonts w:ascii="Calibri" w:hAnsi="Calibri"/>
          <w:b/>
        </w:rPr>
      </w:pPr>
      <w:r w:rsidRPr="00FB2798">
        <w:rPr>
          <w:rFonts w:ascii="Calibri" w:hAnsi="Calibri"/>
          <w:b/>
        </w:rPr>
        <w:t>Performance Measures:</w:t>
      </w:r>
    </w:p>
    <w:p w14:paraId="6155C655" w14:textId="402CC7B9" w:rsidR="00F36FD8" w:rsidRDefault="00F36FD8" w:rsidP="00D63204">
      <w:pPr>
        <w:pStyle w:val="ListParagraph"/>
        <w:numPr>
          <w:ilvl w:val="0"/>
          <w:numId w:val="150"/>
        </w:numPr>
        <w:spacing w:line="240" w:lineRule="auto"/>
        <w:rPr>
          <w:rFonts w:ascii="Calibri" w:hAnsi="Calibri"/>
        </w:rPr>
      </w:pPr>
      <w:r w:rsidRPr="00FB2798">
        <w:rPr>
          <w:rFonts w:ascii="Calibri" w:hAnsi="Calibri"/>
        </w:rPr>
        <w:t>Percentage of new employees completing all requirements within 90 days</w:t>
      </w:r>
    </w:p>
    <w:p w14:paraId="10F6D44F" w14:textId="77777777" w:rsidR="00FB2798" w:rsidRPr="00FB2798" w:rsidRDefault="00FB2798" w:rsidP="00D63204">
      <w:pPr>
        <w:pStyle w:val="ListParagraph"/>
        <w:spacing w:line="240" w:lineRule="auto"/>
        <w:ind w:left="810"/>
        <w:rPr>
          <w:rFonts w:ascii="Calibri" w:hAnsi="Calibri"/>
        </w:rPr>
      </w:pPr>
    </w:p>
    <w:p w14:paraId="32A68FCF" w14:textId="216A21FF" w:rsidR="00F36FD8" w:rsidRDefault="00F36FD8" w:rsidP="00D63204">
      <w:pPr>
        <w:pStyle w:val="ListParagraph"/>
        <w:numPr>
          <w:ilvl w:val="0"/>
          <w:numId w:val="150"/>
        </w:numPr>
        <w:spacing w:line="240" w:lineRule="auto"/>
        <w:rPr>
          <w:rFonts w:ascii="Calibri" w:hAnsi="Calibri"/>
        </w:rPr>
      </w:pPr>
      <w:r w:rsidRPr="00FB2798">
        <w:rPr>
          <w:rFonts w:ascii="Calibri" w:hAnsi="Calibri"/>
        </w:rPr>
        <w:t>Percentage of new employees assigned a mentor within 10 days from start date</w:t>
      </w:r>
    </w:p>
    <w:p w14:paraId="7FA6E948" w14:textId="77777777" w:rsidR="00FB2798" w:rsidRPr="00FB2798" w:rsidRDefault="00FB2798" w:rsidP="00D63204">
      <w:pPr>
        <w:pStyle w:val="ListParagraph"/>
        <w:spacing w:line="240" w:lineRule="auto"/>
        <w:ind w:left="810"/>
        <w:rPr>
          <w:rFonts w:ascii="Calibri" w:hAnsi="Calibri"/>
        </w:rPr>
      </w:pPr>
    </w:p>
    <w:p w14:paraId="3AE7C560" w14:textId="251D4AB3" w:rsidR="00F36FD8" w:rsidRPr="00FB2798" w:rsidRDefault="00F36FD8" w:rsidP="00D63204">
      <w:pPr>
        <w:pStyle w:val="ListParagraph"/>
        <w:numPr>
          <w:ilvl w:val="0"/>
          <w:numId w:val="150"/>
        </w:numPr>
        <w:spacing w:line="240" w:lineRule="auto"/>
        <w:rPr>
          <w:rFonts w:ascii="Calibri" w:hAnsi="Calibri"/>
        </w:rPr>
      </w:pPr>
      <w:r w:rsidRPr="00FB2798">
        <w:rPr>
          <w:rFonts w:ascii="Calibri" w:hAnsi="Calibri"/>
        </w:rPr>
        <w:t>Protégé/mentor/supervisor satisfaction ratings</w:t>
      </w:r>
    </w:p>
    <w:p w14:paraId="56E3F134" w14:textId="77777777" w:rsidR="00F36FD8" w:rsidRPr="00FB2798" w:rsidRDefault="00F36FD8" w:rsidP="00D63204">
      <w:pPr>
        <w:spacing w:after="0" w:line="240" w:lineRule="auto"/>
        <w:ind w:left="90"/>
        <w:rPr>
          <w:rFonts w:ascii="Calibri" w:hAnsi="Calibri"/>
          <w:b/>
        </w:rPr>
      </w:pPr>
      <w:r w:rsidRPr="00FB2798">
        <w:rPr>
          <w:rFonts w:ascii="Calibri" w:hAnsi="Calibri"/>
          <w:b/>
        </w:rPr>
        <w:t xml:space="preserve">Actual Performance: </w:t>
      </w:r>
    </w:p>
    <w:p w14:paraId="01A93388" w14:textId="5870A036" w:rsidR="00F36FD8" w:rsidRPr="00F36FD8" w:rsidRDefault="00F36FD8" w:rsidP="00D63204">
      <w:pPr>
        <w:spacing w:line="240" w:lineRule="auto"/>
        <w:ind w:left="90"/>
        <w:rPr>
          <w:rFonts w:ascii="Calibri" w:hAnsi="Calibri"/>
        </w:rPr>
      </w:pPr>
      <w:r w:rsidRPr="00F36FD8">
        <w:rPr>
          <w:rFonts w:ascii="Calibri" w:hAnsi="Calibri"/>
        </w:rPr>
        <w:t>From June to July 2016, a series of webinars provided VR staff information on the new mentoring program, how to use the system</w:t>
      </w:r>
      <w:r w:rsidR="00D5537E">
        <w:rPr>
          <w:rFonts w:ascii="Calibri" w:hAnsi="Calibri"/>
        </w:rPr>
        <w:t xml:space="preserve"> and</w:t>
      </w:r>
      <w:r w:rsidRPr="00F36FD8">
        <w:rPr>
          <w:rFonts w:ascii="Calibri" w:hAnsi="Calibri"/>
        </w:rPr>
        <w:t xml:space="preserve"> setting up personal profiles. This concluded with a Mentor / Protégé Matching Day. The Mentoring Program officially kicked off </w:t>
      </w:r>
      <w:r w:rsidR="00454868">
        <w:rPr>
          <w:rFonts w:ascii="Calibri" w:hAnsi="Calibri"/>
        </w:rPr>
        <w:t>in</w:t>
      </w:r>
      <w:r w:rsidRPr="00F36FD8">
        <w:rPr>
          <w:rFonts w:ascii="Calibri" w:hAnsi="Calibri"/>
        </w:rPr>
        <w:t xml:space="preserve"> August</w:t>
      </w:r>
      <w:r w:rsidR="00454868">
        <w:rPr>
          <w:rFonts w:ascii="Calibri" w:hAnsi="Calibri"/>
        </w:rPr>
        <w:t xml:space="preserve"> 2016</w:t>
      </w:r>
      <w:r w:rsidRPr="00F36FD8">
        <w:rPr>
          <w:rFonts w:ascii="Calibri" w:hAnsi="Calibri"/>
        </w:rPr>
        <w:t>. The VR Organization</w:t>
      </w:r>
      <w:r w:rsidR="00454868">
        <w:rPr>
          <w:rFonts w:ascii="Calibri" w:hAnsi="Calibri"/>
        </w:rPr>
        <w:t>al</w:t>
      </w:r>
      <w:r w:rsidRPr="00F36FD8">
        <w:rPr>
          <w:rFonts w:ascii="Calibri" w:hAnsi="Calibri"/>
        </w:rPr>
        <w:t xml:space="preserve"> and Employee Support Section (OES) is available via the Mentorship Program Help Desk email to assist with any Mentorship program questions</w:t>
      </w:r>
      <w:r w:rsidR="00D5537E">
        <w:rPr>
          <w:rFonts w:ascii="Calibri" w:hAnsi="Calibri"/>
        </w:rPr>
        <w:t xml:space="preserve"> and</w:t>
      </w:r>
      <w:r w:rsidRPr="00F36FD8">
        <w:rPr>
          <w:rFonts w:ascii="Calibri" w:hAnsi="Calibri"/>
        </w:rPr>
        <w:t xml:space="preserve"> IMAP software assistance. </w:t>
      </w:r>
    </w:p>
    <w:p w14:paraId="532AA180" w14:textId="77777777" w:rsidR="00F36FD8" w:rsidRPr="00F36FD8" w:rsidRDefault="00F36FD8" w:rsidP="00D63204">
      <w:pPr>
        <w:spacing w:line="240" w:lineRule="auto"/>
        <w:ind w:left="90"/>
        <w:rPr>
          <w:rFonts w:ascii="Calibri" w:hAnsi="Calibri"/>
        </w:rPr>
      </w:pPr>
      <w:r w:rsidRPr="00FB2798">
        <w:rPr>
          <w:rFonts w:ascii="Calibri" w:hAnsi="Calibri"/>
          <w:b/>
        </w:rPr>
        <w:t>Strategy: 2.</w:t>
      </w:r>
      <w:r w:rsidRPr="00F36FD8">
        <w:rPr>
          <w:rFonts w:ascii="Calibri" w:hAnsi="Calibri"/>
        </w:rPr>
        <w:t xml:space="preserve"> Develop an agency-wide workforce and succession management plan, including a process to capture organizational knowledge.</w:t>
      </w:r>
    </w:p>
    <w:p w14:paraId="25829514" w14:textId="77777777" w:rsidR="00F36FD8" w:rsidRPr="00FB2798" w:rsidRDefault="00F36FD8" w:rsidP="00D63204">
      <w:pPr>
        <w:spacing w:line="240" w:lineRule="auto"/>
        <w:ind w:left="90"/>
        <w:rPr>
          <w:rFonts w:ascii="Calibri" w:hAnsi="Calibri"/>
          <w:b/>
        </w:rPr>
      </w:pPr>
      <w:r w:rsidRPr="00FB2798">
        <w:rPr>
          <w:rFonts w:ascii="Calibri" w:hAnsi="Calibri"/>
          <w:b/>
        </w:rPr>
        <w:t>Performance Measures:</w:t>
      </w:r>
    </w:p>
    <w:p w14:paraId="4FDBB2E6" w14:textId="24BDC61B" w:rsidR="00FB2798" w:rsidRDefault="00F36FD8" w:rsidP="00D63204">
      <w:pPr>
        <w:pStyle w:val="ListParagraph"/>
        <w:numPr>
          <w:ilvl w:val="0"/>
          <w:numId w:val="151"/>
        </w:numPr>
        <w:spacing w:line="240" w:lineRule="auto"/>
        <w:rPr>
          <w:rFonts w:ascii="Calibri" w:hAnsi="Calibri"/>
        </w:rPr>
      </w:pPr>
      <w:r w:rsidRPr="00FB2798">
        <w:rPr>
          <w:rFonts w:ascii="Calibri" w:hAnsi="Calibri"/>
        </w:rPr>
        <w:t>Process accurately identifies cri</w:t>
      </w:r>
      <w:r w:rsidR="00FB2798" w:rsidRPr="00FB2798">
        <w:rPr>
          <w:rFonts w:ascii="Calibri" w:hAnsi="Calibri"/>
        </w:rPr>
        <w:t>tical positions and information</w:t>
      </w:r>
    </w:p>
    <w:p w14:paraId="1F65BBE6" w14:textId="77777777" w:rsidR="00FB2798" w:rsidRPr="00FB2798" w:rsidRDefault="00FB2798" w:rsidP="00D63204">
      <w:pPr>
        <w:pStyle w:val="ListParagraph"/>
        <w:spacing w:line="240" w:lineRule="auto"/>
        <w:ind w:left="810"/>
        <w:rPr>
          <w:rFonts w:ascii="Calibri" w:hAnsi="Calibri"/>
        </w:rPr>
      </w:pPr>
    </w:p>
    <w:p w14:paraId="4C24226F" w14:textId="4CA0CCC0" w:rsidR="00F36FD8" w:rsidRPr="00FB2798" w:rsidRDefault="00F36FD8" w:rsidP="00D63204">
      <w:pPr>
        <w:pStyle w:val="ListParagraph"/>
        <w:numPr>
          <w:ilvl w:val="0"/>
          <w:numId w:val="151"/>
        </w:numPr>
        <w:spacing w:line="240" w:lineRule="auto"/>
        <w:rPr>
          <w:rFonts w:ascii="Calibri" w:hAnsi="Calibri"/>
        </w:rPr>
      </w:pPr>
      <w:r w:rsidRPr="00FB2798">
        <w:rPr>
          <w:rFonts w:ascii="Calibri" w:hAnsi="Calibri"/>
        </w:rPr>
        <w:t>Participant satisfaction with process / components</w:t>
      </w:r>
    </w:p>
    <w:p w14:paraId="2A75C63D" w14:textId="77777777" w:rsidR="00F36FD8" w:rsidRPr="00F36FD8" w:rsidRDefault="00F36FD8" w:rsidP="00D63204">
      <w:pPr>
        <w:spacing w:line="240" w:lineRule="auto"/>
        <w:ind w:left="90"/>
        <w:rPr>
          <w:rFonts w:ascii="Calibri" w:hAnsi="Calibri"/>
        </w:rPr>
      </w:pPr>
      <w:r w:rsidRPr="00FB2798">
        <w:rPr>
          <w:rFonts w:ascii="Calibri" w:hAnsi="Calibri"/>
          <w:b/>
        </w:rPr>
        <w:t>Strategy: 3.</w:t>
      </w:r>
      <w:r w:rsidRPr="00F36FD8">
        <w:rPr>
          <w:rFonts w:ascii="Calibri" w:hAnsi="Calibri"/>
        </w:rPr>
        <w:t xml:space="preserve"> Design a program for identifying and developing VR Leadership candidates.</w:t>
      </w:r>
    </w:p>
    <w:p w14:paraId="0342E45C" w14:textId="77777777" w:rsidR="00F36FD8" w:rsidRPr="00FB2798" w:rsidRDefault="00F36FD8" w:rsidP="00D63204">
      <w:pPr>
        <w:spacing w:line="240" w:lineRule="auto"/>
        <w:ind w:left="90"/>
        <w:rPr>
          <w:rFonts w:ascii="Calibri" w:hAnsi="Calibri"/>
          <w:b/>
        </w:rPr>
      </w:pPr>
      <w:r w:rsidRPr="00FB2798">
        <w:rPr>
          <w:rFonts w:ascii="Calibri" w:hAnsi="Calibri"/>
          <w:b/>
        </w:rPr>
        <w:t>Performance Measures:</w:t>
      </w:r>
    </w:p>
    <w:p w14:paraId="383F5ADD" w14:textId="46C4352E" w:rsidR="00F36FD8" w:rsidRDefault="00F36FD8" w:rsidP="00D63204">
      <w:pPr>
        <w:pStyle w:val="ListParagraph"/>
        <w:numPr>
          <w:ilvl w:val="0"/>
          <w:numId w:val="152"/>
        </w:numPr>
        <w:spacing w:line="240" w:lineRule="auto"/>
        <w:rPr>
          <w:rFonts w:ascii="Calibri" w:hAnsi="Calibri"/>
        </w:rPr>
      </w:pPr>
      <w:r w:rsidRPr="00FB2798">
        <w:rPr>
          <w:rFonts w:ascii="Calibri" w:hAnsi="Calibri"/>
        </w:rPr>
        <w:t>Successful pilot/ rollout of program</w:t>
      </w:r>
    </w:p>
    <w:p w14:paraId="70390C6F" w14:textId="77777777" w:rsidR="00FB2798" w:rsidRPr="00FB2798" w:rsidRDefault="00FB2798" w:rsidP="00D63204">
      <w:pPr>
        <w:pStyle w:val="ListParagraph"/>
        <w:spacing w:line="240" w:lineRule="auto"/>
        <w:ind w:left="810"/>
        <w:rPr>
          <w:rFonts w:ascii="Calibri" w:hAnsi="Calibri"/>
        </w:rPr>
      </w:pPr>
    </w:p>
    <w:p w14:paraId="718DA807" w14:textId="4B9173B6" w:rsidR="00F36FD8" w:rsidRDefault="00F36FD8" w:rsidP="00D63204">
      <w:pPr>
        <w:pStyle w:val="ListParagraph"/>
        <w:numPr>
          <w:ilvl w:val="0"/>
          <w:numId w:val="152"/>
        </w:numPr>
        <w:spacing w:line="240" w:lineRule="auto"/>
        <w:rPr>
          <w:rFonts w:ascii="Calibri" w:hAnsi="Calibri"/>
        </w:rPr>
      </w:pPr>
      <w:r w:rsidRPr="00FB2798">
        <w:rPr>
          <w:rFonts w:ascii="Calibri" w:hAnsi="Calibri"/>
        </w:rPr>
        <w:t>Percent of VR employees initiating participation</w:t>
      </w:r>
    </w:p>
    <w:p w14:paraId="2610E6CF" w14:textId="77777777" w:rsidR="00FB2798" w:rsidRPr="00FB2798" w:rsidRDefault="00FB2798" w:rsidP="00D63204">
      <w:pPr>
        <w:pStyle w:val="ListParagraph"/>
        <w:spacing w:line="240" w:lineRule="auto"/>
        <w:ind w:left="810"/>
        <w:rPr>
          <w:rFonts w:ascii="Calibri" w:hAnsi="Calibri"/>
        </w:rPr>
      </w:pPr>
    </w:p>
    <w:p w14:paraId="6273F9EB" w14:textId="2973FA43" w:rsidR="00F36FD8" w:rsidRPr="00FB2798" w:rsidRDefault="00F36FD8" w:rsidP="00D63204">
      <w:pPr>
        <w:pStyle w:val="ListParagraph"/>
        <w:numPr>
          <w:ilvl w:val="0"/>
          <w:numId w:val="152"/>
        </w:numPr>
        <w:spacing w:line="240" w:lineRule="auto"/>
        <w:rPr>
          <w:rFonts w:ascii="Calibri" w:hAnsi="Calibri"/>
        </w:rPr>
      </w:pPr>
      <w:r w:rsidRPr="00FB2798">
        <w:rPr>
          <w:rFonts w:ascii="Calibri" w:hAnsi="Calibri"/>
        </w:rPr>
        <w:t>Participant satisfaction with program components</w:t>
      </w:r>
    </w:p>
    <w:p w14:paraId="5555A4DA" w14:textId="77777777" w:rsidR="00F36FD8" w:rsidRPr="00FB2798" w:rsidRDefault="00F36FD8" w:rsidP="00D63204">
      <w:pPr>
        <w:spacing w:after="0" w:line="240" w:lineRule="auto"/>
        <w:ind w:left="90"/>
        <w:rPr>
          <w:rFonts w:ascii="Calibri" w:hAnsi="Calibri"/>
          <w:b/>
        </w:rPr>
      </w:pPr>
      <w:r w:rsidRPr="00FB2798">
        <w:rPr>
          <w:rFonts w:ascii="Calibri" w:hAnsi="Calibri"/>
          <w:b/>
        </w:rPr>
        <w:lastRenderedPageBreak/>
        <w:t xml:space="preserve">Actual Performance (3 &amp; 4): </w:t>
      </w:r>
    </w:p>
    <w:p w14:paraId="51A21CA1" w14:textId="77777777" w:rsidR="00F36FD8" w:rsidRPr="00F36FD8" w:rsidRDefault="00F36FD8" w:rsidP="00D63204">
      <w:pPr>
        <w:spacing w:line="240" w:lineRule="auto"/>
        <w:ind w:left="90"/>
        <w:rPr>
          <w:rFonts w:ascii="Calibri" w:hAnsi="Calibri"/>
        </w:rPr>
      </w:pPr>
      <w:r w:rsidRPr="00F36FD8">
        <w:rPr>
          <w:rFonts w:ascii="Calibri" w:hAnsi="Calibri"/>
        </w:rPr>
        <w:t xml:space="preserve">VR’s Supervisor Succession Training Program (SSTP) was successfully launched statewide in October 2016. As of December 2017, 32 participants have successfully graduated from SSTP. </w:t>
      </w:r>
    </w:p>
    <w:p w14:paraId="533139BC" w14:textId="77777777" w:rsidR="00F36FD8" w:rsidRPr="00F36FD8" w:rsidRDefault="00F36FD8" w:rsidP="00D63204">
      <w:pPr>
        <w:spacing w:line="240" w:lineRule="auto"/>
        <w:ind w:left="90"/>
        <w:rPr>
          <w:rFonts w:ascii="Calibri" w:hAnsi="Calibri"/>
        </w:rPr>
      </w:pPr>
    </w:p>
    <w:p w14:paraId="2280B4B2" w14:textId="77777777" w:rsidR="00F36FD8" w:rsidRPr="00F36FD8" w:rsidRDefault="00F36FD8" w:rsidP="00D63204">
      <w:pPr>
        <w:spacing w:line="240" w:lineRule="auto"/>
        <w:ind w:left="90"/>
        <w:rPr>
          <w:rFonts w:ascii="Calibri" w:hAnsi="Calibri"/>
        </w:rPr>
      </w:pPr>
      <w:r w:rsidRPr="00FB2798">
        <w:rPr>
          <w:rFonts w:ascii="Calibri" w:hAnsi="Calibri"/>
          <w:b/>
        </w:rPr>
        <w:t>Strategy: 4.</w:t>
      </w:r>
      <w:r w:rsidRPr="00F36FD8">
        <w:rPr>
          <w:rFonts w:ascii="Calibri" w:hAnsi="Calibri"/>
        </w:rPr>
        <w:t xml:space="preserve"> Develop standards, guidelines and curriculum for VR employee training.</w:t>
      </w:r>
    </w:p>
    <w:p w14:paraId="3EA0CA82" w14:textId="77777777" w:rsidR="00F36FD8" w:rsidRPr="00FB2798" w:rsidRDefault="00F36FD8" w:rsidP="00D63204">
      <w:pPr>
        <w:spacing w:line="240" w:lineRule="auto"/>
        <w:ind w:left="90"/>
        <w:rPr>
          <w:rFonts w:ascii="Calibri" w:hAnsi="Calibri"/>
          <w:b/>
        </w:rPr>
      </w:pPr>
      <w:r w:rsidRPr="00FB2798">
        <w:rPr>
          <w:rFonts w:ascii="Calibri" w:hAnsi="Calibri"/>
          <w:b/>
        </w:rPr>
        <w:t>Performance Measures:</w:t>
      </w:r>
    </w:p>
    <w:p w14:paraId="3985BFC2" w14:textId="30405FF8" w:rsidR="00F36FD8" w:rsidRDefault="00F36FD8" w:rsidP="00D63204">
      <w:pPr>
        <w:pStyle w:val="ListParagraph"/>
        <w:numPr>
          <w:ilvl w:val="0"/>
          <w:numId w:val="153"/>
        </w:numPr>
        <w:spacing w:line="240" w:lineRule="auto"/>
        <w:rPr>
          <w:rFonts w:ascii="Calibri" w:hAnsi="Calibri"/>
        </w:rPr>
      </w:pPr>
      <w:r w:rsidRPr="00FB2798">
        <w:rPr>
          <w:rFonts w:ascii="Calibri" w:hAnsi="Calibri"/>
        </w:rPr>
        <w:t>Improvement in climate survey items: Q8. Opportunities to learn and grow- 83.61%</w:t>
      </w:r>
    </w:p>
    <w:p w14:paraId="30AE7673" w14:textId="77777777" w:rsidR="00FB2798" w:rsidRPr="00FB2798" w:rsidRDefault="00FB2798" w:rsidP="00D63204">
      <w:pPr>
        <w:pStyle w:val="ListParagraph"/>
        <w:spacing w:line="240" w:lineRule="auto"/>
        <w:ind w:left="810"/>
        <w:rPr>
          <w:rFonts w:ascii="Calibri" w:hAnsi="Calibri"/>
        </w:rPr>
      </w:pPr>
    </w:p>
    <w:p w14:paraId="5B1A49D8" w14:textId="717CC373" w:rsidR="00F36FD8" w:rsidRDefault="00F36FD8" w:rsidP="00D63204">
      <w:pPr>
        <w:pStyle w:val="ListParagraph"/>
        <w:numPr>
          <w:ilvl w:val="0"/>
          <w:numId w:val="153"/>
        </w:numPr>
        <w:spacing w:line="240" w:lineRule="auto"/>
        <w:rPr>
          <w:rFonts w:ascii="Calibri" w:hAnsi="Calibri"/>
        </w:rPr>
      </w:pPr>
      <w:r w:rsidRPr="00FB2798">
        <w:rPr>
          <w:rFonts w:ascii="Calibri" w:hAnsi="Calibri"/>
        </w:rPr>
        <w:t>Q11. I am satisfied with the training provided by VR- 77.19%</w:t>
      </w:r>
    </w:p>
    <w:p w14:paraId="5A6306B1" w14:textId="77777777" w:rsidR="00FB2798" w:rsidRPr="00FB2798" w:rsidRDefault="00FB2798" w:rsidP="00D63204">
      <w:pPr>
        <w:pStyle w:val="ListParagraph"/>
        <w:spacing w:line="240" w:lineRule="auto"/>
        <w:ind w:left="810"/>
        <w:rPr>
          <w:rFonts w:ascii="Calibri" w:hAnsi="Calibri"/>
        </w:rPr>
      </w:pPr>
    </w:p>
    <w:p w14:paraId="1A8FD18B" w14:textId="766386D0" w:rsidR="00F36FD8" w:rsidRPr="00FB2798" w:rsidRDefault="00F36FD8" w:rsidP="00D63204">
      <w:pPr>
        <w:pStyle w:val="ListParagraph"/>
        <w:numPr>
          <w:ilvl w:val="0"/>
          <w:numId w:val="153"/>
        </w:numPr>
        <w:spacing w:line="240" w:lineRule="auto"/>
        <w:rPr>
          <w:rFonts w:ascii="Calibri" w:hAnsi="Calibri"/>
        </w:rPr>
      </w:pPr>
      <w:r w:rsidRPr="00FB2798">
        <w:rPr>
          <w:rFonts w:ascii="Calibri" w:hAnsi="Calibri"/>
        </w:rPr>
        <w:t>Percentage of VR employees successfully completing identified training requirements</w:t>
      </w:r>
    </w:p>
    <w:p w14:paraId="66A83161" w14:textId="77777777" w:rsidR="00F36FD8" w:rsidRPr="00FB2798" w:rsidRDefault="00F36FD8" w:rsidP="00D63204">
      <w:pPr>
        <w:spacing w:after="0" w:line="240" w:lineRule="auto"/>
        <w:ind w:left="90"/>
        <w:rPr>
          <w:rFonts w:ascii="Calibri" w:hAnsi="Calibri"/>
          <w:b/>
        </w:rPr>
      </w:pPr>
      <w:r w:rsidRPr="00FB2798">
        <w:rPr>
          <w:rFonts w:ascii="Calibri" w:hAnsi="Calibri"/>
          <w:b/>
        </w:rPr>
        <w:t xml:space="preserve">Actual Performance: </w:t>
      </w:r>
    </w:p>
    <w:p w14:paraId="5D7B3CE3" w14:textId="73BF1460" w:rsidR="00F36FD8" w:rsidRPr="00F36FD8" w:rsidRDefault="00F36FD8" w:rsidP="00D63204">
      <w:pPr>
        <w:spacing w:line="240" w:lineRule="auto"/>
        <w:ind w:left="90"/>
        <w:rPr>
          <w:rFonts w:ascii="Calibri" w:hAnsi="Calibri"/>
        </w:rPr>
      </w:pPr>
      <w:r w:rsidRPr="00F36FD8">
        <w:rPr>
          <w:rFonts w:ascii="Calibri" w:hAnsi="Calibri"/>
        </w:rPr>
        <w:t>VR’s Learning and Development Office (LDO) has developed standardized resources for designing VR training and courses, that allow curriculum to be designed in various (blended) formats. LDO has collaborated with program and administrative staff to revise New Counselor Training materials</w:t>
      </w:r>
      <w:r w:rsidR="00D5537E">
        <w:rPr>
          <w:rFonts w:ascii="Calibri" w:hAnsi="Calibri"/>
        </w:rPr>
        <w:t xml:space="preserve"> and</w:t>
      </w:r>
      <w:r w:rsidRPr="00F36FD8">
        <w:rPr>
          <w:rFonts w:ascii="Calibri" w:hAnsi="Calibri"/>
        </w:rPr>
        <w:t xml:space="preserve"> provides consultation and support to VR staff on training aspects when launching new programs or services.</w:t>
      </w:r>
    </w:p>
    <w:p w14:paraId="1A00CBE2" w14:textId="047DA223" w:rsidR="00F36FD8" w:rsidRPr="00F36FD8" w:rsidRDefault="00F36FD8" w:rsidP="00D63204">
      <w:pPr>
        <w:spacing w:line="240" w:lineRule="auto"/>
        <w:ind w:left="90"/>
        <w:rPr>
          <w:rFonts w:ascii="Calibri" w:hAnsi="Calibri"/>
        </w:rPr>
      </w:pPr>
      <w:r w:rsidRPr="00FB2798">
        <w:rPr>
          <w:rFonts w:ascii="Calibri" w:hAnsi="Calibri"/>
          <w:b/>
        </w:rPr>
        <w:t>Objective 2.2:</w:t>
      </w:r>
      <w:r w:rsidRPr="00F36FD8">
        <w:rPr>
          <w:rFonts w:ascii="Calibri" w:hAnsi="Calibri"/>
        </w:rPr>
        <w:t xml:space="preserve"> Provide a safe, accessible</w:t>
      </w:r>
      <w:r w:rsidR="00D5537E">
        <w:rPr>
          <w:rFonts w:ascii="Calibri" w:hAnsi="Calibri"/>
        </w:rPr>
        <w:t xml:space="preserve"> and</w:t>
      </w:r>
      <w:r w:rsidRPr="00F36FD8">
        <w:rPr>
          <w:rFonts w:ascii="Calibri" w:hAnsi="Calibri"/>
        </w:rPr>
        <w:t xml:space="preserve"> adequately equipped work environment</w:t>
      </w:r>
    </w:p>
    <w:p w14:paraId="2B9A5EAA" w14:textId="62C1C48C" w:rsidR="00F36FD8" w:rsidRPr="00F36FD8" w:rsidRDefault="00F36FD8" w:rsidP="00D63204">
      <w:pPr>
        <w:spacing w:line="240" w:lineRule="auto"/>
        <w:ind w:left="90"/>
        <w:rPr>
          <w:rFonts w:ascii="Calibri" w:hAnsi="Calibri"/>
        </w:rPr>
      </w:pPr>
      <w:r w:rsidRPr="00FB2798">
        <w:rPr>
          <w:rFonts w:ascii="Calibri" w:hAnsi="Calibri"/>
          <w:b/>
        </w:rPr>
        <w:t>Strategy: 1.</w:t>
      </w:r>
      <w:r w:rsidRPr="00F36FD8">
        <w:rPr>
          <w:rFonts w:ascii="Calibri" w:hAnsi="Calibri"/>
        </w:rPr>
        <w:t xml:space="preserve"> Develop a comprehensive safety plan for monitoring VR facilities statewide. Specific components include a process for reporting defective/unsafe working conditions, safety and facilities management training for area staff, a move manual, a statewide safety manual, statewide first aid info, furniture inspection instructions</w:t>
      </w:r>
      <w:r w:rsidR="00D5537E">
        <w:rPr>
          <w:rFonts w:ascii="Calibri" w:hAnsi="Calibri"/>
        </w:rPr>
        <w:t xml:space="preserve"> and</w:t>
      </w:r>
      <w:r w:rsidRPr="00F36FD8">
        <w:rPr>
          <w:rFonts w:ascii="Calibri" w:hAnsi="Calibri"/>
        </w:rPr>
        <w:t xml:space="preserve"> a facility security / building access policy at HQ.</w:t>
      </w:r>
    </w:p>
    <w:p w14:paraId="5C2E771F" w14:textId="77777777" w:rsidR="00F36FD8" w:rsidRPr="00FB2798" w:rsidRDefault="00F36FD8" w:rsidP="00D63204">
      <w:pPr>
        <w:spacing w:line="240" w:lineRule="auto"/>
        <w:ind w:left="90"/>
        <w:rPr>
          <w:rFonts w:ascii="Calibri" w:hAnsi="Calibri"/>
          <w:b/>
        </w:rPr>
      </w:pPr>
      <w:r w:rsidRPr="00FB2798">
        <w:rPr>
          <w:rFonts w:ascii="Calibri" w:hAnsi="Calibri"/>
          <w:b/>
        </w:rPr>
        <w:t>Performance Measures:</w:t>
      </w:r>
    </w:p>
    <w:p w14:paraId="7D9CD885" w14:textId="0E02E5FF" w:rsidR="00F36FD8" w:rsidRDefault="00FB2798" w:rsidP="00D63204">
      <w:pPr>
        <w:pStyle w:val="ListParagraph"/>
        <w:numPr>
          <w:ilvl w:val="0"/>
          <w:numId w:val="154"/>
        </w:numPr>
        <w:spacing w:line="240" w:lineRule="auto"/>
        <w:rPr>
          <w:rFonts w:ascii="Calibri" w:hAnsi="Calibri"/>
        </w:rPr>
      </w:pPr>
      <w:r w:rsidRPr="00FB2798">
        <w:rPr>
          <w:rFonts w:ascii="Calibri" w:hAnsi="Calibri"/>
        </w:rPr>
        <w:t>I</w:t>
      </w:r>
      <w:r w:rsidR="00F36FD8" w:rsidRPr="00FB2798">
        <w:rPr>
          <w:rFonts w:ascii="Calibri" w:hAnsi="Calibri"/>
        </w:rPr>
        <w:t>mprovement in climate survey item: Q17. Physically safe work environment- 81.94%</w:t>
      </w:r>
    </w:p>
    <w:p w14:paraId="203E101A" w14:textId="77777777" w:rsidR="00FB2798" w:rsidRPr="00FB2798" w:rsidRDefault="00FB2798" w:rsidP="00D63204">
      <w:pPr>
        <w:pStyle w:val="ListParagraph"/>
        <w:spacing w:line="240" w:lineRule="auto"/>
        <w:ind w:left="810"/>
        <w:rPr>
          <w:rFonts w:ascii="Calibri" w:hAnsi="Calibri"/>
        </w:rPr>
      </w:pPr>
    </w:p>
    <w:p w14:paraId="052B549D" w14:textId="685983DD" w:rsidR="00F36FD8" w:rsidRPr="00FB2798" w:rsidRDefault="00F36FD8" w:rsidP="00D63204">
      <w:pPr>
        <w:pStyle w:val="ListParagraph"/>
        <w:numPr>
          <w:ilvl w:val="0"/>
          <w:numId w:val="154"/>
        </w:numPr>
        <w:spacing w:line="240" w:lineRule="auto"/>
        <w:rPr>
          <w:rFonts w:ascii="Calibri" w:hAnsi="Calibri"/>
        </w:rPr>
      </w:pPr>
      <w:r w:rsidRPr="00FB2798">
        <w:rPr>
          <w:rFonts w:ascii="Calibri" w:hAnsi="Calibri"/>
        </w:rPr>
        <w:t>Pulse survey results following implementation of each improvement</w:t>
      </w:r>
    </w:p>
    <w:p w14:paraId="1216606F" w14:textId="77777777" w:rsidR="00F36FD8" w:rsidRPr="00FB2798" w:rsidRDefault="00F36FD8" w:rsidP="00D63204">
      <w:pPr>
        <w:spacing w:after="0" w:line="240" w:lineRule="auto"/>
        <w:ind w:left="90"/>
        <w:rPr>
          <w:rFonts w:ascii="Calibri" w:hAnsi="Calibri"/>
          <w:b/>
        </w:rPr>
      </w:pPr>
      <w:r w:rsidRPr="00FB2798">
        <w:rPr>
          <w:rFonts w:ascii="Calibri" w:hAnsi="Calibri"/>
          <w:b/>
        </w:rPr>
        <w:t xml:space="preserve">Actual Performance: </w:t>
      </w:r>
    </w:p>
    <w:p w14:paraId="7F7E43BC" w14:textId="77777777" w:rsidR="00F36FD8" w:rsidRPr="00F36FD8" w:rsidRDefault="00F36FD8" w:rsidP="00D63204">
      <w:pPr>
        <w:spacing w:line="240" w:lineRule="auto"/>
        <w:ind w:left="90"/>
        <w:rPr>
          <w:rFonts w:ascii="Calibri" w:hAnsi="Calibri"/>
        </w:rPr>
      </w:pPr>
      <w:r w:rsidRPr="00F36FD8">
        <w:rPr>
          <w:rFonts w:ascii="Calibri" w:hAnsi="Calibri"/>
        </w:rPr>
        <w:t>VR has developed a comprehensive safety plan and resources that are used in all VR offices and facilities. This strategy continues operationally.</w:t>
      </w:r>
    </w:p>
    <w:p w14:paraId="29F97317" w14:textId="77777777" w:rsidR="00F36FD8" w:rsidRPr="00FB2798" w:rsidRDefault="00F36FD8" w:rsidP="00D63204">
      <w:pPr>
        <w:spacing w:after="0" w:line="240" w:lineRule="auto"/>
        <w:ind w:left="90"/>
        <w:rPr>
          <w:rFonts w:ascii="Calibri" w:hAnsi="Calibri"/>
          <w:b/>
          <w:u w:val="single"/>
        </w:rPr>
      </w:pPr>
      <w:r w:rsidRPr="00FB2798">
        <w:rPr>
          <w:rFonts w:ascii="Calibri" w:hAnsi="Calibri"/>
          <w:b/>
          <w:u w:val="single"/>
        </w:rPr>
        <w:t>Explanation of Performance:</w:t>
      </w:r>
    </w:p>
    <w:p w14:paraId="61C1137E" w14:textId="77777777" w:rsidR="00F36FD8" w:rsidRPr="00FB2798" w:rsidRDefault="00F36FD8" w:rsidP="00D63204">
      <w:pPr>
        <w:spacing w:after="0" w:line="240" w:lineRule="auto"/>
        <w:ind w:left="90"/>
        <w:rPr>
          <w:rFonts w:ascii="Calibri" w:hAnsi="Calibri"/>
          <w:u w:val="single"/>
        </w:rPr>
      </w:pPr>
      <w:r w:rsidRPr="00FB2798">
        <w:rPr>
          <w:rFonts w:ascii="Calibri" w:hAnsi="Calibri"/>
          <w:u w:val="single"/>
        </w:rPr>
        <w:t>Strategies that contributed to achievement of goals and priorities</w:t>
      </w:r>
    </w:p>
    <w:p w14:paraId="4715B652" w14:textId="3E9E12AA" w:rsidR="00F36FD8" w:rsidRPr="00F36FD8" w:rsidRDefault="00F36FD8" w:rsidP="00D63204">
      <w:pPr>
        <w:spacing w:line="240" w:lineRule="auto"/>
        <w:ind w:left="90"/>
        <w:rPr>
          <w:rFonts w:ascii="Calibri" w:hAnsi="Calibri"/>
        </w:rPr>
      </w:pPr>
      <w:r w:rsidRPr="00F36FD8">
        <w:rPr>
          <w:rFonts w:ascii="Calibri" w:hAnsi="Calibri"/>
        </w:rPr>
        <w:t>Following the previously established planning process, VR Senior Leaders regularly review progress and update strategies as needed. Annually, the Senior Leadership Team completed a thorough review of the strategic plan</w:t>
      </w:r>
      <w:r w:rsidR="00D5537E">
        <w:rPr>
          <w:rFonts w:ascii="Calibri" w:hAnsi="Calibri"/>
        </w:rPr>
        <w:t xml:space="preserve"> and</w:t>
      </w:r>
      <w:r w:rsidRPr="00F36FD8">
        <w:rPr>
          <w:rFonts w:ascii="Calibri" w:hAnsi="Calibri"/>
        </w:rPr>
        <w:t xml:space="preserve"> then held a planning meeting to determine which projects to include in the updated strategic plan. Strategy updates are provided quarterly and reported out to VR Leadership and stakeholders.</w:t>
      </w:r>
    </w:p>
    <w:p w14:paraId="270030B2" w14:textId="513EDB80" w:rsidR="00F36FD8" w:rsidRPr="00F36FD8" w:rsidRDefault="00F36FD8" w:rsidP="00D63204">
      <w:pPr>
        <w:spacing w:line="240" w:lineRule="auto"/>
        <w:ind w:left="90"/>
        <w:rPr>
          <w:rFonts w:ascii="Calibri" w:hAnsi="Calibri"/>
        </w:rPr>
      </w:pPr>
      <w:r w:rsidRPr="00F36FD8">
        <w:rPr>
          <w:rFonts w:ascii="Calibri" w:hAnsi="Calibri"/>
        </w:rPr>
        <w:t>The Rehabilitation Services Administration (RSA) completed their monitoring visit with VR in April 2017. VR is</w:t>
      </w:r>
      <w:r w:rsidR="005302B0">
        <w:rPr>
          <w:rFonts w:ascii="Calibri" w:hAnsi="Calibri"/>
        </w:rPr>
        <w:t xml:space="preserve"> also</w:t>
      </w:r>
      <w:r w:rsidRPr="00F36FD8">
        <w:rPr>
          <w:rFonts w:ascii="Calibri" w:hAnsi="Calibri"/>
        </w:rPr>
        <w:t xml:space="preserve"> planning for its next Comprehensive Statewide Needs Assessment (CSNA), which will inform agency planning in FFYs 2019-21. VR will update its strategic goals and priorities after receipt of the RSA Monitoring Report and completion of the next CSNA. Currently, VR agency priorities are to ensure IT systems are fully capable of collecting </w:t>
      </w:r>
      <w:r w:rsidRPr="00F36FD8">
        <w:rPr>
          <w:rFonts w:ascii="Calibri" w:hAnsi="Calibri"/>
        </w:rPr>
        <w:lastRenderedPageBreak/>
        <w:t>data required for federal reporting</w:t>
      </w:r>
      <w:r w:rsidR="00D5537E">
        <w:rPr>
          <w:rFonts w:ascii="Calibri" w:hAnsi="Calibri"/>
        </w:rPr>
        <w:t xml:space="preserve"> and</w:t>
      </w:r>
      <w:r w:rsidRPr="00F36FD8">
        <w:rPr>
          <w:rFonts w:ascii="Calibri" w:hAnsi="Calibri"/>
        </w:rPr>
        <w:t xml:space="preserve"> to refine its service delivery procedures to meet Pre-ETS budget requirements while continuing to meet the needs of other customers.</w:t>
      </w:r>
    </w:p>
    <w:p w14:paraId="14321219" w14:textId="73778BDF" w:rsidR="00FB2798" w:rsidRDefault="00F36FD8" w:rsidP="00D63204">
      <w:pPr>
        <w:spacing w:line="240" w:lineRule="auto"/>
        <w:ind w:left="90"/>
        <w:rPr>
          <w:rFonts w:ascii="Calibri" w:hAnsi="Calibri"/>
        </w:rPr>
      </w:pPr>
      <w:r w:rsidRPr="00F36FD8">
        <w:rPr>
          <w:rFonts w:ascii="Calibri" w:hAnsi="Calibri"/>
        </w:rPr>
        <w:t xml:space="preserve">Smooth operation of the strategic planning process is in part due to VR senior leaders’ commitment to provide all supports necessary for project teams to be successful. Senior leaders </w:t>
      </w:r>
      <w:r w:rsidR="005302B0">
        <w:rPr>
          <w:rFonts w:ascii="Calibri" w:hAnsi="Calibri"/>
        </w:rPr>
        <w:t>recognize</w:t>
      </w:r>
      <w:r w:rsidR="00366711">
        <w:rPr>
          <w:rFonts w:ascii="Calibri" w:hAnsi="Calibri"/>
        </w:rPr>
        <w:t xml:space="preserve"> </w:t>
      </w:r>
      <w:r w:rsidRPr="00F36FD8">
        <w:rPr>
          <w:rFonts w:ascii="Calibri" w:hAnsi="Calibri"/>
        </w:rPr>
        <w:t>the value of feedback received from VR customers, personnel, stakeholders</w:t>
      </w:r>
      <w:r w:rsidR="00D5537E">
        <w:rPr>
          <w:rFonts w:ascii="Calibri" w:hAnsi="Calibri"/>
        </w:rPr>
        <w:t xml:space="preserve"> and</w:t>
      </w:r>
      <w:r w:rsidRPr="00F36FD8">
        <w:rPr>
          <w:rFonts w:ascii="Calibri" w:hAnsi="Calibri"/>
        </w:rPr>
        <w:t xml:space="preserve"> concerned citizens. </w:t>
      </w:r>
    </w:p>
    <w:p w14:paraId="677175FE" w14:textId="4C3DEA10" w:rsidR="00F36FD8" w:rsidRPr="00F36FD8" w:rsidRDefault="00F36FD8" w:rsidP="00D63204">
      <w:pPr>
        <w:spacing w:line="240" w:lineRule="auto"/>
        <w:ind w:left="90"/>
        <w:rPr>
          <w:rFonts w:ascii="Calibri" w:hAnsi="Calibri"/>
        </w:rPr>
      </w:pPr>
      <w:r w:rsidRPr="00F36FD8">
        <w:rPr>
          <w:rFonts w:ascii="Calibri" w:hAnsi="Calibri"/>
        </w:rPr>
        <w:t>Arrangements are in place so that anyone can provide feedback on the state plan</w:t>
      </w:r>
      <w:r w:rsidR="005302B0">
        <w:rPr>
          <w:rFonts w:ascii="Calibri" w:hAnsi="Calibri"/>
        </w:rPr>
        <w:t xml:space="preserve"> </w:t>
      </w:r>
      <w:r w:rsidRPr="00F36FD8">
        <w:rPr>
          <w:rFonts w:ascii="Calibri" w:hAnsi="Calibri"/>
        </w:rPr>
        <w:t xml:space="preserve">using a dedicated email address on the Florida VR website, </w:t>
      </w:r>
      <w:hyperlink r:id="rId183" w:history="1">
        <w:r w:rsidR="005302B0" w:rsidRPr="00A52871">
          <w:rPr>
            <w:rStyle w:val="Hyperlink"/>
            <w:rFonts w:cstheme="minorHAnsi"/>
            <w:u w:val="none"/>
          </w:rPr>
          <w:t>www.rehabworks.org/plans.shtml</w:t>
        </w:r>
      </w:hyperlink>
      <w:r w:rsidR="00A52871">
        <w:rPr>
          <w:rStyle w:val="Hyperlink"/>
          <w:rFonts w:cstheme="minorHAnsi"/>
          <w:u w:val="none"/>
        </w:rPr>
        <w:t>.</w:t>
      </w:r>
      <w:r w:rsidRPr="00F36FD8">
        <w:rPr>
          <w:rFonts w:ascii="Calibri" w:hAnsi="Calibri"/>
        </w:rPr>
        <w:t xml:space="preserve"> The email address is </w:t>
      </w:r>
      <w:hyperlink r:id="rId184" w:history="1">
        <w:r w:rsidR="00A52871" w:rsidRPr="00A52871">
          <w:rPr>
            <w:rStyle w:val="Hyperlink"/>
            <w:rFonts w:cstheme="minorHAnsi"/>
            <w:u w:val="none"/>
          </w:rPr>
          <w:t>vrplan@vr.fldoe.org</w:t>
        </w:r>
      </w:hyperlink>
      <w:r w:rsidR="009E3A25">
        <w:rPr>
          <w:rStyle w:val="Hyperlink"/>
          <w:rFonts w:cstheme="minorHAnsi"/>
          <w:u w:val="none"/>
        </w:rPr>
        <w:t>.</w:t>
      </w:r>
      <w:r w:rsidR="00A52871" w:rsidRPr="00A52871">
        <w:rPr>
          <w:rStyle w:val="Hyperlink"/>
          <w:rFonts w:cstheme="minorHAnsi"/>
          <w:u w:val="none"/>
        </w:rPr>
        <w:t xml:space="preserve"> </w:t>
      </w:r>
      <w:r w:rsidRPr="00F36FD8">
        <w:rPr>
          <w:rFonts w:ascii="Calibri" w:hAnsi="Calibri"/>
        </w:rPr>
        <w:t xml:space="preserve">Concerted effort </w:t>
      </w:r>
      <w:r w:rsidR="009E3A25">
        <w:rPr>
          <w:rFonts w:ascii="Calibri" w:hAnsi="Calibri"/>
        </w:rPr>
        <w:t>has also been</w:t>
      </w:r>
      <w:r w:rsidR="00366711">
        <w:rPr>
          <w:rFonts w:ascii="Calibri" w:hAnsi="Calibri"/>
        </w:rPr>
        <w:t xml:space="preserve"> </w:t>
      </w:r>
      <w:r w:rsidRPr="00F36FD8">
        <w:rPr>
          <w:rFonts w:ascii="Calibri" w:hAnsi="Calibri"/>
        </w:rPr>
        <w:t>made to standardize and streamline</w:t>
      </w:r>
      <w:r w:rsidR="00366711">
        <w:rPr>
          <w:rFonts w:ascii="Calibri" w:hAnsi="Calibri"/>
        </w:rPr>
        <w:t xml:space="preserve"> </w:t>
      </w:r>
      <w:r w:rsidRPr="00F36FD8">
        <w:rPr>
          <w:rFonts w:ascii="Calibri" w:hAnsi="Calibri"/>
        </w:rPr>
        <w:t>VR operational processes and procedures, such as staff development, planning, IT governance and development schedules</w:t>
      </w:r>
      <w:r w:rsidR="00D5537E">
        <w:rPr>
          <w:rFonts w:ascii="Calibri" w:hAnsi="Calibri"/>
        </w:rPr>
        <w:t xml:space="preserve"> and</w:t>
      </w:r>
      <w:r w:rsidRPr="00F36FD8">
        <w:rPr>
          <w:rFonts w:ascii="Calibri" w:hAnsi="Calibri"/>
        </w:rPr>
        <w:t xml:space="preserve"> business intelligence functions.</w:t>
      </w:r>
    </w:p>
    <w:p w14:paraId="549388BF" w14:textId="77777777" w:rsidR="00F36FD8" w:rsidRPr="00FB2798" w:rsidRDefault="00F36FD8" w:rsidP="00D63204">
      <w:pPr>
        <w:spacing w:after="0" w:line="240" w:lineRule="auto"/>
        <w:ind w:left="90"/>
        <w:rPr>
          <w:rFonts w:ascii="Calibri" w:hAnsi="Calibri"/>
          <w:u w:val="single"/>
        </w:rPr>
      </w:pPr>
      <w:r w:rsidRPr="00FB2798">
        <w:rPr>
          <w:rFonts w:ascii="Calibri" w:hAnsi="Calibri"/>
          <w:u w:val="single"/>
        </w:rPr>
        <w:t>Barriers that impeded achievement of goals and priorities</w:t>
      </w:r>
    </w:p>
    <w:p w14:paraId="3AF1E233" w14:textId="7E4951FB" w:rsidR="00F36FD8" w:rsidRPr="00F36FD8" w:rsidRDefault="00F36FD8" w:rsidP="00D63204">
      <w:pPr>
        <w:spacing w:line="240" w:lineRule="auto"/>
        <w:ind w:left="90"/>
        <w:rPr>
          <w:rFonts w:ascii="Calibri" w:hAnsi="Calibri"/>
        </w:rPr>
      </w:pPr>
      <w:r w:rsidRPr="00F36FD8">
        <w:rPr>
          <w:rFonts w:ascii="Calibri" w:hAnsi="Calibri"/>
        </w:rPr>
        <w:t>Despite obstacles such as changes to waitlist management, fiscal strains, preparing for and implementing Workforce Innovation and Opportunity Act (WIOA), staff turnover and rising caseload sizes, VR made great progress towards achieving its strategic projects and agency priorities. When waitlist categories were closed due to fiscal and human resource deficits, field staff used this time to reconnect and engage customers, as well as close cases for customers no longer interested in services. Budget and caseload projection models were</w:t>
      </w:r>
      <w:r w:rsidR="006A2179">
        <w:rPr>
          <w:rFonts w:ascii="Calibri" w:hAnsi="Calibri"/>
        </w:rPr>
        <w:t xml:space="preserve"> also</w:t>
      </w:r>
      <w:r w:rsidRPr="00F36FD8">
        <w:rPr>
          <w:rFonts w:ascii="Calibri" w:hAnsi="Calibri"/>
        </w:rPr>
        <w:t xml:space="preserve"> developed during this time</w:t>
      </w:r>
      <w:r w:rsidR="00D5537E">
        <w:rPr>
          <w:rFonts w:ascii="Calibri" w:hAnsi="Calibri"/>
        </w:rPr>
        <w:t xml:space="preserve"> and</w:t>
      </w:r>
      <w:r w:rsidR="006A2179">
        <w:rPr>
          <w:rFonts w:ascii="Calibri" w:hAnsi="Calibri"/>
        </w:rPr>
        <w:t xml:space="preserve"> have</w:t>
      </w:r>
      <w:r w:rsidRPr="00F36FD8">
        <w:rPr>
          <w:rFonts w:ascii="Calibri" w:hAnsi="Calibri"/>
        </w:rPr>
        <w:t xml:space="preserve"> </w:t>
      </w:r>
      <w:r w:rsidR="00366711">
        <w:rPr>
          <w:rFonts w:ascii="Calibri" w:hAnsi="Calibri"/>
        </w:rPr>
        <w:t>allow</w:t>
      </w:r>
      <w:r w:rsidR="006A2179">
        <w:rPr>
          <w:rFonts w:ascii="Calibri" w:hAnsi="Calibri"/>
        </w:rPr>
        <w:t>ed</w:t>
      </w:r>
      <w:r w:rsidR="00366711">
        <w:rPr>
          <w:rFonts w:ascii="Calibri" w:hAnsi="Calibri"/>
        </w:rPr>
        <w:t xml:space="preserve"> </w:t>
      </w:r>
      <w:r w:rsidRPr="00F36FD8">
        <w:rPr>
          <w:rFonts w:ascii="Calibri" w:hAnsi="Calibri"/>
        </w:rPr>
        <w:t>VR to better manage and plan.</w:t>
      </w:r>
    </w:p>
    <w:p w14:paraId="6C7F9E0F" w14:textId="7C22384A" w:rsidR="00F36FD8" w:rsidRPr="00F36FD8" w:rsidRDefault="00F36FD8" w:rsidP="00D63204">
      <w:pPr>
        <w:spacing w:line="240" w:lineRule="auto"/>
        <w:ind w:left="90"/>
        <w:rPr>
          <w:rFonts w:ascii="Calibri" w:hAnsi="Calibri"/>
        </w:rPr>
      </w:pPr>
      <w:r w:rsidRPr="00F36FD8">
        <w:rPr>
          <w:rFonts w:ascii="Calibri" w:hAnsi="Calibri"/>
        </w:rPr>
        <w:t xml:space="preserve">Preparing for WIOA implementation forced VR to reexamine its business processes and organizational structure, which has resulted in more efficient and standardized operations. It </w:t>
      </w:r>
      <w:r w:rsidR="00366711">
        <w:rPr>
          <w:rFonts w:ascii="Calibri" w:hAnsi="Calibri"/>
        </w:rPr>
        <w:t xml:space="preserve">allows </w:t>
      </w:r>
      <w:r w:rsidRPr="00F36FD8">
        <w:rPr>
          <w:rFonts w:ascii="Calibri" w:hAnsi="Calibri"/>
        </w:rPr>
        <w:t xml:space="preserve">VR to develop true partnerships and connections with other employment-focused entities. These improvements, borne out of necessity, have increased VR’s ability to </w:t>
      </w:r>
      <w:r w:rsidR="00806BB4" w:rsidRPr="00F36FD8">
        <w:rPr>
          <w:rFonts w:ascii="Calibri" w:hAnsi="Calibri"/>
        </w:rPr>
        <w:t>plan</w:t>
      </w:r>
      <w:r w:rsidRPr="00F36FD8">
        <w:rPr>
          <w:rFonts w:ascii="Calibri" w:hAnsi="Calibri"/>
        </w:rPr>
        <w:t>, as well as to be flexible when barriers are encountered.</w:t>
      </w:r>
    </w:p>
    <w:p w14:paraId="4933204D" w14:textId="77777777" w:rsidR="00FB2798" w:rsidRPr="00A23800" w:rsidRDefault="00FB2798" w:rsidP="00D63204">
      <w:pPr>
        <w:widowControl w:val="0"/>
        <w:spacing w:after="0" w:line="240" w:lineRule="auto"/>
        <w:ind w:left="468" w:right="468"/>
        <w:outlineLvl w:val="2"/>
        <w:rPr>
          <w:rFonts w:ascii="Calibri" w:hAnsi="Calibri"/>
        </w:rPr>
      </w:pPr>
      <w:r w:rsidRPr="00A23800">
        <w:rPr>
          <w:rFonts w:ascii="Calibri" w:hAnsi="Calibri"/>
          <w:b/>
          <w:bCs/>
          <w:w w:val="110"/>
        </w:rPr>
        <w:t>Figure</w:t>
      </w:r>
      <w:r w:rsidRPr="00A23800">
        <w:rPr>
          <w:rFonts w:ascii="Calibri" w:hAnsi="Calibri"/>
          <w:b/>
          <w:bCs/>
          <w:spacing w:val="32"/>
          <w:w w:val="110"/>
        </w:rPr>
        <w:t xml:space="preserve"> </w:t>
      </w:r>
      <w:r w:rsidRPr="00A23800">
        <w:rPr>
          <w:rFonts w:ascii="Calibri" w:hAnsi="Calibri"/>
          <w:b/>
          <w:bCs/>
          <w:spacing w:val="-3"/>
          <w:w w:val="110"/>
        </w:rPr>
        <w:t>9.07</w:t>
      </w:r>
    </w:p>
    <w:p w14:paraId="496B066F" w14:textId="77777777" w:rsidR="00FB2798" w:rsidRPr="00A23800" w:rsidRDefault="00FB2798" w:rsidP="00D63204">
      <w:pPr>
        <w:widowControl w:val="0"/>
        <w:spacing w:after="0" w:line="240" w:lineRule="auto"/>
        <w:ind w:left="468" w:right="468"/>
        <w:rPr>
          <w:rFonts w:ascii="Calibri" w:hAnsi="Calibri" w:cs="Calibri"/>
        </w:rPr>
      </w:pPr>
      <w:r w:rsidRPr="00A23800">
        <w:rPr>
          <w:rFonts w:ascii="Calibri" w:hAnsi="Calibri"/>
          <w:b/>
          <w:w w:val="110"/>
        </w:rPr>
        <w:t>Federal Standards and</w:t>
      </w:r>
      <w:r w:rsidRPr="00A23800">
        <w:rPr>
          <w:rFonts w:ascii="Calibri" w:hAnsi="Calibri"/>
          <w:b/>
          <w:spacing w:val="-13"/>
          <w:w w:val="110"/>
        </w:rPr>
        <w:t xml:space="preserve"> </w:t>
      </w:r>
      <w:r w:rsidRPr="00A23800">
        <w:rPr>
          <w:rFonts w:ascii="Calibri" w:hAnsi="Calibri"/>
          <w:b/>
          <w:w w:val="110"/>
        </w:rPr>
        <w:t>Indicators</w:t>
      </w:r>
    </w:p>
    <w:p w14:paraId="29E2AFB6" w14:textId="77777777" w:rsidR="00FB2798" w:rsidRPr="00A23800" w:rsidRDefault="00FB2798" w:rsidP="00FB2798">
      <w:pPr>
        <w:widowControl w:val="0"/>
        <w:spacing w:before="1" w:after="0" w:line="240" w:lineRule="auto"/>
        <w:rPr>
          <w:rFonts w:ascii="Calibri" w:hAnsi="Calibri" w:cs="Calibri"/>
          <w:b/>
          <w:bCs/>
          <w:sz w:val="18"/>
          <w:szCs w:val="18"/>
        </w:rPr>
      </w:pPr>
    </w:p>
    <w:tbl>
      <w:tblPr>
        <w:tblW w:w="0" w:type="auto"/>
        <w:tblInd w:w="108" w:type="dxa"/>
        <w:tblLayout w:type="fixed"/>
        <w:tblCellMar>
          <w:left w:w="0" w:type="dxa"/>
          <w:right w:w="0" w:type="dxa"/>
        </w:tblCellMar>
        <w:tblLook w:val="01E0" w:firstRow="1" w:lastRow="1" w:firstColumn="1" w:lastColumn="1" w:noHBand="0" w:noVBand="0"/>
      </w:tblPr>
      <w:tblGrid>
        <w:gridCol w:w="5829"/>
        <w:gridCol w:w="2349"/>
        <w:gridCol w:w="1987"/>
      </w:tblGrid>
      <w:tr w:rsidR="00FB2798" w:rsidRPr="00A23800" w14:paraId="05062792" w14:textId="77777777" w:rsidTr="007F1453">
        <w:trPr>
          <w:trHeight w:hRule="exact" w:val="710"/>
        </w:trPr>
        <w:tc>
          <w:tcPr>
            <w:tcW w:w="5829" w:type="dxa"/>
            <w:tcBorders>
              <w:top w:val="single" w:sz="2" w:space="0" w:color="231F20"/>
              <w:left w:val="single" w:sz="2" w:space="0" w:color="231F20"/>
              <w:bottom w:val="single" w:sz="2" w:space="0" w:color="231F20"/>
              <w:right w:val="single" w:sz="2" w:space="0" w:color="231F20"/>
            </w:tcBorders>
            <w:vAlign w:val="center"/>
          </w:tcPr>
          <w:p w14:paraId="745E5CAD" w14:textId="7988A319" w:rsidR="00FB2798" w:rsidRPr="00A23800" w:rsidRDefault="00FB2798" w:rsidP="007F1453">
            <w:pPr>
              <w:widowControl w:val="0"/>
              <w:spacing w:before="96" w:after="0" w:line="240" w:lineRule="auto"/>
              <w:ind w:left="77" w:right="3449"/>
              <w:rPr>
                <w:rFonts w:ascii="Calibri" w:hAnsi="Calibri" w:cs="Calibri"/>
              </w:rPr>
            </w:pPr>
            <w:r w:rsidRPr="00E06806">
              <w:rPr>
                <w:rFonts w:cstheme="minorHAnsi"/>
                <w:b/>
                <w:color w:val="231F20"/>
                <w:w w:val="110"/>
                <w:sz w:val="20"/>
              </w:rPr>
              <w:t xml:space="preserve">Federal Performance </w:t>
            </w:r>
            <w:r>
              <w:rPr>
                <w:rFonts w:cstheme="minorHAnsi"/>
                <w:b/>
                <w:color w:val="231F20"/>
                <w:w w:val="110"/>
                <w:sz w:val="20"/>
              </w:rPr>
              <w:t>I</w:t>
            </w:r>
            <w:r w:rsidRPr="00E06806">
              <w:rPr>
                <w:rFonts w:cstheme="minorHAnsi"/>
                <w:b/>
                <w:color w:val="231F20"/>
                <w:w w:val="110"/>
                <w:sz w:val="20"/>
              </w:rPr>
              <w:t>ndicators and</w:t>
            </w:r>
            <w:r w:rsidRPr="00E06806">
              <w:rPr>
                <w:rFonts w:cstheme="minorHAnsi"/>
                <w:b/>
                <w:color w:val="231F20"/>
                <w:spacing w:val="-32"/>
                <w:w w:val="110"/>
                <w:sz w:val="20"/>
              </w:rPr>
              <w:t xml:space="preserve"> </w:t>
            </w:r>
            <w:r w:rsidRPr="00E06806">
              <w:rPr>
                <w:rFonts w:cstheme="minorHAnsi"/>
                <w:b/>
                <w:color w:val="231F20"/>
                <w:w w:val="110"/>
                <w:sz w:val="20"/>
              </w:rPr>
              <w:t>Targets</w:t>
            </w:r>
          </w:p>
        </w:tc>
        <w:tc>
          <w:tcPr>
            <w:tcW w:w="2349" w:type="dxa"/>
            <w:tcBorders>
              <w:top w:val="single" w:sz="2" w:space="0" w:color="231F20"/>
              <w:left w:val="single" w:sz="2" w:space="0" w:color="231F20"/>
              <w:bottom w:val="single" w:sz="2" w:space="0" w:color="231F20"/>
              <w:right w:val="single" w:sz="2" w:space="0" w:color="231F20"/>
            </w:tcBorders>
            <w:vAlign w:val="center"/>
          </w:tcPr>
          <w:p w14:paraId="294833EE" w14:textId="77777777" w:rsidR="00FB2798" w:rsidRDefault="00FB2798" w:rsidP="00D63204">
            <w:pPr>
              <w:widowControl w:val="0"/>
              <w:spacing w:before="50" w:after="0" w:line="240" w:lineRule="auto"/>
              <w:ind w:left="107"/>
              <w:rPr>
                <w:rFonts w:cstheme="minorHAnsi"/>
                <w:b/>
                <w:color w:val="231F20"/>
                <w:w w:val="110"/>
                <w:sz w:val="20"/>
              </w:rPr>
            </w:pPr>
            <w:r w:rsidRPr="00E06806">
              <w:rPr>
                <w:rFonts w:cstheme="minorHAnsi"/>
                <w:b/>
                <w:color w:val="231F20"/>
                <w:w w:val="110"/>
                <w:sz w:val="20"/>
              </w:rPr>
              <w:t>Actual</w:t>
            </w:r>
            <w:r w:rsidRPr="00E06806">
              <w:rPr>
                <w:rFonts w:cstheme="minorHAnsi"/>
                <w:b/>
                <w:color w:val="231F20"/>
                <w:spacing w:val="-22"/>
                <w:w w:val="110"/>
                <w:sz w:val="20"/>
              </w:rPr>
              <w:t xml:space="preserve"> </w:t>
            </w:r>
            <w:r w:rsidRPr="00E06806">
              <w:rPr>
                <w:rFonts w:cstheme="minorHAnsi"/>
                <w:b/>
                <w:color w:val="231F20"/>
                <w:w w:val="110"/>
                <w:sz w:val="20"/>
              </w:rPr>
              <w:t>Performance</w:t>
            </w:r>
          </w:p>
          <w:p w14:paraId="6A5AA55D" w14:textId="20C7BA71" w:rsidR="00FB2798" w:rsidRPr="00A23800" w:rsidRDefault="00FB2798" w:rsidP="00D63204">
            <w:pPr>
              <w:widowControl w:val="0"/>
              <w:spacing w:before="50" w:after="0" w:line="240" w:lineRule="auto"/>
              <w:ind w:left="107"/>
              <w:rPr>
                <w:rFonts w:ascii="Calibri" w:hAnsi="Calibri" w:cs="Calibri"/>
              </w:rPr>
            </w:pPr>
            <w:r w:rsidRPr="00E06806">
              <w:rPr>
                <w:rFonts w:cstheme="minorHAnsi"/>
                <w:b/>
                <w:color w:val="231F20"/>
                <w:w w:val="110"/>
                <w:sz w:val="20"/>
              </w:rPr>
              <w:t>(FFY</w:t>
            </w:r>
            <w:r w:rsidRPr="00E06806">
              <w:rPr>
                <w:rFonts w:cstheme="minorHAnsi"/>
                <w:b/>
                <w:color w:val="231F20"/>
                <w:spacing w:val="4"/>
                <w:w w:val="110"/>
                <w:sz w:val="20"/>
              </w:rPr>
              <w:t xml:space="preserve"> </w:t>
            </w:r>
            <w:r w:rsidRPr="00E06806">
              <w:rPr>
                <w:rFonts w:cstheme="minorHAnsi"/>
                <w:b/>
                <w:color w:val="231F20"/>
                <w:w w:val="110"/>
                <w:sz w:val="20"/>
              </w:rPr>
              <w:t>1</w:t>
            </w:r>
            <w:r>
              <w:rPr>
                <w:rFonts w:cstheme="minorHAnsi"/>
                <w:b/>
                <w:color w:val="231F20"/>
                <w:w w:val="110"/>
                <w:sz w:val="20"/>
              </w:rPr>
              <w:t>7</w:t>
            </w:r>
            <w:r w:rsidRPr="00E06806">
              <w:rPr>
                <w:rFonts w:cstheme="minorHAnsi"/>
                <w:b/>
                <w:color w:val="231F20"/>
                <w:w w:val="110"/>
                <w:sz w:val="20"/>
              </w:rPr>
              <w:t>)</w:t>
            </w:r>
          </w:p>
        </w:tc>
        <w:tc>
          <w:tcPr>
            <w:tcW w:w="1987" w:type="dxa"/>
            <w:tcBorders>
              <w:top w:val="single" w:sz="2" w:space="0" w:color="231F20"/>
              <w:left w:val="single" w:sz="2" w:space="0" w:color="231F20"/>
              <w:bottom w:val="single" w:sz="2" w:space="0" w:color="231F20"/>
              <w:right w:val="single" w:sz="2" w:space="0" w:color="231F20"/>
            </w:tcBorders>
            <w:vAlign w:val="center"/>
          </w:tcPr>
          <w:p w14:paraId="41AB8C24" w14:textId="002CF52C" w:rsidR="00FB2798" w:rsidRDefault="00FB2798" w:rsidP="00D63204">
            <w:pPr>
              <w:widowControl w:val="0"/>
              <w:spacing w:before="50" w:after="0" w:line="240" w:lineRule="auto"/>
              <w:ind w:left="107"/>
              <w:rPr>
                <w:rFonts w:cstheme="minorHAnsi"/>
                <w:b/>
                <w:color w:val="231F20"/>
                <w:spacing w:val="7"/>
                <w:w w:val="110"/>
                <w:sz w:val="20"/>
              </w:rPr>
            </w:pPr>
            <w:r w:rsidRPr="00E06806">
              <w:rPr>
                <w:rFonts w:cstheme="minorHAnsi"/>
                <w:b/>
                <w:color w:val="231F20"/>
                <w:w w:val="110"/>
                <w:sz w:val="20"/>
              </w:rPr>
              <w:t>Previous</w:t>
            </w:r>
          </w:p>
          <w:p w14:paraId="7BBFB816" w14:textId="31EF3AB2" w:rsidR="00FB2798" w:rsidRPr="00A23800" w:rsidRDefault="00FB2798" w:rsidP="00D63204">
            <w:pPr>
              <w:widowControl w:val="0"/>
              <w:spacing w:before="50" w:after="0" w:line="240" w:lineRule="auto"/>
              <w:ind w:left="107"/>
              <w:rPr>
                <w:rFonts w:ascii="Calibri" w:hAnsi="Calibri" w:cs="Calibri"/>
              </w:rPr>
            </w:pPr>
            <w:r w:rsidRPr="00E06806">
              <w:rPr>
                <w:rFonts w:cstheme="minorHAnsi"/>
                <w:b/>
                <w:color w:val="231F20"/>
                <w:w w:val="110"/>
                <w:sz w:val="20"/>
              </w:rPr>
              <w:t>(FFY</w:t>
            </w:r>
            <w:r w:rsidRPr="00E06806">
              <w:rPr>
                <w:rFonts w:cstheme="minorHAnsi"/>
                <w:b/>
                <w:color w:val="231F20"/>
                <w:spacing w:val="2"/>
                <w:w w:val="110"/>
                <w:sz w:val="20"/>
              </w:rPr>
              <w:t xml:space="preserve"> </w:t>
            </w:r>
            <w:r w:rsidRPr="00E06806">
              <w:rPr>
                <w:rFonts w:cstheme="minorHAnsi"/>
                <w:b/>
                <w:color w:val="231F20"/>
                <w:w w:val="110"/>
                <w:sz w:val="20"/>
              </w:rPr>
              <w:t>1</w:t>
            </w:r>
            <w:r>
              <w:rPr>
                <w:rFonts w:cstheme="minorHAnsi"/>
                <w:b/>
                <w:color w:val="231F20"/>
                <w:w w:val="110"/>
                <w:sz w:val="20"/>
              </w:rPr>
              <w:t>6</w:t>
            </w:r>
            <w:r w:rsidRPr="00E06806">
              <w:rPr>
                <w:rFonts w:cstheme="minorHAnsi"/>
                <w:b/>
                <w:color w:val="231F20"/>
                <w:w w:val="110"/>
                <w:sz w:val="20"/>
              </w:rPr>
              <w:t>)</w:t>
            </w:r>
          </w:p>
        </w:tc>
      </w:tr>
      <w:tr w:rsidR="00FB2798" w:rsidRPr="00A23800" w14:paraId="2C6DD520" w14:textId="77777777" w:rsidTr="007F1453">
        <w:trPr>
          <w:trHeight w:hRule="exact" w:val="598"/>
        </w:trPr>
        <w:tc>
          <w:tcPr>
            <w:tcW w:w="5829" w:type="dxa"/>
            <w:tcBorders>
              <w:top w:val="single" w:sz="2" w:space="0" w:color="231F20"/>
              <w:left w:val="single" w:sz="2" w:space="0" w:color="231F20"/>
              <w:bottom w:val="single" w:sz="2" w:space="0" w:color="231F20"/>
              <w:right w:val="single" w:sz="2" w:space="0" w:color="231F20"/>
            </w:tcBorders>
            <w:shd w:val="clear" w:color="auto" w:fill="E6E7E8"/>
            <w:vAlign w:val="center"/>
          </w:tcPr>
          <w:p w14:paraId="1D3E8FC2" w14:textId="77777777" w:rsidR="00921CFB" w:rsidRDefault="00FB2798" w:rsidP="007F1453">
            <w:pPr>
              <w:widowControl w:val="0"/>
              <w:spacing w:before="40" w:after="0" w:line="240" w:lineRule="auto"/>
              <w:ind w:left="77" w:right="671"/>
              <w:rPr>
                <w:rFonts w:cstheme="minorHAnsi"/>
                <w:color w:val="231F20"/>
                <w:w w:val="108"/>
                <w:sz w:val="20"/>
              </w:rPr>
            </w:pPr>
            <w:r w:rsidRPr="00E06806">
              <w:rPr>
                <w:rFonts w:cstheme="minorHAnsi"/>
                <w:b/>
                <w:color w:val="231F20"/>
                <w:w w:val="105"/>
                <w:sz w:val="20"/>
              </w:rPr>
              <w:t xml:space="preserve">Indicator </w:t>
            </w:r>
            <w:r w:rsidRPr="00E06806">
              <w:rPr>
                <w:rFonts w:cstheme="minorHAnsi"/>
                <w:b/>
                <w:color w:val="231F20"/>
                <w:spacing w:val="-6"/>
                <w:w w:val="105"/>
                <w:sz w:val="20"/>
              </w:rPr>
              <w:t>1.1</w:t>
            </w:r>
            <w:r w:rsidRPr="00E06806">
              <w:rPr>
                <w:rFonts w:cstheme="minorHAnsi"/>
                <w:color w:val="231F20"/>
                <w:spacing w:val="-6"/>
                <w:w w:val="105"/>
                <w:sz w:val="20"/>
              </w:rPr>
              <w:t xml:space="preserve">: </w:t>
            </w:r>
            <w:r w:rsidRPr="00E06806">
              <w:rPr>
                <w:rFonts w:cstheme="minorHAnsi"/>
                <w:color w:val="231F20"/>
                <w:w w:val="105"/>
                <w:sz w:val="20"/>
              </w:rPr>
              <w:t>Change in Employment</w:t>
            </w:r>
            <w:r w:rsidRPr="00E06806">
              <w:rPr>
                <w:rFonts w:cstheme="minorHAnsi"/>
                <w:color w:val="231F20"/>
                <w:spacing w:val="13"/>
                <w:w w:val="105"/>
                <w:sz w:val="20"/>
              </w:rPr>
              <w:t xml:space="preserve"> </w:t>
            </w:r>
            <w:r w:rsidRPr="00E06806">
              <w:rPr>
                <w:rFonts w:cstheme="minorHAnsi"/>
                <w:color w:val="231F20"/>
                <w:w w:val="105"/>
                <w:sz w:val="20"/>
              </w:rPr>
              <w:t>Outcomes</w:t>
            </w:r>
            <w:r w:rsidRPr="00E06806">
              <w:rPr>
                <w:rFonts w:cstheme="minorHAnsi"/>
                <w:color w:val="231F20"/>
                <w:w w:val="108"/>
                <w:sz w:val="20"/>
              </w:rPr>
              <w:t xml:space="preserve"> </w:t>
            </w:r>
          </w:p>
          <w:p w14:paraId="5828BE04" w14:textId="5911DC55" w:rsidR="00FB2798" w:rsidRPr="00A23800" w:rsidRDefault="00FB2798" w:rsidP="007F1453">
            <w:pPr>
              <w:widowControl w:val="0"/>
              <w:spacing w:before="40" w:after="0" w:line="240" w:lineRule="auto"/>
              <w:ind w:left="77" w:right="671"/>
              <w:rPr>
                <w:rFonts w:ascii="Calibri" w:hAnsi="Calibri" w:cs="Calibri"/>
              </w:rPr>
            </w:pPr>
            <w:r w:rsidRPr="00E06806">
              <w:rPr>
                <w:rFonts w:cstheme="minorHAnsi"/>
                <w:color w:val="231F20"/>
                <w:w w:val="105"/>
                <w:sz w:val="20"/>
              </w:rPr>
              <w:t xml:space="preserve">(RSA </w:t>
            </w:r>
            <w:r w:rsidRPr="00E06806">
              <w:rPr>
                <w:rFonts w:cstheme="minorHAnsi"/>
                <w:color w:val="231F20"/>
                <w:spacing w:val="-3"/>
                <w:w w:val="105"/>
                <w:sz w:val="20"/>
              </w:rPr>
              <w:t xml:space="preserve">Target: </w:t>
            </w:r>
            <w:r w:rsidRPr="00E06806">
              <w:rPr>
                <w:rFonts w:cstheme="minorHAnsi"/>
                <w:color w:val="231F20"/>
                <w:w w:val="105"/>
                <w:sz w:val="20"/>
              </w:rPr>
              <w:t>Increase over prior year)</w:t>
            </w:r>
          </w:p>
        </w:tc>
        <w:tc>
          <w:tcPr>
            <w:tcW w:w="2349" w:type="dxa"/>
            <w:tcBorders>
              <w:top w:val="single" w:sz="2" w:space="0" w:color="231F20"/>
              <w:left w:val="single" w:sz="2" w:space="0" w:color="231F20"/>
              <w:bottom w:val="single" w:sz="2" w:space="0" w:color="231F20"/>
              <w:right w:val="single" w:sz="2" w:space="0" w:color="231F20"/>
            </w:tcBorders>
            <w:shd w:val="clear" w:color="auto" w:fill="E6E7E8"/>
            <w:vAlign w:val="center"/>
          </w:tcPr>
          <w:p w14:paraId="2E0E7F37" w14:textId="77777777" w:rsidR="00FB2798" w:rsidRPr="00A23800" w:rsidRDefault="00FB2798" w:rsidP="00D63204">
            <w:pPr>
              <w:widowControl w:val="0"/>
              <w:spacing w:before="174" w:after="0" w:line="240" w:lineRule="auto"/>
              <w:ind w:right="75"/>
              <w:rPr>
                <w:rFonts w:ascii="Calibri" w:hAnsi="Calibri" w:cs="Calibri"/>
              </w:rPr>
            </w:pPr>
            <w:r>
              <w:rPr>
                <w:rFonts w:cstheme="minorHAnsi"/>
                <w:color w:val="231F20"/>
                <w:spacing w:val="-3"/>
                <w:w w:val="95"/>
                <w:sz w:val="20"/>
              </w:rPr>
              <w:t>+265</w:t>
            </w:r>
          </w:p>
        </w:tc>
        <w:tc>
          <w:tcPr>
            <w:tcW w:w="1987" w:type="dxa"/>
            <w:tcBorders>
              <w:top w:val="single" w:sz="2" w:space="0" w:color="231F20"/>
              <w:left w:val="single" w:sz="2" w:space="0" w:color="231F20"/>
              <w:bottom w:val="single" w:sz="2" w:space="0" w:color="231F20"/>
              <w:right w:val="single" w:sz="2" w:space="0" w:color="231F20"/>
            </w:tcBorders>
            <w:shd w:val="clear" w:color="auto" w:fill="E6E7E8"/>
            <w:vAlign w:val="center"/>
          </w:tcPr>
          <w:p w14:paraId="7D3319B3" w14:textId="77777777" w:rsidR="00FB2798" w:rsidRPr="00A23800" w:rsidRDefault="00FB2798" w:rsidP="00D63204">
            <w:pPr>
              <w:widowControl w:val="0"/>
              <w:spacing w:before="174" w:after="0" w:line="240" w:lineRule="auto"/>
              <w:ind w:right="75"/>
              <w:rPr>
                <w:rFonts w:ascii="Calibri" w:hAnsi="Calibri" w:cs="Calibri"/>
              </w:rPr>
            </w:pPr>
            <w:r>
              <w:rPr>
                <w:rFonts w:cstheme="minorHAnsi"/>
                <w:color w:val="231F20"/>
                <w:spacing w:val="-3"/>
                <w:w w:val="95"/>
                <w:sz w:val="20"/>
              </w:rPr>
              <w:t>+419</w:t>
            </w:r>
          </w:p>
        </w:tc>
      </w:tr>
      <w:tr w:rsidR="00FB2798" w:rsidRPr="00A23800" w14:paraId="31281CD9" w14:textId="77777777" w:rsidTr="007F1453">
        <w:trPr>
          <w:trHeight w:hRule="exact" w:val="598"/>
        </w:trPr>
        <w:tc>
          <w:tcPr>
            <w:tcW w:w="5829" w:type="dxa"/>
            <w:tcBorders>
              <w:top w:val="single" w:sz="2" w:space="0" w:color="231F20"/>
              <w:left w:val="single" w:sz="2" w:space="0" w:color="231F20"/>
              <w:bottom w:val="single" w:sz="2" w:space="0" w:color="231F20"/>
              <w:right w:val="single" w:sz="2" w:space="0" w:color="231F20"/>
            </w:tcBorders>
            <w:vAlign w:val="center"/>
          </w:tcPr>
          <w:p w14:paraId="3248459E" w14:textId="77777777" w:rsidR="00921CFB" w:rsidRDefault="00FB2798" w:rsidP="007F1453">
            <w:pPr>
              <w:widowControl w:val="0"/>
              <w:spacing w:before="40" w:after="0" w:line="240" w:lineRule="auto"/>
              <w:ind w:left="77" w:right="598"/>
              <w:rPr>
                <w:rFonts w:cstheme="minorHAnsi"/>
                <w:color w:val="231F20"/>
                <w:w w:val="108"/>
                <w:sz w:val="20"/>
              </w:rPr>
            </w:pPr>
            <w:r w:rsidRPr="00E06806">
              <w:rPr>
                <w:rFonts w:cstheme="minorHAnsi"/>
                <w:b/>
                <w:color w:val="231F20"/>
                <w:w w:val="105"/>
                <w:sz w:val="20"/>
              </w:rPr>
              <w:t>Indicator 1.2</w:t>
            </w:r>
            <w:r w:rsidRPr="00E06806">
              <w:rPr>
                <w:rFonts w:cstheme="minorHAnsi"/>
                <w:color w:val="231F20"/>
                <w:w w:val="105"/>
                <w:sz w:val="20"/>
              </w:rPr>
              <w:t>: Percent of Employment</w:t>
            </w:r>
            <w:r w:rsidRPr="00E06806">
              <w:rPr>
                <w:rFonts w:cstheme="minorHAnsi"/>
                <w:color w:val="231F20"/>
                <w:spacing w:val="1"/>
                <w:w w:val="105"/>
                <w:sz w:val="20"/>
              </w:rPr>
              <w:t xml:space="preserve"> </w:t>
            </w:r>
            <w:r w:rsidRPr="00E06806">
              <w:rPr>
                <w:rFonts w:cstheme="minorHAnsi"/>
                <w:color w:val="231F20"/>
                <w:w w:val="105"/>
                <w:sz w:val="20"/>
              </w:rPr>
              <w:t>Outcomes</w:t>
            </w:r>
            <w:r w:rsidRPr="00E06806">
              <w:rPr>
                <w:rFonts w:cstheme="minorHAnsi"/>
                <w:color w:val="231F20"/>
                <w:w w:val="108"/>
                <w:sz w:val="20"/>
              </w:rPr>
              <w:t xml:space="preserve"> </w:t>
            </w:r>
          </w:p>
          <w:p w14:paraId="0C95F216" w14:textId="224AFFE9" w:rsidR="00FB2798" w:rsidRPr="00A23800" w:rsidRDefault="00FB2798" w:rsidP="007F1453">
            <w:pPr>
              <w:widowControl w:val="0"/>
              <w:spacing w:before="40" w:after="0" w:line="240" w:lineRule="auto"/>
              <w:ind w:left="77" w:right="598"/>
              <w:rPr>
                <w:rFonts w:ascii="Calibri" w:hAnsi="Calibri" w:cs="Calibri"/>
              </w:rPr>
            </w:pPr>
            <w:r w:rsidRPr="00E06806">
              <w:rPr>
                <w:rFonts w:cstheme="minorHAnsi"/>
                <w:color w:val="231F20"/>
                <w:w w:val="105"/>
                <w:sz w:val="20"/>
              </w:rPr>
              <w:t xml:space="preserve">(RSA </w:t>
            </w:r>
            <w:r w:rsidRPr="00E06806">
              <w:rPr>
                <w:rFonts w:cstheme="minorHAnsi"/>
                <w:color w:val="231F20"/>
                <w:spacing w:val="-3"/>
                <w:w w:val="105"/>
                <w:sz w:val="20"/>
              </w:rPr>
              <w:t>Target:</w:t>
            </w:r>
            <w:r w:rsidRPr="00E06806">
              <w:rPr>
                <w:rFonts w:cstheme="minorHAnsi"/>
                <w:color w:val="231F20"/>
                <w:spacing w:val="3"/>
                <w:w w:val="105"/>
                <w:sz w:val="20"/>
              </w:rPr>
              <w:t xml:space="preserve"> </w:t>
            </w:r>
            <w:r w:rsidRPr="00E06806">
              <w:rPr>
                <w:rFonts w:cstheme="minorHAnsi"/>
                <w:color w:val="231F20"/>
                <w:w w:val="105"/>
                <w:sz w:val="20"/>
              </w:rPr>
              <w:t>55.8%)</w:t>
            </w:r>
          </w:p>
        </w:tc>
        <w:tc>
          <w:tcPr>
            <w:tcW w:w="2349" w:type="dxa"/>
            <w:tcBorders>
              <w:top w:val="single" w:sz="2" w:space="0" w:color="231F20"/>
              <w:left w:val="single" w:sz="2" w:space="0" w:color="231F20"/>
              <w:bottom w:val="single" w:sz="2" w:space="0" w:color="231F20"/>
              <w:right w:val="single" w:sz="2" w:space="0" w:color="231F20"/>
            </w:tcBorders>
            <w:vAlign w:val="center"/>
          </w:tcPr>
          <w:p w14:paraId="6F74F814" w14:textId="77777777" w:rsidR="00FB2798" w:rsidRPr="00A23800" w:rsidRDefault="00FB2798" w:rsidP="00D63204">
            <w:pPr>
              <w:widowControl w:val="0"/>
              <w:spacing w:before="174" w:after="0" w:line="240" w:lineRule="auto"/>
              <w:ind w:right="75"/>
              <w:rPr>
                <w:rFonts w:ascii="Calibri" w:hAnsi="Calibri" w:cs="Calibri"/>
              </w:rPr>
            </w:pPr>
            <w:r>
              <w:rPr>
                <w:rFonts w:cstheme="minorHAnsi"/>
                <w:color w:val="231F20"/>
                <w:spacing w:val="-4"/>
                <w:sz w:val="20"/>
              </w:rPr>
              <w:t>37.9%</w:t>
            </w:r>
          </w:p>
        </w:tc>
        <w:tc>
          <w:tcPr>
            <w:tcW w:w="1987" w:type="dxa"/>
            <w:tcBorders>
              <w:top w:val="single" w:sz="2" w:space="0" w:color="231F20"/>
              <w:left w:val="single" w:sz="2" w:space="0" w:color="231F20"/>
              <w:bottom w:val="single" w:sz="2" w:space="0" w:color="231F20"/>
              <w:right w:val="single" w:sz="2" w:space="0" w:color="231F20"/>
            </w:tcBorders>
            <w:vAlign w:val="center"/>
          </w:tcPr>
          <w:p w14:paraId="755DF90B" w14:textId="77777777" w:rsidR="00FB2798" w:rsidRPr="00A23800" w:rsidRDefault="00FB2798" w:rsidP="00D63204">
            <w:pPr>
              <w:widowControl w:val="0"/>
              <w:spacing w:before="174" w:after="0" w:line="240" w:lineRule="auto"/>
              <w:rPr>
                <w:rFonts w:ascii="Calibri" w:hAnsi="Calibri" w:cs="Calibri"/>
              </w:rPr>
            </w:pPr>
            <w:r>
              <w:rPr>
                <w:rFonts w:cstheme="minorHAnsi"/>
                <w:color w:val="231F20"/>
                <w:spacing w:val="-4"/>
                <w:sz w:val="20"/>
              </w:rPr>
              <w:t>40.8</w:t>
            </w:r>
            <w:r w:rsidRPr="00E06806">
              <w:rPr>
                <w:rFonts w:cstheme="minorHAnsi"/>
                <w:color w:val="231F20"/>
                <w:spacing w:val="-4"/>
                <w:sz w:val="20"/>
              </w:rPr>
              <w:t>%</w:t>
            </w:r>
          </w:p>
        </w:tc>
      </w:tr>
      <w:tr w:rsidR="00FB2798" w:rsidRPr="00A23800" w14:paraId="4202DAA8" w14:textId="77777777" w:rsidTr="007F1453">
        <w:trPr>
          <w:trHeight w:hRule="exact" w:val="598"/>
        </w:trPr>
        <w:tc>
          <w:tcPr>
            <w:tcW w:w="5829" w:type="dxa"/>
            <w:tcBorders>
              <w:top w:val="single" w:sz="2" w:space="0" w:color="231F20"/>
              <w:left w:val="single" w:sz="2" w:space="0" w:color="231F20"/>
              <w:bottom w:val="single" w:sz="2" w:space="0" w:color="231F20"/>
              <w:right w:val="single" w:sz="2" w:space="0" w:color="231F20"/>
            </w:tcBorders>
            <w:shd w:val="clear" w:color="auto" w:fill="E6E7E8"/>
            <w:vAlign w:val="center"/>
          </w:tcPr>
          <w:p w14:paraId="3253E169" w14:textId="77777777" w:rsidR="00921CFB" w:rsidRDefault="00FB2798" w:rsidP="007F1453">
            <w:pPr>
              <w:widowControl w:val="0"/>
              <w:spacing w:before="40" w:after="0" w:line="240" w:lineRule="auto"/>
              <w:ind w:left="77" w:right="157"/>
              <w:rPr>
                <w:rFonts w:cstheme="minorHAnsi"/>
                <w:color w:val="231F20"/>
                <w:sz w:val="20"/>
              </w:rPr>
            </w:pPr>
            <w:r w:rsidRPr="00E06806">
              <w:rPr>
                <w:rFonts w:cstheme="minorHAnsi"/>
                <w:b/>
                <w:color w:val="231F20"/>
                <w:w w:val="105"/>
                <w:sz w:val="20"/>
              </w:rPr>
              <w:t>Indicator 1.3</w:t>
            </w:r>
            <w:r w:rsidRPr="00E06806">
              <w:rPr>
                <w:rFonts w:cstheme="minorHAnsi"/>
                <w:color w:val="231F20"/>
                <w:w w:val="105"/>
                <w:sz w:val="20"/>
              </w:rPr>
              <w:t>: Competitive Employment Outcome</w:t>
            </w:r>
            <w:r w:rsidRPr="00E06806">
              <w:rPr>
                <w:rFonts w:cstheme="minorHAnsi"/>
                <w:color w:val="231F20"/>
                <w:spacing w:val="7"/>
                <w:w w:val="105"/>
                <w:sz w:val="20"/>
              </w:rPr>
              <w:t xml:space="preserve"> </w:t>
            </w:r>
            <w:r w:rsidRPr="00E06806">
              <w:rPr>
                <w:rFonts w:cstheme="minorHAnsi"/>
                <w:color w:val="231F20"/>
                <w:w w:val="105"/>
                <w:sz w:val="20"/>
              </w:rPr>
              <w:t>(Primary)</w:t>
            </w:r>
            <w:r w:rsidRPr="00E06806">
              <w:rPr>
                <w:rFonts w:cstheme="minorHAnsi"/>
                <w:color w:val="231F20"/>
                <w:sz w:val="20"/>
              </w:rPr>
              <w:t xml:space="preserve"> </w:t>
            </w:r>
          </w:p>
          <w:p w14:paraId="6AE7826D" w14:textId="1D286914" w:rsidR="00FB2798" w:rsidRPr="00A23800" w:rsidRDefault="00FB2798" w:rsidP="007F1453">
            <w:pPr>
              <w:widowControl w:val="0"/>
              <w:spacing w:before="40" w:after="0" w:line="240" w:lineRule="auto"/>
              <w:ind w:left="77" w:right="157"/>
              <w:rPr>
                <w:rFonts w:ascii="Calibri" w:hAnsi="Calibri" w:cs="Calibri"/>
              </w:rPr>
            </w:pPr>
            <w:r w:rsidRPr="00E06806">
              <w:rPr>
                <w:rFonts w:cstheme="minorHAnsi"/>
                <w:color w:val="231F20"/>
                <w:w w:val="105"/>
                <w:sz w:val="20"/>
              </w:rPr>
              <w:t xml:space="preserve">(RSA </w:t>
            </w:r>
            <w:r w:rsidRPr="00E06806">
              <w:rPr>
                <w:rFonts w:cstheme="minorHAnsi"/>
                <w:color w:val="231F20"/>
                <w:spacing w:val="-3"/>
                <w:w w:val="105"/>
                <w:sz w:val="20"/>
              </w:rPr>
              <w:t>Target:</w:t>
            </w:r>
            <w:r w:rsidRPr="00E06806">
              <w:rPr>
                <w:rFonts w:cstheme="minorHAnsi"/>
                <w:color w:val="231F20"/>
                <w:spacing w:val="30"/>
                <w:w w:val="105"/>
                <w:sz w:val="20"/>
              </w:rPr>
              <w:t xml:space="preserve"> </w:t>
            </w:r>
            <w:r w:rsidRPr="00E06806">
              <w:rPr>
                <w:rFonts w:cstheme="minorHAnsi"/>
                <w:color w:val="231F20"/>
                <w:w w:val="105"/>
                <w:sz w:val="20"/>
              </w:rPr>
              <w:t>72.6%)</w:t>
            </w:r>
          </w:p>
        </w:tc>
        <w:tc>
          <w:tcPr>
            <w:tcW w:w="2349" w:type="dxa"/>
            <w:tcBorders>
              <w:top w:val="single" w:sz="2" w:space="0" w:color="231F20"/>
              <w:left w:val="single" w:sz="2" w:space="0" w:color="231F20"/>
              <w:bottom w:val="single" w:sz="2" w:space="0" w:color="231F20"/>
              <w:right w:val="single" w:sz="2" w:space="0" w:color="231F20"/>
            </w:tcBorders>
            <w:shd w:val="clear" w:color="auto" w:fill="E6E7E8"/>
            <w:vAlign w:val="center"/>
          </w:tcPr>
          <w:p w14:paraId="4E838862" w14:textId="77777777" w:rsidR="00FB2798" w:rsidRPr="00A23800" w:rsidRDefault="00FB2798" w:rsidP="00D63204">
            <w:pPr>
              <w:widowControl w:val="0"/>
              <w:spacing w:before="174" w:after="0" w:line="240" w:lineRule="auto"/>
              <w:ind w:right="75"/>
              <w:rPr>
                <w:rFonts w:ascii="Calibri" w:hAnsi="Calibri" w:cs="Calibri"/>
              </w:rPr>
            </w:pPr>
            <w:r>
              <w:rPr>
                <w:rFonts w:cstheme="minorHAnsi"/>
                <w:color w:val="231F20"/>
                <w:w w:val="110"/>
                <w:sz w:val="20"/>
              </w:rPr>
              <w:t>96.94%</w:t>
            </w:r>
          </w:p>
        </w:tc>
        <w:tc>
          <w:tcPr>
            <w:tcW w:w="1987" w:type="dxa"/>
            <w:tcBorders>
              <w:top w:val="single" w:sz="2" w:space="0" w:color="231F20"/>
              <w:left w:val="single" w:sz="2" w:space="0" w:color="231F20"/>
              <w:bottom w:val="single" w:sz="2" w:space="0" w:color="231F20"/>
              <w:right w:val="single" w:sz="2" w:space="0" w:color="231F20"/>
            </w:tcBorders>
            <w:shd w:val="clear" w:color="auto" w:fill="E6E7E8"/>
            <w:vAlign w:val="center"/>
          </w:tcPr>
          <w:p w14:paraId="2713E9F3" w14:textId="77777777" w:rsidR="00FB2798" w:rsidRPr="00A23800" w:rsidRDefault="00FB2798" w:rsidP="00D63204">
            <w:pPr>
              <w:widowControl w:val="0"/>
              <w:spacing w:before="174" w:after="0" w:line="240" w:lineRule="auto"/>
              <w:rPr>
                <w:rFonts w:ascii="Calibri" w:hAnsi="Calibri" w:cs="Calibri"/>
              </w:rPr>
            </w:pPr>
            <w:r w:rsidRPr="00E06806">
              <w:rPr>
                <w:rFonts w:cstheme="minorHAnsi"/>
                <w:color w:val="231F20"/>
                <w:w w:val="110"/>
                <w:sz w:val="20"/>
              </w:rPr>
              <w:t>9</w:t>
            </w:r>
            <w:r>
              <w:rPr>
                <w:rFonts w:cstheme="minorHAnsi"/>
                <w:color w:val="231F20"/>
                <w:w w:val="110"/>
                <w:sz w:val="20"/>
              </w:rPr>
              <w:t>7.7</w:t>
            </w:r>
            <w:r w:rsidRPr="00E06806">
              <w:rPr>
                <w:rFonts w:cstheme="minorHAnsi"/>
                <w:color w:val="231F20"/>
                <w:w w:val="110"/>
                <w:sz w:val="20"/>
              </w:rPr>
              <w:t>%</w:t>
            </w:r>
          </w:p>
        </w:tc>
      </w:tr>
      <w:tr w:rsidR="00FB2798" w:rsidRPr="00A23800" w14:paraId="33FD6AFA" w14:textId="77777777" w:rsidTr="007F1453">
        <w:trPr>
          <w:trHeight w:hRule="exact" w:val="598"/>
        </w:trPr>
        <w:tc>
          <w:tcPr>
            <w:tcW w:w="5829" w:type="dxa"/>
            <w:tcBorders>
              <w:top w:val="single" w:sz="2" w:space="0" w:color="231F20"/>
              <w:left w:val="single" w:sz="2" w:space="0" w:color="231F20"/>
              <w:bottom w:val="single" w:sz="2" w:space="0" w:color="231F20"/>
              <w:right w:val="single" w:sz="2" w:space="0" w:color="231F20"/>
            </w:tcBorders>
            <w:vAlign w:val="center"/>
          </w:tcPr>
          <w:p w14:paraId="7654DA73" w14:textId="77777777" w:rsidR="00921CFB" w:rsidRDefault="00FB2798" w:rsidP="007F1453">
            <w:pPr>
              <w:widowControl w:val="0"/>
              <w:spacing w:before="40" w:after="0" w:line="240" w:lineRule="auto"/>
              <w:ind w:left="77" w:right="668"/>
              <w:rPr>
                <w:rFonts w:cstheme="minorHAnsi"/>
                <w:color w:val="231F20"/>
                <w:sz w:val="20"/>
              </w:rPr>
            </w:pPr>
            <w:r w:rsidRPr="00E06806">
              <w:rPr>
                <w:rFonts w:cstheme="minorHAnsi"/>
                <w:b/>
                <w:color w:val="231F20"/>
                <w:w w:val="105"/>
                <w:sz w:val="20"/>
              </w:rPr>
              <w:t>Indicator 1.4</w:t>
            </w:r>
            <w:r w:rsidRPr="00E06806">
              <w:rPr>
                <w:rFonts w:cstheme="minorHAnsi"/>
                <w:color w:val="231F20"/>
                <w:w w:val="105"/>
                <w:sz w:val="20"/>
              </w:rPr>
              <w:t>: Significance of Disability</w:t>
            </w:r>
            <w:r w:rsidRPr="00E06806">
              <w:rPr>
                <w:rFonts w:cstheme="minorHAnsi"/>
                <w:color w:val="231F20"/>
                <w:spacing w:val="32"/>
                <w:w w:val="105"/>
                <w:sz w:val="20"/>
              </w:rPr>
              <w:t xml:space="preserve"> </w:t>
            </w:r>
            <w:r w:rsidRPr="00E06806">
              <w:rPr>
                <w:rFonts w:cstheme="minorHAnsi"/>
                <w:color w:val="231F20"/>
                <w:w w:val="105"/>
                <w:sz w:val="20"/>
              </w:rPr>
              <w:t>(Primary)</w:t>
            </w:r>
            <w:r w:rsidRPr="00E06806">
              <w:rPr>
                <w:rFonts w:cstheme="minorHAnsi"/>
                <w:color w:val="231F20"/>
                <w:sz w:val="20"/>
              </w:rPr>
              <w:t xml:space="preserve"> </w:t>
            </w:r>
          </w:p>
          <w:p w14:paraId="028B2E89" w14:textId="756D1F40" w:rsidR="00FB2798" w:rsidRPr="00A23800" w:rsidRDefault="00FB2798" w:rsidP="007F1453">
            <w:pPr>
              <w:widowControl w:val="0"/>
              <w:spacing w:before="40" w:after="0" w:line="240" w:lineRule="auto"/>
              <w:ind w:left="77" w:right="668"/>
              <w:rPr>
                <w:rFonts w:ascii="Calibri" w:hAnsi="Calibri" w:cs="Calibri"/>
              </w:rPr>
            </w:pPr>
            <w:r w:rsidRPr="00E06806">
              <w:rPr>
                <w:rFonts w:cstheme="minorHAnsi"/>
                <w:color w:val="231F20"/>
                <w:w w:val="105"/>
                <w:sz w:val="20"/>
              </w:rPr>
              <w:t xml:space="preserve">(RSA </w:t>
            </w:r>
            <w:r w:rsidRPr="00E06806">
              <w:rPr>
                <w:rFonts w:cstheme="minorHAnsi"/>
                <w:color w:val="231F20"/>
                <w:spacing w:val="-3"/>
                <w:w w:val="105"/>
                <w:sz w:val="20"/>
              </w:rPr>
              <w:t xml:space="preserve">Target: </w:t>
            </w:r>
            <w:r w:rsidRPr="00E06806">
              <w:rPr>
                <w:rFonts w:cstheme="minorHAnsi"/>
                <w:color w:val="231F20"/>
                <w:spacing w:val="1"/>
                <w:w w:val="105"/>
                <w:sz w:val="20"/>
              </w:rPr>
              <w:t xml:space="preserve"> </w:t>
            </w:r>
            <w:r w:rsidRPr="00E06806">
              <w:rPr>
                <w:rFonts w:cstheme="minorHAnsi"/>
                <w:color w:val="231F20"/>
                <w:w w:val="105"/>
                <w:sz w:val="20"/>
              </w:rPr>
              <w:t>62.4%)</w:t>
            </w:r>
          </w:p>
        </w:tc>
        <w:tc>
          <w:tcPr>
            <w:tcW w:w="2349" w:type="dxa"/>
            <w:tcBorders>
              <w:top w:val="single" w:sz="2" w:space="0" w:color="231F20"/>
              <w:left w:val="single" w:sz="2" w:space="0" w:color="231F20"/>
              <w:bottom w:val="single" w:sz="2" w:space="0" w:color="231F20"/>
              <w:right w:val="single" w:sz="2" w:space="0" w:color="231F20"/>
            </w:tcBorders>
            <w:vAlign w:val="center"/>
          </w:tcPr>
          <w:p w14:paraId="3084E688" w14:textId="77777777" w:rsidR="00FB2798" w:rsidRPr="00A23800" w:rsidRDefault="00FB2798" w:rsidP="00D63204">
            <w:pPr>
              <w:widowControl w:val="0"/>
              <w:spacing w:before="174" w:after="0" w:line="240" w:lineRule="auto"/>
              <w:ind w:right="75"/>
              <w:rPr>
                <w:rFonts w:ascii="Calibri" w:hAnsi="Calibri" w:cs="Calibri"/>
              </w:rPr>
            </w:pPr>
            <w:r>
              <w:rPr>
                <w:rFonts w:cstheme="minorHAnsi"/>
                <w:color w:val="231F20"/>
                <w:spacing w:val="-5"/>
                <w:sz w:val="20"/>
              </w:rPr>
              <w:t>92.56%</w:t>
            </w:r>
          </w:p>
        </w:tc>
        <w:tc>
          <w:tcPr>
            <w:tcW w:w="1987" w:type="dxa"/>
            <w:tcBorders>
              <w:top w:val="single" w:sz="2" w:space="0" w:color="231F20"/>
              <w:left w:val="single" w:sz="2" w:space="0" w:color="231F20"/>
              <w:bottom w:val="single" w:sz="2" w:space="0" w:color="231F20"/>
              <w:right w:val="single" w:sz="2" w:space="0" w:color="231F20"/>
            </w:tcBorders>
            <w:vAlign w:val="center"/>
          </w:tcPr>
          <w:p w14:paraId="758CC20D" w14:textId="77777777" w:rsidR="00FB2798" w:rsidRPr="00A23800" w:rsidRDefault="00FB2798" w:rsidP="00D63204">
            <w:pPr>
              <w:widowControl w:val="0"/>
              <w:spacing w:before="174" w:after="0" w:line="240" w:lineRule="auto"/>
              <w:rPr>
                <w:rFonts w:ascii="Calibri" w:hAnsi="Calibri" w:cs="Calibri"/>
              </w:rPr>
            </w:pPr>
            <w:r w:rsidRPr="00E06806">
              <w:rPr>
                <w:rFonts w:cstheme="minorHAnsi"/>
                <w:color w:val="231F20"/>
                <w:spacing w:val="-5"/>
                <w:sz w:val="20"/>
              </w:rPr>
              <w:t>99.</w:t>
            </w:r>
            <w:r>
              <w:rPr>
                <w:rFonts w:cstheme="minorHAnsi"/>
                <w:color w:val="231F20"/>
                <w:spacing w:val="-5"/>
                <w:sz w:val="20"/>
              </w:rPr>
              <w:t>5</w:t>
            </w:r>
            <w:r w:rsidRPr="00E06806">
              <w:rPr>
                <w:rFonts w:cstheme="minorHAnsi"/>
                <w:color w:val="231F20"/>
                <w:spacing w:val="-5"/>
                <w:sz w:val="20"/>
              </w:rPr>
              <w:t>%</w:t>
            </w:r>
          </w:p>
        </w:tc>
      </w:tr>
      <w:tr w:rsidR="00FB2798" w:rsidRPr="00A23800" w14:paraId="2C2407DF" w14:textId="77777777" w:rsidTr="007F1453">
        <w:trPr>
          <w:trHeight w:hRule="exact" w:val="590"/>
        </w:trPr>
        <w:tc>
          <w:tcPr>
            <w:tcW w:w="5829" w:type="dxa"/>
            <w:tcBorders>
              <w:top w:val="single" w:sz="2" w:space="0" w:color="231F20"/>
              <w:left w:val="single" w:sz="2" w:space="0" w:color="231F20"/>
              <w:bottom w:val="single" w:sz="2" w:space="0" w:color="231F20"/>
              <w:right w:val="single" w:sz="2" w:space="0" w:color="231F20"/>
            </w:tcBorders>
            <w:shd w:val="clear" w:color="auto" w:fill="E6E7E8"/>
            <w:vAlign w:val="center"/>
          </w:tcPr>
          <w:p w14:paraId="3FEE2C24" w14:textId="7223C6CD" w:rsidR="00921CFB" w:rsidRDefault="00FB2798" w:rsidP="007F1453">
            <w:pPr>
              <w:widowControl w:val="0"/>
              <w:spacing w:after="0" w:line="240" w:lineRule="auto"/>
              <w:ind w:left="77"/>
              <w:rPr>
                <w:rFonts w:cstheme="minorHAnsi"/>
                <w:color w:val="231F20"/>
                <w:spacing w:val="-26"/>
                <w:w w:val="110"/>
                <w:sz w:val="20"/>
              </w:rPr>
            </w:pPr>
            <w:r w:rsidRPr="00E06806">
              <w:rPr>
                <w:rFonts w:cstheme="minorHAnsi"/>
                <w:b/>
                <w:color w:val="231F20"/>
                <w:w w:val="110"/>
                <w:sz w:val="20"/>
              </w:rPr>
              <w:t>Indicator</w:t>
            </w:r>
            <w:r w:rsidRPr="00E06806">
              <w:rPr>
                <w:rFonts w:cstheme="minorHAnsi"/>
                <w:b/>
                <w:color w:val="231F20"/>
                <w:spacing w:val="-26"/>
                <w:w w:val="110"/>
                <w:sz w:val="20"/>
              </w:rPr>
              <w:t xml:space="preserve"> </w:t>
            </w:r>
            <w:r w:rsidRPr="00E06806">
              <w:rPr>
                <w:rFonts w:cstheme="minorHAnsi"/>
                <w:b/>
                <w:color w:val="231F20"/>
                <w:w w:val="110"/>
                <w:sz w:val="20"/>
              </w:rPr>
              <w:t>1.5</w:t>
            </w:r>
            <w:r w:rsidRPr="00E06806">
              <w:rPr>
                <w:rFonts w:cstheme="minorHAnsi"/>
                <w:color w:val="231F20"/>
                <w:w w:val="110"/>
                <w:sz w:val="20"/>
              </w:rPr>
              <w:t>:</w:t>
            </w:r>
            <w:r w:rsidRPr="00E06806">
              <w:rPr>
                <w:rFonts w:cstheme="minorHAnsi"/>
                <w:color w:val="231F20"/>
                <w:spacing w:val="-26"/>
                <w:w w:val="110"/>
                <w:sz w:val="20"/>
              </w:rPr>
              <w:t xml:space="preserve"> </w:t>
            </w:r>
            <w:r w:rsidRPr="00E06806">
              <w:rPr>
                <w:rFonts w:cstheme="minorHAnsi"/>
                <w:color w:val="231F20"/>
                <w:w w:val="110"/>
                <w:sz w:val="20"/>
              </w:rPr>
              <w:t>Earnings</w:t>
            </w:r>
            <w:r w:rsidRPr="00E06806">
              <w:rPr>
                <w:rFonts w:cstheme="minorHAnsi"/>
                <w:color w:val="231F20"/>
                <w:spacing w:val="-26"/>
                <w:w w:val="110"/>
                <w:sz w:val="20"/>
              </w:rPr>
              <w:t xml:space="preserve"> </w:t>
            </w:r>
            <w:r w:rsidRPr="00E06806">
              <w:rPr>
                <w:rFonts w:cstheme="minorHAnsi"/>
                <w:color w:val="231F20"/>
                <w:w w:val="110"/>
                <w:sz w:val="20"/>
              </w:rPr>
              <w:t>Ratio</w:t>
            </w:r>
            <w:r w:rsidRPr="00E06806">
              <w:rPr>
                <w:rFonts w:cstheme="minorHAnsi"/>
                <w:color w:val="231F20"/>
                <w:spacing w:val="-26"/>
                <w:w w:val="110"/>
                <w:sz w:val="20"/>
              </w:rPr>
              <w:t xml:space="preserve"> </w:t>
            </w:r>
            <w:r w:rsidRPr="00E06806">
              <w:rPr>
                <w:rFonts w:cstheme="minorHAnsi"/>
                <w:color w:val="231F20"/>
                <w:w w:val="110"/>
                <w:sz w:val="20"/>
              </w:rPr>
              <w:t>(Primary)</w:t>
            </w:r>
          </w:p>
          <w:p w14:paraId="1BFDD536" w14:textId="5A606ACD" w:rsidR="00FB2798" w:rsidRPr="00A23800" w:rsidRDefault="00FB2798" w:rsidP="007F1453">
            <w:pPr>
              <w:widowControl w:val="0"/>
              <w:spacing w:after="0" w:line="240" w:lineRule="auto"/>
              <w:ind w:left="77"/>
              <w:rPr>
                <w:rFonts w:ascii="Calibri" w:hAnsi="Calibri" w:cs="Calibri"/>
              </w:rPr>
            </w:pPr>
            <w:r w:rsidRPr="00E06806">
              <w:rPr>
                <w:rFonts w:cstheme="minorHAnsi"/>
                <w:color w:val="231F20"/>
                <w:w w:val="110"/>
                <w:sz w:val="20"/>
              </w:rPr>
              <w:t>(RSA</w:t>
            </w:r>
            <w:r w:rsidRPr="00E06806">
              <w:rPr>
                <w:rFonts w:cstheme="minorHAnsi"/>
                <w:color w:val="231F20"/>
                <w:spacing w:val="-26"/>
                <w:w w:val="110"/>
                <w:sz w:val="20"/>
              </w:rPr>
              <w:t xml:space="preserve"> </w:t>
            </w:r>
            <w:r w:rsidRPr="00E06806">
              <w:rPr>
                <w:rFonts w:cstheme="minorHAnsi"/>
                <w:color w:val="231F20"/>
                <w:spacing w:val="-3"/>
                <w:w w:val="110"/>
                <w:sz w:val="20"/>
              </w:rPr>
              <w:t>Target:</w:t>
            </w:r>
            <w:r w:rsidRPr="00E06806">
              <w:rPr>
                <w:rFonts w:cstheme="minorHAnsi"/>
                <w:color w:val="231F20"/>
                <w:spacing w:val="-26"/>
                <w:w w:val="110"/>
                <w:sz w:val="20"/>
              </w:rPr>
              <w:t xml:space="preserve"> </w:t>
            </w:r>
            <w:r w:rsidRPr="00E06806">
              <w:rPr>
                <w:rFonts w:cstheme="minorHAnsi"/>
                <w:color w:val="231F20"/>
                <w:w w:val="110"/>
                <w:sz w:val="20"/>
              </w:rPr>
              <w:t>52%)</w:t>
            </w:r>
          </w:p>
        </w:tc>
        <w:tc>
          <w:tcPr>
            <w:tcW w:w="2349" w:type="dxa"/>
            <w:tcBorders>
              <w:top w:val="single" w:sz="2" w:space="0" w:color="231F20"/>
              <w:left w:val="single" w:sz="2" w:space="0" w:color="231F20"/>
              <w:bottom w:val="single" w:sz="2" w:space="0" w:color="231F20"/>
              <w:right w:val="single" w:sz="2" w:space="0" w:color="231F20"/>
            </w:tcBorders>
            <w:shd w:val="clear" w:color="auto" w:fill="E6E7E8"/>
            <w:vAlign w:val="center"/>
          </w:tcPr>
          <w:p w14:paraId="73E92AAB" w14:textId="77777777" w:rsidR="00FB2798" w:rsidRPr="00A23800" w:rsidRDefault="00FB2798" w:rsidP="00D63204">
            <w:pPr>
              <w:widowControl w:val="0"/>
              <w:spacing w:before="159" w:after="0" w:line="240" w:lineRule="auto"/>
              <w:ind w:right="75"/>
              <w:rPr>
                <w:rFonts w:ascii="Calibri" w:hAnsi="Calibri" w:cs="Calibri"/>
              </w:rPr>
            </w:pPr>
            <w:r>
              <w:rPr>
                <w:rFonts w:cstheme="minorHAnsi"/>
                <w:color w:val="231F20"/>
                <w:w w:val="105"/>
                <w:sz w:val="20"/>
              </w:rPr>
              <w:t>55%</w:t>
            </w:r>
          </w:p>
        </w:tc>
        <w:tc>
          <w:tcPr>
            <w:tcW w:w="1987" w:type="dxa"/>
            <w:tcBorders>
              <w:top w:val="single" w:sz="2" w:space="0" w:color="231F20"/>
              <w:left w:val="single" w:sz="2" w:space="0" w:color="231F20"/>
              <w:bottom w:val="single" w:sz="2" w:space="0" w:color="231F20"/>
              <w:right w:val="single" w:sz="2" w:space="0" w:color="231F20"/>
            </w:tcBorders>
            <w:shd w:val="clear" w:color="auto" w:fill="E6E7E8"/>
            <w:vAlign w:val="center"/>
          </w:tcPr>
          <w:p w14:paraId="5316C8D9" w14:textId="77777777" w:rsidR="00FB2798" w:rsidRPr="00A23800" w:rsidRDefault="00FB2798" w:rsidP="00D63204">
            <w:pPr>
              <w:widowControl w:val="0"/>
              <w:spacing w:before="159" w:after="0" w:line="240" w:lineRule="auto"/>
              <w:rPr>
                <w:rFonts w:ascii="Calibri" w:hAnsi="Calibri" w:cs="Calibri"/>
              </w:rPr>
            </w:pPr>
            <w:r w:rsidRPr="00E06806">
              <w:rPr>
                <w:rFonts w:cstheme="minorHAnsi"/>
                <w:color w:val="231F20"/>
                <w:w w:val="105"/>
                <w:sz w:val="20"/>
              </w:rPr>
              <w:t>5</w:t>
            </w:r>
            <w:r>
              <w:rPr>
                <w:rFonts w:cstheme="minorHAnsi"/>
                <w:color w:val="231F20"/>
                <w:w w:val="105"/>
                <w:sz w:val="20"/>
              </w:rPr>
              <w:t>3</w:t>
            </w:r>
            <w:r w:rsidRPr="00E06806">
              <w:rPr>
                <w:rFonts w:cstheme="minorHAnsi"/>
                <w:color w:val="231F20"/>
                <w:w w:val="105"/>
                <w:sz w:val="20"/>
              </w:rPr>
              <w:t>%</w:t>
            </w:r>
          </w:p>
        </w:tc>
      </w:tr>
      <w:tr w:rsidR="00FB2798" w:rsidRPr="00A23800" w14:paraId="5DFD4AE5" w14:textId="77777777" w:rsidTr="007F1453">
        <w:trPr>
          <w:trHeight w:hRule="exact" w:val="563"/>
        </w:trPr>
        <w:tc>
          <w:tcPr>
            <w:tcW w:w="5829" w:type="dxa"/>
            <w:tcBorders>
              <w:top w:val="single" w:sz="2" w:space="0" w:color="231F20"/>
              <w:left w:val="single" w:sz="2" w:space="0" w:color="231F20"/>
              <w:bottom w:val="single" w:sz="2" w:space="0" w:color="231F20"/>
              <w:right w:val="single" w:sz="2" w:space="0" w:color="231F20"/>
            </w:tcBorders>
            <w:vAlign w:val="center"/>
          </w:tcPr>
          <w:p w14:paraId="2A6884E9" w14:textId="77777777" w:rsidR="00921CFB" w:rsidRDefault="00FB2798" w:rsidP="007F1453">
            <w:pPr>
              <w:widowControl w:val="0"/>
              <w:spacing w:before="42" w:after="0" w:line="240" w:lineRule="auto"/>
              <w:ind w:left="77"/>
              <w:rPr>
                <w:rFonts w:cstheme="minorHAnsi"/>
                <w:color w:val="231F20"/>
                <w:w w:val="105"/>
                <w:sz w:val="20"/>
              </w:rPr>
            </w:pPr>
            <w:r w:rsidRPr="00E06806">
              <w:rPr>
                <w:rFonts w:cstheme="minorHAnsi"/>
                <w:b/>
                <w:color w:val="231F20"/>
                <w:w w:val="105"/>
                <w:sz w:val="20"/>
              </w:rPr>
              <w:t>Indicator 1.6</w:t>
            </w:r>
            <w:r w:rsidRPr="00E06806">
              <w:rPr>
                <w:rFonts w:cstheme="minorHAnsi"/>
                <w:color w:val="231F20"/>
                <w:w w:val="105"/>
                <w:sz w:val="20"/>
              </w:rPr>
              <w:t xml:space="preserve">: Self-Support </w:t>
            </w:r>
          </w:p>
          <w:p w14:paraId="7D4EC415" w14:textId="677FBC52" w:rsidR="00FB2798" w:rsidRPr="00A23800" w:rsidRDefault="00FB2798" w:rsidP="007F1453">
            <w:pPr>
              <w:widowControl w:val="0"/>
              <w:spacing w:before="42" w:after="0" w:line="240" w:lineRule="auto"/>
              <w:ind w:left="77"/>
              <w:rPr>
                <w:rFonts w:ascii="Calibri" w:hAnsi="Calibri" w:cs="Calibri"/>
              </w:rPr>
            </w:pPr>
            <w:r w:rsidRPr="00E06806">
              <w:rPr>
                <w:rFonts w:cstheme="minorHAnsi"/>
                <w:color w:val="231F20"/>
                <w:w w:val="105"/>
                <w:sz w:val="20"/>
              </w:rPr>
              <w:t xml:space="preserve">(RSA </w:t>
            </w:r>
            <w:r w:rsidRPr="00E06806">
              <w:rPr>
                <w:rFonts w:cstheme="minorHAnsi"/>
                <w:color w:val="231F20"/>
                <w:spacing w:val="-3"/>
                <w:w w:val="105"/>
                <w:sz w:val="20"/>
              </w:rPr>
              <w:t xml:space="preserve">Target: </w:t>
            </w:r>
            <w:r w:rsidRPr="00E06806">
              <w:rPr>
                <w:rFonts w:cstheme="minorHAnsi"/>
                <w:color w:val="231F20"/>
                <w:spacing w:val="23"/>
                <w:w w:val="105"/>
                <w:sz w:val="20"/>
              </w:rPr>
              <w:t xml:space="preserve"> </w:t>
            </w:r>
            <w:r w:rsidRPr="00E06806">
              <w:rPr>
                <w:rFonts w:cstheme="minorHAnsi"/>
                <w:color w:val="231F20"/>
                <w:w w:val="105"/>
                <w:sz w:val="20"/>
              </w:rPr>
              <w:t>53%)</w:t>
            </w:r>
          </w:p>
        </w:tc>
        <w:tc>
          <w:tcPr>
            <w:tcW w:w="2349" w:type="dxa"/>
            <w:tcBorders>
              <w:top w:val="single" w:sz="2" w:space="0" w:color="231F20"/>
              <w:left w:val="single" w:sz="2" w:space="0" w:color="231F20"/>
              <w:bottom w:val="single" w:sz="2" w:space="0" w:color="231F20"/>
              <w:right w:val="single" w:sz="2" w:space="0" w:color="231F20"/>
            </w:tcBorders>
            <w:vAlign w:val="center"/>
          </w:tcPr>
          <w:p w14:paraId="51C5642C" w14:textId="77777777" w:rsidR="00FB2798" w:rsidRPr="00A23800" w:rsidRDefault="00FB2798" w:rsidP="00D63204">
            <w:pPr>
              <w:widowControl w:val="0"/>
              <w:spacing w:before="42" w:after="0" w:line="240" w:lineRule="auto"/>
              <w:ind w:right="75"/>
              <w:rPr>
                <w:rFonts w:ascii="Calibri" w:hAnsi="Calibri" w:cs="Calibri"/>
              </w:rPr>
            </w:pPr>
            <w:r>
              <w:rPr>
                <w:rFonts w:cstheme="minorHAnsi"/>
                <w:color w:val="231F20"/>
                <w:w w:val="105"/>
                <w:sz w:val="20"/>
              </w:rPr>
              <w:t>54.53%</w:t>
            </w:r>
          </w:p>
        </w:tc>
        <w:tc>
          <w:tcPr>
            <w:tcW w:w="1987" w:type="dxa"/>
            <w:tcBorders>
              <w:top w:val="single" w:sz="2" w:space="0" w:color="231F20"/>
              <w:left w:val="single" w:sz="2" w:space="0" w:color="231F20"/>
              <w:bottom w:val="single" w:sz="2" w:space="0" w:color="231F20"/>
              <w:right w:val="single" w:sz="2" w:space="0" w:color="231F20"/>
            </w:tcBorders>
            <w:vAlign w:val="center"/>
          </w:tcPr>
          <w:p w14:paraId="1CA0C048" w14:textId="77777777" w:rsidR="00FB2798" w:rsidRPr="00A23800" w:rsidRDefault="00FB2798" w:rsidP="00D63204">
            <w:pPr>
              <w:widowControl w:val="0"/>
              <w:spacing w:before="42" w:after="0" w:line="240" w:lineRule="auto"/>
              <w:rPr>
                <w:rFonts w:ascii="Calibri" w:hAnsi="Calibri" w:cs="Calibri"/>
              </w:rPr>
            </w:pPr>
            <w:r w:rsidRPr="00E06806">
              <w:rPr>
                <w:rFonts w:cstheme="minorHAnsi"/>
                <w:color w:val="231F20"/>
                <w:w w:val="105"/>
                <w:sz w:val="20"/>
              </w:rPr>
              <w:t>6</w:t>
            </w:r>
            <w:r>
              <w:rPr>
                <w:rFonts w:cstheme="minorHAnsi"/>
                <w:color w:val="231F20"/>
                <w:w w:val="105"/>
                <w:sz w:val="20"/>
              </w:rPr>
              <w:t>0</w:t>
            </w:r>
            <w:r w:rsidRPr="00E06806">
              <w:rPr>
                <w:rFonts w:cstheme="minorHAnsi"/>
                <w:color w:val="231F20"/>
                <w:w w:val="105"/>
                <w:sz w:val="20"/>
              </w:rPr>
              <w:t>.</w:t>
            </w:r>
            <w:r>
              <w:rPr>
                <w:rFonts w:cstheme="minorHAnsi"/>
                <w:color w:val="231F20"/>
                <w:w w:val="105"/>
                <w:sz w:val="20"/>
              </w:rPr>
              <w:t>2</w:t>
            </w:r>
            <w:r w:rsidRPr="00E06806">
              <w:rPr>
                <w:rFonts w:cstheme="minorHAnsi"/>
                <w:color w:val="231F20"/>
                <w:w w:val="105"/>
                <w:sz w:val="20"/>
              </w:rPr>
              <w:t>%</w:t>
            </w:r>
          </w:p>
        </w:tc>
      </w:tr>
      <w:tr w:rsidR="00FB2798" w:rsidRPr="00A23800" w14:paraId="6EE41E4A" w14:textId="77777777" w:rsidTr="007F1453">
        <w:trPr>
          <w:trHeight w:hRule="exact" w:val="598"/>
        </w:trPr>
        <w:tc>
          <w:tcPr>
            <w:tcW w:w="5829" w:type="dxa"/>
            <w:tcBorders>
              <w:top w:val="single" w:sz="2" w:space="0" w:color="231F20"/>
              <w:left w:val="single" w:sz="2" w:space="0" w:color="231F20"/>
              <w:bottom w:val="single" w:sz="2" w:space="0" w:color="231F20"/>
              <w:right w:val="single" w:sz="2" w:space="0" w:color="231F20"/>
            </w:tcBorders>
            <w:shd w:val="clear" w:color="auto" w:fill="E6E7E8"/>
            <w:vAlign w:val="center"/>
          </w:tcPr>
          <w:p w14:paraId="592F0AA2" w14:textId="03961132" w:rsidR="00FB2798" w:rsidRPr="00A23800" w:rsidRDefault="00FB2798" w:rsidP="007F1453">
            <w:pPr>
              <w:widowControl w:val="0"/>
              <w:spacing w:before="40" w:after="0" w:line="240" w:lineRule="auto"/>
              <w:ind w:left="77" w:right="554"/>
              <w:rPr>
                <w:rFonts w:ascii="Calibri" w:hAnsi="Calibri" w:cs="Calibri"/>
              </w:rPr>
            </w:pPr>
            <w:r w:rsidRPr="00E06806">
              <w:rPr>
                <w:rFonts w:cstheme="minorHAnsi"/>
                <w:b/>
                <w:color w:val="231F20"/>
                <w:w w:val="105"/>
                <w:sz w:val="20"/>
              </w:rPr>
              <w:t xml:space="preserve">Indicator </w:t>
            </w:r>
            <w:r w:rsidRPr="00E06806">
              <w:rPr>
                <w:rFonts w:cstheme="minorHAnsi"/>
                <w:b/>
                <w:color w:val="231F20"/>
                <w:spacing w:val="-5"/>
                <w:w w:val="105"/>
                <w:sz w:val="20"/>
              </w:rPr>
              <w:t>2.1</w:t>
            </w:r>
            <w:r w:rsidRPr="00E06806">
              <w:rPr>
                <w:rFonts w:cstheme="minorHAnsi"/>
                <w:color w:val="231F20"/>
                <w:spacing w:val="-5"/>
                <w:w w:val="105"/>
                <w:sz w:val="20"/>
              </w:rPr>
              <w:t xml:space="preserve">: </w:t>
            </w:r>
            <w:r w:rsidRPr="00E06806">
              <w:rPr>
                <w:rFonts w:cstheme="minorHAnsi"/>
                <w:color w:val="231F20"/>
                <w:w w:val="105"/>
                <w:sz w:val="20"/>
              </w:rPr>
              <w:t>Ratio of Minority to Non-Minority Service</w:t>
            </w:r>
            <w:r w:rsidRPr="00E06806">
              <w:rPr>
                <w:rFonts w:cstheme="minorHAnsi"/>
                <w:color w:val="231F20"/>
                <w:spacing w:val="-12"/>
                <w:w w:val="105"/>
                <w:sz w:val="20"/>
              </w:rPr>
              <w:t xml:space="preserve"> </w:t>
            </w:r>
            <w:r w:rsidR="00921CFB">
              <w:rPr>
                <w:rFonts w:cstheme="minorHAnsi"/>
                <w:color w:val="231F20"/>
                <w:spacing w:val="-12"/>
                <w:w w:val="105"/>
                <w:sz w:val="20"/>
              </w:rPr>
              <w:t>R</w:t>
            </w:r>
            <w:r w:rsidRPr="00E06806">
              <w:rPr>
                <w:rFonts w:cstheme="minorHAnsi"/>
                <w:color w:val="231F20"/>
                <w:w w:val="105"/>
                <w:sz w:val="20"/>
              </w:rPr>
              <w:t xml:space="preserve">ate (RSA </w:t>
            </w:r>
            <w:r w:rsidRPr="00E06806">
              <w:rPr>
                <w:rFonts w:cstheme="minorHAnsi"/>
                <w:color w:val="231F20"/>
                <w:spacing w:val="-3"/>
                <w:w w:val="105"/>
                <w:sz w:val="20"/>
              </w:rPr>
              <w:t>Target:</w:t>
            </w:r>
            <w:r w:rsidRPr="00E06806">
              <w:rPr>
                <w:rFonts w:cstheme="minorHAnsi"/>
                <w:color w:val="231F20"/>
                <w:spacing w:val="3"/>
                <w:w w:val="105"/>
                <w:sz w:val="20"/>
              </w:rPr>
              <w:t xml:space="preserve"> </w:t>
            </w:r>
            <w:r w:rsidRPr="00E06806">
              <w:rPr>
                <w:rFonts w:cstheme="minorHAnsi"/>
                <w:color w:val="231F20"/>
                <w:w w:val="105"/>
                <w:sz w:val="20"/>
              </w:rPr>
              <w:t>80%)</w:t>
            </w:r>
          </w:p>
        </w:tc>
        <w:tc>
          <w:tcPr>
            <w:tcW w:w="2349" w:type="dxa"/>
            <w:tcBorders>
              <w:top w:val="single" w:sz="2" w:space="0" w:color="231F20"/>
              <w:left w:val="single" w:sz="2" w:space="0" w:color="231F20"/>
              <w:bottom w:val="single" w:sz="2" w:space="0" w:color="231F20"/>
              <w:right w:val="single" w:sz="2" w:space="0" w:color="231F20"/>
            </w:tcBorders>
            <w:shd w:val="clear" w:color="auto" w:fill="E6E7E8"/>
            <w:vAlign w:val="center"/>
          </w:tcPr>
          <w:p w14:paraId="7CB7C1B7" w14:textId="77777777" w:rsidR="00FB2798" w:rsidRPr="00A23800" w:rsidRDefault="00FB2798" w:rsidP="00D63204">
            <w:pPr>
              <w:widowControl w:val="0"/>
              <w:spacing w:before="174" w:after="0" w:line="240" w:lineRule="auto"/>
              <w:ind w:right="75"/>
              <w:rPr>
                <w:rFonts w:ascii="Calibri" w:hAnsi="Calibri" w:cs="Calibri"/>
              </w:rPr>
            </w:pPr>
            <w:r w:rsidRPr="00F86478">
              <w:rPr>
                <w:rFonts w:cstheme="minorHAnsi"/>
                <w:bCs/>
                <w:sz w:val="20"/>
                <w:szCs w:val="16"/>
              </w:rPr>
              <w:t>94</w:t>
            </w:r>
            <w:r>
              <w:rPr>
                <w:rFonts w:cstheme="minorHAnsi"/>
                <w:b/>
                <w:bCs/>
                <w:sz w:val="16"/>
                <w:szCs w:val="16"/>
              </w:rPr>
              <w:t>%</w:t>
            </w:r>
          </w:p>
        </w:tc>
        <w:tc>
          <w:tcPr>
            <w:tcW w:w="1987" w:type="dxa"/>
            <w:tcBorders>
              <w:top w:val="single" w:sz="2" w:space="0" w:color="231F20"/>
              <w:left w:val="single" w:sz="2" w:space="0" w:color="231F20"/>
              <w:bottom w:val="single" w:sz="2" w:space="0" w:color="231F20"/>
              <w:right w:val="single" w:sz="2" w:space="0" w:color="231F20"/>
            </w:tcBorders>
            <w:shd w:val="clear" w:color="auto" w:fill="E6E7E8"/>
            <w:vAlign w:val="center"/>
          </w:tcPr>
          <w:p w14:paraId="0A54B659" w14:textId="77777777" w:rsidR="00FB2798" w:rsidRPr="00A23800" w:rsidRDefault="00FB2798" w:rsidP="00D63204">
            <w:pPr>
              <w:widowControl w:val="0"/>
              <w:spacing w:before="174" w:after="0" w:line="240" w:lineRule="auto"/>
              <w:ind w:right="75"/>
              <w:rPr>
                <w:rFonts w:ascii="Calibri" w:hAnsi="Calibri" w:cs="Calibri"/>
              </w:rPr>
            </w:pPr>
            <w:r w:rsidRPr="00E06806">
              <w:rPr>
                <w:rFonts w:cstheme="minorHAnsi"/>
                <w:color w:val="231F20"/>
                <w:w w:val="110"/>
                <w:sz w:val="20"/>
              </w:rPr>
              <w:t>9</w:t>
            </w:r>
            <w:r>
              <w:rPr>
                <w:rFonts w:cstheme="minorHAnsi"/>
                <w:color w:val="231F20"/>
                <w:w w:val="110"/>
                <w:sz w:val="20"/>
              </w:rPr>
              <w:t>5</w:t>
            </w:r>
            <w:r w:rsidRPr="00E06806">
              <w:rPr>
                <w:rFonts w:cstheme="minorHAnsi"/>
                <w:color w:val="231F20"/>
                <w:w w:val="110"/>
                <w:sz w:val="20"/>
              </w:rPr>
              <w:t>%</w:t>
            </w:r>
          </w:p>
        </w:tc>
      </w:tr>
    </w:tbl>
    <w:p w14:paraId="02A13723" w14:textId="77777777" w:rsidR="007F1453" w:rsidRDefault="007F1453" w:rsidP="00D63204">
      <w:pPr>
        <w:spacing w:after="0" w:line="240" w:lineRule="auto"/>
        <w:ind w:left="90"/>
        <w:rPr>
          <w:rFonts w:ascii="Calibri" w:hAnsi="Calibri"/>
          <w:u w:val="single"/>
        </w:rPr>
      </w:pPr>
    </w:p>
    <w:p w14:paraId="0D88F236" w14:textId="3C0ABA7E" w:rsidR="00F36FD8" w:rsidRPr="00FB2798" w:rsidRDefault="00F36FD8" w:rsidP="00D63204">
      <w:pPr>
        <w:spacing w:after="0" w:line="240" w:lineRule="auto"/>
        <w:ind w:left="90"/>
        <w:rPr>
          <w:rFonts w:ascii="Calibri" w:hAnsi="Calibri"/>
          <w:u w:val="single"/>
        </w:rPr>
      </w:pPr>
      <w:r w:rsidRPr="00FB2798">
        <w:rPr>
          <w:rFonts w:ascii="Calibri" w:hAnsi="Calibri"/>
          <w:u w:val="single"/>
        </w:rPr>
        <w:t>Explanation of Performance:</w:t>
      </w:r>
    </w:p>
    <w:p w14:paraId="59C0B863" w14:textId="5DDB1925" w:rsidR="00F36FD8" w:rsidRPr="00F36FD8" w:rsidRDefault="00F36FD8" w:rsidP="00D63204">
      <w:pPr>
        <w:spacing w:line="240" w:lineRule="auto"/>
        <w:ind w:left="90"/>
        <w:rPr>
          <w:rFonts w:ascii="Calibri" w:hAnsi="Calibri"/>
        </w:rPr>
      </w:pPr>
      <w:r w:rsidRPr="00F36FD8">
        <w:rPr>
          <w:rFonts w:ascii="Calibri" w:hAnsi="Calibri"/>
        </w:rPr>
        <w:lastRenderedPageBreak/>
        <w:t xml:space="preserve">VR’s rehabilitation rate remains below the federal target, but has increased over the past two years, as has the overall number of customer employment outcomes. This is expected as VR </w:t>
      </w:r>
      <w:r w:rsidR="00B667E2">
        <w:rPr>
          <w:rFonts w:ascii="Calibri" w:hAnsi="Calibri"/>
        </w:rPr>
        <w:t>continues to release</w:t>
      </w:r>
      <w:r w:rsidRPr="00F36FD8">
        <w:rPr>
          <w:rFonts w:ascii="Calibri" w:hAnsi="Calibri"/>
        </w:rPr>
        <w:t xml:space="preserve"> customers from the Category 3 wait list. VR has multiple strategies and initiatives anticipated to improve the rehabilitation rate, overall agency performance</w:t>
      </w:r>
      <w:r w:rsidR="00D5537E">
        <w:rPr>
          <w:rFonts w:ascii="Calibri" w:hAnsi="Calibri"/>
        </w:rPr>
        <w:t xml:space="preserve"> and</w:t>
      </w:r>
      <w:r w:rsidRPr="00F36FD8">
        <w:rPr>
          <w:rFonts w:ascii="Calibri" w:hAnsi="Calibri"/>
        </w:rPr>
        <w:t xml:space="preserve"> customer outcomes. </w:t>
      </w:r>
    </w:p>
    <w:p w14:paraId="1CD7A7E9" w14:textId="46C5924E" w:rsidR="00F36FD8" w:rsidRPr="00FB2798" w:rsidRDefault="00F36FD8" w:rsidP="00D63204">
      <w:pPr>
        <w:spacing w:after="0" w:line="240" w:lineRule="auto"/>
        <w:ind w:left="90"/>
        <w:rPr>
          <w:rFonts w:ascii="Calibri" w:hAnsi="Calibri"/>
          <w:b/>
          <w:u w:val="single"/>
        </w:rPr>
      </w:pPr>
      <w:r w:rsidRPr="00FB2798">
        <w:rPr>
          <w:rFonts w:ascii="Calibri" w:hAnsi="Calibri"/>
          <w:b/>
          <w:u w:val="single"/>
        </w:rPr>
        <w:t>Use of Title I Funds for Innovation and Expansion Activities</w:t>
      </w:r>
    </w:p>
    <w:p w14:paraId="18514DFE" w14:textId="39609029" w:rsidR="00F36FD8" w:rsidRPr="00F36FD8" w:rsidRDefault="00F36FD8" w:rsidP="00D63204">
      <w:pPr>
        <w:spacing w:line="240" w:lineRule="auto"/>
        <w:ind w:left="90"/>
        <w:rPr>
          <w:rFonts w:ascii="Calibri" w:hAnsi="Calibri"/>
        </w:rPr>
      </w:pPr>
      <w:r w:rsidRPr="00F36FD8">
        <w:rPr>
          <w:rFonts w:ascii="Calibri" w:hAnsi="Calibri"/>
        </w:rPr>
        <w:t>In FFY 2013-14, with the agreement of the FRC, VR continued to use funds designated under this section to support the functions of the FRC and Florida Independent Living Council (FILC)</w:t>
      </w:r>
      <w:r w:rsidR="00D5537E">
        <w:rPr>
          <w:rFonts w:ascii="Calibri" w:hAnsi="Calibri"/>
        </w:rPr>
        <w:t xml:space="preserve"> and</w:t>
      </w:r>
      <w:r w:rsidRPr="00F36FD8">
        <w:rPr>
          <w:rFonts w:ascii="Calibri" w:hAnsi="Calibri"/>
        </w:rPr>
        <w:t xml:space="preserve"> to support opportunities for improving the efficiency of service delivery.</w:t>
      </w:r>
    </w:p>
    <w:p w14:paraId="0229D388" w14:textId="77777777" w:rsidR="00F36FD8" w:rsidRPr="00FB2798" w:rsidRDefault="00F36FD8" w:rsidP="00D63204">
      <w:pPr>
        <w:spacing w:after="0" w:line="240" w:lineRule="auto"/>
        <w:ind w:left="90"/>
        <w:rPr>
          <w:rFonts w:ascii="Calibri" w:hAnsi="Calibri"/>
          <w:b/>
        </w:rPr>
      </w:pPr>
      <w:r w:rsidRPr="00FB2798">
        <w:rPr>
          <w:rFonts w:ascii="Calibri" w:hAnsi="Calibri"/>
          <w:b/>
        </w:rPr>
        <w:t>Actual Performance:</w:t>
      </w:r>
    </w:p>
    <w:p w14:paraId="19A4BC1C" w14:textId="48874811" w:rsidR="00F36FD8" w:rsidRPr="00F36FD8" w:rsidRDefault="00F36FD8" w:rsidP="00D63204">
      <w:pPr>
        <w:spacing w:line="240" w:lineRule="auto"/>
        <w:ind w:left="90"/>
        <w:rPr>
          <w:rFonts w:ascii="Calibri" w:hAnsi="Calibri"/>
        </w:rPr>
      </w:pPr>
      <w:r w:rsidRPr="00F36FD8">
        <w:rPr>
          <w:rFonts w:ascii="Calibri" w:hAnsi="Calibri"/>
        </w:rPr>
        <w:t xml:space="preserve">VR </w:t>
      </w:r>
      <w:r w:rsidR="00B667E2">
        <w:rPr>
          <w:rFonts w:ascii="Calibri" w:hAnsi="Calibri"/>
        </w:rPr>
        <w:t xml:space="preserve">continues to </w:t>
      </w:r>
      <w:r w:rsidRPr="00F36FD8">
        <w:rPr>
          <w:rFonts w:ascii="Calibri" w:hAnsi="Calibri"/>
        </w:rPr>
        <w:t>support and collaborate with the FRC and FILC as required in the Rehabilitation Act of 1973, as amended. In SFY 2016-17, a total of 15,222 independent living plans were developed</w:t>
      </w:r>
      <w:r w:rsidR="00D5537E">
        <w:rPr>
          <w:rFonts w:ascii="Calibri" w:hAnsi="Calibri"/>
        </w:rPr>
        <w:t xml:space="preserve"> and</w:t>
      </w:r>
      <w:r w:rsidRPr="00F36FD8">
        <w:rPr>
          <w:rFonts w:ascii="Calibri" w:hAnsi="Calibri"/>
        </w:rPr>
        <w:t xml:space="preserve"> 24,339 independent living goals were set through the network of 16 Centers for Independent Living (CIL). CILs served a total of 19,452 individuals with significant disabilities. Information and Referral services were provided to approximately 22,932 individuals and Community Transition Assistance was provided to 56 individuals.</w:t>
      </w:r>
    </w:p>
    <w:p w14:paraId="5FD13E63" w14:textId="77777777" w:rsidR="00F36FD8" w:rsidRPr="00F36FD8" w:rsidRDefault="00F36FD8" w:rsidP="00D63204">
      <w:pPr>
        <w:spacing w:line="240" w:lineRule="auto"/>
        <w:ind w:left="90"/>
        <w:rPr>
          <w:rFonts w:ascii="Calibri" w:hAnsi="Calibri"/>
        </w:rPr>
      </w:pPr>
      <w:r w:rsidRPr="00F36FD8">
        <w:rPr>
          <w:rFonts w:ascii="Calibri" w:hAnsi="Calibri"/>
        </w:rPr>
        <w:t>VR recognizes Innovation and Expansion projects as beneficial and complementary to WIOA-related initiatives. Following a formal procurement process, VR has entered into contracts for five Innovation and Expansion projects, described below. Contracts for the projects run through SFY 2020.</w:t>
      </w:r>
    </w:p>
    <w:p w14:paraId="79533FFE" w14:textId="40FB5A37" w:rsidR="00F36FD8" w:rsidRDefault="00F36FD8" w:rsidP="00D63204">
      <w:pPr>
        <w:pStyle w:val="ListParagraph"/>
        <w:numPr>
          <w:ilvl w:val="0"/>
          <w:numId w:val="155"/>
        </w:numPr>
        <w:spacing w:line="240" w:lineRule="auto"/>
        <w:rPr>
          <w:rFonts w:ascii="Calibri" w:hAnsi="Calibri"/>
        </w:rPr>
      </w:pPr>
      <w:r w:rsidRPr="00FB2798">
        <w:rPr>
          <w:rFonts w:ascii="Calibri" w:hAnsi="Calibri"/>
        </w:rPr>
        <w:t>The Business Center for Diversity and Inclusion (BCDI) – Operated by The Diversity Initiative, Inc. (TDI). TDI is providing a “no fee” Business Center provides consultation, development, training</w:t>
      </w:r>
      <w:r w:rsidR="00D5537E">
        <w:rPr>
          <w:rFonts w:ascii="Calibri" w:hAnsi="Calibri"/>
        </w:rPr>
        <w:t xml:space="preserve"> and</w:t>
      </w:r>
      <w:r w:rsidRPr="00FB2798">
        <w:rPr>
          <w:rFonts w:ascii="Calibri" w:hAnsi="Calibri"/>
        </w:rPr>
        <w:t xml:space="preserve"> support services to local businesses and organizations to facilitate employment placement for individuals with unique abilities</w:t>
      </w:r>
      <w:r w:rsidR="005E7C49">
        <w:rPr>
          <w:rFonts w:ascii="Calibri" w:hAnsi="Calibri"/>
        </w:rPr>
        <w:t xml:space="preserve">. </w:t>
      </w:r>
      <w:r w:rsidRPr="00FB2798">
        <w:rPr>
          <w:rFonts w:ascii="Calibri" w:hAnsi="Calibri"/>
        </w:rPr>
        <w:t>The BCDI serves Pasco, Pinellas, Hillsborough</w:t>
      </w:r>
      <w:r w:rsidR="00D5537E">
        <w:rPr>
          <w:rFonts w:ascii="Calibri" w:hAnsi="Calibri"/>
        </w:rPr>
        <w:t xml:space="preserve"> and</w:t>
      </w:r>
      <w:r w:rsidRPr="00FB2798">
        <w:rPr>
          <w:rFonts w:ascii="Calibri" w:hAnsi="Calibri"/>
        </w:rPr>
        <w:t xml:space="preserve"> Hernando counties.</w:t>
      </w:r>
    </w:p>
    <w:p w14:paraId="77D3B92D" w14:textId="77777777" w:rsidR="00FB2798" w:rsidRPr="00FB2798" w:rsidRDefault="00FB2798" w:rsidP="00D63204">
      <w:pPr>
        <w:pStyle w:val="ListParagraph"/>
        <w:spacing w:line="240" w:lineRule="auto"/>
        <w:ind w:left="810"/>
        <w:rPr>
          <w:rFonts w:ascii="Calibri" w:hAnsi="Calibri"/>
        </w:rPr>
      </w:pPr>
    </w:p>
    <w:p w14:paraId="09CADFEC" w14:textId="60C77EF9" w:rsidR="00F36FD8" w:rsidRDefault="00F36FD8" w:rsidP="00D63204">
      <w:pPr>
        <w:pStyle w:val="ListParagraph"/>
        <w:numPr>
          <w:ilvl w:val="0"/>
          <w:numId w:val="155"/>
        </w:numPr>
        <w:spacing w:line="240" w:lineRule="auto"/>
        <w:rPr>
          <w:rFonts w:ascii="Calibri" w:hAnsi="Calibri"/>
        </w:rPr>
      </w:pPr>
      <w:r w:rsidRPr="00FB2798">
        <w:rPr>
          <w:rFonts w:ascii="Calibri" w:hAnsi="Calibri"/>
        </w:rPr>
        <w:t>The Arc-2-Work: a work-skills training program – Operated by Arc of Alachua County. The Arc-2-Work program is providing pre-employment training and participation in volunteering positions to high school students and clients of the Arc that will foster employment placement for individuals with unique abilities in Alachua County.</w:t>
      </w:r>
    </w:p>
    <w:p w14:paraId="605F04AD" w14:textId="77777777" w:rsidR="00FB2798" w:rsidRPr="00FB2798" w:rsidRDefault="00FB2798" w:rsidP="00D63204">
      <w:pPr>
        <w:pStyle w:val="ListParagraph"/>
        <w:spacing w:line="240" w:lineRule="auto"/>
        <w:ind w:left="810"/>
        <w:rPr>
          <w:rFonts w:ascii="Calibri" w:hAnsi="Calibri"/>
        </w:rPr>
      </w:pPr>
    </w:p>
    <w:p w14:paraId="46FD22E5" w14:textId="4D177AD0" w:rsidR="00F36FD8" w:rsidRDefault="00F36FD8" w:rsidP="00D63204">
      <w:pPr>
        <w:pStyle w:val="ListParagraph"/>
        <w:numPr>
          <w:ilvl w:val="0"/>
          <w:numId w:val="155"/>
        </w:numPr>
        <w:spacing w:line="240" w:lineRule="auto"/>
        <w:rPr>
          <w:rFonts w:ascii="Calibri" w:hAnsi="Calibri"/>
        </w:rPr>
      </w:pPr>
      <w:r w:rsidRPr="00FB2798">
        <w:rPr>
          <w:rFonts w:ascii="Calibri" w:hAnsi="Calibri"/>
        </w:rPr>
        <w:t>The Industry Readiness Training (IRT) Program – Operated by Brevard Achievement Center. The IRT Program is providing pre-employment training and participation in volunteering positions that will foster employment placement for individuals with unique abilities in Brevard County.</w:t>
      </w:r>
    </w:p>
    <w:p w14:paraId="18CF5694" w14:textId="77777777" w:rsidR="00FB2798" w:rsidRPr="00FB2798" w:rsidRDefault="00FB2798" w:rsidP="00D63204">
      <w:pPr>
        <w:pStyle w:val="ListParagraph"/>
        <w:spacing w:line="240" w:lineRule="auto"/>
        <w:ind w:left="810"/>
        <w:rPr>
          <w:rFonts w:ascii="Calibri" w:hAnsi="Calibri"/>
        </w:rPr>
      </w:pPr>
    </w:p>
    <w:p w14:paraId="783093F0" w14:textId="4F0E5A57" w:rsidR="00F36FD8" w:rsidRDefault="00F36FD8" w:rsidP="00D63204">
      <w:pPr>
        <w:pStyle w:val="ListParagraph"/>
        <w:numPr>
          <w:ilvl w:val="0"/>
          <w:numId w:val="155"/>
        </w:numPr>
        <w:spacing w:line="240" w:lineRule="auto"/>
        <w:rPr>
          <w:rFonts w:ascii="Calibri" w:hAnsi="Calibri"/>
        </w:rPr>
      </w:pPr>
      <w:r w:rsidRPr="00FB2798">
        <w:rPr>
          <w:rFonts w:ascii="Calibri" w:hAnsi="Calibri"/>
        </w:rPr>
        <w:t>Discovering Your Potential (DYP) – Operated by Gulfstream Goodwill Industries, Inc. The DYP Program is providing highly focused, intensive discovery, training</w:t>
      </w:r>
      <w:r w:rsidR="00D5537E">
        <w:rPr>
          <w:rFonts w:ascii="Calibri" w:hAnsi="Calibri"/>
        </w:rPr>
        <w:t xml:space="preserve"> and</w:t>
      </w:r>
      <w:r w:rsidRPr="00FB2798">
        <w:rPr>
          <w:rFonts w:ascii="Calibri" w:hAnsi="Calibri"/>
        </w:rPr>
        <w:t xml:space="preserve"> support to individuals with unique abilities to increase employment outcomes in Indian River, St. Lucie, Martin</w:t>
      </w:r>
      <w:r w:rsidR="00D5537E">
        <w:rPr>
          <w:rFonts w:ascii="Calibri" w:hAnsi="Calibri"/>
        </w:rPr>
        <w:t xml:space="preserve"> and</w:t>
      </w:r>
      <w:r w:rsidRPr="00FB2798">
        <w:rPr>
          <w:rFonts w:ascii="Calibri" w:hAnsi="Calibri"/>
        </w:rPr>
        <w:t xml:space="preserve"> Okeechobee counties.</w:t>
      </w:r>
    </w:p>
    <w:p w14:paraId="00158B16" w14:textId="77777777" w:rsidR="00FB2798" w:rsidRPr="00FB2798" w:rsidRDefault="00FB2798" w:rsidP="00D63204">
      <w:pPr>
        <w:pStyle w:val="ListParagraph"/>
        <w:spacing w:line="240" w:lineRule="auto"/>
        <w:ind w:left="810"/>
        <w:rPr>
          <w:rFonts w:ascii="Calibri" w:hAnsi="Calibri"/>
        </w:rPr>
      </w:pPr>
    </w:p>
    <w:p w14:paraId="7AA85BD7" w14:textId="74ACA660" w:rsidR="00F36FD8" w:rsidRPr="00FB2798" w:rsidRDefault="00F36FD8" w:rsidP="00D63204">
      <w:pPr>
        <w:pStyle w:val="ListParagraph"/>
        <w:numPr>
          <w:ilvl w:val="0"/>
          <w:numId w:val="155"/>
        </w:numPr>
        <w:spacing w:line="240" w:lineRule="auto"/>
        <w:rPr>
          <w:rFonts w:ascii="Calibri" w:hAnsi="Calibri"/>
        </w:rPr>
      </w:pPr>
      <w:r w:rsidRPr="00FB2798">
        <w:rPr>
          <w:rFonts w:ascii="Calibri" w:hAnsi="Calibri"/>
        </w:rPr>
        <w:t>Discovering Your Potential (DYP) – Operated by Gulfstream Goodwill Industries, Inc. The DYP Program is providing highly focused, intensive discovery, training</w:t>
      </w:r>
      <w:r w:rsidR="00D5537E">
        <w:rPr>
          <w:rFonts w:ascii="Calibri" w:hAnsi="Calibri"/>
        </w:rPr>
        <w:t xml:space="preserve"> and</w:t>
      </w:r>
      <w:r w:rsidRPr="00FB2798">
        <w:rPr>
          <w:rFonts w:ascii="Calibri" w:hAnsi="Calibri"/>
        </w:rPr>
        <w:t xml:space="preserve"> support to individuals with unique abilities to increase employment outcomes in Palm Beach County.</w:t>
      </w:r>
    </w:p>
    <w:p w14:paraId="27D83879" w14:textId="77777777" w:rsidR="00F36FD8" w:rsidRPr="00FB2798" w:rsidRDefault="00F36FD8" w:rsidP="00D63204">
      <w:pPr>
        <w:spacing w:after="0" w:line="240" w:lineRule="auto"/>
        <w:ind w:left="90"/>
        <w:rPr>
          <w:rFonts w:ascii="Calibri" w:hAnsi="Calibri"/>
          <w:b/>
        </w:rPr>
      </w:pPr>
      <w:r w:rsidRPr="00FB2798">
        <w:rPr>
          <w:rFonts w:ascii="Calibri" w:hAnsi="Calibri"/>
          <w:b/>
        </w:rPr>
        <w:t>Explanation of Performance:</w:t>
      </w:r>
    </w:p>
    <w:p w14:paraId="2CFB4D0E" w14:textId="63AFF485" w:rsidR="00F36FD8" w:rsidRPr="00F36FD8" w:rsidRDefault="00F36FD8" w:rsidP="00D63204">
      <w:pPr>
        <w:spacing w:line="240" w:lineRule="auto"/>
        <w:ind w:left="90"/>
        <w:rPr>
          <w:rFonts w:ascii="Calibri" w:hAnsi="Calibri"/>
        </w:rPr>
      </w:pPr>
      <w:r w:rsidRPr="00F36FD8">
        <w:rPr>
          <w:rFonts w:ascii="Calibri" w:hAnsi="Calibri"/>
        </w:rPr>
        <w:t>These collaborative efforts helped strengthen leadership and improve services, which led to increased employment opportunities for individuals with disabilities. It is anticipated that the</w:t>
      </w:r>
      <w:r w:rsidR="00C731E5">
        <w:rPr>
          <w:rFonts w:ascii="Calibri" w:hAnsi="Calibri"/>
        </w:rPr>
        <w:t xml:space="preserve"> new</w:t>
      </w:r>
      <w:r w:rsidRPr="00F36FD8">
        <w:rPr>
          <w:rFonts w:ascii="Calibri" w:hAnsi="Calibri"/>
        </w:rPr>
        <w:t xml:space="preserve"> </w:t>
      </w:r>
      <w:r w:rsidR="00C731E5">
        <w:rPr>
          <w:rFonts w:ascii="Calibri" w:hAnsi="Calibri"/>
        </w:rPr>
        <w:t>I</w:t>
      </w:r>
      <w:r w:rsidR="00806BB4" w:rsidRPr="00F36FD8">
        <w:rPr>
          <w:rFonts w:ascii="Calibri" w:hAnsi="Calibri"/>
        </w:rPr>
        <w:t>nnovation</w:t>
      </w:r>
      <w:r w:rsidRPr="00F36FD8">
        <w:rPr>
          <w:rFonts w:ascii="Calibri" w:hAnsi="Calibri"/>
        </w:rPr>
        <w:t xml:space="preserve"> and Expansion projects will contribute positively to VR’s rehabilitation rate and provide more informed customer choice and options.</w:t>
      </w:r>
    </w:p>
    <w:p w14:paraId="0ADC6CC5" w14:textId="77777777" w:rsidR="007E67EF" w:rsidRDefault="007E67EF">
      <w:pPr>
        <w:rPr>
          <w:rFonts w:ascii="Calibri" w:hAnsi="Calibri"/>
          <w:b/>
          <w:u w:val="single"/>
        </w:rPr>
      </w:pPr>
      <w:r>
        <w:rPr>
          <w:rFonts w:ascii="Calibri" w:hAnsi="Calibri"/>
          <w:b/>
          <w:u w:val="single"/>
        </w:rPr>
        <w:br w:type="page"/>
      </w:r>
    </w:p>
    <w:p w14:paraId="11D87BF9" w14:textId="77777777" w:rsidR="007E67EF" w:rsidRDefault="007E67EF" w:rsidP="00D63204">
      <w:pPr>
        <w:spacing w:after="0" w:line="240" w:lineRule="auto"/>
        <w:ind w:left="90"/>
        <w:rPr>
          <w:rFonts w:ascii="Calibri" w:hAnsi="Calibri"/>
          <w:b/>
          <w:u w:val="single"/>
        </w:rPr>
      </w:pPr>
    </w:p>
    <w:p w14:paraId="7079B9E2" w14:textId="0A3AEE66" w:rsidR="00F36FD8" w:rsidRPr="007E67EF" w:rsidRDefault="00F36FD8" w:rsidP="00D63204">
      <w:pPr>
        <w:spacing w:after="0" w:line="240" w:lineRule="auto"/>
        <w:ind w:left="90"/>
        <w:rPr>
          <w:rFonts w:ascii="Calibri" w:hAnsi="Calibri"/>
          <w:b/>
          <w:u w:val="single"/>
        </w:rPr>
      </w:pPr>
      <w:r w:rsidRPr="007E67EF">
        <w:rPr>
          <w:rFonts w:ascii="Calibri" w:hAnsi="Calibri"/>
          <w:b/>
          <w:u w:val="single"/>
        </w:rPr>
        <w:t xml:space="preserve">Evaluation of Supported Employment Program </w:t>
      </w:r>
    </w:p>
    <w:p w14:paraId="08DD0C57" w14:textId="77777777" w:rsidR="00F36FD8" w:rsidRPr="007E67EF" w:rsidRDefault="00F36FD8" w:rsidP="00D63204">
      <w:pPr>
        <w:spacing w:after="0" w:line="240" w:lineRule="auto"/>
        <w:ind w:left="90"/>
        <w:rPr>
          <w:rFonts w:ascii="Calibri" w:hAnsi="Calibri"/>
          <w:b/>
          <w:u w:val="single"/>
        </w:rPr>
      </w:pPr>
      <w:r w:rsidRPr="007E67EF">
        <w:rPr>
          <w:rFonts w:ascii="Calibri" w:hAnsi="Calibri"/>
          <w:b/>
          <w:u w:val="single"/>
        </w:rPr>
        <w:t>Review of Section (n) Goals and Plans for Distribution of Title VI-B Funds in 2016-17</w:t>
      </w:r>
    </w:p>
    <w:p w14:paraId="232F1530" w14:textId="52908C93" w:rsidR="00F36FD8" w:rsidRPr="00F36FD8" w:rsidRDefault="00F36FD8" w:rsidP="00D63204">
      <w:pPr>
        <w:spacing w:line="240" w:lineRule="auto"/>
        <w:ind w:left="90"/>
        <w:rPr>
          <w:rFonts w:ascii="Calibri" w:hAnsi="Calibri"/>
        </w:rPr>
      </w:pPr>
      <w:r w:rsidRPr="00F36FD8">
        <w:rPr>
          <w:rFonts w:ascii="Calibri" w:hAnsi="Calibri"/>
        </w:rPr>
        <w:t>The Division of Vocational Rehabilitation (VR) is committed to providing quality Supported Employment services to individuals with the most significant disabilities</w:t>
      </w:r>
      <w:r w:rsidR="005E7C49">
        <w:rPr>
          <w:rFonts w:ascii="Calibri" w:hAnsi="Calibri"/>
        </w:rPr>
        <w:t xml:space="preserve">. </w:t>
      </w:r>
      <w:r w:rsidRPr="00F36FD8">
        <w:rPr>
          <w:rFonts w:ascii="Calibri" w:hAnsi="Calibri"/>
        </w:rPr>
        <w:t>VR collaborates and contracts with community rehabilitation providers across the state of Florida</w:t>
      </w:r>
      <w:r w:rsidR="005E7C49">
        <w:rPr>
          <w:rFonts w:ascii="Calibri" w:hAnsi="Calibri"/>
        </w:rPr>
        <w:t xml:space="preserve">. </w:t>
      </w:r>
      <w:r w:rsidRPr="00F36FD8">
        <w:rPr>
          <w:rFonts w:ascii="Calibri" w:hAnsi="Calibri"/>
        </w:rPr>
        <w:t>VR has focused this year on increasing the quality and capacity of the employment providers</w:t>
      </w:r>
      <w:r w:rsidR="005E7C49">
        <w:rPr>
          <w:rFonts w:ascii="Calibri" w:hAnsi="Calibri"/>
        </w:rPr>
        <w:t xml:space="preserve">. </w:t>
      </w:r>
      <w:r w:rsidRPr="00F36FD8">
        <w:rPr>
          <w:rFonts w:ascii="Calibri" w:hAnsi="Calibri"/>
        </w:rPr>
        <w:t xml:space="preserve">VR may now provide Supported Employment services for up to 24 months, if necessary. </w:t>
      </w:r>
    </w:p>
    <w:p w14:paraId="604C9306" w14:textId="1E77AADC" w:rsidR="00F36FD8" w:rsidRPr="00F36FD8" w:rsidRDefault="00F36FD8" w:rsidP="00D63204">
      <w:pPr>
        <w:spacing w:line="240" w:lineRule="auto"/>
        <w:ind w:left="90"/>
        <w:rPr>
          <w:rFonts w:ascii="Calibri" w:hAnsi="Calibri"/>
        </w:rPr>
      </w:pPr>
      <w:r w:rsidRPr="00F36FD8">
        <w:rPr>
          <w:rFonts w:ascii="Calibri" w:hAnsi="Calibri"/>
        </w:rPr>
        <w:t xml:space="preserve">VR </w:t>
      </w:r>
      <w:r w:rsidR="00C731E5">
        <w:rPr>
          <w:rFonts w:ascii="Calibri" w:hAnsi="Calibri"/>
        </w:rPr>
        <w:t xml:space="preserve">has also </w:t>
      </w:r>
      <w:r w:rsidRPr="00F36FD8">
        <w:rPr>
          <w:rFonts w:ascii="Calibri" w:hAnsi="Calibri"/>
        </w:rPr>
        <w:t>focused on expanding services to Transition Youth</w:t>
      </w:r>
      <w:r w:rsidR="005E7C49">
        <w:rPr>
          <w:rFonts w:ascii="Calibri" w:hAnsi="Calibri"/>
        </w:rPr>
        <w:t xml:space="preserve">. </w:t>
      </w:r>
      <w:r w:rsidRPr="00F36FD8">
        <w:rPr>
          <w:rFonts w:ascii="Calibri" w:hAnsi="Calibri"/>
        </w:rPr>
        <w:t>The Career Exploration, Workplace Readiness, Community-Based Work Experiences, Self-Advocacy, Youth Peer Mentoring</w:t>
      </w:r>
      <w:r w:rsidR="00D5537E">
        <w:rPr>
          <w:rFonts w:ascii="Calibri" w:hAnsi="Calibri"/>
        </w:rPr>
        <w:t xml:space="preserve"> and</w:t>
      </w:r>
      <w:r w:rsidRPr="00F36FD8">
        <w:rPr>
          <w:rFonts w:ascii="Calibri" w:hAnsi="Calibri"/>
        </w:rPr>
        <w:t xml:space="preserve"> Postsecondary Educational Counseling are all services that were expanded to assist youth in their eventual pursuit of employment.</w:t>
      </w:r>
    </w:p>
    <w:p w14:paraId="74B13D0B" w14:textId="6FE288AB" w:rsidR="00F36FD8" w:rsidRPr="00F36FD8" w:rsidRDefault="00F36FD8" w:rsidP="00D63204">
      <w:pPr>
        <w:spacing w:line="240" w:lineRule="auto"/>
        <w:ind w:left="90"/>
        <w:rPr>
          <w:rFonts w:ascii="Calibri" w:hAnsi="Calibri"/>
        </w:rPr>
      </w:pPr>
      <w:r w:rsidRPr="00F36FD8">
        <w:rPr>
          <w:rFonts w:ascii="Calibri" w:hAnsi="Calibri"/>
        </w:rPr>
        <w:t>VR may</w:t>
      </w:r>
      <w:r w:rsidR="00C731E5">
        <w:rPr>
          <w:rFonts w:ascii="Calibri" w:hAnsi="Calibri"/>
        </w:rPr>
        <w:t xml:space="preserve"> also</w:t>
      </w:r>
      <w:r w:rsidRPr="00F36FD8">
        <w:rPr>
          <w:rFonts w:ascii="Calibri" w:hAnsi="Calibri"/>
        </w:rPr>
        <w:t xml:space="preserve"> offer youth extended services for up to four years, as necessary</w:t>
      </w:r>
      <w:r w:rsidR="00D5537E">
        <w:rPr>
          <w:rFonts w:ascii="Calibri" w:hAnsi="Calibri"/>
        </w:rPr>
        <w:t xml:space="preserve"> and</w:t>
      </w:r>
      <w:r w:rsidRPr="00F36FD8">
        <w:rPr>
          <w:rFonts w:ascii="Calibri" w:hAnsi="Calibri"/>
        </w:rPr>
        <w:t xml:space="preserve"> as funds permit</w:t>
      </w:r>
      <w:r w:rsidR="005E7C49">
        <w:rPr>
          <w:rFonts w:ascii="Calibri" w:hAnsi="Calibri"/>
        </w:rPr>
        <w:t xml:space="preserve">. </w:t>
      </w:r>
    </w:p>
    <w:p w14:paraId="4E7FD677" w14:textId="77777777" w:rsidR="00F36FD8" w:rsidRPr="00F36FD8" w:rsidRDefault="00F36FD8" w:rsidP="00D63204">
      <w:pPr>
        <w:spacing w:line="240" w:lineRule="auto"/>
        <w:ind w:left="90"/>
        <w:rPr>
          <w:rFonts w:ascii="Calibri" w:hAnsi="Calibri"/>
        </w:rPr>
      </w:pPr>
      <w:r w:rsidRPr="007E67EF">
        <w:rPr>
          <w:rFonts w:ascii="Calibri" w:hAnsi="Calibri"/>
          <w:b/>
        </w:rPr>
        <w:t>Goal 1:</w:t>
      </w:r>
      <w:r w:rsidRPr="00F36FD8">
        <w:rPr>
          <w:rFonts w:ascii="Calibri" w:hAnsi="Calibri"/>
        </w:rPr>
        <w:t xml:space="preserve"> Increase the number of individuals with most significant disabilities who receive Supported Employment Services.</w:t>
      </w:r>
    </w:p>
    <w:p w14:paraId="32E20250" w14:textId="60A204A6" w:rsidR="00F36FD8" w:rsidRDefault="00F36FD8" w:rsidP="00D63204">
      <w:pPr>
        <w:pStyle w:val="ListParagraph"/>
        <w:numPr>
          <w:ilvl w:val="0"/>
          <w:numId w:val="156"/>
        </w:numPr>
        <w:spacing w:line="240" w:lineRule="auto"/>
        <w:rPr>
          <w:rFonts w:ascii="Calibri" w:hAnsi="Calibri"/>
        </w:rPr>
      </w:pPr>
      <w:r w:rsidRPr="007E67EF">
        <w:rPr>
          <w:rFonts w:ascii="Calibri" w:hAnsi="Calibri"/>
        </w:rPr>
        <w:t xml:space="preserve">VR </w:t>
      </w:r>
      <w:r w:rsidR="00C731E5">
        <w:rPr>
          <w:rFonts w:ascii="Calibri" w:hAnsi="Calibri"/>
        </w:rPr>
        <w:t xml:space="preserve">continues to </w:t>
      </w:r>
      <w:r w:rsidRPr="007E67EF">
        <w:rPr>
          <w:rFonts w:ascii="Calibri" w:hAnsi="Calibri"/>
        </w:rPr>
        <w:t>provide Supported Employment Services on a statewide basis through Title VI- B funds</w:t>
      </w:r>
      <w:r w:rsidR="00D5537E">
        <w:rPr>
          <w:rFonts w:ascii="Calibri" w:hAnsi="Calibri"/>
        </w:rPr>
        <w:t xml:space="preserve"> and</w:t>
      </w:r>
      <w:r w:rsidRPr="007E67EF">
        <w:rPr>
          <w:rFonts w:ascii="Calibri" w:hAnsi="Calibri"/>
        </w:rPr>
        <w:t xml:space="preserve"> with Title I funds when</w:t>
      </w:r>
      <w:r w:rsidR="00C731E5">
        <w:rPr>
          <w:rFonts w:ascii="Calibri" w:hAnsi="Calibri"/>
        </w:rPr>
        <w:t xml:space="preserve"> Title VI-B funds are expended or not available</w:t>
      </w:r>
    </w:p>
    <w:p w14:paraId="59BABE35" w14:textId="77777777" w:rsidR="007E67EF" w:rsidRPr="007E67EF" w:rsidRDefault="007E67EF" w:rsidP="00D63204">
      <w:pPr>
        <w:pStyle w:val="ListParagraph"/>
        <w:spacing w:line="240" w:lineRule="auto"/>
        <w:ind w:left="810"/>
        <w:rPr>
          <w:rFonts w:ascii="Calibri" w:hAnsi="Calibri"/>
        </w:rPr>
      </w:pPr>
    </w:p>
    <w:p w14:paraId="6DDB9720" w14:textId="4096CADE" w:rsidR="00F36FD8" w:rsidRDefault="00F36FD8" w:rsidP="00D63204">
      <w:pPr>
        <w:pStyle w:val="ListParagraph"/>
        <w:numPr>
          <w:ilvl w:val="0"/>
          <w:numId w:val="156"/>
        </w:numPr>
        <w:spacing w:line="240" w:lineRule="auto"/>
        <w:rPr>
          <w:rFonts w:ascii="Calibri" w:hAnsi="Calibri"/>
        </w:rPr>
      </w:pPr>
      <w:r w:rsidRPr="007E67EF">
        <w:rPr>
          <w:rFonts w:ascii="Calibri" w:hAnsi="Calibri"/>
        </w:rPr>
        <w:t>Fully expend Title VI-B funds for the provision of Supported Employment services after reserving no more than 5% for program administration</w:t>
      </w:r>
    </w:p>
    <w:p w14:paraId="73F17732" w14:textId="77777777" w:rsidR="007E67EF" w:rsidRPr="007E67EF" w:rsidRDefault="007E67EF" w:rsidP="00D63204">
      <w:pPr>
        <w:pStyle w:val="ListParagraph"/>
        <w:spacing w:line="240" w:lineRule="auto"/>
        <w:ind w:left="810"/>
        <w:rPr>
          <w:rFonts w:ascii="Calibri" w:hAnsi="Calibri"/>
        </w:rPr>
      </w:pPr>
    </w:p>
    <w:p w14:paraId="1B038349" w14:textId="1DC47EB3" w:rsidR="00F36FD8" w:rsidRDefault="00F36FD8" w:rsidP="00D63204">
      <w:pPr>
        <w:pStyle w:val="ListParagraph"/>
        <w:numPr>
          <w:ilvl w:val="0"/>
          <w:numId w:val="156"/>
        </w:numPr>
        <w:spacing w:line="240" w:lineRule="auto"/>
        <w:rPr>
          <w:rFonts w:ascii="Calibri" w:hAnsi="Calibri"/>
        </w:rPr>
      </w:pPr>
      <w:r w:rsidRPr="007E67EF">
        <w:rPr>
          <w:rFonts w:ascii="Calibri" w:hAnsi="Calibri"/>
        </w:rPr>
        <w:t>Provide a variety of training and outreach programs designed to increase the awareness of Supported Employment as an appropriate vocational program for individuals with most significant disabilities</w:t>
      </w:r>
    </w:p>
    <w:p w14:paraId="163D5F17" w14:textId="77777777" w:rsidR="007E67EF" w:rsidRPr="007E67EF" w:rsidRDefault="007E67EF" w:rsidP="00D63204">
      <w:pPr>
        <w:pStyle w:val="ListParagraph"/>
        <w:spacing w:line="240" w:lineRule="auto"/>
        <w:ind w:left="810"/>
        <w:rPr>
          <w:rFonts w:ascii="Calibri" w:hAnsi="Calibri"/>
        </w:rPr>
      </w:pPr>
    </w:p>
    <w:p w14:paraId="027397C8" w14:textId="0F28CF58" w:rsidR="00F36FD8" w:rsidRPr="007E67EF" w:rsidRDefault="00F36FD8" w:rsidP="00D63204">
      <w:pPr>
        <w:pStyle w:val="ListParagraph"/>
        <w:numPr>
          <w:ilvl w:val="0"/>
          <w:numId w:val="156"/>
        </w:numPr>
        <w:spacing w:line="240" w:lineRule="auto"/>
        <w:rPr>
          <w:rFonts w:ascii="Calibri" w:hAnsi="Calibri"/>
        </w:rPr>
      </w:pPr>
      <w:r w:rsidRPr="007E67EF">
        <w:rPr>
          <w:rFonts w:ascii="Calibri" w:hAnsi="Calibri"/>
        </w:rPr>
        <w:t>Review pilot and innovative employment practices and assess the feasibility of replicating programs using successful strategies</w:t>
      </w:r>
    </w:p>
    <w:p w14:paraId="3D1D2098" w14:textId="77777777" w:rsidR="00F36FD8" w:rsidRPr="007E67EF" w:rsidRDefault="00F36FD8" w:rsidP="00D63204">
      <w:pPr>
        <w:spacing w:after="0" w:line="240" w:lineRule="auto"/>
        <w:ind w:left="90"/>
        <w:rPr>
          <w:rFonts w:ascii="Calibri" w:hAnsi="Calibri"/>
          <w:b/>
          <w:u w:val="single"/>
        </w:rPr>
      </w:pPr>
      <w:r w:rsidRPr="007E67EF">
        <w:rPr>
          <w:rFonts w:ascii="Calibri" w:hAnsi="Calibri"/>
          <w:b/>
          <w:u w:val="single"/>
        </w:rPr>
        <w:t xml:space="preserve">Update: </w:t>
      </w:r>
    </w:p>
    <w:p w14:paraId="2178324D" w14:textId="42995050" w:rsidR="00F36FD8" w:rsidRPr="00F36FD8" w:rsidRDefault="00F36FD8" w:rsidP="00D63204">
      <w:pPr>
        <w:spacing w:line="240" w:lineRule="auto"/>
        <w:ind w:left="90"/>
        <w:rPr>
          <w:rFonts w:ascii="Calibri" w:hAnsi="Calibri"/>
        </w:rPr>
      </w:pPr>
      <w:r w:rsidRPr="00F36FD8">
        <w:rPr>
          <w:rFonts w:ascii="Calibri" w:hAnsi="Calibri"/>
        </w:rPr>
        <w:t xml:space="preserve">Supported Employment services were provided to adults and youth who required these services on a </w:t>
      </w:r>
      <w:r w:rsidR="00366711" w:rsidRPr="00F36FD8">
        <w:rPr>
          <w:rFonts w:ascii="Calibri" w:hAnsi="Calibri"/>
        </w:rPr>
        <w:t>state-wide</w:t>
      </w:r>
      <w:r w:rsidRPr="00F36FD8">
        <w:rPr>
          <w:rFonts w:ascii="Calibri" w:hAnsi="Calibri"/>
        </w:rPr>
        <w:t xml:space="preserve"> basis</w:t>
      </w:r>
      <w:r w:rsidR="005E7C49">
        <w:rPr>
          <w:rFonts w:ascii="Calibri" w:hAnsi="Calibri"/>
        </w:rPr>
        <w:t xml:space="preserve">. </w:t>
      </w:r>
      <w:r w:rsidRPr="00F36FD8">
        <w:rPr>
          <w:rFonts w:ascii="Calibri" w:hAnsi="Calibri"/>
        </w:rPr>
        <w:t>Supported Employment funds were used to pay for Placement, Stabilization, Transition</w:t>
      </w:r>
      <w:r w:rsidR="00D5537E">
        <w:rPr>
          <w:rFonts w:ascii="Calibri" w:hAnsi="Calibri"/>
        </w:rPr>
        <w:t xml:space="preserve"> and</w:t>
      </w:r>
      <w:r w:rsidRPr="00F36FD8">
        <w:rPr>
          <w:rFonts w:ascii="Calibri" w:hAnsi="Calibri"/>
        </w:rPr>
        <w:t xml:space="preserve"> placement for successful Employment Outcomes. Funds were fully expended on services</w:t>
      </w:r>
      <w:r w:rsidR="005E7C49">
        <w:rPr>
          <w:rFonts w:ascii="Calibri" w:hAnsi="Calibri"/>
        </w:rPr>
        <w:t xml:space="preserve">. </w:t>
      </w:r>
      <w:r w:rsidRPr="00F36FD8">
        <w:rPr>
          <w:rFonts w:ascii="Calibri" w:hAnsi="Calibri"/>
        </w:rPr>
        <w:t>Five percent or less was used to support program administration.</w:t>
      </w:r>
    </w:p>
    <w:p w14:paraId="5E493830" w14:textId="0EAAD825" w:rsidR="00F36FD8" w:rsidRPr="00F36FD8" w:rsidRDefault="00F36FD8" w:rsidP="00D63204">
      <w:pPr>
        <w:spacing w:line="240" w:lineRule="auto"/>
        <w:ind w:left="90"/>
        <w:rPr>
          <w:rFonts w:ascii="Calibri" w:hAnsi="Calibri"/>
        </w:rPr>
      </w:pPr>
      <w:r w:rsidRPr="00F36FD8">
        <w:rPr>
          <w:rFonts w:ascii="Calibri" w:hAnsi="Calibri"/>
        </w:rPr>
        <w:t>VR increased training opportunities for individuals, youth, counselors, providers</w:t>
      </w:r>
      <w:r w:rsidR="00D5537E">
        <w:rPr>
          <w:rFonts w:ascii="Calibri" w:hAnsi="Calibri"/>
        </w:rPr>
        <w:t xml:space="preserve"> and</w:t>
      </w:r>
      <w:r w:rsidRPr="00F36FD8">
        <w:rPr>
          <w:rFonts w:ascii="Calibri" w:hAnsi="Calibri"/>
        </w:rPr>
        <w:t xml:space="preserve"> other stakeholders to promote Supported Employment services as a first and preferred service option</w:t>
      </w:r>
      <w:r w:rsidR="005E7C49">
        <w:rPr>
          <w:rFonts w:ascii="Calibri" w:hAnsi="Calibri"/>
        </w:rPr>
        <w:t xml:space="preserve">. </w:t>
      </w:r>
      <w:r w:rsidRPr="00F36FD8">
        <w:rPr>
          <w:rFonts w:ascii="Calibri" w:hAnsi="Calibri"/>
        </w:rPr>
        <w:t>Transition Youth services were expanded to offer an array of services that would support youth in pursuing competitive integrated employment opportunities</w:t>
      </w:r>
      <w:r w:rsidR="005E7C49">
        <w:rPr>
          <w:rFonts w:ascii="Calibri" w:hAnsi="Calibri"/>
        </w:rPr>
        <w:t xml:space="preserve">. </w:t>
      </w:r>
      <w:r w:rsidRPr="00F36FD8">
        <w:rPr>
          <w:rFonts w:ascii="Calibri" w:hAnsi="Calibri"/>
        </w:rPr>
        <w:t>Fifty percent of the Title VI B funding was expended on youth 24 and under.</w:t>
      </w:r>
    </w:p>
    <w:p w14:paraId="39FD80F3" w14:textId="6B6E7962" w:rsidR="00F36FD8" w:rsidRPr="00F36FD8" w:rsidRDefault="00F36FD8" w:rsidP="00D63204">
      <w:pPr>
        <w:spacing w:line="240" w:lineRule="auto"/>
        <w:ind w:left="90"/>
        <w:rPr>
          <w:rFonts w:ascii="Calibri" w:hAnsi="Calibri"/>
        </w:rPr>
      </w:pPr>
      <w:r w:rsidRPr="00F36FD8">
        <w:rPr>
          <w:rFonts w:ascii="Calibri" w:hAnsi="Calibri"/>
        </w:rPr>
        <w:t>VR developed and implemented a Career Counseling Information and Referral Course for individuals participating in subminimum wage employment in 14 (C) entities as required under the Workforce Innovation Opportunity Act</w:t>
      </w:r>
      <w:r w:rsidR="005E7C49">
        <w:rPr>
          <w:rFonts w:ascii="Calibri" w:hAnsi="Calibri"/>
        </w:rPr>
        <w:t xml:space="preserve">. </w:t>
      </w:r>
      <w:r w:rsidRPr="00F36FD8">
        <w:rPr>
          <w:rFonts w:ascii="Calibri" w:hAnsi="Calibri"/>
        </w:rPr>
        <w:t>This course provides information that allow individuals to make an informed choice about current and future employment opportunities. Approximately 5,000 individuals participated in this training opportunity</w:t>
      </w:r>
      <w:r w:rsidR="005E7C49">
        <w:rPr>
          <w:rFonts w:ascii="Calibri" w:hAnsi="Calibri"/>
        </w:rPr>
        <w:t xml:space="preserve">. </w:t>
      </w:r>
      <w:r w:rsidRPr="00F36FD8">
        <w:rPr>
          <w:rFonts w:ascii="Calibri" w:hAnsi="Calibri"/>
        </w:rPr>
        <w:t xml:space="preserve">Individuals who stated an interest in pursuing VR services will be provided the information and support needed to apply for VR services. </w:t>
      </w:r>
    </w:p>
    <w:p w14:paraId="4D48B940" w14:textId="516AA561" w:rsidR="00F36FD8" w:rsidRDefault="00F36FD8" w:rsidP="00D63204">
      <w:pPr>
        <w:spacing w:line="240" w:lineRule="auto"/>
        <w:ind w:left="90"/>
        <w:rPr>
          <w:rFonts w:ascii="Calibri" w:hAnsi="Calibri"/>
        </w:rPr>
      </w:pPr>
      <w:r w:rsidRPr="00F36FD8">
        <w:rPr>
          <w:rFonts w:ascii="Calibri" w:hAnsi="Calibri"/>
        </w:rPr>
        <w:t>VR staff have worked with Employment First Partners, Agency for Persons with Disabilities, Project 10 staff, local Education Agencies and other partners to increase Third Party Cooperative Arrangements, Project SEARCH programs and other work experience programs that provide training opportunities that lead to employment.</w:t>
      </w:r>
    </w:p>
    <w:p w14:paraId="79F7B752" w14:textId="1665A6E0" w:rsidR="00F36FD8" w:rsidRPr="00F36FD8" w:rsidRDefault="00F36FD8" w:rsidP="00D63204">
      <w:pPr>
        <w:spacing w:line="240" w:lineRule="auto"/>
        <w:ind w:left="90"/>
        <w:rPr>
          <w:rFonts w:ascii="Calibri" w:hAnsi="Calibri"/>
        </w:rPr>
      </w:pPr>
      <w:r w:rsidRPr="00F36FD8">
        <w:rPr>
          <w:rFonts w:ascii="Calibri" w:hAnsi="Calibri"/>
        </w:rPr>
        <w:lastRenderedPageBreak/>
        <w:t xml:space="preserve">VR staff </w:t>
      </w:r>
      <w:r w:rsidR="00C731E5">
        <w:rPr>
          <w:rFonts w:ascii="Calibri" w:hAnsi="Calibri"/>
        </w:rPr>
        <w:t xml:space="preserve">have also </w:t>
      </w:r>
      <w:r w:rsidRPr="00F36FD8">
        <w:rPr>
          <w:rFonts w:ascii="Calibri" w:hAnsi="Calibri"/>
        </w:rPr>
        <w:t>collaborated with the Florida Association for Rehabilitation Facilities and the ARC of Florida to develop a package of VR services that would assist individuals with most significant disabilities to pursue competitive integrated employment opportunities.</w:t>
      </w:r>
    </w:p>
    <w:p w14:paraId="605112C9" w14:textId="77777777" w:rsidR="00F36FD8" w:rsidRPr="00F36FD8" w:rsidRDefault="00F36FD8" w:rsidP="00D63204">
      <w:pPr>
        <w:spacing w:line="240" w:lineRule="auto"/>
        <w:ind w:left="90"/>
        <w:rPr>
          <w:rFonts w:ascii="Calibri" w:hAnsi="Calibri"/>
        </w:rPr>
      </w:pPr>
      <w:r w:rsidRPr="007E67EF">
        <w:rPr>
          <w:rFonts w:ascii="Calibri" w:hAnsi="Calibri"/>
          <w:b/>
        </w:rPr>
        <w:t>Goal 2:</w:t>
      </w:r>
      <w:r w:rsidRPr="00F36FD8">
        <w:rPr>
          <w:rFonts w:ascii="Calibri" w:hAnsi="Calibri"/>
        </w:rPr>
        <w:t xml:space="preserve"> Use Title VI, Part B funds to achieve the maximum number of quality employment outcomes for individuals with the most significant disabilities</w:t>
      </w:r>
    </w:p>
    <w:p w14:paraId="214A80B0" w14:textId="1AFEBCEA" w:rsidR="00F36FD8" w:rsidRDefault="00F36FD8" w:rsidP="00D63204">
      <w:pPr>
        <w:pStyle w:val="ListParagraph"/>
        <w:numPr>
          <w:ilvl w:val="0"/>
          <w:numId w:val="157"/>
        </w:numPr>
        <w:spacing w:line="240" w:lineRule="auto"/>
        <w:rPr>
          <w:rFonts w:ascii="Calibri" w:hAnsi="Calibri"/>
        </w:rPr>
      </w:pPr>
      <w:r w:rsidRPr="007E67EF">
        <w:rPr>
          <w:rFonts w:ascii="Calibri" w:hAnsi="Calibri"/>
        </w:rPr>
        <w:t>Use Title I funds, supplemented with Title VI B funds to provide Supported Employment services as specified in the individual plan for employment.</w:t>
      </w:r>
    </w:p>
    <w:p w14:paraId="39A215A8" w14:textId="77777777" w:rsidR="007E67EF" w:rsidRPr="007E67EF" w:rsidRDefault="007E67EF" w:rsidP="00D63204">
      <w:pPr>
        <w:pStyle w:val="ListParagraph"/>
        <w:spacing w:line="240" w:lineRule="auto"/>
        <w:ind w:left="810"/>
        <w:rPr>
          <w:rFonts w:ascii="Calibri" w:hAnsi="Calibri"/>
        </w:rPr>
      </w:pPr>
    </w:p>
    <w:p w14:paraId="4237A758" w14:textId="1462FD93" w:rsidR="00F36FD8" w:rsidRDefault="00F36FD8" w:rsidP="00D63204">
      <w:pPr>
        <w:pStyle w:val="ListParagraph"/>
        <w:numPr>
          <w:ilvl w:val="0"/>
          <w:numId w:val="157"/>
        </w:numPr>
        <w:spacing w:line="240" w:lineRule="auto"/>
        <w:rPr>
          <w:rFonts w:ascii="Calibri" w:hAnsi="Calibri"/>
        </w:rPr>
      </w:pPr>
      <w:r w:rsidRPr="007E67EF">
        <w:rPr>
          <w:rFonts w:ascii="Calibri" w:hAnsi="Calibri"/>
        </w:rPr>
        <w:t>Purchase Supported Employment services based upon established performance benchmarks</w:t>
      </w:r>
      <w:r w:rsidR="005E7C49">
        <w:rPr>
          <w:rFonts w:ascii="Calibri" w:hAnsi="Calibri"/>
        </w:rPr>
        <w:t xml:space="preserve">. </w:t>
      </w:r>
      <w:r w:rsidRPr="007E67EF">
        <w:rPr>
          <w:rFonts w:ascii="Calibri" w:hAnsi="Calibri"/>
        </w:rPr>
        <w:t>The contracts for Supported Employment focuses on performance and reinforces the focus on successful outcomes.</w:t>
      </w:r>
    </w:p>
    <w:p w14:paraId="3D8F3856" w14:textId="77777777" w:rsidR="007E67EF" w:rsidRPr="007E67EF" w:rsidRDefault="007E67EF" w:rsidP="00D63204">
      <w:pPr>
        <w:pStyle w:val="ListParagraph"/>
        <w:spacing w:line="240" w:lineRule="auto"/>
        <w:ind w:left="810"/>
        <w:rPr>
          <w:rFonts w:ascii="Calibri" w:hAnsi="Calibri"/>
        </w:rPr>
      </w:pPr>
    </w:p>
    <w:p w14:paraId="6C1BB8C7" w14:textId="44D61B85" w:rsidR="00F36FD8" w:rsidRPr="007E67EF" w:rsidRDefault="00F36FD8" w:rsidP="00D63204">
      <w:pPr>
        <w:pStyle w:val="ListParagraph"/>
        <w:numPr>
          <w:ilvl w:val="0"/>
          <w:numId w:val="157"/>
        </w:numPr>
        <w:spacing w:line="240" w:lineRule="auto"/>
        <w:rPr>
          <w:rFonts w:ascii="Calibri" w:hAnsi="Calibri"/>
        </w:rPr>
      </w:pPr>
      <w:r w:rsidRPr="007E67EF">
        <w:rPr>
          <w:rFonts w:ascii="Calibri" w:hAnsi="Calibri"/>
        </w:rPr>
        <w:t xml:space="preserve">Funds may </w:t>
      </w:r>
      <w:r w:rsidR="00C731E5">
        <w:rPr>
          <w:rFonts w:ascii="Calibri" w:hAnsi="Calibri"/>
        </w:rPr>
        <w:t xml:space="preserve">also </w:t>
      </w:r>
      <w:r w:rsidRPr="007E67EF">
        <w:rPr>
          <w:rFonts w:ascii="Calibri" w:hAnsi="Calibri"/>
        </w:rPr>
        <w:t>be used for related customized employment strategies and supported self-employment services.</w:t>
      </w:r>
    </w:p>
    <w:p w14:paraId="7E8C9403" w14:textId="77777777" w:rsidR="00F36FD8" w:rsidRPr="007E67EF" w:rsidRDefault="00F36FD8" w:rsidP="00D63204">
      <w:pPr>
        <w:spacing w:after="0" w:line="240" w:lineRule="auto"/>
        <w:ind w:left="90"/>
        <w:rPr>
          <w:rFonts w:ascii="Calibri" w:hAnsi="Calibri"/>
          <w:b/>
          <w:u w:val="single"/>
        </w:rPr>
      </w:pPr>
      <w:r w:rsidRPr="007E67EF">
        <w:rPr>
          <w:rFonts w:ascii="Calibri" w:hAnsi="Calibri"/>
          <w:b/>
          <w:u w:val="single"/>
        </w:rPr>
        <w:t>Update:</w:t>
      </w:r>
    </w:p>
    <w:p w14:paraId="721742AE" w14:textId="77777777" w:rsidR="00F36FD8" w:rsidRPr="00F36FD8" w:rsidRDefault="00F36FD8" w:rsidP="00D63204">
      <w:pPr>
        <w:spacing w:line="240" w:lineRule="auto"/>
        <w:ind w:left="90"/>
        <w:rPr>
          <w:rFonts w:ascii="Calibri" w:hAnsi="Calibri"/>
        </w:rPr>
      </w:pPr>
      <w:r w:rsidRPr="00F36FD8">
        <w:rPr>
          <w:rFonts w:ascii="Calibri" w:hAnsi="Calibri"/>
        </w:rPr>
        <w:t>VR provided Supported Employment services to individuals with most significant disabilities who requested these services. Data below represents VR’s performance in serving Supported Employment customers.</w:t>
      </w:r>
    </w:p>
    <w:p w14:paraId="0165F657" w14:textId="77777777" w:rsidR="00F36FD8" w:rsidRPr="00F36FD8" w:rsidRDefault="00F36FD8" w:rsidP="00D63204">
      <w:pPr>
        <w:spacing w:line="240" w:lineRule="auto"/>
        <w:ind w:left="90"/>
        <w:rPr>
          <w:rFonts w:ascii="Calibri" w:hAnsi="Calibri"/>
        </w:rPr>
      </w:pPr>
      <w:r w:rsidRPr="00F36FD8">
        <w:rPr>
          <w:rFonts w:ascii="Calibri" w:hAnsi="Calibri"/>
        </w:rPr>
        <w:t xml:space="preserve">SFY 2016-17 Supported Employment Performance Data  </w:t>
      </w:r>
    </w:p>
    <w:p w14:paraId="3FA81516" w14:textId="0002FB98" w:rsidR="00F36FD8" w:rsidRDefault="00F36FD8" w:rsidP="00D63204">
      <w:pPr>
        <w:pStyle w:val="ListParagraph"/>
        <w:numPr>
          <w:ilvl w:val="0"/>
          <w:numId w:val="158"/>
        </w:numPr>
        <w:spacing w:line="240" w:lineRule="auto"/>
        <w:rPr>
          <w:rFonts w:ascii="Calibri" w:hAnsi="Calibri"/>
        </w:rPr>
      </w:pPr>
      <w:r w:rsidRPr="007E67EF">
        <w:rPr>
          <w:rFonts w:ascii="Calibri" w:hAnsi="Calibri"/>
        </w:rPr>
        <w:t>Number of active cases: 8,553</w:t>
      </w:r>
    </w:p>
    <w:p w14:paraId="0D7AB0D1" w14:textId="77777777" w:rsidR="007E67EF" w:rsidRPr="007E67EF" w:rsidRDefault="007E67EF" w:rsidP="00D63204">
      <w:pPr>
        <w:pStyle w:val="ListParagraph"/>
        <w:spacing w:line="240" w:lineRule="auto"/>
        <w:ind w:left="810"/>
        <w:rPr>
          <w:rFonts w:ascii="Calibri" w:hAnsi="Calibri"/>
        </w:rPr>
      </w:pPr>
    </w:p>
    <w:p w14:paraId="2E3DD0A6" w14:textId="5B5A3644" w:rsidR="00F36FD8" w:rsidRDefault="00F36FD8" w:rsidP="00D63204">
      <w:pPr>
        <w:pStyle w:val="ListParagraph"/>
        <w:numPr>
          <w:ilvl w:val="0"/>
          <w:numId w:val="158"/>
        </w:numPr>
        <w:spacing w:line="240" w:lineRule="auto"/>
        <w:rPr>
          <w:rFonts w:ascii="Calibri" w:hAnsi="Calibri"/>
        </w:rPr>
      </w:pPr>
      <w:r w:rsidRPr="007E67EF">
        <w:rPr>
          <w:rFonts w:ascii="Calibri" w:hAnsi="Calibri"/>
        </w:rPr>
        <w:t>Number of Individualized Plans for Employment: 3,099</w:t>
      </w:r>
    </w:p>
    <w:p w14:paraId="2EE0C4DE" w14:textId="77777777" w:rsidR="007E67EF" w:rsidRPr="007E67EF" w:rsidRDefault="007E67EF" w:rsidP="00D63204">
      <w:pPr>
        <w:pStyle w:val="ListParagraph"/>
        <w:spacing w:line="240" w:lineRule="auto"/>
        <w:ind w:left="810"/>
        <w:rPr>
          <w:rFonts w:ascii="Calibri" w:hAnsi="Calibri"/>
        </w:rPr>
      </w:pPr>
    </w:p>
    <w:p w14:paraId="147A4593" w14:textId="580CA66E" w:rsidR="00F36FD8" w:rsidRPr="007E67EF" w:rsidRDefault="00F36FD8" w:rsidP="00D63204">
      <w:pPr>
        <w:pStyle w:val="ListParagraph"/>
        <w:numPr>
          <w:ilvl w:val="0"/>
          <w:numId w:val="158"/>
        </w:numPr>
        <w:spacing w:line="240" w:lineRule="auto"/>
        <w:rPr>
          <w:rFonts w:ascii="Calibri" w:hAnsi="Calibri"/>
        </w:rPr>
      </w:pPr>
      <w:r w:rsidRPr="007E67EF">
        <w:rPr>
          <w:rFonts w:ascii="Calibri" w:hAnsi="Calibri"/>
        </w:rPr>
        <w:t>Number of Employment Outcomes: 920</w:t>
      </w:r>
    </w:p>
    <w:p w14:paraId="31CBE701" w14:textId="2381B6EF" w:rsidR="00F36FD8" w:rsidRPr="00F36FD8" w:rsidRDefault="00F36FD8" w:rsidP="00D63204">
      <w:pPr>
        <w:spacing w:line="240" w:lineRule="auto"/>
        <w:ind w:left="90"/>
        <w:rPr>
          <w:rFonts w:ascii="Calibri" w:hAnsi="Calibri"/>
        </w:rPr>
      </w:pPr>
      <w:r w:rsidRPr="00F36FD8">
        <w:rPr>
          <w:rFonts w:ascii="Calibri" w:hAnsi="Calibri"/>
        </w:rPr>
        <w:t xml:space="preserve">VR has increased the number of Supported Employment Providers throughout Florida. Additional training and support has been provided to new employment providers. VR </w:t>
      </w:r>
      <w:r w:rsidR="00C731E5">
        <w:rPr>
          <w:rFonts w:ascii="Calibri" w:hAnsi="Calibri"/>
        </w:rPr>
        <w:t xml:space="preserve">has also </w:t>
      </w:r>
      <w:r w:rsidRPr="00F36FD8">
        <w:rPr>
          <w:rFonts w:ascii="Calibri" w:hAnsi="Calibri"/>
        </w:rPr>
        <w:t>added a Customized Job Placement benchmark to support individuals with most significant disabilities who may need a customized employment option</w:t>
      </w:r>
      <w:r w:rsidR="005E7C49">
        <w:rPr>
          <w:rFonts w:ascii="Calibri" w:hAnsi="Calibri"/>
        </w:rPr>
        <w:t xml:space="preserve">. </w:t>
      </w:r>
    </w:p>
    <w:p w14:paraId="7669D997" w14:textId="77777777" w:rsidR="00F36FD8" w:rsidRPr="00F36FD8" w:rsidRDefault="00F36FD8" w:rsidP="00D63204">
      <w:pPr>
        <w:spacing w:line="240" w:lineRule="auto"/>
        <w:ind w:left="90"/>
        <w:rPr>
          <w:rFonts w:ascii="Calibri" w:hAnsi="Calibri"/>
        </w:rPr>
      </w:pPr>
      <w:r w:rsidRPr="007E67EF">
        <w:rPr>
          <w:rFonts w:ascii="Calibri" w:hAnsi="Calibri"/>
          <w:b/>
        </w:rPr>
        <w:t>Goal 3:</w:t>
      </w:r>
      <w:r w:rsidRPr="00F36FD8">
        <w:rPr>
          <w:rFonts w:ascii="Calibri" w:hAnsi="Calibri"/>
        </w:rPr>
        <w:t xml:space="preserve"> Increase Supported Employment training opportunities for VR Counselors, Community Rehabilitation Providers, families and individuals.</w:t>
      </w:r>
    </w:p>
    <w:p w14:paraId="55CD79F4" w14:textId="73A5E6C8" w:rsidR="00F36FD8" w:rsidRDefault="00F36FD8" w:rsidP="00D63204">
      <w:pPr>
        <w:pStyle w:val="ListParagraph"/>
        <w:numPr>
          <w:ilvl w:val="0"/>
          <w:numId w:val="159"/>
        </w:numPr>
        <w:spacing w:line="240" w:lineRule="auto"/>
        <w:rPr>
          <w:rFonts w:ascii="Calibri" w:hAnsi="Calibri"/>
        </w:rPr>
      </w:pPr>
      <w:r w:rsidRPr="007E67EF">
        <w:rPr>
          <w:rFonts w:ascii="Calibri" w:hAnsi="Calibri"/>
        </w:rPr>
        <w:t>Increase Supported Employment training opportunities for VR counselors, providers, families</w:t>
      </w:r>
      <w:r w:rsidR="00D5537E">
        <w:rPr>
          <w:rFonts w:ascii="Calibri" w:hAnsi="Calibri"/>
        </w:rPr>
        <w:t xml:space="preserve"> and</w:t>
      </w:r>
      <w:r w:rsidRPr="007E67EF">
        <w:rPr>
          <w:rFonts w:ascii="Calibri" w:hAnsi="Calibri"/>
        </w:rPr>
        <w:t xml:space="preserve"> individuals.</w:t>
      </w:r>
    </w:p>
    <w:p w14:paraId="30DE8C75" w14:textId="77777777" w:rsidR="007E67EF" w:rsidRPr="007E67EF" w:rsidRDefault="007E67EF" w:rsidP="00D63204">
      <w:pPr>
        <w:pStyle w:val="ListParagraph"/>
        <w:spacing w:line="240" w:lineRule="auto"/>
        <w:ind w:left="810"/>
        <w:rPr>
          <w:rFonts w:ascii="Calibri" w:hAnsi="Calibri"/>
        </w:rPr>
      </w:pPr>
    </w:p>
    <w:p w14:paraId="46CC6879" w14:textId="3E937E2B" w:rsidR="00F36FD8" w:rsidRDefault="00F36FD8" w:rsidP="00D63204">
      <w:pPr>
        <w:pStyle w:val="ListParagraph"/>
        <w:numPr>
          <w:ilvl w:val="0"/>
          <w:numId w:val="159"/>
        </w:numPr>
        <w:spacing w:line="240" w:lineRule="auto"/>
        <w:rPr>
          <w:rFonts w:ascii="Calibri" w:hAnsi="Calibri"/>
        </w:rPr>
      </w:pPr>
      <w:r w:rsidRPr="007E67EF">
        <w:rPr>
          <w:rFonts w:ascii="Calibri" w:hAnsi="Calibri"/>
        </w:rPr>
        <w:t>Participate in the development of a consortium of providers designed to identify, share</w:t>
      </w:r>
      <w:r w:rsidR="00D5537E">
        <w:rPr>
          <w:rFonts w:ascii="Calibri" w:hAnsi="Calibri"/>
        </w:rPr>
        <w:t xml:space="preserve"> and</w:t>
      </w:r>
      <w:r w:rsidRPr="007E67EF">
        <w:rPr>
          <w:rFonts w:ascii="Calibri" w:hAnsi="Calibri"/>
        </w:rPr>
        <w:t xml:space="preserve"> promote innovative employment practices.</w:t>
      </w:r>
    </w:p>
    <w:p w14:paraId="2F65DC11" w14:textId="77777777" w:rsidR="007E67EF" w:rsidRPr="007E67EF" w:rsidRDefault="007E67EF" w:rsidP="00D63204">
      <w:pPr>
        <w:pStyle w:val="ListParagraph"/>
        <w:spacing w:line="240" w:lineRule="auto"/>
        <w:ind w:left="810"/>
        <w:rPr>
          <w:rFonts w:ascii="Calibri" w:hAnsi="Calibri"/>
        </w:rPr>
      </w:pPr>
    </w:p>
    <w:p w14:paraId="2AD0B3D7" w14:textId="5260B91E" w:rsidR="00F36FD8" w:rsidRDefault="00F36FD8" w:rsidP="00D63204">
      <w:pPr>
        <w:pStyle w:val="ListParagraph"/>
        <w:numPr>
          <w:ilvl w:val="0"/>
          <w:numId w:val="159"/>
        </w:numPr>
        <w:spacing w:line="240" w:lineRule="auto"/>
        <w:rPr>
          <w:rFonts w:ascii="Calibri" w:hAnsi="Calibri"/>
        </w:rPr>
      </w:pPr>
      <w:r w:rsidRPr="007E67EF">
        <w:rPr>
          <w:rFonts w:ascii="Calibri" w:hAnsi="Calibri"/>
        </w:rPr>
        <w:t>Promote awareness of social security benefits planning</w:t>
      </w:r>
      <w:r w:rsidR="00C57CE7">
        <w:rPr>
          <w:rFonts w:ascii="Calibri" w:hAnsi="Calibri"/>
        </w:rPr>
        <w:t xml:space="preserve"> as a way</w:t>
      </w:r>
      <w:r w:rsidRPr="007E67EF">
        <w:rPr>
          <w:rFonts w:ascii="Calibri" w:hAnsi="Calibri"/>
        </w:rPr>
        <w:t xml:space="preserve"> </w:t>
      </w:r>
      <w:r w:rsidR="00806BB4" w:rsidRPr="007E67EF">
        <w:rPr>
          <w:rFonts w:ascii="Calibri" w:hAnsi="Calibri"/>
        </w:rPr>
        <w:t>to</w:t>
      </w:r>
      <w:r w:rsidRPr="007E67EF">
        <w:rPr>
          <w:rFonts w:ascii="Calibri" w:hAnsi="Calibri"/>
        </w:rPr>
        <w:t xml:space="preserve"> fund extended services.</w:t>
      </w:r>
    </w:p>
    <w:p w14:paraId="3E4F1D30" w14:textId="77777777" w:rsidR="007E67EF" w:rsidRPr="007E67EF" w:rsidRDefault="007E67EF" w:rsidP="00D63204">
      <w:pPr>
        <w:pStyle w:val="ListParagraph"/>
        <w:spacing w:line="240" w:lineRule="auto"/>
        <w:ind w:left="810"/>
        <w:rPr>
          <w:rFonts w:ascii="Calibri" w:hAnsi="Calibri"/>
        </w:rPr>
      </w:pPr>
    </w:p>
    <w:p w14:paraId="238FF654" w14:textId="175B80D8" w:rsidR="00F36FD8" w:rsidRDefault="00F36FD8" w:rsidP="00D63204">
      <w:pPr>
        <w:pStyle w:val="ListParagraph"/>
        <w:numPr>
          <w:ilvl w:val="0"/>
          <w:numId w:val="159"/>
        </w:numPr>
        <w:spacing w:line="240" w:lineRule="auto"/>
        <w:rPr>
          <w:rFonts w:ascii="Calibri" w:hAnsi="Calibri"/>
        </w:rPr>
      </w:pPr>
      <w:r w:rsidRPr="007E67EF">
        <w:rPr>
          <w:rFonts w:ascii="Calibri" w:hAnsi="Calibri"/>
        </w:rPr>
        <w:t>Continue to provide joint training opportunities for VR employees and the Agency for Persons with Disabilities (APD).</w:t>
      </w:r>
    </w:p>
    <w:p w14:paraId="2C6AACC5" w14:textId="77777777" w:rsidR="007E67EF" w:rsidRPr="007E67EF" w:rsidRDefault="007E67EF" w:rsidP="00D63204">
      <w:pPr>
        <w:pStyle w:val="ListParagraph"/>
        <w:spacing w:line="240" w:lineRule="auto"/>
        <w:ind w:left="810"/>
        <w:rPr>
          <w:rFonts w:ascii="Calibri" w:hAnsi="Calibri"/>
        </w:rPr>
      </w:pPr>
    </w:p>
    <w:p w14:paraId="64E9C955" w14:textId="062DEB5C" w:rsidR="00F36FD8" w:rsidRDefault="00F36FD8" w:rsidP="00D63204">
      <w:pPr>
        <w:pStyle w:val="ListParagraph"/>
        <w:numPr>
          <w:ilvl w:val="0"/>
          <w:numId w:val="159"/>
        </w:numPr>
        <w:spacing w:line="240" w:lineRule="auto"/>
        <w:rPr>
          <w:rFonts w:ascii="Calibri" w:hAnsi="Calibri"/>
        </w:rPr>
      </w:pPr>
      <w:r w:rsidRPr="007E67EF">
        <w:rPr>
          <w:rFonts w:ascii="Calibri" w:hAnsi="Calibri"/>
        </w:rPr>
        <w:t>Provide funding to support collaboration between VR and other community resources through networking and leadership activities</w:t>
      </w:r>
      <w:r w:rsidR="005920CB">
        <w:rPr>
          <w:rFonts w:ascii="Calibri" w:hAnsi="Calibri"/>
        </w:rPr>
        <w:t>.</w:t>
      </w:r>
    </w:p>
    <w:p w14:paraId="38C90529" w14:textId="77777777" w:rsidR="00806BB4" w:rsidRPr="00806BB4" w:rsidRDefault="00806BB4" w:rsidP="00806BB4">
      <w:pPr>
        <w:pStyle w:val="ListParagraph"/>
        <w:rPr>
          <w:rFonts w:ascii="Calibri" w:hAnsi="Calibri"/>
        </w:rPr>
      </w:pPr>
    </w:p>
    <w:p w14:paraId="77DDB364" w14:textId="3F74B32B" w:rsidR="00F36FD8" w:rsidRPr="007E67EF" w:rsidRDefault="00F36FD8" w:rsidP="00D63204">
      <w:pPr>
        <w:pStyle w:val="ListParagraph"/>
        <w:numPr>
          <w:ilvl w:val="0"/>
          <w:numId w:val="159"/>
        </w:numPr>
        <w:spacing w:line="240" w:lineRule="auto"/>
        <w:rPr>
          <w:rFonts w:ascii="Calibri" w:hAnsi="Calibri"/>
        </w:rPr>
      </w:pPr>
      <w:r w:rsidRPr="007E67EF">
        <w:rPr>
          <w:rFonts w:ascii="Calibri" w:hAnsi="Calibri"/>
        </w:rPr>
        <w:t>Participate as an advisory member on a variety of grants from the Florida Developmental Disabilities Council that provide training and collaborative activities for providers, counselors</w:t>
      </w:r>
      <w:r w:rsidR="00D5537E">
        <w:rPr>
          <w:rFonts w:ascii="Calibri" w:hAnsi="Calibri"/>
        </w:rPr>
        <w:t xml:space="preserve"> and</w:t>
      </w:r>
      <w:r w:rsidRPr="007E67EF">
        <w:rPr>
          <w:rFonts w:ascii="Calibri" w:hAnsi="Calibri"/>
        </w:rPr>
        <w:t xml:space="preserve"> other agency employees</w:t>
      </w:r>
      <w:r w:rsidR="005920CB">
        <w:rPr>
          <w:rFonts w:ascii="Calibri" w:hAnsi="Calibri"/>
        </w:rPr>
        <w:t>.</w:t>
      </w:r>
    </w:p>
    <w:p w14:paraId="0F380AA7" w14:textId="77777777" w:rsidR="00F36FD8" w:rsidRPr="007E67EF" w:rsidRDefault="00F36FD8" w:rsidP="00D63204">
      <w:pPr>
        <w:spacing w:after="0" w:line="240" w:lineRule="auto"/>
        <w:ind w:left="90"/>
        <w:rPr>
          <w:rFonts w:ascii="Calibri" w:hAnsi="Calibri"/>
          <w:b/>
          <w:u w:val="single"/>
        </w:rPr>
      </w:pPr>
      <w:r w:rsidRPr="007E67EF">
        <w:rPr>
          <w:rFonts w:ascii="Calibri" w:hAnsi="Calibri"/>
          <w:b/>
          <w:u w:val="single"/>
        </w:rPr>
        <w:t>Update:</w:t>
      </w:r>
    </w:p>
    <w:p w14:paraId="73FD5DF0" w14:textId="1F15D238" w:rsidR="00F36FD8" w:rsidRPr="00F36FD8" w:rsidRDefault="00F36FD8" w:rsidP="00D63204">
      <w:pPr>
        <w:spacing w:line="240" w:lineRule="auto"/>
        <w:ind w:left="90"/>
        <w:rPr>
          <w:rFonts w:ascii="Calibri" w:hAnsi="Calibri"/>
        </w:rPr>
      </w:pPr>
      <w:r w:rsidRPr="00F36FD8">
        <w:rPr>
          <w:rFonts w:ascii="Calibri" w:hAnsi="Calibri"/>
        </w:rPr>
        <w:t>The Supported Employment Senior Consultant provide</w:t>
      </w:r>
      <w:r w:rsidR="00754F1C">
        <w:rPr>
          <w:rFonts w:ascii="Calibri" w:hAnsi="Calibri"/>
        </w:rPr>
        <w:t xml:space="preserve">s </w:t>
      </w:r>
      <w:r w:rsidR="00754F1C" w:rsidRPr="00F36FD8">
        <w:rPr>
          <w:rFonts w:ascii="Calibri" w:hAnsi="Calibri"/>
        </w:rPr>
        <w:t xml:space="preserve">service delivery </w:t>
      </w:r>
      <w:r w:rsidR="00754F1C">
        <w:rPr>
          <w:rFonts w:ascii="Calibri" w:hAnsi="Calibri"/>
        </w:rPr>
        <w:t>training</w:t>
      </w:r>
      <w:r w:rsidRPr="00F36FD8">
        <w:rPr>
          <w:rFonts w:ascii="Calibri" w:hAnsi="Calibri"/>
        </w:rPr>
        <w:t xml:space="preserve"> for individuals with the most significant disabilities to new counselors, as well as follow-up trainings and technical assistance to seasoned counselors and supervisors at conferences, meetings</w:t>
      </w:r>
      <w:r w:rsidR="00D5537E">
        <w:rPr>
          <w:rFonts w:ascii="Calibri" w:hAnsi="Calibri"/>
        </w:rPr>
        <w:t xml:space="preserve"> and</w:t>
      </w:r>
      <w:r w:rsidRPr="00F36FD8">
        <w:rPr>
          <w:rFonts w:ascii="Calibri" w:hAnsi="Calibri"/>
        </w:rPr>
        <w:t xml:space="preserve"> workshops.</w:t>
      </w:r>
    </w:p>
    <w:p w14:paraId="5A09C602" w14:textId="66DEA286" w:rsidR="00F36FD8" w:rsidRPr="00F36FD8" w:rsidRDefault="00F36FD8" w:rsidP="00D63204">
      <w:pPr>
        <w:spacing w:line="240" w:lineRule="auto"/>
        <w:ind w:left="90"/>
        <w:rPr>
          <w:rFonts w:ascii="Calibri" w:hAnsi="Calibri"/>
        </w:rPr>
      </w:pPr>
      <w:r w:rsidRPr="00F36FD8">
        <w:rPr>
          <w:rFonts w:ascii="Calibri" w:hAnsi="Calibri"/>
        </w:rPr>
        <w:t xml:space="preserve">VR </w:t>
      </w:r>
      <w:r w:rsidR="00476145">
        <w:rPr>
          <w:rFonts w:ascii="Calibri" w:hAnsi="Calibri"/>
        </w:rPr>
        <w:t>c</w:t>
      </w:r>
      <w:r w:rsidRPr="00F36FD8">
        <w:rPr>
          <w:rFonts w:ascii="Calibri" w:hAnsi="Calibri"/>
        </w:rPr>
        <w:t xml:space="preserve">onsultants provided training to families and members in the community as requested. These sessions are designed to provide information and a vision that Supported Employment services are designed for individuals with the most significant disabilities. They provide families and customers with the information </w:t>
      </w:r>
      <w:r w:rsidR="00393615">
        <w:rPr>
          <w:rFonts w:ascii="Calibri" w:hAnsi="Calibri"/>
        </w:rPr>
        <w:t xml:space="preserve">needed to </w:t>
      </w:r>
      <w:r w:rsidRPr="00F36FD8">
        <w:rPr>
          <w:rFonts w:ascii="Calibri" w:hAnsi="Calibri"/>
        </w:rPr>
        <w:t>become successfully employed. The sessions were provided to the groups and organizations listed below. Additional presentations are made throughout the year to local stakeholder groups.</w:t>
      </w:r>
    </w:p>
    <w:p w14:paraId="43FE2473" w14:textId="025AABD8" w:rsidR="00F36FD8" w:rsidRDefault="00F36FD8" w:rsidP="00D63204">
      <w:pPr>
        <w:pStyle w:val="ListParagraph"/>
        <w:numPr>
          <w:ilvl w:val="0"/>
          <w:numId w:val="160"/>
        </w:numPr>
        <w:spacing w:line="240" w:lineRule="auto"/>
        <w:rPr>
          <w:rFonts w:ascii="Calibri" w:hAnsi="Calibri"/>
        </w:rPr>
      </w:pPr>
      <w:r w:rsidRPr="007E67EF">
        <w:rPr>
          <w:rFonts w:ascii="Calibri" w:hAnsi="Calibri"/>
        </w:rPr>
        <w:t>Florida Developmental Disability Council</w:t>
      </w:r>
    </w:p>
    <w:p w14:paraId="6B7F2FD1" w14:textId="77777777" w:rsidR="007E67EF" w:rsidRPr="007E67EF" w:rsidRDefault="007E67EF" w:rsidP="00D63204">
      <w:pPr>
        <w:pStyle w:val="ListParagraph"/>
        <w:spacing w:line="240" w:lineRule="auto"/>
        <w:ind w:left="810"/>
        <w:rPr>
          <w:rFonts w:ascii="Calibri" w:hAnsi="Calibri"/>
        </w:rPr>
      </w:pPr>
    </w:p>
    <w:p w14:paraId="07C934EF" w14:textId="39D1967E" w:rsidR="00F36FD8" w:rsidRDefault="00F36FD8" w:rsidP="00D63204">
      <w:pPr>
        <w:pStyle w:val="ListParagraph"/>
        <w:numPr>
          <w:ilvl w:val="0"/>
          <w:numId w:val="160"/>
        </w:numPr>
        <w:spacing w:line="240" w:lineRule="auto"/>
        <w:rPr>
          <w:rFonts w:ascii="Calibri" w:hAnsi="Calibri"/>
        </w:rPr>
      </w:pPr>
      <w:r w:rsidRPr="007E67EF">
        <w:rPr>
          <w:rFonts w:ascii="Calibri" w:hAnsi="Calibri"/>
        </w:rPr>
        <w:t>Florida Association of Rehabilitation Facilities</w:t>
      </w:r>
    </w:p>
    <w:p w14:paraId="38873C89" w14:textId="77777777" w:rsidR="007E67EF" w:rsidRPr="007E67EF" w:rsidRDefault="007E67EF" w:rsidP="00D63204">
      <w:pPr>
        <w:pStyle w:val="ListParagraph"/>
        <w:spacing w:line="240" w:lineRule="auto"/>
        <w:ind w:left="810"/>
        <w:rPr>
          <w:rFonts w:ascii="Calibri" w:hAnsi="Calibri"/>
        </w:rPr>
      </w:pPr>
    </w:p>
    <w:p w14:paraId="4D00708B" w14:textId="27B2C893" w:rsidR="00F36FD8" w:rsidRDefault="00F36FD8" w:rsidP="00D63204">
      <w:pPr>
        <w:pStyle w:val="ListParagraph"/>
        <w:numPr>
          <w:ilvl w:val="0"/>
          <w:numId w:val="160"/>
        </w:numPr>
        <w:spacing w:line="240" w:lineRule="auto"/>
        <w:rPr>
          <w:rFonts w:ascii="Calibri" w:hAnsi="Calibri"/>
        </w:rPr>
      </w:pPr>
      <w:r w:rsidRPr="007E67EF">
        <w:rPr>
          <w:rFonts w:ascii="Calibri" w:hAnsi="Calibri"/>
        </w:rPr>
        <w:t>Florida ARC Membership</w:t>
      </w:r>
    </w:p>
    <w:p w14:paraId="10C588DF" w14:textId="77777777" w:rsidR="007E67EF" w:rsidRPr="007E67EF" w:rsidRDefault="007E67EF" w:rsidP="00D63204">
      <w:pPr>
        <w:pStyle w:val="ListParagraph"/>
        <w:spacing w:line="240" w:lineRule="auto"/>
        <w:ind w:left="810"/>
        <w:rPr>
          <w:rFonts w:ascii="Calibri" w:hAnsi="Calibri"/>
        </w:rPr>
      </w:pPr>
    </w:p>
    <w:p w14:paraId="24EA556C" w14:textId="272284B6" w:rsidR="00F36FD8" w:rsidRDefault="00F36FD8" w:rsidP="00D63204">
      <w:pPr>
        <w:pStyle w:val="ListParagraph"/>
        <w:numPr>
          <w:ilvl w:val="0"/>
          <w:numId w:val="160"/>
        </w:numPr>
        <w:spacing w:line="240" w:lineRule="auto"/>
        <w:rPr>
          <w:rFonts w:ascii="Calibri" w:hAnsi="Calibri"/>
        </w:rPr>
      </w:pPr>
      <w:r w:rsidRPr="007E67EF">
        <w:rPr>
          <w:rFonts w:ascii="Calibri" w:hAnsi="Calibri"/>
        </w:rPr>
        <w:t>Florida Rehabilitation Council</w:t>
      </w:r>
    </w:p>
    <w:p w14:paraId="7249FD53" w14:textId="77777777" w:rsidR="007E67EF" w:rsidRPr="007E67EF" w:rsidRDefault="007E67EF" w:rsidP="00D63204">
      <w:pPr>
        <w:pStyle w:val="ListParagraph"/>
        <w:spacing w:line="240" w:lineRule="auto"/>
        <w:ind w:left="810"/>
        <w:rPr>
          <w:rFonts w:ascii="Calibri" w:hAnsi="Calibri"/>
        </w:rPr>
      </w:pPr>
    </w:p>
    <w:p w14:paraId="4CDBCA4E" w14:textId="2579CCBD" w:rsidR="00F36FD8" w:rsidRDefault="00F36FD8" w:rsidP="00D63204">
      <w:pPr>
        <w:pStyle w:val="ListParagraph"/>
        <w:numPr>
          <w:ilvl w:val="0"/>
          <w:numId w:val="160"/>
        </w:numPr>
        <w:spacing w:line="240" w:lineRule="auto"/>
        <w:rPr>
          <w:rFonts w:ascii="Calibri" w:hAnsi="Calibri"/>
        </w:rPr>
      </w:pPr>
      <w:r w:rsidRPr="007E67EF">
        <w:rPr>
          <w:rFonts w:ascii="Calibri" w:hAnsi="Calibri"/>
        </w:rPr>
        <w:t>Florida Project SEARCH Sites</w:t>
      </w:r>
    </w:p>
    <w:p w14:paraId="4CB03086" w14:textId="77777777" w:rsidR="007E67EF" w:rsidRPr="007E67EF" w:rsidRDefault="007E67EF" w:rsidP="00D63204">
      <w:pPr>
        <w:pStyle w:val="ListParagraph"/>
        <w:spacing w:line="240" w:lineRule="auto"/>
        <w:ind w:left="810"/>
        <w:rPr>
          <w:rFonts w:ascii="Calibri" w:hAnsi="Calibri"/>
        </w:rPr>
      </w:pPr>
    </w:p>
    <w:p w14:paraId="26ECE369" w14:textId="55590BA6" w:rsidR="00F36FD8" w:rsidRDefault="00F36FD8" w:rsidP="00D63204">
      <w:pPr>
        <w:pStyle w:val="ListParagraph"/>
        <w:numPr>
          <w:ilvl w:val="0"/>
          <w:numId w:val="160"/>
        </w:numPr>
        <w:spacing w:line="240" w:lineRule="auto"/>
        <w:rPr>
          <w:rFonts w:ascii="Calibri" w:hAnsi="Calibri"/>
        </w:rPr>
      </w:pPr>
      <w:r w:rsidRPr="007E67EF">
        <w:rPr>
          <w:rFonts w:ascii="Calibri" w:hAnsi="Calibri"/>
        </w:rPr>
        <w:t>Certified Business and Technical Assistance Consultant Area Trainings</w:t>
      </w:r>
    </w:p>
    <w:p w14:paraId="5420BC37" w14:textId="77777777" w:rsidR="007E67EF" w:rsidRPr="007E67EF" w:rsidRDefault="007E67EF" w:rsidP="00D63204">
      <w:pPr>
        <w:pStyle w:val="ListParagraph"/>
        <w:spacing w:line="240" w:lineRule="auto"/>
        <w:ind w:left="810"/>
        <w:rPr>
          <w:rFonts w:ascii="Calibri" w:hAnsi="Calibri"/>
        </w:rPr>
      </w:pPr>
    </w:p>
    <w:p w14:paraId="68DCFB26" w14:textId="588AA7E4" w:rsidR="00F36FD8" w:rsidRDefault="00F36FD8" w:rsidP="00D63204">
      <w:pPr>
        <w:pStyle w:val="ListParagraph"/>
        <w:numPr>
          <w:ilvl w:val="0"/>
          <w:numId w:val="160"/>
        </w:numPr>
        <w:spacing w:line="240" w:lineRule="auto"/>
        <w:rPr>
          <w:rFonts w:ascii="Calibri" w:hAnsi="Calibri"/>
        </w:rPr>
      </w:pPr>
      <w:r w:rsidRPr="007E67EF">
        <w:rPr>
          <w:rFonts w:ascii="Calibri" w:hAnsi="Calibri"/>
        </w:rPr>
        <w:t>Standing Transition Committees throughout Florida</w:t>
      </w:r>
    </w:p>
    <w:p w14:paraId="5A57AFE4" w14:textId="77777777" w:rsidR="007E67EF" w:rsidRPr="007E67EF" w:rsidRDefault="007E67EF" w:rsidP="00D63204">
      <w:pPr>
        <w:pStyle w:val="ListParagraph"/>
        <w:spacing w:line="240" w:lineRule="auto"/>
        <w:ind w:left="810"/>
        <w:rPr>
          <w:rFonts w:ascii="Calibri" w:hAnsi="Calibri"/>
        </w:rPr>
      </w:pPr>
    </w:p>
    <w:p w14:paraId="009BD001" w14:textId="58899B01" w:rsidR="00F36FD8" w:rsidRDefault="00F36FD8" w:rsidP="00D63204">
      <w:pPr>
        <w:pStyle w:val="ListParagraph"/>
        <w:numPr>
          <w:ilvl w:val="0"/>
          <w:numId w:val="160"/>
        </w:numPr>
        <w:spacing w:line="240" w:lineRule="auto"/>
        <w:rPr>
          <w:rFonts w:ascii="Calibri" w:hAnsi="Calibri"/>
        </w:rPr>
      </w:pPr>
      <w:r w:rsidRPr="007E67EF">
        <w:rPr>
          <w:rFonts w:ascii="Calibri" w:hAnsi="Calibri"/>
        </w:rPr>
        <w:t>Individualized Technical Assistance and Trainings as requested</w:t>
      </w:r>
    </w:p>
    <w:p w14:paraId="320C4E9B" w14:textId="77777777" w:rsidR="007E67EF" w:rsidRPr="007E67EF" w:rsidRDefault="007E67EF" w:rsidP="00D63204">
      <w:pPr>
        <w:pStyle w:val="ListParagraph"/>
        <w:spacing w:line="240" w:lineRule="auto"/>
        <w:ind w:left="810"/>
        <w:rPr>
          <w:rFonts w:ascii="Calibri" w:hAnsi="Calibri"/>
        </w:rPr>
      </w:pPr>
    </w:p>
    <w:p w14:paraId="748758C1" w14:textId="45AC9B02" w:rsidR="00F36FD8" w:rsidRDefault="00F36FD8" w:rsidP="00D63204">
      <w:pPr>
        <w:pStyle w:val="ListParagraph"/>
        <w:numPr>
          <w:ilvl w:val="0"/>
          <w:numId w:val="160"/>
        </w:numPr>
        <w:spacing w:line="240" w:lineRule="auto"/>
        <w:rPr>
          <w:rFonts w:ascii="Calibri" w:hAnsi="Calibri"/>
        </w:rPr>
      </w:pPr>
      <w:r w:rsidRPr="007E67EF">
        <w:rPr>
          <w:rFonts w:ascii="Calibri" w:hAnsi="Calibri"/>
        </w:rPr>
        <w:t>Florida Department of Education – Bureau of Exceptional Education and Student Services</w:t>
      </w:r>
    </w:p>
    <w:p w14:paraId="09C3757F" w14:textId="77777777" w:rsidR="007E67EF" w:rsidRPr="007E67EF" w:rsidRDefault="007E67EF" w:rsidP="00D63204">
      <w:pPr>
        <w:pStyle w:val="ListParagraph"/>
        <w:spacing w:line="240" w:lineRule="auto"/>
        <w:ind w:left="810"/>
        <w:rPr>
          <w:rFonts w:ascii="Calibri" w:hAnsi="Calibri"/>
        </w:rPr>
      </w:pPr>
    </w:p>
    <w:p w14:paraId="0764CC45" w14:textId="792DBFE3" w:rsidR="00F36FD8" w:rsidRDefault="00F36FD8" w:rsidP="00D63204">
      <w:pPr>
        <w:pStyle w:val="ListParagraph"/>
        <w:numPr>
          <w:ilvl w:val="0"/>
          <w:numId w:val="160"/>
        </w:numPr>
        <w:spacing w:line="240" w:lineRule="auto"/>
        <w:rPr>
          <w:rFonts w:ascii="Calibri" w:hAnsi="Calibri"/>
        </w:rPr>
      </w:pPr>
      <w:r w:rsidRPr="007E67EF">
        <w:rPr>
          <w:rFonts w:ascii="Calibri" w:hAnsi="Calibri"/>
        </w:rPr>
        <w:t>Family Café Participants</w:t>
      </w:r>
    </w:p>
    <w:p w14:paraId="6B277108" w14:textId="77777777" w:rsidR="007E67EF" w:rsidRPr="007E67EF" w:rsidRDefault="007E67EF" w:rsidP="00D63204">
      <w:pPr>
        <w:pStyle w:val="ListParagraph"/>
        <w:spacing w:line="240" w:lineRule="auto"/>
        <w:ind w:left="810"/>
        <w:rPr>
          <w:rFonts w:ascii="Calibri" w:hAnsi="Calibri"/>
        </w:rPr>
      </w:pPr>
    </w:p>
    <w:p w14:paraId="40FD1E27" w14:textId="3017B66B" w:rsidR="00F36FD8" w:rsidRPr="007E67EF" w:rsidRDefault="00F36FD8" w:rsidP="00D63204">
      <w:pPr>
        <w:pStyle w:val="ListParagraph"/>
        <w:numPr>
          <w:ilvl w:val="0"/>
          <w:numId w:val="160"/>
        </w:numPr>
        <w:spacing w:line="240" w:lineRule="auto"/>
        <w:rPr>
          <w:rFonts w:ascii="Calibri" w:hAnsi="Calibri"/>
        </w:rPr>
      </w:pPr>
      <w:r w:rsidRPr="007E67EF">
        <w:rPr>
          <w:rFonts w:ascii="Calibri" w:hAnsi="Calibri"/>
        </w:rPr>
        <w:t>Visions Conference Attendees</w:t>
      </w:r>
    </w:p>
    <w:p w14:paraId="497A82A7" w14:textId="1BE646F5" w:rsidR="00F36FD8" w:rsidRPr="00F36FD8" w:rsidRDefault="00F36FD8" w:rsidP="00D63204">
      <w:pPr>
        <w:spacing w:line="240" w:lineRule="auto"/>
        <w:ind w:left="90"/>
        <w:rPr>
          <w:rFonts w:ascii="Calibri" w:hAnsi="Calibri"/>
        </w:rPr>
      </w:pPr>
      <w:r w:rsidRPr="00F36FD8">
        <w:rPr>
          <w:rFonts w:ascii="Calibri" w:hAnsi="Calibri"/>
        </w:rPr>
        <w:t xml:space="preserve">VR </w:t>
      </w:r>
      <w:r w:rsidR="00476145">
        <w:rPr>
          <w:rFonts w:ascii="Calibri" w:hAnsi="Calibri"/>
        </w:rPr>
        <w:t>senior c</w:t>
      </w:r>
      <w:r w:rsidRPr="00F36FD8">
        <w:rPr>
          <w:rFonts w:ascii="Calibri" w:hAnsi="Calibri"/>
        </w:rPr>
        <w:t>onsultants provide technical assistance and consultations on individual cases as requested by supervisors, family members, VR staff</w:t>
      </w:r>
      <w:r w:rsidR="00D5537E">
        <w:rPr>
          <w:rFonts w:ascii="Calibri" w:hAnsi="Calibri"/>
        </w:rPr>
        <w:t xml:space="preserve"> and</w:t>
      </w:r>
      <w:r w:rsidRPr="00F36FD8">
        <w:rPr>
          <w:rFonts w:ascii="Calibri" w:hAnsi="Calibri"/>
        </w:rPr>
        <w:t xml:space="preserve"> individual customers.</w:t>
      </w:r>
    </w:p>
    <w:p w14:paraId="7BF31B41" w14:textId="17AAC757" w:rsidR="00F36FD8" w:rsidRPr="00F36FD8" w:rsidRDefault="00806BB4" w:rsidP="00D63204">
      <w:pPr>
        <w:spacing w:line="240" w:lineRule="auto"/>
        <w:ind w:left="90"/>
        <w:rPr>
          <w:rFonts w:ascii="Calibri" w:hAnsi="Calibri"/>
        </w:rPr>
      </w:pPr>
      <w:r w:rsidRPr="00F36FD8">
        <w:rPr>
          <w:rFonts w:ascii="Calibri" w:hAnsi="Calibri"/>
        </w:rPr>
        <w:t>Several</w:t>
      </w:r>
      <w:r w:rsidR="00F36FD8" w:rsidRPr="00F36FD8">
        <w:rPr>
          <w:rFonts w:ascii="Calibri" w:hAnsi="Calibri"/>
        </w:rPr>
        <w:t xml:space="preserve"> strategies were used to support collaboration between VR and other community resources through </w:t>
      </w:r>
      <w:r w:rsidR="0072200F">
        <w:rPr>
          <w:rFonts w:ascii="Calibri" w:hAnsi="Calibri"/>
        </w:rPr>
        <w:t>the</w:t>
      </w:r>
      <w:r w:rsidR="00F36FD8" w:rsidRPr="00F36FD8">
        <w:rPr>
          <w:rFonts w:ascii="Calibri" w:hAnsi="Calibri"/>
        </w:rPr>
        <w:t xml:space="preserve"> networking and leadership activities listed below.</w:t>
      </w:r>
    </w:p>
    <w:p w14:paraId="38697D9B" w14:textId="7DF2A5B4" w:rsidR="00F36FD8" w:rsidRDefault="00F36FD8" w:rsidP="00D63204">
      <w:pPr>
        <w:pStyle w:val="ListParagraph"/>
        <w:numPr>
          <w:ilvl w:val="0"/>
          <w:numId w:val="161"/>
        </w:numPr>
        <w:spacing w:line="240" w:lineRule="auto"/>
        <w:rPr>
          <w:rFonts w:ascii="Calibri" w:hAnsi="Calibri"/>
        </w:rPr>
      </w:pPr>
      <w:r w:rsidRPr="007E67EF">
        <w:rPr>
          <w:rFonts w:ascii="Calibri" w:hAnsi="Calibri"/>
        </w:rPr>
        <w:t>Representation on the Florida Developmental Disabilities Council and Employment Task Force. This included helping develop pilot projects on a wide array of employment topics. Administrators were involved as task force members, on advisory committees</w:t>
      </w:r>
      <w:r w:rsidR="00D5537E">
        <w:rPr>
          <w:rFonts w:ascii="Calibri" w:hAnsi="Calibri"/>
        </w:rPr>
        <w:t xml:space="preserve"> and</w:t>
      </w:r>
      <w:r w:rsidRPr="007E67EF">
        <w:rPr>
          <w:rFonts w:ascii="Calibri" w:hAnsi="Calibri"/>
        </w:rPr>
        <w:t xml:space="preserve"> as monitors of projects. The projects complimented and supported VR’s mission of helping individuals prepare for, get or keep a job.</w:t>
      </w:r>
    </w:p>
    <w:p w14:paraId="6F0B7BFD" w14:textId="0AE4F7D3" w:rsidR="007E67EF" w:rsidRDefault="007E67EF" w:rsidP="00D63204">
      <w:pPr>
        <w:pStyle w:val="ListParagraph"/>
        <w:spacing w:line="240" w:lineRule="auto"/>
        <w:ind w:left="810"/>
        <w:rPr>
          <w:rFonts w:ascii="Calibri" w:hAnsi="Calibri"/>
        </w:rPr>
      </w:pPr>
    </w:p>
    <w:p w14:paraId="420479DA" w14:textId="60CBE4E6" w:rsidR="00F36FD8" w:rsidRDefault="00F36FD8" w:rsidP="00D63204">
      <w:pPr>
        <w:pStyle w:val="ListParagraph"/>
        <w:numPr>
          <w:ilvl w:val="0"/>
          <w:numId w:val="161"/>
        </w:numPr>
        <w:spacing w:line="240" w:lineRule="auto"/>
        <w:rPr>
          <w:rFonts w:ascii="Calibri" w:hAnsi="Calibri"/>
        </w:rPr>
      </w:pPr>
      <w:r w:rsidRPr="007E67EF">
        <w:rPr>
          <w:rFonts w:ascii="Calibri" w:hAnsi="Calibri"/>
        </w:rPr>
        <w:lastRenderedPageBreak/>
        <w:t>Presentations on Supported Employment at conferences around the state. Audiences included professionals, families</w:t>
      </w:r>
      <w:r w:rsidR="00D5537E">
        <w:rPr>
          <w:rFonts w:ascii="Calibri" w:hAnsi="Calibri"/>
        </w:rPr>
        <w:t xml:space="preserve"> and</w:t>
      </w:r>
      <w:r w:rsidRPr="007E67EF">
        <w:rPr>
          <w:rFonts w:ascii="Calibri" w:hAnsi="Calibri"/>
        </w:rPr>
        <w:t xml:space="preserve"> students regarding employment options.</w:t>
      </w:r>
    </w:p>
    <w:p w14:paraId="7901B7E4" w14:textId="77777777" w:rsidR="00806BB4" w:rsidRDefault="00806BB4" w:rsidP="00D63204">
      <w:pPr>
        <w:pStyle w:val="ListParagraph"/>
        <w:spacing w:line="240" w:lineRule="auto"/>
        <w:ind w:left="810"/>
        <w:rPr>
          <w:rFonts w:ascii="Calibri" w:hAnsi="Calibri"/>
        </w:rPr>
      </w:pPr>
    </w:p>
    <w:p w14:paraId="40C3722B" w14:textId="6C10AA9E" w:rsidR="00F36FD8" w:rsidRDefault="00F36FD8" w:rsidP="00D63204">
      <w:pPr>
        <w:pStyle w:val="ListParagraph"/>
        <w:numPr>
          <w:ilvl w:val="0"/>
          <w:numId w:val="161"/>
        </w:numPr>
        <w:spacing w:line="240" w:lineRule="auto"/>
        <w:rPr>
          <w:rFonts w:ascii="Calibri" w:hAnsi="Calibri"/>
        </w:rPr>
      </w:pPr>
      <w:r w:rsidRPr="007E67EF">
        <w:rPr>
          <w:rFonts w:ascii="Calibri" w:hAnsi="Calibri"/>
        </w:rPr>
        <w:t>Participation as a board member for the Florida Association of People Supporting Employment First (APSE).</w:t>
      </w:r>
    </w:p>
    <w:p w14:paraId="566E5945" w14:textId="77777777" w:rsidR="007E67EF" w:rsidRPr="007E67EF" w:rsidRDefault="007E67EF" w:rsidP="00D63204">
      <w:pPr>
        <w:pStyle w:val="ListParagraph"/>
        <w:spacing w:line="240" w:lineRule="auto"/>
        <w:ind w:left="810"/>
        <w:rPr>
          <w:rFonts w:ascii="Calibri" w:hAnsi="Calibri"/>
        </w:rPr>
      </w:pPr>
    </w:p>
    <w:p w14:paraId="24FFAA86" w14:textId="639D6001" w:rsidR="00F36FD8" w:rsidRDefault="00F36FD8" w:rsidP="00D63204">
      <w:pPr>
        <w:pStyle w:val="ListParagraph"/>
        <w:numPr>
          <w:ilvl w:val="0"/>
          <w:numId w:val="161"/>
        </w:numPr>
        <w:spacing w:line="240" w:lineRule="auto"/>
        <w:rPr>
          <w:rFonts w:ascii="Calibri" w:hAnsi="Calibri"/>
        </w:rPr>
      </w:pPr>
      <w:r w:rsidRPr="007E67EF">
        <w:rPr>
          <w:rFonts w:ascii="Calibri" w:hAnsi="Calibri"/>
        </w:rPr>
        <w:t>Representation on the Statewide Employment First Initiative by VR’s Supported Employment and Transition Consultants.</w:t>
      </w:r>
    </w:p>
    <w:p w14:paraId="277902AC" w14:textId="77777777" w:rsidR="007E67EF" w:rsidRPr="007E67EF" w:rsidRDefault="007E67EF" w:rsidP="00D63204">
      <w:pPr>
        <w:pStyle w:val="ListParagraph"/>
        <w:spacing w:line="240" w:lineRule="auto"/>
        <w:ind w:left="810"/>
        <w:rPr>
          <w:rFonts w:ascii="Calibri" w:hAnsi="Calibri"/>
        </w:rPr>
      </w:pPr>
    </w:p>
    <w:p w14:paraId="7F3D946B" w14:textId="7F421567" w:rsidR="00F36FD8" w:rsidRPr="007E67EF" w:rsidRDefault="00F36FD8" w:rsidP="00D63204">
      <w:pPr>
        <w:pStyle w:val="ListParagraph"/>
        <w:numPr>
          <w:ilvl w:val="0"/>
          <w:numId w:val="161"/>
        </w:numPr>
        <w:spacing w:line="240" w:lineRule="auto"/>
        <w:rPr>
          <w:rFonts w:ascii="Calibri" w:hAnsi="Calibri"/>
        </w:rPr>
      </w:pPr>
      <w:r w:rsidRPr="007E67EF">
        <w:rPr>
          <w:rFonts w:ascii="Calibri" w:hAnsi="Calibri"/>
        </w:rPr>
        <w:t>The VR Senior Consultant coordinated and developed training for providers and staff on Discovery and Customized Employment Services.</w:t>
      </w:r>
    </w:p>
    <w:p w14:paraId="7873C07B" w14:textId="584E5B85" w:rsidR="00F36FD8" w:rsidRPr="00F36FD8" w:rsidRDefault="00F36FD8" w:rsidP="00D63204">
      <w:pPr>
        <w:spacing w:line="240" w:lineRule="auto"/>
        <w:ind w:left="90"/>
        <w:rPr>
          <w:rFonts w:ascii="Calibri" w:hAnsi="Calibri"/>
        </w:rPr>
      </w:pPr>
      <w:r w:rsidRPr="00F36FD8">
        <w:rPr>
          <w:rFonts w:ascii="Calibri" w:hAnsi="Calibri"/>
        </w:rPr>
        <w:t>VR initiated and implemented training opportunities for adults who were participating in subminimum wage employment</w:t>
      </w:r>
      <w:r w:rsidR="005E7C49">
        <w:rPr>
          <w:rFonts w:ascii="Calibri" w:hAnsi="Calibri"/>
        </w:rPr>
        <w:t xml:space="preserve">. </w:t>
      </w:r>
      <w:r w:rsidRPr="00F36FD8">
        <w:rPr>
          <w:rFonts w:ascii="Calibri" w:hAnsi="Calibri"/>
        </w:rPr>
        <w:t>This service was provided in collaboration with 14 (C) employers and community providers</w:t>
      </w:r>
      <w:r w:rsidR="005E7C49">
        <w:rPr>
          <w:rFonts w:ascii="Calibri" w:hAnsi="Calibri"/>
        </w:rPr>
        <w:t xml:space="preserve">. </w:t>
      </w:r>
      <w:r w:rsidRPr="00F36FD8">
        <w:rPr>
          <w:rFonts w:ascii="Calibri" w:hAnsi="Calibri"/>
        </w:rPr>
        <w:t>4,780 individuals received Career Counseling Information and Referral Services during the first year of the program</w:t>
      </w:r>
      <w:r w:rsidR="005E7C49">
        <w:rPr>
          <w:rFonts w:ascii="Calibri" w:hAnsi="Calibri"/>
        </w:rPr>
        <w:t xml:space="preserve">. </w:t>
      </w:r>
      <w:r w:rsidRPr="00F36FD8">
        <w:rPr>
          <w:rFonts w:ascii="Calibri" w:hAnsi="Calibri"/>
        </w:rPr>
        <w:t>This course is designed to promote competitive integrated employment opportunities.</w:t>
      </w:r>
    </w:p>
    <w:p w14:paraId="0BAC3961" w14:textId="77777777" w:rsidR="00F36FD8" w:rsidRPr="00F36FD8" w:rsidRDefault="00F36FD8" w:rsidP="00D63204">
      <w:pPr>
        <w:spacing w:line="240" w:lineRule="auto"/>
        <w:ind w:left="90"/>
        <w:rPr>
          <w:rFonts w:ascii="Calibri" w:hAnsi="Calibri"/>
        </w:rPr>
      </w:pPr>
      <w:r w:rsidRPr="007E67EF">
        <w:rPr>
          <w:rFonts w:ascii="Calibri" w:hAnsi="Calibri"/>
          <w:b/>
        </w:rPr>
        <w:t>Goal 4:</w:t>
      </w:r>
      <w:r w:rsidRPr="00F36FD8">
        <w:rPr>
          <w:rFonts w:ascii="Calibri" w:hAnsi="Calibri"/>
        </w:rPr>
        <w:t xml:space="preserve"> Leverage resources for extended ongoing support services</w:t>
      </w:r>
    </w:p>
    <w:p w14:paraId="6921FA1B" w14:textId="15CB9589" w:rsidR="00F36FD8" w:rsidRDefault="00F36FD8" w:rsidP="00D63204">
      <w:pPr>
        <w:pStyle w:val="ListParagraph"/>
        <w:numPr>
          <w:ilvl w:val="0"/>
          <w:numId w:val="162"/>
        </w:numPr>
        <w:spacing w:line="240" w:lineRule="auto"/>
        <w:rPr>
          <w:rFonts w:ascii="Calibri" w:hAnsi="Calibri"/>
        </w:rPr>
      </w:pPr>
      <w:r w:rsidRPr="007E67EF">
        <w:rPr>
          <w:rFonts w:ascii="Calibri" w:hAnsi="Calibri"/>
        </w:rPr>
        <w:t>Continue to work with APD to make sure that referred customers know about the resources for extended service they can get through Medicaid Waiver Funding and/or general revenue funding.</w:t>
      </w:r>
    </w:p>
    <w:p w14:paraId="3E346A1C" w14:textId="77777777" w:rsidR="007E67EF" w:rsidRPr="007E67EF" w:rsidRDefault="007E67EF" w:rsidP="00D63204">
      <w:pPr>
        <w:pStyle w:val="ListParagraph"/>
        <w:spacing w:line="240" w:lineRule="auto"/>
        <w:ind w:left="810"/>
        <w:rPr>
          <w:rFonts w:ascii="Calibri" w:hAnsi="Calibri"/>
        </w:rPr>
      </w:pPr>
    </w:p>
    <w:p w14:paraId="5784BCAB" w14:textId="4D4A9840" w:rsidR="00F36FD8" w:rsidRDefault="00F36FD8" w:rsidP="00D63204">
      <w:pPr>
        <w:pStyle w:val="ListParagraph"/>
        <w:numPr>
          <w:ilvl w:val="0"/>
          <w:numId w:val="162"/>
        </w:numPr>
        <w:spacing w:line="240" w:lineRule="auto"/>
        <w:rPr>
          <w:rFonts w:ascii="Calibri" w:hAnsi="Calibri"/>
        </w:rPr>
      </w:pPr>
      <w:r w:rsidRPr="007E67EF">
        <w:rPr>
          <w:rFonts w:ascii="Calibri" w:hAnsi="Calibri"/>
        </w:rPr>
        <w:t>Continue to work with a network of providers to provide technical assistance and support of innovative projects that promote employment for individuals with the most significant disabilities.</w:t>
      </w:r>
    </w:p>
    <w:p w14:paraId="41BFA6B1" w14:textId="77777777" w:rsidR="007E67EF" w:rsidRPr="007E67EF" w:rsidRDefault="007E67EF" w:rsidP="00D63204">
      <w:pPr>
        <w:pStyle w:val="ListParagraph"/>
        <w:spacing w:line="240" w:lineRule="auto"/>
        <w:ind w:left="810"/>
        <w:rPr>
          <w:rFonts w:ascii="Calibri" w:hAnsi="Calibri"/>
        </w:rPr>
      </w:pPr>
    </w:p>
    <w:p w14:paraId="1A46C450" w14:textId="091924CC" w:rsidR="00F36FD8" w:rsidRDefault="00F36FD8" w:rsidP="00D63204">
      <w:pPr>
        <w:pStyle w:val="ListParagraph"/>
        <w:numPr>
          <w:ilvl w:val="0"/>
          <w:numId w:val="162"/>
        </w:numPr>
        <w:spacing w:line="240" w:lineRule="auto"/>
        <w:rPr>
          <w:rFonts w:ascii="Calibri" w:hAnsi="Calibri"/>
        </w:rPr>
      </w:pPr>
      <w:r w:rsidRPr="007E67EF">
        <w:rPr>
          <w:rFonts w:ascii="Calibri" w:hAnsi="Calibri"/>
        </w:rPr>
        <w:t>Provide training on the availability of funding extended services through Ticket to Work-Employment Network partnerships, natural supports</w:t>
      </w:r>
      <w:r w:rsidR="00D5537E">
        <w:rPr>
          <w:rFonts w:ascii="Calibri" w:hAnsi="Calibri"/>
        </w:rPr>
        <w:t xml:space="preserve"> and</w:t>
      </w:r>
      <w:r w:rsidRPr="007E67EF">
        <w:rPr>
          <w:rFonts w:ascii="Calibri" w:hAnsi="Calibri"/>
        </w:rPr>
        <w:t xml:space="preserve"> Social Security Work Incentives.</w:t>
      </w:r>
    </w:p>
    <w:p w14:paraId="4236F8A0" w14:textId="77777777" w:rsidR="007E67EF" w:rsidRPr="007E67EF" w:rsidRDefault="007E67EF" w:rsidP="00D63204">
      <w:pPr>
        <w:pStyle w:val="ListParagraph"/>
        <w:spacing w:line="240" w:lineRule="auto"/>
        <w:ind w:left="810"/>
        <w:rPr>
          <w:rFonts w:ascii="Calibri" w:hAnsi="Calibri"/>
        </w:rPr>
      </w:pPr>
    </w:p>
    <w:p w14:paraId="27E602E3" w14:textId="41F1608C" w:rsidR="00F36FD8" w:rsidRDefault="00F36FD8" w:rsidP="00D63204">
      <w:pPr>
        <w:pStyle w:val="ListParagraph"/>
        <w:numPr>
          <w:ilvl w:val="0"/>
          <w:numId w:val="162"/>
        </w:numPr>
        <w:spacing w:line="240" w:lineRule="auto"/>
        <w:rPr>
          <w:rFonts w:ascii="Calibri" w:hAnsi="Calibri"/>
        </w:rPr>
      </w:pPr>
      <w:r w:rsidRPr="007E67EF">
        <w:rPr>
          <w:rFonts w:ascii="Calibri" w:hAnsi="Calibri"/>
        </w:rPr>
        <w:t>Encourage the use of employer and natural supports as a resource for extended services.</w:t>
      </w:r>
    </w:p>
    <w:p w14:paraId="6411B718" w14:textId="77777777" w:rsidR="007E67EF" w:rsidRPr="007E67EF" w:rsidRDefault="007E67EF" w:rsidP="00D63204">
      <w:pPr>
        <w:pStyle w:val="ListParagraph"/>
        <w:spacing w:line="240" w:lineRule="auto"/>
        <w:ind w:left="810"/>
        <w:rPr>
          <w:rFonts w:ascii="Calibri" w:hAnsi="Calibri"/>
        </w:rPr>
      </w:pPr>
    </w:p>
    <w:p w14:paraId="3E097F6E" w14:textId="538A293C" w:rsidR="00F36FD8" w:rsidRDefault="00F36FD8" w:rsidP="00D63204">
      <w:pPr>
        <w:pStyle w:val="ListParagraph"/>
        <w:numPr>
          <w:ilvl w:val="0"/>
          <w:numId w:val="162"/>
        </w:numPr>
        <w:spacing w:line="240" w:lineRule="auto"/>
        <w:rPr>
          <w:rFonts w:ascii="Calibri" w:hAnsi="Calibri"/>
        </w:rPr>
      </w:pPr>
      <w:r w:rsidRPr="007E67EF">
        <w:rPr>
          <w:rFonts w:ascii="Calibri" w:hAnsi="Calibri"/>
        </w:rPr>
        <w:t>Enhance relationships with businesses and employers to let them know that on-the-job supports for individuals in Supported Employment are available. VR will continue efforts to strengthen community partnerships to increase access to appropriate employment services.</w:t>
      </w:r>
    </w:p>
    <w:p w14:paraId="765CD822" w14:textId="77777777" w:rsidR="007E67EF" w:rsidRPr="007E67EF" w:rsidRDefault="007E67EF" w:rsidP="00D63204">
      <w:pPr>
        <w:pStyle w:val="ListParagraph"/>
        <w:spacing w:line="240" w:lineRule="auto"/>
        <w:ind w:left="810"/>
        <w:rPr>
          <w:rFonts w:ascii="Calibri" w:hAnsi="Calibri"/>
        </w:rPr>
      </w:pPr>
    </w:p>
    <w:p w14:paraId="0D6A64F3" w14:textId="52144890" w:rsidR="00F36FD8" w:rsidRDefault="00F36FD8" w:rsidP="00D63204">
      <w:pPr>
        <w:pStyle w:val="ListParagraph"/>
        <w:numPr>
          <w:ilvl w:val="0"/>
          <w:numId w:val="162"/>
        </w:numPr>
        <w:spacing w:line="240" w:lineRule="auto"/>
        <w:rPr>
          <w:rFonts w:ascii="Calibri" w:hAnsi="Calibri"/>
        </w:rPr>
      </w:pPr>
      <w:r w:rsidRPr="007E67EF">
        <w:rPr>
          <w:rFonts w:ascii="Calibri" w:hAnsi="Calibri"/>
        </w:rPr>
        <w:t>Use the Business Relations Team to provide training and technical assistance to employers interested in working with VR customers. They will</w:t>
      </w:r>
      <w:r w:rsidR="00C57CE7">
        <w:rPr>
          <w:rFonts w:ascii="Calibri" w:hAnsi="Calibri"/>
        </w:rPr>
        <w:t xml:space="preserve"> also</w:t>
      </w:r>
      <w:r w:rsidRPr="007E67EF">
        <w:rPr>
          <w:rFonts w:ascii="Calibri" w:hAnsi="Calibri"/>
        </w:rPr>
        <w:t xml:space="preserve"> develop positive relationships with employers to increase employment opportunities.</w:t>
      </w:r>
    </w:p>
    <w:p w14:paraId="28F70F24" w14:textId="77777777" w:rsidR="007E67EF" w:rsidRPr="007E67EF" w:rsidRDefault="007E67EF" w:rsidP="00D63204">
      <w:pPr>
        <w:pStyle w:val="ListParagraph"/>
        <w:spacing w:line="240" w:lineRule="auto"/>
        <w:ind w:left="810"/>
        <w:rPr>
          <w:rFonts w:ascii="Calibri" w:hAnsi="Calibri"/>
        </w:rPr>
      </w:pPr>
    </w:p>
    <w:p w14:paraId="45AF646A" w14:textId="292FC56C" w:rsidR="00F36FD8" w:rsidRPr="007E67EF" w:rsidRDefault="00F36FD8" w:rsidP="00D63204">
      <w:pPr>
        <w:pStyle w:val="ListParagraph"/>
        <w:numPr>
          <w:ilvl w:val="0"/>
          <w:numId w:val="162"/>
        </w:numPr>
        <w:spacing w:line="240" w:lineRule="auto"/>
        <w:rPr>
          <w:rFonts w:ascii="Calibri" w:hAnsi="Calibri"/>
        </w:rPr>
      </w:pPr>
      <w:r w:rsidRPr="007E67EF">
        <w:rPr>
          <w:rFonts w:ascii="Calibri" w:hAnsi="Calibri"/>
        </w:rPr>
        <w:t xml:space="preserve">Use the AbilitiesWork Help Desk as a resource to link employers to qualified </w:t>
      </w:r>
      <w:r w:rsidR="00EB646F">
        <w:rPr>
          <w:rFonts w:ascii="Calibri" w:hAnsi="Calibri"/>
        </w:rPr>
        <w:t>job seeker</w:t>
      </w:r>
      <w:r w:rsidRPr="007E67EF">
        <w:rPr>
          <w:rFonts w:ascii="Calibri" w:hAnsi="Calibri"/>
        </w:rPr>
        <w:t>s with disabilities. VR is a partner in the development of and administers the AbilitiesWork Help Desk, a collaboration between the state’s Workforce system, Division of Blind Services</w:t>
      </w:r>
      <w:r w:rsidR="00D5537E">
        <w:rPr>
          <w:rFonts w:ascii="Calibri" w:hAnsi="Calibri"/>
        </w:rPr>
        <w:t xml:space="preserve"> and</w:t>
      </w:r>
      <w:r w:rsidRPr="007E67EF">
        <w:rPr>
          <w:rFonts w:ascii="Calibri" w:hAnsi="Calibri"/>
        </w:rPr>
        <w:t xml:space="preserve"> APD.</w:t>
      </w:r>
    </w:p>
    <w:p w14:paraId="74AC21CD" w14:textId="77777777" w:rsidR="00F36FD8" w:rsidRPr="007E67EF" w:rsidRDefault="00F36FD8" w:rsidP="00D63204">
      <w:pPr>
        <w:spacing w:after="0" w:line="240" w:lineRule="auto"/>
        <w:ind w:left="90"/>
        <w:rPr>
          <w:rFonts w:ascii="Calibri" w:hAnsi="Calibri"/>
          <w:b/>
          <w:u w:val="single"/>
        </w:rPr>
      </w:pPr>
      <w:r w:rsidRPr="007E67EF">
        <w:rPr>
          <w:rFonts w:ascii="Calibri" w:hAnsi="Calibri"/>
          <w:b/>
          <w:u w:val="single"/>
        </w:rPr>
        <w:t>Update:</w:t>
      </w:r>
    </w:p>
    <w:p w14:paraId="76073A5D" w14:textId="0FB193D7" w:rsidR="00806BB4" w:rsidRDefault="00F36FD8" w:rsidP="00C57FE2">
      <w:pPr>
        <w:spacing w:line="240" w:lineRule="auto"/>
        <w:ind w:left="90"/>
        <w:rPr>
          <w:rFonts w:ascii="Calibri" w:hAnsi="Calibri"/>
        </w:rPr>
      </w:pPr>
      <w:r w:rsidRPr="00F36FD8">
        <w:rPr>
          <w:rFonts w:ascii="Calibri" w:hAnsi="Calibri"/>
        </w:rPr>
        <w:t>VR</w:t>
      </w:r>
      <w:r w:rsidR="00C57CE7">
        <w:rPr>
          <w:rFonts w:ascii="Calibri" w:hAnsi="Calibri"/>
        </w:rPr>
        <w:t xml:space="preserve"> continues to </w:t>
      </w:r>
      <w:r w:rsidRPr="00F36FD8">
        <w:rPr>
          <w:rFonts w:ascii="Calibri" w:hAnsi="Calibri"/>
        </w:rPr>
        <w:t>work closely with the Agency for Persons (APD) with Disabilities to assist VR customers in receiving seamless ongoing support services</w:t>
      </w:r>
      <w:r w:rsidR="005E7C49">
        <w:rPr>
          <w:rFonts w:ascii="Calibri" w:hAnsi="Calibri"/>
        </w:rPr>
        <w:t xml:space="preserve">. </w:t>
      </w:r>
      <w:r w:rsidRPr="00F36FD8">
        <w:rPr>
          <w:rFonts w:ascii="Calibri" w:hAnsi="Calibri"/>
        </w:rPr>
        <w:t>VR and APD staff are working together to identify mutual customers and coordinate the needed services.</w:t>
      </w:r>
    </w:p>
    <w:p w14:paraId="467C785A" w14:textId="78562B0C" w:rsidR="00F36FD8" w:rsidRDefault="00F36FD8" w:rsidP="00D63204">
      <w:pPr>
        <w:spacing w:line="240" w:lineRule="auto"/>
        <w:ind w:left="90"/>
        <w:rPr>
          <w:rFonts w:ascii="Calibri" w:hAnsi="Calibri"/>
        </w:rPr>
      </w:pPr>
      <w:r w:rsidRPr="00F36FD8">
        <w:rPr>
          <w:rFonts w:ascii="Calibri" w:hAnsi="Calibri"/>
        </w:rPr>
        <w:t xml:space="preserve">VR </w:t>
      </w:r>
      <w:r w:rsidR="00C57CE7">
        <w:rPr>
          <w:rFonts w:ascii="Calibri" w:hAnsi="Calibri"/>
        </w:rPr>
        <w:t xml:space="preserve">continues to </w:t>
      </w:r>
      <w:r w:rsidRPr="00F36FD8">
        <w:rPr>
          <w:rFonts w:ascii="Calibri" w:hAnsi="Calibri"/>
        </w:rPr>
        <w:t xml:space="preserve">expand its services to include Discovery and Customized Placement services to help individuals with most significant disabilities become employed. Discovery improves the quality of the placements, increases </w:t>
      </w:r>
      <w:r w:rsidRPr="00F36FD8">
        <w:rPr>
          <w:rFonts w:ascii="Calibri" w:hAnsi="Calibri"/>
        </w:rPr>
        <w:lastRenderedPageBreak/>
        <w:t>the success of the job placements</w:t>
      </w:r>
      <w:r w:rsidR="00D5537E">
        <w:rPr>
          <w:rFonts w:ascii="Calibri" w:hAnsi="Calibri"/>
        </w:rPr>
        <w:t xml:space="preserve"> and</w:t>
      </w:r>
      <w:r w:rsidRPr="00F36FD8">
        <w:rPr>
          <w:rFonts w:ascii="Calibri" w:hAnsi="Calibri"/>
        </w:rPr>
        <w:t xml:space="preserve"> reduces the need for intense follow up supports. Concentrated efforts are in place to continue to increase capacity across the state.</w:t>
      </w:r>
    </w:p>
    <w:p w14:paraId="3021F474" w14:textId="1CBE5CF4" w:rsidR="00F36FD8" w:rsidRPr="00F36FD8" w:rsidRDefault="00F36FD8" w:rsidP="00D63204">
      <w:pPr>
        <w:spacing w:line="240" w:lineRule="auto"/>
        <w:ind w:left="90"/>
        <w:rPr>
          <w:rFonts w:ascii="Calibri" w:hAnsi="Calibri"/>
        </w:rPr>
      </w:pPr>
      <w:r w:rsidRPr="00F36FD8">
        <w:rPr>
          <w:rFonts w:ascii="Calibri" w:hAnsi="Calibri"/>
        </w:rPr>
        <w:t>VR and APD consultants work together to provide training for VR counselors, waiver support coordinators</w:t>
      </w:r>
      <w:r w:rsidR="00D5537E">
        <w:rPr>
          <w:rFonts w:ascii="Calibri" w:hAnsi="Calibri"/>
        </w:rPr>
        <w:t xml:space="preserve"> and</w:t>
      </w:r>
      <w:r w:rsidRPr="00F36FD8">
        <w:rPr>
          <w:rFonts w:ascii="Calibri" w:hAnsi="Calibri"/>
        </w:rPr>
        <w:t xml:space="preserve"> for APD field staff on best practices in Supported Employment and the roles and responsibilities of all partners. Training included a focus on all of the possible extended service options. </w:t>
      </w:r>
    </w:p>
    <w:p w14:paraId="21ABE53A" w14:textId="4E00BE34" w:rsidR="00F36FD8" w:rsidRPr="00F36FD8" w:rsidRDefault="00F36FD8" w:rsidP="00D63204">
      <w:pPr>
        <w:spacing w:line="240" w:lineRule="auto"/>
        <w:ind w:left="90"/>
        <w:rPr>
          <w:rFonts w:ascii="Calibri" w:hAnsi="Calibri"/>
        </w:rPr>
      </w:pPr>
      <w:r w:rsidRPr="00F36FD8">
        <w:rPr>
          <w:rFonts w:ascii="Calibri" w:hAnsi="Calibri"/>
        </w:rPr>
        <w:t xml:space="preserve"> VR may offer youth extended services for up to four years, as necessary</w:t>
      </w:r>
      <w:r w:rsidR="00D5537E">
        <w:rPr>
          <w:rFonts w:ascii="Calibri" w:hAnsi="Calibri"/>
        </w:rPr>
        <w:t xml:space="preserve"> and</w:t>
      </w:r>
      <w:r w:rsidRPr="00F36FD8">
        <w:rPr>
          <w:rFonts w:ascii="Calibri" w:hAnsi="Calibri"/>
        </w:rPr>
        <w:t xml:space="preserve"> as funds permit</w:t>
      </w:r>
      <w:r w:rsidR="005E7C49">
        <w:rPr>
          <w:rFonts w:ascii="Calibri" w:hAnsi="Calibri"/>
        </w:rPr>
        <w:t xml:space="preserve">. </w:t>
      </w:r>
    </w:p>
    <w:p w14:paraId="5A85A8CD" w14:textId="77777777" w:rsidR="00F36FD8" w:rsidRPr="00F36FD8" w:rsidRDefault="00F36FD8" w:rsidP="00D63204">
      <w:pPr>
        <w:spacing w:line="240" w:lineRule="auto"/>
        <w:ind w:left="90"/>
        <w:rPr>
          <w:rFonts w:ascii="Calibri" w:hAnsi="Calibri"/>
        </w:rPr>
      </w:pPr>
      <w:r w:rsidRPr="00F36FD8">
        <w:rPr>
          <w:rFonts w:ascii="Calibri" w:hAnsi="Calibri"/>
        </w:rPr>
        <w:t>The Supported Employment administrator provides training to field staff on the multiple options available for extended services. The development of natural and employer supports available on the jobsite has been a specific focus of VR efforts.</w:t>
      </w:r>
    </w:p>
    <w:p w14:paraId="0C43A1B3" w14:textId="0D8DA843" w:rsidR="00F36FD8" w:rsidRPr="00493CD4" w:rsidRDefault="00F36FD8" w:rsidP="00D63204">
      <w:pPr>
        <w:pStyle w:val="ListParagraph"/>
        <w:numPr>
          <w:ilvl w:val="0"/>
          <w:numId w:val="122"/>
        </w:numPr>
        <w:spacing w:line="240" w:lineRule="auto"/>
        <w:rPr>
          <w:rFonts w:ascii="Calibri" w:hAnsi="Calibri"/>
          <w:b/>
          <w:color w:val="1F497D" w:themeColor="text2"/>
          <w:sz w:val="26"/>
          <w:szCs w:val="26"/>
        </w:rPr>
      </w:pPr>
      <w:r w:rsidRPr="00493CD4">
        <w:rPr>
          <w:rFonts w:ascii="Calibri" w:hAnsi="Calibri"/>
          <w:b/>
          <w:color w:val="1F497D" w:themeColor="text2"/>
          <w:sz w:val="26"/>
          <w:szCs w:val="26"/>
        </w:rPr>
        <w:t>Quality, Scope</w:t>
      </w:r>
      <w:r w:rsidR="00D5537E">
        <w:rPr>
          <w:rFonts w:ascii="Calibri" w:hAnsi="Calibri"/>
          <w:b/>
          <w:color w:val="1F497D" w:themeColor="text2"/>
          <w:sz w:val="26"/>
          <w:szCs w:val="26"/>
        </w:rPr>
        <w:t xml:space="preserve"> and</w:t>
      </w:r>
      <w:r w:rsidRPr="00493CD4">
        <w:rPr>
          <w:rFonts w:ascii="Calibri" w:hAnsi="Calibri"/>
          <w:b/>
          <w:color w:val="1F497D" w:themeColor="text2"/>
          <w:sz w:val="26"/>
          <w:szCs w:val="26"/>
        </w:rPr>
        <w:t xml:space="preserve"> Extent of Supported Employment Services</w:t>
      </w:r>
    </w:p>
    <w:p w14:paraId="0586EFD5" w14:textId="4147EE1D" w:rsidR="00F36FD8" w:rsidRPr="00F36FD8" w:rsidRDefault="00F36FD8" w:rsidP="00D63204">
      <w:pPr>
        <w:spacing w:after="0" w:line="240" w:lineRule="auto"/>
        <w:ind w:left="90"/>
        <w:rPr>
          <w:rFonts w:ascii="Calibri" w:hAnsi="Calibri"/>
        </w:rPr>
      </w:pPr>
      <w:r w:rsidRPr="007E67EF">
        <w:rPr>
          <w:rFonts w:ascii="Calibri" w:hAnsi="Calibri"/>
          <w:b/>
          <w:u w:val="single"/>
        </w:rPr>
        <w:t>Quality</w:t>
      </w:r>
    </w:p>
    <w:p w14:paraId="24AB6292" w14:textId="628D024E" w:rsidR="00F36FD8" w:rsidRPr="00F36FD8" w:rsidRDefault="00F36FD8" w:rsidP="00D63204">
      <w:pPr>
        <w:spacing w:line="240" w:lineRule="auto"/>
        <w:ind w:left="90"/>
        <w:rPr>
          <w:rFonts w:ascii="Calibri" w:hAnsi="Calibri"/>
        </w:rPr>
      </w:pPr>
      <w:r w:rsidRPr="00F36FD8">
        <w:rPr>
          <w:rFonts w:ascii="Calibri" w:hAnsi="Calibri"/>
        </w:rPr>
        <w:t>The Division of Vocational Rehabilitation (VR) is committed to providing quality Supported Employment services to individuals with the most significant disabilities. VR supports the individual in making employment choices consistent with their strengths, resources, priorities, concerns, abilities, capabilities</w:t>
      </w:r>
      <w:r w:rsidR="00D5537E">
        <w:rPr>
          <w:rFonts w:ascii="Calibri" w:hAnsi="Calibri"/>
        </w:rPr>
        <w:t xml:space="preserve"> and</w:t>
      </w:r>
      <w:r w:rsidRPr="00F36FD8">
        <w:rPr>
          <w:rFonts w:ascii="Calibri" w:hAnsi="Calibri"/>
        </w:rPr>
        <w:t xml:space="preserve"> interests. The scope of services varies based on the amount, intensity</w:t>
      </w:r>
      <w:r w:rsidR="00D5537E">
        <w:rPr>
          <w:rFonts w:ascii="Calibri" w:hAnsi="Calibri"/>
        </w:rPr>
        <w:t xml:space="preserve"> and</w:t>
      </w:r>
      <w:r w:rsidRPr="00F36FD8">
        <w:rPr>
          <w:rFonts w:ascii="Calibri" w:hAnsi="Calibri"/>
        </w:rPr>
        <w:t xml:space="preserve"> support needed by each individual.</w:t>
      </w:r>
    </w:p>
    <w:p w14:paraId="0CC83F22" w14:textId="77777777" w:rsidR="00F36FD8" w:rsidRPr="00F36FD8" w:rsidRDefault="00F36FD8" w:rsidP="00D63204">
      <w:pPr>
        <w:spacing w:line="240" w:lineRule="auto"/>
        <w:ind w:left="90"/>
        <w:rPr>
          <w:rFonts w:ascii="Calibri" w:hAnsi="Calibri"/>
        </w:rPr>
      </w:pPr>
      <w:r w:rsidRPr="00F36FD8">
        <w:rPr>
          <w:rFonts w:ascii="Calibri" w:hAnsi="Calibri"/>
        </w:rPr>
        <w:t>VR counselors work in partnership with the individual when developing the Individualized Plan for Employment (IPE). This plan guides the services and supports that are needed for that individual. The IPE is evaluated throughout the process and updated as needed.</w:t>
      </w:r>
    </w:p>
    <w:p w14:paraId="792AA383" w14:textId="77777777" w:rsidR="00F36FD8" w:rsidRPr="00F36FD8" w:rsidRDefault="00F36FD8" w:rsidP="00D63204">
      <w:pPr>
        <w:spacing w:line="240" w:lineRule="auto"/>
        <w:ind w:left="90"/>
        <w:rPr>
          <w:rFonts w:ascii="Calibri" w:hAnsi="Calibri"/>
        </w:rPr>
      </w:pPr>
      <w:r w:rsidRPr="00F36FD8">
        <w:rPr>
          <w:rFonts w:ascii="Calibri" w:hAnsi="Calibri"/>
        </w:rPr>
        <w:t xml:space="preserve">The quality of Supported Employment outcomes is assessed individually. Each individual receives services that are determined based on the specific needs of that person. A key component of evaluating the service is the individual satisfaction with the services and supports, as well as a successful employment outcome. </w:t>
      </w:r>
    </w:p>
    <w:p w14:paraId="040DDFEA" w14:textId="569E528F" w:rsidR="00F36FD8" w:rsidRPr="00F36FD8" w:rsidRDefault="00F36FD8" w:rsidP="00D63204">
      <w:pPr>
        <w:spacing w:line="240" w:lineRule="auto"/>
        <w:ind w:left="90"/>
        <w:rPr>
          <w:rFonts w:ascii="Calibri" w:hAnsi="Calibri"/>
        </w:rPr>
      </w:pPr>
      <w:r w:rsidRPr="00F36FD8">
        <w:rPr>
          <w:rFonts w:ascii="Calibri" w:hAnsi="Calibri"/>
        </w:rPr>
        <w:t>VR makes every effort to provide opportunities for individuals to provide their feedback on the services they received from VR. This feedback is useful information in adjusting and improving VR services to better meet their needs. There are formal service surveys, public hearings and satisfaction surveys. The VR counselor has regular communications with the individual and the Supported Employment provider to monitor, provide counseling</w:t>
      </w:r>
      <w:r w:rsidR="00D5537E">
        <w:rPr>
          <w:rFonts w:ascii="Calibri" w:hAnsi="Calibri"/>
        </w:rPr>
        <w:t xml:space="preserve"> and</w:t>
      </w:r>
      <w:r w:rsidRPr="00F36FD8">
        <w:rPr>
          <w:rFonts w:ascii="Calibri" w:hAnsi="Calibri"/>
        </w:rPr>
        <w:t xml:space="preserve"> assist the individual, as needed.</w:t>
      </w:r>
    </w:p>
    <w:p w14:paraId="626E96D1" w14:textId="18D3AB25" w:rsidR="00F36FD8" w:rsidRPr="00F36FD8" w:rsidRDefault="00F36FD8" w:rsidP="00D63204">
      <w:pPr>
        <w:spacing w:line="240" w:lineRule="auto"/>
        <w:ind w:left="90"/>
        <w:rPr>
          <w:rFonts w:ascii="Calibri" w:hAnsi="Calibri"/>
        </w:rPr>
      </w:pPr>
      <w:r w:rsidRPr="00F36FD8">
        <w:rPr>
          <w:rFonts w:ascii="Calibri" w:hAnsi="Calibri"/>
        </w:rPr>
        <w:t>VR recognizes that it is important to get feedback from the employer and provider’s perspectives to determine the quality of service and make necessary improvements</w:t>
      </w:r>
      <w:r w:rsidR="005E7C49">
        <w:rPr>
          <w:rFonts w:ascii="Calibri" w:hAnsi="Calibri"/>
        </w:rPr>
        <w:t xml:space="preserve">. </w:t>
      </w:r>
      <w:r w:rsidRPr="00F36FD8">
        <w:rPr>
          <w:rFonts w:ascii="Calibri" w:hAnsi="Calibri"/>
        </w:rPr>
        <w:t>They are encouraged to let VR know at any point if support is needed.</w:t>
      </w:r>
    </w:p>
    <w:p w14:paraId="5D2C0BAF" w14:textId="14E6D704" w:rsidR="00F36FD8" w:rsidRPr="00F36FD8" w:rsidRDefault="00F36FD8" w:rsidP="00D63204">
      <w:pPr>
        <w:spacing w:after="0" w:line="240" w:lineRule="auto"/>
        <w:ind w:left="90"/>
        <w:rPr>
          <w:rFonts w:ascii="Calibri" w:hAnsi="Calibri"/>
        </w:rPr>
      </w:pPr>
      <w:r w:rsidRPr="007E67EF">
        <w:rPr>
          <w:rFonts w:ascii="Calibri" w:hAnsi="Calibri"/>
          <w:b/>
          <w:u w:val="single"/>
        </w:rPr>
        <w:t>Scope</w:t>
      </w:r>
    </w:p>
    <w:p w14:paraId="7DC90F56" w14:textId="12D22B31" w:rsidR="00F36FD8" w:rsidRPr="00F36FD8" w:rsidRDefault="00F36FD8" w:rsidP="00D63204">
      <w:pPr>
        <w:spacing w:line="240" w:lineRule="auto"/>
        <w:ind w:left="90"/>
        <w:rPr>
          <w:rFonts w:ascii="Calibri" w:hAnsi="Calibri"/>
        </w:rPr>
      </w:pPr>
      <w:r w:rsidRPr="00F36FD8">
        <w:rPr>
          <w:rFonts w:ascii="Calibri" w:hAnsi="Calibri"/>
        </w:rPr>
        <w:t>The scope of Supported Employment services varies based on the amount, intensity</w:t>
      </w:r>
      <w:r w:rsidR="00D5537E">
        <w:rPr>
          <w:rFonts w:ascii="Calibri" w:hAnsi="Calibri"/>
        </w:rPr>
        <w:t xml:space="preserve"> and</w:t>
      </w:r>
      <w:r w:rsidRPr="00F36FD8">
        <w:rPr>
          <w:rFonts w:ascii="Calibri" w:hAnsi="Calibri"/>
        </w:rPr>
        <w:t xml:space="preserve"> type of support each person may need to obtain and maintain a job. VR provides the intensive initial services needed to help an individual with a most significant disability obtain and maintain a job of his/her choice.</w:t>
      </w:r>
    </w:p>
    <w:p w14:paraId="5EC24041" w14:textId="2E27B344" w:rsidR="00806BB4" w:rsidRPr="00F36FD8" w:rsidRDefault="00F36FD8" w:rsidP="00C57FE2">
      <w:pPr>
        <w:spacing w:line="240" w:lineRule="auto"/>
        <w:ind w:left="90"/>
        <w:rPr>
          <w:rFonts w:ascii="Calibri" w:hAnsi="Calibri"/>
        </w:rPr>
      </w:pPr>
      <w:r w:rsidRPr="00F36FD8">
        <w:rPr>
          <w:rFonts w:ascii="Calibri" w:hAnsi="Calibri"/>
        </w:rPr>
        <w:t>Supported Employment makes possible competitive integrated employment for individuals with the most significant disabilities and for whom competitive employment has not traditionally occurred</w:t>
      </w:r>
      <w:r w:rsidR="00D5537E">
        <w:rPr>
          <w:rFonts w:ascii="Calibri" w:hAnsi="Calibri"/>
        </w:rPr>
        <w:t xml:space="preserve"> and</w:t>
      </w:r>
      <w:r w:rsidRPr="00F36FD8">
        <w:rPr>
          <w:rFonts w:ascii="Calibri" w:hAnsi="Calibri"/>
        </w:rPr>
        <w:t xml:space="preserve"> because of the severity of their disability, need ongoing support services to maintain their jobs.</w:t>
      </w:r>
    </w:p>
    <w:p w14:paraId="7FA56F39" w14:textId="77777777" w:rsidR="00F36FD8" w:rsidRPr="00F36FD8" w:rsidRDefault="00F36FD8" w:rsidP="00D63204">
      <w:pPr>
        <w:spacing w:line="240" w:lineRule="auto"/>
        <w:ind w:left="90"/>
        <w:rPr>
          <w:rFonts w:ascii="Calibri" w:hAnsi="Calibri"/>
        </w:rPr>
      </w:pPr>
      <w:r w:rsidRPr="00F36FD8">
        <w:rPr>
          <w:rFonts w:ascii="Calibri" w:hAnsi="Calibri"/>
        </w:rPr>
        <w:t xml:space="preserve">Service limits have recently been increased from 18 months to 24 months. Under special circumstances, the customer and VR counselor may jointly agree in writing to extend the time, when doing so will achieve the employment outcome identified in the IPE. </w:t>
      </w:r>
    </w:p>
    <w:p w14:paraId="52FF7240" w14:textId="77777777" w:rsidR="00F36FD8" w:rsidRPr="00F36FD8" w:rsidRDefault="00F36FD8" w:rsidP="00D63204">
      <w:pPr>
        <w:spacing w:line="240" w:lineRule="auto"/>
        <w:ind w:left="90"/>
        <w:rPr>
          <w:rFonts w:ascii="Calibri" w:hAnsi="Calibri"/>
        </w:rPr>
      </w:pPr>
      <w:r w:rsidRPr="00F36FD8">
        <w:rPr>
          <w:rFonts w:ascii="Calibri" w:hAnsi="Calibri"/>
        </w:rPr>
        <w:lastRenderedPageBreak/>
        <w:t>Services are individually designed around the needs and desires of the individual and may include, but are not limited to, the following:</w:t>
      </w:r>
    </w:p>
    <w:p w14:paraId="1847610E" w14:textId="42EA4D53" w:rsidR="00F36FD8" w:rsidRDefault="00F36FD8" w:rsidP="00D63204">
      <w:pPr>
        <w:pStyle w:val="ListParagraph"/>
        <w:numPr>
          <w:ilvl w:val="0"/>
          <w:numId w:val="163"/>
        </w:numPr>
        <w:spacing w:line="240" w:lineRule="auto"/>
        <w:rPr>
          <w:rFonts w:ascii="Calibri" w:hAnsi="Calibri"/>
        </w:rPr>
      </w:pPr>
      <w:r w:rsidRPr="007E67EF">
        <w:rPr>
          <w:rFonts w:ascii="Calibri" w:hAnsi="Calibri"/>
        </w:rPr>
        <w:t>Initial placement</w:t>
      </w:r>
    </w:p>
    <w:p w14:paraId="31A54624" w14:textId="77777777" w:rsidR="007E67EF" w:rsidRPr="007E67EF" w:rsidRDefault="007E67EF" w:rsidP="00D63204">
      <w:pPr>
        <w:pStyle w:val="ListParagraph"/>
        <w:spacing w:line="240" w:lineRule="auto"/>
        <w:ind w:left="810"/>
        <w:rPr>
          <w:rFonts w:ascii="Calibri" w:hAnsi="Calibri"/>
        </w:rPr>
      </w:pPr>
    </w:p>
    <w:p w14:paraId="05630BBD" w14:textId="37A47A4B" w:rsidR="00F36FD8" w:rsidRDefault="00F36FD8" w:rsidP="00D63204">
      <w:pPr>
        <w:pStyle w:val="ListParagraph"/>
        <w:numPr>
          <w:ilvl w:val="0"/>
          <w:numId w:val="163"/>
        </w:numPr>
        <w:spacing w:line="240" w:lineRule="auto"/>
        <w:rPr>
          <w:rFonts w:ascii="Calibri" w:hAnsi="Calibri"/>
        </w:rPr>
      </w:pPr>
      <w:r w:rsidRPr="007E67EF">
        <w:rPr>
          <w:rFonts w:ascii="Calibri" w:hAnsi="Calibri"/>
        </w:rPr>
        <w:t>Stabilization in the workplace</w:t>
      </w:r>
    </w:p>
    <w:p w14:paraId="3BF463D7" w14:textId="77777777" w:rsidR="007E67EF" w:rsidRPr="007E67EF" w:rsidRDefault="007E67EF" w:rsidP="00D63204">
      <w:pPr>
        <w:pStyle w:val="ListParagraph"/>
        <w:spacing w:line="240" w:lineRule="auto"/>
        <w:ind w:left="810"/>
        <w:rPr>
          <w:rFonts w:ascii="Calibri" w:hAnsi="Calibri"/>
        </w:rPr>
      </w:pPr>
    </w:p>
    <w:p w14:paraId="43C6073C" w14:textId="1F392EC9" w:rsidR="00F36FD8" w:rsidRDefault="00F36FD8" w:rsidP="00D63204">
      <w:pPr>
        <w:pStyle w:val="ListParagraph"/>
        <w:numPr>
          <w:ilvl w:val="0"/>
          <w:numId w:val="163"/>
        </w:numPr>
        <w:spacing w:line="240" w:lineRule="auto"/>
        <w:rPr>
          <w:rFonts w:ascii="Calibri" w:hAnsi="Calibri"/>
        </w:rPr>
      </w:pPr>
      <w:r w:rsidRPr="007E67EF">
        <w:rPr>
          <w:rFonts w:ascii="Calibri" w:hAnsi="Calibri"/>
        </w:rPr>
        <w:t>Job Coaching</w:t>
      </w:r>
    </w:p>
    <w:p w14:paraId="6FC491A2" w14:textId="77777777" w:rsidR="007E67EF" w:rsidRPr="007E67EF" w:rsidRDefault="007E67EF" w:rsidP="00D63204">
      <w:pPr>
        <w:pStyle w:val="ListParagraph"/>
        <w:spacing w:line="240" w:lineRule="auto"/>
        <w:ind w:left="810"/>
        <w:rPr>
          <w:rFonts w:ascii="Calibri" w:hAnsi="Calibri"/>
        </w:rPr>
      </w:pPr>
    </w:p>
    <w:p w14:paraId="1F105DC5" w14:textId="3740A2EB" w:rsidR="00F36FD8" w:rsidRDefault="00F36FD8" w:rsidP="00D63204">
      <w:pPr>
        <w:pStyle w:val="ListParagraph"/>
        <w:numPr>
          <w:ilvl w:val="0"/>
          <w:numId w:val="163"/>
        </w:numPr>
        <w:spacing w:line="240" w:lineRule="auto"/>
        <w:rPr>
          <w:rFonts w:ascii="Calibri" w:hAnsi="Calibri"/>
        </w:rPr>
      </w:pPr>
      <w:r w:rsidRPr="007E67EF">
        <w:rPr>
          <w:rFonts w:ascii="Calibri" w:hAnsi="Calibri"/>
        </w:rPr>
        <w:t>Assistive Technology</w:t>
      </w:r>
    </w:p>
    <w:p w14:paraId="45B6F2B4" w14:textId="77777777" w:rsidR="007E67EF" w:rsidRPr="007E67EF" w:rsidRDefault="007E67EF" w:rsidP="00D63204">
      <w:pPr>
        <w:pStyle w:val="ListParagraph"/>
        <w:spacing w:line="240" w:lineRule="auto"/>
        <w:ind w:left="810"/>
        <w:rPr>
          <w:rFonts w:ascii="Calibri" w:hAnsi="Calibri"/>
        </w:rPr>
      </w:pPr>
    </w:p>
    <w:p w14:paraId="51EA014B" w14:textId="27E06653" w:rsidR="00F36FD8" w:rsidRDefault="00F36FD8" w:rsidP="00D63204">
      <w:pPr>
        <w:pStyle w:val="ListParagraph"/>
        <w:numPr>
          <w:ilvl w:val="0"/>
          <w:numId w:val="163"/>
        </w:numPr>
        <w:spacing w:line="240" w:lineRule="auto"/>
        <w:rPr>
          <w:rFonts w:ascii="Calibri" w:hAnsi="Calibri"/>
        </w:rPr>
      </w:pPr>
      <w:r w:rsidRPr="007E67EF">
        <w:rPr>
          <w:rFonts w:ascii="Calibri" w:hAnsi="Calibri"/>
        </w:rPr>
        <w:t>Specialized Job Training</w:t>
      </w:r>
    </w:p>
    <w:p w14:paraId="66C24BA0" w14:textId="77777777" w:rsidR="007E67EF" w:rsidRPr="007E67EF" w:rsidRDefault="007E67EF" w:rsidP="00D63204">
      <w:pPr>
        <w:pStyle w:val="ListParagraph"/>
        <w:spacing w:line="240" w:lineRule="auto"/>
        <w:ind w:left="810"/>
        <w:rPr>
          <w:rFonts w:ascii="Calibri" w:hAnsi="Calibri"/>
        </w:rPr>
      </w:pPr>
    </w:p>
    <w:p w14:paraId="194072F7" w14:textId="5A127452" w:rsidR="00F36FD8" w:rsidRDefault="00F36FD8" w:rsidP="00D63204">
      <w:pPr>
        <w:pStyle w:val="ListParagraph"/>
        <w:numPr>
          <w:ilvl w:val="0"/>
          <w:numId w:val="163"/>
        </w:numPr>
        <w:spacing w:line="240" w:lineRule="auto"/>
        <w:rPr>
          <w:rFonts w:ascii="Calibri" w:hAnsi="Calibri"/>
        </w:rPr>
      </w:pPr>
      <w:r w:rsidRPr="007E67EF">
        <w:rPr>
          <w:rFonts w:ascii="Calibri" w:hAnsi="Calibri"/>
        </w:rPr>
        <w:t>Social Skills Training</w:t>
      </w:r>
    </w:p>
    <w:p w14:paraId="11054396" w14:textId="77777777" w:rsidR="007E67EF" w:rsidRPr="007E67EF" w:rsidRDefault="007E67EF" w:rsidP="00D63204">
      <w:pPr>
        <w:pStyle w:val="ListParagraph"/>
        <w:spacing w:line="240" w:lineRule="auto"/>
        <w:ind w:left="810"/>
        <w:rPr>
          <w:rFonts w:ascii="Calibri" w:hAnsi="Calibri"/>
        </w:rPr>
      </w:pPr>
    </w:p>
    <w:p w14:paraId="5887239A" w14:textId="649FFD77" w:rsidR="00F36FD8" w:rsidRDefault="00F36FD8" w:rsidP="00D63204">
      <w:pPr>
        <w:pStyle w:val="ListParagraph"/>
        <w:numPr>
          <w:ilvl w:val="0"/>
          <w:numId w:val="163"/>
        </w:numPr>
        <w:spacing w:line="240" w:lineRule="auto"/>
        <w:rPr>
          <w:rFonts w:ascii="Calibri" w:hAnsi="Calibri"/>
        </w:rPr>
      </w:pPr>
      <w:r w:rsidRPr="007E67EF">
        <w:rPr>
          <w:rFonts w:ascii="Calibri" w:hAnsi="Calibri"/>
        </w:rPr>
        <w:t>Discovery</w:t>
      </w:r>
    </w:p>
    <w:p w14:paraId="68CBA568" w14:textId="77777777" w:rsidR="007E67EF" w:rsidRPr="007E67EF" w:rsidRDefault="007E67EF" w:rsidP="00D63204">
      <w:pPr>
        <w:pStyle w:val="ListParagraph"/>
        <w:spacing w:line="240" w:lineRule="auto"/>
        <w:ind w:left="810"/>
        <w:rPr>
          <w:rFonts w:ascii="Calibri" w:hAnsi="Calibri"/>
        </w:rPr>
      </w:pPr>
    </w:p>
    <w:p w14:paraId="536DBBC9" w14:textId="376D599E" w:rsidR="00F36FD8" w:rsidRDefault="00F36FD8" w:rsidP="00D63204">
      <w:pPr>
        <w:pStyle w:val="ListParagraph"/>
        <w:numPr>
          <w:ilvl w:val="0"/>
          <w:numId w:val="163"/>
        </w:numPr>
        <w:spacing w:line="240" w:lineRule="auto"/>
        <w:rPr>
          <w:rFonts w:ascii="Calibri" w:hAnsi="Calibri"/>
        </w:rPr>
      </w:pPr>
      <w:r w:rsidRPr="007E67EF">
        <w:rPr>
          <w:rFonts w:ascii="Calibri" w:hAnsi="Calibri"/>
        </w:rPr>
        <w:t>Establishing formal and informal worksite-related expectations (e.g., time and attendance, dress, communication)</w:t>
      </w:r>
    </w:p>
    <w:p w14:paraId="7913CE13" w14:textId="77777777" w:rsidR="007E67EF" w:rsidRPr="007E67EF" w:rsidRDefault="007E67EF" w:rsidP="00D63204">
      <w:pPr>
        <w:pStyle w:val="ListParagraph"/>
        <w:spacing w:line="240" w:lineRule="auto"/>
        <w:ind w:left="810"/>
        <w:rPr>
          <w:rFonts w:ascii="Calibri" w:hAnsi="Calibri"/>
        </w:rPr>
      </w:pPr>
    </w:p>
    <w:p w14:paraId="33C9FCFD" w14:textId="193DD233" w:rsidR="00F36FD8" w:rsidRDefault="00F36FD8" w:rsidP="00D63204">
      <w:pPr>
        <w:pStyle w:val="ListParagraph"/>
        <w:numPr>
          <w:ilvl w:val="0"/>
          <w:numId w:val="163"/>
        </w:numPr>
        <w:spacing w:line="240" w:lineRule="auto"/>
        <w:rPr>
          <w:rFonts w:ascii="Calibri" w:hAnsi="Calibri"/>
        </w:rPr>
      </w:pPr>
      <w:r w:rsidRPr="007E67EF">
        <w:rPr>
          <w:rFonts w:ascii="Calibri" w:hAnsi="Calibri"/>
        </w:rPr>
        <w:t>Supported Self-Employment</w:t>
      </w:r>
    </w:p>
    <w:p w14:paraId="73B5A61F" w14:textId="77777777" w:rsidR="007E67EF" w:rsidRPr="007E67EF" w:rsidRDefault="007E67EF" w:rsidP="00D63204">
      <w:pPr>
        <w:pStyle w:val="ListParagraph"/>
        <w:spacing w:line="240" w:lineRule="auto"/>
        <w:ind w:left="810"/>
        <w:rPr>
          <w:rFonts w:ascii="Calibri" w:hAnsi="Calibri"/>
        </w:rPr>
      </w:pPr>
    </w:p>
    <w:p w14:paraId="66FB501F" w14:textId="3C9D29C0" w:rsidR="00F36FD8" w:rsidRPr="007E67EF" w:rsidRDefault="00F36FD8" w:rsidP="00D63204">
      <w:pPr>
        <w:pStyle w:val="ListParagraph"/>
        <w:numPr>
          <w:ilvl w:val="0"/>
          <w:numId w:val="163"/>
        </w:numPr>
        <w:spacing w:line="240" w:lineRule="auto"/>
        <w:rPr>
          <w:rFonts w:ascii="Calibri" w:hAnsi="Calibri"/>
        </w:rPr>
      </w:pPr>
      <w:r w:rsidRPr="007E67EF">
        <w:rPr>
          <w:rFonts w:ascii="Calibri" w:hAnsi="Calibri"/>
        </w:rPr>
        <w:t>Customized Job Placement</w:t>
      </w:r>
    </w:p>
    <w:p w14:paraId="523DA9C6" w14:textId="77777777" w:rsidR="00F36FD8" w:rsidRPr="00F36FD8" w:rsidRDefault="00F36FD8" w:rsidP="00D63204">
      <w:pPr>
        <w:spacing w:line="240" w:lineRule="auto"/>
        <w:ind w:left="90"/>
        <w:rPr>
          <w:rFonts w:ascii="Calibri" w:hAnsi="Calibri"/>
        </w:rPr>
      </w:pPr>
      <w:r w:rsidRPr="00F36FD8">
        <w:rPr>
          <w:rFonts w:ascii="Calibri" w:hAnsi="Calibri"/>
        </w:rPr>
        <w:t>VR has added Discovery as a service option to its array of Supported Employment services. It offers a more thorough person-centered planning approach for those individuals with the most significant and complex disabilities who may need a more customized approach to employment.</w:t>
      </w:r>
    </w:p>
    <w:p w14:paraId="7B215B5C" w14:textId="1EBE457E" w:rsidR="00F36FD8" w:rsidRPr="00F36FD8" w:rsidRDefault="00F36FD8" w:rsidP="00D63204">
      <w:pPr>
        <w:spacing w:line="240" w:lineRule="auto"/>
        <w:ind w:left="90"/>
        <w:rPr>
          <w:rFonts w:ascii="Calibri" w:hAnsi="Calibri"/>
        </w:rPr>
      </w:pPr>
      <w:r w:rsidRPr="00F36FD8">
        <w:rPr>
          <w:rFonts w:ascii="Calibri" w:hAnsi="Calibri"/>
        </w:rPr>
        <w:t xml:space="preserve">VR </w:t>
      </w:r>
      <w:r w:rsidR="000F4D72">
        <w:rPr>
          <w:rFonts w:ascii="Calibri" w:hAnsi="Calibri"/>
        </w:rPr>
        <w:t xml:space="preserve">has also </w:t>
      </w:r>
      <w:r w:rsidRPr="00F36FD8">
        <w:rPr>
          <w:rFonts w:ascii="Calibri" w:hAnsi="Calibri"/>
        </w:rPr>
        <w:t>added a customized job placement option for individuals in Supported Employment who may need a more individualized job development process. Individuals receiving Supported Employment services will have access to this service as needed.</w:t>
      </w:r>
    </w:p>
    <w:p w14:paraId="2115184A" w14:textId="6243D805" w:rsidR="00F36FD8" w:rsidRPr="00F36FD8" w:rsidRDefault="00F36FD8" w:rsidP="00D63204">
      <w:pPr>
        <w:spacing w:line="240" w:lineRule="auto"/>
        <w:ind w:left="90"/>
        <w:rPr>
          <w:rFonts w:ascii="Calibri" w:hAnsi="Calibri"/>
        </w:rPr>
      </w:pPr>
      <w:r w:rsidRPr="00F36FD8">
        <w:rPr>
          <w:rFonts w:ascii="Calibri" w:hAnsi="Calibri"/>
        </w:rPr>
        <w:t>Post-Employment support and services may be provided when an intensive need arises during the provision of ongoing extended services</w:t>
      </w:r>
      <w:r w:rsidR="005E7C49">
        <w:rPr>
          <w:rFonts w:ascii="Calibri" w:hAnsi="Calibri"/>
        </w:rPr>
        <w:t xml:space="preserve">. </w:t>
      </w:r>
      <w:r w:rsidRPr="00F36FD8">
        <w:rPr>
          <w:rFonts w:ascii="Calibri" w:hAnsi="Calibri"/>
        </w:rPr>
        <w:t>This may occur when job duties substantially change, the work environment is altered or the impact of the individual’s disability increases.</w:t>
      </w:r>
    </w:p>
    <w:p w14:paraId="717858C5" w14:textId="77777777" w:rsidR="00F36FD8" w:rsidRPr="007E67EF" w:rsidRDefault="00F36FD8" w:rsidP="00D63204">
      <w:pPr>
        <w:spacing w:after="0" w:line="240" w:lineRule="auto"/>
        <w:ind w:left="90"/>
        <w:rPr>
          <w:rFonts w:ascii="Calibri" w:hAnsi="Calibri"/>
          <w:b/>
          <w:u w:val="single"/>
        </w:rPr>
      </w:pPr>
      <w:r w:rsidRPr="007E67EF">
        <w:rPr>
          <w:rFonts w:ascii="Calibri" w:hAnsi="Calibri"/>
          <w:b/>
          <w:u w:val="single"/>
        </w:rPr>
        <w:t>Extent</w:t>
      </w:r>
    </w:p>
    <w:p w14:paraId="5EB943CD" w14:textId="72DADF68" w:rsidR="00F36FD8" w:rsidRPr="00F36FD8" w:rsidRDefault="00F36FD8" w:rsidP="00D63204">
      <w:pPr>
        <w:spacing w:line="240" w:lineRule="auto"/>
        <w:ind w:left="90"/>
        <w:rPr>
          <w:rFonts w:ascii="Calibri" w:hAnsi="Calibri"/>
        </w:rPr>
      </w:pPr>
      <w:r w:rsidRPr="00F36FD8">
        <w:rPr>
          <w:rFonts w:ascii="Calibri" w:hAnsi="Calibri"/>
        </w:rPr>
        <w:t xml:space="preserve">VR will </w:t>
      </w:r>
      <w:r w:rsidR="000F4D72">
        <w:rPr>
          <w:rFonts w:ascii="Calibri" w:hAnsi="Calibri"/>
        </w:rPr>
        <w:t xml:space="preserve">continue to </w:t>
      </w:r>
      <w:r w:rsidRPr="00F36FD8">
        <w:rPr>
          <w:rFonts w:ascii="Calibri" w:hAnsi="Calibri"/>
        </w:rPr>
        <w:t>expand Supported Employment services by educating community members, providers</w:t>
      </w:r>
      <w:r w:rsidR="00D5537E">
        <w:rPr>
          <w:rFonts w:ascii="Calibri" w:hAnsi="Calibri"/>
        </w:rPr>
        <w:t xml:space="preserve"> and</w:t>
      </w:r>
      <w:r w:rsidRPr="00F36FD8">
        <w:rPr>
          <w:rFonts w:ascii="Calibri" w:hAnsi="Calibri"/>
        </w:rPr>
        <w:t xml:space="preserve"> relevant stakeholders on the need and advantages that Supported Employment provides for individuals and employers.</w:t>
      </w:r>
    </w:p>
    <w:p w14:paraId="179070B1" w14:textId="77777777" w:rsidR="00F36FD8" w:rsidRPr="00F36FD8" w:rsidRDefault="00F36FD8" w:rsidP="00D63204">
      <w:pPr>
        <w:spacing w:line="240" w:lineRule="auto"/>
        <w:ind w:left="90"/>
        <w:rPr>
          <w:rFonts w:ascii="Calibri" w:hAnsi="Calibri"/>
        </w:rPr>
      </w:pPr>
      <w:r w:rsidRPr="00F36FD8">
        <w:rPr>
          <w:rFonts w:ascii="Calibri" w:hAnsi="Calibri"/>
        </w:rPr>
        <w:t>Supported Employment services are available for individuals with most significant needs who meet the criteria for VR services and supports.</w:t>
      </w:r>
    </w:p>
    <w:p w14:paraId="5CB0FD66" w14:textId="77777777" w:rsidR="007E67EF" w:rsidRDefault="007E67EF">
      <w:pPr>
        <w:rPr>
          <w:rFonts w:ascii="Calibri" w:hAnsi="Calibri"/>
        </w:rPr>
      </w:pPr>
      <w:r>
        <w:rPr>
          <w:rFonts w:ascii="Calibri" w:hAnsi="Calibri"/>
        </w:rPr>
        <w:br w:type="page"/>
      </w:r>
    </w:p>
    <w:p w14:paraId="4A9EBF11" w14:textId="77777777" w:rsidR="007E67EF" w:rsidRDefault="007E67EF" w:rsidP="00D63204">
      <w:pPr>
        <w:spacing w:line="240" w:lineRule="auto"/>
        <w:ind w:left="90"/>
        <w:rPr>
          <w:rFonts w:ascii="Calibri" w:hAnsi="Calibri"/>
        </w:rPr>
      </w:pPr>
    </w:p>
    <w:p w14:paraId="7D43311C" w14:textId="1F935743" w:rsidR="00F36FD8" w:rsidRPr="00F36FD8" w:rsidRDefault="00F36FD8" w:rsidP="00D63204">
      <w:pPr>
        <w:spacing w:line="240" w:lineRule="auto"/>
        <w:ind w:left="90"/>
        <w:rPr>
          <w:rFonts w:ascii="Calibri" w:hAnsi="Calibri"/>
        </w:rPr>
      </w:pPr>
      <w:r w:rsidRPr="00F36FD8">
        <w:rPr>
          <w:rFonts w:ascii="Calibri" w:hAnsi="Calibri"/>
        </w:rPr>
        <w:t>VR has increased its focus on youth and expanded its Transition Youth services to begin at age 14</w:t>
      </w:r>
      <w:r w:rsidR="005E7C49">
        <w:rPr>
          <w:rFonts w:ascii="Calibri" w:hAnsi="Calibri"/>
        </w:rPr>
        <w:t xml:space="preserve">. </w:t>
      </w:r>
      <w:r w:rsidRPr="00F36FD8">
        <w:rPr>
          <w:rFonts w:ascii="Calibri" w:hAnsi="Calibri"/>
        </w:rPr>
        <w:t>VR has increased several initiatives designed for youth with most significant disabilities. The following experiences are anticipated to help youth in their desire to have a successful career</w:t>
      </w:r>
      <w:r w:rsidR="005E7C49">
        <w:rPr>
          <w:rFonts w:ascii="Calibri" w:hAnsi="Calibri"/>
        </w:rPr>
        <w:t xml:space="preserve">. </w:t>
      </w:r>
    </w:p>
    <w:p w14:paraId="004D87DE" w14:textId="57C1196A" w:rsidR="00F36FD8" w:rsidRDefault="00F36FD8" w:rsidP="00D63204">
      <w:pPr>
        <w:pStyle w:val="ListParagraph"/>
        <w:numPr>
          <w:ilvl w:val="0"/>
          <w:numId w:val="164"/>
        </w:numPr>
        <w:spacing w:line="240" w:lineRule="auto"/>
        <w:rPr>
          <w:rFonts w:ascii="Calibri" w:hAnsi="Calibri"/>
        </w:rPr>
      </w:pPr>
      <w:r w:rsidRPr="007E67EF">
        <w:rPr>
          <w:rFonts w:ascii="Calibri" w:hAnsi="Calibri"/>
        </w:rPr>
        <w:t>High School High Tech</w:t>
      </w:r>
    </w:p>
    <w:p w14:paraId="25F8E7FA" w14:textId="77777777" w:rsidR="007E67EF" w:rsidRPr="007E67EF" w:rsidRDefault="007E67EF" w:rsidP="00D63204">
      <w:pPr>
        <w:pStyle w:val="ListParagraph"/>
        <w:spacing w:line="240" w:lineRule="auto"/>
        <w:ind w:left="810"/>
        <w:rPr>
          <w:rFonts w:ascii="Calibri" w:hAnsi="Calibri"/>
        </w:rPr>
      </w:pPr>
    </w:p>
    <w:p w14:paraId="3961FAA8" w14:textId="35BA1DA4" w:rsidR="00F36FD8" w:rsidRDefault="00F36FD8" w:rsidP="00D63204">
      <w:pPr>
        <w:pStyle w:val="ListParagraph"/>
        <w:numPr>
          <w:ilvl w:val="0"/>
          <w:numId w:val="164"/>
        </w:numPr>
        <w:spacing w:line="240" w:lineRule="auto"/>
        <w:rPr>
          <w:rFonts w:ascii="Calibri" w:hAnsi="Calibri"/>
        </w:rPr>
      </w:pPr>
      <w:r w:rsidRPr="007E67EF">
        <w:rPr>
          <w:rFonts w:ascii="Calibri" w:hAnsi="Calibri"/>
        </w:rPr>
        <w:t>Project Search</w:t>
      </w:r>
    </w:p>
    <w:p w14:paraId="400FEB07" w14:textId="77777777" w:rsidR="007E67EF" w:rsidRPr="007E67EF" w:rsidRDefault="007E67EF" w:rsidP="00D63204">
      <w:pPr>
        <w:pStyle w:val="ListParagraph"/>
        <w:spacing w:line="240" w:lineRule="auto"/>
        <w:ind w:left="810"/>
        <w:rPr>
          <w:rFonts w:ascii="Calibri" w:hAnsi="Calibri"/>
        </w:rPr>
      </w:pPr>
    </w:p>
    <w:p w14:paraId="7ED9E2E9" w14:textId="3FC10C08" w:rsidR="00F36FD8" w:rsidRDefault="00F36FD8" w:rsidP="00D63204">
      <w:pPr>
        <w:pStyle w:val="ListParagraph"/>
        <w:numPr>
          <w:ilvl w:val="0"/>
          <w:numId w:val="164"/>
        </w:numPr>
        <w:spacing w:line="240" w:lineRule="auto"/>
        <w:rPr>
          <w:rFonts w:ascii="Calibri" w:hAnsi="Calibri"/>
        </w:rPr>
      </w:pPr>
      <w:r w:rsidRPr="007E67EF">
        <w:rPr>
          <w:rFonts w:ascii="Calibri" w:hAnsi="Calibri"/>
        </w:rPr>
        <w:t>Inclusive Postsecondary Education programs</w:t>
      </w:r>
    </w:p>
    <w:p w14:paraId="6BF754E3" w14:textId="77777777" w:rsidR="007E67EF" w:rsidRPr="007E67EF" w:rsidRDefault="007E67EF" w:rsidP="00D63204">
      <w:pPr>
        <w:pStyle w:val="ListParagraph"/>
        <w:spacing w:line="240" w:lineRule="auto"/>
        <w:ind w:left="810"/>
        <w:rPr>
          <w:rFonts w:ascii="Calibri" w:hAnsi="Calibri"/>
        </w:rPr>
      </w:pPr>
    </w:p>
    <w:p w14:paraId="07E2F1BE" w14:textId="3393BD6A" w:rsidR="00F36FD8" w:rsidRDefault="00F36FD8" w:rsidP="00D63204">
      <w:pPr>
        <w:pStyle w:val="ListParagraph"/>
        <w:numPr>
          <w:ilvl w:val="0"/>
          <w:numId w:val="164"/>
        </w:numPr>
        <w:spacing w:line="240" w:lineRule="auto"/>
        <w:rPr>
          <w:rFonts w:ascii="Calibri" w:hAnsi="Calibri"/>
        </w:rPr>
      </w:pPr>
      <w:r w:rsidRPr="007E67EF">
        <w:rPr>
          <w:rFonts w:ascii="Calibri" w:hAnsi="Calibri"/>
        </w:rPr>
        <w:t>Third Party Cooperative Transition Agreements</w:t>
      </w:r>
    </w:p>
    <w:p w14:paraId="45D64880" w14:textId="77777777" w:rsidR="007E67EF" w:rsidRPr="007E67EF" w:rsidRDefault="007E67EF" w:rsidP="00D63204">
      <w:pPr>
        <w:pStyle w:val="ListParagraph"/>
        <w:spacing w:line="240" w:lineRule="auto"/>
        <w:ind w:left="810"/>
        <w:rPr>
          <w:rFonts w:ascii="Calibri" w:hAnsi="Calibri"/>
        </w:rPr>
      </w:pPr>
    </w:p>
    <w:p w14:paraId="2860CB7C" w14:textId="0C8D26A4" w:rsidR="00F36FD8" w:rsidRPr="007E67EF" w:rsidRDefault="00F36FD8" w:rsidP="00D63204">
      <w:pPr>
        <w:pStyle w:val="ListParagraph"/>
        <w:numPr>
          <w:ilvl w:val="0"/>
          <w:numId w:val="164"/>
        </w:numPr>
        <w:spacing w:line="240" w:lineRule="auto"/>
        <w:rPr>
          <w:rFonts w:ascii="Calibri" w:hAnsi="Calibri"/>
        </w:rPr>
      </w:pPr>
      <w:r w:rsidRPr="007E67EF">
        <w:rPr>
          <w:rFonts w:ascii="Calibri" w:hAnsi="Calibri"/>
        </w:rPr>
        <w:t>Pre-Employment Transition Services</w:t>
      </w:r>
    </w:p>
    <w:p w14:paraId="3B3CF822" w14:textId="77777777" w:rsidR="00F36FD8" w:rsidRPr="00F36FD8" w:rsidRDefault="00F36FD8" w:rsidP="00D63204">
      <w:pPr>
        <w:spacing w:line="240" w:lineRule="auto"/>
        <w:ind w:left="90"/>
        <w:rPr>
          <w:rFonts w:ascii="Calibri" w:hAnsi="Calibri"/>
        </w:rPr>
      </w:pPr>
      <w:r w:rsidRPr="00F36FD8">
        <w:rPr>
          <w:rFonts w:ascii="Calibri" w:hAnsi="Calibri"/>
        </w:rPr>
        <w:t>The VR Transition Youth program collaborates with education officials and partners to offer youth with the most significant disabilities opportunities to gain work experiences that help them prepare for successful employment. These evidence-based applications of learning, which include internships and other work experiences, often lead to successful employment.</w:t>
      </w:r>
    </w:p>
    <w:p w14:paraId="28B828C2" w14:textId="51B99948" w:rsidR="00F36FD8" w:rsidRPr="00F36FD8" w:rsidRDefault="00F36FD8" w:rsidP="00D63204">
      <w:pPr>
        <w:spacing w:line="240" w:lineRule="auto"/>
        <w:ind w:left="90"/>
        <w:rPr>
          <w:rFonts w:ascii="Calibri" w:hAnsi="Calibri"/>
        </w:rPr>
      </w:pPr>
      <w:r w:rsidRPr="00F36FD8">
        <w:rPr>
          <w:rFonts w:ascii="Calibri" w:hAnsi="Calibri"/>
        </w:rPr>
        <w:t>VR</w:t>
      </w:r>
      <w:r w:rsidR="000F4D72">
        <w:rPr>
          <w:rFonts w:ascii="Calibri" w:hAnsi="Calibri"/>
        </w:rPr>
        <w:t xml:space="preserve"> also </w:t>
      </w:r>
      <w:r w:rsidRPr="00F36FD8">
        <w:rPr>
          <w:rFonts w:ascii="Calibri" w:hAnsi="Calibri"/>
        </w:rPr>
        <w:t>provides the opportunity for youth to receive up to four years of extended services funded through VR, when necessary</w:t>
      </w:r>
      <w:r w:rsidR="00D5537E">
        <w:rPr>
          <w:rFonts w:ascii="Calibri" w:hAnsi="Calibri"/>
        </w:rPr>
        <w:t xml:space="preserve"> and</w:t>
      </w:r>
      <w:r w:rsidRPr="00F36FD8">
        <w:rPr>
          <w:rFonts w:ascii="Calibri" w:hAnsi="Calibri"/>
        </w:rPr>
        <w:t xml:space="preserve"> based on the availability of funding. This is the only situation where VR is permitted to provide extended services.</w:t>
      </w:r>
    </w:p>
    <w:p w14:paraId="76F14AD0" w14:textId="795A41C9" w:rsidR="00F36FD8" w:rsidRPr="00F36FD8" w:rsidRDefault="00F36FD8" w:rsidP="00D63204">
      <w:pPr>
        <w:spacing w:line="240" w:lineRule="auto"/>
        <w:ind w:left="90"/>
        <w:rPr>
          <w:rFonts w:ascii="Calibri" w:hAnsi="Calibri"/>
        </w:rPr>
      </w:pPr>
      <w:r w:rsidRPr="00F36FD8">
        <w:rPr>
          <w:rFonts w:ascii="Calibri" w:hAnsi="Calibri"/>
        </w:rPr>
        <w:t>VR will</w:t>
      </w:r>
      <w:r w:rsidR="000F4D72">
        <w:rPr>
          <w:rFonts w:ascii="Calibri" w:hAnsi="Calibri"/>
        </w:rPr>
        <w:t xml:space="preserve"> continue to</w:t>
      </w:r>
      <w:r w:rsidRPr="00F36FD8">
        <w:rPr>
          <w:rFonts w:ascii="Calibri" w:hAnsi="Calibri"/>
        </w:rPr>
        <w:t xml:space="preserve"> actively engage and partner to:</w:t>
      </w:r>
    </w:p>
    <w:p w14:paraId="21D00274" w14:textId="53AE3A8E" w:rsidR="00F36FD8" w:rsidRDefault="00F36FD8" w:rsidP="00D63204">
      <w:pPr>
        <w:pStyle w:val="ListParagraph"/>
        <w:numPr>
          <w:ilvl w:val="0"/>
          <w:numId w:val="165"/>
        </w:numPr>
        <w:spacing w:line="240" w:lineRule="auto"/>
        <w:rPr>
          <w:rFonts w:ascii="Calibri" w:hAnsi="Calibri"/>
        </w:rPr>
      </w:pPr>
      <w:r w:rsidRPr="007E67EF">
        <w:rPr>
          <w:rFonts w:ascii="Calibri" w:hAnsi="Calibri"/>
        </w:rPr>
        <w:t>Develop a collaborative agreement with APD specific to Supported Employment and removing or reducing barriers for employment for individuals with significant disabilities.</w:t>
      </w:r>
    </w:p>
    <w:p w14:paraId="5E09452E" w14:textId="77777777" w:rsidR="007E67EF" w:rsidRPr="007E67EF" w:rsidRDefault="007E67EF" w:rsidP="00D63204">
      <w:pPr>
        <w:pStyle w:val="ListParagraph"/>
        <w:spacing w:line="240" w:lineRule="auto"/>
        <w:ind w:left="810"/>
        <w:rPr>
          <w:rFonts w:ascii="Calibri" w:hAnsi="Calibri"/>
        </w:rPr>
      </w:pPr>
    </w:p>
    <w:p w14:paraId="43FADD67" w14:textId="2E811F85" w:rsidR="00F36FD8" w:rsidRDefault="00F36FD8" w:rsidP="00D63204">
      <w:pPr>
        <w:pStyle w:val="ListParagraph"/>
        <w:numPr>
          <w:ilvl w:val="0"/>
          <w:numId w:val="165"/>
        </w:numPr>
        <w:spacing w:line="240" w:lineRule="auto"/>
        <w:rPr>
          <w:rFonts w:ascii="Calibri" w:hAnsi="Calibri"/>
        </w:rPr>
      </w:pPr>
      <w:r w:rsidRPr="007E67EF">
        <w:rPr>
          <w:rFonts w:ascii="Calibri" w:hAnsi="Calibri"/>
        </w:rPr>
        <w:t>Implement the Interagency Employment First Agreement between the nine signatory parties. Continue to implement the agreements at the local and state level with appropriate stakeholders.</w:t>
      </w:r>
    </w:p>
    <w:p w14:paraId="2AA2FABF" w14:textId="77777777" w:rsidR="007E67EF" w:rsidRPr="007E67EF" w:rsidRDefault="007E67EF" w:rsidP="00D63204">
      <w:pPr>
        <w:pStyle w:val="ListParagraph"/>
        <w:spacing w:line="240" w:lineRule="auto"/>
        <w:ind w:left="810"/>
        <w:rPr>
          <w:rFonts w:ascii="Calibri" w:hAnsi="Calibri"/>
        </w:rPr>
      </w:pPr>
    </w:p>
    <w:p w14:paraId="0A0C9A47" w14:textId="583A4CC6" w:rsidR="00F36FD8" w:rsidRDefault="00F36FD8" w:rsidP="00D63204">
      <w:pPr>
        <w:pStyle w:val="ListParagraph"/>
        <w:numPr>
          <w:ilvl w:val="0"/>
          <w:numId w:val="165"/>
        </w:numPr>
        <w:spacing w:line="240" w:lineRule="auto"/>
        <w:rPr>
          <w:rFonts w:ascii="Calibri" w:hAnsi="Calibri"/>
        </w:rPr>
      </w:pPr>
      <w:r w:rsidRPr="007E67EF">
        <w:rPr>
          <w:rFonts w:ascii="Calibri" w:hAnsi="Calibri"/>
        </w:rPr>
        <w:t>Maximize the quality of service delivery ensuring an efficient and effective referral process, individual program planning</w:t>
      </w:r>
      <w:r w:rsidR="00D5537E">
        <w:rPr>
          <w:rFonts w:ascii="Calibri" w:hAnsi="Calibri"/>
        </w:rPr>
        <w:t xml:space="preserve"> and</w:t>
      </w:r>
      <w:r w:rsidRPr="007E67EF">
        <w:rPr>
          <w:rFonts w:ascii="Calibri" w:hAnsi="Calibri"/>
        </w:rPr>
        <w:t xml:space="preserve"> coordination of intensive vocational services with extended services available for youth and adults.</w:t>
      </w:r>
    </w:p>
    <w:p w14:paraId="75626948" w14:textId="77777777" w:rsidR="007E67EF" w:rsidRPr="007E67EF" w:rsidRDefault="007E67EF" w:rsidP="00D63204">
      <w:pPr>
        <w:pStyle w:val="ListParagraph"/>
        <w:spacing w:line="240" w:lineRule="auto"/>
        <w:ind w:left="810"/>
        <w:rPr>
          <w:rFonts w:ascii="Calibri" w:hAnsi="Calibri"/>
        </w:rPr>
      </w:pPr>
    </w:p>
    <w:p w14:paraId="208751D0" w14:textId="3803E8A6" w:rsidR="00F36FD8" w:rsidRDefault="00F36FD8" w:rsidP="00D63204">
      <w:pPr>
        <w:pStyle w:val="ListParagraph"/>
        <w:numPr>
          <w:ilvl w:val="0"/>
          <w:numId w:val="165"/>
        </w:numPr>
        <w:spacing w:line="240" w:lineRule="auto"/>
        <w:rPr>
          <w:rFonts w:ascii="Calibri" w:hAnsi="Calibri"/>
        </w:rPr>
      </w:pPr>
      <w:r w:rsidRPr="007E67EF">
        <w:rPr>
          <w:rFonts w:ascii="Calibri" w:hAnsi="Calibri"/>
        </w:rPr>
        <w:t>Expand available services through youth-related initiatives.</w:t>
      </w:r>
    </w:p>
    <w:p w14:paraId="09010572" w14:textId="77777777" w:rsidR="007E67EF" w:rsidRPr="007E67EF" w:rsidRDefault="007E67EF" w:rsidP="00D63204">
      <w:pPr>
        <w:pStyle w:val="ListParagraph"/>
        <w:spacing w:line="240" w:lineRule="auto"/>
        <w:ind w:left="810"/>
        <w:rPr>
          <w:rFonts w:ascii="Calibri" w:hAnsi="Calibri"/>
        </w:rPr>
      </w:pPr>
    </w:p>
    <w:p w14:paraId="025A5F00" w14:textId="4FA03E2A" w:rsidR="00F36FD8" w:rsidRDefault="00F36FD8" w:rsidP="00D63204">
      <w:pPr>
        <w:pStyle w:val="ListParagraph"/>
        <w:numPr>
          <w:ilvl w:val="0"/>
          <w:numId w:val="165"/>
        </w:numPr>
        <w:spacing w:line="240" w:lineRule="auto"/>
        <w:rPr>
          <w:rFonts w:ascii="Calibri" w:hAnsi="Calibri"/>
        </w:rPr>
      </w:pPr>
      <w:r w:rsidRPr="007E67EF">
        <w:rPr>
          <w:rFonts w:ascii="Calibri" w:hAnsi="Calibri"/>
        </w:rPr>
        <w:t>Seek additional resources for extended services through collaborations with agency partners, including APD, Agency for Healthcare Administration, Florida Developmental Disabilities Council, Department of Education agencies</w:t>
      </w:r>
      <w:r w:rsidR="00D5537E">
        <w:rPr>
          <w:rFonts w:ascii="Calibri" w:hAnsi="Calibri"/>
        </w:rPr>
        <w:t xml:space="preserve"> and</w:t>
      </w:r>
      <w:r w:rsidRPr="007E67EF">
        <w:rPr>
          <w:rFonts w:ascii="Calibri" w:hAnsi="Calibri"/>
        </w:rPr>
        <w:t xml:space="preserve"> other stakeholders.</w:t>
      </w:r>
    </w:p>
    <w:p w14:paraId="1460B84B" w14:textId="77777777" w:rsidR="007E67EF" w:rsidRPr="007E67EF" w:rsidRDefault="007E67EF" w:rsidP="00D63204">
      <w:pPr>
        <w:pStyle w:val="ListParagraph"/>
        <w:spacing w:line="240" w:lineRule="auto"/>
        <w:ind w:left="810"/>
        <w:rPr>
          <w:rFonts w:ascii="Calibri" w:hAnsi="Calibri"/>
        </w:rPr>
      </w:pPr>
    </w:p>
    <w:p w14:paraId="49078E29" w14:textId="517DC339" w:rsidR="007E67EF" w:rsidRDefault="00F36FD8" w:rsidP="00D63204">
      <w:pPr>
        <w:pStyle w:val="ListParagraph"/>
        <w:numPr>
          <w:ilvl w:val="0"/>
          <w:numId w:val="165"/>
        </w:numPr>
        <w:spacing w:line="240" w:lineRule="auto"/>
        <w:rPr>
          <w:rFonts w:ascii="Calibri" w:hAnsi="Calibri"/>
        </w:rPr>
      </w:pPr>
      <w:r w:rsidRPr="007E67EF">
        <w:rPr>
          <w:rFonts w:ascii="Calibri" w:hAnsi="Calibri"/>
        </w:rPr>
        <w:t>Collaborate with community organizations, employers, families</w:t>
      </w:r>
      <w:r w:rsidR="00D5537E">
        <w:rPr>
          <w:rFonts w:ascii="Calibri" w:hAnsi="Calibri"/>
        </w:rPr>
        <w:t xml:space="preserve"> and</w:t>
      </w:r>
      <w:r w:rsidRPr="007E67EF">
        <w:rPr>
          <w:rFonts w:ascii="Calibri" w:hAnsi="Calibri"/>
        </w:rPr>
        <w:t xml:space="preserve"> support groups to develop natural supports for Supported Employment extended se</w:t>
      </w:r>
      <w:r w:rsidR="007E67EF" w:rsidRPr="007E67EF">
        <w:rPr>
          <w:rFonts w:ascii="Calibri" w:hAnsi="Calibri"/>
        </w:rPr>
        <w:t>rvices.</w:t>
      </w:r>
    </w:p>
    <w:p w14:paraId="074B86B9" w14:textId="77777777" w:rsidR="007E67EF" w:rsidRPr="007E67EF" w:rsidRDefault="007E67EF" w:rsidP="00D63204">
      <w:pPr>
        <w:pStyle w:val="ListParagraph"/>
        <w:spacing w:line="240" w:lineRule="auto"/>
        <w:ind w:left="810"/>
        <w:rPr>
          <w:rFonts w:ascii="Calibri" w:hAnsi="Calibri"/>
        </w:rPr>
      </w:pPr>
    </w:p>
    <w:p w14:paraId="5401E219" w14:textId="165E2DDE" w:rsidR="00F36FD8" w:rsidRDefault="00F36FD8" w:rsidP="00D63204">
      <w:pPr>
        <w:pStyle w:val="ListParagraph"/>
        <w:numPr>
          <w:ilvl w:val="0"/>
          <w:numId w:val="165"/>
        </w:numPr>
        <w:spacing w:line="240" w:lineRule="auto"/>
        <w:rPr>
          <w:rFonts w:ascii="Calibri" w:hAnsi="Calibri"/>
        </w:rPr>
      </w:pPr>
      <w:r w:rsidRPr="007E67EF">
        <w:rPr>
          <w:rFonts w:ascii="Calibri" w:hAnsi="Calibri"/>
        </w:rPr>
        <w:t>Distribute information and train counselors about Social Security Work Incentives. Increase awareness of using a Plan for Achieving Self-Sufficiency or other work incentives as an option for funding extended services. Include training on the new Able Act as a potential way for individuals to fund their own services.</w:t>
      </w:r>
    </w:p>
    <w:p w14:paraId="7AB91039" w14:textId="77777777" w:rsidR="007E67EF" w:rsidRPr="007E67EF" w:rsidRDefault="007E67EF" w:rsidP="007E67EF">
      <w:pPr>
        <w:pStyle w:val="ListParagraph"/>
        <w:rPr>
          <w:rFonts w:ascii="Calibri" w:hAnsi="Calibri"/>
        </w:rPr>
      </w:pPr>
    </w:p>
    <w:p w14:paraId="36125E16" w14:textId="77777777" w:rsidR="007E67EF" w:rsidRPr="007E67EF" w:rsidRDefault="007E67EF" w:rsidP="00D63204">
      <w:pPr>
        <w:pStyle w:val="ListParagraph"/>
        <w:spacing w:line="240" w:lineRule="auto"/>
        <w:ind w:left="810"/>
        <w:rPr>
          <w:rFonts w:ascii="Calibri" w:hAnsi="Calibri"/>
        </w:rPr>
      </w:pPr>
    </w:p>
    <w:p w14:paraId="674BB983" w14:textId="60B7461C" w:rsidR="00F36FD8" w:rsidRPr="007E67EF" w:rsidRDefault="00F36FD8" w:rsidP="00D63204">
      <w:pPr>
        <w:pStyle w:val="ListParagraph"/>
        <w:numPr>
          <w:ilvl w:val="0"/>
          <w:numId w:val="165"/>
        </w:numPr>
        <w:spacing w:line="240" w:lineRule="auto"/>
        <w:rPr>
          <w:rFonts w:ascii="Calibri" w:hAnsi="Calibri"/>
        </w:rPr>
      </w:pPr>
      <w:r w:rsidRPr="007E67EF">
        <w:rPr>
          <w:rFonts w:ascii="Calibri" w:hAnsi="Calibri"/>
        </w:rPr>
        <w:t>Provide opportunities for counselors, providers</w:t>
      </w:r>
      <w:r w:rsidR="00D5537E">
        <w:rPr>
          <w:rFonts w:ascii="Calibri" w:hAnsi="Calibri"/>
        </w:rPr>
        <w:t xml:space="preserve"> and</w:t>
      </w:r>
      <w:r w:rsidRPr="007E67EF">
        <w:rPr>
          <w:rFonts w:ascii="Calibri" w:hAnsi="Calibri"/>
        </w:rPr>
        <w:t xml:space="preserve"> support coordinators to receive training on innovative employment strategies designed to promote employment success for individuals.</w:t>
      </w:r>
    </w:p>
    <w:p w14:paraId="5F18CE06" w14:textId="77777777" w:rsidR="00F36FD8" w:rsidRPr="007E67EF" w:rsidRDefault="00F36FD8" w:rsidP="00D63204">
      <w:pPr>
        <w:spacing w:after="0" w:line="240" w:lineRule="auto"/>
        <w:ind w:left="90"/>
        <w:rPr>
          <w:rFonts w:ascii="Calibri" w:hAnsi="Calibri"/>
          <w:b/>
          <w:u w:val="single"/>
        </w:rPr>
      </w:pPr>
      <w:r w:rsidRPr="007E67EF">
        <w:rPr>
          <w:rFonts w:ascii="Calibri" w:hAnsi="Calibri"/>
          <w:b/>
          <w:u w:val="single"/>
        </w:rPr>
        <w:t xml:space="preserve">Extended Services </w:t>
      </w:r>
    </w:p>
    <w:p w14:paraId="55A4AA8C" w14:textId="7209894B" w:rsidR="00F36FD8" w:rsidRPr="00F36FD8" w:rsidRDefault="00F36FD8" w:rsidP="00D63204">
      <w:pPr>
        <w:spacing w:line="240" w:lineRule="auto"/>
        <w:ind w:left="90"/>
        <w:rPr>
          <w:rFonts w:ascii="Calibri" w:hAnsi="Calibri"/>
        </w:rPr>
      </w:pPr>
      <w:r w:rsidRPr="00F36FD8">
        <w:rPr>
          <w:rFonts w:ascii="Calibri" w:hAnsi="Calibri"/>
        </w:rPr>
        <w:t>VR’s approach for Supported Employment uses the nationally accepted “best practices” models of Supported Employment services and has added new customized strategies as well. The key to the approach is an emphasis on person-centered planning and facilitation of natural supports. Individualized job development is conducted and based on job-matching assessments, informed choice, strengths, interests</w:t>
      </w:r>
      <w:r w:rsidR="00D5537E">
        <w:rPr>
          <w:rFonts w:ascii="Calibri" w:hAnsi="Calibri"/>
        </w:rPr>
        <w:t xml:space="preserve"> and</w:t>
      </w:r>
      <w:r w:rsidRPr="00F36FD8">
        <w:rPr>
          <w:rFonts w:ascii="Calibri" w:hAnsi="Calibri"/>
        </w:rPr>
        <w:t xml:space="preserve"> skills. Individuals are assisted with employment planning and placement by selected providers. Job skills training is provided at the job site either by job coaches or through natural supports of existing resources.</w:t>
      </w:r>
    </w:p>
    <w:p w14:paraId="24E85DD8" w14:textId="55B2F213" w:rsidR="00F36FD8" w:rsidRPr="00F36FD8" w:rsidRDefault="00F36FD8" w:rsidP="00D63204">
      <w:pPr>
        <w:spacing w:line="240" w:lineRule="auto"/>
        <w:ind w:left="90"/>
        <w:rPr>
          <w:rFonts w:ascii="Calibri" w:hAnsi="Calibri"/>
        </w:rPr>
      </w:pPr>
      <w:r w:rsidRPr="00F36FD8">
        <w:rPr>
          <w:rFonts w:ascii="Calibri" w:hAnsi="Calibri"/>
        </w:rPr>
        <w:t>Transition to Extended Services occurs when an individual has sufficient time to learn the tasks and is comfortable in the work culture, has had the supports addressed and is satisfied with the type of work and work hours</w:t>
      </w:r>
      <w:r w:rsidR="005E7C49">
        <w:rPr>
          <w:rFonts w:ascii="Calibri" w:hAnsi="Calibri"/>
        </w:rPr>
        <w:t xml:space="preserve">. </w:t>
      </w:r>
      <w:r w:rsidRPr="00F36FD8">
        <w:rPr>
          <w:rFonts w:ascii="Calibri" w:hAnsi="Calibri"/>
        </w:rPr>
        <w:t>At the time of transition, the counselor, providers, individual</w:t>
      </w:r>
      <w:r w:rsidR="00D5537E">
        <w:rPr>
          <w:rFonts w:ascii="Calibri" w:hAnsi="Calibri"/>
        </w:rPr>
        <w:t xml:space="preserve"> and</w:t>
      </w:r>
      <w:r w:rsidRPr="00F36FD8">
        <w:rPr>
          <w:rFonts w:ascii="Calibri" w:hAnsi="Calibri"/>
        </w:rPr>
        <w:t xml:space="preserve"> others, as applicable, will have agreed that the individual is stable in their employment and expected to succeed. VR counselors confirm this information with the individual, provider</w:t>
      </w:r>
      <w:r w:rsidR="00D5537E">
        <w:rPr>
          <w:rFonts w:ascii="Calibri" w:hAnsi="Calibri"/>
        </w:rPr>
        <w:t xml:space="preserve"> and</w:t>
      </w:r>
      <w:r w:rsidRPr="00F36FD8">
        <w:rPr>
          <w:rFonts w:ascii="Calibri" w:hAnsi="Calibri"/>
        </w:rPr>
        <w:t xml:space="preserve"> employer. They </w:t>
      </w:r>
      <w:r w:rsidR="000F4D72">
        <w:rPr>
          <w:rFonts w:ascii="Calibri" w:hAnsi="Calibri"/>
        </w:rPr>
        <w:t xml:space="preserve">will </w:t>
      </w:r>
      <w:r w:rsidRPr="00F36FD8">
        <w:rPr>
          <w:rFonts w:ascii="Calibri" w:hAnsi="Calibri"/>
        </w:rPr>
        <w:t>continue</w:t>
      </w:r>
      <w:r w:rsidR="000F4D72">
        <w:rPr>
          <w:rFonts w:ascii="Calibri" w:hAnsi="Calibri"/>
        </w:rPr>
        <w:t xml:space="preserve"> to</w:t>
      </w:r>
      <w:r w:rsidRPr="00F36FD8">
        <w:rPr>
          <w:rFonts w:ascii="Calibri" w:hAnsi="Calibri"/>
        </w:rPr>
        <w:t xml:space="preserve"> </w:t>
      </w:r>
      <w:r w:rsidR="00C442E2">
        <w:rPr>
          <w:rFonts w:ascii="Calibri" w:hAnsi="Calibri"/>
        </w:rPr>
        <w:t xml:space="preserve">monitor </w:t>
      </w:r>
      <w:r w:rsidRPr="00F36FD8">
        <w:rPr>
          <w:rFonts w:ascii="Calibri" w:hAnsi="Calibri"/>
        </w:rPr>
        <w:t>the case until the person reaches a successful employment outcome of a minimum of 90 days of stabilized employment after transitioning to extended services.</w:t>
      </w:r>
    </w:p>
    <w:p w14:paraId="17554EE3" w14:textId="45FEDCDC" w:rsidR="00F36FD8" w:rsidRPr="00F36FD8" w:rsidRDefault="00F36FD8" w:rsidP="00D63204">
      <w:pPr>
        <w:spacing w:line="240" w:lineRule="auto"/>
        <w:ind w:left="90"/>
        <w:rPr>
          <w:rFonts w:ascii="Calibri" w:hAnsi="Calibri"/>
        </w:rPr>
      </w:pPr>
      <w:r w:rsidRPr="00F36FD8">
        <w:rPr>
          <w:rFonts w:ascii="Calibri" w:hAnsi="Calibri"/>
        </w:rPr>
        <w:t xml:space="preserve">VR </w:t>
      </w:r>
      <w:r w:rsidR="000F4D72">
        <w:rPr>
          <w:rFonts w:ascii="Calibri" w:hAnsi="Calibri"/>
        </w:rPr>
        <w:t>continues to</w:t>
      </w:r>
      <w:r w:rsidRPr="00F36FD8">
        <w:rPr>
          <w:rFonts w:ascii="Calibri" w:hAnsi="Calibri"/>
        </w:rPr>
        <w:t>:</w:t>
      </w:r>
    </w:p>
    <w:p w14:paraId="3EC02000" w14:textId="3E4E54F2" w:rsidR="00F36FD8" w:rsidRDefault="00F36FD8" w:rsidP="00D63204">
      <w:pPr>
        <w:pStyle w:val="ListParagraph"/>
        <w:numPr>
          <w:ilvl w:val="0"/>
          <w:numId w:val="166"/>
        </w:numPr>
        <w:spacing w:line="240" w:lineRule="auto"/>
        <w:rPr>
          <w:rFonts w:ascii="Calibri" w:hAnsi="Calibri"/>
        </w:rPr>
      </w:pPr>
      <w:r w:rsidRPr="007E67EF">
        <w:rPr>
          <w:rFonts w:ascii="Calibri" w:hAnsi="Calibri"/>
        </w:rPr>
        <w:t>Emphasize providing services to all racial/ethnic minorities</w:t>
      </w:r>
    </w:p>
    <w:p w14:paraId="5E1D8A99" w14:textId="77777777" w:rsidR="007E67EF" w:rsidRPr="007E67EF" w:rsidRDefault="007E67EF" w:rsidP="00D63204">
      <w:pPr>
        <w:pStyle w:val="ListParagraph"/>
        <w:spacing w:line="240" w:lineRule="auto"/>
        <w:ind w:left="810"/>
        <w:rPr>
          <w:rFonts w:ascii="Calibri" w:hAnsi="Calibri"/>
        </w:rPr>
      </w:pPr>
    </w:p>
    <w:p w14:paraId="6B98748E" w14:textId="05DFE2FA" w:rsidR="00F36FD8" w:rsidRDefault="00F36FD8" w:rsidP="00D63204">
      <w:pPr>
        <w:pStyle w:val="ListParagraph"/>
        <w:numPr>
          <w:ilvl w:val="0"/>
          <w:numId w:val="166"/>
        </w:numPr>
        <w:spacing w:line="240" w:lineRule="auto"/>
        <w:rPr>
          <w:rFonts w:ascii="Calibri" w:hAnsi="Calibri"/>
        </w:rPr>
      </w:pPr>
      <w:r w:rsidRPr="007E67EF">
        <w:rPr>
          <w:rFonts w:ascii="Calibri" w:hAnsi="Calibri"/>
        </w:rPr>
        <w:t>Seek additional resources for extended services in collaboration with VR partners</w:t>
      </w:r>
    </w:p>
    <w:p w14:paraId="79133F46" w14:textId="77777777" w:rsidR="007E67EF" w:rsidRPr="007E67EF" w:rsidRDefault="007E67EF" w:rsidP="00D63204">
      <w:pPr>
        <w:pStyle w:val="ListParagraph"/>
        <w:spacing w:line="240" w:lineRule="auto"/>
        <w:ind w:left="810"/>
        <w:rPr>
          <w:rFonts w:ascii="Calibri" w:hAnsi="Calibri"/>
        </w:rPr>
      </w:pPr>
    </w:p>
    <w:p w14:paraId="52BC57EE" w14:textId="4CFD9ED7" w:rsidR="00F36FD8" w:rsidRDefault="00F36FD8" w:rsidP="00D63204">
      <w:pPr>
        <w:pStyle w:val="ListParagraph"/>
        <w:numPr>
          <w:ilvl w:val="0"/>
          <w:numId w:val="166"/>
        </w:numPr>
        <w:spacing w:line="240" w:lineRule="auto"/>
        <w:rPr>
          <w:rFonts w:ascii="Calibri" w:hAnsi="Calibri"/>
        </w:rPr>
      </w:pPr>
      <w:r w:rsidRPr="007E67EF">
        <w:rPr>
          <w:rFonts w:ascii="Calibri" w:hAnsi="Calibri"/>
        </w:rPr>
        <w:t>Collaborate with community organizations, families</w:t>
      </w:r>
      <w:r w:rsidR="00D5537E">
        <w:rPr>
          <w:rFonts w:ascii="Calibri" w:hAnsi="Calibri"/>
        </w:rPr>
        <w:t xml:space="preserve"> and</w:t>
      </w:r>
      <w:r w:rsidRPr="007E67EF">
        <w:rPr>
          <w:rFonts w:ascii="Calibri" w:hAnsi="Calibri"/>
        </w:rPr>
        <w:t xml:space="preserve"> support groups to develop natural supports as an option for assisting customers on the job site</w:t>
      </w:r>
    </w:p>
    <w:p w14:paraId="709FE71B" w14:textId="77777777" w:rsidR="007E67EF" w:rsidRPr="007E67EF" w:rsidRDefault="007E67EF" w:rsidP="00D63204">
      <w:pPr>
        <w:pStyle w:val="ListParagraph"/>
        <w:spacing w:line="240" w:lineRule="auto"/>
        <w:ind w:left="810"/>
        <w:rPr>
          <w:rFonts w:ascii="Calibri" w:hAnsi="Calibri"/>
        </w:rPr>
      </w:pPr>
    </w:p>
    <w:p w14:paraId="1E86387A" w14:textId="3280EE42" w:rsidR="00F36FD8" w:rsidRDefault="00F36FD8" w:rsidP="00D63204">
      <w:pPr>
        <w:pStyle w:val="ListParagraph"/>
        <w:numPr>
          <w:ilvl w:val="0"/>
          <w:numId w:val="166"/>
        </w:numPr>
        <w:spacing w:line="240" w:lineRule="auto"/>
        <w:rPr>
          <w:rFonts w:ascii="Calibri" w:hAnsi="Calibri"/>
        </w:rPr>
      </w:pPr>
      <w:r w:rsidRPr="007E67EF">
        <w:rPr>
          <w:rFonts w:ascii="Calibri" w:hAnsi="Calibri"/>
        </w:rPr>
        <w:t>Participate on interagency committees to expand initiatives and increase employment outcomes</w:t>
      </w:r>
    </w:p>
    <w:p w14:paraId="17412C2D" w14:textId="77777777" w:rsidR="007E67EF" w:rsidRPr="007E67EF" w:rsidRDefault="007E67EF" w:rsidP="00D63204">
      <w:pPr>
        <w:pStyle w:val="ListParagraph"/>
        <w:spacing w:line="240" w:lineRule="auto"/>
        <w:ind w:left="810"/>
        <w:rPr>
          <w:rFonts w:ascii="Calibri" w:hAnsi="Calibri"/>
        </w:rPr>
      </w:pPr>
    </w:p>
    <w:p w14:paraId="1E317332" w14:textId="25EBA2CD" w:rsidR="00F36FD8" w:rsidRPr="007E67EF" w:rsidRDefault="00F36FD8" w:rsidP="00D63204">
      <w:pPr>
        <w:pStyle w:val="ListParagraph"/>
        <w:numPr>
          <w:ilvl w:val="0"/>
          <w:numId w:val="166"/>
        </w:numPr>
        <w:spacing w:line="240" w:lineRule="auto"/>
        <w:rPr>
          <w:rFonts w:ascii="Calibri" w:hAnsi="Calibri"/>
        </w:rPr>
      </w:pPr>
      <w:r w:rsidRPr="007E67EF">
        <w:rPr>
          <w:rFonts w:ascii="Calibri" w:hAnsi="Calibri"/>
        </w:rPr>
        <w:t>Distribute and provide technical assistance to counselors on the use of Social Security Work Incentives to help with funding extended services</w:t>
      </w:r>
    </w:p>
    <w:p w14:paraId="73E0443B" w14:textId="77777777" w:rsidR="00F36FD8" w:rsidRPr="00F36FD8" w:rsidRDefault="00F36FD8" w:rsidP="00D63204">
      <w:pPr>
        <w:spacing w:line="240" w:lineRule="auto"/>
        <w:ind w:left="90"/>
        <w:rPr>
          <w:rFonts w:ascii="Calibri" w:hAnsi="Calibri"/>
        </w:rPr>
      </w:pPr>
      <w:r w:rsidRPr="00F36FD8">
        <w:rPr>
          <w:rFonts w:ascii="Calibri" w:hAnsi="Calibri"/>
        </w:rPr>
        <w:t>Extended services are provided and/or funded by sources other than VR. VR works collaboratively with other state agencies and organizations to ensure that extended support services, identified on the individualized plan as needed for employment, are available for as long as the customer needs them.</w:t>
      </w:r>
    </w:p>
    <w:p w14:paraId="78114BED" w14:textId="38C37313" w:rsidR="00F36FD8" w:rsidRPr="00F36FD8" w:rsidRDefault="00F36FD8" w:rsidP="00D63204">
      <w:pPr>
        <w:spacing w:line="240" w:lineRule="auto"/>
        <w:ind w:left="90"/>
        <w:rPr>
          <w:rFonts w:ascii="Calibri" w:hAnsi="Calibri"/>
        </w:rPr>
      </w:pPr>
      <w:r w:rsidRPr="00F36FD8">
        <w:rPr>
          <w:rFonts w:ascii="Calibri" w:hAnsi="Calibri"/>
        </w:rPr>
        <w:t xml:space="preserve">A Senior Consultant serves as a statewide coordinator who monitors Supported Employment issues that arise in the field and serves as a resource person to field staff. The coordinator </w:t>
      </w:r>
      <w:r w:rsidR="000F4D72">
        <w:rPr>
          <w:rFonts w:ascii="Calibri" w:hAnsi="Calibri"/>
        </w:rPr>
        <w:t xml:space="preserve">also </w:t>
      </w:r>
      <w:r w:rsidRPr="00F36FD8">
        <w:rPr>
          <w:rFonts w:ascii="Calibri" w:hAnsi="Calibri"/>
        </w:rPr>
        <w:t>assists leadership when implementing programmatic policies in accordance with federal mandates, developing effective programs, recommending training for Supported Employment staff</w:t>
      </w:r>
      <w:r w:rsidR="00D5537E">
        <w:rPr>
          <w:rFonts w:ascii="Calibri" w:hAnsi="Calibri"/>
        </w:rPr>
        <w:t xml:space="preserve"> and</w:t>
      </w:r>
      <w:r w:rsidRPr="00F36FD8">
        <w:rPr>
          <w:rFonts w:ascii="Calibri" w:hAnsi="Calibri"/>
        </w:rPr>
        <w:t xml:space="preserve"> other liaison duties as requested.</w:t>
      </w:r>
    </w:p>
    <w:p w14:paraId="610C849B" w14:textId="77777777" w:rsidR="00F36FD8" w:rsidRDefault="00F36FD8" w:rsidP="00F36FD8">
      <w:pPr>
        <w:rPr>
          <w:rFonts w:ascii="Calibri" w:hAnsi="Calibri"/>
        </w:rPr>
      </w:pPr>
    </w:p>
    <w:p w14:paraId="192FA951" w14:textId="77777777" w:rsidR="00F36FD8" w:rsidRDefault="00F36FD8" w:rsidP="00F36FD8">
      <w:pPr>
        <w:ind w:left="90"/>
        <w:rPr>
          <w:rFonts w:ascii="Calibri" w:hAnsi="Calibri"/>
        </w:rPr>
      </w:pPr>
    </w:p>
    <w:p w14:paraId="0CF0A1A5" w14:textId="77777777" w:rsidR="00F36FD8" w:rsidRDefault="00F36FD8" w:rsidP="00F36FD8">
      <w:pPr>
        <w:rPr>
          <w:rFonts w:ascii="Calibri" w:hAnsi="Calibri"/>
        </w:rPr>
      </w:pPr>
    </w:p>
    <w:p w14:paraId="6B1AABDD" w14:textId="05734BAA" w:rsidR="00EA7458" w:rsidRPr="00C57FE2" w:rsidRDefault="00924AC3" w:rsidP="00895A58">
      <w:pPr>
        <w:widowControl w:val="0"/>
        <w:spacing w:before="8" w:after="0" w:line="240" w:lineRule="auto"/>
        <w:ind w:left="1440"/>
        <w:rPr>
          <w:rFonts w:ascii="Calibri" w:hAnsi="Calibri" w:cs="Calibri"/>
          <w:sz w:val="14"/>
          <w:szCs w:val="14"/>
        </w:rPr>
      </w:pPr>
      <w:r>
        <w:rPr>
          <w:noProof/>
        </w:rPr>
        <w:lastRenderedPageBreak/>
        <w:drawing>
          <wp:anchor distT="0" distB="0" distL="114300" distR="114300" simplePos="0" relativeHeight="251658240" behindDoc="1" locked="0" layoutInCell="1" allowOverlap="1" wp14:anchorId="356AFBF4" wp14:editId="64509189">
            <wp:simplePos x="0" y="0"/>
            <wp:positionH relativeFrom="page">
              <wp:posOffset>866775</wp:posOffset>
            </wp:positionH>
            <wp:positionV relativeFrom="page">
              <wp:posOffset>1200150</wp:posOffset>
            </wp:positionV>
            <wp:extent cx="6038850" cy="7815580"/>
            <wp:effectExtent l="0" t="0" r="0" b="0"/>
            <wp:wrapNone/>
            <wp:docPr id="208" name="Picture 32" descr="Vocational rehabilitation certifications and assuran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Vocational rehabilitation certifications and assurances"/>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6038850" cy="7815580"/>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159" w:name="_bookmark99"/>
      <w:bookmarkEnd w:id="159"/>
      <w:r w:rsidR="00EA7458" w:rsidRPr="00EA7458">
        <w:rPr>
          <w:rFonts w:ascii="Calibri" w:hAnsi="Calibri"/>
          <w:b/>
          <w:bCs/>
          <w:color w:val="295CA3"/>
          <w:spacing w:val="-5"/>
          <w:w w:val="110"/>
          <w:sz w:val="36"/>
          <w:szCs w:val="36"/>
        </w:rPr>
        <w:t xml:space="preserve">VOCATIONAL REHABILITATION </w:t>
      </w:r>
      <w:r w:rsidR="00EA7458" w:rsidRPr="00EA7458">
        <w:rPr>
          <w:rFonts w:ascii="Calibri" w:hAnsi="Calibri"/>
          <w:b/>
          <w:bCs/>
          <w:color w:val="295CA3"/>
          <w:spacing w:val="-3"/>
          <w:w w:val="110"/>
          <w:sz w:val="36"/>
          <w:szCs w:val="36"/>
        </w:rPr>
        <w:t xml:space="preserve">CERTIFICATIONS </w:t>
      </w:r>
      <w:r w:rsidR="00EA7458" w:rsidRPr="00EA7458">
        <w:rPr>
          <w:rFonts w:ascii="Calibri" w:hAnsi="Calibri"/>
          <w:b/>
          <w:bCs/>
          <w:color w:val="295CA3"/>
          <w:w w:val="110"/>
          <w:sz w:val="36"/>
          <w:szCs w:val="36"/>
        </w:rPr>
        <w:t xml:space="preserve">&amp;   </w:t>
      </w:r>
      <w:r w:rsidR="00EA7458" w:rsidRPr="00EA7458">
        <w:rPr>
          <w:rFonts w:ascii="Calibri" w:hAnsi="Calibri"/>
          <w:b/>
          <w:bCs/>
          <w:color w:val="295CA3"/>
          <w:spacing w:val="5"/>
          <w:w w:val="110"/>
          <w:sz w:val="36"/>
          <w:szCs w:val="36"/>
        </w:rPr>
        <w:t xml:space="preserve"> </w:t>
      </w:r>
      <w:r w:rsidR="00EA7458" w:rsidRPr="00EA7458">
        <w:rPr>
          <w:rFonts w:ascii="Calibri" w:hAnsi="Calibri"/>
          <w:b/>
          <w:bCs/>
          <w:color w:val="295CA3"/>
          <w:w w:val="110"/>
          <w:sz w:val="36"/>
          <w:szCs w:val="36"/>
          <w:u w:val="single" w:color="231F20"/>
        </w:rPr>
        <w:t>ASSURANCES</w:t>
      </w:r>
      <w:r w:rsidR="00EA7458" w:rsidRPr="00EA7458">
        <w:rPr>
          <w:rFonts w:ascii="Calibri" w:hAnsi="Calibri"/>
          <w:b/>
          <w:bCs/>
          <w:color w:val="295CA3"/>
          <w:sz w:val="36"/>
          <w:szCs w:val="36"/>
          <w:u w:val="single" w:color="231F20"/>
        </w:rPr>
        <w:tab/>
      </w:r>
      <w:r w:rsidR="00EA7458" w:rsidRPr="00EA7458">
        <w:rPr>
          <w:rFonts w:ascii="Calibri" w:hAnsi="Calibri"/>
          <w:b/>
          <w:bCs/>
          <w:color w:val="295CA3"/>
          <w:w w:val="22"/>
          <w:sz w:val="36"/>
          <w:szCs w:val="36"/>
          <w:u w:val="single" w:color="231F20"/>
        </w:rPr>
        <w:t xml:space="preserve"> </w:t>
      </w:r>
    </w:p>
    <w:p w14:paraId="79401BC4" w14:textId="77777777" w:rsidR="00EA7458" w:rsidRPr="00EA7458" w:rsidRDefault="00EA7458" w:rsidP="00EA7458">
      <w:pPr>
        <w:widowControl w:val="0"/>
        <w:spacing w:after="0" w:line="432" w:lineRule="exact"/>
        <w:rPr>
          <w:rFonts w:ascii="Calibri" w:hAnsi="Calibri"/>
        </w:rPr>
        <w:sectPr w:rsidR="00EA7458" w:rsidRPr="00EA7458">
          <w:footerReference w:type="default" r:id="rId186"/>
          <w:pgSz w:w="12240" w:h="15840"/>
          <w:pgMar w:top="1620" w:right="900" w:bottom="820" w:left="900" w:header="812" w:footer="624" w:gutter="0"/>
          <w:cols w:space="720"/>
        </w:sectPr>
      </w:pPr>
    </w:p>
    <w:p w14:paraId="2B76305B" w14:textId="77777777" w:rsidR="00EA7458" w:rsidRPr="00EA7458" w:rsidRDefault="00EA7458" w:rsidP="00EA7458">
      <w:pPr>
        <w:widowControl w:val="0"/>
        <w:spacing w:before="4" w:after="0" w:line="240" w:lineRule="auto"/>
        <w:rPr>
          <w:rFonts w:ascii="Times New Roman" w:hAnsi="Times New Roman"/>
          <w:sz w:val="23"/>
          <w:szCs w:val="23"/>
        </w:rPr>
      </w:pPr>
    </w:p>
    <w:p w14:paraId="7029DA2A" w14:textId="77777777" w:rsidR="00EA7458" w:rsidRPr="00EA7458" w:rsidRDefault="007C4EF4" w:rsidP="00EA7458">
      <w:pPr>
        <w:widowControl w:val="0"/>
        <w:spacing w:after="0" w:line="12143" w:lineRule="exact"/>
        <w:ind w:left="456"/>
        <w:rPr>
          <w:rFonts w:ascii="Times New Roman" w:hAnsi="Times New Roman"/>
          <w:sz w:val="20"/>
          <w:szCs w:val="20"/>
        </w:rPr>
      </w:pPr>
      <w:r>
        <w:rPr>
          <w:noProof/>
        </w:rPr>
        <w:drawing>
          <wp:inline distT="0" distB="0" distL="0" distR="0" wp14:anchorId="01EC2311" wp14:editId="5C9B3A60">
            <wp:extent cx="5861048" cy="7588248"/>
            <wp:effectExtent l="0" t="0" r="0" b="0"/>
            <wp:docPr id="1063348540" name="picture" descr="Vocational rehabilitation certifications and assuran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87">
                      <a:extLst>
                        <a:ext uri="{28A0092B-C50C-407E-A947-70E740481C1C}">
                          <a14:useLocalDpi xmlns:a14="http://schemas.microsoft.com/office/drawing/2010/main" val="0"/>
                        </a:ext>
                      </a:extLst>
                    </a:blip>
                    <a:stretch>
                      <a:fillRect/>
                    </a:stretch>
                  </pic:blipFill>
                  <pic:spPr>
                    <a:xfrm>
                      <a:off x="0" y="0"/>
                      <a:ext cx="5861048" cy="7588248"/>
                    </a:xfrm>
                    <a:prstGeom prst="rect">
                      <a:avLst/>
                    </a:prstGeom>
                  </pic:spPr>
                </pic:pic>
              </a:graphicData>
            </a:graphic>
          </wp:inline>
        </w:drawing>
      </w:r>
    </w:p>
    <w:p w14:paraId="10A36590" w14:textId="77777777" w:rsidR="00EA7458" w:rsidRPr="00EA7458" w:rsidRDefault="00EA7458" w:rsidP="00EA7458">
      <w:pPr>
        <w:widowControl w:val="0"/>
        <w:spacing w:after="0" w:line="12143" w:lineRule="exact"/>
        <w:rPr>
          <w:rFonts w:ascii="Times New Roman" w:hAnsi="Times New Roman"/>
          <w:sz w:val="20"/>
          <w:szCs w:val="20"/>
        </w:rPr>
        <w:sectPr w:rsidR="00EA7458" w:rsidRPr="00EA7458">
          <w:pgSz w:w="12240" w:h="15840"/>
          <w:pgMar w:top="1620" w:right="900" w:bottom="820" w:left="900" w:header="812" w:footer="624" w:gutter="0"/>
          <w:cols w:space="720"/>
        </w:sectPr>
      </w:pPr>
    </w:p>
    <w:p w14:paraId="677BF2CB" w14:textId="77777777" w:rsidR="00EA7458" w:rsidRPr="00EA7458" w:rsidRDefault="00EA7458" w:rsidP="00EA7458">
      <w:pPr>
        <w:widowControl w:val="0"/>
        <w:spacing w:before="4" w:after="0" w:line="240" w:lineRule="auto"/>
        <w:rPr>
          <w:rFonts w:ascii="Times New Roman" w:hAnsi="Times New Roman"/>
          <w:sz w:val="23"/>
          <w:szCs w:val="23"/>
        </w:rPr>
      </w:pPr>
    </w:p>
    <w:p w14:paraId="191E3967" w14:textId="77777777" w:rsidR="00EA7458" w:rsidRPr="00EA7458" w:rsidRDefault="007C4EF4" w:rsidP="00EA7458">
      <w:pPr>
        <w:widowControl w:val="0"/>
        <w:spacing w:after="0" w:line="12143" w:lineRule="exact"/>
        <w:ind w:left="456"/>
        <w:rPr>
          <w:rFonts w:ascii="Times New Roman" w:hAnsi="Times New Roman"/>
          <w:sz w:val="20"/>
          <w:szCs w:val="20"/>
        </w:rPr>
      </w:pPr>
      <w:r>
        <w:rPr>
          <w:noProof/>
        </w:rPr>
        <w:drawing>
          <wp:inline distT="0" distB="0" distL="0" distR="0" wp14:anchorId="2A701D83" wp14:editId="1D09D143">
            <wp:extent cx="5861048" cy="7588248"/>
            <wp:effectExtent l="0" t="0" r="0" b="0"/>
            <wp:docPr id="314978452" name="picture" descr="Vocational rehabilitation certifications and assuran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88">
                      <a:extLst>
                        <a:ext uri="{28A0092B-C50C-407E-A947-70E740481C1C}">
                          <a14:useLocalDpi xmlns:a14="http://schemas.microsoft.com/office/drawing/2010/main" val="0"/>
                        </a:ext>
                      </a:extLst>
                    </a:blip>
                    <a:stretch>
                      <a:fillRect/>
                    </a:stretch>
                  </pic:blipFill>
                  <pic:spPr>
                    <a:xfrm>
                      <a:off x="0" y="0"/>
                      <a:ext cx="5861048" cy="7588248"/>
                    </a:xfrm>
                    <a:prstGeom prst="rect">
                      <a:avLst/>
                    </a:prstGeom>
                  </pic:spPr>
                </pic:pic>
              </a:graphicData>
            </a:graphic>
          </wp:inline>
        </w:drawing>
      </w:r>
    </w:p>
    <w:p w14:paraId="378CEE39" w14:textId="77777777" w:rsidR="00EA7458" w:rsidRPr="00EA7458" w:rsidRDefault="00EA7458" w:rsidP="00EA7458">
      <w:pPr>
        <w:widowControl w:val="0"/>
        <w:spacing w:after="0" w:line="12143" w:lineRule="exact"/>
        <w:rPr>
          <w:rFonts w:ascii="Times New Roman" w:hAnsi="Times New Roman"/>
          <w:sz w:val="20"/>
          <w:szCs w:val="20"/>
        </w:rPr>
        <w:sectPr w:rsidR="00EA7458" w:rsidRPr="00EA7458">
          <w:footerReference w:type="default" r:id="rId189"/>
          <w:pgSz w:w="12240" w:h="15840"/>
          <w:pgMar w:top="1620" w:right="900" w:bottom="820" w:left="900" w:header="812" w:footer="624" w:gutter="0"/>
          <w:cols w:space="720"/>
        </w:sectPr>
      </w:pPr>
    </w:p>
    <w:p w14:paraId="349BD753" w14:textId="77777777" w:rsidR="00EA7458" w:rsidRPr="00EA7458" w:rsidRDefault="00EA7458" w:rsidP="00EA7458">
      <w:pPr>
        <w:widowControl w:val="0"/>
        <w:spacing w:before="4" w:after="0" w:line="240" w:lineRule="auto"/>
        <w:rPr>
          <w:rFonts w:ascii="Times New Roman" w:hAnsi="Times New Roman"/>
          <w:sz w:val="23"/>
          <w:szCs w:val="23"/>
        </w:rPr>
      </w:pPr>
    </w:p>
    <w:p w14:paraId="59A06417" w14:textId="77777777" w:rsidR="00EA7458" w:rsidRPr="00EA7458" w:rsidRDefault="007C4EF4" w:rsidP="00EA7458">
      <w:pPr>
        <w:widowControl w:val="0"/>
        <w:spacing w:after="0" w:line="12143" w:lineRule="exact"/>
        <w:ind w:left="456"/>
        <w:rPr>
          <w:rFonts w:ascii="Times New Roman" w:hAnsi="Times New Roman"/>
          <w:sz w:val="20"/>
          <w:szCs w:val="20"/>
        </w:rPr>
      </w:pPr>
      <w:r>
        <w:rPr>
          <w:noProof/>
        </w:rPr>
        <w:drawing>
          <wp:inline distT="0" distB="0" distL="0" distR="0" wp14:anchorId="02652418" wp14:editId="097AB3C9">
            <wp:extent cx="5861048" cy="7588248"/>
            <wp:effectExtent l="0" t="0" r="0" b="0"/>
            <wp:docPr id="885319723" name="picture" descr="Vocational rehabilitation certifications and assuran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90">
                      <a:extLst>
                        <a:ext uri="{28A0092B-C50C-407E-A947-70E740481C1C}">
                          <a14:useLocalDpi xmlns:a14="http://schemas.microsoft.com/office/drawing/2010/main" val="0"/>
                        </a:ext>
                      </a:extLst>
                    </a:blip>
                    <a:stretch>
                      <a:fillRect/>
                    </a:stretch>
                  </pic:blipFill>
                  <pic:spPr>
                    <a:xfrm>
                      <a:off x="0" y="0"/>
                      <a:ext cx="5861048" cy="7588248"/>
                    </a:xfrm>
                    <a:prstGeom prst="rect">
                      <a:avLst/>
                    </a:prstGeom>
                  </pic:spPr>
                </pic:pic>
              </a:graphicData>
            </a:graphic>
          </wp:inline>
        </w:drawing>
      </w:r>
    </w:p>
    <w:p w14:paraId="792CB77E" w14:textId="77777777" w:rsidR="00EA7458" w:rsidRPr="00EA7458" w:rsidRDefault="00EA7458" w:rsidP="00EA7458">
      <w:pPr>
        <w:widowControl w:val="0"/>
        <w:spacing w:after="0" w:line="12143" w:lineRule="exact"/>
        <w:rPr>
          <w:rFonts w:ascii="Times New Roman" w:hAnsi="Times New Roman"/>
          <w:sz w:val="20"/>
          <w:szCs w:val="20"/>
        </w:rPr>
        <w:sectPr w:rsidR="00EA7458" w:rsidRPr="00EA7458">
          <w:footerReference w:type="default" r:id="rId191"/>
          <w:pgSz w:w="12240" w:h="15840"/>
          <w:pgMar w:top="1620" w:right="900" w:bottom="820" w:left="900" w:header="812" w:footer="624" w:gutter="0"/>
          <w:pgNumType w:start="211"/>
          <w:cols w:space="720"/>
        </w:sectPr>
      </w:pPr>
    </w:p>
    <w:p w14:paraId="4388679E" w14:textId="77777777" w:rsidR="00EA7458" w:rsidRPr="00EA7458" w:rsidRDefault="00EA7458" w:rsidP="00EA7458">
      <w:pPr>
        <w:widowControl w:val="0"/>
        <w:spacing w:before="4" w:after="0" w:line="240" w:lineRule="auto"/>
        <w:rPr>
          <w:rFonts w:ascii="Times New Roman" w:hAnsi="Times New Roman"/>
          <w:sz w:val="23"/>
          <w:szCs w:val="23"/>
        </w:rPr>
      </w:pPr>
    </w:p>
    <w:p w14:paraId="62FBE233" w14:textId="77777777" w:rsidR="00EA7458" w:rsidRPr="00EA7458" w:rsidRDefault="007C4EF4" w:rsidP="00EA7458">
      <w:pPr>
        <w:widowControl w:val="0"/>
        <w:spacing w:after="0" w:line="12143" w:lineRule="exact"/>
        <w:ind w:left="456"/>
        <w:rPr>
          <w:rFonts w:ascii="Times New Roman" w:hAnsi="Times New Roman"/>
          <w:sz w:val="20"/>
          <w:szCs w:val="20"/>
        </w:rPr>
      </w:pPr>
      <w:r>
        <w:rPr>
          <w:noProof/>
        </w:rPr>
        <w:drawing>
          <wp:inline distT="0" distB="0" distL="0" distR="0" wp14:anchorId="44704DE6" wp14:editId="3491EAC9">
            <wp:extent cx="5861048" cy="7588248"/>
            <wp:effectExtent l="0" t="0" r="0" b="0"/>
            <wp:docPr id="2007450004" name="picture" descr="Vocational rehabilitation certifications and assuran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92">
                      <a:extLst>
                        <a:ext uri="{28A0092B-C50C-407E-A947-70E740481C1C}">
                          <a14:useLocalDpi xmlns:a14="http://schemas.microsoft.com/office/drawing/2010/main" val="0"/>
                        </a:ext>
                      </a:extLst>
                    </a:blip>
                    <a:stretch>
                      <a:fillRect/>
                    </a:stretch>
                  </pic:blipFill>
                  <pic:spPr>
                    <a:xfrm>
                      <a:off x="0" y="0"/>
                      <a:ext cx="5861048" cy="7588248"/>
                    </a:xfrm>
                    <a:prstGeom prst="rect">
                      <a:avLst/>
                    </a:prstGeom>
                  </pic:spPr>
                </pic:pic>
              </a:graphicData>
            </a:graphic>
          </wp:inline>
        </w:drawing>
      </w:r>
    </w:p>
    <w:p w14:paraId="7421BB81" w14:textId="77777777" w:rsidR="00EA7458" w:rsidRPr="00EA7458" w:rsidRDefault="00EA7458" w:rsidP="00EA7458">
      <w:pPr>
        <w:widowControl w:val="0"/>
        <w:spacing w:after="0" w:line="12143" w:lineRule="exact"/>
        <w:rPr>
          <w:rFonts w:ascii="Times New Roman" w:hAnsi="Times New Roman"/>
          <w:sz w:val="20"/>
          <w:szCs w:val="20"/>
        </w:rPr>
        <w:sectPr w:rsidR="00EA7458" w:rsidRPr="00EA7458">
          <w:pgSz w:w="12240" w:h="15840"/>
          <w:pgMar w:top="1620" w:right="900" w:bottom="820" w:left="900" w:header="812" w:footer="624" w:gutter="0"/>
          <w:cols w:space="720"/>
        </w:sectPr>
      </w:pPr>
    </w:p>
    <w:p w14:paraId="4D23432A" w14:textId="77777777" w:rsidR="00EA7458" w:rsidRPr="00EA7458" w:rsidRDefault="00924AC3" w:rsidP="00EA7458">
      <w:pPr>
        <w:widowControl w:val="0"/>
        <w:spacing w:before="7" w:after="0" w:line="240" w:lineRule="auto"/>
        <w:rPr>
          <w:rFonts w:ascii="Times New Roman" w:hAnsi="Times New Roman"/>
          <w:sz w:val="15"/>
          <w:szCs w:val="15"/>
        </w:rPr>
      </w:pPr>
      <w:r>
        <w:rPr>
          <w:noProof/>
        </w:rPr>
        <w:lastRenderedPageBreak/>
        <w:drawing>
          <wp:anchor distT="0" distB="0" distL="114300" distR="114300" simplePos="0" relativeHeight="251658244" behindDoc="1" locked="0" layoutInCell="1" allowOverlap="1" wp14:anchorId="193557EB" wp14:editId="2E7A907D">
            <wp:simplePos x="0" y="0"/>
            <wp:positionH relativeFrom="page">
              <wp:posOffset>861060</wp:posOffset>
            </wp:positionH>
            <wp:positionV relativeFrom="page">
              <wp:posOffset>1200150</wp:posOffset>
            </wp:positionV>
            <wp:extent cx="6050280" cy="7829550"/>
            <wp:effectExtent l="0" t="0" r="0" b="0"/>
            <wp:wrapNone/>
            <wp:docPr id="213" name="Picture 37" descr="Vocational rehabilitation certifications and assuran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Vocational rehabilitation certifications and assurances"/>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6050280" cy="78295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CD49379" w14:textId="77777777" w:rsidR="00EA7458" w:rsidRPr="00EA7458" w:rsidRDefault="00EA7458" w:rsidP="00EA7458">
      <w:pPr>
        <w:widowControl w:val="0"/>
        <w:tabs>
          <w:tab w:val="left" w:pos="10331"/>
        </w:tabs>
        <w:spacing w:before="30" w:after="0" w:line="240" w:lineRule="auto"/>
        <w:ind w:left="107"/>
        <w:outlineLvl w:val="0"/>
        <w:rPr>
          <w:rFonts w:ascii="Calibri" w:hAnsi="Calibri"/>
          <w:sz w:val="36"/>
          <w:szCs w:val="36"/>
        </w:rPr>
      </w:pPr>
      <w:bookmarkStart w:id="160" w:name="_bookmark100"/>
      <w:bookmarkEnd w:id="160"/>
      <w:r w:rsidRPr="00EA7458">
        <w:rPr>
          <w:rFonts w:ascii="Calibri" w:hAnsi="Calibri"/>
          <w:b/>
          <w:bCs/>
          <w:color w:val="295CA3"/>
          <w:spacing w:val="-4"/>
          <w:w w:val="115"/>
          <w:sz w:val="36"/>
          <w:szCs w:val="36"/>
          <w:u w:val="single" w:color="231F20"/>
        </w:rPr>
        <w:t xml:space="preserve">CERTIFICATION </w:t>
      </w:r>
      <w:r w:rsidRPr="00EA7458">
        <w:rPr>
          <w:rFonts w:ascii="Calibri" w:hAnsi="Calibri"/>
          <w:b/>
          <w:bCs/>
          <w:color w:val="295CA3"/>
          <w:w w:val="115"/>
          <w:sz w:val="36"/>
          <w:szCs w:val="36"/>
          <w:u w:val="single" w:color="231F20"/>
        </w:rPr>
        <w:t>REGARDING</w:t>
      </w:r>
      <w:r w:rsidRPr="00EA7458">
        <w:rPr>
          <w:rFonts w:ascii="Calibri" w:hAnsi="Calibri"/>
          <w:b/>
          <w:bCs/>
          <w:color w:val="295CA3"/>
          <w:spacing w:val="22"/>
          <w:w w:val="115"/>
          <w:sz w:val="36"/>
          <w:szCs w:val="36"/>
          <w:u w:val="single" w:color="231F20"/>
        </w:rPr>
        <w:t xml:space="preserve"> </w:t>
      </w:r>
      <w:r w:rsidRPr="00EA7458">
        <w:rPr>
          <w:rFonts w:ascii="Calibri" w:hAnsi="Calibri"/>
          <w:b/>
          <w:bCs/>
          <w:color w:val="295CA3"/>
          <w:spacing w:val="-3"/>
          <w:w w:val="115"/>
          <w:sz w:val="36"/>
          <w:szCs w:val="36"/>
          <w:u w:val="single" w:color="231F20"/>
        </w:rPr>
        <w:t>LOBBYING</w:t>
      </w:r>
      <w:r w:rsidRPr="00EA7458">
        <w:rPr>
          <w:rFonts w:ascii="Calibri" w:hAnsi="Calibri"/>
          <w:b/>
          <w:bCs/>
          <w:color w:val="295CA3"/>
          <w:spacing w:val="-3"/>
          <w:w w:val="113"/>
          <w:sz w:val="36"/>
          <w:szCs w:val="36"/>
          <w:u w:val="single" w:color="231F20"/>
        </w:rPr>
        <w:t xml:space="preserve"> </w:t>
      </w:r>
      <w:r w:rsidRPr="00EA7458">
        <w:rPr>
          <w:rFonts w:ascii="Calibri" w:hAnsi="Calibri"/>
          <w:b/>
          <w:bCs/>
          <w:color w:val="295CA3"/>
          <w:spacing w:val="-3"/>
          <w:sz w:val="36"/>
          <w:szCs w:val="36"/>
          <w:u w:val="single" w:color="231F20"/>
        </w:rPr>
        <w:tab/>
      </w:r>
    </w:p>
    <w:p w14:paraId="622A7467" w14:textId="77777777" w:rsidR="00EA7458" w:rsidRPr="00EA7458" w:rsidRDefault="00EA7458" w:rsidP="00EA7458">
      <w:pPr>
        <w:widowControl w:val="0"/>
        <w:spacing w:after="0" w:line="240" w:lineRule="auto"/>
        <w:rPr>
          <w:rFonts w:ascii="Calibri" w:hAnsi="Calibri"/>
        </w:rPr>
        <w:sectPr w:rsidR="00EA7458" w:rsidRPr="00EA7458">
          <w:pgSz w:w="12240" w:h="15840"/>
          <w:pgMar w:top="1620" w:right="900" w:bottom="820" w:left="900" w:header="812" w:footer="624" w:gutter="0"/>
          <w:cols w:space="720"/>
        </w:sectPr>
      </w:pPr>
    </w:p>
    <w:p w14:paraId="11C07F65" w14:textId="77777777" w:rsidR="00EA7458" w:rsidRPr="00EA7458" w:rsidRDefault="00EA7458" w:rsidP="00EA7458">
      <w:pPr>
        <w:widowControl w:val="0"/>
        <w:spacing w:before="8" w:after="0" w:line="240" w:lineRule="auto"/>
        <w:rPr>
          <w:rFonts w:ascii="Calibri" w:hAnsi="Calibri" w:cs="Calibri"/>
          <w:b/>
          <w:bCs/>
          <w:sz w:val="14"/>
          <w:szCs w:val="14"/>
        </w:rPr>
      </w:pPr>
    </w:p>
    <w:p w14:paraId="20E3EF5B" w14:textId="77777777" w:rsidR="00EA7458" w:rsidRPr="00000D19" w:rsidRDefault="00EA7458" w:rsidP="00D63204">
      <w:pPr>
        <w:widowControl w:val="0"/>
        <w:numPr>
          <w:ilvl w:val="0"/>
          <w:numId w:val="8"/>
        </w:numPr>
        <w:spacing w:before="30" w:after="0" w:line="240" w:lineRule="auto"/>
        <w:ind w:left="90" w:firstLine="0"/>
        <w:outlineLvl w:val="0"/>
        <w:rPr>
          <w:sz w:val="36"/>
          <w:szCs w:val="36"/>
        </w:rPr>
      </w:pPr>
      <w:bookmarkStart w:id="161" w:name="X._Specific_Requirements_for_Core_Progra"/>
      <w:bookmarkStart w:id="162" w:name="(a)_Input_of_State_Rehabilitation_Counci"/>
      <w:bookmarkStart w:id="163" w:name="_bookmark101"/>
      <w:bookmarkEnd w:id="161"/>
      <w:bookmarkEnd w:id="162"/>
      <w:bookmarkEnd w:id="163"/>
      <w:r w:rsidRPr="00000D19">
        <w:rPr>
          <w:b/>
          <w:bCs/>
          <w:color w:val="295CA3"/>
          <w:w w:val="115"/>
          <w:sz w:val="36"/>
          <w:szCs w:val="36"/>
        </w:rPr>
        <w:t>SPECIFIC REQUIREMENTS FOR CORE</w:t>
      </w:r>
      <w:r w:rsidRPr="00000D19">
        <w:rPr>
          <w:b/>
          <w:bCs/>
          <w:color w:val="295CA3"/>
          <w:spacing w:val="-4"/>
          <w:w w:val="115"/>
          <w:sz w:val="36"/>
          <w:szCs w:val="36"/>
        </w:rPr>
        <w:t xml:space="preserve"> </w:t>
      </w:r>
      <w:r w:rsidRPr="00000D19">
        <w:rPr>
          <w:b/>
          <w:bCs/>
          <w:color w:val="295CA3"/>
          <w:w w:val="115"/>
          <w:sz w:val="36"/>
          <w:szCs w:val="36"/>
        </w:rPr>
        <w:t>PROGRAMS–</w:t>
      </w:r>
    </w:p>
    <w:p w14:paraId="6362293C" w14:textId="77777777" w:rsidR="00EA7458" w:rsidRPr="00000D19" w:rsidRDefault="00EA7458" w:rsidP="00D63204">
      <w:pPr>
        <w:widowControl w:val="0"/>
        <w:tabs>
          <w:tab w:val="left" w:pos="10331"/>
        </w:tabs>
        <w:spacing w:before="1" w:after="0" w:line="240" w:lineRule="auto"/>
        <w:ind w:left="90"/>
        <w:rPr>
          <w:rFonts w:cs="Gill Sans MT"/>
          <w:sz w:val="36"/>
          <w:szCs w:val="36"/>
        </w:rPr>
      </w:pPr>
      <w:r w:rsidRPr="00000D19">
        <w:rPr>
          <w:b/>
          <w:i/>
          <w:color w:val="295CA3"/>
          <w:spacing w:val="-6"/>
          <w:sz w:val="36"/>
          <w:u w:val="single" w:color="231F20"/>
        </w:rPr>
        <w:t xml:space="preserve">FLORIDA </w:t>
      </w:r>
      <w:r w:rsidRPr="00000D19">
        <w:rPr>
          <w:b/>
          <w:i/>
          <w:color w:val="295CA3"/>
          <w:spacing w:val="-3"/>
          <w:sz w:val="36"/>
          <w:u w:val="single" w:color="231F20"/>
        </w:rPr>
        <w:t xml:space="preserve">DIVISION </w:t>
      </w:r>
      <w:r w:rsidRPr="00000D19">
        <w:rPr>
          <w:b/>
          <w:i/>
          <w:color w:val="295CA3"/>
          <w:sz w:val="36"/>
          <w:u w:val="single" w:color="231F20"/>
        </w:rPr>
        <w:t xml:space="preserve">OF </w:t>
      </w:r>
      <w:r w:rsidRPr="00000D19">
        <w:rPr>
          <w:b/>
          <w:i/>
          <w:color w:val="295CA3"/>
          <w:spacing w:val="-3"/>
          <w:sz w:val="36"/>
          <w:u w:val="single" w:color="231F20"/>
        </w:rPr>
        <w:t>BLIND</w:t>
      </w:r>
      <w:r w:rsidRPr="00000D19">
        <w:rPr>
          <w:b/>
          <w:i/>
          <w:color w:val="295CA3"/>
          <w:spacing w:val="52"/>
          <w:sz w:val="36"/>
          <w:u w:val="single" w:color="231F20"/>
        </w:rPr>
        <w:t xml:space="preserve"> </w:t>
      </w:r>
      <w:r w:rsidRPr="00000D19">
        <w:rPr>
          <w:b/>
          <w:i/>
          <w:color w:val="295CA3"/>
          <w:spacing w:val="-3"/>
          <w:sz w:val="36"/>
          <w:u w:val="single" w:color="231F20"/>
        </w:rPr>
        <w:t>SERVICES</w:t>
      </w:r>
      <w:r w:rsidRPr="00000D19">
        <w:rPr>
          <w:b/>
          <w:i/>
          <w:color w:val="295CA3"/>
          <w:spacing w:val="-3"/>
          <w:w w:val="92"/>
          <w:sz w:val="36"/>
          <w:u w:val="single" w:color="231F20"/>
        </w:rPr>
        <w:t xml:space="preserve"> </w:t>
      </w:r>
      <w:r w:rsidRPr="00000D19">
        <w:rPr>
          <w:b/>
          <w:i/>
          <w:color w:val="295CA3"/>
          <w:spacing w:val="-3"/>
          <w:sz w:val="36"/>
          <w:u w:val="single" w:color="231F20"/>
        </w:rPr>
        <w:tab/>
      </w:r>
    </w:p>
    <w:p w14:paraId="47D4BEF5" w14:textId="5D1875C2" w:rsidR="00EA7458" w:rsidRPr="007D5B80" w:rsidRDefault="00000D19" w:rsidP="00D63204">
      <w:pPr>
        <w:pStyle w:val="ListParagraph"/>
        <w:widowControl w:val="0"/>
        <w:numPr>
          <w:ilvl w:val="0"/>
          <w:numId w:val="50"/>
        </w:numPr>
        <w:spacing w:before="101" w:after="0" w:line="240" w:lineRule="auto"/>
        <w:outlineLvl w:val="1"/>
        <w:rPr>
          <w:sz w:val="26"/>
          <w:szCs w:val="26"/>
        </w:rPr>
      </w:pPr>
      <w:r>
        <w:rPr>
          <w:w w:val="110"/>
        </w:rPr>
        <w:t xml:space="preserve"> </w:t>
      </w:r>
      <w:r w:rsidR="00EA7458" w:rsidRPr="00000D19">
        <w:rPr>
          <w:b/>
          <w:bCs/>
          <w:color w:val="295CA3"/>
          <w:w w:val="110"/>
          <w:sz w:val="26"/>
          <w:szCs w:val="26"/>
        </w:rPr>
        <w:t>Input of State Rehabilitation Council</w:t>
      </w:r>
    </w:p>
    <w:p w14:paraId="6C3883F7" w14:textId="77777777" w:rsidR="007D5B80" w:rsidRPr="00FE3F22" w:rsidRDefault="007D5B80" w:rsidP="007D5B80">
      <w:pPr>
        <w:spacing w:line="240" w:lineRule="auto"/>
        <w:ind w:left="90"/>
      </w:pPr>
      <w:r w:rsidRPr="00FE3F22">
        <w:t xml:space="preserve">The FDBS partners with the Florida Rehabilitation Council for the Blind (FRCB) in serving individuals with visual impairments. The FRCB is an integral part of helping the FDBS improve its services and achieve its goals. The FDBS and FRCB formed a joint taskforce that identified initiatives, such as holding yearly meetings with stakeholders, participating in outreach events, and increasing awareness of the council’s position. </w:t>
      </w:r>
    </w:p>
    <w:p w14:paraId="4F2B9397" w14:textId="77777777" w:rsidR="007D5B80" w:rsidRPr="00FE3F22" w:rsidRDefault="007D5B80" w:rsidP="007D5B80">
      <w:pPr>
        <w:spacing w:line="240" w:lineRule="auto"/>
        <w:ind w:left="90"/>
      </w:pPr>
      <w:r w:rsidRPr="00FE3F22">
        <w:t xml:space="preserve">The Florida Rehabilitation Council for the Blind(FRCB) welcomed four newly appointed members and one reappointed member at their quarterly business meeting held on February 6-7, 2018 in Fort Lauderdale, FL: Paul Kurtz of Jacksonville, Denise Valkema of Miami, Rose Conry of Orange, Park Michael Wiseman of Hialeah and Louise Payton of Tampa. Governor Rick Scott released the names on January 26 and 29 allowing for a well- attended, highly spirited and productive meeting.  </w:t>
      </w:r>
    </w:p>
    <w:p w14:paraId="55C9E13E" w14:textId="77777777" w:rsidR="007D5B80" w:rsidRPr="00FE3F22" w:rsidRDefault="007D5B80" w:rsidP="007D5B80">
      <w:pPr>
        <w:spacing w:line="240" w:lineRule="auto"/>
        <w:ind w:left="90"/>
      </w:pPr>
      <w:r w:rsidRPr="00FE3F22">
        <w:t>Currently, the FRCB has twelve active voting members and seven vacancies.  Robert L. Doyle, the Director of Blind Services, serves as an ex-officio member of the Council.  Vacant seats include representatives from advocacy groups, business/industry, State Educational Agency and Deaf/Blind.  The FRCB communicates with the Governor’s appointment office regularly on the status of applications under consideration.  Recruiting new applicants will focus on individuals who are passionate, dedicated and interested in improving the lives of visually impaired individuals.</w:t>
      </w:r>
    </w:p>
    <w:p w14:paraId="3CD2FC1D" w14:textId="77777777" w:rsidR="007D5B80" w:rsidRPr="00FE3F22" w:rsidRDefault="007D5B80" w:rsidP="007D5B80">
      <w:pPr>
        <w:spacing w:before="240" w:line="240" w:lineRule="auto"/>
        <w:ind w:left="90"/>
      </w:pPr>
      <w:r w:rsidRPr="00FE3F22">
        <w:t>The FRCB held its first meeting and public forum in February 2018 with the election of its officers and a well-attended public forum. Three future business meetings and two public forums are scheduled for the remainder of 2018. The Council continues to focus on increasing awareness in our public forums through collaboration with the Division of Blind Services and stakeholders in each host district.</w:t>
      </w:r>
    </w:p>
    <w:p w14:paraId="051EB04B" w14:textId="77777777" w:rsidR="007D5B80" w:rsidRPr="00FE3F22" w:rsidRDefault="007D5B80" w:rsidP="007D5B80">
      <w:pPr>
        <w:spacing w:before="240" w:line="240" w:lineRule="auto"/>
        <w:ind w:left="90"/>
      </w:pPr>
      <w:bookmarkStart w:id="164" w:name="_Hlk507420585"/>
      <w:r w:rsidRPr="00FE3F22">
        <w:rPr>
          <w:rFonts w:ascii="Actor" w:hAnsi="Actor"/>
          <w:color w:val="444444"/>
        </w:rPr>
        <w:t>FDBS has a Memorandum of Agreement with the Florida Independent Living Council. The Department of Education/Division of Vocational Rehabilitation is also included in this agreement. FILC's purpose is to promote independent living opportunities for persons with disabilities throughout the state of Florida. By collaborating with FDBS and having a member of FILC represented on the council, FDBS ensures the independent living needs of individuals with visual impairments and disabilities are identified and met.</w:t>
      </w:r>
    </w:p>
    <w:bookmarkEnd w:id="164"/>
    <w:p w14:paraId="055DD2DD" w14:textId="77777777" w:rsidR="007D5B80" w:rsidRPr="00FE3F22" w:rsidRDefault="007D5B80" w:rsidP="007D5B80">
      <w:pPr>
        <w:spacing w:before="240" w:line="240" w:lineRule="auto"/>
        <w:ind w:left="90"/>
        <w:rPr>
          <w:rFonts w:cstheme="minorHAnsi"/>
          <w:szCs w:val="24"/>
        </w:rPr>
      </w:pPr>
      <w:r w:rsidRPr="00FE3F22">
        <w:t xml:space="preserve">The council works closely with FDBS in tracking employment outcomes for individuals with visual impairments. The council meets quarterly in select areas around the state and a public forum is held at three of these meetings. The </w:t>
      </w:r>
      <w:r w:rsidRPr="00FE3F22">
        <w:rPr>
          <w:rFonts w:cstheme="minorHAnsi"/>
          <w:szCs w:val="24"/>
        </w:rPr>
        <w:t xml:space="preserve">public forums provide FDBS with important feedback from consumers and stakeholders to ensure clients are provided the best services possible. The FRCB contracts with the Florida State University Survey Research Laboratory to conduct the client satisfaction survey. The Client Satisfaction Subcommittee successfully completed their evaluation and revision for the 2014-2015 Survey. The new survey questions were tested and Dr. Minna Jia reported survey results at the May 2017 quarterly meeting. Results from the annual report of 2017/2018 will be available in 2019. </w:t>
      </w:r>
    </w:p>
    <w:p w14:paraId="7B6F22CD" w14:textId="77777777" w:rsidR="007D5B80" w:rsidRDefault="007D5B80" w:rsidP="007D5B80">
      <w:pPr>
        <w:spacing w:before="240" w:line="240" w:lineRule="auto"/>
        <w:ind w:left="90"/>
        <w:rPr>
          <w:rFonts w:cstheme="minorHAnsi"/>
          <w:szCs w:val="24"/>
        </w:rPr>
      </w:pPr>
      <w:r w:rsidRPr="00FE3F22">
        <w:t>The FDBS values FRCB’s contributions in assisting with policy revisions and ensuring federal regulations are implemented. FRCB members are dedicated to making a difference in the lives of individuals with visual impairments, and with that enthusiasm, will enhance programs.</w:t>
      </w:r>
      <w:r>
        <w:t xml:space="preserve"> </w:t>
      </w:r>
      <w:bookmarkStart w:id="165" w:name="(b)_Request_for_Waiver_of_Statewideness_"/>
      <w:bookmarkStart w:id="166" w:name="_bookmark102"/>
      <w:bookmarkEnd w:id="165"/>
      <w:bookmarkEnd w:id="166"/>
    </w:p>
    <w:p w14:paraId="55BB484D" w14:textId="2B3046D7" w:rsidR="00EA7458" w:rsidRPr="00000D19" w:rsidRDefault="00EA7458" w:rsidP="00D63204">
      <w:pPr>
        <w:pStyle w:val="ListParagraph"/>
        <w:numPr>
          <w:ilvl w:val="0"/>
          <w:numId w:val="50"/>
        </w:numPr>
        <w:spacing w:before="240" w:line="240" w:lineRule="auto"/>
        <w:rPr>
          <w:rFonts w:cstheme="minorHAnsi"/>
          <w:szCs w:val="24"/>
        </w:rPr>
      </w:pPr>
      <w:r w:rsidRPr="00000D19">
        <w:rPr>
          <w:b/>
          <w:bCs/>
          <w:color w:val="295CA3"/>
          <w:w w:val="105"/>
          <w:sz w:val="26"/>
          <w:szCs w:val="26"/>
        </w:rPr>
        <w:t>Request for Waiver of</w:t>
      </w:r>
      <w:r w:rsidRPr="00000D19">
        <w:rPr>
          <w:b/>
          <w:bCs/>
          <w:color w:val="295CA3"/>
          <w:spacing w:val="20"/>
          <w:w w:val="105"/>
          <w:sz w:val="26"/>
          <w:szCs w:val="26"/>
        </w:rPr>
        <w:t xml:space="preserve"> </w:t>
      </w:r>
      <w:r w:rsidRPr="00000D19">
        <w:rPr>
          <w:b/>
          <w:bCs/>
          <w:color w:val="295CA3"/>
          <w:w w:val="105"/>
          <w:sz w:val="26"/>
          <w:szCs w:val="26"/>
        </w:rPr>
        <w:t>Statewideness</w:t>
      </w:r>
    </w:p>
    <w:p w14:paraId="5B9606B2" w14:textId="21E69000" w:rsidR="0013241F" w:rsidRPr="00000D19" w:rsidRDefault="0013241F" w:rsidP="00D63204">
      <w:pPr>
        <w:spacing w:line="240" w:lineRule="auto"/>
        <w:ind w:left="90"/>
        <w:rPr>
          <w:b/>
        </w:rPr>
      </w:pPr>
      <w:r w:rsidRPr="00000D19">
        <w:rPr>
          <w:b/>
        </w:rPr>
        <w:lastRenderedPageBreak/>
        <w:t>Overview</w:t>
      </w:r>
      <w:r w:rsidR="00000D19">
        <w:rPr>
          <w:b/>
        </w:rPr>
        <w:br/>
      </w:r>
      <w:r w:rsidRPr="00000D19">
        <w:t xml:space="preserve">The FDBS provides services throughout the state, including transition services that increase and improve vocational rehabilitation options for eligible customers. Under a Memorandum of Understanding (MOU) with the Florida Department of Education’s Bureau of Exceptional Education and Student Services (BEESS) and partnerships with community rehabilitation providers across the state, the FDBS provides quality services to clients. The FDBS is not requesting a Waiver of Statewideness for this </w:t>
      </w:r>
      <w:r w:rsidR="00D226F4">
        <w:t>s</w:t>
      </w:r>
      <w:r w:rsidRPr="00000D19">
        <w:t xml:space="preserve">tate </w:t>
      </w:r>
      <w:r w:rsidR="00D226F4">
        <w:t>p</w:t>
      </w:r>
      <w:r w:rsidRPr="00000D19">
        <w:t>lan.</w:t>
      </w:r>
    </w:p>
    <w:p w14:paraId="258BBED8" w14:textId="6A97A662" w:rsidR="0013241F" w:rsidRPr="00000D19" w:rsidRDefault="0013241F" w:rsidP="00D63204">
      <w:pPr>
        <w:spacing w:line="240" w:lineRule="auto"/>
        <w:ind w:left="90"/>
        <w:rPr>
          <w:b/>
        </w:rPr>
      </w:pPr>
      <w:r w:rsidRPr="00000D19">
        <w:rPr>
          <w:b/>
        </w:rPr>
        <w:t xml:space="preserve">Types of Services Provided </w:t>
      </w:r>
    </w:p>
    <w:p w14:paraId="7D2538AF" w14:textId="05C94627" w:rsidR="0013241F" w:rsidRPr="00000D19" w:rsidRDefault="0013241F" w:rsidP="00D63204">
      <w:pPr>
        <w:spacing w:line="240" w:lineRule="auto"/>
        <w:ind w:left="90"/>
      </w:pPr>
      <w:r w:rsidRPr="00000D19">
        <w:t>This is a state-level interagency agreement charged with providing transition services to high school students who are progressing to postsecondary education/training, support services</w:t>
      </w:r>
      <w:r w:rsidR="00D5537E">
        <w:t xml:space="preserve"> and</w:t>
      </w:r>
      <w:r w:rsidRPr="00000D19">
        <w:t>/or employment. These agencies agree to meet regularly to share information, ideas and current initiatives; collaborate on training and special projects; cooperate in planning and budgeting; and support areas of work that are mutually beneficial.</w:t>
      </w:r>
    </w:p>
    <w:p w14:paraId="17FC9813" w14:textId="5EC22DD3" w:rsidR="0013241F" w:rsidRPr="00000D19" w:rsidRDefault="0013241F" w:rsidP="00D63204">
      <w:pPr>
        <w:spacing w:line="240" w:lineRule="auto"/>
        <w:ind w:left="90"/>
      </w:pPr>
      <w:r w:rsidRPr="00000D19">
        <w:t>The purpose of this agreement is to encourage collaboration among the local leadership and staff of the Local Educational Agencies (LEAs) and local offices of VR, FDBS, Agency for Persons with Disabilities (APD), Children’s Medical Services</w:t>
      </w:r>
      <w:r w:rsidR="009F5420">
        <w:t xml:space="preserve"> and </w:t>
      </w:r>
      <w:r w:rsidRPr="00000D19">
        <w:t>the Department of Children and Families, Substance Abuse and Mental Health Office</w:t>
      </w:r>
      <w:r w:rsidR="00BC72FD">
        <w:t xml:space="preserve"> </w:t>
      </w:r>
      <w:r w:rsidRPr="00000D19">
        <w:t>within the context of applicable federal and state regulations required of each agency, namely:</w:t>
      </w:r>
    </w:p>
    <w:p w14:paraId="5062C62D" w14:textId="4157D760" w:rsidR="0013241F" w:rsidRDefault="0013241F" w:rsidP="00D63204">
      <w:pPr>
        <w:pStyle w:val="ListParagraph"/>
        <w:numPr>
          <w:ilvl w:val="0"/>
          <w:numId w:val="51"/>
        </w:numPr>
        <w:spacing w:line="240" w:lineRule="auto"/>
      </w:pPr>
      <w:r w:rsidRPr="00000D19">
        <w:t xml:space="preserve">LEAs provide FAPE for students with disabilities, including preparation for transition from school to work or other post-school activities; </w:t>
      </w:r>
    </w:p>
    <w:p w14:paraId="61EE48E0" w14:textId="77777777" w:rsidR="00000D19" w:rsidRPr="00000D19" w:rsidRDefault="00000D19" w:rsidP="00D63204">
      <w:pPr>
        <w:pStyle w:val="ListParagraph"/>
        <w:spacing w:line="240" w:lineRule="auto"/>
        <w:ind w:left="810"/>
      </w:pPr>
    </w:p>
    <w:p w14:paraId="78598BCE" w14:textId="38138AC2" w:rsidR="0013241F" w:rsidRDefault="0013241F" w:rsidP="00D63204">
      <w:pPr>
        <w:pStyle w:val="ListParagraph"/>
        <w:numPr>
          <w:ilvl w:val="0"/>
          <w:numId w:val="51"/>
        </w:numPr>
        <w:spacing w:line="240" w:lineRule="auto"/>
      </w:pPr>
      <w:r w:rsidRPr="00000D19">
        <w:t xml:space="preserve">VR and FDBS assist student transition from secondary school to work through postsecondary educational supports and/or employment supports for a successful employment outcome; </w:t>
      </w:r>
    </w:p>
    <w:p w14:paraId="60BF0F5D" w14:textId="77777777" w:rsidR="00000D19" w:rsidRPr="00000D19" w:rsidRDefault="00000D19" w:rsidP="00D63204">
      <w:pPr>
        <w:pStyle w:val="ListParagraph"/>
        <w:spacing w:line="240" w:lineRule="auto"/>
        <w:ind w:left="810"/>
      </w:pPr>
    </w:p>
    <w:p w14:paraId="1E55476A" w14:textId="63EB8F3C" w:rsidR="0013241F" w:rsidRDefault="0013241F" w:rsidP="00D63204">
      <w:pPr>
        <w:pStyle w:val="ListParagraph"/>
        <w:numPr>
          <w:ilvl w:val="0"/>
          <w:numId w:val="51"/>
        </w:numPr>
        <w:spacing w:line="240" w:lineRule="auto"/>
      </w:pPr>
      <w:r w:rsidRPr="00000D19">
        <w:t>APD strives to “reduce the use of sheltered workshops and other noncompetitive employment day activities and promote opportunities for gainful employment for persons with developmental disabilities who choose to seek such employment” (Chapter 393, Florida Statutes)</w:t>
      </w:r>
      <w:r w:rsidR="005E7C49">
        <w:t xml:space="preserve">. </w:t>
      </w:r>
      <w:r w:rsidRPr="00000D19">
        <w:t>F.S. 393 states that “to promote independence and productivity, the agency shall provide supports and services</w:t>
      </w:r>
      <w:r w:rsidR="002407A4">
        <w:t xml:space="preserve"> </w:t>
      </w:r>
      <w:r w:rsidRPr="00000D19">
        <w:t xml:space="preserve">within available resources to assist clients enrolled in Medicaid waivers who choose to pursue gainful employment.” If an individual is eligible for APD waiver services and employment is a needed service, then this service must be provided to meet standards as outlined in rule; </w:t>
      </w:r>
    </w:p>
    <w:p w14:paraId="5F52611D" w14:textId="77777777" w:rsidR="00000D19" w:rsidRPr="00000D19" w:rsidRDefault="00000D19" w:rsidP="00D63204">
      <w:pPr>
        <w:pStyle w:val="ListParagraph"/>
        <w:spacing w:line="240" w:lineRule="auto"/>
        <w:ind w:left="810"/>
      </w:pPr>
    </w:p>
    <w:p w14:paraId="267A28D7" w14:textId="77777777" w:rsidR="00000D19" w:rsidRDefault="0013241F" w:rsidP="00D63204">
      <w:pPr>
        <w:pStyle w:val="ListParagraph"/>
        <w:numPr>
          <w:ilvl w:val="0"/>
          <w:numId w:val="51"/>
        </w:numPr>
        <w:spacing w:line="240" w:lineRule="auto"/>
      </w:pPr>
      <w:r w:rsidRPr="00000D19">
        <w:t xml:space="preserve">Children’s Medical Services works to ensure youth and young adults with special health care needs are provided with a smooth and successful transition of leaving pediatric or child health care services to receiving services from adult health care providers. Starting at age 12, care coordinators work with parents and children/young adults to prepare them for their future health care needs and services; and </w:t>
      </w:r>
    </w:p>
    <w:p w14:paraId="155EE0CF" w14:textId="77777777" w:rsidR="00000D19" w:rsidRDefault="00000D19" w:rsidP="00000D19">
      <w:pPr>
        <w:pStyle w:val="ListParagraph"/>
      </w:pPr>
    </w:p>
    <w:p w14:paraId="69F2BE0A" w14:textId="1594EA5C" w:rsidR="00D84F68" w:rsidRDefault="0013241F" w:rsidP="00D63204">
      <w:pPr>
        <w:pStyle w:val="ListParagraph"/>
        <w:numPr>
          <w:ilvl w:val="0"/>
          <w:numId w:val="51"/>
        </w:numPr>
        <w:spacing w:line="240" w:lineRule="auto"/>
      </w:pPr>
      <w:r w:rsidRPr="00000D19">
        <w:t>The Department of Children and Families, Substance Abuse and Mental Health Office works to provide a system of care in partnership with families and the community enabling children and adults with mental health problems or emotional disturbances to successfully live in the community, to be self-sufficient or to attain self-sufficiency at adulthood</w:t>
      </w:r>
      <w:r w:rsidR="00D5537E">
        <w:t xml:space="preserve"> and</w:t>
      </w:r>
      <w:r w:rsidRPr="00000D19">
        <w:t xml:space="preserve"> to realize their full potential</w:t>
      </w:r>
      <w:r w:rsidR="005E7C49">
        <w:t xml:space="preserve">. </w:t>
      </w:r>
      <w:r w:rsidRPr="00000D19">
        <w:t>Mental health supports and services will enable adults and transitioning students to participate in community activities such as employment and other valued community roles.</w:t>
      </w:r>
    </w:p>
    <w:p w14:paraId="2A19838D" w14:textId="6672A3FC" w:rsidR="00EA7458" w:rsidRPr="00000D19" w:rsidRDefault="00EA7458" w:rsidP="00D63204">
      <w:pPr>
        <w:pStyle w:val="ListParagraph"/>
        <w:spacing w:line="240" w:lineRule="auto"/>
        <w:ind w:left="810"/>
      </w:pPr>
    </w:p>
    <w:p w14:paraId="0C460F9F" w14:textId="77777777" w:rsidR="00000D19" w:rsidRDefault="00EA7458" w:rsidP="00D63204">
      <w:pPr>
        <w:widowControl w:val="0"/>
        <w:spacing w:before="63" w:after="0" w:line="240" w:lineRule="auto"/>
        <w:ind w:left="90"/>
        <w:outlineLvl w:val="3"/>
        <w:rPr>
          <w:b/>
          <w:bCs/>
          <w:i/>
          <w:color w:val="231F20"/>
          <w:w w:val="105"/>
        </w:rPr>
      </w:pPr>
      <w:bookmarkStart w:id="167" w:name="(c)_Cooperation_with_Agencies_Not_Under_"/>
      <w:bookmarkStart w:id="168" w:name="_bookmark103"/>
      <w:bookmarkEnd w:id="167"/>
      <w:bookmarkEnd w:id="168"/>
      <w:r w:rsidRPr="00000D19">
        <w:rPr>
          <w:b/>
          <w:bCs/>
          <w:i/>
          <w:color w:val="231F20"/>
          <w:w w:val="105"/>
        </w:rPr>
        <w:t>Written</w:t>
      </w:r>
      <w:r w:rsidRPr="00000D19">
        <w:rPr>
          <w:b/>
          <w:bCs/>
          <w:i/>
          <w:color w:val="231F20"/>
          <w:spacing w:val="-2"/>
          <w:w w:val="105"/>
        </w:rPr>
        <w:t xml:space="preserve"> </w:t>
      </w:r>
      <w:r w:rsidRPr="00000D19">
        <w:rPr>
          <w:b/>
          <w:bCs/>
          <w:i/>
          <w:color w:val="231F20"/>
          <w:w w:val="105"/>
        </w:rPr>
        <w:t>Assurances</w:t>
      </w:r>
    </w:p>
    <w:p w14:paraId="305E99A4" w14:textId="365C4168" w:rsidR="0002082C" w:rsidRPr="00000D19" w:rsidRDefault="0002082C" w:rsidP="00D63204">
      <w:pPr>
        <w:widowControl w:val="0"/>
        <w:spacing w:after="0" w:line="240" w:lineRule="auto"/>
        <w:ind w:left="90"/>
        <w:outlineLvl w:val="3"/>
        <w:rPr>
          <w:b/>
          <w:bCs/>
          <w:i/>
          <w:color w:val="231F20"/>
          <w:w w:val="105"/>
        </w:rPr>
      </w:pPr>
      <w:r w:rsidRPr="00000D19">
        <w:t xml:space="preserve">The FDBS has MOU’s with the above entities and will provide written assurances as required. See Certifications and Assurances included within Section X. </w:t>
      </w:r>
    </w:p>
    <w:p w14:paraId="2E76A63B" w14:textId="77777777" w:rsidR="00EA7458" w:rsidRPr="00000D19" w:rsidRDefault="00EA7458" w:rsidP="00D63204">
      <w:pPr>
        <w:widowControl w:val="0"/>
        <w:spacing w:before="4" w:after="0" w:line="240" w:lineRule="auto"/>
        <w:ind w:left="90"/>
        <w:rPr>
          <w:rFonts w:cs="Calibri"/>
          <w:sz w:val="17"/>
          <w:szCs w:val="17"/>
        </w:rPr>
      </w:pPr>
    </w:p>
    <w:p w14:paraId="2B6D671A" w14:textId="77777777" w:rsidR="00000D19" w:rsidRPr="00000D19" w:rsidRDefault="00000D19" w:rsidP="00D63204">
      <w:pPr>
        <w:pStyle w:val="ListParagraph"/>
        <w:widowControl w:val="0"/>
        <w:numPr>
          <w:ilvl w:val="0"/>
          <w:numId w:val="50"/>
        </w:numPr>
        <w:tabs>
          <w:tab w:val="left" w:pos="828"/>
        </w:tabs>
        <w:spacing w:after="0" w:line="240" w:lineRule="auto"/>
        <w:outlineLvl w:val="1"/>
        <w:rPr>
          <w:sz w:val="26"/>
          <w:szCs w:val="26"/>
        </w:rPr>
      </w:pPr>
      <w:r>
        <w:rPr>
          <w:w w:val="110"/>
        </w:rPr>
        <w:t xml:space="preserve"> </w:t>
      </w:r>
      <w:r w:rsidR="00EA7458" w:rsidRPr="00000D19">
        <w:rPr>
          <w:b/>
          <w:bCs/>
          <w:color w:val="295CA3"/>
          <w:w w:val="110"/>
          <w:sz w:val="26"/>
          <w:szCs w:val="26"/>
        </w:rPr>
        <w:t xml:space="preserve">Cooperation with Agencies Not Under </w:t>
      </w:r>
      <w:r w:rsidR="00EB7E59" w:rsidRPr="00000D19">
        <w:rPr>
          <w:b/>
          <w:bCs/>
          <w:color w:val="295CA3"/>
          <w:w w:val="110"/>
          <w:sz w:val="26"/>
          <w:szCs w:val="26"/>
        </w:rPr>
        <w:t xml:space="preserve">the </w:t>
      </w:r>
      <w:r w:rsidR="00EA7458" w:rsidRPr="00000D19">
        <w:rPr>
          <w:b/>
          <w:bCs/>
          <w:color w:val="295CA3"/>
          <w:w w:val="110"/>
          <w:sz w:val="26"/>
          <w:szCs w:val="26"/>
        </w:rPr>
        <w:t>Workforce</w:t>
      </w:r>
      <w:r w:rsidR="00EA7458" w:rsidRPr="00000D19">
        <w:rPr>
          <w:b/>
          <w:bCs/>
          <w:color w:val="295CA3"/>
          <w:spacing w:val="-8"/>
          <w:w w:val="110"/>
          <w:sz w:val="26"/>
          <w:szCs w:val="26"/>
        </w:rPr>
        <w:t xml:space="preserve"> </w:t>
      </w:r>
      <w:r w:rsidR="00EA7458" w:rsidRPr="00000D19">
        <w:rPr>
          <w:b/>
          <w:bCs/>
          <w:color w:val="295CA3"/>
          <w:w w:val="110"/>
          <w:sz w:val="26"/>
          <w:szCs w:val="26"/>
        </w:rPr>
        <w:t>System</w:t>
      </w:r>
    </w:p>
    <w:p w14:paraId="18D3EE31" w14:textId="4024BF98" w:rsidR="00EA7458" w:rsidRPr="00000D19" w:rsidRDefault="00EA7458" w:rsidP="00D63204">
      <w:pPr>
        <w:pStyle w:val="ListParagraph"/>
        <w:widowControl w:val="0"/>
        <w:tabs>
          <w:tab w:val="left" w:pos="828"/>
        </w:tabs>
        <w:spacing w:after="0" w:line="240" w:lineRule="auto"/>
        <w:ind w:left="1080"/>
        <w:outlineLvl w:val="1"/>
        <w:rPr>
          <w:sz w:val="26"/>
          <w:szCs w:val="26"/>
        </w:rPr>
      </w:pPr>
    </w:p>
    <w:p w14:paraId="342B570F" w14:textId="77777777" w:rsidR="00EB7E59" w:rsidRPr="00000D19" w:rsidRDefault="00EB7E59" w:rsidP="00D63204">
      <w:pPr>
        <w:widowControl w:val="0"/>
        <w:spacing w:after="0" w:line="240" w:lineRule="auto"/>
        <w:ind w:left="90"/>
        <w:rPr>
          <w:color w:val="231F20"/>
          <w:w w:val="105"/>
        </w:rPr>
      </w:pPr>
      <w:r w:rsidRPr="00000D19">
        <w:rPr>
          <w:color w:val="231F20"/>
          <w:w w:val="105"/>
        </w:rPr>
        <w:t>FDBS maintains cooperative agreements with agencies and other entities not carrying out activities under the Workforce Investment System. Current FDBS partners and agreements are described below.</w:t>
      </w:r>
    </w:p>
    <w:p w14:paraId="0838DF63" w14:textId="77777777" w:rsidR="00EB7E59" w:rsidRPr="00000D19" w:rsidRDefault="00EB7E59" w:rsidP="00D63204">
      <w:pPr>
        <w:widowControl w:val="0"/>
        <w:spacing w:after="0" w:line="240" w:lineRule="auto"/>
        <w:ind w:left="90"/>
        <w:rPr>
          <w:color w:val="231F20"/>
          <w:w w:val="105"/>
        </w:rPr>
      </w:pPr>
    </w:p>
    <w:p w14:paraId="7DB7B5B5" w14:textId="608277C0" w:rsidR="00EB7E59" w:rsidRPr="00000D19" w:rsidRDefault="00EB7E59" w:rsidP="00D63204">
      <w:pPr>
        <w:widowControl w:val="0"/>
        <w:spacing w:after="0" w:line="240" w:lineRule="auto"/>
        <w:ind w:left="90"/>
        <w:rPr>
          <w:b/>
          <w:color w:val="231F20"/>
          <w:w w:val="105"/>
        </w:rPr>
      </w:pPr>
      <w:r w:rsidRPr="00000D19">
        <w:rPr>
          <w:b/>
          <w:color w:val="231F20"/>
          <w:w w:val="105"/>
        </w:rPr>
        <w:t xml:space="preserve">Community Rehabilitation Providers </w:t>
      </w:r>
    </w:p>
    <w:p w14:paraId="366CC605" w14:textId="7FA04959" w:rsidR="00000D19" w:rsidRDefault="00EB7E59" w:rsidP="006535D2">
      <w:pPr>
        <w:widowControl w:val="0"/>
        <w:spacing w:after="0" w:line="240" w:lineRule="auto"/>
        <w:ind w:left="90"/>
        <w:rPr>
          <w:color w:val="231F20"/>
          <w:w w:val="105"/>
        </w:rPr>
      </w:pPr>
      <w:r w:rsidRPr="00000D19">
        <w:rPr>
          <w:color w:val="231F20"/>
          <w:w w:val="105"/>
        </w:rPr>
        <w:t>FDBS has a long-standing contract relationship with their statewide Community Rehabilitation Providers (CRPs) and values the services they provide to clients</w:t>
      </w:r>
      <w:r w:rsidR="005E7C49">
        <w:rPr>
          <w:color w:val="231F20"/>
          <w:w w:val="105"/>
        </w:rPr>
        <w:t xml:space="preserve">. </w:t>
      </w:r>
      <w:r w:rsidRPr="00000D19">
        <w:rPr>
          <w:color w:val="231F20"/>
          <w:w w:val="105"/>
        </w:rPr>
        <w:t>A CRP is defined as a private, non-profit program that provides rehabilitation services to individuals who are blind or visually impaired</w:t>
      </w:r>
      <w:r w:rsidR="005E7C49">
        <w:rPr>
          <w:color w:val="231F20"/>
          <w:w w:val="105"/>
        </w:rPr>
        <w:t xml:space="preserve">. </w:t>
      </w:r>
      <w:r w:rsidRPr="00000D19">
        <w:rPr>
          <w:color w:val="231F20"/>
          <w:w w:val="105"/>
        </w:rPr>
        <w:t>CRPs provide education, independent life skills, job training and job placement services to clients who are participants in vocational rehabilitation program</w:t>
      </w:r>
      <w:r w:rsidR="00F941B2">
        <w:rPr>
          <w:color w:val="231F20"/>
          <w:w w:val="105"/>
        </w:rPr>
        <w:t>s</w:t>
      </w:r>
      <w:r w:rsidRPr="00000D19">
        <w:rPr>
          <w:color w:val="231F20"/>
          <w:w w:val="105"/>
        </w:rPr>
        <w:t xml:space="preserve"> and</w:t>
      </w:r>
      <w:r w:rsidR="001B42E4">
        <w:rPr>
          <w:color w:val="231F20"/>
          <w:w w:val="105"/>
        </w:rPr>
        <w:t xml:space="preserve"> to</w:t>
      </w:r>
      <w:r w:rsidRPr="00000D19">
        <w:rPr>
          <w:color w:val="231F20"/>
          <w:w w:val="105"/>
        </w:rPr>
        <w:t xml:space="preserve"> their families</w:t>
      </w:r>
      <w:r w:rsidR="005E7C49">
        <w:rPr>
          <w:color w:val="231F20"/>
          <w:w w:val="105"/>
        </w:rPr>
        <w:t xml:space="preserve">. </w:t>
      </w:r>
    </w:p>
    <w:p w14:paraId="003BB76C" w14:textId="77777777" w:rsidR="00000D19" w:rsidRDefault="00000D19" w:rsidP="00D63204">
      <w:pPr>
        <w:widowControl w:val="0"/>
        <w:spacing w:after="0" w:line="240" w:lineRule="auto"/>
        <w:ind w:left="90"/>
        <w:rPr>
          <w:color w:val="231F20"/>
          <w:w w:val="105"/>
        </w:rPr>
      </w:pPr>
    </w:p>
    <w:p w14:paraId="0BC2EA1A" w14:textId="006D6802" w:rsidR="00EB7E59" w:rsidRPr="00000D19" w:rsidRDefault="00EB7E59" w:rsidP="00D63204">
      <w:pPr>
        <w:widowControl w:val="0"/>
        <w:spacing w:after="0" w:line="240" w:lineRule="auto"/>
        <w:ind w:left="90"/>
        <w:rPr>
          <w:color w:val="231F20"/>
          <w:w w:val="105"/>
        </w:rPr>
      </w:pPr>
      <w:r w:rsidRPr="00000D19">
        <w:rPr>
          <w:color w:val="231F20"/>
          <w:w w:val="105"/>
        </w:rPr>
        <w:t>The list of community rehabilitation providers includes:</w:t>
      </w:r>
    </w:p>
    <w:p w14:paraId="1158A6CB" w14:textId="77777777" w:rsidR="00EB7E59" w:rsidRPr="00000D19" w:rsidRDefault="00EB7E59" w:rsidP="00D63204">
      <w:pPr>
        <w:widowControl w:val="0"/>
        <w:spacing w:after="0" w:line="240" w:lineRule="auto"/>
        <w:ind w:left="90"/>
        <w:rPr>
          <w:color w:val="231F20"/>
          <w:w w:val="105"/>
        </w:rPr>
      </w:pPr>
    </w:p>
    <w:p w14:paraId="3B289644" w14:textId="4F7CA9F3" w:rsidR="00000D19" w:rsidRDefault="00EB7E59" w:rsidP="00D63204">
      <w:pPr>
        <w:pStyle w:val="ListParagraph"/>
        <w:widowControl w:val="0"/>
        <w:numPr>
          <w:ilvl w:val="0"/>
          <w:numId w:val="52"/>
        </w:numPr>
        <w:spacing w:after="0" w:line="240" w:lineRule="auto"/>
        <w:rPr>
          <w:color w:val="231F20"/>
          <w:w w:val="105"/>
        </w:rPr>
      </w:pPr>
      <w:r w:rsidRPr="00000D19">
        <w:rPr>
          <w:color w:val="231F20"/>
          <w:w w:val="105"/>
        </w:rPr>
        <w:t>Center for the Visually Impaired</w:t>
      </w:r>
    </w:p>
    <w:p w14:paraId="7C90A225" w14:textId="77777777" w:rsidR="00000D19" w:rsidRPr="00000D19" w:rsidRDefault="00000D19" w:rsidP="00D63204">
      <w:pPr>
        <w:pStyle w:val="ListParagraph"/>
        <w:widowControl w:val="0"/>
        <w:spacing w:after="0" w:line="240" w:lineRule="auto"/>
        <w:ind w:left="810"/>
        <w:rPr>
          <w:color w:val="231F20"/>
          <w:w w:val="105"/>
        </w:rPr>
      </w:pPr>
    </w:p>
    <w:p w14:paraId="596A792F" w14:textId="7056F942" w:rsidR="00000D19" w:rsidRDefault="00EB7E59" w:rsidP="00D63204">
      <w:pPr>
        <w:pStyle w:val="ListParagraph"/>
        <w:widowControl w:val="0"/>
        <w:numPr>
          <w:ilvl w:val="0"/>
          <w:numId w:val="52"/>
        </w:numPr>
        <w:spacing w:after="0" w:line="240" w:lineRule="auto"/>
        <w:rPr>
          <w:color w:val="231F20"/>
          <w:w w:val="105"/>
        </w:rPr>
      </w:pPr>
      <w:r w:rsidRPr="00000D19">
        <w:rPr>
          <w:color w:val="231F20"/>
          <w:w w:val="105"/>
        </w:rPr>
        <w:t>Conklin Centers for the Blind</w:t>
      </w:r>
    </w:p>
    <w:p w14:paraId="53A54F96" w14:textId="77777777" w:rsidR="00000D19" w:rsidRPr="00000D19" w:rsidRDefault="00000D19" w:rsidP="00D63204">
      <w:pPr>
        <w:pStyle w:val="ListParagraph"/>
        <w:widowControl w:val="0"/>
        <w:spacing w:after="0" w:line="240" w:lineRule="auto"/>
        <w:ind w:left="810"/>
        <w:rPr>
          <w:color w:val="231F20"/>
          <w:w w:val="105"/>
        </w:rPr>
      </w:pPr>
    </w:p>
    <w:p w14:paraId="2184DB7B" w14:textId="09D9AA14" w:rsidR="00000D19" w:rsidRDefault="00EB7E59" w:rsidP="00D63204">
      <w:pPr>
        <w:pStyle w:val="ListParagraph"/>
        <w:widowControl w:val="0"/>
        <w:numPr>
          <w:ilvl w:val="0"/>
          <w:numId w:val="52"/>
        </w:numPr>
        <w:spacing w:after="0" w:line="240" w:lineRule="auto"/>
        <w:rPr>
          <w:color w:val="231F20"/>
          <w:w w:val="105"/>
        </w:rPr>
      </w:pPr>
      <w:r w:rsidRPr="00000D19">
        <w:rPr>
          <w:color w:val="231F20"/>
          <w:w w:val="105"/>
        </w:rPr>
        <w:t>Elder Care of Alachua County</w:t>
      </w:r>
    </w:p>
    <w:p w14:paraId="7E5E64EE" w14:textId="77777777" w:rsidR="00000D19" w:rsidRPr="00000D19" w:rsidRDefault="00000D19" w:rsidP="00D63204">
      <w:pPr>
        <w:pStyle w:val="ListParagraph"/>
        <w:widowControl w:val="0"/>
        <w:spacing w:after="0" w:line="240" w:lineRule="auto"/>
        <w:ind w:left="810"/>
        <w:rPr>
          <w:color w:val="231F20"/>
          <w:w w:val="105"/>
        </w:rPr>
      </w:pPr>
    </w:p>
    <w:p w14:paraId="2263364F" w14:textId="1969FBF4" w:rsidR="00000D19" w:rsidRDefault="00EB7E59" w:rsidP="00D63204">
      <w:pPr>
        <w:pStyle w:val="ListParagraph"/>
        <w:widowControl w:val="0"/>
        <w:numPr>
          <w:ilvl w:val="0"/>
          <w:numId w:val="52"/>
        </w:numPr>
        <w:spacing w:after="0" w:line="240" w:lineRule="auto"/>
        <w:rPr>
          <w:color w:val="231F20"/>
          <w:w w:val="105"/>
        </w:rPr>
      </w:pPr>
      <w:r w:rsidRPr="00000D19">
        <w:rPr>
          <w:color w:val="231F20"/>
          <w:w w:val="105"/>
        </w:rPr>
        <w:t>Florida Center for the Blind</w:t>
      </w:r>
    </w:p>
    <w:p w14:paraId="11F38D92" w14:textId="77777777" w:rsidR="00000D19" w:rsidRPr="00000D19" w:rsidRDefault="00000D19" w:rsidP="00D63204">
      <w:pPr>
        <w:pStyle w:val="ListParagraph"/>
        <w:widowControl w:val="0"/>
        <w:spacing w:after="0" w:line="240" w:lineRule="auto"/>
        <w:ind w:left="810"/>
        <w:rPr>
          <w:color w:val="231F20"/>
          <w:w w:val="105"/>
        </w:rPr>
      </w:pPr>
    </w:p>
    <w:p w14:paraId="3A06405E" w14:textId="52BE0048" w:rsidR="00000D19" w:rsidRDefault="00EB7E59" w:rsidP="00D63204">
      <w:pPr>
        <w:pStyle w:val="ListParagraph"/>
        <w:widowControl w:val="0"/>
        <w:numPr>
          <w:ilvl w:val="0"/>
          <w:numId w:val="52"/>
        </w:numPr>
        <w:spacing w:after="0" w:line="240" w:lineRule="auto"/>
        <w:rPr>
          <w:color w:val="231F20"/>
          <w:w w:val="105"/>
        </w:rPr>
      </w:pPr>
      <w:r w:rsidRPr="00000D19">
        <w:rPr>
          <w:color w:val="231F20"/>
          <w:w w:val="105"/>
        </w:rPr>
        <w:t>Florida Outreach Center for the Blind</w:t>
      </w:r>
    </w:p>
    <w:p w14:paraId="5E1DB441" w14:textId="77777777" w:rsidR="00000D19" w:rsidRPr="00000D19" w:rsidRDefault="00000D19" w:rsidP="00D63204">
      <w:pPr>
        <w:pStyle w:val="ListParagraph"/>
        <w:widowControl w:val="0"/>
        <w:spacing w:after="0" w:line="240" w:lineRule="auto"/>
        <w:ind w:left="810"/>
        <w:rPr>
          <w:color w:val="231F20"/>
          <w:w w:val="105"/>
        </w:rPr>
      </w:pPr>
    </w:p>
    <w:p w14:paraId="1BE57676" w14:textId="79437E7B" w:rsidR="00000D19" w:rsidRDefault="00EB7E59" w:rsidP="00D63204">
      <w:pPr>
        <w:pStyle w:val="ListParagraph"/>
        <w:widowControl w:val="0"/>
        <w:numPr>
          <w:ilvl w:val="0"/>
          <w:numId w:val="52"/>
        </w:numPr>
        <w:spacing w:after="0" w:line="240" w:lineRule="auto"/>
        <w:rPr>
          <w:color w:val="231F20"/>
          <w:w w:val="105"/>
        </w:rPr>
      </w:pPr>
      <w:r w:rsidRPr="00000D19">
        <w:rPr>
          <w:color w:val="231F20"/>
          <w:w w:val="105"/>
        </w:rPr>
        <w:t>Florida School for the Deaf and the Blind</w:t>
      </w:r>
    </w:p>
    <w:p w14:paraId="2D58278D" w14:textId="77777777" w:rsidR="00000D19" w:rsidRPr="00000D19" w:rsidRDefault="00000D19" w:rsidP="00D63204">
      <w:pPr>
        <w:pStyle w:val="ListParagraph"/>
        <w:widowControl w:val="0"/>
        <w:spacing w:after="0" w:line="240" w:lineRule="auto"/>
        <w:ind w:left="810"/>
        <w:rPr>
          <w:color w:val="231F20"/>
          <w:w w:val="105"/>
        </w:rPr>
      </w:pPr>
    </w:p>
    <w:p w14:paraId="7498F2A6" w14:textId="1F248192" w:rsidR="00000D19" w:rsidRDefault="00EB7E59" w:rsidP="00D63204">
      <w:pPr>
        <w:pStyle w:val="ListParagraph"/>
        <w:widowControl w:val="0"/>
        <w:numPr>
          <w:ilvl w:val="0"/>
          <w:numId w:val="52"/>
        </w:numPr>
        <w:spacing w:after="0" w:line="240" w:lineRule="auto"/>
        <w:rPr>
          <w:color w:val="231F20"/>
          <w:w w:val="105"/>
        </w:rPr>
      </w:pPr>
      <w:r w:rsidRPr="00000D19">
        <w:rPr>
          <w:color w:val="231F20"/>
          <w:w w:val="105"/>
        </w:rPr>
        <w:t>Florida State College at Jacksonville</w:t>
      </w:r>
    </w:p>
    <w:p w14:paraId="568B7B54" w14:textId="77777777" w:rsidR="00000D19" w:rsidRPr="00000D19" w:rsidRDefault="00000D19" w:rsidP="00D63204">
      <w:pPr>
        <w:pStyle w:val="ListParagraph"/>
        <w:widowControl w:val="0"/>
        <w:spacing w:after="0" w:line="240" w:lineRule="auto"/>
        <w:ind w:left="810"/>
        <w:rPr>
          <w:color w:val="231F20"/>
          <w:w w:val="105"/>
        </w:rPr>
      </w:pPr>
    </w:p>
    <w:p w14:paraId="1DB341E7" w14:textId="6BD408CA" w:rsidR="00000D19" w:rsidRDefault="00EB7E59" w:rsidP="00D63204">
      <w:pPr>
        <w:pStyle w:val="ListParagraph"/>
        <w:widowControl w:val="0"/>
        <w:numPr>
          <w:ilvl w:val="0"/>
          <w:numId w:val="52"/>
        </w:numPr>
        <w:spacing w:after="0" w:line="240" w:lineRule="auto"/>
        <w:rPr>
          <w:color w:val="231F20"/>
          <w:w w:val="105"/>
        </w:rPr>
      </w:pPr>
      <w:r w:rsidRPr="00000D19">
        <w:rPr>
          <w:color w:val="231F20"/>
          <w:w w:val="105"/>
        </w:rPr>
        <w:t>Independence for the Blind of West Florida</w:t>
      </w:r>
    </w:p>
    <w:p w14:paraId="40621F5A" w14:textId="77777777" w:rsidR="00000D19" w:rsidRPr="00000D19" w:rsidRDefault="00000D19" w:rsidP="00D63204">
      <w:pPr>
        <w:pStyle w:val="ListParagraph"/>
        <w:widowControl w:val="0"/>
        <w:spacing w:after="0" w:line="240" w:lineRule="auto"/>
        <w:ind w:left="810"/>
        <w:rPr>
          <w:color w:val="231F20"/>
          <w:w w:val="105"/>
        </w:rPr>
      </w:pPr>
    </w:p>
    <w:p w14:paraId="3D2D5C14" w14:textId="651B80D6" w:rsidR="00000D19" w:rsidRDefault="00EB7E59" w:rsidP="00D63204">
      <w:pPr>
        <w:pStyle w:val="ListParagraph"/>
        <w:widowControl w:val="0"/>
        <w:numPr>
          <w:ilvl w:val="0"/>
          <w:numId w:val="52"/>
        </w:numPr>
        <w:spacing w:after="0" w:line="240" w:lineRule="auto"/>
        <w:rPr>
          <w:color w:val="231F20"/>
          <w:w w:val="105"/>
        </w:rPr>
      </w:pPr>
      <w:r w:rsidRPr="00000D19">
        <w:rPr>
          <w:color w:val="231F20"/>
          <w:w w:val="105"/>
        </w:rPr>
        <w:t>Lighthouse Central Florida</w:t>
      </w:r>
    </w:p>
    <w:p w14:paraId="6B2A825B" w14:textId="77777777" w:rsidR="00000D19" w:rsidRPr="00000D19" w:rsidRDefault="00000D19" w:rsidP="00D63204">
      <w:pPr>
        <w:pStyle w:val="ListParagraph"/>
        <w:widowControl w:val="0"/>
        <w:spacing w:after="0" w:line="240" w:lineRule="auto"/>
        <w:ind w:left="810"/>
        <w:rPr>
          <w:color w:val="231F20"/>
          <w:w w:val="105"/>
        </w:rPr>
      </w:pPr>
    </w:p>
    <w:p w14:paraId="7A35A7CE" w14:textId="5D1D31E5" w:rsidR="00000D19" w:rsidRDefault="00EB7E59" w:rsidP="00D63204">
      <w:pPr>
        <w:pStyle w:val="ListParagraph"/>
        <w:widowControl w:val="0"/>
        <w:numPr>
          <w:ilvl w:val="0"/>
          <w:numId w:val="52"/>
        </w:numPr>
        <w:spacing w:after="0" w:line="240" w:lineRule="auto"/>
        <w:rPr>
          <w:color w:val="231F20"/>
          <w:w w:val="105"/>
        </w:rPr>
      </w:pPr>
      <w:r w:rsidRPr="00000D19">
        <w:rPr>
          <w:color w:val="231F20"/>
          <w:w w:val="105"/>
        </w:rPr>
        <w:t>Lighthouse for the Blind of the Palm Beaches</w:t>
      </w:r>
    </w:p>
    <w:p w14:paraId="441015C7" w14:textId="77777777" w:rsidR="00000D19" w:rsidRPr="00000D19" w:rsidRDefault="00000D19" w:rsidP="00D63204">
      <w:pPr>
        <w:pStyle w:val="ListParagraph"/>
        <w:widowControl w:val="0"/>
        <w:spacing w:after="0" w:line="240" w:lineRule="auto"/>
        <w:ind w:left="810"/>
        <w:rPr>
          <w:color w:val="231F20"/>
          <w:w w:val="105"/>
        </w:rPr>
      </w:pPr>
    </w:p>
    <w:p w14:paraId="268EB0BA" w14:textId="7C91AE92" w:rsidR="00000D19" w:rsidRDefault="00EB7E59" w:rsidP="00D63204">
      <w:pPr>
        <w:pStyle w:val="ListParagraph"/>
        <w:widowControl w:val="0"/>
        <w:numPr>
          <w:ilvl w:val="0"/>
          <w:numId w:val="52"/>
        </w:numPr>
        <w:spacing w:after="0" w:line="240" w:lineRule="auto"/>
        <w:rPr>
          <w:color w:val="231F20"/>
          <w:w w:val="105"/>
        </w:rPr>
      </w:pPr>
      <w:r w:rsidRPr="00000D19">
        <w:rPr>
          <w:color w:val="231F20"/>
          <w:w w:val="105"/>
        </w:rPr>
        <w:t>Lighthouse for the Visually Impaired and Blind</w:t>
      </w:r>
    </w:p>
    <w:p w14:paraId="7BE30ACD" w14:textId="77777777" w:rsidR="00000D19" w:rsidRPr="00000D19" w:rsidRDefault="00000D19" w:rsidP="00D63204">
      <w:pPr>
        <w:pStyle w:val="ListParagraph"/>
        <w:widowControl w:val="0"/>
        <w:spacing w:after="0" w:line="240" w:lineRule="auto"/>
        <w:ind w:left="810"/>
        <w:rPr>
          <w:color w:val="231F20"/>
          <w:w w:val="105"/>
        </w:rPr>
      </w:pPr>
    </w:p>
    <w:p w14:paraId="565F6FAE" w14:textId="1ED237E3" w:rsidR="00000D19" w:rsidRDefault="00EB7E59" w:rsidP="00D63204">
      <w:pPr>
        <w:pStyle w:val="ListParagraph"/>
        <w:widowControl w:val="0"/>
        <w:numPr>
          <w:ilvl w:val="0"/>
          <w:numId w:val="52"/>
        </w:numPr>
        <w:spacing w:after="0" w:line="240" w:lineRule="auto"/>
        <w:rPr>
          <w:color w:val="231F20"/>
          <w:w w:val="105"/>
        </w:rPr>
      </w:pPr>
      <w:r w:rsidRPr="00000D19">
        <w:rPr>
          <w:color w:val="231F20"/>
          <w:w w:val="105"/>
        </w:rPr>
        <w:t>Lighthouse of Broward</w:t>
      </w:r>
    </w:p>
    <w:p w14:paraId="01B6BE55" w14:textId="77777777" w:rsidR="00000D19" w:rsidRPr="00000D19" w:rsidRDefault="00000D19" w:rsidP="00D63204">
      <w:pPr>
        <w:pStyle w:val="ListParagraph"/>
        <w:widowControl w:val="0"/>
        <w:spacing w:after="0" w:line="240" w:lineRule="auto"/>
        <w:ind w:left="810"/>
        <w:rPr>
          <w:color w:val="231F20"/>
          <w:w w:val="105"/>
        </w:rPr>
      </w:pPr>
    </w:p>
    <w:p w14:paraId="43DCAD45" w14:textId="6C63CD8B" w:rsidR="00000D19" w:rsidRDefault="00EB7E59" w:rsidP="00D63204">
      <w:pPr>
        <w:pStyle w:val="ListParagraph"/>
        <w:widowControl w:val="0"/>
        <w:numPr>
          <w:ilvl w:val="0"/>
          <w:numId w:val="52"/>
        </w:numPr>
        <w:spacing w:after="0" w:line="240" w:lineRule="auto"/>
        <w:rPr>
          <w:color w:val="231F20"/>
          <w:w w:val="105"/>
        </w:rPr>
      </w:pPr>
      <w:r w:rsidRPr="00000D19">
        <w:rPr>
          <w:color w:val="231F20"/>
          <w:w w:val="105"/>
        </w:rPr>
        <w:t>Lighthouse of Collier, Inc.</w:t>
      </w:r>
    </w:p>
    <w:p w14:paraId="4BD13FC3" w14:textId="77777777" w:rsidR="00000D19" w:rsidRPr="00000D19" w:rsidRDefault="00000D19" w:rsidP="00D63204">
      <w:pPr>
        <w:pStyle w:val="ListParagraph"/>
        <w:widowControl w:val="0"/>
        <w:spacing w:after="0" w:line="240" w:lineRule="auto"/>
        <w:ind w:left="810"/>
        <w:rPr>
          <w:color w:val="231F20"/>
          <w:w w:val="105"/>
        </w:rPr>
      </w:pPr>
    </w:p>
    <w:p w14:paraId="345706DD" w14:textId="75DB56C9" w:rsidR="00000D19" w:rsidRDefault="00EB7E59" w:rsidP="00D63204">
      <w:pPr>
        <w:pStyle w:val="ListParagraph"/>
        <w:widowControl w:val="0"/>
        <w:numPr>
          <w:ilvl w:val="0"/>
          <w:numId w:val="52"/>
        </w:numPr>
        <w:spacing w:after="0" w:line="240" w:lineRule="auto"/>
        <w:rPr>
          <w:color w:val="231F20"/>
          <w:w w:val="105"/>
        </w:rPr>
      </w:pPr>
      <w:r w:rsidRPr="00000D19">
        <w:rPr>
          <w:color w:val="231F20"/>
          <w:w w:val="105"/>
        </w:rPr>
        <w:t>Lighthouse of Manasota</w:t>
      </w:r>
    </w:p>
    <w:p w14:paraId="7A9D482A" w14:textId="77777777" w:rsidR="00000D19" w:rsidRPr="00000D19" w:rsidRDefault="00000D19" w:rsidP="00D63204">
      <w:pPr>
        <w:pStyle w:val="ListParagraph"/>
        <w:widowControl w:val="0"/>
        <w:spacing w:after="0" w:line="240" w:lineRule="auto"/>
        <w:ind w:left="810"/>
        <w:rPr>
          <w:color w:val="231F20"/>
          <w:w w:val="105"/>
        </w:rPr>
      </w:pPr>
    </w:p>
    <w:p w14:paraId="160EF4A2" w14:textId="5C0F5CC1" w:rsidR="00000D19" w:rsidRDefault="00EB7E59" w:rsidP="00D63204">
      <w:pPr>
        <w:pStyle w:val="ListParagraph"/>
        <w:widowControl w:val="0"/>
        <w:numPr>
          <w:ilvl w:val="0"/>
          <w:numId w:val="52"/>
        </w:numPr>
        <w:spacing w:after="0" w:line="240" w:lineRule="auto"/>
        <w:rPr>
          <w:color w:val="231F20"/>
          <w:w w:val="105"/>
        </w:rPr>
      </w:pPr>
      <w:r w:rsidRPr="00000D19">
        <w:rPr>
          <w:color w:val="231F20"/>
          <w:w w:val="105"/>
        </w:rPr>
        <w:t>Lighthouse of Pinellas</w:t>
      </w:r>
    </w:p>
    <w:p w14:paraId="54664AAD" w14:textId="77777777" w:rsidR="00000D19" w:rsidRPr="00000D19" w:rsidRDefault="00000D19" w:rsidP="00D63204">
      <w:pPr>
        <w:pStyle w:val="ListParagraph"/>
        <w:widowControl w:val="0"/>
        <w:spacing w:after="0" w:line="240" w:lineRule="auto"/>
        <w:ind w:left="810"/>
        <w:rPr>
          <w:color w:val="231F20"/>
          <w:w w:val="105"/>
        </w:rPr>
      </w:pPr>
    </w:p>
    <w:p w14:paraId="135C5615" w14:textId="2CF9FF86" w:rsidR="00000D19" w:rsidRDefault="00EB7E59" w:rsidP="00D63204">
      <w:pPr>
        <w:pStyle w:val="ListParagraph"/>
        <w:widowControl w:val="0"/>
        <w:numPr>
          <w:ilvl w:val="0"/>
          <w:numId w:val="52"/>
        </w:numPr>
        <w:spacing w:after="0" w:line="240" w:lineRule="auto"/>
        <w:rPr>
          <w:color w:val="231F20"/>
          <w:w w:val="105"/>
        </w:rPr>
      </w:pPr>
      <w:r w:rsidRPr="00000D19">
        <w:rPr>
          <w:color w:val="231F20"/>
          <w:w w:val="105"/>
        </w:rPr>
        <w:t>Lighthouse of the Big Bend</w:t>
      </w:r>
    </w:p>
    <w:p w14:paraId="0DCC713B" w14:textId="77777777" w:rsidR="00000D19" w:rsidRPr="00000D19" w:rsidRDefault="00000D19" w:rsidP="00D63204">
      <w:pPr>
        <w:pStyle w:val="ListParagraph"/>
        <w:widowControl w:val="0"/>
        <w:spacing w:after="0" w:line="240" w:lineRule="auto"/>
        <w:ind w:left="810"/>
        <w:rPr>
          <w:color w:val="231F20"/>
          <w:w w:val="105"/>
        </w:rPr>
      </w:pPr>
    </w:p>
    <w:p w14:paraId="2EF9EB9E" w14:textId="237A1C1B" w:rsidR="00000D19" w:rsidRDefault="00EB7E59" w:rsidP="00D63204">
      <w:pPr>
        <w:pStyle w:val="ListParagraph"/>
        <w:widowControl w:val="0"/>
        <w:numPr>
          <w:ilvl w:val="0"/>
          <w:numId w:val="52"/>
        </w:numPr>
        <w:spacing w:after="0" w:line="240" w:lineRule="auto"/>
        <w:rPr>
          <w:color w:val="231F20"/>
          <w:w w:val="105"/>
        </w:rPr>
      </w:pPr>
      <w:r w:rsidRPr="00000D19">
        <w:rPr>
          <w:color w:val="231F20"/>
          <w:w w:val="105"/>
        </w:rPr>
        <w:lastRenderedPageBreak/>
        <w:t>Miami Lighthouse for the Blind and Visually Impaired</w:t>
      </w:r>
    </w:p>
    <w:p w14:paraId="1E94F51A" w14:textId="77777777" w:rsidR="00000D19" w:rsidRPr="00000D19" w:rsidRDefault="00000D19" w:rsidP="00D63204">
      <w:pPr>
        <w:pStyle w:val="ListParagraph"/>
        <w:widowControl w:val="0"/>
        <w:spacing w:after="0" w:line="240" w:lineRule="auto"/>
        <w:ind w:left="810"/>
        <w:rPr>
          <w:color w:val="231F20"/>
          <w:w w:val="105"/>
        </w:rPr>
      </w:pPr>
    </w:p>
    <w:p w14:paraId="23ECEA29" w14:textId="16ACAA10" w:rsidR="00000D19" w:rsidRDefault="00EB7E59" w:rsidP="00D63204">
      <w:pPr>
        <w:pStyle w:val="ListParagraph"/>
        <w:widowControl w:val="0"/>
        <w:numPr>
          <w:ilvl w:val="0"/>
          <w:numId w:val="52"/>
        </w:numPr>
        <w:spacing w:after="0" w:line="240" w:lineRule="auto"/>
        <w:rPr>
          <w:color w:val="231F20"/>
          <w:w w:val="105"/>
        </w:rPr>
      </w:pPr>
      <w:r w:rsidRPr="00000D19">
        <w:rPr>
          <w:color w:val="231F20"/>
          <w:w w:val="105"/>
        </w:rPr>
        <w:t>New Vision for Independence</w:t>
      </w:r>
    </w:p>
    <w:p w14:paraId="7904E3FA" w14:textId="77777777" w:rsidR="00000D19" w:rsidRPr="00000D19" w:rsidRDefault="00000D19" w:rsidP="00D63204">
      <w:pPr>
        <w:pStyle w:val="ListParagraph"/>
        <w:widowControl w:val="0"/>
        <w:spacing w:after="0" w:line="240" w:lineRule="auto"/>
        <w:ind w:left="810"/>
        <w:rPr>
          <w:color w:val="231F20"/>
          <w:w w:val="105"/>
        </w:rPr>
      </w:pPr>
    </w:p>
    <w:p w14:paraId="68742920" w14:textId="596D13A0" w:rsidR="00000D19" w:rsidRDefault="00EB7E59" w:rsidP="00D63204">
      <w:pPr>
        <w:pStyle w:val="ListParagraph"/>
        <w:widowControl w:val="0"/>
        <w:numPr>
          <w:ilvl w:val="0"/>
          <w:numId w:val="52"/>
        </w:numPr>
        <w:spacing w:after="0" w:line="240" w:lineRule="auto"/>
        <w:rPr>
          <w:color w:val="231F20"/>
          <w:w w:val="105"/>
        </w:rPr>
      </w:pPr>
      <w:r w:rsidRPr="00000D19">
        <w:rPr>
          <w:color w:val="231F20"/>
          <w:w w:val="105"/>
        </w:rPr>
        <w:t>Tampa Lighthouse for the Blind</w:t>
      </w:r>
    </w:p>
    <w:p w14:paraId="4896CEE5" w14:textId="77777777" w:rsidR="00000D19" w:rsidRPr="00000D19" w:rsidRDefault="00000D19" w:rsidP="00D63204">
      <w:pPr>
        <w:pStyle w:val="ListParagraph"/>
        <w:widowControl w:val="0"/>
        <w:spacing w:after="0" w:line="240" w:lineRule="auto"/>
        <w:ind w:left="810"/>
        <w:rPr>
          <w:color w:val="231F20"/>
          <w:w w:val="105"/>
        </w:rPr>
      </w:pPr>
    </w:p>
    <w:p w14:paraId="31E904DD" w14:textId="01EC0446" w:rsidR="00EA7458" w:rsidRPr="00A34E80" w:rsidRDefault="00EB7E59" w:rsidP="00216C0D">
      <w:pPr>
        <w:pStyle w:val="ListParagraph"/>
        <w:widowControl w:val="0"/>
        <w:numPr>
          <w:ilvl w:val="0"/>
          <w:numId w:val="52"/>
        </w:numPr>
        <w:spacing w:after="0" w:line="240" w:lineRule="auto"/>
        <w:rPr>
          <w:color w:val="231F20"/>
          <w:w w:val="105"/>
        </w:rPr>
      </w:pPr>
      <w:r w:rsidRPr="00A34E80">
        <w:rPr>
          <w:color w:val="231F20"/>
          <w:w w:val="105"/>
        </w:rPr>
        <w:t>Lighthouse of Southwest Florida, Inc.</w:t>
      </w:r>
      <w:r w:rsidRPr="00A34E80">
        <w:rPr>
          <w:color w:val="231F20"/>
          <w:w w:val="105"/>
        </w:rPr>
        <w:br/>
      </w:r>
    </w:p>
    <w:p w14:paraId="536C6D79" w14:textId="2DB2AC6A" w:rsidR="00EA7458" w:rsidRPr="00000D19" w:rsidRDefault="007B7525" w:rsidP="00D63204">
      <w:pPr>
        <w:widowControl w:val="0"/>
        <w:numPr>
          <w:ilvl w:val="0"/>
          <w:numId w:val="50"/>
        </w:numPr>
        <w:tabs>
          <w:tab w:val="left" w:pos="828"/>
        </w:tabs>
        <w:spacing w:before="50" w:after="0" w:line="240" w:lineRule="auto"/>
        <w:outlineLvl w:val="1"/>
        <w:rPr>
          <w:sz w:val="26"/>
          <w:szCs w:val="26"/>
        </w:rPr>
      </w:pPr>
      <w:bookmarkStart w:id="169" w:name="(d)_Coordination_with_Education_Official"/>
      <w:bookmarkStart w:id="170" w:name="_bookmark104"/>
      <w:bookmarkEnd w:id="169"/>
      <w:bookmarkEnd w:id="170"/>
      <w:r>
        <w:rPr>
          <w:b/>
          <w:bCs/>
          <w:color w:val="295CA3"/>
          <w:w w:val="110"/>
          <w:sz w:val="26"/>
          <w:szCs w:val="26"/>
        </w:rPr>
        <w:t xml:space="preserve"> </w:t>
      </w:r>
      <w:r w:rsidR="00EA7458" w:rsidRPr="00000D19">
        <w:rPr>
          <w:b/>
          <w:bCs/>
          <w:color w:val="295CA3"/>
          <w:w w:val="110"/>
          <w:sz w:val="26"/>
          <w:szCs w:val="26"/>
        </w:rPr>
        <w:t>Coordination with Education</w:t>
      </w:r>
      <w:r w:rsidR="00EA7458" w:rsidRPr="00000D19">
        <w:rPr>
          <w:b/>
          <w:bCs/>
          <w:color w:val="295CA3"/>
          <w:spacing w:val="1"/>
          <w:w w:val="110"/>
          <w:sz w:val="26"/>
          <w:szCs w:val="26"/>
        </w:rPr>
        <w:t xml:space="preserve"> </w:t>
      </w:r>
      <w:r w:rsidR="00EA7458" w:rsidRPr="00000D19">
        <w:rPr>
          <w:b/>
          <w:bCs/>
          <w:color w:val="295CA3"/>
          <w:w w:val="110"/>
          <w:sz w:val="26"/>
          <w:szCs w:val="26"/>
        </w:rPr>
        <w:t>Officials</w:t>
      </w:r>
    </w:p>
    <w:p w14:paraId="3F78D569" w14:textId="68290E7A" w:rsidR="00F01D47" w:rsidRDefault="000B34DB" w:rsidP="00D63204">
      <w:pPr>
        <w:spacing w:line="240" w:lineRule="auto"/>
        <w:ind w:left="90"/>
      </w:pPr>
      <w:r w:rsidRPr="00000D19">
        <w:rPr>
          <w:color w:val="FF0000"/>
        </w:rPr>
        <w:br/>
      </w:r>
      <w:r w:rsidR="00EB7E59" w:rsidRPr="00000D19">
        <w:t>The FDBS has an interagency agreement with education officials. It is a state-level agreement between agencies charged with providing transition services to high school students progressing to postsecondary education/training, support services and/or employment. The agencies listed below agree to meet regularly to share information, ideas and current initiatives; collaborate on training and special projects; cooperate in planning and budgeting; and support areas of work that are mutually beneficial. These agencies include:</w:t>
      </w:r>
    </w:p>
    <w:p w14:paraId="4DBE28AA" w14:textId="09196E29" w:rsidR="00F01D47" w:rsidRDefault="00EB7E59" w:rsidP="00D63204">
      <w:pPr>
        <w:pStyle w:val="ListParagraph"/>
        <w:numPr>
          <w:ilvl w:val="0"/>
          <w:numId w:val="53"/>
        </w:numPr>
        <w:spacing w:after="0" w:line="240" w:lineRule="auto"/>
      </w:pPr>
      <w:r w:rsidRPr="00000D19">
        <w:t xml:space="preserve">Florida Department of Education: </w:t>
      </w:r>
    </w:p>
    <w:p w14:paraId="2FA3C2E8" w14:textId="77777777" w:rsidR="00F01D47" w:rsidRDefault="00F01D47" w:rsidP="00D63204">
      <w:pPr>
        <w:pStyle w:val="ListParagraph"/>
        <w:spacing w:after="0" w:line="240" w:lineRule="auto"/>
        <w:ind w:left="810"/>
      </w:pPr>
    </w:p>
    <w:p w14:paraId="60B71D0F" w14:textId="77777777" w:rsidR="00F01D47" w:rsidRDefault="00EB7E59" w:rsidP="00D63204">
      <w:pPr>
        <w:pStyle w:val="ListParagraph"/>
        <w:numPr>
          <w:ilvl w:val="1"/>
          <w:numId w:val="53"/>
        </w:numPr>
        <w:spacing w:after="0" w:line="240" w:lineRule="auto"/>
      </w:pPr>
      <w:r w:rsidRPr="00000D19">
        <w:t>Bureau of Exceptional Education and Student Services (BEESS)</w:t>
      </w:r>
    </w:p>
    <w:p w14:paraId="441DC59A" w14:textId="11FD892F" w:rsidR="00F01D47" w:rsidRDefault="00CD4308" w:rsidP="00D63204">
      <w:pPr>
        <w:pStyle w:val="ListParagraph"/>
        <w:numPr>
          <w:ilvl w:val="1"/>
          <w:numId w:val="53"/>
        </w:numPr>
        <w:spacing w:after="0" w:line="240" w:lineRule="auto"/>
      </w:pPr>
      <w:r>
        <w:t>Division of Vocational Rehabilitation</w:t>
      </w:r>
    </w:p>
    <w:p w14:paraId="6FCCA688" w14:textId="4745042E" w:rsidR="00F01D47" w:rsidRDefault="00CD4308" w:rsidP="00D63204">
      <w:pPr>
        <w:pStyle w:val="ListParagraph"/>
        <w:numPr>
          <w:ilvl w:val="1"/>
          <w:numId w:val="53"/>
        </w:numPr>
        <w:spacing w:after="0" w:line="240" w:lineRule="auto"/>
      </w:pPr>
      <w:r>
        <w:t>Division of Blind Services</w:t>
      </w:r>
    </w:p>
    <w:p w14:paraId="2FA098B2" w14:textId="77777777" w:rsidR="00F01D47" w:rsidRDefault="00F01D47" w:rsidP="00D63204">
      <w:pPr>
        <w:pStyle w:val="ListParagraph"/>
        <w:spacing w:after="0" w:line="240" w:lineRule="auto"/>
        <w:ind w:left="1530"/>
      </w:pPr>
    </w:p>
    <w:p w14:paraId="19DCDA15" w14:textId="553EA799" w:rsidR="00F01D47" w:rsidRDefault="00F01D47" w:rsidP="00D63204">
      <w:pPr>
        <w:pStyle w:val="ListParagraph"/>
        <w:numPr>
          <w:ilvl w:val="0"/>
          <w:numId w:val="53"/>
        </w:numPr>
        <w:spacing w:after="0" w:line="240" w:lineRule="auto"/>
      </w:pPr>
      <w:r>
        <w:t xml:space="preserve">Agency </w:t>
      </w:r>
      <w:r w:rsidR="00EB7E59" w:rsidRPr="00000D19">
        <w:t>for Persons with Disabilities</w:t>
      </w:r>
    </w:p>
    <w:p w14:paraId="203CB5FC" w14:textId="77777777" w:rsidR="00F01D47" w:rsidRDefault="00F01D47" w:rsidP="00D63204">
      <w:pPr>
        <w:pStyle w:val="ListParagraph"/>
        <w:spacing w:after="0" w:line="240" w:lineRule="auto"/>
        <w:ind w:left="810"/>
      </w:pPr>
    </w:p>
    <w:p w14:paraId="3D9A7DFC" w14:textId="6DB8EDA2" w:rsidR="00F01D47" w:rsidRDefault="00EB7E59" w:rsidP="00D63204">
      <w:pPr>
        <w:pStyle w:val="ListParagraph"/>
        <w:numPr>
          <w:ilvl w:val="0"/>
          <w:numId w:val="53"/>
        </w:numPr>
        <w:spacing w:after="0" w:line="240" w:lineRule="auto"/>
      </w:pPr>
      <w:r w:rsidRPr="00000D19">
        <w:t>Florida Department of Health, Children’s Medical Services</w:t>
      </w:r>
    </w:p>
    <w:p w14:paraId="6A8153FD" w14:textId="77777777" w:rsidR="00F01D47" w:rsidRDefault="00F01D47" w:rsidP="00D63204">
      <w:pPr>
        <w:pStyle w:val="ListParagraph"/>
        <w:spacing w:after="0" w:line="240" w:lineRule="auto"/>
        <w:ind w:left="810"/>
      </w:pPr>
    </w:p>
    <w:p w14:paraId="354C8272" w14:textId="43FA8B51" w:rsidR="00EB7E59" w:rsidRDefault="00EB7E59" w:rsidP="00D63204">
      <w:pPr>
        <w:pStyle w:val="ListParagraph"/>
        <w:numPr>
          <w:ilvl w:val="0"/>
          <w:numId w:val="53"/>
        </w:numPr>
        <w:spacing w:after="0" w:line="240" w:lineRule="auto"/>
      </w:pPr>
      <w:r w:rsidRPr="00000D19">
        <w:t xml:space="preserve">Florida Department of Children and Families, Mental Health Services </w:t>
      </w:r>
    </w:p>
    <w:p w14:paraId="7DBF6CD3" w14:textId="77777777" w:rsidR="00F01D47" w:rsidRPr="00000D19" w:rsidRDefault="00F01D47" w:rsidP="00D63204">
      <w:pPr>
        <w:pStyle w:val="ListParagraph"/>
        <w:spacing w:after="0" w:line="240" w:lineRule="auto"/>
        <w:ind w:left="810"/>
      </w:pPr>
    </w:p>
    <w:p w14:paraId="5FD17331" w14:textId="77777777" w:rsidR="00EF2D86" w:rsidRDefault="00EF2D86" w:rsidP="00EF2D86">
      <w:pPr>
        <w:spacing w:after="0" w:line="240" w:lineRule="auto"/>
      </w:pPr>
      <w:r w:rsidRPr="00EF2D86">
        <w:t>This formal interagency agreement functions as a transition services model for improved collaboration, communication, coordination, and cooperation among local education agencies and local offices of VR, FDBS, APD, Department of Children and Families, and Children’s Medical Services.</w:t>
      </w:r>
    </w:p>
    <w:p w14:paraId="45F9CFA7" w14:textId="77777777" w:rsidR="00EF2D86" w:rsidRPr="00EF2D86" w:rsidRDefault="00EF2D86" w:rsidP="00EF2D86">
      <w:pPr>
        <w:spacing w:after="0" w:line="240" w:lineRule="auto"/>
      </w:pPr>
    </w:p>
    <w:p w14:paraId="013D07DB" w14:textId="77777777" w:rsidR="00EF2D86" w:rsidRPr="00EF2D86" w:rsidRDefault="00EF2D86" w:rsidP="00EF2D86">
      <w:pPr>
        <w:spacing w:after="0" w:line="240" w:lineRule="auto"/>
      </w:pPr>
      <w:r w:rsidRPr="00EF2D86">
        <w:t>The FDBS employs a program consultant as the central point of contact for the School to Work Transition Program. The consultant serves as the liaison for the 67 school districts and the Florida School for the Deaf and the Blind. The consultant coordinates and plans for effective transition services delivery and is responsible for training internal employees and making presentations about FDBS transition services at statewide conferences to increase understanding and awareness of the agency’s role in assisting eligible students with disabilities. Additionally, this position serves as a representative on the State Secondary Transition Interagency Committee.</w:t>
      </w:r>
    </w:p>
    <w:p w14:paraId="1D630300" w14:textId="77777777" w:rsidR="00EF2D86" w:rsidRPr="00EF2D86" w:rsidRDefault="00EF2D86" w:rsidP="00EF2D86">
      <w:pPr>
        <w:spacing w:after="0" w:line="240" w:lineRule="auto"/>
      </w:pPr>
      <w:r w:rsidRPr="00EF2D86">
        <w:rPr>
          <w:b/>
        </w:rPr>
        <w:br/>
        <w:t xml:space="preserve">Provisions for Development and Approval of Individualized Plans for Employment for Students with Disabilities </w:t>
      </w:r>
    </w:p>
    <w:p w14:paraId="7A76D171" w14:textId="77777777" w:rsidR="00EF2D86" w:rsidRPr="00EF2D86" w:rsidRDefault="00EF2D86" w:rsidP="00EF2D86">
      <w:pPr>
        <w:spacing w:after="0" w:line="240" w:lineRule="auto"/>
      </w:pPr>
      <w:r w:rsidRPr="00EF2D86">
        <w:t>The Individualized Plan for Employment (IPE) for vocational rehabilitation consumers is completed or updated annually as needed, prior to graduation or leaving school for a seamless transition to a student’s desired postsecondary outcome.</w:t>
      </w:r>
    </w:p>
    <w:p w14:paraId="3B4DDB78" w14:textId="77777777" w:rsidR="00EF2D86" w:rsidRPr="00EF2D86" w:rsidRDefault="00EF2D86" w:rsidP="00EF2D86">
      <w:pPr>
        <w:spacing w:after="0" w:line="240" w:lineRule="auto"/>
      </w:pPr>
    </w:p>
    <w:p w14:paraId="34E94CC2" w14:textId="77777777" w:rsidR="00EF2D86" w:rsidRPr="00EF2D86" w:rsidRDefault="00EF2D86" w:rsidP="00EF2D86">
      <w:pPr>
        <w:spacing w:after="0" w:line="240" w:lineRule="auto"/>
      </w:pPr>
      <w:r w:rsidRPr="00EF2D86">
        <w:t xml:space="preserve">The FDBS transition specialists, with assistance from FDBS rehabilitation technicians, serve as representatives who work with public high schools statewide and private high schools requesting assistance. Transition specialists provide and coordinate outreach and vocational rehabilitation services to students, school officials, parents, and others </w:t>
      </w:r>
      <w:r w:rsidRPr="00EF2D86">
        <w:lastRenderedPageBreak/>
        <w:t>involved in transition services. The counselor determines eligibility for vocational rehabilitation services, develops an approved IPE, and sponsors the delivery of necessary transition services to assist the student with planning, preparing for, and achieving successful postsecondary employment.</w:t>
      </w:r>
    </w:p>
    <w:p w14:paraId="689777CD" w14:textId="77777777" w:rsidR="00F01D47" w:rsidRDefault="00F01D47" w:rsidP="006535D2">
      <w:pPr>
        <w:spacing w:after="0" w:line="240" w:lineRule="auto"/>
        <w:rPr>
          <w:b/>
        </w:rPr>
      </w:pPr>
    </w:p>
    <w:p w14:paraId="525053CF" w14:textId="1B640EC6" w:rsidR="00691918" w:rsidRPr="00000D19" w:rsidRDefault="00691918" w:rsidP="00D63204">
      <w:pPr>
        <w:spacing w:after="0" w:line="240" w:lineRule="auto"/>
        <w:ind w:left="90"/>
        <w:rPr>
          <w:b/>
        </w:rPr>
      </w:pPr>
      <w:r w:rsidRPr="00000D19">
        <w:rPr>
          <w:b/>
        </w:rPr>
        <w:t xml:space="preserve">Information on Formal Interagency Agreements with Respect To: Employment First </w:t>
      </w:r>
    </w:p>
    <w:p w14:paraId="5811A392" w14:textId="2C23B486" w:rsidR="00691918" w:rsidRPr="00000D19" w:rsidRDefault="00691918" w:rsidP="000715EE">
      <w:pPr>
        <w:spacing w:after="0" w:line="240" w:lineRule="auto"/>
        <w:ind w:left="90"/>
      </w:pPr>
      <w:r w:rsidRPr="00000D19">
        <w:t xml:space="preserve">As an employment leader, FDBS strongly encourages partner agencies, organizations and employers to promote competitive integrated employment in the community as the first and preferred option for individuals with disabilities. Individuals with disabilities who are employed, experience enhanced independence, improved quality of life and contribute to the rich diversity of the workforce, benefit the entire community. </w:t>
      </w:r>
    </w:p>
    <w:p w14:paraId="4E46215D" w14:textId="77777777" w:rsidR="00F01D47" w:rsidRDefault="00F01D47" w:rsidP="00D63204">
      <w:pPr>
        <w:spacing w:after="0" w:line="240" w:lineRule="auto"/>
        <w:ind w:left="90"/>
        <w:rPr>
          <w:b/>
        </w:rPr>
      </w:pPr>
    </w:p>
    <w:p w14:paraId="37BD0669" w14:textId="7CD9E57F" w:rsidR="00691918" w:rsidRPr="00000D19" w:rsidRDefault="00691918" w:rsidP="00D63204">
      <w:pPr>
        <w:spacing w:after="0" w:line="240" w:lineRule="auto"/>
        <w:ind w:left="90"/>
        <w:rPr>
          <w:b/>
        </w:rPr>
      </w:pPr>
      <w:r w:rsidRPr="00000D19">
        <w:rPr>
          <w:b/>
        </w:rPr>
        <w:t xml:space="preserve">Technical Assistance and Consultation </w:t>
      </w:r>
    </w:p>
    <w:p w14:paraId="7AFDE993" w14:textId="1AE48C45" w:rsidR="00691918" w:rsidRPr="00000D19" w:rsidRDefault="00691918" w:rsidP="000715EE">
      <w:pPr>
        <w:spacing w:after="0" w:line="240" w:lineRule="auto"/>
        <w:ind w:left="90"/>
      </w:pPr>
      <w:r w:rsidRPr="00000D19">
        <w:t>Local education agencies are strongly encouraged to have written agreements with the FDBS, VR, APD, Children’s Medical Services and Department of Children and Families, Substance Abuse and Mental Health Office. Written agreements enable employees to consult, coordinate and provide technical assistance to each other as well as to students and their families/guardians/surrogates so they can plan for the student’s transition from high school to postsecondary activities.</w:t>
      </w:r>
    </w:p>
    <w:p w14:paraId="79F6948D" w14:textId="77777777" w:rsidR="00691918" w:rsidRPr="00000D19" w:rsidRDefault="00691918" w:rsidP="00D63204">
      <w:pPr>
        <w:spacing w:after="0" w:line="240" w:lineRule="auto"/>
        <w:ind w:left="90"/>
      </w:pPr>
    </w:p>
    <w:p w14:paraId="03ADD1A6" w14:textId="77777777" w:rsidR="00691918" w:rsidRPr="00000D19" w:rsidRDefault="00691918" w:rsidP="00D63204">
      <w:pPr>
        <w:spacing w:after="0" w:line="240" w:lineRule="auto"/>
        <w:ind w:left="90"/>
        <w:rPr>
          <w:b/>
        </w:rPr>
      </w:pPr>
      <w:r w:rsidRPr="00000D19">
        <w:rPr>
          <w:b/>
        </w:rPr>
        <w:t xml:space="preserve">Transition Planning by FDBS and Educational Agency Representatives for Development and Completion of the Individual Educational Plan </w:t>
      </w:r>
    </w:p>
    <w:p w14:paraId="3E507A7D" w14:textId="2C1FBAD9" w:rsidR="00691918" w:rsidRPr="00000D19" w:rsidRDefault="00691918" w:rsidP="00D63204">
      <w:pPr>
        <w:spacing w:line="240" w:lineRule="auto"/>
        <w:ind w:left="90"/>
      </w:pPr>
      <w:r w:rsidRPr="00000D19">
        <w:t>Local education agencies work collaboratively with the FDBS, VR, APD, Children’s Medical Services</w:t>
      </w:r>
      <w:r w:rsidR="00D5537E">
        <w:t xml:space="preserve"> and</w:t>
      </w:r>
      <w:r w:rsidRPr="00000D19">
        <w:t xml:space="preserve"> Department of Children and Families in the Transition Individual Educational Plan process. Local education agencies considering transition services during the Individual Educational Plan meeting invite representatives from other agencies responsible for providing or paying for transition services, after obtaining permission from the parent, guardian or age-of-majority student. It is essential to effective transition for partner agencies to encourage and support participation in the Transition Individual Educational Plan process.</w:t>
      </w:r>
    </w:p>
    <w:p w14:paraId="3077D531" w14:textId="51012139" w:rsidR="00691918" w:rsidRPr="00000D19" w:rsidRDefault="00691918" w:rsidP="00D63204">
      <w:pPr>
        <w:spacing w:after="0" w:line="240" w:lineRule="auto"/>
        <w:ind w:left="90"/>
      </w:pPr>
      <w:r w:rsidRPr="00000D19">
        <w:t>If the agency representative is unable to attend the meeting, the school attempts to find a replacement. If the agency representative will not attend the meeting, the school researches alternative methods to provide for the student’s transition needs. The local education agency must reconvene the Transition Individual Educational Plan team to identify alternative strategies for providing a student’s transition needs if an agency fails to do so.</w:t>
      </w:r>
    </w:p>
    <w:p w14:paraId="003A9318" w14:textId="77777777" w:rsidR="00691918" w:rsidRPr="00000D19" w:rsidRDefault="00691918" w:rsidP="00D63204">
      <w:pPr>
        <w:spacing w:after="0" w:line="240" w:lineRule="auto"/>
        <w:ind w:left="90"/>
      </w:pPr>
    </w:p>
    <w:p w14:paraId="6C1198EE" w14:textId="6DD13375" w:rsidR="00EA7458" w:rsidRPr="00000D19" w:rsidRDefault="00691918" w:rsidP="00D63204">
      <w:pPr>
        <w:spacing w:line="240" w:lineRule="auto"/>
        <w:ind w:left="90"/>
        <w:rPr>
          <w:rFonts w:cs="Calibri"/>
          <w:sz w:val="14"/>
          <w:szCs w:val="14"/>
        </w:rPr>
      </w:pPr>
      <w:r w:rsidRPr="00000D19">
        <w:t>The FDBS enhanced the AWARE Case Management System to collect and track transition data required by the Rehabilitation Services Administration. The enhancements will enable FDBS to conduct differential analysis and tracking to better evaluate agency performance and identify how to best improve service delivery and outcomes for students with disabilities.</w:t>
      </w:r>
    </w:p>
    <w:p w14:paraId="7A24D33A" w14:textId="77777777" w:rsidR="00EA7458" w:rsidRPr="00000D19" w:rsidRDefault="00EA7458" w:rsidP="00D63204">
      <w:pPr>
        <w:widowControl w:val="0"/>
        <w:numPr>
          <w:ilvl w:val="0"/>
          <w:numId w:val="50"/>
        </w:numPr>
        <w:tabs>
          <w:tab w:val="left" w:pos="828"/>
        </w:tabs>
        <w:spacing w:before="50" w:after="0" w:line="240" w:lineRule="auto"/>
        <w:outlineLvl w:val="1"/>
        <w:rPr>
          <w:sz w:val="26"/>
          <w:szCs w:val="26"/>
        </w:rPr>
      </w:pPr>
      <w:bookmarkStart w:id="171" w:name="(e)_Cooperative_Agreements_with_Private_"/>
      <w:bookmarkStart w:id="172" w:name="(f)_Cooperative_Agreements_for_the_Provi"/>
      <w:bookmarkStart w:id="173" w:name="_bookmark105"/>
      <w:bookmarkEnd w:id="171"/>
      <w:bookmarkEnd w:id="172"/>
      <w:bookmarkEnd w:id="173"/>
      <w:r w:rsidRPr="00000D19">
        <w:rPr>
          <w:b/>
          <w:bCs/>
          <w:color w:val="295CA3"/>
          <w:w w:val="110"/>
          <w:sz w:val="26"/>
          <w:szCs w:val="26"/>
        </w:rPr>
        <w:t>Cooperative Agreements with Private Nonprofit</w:t>
      </w:r>
      <w:r w:rsidRPr="00000D19">
        <w:rPr>
          <w:b/>
          <w:bCs/>
          <w:color w:val="295CA3"/>
          <w:spacing w:val="-7"/>
          <w:w w:val="110"/>
          <w:sz w:val="26"/>
          <w:szCs w:val="26"/>
        </w:rPr>
        <w:t xml:space="preserve"> </w:t>
      </w:r>
      <w:r w:rsidRPr="00000D19">
        <w:rPr>
          <w:b/>
          <w:bCs/>
          <w:color w:val="295CA3"/>
          <w:w w:val="110"/>
          <w:sz w:val="26"/>
          <w:szCs w:val="26"/>
        </w:rPr>
        <w:t>Organizations</w:t>
      </w:r>
    </w:p>
    <w:p w14:paraId="28253BBD" w14:textId="5E671BE7" w:rsidR="007855D7" w:rsidRPr="00000D19" w:rsidRDefault="007A36E1" w:rsidP="00D63204">
      <w:pPr>
        <w:spacing w:line="240" w:lineRule="auto"/>
        <w:ind w:left="90"/>
      </w:pPr>
      <w:r w:rsidRPr="00000D19">
        <w:br/>
      </w:r>
      <w:r w:rsidR="007855D7" w:rsidRPr="00000D19">
        <w:t>FDBS contracts with private non-profit organizations for</w:t>
      </w:r>
      <w:r w:rsidR="00A10E3D">
        <w:t xml:space="preserve"> specialized services for individuals who are blind. The primary services include </w:t>
      </w:r>
      <w:r w:rsidR="00C84D48" w:rsidRPr="00C84D48">
        <w:t>vocational rehabilitation, pre-employment transition, transition, supported employment and rehabilitation engineering</w:t>
      </w:r>
      <w:r w:rsidR="005E7C49">
        <w:t xml:space="preserve">. </w:t>
      </w:r>
      <w:r w:rsidR="007855D7" w:rsidRPr="00000D19">
        <w:t>All new vendors/providers, whether through a contractual or vendor relationship, must go through a registration and approval process. FDBS reviews the qualifications of vendors to ensure the quality of services and the safety of the public. FDBS conducts employment verifications on all customer placements facilitated by vendors/contract providers.</w:t>
      </w:r>
    </w:p>
    <w:p w14:paraId="37717F07" w14:textId="6D68B19D" w:rsidR="007855D7" w:rsidRPr="00000D19" w:rsidRDefault="007855D7" w:rsidP="00D63204">
      <w:pPr>
        <w:spacing w:line="240" w:lineRule="auto"/>
        <w:ind w:left="90"/>
      </w:pPr>
      <w:r w:rsidRPr="00000D19">
        <w:t xml:space="preserve">Policy 2.02 Informed Choice ensures customers select qualified service providers. Customers are informed if the provider has employees experienced in working with special disability populations, foreign languages and other </w:t>
      </w:r>
      <w:r w:rsidRPr="00000D19">
        <w:lastRenderedPageBreak/>
        <w:t>communication skills. FDBS customers choose necessary services, service providers and the setting in which to receive the services, as specified in the Individualized Plan for Employment.</w:t>
      </w:r>
    </w:p>
    <w:p w14:paraId="18230052" w14:textId="62997450" w:rsidR="007855D7" w:rsidRPr="00000D19" w:rsidRDefault="007855D7" w:rsidP="00D63204">
      <w:pPr>
        <w:spacing w:line="240" w:lineRule="auto"/>
        <w:ind w:left="90"/>
      </w:pPr>
      <w:r w:rsidRPr="00000D19">
        <w:t xml:space="preserve">FDBS has </w:t>
      </w:r>
      <w:r w:rsidR="007A36E1" w:rsidRPr="00000D19">
        <w:t xml:space="preserve">32 </w:t>
      </w:r>
      <w:r w:rsidRPr="00000D19">
        <w:t>contracts which include vocational rehabilitation,</w:t>
      </w:r>
      <w:r w:rsidR="0090146A">
        <w:t xml:space="preserve"> pre-employment transition,</w:t>
      </w:r>
      <w:r w:rsidRPr="00000D19">
        <w:t xml:space="preserve"> transition, supported employment and rehabilitation engineering services. FDBS has collaborative, non-contractual arrangements with other non-profit organizations that provide referrals, vocational rehabilitation services and comparable benefits. </w:t>
      </w:r>
    </w:p>
    <w:p w14:paraId="220E5E95" w14:textId="188FFA1C" w:rsidR="00EA7458" w:rsidRPr="00000D19" w:rsidRDefault="007855D7" w:rsidP="00D63204">
      <w:pPr>
        <w:spacing w:line="240" w:lineRule="auto"/>
        <w:ind w:left="90"/>
        <w:rPr>
          <w:rFonts w:cs="Calibri"/>
        </w:rPr>
      </w:pPr>
      <w:r w:rsidRPr="00000D19">
        <w:t>FDBS collaborates with the Florida State University Survey Research Laboratory on an innovation and expansion project. This project involves conducting consumer satisfaction surveys to determine satisfaction with program services.</w:t>
      </w:r>
    </w:p>
    <w:p w14:paraId="28EDD2EF" w14:textId="77777777" w:rsidR="00EA7458" w:rsidRPr="00000D19" w:rsidRDefault="00EA7458" w:rsidP="00D63204">
      <w:pPr>
        <w:widowControl w:val="0"/>
        <w:numPr>
          <w:ilvl w:val="0"/>
          <w:numId w:val="50"/>
        </w:numPr>
        <w:tabs>
          <w:tab w:val="left" w:pos="828"/>
        </w:tabs>
        <w:spacing w:after="0" w:line="240" w:lineRule="auto"/>
        <w:outlineLvl w:val="1"/>
        <w:rPr>
          <w:sz w:val="26"/>
          <w:szCs w:val="26"/>
        </w:rPr>
      </w:pPr>
      <w:r w:rsidRPr="00000D19">
        <w:rPr>
          <w:b/>
          <w:bCs/>
          <w:color w:val="295CA3"/>
          <w:w w:val="110"/>
          <w:sz w:val="26"/>
          <w:szCs w:val="26"/>
        </w:rPr>
        <w:t>Cooperative Agreements for the Provision of Supported Employment</w:t>
      </w:r>
      <w:r w:rsidRPr="00000D19">
        <w:rPr>
          <w:b/>
          <w:bCs/>
          <w:color w:val="295CA3"/>
          <w:spacing w:val="-39"/>
          <w:w w:val="110"/>
          <w:sz w:val="26"/>
          <w:szCs w:val="26"/>
        </w:rPr>
        <w:t xml:space="preserve"> </w:t>
      </w:r>
      <w:r w:rsidRPr="00000D19">
        <w:rPr>
          <w:b/>
          <w:bCs/>
          <w:color w:val="295CA3"/>
          <w:w w:val="110"/>
          <w:sz w:val="26"/>
          <w:szCs w:val="26"/>
        </w:rPr>
        <w:t>Services</w:t>
      </w:r>
    </w:p>
    <w:p w14:paraId="587873F2" w14:textId="77777777" w:rsidR="00F01D47" w:rsidRDefault="007A36E1" w:rsidP="00D63204">
      <w:pPr>
        <w:spacing w:line="240" w:lineRule="auto"/>
        <w:ind w:left="90"/>
      </w:pPr>
      <w:r w:rsidRPr="00000D19">
        <w:br/>
        <w:t>The FDBS has a contractual agreement with the Florida Lion’s Conklin Center for the Blind to identify and provide supported employment and extended services for individuals with the most significant disabilities.</w:t>
      </w:r>
      <w:r w:rsidRPr="00000D19">
        <w:br/>
      </w:r>
      <w:r w:rsidRPr="00000D19">
        <w:br/>
        <w:t>FDBS partners with other state agencies and organizations in implementing Employment First, a national effort to ensure individuals with disabilities are offered employment on a preferred basis. Employment First is consistent with the FDBS belief that individuals with disabilities, even the most significant disabilities, can achieve meaningful employment when provided with appropriate supports.</w:t>
      </w:r>
    </w:p>
    <w:p w14:paraId="0B24D555" w14:textId="0A0B2DDA" w:rsidR="00F01D47" w:rsidRDefault="007A36E1" w:rsidP="00D63204">
      <w:pPr>
        <w:spacing w:line="240" w:lineRule="auto"/>
        <w:ind w:left="90"/>
      </w:pPr>
      <w:r w:rsidRPr="00000D19">
        <w:t xml:space="preserve">The </w:t>
      </w:r>
      <w:r w:rsidR="004514BE">
        <w:t>g</w:t>
      </w:r>
      <w:r w:rsidRPr="00000D19">
        <w:t xml:space="preserve">overnor of Florida signed Executive Order 13-284 (Reaffirming Commitment to Employment for Floridians with Disabilities) in October 2013. The Executive Order mandates an Interagency Cooperative Agreement be developed between multiple state agencies and organizations serving persons with disabilities to ensure the continuation of long-term commitment to improving employment outcomes for this population. FDBS is one of the mandated partners and played a significant role in drafting the Executive Order. The Interagency Cooperative Agreement formalizes efforts to improve employment opportunities for persons with disabilities and promote collaboration and service innovation. </w:t>
      </w:r>
      <w:bookmarkStart w:id="174" w:name="(g)_Coordination_with_Employers_"/>
      <w:bookmarkStart w:id="175" w:name="_bookmark106"/>
      <w:bookmarkEnd w:id="174"/>
      <w:bookmarkEnd w:id="175"/>
    </w:p>
    <w:p w14:paraId="61F0BB3E" w14:textId="77777777" w:rsidR="00F01D47" w:rsidRDefault="007A36E1" w:rsidP="00D63204">
      <w:pPr>
        <w:spacing w:line="240" w:lineRule="auto"/>
        <w:ind w:left="90"/>
      </w:pPr>
      <w:r w:rsidRPr="00000D19">
        <w:t>The following Agencies were named as mandatory partners:</w:t>
      </w:r>
    </w:p>
    <w:p w14:paraId="345DCBAD" w14:textId="7624AA76" w:rsidR="00F01D47" w:rsidRDefault="007A36E1" w:rsidP="00D63204">
      <w:pPr>
        <w:pStyle w:val="ListParagraph"/>
        <w:numPr>
          <w:ilvl w:val="0"/>
          <w:numId w:val="54"/>
        </w:numPr>
        <w:spacing w:line="240" w:lineRule="auto"/>
      </w:pPr>
      <w:r w:rsidRPr="00000D19">
        <w:t xml:space="preserve">The Department of Education- Division of Blind Services </w:t>
      </w:r>
    </w:p>
    <w:p w14:paraId="77AC7018" w14:textId="77777777" w:rsidR="00F01D47" w:rsidRDefault="00F01D47" w:rsidP="00D63204">
      <w:pPr>
        <w:pStyle w:val="ListParagraph"/>
        <w:spacing w:line="240" w:lineRule="auto"/>
        <w:ind w:left="810"/>
      </w:pPr>
    </w:p>
    <w:p w14:paraId="546AF25D" w14:textId="0C2AB63F" w:rsidR="00F01D47" w:rsidRDefault="007A36E1" w:rsidP="00D63204">
      <w:pPr>
        <w:pStyle w:val="ListParagraph"/>
        <w:numPr>
          <w:ilvl w:val="0"/>
          <w:numId w:val="54"/>
        </w:numPr>
        <w:spacing w:line="240" w:lineRule="auto"/>
      </w:pPr>
      <w:r w:rsidRPr="00000D19">
        <w:t>The Department of Education- Division of Vocational Rehabilitation</w:t>
      </w:r>
    </w:p>
    <w:p w14:paraId="5D9E4057" w14:textId="77777777" w:rsidR="00F01D47" w:rsidRDefault="00F01D47" w:rsidP="00D63204">
      <w:pPr>
        <w:pStyle w:val="ListParagraph"/>
        <w:spacing w:line="240" w:lineRule="auto"/>
        <w:ind w:left="810"/>
      </w:pPr>
    </w:p>
    <w:p w14:paraId="703C03FF" w14:textId="63021A35" w:rsidR="00F01D47" w:rsidRDefault="007A36E1" w:rsidP="00D63204">
      <w:pPr>
        <w:pStyle w:val="ListParagraph"/>
        <w:numPr>
          <w:ilvl w:val="0"/>
          <w:numId w:val="54"/>
        </w:numPr>
        <w:spacing w:line="240" w:lineRule="auto"/>
      </w:pPr>
      <w:r w:rsidRPr="00000D19">
        <w:t>The Department of Education- Bureau of Exceptional Education and Student Services</w:t>
      </w:r>
    </w:p>
    <w:p w14:paraId="62B43BBE" w14:textId="77777777" w:rsidR="00F01D47" w:rsidRDefault="00F01D47" w:rsidP="00D63204">
      <w:pPr>
        <w:pStyle w:val="ListParagraph"/>
        <w:spacing w:line="240" w:lineRule="auto"/>
        <w:ind w:left="810"/>
      </w:pPr>
    </w:p>
    <w:p w14:paraId="172BDBB3" w14:textId="1AB00188" w:rsidR="007A36E1" w:rsidRDefault="007A36E1" w:rsidP="00D63204">
      <w:pPr>
        <w:pStyle w:val="ListParagraph"/>
        <w:numPr>
          <w:ilvl w:val="0"/>
          <w:numId w:val="54"/>
        </w:numPr>
        <w:spacing w:line="240" w:lineRule="auto"/>
      </w:pPr>
      <w:r w:rsidRPr="00000D19">
        <w:t xml:space="preserve">The Agency for Persons with Disabilities </w:t>
      </w:r>
    </w:p>
    <w:p w14:paraId="6D37897B" w14:textId="77777777" w:rsidR="00F01D47" w:rsidRPr="00000D19" w:rsidRDefault="00F01D47" w:rsidP="00D63204">
      <w:pPr>
        <w:pStyle w:val="ListParagraph"/>
        <w:spacing w:line="240" w:lineRule="auto"/>
        <w:ind w:left="810"/>
      </w:pPr>
    </w:p>
    <w:p w14:paraId="0A032EAC" w14:textId="6DB1D625" w:rsidR="00F01D47" w:rsidRDefault="007A36E1" w:rsidP="00D63204">
      <w:pPr>
        <w:pStyle w:val="ListParagraph"/>
        <w:numPr>
          <w:ilvl w:val="0"/>
          <w:numId w:val="54"/>
        </w:numPr>
        <w:spacing w:line="240" w:lineRule="auto"/>
      </w:pPr>
      <w:r w:rsidRPr="00F01D47">
        <w:t>The Department of Children and Families- Substance Abuse and Mental Health</w:t>
      </w:r>
    </w:p>
    <w:p w14:paraId="5A714E37" w14:textId="77777777" w:rsidR="00F01D47" w:rsidRDefault="00F01D47" w:rsidP="00D63204">
      <w:pPr>
        <w:pStyle w:val="ListParagraph"/>
        <w:spacing w:line="240" w:lineRule="auto"/>
        <w:ind w:left="810"/>
      </w:pPr>
    </w:p>
    <w:p w14:paraId="6BAD6706" w14:textId="35A10064" w:rsidR="00F01D47" w:rsidRDefault="007A36E1" w:rsidP="00D63204">
      <w:pPr>
        <w:pStyle w:val="ListParagraph"/>
        <w:numPr>
          <w:ilvl w:val="0"/>
          <w:numId w:val="54"/>
        </w:numPr>
        <w:spacing w:line="240" w:lineRule="auto"/>
      </w:pPr>
      <w:r w:rsidRPr="00000D19">
        <w:t xml:space="preserve">The Department of Economic Opportunity </w:t>
      </w:r>
    </w:p>
    <w:p w14:paraId="7C98D590" w14:textId="77777777" w:rsidR="00F01D47" w:rsidRDefault="00F01D47" w:rsidP="00D63204">
      <w:pPr>
        <w:pStyle w:val="ListParagraph"/>
        <w:spacing w:line="240" w:lineRule="auto"/>
        <w:ind w:left="810"/>
      </w:pPr>
    </w:p>
    <w:p w14:paraId="709844AA" w14:textId="1E15FEB2" w:rsidR="00F01D47" w:rsidRDefault="007A36E1" w:rsidP="00D63204">
      <w:pPr>
        <w:pStyle w:val="ListParagraph"/>
        <w:numPr>
          <w:ilvl w:val="0"/>
          <w:numId w:val="54"/>
        </w:numPr>
        <w:spacing w:line="240" w:lineRule="auto"/>
      </w:pPr>
      <w:r w:rsidRPr="00000D19">
        <w:t xml:space="preserve">CareerSource Florida </w:t>
      </w:r>
    </w:p>
    <w:p w14:paraId="4CD8BCC5" w14:textId="77777777" w:rsidR="00F01D47" w:rsidRDefault="00F01D47" w:rsidP="00D63204">
      <w:pPr>
        <w:pStyle w:val="ListParagraph"/>
        <w:spacing w:line="240" w:lineRule="auto"/>
        <w:ind w:left="810"/>
      </w:pPr>
    </w:p>
    <w:p w14:paraId="7A04F2A9" w14:textId="1481A710" w:rsidR="007A36E1" w:rsidRPr="00F01D47" w:rsidRDefault="007A36E1" w:rsidP="00D63204">
      <w:pPr>
        <w:pStyle w:val="ListParagraph"/>
        <w:numPr>
          <w:ilvl w:val="0"/>
          <w:numId w:val="54"/>
        </w:numPr>
        <w:spacing w:line="240" w:lineRule="auto"/>
        <w:rPr>
          <w:sz w:val="26"/>
          <w:szCs w:val="26"/>
        </w:rPr>
      </w:pPr>
      <w:r w:rsidRPr="00000D19">
        <w:t xml:space="preserve">The Florida Developmental Disabilities Council </w:t>
      </w:r>
    </w:p>
    <w:p w14:paraId="56730122" w14:textId="77777777" w:rsidR="00F01D47" w:rsidRPr="00F01D47" w:rsidRDefault="00F01D47" w:rsidP="00F01D47">
      <w:pPr>
        <w:pStyle w:val="ListParagraph"/>
        <w:rPr>
          <w:sz w:val="26"/>
          <w:szCs w:val="26"/>
        </w:rPr>
      </w:pPr>
    </w:p>
    <w:p w14:paraId="4CF2C51D" w14:textId="40940815" w:rsidR="00F01D47" w:rsidRDefault="00F01D47" w:rsidP="00D63204">
      <w:pPr>
        <w:pStyle w:val="ListParagraph"/>
        <w:spacing w:line="240" w:lineRule="auto"/>
        <w:ind w:left="810"/>
        <w:rPr>
          <w:sz w:val="26"/>
          <w:szCs w:val="26"/>
        </w:rPr>
      </w:pPr>
    </w:p>
    <w:p w14:paraId="19A0FB2E" w14:textId="6EC4A6BF" w:rsidR="00EA7458" w:rsidRPr="00000D19" w:rsidRDefault="00F01D47" w:rsidP="00D63204">
      <w:pPr>
        <w:widowControl w:val="0"/>
        <w:numPr>
          <w:ilvl w:val="0"/>
          <w:numId w:val="50"/>
        </w:numPr>
        <w:tabs>
          <w:tab w:val="left" w:pos="828"/>
        </w:tabs>
        <w:spacing w:before="138" w:after="0" w:line="240" w:lineRule="auto"/>
        <w:outlineLvl w:val="1"/>
        <w:rPr>
          <w:rFonts w:cstheme="minorHAnsi"/>
        </w:rPr>
      </w:pPr>
      <w:r>
        <w:rPr>
          <w:b/>
          <w:bCs/>
          <w:color w:val="295CA3"/>
          <w:w w:val="105"/>
          <w:sz w:val="26"/>
          <w:szCs w:val="26"/>
        </w:rPr>
        <w:lastRenderedPageBreak/>
        <w:t xml:space="preserve"> </w:t>
      </w:r>
      <w:r w:rsidR="00EA7458" w:rsidRPr="00000D19">
        <w:rPr>
          <w:b/>
          <w:bCs/>
          <w:color w:val="295CA3"/>
          <w:w w:val="105"/>
          <w:sz w:val="26"/>
          <w:szCs w:val="26"/>
        </w:rPr>
        <w:t>Coordination with</w:t>
      </w:r>
      <w:r w:rsidR="00EA7458" w:rsidRPr="00000D19">
        <w:rPr>
          <w:b/>
          <w:bCs/>
          <w:color w:val="295CA3"/>
          <w:spacing w:val="9"/>
          <w:w w:val="105"/>
          <w:sz w:val="26"/>
          <w:szCs w:val="26"/>
        </w:rPr>
        <w:t xml:space="preserve"> </w:t>
      </w:r>
      <w:r w:rsidR="00EA7458" w:rsidRPr="00000D19">
        <w:rPr>
          <w:b/>
          <w:bCs/>
          <w:color w:val="295CA3"/>
          <w:w w:val="105"/>
          <w:sz w:val="26"/>
          <w:szCs w:val="26"/>
        </w:rPr>
        <w:t>Employers</w:t>
      </w:r>
    </w:p>
    <w:p w14:paraId="311024CB" w14:textId="517374EE" w:rsidR="00F01D47" w:rsidRDefault="007A36E1" w:rsidP="00D63204">
      <w:pPr>
        <w:spacing w:line="240" w:lineRule="auto"/>
        <w:ind w:left="90"/>
        <w:rPr>
          <w:rFonts w:cstheme="minorHAnsi"/>
        </w:rPr>
      </w:pPr>
      <w:r w:rsidRPr="00000D19">
        <w:rPr>
          <w:color w:val="FF0000"/>
        </w:rPr>
        <w:br/>
      </w:r>
      <w:r w:rsidRPr="00000D19">
        <w:rPr>
          <w:rFonts w:cstheme="minorHAnsi"/>
        </w:rPr>
        <w:t xml:space="preserve">The FDBS works collaboratively with the statewide workforce systems. </w:t>
      </w:r>
      <w:r w:rsidR="00AC6FE0">
        <w:rPr>
          <w:rFonts w:cstheme="minorHAnsi"/>
        </w:rPr>
        <w:t>The Agency Director</w:t>
      </w:r>
      <w:r w:rsidRPr="00000D19">
        <w:rPr>
          <w:rFonts w:cstheme="minorHAnsi"/>
        </w:rPr>
        <w:t xml:space="preserve"> serves on </w:t>
      </w:r>
      <w:r w:rsidR="00AC6FE0">
        <w:rPr>
          <w:rFonts w:cstheme="minorHAnsi"/>
        </w:rPr>
        <w:t xml:space="preserve">the statewide </w:t>
      </w:r>
      <w:r w:rsidRPr="00000D19">
        <w:rPr>
          <w:rFonts w:cstheme="minorHAnsi"/>
        </w:rPr>
        <w:t>workforce board</w:t>
      </w:r>
      <w:r w:rsidR="00C338E1">
        <w:rPr>
          <w:rFonts w:cstheme="minorHAnsi"/>
        </w:rPr>
        <w:t>, local district administrators collaborate with local boards and FDBS</w:t>
      </w:r>
      <w:r w:rsidRPr="00000D19">
        <w:rPr>
          <w:rFonts w:cstheme="minorHAnsi"/>
        </w:rPr>
        <w:t xml:space="preserve"> employees visit workforce centers and other venues. The following strategies will increase partnerships with the statewide workforce investment system:</w:t>
      </w:r>
    </w:p>
    <w:p w14:paraId="305B910B" w14:textId="27CEFDD6" w:rsidR="00F01D47" w:rsidRDefault="007A36E1" w:rsidP="00D63204">
      <w:pPr>
        <w:pStyle w:val="ListParagraph"/>
        <w:numPr>
          <w:ilvl w:val="0"/>
          <w:numId w:val="55"/>
        </w:numPr>
        <w:spacing w:line="240" w:lineRule="auto"/>
        <w:rPr>
          <w:rFonts w:cstheme="minorHAnsi"/>
        </w:rPr>
      </w:pPr>
      <w:r w:rsidRPr="00F01D47">
        <w:rPr>
          <w:rFonts w:cstheme="minorHAnsi"/>
        </w:rPr>
        <w:t xml:space="preserve">Work with Florida’s one-stop career centers to ensure centers meet accessibility needs of clients both in construction (universal design) and equipment. FDBS works with the career centers to ensure appropriate and client-specific assistive technology is consistent with the needs of all clients. </w:t>
      </w:r>
    </w:p>
    <w:p w14:paraId="4AECC991" w14:textId="77777777" w:rsidR="00F01D47" w:rsidRPr="00F01D47" w:rsidRDefault="00F01D47" w:rsidP="00D63204">
      <w:pPr>
        <w:pStyle w:val="ListParagraph"/>
        <w:spacing w:line="240" w:lineRule="auto"/>
        <w:ind w:left="810"/>
        <w:rPr>
          <w:rFonts w:cstheme="minorHAnsi"/>
        </w:rPr>
      </w:pPr>
    </w:p>
    <w:p w14:paraId="5F4DCE07" w14:textId="6855248B" w:rsidR="00F01D47" w:rsidRDefault="007A36E1" w:rsidP="00D63204">
      <w:pPr>
        <w:pStyle w:val="ListParagraph"/>
        <w:numPr>
          <w:ilvl w:val="0"/>
          <w:numId w:val="55"/>
        </w:numPr>
        <w:spacing w:line="240" w:lineRule="auto"/>
        <w:rPr>
          <w:rFonts w:cstheme="minorHAnsi"/>
        </w:rPr>
      </w:pPr>
      <w:r w:rsidRPr="00F01D47">
        <w:rPr>
          <w:rFonts w:cstheme="minorHAnsi"/>
        </w:rPr>
        <w:t xml:space="preserve">Educate one-stop career centers on the importance of establishing centers in areas that are easily accessible to public transportation. </w:t>
      </w:r>
    </w:p>
    <w:p w14:paraId="2567CA0E" w14:textId="77777777" w:rsidR="00F01D47" w:rsidRPr="00F01D47" w:rsidRDefault="00F01D47" w:rsidP="00D63204">
      <w:pPr>
        <w:pStyle w:val="ListParagraph"/>
        <w:spacing w:line="240" w:lineRule="auto"/>
        <w:ind w:left="810"/>
        <w:rPr>
          <w:rFonts w:cstheme="minorHAnsi"/>
        </w:rPr>
      </w:pPr>
    </w:p>
    <w:p w14:paraId="64364530" w14:textId="3EE90BD3" w:rsidR="00F01D47" w:rsidRDefault="007A36E1" w:rsidP="00D63204">
      <w:pPr>
        <w:pStyle w:val="ListParagraph"/>
        <w:numPr>
          <w:ilvl w:val="0"/>
          <w:numId w:val="55"/>
        </w:numPr>
        <w:spacing w:line="240" w:lineRule="auto"/>
        <w:rPr>
          <w:rFonts w:cstheme="minorHAnsi"/>
        </w:rPr>
      </w:pPr>
      <w:r w:rsidRPr="00F01D47">
        <w:rPr>
          <w:rFonts w:cstheme="minorHAnsi"/>
        </w:rPr>
        <w:t xml:space="preserve">Work to ensure disability coordinators are cross trained on the processes of core partners. FDBS collaborates with the CareerSource </w:t>
      </w:r>
      <w:r w:rsidR="00A21B89">
        <w:rPr>
          <w:rFonts w:cstheme="minorHAnsi"/>
        </w:rPr>
        <w:t xml:space="preserve">Florida </w:t>
      </w:r>
      <w:r w:rsidRPr="00F01D47">
        <w:rPr>
          <w:rFonts w:cstheme="minorHAnsi"/>
        </w:rPr>
        <w:t>Centers and shares information about its services and the referral process with the Disability Navigators at the CareerSource</w:t>
      </w:r>
      <w:r w:rsidR="00B12609">
        <w:rPr>
          <w:rFonts w:cstheme="minorHAnsi"/>
        </w:rPr>
        <w:t xml:space="preserve"> Florida </w:t>
      </w:r>
      <w:r w:rsidRPr="00F01D47">
        <w:rPr>
          <w:rFonts w:cstheme="minorHAnsi"/>
        </w:rPr>
        <w:t>Centers.</w:t>
      </w:r>
    </w:p>
    <w:p w14:paraId="0EBDD662" w14:textId="77777777" w:rsidR="00F01D47" w:rsidRPr="00F01D47" w:rsidRDefault="00F01D47" w:rsidP="00D63204">
      <w:pPr>
        <w:pStyle w:val="ListParagraph"/>
        <w:spacing w:line="240" w:lineRule="auto"/>
        <w:ind w:left="810"/>
        <w:rPr>
          <w:rFonts w:cstheme="minorHAnsi"/>
        </w:rPr>
      </w:pPr>
    </w:p>
    <w:p w14:paraId="21A9A1C4" w14:textId="5E863A48" w:rsidR="00F01D47" w:rsidRDefault="007A36E1" w:rsidP="00D63204">
      <w:pPr>
        <w:pStyle w:val="ListParagraph"/>
        <w:numPr>
          <w:ilvl w:val="0"/>
          <w:numId w:val="55"/>
        </w:numPr>
        <w:spacing w:line="240" w:lineRule="auto"/>
        <w:rPr>
          <w:rFonts w:cstheme="minorHAnsi"/>
        </w:rPr>
      </w:pPr>
      <w:r w:rsidRPr="00F01D47">
        <w:rPr>
          <w:rFonts w:cstheme="minorHAnsi"/>
        </w:rPr>
        <w:t xml:space="preserve">Communicate, strategize and execute agreed upon methods of meeting the needs of individuals with disabilities. FDBS participates in regularly scheduled conference calls and meetings. FDBS solicits feedback from core partners regarding contracts and policies. </w:t>
      </w:r>
    </w:p>
    <w:p w14:paraId="5E76D4DD" w14:textId="77777777" w:rsidR="00F01D47" w:rsidRPr="00F01D47" w:rsidRDefault="00F01D47" w:rsidP="00D63204">
      <w:pPr>
        <w:pStyle w:val="ListParagraph"/>
        <w:spacing w:line="240" w:lineRule="auto"/>
        <w:ind w:left="810"/>
        <w:rPr>
          <w:rFonts w:cstheme="minorHAnsi"/>
        </w:rPr>
      </w:pPr>
    </w:p>
    <w:p w14:paraId="747FB8F6" w14:textId="413B2D7D" w:rsidR="00F01D47" w:rsidRDefault="007A36E1" w:rsidP="00D63204">
      <w:pPr>
        <w:pStyle w:val="ListParagraph"/>
        <w:numPr>
          <w:ilvl w:val="0"/>
          <w:numId w:val="55"/>
        </w:numPr>
        <w:spacing w:line="240" w:lineRule="auto"/>
        <w:rPr>
          <w:rFonts w:cstheme="minorHAnsi"/>
        </w:rPr>
      </w:pPr>
      <w:r w:rsidRPr="00F01D47">
        <w:rPr>
          <w:rFonts w:cstheme="minorHAnsi"/>
        </w:rPr>
        <w:t xml:space="preserve">Identify opportunities to expand services/programs to meet ongoing needs of individuals with disabilities. FDBS has an online application to increase accessibility to individuals who may qualify for services. FDBS created multiple initiatives throughout the state to increase referrals, such as the See Different initiative and FDBS 75 Years Celebrations. </w:t>
      </w:r>
      <w:r w:rsidR="00C64A81">
        <w:rPr>
          <w:rFonts w:cstheme="minorHAnsi"/>
        </w:rPr>
        <w:t>S</w:t>
      </w:r>
      <w:r w:rsidRPr="00F01D47">
        <w:rPr>
          <w:rFonts w:cstheme="minorHAnsi"/>
        </w:rPr>
        <w:t>everal PSAs were shown throughout the state via Comcast. The revised version of Policy 2.16 Timeliness of Services, effective October 18, 2017, includes language to prioritize services to individuals at risk of becoming unemployed</w:t>
      </w:r>
      <w:r w:rsidR="00B4168F">
        <w:rPr>
          <w:rFonts w:cstheme="minorHAnsi"/>
        </w:rPr>
        <w:t xml:space="preserve">. </w:t>
      </w:r>
      <w:r w:rsidRPr="00F01D47">
        <w:rPr>
          <w:rFonts w:cstheme="minorHAnsi"/>
        </w:rPr>
        <w:t xml:space="preserve"> </w:t>
      </w:r>
    </w:p>
    <w:p w14:paraId="21A532D8" w14:textId="77777777" w:rsidR="00F01D47" w:rsidRPr="00F01D47" w:rsidRDefault="00F01D47" w:rsidP="00F01D47">
      <w:pPr>
        <w:pStyle w:val="ListParagraph"/>
        <w:rPr>
          <w:rFonts w:cstheme="minorHAnsi"/>
        </w:rPr>
      </w:pPr>
    </w:p>
    <w:p w14:paraId="5DD45311" w14:textId="70EB116E" w:rsidR="00F01D47" w:rsidRDefault="007A36E1" w:rsidP="00D63204">
      <w:pPr>
        <w:pStyle w:val="ListParagraph"/>
        <w:numPr>
          <w:ilvl w:val="0"/>
          <w:numId w:val="55"/>
        </w:numPr>
        <w:spacing w:line="240" w:lineRule="auto"/>
        <w:rPr>
          <w:rFonts w:cstheme="minorHAnsi"/>
        </w:rPr>
      </w:pPr>
      <w:r w:rsidRPr="00F01D47">
        <w:rPr>
          <w:rFonts w:cstheme="minorHAnsi"/>
        </w:rPr>
        <w:t xml:space="preserve">A memorandum of understanding with the local board, relating to the operation of the one-stop career center system. MOUs are in with each </w:t>
      </w:r>
      <w:r w:rsidR="001576E6">
        <w:rPr>
          <w:rFonts w:cstheme="minorHAnsi"/>
        </w:rPr>
        <w:t xml:space="preserve">CareerSource Florida </w:t>
      </w:r>
      <w:r w:rsidRPr="00F01D47">
        <w:rPr>
          <w:rFonts w:cstheme="minorHAnsi"/>
        </w:rPr>
        <w:t>local</w:t>
      </w:r>
      <w:r w:rsidR="001576E6">
        <w:rPr>
          <w:rFonts w:cstheme="minorHAnsi"/>
        </w:rPr>
        <w:t xml:space="preserve"> board</w:t>
      </w:r>
      <w:r w:rsidRPr="00F01D47">
        <w:rPr>
          <w:rFonts w:cstheme="minorHAnsi"/>
        </w:rPr>
        <w:t xml:space="preserve"> to ensure individuals who are blind and visually impaired fully participate in the workforce system. </w:t>
      </w:r>
    </w:p>
    <w:p w14:paraId="0727293B" w14:textId="77777777" w:rsidR="00F01D47" w:rsidRPr="00F01D47" w:rsidRDefault="00F01D47" w:rsidP="00F01D47">
      <w:pPr>
        <w:pStyle w:val="ListParagraph"/>
        <w:rPr>
          <w:rFonts w:cstheme="minorHAnsi"/>
        </w:rPr>
      </w:pPr>
    </w:p>
    <w:p w14:paraId="72BEEE17" w14:textId="1F264D01" w:rsidR="00F01D47" w:rsidRDefault="007A36E1" w:rsidP="00D63204">
      <w:pPr>
        <w:pStyle w:val="ListParagraph"/>
        <w:numPr>
          <w:ilvl w:val="0"/>
          <w:numId w:val="55"/>
        </w:numPr>
        <w:spacing w:line="240" w:lineRule="auto"/>
        <w:rPr>
          <w:rFonts w:cstheme="minorHAnsi"/>
        </w:rPr>
      </w:pPr>
      <w:r w:rsidRPr="00F01D47">
        <w:rPr>
          <w:rFonts w:cstheme="minorHAnsi"/>
        </w:rPr>
        <w:t xml:space="preserve">Participate in the operation of the one-stop career center system consistent with the terms of the </w:t>
      </w:r>
      <w:r w:rsidR="00D45CCE">
        <w:rPr>
          <w:rFonts w:cstheme="minorHAnsi"/>
        </w:rPr>
        <w:t>M</w:t>
      </w:r>
      <w:r w:rsidRPr="00F01D47">
        <w:rPr>
          <w:rFonts w:cstheme="minorHAnsi"/>
        </w:rPr>
        <w:t xml:space="preserve">emorandum of </w:t>
      </w:r>
      <w:r w:rsidR="00D45CCE">
        <w:rPr>
          <w:rFonts w:cstheme="minorHAnsi"/>
        </w:rPr>
        <w:t>U</w:t>
      </w:r>
      <w:r w:rsidRPr="00F01D47">
        <w:rPr>
          <w:rFonts w:cstheme="minorHAnsi"/>
        </w:rPr>
        <w:t>nderstanding and legal requirements</w:t>
      </w:r>
      <w:r w:rsidR="005E7C49">
        <w:rPr>
          <w:rFonts w:cstheme="minorHAnsi"/>
        </w:rPr>
        <w:t xml:space="preserve">. </w:t>
      </w:r>
      <w:r w:rsidRPr="00F01D47">
        <w:rPr>
          <w:rFonts w:cstheme="minorHAnsi"/>
        </w:rPr>
        <w:t>FDBS provides Employment Placement Specialists with marketing tools/toolkit to use when meeting with CareerSource</w:t>
      </w:r>
      <w:r w:rsidR="001576E6">
        <w:rPr>
          <w:rFonts w:cstheme="minorHAnsi"/>
        </w:rPr>
        <w:t xml:space="preserve"> Florida</w:t>
      </w:r>
      <w:r w:rsidRPr="00F01D47">
        <w:rPr>
          <w:rFonts w:cstheme="minorHAnsi"/>
        </w:rPr>
        <w:t xml:space="preserve"> staff. CareerSource</w:t>
      </w:r>
      <w:r w:rsidR="001576E6">
        <w:rPr>
          <w:rFonts w:cstheme="minorHAnsi"/>
        </w:rPr>
        <w:t xml:space="preserve"> Florida</w:t>
      </w:r>
      <w:r w:rsidRPr="00F01D47">
        <w:rPr>
          <w:rFonts w:cstheme="minorHAnsi"/>
        </w:rPr>
        <w:t xml:space="preserve"> staff receive education regarding FDBS programs/services with the goal of increasing opportunities for clients seeking employment.</w:t>
      </w:r>
    </w:p>
    <w:p w14:paraId="68A7BAC8" w14:textId="77777777" w:rsidR="00F01D47" w:rsidRPr="00F01D47" w:rsidRDefault="00F01D47" w:rsidP="00F01D47">
      <w:pPr>
        <w:pStyle w:val="ListParagraph"/>
        <w:rPr>
          <w:rFonts w:cstheme="minorHAnsi"/>
        </w:rPr>
      </w:pPr>
    </w:p>
    <w:p w14:paraId="12B10B4E" w14:textId="1607ADCB" w:rsidR="00D6087F" w:rsidRDefault="00D6087F" w:rsidP="00D6087F">
      <w:pPr>
        <w:pStyle w:val="ListParagraph"/>
        <w:numPr>
          <w:ilvl w:val="0"/>
          <w:numId w:val="55"/>
        </w:numPr>
        <w:rPr>
          <w:rFonts w:cstheme="minorHAnsi"/>
        </w:rPr>
      </w:pPr>
      <w:r w:rsidRPr="00D6087F">
        <w:rPr>
          <w:rFonts w:cstheme="minorHAnsi"/>
        </w:rPr>
        <w:t xml:space="preserve">Continue representation on the state board and gain membership on local boards. </w:t>
      </w:r>
    </w:p>
    <w:p w14:paraId="751822F9" w14:textId="77777777" w:rsidR="00D6087F" w:rsidRPr="00D6087F" w:rsidRDefault="00D6087F" w:rsidP="00D6087F">
      <w:pPr>
        <w:pStyle w:val="ListParagraph"/>
        <w:rPr>
          <w:rFonts w:cstheme="minorHAnsi"/>
        </w:rPr>
      </w:pPr>
    </w:p>
    <w:p w14:paraId="4C1AE2D6" w14:textId="76B9B717" w:rsidR="00F01D47" w:rsidRPr="00D6087F" w:rsidRDefault="00D6087F" w:rsidP="00D6087F">
      <w:pPr>
        <w:pStyle w:val="ListParagraph"/>
        <w:numPr>
          <w:ilvl w:val="0"/>
          <w:numId w:val="55"/>
        </w:numPr>
        <w:rPr>
          <w:rFonts w:cstheme="minorHAnsi"/>
        </w:rPr>
      </w:pPr>
      <w:r w:rsidRPr="00D6087F">
        <w:rPr>
          <w:rFonts w:cstheme="minorHAnsi"/>
        </w:rPr>
        <w:t xml:space="preserve">Continue collaboration with LWDB partners to fully engage the state’s employee recruitment, retention and training services. </w:t>
      </w:r>
    </w:p>
    <w:p w14:paraId="1198E2CD" w14:textId="77777777" w:rsidR="00F01D47" w:rsidRPr="00F01D47" w:rsidRDefault="00F01D47" w:rsidP="00D63204">
      <w:pPr>
        <w:pStyle w:val="ListParagraph"/>
        <w:spacing w:line="240" w:lineRule="auto"/>
        <w:ind w:left="810"/>
        <w:rPr>
          <w:rFonts w:cstheme="minorHAnsi"/>
        </w:rPr>
      </w:pPr>
    </w:p>
    <w:p w14:paraId="27575DC0" w14:textId="0BBED1B0" w:rsidR="007A36E1" w:rsidRPr="00F01D47" w:rsidRDefault="007A36E1" w:rsidP="00D63204">
      <w:pPr>
        <w:pStyle w:val="NormalWeb"/>
        <w:numPr>
          <w:ilvl w:val="0"/>
          <w:numId w:val="55"/>
        </w:numPr>
        <w:rPr>
          <w:rFonts w:asciiTheme="minorHAnsi" w:hAnsiTheme="minorHAnsi" w:cstheme="minorHAnsi"/>
          <w:sz w:val="22"/>
          <w:szCs w:val="22"/>
        </w:rPr>
      </w:pPr>
      <w:r w:rsidRPr="00F01D47">
        <w:rPr>
          <w:rFonts w:asciiTheme="minorHAnsi" w:hAnsiTheme="minorHAnsi" w:cstheme="minorHAnsi"/>
          <w:sz w:val="22"/>
          <w:szCs w:val="22"/>
        </w:rPr>
        <w:lastRenderedPageBreak/>
        <w:t>Recommend career centers use universal design principles in their operations</w:t>
      </w:r>
      <w:r w:rsidR="00BE1DA0" w:rsidRPr="00F55C20">
        <w:rPr>
          <w:rFonts w:asciiTheme="minorHAnsi" w:hAnsiTheme="minorHAnsi" w:cstheme="minorHAnsi"/>
          <w:sz w:val="22"/>
          <w:szCs w:val="22"/>
        </w:rPr>
        <w:t xml:space="preserve"> </w:t>
      </w:r>
      <w:r w:rsidRPr="00F01D47">
        <w:rPr>
          <w:rFonts w:asciiTheme="minorHAnsi" w:hAnsiTheme="minorHAnsi" w:cstheme="minorHAnsi"/>
          <w:sz w:val="22"/>
          <w:szCs w:val="22"/>
        </w:rPr>
        <w:t>and maintain</w:t>
      </w:r>
      <w:r w:rsidRPr="00F55C20">
        <w:rPr>
          <w:rFonts w:asciiTheme="minorHAnsi" w:hAnsiTheme="minorHAnsi" w:cstheme="minorHAnsi"/>
          <w:sz w:val="22"/>
          <w:szCs w:val="22"/>
        </w:rPr>
        <w:t xml:space="preserve"> </w:t>
      </w:r>
      <w:r w:rsidRPr="00F01D47">
        <w:rPr>
          <w:rFonts w:asciiTheme="minorHAnsi" w:hAnsiTheme="minorHAnsi" w:cstheme="minorHAnsi"/>
          <w:sz w:val="22"/>
          <w:szCs w:val="22"/>
        </w:rPr>
        <w:t>the integrity of systems for unique constituent populations to ensure individuals with disabilities seeking employment are given opportunities to be successful.</w:t>
      </w:r>
    </w:p>
    <w:p w14:paraId="711D05BD" w14:textId="52DA5592" w:rsidR="00671D80" w:rsidRPr="00000D19" w:rsidRDefault="00671D80" w:rsidP="00D63204">
      <w:pPr>
        <w:spacing w:line="240" w:lineRule="auto"/>
        <w:ind w:left="90"/>
        <w:rPr>
          <w:rFonts w:cs="Calibri"/>
          <w:sz w:val="17"/>
          <w:szCs w:val="17"/>
        </w:rPr>
      </w:pPr>
      <w:bookmarkStart w:id="176" w:name="(h)_Interagency_Cooperation"/>
      <w:bookmarkStart w:id="177" w:name="_bookmark107"/>
      <w:bookmarkEnd w:id="176"/>
      <w:bookmarkEnd w:id="177"/>
      <w:r w:rsidRPr="00000D19">
        <w:t>The FDBS plans to utilize and implement the identified strategies listed in section (l) to aid in ensuring blind and visually</w:t>
      </w:r>
      <w:r w:rsidR="00A47549">
        <w:t xml:space="preserve"> </w:t>
      </w:r>
      <w:r w:rsidRPr="00000D19">
        <w:t>impaired Floridians have the tools, support and opportunities to achieve success</w:t>
      </w:r>
      <w:r w:rsidR="005E7C49">
        <w:t xml:space="preserve">. </w:t>
      </w:r>
      <w:r w:rsidRPr="00000D19">
        <w:t>These strategies assist FDBS in providing equal access for clients, increasing the number of employers hiring clients, generating FDBS program awareness and strengthening infrastructure. In SFY 2016-2017, FDBS achieved 851 successful employment outcomes, which is well over the performance standard</w:t>
      </w:r>
      <w:r w:rsidR="005E7C49">
        <w:t xml:space="preserve">. </w:t>
      </w:r>
      <w:r w:rsidRPr="00000D19">
        <w:t>FDBS implement</w:t>
      </w:r>
      <w:r w:rsidR="00C442E2">
        <w:t>s</w:t>
      </w:r>
      <w:r w:rsidRPr="00000D19">
        <w:t xml:space="preserve"> strategies </w:t>
      </w:r>
      <w:r w:rsidR="00D84F68">
        <w:t>t</w:t>
      </w:r>
      <w:r w:rsidRPr="00000D19">
        <w:t xml:space="preserve">hat foster success for blind and visually impaired Floridians. </w:t>
      </w:r>
    </w:p>
    <w:p w14:paraId="451F8FBA" w14:textId="533D2515" w:rsidR="00EA7458" w:rsidRPr="00000D19" w:rsidRDefault="00F01D47" w:rsidP="00D63204">
      <w:pPr>
        <w:widowControl w:val="0"/>
        <w:numPr>
          <w:ilvl w:val="0"/>
          <w:numId w:val="50"/>
        </w:numPr>
        <w:tabs>
          <w:tab w:val="left" w:pos="828"/>
        </w:tabs>
        <w:spacing w:after="0" w:line="240" w:lineRule="auto"/>
        <w:outlineLvl w:val="1"/>
        <w:rPr>
          <w:sz w:val="26"/>
          <w:szCs w:val="26"/>
        </w:rPr>
      </w:pPr>
      <w:r>
        <w:rPr>
          <w:b/>
          <w:bCs/>
          <w:color w:val="295CA3"/>
          <w:w w:val="110"/>
          <w:sz w:val="26"/>
          <w:szCs w:val="26"/>
        </w:rPr>
        <w:t xml:space="preserve"> </w:t>
      </w:r>
      <w:r w:rsidR="00EA7458" w:rsidRPr="00000D19">
        <w:rPr>
          <w:b/>
          <w:bCs/>
          <w:color w:val="295CA3"/>
          <w:w w:val="110"/>
          <w:sz w:val="26"/>
          <w:szCs w:val="26"/>
        </w:rPr>
        <w:t>Interagency Cooperation</w:t>
      </w:r>
    </w:p>
    <w:p w14:paraId="12723729" w14:textId="77777777" w:rsidR="009913DD" w:rsidRDefault="00737452" w:rsidP="00D63204">
      <w:pPr>
        <w:spacing w:line="240" w:lineRule="auto"/>
        <w:ind w:left="90"/>
        <w:rPr>
          <w:rFonts w:cstheme="minorHAnsi"/>
        </w:rPr>
      </w:pPr>
      <w:r w:rsidRPr="00000D19">
        <w:rPr>
          <w:color w:val="FF0000"/>
        </w:rPr>
        <w:br/>
      </w:r>
      <w:r w:rsidRPr="00000D19">
        <w:rPr>
          <w:rFonts w:cstheme="minorHAnsi"/>
        </w:rPr>
        <w:t xml:space="preserve">The FDBS partners with community rehabilitation service providers, employers, workforce centers and other partners (e.g., VR, Adult Education, </w:t>
      </w:r>
      <w:r w:rsidR="00C70CCF">
        <w:rPr>
          <w:rFonts w:cstheme="minorHAnsi"/>
        </w:rPr>
        <w:t xml:space="preserve">the </w:t>
      </w:r>
      <w:r w:rsidRPr="00000D19">
        <w:rPr>
          <w:rFonts w:cstheme="minorHAnsi"/>
        </w:rPr>
        <w:t>CareerSource</w:t>
      </w:r>
      <w:r w:rsidR="00C70CCF">
        <w:rPr>
          <w:rFonts w:cstheme="minorHAnsi"/>
        </w:rPr>
        <w:t xml:space="preserve"> Florida network</w:t>
      </w:r>
      <w:r w:rsidRPr="00000D19">
        <w:rPr>
          <w:rFonts w:cstheme="minorHAnsi"/>
        </w:rPr>
        <w:t>, Colleges and University System</w:t>
      </w:r>
      <w:r w:rsidR="00D5537E">
        <w:rPr>
          <w:rFonts w:cstheme="minorHAnsi"/>
        </w:rPr>
        <w:t xml:space="preserve"> and</w:t>
      </w:r>
      <w:r w:rsidRPr="00000D19">
        <w:rPr>
          <w:rFonts w:cstheme="minorHAnsi"/>
        </w:rPr>
        <w:t xml:space="preserve"> the BEESS) to expand and improve services for individuals who are blind and visually impaired</w:t>
      </w:r>
      <w:r w:rsidR="005E7C49">
        <w:rPr>
          <w:rFonts w:cstheme="minorHAnsi"/>
        </w:rPr>
        <w:t xml:space="preserve">. </w:t>
      </w:r>
      <w:r w:rsidRPr="00000D19">
        <w:rPr>
          <w:rFonts w:cstheme="minorHAnsi"/>
        </w:rPr>
        <w:t>FDBS to work in conjunction with the Florida Rehabilitation Council for the Blind to review, analyze and advise</w:t>
      </w:r>
      <w:r w:rsidRPr="00F55C20">
        <w:rPr>
          <w:rFonts w:cstheme="minorHAnsi"/>
        </w:rPr>
        <w:t xml:space="preserve"> </w:t>
      </w:r>
      <w:r w:rsidRPr="00000D19">
        <w:rPr>
          <w:rFonts w:cstheme="minorHAnsi"/>
        </w:rPr>
        <w:t>the division on its performance of responsibilities under Title I</w:t>
      </w:r>
      <w:r w:rsidR="00CE6911">
        <w:rPr>
          <w:rFonts w:cstheme="minorHAnsi"/>
        </w:rPr>
        <w:t>V</w:t>
      </w:r>
      <w:r w:rsidRPr="00000D19">
        <w:rPr>
          <w:rFonts w:cstheme="minorHAnsi"/>
        </w:rPr>
        <w:t xml:space="preserve"> of the Workforce Innovation and Opportunity Act. FDBS works in unison with the Direct Support Organization. </w:t>
      </w:r>
    </w:p>
    <w:p w14:paraId="2D925C86" w14:textId="30D9EE66" w:rsidR="00737452" w:rsidRPr="00000D19" w:rsidRDefault="009913DD" w:rsidP="00D63204">
      <w:pPr>
        <w:spacing w:line="240" w:lineRule="auto"/>
        <w:ind w:left="90"/>
        <w:rPr>
          <w:rFonts w:cstheme="minorHAnsi"/>
        </w:rPr>
      </w:pPr>
      <w:r>
        <w:rPr>
          <w:rFonts w:cstheme="minorHAnsi"/>
        </w:rPr>
        <w:t xml:space="preserve">The Blind Services Foundation of Florida is also a key partner with FDBS. The Foundation’s </w:t>
      </w:r>
      <w:r w:rsidR="00737452" w:rsidRPr="00000D19">
        <w:rPr>
          <w:rFonts w:cstheme="minorHAnsi"/>
        </w:rPr>
        <w:t>purpose is to serve as a Direct Support Organization to the FDBS and individuals with visual impairments living in Florida. The Foundation receives proceeds from the Biker’s Care license tags to raise funds; request and receive grants for gifts and bequests; and to manage the assets of the Foundation. Funds of the Foundation are used to support programs of the FDBS; and to conduct programs and activities</w:t>
      </w:r>
      <w:r w:rsidR="000F5547">
        <w:rPr>
          <w:rFonts w:cstheme="minorHAnsi"/>
        </w:rPr>
        <w:t xml:space="preserve"> a</w:t>
      </w:r>
      <w:r w:rsidR="00C81B23">
        <w:rPr>
          <w:rFonts w:cstheme="minorHAnsi"/>
        </w:rPr>
        <w:t>s well as</w:t>
      </w:r>
      <w:r w:rsidR="00737452" w:rsidRPr="00000D19">
        <w:rPr>
          <w:rFonts w:cstheme="minorHAnsi"/>
        </w:rPr>
        <w:t xml:space="preserve"> initiate developmental projects for the benefit of Floridians who are blind or visually impaired. </w:t>
      </w:r>
    </w:p>
    <w:p w14:paraId="62F45C3E" w14:textId="77BC1E68" w:rsidR="00737452" w:rsidRPr="00000D19" w:rsidRDefault="00737452" w:rsidP="00D63204">
      <w:pPr>
        <w:spacing w:line="240" w:lineRule="auto"/>
        <w:ind w:left="90"/>
        <w:rPr>
          <w:rFonts w:cstheme="minorHAnsi"/>
        </w:rPr>
      </w:pPr>
      <w:r w:rsidRPr="00000D19">
        <w:rPr>
          <w:rFonts w:cstheme="minorHAnsi"/>
        </w:rPr>
        <w:t>The FDBS FFY 2016-20 Strategic Plan lists several strategies that are anticipated to expand and improve services to individuals with disabilities. These strategies include:</w:t>
      </w:r>
    </w:p>
    <w:p w14:paraId="53838F03" w14:textId="794FA68C" w:rsidR="00737452" w:rsidRPr="00000D19" w:rsidRDefault="00737452" w:rsidP="00D63204">
      <w:pPr>
        <w:pStyle w:val="NormalWeb"/>
        <w:ind w:left="90"/>
        <w:rPr>
          <w:rFonts w:asciiTheme="minorHAnsi" w:hAnsiTheme="minorHAnsi" w:cstheme="minorHAnsi"/>
          <w:sz w:val="22"/>
          <w:szCs w:val="22"/>
        </w:rPr>
      </w:pPr>
      <w:r w:rsidRPr="00000D19">
        <w:rPr>
          <w:rFonts w:asciiTheme="minorHAnsi" w:hAnsiTheme="minorHAnsi" w:cstheme="minorHAnsi"/>
          <w:sz w:val="22"/>
          <w:szCs w:val="22"/>
        </w:rPr>
        <w:t xml:space="preserve">1.1: Expand opportunities for students to receive FDBS services and secure opportunities for students and youth with disabilities to practice and improve workplace skills. Pre-employment Transition Services (Pre-ETS) were included in the 2017-2018 VR contracts. By adding these services, the FDBS provides eligible and potentially eligible students and youth with disabilities opportunities to participate in work-based learning experiences, apprenticeships and internships to improve workplace skills. </w:t>
      </w:r>
    </w:p>
    <w:p w14:paraId="791253C8" w14:textId="69499201" w:rsidR="00737452" w:rsidRPr="00000D19" w:rsidRDefault="00737452" w:rsidP="00D63204">
      <w:pPr>
        <w:pStyle w:val="NormalWeb"/>
        <w:ind w:left="90"/>
        <w:rPr>
          <w:rFonts w:asciiTheme="minorHAnsi" w:hAnsiTheme="minorHAnsi" w:cstheme="minorHAnsi"/>
          <w:sz w:val="22"/>
          <w:szCs w:val="22"/>
        </w:rPr>
      </w:pPr>
      <w:r w:rsidRPr="00000D19">
        <w:rPr>
          <w:rFonts w:asciiTheme="minorHAnsi" w:hAnsiTheme="minorHAnsi" w:cstheme="minorHAnsi"/>
          <w:sz w:val="22"/>
          <w:szCs w:val="22"/>
        </w:rPr>
        <w:t xml:space="preserve">1.2: Ensure clients participating in training and education programs are benefiting from engagement. FDBS collaborates with </w:t>
      </w:r>
      <w:r w:rsidR="00AB5D38">
        <w:rPr>
          <w:rFonts w:asciiTheme="minorHAnsi" w:hAnsiTheme="minorHAnsi" w:cstheme="minorHAnsi"/>
          <w:sz w:val="22"/>
          <w:szCs w:val="22"/>
        </w:rPr>
        <w:t xml:space="preserve">the </w:t>
      </w:r>
      <w:r w:rsidRPr="00000D19">
        <w:rPr>
          <w:rFonts w:asciiTheme="minorHAnsi" w:hAnsiTheme="minorHAnsi" w:cstheme="minorHAnsi"/>
          <w:sz w:val="22"/>
          <w:szCs w:val="22"/>
        </w:rPr>
        <w:t>CareerSource</w:t>
      </w:r>
      <w:r w:rsidR="00AB5D38">
        <w:rPr>
          <w:rFonts w:asciiTheme="minorHAnsi" w:hAnsiTheme="minorHAnsi" w:cstheme="minorHAnsi"/>
          <w:sz w:val="22"/>
          <w:szCs w:val="22"/>
        </w:rPr>
        <w:t xml:space="preserve"> Florida network</w:t>
      </w:r>
      <w:r w:rsidRPr="00000D19">
        <w:rPr>
          <w:rFonts w:asciiTheme="minorHAnsi" w:hAnsiTheme="minorHAnsi" w:cstheme="minorHAnsi"/>
          <w:sz w:val="22"/>
          <w:szCs w:val="22"/>
        </w:rPr>
        <w:t xml:space="preserve">, the Division of Public Schools and institutions of higher education to provide opportunities for training, education and workplace activities. FDBS has MOUs with </w:t>
      </w:r>
      <w:r w:rsidR="00AB5D38">
        <w:rPr>
          <w:rFonts w:asciiTheme="minorHAnsi" w:hAnsiTheme="minorHAnsi" w:cstheme="minorHAnsi"/>
          <w:sz w:val="22"/>
          <w:szCs w:val="22"/>
        </w:rPr>
        <w:t xml:space="preserve">the </w:t>
      </w:r>
      <w:r w:rsidRPr="00000D19">
        <w:rPr>
          <w:rFonts w:asciiTheme="minorHAnsi" w:hAnsiTheme="minorHAnsi" w:cstheme="minorHAnsi"/>
          <w:sz w:val="22"/>
          <w:szCs w:val="22"/>
        </w:rPr>
        <w:t>CareerSource</w:t>
      </w:r>
      <w:r w:rsidR="00AB5D38">
        <w:rPr>
          <w:rFonts w:asciiTheme="minorHAnsi" w:hAnsiTheme="minorHAnsi" w:cstheme="minorHAnsi"/>
          <w:sz w:val="22"/>
          <w:szCs w:val="22"/>
        </w:rPr>
        <w:t xml:space="preserve"> Florida network</w:t>
      </w:r>
      <w:r w:rsidRPr="00000D19">
        <w:rPr>
          <w:rFonts w:asciiTheme="minorHAnsi" w:hAnsiTheme="minorHAnsi" w:cstheme="minorHAnsi"/>
          <w:sz w:val="22"/>
          <w:szCs w:val="22"/>
        </w:rPr>
        <w:t>, ESE and VR.</w:t>
      </w:r>
    </w:p>
    <w:p w14:paraId="5C2AA535" w14:textId="3F7BEB2B" w:rsidR="00D84F68" w:rsidRDefault="00737452" w:rsidP="00D63204">
      <w:pPr>
        <w:pStyle w:val="NormalWeb"/>
        <w:ind w:left="90"/>
        <w:rPr>
          <w:rFonts w:asciiTheme="minorHAnsi" w:hAnsiTheme="minorHAnsi" w:cstheme="minorHAnsi"/>
          <w:sz w:val="22"/>
          <w:szCs w:val="22"/>
        </w:rPr>
      </w:pPr>
      <w:r w:rsidRPr="00000D19">
        <w:rPr>
          <w:rFonts w:asciiTheme="minorHAnsi" w:hAnsiTheme="minorHAnsi" w:cstheme="minorHAnsi"/>
          <w:sz w:val="22"/>
          <w:szCs w:val="22"/>
        </w:rPr>
        <w:t xml:space="preserve">1.3: Expand utilization of online job systems such as DEO’s Abilities Work Web Portal and accompanying help desk managed by VR and the state/federal Talent Acquisition Portal to expose employers to job ready FDBS consumers. FDBS trains rehabilitation specialists and employment placement specialists throughout the state on using TAP as one of the resources to successfully place visually impaired individuals in competitive integrated employment. FDBS tracks utilization of TAP and captures this data in biweekly reports. </w:t>
      </w:r>
    </w:p>
    <w:p w14:paraId="62BE6D09" w14:textId="438EC02F" w:rsidR="00D84F68" w:rsidRDefault="00D84F68" w:rsidP="00BF3169">
      <w:pPr>
        <w:rPr>
          <w:rFonts w:cstheme="minorHAnsi"/>
        </w:rPr>
      </w:pPr>
      <w:r>
        <w:rPr>
          <w:rFonts w:cstheme="minorHAnsi"/>
        </w:rPr>
        <w:br w:type="page"/>
      </w:r>
    </w:p>
    <w:p w14:paraId="5DD111D7" w14:textId="77E7E438" w:rsidR="00737452" w:rsidRPr="00000D19" w:rsidRDefault="00737452" w:rsidP="00D63204">
      <w:pPr>
        <w:pStyle w:val="NormalWeb"/>
        <w:ind w:left="90"/>
        <w:rPr>
          <w:rFonts w:asciiTheme="minorHAnsi" w:hAnsiTheme="minorHAnsi" w:cstheme="minorHAnsi"/>
          <w:sz w:val="22"/>
          <w:szCs w:val="22"/>
        </w:rPr>
      </w:pPr>
      <w:r w:rsidRPr="00000D19">
        <w:rPr>
          <w:rFonts w:asciiTheme="minorHAnsi" w:hAnsiTheme="minorHAnsi" w:cstheme="minorHAnsi"/>
          <w:sz w:val="22"/>
          <w:szCs w:val="22"/>
        </w:rPr>
        <w:lastRenderedPageBreak/>
        <w:t xml:space="preserve">1.4: Encourage and Track industry certifications, apprenticeships and </w:t>
      </w:r>
      <w:r w:rsidR="00600A6C">
        <w:rPr>
          <w:rFonts w:asciiTheme="minorHAnsi" w:hAnsiTheme="minorHAnsi" w:cstheme="minorHAnsi"/>
          <w:sz w:val="22"/>
          <w:szCs w:val="22"/>
        </w:rPr>
        <w:t>postsecondary</w:t>
      </w:r>
      <w:r w:rsidRPr="00000D19">
        <w:rPr>
          <w:rFonts w:asciiTheme="minorHAnsi" w:hAnsiTheme="minorHAnsi" w:cstheme="minorHAnsi"/>
          <w:sz w:val="22"/>
          <w:szCs w:val="22"/>
        </w:rPr>
        <w:t xml:space="preserve"> outcomes. The BBE tracks Continuing Education Units (CEUs), food manager certifications and vendor licensures. The Employment Placement Specialists are continually notified of information regarding industry certifications, apprenticeships and post-secondary opportunities via emails and during monthly conference calls. FDBS </w:t>
      </w:r>
      <w:r w:rsidR="00366711">
        <w:rPr>
          <w:rFonts w:asciiTheme="minorHAnsi" w:hAnsiTheme="minorHAnsi" w:cstheme="minorHAnsi"/>
          <w:sz w:val="22"/>
          <w:szCs w:val="22"/>
        </w:rPr>
        <w:t xml:space="preserve">is represented </w:t>
      </w:r>
      <w:r w:rsidRPr="00000D19">
        <w:rPr>
          <w:rFonts w:asciiTheme="minorHAnsi" w:hAnsiTheme="minorHAnsi" w:cstheme="minorHAnsi"/>
          <w:sz w:val="22"/>
          <w:szCs w:val="22"/>
        </w:rPr>
        <w:t xml:space="preserve">on the National Employment Team, which captures nationwide statistics and best practices for working with employers. </w:t>
      </w:r>
    </w:p>
    <w:p w14:paraId="38A650DA" w14:textId="6C08CE3E" w:rsidR="00737452" w:rsidRPr="00000D19" w:rsidRDefault="00737452" w:rsidP="00D63204">
      <w:pPr>
        <w:spacing w:line="240" w:lineRule="auto"/>
        <w:ind w:left="90"/>
        <w:rPr>
          <w:rFonts w:cstheme="minorHAnsi"/>
        </w:rPr>
      </w:pPr>
      <w:r w:rsidRPr="00000D19">
        <w:rPr>
          <w:rFonts w:cstheme="minorHAnsi"/>
        </w:rPr>
        <w:t>1.5: Develop and implement an Employment Skills Training Program at the Residential Rehabilitation Center to better prepare youth and adults who are blind or visually impaired for success in future employment. A Pre-employment Program to increase the employment rate for visually impaired youth and adults began in 2016. Classes are conducted quarterly by staff at the Residential Rehabilitation Center</w:t>
      </w:r>
      <w:r w:rsidR="005E7C49">
        <w:rPr>
          <w:rFonts w:cstheme="minorHAnsi"/>
        </w:rPr>
        <w:t xml:space="preserve">. </w:t>
      </w:r>
    </w:p>
    <w:p w14:paraId="635B0C4A" w14:textId="77777777" w:rsidR="00EA7458" w:rsidRPr="00000D19" w:rsidRDefault="00EA7458" w:rsidP="00D63204">
      <w:pPr>
        <w:widowControl w:val="0"/>
        <w:spacing w:before="4" w:after="0" w:line="240" w:lineRule="auto"/>
        <w:ind w:left="90"/>
        <w:rPr>
          <w:rFonts w:cs="Calibri"/>
          <w:sz w:val="14"/>
          <w:szCs w:val="14"/>
        </w:rPr>
      </w:pPr>
    </w:p>
    <w:p w14:paraId="36F36034" w14:textId="77777777" w:rsidR="00EA7458" w:rsidRPr="00000D19" w:rsidRDefault="00EA7458" w:rsidP="00D63204">
      <w:pPr>
        <w:widowControl w:val="0"/>
        <w:spacing w:before="57" w:after="0" w:line="240" w:lineRule="auto"/>
        <w:ind w:left="90"/>
        <w:outlineLvl w:val="2"/>
      </w:pPr>
      <w:r w:rsidRPr="00000D19">
        <w:rPr>
          <w:b/>
          <w:bCs/>
          <w:color w:val="231F20"/>
          <w:w w:val="110"/>
        </w:rPr>
        <w:t>Use of Innovation and Expansion</w:t>
      </w:r>
      <w:r w:rsidRPr="00000D19">
        <w:rPr>
          <w:b/>
          <w:bCs/>
          <w:color w:val="231F20"/>
          <w:spacing w:val="-11"/>
          <w:w w:val="110"/>
        </w:rPr>
        <w:t xml:space="preserve"> </w:t>
      </w:r>
      <w:r w:rsidRPr="00000D19">
        <w:rPr>
          <w:b/>
          <w:bCs/>
          <w:color w:val="231F20"/>
          <w:w w:val="110"/>
        </w:rPr>
        <w:t>Funds</w:t>
      </w:r>
    </w:p>
    <w:p w14:paraId="3ED66F1C" w14:textId="295B31E0" w:rsidR="00D06781" w:rsidRPr="00000D19" w:rsidRDefault="00D06781" w:rsidP="00D63204">
      <w:pPr>
        <w:spacing w:after="0" w:line="240" w:lineRule="auto"/>
        <w:ind w:left="90"/>
      </w:pPr>
      <w:r w:rsidRPr="00000D19">
        <w:t xml:space="preserve">FDBS has one continuous innovation and expansion project, described below: </w:t>
      </w:r>
    </w:p>
    <w:p w14:paraId="6DD2B938" w14:textId="162B20F2" w:rsidR="00D06781" w:rsidRPr="00000D19" w:rsidRDefault="00D06781" w:rsidP="00D63204">
      <w:pPr>
        <w:spacing w:before="240" w:after="160" w:line="240" w:lineRule="auto"/>
        <w:ind w:left="90"/>
      </w:pPr>
      <w:r w:rsidRPr="00000D19">
        <w:t xml:space="preserve">The Florida State University Research Laboratory conducted a customer satisfaction survey commissioned by FRCB pursuant to Chapter 413.011, Florida Statutes, to gather perspectives of former clients of the FDBS Vocational Rehabilitation Services Program concerning program services, levels of satisfaction and areas for program improvement. Dr. Minna Jia reported outcome data from the survey at the October 2016 and May 2017 FRCB quarterly meetings. </w:t>
      </w:r>
      <w:r w:rsidRPr="00000D19">
        <w:rPr>
          <w:rFonts w:cstheme="minorHAnsi"/>
          <w:szCs w:val="24"/>
        </w:rPr>
        <w:t>To gauge the overall level of satisfaction with the FDBS program, former clients were asked if they would recommend DBS services to others. During 2016-2017, 94 percent (362 of 386), answered, “Yes.” This is consistent with previous years’ results</w:t>
      </w:r>
      <w:r w:rsidR="005E7C49">
        <w:rPr>
          <w:rFonts w:cstheme="minorHAnsi"/>
          <w:szCs w:val="24"/>
        </w:rPr>
        <w:t xml:space="preserve">. </w:t>
      </w:r>
      <w:r w:rsidRPr="00000D19">
        <w:rPr>
          <w:rFonts w:cstheme="minorHAnsi"/>
          <w:szCs w:val="24"/>
        </w:rPr>
        <w:t xml:space="preserve">Clients were asked to rate their overall satisfaction with the program. During the same period, 86 percent (333 of 337) were either “Satisfied” or “Very Satisfied” with the program. </w:t>
      </w:r>
      <w:r w:rsidRPr="00000D19">
        <w:t xml:space="preserve">Results from the continued customer satisfaction survey will contribute to improved employment opportunities for VR clients and service delivery. </w:t>
      </w:r>
    </w:p>
    <w:p w14:paraId="6C3E321C" w14:textId="77777777" w:rsidR="00C871AF" w:rsidRDefault="00D06781" w:rsidP="00D63204">
      <w:pPr>
        <w:spacing w:line="240" w:lineRule="auto"/>
        <w:ind w:left="90"/>
      </w:pPr>
      <w:r w:rsidRPr="00000D19">
        <w:t>FDBS explored innovation and expansion initiatives to foster and improve services. In 2016, FDBS launched a pilot project mirroring the Vermont Progressive Employment Model (VTPE). This model places emphasis on VR business relations and job placement personnel interactions with employers and is predicated on a dual-customer philosophy. The project targeted clients with the following issues:</w:t>
      </w:r>
    </w:p>
    <w:p w14:paraId="3ABB29AD" w14:textId="4BE85406" w:rsidR="00C871AF" w:rsidRDefault="00D06781" w:rsidP="00D63204">
      <w:pPr>
        <w:pStyle w:val="ListParagraph"/>
        <w:numPr>
          <w:ilvl w:val="0"/>
          <w:numId w:val="56"/>
        </w:numPr>
        <w:spacing w:line="240" w:lineRule="auto"/>
        <w:rPr>
          <w:rFonts w:cstheme="minorHAnsi"/>
        </w:rPr>
      </w:pPr>
      <w:r w:rsidRPr="00C871AF">
        <w:rPr>
          <w:rFonts w:cstheme="minorHAnsi"/>
        </w:rPr>
        <w:t>Job jumpers – chronically changing jobs</w:t>
      </w:r>
    </w:p>
    <w:p w14:paraId="2AEC3CFA" w14:textId="77777777" w:rsidR="00C871AF" w:rsidRPr="00C871AF" w:rsidRDefault="00C871AF" w:rsidP="00D63204">
      <w:pPr>
        <w:pStyle w:val="ListParagraph"/>
        <w:spacing w:line="240" w:lineRule="auto"/>
        <w:ind w:left="810"/>
        <w:rPr>
          <w:rFonts w:cstheme="minorHAnsi"/>
        </w:rPr>
      </w:pPr>
    </w:p>
    <w:p w14:paraId="6B782EF1" w14:textId="1EF49E87" w:rsidR="00C871AF" w:rsidRDefault="00D06781" w:rsidP="00D63204">
      <w:pPr>
        <w:pStyle w:val="ListParagraph"/>
        <w:numPr>
          <w:ilvl w:val="0"/>
          <w:numId w:val="56"/>
        </w:numPr>
        <w:spacing w:line="240" w:lineRule="auto"/>
        <w:rPr>
          <w:rFonts w:cstheme="minorHAnsi"/>
        </w:rPr>
      </w:pPr>
      <w:r w:rsidRPr="00C871AF">
        <w:rPr>
          <w:rFonts w:cstheme="minorHAnsi"/>
        </w:rPr>
        <w:t xml:space="preserve">Unemployed for a long term </w:t>
      </w:r>
    </w:p>
    <w:p w14:paraId="29727484" w14:textId="77777777" w:rsidR="00C871AF" w:rsidRPr="00C871AF" w:rsidRDefault="00C871AF" w:rsidP="00D63204">
      <w:pPr>
        <w:pStyle w:val="ListParagraph"/>
        <w:spacing w:line="240" w:lineRule="auto"/>
        <w:ind w:left="810"/>
        <w:rPr>
          <w:rFonts w:cstheme="minorHAnsi"/>
        </w:rPr>
      </w:pPr>
    </w:p>
    <w:p w14:paraId="4A68CC45" w14:textId="0A8C9EFA" w:rsidR="00C871AF" w:rsidRDefault="00D06781" w:rsidP="00D63204">
      <w:pPr>
        <w:pStyle w:val="ListParagraph"/>
        <w:numPr>
          <w:ilvl w:val="0"/>
          <w:numId w:val="56"/>
        </w:numPr>
        <w:spacing w:line="240" w:lineRule="auto"/>
        <w:rPr>
          <w:rFonts w:cstheme="minorHAnsi"/>
        </w:rPr>
      </w:pPr>
      <w:r w:rsidRPr="00C871AF">
        <w:rPr>
          <w:rFonts w:cstheme="minorHAnsi"/>
        </w:rPr>
        <w:t>Criminal Backgrounds</w:t>
      </w:r>
    </w:p>
    <w:p w14:paraId="4FBB9E75" w14:textId="77777777" w:rsidR="00C871AF" w:rsidRPr="00C871AF" w:rsidRDefault="00C871AF" w:rsidP="00D63204">
      <w:pPr>
        <w:pStyle w:val="ListParagraph"/>
        <w:spacing w:line="240" w:lineRule="auto"/>
        <w:ind w:left="810"/>
        <w:rPr>
          <w:rFonts w:cstheme="minorHAnsi"/>
        </w:rPr>
      </w:pPr>
    </w:p>
    <w:p w14:paraId="55537597" w14:textId="1A5B20E5" w:rsidR="00C871AF" w:rsidRDefault="00D06781" w:rsidP="00D63204">
      <w:pPr>
        <w:pStyle w:val="ListParagraph"/>
        <w:numPr>
          <w:ilvl w:val="0"/>
          <w:numId w:val="56"/>
        </w:numPr>
        <w:spacing w:line="240" w:lineRule="auto"/>
        <w:rPr>
          <w:rFonts w:cstheme="minorHAnsi"/>
        </w:rPr>
      </w:pPr>
      <w:r w:rsidRPr="00C871AF">
        <w:rPr>
          <w:rFonts w:cstheme="minorHAnsi"/>
        </w:rPr>
        <w:t>Multiple cases opened over time</w:t>
      </w:r>
    </w:p>
    <w:p w14:paraId="3509BEBE" w14:textId="77777777" w:rsidR="00C871AF" w:rsidRPr="00C871AF" w:rsidRDefault="00C871AF" w:rsidP="00D63204">
      <w:pPr>
        <w:pStyle w:val="ListParagraph"/>
        <w:spacing w:line="240" w:lineRule="auto"/>
        <w:ind w:left="810"/>
        <w:rPr>
          <w:rFonts w:cstheme="minorHAnsi"/>
        </w:rPr>
      </w:pPr>
    </w:p>
    <w:p w14:paraId="029FD2EF" w14:textId="0B29D87C" w:rsidR="00C871AF" w:rsidRDefault="00D06781" w:rsidP="00D63204">
      <w:pPr>
        <w:pStyle w:val="ListParagraph"/>
        <w:numPr>
          <w:ilvl w:val="0"/>
          <w:numId w:val="56"/>
        </w:numPr>
        <w:spacing w:line="240" w:lineRule="auto"/>
        <w:rPr>
          <w:rFonts w:cstheme="minorHAnsi"/>
        </w:rPr>
      </w:pPr>
      <w:r w:rsidRPr="00C871AF">
        <w:rPr>
          <w:rFonts w:cstheme="minorHAnsi"/>
        </w:rPr>
        <w:t>Newly blind</w:t>
      </w:r>
    </w:p>
    <w:p w14:paraId="5F62C983" w14:textId="77777777" w:rsidR="00C871AF" w:rsidRPr="00C871AF" w:rsidRDefault="00C871AF" w:rsidP="00D63204">
      <w:pPr>
        <w:pStyle w:val="ListParagraph"/>
        <w:spacing w:line="240" w:lineRule="auto"/>
        <w:ind w:left="810"/>
        <w:rPr>
          <w:rFonts w:cstheme="minorHAnsi"/>
        </w:rPr>
      </w:pPr>
    </w:p>
    <w:p w14:paraId="68C80186" w14:textId="18179970" w:rsidR="00C871AF" w:rsidRDefault="00D06781" w:rsidP="00D63204">
      <w:pPr>
        <w:pStyle w:val="ListParagraph"/>
        <w:numPr>
          <w:ilvl w:val="0"/>
          <w:numId w:val="56"/>
        </w:numPr>
        <w:spacing w:line="240" w:lineRule="auto"/>
        <w:rPr>
          <w:rFonts w:cstheme="minorHAnsi"/>
        </w:rPr>
      </w:pPr>
      <w:r w:rsidRPr="00C871AF">
        <w:rPr>
          <w:rFonts w:cstheme="minorHAnsi"/>
        </w:rPr>
        <w:t>Unmotivated</w:t>
      </w:r>
    </w:p>
    <w:p w14:paraId="5C66264B" w14:textId="77777777" w:rsidR="00C871AF" w:rsidRPr="00C871AF" w:rsidRDefault="00C871AF" w:rsidP="00D63204">
      <w:pPr>
        <w:pStyle w:val="ListParagraph"/>
        <w:spacing w:line="240" w:lineRule="auto"/>
        <w:ind w:left="810"/>
        <w:rPr>
          <w:rFonts w:cstheme="minorHAnsi"/>
        </w:rPr>
      </w:pPr>
    </w:p>
    <w:p w14:paraId="0D132C37" w14:textId="793B08A8" w:rsidR="00D06781" w:rsidRPr="00C871AF" w:rsidRDefault="00D06781" w:rsidP="00D63204">
      <w:pPr>
        <w:pStyle w:val="ListParagraph"/>
        <w:numPr>
          <w:ilvl w:val="0"/>
          <w:numId w:val="56"/>
        </w:numPr>
        <w:spacing w:line="240" w:lineRule="auto"/>
        <w:rPr>
          <w:rFonts w:cstheme="minorHAnsi"/>
        </w:rPr>
      </w:pPr>
      <w:r w:rsidRPr="00C871AF">
        <w:rPr>
          <w:rFonts w:cstheme="minorHAnsi"/>
        </w:rPr>
        <w:t>Lack of work experience</w:t>
      </w:r>
    </w:p>
    <w:p w14:paraId="4B8284C4" w14:textId="2B7A532F" w:rsidR="00D06781" w:rsidRDefault="00D06781" w:rsidP="00D63204">
      <w:pPr>
        <w:spacing w:line="240" w:lineRule="auto"/>
        <w:ind w:left="90"/>
      </w:pPr>
      <w:r w:rsidRPr="00000D19">
        <w:t xml:space="preserve">A total of 19 people obtained employment during the VTPE pilot and 60 clients were assisted in employer engagement. The VTPE pilot ended in September 2016. </w:t>
      </w:r>
    </w:p>
    <w:p w14:paraId="34350A2F" w14:textId="77777777" w:rsidR="00C871AF" w:rsidRPr="00000D19" w:rsidRDefault="00C871AF" w:rsidP="00D63204">
      <w:pPr>
        <w:spacing w:line="240" w:lineRule="auto"/>
        <w:ind w:left="90"/>
      </w:pPr>
    </w:p>
    <w:p w14:paraId="692C1D9B" w14:textId="77777777" w:rsidR="00D06781" w:rsidRPr="00000D19" w:rsidRDefault="00D06781" w:rsidP="00D63204">
      <w:pPr>
        <w:spacing w:after="0" w:line="240" w:lineRule="auto"/>
        <w:ind w:left="90"/>
      </w:pPr>
      <w:r w:rsidRPr="00000D19">
        <w:rPr>
          <w:b/>
        </w:rPr>
        <w:lastRenderedPageBreak/>
        <w:t>Rehabilitation Technology</w:t>
      </w:r>
      <w:r w:rsidRPr="00000D19">
        <w:t xml:space="preserve"> </w:t>
      </w:r>
    </w:p>
    <w:p w14:paraId="5C78AB4F" w14:textId="40A332C3" w:rsidR="00D06781" w:rsidRPr="00000D19" w:rsidRDefault="00D06781" w:rsidP="00D63204">
      <w:pPr>
        <w:spacing w:after="0" w:line="240" w:lineRule="auto"/>
        <w:ind w:left="90"/>
      </w:pPr>
      <w:r w:rsidRPr="00000D19">
        <w:t>The FDBS provides Rehabilitation Technology services statewide through a contractual agreement between FDBS and the Tampa Lighthouse Rehabilitation Engineering Program. The program provides rehabilitation technology assessment and evaluation services for FDBS clients across all stages of the VR process. Rehabilitation technology includes a range of services and devices that supplement and enhance individual functions, such as job redesign or worksite modifications that improve the work environment for individuals with visual impairments.</w:t>
      </w:r>
    </w:p>
    <w:p w14:paraId="1C50D409" w14:textId="77777777" w:rsidR="00D06781" w:rsidRPr="00000D19" w:rsidRDefault="00D06781" w:rsidP="00D63204">
      <w:pPr>
        <w:spacing w:after="0" w:line="240" w:lineRule="auto"/>
        <w:ind w:left="90"/>
      </w:pPr>
    </w:p>
    <w:p w14:paraId="63E32B0B" w14:textId="67CA8E93" w:rsidR="00D06781" w:rsidRPr="00000D19" w:rsidRDefault="00D06781" w:rsidP="00D63204">
      <w:pPr>
        <w:spacing w:line="240" w:lineRule="auto"/>
        <w:ind w:left="90"/>
      </w:pPr>
      <w:r w:rsidRPr="00000D19">
        <w:t>The FDBS provides purchased assistive technology equipment to blind and visually impaired clients based on need and assessment.</w:t>
      </w:r>
    </w:p>
    <w:p w14:paraId="1CF733AB" w14:textId="60CC986F" w:rsidR="00D06781" w:rsidRPr="00000D19" w:rsidRDefault="00D06781" w:rsidP="00D63204">
      <w:pPr>
        <w:spacing w:line="240" w:lineRule="auto"/>
        <w:ind w:left="90"/>
      </w:pPr>
      <w:r w:rsidRPr="00000D19">
        <w:t xml:space="preserve">FDBS partners with the Florida Alliance for Assistive Services and Technology (FAAST) as a resource for blind and visually impaired clients to access equipment to help them obtain independence. </w:t>
      </w:r>
    </w:p>
    <w:p w14:paraId="5285E576" w14:textId="0F9BAD46" w:rsidR="00D06781" w:rsidRPr="00000D19" w:rsidRDefault="00D06781" w:rsidP="00D63204">
      <w:pPr>
        <w:spacing w:line="240" w:lineRule="auto"/>
        <w:ind w:left="90"/>
      </w:pPr>
      <w:r w:rsidRPr="00000D19">
        <w:t>FAAST services delivers appropriate, cost-effective, state-of-the-art assistive technology services and devices on a statewide basis. FAAST is a not-for-profit corporation for which the Assistive Technology Advisory Council acts as the board of directors, manages the project</w:t>
      </w:r>
      <w:r w:rsidR="004F0E7C">
        <w:t xml:space="preserve"> </w:t>
      </w:r>
      <w:r w:rsidRPr="00000D19">
        <w:t>and provides administrative and technical support to the council. FAAST administers a low interest loan authority that provides funding to individuals with disabilities who may be unable to qualify for traditional loans and bank financing to purchase assistive technology devices.</w:t>
      </w:r>
    </w:p>
    <w:p w14:paraId="75C0BE80" w14:textId="6253033C" w:rsidR="00D06781" w:rsidRPr="00000D19" w:rsidRDefault="00D06781" w:rsidP="00D63204">
      <w:pPr>
        <w:spacing w:line="240" w:lineRule="auto"/>
        <w:ind w:left="90"/>
      </w:pPr>
      <w:r w:rsidRPr="00000D19">
        <w:t>Assistive technology includes both devices and services. A device is any item or piece of equipment used to maintain or improve the functional capabilities of a person with a disability. Many high-tech and low-tech devices are available to help people with disabilities in daily living tasks, communication, education, work and recreation.</w:t>
      </w:r>
    </w:p>
    <w:p w14:paraId="255575D4" w14:textId="27A2C071" w:rsidR="00C871AF" w:rsidRDefault="00D06781" w:rsidP="00D63204">
      <w:pPr>
        <w:spacing w:line="240" w:lineRule="auto"/>
        <w:ind w:left="90"/>
      </w:pPr>
      <w:r w:rsidRPr="00000D19">
        <w:t>The FDBS assesses its services to individuals with most significant disabilities and individuals in unserved or underserved populations and minorities</w:t>
      </w:r>
      <w:r w:rsidR="00B4168F">
        <w:t xml:space="preserve">. </w:t>
      </w:r>
      <w:r w:rsidRPr="00000D19">
        <w:t xml:space="preserve">The FDBS identified the following strategies to better serve this population. District offices submit monthly data reports that are compiled and analyzed by the state office. Improvements to enhance district follow-through are evaluated and implemented on an ongoing basis. </w:t>
      </w:r>
    </w:p>
    <w:p w14:paraId="71CB8E25" w14:textId="77777777" w:rsidR="00C871AF" w:rsidRDefault="00D06781" w:rsidP="00D63204">
      <w:pPr>
        <w:spacing w:line="240" w:lineRule="auto"/>
        <w:ind w:left="90"/>
      </w:pPr>
      <w:r w:rsidRPr="00000D19">
        <w:t>Strategies include:</w:t>
      </w:r>
    </w:p>
    <w:p w14:paraId="7F3821C6" w14:textId="56C0400F" w:rsidR="00C871AF" w:rsidRDefault="00D06781" w:rsidP="00D63204">
      <w:pPr>
        <w:pStyle w:val="ListParagraph"/>
        <w:numPr>
          <w:ilvl w:val="0"/>
          <w:numId w:val="57"/>
        </w:numPr>
        <w:spacing w:line="240" w:lineRule="auto"/>
      </w:pPr>
      <w:r w:rsidRPr="00000D19">
        <w:t>Meeting with community organizations and civic groups on a regular basis to educate and increase their awareness of the division, vocational rehabilitation services and the benefits of hiring individuals with disabilities</w:t>
      </w:r>
      <w:r w:rsidR="005E7C49">
        <w:t xml:space="preserve">. </w:t>
      </w:r>
    </w:p>
    <w:p w14:paraId="20A4E56E" w14:textId="77777777" w:rsidR="00C871AF" w:rsidRDefault="00C871AF" w:rsidP="00D63204">
      <w:pPr>
        <w:pStyle w:val="ListParagraph"/>
        <w:spacing w:line="240" w:lineRule="auto"/>
        <w:ind w:left="810"/>
      </w:pPr>
    </w:p>
    <w:p w14:paraId="25526676" w14:textId="2BE559BE" w:rsidR="00C871AF" w:rsidRDefault="00D06781" w:rsidP="00D63204">
      <w:pPr>
        <w:pStyle w:val="ListParagraph"/>
        <w:numPr>
          <w:ilvl w:val="0"/>
          <w:numId w:val="57"/>
        </w:numPr>
        <w:spacing w:line="240" w:lineRule="auto"/>
      </w:pPr>
      <w:r w:rsidRPr="00000D19">
        <w:t>Employment Placement Specialists (EPS) present to community organizations and civic groups quarterly. The EPS engage employers who have secured blind or visually impaired employees to participate in the presentations.</w:t>
      </w:r>
    </w:p>
    <w:p w14:paraId="18B08613" w14:textId="77777777" w:rsidR="00C871AF" w:rsidRDefault="00C871AF" w:rsidP="00D63204">
      <w:pPr>
        <w:pStyle w:val="ListParagraph"/>
        <w:spacing w:line="240" w:lineRule="auto"/>
        <w:ind w:left="810"/>
      </w:pPr>
    </w:p>
    <w:p w14:paraId="07739A03" w14:textId="402108FC" w:rsidR="00C871AF" w:rsidRDefault="00D06781" w:rsidP="00D63204">
      <w:pPr>
        <w:pStyle w:val="ListParagraph"/>
        <w:numPr>
          <w:ilvl w:val="0"/>
          <w:numId w:val="57"/>
        </w:numPr>
        <w:spacing w:line="240" w:lineRule="auto"/>
      </w:pPr>
      <w:r w:rsidRPr="00000D19">
        <w:t>Each district holds an annual open house for employers and potential employers. The district invites employed clients and clients seeking employment.</w:t>
      </w:r>
    </w:p>
    <w:p w14:paraId="4E627EDE" w14:textId="77777777" w:rsidR="00C871AF" w:rsidRDefault="00C871AF" w:rsidP="00D63204">
      <w:pPr>
        <w:pStyle w:val="ListParagraph"/>
        <w:spacing w:line="240" w:lineRule="auto"/>
        <w:ind w:left="810"/>
      </w:pPr>
    </w:p>
    <w:p w14:paraId="048FC577" w14:textId="00636ED3" w:rsidR="00D06781" w:rsidRDefault="00D06781" w:rsidP="00D63204">
      <w:pPr>
        <w:pStyle w:val="ListParagraph"/>
        <w:numPr>
          <w:ilvl w:val="0"/>
          <w:numId w:val="57"/>
        </w:numPr>
        <w:spacing w:line="240" w:lineRule="auto"/>
      </w:pPr>
      <w:r w:rsidRPr="00000D19">
        <w:t xml:space="preserve">Each district nominates at least one employer for the joint agency statewide exemplary employer event in October. The nominees receive plaques from the division. </w:t>
      </w:r>
    </w:p>
    <w:p w14:paraId="019F4AFB" w14:textId="77777777" w:rsidR="00C871AF" w:rsidRPr="00000D19" w:rsidRDefault="00C871AF" w:rsidP="00D63204">
      <w:pPr>
        <w:pStyle w:val="ListParagraph"/>
        <w:spacing w:line="240" w:lineRule="auto"/>
        <w:ind w:left="810"/>
      </w:pPr>
    </w:p>
    <w:p w14:paraId="1A97216D" w14:textId="77777777" w:rsidR="00D06781" w:rsidRPr="00000D19" w:rsidRDefault="00D06781" w:rsidP="00D63204">
      <w:pPr>
        <w:pStyle w:val="ListParagraph"/>
        <w:numPr>
          <w:ilvl w:val="0"/>
          <w:numId w:val="57"/>
        </w:numPr>
        <w:spacing w:line="240" w:lineRule="auto"/>
      </w:pPr>
      <w:r w:rsidRPr="00000D19">
        <w:t>Utilizing these strategies increased successful employment outcomes statewide. The total number clients obtaining employment increased by 93 from 2016 to 2017.</w:t>
      </w:r>
    </w:p>
    <w:p w14:paraId="423032D8" w14:textId="77777777" w:rsidR="00C871AF" w:rsidRDefault="00C871AF" w:rsidP="00D63204">
      <w:pPr>
        <w:spacing w:line="240" w:lineRule="auto"/>
        <w:ind w:left="90"/>
      </w:pPr>
    </w:p>
    <w:p w14:paraId="195AADD4" w14:textId="77777777" w:rsidR="00C871AF" w:rsidRDefault="00C871AF" w:rsidP="00D63204">
      <w:pPr>
        <w:spacing w:line="240" w:lineRule="auto"/>
        <w:ind w:left="90"/>
      </w:pPr>
    </w:p>
    <w:p w14:paraId="32EA191B" w14:textId="25B00677" w:rsidR="00D06781" w:rsidRPr="00000D19" w:rsidRDefault="00D06781" w:rsidP="00D63204">
      <w:pPr>
        <w:spacing w:line="240" w:lineRule="auto"/>
        <w:ind w:left="90"/>
      </w:pPr>
      <w:r w:rsidRPr="00000D19">
        <w:lastRenderedPageBreak/>
        <w:t>Results of the FFY 2014 Comprehensive Statewide Needs Assessment indicated a need to improve services to minorities. Specifically, the needs assessment revealed the only minority group that may be underserved is persons of Hispanic/Latino origin</w:t>
      </w:r>
      <w:r w:rsidR="005E7C49">
        <w:t xml:space="preserve">. </w:t>
      </w:r>
      <w:r w:rsidRPr="00000D19">
        <w:t>The district offices conduct outreach activities to identify under-represented populations on a monthly basis. Activities include outreach to vision clinics, optometrists’ offices, senior centers, participation in White Cane Day events, health fairs and low vision expos. FDBS developed a list of transportation contacts to assist field staff with identifying transportation vendors for clients in need of this resource. The list is updated as needed. FDBS assesses its business processes and organizational capacity on an ongoing basis to make consistent improvements</w:t>
      </w:r>
      <w:r w:rsidR="005E7C49">
        <w:t xml:space="preserve">. </w:t>
      </w:r>
    </w:p>
    <w:p w14:paraId="59D1F7B9" w14:textId="0639CB17" w:rsidR="00D06781" w:rsidRPr="00000D19" w:rsidRDefault="00D06781" w:rsidP="00D63204">
      <w:pPr>
        <w:spacing w:line="240" w:lineRule="auto"/>
        <w:ind w:left="90"/>
      </w:pPr>
      <w:r w:rsidRPr="00000D19">
        <w:t>FDBS has a longstanding relationship with statewide CRPs and values the services they provide to clients</w:t>
      </w:r>
      <w:r w:rsidR="005E7C49">
        <w:t xml:space="preserve">. </w:t>
      </w:r>
      <w:r w:rsidRPr="00000D19">
        <w:t>A CRP is defined as a private, non-profit program that provides rehabilitation services to individuals who are blind or visually impaired</w:t>
      </w:r>
      <w:r w:rsidR="005E7C49">
        <w:t xml:space="preserve">. </w:t>
      </w:r>
      <w:r w:rsidRPr="00000D19">
        <w:t xml:space="preserve">The CRPs provide education, independent life skills, job training and job placement services to clients who participate in the vocational rehabilitation program and </w:t>
      </w:r>
      <w:r w:rsidR="003114D2">
        <w:t xml:space="preserve">to </w:t>
      </w:r>
      <w:r w:rsidRPr="00000D19">
        <w:t xml:space="preserve">their families. </w:t>
      </w:r>
    </w:p>
    <w:p w14:paraId="67196905" w14:textId="5D9D1935" w:rsidR="00D06781" w:rsidRPr="00000D19" w:rsidRDefault="00D06781" w:rsidP="00D63204">
      <w:pPr>
        <w:spacing w:line="240" w:lineRule="auto"/>
        <w:ind w:left="90"/>
      </w:pPr>
      <w:r w:rsidRPr="00000D19">
        <w:t>Through effective programs, proven curricula, certified instructors and years of personal, professional experience and collaboration with FDBS, CRPs ensure individuals of all backgrounds have the tools they need to lead productive, independent lives while pursuing their vocational goals.</w:t>
      </w:r>
    </w:p>
    <w:p w14:paraId="54DEC579" w14:textId="7230DD56" w:rsidR="00D06781" w:rsidRPr="00000D19" w:rsidRDefault="00D06781" w:rsidP="00D63204">
      <w:pPr>
        <w:spacing w:line="240" w:lineRule="auto"/>
        <w:ind w:left="90"/>
      </w:pPr>
      <w:r w:rsidRPr="00000D19">
        <w:t>FDBS is committed to strengthening and developing statewide collaborative partnerships with new and existing community rehabilitation providers by providing support, strengthening contract language to ensure increased contractor accountability and improving available resource allocations to CRPs</w:t>
      </w:r>
      <w:r w:rsidR="005E7C49">
        <w:t xml:space="preserve">. </w:t>
      </w:r>
    </w:p>
    <w:p w14:paraId="3B5E419F" w14:textId="2427C008" w:rsidR="00E73AD2" w:rsidRPr="00000D19" w:rsidRDefault="00E73AD2" w:rsidP="00D63204">
      <w:pPr>
        <w:spacing w:line="240" w:lineRule="auto"/>
        <w:ind w:left="90"/>
      </w:pPr>
      <w:r w:rsidRPr="00000D19">
        <w:t xml:space="preserve">The division’s state plan reflects the RSA regulations with respect to performance indicators. </w:t>
      </w:r>
    </w:p>
    <w:p w14:paraId="570A7AC0" w14:textId="77777777" w:rsidR="00C871AF" w:rsidRDefault="00C871AF">
      <w:r>
        <w:br w:type="page"/>
      </w:r>
    </w:p>
    <w:p w14:paraId="7BCD2A88" w14:textId="77777777" w:rsidR="00C871AF" w:rsidRDefault="00C871AF" w:rsidP="00D63204">
      <w:pPr>
        <w:spacing w:line="240" w:lineRule="auto"/>
        <w:ind w:left="90"/>
      </w:pPr>
    </w:p>
    <w:p w14:paraId="618CB40D" w14:textId="3F76F2E6" w:rsidR="00E73AD2" w:rsidRPr="00C871AF" w:rsidRDefault="00E73AD2" w:rsidP="00D63204">
      <w:pPr>
        <w:spacing w:line="240" w:lineRule="auto"/>
        <w:ind w:left="90"/>
      </w:pPr>
      <w:r w:rsidRPr="00000D19">
        <w:t>FDBS successfully met its requirements over a three-year period except for indicator 1.2</w:t>
      </w:r>
      <w:r w:rsidR="005E7C49">
        <w:t xml:space="preserve">. </w:t>
      </w:r>
      <w:r w:rsidRPr="00000D19">
        <w:t>Below are the previous performance indicator outcomes:</w:t>
      </w:r>
      <w:bookmarkStart w:id="178" w:name="_bookmark108"/>
      <w:bookmarkEnd w:id="178"/>
    </w:p>
    <w:p w14:paraId="2DF007F7" w14:textId="77777777" w:rsidR="00E73AD2" w:rsidRPr="00C871AF" w:rsidRDefault="00E73AD2" w:rsidP="00D63204">
      <w:pPr>
        <w:spacing w:after="0"/>
        <w:ind w:left="90"/>
        <w:rPr>
          <w:b/>
        </w:rPr>
      </w:pPr>
      <w:r w:rsidRPr="00C871AF">
        <w:rPr>
          <w:b/>
        </w:rPr>
        <w:t xml:space="preserve">Figure 10.01 </w:t>
      </w:r>
    </w:p>
    <w:p w14:paraId="6C6E4C9E" w14:textId="77777777" w:rsidR="00E73AD2" w:rsidRPr="00C871AF" w:rsidRDefault="00E73AD2" w:rsidP="00D63204">
      <w:pPr>
        <w:spacing w:after="0"/>
        <w:ind w:left="90"/>
        <w:rPr>
          <w:b/>
        </w:rPr>
      </w:pPr>
      <w:r w:rsidRPr="00C871AF">
        <w:rPr>
          <w:b/>
        </w:rPr>
        <w:t>Performance Standards and Indicators</w:t>
      </w:r>
    </w:p>
    <w:tbl>
      <w:tblPr>
        <w:tblW w:w="10232" w:type="dxa"/>
        <w:jc w:val="center"/>
        <w:tblLayout w:type="fixed"/>
        <w:tblCellMar>
          <w:left w:w="0" w:type="dxa"/>
          <w:right w:w="0" w:type="dxa"/>
        </w:tblCellMar>
        <w:tblLook w:val="01E0" w:firstRow="1" w:lastRow="1" w:firstColumn="1" w:lastColumn="1" w:noHBand="0" w:noVBand="0"/>
      </w:tblPr>
      <w:tblGrid>
        <w:gridCol w:w="4317"/>
        <w:gridCol w:w="1653"/>
        <w:gridCol w:w="1587"/>
        <w:gridCol w:w="1530"/>
        <w:gridCol w:w="1145"/>
      </w:tblGrid>
      <w:tr w:rsidR="00E73AD2" w:rsidRPr="00C871AF" w14:paraId="0AE07EB7" w14:textId="77777777" w:rsidTr="00E70F55">
        <w:trPr>
          <w:trHeight w:hRule="exact" w:val="677"/>
          <w:jc w:val="center"/>
        </w:trPr>
        <w:tc>
          <w:tcPr>
            <w:tcW w:w="4317" w:type="dxa"/>
            <w:tcBorders>
              <w:top w:val="single" w:sz="2" w:space="0" w:color="231F20"/>
              <w:left w:val="single" w:sz="2" w:space="0" w:color="231F20"/>
              <w:bottom w:val="single" w:sz="2" w:space="0" w:color="231F20"/>
              <w:right w:val="single" w:sz="2" w:space="0" w:color="231F20"/>
            </w:tcBorders>
            <w:shd w:val="clear" w:color="auto" w:fill="FFFFFF" w:themeFill="background1"/>
          </w:tcPr>
          <w:p w14:paraId="5E7E4AF3" w14:textId="77777777" w:rsidR="00E73AD2" w:rsidRPr="00E70F55" w:rsidRDefault="00E73AD2" w:rsidP="00C871AF">
            <w:pPr>
              <w:widowControl w:val="0"/>
              <w:spacing w:before="5" w:after="0" w:line="240" w:lineRule="auto"/>
              <w:ind w:left="90"/>
              <w:rPr>
                <w:rFonts w:cs="Calibri"/>
                <w:b/>
                <w:bCs/>
              </w:rPr>
            </w:pPr>
            <w:bookmarkStart w:id="179" w:name="_Hlk501608380"/>
          </w:p>
          <w:p w14:paraId="2E0E285E" w14:textId="77777777" w:rsidR="00E73AD2" w:rsidRPr="00E70F55" w:rsidRDefault="00E73AD2" w:rsidP="00C871AF">
            <w:pPr>
              <w:widowControl w:val="0"/>
              <w:spacing w:after="0" w:line="240" w:lineRule="auto"/>
              <w:ind w:left="90"/>
              <w:rPr>
                <w:rFonts w:cs="Calibri"/>
              </w:rPr>
            </w:pPr>
            <w:r w:rsidRPr="00E70F55">
              <w:rPr>
                <w:b/>
                <w:color w:val="231F20"/>
                <w:w w:val="110"/>
              </w:rPr>
              <w:t>Standard</w:t>
            </w:r>
          </w:p>
        </w:tc>
        <w:tc>
          <w:tcPr>
            <w:tcW w:w="1653" w:type="dxa"/>
            <w:tcBorders>
              <w:top w:val="single" w:sz="2" w:space="0" w:color="231F20"/>
              <w:left w:val="single" w:sz="2" w:space="0" w:color="231F20"/>
              <w:bottom w:val="single" w:sz="2" w:space="0" w:color="231F20"/>
              <w:right w:val="single" w:sz="2" w:space="0" w:color="231F20"/>
            </w:tcBorders>
            <w:shd w:val="clear" w:color="auto" w:fill="FFFFFF" w:themeFill="background1"/>
          </w:tcPr>
          <w:p w14:paraId="702F5AB0" w14:textId="7BED815B" w:rsidR="00E73AD2" w:rsidRPr="00E70F55" w:rsidRDefault="00EA3CBE" w:rsidP="00C871AF">
            <w:pPr>
              <w:widowControl w:val="0"/>
              <w:spacing w:before="102" w:after="0" w:line="240" w:lineRule="exact"/>
              <w:ind w:left="90"/>
              <w:rPr>
                <w:b/>
                <w:color w:val="231F20"/>
                <w:w w:val="115"/>
              </w:rPr>
            </w:pPr>
            <w:r w:rsidRPr="00E70F55">
              <w:rPr>
                <w:b/>
                <w:color w:val="231F20"/>
                <w:w w:val="115"/>
              </w:rPr>
              <w:br/>
            </w:r>
            <w:r w:rsidR="00E73AD2" w:rsidRPr="00E70F55">
              <w:rPr>
                <w:b/>
                <w:color w:val="231F20"/>
                <w:w w:val="115"/>
              </w:rPr>
              <w:t>SFY</w:t>
            </w:r>
            <w:r w:rsidR="00E73AD2" w:rsidRPr="00E70F55">
              <w:rPr>
                <w:b/>
                <w:color w:val="231F20"/>
                <w:w w:val="125"/>
              </w:rPr>
              <w:t xml:space="preserve"> </w:t>
            </w:r>
            <w:r w:rsidR="00E73AD2" w:rsidRPr="00E70F55">
              <w:rPr>
                <w:b/>
                <w:color w:val="231F20"/>
                <w:w w:val="105"/>
              </w:rPr>
              <w:t>2016-2017</w:t>
            </w:r>
          </w:p>
        </w:tc>
        <w:tc>
          <w:tcPr>
            <w:tcW w:w="1587" w:type="dxa"/>
            <w:tcBorders>
              <w:top w:val="single" w:sz="2" w:space="0" w:color="231F20"/>
              <w:left w:val="single" w:sz="2" w:space="0" w:color="231F20"/>
              <w:bottom w:val="single" w:sz="2" w:space="0" w:color="231F20"/>
              <w:right w:val="single" w:sz="2" w:space="0" w:color="231F20"/>
            </w:tcBorders>
            <w:shd w:val="clear" w:color="auto" w:fill="FFFFFF" w:themeFill="background1"/>
          </w:tcPr>
          <w:p w14:paraId="63B70926" w14:textId="4B0A7B5A" w:rsidR="00E73AD2" w:rsidRPr="00E70F55" w:rsidRDefault="00EA3CBE" w:rsidP="00C871AF">
            <w:pPr>
              <w:widowControl w:val="0"/>
              <w:spacing w:before="102" w:after="0" w:line="240" w:lineRule="exact"/>
              <w:ind w:left="90"/>
              <w:rPr>
                <w:rFonts w:cs="Calibri"/>
              </w:rPr>
            </w:pPr>
            <w:r w:rsidRPr="00E70F55">
              <w:rPr>
                <w:b/>
                <w:color w:val="231F20"/>
                <w:w w:val="115"/>
              </w:rPr>
              <w:br/>
            </w:r>
            <w:r w:rsidR="00E73AD2" w:rsidRPr="00E70F55">
              <w:rPr>
                <w:b/>
                <w:color w:val="231F20"/>
                <w:w w:val="115"/>
              </w:rPr>
              <w:t>SFY</w:t>
            </w:r>
            <w:r w:rsidR="00E73AD2" w:rsidRPr="00E70F55">
              <w:rPr>
                <w:b/>
                <w:color w:val="231F20"/>
                <w:w w:val="125"/>
              </w:rPr>
              <w:t xml:space="preserve"> </w:t>
            </w:r>
            <w:r w:rsidR="00E73AD2" w:rsidRPr="00E70F55">
              <w:rPr>
                <w:b/>
                <w:color w:val="231F20"/>
                <w:w w:val="105"/>
              </w:rPr>
              <w:t>2014-2015</w:t>
            </w:r>
          </w:p>
        </w:tc>
        <w:tc>
          <w:tcPr>
            <w:tcW w:w="1530" w:type="dxa"/>
            <w:tcBorders>
              <w:top w:val="single" w:sz="2" w:space="0" w:color="231F20"/>
              <w:left w:val="single" w:sz="2" w:space="0" w:color="231F20"/>
              <w:bottom w:val="single" w:sz="2" w:space="0" w:color="231F20"/>
              <w:right w:val="single" w:sz="2" w:space="0" w:color="231F20"/>
            </w:tcBorders>
            <w:shd w:val="clear" w:color="auto" w:fill="FFFFFF" w:themeFill="background1"/>
          </w:tcPr>
          <w:p w14:paraId="7FE6D057" w14:textId="77777777" w:rsidR="00E73AD2" w:rsidRPr="00E70F55" w:rsidRDefault="00E73AD2" w:rsidP="00C871AF">
            <w:pPr>
              <w:widowControl w:val="0"/>
              <w:spacing w:before="5" w:after="0" w:line="240" w:lineRule="auto"/>
              <w:ind w:left="90"/>
              <w:rPr>
                <w:rFonts w:cs="Calibri"/>
                <w:b/>
                <w:bCs/>
              </w:rPr>
            </w:pPr>
          </w:p>
          <w:p w14:paraId="54D39C21" w14:textId="77777777" w:rsidR="00E73AD2" w:rsidRPr="00E70F55" w:rsidRDefault="00E73AD2" w:rsidP="00C871AF">
            <w:pPr>
              <w:widowControl w:val="0"/>
              <w:spacing w:after="0" w:line="240" w:lineRule="auto"/>
              <w:ind w:left="90"/>
              <w:rPr>
                <w:rFonts w:cs="Calibri"/>
              </w:rPr>
            </w:pPr>
            <w:r w:rsidRPr="00E70F55">
              <w:rPr>
                <w:b/>
                <w:color w:val="231F20"/>
                <w:w w:val="110"/>
              </w:rPr>
              <w:t>Difference</w:t>
            </w:r>
          </w:p>
        </w:tc>
        <w:tc>
          <w:tcPr>
            <w:tcW w:w="1145" w:type="dxa"/>
            <w:tcBorders>
              <w:top w:val="single" w:sz="2" w:space="0" w:color="231F20"/>
              <w:left w:val="single" w:sz="2" w:space="0" w:color="231F20"/>
              <w:bottom w:val="single" w:sz="2" w:space="0" w:color="231F20"/>
              <w:right w:val="single" w:sz="2" w:space="0" w:color="231F20"/>
            </w:tcBorders>
            <w:shd w:val="clear" w:color="auto" w:fill="FFFFFF" w:themeFill="background1"/>
          </w:tcPr>
          <w:p w14:paraId="55198803" w14:textId="77777777" w:rsidR="00E73AD2" w:rsidRPr="00E70F55" w:rsidRDefault="00E73AD2" w:rsidP="00C871AF">
            <w:pPr>
              <w:widowControl w:val="0"/>
              <w:spacing w:before="5" w:after="0" w:line="240" w:lineRule="auto"/>
              <w:ind w:left="90"/>
              <w:rPr>
                <w:rFonts w:cs="Calibri"/>
                <w:b/>
                <w:bCs/>
              </w:rPr>
            </w:pPr>
          </w:p>
          <w:p w14:paraId="4F83B5C1" w14:textId="77777777" w:rsidR="00E73AD2" w:rsidRPr="00E70F55" w:rsidRDefault="00E73AD2" w:rsidP="00C871AF">
            <w:pPr>
              <w:widowControl w:val="0"/>
              <w:spacing w:after="0" w:line="240" w:lineRule="auto"/>
              <w:ind w:left="90"/>
              <w:rPr>
                <w:rFonts w:cs="Calibri"/>
              </w:rPr>
            </w:pPr>
            <w:r w:rsidRPr="00E70F55">
              <w:rPr>
                <w:b/>
                <w:color w:val="231F20"/>
              </w:rPr>
              <w:t>Met</w:t>
            </w:r>
          </w:p>
        </w:tc>
      </w:tr>
      <w:tr w:rsidR="00E73AD2" w:rsidRPr="00C871AF" w14:paraId="533FE515" w14:textId="77777777" w:rsidTr="00EA3CBE">
        <w:trPr>
          <w:trHeight w:hRule="exact" w:val="570"/>
          <w:jc w:val="center"/>
        </w:trPr>
        <w:tc>
          <w:tcPr>
            <w:tcW w:w="4317" w:type="dxa"/>
            <w:tcBorders>
              <w:top w:val="single" w:sz="2" w:space="0" w:color="231F20"/>
              <w:left w:val="single" w:sz="2" w:space="0" w:color="231F20"/>
              <w:bottom w:val="single" w:sz="2" w:space="0" w:color="231F20"/>
              <w:right w:val="single" w:sz="2" w:space="0" w:color="231F20"/>
            </w:tcBorders>
            <w:shd w:val="clear" w:color="auto" w:fill="E6E7E8"/>
          </w:tcPr>
          <w:p w14:paraId="6169DE89" w14:textId="77777777" w:rsidR="00E73AD2" w:rsidRPr="00C871AF" w:rsidRDefault="00E73AD2" w:rsidP="00C871AF">
            <w:pPr>
              <w:widowControl w:val="0"/>
              <w:spacing w:before="49" w:after="0" w:line="240" w:lineRule="exact"/>
              <w:ind w:left="90"/>
              <w:rPr>
                <w:rFonts w:cs="Calibri"/>
              </w:rPr>
            </w:pPr>
            <w:r w:rsidRPr="00C871AF">
              <w:rPr>
                <w:color w:val="231F20"/>
                <w:spacing w:val="-8"/>
              </w:rPr>
              <w:t xml:space="preserve">1.1 </w:t>
            </w:r>
            <w:r w:rsidRPr="00C871AF">
              <w:rPr>
                <w:color w:val="231F20"/>
              </w:rPr>
              <w:t>Number</w:t>
            </w:r>
            <w:r w:rsidRPr="00C871AF">
              <w:rPr>
                <w:color w:val="231F20"/>
                <w:spacing w:val="30"/>
              </w:rPr>
              <w:t xml:space="preserve"> </w:t>
            </w:r>
            <w:r w:rsidRPr="00C871AF">
              <w:rPr>
                <w:color w:val="231F20"/>
              </w:rPr>
              <w:t>of</w:t>
            </w:r>
            <w:r w:rsidRPr="00C871AF">
              <w:rPr>
                <w:color w:val="231F20"/>
                <w:spacing w:val="30"/>
              </w:rPr>
              <w:t xml:space="preserve"> </w:t>
            </w:r>
            <w:r w:rsidRPr="00C871AF">
              <w:rPr>
                <w:color w:val="231F20"/>
              </w:rPr>
              <w:t>closed</w:t>
            </w:r>
            <w:r w:rsidRPr="00C871AF">
              <w:rPr>
                <w:color w:val="231F20"/>
                <w:spacing w:val="30"/>
              </w:rPr>
              <w:t xml:space="preserve"> </w:t>
            </w:r>
            <w:r w:rsidRPr="00C871AF">
              <w:rPr>
                <w:color w:val="231F20"/>
              </w:rPr>
              <w:t>cases</w:t>
            </w:r>
            <w:r w:rsidRPr="00C871AF">
              <w:rPr>
                <w:color w:val="231F20"/>
                <w:spacing w:val="30"/>
              </w:rPr>
              <w:t xml:space="preserve"> </w:t>
            </w:r>
            <w:r w:rsidRPr="00C871AF">
              <w:rPr>
                <w:color w:val="231F20"/>
              </w:rPr>
              <w:t>with</w:t>
            </w:r>
            <w:r w:rsidRPr="00C871AF">
              <w:rPr>
                <w:color w:val="231F20"/>
                <w:spacing w:val="30"/>
              </w:rPr>
              <w:t xml:space="preserve"> </w:t>
            </w:r>
            <w:r w:rsidRPr="00C871AF">
              <w:rPr>
                <w:color w:val="231F20"/>
              </w:rPr>
              <w:t>an</w:t>
            </w:r>
            <w:r w:rsidRPr="00C871AF">
              <w:rPr>
                <w:color w:val="231F20"/>
                <w:spacing w:val="30"/>
              </w:rPr>
              <w:t xml:space="preserve"> </w:t>
            </w:r>
            <w:r w:rsidRPr="00C871AF">
              <w:rPr>
                <w:color w:val="231F20"/>
              </w:rPr>
              <w:t>employment</w:t>
            </w:r>
            <w:r w:rsidRPr="00C871AF">
              <w:rPr>
                <w:color w:val="231F20"/>
                <w:spacing w:val="-41"/>
              </w:rPr>
              <w:t xml:space="preserve"> </w:t>
            </w:r>
            <w:r w:rsidRPr="00C871AF">
              <w:rPr>
                <w:color w:val="231F20"/>
              </w:rPr>
              <w:t>outcome</w:t>
            </w:r>
          </w:p>
        </w:tc>
        <w:tc>
          <w:tcPr>
            <w:tcW w:w="1653" w:type="dxa"/>
            <w:tcBorders>
              <w:top w:val="single" w:sz="2" w:space="0" w:color="231F20"/>
              <w:left w:val="single" w:sz="2" w:space="0" w:color="231F20"/>
              <w:bottom w:val="single" w:sz="2" w:space="0" w:color="231F20"/>
              <w:right w:val="single" w:sz="2" w:space="0" w:color="231F20"/>
            </w:tcBorders>
            <w:shd w:val="clear" w:color="auto" w:fill="E6E7E8"/>
          </w:tcPr>
          <w:p w14:paraId="358B267B" w14:textId="77777777" w:rsidR="00E73AD2" w:rsidRPr="00C871AF" w:rsidRDefault="00E73AD2" w:rsidP="00D63204">
            <w:pPr>
              <w:widowControl w:val="0"/>
              <w:spacing w:before="171" w:after="0" w:line="240" w:lineRule="auto"/>
              <w:ind w:left="90"/>
              <w:rPr>
                <w:color w:val="231F20"/>
                <w:w w:val="90"/>
              </w:rPr>
            </w:pPr>
            <w:r w:rsidRPr="00C871AF">
              <w:rPr>
                <w:color w:val="231F20"/>
                <w:w w:val="90"/>
              </w:rPr>
              <w:t>851</w:t>
            </w:r>
          </w:p>
        </w:tc>
        <w:tc>
          <w:tcPr>
            <w:tcW w:w="1587" w:type="dxa"/>
            <w:tcBorders>
              <w:top w:val="single" w:sz="2" w:space="0" w:color="231F20"/>
              <w:left w:val="single" w:sz="2" w:space="0" w:color="231F20"/>
              <w:bottom w:val="single" w:sz="2" w:space="0" w:color="231F20"/>
              <w:right w:val="single" w:sz="2" w:space="0" w:color="231F20"/>
            </w:tcBorders>
            <w:shd w:val="clear" w:color="auto" w:fill="E6E7E8"/>
          </w:tcPr>
          <w:p w14:paraId="36500810" w14:textId="77777777" w:rsidR="00E73AD2" w:rsidRPr="00C871AF" w:rsidRDefault="00E73AD2" w:rsidP="00D63204">
            <w:pPr>
              <w:widowControl w:val="0"/>
              <w:spacing w:before="171" w:after="0" w:line="240" w:lineRule="auto"/>
              <w:ind w:left="90"/>
              <w:rPr>
                <w:rFonts w:cs="Calibri"/>
              </w:rPr>
            </w:pPr>
            <w:r w:rsidRPr="00C871AF">
              <w:rPr>
                <w:color w:val="231F20"/>
                <w:w w:val="90"/>
              </w:rPr>
              <w:t>761</w:t>
            </w:r>
          </w:p>
        </w:tc>
        <w:tc>
          <w:tcPr>
            <w:tcW w:w="1530" w:type="dxa"/>
            <w:tcBorders>
              <w:top w:val="single" w:sz="2" w:space="0" w:color="231F20"/>
              <w:left w:val="single" w:sz="2" w:space="0" w:color="231F20"/>
              <w:bottom w:val="single" w:sz="2" w:space="0" w:color="231F20"/>
              <w:right w:val="single" w:sz="2" w:space="0" w:color="231F20"/>
            </w:tcBorders>
            <w:shd w:val="clear" w:color="auto" w:fill="E6E7E8"/>
          </w:tcPr>
          <w:p w14:paraId="37521D50" w14:textId="7C8FB3B1" w:rsidR="00E73AD2" w:rsidRPr="00C871AF" w:rsidRDefault="00E73AD2" w:rsidP="00D63204">
            <w:pPr>
              <w:widowControl w:val="0"/>
              <w:spacing w:before="171" w:after="0" w:line="240" w:lineRule="auto"/>
              <w:ind w:left="90"/>
              <w:rPr>
                <w:rFonts w:cs="Calibri"/>
              </w:rPr>
            </w:pPr>
            <w:r w:rsidRPr="00C871AF">
              <w:rPr>
                <w:color w:val="231F20"/>
                <w:w w:val="110"/>
              </w:rPr>
              <w:t>90</w:t>
            </w:r>
          </w:p>
        </w:tc>
        <w:tc>
          <w:tcPr>
            <w:tcW w:w="1145" w:type="dxa"/>
            <w:tcBorders>
              <w:top w:val="single" w:sz="2" w:space="0" w:color="231F20"/>
              <w:left w:val="single" w:sz="2" w:space="0" w:color="231F20"/>
              <w:bottom w:val="single" w:sz="2" w:space="0" w:color="231F20"/>
              <w:right w:val="single" w:sz="2" w:space="0" w:color="231F20"/>
            </w:tcBorders>
            <w:shd w:val="clear" w:color="auto" w:fill="E6E7E8"/>
          </w:tcPr>
          <w:p w14:paraId="643B552F" w14:textId="77777777" w:rsidR="00E73AD2" w:rsidRPr="00C871AF" w:rsidRDefault="00E73AD2" w:rsidP="00D63204">
            <w:pPr>
              <w:widowControl w:val="0"/>
              <w:spacing w:before="171" w:after="0" w:line="240" w:lineRule="auto"/>
              <w:ind w:left="90"/>
              <w:rPr>
                <w:rFonts w:cs="Calibri"/>
              </w:rPr>
            </w:pPr>
            <w:r w:rsidRPr="00C871AF">
              <w:rPr>
                <w:color w:val="231F20"/>
              </w:rPr>
              <w:t>Met</w:t>
            </w:r>
          </w:p>
        </w:tc>
      </w:tr>
      <w:tr w:rsidR="00E73AD2" w:rsidRPr="00C871AF" w14:paraId="07C45029" w14:textId="77777777" w:rsidTr="00EA3CBE">
        <w:trPr>
          <w:trHeight w:hRule="exact" w:val="995"/>
          <w:jc w:val="center"/>
        </w:trPr>
        <w:tc>
          <w:tcPr>
            <w:tcW w:w="4317" w:type="dxa"/>
            <w:tcBorders>
              <w:top w:val="single" w:sz="2" w:space="0" w:color="231F20"/>
              <w:left w:val="single" w:sz="2" w:space="0" w:color="231F20"/>
              <w:bottom w:val="single" w:sz="2" w:space="0" w:color="231F20"/>
              <w:right w:val="single" w:sz="2" w:space="0" w:color="231F20"/>
            </w:tcBorders>
          </w:tcPr>
          <w:p w14:paraId="55443DE1" w14:textId="77777777" w:rsidR="00E73AD2" w:rsidRPr="00C871AF" w:rsidRDefault="00E73AD2" w:rsidP="00C871AF">
            <w:pPr>
              <w:widowControl w:val="0"/>
              <w:spacing w:before="8" w:after="0" w:line="240" w:lineRule="auto"/>
              <w:ind w:left="90"/>
              <w:rPr>
                <w:rFonts w:cs="Calibri"/>
                <w:b/>
                <w:bCs/>
              </w:rPr>
            </w:pPr>
          </w:p>
          <w:p w14:paraId="3606C61E" w14:textId="0BB54C25" w:rsidR="00E73AD2" w:rsidRPr="00C871AF" w:rsidRDefault="00E73AD2" w:rsidP="00C871AF">
            <w:pPr>
              <w:widowControl w:val="0"/>
              <w:spacing w:after="0" w:line="240" w:lineRule="exact"/>
              <w:ind w:left="90"/>
              <w:rPr>
                <w:rFonts w:cs="Calibri"/>
              </w:rPr>
            </w:pPr>
            <w:r w:rsidRPr="00C871AF">
              <w:rPr>
                <w:color w:val="231F20"/>
                <w:w w:val="105"/>
              </w:rPr>
              <w:t>1.2</w:t>
            </w:r>
            <w:r w:rsidRPr="00C871AF">
              <w:rPr>
                <w:color w:val="231F20"/>
                <w:spacing w:val="17"/>
                <w:w w:val="105"/>
              </w:rPr>
              <w:t xml:space="preserve"> </w:t>
            </w:r>
            <w:r w:rsidRPr="00C871AF">
              <w:rPr>
                <w:color w:val="231F20"/>
                <w:w w:val="105"/>
              </w:rPr>
              <w:t>Of</w:t>
            </w:r>
            <w:r w:rsidRPr="00C871AF">
              <w:rPr>
                <w:color w:val="231F20"/>
                <w:spacing w:val="17"/>
                <w:w w:val="105"/>
              </w:rPr>
              <w:t xml:space="preserve"> </w:t>
            </w:r>
            <w:r w:rsidRPr="00C871AF">
              <w:rPr>
                <w:color w:val="231F20"/>
                <w:w w:val="105"/>
              </w:rPr>
              <w:t>the</w:t>
            </w:r>
            <w:r w:rsidRPr="00C871AF">
              <w:rPr>
                <w:color w:val="231F20"/>
                <w:spacing w:val="17"/>
                <w:w w:val="105"/>
              </w:rPr>
              <w:t xml:space="preserve"> </w:t>
            </w:r>
            <w:r w:rsidRPr="00C871AF">
              <w:rPr>
                <w:color w:val="231F20"/>
                <w:w w:val="105"/>
              </w:rPr>
              <w:t>closed</w:t>
            </w:r>
            <w:r w:rsidRPr="00C871AF">
              <w:rPr>
                <w:color w:val="231F20"/>
                <w:spacing w:val="17"/>
                <w:w w:val="105"/>
              </w:rPr>
              <w:t xml:space="preserve"> </w:t>
            </w:r>
            <w:r w:rsidRPr="00C871AF">
              <w:rPr>
                <w:color w:val="231F20"/>
                <w:w w:val="105"/>
              </w:rPr>
              <w:t>cases</w:t>
            </w:r>
            <w:r w:rsidRPr="00C871AF">
              <w:rPr>
                <w:color w:val="231F20"/>
                <w:spacing w:val="17"/>
                <w:w w:val="105"/>
              </w:rPr>
              <w:t xml:space="preserve"> </w:t>
            </w:r>
            <w:r w:rsidRPr="00C871AF">
              <w:rPr>
                <w:color w:val="231F20"/>
                <w:w w:val="105"/>
              </w:rPr>
              <w:t>that</w:t>
            </w:r>
            <w:r w:rsidRPr="00C871AF">
              <w:rPr>
                <w:color w:val="231F20"/>
                <w:spacing w:val="17"/>
                <w:w w:val="105"/>
              </w:rPr>
              <w:t xml:space="preserve"> </w:t>
            </w:r>
            <w:r w:rsidRPr="00C871AF">
              <w:rPr>
                <w:color w:val="231F20"/>
                <w:w w:val="105"/>
              </w:rPr>
              <w:t>received</w:t>
            </w:r>
            <w:r w:rsidRPr="00C871AF">
              <w:rPr>
                <w:color w:val="231F20"/>
                <w:spacing w:val="17"/>
                <w:w w:val="105"/>
              </w:rPr>
              <w:t xml:space="preserve"> </w:t>
            </w:r>
            <w:r w:rsidRPr="00C871AF">
              <w:rPr>
                <w:color w:val="231F20"/>
                <w:w w:val="105"/>
              </w:rPr>
              <w:t>services,</w:t>
            </w:r>
            <w:r w:rsidRPr="00C871AF">
              <w:rPr>
                <w:color w:val="231F20"/>
                <w:spacing w:val="-45"/>
                <w:w w:val="105"/>
              </w:rPr>
              <w:t xml:space="preserve"> </w:t>
            </w:r>
            <w:r w:rsidRPr="00C871AF">
              <w:rPr>
                <w:color w:val="231F20"/>
                <w:w w:val="105"/>
              </w:rPr>
              <w:t>the percentage with an employment outcome</w:t>
            </w:r>
          </w:p>
        </w:tc>
        <w:tc>
          <w:tcPr>
            <w:tcW w:w="1653" w:type="dxa"/>
            <w:tcBorders>
              <w:top w:val="single" w:sz="2" w:space="0" w:color="231F20"/>
              <w:left w:val="single" w:sz="2" w:space="0" w:color="231F20"/>
              <w:bottom w:val="single" w:sz="2" w:space="0" w:color="231F20"/>
              <w:right w:val="single" w:sz="2" w:space="0" w:color="231F20"/>
            </w:tcBorders>
            <w:vAlign w:val="center"/>
          </w:tcPr>
          <w:p w14:paraId="3CEB3D86" w14:textId="77777777" w:rsidR="00E73AD2" w:rsidRPr="00C871AF" w:rsidRDefault="00E73AD2" w:rsidP="00D63204">
            <w:pPr>
              <w:widowControl w:val="0"/>
              <w:spacing w:before="7" w:after="0" w:line="240" w:lineRule="auto"/>
              <w:ind w:left="90"/>
              <w:rPr>
                <w:rFonts w:cs="Calibri"/>
                <w:bCs/>
              </w:rPr>
            </w:pPr>
            <w:r w:rsidRPr="00C871AF">
              <w:rPr>
                <w:rFonts w:cs="Calibri"/>
                <w:bCs/>
              </w:rPr>
              <w:t>57.93%</w:t>
            </w:r>
          </w:p>
        </w:tc>
        <w:tc>
          <w:tcPr>
            <w:tcW w:w="1587" w:type="dxa"/>
            <w:tcBorders>
              <w:top w:val="single" w:sz="2" w:space="0" w:color="231F20"/>
              <w:left w:val="single" w:sz="2" w:space="0" w:color="231F20"/>
              <w:bottom w:val="single" w:sz="2" w:space="0" w:color="231F20"/>
              <w:right w:val="single" w:sz="2" w:space="0" w:color="231F20"/>
            </w:tcBorders>
          </w:tcPr>
          <w:p w14:paraId="27A4023E" w14:textId="77777777" w:rsidR="00E73AD2" w:rsidRPr="00C871AF" w:rsidRDefault="00E73AD2" w:rsidP="00D63204">
            <w:pPr>
              <w:widowControl w:val="0"/>
              <w:spacing w:before="7" w:after="0" w:line="240" w:lineRule="auto"/>
              <w:ind w:left="90"/>
              <w:rPr>
                <w:rFonts w:cs="Calibri"/>
                <w:b/>
                <w:bCs/>
              </w:rPr>
            </w:pPr>
          </w:p>
          <w:p w14:paraId="59F6BFB7" w14:textId="77777777" w:rsidR="00E73AD2" w:rsidRPr="00C871AF" w:rsidRDefault="00E73AD2" w:rsidP="00D63204">
            <w:pPr>
              <w:widowControl w:val="0"/>
              <w:spacing w:after="0" w:line="240" w:lineRule="auto"/>
              <w:ind w:left="90"/>
              <w:rPr>
                <w:rFonts w:cs="Calibri"/>
              </w:rPr>
            </w:pPr>
            <w:r w:rsidRPr="00C871AF">
              <w:rPr>
                <w:color w:val="231F20"/>
                <w:w w:val="110"/>
              </w:rPr>
              <w:t>59.27%</w:t>
            </w:r>
          </w:p>
        </w:tc>
        <w:tc>
          <w:tcPr>
            <w:tcW w:w="1530" w:type="dxa"/>
            <w:tcBorders>
              <w:top w:val="single" w:sz="2" w:space="0" w:color="231F20"/>
              <w:left w:val="single" w:sz="2" w:space="0" w:color="231F20"/>
              <w:bottom w:val="single" w:sz="2" w:space="0" w:color="231F20"/>
              <w:right w:val="single" w:sz="2" w:space="0" w:color="231F20"/>
            </w:tcBorders>
          </w:tcPr>
          <w:p w14:paraId="44B79F9D" w14:textId="2FED8E7A" w:rsidR="00E73AD2" w:rsidRPr="00C871AF" w:rsidRDefault="00E73AD2" w:rsidP="00D63204">
            <w:pPr>
              <w:widowControl w:val="0"/>
              <w:spacing w:after="0" w:line="240" w:lineRule="auto"/>
              <w:ind w:left="90"/>
              <w:rPr>
                <w:color w:val="231F20"/>
                <w:spacing w:val="-3"/>
              </w:rPr>
            </w:pPr>
          </w:p>
          <w:p w14:paraId="5373187C" w14:textId="77777777" w:rsidR="00E73AD2" w:rsidRPr="00C871AF" w:rsidRDefault="00E73AD2" w:rsidP="00D63204">
            <w:pPr>
              <w:widowControl w:val="0"/>
              <w:spacing w:after="0" w:line="240" w:lineRule="auto"/>
              <w:ind w:left="90"/>
              <w:rPr>
                <w:rFonts w:cs="Calibri"/>
              </w:rPr>
            </w:pPr>
            <w:r w:rsidRPr="00C871AF">
              <w:rPr>
                <w:color w:val="231F20"/>
                <w:spacing w:val="-3"/>
              </w:rPr>
              <w:t>-2.31%</w:t>
            </w:r>
          </w:p>
        </w:tc>
        <w:tc>
          <w:tcPr>
            <w:tcW w:w="1145" w:type="dxa"/>
            <w:tcBorders>
              <w:top w:val="single" w:sz="2" w:space="0" w:color="231F20"/>
              <w:left w:val="single" w:sz="2" w:space="0" w:color="231F20"/>
              <w:bottom w:val="single" w:sz="2" w:space="0" w:color="231F20"/>
              <w:right w:val="single" w:sz="2" w:space="0" w:color="231F20"/>
            </w:tcBorders>
          </w:tcPr>
          <w:p w14:paraId="017F2DB5" w14:textId="77777777" w:rsidR="00E73AD2" w:rsidRPr="00C871AF" w:rsidRDefault="00E73AD2" w:rsidP="00D63204">
            <w:pPr>
              <w:widowControl w:val="0"/>
              <w:spacing w:before="7" w:after="0" w:line="240" w:lineRule="auto"/>
              <w:ind w:left="90"/>
              <w:rPr>
                <w:rFonts w:cs="Calibri"/>
                <w:b/>
                <w:bCs/>
              </w:rPr>
            </w:pPr>
          </w:p>
          <w:p w14:paraId="0709385F" w14:textId="77777777" w:rsidR="00E73AD2" w:rsidRPr="00C871AF" w:rsidRDefault="00E73AD2" w:rsidP="00D63204">
            <w:pPr>
              <w:widowControl w:val="0"/>
              <w:spacing w:after="0" w:line="240" w:lineRule="auto"/>
              <w:ind w:left="90"/>
              <w:rPr>
                <w:rFonts w:cs="Calibri"/>
              </w:rPr>
            </w:pPr>
            <w:r w:rsidRPr="00C871AF">
              <w:rPr>
                <w:color w:val="231F20"/>
              </w:rPr>
              <w:t>Not</w:t>
            </w:r>
            <w:r w:rsidRPr="00C871AF">
              <w:rPr>
                <w:color w:val="231F20"/>
                <w:spacing w:val="14"/>
              </w:rPr>
              <w:t xml:space="preserve"> </w:t>
            </w:r>
            <w:r w:rsidRPr="00C871AF">
              <w:rPr>
                <w:color w:val="231F20"/>
              </w:rPr>
              <w:t>Met</w:t>
            </w:r>
          </w:p>
        </w:tc>
      </w:tr>
      <w:tr w:rsidR="00E73AD2" w:rsidRPr="00C871AF" w14:paraId="278FEA39" w14:textId="77777777" w:rsidTr="00EA3CBE">
        <w:trPr>
          <w:trHeight w:hRule="exact" w:val="1166"/>
          <w:jc w:val="center"/>
        </w:trPr>
        <w:tc>
          <w:tcPr>
            <w:tcW w:w="4317" w:type="dxa"/>
            <w:tcBorders>
              <w:top w:val="single" w:sz="2" w:space="0" w:color="231F20"/>
              <w:left w:val="single" w:sz="2" w:space="0" w:color="231F20"/>
              <w:bottom w:val="single" w:sz="2" w:space="0" w:color="231F20"/>
              <w:right w:val="single" w:sz="2" w:space="0" w:color="231F20"/>
            </w:tcBorders>
            <w:shd w:val="clear" w:color="auto" w:fill="E6E7E8"/>
          </w:tcPr>
          <w:p w14:paraId="1143E3FD" w14:textId="77777777" w:rsidR="00E73AD2" w:rsidRPr="00C871AF" w:rsidRDefault="00E73AD2" w:rsidP="00C871AF">
            <w:pPr>
              <w:widowControl w:val="0"/>
              <w:spacing w:before="4" w:after="0" w:line="240" w:lineRule="auto"/>
              <w:ind w:left="90"/>
              <w:rPr>
                <w:rFonts w:cs="Calibri"/>
                <w:b/>
                <w:bCs/>
              </w:rPr>
            </w:pPr>
          </w:p>
          <w:p w14:paraId="748E2DBF" w14:textId="77777777" w:rsidR="00E73AD2" w:rsidRPr="00C871AF" w:rsidRDefault="00E73AD2" w:rsidP="00C871AF">
            <w:pPr>
              <w:widowControl w:val="0"/>
              <w:spacing w:after="0" w:line="240" w:lineRule="exact"/>
              <w:ind w:left="90"/>
              <w:rPr>
                <w:rFonts w:cs="Calibri"/>
              </w:rPr>
            </w:pPr>
            <w:r w:rsidRPr="00C871AF">
              <w:rPr>
                <w:color w:val="231F20"/>
                <w:w w:val="105"/>
              </w:rPr>
              <w:t>1.3 Of the closed cases with an</w:t>
            </w:r>
            <w:r w:rsidRPr="00C871AF">
              <w:rPr>
                <w:color w:val="231F20"/>
                <w:spacing w:val="6"/>
                <w:w w:val="105"/>
              </w:rPr>
              <w:t xml:space="preserve"> </w:t>
            </w:r>
            <w:r w:rsidRPr="00C871AF">
              <w:rPr>
                <w:color w:val="231F20"/>
                <w:w w:val="105"/>
              </w:rPr>
              <w:t>employment</w:t>
            </w:r>
            <w:r w:rsidRPr="00C871AF">
              <w:rPr>
                <w:color w:val="231F20"/>
                <w:w w:val="104"/>
              </w:rPr>
              <w:t xml:space="preserve"> </w:t>
            </w:r>
            <w:r w:rsidRPr="00C871AF">
              <w:rPr>
                <w:color w:val="231F20"/>
                <w:w w:val="105"/>
              </w:rPr>
              <w:t>outcome,</w:t>
            </w:r>
            <w:r w:rsidRPr="00C871AF">
              <w:rPr>
                <w:color w:val="231F20"/>
                <w:spacing w:val="10"/>
                <w:w w:val="105"/>
              </w:rPr>
              <w:t xml:space="preserve"> </w:t>
            </w:r>
            <w:r w:rsidRPr="00C871AF">
              <w:rPr>
                <w:color w:val="231F20"/>
                <w:w w:val="105"/>
              </w:rPr>
              <w:t>the</w:t>
            </w:r>
            <w:r w:rsidRPr="00C871AF">
              <w:rPr>
                <w:color w:val="231F20"/>
                <w:spacing w:val="10"/>
                <w:w w:val="105"/>
              </w:rPr>
              <w:t xml:space="preserve"> </w:t>
            </w:r>
            <w:r w:rsidRPr="00C871AF">
              <w:rPr>
                <w:color w:val="231F20"/>
                <w:w w:val="105"/>
              </w:rPr>
              <w:t>percentage</w:t>
            </w:r>
            <w:r w:rsidRPr="00C871AF">
              <w:rPr>
                <w:color w:val="231F20"/>
                <w:spacing w:val="10"/>
                <w:w w:val="105"/>
              </w:rPr>
              <w:t xml:space="preserve"> </w:t>
            </w:r>
            <w:r w:rsidRPr="00C871AF">
              <w:rPr>
                <w:color w:val="231F20"/>
                <w:w w:val="105"/>
              </w:rPr>
              <w:t>that</w:t>
            </w:r>
            <w:r w:rsidRPr="00C871AF">
              <w:rPr>
                <w:color w:val="231F20"/>
                <w:spacing w:val="10"/>
                <w:w w:val="105"/>
              </w:rPr>
              <w:t xml:space="preserve"> </w:t>
            </w:r>
            <w:r w:rsidRPr="00C871AF">
              <w:rPr>
                <w:color w:val="231F20"/>
                <w:w w:val="105"/>
              </w:rPr>
              <w:t>has</w:t>
            </w:r>
            <w:r w:rsidRPr="00C871AF">
              <w:rPr>
                <w:color w:val="231F20"/>
                <w:spacing w:val="10"/>
                <w:w w:val="105"/>
              </w:rPr>
              <w:t xml:space="preserve"> </w:t>
            </w:r>
            <w:r w:rsidRPr="00C871AF">
              <w:rPr>
                <w:color w:val="231F20"/>
                <w:w w:val="105"/>
              </w:rPr>
              <w:t>a</w:t>
            </w:r>
            <w:r w:rsidRPr="00C871AF">
              <w:rPr>
                <w:color w:val="231F20"/>
                <w:spacing w:val="10"/>
                <w:w w:val="105"/>
              </w:rPr>
              <w:t xml:space="preserve"> </w:t>
            </w:r>
            <w:r w:rsidRPr="00C871AF">
              <w:rPr>
                <w:color w:val="231F20"/>
                <w:w w:val="105"/>
              </w:rPr>
              <w:t>wage</w:t>
            </w:r>
            <w:r w:rsidRPr="00C871AF">
              <w:rPr>
                <w:color w:val="231F20"/>
                <w:spacing w:val="-23"/>
                <w:w w:val="105"/>
              </w:rPr>
              <w:t xml:space="preserve"> </w:t>
            </w:r>
            <w:r w:rsidRPr="00C871AF">
              <w:rPr>
                <w:color w:val="231F20"/>
                <w:w w:val="105"/>
              </w:rPr>
              <w:t>greater than or equal to the minimum</w:t>
            </w:r>
            <w:r w:rsidRPr="00C871AF">
              <w:rPr>
                <w:color w:val="231F20"/>
                <w:spacing w:val="29"/>
                <w:w w:val="105"/>
              </w:rPr>
              <w:t xml:space="preserve"> </w:t>
            </w:r>
            <w:r w:rsidRPr="00C871AF">
              <w:rPr>
                <w:color w:val="231F20"/>
                <w:w w:val="105"/>
              </w:rPr>
              <w:t>wage</w:t>
            </w:r>
          </w:p>
        </w:tc>
        <w:tc>
          <w:tcPr>
            <w:tcW w:w="1653" w:type="dxa"/>
            <w:tcBorders>
              <w:top w:val="single" w:sz="2" w:space="0" w:color="231F20"/>
              <w:left w:val="single" w:sz="2" w:space="0" w:color="231F20"/>
              <w:bottom w:val="single" w:sz="2" w:space="0" w:color="231F20"/>
              <w:right w:val="single" w:sz="2" w:space="0" w:color="231F20"/>
            </w:tcBorders>
            <w:shd w:val="clear" w:color="auto" w:fill="E6E7E8"/>
            <w:vAlign w:val="center"/>
          </w:tcPr>
          <w:p w14:paraId="0D7DEFDD" w14:textId="77777777" w:rsidR="00E73AD2" w:rsidRPr="00C871AF" w:rsidRDefault="00E73AD2" w:rsidP="00D63204">
            <w:pPr>
              <w:widowControl w:val="0"/>
              <w:spacing w:after="0" w:line="240" w:lineRule="auto"/>
              <w:ind w:left="90"/>
              <w:rPr>
                <w:rFonts w:cs="Calibri"/>
                <w:bCs/>
              </w:rPr>
            </w:pPr>
            <w:r w:rsidRPr="00C871AF">
              <w:rPr>
                <w:rFonts w:cs="Calibri"/>
                <w:bCs/>
              </w:rPr>
              <w:t>97.65%</w:t>
            </w:r>
          </w:p>
        </w:tc>
        <w:tc>
          <w:tcPr>
            <w:tcW w:w="1587" w:type="dxa"/>
            <w:tcBorders>
              <w:top w:val="single" w:sz="2" w:space="0" w:color="231F20"/>
              <w:left w:val="single" w:sz="2" w:space="0" w:color="231F20"/>
              <w:bottom w:val="single" w:sz="2" w:space="0" w:color="231F20"/>
              <w:right w:val="single" w:sz="2" w:space="0" w:color="231F20"/>
            </w:tcBorders>
            <w:shd w:val="clear" w:color="auto" w:fill="E6E7E8"/>
          </w:tcPr>
          <w:p w14:paraId="3367A9B5" w14:textId="77777777" w:rsidR="00E73AD2" w:rsidRPr="00C871AF" w:rsidRDefault="00E73AD2" w:rsidP="00D63204">
            <w:pPr>
              <w:widowControl w:val="0"/>
              <w:spacing w:after="0" w:line="240" w:lineRule="auto"/>
              <w:ind w:left="90"/>
              <w:rPr>
                <w:rFonts w:cs="Calibri"/>
                <w:bCs/>
              </w:rPr>
            </w:pPr>
          </w:p>
          <w:p w14:paraId="2AE655FA" w14:textId="77777777" w:rsidR="00E73AD2" w:rsidRPr="00C871AF" w:rsidRDefault="00E73AD2" w:rsidP="00D63204">
            <w:pPr>
              <w:widowControl w:val="0"/>
              <w:spacing w:before="1" w:after="0" w:line="240" w:lineRule="auto"/>
              <w:ind w:left="90"/>
              <w:rPr>
                <w:rFonts w:cs="Calibri"/>
                <w:bCs/>
              </w:rPr>
            </w:pPr>
          </w:p>
          <w:p w14:paraId="617D2DC3" w14:textId="77777777" w:rsidR="00E73AD2" w:rsidRPr="00C871AF" w:rsidRDefault="00E73AD2" w:rsidP="00D63204">
            <w:pPr>
              <w:widowControl w:val="0"/>
              <w:spacing w:after="0" w:line="240" w:lineRule="auto"/>
              <w:ind w:left="90"/>
              <w:rPr>
                <w:rFonts w:cs="Calibri"/>
              </w:rPr>
            </w:pPr>
            <w:r w:rsidRPr="00C871AF">
              <w:rPr>
                <w:color w:val="231F20"/>
                <w:w w:val="110"/>
              </w:rPr>
              <w:t>98.29%</w:t>
            </w:r>
          </w:p>
        </w:tc>
        <w:tc>
          <w:tcPr>
            <w:tcW w:w="1530" w:type="dxa"/>
            <w:tcBorders>
              <w:top w:val="single" w:sz="2" w:space="0" w:color="231F20"/>
              <w:left w:val="single" w:sz="2" w:space="0" w:color="231F20"/>
              <w:bottom w:val="single" w:sz="2" w:space="0" w:color="231F20"/>
              <w:right w:val="single" w:sz="2" w:space="0" w:color="231F20"/>
            </w:tcBorders>
            <w:shd w:val="clear" w:color="auto" w:fill="E6E7E8"/>
          </w:tcPr>
          <w:p w14:paraId="1A5178CB" w14:textId="77777777" w:rsidR="00E73AD2" w:rsidRPr="00C871AF" w:rsidRDefault="00E73AD2" w:rsidP="00D63204">
            <w:pPr>
              <w:widowControl w:val="0"/>
              <w:spacing w:after="0" w:line="240" w:lineRule="auto"/>
              <w:ind w:left="90"/>
              <w:rPr>
                <w:rFonts w:cs="Calibri"/>
                <w:b/>
                <w:bCs/>
              </w:rPr>
            </w:pPr>
          </w:p>
          <w:p w14:paraId="4293CD40" w14:textId="77777777" w:rsidR="00E73AD2" w:rsidRPr="00C871AF" w:rsidRDefault="00E73AD2" w:rsidP="00D63204">
            <w:pPr>
              <w:widowControl w:val="0"/>
              <w:spacing w:before="1" w:after="0" w:line="240" w:lineRule="auto"/>
              <w:ind w:left="90"/>
              <w:rPr>
                <w:rFonts w:cs="Calibri"/>
                <w:b/>
                <w:bCs/>
              </w:rPr>
            </w:pPr>
          </w:p>
          <w:p w14:paraId="1F79197C" w14:textId="335441E8" w:rsidR="00E73AD2" w:rsidRPr="00C871AF" w:rsidRDefault="00E73AD2" w:rsidP="00D63204">
            <w:pPr>
              <w:widowControl w:val="0"/>
              <w:spacing w:after="0" w:line="240" w:lineRule="auto"/>
              <w:rPr>
                <w:rFonts w:cs="Calibri"/>
              </w:rPr>
            </w:pPr>
            <w:r w:rsidRPr="00C871AF">
              <w:rPr>
                <w:color w:val="231F20"/>
                <w:spacing w:val="-4"/>
              </w:rPr>
              <w:t>-.65%</w:t>
            </w:r>
          </w:p>
        </w:tc>
        <w:tc>
          <w:tcPr>
            <w:tcW w:w="1145" w:type="dxa"/>
            <w:tcBorders>
              <w:top w:val="single" w:sz="2" w:space="0" w:color="231F20"/>
              <w:left w:val="single" w:sz="2" w:space="0" w:color="231F20"/>
              <w:bottom w:val="single" w:sz="2" w:space="0" w:color="231F20"/>
              <w:right w:val="single" w:sz="2" w:space="0" w:color="231F20"/>
            </w:tcBorders>
            <w:shd w:val="clear" w:color="auto" w:fill="E6E7E8"/>
          </w:tcPr>
          <w:p w14:paraId="03D37355" w14:textId="77777777" w:rsidR="00E73AD2" w:rsidRPr="00C871AF" w:rsidRDefault="00E73AD2" w:rsidP="00D63204">
            <w:pPr>
              <w:widowControl w:val="0"/>
              <w:spacing w:after="0" w:line="240" w:lineRule="auto"/>
              <w:ind w:left="90"/>
              <w:rPr>
                <w:rFonts w:cs="Calibri"/>
                <w:b/>
                <w:bCs/>
              </w:rPr>
            </w:pPr>
          </w:p>
          <w:p w14:paraId="61FC29B7" w14:textId="77777777" w:rsidR="00E73AD2" w:rsidRPr="00C871AF" w:rsidRDefault="00E73AD2" w:rsidP="00D63204">
            <w:pPr>
              <w:widowControl w:val="0"/>
              <w:spacing w:before="1" w:after="0" w:line="240" w:lineRule="auto"/>
              <w:ind w:left="90"/>
              <w:rPr>
                <w:rFonts w:cs="Calibri"/>
                <w:b/>
                <w:bCs/>
              </w:rPr>
            </w:pPr>
          </w:p>
          <w:p w14:paraId="21D94745" w14:textId="77777777" w:rsidR="00E73AD2" w:rsidRPr="00C871AF" w:rsidRDefault="00E73AD2" w:rsidP="00D63204">
            <w:pPr>
              <w:widowControl w:val="0"/>
              <w:spacing w:after="0" w:line="240" w:lineRule="auto"/>
              <w:ind w:left="90"/>
              <w:rPr>
                <w:rFonts w:cs="Calibri"/>
              </w:rPr>
            </w:pPr>
            <w:r w:rsidRPr="00C871AF">
              <w:rPr>
                <w:color w:val="231F20"/>
              </w:rPr>
              <w:t>Met</w:t>
            </w:r>
          </w:p>
        </w:tc>
      </w:tr>
      <w:tr w:rsidR="00E73AD2" w:rsidRPr="00C871AF" w14:paraId="4111B2B8" w14:textId="77777777" w:rsidTr="00EA3CBE">
        <w:trPr>
          <w:trHeight w:hRule="exact" w:val="1397"/>
          <w:jc w:val="center"/>
        </w:trPr>
        <w:tc>
          <w:tcPr>
            <w:tcW w:w="4317" w:type="dxa"/>
            <w:tcBorders>
              <w:top w:val="single" w:sz="2" w:space="0" w:color="231F20"/>
              <w:left w:val="single" w:sz="2" w:space="0" w:color="231F20"/>
              <w:bottom w:val="single" w:sz="2" w:space="0" w:color="231F20"/>
              <w:right w:val="single" w:sz="2" w:space="0" w:color="231F20"/>
            </w:tcBorders>
          </w:tcPr>
          <w:p w14:paraId="57196379" w14:textId="77777777" w:rsidR="00E73AD2" w:rsidRPr="00C871AF" w:rsidRDefault="00E73AD2" w:rsidP="00C871AF">
            <w:pPr>
              <w:widowControl w:val="0"/>
              <w:spacing w:before="3" w:after="0" w:line="240" w:lineRule="auto"/>
              <w:ind w:left="90"/>
              <w:rPr>
                <w:rFonts w:cs="Calibri"/>
                <w:b/>
                <w:bCs/>
              </w:rPr>
            </w:pPr>
          </w:p>
          <w:p w14:paraId="0409FFD6" w14:textId="77777777" w:rsidR="00E73AD2" w:rsidRPr="00C871AF" w:rsidRDefault="00E73AD2" w:rsidP="00C871AF">
            <w:pPr>
              <w:widowControl w:val="0"/>
              <w:spacing w:after="0" w:line="240" w:lineRule="exact"/>
              <w:ind w:left="90"/>
              <w:rPr>
                <w:rFonts w:cs="Calibri"/>
              </w:rPr>
            </w:pPr>
            <w:r w:rsidRPr="00C871AF">
              <w:rPr>
                <w:color w:val="231F20"/>
                <w:w w:val="105"/>
              </w:rPr>
              <w:t>1.4</w:t>
            </w:r>
            <w:r w:rsidRPr="00C871AF">
              <w:rPr>
                <w:color w:val="231F20"/>
                <w:spacing w:val="5"/>
                <w:w w:val="105"/>
              </w:rPr>
              <w:t xml:space="preserve"> </w:t>
            </w:r>
            <w:r w:rsidRPr="00C871AF">
              <w:rPr>
                <w:color w:val="231F20"/>
                <w:w w:val="105"/>
              </w:rPr>
              <w:t>Of</w:t>
            </w:r>
            <w:r w:rsidRPr="00C871AF">
              <w:rPr>
                <w:color w:val="231F20"/>
                <w:spacing w:val="5"/>
                <w:w w:val="105"/>
              </w:rPr>
              <w:t xml:space="preserve"> </w:t>
            </w:r>
            <w:r w:rsidRPr="00C871AF">
              <w:rPr>
                <w:color w:val="231F20"/>
                <w:w w:val="105"/>
              </w:rPr>
              <w:t>the</w:t>
            </w:r>
            <w:r w:rsidRPr="00C871AF">
              <w:rPr>
                <w:color w:val="231F20"/>
                <w:spacing w:val="5"/>
                <w:w w:val="105"/>
              </w:rPr>
              <w:t xml:space="preserve"> </w:t>
            </w:r>
            <w:r w:rsidRPr="00C871AF">
              <w:rPr>
                <w:color w:val="231F20"/>
                <w:w w:val="105"/>
              </w:rPr>
              <w:t>closed</w:t>
            </w:r>
            <w:r w:rsidRPr="00C871AF">
              <w:rPr>
                <w:color w:val="231F20"/>
                <w:spacing w:val="5"/>
                <w:w w:val="105"/>
              </w:rPr>
              <w:t xml:space="preserve"> </w:t>
            </w:r>
            <w:r w:rsidRPr="00C871AF">
              <w:rPr>
                <w:color w:val="231F20"/>
                <w:w w:val="105"/>
              </w:rPr>
              <w:t>cases</w:t>
            </w:r>
            <w:r w:rsidRPr="00C871AF">
              <w:rPr>
                <w:color w:val="231F20"/>
                <w:spacing w:val="5"/>
                <w:w w:val="105"/>
              </w:rPr>
              <w:t xml:space="preserve"> </w:t>
            </w:r>
            <w:r w:rsidRPr="00C871AF">
              <w:rPr>
                <w:color w:val="231F20"/>
                <w:w w:val="105"/>
              </w:rPr>
              <w:t>with</w:t>
            </w:r>
            <w:r w:rsidRPr="00C871AF">
              <w:rPr>
                <w:color w:val="231F20"/>
                <w:spacing w:val="5"/>
                <w:w w:val="105"/>
              </w:rPr>
              <w:t xml:space="preserve"> </w:t>
            </w:r>
            <w:r w:rsidRPr="00C871AF">
              <w:rPr>
                <w:color w:val="231F20"/>
                <w:w w:val="105"/>
              </w:rPr>
              <w:t>an</w:t>
            </w:r>
            <w:r w:rsidRPr="00C871AF">
              <w:rPr>
                <w:color w:val="231F20"/>
                <w:spacing w:val="5"/>
                <w:w w:val="105"/>
              </w:rPr>
              <w:t xml:space="preserve"> </w:t>
            </w:r>
            <w:r w:rsidRPr="00C871AF">
              <w:rPr>
                <w:color w:val="231F20"/>
                <w:w w:val="105"/>
              </w:rPr>
              <w:t>employment</w:t>
            </w:r>
            <w:r w:rsidRPr="00C871AF">
              <w:rPr>
                <w:color w:val="231F20"/>
                <w:spacing w:val="-34"/>
                <w:w w:val="105"/>
              </w:rPr>
              <w:t xml:space="preserve"> </w:t>
            </w:r>
            <w:r w:rsidRPr="00C871AF">
              <w:rPr>
                <w:color w:val="231F20"/>
                <w:w w:val="105"/>
              </w:rPr>
              <w:t>outcome, the percentage that has a wage</w:t>
            </w:r>
            <w:r w:rsidRPr="00C871AF">
              <w:rPr>
                <w:color w:val="231F20"/>
                <w:spacing w:val="39"/>
                <w:w w:val="105"/>
              </w:rPr>
              <w:t xml:space="preserve"> </w:t>
            </w:r>
            <w:r w:rsidRPr="00C871AF">
              <w:rPr>
                <w:color w:val="231F20"/>
                <w:w w:val="105"/>
              </w:rPr>
              <w:t>greater than or equal to the minimum wage</w:t>
            </w:r>
            <w:r w:rsidRPr="00C871AF">
              <w:rPr>
                <w:color w:val="231F20"/>
                <w:spacing w:val="42"/>
                <w:w w:val="105"/>
              </w:rPr>
              <w:t xml:space="preserve"> </w:t>
            </w:r>
            <w:r w:rsidRPr="00C871AF">
              <w:rPr>
                <w:color w:val="231F20"/>
                <w:w w:val="105"/>
              </w:rPr>
              <w:t>and</w:t>
            </w:r>
            <w:r w:rsidRPr="00C871AF">
              <w:rPr>
                <w:color w:val="231F20"/>
                <w:w w:val="108"/>
              </w:rPr>
              <w:t xml:space="preserve"> </w:t>
            </w:r>
            <w:r w:rsidRPr="00C871AF">
              <w:rPr>
                <w:color w:val="231F20"/>
                <w:w w:val="105"/>
              </w:rPr>
              <w:t>have significant</w:t>
            </w:r>
            <w:r w:rsidRPr="00C871AF">
              <w:rPr>
                <w:color w:val="231F20"/>
                <w:spacing w:val="6"/>
                <w:w w:val="105"/>
              </w:rPr>
              <w:t xml:space="preserve"> </w:t>
            </w:r>
            <w:r w:rsidRPr="00C871AF">
              <w:rPr>
                <w:color w:val="231F20"/>
                <w:w w:val="105"/>
              </w:rPr>
              <w:t>disabilities</w:t>
            </w:r>
          </w:p>
        </w:tc>
        <w:tc>
          <w:tcPr>
            <w:tcW w:w="1653" w:type="dxa"/>
            <w:tcBorders>
              <w:top w:val="single" w:sz="2" w:space="0" w:color="231F20"/>
              <w:left w:val="single" w:sz="2" w:space="0" w:color="231F20"/>
              <w:bottom w:val="single" w:sz="2" w:space="0" w:color="231F20"/>
              <w:right w:val="single" w:sz="2" w:space="0" w:color="231F20"/>
            </w:tcBorders>
            <w:vAlign w:val="center"/>
          </w:tcPr>
          <w:p w14:paraId="0EA87748" w14:textId="77777777" w:rsidR="00E73AD2" w:rsidRPr="00C871AF" w:rsidRDefault="00E73AD2" w:rsidP="00D63204">
            <w:pPr>
              <w:widowControl w:val="0"/>
              <w:spacing w:after="0" w:line="240" w:lineRule="auto"/>
              <w:ind w:left="90"/>
              <w:rPr>
                <w:rFonts w:cs="Calibri"/>
                <w:bCs/>
              </w:rPr>
            </w:pPr>
            <w:r w:rsidRPr="00C871AF">
              <w:rPr>
                <w:rFonts w:cs="Calibri"/>
                <w:bCs/>
              </w:rPr>
              <w:t>97.65%</w:t>
            </w:r>
          </w:p>
        </w:tc>
        <w:tc>
          <w:tcPr>
            <w:tcW w:w="1587" w:type="dxa"/>
            <w:tcBorders>
              <w:top w:val="single" w:sz="2" w:space="0" w:color="231F20"/>
              <w:left w:val="single" w:sz="2" w:space="0" w:color="231F20"/>
              <w:bottom w:val="single" w:sz="2" w:space="0" w:color="231F20"/>
              <w:right w:val="single" w:sz="2" w:space="0" w:color="231F20"/>
            </w:tcBorders>
          </w:tcPr>
          <w:p w14:paraId="6FF4C405" w14:textId="77777777" w:rsidR="00E73AD2" w:rsidRPr="00C871AF" w:rsidRDefault="00E73AD2" w:rsidP="00D63204">
            <w:pPr>
              <w:widowControl w:val="0"/>
              <w:spacing w:after="0" w:line="240" w:lineRule="auto"/>
              <w:ind w:left="90"/>
              <w:rPr>
                <w:rFonts w:cs="Calibri"/>
                <w:bCs/>
              </w:rPr>
            </w:pPr>
          </w:p>
          <w:p w14:paraId="1C10DCDE" w14:textId="77777777" w:rsidR="00E73AD2" w:rsidRPr="00C871AF" w:rsidRDefault="00E73AD2" w:rsidP="00D63204">
            <w:pPr>
              <w:widowControl w:val="0"/>
              <w:spacing w:before="11" w:after="0" w:line="240" w:lineRule="auto"/>
              <w:ind w:left="90"/>
              <w:rPr>
                <w:rFonts w:cs="Calibri"/>
                <w:bCs/>
              </w:rPr>
            </w:pPr>
          </w:p>
          <w:p w14:paraId="4DF5FD99" w14:textId="77777777" w:rsidR="00E73AD2" w:rsidRPr="00C871AF" w:rsidRDefault="00E73AD2" w:rsidP="00D63204">
            <w:pPr>
              <w:widowControl w:val="0"/>
              <w:spacing w:after="0" w:line="240" w:lineRule="auto"/>
              <w:ind w:left="90"/>
              <w:rPr>
                <w:rFonts w:cs="Calibri"/>
              </w:rPr>
            </w:pPr>
            <w:r w:rsidRPr="00C871AF">
              <w:rPr>
                <w:color w:val="231F20"/>
                <w:w w:val="105"/>
              </w:rPr>
              <w:t>100%</w:t>
            </w:r>
          </w:p>
        </w:tc>
        <w:tc>
          <w:tcPr>
            <w:tcW w:w="1530" w:type="dxa"/>
            <w:tcBorders>
              <w:top w:val="single" w:sz="2" w:space="0" w:color="231F20"/>
              <w:left w:val="single" w:sz="2" w:space="0" w:color="231F20"/>
              <w:bottom w:val="single" w:sz="2" w:space="0" w:color="231F20"/>
              <w:right w:val="single" w:sz="2" w:space="0" w:color="231F20"/>
            </w:tcBorders>
          </w:tcPr>
          <w:p w14:paraId="710EC553" w14:textId="77777777" w:rsidR="00E73AD2" w:rsidRPr="00C871AF" w:rsidRDefault="00E73AD2" w:rsidP="00D63204">
            <w:pPr>
              <w:widowControl w:val="0"/>
              <w:spacing w:after="0" w:line="240" w:lineRule="auto"/>
              <w:ind w:left="90"/>
              <w:rPr>
                <w:rFonts w:cs="Calibri"/>
                <w:b/>
                <w:bCs/>
              </w:rPr>
            </w:pPr>
          </w:p>
          <w:p w14:paraId="5DEE353D" w14:textId="0AA344BE" w:rsidR="00E73AD2" w:rsidRPr="00C871AF" w:rsidRDefault="00E73AD2" w:rsidP="00D63204">
            <w:pPr>
              <w:widowControl w:val="0"/>
              <w:spacing w:after="0" w:line="240" w:lineRule="auto"/>
              <w:ind w:left="90"/>
              <w:rPr>
                <w:color w:val="231F20"/>
                <w:w w:val="105"/>
              </w:rPr>
            </w:pPr>
            <w:r w:rsidRPr="00C871AF">
              <w:rPr>
                <w:color w:val="231F20"/>
                <w:w w:val="105"/>
              </w:rPr>
              <w:t xml:space="preserve"> </w:t>
            </w:r>
          </w:p>
          <w:p w14:paraId="167D5628" w14:textId="77777777" w:rsidR="00E73AD2" w:rsidRPr="00C871AF" w:rsidRDefault="00E73AD2" w:rsidP="00D63204">
            <w:pPr>
              <w:widowControl w:val="0"/>
              <w:spacing w:after="0" w:line="240" w:lineRule="auto"/>
              <w:ind w:left="90"/>
              <w:rPr>
                <w:rFonts w:cs="Calibri"/>
              </w:rPr>
            </w:pPr>
            <w:r w:rsidRPr="00C871AF">
              <w:rPr>
                <w:color w:val="231F20"/>
                <w:w w:val="105"/>
              </w:rPr>
              <w:t>-2.41%</w:t>
            </w:r>
          </w:p>
        </w:tc>
        <w:tc>
          <w:tcPr>
            <w:tcW w:w="1145" w:type="dxa"/>
            <w:tcBorders>
              <w:top w:val="single" w:sz="2" w:space="0" w:color="231F20"/>
              <w:left w:val="single" w:sz="2" w:space="0" w:color="231F20"/>
              <w:bottom w:val="single" w:sz="2" w:space="0" w:color="231F20"/>
              <w:right w:val="single" w:sz="2" w:space="0" w:color="231F20"/>
            </w:tcBorders>
          </w:tcPr>
          <w:p w14:paraId="615EECB5" w14:textId="77777777" w:rsidR="00E73AD2" w:rsidRPr="00C871AF" w:rsidRDefault="00E73AD2" w:rsidP="00D63204">
            <w:pPr>
              <w:widowControl w:val="0"/>
              <w:spacing w:after="0" w:line="240" w:lineRule="auto"/>
              <w:ind w:left="90"/>
              <w:rPr>
                <w:rFonts w:cs="Calibri"/>
                <w:b/>
                <w:bCs/>
              </w:rPr>
            </w:pPr>
          </w:p>
          <w:p w14:paraId="11ABD418" w14:textId="77777777" w:rsidR="00E73AD2" w:rsidRPr="00C871AF" w:rsidRDefault="00E73AD2" w:rsidP="00D63204">
            <w:pPr>
              <w:widowControl w:val="0"/>
              <w:spacing w:before="11" w:after="0" w:line="240" w:lineRule="auto"/>
              <w:ind w:left="90"/>
              <w:rPr>
                <w:rFonts w:cs="Calibri"/>
                <w:b/>
                <w:bCs/>
              </w:rPr>
            </w:pPr>
          </w:p>
          <w:p w14:paraId="07F44542" w14:textId="77777777" w:rsidR="00E73AD2" w:rsidRPr="00C871AF" w:rsidRDefault="00E73AD2" w:rsidP="00D63204">
            <w:pPr>
              <w:widowControl w:val="0"/>
              <w:spacing w:after="0" w:line="240" w:lineRule="auto"/>
              <w:ind w:left="90"/>
              <w:rPr>
                <w:rFonts w:cs="Calibri"/>
              </w:rPr>
            </w:pPr>
            <w:r w:rsidRPr="00C871AF">
              <w:rPr>
                <w:color w:val="231F20"/>
              </w:rPr>
              <w:t>Met</w:t>
            </w:r>
          </w:p>
        </w:tc>
      </w:tr>
      <w:tr w:rsidR="00E73AD2" w:rsidRPr="00C871AF" w14:paraId="75AE62AB" w14:textId="77777777" w:rsidTr="00EA3CBE">
        <w:trPr>
          <w:trHeight w:hRule="exact" w:val="1440"/>
          <w:jc w:val="center"/>
        </w:trPr>
        <w:tc>
          <w:tcPr>
            <w:tcW w:w="4317" w:type="dxa"/>
            <w:tcBorders>
              <w:top w:val="single" w:sz="2" w:space="0" w:color="231F20"/>
              <w:left w:val="single" w:sz="2" w:space="0" w:color="231F20"/>
              <w:bottom w:val="single" w:sz="2" w:space="0" w:color="231F20"/>
              <w:right w:val="single" w:sz="2" w:space="0" w:color="231F20"/>
            </w:tcBorders>
            <w:shd w:val="clear" w:color="auto" w:fill="E6E7E8"/>
          </w:tcPr>
          <w:p w14:paraId="5F020A18" w14:textId="77777777" w:rsidR="00E73AD2" w:rsidRPr="00C871AF" w:rsidRDefault="00E73AD2" w:rsidP="00C871AF">
            <w:pPr>
              <w:widowControl w:val="0"/>
              <w:spacing w:after="0" w:line="240" w:lineRule="auto"/>
              <w:ind w:left="90"/>
              <w:rPr>
                <w:rFonts w:cs="Calibri"/>
                <w:b/>
                <w:bCs/>
              </w:rPr>
            </w:pPr>
          </w:p>
          <w:p w14:paraId="6C4A1EF8" w14:textId="77777777" w:rsidR="00E73AD2" w:rsidRPr="00C871AF" w:rsidRDefault="00E73AD2" w:rsidP="00C871AF">
            <w:pPr>
              <w:widowControl w:val="0"/>
              <w:spacing w:after="0" w:line="240" w:lineRule="exact"/>
              <w:ind w:left="90"/>
              <w:rPr>
                <w:rFonts w:cs="Calibri"/>
              </w:rPr>
            </w:pPr>
            <w:r w:rsidRPr="00C871AF">
              <w:rPr>
                <w:color w:val="231F20"/>
                <w:w w:val="105"/>
              </w:rPr>
              <w:t>1.5</w:t>
            </w:r>
            <w:r w:rsidRPr="00C871AF">
              <w:rPr>
                <w:color w:val="231F20"/>
                <w:spacing w:val="7"/>
                <w:w w:val="105"/>
              </w:rPr>
              <w:t xml:space="preserve"> </w:t>
            </w:r>
            <w:r w:rsidRPr="00C871AF">
              <w:rPr>
                <w:color w:val="231F20"/>
                <w:w w:val="105"/>
              </w:rPr>
              <w:t>Ratio</w:t>
            </w:r>
            <w:r w:rsidRPr="00C871AF">
              <w:rPr>
                <w:color w:val="231F20"/>
                <w:spacing w:val="7"/>
                <w:w w:val="105"/>
              </w:rPr>
              <w:t xml:space="preserve"> </w:t>
            </w:r>
            <w:r w:rsidRPr="00C871AF">
              <w:rPr>
                <w:color w:val="231F20"/>
                <w:w w:val="105"/>
              </w:rPr>
              <w:t>of</w:t>
            </w:r>
            <w:r w:rsidRPr="00C871AF">
              <w:rPr>
                <w:color w:val="231F20"/>
                <w:spacing w:val="7"/>
                <w:w w:val="105"/>
              </w:rPr>
              <w:t xml:space="preserve"> </w:t>
            </w:r>
            <w:r w:rsidRPr="00C871AF">
              <w:rPr>
                <w:color w:val="231F20"/>
                <w:w w:val="105"/>
              </w:rPr>
              <w:t>average</w:t>
            </w:r>
            <w:r w:rsidRPr="00C871AF">
              <w:rPr>
                <w:color w:val="231F20"/>
                <w:spacing w:val="7"/>
                <w:w w:val="105"/>
              </w:rPr>
              <w:t xml:space="preserve"> </w:t>
            </w:r>
            <w:r w:rsidRPr="00C871AF">
              <w:rPr>
                <w:color w:val="231F20"/>
                <w:w w:val="105"/>
              </w:rPr>
              <w:t>state</w:t>
            </w:r>
            <w:r w:rsidRPr="00C871AF">
              <w:rPr>
                <w:color w:val="231F20"/>
                <w:spacing w:val="7"/>
                <w:w w:val="105"/>
              </w:rPr>
              <w:t xml:space="preserve"> </w:t>
            </w:r>
            <w:r w:rsidRPr="00C871AF">
              <w:rPr>
                <w:color w:val="231F20"/>
                <w:w w:val="105"/>
              </w:rPr>
              <w:t>wage</w:t>
            </w:r>
            <w:r w:rsidRPr="00C871AF">
              <w:rPr>
                <w:color w:val="231F20"/>
                <w:spacing w:val="7"/>
                <w:w w:val="105"/>
              </w:rPr>
              <w:t xml:space="preserve"> </w:t>
            </w:r>
            <w:r w:rsidRPr="00C871AF">
              <w:rPr>
                <w:color w:val="231F20"/>
                <w:w w:val="105"/>
              </w:rPr>
              <w:t>to</w:t>
            </w:r>
            <w:r w:rsidRPr="00C871AF">
              <w:rPr>
                <w:color w:val="231F20"/>
                <w:spacing w:val="7"/>
                <w:w w:val="105"/>
              </w:rPr>
              <w:t xml:space="preserve"> </w:t>
            </w:r>
            <w:r w:rsidRPr="00C871AF">
              <w:rPr>
                <w:color w:val="231F20"/>
                <w:w w:val="105"/>
              </w:rPr>
              <w:t>the</w:t>
            </w:r>
            <w:r w:rsidRPr="00C871AF">
              <w:rPr>
                <w:color w:val="231F20"/>
                <w:spacing w:val="7"/>
                <w:w w:val="105"/>
              </w:rPr>
              <w:t xml:space="preserve"> </w:t>
            </w:r>
            <w:r w:rsidRPr="00C871AF">
              <w:rPr>
                <w:color w:val="231F20"/>
                <w:w w:val="105"/>
              </w:rPr>
              <w:t>average</w:t>
            </w:r>
            <w:r w:rsidRPr="00C871AF">
              <w:rPr>
                <w:color w:val="231F20"/>
                <w:spacing w:val="-30"/>
                <w:w w:val="105"/>
              </w:rPr>
              <w:t xml:space="preserve"> </w:t>
            </w:r>
            <w:r w:rsidRPr="00C871AF">
              <w:rPr>
                <w:color w:val="231F20"/>
                <w:w w:val="105"/>
              </w:rPr>
              <w:t>wage</w:t>
            </w:r>
            <w:r w:rsidRPr="00C871AF">
              <w:rPr>
                <w:color w:val="231F20"/>
                <w:spacing w:val="18"/>
                <w:w w:val="105"/>
              </w:rPr>
              <w:t xml:space="preserve"> </w:t>
            </w:r>
            <w:r w:rsidRPr="00C871AF">
              <w:rPr>
                <w:color w:val="231F20"/>
                <w:w w:val="105"/>
              </w:rPr>
              <w:t>of</w:t>
            </w:r>
            <w:r w:rsidRPr="00C871AF">
              <w:rPr>
                <w:color w:val="231F20"/>
                <w:spacing w:val="18"/>
                <w:w w:val="105"/>
              </w:rPr>
              <w:t xml:space="preserve"> </w:t>
            </w:r>
            <w:r w:rsidRPr="00C871AF">
              <w:rPr>
                <w:color w:val="231F20"/>
                <w:w w:val="105"/>
              </w:rPr>
              <w:t>closed</w:t>
            </w:r>
            <w:r w:rsidRPr="00C871AF">
              <w:rPr>
                <w:color w:val="231F20"/>
                <w:spacing w:val="18"/>
                <w:w w:val="105"/>
              </w:rPr>
              <w:t xml:space="preserve"> </w:t>
            </w:r>
            <w:r w:rsidRPr="00C871AF">
              <w:rPr>
                <w:color w:val="231F20"/>
                <w:w w:val="105"/>
              </w:rPr>
              <w:t>cases</w:t>
            </w:r>
            <w:r w:rsidRPr="00C871AF">
              <w:rPr>
                <w:color w:val="231F20"/>
                <w:spacing w:val="18"/>
                <w:w w:val="105"/>
              </w:rPr>
              <w:t xml:space="preserve"> </w:t>
            </w:r>
            <w:r w:rsidRPr="00C871AF">
              <w:rPr>
                <w:color w:val="231F20"/>
                <w:w w:val="105"/>
              </w:rPr>
              <w:t>with</w:t>
            </w:r>
            <w:r w:rsidRPr="00C871AF">
              <w:rPr>
                <w:color w:val="231F20"/>
                <w:spacing w:val="18"/>
                <w:w w:val="105"/>
              </w:rPr>
              <w:t xml:space="preserve"> </w:t>
            </w:r>
            <w:r w:rsidRPr="00C871AF">
              <w:rPr>
                <w:color w:val="231F20"/>
                <w:w w:val="105"/>
              </w:rPr>
              <w:t>employment</w:t>
            </w:r>
            <w:r w:rsidRPr="00C871AF">
              <w:rPr>
                <w:color w:val="231F20"/>
                <w:spacing w:val="18"/>
                <w:w w:val="105"/>
              </w:rPr>
              <w:t xml:space="preserve"> </w:t>
            </w:r>
            <w:r w:rsidRPr="00C871AF">
              <w:rPr>
                <w:color w:val="231F20"/>
                <w:w w:val="105"/>
              </w:rPr>
              <w:t>outcome</w:t>
            </w:r>
            <w:r w:rsidRPr="00C871AF">
              <w:rPr>
                <w:color w:val="231F20"/>
                <w:spacing w:val="-45"/>
                <w:w w:val="105"/>
              </w:rPr>
              <w:t xml:space="preserve"> </w:t>
            </w:r>
            <w:r w:rsidRPr="00C871AF">
              <w:rPr>
                <w:color w:val="231F20"/>
                <w:w w:val="105"/>
              </w:rPr>
              <w:t>that have wages greater than or equal to</w:t>
            </w:r>
            <w:r w:rsidRPr="00C871AF">
              <w:rPr>
                <w:color w:val="231F20"/>
                <w:spacing w:val="19"/>
                <w:w w:val="105"/>
              </w:rPr>
              <w:t xml:space="preserve"> </w:t>
            </w:r>
            <w:r w:rsidRPr="00C871AF">
              <w:rPr>
                <w:color w:val="231F20"/>
                <w:w w:val="105"/>
              </w:rPr>
              <w:t>minimum</w:t>
            </w:r>
            <w:r w:rsidRPr="00C871AF">
              <w:rPr>
                <w:color w:val="231F20"/>
                <w:spacing w:val="4"/>
                <w:w w:val="105"/>
              </w:rPr>
              <w:t xml:space="preserve"> </w:t>
            </w:r>
            <w:r w:rsidRPr="00C871AF">
              <w:rPr>
                <w:color w:val="231F20"/>
                <w:w w:val="105"/>
              </w:rPr>
              <w:t>wage</w:t>
            </w:r>
          </w:p>
        </w:tc>
        <w:tc>
          <w:tcPr>
            <w:tcW w:w="1653" w:type="dxa"/>
            <w:tcBorders>
              <w:top w:val="single" w:sz="2" w:space="0" w:color="231F20"/>
              <w:left w:val="single" w:sz="2" w:space="0" w:color="231F20"/>
              <w:bottom w:val="single" w:sz="2" w:space="0" w:color="231F20"/>
              <w:right w:val="single" w:sz="2" w:space="0" w:color="231F20"/>
            </w:tcBorders>
            <w:shd w:val="clear" w:color="auto" w:fill="E6E7E8"/>
            <w:vAlign w:val="center"/>
          </w:tcPr>
          <w:p w14:paraId="729311A4" w14:textId="77777777" w:rsidR="00E73AD2" w:rsidRPr="00C871AF" w:rsidRDefault="00E73AD2" w:rsidP="00D63204">
            <w:pPr>
              <w:widowControl w:val="0"/>
              <w:spacing w:after="0" w:line="240" w:lineRule="auto"/>
              <w:ind w:left="90"/>
              <w:rPr>
                <w:rFonts w:cs="Calibri"/>
                <w:bCs/>
              </w:rPr>
            </w:pPr>
            <w:r w:rsidRPr="00C871AF">
              <w:rPr>
                <w:rFonts w:cs="Calibri"/>
                <w:bCs/>
              </w:rPr>
              <w:t>.66%</w:t>
            </w:r>
          </w:p>
        </w:tc>
        <w:tc>
          <w:tcPr>
            <w:tcW w:w="1587" w:type="dxa"/>
            <w:tcBorders>
              <w:top w:val="single" w:sz="2" w:space="0" w:color="231F20"/>
              <w:left w:val="single" w:sz="2" w:space="0" w:color="231F20"/>
              <w:bottom w:val="single" w:sz="2" w:space="0" w:color="231F20"/>
              <w:right w:val="single" w:sz="2" w:space="0" w:color="231F20"/>
            </w:tcBorders>
            <w:shd w:val="clear" w:color="auto" w:fill="E6E7E8"/>
          </w:tcPr>
          <w:p w14:paraId="0F18C308" w14:textId="77777777" w:rsidR="00E73AD2" w:rsidRPr="00C871AF" w:rsidRDefault="00E73AD2" w:rsidP="00D63204">
            <w:pPr>
              <w:widowControl w:val="0"/>
              <w:spacing w:after="0" w:line="240" w:lineRule="auto"/>
              <w:ind w:left="90"/>
              <w:rPr>
                <w:rFonts w:cs="Calibri"/>
                <w:b/>
                <w:bCs/>
              </w:rPr>
            </w:pPr>
          </w:p>
          <w:p w14:paraId="43FEC686" w14:textId="77777777" w:rsidR="00E73AD2" w:rsidRPr="00C871AF" w:rsidRDefault="00E73AD2" w:rsidP="00D63204">
            <w:pPr>
              <w:widowControl w:val="0"/>
              <w:spacing w:before="8" w:after="0" w:line="240" w:lineRule="auto"/>
              <w:ind w:left="90"/>
              <w:rPr>
                <w:rFonts w:cs="Calibri"/>
                <w:b/>
                <w:bCs/>
              </w:rPr>
            </w:pPr>
          </w:p>
          <w:p w14:paraId="2012DA7F" w14:textId="77777777" w:rsidR="00E73AD2" w:rsidRPr="00C871AF" w:rsidRDefault="00E73AD2" w:rsidP="00D63204">
            <w:pPr>
              <w:widowControl w:val="0"/>
              <w:spacing w:after="0" w:line="240" w:lineRule="auto"/>
              <w:ind w:left="90"/>
              <w:rPr>
                <w:rFonts w:cs="Calibri"/>
              </w:rPr>
            </w:pPr>
            <w:r w:rsidRPr="00C871AF">
              <w:rPr>
                <w:color w:val="231F20"/>
                <w:spacing w:val="-3"/>
                <w:w w:val="110"/>
              </w:rPr>
              <w:t>0.68%</w:t>
            </w:r>
          </w:p>
        </w:tc>
        <w:tc>
          <w:tcPr>
            <w:tcW w:w="1530" w:type="dxa"/>
            <w:tcBorders>
              <w:top w:val="single" w:sz="2" w:space="0" w:color="231F20"/>
              <w:left w:val="single" w:sz="2" w:space="0" w:color="231F20"/>
              <w:bottom w:val="single" w:sz="2" w:space="0" w:color="231F20"/>
              <w:right w:val="single" w:sz="2" w:space="0" w:color="231F20"/>
            </w:tcBorders>
            <w:shd w:val="clear" w:color="auto" w:fill="E6E7E8"/>
          </w:tcPr>
          <w:p w14:paraId="0E550F7C" w14:textId="77777777" w:rsidR="00E73AD2" w:rsidRPr="00C871AF" w:rsidRDefault="00E73AD2" w:rsidP="00D63204">
            <w:pPr>
              <w:widowControl w:val="0"/>
              <w:spacing w:after="0" w:line="240" w:lineRule="auto"/>
              <w:ind w:left="90"/>
              <w:rPr>
                <w:rFonts w:cs="Calibri"/>
                <w:b/>
                <w:bCs/>
              </w:rPr>
            </w:pPr>
          </w:p>
          <w:p w14:paraId="703FB740" w14:textId="77777777" w:rsidR="00E73AD2" w:rsidRPr="00C871AF" w:rsidRDefault="00E73AD2" w:rsidP="00D63204">
            <w:pPr>
              <w:widowControl w:val="0"/>
              <w:spacing w:before="8" w:after="0" w:line="240" w:lineRule="auto"/>
              <w:ind w:left="90"/>
              <w:rPr>
                <w:rFonts w:cs="Calibri"/>
                <w:b/>
                <w:bCs/>
              </w:rPr>
            </w:pPr>
          </w:p>
          <w:p w14:paraId="5765FCB9" w14:textId="3490D9C2" w:rsidR="00E73AD2" w:rsidRPr="00C871AF" w:rsidRDefault="00E73AD2" w:rsidP="00D63204">
            <w:pPr>
              <w:widowControl w:val="0"/>
              <w:spacing w:after="0" w:line="240" w:lineRule="auto"/>
              <w:ind w:left="90"/>
              <w:rPr>
                <w:rFonts w:cs="Calibri"/>
              </w:rPr>
            </w:pPr>
            <w:r w:rsidRPr="00C871AF">
              <w:rPr>
                <w:color w:val="231F20"/>
              </w:rPr>
              <w:t>-3.03%</w:t>
            </w:r>
          </w:p>
        </w:tc>
        <w:tc>
          <w:tcPr>
            <w:tcW w:w="1145" w:type="dxa"/>
            <w:tcBorders>
              <w:top w:val="single" w:sz="2" w:space="0" w:color="231F20"/>
              <w:left w:val="single" w:sz="2" w:space="0" w:color="231F20"/>
              <w:bottom w:val="single" w:sz="2" w:space="0" w:color="231F20"/>
              <w:right w:val="single" w:sz="2" w:space="0" w:color="231F20"/>
            </w:tcBorders>
            <w:shd w:val="clear" w:color="auto" w:fill="E6E7E8"/>
          </w:tcPr>
          <w:p w14:paraId="7E9D2363" w14:textId="77777777" w:rsidR="00E73AD2" w:rsidRPr="00C871AF" w:rsidRDefault="00E73AD2" w:rsidP="00D63204">
            <w:pPr>
              <w:widowControl w:val="0"/>
              <w:spacing w:after="0" w:line="240" w:lineRule="auto"/>
              <w:ind w:left="90"/>
              <w:rPr>
                <w:rFonts w:cs="Calibri"/>
                <w:b/>
                <w:bCs/>
              </w:rPr>
            </w:pPr>
          </w:p>
          <w:p w14:paraId="6D639987" w14:textId="77777777" w:rsidR="00E73AD2" w:rsidRPr="00C871AF" w:rsidRDefault="00E73AD2" w:rsidP="00D63204">
            <w:pPr>
              <w:widowControl w:val="0"/>
              <w:spacing w:before="8" w:after="0" w:line="240" w:lineRule="auto"/>
              <w:ind w:left="90"/>
              <w:rPr>
                <w:rFonts w:cs="Calibri"/>
                <w:b/>
                <w:bCs/>
              </w:rPr>
            </w:pPr>
          </w:p>
          <w:p w14:paraId="2105C6F5" w14:textId="77777777" w:rsidR="00E73AD2" w:rsidRPr="00C871AF" w:rsidRDefault="00E73AD2" w:rsidP="00D63204">
            <w:pPr>
              <w:widowControl w:val="0"/>
              <w:spacing w:after="0" w:line="240" w:lineRule="auto"/>
              <w:ind w:left="90"/>
              <w:rPr>
                <w:rFonts w:cs="Calibri"/>
              </w:rPr>
            </w:pPr>
            <w:r w:rsidRPr="00C871AF">
              <w:rPr>
                <w:color w:val="231F20"/>
              </w:rPr>
              <w:t>Met</w:t>
            </w:r>
          </w:p>
        </w:tc>
      </w:tr>
      <w:tr w:rsidR="00E73AD2" w:rsidRPr="00C871AF" w14:paraId="6E099320" w14:textId="77777777" w:rsidTr="00F55C20">
        <w:trPr>
          <w:trHeight w:hRule="exact" w:val="2390"/>
          <w:jc w:val="center"/>
        </w:trPr>
        <w:tc>
          <w:tcPr>
            <w:tcW w:w="4317" w:type="dxa"/>
            <w:tcBorders>
              <w:top w:val="single" w:sz="2" w:space="0" w:color="231F20"/>
              <w:left w:val="single" w:sz="2" w:space="0" w:color="231F20"/>
              <w:bottom w:val="single" w:sz="2" w:space="0" w:color="231F20"/>
              <w:right w:val="single" w:sz="2" w:space="0" w:color="231F20"/>
            </w:tcBorders>
          </w:tcPr>
          <w:p w14:paraId="733815BA" w14:textId="00857D35" w:rsidR="00E73AD2" w:rsidRPr="00C871AF" w:rsidRDefault="00E73AD2" w:rsidP="00C871AF">
            <w:pPr>
              <w:widowControl w:val="0"/>
              <w:spacing w:before="153" w:after="0" w:line="240" w:lineRule="exact"/>
              <w:ind w:left="90"/>
              <w:rPr>
                <w:rFonts w:cs="Calibri"/>
              </w:rPr>
            </w:pPr>
            <w:r w:rsidRPr="00C871AF">
              <w:rPr>
                <w:color w:val="231F20"/>
                <w:spacing w:val="-4"/>
                <w:w w:val="105"/>
              </w:rPr>
              <w:t>1.6</w:t>
            </w:r>
            <w:r w:rsidRPr="00C871AF">
              <w:rPr>
                <w:color w:val="231F20"/>
                <w:spacing w:val="15"/>
                <w:w w:val="105"/>
              </w:rPr>
              <w:t xml:space="preserve"> </w:t>
            </w:r>
            <w:r w:rsidRPr="00C871AF">
              <w:rPr>
                <w:color w:val="231F20"/>
                <w:w w:val="105"/>
              </w:rPr>
              <w:t>Difference</w:t>
            </w:r>
            <w:r w:rsidRPr="00C871AF">
              <w:rPr>
                <w:color w:val="231F20"/>
                <w:spacing w:val="15"/>
                <w:w w:val="105"/>
              </w:rPr>
              <w:t xml:space="preserve"> </w:t>
            </w:r>
            <w:r w:rsidRPr="00C871AF">
              <w:rPr>
                <w:color w:val="231F20"/>
                <w:w w:val="105"/>
              </w:rPr>
              <w:t>between</w:t>
            </w:r>
            <w:r w:rsidRPr="00C871AF">
              <w:rPr>
                <w:color w:val="231F20"/>
                <w:spacing w:val="15"/>
                <w:w w:val="105"/>
              </w:rPr>
              <w:t xml:space="preserve"> </w:t>
            </w:r>
            <w:r w:rsidRPr="00C871AF">
              <w:rPr>
                <w:color w:val="231F20"/>
                <w:w w:val="105"/>
              </w:rPr>
              <w:t>the</w:t>
            </w:r>
            <w:r w:rsidRPr="00C871AF">
              <w:rPr>
                <w:color w:val="231F20"/>
                <w:spacing w:val="15"/>
                <w:w w:val="105"/>
              </w:rPr>
              <w:t xml:space="preserve"> </w:t>
            </w:r>
            <w:r w:rsidRPr="00C871AF">
              <w:rPr>
                <w:color w:val="231F20"/>
                <w:w w:val="105"/>
              </w:rPr>
              <w:t>percentage</w:t>
            </w:r>
            <w:r w:rsidRPr="00C871AF">
              <w:rPr>
                <w:color w:val="231F20"/>
                <w:spacing w:val="15"/>
                <w:w w:val="105"/>
              </w:rPr>
              <w:t xml:space="preserve"> </w:t>
            </w:r>
            <w:r w:rsidRPr="00C871AF">
              <w:rPr>
                <w:color w:val="231F20"/>
                <w:w w:val="105"/>
              </w:rPr>
              <w:t>of</w:t>
            </w:r>
            <w:r w:rsidRPr="00C871AF">
              <w:rPr>
                <w:color w:val="231F20"/>
                <w:spacing w:val="15"/>
                <w:w w:val="105"/>
              </w:rPr>
              <w:t xml:space="preserve"> </w:t>
            </w:r>
            <w:r w:rsidRPr="00C871AF">
              <w:rPr>
                <w:color w:val="231F20"/>
                <w:w w:val="105"/>
              </w:rPr>
              <w:t>closed</w:t>
            </w:r>
            <w:r w:rsidRPr="00C871AF">
              <w:rPr>
                <w:color w:val="231F20"/>
                <w:spacing w:val="-45"/>
                <w:w w:val="105"/>
              </w:rPr>
              <w:t xml:space="preserve"> </w:t>
            </w:r>
            <w:r w:rsidRPr="00C871AF">
              <w:rPr>
                <w:color w:val="231F20"/>
                <w:w w:val="105"/>
              </w:rPr>
              <w:t>cases with employment outcomes that have</w:t>
            </w:r>
            <w:r w:rsidR="00C871AF">
              <w:rPr>
                <w:color w:val="231F20"/>
                <w:w w:val="105"/>
              </w:rPr>
              <w:t xml:space="preserve"> </w:t>
            </w:r>
            <w:r w:rsidRPr="00C871AF">
              <w:rPr>
                <w:color w:val="231F20"/>
                <w:w w:val="105"/>
              </w:rPr>
              <w:t>a</w:t>
            </w:r>
            <w:r w:rsidRPr="00C871AF">
              <w:rPr>
                <w:color w:val="231F20"/>
                <w:spacing w:val="4"/>
                <w:w w:val="105"/>
              </w:rPr>
              <w:t xml:space="preserve"> </w:t>
            </w:r>
            <w:r w:rsidRPr="00C871AF">
              <w:rPr>
                <w:color w:val="231F20"/>
                <w:w w:val="105"/>
              </w:rPr>
              <w:t>wage</w:t>
            </w:r>
            <w:r w:rsidRPr="00C871AF">
              <w:rPr>
                <w:color w:val="231F20"/>
                <w:spacing w:val="4"/>
                <w:w w:val="105"/>
              </w:rPr>
              <w:t xml:space="preserve"> </w:t>
            </w:r>
            <w:r w:rsidRPr="00C871AF">
              <w:rPr>
                <w:color w:val="231F20"/>
                <w:w w:val="105"/>
              </w:rPr>
              <w:t>greater</w:t>
            </w:r>
            <w:r w:rsidRPr="00C871AF">
              <w:rPr>
                <w:color w:val="231F20"/>
                <w:spacing w:val="4"/>
                <w:w w:val="105"/>
              </w:rPr>
              <w:t xml:space="preserve"> </w:t>
            </w:r>
            <w:r w:rsidRPr="00C871AF">
              <w:rPr>
                <w:color w:val="231F20"/>
                <w:w w:val="105"/>
              </w:rPr>
              <w:t>than</w:t>
            </w:r>
            <w:r w:rsidRPr="00C871AF">
              <w:rPr>
                <w:color w:val="231F20"/>
                <w:spacing w:val="4"/>
                <w:w w:val="105"/>
              </w:rPr>
              <w:t xml:space="preserve"> </w:t>
            </w:r>
            <w:r w:rsidRPr="00C871AF">
              <w:rPr>
                <w:color w:val="231F20"/>
                <w:w w:val="105"/>
              </w:rPr>
              <w:t>or</w:t>
            </w:r>
            <w:r w:rsidRPr="00C871AF">
              <w:rPr>
                <w:color w:val="231F20"/>
                <w:spacing w:val="4"/>
                <w:w w:val="105"/>
              </w:rPr>
              <w:t xml:space="preserve"> </w:t>
            </w:r>
            <w:r w:rsidRPr="00C871AF">
              <w:rPr>
                <w:color w:val="231F20"/>
                <w:w w:val="105"/>
              </w:rPr>
              <w:t>equal</w:t>
            </w:r>
            <w:r w:rsidRPr="00C871AF">
              <w:rPr>
                <w:color w:val="231F20"/>
                <w:spacing w:val="4"/>
                <w:w w:val="105"/>
              </w:rPr>
              <w:t xml:space="preserve"> </w:t>
            </w:r>
            <w:r w:rsidRPr="00C871AF">
              <w:rPr>
                <w:color w:val="231F20"/>
                <w:w w:val="105"/>
              </w:rPr>
              <w:t>to</w:t>
            </w:r>
            <w:r w:rsidRPr="00C871AF">
              <w:rPr>
                <w:color w:val="231F20"/>
                <w:spacing w:val="4"/>
                <w:w w:val="105"/>
              </w:rPr>
              <w:t xml:space="preserve"> </w:t>
            </w:r>
            <w:r w:rsidRPr="00C871AF">
              <w:rPr>
                <w:color w:val="231F20"/>
                <w:w w:val="105"/>
              </w:rPr>
              <w:t>the</w:t>
            </w:r>
            <w:r w:rsidRPr="00C871AF">
              <w:rPr>
                <w:color w:val="231F20"/>
                <w:spacing w:val="4"/>
                <w:w w:val="105"/>
              </w:rPr>
              <w:t xml:space="preserve"> </w:t>
            </w:r>
            <w:r w:rsidRPr="00C871AF">
              <w:rPr>
                <w:color w:val="231F20"/>
                <w:w w:val="105"/>
              </w:rPr>
              <w:t>minimum</w:t>
            </w:r>
            <w:r w:rsidRPr="00C871AF">
              <w:rPr>
                <w:color w:val="231F20"/>
                <w:spacing w:val="-44"/>
                <w:w w:val="105"/>
              </w:rPr>
              <w:t xml:space="preserve"> </w:t>
            </w:r>
            <w:r w:rsidRPr="00C871AF">
              <w:rPr>
                <w:color w:val="231F20"/>
                <w:w w:val="105"/>
              </w:rPr>
              <w:t>wage</w:t>
            </w:r>
            <w:r w:rsidRPr="00C871AF">
              <w:rPr>
                <w:color w:val="231F20"/>
                <w:spacing w:val="7"/>
                <w:w w:val="105"/>
              </w:rPr>
              <w:t xml:space="preserve"> </w:t>
            </w:r>
            <w:r w:rsidRPr="00C871AF">
              <w:rPr>
                <w:color w:val="231F20"/>
                <w:w w:val="105"/>
              </w:rPr>
              <w:t>that</w:t>
            </w:r>
            <w:r w:rsidRPr="00C871AF">
              <w:rPr>
                <w:color w:val="231F20"/>
                <w:spacing w:val="7"/>
                <w:w w:val="105"/>
              </w:rPr>
              <w:t xml:space="preserve"> </w:t>
            </w:r>
            <w:r w:rsidRPr="00C871AF">
              <w:rPr>
                <w:color w:val="231F20"/>
                <w:w w:val="105"/>
              </w:rPr>
              <w:t>are</w:t>
            </w:r>
            <w:r w:rsidRPr="00C871AF">
              <w:rPr>
                <w:color w:val="231F20"/>
                <w:spacing w:val="7"/>
                <w:w w:val="105"/>
              </w:rPr>
              <w:t xml:space="preserve"> </w:t>
            </w:r>
            <w:r w:rsidRPr="00C871AF">
              <w:rPr>
                <w:color w:val="231F20"/>
                <w:w w:val="105"/>
              </w:rPr>
              <w:t>self-support</w:t>
            </w:r>
            <w:r w:rsidRPr="00C871AF">
              <w:rPr>
                <w:color w:val="231F20"/>
                <w:spacing w:val="7"/>
                <w:w w:val="105"/>
              </w:rPr>
              <w:t xml:space="preserve"> </w:t>
            </w:r>
            <w:r w:rsidRPr="00C871AF">
              <w:rPr>
                <w:color w:val="231F20"/>
                <w:w w:val="105"/>
              </w:rPr>
              <w:t>at</w:t>
            </w:r>
            <w:r w:rsidRPr="00C871AF">
              <w:rPr>
                <w:color w:val="231F20"/>
                <w:spacing w:val="7"/>
                <w:w w:val="105"/>
              </w:rPr>
              <w:t xml:space="preserve"> </w:t>
            </w:r>
            <w:r w:rsidRPr="00C871AF">
              <w:rPr>
                <w:color w:val="231F20"/>
                <w:w w:val="105"/>
              </w:rPr>
              <w:t>application</w:t>
            </w:r>
            <w:r w:rsidRPr="00C871AF">
              <w:rPr>
                <w:color w:val="231F20"/>
                <w:spacing w:val="7"/>
                <w:w w:val="105"/>
              </w:rPr>
              <w:t xml:space="preserve"> </w:t>
            </w:r>
            <w:r w:rsidRPr="00C871AF">
              <w:rPr>
                <w:color w:val="231F20"/>
                <w:w w:val="105"/>
              </w:rPr>
              <w:t>and</w:t>
            </w:r>
            <w:r w:rsidRPr="00C871AF">
              <w:rPr>
                <w:color w:val="231F20"/>
                <w:spacing w:val="7"/>
                <w:w w:val="105"/>
              </w:rPr>
              <w:t xml:space="preserve"> </w:t>
            </w:r>
            <w:r w:rsidRPr="00C871AF">
              <w:rPr>
                <w:color w:val="231F20"/>
                <w:w w:val="105"/>
              </w:rPr>
              <w:t>the</w:t>
            </w:r>
            <w:r w:rsidRPr="00C871AF">
              <w:rPr>
                <w:color w:val="231F20"/>
                <w:spacing w:val="-42"/>
                <w:w w:val="105"/>
              </w:rPr>
              <w:t xml:space="preserve"> </w:t>
            </w:r>
            <w:r w:rsidRPr="00C871AF">
              <w:rPr>
                <w:color w:val="231F20"/>
                <w:w w:val="105"/>
              </w:rPr>
              <w:t>percentage of closed cases with employment</w:t>
            </w:r>
            <w:r w:rsidRPr="00C871AF">
              <w:rPr>
                <w:color w:val="231F20"/>
                <w:spacing w:val="21"/>
                <w:w w:val="105"/>
              </w:rPr>
              <w:t xml:space="preserve"> </w:t>
            </w:r>
            <w:r w:rsidRPr="00C871AF">
              <w:rPr>
                <w:color w:val="231F20"/>
                <w:w w:val="105"/>
              </w:rPr>
              <w:t>outcomes that have a wage greater than or</w:t>
            </w:r>
            <w:r w:rsidRPr="00C871AF">
              <w:rPr>
                <w:color w:val="231F20"/>
                <w:spacing w:val="41"/>
                <w:w w:val="105"/>
              </w:rPr>
              <w:t xml:space="preserve"> </w:t>
            </w:r>
            <w:r w:rsidRPr="00C871AF">
              <w:rPr>
                <w:color w:val="231F20"/>
                <w:w w:val="105"/>
              </w:rPr>
              <w:t>equal</w:t>
            </w:r>
            <w:r w:rsidRPr="00C871AF">
              <w:rPr>
                <w:color w:val="231F20"/>
                <w:w w:val="108"/>
              </w:rPr>
              <w:t xml:space="preserve"> </w:t>
            </w:r>
            <w:r w:rsidRPr="00C871AF">
              <w:rPr>
                <w:color w:val="231F20"/>
                <w:w w:val="105"/>
              </w:rPr>
              <w:t>to the minimum wage that are self-support</w:t>
            </w:r>
            <w:r w:rsidRPr="00C871AF">
              <w:rPr>
                <w:color w:val="231F20"/>
                <w:spacing w:val="15"/>
                <w:w w:val="105"/>
              </w:rPr>
              <w:t xml:space="preserve"> </w:t>
            </w:r>
            <w:r w:rsidRPr="00C871AF">
              <w:rPr>
                <w:color w:val="231F20"/>
                <w:w w:val="105"/>
              </w:rPr>
              <w:t>at</w:t>
            </w:r>
            <w:r w:rsidRPr="00C871AF">
              <w:rPr>
                <w:color w:val="231F20"/>
              </w:rPr>
              <w:t xml:space="preserve"> </w:t>
            </w:r>
            <w:r w:rsidRPr="00C871AF">
              <w:rPr>
                <w:color w:val="231F20"/>
                <w:w w:val="105"/>
              </w:rPr>
              <w:t>closure</w:t>
            </w:r>
          </w:p>
        </w:tc>
        <w:tc>
          <w:tcPr>
            <w:tcW w:w="1653" w:type="dxa"/>
            <w:tcBorders>
              <w:top w:val="single" w:sz="2" w:space="0" w:color="231F20"/>
              <w:left w:val="single" w:sz="2" w:space="0" w:color="231F20"/>
              <w:bottom w:val="single" w:sz="2" w:space="0" w:color="231F20"/>
              <w:right w:val="single" w:sz="2" w:space="0" w:color="231F20"/>
            </w:tcBorders>
            <w:vAlign w:val="center"/>
          </w:tcPr>
          <w:p w14:paraId="49A66952" w14:textId="77777777" w:rsidR="00E73AD2" w:rsidRPr="00C871AF" w:rsidRDefault="00E73AD2" w:rsidP="00D63204">
            <w:pPr>
              <w:widowControl w:val="0"/>
              <w:spacing w:after="0" w:line="240" w:lineRule="auto"/>
              <w:ind w:left="90"/>
              <w:rPr>
                <w:rFonts w:cs="Calibri"/>
                <w:bCs/>
              </w:rPr>
            </w:pPr>
            <w:r w:rsidRPr="00C871AF">
              <w:rPr>
                <w:rFonts w:cs="Calibri"/>
                <w:bCs/>
              </w:rPr>
              <w:t>40.67%</w:t>
            </w:r>
          </w:p>
        </w:tc>
        <w:tc>
          <w:tcPr>
            <w:tcW w:w="1587" w:type="dxa"/>
            <w:tcBorders>
              <w:top w:val="single" w:sz="2" w:space="0" w:color="231F20"/>
              <w:left w:val="single" w:sz="2" w:space="0" w:color="231F20"/>
              <w:bottom w:val="single" w:sz="2" w:space="0" w:color="231F20"/>
              <w:right w:val="single" w:sz="2" w:space="0" w:color="231F20"/>
            </w:tcBorders>
          </w:tcPr>
          <w:p w14:paraId="1023463C" w14:textId="77777777" w:rsidR="00E73AD2" w:rsidRPr="00C871AF" w:rsidRDefault="00E73AD2" w:rsidP="00D63204">
            <w:pPr>
              <w:widowControl w:val="0"/>
              <w:spacing w:after="0" w:line="240" w:lineRule="auto"/>
              <w:ind w:left="90"/>
              <w:rPr>
                <w:rFonts w:cs="Calibri"/>
                <w:bCs/>
              </w:rPr>
            </w:pPr>
          </w:p>
          <w:p w14:paraId="344A1E4D" w14:textId="77777777" w:rsidR="00E73AD2" w:rsidRPr="00C871AF" w:rsidRDefault="00E73AD2" w:rsidP="00D63204">
            <w:pPr>
              <w:widowControl w:val="0"/>
              <w:spacing w:after="0" w:line="240" w:lineRule="auto"/>
              <w:ind w:left="90"/>
              <w:rPr>
                <w:rFonts w:cs="Calibri"/>
                <w:bCs/>
              </w:rPr>
            </w:pPr>
          </w:p>
          <w:p w14:paraId="1A7933C9" w14:textId="77777777" w:rsidR="00E73AD2" w:rsidRPr="00C871AF" w:rsidRDefault="00E73AD2" w:rsidP="00D63204">
            <w:pPr>
              <w:widowControl w:val="0"/>
              <w:spacing w:after="0" w:line="240" w:lineRule="auto"/>
              <w:ind w:left="90"/>
              <w:rPr>
                <w:rFonts w:cs="Calibri"/>
                <w:bCs/>
              </w:rPr>
            </w:pPr>
          </w:p>
          <w:p w14:paraId="36C46842" w14:textId="77777777" w:rsidR="00E73AD2" w:rsidRPr="00C871AF" w:rsidRDefault="00E73AD2" w:rsidP="00D63204">
            <w:pPr>
              <w:widowControl w:val="0"/>
              <w:spacing w:before="6" w:after="0" w:line="240" w:lineRule="auto"/>
              <w:ind w:left="90"/>
              <w:rPr>
                <w:rFonts w:cs="Calibri"/>
                <w:bCs/>
              </w:rPr>
            </w:pPr>
          </w:p>
          <w:p w14:paraId="27E07555" w14:textId="77777777" w:rsidR="00E73AD2" w:rsidRPr="00C871AF" w:rsidRDefault="00E73AD2" w:rsidP="00D63204">
            <w:pPr>
              <w:widowControl w:val="0"/>
              <w:spacing w:after="0" w:line="240" w:lineRule="auto"/>
              <w:ind w:left="90"/>
              <w:rPr>
                <w:rFonts w:cs="Calibri"/>
              </w:rPr>
            </w:pPr>
            <w:r w:rsidRPr="00C871AF">
              <w:rPr>
                <w:color w:val="231F20"/>
                <w:w w:val="110"/>
              </w:rPr>
              <w:t>45.25%</w:t>
            </w:r>
          </w:p>
        </w:tc>
        <w:tc>
          <w:tcPr>
            <w:tcW w:w="1530" w:type="dxa"/>
            <w:tcBorders>
              <w:top w:val="single" w:sz="2" w:space="0" w:color="231F20"/>
              <w:left w:val="single" w:sz="2" w:space="0" w:color="231F20"/>
              <w:bottom w:val="single" w:sz="2" w:space="0" w:color="231F20"/>
              <w:right w:val="single" w:sz="2" w:space="0" w:color="231F20"/>
            </w:tcBorders>
          </w:tcPr>
          <w:p w14:paraId="6902110C" w14:textId="77777777" w:rsidR="00E73AD2" w:rsidRPr="00C871AF" w:rsidRDefault="00E73AD2" w:rsidP="00D63204">
            <w:pPr>
              <w:widowControl w:val="0"/>
              <w:spacing w:after="0" w:line="240" w:lineRule="auto"/>
              <w:ind w:left="90"/>
              <w:rPr>
                <w:rFonts w:cs="Calibri"/>
                <w:b/>
                <w:bCs/>
              </w:rPr>
            </w:pPr>
          </w:p>
          <w:p w14:paraId="0F54EB07" w14:textId="77777777" w:rsidR="00E73AD2" w:rsidRPr="00C871AF" w:rsidRDefault="00E73AD2" w:rsidP="00D63204">
            <w:pPr>
              <w:widowControl w:val="0"/>
              <w:spacing w:after="0" w:line="240" w:lineRule="auto"/>
              <w:ind w:left="90"/>
              <w:rPr>
                <w:rFonts w:cs="Calibri"/>
                <w:b/>
                <w:bCs/>
              </w:rPr>
            </w:pPr>
          </w:p>
          <w:p w14:paraId="47C93413" w14:textId="77777777" w:rsidR="00E73AD2" w:rsidRPr="00C871AF" w:rsidRDefault="00E73AD2" w:rsidP="00D63204">
            <w:pPr>
              <w:widowControl w:val="0"/>
              <w:spacing w:after="0" w:line="240" w:lineRule="auto"/>
              <w:ind w:left="90"/>
              <w:rPr>
                <w:rFonts w:cs="Calibri"/>
                <w:b/>
                <w:bCs/>
              </w:rPr>
            </w:pPr>
          </w:p>
          <w:p w14:paraId="0CDF9027" w14:textId="77777777" w:rsidR="00E73AD2" w:rsidRPr="00C871AF" w:rsidRDefault="00E73AD2" w:rsidP="00D63204">
            <w:pPr>
              <w:widowControl w:val="0"/>
              <w:spacing w:before="6" w:after="0" w:line="240" w:lineRule="auto"/>
              <w:ind w:left="90"/>
              <w:rPr>
                <w:rFonts w:cs="Calibri"/>
                <w:b/>
                <w:bCs/>
              </w:rPr>
            </w:pPr>
          </w:p>
          <w:p w14:paraId="77A9D413" w14:textId="33FEABD0" w:rsidR="00E73AD2" w:rsidRPr="00C871AF" w:rsidRDefault="00E73AD2" w:rsidP="00D63204">
            <w:pPr>
              <w:widowControl w:val="0"/>
              <w:spacing w:after="0" w:line="240" w:lineRule="auto"/>
              <w:ind w:left="90"/>
              <w:rPr>
                <w:rFonts w:cs="Calibri"/>
              </w:rPr>
            </w:pPr>
            <w:r w:rsidRPr="00C871AF">
              <w:rPr>
                <w:color w:val="231F20"/>
                <w:w w:val="110"/>
              </w:rPr>
              <w:t xml:space="preserve">  -11.26%</w:t>
            </w:r>
          </w:p>
        </w:tc>
        <w:tc>
          <w:tcPr>
            <w:tcW w:w="1145" w:type="dxa"/>
            <w:tcBorders>
              <w:top w:val="single" w:sz="2" w:space="0" w:color="231F20"/>
              <w:left w:val="single" w:sz="2" w:space="0" w:color="231F20"/>
              <w:bottom w:val="single" w:sz="2" w:space="0" w:color="231F20"/>
              <w:right w:val="single" w:sz="2" w:space="0" w:color="231F20"/>
            </w:tcBorders>
          </w:tcPr>
          <w:p w14:paraId="4939C7AD" w14:textId="77777777" w:rsidR="00E73AD2" w:rsidRPr="00C871AF" w:rsidRDefault="00E73AD2" w:rsidP="00D63204">
            <w:pPr>
              <w:widowControl w:val="0"/>
              <w:spacing w:after="0" w:line="240" w:lineRule="auto"/>
              <w:ind w:left="90"/>
              <w:rPr>
                <w:rFonts w:cs="Calibri"/>
                <w:b/>
                <w:bCs/>
              </w:rPr>
            </w:pPr>
          </w:p>
          <w:p w14:paraId="48AE0B8B" w14:textId="77777777" w:rsidR="00E73AD2" w:rsidRPr="00C871AF" w:rsidRDefault="00E73AD2" w:rsidP="00D63204">
            <w:pPr>
              <w:widowControl w:val="0"/>
              <w:spacing w:after="0" w:line="240" w:lineRule="auto"/>
              <w:ind w:left="90"/>
              <w:rPr>
                <w:rFonts w:cs="Calibri"/>
                <w:b/>
                <w:bCs/>
              </w:rPr>
            </w:pPr>
          </w:p>
          <w:p w14:paraId="57FDA937" w14:textId="77777777" w:rsidR="00E73AD2" w:rsidRPr="00C871AF" w:rsidRDefault="00E73AD2" w:rsidP="00D63204">
            <w:pPr>
              <w:widowControl w:val="0"/>
              <w:spacing w:after="0" w:line="240" w:lineRule="auto"/>
              <w:ind w:left="90"/>
              <w:rPr>
                <w:rFonts w:cs="Calibri"/>
                <w:b/>
                <w:bCs/>
              </w:rPr>
            </w:pPr>
          </w:p>
          <w:p w14:paraId="39517507" w14:textId="77777777" w:rsidR="00E73AD2" w:rsidRPr="00C871AF" w:rsidRDefault="00E73AD2" w:rsidP="00D63204">
            <w:pPr>
              <w:widowControl w:val="0"/>
              <w:spacing w:before="6" w:after="0" w:line="240" w:lineRule="auto"/>
              <w:ind w:left="90"/>
              <w:rPr>
                <w:rFonts w:cs="Calibri"/>
                <w:b/>
                <w:bCs/>
              </w:rPr>
            </w:pPr>
          </w:p>
          <w:p w14:paraId="0503636A" w14:textId="77777777" w:rsidR="00E73AD2" w:rsidRPr="00C871AF" w:rsidRDefault="00E73AD2" w:rsidP="00D63204">
            <w:pPr>
              <w:widowControl w:val="0"/>
              <w:spacing w:after="0" w:line="240" w:lineRule="auto"/>
              <w:ind w:left="90"/>
              <w:rPr>
                <w:rFonts w:cs="Calibri"/>
              </w:rPr>
            </w:pPr>
            <w:r w:rsidRPr="00C871AF">
              <w:rPr>
                <w:color w:val="231F20"/>
              </w:rPr>
              <w:t>Met</w:t>
            </w:r>
          </w:p>
        </w:tc>
      </w:tr>
      <w:tr w:rsidR="00E73AD2" w:rsidRPr="00C871AF" w14:paraId="4703F25B" w14:textId="77777777" w:rsidTr="00EA3CBE">
        <w:trPr>
          <w:trHeight w:hRule="exact" w:val="1058"/>
          <w:jc w:val="center"/>
        </w:trPr>
        <w:tc>
          <w:tcPr>
            <w:tcW w:w="4317" w:type="dxa"/>
            <w:tcBorders>
              <w:top w:val="single" w:sz="2" w:space="0" w:color="231F20"/>
              <w:left w:val="single" w:sz="2" w:space="0" w:color="231F20"/>
              <w:bottom w:val="single" w:sz="2" w:space="0" w:color="231F20"/>
              <w:right w:val="single" w:sz="2" w:space="0" w:color="231F20"/>
            </w:tcBorders>
            <w:shd w:val="clear" w:color="auto" w:fill="E6E7E8"/>
          </w:tcPr>
          <w:p w14:paraId="005E269E" w14:textId="77777777" w:rsidR="00E73AD2" w:rsidRPr="00C871AF" w:rsidRDefault="00E73AD2" w:rsidP="00C871AF">
            <w:pPr>
              <w:widowControl w:val="0"/>
              <w:spacing w:before="64" w:after="0" w:line="240" w:lineRule="exact"/>
              <w:ind w:left="90"/>
              <w:rPr>
                <w:rFonts w:cs="Calibri"/>
              </w:rPr>
            </w:pPr>
            <w:r w:rsidRPr="00C871AF">
              <w:rPr>
                <w:color w:val="231F20"/>
                <w:spacing w:val="-5"/>
                <w:w w:val="105"/>
              </w:rPr>
              <w:t>2.1</w:t>
            </w:r>
            <w:r w:rsidRPr="00C871AF">
              <w:rPr>
                <w:color w:val="231F20"/>
                <w:spacing w:val="-7"/>
                <w:w w:val="105"/>
              </w:rPr>
              <w:t xml:space="preserve"> </w:t>
            </w:r>
            <w:r w:rsidRPr="00C871AF">
              <w:rPr>
                <w:color w:val="231F20"/>
                <w:w w:val="105"/>
              </w:rPr>
              <w:t>Ratio</w:t>
            </w:r>
            <w:r w:rsidRPr="00C871AF">
              <w:rPr>
                <w:color w:val="231F20"/>
                <w:spacing w:val="-7"/>
                <w:w w:val="105"/>
              </w:rPr>
              <w:t xml:space="preserve"> </w:t>
            </w:r>
            <w:r w:rsidRPr="00C871AF">
              <w:rPr>
                <w:color w:val="231F20"/>
                <w:w w:val="105"/>
              </w:rPr>
              <w:t>of</w:t>
            </w:r>
            <w:r w:rsidRPr="00C871AF">
              <w:rPr>
                <w:color w:val="231F20"/>
                <w:spacing w:val="-7"/>
                <w:w w:val="105"/>
              </w:rPr>
              <w:t xml:space="preserve"> </w:t>
            </w:r>
            <w:r w:rsidRPr="00C871AF">
              <w:rPr>
                <w:color w:val="231F20"/>
                <w:w w:val="105"/>
              </w:rPr>
              <w:t>minority</w:t>
            </w:r>
            <w:r w:rsidRPr="00C871AF">
              <w:rPr>
                <w:color w:val="231F20"/>
                <w:spacing w:val="-7"/>
                <w:w w:val="105"/>
              </w:rPr>
              <w:t xml:space="preserve"> </w:t>
            </w:r>
            <w:r w:rsidRPr="00C871AF">
              <w:rPr>
                <w:color w:val="231F20"/>
                <w:w w:val="105"/>
              </w:rPr>
              <w:t>service</w:t>
            </w:r>
            <w:r w:rsidRPr="00C871AF">
              <w:rPr>
                <w:color w:val="231F20"/>
                <w:spacing w:val="-7"/>
                <w:w w:val="105"/>
              </w:rPr>
              <w:t xml:space="preserve"> </w:t>
            </w:r>
            <w:r w:rsidRPr="00C871AF">
              <w:rPr>
                <w:color w:val="231F20"/>
                <w:w w:val="105"/>
              </w:rPr>
              <w:t>rate</w:t>
            </w:r>
            <w:r w:rsidRPr="00C871AF">
              <w:rPr>
                <w:color w:val="231F20"/>
                <w:spacing w:val="-7"/>
                <w:w w:val="105"/>
              </w:rPr>
              <w:t xml:space="preserve"> </w:t>
            </w:r>
            <w:r w:rsidRPr="00C871AF">
              <w:rPr>
                <w:color w:val="231F20"/>
                <w:w w:val="105"/>
              </w:rPr>
              <w:t>to</w:t>
            </w:r>
            <w:r w:rsidRPr="00C871AF">
              <w:rPr>
                <w:color w:val="231F20"/>
                <w:spacing w:val="-7"/>
                <w:w w:val="105"/>
              </w:rPr>
              <w:t xml:space="preserve"> </w:t>
            </w:r>
            <w:r w:rsidRPr="00C871AF">
              <w:rPr>
                <w:color w:val="231F20"/>
                <w:w w:val="105"/>
              </w:rPr>
              <w:t>non-minority</w:t>
            </w:r>
            <w:r w:rsidRPr="00C871AF">
              <w:rPr>
                <w:color w:val="231F20"/>
                <w:w w:val="102"/>
              </w:rPr>
              <w:t xml:space="preserve"> </w:t>
            </w:r>
            <w:r w:rsidRPr="00C871AF">
              <w:rPr>
                <w:color w:val="231F20"/>
                <w:w w:val="105"/>
              </w:rPr>
              <w:t>service</w:t>
            </w:r>
            <w:r w:rsidRPr="00C871AF">
              <w:rPr>
                <w:color w:val="231F20"/>
                <w:spacing w:val="27"/>
                <w:w w:val="105"/>
              </w:rPr>
              <w:t xml:space="preserve"> </w:t>
            </w:r>
            <w:r w:rsidRPr="00C871AF">
              <w:rPr>
                <w:color w:val="231F20"/>
                <w:w w:val="105"/>
              </w:rPr>
              <w:t>rate</w:t>
            </w:r>
          </w:p>
        </w:tc>
        <w:tc>
          <w:tcPr>
            <w:tcW w:w="1653" w:type="dxa"/>
            <w:tcBorders>
              <w:top w:val="single" w:sz="2" w:space="0" w:color="231F20"/>
              <w:left w:val="single" w:sz="2" w:space="0" w:color="231F20"/>
              <w:bottom w:val="single" w:sz="2" w:space="0" w:color="231F20"/>
              <w:right w:val="single" w:sz="2" w:space="0" w:color="231F20"/>
            </w:tcBorders>
            <w:shd w:val="clear" w:color="auto" w:fill="E6E7E8"/>
            <w:vAlign w:val="center"/>
          </w:tcPr>
          <w:p w14:paraId="36FC35C5" w14:textId="77777777" w:rsidR="00E73AD2" w:rsidRPr="00C871AF" w:rsidRDefault="00E73AD2" w:rsidP="00D63204">
            <w:pPr>
              <w:widowControl w:val="0"/>
              <w:spacing w:before="3" w:after="0" w:line="240" w:lineRule="auto"/>
              <w:ind w:left="90"/>
              <w:rPr>
                <w:rFonts w:cs="Calibri"/>
                <w:bCs/>
              </w:rPr>
            </w:pPr>
            <w:r w:rsidRPr="00C871AF">
              <w:rPr>
                <w:rFonts w:cs="Calibri"/>
                <w:bCs/>
              </w:rPr>
              <w:t>.96</w:t>
            </w:r>
          </w:p>
        </w:tc>
        <w:tc>
          <w:tcPr>
            <w:tcW w:w="1587" w:type="dxa"/>
            <w:tcBorders>
              <w:top w:val="single" w:sz="2" w:space="0" w:color="231F20"/>
              <w:left w:val="single" w:sz="2" w:space="0" w:color="231F20"/>
              <w:bottom w:val="single" w:sz="2" w:space="0" w:color="231F20"/>
              <w:right w:val="single" w:sz="2" w:space="0" w:color="231F20"/>
            </w:tcBorders>
            <w:shd w:val="clear" w:color="auto" w:fill="E6E7E8"/>
          </w:tcPr>
          <w:p w14:paraId="04A78D27" w14:textId="77777777" w:rsidR="00E73AD2" w:rsidRPr="00C871AF" w:rsidRDefault="00E73AD2" w:rsidP="00D63204">
            <w:pPr>
              <w:widowControl w:val="0"/>
              <w:spacing w:before="3" w:after="0" w:line="240" w:lineRule="auto"/>
              <w:ind w:left="90"/>
              <w:rPr>
                <w:rFonts w:cs="Calibri"/>
                <w:bCs/>
              </w:rPr>
            </w:pPr>
          </w:p>
          <w:p w14:paraId="2ADED714" w14:textId="4F81FBB4" w:rsidR="00E73AD2" w:rsidRPr="00C871AF" w:rsidRDefault="00E73AD2" w:rsidP="00D63204">
            <w:pPr>
              <w:widowControl w:val="0"/>
              <w:spacing w:after="0" w:line="240" w:lineRule="auto"/>
              <w:ind w:left="90"/>
              <w:rPr>
                <w:rFonts w:cs="Calibri"/>
              </w:rPr>
            </w:pPr>
            <w:r w:rsidRPr="00C871AF">
              <w:rPr>
                <w:color w:val="231F20"/>
                <w:spacing w:val="-2"/>
              </w:rPr>
              <w:t>0.91</w:t>
            </w:r>
          </w:p>
        </w:tc>
        <w:tc>
          <w:tcPr>
            <w:tcW w:w="1530" w:type="dxa"/>
            <w:tcBorders>
              <w:top w:val="single" w:sz="2" w:space="0" w:color="231F20"/>
              <w:left w:val="single" w:sz="2" w:space="0" w:color="231F20"/>
              <w:bottom w:val="single" w:sz="2" w:space="0" w:color="231F20"/>
              <w:right w:val="single" w:sz="2" w:space="0" w:color="231F20"/>
            </w:tcBorders>
            <w:shd w:val="clear" w:color="auto" w:fill="E6E7E8"/>
          </w:tcPr>
          <w:p w14:paraId="5DAF8487" w14:textId="4C121737" w:rsidR="00E73AD2" w:rsidRPr="00C871AF" w:rsidRDefault="00E73AD2" w:rsidP="00D63204">
            <w:pPr>
              <w:widowControl w:val="0"/>
              <w:spacing w:after="0" w:line="240" w:lineRule="auto"/>
              <w:ind w:left="90"/>
              <w:rPr>
                <w:color w:val="231F20"/>
                <w:spacing w:val="-4"/>
                <w:w w:val="85"/>
              </w:rPr>
            </w:pPr>
          </w:p>
          <w:p w14:paraId="317C0CB4" w14:textId="77777777" w:rsidR="00E73AD2" w:rsidRPr="00C871AF" w:rsidRDefault="00E73AD2" w:rsidP="00D63204">
            <w:pPr>
              <w:widowControl w:val="0"/>
              <w:spacing w:after="0" w:line="240" w:lineRule="auto"/>
              <w:ind w:left="90"/>
              <w:rPr>
                <w:rFonts w:cs="Calibri"/>
              </w:rPr>
            </w:pPr>
            <w:r w:rsidRPr="00C871AF">
              <w:rPr>
                <w:color w:val="231F20"/>
                <w:spacing w:val="-4"/>
                <w:w w:val="85"/>
              </w:rPr>
              <w:t>5.21</w:t>
            </w:r>
          </w:p>
        </w:tc>
        <w:tc>
          <w:tcPr>
            <w:tcW w:w="1145" w:type="dxa"/>
            <w:tcBorders>
              <w:top w:val="single" w:sz="2" w:space="0" w:color="231F20"/>
              <w:left w:val="single" w:sz="2" w:space="0" w:color="231F20"/>
              <w:bottom w:val="single" w:sz="2" w:space="0" w:color="231F20"/>
              <w:right w:val="single" w:sz="2" w:space="0" w:color="231F20"/>
            </w:tcBorders>
            <w:shd w:val="clear" w:color="auto" w:fill="E6E7E8"/>
          </w:tcPr>
          <w:p w14:paraId="7F00312D" w14:textId="77777777" w:rsidR="00E73AD2" w:rsidRPr="00C871AF" w:rsidRDefault="00E73AD2" w:rsidP="00D63204">
            <w:pPr>
              <w:widowControl w:val="0"/>
              <w:spacing w:before="3" w:after="0" w:line="240" w:lineRule="auto"/>
              <w:ind w:left="90"/>
              <w:rPr>
                <w:rFonts w:cs="Calibri"/>
                <w:b/>
                <w:bCs/>
              </w:rPr>
            </w:pPr>
          </w:p>
          <w:p w14:paraId="456B78BE" w14:textId="77777777" w:rsidR="00E73AD2" w:rsidRPr="00C871AF" w:rsidRDefault="00E73AD2" w:rsidP="00D63204">
            <w:pPr>
              <w:widowControl w:val="0"/>
              <w:spacing w:after="0" w:line="240" w:lineRule="auto"/>
              <w:ind w:left="90"/>
              <w:rPr>
                <w:rFonts w:cs="Calibri"/>
              </w:rPr>
            </w:pPr>
            <w:r w:rsidRPr="00C871AF">
              <w:rPr>
                <w:color w:val="231F20"/>
              </w:rPr>
              <w:t>Met</w:t>
            </w:r>
          </w:p>
        </w:tc>
      </w:tr>
      <w:bookmarkEnd w:id="179"/>
    </w:tbl>
    <w:p w14:paraId="375DA051" w14:textId="77777777" w:rsidR="00EA7458" w:rsidRPr="00C871AF" w:rsidRDefault="00EA7458" w:rsidP="006535D2">
      <w:pPr>
        <w:widowControl w:val="0"/>
        <w:spacing w:after="0" w:line="240" w:lineRule="auto"/>
        <w:rPr>
          <w:rFonts w:cs="Calibri"/>
        </w:rPr>
        <w:sectPr w:rsidR="00EA7458" w:rsidRPr="00C871AF">
          <w:footerReference w:type="default" r:id="rId194"/>
          <w:pgSz w:w="12240" w:h="15840"/>
          <w:pgMar w:top="1620" w:right="900" w:bottom="820" w:left="900" w:header="812" w:footer="624" w:gutter="0"/>
          <w:cols w:space="720"/>
        </w:sectPr>
      </w:pPr>
    </w:p>
    <w:p w14:paraId="400C4747" w14:textId="77777777" w:rsidR="00EA3CBE" w:rsidRDefault="00EA3CBE" w:rsidP="006535D2">
      <w:pPr>
        <w:spacing w:line="240" w:lineRule="auto"/>
      </w:pPr>
      <w:bookmarkStart w:id="180" w:name="(i)_Comprehensive_System_of_Personnel_De"/>
      <w:bookmarkStart w:id="181" w:name="_bookmark109"/>
      <w:bookmarkEnd w:id="180"/>
      <w:bookmarkEnd w:id="181"/>
    </w:p>
    <w:p w14:paraId="05B99BF6" w14:textId="1C79EDBC" w:rsidR="00E73AD2" w:rsidRPr="00C871AF" w:rsidRDefault="00E73AD2" w:rsidP="00D63204">
      <w:pPr>
        <w:spacing w:line="240" w:lineRule="auto"/>
        <w:ind w:left="90"/>
      </w:pPr>
      <w:r w:rsidRPr="00C871AF">
        <w:t>FDBS collaborate</w:t>
      </w:r>
      <w:r w:rsidR="00C442E2">
        <w:t>s</w:t>
      </w:r>
      <w:r w:rsidRPr="00C871AF">
        <w:t xml:space="preserve"> with partners at the state and local levels to maximize employment services for people with disabilities. FDBS anticipates that all projects within its </w:t>
      </w:r>
      <w:r w:rsidR="00D226F4">
        <w:t>state p</w:t>
      </w:r>
      <w:r w:rsidRPr="00C871AF">
        <w:t>lan will have a positive impact on program performance. Specific activities include the following:</w:t>
      </w:r>
    </w:p>
    <w:p w14:paraId="3CA0EE61" w14:textId="77AF3825" w:rsidR="00E73AD2" w:rsidRPr="00C871AF" w:rsidRDefault="00E73AD2" w:rsidP="00D63204">
      <w:pPr>
        <w:pStyle w:val="NormalWeb"/>
        <w:ind w:left="90"/>
        <w:rPr>
          <w:rFonts w:asciiTheme="minorHAnsi" w:hAnsiTheme="minorHAnsi" w:cstheme="minorHAnsi"/>
          <w:sz w:val="22"/>
          <w:szCs w:val="22"/>
        </w:rPr>
      </w:pPr>
      <w:r w:rsidRPr="00C871AF">
        <w:rPr>
          <w:rFonts w:asciiTheme="minorHAnsi" w:hAnsiTheme="minorHAnsi" w:cstheme="minorHAnsi"/>
          <w:sz w:val="22"/>
          <w:szCs w:val="22"/>
        </w:rPr>
        <w:t xml:space="preserve">2.1: Increase the provision of accessibility tools, awareness and regular follow-up with consumers to ensure equality in educational experiences and vocational opportunities. FDBS </w:t>
      </w:r>
      <w:r w:rsidR="00C442E2">
        <w:rPr>
          <w:rFonts w:asciiTheme="minorHAnsi" w:hAnsiTheme="minorHAnsi" w:cstheme="minorHAnsi"/>
          <w:sz w:val="22"/>
          <w:szCs w:val="22"/>
        </w:rPr>
        <w:t xml:space="preserve">will strengthen </w:t>
      </w:r>
      <w:r w:rsidRPr="00C871AF">
        <w:rPr>
          <w:rFonts w:asciiTheme="minorHAnsi" w:hAnsiTheme="minorHAnsi" w:cstheme="minorHAnsi"/>
          <w:sz w:val="22"/>
          <w:szCs w:val="22"/>
        </w:rPr>
        <w:t xml:space="preserve">its relationship with the Lighthouses to ensure appropriate and client-specific assistive technology is consistent with the needs of all clients and is reflected in the IPE. FDBS monitors the contract and receives client feedback via satisfaction surveys. FDBS values collaboration between staff and </w:t>
      </w:r>
      <w:r w:rsidR="00C769D5" w:rsidRPr="00C871AF">
        <w:rPr>
          <w:rFonts w:asciiTheme="minorHAnsi" w:hAnsiTheme="minorHAnsi" w:cstheme="minorHAnsi"/>
          <w:sz w:val="22"/>
          <w:szCs w:val="22"/>
        </w:rPr>
        <w:t>consumers and</w:t>
      </w:r>
      <w:r w:rsidRPr="00C871AF">
        <w:rPr>
          <w:rFonts w:asciiTheme="minorHAnsi" w:hAnsiTheme="minorHAnsi" w:cstheme="minorHAnsi"/>
          <w:sz w:val="22"/>
          <w:szCs w:val="22"/>
        </w:rPr>
        <w:t xml:space="preserve"> incorporates follow-up at all levels of the rehabilitation process. At each level, from applicant to closure of case, Rehabilitation Technicians and Specialists, Employment Placement Specialist</w:t>
      </w:r>
      <w:r w:rsidR="00EE5603">
        <w:rPr>
          <w:rFonts w:asciiTheme="minorHAnsi" w:hAnsiTheme="minorHAnsi" w:cstheme="minorHAnsi"/>
          <w:sz w:val="22"/>
          <w:szCs w:val="22"/>
        </w:rPr>
        <w:t>s</w:t>
      </w:r>
      <w:r w:rsidR="00D5537E">
        <w:rPr>
          <w:rFonts w:asciiTheme="minorHAnsi" w:hAnsiTheme="minorHAnsi" w:cstheme="minorHAnsi"/>
          <w:sz w:val="22"/>
          <w:szCs w:val="22"/>
        </w:rPr>
        <w:t xml:space="preserve"> and</w:t>
      </w:r>
      <w:r w:rsidRPr="00C871AF">
        <w:rPr>
          <w:rFonts w:asciiTheme="minorHAnsi" w:hAnsiTheme="minorHAnsi" w:cstheme="minorHAnsi"/>
          <w:sz w:val="22"/>
          <w:szCs w:val="22"/>
        </w:rPr>
        <w:t xml:space="preserve"> CRP staff (as needed and appropriate) work as a team to remain in contact with the client. Communication between the client and staff throughout the process, strengthens the chance for a positive client outcome</w:t>
      </w:r>
      <w:r w:rsidR="00B4168F">
        <w:rPr>
          <w:rFonts w:asciiTheme="minorHAnsi" w:hAnsiTheme="minorHAnsi" w:cstheme="minorHAnsi"/>
          <w:sz w:val="22"/>
          <w:szCs w:val="22"/>
        </w:rPr>
        <w:t xml:space="preserve">. </w:t>
      </w:r>
      <w:r w:rsidRPr="00C871AF">
        <w:rPr>
          <w:rFonts w:asciiTheme="minorHAnsi" w:hAnsiTheme="minorHAnsi" w:cstheme="minorHAnsi"/>
          <w:sz w:val="22"/>
          <w:szCs w:val="22"/>
        </w:rPr>
        <w:t xml:space="preserve"> </w:t>
      </w:r>
    </w:p>
    <w:p w14:paraId="04E5DA0E" w14:textId="77777777" w:rsidR="00E73AD2" w:rsidRPr="00C871AF" w:rsidRDefault="00E73AD2" w:rsidP="00D63204">
      <w:pPr>
        <w:spacing w:line="240" w:lineRule="auto"/>
        <w:ind w:left="90"/>
        <w:rPr>
          <w:rFonts w:cstheme="minorHAnsi"/>
        </w:rPr>
      </w:pPr>
      <w:r w:rsidRPr="00C871AF">
        <w:rPr>
          <w:rFonts w:cstheme="minorHAnsi"/>
        </w:rPr>
        <w:t>2.2: Implement a comprehensive communications and outreach plan. FDBS has produced and disseminated several marketing videos highlighting client success stories and the value of FDBS services. FDBS hosted several large-scale regional outreach events - with media coverage - to enhance community awareness and engagement.</w:t>
      </w:r>
    </w:p>
    <w:p w14:paraId="00EB0443" w14:textId="5CC69BF9" w:rsidR="00E73AD2" w:rsidRPr="00C871AF" w:rsidRDefault="00E73AD2" w:rsidP="00D63204">
      <w:pPr>
        <w:pStyle w:val="NormalWeb"/>
        <w:ind w:left="90"/>
        <w:rPr>
          <w:rFonts w:asciiTheme="minorHAnsi" w:hAnsiTheme="minorHAnsi" w:cstheme="minorHAnsi"/>
          <w:sz w:val="22"/>
          <w:szCs w:val="22"/>
        </w:rPr>
      </w:pPr>
      <w:r w:rsidRPr="00C871AF">
        <w:rPr>
          <w:rFonts w:asciiTheme="minorHAnsi" w:hAnsiTheme="minorHAnsi" w:cstheme="minorHAnsi"/>
          <w:sz w:val="22"/>
          <w:szCs w:val="22"/>
        </w:rPr>
        <w:t xml:space="preserve">2.3: Increase the number of individuals with significant and most significant disabilities receiving services. In January 2016, FDBS implemented an online application to increase accessibility to individuals who may qualify for services. FDBS created multiple initiatives throughout the state to increase referrals, such as the See Different initiative and FDBS 75 Years Celebrations. </w:t>
      </w:r>
      <w:r w:rsidR="00C64A81">
        <w:rPr>
          <w:rFonts w:asciiTheme="minorHAnsi" w:hAnsiTheme="minorHAnsi" w:cstheme="minorHAnsi"/>
          <w:sz w:val="22"/>
          <w:szCs w:val="22"/>
        </w:rPr>
        <w:t>S</w:t>
      </w:r>
      <w:r w:rsidRPr="00C871AF">
        <w:rPr>
          <w:rFonts w:asciiTheme="minorHAnsi" w:hAnsiTheme="minorHAnsi" w:cstheme="minorHAnsi"/>
          <w:sz w:val="22"/>
          <w:szCs w:val="22"/>
        </w:rPr>
        <w:t>everal PSAs were shown throughout the state via Comcast</w:t>
      </w:r>
      <w:r w:rsidR="00B4168F">
        <w:rPr>
          <w:rFonts w:asciiTheme="minorHAnsi" w:hAnsiTheme="minorHAnsi" w:cstheme="minorHAnsi"/>
          <w:sz w:val="22"/>
          <w:szCs w:val="22"/>
        </w:rPr>
        <w:t xml:space="preserve">. </w:t>
      </w:r>
    </w:p>
    <w:p w14:paraId="530F2228" w14:textId="14BDA762" w:rsidR="00E73AD2" w:rsidRPr="00C871AF" w:rsidRDefault="00E73AD2" w:rsidP="00D63204">
      <w:pPr>
        <w:spacing w:line="240" w:lineRule="auto"/>
        <w:ind w:left="90"/>
        <w:rPr>
          <w:rFonts w:cstheme="minorHAnsi"/>
        </w:rPr>
      </w:pPr>
      <w:r w:rsidRPr="00C871AF">
        <w:rPr>
          <w:rFonts w:cstheme="minorHAnsi"/>
        </w:rPr>
        <w:t>2.4: Increase outreach services to under-served and un-served population</w:t>
      </w:r>
      <w:r w:rsidR="00C97776">
        <w:rPr>
          <w:rFonts w:cstheme="minorHAnsi"/>
        </w:rPr>
        <w:t>s</w:t>
      </w:r>
      <w:r w:rsidRPr="00C871AF">
        <w:rPr>
          <w:rFonts w:cstheme="minorHAnsi"/>
        </w:rPr>
        <w:t>. The district offices conduct outreach activities to identify under-served and un-served populations on a monthly basis. Activities include outreach to vision clinics, optometrists’ offices, senior centers, participation in White Cane Day events, health fairs and low vision expos.</w:t>
      </w:r>
    </w:p>
    <w:p w14:paraId="069E2BA2" w14:textId="4ACB22E8" w:rsidR="00E73AD2" w:rsidRPr="00C871AF" w:rsidRDefault="00E73AD2" w:rsidP="00D63204">
      <w:pPr>
        <w:pStyle w:val="NormalWeb"/>
        <w:ind w:left="90"/>
        <w:rPr>
          <w:rFonts w:asciiTheme="minorHAnsi" w:hAnsiTheme="minorHAnsi" w:cstheme="minorHAnsi"/>
          <w:sz w:val="22"/>
          <w:szCs w:val="22"/>
        </w:rPr>
      </w:pPr>
      <w:r w:rsidRPr="00C871AF">
        <w:rPr>
          <w:rFonts w:asciiTheme="minorHAnsi" w:hAnsiTheme="minorHAnsi" w:cstheme="minorHAnsi"/>
          <w:sz w:val="22"/>
          <w:szCs w:val="22"/>
        </w:rPr>
        <w:t>2.5: Expand utilization of online job systems such as DEO’s Abilities Work Web Portal and accompanying help desk managed by VR</w:t>
      </w:r>
      <w:r w:rsidR="00BE589A">
        <w:rPr>
          <w:rFonts w:asciiTheme="minorHAnsi" w:hAnsiTheme="minorHAnsi" w:cstheme="minorHAnsi"/>
          <w:sz w:val="22"/>
          <w:szCs w:val="22"/>
        </w:rPr>
        <w:t xml:space="preserve"> </w:t>
      </w:r>
      <w:r w:rsidRPr="00C871AF">
        <w:rPr>
          <w:rFonts w:asciiTheme="minorHAnsi" w:hAnsiTheme="minorHAnsi" w:cstheme="minorHAnsi"/>
          <w:sz w:val="22"/>
          <w:szCs w:val="22"/>
        </w:rPr>
        <w:t xml:space="preserve">and the state/federal Talent Acquisition Portal to expose employers to job ready FDBS consumers. FDBS trains rehabilitation specialists and employment placement specialists throughout the state on using TAP as one of the resources to successfully place visually impaired individuals in competitive integrated employment. FDBS tracks utilization of TAP and captures this data in biweekly reports. </w:t>
      </w:r>
    </w:p>
    <w:p w14:paraId="7CFC8F49" w14:textId="1E0A5C2F" w:rsidR="00E73AD2" w:rsidRPr="00C871AF" w:rsidRDefault="00E73AD2" w:rsidP="00D63204">
      <w:pPr>
        <w:pStyle w:val="NormalWeb"/>
        <w:ind w:left="90"/>
        <w:rPr>
          <w:rFonts w:asciiTheme="minorHAnsi" w:hAnsiTheme="minorHAnsi" w:cstheme="minorHAnsi"/>
          <w:sz w:val="22"/>
          <w:szCs w:val="22"/>
        </w:rPr>
      </w:pPr>
      <w:r w:rsidRPr="00C871AF">
        <w:rPr>
          <w:rFonts w:asciiTheme="minorHAnsi" w:hAnsiTheme="minorHAnsi" w:cstheme="minorHAnsi"/>
          <w:sz w:val="22"/>
          <w:szCs w:val="22"/>
        </w:rPr>
        <w:t xml:space="preserve">2.6: Encourage and Track industry certifications, apprenticeships and </w:t>
      </w:r>
      <w:r w:rsidR="00600A6C">
        <w:rPr>
          <w:rFonts w:asciiTheme="minorHAnsi" w:hAnsiTheme="minorHAnsi" w:cstheme="minorHAnsi"/>
          <w:sz w:val="22"/>
          <w:szCs w:val="22"/>
        </w:rPr>
        <w:t>postsecondary</w:t>
      </w:r>
      <w:r w:rsidRPr="00C871AF">
        <w:rPr>
          <w:rFonts w:asciiTheme="minorHAnsi" w:hAnsiTheme="minorHAnsi" w:cstheme="minorHAnsi"/>
          <w:sz w:val="22"/>
          <w:szCs w:val="22"/>
        </w:rPr>
        <w:t xml:space="preserve"> outcomes. The BBE tracks Continuing Education Units (CEUs), food manager certifications and vendor licensures. The Employment Placement Specialists are continually notified of information regarding industry certifications, apprenticeships and </w:t>
      </w:r>
      <w:r w:rsidR="00600A6C">
        <w:rPr>
          <w:rFonts w:asciiTheme="minorHAnsi" w:hAnsiTheme="minorHAnsi" w:cstheme="minorHAnsi"/>
          <w:sz w:val="22"/>
          <w:szCs w:val="22"/>
        </w:rPr>
        <w:t>postsecondary</w:t>
      </w:r>
      <w:r w:rsidRPr="00C871AF">
        <w:rPr>
          <w:rFonts w:asciiTheme="minorHAnsi" w:hAnsiTheme="minorHAnsi" w:cstheme="minorHAnsi"/>
          <w:sz w:val="22"/>
          <w:szCs w:val="22"/>
        </w:rPr>
        <w:t xml:space="preserve"> opportunities via emails and during monthly conference calls. FDBS </w:t>
      </w:r>
      <w:r w:rsidR="00366711">
        <w:rPr>
          <w:rFonts w:asciiTheme="minorHAnsi" w:hAnsiTheme="minorHAnsi" w:cstheme="minorHAnsi"/>
          <w:sz w:val="22"/>
          <w:szCs w:val="22"/>
        </w:rPr>
        <w:t xml:space="preserve">is represented </w:t>
      </w:r>
      <w:r w:rsidRPr="00C871AF">
        <w:rPr>
          <w:rFonts w:asciiTheme="minorHAnsi" w:hAnsiTheme="minorHAnsi" w:cstheme="minorHAnsi"/>
          <w:sz w:val="22"/>
          <w:szCs w:val="22"/>
        </w:rPr>
        <w:t xml:space="preserve">on the National Employment Team, which captures nationwide statistics and best practices for working with employers. </w:t>
      </w:r>
    </w:p>
    <w:p w14:paraId="4B3F8B75" w14:textId="098D1EB5" w:rsidR="00EA7458" w:rsidRPr="00C871AF" w:rsidRDefault="00EA7458" w:rsidP="00D63204">
      <w:pPr>
        <w:widowControl w:val="0"/>
        <w:spacing w:before="10" w:after="0" w:line="240" w:lineRule="auto"/>
        <w:ind w:left="90"/>
        <w:rPr>
          <w:rFonts w:cs="Calibri"/>
        </w:rPr>
      </w:pPr>
    </w:p>
    <w:p w14:paraId="05DFB3FD" w14:textId="76E108F2" w:rsidR="001802D8" w:rsidRPr="00C871AF" w:rsidRDefault="001802D8" w:rsidP="00D63204">
      <w:pPr>
        <w:widowControl w:val="0"/>
        <w:spacing w:before="10" w:after="0" w:line="240" w:lineRule="auto"/>
        <w:ind w:left="90"/>
        <w:rPr>
          <w:rFonts w:cs="Calibri"/>
        </w:rPr>
      </w:pPr>
    </w:p>
    <w:p w14:paraId="32211ACF" w14:textId="4FBF1EBC" w:rsidR="001802D8" w:rsidRPr="00C871AF" w:rsidRDefault="001802D8" w:rsidP="00D63204">
      <w:pPr>
        <w:widowControl w:val="0"/>
        <w:spacing w:before="10" w:after="0" w:line="240" w:lineRule="auto"/>
        <w:ind w:left="90"/>
        <w:rPr>
          <w:rFonts w:cs="Calibri"/>
        </w:rPr>
      </w:pPr>
    </w:p>
    <w:p w14:paraId="720AF041" w14:textId="54ABC8C3" w:rsidR="001802D8" w:rsidRPr="00C871AF" w:rsidRDefault="001802D8" w:rsidP="00D63204">
      <w:pPr>
        <w:widowControl w:val="0"/>
        <w:spacing w:before="10" w:after="0" w:line="240" w:lineRule="auto"/>
        <w:ind w:left="90"/>
        <w:rPr>
          <w:rFonts w:cs="Calibri"/>
        </w:rPr>
      </w:pPr>
    </w:p>
    <w:p w14:paraId="2E0BC0DF" w14:textId="1C3E8B2B" w:rsidR="001802D8" w:rsidRPr="00C871AF" w:rsidRDefault="001802D8" w:rsidP="00BF3169">
      <w:pPr>
        <w:widowControl w:val="0"/>
        <w:spacing w:before="10" w:after="0" w:line="240" w:lineRule="auto"/>
        <w:rPr>
          <w:rFonts w:cs="Calibri"/>
        </w:rPr>
      </w:pPr>
    </w:p>
    <w:p w14:paraId="3FDDB9A5" w14:textId="77777777" w:rsidR="00C871AF" w:rsidRPr="00C871AF" w:rsidRDefault="00C871AF" w:rsidP="00D63204">
      <w:pPr>
        <w:widowControl w:val="0"/>
        <w:spacing w:before="10" w:after="0" w:line="240" w:lineRule="auto"/>
        <w:ind w:left="90"/>
        <w:rPr>
          <w:rFonts w:cs="Calibri"/>
        </w:rPr>
      </w:pPr>
    </w:p>
    <w:p w14:paraId="5FD5E038" w14:textId="77777777" w:rsidR="00EA7458" w:rsidRPr="00C871AF" w:rsidRDefault="00EA7458" w:rsidP="00D63204">
      <w:pPr>
        <w:widowControl w:val="0"/>
        <w:numPr>
          <w:ilvl w:val="2"/>
          <w:numId w:val="1"/>
        </w:numPr>
        <w:tabs>
          <w:tab w:val="left" w:pos="828"/>
        </w:tabs>
        <w:spacing w:after="0" w:line="240" w:lineRule="auto"/>
        <w:outlineLvl w:val="1"/>
        <w:rPr>
          <w:sz w:val="26"/>
          <w:szCs w:val="26"/>
        </w:rPr>
      </w:pPr>
      <w:r w:rsidRPr="00C871AF">
        <w:rPr>
          <w:b/>
          <w:bCs/>
          <w:color w:val="295CA3"/>
          <w:w w:val="110"/>
          <w:sz w:val="26"/>
          <w:szCs w:val="26"/>
        </w:rPr>
        <w:t>Comprehensive System of Personnel</w:t>
      </w:r>
      <w:r w:rsidRPr="00C871AF">
        <w:rPr>
          <w:b/>
          <w:bCs/>
          <w:color w:val="295CA3"/>
          <w:spacing w:val="1"/>
          <w:w w:val="110"/>
          <w:sz w:val="26"/>
          <w:szCs w:val="26"/>
        </w:rPr>
        <w:t xml:space="preserve"> </w:t>
      </w:r>
      <w:r w:rsidRPr="00C871AF">
        <w:rPr>
          <w:b/>
          <w:bCs/>
          <w:color w:val="295CA3"/>
          <w:w w:val="110"/>
          <w:sz w:val="26"/>
          <w:szCs w:val="26"/>
        </w:rPr>
        <w:t>Development</w:t>
      </w:r>
    </w:p>
    <w:p w14:paraId="2B07A095" w14:textId="77777777" w:rsidR="00EA7458" w:rsidRPr="00C871AF" w:rsidRDefault="00EA7458" w:rsidP="00D63204">
      <w:pPr>
        <w:widowControl w:val="0"/>
        <w:spacing w:before="184" w:after="0" w:line="240" w:lineRule="auto"/>
        <w:ind w:left="90"/>
        <w:outlineLvl w:val="2"/>
      </w:pPr>
      <w:r w:rsidRPr="00C871AF">
        <w:rPr>
          <w:b/>
          <w:bCs/>
          <w:color w:val="231F20"/>
          <w:w w:val="110"/>
        </w:rPr>
        <w:t>Data</w:t>
      </w:r>
      <w:r w:rsidRPr="00C871AF">
        <w:rPr>
          <w:b/>
          <w:bCs/>
          <w:color w:val="231F20"/>
          <w:spacing w:val="-8"/>
          <w:w w:val="110"/>
        </w:rPr>
        <w:t xml:space="preserve"> </w:t>
      </w:r>
      <w:r w:rsidRPr="00C871AF">
        <w:rPr>
          <w:b/>
          <w:bCs/>
          <w:color w:val="231F20"/>
          <w:w w:val="110"/>
        </w:rPr>
        <w:t>System</w:t>
      </w:r>
      <w:r w:rsidRPr="00C871AF">
        <w:rPr>
          <w:b/>
          <w:bCs/>
          <w:color w:val="231F20"/>
          <w:spacing w:val="-8"/>
          <w:w w:val="110"/>
        </w:rPr>
        <w:t xml:space="preserve"> </w:t>
      </w:r>
      <w:r w:rsidRPr="00C871AF">
        <w:rPr>
          <w:b/>
          <w:bCs/>
          <w:color w:val="231F20"/>
          <w:w w:val="110"/>
        </w:rPr>
        <w:t>on</w:t>
      </w:r>
      <w:r w:rsidRPr="00C871AF">
        <w:rPr>
          <w:b/>
          <w:bCs/>
          <w:color w:val="231F20"/>
          <w:spacing w:val="-8"/>
          <w:w w:val="110"/>
        </w:rPr>
        <w:t xml:space="preserve"> </w:t>
      </w:r>
      <w:r w:rsidRPr="00C871AF">
        <w:rPr>
          <w:b/>
          <w:bCs/>
          <w:color w:val="231F20"/>
          <w:w w:val="110"/>
        </w:rPr>
        <w:t>Personnel</w:t>
      </w:r>
      <w:r w:rsidRPr="00C871AF">
        <w:rPr>
          <w:b/>
          <w:bCs/>
          <w:color w:val="231F20"/>
          <w:spacing w:val="-8"/>
          <w:w w:val="110"/>
        </w:rPr>
        <w:t xml:space="preserve"> </w:t>
      </w:r>
      <w:r w:rsidRPr="00C871AF">
        <w:rPr>
          <w:b/>
          <w:bCs/>
          <w:color w:val="231F20"/>
          <w:w w:val="110"/>
        </w:rPr>
        <w:t>and</w:t>
      </w:r>
      <w:r w:rsidRPr="00C871AF">
        <w:rPr>
          <w:b/>
          <w:bCs/>
          <w:color w:val="231F20"/>
          <w:spacing w:val="-8"/>
          <w:w w:val="110"/>
        </w:rPr>
        <w:t xml:space="preserve"> </w:t>
      </w:r>
      <w:r w:rsidRPr="00C871AF">
        <w:rPr>
          <w:b/>
          <w:bCs/>
          <w:color w:val="231F20"/>
          <w:w w:val="110"/>
        </w:rPr>
        <w:t>Personnel</w:t>
      </w:r>
      <w:r w:rsidRPr="00C871AF">
        <w:rPr>
          <w:b/>
          <w:bCs/>
          <w:color w:val="231F20"/>
          <w:spacing w:val="-8"/>
          <w:w w:val="110"/>
        </w:rPr>
        <w:t xml:space="preserve"> </w:t>
      </w:r>
      <w:r w:rsidRPr="00C871AF">
        <w:rPr>
          <w:b/>
          <w:bCs/>
          <w:color w:val="231F20"/>
          <w:w w:val="110"/>
        </w:rPr>
        <w:t>Development</w:t>
      </w:r>
    </w:p>
    <w:p w14:paraId="73A93250" w14:textId="7AD6D4D4" w:rsidR="001802D8" w:rsidRPr="00C871AF" w:rsidRDefault="001802D8" w:rsidP="00D63204">
      <w:pPr>
        <w:spacing w:line="240" w:lineRule="auto"/>
        <w:ind w:left="90"/>
      </w:pPr>
      <w:r w:rsidRPr="00C871AF">
        <w:t>There is no state-approved or recognized certification, licensure or registration of vocational rehabilitation counselors; therefore, the FDBS indicates that specific personnel must meet the academic standards which are located within this document</w:t>
      </w:r>
      <w:r w:rsidR="005E7C49">
        <w:t xml:space="preserve">. </w:t>
      </w:r>
      <w:r w:rsidRPr="00C871AF">
        <w:t>Personnel information related to hiring and staff records are maintained in the state of Florida’s human resource system, People First. A staff directory is kept by the Bureau of Client Services that indicates the caseload of each district office staff serving FDBS clients</w:t>
      </w:r>
      <w:r w:rsidR="005E7C49">
        <w:t xml:space="preserve">. </w:t>
      </w:r>
      <w:r w:rsidRPr="00C871AF">
        <w:t xml:space="preserve">Data </w:t>
      </w:r>
      <w:r w:rsidR="00B0707D">
        <w:t>are</w:t>
      </w:r>
      <w:r w:rsidRPr="00C871AF">
        <w:t xml:space="preserve"> exported from People First indicating staff vacancies and personnel enrolled in the DROP. Each employee in the DROP Program must terminate on a specific date which enables the division to predict, to the extent possible, when vacancies will occur</w:t>
      </w:r>
      <w:r w:rsidR="005E7C49">
        <w:t xml:space="preserve">. </w:t>
      </w:r>
      <w:bookmarkStart w:id="182" w:name="_Hlk503172946"/>
      <w:r w:rsidRPr="00C871AF">
        <w:t xml:space="preserve">FDBS will develop procedures to notify supervisors of employees who are in the DROP program 12 months prior to their term date. </w:t>
      </w:r>
    </w:p>
    <w:p w14:paraId="4EFF769E" w14:textId="212929B1" w:rsidR="001802D8" w:rsidRPr="00C871AF" w:rsidRDefault="001802D8" w:rsidP="00D63204">
      <w:pPr>
        <w:spacing w:line="240" w:lineRule="auto"/>
        <w:ind w:left="90"/>
      </w:pPr>
      <w:bookmarkStart w:id="183" w:name="_bookmark110"/>
      <w:bookmarkEnd w:id="182"/>
      <w:bookmarkEnd w:id="183"/>
      <w:r w:rsidRPr="00C871AF">
        <w:t>The following table identifies personnel who were employed by the state agency during SFY 2016-2017 and coordinated vocational rehabilitation services:</w:t>
      </w:r>
    </w:p>
    <w:p w14:paraId="39767798" w14:textId="77777777" w:rsidR="001802D8" w:rsidRDefault="001802D8" w:rsidP="00D63204">
      <w:pPr>
        <w:spacing w:after="0" w:line="240" w:lineRule="auto"/>
        <w:rPr>
          <w:b/>
        </w:rPr>
      </w:pPr>
      <w:r w:rsidRPr="008F5C09">
        <w:rPr>
          <w:b/>
        </w:rPr>
        <w:t xml:space="preserve">Figure 10.02 </w:t>
      </w:r>
    </w:p>
    <w:p w14:paraId="10D6E726" w14:textId="77777777" w:rsidR="001802D8" w:rsidRDefault="001802D8" w:rsidP="00D63204">
      <w:pPr>
        <w:spacing w:after="0" w:line="240" w:lineRule="auto"/>
        <w:rPr>
          <w:b/>
        </w:rPr>
      </w:pPr>
      <w:r w:rsidRPr="008F5C09">
        <w:rPr>
          <w:b/>
        </w:rPr>
        <w:t>Personnel Employed by FDBS</w:t>
      </w:r>
    </w:p>
    <w:tbl>
      <w:tblPr>
        <w:tblW w:w="0" w:type="auto"/>
        <w:jc w:val="center"/>
        <w:tblLayout w:type="fixed"/>
        <w:tblCellMar>
          <w:left w:w="0" w:type="dxa"/>
          <w:right w:w="0" w:type="dxa"/>
        </w:tblCellMar>
        <w:tblLook w:val="01E0" w:firstRow="1" w:lastRow="1" w:firstColumn="1" w:lastColumn="1" w:noHBand="0" w:noVBand="0"/>
      </w:tblPr>
      <w:tblGrid>
        <w:gridCol w:w="5040"/>
        <w:gridCol w:w="5120"/>
      </w:tblGrid>
      <w:tr w:rsidR="001802D8" w:rsidRPr="00EA7458" w14:paraId="02C69DE8" w14:textId="77777777" w:rsidTr="00E70F55">
        <w:trPr>
          <w:trHeight w:hRule="exact" w:val="449"/>
          <w:jc w:val="center"/>
        </w:trPr>
        <w:tc>
          <w:tcPr>
            <w:tcW w:w="5040" w:type="dxa"/>
            <w:tcBorders>
              <w:top w:val="single" w:sz="2" w:space="0" w:color="231F20"/>
              <w:left w:val="single" w:sz="2" w:space="0" w:color="231F20"/>
              <w:bottom w:val="single" w:sz="2" w:space="0" w:color="231F20"/>
              <w:right w:val="single" w:sz="2" w:space="0" w:color="231F20"/>
            </w:tcBorders>
            <w:shd w:val="clear" w:color="auto" w:fill="auto"/>
          </w:tcPr>
          <w:p w14:paraId="1F6E69FC" w14:textId="77777777" w:rsidR="001802D8" w:rsidRPr="00EA7458" w:rsidRDefault="001802D8" w:rsidP="008D6F8E">
            <w:pPr>
              <w:widowControl w:val="0"/>
              <w:spacing w:before="99" w:after="0" w:line="240" w:lineRule="auto"/>
              <w:ind w:left="87"/>
              <w:rPr>
                <w:rFonts w:ascii="Calibri" w:hAnsi="Calibri" w:cs="Calibri"/>
              </w:rPr>
            </w:pPr>
            <w:bookmarkStart w:id="184" w:name="_Hlk501608961"/>
            <w:r w:rsidRPr="00EA7458">
              <w:rPr>
                <w:rFonts w:ascii="Calibri" w:hAnsi="Calibri"/>
                <w:b/>
                <w:color w:val="231F20"/>
                <w:w w:val="110"/>
              </w:rPr>
              <w:t>Staff</w:t>
            </w:r>
            <w:r w:rsidRPr="00EA7458">
              <w:rPr>
                <w:rFonts w:ascii="Calibri" w:hAnsi="Calibri"/>
                <w:b/>
                <w:color w:val="231F20"/>
                <w:spacing w:val="-14"/>
                <w:w w:val="110"/>
              </w:rPr>
              <w:t xml:space="preserve"> </w:t>
            </w:r>
            <w:r w:rsidRPr="00EA7458">
              <w:rPr>
                <w:rFonts w:ascii="Calibri" w:hAnsi="Calibri"/>
                <w:b/>
                <w:color w:val="231F20"/>
                <w:w w:val="110"/>
              </w:rPr>
              <w:t>Title</w:t>
            </w:r>
          </w:p>
        </w:tc>
        <w:tc>
          <w:tcPr>
            <w:tcW w:w="5120" w:type="dxa"/>
            <w:tcBorders>
              <w:top w:val="single" w:sz="2" w:space="0" w:color="231F20"/>
              <w:left w:val="single" w:sz="2" w:space="0" w:color="231F20"/>
              <w:bottom w:val="single" w:sz="2" w:space="0" w:color="231F20"/>
              <w:right w:val="single" w:sz="2" w:space="0" w:color="231F20"/>
            </w:tcBorders>
            <w:shd w:val="clear" w:color="auto" w:fill="auto"/>
          </w:tcPr>
          <w:p w14:paraId="69E49F78" w14:textId="77777777" w:rsidR="001802D8" w:rsidRPr="00EA7458" w:rsidRDefault="001802D8" w:rsidP="00D63204">
            <w:pPr>
              <w:widowControl w:val="0"/>
              <w:spacing w:before="99" w:after="0" w:line="240" w:lineRule="auto"/>
              <w:ind w:right="85"/>
              <w:rPr>
                <w:rFonts w:ascii="Calibri" w:hAnsi="Calibri" w:cs="Calibri"/>
              </w:rPr>
            </w:pPr>
            <w:r w:rsidRPr="00EA7458">
              <w:rPr>
                <w:rFonts w:ascii="Calibri" w:hAnsi="Calibri"/>
                <w:b/>
                <w:color w:val="231F20"/>
                <w:w w:val="105"/>
              </w:rPr>
              <w:t>Number of</w:t>
            </w:r>
            <w:r w:rsidRPr="00EA7458">
              <w:rPr>
                <w:rFonts w:ascii="Calibri" w:hAnsi="Calibri"/>
                <w:b/>
                <w:color w:val="231F20"/>
                <w:spacing w:val="43"/>
                <w:w w:val="105"/>
              </w:rPr>
              <w:t xml:space="preserve"> </w:t>
            </w:r>
            <w:r w:rsidRPr="00EA7458">
              <w:rPr>
                <w:rFonts w:ascii="Calibri" w:hAnsi="Calibri"/>
                <w:b/>
                <w:color w:val="231F20"/>
                <w:w w:val="105"/>
              </w:rPr>
              <w:t>Staff</w:t>
            </w:r>
          </w:p>
        </w:tc>
      </w:tr>
      <w:tr w:rsidR="001802D8" w:rsidRPr="00EA7458" w14:paraId="5364E392" w14:textId="77777777" w:rsidTr="008D6F8E">
        <w:trPr>
          <w:trHeight w:hRule="exact" w:val="360"/>
          <w:jc w:val="center"/>
        </w:trPr>
        <w:tc>
          <w:tcPr>
            <w:tcW w:w="5040" w:type="dxa"/>
            <w:tcBorders>
              <w:top w:val="single" w:sz="2" w:space="0" w:color="231F20"/>
              <w:left w:val="single" w:sz="2" w:space="0" w:color="231F20"/>
              <w:bottom w:val="single" w:sz="2" w:space="0" w:color="231F20"/>
              <w:right w:val="single" w:sz="2" w:space="0" w:color="231F20"/>
            </w:tcBorders>
            <w:shd w:val="clear" w:color="auto" w:fill="E6E7E8"/>
          </w:tcPr>
          <w:p w14:paraId="18A4828F" w14:textId="77777777" w:rsidR="001802D8" w:rsidRPr="00EA7458" w:rsidRDefault="001802D8" w:rsidP="008D6F8E">
            <w:pPr>
              <w:widowControl w:val="0"/>
              <w:spacing w:before="52" w:after="0" w:line="240" w:lineRule="auto"/>
              <w:ind w:left="87"/>
              <w:rPr>
                <w:rFonts w:ascii="Calibri" w:hAnsi="Calibri" w:cs="Calibri"/>
              </w:rPr>
            </w:pPr>
            <w:r w:rsidRPr="00EA7458">
              <w:rPr>
                <w:rFonts w:ascii="Calibri" w:hAnsi="Calibri"/>
                <w:color w:val="231F20"/>
                <w:w w:val="105"/>
              </w:rPr>
              <w:t>Administrative</w:t>
            </w:r>
            <w:r w:rsidRPr="00EA7458">
              <w:rPr>
                <w:rFonts w:ascii="Calibri" w:hAnsi="Calibri"/>
                <w:color w:val="231F20"/>
                <w:spacing w:val="-5"/>
                <w:w w:val="105"/>
              </w:rPr>
              <w:t xml:space="preserve"> </w:t>
            </w:r>
            <w:r w:rsidRPr="00EA7458">
              <w:rPr>
                <w:rFonts w:ascii="Calibri" w:hAnsi="Calibri"/>
                <w:color w:val="231F20"/>
                <w:w w:val="105"/>
              </w:rPr>
              <w:t>Staff</w:t>
            </w:r>
          </w:p>
        </w:tc>
        <w:tc>
          <w:tcPr>
            <w:tcW w:w="5120" w:type="dxa"/>
            <w:tcBorders>
              <w:top w:val="single" w:sz="2" w:space="0" w:color="231F20"/>
              <w:left w:val="single" w:sz="2" w:space="0" w:color="231F20"/>
              <w:bottom w:val="single" w:sz="2" w:space="0" w:color="231F20"/>
              <w:right w:val="single" w:sz="2" w:space="0" w:color="231F20"/>
            </w:tcBorders>
            <w:shd w:val="clear" w:color="auto" w:fill="E6E7E8"/>
          </w:tcPr>
          <w:p w14:paraId="7A31610B" w14:textId="77777777" w:rsidR="001802D8" w:rsidRPr="00EA7458" w:rsidRDefault="001802D8" w:rsidP="00D63204">
            <w:pPr>
              <w:widowControl w:val="0"/>
              <w:spacing w:before="52" w:after="0" w:line="240" w:lineRule="auto"/>
              <w:ind w:right="85"/>
              <w:rPr>
                <w:rFonts w:ascii="Calibri" w:hAnsi="Calibri" w:cs="Calibri"/>
              </w:rPr>
            </w:pPr>
            <w:r w:rsidRPr="00EA7458">
              <w:rPr>
                <w:rFonts w:ascii="Calibri" w:hAnsi="Calibri"/>
                <w:color w:val="231F20"/>
                <w:w w:val="115"/>
              </w:rPr>
              <w:t>50</w:t>
            </w:r>
          </w:p>
        </w:tc>
      </w:tr>
      <w:tr w:rsidR="001802D8" w:rsidRPr="00EA7458" w14:paraId="002C149D" w14:textId="77777777" w:rsidTr="008D6F8E">
        <w:trPr>
          <w:trHeight w:hRule="exact" w:val="360"/>
          <w:jc w:val="center"/>
        </w:trPr>
        <w:tc>
          <w:tcPr>
            <w:tcW w:w="5040" w:type="dxa"/>
            <w:tcBorders>
              <w:top w:val="single" w:sz="2" w:space="0" w:color="231F20"/>
              <w:left w:val="single" w:sz="2" w:space="0" w:color="231F20"/>
              <w:bottom w:val="single" w:sz="2" w:space="0" w:color="231F20"/>
              <w:right w:val="single" w:sz="2" w:space="0" w:color="231F20"/>
            </w:tcBorders>
          </w:tcPr>
          <w:p w14:paraId="607B4C8D" w14:textId="77777777" w:rsidR="001802D8" w:rsidRPr="00EA7458" w:rsidRDefault="001802D8" w:rsidP="008D6F8E">
            <w:pPr>
              <w:widowControl w:val="0"/>
              <w:spacing w:before="52" w:after="0" w:line="240" w:lineRule="auto"/>
              <w:ind w:left="87"/>
              <w:rPr>
                <w:rFonts w:ascii="Calibri" w:hAnsi="Calibri" w:cs="Calibri"/>
              </w:rPr>
            </w:pPr>
            <w:r w:rsidRPr="00EA7458">
              <w:rPr>
                <w:rFonts w:ascii="Calibri" w:hAnsi="Calibri"/>
                <w:color w:val="231F20"/>
                <w:w w:val="105"/>
              </w:rPr>
              <w:t>Counselor</w:t>
            </w:r>
            <w:r w:rsidRPr="00EA7458">
              <w:rPr>
                <w:rFonts w:ascii="Calibri" w:hAnsi="Calibri"/>
                <w:color w:val="231F20"/>
                <w:spacing w:val="42"/>
                <w:w w:val="105"/>
              </w:rPr>
              <w:t xml:space="preserve"> </w:t>
            </w:r>
            <w:r w:rsidRPr="00EA7458">
              <w:rPr>
                <w:rFonts w:ascii="Calibri" w:hAnsi="Calibri"/>
                <w:color w:val="231F20"/>
                <w:w w:val="105"/>
              </w:rPr>
              <w:t>Staff</w:t>
            </w:r>
          </w:p>
        </w:tc>
        <w:tc>
          <w:tcPr>
            <w:tcW w:w="5120" w:type="dxa"/>
            <w:tcBorders>
              <w:top w:val="single" w:sz="2" w:space="0" w:color="231F20"/>
              <w:left w:val="single" w:sz="2" w:space="0" w:color="231F20"/>
              <w:bottom w:val="single" w:sz="2" w:space="0" w:color="231F20"/>
              <w:right w:val="single" w:sz="2" w:space="0" w:color="231F20"/>
            </w:tcBorders>
          </w:tcPr>
          <w:p w14:paraId="7534A85E" w14:textId="77777777" w:rsidR="001802D8" w:rsidRPr="00EA7458" w:rsidRDefault="001802D8" w:rsidP="00D63204">
            <w:pPr>
              <w:widowControl w:val="0"/>
              <w:spacing w:before="52" w:after="0" w:line="240" w:lineRule="auto"/>
              <w:ind w:right="85"/>
              <w:rPr>
                <w:rFonts w:ascii="Calibri" w:hAnsi="Calibri" w:cs="Calibri"/>
              </w:rPr>
            </w:pPr>
            <w:r w:rsidRPr="00EA7458">
              <w:rPr>
                <w:rFonts w:ascii="Calibri" w:hAnsi="Calibri"/>
                <w:color w:val="231F20"/>
                <w:w w:val="110"/>
              </w:rPr>
              <w:t>53</w:t>
            </w:r>
          </w:p>
        </w:tc>
      </w:tr>
      <w:tr w:rsidR="001802D8" w:rsidRPr="00EA7458" w14:paraId="4C73E146" w14:textId="77777777" w:rsidTr="008D6F8E">
        <w:trPr>
          <w:trHeight w:hRule="exact" w:val="360"/>
          <w:jc w:val="center"/>
        </w:trPr>
        <w:tc>
          <w:tcPr>
            <w:tcW w:w="5040" w:type="dxa"/>
            <w:tcBorders>
              <w:top w:val="single" w:sz="2" w:space="0" w:color="231F20"/>
              <w:left w:val="single" w:sz="2" w:space="0" w:color="231F20"/>
              <w:bottom w:val="single" w:sz="2" w:space="0" w:color="231F20"/>
              <w:right w:val="single" w:sz="2" w:space="0" w:color="231F20"/>
            </w:tcBorders>
            <w:shd w:val="clear" w:color="auto" w:fill="E6E7E8"/>
          </w:tcPr>
          <w:p w14:paraId="361F8541" w14:textId="77777777" w:rsidR="001802D8" w:rsidRPr="00EA7458" w:rsidRDefault="001802D8" w:rsidP="008D6F8E">
            <w:pPr>
              <w:widowControl w:val="0"/>
              <w:spacing w:before="52" w:after="0" w:line="240" w:lineRule="auto"/>
              <w:ind w:left="87"/>
              <w:rPr>
                <w:rFonts w:ascii="Calibri" w:hAnsi="Calibri" w:cs="Calibri"/>
              </w:rPr>
            </w:pPr>
            <w:r>
              <w:rPr>
                <w:rFonts w:ascii="Calibri" w:hAnsi="Calibri"/>
                <w:color w:val="231F20"/>
                <w:w w:val="105"/>
              </w:rPr>
              <w:t xml:space="preserve">Staff Supporting </w:t>
            </w:r>
            <w:r w:rsidRPr="00EA7458">
              <w:rPr>
                <w:rFonts w:ascii="Calibri" w:hAnsi="Calibri"/>
                <w:color w:val="231F20"/>
                <w:w w:val="105"/>
              </w:rPr>
              <w:t>Counselor</w:t>
            </w:r>
            <w:r w:rsidRPr="00EA7458">
              <w:rPr>
                <w:rFonts w:ascii="Calibri" w:hAnsi="Calibri"/>
                <w:color w:val="231F20"/>
                <w:spacing w:val="-13"/>
                <w:w w:val="105"/>
              </w:rPr>
              <w:t xml:space="preserve"> </w:t>
            </w:r>
            <w:r w:rsidRPr="00EA7458">
              <w:rPr>
                <w:rFonts w:ascii="Calibri" w:hAnsi="Calibri"/>
                <w:color w:val="231F20"/>
                <w:w w:val="105"/>
              </w:rPr>
              <w:t>Activities</w:t>
            </w:r>
          </w:p>
        </w:tc>
        <w:tc>
          <w:tcPr>
            <w:tcW w:w="5120" w:type="dxa"/>
            <w:tcBorders>
              <w:top w:val="single" w:sz="2" w:space="0" w:color="231F20"/>
              <w:left w:val="single" w:sz="2" w:space="0" w:color="231F20"/>
              <w:bottom w:val="single" w:sz="2" w:space="0" w:color="231F20"/>
              <w:right w:val="single" w:sz="2" w:space="0" w:color="231F20"/>
            </w:tcBorders>
            <w:shd w:val="clear" w:color="auto" w:fill="E6E7E8"/>
          </w:tcPr>
          <w:p w14:paraId="7247ED9F" w14:textId="77777777" w:rsidR="001802D8" w:rsidRPr="00EA7458" w:rsidRDefault="001802D8" w:rsidP="00D63204">
            <w:pPr>
              <w:widowControl w:val="0"/>
              <w:spacing w:before="52" w:after="0" w:line="240" w:lineRule="auto"/>
              <w:ind w:right="85"/>
              <w:rPr>
                <w:rFonts w:ascii="Calibri" w:hAnsi="Calibri" w:cs="Calibri"/>
              </w:rPr>
            </w:pPr>
            <w:r w:rsidRPr="00EA7458">
              <w:rPr>
                <w:rFonts w:ascii="Calibri" w:hAnsi="Calibri"/>
                <w:color w:val="231F20"/>
                <w:w w:val="115"/>
              </w:rPr>
              <w:t>59</w:t>
            </w:r>
          </w:p>
        </w:tc>
      </w:tr>
      <w:tr w:rsidR="001802D8" w:rsidRPr="00EA7458" w14:paraId="34EC5EAF" w14:textId="77777777" w:rsidTr="008D6F8E">
        <w:trPr>
          <w:trHeight w:hRule="exact" w:val="360"/>
          <w:jc w:val="center"/>
        </w:trPr>
        <w:tc>
          <w:tcPr>
            <w:tcW w:w="5040" w:type="dxa"/>
            <w:tcBorders>
              <w:top w:val="single" w:sz="2" w:space="0" w:color="231F20"/>
              <w:left w:val="single" w:sz="2" w:space="0" w:color="231F20"/>
              <w:bottom w:val="single" w:sz="2" w:space="0" w:color="231F20"/>
              <w:right w:val="single" w:sz="2" w:space="0" w:color="231F20"/>
            </w:tcBorders>
          </w:tcPr>
          <w:p w14:paraId="149625A8" w14:textId="77777777" w:rsidR="001802D8" w:rsidRPr="00EA7458" w:rsidRDefault="001802D8" w:rsidP="008D6F8E">
            <w:pPr>
              <w:widowControl w:val="0"/>
              <w:spacing w:before="52" w:after="0" w:line="240" w:lineRule="auto"/>
              <w:ind w:left="87"/>
              <w:rPr>
                <w:rFonts w:ascii="Calibri" w:hAnsi="Calibri" w:cs="Calibri"/>
              </w:rPr>
            </w:pPr>
            <w:r w:rsidRPr="00EA7458">
              <w:rPr>
                <w:rFonts w:ascii="Calibri" w:hAnsi="Calibri"/>
                <w:color w:val="231F20"/>
                <w:w w:val="105"/>
              </w:rPr>
              <w:t>Other</w:t>
            </w:r>
            <w:r w:rsidRPr="00EA7458">
              <w:rPr>
                <w:rFonts w:ascii="Calibri" w:hAnsi="Calibri"/>
                <w:color w:val="231F20"/>
                <w:spacing w:val="3"/>
                <w:w w:val="105"/>
              </w:rPr>
              <w:t xml:space="preserve"> </w:t>
            </w:r>
            <w:r w:rsidRPr="00EA7458">
              <w:rPr>
                <w:rFonts w:ascii="Calibri" w:hAnsi="Calibri"/>
                <w:color w:val="231F20"/>
                <w:w w:val="105"/>
              </w:rPr>
              <w:t>Staff</w:t>
            </w:r>
          </w:p>
        </w:tc>
        <w:tc>
          <w:tcPr>
            <w:tcW w:w="5120" w:type="dxa"/>
            <w:tcBorders>
              <w:top w:val="single" w:sz="2" w:space="0" w:color="231F20"/>
              <w:left w:val="single" w:sz="2" w:space="0" w:color="231F20"/>
              <w:bottom w:val="single" w:sz="2" w:space="0" w:color="231F20"/>
              <w:right w:val="single" w:sz="2" w:space="0" w:color="231F20"/>
            </w:tcBorders>
          </w:tcPr>
          <w:p w14:paraId="5F2F4EBC" w14:textId="77777777" w:rsidR="001802D8" w:rsidRPr="00EA7458" w:rsidRDefault="001802D8" w:rsidP="00D63204">
            <w:pPr>
              <w:widowControl w:val="0"/>
              <w:spacing w:before="52" w:after="0" w:line="240" w:lineRule="auto"/>
              <w:ind w:right="85"/>
              <w:rPr>
                <w:rFonts w:ascii="Calibri" w:hAnsi="Calibri" w:cs="Calibri"/>
              </w:rPr>
            </w:pPr>
            <w:r w:rsidRPr="00EA7458">
              <w:rPr>
                <w:rFonts w:ascii="Calibri" w:hAnsi="Calibri"/>
                <w:color w:val="231F20"/>
                <w:w w:val="115"/>
              </w:rPr>
              <w:t>96</w:t>
            </w:r>
          </w:p>
        </w:tc>
      </w:tr>
      <w:tr w:rsidR="001802D8" w:rsidRPr="00EA7458" w14:paraId="0BC20742" w14:textId="77777777" w:rsidTr="008D6F8E">
        <w:trPr>
          <w:trHeight w:hRule="exact" w:val="360"/>
          <w:jc w:val="center"/>
        </w:trPr>
        <w:tc>
          <w:tcPr>
            <w:tcW w:w="5040" w:type="dxa"/>
            <w:tcBorders>
              <w:top w:val="single" w:sz="2" w:space="0" w:color="231F20"/>
              <w:left w:val="single" w:sz="2" w:space="0" w:color="231F20"/>
              <w:bottom w:val="single" w:sz="2" w:space="0" w:color="231F20"/>
              <w:right w:val="single" w:sz="2" w:space="0" w:color="231F20"/>
            </w:tcBorders>
            <w:shd w:val="clear" w:color="auto" w:fill="E6E7E8"/>
          </w:tcPr>
          <w:p w14:paraId="6AF937FD" w14:textId="77777777" w:rsidR="001802D8" w:rsidRPr="00EA7458" w:rsidRDefault="001802D8" w:rsidP="008D6F8E">
            <w:pPr>
              <w:widowControl w:val="0"/>
              <w:spacing w:before="52" w:after="0" w:line="240" w:lineRule="auto"/>
              <w:ind w:left="87"/>
              <w:rPr>
                <w:rFonts w:ascii="Calibri" w:hAnsi="Calibri" w:cs="Calibri"/>
              </w:rPr>
            </w:pPr>
            <w:r w:rsidRPr="00EA7458">
              <w:rPr>
                <w:rFonts w:ascii="Calibri" w:hAnsi="Calibri"/>
                <w:color w:val="231F20"/>
                <w:spacing w:val="-5"/>
                <w:w w:val="105"/>
              </w:rPr>
              <w:t>Total</w:t>
            </w:r>
          </w:p>
        </w:tc>
        <w:tc>
          <w:tcPr>
            <w:tcW w:w="5120" w:type="dxa"/>
            <w:tcBorders>
              <w:top w:val="single" w:sz="2" w:space="0" w:color="231F20"/>
              <w:left w:val="single" w:sz="2" w:space="0" w:color="231F20"/>
              <w:bottom w:val="single" w:sz="2" w:space="0" w:color="231F20"/>
              <w:right w:val="single" w:sz="2" w:space="0" w:color="231F20"/>
            </w:tcBorders>
            <w:shd w:val="clear" w:color="auto" w:fill="E6E7E8"/>
          </w:tcPr>
          <w:p w14:paraId="75E5CBA2" w14:textId="77777777" w:rsidR="001802D8" w:rsidRPr="00EA7458" w:rsidRDefault="001802D8" w:rsidP="00D63204">
            <w:pPr>
              <w:widowControl w:val="0"/>
              <w:spacing w:before="52" w:after="0" w:line="240" w:lineRule="auto"/>
              <w:ind w:right="85"/>
              <w:rPr>
                <w:rFonts w:ascii="Calibri" w:hAnsi="Calibri" w:cs="Calibri"/>
              </w:rPr>
            </w:pPr>
            <w:r w:rsidRPr="00EA7458">
              <w:rPr>
                <w:rFonts w:ascii="Calibri" w:hAnsi="Calibri"/>
                <w:color w:val="231F20"/>
                <w:w w:val="115"/>
              </w:rPr>
              <w:t>258</w:t>
            </w:r>
          </w:p>
        </w:tc>
      </w:tr>
      <w:bookmarkEnd w:id="184"/>
    </w:tbl>
    <w:p w14:paraId="18D25059" w14:textId="77777777" w:rsidR="00EA7458" w:rsidRPr="00EA7458" w:rsidRDefault="00EA7458" w:rsidP="00EA7458">
      <w:pPr>
        <w:widowControl w:val="0"/>
        <w:spacing w:before="5" w:after="0" w:line="240" w:lineRule="auto"/>
        <w:rPr>
          <w:rFonts w:ascii="Calibri" w:hAnsi="Calibri" w:cs="Calibri"/>
          <w:b/>
          <w:bCs/>
          <w:sz w:val="9"/>
          <w:szCs w:val="9"/>
        </w:rPr>
      </w:pPr>
    </w:p>
    <w:p w14:paraId="66467D54" w14:textId="59DB4DB4" w:rsidR="001802D8" w:rsidRPr="00C871AF" w:rsidRDefault="001802D8" w:rsidP="00D63204">
      <w:pPr>
        <w:spacing w:line="240" w:lineRule="auto"/>
        <w:ind w:left="90"/>
        <w:rPr>
          <w:rFonts w:ascii="Calibri" w:hAnsi="Calibri"/>
        </w:rPr>
      </w:pPr>
      <w:r w:rsidRPr="00C871AF">
        <w:rPr>
          <w:rFonts w:ascii="Calibri" w:hAnsi="Calibri"/>
        </w:rPr>
        <w:t>In relation to the chart above, administrative staff include:</w:t>
      </w:r>
      <w:r w:rsidR="00AA7B7A">
        <w:rPr>
          <w:rFonts w:ascii="Calibri" w:hAnsi="Calibri"/>
        </w:rPr>
        <w:t xml:space="preserve"> </w:t>
      </w:r>
      <w:r w:rsidRPr="00C871AF">
        <w:rPr>
          <w:rFonts w:ascii="Calibri" w:hAnsi="Calibri"/>
        </w:rPr>
        <w:t>district administrators, vocational rehabilitation supervisors, rehabilitation center supervisor</w:t>
      </w:r>
      <w:r w:rsidR="0090559E">
        <w:rPr>
          <w:rFonts w:ascii="Calibri" w:hAnsi="Calibri"/>
        </w:rPr>
        <w:t>s</w:t>
      </w:r>
      <w:r w:rsidRPr="00C871AF">
        <w:rPr>
          <w:rFonts w:ascii="Calibri" w:hAnsi="Calibri"/>
        </w:rPr>
        <w:t xml:space="preserve"> and select state office program staff. Staff supporting counselors include rehabilitation technician, rehabilitation specialist and residential instructors</w:t>
      </w:r>
      <w:r w:rsidR="005E7C49">
        <w:rPr>
          <w:rFonts w:ascii="Calibri" w:hAnsi="Calibri"/>
        </w:rPr>
        <w:t xml:space="preserve">. </w:t>
      </w:r>
      <w:r w:rsidRPr="00C871AF">
        <w:rPr>
          <w:rFonts w:ascii="Calibri" w:hAnsi="Calibri"/>
        </w:rPr>
        <w:t>Other staff include select state office staff, staff assistants, sr. word processing systems operators and word processing systems operation rehabilitation center staff. To address the requirements under the Workforce Investment Opportunities Act (WIOA) related to pre-employment transition, FDBS reclassified a Government Operations Consultant II position from the Contracts Unit to secure a Transition Program Consultant position in the Bureau of Client Services. This reclassification increased the number of Administrative Staff by one and decreased the number of Other Staff by one</w:t>
      </w:r>
      <w:r w:rsidR="00B4168F">
        <w:rPr>
          <w:rFonts w:ascii="Calibri" w:hAnsi="Calibri"/>
        </w:rPr>
        <w:t xml:space="preserve">. </w:t>
      </w:r>
    </w:p>
    <w:p w14:paraId="3942F142" w14:textId="168E431E" w:rsidR="001802D8" w:rsidRPr="00C871AF" w:rsidRDefault="001802D8" w:rsidP="00D63204">
      <w:pPr>
        <w:spacing w:line="240" w:lineRule="auto"/>
        <w:ind w:left="90"/>
        <w:rPr>
          <w:rFonts w:ascii="Calibri" w:hAnsi="Calibri"/>
        </w:rPr>
      </w:pPr>
      <w:r w:rsidRPr="00C871AF">
        <w:rPr>
          <w:rFonts w:ascii="Calibri" w:hAnsi="Calibri"/>
        </w:rPr>
        <w:t>Agency personnel directly affected by these approved CSPD requirements include the following positions:</w:t>
      </w:r>
    </w:p>
    <w:p w14:paraId="582E4079" w14:textId="2AA8DAA5" w:rsidR="001802D8" w:rsidRDefault="001802D8" w:rsidP="00D63204">
      <w:pPr>
        <w:pStyle w:val="ListParagraph"/>
        <w:numPr>
          <w:ilvl w:val="0"/>
          <w:numId w:val="169"/>
        </w:numPr>
        <w:spacing w:line="240" w:lineRule="auto"/>
        <w:rPr>
          <w:rFonts w:ascii="Calibri" w:hAnsi="Calibri"/>
        </w:rPr>
      </w:pPr>
      <w:r w:rsidRPr="00B408EE">
        <w:rPr>
          <w:rFonts w:ascii="Calibri" w:hAnsi="Calibri"/>
        </w:rPr>
        <w:t xml:space="preserve">District Administrators </w:t>
      </w:r>
    </w:p>
    <w:p w14:paraId="2AD8C841" w14:textId="77777777" w:rsidR="00B408EE" w:rsidRPr="00B408EE" w:rsidRDefault="00B408EE" w:rsidP="00D63204">
      <w:pPr>
        <w:pStyle w:val="ListParagraph"/>
        <w:spacing w:line="240" w:lineRule="auto"/>
        <w:ind w:left="810"/>
        <w:rPr>
          <w:rFonts w:ascii="Calibri" w:hAnsi="Calibri"/>
        </w:rPr>
      </w:pPr>
    </w:p>
    <w:p w14:paraId="016C5773" w14:textId="0D2B1A28" w:rsidR="001802D8" w:rsidRDefault="001802D8" w:rsidP="00D63204">
      <w:pPr>
        <w:pStyle w:val="ListParagraph"/>
        <w:numPr>
          <w:ilvl w:val="0"/>
          <w:numId w:val="169"/>
        </w:numPr>
        <w:spacing w:line="240" w:lineRule="auto"/>
        <w:rPr>
          <w:rFonts w:ascii="Calibri" w:hAnsi="Calibri"/>
        </w:rPr>
      </w:pPr>
      <w:r w:rsidRPr="00B408EE">
        <w:rPr>
          <w:rFonts w:ascii="Calibri" w:hAnsi="Calibri"/>
        </w:rPr>
        <w:t xml:space="preserve">District Supervisors </w:t>
      </w:r>
    </w:p>
    <w:p w14:paraId="4997165F" w14:textId="77777777" w:rsidR="00B408EE" w:rsidRPr="00B408EE" w:rsidRDefault="00B408EE" w:rsidP="00D63204">
      <w:pPr>
        <w:pStyle w:val="ListParagraph"/>
        <w:spacing w:line="240" w:lineRule="auto"/>
        <w:ind w:left="810"/>
        <w:rPr>
          <w:rFonts w:ascii="Calibri" w:hAnsi="Calibri"/>
        </w:rPr>
      </w:pPr>
    </w:p>
    <w:p w14:paraId="34638310" w14:textId="736BB979" w:rsidR="001802D8" w:rsidRPr="00B408EE" w:rsidRDefault="001802D8" w:rsidP="00D63204">
      <w:pPr>
        <w:pStyle w:val="ListParagraph"/>
        <w:numPr>
          <w:ilvl w:val="0"/>
          <w:numId w:val="169"/>
        </w:numPr>
        <w:spacing w:line="240" w:lineRule="auto"/>
        <w:rPr>
          <w:rFonts w:ascii="Calibri" w:hAnsi="Calibri"/>
        </w:rPr>
      </w:pPr>
      <w:r w:rsidRPr="00B408EE">
        <w:rPr>
          <w:rFonts w:ascii="Calibri" w:hAnsi="Calibri"/>
        </w:rPr>
        <w:t xml:space="preserve">Rehabilitation Counselors providing services to vocational rehabilitation participants </w:t>
      </w:r>
    </w:p>
    <w:p w14:paraId="04B2B825" w14:textId="7BED4C86" w:rsidR="00C871AF" w:rsidRDefault="001802D8" w:rsidP="00BF3169">
      <w:pPr>
        <w:spacing w:line="240" w:lineRule="auto"/>
        <w:ind w:left="90"/>
        <w:rPr>
          <w:rFonts w:ascii="Calibri" w:hAnsi="Calibri"/>
        </w:rPr>
      </w:pPr>
      <w:r w:rsidRPr="00C871AF">
        <w:rPr>
          <w:rFonts w:ascii="Calibri" w:hAnsi="Calibri"/>
        </w:rPr>
        <w:t xml:space="preserve">Individuals hired </w:t>
      </w:r>
      <w:r w:rsidR="009122E6">
        <w:rPr>
          <w:rFonts w:ascii="Calibri" w:hAnsi="Calibri"/>
        </w:rPr>
        <w:t xml:space="preserve">by FDBS </w:t>
      </w:r>
      <w:r w:rsidRPr="00C871AF">
        <w:rPr>
          <w:rFonts w:ascii="Calibri" w:hAnsi="Calibri"/>
        </w:rPr>
        <w:t>have five years to</w:t>
      </w:r>
      <w:r w:rsidR="009122E6">
        <w:rPr>
          <w:rFonts w:ascii="Calibri" w:hAnsi="Calibri"/>
        </w:rPr>
        <w:t xml:space="preserve"> meet CSPD standards</w:t>
      </w:r>
      <w:r w:rsidR="005E7C49">
        <w:rPr>
          <w:rFonts w:ascii="Calibri" w:hAnsi="Calibri"/>
        </w:rPr>
        <w:t xml:space="preserve">. </w:t>
      </w:r>
    </w:p>
    <w:p w14:paraId="68A7BDB3" w14:textId="099415AB" w:rsidR="001802D8" w:rsidRPr="00C871AF" w:rsidRDefault="001802D8" w:rsidP="00D63204">
      <w:pPr>
        <w:spacing w:line="240" w:lineRule="auto"/>
        <w:ind w:left="90"/>
        <w:rPr>
          <w:rFonts w:ascii="Calibri" w:hAnsi="Calibri"/>
        </w:rPr>
      </w:pPr>
      <w:r w:rsidRPr="00C871AF">
        <w:rPr>
          <w:rFonts w:ascii="Calibri" w:hAnsi="Calibri"/>
        </w:rPr>
        <w:lastRenderedPageBreak/>
        <w:t>Paraprofessionals (e.g., Rehabilitation Technicians and Employment Placement Specialists Personnel) and support personnel (e.g., word processors) are not directly identified as part of the approved CSPD plan; however, FDBS still provides them with training to ensure quality services to all participants.</w:t>
      </w:r>
    </w:p>
    <w:p w14:paraId="338D1455" w14:textId="7F868981" w:rsidR="001802D8" w:rsidRPr="00C871AF" w:rsidRDefault="00F318A8" w:rsidP="00D63204">
      <w:pPr>
        <w:spacing w:line="240" w:lineRule="auto"/>
        <w:ind w:left="90"/>
        <w:rPr>
          <w:rFonts w:ascii="Calibri" w:hAnsi="Calibri"/>
        </w:rPr>
      </w:pPr>
      <w:r w:rsidRPr="00C871AF">
        <w:rPr>
          <w:rFonts w:ascii="Calibri" w:hAnsi="Calibri"/>
        </w:rPr>
        <w:t>In SFY 2016-2017, FDBS served 5,038 individuals in the Vocational Rehabilitation Program. In SFY 2015-2016, FDBS served 5,202 individuals (163 less individuals). The average ratio of customers per counselor was 64 to 1 in the VR Program. A comparison of the previous year indicates a slight change in the ratio of customers served per counselor (See Counselor to Client Ratio Table below)</w:t>
      </w:r>
      <w:r w:rsidR="005E7C49">
        <w:rPr>
          <w:rFonts w:ascii="Calibri" w:hAnsi="Calibri"/>
        </w:rPr>
        <w:t xml:space="preserve">. </w:t>
      </w:r>
      <w:r w:rsidRPr="00C871AF">
        <w:rPr>
          <w:rFonts w:ascii="Calibri" w:hAnsi="Calibri"/>
        </w:rPr>
        <w:t>This slight change in the total number of clients served is attributed to a decrease in the number of applicants who met the eligibility criteria. Specifically, for SFY 2015-2016, FDBS had 1,399 applicants met the eligibility criteria while in the SFY 2014-2015, there were 1,876applicants</w:t>
      </w:r>
      <w:r w:rsidR="005E7C49">
        <w:rPr>
          <w:rFonts w:ascii="Calibri" w:hAnsi="Calibri"/>
        </w:rPr>
        <w:t xml:space="preserve">. </w:t>
      </w:r>
      <w:r w:rsidRPr="00C871AF">
        <w:rPr>
          <w:rFonts w:ascii="Calibri" w:hAnsi="Calibri"/>
        </w:rPr>
        <w:t>Data to determine the counselor to client ratio was obtained from the Accessible Web-based Activity and Reporting Environment (AWARE) case management system.</w:t>
      </w:r>
      <w:r w:rsidR="001802D8" w:rsidRPr="00C871AF">
        <w:rPr>
          <w:rFonts w:ascii="Calibri" w:hAnsi="Calibri"/>
        </w:rPr>
        <w:t xml:space="preserve"> </w:t>
      </w:r>
    </w:p>
    <w:p w14:paraId="4651DCD1" w14:textId="77777777" w:rsidR="001802D8" w:rsidRDefault="001802D8" w:rsidP="00D63204">
      <w:pPr>
        <w:spacing w:after="0" w:line="240" w:lineRule="auto"/>
        <w:ind w:left="90"/>
        <w:rPr>
          <w:b/>
        </w:rPr>
      </w:pPr>
      <w:r w:rsidRPr="008F5C09">
        <w:rPr>
          <w:b/>
        </w:rPr>
        <w:t xml:space="preserve">Figure 10.03 </w:t>
      </w:r>
    </w:p>
    <w:p w14:paraId="4D9112E5" w14:textId="77777777" w:rsidR="001802D8" w:rsidRDefault="001802D8" w:rsidP="00D63204">
      <w:pPr>
        <w:spacing w:after="0" w:line="240" w:lineRule="auto"/>
        <w:ind w:left="90"/>
        <w:rPr>
          <w:b/>
        </w:rPr>
      </w:pPr>
      <w:r w:rsidRPr="008F5C09">
        <w:rPr>
          <w:b/>
        </w:rPr>
        <w:t>Counselor to Client Ratio</w:t>
      </w:r>
    </w:p>
    <w:tbl>
      <w:tblPr>
        <w:tblW w:w="0" w:type="auto"/>
        <w:jc w:val="center"/>
        <w:tblLayout w:type="fixed"/>
        <w:tblCellMar>
          <w:left w:w="0" w:type="dxa"/>
          <w:right w:w="0" w:type="dxa"/>
        </w:tblCellMar>
        <w:tblLook w:val="01E0" w:firstRow="1" w:lastRow="1" w:firstColumn="1" w:lastColumn="1" w:noHBand="0" w:noVBand="0"/>
      </w:tblPr>
      <w:tblGrid>
        <w:gridCol w:w="2983"/>
        <w:gridCol w:w="2736"/>
        <w:gridCol w:w="4441"/>
      </w:tblGrid>
      <w:tr w:rsidR="001802D8" w:rsidRPr="00EA7458" w14:paraId="6001E2BA" w14:textId="77777777" w:rsidTr="00E70F55">
        <w:trPr>
          <w:trHeight w:hRule="exact" w:val="401"/>
          <w:jc w:val="center"/>
        </w:trPr>
        <w:tc>
          <w:tcPr>
            <w:tcW w:w="2983" w:type="dxa"/>
            <w:tcBorders>
              <w:top w:val="single" w:sz="2" w:space="0" w:color="231F20"/>
              <w:left w:val="single" w:sz="2" w:space="0" w:color="231F20"/>
              <w:bottom w:val="single" w:sz="2" w:space="0" w:color="231F20"/>
              <w:right w:val="single" w:sz="2" w:space="0" w:color="231F20"/>
            </w:tcBorders>
            <w:shd w:val="clear" w:color="auto" w:fill="auto"/>
          </w:tcPr>
          <w:p w14:paraId="518EB448" w14:textId="77777777" w:rsidR="001802D8" w:rsidRPr="00EA7458" w:rsidRDefault="001802D8" w:rsidP="00C871AF">
            <w:pPr>
              <w:widowControl w:val="0"/>
              <w:spacing w:before="105" w:after="0" w:line="240" w:lineRule="auto"/>
              <w:ind w:left="90"/>
              <w:rPr>
                <w:rFonts w:ascii="Calibri" w:hAnsi="Calibri" w:cs="Calibri"/>
              </w:rPr>
            </w:pPr>
            <w:bookmarkStart w:id="185" w:name="_Hlk503175675"/>
            <w:r w:rsidRPr="00EA7458">
              <w:rPr>
                <w:rFonts w:ascii="Calibri" w:hAnsi="Calibri"/>
                <w:b/>
                <w:color w:val="231F20"/>
                <w:w w:val="110"/>
              </w:rPr>
              <w:t>State Fiscal</w:t>
            </w:r>
            <w:r w:rsidRPr="00EA7458">
              <w:rPr>
                <w:rFonts w:ascii="Calibri" w:hAnsi="Calibri"/>
                <w:b/>
                <w:color w:val="231F20"/>
                <w:spacing w:val="25"/>
                <w:w w:val="110"/>
              </w:rPr>
              <w:t xml:space="preserve"> </w:t>
            </w:r>
            <w:r w:rsidRPr="00EA7458">
              <w:rPr>
                <w:rFonts w:ascii="Calibri" w:hAnsi="Calibri"/>
                <w:b/>
                <w:color w:val="231F20"/>
                <w:spacing w:val="-6"/>
                <w:w w:val="110"/>
              </w:rPr>
              <w:t>Year</w:t>
            </w:r>
          </w:p>
        </w:tc>
        <w:tc>
          <w:tcPr>
            <w:tcW w:w="2736" w:type="dxa"/>
            <w:tcBorders>
              <w:top w:val="single" w:sz="2" w:space="0" w:color="231F20"/>
              <w:left w:val="single" w:sz="2" w:space="0" w:color="231F20"/>
              <w:bottom w:val="single" w:sz="2" w:space="0" w:color="231F20"/>
              <w:right w:val="single" w:sz="2" w:space="0" w:color="231F20"/>
            </w:tcBorders>
            <w:shd w:val="clear" w:color="auto" w:fill="auto"/>
          </w:tcPr>
          <w:p w14:paraId="6AA706DE" w14:textId="77777777" w:rsidR="001802D8" w:rsidRPr="00EA7458" w:rsidRDefault="001802D8" w:rsidP="00C871AF">
            <w:pPr>
              <w:widowControl w:val="0"/>
              <w:spacing w:before="105" w:after="0" w:line="240" w:lineRule="auto"/>
              <w:ind w:left="90"/>
              <w:rPr>
                <w:rFonts w:ascii="Calibri" w:hAnsi="Calibri" w:cs="Calibri"/>
              </w:rPr>
            </w:pPr>
            <w:r w:rsidRPr="00EA7458">
              <w:rPr>
                <w:rFonts w:ascii="Calibri" w:hAnsi="Calibri"/>
                <w:b/>
                <w:color w:val="231F20"/>
                <w:w w:val="110"/>
              </w:rPr>
              <w:t>Number</w:t>
            </w:r>
            <w:r w:rsidRPr="00EA7458">
              <w:rPr>
                <w:rFonts w:ascii="Calibri" w:hAnsi="Calibri"/>
                <w:b/>
                <w:color w:val="231F20"/>
                <w:spacing w:val="-19"/>
                <w:w w:val="110"/>
              </w:rPr>
              <w:t xml:space="preserve"> </w:t>
            </w:r>
            <w:r w:rsidRPr="00EA7458">
              <w:rPr>
                <w:rFonts w:ascii="Calibri" w:hAnsi="Calibri"/>
                <w:b/>
                <w:color w:val="231F20"/>
                <w:w w:val="110"/>
              </w:rPr>
              <w:t>served</w:t>
            </w:r>
          </w:p>
        </w:tc>
        <w:tc>
          <w:tcPr>
            <w:tcW w:w="4441" w:type="dxa"/>
            <w:tcBorders>
              <w:top w:val="single" w:sz="2" w:space="0" w:color="231F20"/>
              <w:left w:val="single" w:sz="2" w:space="0" w:color="231F20"/>
              <w:bottom w:val="single" w:sz="2" w:space="0" w:color="231F20"/>
              <w:right w:val="single" w:sz="2" w:space="0" w:color="231F20"/>
            </w:tcBorders>
            <w:shd w:val="clear" w:color="auto" w:fill="auto"/>
          </w:tcPr>
          <w:p w14:paraId="24BF7540" w14:textId="77777777" w:rsidR="001802D8" w:rsidRPr="00EA7458" w:rsidRDefault="001802D8" w:rsidP="00C871AF">
            <w:pPr>
              <w:widowControl w:val="0"/>
              <w:spacing w:before="105" w:after="0" w:line="240" w:lineRule="auto"/>
              <w:ind w:left="90"/>
              <w:rPr>
                <w:rFonts w:ascii="Calibri" w:hAnsi="Calibri" w:cs="Calibri"/>
              </w:rPr>
            </w:pPr>
            <w:r>
              <w:rPr>
                <w:rFonts w:ascii="Calibri" w:hAnsi="Calibri"/>
                <w:b/>
                <w:color w:val="231F20"/>
                <w:w w:val="105"/>
              </w:rPr>
              <w:t>Ration (</w:t>
            </w:r>
            <w:r w:rsidRPr="00EA7458">
              <w:rPr>
                <w:rFonts w:ascii="Calibri" w:hAnsi="Calibri"/>
                <w:b/>
                <w:color w:val="231F20"/>
                <w:w w:val="105"/>
              </w:rPr>
              <w:t>person</w:t>
            </w:r>
            <w:r w:rsidRPr="00EA7458">
              <w:rPr>
                <w:rFonts w:ascii="Calibri" w:hAnsi="Calibri"/>
                <w:b/>
                <w:color w:val="231F20"/>
                <w:spacing w:val="13"/>
                <w:w w:val="105"/>
              </w:rPr>
              <w:t xml:space="preserve"> </w:t>
            </w:r>
            <w:r w:rsidRPr="00EA7458">
              <w:rPr>
                <w:rFonts w:ascii="Calibri" w:hAnsi="Calibri"/>
                <w:b/>
                <w:color w:val="231F20"/>
                <w:w w:val="105"/>
              </w:rPr>
              <w:t>served/counselor)</w:t>
            </w:r>
          </w:p>
        </w:tc>
      </w:tr>
      <w:tr w:rsidR="001802D8" w:rsidRPr="00EA7458" w14:paraId="71E5BDE7" w14:textId="77777777" w:rsidTr="008D6F8E">
        <w:trPr>
          <w:trHeight w:hRule="exact" w:val="360"/>
          <w:jc w:val="center"/>
        </w:trPr>
        <w:tc>
          <w:tcPr>
            <w:tcW w:w="2983" w:type="dxa"/>
            <w:tcBorders>
              <w:top w:val="single" w:sz="2" w:space="0" w:color="231F20"/>
              <w:left w:val="single" w:sz="2" w:space="0" w:color="231F20"/>
              <w:bottom w:val="single" w:sz="2" w:space="0" w:color="231F20"/>
              <w:right w:val="single" w:sz="2" w:space="0" w:color="231F20"/>
            </w:tcBorders>
            <w:shd w:val="clear" w:color="auto" w:fill="auto"/>
          </w:tcPr>
          <w:p w14:paraId="4363E88A" w14:textId="77777777" w:rsidR="001802D8" w:rsidRPr="00EA7458" w:rsidRDefault="001802D8" w:rsidP="00C871AF">
            <w:pPr>
              <w:widowControl w:val="0"/>
              <w:spacing w:before="55" w:after="0" w:line="240" w:lineRule="auto"/>
              <w:ind w:left="90"/>
              <w:rPr>
                <w:rFonts w:ascii="Calibri" w:hAnsi="Calibri"/>
                <w:color w:val="231F20"/>
                <w:w w:val="105"/>
              </w:rPr>
            </w:pPr>
            <w:r>
              <w:rPr>
                <w:rFonts w:ascii="Calibri" w:hAnsi="Calibri"/>
                <w:color w:val="231F20"/>
                <w:w w:val="105"/>
              </w:rPr>
              <w:t>2016</w:t>
            </w:r>
          </w:p>
        </w:tc>
        <w:tc>
          <w:tcPr>
            <w:tcW w:w="2736" w:type="dxa"/>
            <w:tcBorders>
              <w:top w:val="single" w:sz="2" w:space="0" w:color="231F20"/>
              <w:left w:val="single" w:sz="2" w:space="0" w:color="231F20"/>
              <w:bottom w:val="single" w:sz="2" w:space="0" w:color="231F20"/>
              <w:right w:val="single" w:sz="2" w:space="0" w:color="231F20"/>
            </w:tcBorders>
            <w:shd w:val="clear" w:color="auto" w:fill="auto"/>
          </w:tcPr>
          <w:p w14:paraId="6ADCD058" w14:textId="77777777" w:rsidR="001802D8" w:rsidRPr="00F3742F" w:rsidRDefault="001802D8" w:rsidP="00D63204">
            <w:pPr>
              <w:widowControl w:val="0"/>
              <w:spacing w:before="55" w:after="0" w:line="240" w:lineRule="auto"/>
              <w:ind w:left="90"/>
              <w:rPr>
                <w:rFonts w:ascii="Calibri" w:hAnsi="Calibri"/>
                <w:color w:val="231F20"/>
                <w:w w:val="110"/>
              </w:rPr>
            </w:pPr>
            <w:r>
              <w:rPr>
                <w:rFonts w:ascii="Calibri" w:hAnsi="Calibri"/>
                <w:color w:val="231F20"/>
                <w:w w:val="110"/>
              </w:rPr>
              <w:t>5,038</w:t>
            </w:r>
          </w:p>
        </w:tc>
        <w:tc>
          <w:tcPr>
            <w:tcW w:w="4441" w:type="dxa"/>
            <w:tcBorders>
              <w:top w:val="single" w:sz="2" w:space="0" w:color="231F20"/>
              <w:left w:val="single" w:sz="2" w:space="0" w:color="231F20"/>
              <w:bottom w:val="single" w:sz="2" w:space="0" w:color="231F20"/>
              <w:right w:val="single" w:sz="2" w:space="0" w:color="231F20"/>
            </w:tcBorders>
            <w:shd w:val="clear" w:color="auto" w:fill="auto"/>
          </w:tcPr>
          <w:p w14:paraId="3431B47C" w14:textId="77777777" w:rsidR="001802D8" w:rsidRPr="00F3742F" w:rsidRDefault="001802D8" w:rsidP="00D63204">
            <w:pPr>
              <w:widowControl w:val="0"/>
              <w:spacing w:before="55" w:after="0" w:line="240" w:lineRule="auto"/>
              <w:ind w:left="90"/>
              <w:rPr>
                <w:rFonts w:ascii="Calibri" w:hAnsi="Calibri"/>
                <w:color w:val="231F20"/>
                <w:w w:val="105"/>
              </w:rPr>
            </w:pPr>
            <w:r>
              <w:rPr>
                <w:rFonts w:ascii="Calibri" w:hAnsi="Calibri"/>
                <w:color w:val="231F20"/>
                <w:w w:val="105"/>
              </w:rPr>
              <w:t>64</w:t>
            </w:r>
          </w:p>
        </w:tc>
      </w:tr>
      <w:tr w:rsidR="001802D8" w:rsidRPr="00EA7458" w14:paraId="4750137C" w14:textId="77777777" w:rsidTr="008D6F8E">
        <w:trPr>
          <w:trHeight w:hRule="exact" w:val="360"/>
          <w:jc w:val="center"/>
        </w:trPr>
        <w:tc>
          <w:tcPr>
            <w:tcW w:w="2983" w:type="dxa"/>
            <w:tcBorders>
              <w:top w:val="single" w:sz="2" w:space="0" w:color="231F20"/>
              <w:left w:val="single" w:sz="2" w:space="0" w:color="231F20"/>
              <w:bottom w:val="single" w:sz="2" w:space="0" w:color="231F20"/>
              <w:right w:val="single" w:sz="2" w:space="0" w:color="231F20"/>
            </w:tcBorders>
            <w:shd w:val="clear" w:color="auto" w:fill="E6E7E8"/>
          </w:tcPr>
          <w:p w14:paraId="15B3445A" w14:textId="77777777" w:rsidR="001802D8" w:rsidRPr="00EA7458" w:rsidRDefault="001802D8" w:rsidP="00C871AF">
            <w:pPr>
              <w:widowControl w:val="0"/>
              <w:spacing w:before="55" w:after="0" w:line="240" w:lineRule="auto"/>
              <w:ind w:left="90"/>
              <w:rPr>
                <w:rFonts w:ascii="Calibri" w:hAnsi="Calibri" w:cs="Calibri"/>
              </w:rPr>
            </w:pPr>
            <w:r w:rsidRPr="00EA7458">
              <w:rPr>
                <w:rFonts w:ascii="Calibri" w:hAnsi="Calibri"/>
                <w:color w:val="231F20"/>
                <w:w w:val="105"/>
              </w:rPr>
              <w:t>2015</w:t>
            </w:r>
          </w:p>
        </w:tc>
        <w:tc>
          <w:tcPr>
            <w:tcW w:w="2736" w:type="dxa"/>
            <w:tcBorders>
              <w:top w:val="single" w:sz="2" w:space="0" w:color="231F20"/>
              <w:left w:val="single" w:sz="2" w:space="0" w:color="231F20"/>
              <w:bottom w:val="single" w:sz="2" w:space="0" w:color="231F20"/>
              <w:right w:val="single" w:sz="2" w:space="0" w:color="231F20"/>
            </w:tcBorders>
            <w:shd w:val="clear" w:color="auto" w:fill="E6E7E8"/>
          </w:tcPr>
          <w:p w14:paraId="1951E6DF" w14:textId="77777777" w:rsidR="001802D8" w:rsidRPr="00EA7458" w:rsidRDefault="001802D8" w:rsidP="00D63204">
            <w:pPr>
              <w:widowControl w:val="0"/>
              <w:spacing w:before="55" w:after="0" w:line="240" w:lineRule="auto"/>
              <w:ind w:left="90"/>
              <w:rPr>
                <w:rFonts w:ascii="Calibri" w:hAnsi="Calibri" w:cs="Calibri"/>
              </w:rPr>
            </w:pPr>
            <w:r w:rsidRPr="00EA7458">
              <w:rPr>
                <w:rFonts w:ascii="Calibri" w:hAnsi="Calibri"/>
                <w:color w:val="231F20"/>
                <w:w w:val="110"/>
              </w:rPr>
              <w:t>5,202</w:t>
            </w:r>
          </w:p>
        </w:tc>
        <w:tc>
          <w:tcPr>
            <w:tcW w:w="4441" w:type="dxa"/>
            <w:tcBorders>
              <w:top w:val="single" w:sz="2" w:space="0" w:color="231F20"/>
              <w:left w:val="single" w:sz="2" w:space="0" w:color="231F20"/>
              <w:bottom w:val="single" w:sz="2" w:space="0" w:color="231F20"/>
              <w:right w:val="single" w:sz="2" w:space="0" w:color="231F20"/>
            </w:tcBorders>
            <w:shd w:val="clear" w:color="auto" w:fill="E6E7E8"/>
          </w:tcPr>
          <w:p w14:paraId="7612B8FF" w14:textId="77777777" w:rsidR="001802D8" w:rsidRPr="00EA7458" w:rsidRDefault="001802D8" w:rsidP="00D63204">
            <w:pPr>
              <w:widowControl w:val="0"/>
              <w:spacing w:before="55" w:after="0" w:line="240" w:lineRule="auto"/>
              <w:ind w:left="90"/>
              <w:rPr>
                <w:rFonts w:ascii="Calibri" w:hAnsi="Calibri" w:cs="Calibri"/>
              </w:rPr>
            </w:pPr>
            <w:r w:rsidRPr="00EA7458">
              <w:rPr>
                <w:rFonts w:ascii="Calibri" w:hAnsi="Calibri"/>
                <w:color w:val="231F20"/>
                <w:w w:val="105"/>
              </w:rPr>
              <w:t>75</w:t>
            </w:r>
          </w:p>
        </w:tc>
      </w:tr>
      <w:tr w:rsidR="001802D8" w:rsidRPr="00EA7458" w14:paraId="1B49664F" w14:textId="77777777" w:rsidTr="008D6F8E">
        <w:trPr>
          <w:trHeight w:hRule="exact" w:val="360"/>
          <w:jc w:val="center"/>
        </w:trPr>
        <w:tc>
          <w:tcPr>
            <w:tcW w:w="2983" w:type="dxa"/>
            <w:tcBorders>
              <w:top w:val="single" w:sz="2" w:space="0" w:color="231F20"/>
              <w:left w:val="single" w:sz="2" w:space="0" w:color="231F20"/>
              <w:bottom w:val="single" w:sz="2" w:space="0" w:color="231F20"/>
              <w:right w:val="single" w:sz="2" w:space="0" w:color="231F20"/>
            </w:tcBorders>
          </w:tcPr>
          <w:p w14:paraId="660857D5" w14:textId="77777777" w:rsidR="001802D8" w:rsidRPr="00EA7458" w:rsidRDefault="001802D8" w:rsidP="00C871AF">
            <w:pPr>
              <w:widowControl w:val="0"/>
              <w:spacing w:before="55" w:after="0" w:line="240" w:lineRule="auto"/>
              <w:ind w:left="90"/>
              <w:rPr>
                <w:rFonts w:ascii="Calibri" w:hAnsi="Calibri" w:cs="Calibri"/>
              </w:rPr>
            </w:pPr>
            <w:r w:rsidRPr="00EA7458">
              <w:rPr>
                <w:rFonts w:ascii="Calibri" w:hAnsi="Calibri"/>
                <w:color w:val="231F20"/>
                <w:w w:val="105"/>
              </w:rPr>
              <w:t>2014</w:t>
            </w:r>
          </w:p>
        </w:tc>
        <w:tc>
          <w:tcPr>
            <w:tcW w:w="2736" w:type="dxa"/>
            <w:tcBorders>
              <w:top w:val="single" w:sz="2" w:space="0" w:color="231F20"/>
              <w:left w:val="single" w:sz="2" w:space="0" w:color="231F20"/>
              <w:bottom w:val="single" w:sz="2" w:space="0" w:color="231F20"/>
              <w:right w:val="single" w:sz="2" w:space="0" w:color="231F20"/>
            </w:tcBorders>
          </w:tcPr>
          <w:p w14:paraId="691E73C6" w14:textId="77777777" w:rsidR="001802D8" w:rsidRPr="00EA7458" w:rsidRDefault="001802D8" w:rsidP="00D63204">
            <w:pPr>
              <w:widowControl w:val="0"/>
              <w:spacing w:before="55" w:after="0" w:line="240" w:lineRule="auto"/>
              <w:ind w:left="90"/>
              <w:rPr>
                <w:rFonts w:ascii="Calibri" w:hAnsi="Calibri" w:cs="Calibri"/>
              </w:rPr>
            </w:pPr>
            <w:r w:rsidRPr="00EA7458">
              <w:rPr>
                <w:rFonts w:ascii="Calibri" w:hAnsi="Calibri"/>
                <w:color w:val="231F20"/>
                <w:w w:val="110"/>
              </w:rPr>
              <w:t>5,225</w:t>
            </w:r>
          </w:p>
        </w:tc>
        <w:tc>
          <w:tcPr>
            <w:tcW w:w="4441" w:type="dxa"/>
            <w:tcBorders>
              <w:top w:val="single" w:sz="2" w:space="0" w:color="231F20"/>
              <w:left w:val="single" w:sz="2" w:space="0" w:color="231F20"/>
              <w:bottom w:val="single" w:sz="2" w:space="0" w:color="231F20"/>
              <w:right w:val="single" w:sz="2" w:space="0" w:color="231F20"/>
            </w:tcBorders>
          </w:tcPr>
          <w:p w14:paraId="504C5443" w14:textId="77777777" w:rsidR="001802D8" w:rsidRPr="00EA7458" w:rsidRDefault="001802D8" w:rsidP="00D63204">
            <w:pPr>
              <w:widowControl w:val="0"/>
              <w:spacing w:before="55" w:after="0" w:line="240" w:lineRule="auto"/>
              <w:ind w:left="90"/>
              <w:rPr>
                <w:rFonts w:ascii="Calibri" w:hAnsi="Calibri" w:cs="Calibri"/>
              </w:rPr>
            </w:pPr>
            <w:r w:rsidRPr="00EA7458">
              <w:rPr>
                <w:rFonts w:ascii="Calibri" w:hAnsi="Calibri"/>
                <w:color w:val="231F20"/>
                <w:w w:val="105"/>
              </w:rPr>
              <w:t>74</w:t>
            </w:r>
          </w:p>
        </w:tc>
      </w:tr>
      <w:tr w:rsidR="001802D8" w:rsidRPr="00EA7458" w14:paraId="3737D607" w14:textId="77777777" w:rsidTr="008D6F8E">
        <w:trPr>
          <w:trHeight w:hRule="exact" w:val="360"/>
          <w:jc w:val="center"/>
        </w:trPr>
        <w:tc>
          <w:tcPr>
            <w:tcW w:w="2983" w:type="dxa"/>
            <w:tcBorders>
              <w:top w:val="single" w:sz="2" w:space="0" w:color="231F20"/>
              <w:left w:val="single" w:sz="2" w:space="0" w:color="231F20"/>
              <w:bottom w:val="single" w:sz="2" w:space="0" w:color="231F20"/>
              <w:right w:val="single" w:sz="2" w:space="0" w:color="231F20"/>
            </w:tcBorders>
            <w:shd w:val="clear" w:color="auto" w:fill="E6E7E8"/>
          </w:tcPr>
          <w:p w14:paraId="69E6A19D" w14:textId="77777777" w:rsidR="001802D8" w:rsidRPr="00EA7458" w:rsidRDefault="001802D8" w:rsidP="00C871AF">
            <w:pPr>
              <w:widowControl w:val="0"/>
              <w:spacing w:before="55" w:after="0" w:line="240" w:lineRule="auto"/>
              <w:ind w:left="90"/>
              <w:rPr>
                <w:rFonts w:ascii="Calibri" w:hAnsi="Calibri" w:cs="Calibri"/>
              </w:rPr>
            </w:pPr>
            <w:r w:rsidRPr="00EA7458">
              <w:rPr>
                <w:rFonts w:ascii="Calibri" w:hAnsi="Calibri"/>
                <w:color w:val="231F20"/>
                <w:w w:val="105"/>
              </w:rPr>
              <w:t>2013</w:t>
            </w:r>
          </w:p>
        </w:tc>
        <w:tc>
          <w:tcPr>
            <w:tcW w:w="2736" w:type="dxa"/>
            <w:tcBorders>
              <w:top w:val="single" w:sz="2" w:space="0" w:color="231F20"/>
              <w:left w:val="single" w:sz="2" w:space="0" w:color="231F20"/>
              <w:bottom w:val="single" w:sz="2" w:space="0" w:color="231F20"/>
              <w:right w:val="single" w:sz="2" w:space="0" w:color="231F20"/>
            </w:tcBorders>
            <w:shd w:val="clear" w:color="auto" w:fill="E6E7E8"/>
          </w:tcPr>
          <w:p w14:paraId="4FD2F7B9" w14:textId="77777777" w:rsidR="001802D8" w:rsidRPr="00EA7458" w:rsidRDefault="001802D8" w:rsidP="00D63204">
            <w:pPr>
              <w:widowControl w:val="0"/>
              <w:spacing w:before="55" w:after="0" w:line="240" w:lineRule="auto"/>
              <w:ind w:left="90"/>
              <w:rPr>
                <w:rFonts w:ascii="Calibri" w:hAnsi="Calibri" w:cs="Calibri"/>
              </w:rPr>
            </w:pPr>
            <w:r w:rsidRPr="00EA7458">
              <w:rPr>
                <w:rFonts w:ascii="Calibri" w:hAnsi="Calibri"/>
                <w:color w:val="231F20"/>
                <w:w w:val="110"/>
              </w:rPr>
              <w:t>5,242</w:t>
            </w:r>
          </w:p>
        </w:tc>
        <w:tc>
          <w:tcPr>
            <w:tcW w:w="4441" w:type="dxa"/>
            <w:tcBorders>
              <w:top w:val="single" w:sz="2" w:space="0" w:color="231F20"/>
              <w:left w:val="single" w:sz="2" w:space="0" w:color="231F20"/>
              <w:bottom w:val="single" w:sz="2" w:space="0" w:color="231F20"/>
              <w:right w:val="single" w:sz="2" w:space="0" w:color="231F20"/>
            </w:tcBorders>
            <w:shd w:val="clear" w:color="auto" w:fill="E6E7E8"/>
          </w:tcPr>
          <w:p w14:paraId="6B765F6D" w14:textId="77777777" w:rsidR="001802D8" w:rsidRPr="00EA7458" w:rsidRDefault="001802D8" w:rsidP="00D63204">
            <w:pPr>
              <w:widowControl w:val="0"/>
              <w:spacing w:before="55" w:after="0" w:line="240" w:lineRule="auto"/>
              <w:ind w:left="90"/>
              <w:rPr>
                <w:rFonts w:ascii="Calibri" w:hAnsi="Calibri" w:cs="Calibri"/>
              </w:rPr>
            </w:pPr>
            <w:r w:rsidRPr="00EA7458">
              <w:rPr>
                <w:rFonts w:ascii="Calibri" w:hAnsi="Calibri"/>
                <w:color w:val="231F20"/>
                <w:w w:val="110"/>
              </w:rPr>
              <w:t>64</w:t>
            </w:r>
          </w:p>
        </w:tc>
      </w:tr>
      <w:bookmarkEnd w:id="185"/>
    </w:tbl>
    <w:p w14:paraId="741AA714" w14:textId="77777777" w:rsidR="001802D8" w:rsidRDefault="001802D8" w:rsidP="00D63204">
      <w:pPr>
        <w:spacing w:after="0" w:line="240" w:lineRule="auto"/>
        <w:ind w:left="90"/>
        <w:rPr>
          <w:b/>
        </w:rPr>
      </w:pPr>
    </w:p>
    <w:p w14:paraId="3D88909E" w14:textId="5FBFF7CF" w:rsidR="001802D8" w:rsidRDefault="001802D8" w:rsidP="00D63204">
      <w:pPr>
        <w:spacing w:line="240" w:lineRule="auto"/>
        <w:ind w:left="90"/>
      </w:pPr>
      <w:r>
        <w:t>In SFY 2016-2017</w:t>
      </w:r>
      <w:r w:rsidRPr="00E6478F">
        <w:t>, the successful closure outcomes increased from</w:t>
      </w:r>
      <w:r>
        <w:t xml:space="preserve"> 761 to 854</w:t>
      </w:r>
      <w:r w:rsidRPr="00E6478F">
        <w:t xml:space="preserve">, when compared to SFY </w:t>
      </w:r>
      <w:r>
        <w:t>2015-2016</w:t>
      </w:r>
      <w:r w:rsidRPr="00E6478F">
        <w:t xml:space="preserve">. FDBS </w:t>
      </w:r>
      <w:r>
        <w:t>attributes this success to becoming fully staffed with Employment Placement Specialists (EPS), which ensured that each district office had targeted support for job placement services. FDBS strengthened its relationship with Community Rehabilitation Partners and local employment networks by holding monthly meetings, trainings and joint activities related to job placement.</w:t>
      </w:r>
    </w:p>
    <w:p w14:paraId="43551232" w14:textId="77777777" w:rsidR="001802D8" w:rsidRDefault="001802D8" w:rsidP="00D63204">
      <w:pPr>
        <w:spacing w:line="240" w:lineRule="auto"/>
        <w:ind w:left="90"/>
      </w:pPr>
      <w:r>
        <w:br w:type="page"/>
      </w:r>
    </w:p>
    <w:p w14:paraId="76A6088D" w14:textId="4E15E69F" w:rsidR="001802D8" w:rsidRDefault="001802D8" w:rsidP="00D63204">
      <w:pPr>
        <w:spacing w:line="240" w:lineRule="auto"/>
        <w:ind w:left="90"/>
        <w:rPr>
          <w:b/>
        </w:rPr>
      </w:pPr>
      <w:r>
        <w:lastRenderedPageBreak/>
        <w:t>The table below provides the number of staff by job titles serving vocational rehabilitation clients; the number of positions</w:t>
      </w:r>
      <w:r w:rsidR="009447AA">
        <w:t>;</w:t>
      </w:r>
      <w:r>
        <w:t xml:space="preserve"> the current vacancies; and the projected vacancies over the next five years. </w:t>
      </w:r>
    </w:p>
    <w:p w14:paraId="5AA30DC5" w14:textId="6C50CC83" w:rsidR="001802D8" w:rsidRPr="00353381" w:rsidRDefault="001802D8" w:rsidP="00D63204">
      <w:pPr>
        <w:spacing w:after="0" w:line="240" w:lineRule="auto"/>
        <w:ind w:left="90"/>
        <w:rPr>
          <w:b/>
        </w:rPr>
      </w:pPr>
      <w:r w:rsidRPr="00353381">
        <w:rPr>
          <w:b/>
        </w:rPr>
        <w:t>Figure 10.04</w:t>
      </w:r>
    </w:p>
    <w:p w14:paraId="6C346F08" w14:textId="77777777" w:rsidR="00E70F55" w:rsidRDefault="001802D8" w:rsidP="00D63204">
      <w:pPr>
        <w:spacing w:after="0" w:line="240" w:lineRule="auto"/>
        <w:ind w:left="90"/>
        <w:rPr>
          <w:b/>
        </w:rPr>
      </w:pPr>
      <w:r w:rsidRPr="00353381">
        <w:rPr>
          <w:b/>
        </w:rPr>
        <w:t xml:space="preserve">Personnel Serving Vocational Rehabilitation Clients: </w:t>
      </w:r>
    </w:p>
    <w:p w14:paraId="3C5424D8" w14:textId="41837BE2" w:rsidR="001802D8" w:rsidRPr="00353381" w:rsidRDefault="001802D8" w:rsidP="00D63204">
      <w:pPr>
        <w:spacing w:after="0" w:line="240" w:lineRule="auto"/>
        <w:ind w:left="90"/>
        <w:rPr>
          <w:b/>
        </w:rPr>
      </w:pPr>
      <w:r w:rsidRPr="00353381">
        <w:rPr>
          <w:b/>
        </w:rPr>
        <w:t>Vacancy Information</w:t>
      </w:r>
    </w:p>
    <w:tbl>
      <w:tblPr>
        <w:tblW w:w="0" w:type="auto"/>
        <w:jc w:val="center"/>
        <w:tblLayout w:type="fixed"/>
        <w:tblCellMar>
          <w:left w:w="0" w:type="dxa"/>
          <w:right w:w="0" w:type="dxa"/>
        </w:tblCellMar>
        <w:tblLook w:val="01E0" w:firstRow="1" w:lastRow="1" w:firstColumn="1" w:lastColumn="1" w:noHBand="0" w:noVBand="0"/>
      </w:tblPr>
      <w:tblGrid>
        <w:gridCol w:w="2900"/>
        <w:gridCol w:w="1916"/>
        <w:gridCol w:w="1619"/>
        <w:gridCol w:w="3744"/>
      </w:tblGrid>
      <w:tr w:rsidR="001802D8" w:rsidRPr="00353381" w14:paraId="6D946C0A" w14:textId="77777777" w:rsidTr="00E70F55">
        <w:trPr>
          <w:trHeight w:hRule="exact" w:val="596"/>
          <w:jc w:val="center"/>
        </w:trPr>
        <w:tc>
          <w:tcPr>
            <w:tcW w:w="2900" w:type="dxa"/>
            <w:tcBorders>
              <w:top w:val="single" w:sz="2" w:space="0" w:color="231F20"/>
              <w:left w:val="single" w:sz="2" w:space="0" w:color="231F20"/>
              <w:bottom w:val="single" w:sz="2" w:space="0" w:color="231F20"/>
              <w:right w:val="single" w:sz="2" w:space="0" w:color="231F20"/>
            </w:tcBorders>
            <w:shd w:val="clear" w:color="auto" w:fill="auto"/>
          </w:tcPr>
          <w:p w14:paraId="031649FD" w14:textId="77777777" w:rsidR="001802D8" w:rsidRPr="00353381" w:rsidRDefault="001802D8" w:rsidP="00353381">
            <w:pPr>
              <w:widowControl w:val="0"/>
              <w:spacing w:before="173" w:after="0" w:line="240" w:lineRule="auto"/>
              <w:ind w:left="90"/>
              <w:rPr>
                <w:rFonts w:cs="Calibri"/>
              </w:rPr>
            </w:pPr>
            <w:r w:rsidRPr="00353381">
              <w:rPr>
                <w:b/>
                <w:color w:val="231F20"/>
                <w:w w:val="110"/>
              </w:rPr>
              <w:t>Job</w:t>
            </w:r>
            <w:r w:rsidRPr="00353381">
              <w:rPr>
                <w:b/>
                <w:color w:val="231F20"/>
                <w:spacing w:val="13"/>
                <w:w w:val="110"/>
              </w:rPr>
              <w:t xml:space="preserve"> </w:t>
            </w:r>
            <w:r w:rsidRPr="00353381">
              <w:rPr>
                <w:b/>
                <w:color w:val="231F20"/>
                <w:w w:val="110"/>
              </w:rPr>
              <w:t>Title</w:t>
            </w:r>
          </w:p>
        </w:tc>
        <w:tc>
          <w:tcPr>
            <w:tcW w:w="1916" w:type="dxa"/>
            <w:tcBorders>
              <w:top w:val="single" w:sz="2" w:space="0" w:color="231F20"/>
              <w:left w:val="single" w:sz="2" w:space="0" w:color="231F20"/>
              <w:bottom w:val="single" w:sz="2" w:space="0" w:color="231F20"/>
              <w:right w:val="single" w:sz="2" w:space="0" w:color="231F20"/>
            </w:tcBorders>
            <w:shd w:val="clear" w:color="auto" w:fill="auto"/>
          </w:tcPr>
          <w:p w14:paraId="09212862" w14:textId="77777777" w:rsidR="001802D8" w:rsidRPr="00353381" w:rsidRDefault="001802D8" w:rsidP="00D63204">
            <w:pPr>
              <w:widowControl w:val="0"/>
              <w:spacing w:before="173" w:after="0" w:line="240" w:lineRule="auto"/>
              <w:ind w:left="90"/>
              <w:rPr>
                <w:rFonts w:cs="Calibri"/>
              </w:rPr>
            </w:pPr>
            <w:r w:rsidRPr="00353381">
              <w:rPr>
                <w:b/>
                <w:color w:val="231F20"/>
                <w:spacing w:val="-4"/>
                <w:w w:val="110"/>
              </w:rPr>
              <w:t>Total</w:t>
            </w:r>
            <w:r w:rsidRPr="00353381">
              <w:rPr>
                <w:b/>
                <w:color w:val="231F20"/>
                <w:spacing w:val="-17"/>
                <w:w w:val="110"/>
              </w:rPr>
              <w:t xml:space="preserve"> </w:t>
            </w:r>
            <w:r w:rsidRPr="00353381">
              <w:rPr>
                <w:b/>
                <w:color w:val="231F20"/>
                <w:w w:val="110"/>
              </w:rPr>
              <w:t>Positions</w:t>
            </w:r>
          </w:p>
        </w:tc>
        <w:tc>
          <w:tcPr>
            <w:tcW w:w="1619" w:type="dxa"/>
            <w:tcBorders>
              <w:top w:val="single" w:sz="2" w:space="0" w:color="231F20"/>
              <w:left w:val="single" w:sz="2" w:space="0" w:color="231F20"/>
              <w:bottom w:val="single" w:sz="2" w:space="0" w:color="231F20"/>
              <w:right w:val="single" w:sz="2" w:space="0" w:color="231F20"/>
            </w:tcBorders>
            <w:shd w:val="clear" w:color="auto" w:fill="auto"/>
          </w:tcPr>
          <w:p w14:paraId="5816F74B" w14:textId="77777777" w:rsidR="001802D8" w:rsidRPr="00353381" w:rsidRDefault="001802D8" w:rsidP="00D63204">
            <w:pPr>
              <w:widowControl w:val="0"/>
              <w:tabs>
                <w:tab w:val="left" w:pos="1559"/>
              </w:tabs>
              <w:spacing w:before="30" w:after="0" w:line="240" w:lineRule="auto"/>
              <w:ind w:left="90"/>
              <w:rPr>
                <w:rFonts w:cs="Calibri"/>
              </w:rPr>
            </w:pPr>
            <w:r w:rsidRPr="00353381">
              <w:rPr>
                <w:b/>
                <w:color w:val="231F20"/>
                <w:w w:val="110"/>
              </w:rPr>
              <w:t>Current</w:t>
            </w:r>
            <w:r w:rsidRPr="00353381">
              <w:rPr>
                <w:b/>
                <w:color w:val="231F20"/>
                <w:w w:val="109"/>
              </w:rPr>
              <w:t xml:space="preserve"> </w:t>
            </w:r>
            <w:r w:rsidRPr="00353381">
              <w:rPr>
                <w:b/>
                <w:color w:val="231F20"/>
                <w:spacing w:val="-2"/>
                <w:w w:val="110"/>
              </w:rPr>
              <w:t>Vacancies</w:t>
            </w:r>
          </w:p>
        </w:tc>
        <w:tc>
          <w:tcPr>
            <w:tcW w:w="3744" w:type="dxa"/>
            <w:tcBorders>
              <w:top w:val="single" w:sz="2" w:space="0" w:color="231F20"/>
              <w:left w:val="single" w:sz="2" w:space="0" w:color="231F20"/>
              <w:bottom w:val="single" w:sz="2" w:space="0" w:color="231F20"/>
              <w:right w:val="single" w:sz="2" w:space="0" w:color="231F20"/>
            </w:tcBorders>
            <w:shd w:val="clear" w:color="auto" w:fill="auto"/>
          </w:tcPr>
          <w:p w14:paraId="0419D1DB" w14:textId="77777777" w:rsidR="001802D8" w:rsidRPr="00353381" w:rsidRDefault="001802D8" w:rsidP="00D63204">
            <w:pPr>
              <w:widowControl w:val="0"/>
              <w:spacing w:before="173" w:after="0" w:line="240" w:lineRule="auto"/>
              <w:ind w:left="90"/>
              <w:rPr>
                <w:rFonts w:cs="Calibri"/>
              </w:rPr>
            </w:pPr>
            <w:r w:rsidRPr="00353381">
              <w:rPr>
                <w:b/>
                <w:color w:val="231F20"/>
                <w:w w:val="115"/>
              </w:rPr>
              <w:t>Projected</w:t>
            </w:r>
            <w:r w:rsidRPr="00353381">
              <w:rPr>
                <w:b/>
                <w:color w:val="231F20"/>
                <w:spacing w:val="-32"/>
                <w:w w:val="115"/>
              </w:rPr>
              <w:t xml:space="preserve"> </w:t>
            </w:r>
            <w:r w:rsidRPr="00353381">
              <w:rPr>
                <w:b/>
                <w:color w:val="231F20"/>
                <w:w w:val="115"/>
              </w:rPr>
              <w:t>Vacancies</w:t>
            </w:r>
            <w:r w:rsidRPr="00353381">
              <w:rPr>
                <w:b/>
                <w:color w:val="231F20"/>
                <w:spacing w:val="-32"/>
                <w:w w:val="115"/>
              </w:rPr>
              <w:t xml:space="preserve"> </w:t>
            </w:r>
            <w:r w:rsidRPr="00353381">
              <w:rPr>
                <w:b/>
                <w:color w:val="231F20"/>
                <w:w w:val="115"/>
              </w:rPr>
              <w:t>Over</w:t>
            </w:r>
            <w:r w:rsidRPr="00353381">
              <w:rPr>
                <w:b/>
                <w:color w:val="231F20"/>
                <w:spacing w:val="-32"/>
                <w:w w:val="115"/>
              </w:rPr>
              <w:t xml:space="preserve"> </w:t>
            </w:r>
            <w:r w:rsidRPr="00353381">
              <w:rPr>
                <w:b/>
                <w:color w:val="231F20"/>
                <w:w w:val="115"/>
              </w:rPr>
              <w:t>5</w:t>
            </w:r>
            <w:r w:rsidRPr="00353381">
              <w:rPr>
                <w:b/>
                <w:color w:val="231F20"/>
                <w:spacing w:val="-32"/>
                <w:w w:val="115"/>
              </w:rPr>
              <w:t xml:space="preserve"> </w:t>
            </w:r>
            <w:r w:rsidRPr="00353381">
              <w:rPr>
                <w:b/>
                <w:color w:val="231F20"/>
                <w:spacing w:val="-5"/>
                <w:w w:val="115"/>
              </w:rPr>
              <w:t>Years</w:t>
            </w:r>
          </w:p>
        </w:tc>
      </w:tr>
      <w:tr w:rsidR="001802D8" w:rsidRPr="00353381" w14:paraId="7390451D" w14:textId="77777777" w:rsidTr="008D6F8E">
        <w:trPr>
          <w:trHeight w:hRule="exact" w:val="446"/>
          <w:jc w:val="center"/>
        </w:trPr>
        <w:tc>
          <w:tcPr>
            <w:tcW w:w="2900" w:type="dxa"/>
            <w:tcBorders>
              <w:top w:val="single" w:sz="2" w:space="0" w:color="231F20"/>
              <w:left w:val="single" w:sz="2" w:space="0" w:color="231F20"/>
              <w:bottom w:val="single" w:sz="2" w:space="0" w:color="231F20"/>
              <w:right w:val="single" w:sz="2" w:space="0" w:color="231F20"/>
            </w:tcBorders>
            <w:shd w:val="clear" w:color="auto" w:fill="E6E7E8"/>
          </w:tcPr>
          <w:p w14:paraId="72019F49" w14:textId="77777777" w:rsidR="001802D8" w:rsidRPr="00353381" w:rsidRDefault="001802D8" w:rsidP="00353381">
            <w:pPr>
              <w:widowControl w:val="0"/>
              <w:spacing w:before="98" w:after="0" w:line="240" w:lineRule="auto"/>
              <w:ind w:left="90"/>
              <w:rPr>
                <w:rFonts w:cs="Calibri"/>
              </w:rPr>
            </w:pPr>
            <w:r w:rsidRPr="00353381">
              <w:rPr>
                <w:color w:val="231F20"/>
                <w:w w:val="105"/>
              </w:rPr>
              <w:t>District</w:t>
            </w:r>
            <w:r w:rsidRPr="00353381">
              <w:rPr>
                <w:color w:val="231F20"/>
                <w:spacing w:val="-19"/>
                <w:w w:val="105"/>
              </w:rPr>
              <w:t xml:space="preserve"> </w:t>
            </w:r>
            <w:r w:rsidRPr="00353381">
              <w:rPr>
                <w:color w:val="231F20"/>
                <w:w w:val="105"/>
              </w:rPr>
              <w:t>Administrator</w:t>
            </w:r>
          </w:p>
        </w:tc>
        <w:tc>
          <w:tcPr>
            <w:tcW w:w="1916" w:type="dxa"/>
            <w:tcBorders>
              <w:top w:val="single" w:sz="2" w:space="0" w:color="231F20"/>
              <w:left w:val="single" w:sz="2" w:space="0" w:color="231F20"/>
              <w:bottom w:val="single" w:sz="2" w:space="0" w:color="231F20"/>
              <w:right w:val="single" w:sz="2" w:space="0" w:color="231F20"/>
            </w:tcBorders>
            <w:shd w:val="clear" w:color="auto" w:fill="E6E7E8"/>
          </w:tcPr>
          <w:p w14:paraId="4348A3D6" w14:textId="77777777" w:rsidR="001802D8" w:rsidRPr="00353381" w:rsidRDefault="001802D8" w:rsidP="00D63204">
            <w:pPr>
              <w:widowControl w:val="0"/>
              <w:spacing w:before="98" w:after="0" w:line="240" w:lineRule="auto"/>
              <w:ind w:left="90"/>
              <w:rPr>
                <w:rFonts w:cs="Calibri"/>
              </w:rPr>
            </w:pPr>
            <w:r w:rsidRPr="00353381">
              <w:rPr>
                <w:color w:val="231F20"/>
                <w:w w:val="90"/>
              </w:rPr>
              <w:t>10</w:t>
            </w:r>
          </w:p>
        </w:tc>
        <w:tc>
          <w:tcPr>
            <w:tcW w:w="1619" w:type="dxa"/>
            <w:tcBorders>
              <w:top w:val="single" w:sz="2" w:space="0" w:color="231F20"/>
              <w:left w:val="single" w:sz="2" w:space="0" w:color="231F20"/>
              <w:bottom w:val="single" w:sz="2" w:space="0" w:color="231F20"/>
              <w:right w:val="single" w:sz="2" w:space="0" w:color="231F20"/>
            </w:tcBorders>
            <w:shd w:val="clear" w:color="auto" w:fill="E6E7E8"/>
          </w:tcPr>
          <w:p w14:paraId="54C22D5F" w14:textId="5AA4D48F" w:rsidR="001802D8" w:rsidRPr="00353381" w:rsidRDefault="001802D8" w:rsidP="00D63204">
            <w:pPr>
              <w:widowControl w:val="0"/>
              <w:spacing w:before="98" w:after="0" w:line="240" w:lineRule="auto"/>
              <w:ind w:left="90"/>
              <w:rPr>
                <w:rFonts w:cs="Calibri"/>
              </w:rPr>
            </w:pPr>
            <w:r w:rsidRPr="00353381">
              <w:rPr>
                <w:rFonts w:cs="Calibri"/>
              </w:rPr>
              <w:t>1</w:t>
            </w:r>
          </w:p>
        </w:tc>
        <w:tc>
          <w:tcPr>
            <w:tcW w:w="3744" w:type="dxa"/>
            <w:tcBorders>
              <w:top w:val="single" w:sz="2" w:space="0" w:color="231F20"/>
              <w:left w:val="single" w:sz="2" w:space="0" w:color="231F20"/>
              <w:bottom w:val="single" w:sz="2" w:space="0" w:color="231F20"/>
              <w:right w:val="single" w:sz="2" w:space="0" w:color="231F20"/>
            </w:tcBorders>
            <w:shd w:val="clear" w:color="auto" w:fill="E6E7E8"/>
          </w:tcPr>
          <w:p w14:paraId="38536D2E" w14:textId="77777777" w:rsidR="001802D8" w:rsidRPr="00353381" w:rsidRDefault="001802D8" w:rsidP="00D63204">
            <w:pPr>
              <w:widowControl w:val="0"/>
              <w:spacing w:before="98" w:after="0" w:line="240" w:lineRule="auto"/>
              <w:ind w:left="90"/>
              <w:rPr>
                <w:rFonts w:cs="Calibri"/>
              </w:rPr>
            </w:pPr>
            <w:r w:rsidRPr="00353381">
              <w:rPr>
                <w:color w:val="231F20"/>
                <w:w w:val="110"/>
              </w:rPr>
              <w:t>4</w:t>
            </w:r>
          </w:p>
        </w:tc>
      </w:tr>
      <w:tr w:rsidR="001802D8" w:rsidRPr="00353381" w14:paraId="18920FEC" w14:textId="77777777" w:rsidTr="008C06EC">
        <w:trPr>
          <w:trHeight w:hRule="exact" w:val="418"/>
          <w:jc w:val="center"/>
        </w:trPr>
        <w:tc>
          <w:tcPr>
            <w:tcW w:w="2900" w:type="dxa"/>
            <w:tcBorders>
              <w:top w:val="single" w:sz="2" w:space="0" w:color="231F20"/>
              <w:left w:val="single" w:sz="2" w:space="0" w:color="231F20"/>
              <w:bottom w:val="single" w:sz="2" w:space="0" w:color="231F20"/>
              <w:right w:val="single" w:sz="2" w:space="0" w:color="231F20"/>
            </w:tcBorders>
          </w:tcPr>
          <w:p w14:paraId="00B86DB6" w14:textId="77777777" w:rsidR="001802D8" w:rsidRPr="00353381" w:rsidRDefault="001802D8" w:rsidP="00353381">
            <w:pPr>
              <w:widowControl w:val="0"/>
              <w:spacing w:before="83" w:after="0" w:line="240" w:lineRule="auto"/>
              <w:ind w:left="90"/>
              <w:rPr>
                <w:rFonts w:cs="Calibri"/>
              </w:rPr>
            </w:pPr>
            <w:r w:rsidRPr="00353381">
              <w:rPr>
                <w:color w:val="231F20"/>
                <w:w w:val="110"/>
              </w:rPr>
              <w:t>Supervisor</w:t>
            </w:r>
          </w:p>
        </w:tc>
        <w:tc>
          <w:tcPr>
            <w:tcW w:w="1916" w:type="dxa"/>
            <w:tcBorders>
              <w:top w:val="single" w:sz="2" w:space="0" w:color="231F20"/>
              <w:left w:val="single" w:sz="2" w:space="0" w:color="231F20"/>
              <w:bottom w:val="single" w:sz="2" w:space="0" w:color="231F20"/>
              <w:right w:val="single" w:sz="2" w:space="0" w:color="231F20"/>
            </w:tcBorders>
          </w:tcPr>
          <w:p w14:paraId="3E55A27A" w14:textId="77777777" w:rsidR="001802D8" w:rsidRPr="00353381" w:rsidRDefault="001802D8" w:rsidP="00D63204">
            <w:pPr>
              <w:widowControl w:val="0"/>
              <w:spacing w:before="83" w:after="0" w:line="240" w:lineRule="auto"/>
              <w:ind w:left="90"/>
              <w:rPr>
                <w:rFonts w:cs="Calibri"/>
              </w:rPr>
            </w:pPr>
            <w:r w:rsidRPr="00353381">
              <w:rPr>
                <w:color w:val="231F20"/>
                <w:w w:val="85"/>
              </w:rPr>
              <w:t>13</w:t>
            </w:r>
          </w:p>
        </w:tc>
        <w:tc>
          <w:tcPr>
            <w:tcW w:w="1619" w:type="dxa"/>
            <w:tcBorders>
              <w:top w:val="single" w:sz="2" w:space="0" w:color="231F20"/>
              <w:left w:val="single" w:sz="2" w:space="0" w:color="231F20"/>
              <w:bottom w:val="single" w:sz="2" w:space="0" w:color="231F20"/>
              <w:right w:val="single" w:sz="2" w:space="0" w:color="231F20"/>
            </w:tcBorders>
          </w:tcPr>
          <w:p w14:paraId="76470779" w14:textId="77777777" w:rsidR="001802D8" w:rsidRPr="00353381" w:rsidRDefault="001802D8" w:rsidP="00D63204">
            <w:pPr>
              <w:widowControl w:val="0"/>
              <w:spacing w:before="83" w:after="0" w:line="240" w:lineRule="auto"/>
              <w:ind w:left="90"/>
              <w:rPr>
                <w:rFonts w:cs="Calibri"/>
              </w:rPr>
            </w:pPr>
            <w:r w:rsidRPr="00353381">
              <w:rPr>
                <w:color w:val="231F20"/>
                <w:w w:val="115"/>
              </w:rPr>
              <w:t>2</w:t>
            </w:r>
          </w:p>
        </w:tc>
        <w:tc>
          <w:tcPr>
            <w:tcW w:w="3744" w:type="dxa"/>
            <w:tcBorders>
              <w:top w:val="single" w:sz="2" w:space="0" w:color="231F20"/>
              <w:left w:val="single" w:sz="2" w:space="0" w:color="231F20"/>
              <w:bottom w:val="single" w:sz="2" w:space="0" w:color="231F20"/>
              <w:right w:val="single" w:sz="2" w:space="0" w:color="231F20"/>
            </w:tcBorders>
          </w:tcPr>
          <w:p w14:paraId="1DF69A81" w14:textId="77777777" w:rsidR="001802D8" w:rsidRPr="00353381" w:rsidRDefault="001802D8" w:rsidP="00D63204">
            <w:pPr>
              <w:widowControl w:val="0"/>
              <w:spacing w:before="83" w:after="0" w:line="240" w:lineRule="auto"/>
              <w:ind w:left="90"/>
              <w:rPr>
                <w:rFonts w:cs="Calibri"/>
              </w:rPr>
            </w:pPr>
            <w:r w:rsidRPr="00353381">
              <w:rPr>
                <w:color w:val="231F20"/>
                <w:w w:val="110"/>
              </w:rPr>
              <w:t>4</w:t>
            </w:r>
          </w:p>
        </w:tc>
      </w:tr>
      <w:tr w:rsidR="001802D8" w:rsidRPr="00353381" w14:paraId="0185E0AE" w14:textId="77777777" w:rsidTr="001000EB">
        <w:trPr>
          <w:trHeight w:hRule="exact" w:val="770"/>
          <w:jc w:val="center"/>
        </w:trPr>
        <w:tc>
          <w:tcPr>
            <w:tcW w:w="2900" w:type="dxa"/>
            <w:tcBorders>
              <w:top w:val="single" w:sz="2" w:space="0" w:color="231F20"/>
              <w:left w:val="single" w:sz="2" w:space="0" w:color="231F20"/>
              <w:bottom w:val="single" w:sz="2" w:space="0" w:color="231F20"/>
              <w:right w:val="single" w:sz="2" w:space="0" w:color="231F20"/>
            </w:tcBorders>
            <w:shd w:val="clear" w:color="auto" w:fill="F2F2F2" w:themeFill="background1" w:themeFillShade="F2"/>
          </w:tcPr>
          <w:p w14:paraId="36798808" w14:textId="77777777" w:rsidR="001802D8" w:rsidRPr="001000EB" w:rsidRDefault="001802D8" w:rsidP="001000EB">
            <w:pPr>
              <w:widowControl w:val="0"/>
              <w:spacing w:before="98" w:after="0" w:line="240" w:lineRule="auto"/>
              <w:ind w:left="90"/>
              <w:rPr>
                <w:color w:val="231F20"/>
                <w:w w:val="105"/>
              </w:rPr>
            </w:pPr>
            <w:r w:rsidRPr="00353381">
              <w:rPr>
                <w:color w:val="231F20"/>
                <w:w w:val="105"/>
              </w:rPr>
              <w:t>Vocational</w:t>
            </w:r>
            <w:r w:rsidRPr="001000EB">
              <w:rPr>
                <w:color w:val="231F20"/>
                <w:w w:val="105"/>
              </w:rPr>
              <w:t xml:space="preserve"> </w:t>
            </w:r>
            <w:r w:rsidRPr="00353381">
              <w:rPr>
                <w:color w:val="231F20"/>
                <w:w w:val="105"/>
              </w:rPr>
              <w:t>Rehabilitation</w:t>
            </w:r>
            <w:r w:rsidRPr="001000EB">
              <w:rPr>
                <w:color w:val="231F20"/>
                <w:w w:val="105"/>
              </w:rPr>
              <w:t xml:space="preserve"> </w:t>
            </w:r>
            <w:r w:rsidRPr="00353381">
              <w:rPr>
                <w:color w:val="231F20"/>
                <w:w w:val="105"/>
              </w:rPr>
              <w:t>Specialist</w:t>
            </w:r>
          </w:p>
        </w:tc>
        <w:tc>
          <w:tcPr>
            <w:tcW w:w="1916" w:type="dxa"/>
            <w:tcBorders>
              <w:top w:val="single" w:sz="2" w:space="0" w:color="231F20"/>
              <w:left w:val="single" w:sz="2" w:space="0" w:color="231F20"/>
              <w:bottom w:val="single" w:sz="2" w:space="0" w:color="231F20"/>
              <w:right w:val="single" w:sz="2" w:space="0" w:color="231F20"/>
            </w:tcBorders>
            <w:shd w:val="clear" w:color="auto" w:fill="F2F2F2" w:themeFill="background1" w:themeFillShade="F2"/>
          </w:tcPr>
          <w:p w14:paraId="6F6476B1" w14:textId="77777777" w:rsidR="001802D8" w:rsidRPr="001000EB" w:rsidRDefault="001802D8" w:rsidP="00D63204">
            <w:pPr>
              <w:widowControl w:val="0"/>
              <w:spacing w:before="98" w:after="0" w:line="240" w:lineRule="auto"/>
              <w:ind w:left="90"/>
              <w:rPr>
                <w:color w:val="231F20"/>
                <w:w w:val="105"/>
              </w:rPr>
            </w:pPr>
            <w:r w:rsidRPr="001000EB">
              <w:rPr>
                <w:color w:val="231F20"/>
                <w:w w:val="105"/>
              </w:rPr>
              <w:t>53</w:t>
            </w:r>
          </w:p>
        </w:tc>
        <w:tc>
          <w:tcPr>
            <w:tcW w:w="1619" w:type="dxa"/>
            <w:tcBorders>
              <w:top w:val="single" w:sz="2" w:space="0" w:color="231F20"/>
              <w:left w:val="single" w:sz="2" w:space="0" w:color="231F20"/>
              <w:bottom w:val="single" w:sz="2" w:space="0" w:color="231F20"/>
              <w:right w:val="single" w:sz="2" w:space="0" w:color="231F20"/>
            </w:tcBorders>
            <w:shd w:val="clear" w:color="auto" w:fill="F2F2F2" w:themeFill="background1" w:themeFillShade="F2"/>
          </w:tcPr>
          <w:p w14:paraId="7C2A51B1" w14:textId="007B5515" w:rsidR="001802D8" w:rsidRPr="001000EB" w:rsidRDefault="001802D8" w:rsidP="00D63204">
            <w:pPr>
              <w:widowControl w:val="0"/>
              <w:spacing w:before="98" w:after="0" w:line="240" w:lineRule="auto"/>
              <w:ind w:left="90"/>
              <w:rPr>
                <w:color w:val="231F20"/>
                <w:w w:val="105"/>
              </w:rPr>
            </w:pPr>
            <w:r w:rsidRPr="001000EB">
              <w:rPr>
                <w:color w:val="231F20"/>
                <w:w w:val="105"/>
              </w:rPr>
              <w:t>2</w:t>
            </w:r>
          </w:p>
        </w:tc>
        <w:tc>
          <w:tcPr>
            <w:tcW w:w="3744" w:type="dxa"/>
            <w:tcBorders>
              <w:top w:val="single" w:sz="2" w:space="0" w:color="231F20"/>
              <w:left w:val="single" w:sz="2" w:space="0" w:color="231F20"/>
              <w:bottom w:val="single" w:sz="2" w:space="0" w:color="231F20"/>
              <w:right w:val="single" w:sz="2" w:space="0" w:color="231F20"/>
            </w:tcBorders>
            <w:shd w:val="clear" w:color="auto" w:fill="F2F2F2" w:themeFill="background1" w:themeFillShade="F2"/>
          </w:tcPr>
          <w:p w14:paraId="7E8CFAFE" w14:textId="167BC605" w:rsidR="001802D8" w:rsidRPr="001000EB" w:rsidRDefault="001802D8" w:rsidP="00D63204">
            <w:pPr>
              <w:widowControl w:val="0"/>
              <w:spacing w:before="98" w:after="0" w:line="240" w:lineRule="auto"/>
              <w:ind w:left="90"/>
              <w:rPr>
                <w:color w:val="231F20"/>
                <w:w w:val="105"/>
              </w:rPr>
            </w:pPr>
            <w:r w:rsidRPr="001000EB">
              <w:rPr>
                <w:color w:val="231F20"/>
                <w:w w:val="105"/>
              </w:rPr>
              <w:t>4</w:t>
            </w:r>
          </w:p>
        </w:tc>
      </w:tr>
    </w:tbl>
    <w:p w14:paraId="0809372D" w14:textId="77777777" w:rsidR="001802D8" w:rsidRPr="00353381" w:rsidRDefault="001802D8" w:rsidP="00D63204">
      <w:pPr>
        <w:spacing w:after="0" w:line="240" w:lineRule="auto"/>
        <w:ind w:left="90"/>
        <w:rPr>
          <w:b/>
        </w:rPr>
      </w:pPr>
    </w:p>
    <w:p w14:paraId="64966328" w14:textId="388BEF68" w:rsidR="001802D8" w:rsidRPr="00353381" w:rsidRDefault="001802D8" w:rsidP="00D63204">
      <w:pPr>
        <w:spacing w:line="240" w:lineRule="auto"/>
        <w:ind w:left="90"/>
      </w:pPr>
      <w:r w:rsidRPr="00353381">
        <w:t>The FDBS works closely with VR to track the number and type of graduate students that are enrolled in state universities offering rehabilitation counseling degrees.</w:t>
      </w:r>
      <w:r w:rsidR="00353381">
        <w:t xml:space="preserve"> </w:t>
      </w:r>
      <w:r w:rsidRPr="00353381">
        <w:t>District administrators build relationships with local institutions of higher education by providing presentations, addressing students and informing key personnel of anticipated or current vacancies.</w:t>
      </w:r>
    </w:p>
    <w:p w14:paraId="3A81C6AF" w14:textId="3E25B0D7" w:rsidR="008D6F8E" w:rsidRPr="00353381" w:rsidRDefault="008D6F8E" w:rsidP="00D63204">
      <w:pPr>
        <w:spacing w:line="240" w:lineRule="auto"/>
        <w:ind w:left="90"/>
      </w:pPr>
      <w:r w:rsidRPr="00353381">
        <w:t xml:space="preserve">Each of the following seven state universities offer a graduate counseling degree that fulfills the educational requirements for Certified Rehabilitation Counselor (CRC) certification with a minimum of other required classes. </w:t>
      </w:r>
    </w:p>
    <w:p w14:paraId="356FFCC2" w14:textId="0E1EE8DF" w:rsidR="00353381" w:rsidRDefault="008D6F8E" w:rsidP="00D63204">
      <w:pPr>
        <w:pStyle w:val="ListParagraph"/>
        <w:numPr>
          <w:ilvl w:val="0"/>
          <w:numId w:val="57"/>
        </w:numPr>
        <w:spacing w:line="240" w:lineRule="auto"/>
      </w:pPr>
      <w:r w:rsidRPr="00353381">
        <w:t>Florida Atlantic University</w:t>
      </w:r>
    </w:p>
    <w:p w14:paraId="52D87480" w14:textId="77777777" w:rsidR="00353381" w:rsidRDefault="00353381" w:rsidP="00D63204">
      <w:pPr>
        <w:pStyle w:val="ListParagraph"/>
        <w:spacing w:line="240" w:lineRule="auto"/>
        <w:ind w:left="810"/>
      </w:pPr>
    </w:p>
    <w:p w14:paraId="16C71D0F" w14:textId="52AA0903" w:rsidR="00353381" w:rsidRDefault="008D6F8E" w:rsidP="00D63204">
      <w:pPr>
        <w:pStyle w:val="ListParagraph"/>
        <w:numPr>
          <w:ilvl w:val="0"/>
          <w:numId w:val="57"/>
        </w:numPr>
        <w:spacing w:line="240" w:lineRule="auto"/>
      </w:pPr>
      <w:r w:rsidRPr="00353381">
        <w:t>Florida International University</w:t>
      </w:r>
    </w:p>
    <w:p w14:paraId="6028A961" w14:textId="77777777" w:rsidR="00353381" w:rsidRDefault="00353381" w:rsidP="00D63204">
      <w:pPr>
        <w:pStyle w:val="ListParagraph"/>
        <w:spacing w:line="240" w:lineRule="auto"/>
        <w:ind w:left="810"/>
      </w:pPr>
    </w:p>
    <w:p w14:paraId="68DFB6BF" w14:textId="457E9799" w:rsidR="00353381" w:rsidRDefault="008D6F8E" w:rsidP="00D63204">
      <w:pPr>
        <w:pStyle w:val="ListParagraph"/>
        <w:numPr>
          <w:ilvl w:val="0"/>
          <w:numId w:val="57"/>
        </w:numPr>
        <w:spacing w:line="240" w:lineRule="auto"/>
      </w:pPr>
      <w:r w:rsidRPr="00353381">
        <w:t xml:space="preserve">Florida State University </w:t>
      </w:r>
    </w:p>
    <w:p w14:paraId="248AA306" w14:textId="77777777" w:rsidR="00353381" w:rsidRDefault="00353381" w:rsidP="00D63204">
      <w:pPr>
        <w:pStyle w:val="ListParagraph"/>
        <w:spacing w:line="240" w:lineRule="auto"/>
        <w:ind w:left="810"/>
      </w:pPr>
    </w:p>
    <w:p w14:paraId="1B8603C9" w14:textId="5D758238" w:rsidR="00353381" w:rsidRDefault="008D6F8E" w:rsidP="00D63204">
      <w:pPr>
        <w:pStyle w:val="ListParagraph"/>
        <w:numPr>
          <w:ilvl w:val="0"/>
          <w:numId w:val="57"/>
        </w:numPr>
        <w:spacing w:line="240" w:lineRule="auto"/>
      </w:pPr>
      <w:r w:rsidRPr="00353381">
        <w:t>University of Central Florida</w:t>
      </w:r>
    </w:p>
    <w:p w14:paraId="001198C8" w14:textId="77777777" w:rsidR="00353381" w:rsidRDefault="00353381" w:rsidP="00D63204">
      <w:pPr>
        <w:pStyle w:val="ListParagraph"/>
        <w:spacing w:line="240" w:lineRule="auto"/>
        <w:ind w:left="810"/>
      </w:pPr>
    </w:p>
    <w:p w14:paraId="5BE46D8A" w14:textId="03E202F6" w:rsidR="00353381" w:rsidRDefault="008D6F8E" w:rsidP="00D63204">
      <w:pPr>
        <w:pStyle w:val="ListParagraph"/>
        <w:numPr>
          <w:ilvl w:val="0"/>
          <w:numId w:val="57"/>
        </w:numPr>
        <w:spacing w:line="240" w:lineRule="auto"/>
      </w:pPr>
      <w:r w:rsidRPr="00353381">
        <w:t xml:space="preserve">University of Florida </w:t>
      </w:r>
    </w:p>
    <w:p w14:paraId="10983B7C" w14:textId="77777777" w:rsidR="00353381" w:rsidRDefault="00353381" w:rsidP="00D63204">
      <w:pPr>
        <w:pStyle w:val="ListParagraph"/>
        <w:spacing w:line="240" w:lineRule="auto"/>
        <w:ind w:left="810"/>
      </w:pPr>
    </w:p>
    <w:p w14:paraId="0D8C7835" w14:textId="2E203D1B" w:rsidR="00353381" w:rsidRDefault="008D6F8E" w:rsidP="00D63204">
      <w:pPr>
        <w:pStyle w:val="ListParagraph"/>
        <w:numPr>
          <w:ilvl w:val="0"/>
          <w:numId w:val="57"/>
        </w:numPr>
        <w:spacing w:line="240" w:lineRule="auto"/>
      </w:pPr>
      <w:r w:rsidRPr="00353381">
        <w:t xml:space="preserve">University of North Florida </w:t>
      </w:r>
    </w:p>
    <w:p w14:paraId="25D51372" w14:textId="77777777" w:rsidR="00353381" w:rsidRDefault="00353381" w:rsidP="00D63204">
      <w:pPr>
        <w:pStyle w:val="ListParagraph"/>
        <w:spacing w:line="240" w:lineRule="auto"/>
        <w:ind w:left="810"/>
      </w:pPr>
    </w:p>
    <w:p w14:paraId="398015A3" w14:textId="4A788B80" w:rsidR="008D6F8E" w:rsidRPr="00353381" w:rsidRDefault="008D6F8E" w:rsidP="00D63204">
      <w:pPr>
        <w:pStyle w:val="ListParagraph"/>
        <w:numPr>
          <w:ilvl w:val="0"/>
          <w:numId w:val="57"/>
        </w:numPr>
        <w:spacing w:line="240" w:lineRule="auto"/>
      </w:pPr>
      <w:r w:rsidRPr="00353381">
        <w:t>University of South Florida</w:t>
      </w:r>
    </w:p>
    <w:p w14:paraId="01CAE91B" w14:textId="61BE6916" w:rsidR="008D6F8E" w:rsidRPr="00353381" w:rsidRDefault="008D6F8E" w:rsidP="00D63204">
      <w:pPr>
        <w:spacing w:after="0" w:line="240" w:lineRule="auto"/>
        <w:ind w:left="90"/>
        <w:rPr>
          <w:b/>
        </w:rPr>
      </w:pPr>
      <w:r w:rsidRPr="00353381">
        <w:rPr>
          <w:b/>
        </w:rPr>
        <w:t xml:space="preserve">Program Data for Institutions of Higher Education </w:t>
      </w:r>
    </w:p>
    <w:p w14:paraId="605D70F2" w14:textId="77777777" w:rsidR="008D6F8E" w:rsidRPr="00353381" w:rsidRDefault="008D6F8E" w:rsidP="00D63204">
      <w:pPr>
        <w:spacing w:after="0" w:line="240" w:lineRule="auto"/>
        <w:ind w:left="90"/>
      </w:pPr>
      <w:r w:rsidRPr="00353381">
        <w:t xml:space="preserve">The following information is derived from Florida institutions of higher education that prepare vocational rehabilitation professionals. The information is categorized by institution and type of program. </w:t>
      </w:r>
    </w:p>
    <w:p w14:paraId="7BC2E056" w14:textId="77777777" w:rsidR="008D6F8E" w:rsidRPr="00353381" w:rsidRDefault="008D6F8E" w:rsidP="00D63204">
      <w:pPr>
        <w:spacing w:after="0" w:line="240" w:lineRule="auto"/>
        <w:ind w:left="90"/>
      </w:pPr>
    </w:p>
    <w:p w14:paraId="7E252DB6" w14:textId="77777777" w:rsidR="008D6F8E" w:rsidRPr="00353381" w:rsidRDefault="008D6F8E" w:rsidP="00D63204">
      <w:pPr>
        <w:spacing w:line="240" w:lineRule="auto"/>
        <w:ind w:left="90"/>
      </w:pPr>
      <w:r w:rsidRPr="00353381">
        <w:rPr>
          <w:b/>
        </w:rPr>
        <w:t>Institution:</w:t>
      </w:r>
      <w:r w:rsidRPr="00353381">
        <w:t xml:space="preserve"> Florida International University </w:t>
      </w:r>
    </w:p>
    <w:p w14:paraId="7357A3AA" w14:textId="77777777" w:rsidR="008D6F8E" w:rsidRPr="00353381" w:rsidRDefault="008D6F8E" w:rsidP="00D63204">
      <w:pPr>
        <w:spacing w:line="240" w:lineRule="auto"/>
        <w:ind w:left="90"/>
      </w:pPr>
      <w:r w:rsidRPr="00353381">
        <w:rPr>
          <w:b/>
        </w:rPr>
        <w:t>Type of Program:</w:t>
      </w:r>
      <w:r w:rsidRPr="00353381">
        <w:t xml:space="preserve"> Master of Science in Counselor Education – Rehabilitation Counseling Track (MS)</w:t>
      </w:r>
    </w:p>
    <w:p w14:paraId="042E970A" w14:textId="77777777" w:rsidR="008D6F8E" w:rsidRPr="00353381" w:rsidRDefault="008D6F8E" w:rsidP="00D63204">
      <w:pPr>
        <w:spacing w:line="240" w:lineRule="auto"/>
        <w:ind w:left="90"/>
      </w:pPr>
      <w:r w:rsidRPr="00353381">
        <w:rPr>
          <w:b/>
        </w:rPr>
        <w:t>Number and Type of Students Enrolled:</w:t>
      </w:r>
      <w:r w:rsidRPr="00353381">
        <w:t xml:space="preserve"> 5 MS</w:t>
      </w:r>
    </w:p>
    <w:p w14:paraId="0A650BDD" w14:textId="77777777" w:rsidR="008D6F8E" w:rsidRPr="00353381" w:rsidRDefault="008D6F8E" w:rsidP="00D63204">
      <w:pPr>
        <w:spacing w:line="240" w:lineRule="auto"/>
        <w:ind w:left="90"/>
      </w:pPr>
      <w:r w:rsidRPr="00353381">
        <w:rPr>
          <w:b/>
        </w:rPr>
        <w:t>Number of Graduates Eligible for CRC Certification:</w:t>
      </w:r>
      <w:r w:rsidRPr="00353381">
        <w:t xml:space="preserve"> 4</w:t>
      </w:r>
    </w:p>
    <w:p w14:paraId="34681C12" w14:textId="77777777" w:rsidR="00A52335" w:rsidRDefault="00A52335" w:rsidP="00D63204">
      <w:pPr>
        <w:spacing w:line="240" w:lineRule="auto"/>
        <w:ind w:left="90"/>
      </w:pPr>
      <w:r>
        <w:lastRenderedPageBreak/>
        <w:br/>
      </w:r>
      <w:r w:rsidR="008D6F8E" w:rsidRPr="00353381">
        <w:t xml:space="preserve">Number of Graduates Anticipated: </w:t>
      </w:r>
    </w:p>
    <w:p w14:paraId="4DB2B8F1" w14:textId="77777777" w:rsidR="00A52335" w:rsidRPr="00A52335" w:rsidRDefault="008D6F8E" w:rsidP="00D63204">
      <w:pPr>
        <w:pStyle w:val="ListParagraph"/>
        <w:numPr>
          <w:ilvl w:val="0"/>
          <w:numId w:val="58"/>
        </w:numPr>
        <w:spacing w:line="240" w:lineRule="auto"/>
        <w:rPr>
          <w:rFonts w:cstheme="minorHAnsi"/>
        </w:rPr>
      </w:pPr>
      <w:r w:rsidRPr="00A52335">
        <w:rPr>
          <w:rFonts w:cstheme="minorHAnsi"/>
        </w:rPr>
        <w:t>2014 – 1 MS</w:t>
      </w:r>
    </w:p>
    <w:p w14:paraId="007ADF83" w14:textId="77777777" w:rsidR="00A52335" w:rsidRPr="00A52335" w:rsidRDefault="008D6F8E" w:rsidP="00D63204">
      <w:pPr>
        <w:pStyle w:val="ListParagraph"/>
        <w:numPr>
          <w:ilvl w:val="0"/>
          <w:numId w:val="58"/>
        </w:numPr>
        <w:spacing w:line="240" w:lineRule="auto"/>
        <w:rPr>
          <w:rFonts w:cstheme="minorHAnsi"/>
        </w:rPr>
      </w:pPr>
      <w:r w:rsidRPr="00A52335">
        <w:rPr>
          <w:rFonts w:cstheme="minorHAnsi"/>
        </w:rPr>
        <w:t>2015 – 3 MS</w:t>
      </w:r>
    </w:p>
    <w:p w14:paraId="016F423F" w14:textId="77777777" w:rsidR="00A52335" w:rsidRPr="00A52335" w:rsidRDefault="008D6F8E" w:rsidP="00D63204">
      <w:pPr>
        <w:pStyle w:val="ListParagraph"/>
        <w:numPr>
          <w:ilvl w:val="0"/>
          <w:numId w:val="58"/>
        </w:numPr>
        <w:spacing w:line="240" w:lineRule="auto"/>
        <w:rPr>
          <w:rFonts w:cstheme="minorHAnsi"/>
        </w:rPr>
      </w:pPr>
      <w:r w:rsidRPr="00A52335">
        <w:rPr>
          <w:rFonts w:cstheme="minorHAnsi"/>
        </w:rPr>
        <w:t>2016 – 1 MS</w:t>
      </w:r>
    </w:p>
    <w:p w14:paraId="6A52BDBB" w14:textId="63F32214" w:rsidR="008D6F8E" w:rsidRPr="00A52335" w:rsidRDefault="008D6F8E" w:rsidP="00D63204">
      <w:pPr>
        <w:pStyle w:val="ListParagraph"/>
        <w:numPr>
          <w:ilvl w:val="0"/>
          <w:numId w:val="58"/>
        </w:numPr>
        <w:spacing w:line="240" w:lineRule="auto"/>
        <w:rPr>
          <w:rFonts w:cstheme="minorHAnsi"/>
        </w:rPr>
      </w:pPr>
      <w:r w:rsidRPr="00A52335">
        <w:rPr>
          <w:rFonts w:cstheme="minorHAnsi"/>
        </w:rPr>
        <w:t xml:space="preserve">2017 – 3 MS </w:t>
      </w:r>
    </w:p>
    <w:p w14:paraId="21BEB603" w14:textId="7B1A3EFB" w:rsidR="008D6F8E" w:rsidRPr="00353381" w:rsidRDefault="00A52335" w:rsidP="00D63204">
      <w:pPr>
        <w:spacing w:line="240" w:lineRule="auto"/>
        <w:ind w:left="90"/>
      </w:pPr>
      <w:r>
        <w:rPr>
          <w:b/>
        </w:rPr>
        <w:br/>
      </w:r>
      <w:r w:rsidR="008D6F8E" w:rsidRPr="00353381">
        <w:rPr>
          <w:b/>
        </w:rPr>
        <w:t>Institution:</w:t>
      </w:r>
      <w:r w:rsidR="008D6F8E" w:rsidRPr="00353381">
        <w:t xml:space="preserve"> University of South Florida </w:t>
      </w:r>
    </w:p>
    <w:p w14:paraId="2C59561A" w14:textId="77777777" w:rsidR="008D6F8E" w:rsidRPr="00353381" w:rsidRDefault="008D6F8E" w:rsidP="00D63204">
      <w:pPr>
        <w:spacing w:line="240" w:lineRule="auto"/>
        <w:ind w:left="90"/>
      </w:pPr>
      <w:r w:rsidRPr="00353381">
        <w:rPr>
          <w:b/>
        </w:rPr>
        <w:t>Type of Program:</w:t>
      </w:r>
      <w:r w:rsidRPr="00353381">
        <w:t xml:space="preserve"> Rehabilitation and Mental Health Counseling (MA)</w:t>
      </w:r>
    </w:p>
    <w:p w14:paraId="7A48F916" w14:textId="46FDEB3E" w:rsidR="008D6F8E" w:rsidRPr="00353381" w:rsidRDefault="008D6F8E" w:rsidP="00D63204">
      <w:pPr>
        <w:spacing w:line="240" w:lineRule="auto"/>
        <w:ind w:left="90"/>
      </w:pPr>
      <w:r w:rsidRPr="00353381">
        <w:rPr>
          <w:b/>
        </w:rPr>
        <w:t>Number and Type of Students Enrolled:</w:t>
      </w:r>
      <w:r w:rsidRPr="00353381">
        <w:t xml:space="preserve"> 162 graduate students</w:t>
      </w:r>
    </w:p>
    <w:p w14:paraId="5C88B26F" w14:textId="163679C6" w:rsidR="008D6F8E" w:rsidRPr="00353381" w:rsidRDefault="008D6F8E" w:rsidP="00D63204">
      <w:pPr>
        <w:spacing w:line="240" w:lineRule="auto"/>
        <w:ind w:left="90"/>
      </w:pPr>
      <w:r w:rsidRPr="00353381">
        <w:rPr>
          <w:b/>
        </w:rPr>
        <w:t>Number of Graduates Eligible for CRC Certification:</w:t>
      </w:r>
      <w:r w:rsidRPr="00353381">
        <w:t xml:space="preserve">  22</w:t>
      </w:r>
    </w:p>
    <w:p w14:paraId="4CC25D36" w14:textId="77777777" w:rsidR="00A52335" w:rsidRDefault="008D6F8E" w:rsidP="00D63204">
      <w:pPr>
        <w:spacing w:line="240" w:lineRule="auto"/>
        <w:ind w:left="90"/>
      </w:pPr>
      <w:r w:rsidRPr="00353381">
        <w:rPr>
          <w:b/>
        </w:rPr>
        <w:t>Number of Graduates Anticipated:</w:t>
      </w:r>
      <w:r w:rsidR="00A52335">
        <w:t xml:space="preserve"> </w:t>
      </w:r>
    </w:p>
    <w:p w14:paraId="41DB4585" w14:textId="77777777" w:rsidR="00A52335" w:rsidRPr="00A52335" w:rsidRDefault="008D6F8E" w:rsidP="00D63204">
      <w:pPr>
        <w:pStyle w:val="ListParagraph"/>
        <w:numPr>
          <w:ilvl w:val="0"/>
          <w:numId w:val="59"/>
        </w:numPr>
        <w:spacing w:line="240" w:lineRule="auto"/>
        <w:rPr>
          <w:rFonts w:cstheme="minorHAnsi"/>
        </w:rPr>
      </w:pPr>
      <w:r w:rsidRPr="00A52335">
        <w:rPr>
          <w:rFonts w:cstheme="minorHAnsi"/>
        </w:rPr>
        <w:t xml:space="preserve">2014 – 41 MA </w:t>
      </w:r>
    </w:p>
    <w:p w14:paraId="36826418" w14:textId="77777777" w:rsidR="00A52335" w:rsidRPr="00A52335" w:rsidRDefault="008D6F8E" w:rsidP="00D63204">
      <w:pPr>
        <w:pStyle w:val="ListParagraph"/>
        <w:numPr>
          <w:ilvl w:val="0"/>
          <w:numId w:val="59"/>
        </w:numPr>
        <w:spacing w:line="240" w:lineRule="auto"/>
        <w:rPr>
          <w:rFonts w:cstheme="minorHAnsi"/>
        </w:rPr>
      </w:pPr>
      <w:r w:rsidRPr="00A52335">
        <w:rPr>
          <w:rFonts w:cstheme="minorHAnsi"/>
        </w:rPr>
        <w:t>2015 – 50 MA</w:t>
      </w:r>
    </w:p>
    <w:p w14:paraId="0DC8223D" w14:textId="21B84D83" w:rsidR="008D6F8E" w:rsidRPr="00A52335" w:rsidRDefault="008D6F8E" w:rsidP="00D63204">
      <w:pPr>
        <w:pStyle w:val="ListParagraph"/>
        <w:numPr>
          <w:ilvl w:val="0"/>
          <w:numId w:val="59"/>
        </w:numPr>
        <w:spacing w:line="240" w:lineRule="auto"/>
        <w:rPr>
          <w:rFonts w:cstheme="minorHAnsi"/>
        </w:rPr>
      </w:pPr>
      <w:r w:rsidRPr="00A52335">
        <w:rPr>
          <w:rFonts w:cstheme="minorHAnsi"/>
        </w:rPr>
        <w:t>2016 – 22 MA</w:t>
      </w:r>
    </w:p>
    <w:p w14:paraId="30BD9F4A" w14:textId="77777777" w:rsidR="00EA7458" w:rsidRPr="00353381" w:rsidRDefault="00EA7458" w:rsidP="00D63204">
      <w:pPr>
        <w:widowControl w:val="0"/>
        <w:spacing w:before="7" w:after="0" w:line="240" w:lineRule="auto"/>
        <w:ind w:left="90"/>
        <w:rPr>
          <w:rFonts w:cs="Calibri"/>
        </w:rPr>
      </w:pPr>
    </w:p>
    <w:p w14:paraId="7320E0E8" w14:textId="52B41D6E" w:rsidR="008E31AB" w:rsidRPr="00353381" w:rsidRDefault="008E31AB" w:rsidP="00D63204">
      <w:pPr>
        <w:spacing w:line="240" w:lineRule="auto"/>
        <w:ind w:left="90"/>
      </w:pPr>
      <w:r w:rsidRPr="00353381">
        <w:t xml:space="preserve">None of the graduates in the referenced educational programs were sponsored by Rehabilitation Services Administration. The division acknowledges that there are many graduate level counseling related majors at public state universities that qualify graduates for CRC certification. </w:t>
      </w:r>
    </w:p>
    <w:p w14:paraId="4F6116D9" w14:textId="393D47D1" w:rsidR="008E31AB" w:rsidRDefault="008E31AB" w:rsidP="00D63204">
      <w:pPr>
        <w:spacing w:line="240" w:lineRule="auto"/>
        <w:ind w:left="90"/>
      </w:pPr>
      <w:r w:rsidRPr="00353381">
        <w:t>All Florida state employees can take up to six credit hours per semester using the Florida Tuition Waiver Program. FDBS expects employees who do not meet CSPD requirements to take advantage of the state’s tuition waiver program or participate in federal grant/stipend programs (e.g.</w:t>
      </w:r>
      <w:r w:rsidR="009F47D4">
        <w:t>,</w:t>
      </w:r>
      <w:r w:rsidRPr="00353381">
        <w:t xml:space="preserve"> Auburn, San Diego State University). When necessary, FDBS may pay for tuition, e.g., when a state university is not within driving distance, or when a staff member is unable to use tuition waiver for any required courses. </w:t>
      </w:r>
    </w:p>
    <w:p w14:paraId="52B09F91" w14:textId="77777777" w:rsidR="00A52335" w:rsidRPr="00353381" w:rsidRDefault="00A52335" w:rsidP="00D63204">
      <w:pPr>
        <w:spacing w:after="0" w:line="240" w:lineRule="auto"/>
        <w:ind w:left="90"/>
      </w:pPr>
    </w:p>
    <w:p w14:paraId="5AB65254" w14:textId="77777777" w:rsidR="008E31AB" w:rsidRPr="00353381" w:rsidRDefault="008E31AB" w:rsidP="00D63204">
      <w:pPr>
        <w:spacing w:after="0" w:line="240" w:lineRule="auto"/>
        <w:ind w:left="90"/>
        <w:rPr>
          <w:b/>
        </w:rPr>
      </w:pPr>
      <w:r w:rsidRPr="00353381">
        <w:rPr>
          <w:b/>
        </w:rPr>
        <w:t xml:space="preserve">Plan for Recruitment, Preparation and Retention of Qualified Personnel </w:t>
      </w:r>
    </w:p>
    <w:p w14:paraId="3FCD3702" w14:textId="23270EF6" w:rsidR="008E31AB" w:rsidRPr="00353381" w:rsidRDefault="008E31AB" w:rsidP="00D63204">
      <w:pPr>
        <w:spacing w:line="240" w:lineRule="auto"/>
        <w:ind w:left="90"/>
      </w:pPr>
      <w:r w:rsidRPr="00353381">
        <w:t>FDBS annually plans for recruitment, preparation and retention of qualified personnel.</w:t>
      </w:r>
    </w:p>
    <w:p w14:paraId="33CB20AD" w14:textId="77777777" w:rsidR="00A52335" w:rsidRDefault="008E31AB" w:rsidP="00D63204">
      <w:pPr>
        <w:spacing w:line="240" w:lineRule="auto"/>
        <w:ind w:left="90"/>
      </w:pPr>
      <w:r w:rsidRPr="00353381">
        <w:t>FDBS uses People First for recruitment efforts. Personnel must be hired using minimum qualifications with the expectation that standards will be met within a specified period.</w:t>
      </w:r>
    </w:p>
    <w:p w14:paraId="58B294A5" w14:textId="7EF8DF89" w:rsidR="00A52335" w:rsidRDefault="00A52335" w:rsidP="00D63204">
      <w:pPr>
        <w:spacing w:line="240" w:lineRule="auto"/>
        <w:ind w:left="90"/>
      </w:pPr>
      <w:r>
        <w:t>T</w:t>
      </w:r>
      <w:r w:rsidR="008E31AB" w:rsidRPr="00353381">
        <w:t>he Division implemented recruitment, preparation</w:t>
      </w:r>
      <w:r w:rsidR="00D5537E">
        <w:t xml:space="preserve"> and</w:t>
      </w:r>
      <w:r w:rsidR="008E31AB" w:rsidRPr="00353381">
        <w:t xml:space="preserve"> retention of qualified personnel strategies to meet known barriers. Salary is the number one factor impacting recruitment and retention. FDBS focuses on recruiting persons with disabilities and referring employment opportunities to disability organizations. FDBS is an equal opportunity employer and hires persons with and without disabilities at all levels of employment. </w:t>
      </w:r>
    </w:p>
    <w:p w14:paraId="55EE6E9D" w14:textId="77777777" w:rsidR="00A52335" w:rsidRDefault="00A52335">
      <w:r>
        <w:br w:type="page"/>
      </w:r>
    </w:p>
    <w:p w14:paraId="6605FF26" w14:textId="7F108125" w:rsidR="008E31AB" w:rsidRPr="00353381" w:rsidRDefault="00B408EE" w:rsidP="00D63204">
      <w:pPr>
        <w:spacing w:line="240" w:lineRule="auto"/>
        <w:ind w:left="90"/>
      </w:pPr>
      <w:r>
        <w:lastRenderedPageBreak/>
        <w:br/>
      </w:r>
      <w:r w:rsidR="008E31AB" w:rsidRPr="00353381">
        <w:t xml:space="preserve">Specific recruitment strategies include: </w:t>
      </w:r>
    </w:p>
    <w:p w14:paraId="7465D9C2" w14:textId="01C9AFDF" w:rsidR="00A52335" w:rsidRDefault="008E31AB" w:rsidP="00D63204">
      <w:pPr>
        <w:pStyle w:val="ListParagraph"/>
        <w:numPr>
          <w:ilvl w:val="0"/>
          <w:numId w:val="60"/>
        </w:numPr>
        <w:spacing w:line="240" w:lineRule="auto"/>
      </w:pPr>
      <w:r w:rsidRPr="00353381">
        <w:t>When cash resources are available, FDBS awards $2,000 to the vocational rehabilitation specialist base salary upon receipt of CRC on a one-time basis</w:t>
      </w:r>
      <w:r w:rsidR="005E7C49">
        <w:t xml:space="preserve">. </w:t>
      </w:r>
      <w:r w:rsidRPr="00353381">
        <w:t>If a vocational rehabilitation specialist has CRC Certification at the time of hire</w:t>
      </w:r>
      <w:r w:rsidR="003F041E">
        <w:t>,</w:t>
      </w:r>
      <w:r w:rsidRPr="00353381">
        <w:t xml:space="preserve"> the beginning salary is set at $2,000 above the base salary. </w:t>
      </w:r>
    </w:p>
    <w:p w14:paraId="336ADABC" w14:textId="77777777" w:rsidR="00A52335" w:rsidRDefault="00A52335" w:rsidP="00D63204">
      <w:pPr>
        <w:pStyle w:val="ListParagraph"/>
        <w:spacing w:line="240" w:lineRule="auto"/>
        <w:ind w:left="810"/>
      </w:pPr>
    </w:p>
    <w:p w14:paraId="43C8A852" w14:textId="15AEE7F8" w:rsidR="00A52335" w:rsidRDefault="008E31AB" w:rsidP="00D63204">
      <w:pPr>
        <w:pStyle w:val="ListParagraph"/>
        <w:numPr>
          <w:ilvl w:val="0"/>
          <w:numId w:val="60"/>
        </w:numPr>
        <w:spacing w:line="240" w:lineRule="auto"/>
      </w:pPr>
      <w:r w:rsidRPr="00353381">
        <w:t>FDBS works with the state universities that provide master’s degrees in rehabilitation counseling</w:t>
      </w:r>
      <w:r w:rsidR="005E7C49">
        <w:t xml:space="preserve">. </w:t>
      </w:r>
      <w:r w:rsidRPr="00353381">
        <w:t>Activities include attending board meetings and presentations to college classes upon request to share pertinent information related to the Division and recruitment efforts</w:t>
      </w:r>
      <w:r w:rsidR="005E7C49">
        <w:t xml:space="preserve">. </w:t>
      </w:r>
    </w:p>
    <w:p w14:paraId="5FAB8C6F" w14:textId="77777777" w:rsidR="00A52335" w:rsidRDefault="00A52335" w:rsidP="00D63204">
      <w:pPr>
        <w:pStyle w:val="ListParagraph"/>
        <w:spacing w:line="240" w:lineRule="auto"/>
        <w:ind w:left="810"/>
      </w:pPr>
    </w:p>
    <w:p w14:paraId="007389D5" w14:textId="3C74C6A9" w:rsidR="00A52335" w:rsidRDefault="008E31AB" w:rsidP="00D63204">
      <w:pPr>
        <w:pStyle w:val="ListParagraph"/>
        <w:numPr>
          <w:ilvl w:val="0"/>
          <w:numId w:val="60"/>
        </w:numPr>
        <w:spacing w:line="240" w:lineRule="auto"/>
      </w:pPr>
      <w:r w:rsidRPr="00353381">
        <w:t xml:space="preserve">FDBS encourages clients with </w:t>
      </w:r>
      <w:r w:rsidR="00AD471F">
        <w:t>m</w:t>
      </w:r>
      <w:r w:rsidRPr="00353381">
        <w:t xml:space="preserve">aster’s </w:t>
      </w:r>
      <w:r w:rsidR="000A5104">
        <w:t>d</w:t>
      </w:r>
      <w:r w:rsidRPr="00353381">
        <w:t xml:space="preserve">egrees in Rehabilitation Counseling to apply for vacant positions. </w:t>
      </w:r>
    </w:p>
    <w:p w14:paraId="0FEEB8B7" w14:textId="77777777" w:rsidR="00A52335" w:rsidRDefault="00A52335" w:rsidP="00D63204">
      <w:pPr>
        <w:pStyle w:val="ListParagraph"/>
        <w:spacing w:line="240" w:lineRule="auto"/>
        <w:ind w:left="810"/>
      </w:pPr>
    </w:p>
    <w:p w14:paraId="34177B21" w14:textId="672516D8" w:rsidR="008E31AB" w:rsidRPr="00353381" w:rsidRDefault="008E31AB" w:rsidP="00D63204">
      <w:pPr>
        <w:pStyle w:val="ListParagraph"/>
        <w:numPr>
          <w:ilvl w:val="0"/>
          <w:numId w:val="60"/>
        </w:numPr>
        <w:spacing w:line="240" w:lineRule="auto"/>
      </w:pPr>
      <w:r w:rsidRPr="00353381">
        <w:t>When feasible, FDBS will seek legislative approval to increase the base salaries of counseling staff to be more competitive with comparable positions within the state. This process begins with approval from DOE leadership. FDBS has taken initial steps to evaluate the salary structure and recommend increases based on education and tenure</w:t>
      </w:r>
      <w:r w:rsidR="005E7C49">
        <w:t xml:space="preserve">. </w:t>
      </w:r>
    </w:p>
    <w:p w14:paraId="0CE42AAF" w14:textId="77777777" w:rsidR="00A52335" w:rsidRDefault="008E31AB" w:rsidP="00D63204">
      <w:pPr>
        <w:spacing w:line="240" w:lineRule="auto"/>
        <w:ind w:left="90"/>
      </w:pPr>
      <w:r w:rsidRPr="00353381">
        <w:t>Specific</w:t>
      </w:r>
      <w:r w:rsidR="00A52335">
        <w:t xml:space="preserve"> retention strategies include: </w:t>
      </w:r>
    </w:p>
    <w:p w14:paraId="155A5052" w14:textId="66EFBF5F" w:rsidR="008E31AB" w:rsidRDefault="008E31AB" w:rsidP="00D63204">
      <w:pPr>
        <w:pStyle w:val="ListParagraph"/>
        <w:numPr>
          <w:ilvl w:val="0"/>
          <w:numId w:val="61"/>
        </w:numPr>
        <w:spacing w:line="240" w:lineRule="auto"/>
      </w:pPr>
      <w:r w:rsidRPr="00353381">
        <w:t xml:space="preserve">FDBS provides current personnel the opportunity to obtain higher salaries if they receive their CRC. When feasible, FDBS will seek legislative approval to increase the base salaries of existing counseling staff to be more competitive with comparable positions within the state. </w:t>
      </w:r>
    </w:p>
    <w:p w14:paraId="2A6633FA" w14:textId="776EA56A" w:rsidR="00EA7458" w:rsidRPr="00353381" w:rsidRDefault="00EA7458" w:rsidP="00D63204">
      <w:pPr>
        <w:widowControl w:val="0"/>
        <w:spacing w:before="57" w:after="0" w:line="240" w:lineRule="auto"/>
        <w:ind w:left="90"/>
        <w:outlineLvl w:val="2"/>
        <w:rPr>
          <w:b/>
          <w:bCs/>
          <w:color w:val="231F20"/>
          <w:w w:val="110"/>
        </w:rPr>
      </w:pPr>
      <w:r w:rsidRPr="00353381">
        <w:rPr>
          <w:b/>
          <w:bCs/>
          <w:color w:val="231F20"/>
          <w:w w:val="110"/>
        </w:rPr>
        <w:t>Personnel</w:t>
      </w:r>
      <w:r w:rsidRPr="00353381">
        <w:rPr>
          <w:b/>
          <w:bCs/>
          <w:color w:val="231F20"/>
          <w:spacing w:val="-6"/>
          <w:w w:val="110"/>
        </w:rPr>
        <w:t xml:space="preserve"> </w:t>
      </w:r>
      <w:r w:rsidRPr="00353381">
        <w:rPr>
          <w:b/>
          <w:bCs/>
          <w:color w:val="231F20"/>
          <w:w w:val="110"/>
        </w:rPr>
        <w:t>Standards</w:t>
      </w:r>
    </w:p>
    <w:p w14:paraId="688BAF07" w14:textId="66F60E92" w:rsidR="008E31AB" w:rsidRPr="00353381" w:rsidRDefault="008E31AB" w:rsidP="00D63204">
      <w:pPr>
        <w:spacing w:line="240" w:lineRule="auto"/>
        <w:ind w:left="90"/>
      </w:pPr>
      <w:r w:rsidRPr="00353381">
        <w:t xml:space="preserve">Due to difficulty in hiring individuals who meet current CRC certification standards, FDBS routinely hires personnel who meet the academic standards. Personnel with a </w:t>
      </w:r>
      <w:r w:rsidR="00AD471F">
        <w:t>m</w:t>
      </w:r>
      <w:r w:rsidRPr="00353381">
        <w:t>aster’s degree in a discipline other than counseling must meet the following academic requirements.</w:t>
      </w:r>
    </w:p>
    <w:p w14:paraId="772FF5BB" w14:textId="43056D83" w:rsidR="00A52335" w:rsidRDefault="008E31AB" w:rsidP="00D63204">
      <w:pPr>
        <w:spacing w:line="240" w:lineRule="auto"/>
        <w:ind w:left="90"/>
      </w:pPr>
      <w:r w:rsidRPr="00353381">
        <w:t xml:space="preserve">For this degree to be considered a related degree, the individual must have a master’s degree and must document at least </w:t>
      </w:r>
      <w:r w:rsidRPr="00501FBB">
        <w:t>18 credit hours of coursework at the master’s level or above</w:t>
      </w:r>
      <w:r w:rsidRPr="004D4B95">
        <w:t xml:space="preserve">, </w:t>
      </w:r>
      <w:r w:rsidR="00882460">
        <w:t>and/or</w:t>
      </w:r>
      <w:r w:rsidRPr="004D4B95">
        <w:t xml:space="preserve"> acquired postmaster’s in the follow</w:t>
      </w:r>
      <w:r w:rsidR="00A52335" w:rsidRPr="004D4B95">
        <w:t>ing core areas:</w:t>
      </w:r>
    </w:p>
    <w:p w14:paraId="655C211F" w14:textId="17CD349E" w:rsidR="00A52335" w:rsidRDefault="008E31AB" w:rsidP="00D63204">
      <w:pPr>
        <w:pStyle w:val="ListParagraph"/>
        <w:numPr>
          <w:ilvl w:val="0"/>
          <w:numId w:val="62"/>
        </w:numPr>
        <w:spacing w:line="240" w:lineRule="auto"/>
      </w:pPr>
      <w:r w:rsidRPr="00353381">
        <w:t xml:space="preserve">One graduate course with a primary focus on the Theories and Techniques of Counseling. (This is a basic requirement for future consideration of relatedness of degree.) </w:t>
      </w:r>
    </w:p>
    <w:p w14:paraId="36685642" w14:textId="77777777" w:rsidR="00A52335" w:rsidRDefault="00A52335" w:rsidP="00D63204">
      <w:pPr>
        <w:pStyle w:val="ListParagraph"/>
        <w:spacing w:line="240" w:lineRule="auto"/>
        <w:ind w:left="810"/>
      </w:pPr>
    </w:p>
    <w:p w14:paraId="5D3F10B5" w14:textId="041393FF" w:rsidR="00A52335" w:rsidRDefault="008E31AB" w:rsidP="00D63204">
      <w:pPr>
        <w:pStyle w:val="ListParagraph"/>
        <w:numPr>
          <w:ilvl w:val="0"/>
          <w:numId w:val="62"/>
        </w:numPr>
        <w:spacing w:line="240" w:lineRule="auto"/>
      </w:pPr>
      <w:r w:rsidRPr="00353381">
        <w:t xml:space="preserve">Three graduate courses, each with a primary focus in one of the following areas: </w:t>
      </w:r>
    </w:p>
    <w:p w14:paraId="7E2156E1" w14:textId="77777777" w:rsidR="00A52335" w:rsidRDefault="00A52335" w:rsidP="00D63204">
      <w:pPr>
        <w:pStyle w:val="ListParagraph"/>
        <w:spacing w:line="240" w:lineRule="auto"/>
        <w:ind w:left="810"/>
      </w:pPr>
    </w:p>
    <w:p w14:paraId="32574D1E" w14:textId="05994007" w:rsidR="00A52335" w:rsidRDefault="008E31AB" w:rsidP="00D63204">
      <w:pPr>
        <w:pStyle w:val="ListParagraph"/>
        <w:numPr>
          <w:ilvl w:val="1"/>
          <w:numId w:val="62"/>
        </w:numPr>
        <w:spacing w:line="240" w:lineRule="auto"/>
      </w:pPr>
      <w:r w:rsidRPr="00353381">
        <w:t xml:space="preserve">Occupational Information </w:t>
      </w:r>
    </w:p>
    <w:p w14:paraId="633A0290" w14:textId="77777777" w:rsidR="00A52335" w:rsidRDefault="00A52335" w:rsidP="00D63204">
      <w:pPr>
        <w:pStyle w:val="ListParagraph"/>
        <w:spacing w:line="240" w:lineRule="auto"/>
        <w:ind w:left="1530"/>
      </w:pPr>
    </w:p>
    <w:p w14:paraId="44390ADA" w14:textId="20308244" w:rsidR="00A52335" w:rsidRDefault="008E31AB" w:rsidP="00D63204">
      <w:pPr>
        <w:pStyle w:val="ListParagraph"/>
        <w:numPr>
          <w:ilvl w:val="1"/>
          <w:numId w:val="62"/>
        </w:numPr>
        <w:spacing w:line="240" w:lineRule="auto"/>
      </w:pPr>
      <w:r w:rsidRPr="00353381">
        <w:t xml:space="preserve">Job Development and Placement </w:t>
      </w:r>
    </w:p>
    <w:p w14:paraId="0002290C" w14:textId="77777777" w:rsidR="00A52335" w:rsidRDefault="00A52335" w:rsidP="00D63204">
      <w:pPr>
        <w:pStyle w:val="ListParagraph"/>
        <w:spacing w:line="240" w:lineRule="auto"/>
        <w:ind w:left="1530"/>
      </w:pPr>
    </w:p>
    <w:p w14:paraId="18A0C033" w14:textId="0DC09175" w:rsidR="00A52335" w:rsidRDefault="008E31AB" w:rsidP="00D63204">
      <w:pPr>
        <w:pStyle w:val="ListParagraph"/>
        <w:numPr>
          <w:ilvl w:val="1"/>
          <w:numId w:val="62"/>
        </w:numPr>
        <w:spacing w:line="240" w:lineRule="auto"/>
      </w:pPr>
      <w:r w:rsidRPr="00353381">
        <w:t xml:space="preserve">Medical Aspects of Disabilities </w:t>
      </w:r>
    </w:p>
    <w:p w14:paraId="2F98DCFE" w14:textId="77777777" w:rsidR="00A52335" w:rsidRDefault="00A52335" w:rsidP="00D63204">
      <w:pPr>
        <w:pStyle w:val="ListParagraph"/>
        <w:spacing w:line="240" w:lineRule="auto"/>
        <w:ind w:left="1530"/>
      </w:pPr>
    </w:p>
    <w:p w14:paraId="2FC687F7" w14:textId="413C246E" w:rsidR="00A52335" w:rsidRDefault="008E31AB" w:rsidP="00D63204">
      <w:pPr>
        <w:pStyle w:val="ListParagraph"/>
        <w:numPr>
          <w:ilvl w:val="1"/>
          <w:numId w:val="62"/>
        </w:numPr>
        <w:spacing w:line="240" w:lineRule="auto"/>
      </w:pPr>
      <w:r w:rsidRPr="00353381">
        <w:t xml:space="preserve">Foundations of Rehabilitation </w:t>
      </w:r>
    </w:p>
    <w:p w14:paraId="3B4E7903" w14:textId="77777777" w:rsidR="00A52335" w:rsidRDefault="00A52335" w:rsidP="00D63204">
      <w:pPr>
        <w:pStyle w:val="ListParagraph"/>
        <w:spacing w:line="240" w:lineRule="auto"/>
        <w:ind w:left="1530"/>
      </w:pPr>
    </w:p>
    <w:p w14:paraId="6A2F6ED5" w14:textId="184331E7" w:rsidR="00A52335" w:rsidRDefault="008E31AB" w:rsidP="00D63204">
      <w:pPr>
        <w:pStyle w:val="ListParagraph"/>
        <w:numPr>
          <w:ilvl w:val="1"/>
          <w:numId w:val="62"/>
        </w:numPr>
        <w:spacing w:line="240" w:lineRule="auto"/>
      </w:pPr>
      <w:r w:rsidRPr="00353381">
        <w:t xml:space="preserve">Psychological Aspects of Disabilities </w:t>
      </w:r>
    </w:p>
    <w:p w14:paraId="64DE3C96" w14:textId="77777777" w:rsidR="00A52335" w:rsidRDefault="00A52335" w:rsidP="00D63204">
      <w:pPr>
        <w:pStyle w:val="ListParagraph"/>
        <w:spacing w:line="240" w:lineRule="auto"/>
        <w:ind w:left="1530"/>
      </w:pPr>
    </w:p>
    <w:p w14:paraId="66B47D70" w14:textId="283E05C0" w:rsidR="00A52335" w:rsidRDefault="008E31AB" w:rsidP="00D63204">
      <w:pPr>
        <w:pStyle w:val="ListParagraph"/>
        <w:numPr>
          <w:ilvl w:val="1"/>
          <w:numId w:val="62"/>
        </w:numPr>
        <w:spacing w:line="240" w:lineRule="auto"/>
      </w:pPr>
      <w:r w:rsidRPr="00353381">
        <w:t xml:space="preserve">Personal and Vocational Adjustment </w:t>
      </w:r>
    </w:p>
    <w:p w14:paraId="2F2430B4" w14:textId="77777777" w:rsidR="00B408EE" w:rsidRDefault="00B408EE" w:rsidP="00B408EE">
      <w:pPr>
        <w:pStyle w:val="ListParagraph"/>
      </w:pPr>
    </w:p>
    <w:p w14:paraId="2823F014" w14:textId="77777777" w:rsidR="00A52335" w:rsidRDefault="00A52335" w:rsidP="00D63204">
      <w:pPr>
        <w:pStyle w:val="ListParagraph"/>
        <w:spacing w:line="240" w:lineRule="auto"/>
        <w:ind w:left="1530"/>
      </w:pPr>
    </w:p>
    <w:p w14:paraId="459CA434" w14:textId="023BDDC3" w:rsidR="00A52335" w:rsidRDefault="008E31AB" w:rsidP="00D63204">
      <w:pPr>
        <w:pStyle w:val="ListParagraph"/>
        <w:numPr>
          <w:ilvl w:val="0"/>
          <w:numId w:val="62"/>
        </w:numPr>
        <w:spacing w:line="240" w:lineRule="auto"/>
      </w:pPr>
      <w:r w:rsidRPr="00353381">
        <w:t xml:space="preserve">Two graduate courses, each with a primary focus in one of the following areas: </w:t>
      </w:r>
    </w:p>
    <w:p w14:paraId="4DB7250E" w14:textId="77777777" w:rsidR="00A52335" w:rsidRDefault="00A52335" w:rsidP="00D63204">
      <w:pPr>
        <w:pStyle w:val="ListParagraph"/>
        <w:spacing w:line="240" w:lineRule="auto"/>
        <w:ind w:left="810"/>
      </w:pPr>
    </w:p>
    <w:p w14:paraId="3999D140" w14:textId="77777777" w:rsidR="00A52335" w:rsidRDefault="008E31AB" w:rsidP="00D63204">
      <w:pPr>
        <w:pStyle w:val="ListParagraph"/>
        <w:numPr>
          <w:ilvl w:val="1"/>
          <w:numId w:val="62"/>
        </w:numPr>
        <w:spacing w:line="240" w:lineRule="auto"/>
      </w:pPr>
      <w:r w:rsidRPr="00353381">
        <w:t xml:space="preserve">Assessment </w:t>
      </w:r>
    </w:p>
    <w:p w14:paraId="09539031" w14:textId="77777777" w:rsidR="00A52335" w:rsidRDefault="00A52335" w:rsidP="00A52335">
      <w:pPr>
        <w:pStyle w:val="ListParagraph"/>
      </w:pPr>
    </w:p>
    <w:p w14:paraId="48C5D10E" w14:textId="77777777" w:rsidR="00A52335" w:rsidRDefault="008E31AB" w:rsidP="00D63204">
      <w:pPr>
        <w:pStyle w:val="ListParagraph"/>
        <w:numPr>
          <w:ilvl w:val="1"/>
          <w:numId w:val="62"/>
        </w:numPr>
        <w:spacing w:line="240" w:lineRule="auto"/>
      </w:pPr>
      <w:r w:rsidRPr="00353381">
        <w:t xml:space="preserve">Research Methodology </w:t>
      </w:r>
    </w:p>
    <w:p w14:paraId="43E2CCD9" w14:textId="77777777" w:rsidR="00A52335" w:rsidRDefault="00A52335" w:rsidP="00A52335">
      <w:pPr>
        <w:pStyle w:val="ListParagraph"/>
      </w:pPr>
    </w:p>
    <w:p w14:paraId="14FF2A4A" w14:textId="77777777" w:rsidR="00A52335" w:rsidRDefault="008E31AB" w:rsidP="00D63204">
      <w:pPr>
        <w:pStyle w:val="ListParagraph"/>
        <w:numPr>
          <w:ilvl w:val="1"/>
          <w:numId w:val="62"/>
        </w:numPr>
        <w:spacing w:line="240" w:lineRule="auto"/>
      </w:pPr>
      <w:r w:rsidRPr="00353381">
        <w:t xml:space="preserve">Vocational and Career Development </w:t>
      </w:r>
    </w:p>
    <w:p w14:paraId="31E0BAAE" w14:textId="77777777" w:rsidR="00A52335" w:rsidRDefault="00A52335" w:rsidP="00A52335">
      <w:pPr>
        <w:pStyle w:val="ListParagraph"/>
      </w:pPr>
    </w:p>
    <w:p w14:paraId="499AC18E" w14:textId="5299A47B" w:rsidR="00A52335" w:rsidRDefault="008E31AB" w:rsidP="00D63204">
      <w:pPr>
        <w:pStyle w:val="ListParagraph"/>
        <w:numPr>
          <w:ilvl w:val="1"/>
          <w:numId w:val="62"/>
        </w:numPr>
        <w:spacing w:line="240" w:lineRule="auto"/>
      </w:pPr>
      <w:r w:rsidRPr="00353381">
        <w:t xml:space="preserve">Community Resources </w:t>
      </w:r>
    </w:p>
    <w:p w14:paraId="25A1BCE0" w14:textId="77777777" w:rsidR="00A52335" w:rsidRDefault="00A52335" w:rsidP="00A52335">
      <w:pPr>
        <w:pStyle w:val="ListParagraph"/>
      </w:pPr>
    </w:p>
    <w:p w14:paraId="023EE098" w14:textId="2BC4578D" w:rsidR="00A52335" w:rsidRDefault="008E31AB" w:rsidP="00D63204">
      <w:pPr>
        <w:pStyle w:val="ListParagraph"/>
        <w:numPr>
          <w:ilvl w:val="1"/>
          <w:numId w:val="62"/>
        </w:numPr>
        <w:spacing w:line="240" w:lineRule="auto"/>
      </w:pPr>
      <w:r w:rsidRPr="00353381">
        <w:t xml:space="preserve">Case Management </w:t>
      </w:r>
    </w:p>
    <w:p w14:paraId="265F8641" w14:textId="77777777" w:rsidR="00A52335" w:rsidRDefault="00A52335" w:rsidP="00D63204">
      <w:pPr>
        <w:pStyle w:val="ListParagraph"/>
        <w:spacing w:line="240" w:lineRule="auto"/>
        <w:ind w:left="1530"/>
      </w:pPr>
    </w:p>
    <w:p w14:paraId="4E8A9221" w14:textId="72EF164E" w:rsidR="00A52335" w:rsidRDefault="008E31AB" w:rsidP="00D63204">
      <w:pPr>
        <w:pStyle w:val="ListParagraph"/>
        <w:numPr>
          <w:ilvl w:val="1"/>
          <w:numId w:val="62"/>
        </w:numPr>
        <w:spacing w:line="240" w:lineRule="auto"/>
      </w:pPr>
      <w:r w:rsidRPr="00353381">
        <w:t xml:space="preserve">Delivery of Rehabilitation Services </w:t>
      </w:r>
    </w:p>
    <w:p w14:paraId="59379177" w14:textId="77777777" w:rsidR="00A52335" w:rsidRDefault="00A52335" w:rsidP="00D63204">
      <w:pPr>
        <w:pStyle w:val="ListParagraph"/>
        <w:spacing w:line="240" w:lineRule="auto"/>
        <w:ind w:left="1530"/>
      </w:pPr>
    </w:p>
    <w:p w14:paraId="6345EF36" w14:textId="10735377" w:rsidR="00A52335" w:rsidRDefault="008E31AB" w:rsidP="00D63204">
      <w:pPr>
        <w:pStyle w:val="ListParagraph"/>
        <w:numPr>
          <w:ilvl w:val="0"/>
          <w:numId w:val="62"/>
        </w:numPr>
        <w:spacing w:line="240" w:lineRule="auto"/>
      </w:pPr>
      <w:r w:rsidRPr="00353381">
        <w:t>A bachelor’s degree from an accredited college or university with major course of study in a social, behavioral or rehabilitative science, education or visual disabilities</w:t>
      </w:r>
      <w:r w:rsidR="00D5537E">
        <w:t xml:space="preserve"> and</w:t>
      </w:r>
      <w:r w:rsidRPr="00353381">
        <w:t xml:space="preserve"> two years of professional experience involving direct services to rehabilitation clients. </w:t>
      </w:r>
    </w:p>
    <w:p w14:paraId="226E0495" w14:textId="77777777" w:rsidR="00A52335" w:rsidRDefault="00A52335" w:rsidP="00D63204">
      <w:pPr>
        <w:pStyle w:val="ListParagraph"/>
        <w:spacing w:line="240" w:lineRule="auto"/>
        <w:ind w:left="810"/>
      </w:pPr>
    </w:p>
    <w:p w14:paraId="1C48A25F" w14:textId="71444632" w:rsidR="008E31AB" w:rsidRPr="00353381" w:rsidRDefault="008E31AB" w:rsidP="00D63204">
      <w:pPr>
        <w:pStyle w:val="ListParagraph"/>
        <w:numPr>
          <w:ilvl w:val="0"/>
          <w:numId w:val="62"/>
        </w:numPr>
        <w:spacing w:line="240" w:lineRule="auto"/>
      </w:pPr>
      <w:r w:rsidRPr="00353381">
        <w:t xml:space="preserve">A master’s degree from an accredited college or university with major course of study in one of the above areas can substitute for one year of the required experience. </w:t>
      </w:r>
    </w:p>
    <w:p w14:paraId="28EB1FFE" w14:textId="77777777" w:rsidR="008E31AB" w:rsidRPr="00353381" w:rsidRDefault="008E31AB" w:rsidP="00D63204">
      <w:pPr>
        <w:spacing w:line="240" w:lineRule="auto"/>
        <w:ind w:left="90"/>
      </w:pPr>
      <w:r w:rsidRPr="00353381">
        <w:t>All newly hired vocational rehabilitation counseling staff not meeting CSPD requirements will complete and update their CSPD Education Plan on an annual basis.</w:t>
      </w:r>
    </w:p>
    <w:p w14:paraId="278EF1EB" w14:textId="4DDC6B0C" w:rsidR="00EA7458" w:rsidRPr="00353381" w:rsidRDefault="008E31AB" w:rsidP="00D63204">
      <w:pPr>
        <w:spacing w:line="240" w:lineRule="auto"/>
        <w:ind w:left="90"/>
        <w:rPr>
          <w:rFonts w:cs="Calibri"/>
        </w:rPr>
      </w:pPr>
      <w:r w:rsidRPr="00353381">
        <w:t xml:space="preserve">Individuals who are hired for positions requiring master’s degrees have five years from the time hired to meet standards, allowing date adjustments based on an academic year. Individuals who have master’s degrees in areas other than rehabilitation counseling or counseling have two years to complete required courses noted on their CSPD Education Plan, allowing date adjustments based on an academic year. </w:t>
      </w:r>
    </w:p>
    <w:p w14:paraId="2037B02D" w14:textId="77777777" w:rsidR="008E31AB" w:rsidRPr="00353381" w:rsidRDefault="008E31AB" w:rsidP="00D63204">
      <w:pPr>
        <w:spacing w:line="240" w:lineRule="auto"/>
        <w:ind w:left="90"/>
      </w:pPr>
      <w:bookmarkStart w:id="186" w:name="_bookmark112"/>
      <w:bookmarkEnd w:id="186"/>
      <w:r w:rsidRPr="00353381">
        <w:t>The CSPD Education Plan includes the following types of information:</w:t>
      </w:r>
    </w:p>
    <w:p w14:paraId="136E76CE" w14:textId="77777777" w:rsidR="008E31AB" w:rsidRPr="00353381" w:rsidRDefault="008E31AB" w:rsidP="00D63204">
      <w:pPr>
        <w:spacing w:line="240" w:lineRule="auto"/>
        <w:ind w:left="90"/>
      </w:pPr>
      <w:r w:rsidRPr="00353381">
        <w:tab/>
        <w:t xml:space="preserve">• A description of current educational status; </w:t>
      </w:r>
    </w:p>
    <w:p w14:paraId="0FD0891E" w14:textId="77777777" w:rsidR="008E31AB" w:rsidRPr="00353381" w:rsidRDefault="008E31AB" w:rsidP="00D63204">
      <w:pPr>
        <w:spacing w:line="240" w:lineRule="auto"/>
        <w:ind w:left="90"/>
      </w:pPr>
      <w:r w:rsidRPr="00353381">
        <w:tab/>
        <w:t xml:space="preserve">• The courses to be taken during the year; </w:t>
      </w:r>
    </w:p>
    <w:p w14:paraId="4E28F3ED" w14:textId="77777777" w:rsidR="008E31AB" w:rsidRPr="00353381" w:rsidRDefault="008E31AB" w:rsidP="00D63204">
      <w:pPr>
        <w:spacing w:line="240" w:lineRule="auto"/>
        <w:ind w:left="90"/>
      </w:pPr>
      <w:r w:rsidRPr="00353381">
        <w:tab/>
        <w:t xml:space="preserve">• The timeframe in which the required education will be completed; </w:t>
      </w:r>
    </w:p>
    <w:p w14:paraId="1422B580" w14:textId="77777777" w:rsidR="008E31AB" w:rsidRPr="00353381" w:rsidRDefault="008E31AB" w:rsidP="00D63204">
      <w:pPr>
        <w:spacing w:line="240" w:lineRule="auto"/>
        <w:ind w:left="90"/>
      </w:pPr>
      <w:r w:rsidRPr="00353381">
        <w:tab/>
        <w:t xml:space="preserve">• The institution that the individual will attend; and </w:t>
      </w:r>
    </w:p>
    <w:p w14:paraId="1299A048" w14:textId="77777777" w:rsidR="008E31AB" w:rsidRPr="00353381" w:rsidRDefault="008E31AB" w:rsidP="00D63204">
      <w:pPr>
        <w:spacing w:line="240" w:lineRule="auto"/>
        <w:ind w:left="90"/>
      </w:pPr>
      <w:r w:rsidRPr="00353381">
        <w:tab/>
        <w:t xml:space="preserve">• Annual progress reports on course completion. </w:t>
      </w:r>
    </w:p>
    <w:p w14:paraId="2AA6A726" w14:textId="369AC494" w:rsidR="008E31AB" w:rsidRDefault="008E31AB" w:rsidP="00D63204">
      <w:pPr>
        <w:spacing w:line="240" w:lineRule="auto"/>
        <w:ind w:left="90"/>
      </w:pPr>
      <w:r w:rsidRPr="00353381">
        <w:t>FDBS tracks the current educational status of personnel as well as their progress in complying with the CSPD requirements</w:t>
      </w:r>
      <w:r w:rsidR="005E7C49">
        <w:t xml:space="preserve">. </w:t>
      </w:r>
      <w:r w:rsidRPr="00353381">
        <w:t>The following table indicates the CRC eligibility status of staff by position.</w:t>
      </w:r>
    </w:p>
    <w:p w14:paraId="3E4B2C57" w14:textId="7D2CFC59" w:rsidR="00A642B1" w:rsidRDefault="00A642B1" w:rsidP="00D63204">
      <w:pPr>
        <w:spacing w:line="240" w:lineRule="auto"/>
        <w:ind w:left="90"/>
      </w:pPr>
    </w:p>
    <w:p w14:paraId="02A0CF44" w14:textId="77777777" w:rsidR="00E70F55" w:rsidRDefault="00E70F55" w:rsidP="00D63204">
      <w:pPr>
        <w:spacing w:after="0" w:line="240" w:lineRule="auto"/>
        <w:ind w:left="90"/>
        <w:rPr>
          <w:b/>
        </w:rPr>
      </w:pPr>
    </w:p>
    <w:p w14:paraId="0436E812" w14:textId="77777777" w:rsidR="00B408EE" w:rsidRDefault="00B408EE" w:rsidP="00D63204">
      <w:pPr>
        <w:spacing w:after="0" w:line="240" w:lineRule="auto"/>
        <w:ind w:left="90"/>
        <w:rPr>
          <w:b/>
        </w:rPr>
      </w:pPr>
    </w:p>
    <w:p w14:paraId="47A092C1" w14:textId="77777777" w:rsidR="00B408EE" w:rsidRDefault="00B408EE" w:rsidP="00D63204">
      <w:pPr>
        <w:spacing w:after="0" w:line="240" w:lineRule="auto"/>
        <w:ind w:left="90"/>
        <w:rPr>
          <w:b/>
        </w:rPr>
      </w:pPr>
    </w:p>
    <w:p w14:paraId="56673119" w14:textId="5B5ADB6C" w:rsidR="008E31AB" w:rsidRPr="00353381" w:rsidRDefault="008E31AB" w:rsidP="00D63204">
      <w:pPr>
        <w:spacing w:after="0" w:line="240" w:lineRule="auto"/>
        <w:ind w:left="90"/>
        <w:rPr>
          <w:b/>
        </w:rPr>
      </w:pPr>
      <w:r w:rsidRPr="00353381">
        <w:rPr>
          <w:b/>
        </w:rPr>
        <w:t>Figure 10.05</w:t>
      </w:r>
    </w:p>
    <w:p w14:paraId="02671641" w14:textId="77777777" w:rsidR="00E70F55" w:rsidRDefault="008E31AB" w:rsidP="00D63204">
      <w:pPr>
        <w:spacing w:after="0" w:line="240" w:lineRule="auto"/>
        <w:ind w:left="90"/>
        <w:rPr>
          <w:b/>
        </w:rPr>
      </w:pPr>
      <w:r w:rsidRPr="00353381">
        <w:rPr>
          <w:b/>
        </w:rPr>
        <w:t>FDBS Personnel Standards by Position</w:t>
      </w:r>
    </w:p>
    <w:p w14:paraId="4FD3732F" w14:textId="38723A06" w:rsidR="008E31AB" w:rsidRPr="00353381" w:rsidRDefault="00E70F55" w:rsidP="00D63204">
      <w:pPr>
        <w:spacing w:after="0" w:line="240" w:lineRule="auto"/>
        <w:ind w:left="90"/>
        <w:rPr>
          <w:b/>
        </w:rPr>
      </w:pPr>
      <w:r>
        <w:rPr>
          <w:b/>
        </w:rPr>
        <w:t xml:space="preserve">State Fiscal Year </w:t>
      </w:r>
      <w:r w:rsidR="008E31AB" w:rsidRPr="00353381">
        <w:rPr>
          <w:b/>
        </w:rPr>
        <w:t>2016-2017</w:t>
      </w:r>
    </w:p>
    <w:tbl>
      <w:tblPr>
        <w:tblW w:w="0" w:type="auto"/>
        <w:jc w:val="center"/>
        <w:tblLayout w:type="fixed"/>
        <w:tblCellMar>
          <w:left w:w="0" w:type="dxa"/>
          <w:right w:w="0" w:type="dxa"/>
        </w:tblCellMar>
        <w:tblLook w:val="01E0" w:firstRow="1" w:lastRow="1" w:firstColumn="1" w:lastColumn="1" w:noHBand="0" w:noVBand="0"/>
      </w:tblPr>
      <w:tblGrid>
        <w:gridCol w:w="5406"/>
        <w:gridCol w:w="1193"/>
        <w:gridCol w:w="1442"/>
        <w:gridCol w:w="1083"/>
        <w:gridCol w:w="1043"/>
      </w:tblGrid>
      <w:tr w:rsidR="008E31AB" w:rsidRPr="00353381" w14:paraId="4C1BA1ED" w14:textId="77777777" w:rsidTr="00117E2F">
        <w:trPr>
          <w:trHeight w:hRule="exact" w:val="493"/>
          <w:jc w:val="center"/>
        </w:trPr>
        <w:tc>
          <w:tcPr>
            <w:tcW w:w="5406" w:type="dxa"/>
            <w:tcBorders>
              <w:top w:val="single" w:sz="2" w:space="0" w:color="231F20"/>
              <w:left w:val="single" w:sz="2" w:space="0" w:color="231F20"/>
              <w:bottom w:val="single" w:sz="2" w:space="0" w:color="231F20"/>
              <w:right w:val="single" w:sz="2" w:space="0" w:color="231F20"/>
            </w:tcBorders>
          </w:tcPr>
          <w:p w14:paraId="7DF6A983" w14:textId="77777777" w:rsidR="008E31AB" w:rsidRPr="00353381" w:rsidRDefault="008E31AB" w:rsidP="00A642B1">
            <w:pPr>
              <w:widowControl w:val="0"/>
              <w:spacing w:before="121" w:after="0" w:line="240" w:lineRule="auto"/>
              <w:ind w:left="90"/>
              <w:rPr>
                <w:rFonts w:cs="Calibri"/>
              </w:rPr>
            </w:pPr>
            <w:r w:rsidRPr="00353381">
              <w:rPr>
                <w:b/>
                <w:color w:val="231F20"/>
                <w:w w:val="110"/>
              </w:rPr>
              <w:t>Position</w:t>
            </w:r>
            <w:r w:rsidRPr="00353381">
              <w:rPr>
                <w:b/>
                <w:color w:val="231F20"/>
                <w:spacing w:val="-24"/>
                <w:w w:val="110"/>
              </w:rPr>
              <w:t xml:space="preserve"> </w:t>
            </w:r>
            <w:r w:rsidRPr="00353381">
              <w:rPr>
                <w:b/>
                <w:color w:val="231F20"/>
                <w:w w:val="110"/>
              </w:rPr>
              <w:t>Description</w:t>
            </w:r>
          </w:p>
        </w:tc>
        <w:tc>
          <w:tcPr>
            <w:tcW w:w="1193" w:type="dxa"/>
            <w:tcBorders>
              <w:top w:val="single" w:sz="2" w:space="0" w:color="231F20"/>
              <w:left w:val="single" w:sz="2" w:space="0" w:color="231F20"/>
              <w:bottom w:val="single" w:sz="2" w:space="0" w:color="231F20"/>
              <w:right w:val="single" w:sz="2" w:space="0" w:color="231F20"/>
            </w:tcBorders>
          </w:tcPr>
          <w:p w14:paraId="7AD205D1" w14:textId="77777777" w:rsidR="008E31AB" w:rsidRPr="00353381" w:rsidRDefault="008E31AB" w:rsidP="00D63204">
            <w:pPr>
              <w:widowControl w:val="0"/>
              <w:spacing w:before="121" w:after="0" w:line="240" w:lineRule="auto"/>
              <w:ind w:left="90"/>
              <w:rPr>
                <w:rFonts w:cs="Calibri"/>
              </w:rPr>
            </w:pPr>
            <w:r w:rsidRPr="00353381">
              <w:rPr>
                <w:b/>
                <w:color w:val="231F20"/>
                <w:w w:val="115"/>
              </w:rPr>
              <w:t>Vacancy</w:t>
            </w:r>
          </w:p>
        </w:tc>
        <w:tc>
          <w:tcPr>
            <w:tcW w:w="1442" w:type="dxa"/>
            <w:tcBorders>
              <w:top w:val="single" w:sz="2" w:space="0" w:color="231F20"/>
              <w:left w:val="single" w:sz="2" w:space="0" w:color="231F20"/>
              <w:bottom w:val="single" w:sz="2" w:space="0" w:color="231F20"/>
              <w:right w:val="single" w:sz="2" w:space="0" w:color="231F20"/>
            </w:tcBorders>
          </w:tcPr>
          <w:p w14:paraId="66360D3F" w14:textId="77777777" w:rsidR="008E31AB" w:rsidRPr="00353381" w:rsidRDefault="008E31AB" w:rsidP="00D63204">
            <w:pPr>
              <w:widowControl w:val="0"/>
              <w:spacing w:before="121" w:after="0" w:line="240" w:lineRule="auto"/>
              <w:ind w:left="90"/>
              <w:rPr>
                <w:rFonts w:cs="Calibri"/>
              </w:rPr>
            </w:pPr>
            <w:r w:rsidRPr="00353381">
              <w:rPr>
                <w:b/>
                <w:color w:val="231F20"/>
                <w:w w:val="110"/>
              </w:rPr>
              <w:t>Not</w:t>
            </w:r>
            <w:r w:rsidRPr="00353381">
              <w:rPr>
                <w:b/>
                <w:color w:val="231F20"/>
                <w:spacing w:val="-10"/>
                <w:w w:val="110"/>
              </w:rPr>
              <w:t xml:space="preserve"> </w:t>
            </w:r>
            <w:r w:rsidRPr="00353381">
              <w:rPr>
                <w:b/>
                <w:color w:val="231F20"/>
                <w:w w:val="110"/>
              </w:rPr>
              <w:t>Eligible</w:t>
            </w:r>
          </w:p>
        </w:tc>
        <w:tc>
          <w:tcPr>
            <w:tcW w:w="1083" w:type="dxa"/>
            <w:tcBorders>
              <w:top w:val="single" w:sz="2" w:space="0" w:color="231F20"/>
              <w:left w:val="single" w:sz="2" w:space="0" w:color="231F20"/>
              <w:bottom w:val="single" w:sz="2" w:space="0" w:color="231F20"/>
              <w:right w:val="single" w:sz="2" w:space="0" w:color="231F20"/>
            </w:tcBorders>
          </w:tcPr>
          <w:p w14:paraId="42A72080" w14:textId="77777777" w:rsidR="008E31AB" w:rsidRPr="00353381" w:rsidRDefault="008E31AB" w:rsidP="00D63204">
            <w:pPr>
              <w:widowControl w:val="0"/>
              <w:spacing w:before="121" w:after="0" w:line="240" w:lineRule="auto"/>
              <w:ind w:left="90"/>
              <w:rPr>
                <w:rFonts w:cs="Calibri"/>
              </w:rPr>
            </w:pPr>
            <w:r w:rsidRPr="00353381">
              <w:rPr>
                <w:b/>
                <w:color w:val="231F20"/>
                <w:w w:val="110"/>
              </w:rPr>
              <w:t>Eligible</w:t>
            </w:r>
          </w:p>
        </w:tc>
        <w:tc>
          <w:tcPr>
            <w:tcW w:w="1043" w:type="dxa"/>
            <w:tcBorders>
              <w:top w:val="single" w:sz="2" w:space="0" w:color="231F20"/>
              <w:left w:val="single" w:sz="2" w:space="0" w:color="231F20"/>
              <w:bottom w:val="single" w:sz="2" w:space="0" w:color="231F20"/>
              <w:right w:val="single" w:sz="2" w:space="0" w:color="231F20"/>
            </w:tcBorders>
          </w:tcPr>
          <w:p w14:paraId="20969695" w14:textId="77777777" w:rsidR="008E31AB" w:rsidRPr="00353381" w:rsidRDefault="008E31AB" w:rsidP="00D63204">
            <w:pPr>
              <w:widowControl w:val="0"/>
              <w:spacing w:before="121" w:after="0" w:line="240" w:lineRule="auto"/>
              <w:ind w:left="90"/>
              <w:rPr>
                <w:rFonts w:cs="Calibri"/>
              </w:rPr>
            </w:pPr>
            <w:r w:rsidRPr="00353381">
              <w:rPr>
                <w:b/>
                <w:color w:val="231F20"/>
                <w:spacing w:val="-4"/>
                <w:w w:val="110"/>
              </w:rPr>
              <w:t>Total</w:t>
            </w:r>
          </w:p>
        </w:tc>
      </w:tr>
      <w:tr w:rsidR="008E31AB" w:rsidRPr="00353381" w14:paraId="7DC8928C" w14:textId="77777777" w:rsidTr="00117E2F">
        <w:trPr>
          <w:trHeight w:hRule="exact" w:val="360"/>
          <w:jc w:val="center"/>
        </w:trPr>
        <w:tc>
          <w:tcPr>
            <w:tcW w:w="5406" w:type="dxa"/>
            <w:tcBorders>
              <w:top w:val="single" w:sz="2" w:space="0" w:color="231F20"/>
              <w:left w:val="single" w:sz="2" w:space="0" w:color="231F20"/>
              <w:bottom w:val="single" w:sz="2" w:space="0" w:color="231F20"/>
              <w:right w:val="single" w:sz="2" w:space="0" w:color="231F20"/>
            </w:tcBorders>
            <w:shd w:val="clear" w:color="auto" w:fill="E6E7E8"/>
          </w:tcPr>
          <w:p w14:paraId="5B1FEC18" w14:textId="5B089ACD" w:rsidR="008E31AB" w:rsidRPr="00353381" w:rsidRDefault="008E31AB" w:rsidP="00A642B1">
            <w:pPr>
              <w:widowControl w:val="0"/>
              <w:spacing w:before="55" w:after="0" w:line="240" w:lineRule="auto"/>
              <w:ind w:left="90"/>
              <w:rPr>
                <w:rFonts w:cs="Calibri"/>
              </w:rPr>
            </w:pPr>
            <w:r w:rsidRPr="00353381">
              <w:rPr>
                <w:b/>
                <w:color w:val="231F20"/>
                <w:w w:val="110"/>
              </w:rPr>
              <w:t>Rehabilitation Services District Admin-Blind</w:t>
            </w:r>
            <w:r w:rsidRPr="00353381">
              <w:rPr>
                <w:b/>
                <w:color w:val="231F20"/>
                <w:spacing w:val="-17"/>
                <w:w w:val="110"/>
              </w:rPr>
              <w:t xml:space="preserve"> </w:t>
            </w:r>
            <w:r w:rsidRPr="00353381">
              <w:rPr>
                <w:b/>
                <w:color w:val="231F20"/>
                <w:w w:val="110"/>
              </w:rPr>
              <w:t>-</w:t>
            </w:r>
            <w:r w:rsidR="00062A04">
              <w:rPr>
                <w:b/>
                <w:color w:val="231F20"/>
                <w:w w:val="110"/>
              </w:rPr>
              <w:t xml:space="preserve"> </w:t>
            </w:r>
            <w:r w:rsidRPr="00353381">
              <w:rPr>
                <w:b/>
                <w:color w:val="231F20"/>
                <w:w w:val="110"/>
              </w:rPr>
              <w:t>SES</w:t>
            </w:r>
          </w:p>
        </w:tc>
        <w:tc>
          <w:tcPr>
            <w:tcW w:w="1193" w:type="dxa"/>
            <w:tcBorders>
              <w:top w:val="single" w:sz="2" w:space="0" w:color="231F20"/>
              <w:left w:val="single" w:sz="2" w:space="0" w:color="231F20"/>
              <w:bottom w:val="single" w:sz="2" w:space="0" w:color="231F20"/>
              <w:right w:val="single" w:sz="2" w:space="0" w:color="231F20"/>
            </w:tcBorders>
            <w:shd w:val="clear" w:color="auto" w:fill="E6E7E8"/>
          </w:tcPr>
          <w:p w14:paraId="72B13D3E" w14:textId="1A8B4614" w:rsidR="008E31AB" w:rsidRPr="00353381" w:rsidRDefault="008E31AB" w:rsidP="00D63204">
            <w:pPr>
              <w:widowControl w:val="0"/>
              <w:spacing w:before="55" w:after="0" w:line="240" w:lineRule="auto"/>
              <w:ind w:left="90"/>
              <w:rPr>
                <w:rFonts w:cs="Calibri"/>
              </w:rPr>
            </w:pPr>
            <w:r w:rsidRPr="00353381">
              <w:rPr>
                <w:color w:val="231F20"/>
                <w:w w:val="115"/>
              </w:rPr>
              <w:t>1</w:t>
            </w:r>
          </w:p>
        </w:tc>
        <w:tc>
          <w:tcPr>
            <w:tcW w:w="1442" w:type="dxa"/>
            <w:tcBorders>
              <w:top w:val="single" w:sz="2" w:space="0" w:color="231F20"/>
              <w:left w:val="single" w:sz="2" w:space="0" w:color="231F20"/>
              <w:bottom w:val="single" w:sz="2" w:space="0" w:color="231F20"/>
              <w:right w:val="single" w:sz="2" w:space="0" w:color="231F20"/>
            </w:tcBorders>
            <w:shd w:val="clear" w:color="auto" w:fill="E6E7E8"/>
          </w:tcPr>
          <w:p w14:paraId="14875C47" w14:textId="6C0C1E0B" w:rsidR="008E31AB" w:rsidRPr="00353381" w:rsidRDefault="008E31AB" w:rsidP="00D63204">
            <w:pPr>
              <w:widowControl w:val="0"/>
              <w:spacing w:before="55" w:after="0" w:line="240" w:lineRule="auto"/>
              <w:ind w:left="90"/>
              <w:rPr>
                <w:rFonts w:cs="Calibri"/>
              </w:rPr>
            </w:pPr>
            <w:r w:rsidRPr="00353381">
              <w:rPr>
                <w:color w:val="231F20"/>
                <w:w w:val="109"/>
              </w:rPr>
              <w:t>6</w:t>
            </w:r>
          </w:p>
        </w:tc>
        <w:tc>
          <w:tcPr>
            <w:tcW w:w="1083" w:type="dxa"/>
            <w:tcBorders>
              <w:top w:val="single" w:sz="2" w:space="0" w:color="231F20"/>
              <w:left w:val="single" w:sz="2" w:space="0" w:color="231F20"/>
              <w:bottom w:val="single" w:sz="2" w:space="0" w:color="231F20"/>
              <w:right w:val="single" w:sz="2" w:space="0" w:color="231F20"/>
            </w:tcBorders>
            <w:shd w:val="clear" w:color="auto" w:fill="E6E7E8"/>
          </w:tcPr>
          <w:p w14:paraId="27EBC0DF" w14:textId="27E96F5A" w:rsidR="008E31AB" w:rsidRPr="00353381" w:rsidRDefault="008E31AB" w:rsidP="00D63204">
            <w:pPr>
              <w:widowControl w:val="0"/>
              <w:spacing w:before="55" w:after="0" w:line="240" w:lineRule="auto"/>
              <w:ind w:left="90"/>
              <w:rPr>
                <w:rFonts w:cs="Calibri"/>
              </w:rPr>
            </w:pPr>
            <w:r w:rsidRPr="00353381">
              <w:rPr>
                <w:color w:val="231F20"/>
                <w:w w:val="115"/>
              </w:rPr>
              <w:t>3</w:t>
            </w:r>
          </w:p>
        </w:tc>
        <w:tc>
          <w:tcPr>
            <w:tcW w:w="1043" w:type="dxa"/>
            <w:tcBorders>
              <w:top w:val="single" w:sz="2" w:space="0" w:color="231F20"/>
              <w:left w:val="single" w:sz="2" w:space="0" w:color="231F20"/>
              <w:bottom w:val="single" w:sz="2" w:space="0" w:color="231F20"/>
              <w:right w:val="single" w:sz="2" w:space="0" w:color="231F20"/>
            </w:tcBorders>
            <w:shd w:val="clear" w:color="auto" w:fill="E6E7E8"/>
          </w:tcPr>
          <w:p w14:paraId="1A5303E1" w14:textId="4161A424" w:rsidR="008E31AB" w:rsidRPr="00353381" w:rsidRDefault="008E31AB" w:rsidP="00D63204">
            <w:pPr>
              <w:widowControl w:val="0"/>
              <w:spacing w:before="55" w:after="0" w:line="240" w:lineRule="auto"/>
              <w:ind w:left="90"/>
              <w:rPr>
                <w:rFonts w:cs="Calibri"/>
              </w:rPr>
            </w:pPr>
            <w:r w:rsidRPr="00353381">
              <w:rPr>
                <w:color w:val="231F20"/>
                <w:w w:val="101"/>
              </w:rPr>
              <w:t>10</w:t>
            </w:r>
          </w:p>
        </w:tc>
      </w:tr>
      <w:tr w:rsidR="008E31AB" w:rsidRPr="00353381" w14:paraId="2873114A" w14:textId="77777777" w:rsidTr="00117E2F">
        <w:trPr>
          <w:trHeight w:hRule="exact" w:val="360"/>
          <w:jc w:val="center"/>
        </w:trPr>
        <w:tc>
          <w:tcPr>
            <w:tcW w:w="5406" w:type="dxa"/>
            <w:tcBorders>
              <w:top w:val="single" w:sz="2" w:space="0" w:color="231F20"/>
              <w:left w:val="single" w:sz="2" w:space="0" w:color="231F20"/>
              <w:bottom w:val="single" w:sz="2" w:space="0" w:color="231F20"/>
              <w:right w:val="single" w:sz="2" w:space="0" w:color="231F20"/>
            </w:tcBorders>
          </w:tcPr>
          <w:p w14:paraId="12AAED76" w14:textId="77777777" w:rsidR="008E31AB" w:rsidRPr="00353381" w:rsidRDefault="008E31AB" w:rsidP="00A642B1">
            <w:pPr>
              <w:widowControl w:val="0"/>
              <w:spacing w:before="55" w:after="0" w:line="240" w:lineRule="auto"/>
              <w:ind w:left="90"/>
              <w:rPr>
                <w:rFonts w:cs="Calibri"/>
              </w:rPr>
            </w:pPr>
            <w:r w:rsidRPr="00353381">
              <w:rPr>
                <w:b/>
                <w:color w:val="231F20"/>
                <w:w w:val="110"/>
              </w:rPr>
              <w:t>Rehabilitation Supervisor-Blind -</w:t>
            </w:r>
            <w:r w:rsidRPr="00353381">
              <w:rPr>
                <w:b/>
                <w:color w:val="231F20"/>
                <w:spacing w:val="-17"/>
                <w:w w:val="110"/>
              </w:rPr>
              <w:t xml:space="preserve"> </w:t>
            </w:r>
            <w:r w:rsidRPr="00353381">
              <w:rPr>
                <w:b/>
                <w:color w:val="231F20"/>
                <w:w w:val="110"/>
              </w:rPr>
              <w:t>SES</w:t>
            </w:r>
          </w:p>
        </w:tc>
        <w:tc>
          <w:tcPr>
            <w:tcW w:w="1193" w:type="dxa"/>
            <w:tcBorders>
              <w:top w:val="single" w:sz="2" w:space="0" w:color="231F20"/>
              <w:left w:val="single" w:sz="2" w:space="0" w:color="231F20"/>
              <w:bottom w:val="single" w:sz="2" w:space="0" w:color="231F20"/>
              <w:right w:val="single" w:sz="2" w:space="0" w:color="231F20"/>
            </w:tcBorders>
          </w:tcPr>
          <w:p w14:paraId="42649139" w14:textId="77777777" w:rsidR="008E31AB" w:rsidRPr="00353381" w:rsidRDefault="008E31AB" w:rsidP="00D63204">
            <w:pPr>
              <w:widowControl w:val="0"/>
              <w:spacing w:before="55" w:after="0" w:line="240" w:lineRule="auto"/>
              <w:ind w:left="90"/>
              <w:rPr>
                <w:rFonts w:cs="Calibri"/>
              </w:rPr>
            </w:pPr>
            <w:r w:rsidRPr="00353381">
              <w:rPr>
                <w:color w:val="231F20"/>
                <w:w w:val="115"/>
              </w:rPr>
              <w:t>2</w:t>
            </w:r>
          </w:p>
        </w:tc>
        <w:tc>
          <w:tcPr>
            <w:tcW w:w="1442" w:type="dxa"/>
            <w:tcBorders>
              <w:top w:val="single" w:sz="2" w:space="0" w:color="231F20"/>
              <w:left w:val="single" w:sz="2" w:space="0" w:color="231F20"/>
              <w:bottom w:val="single" w:sz="2" w:space="0" w:color="231F20"/>
              <w:right w:val="single" w:sz="2" w:space="0" w:color="231F20"/>
            </w:tcBorders>
          </w:tcPr>
          <w:p w14:paraId="27240AE1" w14:textId="59E2C7C0" w:rsidR="008E31AB" w:rsidRPr="00353381" w:rsidRDefault="008E31AB" w:rsidP="00D63204">
            <w:pPr>
              <w:widowControl w:val="0"/>
              <w:spacing w:before="55" w:after="0" w:line="240" w:lineRule="auto"/>
              <w:ind w:left="90"/>
              <w:rPr>
                <w:rFonts w:cs="Calibri"/>
              </w:rPr>
            </w:pPr>
            <w:r w:rsidRPr="00353381">
              <w:rPr>
                <w:color w:val="231F20"/>
                <w:w w:val="109"/>
              </w:rPr>
              <w:t>8</w:t>
            </w:r>
          </w:p>
        </w:tc>
        <w:tc>
          <w:tcPr>
            <w:tcW w:w="1083" w:type="dxa"/>
            <w:tcBorders>
              <w:top w:val="single" w:sz="2" w:space="0" w:color="231F20"/>
              <w:left w:val="single" w:sz="2" w:space="0" w:color="231F20"/>
              <w:bottom w:val="single" w:sz="2" w:space="0" w:color="231F20"/>
              <w:right w:val="single" w:sz="2" w:space="0" w:color="231F20"/>
            </w:tcBorders>
          </w:tcPr>
          <w:p w14:paraId="2CC2250B" w14:textId="6C16064F" w:rsidR="008E31AB" w:rsidRPr="00353381" w:rsidRDefault="008E31AB" w:rsidP="00D63204">
            <w:pPr>
              <w:widowControl w:val="0"/>
              <w:spacing w:before="55" w:after="0" w:line="240" w:lineRule="auto"/>
              <w:ind w:left="90"/>
              <w:rPr>
                <w:rFonts w:cs="Calibri"/>
              </w:rPr>
            </w:pPr>
            <w:r w:rsidRPr="00353381">
              <w:rPr>
                <w:color w:val="231F20"/>
                <w:w w:val="109"/>
              </w:rPr>
              <w:t>3</w:t>
            </w:r>
          </w:p>
        </w:tc>
        <w:tc>
          <w:tcPr>
            <w:tcW w:w="1043" w:type="dxa"/>
            <w:tcBorders>
              <w:top w:val="single" w:sz="2" w:space="0" w:color="231F20"/>
              <w:left w:val="single" w:sz="2" w:space="0" w:color="231F20"/>
              <w:bottom w:val="single" w:sz="2" w:space="0" w:color="231F20"/>
              <w:right w:val="single" w:sz="2" w:space="0" w:color="231F20"/>
            </w:tcBorders>
          </w:tcPr>
          <w:p w14:paraId="2F13DF87" w14:textId="23FD04AE" w:rsidR="008E31AB" w:rsidRPr="00353381" w:rsidRDefault="008E31AB" w:rsidP="00D63204">
            <w:pPr>
              <w:widowControl w:val="0"/>
              <w:spacing w:before="55" w:after="0" w:line="240" w:lineRule="auto"/>
              <w:ind w:left="90"/>
              <w:rPr>
                <w:rFonts w:cs="Calibri"/>
              </w:rPr>
            </w:pPr>
            <w:r w:rsidRPr="00353381">
              <w:rPr>
                <w:color w:val="231F20"/>
                <w:w w:val="114"/>
              </w:rPr>
              <w:t>13</w:t>
            </w:r>
          </w:p>
        </w:tc>
      </w:tr>
      <w:tr w:rsidR="008E31AB" w:rsidRPr="00353381" w14:paraId="53BFEFB9" w14:textId="77777777" w:rsidTr="00117E2F">
        <w:trPr>
          <w:trHeight w:hRule="exact" w:val="360"/>
          <w:jc w:val="center"/>
        </w:trPr>
        <w:tc>
          <w:tcPr>
            <w:tcW w:w="5406" w:type="dxa"/>
            <w:tcBorders>
              <w:top w:val="single" w:sz="2" w:space="0" w:color="231F20"/>
              <w:left w:val="single" w:sz="2" w:space="0" w:color="231F20"/>
              <w:bottom w:val="single" w:sz="2" w:space="0" w:color="231F20"/>
              <w:right w:val="single" w:sz="2" w:space="0" w:color="231F20"/>
            </w:tcBorders>
            <w:shd w:val="clear" w:color="auto" w:fill="E6E7E8"/>
          </w:tcPr>
          <w:p w14:paraId="616B1627" w14:textId="2DE9C0D0" w:rsidR="008E31AB" w:rsidRPr="00353381" w:rsidRDefault="008E31AB" w:rsidP="00A642B1">
            <w:pPr>
              <w:widowControl w:val="0"/>
              <w:spacing w:before="55" w:after="0" w:line="240" w:lineRule="auto"/>
              <w:ind w:left="90"/>
              <w:rPr>
                <w:rFonts w:cs="Calibri"/>
              </w:rPr>
            </w:pPr>
            <w:r w:rsidRPr="00353381">
              <w:rPr>
                <w:b/>
                <w:color w:val="231F20"/>
                <w:w w:val="110"/>
              </w:rPr>
              <w:t>Senior Rehabilitation</w:t>
            </w:r>
            <w:r w:rsidRPr="00353381">
              <w:rPr>
                <w:b/>
                <w:color w:val="231F20"/>
                <w:spacing w:val="-43"/>
                <w:w w:val="110"/>
              </w:rPr>
              <w:t xml:space="preserve"> </w:t>
            </w:r>
            <w:r w:rsidRPr="00353381">
              <w:rPr>
                <w:b/>
                <w:color w:val="231F20"/>
                <w:w w:val="110"/>
              </w:rPr>
              <w:t>Specialist</w:t>
            </w:r>
            <w:r w:rsidR="00062A04">
              <w:rPr>
                <w:b/>
                <w:color w:val="231F20"/>
                <w:w w:val="110"/>
              </w:rPr>
              <w:t xml:space="preserve"> </w:t>
            </w:r>
            <w:r w:rsidRPr="00353381">
              <w:rPr>
                <w:b/>
                <w:color w:val="231F20"/>
                <w:w w:val="110"/>
              </w:rPr>
              <w:t>-</w:t>
            </w:r>
            <w:r w:rsidR="00062A04">
              <w:rPr>
                <w:b/>
                <w:color w:val="231F20"/>
                <w:w w:val="110"/>
              </w:rPr>
              <w:t xml:space="preserve"> </w:t>
            </w:r>
            <w:r w:rsidRPr="00353381">
              <w:rPr>
                <w:b/>
                <w:color w:val="231F20"/>
                <w:w w:val="110"/>
              </w:rPr>
              <w:t>Blind</w:t>
            </w:r>
          </w:p>
        </w:tc>
        <w:tc>
          <w:tcPr>
            <w:tcW w:w="1193" w:type="dxa"/>
            <w:tcBorders>
              <w:top w:val="single" w:sz="2" w:space="0" w:color="231F20"/>
              <w:left w:val="single" w:sz="2" w:space="0" w:color="231F20"/>
              <w:bottom w:val="single" w:sz="2" w:space="0" w:color="231F20"/>
              <w:right w:val="single" w:sz="2" w:space="0" w:color="231F20"/>
            </w:tcBorders>
            <w:shd w:val="clear" w:color="auto" w:fill="E6E7E8"/>
          </w:tcPr>
          <w:p w14:paraId="643DC0F0" w14:textId="77777777" w:rsidR="008E31AB" w:rsidRPr="00353381" w:rsidRDefault="008E31AB" w:rsidP="00D63204">
            <w:pPr>
              <w:widowControl w:val="0"/>
              <w:spacing w:before="55" w:after="0" w:line="240" w:lineRule="auto"/>
              <w:ind w:left="90"/>
              <w:rPr>
                <w:rFonts w:cs="Calibri"/>
              </w:rPr>
            </w:pPr>
            <w:r w:rsidRPr="00353381">
              <w:rPr>
                <w:color w:val="231F20"/>
                <w:w w:val="116"/>
              </w:rPr>
              <w:t>9</w:t>
            </w:r>
          </w:p>
        </w:tc>
        <w:tc>
          <w:tcPr>
            <w:tcW w:w="1442" w:type="dxa"/>
            <w:tcBorders>
              <w:top w:val="single" w:sz="2" w:space="0" w:color="231F20"/>
              <w:left w:val="single" w:sz="2" w:space="0" w:color="231F20"/>
              <w:bottom w:val="single" w:sz="2" w:space="0" w:color="231F20"/>
              <w:right w:val="single" w:sz="2" w:space="0" w:color="231F20"/>
            </w:tcBorders>
            <w:shd w:val="clear" w:color="auto" w:fill="E6E7E8"/>
          </w:tcPr>
          <w:p w14:paraId="301FB12C" w14:textId="3CA943FA" w:rsidR="008E31AB" w:rsidRPr="00353381" w:rsidRDefault="008E31AB" w:rsidP="00D63204">
            <w:pPr>
              <w:widowControl w:val="0"/>
              <w:spacing w:before="55" w:after="0" w:line="240" w:lineRule="auto"/>
              <w:ind w:left="90"/>
              <w:rPr>
                <w:rFonts w:cs="Calibri"/>
              </w:rPr>
            </w:pPr>
            <w:r w:rsidRPr="00353381">
              <w:rPr>
                <w:color w:val="231F20"/>
                <w:w w:val="115"/>
              </w:rPr>
              <w:t>35</w:t>
            </w:r>
          </w:p>
        </w:tc>
        <w:tc>
          <w:tcPr>
            <w:tcW w:w="1083" w:type="dxa"/>
            <w:tcBorders>
              <w:top w:val="single" w:sz="2" w:space="0" w:color="231F20"/>
              <w:left w:val="single" w:sz="2" w:space="0" w:color="231F20"/>
              <w:bottom w:val="single" w:sz="2" w:space="0" w:color="231F20"/>
              <w:right w:val="single" w:sz="2" w:space="0" w:color="231F20"/>
            </w:tcBorders>
            <w:shd w:val="clear" w:color="auto" w:fill="E6E7E8"/>
          </w:tcPr>
          <w:p w14:paraId="4ADCB3BC" w14:textId="44A1B393" w:rsidR="008E31AB" w:rsidRPr="00353381" w:rsidRDefault="008E31AB" w:rsidP="00D63204">
            <w:pPr>
              <w:widowControl w:val="0"/>
              <w:spacing w:before="55" w:after="0" w:line="240" w:lineRule="auto"/>
              <w:ind w:left="90"/>
              <w:rPr>
                <w:rFonts w:cs="Calibri"/>
              </w:rPr>
            </w:pPr>
            <w:r w:rsidRPr="00353381">
              <w:rPr>
                <w:color w:val="231F20"/>
                <w:w w:val="114"/>
              </w:rPr>
              <w:t>9</w:t>
            </w:r>
          </w:p>
        </w:tc>
        <w:tc>
          <w:tcPr>
            <w:tcW w:w="1043" w:type="dxa"/>
            <w:tcBorders>
              <w:top w:val="single" w:sz="2" w:space="0" w:color="231F20"/>
              <w:left w:val="single" w:sz="2" w:space="0" w:color="231F20"/>
              <w:bottom w:val="single" w:sz="2" w:space="0" w:color="231F20"/>
              <w:right w:val="single" w:sz="2" w:space="0" w:color="231F20"/>
            </w:tcBorders>
            <w:shd w:val="clear" w:color="auto" w:fill="E6E7E8"/>
          </w:tcPr>
          <w:p w14:paraId="0FE80978" w14:textId="0A72DB82" w:rsidR="008E31AB" w:rsidRPr="00353381" w:rsidRDefault="008E31AB" w:rsidP="00D63204">
            <w:pPr>
              <w:widowControl w:val="0"/>
              <w:spacing w:before="55" w:after="0" w:line="240" w:lineRule="auto"/>
              <w:ind w:left="90"/>
              <w:rPr>
                <w:rFonts w:cs="Calibri"/>
              </w:rPr>
            </w:pPr>
            <w:r w:rsidRPr="00353381">
              <w:rPr>
                <w:color w:val="231F20"/>
                <w:w w:val="115"/>
              </w:rPr>
              <w:t>533</w:t>
            </w:r>
          </w:p>
        </w:tc>
      </w:tr>
      <w:tr w:rsidR="008E31AB" w:rsidRPr="00353381" w14:paraId="1286F50C" w14:textId="77777777" w:rsidTr="00117E2F">
        <w:trPr>
          <w:trHeight w:hRule="exact" w:val="360"/>
          <w:jc w:val="center"/>
        </w:trPr>
        <w:tc>
          <w:tcPr>
            <w:tcW w:w="5406" w:type="dxa"/>
            <w:tcBorders>
              <w:top w:val="single" w:sz="2" w:space="0" w:color="231F20"/>
              <w:left w:val="single" w:sz="2" w:space="0" w:color="231F20"/>
              <w:bottom w:val="single" w:sz="2" w:space="0" w:color="231F20"/>
              <w:right w:val="single" w:sz="2" w:space="0" w:color="231F20"/>
            </w:tcBorders>
          </w:tcPr>
          <w:p w14:paraId="055C6FB7" w14:textId="77777777" w:rsidR="008E31AB" w:rsidRPr="00353381" w:rsidRDefault="008E31AB" w:rsidP="00A642B1">
            <w:pPr>
              <w:widowControl w:val="0"/>
              <w:spacing w:before="55" w:after="0" w:line="240" w:lineRule="auto"/>
              <w:ind w:left="90"/>
              <w:rPr>
                <w:rFonts w:cs="Calibri"/>
              </w:rPr>
            </w:pPr>
            <w:r w:rsidRPr="00353381">
              <w:rPr>
                <w:b/>
                <w:color w:val="231F20"/>
                <w:spacing w:val="-4"/>
                <w:w w:val="105"/>
              </w:rPr>
              <w:t>Total</w:t>
            </w:r>
          </w:p>
        </w:tc>
        <w:tc>
          <w:tcPr>
            <w:tcW w:w="1193" w:type="dxa"/>
            <w:tcBorders>
              <w:top w:val="single" w:sz="2" w:space="0" w:color="231F20"/>
              <w:left w:val="single" w:sz="2" w:space="0" w:color="231F20"/>
              <w:bottom w:val="single" w:sz="2" w:space="0" w:color="231F20"/>
              <w:right w:val="single" w:sz="2" w:space="0" w:color="231F20"/>
            </w:tcBorders>
          </w:tcPr>
          <w:p w14:paraId="46367B59" w14:textId="735BBA2E" w:rsidR="008E31AB" w:rsidRPr="00353381" w:rsidRDefault="008E31AB" w:rsidP="00D63204">
            <w:pPr>
              <w:widowControl w:val="0"/>
              <w:spacing w:before="55" w:after="0" w:line="240" w:lineRule="auto"/>
              <w:ind w:left="90"/>
              <w:rPr>
                <w:rFonts w:cs="Calibri"/>
              </w:rPr>
            </w:pPr>
            <w:r w:rsidRPr="00353381">
              <w:rPr>
                <w:color w:val="231F20"/>
                <w:w w:val="85"/>
              </w:rPr>
              <w:t>12</w:t>
            </w:r>
          </w:p>
        </w:tc>
        <w:tc>
          <w:tcPr>
            <w:tcW w:w="1442" w:type="dxa"/>
            <w:tcBorders>
              <w:top w:val="single" w:sz="2" w:space="0" w:color="231F20"/>
              <w:left w:val="single" w:sz="2" w:space="0" w:color="231F20"/>
              <w:bottom w:val="single" w:sz="2" w:space="0" w:color="231F20"/>
              <w:right w:val="single" w:sz="2" w:space="0" w:color="231F20"/>
            </w:tcBorders>
          </w:tcPr>
          <w:p w14:paraId="3326E431" w14:textId="21025A25" w:rsidR="008E31AB" w:rsidRPr="00353381" w:rsidRDefault="008E31AB" w:rsidP="00D63204">
            <w:pPr>
              <w:widowControl w:val="0"/>
              <w:spacing w:before="55" w:after="0" w:line="240" w:lineRule="auto"/>
              <w:ind w:left="90"/>
              <w:rPr>
                <w:rFonts w:cs="Calibri"/>
              </w:rPr>
            </w:pPr>
            <w:r w:rsidRPr="00353381">
              <w:rPr>
                <w:color w:val="231F20"/>
                <w:w w:val="110"/>
              </w:rPr>
              <w:t>49</w:t>
            </w:r>
          </w:p>
        </w:tc>
        <w:tc>
          <w:tcPr>
            <w:tcW w:w="1083" w:type="dxa"/>
            <w:tcBorders>
              <w:top w:val="single" w:sz="2" w:space="0" w:color="231F20"/>
              <w:left w:val="single" w:sz="2" w:space="0" w:color="231F20"/>
              <w:bottom w:val="single" w:sz="2" w:space="0" w:color="231F20"/>
              <w:right w:val="single" w:sz="2" w:space="0" w:color="231F20"/>
            </w:tcBorders>
          </w:tcPr>
          <w:p w14:paraId="760D03FD" w14:textId="7248F26A" w:rsidR="008E31AB" w:rsidRPr="00353381" w:rsidRDefault="008E31AB" w:rsidP="00D63204">
            <w:pPr>
              <w:widowControl w:val="0"/>
              <w:spacing w:before="55" w:after="0" w:line="240" w:lineRule="auto"/>
              <w:ind w:left="90"/>
              <w:rPr>
                <w:rFonts w:cs="Calibri"/>
              </w:rPr>
            </w:pPr>
            <w:r w:rsidRPr="00353381">
              <w:rPr>
                <w:color w:val="231F20"/>
                <w:w w:val="85"/>
              </w:rPr>
              <w:t>15</w:t>
            </w:r>
          </w:p>
        </w:tc>
        <w:tc>
          <w:tcPr>
            <w:tcW w:w="1043" w:type="dxa"/>
            <w:tcBorders>
              <w:top w:val="single" w:sz="2" w:space="0" w:color="231F20"/>
              <w:left w:val="single" w:sz="2" w:space="0" w:color="231F20"/>
              <w:bottom w:val="single" w:sz="2" w:space="0" w:color="231F20"/>
              <w:right w:val="single" w:sz="2" w:space="0" w:color="231F20"/>
            </w:tcBorders>
          </w:tcPr>
          <w:p w14:paraId="6C5EF918" w14:textId="7388B674" w:rsidR="008E31AB" w:rsidRPr="00353381" w:rsidRDefault="008E31AB" w:rsidP="00D63204">
            <w:pPr>
              <w:widowControl w:val="0"/>
              <w:spacing w:before="55" w:after="0" w:line="240" w:lineRule="auto"/>
              <w:ind w:left="90"/>
              <w:rPr>
                <w:rFonts w:cs="Calibri"/>
              </w:rPr>
            </w:pPr>
            <w:r w:rsidRPr="00353381">
              <w:rPr>
                <w:color w:val="231F20"/>
              </w:rPr>
              <w:t>76</w:t>
            </w:r>
          </w:p>
        </w:tc>
      </w:tr>
    </w:tbl>
    <w:p w14:paraId="5E73936A" w14:textId="77777777" w:rsidR="008E31AB" w:rsidRPr="00353381" w:rsidRDefault="008E31AB" w:rsidP="00D63204">
      <w:pPr>
        <w:spacing w:after="0" w:line="240" w:lineRule="auto"/>
        <w:ind w:left="90"/>
        <w:rPr>
          <w:b/>
        </w:rPr>
      </w:pPr>
    </w:p>
    <w:p w14:paraId="12EB4358" w14:textId="77777777" w:rsidR="008E31AB" w:rsidRPr="00353381" w:rsidRDefault="008E31AB" w:rsidP="00D63204">
      <w:pPr>
        <w:spacing w:line="240" w:lineRule="auto"/>
        <w:ind w:left="90"/>
      </w:pPr>
      <w:r w:rsidRPr="00353381">
        <w:t>FDBS encourages personnel to obtain certification from the Commission on Rehabilitation Counselor Certification. Currently, FDBS has 22 personnel who earned the CRC designation as of SFY 2014-2015.</w:t>
      </w:r>
    </w:p>
    <w:p w14:paraId="668347C8" w14:textId="34F5813A" w:rsidR="008E31AB" w:rsidRPr="00353381" w:rsidRDefault="008E31AB" w:rsidP="00D63204">
      <w:pPr>
        <w:spacing w:line="240" w:lineRule="auto"/>
        <w:ind w:left="90"/>
      </w:pPr>
      <w:r w:rsidRPr="00353381">
        <w:t xml:space="preserve">FDBS will provide training for ongoing CEUs, using the vocational rehabilitation basic support grant funding. FDBS’s reimbursement policy for certification is addressed in the Division Policy 12.12, Comprehensive System of Personnel Development as required by federal regulations. </w:t>
      </w:r>
    </w:p>
    <w:p w14:paraId="451D8B73" w14:textId="77777777" w:rsidR="00EA3CBE" w:rsidRDefault="00EA3CBE" w:rsidP="00D63204">
      <w:pPr>
        <w:widowControl w:val="0"/>
        <w:spacing w:before="197" w:after="0" w:line="240" w:lineRule="auto"/>
        <w:ind w:left="90"/>
        <w:outlineLvl w:val="2"/>
        <w:rPr>
          <w:b/>
          <w:bCs/>
          <w:color w:val="231F20"/>
          <w:w w:val="110"/>
        </w:rPr>
      </w:pPr>
      <w:r>
        <w:rPr>
          <w:b/>
          <w:bCs/>
          <w:color w:val="231F20"/>
          <w:w w:val="110"/>
        </w:rPr>
        <w:br/>
      </w:r>
      <w:r w:rsidR="00EA7458" w:rsidRPr="00353381">
        <w:rPr>
          <w:b/>
          <w:bCs/>
          <w:color w:val="231F20"/>
          <w:w w:val="110"/>
        </w:rPr>
        <w:t>Staff</w:t>
      </w:r>
      <w:r w:rsidR="00EA7458" w:rsidRPr="00353381">
        <w:rPr>
          <w:b/>
          <w:bCs/>
          <w:color w:val="231F20"/>
          <w:spacing w:val="-32"/>
          <w:w w:val="110"/>
        </w:rPr>
        <w:t xml:space="preserve"> </w:t>
      </w:r>
      <w:r w:rsidR="00EA7458" w:rsidRPr="00353381">
        <w:rPr>
          <w:b/>
          <w:bCs/>
          <w:color w:val="231F20"/>
          <w:w w:val="110"/>
        </w:rPr>
        <w:t>Development</w:t>
      </w:r>
    </w:p>
    <w:p w14:paraId="5F68F6AD" w14:textId="0C806603" w:rsidR="00B93430" w:rsidRPr="00353381" w:rsidRDefault="00EA3CBE" w:rsidP="00D63204">
      <w:pPr>
        <w:widowControl w:val="0"/>
        <w:spacing w:after="0" w:line="240" w:lineRule="auto"/>
        <w:ind w:left="90"/>
        <w:outlineLvl w:val="2"/>
      </w:pPr>
      <w:r>
        <w:t>F</w:t>
      </w:r>
      <w:r w:rsidR="00B93430" w:rsidRPr="00353381">
        <w:t xml:space="preserve">DBS monitors personnel development needs on an annual basis. Training is provided through the VR basic support grant. FDBS based its core training programs on the areas emphasized in the federal regulations: rehabilitation technology, career guidance and counseling, job development, placement and assessment. Additional training will be provided to ensure that staff have a 21st century understanding of the evolving labor force. FDBS collaborates with CareerSource </w:t>
      </w:r>
      <w:r w:rsidR="00AB5D38">
        <w:t>Florida</w:t>
      </w:r>
      <w:r w:rsidR="00B12609">
        <w:t xml:space="preserve"> </w:t>
      </w:r>
      <w:r w:rsidR="00B93430" w:rsidRPr="00353381">
        <w:t xml:space="preserve">Centers and shares information about its services and the referral process with the Disability Navigators at </w:t>
      </w:r>
      <w:r w:rsidR="00BD44EC">
        <w:t>the</w:t>
      </w:r>
      <w:r w:rsidR="00AB5D38" w:rsidRPr="001A5EAC">
        <w:t xml:space="preserve"> </w:t>
      </w:r>
      <w:r w:rsidR="001A5EAC" w:rsidRPr="001A5EAC">
        <w:t>c</w:t>
      </w:r>
      <w:r w:rsidR="00AB5D38" w:rsidRPr="001A5EAC">
        <w:t>areer</w:t>
      </w:r>
      <w:r w:rsidR="00B93430" w:rsidRPr="001A5EAC">
        <w:t xml:space="preserve"> </w:t>
      </w:r>
      <w:r w:rsidR="001A5EAC" w:rsidRPr="001A5EAC">
        <w:t>c</w:t>
      </w:r>
      <w:r w:rsidR="00B93430" w:rsidRPr="001A5EAC">
        <w:t>enters</w:t>
      </w:r>
      <w:r w:rsidR="00B93430" w:rsidRPr="00353381">
        <w:t xml:space="preserve">. FDBS will seek opportunities to coordinate training </w:t>
      </w:r>
      <w:r w:rsidR="00166BBA">
        <w:t xml:space="preserve">with </w:t>
      </w:r>
      <w:r w:rsidR="00B93430" w:rsidRPr="00353381">
        <w:t>FAAST. FDBS coordinates training with FAAST by referring FDBS clients to FAAST for assistive technology. FAAST demonstrates, trains</w:t>
      </w:r>
      <w:r w:rsidR="00D5537E">
        <w:t xml:space="preserve"> and</w:t>
      </w:r>
      <w:r w:rsidR="00B93430" w:rsidRPr="00353381">
        <w:t xml:space="preserve"> temporarily loans equipment for clients to test. FAAST provides training to FDBS staff regarding their services to increase referrals.</w:t>
      </w:r>
    </w:p>
    <w:p w14:paraId="58CC23C9" w14:textId="1BD642B8" w:rsidR="00B93430" w:rsidRPr="00353381" w:rsidRDefault="00B93430" w:rsidP="00D63204">
      <w:pPr>
        <w:spacing w:line="240" w:lineRule="auto"/>
        <w:ind w:left="90"/>
      </w:pPr>
      <w:r w:rsidRPr="00353381">
        <w:t>The training needs assessment is an ongoing process consisting of ensuring compliance of federal and state mandates and examining individual personnel training requirements related to current job performance, future job requirements</w:t>
      </w:r>
      <w:r w:rsidR="00D5537E">
        <w:t xml:space="preserve"> and</w:t>
      </w:r>
      <w:r w:rsidRPr="00353381">
        <w:t xml:space="preserve"> promotional or career advancement needs.</w:t>
      </w:r>
    </w:p>
    <w:p w14:paraId="299CF0A4" w14:textId="77777777" w:rsidR="00B648DD" w:rsidRDefault="00B93430" w:rsidP="00D63204">
      <w:pPr>
        <w:spacing w:line="240" w:lineRule="auto"/>
        <w:ind w:left="90"/>
      </w:pPr>
      <w:r w:rsidRPr="00353381">
        <w:t>Based on analysis of training needs compiled from performance reviews, the FDBS Strategic Plan, consumer comments, training evaluations and surveys, training is pr</w:t>
      </w:r>
      <w:r w:rsidR="00B648DD">
        <w:t xml:space="preserve">ovided in the following areas: </w:t>
      </w:r>
    </w:p>
    <w:p w14:paraId="3669281A" w14:textId="2A886C1F" w:rsidR="00B648DD" w:rsidRDefault="00B93430" w:rsidP="00D63204">
      <w:pPr>
        <w:pStyle w:val="ListParagraph"/>
        <w:numPr>
          <w:ilvl w:val="0"/>
          <w:numId w:val="63"/>
        </w:numPr>
        <w:spacing w:line="240" w:lineRule="auto"/>
      </w:pPr>
      <w:r w:rsidRPr="00353381">
        <w:t xml:space="preserve">Expanding staff knowledge of serving individuals with dual disabilities (where individuals have a primary disability of blindness and a dual disability unrelated to vision); </w:t>
      </w:r>
    </w:p>
    <w:p w14:paraId="4EA8A2F9" w14:textId="77777777" w:rsidR="00B648DD" w:rsidRDefault="00B648DD" w:rsidP="00D63204">
      <w:pPr>
        <w:pStyle w:val="ListParagraph"/>
        <w:spacing w:line="240" w:lineRule="auto"/>
        <w:ind w:left="810"/>
      </w:pPr>
    </w:p>
    <w:p w14:paraId="31B75966" w14:textId="4242AA67" w:rsidR="00B648DD" w:rsidRDefault="00B93430" w:rsidP="00D63204">
      <w:pPr>
        <w:pStyle w:val="ListParagraph"/>
        <w:numPr>
          <w:ilvl w:val="0"/>
          <w:numId w:val="63"/>
        </w:numPr>
        <w:spacing w:line="240" w:lineRule="auto"/>
      </w:pPr>
      <w:r w:rsidRPr="00353381">
        <w:t>Overcoming employment barriers for visually impaired consumers with a criminal history; and</w:t>
      </w:r>
    </w:p>
    <w:p w14:paraId="129014A0" w14:textId="77777777" w:rsidR="00B648DD" w:rsidRDefault="00B648DD" w:rsidP="00D63204">
      <w:pPr>
        <w:pStyle w:val="ListParagraph"/>
        <w:spacing w:line="240" w:lineRule="auto"/>
        <w:ind w:left="810"/>
      </w:pPr>
    </w:p>
    <w:p w14:paraId="3E471095" w14:textId="77777777" w:rsidR="00B648DD" w:rsidRDefault="00B93430" w:rsidP="00D63204">
      <w:pPr>
        <w:pStyle w:val="ListParagraph"/>
        <w:numPr>
          <w:ilvl w:val="0"/>
          <w:numId w:val="63"/>
        </w:numPr>
        <w:spacing w:line="240" w:lineRule="auto"/>
      </w:pPr>
      <w:r w:rsidRPr="00353381">
        <w:t xml:space="preserve">Providing rehabilitation counseling for individuals with visual impairment and substance abuse issues and/or psychiatric disorders. </w:t>
      </w:r>
    </w:p>
    <w:p w14:paraId="56B7E123" w14:textId="4427F6CB" w:rsidR="00E70F55" w:rsidRDefault="00B648DD" w:rsidP="00DB737C">
      <w:pPr>
        <w:spacing w:line="240" w:lineRule="auto"/>
        <w:ind w:left="90"/>
      </w:pPr>
      <w:r>
        <w:t>I</w:t>
      </w:r>
      <w:r w:rsidR="00B93430" w:rsidRPr="00353381">
        <w:t>t has been determined that counselors benefit from training in supported employment, identifying appropriate candidates</w:t>
      </w:r>
      <w:r w:rsidR="00D5537E">
        <w:t xml:space="preserve"> and</w:t>
      </w:r>
      <w:r w:rsidR="00B93430" w:rsidRPr="00353381">
        <w:t xml:space="preserve"> working through the rehabilitation process with these individuals</w:t>
      </w:r>
      <w:r w:rsidR="00D5537E">
        <w:t xml:space="preserve"> and</w:t>
      </w:r>
      <w:r w:rsidR="00B93430" w:rsidRPr="00353381">
        <w:t xml:space="preserve"> recording accurate information for federal reports. All counselors are provided annual training in career counseling and assessment.</w:t>
      </w:r>
    </w:p>
    <w:p w14:paraId="38200911" w14:textId="68CC5FA5" w:rsidR="00B93430" w:rsidRPr="00353381" w:rsidRDefault="00B93430" w:rsidP="00D63204">
      <w:pPr>
        <w:spacing w:line="240" w:lineRule="auto"/>
        <w:ind w:left="90"/>
      </w:pPr>
      <w:r w:rsidRPr="00353381">
        <w:lastRenderedPageBreak/>
        <w:t>Given that job placement and development are pivotal elements to client success, FDBS mandates all vocational rehabilitation counselors, vocational rehabilitation supervisors</w:t>
      </w:r>
      <w:r w:rsidR="00D5537E">
        <w:t xml:space="preserve"> and</w:t>
      </w:r>
      <w:r w:rsidRPr="00353381">
        <w:t xml:space="preserve"> vocational rehabilitation specialists to participate in three levels of training</w:t>
      </w:r>
      <w:r w:rsidR="005E7C49">
        <w:t xml:space="preserve">. </w:t>
      </w:r>
      <w:r w:rsidRPr="00353381">
        <w:t>The three levels are assessment, job development and placement</w:t>
      </w:r>
      <w:r w:rsidR="005E7C49">
        <w:t xml:space="preserve">. </w:t>
      </w:r>
    </w:p>
    <w:p w14:paraId="40089B94" w14:textId="7E2FB87A" w:rsidR="00B93430" w:rsidRPr="00353381" w:rsidRDefault="00B93430" w:rsidP="00D63204">
      <w:pPr>
        <w:spacing w:line="240" w:lineRule="auto"/>
        <w:ind w:left="90"/>
      </w:pPr>
      <w:r w:rsidRPr="00353381">
        <w:t>In the first level, training is concentrated on the process of developing jobs which include generation of leads, selection for time management purposes, holding face-to-face meetings with employers to identify needs and closing the deal (actual placement)</w:t>
      </w:r>
      <w:r w:rsidR="005E7C49">
        <w:t xml:space="preserve">. </w:t>
      </w:r>
      <w:r w:rsidRPr="00353381">
        <w:t>Vocational rehabilitation staff is presented with a comprehensive manual, including group exercises and the completion of planners, to prepare meetings and work with objections and barriers</w:t>
      </w:r>
      <w:r w:rsidR="005E7C49">
        <w:t xml:space="preserve">. </w:t>
      </w:r>
      <w:r w:rsidRPr="00353381">
        <w:t>This level of training builds a tool for self-assessment of the staff as job developers.</w:t>
      </w:r>
    </w:p>
    <w:p w14:paraId="254564C5" w14:textId="3A322EBD" w:rsidR="00B93430" w:rsidRPr="00353381" w:rsidRDefault="00B93430" w:rsidP="00D63204">
      <w:pPr>
        <w:spacing w:line="240" w:lineRule="auto"/>
        <w:ind w:left="90"/>
      </w:pPr>
      <w:r w:rsidRPr="00353381">
        <w:t>The second level is focused on job placement and development as it relates to clients. Vocational rehabilitation staff is trained to identify the essential elements needed to obtain/maintain a job including motivation, abilities, access to employers and credibility. In this level, staff learn intervention tools and marketing strategies to manage their caseloads as job developers.</w:t>
      </w:r>
    </w:p>
    <w:p w14:paraId="72379189" w14:textId="001C8FAE" w:rsidR="00B93430" w:rsidRPr="00353381" w:rsidRDefault="00B93430" w:rsidP="00D63204">
      <w:pPr>
        <w:spacing w:line="240" w:lineRule="auto"/>
        <w:ind w:left="90"/>
      </w:pPr>
      <w:r w:rsidRPr="00353381">
        <w:t>The third level is provided to vocational rehabilitation supervisors and district administrators by explaining how to set up placement goals and how to monitor and coach daily activities from their staff, as related to the FDBS business model in job placement and development.</w:t>
      </w:r>
    </w:p>
    <w:p w14:paraId="1C0E631F" w14:textId="7822E0FF" w:rsidR="00B93430" w:rsidRPr="00353381" w:rsidRDefault="00B93430" w:rsidP="00D63204">
      <w:pPr>
        <w:spacing w:line="240" w:lineRule="auto"/>
        <w:ind w:left="90"/>
      </w:pPr>
      <w:r w:rsidRPr="00353381">
        <w:t>FDBS developed a two-tiered rehabilitation technology training program for all professional and paraprofessional personnel. This training includes a week-long introduction to rehabilitation technology for blind and visually impaired individuals</w:t>
      </w:r>
      <w:r w:rsidR="005E7C49">
        <w:t xml:space="preserve">. </w:t>
      </w:r>
      <w:r w:rsidRPr="00353381">
        <w:t>The second level of training incorporates the use of rehabilitation technology in job development activities. FDBS offers a third level for personnel who completed the second level five or more years ago to ensure personnel possess current knowledge related to technology advances.</w:t>
      </w:r>
    </w:p>
    <w:p w14:paraId="36605A72" w14:textId="037E3535" w:rsidR="00533DF6" w:rsidRPr="00353381" w:rsidRDefault="00B93430" w:rsidP="00D63204">
      <w:pPr>
        <w:spacing w:line="240" w:lineRule="auto"/>
        <w:ind w:left="90"/>
      </w:pPr>
      <w:r w:rsidRPr="00353381">
        <w:t>All existing rehabilitation specialists, senior rehabilitation specialists, supervisors</w:t>
      </w:r>
      <w:r w:rsidR="00D5537E">
        <w:t xml:space="preserve"> and</w:t>
      </w:r>
      <w:r w:rsidRPr="00353381">
        <w:t xml:space="preserve"> district administrators receive training in both levels. FDBS trains new personnel in both levels and conducts annual training to update existing personnel on new technology issues. </w:t>
      </w:r>
    </w:p>
    <w:p w14:paraId="7E16502E" w14:textId="77777777" w:rsidR="00533DF6" w:rsidRDefault="00533DF6" w:rsidP="00D63204">
      <w:pPr>
        <w:spacing w:after="0" w:line="240" w:lineRule="auto"/>
        <w:ind w:left="90"/>
        <w:rPr>
          <w:b/>
        </w:rPr>
      </w:pPr>
    </w:p>
    <w:p w14:paraId="0AD12A55" w14:textId="0019EFEF" w:rsidR="00B93430" w:rsidRPr="00353381" w:rsidRDefault="00B93430" w:rsidP="00D63204">
      <w:pPr>
        <w:spacing w:after="0" w:line="240" w:lineRule="auto"/>
        <w:ind w:left="90"/>
        <w:rPr>
          <w:b/>
        </w:rPr>
      </w:pPr>
      <w:r w:rsidRPr="00353381">
        <w:rPr>
          <w:b/>
        </w:rPr>
        <w:t xml:space="preserve">Dissemination of Knowledge from Research and other Resources </w:t>
      </w:r>
    </w:p>
    <w:p w14:paraId="1551A35F" w14:textId="1BCBD3D3" w:rsidR="00B93430" w:rsidRPr="00353381" w:rsidRDefault="00B93430" w:rsidP="00D63204">
      <w:pPr>
        <w:spacing w:line="240" w:lineRule="auto"/>
        <w:ind w:left="90"/>
      </w:pPr>
      <w:r w:rsidRPr="00353381">
        <w:t>All FDBS personnel members have internet access and are provided with relevant rehabilitation research and information websites. Each FDBS District Office is required to provide a quarterly in-service training for personnel on topics such as blindness rehabilitation, informed choice, the Americans with Disabilities Act</w:t>
      </w:r>
      <w:r w:rsidR="00D5537E">
        <w:t xml:space="preserve"> and</w:t>
      </w:r>
      <w:r w:rsidRPr="00353381">
        <w:t xml:space="preserve"> Social Security work incentives</w:t>
      </w:r>
      <w:r w:rsidR="005E7C49">
        <w:t xml:space="preserve">. </w:t>
      </w:r>
      <w:r w:rsidRPr="00353381">
        <w:t>When funding is available, employees are encouraged to attend various conferences in the field of rehabilitation or blindness.</w:t>
      </w:r>
    </w:p>
    <w:p w14:paraId="175B089F" w14:textId="77777777" w:rsidR="00533DF6" w:rsidRDefault="00533DF6" w:rsidP="00D63204">
      <w:pPr>
        <w:spacing w:after="0" w:line="240" w:lineRule="auto"/>
        <w:ind w:left="90"/>
        <w:rPr>
          <w:b/>
        </w:rPr>
      </w:pPr>
    </w:p>
    <w:p w14:paraId="15890B31" w14:textId="6DE222B9" w:rsidR="00B93430" w:rsidRPr="00353381" w:rsidRDefault="00B93430" w:rsidP="00D63204">
      <w:pPr>
        <w:spacing w:after="0" w:line="240" w:lineRule="auto"/>
        <w:ind w:left="90"/>
        <w:rPr>
          <w:b/>
        </w:rPr>
      </w:pPr>
      <w:r w:rsidRPr="00353381">
        <w:rPr>
          <w:b/>
        </w:rPr>
        <w:t xml:space="preserve">Personnel to Address Individual Communication Needs </w:t>
      </w:r>
    </w:p>
    <w:p w14:paraId="457F26E6" w14:textId="5AC295B4" w:rsidR="00B93430" w:rsidRPr="00353381" w:rsidRDefault="00B93430" w:rsidP="00D63204">
      <w:pPr>
        <w:spacing w:line="240" w:lineRule="auto"/>
        <w:ind w:left="90"/>
      </w:pPr>
      <w:r w:rsidRPr="00353381">
        <w:t xml:space="preserve">FDBS employs individuals who communicate in the native languages or other appropriate modes of communication of applicants or eligible individuals. Most FDBS offices in highly populated areas of non-English speaking consumers have personnel who speak the native languages of individuals in the community. FDBS requires language interpreter services (including sign language) be purchased when necessary to communicate with an applicant or eligible individual. FDBS has the capability to print in </w:t>
      </w:r>
      <w:r w:rsidR="006212B0">
        <w:t>b</w:t>
      </w:r>
      <w:r w:rsidRPr="00353381">
        <w:t>raille and large print</w:t>
      </w:r>
      <w:r w:rsidR="005E7C49">
        <w:t xml:space="preserve">. </w:t>
      </w:r>
      <w:r w:rsidRPr="00353381">
        <w:t>Documents such as application for services, Client Rights, guidelines for developing an Individualized Plan for Employment</w:t>
      </w:r>
      <w:r w:rsidR="00D5537E">
        <w:t xml:space="preserve"> and</w:t>
      </w:r>
      <w:r w:rsidRPr="00353381">
        <w:t xml:space="preserve"> informational brochures are available in appropriate formats (i.e. large print, </w:t>
      </w:r>
      <w:r w:rsidR="005E6BAA">
        <w:t>b</w:t>
      </w:r>
      <w:r w:rsidRPr="00353381">
        <w:t>raille, Spanish) or are communicated by way of</w:t>
      </w:r>
      <w:r w:rsidR="00E86D3B" w:rsidRPr="00353381">
        <w:t xml:space="preserve"> </w:t>
      </w:r>
      <w:r w:rsidRPr="00353381">
        <w:t>an interpreter.</w:t>
      </w:r>
    </w:p>
    <w:p w14:paraId="3CC0875A" w14:textId="77777777" w:rsidR="00533DF6" w:rsidRDefault="00533DF6" w:rsidP="00D63204">
      <w:pPr>
        <w:spacing w:after="0" w:line="240" w:lineRule="auto"/>
        <w:ind w:left="90"/>
        <w:rPr>
          <w:b/>
        </w:rPr>
      </w:pPr>
    </w:p>
    <w:p w14:paraId="7916C830" w14:textId="77777777" w:rsidR="00EA3CBE" w:rsidRDefault="00EA3CBE">
      <w:pPr>
        <w:rPr>
          <w:b/>
        </w:rPr>
      </w:pPr>
      <w:r>
        <w:rPr>
          <w:b/>
        </w:rPr>
        <w:br w:type="page"/>
      </w:r>
    </w:p>
    <w:p w14:paraId="2BEF70BE" w14:textId="77777777" w:rsidR="00EA3CBE" w:rsidRDefault="00EA3CBE" w:rsidP="00D63204">
      <w:pPr>
        <w:spacing w:after="0" w:line="240" w:lineRule="auto"/>
        <w:ind w:left="90"/>
        <w:rPr>
          <w:b/>
        </w:rPr>
      </w:pPr>
    </w:p>
    <w:p w14:paraId="3A042610" w14:textId="22798BA8" w:rsidR="00B93430" w:rsidRPr="00353381" w:rsidRDefault="00B93430" w:rsidP="00D63204">
      <w:pPr>
        <w:spacing w:after="0" w:line="240" w:lineRule="auto"/>
        <w:ind w:left="90"/>
        <w:rPr>
          <w:b/>
        </w:rPr>
      </w:pPr>
      <w:r w:rsidRPr="00353381">
        <w:rPr>
          <w:b/>
        </w:rPr>
        <w:t xml:space="preserve">Coordination of Personnel Development under the Individuals with Disabilities Education Improvement Act </w:t>
      </w:r>
    </w:p>
    <w:p w14:paraId="33015F40" w14:textId="4B4F1FD4" w:rsidR="00533DF6" w:rsidRDefault="00B93430" w:rsidP="00D63204">
      <w:pPr>
        <w:spacing w:line="240" w:lineRule="auto"/>
        <w:ind w:left="90"/>
      </w:pPr>
      <w:r w:rsidRPr="00353381">
        <w:t>FDBS has a cooperative agreement with the Florida Department of Education’s Division of Public Schools to coordinate activities for students who are blind and visually impaired. This is accomplished through the preparation and implementation of guidelines, policies, rules</w:t>
      </w:r>
      <w:r w:rsidR="00D5537E">
        <w:t xml:space="preserve"> and</w:t>
      </w:r>
      <w:r w:rsidRPr="00353381">
        <w:t xml:space="preserve"> regulations that affect the interests of students with visual impairments through joint planning committees and publications, as appropriate.</w:t>
      </w:r>
    </w:p>
    <w:p w14:paraId="2A149472" w14:textId="279C51F8" w:rsidR="00B93430" w:rsidRPr="00353381" w:rsidRDefault="00B93430" w:rsidP="00D63204">
      <w:pPr>
        <w:spacing w:line="240" w:lineRule="auto"/>
        <w:ind w:left="90"/>
      </w:pPr>
      <w:r w:rsidRPr="00353381">
        <w:t>Both divisions promote and provide training for teachers and FDBS personnel who work with students who are blind and visually impaired. FDBS shares information and coordinates other activities with the Division of Public Schools to increase public awareness of visual disabilities and services available to students with visual impairments.</w:t>
      </w:r>
    </w:p>
    <w:p w14:paraId="49E530BF" w14:textId="77777777" w:rsidR="00533DF6" w:rsidRPr="00533DF6" w:rsidRDefault="00EA7458" w:rsidP="00D63204">
      <w:pPr>
        <w:pStyle w:val="ListParagraph"/>
        <w:widowControl w:val="0"/>
        <w:numPr>
          <w:ilvl w:val="0"/>
          <w:numId w:val="64"/>
        </w:numPr>
        <w:spacing w:before="50" w:after="0" w:line="240" w:lineRule="auto"/>
        <w:ind w:left="1080"/>
        <w:rPr>
          <w:rFonts w:cs="Calibri"/>
        </w:rPr>
      </w:pPr>
      <w:bookmarkStart w:id="187" w:name="(j)_Statewide_Assessment"/>
      <w:bookmarkStart w:id="188" w:name="_bookmark114"/>
      <w:bookmarkStart w:id="189" w:name="_bookmark113"/>
      <w:bookmarkEnd w:id="187"/>
      <w:bookmarkEnd w:id="188"/>
      <w:bookmarkEnd w:id="189"/>
      <w:r w:rsidRPr="00533DF6">
        <w:rPr>
          <w:b/>
          <w:color w:val="295CA3"/>
          <w:sz w:val="26"/>
          <w:szCs w:val="26"/>
        </w:rPr>
        <w:t>Statewide Assessment</w:t>
      </w:r>
    </w:p>
    <w:p w14:paraId="74E1AC63" w14:textId="40522A79" w:rsidR="00EA7458" w:rsidRPr="00533DF6" w:rsidRDefault="00EA7458" w:rsidP="00D63204">
      <w:pPr>
        <w:widowControl w:val="0"/>
        <w:spacing w:before="50" w:after="0" w:line="240" w:lineRule="auto"/>
        <w:rPr>
          <w:rFonts w:cs="Calibri"/>
        </w:rPr>
      </w:pPr>
    </w:p>
    <w:p w14:paraId="4303E987" w14:textId="6F86D74C" w:rsidR="00E86D3B" w:rsidRPr="00353381" w:rsidRDefault="00E86D3B" w:rsidP="00D63204">
      <w:pPr>
        <w:spacing w:line="240" w:lineRule="auto"/>
        <w:ind w:left="90"/>
      </w:pPr>
      <w:r w:rsidRPr="00353381">
        <w:t>FDBS commissioned a three-year comprehensive statewide needs assessment (CSNA) to investigate the vocational rehabilitation needs of individuals with significant visual disabilities</w:t>
      </w:r>
      <w:r w:rsidR="005E7C49">
        <w:t xml:space="preserve">. </w:t>
      </w:r>
      <w:r w:rsidRPr="00353381">
        <w:t>This research study was led by Michele Cappella-McDonald, Ph.D., Interim Director and Research Professor for the National Research and Training Center on Blindness and Low Vision at Mississippi State University</w:t>
      </w:r>
      <w:r w:rsidR="005E7C49">
        <w:t xml:space="preserve">. </w:t>
      </w:r>
      <w:r w:rsidRPr="00353381">
        <w:t>She was assisted by Anne Hierholzer, Midwest Political Science Association Research Associate.</w:t>
      </w:r>
    </w:p>
    <w:p w14:paraId="0822A940" w14:textId="3584EFF1" w:rsidR="00E86D3B" w:rsidRPr="00353381" w:rsidRDefault="00E86D3B" w:rsidP="00D63204">
      <w:pPr>
        <w:spacing w:line="240" w:lineRule="auto"/>
        <w:ind w:left="90"/>
      </w:pPr>
      <w:r w:rsidRPr="00353381">
        <w:t>The Needs Assessment addressed the requirements of the Rehabilitation Act of 1973, as amended, which states that each state unit and the State Rehabilitation Council (SRC) must conduct a comprehensive statewide assessment of the rehabilitation needs of its residents and in particular, needs for supported employment services, needs of minorities and other unserved/underserved populations, needs of persons served through other components of the statewide workforce investment system</w:t>
      </w:r>
      <w:r w:rsidR="00D5537E">
        <w:t xml:space="preserve"> and</w:t>
      </w:r>
      <w:r w:rsidRPr="00353381">
        <w:t xml:space="preserve"> the need to establish, develop, or improve community rehabilitation programs. This work took place during the period of March 3, 2014 through June 30, 2015 and examined a six-year period of data (October 2008 through September 2013)</w:t>
      </w:r>
      <w:r w:rsidR="00B4168F">
        <w:t xml:space="preserve">. </w:t>
      </w:r>
    </w:p>
    <w:p w14:paraId="4115124C" w14:textId="77777777" w:rsidR="00533DF6" w:rsidRDefault="00E86D3B" w:rsidP="00D63204">
      <w:pPr>
        <w:spacing w:line="240" w:lineRule="auto"/>
        <w:ind w:left="90"/>
      </w:pPr>
      <w:r w:rsidRPr="00353381">
        <w:t xml:space="preserve">This research was guided by the following six questions: </w:t>
      </w:r>
    </w:p>
    <w:p w14:paraId="37A80943" w14:textId="7623862E" w:rsidR="00533DF6" w:rsidRDefault="00E86D3B" w:rsidP="00D63204">
      <w:pPr>
        <w:pStyle w:val="ListParagraph"/>
        <w:numPr>
          <w:ilvl w:val="0"/>
          <w:numId w:val="65"/>
        </w:numPr>
        <w:spacing w:line="240" w:lineRule="auto"/>
      </w:pPr>
      <w:r w:rsidRPr="00353381">
        <w:t>What are the rehabilitation needs of individuals who are blind or visually impaired, particularly the vocational rehabilitation service needs of these individuals with the most significant disabilities, including their need for supported employment services?</w:t>
      </w:r>
    </w:p>
    <w:p w14:paraId="4BDF8EB8" w14:textId="77777777" w:rsidR="00533DF6" w:rsidRDefault="00533DF6" w:rsidP="00D63204">
      <w:pPr>
        <w:pStyle w:val="ListParagraph"/>
        <w:spacing w:line="240" w:lineRule="auto"/>
        <w:ind w:left="810"/>
      </w:pPr>
    </w:p>
    <w:p w14:paraId="377E88A9" w14:textId="1552988B" w:rsidR="00533DF6" w:rsidRDefault="00E86D3B" w:rsidP="00D63204">
      <w:pPr>
        <w:pStyle w:val="ListParagraph"/>
        <w:numPr>
          <w:ilvl w:val="0"/>
          <w:numId w:val="65"/>
        </w:numPr>
        <w:spacing w:line="240" w:lineRule="auto"/>
      </w:pPr>
      <w:r w:rsidRPr="00353381">
        <w:t>What are the vocational rehabilitation services needs of minorities?</w:t>
      </w:r>
    </w:p>
    <w:p w14:paraId="1CB2C478" w14:textId="77777777" w:rsidR="00533DF6" w:rsidRDefault="00533DF6" w:rsidP="00D63204">
      <w:pPr>
        <w:pStyle w:val="ListParagraph"/>
        <w:spacing w:line="240" w:lineRule="auto"/>
        <w:ind w:left="810"/>
      </w:pPr>
    </w:p>
    <w:p w14:paraId="50A35FF8" w14:textId="169820AD" w:rsidR="00533DF6" w:rsidRDefault="00E86D3B" w:rsidP="00D63204">
      <w:pPr>
        <w:pStyle w:val="ListParagraph"/>
        <w:numPr>
          <w:ilvl w:val="0"/>
          <w:numId w:val="65"/>
        </w:numPr>
        <w:spacing w:line="240" w:lineRule="auto"/>
      </w:pPr>
      <w:r w:rsidRPr="00353381">
        <w:t>What are the vocational rehabilitation services needs of individuals who are blind or visually impaired who have been unserved or underserved by the vocational rehabilitation program?</w:t>
      </w:r>
    </w:p>
    <w:p w14:paraId="652A47AA" w14:textId="77777777" w:rsidR="00533DF6" w:rsidRDefault="00533DF6" w:rsidP="00D63204">
      <w:pPr>
        <w:pStyle w:val="ListParagraph"/>
        <w:spacing w:line="240" w:lineRule="auto"/>
        <w:ind w:left="810"/>
      </w:pPr>
    </w:p>
    <w:p w14:paraId="31B42D13" w14:textId="7DF30064" w:rsidR="00533DF6" w:rsidRDefault="00E86D3B" w:rsidP="00D63204">
      <w:pPr>
        <w:pStyle w:val="ListParagraph"/>
        <w:numPr>
          <w:ilvl w:val="0"/>
          <w:numId w:val="65"/>
        </w:numPr>
        <w:spacing w:line="240" w:lineRule="auto"/>
      </w:pPr>
      <w:r w:rsidRPr="00353381">
        <w:t>What are the vocational rehabilitation services needs of individuals who are blind or visually impaired served through other components of the statewide workforce investment system?</w:t>
      </w:r>
    </w:p>
    <w:p w14:paraId="6E62FD94" w14:textId="77777777" w:rsidR="00533DF6" w:rsidRDefault="00533DF6" w:rsidP="00D63204">
      <w:pPr>
        <w:pStyle w:val="ListParagraph"/>
        <w:spacing w:line="240" w:lineRule="auto"/>
        <w:ind w:left="810"/>
      </w:pPr>
    </w:p>
    <w:p w14:paraId="6E68A4B1" w14:textId="4D5B6346" w:rsidR="00533DF6" w:rsidRDefault="00E86D3B" w:rsidP="00D63204">
      <w:pPr>
        <w:pStyle w:val="ListParagraph"/>
        <w:numPr>
          <w:ilvl w:val="0"/>
          <w:numId w:val="65"/>
        </w:numPr>
        <w:spacing w:line="240" w:lineRule="auto"/>
      </w:pPr>
      <w:r w:rsidRPr="00353381">
        <w:t>What is the need to establish, develop, or improve community rehabilitation programs within the state?</w:t>
      </w:r>
    </w:p>
    <w:p w14:paraId="45FC4AAC" w14:textId="77777777" w:rsidR="00533DF6" w:rsidRDefault="00533DF6" w:rsidP="00D63204">
      <w:pPr>
        <w:pStyle w:val="ListParagraph"/>
        <w:spacing w:line="240" w:lineRule="auto"/>
        <w:ind w:left="810"/>
      </w:pPr>
    </w:p>
    <w:p w14:paraId="478E3604" w14:textId="0B12E1AF" w:rsidR="00E86D3B" w:rsidRPr="00353381" w:rsidRDefault="00E86D3B" w:rsidP="00D63204">
      <w:pPr>
        <w:pStyle w:val="ListParagraph"/>
        <w:numPr>
          <w:ilvl w:val="0"/>
          <w:numId w:val="65"/>
        </w:numPr>
        <w:spacing w:line="240" w:lineRule="auto"/>
      </w:pPr>
      <w:r w:rsidRPr="00353381">
        <w:t>What are the biggest barriers to achieving employment for those consumers closed unsuccessfully?</w:t>
      </w:r>
    </w:p>
    <w:p w14:paraId="42EA4A81" w14:textId="77777777" w:rsidR="00EA7458" w:rsidRPr="00353381" w:rsidRDefault="00EA7458" w:rsidP="00D63204">
      <w:pPr>
        <w:widowControl w:val="0"/>
        <w:spacing w:after="0" w:line="240" w:lineRule="auto"/>
        <w:ind w:left="90"/>
        <w:rPr>
          <w:rFonts w:cs="Calibri"/>
        </w:rPr>
        <w:sectPr w:rsidR="00EA7458" w:rsidRPr="00353381">
          <w:footerReference w:type="default" r:id="rId195"/>
          <w:pgSz w:w="12240" w:h="15840"/>
          <w:pgMar w:top="1620" w:right="900" w:bottom="820" w:left="900" w:header="812" w:footer="624" w:gutter="0"/>
          <w:cols w:space="720"/>
        </w:sectPr>
      </w:pPr>
    </w:p>
    <w:p w14:paraId="313900D2" w14:textId="77777777" w:rsidR="00EA7458" w:rsidRPr="00353381" w:rsidRDefault="00EA7458" w:rsidP="00D63204">
      <w:pPr>
        <w:widowControl w:val="0"/>
        <w:spacing w:before="3" w:after="0" w:line="240" w:lineRule="auto"/>
        <w:ind w:left="90"/>
        <w:rPr>
          <w:rFonts w:cs="Calibri"/>
        </w:rPr>
      </w:pPr>
    </w:p>
    <w:p w14:paraId="00D697E2" w14:textId="77777777" w:rsidR="00E86D3B" w:rsidRPr="00353381" w:rsidRDefault="00E86D3B" w:rsidP="00D63204">
      <w:pPr>
        <w:spacing w:line="240" w:lineRule="auto"/>
        <w:ind w:left="90"/>
        <w:rPr>
          <w:b/>
        </w:rPr>
      </w:pPr>
      <w:r w:rsidRPr="00353381">
        <w:rPr>
          <w:b/>
        </w:rPr>
        <w:t>To address the research questions, the following sources of data were utilized for the CSNA:</w:t>
      </w:r>
    </w:p>
    <w:p w14:paraId="50FB51B1" w14:textId="588A87D2" w:rsidR="00533DF6" w:rsidRDefault="00E86D3B" w:rsidP="00D63204">
      <w:pPr>
        <w:pStyle w:val="ListParagraph"/>
        <w:numPr>
          <w:ilvl w:val="0"/>
          <w:numId w:val="66"/>
        </w:numPr>
        <w:spacing w:line="240" w:lineRule="auto"/>
      </w:pPr>
      <w:r w:rsidRPr="00353381">
        <w:t xml:space="preserve">Consumer surveys –  The target group will be those persons closed after receiving services from FDBS during a previous </w:t>
      </w:r>
      <w:r w:rsidR="00B408EE" w:rsidRPr="00353381">
        <w:t>one-year</w:t>
      </w:r>
      <w:r w:rsidRPr="00353381">
        <w:t xml:space="preserve"> period (FFY 2013: October 2012 –September 2013). Consumers closed unsuccessfully will be asked additional questions to address question 6.</w:t>
      </w:r>
    </w:p>
    <w:p w14:paraId="50986C11" w14:textId="77777777" w:rsidR="00533DF6" w:rsidRDefault="00533DF6" w:rsidP="00D63204">
      <w:pPr>
        <w:pStyle w:val="ListParagraph"/>
        <w:spacing w:line="240" w:lineRule="auto"/>
        <w:ind w:left="810"/>
      </w:pPr>
    </w:p>
    <w:p w14:paraId="12E31EC9" w14:textId="50C751FC" w:rsidR="00533DF6" w:rsidRDefault="00E86D3B" w:rsidP="00D63204">
      <w:pPr>
        <w:pStyle w:val="ListParagraph"/>
        <w:numPr>
          <w:ilvl w:val="0"/>
          <w:numId w:val="66"/>
        </w:numPr>
        <w:spacing w:line="240" w:lineRule="auto"/>
      </w:pPr>
      <w:r w:rsidRPr="00353381">
        <w:t>DBS staff surveys – This survey will include all staff that provide services to consumers.</w:t>
      </w:r>
    </w:p>
    <w:p w14:paraId="09A1242A" w14:textId="77777777" w:rsidR="00533DF6" w:rsidRDefault="00533DF6" w:rsidP="00D63204">
      <w:pPr>
        <w:pStyle w:val="ListParagraph"/>
        <w:spacing w:line="240" w:lineRule="auto"/>
        <w:ind w:left="810"/>
      </w:pPr>
    </w:p>
    <w:p w14:paraId="53AA1B0B" w14:textId="6901CB68" w:rsidR="00533DF6" w:rsidRDefault="00E86D3B" w:rsidP="00D63204">
      <w:pPr>
        <w:pStyle w:val="ListParagraph"/>
        <w:numPr>
          <w:ilvl w:val="0"/>
          <w:numId w:val="66"/>
        </w:numPr>
        <w:spacing w:line="240" w:lineRule="auto"/>
      </w:pPr>
      <w:r w:rsidRPr="00353381">
        <w:t xml:space="preserve">Key informant interviews – Interviews with 5 to 10 people identified by FDBS as key informants. </w:t>
      </w:r>
    </w:p>
    <w:p w14:paraId="04E539A3" w14:textId="77777777" w:rsidR="00533DF6" w:rsidRDefault="00533DF6" w:rsidP="00D63204">
      <w:pPr>
        <w:pStyle w:val="ListParagraph"/>
        <w:spacing w:line="240" w:lineRule="auto"/>
        <w:ind w:left="810"/>
      </w:pPr>
    </w:p>
    <w:p w14:paraId="6BCECD1E" w14:textId="5A319267" w:rsidR="00E86D3B" w:rsidRDefault="00E86D3B" w:rsidP="00D63204">
      <w:pPr>
        <w:pStyle w:val="ListParagraph"/>
        <w:numPr>
          <w:ilvl w:val="0"/>
          <w:numId w:val="66"/>
        </w:numPr>
        <w:spacing w:line="240" w:lineRule="auto"/>
      </w:pPr>
      <w:r w:rsidRPr="00353381">
        <w:t>Employer surveys – FDBS will provide email addresses of businesses that they have worked with FDBS during the previous one or two years (OPTIONAL).</w:t>
      </w:r>
    </w:p>
    <w:p w14:paraId="3ACA4E3D" w14:textId="77777777" w:rsidR="00533DF6" w:rsidRPr="00353381" w:rsidRDefault="00533DF6" w:rsidP="00D63204">
      <w:pPr>
        <w:pStyle w:val="ListParagraph"/>
        <w:spacing w:line="240" w:lineRule="auto"/>
        <w:ind w:left="810"/>
      </w:pPr>
    </w:p>
    <w:p w14:paraId="779FDC00" w14:textId="0C5EFB4B" w:rsidR="00E86D3B" w:rsidRDefault="00E86D3B" w:rsidP="00D63204">
      <w:pPr>
        <w:pStyle w:val="ListParagraph"/>
        <w:numPr>
          <w:ilvl w:val="0"/>
          <w:numId w:val="66"/>
        </w:numPr>
        <w:spacing w:line="240" w:lineRule="auto"/>
      </w:pPr>
      <w:r w:rsidRPr="00353381">
        <w:t>Existing data sources</w:t>
      </w:r>
    </w:p>
    <w:p w14:paraId="32DB2006" w14:textId="77777777" w:rsidR="00533DF6" w:rsidRPr="00353381" w:rsidRDefault="00533DF6" w:rsidP="00D63204">
      <w:pPr>
        <w:pStyle w:val="ListParagraph"/>
        <w:spacing w:line="240" w:lineRule="auto"/>
        <w:ind w:left="810"/>
      </w:pPr>
    </w:p>
    <w:p w14:paraId="4AC7DF9D" w14:textId="518D64B2" w:rsidR="00E86D3B" w:rsidRDefault="00533DF6" w:rsidP="00D63204">
      <w:pPr>
        <w:pStyle w:val="ListParagraph"/>
        <w:numPr>
          <w:ilvl w:val="0"/>
          <w:numId w:val="67"/>
        </w:numPr>
        <w:spacing w:line="240" w:lineRule="auto"/>
      </w:pPr>
      <w:r>
        <w:t>A</w:t>
      </w:r>
      <w:r w:rsidR="00E86D3B" w:rsidRPr="00353381">
        <w:t>CS</w:t>
      </w:r>
    </w:p>
    <w:p w14:paraId="176416A0" w14:textId="77777777" w:rsidR="00533DF6" w:rsidRPr="00353381" w:rsidRDefault="00533DF6" w:rsidP="00D63204">
      <w:pPr>
        <w:pStyle w:val="ListParagraph"/>
        <w:spacing w:line="240" w:lineRule="auto"/>
        <w:ind w:left="1080"/>
      </w:pPr>
    </w:p>
    <w:p w14:paraId="70DA6E5D" w14:textId="4DD7EF8F" w:rsidR="00E86D3B" w:rsidRDefault="00E86D3B" w:rsidP="00D63204">
      <w:pPr>
        <w:pStyle w:val="ListParagraph"/>
        <w:numPr>
          <w:ilvl w:val="0"/>
          <w:numId w:val="67"/>
        </w:numPr>
        <w:spacing w:line="240" w:lineRule="auto"/>
      </w:pPr>
      <w:r w:rsidRPr="00353381">
        <w:t>Florida Office of Economic and Demographic Research population projections</w:t>
      </w:r>
    </w:p>
    <w:p w14:paraId="700E2174" w14:textId="77777777" w:rsidR="00533DF6" w:rsidRPr="00353381" w:rsidRDefault="00533DF6" w:rsidP="00D63204">
      <w:pPr>
        <w:pStyle w:val="ListParagraph"/>
        <w:spacing w:line="240" w:lineRule="auto"/>
        <w:ind w:left="1080"/>
      </w:pPr>
    </w:p>
    <w:p w14:paraId="06C8C7F2" w14:textId="4839F48C" w:rsidR="00E86D3B" w:rsidRDefault="00E86D3B" w:rsidP="00D63204">
      <w:pPr>
        <w:pStyle w:val="ListParagraph"/>
        <w:numPr>
          <w:ilvl w:val="0"/>
          <w:numId w:val="67"/>
        </w:numPr>
        <w:spacing w:line="240" w:lineRule="auto"/>
      </w:pPr>
      <w:r w:rsidRPr="00353381">
        <w:t>Bureau of Labor Statistics labor/economic forecasts</w:t>
      </w:r>
    </w:p>
    <w:p w14:paraId="72676D28" w14:textId="77777777" w:rsidR="00533DF6" w:rsidRPr="00353381" w:rsidRDefault="00533DF6" w:rsidP="00D63204">
      <w:pPr>
        <w:pStyle w:val="ListParagraph"/>
        <w:spacing w:line="240" w:lineRule="auto"/>
        <w:ind w:left="1080"/>
      </w:pPr>
    </w:p>
    <w:p w14:paraId="5FAB4097" w14:textId="7440B630" w:rsidR="00E86D3B" w:rsidRDefault="00E86D3B" w:rsidP="00D63204">
      <w:pPr>
        <w:pStyle w:val="ListParagraph"/>
        <w:numPr>
          <w:ilvl w:val="0"/>
          <w:numId w:val="67"/>
        </w:numPr>
        <w:spacing w:line="240" w:lineRule="auto"/>
      </w:pPr>
      <w:r w:rsidRPr="00353381">
        <w:t>DBS case service data (RSA-911 data)</w:t>
      </w:r>
    </w:p>
    <w:p w14:paraId="719A4C31" w14:textId="77777777" w:rsidR="00533DF6" w:rsidRPr="00353381" w:rsidRDefault="00533DF6" w:rsidP="00D63204">
      <w:pPr>
        <w:pStyle w:val="ListParagraph"/>
        <w:spacing w:line="240" w:lineRule="auto"/>
        <w:ind w:left="1080"/>
      </w:pPr>
    </w:p>
    <w:p w14:paraId="47D9CB1B" w14:textId="45C187FF" w:rsidR="00E86D3B" w:rsidRPr="00353381" w:rsidRDefault="00E86D3B" w:rsidP="00D63204">
      <w:pPr>
        <w:pStyle w:val="ListParagraph"/>
        <w:numPr>
          <w:ilvl w:val="0"/>
          <w:numId w:val="67"/>
        </w:numPr>
        <w:spacing w:line="240" w:lineRule="auto"/>
      </w:pPr>
      <w:r w:rsidRPr="00353381">
        <w:t>Consumer satisfaction data collected for FDBS</w:t>
      </w:r>
    </w:p>
    <w:p w14:paraId="308C5CA6" w14:textId="77777777" w:rsidR="00533DF6" w:rsidRDefault="00533DF6" w:rsidP="00D63204">
      <w:pPr>
        <w:spacing w:after="0" w:line="240" w:lineRule="auto"/>
        <w:ind w:left="90"/>
        <w:rPr>
          <w:b/>
        </w:rPr>
      </w:pPr>
    </w:p>
    <w:p w14:paraId="19A822B1" w14:textId="08188AAA" w:rsidR="00E86D3B" w:rsidRPr="00353381" w:rsidRDefault="00E86D3B" w:rsidP="00D63204">
      <w:pPr>
        <w:spacing w:after="0" w:line="240" w:lineRule="auto"/>
        <w:ind w:left="90"/>
      </w:pPr>
      <w:r w:rsidRPr="00353381">
        <w:rPr>
          <w:b/>
        </w:rPr>
        <w:t>Study’s Results</w:t>
      </w:r>
      <w:r w:rsidRPr="00353381">
        <w:t xml:space="preserve"> </w:t>
      </w:r>
    </w:p>
    <w:p w14:paraId="62478D7B" w14:textId="07A5C9CB" w:rsidR="00E86D3B" w:rsidRPr="00353381" w:rsidRDefault="00E86D3B" w:rsidP="00D63204">
      <w:pPr>
        <w:spacing w:line="240" w:lineRule="auto"/>
        <w:ind w:left="90"/>
      </w:pPr>
      <w:r w:rsidRPr="00353381">
        <w:t>The large amount of data collected and analyzed for this project was reviewed to identify the most significant needs that emerged from the data</w:t>
      </w:r>
      <w:r w:rsidR="005E7C49">
        <w:t xml:space="preserve">. </w:t>
      </w:r>
      <w:r w:rsidRPr="00353381">
        <w:t>Specifically, there were eight most important needs identified as listed below. FDBS intends to develop strategies to address the identified needs in section (o).</w:t>
      </w:r>
    </w:p>
    <w:p w14:paraId="6E0B95D3" w14:textId="2ECD698F" w:rsidR="00E86D3B" w:rsidRDefault="00E86D3B" w:rsidP="00D63204">
      <w:pPr>
        <w:pStyle w:val="ListParagraph"/>
        <w:numPr>
          <w:ilvl w:val="0"/>
          <w:numId w:val="68"/>
        </w:numPr>
        <w:spacing w:line="240" w:lineRule="auto"/>
      </w:pPr>
      <w:r w:rsidRPr="00353381">
        <w:t>Employment-related services</w:t>
      </w:r>
    </w:p>
    <w:p w14:paraId="195754D0" w14:textId="77777777" w:rsidR="00533DF6" w:rsidRPr="00353381" w:rsidRDefault="00533DF6" w:rsidP="00D63204">
      <w:pPr>
        <w:pStyle w:val="ListParagraph"/>
        <w:spacing w:line="240" w:lineRule="auto"/>
        <w:ind w:left="810"/>
      </w:pPr>
    </w:p>
    <w:p w14:paraId="4D7FC04E" w14:textId="0914C2E2" w:rsidR="00E86D3B" w:rsidRDefault="00E86D3B" w:rsidP="00D63204">
      <w:pPr>
        <w:pStyle w:val="ListParagraph"/>
        <w:numPr>
          <w:ilvl w:val="0"/>
          <w:numId w:val="68"/>
        </w:numPr>
        <w:spacing w:line="240" w:lineRule="auto"/>
      </w:pPr>
      <w:r w:rsidRPr="00353381">
        <w:t>Develop and strengthen employer relationships</w:t>
      </w:r>
    </w:p>
    <w:p w14:paraId="7C84FF36" w14:textId="77777777" w:rsidR="00533DF6" w:rsidRPr="00353381" w:rsidRDefault="00533DF6" w:rsidP="00D63204">
      <w:pPr>
        <w:pStyle w:val="ListParagraph"/>
        <w:spacing w:line="240" w:lineRule="auto"/>
        <w:ind w:left="810"/>
      </w:pPr>
    </w:p>
    <w:p w14:paraId="39014588" w14:textId="2C69EA37" w:rsidR="00E86D3B" w:rsidRDefault="00E86D3B" w:rsidP="00D63204">
      <w:pPr>
        <w:pStyle w:val="ListParagraph"/>
        <w:numPr>
          <w:ilvl w:val="0"/>
          <w:numId w:val="68"/>
        </w:numPr>
        <w:spacing w:line="240" w:lineRule="auto"/>
      </w:pPr>
      <w:r w:rsidRPr="00353381">
        <w:t>Services to minorities</w:t>
      </w:r>
    </w:p>
    <w:p w14:paraId="764AFE65" w14:textId="77777777" w:rsidR="00533DF6" w:rsidRPr="00353381" w:rsidRDefault="00533DF6" w:rsidP="00D63204">
      <w:pPr>
        <w:pStyle w:val="ListParagraph"/>
        <w:spacing w:line="240" w:lineRule="auto"/>
        <w:ind w:left="810"/>
      </w:pPr>
    </w:p>
    <w:p w14:paraId="00D53A0B" w14:textId="702BD8CE" w:rsidR="00E86D3B" w:rsidRDefault="00E86D3B" w:rsidP="00D63204">
      <w:pPr>
        <w:pStyle w:val="ListParagraph"/>
        <w:numPr>
          <w:ilvl w:val="0"/>
          <w:numId w:val="68"/>
        </w:numPr>
        <w:spacing w:line="240" w:lineRule="auto"/>
      </w:pPr>
      <w:r w:rsidRPr="00353381">
        <w:t>Assistive technology services</w:t>
      </w:r>
    </w:p>
    <w:p w14:paraId="5D293F82" w14:textId="77777777" w:rsidR="00533DF6" w:rsidRPr="00353381" w:rsidRDefault="00533DF6" w:rsidP="00D63204">
      <w:pPr>
        <w:pStyle w:val="ListParagraph"/>
        <w:spacing w:line="240" w:lineRule="auto"/>
        <w:ind w:left="810"/>
      </w:pPr>
    </w:p>
    <w:p w14:paraId="0F205DFD" w14:textId="69970FA9" w:rsidR="00E86D3B" w:rsidRDefault="00E86D3B" w:rsidP="00D63204">
      <w:pPr>
        <w:pStyle w:val="ListParagraph"/>
        <w:numPr>
          <w:ilvl w:val="0"/>
          <w:numId w:val="68"/>
        </w:numPr>
        <w:spacing w:line="240" w:lineRule="auto"/>
      </w:pPr>
      <w:r w:rsidRPr="00353381">
        <w:t>Increased outreach and community visibility</w:t>
      </w:r>
    </w:p>
    <w:p w14:paraId="6340C625" w14:textId="77777777" w:rsidR="00533DF6" w:rsidRPr="00353381" w:rsidRDefault="00533DF6" w:rsidP="00D63204">
      <w:pPr>
        <w:pStyle w:val="ListParagraph"/>
        <w:spacing w:line="240" w:lineRule="auto"/>
        <w:ind w:left="810"/>
      </w:pPr>
    </w:p>
    <w:p w14:paraId="67C269E8" w14:textId="6EC3BC95" w:rsidR="00E86D3B" w:rsidRDefault="00E86D3B" w:rsidP="00D63204">
      <w:pPr>
        <w:pStyle w:val="ListParagraph"/>
        <w:numPr>
          <w:ilvl w:val="0"/>
          <w:numId w:val="68"/>
        </w:numPr>
        <w:spacing w:line="240" w:lineRule="auto"/>
      </w:pPr>
      <w:r w:rsidRPr="00353381">
        <w:t>Transportation</w:t>
      </w:r>
    </w:p>
    <w:p w14:paraId="6626820F" w14:textId="77777777" w:rsidR="00533DF6" w:rsidRPr="00353381" w:rsidRDefault="00533DF6" w:rsidP="00D63204">
      <w:pPr>
        <w:pStyle w:val="ListParagraph"/>
        <w:spacing w:line="240" w:lineRule="auto"/>
        <w:ind w:left="810"/>
      </w:pPr>
    </w:p>
    <w:p w14:paraId="2865DB10" w14:textId="1761188E" w:rsidR="00E86D3B" w:rsidRDefault="00E86D3B" w:rsidP="00D63204">
      <w:pPr>
        <w:pStyle w:val="ListParagraph"/>
        <w:numPr>
          <w:ilvl w:val="0"/>
          <w:numId w:val="68"/>
        </w:numPr>
        <w:spacing w:line="240" w:lineRule="auto"/>
      </w:pPr>
      <w:r w:rsidRPr="00353381">
        <w:t>CRPs</w:t>
      </w:r>
    </w:p>
    <w:p w14:paraId="02F7ABDF" w14:textId="77777777" w:rsidR="00533DF6" w:rsidRPr="00353381" w:rsidRDefault="00533DF6" w:rsidP="00D63204">
      <w:pPr>
        <w:pStyle w:val="ListParagraph"/>
        <w:spacing w:line="240" w:lineRule="auto"/>
        <w:ind w:left="810"/>
      </w:pPr>
    </w:p>
    <w:p w14:paraId="6691B4A6" w14:textId="1DB67DB7" w:rsidR="00E86D3B" w:rsidRPr="00353381" w:rsidRDefault="00E86D3B" w:rsidP="00D63204">
      <w:pPr>
        <w:pStyle w:val="ListParagraph"/>
        <w:numPr>
          <w:ilvl w:val="0"/>
          <w:numId w:val="68"/>
        </w:numPr>
        <w:spacing w:line="240" w:lineRule="auto"/>
      </w:pPr>
      <w:r w:rsidRPr="00353381">
        <w:t>Regular follow-up with consumers</w:t>
      </w:r>
    </w:p>
    <w:p w14:paraId="7ECC3B36" w14:textId="3D24395E" w:rsidR="00E86D3B" w:rsidRPr="00353381" w:rsidRDefault="00E86D3B" w:rsidP="00D63204">
      <w:pPr>
        <w:spacing w:line="240" w:lineRule="auto"/>
        <w:ind w:left="90"/>
      </w:pPr>
      <w:r w:rsidRPr="00353381">
        <w:t>FDBS plans to conduct a new CSNA in 2018</w:t>
      </w:r>
      <w:r w:rsidR="00B4168F">
        <w:t xml:space="preserve">. </w:t>
      </w:r>
    </w:p>
    <w:p w14:paraId="2915F8AC" w14:textId="77777777" w:rsidR="00EA7458" w:rsidRPr="00353381" w:rsidRDefault="00EA7458" w:rsidP="00D63204">
      <w:pPr>
        <w:widowControl w:val="0"/>
        <w:spacing w:after="0" w:line="240" w:lineRule="auto"/>
        <w:ind w:left="90"/>
        <w:rPr>
          <w:rFonts w:cs="Calibri"/>
        </w:rPr>
        <w:sectPr w:rsidR="00EA7458" w:rsidRPr="00353381">
          <w:pgSz w:w="12240" w:h="15840"/>
          <w:pgMar w:top="1620" w:right="900" w:bottom="820" w:left="900" w:header="812" w:footer="624" w:gutter="0"/>
          <w:cols w:space="720"/>
        </w:sectPr>
      </w:pPr>
    </w:p>
    <w:p w14:paraId="4AF1A418" w14:textId="77777777" w:rsidR="00EA7458" w:rsidRPr="00353381" w:rsidRDefault="00EA7458" w:rsidP="00D63204">
      <w:pPr>
        <w:widowControl w:val="0"/>
        <w:spacing w:before="4" w:after="0" w:line="240" w:lineRule="auto"/>
        <w:ind w:left="90"/>
        <w:rPr>
          <w:rFonts w:cs="Calibri"/>
        </w:rPr>
      </w:pPr>
    </w:p>
    <w:p w14:paraId="6DCE7318" w14:textId="77777777" w:rsidR="00625D80" w:rsidRPr="00353381" w:rsidRDefault="00625D80" w:rsidP="00D63204">
      <w:pPr>
        <w:spacing w:after="0" w:line="240" w:lineRule="auto"/>
        <w:ind w:left="90"/>
        <w:rPr>
          <w:b/>
        </w:rPr>
      </w:pPr>
      <w:r w:rsidRPr="00353381">
        <w:rPr>
          <w:b/>
        </w:rPr>
        <w:t xml:space="preserve">Employment Related Services </w:t>
      </w:r>
    </w:p>
    <w:p w14:paraId="24224A45" w14:textId="3B035445" w:rsidR="00625D80" w:rsidRPr="00353381" w:rsidRDefault="00625D80" w:rsidP="00D63204">
      <w:pPr>
        <w:spacing w:line="240" w:lineRule="auto"/>
        <w:ind w:left="90"/>
      </w:pPr>
      <w:r w:rsidRPr="00353381">
        <w:t>Although employment-related services were not the area consumers reported as having the greatest need, consumers indicated they needed employment related services after their cases were closed. The top 10 services with remaining needs were all related to employment</w:t>
      </w:r>
      <w:r w:rsidR="00D5537E">
        <w:t xml:space="preserve"> and</w:t>
      </w:r>
      <w:r w:rsidRPr="00353381">
        <w:t xml:space="preserve"> more than half of the consumers who reported a need for these services had a remaining need after case closure. Some consumers reported in open-ended responses that they did not receive the help they needed with finding employment</w:t>
      </w:r>
      <w:r w:rsidR="00D5537E">
        <w:t xml:space="preserve"> and</w:t>
      </w:r>
      <w:r w:rsidRPr="00353381">
        <w:t xml:space="preserve"> suggested providing more employment-related assistance as a recommendation to help FDBS improve services. The Employment Placement Specialists participate in EOP II training to improve marketing skills when communicating with employers. The Employment Placement Specialists build long-term relationships with businesses via outreach and rapid engagement with employers to meet their needs.</w:t>
      </w:r>
    </w:p>
    <w:p w14:paraId="5287F7EE" w14:textId="20012238" w:rsidR="00625D80" w:rsidRPr="00353381" w:rsidRDefault="00533DF6" w:rsidP="00D63204">
      <w:pPr>
        <w:spacing w:after="0" w:line="240" w:lineRule="auto"/>
        <w:ind w:left="90"/>
        <w:rPr>
          <w:b/>
        </w:rPr>
      </w:pPr>
      <w:r>
        <w:rPr>
          <w:b/>
        </w:rPr>
        <w:br/>
      </w:r>
      <w:r w:rsidR="00625D80" w:rsidRPr="00353381">
        <w:rPr>
          <w:b/>
        </w:rPr>
        <w:t xml:space="preserve">Develop and Strengthen Employer Relationships </w:t>
      </w:r>
    </w:p>
    <w:p w14:paraId="453F4E83" w14:textId="09C4A300" w:rsidR="00625D80" w:rsidRPr="00353381" w:rsidRDefault="00B408EE" w:rsidP="00D63204">
      <w:pPr>
        <w:spacing w:line="240" w:lineRule="auto"/>
        <w:ind w:left="90"/>
      </w:pPr>
      <w:r w:rsidRPr="00353381">
        <w:t>Most</w:t>
      </w:r>
      <w:r w:rsidR="00625D80" w:rsidRPr="00353381">
        <w:t xml:space="preserve"> staff reported a critical need to improve placement services by developing and strengthening relationships with employers (and other organizations). This was the highest rated need overall, with 57.6% of staff considering it a critical need and 34.3% considering it a moderate need</w:t>
      </w:r>
      <w:r w:rsidR="005E7C49">
        <w:t xml:space="preserve">. </w:t>
      </w:r>
      <w:r w:rsidR="00625D80" w:rsidRPr="00353381">
        <w:t>The most common suggestion by staff to improve employer relationships was to allow staff to be out in the community more, making connections. Several people mentioned the value of attending Chamber of Commerce meetings</w:t>
      </w:r>
      <w:r w:rsidR="00D5537E">
        <w:t xml:space="preserve"> and</w:t>
      </w:r>
      <w:r w:rsidR="00625D80" w:rsidRPr="00353381">
        <w:t xml:space="preserve"> some suggested that FDBS should pay for staff membership or fees to participate in business or community organizations. FDBS provides Employment Placement Specialists with marketing tools/toolkit to use when meeting with potential employers and CareerSource</w:t>
      </w:r>
      <w:r w:rsidR="006620BE">
        <w:t xml:space="preserve"> Florida</w:t>
      </w:r>
      <w:r w:rsidR="00625D80" w:rsidRPr="00353381">
        <w:t xml:space="preserve"> staff. Employers receive education regarding FDBS programs/services with the goal of increasing opportunities for clients seeking employment. Each district is a member of the Chamber of Commerce. FDBS works in partnership with chambers of commerce across the state to support the ongoing development of disability-owned business.</w:t>
      </w:r>
    </w:p>
    <w:p w14:paraId="28B3C465" w14:textId="351C875E" w:rsidR="00625D80" w:rsidRPr="00353381" w:rsidRDefault="00533DF6" w:rsidP="00D63204">
      <w:pPr>
        <w:spacing w:after="0" w:line="240" w:lineRule="auto"/>
        <w:ind w:left="90"/>
        <w:rPr>
          <w:b/>
        </w:rPr>
      </w:pPr>
      <w:r>
        <w:rPr>
          <w:b/>
        </w:rPr>
        <w:br/>
      </w:r>
      <w:r w:rsidR="00625D80" w:rsidRPr="00353381">
        <w:rPr>
          <w:b/>
        </w:rPr>
        <w:t xml:space="preserve">Services to Minorities </w:t>
      </w:r>
    </w:p>
    <w:p w14:paraId="13821123" w14:textId="63442BD0" w:rsidR="00625D80" w:rsidRPr="00353381" w:rsidRDefault="00625D80" w:rsidP="00D63204">
      <w:pPr>
        <w:spacing w:line="240" w:lineRule="auto"/>
        <w:ind w:left="90"/>
      </w:pPr>
      <w:r w:rsidRPr="00353381">
        <w:t>Although improving services to consumers with diverse racial or ethnic backgrounds was not rated as a high level of need by staff across the state, staff in some districts did rate this as a critical need</w:t>
      </w:r>
      <w:r w:rsidR="005E7C49">
        <w:t xml:space="preserve">. </w:t>
      </w:r>
      <w:r w:rsidRPr="00353381">
        <w:t xml:space="preserve">Improving the availability of materials to non-English speaking consumers was rated as a most important need by staff (77.8% rated as critical or moderate). More than one-third of staff identified minority group members as people who were unserved or underserved by FDBS, although the specific minority groups they mentioned varied. The need for better outreach to minority populations was expressed by several key informants. The district offices conduct outreach activities to identify under-represented populations </w:t>
      </w:r>
      <w:r w:rsidR="006008DA" w:rsidRPr="00353381">
        <w:t>monthly</w:t>
      </w:r>
      <w:r w:rsidRPr="00353381">
        <w:t>. Activities include outreach to vision clinics, optometrists’ offices, senior centers, participation in White Cane Day events, health fairs</w:t>
      </w:r>
      <w:r w:rsidR="00D5537E">
        <w:t xml:space="preserve"> and</w:t>
      </w:r>
      <w:r w:rsidRPr="00353381">
        <w:t xml:space="preserve"> low vision expos.</w:t>
      </w:r>
    </w:p>
    <w:p w14:paraId="7FD83943" w14:textId="10613804" w:rsidR="00625D80" w:rsidRPr="00353381" w:rsidRDefault="00533DF6" w:rsidP="00D63204">
      <w:pPr>
        <w:spacing w:after="0" w:line="240" w:lineRule="auto"/>
        <w:ind w:left="90"/>
        <w:rPr>
          <w:b/>
        </w:rPr>
      </w:pPr>
      <w:r>
        <w:rPr>
          <w:b/>
        </w:rPr>
        <w:br/>
      </w:r>
      <w:r w:rsidR="00625D80" w:rsidRPr="00353381">
        <w:rPr>
          <w:b/>
        </w:rPr>
        <w:t xml:space="preserve">Assistive Technology Services </w:t>
      </w:r>
    </w:p>
    <w:p w14:paraId="2519BF78" w14:textId="4951C0A6" w:rsidR="00625D80" w:rsidRPr="00353381" w:rsidRDefault="00625D80" w:rsidP="00D63204">
      <w:pPr>
        <w:spacing w:line="240" w:lineRule="auto"/>
        <w:ind w:left="90"/>
      </w:pPr>
      <w:r w:rsidRPr="00353381">
        <w:t>Another recurring theme was the need to improve Assistive Technology services. The top three needs identified by consumers were all related to assistive technology. Providing training in assistive technology, providing or recommending low vision aids</w:t>
      </w:r>
      <w:r w:rsidR="00D5537E">
        <w:t xml:space="preserve"> and</w:t>
      </w:r>
      <w:r w:rsidRPr="00353381">
        <w:t xml:space="preserve"> providing instruction using computer assistive technology</w:t>
      </w:r>
      <w:r w:rsidR="005E7C49">
        <w:t xml:space="preserve">. </w:t>
      </w:r>
      <w:r w:rsidRPr="00353381">
        <w:t xml:space="preserve">Relatively high levels of needs remained in these areas after receipt of FDBS services. </w:t>
      </w:r>
    </w:p>
    <w:p w14:paraId="231F2048" w14:textId="60588455" w:rsidR="00533DF6" w:rsidRDefault="00625D80" w:rsidP="00D63204">
      <w:pPr>
        <w:widowControl w:val="0"/>
        <w:spacing w:after="0" w:line="240" w:lineRule="auto"/>
        <w:ind w:left="90"/>
      </w:pPr>
      <w:r w:rsidRPr="00353381">
        <w:t xml:space="preserve">In open-ended responses, consumers who were closed unsuccessfully identified receipt of AT as something that could have been done differently to help them obtain employment. In the staff survey, 88.9% of staff reported a critical or moderate need for improving AT training. </w:t>
      </w:r>
      <w:r w:rsidR="00B408EE" w:rsidRPr="00353381">
        <w:t>Most</w:t>
      </w:r>
      <w:r w:rsidRPr="00353381">
        <w:t xml:space="preserve"> key informants identified AT services as a rehabilitation need of consumers. Staff suggestions for improving trainings include standardizing curriculum, staying up-to-date on the most in-demand technology and job skills</w:t>
      </w:r>
      <w:r w:rsidR="00D5537E">
        <w:t xml:space="preserve"> and</w:t>
      </w:r>
      <w:r w:rsidRPr="00353381">
        <w:t xml:space="preserve"> reworking trainings to make them more frequent and/or in-</w:t>
      </w:r>
      <w:r w:rsidRPr="00353381">
        <w:lastRenderedPageBreak/>
        <w:t>depth. Several staff suggested that individualized AT training be offered and that training should be focused on what the consumer will need to become employed.</w:t>
      </w:r>
    </w:p>
    <w:p w14:paraId="18B2C899" w14:textId="77777777" w:rsidR="00533DF6" w:rsidRDefault="00533DF6" w:rsidP="00D63204">
      <w:pPr>
        <w:widowControl w:val="0"/>
        <w:spacing w:after="0" w:line="240" w:lineRule="auto"/>
        <w:ind w:left="90"/>
      </w:pPr>
    </w:p>
    <w:p w14:paraId="0F565013" w14:textId="2DB6985D" w:rsidR="00533DF6" w:rsidRDefault="00625D80" w:rsidP="00D63204">
      <w:pPr>
        <w:widowControl w:val="0"/>
        <w:spacing w:after="0" w:line="240" w:lineRule="auto"/>
        <w:ind w:left="90"/>
      </w:pPr>
      <w:r w:rsidRPr="00353381">
        <w:t xml:space="preserve">FDBS </w:t>
      </w:r>
      <w:r w:rsidR="00C442E2">
        <w:t xml:space="preserve">is </w:t>
      </w:r>
      <w:r w:rsidRPr="00353381">
        <w:t>strengthen</w:t>
      </w:r>
      <w:r w:rsidR="00C442E2">
        <w:t xml:space="preserve">ing </w:t>
      </w:r>
      <w:r w:rsidRPr="00353381">
        <w:t xml:space="preserve">its relationship with the Lighthouses to ensure appropriate and client-specific assistive technology is consistent with the needs of all clients and is reflected in the IPE. </w:t>
      </w:r>
    </w:p>
    <w:p w14:paraId="5D02273E" w14:textId="3942FAD9" w:rsidR="00EA7458" w:rsidRPr="00353381" w:rsidRDefault="00533DF6" w:rsidP="00CB66D5">
      <w:pPr>
        <w:widowControl w:val="0"/>
        <w:spacing w:after="0" w:line="240" w:lineRule="auto"/>
        <w:outlineLvl w:val="2"/>
      </w:pPr>
      <w:r>
        <w:rPr>
          <w:b/>
          <w:bCs/>
          <w:color w:val="231F20"/>
          <w:w w:val="110"/>
        </w:rPr>
        <w:br/>
      </w:r>
      <w:r w:rsidR="00EA7458" w:rsidRPr="00353381">
        <w:rPr>
          <w:b/>
          <w:bCs/>
          <w:color w:val="231F20"/>
          <w:w w:val="110"/>
        </w:rPr>
        <w:t>Increased</w:t>
      </w:r>
      <w:r w:rsidR="00EA7458" w:rsidRPr="00353381">
        <w:rPr>
          <w:b/>
          <w:bCs/>
          <w:color w:val="231F20"/>
          <w:spacing w:val="-11"/>
          <w:w w:val="110"/>
        </w:rPr>
        <w:t xml:space="preserve"> </w:t>
      </w:r>
      <w:r w:rsidR="00EA7458" w:rsidRPr="00353381">
        <w:rPr>
          <w:b/>
          <w:bCs/>
          <w:color w:val="231F20"/>
          <w:w w:val="110"/>
        </w:rPr>
        <w:t>Outreach</w:t>
      </w:r>
      <w:r w:rsidR="00EA7458" w:rsidRPr="00353381">
        <w:rPr>
          <w:b/>
          <w:bCs/>
          <w:color w:val="231F20"/>
          <w:spacing w:val="-11"/>
          <w:w w:val="110"/>
        </w:rPr>
        <w:t xml:space="preserve"> </w:t>
      </w:r>
      <w:r w:rsidR="00EA7458" w:rsidRPr="00353381">
        <w:rPr>
          <w:b/>
          <w:bCs/>
          <w:color w:val="231F20"/>
          <w:w w:val="110"/>
        </w:rPr>
        <w:t>and</w:t>
      </w:r>
      <w:r w:rsidR="00EA7458" w:rsidRPr="00353381">
        <w:rPr>
          <w:b/>
          <w:bCs/>
          <w:color w:val="231F20"/>
          <w:spacing w:val="-11"/>
          <w:w w:val="110"/>
        </w:rPr>
        <w:t xml:space="preserve"> </w:t>
      </w:r>
      <w:r w:rsidR="00EA7458" w:rsidRPr="00353381">
        <w:rPr>
          <w:b/>
          <w:bCs/>
          <w:color w:val="231F20"/>
          <w:w w:val="110"/>
        </w:rPr>
        <w:t>Community</w:t>
      </w:r>
      <w:r w:rsidR="00EA7458" w:rsidRPr="00353381">
        <w:rPr>
          <w:b/>
          <w:bCs/>
          <w:color w:val="231F20"/>
          <w:spacing w:val="-11"/>
          <w:w w:val="110"/>
        </w:rPr>
        <w:t xml:space="preserve"> </w:t>
      </w:r>
      <w:r w:rsidR="00EA7458" w:rsidRPr="00353381">
        <w:rPr>
          <w:b/>
          <w:bCs/>
          <w:color w:val="231F20"/>
          <w:w w:val="110"/>
        </w:rPr>
        <w:t>Visibility</w:t>
      </w:r>
    </w:p>
    <w:p w14:paraId="1579E7DE" w14:textId="39E6B795" w:rsidR="00625D80" w:rsidRPr="00353381" w:rsidRDefault="00625D80" w:rsidP="00D63204">
      <w:pPr>
        <w:spacing w:after="0" w:line="240" w:lineRule="auto"/>
        <w:ind w:left="90"/>
        <w:rPr>
          <w:b/>
        </w:rPr>
      </w:pPr>
      <w:r w:rsidRPr="00353381">
        <w:t>The need to increase awareness of FDBS was emphasized in numerous ways throughout the needs assessment and was related to some of the other important needs identified. Some sources indicated that there may be community groups who remain largely unaware of FDBS’ existence, with minority groups being a particular concern. Analysis of the population served by FDBS shows that Hispanic/ Latino individuals are currently underrepresented in the FDBS caseload, which may indicate a lack of knowledge in that population regarding available resources. To address this, key informants and FDBS staff alike suggested working with liaisons who can serve as ambassadors for their communities. Key informants and staff saw a need to provide FDBS materials in multiple languages and to employ bilingual staff and/or hire interpreters. Another aspect of outreach that came up repeatedly is the need to improve FDBS’ visibility in the business community. Staff members thought job placement efforts would be improved if more employers knew about FDBS and its offerings. FDBS produced and disseminated several marketing videos highlighting client success stories and the value of FDBS services. FDBS hosted several large-scale regional outreach events, with media coverage, to enhance community awareness and engagement.</w:t>
      </w:r>
    </w:p>
    <w:p w14:paraId="00C0FBDB" w14:textId="77777777" w:rsidR="00625D80" w:rsidRPr="00353381" w:rsidRDefault="00625D80" w:rsidP="00D63204">
      <w:pPr>
        <w:spacing w:line="240" w:lineRule="auto"/>
        <w:ind w:left="90"/>
      </w:pPr>
    </w:p>
    <w:p w14:paraId="068AA9A0" w14:textId="77777777" w:rsidR="00625D80" w:rsidRPr="00353381" w:rsidRDefault="00625D80" w:rsidP="00D63204">
      <w:pPr>
        <w:spacing w:after="0" w:line="240" w:lineRule="auto"/>
        <w:ind w:left="90"/>
        <w:rPr>
          <w:b/>
        </w:rPr>
      </w:pPr>
      <w:r w:rsidRPr="00353381">
        <w:rPr>
          <w:b/>
        </w:rPr>
        <w:t xml:space="preserve">Transportation </w:t>
      </w:r>
    </w:p>
    <w:p w14:paraId="109A00EC" w14:textId="3ED99D86" w:rsidR="00625D80" w:rsidRPr="00353381" w:rsidRDefault="00625D80" w:rsidP="00D63204">
      <w:pPr>
        <w:spacing w:line="240" w:lineRule="auto"/>
        <w:ind w:left="90"/>
      </w:pPr>
      <w:r w:rsidRPr="00353381">
        <w:t>Although information was not available from all data sources, transportation was identified as an important need by several sources. Consumers identified lack of transportation to work as one of their primary barriers to employment. Several consumers who participated in the 2013-14 satisfaction survey indicated dissatisfaction with transportation as a service received from FDBS</w:t>
      </w:r>
      <w:r w:rsidR="005E7C49">
        <w:t xml:space="preserve">. </w:t>
      </w:r>
      <w:r w:rsidRPr="00353381">
        <w:t>Lack of transportation was the top barrier to employment identified by staff for consumers who are closed unsuccessfully. Key informants considered transportation to be a need for the population</w:t>
      </w:r>
      <w:r w:rsidR="00D5537E">
        <w:t xml:space="preserve"> and</w:t>
      </w:r>
      <w:r w:rsidRPr="00353381">
        <w:t xml:space="preserve"> a challenge to meeting the other needs of consumers. Lack of transportation options, particularly in rural areas, was discussed as a problem by both key informants and staff. FDBS developed a list of transportation contacts to assist field staff with identifying transportation vendors for clients in need of this resource. The list is updated as needed.</w:t>
      </w:r>
    </w:p>
    <w:p w14:paraId="1E719C3F" w14:textId="77777777" w:rsidR="00E70F55" w:rsidRDefault="00E70F55" w:rsidP="00D63204">
      <w:pPr>
        <w:spacing w:after="0" w:line="240" w:lineRule="auto"/>
        <w:ind w:left="90"/>
        <w:rPr>
          <w:b/>
        </w:rPr>
      </w:pPr>
    </w:p>
    <w:p w14:paraId="7F2219A2" w14:textId="66171446" w:rsidR="00625D80" w:rsidRPr="00353381" w:rsidRDefault="00625D80" w:rsidP="00D63204">
      <w:pPr>
        <w:spacing w:after="0" w:line="240" w:lineRule="auto"/>
        <w:ind w:left="90"/>
        <w:rPr>
          <w:b/>
        </w:rPr>
      </w:pPr>
      <w:r w:rsidRPr="00353381">
        <w:rPr>
          <w:b/>
        </w:rPr>
        <w:t xml:space="preserve">Community Rehabilitation Providers (CRPs) </w:t>
      </w:r>
    </w:p>
    <w:p w14:paraId="5A3E49C0" w14:textId="50E8B754" w:rsidR="00625D80" w:rsidRPr="00353381" w:rsidRDefault="00625D80" w:rsidP="00D63204">
      <w:pPr>
        <w:spacing w:line="240" w:lineRule="auto"/>
        <w:ind w:left="90"/>
      </w:pPr>
      <w:r w:rsidRPr="00353381">
        <w:t xml:space="preserve">Although consumers were not asked directly for their opinions about CRPs who provided their services, </w:t>
      </w:r>
      <w:r w:rsidR="006008DA">
        <w:t xml:space="preserve">the FDBS </w:t>
      </w:r>
      <w:r w:rsidRPr="00353381">
        <w:t xml:space="preserve">can consider consumer responses on satisfaction with services received and consumer report of needs that remained after their cases were closed. Consumers expressed high levels of satisfaction regarding training received, </w:t>
      </w:r>
      <w:r w:rsidR="00533DF6">
        <w:t xml:space="preserve">except for </w:t>
      </w:r>
      <w:r w:rsidRPr="00353381">
        <w:t>employment-related services. Remaining needs after case closure for typical blindness training areas (e.g., instruction in cane travel, AT, braille) were lower than many other services areas, although the need was still high in some (e.g., 50.7% reported a remaining need for braille instruction)</w:t>
      </w:r>
      <w:r w:rsidR="005E7C49">
        <w:t xml:space="preserve">. </w:t>
      </w:r>
    </w:p>
    <w:p w14:paraId="22A03E5E" w14:textId="7F471739" w:rsidR="00625D80" w:rsidRPr="00353381" w:rsidRDefault="00625D80" w:rsidP="00D63204">
      <w:pPr>
        <w:spacing w:line="240" w:lineRule="auto"/>
        <w:ind w:left="90"/>
      </w:pPr>
      <w:r w:rsidRPr="00353381">
        <w:t>FDBS review</w:t>
      </w:r>
      <w:r w:rsidR="00C442E2">
        <w:t>s</w:t>
      </w:r>
      <w:r w:rsidRPr="00353381">
        <w:t xml:space="preserve"> consumer and agency needs to make modifications to contracts with CRPs. The agency expects more changes </w:t>
      </w:r>
      <w:r w:rsidR="006008DA" w:rsidRPr="00353381">
        <w:t>because of</w:t>
      </w:r>
      <w:r w:rsidRPr="00353381">
        <w:t xml:space="preserve"> changes required under WIOA and the review of data. There is a recognition that some rural areas of the state leave some potential client populations without adequate or reasonable access to services. FDBS will work with existing providers to fill these gaps, explore the need for additional satellite services, additional CRPs and/or provide services via other contracts or purchase orders with qualified entities. </w:t>
      </w:r>
    </w:p>
    <w:p w14:paraId="2381598E" w14:textId="77777777" w:rsidR="00533DF6" w:rsidRDefault="00533DF6" w:rsidP="00D63204">
      <w:pPr>
        <w:widowControl w:val="0"/>
        <w:spacing w:before="57" w:after="0" w:line="240" w:lineRule="auto"/>
        <w:ind w:left="90"/>
        <w:outlineLvl w:val="2"/>
        <w:rPr>
          <w:b/>
          <w:bCs/>
          <w:color w:val="231F20"/>
          <w:w w:val="110"/>
        </w:rPr>
      </w:pPr>
    </w:p>
    <w:p w14:paraId="1E516FE1" w14:textId="77777777" w:rsidR="00533DF6" w:rsidRDefault="00533DF6" w:rsidP="005C4A77">
      <w:pPr>
        <w:widowControl w:val="0"/>
        <w:spacing w:before="57" w:after="0" w:line="240" w:lineRule="auto"/>
        <w:outlineLvl w:val="2"/>
        <w:rPr>
          <w:b/>
          <w:bCs/>
          <w:color w:val="231F20"/>
          <w:w w:val="110"/>
        </w:rPr>
      </w:pPr>
    </w:p>
    <w:p w14:paraId="2312F683" w14:textId="77777777" w:rsidR="00533DF6" w:rsidRDefault="00EA7458" w:rsidP="00D63204">
      <w:pPr>
        <w:widowControl w:val="0"/>
        <w:spacing w:before="57" w:after="0" w:line="240" w:lineRule="auto"/>
        <w:ind w:left="90"/>
        <w:outlineLvl w:val="2"/>
        <w:rPr>
          <w:b/>
          <w:bCs/>
          <w:color w:val="231F20"/>
          <w:w w:val="110"/>
        </w:rPr>
      </w:pPr>
      <w:r w:rsidRPr="00353381">
        <w:rPr>
          <w:b/>
          <w:bCs/>
          <w:color w:val="231F20"/>
          <w:w w:val="110"/>
        </w:rPr>
        <w:lastRenderedPageBreak/>
        <w:t>Regular</w:t>
      </w:r>
      <w:r w:rsidRPr="00353381">
        <w:rPr>
          <w:b/>
          <w:bCs/>
          <w:color w:val="231F20"/>
          <w:spacing w:val="-23"/>
          <w:w w:val="110"/>
        </w:rPr>
        <w:t xml:space="preserve"> </w:t>
      </w:r>
      <w:r w:rsidRPr="00353381">
        <w:rPr>
          <w:b/>
          <w:bCs/>
          <w:color w:val="231F20"/>
          <w:w w:val="110"/>
        </w:rPr>
        <w:t>follow-up</w:t>
      </w:r>
      <w:r w:rsidRPr="00353381">
        <w:rPr>
          <w:b/>
          <w:bCs/>
          <w:color w:val="231F20"/>
          <w:spacing w:val="-23"/>
          <w:w w:val="110"/>
        </w:rPr>
        <w:t xml:space="preserve"> </w:t>
      </w:r>
      <w:r w:rsidRPr="00353381">
        <w:rPr>
          <w:b/>
          <w:bCs/>
          <w:color w:val="231F20"/>
          <w:w w:val="110"/>
        </w:rPr>
        <w:t>with</w:t>
      </w:r>
      <w:r w:rsidRPr="00353381">
        <w:rPr>
          <w:b/>
          <w:bCs/>
          <w:color w:val="231F20"/>
          <w:spacing w:val="-23"/>
          <w:w w:val="110"/>
        </w:rPr>
        <w:t xml:space="preserve"> </w:t>
      </w:r>
      <w:r w:rsidRPr="00353381">
        <w:rPr>
          <w:b/>
          <w:bCs/>
          <w:color w:val="231F20"/>
          <w:w w:val="110"/>
        </w:rPr>
        <w:t>consumers</w:t>
      </w:r>
    </w:p>
    <w:p w14:paraId="06B8624B" w14:textId="7DA5CAE3" w:rsidR="00533DF6" w:rsidRDefault="00533DF6" w:rsidP="00CB66D5">
      <w:pPr>
        <w:widowControl w:val="0"/>
        <w:spacing w:before="57" w:after="0" w:line="240" w:lineRule="auto"/>
        <w:ind w:left="90"/>
        <w:outlineLvl w:val="2"/>
        <w:rPr>
          <w:rFonts w:cstheme="minorHAnsi"/>
        </w:rPr>
      </w:pPr>
      <w:r w:rsidRPr="00EA3CBE">
        <w:rPr>
          <w:bCs/>
          <w:color w:val="231F20"/>
          <w:w w:val="110"/>
        </w:rPr>
        <w:t>M</w:t>
      </w:r>
      <w:r w:rsidR="00625D80" w:rsidRPr="00353381">
        <w:rPr>
          <w:rFonts w:cstheme="minorHAnsi"/>
        </w:rPr>
        <w:t>ultiple contributors to the Needs Assessment suggested FDBS could improve the follow-up services it provides to consumers after their cases are closed. As part of the employer survey, employers suggested they would appreciate consistent communication from FDBS, including visits to the workplace after a consumer is been placed. Key informants and staff alike mentioned a need for ongoing consumer support and consistent follow-up, especially for the most significantly disabled population. FDBS values collaboration between staff and consumers</w:t>
      </w:r>
      <w:r w:rsidR="00D5537E">
        <w:rPr>
          <w:rFonts w:cstheme="minorHAnsi"/>
        </w:rPr>
        <w:t xml:space="preserve"> and</w:t>
      </w:r>
      <w:r w:rsidR="00625D80" w:rsidRPr="00353381">
        <w:rPr>
          <w:rFonts w:cstheme="minorHAnsi"/>
        </w:rPr>
        <w:t xml:space="preserve"> incorporates follow-up at all levels of the rehabilitation process. At each level, from applicant to closure of case, Rehabilitation Technicians and Specialists, Employment Placement Specialist</w:t>
      </w:r>
      <w:r w:rsidR="00D5537E">
        <w:rPr>
          <w:rFonts w:cstheme="minorHAnsi"/>
        </w:rPr>
        <w:t xml:space="preserve"> and</w:t>
      </w:r>
      <w:r w:rsidR="00625D80" w:rsidRPr="00353381">
        <w:rPr>
          <w:rFonts w:cstheme="minorHAnsi"/>
        </w:rPr>
        <w:t xml:space="preserve"> CRP staff (as needed and appropriate) work as a team to remain in contact with the client. Communication between the client and staff throughout the process, strengthens the chance for a positive client outcome</w:t>
      </w:r>
      <w:r w:rsidR="00B4168F">
        <w:rPr>
          <w:rFonts w:cstheme="minorHAnsi"/>
        </w:rPr>
        <w:t xml:space="preserve">. </w:t>
      </w:r>
      <w:r w:rsidR="00625D80" w:rsidRPr="00353381">
        <w:rPr>
          <w:rFonts w:cstheme="minorHAnsi"/>
        </w:rPr>
        <w:t xml:space="preserve"> </w:t>
      </w:r>
    </w:p>
    <w:p w14:paraId="0CCDDEDD" w14:textId="77777777" w:rsidR="00533DF6" w:rsidRPr="00533DF6" w:rsidRDefault="00533DF6" w:rsidP="00D63204">
      <w:pPr>
        <w:widowControl w:val="0"/>
        <w:spacing w:before="57" w:after="0" w:line="240" w:lineRule="auto"/>
        <w:ind w:left="90"/>
        <w:outlineLvl w:val="2"/>
      </w:pPr>
    </w:p>
    <w:p w14:paraId="1ACC8B8F" w14:textId="77777777" w:rsidR="00625D80" w:rsidRPr="00353381" w:rsidRDefault="00625D80" w:rsidP="00D63204">
      <w:pPr>
        <w:spacing w:after="0" w:line="240" w:lineRule="auto"/>
        <w:ind w:left="90"/>
        <w:rPr>
          <w:rFonts w:cstheme="minorHAnsi"/>
          <w:b/>
        </w:rPr>
      </w:pPr>
      <w:r w:rsidRPr="00353381">
        <w:rPr>
          <w:rFonts w:cstheme="minorHAnsi"/>
          <w:b/>
        </w:rPr>
        <w:t xml:space="preserve">Research Questions Results </w:t>
      </w:r>
    </w:p>
    <w:p w14:paraId="25A039E7" w14:textId="26277A63" w:rsidR="00543EBB" w:rsidRDefault="00625D80" w:rsidP="00D63204">
      <w:pPr>
        <w:spacing w:line="240" w:lineRule="auto"/>
        <w:ind w:left="90"/>
        <w:rPr>
          <w:rFonts w:cstheme="minorHAnsi"/>
        </w:rPr>
      </w:pPr>
      <w:r w:rsidRPr="00353381">
        <w:rPr>
          <w:rFonts w:cstheme="minorHAnsi"/>
        </w:rPr>
        <w:t>Six questions guided the design of this study and the development of the surveys</w:t>
      </w:r>
      <w:r w:rsidR="005E7C49">
        <w:rPr>
          <w:rFonts w:cstheme="minorHAnsi"/>
        </w:rPr>
        <w:t xml:space="preserve">. </w:t>
      </w:r>
      <w:r w:rsidRPr="00353381">
        <w:rPr>
          <w:rFonts w:cstheme="minorHAnsi"/>
        </w:rPr>
        <w:t>Below are the results of each of the research questions:</w:t>
      </w:r>
    </w:p>
    <w:p w14:paraId="4CD1A28A" w14:textId="4FE52A9A" w:rsidR="00625D80" w:rsidRPr="00543EBB" w:rsidRDefault="00625D80" w:rsidP="00D63204">
      <w:pPr>
        <w:pStyle w:val="ListParagraph"/>
        <w:numPr>
          <w:ilvl w:val="0"/>
          <w:numId w:val="69"/>
        </w:numPr>
        <w:spacing w:line="240" w:lineRule="auto"/>
        <w:rPr>
          <w:rFonts w:cstheme="minorHAnsi"/>
          <w:b/>
        </w:rPr>
      </w:pPr>
      <w:r w:rsidRPr="00543EBB">
        <w:rPr>
          <w:rFonts w:cstheme="minorHAnsi"/>
          <w:b/>
        </w:rPr>
        <w:t>What are the rehabilitation needs of individuals who are blind or visually impaired, particularly the vocational rehabilitation service needs of these individuals with the most significant disabilities, including their need for supported employment services?</w:t>
      </w:r>
    </w:p>
    <w:p w14:paraId="21557468" w14:textId="36475417" w:rsidR="00625D80" w:rsidRPr="00353381" w:rsidRDefault="00625D80" w:rsidP="00D63204">
      <w:pPr>
        <w:spacing w:line="240" w:lineRule="auto"/>
        <w:ind w:left="90"/>
        <w:rPr>
          <w:rFonts w:cstheme="minorHAnsi"/>
        </w:rPr>
      </w:pPr>
      <w:r w:rsidRPr="00353381">
        <w:rPr>
          <w:rFonts w:cstheme="minorHAnsi"/>
        </w:rPr>
        <w:t>The top five rehabilitation needs reported by all consumers were: (1) Low vision aids or devices, (2) Training in assistive technology, (3) Instruction using computer assistive technology, (4) Help exploring career options</w:t>
      </w:r>
      <w:r w:rsidR="00D5537E">
        <w:rPr>
          <w:rFonts w:cstheme="minorHAnsi"/>
        </w:rPr>
        <w:t xml:space="preserve"> and</w:t>
      </w:r>
      <w:r w:rsidRPr="00353381">
        <w:rPr>
          <w:rFonts w:cstheme="minorHAnsi"/>
        </w:rPr>
        <w:t xml:space="preserve"> (5) Instruction in cane travel. These were the top five rehabilitation needs for consumers with the Most Significant Disabilities (MSD). Needs in areas related to employment were the greatest. Approximately one-quarter of consumers with the MSD reported a need for a job coach. Only 2.9% of consumers served and closed in FFY 2013 had a supported employment goal on their IPE; those who had a supported employment goal were significantly less likely to obtain competitive employment.</w:t>
      </w:r>
    </w:p>
    <w:p w14:paraId="665F7F50" w14:textId="4BF42940" w:rsidR="00625D80" w:rsidRPr="00353381" w:rsidRDefault="00625D80" w:rsidP="00D63204">
      <w:pPr>
        <w:spacing w:line="240" w:lineRule="auto"/>
        <w:ind w:left="90"/>
        <w:rPr>
          <w:rFonts w:cstheme="minorHAnsi"/>
        </w:rPr>
      </w:pPr>
      <w:r w:rsidRPr="00353381">
        <w:rPr>
          <w:rFonts w:cstheme="minorHAnsi"/>
        </w:rPr>
        <w:t>Key informants identified assistive technology, blindness skills training (including independent living skills)</w:t>
      </w:r>
      <w:r w:rsidR="00D5537E">
        <w:rPr>
          <w:rFonts w:cstheme="minorHAnsi"/>
        </w:rPr>
        <w:t xml:space="preserve"> and</w:t>
      </w:r>
      <w:r w:rsidRPr="00353381">
        <w:rPr>
          <w:rFonts w:cstheme="minorHAnsi"/>
        </w:rPr>
        <w:t xml:space="preserve"> vocational training for job-specific skills as the most important rehabilitation needs of those with the MSD. The most important needs of consumers with MSD identified by staff (in an open-ended question) were better service delivery, better training for these consumers</w:t>
      </w:r>
      <w:r w:rsidR="00D5537E">
        <w:rPr>
          <w:rFonts w:cstheme="minorHAnsi"/>
        </w:rPr>
        <w:t xml:space="preserve"> and</w:t>
      </w:r>
      <w:r w:rsidRPr="00353381">
        <w:rPr>
          <w:rFonts w:cstheme="minorHAnsi"/>
        </w:rPr>
        <w:t xml:space="preserve"> increased opportunities for meaningful work. The three items on the staff survey that involved Supported Employment (SE) were rated as moderately important needs, with a larger percentage rating them as moderate rather than critical needs. Providing a broader array of placement services for consumers involved in SE was the highest rated of these needs, with 84.7% rating it as a critical or moderate need. </w:t>
      </w:r>
    </w:p>
    <w:p w14:paraId="78A40F7A" w14:textId="0201DBCE" w:rsidR="00625D80" w:rsidRPr="00543EBB" w:rsidRDefault="00625D80" w:rsidP="00D63204">
      <w:pPr>
        <w:pStyle w:val="ListParagraph"/>
        <w:numPr>
          <w:ilvl w:val="0"/>
          <w:numId w:val="69"/>
        </w:numPr>
        <w:spacing w:line="240" w:lineRule="auto"/>
        <w:rPr>
          <w:rFonts w:cstheme="minorHAnsi"/>
          <w:b/>
        </w:rPr>
      </w:pPr>
      <w:r w:rsidRPr="00543EBB">
        <w:rPr>
          <w:rFonts w:cstheme="minorHAnsi"/>
          <w:b/>
        </w:rPr>
        <w:t>What are the vocational rehabilitation services needs of minorities?</w:t>
      </w:r>
    </w:p>
    <w:p w14:paraId="164543AB" w14:textId="1980467E" w:rsidR="00EA3CBE" w:rsidRPr="00CB66D5" w:rsidRDefault="00625D80" w:rsidP="00D63204">
      <w:pPr>
        <w:spacing w:line="240" w:lineRule="auto"/>
        <w:ind w:left="90"/>
        <w:rPr>
          <w:rFonts w:cstheme="minorHAnsi"/>
        </w:rPr>
      </w:pPr>
      <w:r w:rsidRPr="00353381">
        <w:rPr>
          <w:rFonts w:cstheme="minorHAnsi"/>
        </w:rPr>
        <w:t>Improving services to minorities was one of the key areas identified as a need. In terms of identifying minorities’ rehabilitation needs, key informants indicated that better outreach is needed to these groups and that language barriers were a problem. Several key informants commented that some members of minority groups have lower socioeconomic status, resulting in challenges and service needs. Consumers’ self-report of their needs is another source of information</w:t>
      </w:r>
      <w:r w:rsidR="00D5537E">
        <w:rPr>
          <w:rFonts w:cstheme="minorHAnsi"/>
        </w:rPr>
        <w:t xml:space="preserve"> and</w:t>
      </w:r>
      <w:r w:rsidRPr="00353381">
        <w:rPr>
          <w:rFonts w:cstheme="minorHAnsi"/>
        </w:rPr>
        <w:t xml:space="preserve"> the top three needs were the same for minorities as they were for white consumers: (1) Low vision aids or devices, (2) Training in assistive technology, (3) Instruction using computer assistive technology, (4) Information to help you understand blindness</w:t>
      </w:r>
      <w:r w:rsidR="00D5537E">
        <w:rPr>
          <w:rFonts w:cstheme="minorHAnsi"/>
        </w:rPr>
        <w:t xml:space="preserve"> and</w:t>
      </w:r>
      <w:r w:rsidRPr="00353381">
        <w:rPr>
          <w:rFonts w:cstheme="minorHAnsi"/>
        </w:rPr>
        <w:t xml:space="preserve"> (5) Help exploring career options. A much greater percentage of minority consumers reported a need for information about blindness, compared to white consumers, while the percentage reporting a need for the other services were similar</w:t>
      </w:r>
      <w:r w:rsidR="00B4168F">
        <w:rPr>
          <w:rFonts w:cstheme="minorHAnsi"/>
        </w:rPr>
        <w:t xml:space="preserve">. </w:t>
      </w:r>
    </w:p>
    <w:p w14:paraId="7394FF67" w14:textId="1A663365" w:rsidR="00625D80" w:rsidRPr="00543EBB" w:rsidRDefault="00625D80" w:rsidP="00D63204">
      <w:pPr>
        <w:pStyle w:val="ListParagraph"/>
        <w:numPr>
          <w:ilvl w:val="0"/>
          <w:numId w:val="69"/>
        </w:numPr>
        <w:spacing w:line="240" w:lineRule="auto"/>
        <w:rPr>
          <w:rFonts w:cs="Calibri"/>
        </w:rPr>
      </w:pPr>
      <w:r w:rsidRPr="00543EBB">
        <w:rPr>
          <w:b/>
        </w:rPr>
        <w:t>What are the vocational rehabilitation services needs of individuals who are blind or visually impaired who have been unserved or underserved by the vocational rehabilitation program?</w:t>
      </w:r>
    </w:p>
    <w:p w14:paraId="2236BEBC" w14:textId="71E77912" w:rsidR="00543EBB" w:rsidRDefault="00625D80" w:rsidP="00D63204">
      <w:pPr>
        <w:spacing w:line="240" w:lineRule="auto"/>
        <w:ind w:left="90"/>
      </w:pPr>
      <w:r w:rsidRPr="00353381">
        <w:lastRenderedPageBreak/>
        <w:t>Comparing the Florida population to the population that received services, the only minority group that appears to be underserved is persons of Hispanic/Latino origin (they represent 23.3% of the population but only 12.3% of the population who received services). One key informant identified the Hispanic/Latino population as being underserved</w:t>
      </w:r>
      <w:r w:rsidR="00D5537E">
        <w:t xml:space="preserve"> and</w:t>
      </w:r>
      <w:r w:rsidRPr="00353381">
        <w:t xml:space="preserve"> minority groups were identified as an unserved or underserved population by staff (with multiple specific groups mentioned). Staff and some key informants identified rural residents as comprising an unserved/underserved group. Transportation was identified as a major problem/need area for rural consumers. Consumers with multiple disabilities (including deaf-blind) and school-aged children were other groups identified as unserved or underserved by multiple key informants. Some key informants commented that school-aged youth were unserved but should be receiving services at that age to help with employment outcomes l</w:t>
      </w:r>
      <w:r w:rsidR="00543EBB">
        <w:t xml:space="preserve">ater. </w:t>
      </w:r>
    </w:p>
    <w:p w14:paraId="2DA275FA" w14:textId="5BD1FF29" w:rsidR="00625D80" w:rsidRPr="00543EBB" w:rsidRDefault="00625D80" w:rsidP="00D63204">
      <w:pPr>
        <w:pStyle w:val="ListParagraph"/>
        <w:numPr>
          <w:ilvl w:val="0"/>
          <w:numId w:val="69"/>
        </w:numPr>
        <w:spacing w:line="240" w:lineRule="auto"/>
      </w:pPr>
      <w:r w:rsidRPr="00543EBB">
        <w:rPr>
          <w:b/>
        </w:rPr>
        <w:t>What are the vocational rehabilitation services needs of individuals who are blind or visually impaired served through other components of the statewide Workforce Investment System (WIS)?</w:t>
      </w:r>
    </w:p>
    <w:p w14:paraId="51ECD85A" w14:textId="77777777" w:rsidR="00543EBB" w:rsidRDefault="00625D80" w:rsidP="00D63204">
      <w:pPr>
        <w:spacing w:line="240" w:lineRule="auto"/>
        <w:ind w:left="90"/>
      </w:pPr>
      <w:r w:rsidRPr="00353381">
        <w:t xml:space="preserve">Key informants reported that the WIS is not accessible for people who are blind or visually impaired; one commented that WIS would refer anyone who is blind or visually impaired to FDBS. Staff believed it was important for FDBS to work more closely with other components of the WIS to provide services to consumers (87.7% indicated this was a moderate or </w:t>
      </w:r>
      <w:r w:rsidR="00543EBB">
        <w:t>critical need for improvement).</w:t>
      </w:r>
    </w:p>
    <w:p w14:paraId="01989076" w14:textId="26F0A6E3" w:rsidR="00625D80" w:rsidRPr="00543EBB" w:rsidRDefault="00625D80" w:rsidP="00D63204">
      <w:pPr>
        <w:pStyle w:val="ListParagraph"/>
        <w:numPr>
          <w:ilvl w:val="0"/>
          <w:numId w:val="69"/>
        </w:numPr>
        <w:spacing w:line="240" w:lineRule="auto"/>
      </w:pPr>
      <w:r w:rsidRPr="00543EBB">
        <w:rPr>
          <w:b/>
        </w:rPr>
        <w:t>What is the need to establish, develop, or improve community rehabilitation programs within the state?</w:t>
      </w:r>
    </w:p>
    <w:p w14:paraId="6C4B5B56" w14:textId="21C23291" w:rsidR="00543EBB" w:rsidRDefault="00625D80" w:rsidP="00D63204">
      <w:pPr>
        <w:spacing w:line="240" w:lineRule="auto"/>
        <w:ind w:left="90"/>
      </w:pPr>
      <w:r w:rsidRPr="00353381">
        <w:t>Information regarding this question was available from the staff survey and the key informant interviews. CRPs were identified as one of the important areas of need based on responses by these two groups. Both groups felt there was room for improvement in the current CRPs</w:t>
      </w:r>
      <w:r w:rsidR="00D5537E">
        <w:t xml:space="preserve"> and</w:t>
      </w:r>
      <w:r w:rsidRPr="00353381">
        <w:t xml:space="preserve"> that the state could</w:t>
      </w:r>
      <w:r w:rsidR="00543EBB">
        <w:t xml:space="preserve"> benefit from additional CRPs. </w:t>
      </w:r>
    </w:p>
    <w:p w14:paraId="4C1EBC40" w14:textId="24806264" w:rsidR="00625D80" w:rsidRPr="00543EBB" w:rsidRDefault="00625D80" w:rsidP="00D63204">
      <w:pPr>
        <w:pStyle w:val="ListParagraph"/>
        <w:numPr>
          <w:ilvl w:val="0"/>
          <w:numId w:val="69"/>
        </w:numPr>
        <w:spacing w:line="240" w:lineRule="auto"/>
      </w:pPr>
      <w:r w:rsidRPr="00543EBB">
        <w:rPr>
          <w:b/>
        </w:rPr>
        <w:t>What are the biggest barriers to achieving employment for those consumers closed unsuccessfully?</w:t>
      </w:r>
    </w:p>
    <w:p w14:paraId="5228D06B" w14:textId="321AB4C6" w:rsidR="00625D80" w:rsidRPr="00353381" w:rsidRDefault="00625D80" w:rsidP="00D63204">
      <w:pPr>
        <w:spacing w:line="240" w:lineRule="auto"/>
        <w:ind w:left="90"/>
      </w:pPr>
      <w:r w:rsidRPr="00353381">
        <w:t>According to consumers who were closed unsuccessfully, the biggest barriers reported were: (a) lack of jobs, (b) lack of transportation to job site, (c) difficulty with travel skills, (d) lack of accommodations</w:t>
      </w:r>
      <w:r w:rsidR="00D5537E">
        <w:t xml:space="preserve"> and</w:t>
      </w:r>
      <w:r w:rsidRPr="00353381">
        <w:t xml:space="preserve"> (e) lack of needed vocational rehabilitation. The most common reasons former consumers who were closed unsuccessfully gave for leaving their rehabilitation programs are (a) case was closed by FDBS, (b) completed their program, (c) didn’t need the services, (d) never received services or weren’t getting any help from FDBS, (e) poor health or medical reasons, or (f) had a problem with their counselor or FDBS</w:t>
      </w:r>
      <w:r w:rsidR="005E7C49">
        <w:t xml:space="preserve">. </w:t>
      </w:r>
    </w:p>
    <w:p w14:paraId="02D08BAA" w14:textId="1F801061" w:rsidR="00625D80" w:rsidRPr="00353381" w:rsidRDefault="00625D80" w:rsidP="00D63204">
      <w:pPr>
        <w:spacing w:line="240" w:lineRule="auto"/>
        <w:ind w:left="90"/>
      </w:pPr>
      <w:r w:rsidRPr="00353381">
        <w:t>Staff were asked to identify barriers to employment for consumers closed unsuccessfully. The most commonly mentioned barriers were (a) lack of transportation, (b) lack of consumer motivation, (c) lack of consumer cooperation, (d) lack of consumer experience, job skills, education</w:t>
      </w:r>
      <w:r w:rsidR="00D5537E">
        <w:t xml:space="preserve"> and</w:t>
      </w:r>
      <w:r w:rsidRPr="00353381">
        <w:t>/or training</w:t>
      </w:r>
      <w:r w:rsidR="00D5537E">
        <w:t xml:space="preserve"> and</w:t>
      </w:r>
      <w:r w:rsidRPr="00353381">
        <w:t xml:space="preserve"> (e) health problems. Other than transportation, the barriers that staff identifies are related to internal issues with the consumer, while the consumers themselves primarily identify external barriers. Some of the barriers identified (by both groups) that could potentially be addressed by FDSB are: education/skill level/training, travel skills, transportation</w:t>
      </w:r>
      <w:r w:rsidR="00D5537E">
        <w:t xml:space="preserve"> and</w:t>
      </w:r>
      <w:r w:rsidRPr="00353381">
        <w:t xml:space="preserve"> accommodations</w:t>
      </w:r>
      <w:r w:rsidR="005E7C49">
        <w:t xml:space="preserve">. </w:t>
      </w:r>
    </w:p>
    <w:p w14:paraId="79410165" w14:textId="5FA3967E" w:rsidR="00A72A4C" w:rsidRPr="00353381" w:rsidRDefault="00A72A4C" w:rsidP="00D63204">
      <w:pPr>
        <w:spacing w:line="240" w:lineRule="auto"/>
        <w:ind w:left="90"/>
      </w:pPr>
      <w:bookmarkStart w:id="190" w:name="(k)_Annual_Estimates_"/>
      <w:bookmarkStart w:id="191" w:name="_bookmark115"/>
      <w:bookmarkEnd w:id="190"/>
      <w:bookmarkEnd w:id="191"/>
      <w:r w:rsidRPr="00353381">
        <w:t>FDBS consumers who are more likely to be closed unsuccessfully are (a) racial minority group members (does not include Hispanic/Latino), (b) people with lower education levels, (c) people with an IEP while in secondary school, (d) people with the most significant disabilities, (e) people who did not receive rehabilitation technology services</w:t>
      </w:r>
      <w:r w:rsidR="00D5537E">
        <w:t xml:space="preserve"> and</w:t>
      </w:r>
      <w:r w:rsidRPr="00353381">
        <w:t xml:space="preserve"> (f) people who receive Social Security Administration benefits. </w:t>
      </w:r>
    </w:p>
    <w:p w14:paraId="19897097" w14:textId="67FEF275" w:rsidR="00EA7458" w:rsidRPr="00353381" w:rsidRDefault="00A72A4C" w:rsidP="00D63204">
      <w:pPr>
        <w:spacing w:line="240" w:lineRule="auto"/>
        <w:ind w:left="90"/>
        <w:rPr>
          <w:rFonts w:cs="Calibri"/>
        </w:rPr>
      </w:pPr>
      <w:r w:rsidRPr="00353381">
        <w:t>Based upon the results of the 2014 Needs Assessment, FDBS developed strategies to address the identified needs</w:t>
      </w:r>
      <w:r w:rsidR="005E7C49">
        <w:t xml:space="preserve">. </w:t>
      </w:r>
      <w:r w:rsidRPr="00353381">
        <w:t xml:space="preserve">These strategies are listed in section (l) and (o). </w:t>
      </w:r>
    </w:p>
    <w:p w14:paraId="48B11BA2" w14:textId="5AE018E5" w:rsidR="00EA7458" w:rsidRPr="00543EBB" w:rsidRDefault="00EA7458" w:rsidP="00D63204">
      <w:pPr>
        <w:widowControl w:val="0"/>
        <w:spacing w:after="0" w:line="240" w:lineRule="auto"/>
        <w:ind w:left="720"/>
        <w:outlineLvl w:val="1"/>
        <w:rPr>
          <w:b/>
          <w:bCs/>
          <w:color w:val="295CA3"/>
          <w:w w:val="110"/>
          <w:sz w:val="26"/>
          <w:szCs w:val="26"/>
        </w:rPr>
      </w:pPr>
      <w:r w:rsidRPr="00EA3CBE">
        <w:rPr>
          <w:b/>
          <w:bCs/>
          <w:color w:val="295CA3"/>
          <w:w w:val="110"/>
          <w:sz w:val="26"/>
          <w:szCs w:val="26"/>
        </w:rPr>
        <w:t>(k)</w:t>
      </w:r>
      <w:r w:rsidRPr="00543EBB">
        <w:rPr>
          <w:bCs/>
          <w:color w:val="295CA3"/>
          <w:w w:val="110"/>
          <w:sz w:val="26"/>
          <w:szCs w:val="26"/>
        </w:rPr>
        <w:t xml:space="preserve"> </w:t>
      </w:r>
      <w:r w:rsidRPr="00543EBB">
        <w:rPr>
          <w:b/>
          <w:bCs/>
          <w:color w:val="295CA3"/>
          <w:w w:val="110"/>
          <w:sz w:val="26"/>
          <w:szCs w:val="26"/>
        </w:rPr>
        <w:t>Annual</w:t>
      </w:r>
      <w:r w:rsidRPr="00543EBB">
        <w:rPr>
          <w:b/>
          <w:bCs/>
          <w:color w:val="295CA3"/>
          <w:spacing w:val="5"/>
          <w:w w:val="110"/>
          <w:sz w:val="26"/>
          <w:szCs w:val="26"/>
        </w:rPr>
        <w:t xml:space="preserve"> </w:t>
      </w:r>
      <w:r w:rsidRPr="00543EBB">
        <w:rPr>
          <w:b/>
          <w:bCs/>
          <w:color w:val="295CA3"/>
          <w:w w:val="110"/>
          <w:sz w:val="26"/>
          <w:szCs w:val="26"/>
        </w:rPr>
        <w:t>Estimates</w:t>
      </w:r>
    </w:p>
    <w:p w14:paraId="6227EE0B" w14:textId="77777777" w:rsidR="008366B0" w:rsidRPr="00353381" w:rsidRDefault="008366B0" w:rsidP="00D63204">
      <w:pPr>
        <w:widowControl w:val="0"/>
        <w:spacing w:after="0" w:line="240" w:lineRule="auto"/>
        <w:ind w:left="90"/>
        <w:outlineLvl w:val="1"/>
      </w:pPr>
    </w:p>
    <w:p w14:paraId="408C6501" w14:textId="2C212050" w:rsidR="00543EBB" w:rsidRDefault="008366B0" w:rsidP="00D63204">
      <w:pPr>
        <w:spacing w:line="240" w:lineRule="auto"/>
        <w:ind w:left="90"/>
      </w:pPr>
      <w:r w:rsidRPr="00353381">
        <w:t>FDBS estimates the number of individuals to be eligible for services in the state and served during SFY 2017-2018 will be approximately 5,450</w:t>
      </w:r>
      <w:r w:rsidR="005E7C49">
        <w:t xml:space="preserve">. </w:t>
      </w:r>
      <w:r w:rsidRPr="00353381">
        <w:t>Of this number, FDBS estimates that approximately 100 will be provided services under the Title VI, Part B program</w:t>
      </w:r>
      <w:r w:rsidR="005E7C49">
        <w:t xml:space="preserve">. </w:t>
      </w:r>
      <w:r w:rsidRPr="00353381">
        <w:t xml:space="preserve">Estimates were based on a review of </w:t>
      </w:r>
      <w:r w:rsidR="00543EBB">
        <w:t>historical information such as:</w:t>
      </w:r>
    </w:p>
    <w:p w14:paraId="507A9E78" w14:textId="09E3FA7C" w:rsidR="00543EBB" w:rsidRDefault="008366B0" w:rsidP="00D63204">
      <w:pPr>
        <w:pStyle w:val="ListParagraph"/>
        <w:numPr>
          <w:ilvl w:val="0"/>
          <w:numId w:val="70"/>
        </w:numPr>
        <w:spacing w:line="240" w:lineRule="auto"/>
      </w:pPr>
      <w:r w:rsidRPr="00353381">
        <w:t xml:space="preserve">The number of individuals served over the past 5-year average – 5,182  </w:t>
      </w:r>
    </w:p>
    <w:p w14:paraId="0A0D2F82" w14:textId="77777777" w:rsidR="00543EBB" w:rsidRDefault="00543EBB" w:rsidP="00D63204">
      <w:pPr>
        <w:pStyle w:val="ListParagraph"/>
        <w:spacing w:line="240" w:lineRule="auto"/>
        <w:ind w:left="810"/>
      </w:pPr>
    </w:p>
    <w:p w14:paraId="5B3A830D" w14:textId="241DE9AB" w:rsidR="00543EBB" w:rsidRDefault="008366B0" w:rsidP="00D63204">
      <w:pPr>
        <w:pStyle w:val="ListParagraph"/>
        <w:numPr>
          <w:ilvl w:val="0"/>
          <w:numId w:val="70"/>
        </w:numPr>
        <w:spacing w:line="240" w:lineRule="auto"/>
      </w:pPr>
      <w:r w:rsidRPr="00353381">
        <w:t xml:space="preserve">The average caseload size – 62; </w:t>
      </w:r>
    </w:p>
    <w:p w14:paraId="73372EC7" w14:textId="77777777" w:rsidR="00543EBB" w:rsidRDefault="00543EBB" w:rsidP="00D63204">
      <w:pPr>
        <w:pStyle w:val="ListParagraph"/>
        <w:spacing w:line="240" w:lineRule="auto"/>
        <w:ind w:left="810"/>
      </w:pPr>
    </w:p>
    <w:p w14:paraId="130273EC" w14:textId="53A4EB39" w:rsidR="00543EBB" w:rsidRDefault="008366B0" w:rsidP="00D63204">
      <w:pPr>
        <w:pStyle w:val="ListParagraph"/>
        <w:numPr>
          <w:ilvl w:val="0"/>
          <w:numId w:val="70"/>
        </w:numPr>
        <w:spacing w:line="240" w:lineRule="auto"/>
      </w:pPr>
      <w:r w:rsidRPr="00353381">
        <w:t xml:space="preserve">The number of applications – 1,482; </w:t>
      </w:r>
    </w:p>
    <w:p w14:paraId="6FA72E70" w14:textId="77777777" w:rsidR="00543EBB" w:rsidRDefault="00543EBB" w:rsidP="00D63204">
      <w:pPr>
        <w:pStyle w:val="ListParagraph"/>
        <w:spacing w:line="240" w:lineRule="auto"/>
        <w:ind w:left="810"/>
      </w:pPr>
    </w:p>
    <w:p w14:paraId="6C11CB4F" w14:textId="28E9C0CB" w:rsidR="00543EBB" w:rsidRDefault="008366B0" w:rsidP="00D63204">
      <w:pPr>
        <w:pStyle w:val="ListParagraph"/>
        <w:numPr>
          <w:ilvl w:val="0"/>
          <w:numId w:val="70"/>
        </w:numPr>
        <w:spacing w:line="240" w:lineRule="auto"/>
      </w:pPr>
      <w:r w:rsidRPr="00353381">
        <w:t xml:space="preserve">The number of Individualized Plans for Employment (IPEs) written – 1,357; and </w:t>
      </w:r>
    </w:p>
    <w:p w14:paraId="71E7DDB0" w14:textId="77777777" w:rsidR="00543EBB" w:rsidRDefault="00543EBB" w:rsidP="00D63204">
      <w:pPr>
        <w:pStyle w:val="ListParagraph"/>
        <w:spacing w:line="240" w:lineRule="auto"/>
        <w:ind w:left="810"/>
      </w:pPr>
    </w:p>
    <w:p w14:paraId="6284F206" w14:textId="5BAFA9C5" w:rsidR="008366B0" w:rsidRPr="00353381" w:rsidRDefault="008366B0" w:rsidP="00D63204">
      <w:pPr>
        <w:pStyle w:val="ListParagraph"/>
        <w:numPr>
          <w:ilvl w:val="0"/>
          <w:numId w:val="70"/>
        </w:numPr>
        <w:spacing w:line="240" w:lineRule="auto"/>
      </w:pPr>
      <w:r w:rsidRPr="00353381">
        <w:t xml:space="preserve">The number of consumers who continue to require services from one year to the next – 3,309. </w:t>
      </w:r>
    </w:p>
    <w:p w14:paraId="6F92A437" w14:textId="5BA33EDC" w:rsidR="00543EBB" w:rsidRDefault="008366B0" w:rsidP="00D63204">
      <w:pPr>
        <w:spacing w:line="240" w:lineRule="auto"/>
        <w:ind w:left="90"/>
      </w:pPr>
      <w:r w:rsidRPr="00353381">
        <w:t>The estimated cost per person for the provision of traditional vocational rehabilitation services is $3,431.63. The cost is based on taking the total amount of vocational rehabilitation dollars spent in SFY 2016-2017, excluding expenditures for the Supported Employment ($126,328.64). The vocational rehabilitation services expenditures were $17,243,969.70 divided by the number of persons served 5,025</w:t>
      </w:r>
      <w:r w:rsidR="005E7C49">
        <w:t xml:space="preserve">. </w:t>
      </w:r>
      <w:r w:rsidRPr="00353381">
        <w:t>This</w:t>
      </w:r>
      <w:r w:rsidR="00543EBB">
        <w:t xml:space="preserve"> is shown in the formula below:</w:t>
      </w:r>
    </w:p>
    <w:p w14:paraId="0A4A5FF7" w14:textId="2C3E5D6B" w:rsidR="008366B0" w:rsidRPr="00353381" w:rsidRDefault="008366B0" w:rsidP="00D63204">
      <w:pPr>
        <w:pStyle w:val="ListParagraph"/>
        <w:numPr>
          <w:ilvl w:val="0"/>
          <w:numId w:val="71"/>
        </w:numPr>
        <w:spacing w:line="240" w:lineRule="auto"/>
      </w:pPr>
      <w:r w:rsidRPr="00543EBB">
        <w:rPr>
          <w:color w:val="231F20"/>
        </w:rPr>
        <w:t xml:space="preserve">$17,243,969.70/5,025= $3,431.63 </w:t>
      </w:r>
      <w:r w:rsidRPr="00353381">
        <w:t xml:space="preserve"> </w:t>
      </w:r>
    </w:p>
    <w:p w14:paraId="6250314A" w14:textId="0194B33B" w:rsidR="008366B0" w:rsidRPr="00353381" w:rsidRDefault="008366B0" w:rsidP="00D63204">
      <w:pPr>
        <w:spacing w:line="240" w:lineRule="auto"/>
        <w:ind w:left="90"/>
      </w:pPr>
      <w:r w:rsidRPr="00353381">
        <w:t xml:space="preserve">The vocational rehabilitation services estimated cost per person for SFY </w:t>
      </w:r>
      <w:r w:rsidR="00B408EE" w:rsidRPr="00353381">
        <w:t>2016-2017-dollar</w:t>
      </w:r>
      <w:r w:rsidRPr="00353381">
        <w:t xml:space="preserve"> value was $119.75 more than the previous SFY (2013-2014), which was $3,311.88</w:t>
      </w:r>
      <w:r w:rsidR="005E7C49">
        <w:t xml:space="preserve">. </w:t>
      </w:r>
    </w:p>
    <w:p w14:paraId="2523D4DB" w14:textId="77777777" w:rsidR="00543EBB" w:rsidRDefault="008366B0" w:rsidP="00D63204">
      <w:pPr>
        <w:spacing w:line="240" w:lineRule="auto"/>
        <w:ind w:left="90"/>
      </w:pPr>
      <w:r w:rsidRPr="00353381">
        <w:t>The cost for individuals served under Supported Employment for SFY 2016-2017 was $1,117.95 per person. This is based on the total amount of supported employment dollars spent, $126,328.64 (as discussed in section X(n) divided by the number of persons served under Supported Employment, 113. This is shown in the formula below:</w:t>
      </w:r>
    </w:p>
    <w:p w14:paraId="30D262EF" w14:textId="77777777" w:rsidR="00543EBB" w:rsidRPr="00543EBB" w:rsidRDefault="008366B0" w:rsidP="00D63204">
      <w:pPr>
        <w:pStyle w:val="ListParagraph"/>
        <w:numPr>
          <w:ilvl w:val="0"/>
          <w:numId w:val="71"/>
        </w:numPr>
        <w:spacing w:line="240" w:lineRule="auto"/>
      </w:pPr>
      <w:r w:rsidRPr="00543EBB">
        <w:rPr>
          <w:color w:val="231F20"/>
        </w:rPr>
        <w:t xml:space="preserve">$126,328.64 /113 = $1,117.95 </w:t>
      </w:r>
    </w:p>
    <w:p w14:paraId="5C6D7E81" w14:textId="3A77EC3F" w:rsidR="008366B0" w:rsidRPr="00353381" w:rsidRDefault="008366B0" w:rsidP="00D63204">
      <w:pPr>
        <w:spacing w:line="240" w:lineRule="auto"/>
        <w:ind w:left="90"/>
      </w:pPr>
      <w:r w:rsidRPr="00353381">
        <w:t>It is estimated that the SFY 2017-2018 Supported Employment cost per person will range between $1,000 and $9,000. Details regarding supported employment are outlined in section X(n).</w:t>
      </w:r>
    </w:p>
    <w:p w14:paraId="6C6FDA4B" w14:textId="2E493CD0" w:rsidR="00543EBB" w:rsidRDefault="008366B0" w:rsidP="00D63204">
      <w:pPr>
        <w:spacing w:line="240" w:lineRule="auto"/>
        <w:ind w:left="90"/>
      </w:pPr>
      <w:r w:rsidRPr="00353381">
        <w:t>FDBS is not under an order of selection; thus, cost of services by prio</w:t>
      </w:r>
      <w:r w:rsidR="00543EBB">
        <w:t xml:space="preserve">rity category is not provided. </w:t>
      </w:r>
      <w:bookmarkStart w:id="192" w:name="(l)_State_Goals_and_Priorities"/>
      <w:bookmarkStart w:id="193" w:name="_bookmark116"/>
      <w:bookmarkEnd w:id="192"/>
      <w:bookmarkEnd w:id="193"/>
    </w:p>
    <w:p w14:paraId="4AAEC4E3" w14:textId="77777777" w:rsidR="00543EBB" w:rsidRDefault="00543EBB">
      <w:r>
        <w:br w:type="page"/>
      </w:r>
    </w:p>
    <w:p w14:paraId="4A941728" w14:textId="77777777" w:rsidR="00543EBB" w:rsidRDefault="00543EBB" w:rsidP="00D63204">
      <w:pPr>
        <w:spacing w:line="240" w:lineRule="auto"/>
        <w:ind w:left="90"/>
      </w:pPr>
    </w:p>
    <w:p w14:paraId="77B34339" w14:textId="0EE3135F" w:rsidR="00EA7458" w:rsidRPr="00543EBB" w:rsidRDefault="00543EBB" w:rsidP="00D63204">
      <w:pPr>
        <w:pStyle w:val="ListParagraph"/>
        <w:numPr>
          <w:ilvl w:val="0"/>
          <w:numId w:val="72"/>
        </w:numPr>
        <w:spacing w:line="240" w:lineRule="auto"/>
      </w:pPr>
      <w:r>
        <w:rPr>
          <w:b/>
          <w:bCs/>
          <w:color w:val="295CA3"/>
          <w:w w:val="110"/>
          <w:sz w:val="26"/>
          <w:szCs w:val="26"/>
        </w:rPr>
        <w:t xml:space="preserve"> </w:t>
      </w:r>
      <w:r w:rsidR="00EA7458" w:rsidRPr="00543EBB">
        <w:rPr>
          <w:b/>
          <w:bCs/>
          <w:color w:val="295CA3"/>
          <w:w w:val="110"/>
          <w:sz w:val="26"/>
          <w:szCs w:val="26"/>
        </w:rPr>
        <w:t>State Goals and</w:t>
      </w:r>
      <w:r w:rsidR="00EA7458" w:rsidRPr="00543EBB">
        <w:rPr>
          <w:b/>
          <w:bCs/>
          <w:color w:val="295CA3"/>
          <w:spacing w:val="2"/>
          <w:w w:val="110"/>
          <w:sz w:val="26"/>
          <w:szCs w:val="26"/>
        </w:rPr>
        <w:t xml:space="preserve"> </w:t>
      </w:r>
      <w:r w:rsidR="00EA7458" w:rsidRPr="00543EBB">
        <w:rPr>
          <w:b/>
          <w:bCs/>
          <w:color w:val="295CA3"/>
          <w:w w:val="110"/>
          <w:sz w:val="26"/>
          <w:szCs w:val="26"/>
        </w:rPr>
        <w:t>Priorities</w:t>
      </w:r>
    </w:p>
    <w:p w14:paraId="29FDEB22" w14:textId="402CA38D" w:rsidR="00543EBB" w:rsidRDefault="00724AED" w:rsidP="00D63204">
      <w:pPr>
        <w:spacing w:line="240" w:lineRule="auto"/>
        <w:ind w:left="90"/>
      </w:pPr>
      <w:r w:rsidRPr="00353381">
        <w:t>The goals and priorities are based on the Comprehensive Statewide Needs Assessment (CSNA), Workforce Innovation and Opportunity Act (WIOA), strategic plan, requirements related to the performance standards and indicators</w:t>
      </w:r>
      <w:r w:rsidR="00D5537E">
        <w:t xml:space="preserve"> and</w:t>
      </w:r>
      <w:r w:rsidRPr="00353381">
        <w:t xml:space="preserve"> on other information about the state agency. (See section 101(a)(15)(C) of the Act.) </w:t>
      </w:r>
      <w:r w:rsidRPr="00353381">
        <w:rPr>
          <w:color w:val="231F20"/>
          <w:w w:val="105"/>
        </w:rPr>
        <w:t>FDBS</w:t>
      </w:r>
      <w:r w:rsidRPr="00353381">
        <w:rPr>
          <w:color w:val="231F20"/>
          <w:spacing w:val="11"/>
          <w:w w:val="105"/>
        </w:rPr>
        <w:t xml:space="preserve"> </w:t>
      </w:r>
      <w:r w:rsidRPr="00353381">
        <w:rPr>
          <w:color w:val="231F20"/>
          <w:w w:val="105"/>
        </w:rPr>
        <w:t>implemented and uses the</w:t>
      </w:r>
      <w:r w:rsidRPr="00353381">
        <w:rPr>
          <w:color w:val="231F20"/>
          <w:spacing w:val="11"/>
          <w:w w:val="105"/>
        </w:rPr>
        <w:t xml:space="preserve"> </w:t>
      </w:r>
      <w:r w:rsidRPr="00353381">
        <w:rPr>
          <w:color w:val="231F20"/>
          <w:w w:val="105"/>
        </w:rPr>
        <w:t>goals described below</w:t>
      </w:r>
      <w:r w:rsidRPr="00353381">
        <w:rPr>
          <w:color w:val="231F20"/>
          <w:spacing w:val="11"/>
          <w:w w:val="105"/>
        </w:rPr>
        <w:t xml:space="preserve"> </w:t>
      </w:r>
      <w:r w:rsidRPr="00353381">
        <w:rPr>
          <w:color w:val="231F20"/>
          <w:w w:val="105"/>
        </w:rPr>
        <w:t>to</w:t>
      </w:r>
      <w:r w:rsidRPr="00353381">
        <w:rPr>
          <w:color w:val="231F20"/>
          <w:spacing w:val="11"/>
          <w:w w:val="105"/>
        </w:rPr>
        <w:t xml:space="preserve"> </w:t>
      </w:r>
      <w:r w:rsidRPr="00353381">
        <w:rPr>
          <w:color w:val="231F20"/>
          <w:w w:val="105"/>
        </w:rPr>
        <w:t>ensure blind and</w:t>
      </w:r>
      <w:r w:rsidRPr="00353381">
        <w:rPr>
          <w:color w:val="231F20"/>
          <w:spacing w:val="19"/>
          <w:w w:val="105"/>
        </w:rPr>
        <w:t xml:space="preserve"> </w:t>
      </w:r>
      <w:r w:rsidRPr="00353381">
        <w:rPr>
          <w:color w:val="231F20"/>
          <w:w w:val="105"/>
        </w:rPr>
        <w:t>visually</w:t>
      </w:r>
      <w:r w:rsidR="00A47549">
        <w:rPr>
          <w:color w:val="231F20"/>
          <w:w w:val="105"/>
        </w:rPr>
        <w:t xml:space="preserve"> </w:t>
      </w:r>
      <w:r w:rsidRPr="00353381">
        <w:rPr>
          <w:color w:val="231F20"/>
          <w:w w:val="105"/>
        </w:rPr>
        <w:t>impaired</w:t>
      </w:r>
      <w:r w:rsidRPr="00353381">
        <w:rPr>
          <w:color w:val="231F20"/>
          <w:spacing w:val="19"/>
          <w:w w:val="105"/>
        </w:rPr>
        <w:t xml:space="preserve"> </w:t>
      </w:r>
      <w:r w:rsidRPr="00353381">
        <w:rPr>
          <w:color w:val="231F20"/>
          <w:w w:val="105"/>
        </w:rPr>
        <w:t>Floridians</w:t>
      </w:r>
      <w:r w:rsidRPr="00353381">
        <w:rPr>
          <w:color w:val="231F20"/>
          <w:spacing w:val="19"/>
          <w:w w:val="105"/>
        </w:rPr>
        <w:t xml:space="preserve"> </w:t>
      </w:r>
      <w:r w:rsidRPr="00353381">
        <w:rPr>
          <w:color w:val="231F20"/>
          <w:w w:val="105"/>
        </w:rPr>
        <w:t>have</w:t>
      </w:r>
      <w:r w:rsidRPr="00353381">
        <w:rPr>
          <w:color w:val="231F20"/>
          <w:spacing w:val="19"/>
          <w:w w:val="105"/>
        </w:rPr>
        <w:t xml:space="preserve"> </w:t>
      </w:r>
      <w:r w:rsidRPr="00353381">
        <w:rPr>
          <w:color w:val="231F20"/>
          <w:w w:val="105"/>
        </w:rPr>
        <w:t>the</w:t>
      </w:r>
      <w:r w:rsidRPr="00353381">
        <w:rPr>
          <w:color w:val="231F20"/>
          <w:spacing w:val="19"/>
          <w:w w:val="105"/>
        </w:rPr>
        <w:t xml:space="preserve"> </w:t>
      </w:r>
      <w:r w:rsidRPr="00353381">
        <w:rPr>
          <w:color w:val="231F20"/>
          <w:w w:val="105"/>
        </w:rPr>
        <w:t>tools,</w:t>
      </w:r>
      <w:r w:rsidRPr="00353381">
        <w:rPr>
          <w:color w:val="231F20"/>
          <w:spacing w:val="19"/>
          <w:w w:val="105"/>
        </w:rPr>
        <w:t xml:space="preserve"> </w:t>
      </w:r>
      <w:r w:rsidRPr="00353381">
        <w:rPr>
          <w:color w:val="231F20"/>
          <w:w w:val="105"/>
        </w:rPr>
        <w:t>support</w:t>
      </w:r>
      <w:r w:rsidRPr="00353381">
        <w:rPr>
          <w:color w:val="231F20"/>
          <w:spacing w:val="19"/>
          <w:w w:val="105"/>
        </w:rPr>
        <w:t xml:space="preserve"> </w:t>
      </w:r>
      <w:r w:rsidRPr="00353381">
        <w:rPr>
          <w:color w:val="231F20"/>
          <w:w w:val="105"/>
        </w:rPr>
        <w:t>and</w:t>
      </w:r>
      <w:r w:rsidRPr="00353381">
        <w:rPr>
          <w:color w:val="231F20"/>
          <w:spacing w:val="19"/>
          <w:w w:val="105"/>
        </w:rPr>
        <w:t xml:space="preserve"> </w:t>
      </w:r>
      <w:r w:rsidRPr="00353381">
        <w:rPr>
          <w:color w:val="231F20"/>
          <w:w w:val="105"/>
        </w:rPr>
        <w:t>opportunities</w:t>
      </w:r>
      <w:r w:rsidRPr="00353381">
        <w:rPr>
          <w:color w:val="231F20"/>
          <w:spacing w:val="19"/>
          <w:w w:val="105"/>
        </w:rPr>
        <w:t xml:space="preserve"> </w:t>
      </w:r>
      <w:r w:rsidRPr="00353381">
        <w:rPr>
          <w:color w:val="231F20"/>
          <w:w w:val="105"/>
        </w:rPr>
        <w:t>to</w:t>
      </w:r>
      <w:r w:rsidRPr="00353381">
        <w:rPr>
          <w:color w:val="231F20"/>
          <w:spacing w:val="19"/>
          <w:w w:val="105"/>
        </w:rPr>
        <w:t xml:space="preserve"> </w:t>
      </w:r>
      <w:r w:rsidRPr="00353381">
        <w:rPr>
          <w:color w:val="231F20"/>
          <w:w w:val="105"/>
        </w:rPr>
        <w:t>achieve</w:t>
      </w:r>
      <w:r w:rsidRPr="00353381">
        <w:rPr>
          <w:color w:val="231F20"/>
          <w:spacing w:val="19"/>
          <w:w w:val="105"/>
        </w:rPr>
        <w:t xml:space="preserve"> </w:t>
      </w:r>
      <w:r w:rsidRPr="00353381">
        <w:rPr>
          <w:color w:val="231F20"/>
          <w:w w:val="105"/>
        </w:rPr>
        <w:t>success.</w:t>
      </w:r>
      <w:r w:rsidRPr="00353381">
        <w:rPr>
          <w:color w:val="231F20"/>
          <w:spacing w:val="38"/>
          <w:w w:val="105"/>
        </w:rPr>
        <w:t xml:space="preserve"> </w:t>
      </w:r>
      <w:r w:rsidRPr="00353381">
        <w:rPr>
          <w:color w:val="231F20"/>
          <w:w w:val="105"/>
        </w:rPr>
        <w:t>These strategies</w:t>
      </w:r>
      <w:r w:rsidRPr="00353381">
        <w:rPr>
          <w:color w:val="231F20"/>
          <w:spacing w:val="19"/>
          <w:w w:val="105"/>
        </w:rPr>
        <w:t xml:space="preserve"> </w:t>
      </w:r>
      <w:r w:rsidRPr="00353381">
        <w:rPr>
          <w:color w:val="231F20"/>
          <w:w w:val="105"/>
        </w:rPr>
        <w:t>assist</w:t>
      </w:r>
      <w:r w:rsidRPr="00353381">
        <w:rPr>
          <w:color w:val="231F20"/>
          <w:spacing w:val="19"/>
          <w:w w:val="105"/>
        </w:rPr>
        <w:t xml:space="preserve"> </w:t>
      </w:r>
      <w:r w:rsidRPr="00353381">
        <w:rPr>
          <w:color w:val="231F20"/>
          <w:w w:val="105"/>
        </w:rPr>
        <w:t>FDBS</w:t>
      </w:r>
      <w:r w:rsidRPr="00353381">
        <w:rPr>
          <w:color w:val="231F20"/>
          <w:spacing w:val="19"/>
          <w:w w:val="105"/>
        </w:rPr>
        <w:t xml:space="preserve"> in </w:t>
      </w:r>
      <w:r w:rsidRPr="00353381">
        <w:rPr>
          <w:color w:val="231F20"/>
          <w:w w:val="105"/>
        </w:rPr>
        <w:t>providing equal</w:t>
      </w:r>
      <w:r w:rsidRPr="00353381">
        <w:rPr>
          <w:color w:val="231F20"/>
          <w:spacing w:val="19"/>
          <w:w w:val="105"/>
        </w:rPr>
        <w:t xml:space="preserve"> </w:t>
      </w:r>
      <w:r w:rsidRPr="00353381">
        <w:rPr>
          <w:color w:val="231F20"/>
          <w:w w:val="105"/>
        </w:rPr>
        <w:t>access</w:t>
      </w:r>
      <w:r w:rsidRPr="00353381">
        <w:rPr>
          <w:color w:val="231F20"/>
          <w:spacing w:val="19"/>
          <w:w w:val="105"/>
        </w:rPr>
        <w:t xml:space="preserve"> </w:t>
      </w:r>
      <w:r w:rsidRPr="00353381">
        <w:rPr>
          <w:color w:val="231F20"/>
          <w:w w:val="105"/>
        </w:rPr>
        <w:t>for</w:t>
      </w:r>
      <w:r w:rsidRPr="00353381">
        <w:rPr>
          <w:color w:val="231F20"/>
          <w:spacing w:val="19"/>
          <w:w w:val="105"/>
        </w:rPr>
        <w:t xml:space="preserve"> </w:t>
      </w:r>
      <w:r w:rsidRPr="00353381">
        <w:rPr>
          <w:color w:val="231F20"/>
          <w:w w:val="105"/>
        </w:rPr>
        <w:t>clients,</w:t>
      </w:r>
      <w:r w:rsidRPr="00353381">
        <w:rPr>
          <w:color w:val="231F20"/>
          <w:spacing w:val="19"/>
          <w:w w:val="105"/>
        </w:rPr>
        <w:t xml:space="preserve"> </w:t>
      </w:r>
      <w:r w:rsidRPr="00353381">
        <w:rPr>
          <w:color w:val="231F20"/>
          <w:w w:val="105"/>
        </w:rPr>
        <w:t>increasing the</w:t>
      </w:r>
      <w:r w:rsidRPr="00353381">
        <w:rPr>
          <w:color w:val="231F20"/>
          <w:spacing w:val="19"/>
          <w:w w:val="105"/>
        </w:rPr>
        <w:t xml:space="preserve"> </w:t>
      </w:r>
      <w:r w:rsidRPr="00353381">
        <w:rPr>
          <w:color w:val="231F20"/>
          <w:w w:val="105"/>
        </w:rPr>
        <w:t>number</w:t>
      </w:r>
      <w:r w:rsidRPr="00353381">
        <w:rPr>
          <w:color w:val="231F20"/>
          <w:spacing w:val="19"/>
          <w:w w:val="105"/>
        </w:rPr>
        <w:t xml:space="preserve"> </w:t>
      </w:r>
      <w:r w:rsidRPr="00353381">
        <w:rPr>
          <w:color w:val="231F20"/>
          <w:w w:val="105"/>
        </w:rPr>
        <w:t>of</w:t>
      </w:r>
      <w:r w:rsidRPr="00353381">
        <w:rPr>
          <w:color w:val="231F20"/>
          <w:spacing w:val="19"/>
          <w:w w:val="105"/>
        </w:rPr>
        <w:t xml:space="preserve"> </w:t>
      </w:r>
      <w:r w:rsidRPr="00353381">
        <w:rPr>
          <w:color w:val="231F20"/>
          <w:w w:val="105"/>
        </w:rPr>
        <w:t>employers</w:t>
      </w:r>
      <w:r w:rsidRPr="00353381">
        <w:rPr>
          <w:color w:val="231F20"/>
          <w:spacing w:val="19"/>
          <w:w w:val="105"/>
        </w:rPr>
        <w:t xml:space="preserve"> </w:t>
      </w:r>
      <w:r w:rsidRPr="00353381">
        <w:rPr>
          <w:color w:val="231F20"/>
          <w:w w:val="105"/>
        </w:rPr>
        <w:t>hiring</w:t>
      </w:r>
      <w:r w:rsidRPr="00353381">
        <w:rPr>
          <w:color w:val="231F20"/>
          <w:spacing w:val="-29"/>
          <w:w w:val="105"/>
        </w:rPr>
        <w:t xml:space="preserve"> </w:t>
      </w:r>
      <w:r w:rsidRPr="00353381">
        <w:rPr>
          <w:color w:val="231F20"/>
          <w:w w:val="105"/>
        </w:rPr>
        <w:t>clients,</w:t>
      </w:r>
      <w:r w:rsidRPr="00353381">
        <w:rPr>
          <w:color w:val="231F20"/>
          <w:spacing w:val="16"/>
          <w:w w:val="105"/>
        </w:rPr>
        <w:t xml:space="preserve"> </w:t>
      </w:r>
      <w:r w:rsidRPr="00353381">
        <w:rPr>
          <w:color w:val="231F20"/>
          <w:w w:val="105"/>
        </w:rPr>
        <w:t>generating FDBS</w:t>
      </w:r>
      <w:r w:rsidRPr="00353381">
        <w:rPr>
          <w:color w:val="231F20"/>
          <w:spacing w:val="16"/>
          <w:w w:val="105"/>
        </w:rPr>
        <w:t xml:space="preserve"> </w:t>
      </w:r>
      <w:r w:rsidRPr="00353381">
        <w:rPr>
          <w:color w:val="231F20"/>
          <w:w w:val="105"/>
        </w:rPr>
        <w:t>program</w:t>
      </w:r>
      <w:r w:rsidRPr="00353381">
        <w:rPr>
          <w:color w:val="231F20"/>
          <w:spacing w:val="16"/>
          <w:w w:val="105"/>
        </w:rPr>
        <w:t xml:space="preserve"> </w:t>
      </w:r>
      <w:r w:rsidRPr="00353381">
        <w:rPr>
          <w:color w:val="231F20"/>
          <w:w w:val="105"/>
        </w:rPr>
        <w:t>awareness</w:t>
      </w:r>
      <w:r w:rsidRPr="00353381">
        <w:rPr>
          <w:color w:val="231F20"/>
          <w:spacing w:val="16"/>
          <w:w w:val="105"/>
        </w:rPr>
        <w:t xml:space="preserve"> </w:t>
      </w:r>
      <w:r w:rsidRPr="00353381">
        <w:rPr>
          <w:color w:val="231F20"/>
          <w:w w:val="105"/>
        </w:rPr>
        <w:t>and</w:t>
      </w:r>
      <w:r w:rsidRPr="00353381">
        <w:rPr>
          <w:color w:val="231F20"/>
          <w:spacing w:val="16"/>
          <w:w w:val="105"/>
        </w:rPr>
        <w:t xml:space="preserve"> </w:t>
      </w:r>
      <w:r w:rsidRPr="00353381">
        <w:rPr>
          <w:color w:val="231F20"/>
          <w:w w:val="105"/>
        </w:rPr>
        <w:t>strengthening</w:t>
      </w:r>
      <w:r w:rsidRPr="00353381">
        <w:rPr>
          <w:color w:val="231F20"/>
          <w:spacing w:val="16"/>
          <w:w w:val="105"/>
        </w:rPr>
        <w:t xml:space="preserve"> </w:t>
      </w:r>
      <w:r w:rsidRPr="00353381">
        <w:rPr>
          <w:color w:val="231F20"/>
          <w:w w:val="105"/>
        </w:rPr>
        <w:t>infrastructure.</w:t>
      </w:r>
      <w:r w:rsidRPr="00353381">
        <w:rPr>
          <w:color w:val="231F20"/>
          <w:w w:val="105"/>
        </w:rPr>
        <w:br/>
      </w:r>
      <w:r w:rsidRPr="00353381">
        <w:rPr>
          <w:color w:val="231F20"/>
          <w:w w:val="105"/>
        </w:rPr>
        <w:br/>
      </w:r>
      <w:r w:rsidRPr="00353381">
        <w:t>The goals and strategies were derived from stakeholder input, the DOE strategic plan and results of the CSNA</w:t>
      </w:r>
      <w:r w:rsidR="005E7C49">
        <w:t xml:space="preserve">. </w:t>
      </w:r>
      <w:r w:rsidRPr="00353381">
        <w:t xml:space="preserve">FDBS discussed goals and strategies with the Florida Rehabilitation Council for the Blind and incorporated feedback received by the Council. </w:t>
      </w:r>
    </w:p>
    <w:p w14:paraId="620A4717" w14:textId="75454F0E" w:rsidR="00543EBB" w:rsidRDefault="00724AED" w:rsidP="00D63204">
      <w:pPr>
        <w:spacing w:line="240" w:lineRule="auto"/>
        <w:ind w:left="90"/>
      </w:pPr>
      <w:r w:rsidRPr="00353381">
        <w:t>Four goals address the vocational rehabilitation and supported employment programs. These goals, strategies</w:t>
      </w:r>
      <w:r w:rsidR="00D5537E">
        <w:t xml:space="preserve"> and</w:t>
      </w:r>
      <w:r w:rsidRPr="00353381">
        <w:t xml:space="preserve"> measures are: </w:t>
      </w:r>
    </w:p>
    <w:p w14:paraId="321AA72E" w14:textId="7154F533" w:rsidR="00543EBB" w:rsidRDefault="00724AED" w:rsidP="00D63204">
      <w:pPr>
        <w:pStyle w:val="ListParagraph"/>
        <w:numPr>
          <w:ilvl w:val="0"/>
          <w:numId w:val="71"/>
        </w:numPr>
        <w:spacing w:line="240" w:lineRule="auto"/>
      </w:pPr>
      <w:r w:rsidRPr="00353381">
        <w:t xml:space="preserve">Highest Client Achievement </w:t>
      </w:r>
    </w:p>
    <w:p w14:paraId="634FA919" w14:textId="77777777" w:rsidR="00543EBB" w:rsidRDefault="00543EBB" w:rsidP="00D63204">
      <w:pPr>
        <w:pStyle w:val="ListParagraph"/>
        <w:spacing w:line="240" w:lineRule="auto"/>
        <w:ind w:left="810"/>
      </w:pPr>
    </w:p>
    <w:p w14:paraId="2788D67B" w14:textId="46368454" w:rsidR="00543EBB" w:rsidRDefault="00724AED" w:rsidP="00D63204">
      <w:pPr>
        <w:pStyle w:val="ListParagraph"/>
        <w:numPr>
          <w:ilvl w:val="0"/>
          <w:numId w:val="71"/>
        </w:numPr>
        <w:spacing w:line="240" w:lineRule="auto"/>
      </w:pPr>
      <w:r w:rsidRPr="00353381">
        <w:t xml:space="preserve">Seamless Articulation and Maximum Access </w:t>
      </w:r>
    </w:p>
    <w:p w14:paraId="347F7271" w14:textId="77777777" w:rsidR="00543EBB" w:rsidRDefault="00543EBB" w:rsidP="00D63204">
      <w:pPr>
        <w:pStyle w:val="ListParagraph"/>
        <w:spacing w:line="240" w:lineRule="auto"/>
        <w:ind w:left="810"/>
      </w:pPr>
    </w:p>
    <w:p w14:paraId="0FD44C8E" w14:textId="68503D23" w:rsidR="00543EBB" w:rsidRDefault="00724AED" w:rsidP="00D63204">
      <w:pPr>
        <w:pStyle w:val="ListParagraph"/>
        <w:numPr>
          <w:ilvl w:val="0"/>
          <w:numId w:val="71"/>
        </w:numPr>
        <w:spacing w:line="240" w:lineRule="auto"/>
      </w:pPr>
      <w:r w:rsidRPr="00353381">
        <w:t xml:space="preserve">Skilled Workforce and Economic Development </w:t>
      </w:r>
    </w:p>
    <w:p w14:paraId="694663F2" w14:textId="77777777" w:rsidR="00543EBB" w:rsidRDefault="00543EBB" w:rsidP="00D63204">
      <w:pPr>
        <w:pStyle w:val="ListParagraph"/>
        <w:spacing w:line="240" w:lineRule="auto"/>
        <w:ind w:left="810"/>
      </w:pPr>
    </w:p>
    <w:p w14:paraId="5D24B208" w14:textId="17AAD5AF" w:rsidR="00724AED" w:rsidRPr="00353381" w:rsidRDefault="00724AED" w:rsidP="00D63204">
      <w:pPr>
        <w:pStyle w:val="ListParagraph"/>
        <w:numPr>
          <w:ilvl w:val="0"/>
          <w:numId w:val="71"/>
        </w:numPr>
        <w:spacing w:after="0" w:line="240" w:lineRule="auto"/>
      </w:pPr>
      <w:r w:rsidRPr="00353381">
        <w:t>Quality Efficient Services</w:t>
      </w:r>
    </w:p>
    <w:p w14:paraId="3CBF1B5A" w14:textId="77777777" w:rsidR="00543EBB" w:rsidRDefault="00543EBB" w:rsidP="00D63204">
      <w:pPr>
        <w:spacing w:line="240" w:lineRule="auto"/>
        <w:ind w:left="90"/>
        <w:rPr>
          <w:b/>
        </w:rPr>
      </w:pPr>
    </w:p>
    <w:p w14:paraId="63CEB28C" w14:textId="60BC8ECC" w:rsidR="00724AED" w:rsidRPr="00353381" w:rsidRDefault="00724AED" w:rsidP="00D63204">
      <w:pPr>
        <w:spacing w:line="240" w:lineRule="auto"/>
        <w:ind w:left="90"/>
        <w:rPr>
          <w:b/>
        </w:rPr>
      </w:pPr>
      <w:r w:rsidRPr="00353381">
        <w:rPr>
          <w:b/>
        </w:rPr>
        <w:t xml:space="preserve">Goal 1.0 Highest Client Achievement </w:t>
      </w:r>
    </w:p>
    <w:p w14:paraId="0BA4964E" w14:textId="7EF6BA3A" w:rsidR="00724AED" w:rsidRPr="00353381" w:rsidRDefault="00724AED" w:rsidP="00D63204">
      <w:pPr>
        <w:spacing w:line="240" w:lineRule="auto"/>
        <w:ind w:left="90"/>
      </w:pPr>
      <w:r w:rsidRPr="00353381">
        <w:rPr>
          <w:u w:val="single"/>
        </w:rPr>
        <w:t>Objective:</w:t>
      </w:r>
      <w:r w:rsidRPr="00353381">
        <w:t xml:space="preserve"> Coordinate and secure high-quality training, education, work experiences and partnerships that create opportunities for blind and visually impaired Floridians to obtain and maintain independence, postsecondary education credentials</w:t>
      </w:r>
      <w:r w:rsidR="00D5537E">
        <w:t xml:space="preserve"> and</w:t>
      </w:r>
      <w:r w:rsidRPr="00353381">
        <w:t xml:space="preserve"> successful employment outcomes.</w:t>
      </w:r>
    </w:p>
    <w:p w14:paraId="4426E1F6" w14:textId="77777777" w:rsidR="00724AED" w:rsidRPr="00353381" w:rsidRDefault="00724AED" w:rsidP="00D63204">
      <w:pPr>
        <w:spacing w:line="240" w:lineRule="auto"/>
        <w:ind w:left="90"/>
      </w:pPr>
      <w:r w:rsidRPr="00353381">
        <w:rPr>
          <w:u w:val="single"/>
        </w:rPr>
        <w:t>Strategy 1.1:</w:t>
      </w:r>
      <w:r w:rsidRPr="00353381">
        <w:t xml:space="preserve"> Expand opportunities for students to receive FDBS services and secure opportunities for students and youth with disabilities to practice and improve workplace skills.</w:t>
      </w:r>
    </w:p>
    <w:p w14:paraId="22B779FA" w14:textId="6EF3DBC7" w:rsidR="00724AED" w:rsidRPr="00353381" w:rsidRDefault="00724AED" w:rsidP="00D63204">
      <w:pPr>
        <w:spacing w:line="240" w:lineRule="auto"/>
        <w:ind w:left="90"/>
      </w:pPr>
      <w:r w:rsidRPr="00353381">
        <w:t>Measure: This strategy is measured based on a review and analysis of outcome data</w:t>
      </w:r>
      <w:r w:rsidR="005E7C49">
        <w:t xml:space="preserve">. </w:t>
      </w:r>
    </w:p>
    <w:p w14:paraId="73CF3CF7" w14:textId="6A6E1305" w:rsidR="00724AED" w:rsidRPr="00353381" w:rsidRDefault="00724AED" w:rsidP="00D63204">
      <w:pPr>
        <w:spacing w:line="240" w:lineRule="auto"/>
        <w:ind w:left="90"/>
      </w:pPr>
      <w:r w:rsidRPr="00353381">
        <w:rPr>
          <w:u w:val="single"/>
        </w:rPr>
        <w:t>Strategy 1.2:</w:t>
      </w:r>
      <w:r w:rsidRPr="00353381">
        <w:t xml:space="preserve"> Ensure clients participating in training and education programs are benefiting from engagement. </w:t>
      </w:r>
    </w:p>
    <w:p w14:paraId="7062C511" w14:textId="1BDCA7EC" w:rsidR="00724AED" w:rsidRPr="00353381" w:rsidRDefault="00724AED" w:rsidP="00D63204">
      <w:pPr>
        <w:spacing w:line="240" w:lineRule="auto"/>
        <w:ind w:left="90"/>
      </w:pPr>
      <w:r w:rsidRPr="00353381">
        <w:t xml:space="preserve">Measure: This strategy is measured by evaluating the gains (measurable progress) that clients achieve through training and educational programs. </w:t>
      </w:r>
    </w:p>
    <w:p w14:paraId="182F0867" w14:textId="5A5343DF" w:rsidR="00724AED" w:rsidRPr="00353381" w:rsidRDefault="00724AED" w:rsidP="00D63204">
      <w:pPr>
        <w:spacing w:line="240" w:lineRule="auto"/>
        <w:ind w:left="90"/>
      </w:pPr>
      <w:r w:rsidRPr="00353381">
        <w:rPr>
          <w:u w:val="single"/>
        </w:rPr>
        <w:t>Strategy 1.3:</w:t>
      </w:r>
      <w:r w:rsidRPr="00353381">
        <w:t xml:space="preserve"> Expand utilization of online job systems such as DEO’s Abilities Work Web Portal and accompanying help desk managed by VR</w:t>
      </w:r>
      <w:r w:rsidR="00D5537E">
        <w:t xml:space="preserve"> and</w:t>
      </w:r>
      <w:r w:rsidRPr="00353381">
        <w:t xml:space="preserve"> the state/federal Talent Acquisition Portal to expose employers to job ready FDBS consumers. </w:t>
      </w:r>
    </w:p>
    <w:p w14:paraId="4520FDC7" w14:textId="55D5E7B6" w:rsidR="00A82712" w:rsidRPr="00353381" w:rsidRDefault="00724AED" w:rsidP="005C4A77">
      <w:pPr>
        <w:spacing w:line="240" w:lineRule="auto"/>
        <w:ind w:left="90"/>
      </w:pPr>
      <w:r w:rsidRPr="00353381">
        <w:t xml:space="preserve">Measure: This strategy is measured by connecting FDBS clients with electronic systems used by employers to seek talented individuals with disabilities. </w:t>
      </w:r>
    </w:p>
    <w:p w14:paraId="75800F06" w14:textId="1A6D46DF" w:rsidR="00724AED" w:rsidRPr="00353381" w:rsidRDefault="00724AED" w:rsidP="00D63204">
      <w:pPr>
        <w:spacing w:line="240" w:lineRule="auto"/>
        <w:ind w:left="90"/>
      </w:pPr>
      <w:r w:rsidRPr="00353381">
        <w:rPr>
          <w:u w:val="single"/>
        </w:rPr>
        <w:lastRenderedPageBreak/>
        <w:t>Strategy 1.4:</w:t>
      </w:r>
      <w:r w:rsidRPr="00353381">
        <w:t xml:space="preserve"> Encourage and </w:t>
      </w:r>
      <w:r w:rsidR="009D3279">
        <w:t>t</w:t>
      </w:r>
      <w:r w:rsidRPr="00353381">
        <w:t xml:space="preserve">rack industry certifications, apprenticeships and </w:t>
      </w:r>
      <w:r w:rsidR="00600A6C">
        <w:t>postsecondary</w:t>
      </w:r>
      <w:r w:rsidRPr="00353381">
        <w:t xml:space="preserve"> outcomes.</w:t>
      </w:r>
    </w:p>
    <w:p w14:paraId="4CCD3F9B" w14:textId="475FA524" w:rsidR="00724AED" w:rsidRPr="00353381" w:rsidRDefault="00724AED" w:rsidP="00D63204">
      <w:pPr>
        <w:spacing w:line="240" w:lineRule="auto"/>
        <w:ind w:left="90"/>
      </w:pPr>
      <w:r w:rsidRPr="00353381">
        <w:t>Measure: This strategy is measured by the percentage of participants who engage in apprenticeships programs</w:t>
      </w:r>
      <w:r w:rsidR="00D5537E">
        <w:t xml:space="preserve"> and</w:t>
      </w:r>
      <w:r w:rsidRPr="00353381">
        <w:t xml:space="preserve"> those who attain industry certifications, a </w:t>
      </w:r>
      <w:r w:rsidR="00600A6C">
        <w:t>postsecondary</w:t>
      </w:r>
      <w:r w:rsidRPr="00353381">
        <w:t xml:space="preserve"> credential or secondary school diploma within one year after exit.</w:t>
      </w:r>
    </w:p>
    <w:p w14:paraId="790E02D5" w14:textId="77777777" w:rsidR="00724AED" w:rsidRPr="00353381" w:rsidRDefault="00724AED" w:rsidP="00D63204">
      <w:pPr>
        <w:spacing w:line="240" w:lineRule="auto"/>
        <w:ind w:left="90"/>
      </w:pPr>
      <w:r w:rsidRPr="00353381">
        <w:rPr>
          <w:u w:val="single"/>
        </w:rPr>
        <w:t>Strategy 1.5:</w:t>
      </w:r>
      <w:r w:rsidRPr="00353381">
        <w:t xml:space="preserve"> Develop and implement an Employment Skills Training Program at the Residential Rehabilitation Center to better prepare youth and adults who are blind and visually impaired for success in future employment.</w:t>
      </w:r>
    </w:p>
    <w:p w14:paraId="298FAA4E" w14:textId="0502288E" w:rsidR="00724AED" w:rsidRPr="00353381" w:rsidRDefault="00724AED" w:rsidP="00D63204">
      <w:pPr>
        <w:spacing w:after="0" w:line="240" w:lineRule="auto"/>
        <w:ind w:left="90"/>
      </w:pPr>
      <w:r w:rsidRPr="00353381">
        <w:t>Measure: This strategy is measured based upon the number of training sessions provided, the number of people who obtain successful employment and an analysis of outcome data</w:t>
      </w:r>
      <w:r w:rsidR="005E7C49">
        <w:t xml:space="preserve">. </w:t>
      </w:r>
    </w:p>
    <w:p w14:paraId="302F27B8" w14:textId="77777777" w:rsidR="00A82712" w:rsidRDefault="00A82712" w:rsidP="00D63204">
      <w:pPr>
        <w:spacing w:line="240" w:lineRule="auto"/>
        <w:ind w:left="90"/>
        <w:rPr>
          <w:b/>
        </w:rPr>
      </w:pPr>
    </w:p>
    <w:p w14:paraId="07852ECF" w14:textId="5FFAB644" w:rsidR="00724AED" w:rsidRPr="00353381" w:rsidRDefault="00724AED" w:rsidP="00D63204">
      <w:pPr>
        <w:spacing w:line="240" w:lineRule="auto"/>
        <w:ind w:left="90"/>
        <w:rPr>
          <w:b/>
        </w:rPr>
      </w:pPr>
      <w:r w:rsidRPr="00353381">
        <w:rPr>
          <w:b/>
        </w:rPr>
        <w:t xml:space="preserve">Goal 2.0 Seamless Articulation and Maximum Access </w:t>
      </w:r>
    </w:p>
    <w:p w14:paraId="1B615EB8" w14:textId="5FB1D0B4" w:rsidR="00724AED" w:rsidRPr="00353381" w:rsidRDefault="00724AED" w:rsidP="00D63204">
      <w:pPr>
        <w:spacing w:line="240" w:lineRule="auto"/>
        <w:ind w:left="90"/>
      </w:pPr>
      <w:r w:rsidRPr="00353381">
        <w:rPr>
          <w:u w:val="single"/>
        </w:rPr>
        <w:t>Objective:</w:t>
      </w:r>
      <w:r w:rsidRPr="00353381">
        <w:t xml:space="preserve"> Create a comprehensive service delivery system that fosters accessibility and provides positive experiences for blind and visually impaired Floridians enabling them to matriculate from school/training to work</w:t>
      </w:r>
      <w:r w:rsidR="005E7C49">
        <w:t xml:space="preserve">. </w:t>
      </w:r>
      <w:r w:rsidRPr="00353381">
        <w:t>Improve outreach methods to reach more consumers, advocates, providers, employers and other stakeholders.</w:t>
      </w:r>
    </w:p>
    <w:p w14:paraId="017B7012" w14:textId="3B4F3BD5" w:rsidR="00724AED" w:rsidRPr="00353381" w:rsidRDefault="00724AED" w:rsidP="00D63204">
      <w:pPr>
        <w:spacing w:line="240" w:lineRule="auto"/>
        <w:ind w:left="90"/>
      </w:pPr>
      <w:r w:rsidRPr="00353381">
        <w:rPr>
          <w:u w:val="single"/>
        </w:rPr>
        <w:t>Strategy 2.1:</w:t>
      </w:r>
      <w:r w:rsidRPr="00353381">
        <w:t xml:space="preserve"> Increase the provision of accessibility tools, awareness</w:t>
      </w:r>
      <w:r w:rsidR="00D5537E">
        <w:t xml:space="preserve"> and</w:t>
      </w:r>
      <w:r w:rsidRPr="00353381">
        <w:t xml:space="preserve"> regular follow-up with consumers to ensure equality in educational experiences and vocational opportunities.</w:t>
      </w:r>
    </w:p>
    <w:p w14:paraId="778710FE" w14:textId="34DEF1F1" w:rsidR="00724AED" w:rsidRPr="00353381" w:rsidRDefault="00724AED" w:rsidP="00D63204">
      <w:pPr>
        <w:spacing w:line="240" w:lineRule="auto"/>
        <w:ind w:left="90"/>
      </w:pPr>
      <w:r w:rsidRPr="00353381">
        <w:t>Measure: This strategy is measured based on a review and analysis of outcome data</w:t>
      </w:r>
      <w:r w:rsidR="005E7C49">
        <w:t xml:space="preserve">. </w:t>
      </w:r>
    </w:p>
    <w:p w14:paraId="13A3D1CB" w14:textId="77777777" w:rsidR="00724AED" w:rsidRPr="00353381" w:rsidRDefault="00724AED" w:rsidP="00D63204">
      <w:pPr>
        <w:spacing w:line="240" w:lineRule="auto"/>
        <w:ind w:left="90"/>
      </w:pPr>
      <w:r w:rsidRPr="00353381">
        <w:rPr>
          <w:u w:val="single"/>
        </w:rPr>
        <w:t>Strategy 2.2:</w:t>
      </w:r>
      <w:r w:rsidRPr="00353381">
        <w:t xml:space="preserve"> Implement a comprehensive communications and outreach plan.</w:t>
      </w:r>
    </w:p>
    <w:p w14:paraId="0EB41EF5" w14:textId="69B7277A" w:rsidR="00724AED" w:rsidRPr="00353381" w:rsidRDefault="00724AED" w:rsidP="00D63204">
      <w:pPr>
        <w:spacing w:line="240" w:lineRule="auto"/>
        <w:ind w:left="90"/>
      </w:pPr>
      <w:r w:rsidRPr="00353381">
        <w:t>Measure: This strategy is   measured based on the development of a communication plan, comparative data</w:t>
      </w:r>
      <w:r w:rsidR="00D5537E">
        <w:t xml:space="preserve"> and</w:t>
      </w:r>
      <w:r w:rsidRPr="00353381">
        <w:t xml:space="preserve"> the number of program referrals. </w:t>
      </w:r>
    </w:p>
    <w:p w14:paraId="2F14580C" w14:textId="77777777" w:rsidR="00724AED" w:rsidRPr="00353381" w:rsidRDefault="00724AED" w:rsidP="00D63204">
      <w:pPr>
        <w:spacing w:line="240" w:lineRule="auto"/>
        <w:ind w:left="90"/>
      </w:pPr>
      <w:r w:rsidRPr="00353381">
        <w:rPr>
          <w:u w:val="single"/>
        </w:rPr>
        <w:t>Strategy 2.3:</w:t>
      </w:r>
      <w:r w:rsidRPr="00353381">
        <w:t xml:space="preserve"> Increase the number of individuals with significant and most significant disabilities receiving services.</w:t>
      </w:r>
    </w:p>
    <w:p w14:paraId="3A82A34B" w14:textId="2162EBE6" w:rsidR="00724AED" w:rsidRPr="00353381" w:rsidRDefault="00724AED" w:rsidP="00D63204">
      <w:pPr>
        <w:spacing w:line="240" w:lineRule="auto"/>
        <w:ind w:left="90"/>
      </w:pPr>
      <w:r w:rsidRPr="00353381">
        <w:t>Measure: This strategy is measured by reviewing and analyzing outcome data</w:t>
      </w:r>
      <w:r w:rsidR="005E7C49">
        <w:t xml:space="preserve">. </w:t>
      </w:r>
    </w:p>
    <w:p w14:paraId="40BF5368" w14:textId="77777777" w:rsidR="00724AED" w:rsidRPr="00353381" w:rsidRDefault="00724AED" w:rsidP="00D63204">
      <w:pPr>
        <w:spacing w:line="240" w:lineRule="auto"/>
        <w:ind w:left="90"/>
      </w:pPr>
      <w:r w:rsidRPr="00353381">
        <w:rPr>
          <w:u w:val="single"/>
        </w:rPr>
        <w:t>Strategy 2.4:</w:t>
      </w:r>
      <w:r w:rsidRPr="00353381">
        <w:t xml:space="preserve"> Increase outreach services to under-served and un-served population. </w:t>
      </w:r>
    </w:p>
    <w:p w14:paraId="06EF8A7C" w14:textId="0AE3A890" w:rsidR="00724AED" w:rsidRPr="00353381" w:rsidRDefault="00724AED" w:rsidP="00D63204">
      <w:pPr>
        <w:spacing w:line="240" w:lineRule="auto"/>
        <w:ind w:left="90"/>
      </w:pPr>
      <w:r w:rsidRPr="00353381">
        <w:t xml:space="preserve">Measure: This strategy is measured by comparing baseline demographic client data on the number of individuals served in succeeding program years. </w:t>
      </w:r>
    </w:p>
    <w:p w14:paraId="2EA07863" w14:textId="77777777" w:rsidR="00724AED" w:rsidRPr="00353381" w:rsidRDefault="00724AED" w:rsidP="00D63204">
      <w:pPr>
        <w:spacing w:line="240" w:lineRule="auto"/>
        <w:ind w:left="90"/>
      </w:pPr>
      <w:r w:rsidRPr="00353381">
        <w:rPr>
          <w:u w:val="single"/>
        </w:rPr>
        <w:t>Strategy 2.5:</w:t>
      </w:r>
      <w:r w:rsidRPr="00353381">
        <w:t xml:space="preserve"> Work with each client to ensure that IEP goals are consistent with and/or are amenable to transportation resources.</w:t>
      </w:r>
    </w:p>
    <w:p w14:paraId="5D37306D" w14:textId="26EADDB9" w:rsidR="00724AED" w:rsidRPr="00353381" w:rsidRDefault="00724AED" w:rsidP="00D63204">
      <w:pPr>
        <w:spacing w:line="240" w:lineRule="auto"/>
        <w:ind w:left="90"/>
      </w:pPr>
      <w:r w:rsidRPr="00353381">
        <w:t xml:space="preserve">Measure: This strategy is measured based on research results. </w:t>
      </w:r>
    </w:p>
    <w:p w14:paraId="5B5E8D34" w14:textId="77777777" w:rsidR="00EA3CBE" w:rsidRDefault="00A82712" w:rsidP="00D63204">
      <w:pPr>
        <w:spacing w:line="240" w:lineRule="auto"/>
        <w:ind w:left="90"/>
        <w:rPr>
          <w:b/>
        </w:rPr>
      </w:pPr>
      <w:r>
        <w:rPr>
          <w:b/>
        </w:rPr>
        <w:br/>
      </w:r>
    </w:p>
    <w:p w14:paraId="3FDD660A" w14:textId="77777777" w:rsidR="00EA3CBE" w:rsidRDefault="00EA3CBE">
      <w:pPr>
        <w:rPr>
          <w:b/>
        </w:rPr>
      </w:pPr>
      <w:r>
        <w:rPr>
          <w:b/>
        </w:rPr>
        <w:br w:type="page"/>
      </w:r>
    </w:p>
    <w:p w14:paraId="6F5F97D1" w14:textId="77777777" w:rsidR="00EA3CBE" w:rsidRDefault="00EA3CBE" w:rsidP="00D63204">
      <w:pPr>
        <w:spacing w:line="240" w:lineRule="auto"/>
        <w:ind w:left="90"/>
        <w:rPr>
          <w:b/>
        </w:rPr>
      </w:pPr>
    </w:p>
    <w:p w14:paraId="3D4B73AE" w14:textId="2BCCEAFC" w:rsidR="00724AED" w:rsidRPr="00353381" w:rsidRDefault="00724AED" w:rsidP="00D63204">
      <w:pPr>
        <w:spacing w:line="240" w:lineRule="auto"/>
        <w:ind w:left="90"/>
        <w:rPr>
          <w:b/>
        </w:rPr>
      </w:pPr>
      <w:r w:rsidRPr="00353381">
        <w:rPr>
          <w:b/>
        </w:rPr>
        <w:t xml:space="preserve">Goal 3.0 Skilled Workforce and Economic Development </w:t>
      </w:r>
    </w:p>
    <w:p w14:paraId="12A1B1E1" w14:textId="77777777" w:rsidR="00724AED" w:rsidRPr="00353381" w:rsidRDefault="00724AED" w:rsidP="00D63204">
      <w:pPr>
        <w:spacing w:line="240" w:lineRule="auto"/>
        <w:ind w:left="90"/>
      </w:pPr>
      <w:r w:rsidRPr="00353381">
        <w:rPr>
          <w:u w:val="single"/>
        </w:rPr>
        <w:t>Objective:</w:t>
      </w:r>
      <w:r w:rsidRPr="00353381">
        <w:t xml:space="preserve"> Assist blind and visually impaired Floridians with obtaining, maintaining and advancing in competitive integrated employment. </w:t>
      </w:r>
    </w:p>
    <w:p w14:paraId="6031CC25" w14:textId="77777777" w:rsidR="00724AED" w:rsidRPr="00353381" w:rsidRDefault="00724AED" w:rsidP="00D63204">
      <w:pPr>
        <w:spacing w:line="240" w:lineRule="auto"/>
        <w:ind w:left="90"/>
      </w:pPr>
      <w:r w:rsidRPr="00353381">
        <w:rPr>
          <w:u w:val="single"/>
        </w:rPr>
        <w:t>Strategy 3.1:</w:t>
      </w:r>
      <w:r w:rsidRPr="00353381">
        <w:t xml:space="preserve"> Develop and strengthen employer relationships by providing employer training, support, education and resources related to employing individuals with visual impairment and provide support for employers with compliance with Section 503 regulations. </w:t>
      </w:r>
    </w:p>
    <w:p w14:paraId="71718540" w14:textId="5E4435F2" w:rsidR="00724AED" w:rsidRPr="00353381" w:rsidRDefault="00724AED" w:rsidP="00D63204">
      <w:pPr>
        <w:spacing w:line="240" w:lineRule="auto"/>
        <w:ind w:left="90"/>
      </w:pPr>
      <w:r w:rsidRPr="00353381">
        <w:t xml:space="preserve">Measure: This strategy is measured by standards established by the USDOL, USDOE and other state measures developed in the division. </w:t>
      </w:r>
    </w:p>
    <w:p w14:paraId="2B11D1FA" w14:textId="32727001" w:rsidR="00724AED" w:rsidRPr="00353381" w:rsidRDefault="00724AED" w:rsidP="00D63204">
      <w:pPr>
        <w:spacing w:line="240" w:lineRule="auto"/>
        <w:ind w:left="90"/>
      </w:pPr>
      <w:r w:rsidRPr="00353381">
        <w:rPr>
          <w:u w:val="single"/>
        </w:rPr>
        <w:t>Strategy 3.2:</w:t>
      </w:r>
      <w:r w:rsidRPr="00353381">
        <w:t xml:space="preserve"> Increase successful employment outcomes including self-employment outcomes for transition age youth, adults</w:t>
      </w:r>
      <w:r w:rsidR="00D5537E">
        <w:t xml:space="preserve"> and</w:t>
      </w:r>
      <w:r w:rsidRPr="00353381">
        <w:t xml:space="preserve"> seniors receiving services through FDBS. </w:t>
      </w:r>
    </w:p>
    <w:p w14:paraId="65B122AF" w14:textId="38839DC8" w:rsidR="00724AED" w:rsidRPr="00353381" w:rsidRDefault="00724AED" w:rsidP="00D63204">
      <w:pPr>
        <w:spacing w:line="240" w:lineRule="auto"/>
        <w:ind w:left="90"/>
      </w:pPr>
      <w:r w:rsidRPr="00353381">
        <w:t xml:space="preserve">Measure: This strategy is measured based on comparative data on the number of successful employment outcomes. </w:t>
      </w:r>
    </w:p>
    <w:p w14:paraId="578C7C9F" w14:textId="77777777" w:rsidR="00724AED" w:rsidRPr="00353381" w:rsidRDefault="00724AED" w:rsidP="00D63204">
      <w:pPr>
        <w:spacing w:line="240" w:lineRule="auto"/>
        <w:ind w:left="90"/>
      </w:pPr>
      <w:r w:rsidRPr="00353381">
        <w:rPr>
          <w:u w:val="single"/>
        </w:rPr>
        <w:t>Strategy 3.3:</w:t>
      </w:r>
      <w:r w:rsidRPr="00353381">
        <w:t xml:space="preserve"> Create successful job outcomes in the BBE </w:t>
      </w:r>
    </w:p>
    <w:p w14:paraId="4395D2ED" w14:textId="6B3F936D" w:rsidR="00724AED" w:rsidRPr="00353381" w:rsidRDefault="00724AED" w:rsidP="00D63204">
      <w:pPr>
        <w:spacing w:line="240" w:lineRule="auto"/>
        <w:ind w:left="90"/>
      </w:pPr>
      <w:r w:rsidRPr="00353381">
        <w:t>Measure: This strategy is measured based on the number of FDBS clients successfully completing the Bureau of Business Enterprise Program</w:t>
      </w:r>
      <w:r w:rsidR="00D5537E">
        <w:t xml:space="preserve"> and</w:t>
      </w:r>
      <w:r w:rsidRPr="00353381">
        <w:t xml:space="preserve"> the percentage of licensed vendors staying at their first facility for at least 12 months. </w:t>
      </w:r>
    </w:p>
    <w:p w14:paraId="65C9AEE7" w14:textId="77777777" w:rsidR="00724AED" w:rsidRPr="00353381" w:rsidRDefault="00724AED" w:rsidP="00D63204">
      <w:pPr>
        <w:spacing w:line="240" w:lineRule="auto"/>
        <w:ind w:left="90"/>
      </w:pPr>
      <w:r w:rsidRPr="00353381">
        <w:rPr>
          <w:u w:val="single"/>
        </w:rPr>
        <w:t>Strategy 3.4:</w:t>
      </w:r>
      <w:r w:rsidRPr="00353381">
        <w:t xml:space="preserve"> Support FDBS clients in becoming self-supporting. </w:t>
      </w:r>
    </w:p>
    <w:p w14:paraId="0547C7D6" w14:textId="7DF7E719" w:rsidR="00724AED" w:rsidRPr="00353381" w:rsidRDefault="00724AED" w:rsidP="00D63204">
      <w:pPr>
        <w:spacing w:line="240" w:lineRule="auto"/>
        <w:ind w:left="90"/>
      </w:pPr>
      <w:r w:rsidRPr="00353381">
        <w:t xml:space="preserve">Measure: A review of the median earnings of participants is analyzed during second quarter after exit. </w:t>
      </w:r>
    </w:p>
    <w:p w14:paraId="2DCA1025" w14:textId="77777777" w:rsidR="00724AED" w:rsidRPr="00353381" w:rsidRDefault="00724AED" w:rsidP="00D63204">
      <w:pPr>
        <w:spacing w:line="240" w:lineRule="auto"/>
        <w:ind w:left="90"/>
      </w:pPr>
      <w:r w:rsidRPr="00353381">
        <w:rPr>
          <w:u w:val="single"/>
        </w:rPr>
        <w:t>Strategy 3.5:</w:t>
      </w:r>
      <w:r w:rsidRPr="00353381">
        <w:t xml:space="preserve">  Strengthen statewide collaborative partnerships with core partners (CareerSource Florida, DEO, DCAE, VR, community rehabilitation providers and employers). </w:t>
      </w:r>
    </w:p>
    <w:p w14:paraId="3BDA2625" w14:textId="23EF75F7" w:rsidR="00724AED" w:rsidRPr="00353381" w:rsidRDefault="00724AED" w:rsidP="00D63204">
      <w:pPr>
        <w:spacing w:line="240" w:lineRule="auto"/>
        <w:ind w:left="90"/>
      </w:pPr>
      <w:r w:rsidRPr="00353381">
        <w:t>Measure: This strategy is measured based upon a review and analysis of outcome data</w:t>
      </w:r>
      <w:r w:rsidR="005E7C49">
        <w:t xml:space="preserve">. </w:t>
      </w:r>
    </w:p>
    <w:p w14:paraId="3AF636F4" w14:textId="77777777" w:rsidR="00724AED" w:rsidRPr="00353381" w:rsidRDefault="00724AED" w:rsidP="00D63204">
      <w:pPr>
        <w:spacing w:line="240" w:lineRule="auto"/>
        <w:ind w:left="90"/>
      </w:pPr>
      <w:r w:rsidRPr="00353381">
        <w:rPr>
          <w:u w:val="single"/>
        </w:rPr>
        <w:t>Strategy 3.6</w:t>
      </w:r>
      <w:r w:rsidRPr="00353381">
        <w:t xml:space="preserve">: Developing mechanisms to maximize job placement effectiveness among FDBS Job Placement Specialists and contracted service providers. </w:t>
      </w:r>
    </w:p>
    <w:p w14:paraId="12A6FC7F" w14:textId="71D2EF36" w:rsidR="00724AED" w:rsidRPr="00353381" w:rsidRDefault="00724AED" w:rsidP="00D63204">
      <w:pPr>
        <w:spacing w:line="240" w:lineRule="auto"/>
        <w:ind w:left="90"/>
      </w:pPr>
      <w:r w:rsidRPr="00353381">
        <w:t xml:space="preserve">Measure: This strategy is measured by examining the overall increase in job placements in the next SFY year, as well as by totaling the number of placements made by both FDBS and service provider’s staff. </w:t>
      </w:r>
    </w:p>
    <w:p w14:paraId="2B313D0D" w14:textId="77777777" w:rsidR="00724AED" w:rsidRPr="00353381" w:rsidRDefault="00724AED" w:rsidP="00D63204">
      <w:pPr>
        <w:spacing w:line="240" w:lineRule="auto"/>
        <w:ind w:left="90"/>
      </w:pPr>
      <w:r w:rsidRPr="00353381">
        <w:rPr>
          <w:u w:val="single"/>
        </w:rPr>
        <w:t>Strategy 3.7:</w:t>
      </w:r>
      <w:r w:rsidRPr="00353381">
        <w:t xml:space="preserve"> Support and track successful employment outcomes for blind Floridians with significant and most significant disabilities for a period of one year. </w:t>
      </w:r>
    </w:p>
    <w:p w14:paraId="1AFFD5F2" w14:textId="5C28490F" w:rsidR="00724AED" w:rsidRPr="00353381" w:rsidRDefault="00724AED" w:rsidP="00D63204">
      <w:pPr>
        <w:spacing w:line="240" w:lineRule="auto"/>
        <w:ind w:left="90"/>
      </w:pPr>
      <w:r w:rsidRPr="00353381">
        <w:t xml:space="preserve">Measure: This strategy is measured by analyzing the percentage of participants in unsubsidized employment after exit during the second and fourth quarter. </w:t>
      </w:r>
    </w:p>
    <w:p w14:paraId="63BF5D8F" w14:textId="77777777" w:rsidR="00724AED" w:rsidRPr="00353381" w:rsidRDefault="00724AED" w:rsidP="00D63204">
      <w:pPr>
        <w:spacing w:line="240" w:lineRule="auto"/>
        <w:ind w:left="90"/>
      </w:pPr>
      <w:r w:rsidRPr="00353381">
        <w:rPr>
          <w:u w:val="single"/>
        </w:rPr>
        <w:t>Strategy 3.8:</w:t>
      </w:r>
      <w:r w:rsidRPr="00353381">
        <w:t xml:space="preserve"> Pilot the Vermont Progressive Employment Model. </w:t>
      </w:r>
    </w:p>
    <w:p w14:paraId="3F751D14" w14:textId="15340811" w:rsidR="00724AED" w:rsidRPr="00353381" w:rsidRDefault="00724AED" w:rsidP="00D63204">
      <w:pPr>
        <w:spacing w:line="240" w:lineRule="auto"/>
        <w:ind w:left="90"/>
      </w:pPr>
      <w:r w:rsidRPr="00353381">
        <w:t xml:space="preserve">Measure: This strategy is measured by the number of employment outcomes generated from the Vermont Model. </w:t>
      </w:r>
    </w:p>
    <w:p w14:paraId="0AE951D9" w14:textId="77777777" w:rsidR="00724AED" w:rsidRPr="00353381" w:rsidRDefault="00724AED" w:rsidP="00D63204">
      <w:pPr>
        <w:spacing w:line="240" w:lineRule="auto"/>
        <w:ind w:left="90"/>
      </w:pPr>
      <w:r w:rsidRPr="00353381">
        <w:rPr>
          <w:u w:val="single"/>
        </w:rPr>
        <w:t>Strategy 3.9:</w:t>
      </w:r>
      <w:r w:rsidRPr="00353381">
        <w:t xml:space="preserve"> Identify an approach to expedite eligibility and service delivery to individuals who are at risk of losing employment. </w:t>
      </w:r>
    </w:p>
    <w:p w14:paraId="213291D4" w14:textId="28D951FB" w:rsidR="00724AED" w:rsidRPr="00353381" w:rsidRDefault="00724AED" w:rsidP="00CB66D5">
      <w:pPr>
        <w:spacing w:after="0" w:line="240" w:lineRule="auto"/>
        <w:ind w:left="90"/>
      </w:pPr>
      <w:r w:rsidRPr="00353381">
        <w:lastRenderedPageBreak/>
        <w:t>Measure: This strategy is measured based on outcome data.</w:t>
      </w:r>
    </w:p>
    <w:p w14:paraId="342ADD5B" w14:textId="77777777" w:rsidR="00CB66D5" w:rsidRPr="00353381" w:rsidRDefault="00CB66D5" w:rsidP="00CB66D5">
      <w:pPr>
        <w:spacing w:after="0" w:line="240" w:lineRule="auto"/>
        <w:ind w:left="90"/>
      </w:pPr>
    </w:p>
    <w:p w14:paraId="7FD70A3F" w14:textId="77777777" w:rsidR="00724AED" w:rsidRPr="00353381" w:rsidRDefault="00EA7458" w:rsidP="00D63204">
      <w:pPr>
        <w:widowControl w:val="0"/>
        <w:spacing w:before="171" w:after="0" w:line="240" w:lineRule="auto"/>
        <w:ind w:left="90"/>
        <w:outlineLvl w:val="2"/>
      </w:pPr>
      <w:r w:rsidRPr="00353381">
        <w:rPr>
          <w:b/>
          <w:bCs/>
          <w:w w:val="110"/>
        </w:rPr>
        <w:t>Goal 4.0 Quality Efficient</w:t>
      </w:r>
      <w:r w:rsidRPr="00353381">
        <w:rPr>
          <w:b/>
          <w:bCs/>
          <w:spacing w:val="1"/>
          <w:w w:val="110"/>
        </w:rPr>
        <w:t xml:space="preserve"> </w:t>
      </w:r>
      <w:r w:rsidRPr="00353381">
        <w:rPr>
          <w:b/>
          <w:bCs/>
          <w:w w:val="110"/>
        </w:rPr>
        <w:t>Services</w:t>
      </w:r>
    </w:p>
    <w:p w14:paraId="6426F6A2" w14:textId="79C93876" w:rsidR="00724AED" w:rsidRPr="00353381" w:rsidRDefault="00724AED" w:rsidP="00D63204">
      <w:pPr>
        <w:widowControl w:val="0"/>
        <w:spacing w:before="171" w:after="0" w:line="240" w:lineRule="auto"/>
        <w:ind w:left="90"/>
        <w:outlineLvl w:val="2"/>
      </w:pPr>
      <w:r w:rsidRPr="00353381">
        <w:rPr>
          <w:u w:val="single"/>
        </w:rPr>
        <w:t>Objective:</w:t>
      </w:r>
      <w:r w:rsidRPr="00353381">
        <w:t xml:space="preserve"> Create an accountable and exemplary division workforce that ensures high quality services. </w:t>
      </w:r>
      <w:r w:rsidRPr="00353381">
        <w:br/>
      </w:r>
    </w:p>
    <w:p w14:paraId="45D081FD" w14:textId="273323D4" w:rsidR="00724AED" w:rsidRPr="00353381" w:rsidRDefault="00724AED" w:rsidP="00D63204">
      <w:pPr>
        <w:spacing w:line="240" w:lineRule="auto"/>
        <w:ind w:left="90"/>
      </w:pPr>
      <w:r w:rsidRPr="00353381">
        <w:rPr>
          <w:u w:val="single"/>
        </w:rPr>
        <w:t>Strategy 4.1:</w:t>
      </w:r>
      <w:r w:rsidRPr="00353381">
        <w:t xml:space="preserve"> Increase staff development and continuing education. </w:t>
      </w:r>
    </w:p>
    <w:p w14:paraId="6B179848" w14:textId="6346852A" w:rsidR="00724AED" w:rsidRPr="00353381" w:rsidRDefault="00724AED" w:rsidP="00D63204">
      <w:pPr>
        <w:spacing w:line="240" w:lineRule="auto"/>
        <w:ind w:left="90"/>
      </w:pPr>
      <w:r w:rsidRPr="00353381">
        <w:t xml:space="preserve">Measure: This strategy is measured by assessing the number of employees participating in continuing education opportunities, the amount and types of additional training provided and obtaining employee feedback (surveys). </w:t>
      </w:r>
    </w:p>
    <w:p w14:paraId="0339E60A" w14:textId="064020A4" w:rsidR="00724AED" w:rsidRPr="00353381" w:rsidRDefault="00724AED" w:rsidP="00D63204">
      <w:pPr>
        <w:spacing w:line="240" w:lineRule="auto"/>
        <w:ind w:left="90"/>
      </w:pPr>
      <w:r w:rsidRPr="00353381">
        <w:rPr>
          <w:u w:val="single"/>
        </w:rPr>
        <w:t>Strategy 4.2:</w:t>
      </w:r>
      <w:r w:rsidRPr="00353381">
        <w:t xml:space="preserve"> Align FDBS policies and procedures to address new WIOA requirements. </w:t>
      </w:r>
    </w:p>
    <w:p w14:paraId="5F3AC60D" w14:textId="28B12C85" w:rsidR="00724AED" w:rsidRPr="00353381" w:rsidRDefault="00724AED" w:rsidP="00D63204">
      <w:pPr>
        <w:spacing w:line="240" w:lineRule="auto"/>
        <w:ind w:left="90"/>
      </w:pPr>
      <w:r w:rsidRPr="00353381">
        <w:t xml:space="preserve">Measure: This strategy is measured by providing a listing of policies that are or have been reviewed and revised to reflect WIOA requirements during the plan period. </w:t>
      </w:r>
    </w:p>
    <w:p w14:paraId="6CCCD84F" w14:textId="77777777" w:rsidR="00724AED" w:rsidRPr="00353381" w:rsidRDefault="00724AED" w:rsidP="00D63204">
      <w:pPr>
        <w:spacing w:line="240" w:lineRule="auto"/>
        <w:ind w:left="90"/>
      </w:pPr>
      <w:r w:rsidRPr="00353381">
        <w:rPr>
          <w:u w:val="single"/>
        </w:rPr>
        <w:t>Strategy 4.3:</w:t>
      </w:r>
      <w:r w:rsidRPr="00353381">
        <w:t xml:space="preserve"> Increase opportunities for data sharing and improve data validity and integrity. </w:t>
      </w:r>
    </w:p>
    <w:p w14:paraId="09933BA6" w14:textId="28551EF9" w:rsidR="00724AED" w:rsidRPr="00353381" w:rsidRDefault="00724AED" w:rsidP="00D63204">
      <w:pPr>
        <w:spacing w:line="240" w:lineRule="auto"/>
        <w:ind w:left="90"/>
      </w:pPr>
      <w:r w:rsidRPr="00353381">
        <w:t xml:space="preserve">Measure: This strategy is measured by developing data sharing agreements establishing a mechanism to ensure data validity and integrity. </w:t>
      </w:r>
    </w:p>
    <w:p w14:paraId="706406F9" w14:textId="77777777" w:rsidR="00724AED" w:rsidRPr="00353381" w:rsidRDefault="00724AED" w:rsidP="00D63204">
      <w:pPr>
        <w:spacing w:line="240" w:lineRule="auto"/>
        <w:ind w:left="90"/>
      </w:pPr>
      <w:r w:rsidRPr="00353381">
        <w:rPr>
          <w:u w:val="single"/>
        </w:rPr>
        <w:t>Strategy 4.4:</w:t>
      </w:r>
      <w:r w:rsidRPr="00353381">
        <w:t xml:space="preserve"> Decrease audit findings from the Offices of the Inspector General, Auditor General and the Rehabilitation Services Administration through adherence to policies and procedures. </w:t>
      </w:r>
    </w:p>
    <w:p w14:paraId="486C7D16" w14:textId="796A71E8" w:rsidR="00724AED" w:rsidRPr="00353381" w:rsidRDefault="00724AED" w:rsidP="00D63204">
      <w:pPr>
        <w:spacing w:line="240" w:lineRule="auto"/>
        <w:ind w:left="90"/>
      </w:pPr>
      <w:r w:rsidRPr="00353381">
        <w:t xml:space="preserve">Measure: This strategy is measured based up results of State and Federal Audit Findings. </w:t>
      </w:r>
    </w:p>
    <w:p w14:paraId="05078DF0" w14:textId="77777777" w:rsidR="00724AED" w:rsidRPr="00353381" w:rsidRDefault="00724AED" w:rsidP="00D63204">
      <w:pPr>
        <w:spacing w:line="240" w:lineRule="auto"/>
        <w:ind w:left="90"/>
      </w:pPr>
      <w:r w:rsidRPr="00353381">
        <w:rPr>
          <w:u w:val="single"/>
        </w:rPr>
        <w:t>Strategy 4.5:</w:t>
      </w:r>
      <w:r w:rsidRPr="00353381">
        <w:t xml:space="preserve"> Develop strong fiscal policies and procedures to promote responsible stewardship of available resources and addresses WIOA requirements. </w:t>
      </w:r>
    </w:p>
    <w:p w14:paraId="0DDCD49B" w14:textId="6DE99A7F" w:rsidR="00724AED" w:rsidRPr="00353381" w:rsidRDefault="00724AED" w:rsidP="00D63204">
      <w:pPr>
        <w:spacing w:line="240" w:lineRule="auto"/>
        <w:ind w:left="90"/>
      </w:pPr>
      <w:r w:rsidRPr="00353381">
        <w:t xml:space="preserve">Measure: This strategy is measured based up results of the Fiscal Encumbrance Report and monthly reconciliations of expenditures and encumbrances along with any specific fiscal audit findings. </w:t>
      </w:r>
    </w:p>
    <w:p w14:paraId="6BD4FC6C" w14:textId="77777777" w:rsidR="00724AED" w:rsidRPr="00353381" w:rsidRDefault="00724AED" w:rsidP="00D63204">
      <w:pPr>
        <w:spacing w:line="240" w:lineRule="auto"/>
        <w:ind w:left="90"/>
      </w:pPr>
      <w:r w:rsidRPr="00353381">
        <w:rPr>
          <w:u w:val="single"/>
        </w:rPr>
        <w:t>Strategy 4.6:</w:t>
      </w:r>
      <w:r w:rsidRPr="00353381">
        <w:t xml:space="preserve"> Strengthen contract language to ensure increased contractor accountability, improve resource allocations, address WIOA regulations and encourage maximum achievement of consumer independence. </w:t>
      </w:r>
    </w:p>
    <w:p w14:paraId="64E4AB53" w14:textId="57361670" w:rsidR="00724AED" w:rsidRPr="00353381" w:rsidRDefault="00724AED" w:rsidP="00D63204">
      <w:pPr>
        <w:spacing w:line="240" w:lineRule="auto"/>
        <w:ind w:left="90"/>
      </w:pPr>
      <w:r w:rsidRPr="00353381">
        <w:t xml:space="preserve">Measure: This strategy is measured by the results of contract performance, the ability to leverage resources. </w:t>
      </w:r>
    </w:p>
    <w:p w14:paraId="338D852A" w14:textId="0107BE3A" w:rsidR="00724AED" w:rsidRPr="00353381" w:rsidRDefault="00724AED" w:rsidP="00D63204">
      <w:pPr>
        <w:spacing w:line="240" w:lineRule="auto"/>
        <w:ind w:left="90"/>
      </w:pPr>
      <w:r w:rsidRPr="00353381">
        <w:rPr>
          <w:u w:val="single"/>
        </w:rPr>
        <w:t>Strategy 4.7:</w:t>
      </w:r>
      <w:r w:rsidRPr="00353381">
        <w:t xml:space="preserve"> Strengthen contract monitoring activities</w:t>
      </w:r>
      <w:r w:rsidR="00D5537E">
        <w:t xml:space="preserve"> and</w:t>
      </w:r>
      <w:r w:rsidRPr="00353381">
        <w:t xml:space="preserve"> procedures/protocol to reflect new requirements. </w:t>
      </w:r>
    </w:p>
    <w:p w14:paraId="573A7951" w14:textId="085F6ACA" w:rsidR="00724AED" w:rsidRPr="00353381" w:rsidRDefault="00724AED" w:rsidP="00D63204">
      <w:pPr>
        <w:spacing w:line="240" w:lineRule="auto"/>
        <w:ind w:left="90"/>
      </w:pPr>
      <w:r w:rsidRPr="00353381">
        <w:t xml:space="preserve">Measure: This strategy is measured based up the results of federal and state audit findings. </w:t>
      </w:r>
    </w:p>
    <w:p w14:paraId="794D0931" w14:textId="77777777" w:rsidR="00724AED" w:rsidRPr="00353381" w:rsidRDefault="00724AED" w:rsidP="00D63204">
      <w:pPr>
        <w:spacing w:line="240" w:lineRule="auto"/>
        <w:ind w:left="90"/>
      </w:pPr>
      <w:r w:rsidRPr="00353381">
        <w:rPr>
          <w:u w:val="single"/>
        </w:rPr>
        <w:t>Strategy 4.8:</w:t>
      </w:r>
      <w:r w:rsidRPr="00353381">
        <w:t xml:space="preserve"> Work collaboratively with AWARE Case Management System provider to align FDBS case management system with WIOA requirements </w:t>
      </w:r>
    </w:p>
    <w:p w14:paraId="1B6684CE" w14:textId="1761ACC2" w:rsidR="00724AED" w:rsidRPr="00353381" w:rsidRDefault="00724AED" w:rsidP="00D63204">
      <w:pPr>
        <w:spacing w:line="240" w:lineRule="auto"/>
        <w:ind w:left="90"/>
      </w:pPr>
      <w:r w:rsidRPr="00353381">
        <w:t xml:space="preserve">Measure: This strategy is measured by implementation of system upgrades as it relates to WIOA requirements. </w:t>
      </w:r>
    </w:p>
    <w:p w14:paraId="750C4302" w14:textId="77777777" w:rsidR="00A82712" w:rsidRDefault="00724AED" w:rsidP="00D63204">
      <w:pPr>
        <w:spacing w:line="240" w:lineRule="auto"/>
        <w:ind w:left="90"/>
      </w:pPr>
      <w:r w:rsidRPr="00353381">
        <w:t xml:space="preserve">Note: The Rehabilitation Services Administration (RSA) has not released their final regulations related to WIOA. When RSA does release their final regulations related to WIOA, FDBS reserves the right to modify the state plan goals and priorities to reflect the new regulations. </w:t>
      </w:r>
    </w:p>
    <w:p w14:paraId="4C3C8ED5" w14:textId="77777777" w:rsidR="005F5CF4" w:rsidRDefault="005F5CF4" w:rsidP="00D63204">
      <w:pPr>
        <w:spacing w:line="240" w:lineRule="auto"/>
        <w:ind w:left="90"/>
      </w:pPr>
    </w:p>
    <w:p w14:paraId="787537D1" w14:textId="4DE8B5E3" w:rsidR="00EA7458" w:rsidRPr="00E70F55" w:rsidRDefault="00A82712" w:rsidP="00D63204">
      <w:pPr>
        <w:pStyle w:val="ListParagraph"/>
        <w:numPr>
          <w:ilvl w:val="0"/>
          <w:numId w:val="72"/>
        </w:numPr>
        <w:tabs>
          <w:tab w:val="left" w:pos="810"/>
        </w:tabs>
        <w:spacing w:line="240" w:lineRule="auto"/>
        <w:rPr>
          <w:sz w:val="26"/>
          <w:szCs w:val="26"/>
        </w:rPr>
      </w:pPr>
      <w:r w:rsidRPr="00B51D17">
        <w:rPr>
          <w:b/>
          <w:bCs/>
          <w:color w:val="295CA3"/>
          <w:w w:val="110"/>
          <w:sz w:val="26"/>
          <w:szCs w:val="26"/>
        </w:rPr>
        <w:lastRenderedPageBreak/>
        <w:t xml:space="preserve"> </w:t>
      </w:r>
      <w:r w:rsidR="00EA7458" w:rsidRPr="00B51D17">
        <w:rPr>
          <w:b/>
          <w:bCs/>
          <w:color w:val="295CA3"/>
          <w:w w:val="110"/>
          <w:sz w:val="26"/>
          <w:szCs w:val="26"/>
        </w:rPr>
        <w:t>Order of</w:t>
      </w:r>
      <w:r w:rsidR="00EA7458" w:rsidRPr="00B51D17">
        <w:rPr>
          <w:b/>
          <w:bCs/>
          <w:color w:val="295CA3"/>
          <w:spacing w:val="1"/>
          <w:w w:val="110"/>
          <w:sz w:val="26"/>
          <w:szCs w:val="26"/>
        </w:rPr>
        <w:t xml:space="preserve"> </w:t>
      </w:r>
      <w:r w:rsidR="00EA7458" w:rsidRPr="00B51D17">
        <w:rPr>
          <w:b/>
          <w:bCs/>
          <w:color w:val="295CA3"/>
          <w:w w:val="110"/>
          <w:sz w:val="26"/>
          <w:szCs w:val="26"/>
        </w:rPr>
        <w:t>Selection</w:t>
      </w:r>
    </w:p>
    <w:p w14:paraId="248121CF" w14:textId="2F00314E" w:rsidR="00E70F55" w:rsidRPr="00E567C2" w:rsidRDefault="00EA7458" w:rsidP="00E567C2">
      <w:pPr>
        <w:widowControl w:val="0"/>
        <w:spacing w:before="184" w:after="0" w:line="240" w:lineRule="auto"/>
        <w:ind w:left="90"/>
        <w:rPr>
          <w:color w:val="231F20"/>
          <w:w w:val="105"/>
        </w:rPr>
      </w:pPr>
      <w:r w:rsidRPr="00353381">
        <w:rPr>
          <w:color w:val="231F20"/>
          <w:w w:val="105"/>
        </w:rPr>
        <w:t xml:space="preserve">This section </w:t>
      </w:r>
      <w:r w:rsidR="007B5827" w:rsidRPr="00353381">
        <w:rPr>
          <w:color w:val="231F20"/>
          <w:w w:val="105"/>
        </w:rPr>
        <w:t xml:space="preserve">is </w:t>
      </w:r>
      <w:r w:rsidRPr="00353381">
        <w:rPr>
          <w:color w:val="231F20"/>
          <w:w w:val="105"/>
        </w:rPr>
        <w:t>not required</w:t>
      </w:r>
      <w:r w:rsidR="007B5827" w:rsidRPr="00353381">
        <w:rPr>
          <w:color w:val="231F20"/>
          <w:w w:val="105"/>
        </w:rPr>
        <w:t>.</w:t>
      </w:r>
    </w:p>
    <w:p w14:paraId="0720FA71" w14:textId="35B9E7ED" w:rsidR="00A82712" w:rsidRPr="00A82712" w:rsidRDefault="00A82712" w:rsidP="00D63204">
      <w:pPr>
        <w:pStyle w:val="ListParagraph"/>
        <w:widowControl w:val="0"/>
        <w:numPr>
          <w:ilvl w:val="0"/>
          <w:numId w:val="72"/>
        </w:numPr>
        <w:spacing w:before="184" w:after="0" w:line="240" w:lineRule="auto"/>
        <w:rPr>
          <w:sz w:val="26"/>
          <w:szCs w:val="26"/>
        </w:rPr>
      </w:pPr>
      <w:r w:rsidRPr="00A82712">
        <w:rPr>
          <w:b/>
          <w:bCs/>
          <w:color w:val="295CA3"/>
          <w:w w:val="110"/>
          <w:sz w:val="26"/>
          <w:szCs w:val="26"/>
        </w:rPr>
        <w:t xml:space="preserve"> </w:t>
      </w:r>
      <w:r w:rsidR="00B51D17">
        <w:rPr>
          <w:b/>
          <w:bCs/>
          <w:color w:val="295CA3"/>
          <w:w w:val="110"/>
          <w:sz w:val="26"/>
          <w:szCs w:val="26"/>
        </w:rPr>
        <w:t xml:space="preserve">  </w:t>
      </w:r>
      <w:r w:rsidR="00EA7458" w:rsidRPr="00A82712">
        <w:rPr>
          <w:b/>
          <w:bCs/>
          <w:color w:val="295CA3"/>
          <w:w w:val="110"/>
          <w:sz w:val="26"/>
          <w:szCs w:val="26"/>
        </w:rPr>
        <w:t>Goals and Plans for Distribution of Title VI, Part B</w:t>
      </w:r>
      <w:r w:rsidR="00EA7458" w:rsidRPr="00A82712">
        <w:rPr>
          <w:b/>
          <w:bCs/>
          <w:color w:val="295CA3"/>
          <w:spacing w:val="1"/>
          <w:w w:val="110"/>
          <w:sz w:val="26"/>
          <w:szCs w:val="26"/>
        </w:rPr>
        <w:t xml:space="preserve"> </w:t>
      </w:r>
      <w:r w:rsidR="00EA7458" w:rsidRPr="00A82712">
        <w:rPr>
          <w:b/>
          <w:bCs/>
          <w:color w:val="295CA3"/>
          <w:w w:val="110"/>
          <w:sz w:val="26"/>
          <w:szCs w:val="26"/>
        </w:rPr>
        <w:t>Funds</w:t>
      </w:r>
    </w:p>
    <w:p w14:paraId="286685AA" w14:textId="6CBA3CB7" w:rsidR="00EA7458" w:rsidRPr="00353381" w:rsidRDefault="00EA7458" w:rsidP="00D63204">
      <w:pPr>
        <w:pStyle w:val="ListParagraph"/>
        <w:widowControl w:val="0"/>
        <w:spacing w:before="184" w:after="0" w:line="240" w:lineRule="auto"/>
      </w:pPr>
    </w:p>
    <w:p w14:paraId="6EEC3E62" w14:textId="211973D7" w:rsidR="00117E2F" w:rsidRPr="00353381" w:rsidRDefault="00117E2F" w:rsidP="00D63204">
      <w:pPr>
        <w:spacing w:line="240" w:lineRule="auto"/>
        <w:ind w:left="90"/>
      </w:pPr>
      <w:r w:rsidRPr="00353381">
        <w:t>Pursuant to Florida Statute 413, FDBS is mandated to provide services to individuals who are blind or visually impaired of all ages. The FDBS routinely partners with community rehabilitation providers (CRPs) to provide services that enhance the lives of people with vision loss. The extents of services provided through the CRPs are based, in part, on the types of services available through a specific CRP, the needs of the specific community</w:t>
      </w:r>
      <w:r w:rsidR="00D5537E">
        <w:t xml:space="preserve"> and</w:t>
      </w:r>
      <w:r w:rsidRPr="00353381">
        <w:t xml:space="preserve"> the resources available within the FDBS.</w:t>
      </w:r>
    </w:p>
    <w:p w14:paraId="78223666" w14:textId="70176177" w:rsidR="00117E2F" w:rsidRPr="00353381" w:rsidRDefault="00117E2F" w:rsidP="00D63204">
      <w:pPr>
        <w:spacing w:line="240" w:lineRule="auto"/>
        <w:ind w:left="90"/>
      </w:pPr>
      <w:r w:rsidRPr="00353381">
        <w:t>FDBS contracts with one community rehabilitation provider, the Conklin Center for the Blind, to provide Supported Employment services</w:t>
      </w:r>
      <w:r w:rsidR="005E7C49">
        <w:t xml:space="preserve">. </w:t>
      </w:r>
      <w:r w:rsidRPr="00353381">
        <w:t>FDBS uses a tracking system to ensure funds are spent as it relates to Supported Employment (SE) and Pre-employment Transition Services (PETS)</w:t>
      </w:r>
      <w:r w:rsidR="005E7C49">
        <w:t xml:space="preserve">. </w:t>
      </w:r>
      <w:r w:rsidRPr="00353381">
        <w:t>The table below depicts the expenditures allocations as follows: Services to all eligible individuals with the most significant disabilities is allocated to half (50%) of the PETS expenditures (84016). Services to youth with the most significant disabilities between the ages of 14 to 24 (not older than 24) is allocated to half (50%) of the PETS expenditures (84216). A state match of 10% is required for youth with the most significant disabilities (89216).</w:t>
      </w:r>
    </w:p>
    <w:p w14:paraId="538DF08C" w14:textId="32CB8334" w:rsidR="00117E2F" w:rsidRPr="00353381" w:rsidRDefault="00117E2F" w:rsidP="00D63204">
      <w:pPr>
        <w:spacing w:line="240" w:lineRule="auto"/>
        <w:ind w:left="90"/>
      </w:pPr>
      <w:r w:rsidRPr="00353381">
        <w:t>During SFY 2016-2017, FDBS contracted with one community rehabilitation provider and utilized local level authorizations to provide supported employment services. Details of the spending pattern are depicted below:</w:t>
      </w:r>
    </w:p>
    <w:p w14:paraId="72570401" w14:textId="2131CD5D" w:rsidR="00117E2F" w:rsidRPr="00353381" w:rsidRDefault="00117E2F" w:rsidP="00D63204">
      <w:pPr>
        <w:pStyle w:val="ListParagraph"/>
        <w:spacing w:after="0" w:line="240" w:lineRule="auto"/>
        <w:ind w:left="90"/>
        <w:rPr>
          <w:b/>
        </w:rPr>
      </w:pPr>
      <w:r w:rsidRPr="00353381">
        <w:rPr>
          <w:b/>
        </w:rPr>
        <w:t>Figure 10.06</w:t>
      </w:r>
    </w:p>
    <w:p w14:paraId="0F4192ED" w14:textId="77777777" w:rsidR="00117E2F" w:rsidRPr="00353381" w:rsidRDefault="00117E2F" w:rsidP="00D63204">
      <w:pPr>
        <w:spacing w:after="0" w:line="240" w:lineRule="auto"/>
        <w:ind w:left="90"/>
        <w:rPr>
          <w:b/>
        </w:rPr>
      </w:pPr>
      <w:r w:rsidRPr="00353381">
        <w:rPr>
          <w:b/>
        </w:rPr>
        <w:t>Support Employment Spending Patterns</w:t>
      </w:r>
    </w:p>
    <w:tbl>
      <w:tblPr>
        <w:tblW w:w="0" w:type="auto"/>
        <w:jc w:val="center"/>
        <w:tblLayout w:type="fixed"/>
        <w:tblCellMar>
          <w:left w:w="0" w:type="dxa"/>
          <w:right w:w="0" w:type="dxa"/>
        </w:tblCellMar>
        <w:tblLook w:val="01E0" w:firstRow="1" w:lastRow="1" w:firstColumn="1" w:lastColumn="1" w:noHBand="0" w:noVBand="0"/>
      </w:tblPr>
      <w:tblGrid>
        <w:gridCol w:w="2659"/>
        <w:gridCol w:w="2178"/>
        <w:gridCol w:w="1350"/>
        <w:gridCol w:w="1530"/>
        <w:gridCol w:w="2443"/>
      </w:tblGrid>
      <w:tr w:rsidR="00117E2F" w:rsidRPr="00353381" w14:paraId="061795C5" w14:textId="77777777" w:rsidTr="00117E2F">
        <w:trPr>
          <w:trHeight w:hRule="exact" w:val="1006"/>
          <w:jc w:val="center"/>
        </w:trPr>
        <w:tc>
          <w:tcPr>
            <w:tcW w:w="2659" w:type="dxa"/>
            <w:tcBorders>
              <w:top w:val="single" w:sz="2" w:space="0" w:color="231F20"/>
              <w:left w:val="single" w:sz="2" w:space="0" w:color="231F20"/>
              <w:bottom w:val="single" w:sz="2" w:space="0" w:color="231F20"/>
              <w:right w:val="single" w:sz="2" w:space="0" w:color="231F20"/>
            </w:tcBorders>
          </w:tcPr>
          <w:p w14:paraId="61AE4B9D" w14:textId="77777777" w:rsidR="00117E2F" w:rsidRPr="00353381" w:rsidRDefault="00117E2F" w:rsidP="00A82712">
            <w:pPr>
              <w:widowControl w:val="0"/>
              <w:spacing w:after="0" w:line="240" w:lineRule="auto"/>
              <w:ind w:left="90"/>
              <w:rPr>
                <w:rFonts w:cs="Calibri"/>
                <w:b/>
                <w:bCs/>
              </w:rPr>
            </w:pPr>
          </w:p>
          <w:p w14:paraId="7697A4BE" w14:textId="77777777" w:rsidR="00117E2F" w:rsidRPr="00353381" w:rsidRDefault="00117E2F" w:rsidP="00A82712">
            <w:pPr>
              <w:widowControl w:val="0"/>
              <w:spacing w:after="0" w:line="240" w:lineRule="auto"/>
              <w:ind w:left="90"/>
              <w:rPr>
                <w:rFonts w:cs="Calibri"/>
              </w:rPr>
            </w:pPr>
            <w:r w:rsidRPr="00353381">
              <w:rPr>
                <w:b/>
                <w:color w:val="231F20"/>
                <w:w w:val="110"/>
              </w:rPr>
              <w:t>Community</w:t>
            </w:r>
            <w:r w:rsidRPr="00353381">
              <w:rPr>
                <w:b/>
                <w:color w:val="231F20"/>
                <w:spacing w:val="-21"/>
                <w:w w:val="110"/>
              </w:rPr>
              <w:t xml:space="preserve"> </w:t>
            </w:r>
            <w:r w:rsidRPr="00353381">
              <w:rPr>
                <w:b/>
                <w:color w:val="231F20"/>
                <w:w w:val="110"/>
              </w:rPr>
              <w:t>Rehab</w:t>
            </w:r>
            <w:r w:rsidRPr="00353381">
              <w:rPr>
                <w:b/>
                <w:color w:val="231F20"/>
                <w:w w:val="109"/>
              </w:rPr>
              <w:t xml:space="preserve"> </w:t>
            </w:r>
            <w:r w:rsidRPr="00353381">
              <w:rPr>
                <w:b/>
                <w:color w:val="231F20"/>
                <w:w w:val="110"/>
              </w:rPr>
              <w:t>Provider</w:t>
            </w:r>
          </w:p>
        </w:tc>
        <w:tc>
          <w:tcPr>
            <w:tcW w:w="2178" w:type="dxa"/>
            <w:tcBorders>
              <w:top w:val="single" w:sz="2" w:space="0" w:color="231F20"/>
              <w:left w:val="single" w:sz="2" w:space="0" w:color="231F20"/>
              <w:bottom w:val="single" w:sz="2" w:space="0" w:color="231F20"/>
              <w:right w:val="single" w:sz="2" w:space="0" w:color="231F20"/>
            </w:tcBorders>
          </w:tcPr>
          <w:p w14:paraId="3297FDA4" w14:textId="77777777" w:rsidR="00117E2F" w:rsidRPr="00353381" w:rsidRDefault="00117E2F" w:rsidP="00D63204">
            <w:pPr>
              <w:widowControl w:val="0"/>
              <w:spacing w:before="112" w:after="0" w:line="240" w:lineRule="auto"/>
              <w:ind w:left="90" w:firstLine="818"/>
              <w:rPr>
                <w:rFonts w:cs="Calibri"/>
              </w:rPr>
            </w:pPr>
            <w:r w:rsidRPr="00353381">
              <w:rPr>
                <w:b/>
                <w:color w:val="231F20"/>
                <w:w w:val="105"/>
              </w:rPr>
              <w:t>Supported</w:t>
            </w:r>
            <w:r w:rsidRPr="00353381">
              <w:rPr>
                <w:b/>
                <w:color w:val="231F20"/>
                <w:w w:val="108"/>
              </w:rPr>
              <w:t xml:space="preserve"> </w:t>
            </w:r>
            <w:r w:rsidRPr="00353381">
              <w:rPr>
                <w:b/>
                <w:color w:val="231F20"/>
                <w:w w:val="105"/>
              </w:rPr>
              <w:t>Employment</w:t>
            </w:r>
            <w:r w:rsidRPr="00353381">
              <w:rPr>
                <w:b/>
                <w:color w:val="231F20"/>
                <w:spacing w:val="41"/>
                <w:w w:val="105"/>
              </w:rPr>
              <w:t xml:space="preserve"> </w:t>
            </w:r>
            <w:r w:rsidRPr="00353381">
              <w:rPr>
                <w:b/>
                <w:color w:val="231F20"/>
                <w:w w:val="105"/>
              </w:rPr>
              <w:t>Grant</w:t>
            </w:r>
            <w:r w:rsidRPr="00353381">
              <w:rPr>
                <w:b/>
                <w:color w:val="231F20"/>
                <w:w w:val="107"/>
              </w:rPr>
              <w:t xml:space="preserve"> </w:t>
            </w:r>
            <w:r w:rsidRPr="00353381">
              <w:rPr>
                <w:b/>
                <w:color w:val="231F20"/>
                <w:w w:val="110"/>
              </w:rPr>
              <w:t>(Title VI)</w:t>
            </w:r>
            <w:r w:rsidRPr="00353381">
              <w:rPr>
                <w:b/>
                <w:color w:val="231F20"/>
                <w:spacing w:val="-13"/>
                <w:w w:val="110"/>
              </w:rPr>
              <w:t xml:space="preserve"> </w:t>
            </w:r>
            <w:r w:rsidRPr="00353381">
              <w:rPr>
                <w:b/>
                <w:color w:val="231F20"/>
                <w:w w:val="110"/>
              </w:rPr>
              <w:t>(840xx)</w:t>
            </w:r>
          </w:p>
        </w:tc>
        <w:tc>
          <w:tcPr>
            <w:tcW w:w="1350" w:type="dxa"/>
            <w:tcBorders>
              <w:top w:val="single" w:sz="2" w:space="0" w:color="231F20"/>
              <w:left w:val="single" w:sz="2" w:space="0" w:color="231F20"/>
              <w:bottom w:val="single" w:sz="2" w:space="0" w:color="231F20"/>
              <w:right w:val="single" w:sz="2" w:space="0" w:color="231F20"/>
            </w:tcBorders>
          </w:tcPr>
          <w:p w14:paraId="0BEA56B8" w14:textId="77777777" w:rsidR="00117E2F" w:rsidRPr="00353381" w:rsidRDefault="00117E2F" w:rsidP="00D63204">
            <w:pPr>
              <w:widowControl w:val="0"/>
              <w:spacing w:before="112" w:after="0" w:line="240" w:lineRule="auto"/>
              <w:ind w:left="90" w:firstLine="260"/>
              <w:rPr>
                <w:rFonts w:cs="Calibri"/>
              </w:rPr>
            </w:pPr>
            <w:r w:rsidRPr="00353381">
              <w:rPr>
                <w:b/>
                <w:color w:val="231F20"/>
                <w:w w:val="110"/>
              </w:rPr>
              <w:t>Basic</w:t>
            </w:r>
            <w:r w:rsidRPr="00353381">
              <w:rPr>
                <w:b/>
                <w:color w:val="231F20"/>
                <w:w w:val="114"/>
              </w:rPr>
              <w:t xml:space="preserve"> </w:t>
            </w:r>
            <w:r w:rsidRPr="00353381">
              <w:rPr>
                <w:b/>
                <w:color w:val="231F20"/>
                <w:w w:val="105"/>
              </w:rPr>
              <w:t>Support</w:t>
            </w:r>
            <w:r w:rsidRPr="00353381">
              <w:rPr>
                <w:b/>
                <w:color w:val="231F20"/>
                <w:spacing w:val="-25"/>
                <w:w w:val="105"/>
              </w:rPr>
              <w:t xml:space="preserve"> </w:t>
            </w:r>
            <w:r w:rsidRPr="00353381">
              <w:rPr>
                <w:b/>
                <w:color w:val="231F20"/>
                <w:w w:val="110"/>
              </w:rPr>
              <w:t>(820xx)</w:t>
            </w:r>
          </w:p>
        </w:tc>
        <w:tc>
          <w:tcPr>
            <w:tcW w:w="1530" w:type="dxa"/>
            <w:tcBorders>
              <w:top w:val="single" w:sz="2" w:space="0" w:color="231F20"/>
              <w:left w:val="single" w:sz="2" w:space="0" w:color="231F20"/>
              <w:bottom w:val="single" w:sz="2" w:space="0" w:color="231F20"/>
              <w:right w:val="single" w:sz="2" w:space="0" w:color="231F20"/>
            </w:tcBorders>
          </w:tcPr>
          <w:p w14:paraId="380D9807" w14:textId="77777777" w:rsidR="00117E2F" w:rsidRPr="00353381" w:rsidRDefault="00117E2F" w:rsidP="00D63204">
            <w:pPr>
              <w:widowControl w:val="0"/>
              <w:spacing w:before="114" w:after="0" w:line="240" w:lineRule="auto"/>
              <w:ind w:left="90"/>
              <w:rPr>
                <w:rFonts w:cs="Calibri"/>
              </w:rPr>
            </w:pPr>
            <w:r w:rsidRPr="00353381">
              <w:rPr>
                <w:b/>
                <w:color w:val="231F20"/>
                <w:w w:val="110"/>
              </w:rPr>
              <w:t>State</w:t>
            </w:r>
            <w:r w:rsidRPr="00353381">
              <w:rPr>
                <w:b/>
                <w:color w:val="231F20"/>
                <w:spacing w:val="11"/>
                <w:w w:val="110"/>
              </w:rPr>
              <w:t xml:space="preserve"> </w:t>
            </w:r>
            <w:r w:rsidRPr="00353381">
              <w:rPr>
                <w:b/>
                <w:color w:val="231F20"/>
                <w:w w:val="110"/>
              </w:rPr>
              <w:t>Funds</w:t>
            </w:r>
          </w:p>
          <w:p w14:paraId="7C8E0D72" w14:textId="77777777" w:rsidR="00117E2F" w:rsidRPr="00353381" w:rsidRDefault="00117E2F" w:rsidP="00D63204">
            <w:pPr>
              <w:widowControl w:val="0"/>
              <w:spacing w:before="2" w:after="0" w:line="240" w:lineRule="auto"/>
              <w:ind w:left="90" w:firstLine="1"/>
              <w:rPr>
                <w:rFonts w:cs="Calibri"/>
              </w:rPr>
            </w:pPr>
            <w:r w:rsidRPr="00353381">
              <w:rPr>
                <w:b/>
                <w:color w:val="231F20"/>
              </w:rPr>
              <w:t>(Match)</w:t>
            </w:r>
            <w:r w:rsidRPr="00353381">
              <w:rPr>
                <w:b/>
                <w:color w:val="231F20"/>
                <w:spacing w:val="-26"/>
              </w:rPr>
              <w:t xml:space="preserve"> </w:t>
            </w:r>
            <w:r w:rsidRPr="00353381">
              <w:rPr>
                <w:b/>
                <w:color w:val="231F20"/>
                <w:w w:val="110"/>
              </w:rPr>
              <w:t>(892xx)</w:t>
            </w:r>
          </w:p>
        </w:tc>
        <w:tc>
          <w:tcPr>
            <w:tcW w:w="2443" w:type="dxa"/>
            <w:tcBorders>
              <w:top w:val="single" w:sz="2" w:space="0" w:color="231F20"/>
              <w:left w:val="single" w:sz="2" w:space="0" w:color="231F20"/>
              <w:bottom w:val="single" w:sz="2" w:space="0" w:color="231F20"/>
              <w:right w:val="single" w:sz="2" w:space="0" w:color="231F20"/>
            </w:tcBorders>
          </w:tcPr>
          <w:p w14:paraId="70A6C480" w14:textId="77777777" w:rsidR="00117E2F" w:rsidRPr="00353381" w:rsidRDefault="00117E2F" w:rsidP="00D63204">
            <w:pPr>
              <w:widowControl w:val="0"/>
              <w:spacing w:before="12" w:after="0" w:line="240" w:lineRule="auto"/>
              <w:ind w:left="90"/>
              <w:rPr>
                <w:rFonts w:cs="Calibri"/>
                <w:b/>
                <w:bCs/>
              </w:rPr>
            </w:pPr>
          </w:p>
          <w:p w14:paraId="48CD4687" w14:textId="77777777" w:rsidR="00117E2F" w:rsidRPr="00353381" w:rsidRDefault="00117E2F" w:rsidP="00D63204">
            <w:pPr>
              <w:widowControl w:val="0"/>
              <w:spacing w:after="0" w:line="240" w:lineRule="auto"/>
              <w:ind w:left="90"/>
              <w:rPr>
                <w:rFonts w:cs="Calibri"/>
              </w:rPr>
            </w:pPr>
            <w:r w:rsidRPr="00353381">
              <w:rPr>
                <w:b/>
                <w:color w:val="231F20"/>
                <w:spacing w:val="-4"/>
                <w:w w:val="105"/>
              </w:rPr>
              <w:t>Total</w:t>
            </w:r>
          </w:p>
        </w:tc>
      </w:tr>
      <w:tr w:rsidR="00117E2F" w:rsidRPr="00353381" w14:paraId="1E4D973E" w14:textId="77777777" w:rsidTr="004A1415">
        <w:trPr>
          <w:trHeight w:hRule="exact" w:val="842"/>
          <w:jc w:val="center"/>
        </w:trPr>
        <w:tc>
          <w:tcPr>
            <w:tcW w:w="2659" w:type="dxa"/>
            <w:tcBorders>
              <w:top w:val="single" w:sz="2" w:space="0" w:color="231F20"/>
              <w:left w:val="single" w:sz="2" w:space="0" w:color="231F20"/>
              <w:bottom w:val="single" w:sz="2" w:space="0" w:color="231F20"/>
              <w:right w:val="single" w:sz="2" w:space="0" w:color="231F20"/>
            </w:tcBorders>
            <w:shd w:val="clear" w:color="auto" w:fill="E6E7E8"/>
          </w:tcPr>
          <w:p w14:paraId="51D9492F" w14:textId="77777777" w:rsidR="00117E2F" w:rsidRPr="00353381" w:rsidRDefault="00117E2F" w:rsidP="00A82712">
            <w:pPr>
              <w:widowControl w:val="0"/>
              <w:spacing w:before="51" w:after="0" w:line="240" w:lineRule="auto"/>
              <w:ind w:left="90"/>
              <w:rPr>
                <w:rFonts w:cs="Calibri"/>
              </w:rPr>
            </w:pPr>
            <w:r w:rsidRPr="00353381">
              <w:rPr>
                <w:color w:val="231F20"/>
                <w:w w:val="105"/>
              </w:rPr>
              <w:t>Conklin</w:t>
            </w:r>
            <w:r w:rsidRPr="00353381">
              <w:rPr>
                <w:color w:val="231F20"/>
                <w:spacing w:val="23"/>
                <w:w w:val="105"/>
              </w:rPr>
              <w:t xml:space="preserve"> </w:t>
            </w:r>
            <w:r w:rsidRPr="00353381">
              <w:rPr>
                <w:color w:val="231F20"/>
                <w:w w:val="105"/>
              </w:rPr>
              <w:t>Center</w:t>
            </w:r>
            <w:r w:rsidRPr="00353381">
              <w:rPr>
                <w:color w:val="231F20"/>
                <w:spacing w:val="23"/>
                <w:w w:val="105"/>
              </w:rPr>
              <w:t xml:space="preserve"> </w:t>
            </w:r>
            <w:r w:rsidRPr="00353381">
              <w:rPr>
                <w:color w:val="231F20"/>
                <w:w w:val="105"/>
              </w:rPr>
              <w:t>for</w:t>
            </w:r>
            <w:r w:rsidRPr="00353381">
              <w:rPr>
                <w:color w:val="231F20"/>
                <w:spacing w:val="-50"/>
                <w:w w:val="105"/>
              </w:rPr>
              <w:t xml:space="preserve"> </w:t>
            </w:r>
            <w:r w:rsidRPr="00353381">
              <w:rPr>
                <w:color w:val="231F20"/>
                <w:w w:val="105"/>
              </w:rPr>
              <w:t>the</w:t>
            </w:r>
            <w:r w:rsidRPr="00353381">
              <w:rPr>
                <w:color w:val="231F20"/>
                <w:spacing w:val="11"/>
                <w:w w:val="105"/>
              </w:rPr>
              <w:t xml:space="preserve"> </w:t>
            </w:r>
            <w:r w:rsidRPr="00353381">
              <w:rPr>
                <w:color w:val="231F20"/>
                <w:w w:val="105"/>
              </w:rPr>
              <w:t>Blind</w:t>
            </w:r>
          </w:p>
        </w:tc>
        <w:tc>
          <w:tcPr>
            <w:tcW w:w="2178" w:type="dxa"/>
            <w:tcBorders>
              <w:top w:val="single" w:sz="2" w:space="0" w:color="231F20"/>
              <w:left w:val="single" w:sz="2" w:space="0" w:color="231F20"/>
              <w:bottom w:val="single" w:sz="2" w:space="0" w:color="231F20"/>
              <w:right w:val="single" w:sz="2" w:space="0" w:color="231F20"/>
            </w:tcBorders>
            <w:shd w:val="clear" w:color="auto" w:fill="E6E7E8"/>
          </w:tcPr>
          <w:p w14:paraId="17D966C5" w14:textId="40940735" w:rsidR="00117E2F" w:rsidRPr="00353381" w:rsidRDefault="00117E2F" w:rsidP="00D63204">
            <w:pPr>
              <w:widowControl w:val="0"/>
              <w:spacing w:before="185" w:after="0" w:line="240" w:lineRule="auto"/>
              <w:ind w:left="90"/>
              <w:rPr>
                <w:rFonts w:cs="Calibri"/>
              </w:rPr>
            </w:pPr>
            <w:r w:rsidRPr="00353381">
              <w:rPr>
                <w:w w:val="105"/>
              </w:rPr>
              <w:t xml:space="preserve"> $70,369</w:t>
            </w:r>
          </w:p>
        </w:tc>
        <w:tc>
          <w:tcPr>
            <w:tcW w:w="1350" w:type="dxa"/>
            <w:tcBorders>
              <w:top w:val="single" w:sz="2" w:space="0" w:color="231F20"/>
              <w:left w:val="single" w:sz="2" w:space="0" w:color="231F20"/>
              <w:bottom w:val="single" w:sz="2" w:space="0" w:color="231F20"/>
              <w:right w:val="single" w:sz="2" w:space="0" w:color="231F20"/>
            </w:tcBorders>
            <w:shd w:val="clear" w:color="auto" w:fill="E6E7E8"/>
          </w:tcPr>
          <w:p w14:paraId="0A484D1D" w14:textId="09E55041" w:rsidR="00117E2F" w:rsidRPr="00353381" w:rsidRDefault="00117E2F" w:rsidP="00D63204">
            <w:pPr>
              <w:widowControl w:val="0"/>
              <w:spacing w:before="185" w:after="0" w:line="240" w:lineRule="auto"/>
              <w:ind w:left="90"/>
              <w:rPr>
                <w:rFonts w:cs="Calibri"/>
              </w:rPr>
            </w:pPr>
            <w:r w:rsidRPr="00353381">
              <w:rPr>
                <w:color w:val="231F20"/>
              </w:rPr>
              <w:t>$1,379,442</w:t>
            </w:r>
          </w:p>
        </w:tc>
        <w:tc>
          <w:tcPr>
            <w:tcW w:w="1530" w:type="dxa"/>
            <w:tcBorders>
              <w:top w:val="single" w:sz="2" w:space="0" w:color="231F20"/>
              <w:left w:val="single" w:sz="2" w:space="0" w:color="231F20"/>
              <w:bottom w:val="single" w:sz="2" w:space="0" w:color="231F20"/>
              <w:right w:val="single" w:sz="2" w:space="0" w:color="231F20"/>
            </w:tcBorders>
            <w:shd w:val="clear" w:color="auto" w:fill="E6E7E8"/>
          </w:tcPr>
          <w:p w14:paraId="12C31832" w14:textId="77777777" w:rsidR="00117E2F" w:rsidRPr="00353381" w:rsidRDefault="00117E2F" w:rsidP="00D63204">
            <w:pPr>
              <w:widowControl w:val="0"/>
              <w:spacing w:after="0" w:line="240" w:lineRule="auto"/>
              <w:ind w:left="90"/>
            </w:pPr>
          </w:p>
        </w:tc>
        <w:tc>
          <w:tcPr>
            <w:tcW w:w="2443" w:type="dxa"/>
            <w:tcBorders>
              <w:top w:val="single" w:sz="2" w:space="0" w:color="231F20"/>
              <w:left w:val="single" w:sz="2" w:space="0" w:color="231F20"/>
              <w:bottom w:val="single" w:sz="2" w:space="0" w:color="231F20"/>
              <w:right w:val="single" w:sz="2" w:space="0" w:color="231F20"/>
            </w:tcBorders>
            <w:shd w:val="clear" w:color="auto" w:fill="E6E7E8"/>
          </w:tcPr>
          <w:p w14:paraId="6183F4A7" w14:textId="3D44727A" w:rsidR="00117E2F" w:rsidRPr="00353381" w:rsidRDefault="00117E2F" w:rsidP="00D63204">
            <w:pPr>
              <w:widowControl w:val="0"/>
              <w:spacing w:before="185" w:after="0" w:line="240" w:lineRule="auto"/>
              <w:ind w:left="90"/>
              <w:rPr>
                <w:rFonts w:cs="Calibri"/>
              </w:rPr>
            </w:pPr>
            <w:r w:rsidRPr="00353381">
              <w:rPr>
                <w:w w:val="105"/>
              </w:rPr>
              <w:t>$1,449,811</w:t>
            </w:r>
          </w:p>
        </w:tc>
      </w:tr>
      <w:tr w:rsidR="00117E2F" w:rsidRPr="00353381" w14:paraId="1B691357" w14:textId="77777777" w:rsidTr="00117E2F">
        <w:trPr>
          <w:trHeight w:hRule="exact" w:val="540"/>
          <w:jc w:val="center"/>
        </w:trPr>
        <w:tc>
          <w:tcPr>
            <w:tcW w:w="2659" w:type="dxa"/>
            <w:tcBorders>
              <w:top w:val="single" w:sz="2" w:space="0" w:color="231F20"/>
              <w:left w:val="single" w:sz="2" w:space="0" w:color="231F20"/>
              <w:bottom w:val="single" w:sz="2" w:space="0" w:color="231F20"/>
              <w:right w:val="single" w:sz="2" w:space="0" w:color="231F20"/>
            </w:tcBorders>
          </w:tcPr>
          <w:p w14:paraId="21AFE092" w14:textId="77777777" w:rsidR="00117E2F" w:rsidRPr="00353381" w:rsidRDefault="00117E2F" w:rsidP="00A82712">
            <w:pPr>
              <w:widowControl w:val="0"/>
              <w:spacing w:before="145" w:after="0" w:line="240" w:lineRule="auto"/>
              <w:ind w:left="90"/>
              <w:rPr>
                <w:rFonts w:cs="Calibri"/>
              </w:rPr>
            </w:pPr>
            <w:r w:rsidRPr="00353381">
              <w:rPr>
                <w:color w:val="231F20"/>
                <w:w w:val="105"/>
              </w:rPr>
              <w:t>Authorizations</w:t>
            </w:r>
            <w:r w:rsidRPr="00353381">
              <w:rPr>
                <w:color w:val="231F20"/>
                <w:spacing w:val="21"/>
                <w:w w:val="105"/>
              </w:rPr>
              <w:t xml:space="preserve"> </w:t>
            </w:r>
            <w:r w:rsidRPr="00353381">
              <w:rPr>
                <w:color w:val="231F20"/>
                <w:w w:val="105"/>
              </w:rPr>
              <w:t>(842xx)</w:t>
            </w:r>
          </w:p>
        </w:tc>
        <w:tc>
          <w:tcPr>
            <w:tcW w:w="2178" w:type="dxa"/>
            <w:tcBorders>
              <w:top w:val="single" w:sz="2" w:space="0" w:color="231F20"/>
              <w:left w:val="single" w:sz="2" w:space="0" w:color="231F20"/>
              <w:bottom w:val="single" w:sz="2" w:space="0" w:color="231F20"/>
              <w:right w:val="single" w:sz="2" w:space="0" w:color="231F20"/>
            </w:tcBorders>
          </w:tcPr>
          <w:p w14:paraId="7346F99B" w14:textId="05E89A40" w:rsidR="00117E2F" w:rsidRPr="00353381" w:rsidRDefault="00117E2F" w:rsidP="00D63204">
            <w:pPr>
              <w:widowControl w:val="0"/>
              <w:spacing w:before="145" w:after="0" w:line="240" w:lineRule="auto"/>
              <w:ind w:left="90"/>
              <w:rPr>
                <w:rFonts w:cs="Calibri"/>
              </w:rPr>
            </w:pPr>
            <w:r w:rsidRPr="00353381">
              <w:rPr>
                <w:color w:val="231F20"/>
                <w:spacing w:val="-4"/>
                <w:w w:val="105"/>
              </w:rPr>
              <w:t xml:space="preserve"> $0</w:t>
            </w:r>
          </w:p>
        </w:tc>
        <w:tc>
          <w:tcPr>
            <w:tcW w:w="1350" w:type="dxa"/>
            <w:tcBorders>
              <w:top w:val="single" w:sz="2" w:space="0" w:color="231F20"/>
              <w:left w:val="single" w:sz="2" w:space="0" w:color="231F20"/>
              <w:bottom w:val="single" w:sz="2" w:space="0" w:color="231F20"/>
              <w:right w:val="single" w:sz="2" w:space="0" w:color="231F20"/>
            </w:tcBorders>
          </w:tcPr>
          <w:p w14:paraId="04E2B4D6" w14:textId="77777777" w:rsidR="00117E2F" w:rsidRPr="00353381" w:rsidRDefault="00117E2F" w:rsidP="00D63204">
            <w:pPr>
              <w:widowControl w:val="0"/>
              <w:spacing w:after="0" w:line="240" w:lineRule="auto"/>
              <w:ind w:left="90"/>
            </w:pPr>
          </w:p>
        </w:tc>
        <w:tc>
          <w:tcPr>
            <w:tcW w:w="1530" w:type="dxa"/>
            <w:tcBorders>
              <w:top w:val="single" w:sz="2" w:space="0" w:color="231F20"/>
              <w:left w:val="single" w:sz="2" w:space="0" w:color="231F20"/>
              <w:bottom w:val="single" w:sz="2" w:space="0" w:color="231F20"/>
              <w:right w:val="single" w:sz="2" w:space="0" w:color="231F20"/>
            </w:tcBorders>
          </w:tcPr>
          <w:p w14:paraId="08401D3C" w14:textId="77777777" w:rsidR="00117E2F" w:rsidRPr="00353381" w:rsidRDefault="00117E2F" w:rsidP="00D63204">
            <w:pPr>
              <w:widowControl w:val="0"/>
              <w:spacing w:after="0" w:line="240" w:lineRule="auto"/>
              <w:ind w:left="90"/>
            </w:pPr>
          </w:p>
        </w:tc>
        <w:tc>
          <w:tcPr>
            <w:tcW w:w="2443" w:type="dxa"/>
            <w:tcBorders>
              <w:top w:val="single" w:sz="2" w:space="0" w:color="231F20"/>
              <w:left w:val="single" w:sz="2" w:space="0" w:color="231F20"/>
              <w:bottom w:val="single" w:sz="2" w:space="0" w:color="231F20"/>
              <w:right w:val="single" w:sz="2" w:space="0" w:color="231F20"/>
            </w:tcBorders>
          </w:tcPr>
          <w:p w14:paraId="1EAE2FB6" w14:textId="47723A41" w:rsidR="00117E2F" w:rsidRPr="00353381" w:rsidRDefault="00117E2F" w:rsidP="00D63204">
            <w:pPr>
              <w:widowControl w:val="0"/>
              <w:spacing w:before="145" w:after="0" w:line="240" w:lineRule="auto"/>
              <w:ind w:left="90"/>
              <w:rPr>
                <w:rFonts w:cs="Calibri"/>
              </w:rPr>
            </w:pPr>
            <w:r w:rsidRPr="00353381">
              <w:rPr>
                <w:color w:val="231F20"/>
                <w:spacing w:val="-4"/>
              </w:rPr>
              <w:t xml:space="preserve"> $0</w:t>
            </w:r>
          </w:p>
        </w:tc>
      </w:tr>
      <w:tr w:rsidR="00117E2F" w:rsidRPr="00353381" w14:paraId="239450FE" w14:textId="77777777" w:rsidTr="004A1415">
        <w:trPr>
          <w:trHeight w:hRule="exact" w:val="815"/>
          <w:jc w:val="center"/>
        </w:trPr>
        <w:tc>
          <w:tcPr>
            <w:tcW w:w="2659" w:type="dxa"/>
            <w:tcBorders>
              <w:top w:val="single" w:sz="2" w:space="0" w:color="231F20"/>
              <w:left w:val="single" w:sz="2" w:space="0" w:color="231F20"/>
              <w:bottom w:val="single" w:sz="2" w:space="0" w:color="231F20"/>
              <w:right w:val="single" w:sz="2" w:space="0" w:color="231F20"/>
            </w:tcBorders>
            <w:shd w:val="clear" w:color="auto" w:fill="E6E7E8"/>
          </w:tcPr>
          <w:p w14:paraId="2917A941" w14:textId="77777777" w:rsidR="00117E2F" w:rsidRPr="00353381" w:rsidRDefault="00117E2F" w:rsidP="00A82712">
            <w:pPr>
              <w:widowControl w:val="0"/>
              <w:spacing w:before="145" w:after="0" w:line="240" w:lineRule="auto"/>
              <w:ind w:left="90"/>
              <w:rPr>
                <w:rFonts w:cs="Calibri"/>
              </w:rPr>
            </w:pPr>
            <w:r w:rsidRPr="00353381">
              <w:rPr>
                <w:color w:val="231F20"/>
                <w:w w:val="105"/>
              </w:rPr>
              <w:t>Authorizations</w:t>
            </w:r>
            <w:r w:rsidRPr="00353381">
              <w:rPr>
                <w:color w:val="231F20"/>
                <w:spacing w:val="29"/>
                <w:w w:val="105"/>
              </w:rPr>
              <w:t xml:space="preserve"> </w:t>
            </w:r>
            <w:r w:rsidRPr="00353381">
              <w:rPr>
                <w:color w:val="231F20"/>
                <w:w w:val="105"/>
              </w:rPr>
              <w:t>(892xx)</w:t>
            </w:r>
          </w:p>
        </w:tc>
        <w:tc>
          <w:tcPr>
            <w:tcW w:w="2178" w:type="dxa"/>
            <w:tcBorders>
              <w:top w:val="single" w:sz="2" w:space="0" w:color="231F20"/>
              <w:left w:val="single" w:sz="2" w:space="0" w:color="231F20"/>
              <w:bottom w:val="single" w:sz="2" w:space="0" w:color="231F20"/>
              <w:right w:val="single" w:sz="2" w:space="0" w:color="231F20"/>
            </w:tcBorders>
            <w:shd w:val="clear" w:color="auto" w:fill="E6E7E8"/>
          </w:tcPr>
          <w:p w14:paraId="0BC4E261" w14:textId="77777777" w:rsidR="00117E2F" w:rsidRPr="00353381" w:rsidRDefault="00117E2F" w:rsidP="00D63204">
            <w:pPr>
              <w:widowControl w:val="0"/>
              <w:spacing w:after="0" w:line="240" w:lineRule="auto"/>
              <w:ind w:left="90"/>
            </w:pPr>
          </w:p>
        </w:tc>
        <w:tc>
          <w:tcPr>
            <w:tcW w:w="1350" w:type="dxa"/>
            <w:tcBorders>
              <w:top w:val="single" w:sz="2" w:space="0" w:color="231F20"/>
              <w:left w:val="single" w:sz="2" w:space="0" w:color="231F20"/>
              <w:bottom w:val="single" w:sz="2" w:space="0" w:color="231F20"/>
              <w:right w:val="single" w:sz="2" w:space="0" w:color="231F20"/>
            </w:tcBorders>
            <w:shd w:val="clear" w:color="auto" w:fill="E6E7E8"/>
          </w:tcPr>
          <w:p w14:paraId="1B2D6CD2" w14:textId="77777777" w:rsidR="00117E2F" w:rsidRPr="00353381" w:rsidRDefault="00117E2F" w:rsidP="00D63204">
            <w:pPr>
              <w:widowControl w:val="0"/>
              <w:spacing w:after="0" w:line="240" w:lineRule="auto"/>
              <w:ind w:left="90"/>
            </w:pPr>
          </w:p>
        </w:tc>
        <w:tc>
          <w:tcPr>
            <w:tcW w:w="1530" w:type="dxa"/>
            <w:tcBorders>
              <w:top w:val="single" w:sz="2" w:space="0" w:color="231F20"/>
              <w:left w:val="single" w:sz="2" w:space="0" w:color="231F20"/>
              <w:bottom w:val="single" w:sz="2" w:space="0" w:color="231F20"/>
              <w:right w:val="single" w:sz="2" w:space="0" w:color="231F20"/>
            </w:tcBorders>
            <w:shd w:val="clear" w:color="auto" w:fill="E6E7E8"/>
          </w:tcPr>
          <w:p w14:paraId="38B47600" w14:textId="0431A184" w:rsidR="00117E2F" w:rsidRPr="00353381" w:rsidRDefault="00117E2F" w:rsidP="00D63204">
            <w:pPr>
              <w:widowControl w:val="0"/>
              <w:spacing w:before="145" w:after="0" w:line="240" w:lineRule="auto"/>
              <w:ind w:left="90"/>
              <w:rPr>
                <w:rFonts w:cs="Calibri"/>
              </w:rPr>
            </w:pPr>
            <w:r w:rsidRPr="00353381">
              <w:rPr>
                <w:color w:val="231F20"/>
                <w:spacing w:val="-3"/>
              </w:rPr>
              <w:t xml:space="preserve">  $15,990</w:t>
            </w:r>
          </w:p>
        </w:tc>
        <w:tc>
          <w:tcPr>
            <w:tcW w:w="2443" w:type="dxa"/>
            <w:tcBorders>
              <w:top w:val="single" w:sz="2" w:space="0" w:color="231F20"/>
              <w:left w:val="single" w:sz="2" w:space="0" w:color="231F20"/>
              <w:bottom w:val="single" w:sz="2" w:space="0" w:color="231F20"/>
              <w:right w:val="single" w:sz="2" w:space="0" w:color="231F20"/>
            </w:tcBorders>
            <w:shd w:val="clear" w:color="auto" w:fill="E6E7E8"/>
          </w:tcPr>
          <w:p w14:paraId="7E1FC34D" w14:textId="7F0DE684" w:rsidR="00117E2F" w:rsidRPr="00353381" w:rsidRDefault="00117E2F" w:rsidP="00D63204">
            <w:pPr>
              <w:widowControl w:val="0"/>
              <w:spacing w:before="145" w:after="0" w:line="240" w:lineRule="auto"/>
              <w:ind w:left="90"/>
              <w:rPr>
                <w:rFonts w:cs="Calibri"/>
              </w:rPr>
            </w:pPr>
            <w:r w:rsidRPr="00353381">
              <w:rPr>
                <w:color w:val="231F20"/>
                <w:spacing w:val="-3"/>
              </w:rPr>
              <w:t>$15,990</w:t>
            </w:r>
          </w:p>
        </w:tc>
      </w:tr>
      <w:tr w:rsidR="00117E2F" w:rsidRPr="00353381" w14:paraId="7B8A372E" w14:textId="77777777" w:rsidTr="004A1415">
        <w:trPr>
          <w:trHeight w:hRule="exact" w:val="806"/>
          <w:jc w:val="center"/>
        </w:trPr>
        <w:tc>
          <w:tcPr>
            <w:tcW w:w="2659" w:type="dxa"/>
            <w:tcBorders>
              <w:top w:val="single" w:sz="2" w:space="0" w:color="231F20"/>
              <w:left w:val="single" w:sz="2" w:space="0" w:color="231F20"/>
              <w:bottom w:val="single" w:sz="2" w:space="0" w:color="231F20"/>
              <w:right w:val="single" w:sz="2" w:space="0" w:color="231F20"/>
            </w:tcBorders>
          </w:tcPr>
          <w:p w14:paraId="0BF3E908" w14:textId="77777777" w:rsidR="00117E2F" w:rsidRPr="00353381" w:rsidRDefault="00117E2F" w:rsidP="00A82712">
            <w:pPr>
              <w:widowControl w:val="0"/>
              <w:spacing w:before="145" w:after="0" w:line="240" w:lineRule="auto"/>
              <w:ind w:left="90"/>
              <w:rPr>
                <w:rFonts w:cs="Calibri"/>
              </w:rPr>
            </w:pPr>
            <w:r w:rsidRPr="00353381">
              <w:rPr>
                <w:color w:val="231F20"/>
                <w:spacing w:val="-5"/>
                <w:w w:val="105"/>
              </w:rPr>
              <w:t>Total</w:t>
            </w:r>
          </w:p>
        </w:tc>
        <w:tc>
          <w:tcPr>
            <w:tcW w:w="2178" w:type="dxa"/>
            <w:tcBorders>
              <w:top w:val="single" w:sz="2" w:space="0" w:color="231F20"/>
              <w:left w:val="single" w:sz="2" w:space="0" w:color="231F20"/>
              <w:bottom w:val="single" w:sz="2" w:space="0" w:color="231F20"/>
              <w:right w:val="single" w:sz="2" w:space="0" w:color="231F20"/>
            </w:tcBorders>
          </w:tcPr>
          <w:p w14:paraId="273F99B2" w14:textId="5351648A" w:rsidR="00117E2F" w:rsidRPr="00353381" w:rsidRDefault="00117E2F" w:rsidP="00D63204">
            <w:pPr>
              <w:widowControl w:val="0"/>
              <w:spacing w:before="145" w:after="0" w:line="240" w:lineRule="auto"/>
              <w:ind w:left="90"/>
              <w:rPr>
                <w:rFonts w:cs="Calibri"/>
              </w:rPr>
            </w:pPr>
            <w:r w:rsidRPr="00353381">
              <w:rPr>
                <w:w w:val="105"/>
              </w:rPr>
              <w:t>$70,369</w:t>
            </w:r>
          </w:p>
        </w:tc>
        <w:tc>
          <w:tcPr>
            <w:tcW w:w="1350" w:type="dxa"/>
            <w:tcBorders>
              <w:top w:val="single" w:sz="2" w:space="0" w:color="231F20"/>
              <w:left w:val="single" w:sz="2" w:space="0" w:color="231F20"/>
              <w:bottom w:val="single" w:sz="2" w:space="0" w:color="231F20"/>
              <w:right w:val="single" w:sz="2" w:space="0" w:color="231F20"/>
            </w:tcBorders>
          </w:tcPr>
          <w:p w14:paraId="4DF80792" w14:textId="748AF572" w:rsidR="00117E2F" w:rsidRPr="00353381" w:rsidRDefault="00117E2F" w:rsidP="00D63204">
            <w:pPr>
              <w:widowControl w:val="0"/>
              <w:spacing w:before="145" w:after="0" w:line="240" w:lineRule="auto"/>
              <w:ind w:left="90"/>
              <w:rPr>
                <w:rFonts w:cs="Calibri"/>
              </w:rPr>
            </w:pPr>
            <w:r w:rsidRPr="00353381">
              <w:rPr>
                <w:color w:val="231F20"/>
              </w:rPr>
              <w:t>$1,379,442</w:t>
            </w:r>
          </w:p>
        </w:tc>
        <w:tc>
          <w:tcPr>
            <w:tcW w:w="1530" w:type="dxa"/>
            <w:tcBorders>
              <w:top w:val="single" w:sz="2" w:space="0" w:color="231F20"/>
              <w:left w:val="single" w:sz="2" w:space="0" w:color="231F20"/>
              <w:bottom w:val="single" w:sz="2" w:space="0" w:color="231F20"/>
              <w:right w:val="single" w:sz="2" w:space="0" w:color="231F20"/>
            </w:tcBorders>
          </w:tcPr>
          <w:p w14:paraId="3F4757F0" w14:textId="11F70529" w:rsidR="00117E2F" w:rsidRPr="00353381" w:rsidRDefault="00117E2F" w:rsidP="00D63204">
            <w:pPr>
              <w:widowControl w:val="0"/>
              <w:spacing w:before="145" w:after="0" w:line="240" w:lineRule="auto"/>
              <w:ind w:left="90"/>
              <w:rPr>
                <w:rFonts w:cs="Calibri"/>
              </w:rPr>
            </w:pPr>
            <w:r w:rsidRPr="00353381">
              <w:rPr>
                <w:color w:val="231F20"/>
                <w:spacing w:val="-3"/>
              </w:rPr>
              <w:t xml:space="preserve"> $15,990</w:t>
            </w:r>
          </w:p>
        </w:tc>
        <w:tc>
          <w:tcPr>
            <w:tcW w:w="2443" w:type="dxa"/>
            <w:tcBorders>
              <w:top w:val="single" w:sz="2" w:space="0" w:color="231F20"/>
              <w:left w:val="single" w:sz="2" w:space="0" w:color="231F20"/>
              <w:bottom w:val="single" w:sz="2" w:space="0" w:color="231F20"/>
              <w:right w:val="single" w:sz="2" w:space="0" w:color="231F20"/>
            </w:tcBorders>
          </w:tcPr>
          <w:p w14:paraId="2F055B3E" w14:textId="4C8DBB5A" w:rsidR="00117E2F" w:rsidRPr="00353381" w:rsidRDefault="00117E2F" w:rsidP="00D63204">
            <w:pPr>
              <w:widowControl w:val="0"/>
              <w:spacing w:before="145" w:after="0" w:line="240" w:lineRule="auto"/>
              <w:ind w:left="90"/>
              <w:rPr>
                <w:rFonts w:cs="Calibri"/>
              </w:rPr>
            </w:pPr>
            <w:r w:rsidRPr="00353381">
              <w:rPr>
                <w:color w:val="231F20"/>
                <w:w w:val="105"/>
              </w:rPr>
              <w:t>$1,465,801</w:t>
            </w:r>
          </w:p>
        </w:tc>
      </w:tr>
    </w:tbl>
    <w:p w14:paraId="0073E1DE" w14:textId="77777777" w:rsidR="00117E2F" w:rsidRPr="00353381" w:rsidRDefault="00117E2F" w:rsidP="00D63204">
      <w:pPr>
        <w:spacing w:after="0" w:line="240" w:lineRule="auto"/>
        <w:ind w:left="90"/>
        <w:rPr>
          <w:b/>
        </w:rPr>
      </w:pPr>
    </w:p>
    <w:p w14:paraId="386D34B5" w14:textId="77777777" w:rsidR="00EA7458" w:rsidRPr="00353381" w:rsidRDefault="00EA7458" w:rsidP="00D63204">
      <w:pPr>
        <w:widowControl w:val="0"/>
        <w:spacing w:before="5" w:after="0" w:line="240" w:lineRule="auto"/>
        <w:ind w:left="90"/>
        <w:rPr>
          <w:rFonts w:cs="Calibri"/>
          <w:b/>
          <w:bCs/>
        </w:rPr>
      </w:pPr>
    </w:p>
    <w:p w14:paraId="1BFF0A82" w14:textId="77777777" w:rsidR="00A82712" w:rsidRDefault="00A82712" w:rsidP="00D63204">
      <w:pPr>
        <w:spacing w:line="240" w:lineRule="auto"/>
        <w:ind w:left="90"/>
      </w:pPr>
    </w:p>
    <w:p w14:paraId="7C582C80" w14:textId="77777777" w:rsidR="00A82712" w:rsidRDefault="00A82712">
      <w:r>
        <w:br w:type="page"/>
      </w:r>
    </w:p>
    <w:p w14:paraId="7FD1BA24" w14:textId="77777777" w:rsidR="00A82712" w:rsidRDefault="00A82712" w:rsidP="00D63204">
      <w:pPr>
        <w:spacing w:line="240" w:lineRule="auto"/>
        <w:ind w:left="90"/>
      </w:pPr>
    </w:p>
    <w:p w14:paraId="508BCE4F" w14:textId="687DBE7E" w:rsidR="00EA7458" w:rsidRPr="00353381" w:rsidRDefault="004A1415" w:rsidP="00D63204">
      <w:pPr>
        <w:spacing w:line="240" w:lineRule="auto"/>
        <w:ind w:left="90"/>
      </w:pPr>
      <w:r w:rsidRPr="00353381">
        <w:t>In the Supported Employment Programs, FDBS provided services to 39 individuals during the SFY 2016-2017</w:t>
      </w:r>
      <w:r w:rsidR="005E7C49">
        <w:t xml:space="preserve">. </w:t>
      </w:r>
      <w:r w:rsidRPr="00353381">
        <w:t>Of the 39 individuals served, 22 were served by the Conklin Center, with 12 of them coded as Supported Employment</w:t>
      </w:r>
      <w:r w:rsidR="00D5537E">
        <w:t xml:space="preserve"> and</w:t>
      </w:r>
      <w:r w:rsidRPr="00353381">
        <w:t xml:space="preserve"> 8 of them were competitively employed</w:t>
      </w:r>
      <w:r w:rsidR="005E7C49">
        <w:t xml:space="preserve">. </w:t>
      </w:r>
      <w:r w:rsidRPr="00353381">
        <w:t>Furthermore, of the 39 total participants coded as Supported Employment, 17 were served using authorizations of which 17 were coded as supported employment and 11 were closed as competitively employed</w:t>
      </w:r>
      <w:r w:rsidR="005E7C49">
        <w:t xml:space="preserve">. </w:t>
      </w:r>
      <w:r w:rsidRPr="00353381">
        <w:t>Below is the actual breakout:</w:t>
      </w:r>
    </w:p>
    <w:p w14:paraId="1E767C47" w14:textId="77777777" w:rsidR="00EA7458" w:rsidRPr="00353381" w:rsidRDefault="00EA7458" w:rsidP="00D63204">
      <w:pPr>
        <w:widowControl w:val="0"/>
        <w:spacing w:before="6" w:after="0" w:line="240" w:lineRule="auto"/>
        <w:ind w:left="90"/>
        <w:rPr>
          <w:rFonts w:cs="Calibri"/>
        </w:rPr>
      </w:pPr>
    </w:p>
    <w:p w14:paraId="5C9FC470" w14:textId="67590521" w:rsidR="004A1415" w:rsidRPr="00353381" w:rsidRDefault="004A1415" w:rsidP="00D63204">
      <w:pPr>
        <w:spacing w:after="0" w:line="240" w:lineRule="auto"/>
        <w:ind w:left="90"/>
        <w:rPr>
          <w:b/>
        </w:rPr>
      </w:pPr>
      <w:r w:rsidRPr="00353381">
        <w:rPr>
          <w:b/>
        </w:rPr>
        <w:t>Figure 10.07</w:t>
      </w:r>
    </w:p>
    <w:p w14:paraId="783FF1F2" w14:textId="77777777" w:rsidR="004A1415" w:rsidRPr="00353381" w:rsidRDefault="004A1415" w:rsidP="00D63204">
      <w:pPr>
        <w:spacing w:after="0" w:line="240" w:lineRule="auto"/>
        <w:ind w:left="90"/>
        <w:rPr>
          <w:b/>
        </w:rPr>
      </w:pPr>
      <w:r w:rsidRPr="00353381">
        <w:rPr>
          <w:b/>
        </w:rPr>
        <w:t>Individuals Served by Supported Employment Programs</w:t>
      </w:r>
    </w:p>
    <w:tbl>
      <w:tblPr>
        <w:tblW w:w="0" w:type="auto"/>
        <w:jc w:val="center"/>
        <w:tblLayout w:type="fixed"/>
        <w:tblCellMar>
          <w:left w:w="0" w:type="dxa"/>
          <w:right w:w="0" w:type="dxa"/>
        </w:tblCellMar>
        <w:tblLook w:val="01E0" w:firstRow="1" w:lastRow="1" w:firstColumn="1" w:lastColumn="1" w:noHBand="0" w:noVBand="0"/>
      </w:tblPr>
      <w:tblGrid>
        <w:gridCol w:w="2610"/>
        <w:gridCol w:w="1576"/>
        <w:gridCol w:w="3131"/>
        <w:gridCol w:w="2823"/>
      </w:tblGrid>
      <w:tr w:rsidR="004A1415" w:rsidRPr="00353381" w14:paraId="53F0EC23" w14:textId="77777777" w:rsidTr="00AA77F2">
        <w:trPr>
          <w:trHeight w:hRule="exact" w:val="1080"/>
          <w:jc w:val="center"/>
        </w:trPr>
        <w:tc>
          <w:tcPr>
            <w:tcW w:w="2610" w:type="dxa"/>
            <w:tcBorders>
              <w:top w:val="single" w:sz="2" w:space="0" w:color="666699"/>
              <w:left w:val="single" w:sz="2" w:space="0" w:color="C0C0C0"/>
              <w:bottom w:val="single" w:sz="2" w:space="0" w:color="C0C0C0"/>
              <w:right w:val="single" w:sz="2" w:space="0" w:color="C0C0C0"/>
            </w:tcBorders>
          </w:tcPr>
          <w:p w14:paraId="4831DB62" w14:textId="77777777" w:rsidR="004A1415" w:rsidRPr="00353381" w:rsidRDefault="004A1415" w:rsidP="00A82712">
            <w:pPr>
              <w:widowControl w:val="0"/>
              <w:spacing w:after="0" w:line="240" w:lineRule="auto"/>
              <w:ind w:left="90"/>
              <w:rPr>
                <w:rFonts w:cs="Calibri"/>
                <w:b/>
                <w:bCs/>
              </w:rPr>
            </w:pPr>
          </w:p>
          <w:p w14:paraId="3BBA0BDA" w14:textId="77777777" w:rsidR="004A1415" w:rsidRPr="00353381" w:rsidRDefault="004A1415" w:rsidP="00A82712">
            <w:pPr>
              <w:widowControl w:val="0"/>
              <w:spacing w:after="0" w:line="240" w:lineRule="auto"/>
              <w:ind w:left="90"/>
              <w:rPr>
                <w:rFonts w:cs="Calibri"/>
              </w:rPr>
            </w:pPr>
            <w:r w:rsidRPr="00353381">
              <w:rPr>
                <w:b/>
                <w:w w:val="110"/>
              </w:rPr>
              <w:t>Community</w:t>
            </w:r>
            <w:r w:rsidRPr="00353381">
              <w:rPr>
                <w:b/>
                <w:spacing w:val="-21"/>
                <w:w w:val="110"/>
              </w:rPr>
              <w:t xml:space="preserve"> </w:t>
            </w:r>
            <w:r w:rsidRPr="00353381">
              <w:rPr>
                <w:b/>
                <w:w w:val="110"/>
              </w:rPr>
              <w:t>Rehab</w:t>
            </w:r>
            <w:r w:rsidRPr="00353381">
              <w:rPr>
                <w:b/>
                <w:w w:val="109"/>
              </w:rPr>
              <w:t xml:space="preserve"> </w:t>
            </w:r>
            <w:r w:rsidRPr="00353381">
              <w:rPr>
                <w:b/>
                <w:w w:val="110"/>
              </w:rPr>
              <w:t>Provider</w:t>
            </w:r>
          </w:p>
        </w:tc>
        <w:tc>
          <w:tcPr>
            <w:tcW w:w="1576" w:type="dxa"/>
            <w:tcBorders>
              <w:top w:val="single" w:sz="2" w:space="0" w:color="C0C0C0"/>
              <w:left w:val="single" w:sz="2" w:space="0" w:color="C0C0C0"/>
              <w:bottom w:val="single" w:sz="2" w:space="0" w:color="C0C0C0"/>
              <w:right w:val="single" w:sz="2" w:space="0" w:color="C0C0C0"/>
            </w:tcBorders>
          </w:tcPr>
          <w:p w14:paraId="6B658E72" w14:textId="77777777" w:rsidR="004A1415" w:rsidRPr="00353381" w:rsidRDefault="004A1415" w:rsidP="00D63204">
            <w:pPr>
              <w:widowControl w:val="0"/>
              <w:spacing w:after="0" w:line="240" w:lineRule="auto"/>
              <w:ind w:left="90"/>
              <w:rPr>
                <w:rFonts w:cs="Calibri"/>
                <w:b/>
                <w:bCs/>
              </w:rPr>
            </w:pPr>
          </w:p>
          <w:p w14:paraId="3216ACF7" w14:textId="77777777" w:rsidR="004A1415" w:rsidRPr="00353381" w:rsidRDefault="004A1415" w:rsidP="00D63204">
            <w:pPr>
              <w:widowControl w:val="0"/>
              <w:spacing w:after="0" w:line="240" w:lineRule="auto"/>
              <w:ind w:left="90" w:firstLine="5"/>
              <w:rPr>
                <w:rFonts w:cs="Calibri"/>
              </w:rPr>
            </w:pPr>
            <w:r w:rsidRPr="00353381">
              <w:rPr>
                <w:b/>
                <w:w w:val="110"/>
              </w:rPr>
              <w:t>Clients</w:t>
            </w:r>
            <w:r w:rsidRPr="00353381">
              <w:rPr>
                <w:b/>
                <w:spacing w:val="-49"/>
                <w:w w:val="110"/>
              </w:rPr>
              <w:t xml:space="preserve"> </w:t>
            </w:r>
            <w:r w:rsidRPr="00353381">
              <w:rPr>
                <w:b/>
                <w:w w:val="110"/>
              </w:rPr>
              <w:t>Served</w:t>
            </w:r>
          </w:p>
        </w:tc>
        <w:tc>
          <w:tcPr>
            <w:tcW w:w="3131" w:type="dxa"/>
            <w:tcBorders>
              <w:top w:val="single" w:sz="2" w:space="0" w:color="C0C0C0"/>
              <w:left w:val="single" w:sz="2" w:space="0" w:color="C0C0C0"/>
              <w:bottom w:val="single" w:sz="2" w:space="0" w:color="C0C0C0"/>
              <w:right w:val="single" w:sz="2" w:space="0" w:color="C0C0C0"/>
            </w:tcBorders>
          </w:tcPr>
          <w:p w14:paraId="2AF65BD2" w14:textId="77777777" w:rsidR="004A1415" w:rsidRPr="00353381" w:rsidRDefault="004A1415" w:rsidP="00D63204">
            <w:pPr>
              <w:widowControl w:val="0"/>
              <w:spacing w:before="2" w:after="0" w:line="240" w:lineRule="auto"/>
              <w:ind w:left="90"/>
              <w:rPr>
                <w:rFonts w:cs="Calibri"/>
                <w:b/>
                <w:bCs/>
              </w:rPr>
            </w:pPr>
          </w:p>
          <w:p w14:paraId="482D43D5" w14:textId="77777777" w:rsidR="004A1415" w:rsidRPr="00353381" w:rsidRDefault="004A1415" w:rsidP="00D63204">
            <w:pPr>
              <w:widowControl w:val="0"/>
              <w:spacing w:after="0" w:line="240" w:lineRule="auto"/>
              <w:ind w:left="90"/>
              <w:rPr>
                <w:rFonts w:cs="Calibri"/>
              </w:rPr>
            </w:pPr>
            <w:r w:rsidRPr="00353381">
              <w:rPr>
                <w:b/>
                <w:w w:val="105"/>
              </w:rPr>
              <w:t>Supported Employment</w:t>
            </w:r>
          </w:p>
          <w:p w14:paraId="0B90133B" w14:textId="77777777" w:rsidR="004A1415" w:rsidRPr="00353381" w:rsidRDefault="004A1415" w:rsidP="00D63204">
            <w:pPr>
              <w:widowControl w:val="0"/>
              <w:spacing w:after="0" w:line="240" w:lineRule="auto"/>
              <w:ind w:left="90"/>
              <w:rPr>
                <w:rFonts w:cs="Calibri"/>
              </w:rPr>
            </w:pPr>
            <w:r w:rsidRPr="00353381">
              <w:rPr>
                <w:b/>
                <w:w w:val="110"/>
              </w:rPr>
              <w:t>Placements</w:t>
            </w:r>
          </w:p>
        </w:tc>
        <w:tc>
          <w:tcPr>
            <w:tcW w:w="2823" w:type="dxa"/>
            <w:tcBorders>
              <w:top w:val="single" w:sz="2" w:space="0" w:color="C0C0C0"/>
              <w:left w:val="single" w:sz="2" w:space="0" w:color="C0C0C0"/>
              <w:bottom w:val="single" w:sz="2" w:space="0" w:color="C0C0C0"/>
              <w:right w:val="single" w:sz="2" w:space="0" w:color="C0C0C0"/>
            </w:tcBorders>
          </w:tcPr>
          <w:p w14:paraId="313E7189" w14:textId="77777777" w:rsidR="004A1415" w:rsidRPr="00353381" w:rsidRDefault="004A1415" w:rsidP="00D63204">
            <w:pPr>
              <w:widowControl w:val="0"/>
              <w:spacing w:before="2" w:after="0" w:line="240" w:lineRule="auto"/>
              <w:ind w:left="90"/>
              <w:rPr>
                <w:rFonts w:cs="Calibri"/>
                <w:b/>
                <w:bCs/>
              </w:rPr>
            </w:pPr>
          </w:p>
          <w:p w14:paraId="439669F7" w14:textId="77777777" w:rsidR="004A1415" w:rsidRPr="00353381" w:rsidRDefault="004A1415" w:rsidP="00D63204">
            <w:pPr>
              <w:widowControl w:val="0"/>
              <w:spacing w:after="0" w:line="240" w:lineRule="auto"/>
              <w:ind w:left="90"/>
              <w:rPr>
                <w:rFonts w:cs="Calibri"/>
              </w:rPr>
            </w:pPr>
            <w:r w:rsidRPr="00353381">
              <w:rPr>
                <w:b/>
                <w:w w:val="105"/>
              </w:rPr>
              <w:t>Supported Employment</w:t>
            </w:r>
          </w:p>
          <w:p w14:paraId="7C6BF05C" w14:textId="77777777" w:rsidR="004A1415" w:rsidRPr="00353381" w:rsidRDefault="004A1415" w:rsidP="00D63204">
            <w:pPr>
              <w:widowControl w:val="0"/>
              <w:spacing w:after="0" w:line="240" w:lineRule="auto"/>
              <w:ind w:left="90"/>
              <w:rPr>
                <w:rFonts w:cs="Calibri"/>
              </w:rPr>
            </w:pPr>
            <w:r w:rsidRPr="00353381">
              <w:rPr>
                <w:b/>
                <w:w w:val="110"/>
              </w:rPr>
              <w:t>Outcomes</w:t>
            </w:r>
          </w:p>
        </w:tc>
      </w:tr>
      <w:tr w:rsidR="004A1415" w:rsidRPr="00353381" w14:paraId="6438929A" w14:textId="77777777" w:rsidTr="00AA77F2">
        <w:trPr>
          <w:trHeight w:hRule="exact" w:val="804"/>
          <w:jc w:val="center"/>
        </w:trPr>
        <w:tc>
          <w:tcPr>
            <w:tcW w:w="2610" w:type="dxa"/>
            <w:tcBorders>
              <w:top w:val="single" w:sz="2" w:space="0" w:color="C0C0C0"/>
              <w:left w:val="single" w:sz="2" w:space="0" w:color="C0C0C0"/>
              <w:bottom w:val="single" w:sz="2" w:space="0" w:color="C0C0C0"/>
              <w:right w:val="single" w:sz="2" w:space="0" w:color="C0C0C0"/>
            </w:tcBorders>
            <w:shd w:val="clear" w:color="auto" w:fill="E6E7E8"/>
          </w:tcPr>
          <w:p w14:paraId="5C9FD826" w14:textId="77777777" w:rsidR="004A1415" w:rsidRPr="00353381" w:rsidRDefault="004A1415" w:rsidP="00A82712">
            <w:pPr>
              <w:widowControl w:val="0"/>
              <w:spacing w:before="143" w:after="0" w:line="240" w:lineRule="auto"/>
              <w:ind w:left="90"/>
              <w:rPr>
                <w:rFonts w:cs="Calibri"/>
              </w:rPr>
            </w:pPr>
            <w:r w:rsidRPr="00353381">
              <w:rPr>
                <w:w w:val="110"/>
              </w:rPr>
              <w:t>Florida Lions</w:t>
            </w:r>
            <w:r w:rsidRPr="00353381">
              <w:rPr>
                <w:spacing w:val="-9"/>
                <w:w w:val="110"/>
              </w:rPr>
              <w:t xml:space="preserve"> </w:t>
            </w:r>
            <w:r w:rsidRPr="00353381">
              <w:rPr>
                <w:w w:val="110"/>
              </w:rPr>
              <w:t>Conklin</w:t>
            </w:r>
            <w:r w:rsidRPr="00353381">
              <w:rPr>
                <w:w w:val="109"/>
              </w:rPr>
              <w:t xml:space="preserve"> </w:t>
            </w:r>
            <w:r w:rsidRPr="00353381">
              <w:rPr>
                <w:w w:val="110"/>
              </w:rPr>
              <w:t>Center for the</w:t>
            </w:r>
            <w:r w:rsidRPr="00353381">
              <w:rPr>
                <w:spacing w:val="-12"/>
                <w:w w:val="110"/>
              </w:rPr>
              <w:t xml:space="preserve"> </w:t>
            </w:r>
            <w:r w:rsidRPr="00353381">
              <w:rPr>
                <w:w w:val="110"/>
              </w:rPr>
              <w:t>Blind</w:t>
            </w:r>
          </w:p>
        </w:tc>
        <w:tc>
          <w:tcPr>
            <w:tcW w:w="1576" w:type="dxa"/>
            <w:tcBorders>
              <w:top w:val="single" w:sz="2" w:space="0" w:color="C0C0C0"/>
              <w:left w:val="single" w:sz="2" w:space="0" w:color="C0C0C0"/>
              <w:bottom w:val="single" w:sz="2" w:space="0" w:color="C0C0C0"/>
              <w:right w:val="single" w:sz="2" w:space="0" w:color="C0C0C0"/>
            </w:tcBorders>
            <w:shd w:val="clear" w:color="auto" w:fill="E6E7E8"/>
          </w:tcPr>
          <w:p w14:paraId="7B34170C" w14:textId="77777777" w:rsidR="004A1415" w:rsidRPr="00353381" w:rsidRDefault="004A1415" w:rsidP="00D63204">
            <w:pPr>
              <w:widowControl w:val="0"/>
              <w:spacing w:before="8" w:after="0" w:line="240" w:lineRule="auto"/>
              <w:ind w:left="90"/>
              <w:rPr>
                <w:rFonts w:cs="Calibri"/>
                <w:b/>
                <w:bCs/>
              </w:rPr>
            </w:pPr>
          </w:p>
          <w:p w14:paraId="1865211F" w14:textId="2B66A52F" w:rsidR="004A1415" w:rsidRPr="00353381" w:rsidRDefault="004A1415" w:rsidP="00D63204">
            <w:pPr>
              <w:widowControl w:val="0"/>
              <w:spacing w:after="0" w:line="240" w:lineRule="auto"/>
              <w:ind w:left="90"/>
              <w:rPr>
                <w:rFonts w:cs="Calibri"/>
              </w:rPr>
            </w:pPr>
            <w:r w:rsidRPr="00353381">
              <w:rPr>
                <w:w w:val="105"/>
              </w:rPr>
              <w:t>22</w:t>
            </w:r>
          </w:p>
        </w:tc>
        <w:tc>
          <w:tcPr>
            <w:tcW w:w="3131" w:type="dxa"/>
            <w:tcBorders>
              <w:top w:val="single" w:sz="2" w:space="0" w:color="C0C0C0"/>
              <w:left w:val="single" w:sz="2" w:space="0" w:color="C0C0C0"/>
              <w:bottom w:val="single" w:sz="2" w:space="0" w:color="C0C0C0"/>
              <w:right w:val="single" w:sz="2" w:space="0" w:color="C0C0C0"/>
            </w:tcBorders>
            <w:shd w:val="clear" w:color="auto" w:fill="E6E7E8"/>
          </w:tcPr>
          <w:p w14:paraId="7AB45C2E" w14:textId="77777777" w:rsidR="004A1415" w:rsidRPr="00353381" w:rsidRDefault="004A1415" w:rsidP="00D63204">
            <w:pPr>
              <w:widowControl w:val="0"/>
              <w:spacing w:before="8" w:after="0" w:line="240" w:lineRule="auto"/>
              <w:ind w:left="90"/>
              <w:rPr>
                <w:rFonts w:cs="Calibri"/>
                <w:b/>
                <w:bCs/>
              </w:rPr>
            </w:pPr>
          </w:p>
          <w:p w14:paraId="74413A35" w14:textId="1BDBB3E6" w:rsidR="004A1415" w:rsidRPr="00353381" w:rsidRDefault="004A1415" w:rsidP="00D63204">
            <w:pPr>
              <w:widowControl w:val="0"/>
              <w:spacing w:after="0" w:line="240" w:lineRule="auto"/>
              <w:ind w:left="90"/>
              <w:rPr>
                <w:rFonts w:cs="Calibri"/>
              </w:rPr>
            </w:pPr>
            <w:r w:rsidRPr="00353381">
              <w:rPr>
                <w:w w:val="110"/>
              </w:rPr>
              <w:t>12</w:t>
            </w:r>
          </w:p>
        </w:tc>
        <w:tc>
          <w:tcPr>
            <w:tcW w:w="2823" w:type="dxa"/>
            <w:tcBorders>
              <w:top w:val="single" w:sz="2" w:space="0" w:color="C0C0C0"/>
              <w:left w:val="single" w:sz="2" w:space="0" w:color="C0C0C0"/>
              <w:bottom w:val="single" w:sz="2" w:space="0" w:color="C0C0C0"/>
              <w:right w:val="single" w:sz="2" w:space="0" w:color="C0C0C0"/>
            </w:tcBorders>
            <w:shd w:val="clear" w:color="auto" w:fill="E6E7E8"/>
          </w:tcPr>
          <w:p w14:paraId="0562F9DF" w14:textId="77777777" w:rsidR="004A1415" w:rsidRPr="00353381" w:rsidRDefault="004A1415" w:rsidP="00D63204">
            <w:pPr>
              <w:widowControl w:val="0"/>
              <w:spacing w:before="8" w:after="0" w:line="240" w:lineRule="auto"/>
              <w:ind w:left="90"/>
              <w:rPr>
                <w:rFonts w:cs="Calibri"/>
                <w:b/>
                <w:bCs/>
              </w:rPr>
            </w:pPr>
          </w:p>
          <w:p w14:paraId="411881CE" w14:textId="56913E64" w:rsidR="004A1415" w:rsidRPr="00353381" w:rsidRDefault="004A1415" w:rsidP="00D63204">
            <w:pPr>
              <w:widowControl w:val="0"/>
              <w:spacing w:after="0" w:line="240" w:lineRule="auto"/>
              <w:ind w:left="90"/>
              <w:rPr>
                <w:rFonts w:cs="Calibri"/>
              </w:rPr>
            </w:pPr>
            <w:r w:rsidRPr="00353381">
              <w:rPr>
                <w:w w:val="114"/>
              </w:rPr>
              <w:t>12</w:t>
            </w:r>
          </w:p>
        </w:tc>
      </w:tr>
      <w:tr w:rsidR="004A1415" w:rsidRPr="00353381" w14:paraId="3E0E1AD0" w14:textId="77777777" w:rsidTr="00AA77F2">
        <w:trPr>
          <w:trHeight w:hRule="exact" w:val="804"/>
          <w:jc w:val="center"/>
        </w:trPr>
        <w:tc>
          <w:tcPr>
            <w:tcW w:w="2610" w:type="dxa"/>
            <w:tcBorders>
              <w:top w:val="single" w:sz="2" w:space="0" w:color="C0C0C0"/>
              <w:left w:val="single" w:sz="2" w:space="0" w:color="C0C0C0"/>
              <w:bottom w:val="single" w:sz="2" w:space="0" w:color="C0C0C0"/>
              <w:right w:val="single" w:sz="2" w:space="0" w:color="C0C0C0"/>
            </w:tcBorders>
          </w:tcPr>
          <w:p w14:paraId="695D04D2" w14:textId="77777777" w:rsidR="004A1415" w:rsidRPr="00353381" w:rsidRDefault="004A1415" w:rsidP="00A82712">
            <w:pPr>
              <w:widowControl w:val="0"/>
              <w:spacing w:before="11" w:after="0" w:line="240" w:lineRule="auto"/>
              <w:ind w:left="90"/>
              <w:rPr>
                <w:rFonts w:cs="Calibri"/>
              </w:rPr>
            </w:pPr>
            <w:r w:rsidRPr="00353381">
              <w:rPr>
                <w:w w:val="110"/>
              </w:rPr>
              <w:t>SE Clients Served</w:t>
            </w:r>
            <w:r w:rsidRPr="00353381">
              <w:rPr>
                <w:spacing w:val="29"/>
                <w:w w:val="110"/>
              </w:rPr>
              <w:t xml:space="preserve"> </w:t>
            </w:r>
            <w:r w:rsidRPr="00353381">
              <w:rPr>
                <w:w w:val="110"/>
              </w:rPr>
              <w:t>via</w:t>
            </w:r>
            <w:r w:rsidRPr="00353381">
              <w:rPr>
                <w:w w:val="107"/>
              </w:rPr>
              <w:t xml:space="preserve"> </w:t>
            </w:r>
            <w:r w:rsidRPr="00353381">
              <w:rPr>
                <w:w w:val="110"/>
              </w:rPr>
              <w:t>Authorization</w:t>
            </w:r>
            <w:r w:rsidRPr="00353381">
              <w:rPr>
                <w:spacing w:val="-12"/>
                <w:w w:val="110"/>
              </w:rPr>
              <w:t xml:space="preserve"> </w:t>
            </w:r>
            <w:r w:rsidRPr="00353381">
              <w:rPr>
                <w:w w:val="110"/>
              </w:rPr>
              <w:t>(Case</w:t>
            </w:r>
            <w:r w:rsidRPr="00353381">
              <w:rPr>
                <w:w w:val="112"/>
              </w:rPr>
              <w:t xml:space="preserve"> </w:t>
            </w:r>
            <w:r w:rsidRPr="00353381">
              <w:rPr>
                <w:w w:val="110"/>
              </w:rPr>
              <w:t>Services)</w:t>
            </w:r>
          </w:p>
        </w:tc>
        <w:tc>
          <w:tcPr>
            <w:tcW w:w="1576" w:type="dxa"/>
            <w:tcBorders>
              <w:top w:val="single" w:sz="2" w:space="0" w:color="C0C0C0"/>
              <w:left w:val="single" w:sz="2" w:space="0" w:color="C0C0C0"/>
              <w:bottom w:val="single" w:sz="2" w:space="0" w:color="C0C0C0"/>
              <w:right w:val="single" w:sz="2" w:space="0" w:color="C0C0C0"/>
            </w:tcBorders>
          </w:tcPr>
          <w:p w14:paraId="308ED531" w14:textId="77777777" w:rsidR="004A1415" w:rsidRPr="00353381" w:rsidRDefault="004A1415" w:rsidP="00D63204">
            <w:pPr>
              <w:widowControl w:val="0"/>
              <w:spacing w:before="8" w:after="0" w:line="240" w:lineRule="auto"/>
              <w:ind w:left="90"/>
              <w:rPr>
                <w:rFonts w:cs="Calibri"/>
                <w:b/>
                <w:bCs/>
              </w:rPr>
            </w:pPr>
          </w:p>
          <w:p w14:paraId="729577AA" w14:textId="1D13793E" w:rsidR="004A1415" w:rsidRPr="00353381" w:rsidRDefault="004A1415" w:rsidP="00D63204">
            <w:pPr>
              <w:widowControl w:val="0"/>
              <w:spacing w:after="0" w:line="240" w:lineRule="auto"/>
              <w:ind w:left="90"/>
              <w:rPr>
                <w:rFonts w:cs="Calibri"/>
              </w:rPr>
            </w:pPr>
            <w:r w:rsidRPr="00353381">
              <w:rPr>
                <w:w w:val="110"/>
              </w:rPr>
              <w:t>17</w:t>
            </w:r>
          </w:p>
        </w:tc>
        <w:tc>
          <w:tcPr>
            <w:tcW w:w="3131" w:type="dxa"/>
            <w:tcBorders>
              <w:top w:val="single" w:sz="2" w:space="0" w:color="C0C0C0"/>
              <w:left w:val="single" w:sz="2" w:space="0" w:color="C0C0C0"/>
              <w:bottom w:val="single" w:sz="2" w:space="0" w:color="C0C0C0"/>
              <w:right w:val="single" w:sz="2" w:space="0" w:color="C0C0C0"/>
            </w:tcBorders>
          </w:tcPr>
          <w:p w14:paraId="6B1C9DCE" w14:textId="77777777" w:rsidR="004A1415" w:rsidRPr="00353381" w:rsidRDefault="004A1415" w:rsidP="00D63204">
            <w:pPr>
              <w:widowControl w:val="0"/>
              <w:spacing w:after="0" w:line="240" w:lineRule="auto"/>
              <w:ind w:left="90"/>
              <w:rPr>
                <w:w w:val="110"/>
              </w:rPr>
            </w:pPr>
          </w:p>
          <w:p w14:paraId="43DEDB27" w14:textId="6F0D5231" w:rsidR="004A1415" w:rsidRPr="00353381" w:rsidRDefault="00BE26DA" w:rsidP="00D63204">
            <w:pPr>
              <w:widowControl w:val="0"/>
              <w:spacing w:after="0" w:line="240" w:lineRule="auto"/>
              <w:ind w:left="90"/>
              <w:rPr>
                <w:w w:val="110"/>
              </w:rPr>
            </w:pPr>
            <w:r w:rsidRPr="00353381">
              <w:rPr>
                <w:w w:val="110"/>
              </w:rPr>
              <w:t>17</w:t>
            </w:r>
          </w:p>
        </w:tc>
        <w:tc>
          <w:tcPr>
            <w:tcW w:w="2823" w:type="dxa"/>
            <w:tcBorders>
              <w:top w:val="single" w:sz="2" w:space="0" w:color="C0C0C0"/>
              <w:left w:val="single" w:sz="2" w:space="0" w:color="C0C0C0"/>
              <w:bottom w:val="single" w:sz="2" w:space="0" w:color="C0C0C0"/>
              <w:right w:val="single" w:sz="2" w:space="0" w:color="C0C0C0"/>
            </w:tcBorders>
          </w:tcPr>
          <w:p w14:paraId="578A2F9F" w14:textId="77777777" w:rsidR="004A1415" w:rsidRPr="00353381" w:rsidRDefault="004A1415" w:rsidP="00D63204">
            <w:pPr>
              <w:widowControl w:val="0"/>
              <w:spacing w:after="0" w:line="240" w:lineRule="auto"/>
              <w:ind w:left="90"/>
              <w:rPr>
                <w:w w:val="110"/>
              </w:rPr>
            </w:pPr>
          </w:p>
          <w:p w14:paraId="6B51D966" w14:textId="32E12737" w:rsidR="004A1415" w:rsidRPr="00353381" w:rsidRDefault="004A1415" w:rsidP="00D63204">
            <w:pPr>
              <w:widowControl w:val="0"/>
              <w:spacing w:after="0" w:line="240" w:lineRule="auto"/>
              <w:ind w:left="90"/>
              <w:rPr>
                <w:w w:val="110"/>
              </w:rPr>
            </w:pPr>
            <w:r w:rsidRPr="00353381">
              <w:rPr>
                <w:w w:val="110"/>
              </w:rPr>
              <w:t>11</w:t>
            </w:r>
          </w:p>
        </w:tc>
      </w:tr>
      <w:tr w:rsidR="004A1415" w:rsidRPr="00353381" w14:paraId="6550B59C" w14:textId="77777777" w:rsidTr="00AA77F2">
        <w:trPr>
          <w:trHeight w:hRule="exact" w:val="1380"/>
          <w:jc w:val="center"/>
        </w:trPr>
        <w:tc>
          <w:tcPr>
            <w:tcW w:w="2610" w:type="dxa"/>
            <w:tcBorders>
              <w:top w:val="single" w:sz="2" w:space="0" w:color="C0C0C0"/>
              <w:left w:val="single" w:sz="2" w:space="0" w:color="C0C0C0"/>
              <w:bottom w:val="single" w:sz="2" w:space="0" w:color="C0C0C0"/>
              <w:right w:val="single" w:sz="2" w:space="0" w:color="C0C0C0"/>
            </w:tcBorders>
            <w:shd w:val="clear" w:color="auto" w:fill="E6E7E8"/>
          </w:tcPr>
          <w:p w14:paraId="3E2761AC" w14:textId="77777777" w:rsidR="004A1415" w:rsidRPr="00353381" w:rsidRDefault="004A1415" w:rsidP="00A82712">
            <w:pPr>
              <w:widowControl w:val="0"/>
              <w:spacing w:before="167" w:after="0" w:line="240" w:lineRule="auto"/>
              <w:ind w:left="90"/>
              <w:rPr>
                <w:rFonts w:cs="Calibri"/>
              </w:rPr>
            </w:pPr>
            <w:r w:rsidRPr="00353381">
              <w:rPr>
                <w:w w:val="105"/>
              </w:rPr>
              <w:t>FY-2014-2015</w:t>
            </w:r>
            <w:r w:rsidRPr="00353381">
              <w:rPr>
                <w:spacing w:val="11"/>
                <w:w w:val="105"/>
              </w:rPr>
              <w:t xml:space="preserve"> </w:t>
            </w:r>
            <w:r w:rsidRPr="00353381">
              <w:rPr>
                <w:w w:val="105"/>
              </w:rPr>
              <w:t>Vocational</w:t>
            </w:r>
            <w:r w:rsidRPr="00353381">
              <w:rPr>
                <w:w w:val="106"/>
              </w:rPr>
              <w:t xml:space="preserve"> </w:t>
            </w:r>
            <w:r w:rsidRPr="00353381">
              <w:rPr>
                <w:w w:val="105"/>
              </w:rPr>
              <w:t>Rehabilitation</w:t>
            </w:r>
            <w:r w:rsidRPr="00353381">
              <w:rPr>
                <w:w w:val="104"/>
              </w:rPr>
              <w:t xml:space="preserve"> </w:t>
            </w:r>
            <w:r w:rsidRPr="00353381">
              <w:rPr>
                <w:w w:val="105"/>
              </w:rPr>
              <w:t>Supported Employment</w:t>
            </w:r>
            <w:r w:rsidRPr="00353381">
              <w:rPr>
                <w:spacing w:val="-15"/>
                <w:w w:val="105"/>
              </w:rPr>
              <w:t xml:space="preserve"> </w:t>
            </w:r>
            <w:r w:rsidRPr="00353381">
              <w:rPr>
                <w:w w:val="105"/>
              </w:rPr>
              <w:t xml:space="preserve">Services </w:t>
            </w:r>
            <w:r w:rsidRPr="00353381">
              <w:rPr>
                <w:spacing w:val="-4"/>
                <w:w w:val="105"/>
              </w:rPr>
              <w:t>Totals:</w:t>
            </w:r>
          </w:p>
        </w:tc>
        <w:tc>
          <w:tcPr>
            <w:tcW w:w="1576" w:type="dxa"/>
            <w:tcBorders>
              <w:top w:val="single" w:sz="2" w:space="0" w:color="C0C0C0"/>
              <w:left w:val="single" w:sz="2" w:space="0" w:color="C0C0C0"/>
              <w:bottom w:val="single" w:sz="2" w:space="0" w:color="C0C0C0"/>
              <w:right w:val="single" w:sz="2" w:space="0" w:color="C0C0C0"/>
            </w:tcBorders>
            <w:shd w:val="clear" w:color="auto" w:fill="E6E7E8"/>
          </w:tcPr>
          <w:p w14:paraId="07DAE199" w14:textId="77777777" w:rsidR="004A1415" w:rsidRPr="00353381" w:rsidRDefault="004A1415" w:rsidP="00D63204">
            <w:pPr>
              <w:widowControl w:val="0"/>
              <w:spacing w:after="0" w:line="240" w:lineRule="auto"/>
              <w:ind w:left="90"/>
              <w:rPr>
                <w:rFonts w:cs="Calibri"/>
                <w:b/>
                <w:bCs/>
              </w:rPr>
            </w:pPr>
          </w:p>
          <w:p w14:paraId="730D6373" w14:textId="77777777" w:rsidR="004A1415" w:rsidRPr="00353381" w:rsidRDefault="004A1415" w:rsidP="00D63204">
            <w:pPr>
              <w:widowControl w:val="0"/>
              <w:spacing w:before="3" w:after="0" w:line="240" w:lineRule="auto"/>
              <w:ind w:left="90"/>
              <w:rPr>
                <w:rFonts w:cs="Calibri"/>
                <w:b/>
                <w:bCs/>
              </w:rPr>
            </w:pPr>
          </w:p>
          <w:p w14:paraId="63AD2DCF" w14:textId="02AA2F1E" w:rsidR="004A1415" w:rsidRPr="00353381" w:rsidRDefault="004A1415" w:rsidP="00D63204">
            <w:pPr>
              <w:widowControl w:val="0"/>
              <w:spacing w:after="0" w:line="240" w:lineRule="auto"/>
              <w:ind w:left="90"/>
              <w:rPr>
                <w:rFonts w:cs="Calibri"/>
              </w:rPr>
            </w:pPr>
            <w:r w:rsidRPr="00353381">
              <w:rPr>
                <w:w w:val="115"/>
              </w:rPr>
              <w:t>39</w:t>
            </w:r>
          </w:p>
        </w:tc>
        <w:tc>
          <w:tcPr>
            <w:tcW w:w="3131" w:type="dxa"/>
            <w:tcBorders>
              <w:top w:val="single" w:sz="2" w:space="0" w:color="C0C0C0"/>
              <w:left w:val="single" w:sz="2" w:space="0" w:color="C0C0C0"/>
              <w:bottom w:val="single" w:sz="2" w:space="0" w:color="C0C0C0"/>
              <w:right w:val="single" w:sz="2" w:space="0" w:color="C0C0C0"/>
            </w:tcBorders>
            <w:shd w:val="clear" w:color="auto" w:fill="E6E7E8"/>
          </w:tcPr>
          <w:p w14:paraId="05C341EF" w14:textId="77777777" w:rsidR="004A1415" w:rsidRPr="00353381" w:rsidRDefault="004A1415" w:rsidP="00D63204">
            <w:pPr>
              <w:widowControl w:val="0"/>
              <w:spacing w:after="0" w:line="240" w:lineRule="auto"/>
              <w:ind w:left="90"/>
              <w:rPr>
                <w:rFonts w:cs="Calibri"/>
                <w:b/>
                <w:bCs/>
              </w:rPr>
            </w:pPr>
          </w:p>
          <w:p w14:paraId="2EC5183C" w14:textId="77777777" w:rsidR="004A1415" w:rsidRPr="00353381" w:rsidRDefault="004A1415" w:rsidP="00D63204">
            <w:pPr>
              <w:widowControl w:val="0"/>
              <w:spacing w:before="3" w:after="0" w:line="240" w:lineRule="auto"/>
              <w:ind w:left="90"/>
              <w:rPr>
                <w:rFonts w:cs="Calibri"/>
                <w:b/>
                <w:bCs/>
              </w:rPr>
            </w:pPr>
          </w:p>
          <w:p w14:paraId="5A3F884B" w14:textId="55DE45F9" w:rsidR="004A1415" w:rsidRPr="00353381" w:rsidRDefault="004A1415" w:rsidP="00D63204">
            <w:pPr>
              <w:widowControl w:val="0"/>
              <w:spacing w:after="0" w:line="240" w:lineRule="auto"/>
              <w:ind w:left="90"/>
              <w:rPr>
                <w:rFonts w:cs="Calibri"/>
              </w:rPr>
            </w:pPr>
            <w:r w:rsidRPr="00353381">
              <w:rPr>
                <w:w w:val="110"/>
              </w:rPr>
              <w:t>29</w:t>
            </w:r>
          </w:p>
        </w:tc>
        <w:tc>
          <w:tcPr>
            <w:tcW w:w="2823" w:type="dxa"/>
            <w:tcBorders>
              <w:top w:val="single" w:sz="2" w:space="0" w:color="C0C0C0"/>
              <w:left w:val="single" w:sz="2" w:space="0" w:color="C0C0C0"/>
              <w:bottom w:val="single" w:sz="2" w:space="0" w:color="C0C0C0"/>
              <w:right w:val="single" w:sz="2" w:space="0" w:color="C0C0C0"/>
            </w:tcBorders>
            <w:shd w:val="clear" w:color="auto" w:fill="E6E7E8"/>
          </w:tcPr>
          <w:p w14:paraId="525C7E8F" w14:textId="77777777" w:rsidR="004A1415" w:rsidRPr="00353381" w:rsidRDefault="004A1415" w:rsidP="00D63204">
            <w:pPr>
              <w:widowControl w:val="0"/>
              <w:spacing w:after="0" w:line="240" w:lineRule="auto"/>
              <w:ind w:left="90"/>
              <w:rPr>
                <w:w w:val="115"/>
              </w:rPr>
            </w:pPr>
          </w:p>
          <w:p w14:paraId="41702192" w14:textId="77777777" w:rsidR="004A1415" w:rsidRPr="00353381" w:rsidRDefault="004A1415" w:rsidP="00D63204">
            <w:pPr>
              <w:widowControl w:val="0"/>
              <w:spacing w:before="3" w:after="0" w:line="240" w:lineRule="auto"/>
              <w:ind w:left="90"/>
              <w:rPr>
                <w:w w:val="115"/>
              </w:rPr>
            </w:pPr>
          </w:p>
          <w:p w14:paraId="05C4ADEB" w14:textId="4B2F4484" w:rsidR="004A1415" w:rsidRPr="00353381" w:rsidRDefault="004A1415" w:rsidP="00D63204">
            <w:pPr>
              <w:widowControl w:val="0"/>
              <w:spacing w:after="0" w:line="240" w:lineRule="auto"/>
              <w:ind w:left="90"/>
              <w:rPr>
                <w:w w:val="115"/>
              </w:rPr>
            </w:pPr>
            <w:r w:rsidRPr="00353381">
              <w:rPr>
                <w:w w:val="115"/>
              </w:rPr>
              <w:t>23</w:t>
            </w:r>
          </w:p>
        </w:tc>
      </w:tr>
    </w:tbl>
    <w:p w14:paraId="64540613" w14:textId="77777777" w:rsidR="004A1415" w:rsidRPr="00353381" w:rsidRDefault="004A1415" w:rsidP="00D63204">
      <w:pPr>
        <w:spacing w:after="0" w:line="240" w:lineRule="auto"/>
        <w:ind w:left="90"/>
        <w:rPr>
          <w:b/>
        </w:rPr>
      </w:pPr>
    </w:p>
    <w:p w14:paraId="105BC76D" w14:textId="746884E1" w:rsidR="00A82712" w:rsidRDefault="004A1415" w:rsidP="00D63204">
      <w:pPr>
        <w:spacing w:line="240" w:lineRule="auto"/>
        <w:ind w:left="90"/>
      </w:pPr>
      <w:r w:rsidRPr="00353381">
        <w:t>In SFY 2015-2016, FDBS changed the way the Title VI funds are disbursed</w:t>
      </w:r>
      <w:r w:rsidR="005E7C49">
        <w:t xml:space="preserve">. </w:t>
      </w:r>
      <w:r w:rsidRPr="00353381">
        <w:t>FDBS offers supported employment services via case service dollars and via a contract with the Conklin Center to ensure all clients have access to services</w:t>
      </w:r>
      <w:r w:rsidR="005E7C49">
        <w:t xml:space="preserve">. </w:t>
      </w:r>
      <w:r w:rsidRPr="00353381">
        <w:t xml:space="preserve">FDBS developed a tracking system to ensure that 50 percent of the Supported Employment funds are being utilized appropriately for Youth with significant disabilities. </w:t>
      </w:r>
    </w:p>
    <w:p w14:paraId="470EC10B" w14:textId="22B87EC8" w:rsidR="00EA7458" w:rsidRPr="00EA3CBE" w:rsidRDefault="00EA3CBE" w:rsidP="00D63204">
      <w:pPr>
        <w:pStyle w:val="ListParagraph"/>
        <w:numPr>
          <w:ilvl w:val="0"/>
          <w:numId w:val="72"/>
        </w:numPr>
        <w:spacing w:line="240" w:lineRule="auto"/>
        <w:rPr>
          <w:sz w:val="26"/>
          <w:szCs w:val="26"/>
        </w:rPr>
      </w:pPr>
      <w:r>
        <w:rPr>
          <w:spacing w:val="-3"/>
          <w:w w:val="110"/>
        </w:rPr>
        <w:t xml:space="preserve"> </w:t>
      </w:r>
      <w:r w:rsidR="00B51D17">
        <w:rPr>
          <w:spacing w:val="-3"/>
          <w:w w:val="110"/>
        </w:rPr>
        <w:t xml:space="preserve"> </w:t>
      </w:r>
      <w:r w:rsidR="00A82712" w:rsidRPr="00EA3CBE">
        <w:rPr>
          <w:b/>
          <w:bCs/>
          <w:color w:val="295CA3"/>
          <w:spacing w:val="-3"/>
          <w:w w:val="110"/>
          <w:sz w:val="26"/>
          <w:szCs w:val="26"/>
        </w:rPr>
        <w:t>S</w:t>
      </w:r>
      <w:r w:rsidR="00EA7458" w:rsidRPr="00EA3CBE">
        <w:rPr>
          <w:b/>
          <w:bCs/>
          <w:color w:val="295CA3"/>
          <w:spacing w:val="-3"/>
          <w:w w:val="110"/>
          <w:sz w:val="26"/>
          <w:szCs w:val="26"/>
        </w:rPr>
        <w:t>tate’s</w:t>
      </w:r>
      <w:r w:rsidR="00EA7458" w:rsidRPr="00EA3CBE">
        <w:rPr>
          <w:b/>
          <w:bCs/>
          <w:color w:val="295CA3"/>
          <w:spacing w:val="1"/>
          <w:w w:val="110"/>
          <w:sz w:val="26"/>
          <w:szCs w:val="26"/>
        </w:rPr>
        <w:t xml:space="preserve"> </w:t>
      </w:r>
      <w:r w:rsidR="00EA7458" w:rsidRPr="00EA3CBE">
        <w:rPr>
          <w:b/>
          <w:bCs/>
          <w:color w:val="295CA3"/>
          <w:w w:val="110"/>
          <w:sz w:val="26"/>
          <w:szCs w:val="26"/>
        </w:rPr>
        <w:t>Strategies</w:t>
      </w:r>
    </w:p>
    <w:p w14:paraId="70ABD7C6" w14:textId="7683E84A" w:rsidR="00A82712" w:rsidRDefault="00D07071" w:rsidP="00D63204">
      <w:pPr>
        <w:spacing w:line="240" w:lineRule="auto"/>
        <w:ind w:left="90"/>
      </w:pPr>
      <w:r w:rsidRPr="00353381">
        <w:t>FDBS utilizes the strategies listed below to ensure blind and visually</w:t>
      </w:r>
      <w:r w:rsidR="00A47549">
        <w:t xml:space="preserve"> </w:t>
      </w:r>
      <w:r w:rsidRPr="00353381">
        <w:t>impaired Floridians have the tools, support and opportunities to achieve success</w:t>
      </w:r>
      <w:r w:rsidR="005E7C49">
        <w:t xml:space="preserve">. </w:t>
      </w:r>
      <w:r w:rsidRPr="00353381">
        <w:t>These strategies assist FDBS to provide equal access for clients, increase the number of employers hiring clients, generate FDBS program awareness and strengthen infrastructure</w:t>
      </w:r>
      <w:r w:rsidR="005E7C49">
        <w:t xml:space="preserve">. </w:t>
      </w:r>
      <w:r w:rsidRPr="00353381">
        <w:t>FDBS implement</w:t>
      </w:r>
      <w:r w:rsidR="00C442E2">
        <w:t>s</w:t>
      </w:r>
      <w:r w:rsidRPr="00353381">
        <w:t xml:space="preserve"> strategies that foster success for blind and visually impaired Floridians.</w:t>
      </w:r>
    </w:p>
    <w:p w14:paraId="1E141ADA" w14:textId="365E6545" w:rsidR="00A82712" w:rsidRDefault="00D07071" w:rsidP="00D63204">
      <w:pPr>
        <w:pStyle w:val="ListParagraph"/>
        <w:numPr>
          <w:ilvl w:val="0"/>
          <w:numId w:val="73"/>
        </w:numPr>
        <w:spacing w:line="240" w:lineRule="auto"/>
      </w:pPr>
      <w:r w:rsidRPr="00353381">
        <w:t>Expand opportunities for students to receive FDBS services and secure opportunities for students and youth with disabilities to practice and improve workplace skills.</w:t>
      </w:r>
    </w:p>
    <w:p w14:paraId="5E5FD757" w14:textId="77777777" w:rsidR="00A82712" w:rsidRDefault="00A82712" w:rsidP="00D63204">
      <w:pPr>
        <w:pStyle w:val="ListParagraph"/>
        <w:spacing w:line="240" w:lineRule="auto"/>
        <w:ind w:left="810"/>
      </w:pPr>
    </w:p>
    <w:p w14:paraId="70A54DA7" w14:textId="613ED717" w:rsidR="00A82712" w:rsidRDefault="00D07071" w:rsidP="00D63204">
      <w:pPr>
        <w:pStyle w:val="ListParagraph"/>
        <w:numPr>
          <w:ilvl w:val="0"/>
          <w:numId w:val="73"/>
        </w:numPr>
        <w:spacing w:line="240" w:lineRule="auto"/>
      </w:pPr>
      <w:r w:rsidRPr="00353381">
        <w:t xml:space="preserve">Ensure that clients participating in training and education programs benefit from engagement. </w:t>
      </w:r>
    </w:p>
    <w:p w14:paraId="42CE6D44" w14:textId="77777777" w:rsidR="00A82712" w:rsidRDefault="00A82712" w:rsidP="00D63204">
      <w:pPr>
        <w:pStyle w:val="ListParagraph"/>
        <w:spacing w:line="240" w:lineRule="auto"/>
        <w:ind w:left="810"/>
      </w:pPr>
    </w:p>
    <w:p w14:paraId="69EC34C5" w14:textId="3B01E6BD" w:rsidR="00A82712" w:rsidRDefault="00D07071" w:rsidP="00D63204">
      <w:pPr>
        <w:pStyle w:val="ListParagraph"/>
        <w:numPr>
          <w:ilvl w:val="0"/>
          <w:numId w:val="73"/>
        </w:numPr>
        <w:spacing w:line="240" w:lineRule="auto"/>
      </w:pPr>
      <w:r w:rsidRPr="00353381">
        <w:t>Expand utilization of online job systems such as DEO’s Abilities Work Web Portal and accompanying help desk managed by VR</w:t>
      </w:r>
      <w:r w:rsidR="00D5537E">
        <w:t xml:space="preserve"> and</w:t>
      </w:r>
      <w:r w:rsidRPr="00353381">
        <w:t xml:space="preserve"> the state/federal Talent Acquisition Portal to expose employers to job ready FDBS consumers.</w:t>
      </w:r>
    </w:p>
    <w:p w14:paraId="7E17717B" w14:textId="77777777" w:rsidR="00A82712" w:rsidRDefault="00A82712" w:rsidP="00D63204">
      <w:pPr>
        <w:pStyle w:val="ListParagraph"/>
        <w:spacing w:line="240" w:lineRule="auto"/>
        <w:ind w:left="810"/>
      </w:pPr>
    </w:p>
    <w:p w14:paraId="5AEFDA9C" w14:textId="3D8329FB" w:rsidR="00A82712" w:rsidRDefault="00D07071" w:rsidP="00D63204">
      <w:pPr>
        <w:pStyle w:val="ListParagraph"/>
        <w:numPr>
          <w:ilvl w:val="0"/>
          <w:numId w:val="73"/>
        </w:numPr>
        <w:spacing w:line="240" w:lineRule="auto"/>
      </w:pPr>
      <w:r w:rsidRPr="00353381">
        <w:t xml:space="preserve">Encourage and Track industry certifications, apprenticeships and </w:t>
      </w:r>
      <w:r w:rsidR="00600A6C">
        <w:t>postsecondary</w:t>
      </w:r>
      <w:r w:rsidRPr="00353381">
        <w:t xml:space="preserve"> outcomes.</w:t>
      </w:r>
    </w:p>
    <w:p w14:paraId="0DDBFC9D" w14:textId="77777777" w:rsidR="00A82712" w:rsidRDefault="00A82712" w:rsidP="00A82712">
      <w:pPr>
        <w:pStyle w:val="ListParagraph"/>
      </w:pPr>
    </w:p>
    <w:p w14:paraId="0131818F" w14:textId="77777777" w:rsidR="00A82712" w:rsidRDefault="00A82712" w:rsidP="00D63204">
      <w:pPr>
        <w:pStyle w:val="ListParagraph"/>
        <w:spacing w:line="240" w:lineRule="auto"/>
        <w:ind w:left="810"/>
      </w:pPr>
    </w:p>
    <w:p w14:paraId="5B700CCF" w14:textId="4BE33C91" w:rsidR="00D07071" w:rsidRDefault="00D07071" w:rsidP="00D63204">
      <w:pPr>
        <w:pStyle w:val="ListParagraph"/>
        <w:numPr>
          <w:ilvl w:val="0"/>
          <w:numId w:val="73"/>
        </w:numPr>
        <w:spacing w:line="240" w:lineRule="auto"/>
      </w:pPr>
      <w:r w:rsidRPr="00353381">
        <w:t xml:space="preserve">Develop and implement an Employment Skills Training Program at the Residential Rehabilitation Center to better prepare youth and adults who are blind and visually impaired for success in future employment. </w:t>
      </w:r>
    </w:p>
    <w:p w14:paraId="67975F17" w14:textId="77777777" w:rsidR="00A82712" w:rsidRPr="00353381" w:rsidRDefault="00A82712" w:rsidP="00D63204">
      <w:pPr>
        <w:pStyle w:val="ListParagraph"/>
        <w:spacing w:line="240" w:lineRule="auto"/>
        <w:ind w:left="810"/>
      </w:pPr>
    </w:p>
    <w:p w14:paraId="0A9D69D4" w14:textId="52FDC5AA" w:rsidR="00A82712" w:rsidRDefault="00D07071" w:rsidP="00D63204">
      <w:pPr>
        <w:pStyle w:val="ListParagraph"/>
        <w:numPr>
          <w:ilvl w:val="0"/>
          <w:numId w:val="73"/>
        </w:numPr>
        <w:spacing w:line="240" w:lineRule="auto"/>
      </w:pPr>
      <w:r w:rsidRPr="00353381">
        <w:t>Increase use of accessibility tools, awareness</w:t>
      </w:r>
      <w:r w:rsidR="00D5537E">
        <w:t xml:space="preserve"> and</w:t>
      </w:r>
      <w:r w:rsidRPr="00353381">
        <w:t xml:space="preserve"> regular follow-up with consumers to ensure equality in educational experiences and vocational opportunities. </w:t>
      </w:r>
    </w:p>
    <w:p w14:paraId="72BB02A6" w14:textId="77777777" w:rsidR="00A82712" w:rsidRDefault="00A82712" w:rsidP="00D63204">
      <w:pPr>
        <w:pStyle w:val="ListParagraph"/>
        <w:spacing w:line="240" w:lineRule="auto"/>
        <w:ind w:left="810"/>
      </w:pPr>
    </w:p>
    <w:p w14:paraId="6E4980CE" w14:textId="1A828A73" w:rsidR="00A82712" w:rsidRDefault="00D07071" w:rsidP="00D63204">
      <w:pPr>
        <w:pStyle w:val="ListParagraph"/>
        <w:numPr>
          <w:ilvl w:val="0"/>
          <w:numId w:val="73"/>
        </w:numPr>
        <w:spacing w:line="240" w:lineRule="auto"/>
      </w:pPr>
      <w:r w:rsidRPr="00353381">
        <w:t xml:space="preserve">Implement a comprehensive communications and outreach plan. </w:t>
      </w:r>
    </w:p>
    <w:p w14:paraId="1D062915" w14:textId="77777777" w:rsidR="00A82712" w:rsidRDefault="00A82712" w:rsidP="00D63204">
      <w:pPr>
        <w:pStyle w:val="ListParagraph"/>
        <w:spacing w:line="240" w:lineRule="auto"/>
        <w:ind w:left="810"/>
      </w:pPr>
    </w:p>
    <w:p w14:paraId="2F94A8C8" w14:textId="25968292" w:rsidR="00A82712" w:rsidRDefault="00D07071" w:rsidP="00D63204">
      <w:pPr>
        <w:pStyle w:val="ListParagraph"/>
        <w:numPr>
          <w:ilvl w:val="0"/>
          <w:numId w:val="73"/>
        </w:numPr>
        <w:spacing w:line="240" w:lineRule="auto"/>
      </w:pPr>
      <w:r w:rsidRPr="00353381">
        <w:t xml:space="preserve">Increase the number of individuals with significant and most significant disabilities receiving services. </w:t>
      </w:r>
    </w:p>
    <w:p w14:paraId="1A1BD57C" w14:textId="77777777" w:rsidR="00A82712" w:rsidRDefault="00A82712" w:rsidP="00D63204">
      <w:pPr>
        <w:pStyle w:val="ListParagraph"/>
        <w:spacing w:line="240" w:lineRule="auto"/>
        <w:ind w:left="810"/>
      </w:pPr>
    </w:p>
    <w:p w14:paraId="63BBFA9F" w14:textId="7B86CE4C" w:rsidR="00A82712" w:rsidRDefault="00D07071" w:rsidP="00D63204">
      <w:pPr>
        <w:pStyle w:val="ListParagraph"/>
        <w:numPr>
          <w:ilvl w:val="0"/>
          <w:numId w:val="73"/>
        </w:numPr>
        <w:spacing w:line="240" w:lineRule="auto"/>
      </w:pPr>
      <w:r w:rsidRPr="00353381">
        <w:t xml:space="preserve">Increase outreach services to under-served and un-served population. </w:t>
      </w:r>
    </w:p>
    <w:p w14:paraId="7DA531CB" w14:textId="77777777" w:rsidR="00A82712" w:rsidRDefault="00A82712" w:rsidP="00D63204">
      <w:pPr>
        <w:pStyle w:val="ListParagraph"/>
        <w:spacing w:line="240" w:lineRule="auto"/>
        <w:ind w:left="810"/>
      </w:pPr>
    </w:p>
    <w:p w14:paraId="7AB4CA96" w14:textId="3B79D3EE" w:rsidR="00A82712" w:rsidRDefault="00D07071" w:rsidP="00D63204">
      <w:pPr>
        <w:pStyle w:val="ListParagraph"/>
        <w:numPr>
          <w:ilvl w:val="0"/>
          <w:numId w:val="73"/>
        </w:numPr>
        <w:spacing w:line="240" w:lineRule="auto"/>
      </w:pPr>
      <w:r w:rsidRPr="00353381">
        <w:t xml:space="preserve">Work collaboratively with the one-stop career center to ensure centers meet accessibility needs of clients both in construction (universal design) and equipment. </w:t>
      </w:r>
    </w:p>
    <w:p w14:paraId="4BC4187E" w14:textId="77777777" w:rsidR="00A82712" w:rsidRDefault="00A82712" w:rsidP="00D63204">
      <w:pPr>
        <w:pStyle w:val="ListParagraph"/>
        <w:spacing w:line="240" w:lineRule="auto"/>
        <w:ind w:left="810"/>
      </w:pPr>
    </w:p>
    <w:p w14:paraId="1D218994" w14:textId="7E7C6BE3" w:rsidR="00A82712" w:rsidRDefault="00D07071" w:rsidP="00D63204">
      <w:pPr>
        <w:pStyle w:val="ListParagraph"/>
        <w:numPr>
          <w:ilvl w:val="0"/>
          <w:numId w:val="73"/>
        </w:numPr>
        <w:spacing w:line="240" w:lineRule="auto"/>
      </w:pPr>
      <w:r w:rsidRPr="00353381">
        <w:t xml:space="preserve">Educate one-stop career centers on the importance of establishing centers in areas that are easily accessible to public transportation. </w:t>
      </w:r>
    </w:p>
    <w:p w14:paraId="0643E9D1" w14:textId="77777777" w:rsidR="00A82712" w:rsidRDefault="00A82712" w:rsidP="00D63204">
      <w:pPr>
        <w:pStyle w:val="ListParagraph"/>
        <w:spacing w:line="240" w:lineRule="auto"/>
        <w:ind w:left="810"/>
      </w:pPr>
    </w:p>
    <w:p w14:paraId="3BB68612" w14:textId="176B4708" w:rsidR="00A82712" w:rsidRDefault="00D07071" w:rsidP="00D63204">
      <w:pPr>
        <w:pStyle w:val="ListParagraph"/>
        <w:numPr>
          <w:ilvl w:val="0"/>
          <w:numId w:val="73"/>
        </w:numPr>
        <w:spacing w:line="240" w:lineRule="auto"/>
      </w:pPr>
      <w:r w:rsidRPr="00353381">
        <w:t xml:space="preserve">Work collaboratively to ensure disability coordinators are cross trained with core partners processes. </w:t>
      </w:r>
    </w:p>
    <w:p w14:paraId="0990CB16" w14:textId="77777777" w:rsidR="00A82712" w:rsidRDefault="00A82712" w:rsidP="00D63204">
      <w:pPr>
        <w:pStyle w:val="ListParagraph"/>
        <w:spacing w:line="240" w:lineRule="auto"/>
        <w:ind w:left="810"/>
      </w:pPr>
    </w:p>
    <w:p w14:paraId="0A979380" w14:textId="5281AA22" w:rsidR="00D07071" w:rsidRDefault="00D07071" w:rsidP="00D63204">
      <w:pPr>
        <w:pStyle w:val="ListParagraph"/>
        <w:numPr>
          <w:ilvl w:val="0"/>
          <w:numId w:val="73"/>
        </w:numPr>
        <w:spacing w:line="240" w:lineRule="auto"/>
      </w:pPr>
      <w:r w:rsidRPr="00353381">
        <w:t xml:space="preserve">Partner to communicate, strategize and execute agreed upon methods of meeting the needs of individuals with disabilities. </w:t>
      </w:r>
    </w:p>
    <w:p w14:paraId="5368CEA4" w14:textId="77777777" w:rsidR="00A82712" w:rsidRPr="00353381" w:rsidRDefault="00A82712" w:rsidP="00D63204">
      <w:pPr>
        <w:pStyle w:val="ListParagraph"/>
        <w:spacing w:line="240" w:lineRule="auto"/>
        <w:ind w:left="810"/>
      </w:pPr>
    </w:p>
    <w:p w14:paraId="32795D24" w14:textId="739B08CD" w:rsidR="00A82712" w:rsidRDefault="00D07071" w:rsidP="00D63204">
      <w:pPr>
        <w:pStyle w:val="ListParagraph"/>
        <w:numPr>
          <w:ilvl w:val="0"/>
          <w:numId w:val="73"/>
        </w:numPr>
        <w:spacing w:line="240" w:lineRule="auto"/>
      </w:pPr>
      <w:r w:rsidRPr="00353381">
        <w:t xml:space="preserve">Identify opportunities to expand services/programs to meet ongoing needs of individuals with disabilities. </w:t>
      </w:r>
    </w:p>
    <w:p w14:paraId="1DADA83F" w14:textId="77777777" w:rsidR="00A82712" w:rsidRDefault="00A82712" w:rsidP="00D63204">
      <w:pPr>
        <w:pStyle w:val="ListParagraph"/>
        <w:spacing w:line="240" w:lineRule="auto"/>
        <w:ind w:left="810"/>
      </w:pPr>
    </w:p>
    <w:p w14:paraId="22FD151E" w14:textId="6D7361F6" w:rsidR="00A82712" w:rsidRDefault="00D07071" w:rsidP="00D63204">
      <w:pPr>
        <w:pStyle w:val="ListParagraph"/>
        <w:numPr>
          <w:ilvl w:val="0"/>
          <w:numId w:val="73"/>
        </w:numPr>
        <w:spacing w:line="240" w:lineRule="auto"/>
      </w:pPr>
      <w:r w:rsidRPr="00353381">
        <w:t xml:space="preserve">Enter into a local memorandum of understanding with the local board, relating to the operation of the one-stop career center system. </w:t>
      </w:r>
    </w:p>
    <w:p w14:paraId="7E8209C8" w14:textId="77777777" w:rsidR="00A82712" w:rsidRDefault="00A82712" w:rsidP="00D63204">
      <w:pPr>
        <w:pStyle w:val="ListParagraph"/>
        <w:spacing w:line="240" w:lineRule="auto"/>
        <w:ind w:left="810"/>
      </w:pPr>
    </w:p>
    <w:p w14:paraId="753CA98A" w14:textId="0E6943AF" w:rsidR="00A82712" w:rsidRDefault="00D07071" w:rsidP="00D63204">
      <w:pPr>
        <w:pStyle w:val="ListParagraph"/>
        <w:numPr>
          <w:ilvl w:val="0"/>
          <w:numId w:val="73"/>
        </w:numPr>
        <w:spacing w:line="240" w:lineRule="auto"/>
      </w:pPr>
      <w:r w:rsidRPr="00353381">
        <w:t>Participate in the operation of the one-stop career center system consistent with the terms of the memorandum of understanding and legal requirements</w:t>
      </w:r>
      <w:r w:rsidR="005E7C49">
        <w:t xml:space="preserve">. </w:t>
      </w:r>
    </w:p>
    <w:p w14:paraId="6ACA6E2D" w14:textId="77777777" w:rsidR="00A82712" w:rsidRDefault="00A82712" w:rsidP="00D63204">
      <w:pPr>
        <w:pStyle w:val="ListParagraph"/>
        <w:spacing w:line="240" w:lineRule="auto"/>
        <w:ind w:left="810"/>
      </w:pPr>
    </w:p>
    <w:p w14:paraId="5E1CF9D0" w14:textId="36DDF216" w:rsidR="00A82712" w:rsidRDefault="00D07071" w:rsidP="00D63204">
      <w:pPr>
        <w:pStyle w:val="ListParagraph"/>
        <w:numPr>
          <w:ilvl w:val="0"/>
          <w:numId w:val="73"/>
        </w:numPr>
        <w:spacing w:line="240" w:lineRule="auto"/>
      </w:pPr>
      <w:r w:rsidRPr="00353381">
        <w:t>Provide representation on the state board to the extent provided under WIOA</w:t>
      </w:r>
      <w:r w:rsidR="005E7C49">
        <w:t xml:space="preserve">. </w:t>
      </w:r>
    </w:p>
    <w:p w14:paraId="2A85E3E1" w14:textId="77777777" w:rsidR="00A82712" w:rsidRDefault="00A82712" w:rsidP="00D63204">
      <w:pPr>
        <w:pStyle w:val="ListParagraph"/>
        <w:spacing w:line="240" w:lineRule="auto"/>
        <w:ind w:left="810"/>
      </w:pPr>
    </w:p>
    <w:p w14:paraId="50A8D179" w14:textId="2E785FAE" w:rsidR="00A82712" w:rsidRDefault="00D07071" w:rsidP="00D63204">
      <w:pPr>
        <w:pStyle w:val="ListParagraph"/>
        <w:numPr>
          <w:ilvl w:val="0"/>
          <w:numId w:val="73"/>
        </w:numPr>
        <w:spacing w:line="240" w:lineRule="auto"/>
      </w:pPr>
      <w:r w:rsidRPr="00353381">
        <w:t>Evaluate and refine state and LWDB makeup to include partners that will lead Florida to a more comprehensive workforce development system</w:t>
      </w:r>
      <w:r w:rsidR="005E7C49">
        <w:t xml:space="preserve">. </w:t>
      </w:r>
      <w:r w:rsidRPr="00353381">
        <w:t>Local boards should reflect representation from all core partners.</w:t>
      </w:r>
    </w:p>
    <w:p w14:paraId="0E9A84F8" w14:textId="77777777" w:rsidR="00A82712" w:rsidRDefault="00A82712" w:rsidP="00D63204">
      <w:pPr>
        <w:pStyle w:val="ListParagraph"/>
        <w:spacing w:line="240" w:lineRule="auto"/>
        <w:ind w:left="810"/>
      </w:pPr>
    </w:p>
    <w:p w14:paraId="213DB9FE" w14:textId="27DF2A99" w:rsidR="00A82712" w:rsidRDefault="00D07071" w:rsidP="00D63204">
      <w:pPr>
        <w:pStyle w:val="ListParagraph"/>
        <w:numPr>
          <w:ilvl w:val="0"/>
          <w:numId w:val="73"/>
        </w:numPr>
        <w:spacing w:line="240" w:lineRule="auto"/>
      </w:pPr>
      <w:r w:rsidRPr="00353381">
        <w:t xml:space="preserve">Develop and strengthen employer relationships by providing employer training, support, education and resources related to employing individuals with visual impairment and provide support for employers with compliance with Section 503 regulations. </w:t>
      </w:r>
    </w:p>
    <w:p w14:paraId="3771FCD5" w14:textId="77777777" w:rsidR="00A82712" w:rsidRDefault="00A82712" w:rsidP="00D63204">
      <w:pPr>
        <w:pStyle w:val="ListParagraph"/>
        <w:spacing w:line="240" w:lineRule="auto"/>
        <w:ind w:left="810"/>
      </w:pPr>
    </w:p>
    <w:p w14:paraId="06275858" w14:textId="6C94DEE6" w:rsidR="00A82712" w:rsidRDefault="00D07071" w:rsidP="00D63204">
      <w:pPr>
        <w:pStyle w:val="ListParagraph"/>
        <w:numPr>
          <w:ilvl w:val="0"/>
          <w:numId w:val="73"/>
        </w:numPr>
        <w:spacing w:line="240" w:lineRule="auto"/>
      </w:pPr>
      <w:r w:rsidRPr="00353381">
        <w:t>Increase successful employment outcomes including self-employment outcomes for transition age youth, adults</w:t>
      </w:r>
      <w:r w:rsidR="00D5537E">
        <w:t xml:space="preserve"> and</w:t>
      </w:r>
      <w:r w:rsidRPr="00353381">
        <w:t xml:space="preserve"> seniors receiving services through FDBS </w:t>
      </w:r>
    </w:p>
    <w:p w14:paraId="1FE73024" w14:textId="3E0970B9" w:rsidR="00A82712" w:rsidRDefault="00A82712" w:rsidP="00D63204">
      <w:pPr>
        <w:pStyle w:val="ListParagraph"/>
        <w:spacing w:line="240" w:lineRule="auto"/>
        <w:ind w:left="810"/>
      </w:pPr>
    </w:p>
    <w:p w14:paraId="2C6D4EA7" w14:textId="715E1072" w:rsidR="00A82712" w:rsidRDefault="00A82712" w:rsidP="00E567C2">
      <w:pPr>
        <w:tabs>
          <w:tab w:val="left" w:pos="1515"/>
        </w:tabs>
        <w:spacing w:line="240" w:lineRule="auto"/>
      </w:pPr>
    </w:p>
    <w:p w14:paraId="40A9DFD9" w14:textId="77777777" w:rsidR="00A82712" w:rsidRDefault="00A82712" w:rsidP="00D63204">
      <w:pPr>
        <w:pStyle w:val="ListParagraph"/>
        <w:spacing w:line="240" w:lineRule="auto"/>
        <w:ind w:left="810"/>
      </w:pPr>
    </w:p>
    <w:p w14:paraId="582BE8DE" w14:textId="02DFE1F7" w:rsidR="005905EE" w:rsidRDefault="00D07071" w:rsidP="00D63204">
      <w:pPr>
        <w:pStyle w:val="ListParagraph"/>
        <w:numPr>
          <w:ilvl w:val="0"/>
          <w:numId w:val="73"/>
        </w:numPr>
        <w:spacing w:line="240" w:lineRule="auto"/>
      </w:pPr>
      <w:r w:rsidRPr="00353381">
        <w:t xml:space="preserve">Communicate community organizations and civic groups. </w:t>
      </w:r>
      <w:r w:rsidRPr="00A82712">
        <w:rPr>
          <w:color w:val="231F20"/>
          <w:spacing w:val="13"/>
          <w:w w:val="105"/>
        </w:rPr>
        <w:t xml:space="preserve">Ongoing </w:t>
      </w:r>
      <w:r w:rsidRPr="00A82712">
        <w:rPr>
          <w:color w:val="231F20"/>
          <w:w w:val="105"/>
        </w:rPr>
        <w:t>meeting</w:t>
      </w:r>
      <w:r w:rsidRPr="00A82712">
        <w:rPr>
          <w:color w:val="231F20"/>
          <w:spacing w:val="13"/>
          <w:w w:val="105"/>
        </w:rPr>
        <w:t xml:space="preserve"> </w:t>
      </w:r>
      <w:r w:rsidRPr="00A82712">
        <w:rPr>
          <w:color w:val="231F20"/>
          <w:w w:val="105"/>
        </w:rPr>
        <w:t>with</w:t>
      </w:r>
      <w:r w:rsidRPr="00A82712">
        <w:rPr>
          <w:color w:val="231F20"/>
          <w:spacing w:val="13"/>
          <w:w w:val="105"/>
        </w:rPr>
        <w:t xml:space="preserve"> </w:t>
      </w:r>
      <w:r w:rsidRPr="00A82712">
        <w:rPr>
          <w:color w:val="231F20"/>
          <w:w w:val="105"/>
        </w:rPr>
        <w:t>identified</w:t>
      </w:r>
      <w:r w:rsidRPr="00A82712">
        <w:rPr>
          <w:color w:val="231F20"/>
          <w:spacing w:val="13"/>
          <w:w w:val="105"/>
        </w:rPr>
        <w:t xml:space="preserve"> </w:t>
      </w:r>
      <w:r w:rsidRPr="00A82712">
        <w:rPr>
          <w:color w:val="231F20"/>
          <w:w w:val="105"/>
        </w:rPr>
        <w:t>groups</w:t>
      </w:r>
      <w:r w:rsidRPr="00A82712">
        <w:rPr>
          <w:color w:val="231F20"/>
          <w:spacing w:val="13"/>
          <w:w w:val="105"/>
        </w:rPr>
        <w:t xml:space="preserve"> </w:t>
      </w:r>
      <w:r w:rsidRPr="00A82712">
        <w:rPr>
          <w:color w:val="231F20"/>
          <w:w w:val="105"/>
        </w:rPr>
        <w:t>to</w:t>
      </w:r>
      <w:r w:rsidRPr="00A82712">
        <w:rPr>
          <w:color w:val="231F20"/>
          <w:spacing w:val="14"/>
          <w:w w:val="105"/>
        </w:rPr>
        <w:t xml:space="preserve"> </w:t>
      </w:r>
      <w:r w:rsidRPr="00A82712">
        <w:rPr>
          <w:color w:val="231F20"/>
          <w:w w:val="105"/>
        </w:rPr>
        <w:t>educate</w:t>
      </w:r>
      <w:r w:rsidRPr="00A82712">
        <w:rPr>
          <w:color w:val="231F20"/>
          <w:spacing w:val="14"/>
          <w:w w:val="105"/>
        </w:rPr>
        <w:t xml:space="preserve"> </w:t>
      </w:r>
      <w:r w:rsidRPr="00A82712">
        <w:rPr>
          <w:color w:val="231F20"/>
          <w:w w:val="105"/>
        </w:rPr>
        <w:t>and</w:t>
      </w:r>
      <w:r w:rsidRPr="00A82712">
        <w:rPr>
          <w:color w:val="231F20"/>
          <w:spacing w:val="14"/>
          <w:w w:val="105"/>
        </w:rPr>
        <w:t xml:space="preserve"> </w:t>
      </w:r>
      <w:r w:rsidRPr="00A82712">
        <w:rPr>
          <w:color w:val="231F20"/>
          <w:w w:val="105"/>
        </w:rPr>
        <w:t>increase</w:t>
      </w:r>
      <w:r w:rsidRPr="00A82712">
        <w:rPr>
          <w:color w:val="231F20"/>
          <w:spacing w:val="14"/>
          <w:w w:val="105"/>
        </w:rPr>
        <w:t xml:space="preserve"> </w:t>
      </w:r>
      <w:r w:rsidRPr="00A82712">
        <w:rPr>
          <w:color w:val="231F20"/>
          <w:w w:val="105"/>
        </w:rPr>
        <w:t>awareness</w:t>
      </w:r>
      <w:r w:rsidRPr="00A82712">
        <w:rPr>
          <w:color w:val="231F20"/>
          <w:spacing w:val="14"/>
          <w:w w:val="105"/>
        </w:rPr>
        <w:t xml:space="preserve"> </w:t>
      </w:r>
      <w:r w:rsidRPr="00A82712">
        <w:rPr>
          <w:color w:val="231F20"/>
          <w:w w:val="105"/>
        </w:rPr>
        <w:t>of</w:t>
      </w:r>
      <w:r w:rsidRPr="00A82712">
        <w:rPr>
          <w:color w:val="231F20"/>
          <w:spacing w:val="14"/>
          <w:w w:val="105"/>
        </w:rPr>
        <w:t xml:space="preserve"> </w:t>
      </w:r>
      <w:r w:rsidRPr="00A82712">
        <w:rPr>
          <w:color w:val="231F20"/>
          <w:w w:val="105"/>
        </w:rPr>
        <w:t>the division, its services</w:t>
      </w:r>
      <w:r w:rsidRPr="00A82712">
        <w:rPr>
          <w:color w:val="231F20"/>
          <w:spacing w:val="14"/>
          <w:w w:val="105"/>
        </w:rPr>
        <w:t xml:space="preserve"> </w:t>
      </w:r>
      <w:r w:rsidRPr="00A82712">
        <w:rPr>
          <w:color w:val="231F20"/>
          <w:w w:val="105"/>
        </w:rPr>
        <w:t>and</w:t>
      </w:r>
      <w:r w:rsidRPr="00A82712">
        <w:rPr>
          <w:color w:val="231F20"/>
          <w:spacing w:val="14"/>
          <w:w w:val="105"/>
        </w:rPr>
        <w:t xml:space="preserve"> </w:t>
      </w:r>
      <w:r w:rsidRPr="00A82712">
        <w:rPr>
          <w:color w:val="231F20"/>
          <w:w w:val="105"/>
        </w:rPr>
        <w:t>the</w:t>
      </w:r>
      <w:r w:rsidRPr="00A82712">
        <w:rPr>
          <w:color w:val="231F20"/>
          <w:spacing w:val="14"/>
          <w:w w:val="105"/>
        </w:rPr>
        <w:t xml:space="preserve"> </w:t>
      </w:r>
      <w:r w:rsidRPr="00A82712">
        <w:rPr>
          <w:color w:val="231F20"/>
          <w:w w:val="105"/>
        </w:rPr>
        <w:t>benefits</w:t>
      </w:r>
      <w:r w:rsidRPr="00A82712">
        <w:rPr>
          <w:color w:val="231F20"/>
          <w:spacing w:val="14"/>
          <w:w w:val="105"/>
        </w:rPr>
        <w:t xml:space="preserve"> </w:t>
      </w:r>
      <w:r w:rsidRPr="00A82712">
        <w:rPr>
          <w:color w:val="231F20"/>
          <w:w w:val="105"/>
        </w:rPr>
        <w:t>of</w:t>
      </w:r>
      <w:r w:rsidRPr="00A82712">
        <w:rPr>
          <w:color w:val="231F20"/>
          <w:spacing w:val="14"/>
          <w:w w:val="105"/>
        </w:rPr>
        <w:t xml:space="preserve"> </w:t>
      </w:r>
      <w:r w:rsidRPr="00A82712">
        <w:rPr>
          <w:color w:val="231F20"/>
          <w:w w:val="105"/>
        </w:rPr>
        <w:t>hiring</w:t>
      </w:r>
      <w:r w:rsidRPr="00A82712">
        <w:rPr>
          <w:color w:val="231F20"/>
          <w:spacing w:val="-8"/>
          <w:w w:val="105"/>
        </w:rPr>
        <w:t xml:space="preserve"> </w:t>
      </w:r>
      <w:r w:rsidRPr="00A82712">
        <w:rPr>
          <w:color w:val="231F20"/>
          <w:w w:val="105"/>
        </w:rPr>
        <w:t>people with disabilities. Ongoing education of employers on hiring persons who are blind and visually</w:t>
      </w:r>
      <w:r w:rsidRPr="00A82712">
        <w:rPr>
          <w:color w:val="231F20"/>
          <w:spacing w:val="38"/>
          <w:w w:val="105"/>
        </w:rPr>
        <w:t xml:space="preserve"> </w:t>
      </w:r>
      <w:r w:rsidRPr="00A82712">
        <w:rPr>
          <w:color w:val="231F20"/>
          <w:w w:val="105"/>
        </w:rPr>
        <w:t>impaired</w:t>
      </w:r>
      <w:r w:rsidRPr="00A82712">
        <w:rPr>
          <w:color w:val="231F20"/>
          <w:spacing w:val="14"/>
          <w:w w:val="105"/>
        </w:rPr>
        <w:t xml:space="preserve"> </w:t>
      </w:r>
      <w:r w:rsidRPr="00A82712">
        <w:rPr>
          <w:color w:val="231F20"/>
          <w:w w:val="105"/>
        </w:rPr>
        <w:t>in</w:t>
      </w:r>
      <w:r w:rsidRPr="00A82712">
        <w:rPr>
          <w:color w:val="231F20"/>
          <w:spacing w:val="14"/>
          <w:w w:val="105"/>
        </w:rPr>
        <w:t xml:space="preserve"> </w:t>
      </w:r>
      <w:r w:rsidRPr="00A82712">
        <w:rPr>
          <w:color w:val="231F20"/>
          <w:w w:val="105"/>
        </w:rPr>
        <w:t>presentations</w:t>
      </w:r>
      <w:r w:rsidRPr="00A82712">
        <w:rPr>
          <w:color w:val="231F20"/>
          <w:spacing w:val="14"/>
          <w:w w:val="105"/>
        </w:rPr>
        <w:t xml:space="preserve"> </w:t>
      </w:r>
      <w:r w:rsidRPr="00A82712">
        <w:rPr>
          <w:color w:val="231F20"/>
          <w:w w:val="105"/>
        </w:rPr>
        <w:t>to</w:t>
      </w:r>
      <w:r w:rsidRPr="00A82712">
        <w:rPr>
          <w:color w:val="231F20"/>
          <w:spacing w:val="14"/>
          <w:w w:val="105"/>
        </w:rPr>
        <w:t xml:space="preserve"> </w:t>
      </w:r>
      <w:r w:rsidRPr="00A82712">
        <w:rPr>
          <w:color w:val="231F20"/>
          <w:w w:val="105"/>
        </w:rPr>
        <w:t>community</w:t>
      </w:r>
      <w:r w:rsidRPr="00A82712">
        <w:rPr>
          <w:color w:val="231F20"/>
          <w:spacing w:val="14"/>
          <w:w w:val="105"/>
        </w:rPr>
        <w:t xml:space="preserve"> </w:t>
      </w:r>
      <w:r w:rsidRPr="00A82712">
        <w:rPr>
          <w:color w:val="231F20"/>
          <w:w w:val="105"/>
        </w:rPr>
        <w:t>organizations</w:t>
      </w:r>
      <w:r w:rsidRPr="00A82712">
        <w:rPr>
          <w:color w:val="231F20"/>
          <w:spacing w:val="14"/>
          <w:w w:val="105"/>
        </w:rPr>
        <w:t xml:space="preserve"> </w:t>
      </w:r>
      <w:r w:rsidRPr="00A82712">
        <w:rPr>
          <w:color w:val="231F20"/>
          <w:w w:val="105"/>
        </w:rPr>
        <w:t>and</w:t>
      </w:r>
      <w:r w:rsidRPr="00A82712">
        <w:rPr>
          <w:color w:val="231F20"/>
          <w:spacing w:val="14"/>
          <w:w w:val="105"/>
        </w:rPr>
        <w:t xml:space="preserve"> </w:t>
      </w:r>
      <w:r w:rsidRPr="00A82712">
        <w:rPr>
          <w:color w:val="231F20"/>
          <w:w w:val="105"/>
        </w:rPr>
        <w:t>civic</w:t>
      </w:r>
      <w:r w:rsidRPr="00A82712">
        <w:rPr>
          <w:color w:val="231F20"/>
          <w:spacing w:val="14"/>
          <w:w w:val="105"/>
        </w:rPr>
        <w:t xml:space="preserve"> </w:t>
      </w:r>
      <w:r w:rsidRPr="00A82712">
        <w:rPr>
          <w:color w:val="231F20"/>
          <w:w w:val="105"/>
        </w:rPr>
        <w:t>groups.</w:t>
      </w:r>
      <w:r w:rsidRPr="00353381">
        <w:t xml:space="preserve"> </w:t>
      </w:r>
    </w:p>
    <w:p w14:paraId="61EC6F69" w14:textId="77777777" w:rsidR="005905EE" w:rsidRDefault="005905EE" w:rsidP="00D63204">
      <w:pPr>
        <w:pStyle w:val="ListParagraph"/>
        <w:spacing w:line="240" w:lineRule="auto"/>
        <w:ind w:left="810"/>
      </w:pPr>
    </w:p>
    <w:p w14:paraId="4EF096A4" w14:textId="77777777" w:rsidR="005905EE" w:rsidRDefault="00D07071" w:rsidP="00D63204">
      <w:pPr>
        <w:pStyle w:val="ListParagraph"/>
        <w:numPr>
          <w:ilvl w:val="0"/>
          <w:numId w:val="73"/>
        </w:numPr>
        <w:spacing w:line="240" w:lineRule="auto"/>
      </w:pPr>
      <w:r w:rsidRPr="00353381">
        <w:t xml:space="preserve">Employment placement specialists present to community organizations and civic groups quarterly. Engage employers who have secured blind and visually impaired employees to participate in the presentations. </w:t>
      </w:r>
    </w:p>
    <w:p w14:paraId="663BE50F" w14:textId="77777777" w:rsidR="005905EE" w:rsidRDefault="005905EE" w:rsidP="005905EE">
      <w:pPr>
        <w:pStyle w:val="ListParagraph"/>
      </w:pPr>
    </w:p>
    <w:p w14:paraId="6CAAC3B6" w14:textId="77777777" w:rsidR="005905EE" w:rsidRDefault="00D07071" w:rsidP="00D63204">
      <w:pPr>
        <w:pStyle w:val="ListParagraph"/>
        <w:numPr>
          <w:ilvl w:val="0"/>
          <w:numId w:val="73"/>
        </w:numPr>
        <w:spacing w:line="240" w:lineRule="auto"/>
      </w:pPr>
      <w:r w:rsidRPr="00353381">
        <w:t xml:space="preserve">Each district hosts an annual open house for employers and potential employers. Clients who are employed or seeking employment are invited to attend. </w:t>
      </w:r>
    </w:p>
    <w:p w14:paraId="17E918C9" w14:textId="77777777" w:rsidR="005905EE" w:rsidRDefault="005905EE" w:rsidP="005905EE">
      <w:pPr>
        <w:pStyle w:val="ListParagraph"/>
      </w:pPr>
    </w:p>
    <w:p w14:paraId="57912BBE" w14:textId="53C5F73D" w:rsidR="00D07071" w:rsidRPr="005905EE" w:rsidRDefault="00D07071" w:rsidP="00D63204">
      <w:pPr>
        <w:pStyle w:val="ListParagraph"/>
        <w:numPr>
          <w:ilvl w:val="0"/>
          <w:numId w:val="73"/>
        </w:numPr>
        <w:spacing w:line="240" w:lineRule="auto"/>
      </w:pPr>
      <w:r w:rsidRPr="00353381">
        <w:t xml:space="preserve">Each district nominates at least one employer for the joint agency statewide exemplary employer event in October. The Director awards plaques to those nominated for statewide exemplary employer. </w:t>
      </w:r>
    </w:p>
    <w:p w14:paraId="77480F75" w14:textId="52A43E99" w:rsidR="00D07071" w:rsidRPr="00626691" w:rsidRDefault="00D07071" w:rsidP="00D63204">
      <w:pPr>
        <w:spacing w:line="240" w:lineRule="auto"/>
        <w:ind w:left="90"/>
        <w:rPr>
          <w:b/>
          <w:sz w:val="26"/>
          <w:szCs w:val="26"/>
        </w:rPr>
      </w:pPr>
      <w:r w:rsidRPr="00626691">
        <w:rPr>
          <w:sz w:val="26"/>
          <w:szCs w:val="26"/>
        </w:rPr>
        <w:tab/>
      </w:r>
      <w:r w:rsidRPr="00626691">
        <w:rPr>
          <w:b/>
          <w:bCs/>
          <w:color w:val="295CA3"/>
          <w:spacing w:val="-3"/>
          <w:w w:val="110"/>
          <w:sz w:val="26"/>
          <w:szCs w:val="26"/>
        </w:rPr>
        <w:t xml:space="preserve">(p) </w:t>
      </w:r>
      <w:r w:rsidR="00B51D17">
        <w:rPr>
          <w:b/>
          <w:bCs/>
          <w:color w:val="295CA3"/>
          <w:spacing w:val="-3"/>
          <w:w w:val="110"/>
          <w:sz w:val="26"/>
          <w:szCs w:val="26"/>
        </w:rPr>
        <w:t xml:space="preserve"> </w:t>
      </w:r>
      <w:r w:rsidRPr="00626691">
        <w:rPr>
          <w:b/>
          <w:bCs/>
          <w:color w:val="295CA3"/>
          <w:spacing w:val="-3"/>
          <w:w w:val="110"/>
          <w:sz w:val="26"/>
          <w:szCs w:val="26"/>
        </w:rPr>
        <w:t>Evaluation and Reports of Progress</w:t>
      </w:r>
      <w:r w:rsidRPr="00626691">
        <w:rPr>
          <w:b/>
          <w:sz w:val="26"/>
          <w:szCs w:val="26"/>
        </w:rPr>
        <w:t xml:space="preserve"> </w:t>
      </w:r>
    </w:p>
    <w:p w14:paraId="2285E9E0" w14:textId="77777777" w:rsidR="00D07071" w:rsidRPr="00353381" w:rsidRDefault="00D07071" w:rsidP="00D63204">
      <w:pPr>
        <w:spacing w:line="240" w:lineRule="auto"/>
        <w:ind w:left="90"/>
      </w:pPr>
      <w:r w:rsidRPr="00353381">
        <w:rPr>
          <w:b/>
        </w:rPr>
        <w:t>VR Program Goals</w:t>
      </w:r>
      <w:r w:rsidRPr="00353381">
        <w:t xml:space="preserve"> </w:t>
      </w:r>
    </w:p>
    <w:p w14:paraId="6BA6C990" w14:textId="77777777" w:rsidR="00626691" w:rsidRDefault="00D07071" w:rsidP="00D63204">
      <w:pPr>
        <w:spacing w:line="240" w:lineRule="auto"/>
        <w:ind w:left="90"/>
      </w:pPr>
      <w:r w:rsidRPr="00353381">
        <w:t xml:space="preserve">FDBS modified its state goals and priorities to match the agency’s strategic plan to ensure that the goals and strategies are measurable. </w:t>
      </w:r>
    </w:p>
    <w:p w14:paraId="2B733CE2" w14:textId="3960485C" w:rsidR="00D07071" w:rsidRPr="00626691" w:rsidRDefault="00626691" w:rsidP="00D63204">
      <w:pPr>
        <w:spacing w:line="240" w:lineRule="auto"/>
        <w:ind w:left="90"/>
      </w:pPr>
      <w:r>
        <w:br/>
      </w:r>
      <w:r w:rsidR="00D07071" w:rsidRPr="00353381">
        <w:rPr>
          <w:b/>
        </w:rPr>
        <w:t xml:space="preserve">Goal 1.0 Create an environment that provides job opportunities for visually impaired and blind Floridians. </w:t>
      </w:r>
    </w:p>
    <w:p w14:paraId="7EF367C4" w14:textId="25DA2862" w:rsidR="00D07071" w:rsidRPr="00353381" w:rsidRDefault="00D07071" w:rsidP="00D63204">
      <w:pPr>
        <w:spacing w:line="240" w:lineRule="auto"/>
        <w:ind w:left="90"/>
      </w:pPr>
      <w:r w:rsidRPr="00353381">
        <w:t xml:space="preserve">Measure: This goal is measured by the increase in the number of statewide employment activities at the local level. </w:t>
      </w:r>
    </w:p>
    <w:p w14:paraId="5AE0B6D9" w14:textId="77777777" w:rsidR="00D07071" w:rsidRPr="00353381" w:rsidRDefault="00D07071" w:rsidP="00D63204">
      <w:pPr>
        <w:spacing w:line="240" w:lineRule="auto"/>
        <w:ind w:left="90"/>
      </w:pPr>
      <w:r w:rsidRPr="00353381">
        <w:rPr>
          <w:u w:val="single"/>
        </w:rPr>
        <w:t>Strategy 1.1</w:t>
      </w:r>
      <w:r w:rsidRPr="00353381">
        <w:t xml:space="preserve"> Increase successful job outcomes in the BBE Program. </w:t>
      </w:r>
    </w:p>
    <w:p w14:paraId="79D38B5B" w14:textId="6ECA88A4" w:rsidR="00D07071" w:rsidRDefault="00D07071" w:rsidP="00D63204">
      <w:pPr>
        <w:spacing w:line="240" w:lineRule="auto"/>
        <w:ind w:left="90"/>
      </w:pPr>
      <w:r w:rsidRPr="00353381">
        <w:t xml:space="preserve">FDBS determined one of the most important measurements of a successful BBE program is the percentage of recently licensed vendors staying at their first facility for at least 12 months. This measure demonstrates training adequately prepared new licensees to start at a facility and stay for at least 12 months. It is a good indicator of the individual’s perseverance and on-the-job skills development. </w:t>
      </w:r>
    </w:p>
    <w:p w14:paraId="6AE8F795" w14:textId="1B620035" w:rsidR="00626691" w:rsidRDefault="00626691" w:rsidP="00D63204">
      <w:pPr>
        <w:spacing w:line="240" w:lineRule="auto"/>
        <w:ind w:left="90"/>
      </w:pPr>
    </w:p>
    <w:p w14:paraId="19AEB764" w14:textId="44240533" w:rsidR="00626691" w:rsidRDefault="00626691" w:rsidP="00D63204">
      <w:pPr>
        <w:spacing w:line="240" w:lineRule="auto"/>
        <w:ind w:left="90"/>
      </w:pPr>
    </w:p>
    <w:p w14:paraId="34E85C41" w14:textId="61D8131C" w:rsidR="00626691" w:rsidRDefault="00626691" w:rsidP="00D63204">
      <w:pPr>
        <w:spacing w:line="240" w:lineRule="auto"/>
        <w:ind w:left="90"/>
      </w:pPr>
    </w:p>
    <w:p w14:paraId="3961F7E2" w14:textId="0C14D1FD" w:rsidR="00626691" w:rsidRDefault="00626691" w:rsidP="00D63204">
      <w:pPr>
        <w:spacing w:line="240" w:lineRule="auto"/>
        <w:ind w:left="90"/>
      </w:pPr>
    </w:p>
    <w:p w14:paraId="15C88212" w14:textId="1D223589" w:rsidR="00626691" w:rsidRDefault="00626691" w:rsidP="00D63204">
      <w:pPr>
        <w:spacing w:line="240" w:lineRule="auto"/>
        <w:ind w:left="90"/>
      </w:pPr>
    </w:p>
    <w:p w14:paraId="446C7A72" w14:textId="3781F9F5" w:rsidR="00626691" w:rsidRDefault="00626691" w:rsidP="00D63204">
      <w:pPr>
        <w:spacing w:line="240" w:lineRule="auto"/>
        <w:ind w:left="90"/>
      </w:pPr>
    </w:p>
    <w:p w14:paraId="105EF7FC" w14:textId="64520310" w:rsidR="00626691" w:rsidRDefault="00626691" w:rsidP="00D63204">
      <w:pPr>
        <w:spacing w:line="240" w:lineRule="auto"/>
        <w:ind w:left="90"/>
      </w:pPr>
    </w:p>
    <w:p w14:paraId="394C6BDB" w14:textId="75674870" w:rsidR="00626691" w:rsidRDefault="00626691" w:rsidP="00D63204">
      <w:pPr>
        <w:spacing w:line="240" w:lineRule="auto"/>
        <w:ind w:left="90"/>
      </w:pPr>
    </w:p>
    <w:p w14:paraId="1652DC83" w14:textId="6F516C2F" w:rsidR="00626691" w:rsidRDefault="00626691" w:rsidP="00D63204">
      <w:pPr>
        <w:spacing w:line="240" w:lineRule="auto"/>
        <w:ind w:left="90"/>
      </w:pPr>
    </w:p>
    <w:p w14:paraId="21B04A47" w14:textId="58F0DA05" w:rsidR="00626691" w:rsidRDefault="00626691" w:rsidP="00D63204">
      <w:pPr>
        <w:spacing w:line="240" w:lineRule="auto"/>
        <w:ind w:left="90"/>
      </w:pPr>
    </w:p>
    <w:p w14:paraId="2AE8E043" w14:textId="77777777" w:rsidR="00626691" w:rsidRPr="00353381" w:rsidRDefault="00626691" w:rsidP="00D63204">
      <w:pPr>
        <w:spacing w:line="240" w:lineRule="auto"/>
        <w:ind w:left="90"/>
      </w:pPr>
    </w:p>
    <w:p w14:paraId="34D564B4" w14:textId="26381D16" w:rsidR="00EA7458" w:rsidRPr="00353381" w:rsidRDefault="00D07071" w:rsidP="00D63204">
      <w:pPr>
        <w:spacing w:line="240" w:lineRule="auto"/>
        <w:ind w:left="90"/>
        <w:rPr>
          <w:rFonts w:cs="Calibri"/>
        </w:rPr>
      </w:pPr>
      <w:r w:rsidRPr="00353381">
        <w:t>As depicted in the table below, this goal is</w:t>
      </w:r>
      <w:r w:rsidR="00443256" w:rsidRPr="00353381">
        <w:t xml:space="preserve"> </w:t>
      </w:r>
      <w:r w:rsidRPr="00353381">
        <w:t>measured by a comparison with previous years in the number of licensed clients awarded their first facility, regardless of the year licensed</w:t>
      </w:r>
      <w:r w:rsidR="00D5537E">
        <w:t xml:space="preserve"> and</w:t>
      </w:r>
      <w:r w:rsidRPr="00353381">
        <w:t xml:space="preserve"> remained under contract for a minimum of one year. </w:t>
      </w:r>
    </w:p>
    <w:p w14:paraId="091A9AB5" w14:textId="2FDA9421" w:rsidR="00443256" w:rsidRPr="00353381" w:rsidRDefault="00443256" w:rsidP="00D63204">
      <w:pPr>
        <w:spacing w:after="0" w:line="240" w:lineRule="auto"/>
        <w:ind w:left="90"/>
        <w:rPr>
          <w:b/>
          <w:bCs/>
          <w:w w:val="120"/>
        </w:rPr>
      </w:pPr>
      <w:r w:rsidRPr="00353381">
        <w:rPr>
          <w:b/>
          <w:bCs/>
          <w:w w:val="110"/>
        </w:rPr>
        <w:t>Figure</w:t>
      </w:r>
      <w:r w:rsidRPr="00353381">
        <w:rPr>
          <w:b/>
          <w:bCs/>
          <w:spacing w:val="2"/>
          <w:w w:val="110"/>
        </w:rPr>
        <w:t xml:space="preserve"> </w:t>
      </w:r>
      <w:r w:rsidRPr="00353381">
        <w:rPr>
          <w:b/>
          <w:bCs/>
          <w:spacing w:val="-3"/>
          <w:w w:val="110"/>
        </w:rPr>
        <w:t>10.08</w:t>
      </w:r>
    </w:p>
    <w:p w14:paraId="5CADBF62" w14:textId="77777777" w:rsidR="00443256" w:rsidRPr="00353381" w:rsidRDefault="00443256" w:rsidP="00D63204">
      <w:pPr>
        <w:spacing w:after="0" w:line="240" w:lineRule="auto"/>
        <w:ind w:left="90"/>
        <w:rPr>
          <w:b/>
          <w:bCs/>
          <w:w w:val="110"/>
        </w:rPr>
      </w:pPr>
      <w:r w:rsidRPr="00353381">
        <w:rPr>
          <w:b/>
          <w:bCs/>
          <w:w w:val="110"/>
        </w:rPr>
        <w:t>Outcomes in BBE</w:t>
      </w:r>
      <w:r w:rsidRPr="00353381">
        <w:rPr>
          <w:b/>
          <w:bCs/>
          <w:spacing w:val="19"/>
          <w:w w:val="110"/>
        </w:rPr>
        <w:t xml:space="preserve"> </w:t>
      </w:r>
      <w:r w:rsidRPr="00353381">
        <w:rPr>
          <w:b/>
          <w:bCs/>
          <w:w w:val="110"/>
        </w:rPr>
        <w:t>Program</w:t>
      </w:r>
    </w:p>
    <w:tbl>
      <w:tblPr>
        <w:tblW w:w="10324" w:type="dxa"/>
        <w:jc w:val="center"/>
        <w:tblLayout w:type="fixed"/>
        <w:tblCellMar>
          <w:left w:w="0" w:type="dxa"/>
          <w:right w:w="0" w:type="dxa"/>
        </w:tblCellMar>
        <w:tblLook w:val="01E0" w:firstRow="1" w:lastRow="1" w:firstColumn="1" w:lastColumn="1" w:noHBand="0" w:noVBand="0"/>
      </w:tblPr>
      <w:tblGrid>
        <w:gridCol w:w="1766"/>
        <w:gridCol w:w="1124"/>
        <w:gridCol w:w="1043"/>
        <w:gridCol w:w="1133"/>
        <w:gridCol w:w="1496"/>
        <w:gridCol w:w="1246"/>
        <w:gridCol w:w="1258"/>
        <w:gridCol w:w="1258"/>
      </w:tblGrid>
      <w:tr w:rsidR="00443256" w:rsidRPr="00353381" w14:paraId="37E35D67" w14:textId="77777777" w:rsidTr="001000EB">
        <w:trPr>
          <w:trHeight w:hRule="exact" w:val="659"/>
          <w:jc w:val="center"/>
        </w:trPr>
        <w:tc>
          <w:tcPr>
            <w:tcW w:w="1766" w:type="dxa"/>
            <w:tcBorders>
              <w:top w:val="single" w:sz="2" w:space="0" w:color="231F20"/>
              <w:left w:val="single" w:sz="2" w:space="0" w:color="231F20"/>
              <w:bottom w:val="single" w:sz="2" w:space="0" w:color="231F20"/>
              <w:right w:val="single" w:sz="2" w:space="0" w:color="231F20"/>
            </w:tcBorders>
          </w:tcPr>
          <w:p w14:paraId="10940432" w14:textId="77777777" w:rsidR="00443256" w:rsidRPr="00353381" w:rsidRDefault="00443256" w:rsidP="00D63204">
            <w:pPr>
              <w:widowControl w:val="0"/>
              <w:spacing w:after="0" w:line="240" w:lineRule="auto"/>
              <w:ind w:left="90"/>
            </w:pPr>
            <w:bookmarkStart w:id="194" w:name="_Hlk503262144"/>
          </w:p>
        </w:tc>
        <w:tc>
          <w:tcPr>
            <w:tcW w:w="1124" w:type="dxa"/>
            <w:tcBorders>
              <w:top w:val="single" w:sz="2" w:space="0" w:color="231F20"/>
              <w:left w:val="single" w:sz="2" w:space="0" w:color="231F20"/>
              <w:bottom w:val="single" w:sz="2" w:space="0" w:color="231F20"/>
              <w:right w:val="single" w:sz="2" w:space="0" w:color="231F20"/>
            </w:tcBorders>
          </w:tcPr>
          <w:p w14:paraId="7DE1C970" w14:textId="77777777" w:rsidR="00626691" w:rsidRDefault="00443256" w:rsidP="00D63204">
            <w:pPr>
              <w:widowControl w:val="0"/>
              <w:spacing w:before="82" w:after="0" w:line="240" w:lineRule="auto"/>
              <w:ind w:left="90"/>
              <w:rPr>
                <w:b/>
                <w:w w:val="125"/>
              </w:rPr>
            </w:pPr>
            <w:r w:rsidRPr="00353381">
              <w:rPr>
                <w:b/>
                <w:w w:val="120"/>
              </w:rPr>
              <w:t>SFY</w:t>
            </w:r>
            <w:r w:rsidRPr="00353381">
              <w:rPr>
                <w:b/>
                <w:w w:val="125"/>
              </w:rPr>
              <w:t xml:space="preserve"> </w:t>
            </w:r>
          </w:p>
          <w:p w14:paraId="1971B3BB" w14:textId="147C414C" w:rsidR="00443256" w:rsidRPr="00353381" w:rsidRDefault="00443256" w:rsidP="00D63204">
            <w:pPr>
              <w:widowControl w:val="0"/>
              <w:spacing w:before="82" w:after="0" w:line="240" w:lineRule="auto"/>
              <w:ind w:left="90"/>
              <w:rPr>
                <w:rFonts w:cs="Calibri"/>
              </w:rPr>
            </w:pPr>
            <w:r w:rsidRPr="00353381">
              <w:rPr>
                <w:b/>
                <w:w w:val="110"/>
              </w:rPr>
              <w:t>2009-10</w:t>
            </w:r>
          </w:p>
        </w:tc>
        <w:tc>
          <w:tcPr>
            <w:tcW w:w="1043" w:type="dxa"/>
            <w:tcBorders>
              <w:top w:val="single" w:sz="2" w:space="0" w:color="231F20"/>
              <w:left w:val="single" w:sz="2" w:space="0" w:color="231F20"/>
              <w:bottom w:val="single" w:sz="2" w:space="0" w:color="231F20"/>
              <w:right w:val="single" w:sz="2" w:space="0" w:color="231F20"/>
            </w:tcBorders>
          </w:tcPr>
          <w:p w14:paraId="78D11C80" w14:textId="77777777" w:rsidR="00626691" w:rsidRDefault="00443256" w:rsidP="00D63204">
            <w:pPr>
              <w:widowControl w:val="0"/>
              <w:spacing w:before="82" w:after="0" w:line="240" w:lineRule="auto"/>
              <w:ind w:left="90"/>
              <w:rPr>
                <w:b/>
                <w:w w:val="125"/>
              </w:rPr>
            </w:pPr>
            <w:r w:rsidRPr="00353381">
              <w:rPr>
                <w:b/>
                <w:w w:val="115"/>
              </w:rPr>
              <w:t>SFY</w:t>
            </w:r>
            <w:r w:rsidRPr="00353381">
              <w:rPr>
                <w:b/>
                <w:w w:val="125"/>
              </w:rPr>
              <w:t xml:space="preserve"> </w:t>
            </w:r>
          </w:p>
          <w:p w14:paraId="3A08BDF0" w14:textId="7AA3CBDF" w:rsidR="00443256" w:rsidRPr="00353381" w:rsidRDefault="00443256" w:rsidP="00D63204">
            <w:pPr>
              <w:widowControl w:val="0"/>
              <w:spacing w:before="82" w:after="0" w:line="240" w:lineRule="auto"/>
              <w:ind w:left="90"/>
              <w:rPr>
                <w:rFonts w:cs="Calibri"/>
              </w:rPr>
            </w:pPr>
            <w:r w:rsidRPr="00353381">
              <w:rPr>
                <w:b/>
              </w:rPr>
              <w:t>2010-11</w:t>
            </w:r>
          </w:p>
        </w:tc>
        <w:tc>
          <w:tcPr>
            <w:tcW w:w="1133" w:type="dxa"/>
            <w:tcBorders>
              <w:top w:val="single" w:sz="2" w:space="0" w:color="231F20"/>
              <w:left w:val="single" w:sz="2" w:space="0" w:color="231F20"/>
              <w:bottom w:val="single" w:sz="2" w:space="0" w:color="231F20"/>
              <w:right w:val="single" w:sz="2" w:space="0" w:color="231F20"/>
            </w:tcBorders>
          </w:tcPr>
          <w:p w14:paraId="2CBC5DB1" w14:textId="77777777" w:rsidR="00626691" w:rsidRDefault="00443256" w:rsidP="00D63204">
            <w:pPr>
              <w:widowControl w:val="0"/>
              <w:spacing w:before="82" w:after="0" w:line="240" w:lineRule="auto"/>
              <w:ind w:left="90"/>
              <w:rPr>
                <w:b/>
                <w:w w:val="125"/>
              </w:rPr>
            </w:pPr>
            <w:r w:rsidRPr="00353381">
              <w:rPr>
                <w:b/>
                <w:w w:val="115"/>
              </w:rPr>
              <w:t>SFY</w:t>
            </w:r>
            <w:r w:rsidRPr="00353381">
              <w:rPr>
                <w:b/>
                <w:w w:val="125"/>
              </w:rPr>
              <w:t xml:space="preserve"> </w:t>
            </w:r>
          </w:p>
          <w:p w14:paraId="7C6B7215" w14:textId="6EB18EB3" w:rsidR="00443256" w:rsidRPr="00353381" w:rsidRDefault="00443256" w:rsidP="00D63204">
            <w:pPr>
              <w:widowControl w:val="0"/>
              <w:spacing w:before="82" w:after="0" w:line="240" w:lineRule="auto"/>
              <w:ind w:left="90"/>
              <w:rPr>
                <w:rFonts w:cs="Calibri"/>
              </w:rPr>
            </w:pPr>
            <w:r w:rsidRPr="00353381">
              <w:rPr>
                <w:b/>
              </w:rPr>
              <w:t>2011-12</w:t>
            </w:r>
          </w:p>
        </w:tc>
        <w:tc>
          <w:tcPr>
            <w:tcW w:w="1496" w:type="dxa"/>
            <w:tcBorders>
              <w:top w:val="single" w:sz="2" w:space="0" w:color="231F20"/>
              <w:left w:val="single" w:sz="2" w:space="0" w:color="231F20"/>
              <w:bottom w:val="single" w:sz="2" w:space="0" w:color="231F20"/>
              <w:right w:val="single" w:sz="2" w:space="0" w:color="231F20"/>
            </w:tcBorders>
          </w:tcPr>
          <w:p w14:paraId="02A91F3E" w14:textId="77777777" w:rsidR="00626691" w:rsidRDefault="00443256" w:rsidP="00D63204">
            <w:pPr>
              <w:widowControl w:val="0"/>
              <w:spacing w:before="82" w:after="0" w:line="240" w:lineRule="auto"/>
              <w:ind w:left="90"/>
              <w:rPr>
                <w:b/>
                <w:w w:val="125"/>
              </w:rPr>
            </w:pPr>
            <w:r w:rsidRPr="00353381">
              <w:rPr>
                <w:b/>
                <w:w w:val="115"/>
              </w:rPr>
              <w:t>SFY</w:t>
            </w:r>
            <w:r w:rsidRPr="00353381">
              <w:rPr>
                <w:b/>
                <w:w w:val="125"/>
              </w:rPr>
              <w:t xml:space="preserve"> </w:t>
            </w:r>
          </w:p>
          <w:p w14:paraId="41047DEC" w14:textId="28132CC4" w:rsidR="00443256" w:rsidRPr="00353381" w:rsidRDefault="00443256" w:rsidP="00D63204">
            <w:pPr>
              <w:widowControl w:val="0"/>
              <w:spacing w:before="82" w:after="0" w:line="240" w:lineRule="auto"/>
              <w:ind w:left="90"/>
              <w:rPr>
                <w:rFonts w:cs="Calibri"/>
              </w:rPr>
            </w:pPr>
            <w:r w:rsidRPr="00353381">
              <w:rPr>
                <w:b/>
                <w:w w:val="105"/>
              </w:rPr>
              <w:t>2012-13</w:t>
            </w:r>
          </w:p>
        </w:tc>
        <w:tc>
          <w:tcPr>
            <w:tcW w:w="1246" w:type="dxa"/>
            <w:tcBorders>
              <w:top w:val="single" w:sz="2" w:space="0" w:color="231F20"/>
              <w:left w:val="single" w:sz="2" w:space="0" w:color="231F20"/>
              <w:bottom w:val="single" w:sz="2" w:space="0" w:color="231F20"/>
              <w:right w:val="single" w:sz="2" w:space="0" w:color="231F20"/>
            </w:tcBorders>
          </w:tcPr>
          <w:p w14:paraId="15FF58A2" w14:textId="77777777" w:rsidR="00626691" w:rsidRDefault="00443256" w:rsidP="00D63204">
            <w:pPr>
              <w:widowControl w:val="0"/>
              <w:spacing w:before="82" w:after="0" w:line="240" w:lineRule="auto"/>
              <w:ind w:left="90"/>
              <w:rPr>
                <w:b/>
                <w:w w:val="125"/>
              </w:rPr>
            </w:pPr>
            <w:r w:rsidRPr="00353381">
              <w:rPr>
                <w:b/>
                <w:w w:val="115"/>
              </w:rPr>
              <w:t>SFY</w:t>
            </w:r>
            <w:r w:rsidRPr="00353381">
              <w:rPr>
                <w:b/>
                <w:w w:val="125"/>
              </w:rPr>
              <w:t xml:space="preserve"> </w:t>
            </w:r>
          </w:p>
          <w:p w14:paraId="645FAEF5" w14:textId="1BA14C78" w:rsidR="00443256" w:rsidRPr="00353381" w:rsidRDefault="00443256" w:rsidP="00D63204">
            <w:pPr>
              <w:widowControl w:val="0"/>
              <w:spacing w:before="82" w:after="0" w:line="240" w:lineRule="auto"/>
              <w:ind w:left="90"/>
              <w:rPr>
                <w:rFonts w:cs="Calibri"/>
              </w:rPr>
            </w:pPr>
            <w:r w:rsidRPr="00353381">
              <w:rPr>
                <w:b/>
                <w:w w:val="105"/>
              </w:rPr>
              <w:t>2013-14</w:t>
            </w:r>
          </w:p>
        </w:tc>
        <w:tc>
          <w:tcPr>
            <w:tcW w:w="1258" w:type="dxa"/>
            <w:tcBorders>
              <w:top w:val="single" w:sz="2" w:space="0" w:color="231F20"/>
              <w:left w:val="single" w:sz="2" w:space="0" w:color="231F20"/>
              <w:bottom w:val="single" w:sz="2" w:space="0" w:color="231F20"/>
              <w:right w:val="single" w:sz="2" w:space="0" w:color="231F20"/>
            </w:tcBorders>
          </w:tcPr>
          <w:p w14:paraId="3AD45BF3" w14:textId="77777777" w:rsidR="00626691" w:rsidRDefault="00443256" w:rsidP="00D63204">
            <w:pPr>
              <w:widowControl w:val="0"/>
              <w:spacing w:before="82" w:after="0" w:line="240" w:lineRule="auto"/>
              <w:ind w:left="90"/>
              <w:rPr>
                <w:b/>
                <w:w w:val="115"/>
              </w:rPr>
            </w:pPr>
            <w:r w:rsidRPr="00353381">
              <w:rPr>
                <w:b/>
                <w:w w:val="115"/>
              </w:rPr>
              <w:t>SFY</w:t>
            </w:r>
          </w:p>
          <w:p w14:paraId="45C7E03E" w14:textId="5735824B" w:rsidR="00443256" w:rsidRPr="00353381" w:rsidRDefault="00443256" w:rsidP="00D63204">
            <w:pPr>
              <w:widowControl w:val="0"/>
              <w:spacing w:before="82" w:after="0" w:line="240" w:lineRule="auto"/>
              <w:ind w:left="90"/>
              <w:rPr>
                <w:rFonts w:cs="Calibri"/>
              </w:rPr>
            </w:pPr>
            <w:r w:rsidRPr="00353381">
              <w:rPr>
                <w:b/>
                <w:w w:val="125"/>
              </w:rPr>
              <w:t xml:space="preserve"> </w:t>
            </w:r>
            <w:r w:rsidRPr="00353381">
              <w:rPr>
                <w:b/>
                <w:w w:val="105"/>
              </w:rPr>
              <w:t>2014-15</w:t>
            </w:r>
          </w:p>
        </w:tc>
        <w:tc>
          <w:tcPr>
            <w:tcW w:w="1258" w:type="dxa"/>
            <w:tcBorders>
              <w:top w:val="single" w:sz="2" w:space="0" w:color="231F20"/>
              <w:left w:val="single" w:sz="2" w:space="0" w:color="231F20"/>
              <w:bottom w:val="single" w:sz="2" w:space="0" w:color="231F20"/>
              <w:right w:val="single" w:sz="2" w:space="0" w:color="231F20"/>
            </w:tcBorders>
          </w:tcPr>
          <w:p w14:paraId="42DBDC86" w14:textId="77777777" w:rsidR="00626691" w:rsidRDefault="00443256" w:rsidP="00D63204">
            <w:pPr>
              <w:widowControl w:val="0"/>
              <w:spacing w:before="82" w:after="0" w:line="240" w:lineRule="auto"/>
              <w:ind w:left="90"/>
              <w:rPr>
                <w:b/>
                <w:w w:val="115"/>
              </w:rPr>
            </w:pPr>
            <w:r w:rsidRPr="00353381">
              <w:rPr>
                <w:b/>
                <w:w w:val="115"/>
              </w:rPr>
              <w:t>SFY</w:t>
            </w:r>
          </w:p>
          <w:p w14:paraId="1FF2924D" w14:textId="2EBDCFDB" w:rsidR="00443256" w:rsidRPr="00353381" w:rsidRDefault="00443256" w:rsidP="00D63204">
            <w:pPr>
              <w:widowControl w:val="0"/>
              <w:spacing w:before="82" w:after="0" w:line="240" w:lineRule="auto"/>
              <w:ind w:left="90"/>
              <w:rPr>
                <w:b/>
                <w:w w:val="115"/>
              </w:rPr>
            </w:pPr>
            <w:r w:rsidRPr="00353381">
              <w:rPr>
                <w:b/>
                <w:w w:val="125"/>
              </w:rPr>
              <w:t xml:space="preserve"> </w:t>
            </w:r>
            <w:r w:rsidRPr="00353381">
              <w:rPr>
                <w:b/>
                <w:w w:val="105"/>
              </w:rPr>
              <w:t>2016-17</w:t>
            </w:r>
          </w:p>
        </w:tc>
      </w:tr>
      <w:tr w:rsidR="00443256" w:rsidRPr="00353381" w14:paraId="384966FF" w14:textId="77777777" w:rsidTr="001000EB">
        <w:trPr>
          <w:trHeight w:hRule="exact" w:val="617"/>
          <w:jc w:val="center"/>
        </w:trPr>
        <w:tc>
          <w:tcPr>
            <w:tcW w:w="1766" w:type="dxa"/>
            <w:tcBorders>
              <w:top w:val="single" w:sz="2" w:space="0" w:color="231F20"/>
              <w:left w:val="single" w:sz="2" w:space="0" w:color="231F20"/>
              <w:bottom w:val="single" w:sz="2" w:space="0" w:color="231F20"/>
              <w:right w:val="single" w:sz="2" w:space="0" w:color="231F20"/>
            </w:tcBorders>
            <w:shd w:val="clear" w:color="auto" w:fill="E6E7E8"/>
          </w:tcPr>
          <w:p w14:paraId="2883128F" w14:textId="1128530A" w:rsidR="00443256" w:rsidRPr="001000EB" w:rsidRDefault="00443256" w:rsidP="00626691">
            <w:pPr>
              <w:widowControl w:val="0"/>
              <w:spacing w:before="47" w:after="0" w:line="240" w:lineRule="auto"/>
              <w:ind w:left="90"/>
              <w:rPr>
                <w:rFonts w:cstheme="minorHAnsi"/>
                <w:sz w:val="20"/>
                <w:szCs w:val="20"/>
              </w:rPr>
            </w:pPr>
            <w:r w:rsidRPr="001000EB">
              <w:rPr>
                <w:rFonts w:cstheme="minorHAnsi"/>
                <w:w w:val="105"/>
                <w:sz w:val="20"/>
                <w:szCs w:val="20"/>
              </w:rPr>
              <w:t>Number of</w:t>
            </w:r>
            <w:r w:rsidRPr="001000EB">
              <w:rPr>
                <w:rFonts w:cstheme="minorHAnsi"/>
                <w:spacing w:val="10"/>
                <w:w w:val="105"/>
                <w:sz w:val="20"/>
                <w:szCs w:val="20"/>
              </w:rPr>
              <w:t xml:space="preserve"> </w:t>
            </w:r>
            <w:r w:rsidRPr="001000EB">
              <w:rPr>
                <w:rFonts w:cstheme="minorHAnsi"/>
                <w:w w:val="105"/>
                <w:sz w:val="20"/>
                <w:szCs w:val="20"/>
              </w:rPr>
              <w:t>new</w:t>
            </w:r>
            <w:r w:rsidRPr="001000EB">
              <w:rPr>
                <w:rFonts w:cstheme="minorHAnsi"/>
                <w:w w:val="106"/>
                <w:sz w:val="20"/>
                <w:szCs w:val="20"/>
              </w:rPr>
              <w:t xml:space="preserve"> </w:t>
            </w:r>
            <w:r w:rsidRPr="001000EB">
              <w:rPr>
                <w:rFonts w:cstheme="minorHAnsi"/>
                <w:w w:val="105"/>
                <w:sz w:val="20"/>
                <w:szCs w:val="20"/>
              </w:rPr>
              <w:t>clients licensed</w:t>
            </w:r>
          </w:p>
        </w:tc>
        <w:tc>
          <w:tcPr>
            <w:tcW w:w="1124" w:type="dxa"/>
            <w:tcBorders>
              <w:top w:val="single" w:sz="2" w:space="0" w:color="231F20"/>
              <w:left w:val="single" w:sz="2" w:space="0" w:color="231F20"/>
              <w:bottom w:val="single" w:sz="2" w:space="0" w:color="231F20"/>
              <w:right w:val="single" w:sz="2" w:space="0" w:color="231F20"/>
            </w:tcBorders>
            <w:shd w:val="clear" w:color="auto" w:fill="E6E7E8"/>
          </w:tcPr>
          <w:p w14:paraId="476BBF22" w14:textId="77777777" w:rsidR="00443256" w:rsidRPr="001000EB" w:rsidRDefault="00443256" w:rsidP="00D63204">
            <w:pPr>
              <w:widowControl w:val="0"/>
              <w:spacing w:before="156" w:after="0" w:line="240" w:lineRule="auto"/>
              <w:ind w:left="90"/>
              <w:rPr>
                <w:rFonts w:cstheme="minorHAnsi"/>
                <w:sz w:val="20"/>
                <w:szCs w:val="20"/>
              </w:rPr>
            </w:pPr>
            <w:r w:rsidRPr="001000EB">
              <w:rPr>
                <w:rFonts w:cstheme="minorHAnsi"/>
                <w:w w:val="90"/>
                <w:sz w:val="20"/>
                <w:szCs w:val="20"/>
              </w:rPr>
              <w:t>15</w:t>
            </w:r>
          </w:p>
        </w:tc>
        <w:tc>
          <w:tcPr>
            <w:tcW w:w="1043" w:type="dxa"/>
            <w:tcBorders>
              <w:top w:val="single" w:sz="2" w:space="0" w:color="231F20"/>
              <w:left w:val="single" w:sz="2" w:space="0" w:color="231F20"/>
              <w:bottom w:val="single" w:sz="2" w:space="0" w:color="231F20"/>
              <w:right w:val="single" w:sz="2" w:space="0" w:color="231F20"/>
            </w:tcBorders>
            <w:shd w:val="clear" w:color="auto" w:fill="E6E7E8"/>
          </w:tcPr>
          <w:p w14:paraId="0B904443" w14:textId="77777777" w:rsidR="00443256" w:rsidRPr="001000EB" w:rsidRDefault="00443256" w:rsidP="00D63204">
            <w:pPr>
              <w:widowControl w:val="0"/>
              <w:spacing w:before="156" w:after="0" w:line="240" w:lineRule="auto"/>
              <w:ind w:left="90"/>
              <w:rPr>
                <w:rFonts w:cstheme="minorHAnsi"/>
                <w:sz w:val="20"/>
                <w:szCs w:val="20"/>
              </w:rPr>
            </w:pPr>
            <w:r w:rsidRPr="001000EB">
              <w:rPr>
                <w:rFonts w:cstheme="minorHAnsi"/>
                <w:w w:val="101"/>
                <w:sz w:val="20"/>
                <w:szCs w:val="20"/>
              </w:rPr>
              <w:t>7</w:t>
            </w:r>
          </w:p>
        </w:tc>
        <w:tc>
          <w:tcPr>
            <w:tcW w:w="1133" w:type="dxa"/>
            <w:tcBorders>
              <w:top w:val="single" w:sz="2" w:space="0" w:color="231F20"/>
              <w:left w:val="single" w:sz="2" w:space="0" w:color="231F20"/>
              <w:bottom w:val="single" w:sz="2" w:space="0" w:color="231F20"/>
              <w:right w:val="single" w:sz="2" w:space="0" w:color="231F20"/>
            </w:tcBorders>
            <w:shd w:val="clear" w:color="auto" w:fill="E6E7E8"/>
          </w:tcPr>
          <w:p w14:paraId="389767B3" w14:textId="77777777" w:rsidR="00443256" w:rsidRPr="001000EB" w:rsidRDefault="00443256" w:rsidP="00D63204">
            <w:pPr>
              <w:widowControl w:val="0"/>
              <w:spacing w:before="156" w:after="0" w:line="240" w:lineRule="auto"/>
              <w:ind w:left="90"/>
              <w:rPr>
                <w:rFonts w:cstheme="minorHAnsi"/>
                <w:sz w:val="20"/>
                <w:szCs w:val="20"/>
              </w:rPr>
            </w:pPr>
            <w:r w:rsidRPr="001000EB">
              <w:rPr>
                <w:rFonts w:cstheme="minorHAnsi"/>
                <w:w w:val="85"/>
                <w:sz w:val="20"/>
                <w:szCs w:val="20"/>
              </w:rPr>
              <w:t>14</w:t>
            </w:r>
          </w:p>
        </w:tc>
        <w:tc>
          <w:tcPr>
            <w:tcW w:w="1496" w:type="dxa"/>
            <w:tcBorders>
              <w:top w:val="single" w:sz="2" w:space="0" w:color="231F20"/>
              <w:left w:val="single" w:sz="2" w:space="0" w:color="231F20"/>
              <w:bottom w:val="single" w:sz="2" w:space="0" w:color="231F20"/>
              <w:right w:val="single" w:sz="2" w:space="0" w:color="231F20"/>
            </w:tcBorders>
            <w:shd w:val="clear" w:color="auto" w:fill="E6E7E8"/>
          </w:tcPr>
          <w:p w14:paraId="2372220F" w14:textId="77777777" w:rsidR="00443256" w:rsidRPr="001000EB" w:rsidRDefault="00443256" w:rsidP="00D63204">
            <w:pPr>
              <w:widowControl w:val="0"/>
              <w:spacing w:before="156" w:after="0" w:line="240" w:lineRule="auto"/>
              <w:ind w:left="90"/>
              <w:rPr>
                <w:rFonts w:cstheme="minorHAnsi"/>
                <w:sz w:val="20"/>
                <w:szCs w:val="20"/>
              </w:rPr>
            </w:pPr>
            <w:r w:rsidRPr="001000EB">
              <w:rPr>
                <w:rFonts w:cstheme="minorHAnsi"/>
                <w:w w:val="90"/>
                <w:sz w:val="20"/>
                <w:szCs w:val="20"/>
              </w:rPr>
              <w:t>15</w:t>
            </w:r>
          </w:p>
        </w:tc>
        <w:tc>
          <w:tcPr>
            <w:tcW w:w="1246" w:type="dxa"/>
            <w:tcBorders>
              <w:top w:val="single" w:sz="2" w:space="0" w:color="231F20"/>
              <w:left w:val="single" w:sz="2" w:space="0" w:color="231F20"/>
              <w:bottom w:val="single" w:sz="2" w:space="0" w:color="231F20"/>
              <w:right w:val="single" w:sz="2" w:space="0" w:color="231F20"/>
            </w:tcBorders>
            <w:shd w:val="clear" w:color="auto" w:fill="E6E7E8"/>
          </w:tcPr>
          <w:p w14:paraId="6C915FBB" w14:textId="77777777" w:rsidR="00443256" w:rsidRPr="001000EB" w:rsidRDefault="00443256" w:rsidP="00D63204">
            <w:pPr>
              <w:widowControl w:val="0"/>
              <w:spacing w:before="156" w:after="0" w:line="240" w:lineRule="auto"/>
              <w:ind w:left="90"/>
              <w:rPr>
                <w:rFonts w:cstheme="minorHAnsi"/>
                <w:sz w:val="20"/>
                <w:szCs w:val="20"/>
              </w:rPr>
            </w:pPr>
            <w:r w:rsidRPr="001000EB">
              <w:rPr>
                <w:rFonts w:cstheme="minorHAnsi"/>
                <w:w w:val="85"/>
                <w:sz w:val="20"/>
                <w:szCs w:val="20"/>
              </w:rPr>
              <w:t>14</w:t>
            </w:r>
          </w:p>
        </w:tc>
        <w:tc>
          <w:tcPr>
            <w:tcW w:w="1258" w:type="dxa"/>
            <w:tcBorders>
              <w:top w:val="single" w:sz="2" w:space="0" w:color="231F20"/>
              <w:left w:val="single" w:sz="2" w:space="0" w:color="231F20"/>
              <w:bottom w:val="single" w:sz="2" w:space="0" w:color="231F20"/>
              <w:right w:val="single" w:sz="2" w:space="0" w:color="231F20"/>
            </w:tcBorders>
            <w:shd w:val="clear" w:color="auto" w:fill="E6E7E8"/>
          </w:tcPr>
          <w:p w14:paraId="20127150" w14:textId="77777777" w:rsidR="00443256" w:rsidRPr="001000EB" w:rsidRDefault="00443256" w:rsidP="00D63204">
            <w:pPr>
              <w:widowControl w:val="0"/>
              <w:spacing w:before="156" w:after="0" w:line="240" w:lineRule="auto"/>
              <w:ind w:left="90"/>
              <w:rPr>
                <w:rFonts w:cstheme="minorHAnsi"/>
                <w:sz w:val="20"/>
                <w:szCs w:val="20"/>
              </w:rPr>
            </w:pPr>
            <w:r w:rsidRPr="001000EB">
              <w:rPr>
                <w:rFonts w:cstheme="minorHAnsi"/>
                <w:w w:val="85"/>
                <w:sz w:val="20"/>
                <w:szCs w:val="20"/>
              </w:rPr>
              <w:t>13</w:t>
            </w:r>
          </w:p>
        </w:tc>
        <w:tc>
          <w:tcPr>
            <w:tcW w:w="1258" w:type="dxa"/>
            <w:tcBorders>
              <w:top w:val="single" w:sz="2" w:space="0" w:color="231F20"/>
              <w:left w:val="single" w:sz="2" w:space="0" w:color="231F20"/>
              <w:bottom w:val="single" w:sz="2" w:space="0" w:color="231F20"/>
              <w:right w:val="single" w:sz="2" w:space="0" w:color="231F20"/>
            </w:tcBorders>
            <w:shd w:val="clear" w:color="auto" w:fill="E6E7E8"/>
          </w:tcPr>
          <w:p w14:paraId="7E91BE95" w14:textId="77777777" w:rsidR="00443256" w:rsidRPr="001000EB" w:rsidRDefault="00443256" w:rsidP="00D63204">
            <w:pPr>
              <w:widowControl w:val="0"/>
              <w:spacing w:before="156" w:after="0" w:line="240" w:lineRule="auto"/>
              <w:ind w:left="90"/>
              <w:rPr>
                <w:rFonts w:cstheme="minorHAnsi"/>
                <w:w w:val="85"/>
                <w:sz w:val="20"/>
                <w:szCs w:val="20"/>
              </w:rPr>
            </w:pPr>
            <w:r w:rsidRPr="001000EB">
              <w:rPr>
                <w:rFonts w:cstheme="minorHAnsi"/>
                <w:w w:val="85"/>
                <w:sz w:val="20"/>
                <w:szCs w:val="20"/>
              </w:rPr>
              <w:t>7</w:t>
            </w:r>
          </w:p>
        </w:tc>
      </w:tr>
      <w:tr w:rsidR="00443256" w:rsidRPr="00353381" w14:paraId="313DE9AB" w14:textId="77777777" w:rsidTr="001000EB">
        <w:trPr>
          <w:trHeight w:hRule="exact" w:val="1290"/>
          <w:jc w:val="center"/>
        </w:trPr>
        <w:tc>
          <w:tcPr>
            <w:tcW w:w="1766" w:type="dxa"/>
            <w:tcBorders>
              <w:top w:val="single" w:sz="2" w:space="0" w:color="231F20"/>
              <w:left w:val="single" w:sz="2" w:space="0" w:color="231F20"/>
              <w:bottom w:val="single" w:sz="2" w:space="0" w:color="231F20"/>
              <w:right w:val="single" w:sz="2" w:space="0" w:color="231F20"/>
            </w:tcBorders>
          </w:tcPr>
          <w:p w14:paraId="73010AB1" w14:textId="77777777" w:rsidR="00443256" w:rsidRPr="001000EB" w:rsidRDefault="00443256" w:rsidP="00626691">
            <w:pPr>
              <w:widowControl w:val="0"/>
              <w:spacing w:before="47" w:after="0" w:line="240" w:lineRule="auto"/>
              <w:ind w:left="90"/>
              <w:rPr>
                <w:rFonts w:cstheme="minorHAnsi"/>
                <w:sz w:val="20"/>
                <w:szCs w:val="20"/>
              </w:rPr>
            </w:pPr>
            <w:r w:rsidRPr="001000EB">
              <w:rPr>
                <w:rFonts w:cstheme="minorHAnsi"/>
                <w:w w:val="105"/>
                <w:sz w:val="20"/>
                <w:szCs w:val="20"/>
              </w:rPr>
              <w:t>Number of</w:t>
            </w:r>
            <w:r w:rsidRPr="001000EB">
              <w:rPr>
                <w:rFonts w:cstheme="minorHAnsi"/>
                <w:spacing w:val="11"/>
                <w:w w:val="105"/>
                <w:sz w:val="20"/>
                <w:szCs w:val="20"/>
              </w:rPr>
              <w:t xml:space="preserve"> </w:t>
            </w:r>
            <w:r w:rsidRPr="001000EB">
              <w:rPr>
                <w:rFonts w:cstheme="minorHAnsi"/>
                <w:w w:val="105"/>
                <w:sz w:val="20"/>
                <w:szCs w:val="20"/>
              </w:rPr>
              <w:t>clients</w:t>
            </w:r>
            <w:r w:rsidRPr="001000EB">
              <w:rPr>
                <w:rFonts w:cstheme="minorHAnsi"/>
                <w:w w:val="107"/>
                <w:sz w:val="20"/>
                <w:szCs w:val="20"/>
              </w:rPr>
              <w:t xml:space="preserve"> </w:t>
            </w:r>
            <w:r w:rsidRPr="001000EB">
              <w:rPr>
                <w:rFonts w:cstheme="minorHAnsi"/>
                <w:w w:val="105"/>
                <w:sz w:val="20"/>
                <w:szCs w:val="20"/>
              </w:rPr>
              <w:t>awarded their</w:t>
            </w:r>
            <w:r w:rsidRPr="001000EB">
              <w:rPr>
                <w:rFonts w:cstheme="minorHAnsi"/>
                <w:spacing w:val="-8"/>
                <w:w w:val="105"/>
                <w:sz w:val="20"/>
                <w:szCs w:val="20"/>
              </w:rPr>
              <w:t xml:space="preserve"> </w:t>
            </w:r>
            <w:r w:rsidRPr="001000EB">
              <w:rPr>
                <w:rFonts w:cstheme="minorHAnsi"/>
                <w:w w:val="105"/>
                <w:sz w:val="20"/>
                <w:szCs w:val="20"/>
              </w:rPr>
              <w:t>1st</w:t>
            </w:r>
            <w:r w:rsidRPr="001000EB">
              <w:rPr>
                <w:rFonts w:cstheme="minorHAnsi"/>
                <w:w w:val="89"/>
                <w:sz w:val="20"/>
                <w:szCs w:val="20"/>
              </w:rPr>
              <w:t xml:space="preserve"> </w:t>
            </w:r>
            <w:r w:rsidRPr="001000EB">
              <w:rPr>
                <w:rFonts w:cstheme="minorHAnsi"/>
                <w:w w:val="105"/>
                <w:sz w:val="20"/>
                <w:szCs w:val="20"/>
              </w:rPr>
              <w:t>facility, regardless</w:t>
            </w:r>
            <w:r w:rsidRPr="001000EB">
              <w:rPr>
                <w:rFonts w:cstheme="minorHAnsi"/>
                <w:spacing w:val="16"/>
                <w:w w:val="105"/>
                <w:sz w:val="20"/>
                <w:szCs w:val="20"/>
              </w:rPr>
              <w:t xml:space="preserve"> </w:t>
            </w:r>
            <w:r w:rsidRPr="001000EB">
              <w:rPr>
                <w:rFonts w:cstheme="minorHAnsi"/>
                <w:w w:val="105"/>
                <w:sz w:val="20"/>
                <w:szCs w:val="20"/>
              </w:rPr>
              <w:t>of</w:t>
            </w:r>
            <w:r w:rsidRPr="001000EB">
              <w:rPr>
                <w:rFonts w:cstheme="minorHAnsi"/>
                <w:w w:val="102"/>
                <w:sz w:val="20"/>
                <w:szCs w:val="20"/>
              </w:rPr>
              <w:t xml:space="preserve"> </w:t>
            </w:r>
            <w:r w:rsidRPr="001000EB">
              <w:rPr>
                <w:rFonts w:cstheme="minorHAnsi"/>
                <w:w w:val="105"/>
                <w:sz w:val="20"/>
                <w:szCs w:val="20"/>
              </w:rPr>
              <w:t>the year</w:t>
            </w:r>
            <w:r w:rsidRPr="001000EB">
              <w:rPr>
                <w:rFonts w:cstheme="minorHAnsi"/>
                <w:spacing w:val="36"/>
                <w:w w:val="105"/>
                <w:sz w:val="20"/>
                <w:szCs w:val="20"/>
              </w:rPr>
              <w:t xml:space="preserve"> </w:t>
            </w:r>
            <w:r w:rsidRPr="001000EB">
              <w:rPr>
                <w:rFonts w:cstheme="minorHAnsi"/>
                <w:w w:val="105"/>
                <w:sz w:val="20"/>
                <w:szCs w:val="20"/>
              </w:rPr>
              <w:t>licensed.</w:t>
            </w:r>
          </w:p>
        </w:tc>
        <w:tc>
          <w:tcPr>
            <w:tcW w:w="1124" w:type="dxa"/>
            <w:tcBorders>
              <w:top w:val="single" w:sz="2" w:space="0" w:color="231F20"/>
              <w:left w:val="single" w:sz="2" w:space="0" w:color="231F20"/>
              <w:bottom w:val="single" w:sz="2" w:space="0" w:color="231F20"/>
              <w:right w:val="single" w:sz="2" w:space="0" w:color="231F20"/>
            </w:tcBorders>
          </w:tcPr>
          <w:p w14:paraId="0A042223" w14:textId="77777777" w:rsidR="00443256" w:rsidRPr="001000EB" w:rsidRDefault="00443256" w:rsidP="00D63204">
            <w:pPr>
              <w:widowControl w:val="0"/>
              <w:spacing w:after="0" w:line="240" w:lineRule="auto"/>
              <w:ind w:left="90"/>
              <w:rPr>
                <w:rFonts w:cstheme="minorHAnsi"/>
                <w:b/>
                <w:bCs/>
                <w:sz w:val="20"/>
                <w:szCs w:val="20"/>
              </w:rPr>
            </w:pPr>
          </w:p>
          <w:p w14:paraId="5B9E59AD" w14:textId="77777777" w:rsidR="00443256" w:rsidRPr="001000EB" w:rsidRDefault="00443256" w:rsidP="00D63204">
            <w:pPr>
              <w:widowControl w:val="0"/>
              <w:spacing w:before="152" w:after="0" w:line="240" w:lineRule="auto"/>
              <w:ind w:left="90"/>
              <w:rPr>
                <w:rFonts w:cstheme="minorHAnsi"/>
                <w:sz w:val="20"/>
                <w:szCs w:val="20"/>
              </w:rPr>
            </w:pPr>
            <w:r w:rsidRPr="001000EB">
              <w:rPr>
                <w:rFonts w:cstheme="minorHAnsi"/>
                <w:w w:val="85"/>
                <w:sz w:val="20"/>
                <w:szCs w:val="20"/>
              </w:rPr>
              <w:t>14</w:t>
            </w:r>
          </w:p>
        </w:tc>
        <w:tc>
          <w:tcPr>
            <w:tcW w:w="1043" w:type="dxa"/>
            <w:tcBorders>
              <w:top w:val="single" w:sz="2" w:space="0" w:color="231F20"/>
              <w:left w:val="single" w:sz="2" w:space="0" w:color="231F20"/>
              <w:bottom w:val="single" w:sz="2" w:space="0" w:color="231F20"/>
              <w:right w:val="single" w:sz="2" w:space="0" w:color="231F20"/>
            </w:tcBorders>
          </w:tcPr>
          <w:p w14:paraId="64E32E31" w14:textId="77777777" w:rsidR="00443256" w:rsidRPr="001000EB" w:rsidRDefault="00443256" w:rsidP="00D63204">
            <w:pPr>
              <w:widowControl w:val="0"/>
              <w:spacing w:after="0" w:line="240" w:lineRule="auto"/>
              <w:ind w:left="90"/>
              <w:rPr>
                <w:rFonts w:cstheme="minorHAnsi"/>
                <w:b/>
                <w:bCs/>
                <w:sz w:val="20"/>
                <w:szCs w:val="20"/>
              </w:rPr>
            </w:pPr>
          </w:p>
          <w:p w14:paraId="7A7000AA" w14:textId="77777777" w:rsidR="00443256" w:rsidRPr="001000EB" w:rsidRDefault="00443256" w:rsidP="00D63204">
            <w:pPr>
              <w:widowControl w:val="0"/>
              <w:spacing w:before="152" w:after="0" w:line="240" w:lineRule="auto"/>
              <w:ind w:left="90"/>
              <w:rPr>
                <w:rFonts w:cstheme="minorHAnsi"/>
                <w:sz w:val="20"/>
                <w:szCs w:val="20"/>
              </w:rPr>
            </w:pPr>
            <w:r w:rsidRPr="001000EB">
              <w:rPr>
                <w:rFonts w:cstheme="minorHAnsi"/>
                <w:w w:val="90"/>
                <w:sz w:val="20"/>
                <w:szCs w:val="20"/>
              </w:rPr>
              <w:t>12</w:t>
            </w:r>
          </w:p>
        </w:tc>
        <w:tc>
          <w:tcPr>
            <w:tcW w:w="1133" w:type="dxa"/>
            <w:tcBorders>
              <w:top w:val="single" w:sz="2" w:space="0" w:color="231F20"/>
              <w:left w:val="single" w:sz="2" w:space="0" w:color="231F20"/>
              <w:bottom w:val="single" w:sz="2" w:space="0" w:color="231F20"/>
              <w:right w:val="single" w:sz="2" w:space="0" w:color="231F20"/>
            </w:tcBorders>
          </w:tcPr>
          <w:p w14:paraId="35D6650E" w14:textId="77777777" w:rsidR="00443256" w:rsidRPr="001000EB" w:rsidRDefault="00443256" w:rsidP="00D63204">
            <w:pPr>
              <w:widowControl w:val="0"/>
              <w:spacing w:after="0" w:line="240" w:lineRule="auto"/>
              <w:ind w:left="90"/>
              <w:rPr>
                <w:rFonts w:cstheme="minorHAnsi"/>
                <w:b/>
                <w:bCs/>
                <w:sz w:val="20"/>
                <w:szCs w:val="20"/>
              </w:rPr>
            </w:pPr>
          </w:p>
          <w:p w14:paraId="7CEFA81E" w14:textId="77777777" w:rsidR="00443256" w:rsidRPr="001000EB" w:rsidRDefault="00443256" w:rsidP="00D63204">
            <w:pPr>
              <w:widowControl w:val="0"/>
              <w:spacing w:before="152" w:after="0" w:line="240" w:lineRule="auto"/>
              <w:ind w:left="90"/>
              <w:rPr>
                <w:rFonts w:cstheme="minorHAnsi"/>
                <w:sz w:val="20"/>
                <w:szCs w:val="20"/>
              </w:rPr>
            </w:pPr>
            <w:r w:rsidRPr="001000EB">
              <w:rPr>
                <w:rFonts w:cstheme="minorHAnsi"/>
                <w:w w:val="116"/>
                <w:sz w:val="20"/>
                <w:szCs w:val="20"/>
              </w:rPr>
              <w:t>9</w:t>
            </w:r>
          </w:p>
        </w:tc>
        <w:tc>
          <w:tcPr>
            <w:tcW w:w="1496" w:type="dxa"/>
            <w:tcBorders>
              <w:top w:val="single" w:sz="2" w:space="0" w:color="231F20"/>
              <w:left w:val="single" w:sz="2" w:space="0" w:color="231F20"/>
              <w:bottom w:val="single" w:sz="2" w:space="0" w:color="231F20"/>
              <w:right w:val="single" w:sz="2" w:space="0" w:color="231F20"/>
            </w:tcBorders>
          </w:tcPr>
          <w:p w14:paraId="11118588" w14:textId="77777777" w:rsidR="00443256" w:rsidRPr="001000EB" w:rsidRDefault="00443256" w:rsidP="00D63204">
            <w:pPr>
              <w:widowControl w:val="0"/>
              <w:spacing w:after="0" w:line="240" w:lineRule="auto"/>
              <w:ind w:left="90"/>
              <w:rPr>
                <w:rFonts w:cstheme="minorHAnsi"/>
                <w:b/>
                <w:bCs/>
                <w:sz w:val="20"/>
                <w:szCs w:val="20"/>
              </w:rPr>
            </w:pPr>
          </w:p>
          <w:p w14:paraId="683C64FB" w14:textId="77777777" w:rsidR="00443256" w:rsidRPr="001000EB" w:rsidRDefault="00443256" w:rsidP="00D63204">
            <w:pPr>
              <w:widowControl w:val="0"/>
              <w:spacing w:before="152" w:after="0" w:line="240" w:lineRule="auto"/>
              <w:ind w:left="90"/>
              <w:rPr>
                <w:rFonts w:cstheme="minorHAnsi"/>
                <w:sz w:val="20"/>
                <w:szCs w:val="20"/>
              </w:rPr>
            </w:pPr>
            <w:r w:rsidRPr="001000EB">
              <w:rPr>
                <w:rFonts w:cstheme="minorHAnsi"/>
                <w:w w:val="85"/>
                <w:sz w:val="20"/>
                <w:szCs w:val="20"/>
              </w:rPr>
              <w:t>14</w:t>
            </w:r>
          </w:p>
        </w:tc>
        <w:tc>
          <w:tcPr>
            <w:tcW w:w="1246" w:type="dxa"/>
            <w:tcBorders>
              <w:top w:val="single" w:sz="2" w:space="0" w:color="231F20"/>
              <w:left w:val="single" w:sz="2" w:space="0" w:color="231F20"/>
              <w:bottom w:val="single" w:sz="2" w:space="0" w:color="231F20"/>
              <w:right w:val="single" w:sz="2" w:space="0" w:color="231F20"/>
            </w:tcBorders>
          </w:tcPr>
          <w:p w14:paraId="6FFAE253" w14:textId="77777777" w:rsidR="00443256" w:rsidRPr="001000EB" w:rsidRDefault="00443256" w:rsidP="00D63204">
            <w:pPr>
              <w:widowControl w:val="0"/>
              <w:spacing w:after="0" w:line="240" w:lineRule="auto"/>
              <w:ind w:left="90"/>
              <w:rPr>
                <w:rFonts w:cstheme="minorHAnsi"/>
                <w:b/>
                <w:bCs/>
                <w:sz w:val="20"/>
                <w:szCs w:val="20"/>
              </w:rPr>
            </w:pPr>
          </w:p>
          <w:p w14:paraId="06C96EA3" w14:textId="77777777" w:rsidR="00443256" w:rsidRPr="001000EB" w:rsidRDefault="00443256" w:rsidP="00D63204">
            <w:pPr>
              <w:widowControl w:val="0"/>
              <w:spacing w:before="152" w:after="0" w:line="240" w:lineRule="auto"/>
              <w:ind w:left="90"/>
              <w:rPr>
                <w:rFonts w:cstheme="minorHAnsi"/>
                <w:sz w:val="20"/>
                <w:szCs w:val="20"/>
              </w:rPr>
            </w:pPr>
            <w:r w:rsidRPr="001000EB">
              <w:rPr>
                <w:rFonts w:cstheme="minorHAnsi"/>
                <w:w w:val="90"/>
                <w:sz w:val="20"/>
                <w:szCs w:val="20"/>
              </w:rPr>
              <w:t>10</w:t>
            </w:r>
          </w:p>
        </w:tc>
        <w:tc>
          <w:tcPr>
            <w:tcW w:w="1258" w:type="dxa"/>
            <w:tcBorders>
              <w:top w:val="single" w:sz="2" w:space="0" w:color="231F20"/>
              <w:left w:val="single" w:sz="2" w:space="0" w:color="231F20"/>
              <w:bottom w:val="single" w:sz="2" w:space="0" w:color="231F20"/>
              <w:right w:val="single" w:sz="2" w:space="0" w:color="231F20"/>
            </w:tcBorders>
          </w:tcPr>
          <w:p w14:paraId="78A606A7" w14:textId="77777777" w:rsidR="00443256" w:rsidRPr="001000EB" w:rsidRDefault="00443256" w:rsidP="00D63204">
            <w:pPr>
              <w:widowControl w:val="0"/>
              <w:spacing w:after="0" w:line="240" w:lineRule="auto"/>
              <w:ind w:left="90"/>
              <w:rPr>
                <w:rFonts w:cstheme="minorHAnsi"/>
                <w:bCs/>
                <w:sz w:val="20"/>
                <w:szCs w:val="20"/>
              </w:rPr>
            </w:pPr>
          </w:p>
          <w:p w14:paraId="145A31A7" w14:textId="77777777" w:rsidR="00443256" w:rsidRPr="001000EB" w:rsidRDefault="00443256" w:rsidP="00D63204">
            <w:pPr>
              <w:widowControl w:val="0"/>
              <w:spacing w:before="152" w:after="0" w:line="240" w:lineRule="auto"/>
              <w:ind w:left="90"/>
              <w:rPr>
                <w:rFonts w:cstheme="minorHAnsi"/>
                <w:sz w:val="20"/>
                <w:szCs w:val="20"/>
              </w:rPr>
            </w:pPr>
            <w:r w:rsidRPr="001000EB">
              <w:rPr>
                <w:rFonts w:cstheme="minorHAnsi"/>
                <w:w w:val="90"/>
                <w:sz w:val="20"/>
                <w:szCs w:val="20"/>
              </w:rPr>
              <w:t>10</w:t>
            </w:r>
          </w:p>
        </w:tc>
        <w:tc>
          <w:tcPr>
            <w:tcW w:w="1258" w:type="dxa"/>
            <w:tcBorders>
              <w:top w:val="single" w:sz="2" w:space="0" w:color="231F20"/>
              <w:left w:val="single" w:sz="2" w:space="0" w:color="231F20"/>
              <w:bottom w:val="single" w:sz="2" w:space="0" w:color="231F20"/>
              <w:right w:val="single" w:sz="2" w:space="0" w:color="231F20"/>
            </w:tcBorders>
          </w:tcPr>
          <w:p w14:paraId="632F863E" w14:textId="77777777" w:rsidR="00443256" w:rsidRPr="001000EB" w:rsidRDefault="00443256" w:rsidP="00D63204">
            <w:pPr>
              <w:widowControl w:val="0"/>
              <w:spacing w:after="0" w:line="240" w:lineRule="auto"/>
              <w:ind w:left="90"/>
              <w:rPr>
                <w:rFonts w:cstheme="minorHAnsi"/>
                <w:bCs/>
                <w:sz w:val="20"/>
                <w:szCs w:val="20"/>
              </w:rPr>
            </w:pPr>
            <w:r w:rsidRPr="001000EB">
              <w:rPr>
                <w:rFonts w:cstheme="minorHAnsi"/>
                <w:bCs/>
                <w:sz w:val="20"/>
                <w:szCs w:val="20"/>
              </w:rPr>
              <w:t xml:space="preserve">                                   6</w:t>
            </w:r>
          </w:p>
        </w:tc>
      </w:tr>
      <w:tr w:rsidR="00443256" w:rsidRPr="00353381" w14:paraId="7002F551" w14:textId="77777777" w:rsidTr="001000EB">
        <w:trPr>
          <w:trHeight w:hRule="exact" w:val="1557"/>
          <w:jc w:val="center"/>
        </w:trPr>
        <w:tc>
          <w:tcPr>
            <w:tcW w:w="1766" w:type="dxa"/>
            <w:tcBorders>
              <w:top w:val="single" w:sz="2" w:space="0" w:color="231F20"/>
              <w:left w:val="single" w:sz="2" w:space="0" w:color="231F20"/>
              <w:bottom w:val="single" w:sz="2" w:space="0" w:color="231F20"/>
              <w:right w:val="single" w:sz="2" w:space="0" w:color="231F20"/>
            </w:tcBorders>
            <w:shd w:val="clear" w:color="auto" w:fill="E6E7E8"/>
          </w:tcPr>
          <w:p w14:paraId="2F3A033D" w14:textId="77777777" w:rsidR="00443256" w:rsidRPr="001000EB" w:rsidRDefault="00443256" w:rsidP="00626691">
            <w:pPr>
              <w:widowControl w:val="0"/>
              <w:spacing w:before="47" w:after="0" w:line="240" w:lineRule="auto"/>
              <w:ind w:left="90"/>
              <w:rPr>
                <w:rFonts w:cstheme="minorHAnsi"/>
                <w:sz w:val="20"/>
                <w:szCs w:val="20"/>
              </w:rPr>
            </w:pPr>
            <w:r w:rsidRPr="001000EB">
              <w:rPr>
                <w:rFonts w:cstheme="minorHAnsi"/>
                <w:w w:val="105"/>
                <w:sz w:val="20"/>
                <w:szCs w:val="20"/>
              </w:rPr>
              <w:t>Number of</w:t>
            </w:r>
            <w:r w:rsidRPr="001000EB">
              <w:rPr>
                <w:rFonts w:cstheme="minorHAnsi"/>
                <w:spacing w:val="9"/>
                <w:w w:val="105"/>
                <w:sz w:val="20"/>
                <w:szCs w:val="20"/>
              </w:rPr>
              <w:t xml:space="preserve"> </w:t>
            </w:r>
            <w:r w:rsidRPr="001000EB">
              <w:rPr>
                <w:rFonts w:cstheme="minorHAnsi"/>
                <w:w w:val="105"/>
                <w:sz w:val="20"/>
                <w:szCs w:val="20"/>
              </w:rPr>
              <w:t>those</w:t>
            </w:r>
            <w:r w:rsidRPr="001000EB">
              <w:rPr>
                <w:rFonts w:cstheme="minorHAnsi"/>
                <w:w w:val="107"/>
                <w:sz w:val="20"/>
                <w:szCs w:val="20"/>
              </w:rPr>
              <w:t xml:space="preserve"> </w:t>
            </w:r>
            <w:r w:rsidRPr="001000EB">
              <w:rPr>
                <w:rFonts w:cstheme="minorHAnsi"/>
                <w:w w:val="105"/>
                <w:sz w:val="20"/>
                <w:szCs w:val="20"/>
              </w:rPr>
              <w:t>which were</w:t>
            </w:r>
            <w:r w:rsidRPr="001000EB">
              <w:rPr>
                <w:rFonts w:cstheme="minorHAnsi"/>
                <w:spacing w:val="26"/>
                <w:w w:val="105"/>
                <w:sz w:val="20"/>
                <w:szCs w:val="20"/>
              </w:rPr>
              <w:t xml:space="preserve"> </w:t>
            </w:r>
            <w:r w:rsidRPr="001000EB">
              <w:rPr>
                <w:rFonts w:cstheme="minorHAnsi"/>
                <w:w w:val="105"/>
                <w:sz w:val="20"/>
                <w:szCs w:val="20"/>
              </w:rPr>
              <w:t>awarded</w:t>
            </w:r>
            <w:r w:rsidRPr="001000EB">
              <w:rPr>
                <w:rFonts w:cstheme="minorHAnsi"/>
                <w:w w:val="107"/>
                <w:sz w:val="20"/>
                <w:szCs w:val="20"/>
              </w:rPr>
              <w:t xml:space="preserve"> </w:t>
            </w:r>
            <w:r w:rsidRPr="001000EB">
              <w:rPr>
                <w:rFonts w:cstheme="minorHAnsi"/>
                <w:w w:val="105"/>
                <w:sz w:val="20"/>
                <w:szCs w:val="20"/>
              </w:rPr>
              <w:t>facilities that</w:t>
            </w:r>
            <w:r w:rsidRPr="001000EB">
              <w:rPr>
                <w:rFonts w:cstheme="minorHAnsi"/>
                <w:spacing w:val="1"/>
                <w:w w:val="105"/>
                <w:sz w:val="20"/>
                <w:szCs w:val="20"/>
              </w:rPr>
              <w:t xml:space="preserve"> </w:t>
            </w:r>
            <w:r w:rsidRPr="001000EB">
              <w:rPr>
                <w:rFonts w:cstheme="minorHAnsi"/>
                <w:w w:val="105"/>
                <w:sz w:val="20"/>
                <w:szCs w:val="20"/>
              </w:rPr>
              <w:t>were</w:t>
            </w:r>
            <w:r w:rsidRPr="001000EB">
              <w:rPr>
                <w:rFonts w:cstheme="minorHAnsi"/>
                <w:w w:val="106"/>
                <w:sz w:val="20"/>
                <w:szCs w:val="20"/>
              </w:rPr>
              <w:t xml:space="preserve"> </w:t>
            </w:r>
            <w:r w:rsidRPr="001000EB">
              <w:rPr>
                <w:rFonts w:cstheme="minorHAnsi"/>
                <w:w w:val="105"/>
                <w:sz w:val="20"/>
                <w:szCs w:val="20"/>
              </w:rPr>
              <w:t>employed in the</w:t>
            </w:r>
            <w:r w:rsidRPr="001000EB">
              <w:rPr>
                <w:rFonts w:cstheme="minorHAnsi"/>
                <w:spacing w:val="9"/>
                <w:w w:val="105"/>
                <w:sz w:val="20"/>
                <w:szCs w:val="20"/>
              </w:rPr>
              <w:t xml:space="preserve"> </w:t>
            </w:r>
            <w:r w:rsidRPr="001000EB">
              <w:rPr>
                <w:rFonts w:cstheme="minorHAnsi"/>
                <w:w w:val="105"/>
                <w:sz w:val="20"/>
                <w:szCs w:val="20"/>
              </w:rPr>
              <w:t>BBE</w:t>
            </w:r>
            <w:r w:rsidRPr="001000EB">
              <w:rPr>
                <w:rFonts w:cstheme="minorHAnsi"/>
                <w:w w:val="115"/>
                <w:sz w:val="20"/>
                <w:szCs w:val="20"/>
              </w:rPr>
              <w:t xml:space="preserve"> </w:t>
            </w:r>
            <w:r w:rsidRPr="001000EB">
              <w:rPr>
                <w:rFonts w:cstheme="minorHAnsi"/>
                <w:w w:val="105"/>
                <w:sz w:val="20"/>
                <w:szCs w:val="20"/>
              </w:rPr>
              <w:t xml:space="preserve">at least </w:t>
            </w:r>
            <w:r w:rsidRPr="001000EB">
              <w:rPr>
                <w:rFonts w:cstheme="minorHAnsi"/>
                <w:sz w:val="20"/>
                <w:szCs w:val="20"/>
              </w:rPr>
              <w:t>1</w:t>
            </w:r>
            <w:r w:rsidRPr="001000EB">
              <w:rPr>
                <w:rFonts w:cstheme="minorHAnsi"/>
                <w:spacing w:val="-10"/>
                <w:sz w:val="20"/>
                <w:szCs w:val="20"/>
              </w:rPr>
              <w:t xml:space="preserve"> </w:t>
            </w:r>
            <w:r w:rsidRPr="001000EB">
              <w:rPr>
                <w:rFonts w:cstheme="minorHAnsi"/>
                <w:w w:val="105"/>
                <w:sz w:val="20"/>
                <w:szCs w:val="20"/>
              </w:rPr>
              <w:t>year</w:t>
            </w:r>
          </w:p>
        </w:tc>
        <w:tc>
          <w:tcPr>
            <w:tcW w:w="1124" w:type="dxa"/>
            <w:tcBorders>
              <w:top w:val="single" w:sz="2" w:space="0" w:color="231F20"/>
              <w:left w:val="single" w:sz="2" w:space="0" w:color="231F20"/>
              <w:bottom w:val="single" w:sz="2" w:space="0" w:color="231F20"/>
              <w:right w:val="single" w:sz="2" w:space="0" w:color="231F20"/>
            </w:tcBorders>
            <w:shd w:val="clear" w:color="auto" w:fill="E6E7E8"/>
          </w:tcPr>
          <w:p w14:paraId="5F9B04E3" w14:textId="77777777" w:rsidR="00443256" w:rsidRPr="001000EB" w:rsidRDefault="00443256" w:rsidP="00D63204">
            <w:pPr>
              <w:widowControl w:val="0"/>
              <w:spacing w:after="0" w:line="240" w:lineRule="auto"/>
              <w:ind w:left="90"/>
              <w:rPr>
                <w:rFonts w:cstheme="minorHAnsi"/>
                <w:b/>
                <w:bCs/>
                <w:sz w:val="20"/>
                <w:szCs w:val="20"/>
              </w:rPr>
            </w:pPr>
          </w:p>
          <w:p w14:paraId="59176E7A" w14:textId="77777777" w:rsidR="00443256" w:rsidRPr="001000EB" w:rsidRDefault="00443256" w:rsidP="00D63204">
            <w:pPr>
              <w:widowControl w:val="0"/>
              <w:spacing w:before="152" w:after="0" w:line="240" w:lineRule="auto"/>
              <w:ind w:left="90"/>
              <w:rPr>
                <w:rFonts w:cstheme="minorHAnsi"/>
                <w:sz w:val="20"/>
                <w:szCs w:val="20"/>
              </w:rPr>
            </w:pPr>
            <w:r w:rsidRPr="001000EB">
              <w:rPr>
                <w:rFonts w:cstheme="minorHAnsi"/>
                <w:sz w:val="20"/>
                <w:szCs w:val="20"/>
              </w:rPr>
              <w:t>8 of</w:t>
            </w:r>
            <w:r w:rsidRPr="001000EB">
              <w:rPr>
                <w:rFonts w:cstheme="minorHAnsi"/>
                <w:spacing w:val="6"/>
                <w:sz w:val="20"/>
                <w:szCs w:val="20"/>
              </w:rPr>
              <w:t xml:space="preserve"> </w:t>
            </w:r>
            <w:r w:rsidRPr="001000EB">
              <w:rPr>
                <w:rFonts w:cstheme="minorHAnsi"/>
                <w:sz w:val="20"/>
                <w:szCs w:val="20"/>
              </w:rPr>
              <w:t>14</w:t>
            </w:r>
          </w:p>
          <w:p w14:paraId="72F61B61" w14:textId="77777777" w:rsidR="00443256" w:rsidRPr="001000EB" w:rsidRDefault="00443256" w:rsidP="00D63204">
            <w:pPr>
              <w:widowControl w:val="0"/>
              <w:spacing w:after="0" w:line="240" w:lineRule="auto"/>
              <w:ind w:left="90"/>
              <w:rPr>
                <w:rFonts w:cstheme="minorHAnsi"/>
                <w:sz w:val="20"/>
                <w:szCs w:val="20"/>
              </w:rPr>
            </w:pPr>
            <w:r w:rsidRPr="001000EB">
              <w:rPr>
                <w:rFonts w:cstheme="minorHAnsi"/>
                <w:spacing w:val="-5"/>
                <w:sz w:val="20"/>
                <w:szCs w:val="20"/>
              </w:rPr>
              <w:t>(57.14%)</w:t>
            </w:r>
          </w:p>
        </w:tc>
        <w:tc>
          <w:tcPr>
            <w:tcW w:w="1043" w:type="dxa"/>
            <w:tcBorders>
              <w:top w:val="single" w:sz="2" w:space="0" w:color="231F20"/>
              <w:left w:val="single" w:sz="2" w:space="0" w:color="231F20"/>
              <w:bottom w:val="single" w:sz="2" w:space="0" w:color="231F20"/>
              <w:right w:val="single" w:sz="2" w:space="0" w:color="231F20"/>
            </w:tcBorders>
            <w:shd w:val="clear" w:color="auto" w:fill="E6E7E8"/>
          </w:tcPr>
          <w:p w14:paraId="66854901" w14:textId="77777777" w:rsidR="00443256" w:rsidRPr="001000EB" w:rsidRDefault="00443256" w:rsidP="00D63204">
            <w:pPr>
              <w:widowControl w:val="0"/>
              <w:spacing w:after="0" w:line="240" w:lineRule="auto"/>
              <w:ind w:left="90"/>
              <w:rPr>
                <w:rFonts w:cstheme="minorHAnsi"/>
                <w:b/>
                <w:bCs/>
                <w:sz w:val="20"/>
                <w:szCs w:val="20"/>
              </w:rPr>
            </w:pPr>
          </w:p>
          <w:p w14:paraId="224E9371" w14:textId="77777777" w:rsidR="00443256" w:rsidRPr="001000EB" w:rsidRDefault="00443256" w:rsidP="00D63204">
            <w:pPr>
              <w:widowControl w:val="0"/>
              <w:spacing w:before="152" w:after="0" w:line="240" w:lineRule="auto"/>
              <w:ind w:left="90"/>
              <w:rPr>
                <w:rFonts w:cstheme="minorHAnsi"/>
                <w:sz w:val="20"/>
                <w:szCs w:val="20"/>
              </w:rPr>
            </w:pPr>
            <w:r w:rsidRPr="001000EB">
              <w:rPr>
                <w:rFonts w:cstheme="minorHAnsi"/>
                <w:w w:val="105"/>
                <w:sz w:val="20"/>
                <w:szCs w:val="20"/>
              </w:rPr>
              <w:t>8 of</w:t>
            </w:r>
            <w:r w:rsidRPr="001000EB">
              <w:rPr>
                <w:rFonts w:cstheme="minorHAnsi"/>
                <w:spacing w:val="-14"/>
                <w:w w:val="105"/>
                <w:sz w:val="20"/>
                <w:szCs w:val="20"/>
              </w:rPr>
              <w:t xml:space="preserve"> </w:t>
            </w:r>
            <w:r w:rsidRPr="001000EB">
              <w:rPr>
                <w:rFonts w:cstheme="minorHAnsi"/>
                <w:w w:val="105"/>
                <w:sz w:val="20"/>
                <w:szCs w:val="20"/>
              </w:rPr>
              <w:t>12</w:t>
            </w:r>
          </w:p>
          <w:p w14:paraId="3B7B14FE" w14:textId="77777777" w:rsidR="00443256" w:rsidRPr="001000EB" w:rsidRDefault="00443256" w:rsidP="00D63204">
            <w:pPr>
              <w:widowControl w:val="0"/>
              <w:spacing w:after="0" w:line="240" w:lineRule="auto"/>
              <w:ind w:left="90"/>
              <w:rPr>
                <w:rFonts w:cstheme="minorHAnsi"/>
                <w:sz w:val="20"/>
                <w:szCs w:val="20"/>
              </w:rPr>
            </w:pPr>
            <w:r w:rsidRPr="001000EB">
              <w:rPr>
                <w:rFonts w:cstheme="minorHAnsi"/>
                <w:w w:val="105"/>
                <w:sz w:val="20"/>
                <w:szCs w:val="20"/>
              </w:rPr>
              <w:t>(66.67%)</w:t>
            </w:r>
          </w:p>
        </w:tc>
        <w:tc>
          <w:tcPr>
            <w:tcW w:w="1133" w:type="dxa"/>
            <w:tcBorders>
              <w:top w:val="single" w:sz="2" w:space="0" w:color="231F20"/>
              <w:left w:val="single" w:sz="2" w:space="0" w:color="231F20"/>
              <w:bottom w:val="single" w:sz="2" w:space="0" w:color="231F20"/>
              <w:right w:val="single" w:sz="2" w:space="0" w:color="231F20"/>
            </w:tcBorders>
            <w:shd w:val="clear" w:color="auto" w:fill="E6E7E8"/>
          </w:tcPr>
          <w:p w14:paraId="7BE11DED" w14:textId="77777777" w:rsidR="00443256" w:rsidRPr="001000EB" w:rsidRDefault="00443256" w:rsidP="00D63204">
            <w:pPr>
              <w:widowControl w:val="0"/>
              <w:spacing w:after="0" w:line="240" w:lineRule="auto"/>
              <w:ind w:left="90"/>
              <w:rPr>
                <w:rFonts w:cstheme="minorHAnsi"/>
                <w:b/>
                <w:bCs/>
                <w:sz w:val="20"/>
                <w:szCs w:val="20"/>
              </w:rPr>
            </w:pPr>
          </w:p>
          <w:p w14:paraId="0645FC25" w14:textId="77777777" w:rsidR="00443256" w:rsidRPr="001000EB" w:rsidRDefault="00443256" w:rsidP="00D63204">
            <w:pPr>
              <w:widowControl w:val="0"/>
              <w:spacing w:before="152" w:after="0" w:line="240" w:lineRule="auto"/>
              <w:ind w:left="90"/>
              <w:rPr>
                <w:rFonts w:cstheme="minorHAnsi"/>
                <w:sz w:val="20"/>
                <w:szCs w:val="20"/>
              </w:rPr>
            </w:pPr>
            <w:r w:rsidRPr="001000EB">
              <w:rPr>
                <w:rFonts w:cstheme="minorHAnsi"/>
                <w:w w:val="105"/>
                <w:sz w:val="20"/>
                <w:szCs w:val="20"/>
              </w:rPr>
              <w:t>7 of</w:t>
            </w:r>
            <w:r w:rsidRPr="001000EB">
              <w:rPr>
                <w:rFonts w:cstheme="minorHAnsi"/>
                <w:spacing w:val="10"/>
                <w:w w:val="105"/>
                <w:sz w:val="20"/>
                <w:szCs w:val="20"/>
              </w:rPr>
              <w:t xml:space="preserve"> </w:t>
            </w:r>
            <w:r w:rsidRPr="001000EB">
              <w:rPr>
                <w:rFonts w:cstheme="minorHAnsi"/>
                <w:w w:val="105"/>
                <w:sz w:val="20"/>
                <w:szCs w:val="20"/>
              </w:rPr>
              <w:t>9</w:t>
            </w:r>
          </w:p>
          <w:p w14:paraId="45E6D269" w14:textId="77777777" w:rsidR="00443256" w:rsidRPr="001000EB" w:rsidRDefault="00443256" w:rsidP="00D63204">
            <w:pPr>
              <w:widowControl w:val="0"/>
              <w:spacing w:after="0" w:line="240" w:lineRule="auto"/>
              <w:ind w:left="90"/>
              <w:rPr>
                <w:rFonts w:cstheme="minorHAnsi"/>
                <w:sz w:val="20"/>
                <w:szCs w:val="20"/>
              </w:rPr>
            </w:pPr>
            <w:r w:rsidRPr="001000EB">
              <w:rPr>
                <w:rFonts w:cstheme="minorHAnsi"/>
                <w:spacing w:val="-5"/>
                <w:sz w:val="20"/>
                <w:szCs w:val="20"/>
              </w:rPr>
              <w:t>(77.78%)</w:t>
            </w:r>
          </w:p>
        </w:tc>
        <w:tc>
          <w:tcPr>
            <w:tcW w:w="1496" w:type="dxa"/>
            <w:tcBorders>
              <w:top w:val="single" w:sz="2" w:space="0" w:color="231F20"/>
              <w:left w:val="single" w:sz="2" w:space="0" w:color="231F20"/>
              <w:bottom w:val="single" w:sz="2" w:space="0" w:color="231F20"/>
              <w:right w:val="single" w:sz="2" w:space="0" w:color="231F20"/>
            </w:tcBorders>
            <w:shd w:val="clear" w:color="auto" w:fill="E6E7E8"/>
          </w:tcPr>
          <w:p w14:paraId="4322DE1C" w14:textId="77777777" w:rsidR="00443256" w:rsidRPr="001000EB" w:rsidRDefault="00443256" w:rsidP="00D63204">
            <w:pPr>
              <w:widowControl w:val="0"/>
              <w:spacing w:after="0" w:line="240" w:lineRule="auto"/>
              <w:ind w:left="90"/>
              <w:rPr>
                <w:rFonts w:cstheme="minorHAnsi"/>
                <w:b/>
                <w:bCs/>
                <w:sz w:val="20"/>
                <w:szCs w:val="20"/>
              </w:rPr>
            </w:pPr>
          </w:p>
          <w:p w14:paraId="2BAFBB74" w14:textId="77777777" w:rsidR="00443256" w:rsidRPr="001000EB" w:rsidRDefault="00443256" w:rsidP="00D63204">
            <w:pPr>
              <w:widowControl w:val="0"/>
              <w:spacing w:before="152" w:after="0" w:line="240" w:lineRule="auto"/>
              <w:ind w:left="90"/>
              <w:rPr>
                <w:rFonts w:cstheme="minorHAnsi"/>
                <w:sz w:val="20"/>
                <w:szCs w:val="20"/>
              </w:rPr>
            </w:pPr>
            <w:r w:rsidRPr="001000EB">
              <w:rPr>
                <w:rFonts w:cstheme="minorHAnsi"/>
                <w:sz w:val="20"/>
                <w:szCs w:val="20"/>
              </w:rPr>
              <w:t>13 of 13</w:t>
            </w:r>
            <w:r w:rsidRPr="001000EB">
              <w:rPr>
                <w:rFonts w:cstheme="minorHAnsi"/>
                <w:spacing w:val="-11"/>
                <w:sz w:val="20"/>
                <w:szCs w:val="20"/>
              </w:rPr>
              <w:t xml:space="preserve"> </w:t>
            </w:r>
            <w:r w:rsidRPr="001000EB">
              <w:rPr>
                <w:rFonts w:cstheme="minorHAnsi"/>
                <w:sz w:val="20"/>
                <w:szCs w:val="20"/>
              </w:rPr>
              <w:t>(100.00%)</w:t>
            </w:r>
          </w:p>
          <w:p w14:paraId="0FB71E78" w14:textId="77777777" w:rsidR="00443256" w:rsidRPr="001000EB" w:rsidRDefault="00443256" w:rsidP="00D63204">
            <w:pPr>
              <w:widowControl w:val="0"/>
              <w:spacing w:after="0" w:line="240" w:lineRule="auto"/>
              <w:ind w:left="90"/>
              <w:rPr>
                <w:rFonts w:cstheme="minorHAnsi"/>
                <w:sz w:val="20"/>
                <w:szCs w:val="20"/>
              </w:rPr>
            </w:pPr>
            <w:r w:rsidRPr="001000EB">
              <w:rPr>
                <w:rFonts w:cstheme="minorHAnsi"/>
                <w:i/>
                <w:w w:val="110"/>
                <w:sz w:val="20"/>
                <w:szCs w:val="20"/>
              </w:rPr>
              <w:t>one passed</w:t>
            </w:r>
            <w:r w:rsidRPr="001000EB">
              <w:rPr>
                <w:rFonts w:cstheme="minorHAnsi"/>
                <w:i/>
                <w:spacing w:val="25"/>
                <w:w w:val="110"/>
                <w:sz w:val="20"/>
                <w:szCs w:val="20"/>
              </w:rPr>
              <w:t xml:space="preserve"> </w:t>
            </w:r>
            <w:r w:rsidRPr="001000EB">
              <w:rPr>
                <w:rFonts w:cstheme="minorHAnsi"/>
                <w:i/>
                <w:w w:val="110"/>
                <w:sz w:val="20"/>
                <w:szCs w:val="20"/>
              </w:rPr>
              <w:t>away</w:t>
            </w:r>
          </w:p>
        </w:tc>
        <w:tc>
          <w:tcPr>
            <w:tcW w:w="1246" w:type="dxa"/>
            <w:tcBorders>
              <w:top w:val="single" w:sz="2" w:space="0" w:color="231F20"/>
              <w:left w:val="single" w:sz="2" w:space="0" w:color="231F20"/>
              <w:bottom w:val="single" w:sz="2" w:space="0" w:color="231F20"/>
              <w:right w:val="single" w:sz="2" w:space="0" w:color="231F20"/>
            </w:tcBorders>
            <w:shd w:val="clear" w:color="auto" w:fill="E6E7E8"/>
          </w:tcPr>
          <w:p w14:paraId="7F18A673" w14:textId="77777777" w:rsidR="00443256" w:rsidRPr="001000EB" w:rsidRDefault="00443256" w:rsidP="00D63204">
            <w:pPr>
              <w:widowControl w:val="0"/>
              <w:spacing w:after="0" w:line="240" w:lineRule="auto"/>
              <w:ind w:left="90"/>
              <w:rPr>
                <w:rFonts w:cstheme="minorHAnsi"/>
                <w:b/>
                <w:bCs/>
                <w:sz w:val="20"/>
                <w:szCs w:val="20"/>
              </w:rPr>
            </w:pPr>
          </w:p>
          <w:p w14:paraId="6FB68734" w14:textId="77777777" w:rsidR="00443256" w:rsidRPr="001000EB" w:rsidRDefault="00443256" w:rsidP="00D63204">
            <w:pPr>
              <w:widowControl w:val="0"/>
              <w:spacing w:before="4" w:after="0" w:line="240" w:lineRule="auto"/>
              <w:ind w:left="90"/>
              <w:rPr>
                <w:rFonts w:cstheme="minorHAnsi"/>
                <w:b/>
                <w:bCs/>
                <w:sz w:val="20"/>
                <w:szCs w:val="20"/>
              </w:rPr>
            </w:pPr>
          </w:p>
          <w:p w14:paraId="486DD8CA" w14:textId="77777777" w:rsidR="00443256" w:rsidRPr="001000EB" w:rsidRDefault="00443256" w:rsidP="00D63204">
            <w:pPr>
              <w:widowControl w:val="0"/>
              <w:spacing w:after="0" w:line="240" w:lineRule="auto"/>
              <w:ind w:left="90"/>
              <w:rPr>
                <w:rFonts w:cstheme="minorHAnsi"/>
                <w:sz w:val="20"/>
                <w:szCs w:val="20"/>
              </w:rPr>
            </w:pPr>
            <w:r w:rsidRPr="001000EB">
              <w:rPr>
                <w:rFonts w:cstheme="minorHAnsi"/>
                <w:w w:val="105"/>
                <w:sz w:val="20"/>
                <w:szCs w:val="20"/>
              </w:rPr>
              <w:t>8 of 10</w:t>
            </w:r>
            <w:r w:rsidRPr="001000EB">
              <w:rPr>
                <w:rFonts w:cstheme="minorHAnsi"/>
                <w:spacing w:val="-12"/>
                <w:w w:val="105"/>
                <w:sz w:val="20"/>
                <w:szCs w:val="20"/>
              </w:rPr>
              <w:t xml:space="preserve"> </w:t>
            </w:r>
            <w:r w:rsidRPr="001000EB">
              <w:rPr>
                <w:rFonts w:cstheme="minorHAnsi"/>
                <w:w w:val="105"/>
                <w:sz w:val="20"/>
                <w:szCs w:val="20"/>
              </w:rPr>
              <w:t>(80%)</w:t>
            </w:r>
          </w:p>
        </w:tc>
        <w:tc>
          <w:tcPr>
            <w:tcW w:w="1258" w:type="dxa"/>
            <w:tcBorders>
              <w:top w:val="single" w:sz="2" w:space="0" w:color="231F20"/>
              <w:left w:val="single" w:sz="2" w:space="0" w:color="231F20"/>
              <w:bottom w:val="single" w:sz="2" w:space="0" w:color="231F20"/>
              <w:right w:val="single" w:sz="2" w:space="0" w:color="231F20"/>
            </w:tcBorders>
            <w:shd w:val="clear" w:color="auto" w:fill="E6E7E8"/>
          </w:tcPr>
          <w:p w14:paraId="3922A3CF" w14:textId="77777777" w:rsidR="00443256" w:rsidRPr="001000EB" w:rsidRDefault="00443256" w:rsidP="00D63204">
            <w:pPr>
              <w:widowControl w:val="0"/>
              <w:spacing w:before="8" w:after="0" w:line="240" w:lineRule="auto"/>
              <w:ind w:left="90"/>
              <w:rPr>
                <w:rFonts w:cstheme="minorHAnsi"/>
                <w:b/>
                <w:bCs/>
                <w:sz w:val="20"/>
                <w:szCs w:val="20"/>
              </w:rPr>
            </w:pPr>
          </w:p>
          <w:p w14:paraId="0DDA0C40" w14:textId="77777777" w:rsidR="00626691" w:rsidRPr="001000EB" w:rsidRDefault="00626691" w:rsidP="00D63204">
            <w:pPr>
              <w:widowControl w:val="0"/>
              <w:spacing w:after="0" w:line="240" w:lineRule="auto"/>
              <w:ind w:left="90"/>
              <w:rPr>
                <w:rFonts w:cstheme="minorHAnsi"/>
                <w:i/>
                <w:w w:val="110"/>
                <w:sz w:val="20"/>
                <w:szCs w:val="20"/>
              </w:rPr>
            </w:pPr>
          </w:p>
          <w:p w14:paraId="00F321A8" w14:textId="6EA011DC" w:rsidR="00443256" w:rsidRPr="001000EB" w:rsidRDefault="00443256" w:rsidP="00D63204">
            <w:pPr>
              <w:widowControl w:val="0"/>
              <w:spacing w:after="0" w:line="240" w:lineRule="auto"/>
              <w:ind w:left="90"/>
              <w:rPr>
                <w:rFonts w:cstheme="minorHAnsi"/>
                <w:sz w:val="20"/>
                <w:szCs w:val="20"/>
              </w:rPr>
            </w:pPr>
            <w:r w:rsidRPr="001000EB">
              <w:rPr>
                <w:rFonts w:cstheme="minorHAnsi"/>
                <w:i/>
                <w:w w:val="110"/>
                <w:sz w:val="20"/>
                <w:szCs w:val="20"/>
              </w:rPr>
              <w:t>Not</w:t>
            </w:r>
            <w:r w:rsidRPr="001000EB">
              <w:rPr>
                <w:rFonts w:cstheme="minorHAnsi"/>
                <w:i/>
                <w:spacing w:val="-13"/>
                <w:w w:val="110"/>
                <w:sz w:val="20"/>
                <w:szCs w:val="20"/>
              </w:rPr>
              <w:t xml:space="preserve"> </w:t>
            </w:r>
            <w:r w:rsidRPr="001000EB">
              <w:rPr>
                <w:rFonts w:cstheme="minorHAnsi"/>
                <w:i/>
                <w:w w:val="110"/>
                <w:sz w:val="20"/>
                <w:szCs w:val="20"/>
              </w:rPr>
              <w:t>available</w:t>
            </w:r>
          </w:p>
          <w:p w14:paraId="0A5EDB43" w14:textId="77777777" w:rsidR="00443256" w:rsidRPr="001000EB" w:rsidRDefault="00443256" w:rsidP="00D63204">
            <w:pPr>
              <w:widowControl w:val="0"/>
              <w:spacing w:before="1" w:after="0" w:line="240" w:lineRule="auto"/>
              <w:ind w:left="90"/>
              <w:rPr>
                <w:rFonts w:cstheme="minorHAnsi"/>
                <w:sz w:val="20"/>
                <w:szCs w:val="20"/>
              </w:rPr>
            </w:pPr>
            <w:r w:rsidRPr="001000EB">
              <w:rPr>
                <w:rFonts w:cstheme="minorHAnsi"/>
                <w:i/>
                <w:w w:val="105"/>
                <w:sz w:val="20"/>
                <w:szCs w:val="20"/>
              </w:rPr>
              <w:t>until</w:t>
            </w:r>
            <w:r w:rsidRPr="001000EB">
              <w:rPr>
                <w:rFonts w:cstheme="minorHAnsi"/>
                <w:i/>
                <w:spacing w:val="36"/>
                <w:w w:val="105"/>
                <w:sz w:val="20"/>
                <w:szCs w:val="20"/>
              </w:rPr>
              <w:t xml:space="preserve"> </w:t>
            </w:r>
            <w:r w:rsidRPr="001000EB">
              <w:rPr>
                <w:rFonts w:cstheme="minorHAnsi"/>
                <w:i/>
                <w:w w:val="105"/>
                <w:sz w:val="20"/>
                <w:szCs w:val="20"/>
              </w:rPr>
              <w:t>SFY</w:t>
            </w:r>
            <w:r w:rsidRPr="001000EB">
              <w:rPr>
                <w:rFonts w:cstheme="minorHAnsi"/>
                <w:i/>
                <w:spacing w:val="-36"/>
                <w:w w:val="105"/>
                <w:sz w:val="20"/>
                <w:szCs w:val="20"/>
              </w:rPr>
              <w:t xml:space="preserve"> </w:t>
            </w:r>
            <w:r w:rsidRPr="001000EB">
              <w:rPr>
                <w:rFonts w:cstheme="minorHAnsi"/>
                <w:i/>
                <w:sz w:val="20"/>
                <w:szCs w:val="20"/>
              </w:rPr>
              <w:t>2015-16</w:t>
            </w:r>
          </w:p>
        </w:tc>
        <w:tc>
          <w:tcPr>
            <w:tcW w:w="1258" w:type="dxa"/>
            <w:tcBorders>
              <w:top w:val="single" w:sz="2" w:space="0" w:color="231F20"/>
              <w:left w:val="single" w:sz="2" w:space="0" w:color="231F20"/>
              <w:bottom w:val="single" w:sz="2" w:space="0" w:color="231F20"/>
              <w:right w:val="single" w:sz="2" w:space="0" w:color="231F20"/>
            </w:tcBorders>
            <w:shd w:val="clear" w:color="auto" w:fill="E6E7E8"/>
          </w:tcPr>
          <w:p w14:paraId="69E10390" w14:textId="77777777" w:rsidR="00626691" w:rsidRPr="001000EB" w:rsidRDefault="00626691" w:rsidP="00D63204">
            <w:pPr>
              <w:widowControl w:val="0"/>
              <w:spacing w:after="0" w:line="240" w:lineRule="auto"/>
              <w:ind w:left="90"/>
              <w:rPr>
                <w:rFonts w:cstheme="minorHAnsi"/>
                <w:i/>
                <w:w w:val="110"/>
                <w:sz w:val="20"/>
                <w:szCs w:val="20"/>
              </w:rPr>
            </w:pPr>
          </w:p>
          <w:p w14:paraId="6E82100E" w14:textId="77777777" w:rsidR="00626691" w:rsidRPr="001000EB" w:rsidRDefault="00626691" w:rsidP="00D63204">
            <w:pPr>
              <w:widowControl w:val="0"/>
              <w:spacing w:after="0" w:line="240" w:lineRule="auto"/>
              <w:ind w:left="90"/>
              <w:rPr>
                <w:rFonts w:cstheme="minorHAnsi"/>
                <w:i/>
                <w:w w:val="110"/>
                <w:sz w:val="20"/>
                <w:szCs w:val="20"/>
              </w:rPr>
            </w:pPr>
          </w:p>
          <w:p w14:paraId="740E59C7" w14:textId="23722F01" w:rsidR="00443256" w:rsidRPr="001000EB" w:rsidRDefault="00443256" w:rsidP="00D63204">
            <w:pPr>
              <w:widowControl w:val="0"/>
              <w:spacing w:after="0" w:line="240" w:lineRule="auto"/>
              <w:ind w:left="90"/>
              <w:rPr>
                <w:rFonts w:cstheme="minorHAnsi"/>
                <w:sz w:val="20"/>
                <w:szCs w:val="20"/>
              </w:rPr>
            </w:pPr>
            <w:r w:rsidRPr="001000EB">
              <w:rPr>
                <w:rFonts w:cstheme="minorHAnsi"/>
                <w:i/>
                <w:w w:val="110"/>
                <w:sz w:val="20"/>
                <w:szCs w:val="20"/>
              </w:rPr>
              <w:t>Not</w:t>
            </w:r>
            <w:r w:rsidRPr="001000EB">
              <w:rPr>
                <w:rFonts w:cstheme="minorHAnsi"/>
                <w:i/>
                <w:spacing w:val="-13"/>
                <w:w w:val="110"/>
                <w:sz w:val="20"/>
                <w:szCs w:val="20"/>
              </w:rPr>
              <w:t xml:space="preserve"> </w:t>
            </w:r>
            <w:r w:rsidRPr="001000EB">
              <w:rPr>
                <w:rFonts w:cstheme="minorHAnsi"/>
                <w:i/>
                <w:w w:val="110"/>
                <w:sz w:val="20"/>
                <w:szCs w:val="20"/>
              </w:rPr>
              <w:t>available</w:t>
            </w:r>
          </w:p>
          <w:p w14:paraId="659714B9" w14:textId="77777777" w:rsidR="00443256" w:rsidRPr="001000EB" w:rsidRDefault="00443256" w:rsidP="00D63204">
            <w:pPr>
              <w:widowControl w:val="0"/>
              <w:spacing w:before="8" w:after="0" w:line="240" w:lineRule="auto"/>
              <w:ind w:left="90"/>
              <w:rPr>
                <w:rFonts w:cstheme="minorHAnsi"/>
                <w:b/>
                <w:bCs/>
                <w:sz w:val="20"/>
                <w:szCs w:val="20"/>
              </w:rPr>
            </w:pPr>
            <w:r w:rsidRPr="001000EB">
              <w:rPr>
                <w:rFonts w:cstheme="minorHAnsi"/>
                <w:i/>
                <w:w w:val="105"/>
                <w:sz w:val="20"/>
                <w:szCs w:val="20"/>
              </w:rPr>
              <w:t>Until end of SFY</w:t>
            </w:r>
            <w:r w:rsidRPr="001000EB">
              <w:rPr>
                <w:rFonts w:cstheme="minorHAnsi"/>
                <w:i/>
                <w:spacing w:val="-36"/>
                <w:w w:val="105"/>
                <w:sz w:val="20"/>
                <w:szCs w:val="20"/>
              </w:rPr>
              <w:t xml:space="preserve">  </w:t>
            </w:r>
            <w:r w:rsidRPr="001000EB">
              <w:rPr>
                <w:rFonts w:cstheme="minorHAnsi"/>
                <w:i/>
                <w:sz w:val="20"/>
                <w:szCs w:val="20"/>
              </w:rPr>
              <w:t>2017-18</w:t>
            </w:r>
          </w:p>
        </w:tc>
      </w:tr>
      <w:tr w:rsidR="00443256" w:rsidRPr="00353381" w14:paraId="179AE7BD" w14:textId="77777777" w:rsidTr="001000EB">
        <w:trPr>
          <w:trHeight w:hRule="exact" w:val="1428"/>
          <w:jc w:val="center"/>
        </w:trPr>
        <w:tc>
          <w:tcPr>
            <w:tcW w:w="1766" w:type="dxa"/>
            <w:tcBorders>
              <w:top w:val="single" w:sz="2" w:space="0" w:color="231F20"/>
              <w:left w:val="single" w:sz="2" w:space="0" w:color="231F20"/>
              <w:bottom w:val="single" w:sz="2" w:space="0" w:color="231F20"/>
              <w:right w:val="single" w:sz="2" w:space="0" w:color="231F20"/>
            </w:tcBorders>
          </w:tcPr>
          <w:p w14:paraId="3C8A04C9" w14:textId="77777777" w:rsidR="00443256" w:rsidRPr="001000EB" w:rsidRDefault="00443256" w:rsidP="00626691">
            <w:pPr>
              <w:widowControl w:val="0"/>
              <w:spacing w:after="0" w:line="240" w:lineRule="auto"/>
              <w:ind w:left="90"/>
              <w:rPr>
                <w:rFonts w:cstheme="minorHAnsi"/>
                <w:b/>
                <w:bCs/>
                <w:sz w:val="20"/>
                <w:szCs w:val="20"/>
              </w:rPr>
            </w:pPr>
          </w:p>
          <w:p w14:paraId="15E65D47" w14:textId="77777777" w:rsidR="00443256" w:rsidRPr="001000EB" w:rsidRDefault="00443256" w:rsidP="00626691">
            <w:pPr>
              <w:widowControl w:val="0"/>
              <w:spacing w:before="8" w:after="0" w:line="240" w:lineRule="auto"/>
              <w:ind w:left="90"/>
              <w:rPr>
                <w:rFonts w:cstheme="minorHAnsi"/>
                <w:b/>
                <w:bCs/>
                <w:sz w:val="20"/>
                <w:szCs w:val="20"/>
              </w:rPr>
            </w:pPr>
          </w:p>
          <w:p w14:paraId="4195207E" w14:textId="77777777" w:rsidR="00443256" w:rsidRPr="001000EB" w:rsidRDefault="00443256" w:rsidP="00626691">
            <w:pPr>
              <w:widowControl w:val="0"/>
              <w:spacing w:after="0" w:line="240" w:lineRule="auto"/>
              <w:ind w:left="90"/>
              <w:rPr>
                <w:rFonts w:cstheme="minorHAnsi"/>
                <w:sz w:val="20"/>
                <w:szCs w:val="20"/>
              </w:rPr>
            </w:pPr>
            <w:r w:rsidRPr="001000EB">
              <w:rPr>
                <w:rFonts w:cstheme="minorHAnsi"/>
                <w:w w:val="105"/>
                <w:sz w:val="20"/>
                <w:szCs w:val="20"/>
              </w:rPr>
              <w:t>% of increase</w:t>
            </w:r>
            <w:r w:rsidRPr="001000EB">
              <w:rPr>
                <w:rFonts w:cstheme="minorHAnsi"/>
                <w:spacing w:val="14"/>
                <w:w w:val="105"/>
                <w:sz w:val="20"/>
                <w:szCs w:val="20"/>
              </w:rPr>
              <w:t xml:space="preserve"> </w:t>
            </w:r>
            <w:r w:rsidRPr="001000EB">
              <w:rPr>
                <w:rFonts w:cstheme="minorHAnsi"/>
                <w:w w:val="105"/>
                <w:sz w:val="20"/>
                <w:szCs w:val="20"/>
              </w:rPr>
              <w:t>from</w:t>
            </w:r>
            <w:r w:rsidRPr="001000EB">
              <w:rPr>
                <w:rFonts w:cstheme="minorHAnsi"/>
                <w:sz w:val="20"/>
                <w:szCs w:val="20"/>
              </w:rPr>
              <w:t xml:space="preserve"> </w:t>
            </w:r>
            <w:r w:rsidRPr="001000EB">
              <w:rPr>
                <w:rFonts w:cstheme="minorHAnsi"/>
                <w:w w:val="105"/>
                <w:sz w:val="20"/>
                <w:szCs w:val="20"/>
              </w:rPr>
              <w:t>previous</w:t>
            </w:r>
            <w:r w:rsidRPr="001000EB">
              <w:rPr>
                <w:rFonts w:cstheme="minorHAnsi"/>
                <w:spacing w:val="28"/>
                <w:w w:val="105"/>
                <w:sz w:val="20"/>
                <w:szCs w:val="20"/>
              </w:rPr>
              <w:t xml:space="preserve"> </w:t>
            </w:r>
            <w:r w:rsidRPr="001000EB">
              <w:rPr>
                <w:rFonts w:cstheme="minorHAnsi"/>
                <w:w w:val="105"/>
                <w:sz w:val="20"/>
                <w:szCs w:val="20"/>
              </w:rPr>
              <w:t>year</w:t>
            </w:r>
          </w:p>
        </w:tc>
        <w:tc>
          <w:tcPr>
            <w:tcW w:w="1124" w:type="dxa"/>
            <w:tcBorders>
              <w:top w:val="single" w:sz="2" w:space="0" w:color="231F20"/>
              <w:left w:val="single" w:sz="2" w:space="0" w:color="231F20"/>
              <w:bottom w:val="single" w:sz="2" w:space="0" w:color="231F20"/>
              <w:right w:val="single" w:sz="2" w:space="0" w:color="231F20"/>
            </w:tcBorders>
          </w:tcPr>
          <w:p w14:paraId="110C685A" w14:textId="77777777" w:rsidR="00443256" w:rsidRPr="001000EB" w:rsidRDefault="00443256" w:rsidP="00D63204">
            <w:pPr>
              <w:widowControl w:val="0"/>
              <w:spacing w:after="0" w:line="240" w:lineRule="auto"/>
              <w:ind w:left="90"/>
              <w:rPr>
                <w:rFonts w:cstheme="minorHAnsi"/>
                <w:b/>
                <w:bCs/>
                <w:sz w:val="20"/>
                <w:szCs w:val="20"/>
              </w:rPr>
            </w:pPr>
          </w:p>
          <w:p w14:paraId="240C11B9" w14:textId="77777777" w:rsidR="00443256" w:rsidRPr="001000EB" w:rsidRDefault="00443256" w:rsidP="00D63204">
            <w:pPr>
              <w:widowControl w:val="0"/>
              <w:spacing w:before="7" w:after="0" w:line="240" w:lineRule="auto"/>
              <w:ind w:left="90"/>
              <w:rPr>
                <w:rFonts w:cstheme="minorHAnsi"/>
                <w:b/>
                <w:bCs/>
                <w:sz w:val="20"/>
                <w:szCs w:val="20"/>
              </w:rPr>
            </w:pPr>
          </w:p>
          <w:p w14:paraId="7E10B58D" w14:textId="77777777" w:rsidR="00443256" w:rsidRPr="001000EB" w:rsidRDefault="00443256" w:rsidP="00D63204">
            <w:pPr>
              <w:widowControl w:val="0"/>
              <w:spacing w:after="0" w:line="240" w:lineRule="auto"/>
              <w:ind w:left="90"/>
              <w:rPr>
                <w:rFonts w:cstheme="minorHAnsi"/>
                <w:sz w:val="20"/>
                <w:szCs w:val="20"/>
              </w:rPr>
            </w:pPr>
            <w:r w:rsidRPr="001000EB">
              <w:rPr>
                <w:rFonts w:cstheme="minorHAnsi"/>
                <w:sz w:val="20"/>
                <w:szCs w:val="20"/>
              </w:rPr>
              <w:t>N/A</w:t>
            </w:r>
          </w:p>
        </w:tc>
        <w:tc>
          <w:tcPr>
            <w:tcW w:w="1043" w:type="dxa"/>
            <w:tcBorders>
              <w:top w:val="single" w:sz="2" w:space="0" w:color="231F20"/>
              <w:left w:val="single" w:sz="2" w:space="0" w:color="231F20"/>
              <w:bottom w:val="single" w:sz="2" w:space="0" w:color="231F20"/>
              <w:right w:val="single" w:sz="2" w:space="0" w:color="231F20"/>
            </w:tcBorders>
          </w:tcPr>
          <w:p w14:paraId="6211F023" w14:textId="77777777" w:rsidR="00443256" w:rsidRPr="001000EB" w:rsidRDefault="00443256" w:rsidP="00D63204">
            <w:pPr>
              <w:widowControl w:val="0"/>
              <w:spacing w:after="0" w:line="240" w:lineRule="auto"/>
              <w:ind w:left="90"/>
              <w:rPr>
                <w:rFonts w:cstheme="minorHAnsi"/>
                <w:b/>
                <w:bCs/>
                <w:sz w:val="20"/>
                <w:szCs w:val="20"/>
              </w:rPr>
            </w:pPr>
          </w:p>
          <w:p w14:paraId="653649C0" w14:textId="77777777" w:rsidR="00443256" w:rsidRPr="001000EB" w:rsidRDefault="00443256" w:rsidP="00D63204">
            <w:pPr>
              <w:widowControl w:val="0"/>
              <w:spacing w:before="7" w:after="0" w:line="240" w:lineRule="auto"/>
              <w:ind w:left="90"/>
              <w:rPr>
                <w:rFonts w:cstheme="minorHAnsi"/>
                <w:b/>
                <w:bCs/>
                <w:sz w:val="20"/>
                <w:szCs w:val="20"/>
              </w:rPr>
            </w:pPr>
          </w:p>
          <w:p w14:paraId="6EB83F30" w14:textId="77777777" w:rsidR="00443256" w:rsidRPr="001000EB" w:rsidRDefault="00443256" w:rsidP="00D63204">
            <w:pPr>
              <w:widowControl w:val="0"/>
              <w:spacing w:after="0" w:line="240" w:lineRule="auto"/>
              <w:ind w:left="90"/>
              <w:rPr>
                <w:rFonts w:cstheme="minorHAnsi"/>
                <w:sz w:val="20"/>
                <w:szCs w:val="20"/>
              </w:rPr>
            </w:pPr>
            <w:r w:rsidRPr="001000EB">
              <w:rPr>
                <w:rFonts w:cstheme="minorHAnsi"/>
                <w:w w:val="110"/>
                <w:sz w:val="20"/>
                <w:szCs w:val="20"/>
              </w:rPr>
              <w:t>9.53%</w:t>
            </w:r>
          </w:p>
        </w:tc>
        <w:tc>
          <w:tcPr>
            <w:tcW w:w="1133" w:type="dxa"/>
            <w:tcBorders>
              <w:top w:val="single" w:sz="2" w:space="0" w:color="231F20"/>
              <w:left w:val="single" w:sz="2" w:space="0" w:color="231F20"/>
              <w:bottom w:val="single" w:sz="2" w:space="0" w:color="231F20"/>
              <w:right w:val="single" w:sz="2" w:space="0" w:color="231F20"/>
            </w:tcBorders>
          </w:tcPr>
          <w:p w14:paraId="2D5CF89E" w14:textId="77777777" w:rsidR="00443256" w:rsidRPr="001000EB" w:rsidRDefault="00443256" w:rsidP="00D63204">
            <w:pPr>
              <w:widowControl w:val="0"/>
              <w:spacing w:after="0" w:line="240" w:lineRule="auto"/>
              <w:ind w:left="90"/>
              <w:rPr>
                <w:rFonts w:cstheme="minorHAnsi"/>
                <w:b/>
                <w:bCs/>
                <w:sz w:val="20"/>
                <w:szCs w:val="20"/>
              </w:rPr>
            </w:pPr>
          </w:p>
          <w:p w14:paraId="62BA99B1" w14:textId="77777777" w:rsidR="00443256" w:rsidRPr="001000EB" w:rsidRDefault="00443256" w:rsidP="00D63204">
            <w:pPr>
              <w:widowControl w:val="0"/>
              <w:spacing w:before="7" w:after="0" w:line="240" w:lineRule="auto"/>
              <w:ind w:left="90"/>
              <w:rPr>
                <w:rFonts w:cstheme="minorHAnsi"/>
                <w:b/>
                <w:bCs/>
                <w:sz w:val="20"/>
                <w:szCs w:val="20"/>
              </w:rPr>
            </w:pPr>
          </w:p>
          <w:p w14:paraId="2BA70267" w14:textId="77777777" w:rsidR="00443256" w:rsidRPr="001000EB" w:rsidRDefault="00443256" w:rsidP="00D63204">
            <w:pPr>
              <w:widowControl w:val="0"/>
              <w:spacing w:after="0" w:line="240" w:lineRule="auto"/>
              <w:ind w:left="90"/>
              <w:rPr>
                <w:rFonts w:cstheme="minorHAnsi"/>
                <w:sz w:val="20"/>
                <w:szCs w:val="20"/>
              </w:rPr>
            </w:pPr>
            <w:r w:rsidRPr="001000EB">
              <w:rPr>
                <w:rFonts w:cstheme="minorHAnsi"/>
                <w:spacing w:val="-4"/>
                <w:w w:val="85"/>
                <w:sz w:val="20"/>
                <w:szCs w:val="20"/>
              </w:rPr>
              <w:t>11.11%</w:t>
            </w:r>
          </w:p>
        </w:tc>
        <w:tc>
          <w:tcPr>
            <w:tcW w:w="1496" w:type="dxa"/>
            <w:tcBorders>
              <w:top w:val="single" w:sz="2" w:space="0" w:color="231F20"/>
              <w:left w:val="single" w:sz="2" w:space="0" w:color="231F20"/>
              <w:bottom w:val="single" w:sz="2" w:space="0" w:color="231F20"/>
              <w:right w:val="single" w:sz="2" w:space="0" w:color="231F20"/>
            </w:tcBorders>
          </w:tcPr>
          <w:p w14:paraId="411400DC" w14:textId="77777777" w:rsidR="00443256" w:rsidRPr="001000EB" w:rsidRDefault="00443256" w:rsidP="00D63204">
            <w:pPr>
              <w:widowControl w:val="0"/>
              <w:spacing w:after="0" w:line="240" w:lineRule="auto"/>
              <w:ind w:left="90"/>
              <w:rPr>
                <w:rFonts w:cstheme="minorHAnsi"/>
                <w:b/>
                <w:bCs/>
                <w:sz w:val="20"/>
                <w:szCs w:val="20"/>
              </w:rPr>
            </w:pPr>
          </w:p>
          <w:p w14:paraId="3771D0CA" w14:textId="77777777" w:rsidR="00443256" w:rsidRPr="001000EB" w:rsidRDefault="00443256" w:rsidP="00D63204">
            <w:pPr>
              <w:widowControl w:val="0"/>
              <w:spacing w:before="7" w:after="0" w:line="240" w:lineRule="auto"/>
              <w:ind w:left="90"/>
              <w:rPr>
                <w:rFonts w:cstheme="minorHAnsi"/>
                <w:b/>
                <w:bCs/>
                <w:sz w:val="20"/>
                <w:szCs w:val="20"/>
              </w:rPr>
            </w:pPr>
          </w:p>
          <w:p w14:paraId="24639932" w14:textId="77777777" w:rsidR="00443256" w:rsidRPr="001000EB" w:rsidRDefault="00443256" w:rsidP="00D63204">
            <w:pPr>
              <w:widowControl w:val="0"/>
              <w:spacing w:after="0" w:line="240" w:lineRule="auto"/>
              <w:ind w:left="90"/>
              <w:rPr>
                <w:rFonts w:cstheme="minorHAnsi"/>
                <w:sz w:val="20"/>
                <w:szCs w:val="20"/>
              </w:rPr>
            </w:pPr>
            <w:r w:rsidRPr="001000EB">
              <w:rPr>
                <w:rFonts w:cstheme="minorHAnsi"/>
                <w:w w:val="110"/>
                <w:sz w:val="20"/>
                <w:szCs w:val="20"/>
              </w:rPr>
              <w:t>22.22%</w:t>
            </w:r>
          </w:p>
        </w:tc>
        <w:tc>
          <w:tcPr>
            <w:tcW w:w="1246" w:type="dxa"/>
            <w:tcBorders>
              <w:top w:val="single" w:sz="2" w:space="0" w:color="231F20"/>
              <w:left w:val="single" w:sz="2" w:space="0" w:color="231F20"/>
              <w:bottom w:val="single" w:sz="2" w:space="0" w:color="231F20"/>
              <w:right w:val="single" w:sz="2" w:space="0" w:color="231F20"/>
            </w:tcBorders>
          </w:tcPr>
          <w:p w14:paraId="1BF8D567" w14:textId="77777777" w:rsidR="00443256" w:rsidRPr="001000EB" w:rsidRDefault="00443256" w:rsidP="00D63204">
            <w:pPr>
              <w:widowControl w:val="0"/>
              <w:spacing w:after="0" w:line="240" w:lineRule="auto"/>
              <w:ind w:left="90"/>
              <w:rPr>
                <w:rFonts w:cstheme="minorHAnsi"/>
                <w:b/>
                <w:bCs/>
                <w:sz w:val="20"/>
                <w:szCs w:val="20"/>
              </w:rPr>
            </w:pPr>
          </w:p>
          <w:p w14:paraId="341F99C6" w14:textId="77777777" w:rsidR="00443256" w:rsidRPr="001000EB" w:rsidRDefault="00443256" w:rsidP="00D63204">
            <w:pPr>
              <w:widowControl w:val="0"/>
              <w:spacing w:before="7" w:after="0" w:line="240" w:lineRule="auto"/>
              <w:ind w:left="90"/>
              <w:rPr>
                <w:rFonts w:cstheme="minorHAnsi"/>
                <w:b/>
                <w:bCs/>
                <w:sz w:val="20"/>
                <w:szCs w:val="20"/>
              </w:rPr>
            </w:pPr>
          </w:p>
          <w:p w14:paraId="3B5B141A" w14:textId="77777777" w:rsidR="00443256" w:rsidRPr="001000EB" w:rsidRDefault="00443256" w:rsidP="00D63204">
            <w:pPr>
              <w:widowControl w:val="0"/>
              <w:spacing w:after="0" w:line="240" w:lineRule="auto"/>
              <w:ind w:left="90"/>
              <w:rPr>
                <w:rFonts w:cstheme="minorHAnsi"/>
                <w:sz w:val="20"/>
                <w:szCs w:val="20"/>
              </w:rPr>
            </w:pPr>
            <w:r w:rsidRPr="001000EB">
              <w:rPr>
                <w:rFonts w:cstheme="minorHAnsi"/>
                <w:w w:val="105"/>
                <w:sz w:val="20"/>
                <w:szCs w:val="20"/>
              </w:rPr>
              <w:t>(20.00%)</w:t>
            </w:r>
          </w:p>
        </w:tc>
        <w:tc>
          <w:tcPr>
            <w:tcW w:w="1258" w:type="dxa"/>
            <w:tcBorders>
              <w:top w:val="single" w:sz="2" w:space="0" w:color="231F20"/>
              <w:left w:val="single" w:sz="2" w:space="0" w:color="231F20"/>
              <w:bottom w:val="single" w:sz="2" w:space="0" w:color="231F20"/>
              <w:right w:val="single" w:sz="2" w:space="0" w:color="231F20"/>
            </w:tcBorders>
          </w:tcPr>
          <w:p w14:paraId="1251D2B3" w14:textId="77777777" w:rsidR="00626691" w:rsidRPr="001000EB" w:rsidRDefault="00626691" w:rsidP="00D63204">
            <w:pPr>
              <w:widowControl w:val="0"/>
              <w:spacing w:after="0" w:line="240" w:lineRule="auto"/>
              <w:ind w:left="90"/>
              <w:rPr>
                <w:rFonts w:cstheme="minorHAnsi"/>
                <w:i/>
                <w:w w:val="110"/>
                <w:sz w:val="20"/>
                <w:szCs w:val="20"/>
              </w:rPr>
            </w:pPr>
          </w:p>
          <w:p w14:paraId="015E411E" w14:textId="77777777" w:rsidR="00626691" w:rsidRPr="001000EB" w:rsidRDefault="00626691" w:rsidP="00D63204">
            <w:pPr>
              <w:widowControl w:val="0"/>
              <w:spacing w:after="0" w:line="240" w:lineRule="auto"/>
              <w:ind w:left="90"/>
              <w:rPr>
                <w:rFonts w:cstheme="minorHAnsi"/>
                <w:i/>
                <w:w w:val="110"/>
                <w:sz w:val="20"/>
                <w:szCs w:val="20"/>
              </w:rPr>
            </w:pPr>
          </w:p>
          <w:p w14:paraId="2EA03248" w14:textId="00E58CFC" w:rsidR="00443256" w:rsidRPr="001000EB" w:rsidRDefault="00443256" w:rsidP="00D63204">
            <w:pPr>
              <w:widowControl w:val="0"/>
              <w:spacing w:after="0" w:line="240" w:lineRule="auto"/>
              <w:ind w:left="90"/>
              <w:rPr>
                <w:rFonts w:cstheme="minorHAnsi"/>
                <w:sz w:val="20"/>
                <w:szCs w:val="20"/>
              </w:rPr>
            </w:pPr>
            <w:r w:rsidRPr="001000EB">
              <w:rPr>
                <w:rFonts w:cstheme="minorHAnsi"/>
                <w:i/>
                <w:w w:val="110"/>
                <w:sz w:val="20"/>
                <w:szCs w:val="20"/>
              </w:rPr>
              <w:t>Not</w:t>
            </w:r>
            <w:r w:rsidRPr="001000EB">
              <w:rPr>
                <w:rFonts w:cstheme="minorHAnsi"/>
                <w:i/>
                <w:spacing w:val="-13"/>
                <w:w w:val="110"/>
                <w:sz w:val="20"/>
                <w:szCs w:val="20"/>
              </w:rPr>
              <w:t xml:space="preserve"> </w:t>
            </w:r>
            <w:r w:rsidRPr="001000EB">
              <w:rPr>
                <w:rFonts w:cstheme="minorHAnsi"/>
                <w:i/>
                <w:w w:val="110"/>
                <w:sz w:val="20"/>
                <w:szCs w:val="20"/>
              </w:rPr>
              <w:t>available</w:t>
            </w:r>
          </w:p>
          <w:p w14:paraId="52B5C767" w14:textId="77777777" w:rsidR="00443256" w:rsidRPr="001000EB" w:rsidRDefault="00443256" w:rsidP="00D63204">
            <w:pPr>
              <w:widowControl w:val="0"/>
              <w:spacing w:before="1" w:after="0" w:line="240" w:lineRule="auto"/>
              <w:ind w:left="90"/>
              <w:rPr>
                <w:rFonts w:cstheme="minorHAnsi"/>
                <w:sz w:val="20"/>
                <w:szCs w:val="20"/>
              </w:rPr>
            </w:pPr>
            <w:r w:rsidRPr="001000EB">
              <w:rPr>
                <w:rFonts w:cstheme="minorHAnsi"/>
                <w:i/>
                <w:w w:val="105"/>
                <w:sz w:val="20"/>
                <w:szCs w:val="20"/>
              </w:rPr>
              <w:t>until</w:t>
            </w:r>
            <w:r w:rsidRPr="001000EB">
              <w:rPr>
                <w:rFonts w:cstheme="minorHAnsi"/>
                <w:i/>
                <w:spacing w:val="36"/>
                <w:w w:val="105"/>
                <w:sz w:val="20"/>
                <w:szCs w:val="20"/>
              </w:rPr>
              <w:t xml:space="preserve"> </w:t>
            </w:r>
            <w:r w:rsidRPr="001000EB">
              <w:rPr>
                <w:rFonts w:cstheme="minorHAnsi"/>
                <w:i/>
                <w:w w:val="105"/>
                <w:sz w:val="20"/>
                <w:szCs w:val="20"/>
              </w:rPr>
              <w:t>SFY</w:t>
            </w:r>
            <w:r w:rsidRPr="001000EB">
              <w:rPr>
                <w:rFonts w:cstheme="minorHAnsi"/>
                <w:i/>
                <w:spacing w:val="-36"/>
                <w:w w:val="105"/>
                <w:sz w:val="20"/>
                <w:szCs w:val="20"/>
              </w:rPr>
              <w:t xml:space="preserve"> </w:t>
            </w:r>
            <w:r w:rsidRPr="001000EB">
              <w:rPr>
                <w:rFonts w:cstheme="minorHAnsi"/>
                <w:i/>
                <w:sz w:val="20"/>
                <w:szCs w:val="20"/>
              </w:rPr>
              <w:t>2015-16</w:t>
            </w:r>
          </w:p>
        </w:tc>
        <w:tc>
          <w:tcPr>
            <w:tcW w:w="1258" w:type="dxa"/>
            <w:tcBorders>
              <w:top w:val="single" w:sz="2" w:space="0" w:color="231F20"/>
              <w:left w:val="single" w:sz="2" w:space="0" w:color="231F20"/>
              <w:bottom w:val="single" w:sz="2" w:space="0" w:color="231F20"/>
              <w:right w:val="single" w:sz="2" w:space="0" w:color="231F20"/>
            </w:tcBorders>
          </w:tcPr>
          <w:p w14:paraId="60DBDF73" w14:textId="77777777" w:rsidR="00626691" w:rsidRPr="001000EB" w:rsidRDefault="00626691" w:rsidP="00D63204">
            <w:pPr>
              <w:widowControl w:val="0"/>
              <w:spacing w:after="0" w:line="240" w:lineRule="auto"/>
              <w:ind w:left="90"/>
              <w:rPr>
                <w:rFonts w:cstheme="minorHAnsi"/>
                <w:i/>
                <w:w w:val="110"/>
                <w:sz w:val="20"/>
                <w:szCs w:val="20"/>
              </w:rPr>
            </w:pPr>
          </w:p>
          <w:p w14:paraId="33A07C4A" w14:textId="77777777" w:rsidR="00626691" w:rsidRPr="001000EB" w:rsidRDefault="00626691" w:rsidP="00D63204">
            <w:pPr>
              <w:widowControl w:val="0"/>
              <w:spacing w:after="0" w:line="240" w:lineRule="auto"/>
              <w:ind w:left="90"/>
              <w:rPr>
                <w:rFonts w:cstheme="minorHAnsi"/>
                <w:i/>
                <w:w w:val="110"/>
                <w:sz w:val="20"/>
                <w:szCs w:val="20"/>
              </w:rPr>
            </w:pPr>
          </w:p>
          <w:p w14:paraId="22AF8CB1" w14:textId="73739177" w:rsidR="00443256" w:rsidRPr="001000EB" w:rsidRDefault="00443256" w:rsidP="00D63204">
            <w:pPr>
              <w:widowControl w:val="0"/>
              <w:spacing w:after="0" w:line="240" w:lineRule="auto"/>
              <w:ind w:left="90"/>
              <w:rPr>
                <w:rFonts w:cstheme="minorHAnsi"/>
                <w:sz w:val="20"/>
                <w:szCs w:val="20"/>
              </w:rPr>
            </w:pPr>
            <w:r w:rsidRPr="001000EB">
              <w:rPr>
                <w:rFonts w:cstheme="minorHAnsi"/>
                <w:i/>
                <w:w w:val="110"/>
                <w:sz w:val="20"/>
                <w:szCs w:val="20"/>
              </w:rPr>
              <w:t>Not</w:t>
            </w:r>
            <w:r w:rsidRPr="001000EB">
              <w:rPr>
                <w:rFonts w:cstheme="minorHAnsi"/>
                <w:i/>
                <w:spacing w:val="-13"/>
                <w:w w:val="110"/>
                <w:sz w:val="20"/>
                <w:szCs w:val="20"/>
              </w:rPr>
              <w:t xml:space="preserve"> </w:t>
            </w:r>
            <w:r w:rsidRPr="001000EB">
              <w:rPr>
                <w:rFonts w:cstheme="minorHAnsi"/>
                <w:i/>
                <w:w w:val="110"/>
                <w:sz w:val="20"/>
                <w:szCs w:val="20"/>
              </w:rPr>
              <w:t>available</w:t>
            </w:r>
          </w:p>
          <w:p w14:paraId="43B526B6" w14:textId="77777777" w:rsidR="00443256" w:rsidRPr="001000EB" w:rsidRDefault="00443256" w:rsidP="00D63204">
            <w:pPr>
              <w:widowControl w:val="0"/>
              <w:spacing w:before="11" w:after="0" w:line="240" w:lineRule="auto"/>
              <w:ind w:left="90"/>
              <w:rPr>
                <w:rFonts w:cstheme="minorHAnsi"/>
                <w:b/>
                <w:bCs/>
                <w:sz w:val="20"/>
                <w:szCs w:val="20"/>
              </w:rPr>
            </w:pPr>
            <w:r w:rsidRPr="001000EB">
              <w:rPr>
                <w:rFonts w:cstheme="minorHAnsi"/>
                <w:i/>
                <w:w w:val="105"/>
                <w:sz w:val="20"/>
                <w:szCs w:val="20"/>
              </w:rPr>
              <w:t>Until end of SFY</w:t>
            </w:r>
            <w:r w:rsidRPr="001000EB">
              <w:rPr>
                <w:rFonts w:cstheme="minorHAnsi"/>
                <w:i/>
                <w:spacing w:val="-36"/>
                <w:w w:val="105"/>
                <w:sz w:val="20"/>
                <w:szCs w:val="20"/>
              </w:rPr>
              <w:t xml:space="preserve">  </w:t>
            </w:r>
            <w:r w:rsidRPr="001000EB">
              <w:rPr>
                <w:rFonts w:cstheme="minorHAnsi"/>
                <w:i/>
                <w:sz w:val="20"/>
                <w:szCs w:val="20"/>
              </w:rPr>
              <w:t>2017-18</w:t>
            </w:r>
          </w:p>
        </w:tc>
      </w:tr>
      <w:bookmarkEnd w:id="194"/>
    </w:tbl>
    <w:p w14:paraId="2CB90C69" w14:textId="77777777" w:rsidR="00443256" w:rsidRPr="00353381" w:rsidRDefault="00443256" w:rsidP="00D63204">
      <w:pPr>
        <w:spacing w:after="0" w:line="240" w:lineRule="auto"/>
        <w:ind w:left="90"/>
        <w:rPr>
          <w:b/>
          <w:color w:val="FF0000"/>
        </w:rPr>
      </w:pPr>
    </w:p>
    <w:p w14:paraId="57E61058" w14:textId="45AA54A6" w:rsidR="00443256" w:rsidRPr="00CB66D5" w:rsidRDefault="00443256" w:rsidP="00D63204">
      <w:pPr>
        <w:spacing w:line="240" w:lineRule="auto"/>
        <w:ind w:left="90"/>
      </w:pPr>
      <w:r w:rsidRPr="00353381">
        <w:t xml:space="preserve">Note:  Clients who are licensed are not always awarded their first facility during the same state fiscal year. </w:t>
      </w:r>
    </w:p>
    <w:p w14:paraId="5F4A4968" w14:textId="77777777" w:rsidR="00443256" w:rsidRPr="00353381" w:rsidRDefault="00443256" w:rsidP="00D63204">
      <w:pPr>
        <w:spacing w:line="240" w:lineRule="auto"/>
        <w:ind w:left="90"/>
      </w:pPr>
      <w:r w:rsidRPr="00353381">
        <w:rPr>
          <w:u w:val="single"/>
        </w:rPr>
        <w:t>Strategy 1.2</w:t>
      </w:r>
      <w:r w:rsidRPr="00353381">
        <w:t xml:space="preserve"> Increase successful job outcomes in the vocational rehabilitation program.</w:t>
      </w:r>
    </w:p>
    <w:p w14:paraId="3FEEF179" w14:textId="757EC9A4" w:rsidR="00443256" w:rsidRPr="00353381" w:rsidRDefault="00443256" w:rsidP="00D63204">
      <w:pPr>
        <w:spacing w:line="240" w:lineRule="auto"/>
        <w:ind w:left="90"/>
      </w:pPr>
      <w:r w:rsidRPr="00353381">
        <w:t>When comparing SFY 2015-2016 to SFY 2016-2017, FDBS increased the number of successful outcomes by nearly 2%, with an additional 14 successful closures</w:t>
      </w:r>
      <w:r w:rsidR="005E7C49">
        <w:t xml:space="preserve">. </w:t>
      </w:r>
    </w:p>
    <w:p w14:paraId="4CB28EDD" w14:textId="65D78C4C" w:rsidR="00443256" w:rsidRPr="00353381" w:rsidRDefault="00443256" w:rsidP="00D63204">
      <w:pPr>
        <w:spacing w:line="240" w:lineRule="auto"/>
        <w:ind w:left="90"/>
      </w:pPr>
      <w:r w:rsidRPr="00353381">
        <w:t>FDBS strengthened its relationship with Community Rehabilitation Providers and local employment networks in job placement related services</w:t>
      </w:r>
      <w:r w:rsidR="005E7C49">
        <w:t xml:space="preserve">. </w:t>
      </w:r>
      <w:r w:rsidRPr="00353381">
        <w:t xml:space="preserve">FDBS uses the TAP, an online platform that connects persons with disabilities seeking employment to businesses who are actively hiring. By the end of June 2017, there </w:t>
      </w:r>
      <w:r w:rsidR="005905EE" w:rsidRPr="00353381">
        <w:t>was a</w:t>
      </w:r>
      <w:r w:rsidRPr="00353381">
        <w:t xml:space="preserve"> total of </w:t>
      </w:r>
      <w:r w:rsidR="00613188" w:rsidRPr="00353381">
        <w:t>374 clients</w:t>
      </w:r>
      <w:r w:rsidRPr="00353381">
        <w:t xml:space="preserve"> listed in TAP. </w:t>
      </w:r>
    </w:p>
    <w:p w14:paraId="78881584" w14:textId="6EE3FCFF" w:rsidR="001000EB" w:rsidRDefault="00443256" w:rsidP="00D63204">
      <w:pPr>
        <w:spacing w:line="240" w:lineRule="auto"/>
        <w:ind w:left="90"/>
      </w:pPr>
      <w:r w:rsidRPr="00353381">
        <w:t xml:space="preserve">FDBS is one of the partner agencies included in the Interagency Cooperative Agreement effective July 2014, as part of the Employment First Initiative supported by Executive Order 13-284. This Order re-affirms a commitment to employment for Floridians with disabilities. The Interagency Cooperative Agreement has been updated and revisions are under review. </w:t>
      </w:r>
    </w:p>
    <w:p w14:paraId="0F38898C" w14:textId="611FFD86" w:rsidR="00443256" w:rsidRPr="00353381" w:rsidRDefault="00443256" w:rsidP="00D63204">
      <w:pPr>
        <w:spacing w:line="240" w:lineRule="auto"/>
        <w:ind w:left="90"/>
      </w:pPr>
      <w:r w:rsidRPr="00353381">
        <w:t>FDBS and its Employment First Partners addressed many goals, including several recommendations by the Governor’s Commission on Jobs for Floridians with Disabilities, to advance employment opportunities for individuals with disabilities. The goals and recommendations achieved include:</w:t>
      </w:r>
    </w:p>
    <w:p w14:paraId="316C9776" w14:textId="6B529E35" w:rsidR="00626691" w:rsidRDefault="00443256" w:rsidP="00D63204">
      <w:pPr>
        <w:pStyle w:val="ListParagraph"/>
        <w:numPr>
          <w:ilvl w:val="0"/>
          <w:numId w:val="74"/>
        </w:numPr>
        <w:spacing w:line="240" w:lineRule="auto"/>
      </w:pPr>
      <w:r w:rsidRPr="00353381">
        <w:t xml:space="preserve">Developing and implementing the Florida “Abilities Work” Web Portal and Help Desk; </w:t>
      </w:r>
      <w:r w:rsidR="00AE43C1">
        <w:t>this</w:t>
      </w:r>
      <w:r w:rsidRPr="00353381">
        <w:t xml:space="preserve"> was recommended by the Governor’s Commission to assist employers in finding candidates with disabilities who are ready and able to work</w:t>
      </w:r>
      <w:r w:rsidR="00D5537E">
        <w:t xml:space="preserve"> and</w:t>
      </w:r>
      <w:r w:rsidRPr="00353381">
        <w:t xml:space="preserve"> to learn about resources that can support them on the job. FDBS works with the Abilities Work staff to increase employer relationships and placements</w:t>
      </w:r>
      <w:r w:rsidR="002E6C4D">
        <w:t>,</w:t>
      </w:r>
      <w:r w:rsidRPr="00353381">
        <w:t xml:space="preserve"> such as connecting employers referred by the Abilities Work help desk to the division’s job ready clients. </w:t>
      </w:r>
    </w:p>
    <w:p w14:paraId="431B941A" w14:textId="77777777" w:rsidR="00626691" w:rsidRDefault="00626691" w:rsidP="00D63204">
      <w:pPr>
        <w:pStyle w:val="ListParagraph"/>
        <w:spacing w:line="240" w:lineRule="auto"/>
        <w:ind w:left="810"/>
      </w:pPr>
    </w:p>
    <w:p w14:paraId="47E65D7F" w14:textId="51C5B067" w:rsidR="00626691" w:rsidRDefault="00443256" w:rsidP="00D63204">
      <w:pPr>
        <w:pStyle w:val="ListParagraph"/>
        <w:numPr>
          <w:ilvl w:val="0"/>
          <w:numId w:val="74"/>
        </w:numPr>
        <w:spacing w:line="240" w:lineRule="auto"/>
      </w:pPr>
      <w:r w:rsidRPr="00353381">
        <w:t xml:space="preserve">Developing a multi-agency, long-term communications plan to help the state promote a consistent message of awareness among employers and encourage them to hire persons with disabilities. This collaborative plan advances employer outreach efforts of the FDBS Employment Placement Specialists to increase employment opportunities for clients. </w:t>
      </w:r>
    </w:p>
    <w:p w14:paraId="6262FD85" w14:textId="77777777" w:rsidR="00626691" w:rsidRDefault="00626691" w:rsidP="00D63204">
      <w:pPr>
        <w:pStyle w:val="ListParagraph"/>
        <w:spacing w:line="240" w:lineRule="auto"/>
        <w:ind w:left="810"/>
      </w:pPr>
    </w:p>
    <w:p w14:paraId="35DE3C12" w14:textId="227CB868" w:rsidR="00626691" w:rsidRDefault="00443256" w:rsidP="00D63204">
      <w:pPr>
        <w:pStyle w:val="ListParagraph"/>
        <w:numPr>
          <w:ilvl w:val="0"/>
          <w:numId w:val="74"/>
        </w:numPr>
        <w:spacing w:line="240" w:lineRule="auto"/>
      </w:pPr>
      <w:r w:rsidRPr="00353381">
        <w:t xml:space="preserve">Forming three interagency workgroups, including a grassroots group to receive input from stakeholders at the local level and to address the objectives of the Employment First Collaborative Agreement. FDBS is an active partner in these forums and uses the work to support other related collaborative activities, such as the implementing WIOA). </w:t>
      </w:r>
    </w:p>
    <w:p w14:paraId="25BB30FE" w14:textId="77777777" w:rsidR="00626691" w:rsidRDefault="00626691" w:rsidP="00D63204">
      <w:pPr>
        <w:pStyle w:val="ListParagraph"/>
        <w:spacing w:line="240" w:lineRule="auto"/>
        <w:ind w:left="810"/>
      </w:pPr>
    </w:p>
    <w:p w14:paraId="1C190166" w14:textId="63262AEB" w:rsidR="00626691" w:rsidRDefault="00443256" w:rsidP="00D63204">
      <w:pPr>
        <w:pStyle w:val="ListParagraph"/>
        <w:numPr>
          <w:ilvl w:val="0"/>
          <w:numId w:val="74"/>
        </w:numPr>
        <w:spacing w:line="240" w:lineRule="auto"/>
      </w:pPr>
      <w:r w:rsidRPr="00353381">
        <w:t>Creating an Employment First Florida website, logo, collaborative training toolkit</w:t>
      </w:r>
      <w:r w:rsidR="00D5537E">
        <w:t xml:space="preserve"> and</w:t>
      </w:r>
      <w:r w:rsidRPr="00353381">
        <w:t xml:space="preserve"> promotional video to inform community partners and the public of Florida’s efforts to improve employment outcomes for persons with disabilities. FDBS Director, Robert Doyle, participated in the video and highlighted how these collaborative efforts support the employment of individuals with visual disabilities. Successful closures increased by approximately 2% since crating the training toolkit. </w:t>
      </w:r>
    </w:p>
    <w:p w14:paraId="478D8DE4" w14:textId="77777777" w:rsidR="00626691" w:rsidRDefault="00626691" w:rsidP="00D63204">
      <w:pPr>
        <w:pStyle w:val="ListParagraph"/>
        <w:spacing w:line="240" w:lineRule="auto"/>
        <w:ind w:left="810"/>
      </w:pPr>
    </w:p>
    <w:p w14:paraId="370638A5" w14:textId="2EA7A99C" w:rsidR="00626691" w:rsidRDefault="00443256" w:rsidP="00D63204">
      <w:pPr>
        <w:pStyle w:val="ListParagraph"/>
        <w:numPr>
          <w:ilvl w:val="0"/>
          <w:numId w:val="74"/>
        </w:numPr>
        <w:spacing w:after="0" w:line="240" w:lineRule="auto"/>
      </w:pPr>
      <w:r w:rsidRPr="00353381">
        <w:t>Establishing four pilot sites in Nassau, Orange, Osceola</w:t>
      </w:r>
      <w:r w:rsidR="00D5537E">
        <w:t xml:space="preserve"> and</w:t>
      </w:r>
      <w:r w:rsidRPr="00353381">
        <w:t xml:space="preserve"> Miami-Dade Counties to help create a similar collaborative framework at the community level, where employment outcomes are achieved. FDBS district offices participated in the pilots along with local partners such as school districts, service provider organizations, parents and self-advocates. This pilot was successful, as a total of 19 clients were employed and 60 clients were assisted with employer engagement during the project period. </w:t>
      </w:r>
    </w:p>
    <w:p w14:paraId="2EFE22E3" w14:textId="77777777" w:rsidR="00626691" w:rsidRDefault="00626691" w:rsidP="00D63204">
      <w:pPr>
        <w:pStyle w:val="ListParagraph"/>
        <w:spacing w:after="0" w:line="240" w:lineRule="auto"/>
        <w:ind w:left="810"/>
      </w:pPr>
    </w:p>
    <w:p w14:paraId="16B625D5" w14:textId="09DCA8E6" w:rsidR="00443256" w:rsidRPr="00353381" w:rsidRDefault="00443256" w:rsidP="00D63204">
      <w:pPr>
        <w:spacing w:line="240" w:lineRule="auto"/>
        <w:ind w:left="90"/>
      </w:pPr>
      <w:r w:rsidRPr="00353381">
        <w:t>FDBS remains engaged in the collaborative work through the Employment First Partnership and are advancing the Division’s commitment to improving economic prosperity of Floridians through employment for individuals who are blind and visually impaired.</w:t>
      </w:r>
    </w:p>
    <w:p w14:paraId="64D614A6" w14:textId="0CB3080D" w:rsidR="00443256" w:rsidRPr="00353381" w:rsidRDefault="00443256" w:rsidP="00D63204">
      <w:pPr>
        <w:spacing w:line="240" w:lineRule="auto"/>
        <w:ind w:left="90"/>
      </w:pPr>
      <w:r w:rsidRPr="00353381">
        <w:t>The Abilities Work Help Desk supports the Employment First initiative. FDBS partners with this resource for referrals from businesses interested in hiring individuals who are blind or visually impaired. FDBS maintains contact with the National Employment Team (the NET) and its southeast subcommittee to connect with businesses on a national and regional level</w:t>
      </w:r>
      <w:r w:rsidR="005E7C49">
        <w:t xml:space="preserve">. </w:t>
      </w:r>
      <w:r w:rsidRPr="00353381">
        <w:t>FDBS will continue these partnerships.</w:t>
      </w:r>
    </w:p>
    <w:p w14:paraId="6127840C" w14:textId="77777777" w:rsidR="00626691" w:rsidRDefault="00626691" w:rsidP="00D63204">
      <w:pPr>
        <w:spacing w:line="240" w:lineRule="auto"/>
        <w:ind w:left="90"/>
      </w:pPr>
    </w:p>
    <w:p w14:paraId="67ED08E9" w14:textId="77777777" w:rsidR="00626691" w:rsidRDefault="00626691" w:rsidP="00D63204">
      <w:pPr>
        <w:spacing w:line="240" w:lineRule="auto"/>
        <w:ind w:left="90"/>
      </w:pPr>
    </w:p>
    <w:p w14:paraId="0894A4DF" w14:textId="77777777" w:rsidR="00626691" w:rsidRDefault="00626691" w:rsidP="00D63204">
      <w:pPr>
        <w:spacing w:line="240" w:lineRule="auto"/>
        <w:ind w:left="90"/>
      </w:pPr>
    </w:p>
    <w:p w14:paraId="483286A5" w14:textId="77777777" w:rsidR="00626691" w:rsidRDefault="00626691" w:rsidP="00D63204">
      <w:pPr>
        <w:spacing w:line="240" w:lineRule="auto"/>
        <w:ind w:left="90"/>
      </w:pPr>
    </w:p>
    <w:p w14:paraId="13C43A70" w14:textId="77777777" w:rsidR="00626691" w:rsidRDefault="00626691" w:rsidP="00D63204">
      <w:pPr>
        <w:spacing w:line="240" w:lineRule="auto"/>
        <w:ind w:left="90"/>
      </w:pPr>
    </w:p>
    <w:p w14:paraId="1754FAC3" w14:textId="77777777" w:rsidR="00B51D17" w:rsidRDefault="00C2264E" w:rsidP="00D63204">
      <w:pPr>
        <w:spacing w:line="240" w:lineRule="auto"/>
        <w:ind w:left="90"/>
      </w:pPr>
      <w:r w:rsidRPr="00353381">
        <w:t>To improve employment outcomes, FDBS expanded business relationships with employers at the local level to identify and maximize competitive integrated employment opportunities and career exploration opportunities for adults and students; maintain occupied EPS positions; provide ongoing training to employment staff; increase utilization of the Talent Acquisition Portal among job seekers and employers; increase utilization with the Abilities Work Web Portal and Help Desk; develop new vocational training programs at the residential rehabilitation center; continuation of sponsorship of self-employment opportunities; sponsorship of technology training; sponsorship of academic and vocational training; encourage careers in science, technology, engineering, or mathematics to qualified individuals; provide consultation and technical assistance to community partners and employers to promote the employment of individuals with disabilities.</w:t>
      </w:r>
    </w:p>
    <w:p w14:paraId="22A8F4AE" w14:textId="60FC70A7" w:rsidR="00C2264E" w:rsidRPr="00353381" w:rsidRDefault="00C2264E" w:rsidP="00D63204">
      <w:pPr>
        <w:spacing w:line="240" w:lineRule="auto"/>
        <w:ind w:left="90"/>
      </w:pPr>
      <w:r w:rsidRPr="00353381">
        <w:t xml:space="preserve">FDBS is optimistic it </w:t>
      </w:r>
      <w:r w:rsidR="00C442E2">
        <w:t xml:space="preserve">will </w:t>
      </w:r>
      <w:r w:rsidRPr="00353381">
        <w:t>improve its employment outcomes during the current SFY</w:t>
      </w:r>
      <w:r w:rsidR="005E7C49">
        <w:t xml:space="preserve">. </w:t>
      </w:r>
      <w:r w:rsidRPr="00353381">
        <w:t>FDBS will implement strategies such as collaborating with community rehabilitation providers; networking with national employment partners; expanding utilization of online job systems such as DEO’s Abilities Work Web Portal and accompanying help desk managed by VR and the national Talent Acquisition Portal; participating in the Employment First Initiative; networking with local level employers, providing ongoing training to employment staff; developing new vocational training programs at the residential rehabilitation center; collaboratively identifying and training eligible Floridians to manage state-owned BBE Programs, sponsoring of appropriate self-employment opportunities; providing technology training; academic and vocational training; and increasing the number of clients with a higher level education; and increasing outreach to employers to maximize work experience opportunities for clients</w:t>
      </w:r>
      <w:r w:rsidR="005E7C49">
        <w:t xml:space="preserve">. </w:t>
      </w:r>
    </w:p>
    <w:p w14:paraId="1BA2B6C9" w14:textId="77777777" w:rsidR="00626691" w:rsidRDefault="00626691" w:rsidP="00D63204">
      <w:pPr>
        <w:spacing w:after="0" w:line="240" w:lineRule="auto"/>
        <w:ind w:left="90"/>
        <w:rPr>
          <w:b/>
        </w:rPr>
      </w:pPr>
    </w:p>
    <w:p w14:paraId="46BF831D" w14:textId="3D450377" w:rsidR="00C2264E" w:rsidRPr="00353381" w:rsidRDefault="00C2264E" w:rsidP="00D63204">
      <w:pPr>
        <w:spacing w:after="0" w:line="240" w:lineRule="auto"/>
        <w:ind w:left="90"/>
        <w:rPr>
          <w:b/>
        </w:rPr>
      </w:pPr>
      <w:r w:rsidRPr="00353381">
        <w:rPr>
          <w:b/>
        </w:rPr>
        <w:t xml:space="preserve">Division of Blind Services Employer Recognition and Outreach </w:t>
      </w:r>
    </w:p>
    <w:p w14:paraId="4AE7E56C" w14:textId="619ED75E" w:rsidR="00F26278" w:rsidRDefault="00C2264E" w:rsidP="00F26278">
      <w:pPr>
        <w:spacing w:after="0" w:line="240" w:lineRule="auto"/>
        <w:ind w:left="90"/>
      </w:pPr>
      <w:r w:rsidRPr="0009078E">
        <w:t xml:space="preserve">The Division of Blind Services (DBS) </w:t>
      </w:r>
      <w:r w:rsidR="00BA62CF" w:rsidRPr="0009078E">
        <w:t>recognizes</w:t>
      </w:r>
      <w:r w:rsidRPr="0009078E">
        <w:t xml:space="preserve"> businesses that provide an increased number of employment opportunities to FDBS clients</w:t>
      </w:r>
      <w:r w:rsidR="006B590C" w:rsidRPr="0009078E">
        <w:t>.</w:t>
      </w:r>
      <w:r w:rsidRPr="0009078E">
        <w:t xml:space="preserve"> </w:t>
      </w:r>
      <w:r w:rsidR="0009078E" w:rsidRPr="0009078E">
        <w:t>Each district holds an annual open house for employers and potential employers. Clients who are employed or seeking employment are invited to attend. Each district nominates at least one employer for the joint agency statewide exemplary employer event in October. The Director gives plaques to those awarded as statewide exemplary employers. This is an annual process.</w:t>
      </w:r>
    </w:p>
    <w:p w14:paraId="2F3BE0F5" w14:textId="77777777" w:rsidR="00F26278" w:rsidRDefault="00F26278" w:rsidP="00F26278">
      <w:pPr>
        <w:spacing w:after="0" w:line="240" w:lineRule="auto"/>
        <w:ind w:left="90"/>
        <w:rPr>
          <w:u w:val="single"/>
        </w:rPr>
      </w:pPr>
    </w:p>
    <w:p w14:paraId="6B8E46F5" w14:textId="2D12F258" w:rsidR="00C2264E" w:rsidRPr="00353381" w:rsidRDefault="00C2264E" w:rsidP="00D63204">
      <w:pPr>
        <w:spacing w:line="240" w:lineRule="auto"/>
        <w:ind w:left="90"/>
      </w:pPr>
      <w:r w:rsidRPr="00353381">
        <w:rPr>
          <w:u w:val="single"/>
        </w:rPr>
        <w:t>Strategy 1.3</w:t>
      </w:r>
      <w:r w:rsidRPr="00353381">
        <w:t xml:space="preserve"> Develop and Implement an Employment Skills Training Program at the Rehabilitation Center. </w:t>
      </w:r>
    </w:p>
    <w:p w14:paraId="4C45208F" w14:textId="6918EC01" w:rsidR="00C2264E" w:rsidRPr="00353381" w:rsidRDefault="00C2264E" w:rsidP="00D63204">
      <w:pPr>
        <w:spacing w:line="240" w:lineRule="auto"/>
        <w:ind w:left="90"/>
      </w:pPr>
      <w:r w:rsidRPr="00353381">
        <w:t>A team of professional staff determined the Pre-Employment Program Model, developed by Dr. Karen Wolffe</w:t>
      </w:r>
      <w:r w:rsidR="000778C0">
        <w:t>,</w:t>
      </w:r>
      <w:r w:rsidRPr="00353381">
        <w:t xml:space="preserve"> best meets the needs of the division’s clients ages 14 to adulthood. The purpose of this program is to increase the number of blind and visually impaired individuals preparing to enter competitive, integrated employment. This is achieved through highly comprehensive and coordinated vocational rehabilitation services provided at the Florida Rehabilitation Center. These services include</w:t>
      </w:r>
      <w:r w:rsidR="00A06842">
        <w:t xml:space="preserve"> </w:t>
      </w:r>
      <w:r w:rsidRPr="00353381">
        <w:t>but are not limited to, pre-employment training, career counseling, job readiness training, work experience opportunities, job shadowing, advocacy, self-awareness</w:t>
      </w:r>
      <w:r w:rsidR="00D5537E">
        <w:t xml:space="preserve"> and</w:t>
      </w:r>
      <w:r w:rsidRPr="00353381">
        <w:t xml:space="preserve"> exposure to post employment. The program is unique in establishing an action plan and follow-up for each client that involves the client, home-base counselors and Rehabilitation Center Staff.</w:t>
      </w:r>
    </w:p>
    <w:p w14:paraId="086436C5" w14:textId="2EE39498" w:rsidR="00626691" w:rsidRDefault="00C2264E" w:rsidP="00D63204">
      <w:pPr>
        <w:spacing w:line="240" w:lineRule="auto"/>
        <w:ind w:left="90"/>
      </w:pPr>
      <w:r w:rsidRPr="00353381">
        <w:t>FDBS has a contract with Dr. Wolffe</w:t>
      </w:r>
      <w:r w:rsidR="005E7C49">
        <w:t xml:space="preserve">. </w:t>
      </w:r>
      <w:r w:rsidRPr="00353381">
        <w:t>Dr. Wolffe conducted an initial assessment and training with staff at the Florida Rehabilitation Center. As a result, the Pre-Employment Program was implemented at the Florida Rehabilitation Center in the summer of 2016. This program is a contributing factor to the workforce system’s employment outcomes.</w:t>
      </w:r>
    </w:p>
    <w:p w14:paraId="55F23402" w14:textId="77777777" w:rsidR="0041269F" w:rsidRPr="00BA360C" w:rsidRDefault="0041269F" w:rsidP="00D63204">
      <w:pPr>
        <w:spacing w:line="240" w:lineRule="auto"/>
        <w:ind w:left="90"/>
      </w:pPr>
    </w:p>
    <w:p w14:paraId="0004E973" w14:textId="606B1DD4" w:rsidR="00AA77F2" w:rsidRPr="00353381" w:rsidRDefault="00AA77F2" w:rsidP="00D63204">
      <w:pPr>
        <w:spacing w:line="240" w:lineRule="auto"/>
        <w:ind w:left="90"/>
      </w:pPr>
      <w:r w:rsidRPr="00353381">
        <w:rPr>
          <w:b/>
        </w:rPr>
        <w:t>Goal 2.0 Create a service delivery system that provides comprehensive services to visually impaired and blind Floridians.</w:t>
      </w:r>
      <w:r w:rsidRPr="00353381">
        <w:t xml:space="preserve"> </w:t>
      </w:r>
    </w:p>
    <w:p w14:paraId="577C92D4" w14:textId="6979DA7D" w:rsidR="00AA77F2" w:rsidRPr="00353381" w:rsidRDefault="00AA77F2" w:rsidP="00D63204">
      <w:pPr>
        <w:spacing w:line="240" w:lineRule="auto"/>
        <w:ind w:left="90"/>
      </w:pPr>
      <w:r w:rsidRPr="00353381">
        <w:rPr>
          <w:u w:val="single"/>
        </w:rPr>
        <w:t>Measure:</w:t>
      </w:r>
      <w:r w:rsidRPr="00353381">
        <w:t xml:space="preserve"> This goal is measured based upon a comparison of the number of clients and their demographics served in the current and previous years. </w:t>
      </w:r>
    </w:p>
    <w:p w14:paraId="6119B5BE" w14:textId="4A5754B0" w:rsidR="00AA77F2" w:rsidRPr="00353381" w:rsidRDefault="00AA77F2" w:rsidP="00D63204">
      <w:pPr>
        <w:spacing w:line="240" w:lineRule="auto"/>
        <w:ind w:left="90"/>
      </w:pPr>
      <w:r w:rsidRPr="00353381">
        <w:rPr>
          <w:u w:val="single"/>
        </w:rPr>
        <w:t>Strategy 2.1</w:t>
      </w:r>
      <w:r w:rsidRPr="00353381">
        <w:t xml:space="preserve"> Increase the number of individuals receiving services. There was a decrease of 190 in the number of clients served by FDBS in SFY 2016-2017 (5,202 last year compared to 5,012 this year). This decrease is attributed to improved eligibility assessments conducted upfront</w:t>
      </w:r>
      <w:r w:rsidR="00D5537E">
        <w:t xml:space="preserve"> and</w:t>
      </w:r>
      <w:r w:rsidRPr="00353381">
        <w:t xml:space="preserve"> lack of awareness of services. FDBS seeks opportunities to increase its outreach efforts to potential clients through better partnerships with medical offices, educational agencies, CareerSource Florida</w:t>
      </w:r>
      <w:r w:rsidR="00D5537E">
        <w:t xml:space="preserve"> and</w:t>
      </w:r>
      <w:r w:rsidRPr="00353381">
        <w:t xml:space="preserve"> other community service providers. Below is the actual break-out of the number of clients served relative to service categories and race/ethnicity in FFY 2016-2017. </w:t>
      </w:r>
    </w:p>
    <w:p w14:paraId="325E22D9" w14:textId="77777777" w:rsidR="00AA77F2" w:rsidRPr="00353381" w:rsidRDefault="00AA77F2" w:rsidP="00D63204">
      <w:pPr>
        <w:widowControl w:val="0"/>
        <w:spacing w:before="145" w:after="0" w:line="240" w:lineRule="auto"/>
        <w:ind w:left="90"/>
        <w:outlineLvl w:val="2"/>
      </w:pPr>
      <w:r w:rsidRPr="00353381">
        <w:rPr>
          <w:b/>
          <w:bCs/>
          <w:w w:val="110"/>
        </w:rPr>
        <w:t>Figure</w:t>
      </w:r>
      <w:r w:rsidRPr="00353381">
        <w:rPr>
          <w:b/>
          <w:bCs/>
          <w:spacing w:val="19"/>
          <w:w w:val="110"/>
        </w:rPr>
        <w:t xml:space="preserve"> </w:t>
      </w:r>
      <w:r w:rsidRPr="00353381">
        <w:rPr>
          <w:b/>
          <w:bCs/>
          <w:spacing w:val="-3"/>
          <w:w w:val="110"/>
        </w:rPr>
        <w:t>10.09</w:t>
      </w:r>
    </w:p>
    <w:p w14:paraId="606BBD17" w14:textId="77777777" w:rsidR="00AA77F2" w:rsidRPr="00353381" w:rsidRDefault="00AA77F2" w:rsidP="00D63204">
      <w:pPr>
        <w:widowControl w:val="0"/>
        <w:spacing w:after="0" w:line="240" w:lineRule="auto"/>
        <w:ind w:left="90"/>
        <w:rPr>
          <w:rFonts w:cs="Calibri"/>
        </w:rPr>
      </w:pPr>
      <w:r w:rsidRPr="00353381">
        <w:rPr>
          <w:b/>
          <w:color w:val="231F20"/>
          <w:w w:val="110"/>
        </w:rPr>
        <w:t>Clients Served by Service</w:t>
      </w:r>
      <w:r w:rsidRPr="00353381">
        <w:rPr>
          <w:b/>
          <w:color w:val="231F20"/>
          <w:spacing w:val="49"/>
          <w:w w:val="110"/>
        </w:rPr>
        <w:t xml:space="preserve"> </w:t>
      </w:r>
      <w:r w:rsidRPr="00353381">
        <w:rPr>
          <w:b/>
          <w:color w:val="231F20"/>
          <w:w w:val="110"/>
        </w:rPr>
        <w:t>Category</w:t>
      </w:r>
    </w:p>
    <w:tbl>
      <w:tblPr>
        <w:tblW w:w="0" w:type="auto"/>
        <w:jc w:val="center"/>
        <w:tblLayout w:type="fixed"/>
        <w:tblCellMar>
          <w:left w:w="0" w:type="dxa"/>
          <w:right w:w="0" w:type="dxa"/>
        </w:tblCellMar>
        <w:tblLook w:val="01E0" w:firstRow="1" w:lastRow="1" w:firstColumn="1" w:lastColumn="1" w:noHBand="0" w:noVBand="0"/>
      </w:tblPr>
      <w:tblGrid>
        <w:gridCol w:w="5395"/>
        <w:gridCol w:w="4765"/>
      </w:tblGrid>
      <w:tr w:rsidR="00AA77F2" w:rsidRPr="00353381" w14:paraId="68E8B2EC" w14:textId="77777777" w:rsidTr="00AA77F2">
        <w:trPr>
          <w:trHeight w:hRule="exact" w:val="463"/>
          <w:jc w:val="center"/>
        </w:trPr>
        <w:tc>
          <w:tcPr>
            <w:tcW w:w="5395" w:type="dxa"/>
            <w:tcBorders>
              <w:top w:val="single" w:sz="2" w:space="0" w:color="231F20"/>
              <w:left w:val="single" w:sz="2" w:space="0" w:color="231F20"/>
              <w:bottom w:val="single" w:sz="2" w:space="0" w:color="231F20"/>
              <w:right w:val="single" w:sz="2" w:space="0" w:color="231F20"/>
            </w:tcBorders>
          </w:tcPr>
          <w:p w14:paraId="20420887" w14:textId="77777777" w:rsidR="00AA77F2" w:rsidRPr="00353381" w:rsidRDefault="00AA77F2" w:rsidP="00D63204">
            <w:pPr>
              <w:widowControl w:val="0"/>
              <w:spacing w:before="106" w:after="0" w:line="240" w:lineRule="auto"/>
              <w:ind w:left="90"/>
              <w:rPr>
                <w:rFonts w:cs="Calibri"/>
              </w:rPr>
            </w:pPr>
            <w:r w:rsidRPr="00353381">
              <w:rPr>
                <w:b/>
                <w:color w:val="231F20"/>
                <w:w w:val="110"/>
              </w:rPr>
              <w:t>Service</w:t>
            </w:r>
            <w:r w:rsidRPr="00353381">
              <w:rPr>
                <w:b/>
                <w:color w:val="231F20"/>
                <w:spacing w:val="36"/>
                <w:w w:val="110"/>
              </w:rPr>
              <w:t xml:space="preserve"> </w:t>
            </w:r>
            <w:r w:rsidRPr="00353381">
              <w:rPr>
                <w:b/>
                <w:color w:val="231F20"/>
                <w:w w:val="110"/>
              </w:rPr>
              <w:t>Categories</w:t>
            </w:r>
          </w:p>
        </w:tc>
        <w:tc>
          <w:tcPr>
            <w:tcW w:w="4765" w:type="dxa"/>
            <w:tcBorders>
              <w:top w:val="single" w:sz="2" w:space="0" w:color="231F20"/>
              <w:left w:val="single" w:sz="2" w:space="0" w:color="231F20"/>
              <w:bottom w:val="single" w:sz="2" w:space="0" w:color="231F20"/>
              <w:right w:val="single" w:sz="2" w:space="0" w:color="231F20"/>
            </w:tcBorders>
          </w:tcPr>
          <w:p w14:paraId="204DEF79" w14:textId="7E76B89D" w:rsidR="00AA77F2" w:rsidRPr="00353381" w:rsidRDefault="00AA77F2" w:rsidP="00D63204">
            <w:pPr>
              <w:widowControl w:val="0"/>
              <w:spacing w:before="106" w:after="0" w:line="240" w:lineRule="auto"/>
              <w:ind w:left="90"/>
              <w:rPr>
                <w:rFonts w:cs="Calibri"/>
              </w:rPr>
            </w:pPr>
            <w:r w:rsidRPr="00353381">
              <w:rPr>
                <w:b/>
                <w:color w:val="231F20"/>
                <w:w w:val="110"/>
              </w:rPr>
              <w:t>Clients Served (SFY</w:t>
            </w:r>
            <w:r w:rsidRPr="00353381">
              <w:rPr>
                <w:b/>
                <w:color w:val="231F20"/>
                <w:spacing w:val="43"/>
                <w:w w:val="110"/>
              </w:rPr>
              <w:t xml:space="preserve"> </w:t>
            </w:r>
            <w:r w:rsidRPr="00353381">
              <w:rPr>
                <w:b/>
                <w:color w:val="231F20"/>
                <w:w w:val="110"/>
              </w:rPr>
              <w:t>2016-2017</w:t>
            </w:r>
            <w:r w:rsidR="00684A32">
              <w:rPr>
                <w:b/>
                <w:color w:val="231F20"/>
                <w:w w:val="110"/>
              </w:rPr>
              <w:t>)</w:t>
            </w:r>
          </w:p>
        </w:tc>
      </w:tr>
      <w:tr w:rsidR="00AA77F2" w:rsidRPr="00353381" w14:paraId="7B881A27" w14:textId="77777777" w:rsidTr="00AA77F2">
        <w:trPr>
          <w:trHeight w:hRule="exact" w:val="334"/>
          <w:jc w:val="center"/>
        </w:trPr>
        <w:tc>
          <w:tcPr>
            <w:tcW w:w="5395" w:type="dxa"/>
            <w:tcBorders>
              <w:top w:val="single" w:sz="2" w:space="0" w:color="231F20"/>
              <w:left w:val="single" w:sz="2" w:space="0" w:color="231F20"/>
              <w:bottom w:val="single" w:sz="2" w:space="0" w:color="231F20"/>
              <w:right w:val="single" w:sz="2" w:space="0" w:color="231F20"/>
            </w:tcBorders>
            <w:shd w:val="clear" w:color="auto" w:fill="E6E7E8"/>
          </w:tcPr>
          <w:p w14:paraId="4224E9E4" w14:textId="77777777" w:rsidR="00AA77F2" w:rsidRPr="00353381" w:rsidRDefault="00AA77F2" w:rsidP="00D63204">
            <w:pPr>
              <w:widowControl w:val="0"/>
              <w:spacing w:before="42" w:after="0" w:line="240" w:lineRule="auto"/>
              <w:ind w:left="90"/>
              <w:rPr>
                <w:rFonts w:cs="Calibri"/>
              </w:rPr>
            </w:pPr>
            <w:r w:rsidRPr="00353381">
              <w:rPr>
                <w:color w:val="231F20"/>
                <w:w w:val="105"/>
              </w:rPr>
              <w:t>No program (application</w:t>
            </w:r>
            <w:r w:rsidRPr="00353381">
              <w:rPr>
                <w:color w:val="231F20"/>
                <w:spacing w:val="17"/>
                <w:w w:val="105"/>
              </w:rPr>
              <w:t xml:space="preserve"> </w:t>
            </w:r>
            <w:r w:rsidRPr="00353381">
              <w:rPr>
                <w:color w:val="231F20"/>
                <w:w w:val="105"/>
              </w:rPr>
              <w:t>status)</w:t>
            </w:r>
          </w:p>
        </w:tc>
        <w:tc>
          <w:tcPr>
            <w:tcW w:w="4765" w:type="dxa"/>
            <w:tcBorders>
              <w:top w:val="single" w:sz="2" w:space="0" w:color="231F20"/>
              <w:left w:val="single" w:sz="2" w:space="0" w:color="231F20"/>
              <w:bottom w:val="single" w:sz="2" w:space="0" w:color="231F20"/>
              <w:right w:val="single" w:sz="2" w:space="0" w:color="231F20"/>
            </w:tcBorders>
            <w:shd w:val="clear" w:color="auto" w:fill="E6E7E8"/>
          </w:tcPr>
          <w:p w14:paraId="1D2DA7B9" w14:textId="1B5FB97C" w:rsidR="00AA77F2" w:rsidRPr="00353381" w:rsidRDefault="00AA77F2" w:rsidP="00D63204">
            <w:pPr>
              <w:widowControl w:val="0"/>
              <w:spacing w:before="42" w:after="0" w:line="240" w:lineRule="auto"/>
              <w:ind w:left="90"/>
              <w:rPr>
                <w:rFonts w:cs="Calibri"/>
              </w:rPr>
            </w:pPr>
            <w:r w:rsidRPr="00353381">
              <w:rPr>
                <w:color w:val="231F20"/>
                <w:w w:val="115"/>
              </w:rPr>
              <w:t>568</w:t>
            </w:r>
          </w:p>
        </w:tc>
      </w:tr>
      <w:tr w:rsidR="00AA77F2" w:rsidRPr="00353381" w14:paraId="386CA095" w14:textId="77777777" w:rsidTr="00AA77F2">
        <w:trPr>
          <w:trHeight w:hRule="exact" w:val="334"/>
          <w:jc w:val="center"/>
        </w:trPr>
        <w:tc>
          <w:tcPr>
            <w:tcW w:w="5395" w:type="dxa"/>
            <w:tcBorders>
              <w:top w:val="single" w:sz="2" w:space="0" w:color="231F20"/>
              <w:left w:val="single" w:sz="2" w:space="0" w:color="231F20"/>
              <w:bottom w:val="single" w:sz="2" w:space="0" w:color="231F20"/>
              <w:right w:val="single" w:sz="2" w:space="0" w:color="231F20"/>
            </w:tcBorders>
          </w:tcPr>
          <w:p w14:paraId="2F6041FB" w14:textId="77777777" w:rsidR="00AA77F2" w:rsidRPr="00353381" w:rsidRDefault="00AA77F2" w:rsidP="00D63204">
            <w:pPr>
              <w:widowControl w:val="0"/>
              <w:spacing w:before="42" w:after="0" w:line="240" w:lineRule="auto"/>
              <w:ind w:left="90"/>
              <w:rPr>
                <w:rFonts w:cs="Calibri"/>
              </w:rPr>
            </w:pPr>
            <w:r w:rsidRPr="00353381">
              <w:rPr>
                <w:color w:val="231F20"/>
                <w:w w:val="110"/>
              </w:rPr>
              <w:t>College students</w:t>
            </w:r>
          </w:p>
        </w:tc>
        <w:tc>
          <w:tcPr>
            <w:tcW w:w="4765" w:type="dxa"/>
            <w:tcBorders>
              <w:top w:val="single" w:sz="2" w:space="0" w:color="231F20"/>
              <w:left w:val="single" w:sz="2" w:space="0" w:color="231F20"/>
              <w:bottom w:val="single" w:sz="2" w:space="0" w:color="231F20"/>
              <w:right w:val="single" w:sz="2" w:space="0" w:color="231F20"/>
            </w:tcBorders>
          </w:tcPr>
          <w:p w14:paraId="1ACFFEBF" w14:textId="425B9D11" w:rsidR="00AA77F2" w:rsidRPr="00353381" w:rsidRDefault="00AA77F2" w:rsidP="00D63204">
            <w:pPr>
              <w:widowControl w:val="0"/>
              <w:spacing w:before="42" w:after="0" w:line="240" w:lineRule="auto"/>
              <w:ind w:left="90"/>
              <w:rPr>
                <w:rFonts w:cs="Calibri"/>
              </w:rPr>
            </w:pPr>
            <w:r w:rsidRPr="00353381">
              <w:rPr>
                <w:color w:val="231F20"/>
                <w:w w:val="115"/>
              </w:rPr>
              <w:t>569</w:t>
            </w:r>
          </w:p>
        </w:tc>
      </w:tr>
      <w:tr w:rsidR="00AA77F2" w:rsidRPr="00353381" w14:paraId="759424CC" w14:textId="77777777" w:rsidTr="00AA77F2">
        <w:trPr>
          <w:trHeight w:hRule="exact" w:val="334"/>
          <w:jc w:val="center"/>
        </w:trPr>
        <w:tc>
          <w:tcPr>
            <w:tcW w:w="5395" w:type="dxa"/>
            <w:tcBorders>
              <w:top w:val="single" w:sz="2" w:space="0" w:color="231F20"/>
              <w:left w:val="single" w:sz="2" w:space="0" w:color="231F20"/>
              <w:bottom w:val="single" w:sz="2" w:space="0" w:color="231F20"/>
              <w:right w:val="single" w:sz="2" w:space="0" w:color="231F20"/>
            </w:tcBorders>
            <w:shd w:val="clear" w:color="auto" w:fill="E6E7E8"/>
          </w:tcPr>
          <w:p w14:paraId="3A593AA3" w14:textId="77777777" w:rsidR="00AA77F2" w:rsidRPr="00353381" w:rsidRDefault="00AA77F2" w:rsidP="00D63204">
            <w:pPr>
              <w:widowControl w:val="0"/>
              <w:spacing w:before="42" w:after="0" w:line="240" w:lineRule="auto"/>
              <w:ind w:left="90"/>
              <w:rPr>
                <w:rFonts w:cs="Calibri"/>
              </w:rPr>
            </w:pPr>
            <w:r w:rsidRPr="00353381">
              <w:rPr>
                <w:color w:val="231F20"/>
                <w:w w:val="105"/>
              </w:rPr>
              <w:t>None (*regular FDBS- vocational rehabilitation</w:t>
            </w:r>
            <w:r w:rsidRPr="00353381">
              <w:rPr>
                <w:color w:val="231F20"/>
                <w:spacing w:val="48"/>
                <w:w w:val="105"/>
              </w:rPr>
              <w:t xml:space="preserve"> </w:t>
            </w:r>
            <w:r w:rsidRPr="00353381">
              <w:rPr>
                <w:color w:val="231F20"/>
                <w:w w:val="105"/>
              </w:rPr>
              <w:t>clients)</w:t>
            </w:r>
          </w:p>
        </w:tc>
        <w:tc>
          <w:tcPr>
            <w:tcW w:w="4765" w:type="dxa"/>
            <w:tcBorders>
              <w:top w:val="single" w:sz="2" w:space="0" w:color="231F20"/>
              <w:left w:val="single" w:sz="2" w:space="0" w:color="231F20"/>
              <w:bottom w:val="single" w:sz="2" w:space="0" w:color="231F20"/>
              <w:right w:val="single" w:sz="2" w:space="0" w:color="231F20"/>
            </w:tcBorders>
            <w:shd w:val="clear" w:color="auto" w:fill="E6E7E8"/>
          </w:tcPr>
          <w:p w14:paraId="0C2B5623" w14:textId="4FA578E8" w:rsidR="00AA77F2" w:rsidRPr="00353381" w:rsidRDefault="00AA77F2" w:rsidP="00D63204">
            <w:pPr>
              <w:widowControl w:val="0"/>
              <w:spacing w:before="42" w:after="0" w:line="240" w:lineRule="auto"/>
              <w:ind w:left="90"/>
              <w:rPr>
                <w:rFonts w:cs="Calibri"/>
              </w:rPr>
            </w:pPr>
            <w:r w:rsidRPr="00353381">
              <w:rPr>
                <w:color w:val="231F20"/>
                <w:w w:val="115"/>
              </w:rPr>
              <w:t>3710</w:t>
            </w:r>
          </w:p>
        </w:tc>
      </w:tr>
      <w:tr w:rsidR="00AA77F2" w:rsidRPr="00353381" w14:paraId="76D1957A" w14:textId="77777777" w:rsidTr="00AA77F2">
        <w:trPr>
          <w:trHeight w:hRule="exact" w:val="334"/>
          <w:jc w:val="center"/>
        </w:trPr>
        <w:tc>
          <w:tcPr>
            <w:tcW w:w="5395" w:type="dxa"/>
            <w:tcBorders>
              <w:top w:val="single" w:sz="2" w:space="0" w:color="231F20"/>
              <w:left w:val="single" w:sz="2" w:space="0" w:color="231F20"/>
              <w:bottom w:val="single" w:sz="2" w:space="0" w:color="231F20"/>
              <w:right w:val="single" w:sz="2" w:space="0" w:color="231F20"/>
            </w:tcBorders>
          </w:tcPr>
          <w:p w14:paraId="4F54AD21" w14:textId="77777777" w:rsidR="00AA77F2" w:rsidRPr="00353381" w:rsidRDefault="00AA77F2" w:rsidP="00D63204">
            <w:pPr>
              <w:widowControl w:val="0"/>
              <w:spacing w:before="42" w:after="0" w:line="240" w:lineRule="auto"/>
              <w:ind w:left="90"/>
              <w:rPr>
                <w:rFonts w:cs="Calibri"/>
              </w:rPr>
            </w:pPr>
            <w:r w:rsidRPr="00353381">
              <w:rPr>
                <w:color w:val="231F20"/>
                <w:w w:val="105"/>
              </w:rPr>
              <w:t>Supported</w:t>
            </w:r>
            <w:r w:rsidRPr="00353381">
              <w:rPr>
                <w:color w:val="231F20"/>
                <w:spacing w:val="33"/>
                <w:w w:val="105"/>
              </w:rPr>
              <w:t xml:space="preserve"> </w:t>
            </w:r>
            <w:r w:rsidRPr="00353381">
              <w:rPr>
                <w:color w:val="231F20"/>
                <w:w w:val="105"/>
              </w:rPr>
              <w:t>employment</w:t>
            </w:r>
          </w:p>
        </w:tc>
        <w:tc>
          <w:tcPr>
            <w:tcW w:w="4765" w:type="dxa"/>
            <w:tcBorders>
              <w:top w:val="single" w:sz="2" w:space="0" w:color="231F20"/>
              <w:left w:val="single" w:sz="2" w:space="0" w:color="231F20"/>
              <w:bottom w:val="single" w:sz="2" w:space="0" w:color="231F20"/>
              <w:right w:val="single" w:sz="2" w:space="0" w:color="231F20"/>
            </w:tcBorders>
          </w:tcPr>
          <w:p w14:paraId="7E82B11D" w14:textId="1A1C2D0E" w:rsidR="00AA77F2" w:rsidRPr="00353381" w:rsidRDefault="00AA77F2" w:rsidP="00D63204">
            <w:pPr>
              <w:widowControl w:val="0"/>
              <w:spacing w:before="42" w:after="0" w:line="240" w:lineRule="auto"/>
              <w:ind w:left="90"/>
              <w:rPr>
                <w:rFonts w:cs="Calibri"/>
              </w:rPr>
            </w:pPr>
            <w:r w:rsidRPr="00353381">
              <w:rPr>
                <w:color w:val="231F20"/>
                <w:w w:val="115"/>
              </w:rPr>
              <w:t>100</w:t>
            </w:r>
          </w:p>
        </w:tc>
      </w:tr>
      <w:tr w:rsidR="00AA77F2" w:rsidRPr="00353381" w14:paraId="7967D7F1" w14:textId="77777777" w:rsidTr="00AA77F2">
        <w:trPr>
          <w:trHeight w:hRule="exact" w:val="334"/>
          <w:jc w:val="center"/>
        </w:trPr>
        <w:tc>
          <w:tcPr>
            <w:tcW w:w="5395" w:type="dxa"/>
            <w:tcBorders>
              <w:top w:val="single" w:sz="2" w:space="0" w:color="231F20"/>
              <w:left w:val="single" w:sz="2" w:space="0" w:color="231F20"/>
              <w:bottom w:val="single" w:sz="2" w:space="0" w:color="231F20"/>
              <w:right w:val="single" w:sz="2" w:space="0" w:color="231F20"/>
            </w:tcBorders>
            <w:shd w:val="clear" w:color="auto" w:fill="E6E7E8"/>
          </w:tcPr>
          <w:p w14:paraId="6160518B" w14:textId="77777777" w:rsidR="00AA77F2" w:rsidRPr="00353381" w:rsidRDefault="00AA77F2" w:rsidP="00D63204">
            <w:pPr>
              <w:widowControl w:val="0"/>
              <w:spacing w:before="42" w:after="0" w:line="240" w:lineRule="auto"/>
              <w:ind w:left="90"/>
              <w:rPr>
                <w:rFonts w:cs="Calibri"/>
              </w:rPr>
            </w:pPr>
            <w:r w:rsidRPr="00353381">
              <w:rPr>
                <w:color w:val="231F20"/>
                <w:w w:val="105"/>
              </w:rPr>
              <w:t>Transition</w:t>
            </w:r>
          </w:p>
        </w:tc>
        <w:tc>
          <w:tcPr>
            <w:tcW w:w="4765" w:type="dxa"/>
            <w:tcBorders>
              <w:top w:val="single" w:sz="2" w:space="0" w:color="231F20"/>
              <w:left w:val="single" w:sz="2" w:space="0" w:color="231F20"/>
              <w:bottom w:val="single" w:sz="2" w:space="0" w:color="231F20"/>
              <w:right w:val="single" w:sz="2" w:space="0" w:color="231F20"/>
            </w:tcBorders>
            <w:shd w:val="clear" w:color="auto" w:fill="E6E7E8"/>
          </w:tcPr>
          <w:p w14:paraId="472534D0" w14:textId="45F94495" w:rsidR="00AA77F2" w:rsidRPr="00353381" w:rsidRDefault="00AA77F2" w:rsidP="00D63204">
            <w:pPr>
              <w:widowControl w:val="0"/>
              <w:spacing w:before="42" w:after="0" w:line="240" w:lineRule="auto"/>
              <w:ind w:left="90"/>
              <w:rPr>
                <w:rFonts w:cs="Calibri"/>
              </w:rPr>
            </w:pPr>
            <w:r w:rsidRPr="00353381">
              <w:rPr>
                <w:color w:val="231F20"/>
                <w:w w:val="110"/>
              </w:rPr>
              <w:t>65</w:t>
            </w:r>
          </w:p>
        </w:tc>
      </w:tr>
      <w:tr w:rsidR="00AA77F2" w:rsidRPr="00353381" w14:paraId="1700233E" w14:textId="77777777" w:rsidTr="00AA77F2">
        <w:trPr>
          <w:trHeight w:hRule="exact" w:val="334"/>
          <w:jc w:val="center"/>
        </w:trPr>
        <w:tc>
          <w:tcPr>
            <w:tcW w:w="5395" w:type="dxa"/>
            <w:tcBorders>
              <w:top w:val="single" w:sz="2" w:space="0" w:color="231F20"/>
              <w:left w:val="single" w:sz="2" w:space="0" w:color="231F20"/>
              <w:bottom w:val="single" w:sz="2" w:space="0" w:color="231F20"/>
              <w:right w:val="single" w:sz="2" w:space="0" w:color="231F20"/>
            </w:tcBorders>
          </w:tcPr>
          <w:p w14:paraId="1FD4243A" w14:textId="77777777" w:rsidR="00AA77F2" w:rsidRPr="00353381" w:rsidRDefault="00AA77F2" w:rsidP="00D63204">
            <w:pPr>
              <w:widowControl w:val="0"/>
              <w:spacing w:before="42" w:after="0" w:line="240" w:lineRule="auto"/>
              <w:ind w:left="90"/>
              <w:rPr>
                <w:rFonts w:cs="Calibri"/>
              </w:rPr>
            </w:pPr>
            <w:r w:rsidRPr="00353381">
              <w:rPr>
                <w:b/>
                <w:color w:val="231F20"/>
                <w:spacing w:val="-4"/>
                <w:w w:val="110"/>
              </w:rPr>
              <w:t>Total</w:t>
            </w:r>
          </w:p>
        </w:tc>
        <w:tc>
          <w:tcPr>
            <w:tcW w:w="4765" w:type="dxa"/>
            <w:tcBorders>
              <w:top w:val="single" w:sz="2" w:space="0" w:color="231F20"/>
              <w:left w:val="single" w:sz="2" w:space="0" w:color="231F20"/>
              <w:bottom w:val="single" w:sz="2" w:space="0" w:color="231F20"/>
              <w:right w:val="single" w:sz="2" w:space="0" w:color="231F20"/>
            </w:tcBorders>
          </w:tcPr>
          <w:p w14:paraId="287E794C" w14:textId="06C8E172" w:rsidR="00AA77F2" w:rsidRPr="00353381" w:rsidRDefault="00AA77F2" w:rsidP="00D63204">
            <w:pPr>
              <w:widowControl w:val="0"/>
              <w:spacing w:before="42" w:after="0" w:line="240" w:lineRule="auto"/>
              <w:ind w:left="90"/>
              <w:rPr>
                <w:rFonts w:cs="Calibri"/>
              </w:rPr>
            </w:pPr>
            <w:r w:rsidRPr="00353381">
              <w:rPr>
                <w:b/>
                <w:color w:val="231F20"/>
                <w:w w:val="115"/>
              </w:rPr>
              <w:t>5012</w:t>
            </w:r>
          </w:p>
        </w:tc>
      </w:tr>
    </w:tbl>
    <w:p w14:paraId="7B54B1B3" w14:textId="54E645D4" w:rsidR="00AA77F2" w:rsidRDefault="00AA77F2" w:rsidP="00D63204">
      <w:pPr>
        <w:spacing w:line="240" w:lineRule="auto"/>
        <w:ind w:left="90"/>
        <w:rPr>
          <w:b/>
          <w:color w:val="FF0000"/>
        </w:rPr>
      </w:pPr>
    </w:p>
    <w:p w14:paraId="2111B5B4" w14:textId="1884A620" w:rsidR="00626691" w:rsidRDefault="00626691" w:rsidP="00D63204">
      <w:pPr>
        <w:spacing w:line="240" w:lineRule="auto"/>
        <w:ind w:left="90"/>
        <w:rPr>
          <w:b/>
          <w:color w:val="FF0000"/>
        </w:rPr>
      </w:pPr>
    </w:p>
    <w:p w14:paraId="33E5DE1C" w14:textId="4AC0163C" w:rsidR="00626691" w:rsidRDefault="00626691" w:rsidP="00D63204">
      <w:pPr>
        <w:spacing w:line="240" w:lineRule="auto"/>
        <w:ind w:left="90"/>
        <w:rPr>
          <w:b/>
          <w:color w:val="FF0000"/>
        </w:rPr>
      </w:pPr>
    </w:p>
    <w:p w14:paraId="14AA3AF8" w14:textId="77777777" w:rsidR="00626691" w:rsidRPr="00353381" w:rsidRDefault="00626691" w:rsidP="00E567C2">
      <w:pPr>
        <w:spacing w:line="240" w:lineRule="auto"/>
        <w:rPr>
          <w:b/>
          <w:color w:val="FF0000"/>
        </w:rPr>
      </w:pPr>
    </w:p>
    <w:p w14:paraId="7B32185C" w14:textId="77777777" w:rsidR="00AA77F2" w:rsidRPr="00353381" w:rsidRDefault="00AA77F2" w:rsidP="00D63204">
      <w:pPr>
        <w:widowControl w:val="0"/>
        <w:spacing w:before="57" w:after="0" w:line="240" w:lineRule="auto"/>
        <w:ind w:left="90"/>
        <w:rPr>
          <w:rFonts w:cs="Calibri"/>
        </w:rPr>
      </w:pPr>
      <w:r w:rsidRPr="00353381">
        <w:rPr>
          <w:b/>
          <w:w w:val="110"/>
        </w:rPr>
        <w:t>Figure</w:t>
      </w:r>
      <w:r w:rsidRPr="00353381">
        <w:rPr>
          <w:b/>
          <w:spacing w:val="-27"/>
          <w:w w:val="110"/>
        </w:rPr>
        <w:t xml:space="preserve"> </w:t>
      </w:r>
      <w:r w:rsidRPr="00353381">
        <w:rPr>
          <w:b/>
          <w:spacing w:val="-6"/>
          <w:w w:val="110"/>
        </w:rPr>
        <w:t>10.10</w:t>
      </w:r>
    </w:p>
    <w:p w14:paraId="4BDD76D6" w14:textId="77777777" w:rsidR="00AA77F2" w:rsidRPr="00353381" w:rsidRDefault="00AA77F2" w:rsidP="00D63204">
      <w:pPr>
        <w:widowControl w:val="0"/>
        <w:spacing w:after="0" w:line="240" w:lineRule="auto"/>
        <w:ind w:left="90"/>
        <w:rPr>
          <w:rFonts w:cs="Calibri"/>
        </w:rPr>
      </w:pPr>
      <w:r w:rsidRPr="00353381">
        <w:rPr>
          <w:b/>
          <w:color w:val="231F20"/>
          <w:w w:val="110"/>
        </w:rPr>
        <w:t>Number of Clients Served in Race Ethnicity</w:t>
      </w:r>
      <w:r w:rsidRPr="00353381">
        <w:rPr>
          <w:b/>
          <w:color w:val="231F20"/>
          <w:spacing w:val="7"/>
          <w:w w:val="110"/>
        </w:rPr>
        <w:t xml:space="preserve"> </w:t>
      </w:r>
      <w:r w:rsidRPr="00353381">
        <w:rPr>
          <w:b/>
          <w:color w:val="231F20"/>
          <w:w w:val="110"/>
        </w:rPr>
        <w:t>Categories</w:t>
      </w:r>
    </w:p>
    <w:tbl>
      <w:tblPr>
        <w:tblW w:w="0" w:type="auto"/>
        <w:jc w:val="center"/>
        <w:tblLayout w:type="fixed"/>
        <w:tblCellMar>
          <w:left w:w="0" w:type="dxa"/>
          <w:right w:w="0" w:type="dxa"/>
        </w:tblCellMar>
        <w:tblLook w:val="01E0" w:firstRow="1" w:lastRow="1" w:firstColumn="1" w:lastColumn="1" w:noHBand="0" w:noVBand="0"/>
      </w:tblPr>
      <w:tblGrid>
        <w:gridCol w:w="5377"/>
        <w:gridCol w:w="4788"/>
      </w:tblGrid>
      <w:tr w:rsidR="00AA77F2" w:rsidRPr="00353381" w14:paraId="48FF106B" w14:textId="77777777" w:rsidTr="00AA77F2">
        <w:trPr>
          <w:trHeight w:hRule="exact" w:val="488"/>
          <w:jc w:val="center"/>
        </w:trPr>
        <w:tc>
          <w:tcPr>
            <w:tcW w:w="5377" w:type="dxa"/>
            <w:tcBorders>
              <w:top w:val="single" w:sz="2" w:space="0" w:color="231F20"/>
              <w:left w:val="single" w:sz="2" w:space="0" w:color="231F20"/>
              <w:bottom w:val="single" w:sz="2" w:space="0" w:color="231F20"/>
              <w:right w:val="single" w:sz="2" w:space="0" w:color="231F20"/>
            </w:tcBorders>
          </w:tcPr>
          <w:p w14:paraId="0A24BB80" w14:textId="77777777" w:rsidR="00AA77F2" w:rsidRPr="00353381" w:rsidRDefault="00AA77F2" w:rsidP="00D63204">
            <w:pPr>
              <w:widowControl w:val="0"/>
              <w:spacing w:before="119" w:after="0" w:line="240" w:lineRule="auto"/>
              <w:ind w:left="90"/>
              <w:rPr>
                <w:rFonts w:cs="Calibri"/>
              </w:rPr>
            </w:pPr>
            <w:r w:rsidRPr="00353381">
              <w:rPr>
                <w:b/>
                <w:color w:val="231F20"/>
                <w:w w:val="110"/>
              </w:rPr>
              <w:t>Race Ethnicity</w:t>
            </w:r>
            <w:r w:rsidRPr="00353381">
              <w:rPr>
                <w:b/>
                <w:color w:val="231F20"/>
                <w:spacing w:val="16"/>
                <w:w w:val="110"/>
              </w:rPr>
              <w:t xml:space="preserve"> </w:t>
            </w:r>
            <w:r w:rsidRPr="00353381">
              <w:rPr>
                <w:b/>
                <w:color w:val="231F20"/>
                <w:w w:val="110"/>
              </w:rPr>
              <w:t>Categories</w:t>
            </w:r>
          </w:p>
        </w:tc>
        <w:tc>
          <w:tcPr>
            <w:tcW w:w="4788" w:type="dxa"/>
            <w:tcBorders>
              <w:top w:val="single" w:sz="2" w:space="0" w:color="231F20"/>
              <w:left w:val="single" w:sz="2" w:space="0" w:color="231F20"/>
              <w:bottom w:val="single" w:sz="2" w:space="0" w:color="231F20"/>
              <w:right w:val="single" w:sz="2" w:space="0" w:color="231F20"/>
            </w:tcBorders>
          </w:tcPr>
          <w:p w14:paraId="3E39C31D" w14:textId="6E612E60" w:rsidR="00AA77F2" w:rsidRPr="00353381" w:rsidRDefault="00AA77F2" w:rsidP="00D63204">
            <w:pPr>
              <w:widowControl w:val="0"/>
              <w:spacing w:before="119" w:after="0" w:line="240" w:lineRule="auto"/>
              <w:ind w:left="90"/>
              <w:rPr>
                <w:rFonts w:cs="Calibri"/>
              </w:rPr>
            </w:pPr>
            <w:r w:rsidRPr="00353381">
              <w:rPr>
                <w:b/>
                <w:color w:val="231F20"/>
                <w:w w:val="110"/>
              </w:rPr>
              <w:t>Clients Served (SFY</w:t>
            </w:r>
            <w:r w:rsidRPr="00353381">
              <w:rPr>
                <w:b/>
                <w:color w:val="231F20"/>
                <w:spacing w:val="43"/>
                <w:w w:val="110"/>
              </w:rPr>
              <w:t xml:space="preserve"> </w:t>
            </w:r>
            <w:r w:rsidRPr="00353381">
              <w:rPr>
                <w:b/>
                <w:color w:val="231F20"/>
                <w:w w:val="110"/>
              </w:rPr>
              <w:t>2016-2017</w:t>
            </w:r>
            <w:r w:rsidR="00212234">
              <w:rPr>
                <w:b/>
                <w:color w:val="231F20"/>
                <w:w w:val="110"/>
              </w:rPr>
              <w:t>)</w:t>
            </w:r>
          </w:p>
        </w:tc>
      </w:tr>
      <w:tr w:rsidR="00AA77F2" w:rsidRPr="00353381" w14:paraId="72A0DD9B" w14:textId="77777777" w:rsidTr="00AA77F2">
        <w:trPr>
          <w:trHeight w:hRule="exact" w:val="334"/>
          <w:jc w:val="center"/>
        </w:trPr>
        <w:tc>
          <w:tcPr>
            <w:tcW w:w="5377" w:type="dxa"/>
            <w:tcBorders>
              <w:top w:val="single" w:sz="2" w:space="0" w:color="231F20"/>
              <w:left w:val="single" w:sz="2" w:space="0" w:color="231F20"/>
              <w:bottom w:val="single" w:sz="2" w:space="0" w:color="231F20"/>
              <w:right w:val="single" w:sz="2" w:space="0" w:color="231F20"/>
            </w:tcBorders>
            <w:shd w:val="clear" w:color="auto" w:fill="E6E7E8"/>
          </w:tcPr>
          <w:p w14:paraId="7C25AD63" w14:textId="77777777" w:rsidR="00AA77F2" w:rsidRPr="00353381" w:rsidRDefault="00AA77F2" w:rsidP="00D63204">
            <w:pPr>
              <w:widowControl w:val="0"/>
              <w:spacing w:before="42" w:after="0" w:line="240" w:lineRule="auto"/>
              <w:ind w:left="90"/>
              <w:rPr>
                <w:rFonts w:cs="Calibri"/>
              </w:rPr>
            </w:pPr>
            <w:r w:rsidRPr="00353381">
              <w:rPr>
                <w:color w:val="231F20"/>
                <w:w w:val="105"/>
              </w:rPr>
              <w:t>African-American</w:t>
            </w:r>
          </w:p>
        </w:tc>
        <w:tc>
          <w:tcPr>
            <w:tcW w:w="4788" w:type="dxa"/>
            <w:tcBorders>
              <w:top w:val="single" w:sz="2" w:space="0" w:color="231F20"/>
              <w:left w:val="single" w:sz="2" w:space="0" w:color="231F20"/>
              <w:bottom w:val="single" w:sz="2" w:space="0" w:color="231F20"/>
              <w:right w:val="single" w:sz="2" w:space="0" w:color="231F20"/>
            </w:tcBorders>
            <w:shd w:val="clear" w:color="auto" w:fill="E6E7E8"/>
          </w:tcPr>
          <w:p w14:paraId="4C79AAF9" w14:textId="647D2B5B" w:rsidR="00AA77F2" w:rsidRPr="00353381" w:rsidRDefault="00AA77F2" w:rsidP="00D63204">
            <w:pPr>
              <w:widowControl w:val="0"/>
              <w:spacing w:before="42" w:after="0" w:line="240" w:lineRule="auto"/>
              <w:ind w:left="90"/>
              <w:rPr>
                <w:rFonts w:cs="Calibri"/>
              </w:rPr>
            </w:pPr>
            <w:r w:rsidRPr="00353381">
              <w:rPr>
                <w:color w:val="231F20"/>
                <w:w w:val="95"/>
              </w:rPr>
              <w:t>2030</w:t>
            </w:r>
          </w:p>
        </w:tc>
      </w:tr>
      <w:tr w:rsidR="00AA77F2" w:rsidRPr="00353381" w14:paraId="18299116" w14:textId="77777777" w:rsidTr="00AA77F2">
        <w:trPr>
          <w:trHeight w:hRule="exact" w:val="334"/>
          <w:jc w:val="center"/>
        </w:trPr>
        <w:tc>
          <w:tcPr>
            <w:tcW w:w="5377" w:type="dxa"/>
            <w:tcBorders>
              <w:top w:val="single" w:sz="2" w:space="0" w:color="231F20"/>
              <w:left w:val="single" w:sz="2" w:space="0" w:color="231F20"/>
              <w:bottom w:val="single" w:sz="2" w:space="0" w:color="231F20"/>
              <w:right w:val="single" w:sz="2" w:space="0" w:color="231F20"/>
            </w:tcBorders>
          </w:tcPr>
          <w:p w14:paraId="20628AA2" w14:textId="77777777" w:rsidR="00AA77F2" w:rsidRPr="00353381" w:rsidRDefault="00AA77F2" w:rsidP="00D63204">
            <w:pPr>
              <w:widowControl w:val="0"/>
              <w:spacing w:before="42" w:after="0" w:line="240" w:lineRule="auto"/>
              <w:ind w:left="90"/>
              <w:rPr>
                <w:rFonts w:cs="Calibri"/>
              </w:rPr>
            </w:pPr>
            <w:r w:rsidRPr="00353381">
              <w:rPr>
                <w:color w:val="231F20"/>
                <w:w w:val="110"/>
              </w:rPr>
              <w:t>Alaskan</w:t>
            </w:r>
            <w:r w:rsidRPr="00353381">
              <w:rPr>
                <w:color w:val="231F20"/>
                <w:spacing w:val="-16"/>
                <w:w w:val="110"/>
              </w:rPr>
              <w:t xml:space="preserve"> </w:t>
            </w:r>
            <w:r w:rsidRPr="00353381">
              <w:rPr>
                <w:color w:val="231F20"/>
                <w:w w:val="110"/>
              </w:rPr>
              <w:t>Native</w:t>
            </w:r>
          </w:p>
        </w:tc>
        <w:tc>
          <w:tcPr>
            <w:tcW w:w="4788" w:type="dxa"/>
            <w:tcBorders>
              <w:top w:val="single" w:sz="2" w:space="0" w:color="231F20"/>
              <w:left w:val="single" w:sz="2" w:space="0" w:color="231F20"/>
              <w:bottom w:val="single" w:sz="2" w:space="0" w:color="231F20"/>
              <w:right w:val="single" w:sz="2" w:space="0" w:color="231F20"/>
            </w:tcBorders>
          </w:tcPr>
          <w:p w14:paraId="7F6D1E1F" w14:textId="77777777" w:rsidR="00AA77F2" w:rsidRPr="00353381" w:rsidRDefault="00AA77F2" w:rsidP="00D63204">
            <w:pPr>
              <w:widowControl w:val="0"/>
              <w:spacing w:before="42" w:after="0" w:line="240" w:lineRule="auto"/>
              <w:ind w:left="90"/>
              <w:rPr>
                <w:rFonts w:cs="Calibri"/>
              </w:rPr>
            </w:pPr>
            <w:r w:rsidRPr="00353381">
              <w:rPr>
                <w:color w:val="231F20"/>
                <w:w w:val="120"/>
              </w:rPr>
              <w:t>0</w:t>
            </w:r>
          </w:p>
        </w:tc>
      </w:tr>
      <w:tr w:rsidR="00AA77F2" w:rsidRPr="00353381" w14:paraId="1EEF3FEA" w14:textId="77777777" w:rsidTr="00AA77F2">
        <w:trPr>
          <w:trHeight w:hRule="exact" w:val="334"/>
          <w:jc w:val="center"/>
        </w:trPr>
        <w:tc>
          <w:tcPr>
            <w:tcW w:w="5377" w:type="dxa"/>
            <w:tcBorders>
              <w:top w:val="single" w:sz="2" w:space="0" w:color="231F20"/>
              <w:left w:val="single" w:sz="2" w:space="0" w:color="231F20"/>
              <w:bottom w:val="single" w:sz="2" w:space="0" w:color="231F20"/>
              <w:right w:val="single" w:sz="2" w:space="0" w:color="231F20"/>
            </w:tcBorders>
            <w:shd w:val="clear" w:color="auto" w:fill="E6E7E8"/>
          </w:tcPr>
          <w:p w14:paraId="0DAFBC5B" w14:textId="77777777" w:rsidR="00AA77F2" w:rsidRPr="00353381" w:rsidRDefault="00AA77F2" w:rsidP="00D63204">
            <w:pPr>
              <w:widowControl w:val="0"/>
              <w:spacing w:before="42" w:after="0" w:line="240" w:lineRule="auto"/>
              <w:ind w:left="90"/>
              <w:rPr>
                <w:rFonts w:cs="Calibri"/>
              </w:rPr>
            </w:pPr>
            <w:r w:rsidRPr="00353381">
              <w:rPr>
                <w:color w:val="231F20"/>
                <w:w w:val="110"/>
              </w:rPr>
              <w:t>Asian</w:t>
            </w:r>
          </w:p>
        </w:tc>
        <w:tc>
          <w:tcPr>
            <w:tcW w:w="4788" w:type="dxa"/>
            <w:tcBorders>
              <w:top w:val="single" w:sz="2" w:space="0" w:color="231F20"/>
              <w:left w:val="single" w:sz="2" w:space="0" w:color="231F20"/>
              <w:bottom w:val="single" w:sz="2" w:space="0" w:color="231F20"/>
              <w:right w:val="single" w:sz="2" w:space="0" w:color="231F20"/>
            </w:tcBorders>
            <w:shd w:val="clear" w:color="auto" w:fill="E6E7E8"/>
          </w:tcPr>
          <w:p w14:paraId="29D9ADDA" w14:textId="30F53407" w:rsidR="00AA77F2" w:rsidRPr="00353381" w:rsidRDefault="00AA77F2" w:rsidP="00D63204">
            <w:pPr>
              <w:widowControl w:val="0"/>
              <w:spacing w:before="42" w:after="0" w:line="240" w:lineRule="auto"/>
              <w:ind w:left="90"/>
              <w:rPr>
                <w:rFonts w:cs="Calibri"/>
              </w:rPr>
            </w:pPr>
            <w:r w:rsidRPr="00353381">
              <w:rPr>
                <w:color w:val="231F20"/>
                <w:w w:val="110"/>
              </w:rPr>
              <w:t>87</w:t>
            </w:r>
          </w:p>
        </w:tc>
      </w:tr>
      <w:tr w:rsidR="00AA77F2" w:rsidRPr="00353381" w14:paraId="31E62844" w14:textId="77777777" w:rsidTr="00AA77F2">
        <w:trPr>
          <w:trHeight w:hRule="exact" w:val="334"/>
          <w:jc w:val="center"/>
        </w:trPr>
        <w:tc>
          <w:tcPr>
            <w:tcW w:w="5377" w:type="dxa"/>
            <w:tcBorders>
              <w:top w:val="single" w:sz="2" w:space="0" w:color="231F20"/>
              <w:left w:val="single" w:sz="2" w:space="0" w:color="231F20"/>
              <w:bottom w:val="single" w:sz="2" w:space="0" w:color="231F20"/>
              <w:right w:val="single" w:sz="2" w:space="0" w:color="231F20"/>
            </w:tcBorders>
          </w:tcPr>
          <w:p w14:paraId="5B73C4EE" w14:textId="77777777" w:rsidR="00AA77F2" w:rsidRPr="00353381" w:rsidRDefault="00AA77F2" w:rsidP="00D63204">
            <w:pPr>
              <w:widowControl w:val="0"/>
              <w:spacing w:before="42" w:after="0" w:line="240" w:lineRule="auto"/>
              <w:ind w:left="90"/>
              <w:rPr>
                <w:rFonts w:cs="Calibri"/>
              </w:rPr>
            </w:pPr>
            <w:r w:rsidRPr="00353381">
              <w:rPr>
                <w:color w:val="231F20"/>
                <w:w w:val="110"/>
              </w:rPr>
              <w:t>Caucasian</w:t>
            </w:r>
          </w:p>
        </w:tc>
        <w:tc>
          <w:tcPr>
            <w:tcW w:w="4788" w:type="dxa"/>
            <w:tcBorders>
              <w:top w:val="single" w:sz="2" w:space="0" w:color="231F20"/>
              <w:left w:val="single" w:sz="2" w:space="0" w:color="231F20"/>
              <w:bottom w:val="single" w:sz="2" w:space="0" w:color="231F20"/>
              <w:right w:val="single" w:sz="2" w:space="0" w:color="231F20"/>
            </w:tcBorders>
          </w:tcPr>
          <w:p w14:paraId="0356BEE6" w14:textId="49D9AE95" w:rsidR="00AA77F2" w:rsidRPr="00353381" w:rsidRDefault="00AA77F2" w:rsidP="00D63204">
            <w:pPr>
              <w:widowControl w:val="0"/>
              <w:spacing w:before="42" w:after="0" w:line="240" w:lineRule="auto"/>
              <w:ind w:left="90"/>
              <w:rPr>
                <w:rFonts w:cs="Calibri"/>
              </w:rPr>
            </w:pPr>
            <w:r w:rsidRPr="00353381">
              <w:rPr>
                <w:color w:val="231F20"/>
                <w:w w:val="115"/>
              </w:rPr>
              <w:t>3160</w:t>
            </w:r>
          </w:p>
        </w:tc>
      </w:tr>
      <w:tr w:rsidR="00AA77F2" w:rsidRPr="00353381" w14:paraId="6DB1C908" w14:textId="77777777" w:rsidTr="00AA77F2">
        <w:trPr>
          <w:trHeight w:hRule="exact" w:val="334"/>
          <w:jc w:val="center"/>
        </w:trPr>
        <w:tc>
          <w:tcPr>
            <w:tcW w:w="5377" w:type="dxa"/>
            <w:tcBorders>
              <w:top w:val="single" w:sz="2" w:space="0" w:color="231F20"/>
              <w:left w:val="single" w:sz="2" w:space="0" w:color="231F20"/>
              <w:bottom w:val="single" w:sz="2" w:space="0" w:color="231F20"/>
              <w:right w:val="single" w:sz="2" w:space="0" w:color="231F20"/>
            </w:tcBorders>
            <w:shd w:val="clear" w:color="auto" w:fill="E6E7E8"/>
          </w:tcPr>
          <w:p w14:paraId="65A380B5" w14:textId="77777777" w:rsidR="00AA77F2" w:rsidRPr="00353381" w:rsidRDefault="00AA77F2" w:rsidP="00D63204">
            <w:pPr>
              <w:widowControl w:val="0"/>
              <w:spacing w:before="42" w:after="0" w:line="240" w:lineRule="auto"/>
              <w:ind w:left="90"/>
              <w:rPr>
                <w:rFonts w:cs="Calibri"/>
              </w:rPr>
            </w:pPr>
            <w:r w:rsidRPr="00353381">
              <w:rPr>
                <w:color w:val="231F20"/>
                <w:w w:val="105"/>
              </w:rPr>
              <w:t>Hispanic or</w:t>
            </w:r>
            <w:r w:rsidRPr="00353381">
              <w:rPr>
                <w:color w:val="231F20"/>
                <w:spacing w:val="48"/>
                <w:w w:val="105"/>
              </w:rPr>
              <w:t xml:space="preserve"> </w:t>
            </w:r>
            <w:r w:rsidRPr="00353381">
              <w:rPr>
                <w:color w:val="231F20"/>
                <w:w w:val="105"/>
              </w:rPr>
              <w:t>Latino</w:t>
            </w:r>
          </w:p>
        </w:tc>
        <w:tc>
          <w:tcPr>
            <w:tcW w:w="4788" w:type="dxa"/>
            <w:tcBorders>
              <w:top w:val="single" w:sz="2" w:space="0" w:color="231F20"/>
              <w:left w:val="single" w:sz="2" w:space="0" w:color="231F20"/>
              <w:bottom w:val="single" w:sz="2" w:space="0" w:color="231F20"/>
              <w:right w:val="single" w:sz="2" w:space="0" w:color="231F20"/>
            </w:tcBorders>
            <w:shd w:val="clear" w:color="auto" w:fill="E6E7E8"/>
          </w:tcPr>
          <w:p w14:paraId="4C8D8EF2" w14:textId="3F0B7341" w:rsidR="00AA77F2" w:rsidRPr="00353381" w:rsidRDefault="00AA77F2" w:rsidP="00D63204">
            <w:pPr>
              <w:widowControl w:val="0"/>
              <w:spacing w:before="42" w:after="0" w:line="240" w:lineRule="auto"/>
              <w:ind w:left="90"/>
              <w:rPr>
                <w:rFonts w:cs="Calibri"/>
              </w:rPr>
            </w:pPr>
            <w:r w:rsidRPr="00353381">
              <w:rPr>
                <w:color w:val="231F20"/>
                <w:w w:val="105"/>
              </w:rPr>
              <w:t>1156</w:t>
            </w:r>
          </w:p>
        </w:tc>
      </w:tr>
      <w:tr w:rsidR="00AA77F2" w:rsidRPr="00353381" w14:paraId="2BD63FB3" w14:textId="77777777" w:rsidTr="00AA77F2">
        <w:trPr>
          <w:trHeight w:hRule="exact" w:val="334"/>
          <w:jc w:val="center"/>
        </w:trPr>
        <w:tc>
          <w:tcPr>
            <w:tcW w:w="5377" w:type="dxa"/>
            <w:tcBorders>
              <w:top w:val="single" w:sz="2" w:space="0" w:color="231F20"/>
              <w:left w:val="single" w:sz="2" w:space="0" w:color="231F20"/>
              <w:bottom w:val="single" w:sz="2" w:space="0" w:color="231F20"/>
              <w:right w:val="single" w:sz="2" w:space="0" w:color="231F20"/>
            </w:tcBorders>
          </w:tcPr>
          <w:p w14:paraId="587A200E" w14:textId="77777777" w:rsidR="00AA77F2" w:rsidRPr="00353381" w:rsidRDefault="00AA77F2" w:rsidP="00D63204">
            <w:pPr>
              <w:widowControl w:val="0"/>
              <w:spacing w:before="42" w:after="0" w:line="240" w:lineRule="auto"/>
              <w:ind w:left="90"/>
              <w:rPr>
                <w:rFonts w:cs="Calibri"/>
              </w:rPr>
            </w:pPr>
            <w:r w:rsidRPr="00353381">
              <w:rPr>
                <w:color w:val="231F20"/>
              </w:rPr>
              <w:t>Multiracial</w:t>
            </w:r>
          </w:p>
        </w:tc>
        <w:tc>
          <w:tcPr>
            <w:tcW w:w="4788" w:type="dxa"/>
            <w:tcBorders>
              <w:top w:val="single" w:sz="2" w:space="0" w:color="231F20"/>
              <w:left w:val="single" w:sz="2" w:space="0" w:color="231F20"/>
              <w:bottom w:val="single" w:sz="2" w:space="0" w:color="231F20"/>
              <w:right w:val="single" w:sz="2" w:space="0" w:color="231F20"/>
            </w:tcBorders>
          </w:tcPr>
          <w:p w14:paraId="602CA581" w14:textId="35515862" w:rsidR="00AA77F2" w:rsidRPr="00353381" w:rsidRDefault="00AA77F2" w:rsidP="00D63204">
            <w:pPr>
              <w:widowControl w:val="0"/>
              <w:spacing w:before="42" w:after="0" w:line="240" w:lineRule="auto"/>
              <w:ind w:left="90"/>
              <w:rPr>
                <w:rFonts w:cs="Calibri"/>
              </w:rPr>
            </w:pPr>
            <w:r w:rsidRPr="00353381">
              <w:rPr>
                <w:color w:val="231F20"/>
                <w:w w:val="110"/>
              </w:rPr>
              <w:t>54</w:t>
            </w:r>
          </w:p>
        </w:tc>
      </w:tr>
      <w:tr w:rsidR="00AA77F2" w:rsidRPr="00353381" w14:paraId="0BC640B3" w14:textId="77777777" w:rsidTr="00AA77F2">
        <w:trPr>
          <w:trHeight w:hRule="exact" w:val="334"/>
          <w:jc w:val="center"/>
        </w:trPr>
        <w:tc>
          <w:tcPr>
            <w:tcW w:w="5377" w:type="dxa"/>
            <w:tcBorders>
              <w:top w:val="single" w:sz="2" w:space="0" w:color="231F20"/>
              <w:left w:val="single" w:sz="2" w:space="0" w:color="231F20"/>
              <w:bottom w:val="single" w:sz="2" w:space="0" w:color="231F20"/>
              <w:right w:val="single" w:sz="2" w:space="0" w:color="231F20"/>
            </w:tcBorders>
            <w:shd w:val="clear" w:color="auto" w:fill="E6E7E8"/>
          </w:tcPr>
          <w:p w14:paraId="555676D7" w14:textId="77777777" w:rsidR="00AA77F2" w:rsidRPr="00353381" w:rsidRDefault="00AA77F2" w:rsidP="00D63204">
            <w:pPr>
              <w:widowControl w:val="0"/>
              <w:spacing w:before="42" w:after="0" w:line="240" w:lineRule="auto"/>
              <w:ind w:left="90"/>
              <w:rPr>
                <w:rFonts w:cs="Calibri"/>
              </w:rPr>
            </w:pPr>
            <w:r w:rsidRPr="00353381">
              <w:rPr>
                <w:color w:val="231F20"/>
                <w:w w:val="105"/>
              </w:rPr>
              <w:t>Native Hawaiian or Pacific Islander</w:t>
            </w:r>
          </w:p>
        </w:tc>
        <w:tc>
          <w:tcPr>
            <w:tcW w:w="4788" w:type="dxa"/>
            <w:tcBorders>
              <w:top w:val="single" w:sz="2" w:space="0" w:color="231F20"/>
              <w:left w:val="single" w:sz="2" w:space="0" w:color="231F20"/>
              <w:bottom w:val="single" w:sz="2" w:space="0" w:color="231F20"/>
              <w:right w:val="single" w:sz="2" w:space="0" w:color="231F20"/>
            </w:tcBorders>
            <w:shd w:val="clear" w:color="auto" w:fill="E6E7E8"/>
          </w:tcPr>
          <w:p w14:paraId="7119F483" w14:textId="0CB8844B" w:rsidR="00AA77F2" w:rsidRPr="00353381" w:rsidRDefault="00AA77F2" w:rsidP="00D63204">
            <w:pPr>
              <w:widowControl w:val="0"/>
              <w:spacing w:before="42" w:after="0" w:line="240" w:lineRule="auto"/>
              <w:ind w:left="90"/>
              <w:rPr>
                <w:rFonts w:cs="Calibri"/>
              </w:rPr>
            </w:pPr>
            <w:r w:rsidRPr="00353381">
              <w:rPr>
                <w:color w:val="231F20"/>
                <w:w w:val="85"/>
              </w:rPr>
              <w:t>9</w:t>
            </w:r>
          </w:p>
        </w:tc>
      </w:tr>
      <w:tr w:rsidR="00AA77F2" w:rsidRPr="00353381" w14:paraId="0FE54CAC" w14:textId="77777777" w:rsidTr="00AA77F2">
        <w:trPr>
          <w:trHeight w:hRule="exact" w:val="334"/>
          <w:jc w:val="center"/>
        </w:trPr>
        <w:tc>
          <w:tcPr>
            <w:tcW w:w="5377" w:type="dxa"/>
            <w:tcBorders>
              <w:top w:val="single" w:sz="2" w:space="0" w:color="231F20"/>
              <w:left w:val="single" w:sz="2" w:space="0" w:color="231F20"/>
              <w:bottom w:val="single" w:sz="2" w:space="0" w:color="231F20"/>
              <w:right w:val="single" w:sz="2" w:space="0" w:color="231F20"/>
            </w:tcBorders>
          </w:tcPr>
          <w:p w14:paraId="4FACD749" w14:textId="77777777" w:rsidR="00AA77F2" w:rsidRPr="00353381" w:rsidRDefault="00AA77F2" w:rsidP="00D63204">
            <w:pPr>
              <w:widowControl w:val="0"/>
              <w:spacing w:before="42" w:after="0" w:line="240" w:lineRule="auto"/>
              <w:ind w:left="90"/>
              <w:rPr>
                <w:rFonts w:cs="Calibri"/>
              </w:rPr>
            </w:pPr>
            <w:r w:rsidRPr="00353381">
              <w:rPr>
                <w:color w:val="231F20"/>
                <w:w w:val="105"/>
              </w:rPr>
              <w:t>Not</w:t>
            </w:r>
            <w:r w:rsidRPr="00353381">
              <w:rPr>
                <w:color w:val="231F20"/>
                <w:spacing w:val="25"/>
                <w:w w:val="105"/>
              </w:rPr>
              <w:t xml:space="preserve"> </w:t>
            </w:r>
            <w:r w:rsidRPr="00353381">
              <w:rPr>
                <w:color w:val="231F20"/>
                <w:w w:val="105"/>
              </w:rPr>
              <w:t>available</w:t>
            </w:r>
          </w:p>
        </w:tc>
        <w:tc>
          <w:tcPr>
            <w:tcW w:w="4788" w:type="dxa"/>
            <w:tcBorders>
              <w:top w:val="single" w:sz="2" w:space="0" w:color="231F20"/>
              <w:left w:val="single" w:sz="2" w:space="0" w:color="231F20"/>
              <w:bottom w:val="single" w:sz="2" w:space="0" w:color="231F20"/>
              <w:right w:val="single" w:sz="2" w:space="0" w:color="231F20"/>
            </w:tcBorders>
          </w:tcPr>
          <w:p w14:paraId="34CBF791" w14:textId="1DB7D8D0" w:rsidR="00AA77F2" w:rsidRPr="00353381" w:rsidRDefault="00AA77F2" w:rsidP="00D63204">
            <w:pPr>
              <w:widowControl w:val="0"/>
              <w:spacing w:before="42" w:after="0" w:line="240" w:lineRule="auto"/>
              <w:ind w:left="90"/>
              <w:rPr>
                <w:rFonts w:cs="Calibri"/>
              </w:rPr>
            </w:pPr>
            <w:r w:rsidRPr="00353381">
              <w:rPr>
                <w:color w:val="231F20"/>
                <w:w w:val="115"/>
              </w:rPr>
              <w:t>0</w:t>
            </w:r>
          </w:p>
        </w:tc>
      </w:tr>
      <w:tr w:rsidR="00AA77F2" w:rsidRPr="00353381" w14:paraId="083F017A" w14:textId="77777777" w:rsidTr="00AA77F2">
        <w:trPr>
          <w:trHeight w:hRule="exact" w:val="334"/>
          <w:jc w:val="center"/>
        </w:trPr>
        <w:tc>
          <w:tcPr>
            <w:tcW w:w="5377" w:type="dxa"/>
            <w:tcBorders>
              <w:top w:val="single" w:sz="2" w:space="0" w:color="231F20"/>
              <w:left w:val="single" w:sz="2" w:space="0" w:color="231F20"/>
              <w:bottom w:val="single" w:sz="2" w:space="0" w:color="231F20"/>
              <w:right w:val="single" w:sz="2" w:space="0" w:color="231F20"/>
            </w:tcBorders>
            <w:shd w:val="clear" w:color="auto" w:fill="E6E7E8"/>
          </w:tcPr>
          <w:p w14:paraId="6ABB1189" w14:textId="77777777" w:rsidR="00AA77F2" w:rsidRPr="00353381" w:rsidRDefault="00AA77F2" w:rsidP="00D63204">
            <w:pPr>
              <w:widowControl w:val="0"/>
              <w:spacing w:before="42" w:after="0" w:line="240" w:lineRule="auto"/>
              <w:ind w:left="90"/>
              <w:rPr>
                <w:rFonts w:cs="Calibri"/>
              </w:rPr>
            </w:pPr>
            <w:r w:rsidRPr="00353381">
              <w:rPr>
                <w:b/>
                <w:color w:val="231F20"/>
                <w:spacing w:val="-4"/>
                <w:w w:val="110"/>
              </w:rPr>
              <w:t>Total</w:t>
            </w:r>
          </w:p>
        </w:tc>
        <w:tc>
          <w:tcPr>
            <w:tcW w:w="4788" w:type="dxa"/>
            <w:tcBorders>
              <w:top w:val="single" w:sz="2" w:space="0" w:color="231F20"/>
              <w:left w:val="single" w:sz="2" w:space="0" w:color="231F20"/>
              <w:bottom w:val="single" w:sz="2" w:space="0" w:color="231F20"/>
              <w:right w:val="single" w:sz="2" w:space="0" w:color="231F20"/>
            </w:tcBorders>
            <w:shd w:val="clear" w:color="auto" w:fill="E6E7E8"/>
          </w:tcPr>
          <w:p w14:paraId="259CB7AC" w14:textId="31055371" w:rsidR="00AA77F2" w:rsidRPr="00353381" w:rsidRDefault="00AA77F2" w:rsidP="00D63204">
            <w:pPr>
              <w:widowControl w:val="0"/>
              <w:spacing w:before="42" w:after="0" w:line="240" w:lineRule="auto"/>
              <w:ind w:left="90"/>
              <w:rPr>
                <w:rFonts w:cs="Calibri"/>
              </w:rPr>
            </w:pPr>
            <w:r w:rsidRPr="00353381">
              <w:rPr>
                <w:b/>
                <w:color w:val="231F20"/>
                <w:w w:val="115"/>
              </w:rPr>
              <w:t>6496</w:t>
            </w:r>
          </w:p>
        </w:tc>
      </w:tr>
    </w:tbl>
    <w:p w14:paraId="74285D70" w14:textId="77777777" w:rsidR="00AA77F2" w:rsidRPr="00353381" w:rsidRDefault="00AA77F2" w:rsidP="00D63204">
      <w:pPr>
        <w:spacing w:line="240" w:lineRule="auto"/>
        <w:ind w:left="90"/>
        <w:rPr>
          <w:b/>
          <w:color w:val="FF0000"/>
        </w:rPr>
      </w:pPr>
    </w:p>
    <w:p w14:paraId="4B9593C3" w14:textId="77777777" w:rsidR="00AA77F2" w:rsidRPr="00353381" w:rsidRDefault="00AA77F2" w:rsidP="00D63204">
      <w:pPr>
        <w:spacing w:line="240" w:lineRule="auto"/>
        <w:ind w:left="90"/>
      </w:pPr>
      <w:r w:rsidRPr="00353381">
        <w:t>Note:  The number of clients served under both the service and race ethnicity categories does not match due to the number of unassigned clients in application status.</w:t>
      </w:r>
    </w:p>
    <w:p w14:paraId="2591E2B4" w14:textId="77777777" w:rsidR="00EA7458" w:rsidRPr="00353381" w:rsidRDefault="00EA7458" w:rsidP="00D63204">
      <w:pPr>
        <w:widowControl w:val="0"/>
        <w:spacing w:after="0" w:line="240" w:lineRule="auto"/>
        <w:ind w:left="90"/>
        <w:rPr>
          <w:rFonts w:cs="Calibri"/>
        </w:rPr>
      </w:pPr>
    </w:p>
    <w:p w14:paraId="27DFD96C" w14:textId="77777777" w:rsidR="00AA77F2" w:rsidRPr="00353381" w:rsidRDefault="00AA77F2" w:rsidP="00D63204">
      <w:pPr>
        <w:spacing w:line="240" w:lineRule="auto"/>
        <w:ind w:left="90"/>
      </w:pPr>
      <w:r w:rsidRPr="00353381">
        <w:rPr>
          <w:u w:val="single"/>
        </w:rPr>
        <w:t>Strategy 2.2</w:t>
      </w:r>
      <w:r w:rsidRPr="00353381">
        <w:t xml:space="preserve"> Increase services in unserved and underserved populations. </w:t>
      </w:r>
    </w:p>
    <w:p w14:paraId="51A4D169" w14:textId="548D8913" w:rsidR="00AA77F2" w:rsidRPr="00353381" w:rsidRDefault="00AA77F2" w:rsidP="00D63204">
      <w:pPr>
        <w:spacing w:line="240" w:lineRule="auto"/>
        <w:ind w:left="90"/>
      </w:pPr>
      <w:r w:rsidRPr="00353381">
        <w:t>Each district identifies the unique underserved populations in their area. Each month, the identified unserved and underserved populations are targeted to increase services to these populations</w:t>
      </w:r>
      <w:r w:rsidR="005E7C49">
        <w:t xml:space="preserve">. </w:t>
      </w:r>
      <w:r w:rsidRPr="00353381">
        <w:t>Outreach is conducted in the following areas: community churches, schools, urban leagues, law enforcement agencies, Lions and Rotary Clubs, CareerSource</w:t>
      </w:r>
      <w:r w:rsidR="00C70CCF">
        <w:t xml:space="preserve"> Florida </w:t>
      </w:r>
      <w:r w:rsidRPr="00353381">
        <w:t>Centers, American Red Cross, Children’s Home Society, United Way, Immokalee Interagency Council, health and job fairs, Hispanic Chamber of Commerce, Christian Migrant Association</w:t>
      </w:r>
      <w:r w:rsidR="00D5537E">
        <w:t xml:space="preserve"> and</w:t>
      </w:r>
      <w:r w:rsidRPr="00353381">
        <w:t xml:space="preserve"> a host of employers. The d</w:t>
      </w:r>
      <w:r w:rsidR="00D2635C" w:rsidRPr="00353381">
        <w:t>istrict administrators maintain</w:t>
      </w:r>
      <w:r w:rsidRPr="00353381">
        <w:t xml:space="preserve"> a log of activities relating to underserved populations</w:t>
      </w:r>
      <w:r w:rsidR="005E7C49">
        <w:t xml:space="preserve">. </w:t>
      </w:r>
      <w:r w:rsidRPr="00353381">
        <w:t>Outreach activities are included in the monthly report submitted to the Program Administrator, who maintains a log for statewide analysis and record keeping purposes. The chart below depicts an increase in the number of open clients served in all minority categories except Native Hawaiian/Pacific Islander.</w:t>
      </w:r>
    </w:p>
    <w:p w14:paraId="3B02866E" w14:textId="07E83EC4" w:rsidR="00AA77F2" w:rsidRPr="00353381" w:rsidRDefault="00AA77F2" w:rsidP="00D63204">
      <w:pPr>
        <w:spacing w:after="0" w:line="240" w:lineRule="auto"/>
        <w:ind w:left="90"/>
        <w:rPr>
          <w:b/>
        </w:rPr>
      </w:pPr>
      <w:r w:rsidRPr="00353381">
        <w:rPr>
          <w:b/>
        </w:rPr>
        <w:t>Figure 10.11</w:t>
      </w:r>
    </w:p>
    <w:p w14:paraId="6AEC0944" w14:textId="77777777" w:rsidR="00AA77F2" w:rsidRPr="00353381" w:rsidRDefault="00AA77F2" w:rsidP="00D63204">
      <w:pPr>
        <w:spacing w:after="0" w:line="240" w:lineRule="auto"/>
        <w:ind w:left="90"/>
        <w:rPr>
          <w:b/>
        </w:rPr>
      </w:pPr>
      <w:r w:rsidRPr="00353381">
        <w:rPr>
          <w:b/>
        </w:rPr>
        <w:t>Change in Number of Clients Served in Minority Groups</w:t>
      </w:r>
    </w:p>
    <w:tbl>
      <w:tblPr>
        <w:tblW w:w="10160" w:type="dxa"/>
        <w:jc w:val="center"/>
        <w:tblLayout w:type="fixed"/>
        <w:tblCellMar>
          <w:left w:w="0" w:type="dxa"/>
          <w:right w:w="0" w:type="dxa"/>
        </w:tblCellMar>
        <w:tblLook w:val="01E0" w:firstRow="1" w:lastRow="1" w:firstColumn="1" w:lastColumn="1" w:noHBand="0" w:noVBand="0"/>
      </w:tblPr>
      <w:tblGrid>
        <w:gridCol w:w="2607"/>
        <w:gridCol w:w="1890"/>
        <w:gridCol w:w="1586"/>
        <w:gridCol w:w="1310"/>
        <w:gridCol w:w="2767"/>
      </w:tblGrid>
      <w:tr w:rsidR="00AA77F2" w:rsidRPr="00353381" w14:paraId="5854A9DA" w14:textId="77777777" w:rsidTr="00AA77F2">
        <w:trPr>
          <w:trHeight w:hRule="exact" w:val="598"/>
          <w:jc w:val="center"/>
        </w:trPr>
        <w:tc>
          <w:tcPr>
            <w:tcW w:w="2607" w:type="dxa"/>
            <w:tcBorders>
              <w:top w:val="single" w:sz="2" w:space="0" w:color="231F20"/>
              <w:left w:val="single" w:sz="2" w:space="0" w:color="231F20"/>
              <w:bottom w:val="single" w:sz="2" w:space="0" w:color="231F20"/>
              <w:right w:val="single" w:sz="2" w:space="0" w:color="231F20"/>
            </w:tcBorders>
          </w:tcPr>
          <w:p w14:paraId="7C2C77B3" w14:textId="77777777" w:rsidR="00AA77F2" w:rsidRPr="00353381" w:rsidRDefault="00AA77F2" w:rsidP="00626691">
            <w:pPr>
              <w:widowControl w:val="0"/>
              <w:spacing w:before="174" w:after="0" w:line="240" w:lineRule="auto"/>
              <w:ind w:left="90"/>
              <w:rPr>
                <w:rFonts w:cs="Calibri"/>
              </w:rPr>
            </w:pPr>
            <w:r w:rsidRPr="00353381">
              <w:rPr>
                <w:b/>
                <w:w w:val="105"/>
              </w:rPr>
              <w:t>Minority</w:t>
            </w:r>
            <w:r w:rsidRPr="00353381">
              <w:rPr>
                <w:b/>
                <w:spacing w:val="5"/>
                <w:w w:val="105"/>
              </w:rPr>
              <w:t xml:space="preserve"> </w:t>
            </w:r>
            <w:r w:rsidRPr="00353381">
              <w:rPr>
                <w:b/>
                <w:w w:val="105"/>
              </w:rPr>
              <w:t>Group</w:t>
            </w:r>
          </w:p>
        </w:tc>
        <w:tc>
          <w:tcPr>
            <w:tcW w:w="1890" w:type="dxa"/>
            <w:tcBorders>
              <w:top w:val="single" w:sz="2" w:space="0" w:color="231F20"/>
              <w:left w:val="single" w:sz="2" w:space="0" w:color="231F20"/>
              <w:bottom w:val="single" w:sz="2" w:space="0" w:color="231F20"/>
              <w:right w:val="single" w:sz="2" w:space="0" w:color="231F20"/>
            </w:tcBorders>
          </w:tcPr>
          <w:p w14:paraId="50F913EC" w14:textId="77777777" w:rsidR="00AA77F2" w:rsidRPr="00353381" w:rsidRDefault="00AA77F2" w:rsidP="00D63204">
            <w:pPr>
              <w:widowControl w:val="0"/>
              <w:spacing w:before="174" w:after="0" w:line="240" w:lineRule="auto"/>
              <w:ind w:left="90"/>
              <w:rPr>
                <w:rFonts w:cs="Calibri"/>
              </w:rPr>
            </w:pPr>
            <w:r w:rsidRPr="00353381">
              <w:rPr>
                <w:b/>
                <w:color w:val="231F20"/>
                <w:w w:val="120"/>
              </w:rPr>
              <w:t>SFY</w:t>
            </w:r>
            <w:r w:rsidRPr="00353381">
              <w:rPr>
                <w:b/>
                <w:color w:val="231F20"/>
                <w:spacing w:val="-36"/>
                <w:w w:val="120"/>
              </w:rPr>
              <w:t xml:space="preserve"> </w:t>
            </w:r>
            <w:r w:rsidRPr="00353381">
              <w:rPr>
                <w:b/>
                <w:color w:val="231F20"/>
                <w:w w:val="120"/>
              </w:rPr>
              <w:t>2014</w:t>
            </w:r>
          </w:p>
        </w:tc>
        <w:tc>
          <w:tcPr>
            <w:tcW w:w="1586" w:type="dxa"/>
            <w:tcBorders>
              <w:top w:val="single" w:sz="2" w:space="0" w:color="231F20"/>
              <w:left w:val="single" w:sz="2" w:space="0" w:color="231F20"/>
              <w:bottom w:val="single" w:sz="2" w:space="0" w:color="231F20"/>
              <w:right w:val="single" w:sz="2" w:space="0" w:color="231F20"/>
            </w:tcBorders>
          </w:tcPr>
          <w:p w14:paraId="7E7E3559" w14:textId="77777777" w:rsidR="00AA77F2" w:rsidRPr="00353381" w:rsidRDefault="00AA77F2" w:rsidP="00D63204">
            <w:pPr>
              <w:widowControl w:val="0"/>
              <w:spacing w:before="174" w:after="0" w:line="240" w:lineRule="auto"/>
              <w:ind w:left="90"/>
              <w:rPr>
                <w:rFonts w:cs="Calibri"/>
              </w:rPr>
            </w:pPr>
            <w:r w:rsidRPr="00353381">
              <w:rPr>
                <w:b/>
                <w:color w:val="231F20"/>
                <w:w w:val="120"/>
              </w:rPr>
              <w:t>SFY</w:t>
            </w:r>
            <w:r w:rsidRPr="00353381">
              <w:rPr>
                <w:b/>
                <w:color w:val="231F20"/>
                <w:spacing w:val="-33"/>
                <w:w w:val="120"/>
              </w:rPr>
              <w:t xml:space="preserve"> </w:t>
            </w:r>
            <w:r w:rsidRPr="00353381">
              <w:rPr>
                <w:b/>
                <w:color w:val="231F20"/>
                <w:w w:val="120"/>
              </w:rPr>
              <w:t>2015</w:t>
            </w:r>
          </w:p>
        </w:tc>
        <w:tc>
          <w:tcPr>
            <w:tcW w:w="1310" w:type="dxa"/>
            <w:tcBorders>
              <w:top w:val="single" w:sz="2" w:space="0" w:color="231F20"/>
              <w:left w:val="single" w:sz="2" w:space="0" w:color="231F20"/>
              <w:bottom w:val="single" w:sz="2" w:space="0" w:color="231F20"/>
              <w:right w:val="single" w:sz="2" w:space="0" w:color="231F20"/>
            </w:tcBorders>
          </w:tcPr>
          <w:p w14:paraId="4AD197C2" w14:textId="77777777" w:rsidR="00AA77F2" w:rsidRPr="00353381" w:rsidRDefault="00AA77F2" w:rsidP="00D63204">
            <w:pPr>
              <w:widowControl w:val="0"/>
              <w:spacing w:before="174" w:after="0" w:line="240" w:lineRule="auto"/>
              <w:ind w:left="90"/>
              <w:rPr>
                <w:rFonts w:cs="Calibri"/>
              </w:rPr>
            </w:pPr>
            <w:r w:rsidRPr="00353381">
              <w:rPr>
                <w:b/>
                <w:color w:val="231F20"/>
                <w:w w:val="120"/>
              </w:rPr>
              <w:t>SFY</w:t>
            </w:r>
            <w:r w:rsidRPr="00353381">
              <w:rPr>
                <w:b/>
                <w:color w:val="231F20"/>
                <w:spacing w:val="-31"/>
                <w:w w:val="120"/>
              </w:rPr>
              <w:t xml:space="preserve"> </w:t>
            </w:r>
            <w:r w:rsidRPr="00353381">
              <w:rPr>
                <w:b/>
                <w:color w:val="231F20"/>
                <w:w w:val="120"/>
              </w:rPr>
              <w:t>2016</w:t>
            </w:r>
          </w:p>
        </w:tc>
        <w:tc>
          <w:tcPr>
            <w:tcW w:w="2767" w:type="dxa"/>
            <w:tcBorders>
              <w:top w:val="single" w:sz="2" w:space="0" w:color="231F20"/>
              <w:left w:val="single" w:sz="2" w:space="0" w:color="231F20"/>
              <w:bottom w:val="single" w:sz="2" w:space="0" w:color="231F20"/>
              <w:right w:val="single" w:sz="2" w:space="0" w:color="231F20"/>
            </w:tcBorders>
          </w:tcPr>
          <w:p w14:paraId="65B7D434" w14:textId="77777777" w:rsidR="00AA77F2" w:rsidRPr="00353381" w:rsidRDefault="00AA77F2" w:rsidP="00D63204">
            <w:pPr>
              <w:widowControl w:val="0"/>
              <w:spacing w:before="40" w:after="0" w:line="240" w:lineRule="auto"/>
              <w:ind w:left="90" w:hanging="215"/>
              <w:rPr>
                <w:rFonts w:cs="Calibri"/>
              </w:rPr>
            </w:pPr>
            <w:r w:rsidRPr="00353381">
              <w:rPr>
                <w:b/>
                <w:color w:val="231F20"/>
                <w:w w:val="105"/>
              </w:rPr>
              <w:t>Difference</w:t>
            </w:r>
            <w:r w:rsidRPr="00353381">
              <w:rPr>
                <w:b/>
                <w:color w:val="231F20"/>
                <w:spacing w:val="35"/>
                <w:w w:val="105"/>
              </w:rPr>
              <w:t xml:space="preserve"> </w:t>
            </w:r>
            <w:r w:rsidRPr="00353381">
              <w:rPr>
                <w:b/>
                <w:color w:val="231F20"/>
                <w:w w:val="105"/>
              </w:rPr>
              <w:t>from</w:t>
            </w:r>
            <w:r w:rsidRPr="00353381">
              <w:rPr>
                <w:b/>
                <w:color w:val="231F20"/>
                <w:spacing w:val="-47"/>
                <w:w w:val="105"/>
              </w:rPr>
              <w:t xml:space="preserve"> </w:t>
            </w:r>
            <w:r w:rsidRPr="00353381">
              <w:rPr>
                <w:b/>
                <w:color w:val="231F20"/>
                <w:w w:val="105"/>
              </w:rPr>
              <w:t>previous</w:t>
            </w:r>
            <w:r w:rsidRPr="00353381">
              <w:rPr>
                <w:b/>
                <w:color w:val="231F20"/>
                <w:spacing w:val="42"/>
                <w:w w:val="105"/>
              </w:rPr>
              <w:t xml:space="preserve"> </w:t>
            </w:r>
            <w:r w:rsidRPr="00353381">
              <w:rPr>
                <w:b/>
                <w:color w:val="231F20"/>
                <w:w w:val="105"/>
              </w:rPr>
              <w:t>year</w:t>
            </w:r>
          </w:p>
        </w:tc>
      </w:tr>
      <w:tr w:rsidR="00AA77F2" w:rsidRPr="00353381" w14:paraId="788DB4D2" w14:textId="77777777" w:rsidTr="00AA77F2">
        <w:trPr>
          <w:trHeight w:hRule="exact" w:val="334"/>
          <w:jc w:val="center"/>
        </w:trPr>
        <w:tc>
          <w:tcPr>
            <w:tcW w:w="2607" w:type="dxa"/>
            <w:tcBorders>
              <w:top w:val="single" w:sz="2" w:space="0" w:color="231F20"/>
              <w:left w:val="single" w:sz="2" w:space="0" w:color="231F20"/>
              <w:bottom w:val="single" w:sz="2" w:space="0" w:color="231F20"/>
              <w:right w:val="single" w:sz="2" w:space="0" w:color="231F20"/>
            </w:tcBorders>
            <w:shd w:val="clear" w:color="auto" w:fill="E6E7E8"/>
          </w:tcPr>
          <w:p w14:paraId="4304FDAA" w14:textId="77777777" w:rsidR="00AA77F2" w:rsidRPr="00353381" w:rsidRDefault="00AA77F2" w:rsidP="00626691">
            <w:pPr>
              <w:widowControl w:val="0"/>
              <w:spacing w:before="42" w:after="0" w:line="240" w:lineRule="auto"/>
              <w:ind w:left="90"/>
              <w:rPr>
                <w:rFonts w:cs="Calibri"/>
              </w:rPr>
            </w:pPr>
            <w:r w:rsidRPr="00353381">
              <w:rPr>
                <w:w w:val="105"/>
              </w:rPr>
              <w:t>African-American</w:t>
            </w:r>
          </w:p>
        </w:tc>
        <w:tc>
          <w:tcPr>
            <w:tcW w:w="1890" w:type="dxa"/>
            <w:tcBorders>
              <w:top w:val="single" w:sz="2" w:space="0" w:color="231F20"/>
              <w:left w:val="single" w:sz="2" w:space="0" w:color="231F20"/>
              <w:bottom w:val="single" w:sz="2" w:space="0" w:color="231F20"/>
              <w:right w:val="single" w:sz="2" w:space="0" w:color="231F20"/>
            </w:tcBorders>
            <w:shd w:val="clear" w:color="auto" w:fill="E6E7E8"/>
          </w:tcPr>
          <w:p w14:paraId="31844B0F" w14:textId="77777777" w:rsidR="00AA77F2" w:rsidRPr="00353381" w:rsidRDefault="00AA77F2" w:rsidP="00D63204">
            <w:pPr>
              <w:widowControl w:val="0"/>
              <w:spacing w:before="42" w:after="0" w:line="240" w:lineRule="auto"/>
              <w:ind w:left="90"/>
              <w:rPr>
                <w:rFonts w:cs="Calibri"/>
              </w:rPr>
            </w:pPr>
            <w:r w:rsidRPr="00353381">
              <w:rPr>
                <w:color w:val="231F20"/>
              </w:rPr>
              <w:t>1,136</w:t>
            </w:r>
          </w:p>
        </w:tc>
        <w:tc>
          <w:tcPr>
            <w:tcW w:w="1586" w:type="dxa"/>
            <w:tcBorders>
              <w:top w:val="single" w:sz="2" w:space="0" w:color="231F20"/>
              <w:left w:val="single" w:sz="2" w:space="0" w:color="231F20"/>
              <w:bottom w:val="single" w:sz="2" w:space="0" w:color="231F20"/>
              <w:right w:val="single" w:sz="2" w:space="0" w:color="231F20"/>
            </w:tcBorders>
            <w:shd w:val="clear" w:color="auto" w:fill="E6E7E8"/>
          </w:tcPr>
          <w:p w14:paraId="3B40524B" w14:textId="77777777" w:rsidR="00AA77F2" w:rsidRPr="00353381" w:rsidRDefault="00AA77F2" w:rsidP="00D63204">
            <w:pPr>
              <w:widowControl w:val="0"/>
              <w:spacing w:before="42" w:after="0" w:line="240" w:lineRule="auto"/>
              <w:ind w:left="90"/>
              <w:rPr>
                <w:rFonts w:cs="Calibri"/>
              </w:rPr>
            </w:pPr>
            <w:r w:rsidRPr="00353381">
              <w:rPr>
                <w:color w:val="231F20"/>
              </w:rPr>
              <w:t>1,453</w:t>
            </w:r>
          </w:p>
        </w:tc>
        <w:tc>
          <w:tcPr>
            <w:tcW w:w="1310" w:type="dxa"/>
            <w:tcBorders>
              <w:top w:val="single" w:sz="2" w:space="0" w:color="231F20"/>
              <w:left w:val="single" w:sz="2" w:space="0" w:color="231F20"/>
              <w:bottom w:val="single" w:sz="2" w:space="0" w:color="231F20"/>
              <w:right w:val="single" w:sz="2" w:space="0" w:color="231F20"/>
            </w:tcBorders>
            <w:shd w:val="clear" w:color="auto" w:fill="E6E7E8"/>
          </w:tcPr>
          <w:p w14:paraId="2DA1EAE7" w14:textId="77777777" w:rsidR="00AA77F2" w:rsidRPr="00353381" w:rsidRDefault="00AA77F2" w:rsidP="00D63204">
            <w:pPr>
              <w:widowControl w:val="0"/>
              <w:spacing w:before="42" w:after="0" w:line="240" w:lineRule="auto"/>
              <w:ind w:left="90"/>
              <w:rPr>
                <w:rFonts w:cs="Calibri"/>
              </w:rPr>
            </w:pPr>
            <w:r w:rsidRPr="00353381">
              <w:rPr>
                <w:rFonts w:cs="Calibri"/>
              </w:rPr>
              <w:t>1829</w:t>
            </w:r>
          </w:p>
        </w:tc>
        <w:tc>
          <w:tcPr>
            <w:tcW w:w="2767" w:type="dxa"/>
            <w:tcBorders>
              <w:top w:val="single" w:sz="2" w:space="0" w:color="231F20"/>
              <w:left w:val="single" w:sz="2" w:space="0" w:color="231F20"/>
              <w:bottom w:val="single" w:sz="2" w:space="0" w:color="231F20"/>
              <w:right w:val="single" w:sz="2" w:space="0" w:color="231F20"/>
            </w:tcBorders>
            <w:shd w:val="clear" w:color="auto" w:fill="E6E7E8"/>
          </w:tcPr>
          <w:p w14:paraId="37BD69B9" w14:textId="787512C3" w:rsidR="00AA77F2" w:rsidRPr="00353381" w:rsidRDefault="00AA77F2" w:rsidP="00D63204">
            <w:pPr>
              <w:widowControl w:val="0"/>
              <w:spacing w:before="42" w:after="0" w:line="240" w:lineRule="auto"/>
              <w:ind w:left="90"/>
              <w:rPr>
                <w:rFonts w:cs="Calibri"/>
              </w:rPr>
            </w:pPr>
            <w:r w:rsidRPr="00353381">
              <w:rPr>
                <w:color w:val="231F20"/>
                <w:w w:val="90"/>
              </w:rPr>
              <w:t>+376</w:t>
            </w:r>
          </w:p>
        </w:tc>
      </w:tr>
      <w:tr w:rsidR="00AA77F2" w:rsidRPr="00353381" w14:paraId="22E0A25A" w14:textId="77777777" w:rsidTr="00AA77F2">
        <w:trPr>
          <w:trHeight w:hRule="exact" w:val="334"/>
          <w:jc w:val="center"/>
        </w:trPr>
        <w:tc>
          <w:tcPr>
            <w:tcW w:w="2607" w:type="dxa"/>
            <w:tcBorders>
              <w:top w:val="single" w:sz="2" w:space="0" w:color="231F20"/>
              <w:left w:val="single" w:sz="2" w:space="0" w:color="231F20"/>
              <w:bottom w:val="single" w:sz="2" w:space="0" w:color="231F20"/>
              <w:right w:val="single" w:sz="2" w:space="0" w:color="231F20"/>
            </w:tcBorders>
          </w:tcPr>
          <w:p w14:paraId="6F5EDB97" w14:textId="77777777" w:rsidR="00AA77F2" w:rsidRPr="00353381" w:rsidRDefault="00AA77F2" w:rsidP="00626691">
            <w:pPr>
              <w:widowControl w:val="0"/>
              <w:spacing w:before="42" w:after="0" w:line="240" w:lineRule="auto"/>
              <w:ind w:left="90"/>
              <w:rPr>
                <w:rFonts w:cs="Calibri"/>
              </w:rPr>
            </w:pPr>
            <w:r w:rsidRPr="00353381">
              <w:rPr>
                <w:w w:val="110"/>
              </w:rPr>
              <w:t>Hispanic</w:t>
            </w:r>
          </w:p>
        </w:tc>
        <w:tc>
          <w:tcPr>
            <w:tcW w:w="1890" w:type="dxa"/>
            <w:tcBorders>
              <w:top w:val="single" w:sz="2" w:space="0" w:color="231F20"/>
              <w:left w:val="single" w:sz="2" w:space="0" w:color="231F20"/>
              <w:bottom w:val="single" w:sz="2" w:space="0" w:color="231F20"/>
              <w:right w:val="single" w:sz="2" w:space="0" w:color="231F20"/>
            </w:tcBorders>
          </w:tcPr>
          <w:p w14:paraId="251B2113" w14:textId="77777777" w:rsidR="00AA77F2" w:rsidRPr="00353381" w:rsidRDefault="00AA77F2" w:rsidP="00D63204">
            <w:pPr>
              <w:widowControl w:val="0"/>
              <w:spacing w:before="42" w:after="0" w:line="240" w:lineRule="auto"/>
              <w:ind w:left="90"/>
              <w:rPr>
                <w:rFonts w:cs="Calibri"/>
              </w:rPr>
            </w:pPr>
            <w:r w:rsidRPr="00353381">
              <w:rPr>
                <w:color w:val="231F20"/>
                <w:w w:val="105"/>
              </w:rPr>
              <w:t>635</w:t>
            </w:r>
          </w:p>
        </w:tc>
        <w:tc>
          <w:tcPr>
            <w:tcW w:w="1586" w:type="dxa"/>
            <w:tcBorders>
              <w:top w:val="single" w:sz="2" w:space="0" w:color="231F20"/>
              <w:left w:val="single" w:sz="2" w:space="0" w:color="231F20"/>
              <w:bottom w:val="single" w:sz="2" w:space="0" w:color="231F20"/>
              <w:right w:val="single" w:sz="2" w:space="0" w:color="231F20"/>
            </w:tcBorders>
          </w:tcPr>
          <w:p w14:paraId="1CD09B10" w14:textId="77777777" w:rsidR="00AA77F2" w:rsidRPr="00353381" w:rsidRDefault="00AA77F2" w:rsidP="00D63204">
            <w:pPr>
              <w:widowControl w:val="0"/>
              <w:spacing w:before="42" w:after="0" w:line="240" w:lineRule="auto"/>
              <w:ind w:left="90"/>
              <w:rPr>
                <w:rFonts w:cs="Calibri"/>
              </w:rPr>
            </w:pPr>
            <w:r w:rsidRPr="00353381">
              <w:rPr>
                <w:color w:val="231F20"/>
                <w:w w:val="105"/>
              </w:rPr>
              <w:t>877</w:t>
            </w:r>
          </w:p>
        </w:tc>
        <w:tc>
          <w:tcPr>
            <w:tcW w:w="1310" w:type="dxa"/>
            <w:tcBorders>
              <w:top w:val="single" w:sz="2" w:space="0" w:color="231F20"/>
              <w:left w:val="single" w:sz="2" w:space="0" w:color="231F20"/>
              <w:bottom w:val="single" w:sz="2" w:space="0" w:color="231F20"/>
              <w:right w:val="single" w:sz="2" w:space="0" w:color="231F20"/>
            </w:tcBorders>
          </w:tcPr>
          <w:p w14:paraId="09D98165" w14:textId="77777777" w:rsidR="00AA77F2" w:rsidRPr="00353381" w:rsidRDefault="00AA77F2" w:rsidP="00D63204">
            <w:pPr>
              <w:widowControl w:val="0"/>
              <w:spacing w:before="42" w:after="0" w:line="240" w:lineRule="auto"/>
              <w:ind w:left="90"/>
              <w:rPr>
                <w:rFonts w:cs="Calibri"/>
              </w:rPr>
            </w:pPr>
            <w:r w:rsidRPr="00353381">
              <w:rPr>
                <w:rFonts w:cs="Calibri"/>
              </w:rPr>
              <w:t>1156</w:t>
            </w:r>
          </w:p>
        </w:tc>
        <w:tc>
          <w:tcPr>
            <w:tcW w:w="2767" w:type="dxa"/>
            <w:tcBorders>
              <w:top w:val="single" w:sz="2" w:space="0" w:color="231F20"/>
              <w:left w:val="single" w:sz="2" w:space="0" w:color="231F20"/>
              <w:bottom w:val="single" w:sz="2" w:space="0" w:color="231F20"/>
              <w:right w:val="single" w:sz="2" w:space="0" w:color="231F20"/>
            </w:tcBorders>
          </w:tcPr>
          <w:p w14:paraId="7845A53A" w14:textId="3E5DAA64" w:rsidR="00AA77F2" w:rsidRPr="00353381" w:rsidRDefault="00AA77F2" w:rsidP="00D63204">
            <w:pPr>
              <w:widowControl w:val="0"/>
              <w:spacing w:before="42" w:after="0" w:line="240" w:lineRule="auto"/>
              <w:ind w:left="90"/>
              <w:rPr>
                <w:rFonts w:cs="Calibri"/>
              </w:rPr>
            </w:pPr>
            <w:r w:rsidRPr="00353381">
              <w:rPr>
                <w:color w:val="231F20"/>
                <w:w w:val="110"/>
              </w:rPr>
              <w:t>+279</w:t>
            </w:r>
          </w:p>
        </w:tc>
      </w:tr>
      <w:tr w:rsidR="00AA77F2" w:rsidRPr="00353381" w14:paraId="1754EB21" w14:textId="77777777" w:rsidTr="00AA77F2">
        <w:trPr>
          <w:trHeight w:hRule="exact" w:val="334"/>
          <w:jc w:val="center"/>
        </w:trPr>
        <w:tc>
          <w:tcPr>
            <w:tcW w:w="2607" w:type="dxa"/>
            <w:tcBorders>
              <w:top w:val="single" w:sz="2" w:space="0" w:color="231F20"/>
              <w:left w:val="single" w:sz="2" w:space="0" w:color="231F20"/>
              <w:bottom w:val="single" w:sz="2" w:space="0" w:color="231F20"/>
              <w:right w:val="single" w:sz="2" w:space="0" w:color="231F20"/>
            </w:tcBorders>
            <w:shd w:val="clear" w:color="auto" w:fill="E6E7E8"/>
          </w:tcPr>
          <w:p w14:paraId="1EC108F9" w14:textId="77777777" w:rsidR="00AA77F2" w:rsidRPr="00353381" w:rsidRDefault="00AA77F2" w:rsidP="00626691">
            <w:pPr>
              <w:widowControl w:val="0"/>
              <w:spacing w:before="42" w:after="0" w:line="240" w:lineRule="auto"/>
              <w:ind w:left="90"/>
              <w:rPr>
                <w:rFonts w:cs="Calibri"/>
              </w:rPr>
            </w:pPr>
            <w:r w:rsidRPr="00353381">
              <w:rPr>
                <w:w w:val="110"/>
              </w:rPr>
              <w:t>Asian</w:t>
            </w:r>
          </w:p>
        </w:tc>
        <w:tc>
          <w:tcPr>
            <w:tcW w:w="1890" w:type="dxa"/>
            <w:tcBorders>
              <w:top w:val="single" w:sz="2" w:space="0" w:color="231F20"/>
              <w:left w:val="single" w:sz="2" w:space="0" w:color="231F20"/>
              <w:bottom w:val="single" w:sz="2" w:space="0" w:color="231F20"/>
              <w:right w:val="single" w:sz="2" w:space="0" w:color="231F20"/>
            </w:tcBorders>
            <w:shd w:val="clear" w:color="auto" w:fill="E6E7E8"/>
          </w:tcPr>
          <w:p w14:paraId="6E820DB9" w14:textId="77777777" w:rsidR="00AA77F2" w:rsidRPr="00353381" w:rsidRDefault="00AA77F2" w:rsidP="00D63204">
            <w:pPr>
              <w:widowControl w:val="0"/>
              <w:spacing w:before="42" w:after="0" w:line="240" w:lineRule="auto"/>
              <w:ind w:left="90"/>
              <w:rPr>
                <w:rFonts w:cs="Calibri"/>
              </w:rPr>
            </w:pPr>
            <w:r w:rsidRPr="00353381">
              <w:rPr>
                <w:color w:val="231F20"/>
                <w:w w:val="110"/>
              </w:rPr>
              <w:t>58</w:t>
            </w:r>
          </w:p>
        </w:tc>
        <w:tc>
          <w:tcPr>
            <w:tcW w:w="1586" w:type="dxa"/>
            <w:tcBorders>
              <w:top w:val="single" w:sz="2" w:space="0" w:color="231F20"/>
              <w:left w:val="single" w:sz="2" w:space="0" w:color="231F20"/>
              <w:bottom w:val="single" w:sz="2" w:space="0" w:color="231F20"/>
              <w:right w:val="single" w:sz="2" w:space="0" w:color="231F20"/>
            </w:tcBorders>
            <w:shd w:val="clear" w:color="auto" w:fill="E6E7E8"/>
          </w:tcPr>
          <w:p w14:paraId="0E55672C" w14:textId="77777777" w:rsidR="00AA77F2" w:rsidRPr="00353381" w:rsidRDefault="00AA77F2" w:rsidP="00D63204">
            <w:pPr>
              <w:widowControl w:val="0"/>
              <w:spacing w:before="42" w:after="0" w:line="240" w:lineRule="auto"/>
              <w:ind w:left="90"/>
              <w:rPr>
                <w:rFonts w:cs="Calibri"/>
              </w:rPr>
            </w:pPr>
            <w:r w:rsidRPr="00353381">
              <w:rPr>
                <w:color w:val="231F20"/>
                <w:w w:val="110"/>
              </w:rPr>
              <w:t>70</w:t>
            </w:r>
          </w:p>
        </w:tc>
        <w:tc>
          <w:tcPr>
            <w:tcW w:w="1310" w:type="dxa"/>
            <w:tcBorders>
              <w:top w:val="single" w:sz="2" w:space="0" w:color="231F20"/>
              <w:left w:val="single" w:sz="2" w:space="0" w:color="231F20"/>
              <w:bottom w:val="single" w:sz="2" w:space="0" w:color="231F20"/>
              <w:right w:val="single" w:sz="2" w:space="0" w:color="231F20"/>
            </w:tcBorders>
            <w:shd w:val="clear" w:color="auto" w:fill="E6E7E8"/>
          </w:tcPr>
          <w:p w14:paraId="7D63CB49" w14:textId="77777777" w:rsidR="00AA77F2" w:rsidRPr="00353381" w:rsidRDefault="00AA77F2" w:rsidP="00D63204">
            <w:pPr>
              <w:widowControl w:val="0"/>
              <w:spacing w:before="42" w:after="0" w:line="240" w:lineRule="auto"/>
              <w:ind w:left="90"/>
              <w:rPr>
                <w:rFonts w:cs="Calibri"/>
              </w:rPr>
            </w:pPr>
            <w:r w:rsidRPr="00353381">
              <w:rPr>
                <w:rFonts w:cs="Calibri"/>
              </w:rPr>
              <w:t>87</w:t>
            </w:r>
          </w:p>
        </w:tc>
        <w:tc>
          <w:tcPr>
            <w:tcW w:w="2767" w:type="dxa"/>
            <w:tcBorders>
              <w:top w:val="single" w:sz="2" w:space="0" w:color="231F20"/>
              <w:left w:val="single" w:sz="2" w:space="0" w:color="231F20"/>
              <w:bottom w:val="single" w:sz="2" w:space="0" w:color="231F20"/>
              <w:right w:val="single" w:sz="2" w:space="0" w:color="231F20"/>
            </w:tcBorders>
            <w:shd w:val="clear" w:color="auto" w:fill="E6E7E8"/>
          </w:tcPr>
          <w:p w14:paraId="787ABA95" w14:textId="2A5E995E" w:rsidR="00AA77F2" w:rsidRPr="00353381" w:rsidRDefault="00AA77F2" w:rsidP="00D63204">
            <w:pPr>
              <w:widowControl w:val="0"/>
              <w:spacing w:before="42" w:after="0" w:line="240" w:lineRule="auto"/>
              <w:ind w:left="90"/>
              <w:rPr>
                <w:rFonts w:cs="Calibri"/>
              </w:rPr>
            </w:pPr>
            <w:r w:rsidRPr="00353381">
              <w:rPr>
                <w:color w:val="231F20"/>
                <w:w w:val="90"/>
              </w:rPr>
              <w:t>+17</w:t>
            </w:r>
          </w:p>
        </w:tc>
      </w:tr>
      <w:tr w:rsidR="00AA77F2" w:rsidRPr="00353381" w14:paraId="6201E369" w14:textId="77777777" w:rsidTr="00AA77F2">
        <w:trPr>
          <w:trHeight w:hRule="exact" w:val="598"/>
          <w:jc w:val="center"/>
        </w:trPr>
        <w:tc>
          <w:tcPr>
            <w:tcW w:w="2607" w:type="dxa"/>
            <w:tcBorders>
              <w:top w:val="single" w:sz="2" w:space="0" w:color="231F20"/>
              <w:left w:val="single" w:sz="2" w:space="0" w:color="231F20"/>
              <w:bottom w:val="single" w:sz="2" w:space="0" w:color="231F20"/>
              <w:right w:val="single" w:sz="2" w:space="0" w:color="231F20"/>
            </w:tcBorders>
          </w:tcPr>
          <w:p w14:paraId="2FCD145A" w14:textId="77777777" w:rsidR="00AA77F2" w:rsidRPr="00353381" w:rsidRDefault="00AA77F2" w:rsidP="00626691">
            <w:pPr>
              <w:widowControl w:val="0"/>
              <w:spacing w:before="40" w:after="0" w:line="240" w:lineRule="auto"/>
              <w:ind w:left="90"/>
              <w:rPr>
                <w:rFonts w:cs="Calibri"/>
              </w:rPr>
            </w:pPr>
            <w:r w:rsidRPr="00353381">
              <w:rPr>
                <w:w w:val="105"/>
              </w:rPr>
              <w:t>Native</w:t>
            </w:r>
            <w:r w:rsidRPr="00353381">
              <w:rPr>
                <w:spacing w:val="21"/>
                <w:w w:val="105"/>
              </w:rPr>
              <w:t xml:space="preserve"> </w:t>
            </w:r>
            <w:r w:rsidRPr="00353381">
              <w:rPr>
                <w:w w:val="105"/>
              </w:rPr>
              <w:t>Hawaiian/Pacific</w:t>
            </w:r>
            <w:r w:rsidRPr="00353381">
              <w:rPr>
                <w:spacing w:val="-51"/>
                <w:w w:val="105"/>
              </w:rPr>
              <w:t xml:space="preserve"> </w:t>
            </w:r>
            <w:r w:rsidRPr="00353381">
              <w:rPr>
                <w:w w:val="105"/>
              </w:rPr>
              <w:t>Islanders</w:t>
            </w:r>
          </w:p>
        </w:tc>
        <w:tc>
          <w:tcPr>
            <w:tcW w:w="1890" w:type="dxa"/>
            <w:tcBorders>
              <w:top w:val="single" w:sz="2" w:space="0" w:color="231F20"/>
              <w:left w:val="single" w:sz="2" w:space="0" w:color="231F20"/>
              <w:bottom w:val="single" w:sz="2" w:space="0" w:color="231F20"/>
              <w:right w:val="single" w:sz="2" w:space="0" w:color="231F20"/>
            </w:tcBorders>
          </w:tcPr>
          <w:p w14:paraId="69927F7C" w14:textId="77777777" w:rsidR="00AA77F2" w:rsidRPr="00353381" w:rsidRDefault="00AA77F2" w:rsidP="00D63204">
            <w:pPr>
              <w:widowControl w:val="0"/>
              <w:spacing w:before="174" w:after="0" w:line="240" w:lineRule="auto"/>
              <w:ind w:left="90"/>
              <w:rPr>
                <w:rFonts w:cs="Calibri"/>
              </w:rPr>
            </w:pPr>
            <w:r w:rsidRPr="00353381">
              <w:rPr>
                <w:color w:val="231F20"/>
                <w:w w:val="85"/>
              </w:rPr>
              <w:t>14</w:t>
            </w:r>
          </w:p>
        </w:tc>
        <w:tc>
          <w:tcPr>
            <w:tcW w:w="1586" w:type="dxa"/>
            <w:tcBorders>
              <w:top w:val="single" w:sz="2" w:space="0" w:color="231F20"/>
              <w:left w:val="single" w:sz="2" w:space="0" w:color="231F20"/>
              <w:bottom w:val="single" w:sz="2" w:space="0" w:color="231F20"/>
              <w:right w:val="single" w:sz="2" w:space="0" w:color="231F20"/>
            </w:tcBorders>
          </w:tcPr>
          <w:p w14:paraId="34319A21" w14:textId="77777777" w:rsidR="00AA77F2" w:rsidRPr="00353381" w:rsidRDefault="00AA77F2" w:rsidP="00D63204">
            <w:pPr>
              <w:widowControl w:val="0"/>
              <w:spacing w:before="174" w:after="0" w:line="240" w:lineRule="auto"/>
              <w:ind w:left="90"/>
              <w:rPr>
                <w:rFonts w:cs="Calibri"/>
              </w:rPr>
            </w:pPr>
            <w:r w:rsidRPr="00353381">
              <w:rPr>
                <w:color w:val="231F20"/>
                <w:w w:val="85"/>
              </w:rPr>
              <w:t>13</w:t>
            </w:r>
          </w:p>
        </w:tc>
        <w:tc>
          <w:tcPr>
            <w:tcW w:w="1310" w:type="dxa"/>
            <w:tcBorders>
              <w:top w:val="single" w:sz="2" w:space="0" w:color="231F20"/>
              <w:left w:val="single" w:sz="2" w:space="0" w:color="231F20"/>
              <w:bottom w:val="single" w:sz="2" w:space="0" w:color="231F20"/>
              <w:right w:val="single" w:sz="2" w:space="0" w:color="231F20"/>
            </w:tcBorders>
          </w:tcPr>
          <w:p w14:paraId="6DF2B4E9" w14:textId="77777777" w:rsidR="00AA77F2" w:rsidRPr="00353381" w:rsidRDefault="00AA77F2" w:rsidP="00D63204">
            <w:pPr>
              <w:widowControl w:val="0"/>
              <w:spacing w:before="174" w:after="0" w:line="240" w:lineRule="auto"/>
              <w:ind w:left="90"/>
              <w:rPr>
                <w:rFonts w:cs="Calibri"/>
              </w:rPr>
            </w:pPr>
            <w:r w:rsidRPr="00353381">
              <w:rPr>
                <w:rFonts w:cs="Calibri"/>
              </w:rPr>
              <w:t>9</w:t>
            </w:r>
          </w:p>
        </w:tc>
        <w:tc>
          <w:tcPr>
            <w:tcW w:w="2767" w:type="dxa"/>
            <w:tcBorders>
              <w:top w:val="single" w:sz="2" w:space="0" w:color="231F20"/>
              <w:left w:val="single" w:sz="2" w:space="0" w:color="231F20"/>
              <w:bottom w:val="single" w:sz="2" w:space="0" w:color="231F20"/>
              <w:right w:val="single" w:sz="2" w:space="0" w:color="231F20"/>
            </w:tcBorders>
          </w:tcPr>
          <w:p w14:paraId="13132F15" w14:textId="0A2E793A" w:rsidR="00AA77F2" w:rsidRPr="00353381" w:rsidRDefault="00AA77F2" w:rsidP="00D63204">
            <w:pPr>
              <w:widowControl w:val="0"/>
              <w:spacing w:before="174" w:after="0" w:line="240" w:lineRule="auto"/>
              <w:ind w:left="90"/>
              <w:rPr>
                <w:rFonts w:cs="Calibri"/>
              </w:rPr>
            </w:pPr>
            <w:r w:rsidRPr="00353381">
              <w:rPr>
                <w:color w:val="231F20"/>
                <w:w w:val="75"/>
              </w:rPr>
              <w:t>-4</w:t>
            </w:r>
          </w:p>
        </w:tc>
      </w:tr>
    </w:tbl>
    <w:p w14:paraId="7D7E287B" w14:textId="77777777" w:rsidR="00AA77F2" w:rsidRPr="00353381" w:rsidRDefault="00AA77F2" w:rsidP="00D63204">
      <w:pPr>
        <w:spacing w:after="0" w:line="240" w:lineRule="auto"/>
        <w:ind w:left="90"/>
        <w:rPr>
          <w:b/>
        </w:rPr>
      </w:pPr>
    </w:p>
    <w:p w14:paraId="6BE3E1C1" w14:textId="77777777" w:rsidR="00AA77F2" w:rsidRPr="00353381" w:rsidRDefault="00AA77F2" w:rsidP="00D63204">
      <w:pPr>
        <w:spacing w:after="0" w:line="240" w:lineRule="auto"/>
        <w:ind w:left="90"/>
        <w:rPr>
          <w:b/>
        </w:rPr>
      </w:pPr>
    </w:p>
    <w:p w14:paraId="74F78522" w14:textId="77777777" w:rsidR="00626691" w:rsidRDefault="00626691" w:rsidP="00D63204">
      <w:pPr>
        <w:spacing w:line="240" w:lineRule="auto"/>
        <w:ind w:left="90"/>
        <w:rPr>
          <w:b/>
        </w:rPr>
      </w:pPr>
    </w:p>
    <w:p w14:paraId="205898AF" w14:textId="5C7E5108" w:rsidR="00AA77F2" w:rsidRPr="00353381" w:rsidRDefault="00AA77F2" w:rsidP="00D63204">
      <w:pPr>
        <w:spacing w:line="240" w:lineRule="auto"/>
        <w:ind w:left="90"/>
        <w:rPr>
          <w:b/>
        </w:rPr>
      </w:pPr>
      <w:r w:rsidRPr="00353381">
        <w:rPr>
          <w:b/>
        </w:rPr>
        <w:t xml:space="preserve">Goal 3.0 Create an environment that fosters an exemplary division workforce. </w:t>
      </w:r>
    </w:p>
    <w:p w14:paraId="01E636E3" w14:textId="33ED63E3" w:rsidR="00AA77F2" w:rsidRPr="00353381" w:rsidRDefault="00AA77F2" w:rsidP="00D63204">
      <w:pPr>
        <w:spacing w:line="240" w:lineRule="auto"/>
        <w:ind w:left="90"/>
      </w:pPr>
      <w:r w:rsidRPr="00353381">
        <w:rPr>
          <w:b/>
        </w:rPr>
        <w:t>Measure:</w:t>
      </w:r>
      <w:r w:rsidRPr="00353381">
        <w:t xml:space="preserve"> This goal is measured by employee satisfaction surveys and staff development training surveys. </w:t>
      </w:r>
    </w:p>
    <w:p w14:paraId="77D4569D" w14:textId="2813F350" w:rsidR="00AA77F2" w:rsidRPr="00353381" w:rsidRDefault="00AA77F2" w:rsidP="00D63204">
      <w:pPr>
        <w:spacing w:line="240" w:lineRule="auto"/>
        <w:ind w:left="90"/>
      </w:pPr>
      <w:r w:rsidRPr="00353381">
        <w:rPr>
          <w:b/>
        </w:rPr>
        <w:t>Strategy 3.1</w:t>
      </w:r>
      <w:r w:rsidRPr="00353381">
        <w:t xml:space="preserve"> Increase staff development and contin</w:t>
      </w:r>
      <w:r w:rsidR="00891B26">
        <w:t>ue</w:t>
      </w:r>
      <w:r w:rsidRPr="00353381">
        <w:t xml:space="preserve"> education. </w:t>
      </w:r>
    </w:p>
    <w:p w14:paraId="280BAF10" w14:textId="4C515A9D" w:rsidR="00AA77F2" w:rsidRPr="00353381" w:rsidRDefault="00AA77F2" w:rsidP="00D63204">
      <w:pPr>
        <w:spacing w:line="240" w:lineRule="auto"/>
        <w:ind w:left="90"/>
      </w:pPr>
      <w:r w:rsidRPr="00353381">
        <w:t>FDBS provided the following training: a) three regional trainings involving case management and role of the counselor, b) technical assistance and continuing education webinar training titled Innovative Strategies for Serving Youth in Transition, c) vocational rehabilitation statewide training involving policy, rehabilitation process and conflict resolution, d) eye medical webinar training, e) technology training, f) new vocational rehabilitation counselor training, g) Rhode Island Quality Assurance Summit, h) new employee training, i) supervisory training, j) Employment Outcomes Professionals II training and; k) Talent Acquisition Portal and Train the Trainer training. FDBS provides ongoing training to personnel at all levels for staff development and continuing education</w:t>
      </w:r>
      <w:r w:rsidR="005E7C49">
        <w:t xml:space="preserve">. </w:t>
      </w:r>
    </w:p>
    <w:p w14:paraId="3CF0251D" w14:textId="51E27A72" w:rsidR="00EA7458" w:rsidRPr="00353381" w:rsidRDefault="00626691" w:rsidP="00E567C2">
      <w:pPr>
        <w:rPr>
          <w:rFonts w:cs="Calibri"/>
        </w:rPr>
      </w:pPr>
      <w:r>
        <w:rPr>
          <w:rFonts w:cs="Calibri"/>
        </w:rPr>
        <w:br w:type="page"/>
      </w:r>
    </w:p>
    <w:p w14:paraId="73F31A1F" w14:textId="50E713BC" w:rsidR="00D2635C" w:rsidRPr="00353381" w:rsidRDefault="00D2635C" w:rsidP="00D63204">
      <w:pPr>
        <w:spacing w:after="0" w:line="240" w:lineRule="auto"/>
        <w:ind w:left="90"/>
        <w:rPr>
          <w:b/>
        </w:rPr>
      </w:pPr>
      <w:r w:rsidRPr="00353381">
        <w:rPr>
          <w:b/>
        </w:rPr>
        <w:t>Figure 10.12</w:t>
      </w:r>
    </w:p>
    <w:p w14:paraId="503E1B82" w14:textId="644A252E" w:rsidR="00D2635C" w:rsidRPr="00353381" w:rsidRDefault="00D2635C" w:rsidP="00D63204">
      <w:pPr>
        <w:spacing w:line="240" w:lineRule="auto"/>
        <w:ind w:left="90"/>
        <w:rPr>
          <w:b/>
        </w:rPr>
      </w:pPr>
      <w:r w:rsidRPr="00353381">
        <w:rPr>
          <w:b/>
        </w:rPr>
        <w:t>FDBS Training Offered FFY 2016-2017</w:t>
      </w:r>
    </w:p>
    <w:tbl>
      <w:tblPr>
        <w:tblW w:w="0" w:type="auto"/>
        <w:tblInd w:w="108" w:type="dxa"/>
        <w:shd w:val="clear" w:color="auto" w:fill="FFFFFF" w:themeFill="background1"/>
        <w:tblLayout w:type="fixed"/>
        <w:tblCellMar>
          <w:left w:w="0" w:type="dxa"/>
          <w:right w:w="0" w:type="dxa"/>
        </w:tblCellMar>
        <w:tblLook w:val="01E0" w:firstRow="1" w:lastRow="1" w:firstColumn="1" w:lastColumn="1" w:noHBand="0" w:noVBand="0"/>
      </w:tblPr>
      <w:tblGrid>
        <w:gridCol w:w="2445"/>
        <w:gridCol w:w="7715"/>
      </w:tblGrid>
      <w:tr w:rsidR="00D2635C" w:rsidRPr="00353381" w14:paraId="752CFDC3" w14:textId="77777777" w:rsidTr="001429C7">
        <w:trPr>
          <w:trHeight w:hRule="exact" w:val="450"/>
        </w:trPr>
        <w:tc>
          <w:tcPr>
            <w:tcW w:w="2445" w:type="dxa"/>
            <w:tcBorders>
              <w:top w:val="single" w:sz="2" w:space="0" w:color="231F20"/>
              <w:left w:val="single" w:sz="2" w:space="0" w:color="231F20"/>
              <w:bottom w:val="single" w:sz="2" w:space="0" w:color="231F20"/>
              <w:right w:val="single" w:sz="2" w:space="0" w:color="231F20"/>
            </w:tcBorders>
            <w:shd w:val="clear" w:color="auto" w:fill="auto"/>
          </w:tcPr>
          <w:p w14:paraId="79B23AFE" w14:textId="77777777" w:rsidR="00D2635C" w:rsidRPr="00353381" w:rsidRDefault="00D2635C" w:rsidP="00D63204">
            <w:pPr>
              <w:widowControl w:val="0"/>
              <w:spacing w:before="111" w:after="0" w:line="240" w:lineRule="auto"/>
              <w:ind w:left="90"/>
              <w:rPr>
                <w:rFonts w:cs="Calibri"/>
              </w:rPr>
            </w:pPr>
            <w:r w:rsidRPr="00353381">
              <w:rPr>
                <w:rFonts w:cs="Calibri"/>
                <w:b/>
                <w:w w:val="110"/>
              </w:rPr>
              <w:t>Date</w:t>
            </w:r>
          </w:p>
        </w:tc>
        <w:tc>
          <w:tcPr>
            <w:tcW w:w="7715" w:type="dxa"/>
            <w:tcBorders>
              <w:top w:val="single" w:sz="2" w:space="0" w:color="231F20"/>
              <w:left w:val="single" w:sz="2" w:space="0" w:color="231F20"/>
              <w:bottom w:val="single" w:sz="2" w:space="0" w:color="231F20"/>
              <w:right w:val="single" w:sz="2" w:space="0" w:color="231F20"/>
            </w:tcBorders>
            <w:shd w:val="clear" w:color="auto" w:fill="auto"/>
          </w:tcPr>
          <w:p w14:paraId="458E0A46" w14:textId="77777777" w:rsidR="00D2635C" w:rsidRPr="00353381" w:rsidRDefault="00D2635C" w:rsidP="00D63204">
            <w:pPr>
              <w:widowControl w:val="0"/>
              <w:spacing w:before="111" w:after="0" w:line="240" w:lineRule="auto"/>
              <w:ind w:left="90"/>
              <w:rPr>
                <w:rFonts w:cs="Calibri"/>
              </w:rPr>
            </w:pPr>
            <w:r w:rsidRPr="00353381">
              <w:rPr>
                <w:rFonts w:cs="Calibri"/>
                <w:b/>
                <w:w w:val="110"/>
              </w:rPr>
              <w:t>Training</w:t>
            </w:r>
            <w:r w:rsidRPr="00353381">
              <w:rPr>
                <w:rFonts w:cs="Calibri"/>
                <w:b/>
                <w:spacing w:val="-20"/>
                <w:w w:val="110"/>
              </w:rPr>
              <w:t xml:space="preserve"> </w:t>
            </w:r>
            <w:r w:rsidRPr="00353381">
              <w:rPr>
                <w:rFonts w:cs="Calibri"/>
                <w:b/>
                <w:w w:val="110"/>
              </w:rPr>
              <w:t>Description</w:t>
            </w:r>
          </w:p>
        </w:tc>
      </w:tr>
      <w:tr w:rsidR="00D2635C" w:rsidRPr="00353381" w14:paraId="38938DDB" w14:textId="77777777" w:rsidTr="001429C7">
        <w:trPr>
          <w:trHeight w:hRule="exact" w:val="318"/>
        </w:trPr>
        <w:tc>
          <w:tcPr>
            <w:tcW w:w="2445" w:type="dxa"/>
            <w:tcBorders>
              <w:top w:val="single" w:sz="2" w:space="0" w:color="231F20"/>
              <w:left w:val="single" w:sz="2" w:space="0" w:color="231F20"/>
              <w:bottom w:val="single" w:sz="2" w:space="0" w:color="231F20"/>
              <w:right w:val="single" w:sz="2" w:space="0" w:color="231F20"/>
            </w:tcBorders>
            <w:shd w:val="clear" w:color="auto" w:fill="FFFFFF" w:themeFill="background1"/>
            <w:vAlign w:val="bottom"/>
          </w:tcPr>
          <w:p w14:paraId="5A1015FA" w14:textId="77777777" w:rsidR="00D2635C" w:rsidRPr="00353381" w:rsidRDefault="00D2635C" w:rsidP="00D63204">
            <w:pPr>
              <w:widowControl w:val="0"/>
              <w:spacing w:before="45" w:after="0" w:line="240" w:lineRule="auto"/>
              <w:ind w:left="90"/>
              <w:rPr>
                <w:rFonts w:cs="Calibri"/>
                <w:w w:val="105"/>
              </w:rPr>
            </w:pPr>
            <w:r w:rsidRPr="00353381">
              <w:rPr>
                <w:rFonts w:cs="Calibri"/>
                <w:color w:val="000000"/>
              </w:rPr>
              <w:t>February 2016</w:t>
            </w:r>
          </w:p>
        </w:tc>
        <w:tc>
          <w:tcPr>
            <w:tcW w:w="7715" w:type="dxa"/>
            <w:tcBorders>
              <w:top w:val="single" w:sz="2" w:space="0" w:color="231F20"/>
              <w:left w:val="single" w:sz="2" w:space="0" w:color="231F20"/>
              <w:bottom w:val="single" w:sz="2" w:space="0" w:color="231F20"/>
              <w:right w:val="single" w:sz="2" w:space="0" w:color="231F20"/>
            </w:tcBorders>
            <w:shd w:val="clear" w:color="auto" w:fill="FFFFFF" w:themeFill="background1"/>
            <w:vAlign w:val="bottom"/>
          </w:tcPr>
          <w:p w14:paraId="362806A4" w14:textId="77777777" w:rsidR="00D2635C" w:rsidRPr="00353381" w:rsidRDefault="00D2635C" w:rsidP="00D63204">
            <w:pPr>
              <w:widowControl w:val="0"/>
              <w:spacing w:before="45" w:after="0" w:line="240" w:lineRule="auto"/>
              <w:ind w:left="90"/>
              <w:rPr>
                <w:rFonts w:cs="Calibri"/>
                <w:w w:val="105"/>
              </w:rPr>
            </w:pPr>
            <w:r w:rsidRPr="00353381">
              <w:rPr>
                <w:rFonts w:cs="Calibri"/>
                <w:color w:val="000000"/>
              </w:rPr>
              <w:t>New Employee Training</w:t>
            </w:r>
          </w:p>
        </w:tc>
      </w:tr>
      <w:tr w:rsidR="00D2635C" w:rsidRPr="00353381" w14:paraId="0AB727FE" w14:textId="77777777" w:rsidTr="001429C7">
        <w:trPr>
          <w:trHeight w:hRule="exact" w:val="318"/>
        </w:trPr>
        <w:tc>
          <w:tcPr>
            <w:tcW w:w="2445" w:type="dxa"/>
            <w:tcBorders>
              <w:top w:val="single" w:sz="2" w:space="0" w:color="231F20"/>
              <w:left w:val="single" w:sz="2" w:space="0" w:color="231F20"/>
              <w:bottom w:val="single" w:sz="2" w:space="0" w:color="231F20"/>
              <w:right w:val="single" w:sz="2" w:space="0" w:color="231F20"/>
            </w:tcBorders>
            <w:shd w:val="clear" w:color="auto" w:fill="FFFFFF" w:themeFill="background1"/>
            <w:vAlign w:val="bottom"/>
          </w:tcPr>
          <w:p w14:paraId="0FB5E0F4" w14:textId="77777777" w:rsidR="00D2635C" w:rsidRPr="00353381" w:rsidRDefault="00D2635C" w:rsidP="00D63204">
            <w:pPr>
              <w:widowControl w:val="0"/>
              <w:spacing w:before="45" w:after="0" w:line="240" w:lineRule="auto"/>
              <w:ind w:left="90"/>
              <w:rPr>
                <w:rFonts w:cs="Calibri"/>
                <w:w w:val="105"/>
              </w:rPr>
            </w:pPr>
            <w:r w:rsidRPr="00353381">
              <w:rPr>
                <w:rFonts w:cs="Calibri"/>
                <w:color w:val="000000"/>
              </w:rPr>
              <w:t>February 2016</w:t>
            </w:r>
          </w:p>
        </w:tc>
        <w:tc>
          <w:tcPr>
            <w:tcW w:w="7715" w:type="dxa"/>
            <w:tcBorders>
              <w:top w:val="single" w:sz="2" w:space="0" w:color="231F20"/>
              <w:left w:val="single" w:sz="2" w:space="0" w:color="231F20"/>
              <w:bottom w:val="single" w:sz="2" w:space="0" w:color="231F20"/>
              <w:right w:val="single" w:sz="2" w:space="0" w:color="231F20"/>
            </w:tcBorders>
            <w:shd w:val="clear" w:color="auto" w:fill="FFFFFF" w:themeFill="background1"/>
            <w:vAlign w:val="bottom"/>
          </w:tcPr>
          <w:p w14:paraId="4F83B4AD" w14:textId="77777777" w:rsidR="00D2635C" w:rsidRPr="00353381" w:rsidRDefault="00D2635C" w:rsidP="00D63204">
            <w:pPr>
              <w:widowControl w:val="0"/>
              <w:spacing w:before="45" w:after="0" w:line="240" w:lineRule="auto"/>
              <w:ind w:left="90"/>
              <w:rPr>
                <w:rFonts w:cs="Calibri"/>
                <w:w w:val="105"/>
              </w:rPr>
            </w:pPr>
            <w:r w:rsidRPr="00353381">
              <w:rPr>
                <w:rFonts w:cs="Calibri"/>
                <w:color w:val="000000"/>
              </w:rPr>
              <w:t>Administrative Staff Meeting</w:t>
            </w:r>
          </w:p>
        </w:tc>
      </w:tr>
      <w:tr w:rsidR="00D2635C" w:rsidRPr="00353381" w14:paraId="1D6F49BE" w14:textId="77777777" w:rsidTr="001429C7">
        <w:trPr>
          <w:trHeight w:hRule="exact" w:val="318"/>
        </w:trPr>
        <w:tc>
          <w:tcPr>
            <w:tcW w:w="2445" w:type="dxa"/>
            <w:tcBorders>
              <w:top w:val="single" w:sz="2" w:space="0" w:color="231F20"/>
              <w:left w:val="single" w:sz="2" w:space="0" w:color="231F20"/>
              <w:bottom w:val="single" w:sz="2" w:space="0" w:color="231F20"/>
              <w:right w:val="single" w:sz="2" w:space="0" w:color="231F20"/>
            </w:tcBorders>
            <w:shd w:val="clear" w:color="auto" w:fill="FFFFFF" w:themeFill="background1"/>
            <w:vAlign w:val="bottom"/>
          </w:tcPr>
          <w:p w14:paraId="2F85F844" w14:textId="77777777" w:rsidR="00D2635C" w:rsidRPr="00353381" w:rsidRDefault="00D2635C" w:rsidP="00D63204">
            <w:pPr>
              <w:widowControl w:val="0"/>
              <w:spacing w:before="45" w:after="0" w:line="240" w:lineRule="auto"/>
              <w:ind w:left="90"/>
              <w:rPr>
                <w:rFonts w:cs="Calibri"/>
                <w:w w:val="105"/>
              </w:rPr>
            </w:pPr>
            <w:r w:rsidRPr="00353381">
              <w:rPr>
                <w:rFonts w:cs="Calibri"/>
                <w:color w:val="000000"/>
              </w:rPr>
              <w:t>March 2016</w:t>
            </w:r>
          </w:p>
        </w:tc>
        <w:tc>
          <w:tcPr>
            <w:tcW w:w="7715" w:type="dxa"/>
            <w:tcBorders>
              <w:top w:val="single" w:sz="2" w:space="0" w:color="231F20"/>
              <w:left w:val="single" w:sz="2" w:space="0" w:color="231F20"/>
              <w:bottom w:val="single" w:sz="2" w:space="0" w:color="231F20"/>
              <w:right w:val="single" w:sz="2" w:space="0" w:color="231F20"/>
            </w:tcBorders>
            <w:shd w:val="clear" w:color="auto" w:fill="FFFFFF" w:themeFill="background1"/>
            <w:vAlign w:val="bottom"/>
          </w:tcPr>
          <w:p w14:paraId="41921CFF" w14:textId="77777777" w:rsidR="00D2635C" w:rsidRPr="00353381" w:rsidRDefault="00D2635C" w:rsidP="00D63204">
            <w:pPr>
              <w:widowControl w:val="0"/>
              <w:spacing w:before="45" w:after="0" w:line="240" w:lineRule="auto"/>
              <w:ind w:left="90"/>
              <w:rPr>
                <w:rFonts w:cs="Calibri"/>
                <w:w w:val="105"/>
              </w:rPr>
            </w:pPr>
            <w:r w:rsidRPr="00353381">
              <w:rPr>
                <w:rFonts w:cs="Calibri"/>
                <w:color w:val="000000"/>
              </w:rPr>
              <w:t>Accessibility Training-Adobe</w:t>
            </w:r>
          </w:p>
        </w:tc>
      </w:tr>
      <w:tr w:rsidR="00D2635C" w:rsidRPr="00353381" w14:paraId="28EA2DE0" w14:textId="77777777" w:rsidTr="001429C7">
        <w:trPr>
          <w:trHeight w:hRule="exact" w:val="318"/>
        </w:trPr>
        <w:tc>
          <w:tcPr>
            <w:tcW w:w="2445" w:type="dxa"/>
            <w:tcBorders>
              <w:top w:val="single" w:sz="2" w:space="0" w:color="231F20"/>
              <w:left w:val="single" w:sz="2" w:space="0" w:color="231F20"/>
              <w:bottom w:val="single" w:sz="2" w:space="0" w:color="231F20"/>
              <w:right w:val="single" w:sz="2" w:space="0" w:color="231F20"/>
            </w:tcBorders>
            <w:shd w:val="clear" w:color="auto" w:fill="FFFFFF" w:themeFill="background1"/>
            <w:vAlign w:val="bottom"/>
          </w:tcPr>
          <w:p w14:paraId="516CAF1A" w14:textId="77777777" w:rsidR="00D2635C" w:rsidRPr="00353381" w:rsidRDefault="00D2635C" w:rsidP="00D63204">
            <w:pPr>
              <w:widowControl w:val="0"/>
              <w:spacing w:before="45" w:after="0" w:line="240" w:lineRule="auto"/>
              <w:ind w:left="90"/>
              <w:rPr>
                <w:rFonts w:cs="Calibri"/>
                <w:w w:val="105"/>
              </w:rPr>
            </w:pPr>
            <w:r w:rsidRPr="00353381">
              <w:rPr>
                <w:rFonts w:cs="Calibri"/>
                <w:color w:val="000000"/>
              </w:rPr>
              <w:t>April 2016</w:t>
            </w:r>
          </w:p>
        </w:tc>
        <w:tc>
          <w:tcPr>
            <w:tcW w:w="7715" w:type="dxa"/>
            <w:tcBorders>
              <w:top w:val="single" w:sz="2" w:space="0" w:color="231F20"/>
              <w:left w:val="single" w:sz="2" w:space="0" w:color="231F20"/>
              <w:bottom w:val="single" w:sz="2" w:space="0" w:color="231F20"/>
              <w:right w:val="single" w:sz="2" w:space="0" w:color="231F20"/>
            </w:tcBorders>
            <w:shd w:val="clear" w:color="auto" w:fill="FFFFFF" w:themeFill="background1"/>
            <w:vAlign w:val="bottom"/>
          </w:tcPr>
          <w:p w14:paraId="5186514F" w14:textId="77777777" w:rsidR="00D2635C" w:rsidRPr="00353381" w:rsidRDefault="00D2635C" w:rsidP="00D63204">
            <w:pPr>
              <w:widowControl w:val="0"/>
              <w:spacing w:before="45" w:after="0" w:line="240" w:lineRule="auto"/>
              <w:ind w:left="90"/>
              <w:rPr>
                <w:rFonts w:cs="Calibri"/>
                <w:w w:val="105"/>
              </w:rPr>
            </w:pPr>
            <w:r w:rsidRPr="00353381">
              <w:rPr>
                <w:rFonts w:cs="Calibri"/>
                <w:color w:val="000000"/>
              </w:rPr>
              <w:t>Annual VR Training</w:t>
            </w:r>
          </w:p>
        </w:tc>
      </w:tr>
      <w:tr w:rsidR="00D2635C" w:rsidRPr="00353381" w14:paraId="298DEB80" w14:textId="77777777" w:rsidTr="001429C7">
        <w:trPr>
          <w:trHeight w:hRule="exact" w:val="318"/>
        </w:trPr>
        <w:tc>
          <w:tcPr>
            <w:tcW w:w="2445" w:type="dxa"/>
            <w:tcBorders>
              <w:top w:val="single" w:sz="2" w:space="0" w:color="231F20"/>
              <w:left w:val="single" w:sz="2" w:space="0" w:color="231F20"/>
              <w:bottom w:val="single" w:sz="2" w:space="0" w:color="231F20"/>
              <w:right w:val="single" w:sz="2" w:space="0" w:color="231F20"/>
            </w:tcBorders>
            <w:shd w:val="clear" w:color="auto" w:fill="FFFFFF" w:themeFill="background1"/>
            <w:vAlign w:val="bottom"/>
          </w:tcPr>
          <w:p w14:paraId="3AEEAC9D" w14:textId="77777777" w:rsidR="00D2635C" w:rsidRPr="00353381" w:rsidRDefault="00D2635C" w:rsidP="00D63204">
            <w:pPr>
              <w:widowControl w:val="0"/>
              <w:spacing w:before="45" w:after="0" w:line="240" w:lineRule="auto"/>
              <w:ind w:left="90"/>
              <w:rPr>
                <w:rFonts w:cs="Calibri"/>
                <w:w w:val="105"/>
              </w:rPr>
            </w:pPr>
            <w:r w:rsidRPr="00353381">
              <w:rPr>
                <w:rFonts w:cs="Calibri"/>
                <w:color w:val="000000"/>
              </w:rPr>
              <w:t>May 2016</w:t>
            </w:r>
          </w:p>
        </w:tc>
        <w:tc>
          <w:tcPr>
            <w:tcW w:w="7715" w:type="dxa"/>
            <w:tcBorders>
              <w:top w:val="single" w:sz="2" w:space="0" w:color="231F20"/>
              <w:left w:val="single" w:sz="2" w:space="0" w:color="231F20"/>
              <w:bottom w:val="single" w:sz="2" w:space="0" w:color="231F20"/>
              <w:right w:val="single" w:sz="2" w:space="0" w:color="231F20"/>
            </w:tcBorders>
            <w:shd w:val="clear" w:color="auto" w:fill="FFFFFF" w:themeFill="background1"/>
            <w:vAlign w:val="bottom"/>
          </w:tcPr>
          <w:p w14:paraId="7160CC63" w14:textId="77777777" w:rsidR="00D2635C" w:rsidRPr="00353381" w:rsidRDefault="00D2635C" w:rsidP="00D63204">
            <w:pPr>
              <w:widowControl w:val="0"/>
              <w:spacing w:before="45" w:after="0" w:line="240" w:lineRule="auto"/>
              <w:ind w:left="90"/>
              <w:rPr>
                <w:rFonts w:cs="Calibri"/>
                <w:w w:val="105"/>
              </w:rPr>
            </w:pPr>
            <w:r w:rsidRPr="00353381">
              <w:rPr>
                <w:rFonts w:cs="Calibri"/>
                <w:color w:val="000000"/>
              </w:rPr>
              <w:t>New Employee Training</w:t>
            </w:r>
          </w:p>
        </w:tc>
      </w:tr>
      <w:tr w:rsidR="00D2635C" w:rsidRPr="00353381" w14:paraId="5F9A802C" w14:textId="77777777" w:rsidTr="001429C7">
        <w:trPr>
          <w:trHeight w:hRule="exact" w:val="318"/>
        </w:trPr>
        <w:tc>
          <w:tcPr>
            <w:tcW w:w="2445" w:type="dxa"/>
            <w:tcBorders>
              <w:top w:val="single" w:sz="2" w:space="0" w:color="231F20"/>
              <w:left w:val="single" w:sz="2" w:space="0" w:color="231F20"/>
              <w:bottom w:val="single" w:sz="2" w:space="0" w:color="231F20"/>
              <w:right w:val="single" w:sz="2" w:space="0" w:color="231F20"/>
            </w:tcBorders>
            <w:shd w:val="clear" w:color="auto" w:fill="FFFFFF" w:themeFill="background1"/>
            <w:vAlign w:val="bottom"/>
          </w:tcPr>
          <w:p w14:paraId="449058F4" w14:textId="77777777" w:rsidR="00D2635C" w:rsidRPr="00353381" w:rsidRDefault="00D2635C" w:rsidP="00D63204">
            <w:pPr>
              <w:widowControl w:val="0"/>
              <w:spacing w:before="45" w:after="0" w:line="240" w:lineRule="auto"/>
              <w:ind w:left="90"/>
              <w:rPr>
                <w:rFonts w:cs="Calibri"/>
                <w:w w:val="105"/>
              </w:rPr>
            </w:pPr>
            <w:r w:rsidRPr="00353381">
              <w:rPr>
                <w:rFonts w:cs="Calibri"/>
                <w:color w:val="000000"/>
              </w:rPr>
              <w:t>May 2016</w:t>
            </w:r>
          </w:p>
        </w:tc>
        <w:tc>
          <w:tcPr>
            <w:tcW w:w="7715" w:type="dxa"/>
            <w:tcBorders>
              <w:top w:val="single" w:sz="2" w:space="0" w:color="231F20"/>
              <w:left w:val="single" w:sz="2" w:space="0" w:color="231F20"/>
              <w:bottom w:val="single" w:sz="2" w:space="0" w:color="231F20"/>
              <w:right w:val="single" w:sz="2" w:space="0" w:color="231F20"/>
            </w:tcBorders>
            <w:shd w:val="clear" w:color="auto" w:fill="FFFFFF" w:themeFill="background1"/>
            <w:vAlign w:val="bottom"/>
          </w:tcPr>
          <w:p w14:paraId="70B15F1B" w14:textId="77777777" w:rsidR="00D2635C" w:rsidRPr="00353381" w:rsidRDefault="00D2635C" w:rsidP="00D63204">
            <w:pPr>
              <w:widowControl w:val="0"/>
              <w:spacing w:before="45" w:after="0" w:line="240" w:lineRule="auto"/>
              <w:ind w:left="90"/>
              <w:rPr>
                <w:rFonts w:cs="Calibri"/>
                <w:w w:val="105"/>
              </w:rPr>
            </w:pPr>
            <w:r w:rsidRPr="00353381">
              <w:rPr>
                <w:rFonts w:cs="Calibri"/>
                <w:color w:val="000000"/>
              </w:rPr>
              <w:t>MOU Training DVR/DBS Webinar</w:t>
            </w:r>
          </w:p>
        </w:tc>
      </w:tr>
      <w:tr w:rsidR="00D2635C" w:rsidRPr="00353381" w14:paraId="58A5C067" w14:textId="77777777" w:rsidTr="001429C7">
        <w:trPr>
          <w:trHeight w:hRule="exact" w:val="318"/>
        </w:trPr>
        <w:tc>
          <w:tcPr>
            <w:tcW w:w="2445" w:type="dxa"/>
            <w:tcBorders>
              <w:top w:val="single" w:sz="2" w:space="0" w:color="231F20"/>
              <w:left w:val="single" w:sz="2" w:space="0" w:color="231F20"/>
              <w:bottom w:val="single" w:sz="2" w:space="0" w:color="231F20"/>
              <w:right w:val="single" w:sz="2" w:space="0" w:color="231F20"/>
            </w:tcBorders>
            <w:shd w:val="clear" w:color="auto" w:fill="FFFFFF" w:themeFill="background1"/>
            <w:vAlign w:val="bottom"/>
          </w:tcPr>
          <w:p w14:paraId="45341171" w14:textId="77777777" w:rsidR="00D2635C" w:rsidRPr="00353381" w:rsidRDefault="00D2635C" w:rsidP="00D63204">
            <w:pPr>
              <w:widowControl w:val="0"/>
              <w:spacing w:before="45" w:after="0" w:line="240" w:lineRule="auto"/>
              <w:ind w:left="90"/>
              <w:rPr>
                <w:rFonts w:cs="Calibri"/>
                <w:w w:val="105"/>
              </w:rPr>
            </w:pPr>
            <w:r w:rsidRPr="00353381">
              <w:rPr>
                <w:rFonts w:cs="Calibri"/>
                <w:color w:val="000000"/>
              </w:rPr>
              <w:t>May 2016</w:t>
            </w:r>
          </w:p>
        </w:tc>
        <w:tc>
          <w:tcPr>
            <w:tcW w:w="7715" w:type="dxa"/>
            <w:tcBorders>
              <w:top w:val="single" w:sz="2" w:space="0" w:color="231F20"/>
              <w:left w:val="single" w:sz="2" w:space="0" w:color="231F20"/>
              <w:bottom w:val="single" w:sz="2" w:space="0" w:color="231F20"/>
              <w:right w:val="single" w:sz="2" w:space="0" w:color="231F20"/>
            </w:tcBorders>
            <w:shd w:val="clear" w:color="auto" w:fill="FFFFFF" w:themeFill="background1"/>
            <w:vAlign w:val="bottom"/>
          </w:tcPr>
          <w:p w14:paraId="798E06BF" w14:textId="77777777" w:rsidR="00D2635C" w:rsidRPr="00353381" w:rsidRDefault="00D2635C" w:rsidP="00D63204">
            <w:pPr>
              <w:widowControl w:val="0"/>
              <w:spacing w:before="45" w:after="0" w:line="240" w:lineRule="auto"/>
              <w:ind w:left="90"/>
              <w:rPr>
                <w:rFonts w:cs="Calibri"/>
                <w:w w:val="105"/>
              </w:rPr>
            </w:pPr>
            <w:r w:rsidRPr="00353381">
              <w:rPr>
                <w:rFonts w:cs="Calibri"/>
                <w:color w:val="000000"/>
              </w:rPr>
              <w:t>MOU Training DVR/DBS Webinar</w:t>
            </w:r>
          </w:p>
        </w:tc>
      </w:tr>
      <w:tr w:rsidR="00D2635C" w:rsidRPr="00353381" w14:paraId="4B4C7DC1" w14:textId="77777777" w:rsidTr="001429C7">
        <w:trPr>
          <w:trHeight w:hRule="exact" w:val="318"/>
        </w:trPr>
        <w:tc>
          <w:tcPr>
            <w:tcW w:w="2445" w:type="dxa"/>
            <w:tcBorders>
              <w:top w:val="single" w:sz="2" w:space="0" w:color="231F20"/>
              <w:left w:val="single" w:sz="2" w:space="0" w:color="231F20"/>
              <w:bottom w:val="single" w:sz="2" w:space="0" w:color="231F20"/>
              <w:right w:val="single" w:sz="2" w:space="0" w:color="231F20"/>
            </w:tcBorders>
            <w:shd w:val="clear" w:color="auto" w:fill="FFFFFF" w:themeFill="background1"/>
            <w:vAlign w:val="bottom"/>
          </w:tcPr>
          <w:p w14:paraId="69D3025D" w14:textId="77777777" w:rsidR="00D2635C" w:rsidRPr="00353381" w:rsidRDefault="00D2635C" w:rsidP="00D63204">
            <w:pPr>
              <w:widowControl w:val="0"/>
              <w:spacing w:before="45" w:after="0" w:line="240" w:lineRule="auto"/>
              <w:ind w:left="90"/>
              <w:rPr>
                <w:rFonts w:cs="Calibri"/>
                <w:w w:val="105"/>
              </w:rPr>
            </w:pPr>
            <w:r w:rsidRPr="00353381">
              <w:rPr>
                <w:rFonts w:cs="Calibri"/>
                <w:color w:val="000000"/>
              </w:rPr>
              <w:t>August 2016</w:t>
            </w:r>
          </w:p>
        </w:tc>
        <w:tc>
          <w:tcPr>
            <w:tcW w:w="7715" w:type="dxa"/>
            <w:tcBorders>
              <w:top w:val="single" w:sz="2" w:space="0" w:color="231F20"/>
              <w:left w:val="single" w:sz="2" w:space="0" w:color="231F20"/>
              <w:bottom w:val="single" w:sz="2" w:space="0" w:color="231F20"/>
              <w:right w:val="single" w:sz="2" w:space="0" w:color="231F20"/>
            </w:tcBorders>
            <w:shd w:val="clear" w:color="auto" w:fill="FFFFFF" w:themeFill="background1"/>
            <w:vAlign w:val="bottom"/>
          </w:tcPr>
          <w:p w14:paraId="5F0E868B" w14:textId="77777777" w:rsidR="00D2635C" w:rsidRPr="00353381" w:rsidRDefault="00D2635C" w:rsidP="00D63204">
            <w:pPr>
              <w:widowControl w:val="0"/>
              <w:spacing w:before="45" w:after="0" w:line="240" w:lineRule="auto"/>
              <w:ind w:left="90"/>
              <w:rPr>
                <w:rFonts w:cs="Calibri"/>
                <w:w w:val="105"/>
              </w:rPr>
            </w:pPr>
            <w:r w:rsidRPr="00353381">
              <w:rPr>
                <w:rFonts w:cs="Calibri"/>
                <w:color w:val="000000"/>
              </w:rPr>
              <w:t>New Employee Training</w:t>
            </w:r>
          </w:p>
        </w:tc>
      </w:tr>
      <w:tr w:rsidR="00D2635C" w:rsidRPr="00353381" w14:paraId="58A3F3B6" w14:textId="77777777" w:rsidTr="001429C7">
        <w:trPr>
          <w:trHeight w:hRule="exact" w:val="318"/>
        </w:trPr>
        <w:tc>
          <w:tcPr>
            <w:tcW w:w="2445" w:type="dxa"/>
            <w:tcBorders>
              <w:top w:val="single" w:sz="2" w:space="0" w:color="231F20"/>
              <w:left w:val="single" w:sz="2" w:space="0" w:color="231F20"/>
              <w:bottom w:val="single" w:sz="2" w:space="0" w:color="231F20"/>
              <w:right w:val="single" w:sz="2" w:space="0" w:color="231F20"/>
            </w:tcBorders>
            <w:shd w:val="clear" w:color="auto" w:fill="FFFFFF" w:themeFill="background1"/>
            <w:vAlign w:val="bottom"/>
          </w:tcPr>
          <w:p w14:paraId="5081273C" w14:textId="77777777" w:rsidR="00D2635C" w:rsidRPr="00353381" w:rsidRDefault="00D2635C" w:rsidP="00D63204">
            <w:pPr>
              <w:widowControl w:val="0"/>
              <w:spacing w:before="45" w:after="0" w:line="240" w:lineRule="auto"/>
              <w:ind w:left="90"/>
              <w:rPr>
                <w:rFonts w:cs="Calibri"/>
                <w:w w:val="105"/>
              </w:rPr>
            </w:pPr>
            <w:r w:rsidRPr="00353381">
              <w:rPr>
                <w:rFonts w:cs="Calibri"/>
                <w:color w:val="000000"/>
              </w:rPr>
              <w:t>November 2016</w:t>
            </w:r>
          </w:p>
        </w:tc>
        <w:tc>
          <w:tcPr>
            <w:tcW w:w="7715" w:type="dxa"/>
            <w:tcBorders>
              <w:top w:val="single" w:sz="2" w:space="0" w:color="231F20"/>
              <w:left w:val="single" w:sz="2" w:space="0" w:color="231F20"/>
              <w:bottom w:val="single" w:sz="2" w:space="0" w:color="231F20"/>
              <w:right w:val="single" w:sz="2" w:space="0" w:color="231F20"/>
            </w:tcBorders>
            <w:shd w:val="clear" w:color="auto" w:fill="FFFFFF" w:themeFill="background1"/>
            <w:vAlign w:val="bottom"/>
          </w:tcPr>
          <w:p w14:paraId="05CB05A3" w14:textId="77777777" w:rsidR="00D2635C" w:rsidRPr="00353381" w:rsidRDefault="00D2635C" w:rsidP="00D63204">
            <w:pPr>
              <w:widowControl w:val="0"/>
              <w:spacing w:before="45" w:after="0" w:line="240" w:lineRule="auto"/>
              <w:ind w:left="90"/>
              <w:rPr>
                <w:rFonts w:cs="Calibri"/>
                <w:w w:val="105"/>
              </w:rPr>
            </w:pPr>
            <w:r w:rsidRPr="00353381">
              <w:rPr>
                <w:rFonts w:cs="Calibri"/>
                <w:color w:val="000000"/>
              </w:rPr>
              <w:t>New Employee Training</w:t>
            </w:r>
          </w:p>
        </w:tc>
      </w:tr>
      <w:tr w:rsidR="00D2635C" w:rsidRPr="00353381" w14:paraId="0022B189" w14:textId="77777777" w:rsidTr="001429C7">
        <w:trPr>
          <w:trHeight w:hRule="exact" w:val="318"/>
        </w:trPr>
        <w:tc>
          <w:tcPr>
            <w:tcW w:w="2445" w:type="dxa"/>
            <w:tcBorders>
              <w:top w:val="single" w:sz="2" w:space="0" w:color="231F20"/>
              <w:left w:val="single" w:sz="2" w:space="0" w:color="231F20"/>
              <w:bottom w:val="single" w:sz="2" w:space="0" w:color="231F20"/>
              <w:right w:val="single" w:sz="2" w:space="0" w:color="231F20"/>
            </w:tcBorders>
            <w:shd w:val="clear" w:color="auto" w:fill="FFFFFF" w:themeFill="background1"/>
            <w:vAlign w:val="bottom"/>
          </w:tcPr>
          <w:p w14:paraId="24C9817C" w14:textId="77777777" w:rsidR="00D2635C" w:rsidRPr="00353381" w:rsidRDefault="00D2635C" w:rsidP="00D63204">
            <w:pPr>
              <w:widowControl w:val="0"/>
              <w:spacing w:before="45" w:after="0" w:line="240" w:lineRule="auto"/>
              <w:ind w:left="90"/>
              <w:rPr>
                <w:rFonts w:cs="Calibri"/>
                <w:w w:val="105"/>
              </w:rPr>
            </w:pPr>
            <w:r w:rsidRPr="00353381">
              <w:rPr>
                <w:rFonts w:cs="Calibri"/>
                <w:color w:val="000000"/>
              </w:rPr>
              <w:t>November 2016</w:t>
            </w:r>
          </w:p>
        </w:tc>
        <w:tc>
          <w:tcPr>
            <w:tcW w:w="7715" w:type="dxa"/>
            <w:tcBorders>
              <w:top w:val="single" w:sz="2" w:space="0" w:color="231F20"/>
              <w:left w:val="single" w:sz="2" w:space="0" w:color="231F20"/>
              <w:bottom w:val="single" w:sz="2" w:space="0" w:color="231F20"/>
              <w:right w:val="single" w:sz="2" w:space="0" w:color="231F20"/>
            </w:tcBorders>
            <w:shd w:val="clear" w:color="auto" w:fill="FFFFFF" w:themeFill="background1"/>
            <w:vAlign w:val="bottom"/>
          </w:tcPr>
          <w:p w14:paraId="617928E5" w14:textId="77777777" w:rsidR="00D2635C" w:rsidRPr="00353381" w:rsidRDefault="00D2635C" w:rsidP="00D63204">
            <w:pPr>
              <w:widowControl w:val="0"/>
              <w:spacing w:before="45" w:after="0" w:line="240" w:lineRule="auto"/>
              <w:ind w:left="90"/>
              <w:rPr>
                <w:rFonts w:cs="Calibri"/>
                <w:w w:val="105"/>
              </w:rPr>
            </w:pPr>
            <w:r w:rsidRPr="00353381">
              <w:rPr>
                <w:rFonts w:cs="Calibri"/>
                <w:color w:val="000000"/>
              </w:rPr>
              <w:t>New Employee Training</w:t>
            </w:r>
          </w:p>
        </w:tc>
      </w:tr>
      <w:tr w:rsidR="00D2635C" w:rsidRPr="00353381" w14:paraId="205AC517" w14:textId="77777777" w:rsidTr="001429C7">
        <w:trPr>
          <w:trHeight w:hRule="exact" w:val="318"/>
        </w:trPr>
        <w:tc>
          <w:tcPr>
            <w:tcW w:w="2445" w:type="dxa"/>
            <w:tcBorders>
              <w:top w:val="single" w:sz="2" w:space="0" w:color="231F20"/>
              <w:left w:val="single" w:sz="2" w:space="0" w:color="231F20"/>
              <w:bottom w:val="single" w:sz="2" w:space="0" w:color="231F20"/>
              <w:right w:val="single" w:sz="2" w:space="0" w:color="231F20"/>
            </w:tcBorders>
            <w:shd w:val="clear" w:color="auto" w:fill="FFFFFF" w:themeFill="background1"/>
            <w:vAlign w:val="bottom"/>
          </w:tcPr>
          <w:p w14:paraId="4E018E2A" w14:textId="77777777" w:rsidR="00D2635C" w:rsidRPr="00353381" w:rsidRDefault="00D2635C" w:rsidP="00D63204">
            <w:pPr>
              <w:widowControl w:val="0"/>
              <w:spacing w:before="45" w:after="0" w:line="240" w:lineRule="auto"/>
              <w:ind w:left="90"/>
              <w:rPr>
                <w:rFonts w:cs="Calibri"/>
                <w:w w:val="105"/>
              </w:rPr>
            </w:pPr>
            <w:r w:rsidRPr="00353381">
              <w:rPr>
                <w:rFonts w:cs="Calibri"/>
                <w:color w:val="000000"/>
              </w:rPr>
              <w:t>November 2016</w:t>
            </w:r>
          </w:p>
        </w:tc>
        <w:tc>
          <w:tcPr>
            <w:tcW w:w="7715" w:type="dxa"/>
            <w:tcBorders>
              <w:top w:val="single" w:sz="2" w:space="0" w:color="231F20"/>
              <w:left w:val="single" w:sz="2" w:space="0" w:color="231F20"/>
              <w:bottom w:val="single" w:sz="2" w:space="0" w:color="231F20"/>
              <w:right w:val="single" w:sz="2" w:space="0" w:color="231F20"/>
            </w:tcBorders>
            <w:shd w:val="clear" w:color="auto" w:fill="FFFFFF" w:themeFill="background1"/>
            <w:vAlign w:val="bottom"/>
          </w:tcPr>
          <w:p w14:paraId="2CB7C058" w14:textId="77777777" w:rsidR="00D2635C" w:rsidRPr="00353381" w:rsidRDefault="00D2635C" w:rsidP="00D63204">
            <w:pPr>
              <w:widowControl w:val="0"/>
              <w:spacing w:before="45" w:after="0" w:line="240" w:lineRule="auto"/>
              <w:ind w:left="90"/>
              <w:rPr>
                <w:rFonts w:cs="Calibri"/>
                <w:w w:val="105"/>
              </w:rPr>
            </w:pPr>
            <w:r w:rsidRPr="00353381">
              <w:rPr>
                <w:rFonts w:cs="Calibri"/>
                <w:color w:val="000000"/>
              </w:rPr>
              <w:t>Personnel Liaison Training</w:t>
            </w:r>
          </w:p>
        </w:tc>
      </w:tr>
      <w:tr w:rsidR="00D2635C" w:rsidRPr="00353381" w14:paraId="1F7227DF" w14:textId="77777777" w:rsidTr="001429C7">
        <w:trPr>
          <w:trHeight w:hRule="exact" w:val="318"/>
        </w:trPr>
        <w:tc>
          <w:tcPr>
            <w:tcW w:w="2445" w:type="dxa"/>
            <w:tcBorders>
              <w:top w:val="single" w:sz="2" w:space="0" w:color="231F20"/>
              <w:left w:val="single" w:sz="2" w:space="0" w:color="231F20"/>
              <w:bottom w:val="single" w:sz="2" w:space="0" w:color="231F20"/>
              <w:right w:val="single" w:sz="2" w:space="0" w:color="231F20"/>
            </w:tcBorders>
            <w:shd w:val="clear" w:color="auto" w:fill="FFFFFF" w:themeFill="background1"/>
            <w:vAlign w:val="bottom"/>
          </w:tcPr>
          <w:p w14:paraId="5547C405" w14:textId="77777777" w:rsidR="00D2635C" w:rsidRPr="00353381" w:rsidRDefault="00D2635C" w:rsidP="00D63204">
            <w:pPr>
              <w:widowControl w:val="0"/>
              <w:spacing w:before="45" w:after="0" w:line="240" w:lineRule="auto"/>
              <w:ind w:left="90"/>
              <w:rPr>
                <w:rFonts w:cs="Calibri"/>
                <w:w w:val="105"/>
              </w:rPr>
            </w:pPr>
            <w:r w:rsidRPr="00353381">
              <w:rPr>
                <w:rFonts w:cs="Calibri"/>
                <w:color w:val="000000"/>
              </w:rPr>
              <w:t>January 2017</w:t>
            </w:r>
          </w:p>
        </w:tc>
        <w:tc>
          <w:tcPr>
            <w:tcW w:w="7715" w:type="dxa"/>
            <w:tcBorders>
              <w:top w:val="single" w:sz="2" w:space="0" w:color="231F20"/>
              <w:left w:val="single" w:sz="2" w:space="0" w:color="231F20"/>
              <w:bottom w:val="single" w:sz="2" w:space="0" w:color="231F20"/>
              <w:right w:val="single" w:sz="2" w:space="0" w:color="231F20"/>
            </w:tcBorders>
            <w:shd w:val="clear" w:color="auto" w:fill="FFFFFF" w:themeFill="background1"/>
            <w:vAlign w:val="bottom"/>
          </w:tcPr>
          <w:p w14:paraId="3D37C44A" w14:textId="77777777" w:rsidR="00D2635C" w:rsidRPr="00353381" w:rsidRDefault="00D2635C" w:rsidP="00D63204">
            <w:pPr>
              <w:widowControl w:val="0"/>
              <w:spacing w:before="45" w:after="0" w:line="240" w:lineRule="auto"/>
              <w:ind w:left="90"/>
              <w:rPr>
                <w:rFonts w:cs="Calibri"/>
                <w:w w:val="105"/>
              </w:rPr>
            </w:pPr>
            <w:r w:rsidRPr="00353381">
              <w:rPr>
                <w:rFonts w:cs="Calibri"/>
                <w:color w:val="000000"/>
              </w:rPr>
              <w:t>WINTAC</w:t>
            </w:r>
          </w:p>
        </w:tc>
      </w:tr>
      <w:tr w:rsidR="00D2635C" w:rsidRPr="00353381" w14:paraId="1B18A3CF" w14:textId="77777777" w:rsidTr="001429C7">
        <w:trPr>
          <w:trHeight w:hRule="exact" w:val="318"/>
        </w:trPr>
        <w:tc>
          <w:tcPr>
            <w:tcW w:w="2445" w:type="dxa"/>
            <w:tcBorders>
              <w:top w:val="single" w:sz="2" w:space="0" w:color="231F20"/>
              <w:left w:val="single" w:sz="2" w:space="0" w:color="231F20"/>
              <w:bottom w:val="single" w:sz="2" w:space="0" w:color="231F20"/>
              <w:right w:val="single" w:sz="2" w:space="0" w:color="231F20"/>
            </w:tcBorders>
            <w:shd w:val="clear" w:color="auto" w:fill="FFFFFF" w:themeFill="background1"/>
            <w:vAlign w:val="bottom"/>
          </w:tcPr>
          <w:p w14:paraId="79705972" w14:textId="77777777" w:rsidR="00D2635C" w:rsidRPr="00353381" w:rsidRDefault="00D2635C" w:rsidP="00D63204">
            <w:pPr>
              <w:widowControl w:val="0"/>
              <w:spacing w:before="45" w:after="0" w:line="240" w:lineRule="auto"/>
              <w:ind w:left="90"/>
              <w:rPr>
                <w:rFonts w:cs="Calibri"/>
                <w:w w:val="105"/>
              </w:rPr>
            </w:pPr>
            <w:r w:rsidRPr="00353381">
              <w:rPr>
                <w:rFonts w:cs="Calibri"/>
                <w:color w:val="000000"/>
              </w:rPr>
              <w:t>February 2017</w:t>
            </w:r>
          </w:p>
        </w:tc>
        <w:tc>
          <w:tcPr>
            <w:tcW w:w="7715" w:type="dxa"/>
            <w:tcBorders>
              <w:top w:val="single" w:sz="2" w:space="0" w:color="231F20"/>
              <w:left w:val="single" w:sz="2" w:space="0" w:color="231F20"/>
              <w:bottom w:val="single" w:sz="2" w:space="0" w:color="231F20"/>
              <w:right w:val="single" w:sz="2" w:space="0" w:color="231F20"/>
            </w:tcBorders>
            <w:shd w:val="clear" w:color="auto" w:fill="FFFFFF" w:themeFill="background1"/>
            <w:vAlign w:val="bottom"/>
          </w:tcPr>
          <w:p w14:paraId="66245689" w14:textId="77777777" w:rsidR="00D2635C" w:rsidRPr="00353381" w:rsidRDefault="00D2635C" w:rsidP="00D63204">
            <w:pPr>
              <w:widowControl w:val="0"/>
              <w:spacing w:before="45" w:after="0" w:line="240" w:lineRule="auto"/>
              <w:ind w:left="90"/>
              <w:rPr>
                <w:rFonts w:cs="Calibri"/>
                <w:w w:val="105"/>
              </w:rPr>
            </w:pPr>
            <w:r w:rsidRPr="00353381">
              <w:rPr>
                <w:rFonts w:cs="Calibri"/>
                <w:color w:val="000000"/>
              </w:rPr>
              <w:t>Administrative Staff Meeting</w:t>
            </w:r>
          </w:p>
        </w:tc>
      </w:tr>
      <w:tr w:rsidR="00D2635C" w:rsidRPr="00353381" w14:paraId="309FC501" w14:textId="77777777" w:rsidTr="001429C7">
        <w:trPr>
          <w:trHeight w:hRule="exact" w:val="318"/>
        </w:trPr>
        <w:tc>
          <w:tcPr>
            <w:tcW w:w="2445" w:type="dxa"/>
            <w:tcBorders>
              <w:top w:val="single" w:sz="2" w:space="0" w:color="231F20"/>
              <w:left w:val="single" w:sz="2" w:space="0" w:color="231F20"/>
              <w:bottom w:val="single" w:sz="2" w:space="0" w:color="231F20"/>
              <w:right w:val="single" w:sz="2" w:space="0" w:color="231F20"/>
            </w:tcBorders>
            <w:shd w:val="clear" w:color="auto" w:fill="FFFFFF" w:themeFill="background1"/>
            <w:vAlign w:val="bottom"/>
          </w:tcPr>
          <w:p w14:paraId="1B50EE1B" w14:textId="77777777" w:rsidR="00D2635C" w:rsidRPr="00353381" w:rsidRDefault="00D2635C" w:rsidP="00D63204">
            <w:pPr>
              <w:widowControl w:val="0"/>
              <w:spacing w:before="45" w:after="0" w:line="240" w:lineRule="auto"/>
              <w:ind w:left="90"/>
              <w:rPr>
                <w:rFonts w:cs="Calibri"/>
                <w:w w:val="105"/>
              </w:rPr>
            </w:pPr>
            <w:r w:rsidRPr="00353381">
              <w:rPr>
                <w:rFonts w:cs="Calibri"/>
                <w:color w:val="000000"/>
              </w:rPr>
              <w:t>February 2017</w:t>
            </w:r>
          </w:p>
        </w:tc>
        <w:tc>
          <w:tcPr>
            <w:tcW w:w="7715" w:type="dxa"/>
            <w:tcBorders>
              <w:top w:val="single" w:sz="2" w:space="0" w:color="231F20"/>
              <w:left w:val="single" w:sz="2" w:space="0" w:color="231F20"/>
              <w:bottom w:val="single" w:sz="2" w:space="0" w:color="231F20"/>
              <w:right w:val="single" w:sz="2" w:space="0" w:color="231F20"/>
            </w:tcBorders>
            <w:shd w:val="clear" w:color="auto" w:fill="FFFFFF" w:themeFill="background1"/>
            <w:vAlign w:val="bottom"/>
          </w:tcPr>
          <w:p w14:paraId="0ACB343D" w14:textId="77777777" w:rsidR="00D2635C" w:rsidRPr="00353381" w:rsidRDefault="00D2635C" w:rsidP="00D63204">
            <w:pPr>
              <w:widowControl w:val="0"/>
              <w:spacing w:before="45" w:after="0" w:line="240" w:lineRule="auto"/>
              <w:ind w:left="90"/>
              <w:rPr>
                <w:rFonts w:cs="Calibri"/>
                <w:w w:val="105"/>
              </w:rPr>
            </w:pPr>
            <w:r w:rsidRPr="00353381">
              <w:rPr>
                <w:rFonts w:cs="Calibri"/>
                <w:color w:val="000000"/>
              </w:rPr>
              <w:t>New Employee Training</w:t>
            </w:r>
          </w:p>
        </w:tc>
      </w:tr>
      <w:tr w:rsidR="00D2635C" w:rsidRPr="00353381" w14:paraId="7B7F6747" w14:textId="77777777" w:rsidTr="001429C7">
        <w:trPr>
          <w:trHeight w:hRule="exact" w:val="318"/>
        </w:trPr>
        <w:tc>
          <w:tcPr>
            <w:tcW w:w="2445" w:type="dxa"/>
            <w:tcBorders>
              <w:top w:val="single" w:sz="2" w:space="0" w:color="231F20"/>
              <w:left w:val="single" w:sz="2" w:space="0" w:color="231F20"/>
              <w:bottom w:val="single" w:sz="2" w:space="0" w:color="231F20"/>
              <w:right w:val="single" w:sz="2" w:space="0" w:color="231F20"/>
            </w:tcBorders>
            <w:shd w:val="clear" w:color="auto" w:fill="FFFFFF" w:themeFill="background1"/>
            <w:vAlign w:val="bottom"/>
          </w:tcPr>
          <w:p w14:paraId="7C557DB8" w14:textId="77777777" w:rsidR="00D2635C" w:rsidRPr="00353381" w:rsidRDefault="00D2635C" w:rsidP="00D63204">
            <w:pPr>
              <w:widowControl w:val="0"/>
              <w:spacing w:before="45" w:after="0" w:line="240" w:lineRule="auto"/>
              <w:ind w:left="90"/>
              <w:rPr>
                <w:rFonts w:cs="Calibri"/>
                <w:w w:val="105"/>
              </w:rPr>
            </w:pPr>
            <w:r w:rsidRPr="00353381">
              <w:rPr>
                <w:rFonts w:cs="Calibri"/>
                <w:color w:val="000000"/>
              </w:rPr>
              <w:t>April 2017</w:t>
            </w:r>
          </w:p>
        </w:tc>
        <w:tc>
          <w:tcPr>
            <w:tcW w:w="7715" w:type="dxa"/>
            <w:tcBorders>
              <w:top w:val="single" w:sz="2" w:space="0" w:color="231F20"/>
              <w:left w:val="single" w:sz="2" w:space="0" w:color="231F20"/>
              <w:bottom w:val="single" w:sz="2" w:space="0" w:color="231F20"/>
              <w:right w:val="single" w:sz="2" w:space="0" w:color="231F20"/>
            </w:tcBorders>
            <w:shd w:val="clear" w:color="auto" w:fill="FFFFFF" w:themeFill="background1"/>
            <w:vAlign w:val="bottom"/>
          </w:tcPr>
          <w:p w14:paraId="76C4EB2F" w14:textId="77777777" w:rsidR="00D2635C" w:rsidRPr="00353381" w:rsidRDefault="00D2635C" w:rsidP="00D63204">
            <w:pPr>
              <w:widowControl w:val="0"/>
              <w:spacing w:before="45" w:after="0" w:line="240" w:lineRule="auto"/>
              <w:ind w:left="90"/>
              <w:rPr>
                <w:rFonts w:cs="Calibri"/>
                <w:w w:val="105"/>
              </w:rPr>
            </w:pPr>
            <w:r w:rsidRPr="00353381">
              <w:rPr>
                <w:rFonts w:cs="Calibri"/>
                <w:color w:val="000000"/>
              </w:rPr>
              <w:t>WINTAC (WIOA Vision)</w:t>
            </w:r>
          </w:p>
        </w:tc>
      </w:tr>
      <w:tr w:rsidR="00D2635C" w:rsidRPr="00353381" w14:paraId="219388A4" w14:textId="77777777" w:rsidTr="001429C7">
        <w:trPr>
          <w:trHeight w:hRule="exact" w:val="318"/>
        </w:trPr>
        <w:tc>
          <w:tcPr>
            <w:tcW w:w="2445" w:type="dxa"/>
            <w:tcBorders>
              <w:top w:val="single" w:sz="2" w:space="0" w:color="231F20"/>
              <w:left w:val="single" w:sz="2" w:space="0" w:color="231F20"/>
              <w:bottom w:val="single" w:sz="2" w:space="0" w:color="231F20"/>
              <w:right w:val="single" w:sz="2" w:space="0" w:color="231F20"/>
            </w:tcBorders>
            <w:shd w:val="clear" w:color="auto" w:fill="FFFFFF" w:themeFill="background1"/>
            <w:vAlign w:val="bottom"/>
          </w:tcPr>
          <w:p w14:paraId="61A9FCB6" w14:textId="77777777" w:rsidR="00D2635C" w:rsidRPr="00353381" w:rsidRDefault="00D2635C" w:rsidP="00D63204">
            <w:pPr>
              <w:widowControl w:val="0"/>
              <w:spacing w:before="45" w:after="0" w:line="240" w:lineRule="auto"/>
              <w:ind w:left="90"/>
              <w:rPr>
                <w:rFonts w:cs="Calibri"/>
                <w:w w:val="105"/>
              </w:rPr>
            </w:pPr>
            <w:r w:rsidRPr="00353381">
              <w:rPr>
                <w:rFonts w:cs="Calibri"/>
                <w:color w:val="000000"/>
              </w:rPr>
              <w:t>April 2017</w:t>
            </w:r>
          </w:p>
        </w:tc>
        <w:tc>
          <w:tcPr>
            <w:tcW w:w="7715" w:type="dxa"/>
            <w:tcBorders>
              <w:top w:val="single" w:sz="2" w:space="0" w:color="231F20"/>
              <w:left w:val="single" w:sz="2" w:space="0" w:color="231F20"/>
              <w:bottom w:val="single" w:sz="2" w:space="0" w:color="231F20"/>
              <w:right w:val="single" w:sz="2" w:space="0" w:color="231F20"/>
            </w:tcBorders>
            <w:shd w:val="clear" w:color="auto" w:fill="FFFFFF" w:themeFill="background1"/>
            <w:vAlign w:val="bottom"/>
          </w:tcPr>
          <w:p w14:paraId="5150BDF0" w14:textId="77777777" w:rsidR="00D2635C" w:rsidRPr="00353381" w:rsidRDefault="00D2635C" w:rsidP="00D63204">
            <w:pPr>
              <w:widowControl w:val="0"/>
              <w:spacing w:before="45" w:after="0" w:line="240" w:lineRule="auto"/>
              <w:ind w:left="90"/>
              <w:rPr>
                <w:rFonts w:cs="Calibri"/>
                <w:w w:val="105"/>
              </w:rPr>
            </w:pPr>
            <w:r w:rsidRPr="00353381">
              <w:rPr>
                <w:rFonts w:cs="Calibri"/>
                <w:color w:val="000000"/>
              </w:rPr>
              <w:t>WINTAC (Transition Services)</w:t>
            </w:r>
          </w:p>
        </w:tc>
      </w:tr>
      <w:tr w:rsidR="00D2635C" w:rsidRPr="00353381" w14:paraId="204A2D47" w14:textId="77777777" w:rsidTr="001429C7">
        <w:trPr>
          <w:trHeight w:hRule="exact" w:val="318"/>
        </w:trPr>
        <w:tc>
          <w:tcPr>
            <w:tcW w:w="2445" w:type="dxa"/>
            <w:tcBorders>
              <w:top w:val="single" w:sz="2" w:space="0" w:color="231F20"/>
              <w:left w:val="single" w:sz="2" w:space="0" w:color="231F20"/>
              <w:bottom w:val="single" w:sz="2" w:space="0" w:color="231F20"/>
              <w:right w:val="single" w:sz="2" w:space="0" w:color="231F20"/>
            </w:tcBorders>
            <w:shd w:val="clear" w:color="auto" w:fill="FFFFFF" w:themeFill="background1"/>
            <w:vAlign w:val="bottom"/>
          </w:tcPr>
          <w:p w14:paraId="33EDB6FF" w14:textId="77777777" w:rsidR="00D2635C" w:rsidRPr="00353381" w:rsidRDefault="00D2635C" w:rsidP="00D63204">
            <w:pPr>
              <w:widowControl w:val="0"/>
              <w:spacing w:before="45" w:after="0" w:line="240" w:lineRule="auto"/>
              <w:ind w:left="90"/>
              <w:rPr>
                <w:rFonts w:cs="Calibri"/>
                <w:w w:val="105"/>
              </w:rPr>
            </w:pPr>
            <w:r w:rsidRPr="00353381">
              <w:rPr>
                <w:rFonts w:cs="Calibri"/>
                <w:color w:val="000000"/>
              </w:rPr>
              <w:t>May 2017</w:t>
            </w:r>
          </w:p>
        </w:tc>
        <w:tc>
          <w:tcPr>
            <w:tcW w:w="7715" w:type="dxa"/>
            <w:tcBorders>
              <w:top w:val="single" w:sz="2" w:space="0" w:color="231F20"/>
              <w:left w:val="single" w:sz="2" w:space="0" w:color="231F20"/>
              <w:bottom w:val="single" w:sz="2" w:space="0" w:color="231F20"/>
              <w:right w:val="single" w:sz="2" w:space="0" w:color="231F20"/>
            </w:tcBorders>
            <w:shd w:val="clear" w:color="auto" w:fill="FFFFFF" w:themeFill="background1"/>
            <w:vAlign w:val="bottom"/>
          </w:tcPr>
          <w:p w14:paraId="4192300D" w14:textId="77777777" w:rsidR="00D2635C" w:rsidRPr="00353381" w:rsidRDefault="00D2635C" w:rsidP="00D63204">
            <w:pPr>
              <w:widowControl w:val="0"/>
              <w:spacing w:before="45" w:after="0" w:line="240" w:lineRule="auto"/>
              <w:ind w:left="90"/>
              <w:rPr>
                <w:rFonts w:cs="Calibri"/>
                <w:w w:val="105"/>
              </w:rPr>
            </w:pPr>
            <w:r w:rsidRPr="00353381">
              <w:rPr>
                <w:rFonts w:cs="Calibri"/>
                <w:color w:val="000000"/>
              </w:rPr>
              <w:t>WINTAC (Career Pathway)</w:t>
            </w:r>
          </w:p>
        </w:tc>
      </w:tr>
      <w:tr w:rsidR="00D2635C" w:rsidRPr="00353381" w14:paraId="00D1010D" w14:textId="77777777" w:rsidTr="001429C7">
        <w:trPr>
          <w:trHeight w:hRule="exact" w:val="318"/>
        </w:trPr>
        <w:tc>
          <w:tcPr>
            <w:tcW w:w="2445" w:type="dxa"/>
            <w:tcBorders>
              <w:top w:val="single" w:sz="2" w:space="0" w:color="231F20"/>
              <w:left w:val="single" w:sz="2" w:space="0" w:color="231F20"/>
              <w:bottom w:val="single" w:sz="2" w:space="0" w:color="231F20"/>
              <w:right w:val="single" w:sz="2" w:space="0" w:color="231F20"/>
            </w:tcBorders>
            <w:shd w:val="clear" w:color="auto" w:fill="FFFFFF" w:themeFill="background1"/>
            <w:vAlign w:val="bottom"/>
          </w:tcPr>
          <w:p w14:paraId="58B7CC5E" w14:textId="77777777" w:rsidR="00D2635C" w:rsidRPr="00353381" w:rsidRDefault="00D2635C" w:rsidP="00D63204">
            <w:pPr>
              <w:widowControl w:val="0"/>
              <w:spacing w:before="45" w:after="0" w:line="240" w:lineRule="auto"/>
              <w:ind w:left="90"/>
              <w:rPr>
                <w:rFonts w:cs="Calibri"/>
                <w:w w:val="105"/>
              </w:rPr>
            </w:pPr>
            <w:r w:rsidRPr="00353381">
              <w:rPr>
                <w:rFonts w:cs="Calibri"/>
                <w:color w:val="000000"/>
              </w:rPr>
              <w:t>May 2017</w:t>
            </w:r>
          </w:p>
        </w:tc>
        <w:tc>
          <w:tcPr>
            <w:tcW w:w="7715" w:type="dxa"/>
            <w:tcBorders>
              <w:top w:val="single" w:sz="2" w:space="0" w:color="231F20"/>
              <w:left w:val="single" w:sz="2" w:space="0" w:color="231F20"/>
              <w:bottom w:val="single" w:sz="2" w:space="0" w:color="231F20"/>
              <w:right w:val="single" w:sz="2" w:space="0" w:color="231F20"/>
            </w:tcBorders>
            <w:shd w:val="clear" w:color="auto" w:fill="FFFFFF" w:themeFill="background1"/>
            <w:vAlign w:val="bottom"/>
          </w:tcPr>
          <w:p w14:paraId="1E28083E" w14:textId="77777777" w:rsidR="00D2635C" w:rsidRPr="00353381" w:rsidRDefault="00D2635C" w:rsidP="00D63204">
            <w:pPr>
              <w:widowControl w:val="0"/>
              <w:spacing w:before="45" w:after="0" w:line="240" w:lineRule="auto"/>
              <w:ind w:left="90"/>
              <w:rPr>
                <w:rFonts w:cs="Calibri"/>
                <w:w w:val="105"/>
              </w:rPr>
            </w:pPr>
            <w:r w:rsidRPr="00353381">
              <w:rPr>
                <w:rFonts w:cs="Calibri"/>
                <w:color w:val="000000"/>
              </w:rPr>
              <w:t>WINTAC (Common Performance Measures)</w:t>
            </w:r>
          </w:p>
        </w:tc>
      </w:tr>
      <w:tr w:rsidR="00D2635C" w:rsidRPr="00353381" w14:paraId="468EDE56" w14:textId="77777777" w:rsidTr="001429C7">
        <w:trPr>
          <w:trHeight w:hRule="exact" w:val="318"/>
        </w:trPr>
        <w:tc>
          <w:tcPr>
            <w:tcW w:w="2445" w:type="dxa"/>
            <w:tcBorders>
              <w:top w:val="single" w:sz="2" w:space="0" w:color="231F20"/>
              <w:left w:val="single" w:sz="2" w:space="0" w:color="231F20"/>
              <w:bottom w:val="single" w:sz="2" w:space="0" w:color="231F20"/>
              <w:right w:val="single" w:sz="2" w:space="0" w:color="231F20"/>
            </w:tcBorders>
            <w:shd w:val="clear" w:color="auto" w:fill="FFFFFF" w:themeFill="background1"/>
            <w:vAlign w:val="bottom"/>
          </w:tcPr>
          <w:p w14:paraId="6D2210FC" w14:textId="77777777" w:rsidR="00D2635C" w:rsidRPr="00353381" w:rsidRDefault="00D2635C" w:rsidP="00D63204">
            <w:pPr>
              <w:widowControl w:val="0"/>
              <w:spacing w:before="45" w:after="0" w:line="240" w:lineRule="auto"/>
              <w:ind w:left="90"/>
              <w:rPr>
                <w:rFonts w:cs="Calibri"/>
                <w:w w:val="105"/>
              </w:rPr>
            </w:pPr>
            <w:r w:rsidRPr="00353381">
              <w:rPr>
                <w:rFonts w:cs="Calibri"/>
                <w:color w:val="000000"/>
              </w:rPr>
              <w:t>May 2017</w:t>
            </w:r>
          </w:p>
        </w:tc>
        <w:tc>
          <w:tcPr>
            <w:tcW w:w="7715" w:type="dxa"/>
            <w:tcBorders>
              <w:top w:val="single" w:sz="2" w:space="0" w:color="231F20"/>
              <w:left w:val="single" w:sz="2" w:space="0" w:color="231F20"/>
              <w:bottom w:val="single" w:sz="2" w:space="0" w:color="231F20"/>
              <w:right w:val="single" w:sz="2" w:space="0" w:color="231F20"/>
            </w:tcBorders>
            <w:shd w:val="clear" w:color="auto" w:fill="FFFFFF" w:themeFill="background1"/>
            <w:vAlign w:val="bottom"/>
          </w:tcPr>
          <w:p w14:paraId="4EF27567" w14:textId="77777777" w:rsidR="00D2635C" w:rsidRPr="00353381" w:rsidRDefault="00D2635C" w:rsidP="00D63204">
            <w:pPr>
              <w:widowControl w:val="0"/>
              <w:spacing w:before="45" w:after="0" w:line="240" w:lineRule="auto"/>
              <w:ind w:left="90"/>
              <w:rPr>
                <w:rFonts w:cs="Calibri"/>
                <w:w w:val="105"/>
              </w:rPr>
            </w:pPr>
            <w:r w:rsidRPr="00353381">
              <w:rPr>
                <w:rFonts w:cs="Calibri"/>
                <w:color w:val="000000"/>
              </w:rPr>
              <w:t>Personnel Training</w:t>
            </w:r>
          </w:p>
        </w:tc>
      </w:tr>
      <w:tr w:rsidR="00D2635C" w:rsidRPr="00353381" w14:paraId="0544B54F" w14:textId="77777777" w:rsidTr="001429C7">
        <w:trPr>
          <w:trHeight w:hRule="exact" w:val="318"/>
        </w:trPr>
        <w:tc>
          <w:tcPr>
            <w:tcW w:w="2445" w:type="dxa"/>
            <w:tcBorders>
              <w:top w:val="single" w:sz="2" w:space="0" w:color="231F20"/>
              <w:left w:val="single" w:sz="2" w:space="0" w:color="231F20"/>
              <w:bottom w:val="single" w:sz="2" w:space="0" w:color="231F20"/>
              <w:right w:val="single" w:sz="2" w:space="0" w:color="231F20"/>
            </w:tcBorders>
            <w:shd w:val="clear" w:color="auto" w:fill="FFFFFF" w:themeFill="background1"/>
            <w:vAlign w:val="bottom"/>
          </w:tcPr>
          <w:p w14:paraId="71F474FD" w14:textId="77777777" w:rsidR="00D2635C" w:rsidRPr="00353381" w:rsidRDefault="00D2635C" w:rsidP="00D63204">
            <w:pPr>
              <w:widowControl w:val="0"/>
              <w:spacing w:before="45" w:after="0" w:line="240" w:lineRule="auto"/>
              <w:ind w:left="90"/>
              <w:rPr>
                <w:rFonts w:cs="Calibri"/>
                <w:w w:val="105"/>
              </w:rPr>
            </w:pPr>
            <w:r w:rsidRPr="00353381">
              <w:rPr>
                <w:rFonts w:cs="Calibri"/>
                <w:color w:val="000000"/>
              </w:rPr>
              <w:t>August 2017</w:t>
            </w:r>
          </w:p>
        </w:tc>
        <w:tc>
          <w:tcPr>
            <w:tcW w:w="7715" w:type="dxa"/>
            <w:tcBorders>
              <w:top w:val="single" w:sz="2" w:space="0" w:color="231F20"/>
              <w:left w:val="single" w:sz="2" w:space="0" w:color="231F20"/>
              <w:bottom w:val="single" w:sz="2" w:space="0" w:color="231F20"/>
              <w:right w:val="single" w:sz="2" w:space="0" w:color="231F20"/>
            </w:tcBorders>
            <w:shd w:val="clear" w:color="auto" w:fill="FFFFFF" w:themeFill="background1"/>
            <w:vAlign w:val="bottom"/>
          </w:tcPr>
          <w:p w14:paraId="4A38EF64" w14:textId="77777777" w:rsidR="00D2635C" w:rsidRPr="00353381" w:rsidRDefault="00D2635C" w:rsidP="00D63204">
            <w:pPr>
              <w:widowControl w:val="0"/>
              <w:spacing w:before="45" w:after="0" w:line="240" w:lineRule="auto"/>
              <w:ind w:left="90"/>
              <w:rPr>
                <w:rFonts w:cs="Calibri"/>
                <w:w w:val="105"/>
              </w:rPr>
            </w:pPr>
            <w:r w:rsidRPr="00353381">
              <w:rPr>
                <w:rFonts w:cs="Calibri"/>
                <w:color w:val="000000"/>
              </w:rPr>
              <w:t xml:space="preserve">Policy Training </w:t>
            </w:r>
          </w:p>
        </w:tc>
      </w:tr>
      <w:tr w:rsidR="00D2635C" w:rsidRPr="00353381" w14:paraId="1D69E24A" w14:textId="77777777" w:rsidTr="001429C7">
        <w:trPr>
          <w:trHeight w:hRule="exact" w:val="318"/>
        </w:trPr>
        <w:tc>
          <w:tcPr>
            <w:tcW w:w="2445" w:type="dxa"/>
            <w:tcBorders>
              <w:top w:val="single" w:sz="2" w:space="0" w:color="231F20"/>
              <w:left w:val="single" w:sz="2" w:space="0" w:color="231F20"/>
              <w:bottom w:val="single" w:sz="2" w:space="0" w:color="231F20"/>
              <w:right w:val="single" w:sz="2" w:space="0" w:color="231F20"/>
            </w:tcBorders>
            <w:shd w:val="clear" w:color="auto" w:fill="FFFFFF" w:themeFill="background1"/>
            <w:vAlign w:val="bottom"/>
          </w:tcPr>
          <w:p w14:paraId="37EC5358" w14:textId="77777777" w:rsidR="00D2635C" w:rsidRPr="00353381" w:rsidRDefault="00D2635C" w:rsidP="00D63204">
            <w:pPr>
              <w:widowControl w:val="0"/>
              <w:spacing w:before="45" w:after="0" w:line="240" w:lineRule="auto"/>
              <w:ind w:left="90"/>
              <w:rPr>
                <w:rFonts w:cs="Calibri"/>
                <w:w w:val="105"/>
              </w:rPr>
            </w:pPr>
            <w:r w:rsidRPr="00353381">
              <w:rPr>
                <w:rFonts w:cs="Calibri"/>
                <w:color w:val="000000"/>
              </w:rPr>
              <w:t>August 2017</w:t>
            </w:r>
          </w:p>
        </w:tc>
        <w:tc>
          <w:tcPr>
            <w:tcW w:w="7715" w:type="dxa"/>
            <w:tcBorders>
              <w:top w:val="single" w:sz="2" w:space="0" w:color="231F20"/>
              <w:left w:val="single" w:sz="2" w:space="0" w:color="231F20"/>
              <w:bottom w:val="single" w:sz="2" w:space="0" w:color="231F20"/>
              <w:right w:val="single" w:sz="2" w:space="0" w:color="231F20"/>
            </w:tcBorders>
            <w:shd w:val="clear" w:color="auto" w:fill="FFFFFF" w:themeFill="background1"/>
            <w:vAlign w:val="bottom"/>
          </w:tcPr>
          <w:p w14:paraId="004620ED" w14:textId="77777777" w:rsidR="00D2635C" w:rsidRPr="00353381" w:rsidRDefault="00D2635C" w:rsidP="00D63204">
            <w:pPr>
              <w:widowControl w:val="0"/>
              <w:spacing w:before="45" w:after="0" w:line="240" w:lineRule="auto"/>
              <w:ind w:left="90"/>
              <w:rPr>
                <w:rFonts w:cs="Calibri"/>
                <w:w w:val="105"/>
              </w:rPr>
            </w:pPr>
            <w:r w:rsidRPr="00353381">
              <w:rPr>
                <w:rFonts w:cs="Calibri"/>
                <w:color w:val="000000"/>
              </w:rPr>
              <w:t>New Employee Training</w:t>
            </w:r>
          </w:p>
        </w:tc>
      </w:tr>
      <w:tr w:rsidR="00D2635C" w:rsidRPr="00353381" w14:paraId="059AFDA4" w14:textId="77777777" w:rsidTr="001429C7">
        <w:trPr>
          <w:trHeight w:hRule="exact" w:val="318"/>
        </w:trPr>
        <w:tc>
          <w:tcPr>
            <w:tcW w:w="2445" w:type="dxa"/>
            <w:tcBorders>
              <w:top w:val="single" w:sz="2" w:space="0" w:color="231F20"/>
              <w:left w:val="single" w:sz="2" w:space="0" w:color="231F20"/>
              <w:bottom w:val="single" w:sz="2" w:space="0" w:color="231F20"/>
              <w:right w:val="single" w:sz="2" w:space="0" w:color="231F20"/>
            </w:tcBorders>
            <w:shd w:val="clear" w:color="auto" w:fill="FFFFFF" w:themeFill="background1"/>
            <w:vAlign w:val="bottom"/>
          </w:tcPr>
          <w:p w14:paraId="021B0196" w14:textId="77777777" w:rsidR="00D2635C" w:rsidRPr="00353381" w:rsidRDefault="00D2635C" w:rsidP="00D63204">
            <w:pPr>
              <w:widowControl w:val="0"/>
              <w:spacing w:before="45" w:after="0" w:line="240" w:lineRule="auto"/>
              <w:ind w:left="90"/>
              <w:rPr>
                <w:rFonts w:cs="Calibri"/>
                <w:w w:val="105"/>
              </w:rPr>
            </w:pPr>
            <w:r w:rsidRPr="00353381">
              <w:rPr>
                <w:rFonts w:cs="Calibri"/>
                <w:color w:val="000000"/>
              </w:rPr>
              <w:t>October 2017</w:t>
            </w:r>
          </w:p>
        </w:tc>
        <w:tc>
          <w:tcPr>
            <w:tcW w:w="7715" w:type="dxa"/>
            <w:tcBorders>
              <w:top w:val="single" w:sz="2" w:space="0" w:color="231F20"/>
              <w:left w:val="single" w:sz="2" w:space="0" w:color="231F20"/>
              <w:bottom w:val="single" w:sz="2" w:space="0" w:color="231F20"/>
              <w:right w:val="single" w:sz="2" w:space="0" w:color="231F20"/>
            </w:tcBorders>
            <w:shd w:val="clear" w:color="auto" w:fill="FFFFFF" w:themeFill="background1"/>
            <w:vAlign w:val="bottom"/>
          </w:tcPr>
          <w:p w14:paraId="61188B0B" w14:textId="77777777" w:rsidR="00D2635C" w:rsidRPr="00353381" w:rsidRDefault="00D2635C" w:rsidP="00D63204">
            <w:pPr>
              <w:widowControl w:val="0"/>
              <w:spacing w:before="45" w:after="0" w:line="240" w:lineRule="auto"/>
              <w:ind w:left="90"/>
              <w:rPr>
                <w:rFonts w:cs="Calibri"/>
                <w:w w:val="105"/>
              </w:rPr>
            </w:pPr>
            <w:r w:rsidRPr="00353381">
              <w:rPr>
                <w:rFonts w:cs="Calibri"/>
                <w:color w:val="000000"/>
              </w:rPr>
              <w:t xml:space="preserve">CRP Contract </w:t>
            </w:r>
          </w:p>
        </w:tc>
      </w:tr>
      <w:tr w:rsidR="00D2635C" w:rsidRPr="00353381" w14:paraId="25595EF9" w14:textId="77777777" w:rsidTr="001429C7">
        <w:trPr>
          <w:trHeight w:hRule="exact" w:val="318"/>
        </w:trPr>
        <w:tc>
          <w:tcPr>
            <w:tcW w:w="2445" w:type="dxa"/>
            <w:tcBorders>
              <w:top w:val="single" w:sz="2" w:space="0" w:color="231F20"/>
              <w:left w:val="single" w:sz="2" w:space="0" w:color="231F20"/>
              <w:bottom w:val="single" w:sz="2" w:space="0" w:color="231F20"/>
              <w:right w:val="single" w:sz="2" w:space="0" w:color="231F20"/>
            </w:tcBorders>
            <w:shd w:val="clear" w:color="auto" w:fill="FFFFFF" w:themeFill="background1"/>
            <w:vAlign w:val="bottom"/>
          </w:tcPr>
          <w:p w14:paraId="2601427D" w14:textId="77777777" w:rsidR="00D2635C" w:rsidRPr="00353381" w:rsidRDefault="00D2635C" w:rsidP="00D63204">
            <w:pPr>
              <w:widowControl w:val="0"/>
              <w:spacing w:before="45" w:after="0" w:line="240" w:lineRule="auto"/>
              <w:ind w:left="90"/>
              <w:rPr>
                <w:rFonts w:cs="Calibri"/>
                <w:w w:val="105"/>
              </w:rPr>
            </w:pPr>
            <w:r w:rsidRPr="00353381">
              <w:rPr>
                <w:rFonts w:cs="Calibri"/>
                <w:color w:val="000000"/>
              </w:rPr>
              <w:t>October 2017</w:t>
            </w:r>
          </w:p>
        </w:tc>
        <w:tc>
          <w:tcPr>
            <w:tcW w:w="7715" w:type="dxa"/>
            <w:tcBorders>
              <w:top w:val="single" w:sz="2" w:space="0" w:color="231F20"/>
              <w:left w:val="single" w:sz="2" w:space="0" w:color="231F20"/>
              <w:bottom w:val="single" w:sz="2" w:space="0" w:color="231F20"/>
              <w:right w:val="single" w:sz="2" w:space="0" w:color="231F20"/>
            </w:tcBorders>
            <w:shd w:val="clear" w:color="auto" w:fill="FFFFFF" w:themeFill="background1"/>
            <w:vAlign w:val="bottom"/>
          </w:tcPr>
          <w:p w14:paraId="19607AF2" w14:textId="77777777" w:rsidR="00D2635C" w:rsidRPr="00353381" w:rsidRDefault="00D2635C" w:rsidP="00D63204">
            <w:pPr>
              <w:widowControl w:val="0"/>
              <w:spacing w:before="45" w:after="0" w:line="240" w:lineRule="auto"/>
              <w:ind w:left="90"/>
              <w:rPr>
                <w:rFonts w:cs="Calibri"/>
                <w:w w:val="105"/>
              </w:rPr>
            </w:pPr>
            <w:r w:rsidRPr="00353381">
              <w:rPr>
                <w:rFonts w:cs="Calibri"/>
                <w:color w:val="000000"/>
              </w:rPr>
              <w:t>Pre-ETS</w:t>
            </w:r>
          </w:p>
        </w:tc>
      </w:tr>
      <w:tr w:rsidR="00D2635C" w:rsidRPr="00353381" w14:paraId="35880507" w14:textId="77777777" w:rsidTr="001429C7">
        <w:trPr>
          <w:trHeight w:hRule="exact" w:val="318"/>
        </w:trPr>
        <w:tc>
          <w:tcPr>
            <w:tcW w:w="2445" w:type="dxa"/>
            <w:tcBorders>
              <w:top w:val="single" w:sz="2" w:space="0" w:color="231F20"/>
              <w:left w:val="single" w:sz="2" w:space="0" w:color="231F20"/>
              <w:bottom w:val="single" w:sz="2" w:space="0" w:color="231F20"/>
              <w:right w:val="single" w:sz="2" w:space="0" w:color="231F20"/>
            </w:tcBorders>
            <w:shd w:val="clear" w:color="auto" w:fill="FFFFFF" w:themeFill="background1"/>
            <w:vAlign w:val="bottom"/>
          </w:tcPr>
          <w:p w14:paraId="709D2DC0" w14:textId="77777777" w:rsidR="00D2635C" w:rsidRPr="00353381" w:rsidRDefault="00D2635C" w:rsidP="00D63204">
            <w:pPr>
              <w:widowControl w:val="0"/>
              <w:spacing w:before="45" w:after="0" w:line="240" w:lineRule="auto"/>
              <w:ind w:left="90"/>
              <w:rPr>
                <w:rFonts w:cs="Calibri"/>
                <w:w w:val="105"/>
              </w:rPr>
            </w:pPr>
            <w:r w:rsidRPr="00353381">
              <w:rPr>
                <w:rFonts w:cs="Calibri"/>
                <w:color w:val="000000"/>
              </w:rPr>
              <w:t>October 2017</w:t>
            </w:r>
          </w:p>
        </w:tc>
        <w:tc>
          <w:tcPr>
            <w:tcW w:w="7715" w:type="dxa"/>
            <w:tcBorders>
              <w:top w:val="single" w:sz="2" w:space="0" w:color="231F20"/>
              <w:left w:val="single" w:sz="2" w:space="0" w:color="231F20"/>
              <w:bottom w:val="single" w:sz="2" w:space="0" w:color="231F20"/>
              <w:right w:val="single" w:sz="2" w:space="0" w:color="231F20"/>
            </w:tcBorders>
            <w:shd w:val="clear" w:color="auto" w:fill="FFFFFF" w:themeFill="background1"/>
            <w:vAlign w:val="bottom"/>
          </w:tcPr>
          <w:p w14:paraId="58F120E6" w14:textId="77777777" w:rsidR="00D2635C" w:rsidRPr="00353381" w:rsidRDefault="00D2635C" w:rsidP="00D63204">
            <w:pPr>
              <w:widowControl w:val="0"/>
              <w:spacing w:before="45" w:after="0" w:line="240" w:lineRule="auto"/>
              <w:ind w:left="90"/>
              <w:rPr>
                <w:rFonts w:cs="Calibri"/>
                <w:w w:val="105"/>
              </w:rPr>
            </w:pPr>
            <w:r w:rsidRPr="00353381">
              <w:rPr>
                <w:rFonts w:cs="Calibri"/>
                <w:color w:val="000000"/>
              </w:rPr>
              <w:t>Statewide VR</w:t>
            </w:r>
          </w:p>
        </w:tc>
      </w:tr>
      <w:tr w:rsidR="00D2635C" w:rsidRPr="00353381" w14:paraId="28C4EFB3" w14:textId="77777777" w:rsidTr="001429C7">
        <w:trPr>
          <w:trHeight w:hRule="exact" w:val="318"/>
        </w:trPr>
        <w:tc>
          <w:tcPr>
            <w:tcW w:w="2445" w:type="dxa"/>
            <w:tcBorders>
              <w:top w:val="single" w:sz="2" w:space="0" w:color="231F20"/>
              <w:left w:val="single" w:sz="2" w:space="0" w:color="231F20"/>
              <w:bottom w:val="single" w:sz="2" w:space="0" w:color="231F20"/>
              <w:right w:val="single" w:sz="2" w:space="0" w:color="231F20"/>
            </w:tcBorders>
            <w:shd w:val="clear" w:color="auto" w:fill="FFFFFF" w:themeFill="background1"/>
            <w:vAlign w:val="bottom"/>
          </w:tcPr>
          <w:p w14:paraId="3E359F7B" w14:textId="77777777" w:rsidR="00D2635C" w:rsidRPr="00353381" w:rsidRDefault="00D2635C" w:rsidP="00D63204">
            <w:pPr>
              <w:widowControl w:val="0"/>
              <w:spacing w:before="45" w:after="0" w:line="240" w:lineRule="auto"/>
              <w:ind w:left="90"/>
              <w:rPr>
                <w:rFonts w:cs="Calibri"/>
                <w:w w:val="105"/>
              </w:rPr>
            </w:pPr>
            <w:r w:rsidRPr="00353381">
              <w:rPr>
                <w:rFonts w:cs="Calibri"/>
                <w:color w:val="000000"/>
              </w:rPr>
              <w:t>October 2017</w:t>
            </w:r>
          </w:p>
        </w:tc>
        <w:tc>
          <w:tcPr>
            <w:tcW w:w="7715" w:type="dxa"/>
            <w:tcBorders>
              <w:top w:val="single" w:sz="2" w:space="0" w:color="231F20"/>
              <w:left w:val="single" w:sz="2" w:space="0" w:color="231F20"/>
              <w:bottom w:val="single" w:sz="2" w:space="0" w:color="231F20"/>
              <w:right w:val="single" w:sz="2" w:space="0" w:color="231F20"/>
            </w:tcBorders>
            <w:shd w:val="clear" w:color="auto" w:fill="FFFFFF" w:themeFill="background1"/>
            <w:vAlign w:val="bottom"/>
          </w:tcPr>
          <w:p w14:paraId="2A340588" w14:textId="77777777" w:rsidR="00D2635C" w:rsidRPr="00353381" w:rsidRDefault="00D2635C" w:rsidP="00D63204">
            <w:pPr>
              <w:widowControl w:val="0"/>
              <w:spacing w:before="45" w:after="0" w:line="240" w:lineRule="auto"/>
              <w:ind w:left="90"/>
              <w:rPr>
                <w:rFonts w:cs="Calibri"/>
                <w:w w:val="105"/>
              </w:rPr>
            </w:pPr>
            <w:r w:rsidRPr="00353381">
              <w:rPr>
                <w:rFonts w:cs="Calibri"/>
                <w:color w:val="000000"/>
              </w:rPr>
              <w:t>FASB Training (Transition)</w:t>
            </w:r>
          </w:p>
        </w:tc>
      </w:tr>
      <w:tr w:rsidR="00D2635C" w:rsidRPr="00353381" w14:paraId="36F15394" w14:textId="77777777" w:rsidTr="001429C7">
        <w:trPr>
          <w:trHeight w:hRule="exact" w:val="318"/>
        </w:trPr>
        <w:tc>
          <w:tcPr>
            <w:tcW w:w="2445" w:type="dxa"/>
            <w:tcBorders>
              <w:top w:val="single" w:sz="2" w:space="0" w:color="231F20"/>
              <w:left w:val="single" w:sz="2" w:space="0" w:color="231F20"/>
              <w:bottom w:val="single" w:sz="2" w:space="0" w:color="231F20"/>
              <w:right w:val="single" w:sz="2" w:space="0" w:color="231F20"/>
            </w:tcBorders>
            <w:shd w:val="clear" w:color="auto" w:fill="FFFFFF" w:themeFill="background1"/>
            <w:vAlign w:val="bottom"/>
          </w:tcPr>
          <w:p w14:paraId="262C6FD5" w14:textId="77777777" w:rsidR="00D2635C" w:rsidRPr="00353381" w:rsidRDefault="00D2635C" w:rsidP="00D63204">
            <w:pPr>
              <w:widowControl w:val="0"/>
              <w:spacing w:before="45" w:after="0" w:line="240" w:lineRule="auto"/>
              <w:ind w:left="90"/>
              <w:rPr>
                <w:rFonts w:cs="Calibri"/>
                <w:w w:val="105"/>
              </w:rPr>
            </w:pPr>
            <w:r w:rsidRPr="00353381">
              <w:rPr>
                <w:rFonts w:cs="Calibri"/>
                <w:color w:val="000000"/>
              </w:rPr>
              <w:t>October 2017</w:t>
            </w:r>
          </w:p>
        </w:tc>
        <w:tc>
          <w:tcPr>
            <w:tcW w:w="7715" w:type="dxa"/>
            <w:tcBorders>
              <w:top w:val="single" w:sz="2" w:space="0" w:color="231F20"/>
              <w:left w:val="single" w:sz="2" w:space="0" w:color="231F20"/>
              <w:bottom w:val="single" w:sz="2" w:space="0" w:color="231F20"/>
              <w:right w:val="single" w:sz="2" w:space="0" w:color="231F20"/>
            </w:tcBorders>
            <w:shd w:val="clear" w:color="auto" w:fill="FFFFFF" w:themeFill="background1"/>
            <w:vAlign w:val="bottom"/>
          </w:tcPr>
          <w:p w14:paraId="11CB1500" w14:textId="77777777" w:rsidR="00D2635C" w:rsidRPr="00353381" w:rsidRDefault="00D2635C" w:rsidP="00D63204">
            <w:pPr>
              <w:widowControl w:val="0"/>
              <w:spacing w:before="45" w:after="0" w:line="240" w:lineRule="auto"/>
              <w:ind w:left="90"/>
              <w:rPr>
                <w:rFonts w:cs="Calibri"/>
                <w:w w:val="105"/>
              </w:rPr>
            </w:pPr>
            <w:r w:rsidRPr="00353381">
              <w:rPr>
                <w:rFonts w:cs="Calibri"/>
                <w:color w:val="000000"/>
              </w:rPr>
              <w:t>CRP Training (Transition)</w:t>
            </w:r>
          </w:p>
        </w:tc>
      </w:tr>
      <w:tr w:rsidR="00D2635C" w:rsidRPr="00353381" w14:paraId="23DD6F8D" w14:textId="77777777" w:rsidTr="001429C7">
        <w:trPr>
          <w:trHeight w:hRule="exact" w:val="318"/>
        </w:trPr>
        <w:tc>
          <w:tcPr>
            <w:tcW w:w="2445" w:type="dxa"/>
            <w:tcBorders>
              <w:top w:val="single" w:sz="2" w:space="0" w:color="231F20"/>
              <w:left w:val="single" w:sz="2" w:space="0" w:color="231F20"/>
              <w:bottom w:val="single" w:sz="2" w:space="0" w:color="231F20"/>
              <w:right w:val="single" w:sz="2" w:space="0" w:color="231F20"/>
            </w:tcBorders>
            <w:shd w:val="clear" w:color="auto" w:fill="FFFFFF" w:themeFill="background1"/>
            <w:vAlign w:val="bottom"/>
          </w:tcPr>
          <w:p w14:paraId="63201F8B" w14:textId="77777777" w:rsidR="00D2635C" w:rsidRPr="00353381" w:rsidRDefault="00D2635C" w:rsidP="00D63204">
            <w:pPr>
              <w:widowControl w:val="0"/>
              <w:spacing w:before="45" w:after="0" w:line="240" w:lineRule="auto"/>
              <w:ind w:left="90"/>
              <w:rPr>
                <w:rFonts w:cs="Calibri"/>
                <w:w w:val="105"/>
              </w:rPr>
            </w:pPr>
            <w:r w:rsidRPr="00353381">
              <w:rPr>
                <w:rFonts w:cs="Calibri"/>
                <w:color w:val="000000"/>
              </w:rPr>
              <w:t>October 2017</w:t>
            </w:r>
          </w:p>
        </w:tc>
        <w:tc>
          <w:tcPr>
            <w:tcW w:w="7715" w:type="dxa"/>
            <w:tcBorders>
              <w:top w:val="single" w:sz="2" w:space="0" w:color="231F20"/>
              <w:left w:val="single" w:sz="2" w:space="0" w:color="231F20"/>
              <w:bottom w:val="single" w:sz="2" w:space="0" w:color="231F20"/>
              <w:right w:val="single" w:sz="2" w:space="0" w:color="231F20"/>
            </w:tcBorders>
            <w:shd w:val="clear" w:color="auto" w:fill="FFFFFF" w:themeFill="background1"/>
            <w:vAlign w:val="bottom"/>
          </w:tcPr>
          <w:p w14:paraId="6266FBF9" w14:textId="77777777" w:rsidR="00D2635C" w:rsidRPr="00353381" w:rsidRDefault="00D2635C" w:rsidP="00D63204">
            <w:pPr>
              <w:widowControl w:val="0"/>
              <w:spacing w:before="45" w:after="0" w:line="240" w:lineRule="auto"/>
              <w:ind w:left="90"/>
              <w:rPr>
                <w:rFonts w:cs="Calibri"/>
                <w:w w:val="105"/>
              </w:rPr>
            </w:pPr>
            <w:r w:rsidRPr="00353381">
              <w:rPr>
                <w:rFonts w:cs="Calibri"/>
                <w:color w:val="000000"/>
              </w:rPr>
              <w:t>Rehab Council and Administration (DA, Sup.)</w:t>
            </w:r>
          </w:p>
        </w:tc>
      </w:tr>
      <w:tr w:rsidR="00D2635C" w:rsidRPr="00353381" w14:paraId="7470664E" w14:textId="77777777" w:rsidTr="001429C7">
        <w:trPr>
          <w:trHeight w:hRule="exact" w:val="318"/>
        </w:trPr>
        <w:tc>
          <w:tcPr>
            <w:tcW w:w="2445" w:type="dxa"/>
            <w:tcBorders>
              <w:top w:val="single" w:sz="2" w:space="0" w:color="231F20"/>
              <w:left w:val="single" w:sz="2" w:space="0" w:color="231F20"/>
              <w:bottom w:val="single" w:sz="2" w:space="0" w:color="231F20"/>
              <w:right w:val="single" w:sz="2" w:space="0" w:color="231F20"/>
            </w:tcBorders>
            <w:shd w:val="clear" w:color="auto" w:fill="FFFFFF" w:themeFill="background1"/>
            <w:vAlign w:val="bottom"/>
          </w:tcPr>
          <w:p w14:paraId="010D43E0" w14:textId="77777777" w:rsidR="00D2635C" w:rsidRPr="00353381" w:rsidRDefault="00D2635C" w:rsidP="00D63204">
            <w:pPr>
              <w:widowControl w:val="0"/>
              <w:spacing w:before="45" w:after="0" w:line="240" w:lineRule="auto"/>
              <w:ind w:left="90"/>
              <w:rPr>
                <w:rFonts w:cs="Calibri"/>
                <w:color w:val="000000"/>
              </w:rPr>
            </w:pPr>
            <w:r w:rsidRPr="00353381">
              <w:rPr>
                <w:rFonts w:cs="Calibri"/>
                <w:color w:val="000000"/>
              </w:rPr>
              <w:t>November 2017</w:t>
            </w:r>
          </w:p>
        </w:tc>
        <w:tc>
          <w:tcPr>
            <w:tcW w:w="7715" w:type="dxa"/>
            <w:tcBorders>
              <w:top w:val="single" w:sz="2" w:space="0" w:color="231F20"/>
              <w:left w:val="single" w:sz="2" w:space="0" w:color="231F20"/>
              <w:bottom w:val="single" w:sz="2" w:space="0" w:color="231F20"/>
              <w:right w:val="single" w:sz="2" w:space="0" w:color="231F20"/>
            </w:tcBorders>
            <w:shd w:val="clear" w:color="auto" w:fill="FFFFFF" w:themeFill="background1"/>
            <w:vAlign w:val="bottom"/>
          </w:tcPr>
          <w:p w14:paraId="74F19F12" w14:textId="77777777" w:rsidR="00D2635C" w:rsidRPr="00353381" w:rsidRDefault="00D2635C" w:rsidP="00D63204">
            <w:pPr>
              <w:widowControl w:val="0"/>
              <w:spacing w:before="45" w:after="0" w:line="240" w:lineRule="auto"/>
              <w:ind w:left="90"/>
              <w:rPr>
                <w:rFonts w:cs="Calibri"/>
                <w:color w:val="000000"/>
              </w:rPr>
            </w:pPr>
            <w:r w:rsidRPr="00353381">
              <w:rPr>
                <w:rFonts w:cs="Calibri"/>
                <w:color w:val="000000"/>
              </w:rPr>
              <w:t>New Employee Training</w:t>
            </w:r>
          </w:p>
        </w:tc>
      </w:tr>
    </w:tbl>
    <w:p w14:paraId="0C7804EA" w14:textId="77777777" w:rsidR="00EA7458" w:rsidRPr="00353381" w:rsidRDefault="00EA7458" w:rsidP="00D63204">
      <w:pPr>
        <w:widowControl w:val="0"/>
        <w:spacing w:before="5" w:after="0" w:line="240" w:lineRule="auto"/>
        <w:ind w:left="90"/>
        <w:rPr>
          <w:rFonts w:cs="Calibri"/>
          <w:b/>
          <w:bCs/>
        </w:rPr>
      </w:pPr>
    </w:p>
    <w:p w14:paraId="4B9FE704" w14:textId="212CFAC4" w:rsidR="00D2635C" w:rsidRPr="00353381" w:rsidRDefault="00D2635C" w:rsidP="00D63204">
      <w:pPr>
        <w:spacing w:line="240" w:lineRule="auto"/>
        <w:ind w:left="90"/>
      </w:pPr>
      <w:bookmarkStart w:id="195" w:name="_bookmark126"/>
      <w:bookmarkEnd w:id="195"/>
      <w:r w:rsidRPr="00353381">
        <w:rPr>
          <w:b/>
        </w:rPr>
        <w:t>Strategy 3.2</w:t>
      </w:r>
      <w:r w:rsidRPr="00353381">
        <w:t xml:space="preserve"> Improve Employee Satisfaction. </w:t>
      </w:r>
    </w:p>
    <w:p w14:paraId="506E5EAB" w14:textId="4ED8B83B" w:rsidR="00D2635C" w:rsidRPr="00353381" w:rsidRDefault="00D2635C" w:rsidP="00D63204">
      <w:pPr>
        <w:widowControl w:val="0"/>
        <w:spacing w:before="137" w:after="0" w:line="240" w:lineRule="auto"/>
        <w:ind w:left="90"/>
        <w:rPr>
          <w:color w:val="231F20"/>
          <w:w w:val="105"/>
        </w:rPr>
      </w:pPr>
      <w:r w:rsidRPr="00353381">
        <w:t xml:space="preserve">In 2014, the division conducted two employee satisfaction surveys at the Florida Rehabilitation Center and the Talking Book Library in Daytona Beach, Florida. </w:t>
      </w:r>
      <w:r w:rsidRPr="00353381">
        <w:rPr>
          <w:color w:val="231F20"/>
          <w:w w:val="105"/>
        </w:rPr>
        <w:t>A new employee satisfaction survey is under development. The targeted completion date is</w:t>
      </w:r>
      <w:r w:rsidR="00ED7B98">
        <w:rPr>
          <w:color w:val="231F20"/>
          <w:w w:val="105"/>
        </w:rPr>
        <w:t xml:space="preserve"> mid to late</w:t>
      </w:r>
      <w:r w:rsidRPr="00353381">
        <w:rPr>
          <w:color w:val="231F20"/>
          <w:w w:val="105"/>
        </w:rPr>
        <w:t xml:space="preserve"> 2018. The results from this survey will be provided once all data has been reviewed.</w:t>
      </w:r>
    </w:p>
    <w:p w14:paraId="3EC1868F" w14:textId="134BBD8D" w:rsidR="00092297" w:rsidRDefault="00092297" w:rsidP="00B61075">
      <w:pPr>
        <w:widowControl w:val="0"/>
        <w:spacing w:before="137" w:after="0" w:line="240" w:lineRule="auto"/>
      </w:pPr>
    </w:p>
    <w:p w14:paraId="5BB394DA" w14:textId="77777777" w:rsidR="00092297" w:rsidRPr="00353381" w:rsidRDefault="00092297" w:rsidP="00D63204">
      <w:pPr>
        <w:widowControl w:val="0"/>
        <w:spacing w:before="137" w:after="0" w:line="240" w:lineRule="auto"/>
        <w:ind w:left="90"/>
      </w:pPr>
    </w:p>
    <w:p w14:paraId="258D5466" w14:textId="77777777" w:rsidR="00D2635C" w:rsidRPr="00353381" w:rsidRDefault="00D2635C" w:rsidP="00D63204">
      <w:pPr>
        <w:spacing w:line="240" w:lineRule="auto"/>
        <w:ind w:left="90"/>
      </w:pPr>
      <w:r w:rsidRPr="00353381">
        <w:rPr>
          <w:b/>
        </w:rPr>
        <w:t>Goal 4.0</w:t>
      </w:r>
      <w:r w:rsidRPr="00353381">
        <w:t xml:space="preserve"> Create a well-managed and accountable organization that ensures high quality. </w:t>
      </w:r>
    </w:p>
    <w:p w14:paraId="39EB8EFE" w14:textId="01FE8E2D" w:rsidR="00D2635C" w:rsidRPr="00353381" w:rsidRDefault="00D2635C" w:rsidP="00D63204">
      <w:pPr>
        <w:spacing w:line="240" w:lineRule="auto"/>
        <w:ind w:left="90"/>
      </w:pPr>
      <w:r w:rsidRPr="00353381">
        <w:rPr>
          <w:b/>
        </w:rPr>
        <w:t>Measure:</w:t>
      </w:r>
      <w:r w:rsidRPr="00353381">
        <w:t xml:space="preserve"> This goal is measured based upon federal and state program and fiscal audit findings. </w:t>
      </w:r>
    </w:p>
    <w:p w14:paraId="1CD97A1F" w14:textId="1DA11217" w:rsidR="00D2635C" w:rsidRPr="00353381" w:rsidRDefault="00D2635C" w:rsidP="00D63204">
      <w:pPr>
        <w:spacing w:line="240" w:lineRule="auto"/>
        <w:ind w:left="90"/>
      </w:pPr>
      <w:r w:rsidRPr="00353381">
        <w:rPr>
          <w:b/>
        </w:rPr>
        <w:t>Strategy 4.1</w:t>
      </w:r>
      <w:r w:rsidRPr="00353381">
        <w:t xml:space="preserve"> Develop and implement a comprehensive quality assurance program to foster a decrease in audit findings from the Offices of the Inspector General, Auditor General and the Rehabilitation Services Administration. </w:t>
      </w:r>
    </w:p>
    <w:p w14:paraId="5E2EB48D" w14:textId="4AE5A7FF" w:rsidR="00D2635C" w:rsidRPr="00353381" w:rsidRDefault="00D2635C" w:rsidP="00D63204">
      <w:pPr>
        <w:spacing w:line="240" w:lineRule="auto"/>
        <w:ind w:left="90"/>
      </w:pPr>
      <w:bookmarkStart w:id="196" w:name="_Hlk503266448"/>
      <w:r w:rsidRPr="00353381">
        <w:t>FDBS has a quality assurance protocol specific to program services</w:t>
      </w:r>
      <w:r w:rsidR="005E7C49">
        <w:t xml:space="preserve">. </w:t>
      </w:r>
      <w:r w:rsidRPr="00353381">
        <w:t>The protocol activities include desk and district onsite reviews</w:t>
      </w:r>
      <w:r w:rsidR="005E7C49">
        <w:t xml:space="preserve">. </w:t>
      </w:r>
      <w:r w:rsidRPr="00353381">
        <w:t xml:space="preserve">FDBS Client Services Unit conducted two </w:t>
      </w:r>
      <w:r w:rsidR="00C00BCD">
        <w:t>on</w:t>
      </w:r>
      <w:r w:rsidRPr="00353381">
        <w:t>site reviews in January and March 2016</w:t>
      </w:r>
      <w:r w:rsidR="00D5537E">
        <w:t xml:space="preserve"> and</w:t>
      </w:r>
      <w:r w:rsidRPr="00353381">
        <w:t xml:space="preserve"> desk reviews for all districts in March and April 2017 in preparation for RSA monitoring</w:t>
      </w:r>
      <w:bookmarkEnd w:id="196"/>
      <w:r w:rsidR="005E7C49">
        <w:t xml:space="preserve">. </w:t>
      </w:r>
    </w:p>
    <w:p w14:paraId="54D21DF3" w14:textId="6EA7D385" w:rsidR="00F83B0A" w:rsidRPr="00F83B0A" w:rsidRDefault="00F83B0A" w:rsidP="00D63204">
      <w:pPr>
        <w:spacing w:line="240" w:lineRule="auto"/>
        <w:ind w:left="90"/>
        <w:rPr>
          <w:color w:val="231F20"/>
          <w:w w:val="105"/>
        </w:rPr>
      </w:pPr>
      <w:r w:rsidRPr="00F83B0A">
        <w:rPr>
          <w:color w:val="231F20"/>
          <w:w w:val="105"/>
        </w:rPr>
        <w:t>DBS’ implementation of monthly case reviews, on-site reviews and training supports the division in continuing to achieve a compliance rate of 96%, exceeding its standard compliance rate of 9</w:t>
      </w:r>
      <w:r>
        <w:rPr>
          <w:color w:val="231F20"/>
          <w:w w:val="105"/>
        </w:rPr>
        <w:t>0 percent</w:t>
      </w:r>
      <w:r w:rsidRPr="00F83B0A">
        <w:rPr>
          <w:color w:val="231F20"/>
          <w:w w:val="105"/>
        </w:rPr>
        <w:t xml:space="preserve">. </w:t>
      </w:r>
    </w:p>
    <w:p w14:paraId="264695F7" w14:textId="6434B35F" w:rsidR="00092297" w:rsidRDefault="00D2635C" w:rsidP="00D63204">
      <w:pPr>
        <w:spacing w:line="240" w:lineRule="auto"/>
        <w:ind w:left="90"/>
      </w:pPr>
      <w:r w:rsidRPr="00353381">
        <w:t>Details of the findings from the case reviews are shared with staff and additional training opportuni</w:t>
      </w:r>
      <w:r w:rsidR="00092297">
        <w:t>ties are provided as requested</w:t>
      </w:r>
      <w:r w:rsidR="005E7C49">
        <w:t xml:space="preserve">. </w:t>
      </w:r>
    </w:p>
    <w:p w14:paraId="2D8D2B9A" w14:textId="79DE77DE" w:rsidR="00EA7458" w:rsidRPr="00353381" w:rsidRDefault="00D2635C" w:rsidP="00F83B0A">
      <w:pPr>
        <w:spacing w:line="240" w:lineRule="auto"/>
        <w:ind w:left="90"/>
        <w:rPr>
          <w:rFonts w:cs="Calibri"/>
        </w:rPr>
      </w:pPr>
      <w:r w:rsidRPr="00353381">
        <w:rPr>
          <w:color w:val="231F20"/>
          <w:w w:val="105"/>
        </w:rPr>
        <w:t>This process decreases audit findings and allows additional training in areas of quality assurance related to authorizations. The</w:t>
      </w:r>
      <w:r w:rsidRPr="00353381">
        <w:rPr>
          <w:color w:val="231F20"/>
          <w:spacing w:val="23"/>
          <w:w w:val="105"/>
        </w:rPr>
        <w:t xml:space="preserve"> </w:t>
      </w:r>
      <w:r w:rsidRPr="00353381">
        <w:rPr>
          <w:color w:val="231F20"/>
          <w:w w:val="105"/>
        </w:rPr>
        <w:t>division</w:t>
      </w:r>
      <w:r w:rsidRPr="00353381">
        <w:rPr>
          <w:color w:val="231F20"/>
          <w:spacing w:val="23"/>
          <w:w w:val="105"/>
        </w:rPr>
        <w:t xml:space="preserve"> </w:t>
      </w:r>
      <w:r w:rsidRPr="00353381">
        <w:rPr>
          <w:color w:val="231F20"/>
          <w:w w:val="105"/>
        </w:rPr>
        <w:t>monitors compliance</w:t>
      </w:r>
      <w:r w:rsidRPr="00353381">
        <w:rPr>
          <w:color w:val="231F20"/>
          <w:spacing w:val="30"/>
          <w:w w:val="105"/>
        </w:rPr>
        <w:t xml:space="preserve"> </w:t>
      </w:r>
      <w:r w:rsidRPr="00353381">
        <w:rPr>
          <w:color w:val="231F20"/>
          <w:w w:val="105"/>
        </w:rPr>
        <w:t>during</w:t>
      </w:r>
      <w:r w:rsidRPr="00353381">
        <w:rPr>
          <w:color w:val="231F20"/>
          <w:spacing w:val="30"/>
          <w:w w:val="105"/>
        </w:rPr>
        <w:t xml:space="preserve"> </w:t>
      </w:r>
      <w:r w:rsidRPr="00353381">
        <w:rPr>
          <w:color w:val="231F20"/>
          <w:w w:val="105"/>
        </w:rPr>
        <w:t>quarterly</w:t>
      </w:r>
      <w:r w:rsidRPr="00353381">
        <w:rPr>
          <w:color w:val="231F20"/>
          <w:spacing w:val="30"/>
          <w:w w:val="105"/>
        </w:rPr>
        <w:t xml:space="preserve"> </w:t>
      </w:r>
      <w:r w:rsidRPr="00353381">
        <w:rPr>
          <w:color w:val="231F20"/>
          <w:w w:val="105"/>
        </w:rPr>
        <w:t>case</w:t>
      </w:r>
      <w:r w:rsidRPr="00353381">
        <w:rPr>
          <w:color w:val="231F20"/>
          <w:spacing w:val="30"/>
          <w:w w:val="105"/>
        </w:rPr>
        <w:t xml:space="preserve"> </w:t>
      </w:r>
      <w:r w:rsidRPr="00353381">
        <w:rPr>
          <w:color w:val="231F20"/>
          <w:w w:val="105"/>
        </w:rPr>
        <w:t>reviews and</w:t>
      </w:r>
      <w:r w:rsidRPr="00353381">
        <w:rPr>
          <w:color w:val="231F20"/>
          <w:spacing w:val="30"/>
          <w:w w:val="105"/>
        </w:rPr>
        <w:t xml:space="preserve"> </w:t>
      </w:r>
      <w:r w:rsidRPr="00353381">
        <w:rPr>
          <w:color w:val="231F20"/>
          <w:w w:val="105"/>
        </w:rPr>
        <w:t>provides</w:t>
      </w:r>
      <w:r w:rsidRPr="00353381">
        <w:rPr>
          <w:color w:val="231F20"/>
          <w:spacing w:val="30"/>
          <w:w w:val="105"/>
        </w:rPr>
        <w:t xml:space="preserve"> </w:t>
      </w:r>
      <w:r w:rsidRPr="00353381">
        <w:rPr>
          <w:color w:val="231F20"/>
          <w:w w:val="105"/>
        </w:rPr>
        <w:t>vocational</w:t>
      </w:r>
      <w:r w:rsidRPr="00353381">
        <w:rPr>
          <w:color w:val="231F20"/>
          <w:spacing w:val="30"/>
          <w:w w:val="105"/>
        </w:rPr>
        <w:t xml:space="preserve"> </w:t>
      </w:r>
      <w:r w:rsidRPr="00353381">
        <w:rPr>
          <w:color w:val="231F20"/>
          <w:w w:val="105"/>
        </w:rPr>
        <w:t>rehabilitation</w:t>
      </w:r>
      <w:r w:rsidRPr="00353381">
        <w:rPr>
          <w:color w:val="231F20"/>
          <w:spacing w:val="30"/>
          <w:w w:val="105"/>
        </w:rPr>
        <w:t xml:space="preserve"> </w:t>
      </w:r>
      <w:r w:rsidRPr="00353381">
        <w:rPr>
          <w:color w:val="231F20"/>
          <w:w w:val="105"/>
        </w:rPr>
        <w:t>staff</w:t>
      </w:r>
      <w:r w:rsidRPr="00353381">
        <w:rPr>
          <w:color w:val="231F20"/>
          <w:spacing w:val="29"/>
          <w:w w:val="105"/>
        </w:rPr>
        <w:t xml:space="preserve"> </w:t>
      </w:r>
      <w:r w:rsidRPr="00353381">
        <w:rPr>
          <w:color w:val="231F20"/>
          <w:w w:val="105"/>
        </w:rPr>
        <w:t>with</w:t>
      </w:r>
      <w:r w:rsidRPr="00353381">
        <w:rPr>
          <w:color w:val="231F20"/>
          <w:spacing w:val="30"/>
          <w:w w:val="105"/>
        </w:rPr>
        <w:t xml:space="preserve"> </w:t>
      </w:r>
      <w:r w:rsidRPr="00353381">
        <w:rPr>
          <w:color w:val="231F20"/>
          <w:w w:val="105"/>
        </w:rPr>
        <w:t>ongoing feedback and training.</w:t>
      </w:r>
    </w:p>
    <w:p w14:paraId="6B7B586F" w14:textId="77777777" w:rsidR="00F30738" w:rsidRPr="00353381" w:rsidRDefault="00F30738" w:rsidP="00D63204">
      <w:pPr>
        <w:spacing w:line="240" w:lineRule="auto"/>
        <w:ind w:left="90"/>
      </w:pPr>
      <w:r w:rsidRPr="00353381">
        <w:rPr>
          <w:b/>
        </w:rPr>
        <w:t>Strategy 4.2</w:t>
      </w:r>
      <w:r w:rsidRPr="00353381">
        <w:t xml:space="preserve"> Develop strong fiscal policy and procedures that promote responsible stewardship of available resources. </w:t>
      </w:r>
    </w:p>
    <w:p w14:paraId="75FC8BB1" w14:textId="6769B351" w:rsidR="00F30738" w:rsidRPr="00353381" w:rsidRDefault="00F30738" w:rsidP="00D63204">
      <w:pPr>
        <w:spacing w:line="240" w:lineRule="auto"/>
        <w:ind w:left="90"/>
      </w:pPr>
      <w:r w:rsidRPr="00353381">
        <w:t>FDBS has a case service allocation protocol which determines district allocations and ensures dollars are spent appropriately. To address appropriate allocation disbursements, FDBS evaluates historical expenditure data (e.g., number of clients served, services provided, contractual agreements in regions, business enterprise program expenditures self-employment opportunities</w:t>
      </w:r>
      <w:r w:rsidR="00D5537E">
        <w:t xml:space="preserve"> and</w:t>
      </w:r>
      <w:r w:rsidRPr="00353381">
        <w:t xml:space="preserve"> social change). </w:t>
      </w:r>
    </w:p>
    <w:p w14:paraId="43088A0A" w14:textId="77777777" w:rsidR="009F618B" w:rsidRDefault="009F618B" w:rsidP="00D63204">
      <w:pPr>
        <w:spacing w:after="0" w:line="240" w:lineRule="auto"/>
        <w:ind w:left="90"/>
        <w:rPr>
          <w:color w:val="231F20"/>
          <w:w w:val="105"/>
        </w:rPr>
      </w:pPr>
      <w:r w:rsidRPr="00755128">
        <w:rPr>
          <w:color w:val="231F20"/>
          <w:w w:val="105"/>
        </w:rPr>
        <w:t xml:space="preserve">DBS has implemented additional fiscal management procedures. </w:t>
      </w:r>
      <w:r w:rsidRPr="00755128">
        <w:t xml:space="preserve">FDBS uses a system that gives local district administrators discretion to review and approve expenditures below $3,000. </w:t>
      </w:r>
      <w:r w:rsidRPr="00755128">
        <w:rPr>
          <w:color w:val="231F20"/>
          <w:w w:val="105"/>
        </w:rPr>
        <w:t>During this review, authorizations under consideration include after the fact, made in advance of the service, and cancelled/reassigned due to changes in coding of the authorization.</w:t>
      </w:r>
    </w:p>
    <w:p w14:paraId="1DF51DE5" w14:textId="21FB5C16" w:rsidR="00F30738" w:rsidRPr="00353381" w:rsidRDefault="00092297" w:rsidP="00D63204">
      <w:pPr>
        <w:spacing w:after="0" w:line="240" w:lineRule="auto"/>
        <w:ind w:left="90"/>
        <w:rPr>
          <w:b/>
        </w:rPr>
      </w:pPr>
      <w:r>
        <w:rPr>
          <w:b/>
        </w:rPr>
        <w:br/>
      </w:r>
      <w:r w:rsidR="00F30738" w:rsidRPr="00353381">
        <w:rPr>
          <w:b/>
        </w:rPr>
        <w:t xml:space="preserve">Supported Employment Goals </w:t>
      </w:r>
    </w:p>
    <w:p w14:paraId="5F888C77" w14:textId="331BEC8C" w:rsidR="00F30738" w:rsidRPr="00353381" w:rsidRDefault="00F30738" w:rsidP="00D63204">
      <w:pPr>
        <w:widowControl w:val="0"/>
        <w:spacing w:after="0" w:line="240" w:lineRule="auto"/>
        <w:ind w:left="90"/>
      </w:pPr>
      <w:r w:rsidRPr="00353381">
        <w:t xml:space="preserve">FDBS provides services to customers with the most severe disabilities, which improves supported employment outcomes. This is accomplished through its partnership with community rehabilitation providers. FDBS contracts with one community rehabilitation program to provide statewide residential supported employment services. </w:t>
      </w:r>
      <w:r w:rsidRPr="00353381">
        <w:rPr>
          <w:color w:val="231F20"/>
          <w:w w:val="105"/>
        </w:rPr>
        <w:t>FDBS</w:t>
      </w:r>
      <w:r w:rsidRPr="00353381">
        <w:rPr>
          <w:color w:val="231F20"/>
          <w:spacing w:val="11"/>
          <w:w w:val="105"/>
        </w:rPr>
        <w:t xml:space="preserve"> </w:t>
      </w:r>
      <w:r w:rsidRPr="00353381">
        <w:rPr>
          <w:color w:val="231F20"/>
          <w:w w:val="105"/>
        </w:rPr>
        <w:t>works with</w:t>
      </w:r>
      <w:r w:rsidRPr="00353381">
        <w:rPr>
          <w:color w:val="231F20"/>
          <w:spacing w:val="11"/>
          <w:w w:val="105"/>
        </w:rPr>
        <w:t xml:space="preserve"> other </w:t>
      </w:r>
      <w:r w:rsidRPr="00353381">
        <w:rPr>
          <w:color w:val="231F20"/>
          <w:w w:val="105"/>
        </w:rPr>
        <w:t>Community</w:t>
      </w:r>
      <w:r w:rsidRPr="00353381">
        <w:rPr>
          <w:color w:val="231F20"/>
          <w:spacing w:val="11"/>
          <w:w w:val="105"/>
        </w:rPr>
        <w:t xml:space="preserve"> </w:t>
      </w:r>
      <w:r w:rsidRPr="00353381">
        <w:rPr>
          <w:color w:val="231F20"/>
          <w:w w:val="105"/>
        </w:rPr>
        <w:t>Rehabilitation</w:t>
      </w:r>
      <w:r w:rsidRPr="00353381">
        <w:rPr>
          <w:color w:val="231F20"/>
          <w:spacing w:val="11"/>
          <w:w w:val="105"/>
        </w:rPr>
        <w:t xml:space="preserve"> </w:t>
      </w:r>
      <w:r w:rsidRPr="00353381">
        <w:rPr>
          <w:color w:val="231F20"/>
          <w:w w:val="105"/>
        </w:rPr>
        <w:t>Providers (CRP)</w:t>
      </w:r>
      <w:r w:rsidRPr="00353381">
        <w:rPr>
          <w:color w:val="231F20"/>
          <w:spacing w:val="11"/>
          <w:w w:val="105"/>
        </w:rPr>
        <w:t xml:space="preserve"> </w:t>
      </w:r>
      <w:r w:rsidRPr="00353381">
        <w:rPr>
          <w:color w:val="231F20"/>
          <w:w w:val="105"/>
        </w:rPr>
        <w:t>serving</w:t>
      </w:r>
      <w:r w:rsidRPr="00353381">
        <w:rPr>
          <w:color w:val="231F20"/>
          <w:spacing w:val="11"/>
          <w:w w:val="105"/>
        </w:rPr>
        <w:t xml:space="preserve"> </w:t>
      </w:r>
      <w:r w:rsidRPr="00353381">
        <w:rPr>
          <w:color w:val="231F20"/>
          <w:w w:val="105"/>
        </w:rPr>
        <w:t>the</w:t>
      </w:r>
      <w:r w:rsidRPr="00353381">
        <w:rPr>
          <w:color w:val="231F20"/>
          <w:spacing w:val="11"/>
          <w:w w:val="105"/>
        </w:rPr>
        <w:t xml:space="preserve"> </w:t>
      </w:r>
      <w:r w:rsidRPr="00353381">
        <w:rPr>
          <w:color w:val="231F20"/>
          <w:w w:val="105"/>
        </w:rPr>
        <w:t>blind</w:t>
      </w:r>
      <w:r w:rsidRPr="00353381">
        <w:rPr>
          <w:color w:val="231F20"/>
          <w:spacing w:val="11"/>
          <w:w w:val="105"/>
        </w:rPr>
        <w:t xml:space="preserve"> </w:t>
      </w:r>
      <w:r w:rsidRPr="00353381">
        <w:rPr>
          <w:color w:val="231F20"/>
          <w:w w:val="105"/>
        </w:rPr>
        <w:t>to</w:t>
      </w:r>
      <w:r w:rsidRPr="00353381">
        <w:rPr>
          <w:color w:val="231F20"/>
          <w:spacing w:val="11"/>
          <w:w w:val="105"/>
        </w:rPr>
        <w:t xml:space="preserve"> </w:t>
      </w:r>
      <w:r w:rsidRPr="00353381">
        <w:rPr>
          <w:color w:val="231F20"/>
          <w:w w:val="105"/>
        </w:rPr>
        <w:t>ensure</w:t>
      </w:r>
      <w:r w:rsidRPr="00353381">
        <w:rPr>
          <w:color w:val="231F20"/>
          <w:spacing w:val="11"/>
          <w:w w:val="105"/>
        </w:rPr>
        <w:t xml:space="preserve"> </w:t>
      </w:r>
      <w:r w:rsidRPr="00353381">
        <w:rPr>
          <w:color w:val="231F20"/>
          <w:w w:val="105"/>
        </w:rPr>
        <w:t>services</w:t>
      </w:r>
      <w:r w:rsidRPr="00353381">
        <w:rPr>
          <w:color w:val="231F20"/>
          <w:spacing w:val="11"/>
          <w:w w:val="105"/>
        </w:rPr>
        <w:t xml:space="preserve"> </w:t>
      </w:r>
      <w:r w:rsidRPr="00353381">
        <w:rPr>
          <w:color w:val="231F20"/>
          <w:w w:val="105"/>
        </w:rPr>
        <w:t>are</w:t>
      </w:r>
      <w:r w:rsidRPr="00353381">
        <w:rPr>
          <w:color w:val="231F20"/>
          <w:spacing w:val="3"/>
          <w:w w:val="105"/>
        </w:rPr>
        <w:t xml:space="preserve"> </w:t>
      </w:r>
      <w:r w:rsidRPr="00353381">
        <w:rPr>
          <w:color w:val="231F20"/>
          <w:w w:val="105"/>
        </w:rPr>
        <w:t>available</w:t>
      </w:r>
      <w:r w:rsidRPr="00353381">
        <w:rPr>
          <w:color w:val="231F20"/>
          <w:spacing w:val="13"/>
          <w:w w:val="105"/>
        </w:rPr>
        <w:t xml:space="preserve"> </w:t>
      </w:r>
      <w:r w:rsidRPr="00353381">
        <w:rPr>
          <w:color w:val="231F20"/>
          <w:w w:val="105"/>
        </w:rPr>
        <w:t>in</w:t>
      </w:r>
      <w:r w:rsidRPr="00353381">
        <w:rPr>
          <w:color w:val="231F20"/>
          <w:spacing w:val="13"/>
          <w:w w:val="105"/>
        </w:rPr>
        <w:t xml:space="preserve"> </w:t>
      </w:r>
      <w:r w:rsidRPr="00353381">
        <w:rPr>
          <w:color w:val="231F20"/>
          <w:w w:val="105"/>
        </w:rPr>
        <w:t>each</w:t>
      </w:r>
      <w:r w:rsidRPr="00353381">
        <w:rPr>
          <w:color w:val="231F20"/>
          <w:spacing w:val="13"/>
          <w:w w:val="105"/>
        </w:rPr>
        <w:t xml:space="preserve"> </w:t>
      </w:r>
      <w:r w:rsidRPr="00353381">
        <w:rPr>
          <w:color w:val="231F20"/>
          <w:w w:val="105"/>
        </w:rPr>
        <w:t>district</w:t>
      </w:r>
      <w:r w:rsidRPr="00353381">
        <w:rPr>
          <w:color w:val="231F20"/>
          <w:spacing w:val="13"/>
          <w:w w:val="105"/>
        </w:rPr>
        <w:t xml:space="preserve"> </w:t>
      </w:r>
      <w:r w:rsidRPr="00353381">
        <w:rPr>
          <w:color w:val="231F20"/>
          <w:w w:val="105"/>
        </w:rPr>
        <w:t>of</w:t>
      </w:r>
      <w:r w:rsidRPr="00353381">
        <w:rPr>
          <w:color w:val="231F20"/>
          <w:spacing w:val="13"/>
          <w:w w:val="105"/>
        </w:rPr>
        <w:t xml:space="preserve"> </w:t>
      </w:r>
      <w:r w:rsidRPr="00353381">
        <w:rPr>
          <w:color w:val="231F20"/>
          <w:w w:val="105"/>
        </w:rPr>
        <w:t>the</w:t>
      </w:r>
      <w:r w:rsidRPr="00353381">
        <w:rPr>
          <w:color w:val="231F20"/>
          <w:spacing w:val="13"/>
          <w:w w:val="105"/>
        </w:rPr>
        <w:t xml:space="preserve"> </w:t>
      </w:r>
      <w:r w:rsidRPr="00353381">
        <w:rPr>
          <w:color w:val="231F20"/>
          <w:w w:val="105"/>
        </w:rPr>
        <w:t>state.</w:t>
      </w:r>
      <w:r w:rsidRPr="00353381">
        <w:rPr>
          <w:color w:val="231F20"/>
          <w:spacing w:val="13"/>
          <w:w w:val="105"/>
        </w:rPr>
        <w:t xml:space="preserve"> </w:t>
      </w:r>
      <w:r w:rsidRPr="00353381">
        <w:rPr>
          <w:color w:val="231F20"/>
          <w:w w:val="105"/>
        </w:rPr>
        <w:t>Where</w:t>
      </w:r>
      <w:r w:rsidRPr="00353381">
        <w:rPr>
          <w:color w:val="231F20"/>
          <w:spacing w:val="13"/>
          <w:w w:val="105"/>
        </w:rPr>
        <w:t xml:space="preserve"> </w:t>
      </w:r>
      <w:r w:rsidRPr="00353381">
        <w:rPr>
          <w:color w:val="231F20"/>
          <w:w w:val="105"/>
        </w:rPr>
        <w:t>CRPs</w:t>
      </w:r>
      <w:r w:rsidRPr="00353381">
        <w:rPr>
          <w:color w:val="231F20"/>
          <w:spacing w:val="13"/>
          <w:w w:val="105"/>
        </w:rPr>
        <w:t xml:space="preserve"> </w:t>
      </w:r>
      <w:r w:rsidRPr="00353381">
        <w:rPr>
          <w:color w:val="231F20"/>
          <w:w w:val="105"/>
        </w:rPr>
        <w:t>are</w:t>
      </w:r>
      <w:r w:rsidRPr="00353381">
        <w:rPr>
          <w:color w:val="231F20"/>
          <w:spacing w:val="13"/>
          <w:w w:val="105"/>
        </w:rPr>
        <w:t xml:space="preserve"> </w:t>
      </w:r>
      <w:r w:rsidRPr="00353381">
        <w:rPr>
          <w:color w:val="231F20"/>
          <w:w w:val="105"/>
        </w:rPr>
        <w:t>unable</w:t>
      </w:r>
      <w:r w:rsidRPr="00353381">
        <w:rPr>
          <w:color w:val="231F20"/>
          <w:spacing w:val="13"/>
          <w:w w:val="105"/>
        </w:rPr>
        <w:t xml:space="preserve"> </w:t>
      </w:r>
      <w:r w:rsidRPr="00353381">
        <w:rPr>
          <w:color w:val="231F20"/>
          <w:w w:val="105"/>
        </w:rPr>
        <w:t>to</w:t>
      </w:r>
      <w:r w:rsidRPr="00353381">
        <w:rPr>
          <w:color w:val="231F20"/>
          <w:spacing w:val="13"/>
          <w:w w:val="105"/>
        </w:rPr>
        <w:t xml:space="preserve"> </w:t>
      </w:r>
      <w:r w:rsidRPr="00353381">
        <w:rPr>
          <w:color w:val="231F20"/>
          <w:w w:val="105"/>
        </w:rPr>
        <w:t>serve</w:t>
      </w:r>
      <w:r w:rsidRPr="00353381">
        <w:rPr>
          <w:color w:val="231F20"/>
          <w:spacing w:val="13"/>
          <w:w w:val="105"/>
        </w:rPr>
        <w:t xml:space="preserve"> </w:t>
      </w:r>
      <w:r w:rsidRPr="00353381">
        <w:rPr>
          <w:color w:val="231F20"/>
          <w:w w:val="105"/>
        </w:rPr>
        <w:t>individuals,</w:t>
      </w:r>
      <w:r w:rsidRPr="00353381">
        <w:rPr>
          <w:color w:val="231F20"/>
          <w:spacing w:val="13"/>
          <w:w w:val="105"/>
        </w:rPr>
        <w:t xml:space="preserve"> </w:t>
      </w:r>
      <w:r w:rsidRPr="00353381">
        <w:rPr>
          <w:color w:val="231F20"/>
          <w:w w:val="105"/>
        </w:rPr>
        <w:t>FDBS</w:t>
      </w:r>
      <w:r w:rsidRPr="00353381">
        <w:rPr>
          <w:color w:val="231F20"/>
          <w:spacing w:val="13"/>
          <w:w w:val="105"/>
        </w:rPr>
        <w:t xml:space="preserve"> </w:t>
      </w:r>
      <w:r w:rsidRPr="00353381">
        <w:rPr>
          <w:color w:val="231F20"/>
          <w:w w:val="105"/>
        </w:rPr>
        <w:t>and</w:t>
      </w:r>
      <w:r w:rsidRPr="00353381">
        <w:rPr>
          <w:color w:val="231F20"/>
          <w:spacing w:val="13"/>
          <w:w w:val="105"/>
        </w:rPr>
        <w:t xml:space="preserve"> </w:t>
      </w:r>
      <w:r w:rsidRPr="00353381">
        <w:rPr>
          <w:color w:val="231F20"/>
          <w:w w:val="105"/>
        </w:rPr>
        <w:t>CRPs</w:t>
      </w:r>
      <w:r w:rsidRPr="00353381">
        <w:rPr>
          <w:color w:val="231F20"/>
          <w:spacing w:val="13"/>
          <w:w w:val="105"/>
        </w:rPr>
        <w:t xml:space="preserve"> </w:t>
      </w:r>
      <w:r w:rsidRPr="00353381">
        <w:rPr>
          <w:color w:val="231F20"/>
          <w:w w:val="105"/>
        </w:rPr>
        <w:t>partner</w:t>
      </w:r>
      <w:r w:rsidRPr="00353381">
        <w:rPr>
          <w:color w:val="231F20"/>
          <w:spacing w:val="14"/>
          <w:w w:val="105"/>
        </w:rPr>
        <w:t xml:space="preserve"> </w:t>
      </w:r>
      <w:r w:rsidRPr="00353381">
        <w:rPr>
          <w:color w:val="231F20"/>
          <w:w w:val="105"/>
        </w:rPr>
        <w:t>to</w:t>
      </w:r>
      <w:r w:rsidRPr="00353381">
        <w:rPr>
          <w:color w:val="231F20"/>
          <w:spacing w:val="14"/>
          <w:w w:val="105"/>
        </w:rPr>
        <w:t xml:space="preserve"> </w:t>
      </w:r>
      <w:r w:rsidRPr="00353381">
        <w:rPr>
          <w:color w:val="231F20"/>
          <w:w w:val="105"/>
        </w:rPr>
        <w:t>work</w:t>
      </w:r>
      <w:r w:rsidRPr="00353381">
        <w:rPr>
          <w:color w:val="231F20"/>
          <w:spacing w:val="14"/>
          <w:w w:val="105"/>
        </w:rPr>
        <w:t xml:space="preserve"> </w:t>
      </w:r>
      <w:r w:rsidRPr="00353381">
        <w:rPr>
          <w:color w:val="231F20"/>
          <w:w w:val="105"/>
        </w:rPr>
        <w:t>with</w:t>
      </w:r>
      <w:r w:rsidRPr="00353381">
        <w:rPr>
          <w:color w:val="231F20"/>
          <w:spacing w:val="14"/>
          <w:w w:val="105"/>
        </w:rPr>
        <w:t xml:space="preserve"> </w:t>
      </w:r>
      <w:r w:rsidRPr="00353381">
        <w:rPr>
          <w:color w:val="231F20"/>
          <w:w w:val="105"/>
        </w:rPr>
        <w:t>other</w:t>
      </w:r>
      <w:r w:rsidRPr="00353381">
        <w:rPr>
          <w:color w:val="231F20"/>
          <w:spacing w:val="14"/>
          <w:w w:val="105"/>
        </w:rPr>
        <w:t xml:space="preserve"> </w:t>
      </w:r>
      <w:r w:rsidRPr="00353381">
        <w:rPr>
          <w:color w:val="231F20"/>
          <w:w w:val="105"/>
        </w:rPr>
        <w:t>CRPs</w:t>
      </w:r>
      <w:r w:rsidRPr="00353381">
        <w:rPr>
          <w:color w:val="231F20"/>
          <w:spacing w:val="14"/>
          <w:w w:val="105"/>
        </w:rPr>
        <w:t xml:space="preserve"> </w:t>
      </w:r>
      <w:r w:rsidRPr="00353381">
        <w:rPr>
          <w:color w:val="231F20"/>
          <w:w w:val="105"/>
        </w:rPr>
        <w:t>and ensure</w:t>
      </w:r>
      <w:r w:rsidRPr="00353381">
        <w:rPr>
          <w:color w:val="231F20"/>
          <w:spacing w:val="14"/>
          <w:w w:val="105"/>
        </w:rPr>
        <w:t xml:space="preserve"> </w:t>
      </w:r>
      <w:r w:rsidRPr="00353381">
        <w:rPr>
          <w:color w:val="231F20"/>
          <w:w w:val="105"/>
        </w:rPr>
        <w:t>FDBS</w:t>
      </w:r>
      <w:r w:rsidRPr="00353381">
        <w:rPr>
          <w:color w:val="231F20"/>
          <w:spacing w:val="14"/>
          <w:w w:val="105"/>
        </w:rPr>
        <w:t xml:space="preserve"> </w:t>
      </w:r>
      <w:r w:rsidRPr="00353381">
        <w:rPr>
          <w:color w:val="231F20"/>
          <w:w w:val="105"/>
        </w:rPr>
        <w:t>clients</w:t>
      </w:r>
      <w:r w:rsidRPr="00353381">
        <w:rPr>
          <w:color w:val="231F20"/>
          <w:spacing w:val="14"/>
          <w:w w:val="105"/>
        </w:rPr>
        <w:t xml:space="preserve"> </w:t>
      </w:r>
      <w:r w:rsidRPr="00353381">
        <w:rPr>
          <w:color w:val="231F20"/>
          <w:w w:val="105"/>
        </w:rPr>
        <w:t>qualifying</w:t>
      </w:r>
      <w:r w:rsidRPr="00353381">
        <w:rPr>
          <w:color w:val="231F20"/>
          <w:spacing w:val="14"/>
          <w:w w:val="105"/>
        </w:rPr>
        <w:t xml:space="preserve"> </w:t>
      </w:r>
      <w:r w:rsidRPr="00353381">
        <w:rPr>
          <w:color w:val="231F20"/>
          <w:w w:val="105"/>
        </w:rPr>
        <w:t>for</w:t>
      </w:r>
      <w:r w:rsidRPr="00353381">
        <w:rPr>
          <w:color w:val="231F20"/>
          <w:spacing w:val="14"/>
          <w:w w:val="105"/>
        </w:rPr>
        <w:t xml:space="preserve"> </w:t>
      </w:r>
      <w:r w:rsidRPr="00353381">
        <w:rPr>
          <w:color w:val="231F20"/>
          <w:w w:val="105"/>
        </w:rPr>
        <w:t>Supported</w:t>
      </w:r>
      <w:r w:rsidRPr="00353381">
        <w:rPr>
          <w:color w:val="231F20"/>
          <w:spacing w:val="14"/>
          <w:w w:val="105"/>
        </w:rPr>
        <w:t xml:space="preserve"> </w:t>
      </w:r>
      <w:r w:rsidRPr="00353381">
        <w:rPr>
          <w:color w:val="231F20"/>
          <w:w w:val="105"/>
        </w:rPr>
        <w:t>Employment</w:t>
      </w:r>
      <w:r w:rsidRPr="00353381">
        <w:rPr>
          <w:color w:val="231F20"/>
          <w:spacing w:val="14"/>
          <w:w w:val="105"/>
        </w:rPr>
        <w:t xml:space="preserve"> </w:t>
      </w:r>
      <w:r w:rsidRPr="00353381">
        <w:rPr>
          <w:color w:val="231F20"/>
          <w:w w:val="105"/>
        </w:rPr>
        <w:t>services</w:t>
      </w:r>
      <w:r w:rsidRPr="00353381">
        <w:rPr>
          <w:color w:val="231F20"/>
          <w:w w:val="111"/>
        </w:rPr>
        <w:t xml:space="preserve"> </w:t>
      </w:r>
      <w:r w:rsidRPr="00353381">
        <w:rPr>
          <w:color w:val="231F20"/>
          <w:w w:val="105"/>
        </w:rPr>
        <w:t>receive quality services through multiple agencies.</w:t>
      </w:r>
    </w:p>
    <w:p w14:paraId="11C3D37C" w14:textId="2C7789F0" w:rsidR="009C2188" w:rsidRDefault="00F30738" w:rsidP="00E567C2">
      <w:pPr>
        <w:spacing w:line="240" w:lineRule="auto"/>
        <w:ind w:left="90"/>
        <w:rPr>
          <w:color w:val="231F20"/>
          <w:spacing w:val="22"/>
          <w:w w:val="105"/>
        </w:rPr>
      </w:pPr>
      <w:r w:rsidRPr="00353381">
        <w:br/>
        <w:t xml:space="preserve">FDBS uses case service funding to supplement supported employment activities, especially in areas of the state where there </w:t>
      </w:r>
      <w:r w:rsidR="00092297">
        <w:t xml:space="preserve">are </w:t>
      </w:r>
      <w:r w:rsidRPr="00353381">
        <w:t xml:space="preserve">no contracting agencies. </w:t>
      </w:r>
      <w:r w:rsidRPr="00353381">
        <w:rPr>
          <w:color w:val="231F20"/>
          <w:w w:val="105"/>
        </w:rPr>
        <w:t>FDBS</w:t>
      </w:r>
      <w:r w:rsidRPr="00353381">
        <w:rPr>
          <w:color w:val="231F20"/>
          <w:spacing w:val="14"/>
          <w:w w:val="105"/>
        </w:rPr>
        <w:t xml:space="preserve"> </w:t>
      </w:r>
      <w:r w:rsidRPr="00353381">
        <w:rPr>
          <w:color w:val="231F20"/>
          <w:w w:val="105"/>
        </w:rPr>
        <w:t>offers</w:t>
      </w:r>
      <w:r w:rsidRPr="00353381">
        <w:rPr>
          <w:color w:val="231F20"/>
          <w:spacing w:val="14"/>
          <w:w w:val="105"/>
        </w:rPr>
        <w:t xml:space="preserve"> </w:t>
      </w:r>
      <w:r w:rsidRPr="00353381">
        <w:rPr>
          <w:color w:val="231F20"/>
          <w:w w:val="105"/>
        </w:rPr>
        <w:t>supported</w:t>
      </w:r>
      <w:r w:rsidRPr="00353381">
        <w:rPr>
          <w:color w:val="231F20"/>
          <w:spacing w:val="14"/>
          <w:w w:val="105"/>
        </w:rPr>
        <w:t xml:space="preserve"> </w:t>
      </w:r>
      <w:r w:rsidRPr="00353381">
        <w:rPr>
          <w:color w:val="231F20"/>
          <w:w w:val="105"/>
        </w:rPr>
        <w:t>employment</w:t>
      </w:r>
      <w:r w:rsidRPr="00353381">
        <w:rPr>
          <w:color w:val="231F20"/>
          <w:spacing w:val="14"/>
          <w:w w:val="105"/>
        </w:rPr>
        <w:t xml:space="preserve"> </w:t>
      </w:r>
      <w:r w:rsidRPr="00353381">
        <w:rPr>
          <w:color w:val="231F20"/>
          <w:w w:val="105"/>
        </w:rPr>
        <w:t>services</w:t>
      </w:r>
      <w:r w:rsidRPr="00353381">
        <w:rPr>
          <w:color w:val="231F20"/>
          <w:spacing w:val="14"/>
          <w:w w:val="105"/>
        </w:rPr>
        <w:t xml:space="preserve"> </w:t>
      </w:r>
      <w:r w:rsidRPr="00353381">
        <w:rPr>
          <w:color w:val="231F20"/>
          <w:w w:val="105"/>
        </w:rPr>
        <w:t>by providing case</w:t>
      </w:r>
      <w:r w:rsidRPr="00353381">
        <w:rPr>
          <w:color w:val="231F20"/>
          <w:spacing w:val="14"/>
          <w:w w:val="105"/>
        </w:rPr>
        <w:t xml:space="preserve"> </w:t>
      </w:r>
      <w:r w:rsidRPr="00353381">
        <w:rPr>
          <w:color w:val="231F20"/>
          <w:w w:val="105"/>
        </w:rPr>
        <w:t>service</w:t>
      </w:r>
      <w:r w:rsidRPr="00353381">
        <w:rPr>
          <w:color w:val="231F20"/>
          <w:spacing w:val="14"/>
          <w:w w:val="105"/>
        </w:rPr>
        <w:t xml:space="preserve"> </w:t>
      </w:r>
      <w:r w:rsidRPr="00353381">
        <w:rPr>
          <w:color w:val="231F20"/>
          <w:w w:val="105"/>
        </w:rPr>
        <w:t>dollars</w:t>
      </w:r>
      <w:r w:rsidRPr="00353381">
        <w:rPr>
          <w:color w:val="231F20"/>
          <w:spacing w:val="14"/>
          <w:w w:val="105"/>
        </w:rPr>
        <w:t xml:space="preserve"> </w:t>
      </w:r>
      <w:r w:rsidRPr="00353381">
        <w:rPr>
          <w:color w:val="231F20"/>
          <w:w w:val="105"/>
        </w:rPr>
        <w:t>to</w:t>
      </w:r>
      <w:r w:rsidRPr="00353381">
        <w:rPr>
          <w:color w:val="231F20"/>
          <w:spacing w:val="14"/>
          <w:w w:val="105"/>
        </w:rPr>
        <w:t xml:space="preserve"> </w:t>
      </w:r>
      <w:r w:rsidRPr="00353381">
        <w:rPr>
          <w:color w:val="231F20"/>
          <w:w w:val="105"/>
        </w:rPr>
        <w:t>ensure</w:t>
      </w:r>
      <w:r w:rsidRPr="00353381">
        <w:rPr>
          <w:color w:val="231F20"/>
          <w:spacing w:val="14"/>
          <w:w w:val="105"/>
        </w:rPr>
        <w:t xml:space="preserve"> </w:t>
      </w:r>
      <w:r w:rsidRPr="00353381">
        <w:rPr>
          <w:color w:val="231F20"/>
          <w:w w:val="105"/>
        </w:rPr>
        <w:t>all</w:t>
      </w:r>
      <w:r w:rsidRPr="00353381">
        <w:rPr>
          <w:color w:val="231F20"/>
          <w:spacing w:val="14"/>
          <w:w w:val="105"/>
        </w:rPr>
        <w:t xml:space="preserve"> </w:t>
      </w:r>
      <w:r w:rsidRPr="00353381">
        <w:rPr>
          <w:color w:val="231F20"/>
          <w:w w:val="105"/>
        </w:rPr>
        <w:t>clients</w:t>
      </w:r>
      <w:r w:rsidRPr="00353381">
        <w:rPr>
          <w:color w:val="231F20"/>
          <w:spacing w:val="14"/>
          <w:w w:val="105"/>
        </w:rPr>
        <w:t xml:space="preserve"> </w:t>
      </w:r>
      <w:r w:rsidRPr="00353381">
        <w:rPr>
          <w:color w:val="231F20"/>
          <w:w w:val="105"/>
        </w:rPr>
        <w:t>have</w:t>
      </w:r>
      <w:r w:rsidRPr="00353381">
        <w:rPr>
          <w:color w:val="231F20"/>
          <w:spacing w:val="5"/>
          <w:w w:val="105"/>
        </w:rPr>
        <w:t xml:space="preserve"> </w:t>
      </w:r>
      <w:r w:rsidRPr="00353381">
        <w:rPr>
          <w:color w:val="231F20"/>
          <w:w w:val="105"/>
        </w:rPr>
        <w:t>access</w:t>
      </w:r>
      <w:r w:rsidRPr="00353381">
        <w:rPr>
          <w:color w:val="231F20"/>
          <w:spacing w:val="11"/>
          <w:w w:val="105"/>
        </w:rPr>
        <w:t xml:space="preserve"> </w:t>
      </w:r>
      <w:r w:rsidRPr="00353381">
        <w:rPr>
          <w:color w:val="231F20"/>
          <w:w w:val="105"/>
        </w:rPr>
        <w:t>to</w:t>
      </w:r>
      <w:r w:rsidRPr="00353381">
        <w:rPr>
          <w:color w:val="231F20"/>
          <w:spacing w:val="11"/>
          <w:w w:val="105"/>
        </w:rPr>
        <w:t xml:space="preserve"> </w:t>
      </w:r>
      <w:r w:rsidRPr="00353381">
        <w:rPr>
          <w:color w:val="231F20"/>
          <w:w w:val="105"/>
        </w:rPr>
        <w:t>continued</w:t>
      </w:r>
      <w:r w:rsidRPr="00353381">
        <w:rPr>
          <w:color w:val="231F20"/>
          <w:spacing w:val="11"/>
          <w:w w:val="105"/>
        </w:rPr>
        <w:t xml:space="preserve"> </w:t>
      </w:r>
      <w:r w:rsidRPr="00353381">
        <w:rPr>
          <w:color w:val="231F20"/>
          <w:w w:val="105"/>
        </w:rPr>
        <w:t>services.</w:t>
      </w:r>
      <w:r w:rsidRPr="00353381">
        <w:rPr>
          <w:color w:val="231F20"/>
          <w:spacing w:val="22"/>
          <w:w w:val="105"/>
        </w:rPr>
        <w:t xml:space="preserve"> </w:t>
      </w:r>
    </w:p>
    <w:p w14:paraId="69A67181" w14:textId="77777777" w:rsidR="009C2188" w:rsidRDefault="009C2188" w:rsidP="00E567C2">
      <w:pPr>
        <w:spacing w:line="240" w:lineRule="auto"/>
        <w:ind w:left="90"/>
        <w:rPr>
          <w:color w:val="231F20"/>
          <w:w w:val="105"/>
        </w:rPr>
      </w:pPr>
    </w:p>
    <w:p w14:paraId="390D45FE" w14:textId="77777777" w:rsidR="009C2188" w:rsidRDefault="009C2188" w:rsidP="00E567C2">
      <w:pPr>
        <w:spacing w:line="240" w:lineRule="auto"/>
        <w:ind w:left="90"/>
        <w:rPr>
          <w:color w:val="231F20"/>
          <w:w w:val="105"/>
        </w:rPr>
      </w:pPr>
    </w:p>
    <w:p w14:paraId="0E85C2B4" w14:textId="2705B047" w:rsidR="00F30738" w:rsidRPr="00353381" w:rsidRDefault="00F30738" w:rsidP="00E567C2">
      <w:pPr>
        <w:spacing w:line="240" w:lineRule="auto"/>
        <w:ind w:left="90"/>
      </w:pPr>
      <w:r w:rsidRPr="00353381">
        <w:rPr>
          <w:b/>
        </w:rPr>
        <w:t>Standards and Indicators</w:t>
      </w:r>
      <w:r w:rsidRPr="00353381">
        <w:t xml:space="preserve"> </w:t>
      </w:r>
    </w:p>
    <w:p w14:paraId="3C8B2631" w14:textId="5D110E87" w:rsidR="00F30738" w:rsidRPr="00353381" w:rsidRDefault="00F30738" w:rsidP="00D63204">
      <w:pPr>
        <w:spacing w:line="240" w:lineRule="auto"/>
        <w:ind w:left="90"/>
      </w:pPr>
      <w:r w:rsidRPr="00353381">
        <w:t>Below is a table of Federal Standards and Indicators</w:t>
      </w:r>
      <w:r w:rsidR="00D5537E">
        <w:t xml:space="preserve"> and</w:t>
      </w:r>
      <w:r w:rsidRPr="00353381">
        <w:t xml:space="preserve"> FDBS performance on those standards</w:t>
      </w:r>
      <w:r w:rsidR="005E7C49">
        <w:t xml:space="preserve">. </w:t>
      </w:r>
      <w:r w:rsidRPr="00353381">
        <w:t xml:space="preserve"> A brief discussion of FDBS performance standards and indicators is noted in the tables below.</w:t>
      </w:r>
    </w:p>
    <w:p w14:paraId="4145057C" w14:textId="5BAF84BD" w:rsidR="00F30738" w:rsidRPr="00353381" w:rsidRDefault="00F30738" w:rsidP="00D63204">
      <w:pPr>
        <w:widowControl w:val="0"/>
        <w:spacing w:after="0" w:line="240" w:lineRule="auto"/>
        <w:ind w:left="90"/>
        <w:outlineLvl w:val="2"/>
        <w:rPr>
          <w:b/>
          <w:bCs/>
          <w:w w:val="101"/>
        </w:rPr>
      </w:pPr>
      <w:r w:rsidRPr="00353381">
        <w:rPr>
          <w:b/>
          <w:bCs/>
          <w:w w:val="110"/>
        </w:rPr>
        <w:t>Figure</w:t>
      </w:r>
      <w:r w:rsidRPr="00353381">
        <w:rPr>
          <w:b/>
          <w:bCs/>
          <w:spacing w:val="13"/>
          <w:w w:val="110"/>
        </w:rPr>
        <w:t xml:space="preserve"> </w:t>
      </w:r>
      <w:r w:rsidR="00A44FCB">
        <w:rPr>
          <w:b/>
          <w:bCs/>
          <w:spacing w:val="-3"/>
          <w:w w:val="110"/>
        </w:rPr>
        <w:t>10.13</w:t>
      </w:r>
    </w:p>
    <w:p w14:paraId="0FF03E2A" w14:textId="77777777" w:rsidR="00F30738" w:rsidRPr="00353381" w:rsidRDefault="00F30738" w:rsidP="00D63204">
      <w:pPr>
        <w:widowControl w:val="0"/>
        <w:spacing w:after="0" w:line="240" w:lineRule="auto"/>
        <w:ind w:left="90"/>
        <w:outlineLvl w:val="2"/>
        <w:rPr>
          <w:b/>
          <w:bCs/>
          <w:w w:val="110"/>
        </w:rPr>
      </w:pPr>
      <w:r w:rsidRPr="00353381">
        <w:rPr>
          <w:b/>
          <w:bCs/>
          <w:w w:val="110"/>
        </w:rPr>
        <w:t>Performance Standards and</w:t>
      </w:r>
      <w:r w:rsidRPr="00353381">
        <w:rPr>
          <w:b/>
          <w:bCs/>
          <w:spacing w:val="-36"/>
          <w:w w:val="110"/>
        </w:rPr>
        <w:t xml:space="preserve"> </w:t>
      </w:r>
      <w:r w:rsidRPr="00353381">
        <w:rPr>
          <w:b/>
          <w:bCs/>
          <w:w w:val="110"/>
        </w:rPr>
        <w:t>Indicators</w:t>
      </w:r>
    </w:p>
    <w:tbl>
      <w:tblPr>
        <w:tblW w:w="10166" w:type="dxa"/>
        <w:jc w:val="center"/>
        <w:tblLayout w:type="fixed"/>
        <w:tblCellMar>
          <w:left w:w="0" w:type="dxa"/>
          <w:right w:w="0" w:type="dxa"/>
        </w:tblCellMar>
        <w:tblLook w:val="01E0" w:firstRow="1" w:lastRow="1" w:firstColumn="1" w:lastColumn="1" w:noHBand="0" w:noVBand="0"/>
      </w:tblPr>
      <w:tblGrid>
        <w:gridCol w:w="4787"/>
        <w:gridCol w:w="1433"/>
        <w:gridCol w:w="1517"/>
        <w:gridCol w:w="1350"/>
        <w:gridCol w:w="1079"/>
      </w:tblGrid>
      <w:tr w:rsidR="00F30738" w:rsidRPr="00353381" w14:paraId="17A0CF74" w14:textId="77777777" w:rsidTr="00E70F55">
        <w:trPr>
          <w:trHeight w:hRule="exact" w:val="747"/>
          <w:jc w:val="center"/>
        </w:trPr>
        <w:tc>
          <w:tcPr>
            <w:tcW w:w="4787" w:type="dxa"/>
            <w:tcBorders>
              <w:top w:val="single" w:sz="2" w:space="0" w:color="231F20"/>
              <w:left w:val="single" w:sz="2" w:space="0" w:color="231F20"/>
              <w:bottom w:val="single" w:sz="2" w:space="0" w:color="231F20"/>
              <w:right w:val="single" w:sz="2" w:space="0" w:color="231F20"/>
            </w:tcBorders>
            <w:shd w:val="clear" w:color="auto" w:fill="auto"/>
          </w:tcPr>
          <w:p w14:paraId="0E8D9C1D" w14:textId="77777777" w:rsidR="00F30738" w:rsidRPr="00353381" w:rsidRDefault="00F30738" w:rsidP="00D63204">
            <w:pPr>
              <w:widowControl w:val="0"/>
              <w:spacing w:before="3" w:after="0" w:line="240" w:lineRule="auto"/>
              <w:ind w:left="90"/>
              <w:rPr>
                <w:rFonts w:cs="Calibri"/>
                <w:b/>
                <w:bCs/>
              </w:rPr>
            </w:pPr>
          </w:p>
          <w:p w14:paraId="69AAC99E" w14:textId="77777777" w:rsidR="00F30738" w:rsidRPr="00353381" w:rsidRDefault="00F30738" w:rsidP="00D63204">
            <w:pPr>
              <w:widowControl w:val="0"/>
              <w:spacing w:before="3" w:after="0" w:line="240" w:lineRule="auto"/>
              <w:ind w:left="90"/>
              <w:rPr>
                <w:rFonts w:cs="Calibri"/>
                <w:b/>
                <w:bCs/>
              </w:rPr>
            </w:pPr>
            <w:r w:rsidRPr="00353381">
              <w:rPr>
                <w:rFonts w:cs="Calibri"/>
                <w:b/>
                <w:bCs/>
              </w:rPr>
              <w:t>Standard</w:t>
            </w:r>
          </w:p>
        </w:tc>
        <w:tc>
          <w:tcPr>
            <w:tcW w:w="1433" w:type="dxa"/>
            <w:tcBorders>
              <w:top w:val="single" w:sz="2" w:space="0" w:color="231F20"/>
              <w:left w:val="single" w:sz="2" w:space="0" w:color="231F20"/>
              <w:bottom w:val="single" w:sz="2" w:space="0" w:color="231F20"/>
              <w:right w:val="single" w:sz="2" w:space="0" w:color="231F20"/>
            </w:tcBorders>
            <w:shd w:val="clear" w:color="auto" w:fill="auto"/>
          </w:tcPr>
          <w:p w14:paraId="58059E5E" w14:textId="77777777" w:rsidR="00F30738" w:rsidRPr="00353381" w:rsidRDefault="00F30738" w:rsidP="00D63204">
            <w:pPr>
              <w:widowControl w:val="0"/>
              <w:spacing w:before="138" w:after="0" w:line="240" w:lineRule="auto"/>
              <w:ind w:left="90" w:firstLine="29"/>
              <w:rPr>
                <w:b/>
                <w:w w:val="115"/>
              </w:rPr>
            </w:pPr>
            <w:r w:rsidRPr="00353381">
              <w:rPr>
                <w:b/>
                <w:w w:val="115"/>
              </w:rPr>
              <w:t>SFY 2016-2017</w:t>
            </w:r>
          </w:p>
        </w:tc>
        <w:tc>
          <w:tcPr>
            <w:tcW w:w="1517" w:type="dxa"/>
            <w:tcBorders>
              <w:top w:val="single" w:sz="2" w:space="0" w:color="231F20"/>
              <w:left w:val="single" w:sz="2" w:space="0" w:color="231F20"/>
              <w:bottom w:val="single" w:sz="2" w:space="0" w:color="231F20"/>
              <w:right w:val="single" w:sz="2" w:space="0" w:color="231F20"/>
            </w:tcBorders>
            <w:shd w:val="clear" w:color="auto" w:fill="auto"/>
          </w:tcPr>
          <w:p w14:paraId="6A997288" w14:textId="77777777" w:rsidR="00F30738" w:rsidRPr="00353381" w:rsidRDefault="00F30738" w:rsidP="00D63204">
            <w:pPr>
              <w:widowControl w:val="0"/>
              <w:spacing w:before="138" w:after="0" w:line="240" w:lineRule="auto"/>
              <w:ind w:left="90" w:hanging="37"/>
              <w:rPr>
                <w:b/>
                <w:w w:val="115"/>
              </w:rPr>
            </w:pPr>
            <w:r w:rsidRPr="00353381">
              <w:rPr>
                <w:b/>
                <w:w w:val="115"/>
              </w:rPr>
              <w:t>SFY 2014-2015</w:t>
            </w:r>
          </w:p>
        </w:tc>
        <w:tc>
          <w:tcPr>
            <w:tcW w:w="1350" w:type="dxa"/>
            <w:tcBorders>
              <w:top w:val="single" w:sz="2" w:space="0" w:color="231F20"/>
              <w:left w:val="single" w:sz="2" w:space="0" w:color="231F20"/>
              <w:bottom w:val="single" w:sz="2" w:space="0" w:color="231F20"/>
              <w:right w:val="single" w:sz="2" w:space="0" w:color="231F20"/>
            </w:tcBorders>
            <w:shd w:val="clear" w:color="auto" w:fill="auto"/>
          </w:tcPr>
          <w:p w14:paraId="1BCBCB50" w14:textId="77777777" w:rsidR="00F30738" w:rsidRPr="00353381" w:rsidRDefault="00F30738" w:rsidP="00D63204">
            <w:pPr>
              <w:widowControl w:val="0"/>
              <w:spacing w:before="3" w:after="0" w:line="240" w:lineRule="auto"/>
              <w:ind w:left="90"/>
              <w:rPr>
                <w:rFonts w:cs="Calibri"/>
                <w:b/>
                <w:bCs/>
              </w:rPr>
            </w:pPr>
          </w:p>
          <w:p w14:paraId="744371DC" w14:textId="77777777" w:rsidR="00F30738" w:rsidRPr="00353381" w:rsidRDefault="00F30738" w:rsidP="00D63204">
            <w:pPr>
              <w:widowControl w:val="0"/>
              <w:spacing w:before="3" w:after="0" w:line="240" w:lineRule="auto"/>
              <w:ind w:left="90"/>
              <w:rPr>
                <w:rFonts w:cs="Calibri"/>
                <w:b/>
                <w:bCs/>
              </w:rPr>
            </w:pPr>
            <w:r w:rsidRPr="00353381">
              <w:rPr>
                <w:rFonts w:cs="Calibri"/>
                <w:b/>
                <w:bCs/>
              </w:rPr>
              <w:t>Difference</w:t>
            </w:r>
          </w:p>
        </w:tc>
        <w:tc>
          <w:tcPr>
            <w:tcW w:w="1079" w:type="dxa"/>
            <w:tcBorders>
              <w:top w:val="single" w:sz="2" w:space="0" w:color="231F20"/>
              <w:left w:val="single" w:sz="2" w:space="0" w:color="231F20"/>
              <w:bottom w:val="single" w:sz="2" w:space="0" w:color="231F20"/>
              <w:right w:val="single" w:sz="2" w:space="0" w:color="231F20"/>
            </w:tcBorders>
            <w:shd w:val="clear" w:color="auto" w:fill="auto"/>
          </w:tcPr>
          <w:p w14:paraId="5A73EECB" w14:textId="77777777" w:rsidR="00F30738" w:rsidRPr="00353381" w:rsidRDefault="00F30738" w:rsidP="00D63204">
            <w:pPr>
              <w:widowControl w:val="0"/>
              <w:spacing w:before="3" w:after="0" w:line="240" w:lineRule="auto"/>
              <w:ind w:left="90"/>
              <w:rPr>
                <w:rFonts w:cs="Calibri"/>
                <w:b/>
                <w:bCs/>
              </w:rPr>
            </w:pPr>
          </w:p>
          <w:p w14:paraId="2C9CD4EA" w14:textId="77777777" w:rsidR="00F30738" w:rsidRPr="00353381" w:rsidRDefault="00F30738" w:rsidP="00D63204">
            <w:pPr>
              <w:widowControl w:val="0"/>
              <w:spacing w:before="3" w:after="0" w:line="240" w:lineRule="auto"/>
              <w:ind w:left="90"/>
              <w:rPr>
                <w:rFonts w:cs="Calibri"/>
                <w:b/>
                <w:bCs/>
              </w:rPr>
            </w:pPr>
            <w:r w:rsidRPr="00353381">
              <w:rPr>
                <w:rFonts w:cs="Calibri"/>
                <w:b/>
                <w:bCs/>
              </w:rPr>
              <w:t>Met</w:t>
            </w:r>
          </w:p>
        </w:tc>
      </w:tr>
      <w:tr w:rsidR="00F30738" w:rsidRPr="00353381" w14:paraId="4C612ACB" w14:textId="77777777" w:rsidTr="00092297">
        <w:trPr>
          <w:trHeight w:hRule="exact" w:val="747"/>
          <w:jc w:val="center"/>
        </w:trPr>
        <w:tc>
          <w:tcPr>
            <w:tcW w:w="4787" w:type="dxa"/>
            <w:tcBorders>
              <w:top w:val="single" w:sz="2" w:space="0" w:color="231F20"/>
              <w:left w:val="single" w:sz="2" w:space="0" w:color="231F20"/>
              <w:bottom w:val="single" w:sz="2" w:space="0" w:color="231F20"/>
              <w:right w:val="single" w:sz="2" w:space="0" w:color="231F20"/>
            </w:tcBorders>
            <w:shd w:val="clear" w:color="auto" w:fill="E6E7E8"/>
          </w:tcPr>
          <w:p w14:paraId="0F4362B2" w14:textId="77777777" w:rsidR="00F30738" w:rsidRPr="00353381" w:rsidRDefault="00F30738" w:rsidP="00092297">
            <w:pPr>
              <w:widowControl w:val="0"/>
              <w:spacing w:before="3" w:after="0" w:line="240" w:lineRule="auto"/>
              <w:ind w:left="90"/>
              <w:rPr>
                <w:rFonts w:cs="Calibri"/>
                <w:b/>
                <w:bCs/>
              </w:rPr>
            </w:pPr>
            <w:r w:rsidRPr="00353381">
              <w:rPr>
                <w:rFonts w:cs="Calibri"/>
                <w:b/>
                <w:bCs/>
              </w:rPr>
              <w:t>1.1 Number of closed cases with an employment outcome</w:t>
            </w:r>
          </w:p>
        </w:tc>
        <w:tc>
          <w:tcPr>
            <w:tcW w:w="1433" w:type="dxa"/>
            <w:tcBorders>
              <w:top w:val="single" w:sz="2" w:space="0" w:color="231F20"/>
              <w:left w:val="single" w:sz="2" w:space="0" w:color="231F20"/>
              <w:bottom w:val="single" w:sz="2" w:space="0" w:color="231F20"/>
              <w:right w:val="single" w:sz="2" w:space="0" w:color="231F20"/>
            </w:tcBorders>
            <w:shd w:val="clear" w:color="auto" w:fill="E6E7E8"/>
          </w:tcPr>
          <w:p w14:paraId="272DFA11" w14:textId="70FDB006" w:rsidR="00F30738" w:rsidRPr="00353381" w:rsidRDefault="00F30738" w:rsidP="00D63204">
            <w:pPr>
              <w:widowControl w:val="0"/>
              <w:spacing w:before="138" w:after="0" w:line="240" w:lineRule="auto"/>
              <w:ind w:left="90" w:firstLine="590"/>
              <w:rPr>
                <w:b/>
                <w:w w:val="115"/>
              </w:rPr>
            </w:pPr>
            <w:r w:rsidRPr="00353381">
              <w:rPr>
                <w:b/>
                <w:w w:val="115"/>
              </w:rPr>
              <w:t>851</w:t>
            </w:r>
          </w:p>
        </w:tc>
        <w:tc>
          <w:tcPr>
            <w:tcW w:w="1517" w:type="dxa"/>
            <w:tcBorders>
              <w:top w:val="single" w:sz="2" w:space="0" w:color="231F20"/>
              <w:left w:val="single" w:sz="2" w:space="0" w:color="231F20"/>
              <w:bottom w:val="single" w:sz="2" w:space="0" w:color="231F20"/>
              <w:right w:val="single" w:sz="2" w:space="0" w:color="231F20"/>
            </w:tcBorders>
            <w:shd w:val="clear" w:color="auto" w:fill="E6E7E8"/>
          </w:tcPr>
          <w:p w14:paraId="29DF28E2" w14:textId="3FC0281A" w:rsidR="00F30738" w:rsidRPr="00353381" w:rsidRDefault="00F30738" w:rsidP="00D63204">
            <w:pPr>
              <w:widowControl w:val="0"/>
              <w:spacing w:before="138" w:after="0" w:line="240" w:lineRule="auto"/>
              <w:ind w:left="90" w:firstLine="586"/>
              <w:rPr>
                <w:b/>
                <w:w w:val="115"/>
              </w:rPr>
            </w:pPr>
            <w:r w:rsidRPr="00353381">
              <w:rPr>
                <w:b/>
                <w:w w:val="115"/>
              </w:rPr>
              <w:t>761</w:t>
            </w:r>
          </w:p>
        </w:tc>
        <w:tc>
          <w:tcPr>
            <w:tcW w:w="1350" w:type="dxa"/>
            <w:tcBorders>
              <w:top w:val="single" w:sz="2" w:space="0" w:color="231F20"/>
              <w:left w:val="single" w:sz="2" w:space="0" w:color="231F20"/>
              <w:bottom w:val="single" w:sz="2" w:space="0" w:color="231F20"/>
              <w:right w:val="single" w:sz="2" w:space="0" w:color="231F20"/>
            </w:tcBorders>
            <w:shd w:val="clear" w:color="auto" w:fill="E6E7E8"/>
          </w:tcPr>
          <w:p w14:paraId="3CC0C9CA" w14:textId="77777777" w:rsidR="00AB7224" w:rsidRDefault="00AB7224" w:rsidP="00D63204">
            <w:pPr>
              <w:widowControl w:val="0"/>
              <w:tabs>
                <w:tab w:val="right" w:pos="1255"/>
              </w:tabs>
              <w:spacing w:before="3" w:after="0" w:line="240" w:lineRule="auto"/>
              <w:ind w:left="90"/>
              <w:rPr>
                <w:rFonts w:cs="Calibri"/>
                <w:b/>
                <w:bCs/>
              </w:rPr>
            </w:pPr>
          </w:p>
          <w:p w14:paraId="71301D3F" w14:textId="24BE89FF" w:rsidR="00F30738" w:rsidRPr="00353381" w:rsidRDefault="00F30738" w:rsidP="00D63204">
            <w:pPr>
              <w:widowControl w:val="0"/>
              <w:tabs>
                <w:tab w:val="right" w:pos="1255"/>
              </w:tabs>
              <w:spacing w:before="3" w:after="0" w:line="240" w:lineRule="auto"/>
              <w:ind w:left="90"/>
              <w:rPr>
                <w:rFonts w:cs="Calibri"/>
                <w:b/>
                <w:bCs/>
              </w:rPr>
            </w:pPr>
            <w:r w:rsidRPr="00353381">
              <w:rPr>
                <w:rFonts w:cs="Calibri"/>
                <w:b/>
                <w:bCs/>
              </w:rPr>
              <w:t>90</w:t>
            </w:r>
          </w:p>
        </w:tc>
        <w:tc>
          <w:tcPr>
            <w:tcW w:w="1079" w:type="dxa"/>
            <w:tcBorders>
              <w:top w:val="single" w:sz="2" w:space="0" w:color="231F20"/>
              <w:left w:val="single" w:sz="2" w:space="0" w:color="231F20"/>
              <w:bottom w:val="single" w:sz="2" w:space="0" w:color="231F20"/>
              <w:right w:val="single" w:sz="2" w:space="0" w:color="231F20"/>
            </w:tcBorders>
            <w:shd w:val="clear" w:color="auto" w:fill="E6E7E8"/>
          </w:tcPr>
          <w:p w14:paraId="3B791B94" w14:textId="77777777" w:rsidR="00092297" w:rsidRDefault="00092297" w:rsidP="00D63204">
            <w:pPr>
              <w:widowControl w:val="0"/>
              <w:spacing w:before="3" w:after="0" w:line="240" w:lineRule="auto"/>
              <w:ind w:left="90"/>
              <w:rPr>
                <w:rFonts w:cs="Calibri"/>
                <w:b/>
                <w:bCs/>
              </w:rPr>
            </w:pPr>
          </w:p>
          <w:p w14:paraId="5DDEEE19" w14:textId="7AEB99D3" w:rsidR="00F30738" w:rsidRPr="00353381" w:rsidRDefault="00F30738" w:rsidP="00D63204">
            <w:pPr>
              <w:widowControl w:val="0"/>
              <w:spacing w:before="3" w:after="0" w:line="240" w:lineRule="auto"/>
              <w:ind w:left="90"/>
              <w:rPr>
                <w:rFonts w:cs="Calibri"/>
                <w:b/>
                <w:bCs/>
              </w:rPr>
            </w:pPr>
            <w:r w:rsidRPr="00353381">
              <w:rPr>
                <w:rFonts w:cs="Calibri"/>
                <w:b/>
                <w:bCs/>
              </w:rPr>
              <w:t>Met</w:t>
            </w:r>
          </w:p>
        </w:tc>
      </w:tr>
      <w:tr w:rsidR="00F30738" w:rsidRPr="00353381" w14:paraId="06BDE97D" w14:textId="77777777" w:rsidTr="00092297">
        <w:trPr>
          <w:trHeight w:hRule="exact" w:val="932"/>
          <w:jc w:val="center"/>
        </w:trPr>
        <w:tc>
          <w:tcPr>
            <w:tcW w:w="4787" w:type="dxa"/>
            <w:tcBorders>
              <w:top w:val="single" w:sz="2" w:space="0" w:color="231F20"/>
              <w:left w:val="single" w:sz="2" w:space="0" w:color="231F20"/>
              <w:bottom w:val="single" w:sz="2" w:space="0" w:color="231F20"/>
              <w:right w:val="single" w:sz="2" w:space="0" w:color="231F20"/>
            </w:tcBorders>
          </w:tcPr>
          <w:p w14:paraId="46B3954C" w14:textId="77777777" w:rsidR="00F30738" w:rsidRPr="00353381" w:rsidRDefault="00F30738" w:rsidP="00092297">
            <w:pPr>
              <w:widowControl w:val="0"/>
              <w:spacing w:before="3" w:after="0" w:line="240" w:lineRule="auto"/>
              <w:ind w:left="90"/>
              <w:rPr>
                <w:rFonts w:cs="Calibri"/>
                <w:b/>
                <w:bCs/>
              </w:rPr>
            </w:pPr>
          </w:p>
          <w:p w14:paraId="72735F7F" w14:textId="77777777" w:rsidR="00F30738" w:rsidRPr="00353381" w:rsidRDefault="00F30738" w:rsidP="00092297">
            <w:pPr>
              <w:widowControl w:val="0"/>
              <w:spacing w:before="3" w:after="0" w:line="240" w:lineRule="auto"/>
              <w:ind w:left="90"/>
              <w:rPr>
                <w:rFonts w:cs="Calibri"/>
                <w:b/>
                <w:bCs/>
              </w:rPr>
            </w:pPr>
            <w:r w:rsidRPr="00353381">
              <w:rPr>
                <w:rFonts w:cs="Calibri"/>
                <w:b/>
                <w:bCs/>
              </w:rPr>
              <w:t>1.2 Of the closed cases that received services, the percentage with an employment outcome</w:t>
            </w:r>
          </w:p>
        </w:tc>
        <w:tc>
          <w:tcPr>
            <w:tcW w:w="1433" w:type="dxa"/>
            <w:tcBorders>
              <w:top w:val="single" w:sz="2" w:space="0" w:color="231F20"/>
              <w:left w:val="single" w:sz="2" w:space="0" w:color="231F20"/>
              <w:bottom w:val="single" w:sz="2" w:space="0" w:color="231F20"/>
              <w:right w:val="single" w:sz="2" w:space="0" w:color="231F20"/>
            </w:tcBorders>
          </w:tcPr>
          <w:p w14:paraId="4A035D79" w14:textId="77777777" w:rsidR="00092297" w:rsidRDefault="00092297" w:rsidP="00D63204">
            <w:pPr>
              <w:widowControl w:val="0"/>
              <w:spacing w:before="138" w:after="0" w:line="240" w:lineRule="auto"/>
              <w:ind w:left="90" w:firstLine="29"/>
              <w:rPr>
                <w:b/>
                <w:w w:val="115"/>
              </w:rPr>
            </w:pPr>
          </w:p>
          <w:p w14:paraId="4F2371A3" w14:textId="626EA6D6" w:rsidR="00F30738" w:rsidRPr="00353381" w:rsidRDefault="00F30738" w:rsidP="00D63204">
            <w:pPr>
              <w:widowControl w:val="0"/>
              <w:spacing w:before="138" w:after="0" w:line="240" w:lineRule="auto"/>
              <w:ind w:left="90" w:firstLine="29"/>
              <w:rPr>
                <w:b/>
                <w:w w:val="115"/>
              </w:rPr>
            </w:pPr>
            <w:r w:rsidRPr="00353381">
              <w:rPr>
                <w:b/>
                <w:w w:val="115"/>
              </w:rPr>
              <w:t>57.93%</w:t>
            </w:r>
          </w:p>
        </w:tc>
        <w:tc>
          <w:tcPr>
            <w:tcW w:w="1517" w:type="dxa"/>
            <w:tcBorders>
              <w:top w:val="single" w:sz="2" w:space="0" w:color="231F20"/>
              <w:left w:val="single" w:sz="2" w:space="0" w:color="231F20"/>
              <w:bottom w:val="single" w:sz="2" w:space="0" w:color="231F20"/>
              <w:right w:val="single" w:sz="2" w:space="0" w:color="231F20"/>
            </w:tcBorders>
          </w:tcPr>
          <w:p w14:paraId="1DCB66A3" w14:textId="77777777" w:rsidR="00F30738" w:rsidRPr="00353381" w:rsidRDefault="00F30738" w:rsidP="00D63204">
            <w:pPr>
              <w:widowControl w:val="0"/>
              <w:spacing w:before="138" w:after="0" w:line="240" w:lineRule="auto"/>
              <w:ind w:left="90" w:firstLine="586"/>
              <w:rPr>
                <w:b/>
                <w:w w:val="115"/>
              </w:rPr>
            </w:pPr>
          </w:p>
          <w:p w14:paraId="1F2D4EB0" w14:textId="77777777" w:rsidR="00F30738" w:rsidRPr="00353381" w:rsidRDefault="00F30738" w:rsidP="00D63204">
            <w:pPr>
              <w:widowControl w:val="0"/>
              <w:spacing w:before="138" w:after="0" w:line="240" w:lineRule="auto"/>
              <w:ind w:left="90" w:firstLine="233"/>
              <w:rPr>
                <w:b/>
                <w:w w:val="115"/>
              </w:rPr>
            </w:pPr>
            <w:r w:rsidRPr="00353381">
              <w:rPr>
                <w:b/>
                <w:w w:val="115"/>
              </w:rPr>
              <w:t>59.27%</w:t>
            </w:r>
          </w:p>
        </w:tc>
        <w:tc>
          <w:tcPr>
            <w:tcW w:w="1350" w:type="dxa"/>
            <w:tcBorders>
              <w:top w:val="single" w:sz="2" w:space="0" w:color="231F20"/>
              <w:left w:val="single" w:sz="2" w:space="0" w:color="231F20"/>
              <w:bottom w:val="single" w:sz="2" w:space="0" w:color="231F20"/>
              <w:right w:val="single" w:sz="2" w:space="0" w:color="231F20"/>
            </w:tcBorders>
          </w:tcPr>
          <w:p w14:paraId="283076C1" w14:textId="77777777" w:rsidR="00F30738" w:rsidRPr="00353381" w:rsidRDefault="00F30738" w:rsidP="00D63204">
            <w:pPr>
              <w:widowControl w:val="0"/>
              <w:spacing w:before="3" w:after="0" w:line="240" w:lineRule="auto"/>
              <w:ind w:left="90"/>
              <w:rPr>
                <w:rFonts w:cs="Calibri"/>
                <w:b/>
                <w:bCs/>
              </w:rPr>
            </w:pPr>
          </w:p>
          <w:p w14:paraId="66488228" w14:textId="77777777" w:rsidR="00F30738" w:rsidRPr="00353381" w:rsidRDefault="00F30738" w:rsidP="00D63204">
            <w:pPr>
              <w:widowControl w:val="0"/>
              <w:spacing w:before="3" w:after="0" w:line="240" w:lineRule="auto"/>
              <w:ind w:left="90"/>
              <w:rPr>
                <w:rFonts w:cs="Calibri"/>
                <w:b/>
                <w:bCs/>
              </w:rPr>
            </w:pPr>
          </w:p>
          <w:p w14:paraId="06B633A4" w14:textId="77777777" w:rsidR="00F30738" w:rsidRPr="00353381" w:rsidRDefault="00F30738" w:rsidP="00D63204">
            <w:pPr>
              <w:widowControl w:val="0"/>
              <w:spacing w:before="3" w:after="0" w:line="240" w:lineRule="auto"/>
              <w:ind w:left="90"/>
              <w:rPr>
                <w:rFonts w:cs="Calibri"/>
                <w:b/>
                <w:bCs/>
              </w:rPr>
            </w:pPr>
            <w:r w:rsidRPr="00353381">
              <w:rPr>
                <w:rFonts w:cs="Calibri"/>
                <w:b/>
                <w:bCs/>
              </w:rPr>
              <w:t>-2.31%</w:t>
            </w:r>
          </w:p>
        </w:tc>
        <w:tc>
          <w:tcPr>
            <w:tcW w:w="1079" w:type="dxa"/>
            <w:tcBorders>
              <w:top w:val="single" w:sz="2" w:space="0" w:color="231F20"/>
              <w:left w:val="single" w:sz="2" w:space="0" w:color="231F20"/>
              <w:bottom w:val="single" w:sz="2" w:space="0" w:color="231F20"/>
              <w:right w:val="single" w:sz="2" w:space="0" w:color="231F20"/>
            </w:tcBorders>
          </w:tcPr>
          <w:p w14:paraId="16E7DEC4" w14:textId="77777777" w:rsidR="00F30738" w:rsidRPr="00353381" w:rsidRDefault="00F30738" w:rsidP="00D63204">
            <w:pPr>
              <w:widowControl w:val="0"/>
              <w:spacing w:before="3" w:after="0" w:line="240" w:lineRule="auto"/>
              <w:ind w:left="90"/>
              <w:rPr>
                <w:rFonts w:cs="Calibri"/>
                <w:b/>
                <w:bCs/>
              </w:rPr>
            </w:pPr>
          </w:p>
          <w:p w14:paraId="49B818FC" w14:textId="77777777" w:rsidR="00092297" w:rsidRDefault="00092297" w:rsidP="00D63204">
            <w:pPr>
              <w:widowControl w:val="0"/>
              <w:spacing w:before="3" w:after="0" w:line="240" w:lineRule="auto"/>
              <w:ind w:left="90"/>
              <w:rPr>
                <w:rFonts w:cs="Calibri"/>
                <w:b/>
                <w:bCs/>
              </w:rPr>
            </w:pPr>
          </w:p>
          <w:p w14:paraId="5859C3EB" w14:textId="62FAC72E" w:rsidR="00F30738" w:rsidRPr="00353381" w:rsidRDefault="00F30738" w:rsidP="00D63204">
            <w:pPr>
              <w:widowControl w:val="0"/>
              <w:spacing w:before="3" w:after="0" w:line="240" w:lineRule="auto"/>
              <w:ind w:left="90"/>
              <w:rPr>
                <w:rFonts w:cs="Calibri"/>
                <w:b/>
                <w:bCs/>
              </w:rPr>
            </w:pPr>
            <w:r w:rsidRPr="00353381">
              <w:rPr>
                <w:rFonts w:cs="Calibri"/>
                <w:b/>
                <w:bCs/>
              </w:rPr>
              <w:t>Not Met</w:t>
            </w:r>
          </w:p>
        </w:tc>
      </w:tr>
      <w:tr w:rsidR="00F30738" w:rsidRPr="00353381" w14:paraId="6229757C" w14:textId="77777777" w:rsidTr="00092297">
        <w:trPr>
          <w:trHeight w:hRule="exact" w:val="1364"/>
          <w:jc w:val="center"/>
        </w:trPr>
        <w:tc>
          <w:tcPr>
            <w:tcW w:w="4787" w:type="dxa"/>
            <w:tcBorders>
              <w:top w:val="single" w:sz="2" w:space="0" w:color="231F20"/>
              <w:left w:val="single" w:sz="2" w:space="0" w:color="231F20"/>
              <w:bottom w:val="single" w:sz="2" w:space="0" w:color="231F20"/>
              <w:right w:val="single" w:sz="2" w:space="0" w:color="231F20"/>
            </w:tcBorders>
            <w:shd w:val="clear" w:color="auto" w:fill="E6E7E8"/>
          </w:tcPr>
          <w:p w14:paraId="3EB30F17" w14:textId="77777777" w:rsidR="00F30738" w:rsidRPr="00353381" w:rsidRDefault="00F30738" w:rsidP="00092297">
            <w:pPr>
              <w:widowControl w:val="0"/>
              <w:spacing w:before="3" w:after="0" w:line="240" w:lineRule="auto"/>
              <w:ind w:left="90"/>
              <w:rPr>
                <w:rFonts w:cs="Calibri"/>
                <w:b/>
                <w:bCs/>
              </w:rPr>
            </w:pPr>
          </w:p>
          <w:p w14:paraId="7656C569" w14:textId="77777777" w:rsidR="00F30738" w:rsidRPr="00353381" w:rsidRDefault="00F30738" w:rsidP="00092297">
            <w:pPr>
              <w:widowControl w:val="0"/>
              <w:spacing w:before="3" w:after="0" w:line="240" w:lineRule="auto"/>
              <w:ind w:left="90"/>
              <w:rPr>
                <w:rFonts w:cs="Calibri"/>
                <w:b/>
                <w:bCs/>
              </w:rPr>
            </w:pPr>
            <w:r w:rsidRPr="00353381">
              <w:rPr>
                <w:rFonts w:cs="Calibri"/>
                <w:b/>
                <w:bCs/>
              </w:rPr>
              <w:t>1.3 Of the closed cases with an employment outcome, the percentage that has a wage greater than or equal to the minimum wage</w:t>
            </w:r>
          </w:p>
        </w:tc>
        <w:tc>
          <w:tcPr>
            <w:tcW w:w="1433" w:type="dxa"/>
            <w:tcBorders>
              <w:top w:val="single" w:sz="2" w:space="0" w:color="231F20"/>
              <w:left w:val="single" w:sz="2" w:space="0" w:color="231F20"/>
              <w:bottom w:val="single" w:sz="2" w:space="0" w:color="231F20"/>
              <w:right w:val="single" w:sz="2" w:space="0" w:color="231F20"/>
            </w:tcBorders>
            <w:shd w:val="clear" w:color="auto" w:fill="E6E7E8"/>
          </w:tcPr>
          <w:p w14:paraId="50EA79C4" w14:textId="77777777" w:rsidR="00092297" w:rsidRDefault="00092297" w:rsidP="00D63204">
            <w:pPr>
              <w:widowControl w:val="0"/>
              <w:spacing w:before="138" w:after="0" w:line="240" w:lineRule="auto"/>
              <w:ind w:left="90" w:firstLine="29"/>
              <w:rPr>
                <w:b/>
                <w:w w:val="115"/>
              </w:rPr>
            </w:pPr>
          </w:p>
          <w:p w14:paraId="79E04819" w14:textId="575E1F7A" w:rsidR="00F30738" w:rsidRPr="00353381" w:rsidRDefault="00F30738" w:rsidP="00D63204">
            <w:pPr>
              <w:widowControl w:val="0"/>
              <w:spacing w:before="138" w:after="0" w:line="240" w:lineRule="auto"/>
              <w:ind w:left="90" w:firstLine="29"/>
              <w:rPr>
                <w:b/>
                <w:w w:val="115"/>
              </w:rPr>
            </w:pPr>
            <w:r w:rsidRPr="00353381">
              <w:rPr>
                <w:b/>
                <w:w w:val="115"/>
              </w:rPr>
              <w:t>97.65%</w:t>
            </w:r>
          </w:p>
        </w:tc>
        <w:tc>
          <w:tcPr>
            <w:tcW w:w="1517" w:type="dxa"/>
            <w:tcBorders>
              <w:top w:val="single" w:sz="2" w:space="0" w:color="231F20"/>
              <w:left w:val="single" w:sz="2" w:space="0" w:color="231F20"/>
              <w:bottom w:val="single" w:sz="2" w:space="0" w:color="231F20"/>
              <w:right w:val="single" w:sz="2" w:space="0" w:color="231F20"/>
            </w:tcBorders>
            <w:shd w:val="clear" w:color="auto" w:fill="E6E7E8"/>
          </w:tcPr>
          <w:p w14:paraId="3014970D" w14:textId="77777777" w:rsidR="00092297" w:rsidRDefault="00092297" w:rsidP="00D63204">
            <w:pPr>
              <w:widowControl w:val="0"/>
              <w:spacing w:before="138" w:after="0" w:line="240" w:lineRule="auto"/>
              <w:ind w:left="90" w:firstLine="586"/>
              <w:rPr>
                <w:b/>
                <w:w w:val="115"/>
              </w:rPr>
            </w:pPr>
          </w:p>
          <w:p w14:paraId="67C2A1E7" w14:textId="1BD3D3EA" w:rsidR="00F30738" w:rsidRPr="00353381" w:rsidRDefault="00F30738" w:rsidP="00D63204">
            <w:pPr>
              <w:widowControl w:val="0"/>
              <w:spacing w:before="138" w:after="0" w:line="240" w:lineRule="auto"/>
              <w:ind w:right="-108" w:firstLine="586"/>
              <w:rPr>
                <w:b/>
                <w:w w:val="115"/>
              </w:rPr>
            </w:pPr>
            <w:r w:rsidRPr="00353381">
              <w:rPr>
                <w:b/>
                <w:w w:val="115"/>
              </w:rPr>
              <w:t>98.29</w:t>
            </w:r>
            <w:r w:rsidR="00092297">
              <w:rPr>
                <w:b/>
                <w:w w:val="115"/>
              </w:rPr>
              <w:t>%</w:t>
            </w:r>
          </w:p>
        </w:tc>
        <w:tc>
          <w:tcPr>
            <w:tcW w:w="1350" w:type="dxa"/>
            <w:tcBorders>
              <w:top w:val="single" w:sz="2" w:space="0" w:color="231F20"/>
              <w:left w:val="single" w:sz="2" w:space="0" w:color="231F20"/>
              <w:bottom w:val="single" w:sz="2" w:space="0" w:color="231F20"/>
              <w:right w:val="single" w:sz="2" w:space="0" w:color="231F20"/>
            </w:tcBorders>
            <w:shd w:val="clear" w:color="auto" w:fill="E6E7E8"/>
          </w:tcPr>
          <w:p w14:paraId="30CA199F" w14:textId="77777777" w:rsidR="00F30738" w:rsidRPr="00353381" w:rsidRDefault="00F30738" w:rsidP="00D63204">
            <w:pPr>
              <w:widowControl w:val="0"/>
              <w:spacing w:before="3" w:after="0" w:line="240" w:lineRule="auto"/>
              <w:ind w:left="90"/>
              <w:rPr>
                <w:rFonts w:cs="Calibri"/>
                <w:b/>
                <w:bCs/>
              </w:rPr>
            </w:pPr>
          </w:p>
          <w:p w14:paraId="5445C885" w14:textId="77777777" w:rsidR="00F30738" w:rsidRPr="00353381" w:rsidRDefault="00F30738" w:rsidP="00D63204">
            <w:pPr>
              <w:widowControl w:val="0"/>
              <w:spacing w:before="3" w:after="0" w:line="240" w:lineRule="auto"/>
              <w:ind w:left="90"/>
              <w:rPr>
                <w:rFonts w:cs="Calibri"/>
                <w:b/>
                <w:bCs/>
              </w:rPr>
            </w:pPr>
          </w:p>
          <w:p w14:paraId="3BE6B727" w14:textId="77777777" w:rsidR="00F30738" w:rsidRPr="00353381" w:rsidRDefault="00F30738" w:rsidP="00D63204">
            <w:pPr>
              <w:widowControl w:val="0"/>
              <w:spacing w:before="3" w:after="0" w:line="240" w:lineRule="auto"/>
              <w:ind w:left="90"/>
              <w:rPr>
                <w:rFonts w:cs="Calibri"/>
                <w:b/>
                <w:bCs/>
              </w:rPr>
            </w:pPr>
            <w:r w:rsidRPr="00353381">
              <w:rPr>
                <w:rFonts w:cs="Calibri"/>
                <w:b/>
                <w:bCs/>
              </w:rPr>
              <w:t>-.65%</w:t>
            </w:r>
          </w:p>
        </w:tc>
        <w:tc>
          <w:tcPr>
            <w:tcW w:w="1079" w:type="dxa"/>
            <w:tcBorders>
              <w:top w:val="single" w:sz="2" w:space="0" w:color="231F20"/>
              <w:left w:val="single" w:sz="2" w:space="0" w:color="231F20"/>
              <w:bottom w:val="single" w:sz="2" w:space="0" w:color="231F20"/>
              <w:right w:val="single" w:sz="2" w:space="0" w:color="231F20"/>
            </w:tcBorders>
            <w:shd w:val="clear" w:color="auto" w:fill="E6E7E8"/>
          </w:tcPr>
          <w:p w14:paraId="1D0D18A1" w14:textId="77777777" w:rsidR="00F30738" w:rsidRPr="00353381" w:rsidRDefault="00F30738" w:rsidP="00D63204">
            <w:pPr>
              <w:widowControl w:val="0"/>
              <w:spacing w:before="3" w:after="0" w:line="240" w:lineRule="auto"/>
              <w:ind w:left="90"/>
              <w:rPr>
                <w:rFonts w:cs="Calibri"/>
                <w:b/>
                <w:bCs/>
              </w:rPr>
            </w:pPr>
          </w:p>
          <w:p w14:paraId="1A769A94" w14:textId="77777777" w:rsidR="00F30738" w:rsidRPr="00353381" w:rsidRDefault="00F30738" w:rsidP="00D63204">
            <w:pPr>
              <w:widowControl w:val="0"/>
              <w:spacing w:before="3" w:after="0" w:line="240" w:lineRule="auto"/>
              <w:ind w:left="90"/>
              <w:rPr>
                <w:rFonts w:cs="Calibri"/>
                <w:b/>
                <w:bCs/>
              </w:rPr>
            </w:pPr>
          </w:p>
          <w:p w14:paraId="5314DB2F" w14:textId="77777777" w:rsidR="00F30738" w:rsidRPr="00353381" w:rsidRDefault="00F30738" w:rsidP="00D63204">
            <w:pPr>
              <w:widowControl w:val="0"/>
              <w:spacing w:before="3" w:after="0" w:line="240" w:lineRule="auto"/>
              <w:ind w:left="90"/>
              <w:rPr>
                <w:rFonts w:cs="Calibri"/>
                <w:b/>
                <w:bCs/>
              </w:rPr>
            </w:pPr>
            <w:r w:rsidRPr="00353381">
              <w:rPr>
                <w:rFonts w:cs="Calibri"/>
                <w:b/>
                <w:bCs/>
              </w:rPr>
              <w:t>Met</w:t>
            </w:r>
          </w:p>
        </w:tc>
      </w:tr>
      <w:tr w:rsidR="00F30738" w:rsidRPr="00353381" w14:paraId="2FC784B4" w14:textId="77777777" w:rsidTr="00092297">
        <w:trPr>
          <w:trHeight w:hRule="exact" w:val="1526"/>
          <w:jc w:val="center"/>
        </w:trPr>
        <w:tc>
          <w:tcPr>
            <w:tcW w:w="4787" w:type="dxa"/>
            <w:tcBorders>
              <w:top w:val="single" w:sz="2" w:space="0" w:color="231F20"/>
              <w:left w:val="single" w:sz="2" w:space="0" w:color="231F20"/>
              <w:bottom w:val="single" w:sz="2" w:space="0" w:color="231F20"/>
              <w:right w:val="single" w:sz="2" w:space="0" w:color="231F20"/>
            </w:tcBorders>
          </w:tcPr>
          <w:p w14:paraId="6B8D06F6" w14:textId="77777777" w:rsidR="00F30738" w:rsidRPr="00353381" w:rsidRDefault="00F30738" w:rsidP="00092297">
            <w:pPr>
              <w:widowControl w:val="0"/>
              <w:spacing w:before="3" w:after="0" w:line="240" w:lineRule="auto"/>
              <w:ind w:left="90"/>
              <w:rPr>
                <w:rFonts w:cs="Calibri"/>
                <w:b/>
                <w:bCs/>
              </w:rPr>
            </w:pPr>
          </w:p>
          <w:p w14:paraId="1C51014F" w14:textId="77777777" w:rsidR="00F30738" w:rsidRPr="00353381" w:rsidRDefault="00F30738" w:rsidP="00092297">
            <w:pPr>
              <w:widowControl w:val="0"/>
              <w:spacing w:before="3" w:after="0" w:line="240" w:lineRule="auto"/>
              <w:ind w:left="90"/>
              <w:rPr>
                <w:rFonts w:cs="Calibri"/>
                <w:b/>
                <w:bCs/>
              </w:rPr>
            </w:pPr>
            <w:r w:rsidRPr="00353381">
              <w:rPr>
                <w:rFonts w:cs="Calibri"/>
                <w:b/>
                <w:bCs/>
              </w:rPr>
              <w:t>1.4 Of the closed cases with an employment outcome, the percentage that has a wage greater than or equal to the minimum wage and have significant disabilities</w:t>
            </w:r>
          </w:p>
        </w:tc>
        <w:tc>
          <w:tcPr>
            <w:tcW w:w="1433" w:type="dxa"/>
            <w:tcBorders>
              <w:top w:val="single" w:sz="2" w:space="0" w:color="231F20"/>
              <w:left w:val="single" w:sz="2" w:space="0" w:color="231F20"/>
              <w:bottom w:val="single" w:sz="2" w:space="0" w:color="231F20"/>
              <w:right w:val="single" w:sz="2" w:space="0" w:color="231F20"/>
            </w:tcBorders>
          </w:tcPr>
          <w:p w14:paraId="2F18A6F7" w14:textId="77777777" w:rsidR="00092297" w:rsidRDefault="00092297" w:rsidP="00D63204">
            <w:pPr>
              <w:widowControl w:val="0"/>
              <w:spacing w:before="138" w:after="0" w:line="240" w:lineRule="auto"/>
              <w:ind w:left="90" w:firstLine="29"/>
              <w:rPr>
                <w:b/>
                <w:w w:val="115"/>
              </w:rPr>
            </w:pPr>
          </w:p>
          <w:p w14:paraId="6AABE393" w14:textId="0172E06F" w:rsidR="00F30738" w:rsidRPr="00353381" w:rsidRDefault="00F30738" w:rsidP="00D63204">
            <w:pPr>
              <w:widowControl w:val="0"/>
              <w:spacing w:before="138" w:after="0" w:line="240" w:lineRule="auto"/>
              <w:ind w:left="90" w:firstLine="29"/>
              <w:rPr>
                <w:b/>
                <w:w w:val="115"/>
              </w:rPr>
            </w:pPr>
            <w:r w:rsidRPr="00353381">
              <w:rPr>
                <w:b/>
                <w:w w:val="115"/>
              </w:rPr>
              <w:t>97.65%</w:t>
            </w:r>
          </w:p>
        </w:tc>
        <w:tc>
          <w:tcPr>
            <w:tcW w:w="1517" w:type="dxa"/>
            <w:tcBorders>
              <w:top w:val="single" w:sz="2" w:space="0" w:color="231F20"/>
              <w:left w:val="single" w:sz="2" w:space="0" w:color="231F20"/>
              <w:bottom w:val="single" w:sz="2" w:space="0" w:color="231F20"/>
              <w:right w:val="single" w:sz="2" w:space="0" w:color="231F20"/>
            </w:tcBorders>
          </w:tcPr>
          <w:p w14:paraId="5F46813A" w14:textId="77777777" w:rsidR="00F30738" w:rsidRPr="00353381" w:rsidRDefault="00F30738" w:rsidP="00D63204">
            <w:pPr>
              <w:widowControl w:val="0"/>
              <w:spacing w:before="138" w:after="0" w:line="240" w:lineRule="auto"/>
              <w:ind w:left="90" w:firstLine="586"/>
              <w:rPr>
                <w:b/>
                <w:w w:val="115"/>
              </w:rPr>
            </w:pPr>
          </w:p>
          <w:p w14:paraId="3FEBDDBF" w14:textId="77777777" w:rsidR="00F30738" w:rsidRPr="00353381" w:rsidRDefault="00F30738" w:rsidP="00D63204">
            <w:pPr>
              <w:widowControl w:val="0"/>
              <w:spacing w:before="138" w:after="0" w:line="240" w:lineRule="auto"/>
              <w:ind w:left="90" w:firstLine="586"/>
              <w:rPr>
                <w:b/>
                <w:w w:val="115"/>
              </w:rPr>
            </w:pPr>
            <w:r w:rsidRPr="00353381">
              <w:rPr>
                <w:b/>
                <w:w w:val="115"/>
              </w:rPr>
              <w:t>100%</w:t>
            </w:r>
          </w:p>
        </w:tc>
        <w:tc>
          <w:tcPr>
            <w:tcW w:w="1350" w:type="dxa"/>
            <w:tcBorders>
              <w:top w:val="single" w:sz="2" w:space="0" w:color="231F20"/>
              <w:left w:val="single" w:sz="2" w:space="0" w:color="231F20"/>
              <w:bottom w:val="single" w:sz="2" w:space="0" w:color="231F20"/>
              <w:right w:val="single" w:sz="2" w:space="0" w:color="231F20"/>
            </w:tcBorders>
          </w:tcPr>
          <w:p w14:paraId="56A6C3B9" w14:textId="77777777" w:rsidR="00F30738" w:rsidRPr="00353381" w:rsidRDefault="00F30738" w:rsidP="00D63204">
            <w:pPr>
              <w:widowControl w:val="0"/>
              <w:spacing w:before="3" w:after="0" w:line="240" w:lineRule="auto"/>
              <w:ind w:left="90"/>
              <w:rPr>
                <w:rFonts w:cs="Calibri"/>
                <w:b/>
                <w:bCs/>
              </w:rPr>
            </w:pPr>
          </w:p>
          <w:p w14:paraId="56AF7A28" w14:textId="77777777" w:rsidR="00F30738" w:rsidRPr="00353381" w:rsidRDefault="00F30738" w:rsidP="00D63204">
            <w:pPr>
              <w:widowControl w:val="0"/>
              <w:spacing w:before="3" w:after="0" w:line="240" w:lineRule="auto"/>
              <w:ind w:left="90"/>
              <w:rPr>
                <w:rFonts w:cs="Calibri"/>
                <w:b/>
                <w:bCs/>
              </w:rPr>
            </w:pPr>
          </w:p>
          <w:p w14:paraId="5EF09AC9" w14:textId="33D8CD82" w:rsidR="00F30738" w:rsidRPr="00353381" w:rsidRDefault="00092297" w:rsidP="00D63204">
            <w:pPr>
              <w:widowControl w:val="0"/>
              <w:tabs>
                <w:tab w:val="center" w:pos="621"/>
                <w:tab w:val="right" w:pos="1153"/>
              </w:tabs>
              <w:spacing w:before="3" w:after="0" w:line="240" w:lineRule="auto"/>
              <w:ind w:left="90"/>
              <w:rPr>
                <w:rFonts w:cs="Calibri"/>
                <w:b/>
                <w:bCs/>
              </w:rPr>
            </w:pPr>
            <w:r>
              <w:rPr>
                <w:rFonts w:cs="Calibri"/>
                <w:b/>
                <w:bCs/>
              </w:rPr>
              <w:tab/>
            </w:r>
            <w:r w:rsidR="00F30738" w:rsidRPr="00353381">
              <w:rPr>
                <w:rFonts w:cs="Calibri"/>
                <w:b/>
                <w:bCs/>
              </w:rPr>
              <w:t>-2.41%</w:t>
            </w:r>
          </w:p>
        </w:tc>
        <w:tc>
          <w:tcPr>
            <w:tcW w:w="1079" w:type="dxa"/>
            <w:tcBorders>
              <w:top w:val="single" w:sz="2" w:space="0" w:color="231F20"/>
              <w:left w:val="single" w:sz="2" w:space="0" w:color="231F20"/>
              <w:bottom w:val="single" w:sz="2" w:space="0" w:color="231F20"/>
              <w:right w:val="single" w:sz="2" w:space="0" w:color="231F20"/>
            </w:tcBorders>
          </w:tcPr>
          <w:p w14:paraId="4F6F096E" w14:textId="77777777" w:rsidR="00F30738" w:rsidRPr="00353381" w:rsidRDefault="00F30738" w:rsidP="00D63204">
            <w:pPr>
              <w:widowControl w:val="0"/>
              <w:spacing w:before="3" w:after="0" w:line="240" w:lineRule="auto"/>
              <w:ind w:left="90"/>
              <w:rPr>
                <w:rFonts w:cs="Calibri"/>
                <w:b/>
                <w:bCs/>
              </w:rPr>
            </w:pPr>
          </w:p>
          <w:p w14:paraId="71C996D3" w14:textId="77777777" w:rsidR="00F30738" w:rsidRPr="00353381" w:rsidRDefault="00F30738" w:rsidP="00D63204">
            <w:pPr>
              <w:widowControl w:val="0"/>
              <w:spacing w:before="3" w:after="0" w:line="240" w:lineRule="auto"/>
              <w:ind w:left="90"/>
              <w:rPr>
                <w:rFonts w:cs="Calibri"/>
                <w:b/>
                <w:bCs/>
              </w:rPr>
            </w:pPr>
          </w:p>
          <w:p w14:paraId="5DAC22FF" w14:textId="77777777" w:rsidR="00F30738" w:rsidRPr="00353381" w:rsidRDefault="00F30738" w:rsidP="00D63204">
            <w:pPr>
              <w:widowControl w:val="0"/>
              <w:spacing w:before="3" w:after="0" w:line="240" w:lineRule="auto"/>
              <w:ind w:left="90"/>
              <w:rPr>
                <w:rFonts w:cs="Calibri"/>
                <w:b/>
                <w:bCs/>
              </w:rPr>
            </w:pPr>
            <w:r w:rsidRPr="00353381">
              <w:rPr>
                <w:rFonts w:cs="Calibri"/>
                <w:b/>
                <w:bCs/>
              </w:rPr>
              <w:t>Met</w:t>
            </w:r>
          </w:p>
        </w:tc>
      </w:tr>
      <w:tr w:rsidR="00F30738" w:rsidRPr="00353381" w14:paraId="60A82FFA" w14:textId="77777777" w:rsidTr="00092297">
        <w:trPr>
          <w:trHeight w:hRule="exact" w:val="1526"/>
          <w:jc w:val="center"/>
        </w:trPr>
        <w:tc>
          <w:tcPr>
            <w:tcW w:w="4787" w:type="dxa"/>
            <w:tcBorders>
              <w:top w:val="single" w:sz="2" w:space="0" w:color="231F20"/>
              <w:left w:val="single" w:sz="2" w:space="0" w:color="231F20"/>
              <w:bottom w:val="single" w:sz="2" w:space="0" w:color="231F20"/>
              <w:right w:val="single" w:sz="2" w:space="0" w:color="231F20"/>
            </w:tcBorders>
            <w:shd w:val="clear" w:color="auto" w:fill="E6E7E8"/>
          </w:tcPr>
          <w:p w14:paraId="143AAEBB" w14:textId="77777777" w:rsidR="00F30738" w:rsidRPr="00353381" w:rsidRDefault="00F30738" w:rsidP="00092297">
            <w:pPr>
              <w:widowControl w:val="0"/>
              <w:spacing w:before="3" w:after="0" w:line="240" w:lineRule="auto"/>
              <w:ind w:left="90"/>
              <w:rPr>
                <w:rFonts w:cs="Calibri"/>
                <w:b/>
                <w:bCs/>
              </w:rPr>
            </w:pPr>
          </w:p>
          <w:p w14:paraId="2A4DFE66" w14:textId="77777777" w:rsidR="00F30738" w:rsidRPr="00353381" w:rsidRDefault="00F30738" w:rsidP="00092297">
            <w:pPr>
              <w:widowControl w:val="0"/>
              <w:spacing w:before="3" w:after="0" w:line="240" w:lineRule="auto"/>
              <w:ind w:left="90"/>
              <w:rPr>
                <w:rFonts w:cs="Calibri"/>
                <w:b/>
                <w:bCs/>
              </w:rPr>
            </w:pPr>
            <w:r w:rsidRPr="00353381">
              <w:rPr>
                <w:rFonts w:cs="Calibri"/>
                <w:b/>
                <w:bCs/>
              </w:rPr>
              <w:t>1.5 Ratio of average state wage to the average wage of closed cases with employment outcome that have wages greater than or equal to minimum wage</w:t>
            </w:r>
          </w:p>
        </w:tc>
        <w:tc>
          <w:tcPr>
            <w:tcW w:w="1433" w:type="dxa"/>
            <w:tcBorders>
              <w:top w:val="single" w:sz="2" w:space="0" w:color="231F20"/>
              <w:left w:val="single" w:sz="2" w:space="0" w:color="231F20"/>
              <w:bottom w:val="single" w:sz="2" w:space="0" w:color="231F20"/>
              <w:right w:val="single" w:sz="2" w:space="0" w:color="231F20"/>
            </w:tcBorders>
            <w:shd w:val="clear" w:color="auto" w:fill="E6E7E8"/>
          </w:tcPr>
          <w:p w14:paraId="2C3B0C60" w14:textId="77777777" w:rsidR="00092297" w:rsidRDefault="00092297" w:rsidP="00D63204">
            <w:pPr>
              <w:widowControl w:val="0"/>
              <w:spacing w:before="138" w:after="0" w:line="240" w:lineRule="auto"/>
              <w:ind w:left="90" w:firstLine="209"/>
              <w:rPr>
                <w:b/>
                <w:w w:val="115"/>
              </w:rPr>
            </w:pPr>
          </w:p>
          <w:p w14:paraId="0D2546F4" w14:textId="055BC256" w:rsidR="00F30738" w:rsidRPr="00353381" w:rsidRDefault="00F30738" w:rsidP="00D63204">
            <w:pPr>
              <w:widowControl w:val="0"/>
              <w:spacing w:before="138" w:after="0" w:line="240" w:lineRule="auto"/>
              <w:ind w:left="90" w:firstLine="209"/>
              <w:rPr>
                <w:b/>
                <w:w w:val="115"/>
              </w:rPr>
            </w:pPr>
            <w:r w:rsidRPr="00353381">
              <w:rPr>
                <w:b/>
                <w:w w:val="115"/>
              </w:rPr>
              <w:t>.66%</w:t>
            </w:r>
          </w:p>
        </w:tc>
        <w:tc>
          <w:tcPr>
            <w:tcW w:w="1517" w:type="dxa"/>
            <w:tcBorders>
              <w:top w:val="single" w:sz="2" w:space="0" w:color="231F20"/>
              <w:left w:val="single" w:sz="2" w:space="0" w:color="231F20"/>
              <w:bottom w:val="single" w:sz="2" w:space="0" w:color="231F20"/>
              <w:right w:val="single" w:sz="2" w:space="0" w:color="231F20"/>
            </w:tcBorders>
            <w:shd w:val="clear" w:color="auto" w:fill="E6E7E8"/>
          </w:tcPr>
          <w:p w14:paraId="6A1FC572" w14:textId="77777777" w:rsidR="00F30738" w:rsidRPr="00353381" w:rsidRDefault="00F30738" w:rsidP="00D63204">
            <w:pPr>
              <w:widowControl w:val="0"/>
              <w:spacing w:before="138" w:after="0" w:line="240" w:lineRule="auto"/>
              <w:ind w:left="90" w:firstLine="586"/>
              <w:rPr>
                <w:b/>
                <w:w w:val="115"/>
              </w:rPr>
            </w:pPr>
          </w:p>
          <w:p w14:paraId="2C904439" w14:textId="77777777" w:rsidR="00F30738" w:rsidRPr="00353381" w:rsidRDefault="00F30738" w:rsidP="00D63204">
            <w:pPr>
              <w:widowControl w:val="0"/>
              <w:spacing w:before="138" w:after="0" w:line="240" w:lineRule="auto"/>
              <w:ind w:left="90" w:firstLine="586"/>
              <w:rPr>
                <w:b/>
                <w:w w:val="115"/>
              </w:rPr>
            </w:pPr>
            <w:r w:rsidRPr="00353381">
              <w:rPr>
                <w:b/>
                <w:w w:val="115"/>
              </w:rPr>
              <w:t>0.68%</w:t>
            </w:r>
          </w:p>
        </w:tc>
        <w:tc>
          <w:tcPr>
            <w:tcW w:w="1350" w:type="dxa"/>
            <w:tcBorders>
              <w:top w:val="single" w:sz="2" w:space="0" w:color="231F20"/>
              <w:left w:val="single" w:sz="2" w:space="0" w:color="231F20"/>
              <w:bottom w:val="single" w:sz="2" w:space="0" w:color="231F20"/>
              <w:right w:val="single" w:sz="2" w:space="0" w:color="231F20"/>
            </w:tcBorders>
            <w:shd w:val="clear" w:color="auto" w:fill="E6E7E8"/>
          </w:tcPr>
          <w:p w14:paraId="3595FA80" w14:textId="77777777" w:rsidR="00F30738" w:rsidRPr="00353381" w:rsidRDefault="00F30738" w:rsidP="00D63204">
            <w:pPr>
              <w:widowControl w:val="0"/>
              <w:spacing w:before="3" w:after="0" w:line="240" w:lineRule="auto"/>
              <w:ind w:left="90"/>
              <w:rPr>
                <w:rFonts w:cs="Calibri"/>
                <w:b/>
                <w:bCs/>
              </w:rPr>
            </w:pPr>
          </w:p>
          <w:p w14:paraId="55B7D864" w14:textId="77777777" w:rsidR="00F30738" w:rsidRPr="00353381" w:rsidRDefault="00F30738" w:rsidP="00D63204">
            <w:pPr>
              <w:widowControl w:val="0"/>
              <w:spacing w:before="3" w:after="0" w:line="240" w:lineRule="auto"/>
              <w:ind w:left="90"/>
              <w:rPr>
                <w:rFonts w:cs="Calibri"/>
                <w:b/>
                <w:bCs/>
              </w:rPr>
            </w:pPr>
          </w:p>
          <w:p w14:paraId="08F550A5" w14:textId="77777777" w:rsidR="00F30738" w:rsidRPr="00353381" w:rsidRDefault="00F30738" w:rsidP="00D63204">
            <w:pPr>
              <w:widowControl w:val="0"/>
              <w:spacing w:before="3" w:after="0" w:line="240" w:lineRule="auto"/>
              <w:ind w:left="90"/>
              <w:rPr>
                <w:rFonts w:cs="Calibri"/>
                <w:b/>
                <w:bCs/>
              </w:rPr>
            </w:pPr>
            <w:r w:rsidRPr="00353381">
              <w:rPr>
                <w:rFonts w:cs="Calibri"/>
                <w:b/>
                <w:bCs/>
              </w:rPr>
              <w:t>-3.03%</w:t>
            </w:r>
          </w:p>
        </w:tc>
        <w:tc>
          <w:tcPr>
            <w:tcW w:w="1079" w:type="dxa"/>
            <w:tcBorders>
              <w:top w:val="single" w:sz="2" w:space="0" w:color="231F20"/>
              <w:left w:val="single" w:sz="2" w:space="0" w:color="231F20"/>
              <w:bottom w:val="single" w:sz="2" w:space="0" w:color="231F20"/>
              <w:right w:val="single" w:sz="2" w:space="0" w:color="231F20"/>
            </w:tcBorders>
            <w:shd w:val="clear" w:color="auto" w:fill="E6E7E8"/>
          </w:tcPr>
          <w:p w14:paraId="46237506" w14:textId="77777777" w:rsidR="00F30738" w:rsidRPr="00353381" w:rsidRDefault="00F30738" w:rsidP="00D63204">
            <w:pPr>
              <w:widowControl w:val="0"/>
              <w:spacing w:before="3" w:after="0" w:line="240" w:lineRule="auto"/>
              <w:ind w:left="90"/>
              <w:rPr>
                <w:rFonts w:cs="Calibri"/>
                <w:b/>
                <w:bCs/>
              </w:rPr>
            </w:pPr>
          </w:p>
          <w:p w14:paraId="594D5207" w14:textId="77777777" w:rsidR="00F30738" w:rsidRPr="00353381" w:rsidRDefault="00F30738" w:rsidP="00D63204">
            <w:pPr>
              <w:widowControl w:val="0"/>
              <w:spacing w:before="3" w:after="0" w:line="240" w:lineRule="auto"/>
              <w:ind w:left="90"/>
              <w:rPr>
                <w:rFonts w:cs="Calibri"/>
                <w:b/>
                <w:bCs/>
              </w:rPr>
            </w:pPr>
          </w:p>
          <w:p w14:paraId="0650B123" w14:textId="77777777" w:rsidR="00F30738" w:rsidRPr="00353381" w:rsidRDefault="00F30738" w:rsidP="00D63204">
            <w:pPr>
              <w:widowControl w:val="0"/>
              <w:spacing w:before="3" w:after="0" w:line="240" w:lineRule="auto"/>
              <w:ind w:left="90"/>
              <w:rPr>
                <w:rFonts w:cs="Calibri"/>
                <w:b/>
                <w:bCs/>
              </w:rPr>
            </w:pPr>
            <w:r w:rsidRPr="00353381">
              <w:rPr>
                <w:rFonts w:cs="Calibri"/>
                <w:b/>
                <w:bCs/>
              </w:rPr>
              <w:t>Met</w:t>
            </w:r>
          </w:p>
        </w:tc>
      </w:tr>
      <w:tr w:rsidR="00F30738" w:rsidRPr="00353381" w14:paraId="0BF29CC0" w14:textId="77777777" w:rsidTr="00092297">
        <w:trPr>
          <w:trHeight w:hRule="exact" w:val="2255"/>
          <w:jc w:val="center"/>
        </w:trPr>
        <w:tc>
          <w:tcPr>
            <w:tcW w:w="4787" w:type="dxa"/>
            <w:tcBorders>
              <w:top w:val="single" w:sz="2" w:space="0" w:color="231F20"/>
              <w:left w:val="single" w:sz="2" w:space="0" w:color="231F20"/>
              <w:bottom w:val="single" w:sz="2" w:space="0" w:color="231F20"/>
              <w:right w:val="single" w:sz="2" w:space="0" w:color="231F20"/>
            </w:tcBorders>
          </w:tcPr>
          <w:p w14:paraId="2F4586BA" w14:textId="77777777" w:rsidR="00F30738" w:rsidRPr="00353381" w:rsidRDefault="00F30738" w:rsidP="00092297">
            <w:pPr>
              <w:widowControl w:val="0"/>
              <w:spacing w:before="3" w:after="0" w:line="240" w:lineRule="auto"/>
              <w:ind w:left="90"/>
              <w:rPr>
                <w:rFonts w:cs="Calibri"/>
                <w:b/>
                <w:bCs/>
              </w:rPr>
            </w:pPr>
            <w:r w:rsidRPr="00353381">
              <w:rPr>
                <w:rFonts w:cs="Calibri"/>
                <w:b/>
                <w:bCs/>
              </w:rPr>
              <w:t>1.6 Difference between the percentage of closed cases with employment outcomes that have</w:t>
            </w:r>
          </w:p>
          <w:p w14:paraId="194E5F8B" w14:textId="77777777" w:rsidR="00F30738" w:rsidRPr="00353381" w:rsidRDefault="00F30738" w:rsidP="00092297">
            <w:pPr>
              <w:widowControl w:val="0"/>
              <w:spacing w:before="3" w:after="0" w:line="240" w:lineRule="auto"/>
              <w:ind w:left="90"/>
              <w:rPr>
                <w:rFonts w:cs="Calibri"/>
                <w:b/>
                <w:bCs/>
              </w:rPr>
            </w:pPr>
            <w:r w:rsidRPr="00353381">
              <w:rPr>
                <w:rFonts w:cs="Calibri"/>
                <w:b/>
                <w:bCs/>
              </w:rPr>
              <w:t>a wage greater than or equal to the minimum wage that are self-support at application and the percentage of closed cases with employment outcomes that have a wage greater than or equal to the minimum wage that are self-support at closure</w:t>
            </w:r>
          </w:p>
        </w:tc>
        <w:tc>
          <w:tcPr>
            <w:tcW w:w="1433" w:type="dxa"/>
            <w:tcBorders>
              <w:top w:val="single" w:sz="2" w:space="0" w:color="231F20"/>
              <w:left w:val="single" w:sz="2" w:space="0" w:color="231F20"/>
              <w:bottom w:val="single" w:sz="2" w:space="0" w:color="231F20"/>
              <w:right w:val="single" w:sz="2" w:space="0" w:color="231F20"/>
            </w:tcBorders>
          </w:tcPr>
          <w:p w14:paraId="118D409D" w14:textId="77777777" w:rsidR="00092297" w:rsidRDefault="00092297" w:rsidP="00D63204">
            <w:pPr>
              <w:widowControl w:val="0"/>
              <w:spacing w:before="138" w:after="0" w:line="240" w:lineRule="auto"/>
              <w:ind w:left="90" w:firstLine="29"/>
              <w:rPr>
                <w:b/>
                <w:w w:val="115"/>
              </w:rPr>
            </w:pPr>
          </w:p>
          <w:p w14:paraId="5D7039CA" w14:textId="77777777" w:rsidR="00092297" w:rsidRDefault="00092297" w:rsidP="00D63204">
            <w:pPr>
              <w:widowControl w:val="0"/>
              <w:spacing w:before="138" w:after="0" w:line="240" w:lineRule="auto"/>
              <w:ind w:left="90" w:firstLine="29"/>
              <w:rPr>
                <w:b/>
                <w:w w:val="115"/>
              </w:rPr>
            </w:pPr>
          </w:p>
          <w:p w14:paraId="6EB42665" w14:textId="0152B82D" w:rsidR="00F30738" w:rsidRPr="00353381" w:rsidRDefault="00F30738" w:rsidP="00D63204">
            <w:pPr>
              <w:widowControl w:val="0"/>
              <w:spacing w:before="138" w:after="0" w:line="240" w:lineRule="auto"/>
              <w:ind w:left="90" w:firstLine="29"/>
              <w:rPr>
                <w:b/>
                <w:w w:val="115"/>
              </w:rPr>
            </w:pPr>
            <w:r w:rsidRPr="00353381">
              <w:rPr>
                <w:b/>
                <w:w w:val="115"/>
              </w:rPr>
              <w:t>40.67%</w:t>
            </w:r>
          </w:p>
        </w:tc>
        <w:tc>
          <w:tcPr>
            <w:tcW w:w="1517" w:type="dxa"/>
            <w:tcBorders>
              <w:top w:val="single" w:sz="2" w:space="0" w:color="231F20"/>
              <w:left w:val="single" w:sz="2" w:space="0" w:color="231F20"/>
              <w:bottom w:val="single" w:sz="2" w:space="0" w:color="231F20"/>
              <w:right w:val="single" w:sz="2" w:space="0" w:color="231F20"/>
            </w:tcBorders>
          </w:tcPr>
          <w:p w14:paraId="1031D4CD" w14:textId="77777777" w:rsidR="00F30738" w:rsidRPr="00353381" w:rsidRDefault="00F30738" w:rsidP="00D63204">
            <w:pPr>
              <w:widowControl w:val="0"/>
              <w:spacing w:before="138" w:after="0" w:line="240" w:lineRule="auto"/>
              <w:ind w:left="90" w:firstLine="586"/>
              <w:rPr>
                <w:b/>
                <w:w w:val="115"/>
              </w:rPr>
            </w:pPr>
          </w:p>
          <w:p w14:paraId="62BD635C" w14:textId="77777777" w:rsidR="00F30738" w:rsidRPr="00353381" w:rsidRDefault="00F30738" w:rsidP="00D63204">
            <w:pPr>
              <w:widowControl w:val="0"/>
              <w:spacing w:before="138" w:after="0" w:line="240" w:lineRule="auto"/>
              <w:ind w:left="90" w:firstLine="586"/>
              <w:rPr>
                <w:b/>
                <w:w w:val="115"/>
              </w:rPr>
            </w:pPr>
          </w:p>
          <w:p w14:paraId="428AA148" w14:textId="77777777" w:rsidR="00F30738" w:rsidRPr="00353381" w:rsidRDefault="00F30738" w:rsidP="00D63204">
            <w:pPr>
              <w:widowControl w:val="0"/>
              <w:spacing w:before="138" w:after="0" w:line="240" w:lineRule="auto"/>
              <w:ind w:left="90" w:firstLine="586"/>
              <w:rPr>
                <w:b/>
                <w:w w:val="115"/>
              </w:rPr>
            </w:pPr>
            <w:r w:rsidRPr="00353381">
              <w:rPr>
                <w:b/>
                <w:w w:val="115"/>
              </w:rPr>
              <w:t>45.25%</w:t>
            </w:r>
          </w:p>
        </w:tc>
        <w:tc>
          <w:tcPr>
            <w:tcW w:w="1350" w:type="dxa"/>
            <w:tcBorders>
              <w:top w:val="single" w:sz="2" w:space="0" w:color="231F20"/>
              <w:left w:val="single" w:sz="2" w:space="0" w:color="231F20"/>
              <w:bottom w:val="single" w:sz="2" w:space="0" w:color="231F20"/>
              <w:right w:val="single" w:sz="2" w:space="0" w:color="231F20"/>
            </w:tcBorders>
          </w:tcPr>
          <w:p w14:paraId="5B5A2318" w14:textId="77777777" w:rsidR="00F30738" w:rsidRPr="00353381" w:rsidRDefault="00F30738" w:rsidP="00D63204">
            <w:pPr>
              <w:widowControl w:val="0"/>
              <w:spacing w:before="3" w:after="0" w:line="240" w:lineRule="auto"/>
              <w:ind w:left="90"/>
              <w:rPr>
                <w:rFonts w:cs="Calibri"/>
                <w:b/>
                <w:bCs/>
              </w:rPr>
            </w:pPr>
          </w:p>
          <w:p w14:paraId="2C0124B0" w14:textId="4F2A4F41" w:rsidR="00F30738" w:rsidRPr="00353381" w:rsidRDefault="00B51D17" w:rsidP="00B51D17">
            <w:pPr>
              <w:widowControl w:val="0"/>
              <w:spacing w:before="3" w:after="0" w:line="240" w:lineRule="auto"/>
              <w:ind w:left="90"/>
              <w:rPr>
                <w:rFonts w:cs="Calibri"/>
                <w:b/>
                <w:bCs/>
              </w:rPr>
            </w:pPr>
            <w:r>
              <w:rPr>
                <w:rFonts w:cs="Calibri"/>
                <w:b/>
                <w:bCs/>
              </w:rPr>
              <w:br/>
            </w:r>
            <w:r>
              <w:rPr>
                <w:rFonts w:cs="Calibri"/>
                <w:b/>
                <w:bCs/>
              </w:rPr>
              <w:br/>
            </w:r>
          </w:p>
          <w:p w14:paraId="39276637" w14:textId="1561371D" w:rsidR="00092297" w:rsidRDefault="00F30738" w:rsidP="00D63204">
            <w:pPr>
              <w:widowControl w:val="0"/>
              <w:tabs>
                <w:tab w:val="right" w:pos="1153"/>
              </w:tabs>
              <w:spacing w:before="3" w:after="0" w:line="240" w:lineRule="auto"/>
              <w:rPr>
                <w:rFonts w:cs="Calibri"/>
                <w:b/>
                <w:bCs/>
              </w:rPr>
            </w:pPr>
            <w:r w:rsidRPr="00353381">
              <w:rPr>
                <w:rFonts w:cs="Calibri"/>
                <w:b/>
                <w:bCs/>
              </w:rPr>
              <w:t xml:space="preserve"> -11.26%</w:t>
            </w:r>
          </w:p>
          <w:p w14:paraId="5A8D5E5E" w14:textId="77777777" w:rsidR="00F30738" w:rsidRPr="00092297" w:rsidRDefault="00F30738" w:rsidP="00D63204">
            <w:pPr>
              <w:rPr>
                <w:rFonts w:cs="Calibri"/>
              </w:rPr>
            </w:pPr>
          </w:p>
        </w:tc>
        <w:tc>
          <w:tcPr>
            <w:tcW w:w="1079" w:type="dxa"/>
            <w:tcBorders>
              <w:top w:val="single" w:sz="2" w:space="0" w:color="231F20"/>
              <w:left w:val="single" w:sz="2" w:space="0" w:color="231F20"/>
              <w:bottom w:val="single" w:sz="2" w:space="0" w:color="231F20"/>
              <w:right w:val="single" w:sz="2" w:space="0" w:color="231F20"/>
            </w:tcBorders>
          </w:tcPr>
          <w:p w14:paraId="37891676" w14:textId="77777777" w:rsidR="00F30738" w:rsidRPr="00353381" w:rsidRDefault="00F30738" w:rsidP="00D63204">
            <w:pPr>
              <w:widowControl w:val="0"/>
              <w:spacing w:before="3" w:after="0" w:line="240" w:lineRule="auto"/>
              <w:ind w:left="90"/>
              <w:rPr>
                <w:rFonts w:cs="Calibri"/>
                <w:b/>
                <w:bCs/>
              </w:rPr>
            </w:pPr>
          </w:p>
          <w:p w14:paraId="212F757A" w14:textId="77777777" w:rsidR="00F30738" w:rsidRPr="00353381" w:rsidRDefault="00F30738" w:rsidP="00D63204">
            <w:pPr>
              <w:widowControl w:val="0"/>
              <w:spacing w:before="3" w:after="0" w:line="240" w:lineRule="auto"/>
              <w:ind w:left="90"/>
              <w:rPr>
                <w:rFonts w:cs="Calibri"/>
                <w:b/>
                <w:bCs/>
              </w:rPr>
            </w:pPr>
          </w:p>
          <w:p w14:paraId="34BA7D2C" w14:textId="77777777" w:rsidR="00F30738" w:rsidRPr="00353381" w:rsidRDefault="00F30738" w:rsidP="00D63204">
            <w:pPr>
              <w:widowControl w:val="0"/>
              <w:spacing w:before="3" w:after="0" w:line="240" w:lineRule="auto"/>
              <w:ind w:left="90"/>
              <w:rPr>
                <w:rFonts w:cs="Calibri"/>
                <w:b/>
                <w:bCs/>
              </w:rPr>
            </w:pPr>
          </w:p>
          <w:p w14:paraId="7160CF22" w14:textId="77777777" w:rsidR="00F30738" w:rsidRPr="00353381" w:rsidRDefault="00F30738" w:rsidP="00D63204">
            <w:pPr>
              <w:widowControl w:val="0"/>
              <w:spacing w:before="3" w:after="0" w:line="240" w:lineRule="auto"/>
              <w:ind w:left="90"/>
              <w:rPr>
                <w:rFonts w:cs="Calibri"/>
                <w:b/>
                <w:bCs/>
              </w:rPr>
            </w:pPr>
          </w:p>
          <w:p w14:paraId="29F73680" w14:textId="77777777" w:rsidR="00F30738" w:rsidRPr="00353381" w:rsidRDefault="00F30738" w:rsidP="00D63204">
            <w:pPr>
              <w:widowControl w:val="0"/>
              <w:spacing w:before="3" w:after="0" w:line="240" w:lineRule="auto"/>
              <w:ind w:left="90"/>
              <w:rPr>
                <w:rFonts w:cs="Calibri"/>
                <w:b/>
                <w:bCs/>
              </w:rPr>
            </w:pPr>
            <w:r w:rsidRPr="00353381">
              <w:rPr>
                <w:rFonts w:cs="Calibri"/>
                <w:b/>
                <w:bCs/>
              </w:rPr>
              <w:t>Met</w:t>
            </w:r>
          </w:p>
        </w:tc>
      </w:tr>
      <w:tr w:rsidR="00F30738" w:rsidRPr="00353381" w14:paraId="252E8EEE" w14:textId="77777777" w:rsidTr="00092297">
        <w:trPr>
          <w:trHeight w:hRule="exact" w:val="1076"/>
          <w:jc w:val="center"/>
        </w:trPr>
        <w:tc>
          <w:tcPr>
            <w:tcW w:w="4787" w:type="dxa"/>
            <w:tcBorders>
              <w:top w:val="single" w:sz="2" w:space="0" w:color="231F20"/>
              <w:left w:val="single" w:sz="2" w:space="0" w:color="231F20"/>
              <w:bottom w:val="single" w:sz="2" w:space="0" w:color="231F20"/>
              <w:right w:val="single" w:sz="2" w:space="0" w:color="231F20"/>
            </w:tcBorders>
            <w:shd w:val="clear" w:color="auto" w:fill="E6E7E8"/>
          </w:tcPr>
          <w:p w14:paraId="757439D4" w14:textId="77777777" w:rsidR="00F30738" w:rsidRPr="00353381" w:rsidRDefault="00F30738" w:rsidP="00092297">
            <w:pPr>
              <w:widowControl w:val="0"/>
              <w:spacing w:before="3" w:after="0" w:line="240" w:lineRule="auto"/>
              <w:ind w:left="90"/>
              <w:rPr>
                <w:rFonts w:cs="Calibri"/>
                <w:b/>
                <w:bCs/>
              </w:rPr>
            </w:pPr>
            <w:r w:rsidRPr="00353381">
              <w:rPr>
                <w:rFonts w:cs="Calibri"/>
                <w:b/>
                <w:bCs/>
              </w:rPr>
              <w:t>2.1 Ratio of minority service rate to non-minority service rate</w:t>
            </w:r>
          </w:p>
        </w:tc>
        <w:tc>
          <w:tcPr>
            <w:tcW w:w="1433" w:type="dxa"/>
            <w:tcBorders>
              <w:top w:val="single" w:sz="2" w:space="0" w:color="231F20"/>
              <w:left w:val="single" w:sz="2" w:space="0" w:color="231F20"/>
              <w:bottom w:val="single" w:sz="2" w:space="0" w:color="231F20"/>
              <w:right w:val="single" w:sz="2" w:space="0" w:color="231F20"/>
            </w:tcBorders>
            <w:shd w:val="clear" w:color="auto" w:fill="E6E7E8"/>
          </w:tcPr>
          <w:p w14:paraId="06DB702E" w14:textId="0D731E75" w:rsidR="00F30738" w:rsidRPr="00353381" w:rsidRDefault="00092297" w:rsidP="00D63204">
            <w:pPr>
              <w:widowControl w:val="0"/>
              <w:spacing w:before="138" w:after="0" w:line="240" w:lineRule="auto"/>
              <w:ind w:left="90" w:firstLine="590"/>
              <w:rPr>
                <w:b/>
                <w:w w:val="115"/>
              </w:rPr>
            </w:pPr>
            <w:r>
              <w:rPr>
                <w:b/>
                <w:w w:val="115"/>
              </w:rPr>
              <w:br/>
            </w:r>
            <w:r w:rsidR="00F30738" w:rsidRPr="00353381">
              <w:rPr>
                <w:b/>
                <w:w w:val="115"/>
              </w:rPr>
              <w:t>.96</w:t>
            </w:r>
          </w:p>
        </w:tc>
        <w:tc>
          <w:tcPr>
            <w:tcW w:w="1517" w:type="dxa"/>
            <w:tcBorders>
              <w:top w:val="single" w:sz="2" w:space="0" w:color="231F20"/>
              <w:left w:val="single" w:sz="2" w:space="0" w:color="231F20"/>
              <w:bottom w:val="single" w:sz="2" w:space="0" w:color="231F20"/>
              <w:right w:val="single" w:sz="2" w:space="0" w:color="231F20"/>
            </w:tcBorders>
            <w:shd w:val="clear" w:color="auto" w:fill="E6E7E8"/>
          </w:tcPr>
          <w:p w14:paraId="50524D5D" w14:textId="3A9B07A3" w:rsidR="00F30738" w:rsidRPr="00353381" w:rsidRDefault="00092297" w:rsidP="00D63204">
            <w:pPr>
              <w:widowControl w:val="0"/>
              <w:spacing w:before="138" w:after="0" w:line="240" w:lineRule="auto"/>
              <w:ind w:left="90" w:firstLine="586"/>
              <w:rPr>
                <w:b/>
                <w:w w:val="115"/>
              </w:rPr>
            </w:pPr>
            <w:r>
              <w:rPr>
                <w:b/>
                <w:w w:val="115"/>
              </w:rPr>
              <w:br/>
            </w:r>
            <w:r w:rsidR="00F30738" w:rsidRPr="00353381">
              <w:rPr>
                <w:b/>
                <w:w w:val="115"/>
              </w:rPr>
              <w:t>0.91</w:t>
            </w:r>
          </w:p>
        </w:tc>
        <w:tc>
          <w:tcPr>
            <w:tcW w:w="1350" w:type="dxa"/>
            <w:tcBorders>
              <w:top w:val="single" w:sz="2" w:space="0" w:color="231F20"/>
              <w:left w:val="single" w:sz="2" w:space="0" w:color="231F20"/>
              <w:bottom w:val="single" w:sz="2" w:space="0" w:color="231F20"/>
              <w:right w:val="single" w:sz="2" w:space="0" w:color="231F20"/>
            </w:tcBorders>
            <w:shd w:val="clear" w:color="auto" w:fill="E6E7E8"/>
          </w:tcPr>
          <w:p w14:paraId="35CB332D" w14:textId="6C1E645E" w:rsidR="00F30738" w:rsidRPr="00353381" w:rsidRDefault="00092297" w:rsidP="00D63204">
            <w:pPr>
              <w:widowControl w:val="0"/>
              <w:spacing w:before="3" w:after="0" w:line="240" w:lineRule="auto"/>
              <w:ind w:left="90"/>
              <w:rPr>
                <w:rFonts w:cs="Calibri"/>
                <w:b/>
                <w:bCs/>
              </w:rPr>
            </w:pPr>
            <w:r>
              <w:rPr>
                <w:rFonts w:cs="Calibri"/>
                <w:b/>
                <w:bCs/>
              </w:rPr>
              <w:br/>
            </w:r>
          </w:p>
          <w:p w14:paraId="4F770CC1" w14:textId="77777777" w:rsidR="00F30738" w:rsidRPr="00353381" w:rsidRDefault="00F30738" w:rsidP="00D63204">
            <w:pPr>
              <w:widowControl w:val="0"/>
              <w:spacing w:before="3" w:after="0" w:line="240" w:lineRule="auto"/>
              <w:ind w:left="90"/>
              <w:rPr>
                <w:rFonts w:cs="Calibri"/>
                <w:b/>
                <w:bCs/>
              </w:rPr>
            </w:pPr>
            <w:r w:rsidRPr="00353381">
              <w:rPr>
                <w:rFonts w:cs="Calibri"/>
                <w:b/>
                <w:bCs/>
              </w:rPr>
              <w:t>5.21</w:t>
            </w:r>
          </w:p>
        </w:tc>
        <w:tc>
          <w:tcPr>
            <w:tcW w:w="1079" w:type="dxa"/>
            <w:tcBorders>
              <w:top w:val="single" w:sz="2" w:space="0" w:color="231F20"/>
              <w:left w:val="single" w:sz="2" w:space="0" w:color="231F20"/>
              <w:bottom w:val="single" w:sz="2" w:space="0" w:color="231F20"/>
              <w:right w:val="single" w:sz="2" w:space="0" w:color="231F20"/>
            </w:tcBorders>
            <w:shd w:val="clear" w:color="auto" w:fill="E6E7E8"/>
          </w:tcPr>
          <w:p w14:paraId="25313164" w14:textId="4D9A79A2" w:rsidR="00F30738" w:rsidRPr="00353381" w:rsidRDefault="00092297" w:rsidP="00D63204">
            <w:pPr>
              <w:widowControl w:val="0"/>
              <w:spacing w:before="3" w:after="0" w:line="240" w:lineRule="auto"/>
              <w:ind w:left="90"/>
              <w:rPr>
                <w:rFonts w:cs="Calibri"/>
                <w:b/>
                <w:bCs/>
              </w:rPr>
            </w:pPr>
            <w:r>
              <w:rPr>
                <w:rFonts w:cs="Calibri"/>
                <w:b/>
                <w:bCs/>
              </w:rPr>
              <w:br/>
            </w:r>
          </w:p>
          <w:p w14:paraId="6B4084AB" w14:textId="77777777" w:rsidR="00F30738" w:rsidRPr="00353381" w:rsidRDefault="00F30738" w:rsidP="00D63204">
            <w:pPr>
              <w:widowControl w:val="0"/>
              <w:spacing w:before="3" w:after="0" w:line="240" w:lineRule="auto"/>
              <w:ind w:left="90"/>
              <w:rPr>
                <w:rFonts w:cs="Calibri"/>
                <w:b/>
                <w:bCs/>
              </w:rPr>
            </w:pPr>
            <w:r w:rsidRPr="00353381">
              <w:rPr>
                <w:rFonts w:cs="Calibri"/>
                <w:b/>
                <w:bCs/>
              </w:rPr>
              <w:t>Met</w:t>
            </w:r>
          </w:p>
        </w:tc>
      </w:tr>
    </w:tbl>
    <w:p w14:paraId="40DD23FA" w14:textId="77777777" w:rsidR="00092297" w:rsidRDefault="00092297" w:rsidP="00B61075">
      <w:pPr>
        <w:spacing w:line="240" w:lineRule="auto"/>
      </w:pPr>
    </w:p>
    <w:p w14:paraId="4731DD0C" w14:textId="04FEDFD2" w:rsidR="00F30738" w:rsidRPr="00353381" w:rsidRDefault="00F30738" w:rsidP="00D63204">
      <w:pPr>
        <w:spacing w:line="240" w:lineRule="auto"/>
        <w:ind w:left="90"/>
      </w:pPr>
      <w:r w:rsidRPr="00353381">
        <w:t xml:space="preserve">FDBS did not meet Standard 1.2. According to the Rehabilitation Services Administration, factors attributing to not meeting the 1.2 standard are as follows: </w:t>
      </w:r>
    </w:p>
    <w:p w14:paraId="16BEA6F8" w14:textId="285FE191" w:rsidR="00F30738" w:rsidRDefault="00F30738" w:rsidP="00D63204">
      <w:pPr>
        <w:pStyle w:val="ListParagraph"/>
        <w:numPr>
          <w:ilvl w:val="0"/>
          <w:numId w:val="75"/>
        </w:numPr>
        <w:spacing w:line="240" w:lineRule="auto"/>
      </w:pPr>
      <w:r w:rsidRPr="00353381">
        <w:t xml:space="preserve">Changes in the make-up of the agency’s caseload </w:t>
      </w:r>
    </w:p>
    <w:p w14:paraId="015D4921" w14:textId="77777777" w:rsidR="00092297" w:rsidRPr="00353381" w:rsidRDefault="00092297" w:rsidP="00D63204">
      <w:pPr>
        <w:pStyle w:val="ListParagraph"/>
        <w:spacing w:line="240" w:lineRule="auto"/>
        <w:ind w:left="810"/>
      </w:pPr>
    </w:p>
    <w:p w14:paraId="2B18420D" w14:textId="78EC416A" w:rsidR="00F30738" w:rsidRDefault="00F30738" w:rsidP="00D63204">
      <w:pPr>
        <w:pStyle w:val="ListParagraph"/>
        <w:numPr>
          <w:ilvl w:val="0"/>
          <w:numId w:val="75"/>
        </w:numPr>
        <w:spacing w:line="240" w:lineRule="auto"/>
      </w:pPr>
      <w:r w:rsidRPr="00353381">
        <w:t xml:space="preserve">Counselor/consumer contact </w:t>
      </w:r>
    </w:p>
    <w:p w14:paraId="1A968495" w14:textId="77777777" w:rsidR="00092297" w:rsidRPr="00353381" w:rsidRDefault="00092297" w:rsidP="00D63204">
      <w:pPr>
        <w:pStyle w:val="ListParagraph"/>
        <w:spacing w:line="240" w:lineRule="auto"/>
        <w:ind w:left="810"/>
      </w:pPr>
    </w:p>
    <w:p w14:paraId="5CAAAAE9" w14:textId="441A800D" w:rsidR="00F30738" w:rsidRDefault="00F30738" w:rsidP="00D63204">
      <w:pPr>
        <w:pStyle w:val="ListParagraph"/>
        <w:numPr>
          <w:ilvl w:val="0"/>
          <w:numId w:val="75"/>
        </w:numPr>
        <w:spacing w:line="240" w:lineRule="auto"/>
      </w:pPr>
      <w:r w:rsidRPr="00353381">
        <w:t xml:space="preserve">Appropriateness of employment plans </w:t>
      </w:r>
    </w:p>
    <w:p w14:paraId="47AF460B" w14:textId="77777777" w:rsidR="00092297" w:rsidRPr="00353381" w:rsidRDefault="00092297" w:rsidP="00D63204">
      <w:pPr>
        <w:pStyle w:val="ListParagraph"/>
        <w:spacing w:line="240" w:lineRule="auto"/>
        <w:ind w:left="810"/>
      </w:pPr>
    </w:p>
    <w:p w14:paraId="1A6BA3B5" w14:textId="613F0CCC" w:rsidR="00F30738" w:rsidRPr="00353381" w:rsidRDefault="00F30738" w:rsidP="00D63204">
      <w:pPr>
        <w:pStyle w:val="ListParagraph"/>
        <w:numPr>
          <w:ilvl w:val="0"/>
          <w:numId w:val="75"/>
        </w:numPr>
        <w:spacing w:line="240" w:lineRule="auto"/>
      </w:pPr>
      <w:r w:rsidRPr="00353381">
        <w:t>Quality of job development</w:t>
      </w:r>
    </w:p>
    <w:p w14:paraId="2E742248" w14:textId="77777777" w:rsidR="00F30738" w:rsidRPr="00353381" w:rsidRDefault="00F30738" w:rsidP="00D63204">
      <w:pPr>
        <w:spacing w:line="240" w:lineRule="auto"/>
        <w:ind w:left="90"/>
      </w:pPr>
      <w:r w:rsidRPr="00353381">
        <w:t xml:space="preserve">FDBS has specifically identified the following factors as further contributing to the outcome and not meeting Standard 1.2: </w:t>
      </w:r>
    </w:p>
    <w:p w14:paraId="38540198" w14:textId="45B6C666" w:rsidR="00F30738" w:rsidRDefault="00F30738" w:rsidP="00D63204">
      <w:pPr>
        <w:pStyle w:val="ListParagraph"/>
        <w:numPr>
          <w:ilvl w:val="0"/>
          <w:numId w:val="75"/>
        </w:numPr>
        <w:spacing w:line="240" w:lineRule="auto"/>
      </w:pPr>
      <w:r w:rsidRPr="00353381">
        <w:t xml:space="preserve">Clients refusing services or not needing further services; </w:t>
      </w:r>
    </w:p>
    <w:p w14:paraId="0FE60270" w14:textId="77777777" w:rsidR="00092297" w:rsidRPr="00353381" w:rsidRDefault="00092297" w:rsidP="00D63204">
      <w:pPr>
        <w:pStyle w:val="ListParagraph"/>
        <w:spacing w:line="240" w:lineRule="auto"/>
        <w:ind w:left="810"/>
      </w:pPr>
    </w:p>
    <w:p w14:paraId="09CDEB1B" w14:textId="6ADD5E97" w:rsidR="00F30738" w:rsidRDefault="00F30738" w:rsidP="00D63204">
      <w:pPr>
        <w:pStyle w:val="ListParagraph"/>
        <w:numPr>
          <w:ilvl w:val="0"/>
          <w:numId w:val="75"/>
        </w:numPr>
        <w:spacing w:line="240" w:lineRule="auto"/>
      </w:pPr>
      <w:r w:rsidRPr="00353381">
        <w:t xml:space="preserve">Inability to locate or contact clients; </w:t>
      </w:r>
    </w:p>
    <w:p w14:paraId="4982A68A" w14:textId="77777777" w:rsidR="00092297" w:rsidRPr="00353381" w:rsidRDefault="00092297" w:rsidP="00D63204">
      <w:pPr>
        <w:pStyle w:val="ListParagraph"/>
        <w:spacing w:line="240" w:lineRule="auto"/>
        <w:ind w:left="810"/>
      </w:pPr>
    </w:p>
    <w:p w14:paraId="3BC117D7" w14:textId="6B3FCA84" w:rsidR="00F30738" w:rsidRDefault="00F30738" w:rsidP="00D63204">
      <w:pPr>
        <w:pStyle w:val="ListParagraph"/>
        <w:numPr>
          <w:ilvl w:val="0"/>
          <w:numId w:val="75"/>
        </w:numPr>
        <w:spacing w:line="240" w:lineRule="auto"/>
      </w:pPr>
      <w:r w:rsidRPr="00353381">
        <w:t xml:space="preserve">Clients’ relocation out of state; </w:t>
      </w:r>
    </w:p>
    <w:p w14:paraId="094925F7" w14:textId="77777777" w:rsidR="00092297" w:rsidRPr="00353381" w:rsidRDefault="00092297" w:rsidP="00D63204">
      <w:pPr>
        <w:pStyle w:val="ListParagraph"/>
        <w:spacing w:line="240" w:lineRule="auto"/>
        <w:ind w:left="810"/>
      </w:pPr>
    </w:p>
    <w:p w14:paraId="79BC734F" w14:textId="67F47B44" w:rsidR="00F30738" w:rsidRDefault="00F30738" w:rsidP="00D63204">
      <w:pPr>
        <w:pStyle w:val="ListParagraph"/>
        <w:numPr>
          <w:ilvl w:val="0"/>
          <w:numId w:val="75"/>
        </w:numPr>
        <w:spacing w:line="240" w:lineRule="auto"/>
      </w:pPr>
      <w:r w:rsidRPr="00353381">
        <w:t xml:space="preserve">Staff vacancies; </w:t>
      </w:r>
    </w:p>
    <w:p w14:paraId="2929D9B0" w14:textId="77777777" w:rsidR="00092297" w:rsidRPr="00353381" w:rsidRDefault="00092297" w:rsidP="00D63204">
      <w:pPr>
        <w:pStyle w:val="ListParagraph"/>
        <w:spacing w:line="240" w:lineRule="auto"/>
        <w:ind w:left="810"/>
      </w:pPr>
    </w:p>
    <w:p w14:paraId="4DA0A698" w14:textId="767A33CF" w:rsidR="00F30738" w:rsidRDefault="00F30738" w:rsidP="00D63204">
      <w:pPr>
        <w:pStyle w:val="ListParagraph"/>
        <w:numPr>
          <w:ilvl w:val="0"/>
          <w:numId w:val="75"/>
        </w:numPr>
        <w:spacing w:line="240" w:lineRule="auto"/>
      </w:pPr>
      <w:r w:rsidRPr="00353381">
        <w:t xml:space="preserve">Amount of time it takes to train new employment placement staff; </w:t>
      </w:r>
    </w:p>
    <w:p w14:paraId="4922819D" w14:textId="77777777" w:rsidR="00092297" w:rsidRPr="00353381" w:rsidRDefault="00092297" w:rsidP="00D63204">
      <w:pPr>
        <w:pStyle w:val="ListParagraph"/>
        <w:spacing w:line="240" w:lineRule="auto"/>
        <w:ind w:left="810"/>
      </w:pPr>
    </w:p>
    <w:p w14:paraId="2723E9AA" w14:textId="59E857D4" w:rsidR="00F30738" w:rsidRDefault="00F30738" w:rsidP="00D63204">
      <w:pPr>
        <w:pStyle w:val="ListParagraph"/>
        <w:numPr>
          <w:ilvl w:val="0"/>
          <w:numId w:val="75"/>
        </w:numPr>
        <w:spacing w:line="240" w:lineRule="auto"/>
      </w:pPr>
      <w:r w:rsidRPr="00353381">
        <w:t xml:space="preserve">Employer resistance to hiring individuals with disabilities; </w:t>
      </w:r>
    </w:p>
    <w:p w14:paraId="417E5248" w14:textId="77777777" w:rsidR="00092297" w:rsidRPr="00353381" w:rsidRDefault="00092297" w:rsidP="00D63204">
      <w:pPr>
        <w:pStyle w:val="ListParagraph"/>
        <w:spacing w:line="240" w:lineRule="auto"/>
        <w:ind w:left="810"/>
      </w:pPr>
    </w:p>
    <w:p w14:paraId="27C7ED6F" w14:textId="05C0527C" w:rsidR="00F30738" w:rsidRDefault="00F30738" w:rsidP="00D63204">
      <w:pPr>
        <w:pStyle w:val="ListParagraph"/>
        <w:numPr>
          <w:ilvl w:val="0"/>
          <w:numId w:val="75"/>
        </w:numPr>
        <w:spacing w:line="240" w:lineRule="auto"/>
      </w:pPr>
      <w:r w:rsidRPr="00353381">
        <w:t xml:space="preserve">Increase in the number of individuals pursuing </w:t>
      </w:r>
      <w:r w:rsidR="00600A6C">
        <w:t>postsecondary</w:t>
      </w:r>
      <w:r w:rsidRPr="00353381">
        <w:t xml:space="preserve"> training instead of employment; and </w:t>
      </w:r>
    </w:p>
    <w:p w14:paraId="175E2837" w14:textId="77777777" w:rsidR="00092297" w:rsidRDefault="00092297" w:rsidP="00092297">
      <w:pPr>
        <w:pStyle w:val="ListParagraph"/>
      </w:pPr>
    </w:p>
    <w:p w14:paraId="3BEC8A86" w14:textId="4EA15A32" w:rsidR="00F30738" w:rsidRPr="00353381" w:rsidRDefault="00F30738" w:rsidP="00D63204">
      <w:pPr>
        <w:pStyle w:val="ListParagraph"/>
        <w:numPr>
          <w:ilvl w:val="0"/>
          <w:numId w:val="75"/>
        </w:numPr>
        <w:spacing w:line="240" w:lineRule="auto"/>
      </w:pPr>
      <w:r w:rsidRPr="00353381">
        <w:t>Competing between securing employment and maintaining Social Security benefits.</w:t>
      </w:r>
    </w:p>
    <w:p w14:paraId="2816A16D" w14:textId="3B04DBE8" w:rsidR="00EA7458" w:rsidRPr="00353381" w:rsidRDefault="00EA7458" w:rsidP="00E567C2">
      <w:pPr>
        <w:widowControl w:val="0"/>
        <w:spacing w:after="0" w:line="240" w:lineRule="auto"/>
        <w:sectPr w:rsidR="00EA7458" w:rsidRPr="00353381">
          <w:footerReference w:type="default" r:id="rId196"/>
          <w:pgSz w:w="12240" w:h="15840"/>
          <w:pgMar w:top="1620" w:right="900" w:bottom="820" w:left="900" w:header="812" w:footer="624" w:gutter="0"/>
          <w:cols w:space="720"/>
        </w:sectPr>
      </w:pPr>
    </w:p>
    <w:p w14:paraId="073B96C9" w14:textId="77777777" w:rsidR="00EA7458" w:rsidRPr="00353381" w:rsidRDefault="00EA7458" w:rsidP="00E567C2">
      <w:pPr>
        <w:widowControl w:val="0"/>
        <w:spacing w:before="4" w:after="0" w:line="240" w:lineRule="auto"/>
        <w:rPr>
          <w:rFonts w:cs="Calibri"/>
        </w:rPr>
      </w:pPr>
    </w:p>
    <w:p w14:paraId="19FC1B26" w14:textId="77777777" w:rsidR="00F30738" w:rsidRPr="00353381" w:rsidRDefault="00F30738" w:rsidP="00D63204">
      <w:pPr>
        <w:spacing w:after="0" w:line="240" w:lineRule="auto"/>
        <w:ind w:left="90"/>
        <w:rPr>
          <w:b/>
        </w:rPr>
      </w:pPr>
      <w:r w:rsidRPr="00353381">
        <w:rPr>
          <w:b/>
        </w:rPr>
        <w:t xml:space="preserve">Innovation and Expansion </w:t>
      </w:r>
    </w:p>
    <w:p w14:paraId="77AA3600" w14:textId="1F790951" w:rsidR="00F30738" w:rsidRPr="00353381" w:rsidRDefault="00F30738" w:rsidP="00D63204">
      <w:pPr>
        <w:spacing w:line="240" w:lineRule="auto"/>
        <w:ind w:left="90"/>
      </w:pPr>
      <w:r w:rsidRPr="00353381">
        <w:t>Innovation and expansion funds were used in FFY 2016-2017 to support FRCB. The following table indicates the expenses for the FRCB meetings that occurred during this period</w:t>
      </w:r>
      <w:r w:rsidR="005E7C49">
        <w:t xml:space="preserve">. </w:t>
      </w:r>
    </w:p>
    <w:p w14:paraId="0F9B895B" w14:textId="49C1FB9F" w:rsidR="00CF7044" w:rsidRDefault="00A44FCB" w:rsidP="00D63204">
      <w:pPr>
        <w:spacing w:line="240" w:lineRule="auto"/>
        <w:ind w:left="90"/>
        <w:rPr>
          <w:b/>
          <w:bCs/>
        </w:rPr>
      </w:pPr>
      <w:bookmarkStart w:id="197" w:name="_Hlk503881348"/>
      <w:r>
        <w:rPr>
          <w:b/>
          <w:bCs/>
        </w:rPr>
        <w:t>Figure 10.14</w:t>
      </w:r>
      <w:r w:rsidR="00CF7044">
        <w:rPr>
          <w:b/>
          <w:bCs/>
        </w:rPr>
        <w:br/>
        <w:t>FRCB Meeting Expenses</w:t>
      </w:r>
    </w:p>
    <w:tbl>
      <w:tblPr>
        <w:tblW w:w="0" w:type="auto"/>
        <w:jc w:val="center"/>
        <w:tblCellMar>
          <w:left w:w="0" w:type="dxa"/>
          <w:right w:w="0" w:type="dxa"/>
        </w:tblCellMar>
        <w:tblLook w:val="04A0" w:firstRow="1" w:lastRow="0" w:firstColumn="1" w:lastColumn="0" w:noHBand="0" w:noVBand="1"/>
        <w:tblCaption w:val="FRCB Expense Chart October 2016-September 2017"/>
      </w:tblPr>
      <w:tblGrid>
        <w:gridCol w:w="1140"/>
        <w:gridCol w:w="766"/>
        <w:gridCol w:w="766"/>
        <w:gridCol w:w="566"/>
        <w:gridCol w:w="563"/>
        <w:gridCol w:w="766"/>
        <w:gridCol w:w="644"/>
        <w:gridCol w:w="766"/>
        <w:gridCol w:w="766"/>
        <w:gridCol w:w="847"/>
        <w:gridCol w:w="766"/>
        <w:gridCol w:w="644"/>
        <w:gridCol w:w="564"/>
        <w:gridCol w:w="856"/>
      </w:tblGrid>
      <w:tr w:rsidR="00D8267E" w14:paraId="74639B88" w14:textId="77777777" w:rsidTr="00F55C20">
        <w:trPr>
          <w:trHeight w:hRule="exact" w:val="572"/>
          <w:tblHeader/>
          <w:jc w:val="center"/>
        </w:trPr>
        <w:tc>
          <w:tcPr>
            <w:tcW w:w="0" w:type="auto"/>
            <w:tcBorders>
              <w:top w:val="single" w:sz="8" w:space="0" w:color="auto"/>
              <w:left w:val="single" w:sz="8" w:space="0" w:color="auto"/>
              <w:bottom w:val="single" w:sz="8" w:space="0" w:color="auto"/>
              <w:right w:val="single" w:sz="8" w:space="0" w:color="auto"/>
            </w:tcBorders>
            <w:shd w:val="clear" w:color="auto" w:fill="auto"/>
            <w:tcMar>
              <w:top w:w="0" w:type="dxa"/>
              <w:left w:w="108" w:type="dxa"/>
              <w:bottom w:w="0" w:type="dxa"/>
              <w:right w:w="108" w:type="dxa"/>
            </w:tcMar>
            <w:vAlign w:val="center"/>
            <w:hideMark/>
          </w:tcPr>
          <w:p w14:paraId="5CF1128B" w14:textId="77777777" w:rsidR="00CF7044" w:rsidRPr="00D8267E" w:rsidRDefault="00CF7044" w:rsidP="00D63204">
            <w:pPr>
              <w:spacing w:line="240" w:lineRule="auto"/>
              <w:ind w:left="-120"/>
              <w:rPr>
                <w:rFonts w:cstheme="minorHAnsi"/>
                <w:b/>
                <w:bCs/>
                <w:sz w:val="16"/>
                <w:szCs w:val="16"/>
              </w:rPr>
            </w:pPr>
            <w:r w:rsidRPr="00D8267E">
              <w:rPr>
                <w:rFonts w:cstheme="minorHAnsi"/>
                <w:b/>
                <w:bCs/>
                <w:sz w:val="16"/>
                <w:szCs w:val="16"/>
              </w:rPr>
              <w:t>Expense Category</w:t>
            </w:r>
          </w:p>
        </w:tc>
        <w:tc>
          <w:tcPr>
            <w:tcW w:w="0" w:type="auto"/>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14:paraId="276137F6" w14:textId="77777777" w:rsidR="00CF7044" w:rsidRPr="00D8267E" w:rsidRDefault="00CF7044" w:rsidP="00D63204">
            <w:pPr>
              <w:spacing w:line="240" w:lineRule="auto"/>
              <w:ind w:left="-120"/>
              <w:rPr>
                <w:rFonts w:cstheme="minorHAnsi"/>
                <w:b/>
                <w:bCs/>
                <w:sz w:val="16"/>
                <w:szCs w:val="16"/>
              </w:rPr>
            </w:pPr>
            <w:r w:rsidRPr="00D8267E">
              <w:rPr>
                <w:rFonts w:cstheme="minorHAnsi"/>
                <w:b/>
                <w:bCs/>
                <w:sz w:val="16"/>
                <w:szCs w:val="16"/>
              </w:rPr>
              <w:t>Oct-16</w:t>
            </w:r>
          </w:p>
        </w:tc>
        <w:tc>
          <w:tcPr>
            <w:tcW w:w="0" w:type="auto"/>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14:paraId="57ACAD8F" w14:textId="77777777" w:rsidR="00CF7044" w:rsidRPr="00D8267E" w:rsidRDefault="00CF7044" w:rsidP="00D63204">
            <w:pPr>
              <w:spacing w:line="240" w:lineRule="auto"/>
              <w:ind w:left="-120"/>
              <w:rPr>
                <w:rFonts w:cstheme="minorHAnsi"/>
                <w:b/>
                <w:bCs/>
                <w:sz w:val="16"/>
                <w:szCs w:val="16"/>
              </w:rPr>
            </w:pPr>
            <w:r w:rsidRPr="00D8267E">
              <w:rPr>
                <w:rFonts w:cstheme="minorHAnsi"/>
                <w:b/>
                <w:bCs/>
                <w:sz w:val="16"/>
                <w:szCs w:val="16"/>
              </w:rPr>
              <w:t>Nov-16</w:t>
            </w:r>
          </w:p>
        </w:tc>
        <w:tc>
          <w:tcPr>
            <w:tcW w:w="0" w:type="auto"/>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14:paraId="168B34F2" w14:textId="77777777" w:rsidR="00CF7044" w:rsidRPr="00D8267E" w:rsidRDefault="00CF7044" w:rsidP="00D63204">
            <w:pPr>
              <w:spacing w:line="240" w:lineRule="auto"/>
              <w:ind w:left="-120"/>
              <w:rPr>
                <w:rFonts w:cstheme="minorHAnsi"/>
                <w:b/>
                <w:bCs/>
                <w:sz w:val="16"/>
                <w:szCs w:val="16"/>
              </w:rPr>
            </w:pPr>
            <w:r w:rsidRPr="00D8267E">
              <w:rPr>
                <w:rFonts w:cstheme="minorHAnsi"/>
                <w:b/>
                <w:bCs/>
                <w:sz w:val="16"/>
                <w:szCs w:val="16"/>
              </w:rPr>
              <w:t>Dec-16</w:t>
            </w:r>
          </w:p>
        </w:tc>
        <w:tc>
          <w:tcPr>
            <w:tcW w:w="0" w:type="auto"/>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14:paraId="757AF443" w14:textId="77777777" w:rsidR="00CF7044" w:rsidRPr="00D8267E" w:rsidRDefault="00CF7044" w:rsidP="00D63204">
            <w:pPr>
              <w:spacing w:line="240" w:lineRule="auto"/>
              <w:ind w:left="-120"/>
              <w:rPr>
                <w:rFonts w:cstheme="minorHAnsi"/>
                <w:b/>
                <w:bCs/>
                <w:sz w:val="16"/>
                <w:szCs w:val="16"/>
              </w:rPr>
            </w:pPr>
            <w:r w:rsidRPr="00D8267E">
              <w:rPr>
                <w:rFonts w:cstheme="minorHAnsi"/>
                <w:b/>
                <w:bCs/>
                <w:sz w:val="16"/>
                <w:szCs w:val="16"/>
              </w:rPr>
              <w:t>Jan-17</w:t>
            </w:r>
          </w:p>
        </w:tc>
        <w:tc>
          <w:tcPr>
            <w:tcW w:w="0" w:type="auto"/>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14:paraId="08F9B211" w14:textId="77777777" w:rsidR="00CF7044" w:rsidRPr="00D8267E" w:rsidRDefault="00CF7044" w:rsidP="00D63204">
            <w:pPr>
              <w:spacing w:line="240" w:lineRule="auto"/>
              <w:ind w:left="-120"/>
              <w:rPr>
                <w:rFonts w:cstheme="minorHAnsi"/>
                <w:b/>
                <w:bCs/>
                <w:sz w:val="16"/>
                <w:szCs w:val="16"/>
              </w:rPr>
            </w:pPr>
            <w:r w:rsidRPr="00D8267E">
              <w:rPr>
                <w:rFonts w:cstheme="minorHAnsi"/>
                <w:b/>
                <w:bCs/>
                <w:sz w:val="16"/>
                <w:szCs w:val="16"/>
              </w:rPr>
              <w:t>Feb-17</w:t>
            </w:r>
          </w:p>
        </w:tc>
        <w:tc>
          <w:tcPr>
            <w:tcW w:w="0" w:type="auto"/>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14:paraId="6E30F63D" w14:textId="77777777" w:rsidR="00CF7044" w:rsidRPr="00D8267E" w:rsidRDefault="00CF7044" w:rsidP="00D63204">
            <w:pPr>
              <w:spacing w:line="240" w:lineRule="auto"/>
              <w:ind w:left="-120"/>
              <w:rPr>
                <w:rFonts w:cstheme="minorHAnsi"/>
                <w:b/>
                <w:bCs/>
                <w:sz w:val="16"/>
                <w:szCs w:val="16"/>
              </w:rPr>
            </w:pPr>
            <w:r w:rsidRPr="00D8267E">
              <w:rPr>
                <w:rFonts w:cstheme="minorHAnsi"/>
                <w:b/>
                <w:bCs/>
                <w:sz w:val="16"/>
                <w:szCs w:val="16"/>
              </w:rPr>
              <w:t>Mar-17</w:t>
            </w:r>
          </w:p>
        </w:tc>
        <w:tc>
          <w:tcPr>
            <w:tcW w:w="0" w:type="auto"/>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14:paraId="6763679C" w14:textId="77777777" w:rsidR="00CF7044" w:rsidRPr="00D8267E" w:rsidRDefault="00CF7044" w:rsidP="00D63204">
            <w:pPr>
              <w:spacing w:line="240" w:lineRule="auto"/>
              <w:ind w:left="-120"/>
              <w:rPr>
                <w:rFonts w:cstheme="minorHAnsi"/>
                <w:b/>
                <w:bCs/>
                <w:sz w:val="16"/>
                <w:szCs w:val="16"/>
              </w:rPr>
            </w:pPr>
            <w:r w:rsidRPr="00D8267E">
              <w:rPr>
                <w:rFonts w:cstheme="minorHAnsi"/>
                <w:b/>
                <w:bCs/>
                <w:sz w:val="16"/>
                <w:szCs w:val="16"/>
              </w:rPr>
              <w:t>Apr-17</w:t>
            </w:r>
          </w:p>
        </w:tc>
        <w:tc>
          <w:tcPr>
            <w:tcW w:w="0" w:type="auto"/>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14:paraId="6B8AC9C6" w14:textId="77777777" w:rsidR="00CF7044" w:rsidRPr="00D8267E" w:rsidRDefault="00CF7044" w:rsidP="00D63204">
            <w:pPr>
              <w:spacing w:line="240" w:lineRule="auto"/>
              <w:ind w:left="-120"/>
              <w:rPr>
                <w:rFonts w:cstheme="minorHAnsi"/>
                <w:b/>
                <w:bCs/>
                <w:sz w:val="16"/>
                <w:szCs w:val="16"/>
              </w:rPr>
            </w:pPr>
            <w:r w:rsidRPr="00D8267E">
              <w:rPr>
                <w:rFonts w:cstheme="minorHAnsi"/>
                <w:b/>
                <w:bCs/>
                <w:sz w:val="16"/>
                <w:szCs w:val="16"/>
              </w:rPr>
              <w:t>May-17</w:t>
            </w:r>
          </w:p>
        </w:tc>
        <w:tc>
          <w:tcPr>
            <w:tcW w:w="0" w:type="auto"/>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14:paraId="466BA5AB" w14:textId="77777777" w:rsidR="00CF7044" w:rsidRPr="00D8267E" w:rsidRDefault="00CF7044" w:rsidP="00D63204">
            <w:pPr>
              <w:spacing w:line="240" w:lineRule="auto"/>
              <w:ind w:left="-120"/>
              <w:rPr>
                <w:rFonts w:cstheme="minorHAnsi"/>
                <w:b/>
                <w:bCs/>
                <w:sz w:val="16"/>
                <w:szCs w:val="16"/>
              </w:rPr>
            </w:pPr>
            <w:r w:rsidRPr="00D8267E">
              <w:rPr>
                <w:rFonts w:cstheme="minorHAnsi"/>
                <w:b/>
                <w:bCs/>
                <w:sz w:val="16"/>
                <w:szCs w:val="16"/>
              </w:rPr>
              <w:t>Jun-17</w:t>
            </w:r>
          </w:p>
        </w:tc>
        <w:tc>
          <w:tcPr>
            <w:tcW w:w="0" w:type="auto"/>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14:paraId="2ABF6AF6" w14:textId="77777777" w:rsidR="00CF7044" w:rsidRPr="00D8267E" w:rsidRDefault="00CF7044" w:rsidP="00D63204">
            <w:pPr>
              <w:spacing w:line="240" w:lineRule="auto"/>
              <w:ind w:left="-120"/>
              <w:rPr>
                <w:rFonts w:cstheme="minorHAnsi"/>
                <w:b/>
                <w:bCs/>
                <w:sz w:val="16"/>
                <w:szCs w:val="16"/>
              </w:rPr>
            </w:pPr>
            <w:r w:rsidRPr="00D8267E">
              <w:rPr>
                <w:rFonts w:cstheme="minorHAnsi"/>
                <w:b/>
                <w:bCs/>
                <w:sz w:val="16"/>
                <w:szCs w:val="16"/>
              </w:rPr>
              <w:t>Jul-17</w:t>
            </w:r>
          </w:p>
        </w:tc>
        <w:tc>
          <w:tcPr>
            <w:tcW w:w="0" w:type="auto"/>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14:paraId="0C77310B" w14:textId="77777777" w:rsidR="00CF7044" w:rsidRPr="00D8267E" w:rsidRDefault="00CF7044" w:rsidP="00D63204">
            <w:pPr>
              <w:spacing w:line="240" w:lineRule="auto"/>
              <w:ind w:left="-120"/>
              <w:rPr>
                <w:rFonts w:cstheme="minorHAnsi"/>
                <w:b/>
                <w:bCs/>
                <w:sz w:val="16"/>
                <w:szCs w:val="16"/>
              </w:rPr>
            </w:pPr>
            <w:r w:rsidRPr="00D8267E">
              <w:rPr>
                <w:rFonts w:cstheme="minorHAnsi"/>
                <w:b/>
                <w:bCs/>
                <w:sz w:val="16"/>
                <w:szCs w:val="16"/>
              </w:rPr>
              <w:t>Aug-17</w:t>
            </w:r>
          </w:p>
        </w:tc>
        <w:tc>
          <w:tcPr>
            <w:tcW w:w="0" w:type="auto"/>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14:paraId="53A12605" w14:textId="77777777" w:rsidR="00CF7044" w:rsidRPr="00D8267E" w:rsidRDefault="00CF7044" w:rsidP="00D63204">
            <w:pPr>
              <w:spacing w:line="240" w:lineRule="auto"/>
              <w:ind w:left="-120"/>
              <w:rPr>
                <w:rFonts w:cstheme="minorHAnsi"/>
                <w:b/>
                <w:bCs/>
                <w:sz w:val="16"/>
                <w:szCs w:val="16"/>
              </w:rPr>
            </w:pPr>
            <w:r w:rsidRPr="00D8267E">
              <w:rPr>
                <w:rFonts w:cstheme="minorHAnsi"/>
                <w:b/>
                <w:bCs/>
                <w:sz w:val="16"/>
                <w:szCs w:val="16"/>
              </w:rPr>
              <w:t>Sep-17</w:t>
            </w:r>
          </w:p>
        </w:tc>
        <w:tc>
          <w:tcPr>
            <w:tcW w:w="856" w:type="dxa"/>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14:paraId="683C8267" w14:textId="77777777" w:rsidR="00CF7044" w:rsidRPr="00D8267E" w:rsidRDefault="00CF7044" w:rsidP="00D63204">
            <w:pPr>
              <w:spacing w:line="240" w:lineRule="auto"/>
              <w:ind w:left="-120"/>
              <w:rPr>
                <w:rFonts w:cstheme="minorHAnsi"/>
                <w:b/>
                <w:bCs/>
                <w:sz w:val="16"/>
                <w:szCs w:val="16"/>
              </w:rPr>
            </w:pPr>
            <w:r w:rsidRPr="00D8267E">
              <w:rPr>
                <w:rFonts w:cstheme="minorHAnsi"/>
                <w:b/>
                <w:bCs/>
                <w:sz w:val="16"/>
                <w:szCs w:val="16"/>
              </w:rPr>
              <w:t>Total</w:t>
            </w:r>
          </w:p>
        </w:tc>
      </w:tr>
      <w:tr w:rsidR="00D8267E" w14:paraId="352EC05D" w14:textId="77777777" w:rsidTr="00F55C20">
        <w:trPr>
          <w:trHeight w:hRule="exact" w:val="762"/>
          <w:jc w:val="center"/>
        </w:trPr>
        <w:tc>
          <w:tcPr>
            <w:tcW w:w="0" w:type="auto"/>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2C52A2C0" w14:textId="77777777" w:rsidR="00CF7044" w:rsidRPr="00D8267E" w:rsidRDefault="00CF7044" w:rsidP="00D63204">
            <w:pPr>
              <w:spacing w:line="240" w:lineRule="auto"/>
              <w:ind w:left="-120"/>
              <w:rPr>
                <w:rFonts w:cstheme="minorHAnsi"/>
                <w:color w:val="000000"/>
                <w:sz w:val="16"/>
                <w:szCs w:val="16"/>
              </w:rPr>
            </w:pPr>
            <w:r w:rsidRPr="00D8267E">
              <w:rPr>
                <w:rFonts w:cstheme="minorHAnsi"/>
                <w:color w:val="000000"/>
                <w:sz w:val="16"/>
                <w:szCs w:val="16"/>
              </w:rPr>
              <w:t>Council Travel</w:t>
            </w:r>
          </w:p>
        </w:tc>
        <w:tc>
          <w:tcPr>
            <w:tcW w:w="0" w:type="auto"/>
            <w:tcBorders>
              <w:top w:val="nil"/>
              <w:left w:val="nil"/>
              <w:bottom w:val="single" w:sz="8" w:space="0" w:color="auto"/>
              <w:right w:val="single" w:sz="8" w:space="0" w:color="auto"/>
            </w:tcBorders>
            <w:tcMar>
              <w:top w:w="0" w:type="dxa"/>
              <w:left w:w="108" w:type="dxa"/>
              <w:bottom w:w="0" w:type="dxa"/>
              <w:right w:w="108" w:type="dxa"/>
            </w:tcMar>
            <w:vAlign w:val="center"/>
            <w:hideMark/>
          </w:tcPr>
          <w:p w14:paraId="793A5A6A" w14:textId="77777777" w:rsidR="00CF7044" w:rsidRPr="00D8267E" w:rsidRDefault="00CF7044" w:rsidP="00D63204">
            <w:pPr>
              <w:spacing w:line="240" w:lineRule="auto"/>
              <w:ind w:left="-120"/>
              <w:rPr>
                <w:rFonts w:cstheme="minorHAnsi"/>
                <w:color w:val="000000"/>
                <w:sz w:val="16"/>
                <w:szCs w:val="16"/>
              </w:rPr>
            </w:pPr>
            <w:r w:rsidRPr="00D8267E">
              <w:rPr>
                <w:rFonts w:cstheme="minorHAnsi"/>
                <w:color w:val="000000"/>
                <w:sz w:val="16"/>
                <w:szCs w:val="16"/>
              </w:rPr>
              <w:t>$3,675.42</w:t>
            </w:r>
          </w:p>
        </w:tc>
        <w:tc>
          <w:tcPr>
            <w:tcW w:w="0" w:type="auto"/>
            <w:tcBorders>
              <w:top w:val="nil"/>
              <w:left w:val="nil"/>
              <w:bottom w:val="single" w:sz="8" w:space="0" w:color="auto"/>
              <w:right w:val="single" w:sz="8" w:space="0" w:color="auto"/>
            </w:tcBorders>
            <w:tcMar>
              <w:top w:w="0" w:type="dxa"/>
              <w:left w:w="108" w:type="dxa"/>
              <w:bottom w:w="0" w:type="dxa"/>
              <w:right w:w="108" w:type="dxa"/>
            </w:tcMar>
            <w:vAlign w:val="center"/>
            <w:hideMark/>
          </w:tcPr>
          <w:p w14:paraId="4EAB9D54" w14:textId="77777777" w:rsidR="00CF7044" w:rsidRPr="00D8267E" w:rsidRDefault="00CF7044" w:rsidP="00D63204">
            <w:pPr>
              <w:spacing w:line="240" w:lineRule="auto"/>
              <w:ind w:left="-120"/>
              <w:rPr>
                <w:rFonts w:cstheme="minorHAnsi"/>
                <w:color w:val="000000"/>
                <w:sz w:val="16"/>
                <w:szCs w:val="16"/>
              </w:rPr>
            </w:pPr>
            <w:r w:rsidRPr="00D8267E">
              <w:rPr>
                <w:rFonts w:cstheme="minorHAnsi"/>
                <w:color w:val="000000"/>
                <w:sz w:val="16"/>
                <w:szCs w:val="16"/>
              </w:rPr>
              <w:t>$1,408.74</w:t>
            </w:r>
          </w:p>
        </w:tc>
        <w:tc>
          <w:tcPr>
            <w:tcW w:w="0" w:type="auto"/>
            <w:tcBorders>
              <w:top w:val="nil"/>
              <w:left w:val="nil"/>
              <w:bottom w:val="single" w:sz="8" w:space="0" w:color="auto"/>
              <w:right w:val="single" w:sz="8" w:space="0" w:color="auto"/>
            </w:tcBorders>
            <w:tcMar>
              <w:top w:w="0" w:type="dxa"/>
              <w:left w:w="108" w:type="dxa"/>
              <w:bottom w:w="0" w:type="dxa"/>
              <w:right w:w="108" w:type="dxa"/>
            </w:tcMar>
            <w:vAlign w:val="center"/>
          </w:tcPr>
          <w:p w14:paraId="28BF6D11" w14:textId="77777777" w:rsidR="00CF7044" w:rsidRPr="00D8267E" w:rsidRDefault="00CF7044" w:rsidP="00D63204">
            <w:pPr>
              <w:spacing w:line="240" w:lineRule="auto"/>
              <w:ind w:left="-120"/>
              <w:rPr>
                <w:rFonts w:cstheme="minorHAnsi"/>
                <w:color w:val="000000"/>
                <w:sz w:val="16"/>
                <w:szCs w:val="16"/>
              </w:rPr>
            </w:pPr>
          </w:p>
        </w:tc>
        <w:tc>
          <w:tcPr>
            <w:tcW w:w="0" w:type="auto"/>
            <w:tcBorders>
              <w:top w:val="nil"/>
              <w:left w:val="nil"/>
              <w:bottom w:val="single" w:sz="8" w:space="0" w:color="auto"/>
              <w:right w:val="single" w:sz="8" w:space="0" w:color="auto"/>
            </w:tcBorders>
            <w:tcMar>
              <w:top w:w="0" w:type="dxa"/>
              <w:left w:w="108" w:type="dxa"/>
              <w:bottom w:w="0" w:type="dxa"/>
              <w:right w:w="108" w:type="dxa"/>
            </w:tcMar>
            <w:vAlign w:val="center"/>
          </w:tcPr>
          <w:p w14:paraId="52C7FEF0" w14:textId="77777777" w:rsidR="00CF7044" w:rsidRPr="00D8267E" w:rsidRDefault="00CF7044" w:rsidP="00D63204">
            <w:pPr>
              <w:spacing w:line="240" w:lineRule="auto"/>
              <w:ind w:left="-120"/>
              <w:rPr>
                <w:rFonts w:cstheme="minorHAnsi"/>
                <w:color w:val="000000"/>
                <w:sz w:val="16"/>
                <w:szCs w:val="16"/>
              </w:rPr>
            </w:pPr>
          </w:p>
        </w:tc>
        <w:tc>
          <w:tcPr>
            <w:tcW w:w="0" w:type="auto"/>
            <w:tcBorders>
              <w:top w:val="nil"/>
              <w:left w:val="nil"/>
              <w:bottom w:val="single" w:sz="8" w:space="0" w:color="auto"/>
              <w:right w:val="single" w:sz="8" w:space="0" w:color="auto"/>
            </w:tcBorders>
            <w:tcMar>
              <w:top w:w="0" w:type="dxa"/>
              <w:left w:w="108" w:type="dxa"/>
              <w:bottom w:w="0" w:type="dxa"/>
              <w:right w:w="108" w:type="dxa"/>
            </w:tcMar>
            <w:vAlign w:val="center"/>
            <w:hideMark/>
          </w:tcPr>
          <w:p w14:paraId="5D8C2E41" w14:textId="77777777" w:rsidR="00CF7044" w:rsidRPr="00D8267E" w:rsidRDefault="00CF7044" w:rsidP="00D63204">
            <w:pPr>
              <w:spacing w:line="240" w:lineRule="auto"/>
              <w:ind w:left="-120"/>
              <w:rPr>
                <w:rFonts w:cstheme="minorHAnsi"/>
                <w:color w:val="000000"/>
                <w:sz w:val="16"/>
                <w:szCs w:val="16"/>
              </w:rPr>
            </w:pPr>
            <w:r w:rsidRPr="00D8267E">
              <w:rPr>
                <w:rFonts w:cstheme="minorHAnsi"/>
                <w:color w:val="000000"/>
                <w:sz w:val="16"/>
                <w:szCs w:val="16"/>
              </w:rPr>
              <w:t>$3,521.04</w:t>
            </w:r>
          </w:p>
        </w:tc>
        <w:tc>
          <w:tcPr>
            <w:tcW w:w="0" w:type="auto"/>
            <w:tcBorders>
              <w:top w:val="nil"/>
              <w:left w:val="nil"/>
              <w:bottom w:val="single" w:sz="8" w:space="0" w:color="auto"/>
              <w:right w:val="single" w:sz="8" w:space="0" w:color="auto"/>
            </w:tcBorders>
            <w:tcMar>
              <w:top w:w="0" w:type="dxa"/>
              <w:left w:w="108" w:type="dxa"/>
              <w:bottom w:w="0" w:type="dxa"/>
              <w:right w:w="108" w:type="dxa"/>
            </w:tcMar>
            <w:vAlign w:val="center"/>
          </w:tcPr>
          <w:p w14:paraId="65D7511F" w14:textId="77777777" w:rsidR="00CF7044" w:rsidRPr="00D8267E" w:rsidRDefault="00CF7044" w:rsidP="00D63204">
            <w:pPr>
              <w:spacing w:line="240" w:lineRule="auto"/>
              <w:ind w:left="-120"/>
              <w:rPr>
                <w:rFonts w:cstheme="minorHAnsi"/>
                <w:color w:val="000000"/>
                <w:sz w:val="16"/>
                <w:szCs w:val="16"/>
              </w:rPr>
            </w:pPr>
          </w:p>
        </w:tc>
        <w:tc>
          <w:tcPr>
            <w:tcW w:w="0" w:type="auto"/>
            <w:tcBorders>
              <w:top w:val="nil"/>
              <w:left w:val="nil"/>
              <w:bottom w:val="single" w:sz="8" w:space="0" w:color="auto"/>
              <w:right w:val="single" w:sz="8" w:space="0" w:color="auto"/>
            </w:tcBorders>
            <w:tcMar>
              <w:top w:w="0" w:type="dxa"/>
              <w:left w:w="108" w:type="dxa"/>
              <w:bottom w:w="0" w:type="dxa"/>
              <w:right w:w="108" w:type="dxa"/>
            </w:tcMar>
            <w:vAlign w:val="center"/>
            <w:hideMark/>
          </w:tcPr>
          <w:p w14:paraId="1050067B" w14:textId="77777777" w:rsidR="00CF7044" w:rsidRPr="00D8267E" w:rsidRDefault="00CF7044" w:rsidP="00D63204">
            <w:pPr>
              <w:spacing w:line="240" w:lineRule="auto"/>
              <w:ind w:left="-120"/>
              <w:rPr>
                <w:rFonts w:cstheme="minorHAnsi"/>
                <w:color w:val="000000"/>
                <w:sz w:val="16"/>
                <w:szCs w:val="16"/>
              </w:rPr>
            </w:pPr>
            <w:r w:rsidRPr="00D8267E">
              <w:rPr>
                <w:rFonts w:cstheme="minorHAnsi"/>
                <w:color w:val="000000"/>
                <w:sz w:val="16"/>
                <w:szCs w:val="16"/>
              </w:rPr>
              <w:t>$1,475.97</w:t>
            </w:r>
          </w:p>
        </w:tc>
        <w:tc>
          <w:tcPr>
            <w:tcW w:w="0" w:type="auto"/>
            <w:tcBorders>
              <w:top w:val="nil"/>
              <w:left w:val="nil"/>
              <w:bottom w:val="single" w:sz="8" w:space="0" w:color="auto"/>
              <w:right w:val="single" w:sz="8" w:space="0" w:color="auto"/>
            </w:tcBorders>
            <w:tcMar>
              <w:top w:w="0" w:type="dxa"/>
              <w:left w:w="108" w:type="dxa"/>
              <w:bottom w:w="0" w:type="dxa"/>
              <w:right w:w="108" w:type="dxa"/>
            </w:tcMar>
            <w:vAlign w:val="center"/>
            <w:hideMark/>
          </w:tcPr>
          <w:p w14:paraId="69154598" w14:textId="77777777" w:rsidR="00CF7044" w:rsidRPr="00D8267E" w:rsidRDefault="00CF7044" w:rsidP="00D63204">
            <w:pPr>
              <w:spacing w:line="240" w:lineRule="auto"/>
              <w:ind w:left="-120"/>
              <w:rPr>
                <w:rFonts w:cstheme="minorHAnsi"/>
                <w:color w:val="000000"/>
                <w:sz w:val="16"/>
                <w:szCs w:val="16"/>
              </w:rPr>
            </w:pPr>
            <w:r w:rsidRPr="00D8267E">
              <w:rPr>
                <w:rFonts w:cstheme="minorHAnsi"/>
                <w:color w:val="000000"/>
                <w:sz w:val="16"/>
                <w:szCs w:val="16"/>
              </w:rPr>
              <w:t>$6,593.68</w:t>
            </w:r>
          </w:p>
        </w:tc>
        <w:tc>
          <w:tcPr>
            <w:tcW w:w="0" w:type="auto"/>
            <w:tcBorders>
              <w:top w:val="nil"/>
              <w:left w:val="nil"/>
              <w:bottom w:val="single" w:sz="8" w:space="0" w:color="auto"/>
              <w:right w:val="single" w:sz="8" w:space="0" w:color="auto"/>
            </w:tcBorders>
            <w:tcMar>
              <w:top w:w="0" w:type="dxa"/>
              <w:left w:w="108" w:type="dxa"/>
              <w:bottom w:w="0" w:type="dxa"/>
              <w:right w:w="108" w:type="dxa"/>
            </w:tcMar>
            <w:vAlign w:val="center"/>
          </w:tcPr>
          <w:p w14:paraId="701BB8CC" w14:textId="77777777" w:rsidR="00CF7044" w:rsidRPr="00D8267E" w:rsidRDefault="00CF7044" w:rsidP="00D63204">
            <w:pPr>
              <w:spacing w:line="240" w:lineRule="auto"/>
              <w:ind w:left="-120"/>
              <w:rPr>
                <w:rFonts w:cstheme="minorHAnsi"/>
                <w:color w:val="000000"/>
                <w:sz w:val="16"/>
                <w:szCs w:val="16"/>
              </w:rPr>
            </w:pPr>
          </w:p>
        </w:tc>
        <w:tc>
          <w:tcPr>
            <w:tcW w:w="0" w:type="auto"/>
            <w:tcBorders>
              <w:top w:val="nil"/>
              <w:left w:val="nil"/>
              <w:bottom w:val="single" w:sz="8" w:space="0" w:color="auto"/>
              <w:right w:val="single" w:sz="8" w:space="0" w:color="auto"/>
            </w:tcBorders>
            <w:tcMar>
              <w:top w:w="0" w:type="dxa"/>
              <w:left w:w="108" w:type="dxa"/>
              <w:bottom w:w="0" w:type="dxa"/>
              <w:right w:w="108" w:type="dxa"/>
            </w:tcMar>
            <w:vAlign w:val="center"/>
            <w:hideMark/>
          </w:tcPr>
          <w:p w14:paraId="728D6F7B" w14:textId="77777777" w:rsidR="00CF7044" w:rsidRPr="00D8267E" w:rsidRDefault="00CF7044" w:rsidP="00D63204">
            <w:pPr>
              <w:spacing w:line="240" w:lineRule="auto"/>
              <w:ind w:left="-120"/>
              <w:rPr>
                <w:rFonts w:cstheme="minorHAnsi"/>
                <w:color w:val="000000"/>
                <w:sz w:val="16"/>
                <w:szCs w:val="16"/>
              </w:rPr>
            </w:pPr>
            <w:r w:rsidRPr="00D8267E">
              <w:rPr>
                <w:rFonts w:cstheme="minorHAnsi"/>
                <w:color w:val="000000"/>
                <w:sz w:val="16"/>
                <w:szCs w:val="16"/>
              </w:rPr>
              <w:t>$4,570.66</w:t>
            </w:r>
          </w:p>
        </w:tc>
        <w:tc>
          <w:tcPr>
            <w:tcW w:w="0" w:type="auto"/>
            <w:tcBorders>
              <w:top w:val="nil"/>
              <w:left w:val="nil"/>
              <w:bottom w:val="single" w:sz="8" w:space="0" w:color="auto"/>
              <w:right w:val="single" w:sz="8" w:space="0" w:color="auto"/>
            </w:tcBorders>
            <w:tcMar>
              <w:top w:w="0" w:type="dxa"/>
              <w:left w:w="108" w:type="dxa"/>
              <w:bottom w:w="0" w:type="dxa"/>
              <w:right w:w="108" w:type="dxa"/>
            </w:tcMar>
            <w:vAlign w:val="center"/>
          </w:tcPr>
          <w:p w14:paraId="36FAA7D0" w14:textId="77777777" w:rsidR="00CF7044" w:rsidRPr="00D8267E" w:rsidRDefault="00CF7044" w:rsidP="00D63204">
            <w:pPr>
              <w:spacing w:line="240" w:lineRule="auto"/>
              <w:ind w:left="-120"/>
              <w:rPr>
                <w:rFonts w:cstheme="minorHAnsi"/>
                <w:color w:val="000000"/>
                <w:sz w:val="16"/>
                <w:szCs w:val="16"/>
              </w:rPr>
            </w:pPr>
          </w:p>
        </w:tc>
        <w:tc>
          <w:tcPr>
            <w:tcW w:w="0" w:type="auto"/>
            <w:tcBorders>
              <w:top w:val="nil"/>
              <w:left w:val="nil"/>
              <w:bottom w:val="single" w:sz="8" w:space="0" w:color="auto"/>
              <w:right w:val="single" w:sz="8" w:space="0" w:color="auto"/>
            </w:tcBorders>
            <w:tcMar>
              <w:top w:w="0" w:type="dxa"/>
              <w:left w:w="108" w:type="dxa"/>
              <w:bottom w:w="0" w:type="dxa"/>
              <w:right w:w="108" w:type="dxa"/>
            </w:tcMar>
            <w:vAlign w:val="center"/>
          </w:tcPr>
          <w:p w14:paraId="4904A037" w14:textId="77777777" w:rsidR="00CF7044" w:rsidRPr="00D8267E" w:rsidRDefault="00CF7044" w:rsidP="00D63204">
            <w:pPr>
              <w:spacing w:line="240" w:lineRule="auto"/>
              <w:ind w:left="-120"/>
              <w:rPr>
                <w:rFonts w:cstheme="minorHAnsi"/>
                <w:color w:val="000000"/>
                <w:sz w:val="16"/>
                <w:szCs w:val="16"/>
              </w:rPr>
            </w:pPr>
          </w:p>
        </w:tc>
        <w:tc>
          <w:tcPr>
            <w:tcW w:w="856"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51834D06" w14:textId="77777777" w:rsidR="00CF7044" w:rsidRPr="00D8267E" w:rsidRDefault="00CF7044" w:rsidP="00D63204">
            <w:pPr>
              <w:spacing w:line="240" w:lineRule="auto"/>
              <w:ind w:left="-120"/>
              <w:rPr>
                <w:rFonts w:cstheme="minorHAnsi"/>
                <w:color w:val="000000"/>
                <w:sz w:val="16"/>
                <w:szCs w:val="16"/>
              </w:rPr>
            </w:pPr>
            <w:r w:rsidRPr="00D8267E">
              <w:rPr>
                <w:rFonts w:cstheme="minorHAnsi"/>
                <w:color w:val="000000"/>
                <w:sz w:val="16"/>
                <w:szCs w:val="16"/>
              </w:rPr>
              <w:t>$21,245.51</w:t>
            </w:r>
          </w:p>
        </w:tc>
      </w:tr>
      <w:tr w:rsidR="00D8267E" w14:paraId="064573DA" w14:textId="77777777" w:rsidTr="00F55C20">
        <w:trPr>
          <w:trHeight w:hRule="exact" w:val="859"/>
          <w:jc w:val="center"/>
        </w:trPr>
        <w:tc>
          <w:tcPr>
            <w:tcW w:w="0" w:type="auto"/>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5D9679D0" w14:textId="77777777" w:rsidR="00CF7044" w:rsidRPr="00D8267E" w:rsidRDefault="00CF7044" w:rsidP="00D63204">
            <w:pPr>
              <w:spacing w:line="240" w:lineRule="auto"/>
              <w:ind w:left="-120"/>
              <w:rPr>
                <w:rFonts w:cstheme="minorHAnsi"/>
                <w:color w:val="000000"/>
                <w:sz w:val="16"/>
                <w:szCs w:val="16"/>
              </w:rPr>
            </w:pPr>
            <w:r w:rsidRPr="00D8267E">
              <w:rPr>
                <w:rFonts w:cstheme="minorHAnsi"/>
                <w:color w:val="000000"/>
                <w:sz w:val="16"/>
                <w:szCs w:val="16"/>
              </w:rPr>
              <w:t>Personal Care Assistant Travel</w:t>
            </w:r>
          </w:p>
        </w:tc>
        <w:tc>
          <w:tcPr>
            <w:tcW w:w="0" w:type="auto"/>
            <w:tcBorders>
              <w:top w:val="nil"/>
              <w:left w:val="nil"/>
              <w:bottom w:val="single" w:sz="8" w:space="0" w:color="auto"/>
              <w:right w:val="single" w:sz="8" w:space="0" w:color="auto"/>
            </w:tcBorders>
            <w:tcMar>
              <w:top w:w="0" w:type="dxa"/>
              <w:left w:w="108" w:type="dxa"/>
              <w:bottom w:w="0" w:type="dxa"/>
              <w:right w:w="108" w:type="dxa"/>
            </w:tcMar>
            <w:vAlign w:val="center"/>
            <w:hideMark/>
          </w:tcPr>
          <w:p w14:paraId="70CC0C15" w14:textId="77777777" w:rsidR="00CF7044" w:rsidRPr="00D8267E" w:rsidRDefault="00CF7044" w:rsidP="00D63204">
            <w:pPr>
              <w:spacing w:line="240" w:lineRule="auto"/>
              <w:ind w:left="-120"/>
              <w:rPr>
                <w:rFonts w:cstheme="minorHAnsi"/>
                <w:color w:val="000000"/>
                <w:sz w:val="16"/>
                <w:szCs w:val="16"/>
              </w:rPr>
            </w:pPr>
            <w:r w:rsidRPr="00D8267E">
              <w:rPr>
                <w:rFonts w:cstheme="minorHAnsi"/>
                <w:color w:val="000000"/>
                <w:sz w:val="16"/>
                <w:szCs w:val="16"/>
              </w:rPr>
              <w:t>$220.10</w:t>
            </w:r>
          </w:p>
        </w:tc>
        <w:tc>
          <w:tcPr>
            <w:tcW w:w="0" w:type="auto"/>
            <w:tcBorders>
              <w:top w:val="nil"/>
              <w:left w:val="nil"/>
              <w:bottom w:val="single" w:sz="8" w:space="0" w:color="auto"/>
              <w:right w:val="single" w:sz="8" w:space="0" w:color="auto"/>
            </w:tcBorders>
            <w:tcMar>
              <w:top w:w="0" w:type="dxa"/>
              <w:left w:w="108" w:type="dxa"/>
              <w:bottom w:w="0" w:type="dxa"/>
              <w:right w:w="108" w:type="dxa"/>
            </w:tcMar>
            <w:vAlign w:val="center"/>
          </w:tcPr>
          <w:p w14:paraId="5EF87491" w14:textId="77777777" w:rsidR="00CF7044" w:rsidRPr="00D8267E" w:rsidRDefault="00CF7044" w:rsidP="00D63204">
            <w:pPr>
              <w:spacing w:line="240" w:lineRule="auto"/>
              <w:ind w:left="-120"/>
              <w:rPr>
                <w:rFonts w:cstheme="minorHAnsi"/>
                <w:color w:val="000000"/>
                <w:sz w:val="16"/>
                <w:szCs w:val="16"/>
              </w:rPr>
            </w:pPr>
          </w:p>
        </w:tc>
        <w:tc>
          <w:tcPr>
            <w:tcW w:w="0" w:type="auto"/>
            <w:tcBorders>
              <w:top w:val="nil"/>
              <w:left w:val="nil"/>
              <w:bottom w:val="single" w:sz="8" w:space="0" w:color="auto"/>
              <w:right w:val="single" w:sz="8" w:space="0" w:color="auto"/>
            </w:tcBorders>
            <w:tcMar>
              <w:top w:w="0" w:type="dxa"/>
              <w:left w:w="108" w:type="dxa"/>
              <w:bottom w:w="0" w:type="dxa"/>
              <w:right w:w="108" w:type="dxa"/>
            </w:tcMar>
            <w:vAlign w:val="center"/>
          </w:tcPr>
          <w:p w14:paraId="7C9CD117" w14:textId="77777777" w:rsidR="00CF7044" w:rsidRPr="00D8267E" w:rsidRDefault="00CF7044" w:rsidP="00D63204">
            <w:pPr>
              <w:spacing w:line="240" w:lineRule="auto"/>
              <w:ind w:left="-120"/>
              <w:rPr>
                <w:rFonts w:cstheme="minorHAnsi"/>
                <w:color w:val="000000"/>
                <w:sz w:val="16"/>
                <w:szCs w:val="16"/>
              </w:rPr>
            </w:pPr>
          </w:p>
        </w:tc>
        <w:tc>
          <w:tcPr>
            <w:tcW w:w="0" w:type="auto"/>
            <w:tcBorders>
              <w:top w:val="nil"/>
              <w:left w:val="nil"/>
              <w:bottom w:val="single" w:sz="8" w:space="0" w:color="auto"/>
              <w:right w:val="single" w:sz="8" w:space="0" w:color="auto"/>
            </w:tcBorders>
            <w:tcMar>
              <w:top w:w="0" w:type="dxa"/>
              <w:left w:w="108" w:type="dxa"/>
              <w:bottom w:w="0" w:type="dxa"/>
              <w:right w:w="108" w:type="dxa"/>
            </w:tcMar>
            <w:vAlign w:val="center"/>
          </w:tcPr>
          <w:p w14:paraId="270E4735" w14:textId="77777777" w:rsidR="00CF7044" w:rsidRPr="00D8267E" w:rsidRDefault="00CF7044" w:rsidP="00D63204">
            <w:pPr>
              <w:spacing w:line="240" w:lineRule="auto"/>
              <w:ind w:left="-120"/>
              <w:rPr>
                <w:rFonts w:cstheme="minorHAnsi"/>
                <w:color w:val="000000"/>
                <w:sz w:val="16"/>
                <w:szCs w:val="16"/>
              </w:rPr>
            </w:pPr>
          </w:p>
        </w:tc>
        <w:tc>
          <w:tcPr>
            <w:tcW w:w="0" w:type="auto"/>
            <w:tcBorders>
              <w:top w:val="nil"/>
              <w:left w:val="nil"/>
              <w:bottom w:val="single" w:sz="8" w:space="0" w:color="auto"/>
              <w:right w:val="single" w:sz="8" w:space="0" w:color="auto"/>
            </w:tcBorders>
            <w:tcMar>
              <w:top w:w="0" w:type="dxa"/>
              <w:left w:w="108" w:type="dxa"/>
              <w:bottom w:w="0" w:type="dxa"/>
              <w:right w:w="108" w:type="dxa"/>
            </w:tcMar>
            <w:vAlign w:val="center"/>
            <w:hideMark/>
          </w:tcPr>
          <w:p w14:paraId="69CE8CCD" w14:textId="77777777" w:rsidR="00CF7044" w:rsidRPr="00D8267E" w:rsidRDefault="00CF7044" w:rsidP="00D63204">
            <w:pPr>
              <w:spacing w:line="240" w:lineRule="auto"/>
              <w:ind w:left="-120"/>
              <w:rPr>
                <w:rFonts w:cstheme="minorHAnsi"/>
                <w:color w:val="000000"/>
                <w:sz w:val="16"/>
                <w:szCs w:val="16"/>
              </w:rPr>
            </w:pPr>
            <w:r w:rsidRPr="00D8267E">
              <w:rPr>
                <w:rFonts w:cstheme="minorHAnsi"/>
                <w:color w:val="000000"/>
                <w:sz w:val="16"/>
                <w:szCs w:val="16"/>
              </w:rPr>
              <w:t>$459.05</w:t>
            </w:r>
          </w:p>
        </w:tc>
        <w:tc>
          <w:tcPr>
            <w:tcW w:w="0" w:type="auto"/>
            <w:tcBorders>
              <w:top w:val="nil"/>
              <w:left w:val="nil"/>
              <w:bottom w:val="single" w:sz="8" w:space="0" w:color="auto"/>
              <w:right w:val="single" w:sz="8" w:space="0" w:color="auto"/>
            </w:tcBorders>
            <w:tcMar>
              <w:top w:w="0" w:type="dxa"/>
              <w:left w:w="108" w:type="dxa"/>
              <w:bottom w:w="0" w:type="dxa"/>
              <w:right w:w="108" w:type="dxa"/>
            </w:tcMar>
            <w:vAlign w:val="center"/>
          </w:tcPr>
          <w:p w14:paraId="33FC786E" w14:textId="77777777" w:rsidR="00CF7044" w:rsidRPr="00D8267E" w:rsidRDefault="00CF7044" w:rsidP="00D63204">
            <w:pPr>
              <w:spacing w:line="240" w:lineRule="auto"/>
              <w:ind w:left="-120"/>
              <w:rPr>
                <w:rFonts w:cstheme="minorHAnsi"/>
                <w:color w:val="000000"/>
                <w:sz w:val="16"/>
                <w:szCs w:val="16"/>
              </w:rPr>
            </w:pPr>
          </w:p>
        </w:tc>
        <w:tc>
          <w:tcPr>
            <w:tcW w:w="0" w:type="auto"/>
            <w:tcBorders>
              <w:top w:val="nil"/>
              <w:left w:val="nil"/>
              <w:bottom w:val="single" w:sz="8" w:space="0" w:color="auto"/>
              <w:right w:val="single" w:sz="8" w:space="0" w:color="auto"/>
            </w:tcBorders>
            <w:tcMar>
              <w:top w:w="0" w:type="dxa"/>
              <w:left w:w="108" w:type="dxa"/>
              <w:bottom w:w="0" w:type="dxa"/>
              <w:right w:w="108" w:type="dxa"/>
            </w:tcMar>
            <w:vAlign w:val="center"/>
          </w:tcPr>
          <w:p w14:paraId="77A4D346" w14:textId="77777777" w:rsidR="00CF7044" w:rsidRPr="00D8267E" w:rsidRDefault="00CF7044" w:rsidP="00D63204">
            <w:pPr>
              <w:spacing w:line="240" w:lineRule="auto"/>
              <w:ind w:left="-120"/>
              <w:rPr>
                <w:rFonts w:cstheme="minorHAnsi"/>
                <w:color w:val="000000"/>
                <w:sz w:val="16"/>
                <w:szCs w:val="16"/>
              </w:rPr>
            </w:pPr>
          </w:p>
        </w:tc>
        <w:tc>
          <w:tcPr>
            <w:tcW w:w="0" w:type="auto"/>
            <w:tcBorders>
              <w:top w:val="nil"/>
              <w:left w:val="nil"/>
              <w:bottom w:val="single" w:sz="8" w:space="0" w:color="auto"/>
              <w:right w:val="single" w:sz="8" w:space="0" w:color="auto"/>
            </w:tcBorders>
            <w:tcMar>
              <w:top w:w="0" w:type="dxa"/>
              <w:left w:w="108" w:type="dxa"/>
              <w:bottom w:w="0" w:type="dxa"/>
              <w:right w:w="108" w:type="dxa"/>
            </w:tcMar>
            <w:vAlign w:val="center"/>
            <w:hideMark/>
          </w:tcPr>
          <w:p w14:paraId="094A10EE" w14:textId="77777777" w:rsidR="00CF7044" w:rsidRPr="00D8267E" w:rsidRDefault="00CF7044" w:rsidP="00D63204">
            <w:pPr>
              <w:spacing w:line="240" w:lineRule="auto"/>
              <w:ind w:left="-120"/>
              <w:rPr>
                <w:rFonts w:cstheme="minorHAnsi"/>
                <w:color w:val="000000"/>
                <w:sz w:val="16"/>
                <w:szCs w:val="16"/>
              </w:rPr>
            </w:pPr>
            <w:r w:rsidRPr="00D8267E">
              <w:rPr>
                <w:rFonts w:cstheme="minorHAnsi"/>
                <w:color w:val="000000"/>
                <w:sz w:val="16"/>
                <w:szCs w:val="16"/>
              </w:rPr>
              <w:t>$787.38</w:t>
            </w:r>
          </w:p>
        </w:tc>
        <w:tc>
          <w:tcPr>
            <w:tcW w:w="0" w:type="auto"/>
            <w:tcBorders>
              <w:top w:val="nil"/>
              <w:left w:val="nil"/>
              <w:bottom w:val="single" w:sz="8" w:space="0" w:color="auto"/>
              <w:right w:val="single" w:sz="8" w:space="0" w:color="auto"/>
            </w:tcBorders>
            <w:tcMar>
              <w:top w:w="0" w:type="dxa"/>
              <w:left w:w="108" w:type="dxa"/>
              <w:bottom w:w="0" w:type="dxa"/>
              <w:right w:w="108" w:type="dxa"/>
            </w:tcMar>
            <w:vAlign w:val="center"/>
          </w:tcPr>
          <w:p w14:paraId="79782E88" w14:textId="77777777" w:rsidR="00CF7044" w:rsidRPr="00D8267E" w:rsidRDefault="00CF7044" w:rsidP="00D63204">
            <w:pPr>
              <w:spacing w:line="240" w:lineRule="auto"/>
              <w:ind w:left="-120"/>
              <w:rPr>
                <w:rFonts w:cstheme="minorHAnsi"/>
                <w:color w:val="000000"/>
                <w:sz w:val="16"/>
                <w:szCs w:val="16"/>
              </w:rPr>
            </w:pPr>
          </w:p>
        </w:tc>
        <w:tc>
          <w:tcPr>
            <w:tcW w:w="0" w:type="auto"/>
            <w:tcBorders>
              <w:top w:val="nil"/>
              <w:left w:val="nil"/>
              <w:bottom w:val="single" w:sz="8" w:space="0" w:color="auto"/>
              <w:right w:val="single" w:sz="8" w:space="0" w:color="auto"/>
            </w:tcBorders>
            <w:tcMar>
              <w:top w:w="0" w:type="dxa"/>
              <w:left w:w="108" w:type="dxa"/>
              <w:bottom w:w="0" w:type="dxa"/>
              <w:right w:w="108" w:type="dxa"/>
            </w:tcMar>
            <w:vAlign w:val="center"/>
            <w:hideMark/>
          </w:tcPr>
          <w:p w14:paraId="129E20D4" w14:textId="77777777" w:rsidR="00CF7044" w:rsidRPr="00D8267E" w:rsidRDefault="00CF7044" w:rsidP="00D63204">
            <w:pPr>
              <w:spacing w:line="240" w:lineRule="auto"/>
              <w:ind w:left="-120"/>
              <w:rPr>
                <w:rFonts w:cstheme="minorHAnsi"/>
                <w:color w:val="000000"/>
                <w:sz w:val="16"/>
                <w:szCs w:val="16"/>
              </w:rPr>
            </w:pPr>
            <w:r w:rsidRPr="00D8267E">
              <w:rPr>
                <w:rFonts w:cstheme="minorHAnsi"/>
                <w:color w:val="000000"/>
                <w:sz w:val="16"/>
                <w:szCs w:val="16"/>
              </w:rPr>
              <w:t>$485.49</w:t>
            </w:r>
          </w:p>
        </w:tc>
        <w:tc>
          <w:tcPr>
            <w:tcW w:w="0" w:type="auto"/>
            <w:tcBorders>
              <w:top w:val="nil"/>
              <w:left w:val="nil"/>
              <w:bottom w:val="single" w:sz="8" w:space="0" w:color="auto"/>
              <w:right w:val="single" w:sz="8" w:space="0" w:color="auto"/>
            </w:tcBorders>
            <w:tcMar>
              <w:top w:w="0" w:type="dxa"/>
              <w:left w:w="108" w:type="dxa"/>
              <w:bottom w:w="0" w:type="dxa"/>
              <w:right w:w="108" w:type="dxa"/>
            </w:tcMar>
            <w:vAlign w:val="center"/>
          </w:tcPr>
          <w:p w14:paraId="575E1D96" w14:textId="77777777" w:rsidR="00CF7044" w:rsidRPr="00D8267E" w:rsidRDefault="00CF7044" w:rsidP="00D63204">
            <w:pPr>
              <w:spacing w:line="240" w:lineRule="auto"/>
              <w:ind w:left="-120"/>
              <w:rPr>
                <w:rFonts w:cstheme="minorHAnsi"/>
                <w:color w:val="000000"/>
                <w:sz w:val="16"/>
                <w:szCs w:val="16"/>
              </w:rPr>
            </w:pPr>
          </w:p>
        </w:tc>
        <w:tc>
          <w:tcPr>
            <w:tcW w:w="0" w:type="auto"/>
            <w:tcBorders>
              <w:top w:val="nil"/>
              <w:left w:val="nil"/>
              <w:bottom w:val="single" w:sz="8" w:space="0" w:color="auto"/>
              <w:right w:val="single" w:sz="8" w:space="0" w:color="auto"/>
            </w:tcBorders>
            <w:tcMar>
              <w:top w:w="0" w:type="dxa"/>
              <w:left w:w="108" w:type="dxa"/>
              <w:bottom w:w="0" w:type="dxa"/>
              <w:right w:w="108" w:type="dxa"/>
            </w:tcMar>
            <w:vAlign w:val="center"/>
          </w:tcPr>
          <w:p w14:paraId="50A1E2A7" w14:textId="77777777" w:rsidR="00CF7044" w:rsidRPr="00D8267E" w:rsidRDefault="00CF7044" w:rsidP="00D63204">
            <w:pPr>
              <w:spacing w:line="240" w:lineRule="auto"/>
              <w:ind w:left="-120"/>
              <w:rPr>
                <w:rFonts w:cstheme="minorHAnsi"/>
                <w:color w:val="000000"/>
                <w:sz w:val="16"/>
                <w:szCs w:val="16"/>
              </w:rPr>
            </w:pPr>
          </w:p>
        </w:tc>
        <w:tc>
          <w:tcPr>
            <w:tcW w:w="856"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D80EE5E" w14:textId="77777777" w:rsidR="00CF7044" w:rsidRPr="00D8267E" w:rsidRDefault="00CF7044" w:rsidP="00D63204">
            <w:pPr>
              <w:spacing w:line="240" w:lineRule="auto"/>
              <w:ind w:left="-120"/>
              <w:rPr>
                <w:rFonts w:cstheme="minorHAnsi"/>
                <w:color w:val="000000"/>
                <w:sz w:val="16"/>
                <w:szCs w:val="16"/>
              </w:rPr>
            </w:pPr>
            <w:r w:rsidRPr="00D8267E">
              <w:rPr>
                <w:rFonts w:cstheme="minorHAnsi"/>
                <w:color w:val="000000"/>
                <w:sz w:val="16"/>
                <w:szCs w:val="16"/>
              </w:rPr>
              <w:t>$1,952.02</w:t>
            </w:r>
          </w:p>
        </w:tc>
      </w:tr>
      <w:tr w:rsidR="00D8267E" w14:paraId="7964CE49" w14:textId="77777777" w:rsidTr="00F55C20">
        <w:trPr>
          <w:trHeight w:hRule="exact" w:val="922"/>
          <w:jc w:val="center"/>
        </w:trPr>
        <w:tc>
          <w:tcPr>
            <w:tcW w:w="0" w:type="auto"/>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317A34A8" w14:textId="77777777" w:rsidR="00CF7044" w:rsidRPr="00D8267E" w:rsidRDefault="00CF7044" w:rsidP="00D63204">
            <w:pPr>
              <w:spacing w:line="240" w:lineRule="auto"/>
              <w:ind w:left="-120"/>
              <w:rPr>
                <w:rFonts w:cstheme="minorHAnsi"/>
                <w:color w:val="000000"/>
                <w:sz w:val="16"/>
                <w:szCs w:val="16"/>
              </w:rPr>
            </w:pPr>
            <w:r w:rsidRPr="00D8267E">
              <w:rPr>
                <w:rFonts w:cstheme="minorHAnsi"/>
                <w:color w:val="000000"/>
                <w:sz w:val="16"/>
                <w:szCs w:val="16"/>
              </w:rPr>
              <w:t>Client Satisfaction Survey</w:t>
            </w:r>
          </w:p>
        </w:tc>
        <w:tc>
          <w:tcPr>
            <w:tcW w:w="0" w:type="auto"/>
            <w:tcBorders>
              <w:top w:val="nil"/>
              <w:left w:val="nil"/>
              <w:bottom w:val="single" w:sz="8" w:space="0" w:color="auto"/>
              <w:right w:val="single" w:sz="8" w:space="0" w:color="auto"/>
            </w:tcBorders>
            <w:tcMar>
              <w:top w:w="0" w:type="dxa"/>
              <w:left w:w="108" w:type="dxa"/>
              <w:bottom w:w="0" w:type="dxa"/>
              <w:right w:w="108" w:type="dxa"/>
            </w:tcMar>
            <w:vAlign w:val="center"/>
          </w:tcPr>
          <w:p w14:paraId="3842EF4B" w14:textId="77777777" w:rsidR="00CF7044" w:rsidRPr="00D8267E" w:rsidRDefault="00CF7044" w:rsidP="00D63204">
            <w:pPr>
              <w:spacing w:line="240" w:lineRule="auto"/>
              <w:ind w:left="-120"/>
              <w:rPr>
                <w:rFonts w:cstheme="minorHAnsi"/>
                <w:color w:val="000000"/>
                <w:sz w:val="16"/>
                <w:szCs w:val="16"/>
              </w:rPr>
            </w:pPr>
          </w:p>
        </w:tc>
        <w:tc>
          <w:tcPr>
            <w:tcW w:w="0" w:type="auto"/>
            <w:tcBorders>
              <w:top w:val="nil"/>
              <w:left w:val="nil"/>
              <w:bottom w:val="single" w:sz="8" w:space="0" w:color="auto"/>
              <w:right w:val="single" w:sz="8" w:space="0" w:color="auto"/>
            </w:tcBorders>
            <w:tcMar>
              <w:top w:w="0" w:type="dxa"/>
              <w:left w:w="108" w:type="dxa"/>
              <w:bottom w:w="0" w:type="dxa"/>
              <w:right w:w="108" w:type="dxa"/>
            </w:tcMar>
            <w:vAlign w:val="center"/>
          </w:tcPr>
          <w:p w14:paraId="7AE2D70D" w14:textId="77777777" w:rsidR="00CF7044" w:rsidRPr="00D8267E" w:rsidRDefault="00CF7044" w:rsidP="00D63204">
            <w:pPr>
              <w:spacing w:line="240" w:lineRule="auto"/>
              <w:ind w:left="-120"/>
              <w:rPr>
                <w:rFonts w:cstheme="minorHAnsi"/>
                <w:color w:val="000000"/>
                <w:sz w:val="16"/>
                <w:szCs w:val="16"/>
              </w:rPr>
            </w:pPr>
          </w:p>
        </w:tc>
        <w:tc>
          <w:tcPr>
            <w:tcW w:w="0" w:type="auto"/>
            <w:tcBorders>
              <w:top w:val="nil"/>
              <w:left w:val="nil"/>
              <w:bottom w:val="single" w:sz="8" w:space="0" w:color="auto"/>
              <w:right w:val="single" w:sz="8" w:space="0" w:color="auto"/>
            </w:tcBorders>
            <w:tcMar>
              <w:top w:w="0" w:type="dxa"/>
              <w:left w:w="108" w:type="dxa"/>
              <w:bottom w:w="0" w:type="dxa"/>
              <w:right w:w="108" w:type="dxa"/>
            </w:tcMar>
            <w:vAlign w:val="center"/>
          </w:tcPr>
          <w:p w14:paraId="6B610083" w14:textId="77777777" w:rsidR="00CF7044" w:rsidRPr="00D8267E" w:rsidRDefault="00CF7044" w:rsidP="00D63204">
            <w:pPr>
              <w:spacing w:line="240" w:lineRule="auto"/>
              <w:ind w:left="-120"/>
              <w:rPr>
                <w:rFonts w:cstheme="minorHAnsi"/>
                <w:color w:val="000000"/>
                <w:sz w:val="16"/>
                <w:szCs w:val="16"/>
              </w:rPr>
            </w:pPr>
          </w:p>
        </w:tc>
        <w:tc>
          <w:tcPr>
            <w:tcW w:w="0" w:type="auto"/>
            <w:tcBorders>
              <w:top w:val="nil"/>
              <w:left w:val="nil"/>
              <w:bottom w:val="single" w:sz="8" w:space="0" w:color="auto"/>
              <w:right w:val="single" w:sz="8" w:space="0" w:color="auto"/>
            </w:tcBorders>
            <w:tcMar>
              <w:top w:w="0" w:type="dxa"/>
              <w:left w:w="108" w:type="dxa"/>
              <w:bottom w:w="0" w:type="dxa"/>
              <w:right w:w="108" w:type="dxa"/>
            </w:tcMar>
            <w:vAlign w:val="center"/>
          </w:tcPr>
          <w:p w14:paraId="035D85EC" w14:textId="77777777" w:rsidR="00CF7044" w:rsidRPr="00D8267E" w:rsidRDefault="00CF7044" w:rsidP="00D63204">
            <w:pPr>
              <w:spacing w:line="240" w:lineRule="auto"/>
              <w:ind w:left="-120"/>
              <w:rPr>
                <w:rFonts w:cstheme="minorHAnsi"/>
                <w:color w:val="000000"/>
                <w:sz w:val="16"/>
                <w:szCs w:val="16"/>
              </w:rPr>
            </w:pPr>
          </w:p>
        </w:tc>
        <w:tc>
          <w:tcPr>
            <w:tcW w:w="0" w:type="auto"/>
            <w:tcBorders>
              <w:top w:val="nil"/>
              <w:left w:val="nil"/>
              <w:bottom w:val="single" w:sz="8" w:space="0" w:color="auto"/>
              <w:right w:val="single" w:sz="8" w:space="0" w:color="auto"/>
            </w:tcBorders>
            <w:tcMar>
              <w:top w:w="0" w:type="dxa"/>
              <w:left w:w="108" w:type="dxa"/>
              <w:bottom w:w="0" w:type="dxa"/>
              <w:right w:w="108" w:type="dxa"/>
            </w:tcMar>
            <w:vAlign w:val="center"/>
          </w:tcPr>
          <w:p w14:paraId="35E76A9A" w14:textId="77777777" w:rsidR="00CF7044" w:rsidRPr="00D8267E" w:rsidRDefault="00CF7044" w:rsidP="00D63204">
            <w:pPr>
              <w:spacing w:line="240" w:lineRule="auto"/>
              <w:ind w:left="-120"/>
              <w:rPr>
                <w:rFonts w:cstheme="minorHAnsi"/>
                <w:color w:val="000000"/>
                <w:sz w:val="16"/>
                <w:szCs w:val="16"/>
              </w:rPr>
            </w:pPr>
          </w:p>
        </w:tc>
        <w:tc>
          <w:tcPr>
            <w:tcW w:w="0" w:type="auto"/>
            <w:tcBorders>
              <w:top w:val="nil"/>
              <w:left w:val="nil"/>
              <w:bottom w:val="single" w:sz="8" w:space="0" w:color="auto"/>
              <w:right w:val="single" w:sz="8" w:space="0" w:color="auto"/>
            </w:tcBorders>
            <w:tcMar>
              <w:top w:w="0" w:type="dxa"/>
              <w:left w:w="108" w:type="dxa"/>
              <w:bottom w:w="0" w:type="dxa"/>
              <w:right w:w="108" w:type="dxa"/>
            </w:tcMar>
            <w:vAlign w:val="center"/>
          </w:tcPr>
          <w:p w14:paraId="09F174CF" w14:textId="77777777" w:rsidR="00CF7044" w:rsidRPr="00D8267E" w:rsidRDefault="00CF7044" w:rsidP="00D63204">
            <w:pPr>
              <w:spacing w:line="240" w:lineRule="auto"/>
              <w:ind w:left="-120"/>
              <w:rPr>
                <w:rFonts w:cstheme="minorHAnsi"/>
                <w:color w:val="000000"/>
                <w:sz w:val="16"/>
                <w:szCs w:val="16"/>
              </w:rPr>
            </w:pPr>
          </w:p>
        </w:tc>
        <w:tc>
          <w:tcPr>
            <w:tcW w:w="0" w:type="auto"/>
            <w:tcBorders>
              <w:top w:val="nil"/>
              <w:left w:val="nil"/>
              <w:bottom w:val="single" w:sz="8" w:space="0" w:color="auto"/>
              <w:right w:val="single" w:sz="8" w:space="0" w:color="auto"/>
            </w:tcBorders>
            <w:tcMar>
              <w:top w:w="0" w:type="dxa"/>
              <w:left w:w="108" w:type="dxa"/>
              <w:bottom w:w="0" w:type="dxa"/>
              <w:right w:w="108" w:type="dxa"/>
            </w:tcMar>
            <w:vAlign w:val="center"/>
          </w:tcPr>
          <w:p w14:paraId="0F1ADB08" w14:textId="77777777" w:rsidR="00CF7044" w:rsidRPr="00D8267E" w:rsidRDefault="00CF7044" w:rsidP="00D63204">
            <w:pPr>
              <w:spacing w:line="240" w:lineRule="auto"/>
              <w:ind w:left="-120"/>
              <w:rPr>
                <w:rFonts w:cstheme="minorHAnsi"/>
                <w:color w:val="000000"/>
                <w:sz w:val="16"/>
                <w:szCs w:val="16"/>
              </w:rPr>
            </w:pPr>
          </w:p>
        </w:tc>
        <w:tc>
          <w:tcPr>
            <w:tcW w:w="0" w:type="auto"/>
            <w:tcBorders>
              <w:top w:val="nil"/>
              <w:left w:val="nil"/>
              <w:bottom w:val="single" w:sz="8" w:space="0" w:color="auto"/>
              <w:right w:val="single" w:sz="8" w:space="0" w:color="auto"/>
            </w:tcBorders>
            <w:tcMar>
              <w:top w:w="0" w:type="dxa"/>
              <w:left w:w="108" w:type="dxa"/>
              <w:bottom w:w="0" w:type="dxa"/>
              <w:right w:w="108" w:type="dxa"/>
            </w:tcMar>
            <w:vAlign w:val="center"/>
          </w:tcPr>
          <w:p w14:paraId="14516D5E" w14:textId="77777777" w:rsidR="00CF7044" w:rsidRPr="00D8267E" w:rsidRDefault="00CF7044" w:rsidP="00D63204">
            <w:pPr>
              <w:spacing w:line="240" w:lineRule="auto"/>
              <w:ind w:left="-120"/>
              <w:rPr>
                <w:rFonts w:cstheme="minorHAnsi"/>
                <w:color w:val="000000"/>
                <w:sz w:val="16"/>
                <w:szCs w:val="16"/>
              </w:rPr>
            </w:pPr>
          </w:p>
        </w:tc>
        <w:tc>
          <w:tcPr>
            <w:tcW w:w="0" w:type="auto"/>
            <w:tcBorders>
              <w:top w:val="nil"/>
              <w:left w:val="nil"/>
              <w:bottom w:val="single" w:sz="8" w:space="0" w:color="auto"/>
              <w:right w:val="single" w:sz="8" w:space="0" w:color="auto"/>
            </w:tcBorders>
            <w:tcMar>
              <w:top w:w="0" w:type="dxa"/>
              <w:left w:w="108" w:type="dxa"/>
              <w:bottom w:w="0" w:type="dxa"/>
              <w:right w:w="108" w:type="dxa"/>
            </w:tcMar>
            <w:vAlign w:val="center"/>
            <w:hideMark/>
          </w:tcPr>
          <w:p w14:paraId="12DD701D" w14:textId="77777777" w:rsidR="00CF7044" w:rsidRPr="00D8267E" w:rsidRDefault="00CF7044" w:rsidP="00D63204">
            <w:pPr>
              <w:spacing w:line="240" w:lineRule="auto"/>
              <w:ind w:left="-120"/>
              <w:rPr>
                <w:rFonts w:cstheme="minorHAnsi"/>
                <w:color w:val="000000"/>
                <w:sz w:val="16"/>
                <w:szCs w:val="16"/>
              </w:rPr>
            </w:pPr>
            <w:r w:rsidRPr="00D8267E">
              <w:rPr>
                <w:rFonts w:cstheme="minorHAnsi"/>
                <w:color w:val="000000"/>
                <w:sz w:val="16"/>
                <w:szCs w:val="16"/>
              </w:rPr>
              <w:t>$27,000.00</w:t>
            </w:r>
          </w:p>
        </w:tc>
        <w:tc>
          <w:tcPr>
            <w:tcW w:w="0" w:type="auto"/>
            <w:tcBorders>
              <w:top w:val="nil"/>
              <w:left w:val="nil"/>
              <w:bottom w:val="single" w:sz="8" w:space="0" w:color="auto"/>
              <w:right w:val="single" w:sz="8" w:space="0" w:color="auto"/>
            </w:tcBorders>
            <w:tcMar>
              <w:top w:w="0" w:type="dxa"/>
              <w:left w:w="108" w:type="dxa"/>
              <w:bottom w:w="0" w:type="dxa"/>
              <w:right w:w="108" w:type="dxa"/>
            </w:tcMar>
            <w:vAlign w:val="center"/>
          </w:tcPr>
          <w:p w14:paraId="5422CE84" w14:textId="77777777" w:rsidR="00CF7044" w:rsidRPr="00D8267E" w:rsidRDefault="00CF7044" w:rsidP="00D63204">
            <w:pPr>
              <w:spacing w:line="240" w:lineRule="auto"/>
              <w:ind w:left="-120"/>
              <w:rPr>
                <w:rFonts w:cstheme="minorHAnsi"/>
                <w:color w:val="000000"/>
                <w:sz w:val="16"/>
                <w:szCs w:val="16"/>
              </w:rPr>
            </w:pPr>
          </w:p>
        </w:tc>
        <w:tc>
          <w:tcPr>
            <w:tcW w:w="0" w:type="auto"/>
            <w:tcBorders>
              <w:top w:val="nil"/>
              <w:left w:val="nil"/>
              <w:bottom w:val="single" w:sz="8" w:space="0" w:color="auto"/>
              <w:right w:val="single" w:sz="8" w:space="0" w:color="auto"/>
            </w:tcBorders>
            <w:tcMar>
              <w:top w:w="0" w:type="dxa"/>
              <w:left w:w="108" w:type="dxa"/>
              <w:bottom w:w="0" w:type="dxa"/>
              <w:right w:w="108" w:type="dxa"/>
            </w:tcMar>
            <w:vAlign w:val="center"/>
          </w:tcPr>
          <w:p w14:paraId="565990D1" w14:textId="77777777" w:rsidR="00CF7044" w:rsidRPr="00D8267E" w:rsidRDefault="00CF7044" w:rsidP="00D63204">
            <w:pPr>
              <w:spacing w:line="240" w:lineRule="auto"/>
              <w:ind w:left="-120"/>
              <w:rPr>
                <w:rFonts w:cstheme="minorHAnsi"/>
                <w:color w:val="000000"/>
                <w:sz w:val="16"/>
                <w:szCs w:val="16"/>
              </w:rPr>
            </w:pPr>
          </w:p>
        </w:tc>
        <w:tc>
          <w:tcPr>
            <w:tcW w:w="0" w:type="auto"/>
            <w:tcBorders>
              <w:top w:val="nil"/>
              <w:left w:val="nil"/>
              <w:bottom w:val="single" w:sz="8" w:space="0" w:color="auto"/>
              <w:right w:val="single" w:sz="8" w:space="0" w:color="auto"/>
            </w:tcBorders>
            <w:tcMar>
              <w:top w:w="0" w:type="dxa"/>
              <w:left w:w="108" w:type="dxa"/>
              <w:bottom w:w="0" w:type="dxa"/>
              <w:right w:w="108" w:type="dxa"/>
            </w:tcMar>
            <w:vAlign w:val="center"/>
          </w:tcPr>
          <w:p w14:paraId="45158D39" w14:textId="77777777" w:rsidR="00CF7044" w:rsidRPr="00D8267E" w:rsidRDefault="00CF7044" w:rsidP="00D63204">
            <w:pPr>
              <w:spacing w:line="240" w:lineRule="auto"/>
              <w:ind w:left="-120"/>
              <w:rPr>
                <w:rFonts w:cstheme="minorHAnsi"/>
                <w:color w:val="000000"/>
                <w:sz w:val="16"/>
                <w:szCs w:val="16"/>
              </w:rPr>
            </w:pPr>
          </w:p>
        </w:tc>
        <w:tc>
          <w:tcPr>
            <w:tcW w:w="856"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6D7A1BD" w14:textId="77777777" w:rsidR="00CF7044" w:rsidRPr="00D8267E" w:rsidRDefault="00CF7044" w:rsidP="00D63204">
            <w:pPr>
              <w:spacing w:line="240" w:lineRule="auto"/>
              <w:ind w:left="-120"/>
              <w:rPr>
                <w:rFonts w:cstheme="minorHAnsi"/>
                <w:color w:val="000000"/>
                <w:sz w:val="16"/>
                <w:szCs w:val="16"/>
              </w:rPr>
            </w:pPr>
            <w:r w:rsidRPr="00D8267E">
              <w:rPr>
                <w:rFonts w:cstheme="minorHAnsi"/>
                <w:color w:val="000000"/>
                <w:sz w:val="16"/>
                <w:szCs w:val="16"/>
              </w:rPr>
              <w:t>$27,000.00</w:t>
            </w:r>
          </w:p>
        </w:tc>
      </w:tr>
      <w:tr w:rsidR="00D8267E" w14:paraId="3E3AF53F" w14:textId="77777777" w:rsidTr="00F55C20">
        <w:trPr>
          <w:trHeight w:hRule="exact" w:val="572"/>
          <w:jc w:val="center"/>
        </w:trPr>
        <w:tc>
          <w:tcPr>
            <w:tcW w:w="0" w:type="auto"/>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2B4AC5AD" w14:textId="77777777" w:rsidR="00CF7044" w:rsidRPr="00D8267E" w:rsidRDefault="00CF7044" w:rsidP="00D63204">
            <w:pPr>
              <w:spacing w:line="240" w:lineRule="auto"/>
              <w:ind w:left="-120"/>
              <w:rPr>
                <w:rFonts w:cstheme="minorHAnsi"/>
                <w:color w:val="000000"/>
                <w:sz w:val="16"/>
                <w:szCs w:val="16"/>
              </w:rPr>
            </w:pPr>
            <w:r w:rsidRPr="00D8267E">
              <w:rPr>
                <w:rFonts w:cstheme="minorHAnsi"/>
                <w:color w:val="000000"/>
                <w:sz w:val="16"/>
                <w:szCs w:val="16"/>
              </w:rPr>
              <w:t>Advertising</w:t>
            </w:r>
          </w:p>
        </w:tc>
        <w:tc>
          <w:tcPr>
            <w:tcW w:w="0" w:type="auto"/>
            <w:tcBorders>
              <w:top w:val="nil"/>
              <w:left w:val="nil"/>
              <w:bottom w:val="single" w:sz="8" w:space="0" w:color="auto"/>
              <w:right w:val="single" w:sz="8" w:space="0" w:color="auto"/>
            </w:tcBorders>
            <w:tcMar>
              <w:top w:w="0" w:type="dxa"/>
              <w:left w:w="108" w:type="dxa"/>
              <w:bottom w:w="0" w:type="dxa"/>
              <w:right w:w="108" w:type="dxa"/>
            </w:tcMar>
            <w:vAlign w:val="center"/>
            <w:hideMark/>
          </w:tcPr>
          <w:p w14:paraId="6E8E3AC3" w14:textId="77777777" w:rsidR="00CF7044" w:rsidRPr="00D8267E" w:rsidRDefault="00CF7044" w:rsidP="00D63204">
            <w:pPr>
              <w:spacing w:line="240" w:lineRule="auto"/>
              <w:ind w:left="-120"/>
              <w:rPr>
                <w:rFonts w:cstheme="minorHAnsi"/>
                <w:color w:val="000000"/>
                <w:sz w:val="16"/>
                <w:szCs w:val="16"/>
              </w:rPr>
            </w:pPr>
            <w:r w:rsidRPr="00D8267E">
              <w:rPr>
                <w:rFonts w:cstheme="minorHAnsi"/>
                <w:color w:val="000000"/>
                <w:sz w:val="16"/>
                <w:szCs w:val="16"/>
              </w:rPr>
              <w:t>$91.00</w:t>
            </w:r>
          </w:p>
        </w:tc>
        <w:tc>
          <w:tcPr>
            <w:tcW w:w="0" w:type="auto"/>
            <w:tcBorders>
              <w:top w:val="nil"/>
              <w:left w:val="nil"/>
              <w:bottom w:val="single" w:sz="8" w:space="0" w:color="auto"/>
              <w:right w:val="single" w:sz="8" w:space="0" w:color="auto"/>
            </w:tcBorders>
            <w:tcMar>
              <w:top w:w="0" w:type="dxa"/>
              <w:left w:w="108" w:type="dxa"/>
              <w:bottom w:w="0" w:type="dxa"/>
              <w:right w:w="108" w:type="dxa"/>
            </w:tcMar>
            <w:vAlign w:val="center"/>
            <w:hideMark/>
          </w:tcPr>
          <w:p w14:paraId="61713E87" w14:textId="77777777" w:rsidR="00CF7044" w:rsidRPr="00D8267E" w:rsidRDefault="00CF7044" w:rsidP="00D63204">
            <w:pPr>
              <w:spacing w:line="240" w:lineRule="auto"/>
              <w:ind w:left="-120"/>
              <w:rPr>
                <w:rFonts w:cstheme="minorHAnsi"/>
                <w:color w:val="000000"/>
                <w:sz w:val="16"/>
                <w:szCs w:val="16"/>
              </w:rPr>
            </w:pPr>
            <w:r w:rsidRPr="00D8267E">
              <w:rPr>
                <w:rFonts w:cstheme="minorHAnsi"/>
                <w:color w:val="000000"/>
                <w:sz w:val="16"/>
                <w:szCs w:val="16"/>
              </w:rPr>
              <w:t>$50.64</w:t>
            </w:r>
          </w:p>
        </w:tc>
        <w:tc>
          <w:tcPr>
            <w:tcW w:w="0" w:type="auto"/>
            <w:tcBorders>
              <w:top w:val="nil"/>
              <w:left w:val="nil"/>
              <w:bottom w:val="single" w:sz="8" w:space="0" w:color="auto"/>
              <w:right w:val="single" w:sz="8" w:space="0" w:color="auto"/>
            </w:tcBorders>
            <w:tcMar>
              <w:top w:w="0" w:type="dxa"/>
              <w:left w:w="108" w:type="dxa"/>
              <w:bottom w:w="0" w:type="dxa"/>
              <w:right w:w="108" w:type="dxa"/>
            </w:tcMar>
            <w:vAlign w:val="center"/>
            <w:hideMark/>
          </w:tcPr>
          <w:p w14:paraId="5078AC44" w14:textId="77777777" w:rsidR="00CF7044" w:rsidRPr="00D8267E" w:rsidRDefault="00CF7044" w:rsidP="00D63204">
            <w:pPr>
              <w:spacing w:line="240" w:lineRule="auto"/>
              <w:ind w:left="-120"/>
              <w:rPr>
                <w:rFonts w:cstheme="minorHAnsi"/>
                <w:color w:val="000000"/>
                <w:sz w:val="16"/>
                <w:szCs w:val="16"/>
              </w:rPr>
            </w:pPr>
            <w:r w:rsidRPr="00D8267E">
              <w:rPr>
                <w:rFonts w:cstheme="minorHAnsi"/>
                <w:color w:val="000000"/>
                <w:sz w:val="16"/>
                <w:szCs w:val="16"/>
              </w:rPr>
              <w:t>$70.42</w:t>
            </w:r>
          </w:p>
        </w:tc>
        <w:tc>
          <w:tcPr>
            <w:tcW w:w="0" w:type="auto"/>
            <w:tcBorders>
              <w:top w:val="nil"/>
              <w:left w:val="nil"/>
              <w:bottom w:val="single" w:sz="8" w:space="0" w:color="auto"/>
              <w:right w:val="single" w:sz="8" w:space="0" w:color="auto"/>
            </w:tcBorders>
            <w:tcMar>
              <w:top w:w="0" w:type="dxa"/>
              <w:left w:w="108" w:type="dxa"/>
              <w:bottom w:w="0" w:type="dxa"/>
              <w:right w:w="108" w:type="dxa"/>
            </w:tcMar>
            <w:vAlign w:val="center"/>
            <w:hideMark/>
          </w:tcPr>
          <w:p w14:paraId="407583C5" w14:textId="77777777" w:rsidR="00CF7044" w:rsidRPr="00D8267E" w:rsidRDefault="00CF7044" w:rsidP="00D63204">
            <w:pPr>
              <w:spacing w:line="240" w:lineRule="auto"/>
              <w:ind w:left="-120"/>
              <w:rPr>
                <w:rFonts w:cstheme="minorHAnsi"/>
                <w:color w:val="000000"/>
                <w:sz w:val="16"/>
                <w:szCs w:val="16"/>
              </w:rPr>
            </w:pPr>
            <w:r w:rsidRPr="00D8267E">
              <w:rPr>
                <w:rFonts w:cstheme="minorHAnsi"/>
                <w:color w:val="000000"/>
                <w:sz w:val="16"/>
                <w:szCs w:val="16"/>
              </w:rPr>
              <w:t>$78.68</w:t>
            </w:r>
          </w:p>
        </w:tc>
        <w:tc>
          <w:tcPr>
            <w:tcW w:w="0" w:type="auto"/>
            <w:tcBorders>
              <w:top w:val="nil"/>
              <w:left w:val="nil"/>
              <w:bottom w:val="single" w:sz="8" w:space="0" w:color="auto"/>
              <w:right w:val="single" w:sz="8" w:space="0" w:color="auto"/>
            </w:tcBorders>
            <w:tcMar>
              <w:top w:w="0" w:type="dxa"/>
              <w:left w:w="108" w:type="dxa"/>
              <w:bottom w:w="0" w:type="dxa"/>
              <w:right w:w="108" w:type="dxa"/>
            </w:tcMar>
            <w:vAlign w:val="bottom"/>
          </w:tcPr>
          <w:p w14:paraId="5EF7810E" w14:textId="7DADC3D2" w:rsidR="00CF7044" w:rsidRPr="00F55C20" w:rsidRDefault="00CF7044" w:rsidP="00F55C20">
            <w:pPr>
              <w:spacing w:line="240" w:lineRule="auto"/>
              <w:rPr>
                <w:sz w:val="16"/>
                <w:szCs w:val="16"/>
              </w:rPr>
            </w:pPr>
            <w:r w:rsidRPr="00F55C20">
              <w:rPr>
                <w:sz w:val="16"/>
                <w:szCs w:val="16"/>
              </w:rPr>
              <w:t>$26.00</w:t>
            </w:r>
          </w:p>
          <w:p w14:paraId="581EDCD0" w14:textId="77777777" w:rsidR="00CF7044" w:rsidRPr="0098069B" w:rsidRDefault="00CF7044" w:rsidP="00F55C20">
            <w:pPr>
              <w:spacing w:line="240" w:lineRule="auto"/>
            </w:pPr>
          </w:p>
        </w:tc>
        <w:tc>
          <w:tcPr>
            <w:tcW w:w="0" w:type="auto"/>
            <w:tcBorders>
              <w:top w:val="nil"/>
              <w:left w:val="nil"/>
              <w:bottom w:val="single" w:sz="8" w:space="0" w:color="auto"/>
              <w:right w:val="single" w:sz="8" w:space="0" w:color="auto"/>
            </w:tcBorders>
            <w:tcMar>
              <w:top w:w="0" w:type="dxa"/>
              <w:left w:w="108" w:type="dxa"/>
              <w:bottom w:w="0" w:type="dxa"/>
              <w:right w:w="108" w:type="dxa"/>
            </w:tcMar>
            <w:vAlign w:val="center"/>
            <w:hideMark/>
          </w:tcPr>
          <w:p w14:paraId="3309F287" w14:textId="77777777" w:rsidR="00CF7044" w:rsidRPr="00D8267E" w:rsidRDefault="00CF7044" w:rsidP="00D63204">
            <w:pPr>
              <w:spacing w:line="240" w:lineRule="auto"/>
              <w:ind w:left="-120"/>
              <w:rPr>
                <w:rFonts w:cstheme="minorHAnsi"/>
                <w:color w:val="000000"/>
                <w:sz w:val="16"/>
                <w:szCs w:val="16"/>
              </w:rPr>
            </w:pPr>
            <w:r w:rsidRPr="00D8267E">
              <w:rPr>
                <w:rFonts w:cstheme="minorHAnsi"/>
                <w:color w:val="000000"/>
                <w:sz w:val="16"/>
                <w:szCs w:val="16"/>
              </w:rPr>
              <w:t>$26.46</w:t>
            </w:r>
          </w:p>
        </w:tc>
        <w:tc>
          <w:tcPr>
            <w:tcW w:w="0" w:type="auto"/>
            <w:tcBorders>
              <w:top w:val="nil"/>
              <w:left w:val="nil"/>
              <w:bottom w:val="single" w:sz="8" w:space="0" w:color="auto"/>
              <w:right w:val="single" w:sz="8" w:space="0" w:color="auto"/>
            </w:tcBorders>
            <w:tcMar>
              <w:top w:w="0" w:type="dxa"/>
              <w:left w:w="108" w:type="dxa"/>
              <w:bottom w:w="0" w:type="dxa"/>
              <w:right w:w="108" w:type="dxa"/>
            </w:tcMar>
            <w:vAlign w:val="center"/>
          </w:tcPr>
          <w:p w14:paraId="1FA9EC27" w14:textId="77777777" w:rsidR="00CF7044" w:rsidRPr="00D8267E" w:rsidRDefault="00CF7044" w:rsidP="00D63204">
            <w:pPr>
              <w:spacing w:line="240" w:lineRule="auto"/>
              <w:ind w:left="-120"/>
              <w:rPr>
                <w:rFonts w:cstheme="minorHAnsi"/>
                <w:color w:val="000000"/>
                <w:sz w:val="16"/>
                <w:szCs w:val="16"/>
              </w:rPr>
            </w:pPr>
          </w:p>
        </w:tc>
        <w:tc>
          <w:tcPr>
            <w:tcW w:w="0" w:type="auto"/>
            <w:tcBorders>
              <w:top w:val="nil"/>
              <w:left w:val="nil"/>
              <w:bottom w:val="single" w:sz="8" w:space="0" w:color="auto"/>
              <w:right w:val="single" w:sz="8" w:space="0" w:color="auto"/>
            </w:tcBorders>
            <w:tcMar>
              <w:top w:w="0" w:type="dxa"/>
              <w:left w:w="108" w:type="dxa"/>
              <w:bottom w:w="0" w:type="dxa"/>
              <w:right w:w="108" w:type="dxa"/>
            </w:tcMar>
            <w:vAlign w:val="center"/>
            <w:hideMark/>
          </w:tcPr>
          <w:p w14:paraId="54D5561B" w14:textId="77777777" w:rsidR="00CF7044" w:rsidRPr="00D8267E" w:rsidRDefault="00CF7044" w:rsidP="00D63204">
            <w:pPr>
              <w:spacing w:line="240" w:lineRule="auto"/>
              <w:ind w:left="-120"/>
              <w:rPr>
                <w:rFonts w:cstheme="minorHAnsi"/>
                <w:color w:val="000000"/>
                <w:sz w:val="16"/>
                <w:szCs w:val="16"/>
              </w:rPr>
            </w:pPr>
            <w:r w:rsidRPr="00D8267E">
              <w:rPr>
                <w:rFonts w:cstheme="minorHAnsi"/>
                <w:color w:val="000000"/>
                <w:sz w:val="16"/>
                <w:szCs w:val="16"/>
              </w:rPr>
              <w:t>$148.12</w:t>
            </w:r>
          </w:p>
        </w:tc>
        <w:tc>
          <w:tcPr>
            <w:tcW w:w="0" w:type="auto"/>
            <w:tcBorders>
              <w:top w:val="nil"/>
              <w:left w:val="nil"/>
              <w:bottom w:val="single" w:sz="8" w:space="0" w:color="auto"/>
              <w:right w:val="single" w:sz="8" w:space="0" w:color="auto"/>
            </w:tcBorders>
            <w:tcMar>
              <w:top w:w="0" w:type="dxa"/>
              <w:left w:w="108" w:type="dxa"/>
              <w:bottom w:w="0" w:type="dxa"/>
              <w:right w:w="108" w:type="dxa"/>
            </w:tcMar>
            <w:vAlign w:val="center"/>
            <w:hideMark/>
          </w:tcPr>
          <w:p w14:paraId="17551DA8" w14:textId="77777777" w:rsidR="00CF7044" w:rsidRPr="00D8267E" w:rsidRDefault="00CF7044" w:rsidP="00D63204">
            <w:pPr>
              <w:spacing w:line="240" w:lineRule="auto"/>
              <w:ind w:left="-120"/>
              <w:rPr>
                <w:rFonts w:cstheme="minorHAnsi"/>
                <w:color w:val="000000"/>
                <w:sz w:val="16"/>
                <w:szCs w:val="16"/>
              </w:rPr>
            </w:pPr>
            <w:r w:rsidRPr="00D8267E">
              <w:rPr>
                <w:rFonts w:cstheme="minorHAnsi"/>
                <w:color w:val="000000"/>
                <w:sz w:val="16"/>
                <w:szCs w:val="16"/>
              </w:rPr>
              <w:t>$135.52</w:t>
            </w:r>
          </w:p>
        </w:tc>
        <w:tc>
          <w:tcPr>
            <w:tcW w:w="0" w:type="auto"/>
            <w:tcBorders>
              <w:top w:val="nil"/>
              <w:left w:val="nil"/>
              <w:bottom w:val="single" w:sz="8" w:space="0" w:color="auto"/>
              <w:right w:val="single" w:sz="8" w:space="0" w:color="auto"/>
            </w:tcBorders>
            <w:tcMar>
              <w:top w:w="0" w:type="dxa"/>
              <w:left w:w="108" w:type="dxa"/>
              <w:bottom w:w="0" w:type="dxa"/>
              <w:right w:w="108" w:type="dxa"/>
            </w:tcMar>
            <w:vAlign w:val="center"/>
            <w:hideMark/>
          </w:tcPr>
          <w:p w14:paraId="375F7353" w14:textId="77777777" w:rsidR="00CF7044" w:rsidRPr="00D8267E" w:rsidRDefault="00CF7044" w:rsidP="00D63204">
            <w:pPr>
              <w:spacing w:line="240" w:lineRule="auto"/>
              <w:ind w:left="-120"/>
              <w:rPr>
                <w:rFonts w:cstheme="minorHAnsi"/>
                <w:color w:val="000000"/>
                <w:sz w:val="16"/>
                <w:szCs w:val="16"/>
              </w:rPr>
            </w:pPr>
            <w:r w:rsidRPr="00D8267E">
              <w:rPr>
                <w:rFonts w:cstheme="minorHAnsi"/>
                <w:color w:val="000000"/>
                <w:sz w:val="16"/>
                <w:szCs w:val="16"/>
              </w:rPr>
              <w:t>$87.08</w:t>
            </w:r>
          </w:p>
        </w:tc>
        <w:tc>
          <w:tcPr>
            <w:tcW w:w="0" w:type="auto"/>
            <w:tcBorders>
              <w:top w:val="nil"/>
              <w:left w:val="nil"/>
              <w:bottom w:val="single" w:sz="8" w:space="0" w:color="auto"/>
              <w:right w:val="single" w:sz="8" w:space="0" w:color="auto"/>
            </w:tcBorders>
            <w:tcMar>
              <w:top w:w="0" w:type="dxa"/>
              <w:left w:w="108" w:type="dxa"/>
              <w:bottom w:w="0" w:type="dxa"/>
              <w:right w:w="108" w:type="dxa"/>
            </w:tcMar>
            <w:vAlign w:val="center"/>
            <w:hideMark/>
          </w:tcPr>
          <w:p w14:paraId="63D800F4" w14:textId="77777777" w:rsidR="00CF7044" w:rsidRPr="00D8267E" w:rsidRDefault="00CF7044" w:rsidP="00D63204">
            <w:pPr>
              <w:spacing w:line="240" w:lineRule="auto"/>
              <w:ind w:left="-120"/>
              <w:rPr>
                <w:rFonts w:cstheme="minorHAnsi"/>
                <w:color w:val="000000"/>
                <w:sz w:val="16"/>
                <w:szCs w:val="16"/>
              </w:rPr>
            </w:pPr>
            <w:r w:rsidRPr="00D8267E">
              <w:rPr>
                <w:rFonts w:cstheme="minorHAnsi"/>
                <w:color w:val="000000"/>
                <w:sz w:val="16"/>
                <w:szCs w:val="16"/>
              </w:rPr>
              <w:t>$107.88</w:t>
            </w:r>
          </w:p>
        </w:tc>
        <w:tc>
          <w:tcPr>
            <w:tcW w:w="0" w:type="auto"/>
            <w:tcBorders>
              <w:top w:val="nil"/>
              <w:left w:val="nil"/>
              <w:bottom w:val="single" w:sz="8" w:space="0" w:color="auto"/>
              <w:right w:val="single" w:sz="8" w:space="0" w:color="auto"/>
            </w:tcBorders>
            <w:tcMar>
              <w:top w:w="0" w:type="dxa"/>
              <w:left w:w="108" w:type="dxa"/>
              <w:bottom w:w="0" w:type="dxa"/>
              <w:right w:w="108" w:type="dxa"/>
            </w:tcMar>
            <w:vAlign w:val="center"/>
            <w:hideMark/>
          </w:tcPr>
          <w:p w14:paraId="70A98D9E" w14:textId="77777777" w:rsidR="00CF7044" w:rsidRPr="00D8267E" w:rsidRDefault="00CF7044" w:rsidP="00D63204">
            <w:pPr>
              <w:spacing w:line="240" w:lineRule="auto"/>
              <w:ind w:left="-120"/>
              <w:rPr>
                <w:rFonts w:cstheme="minorHAnsi"/>
                <w:color w:val="000000"/>
                <w:sz w:val="16"/>
                <w:szCs w:val="16"/>
              </w:rPr>
            </w:pPr>
            <w:r w:rsidRPr="00D8267E">
              <w:rPr>
                <w:rFonts w:cstheme="minorHAnsi"/>
                <w:color w:val="000000"/>
                <w:sz w:val="16"/>
                <w:szCs w:val="16"/>
              </w:rPr>
              <w:t>$27.86</w:t>
            </w:r>
          </w:p>
        </w:tc>
        <w:tc>
          <w:tcPr>
            <w:tcW w:w="856"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33AAE5B4" w14:textId="77777777" w:rsidR="00CF7044" w:rsidRPr="00D8267E" w:rsidRDefault="00CF7044" w:rsidP="00D63204">
            <w:pPr>
              <w:spacing w:line="240" w:lineRule="auto"/>
              <w:ind w:left="-120"/>
              <w:rPr>
                <w:rFonts w:cstheme="minorHAnsi"/>
                <w:color w:val="000000"/>
                <w:sz w:val="16"/>
                <w:szCs w:val="16"/>
              </w:rPr>
            </w:pPr>
            <w:r w:rsidRPr="00D8267E">
              <w:rPr>
                <w:rFonts w:cstheme="minorHAnsi"/>
                <w:color w:val="000000"/>
                <w:sz w:val="16"/>
                <w:szCs w:val="16"/>
              </w:rPr>
              <w:t>$849.66</w:t>
            </w:r>
          </w:p>
        </w:tc>
      </w:tr>
      <w:tr w:rsidR="00D8267E" w14:paraId="7F3E7FC4" w14:textId="77777777" w:rsidTr="00F55C20">
        <w:trPr>
          <w:trHeight w:hRule="exact" w:val="851"/>
          <w:jc w:val="center"/>
        </w:trPr>
        <w:tc>
          <w:tcPr>
            <w:tcW w:w="0" w:type="auto"/>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76DF36F8" w14:textId="77777777" w:rsidR="00CF7044" w:rsidRPr="00D8267E" w:rsidRDefault="00CF7044" w:rsidP="00D63204">
            <w:pPr>
              <w:spacing w:line="240" w:lineRule="auto"/>
              <w:ind w:left="-120"/>
              <w:rPr>
                <w:rFonts w:cstheme="minorHAnsi"/>
                <w:color w:val="000000"/>
                <w:sz w:val="16"/>
                <w:szCs w:val="16"/>
              </w:rPr>
            </w:pPr>
            <w:r w:rsidRPr="00D8267E">
              <w:rPr>
                <w:rFonts w:cstheme="minorHAnsi"/>
                <w:color w:val="000000"/>
                <w:sz w:val="16"/>
                <w:szCs w:val="16"/>
              </w:rPr>
              <w:t>Venue Meeting Space</w:t>
            </w:r>
          </w:p>
        </w:tc>
        <w:tc>
          <w:tcPr>
            <w:tcW w:w="0" w:type="auto"/>
            <w:tcBorders>
              <w:top w:val="nil"/>
              <w:left w:val="nil"/>
              <w:bottom w:val="single" w:sz="8" w:space="0" w:color="auto"/>
              <w:right w:val="single" w:sz="8" w:space="0" w:color="auto"/>
            </w:tcBorders>
            <w:tcMar>
              <w:top w:w="0" w:type="dxa"/>
              <w:left w:w="108" w:type="dxa"/>
              <w:bottom w:w="0" w:type="dxa"/>
              <w:right w:w="108" w:type="dxa"/>
            </w:tcMar>
            <w:vAlign w:val="center"/>
          </w:tcPr>
          <w:p w14:paraId="6C4CB410" w14:textId="77777777" w:rsidR="00CF7044" w:rsidRPr="00D8267E" w:rsidRDefault="00CF7044" w:rsidP="00D63204">
            <w:pPr>
              <w:spacing w:line="240" w:lineRule="auto"/>
              <w:ind w:left="-120"/>
              <w:rPr>
                <w:rFonts w:cstheme="minorHAnsi"/>
                <w:color w:val="000000"/>
                <w:sz w:val="16"/>
                <w:szCs w:val="16"/>
              </w:rPr>
            </w:pPr>
          </w:p>
        </w:tc>
        <w:tc>
          <w:tcPr>
            <w:tcW w:w="0" w:type="auto"/>
            <w:tcBorders>
              <w:top w:val="nil"/>
              <w:left w:val="nil"/>
              <w:bottom w:val="single" w:sz="8" w:space="0" w:color="auto"/>
              <w:right w:val="single" w:sz="8" w:space="0" w:color="auto"/>
            </w:tcBorders>
            <w:tcMar>
              <w:top w:w="0" w:type="dxa"/>
              <w:left w:w="108" w:type="dxa"/>
              <w:bottom w:w="0" w:type="dxa"/>
              <w:right w:w="108" w:type="dxa"/>
            </w:tcMar>
            <w:vAlign w:val="center"/>
          </w:tcPr>
          <w:p w14:paraId="55A4C046" w14:textId="77777777" w:rsidR="00CF7044" w:rsidRPr="00D8267E" w:rsidRDefault="00CF7044" w:rsidP="00D63204">
            <w:pPr>
              <w:spacing w:line="240" w:lineRule="auto"/>
              <w:ind w:left="-120"/>
              <w:rPr>
                <w:rFonts w:cstheme="minorHAnsi"/>
                <w:color w:val="000000"/>
                <w:sz w:val="16"/>
                <w:szCs w:val="16"/>
              </w:rPr>
            </w:pPr>
          </w:p>
        </w:tc>
        <w:tc>
          <w:tcPr>
            <w:tcW w:w="0" w:type="auto"/>
            <w:tcBorders>
              <w:top w:val="nil"/>
              <w:left w:val="nil"/>
              <w:bottom w:val="single" w:sz="8" w:space="0" w:color="auto"/>
              <w:right w:val="single" w:sz="8" w:space="0" w:color="auto"/>
            </w:tcBorders>
            <w:tcMar>
              <w:top w:w="0" w:type="dxa"/>
              <w:left w:w="108" w:type="dxa"/>
              <w:bottom w:w="0" w:type="dxa"/>
              <w:right w:w="108" w:type="dxa"/>
            </w:tcMar>
            <w:vAlign w:val="center"/>
          </w:tcPr>
          <w:p w14:paraId="2C711E04" w14:textId="77777777" w:rsidR="00CF7044" w:rsidRPr="00D8267E" w:rsidRDefault="00CF7044" w:rsidP="00D63204">
            <w:pPr>
              <w:spacing w:line="240" w:lineRule="auto"/>
              <w:ind w:left="-120"/>
              <w:rPr>
                <w:rFonts w:cstheme="minorHAnsi"/>
                <w:color w:val="000000"/>
                <w:sz w:val="16"/>
                <w:szCs w:val="16"/>
              </w:rPr>
            </w:pPr>
          </w:p>
        </w:tc>
        <w:tc>
          <w:tcPr>
            <w:tcW w:w="0" w:type="auto"/>
            <w:tcBorders>
              <w:top w:val="nil"/>
              <w:left w:val="nil"/>
              <w:bottom w:val="single" w:sz="8" w:space="0" w:color="auto"/>
              <w:right w:val="single" w:sz="8" w:space="0" w:color="auto"/>
            </w:tcBorders>
            <w:tcMar>
              <w:top w:w="0" w:type="dxa"/>
              <w:left w:w="108" w:type="dxa"/>
              <w:bottom w:w="0" w:type="dxa"/>
              <w:right w:w="108" w:type="dxa"/>
            </w:tcMar>
            <w:vAlign w:val="center"/>
          </w:tcPr>
          <w:p w14:paraId="0A99381A" w14:textId="77777777" w:rsidR="00CF7044" w:rsidRPr="00D8267E" w:rsidRDefault="00CF7044" w:rsidP="00D63204">
            <w:pPr>
              <w:spacing w:line="240" w:lineRule="auto"/>
              <w:ind w:left="-120"/>
              <w:rPr>
                <w:rFonts w:cstheme="minorHAnsi"/>
                <w:color w:val="000000"/>
                <w:sz w:val="16"/>
                <w:szCs w:val="16"/>
              </w:rPr>
            </w:pPr>
          </w:p>
        </w:tc>
        <w:tc>
          <w:tcPr>
            <w:tcW w:w="0" w:type="auto"/>
            <w:tcBorders>
              <w:top w:val="nil"/>
              <w:left w:val="nil"/>
              <w:bottom w:val="single" w:sz="8" w:space="0" w:color="auto"/>
              <w:right w:val="single" w:sz="8" w:space="0" w:color="auto"/>
            </w:tcBorders>
            <w:tcMar>
              <w:top w:w="0" w:type="dxa"/>
              <w:left w:w="108" w:type="dxa"/>
              <w:bottom w:w="0" w:type="dxa"/>
              <w:right w:w="108" w:type="dxa"/>
            </w:tcMar>
            <w:vAlign w:val="center"/>
            <w:hideMark/>
          </w:tcPr>
          <w:p w14:paraId="3309FD36" w14:textId="77777777" w:rsidR="00CF7044" w:rsidRPr="00D8267E" w:rsidRDefault="00CF7044" w:rsidP="00D63204">
            <w:pPr>
              <w:spacing w:line="240" w:lineRule="auto"/>
              <w:ind w:left="-120"/>
              <w:rPr>
                <w:rFonts w:cstheme="minorHAnsi"/>
                <w:color w:val="000000"/>
                <w:sz w:val="16"/>
                <w:szCs w:val="16"/>
              </w:rPr>
            </w:pPr>
            <w:r w:rsidRPr="00D8267E">
              <w:rPr>
                <w:rFonts w:cstheme="minorHAnsi"/>
                <w:color w:val="000000"/>
                <w:sz w:val="16"/>
                <w:szCs w:val="16"/>
              </w:rPr>
              <w:t>$2,257.00</w:t>
            </w:r>
          </w:p>
        </w:tc>
        <w:tc>
          <w:tcPr>
            <w:tcW w:w="0" w:type="auto"/>
            <w:tcBorders>
              <w:top w:val="nil"/>
              <w:left w:val="nil"/>
              <w:bottom w:val="single" w:sz="8" w:space="0" w:color="auto"/>
              <w:right w:val="single" w:sz="8" w:space="0" w:color="auto"/>
            </w:tcBorders>
            <w:tcMar>
              <w:top w:w="0" w:type="dxa"/>
              <w:left w:w="108" w:type="dxa"/>
              <w:bottom w:w="0" w:type="dxa"/>
              <w:right w:w="108" w:type="dxa"/>
            </w:tcMar>
            <w:vAlign w:val="center"/>
            <w:hideMark/>
          </w:tcPr>
          <w:p w14:paraId="2143CA33" w14:textId="77777777" w:rsidR="00CF7044" w:rsidRPr="00D8267E" w:rsidRDefault="00CF7044" w:rsidP="00D63204">
            <w:pPr>
              <w:spacing w:line="240" w:lineRule="auto"/>
              <w:ind w:left="-120"/>
              <w:rPr>
                <w:rFonts w:cstheme="minorHAnsi"/>
                <w:color w:val="000000"/>
                <w:sz w:val="16"/>
                <w:szCs w:val="16"/>
              </w:rPr>
            </w:pPr>
            <w:r w:rsidRPr="00D8267E">
              <w:rPr>
                <w:rFonts w:cstheme="minorHAnsi"/>
                <w:color w:val="000000"/>
                <w:sz w:val="16"/>
                <w:szCs w:val="16"/>
              </w:rPr>
              <w:t>$20.03</w:t>
            </w:r>
          </w:p>
        </w:tc>
        <w:tc>
          <w:tcPr>
            <w:tcW w:w="0" w:type="auto"/>
            <w:tcBorders>
              <w:top w:val="nil"/>
              <w:left w:val="nil"/>
              <w:bottom w:val="single" w:sz="8" w:space="0" w:color="auto"/>
              <w:right w:val="single" w:sz="8" w:space="0" w:color="auto"/>
            </w:tcBorders>
            <w:tcMar>
              <w:top w:w="0" w:type="dxa"/>
              <w:left w:w="108" w:type="dxa"/>
              <w:bottom w:w="0" w:type="dxa"/>
              <w:right w:w="108" w:type="dxa"/>
            </w:tcMar>
            <w:vAlign w:val="center"/>
          </w:tcPr>
          <w:p w14:paraId="40B0C83D" w14:textId="77777777" w:rsidR="00CF7044" w:rsidRPr="00D8267E" w:rsidRDefault="00CF7044" w:rsidP="00D63204">
            <w:pPr>
              <w:spacing w:line="240" w:lineRule="auto"/>
              <w:ind w:left="-120"/>
              <w:rPr>
                <w:rFonts w:cstheme="minorHAnsi"/>
                <w:color w:val="000000"/>
                <w:sz w:val="16"/>
                <w:szCs w:val="16"/>
              </w:rPr>
            </w:pPr>
          </w:p>
        </w:tc>
        <w:tc>
          <w:tcPr>
            <w:tcW w:w="0" w:type="auto"/>
            <w:tcBorders>
              <w:top w:val="nil"/>
              <w:left w:val="nil"/>
              <w:bottom w:val="single" w:sz="8" w:space="0" w:color="auto"/>
              <w:right w:val="single" w:sz="8" w:space="0" w:color="auto"/>
            </w:tcBorders>
            <w:tcMar>
              <w:top w:w="0" w:type="dxa"/>
              <w:left w:w="108" w:type="dxa"/>
              <w:bottom w:w="0" w:type="dxa"/>
              <w:right w:w="108" w:type="dxa"/>
            </w:tcMar>
            <w:vAlign w:val="center"/>
          </w:tcPr>
          <w:p w14:paraId="58FEB176" w14:textId="77777777" w:rsidR="00CF7044" w:rsidRPr="00D8267E" w:rsidRDefault="00CF7044" w:rsidP="00D63204">
            <w:pPr>
              <w:spacing w:line="240" w:lineRule="auto"/>
              <w:ind w:left="-120"/>
              <w:rPr>
                <w:rFonts w:cstheme="minorHAnsi"/>
                <w:color w:val="000000"/>
                <w:sz w:val="16"/>
                <w:szCs w:val="16"/>
              </w:rPr>
            </w:pPr>
          </w:p>
        </w:tc>
        <w:tc>
          <w:tcPr>
            <w:tcW w:w="0" w:type="auto"/>
            <w:tcBorders>
              <w:top w:val="nil"/>
              <w:left w:val="nil"/>
              <w:bottom w:val="single" w:sz="8" w:space="0" w:color="auto"/>
              <w:right w:val="single" w:sz="8" w:space="0" w:color="auto"/>
            </w:tcBorders>
            <w:tcMar>
              <w:top w:w="0" w:type="dxa"/>
              <w:left w:w="108" w:type="dxa"/>
              <w:bottom w:w="0" w:type="dxa"/>
              <w:right w:w="108" w:type="dxa"/>
            </w:tcMar>
            <w:vAlign w:val="center"/>
          </w:tcPr>
          <w:p w14:paraId="3DEAEBE3" w14:textId="77777777" w:rsidR="00CF7044" w:rsidRPr="00D8267E" w:rsidRDefault="00CF7044" w:rsidP="00D63204">
            <w:pPr>
              <w:spacing w:line="240" w:lineRule="auto"/>
              <w:ind w:left="-120"/>
              <w:rPr>
                <w:rFonts w:cstheme="minorHAnsi"/>
                <w:color w:val="000000"/>
                <w:sz w:val="16"/>
                <w:szCs w:val="16"/>
              </w:rPr>
            </w:pPr>
          </w:p>
        </w:tc>
        <w:tc>
          <w:tcPr>
            <w:tcW w:w="0" w:type="auto"/>
            <w:tcBorders>
              <w:top w:val="nil"/>
              <w:left w:val="nil"/>
              <w:bottom w:val="single" w:sz="8" w:space="0" w:color="auto"/>
              <w:right w:val="single" w:sz="8" w:space="0" w:color="auto"/>
            </w:tcBorders>
            <w:tcMar>
              <w:top w:w="0" w:type="dxa"/>
              <w:left w:w="108" w:type="dxa"/>
              <w:bottom w:w="0" w:type="dxa"/>
              <w:right w:w="108" w:type="dxa"/>
            </w:tcMar>
            <w:vAlign w:val="center"/>
            <w:hideMark/>
          </w:tcPr>
          <w:p w14:paraId="78682C24" w14:textId="77777777" w:rsidR="00CF7044" w:rsidRPr="00D8267E" w:rsidRDefault="00CF7044" w:rsidP="00D63204">
            <w:pPr>
              <w:spacing w:line="240" w:lineRule="auto"/>
              <w:ind w:left="-120"/>
              <w:rPr>
                <w:rFonts w:cstheme="minorHAnsi"/>
                <w:color w:val="000000"/>
                <w:sz w:val="16"/>
                <w:szCs w:val="16"/>
              </w:rPr>
            </w:pPr>
            <w:r w:rsidRPr="00D8267E">
              <w:rPr>
                <w:rFonts w:cstheme="minorHAnsi"/>
                <w:color w:val="000000"/>
                <w:sz w:val="16"/>
                <w:szCs w:val="16"/>
              </w:rPr>
              <w:t>$1,488.00</w:t>
            </w:r>
          </w:p>
        </w:tc>
        <w:tc>
          <w:tcPr>
            <w:tcW w:w="0" w:type="auto"/>
            <w:tcBorders>
              <w:top w:val="nil"/>
              <w:left w:val="nil"/>
              <w:bottom w:val="single" w:sz="8" w:space="0" w:color="auto"/>
              <w:right w:val="single" w:sz="8" w:space="0" w:color="auto"/>
            </w:tcBorders>
            <w:tcMar>
              <w:top w:w="0" w:type="dxa"/>
              <w:left w:w="108" w:type="dxa"/>
              <w:bottom w:w="0" w:type="dxa"/>
              <w:right w:w="108" w:type="dxa"/>
            </w:tcMar>
            <w:vAlign w:val="center"/>
          </w:tcPr>
          <w:p w14:paraId="4F72689F" w14:textId="77777777" w:rsidR="00CF7044" w:rsidRPr="00D8267E" w:rsidRDefault="00CF7044" w:rsidP="00D63204">
            <w:pPr>
              <w:spacing w:line="240" w:lineRule="auto"/>
              <w:ind w:left="-120"/>
              <w:rPr>
                <w:rFonts w:cstheme="minorHAnsi"/>
                <w:color w:val="000000"/>
                <w:sz w:val="16"/>
                <w:szCs w:val="16"/>
              </w:rPr>
            </w:pPr>
          </w:p>
        </w:tc>
        <w:tc>
          <w:tcPr>
            <w:tcW w:w="0" w:type="auto"/>
            <w:tcBorders>
              <w:top w:val="nil"/>
              <w:left w:val="nil"/>
              <w:bottom w:val="single" w:sz="8" w:space="0" w:color="auto"/>
              <w:right w:val="single" w:sz="8" w:space="0" w:color="auto"/>
            </w:tcBorders>
            <w:tcMar>
              <w:top w:w="0" w:type="dxa"/>
              <w:left w:w="108" w:type="dxa"/>
              <w:bottom w:w="0" w:type="dxa"/>
              <w:right w:w="108" w:type="dxa"/>
            </w:tcMar>
            <w:vAlign w:val="center"/>
          </w:tcPr>
          <w:p w14:paraId="73248C3A" w14:textId="77777777" w:rsidR="00CF7044" w:rsidRPr="00D8267E" w:rsidRDefault="00CF7044" w:rsidP="00D63204">
            <w:pPr>
              <w:spacing w:line="240" w:lineRule="auto"/>
              <w:ind w:left="-120"/>
              <w:rPr>
                <w:rFonts w:cstheme="minorHAnsi"/>
                <w:color w:val="000000"/>
                <w:sz w:val="16"/>
                <w:szCs w:val="16"/>
              </w:rPr>
            </w:pPr>
          </w:p>
        </w:tc>
        <w:tc>
          <w:tcPr>
            <w:tcW w:w="856"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5C247F8F" w14:textId="77777777" w:rsidR="00CF7044" w:rsidRPr="00D8267E" w:rsidRDefault="00CF7044" w:rsidP="00D63204">
            <w:pPr>
              <w:spacing w:line="240" w:lineRule="auto"/>
              <w:ind w:left="-120"/>
              <w:rPr>
                <w:rFonts w:cstheme="minorHAnsi"/>
                <w:color w:val="000000"/>
                <w:sz w:val="16"/>
                <w:szCs w:val="16"/>
              </w:rPr>
            </w:pPr>
            <w:r w:rsidRPr="00D8267E">
              <w:rPr>
                <w:rFonts w:cstheme="minorHAnsi"/>
                <w:color w:val="000000"/>
                <w:sz w:val="16"/>
                <w:szCs w:val="16"/>
              </w:rPr>
              <w:t>$4,665.03</w:t>
            </w:r>
          </w:p>
        </w:tc>
      </w:tr>
      <w:tr w:rsidR="00D8267E" w14:paraId="670C0F09" w14:textId="77777777" w:rsidTr="00F55C20">
        <w:trPr>
          <w:trHeight w:hRule="exact" w:val="572"/>
          <w:jc w:val="center"/>
        </w:trPr>
        <w:tc>
          <w:tcPr>
            <w:tcW w:w="0" w:type="auto"/>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1BB874D9" w14:textId="77777777" w:rsidR="00CF7044" w:rsidRPr="00D8267E" w:rsidRDefault="00CF7044" w:rsidP="00D63204">
            <w:pPr>
              <w:spacing w:line="240" w:lineRule="auto"/>
              <w:ind w:left="-120"/>
              <w:rPr>
                <w:rFonts w:cstheme="minorHAnsi"/>
                <w:color w:val="000000"/>
                <w:sz w:val="16"/>
                <w:szCs w:val="16"/>
              </w:rPr>
            </w:pPr>
            <w:r w:rsidRPr="00D8267E">
              <w:rPr>
                <w:rFonts w:cstheme="minorHAnsi"/>
                <w:color w:val="000000"/>
                <w:sz w:val="16"/>
                <w:szCs w:val="16"/>
              </w:rPr>
              <w:t>Supplies</w:t>
            </w:r>
          </w:p>
        </w:tc>
        <w:tc>
          <w:tcPr>
            <w:tcW w:w="0" w:type="auto"/>
            <w:tcBorders>
              <w:top w:val="nil"/>
              <w:left w:val="nil"/>
              <w:bottom w:val="single" w:sz="8" w:space="0" w:color="auto"/>
              <w:right w:val="single" w:sz="8" w:space="0" w:color="auto"/>
            </w:tcBorders>
            <w:tcMar>
              <w:top w:w="0" w:type="dxa"/>
              <w:left w:w="108" w:type="dxa"/>
              <w:bottom w:w="0" w:type="dxa"/>
              <w:right w:w="108" w:type="dxa"/>
            </w:tcMar>
            <w:vAlign w:val="center"/>
          </w:tcPr>
          <w:p w14:paraId="0E675904" w14:textId="77777777" w:rsidR="00CF7044" w:rsidRPr="00D8267E" w:rsidRDefault="00CF7044" w:rsidP="00D63204">
            <w:pPr>
              <w:spacing w:line="240" w:lineRule="auto"/>
              <w:ind w:left="-120"/>
              <w:rPr>
                <w:rFonts w:cstheme="minorHAnsi"/>
                <w:color w:val="000000"/>
                <w:sz w:val="16"/>
                <w:szCs w:val="16"/>
              </w:rPr>
            </w:pPr>
          </w:p>
        </w:tc>
        <w:tc>
          <w:tcPr>
            <w:tcW w:w="0" w:type="auto"/>
            <w:tcBorders>
              <w:top w:val="nil"/>
              <w:left w:val="nil"/>
              <w:bottom w:val="single" w:sz="8" w:space="0" w:color="auto"/>
              <w:right w:val="single" w:sz="8" w:space="0" w:color="auto"/>
            </w:tcBorders>
            <w:tcMar>
              <w:top w:w="0" w:type="dxa"/>
              <w:left w:w="108" w:type="dxa"/>
              <w:bottom w:w="0" w:type="dxa"/>
              <w:right w:w="108" w:type="dxa"/>
            </w:tcMar>
            <w:vAlign w:val="center"/>
          </w:tcPr>
          <w:p w14:paraId="2DCE9A10" w14:textId="77777777" w:rsidR="00CF7044" w:rsidRPr="00D8267E" w:rsidRDefault="00CF7044" w:rsidP="00D63204">
            <w:pPr>
              <w:spacing w:line="240" w:lineRule="auto"/>
              <w:ind w:left="-120"/>
              <w:rPr>
                <w:rFonts w:cstheme="minorHAnsi"/>
                <w:color w:val="000000"/>
                <w:sz w:val="16"/>
                <w:szCs w:val="16"/>
              </w:rPr>
            </w:pPr>
          </w:p>
        </w:tc>
        <w:tc>
          <w:tcPr>
            <w:tcW w:w="0" w:type="auto"/>
            <w:tcBorders>
              <w:top w:val="nil"/>
              <w:left w:val="nil"/>
              <w:bottom w:val="single" w:sz="8" w:space="0" w:color="auto"/>
              <w:right w:val="single" w:sz="8" w:space="0" w:color="auto"/>
            </w:tcBorders>
            <w:tcMar>
              <w:top w:w="0" w:type="dxa"/>
              <w:left w:w="108" w:type="dxa"/>
              <w:bottom w:w="0" w:type="dxa"/>
              <w:right w:w="108" w:type="dxa"/>
            </w:tcMar>
            <w:vAlign w:val="center"/>
          </w:tcPr>
          <w:p w14:paraId="69F926B6" w14:textId="77777777" w:rsidR="00CF7044" w:rsidRPr="00D8267E" w:rsidRDefault="00CF7044" w:rsidP="00D63204">
            <w:pPr>
              <w:spacing w:line="240" w:lineRule="auto"/>
              <w:ind w:left="-120"/>
              <w:rPr>
                <w:rFonts w:cstheme="minorHAnsi"/>
                <w:color w:val="000000"/>
                <w:sz w:val="16"/>
                <w:szCs w:val="16"/>
              </w:rPr>
            </w:pPr>
          </w:p>
        </w:tc>
        <w:tc>
          <w:tcPr>
            <w:tcW w:w="0" w:type="auto"/>
            <w:tcBorders>
              <w:top w:val="nil"/>
              <w:left w:val="nil"/>
              <w:bottom w:val="single" w:sz="8" w:space="0" w:color="auto"/>
              <w:right w:val="single" w:sz="8" w:space="0" w:color="auto"/>
            </w:tcBorders>
            <w:tcMar>
              <w:top w:w="0" w:type="dxa"/>
              <w:left w:w="108" w:type="dxa"/>
              <w:bottom w:w="0" w:type="dxa"/>
              <w:right w:w="108" w:type="dxa"/>
            </w:tcMar>
            <w:vAlign w:val="center"/>
          </w:tcPr>
          <w:p w14:paraId="164EF839" w14:textId="77777777" w:rsidR="00CF7044" w:rsidRPr="00D8267E" w:rsidRDefault="00CF7044" w:rsidP="00D63204">
            <w:pPr>
              <w:spacing w:line="240" w:lineRule="auto"/>
              <w:ind w:left="-120"/>
              <w:rPr>
                <w:rFonts w:cstheme="minorHAnsi"/>
                <w:color w:val="000000"/>
                <w:sz w:val="16"/>
                <w:szCs w:val="16"/>
              </w:rPr>
            </w:pPr>
          </w:p>
        </w:tc>
        <w:tc>
          <w:tcPr>
            <w:tcW w:w="0" w:type="auto"/>
            <w:tcBorders>
              <w:top w:val="nil"/>
              <w:left w:val="nil"/>
              <w:bottom w:val="single" w:sz="8" w:space="0" w:color="auto"/>
              <w:right w:val="single" w:sz="8" w:space="0" w:color="auto"/>
            </w:tcBorders>
            <w:tcMar>
              <w:top w:w="0" w:type="dxa"/>
              <w:left w:w="108" w:type="dxa"/>
              <w:bottom w:w="0" w:type="dxa"/>
              <w:right w:w="108" w:type="dxa"/>
            </w:tcMar>
            <w:vAlign w:val="center"/>
          </w:tcPr>
          <w:p w14:paraId="6E956FF5" w14:textId="77777777" w:rsidR="00CF7044" w:rsidRPr="00D8267E" w:rsidRDefault="00CF7044" w:rsidP="00D63204">
            <w:pPr>
              <w:spacing w:line="240" w:lineRule="auto"/>
              <w:ind w:left="-120"/>
              <w:rPr>
                <w:rFonts w:cstheme="minorHAnsi"/>
                <w:color w:val="000000"/>
                <w:sz w:val="16"/>
                <w:szCs w:val="16"/>
              </w:rPr>
            </w:pPr>
          </w:p>
        </w:tc>
        <w:tc>
          <w:tcPr>
            <w:tcW w:w="0" w:type="auto"/>
            <w:tcBorders>
              <w:top w:val="nil"/>
              <w:left w:val="nil"/>
              <w:bottom w:val="single" w:sz="8" w:space="0" w:color="auto"/>
              <w:right w:val="single" w:sz="8" w:space="0" w:color="auto"/>
            </w:tcBorders>
            <w:tcMar>
              <w:top w:w="0" w:type="dxa"/>
              <w:left w:w="108" w:type="dxa"/>
              <w:bottom w:w="0" w:type="dxa"/>
              <w:right w:w="108" w:type="dxa"/>
            </w:tcMar>
            <w:vAlign w:val="center"/>
          </w:tcPr>
          <w:p w14:paraId="75F4EE41" w14:textId="77777777" w:rsidR="00CF7044" w:rsidRPr="00D8267E" w:rsidRDefault="00CF7044" w:rsidP="00D63204">
            <w:pPr>
              <w:spacing w:line="240" w:lineRule="auto"/>
              <w:ind w:left="-120"/>
              <w:rPr>
                <w:rFonts w:cstheme="minorHAnsi"/>
                <w:color w:val="000000"/>
                <w:sz w:val="16"/>
                <w:szCs w:val="16"/>
              </w:rPr>
            </w:pPr>
          </w:p>
        </w:tc>
        <w:tc>
          <w:tcPr>
            <w:tcW w:w="0" w:type="auto"/>
            <w:tcBorders>
              <w:top w:val="nil"/>
              <w:left w:val="nil"/>
              <w:bottom w:val="single" w:sz="8" w:space="0" w:color="auto"/>
              <w:right w:val="single" w:sz="8" w:space="0" w:color="auto"/>
            </w:tcBorders>
            <w:tcMar>
              <w:top w:w="0" w:type="dxa"/>
              <w:left w:w="108" w:type="dxa"/>
              <w:bottom w:w="0" w:type="dxa"/>
              <w:right w:w="108" w:type="dxa"/>
            </w:tcMar>
            <w:vAlign w:val="center"/>
            <w:hideMark/>
          </w:tcPr>
          <w:p w14:paraId="50653550" w14:textId="77777777" w:rsidR="00CF7044" w:rsidRPr="00D8267E" w:rsidRDefault="00CF7044" w:rsidP="00D63204">
            <w:pPr>
              <w:spacing w:line="240" w:lineRule="auto"/>
              <w:ind w:left="-120"/>
              <w:rPr>
                <w:rFonts w:cstheme="minorHAnsi"/>
                <w:color w:val="000000"/>
                <w:sz w:val="16"/>
                <w:szCs w:val="16"/>
              </w:rPr>
            </w:pPr>
            <w:r w:rsidRPr="00D8267E">
              <w:rPr>
                <w:rFonts w:cstheme="minorHAnsi"/>
                <w:color w:val="000000"/>
                <w:sz w:val="16"/>
                <w:szCs w:val="16"/>
              </w:rPr>
              <w:t>$75.00</w:t>
            </w:r>
          </w:p>
        </w:tc>
        <w:tc>
          <w:tcPr>
            <w:tcW w:w="0" w:type="auto"/>
            <w:tcBorders>
              <w:top w:val="nil"/>
              <w:left w:val="nil"/>
              <w:bottom w:val="single" w:sz="8" w:space="0" w:color="auto"/>
              <w:right w:val="single" w:sz="8" w:space="0" w:color="auto"/>
            </w:tcBorders>
            <w:tcMar>
              <w:top w:w="0" w:type="dxa"/>
              <w:left w:w="108" w:type="dxa"/>
              <w:bottom w:w="0" w:type="dxa"/>
              <w:right w:w="108" w:type="dxa"/>
            </w:tcMar>
            <w:vAlign w:val="center"/>
          </w:tcPr>
          <w:p w14:paraId="55BB2816" w14:textId="77777777" w:rsidR="00CF7044" w:rsidRPr="00D8267E" w:rsidRDefault="00CF7044" w:rsidP="00D63204">
            <w:pPr>
              <w:spacing w:line="240" w:lineRule="auto"/>
              <w:ind w:left="-120"/>
              <w:rPr>
                <w:rFonts w:cstheme="minorHAnsi"/>
                <w:color w:val="000000"/>
                <w:sz w:val="16"/>
                <w:szCs w:val="16"/>
              </w:rPr>
            </w:pPr>
          </w:p>
        </w:tc>
        <w:tc>
          <w:tcPr>
            <w:tcW w:w="0" w:type="auto"/>
            <w:tcBorders>
              <w:top w:val="nil"/>
              <w:left w:val="nil"/>
              <w:bottom w:val="single" w:sz="8" w:space="0" w:color="auto"/>
              <w:right w:val="single" w:sz="8" w:space="0" w:color="auto"/>
            </w:tcBorders>
            <w:tcMar>
              <w:top w:w="0" w:type="dxa"/>
              <w:left w:w="108" w:type="dxa"/>
              <w:bottom w:w="0" w:type="dxa"/>
              <w:right w:w="108" w:type="dxa"/>
            </w:tcMar>
            <w:vAlign w:val="center"/>
          </w:tcPr>
          <w:p w14:paraId="07FDAEA9" w14:textId="77777777" w:rsidR="00CF7044" w:rsidRPr="00D8267E" w:rsidRDefault="00CF7044" w:rsidP="00D63204">
            <w:pPr>
              <w:spacing w:line="240" w:lineRule="auto"/>
              <w:ind w:left="-120"/>
              <w:rPr>
                <w:rFonts w:cstheme="minorHAnsi"/>
                <w:color w:val="000000"/>
                <w:sz w:val="16"/>
                <w:szCs w:val="16"/>
              </w:rPr>
            </w:pPr>
          </w:p>
        </w:tc>
        <w:tc>
          <w:tcPr>
            <w:tcW w:w="0" w:type="auto"/>
            <w:tcBorders>
              <w:top w:val="nil"/>
              <w:left w:val="nil"/>
              <w:bottom w:val="single" w:sz="8" w:space="0" w:color="auto"/>
              <w:right w:val="single" w:sz="8" w:space="0" w:color="auto"/>
            </w:tcBorders>
            <w:tcMar>
              <w:top w:w="0" w:type="dxa"/>
              <w:left w:w="108" w:type="dxa"/>
              <w:bottom w:w="0" w:type="dxa"/>
              <w:right w:w="108" w:type="dxa"/>
            </w:tcMar>
            <w:vAlign w:val="center"/>
            <w:hideMark/>
          </w:tcPr>
          <w:p w14:paraId="2A2234A1" w14:textId="77777777" w:rsidR="00CF7044" w:rsidRPr="00D8267E" w:rsidRDefault="00CF7044" w:rsidP="00D63204">
            <w:pPr>
              <w:spacing w:line="240" w:lineRule="auto"/>
              <w:ind w:left="-120"/>
              <w:rPr>
                <w:rFonts w:cstheme="minorHAnsi"/>
                <w:color w:val="000000"/>
                <w:sz w:val="16"/>
                <w:szCs w:val="16"/>
              </w:rPr>
            </w:pPr>
            <w:r w:rsidRPr="00D8267E">
              <w:rPr>
                <w:rFonts w:cstheme="minorHAnsi"/>
                <w:color w:val="000000"/>
                <w:sz w:val="16"/>
                <w:szCs w:val="16"/>
              </w:rPr>
              <w:t>$130.32</w:t>
            </w:r>
          </w:p>
        </w:tc>
        <w:tc>
          <w:tcPr>
            <w:tcW w:w="0" w:type="auto"/>
            <w:tcBorders>
              <w:top w:val="nil"/>
              <w:left w:val="nil"/>
              <w:bottom w:val="single" w:sz="8" w:space="0" w:color="auto"/>
              <w:right w:val="single" w:sz="8" w:space="0" w:color="auto"/>
            </w:tcBorders>
            <w:tcMar>
              <w:top w:w="0" w:type="dxa"/>
              <w:left w:w="108" w:type="dxa"/>
              <w:bottom w:w="0" w:type="dxa"/>
              <w:right w:w="108" w:type="dxa"/>
            </w:tcMar>
            <w:vAlign w:val="center"/>
          </w:tcPr>
          <w:p w14:paraId="7D49D6E8" w14:textId="77777777" w:rsidR="00CF7044" w:rsidRPr="00D8267E" w:rsidRDefault="00CF7044" w:rsidP="00D63204">
            <w:pPr>
              <w:spacing w:line="240" w:lineRule="auto"/>
              <w:ind w:left="-120"/>
              <w:rPr>
                <w:rFonts w:cstheme="minorHAnsi"/>
                <w:color w:val="000000"/>
                <w:sz w:val="16"/>
                <w:szCs w:val="16"/>
              </w:rPr>
            </w:pPr>
          </w:p>
        </w:tc>
        <w:tc>
          <w:tcPr>
            <w:tcW w:w="0" w:type="auto"/>
            <w:tcBorders>
              <w:top w:val="nil"/>
              <w:left w:val="nil"/>
              <w:bottom w:val="single" w:sz="8" w:space="0" w:color="auto"/>
              <w:right w:val="single" w:sz="8" w:space="0" w:color="auto"/>
            </w:tcBorders>
            <w:tcMar>
              <w:top w:w="0" w:type="dxa"/>
              <w:left w:w="108" w:type="dxa"/>
              <w:bottom w:w="0" w:type="dxa"/>
              <w:right w:w="108" w:type="dxa"/>
            </w:tcMar>
            <w:vAlign w:val="center"/>
          </w:tcPr>
          <w:p w14:paraId="14C67AFE" w14:textId="77777777" w:rsidR="00CF7044" w:rsidRPr="00D8267E" w:rsidRDefault="00CF7044" w:rsidP="00D63204">
            <w:pPr>
              <w:spacing w:line="240" w:lineRule="auto"/>
              <w:ind w:left="-120"/>
              <w:rPr>
                <w:rFonts w:cstheme="minorHAnsi"/>
                <w:color w:val="000000"/>
                <w:sz w:val="16"/>
                <w:szCs w:val="16"/>
              </w:rPr>
            </w:pPr>
          </w:p>
        </w:tc>
        <w:tc>
          <w:tcPr>
            <w:tcW w:w="856"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1D692DBB" w14:textId="77777777" w:rsidR="00CF7044" w:rsidRPr="00D8267E" w:rsidRDefault="00CF7044" w:rsidP="00D63204">
            <w:pPr>
              <w:spacing w:line="240" w:lineRule="auto"/>
              <w:ind w:left="-120"/>
              <w:rPr>
                <w:rFonts w:cstheme="minorHAnsi"/>
                <w:color w:val="000000"/>
                <w:sz w:val="16"/>
                <w:szCs w:val="16"/>
              </w:rPr>
            </w:pPr>
            <w:r w:rsidRPr="00D8267E">
              <w:rPr>
                <w:rFonts w:cstheme="minorHAnsi"/>
                <w:color w:val="000000"/>
                <w:sz w:val="16"/>
                <w:szCs w:val="16"/>
              </w:rPr>
              <w:t>$305.32</w:t>
            </w:r>
          </w:p>
        </w:tc>
      </w:tr>
      <w:tr w:rsidR="00D8267E" w14:paraId="771EF49F" w14:textId="77777777" w:rsidTr="00F55C20">
        <w:trPr>
          <w:trHeight w:hRule="exact" w:val="572"/>
          <w:jc w:val="center"/>
        </w:trPr>
        <w:tc>
          <w:tcPr>
            <w:tcW w:w="0" w:type="auto"/>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54A9BDA3" w14:textId="7056EC09" w:rsidR="00CF7044" w:rsidRPr="00D8267E" w:rsidRDefault="00CF7044" w:rsidP="00D63204">
            <w:pPr>
              <w:spacing w:line="240" w:lineRule="auto"/>
              <w:ind w:left="-120"/>
              <w:rPr>
                <w:rFonts w:cstheme="minorHAnsi"/>
                <w:b/>
                <w:bCs/>
                <w:color w:val="000000"/>
                <w:sz w:val="16"/>
                <w:szCs w:val="16"/>
              </w:rPr>
            </w:pPr>
            <w:r w:rsidRPr="00D8267E">
              <w:rPr>
                <w:rFonts w:cstheme="minorHAnsi"/>
                <w:b/>
                <w:bCs/>
                <w:color w:val="000000"/>
                <w:sz w:val="16"/>
                <w:szCs w:val="16"/>
              </w:rPr>
              <w:t>Total</w:t>
            </w:r>
          </w:p>
        </w:tc>
        <w:tc>
          <w:tcPr>
            <w:tcW w:w="0" w:type="auto"/>
            <w:tcBorders>
              <w:top w:val="nil"/>
              <w:left w:val="nil"/>
              <w:bottom w:val="single" w:sz="8" w:space="0" w:color="auto"/>
              <w:right w:val="single" w:sz="8" w:space="0" w:color="auto"/>
            </w:tcBorders>
            <w:tcMar>
              <w:top w:w="0" w:type="dxa"/>
              <w:left w:w="108" w:type="dxa"/>
              <w:bottom w:w="0" w:type="dxa"/>
              <w:right w:w="108" w:type="dxa"/>
            </w:tcMar>
            <w:vAlign w:val="center"/>
            <w:hideMark/>
          </w:tcPr>
          <w:p w14:paraId="0EDCE93D" w14:textId="77777777" w:rsidR="00CF7044" w:rsidRPr="00D8267E" w:rsidRDefault="00CF7044" w:rsidP="00D63204">
            <w:pPr>
              <w:spacing w:line="240" w:lineRule="auto"/>
              <w:ind w:left="-120"/>
              <w:rPr>
                <w:rFonts w:cstheme="minorHAnsi"/>
                <w:b/>
                <w:bCs/>
                <w:color w:val="000000"/>
                <w:sz w:val="16"/>
                <w:szCs w:val="16"/>
              </w:rPr>
            </w:pPr>
            <w:r w:rsidRPr="00D8267E">
              <w:rPr>
                <w:rFonts w:cstheme="minorHAnsi"/>
                <w:b/>
                <w:bCs/>
                <w:color w:val="000000"/>
                <w:sz w:val="16"/>
                <w:szCs w:val="16"/>
              </w:rPr>
              <w:t>$3,986.52</w:t>
            </w:r>
          </w:p>
        </w:tc>
        <w:tc>
          <w:tcPr>
            <w:tcW w:w="0" w:type="auto"/>
            <w:tcBorders>
              <w:top w:val="nil"/>
              <w:left w:val="nil"/>
              <w:bottom w:val="single" w:sz="8" w:space="0" w:color="auto"/>
              <w:right w:val="single" w:sz="8" w:space="0" w:color="auto"/>
            </w:tcBorders>
            <w:tcMar>
              <w:top w:w="0" w:type="dxa"/>
              <w:left w:w="108" w:type="dxa"/>
              <w:bottom w:w="0" w:type="dxa"/>
              <w:right w:w="108" w:type="dxa"/>
            </w:tcMar>
            <w:vAlign w:val="center"/>
            <w:hideMark/>
          </w:tcPr>
          <w:p w14:paraId="4BEC8687" w14:textId="77777777" w:rsidR="00CF7044" w:rsidRPr="00D8267E" w:rsidRDefault="00CF7044" w:rsidP="00D63204">
            <w:pPr>
              <w:spacing w:line="240" w:lineRule="auto"/>
              <w:ind w:left="-120"/>
              <w:rPr>
                <w:rFonts w:cstheme="minorHAnsi"/>
                <w:b/>
                <w:bCs/>
                <w:color w:val="000000"/>
                <w:sz w:val="16"/>
                <w:szCs w:val="16"/>
              </w:rPr>
            </w:pPr>
            <w:r w:rsidRPr="00D8267E">
              <w:rPr>
                <w:rFonts w:cstheme="minorHAnsi"/>
                <w:b/>
                <w:bCs/>
                <w:color w:val="000000"/>
                <w:sz w:val="16"/>
                <w:szCs w:val="16"/>
              </w:rPr>
              <w:t>$1,459.38</w:t>
            </w:r>
          </w:p>
        </w:tc>
        <w:tc>
          <w:tcPr>
            <w:tcW w:w="0" w:type="auto"/>
            <w:tcBorders>
              <w:top w:val="nil"/>
              <w:left w:val="nil"/>
              <w:bottom w:val="single" w:sz="8" w:space="0" w:color="auto"/>
              <w:right w:val="single" w:sz="8" w:space="0" w:color="auto"/>
            </w:tcBorders>
            <w:tcMar>
              <w:top w:w="0" w:type="dxa"/>
              <w:left w:w="108" w:type="dxa"/>
              <w:bottom w:w="0" w:type="dxa"/>
              <w:right w:w="108" w:type="dxa"/>
            </w:tcMar>
            <w:vAlign w:val="center"/>
            <w:hideMark/>
          </w:tcPr>
          <w:p w14:paraId="4BF1B9D1" w14:textId="77777777" w:rsidR="00CF7044" w:rsidRPr="00D8267E" w:rsidRDefault="00CF7044" w:rsidP="00D63204">
            <w:pPr>
              <w:spacing w:line="240" w:lineRule="auto"/>
              <w:ind w:left="-120"/>
              <w:rPr>
                <w:rFonts w:cstheme="minorHAnsi"/>
                <w:b/>
                <w:bCs/>
                <w:color w:val="000000"/>
                <w:sz w:val="16"/>
                <w:szCs w:val="16"/>
              </w:rPr>
            </w:pPr>
            <w:r w:rsidRPr="00D8267E">
              <w:rPr>
                <w:rFonts w:cstheme="minorHAnsi"/>
                <w:b/>
                <w:bCs/>
                <w:color w:val="000000"/>
                <w:sz w:val="16"/>
                <w:szCs w:val="16"/>
              </w:rPr>
              <w:t>$70.42</w:t>
            </w:r>
          </w:p>
        </w:tc>
        <w:tc>
          <w:tcPr>
            <w:tcW w:w="0" w:type="auto"/>
            <w:tcBorders>
              <w:top w:val="nil"/>
              <w:left w:val="nil"/>
              <w:bottom w:val="single" w:sz="8" w:space="0" w:color="auto"/>
              <w:right w:val="single" w:sz="8" w:space="0" w:color="auto"/>
            </w:tcBorders>
            <w:tcMar>
              <w:top w:w="0" w:type="dxa"/>
              <w:left w:w="108" w:type="dxa"/>
              <w:bottom w:w="0" w:type="dxa"/>
              <w:right w:w="108" w:type="dxa"/>
            </w:tcMar>
            <w:vAlign w:val="center"/>
            <w:hideMark/>
          </w:tcPr>
          <w:p w14:paraId="1372596D" w14:textId="77777777" w:rsidR="00CF7044" w:rsidRPr="00D8267E" w:rsidRDefault="00CF7044" w:rsidP="00D63204">
            <w:pPr>
              <w:spacing w:line="240" w:lineRule="auto"/>
              <w:ind w:left="-120"/>
              <w:rPr>
                <w:rFonts w:cstheme="minorHAnsi"/>
                <w:b/>
                <w:bCs/>
                <w:color w:val="000000"/>
                <w:sz w:val="16"/>
                <w:szCs w:val="16"/>
              </w:rPr>
            </w:pPr>
            <w:r w:rsidRPr="00D8267E">
              <w:rPr>
                <w:rFonts w:cstheme="minorHAnsi"/>
                <w:b/>
                <w:bCs/>
                <w:color w:val="000000"/>
                <w:sz w:val="16"/>
                <w:szCs w:val="16"/>
              </w:rPr>
              <w:t>$78.68</w:t>
            </w:r>
          </w:p>
        </w:tc>
        <w:tc>
          <w:tcPr>
            <w:tcW w:w="0" w:type="auto"/>
            <w:tcBorders>
              <w:top w:val="nil"/>
              <w:left w:val="nil"/>
              <w:bottom w:val="single" w:sz="8" w:space="0" w:color="auto"/>
              <w:right w:val="single" w:sz="8" w:space="0" w:color="auto"/>
            </w:tcBorders>
            <w:tcMar>
              <w:top w:w="0" w:type="dxa"/>
              <w:left w:w="108" w:type="dxa"/>
              <w:bottom w:w="0" w:type="dxa"/>
              <w:right w:w="108" w:type="dxa"/>
            </w:tcMar>
            <w:vAlign w:val="center"/>
            <w:hideMark/>
          </w:tcPr>
          <w:p w14:paraId="24DD5D8D" w14:textId="77777777" w:rsidR="00CF7044" w:rsidRPr="00D8267E" w:rsidRDefault="00CF7044" w:rsidP="00D63204">
            <w:pPr>
              <w:spacing w:line="240" w:lineRule="auto"/>
              <w:ind w:left="-120"/>
              <w:rPr>
                <w:rFonts w:cstheme="minorHAnsi"/>
                <w:b/>
                <w:bCs/>
                <w:color w:val="000000"/>
                <w:sz w:val="16"/>
                <w:szCs w:val="16"/>
              </w:rPr>
            </w:pPr>
            <w:r w:rsidRPr="00D8267E">
              <w:rPr>
                <w:rFonts w:cstheme="minorHAnsi"/>
                <w:b/>
                <w:bCs/>
                <w:color w:val="000000"/>
                <w:sz w:val="16"/>
                <w:szCs w:val="16"/>
              </w:rPr>
              <w:t>$4,473.09</w:t>
            </w:r>
          </w:p>
        </w:tc>
        <w:tc>
          <w:tcPr>
            <w:tcW w:w="0" w:type="auto"/>
            <w:tcBorders>
              <w:top w:val="nil"/>
              <w:left w:val="nil"/>
              <w:bottom w:val="single" w:sz="8" w:space="0" w:color="auto"/>
              <w:right w:val="single" w:sz="8" w:space="0" w:color="auto"/>
            </w:tcBorders>
            <w:tcMar>
              <w:top w:w="0" w:type="dxa"/>
              <w:left w:w="108" w:type="dxa"/>
              <w:bottom w:w="0" w:type="dxa"/>
              <w:right w:w="108" w:type="dxa"/>
            </w:tcMar>
            <w:vAlign w:val="center"/>
            <w:hideMark/>
          </w:tcPr>
          <w:p w14:paraId="5B5AB17A" w14:textId="77777777" w:rsidR="00CF7044" w:rsidRPr="00D8267E" w:rsidRDefault="00CF7044" w:rsidP="00D63204">
            <w:pPr>
              <w:spacing w:line="240" w:lineRule="auto"/>
              <w:ind w:left="-120"/>
              <w:rPr>
                <w:rFonts w:cstheme="minorHAnsi"/>
                <w:b/>
                <w:bCs/>
                <w:color w:val="000000"/>
                <w:sz w:val="16"/>
                <w:szCs w:val="16"/>
              </w:rPr>
            </w:pPr>
            <w:r w:rsidRPr="00D8267E">
              <w:rPr>
                <w:rFonts w:cstheme="minorHAnsi"/>
                <w:b/>
                <w:bCs/>
                <w:color w:val="000000"/>
                <w:sz w:val="16"/>
                <w:szCs w:val="16"/>
              </w:rPr>
              <w:t>$946.49</w:t>
            </w:r>
          </w:p>
        </w:tc>
        <w:tc>
          <w:tcPr>
            <w:tcW w:w="0" w:type="auto"/>
            <w:tcBorders>
              <w:top w:val="nil"/>
              <w:left w:val="nil"/>
              <w:bottom w:val="single" w:sz="8" w:space="0" w:color="auto"/>
              <w:right w:val="single" w:sz="8" w:space="0" w:color="auto"/>
            </w:tcBorders>
            <w:tcMar>
              <w:top w:w="0" w:type="dxa"/>
              <w:left w:w="108" w:type="dxa"/>
              <w:bottom w:w="0" w:type="dxa"/>
              <w:right w:w="108" w:type="dxa"/>
            </w:tcMar>
            <w:vAlign w:val="center"/>
            <w:hideMark/>
          </w:tcPr>
          <w:p w14:paraId="41578B8F" w14:textId="77777777" w:rsidR="00CF7044" w:rsidRPr="00D8267E" w:rsidRDefault="00CF7044" w:rsidP="00D63204">
            <w:pPr>
              <w:spacing w:line="240" w:lineRule="auto"/>
              <w:ind w:left="-120"/>
              <w:rPr>
                <w:rFonts w:cstheme="minorHAnsi"/>
                <w:b/>
                <w:bCs/>
                <w:color w:val="000000"/>
                <w:sz w:val="16"/>
                <w:szCs w:val="16"/>
              </w:rPr>
            </w:pPr>
            <w:r w:rsidRPr="00D8267E">
              <w:rPr>
                <w:rFonts w:cstheme="minorHAnsi"/>
                <w:b/>
                <w:bCs/>
                <w:color w:val="000000"/>
                <w:sz w:val="16"/>
                <w:szCs w:val="16"/>
              </w:rPr>
              <w:t>$1,650.97</w:t>
            </w:r>
          </w:p>
        </w:tc>
        <w:tc>
          <w:tcPr>
            <w:tcW w:w="0" w:type="auto"/>
            <w:tcBorders>
              <w:top w:val="nil"/>
              <w:left w:val="nil"/>
              <w:bottom w:val="single" w:sz="8" w:space="0" w:color="auto"/>
              <w:right w:val="single" w:sz="8" w:space="0" w:color="auto"/>
            </w:tcBorders>
            <w:tcMar>
              <w:top w:w="0" w:type="dxa"/>
              <w:left w:w="108" w:type="dxa"/>
              <w:bottom w:w="0" w:type="dxa"/>
              <w:right w:w="108" w:type="dxa"/>
            </w:tcMar>
            <w:vAlign w:val="center"/>
            <w:hideMark/>
          </w:tcPr>
          <w:p w14:paraId="5691B88D" w14:textId="77777777" w:rsidR="00CF7044" w:rsidRPr="00D8267E" w:rsidRDefault="00CF7044" w:rsidP="00D63204">
            <w:pPr>
              <w:spacing w:line="240" w:lineRule="auto"/>
              <w:ind w:left="-120"/>
              <w:rPr>
                <w:rFonts w:cstheme="minorHAnsi"/>
                <w:b/>
                <w:bCs/>
                <w:color w:val="000000"/>
                <w:sz w:val="16"/>
                <w:szCs w:val="16"/>
              </w:rPr>
            </w:pPr>
            <w:r w:rsidRPr="00D8267E">
              <w:rPr>
                <w:rFonts w:cstheme="minorHAnsi"/>
                <w:b/>
                <w:bCs/>
                <w:color w:val="000000"/>
                <w:sz w:val="16"/>
                <w:szCs w:val="16"/>
              </w:rPr>
              <w:t>$7,529.18</w:t>
            </w:r>
          </w:p>
        </w:tc>
        <w:tc>
          <w:tcPr>
            <w:tcW w:w="0" w:type="auto"/>
            <w:tcBorders>
              <w:top w:val="nil"/>
              <w:left w:val="nil"/>
              <w:bottom w:val="single" w:sz="8" w:space="0" w:color="auto"/>
              <w:right w:val="single" w:sz="8" w:space="0" w:color="auto"/>
            </w:tcBorders>
            <w:tcMar>
              <w:top w:w="0" w:type="dxa"/>
              <w:left w:w="108" w:type="dxa"/>
              <w:bottom w:w="0" w:type="dxa"/>
              <w:right w:w="108" w:type="dxa"/>
            </w:tcMar>
            <w:vAlign w:val="center"/>
            <w:hideMark/>
          </w:tcPr>
          <w:p w14:paraId="2F61DDA1" w14:textId="77777777" w:rsidR="00CF7044" w:rsidRPr="00D8267E" w:rsidRDefault="00CF7044" w:rsidP="00D63204">
            <w:pPr>
              <w:spacing w:line="240" w:lineRule="auto"/>
              <w:ind w:left="-120"/>
              <w:rPr>
                <w:rFonts w:cstheme="minorHAnsi"/>
                <w:b/>
                <w:bCs/>
                <w:color w:val="000000"/>
                <w:sz w:val="16"/>
                <w:szCs w:val="16"/>
              </w:rPr>
            </w:pPr>
            <w:r w:rsidRPr="00D8267E">
              <w:rPr>
                <w:rFonts w:cstheme="minorHAnsi"/>
                <w:b/>
                <w:bCs/>
                <w:color w:val="000000"/>
                <w:sz w:val="16"/>
                <w:szCs w:val="16"/>
              </w:rPr>
              <w:t>$27,135.52</w:t>
            </w:r>
          </w:p>
        </w:tc>
        <w:tc>
          <w:tcPr>
            <w:tcW w:w="0" w:type="auto"/>
            <w:tcBorders>
              <w:top w:val="nil"/>
              <w:left w:val="nil"/>
              <w:bottom w:val="single" w:sz="8" w:space="0" w:color="auto"/>
              <w:right w:val="single" w:sz="8" w:space="0" w:color="auto"/>
            </w:tcBorders>
            <w:tcMar>
              <w:top w:w="0" w:type="dxa"/>
              <w:left w:w="108" w:type="dxa"/>
              <w:bottom w:w="0" w:type="dxa"/>
              <w:right w:w="108" w:type="dxa"/>
            </w:tcMar>
            <w:vAlign w:val="center"/>
            <w:hideMark/>
          </w:tcPr>
          <w:p w14:paraId="58802C40" w14:textId="77777777" w:rsidR="00CF7044" w:rsidRPr="00D8267E" w:rsidRDefault="00CF7044" w:rsidP="00D63204">
            <w:pPr>
              <w:spacing w:line="240" w:lineRule="auto"/>
              <w:ind w:left="-120"/>
              <w:rPr>
                <w:rFonts w:cstheme="minorHAnsi"/>
                <w:b/>
                <w:bCs/>
                <w:color w:val="000000"/>
                <w:sz w:val="16"/>
                <w:szCs w:val="16"/>
              </w:rPr>
            </w:pPr>
            <w:r w:rsidRPr="00D8267E">
              <w:rPr>
                <w:rFonts w:cstheme="minorHAnsi"/>
                <w:b/>
                <w:bCs/>
                <w:color w:val="000000"/>
                <w:sz w:val="16"/>
                <w:szCs w:val="16"/>
              </w:rPr>
              <w:t>$6,761.55</w:t>
            </w:r>
          </w:p>
        </w:tc>
        <w:tc>
          <w:tcPr>
            <w:tcW w:w="0" w:type="auto"/>
            <w:tcBorders>
              <w:top w:val="nil"/>
              <w:left w:val="nil"/>
              <w:bottom w:val="single" w:sz="8" w:space="0" w:color="auto"/>
              <w:right w:val="single" w:sz="8" w:space="0" w:color="auto"/>
            </w:tcBorders>
            <w:tcMar>
              <w:top w:w="0" w:type="dxa"/>
              <w:left w:w="108" w:type="dxa"/>
              <w:bottom w:w="0" w:type="dxa"/>
              <w:right w:w="108" w:type="dxa"/>
            </w:tcMar>
            <w:vAlign w:val="center"/>
            <w:hideMark/>
          </w:tcPr>
          <w:p w14:paraId="482E6705" w14:textId="77777777" w:rsidR="00CF7044" w:rsidRPr="00D8267E" w:rsidRDefault="00CF7044" w:rsidP="00D63204">
            <w:pPr>
              <w:spacing w:line="240" w:lineRule="auto"/>
              <w:ind w:left="-120"/>
              <w:rPr>
                <w:rFonts w:cstheme="minorHAnsi"/>
                <w:b/>
                <w:bCs/>
                <w:color w:val="000000"/>
                <w:sz w:val="16"/>
                <w:szCs w:val="16"/>
              </w:rPr>
            </w:pPr>
            <w:r w:rsidRPr="00D8267E">
              <w:rPr>
                <w:rFonts w:cstheme="minorHAnsi"/>
                <w:b/>
                <w:bCs/>
                <w:color w:val="000000"/>
                <w:sz w:val="16"/>
                <w:szCs w:val="16"/>
              </w:rPr>
              <w:t>$107.88</w:t>
            </w:r>
          </w:p>
        </w:tc>
        <w:tc>
          <w:tcPr>
            <w:tcW w:w="0" w:type="auto"/>
            <w:tcBorders>
              <w:top w:val="nil"/>
              <w:left w:val="nil"/>
              <w:bottom w:val="single" w:sz="8" w:space="0" w:color="auto"/>
              <w:right w:val="single" w:sz="8" w:space="0" w:color="auto"/>
            </w:tcBorders>
            <w:tcMar>
              <w:top w:w="0" w:type="dxa"/>
              <w:left w:w="108" w:type="dxa"/>
              <w:bottom w:w="0" w:type="dxa"/>
              <w:right w:w="108" w:type="dxa"/>
            </w:tcMar>
            <w:vAlign w:val="center"/>
            <w:hideMark/>
          </w:tcPr>
          <w:p w14:paraId="37330781" w14:textId="77777777" w:rsidR="00CF7044" w:rsidRPr="00D8267E" w:rsidRDefault="00CF7044" w:rsidP="00D63204">
            <w:pPr>
              <w:spacing w:line="240" w:lineRule="auto"/>
              <w:ind w:left="-120"/>
              <w:rPr>
                <w:rFonts w:cstheme="minorHAnsi"/>
                <w:b/>
                <w:bCs/>
                <w:color w:val="000000"/>
                <w:sz w:val="16"/>
                <w:szCs w:val="16"/>
              </w:rPr>
            </w:pPr>
            <w:r w:rsidRPr="00D8267E">
              <w:rPr>
                <w:rFonts w:cstheme="minorHAnsi"/>
                <w:b/>
                <w:bCs/>
                <w:color w:val="000000"/>
                <w:sz w:val="16"/>
                <w:szCs w:val="16"/>
              </w:rPr>
              <w:t>$27.86</w:t>
            </w:r>
          </w:p>
        </w:tc>
        <w:tc>
          <w:tcPr>
            <w:tcW w:w="856"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3BB3ADCA" w14:textId="77777777" w:rsidR="00CF7044" w:rsidRPr="00D8267E" w:rsidRDefault="00CF7044" w:rsidP="00D63204">
            <w:pPr>
              <w:spacing w:line="240" w:lineRule="auto"/>
              <w:ind w:left="-120"/>
              <w:rPr>
                <w:rFonts w:cstheme="minorHAnsi"/>
                <w:b/>
                <w:bCs/>
                <w:color w:val="000000"/>
                <w:sz w:val="16"/>
                <w:szCs w:val="16"/>
              </w:rPr>
            </w:pPr>
            <w:r w:rsidRPr="00D8267E">
              <w:rPr>
                <w:rFonts w:cstheme="minorHAnsi"/>
                <w:b/>
                <w:bCs/>
                <w:color w:val="000000"/>
                <w:sz w:val="16"/>
                <w:szCs w:val="16"/>
              </w:rPr>
              <w:t>$56,017.54</w:t>
            </w:r>
          </w:p>
        </w:tc>
      </w:tr>
      <w:bookmarkEnd w:id="197"/>
    </w:tbl>
    <w:p w14:paraId="1AE4EBCC" w14:textId="77777777" w:rsidR="00CF7044" w:rsidRDefault="00CF7044" w:rsidP="00D63204">
      <w:pPr>
        <w:spacing w:line="240" w:lineRule="auto"/>
        <w:ind w:left="90"/>
      </w:pPr>
    </w:p>
    <w:p w14:paraId="65BFC942" w14:textId="72A76545" w:rsidR="0084404D" w:rsidRDefault="00F30738" w:rsidP="00D63204">
      <w:pPr>
        <w:spacing w:line="240" w:lineRule="auto"/>
        <w:ind w:left="90"/>
      </w:pPr>
      <w:r w:rsidRPr="00353381">
        <w:t>Summary of FRCB Accomplishments and Activities for calendar year 2016-2017:</w:t>
      </w:r>
    </w:p>
    <w:p w14:paraId="4CDA8072" w14:textId="39FFD547" w:rsidR="0084404D" w:rsidRDefault="00020F04" w:rsidP="00892E37">
      <w:pPr>
        <w:pStyle w:val="ListParagraph"/>
        <w:numPr>
          <w:ilvl w:val="0"/>
          <w:numId w:val="75"/>
        </w:numPr>
        <w:spacing w:line="240" w:lineRule="auto"/>
        <w:rPr>
          <w:rFonts w:cstheme="minorHAnsi"/>
        </w:rPr>
      </w:pPr>
      <w:r w:rsidRPr="007C766D">
        <w:rPr>
          <w:rFonts w:cstheme="minorHAnsi"/>
        </w:rPr>
        <w:t>The Florida Rehabilitation Council for the Blind</w:t>
      </w:r>
      <w:r w:rsidR="007C766D">
        <w:rPr>
          <w:rFonts w:cstheme="minorHAnsi"/>
        </w:rPr>
        <w:t xml:space="preserve"> </w:t>
      </w:r>
      <w:r w:rsidRPr="007C766D">
        <w:rPr>
          <w:rFonts w:cstheme="minorHAnsi"/>
        </w:rPr>
        <w:t xml:space="preserve">(FRCB) welcomed four newly appointed members and one reappointed member at the quarterly business meeting held on February 7, 2018. </w:t>
      </w:r>
    </w:p>
    <w:p w14:paraId="61029524" w14:textId="77777777" w:rsidR="007C766D" w:rsidRPr="007C766D" w:rsidRDefault="007C766D" w:rsidP="007C766D">
      <w:pPr>
        <w:pStyle w:val="ListParagraph"/>
        <w:spacing w:line="240" w:lineRule="auto"/>
        <w:ind w:left="810"/>
        <w:rPr>
          <w:rFonts w:cstheme="minorHAnsi"/>
        </w:rPr>
      </w:pPr>
    </w:p>
    <w:p w14:paraId="128D942F" w14:textId="3C53DEEF" w:rsidR="0084404D" w:rsidRDefault="00F30738" w:rsidP="00D63204">
      <w:pPr>
        <w:pStyle w:val="ListParagraph"/>
        <w:numPr>
          <w:ilvl w:val="0"/>
          <w:numId w:val="75"/>
        </w:numPr>
        <w:spacing w:line="240" w:lineRule="auto"/>
      </w:pPr>
      <w:r w:rsidRPr="00353381">
        <w:t>Maintained its mission and focus on strategic planning that is closely aligned with the priorities of the FDBS.</w:t>
      </w:r>
    </w:p>
    <w:p w14:paraId="789C56CE" w14:textId="77777777" w:rsidR="0084404D" w:rsidRDefault="0084404D" w:rsidP="00D63204">
      <w:pPr>
        <w:pStyle w:val="ListParagraph"/>
        <w:spacing w:line="240" w:lineRule="auto"/>
        <w:ind w:left="810"/>
      </w:pPr>
    </w:p>
    <w:p w14:paraId="19C2E1B2" w14:textId="4BBAFD79" w:rsidR="0084404D" w:rsidRDefault="00F30738" w:rsidP="00D63204">
      <w:pPr>
        <w:pStyle w:val="ListParagraph"/>
        <w:numPr>
          <w:ilvl w:val="0"/>
          <w:numId w:val="75"/>
        </w:numPr>
        <w:spacing w:line="240" w:lineRule="auto"/>
      </w:pPr>
      <w:r w:rsidRPr="00353381">
        <w:t>Provided input in DBS policy revisions.</w:t>
      </w:r>
    </w:p>
    <w:p w14:paraId="5F9AEC10" w14:textId="77777777" w:rsidR="0084404D" w:rsidRDefault="0084404D" w:rsidP="00D63204">
      <w:pPr>
        <w:pStyle w:val="ListParagraph"/>
        <w:spacing w:line="240" w:lineRule="auto"/>
        <w:ind w:left="810"/>
      </w:pPr>
    </w:p>
    <w:p w14:paraId="691E94C0" w14:textId="3B8F199F" w:rsidR="0084404D" w:rsidRDefault="00F30738" w:rsidP="00D63204">
      <w:pPr>
        <w:pStyle w:val="ListParagraph"/>
        <w:numPr>
          <w:ilvl w:val="0"/>
          <w:numId w:val="75"/>
        </w:numPr>
        <w:spacing w:line="240" w:lineRule="auto"/>
      </w:pPr>
      <w:r w:rsidRPr="00353381">
        <w:t xml:space="preserve">Elected a new Chairperson, First Vice Chairperson and Second Vice Chairperson at the first quarterly meeting in </w:t>
      </w:r>
      <w:r w:rsidR="0084404D">
        <w:t>F</w:t>
      </w:r>
      <w:r w:rsidRPr="00353381">
        <w:t>ebruary 2017.</w:t>
      </w:r>
    </w:p>
    <w:p w14:paraId="7BD6CFC9" w14:textId="77777777" w:rsidR="0084404D" w:rsidRDefault="0084404D" w:rsidP="00D63204">
      <w:pPr>
        <w:pStyle w:val="ListParagraph"/>
        <w:spacing w:line="240" w:lineRule="auto"/>
        <w:ind w:left="810"/>
      </w:pPr>
    </w:p>
    <w:p w14:paraId="0B9561F2" w14:textId="251242F2" w:rsidR="0084404D" w:rsidRDefault="00F30738" w:rsidP="00D63204">
      <w:pPr>
        <w:pStyle w:val="ListParagraph"/>
        <w:numPr>
          <w:ilvl w:val="0"/>
          <w:numId w:val="75"/>
        </w:numPr>
        <w:spacing w:line="240" w:lineRule="auto"/>
      </w:pPr>
      <w:r w:rsidRPr="00353381">
        <w:t xml:space="preserve">Elected new members to serve on the Evaluation and Planning Committees. </w:t>
      </w:r>
    </w:p>
    <w:p w14:paraId="489EF8A8" w14:textId="77777777" w:rsidR="0084404D" w:rsidRDefault="0084404D" w:rsidP="00D63204">
      <w:pPr>
        <w:pStyle w:val="ListParagraph"/>
        <w:spacing w:line="240" w:lineRule="auto"/>
        <w:ind w:left="810"/>
      </w:pPr>
    </w:p>
    <w:p w14:paraId="04AE4DEB" w14:textId="64ABFEF2" w:rsidR="0084404D" w:rsidRDefault="00F30738" w:rsidP="00D63204">
      <w:pPr>
        <w:pStyle w:val="ListParagraph"/>
        <w:numPr>
          <w:ilvl w:val="0"/>
          <w:numId w:val="75"/>
        </w:numPr>
        <w:spacing w:line="240" w:lineRule="auto"/>
      </w:pPr>
      <w:r w:rsidRPr="00353381">
        <w:t xml:space="preserve">Strengthened its working relationship with other councils within the state as required under Section 105 of the Rehab </w:t>
      </w:r>
      <w:r w:rsidR="0084404D">
        <w:t>A</w:t>
      </w:r>
      <w:r w:rsidRPr="00353381">
        <w:t>ct.</w:t>
      </w:r>
    </w:p>
    <w:p w14:paraId="321897DF" w14:textId="77777777" w:rsidR="0084404D" w:rsidRDefault="0084404D" w:rsidP="0084404D">
      <w:pPr>
        <w:pStyle w:val="ListParagraph"/>
      </w:pPr>
    </w:p>
    <w:p w14:paraId="3968BDD0" w14:textId="77777777" w:rsidR="00B51D17" w:rsidRDefault="00B51D17" w:rsidP="00D63204">
      <w:pPr>
        <w:pStyle w:val="ListParagraph"/>
        <w:spacing w:line="240" w:lineRule="auto"/>
        <w:ind w:left="810"/>
      </w:pPr>
    </w:p>
    <w:p w14:paraId="5424DFA5" w14:textId="1FBD3FA8" w:rsidR="0084404D" w:rsidRDefault="00F30738" w:rsidP="00D63204">
      <w:pPr>
        <w:pStyle w:val="ListParagraph"/>
        <w:numPr>
          <w:ilvl w:val="0"/>
          <w:numId w:val="75"/>
        </w:numPr>
        <w:spacing w:line="240" w:lineRule="auto"/>
      </w:pPr>
      <w:r w:rsidRPr="00353381">
        <w:t xml:space="preserve">Served as an effective vehicle for cultivating meaningful partnerships between the FDBS and other stakeholders. </w:t>
      </w:r>
    </w:p>
    <w:p w14:paraId="3A3FD737" w14:textId="77777777" w:rsidR="0084404D" w:rsidRDefault="0084404D" w:rsidP="00D63204">
      <w:pPr>
        <w:pStyle w:val="ListParagraph"/>
        <w:spacing w:line="240" w:lineRule="auto"/>
        <w:ind w:left="810"/>
      </w:pPr>
    </w:p>
    <w:p w14:paraId="059A531E" w14:textId="7A458304" w:rsidR="0084404D" w:rsidRDefault="00F30738" w:rsidP="00D63204">
      <w:pPr>
        <w:pStyle w:val="ListParagraph"/>
        <w:numPr>
          <w:ilvl w:val="0"/>
          <w:numId w:val="75"/>
        </w:numPr>
        <w:spacing w:line="240" w:lineRule="auto"/>
      </w:pPr>
      <w:r w:rsidRPr="00353381">
        <w:t>Increased attention on performance goals and objectives of FDBS.</w:t>
      </w:r>
    </w:p>
    <w:p w14:paraId="57C03BAB" w14:textId="77777777" w:rsidR="0084404D" w:rsidRDefault="0084404D" w:rsidP="00D63204">
      <w:pPr>
        <w:pStyle w:val="ListParagraph"/>
        <w:spacing w:line="240" w:lineRule="auto"/>
        <w:ind w:left="810"/>
      </w:pPr>
    </w:p>
    <w:p w14:paraId="4D40CBCD" w14:textId="726744A8" w:rsidR="0084404D" w:rsidRDefault="00F30738" w:rsidP="00D63204">
      <w:pPr>
        <w:pStyle w:val="ListParagraph"/>
        <w:numPr>
          <w:ilvl w:val="0"/>
          <w:numId w:val="75"/>
        </w:numPr>
        <w:spacing w:line="240" w:lineRule="auto"/>
      </w:pPr>
      <w:r w:rsidRPr="00353381">
        <w:t>Held four quarterly meetings in Daytona Beach, Tampa, Pensacola</w:t>
      </w:r>
      <w:r w:rsidR="00D5537E">
        <w:t xml:space="preserve"> and</w:t>
      </w:r>
      <w:r w:rsidRPr="00353381">
        <w:t xml:space="preserve"> Orlando. </w:t>
      </w:r>
    </w:p>
    <w:p w14:paraId="4184660E" w14:textId="77777777" w:rsidR="0084404D" w:rsidRDefault="0084404D" w:rsidP="00D63204">
      <w:pPr>
        <w:pStyle w:val="ListParagraph"/>
        <w:spacing w:line="240" w:lineRule="auto"/>
        <w:ind w:left="810"/>
      </w:pPr>
    </w:p>
    <w:p w14:paraId="7CD801EE" w14:textId="1427BFCE" w:rsidR="0084404D" w:rsidRDefault="00F30738" w:rsidP="00D63204">
      <w:pPr>
        <w:pStyle w:val="ListParagraph"/>
        <w:numPr>
          <w:ilvl w:val="0"/>
          <w:numId w:val="75"/>
        </w:numPr>
        <w:spacing w:line="240" w:lineRule="auto"/>
      </w:pPr>
      <w:r w:rsidRPr="00353381">
        <w:t xml:space="preserve">Conducted four public forums at each of its quarterly business meetings. </w:t>
      </w:r>
    </w:p>
    <w:p w14:paraId="53F60F76" w14:textId="77777777" w:rsidR="0084404D" w:rsidRDefault="0084404D" w:rsidP="00D63204">
      <w:pPr>
        <w:pStyle w:val="ListParagraph"/>
        <w:spacing w:line="240" w:lineRule="auto"/>
        <w:ind w:left="810"/>
      </w:pPr>
    </w:p>
    <w:p w14:paraId="7C672590" w14:textId="239E6AE9" w:rsidR="0084404D" w:rsidRDefault="00F30738" w:rsidP="00D63204">
      <w:pPr>
        <w:pStyle w:val="ListParagraph"/>
        <w:numPr>
          <w:ilvl w:val="0"/>
          <w:numId w:val="75"/>
        </w:numPr>
        <w:spacing w:line="240" w:lineRule="auto"/>
      </w:pPr>
      <w:r w:rsidRPr="00353381">
        <w:t>Maintained an active role in the NCSRC by attending the 2016 Fall Training Session in Seattle, Washington and the 2017 Spring Training in Bethesda, Maryland</w:t>
      </w:r>
      <w:r w:rsidR="005E7C49">
        <w:t xml:space="preserve">. </w:t>
      </w:r>
    </w:p>
    <w:p w14:paraId="4D8A7CB4" w14:textId="77777777" w:rsidR="0084404D" w:rsidRDefault="0084404D" w:rsidP="00D63204">
      <w:pPr>
        <w:pStyle w:val="ListParagraph"/>
        <w:spacing w:line="240" w:lineRule="auto"/>
        <w:ind w:left="810"/>
      </w:pPr>
    </w:p>
    <w:p w14:paraId="5AAE77B3" w14:textId="30EE0970" w:rsidR="0084404D" w:rsidRDefault="00F30738" w:rsidP="00D63204">
      <w:pPr>
        <w:pStyle w:val="ListParagraph"/>
        <w:numPr>
          <w:ilvl w:val="0"/>
          <w:numId w:val="75"/>
        </w:numPr>
        <w:spacing w:line="240" w:lineRule="auto"/>
      </w:pPr>
      <w:r w:rsidRPr="00353381">
        <w:t xml:space="preserve">Collaborated with the Florida State University (FSU) Survey Research Laboratory to conduct the Client Satisfaction Survey. </w:t>
      </w:r>
    </w:p>
    <w:p w14:paraId="36ECE3DB" w14:textId="77777777" w:rsidR="0084404D" w:rsidRDefault="0084404D" w:rsidP="00D63204">
      <w:pPr>
        <w:pStyle w:val="ListParagraph"/>
        <w:spacing w:line="240" w:lineRule="auto"/>
        <w:ind w:left="810"/>
      </w:pPr>
    </w:p>
    <w:p w14:paraId="0E876BBF" w14:textId="1219E927" w:rsidR="00F30738" w:rsidRPr="00353381" w:rsidRDefault="00F30738" w:rsidP="00D63204">
      <w:pPr>
        <w:pStyle w:val="ListParagraph"/>
        <w:numPr>
          <w:ilvl w:val="0"/>
          <w:numId w:val="75"/>
        </w:numPr>
        <w:spacing w:line="240" w:lineRule="auto"/>
      </w:pPr>
      <w:r w:rsidRPr="00353381">
        <w:t>The Client Satisfaction Subcommittee successfully completed their evaluation and revision of the 2014-2015 Survey. The new survey questions were tested and Dr. Minna Jia presented a report at the May 2017 meeting in Pensacola. The rollout of the new survey began July 1, 2017</w:t>
      </w:r>
      <w:r w:rsidR="00536E98">
        <w:t>,</w:t>
      </w:r>
      <w:r w:rsidR="00FE4ACA" w:rsidRPr="00FE4ACA">
        <w:t xml:space="preserve"> </w:t>
      </w:r>
      <w:r w:rsidR="00FE4ACA" w:rsidRPr="00153075">
        <w:t>while interim reports will be available, complete data will be compiled for an annual report that is anticipated to be released in the fall of</w:t>
      </w:r>
      <w:r w:rsidRPr="00353381">
        <w:t xml:space="preserve"> 2018.</w:t>
      </w:r>
    </w:p>
    <w:p w14:paraId="063DB809" w14:textId="77777777" w:rsidR="00EA7458" w:rsidRPr="00353381" w:rsidRDefault="00EA7458" w:rsidP="00D63204">
      <w:pPr>
        <w:widowControl w:val="0"/>
        <w:spacing w:before="2" w:after="0" w:line="240" w:lineRule="auto"/>
        <w:ind w:left="90"/>
        <w:rPr>
          <w:rFonts w:cs="Calibri"/>
        </w:rPr>
      </w:pPr>
    </w:p>
    <w:p w14:paraId="32C8411A" w14:textId="77777777" w:rsidR="0084404D" w:rsidRDefault="00EA7458" w:rsidP="00D63204">
      <w:pPr>
        <w:widowControl w:val="0"/>
        <w:spacing w:after="0" w:line="240" w:lineRule="auto"/>
        <w:ind w:left="90"/>
        <w:outlineLvl w:val="2"/>
        <w:rPr>
          <w:b/>
          <w:color w:val="FF0000"/>
        </w:rPr>
      </w:pPr>
      <w:r w:rsidRPr="00353381">
        <w:rPr>
          <w:b/>
          <w:bCs/>
          <w:color w:val="231F20"/>
          <w:w w:val="105"/>
        </w:rPr>
        <w:t>Quarterly Meeting Agenda</w:t>
      </w:r>
      <w:r w:rsidRPr="00353381">
        <w:rPr>
          <w:b/>
          <w:bCs/>
          <w:color w:val="231F20"/>
          <w:spacing w:val="-16"/>
          <w:w w:val="105"/>
        </w:rPr>
        <w:t xml:space="preserve"> </w:t>
      </w:r>
      <w:r w:rsidRPr="00353381">
        <w:rPr>
          <w:b/>
          <w:bCs/>
          <w:color w:val="231F20"/>
          <w:w w:val="105"/>
        </w:rPr>
        <w:t>Items:</w:t>
      </w:r>
    </w:p>
    <w:p w14:paraId="0E948AE4" w14:textId="77777777" w:rsidR="0084404D" w:rsidRDefault="0084404D" w:rsidP="00D63204">
      <w:pPr>
        <w:widowControl w:val="0"/>
        <w:spacing w:after="0" w:line="240" w:lineRule="auto"/>
        <w:ind w:left="90"/>
        <w:outlineLvl w:val="2"/>
        <w:rPr>
          <w:b/>
          <w:color w:val="FF0000"/>
        </w:rPr>
      </w:pPr>
    </w:p>
    <w:p w14:paraId="2FB3326E" w14:textId="162806A4" w:rsidR="0084404D" w:rsidRDefault="00F30738" w:rsidP="00D63204">
      <w:pPr>
        <w:pStyle w:val="ListParagraph"/>
        <w:widowControl w:val="0"/>
        <w:numPr>
          <w:ilvl w:val="0"/>
          <w:numId w:val="76"/>
        </w:numPr>
        <w:spacing w:after="0" w:line="240" w:lineRule="auto"/>
        <w:outlineLvl w:val="2"/>
        <w:rPr>
          <w:rFonts w:cstheme="minorHAnsi"/>
        </w:rPr>
      </w:pPr>
      <w:r w:rsidRPr="0084404D">
        <w:rPr>
          <w:rFonts w:cstheme="minorHAnsi"/>
        </w:rPr>
        <w:t>Welcome, Introductions and Pledge of Allegiance</w:t>
      </w:r>
    </w:p>
    <w:p w14:paraId="18939068" w14:textId="77777777" w:rsidR="0084404D" w:rsidRPr="0084404D" w:rsidRDefault="0084404D" w:rsidP="00D63204">
      <w:pPr>
        <w:pStyle w:val="ListParagraph"/>
        <w:widowControl w:val="0"/>
        <w:spacing w:after="0" w:line="240" w:lineRule="auto"/>
        <w:ind w:left="810"/>
        <w:outlineLvl w:val="2"/>
        <w:rPr>
          <w:rFonts w:cstheme="minorHAnsi"/>
        </w:rPr>
      </w:pPr>
    </w:p>
    <w:p w14:paraId="289EA23C" w14:textId="5CDE15F0" w:rsidR="0084404D" w:rsidRDefault="00F30738" w:rsidP="00D63204">
      <w:pPr>
        <w:pStyle w:val="ListParagraph"/>
        <w:widowControl w:val="0"/>
        <w:numPr>
          <w:ilvl w:val="0"/>
          <w:numId w:val="76"/>
        </w:numPr>
        <w:spacing w:after="0" w:line="240" w:lineRule="auto"/>
        <w:outlineLvl w:val="2"/>
        <w:rPr>
          <w:rFonts w:cstheme="minorHAnsi"/>
        </w:rPr>
      </w:pPr>
      <w:r w:rsidRPr="0084404D">
        <w:rPr>
          <w:rFonts w:cstheme="minorHAnsi"/>
        </w:rPr>
        <w:t>Adoption of Agenda</w:t>
      </w:r>
    </w:p>
    <w:p w14:paraId="4EFC8A74" w14:textId="77777777" w:rsidR="0084404D" w:rsidRPr="0084404D" w:rsidRDefault="0084404D" w:rsidP="00D63204">
      <w:pPr>
        <w:pStyle w:val="ListParagraph"/>
        <w:widowControl w:val="0"/>
        <w:spacing w:after="0" w:line="240" w:lineRule="auto"/>
        <w:ind w:left="810"/>
        <w:outlineLvl w:val="2"/>
        <w:rPr>
          <w:rFonts w:cstheme="minorHAnsi"/>
        </w:rPr>
      </w:pPr>
    </w:p>
    <w:p w14:paraId="628BA28D" w14:textId="0CF4DF85" w:rsidR="0084404D" w:rsidRDefault="00F30738" w:rsidP="00D63204">
      <w:pPr>
        <w:pStyle w:val="ListParagraph"/>
        <w:widowControl w:val="0"/>
        <w:numPr>
          <w:ilvl w:val="0"/>
          <w:numId w:val="76"/>
        </w:numPr>
        <w:spacing w:after="0" w:line="240" w:lineRule="auto"/>
        <w:outlineLvl w:val="2"/>
        <w:rPr>
          <w:rFonts w:cstheme="minorHAnsi"/>
        </w:rPr>
      </w:pPr>
      <w:r w:rsidRPr="0084404D">
        <w:rPr>
          <w:rFonts w:cstheme="minorHAnsi"/>
        </w:rPr>
        <w:t>Director’s Report: Division of Blind Services Updates</w:t>
      </w:r>
    </w:p>
    <w:p w14:paraId="292FA325" w14:textId="77777777" w:rsidR="0084404D" w:rsidRPr="0084404D" w:rsidRDefault="0084404D" w:rsidP="00D63204">
      <w:pPr>
        <w:pStyle w:val="ListParagraph"/>
        <w:widowControl w:val="0"/>
        <w:spacing w:after="0" w:line="240" w:lineRule="auto"/>
        <w:ind w:left="810"/>
        <w:outlineLvl w:val="2"/>
        <w:rPr>
          <w:rFonts w:cstheme="minorHAnsi"/>
        </w:rPr>
      </w:pPr>
    </w:p>
    <w:p w14:paraId="1800F086" w14:textId="195D3A51" w:rsidR="0084404D" w:rsidRDefault="00F30738" w:rsidP="00D63204">
      <w:pPr>
        <w:pStyle w:val="ListParagraph"/>
        <w:widowControl w:val="0"/>
        <w:numPr>
          <w:ilvl w:val="0"/>
          <w:numId w:val="76"/>
        </w:numPr>
        <w:spacing w:after="0" w:line="240" w:lineRule="auto"/>
        <w:outlineLvl w:val="2"/>
        <w:rPr>
          <w:rFonts w:cstheme="minorHAnsi"/>
        </w:rPr>
      </w:pPr>
      <w:r w:rsidRPr="0084404D">
        <w:rPr>
          <w:rFonts w:cstheme="minorHAnsi"/>
        </w:rPr>
        <w:t>District Administrator’s Report</w:t>
      </w:r>
    </w:p>
    <w:p w14:paraId="40F91CCF" w14:textId="77777777" w:rsidR="0084404D" w:rsidRPr="0084404D" w:rsidRDefault="0084404D" w:rsidP="0084404D">
      <w:pPr>
        <w:pStyle w:val="ListParagraph"/>
        <w:rPr>
          <w:rFonts w:cstheme="minorHAnsi"/>
        </w:rPr>
      </w:pPr>
    </w:p>
    <w:p w14:paraId="15E89424" w14:textId="1AB07A95" w:rsidR="0084404D" w:rsidRDefault="00F30738" w:rsidP="00D63204">
      <w:pPr>
        <w:pStyle w:val="ListParagraph"/>
        <w:widowControl w:val="0"/>
        <w:numPr>
          <w:ilvl w:val="0"/>
          <w:numId w:val="76"/>
        </w:numPr>
        <w:spacing w:after="0" w:line="240" w:lineRule="auto"/>
        <w:outlineLvl w:val="2"/>
        <w:rPr>
          <w:rFonts w:cstheme="minorHAnsi"/>
        </w:rPr>
      </w:pPr>
      <w:r w:rsidRPr="0084404D">
        <w:rPr>
          <w:rFonts w:cstheme="minorHAnsi"/>
        </w:rPr>
        <w:t>Employer Recognition</w:t>
      </w:r>
    </w:p>
    <w:p w14:paraId="7F5B5568" w14:textId="77777777" w:rsidR="0084404D" w:rsidRPr="0084404D" w:rsidRDefault="0084404D" w:rsidP="00D63204">
      <w:pPr>
        <w:pStyle w:val="ListParagraph"/>
        <w:widowControl w:val="0"/>
        <w:spacing w:after="0" w:line="240" w:lineRule="auto"/>
        <w:ind w:left="810"/>
        <w:outlineLvl w:val="2"/>
        <w:rPr>
          <w:rFonts w:cstheme="minorHAnsi"/>
        </w:rPr>
      </w:pPr>
    </w:p>
    <w:p w14:paraId="5D9D4279" w14:textId="0612E278" w:rsidR="0084404D" w:rsidRDefault="00F30738" w:rsidP="00D63204">
      <w:pPr>
        <w:pStyle w:val="ListParagraph"/>
        <w:widowControl w:val="0"/>
        <w:numPr>
          <w:ilvl w:val="0"/>
          <w:numId w:val="76"/>
        </w:numPr>
        <w:spacing w:after="0" w:line="240" w:lineRule="auto"/>
        <w:outlineLvl w:val="2"/>
        <w:rPr>
          <w:rFonts w:cstheme="minorHAnsi"/>
        </w:rPr>
      </w:pPr>
      <w:r w:rsidRPr="0084404D">
        <w:rPr>
          <w:rFonts w:cstheme="minorHAnsi"/>
        </w:rPr>
        <w:t>Local Community Rehabilitation Program Reports</w:t>
      </w:r>
    </w:p>
    <w:p w14:paraId="1D86B8F6" w14:textId="77777777" w:rsidR="0084404D" w:rsidRPr="0084404D" w:rsidRDefault="0084404D" w:rsidP="00D63204">
      <w:pPr>
        <w:pStyle w:val="ListParagraph"/>
        <w:widowControl w:val="0"/>
        <w:spacing w:after="0" w:line="240" w:lineRule="auto"/>
        <w:ind w:left="810"/>
        <w:outlineLvl w:val="2"/>
        <w:rPr>
          <w:rFonts w:cstheme="minorHAnsi"/>
        </w:rPr>
      </w:pPr>
    </w:p>
    <w:p w14:paraId="2BC60C3D" w14:textId="119E155A" w:rsidR="0084404D" w:rsidRDefault="00F30738" w:rsidP="00D63204">
      <w:pPr>
        <w:pStyle w:val="ListParagraph"/>
        <w:widowControl w:val="0"/>
        <w:numPr>
          <w:ilvl w:val="0"/>
          <w:numId w:val="76"/>
        </w:numPr>
        <w:spacing w:after="0" w:line="240" w:lineRule="auto"/>
        <w:outlineLvl w:val="2"/>
        <w:rPr>
          <w:rFonts w:cstheme="minorHAnsi"/>
        </w:rPr>
      </w:pPr>
      <w:r w:rsidRPr="0084404D">
        <w:rPr>
          <w:rFonts w:cstheme="minorHAnsi"/>
        </w:rPr>
        <w:t>Client Satisfaction Survey Data Updates</w:t>
      </w:r>
    </w:p>
    <w:p w14:paraId="78A5E9E5" w14:textId="77777777" w:rsidR="0084404D" w:rsidRPr="0084404D" w:rsidRDefault="0084404D" w:rsidP="00D63204">
      <w:pPr>
        <w:pStyle w:val="ListParagraph"/>
        <w:widowControl w:val="0"/>
        <w:spacing w:after="0" w:line="240" w:lineRule="auto"/>
        <w:ind w:left="810"/>
        <w:outlineLvl w:val="2"/>
        <w:rPr>
          <w:rFonts w:cstheme="minorHAnsi"/>
        </w:rPr>
      </w:pPr>
    </w:p>
    <w:p w14:paraId="0AC60796" w14:textId="3355109A" w:rsidR="0084404D" w:rsidRDefault="00F30738" w:rsidP="00D63204">
      <w:pPr>
        <w:pStyle w:val="ListParagraph"/>
        <w:widowControl w:val="0"/>
        <w:numPr>
          <w:ilvl w:val="0"/>
          <w:numId w:val="76"/>
        </w:numPr>
        <w:spacing w:after="0" w:line="240" w:lineRule="auto"/>
        <w:outlineLvl w:val="2"/>
        <w:rPr>
          <w:rFonts w:cstheme="minorHAnsi"/>
        </w:rPr>
      </w:pPr>
      <w:r w:rsidRPr="0084404D">
        <w:rPr>
          <w:rFonts w:cstheme="minorHAnsi"/>
        </w:rPr>
        <w:t>Division of Blind Services State Plan Updates</w:t>
      </w:r>
    </w:p>
    <w:p w14:paraId="616AAA14" w14:textId="77777777" w:rsidR="0084404D" w:rsidRPr="0084404D" w:rsidRDefault="0084404D" w:rsidP="00D63204">
      <w:pPr>
        <w:pStyle w:val="ListParagraph"/>
        <w:widowControl w:val="0"/>
        <w:spacing w:after="0" w:line="240" w:lineRule="auto"/>
        <w:ind w:left="810"/>
        <w:outlineLvl w:val="2"/>
        <w:rPr>
          <w:rFonts w:cstheme="minorHAnsi"/>
        </w:rPr>
      </w:pPr>
    </w:p>
    <w:p w14:paraId="47CEBE32" w14:textId="56FB309E" w:rsidR="0084404D" w:rsidRDefault="00F30738" w:rsidP="00D63204">
      <w:pPr>
        <w:pStyle w:val="ListParagraph"/>
        <w:widowControl w:val="0"/>
        <w:numPr>
          <w:ilvl w:val="0"/>
          <w:numId w:val="76"/>
        </w:numPr>
        <w:spacing w:after="0" w:line="240" w:lineRule="auto"/>
        <w:outlineLvl w:val="2"/>
        <w:rPr>
          <w:rFonts w:cstheme="minorHAnsi"/>
        </w:rPr>
      </w:pPr>
      <w:r w:rsidRPr="0084404D">
        <w:rPr>
          <w:rFonts w:cstheme="minorHAnsi"/>
        </w:rPr>
        <w:t>Vocational Rehabilitation Goals Updates</w:t>
      </w:r>
    </w:p>
    <w:p w14:paraId="7D850EC3" w14:textId="77777777" w:rsidR="0084404D" w:rsidRPr="0084404D" w:rsidRDefault="0084404D" w:rsidP="00D63204">
      <w:pPr>
        <w:pStyle w:val="ListParagraph"/>
        <w:widowControl w:val="0"/>
        <w:spacing w:after="0" w:line="240" w:lineRule="auto"/>
        <w:ind w:left="810"/>
        <w:outlineLvl w:val="2"/>
        <w:rPr>
          <w:rFonts w:cstheme="minorHAnsi"/>
        </w:rPr>
      </w:pPr>
    </w:p>
    <w:p w14:paraId="19BAFD87" w14:textId="2706BB90" w:rsidR="0084404D" w:rsidRDefault="00F30738" w:rsidP="00D63204">
      <w:pPr>
        <w:pStyle w:val="ListParagraph"/>
        <w:widowControl w:val="0"/>
        <w:numPr>
          <w:ilvl w:val="0"/>
          <w:numId w:val="76"/>
        </w:numPr>
        <w:spacing w:after="0" w:line="240" w:lineRule="auto"/>
        <w:outlineLvl w:val="2"/>
        <w:rPr>
          <w:rFonts w:cstheme="minorHAnsi"/>
        </w:rPr>
      </w:pPr>
      <w:r w:rsidRPr="0084404D">
        <w:rPr>
          <w:rFonts w:cstheme="minorHAnsi"/>
        </w:rPr>
        <w:t>New Committee Appointments</w:t>
      </w:r>
    </w:p>
    <w:p w14:paraId="48563A89" w14:textId="77777777" w:rsidR="0084404D" w:rsidRPr="0084404D" w:rsidRDefault="0084404D" w:rsidP="00D63204">
      <w:pPr>
        <w:pStyle w:val="ListParagraph"/>
        <w:widowControl w:val="0"/>
        <w:spacing w:after="0" w:line="240" w:lineRule="auto"/>
        <w:ind w:left="810"/>
        <w:outlineLvl w:val="2"/>
        <w:rPr>
          <w:rFonts w:cstheme="minorHAnsi"/>
        </w:rPr>
      </w:pPr>
    </w:p>
    <w:p w14:paraId="7305634A" w14:textId="4D8221BC" w:rsidR="0084404D" w:rsidRDefault="00F30738" w:rsidP="00D63204">
      <w:pPr>
        <w:pStyle w:val="ListParagraph"/>
        <w:widowControl w:val="0"/>
        <w:numPr>
          <w:ilvl w:val="0"/>
          <w:numId w:val="76"/>
        </w:numPr>
        <w:spacing w:after="0" w:line="240" w:lineRule="auto"/>
        <w:outlineLvl w:val="2"/>
        <w:rPr>
          <w:rFonts w:cstheme="minorHAnsi"/>
        </w:rPr>
      </w:pPr>
      <w:r w:rsidRPr="0084404D">
        <w:rPr>
          <w:rFonts w:cstheme="minorHAnsi"/>
        </w:rPr>
        <w:t>Bureau of Business Enterprise Update</w:t>
      </w:r>
    </w:p>
    <w:p w14:paraId="14550948" w14:textId="77777777" w:rsidR="0084404D" w:rsidRPr="0084404D" w:rsidRDefault="0084404D" w:rsidP="00D63204">
      <w:pPr>
        <w:pStyle w:val="ListParagraph"/>
        <w:widowControl w:val="0"/>
        <w:spacing w:after="0" w:line="240" w:lineRule="auto"/>
        <w:ind w:left="810"/>
        <w:outlineLvl w:val="2"/>
        <w:rPr>
          <w:rFonts w:cstheme="minorHAnsi"/>
        </w:rPr>
      </w:pPr>
    </w:p>
    <w:p w14:paraId="3904CC5B" w14:textId="2FE1220B" w:rsidR="0084404D" w:rsidRDefault="0084404D" w:rsidP="00D63204">
      <w:pPr>
        <w:pStyle w:val="ListParagraph"/>
        <w:widowControl w:val="0"/>
        <w:numPr>
          <w:ilvl w:val="0"/>
          <w:numId w:val="76"/>
        </w:numPr>
        <w:spacing w:after="0" w:line="240" w:lineRule="auto"/>
        <w:outlineLvl w:val="2"/>
        <w:rPr>
          <w:rFonts w:cstheme="minorHAnsi"/>
        </w:rPr>
      </w:pPr>
      <w:r>
        <w:rPr>
          <w:rFonts w:cstheme="minorHAnsi"/>
        </w:rPr>
        <w:t>W</w:t>
      </w:r>
      <w:r w:rsidR="00F30738" w:rsidRPr="0084404D">
        <w:rPr>
          <w:rFonts w:cstheme="minorHAnsi"/>
        </w:rPr>
        <w:t>orkforce Innovation and Opportunity Act of 2014</w:t>
      </w:r>
    </w:p>
    <w:p w14:paraId="32FEDA13" w14:textId="77777777" w:rsidR="0084404D" w:rsidRPr="0084404D" w:rsidRDefault="0084404D" w:rsidP="00D63204">
      <w:pPr>
        <w:pStyle w:val="ListParagraph"/>
        <w:widowControl w:val="0"/>
        <w:spacing w:after="0" w:line="240" w:lineRule="auto"/>
        <w:ind w:left="810"/>
        <w:outlineLvl w:val="2"/>
        <w:rPr>
          <w:rFonts w:cstheme="minorHAnsi"/>
        </w:rPr>
      </w:pPr>
    </w:p>
    <w:p w14:paraId="782BAC97" w14:textId="7AF1CFA0" w:rsidR="0084404D" w:rsidRDefault="00F30738" w:rsidP="00D63204">
      <w:pPr>
        <w:pStyle w:val="ListParagraph"/>
        <w:widowControl w:val="0"/>
        <w:numPr>
          <w:ilvl w:val="0"/>
          <w:numId w:val="76"/>
        </w:numPr>
        <w:spacing w:after="0" w:line="240" w:lineRule="auto"/>
        <w:outlineLvl w:val="2"/>
        <w:rPr>
          <w:rFonts w:cstheme="minorHAnsi"/>
        </w:rPr>
      </w:pPr>
      <w:r w:rsidRPr="0084404D">
        <w:rPr>
          <w:rFonts w:cstheme="minorHAnsi"/>
        </w:rPr>
        <w:t>FDBS Budget Report and Legislative Updates</w:t>
      </w:r>
    </w:p>
    <w:p w14:paraId="29B72BD5" w14:textId="77777777" w:rsidR="0084404D" w:rsidRPr="0084404D" w:rsidRDefault="0084404D" w:rsidP="00D63204">
      <w:pPr>
        <w:pStyle w:val="ListParagraph"/>
        <w:widowControl w:val="0"/>
        <w:spacing w:after="0" w:line="240" w:lineRule="auto"/>
        <w:ind w:left="810"/>
        <w:outlineLvl w:val="2"/>
        <w:rPr>
          <w:rFonts w:cstheme="minorHAnsi"/>
        </w:rPr>
      </w:pPr>
    </w:p>
    <w:p w14:paraId="3CC6F01F" w14:textId="16078BD0" w:rsidR="0084404D" w:rsidRDefault="00F30738" w:rsidP="00D63204">
      <w:pPr>
        <w:pStyle w:val="ListParagraph"/>
        <w:widowControl w:val="0"/>
        <w:numPr>
          <w:ilvl w:val="0"/>
          <w:numId w:val="76"/>
        </w:numPr>
        <w:spacing w:after="0" w:line="240" w:lineRule="auto"/>
        <w:outlineLvl w:val="2"/>
        <w:rPr>
          <w:rFonts w:cstheme="minorHAnsi"/>
        </w:rPr>
      </w:pPr>
      <w:r w:rsidRPr="0084404D">
        <w:rPr>
          <w:rFonts w:cstheme="minorHAnsi"/>
        </w:rPr>
        <w:t>Blind Services Foundation Update</w:t>
      </w:r>
    </w:p>
    <w:p w14:paraId="3A8B550C" w14:textId="77777777" w:rsidR="0084404D" w:rsidRPr="0084404D" w:rsidRDefault="0084404D" w:rsidP="00D63204">
      <w:pPr>
        <w:pStyle w:val="ListParagraph"/>
        <w:widowControl w:val="0"/>
        <w:spacing w:after="0" w:line="240" w:lineRule="auto"/>
        <w:ind w:left="810"/>
        <w:outlineLvl w:val="2"/>
        <w:rPr>
          <w:rFonts w:cstheme="minorHAnsi"/>
        </w:rPr>
      </w:pPr>
    </w:p>
    <w:p w14:paraId="3004481E" w14:textId="29125484" w:rsidR="0084404D" w:rsidRDefault="00F30738" w:rsidP="00D63204">
      <w:pPr>
        <w:pStyle w:val="ListParagraph"/>
        <w:widowControl w:val="0"/>
        <w:numPr>
          <w:ilvl w:val="0"/>
          <w:numId w:val="76"/>
        </w:numPr>
        <w:spacing w:after="0" w:line="240" w:lineRule="auto"/>
        <w:outlineLvl w:val="2"/>
        <w:rPr>
          <w:rFonts w:cstheme="minorHAnsi"/>
        </w:rPr>
      </w:pPr>
      <w:r w:rsidRPr="0084404D">
        <w:rPr>
          <w:rFonts w:cstheme="minorHAnsi"/>
        </w:rPr>
        <w:t>Updates on Outreach to Underserved/Unserved</w:t>
      </w:r>
    </w:p>
    <w:p w14:paraId="3F41226C" w14:textId="77777777" w:rsidR="0084404D" w:rsidRPr="0084404D" w:rsidRDefault="0084404D" w:rsidP="00D63204">
      <w:pPr>
        <w:pStyle w:val="ListParagraph"/>
        <w:widowControl w:val="0"/>
        <w:spacing w:after="0" w:line="240" w:lineRule="auto"/>
        <w:ind w:left="810"/>
        <w:outlineLvl w:val="2"/>
        <w:rPr>
          <w:rFonts w:cstheme="minorHAnsi"/>
        </w:rPr>
      </w:pPr>
    </w:p>
    <w:p w14:paraId="0A2B9F3A" w14:textId="38246759" w:rsidR="0084404D" w:rsidRPr="0084404D" w:rsidRDefault="00F30738" w:rsidP="00D63204">
      <w:pPr>
        <w:pStyle w:val="ListParagraph"/>
        <w:widowControl w:val="0"/>
        <w:numPr>
          <w:ilvl w:val="0"/>
          <w:numId w:val="76"/>
        </w:numPr>
        <w:spacing w:after="0" w:line="240" w:lineRule="auto"/>
        <w:outlineLvl w:val="2"/>
        <w:rPr>
          <w:rFonts w:cs="Calibri"/>
        </w:rPr>
      </w:pPr>
      <w:r w:rsidRPr="0084404D">
        <w:rPr>
          <w:rFonts w:cstheme="minorHAnsi"/>
        </w:rPr>
        <w:t>Strategic Plan Discussions</w:t>
      </w:r>
      <w:r w:rsidRPr="0084404D">
        <w:rPr>
          <w:rFonts w:cstheme="minorHAnsi"/>
        </w:rPr>
        <w:tab/>
      </w:r>
    </w:p>
    <w:p w14:paraId="6D6E0FDF" w14:textId="77777777" w:rsidR="00EA7458" w:rsidRPr="00353381" w:rsidRDefault="00EA7458" w:rsidP="00D63204">
      <w:pPr>
        <w:widowControl w:val="0"/>
        <w:spacing w:before="4" w:after="0" w:line="240" w:lineRule="auto"/>
        <w:ind w:left="90"/>
        <w:rPr>
          <w:rFonts w:cs="Calibri"/>
        </w:rPr>
      </w:pPr>
    </w:p>
    <w:p w14:paraId="5E4006D7" w14:textId="77777777" w:rsidR="0084404D" w:rsidRDefault="007C5161" w:rsidP="00D63204">
      <w:pPr>
        <w:spacing w:line="240" w:lineRule="auto"/>
        <w:ind w:left="90"/>
      </w:pPr>
      <w:bookmarkStart w:id="198" w:name="(q)_Quality,_Scope,_and_Extent_of_Suppor"/>
      <w:bookmarkStart w:id="199" w:name="_bookmark127"/>
      <w:bookmarkEnd w:id="198"/>
      <w:bookmarkEnd w:id="199"/>
      <w:r w:rsidRPr="00353381">
        <w:rPr>
          <w:b/>
        </w:rPr>
        <w:t>Agenda Items conducted by FDBS:</w:t>
      </w:r>
      <w:r w:rsidR="0084404D">
        <w:t xml:space="preserve"> </w:t>
      </w:r>
    </w:p>
    <w:p w14:paraId="691F6ACF" w14:textId="0870D560" w:rsidR="0084404D" w:rsidRDefault="007C5161" w:rsidP="00D63204">
      <w:pPr>
        <w:pStyle w:val="ListParagraph"/>
        <w:numPr>
          <w:ilvl w:val="0"/>
          <w:numId w:val="76"/>
        </w:numPr>
        <w:spacing w:line="240" w:lineRule="auto"/>
      </w:pPr>
      <w:r w:rsidRPr="00353381">
        <w:t xml:space="preserve">Director’s report (each meeting) </w:t>
      </w:r>
    </w:p>
    <w:p w14:paraId="6BB66BA9" w14:textId="77777777" w:rsidR="0084404D" w:rsidRDefault="0084404D" w:rsidP="00D63204">
      <w:pPr>
        <w:pStyle w:val="ListParagraph"/>
        <w:spacing w:line="240" w:lineRule="auto"/>
        <w:ind w:left="810"/>
      </w:pPr>
    </w:p>
    <w:p w14:paraId="218AB229" w14:textId="15CEB556" w:rsidR="0084404D" w:rsidRDefault="007C5161" w:rsidP="00D63204">
      <w:pPr>
        <w:pStyle w:val="ListParagraph"/>
        <w:numPr>
          <w:ilvl w:val="0"/>
          <w:numId w:val="76"/>
        </w:numPr>
        <w:spacing w:line="240" w:lineRule="auto"/>
      </w:pPr>
      <w:r w:rsidRPr="00353381">
        <w:t xml:space="preserve">Report from the local district administrator (each meeting) </w:t>
      </w:r>
    </w:p>
    <w:p w14:paraId="360F60B6" w14:textId="77777777" w:rsidR="0084404D" w:rsidRDefault="0084404D" w:rsidP="00D63204">
      <w:pPr>
        <w:pStyle w:val="ListParagraph"/>
        <w:spacing w:line="240" w:lineRule="auto"/>
        <w:ind w:left="810"/>
      </w:pPr>
    </w:p>
    <w:p w14:paraId="43750743" w14:textId="21BD5A68" w:rsidR="0084404D" w:rsidRDefault="007C5161" w:rsidP="00D63204">
      <w:pPr>
        <w:pStyle w:val="ListParagraph"/>
        <w:numPr>
          <w:ilvl w:val="0"/>
          <w:numId w:val="76"/>
        </w:numPr>
        <w:spacing w:line="240" w:lineRule="auto"/>
      </w:pPr>
      <w:r w:rsidRPr="00353381">
        <w:t xml:space="preserve">Update on the Blind Services Foundation </w:t>
      </w:r>
    </w:p>
    <w:p w14:paraId="784214F4" w14:textId="77777777" w:rsidR="0084404D" w:rsidRDefault="0084404D" w:rsidP="00D63204">
      <w:pPr>
        <w:pStyle w:val="ListParagraph"/>
        <w:spacing w:line="240" w:lineRule="auto"/>
        <w:ind w:left="810"/>
      </w:pPr>
    </w:p>
    <w:p w14:paraId="4A1E7393" w14:textId="77777777" w:rsidR="0084404D" w:rsidRDefault="007C5161" w:rsidP="00D63204">
      <w:pPr>
        <w:pStyle w:val="ListParagraph"/>
        <w:numPr>
          <w:ilvl w:val="0"/>
          <w:numId w:val="76"/>
        </w:numPr>
        <w:spacing w:line="240" w:lineRule="auto"/>
      </w:pPr>
      <w:r w:rsidRPr="00353381">
        <w:t xml:space="preserve">Council reviewed and gave input on the following FDBS policies. </w:t>
      </w:r>
    </w:p>
    <w:p w14:paraId="560DAE56" w14:textId="77777777" w:rsidR="0084404D" w:rsidRPr="0084404D" w:rsidRDefault="0084404D" w:rsidP="0084404D">
      <w:pPr>
        <w:pStyle w:val="ListParagraph"/>
        <w:rPr>
          <w:rFonts w:cstheme="minorHAnsi"/>
        </w:rPr>
      </w:pPr>
    </w:p>
    <w:p w14:paraId="0A37A055" w14:textId="26B07AAB" w:rsidR="0084404D" w:rsidRDefault="007C5161" w:rsidP="00D63204">
      <w:pPr>
        <w:pStyle w:val="ListParagraph"/>
        <w:numPr>
          <w:ilvl w:val="1"/>
          <w:numId w:val="76"/>
        </w:numPr>
        <w:spacing w:line="240" w:lineRule="auto"/>
        <w:rPr>
          <w:rFonts w:cstheme="minorHAnsi"/>
        </w:rPr>
      </w:pPr>
      <w:r w:rsidRPr="0084404D">
        <w:rPr>
          <w:rFonts w:cstheme="minorHAnsi"/>
        </w:rPr>
        <w:t xml:space="preserve">Policy 2.02 Informed Choice </w:t>
      </w:r>
    </w:p>
    <w:p w14:paraId="5B5EC0DF" w14:textId="77777777" w:rsidR="0084404D" w:rsidRDefault="0084404D" w:rsidP="00D63204">
      <w:pPr>
        <w:pStyle w:val="ListParagraph"/>
        <w:spacing w:line="240" w:lineRule="auto"/>
        <w:ind w:left="1530"/>
        <w:rPr>
          <w:rFonts w:cstheme="minorHAnsi"/>
        </w:rPr>
      </w:pPr>
    </w:p>
    <w:p w14:paraId="7CC37FA6" w14:textId="0EBA45F5" w:rsidR="0084404D" w:rsidRDefault="007C5161" w:rsidP="00D63204">
      <w:pPr>
        <w:pStyle w:val="ListParagraph"/>
        <w:numPr>
          <w:ilvl w:val="1"/>
          <w:numId w:val="76"/>
        </w:numPr>
        <w:spacing w:line="240" w:lineRule="auto"/>
        <w:rPr>
          <w:rFonts w:cstheme="minorHAnsi"/>
        </w:rPr>
      </w:pPr>
      <w:r w:rsidRPr="0084404D">
        <w:rPr>
          <w:rFonts w:cstheme="minorHAnsi"/>
        </w:rPr>
        <w:t>Policy 2.16 Timeliness of Services</w:t>
      </w:r>
    </w:p>
    <w:p w14:paraId="1B1A7BB5" w14:textId="77777777" w:rsidR="0084404D" w:rsidRDefault="0084404D" w:rsidP="00D63204">
      <w:pPr>
        <w:pStyle w:val="ListParagraph"/>
        <w:spacing w:line="240" w:lineRule="auto"/>
        <w:ind w:left="1530"/>
        <w:rPr>
          <w:rFonts w:cstheme="minorHAnsi"/>
        </w:rPr>
      </w:pPr>
    </w:p>
    <w:p w14:paraId="073C0DBD" w14:textId="0C88C1F3" w:rsidR="0084404D" w:rsidRDefault="007C5161" w:rsidP="00D63204">
      <w:pPr>
        <w:pStyle w:val="ListParagraph"/>
        <w:numPr>
          <w:ilvl w:val="1"/>
          <w:numId w:val="76"/>
        </w:numPr>
        <w:spacing w:line="240" w:lineRule="auto"/>
        <w:rPr>
          <w:rFonts w:cstheme="minorHAnsi"/>
        </w:rPr>
      </w:pPr>
      <w:r w:rsidRPr="0084404D">
        <w:rPr>
          <w:rFonts w:cstheme="minorHAnsi"/>
        </w:rPr>
        <w:t>Policy 2.35 Competitive Integrated Employment</w:t>
      </w:r>
    </w:p>
    <w:p w14:paraId="7585422B" w14:textId="77777777" w:rsidR="0084404D" w:rsidRDefault="0084404D" w:rsidP="00D63204">
      <w:pPr>
        <w:pStyle w:val="ListParagraph"/>
        <w:spacing w:line="240" w:lineRule="auto"/>
        <w:ind w:left="1530"/>
        <w:rPr>
          <w:rFonts w:cstheme="minorHAnsi"/>
        </w:rPr>
      </w:pPr>
    </w:p>
    <w:p w14:paraId="4285C4C4" w14:textId="4247B262" w:rsidR="0084404D" w:rsidRDefault="007C5161" w:rsidP="00D63204">
      <w:pPr>
        <w:pStyle w:val="ListParagraph"/>
        <w:numPr>
          <w:ilvl w:val="1"/>
          <w:numId w:val="76"/>
        </w:numPr>
        <w:spacing w:line="240" w:lineRule="auto"/>
        <w:rPr>
          <w:rFonts w:cstheme="minorHAnsi"/>
        </w:rPr>
      </w:pPr>
      <w:r w:rsidRPr="0084404D">
        <w:rPr>
          <w:rFonts w:cstheme="minorHAnsi"/>
        </w:rPr>
        <w:t>Policy 2.37 Transition Services</w:t>
      </w:r>
    </w:p>
    <w:p w14:paraId="53934233" w14:textId="77777777" w:rsidR="0084404D" w:rsidRPr="0084404D" w:rsidRDefault="0084404D" w:rsidP="00D63204">
      <w:pPr>
        <w:pStyle w:val="ListParagraph"/>
        <w:spacing w:line="240" w:lineRule="auto"/>
        <w:ind w:left="1530"/>
        <w:rPr>
          <w:rFonts w:cstheme="minorHAnsi"/>
        </w:rPr>
      </w:pPr>
    </w:p>
    <w:p w14:paraId="1C55A1B5" w14:textId="67D50915" w:rsidR="0084404D" w:rsidRPr="0084404D" w:rsidRDefault="007C5161" w:rsidP="00D63204">
      <w:pPr>
        <w:pStyle w:val="ListParagraph"/>
        <w:numPr>
          <w:ilvl w:val="1"/>
          <w:numId w:val="76"/>
        </w:numPr>
        <w:spacing w:line="240" w:lineRule="auto"/>
      </w:pPr>
      <w:r w:rsidRPr="0084404D">
        <w:rPr>
          <w:rFonts w:cstheme="minorHAnsi"/>
        </w:rPr>
        <w:t>Policy 6.07 Purchase of Access and Rehabilitation Technology</w:t>
      </w:r>
    </w:p>
    <w:p w14:paraId="72CA51BA" w14:textId="77777777" w:rsidR="0084404D" w:rsidRPr="0084404D" w:rsidRDefault="0084404D" w:rsidP="00D63204">
      <w:pPr>
        <w:pStyle w:val="ListParagraph"/>
        <w:spacing w:line="240" w:lineRule="auto"/>
        <w:ind w:left="1530"/>
      </w:pPr>
    </w:p>
    <w:p w14:paraId="6E82A0B9" w14:textId="56D92B81" w:rsidR="0084404D" w:rsidRPr="0084404D" w:rsidRDefault="007C5161" w:rsidP="00D63204">
      <w:pPr>
        <w:pStyle w:val="ListParagraph"/>
        <w:numPr>
          <w:ilvl w:val="1"/>
          <w:numId w:val="76"/>
        </w:numPr>
        <w:spacing w:line="240" w:lineRule="auto"/>
      </w:pPr>
      <w:r w:rsidRPr="0084404D">
        <w:rPr>
          <w:rFonts w:cstheme="minorHAnsi"/>
        </w:rPr>
        <w:t>Policy 6.11 Comparable Benefits</w:t>
      </w:r>
    </w:p>
    <w:p w14:paraId="6466D797" w14:textId="77777777" w:rsidR="0084404D" w:rsidRDefault="0084404D" w:rsidP="00D63204">
      <w:pPr>
        <w:pStyle w:val="ListParagraph"/>
        <w:spacing w:line="240" w:lineRule="auto"/>
        <w:ind w:left="1530"/>
      </w:pPr>
    </w:p>
    <w:p w14:paraId="067FE17A" w14:textId="62D39A71" w:rsidR="0084404D" w:rsidRDefault="007C5161" w:rsidP="00D63204">
      <w:pPr>
        <w:pStyle w:val="ListParagraph"/>
        <w:numPr>
          <w:ilvl w:val="0"/>
          <w:numId w:val="76"/>
        </w:numPr>
        <w:spacing w:line="240" w:lineRule="auto"/>
      </w:pPr>
      <w:r w:rsidRPr="00353381">
        <w:t xml:space="preserve">FDBS budget report and legislative updates </w:t>
      </w:r>
    </w:p>
    <w:p w14:paraId="6AD8CC1F" w14:textId="77777777" w:rsidR="0084404D" w:rsidRDefault="0084404D" w:rsidP="00D63204">
      <w:pPr>
        <w:pStyle w:val="ListParagraph"/>
        <w:spacing w:line="240" w:lineRule="auto"/>
        <w:ind w:left="810"/>
      </w:pPr>
    </w:p>
    <w:p w14:paraId="6EFBAFAB" w14:textId="6C8C9FD3" w:rsidR="0084404D" w:rsidRDefault="007C5161" w:rsidP="00D63204">
      <w:pPr>
        <w:pStyle w:val="ListParagraph"/>
        <w:numPr>
          <w:ilvl w:val="0"/>
          <w:numId w:val="76"/>
        </w:numPr>
        <w:spacing w:line="240" w:lineRule="auto"/>
      </w:pPr>
      <w:r w:rsidRPr="00353381">
        <w:t xml:space="preserve">Discussion of the state plan for council input </w:t>
      </w:r>
    </w:p>
    <w:p w14:paraId="69DC635A" w14:textId="77777777" w:rsidR="0084404D" w:rsidRDefault="0084404D" w:rsidP="00D63204">
      <w:pPr>
        <w:pStyle w:val="ListParagraph"/>
        <w:spacing w:line="240" w:lineRule="auto"/>
        <w:ind w:left="810"/>
      </w:pPr>
    </w:p>
    <w:p w14:paraId="0E40EFD1" w14:textId="5DE48064" w:rsidR="0084404D" w:rsidRDefault="007C5161" w:rsidP="00D63204">
      <w:pPr>
        <w:pStyle w:val="ListParagraph"/>
        <w:numPr>
          <w:ilvl w:val="0"/>
          <w:numId w:val="76"/>
        </w:numPr>
        <w:spacing w:line="240" w:lineRule="auto"/>
      </w:pPr>
      <w:r w:rsidRPr="00353381">
        <w:t xml:space="preserve">Discussion of the needs assessment for council input </w:t>
      </w:r>
    </w:p>
    <w:p w14:paraId="221E6860" w14:textId="77777777" w:rsidR="0084404D" w:rsidRDefault="0084404D" w:rsidP="00D63204">
      <w:pPr>
        <w:pStyle w:val="ListParagraph"/>
        <w:spacing w:line="240" w:lineRule="auto"/>
        <w:ind w:left="810"/>
      </w:pPr>
    </w:p>
    <w:p w14:paraId="42605B97" w14:textId="2ACFF449" w:rsidR="0084404D" w:rsidRDefault="007C5161" w:rsidP="00D63204">
      <w:pPr>
        <w:pStyle w:val="ListParagraph"/>
        <w:numPr>
          <w:ilvl w:val="0"/>
          <w:numId w:val="76"/>
        </w:numPr>
        <w:spacing w:line="240" w:lineRule="auto"/>
      </w:pPr>
      <w:r w:rsidRPr="00353381">
        <w:t xml:space="preserve">Discussion of the strategic plan </w:t>
      </w:r>
    </w:p>
    <w:p w14:paraId="06DB4D2B" w14:textId="77777777" w:rsidR="0084404D" w:rsidRDefault="0084404D" w:rsidP="00D63204">
      <w:pPr>
        <w:pStyle w:val="ListParagraph"/>
        <w:spacing w:line="240" w:lineRule="auto"/>
        <w:ind w:left="810"/>
      </w:pPr>
    </w:p>
    <w:p w14:paraId="6F04653E" w14:textId="7B859C20" w:rsidR="0084404D" w:rsidRDefault="007C5161" w:rsidP="00D63204">
      <w:pPr>
        <w:pStyle w:val="ListParagraph"/>
        <w:numPr>
          <w:ilvl w:val="0"/>
          <w:numId w:val="76"/>
        </w:numPr>
        <w:spacing w:line="240" w:lineRule="auto"/>
      </w:pPr>
      <w:r w:rsidRPr="00353381">
        <w:t xml:space="preserve">Update on outreach to underserved/unserved </w:t>
      </w:r>
    </w:p>
    <w:p w14:paraId="4FC367A4" w14:textId="77777777" w:rsidR="0084404D" w:rsidRDefault="0084404D" w:rsidP="00D63204">
      <w:pPr>
        <w:pStyle w:val="ListParagraph"/>
        <w:spacing w:line="240" w:lineRule="auto"/>
        <w:ind w:left="810"/>
      </w:pPr>
    </w:p>
    <w:p w14:paraId="07596699" w14:textId="0A3A05FD" w:rsidR="007C5161" w:rsidRPr="00353381" w:rsidRDefault="007C5161" w:rsidP="00D63204">
      <w:pPr>
        <w:pStyle w:val="ListParagraph"/>
        <w:numPr>
          <w:ilvl w:val="0"/>
          <w:numId w:val="76"/>
        </w:numPr>
        <w:spacing w:line="240" w:lineRule="auto"/>
      </w:pPr>
      <w:r w:rsidRPr="00353381">
        <w:t>Discussion of Transportation</w:t>
      </w:r>
    </w:p>
    <w:p w14:paraId="0BC1C2FE" w14:textId="66F7A68A" w:rsidR="007C5161" w:rsidRPr="00353381" w:rsidRDefault="007C5161" w:rsidP="00D63204">
      <w:pPr>
        <w:spacing w:line="240" w:lineRule="auto"/>
        <w:ind w:left="90"/>
      </w:pPr>
      <w:r w:rsidRPr="00353381">
        <w:t>The FRCB collaborate</w:t>
      </w:r>
      <w:r w:rsidR="00C442E2">
        <w:t>s</w:t>
      </w:r>
      <w:r w:rsidRPr="00353381">
        <w:t xml:space="preserve"> closely with the FDBS and plays an active role in marketing FDBS. </w:t>
      </w:r>
    </w:p>
    <w:p w14:paraId="0E9BD3E5" w14:textId="292FC7EA" w:rsidR="00EA7458" w:rsidRDefault="00EA7458" w:rsidP="00D63204">
      <w:pPr>
        <w:widowControl w:val="0"/>
        <w:spacing w:before="10" w:after="0" w:line="240" w:lineRule="auto"/>
        <w:ind w:left="90"/>
        <w:rPr>
          <w:rFonts w:cs="Calibri"/>
          <w:b/>
          <w:color w:val="1F497D" w:themeColor="text2"/>
          <w:sz w:val="26"/>
          <w:szCs w:val="26"/>
        </w:rPr>
      </w:pPr>
    </w:p>
    <w:p w14:paraId="28B9EEA6" w14:textId="77777777" w:rsidR="00B51D17" w:rsidRPr="0084404D" w:rsidRDefault="00B51D17" w:rsidP="00B61075">
      <w:pPr>
        <w:widowControl w:val="0"/>
        <w:spacing w:before="10" w:after="0" w:line="240" w:lineRule="auto"/>
        <w:rPr>
          <w:rFonts w:cs="Calibri"/>
          <w:b/>
          <w:color w:val="1F497D" w:themeColor="text2"/>
          <w:sz w:val="26"/>
          <w:szCs w:val="26"/>
        </w:rPr>
      </w:pPr>
    </w:p>
    <w:p w14:paraId="0B1CBC14" w14:textId="7EC1C548" w:rsidR="00EA7458" w:rsidRPr="0084404D" w:rsidRDefault="0084404D" w:rsidP="00D63204">
      <w:pPr>
        <w:widowControl w:val="0"/>
        <w:spacing w:after="0" w:line="240" w:lineRule="auto"/>
        <w:ind w:left="360"/>
        <w:outlineLvl w:val="1"/>
        <w:rPr>
          <w:b/>
          <w:color w:val="1F497D" w:themeColor="text2"/>
          <w:sz w:val="26"/>
          <w:szCs w:val="26"/>
        </w:rPr>
      </w:pPr>
      <w:r w:rsidRPr="0084404D">
        <w:rPr>
          <w:b/>
          <w:color w:val="1F497D" w:themeColor="text2"/>
          <w:w w:val="110"/>
          <w:sz w:val="26"/>
          <w:szCs w:val="26"/>
        </w:rPr>
        <w:t xml:space="preserve">(q) </w:t>
      </w:r>
      <w:r w:rsidR="00EA7458" w:rsidRPr="0084404D">
        <w:rPr>
          <w:b/>
          <w:bCs/>
          <w:color w:val="1F497D" w:themeColor="text2"/>
          <w:w w:val="110"/>
          <w:sz w:val="26"/>
          <w:szCs w:val="26"/>
        </w:rPr>
        <w:t>Quality, Scope</w:t>
      </w:r>
      <w:r w:rsidR="00D5537E">
        <w:rPr>
          <w:b/>
          <w:bCs/>
          <w:color w:val="1F497D" w:themeColor="text2"/>
          <w:w w:val="110"/>
          <w:sz w:val="26"/>
          <w:szCs w:val="26"/>
        </w:rPr>
        <w:t xml:space="preserve"> and</w:t>
      </w:r>
      <w:r w:rsidR="00EA7458" w:rsidRPr="0084404D">
        <w:rPr>
          <w:b/>
          <w:bCs/>
          <w:color w:val="1F497D" w:themeColor="text2"/>
          <w:w w:val="110"/>
          <w:sz w:val="26"/>
          <w:szCs w:val="26"/>
        </w:rPr>
        <w:t xml:space="preserve"> Extent of Supported Employment</w:t>
      </w:r>
      <w:r w:rsidR="00EA7458" w:rsidRPr="0084404D">
        <w:rPr>
          <w:b/>
          <w:bCs/>
          <w:color w:val="1F497D" w:themeColor="text2"/>
          <w:spacing w:val="-6"/>
          <w:w w:val="110"/>
          <w:sz w:val="26"/>
          <w:szCs w:val="26"/>
        </w:rPr>
        <w:t xml:space="preserve"> </w:t>
      </w:r>
      <w:r w:rsidR="00EA7458" w:rsidRPr="0084404D">
        <w:rPr>
          <w:b/>
          <w:bCs/>
          <w:color w:val="1F497D" w:themeColor="text2"/>
          <w:w w:val="110"/>
          <w:sz w:val="26"/>
          <w:szCs w:val="26"/>
        </w:rPr>
        <w:t>Services</w:t>
      </w:r>
    </w:p>
    <w:p w14:paraId="2CE8CF73" w14:textId="1FE5D903" w:rsidR="007C5161" w:rsidRPr="00353381" w:rsidRDefault="007C5161" w:rsidP="00D63204">
      <w:pPr>
        <w:widowControl w:val="0"/>
        <w:tabs>
          <w:tab w:val="left" w:pos="828"/>
        </w:tabs>
        <w:spacing w:after="0" w:line="240" w:lineRule="auto"/>
        <w:ind w:left="90"/>
        <w:outlineLvl w:val="1"/>
      </w:pPr>
    </w:p>
    <w:p w14:paraId="20BF1E96" w14:textId="7559D771" w:rsidR="0084404D" w:rsidRDefault="007C5161" w:rsidP="00667324">
      <w:pPr>
        <w:spacing w:line="240" w:lineRule="auto"/>
        <w:ind w:left="90"/>
        <w:rPr>
          <w:b/>
        </w:rPr>
      </w:pPr>
      <w:r w:rsidRPr="00353381">
        <w:t>FDBS offers supported employment services via one contracted vendor and by issuing authorizations to ensure continued services for all clients</w:t>
      </w:r>
      <w:r w:rsidR="005E7C49">
        <w:t xml:space="preserve">. </w:t>
      </w:r>
    </w:p>
    <w:p w14:paraId="2BD906F3" w14:textId="3670CEED" w:rsidR="007C5161" w:rsidRPr="00353381" w:rsidRDefault="007C5161" w:rsidP="00D63204">
      <w:pPr>
        <w:spacing w:after="0" w:line="240" w:lineRule="auto"/>
        <w:ind w:left="90"/>
      </w:pPr>
      <w:r w:rsidRPr="00353381">
        <w:rPr>
          <w:b/>
        </w:rPr>
        <w:t xml:space="preserve">Quality </w:t>
      </w:r>
    </w:p>
    <w:p w14:paraId="3FEC5C03" w14:textId="6ABA5CDB" w:rsidR="007C5161" w:rsidRPr="00353381" w:rsidRDefault="007C5161" w:rsidP="00D63204">
      <w:pPr>
        <w:spacing w:line="240" w:lineRule="auto"/>
        <w:ind w:left="90"/>
      </w:pPr>
      <w:r w:rsidRPr="00353381">
        <w:t>FDBS is committed to providing quality supported employment (SE) services to people with the most significant disabilities. FDBS supports the individual in making employment choices consistent with their strengths, resources, priorities, concerns, abilities, capabilities</w:t>
      </w:r>
      <w:r w:rsidR="00D5537E">
        <w:t xml:space="preserve"> and</w:t>
      </w:r>
      <w:r w:rsidRPr="00353381">
        <w:t xml:space="preserve"> interests. </w:t>
      </w:r>
    </w:p>
    <w:p w14:paraId="3DB092B2" w14:textId="4AC059CB" w:rsidR="00EA7458" w:rsidRPr="00353381" w:rsidRDefault="007C5161" w:rsidP="00D63204">
      <w:pPr>
        <w:spacing w:line="240" w:lineRule="auto"/>
        <w:ind w:left="90"/>
      </w:pPr>
      <w:r w:rsidRPr="00353381">
        <w:t>FDBS vocational rehabilitation counselors help individuals pursue the goals detailed in the individualized plan for employment (IPE) by using supported employment resources to the individual’s best advantage. VR actively involves clients and families as appropriate in assessment, planning</w:t>
      </w:r>
      <w:r w:rsidR="00D5537E">
        <w:t xml:space="preserve"> and</w:t>
      </w:r>
      <w:r w:rsidRPr="00353381">
        <w:t xml:space="preserve"> decision making throughout the service delivery process. FDBS evaluates the effectiveness of its job placement services and makes improvements as needed. </w:t>
      </w:r>
    </w:p>
    <w:p w14:paraId="2CA67D72" w14:textId="50419258" w:rsidR="007C5161" w:rsidRPr="00353381" w:rsidRDefault="007C5161" w:rsidP="00D63204">
      <w:pPr>
        <w:spacing w:line="240" w:lineRule="auto"/>
        <w:ind w:left="90"/>
      </w:pPr>
      <w:r w:rsidRPr="00353381">
        <w:t>FDBS provides ongoing training for staff and assesses policies and processes to ensure efficient services. FDBS has a quality assurance team</w:t>
      </w:r>
      <w:r w:rsidR="005E7C49">
        <w:t xml:space="preserve">. </w:t>
      </w:r>
      <w:r w:rsidRPr="00353381">
        <w:t>This team conducts quality assurance reviews consisting of onsite and desk reviews. The focus areas of the reviews include adherence to state policies, compliance of federal regulations, case documentation, IPE signatures, timeliness of certificate of eligibility, activities tied to the IPE</w:t>
      </w:r>
      <w:r w:rsidR="00D5537E">
        <w:t xml:space="preserve"> and</w:t>
      </w:r>
      <w:r w:rsidRPr="00353381">
        <w:t xml:space="preserve"> authorizations approvals. This team stays current on all federal and state regulations and attends the Annual Quality Assurance Summit for ongoing professional staff development.</w:t>
      </w:r>
    </w:p>
    <w:p w14:paraId="51B8B115" w14:textId="77777777" w:rsidR="0084404D" w:rsidRDefault="0084404D" w:rsidP="00D63204">
      <w:pPr>
        <w:spacing w:after="0" w:line="240" w:lineRule="auto"/>
        <w:ind w:left="90"/>
        <w:rPr>
          <w:b/>
        </w:rPr>
      </w:pPr>
    </w:p>
    <w:p w14:paraId="0A2753D6" w14:textId="57A43601" w:rsidR="007C5161" w:rsidRPr="00353381" w:rsidRDefault="007C5161" w:rsidP="00D63204">
      <w:pPr>
        <w:spacing w:after="0" w:line="240" w:lineRule="auto"/>
        <w:ind w:left="90"/>
        <w:rPr>
          <w:b/>
        </w:rPr>
      </w:pPr>
      <w:r w:rsidRPr="00353381">
        <w:rPr>
          <w:b/>
        </w:rPr>
        <w:t xml:space="preserve">Scope </w:t>
      </w:r>
    </w:p>
    <w:p w14:paraId="5AD5C0F8" w14:textId="7E980C63" w:rsidR="0084404D" w:rsidRDefault="007C5161" w:rsidP="00D63204">
      <w:pPr>
        <w:spacing w:after="0" w:line="240" w:lineRule="auto"/>
        <w:ind w:left="90"/>
      </w:pPr>
      <w:r w:rsidRPr="00353381">
        <w:t>The scope of supported employment services is comprised of an intensive array of services for blind and visually impaired individuals who require complex services. These services are identified under Title 1, the coordination of extended ongoing support services</w:t>
      </w:r>
      <w:r w:rsidR="00D5537E">
        <w:t xml:space="preserve"> and</w:t>
      </w:r>
      <w:r w:rsidRPr="00353381">
        <w:t xml:space="preserve"> the development of natural supports. FDBS contracts with the Florida Conklin Center for supported employment services</w:t>
      </w:r>
      <w:r w:rsidR="005E7C49">
        <w:t xml:space="preserve">. </w:t>
      </w:r>
      <w:r w:rsidRPr="00353381">
        <w:t xml:space="preserve">The Conklin Center and FDBS maintain a long-standing partnership and are committed to working collaboratively to serve the blind and visually impaired population. Supported Employment services are individually designed around the needs and desires of the customer and may include: </w:t>
      </w:r>
    </w:p>
    <w:p w14:paraId="0A27FC59" w14:textId="77777777" w:rsidR="0084404D" w:rsidRDefault="0084404D" w:rsidP="00D63204">
      <w:pPr>
        <w:spacing w:after="0" w:line="240" w:lineRule="auto"/>
        <w:ind w:left="90"/>
      </w:pPr>
    </w:p>
    <w:p w14:paraId="5DE1D712" w14:textId="77777777" w:rsidR="0084404D" w:rsidRDefault="007C5161" w:rsidP="00D63204">
      <w:pPr>
        <w:pStyle w:val="ListParagraph"/>
        <w:numPr>
          <w:ilvl w:val="0"/>
          <w:numId w:val="77"/>
        </w:numPr>
        <w:spacing w:after="0" w:line="240" w:lineRule="auto"/>
      </w:pPr>
      <w:r w:rsidRPr="00353381">
        <w:t>Initial placement and stabilization in the workplace</w:t>
      </w:r>
    </w:p>
    <w:p w14:paraId="1B7BD00E" w14:textId="77777777" w:rsidR="0084404D" w:rsidRDefault="0084404D" w:rsidP="00D63204">
      <w:pPr>
        <w:spacing w:after="0" w:line="240" w:lineRule="auto"/>
        <w:ind w:left="90"/>
      </w:pPr>
    </w:p>
    <w:p w14:paraId="090930DE" w14:textId="77777777" w:rsidR="0084404D" w:rsidRDefault="007C5161" w:rsidP="00D63204">
      <w:pPr>
        <w:pStyle w:val="ListParagraph"/>
        <w:numPr>
          <w:ilvl w:val="0"/>
          <w:numId w:val="77"/>
        </w:numPr>
        <w:spacing w:after="0" w:line="240" w:lineRule="auto"/>
      </w:pPr>
      <w:r w:rsidRPr="00353381">
        <w:t xml:space="preserve">Job Coaching </w:t>
      </w:r>
    </w:p>
    <w:p w14:paraId="001E4F93" w14:textId="77777777" w:rsidR="0084404D" w:rsidRDefault="0084404D" w:rsidP="00D63204">
      <w:pPr>
        <w:spacing w:after="0" w:line="240" w:lineRule="auto"/>
        <w:ind w:left="90"/>
      </w:pPr>
    </w:p>
    <w:p w14:paraId="4F19F9C9" w14:textId="2EE64DEB" w:rsidR="0084404D" w:rsidRDefault="007C5161" w:rsidP="00D63204">
      <w:pPr>
        <w:pStyle w:val="ListParagraph"/>
        <w:numPr>
          <w:ilvl w:val="0"/>
          <w:numId w:val="77"/>
        </w:numPr>
        <w:spacing w:after="0" w:line="240" w:lineRule="auto"/>
      </w:pPr>
      <w:r w:rsidRPr="00353381">
        <w:t xml:space="preserve">Assistive Technology </w:t>
      </w:r>
    </w:p>
    <w:p w14:paraId="5447FB39" w14:textId="77777777" w:rsidR="0084404D" w:rsidRDefault="0084404D" w:rsidP="00D63204">
      <w:pPr>
        <w:spacing w:after="0" w:line="240" w:lineRule="auto"/>
        <w:ind w:left="90"/>
      </w:pPr>
    </w:p>
    <w:p w14:paraId="3027FD85" w14:textId="77777777" w:rsidR="0084404D" w:rsidRDefault="007C5161" w:rsidP="00D63204">
      <w:pPr>
        <w:pStyle w:val="ListParagraph"/>
        <w:numPr>
          <w:ilvl w:val="0"/>
          <w:numId w:val="77"/>
        </w:numPr>
        <w:spacing w:after="0" w:line="240" w:lineRule="auto"/>
      </w:pPr>
      <w:r w:rsidRPr="00353381">
        <w:t xml:space="preserve">Specialized Job Training </w:t>
      </w:r>
    </w:p>
    <w:p w14:paraId="58AFA4FB" w14:textId="77777777" w:rsidR="0084404D" w:rsidRDefault="0084404D" w:rsidP="00D63204">
      <w:pPr>
        <w:spacing w:after="0" w:line="240" w:lineRule="auto"/>
        <w:ind w:left="90"/>
      </w:pPr>
    </w:p>
    <w:p w14:paraId="3ADE91C2" w14:textId="77777777" w:rsidR="0084404D" w:rsidRDefault="007C5161" w:rsidP="00D63204">
      <w:pPr>
        <w:pStyle w:val="ListParagraph"/>
        <w:numPr>
          <w:ilvl w:val="0"/>
          <w:numId w:val="77"/>
        </w:numPr>
        <w:spacing w:after="0" w:line="240" w:lineRule="auto"/>
      </w:pPr>
      <w:r w:rsidRPr="00353381">
        <w:t>Social Skill Training</w:t>
      </w:r>
    </w:p>
    <w:p w14:paraId="75E4AD09" w14:textId="77777777" w:rsidR="0084404D" w:rsidRDefault="0084404D" w:rsidP="00D63204">
      <w:pPr>
        <w:spacing w:after="0" w:line="240" w:lineRule="auto"/>
        <w:ind w:left="90"/>
      </w:pPr>
    </w:p>
    <w:p w14:paraId="77E6135B" w14:textId="77777777" w:rsidR="0084404D" w:rsidRDefault="007C5161" w:rsidP="00D63204">
      <w:pPr>
        <w:pStyle w:val="ListParagraph"/>
        <w:numPr>
          <w:ilvl w:val="0"/>
          <w:numId w:val="77"/>
        </w:numPr>
        <w:spacing w:after="0" w:line="240" w:lineRule="auto"/>
      </w:pPr>
      <w:r w:rsidRPr="00353381">
        <w:t xml:space="preserve">Money Management </w:t>
      </w:r>
    </w:p>
    <w:p w14:paraId="64CC7FA8" w14:textId="77777777" w:rsidR="0084404D" w:rsidRDefault="0084404D" w:rsidP="00D63204">
      <w:pPr>
        <w:spacing w:after="0" w:line="240" w:lineRule="auto"/>
        <w:ind w:left="90"/>
      </w:pPr>
    </w:p>
    <w:p w14:paraId="61B970FE" w14:textId="1557CFD3" w:rsidR="007C5161" w:rsidRPr="00353381" w:rsidRDefault="007C5161" w:rsidP="00D63204">
      <w:pPr>
        <w:pStyle w:val="ListParagraph"/>
        <w:numPr>
          <w:ilvl w:val="0"/>
          <w:numId w:val="77"/>
        </w:numPr>
        <w:spacing w:after="0" w:line="240" w:lineRule="auto"/>
      </w:pPr>
      <w:r w:rsidRPr="00353381">
        <w:t>Formal and informal work site related expectations (e.g., time and attendance, dress, communication)</w:t>
      </w:r>
    </w:p>
    <w:p w14:paraId="4DCEF777" w14:textId="77777777" w:rsidR="00C061E8" w:rsidRDefault="00C061E8" w:rsidP="00B61075">
      <w:pPr>
        <w:widowControl w:val="0"/>
        <w:spacing w:before="57" w:after="0" w:line="240" w:lineRule="auto"/>
        <w:outlineLvl w:val="2"/>
        <w:rPr>
          <w:b/>
          <w:bCs/>
          <w:color w:val="231F20"/>
          <w:w w:val="110"/>
        </w:rPr>
      </w:pPr>
    </w:p>
    <w:p w14:paraId="28B7AF4D" w14:textId="73242C93" w:rsidR="00EA7458" w:rsidRPr="00353381" w:rsidRDefault="00EA7458" w:rsidP="00D63204">
      <w:pPr>
        <w:widowControl w:val="0"/>
        <w:spacing w:before="57" w:after="0" w:line="240" w:lineRule="auto"/>
        <w:ind w:left="90"/>
        <w:outlineLvl w:val="2"/>
      </w:pPr>
      <w:r w:rsidRPr="00353381">
        <w:rPr>
          <w:b/>
          <w:bCs/>
          <w:color w:val="231F20"/>
          <w:w w:val="110"/>
        </w:rPr>
        <w:t>Extent</w:t>
      </w:r>
    </w:p>
    <w:p w14:paraId="6D57A085" w14:textId="2A202AAD" w:rsidR="007C5161" w:rsidRPr="00353381" w:rsidRDefault="007C5161" w:rsidP="00D63204">
      <w:pPr>
        <w:spacing w:line="240" w:lineRule="auto"/>
        <w:ind w:left="90"/>
      </w:pPr>
      <w:r w:rsidRPr="00353381">
        <w:t>FDBS expands supported employment services by educating community members, providers</w:t>
      </w:r>
      <w:r w:rsidR="00D5537E">
        <w:t xml:space="preserve"> and</w:t>
      </w:r>
      <w:r w:rsidRPr="00353381">
        <w:t xml:space="preserve"> relevant stakeholders on the availability of services. </w:t>
      </w:r>
    </w:p>
    <w:p w14:paraId="55B5F86A" w14:textId="2F11FA4D" w:rsidR="007C5161" w:rsidRPr="00353381" w:rsidRDefault="007C5161" w:rsidP="00D63204">
      <w:pPr>
        <w:spacing w:line="240" w:lineRule="auto"/>
        <w:ind w:left="90"/>
      </w:pPr>
      <w:r w:rsidRPr="00353381">
        <w:t>The amount of supported employment services provided is determined by a statewide needs assessment; analysis of performance data; and data provided by agency partners (e.g., DCAE, VR, CareerSource Florida network partners, Department of Children and Families, APD</w:t>
      </w:r>
      <w:r w:rsidR="00D5537E">
        <w:t xml:space="preserve"> and</w:t>
      </w:r>
      <w:r w:rsidRPr="00353381">
        <w:t xml:space="preserve"> the Mental Health and Substance Abuse Program). </w:t>
      </w:r>
    </w:p>
    <w:p w14:paraId="4107DC24" w14:textId="7686AF09" w:rsidR="007C5161" w:rsidRPr="00353381" w:rsidRDefault="007C5161" w:rsidP="00D63204">
      <w:pPr>
        <w:spacing w:line="240" w:lineRule="auto"/>
        <w:ind w:left="90"/>
      </w:pPr>
      <w:r w:rsidRPr="00353381">
        <w:t xml:space="preserve">Supported employment services are provided based on available resources. </w:t>
      </w:r>
    </w:p>
    <w:p w14:paraId="41957E6D" w14:textId="73E032BE" w:rsidR="007C5161" w:rsidRPr="00353381" w:rsidRDefault="007C5161" w:rsidP="00D63204">
      <w:pPr>
        <w:spacing w:line="240" w:lineRule="auto"/>
        <w:ind w:left="90"/>
        <w:rPr>
          <w:b/>
        </w:rPr>
      </w:pPr>
      <w:r w:rsidRPr="00353381">
        <w:rPr>
          <w:b/>
        </w:rPr>
        <w:br/>
        <w:t>Transition to Extended Services</w:t>
      </w:r>
    </w:p>
    <w:p w14:paraId="1F1FF8BC" w14:textId="77777777" w:rsidR="007C5161" w:rsidRPr="00353381" w:rsidRDefault="007C5161" w:rsidP="00D63204">
      <w:pPr>
        <w:spacing w:line="240" w:lineRule="auto"/>
        <w:ind w:left="90"/>
      </w:pPr>
      <w:r w:rsidRPr="00353381">
        <w:t xml:space="preserve">Transition occurs a minimum of 90 days after “stabilization.” Responsibility for funding ongoing support services comes from community service providers. </w:t>
      </w:r>
    </w:p>
    <w:p w14:paraId="4850EA4E" w14:textId="6FB4CFCC" w:rsidR="00EA7458" w:rsidRPr="00FB7D77" w:rsidRDefault="007C5161" w:rsidP="00FB7D77">
      <w:pPr>
        <w:spacing w:line="240" w:lineRule="auto"/>
        <w:ind w:left="90"/>
        <w:jc w:val="both"/>
        <w:sectPr w:rsidR="00EA7458" w:rsidRPr="00FB7D77">
          <w:footerReference w:type="default" r:id="rId197"/>
          <w:pgSz w:w="12240" w:h="15840"/>
          <w:pgMar w:top="1620" w:right="900" w:bottom="820" w:left="900" w:header="812" w:footer="624" w:gutter="0"/>
          <w:cols w:space="720"/>
        </w:sectPr>
      </w:pPr>
      <w:r w:rsidRPr="00353381">
        <w:t>A successful supported employment outcome closure for a person successfully rehabilitated, occurs when the following criteria are met: (a) 90 days following stabilization and 60 days from transition to closure (to assure ongoing supports are successful following transition); or (b) a minimum of 150 days of continuous employment following stabilization.</w:t>
      </w:r>
    </w:p>
    <w:p w14:paraId="30257EA5" w14:textId="1AC1C355" w:rsidR="00EA7458" w:rsidRPr="00EA7458" w:rsidRDefault="00C061E8" w:rsidP="007E1CA3">
      <w:pPr>
        <w:widowControl w:val="0"/>
        <w:spacing w:before="27" w:after="0" w:line="432" w:lineRule="exact"/>
        <w:ind w:right="281"/>
        <w:outlineLvl w:val="0"/>
        <w:rPr>
          <w:rFonts w:ascii="Calibri" w:hAnsi="Calibri"/>
          <w:sz w:val="36"/>
          <w:szCs w:val="36"/>
        </w:rPr>
      </w:pPr>
      <w:bookmarkStart w:id="200" w:name="Vocational_Rehabilitation_Certifications"/>
      <w:bookmarkStart w:id="201" w:name="_bookmark128"/>
      <w:bookmarkEnd w:id="200"/>
      <w:bookmarkEnd w:id="201"/>
      <w:r>
        <w:rPr>
          <w:noProof/>
        </w:rPr>
        <mc:AlternateContent>
          <mc:Choice Requires="wpg">
            <w:drawing>
              <wp:anchor distT="0" distB="0" distL="114300" distR="114300" simplePos="0" relativeHeight="251658242" behindDoc="1" locked="0" layoutInCell="1" allowOverlap="1" wp14:anchorId="2F05D524" wp14:editId="71B99426">
                <wp:simplePos x="0" y="0"/>
                <wp:positionH relativeFrom="page">
                  <wp:posOffset>636905</wp:posOffset>
                </wp:positionH>
                <wp:positionV relativeFrom="page">
                  <wp:posOffset>1313564</wp:posOffset>
                </wp:positionV>
                <wp:extent cx="6495415" cy="7829550"/>
                <wp:effectExtent l="0" t="0" r="635" b="0"/>
                <wp:wrapNone/>
                <wp:docPr id="141" name="Group 1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95415" cy="7829550"/>
                          <a:chOff x="1006" y="1890"/>
                          <a:chExt cx="10229" cy="12330"/>
                        </a:xfrm>
                      </wpg:grpSpPr>
                      <pic:pic xmlns:pic="http://schemas.openxmlformats.org/drawingml/2006/picture">
                        <pic:nvPicPr>
                          <pic:cNvPr id="142" name="Picture 189" descr="Vocational Rehabilitation Certifications and Assurances"/>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1344" y="1890"/>
                            <a:ext cx="9552" cy="12330"/>
                          </a:xfrm>
                          <a:prstGeom prst="rect">
                            <a:avLst/>
                          </a:prstGeom>
                          <a:noFill/>
                          <a:extLst>
                            <a:ext uri="{909E8E84-426E-40DD-AFC4-6F175D3DCCD1}">
                              <a14:hiddenFill xmlns:a14="http://schemas.microsoft.com/office/drawing/2010/main">
                                <a:solidFill>
                                  <a:srgbClr val="FFFFFF"/>
                                </a:solidFill>
                              </a14:hiddenFill>
                            </a:ext>
                          </a:extLst>
                        </pic:spPr>
                      </pic:pic>
                      <wpg:grpSp>
                        <wpg:cNvPr id="143" name="Group 190"/>
                        <wpg:cNvGrpSpPr>
                          <a:grpSpLocks/>
                        </wpg:cNvGrpSpPr>
                        <wpg:grpSpPr bwMode="auto">
                          <a:xfrm>
                            <a:off x="1008" y="1890"/>
                            <a:ext cx="10224" cy="1034"/>
                            <a:chOff x="1008" y="1890"/>
                            <a:chExt cx="10224" cy="1034"/>
                          </a:xfrm>
                        </wpg:grpSpPr>
                        <wps:wsp>
                          <wps:cNvPr id="144" name="Freeform 191"/>
                          <wps:cNvSpPr>
                            <a:spLocks/>
                          </wps:cNvSpPr>
                          <wps:spPr bwMode="auto">
                            <a:xfrm>
                              <a:off x="1008" y="1890"/>
                              <a:ext cx="10224" cy="1034"/>
                            </a:xfrm>
                            <a:custGeom>
                              <a:avLst/>
                              <a:gdLst>
                                <a:gd name="T0" fmla="+- 0 1008 1008"/>
                                <a:gd name="T1" fmla="*/ T0 w 10224"/>
                                <a:gd name="T2" fmla="+- 0 2923 1890"/>
                                <a:gd name="T3" fmla="*/ 2923 h 1034"/>
                                <a:gd name="T4" fmla="+- 0 11232 1008"/>
                                <a:gd name="T5" fmla="*/ T4 w 10224"/>
                                <a:gd name="T6" fmla="+- 0 2923 1890"/>
                                <a:gd name="T7" fmla="*/ 2923 h 1034"/>
                                <a:gd name="T8" fmla="+- 0 11232 1008"/>
                                <a:gd name="T9" fmla="*/ T8 w 10224"/>
                                <a:gd name="T10" fmla="+- 0 1890 1890"/>
                                <a:gd name="T11" fmla="*/ 1890 h 1034"/>
                                <a:gd name="T12" fmla="+- 0 1008 1008"/>
                                <a:gd name="T13" fmla="*/ T12 w 10224"/>
                                <a:gd name="T14" fmla="+- 0 1890 1890"/>
                                <a:gd name="T15" fmla="*/ 1890 h 1034"/>
                                <a:gd name="T16" fmla="+- 0 1008 1008"/>
                                <a:gd name="T17" fmla="*/ T16 w 10224"/>
                                <a:gd name="T18" fmla="+- 0 2923 1890"/>
                                <a:gd name="T19" fmla="*/ 2923 h 1034"/>
                              </a:gdLst>
                              <a:ahLst/>
                              <a:cxnLst>
                                <a:cxn ang="0">
                                  <a:pos x="T1" y="T3"/>
                                </a:cxn>
                                <a:cxn ang="0">
                                  <a:pos x="T5" y="T7"/>
                                </a:cxn>
                                <a:cxn ang="0">
                                  <a:pos x="T9" y="T11"/>
                                </a:cxn>
                                <a:cxn ang="0">
                                  <a:pos x="T13" y="T15"/>
                                </a:cxn>
                                <a:cxn ang="0">
                                  <a:pos x="T17" y="T19"/>
                                </a:cxn>
                              </a:cxnLst>
                              <a:rect l="0" t="0" r="r" b="b"/>
                              <a:pathLst>
                                <a:path w="10224" h="1034">
                                  <a:moveTo>
                                    <a:pt x="0" y="1033"/>
                                  </a:moveTo>
                                  <a:lnTo>
                                    <a:pt x="10224" y="1033"/>
                                  </a:lnTo>
                                  <a:lnTo>
                                    <a:pt x="10224" y="0"/>
                                  </a:lnTo>
                                  <a:lnTo>
                                    <a:pt x="0" y="0"/>
                                  </a:lnTo>
                                  <a:lnTo>
                                    <a:pt x="0" y="103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45" name="Group 192"/>
                        <wpg:cNvGrpSpPr>
                          <a:grpSpLocks/>
                        </wpg:cNvGrpSpPr>
                        <wpg:grpSpPr bwMode="auto">
                          <a:xfrm>
                            <a:off x="1008" y="2670"/>
                            <a:ext cx="10224" cy="2"/>
                            <a:chOff x="1008" y="2670"/>
                            <a:chExt cx="10224" cy="2"/>
                          </a:xfrm>
                        </wpg:grpSpPr>
                        <wps:wsp>
                          <wps:cNvPr id="146" name="Freeform 193"/>
                          <wps:cNvSpPr>
                            <a:spLocks/>
                          </wps:cNvSpPr>
                          <wps:spPr bwMode="auto">
                            <a:xfrm>
                              <a:off x="1008" y="2670"/>
                              <a:ext cx="10224" cy="2"/>
                            </a:xfrm>
                            <a:custGeom>
                              <a:avLst/>
                              <a:gdLst>
                                <a:gd name="T0" fmla="+- 0 1008 1008"/>
                                <a:gd name="T1" fmla="*/ T0 w 10224"/>
                                <a:gd name="T2" fmla="+- 0 11232 1008"/>
                                <a:gd name="T3" fmla="*/ T2 w 10224"/>
                              </a:gdLst>
                              <a:ahLst/>
                              <a:cxnLst>
                                <a:cxn ang="0">
                                  <a:pos x="T1" y="0"/>
                                </a:cxn>
                                <a:cxn ang="0">
                                  <a:pos x="T3" y="0"/>
                                </a:cxn>
                              </a:cxnLst>
                              <a:rect l="0" t="0" r="r" b="b"/>
                              <a:pathLst>
                                <a:path w="10224">
                                  <a:moveTo>
                                    <a:pt x="0" y="0"/>
                                  </a:moveTo>
                                  <a:lnTo>
                                    <a:pt x="10224" y="0"/>
                                  </a:lnTo>
                                </a:path>
                              </a:pathLst>
                            </a:custGeom>
                            <a:noFill/>
                            <a:ln w="317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2A4C11CC" id="Group 141" o:spid="_x0000_s1026" style="position:absolute;margin-left:50.15pt;margin-top:103.45pt;width:511.45pt;height:616.5pt;z-index:-251658238;mso-position-horizontal-relative:page;mso-position-vertical-relative:page" coordorigin="1006,1890" coordsize="10229,123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">
                <v:shape id="Picture 189" o:spid="_x0000_s1027" type="#_x0000_t75" alt="Vocational Rehabilitation Certifications and Assurances" style="position:absolute;left:1344;top:1890;width:9552;height:123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">
                  <v:imagedata r:id="rId199" o:title="Vocational Rehabilitation Certifications and Assurances"/>
                </v:shape>
                <v:group id="Group 190" o:spid="_x0000_s1028" style="position:absolute;left:1008;top:1890;width:10224;height:1034" coordorigin="1008,1890" coordsize="10224,10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">
                  <v:shape id="Freeform 191" o:spid="_x0000_s1029" style="position:absolute;left:1008;top:1890;width:10224;height:1034;visibility:visible;mso-wrap-style:square;v-text-anchor:top" coordsize="10224,10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" path="m,1033r10224,l10224,,,,,1033xe" stroked="f">
                    <v:path arrowok="t" o:connecttype="custom" o:connectlocs="0,2923;10224,2923;10224,1890;0,1890;0,2923" o:connectangles="0,0,0,0,0"/>
                  </v:shape>
                </v:group>
                <v:group id="Group 192" o:spid="_x0000_s1030" style="position:absolute;left:1008;top:2670;width:10224;height:2" coordorigin="1008,2670" coordsize="1022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">
                  <v:shape id="Freeform 193" o:spid="_x0000_s1031" style="position:absolute;left:1008;top:2670;width:10224;height:2;visibility:visible;mso-wrap-style:square;v-text-anchor:top" coordsize="1022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" path="m,l10224,e" filled="f" strokecolor="#231f20" strokeweight=".25pt">
                    <v:path arrowok="t" o:connecttype="custom" o:connectlocs="0,0;10224,0" o:connectangles="0,0"/>
                  </v:shape>
                </v:group>
                <w10:wrap anchorx="page" anchory="page"/>
              </v:group>
            </w:pict>
          </mc:Fallback>
        </mc:AlternateContent>
      </w:r>
      <w:r w:rsidR="00EA7458" w:rsidRPr="00EA7458">
        <w:rPr>
          <w:rFonts w:ascii="Calibri" w:hAnsi="Calibri"/>
          <w:b/>
          <w:bCs/>
          <w:color w:val="295CA3"/>
          <w:spacing w:val="-5"/>
          <w:w w:val="110"/>
          <w:sz w:val="36"/>
          <w:szCs w:val="36"/>
        </w:rPr>
        <w:t>VOCATIONAL</w:t>
      </w:r>
      <w:r w:rsidR="00EA7458" w:rsidRPr="00EA7458">
        <w:rPr>
          <w:rFonts w:ascii="Calibri" w:hAnsi="Calibri"/>
          <w:b/>
          <w:bCs/>
          <w:color w:val="295CA3"/>
          <w:spacing w:val="22"/>
          <w:w w:val="110"/>
          <w:sz w:val="36"/>
          <w:szCs w:val="36"/>
        </w:rPr>
        <w:t xml:space="preserve"> </w:t>
      </w:r>
      <w:r w:rsidR="00EA7458" w:rsidRPr="00EA7458">
        <w:rPr>
          <w:rFonts w:ascii="Calibri" w:hAnsi="Calibri"/>
          <w:b/>
          <w:bCs/>
          <w:color w:val="295CA3"/>
          <w:spacing w:val="-5"/>
          <w:w w:val="110"/>
          <w:sz w:val="36"/>
          <w:szCs w:val="36"/>
        </w:rPr>
        <w:t>REHABILITATION</w:t>
      </w:r>
      <w:r w:rsidR="00EA7458" w:rsidRPr="00EA7458">
        <w:rPr>
          <w:rFonts w:ascii="Calibri" w:hAnsi="Calibri"/>
          <w:b/>
          <w:bCs/>
          <w:color w:val="295CA3"/>
          <w:spacing w:val="22"/>
          <w:w w:val="110"/>
          <w:sz w:val="36"/>
          <w:szCs w:val="36"/>
        </w:rPr>
        <w:t xml:space="preserve"> </w:t>
      </w:r>
      <w:r w:rsidR="00EA7458" w:rsidRPr="00EA7458">
        <w:rPr>
          <w:rFonts w:ascii="Calibri" w:hAnsi="Calibri"/>
          <w:b/>
          <w:bCs/>
          <w:color w:val="295CA3"/>
          <w:spacing w:val="-3"/>
          <w:w w:val="110"/>
          <w:sz w:val="36"/>
          <w:szCs w:val="36"/>
        </w:rPr>
        <w:t>CERTIFICATIONS</w:t>
      </w:r>
      <w:r w:rsidR="00EA7458" w:rsidRPr="00EA7458">
        <w:rPr>
          <w:rFonts w:ascii="Calibri" w:hAnsi="Calibri"/>
          <w:b/>
          <w:bCs/>
          <w:color w:val="295CA3"/>
          <w:spacing w:val="20"/>
          <w:w w:val="110"/>
          <w:sz w:val="36"/>
          <w:szCs w:val="36"/>
        </w:rPr>
        <w:t xml:space="preserve"> </w:t>
      </w:r>
      <w:r w:rsidR="00EA7458" w:rsidRPr="00EA7458">
        <w:rPr>
          <w:rFonts w:ascii="Calibri" w:hAnsi="Calibri"/>
          <w:b/>
          <w:bCs/>
          <w:color w:val="295CA3"/>
          <w:w w:val="110"/>
          <w:sz w:val="36"/>
          <w:szCs w:val="36"/>
        </w:rPr>
        <w:t>&amp;</w:t>
      </w:r>
      <w:r w:rsidR="00EA7458" w:rsidRPr="00EA7458">
        <w:rPr>
          <w:rFonts w:ascii="Calibri" w:hAnsi="Calibri"/>
          <w:b/>
          <w:bCs/>
          <w:color w:val="295CA3"/>
          <w:spacing w:val="-62"/>
          <w:w w:val="110"/>
          <w:sz w:val="36"/>
          <w:szCs w:val="36"/>
        </w:rPr>
        <w:t xml:space="preserve"> </w:t>
      </w:r>
      <w:r w:rsidR="00EA7458" w:rsidRPr="00EA7458">
        <w:rPr>
          <w:rFonts w:ascii="Calibri" w:hAnsi="Calibri"/>
          <w:b/>
          <w:bCs/>
          <w:color w:val="295CA3"/>
          <w:w w:val="110"/>
          <w:sz w:val="36"/>
          <w:szCs w:val="36"/>
        </w:rPr>
        <w:t>ASSURANCES</w:t>
      </w:r>
    </w:p>
    <w:p w14:paraId="297844F4" w14:textId="77777777" w:rsidR="00EA7458" w:rsidRPr="00EA7458" w:rsidRDefault="00EA7458" w:rsidP="00EA7458">
      <w:pPr>
        <w:widowControl w:val="0"/>
        <w:spacing w:after="0" w:line="432" w:lineRule="exact"/>
        <w:rPr>
          <w:rFonts w:ascii="Calibri" w:hAnsi="Calibri"/>
        </w:rPr>
        <w:sectPr w:rsidR="00EA7458" w:rsidRPr="00EA7458">
          <w:footerReference w:type="default" r:id="rId200"/>
          <w:pgSz w:w="12240" w:h="15840"/>
          <w:pgMar w:top="1620" w:right="900" w:bottom="820" w:left="900" w:header="812" w:footer="624" w:gutter="0"/>
          <w:pgNumType w:start="271"/>
          <w:cols w:space="720"/>
        </w:sectPr>
      </w:pPr>
    </w:p>
    <w:p w14:paraId="05FA0349" w14:textId="77777777" w:rsidR="00EA7458" w:rsidRPr="00EA7458" w:rsidRDefault="00EA7458" w:rsidP="00EA7458">
      <w:pPr>
        <w:widowControl w:val="0"/>
        <w:spacing w:before="4" w:after="0" w:line="240" w:lineRule="auto"/>
        <w:rPr>
          <w:rFonts w:ascii="Times New Roman" w:hAnsi="Times New Roman"/>
          <w:sz w:val="23"/>
          <w:szCs w:val="23"/>
        </w:rPr>
      </w:pPr>
    </w:p>
    <w:p w14:paraId="635CB54D" w14:textId="77777777" w:rsidR="00EA7458" w:rsidRPr="00EA7458" w:rsidRDefault="007C4EF4" w:rsidP="00EA7458">
      <w:pPr>
        <w:widowControl w:val="0"/>
        <w:spacing w:after="0" w:line="12143" w:lineRule="exact"/>
        <w:ind w:left="444"/>
        <w:rPr>
          <w:rFonts w:ascii="Times New Roman" w:hAnsi="Times New Roman"/>
          <w:sz w:val="20"/>
          <w:szCs w:val="20"/>
        </w:rPr>
      </w:pPr>
      <w:r>
        <w:rPr>
          <w:noProof/>
        </w:rPr>
        <w:drawing>
          <wp:inline distT="0" distB="0" distL="0" distR="0" wp14:anchorId="0DCE95BB" wp14:editId="2507863B">
            <wp:extent cx="5873749" cy="7588248"/>
            <wp:effectExtent l="0" t="0" r="0" b="0"/>
            <wp:docPr id="538030929" name="picture" descr="Vocational Rehabilitation Certifications and Assuran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01">
                      <a:extLst>
                        <a:ext uri="{28A0092B-C50C-407E-A947-70E740481C1C}">
                          <a14:useLocalDpi xmlns:a14="http://schemas.microsoft.com/office/drawing/2010/main" val="0"/>
                        </a:ext>
                      </a:extLst>
                    </a:blip>
                    <a:stretch>
                      <a:fillRect/>
                    </a:stretch>
                  </pic:blipFill>
                  <pic:spPr>
                    <a:xfrm>
                      <a:off x="0" y="0"/>
                      <a:ext cx="5873749" cy="7588248"/>
                    </a:xfrm>
                    <a:prstGeom prst="rect">
                      <a:avLst/>
                    </a:prstGeom>
                  </pic:spPr>
                </pic:pic>
              </a:graphicData>
            </a:graphic>
          </wp:inline>
        </w:drawing>
      </w:r>
    </w:p>
    <w:p w14:paraId="76A42422" w14:textId="77777777" w:rsidR="00EA7458" w:rsidRPr="00EA7458" w:rsidRDefault="00EA7458" w:rsidP="00EA7458">
      <w:pPr>
        <w:widowControl w:val="0"/>
        <w:spacing w:after="0" w:line="12143" w:lineRule="exact"/>
        <w:rPr>
          <w:rFonts w:ascii="Times New Roman" w:hAnsi="Times New Roman"/>
          <w:sz w:val="20"/>
          <w:szCs w:val="20"/>
        </w:rPr>
        <w:sectPr w:rsidR="00EA7458" w:rsidRPr="00EA7458">
          <w:pgSz w:w="12240" w:h="15840"/>
          <w:pgMar w:top="1620" w:right="900" w:bottom="820" w:left="900" w:header="812" w:footer="624" w:gutter="0"/>
          <w:cols w:space="720"/>
        </w:sectPr>
      </w:pPr>
    </w:p>
    <w:p w14:paraId="120B3267" w14:textId="77777777" w:rsidR="00EA7458" w:rsidRPr="00EA7458" w:rsidRDefault="00EA7458" w:rsidP="00EA7458">
      <w:pPr>
        <w:widowControl w:val="0"/>
        <w:spacing w:before="4" w:after="0" w:line="240" w:lineRule="auto"/>
        <w:rPr>
          <w:rFonts w:ascii="Times New Roman" w:hAnsi="Times New Roman"/>
          <w:sz w:val="23"/>
          <w:szCs w:val="23"/>
        </w:rPr>
      </w:pPr>
    </w:p>
    <w:p w14:paraId="52994B3F" w14:textId="77777777" w:rsidR="00EA7458" w:rsidRPr="00EA7458" w:rsidRDefault="007C4EF4" w:rsidP="00EA7458">
      <w:pPr>
        <w:widowControl w:val="0"/>
        <w:spacing w:after="0" w:line="12143" w:lineRule="exact"/>
        <w:ind w:left="444"/>
        <w:rPr>
          <w:rFonts w:ascii="Times New Roman" w:hAnsi="Times New Roman"/>
          <w:sz w:val="20"/>
          <w:szCs w:val="20"/>
        </w:rPr>
      </w:pPr>
      <w:r>
        <w:rPr>
          <w:noProof/>
        </w:rPr>
        <w:drawing>
          <wp:inline distT="0" distB="0" distL="0" distR="0" wp14:anchorId="0B0D5A42" wp14:editId="169A3FDC">
            <wp:extent cx="5873749" cy="7588248"/>
            <wp:effectExtent l="0" t="0" r="0" b="0"/>
            <wp:docPr id="1156624639" name="picture" descr="Vocational Rehabilitation Certifications and Assuran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02">
                      <a:extLst>
                        <a:ext uri="{28A0092B-C50C-407E-A947-70E740481C1C}">
                          <a14:useLocalDpi xmlns:a14="http://schemas.microsoft.com/office/drawing/2010/main" val="0"/>
                        </a:ext>
                      </a:extLst>
                    </a:blip>
                    <a:stretch>
                      <a:fillRect/>
                    </a:stretch>
                  </pic:blipFill>
                  <pic:spPr>
                    <a:xfrm>
                      <a:off x="0" y="0"/>
                      <a:ext cx="5873749" cy="7588248"/>
                    </a:xfrm>
                    <a:prstGeom prst="rect">
                      <a:avLst/>
                    </a:prstGeom>
                  </pic:spPr>
                </pic:pic>
              </a:graphicData>
            </a:graphic>
          </wp:inline>
        </w:drawing>
      </w:r>
    </w:p>
    <w:p w14:paraId="5DE881B5" w14:textId="77777777" w:rsidR="00EA7458" w:rsidRPr="00EA7458" w:rsidRDefault="00EA7458" w:rsidP="00EA7458">
      <w:pPr>
        <w:widowControl w:val="0"/>
        <w:spacing w:after="0" w:line="12143" w:lineRule="exact"/>
        <w:rPr>
          <w:rFonts w:ascii="Times New Roman" w:hAnsi="Times New Roman"/>
          <w:sz w:val="20"/>
          <w:szCs w:val="20"/>
        </w:rPr>
        <w:sectPr w:rsidR="00EA7458" w:rsidRPr="00EA7458">
          <w:pgSz w:w="12240" w:h="15840"/>
          <w:pgMar w:top="1620" w:right="900" w:bottom="820" w:left="900" w:header="812" w:footer="624" w:gutter="0"/>
          <w:cols w:space="720"/>
        </w:sectPr>
      </w:pPr>
    </w:p>
    <w:p w14:paraId="3BC4E415" w14:textId="77777777" w:rsidR="00EA7458" w:rsidRPr="00EA7458" w:rsidRDefault="00EA7458" w:rsidP="00EA7458">
      <w:pPr>
        <w:widowControl w:val="0"/>
        <w:spacing w:before="4" w:after="0" w:line="240" w:lineRule="auto"/>
        <w:rPr>
          <w:rFonts w:ascii="Times New Roman" w:hAnsi="Times New Roman"/>
          <w:sz w:val="23"/>
          <w:szCs w:val="23"/>
        </w:rPr>
      </w:pPr>
    </w:p>
    <w:p w14:paraId="0B6EBF9E" w14:textId="77777777" w:rsidR="00EA7458" w:rsidRPr="00EA7458" w:rsidRDefault="007C4EF4" w:rsidP="00EA7458">
      <w:pPr>
        <w:widowControl w:val="0"/>
        <w:spacing w:after="0" w:line="12143" w:lineRule="exact"/>
        <w:ind w:left="444"/>
        <w:rPr>
          <w:rFonts w:ascii="Times New Roman" w:hAnsi="Times New Roman"/>
          <w:sz w:val="20"/>
          <w:szCs w:val="20"/>
        </w:rPr>
      </w:pPr>
      <w:r>
        <w:rPr>
          <w:noProof/>
        </w:rPr>
        <w:drawing>
          <wp:inline distT="0" distB="0" distL="0" distR="0" wp14:anchorId="7DCA005E" wp14:editId="1CA5162B">
            <wp:extent cx="5873749" cy="7588248"/>
            <wp:effectExtent l="0" t="0" r="0" b="0"/>
            <wp:docPr id="188509989" name="picture" descr="Vocational Rehabilitation Certifications and Assuran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03">
                      <a:extLst>
                        <a:ext uri="{28A0092B-C50C-407E-A947-70E740481C1C}">
                          <a14:useLocalDpi xmlns:a14="http://schemas.microsoft.com/office/drawing/2010/main" val="0"/>
                        </a:ext>
                      </a:extLst>
                    </a:blip>
                    <a:stretch>
                      <a:fillRect/>
                    </a:stretch>
                  </pic:blipFill>
                  <pic:spPr>
                    <a:xfrm>
                      <a:off x="0" y="0"/>
                      <a:ext cx="5873749" cy="7588248"/>
                    </a:xfrm>
                    <a:prstGeom prst="rect">
                      <a:avLst/>
                    </a:prstGeom>
                  </pic:spPr>
                </pic:pic>
              </a:graphicData>
            </a:graphic>
          </wp:inline>
        </w:drawing>
      </w:r>
    </w:p>
    <w:p w14:paraId="32B9B68A" w14:textId="77777777" w:rsidR="00EA7458" w:rsidRPr="00EA7458" w:rsidRDefault="00EA7458" w:rsidP="00EA7458">
      <w:pPr>
        <w:widowControl w:val="0"/>
        <w:spacing w:after="0" w:line="12143" w:lineRule="exact"/>
        <w:rPr>
          <w:rFonts w:ascii="Times New Roman" w:hAnsi="Times New Roman"/>
          <w:sz w:val="20"/>
          <w:szCs w:val="20"/>
        </w:rPr>
        <w:sectPr w:rsidR="00EA7458" w:rsidRPr="00EA7458">
          <w:pgSz w:w="12240" w:h="15840"/>
          <w:pgMar w:top="1620" w:right="900" w:bottom="820" w:left="900" w:header="812" w:footer="624" w:gutter="0"/>
          <w:cols w:space="720"/>
        </w:sectPr>
      </w:pPr>
    </w:p>
    <w:p w14:paraId="199C9112" w14:textId="77777777" w:rsidR="00EA7458" w:rsidRPr="00EA7458" w:rsidRDefault="00EA7458" w:rsidP="00EA7458">
      <w:pPr>
        <w:widowControl w:val="0"/>
        <w:spacing w:before="4" w:after="0" w:line="240" w:lineRule="auto"/>
        <w:rPr>
          <w:rFonts w:ascii="Times New Roman" w:hAnsi="Times New Roman"/>
          <w:sz w:val="23"/>
          <w:szCs w:val="23"/>
        </w:rPr>
      </w:pPr>
    </w:p>
    <w:p w14:paraId="26761736" w14:textId="77777777" w:rsidR="00EA7458" w:rsidRPr="00EA7458" w:rsidRDefault="007C4EF4" w:rsidP="00EA7458">
      <w:pPr>
        <w:widowControl w:val="0"/>
        <w:spacing w:after="0" w:line="12143" w:lineRule="exact"/>
        <w:ind w:left="444"/>
        <w:rPr>
          <w:rFonts w:ascii="Times New Roman" w:hAnsi="Times New Roman"/>
          <w:sz w:val="20"/>
          <w:szCs w:val="20"/>
        </w:rPr>
      </w:pPr>
      <w:r>
        <w:rPr>
          <w:noProof/>
        </w:rPr>
        <w:drawing>
          <wp:inline distT="0" distB="0" distL="0" distR="0" wp14:anchorId="5D008156" wp14:editId="11527D68">
            <wp:extent cx="5873749" cy="7588248"/>
            <wp:effectExtent l="0" t="0" r="0" b="0"/>
            <wp:docPr id="818588651" name="picture" descr="Vocational Rehabilitation Certifications and Assuran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04">
                      <a:extLst>
                        <a:ext uri="{28A0092B-C50C-407E-A947-70E740481C1C}">
                          <a14:useLocalDpi xmlns:a14="http://schemas.microsoft.com/office/drawing/2010/main" val="0"/>
                        </a:ext>
                      </a:extLst>
                    </a:blip>
                    <a:stretch>
                      <a:fillRect/>
                    </a:stretch>
                  </pic:blipFill>
                  <pic:spPr>
                    <a:xfrm>
                      <a:off x="0" y="0"/>
                      <a:ext cx="5873749" cy="7588248"/>
                    </a:xfrm>
                    <a:prstGeom prst="rect">
                      <a:avLst/>
                    </a:prstGeom>
                  </pic:spPr>
                </pic:pic>
              </a:graphicData>
            </a:graphic>
          </wp:inline>
        </w:drawing>
      </w:r>
    </w:p>
    <w:p w14:paraId="1B654AE3" w14:textId="77777777" w:rsidR="00EA7458" w:rsidRPr="00EA7458" w:rsidRDefault="00EA7458" w:rsidP="00EA7458">
      <w:pPr>
        <w:widowControl w:val="0"/>
        <w:spacing w:after="0" w:line="12143" w:lineRule="exact"/>
        <w:rPr>
          <w:rFonts w:ascii="Times New Roman" w:hAnsi="Times New Roman"/>
          <w:sz w:val="20"/>
          <w:szCs w:val="20"/>
        </w:rPr>
        <w:sectPr w:rsidR="00EA7458" w:rsidRPr="00EA7458">
          <w:pgSz w:w="12240" w:h="15840"/>
          <w:pgMar w:top="1620" w:right="900" w:bottom="820" w:left="900" w:header="812" w:footer="624" w:gutter="0"/>
          <w:cols w:space="720"/>
        </w:sectPr>
      </w:pPr>
    </w:p>
    <w:p w14:paraId="3E0F8DA1" w14:textId="287170A9" w:rsidR="00EA7458" w:rsidRPr="00E567C2" w:rsidRDefault="00C061E8" w:rsidP="004F2B97">
      <w:pPr>
        <w:widowControl w:val="0"/>
        <w:tabs>
          <w:tab w:val="left" w:pos="6435"/>
        </w:tabs>
        <w:spacing w:before="30" w:after="0" w:line="240" w:lineRule="auto"/>
        <w:outlineLvl w:val="0"/>
        <w:rPr>
          <w:rFonts w:ascii="Calibri" w:hAnsi="Calibri"/>
          <w:sz w:val="36"/>
          <w:szCs w:val="36"/>
        </w:rPr>
        <w:sectPr w:rsidR="00EA7458" w:rsidRPr="00E567C2">
          <w:pgSz w:w="12240" w:h="15840"/>
          <w:pgMar w:top="1620" w:right="900" w:bottom="820" w:left="900" w:header="812" w:footer="624" w:gutter="0"/>
          <w:cols w:space="720"/>
        </w:sectPr>
      </w:pPr>
      <w:bookmarkStart w:id="202" w:name="Certification_Regarding_Lobbying"/>
      <w:bookmarkStart w:id="203" w:name="_bookmark129"/>
      <w:bookmarkEnd w:id="202"/>
      <w:bookmarkEnd w:id="203"/>
      <w:r>
        <w:rPr>
          <w:noProof/>
        </w:rPr>
        <mc:AlternateContent>
          <mc:Choice Requires="wpg">
            <w:drawing>
              <wp:anchor distT="0" distB="0" distL="114300" distR="114300" simplePos="0" relativeHeight="251658243" behindDoc="1" locked="0" layoutInCell="1" allowOverlap="1" wp14:anchorId="6CD15E7E" wp14:editId="521791AC">
                <wp:simplePos x="0" y="0"/>
                <wp:positionH relativeFrom="page">
                  <wp:posOffset>636905</wp:posOffset>
                </wp:positionH>
                <wp:positionV relativeFrom="page">
                  <wp:posOffset>1341918</wp:posOffset>
                </wp:positionV>
                <wp:extent cx="6495415" cy="7829550"/>
                <wp:effectExtent l="0" t="0" r="635" b="0"/>
                <wp:wrapNone/>
                <wp:docPr id="135" name="Group 1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95415" cy="7829550"/>
                          <a:chOff x="1006" y="1890"/>
                          <a:chExt cx="10229" cy="12330"/>
                        </a:xfrm>
                      </wpg:grpSpPr>
                      <pic:pic xmlns:pic="http://schemas.openxmlformats.org/drawingml/2006/picture">
                        <pic:nvPicPr>
                          <pic:cNvPr id="136" name="Picture 195" descr="Certification Regarding Lobbying"/>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1344" y="1890"/>
                            <a:ext cx="9552" cy="12330"/>
                          </a:xfrm>
                          <a:prstGeom prst="rect">
                            <a:avLst/>
                          </a:prstGeom>
                          <a:noFill/>
                          <a:extLst>
                            <a:ext uri="{909E8E84-426E-40DD-AFC4-6F175D3DCCD1}">
                              <a14:hiddenFill xmlns:a14="http://schemas.microsoft.com/office/drawing/2010/main">
                                <a:solidFill>
                                  <a:srgbClr val="FFFFFF"/>
                                </a:solidFill>
                              </a14:hiddenFill>
                            </a:ext>
                          </a:extLst>
                        </pic:spPr>
                      </pic:pic>
                      <wpg:grpSp>
                        <wpg:cNvPr id="137" name="Group 196"/>
                        <wpg:cNvGrpSpPr>
                          <a:grpSpLocks/>
                        </wpg:cNvGrpSpPr>
                        <wpg:grpSpPr bwMode="auto">
                          <a:xfrm>
                            <a:off x="1008" y="1890"/>
                            <a:ext cx="10224" cy="676"/>
                            <a:chOff x="1008" y="1890"/>
                            <a:chExt cx="10224" cy="676"/>
                          </a:xfrm>
                        </wpg:grpSpPr>
                        <wps:wsp>
                          <wps:cNvPr id="138" name="Freeform 197"/>
                          <wps:cNvSpPr>
                            <a:spLocks/>
                          </wps:cNvSpPr>
                          <wps:spPr bwMode="auto">
                            <a:xfrm>
                              <a:off x="1008" y="1890"/>
                              <a:ext cx="10224" cy="676"/>
                            </a:xfrm>
                            <a:custGeom>
                              <a:avLst/>
                              <a:gdLst>
                                <a:gd name="T0" fmla="+- 0 1008 1008"/>
                                <a:gd name="T1" fmla="*/ T0 w 10224"/>
                                <a:gd name="T2" fmla="+- 0 2565 1890"/>
                                <a:gd name="T3" fmla="*/ 2565 h 676"/>
                                <a:gd name="T4" fmla="+- 0 11232 1008"/>
                                <a:gd name="T5" fmla="*/ T4 w 10224"/>
                                <a:gd name="T6" fmla="+- 0 2565 1890"/>
                                <a:gd name="T7" fmla="*/ 2565 h 676"/>
                                <a:gd name="T8" fmla="+- 0 11232 1008"/>
                                <a:gd name="T9" fmla="*/ T8 w 10224"/>
                                <a:gd name="T10" fmla="+- 0 1890 1890"/>
                                <a:gd name="T11" fmla="*/ 1890 h 676"/>
                                <a:gd name="T12" fmla="+- 0 1008 1008"/>
                                <a:gd name="T13" fmla="*/ T12 w 10224"/>
                                <a:gd name="T14" fmla="+- 0 1890 1890"/>
                                <a:gd name="T15" fmla="*/ 1890 h 676"/>
                                <a:gd name="T16" fmla="+- 0 1008 1008"/>
                                <a:gd name="T17" fmla="*/ T16 w 10224"/>
                                <a:gd name="T18" fmla="+- 0 2565 1890"/>
                                <a:gd name="T19" fmla="*/ 2565 h 676"/>
                              </a:gdLst>
                              <a:ahLst/>
                              <a:cxnLst>
                                <a:cxn ang="0">
                                  <a:pos x="T1" y="T3"/>
                                </a:cxn>
                                <a:cxn ang="0">
                                  <a:pos x="T5" y="T7"/>
                                </a:cxn>
                                <a:cxn ang="0">
                                  <a:pos x="T9" y="T11"/>
                                </a:cxn>
                                <a:cxn ang="0">
                                  <a:pos x="T13" y="T15"/>
                                </a:cxn>
                                <a:cxn ang="0">
                                  <a:pos x="T17" y="T19"/>
                                </a:cxn>
                              </a:cxnLst>
                              <a:rect l="0" t="0" r="r" b="b"/>
                              <a:pathLst>
                                <a:path w="10224" h="676">
                                  <a:moveTo>
                                    <a:pt x="0" y="675"/>
                                  </a:moveTo>
                                  <a:lnTo>
                                    <a:pt x="10224" y="675"/>
                                  </a:lnTo>
                                  <a:lnTo>
                                    <a:pt x="10224" y="0"/>
                                  </a:lnTo>
                                  <a:lnTo>
                                    <a:pt x="0" y="0"/>
                                  </a:lnTo>
                                  <a:lnTo>
                                    <a:pt x="0" y="67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39" name="Group 198"/>
                        <wpg:cNvGrpSpPr>
                          <a:grpSpLocks/>
                        </wpg:cNvGrpSpPr>
                        <wpg:grpSpPr bwMode="auto">
                          <a:xfrm>
                            <a:off x="1008" y="2238"/>
                            <a:ext cx="10224" cy="2"/>
                            <a:chOff x="1008" y="2238"/>
                            <a:chExt cx="10224" cy="2"/>
                          </a:xfrm>
                        </wpg:grpSpPr>
                        <wps:wsp>
                          <wps:cNvPr id="140" name="Freeform 199"/>
                          <wps:cNvSpPr>
                            <a:spLocks/>
                          </wps:cNvSpPr>
                          <wps:spPr bwMode="auto">
                            <a:xfrm>
                              <a:off x="1008" y="2238"/>
                              <a:ext cx="10224" cy="2"/>
                            </a:xfrm>
                            <a:custGeom>
                              <a:avLst/>
                              <a:gdLst>
                                <a:gd name="T0" fmla="+- 0 1008 1008"/>
                                <a:gd name="T1" fmla="*/ T0 w 10224"/>
                                <a:gd name="T2" fmla="+- 0 11232 1008"/>
                                <a:gd name="T3" fmla="*/ T2 w 10224"/>
                              </a:gdLst>
                              <a:ahLst/>
                              <a:cxnLst>
                                <a:cxn ang="0">
                                  <a:pos x="T1" y="0"/>
                                </a:cxn>
                                <a:cxn ang="0">
                                  <a:pos x="T3" y="0"/>
                                </a:cxn>
                              </a:cxnLst>
                              <a:rect l="0" t="0" r="r" b="b"/>
                              <a:pathLst>
                                <a:path w="10224">
                                  <a:moveTo>
                                    <a:pt x="0" y="0"/>
                                  </a:moveTo>
                                  <a:lnTo>
                                    <a:pt x="10224" y="0"/>
                                  </a:lnTo>
                                </a:path>
                              </a:pathLst>
                            </a:custGeom>
                            <a:noFill/>
                            <a:ln w="317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65B15BFD" id="Group 135" o:spid="_x0000_s1026" style="position:absolute;margin-left:50.15pt;margin-top:105.65pt;width:511.45pt;height:616.5pt;z-index:-251658237;mso-position-horizontal-relative:page;mso-position-vertical-relative:page" coordorigin="1006,1890" coordsize="10229,123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">
                <v:shape id="Picture 195" o:spid="_x0000_s1027" type="#_x0000_t75" alt="Certification Regarding Lobbying" style="position:absolute;left:1344;top:1890;width:9552;height:123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">
                  <v:imagedata r:id="rId206" o:title="Certification Regarding Lobbying"/>
                </v:shape>
                <v:group id="Group 196" o:spid="_x0000_s1028" style="position:absolute;left:1008;top:1890;width:10224;height:676" coordorigin="1008,1890" coordsize="10224,6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">
                  <v:shape id="Freeform 197" o:spid="_x0000_s1029" style="position:absolute;left:1008;top:1890;width:10224;height:676;visibility:visible;mso-wrap-style:square;v-text-anchor:top" coordsize="10224,6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" path="m,675r10224,l10224,,,,,675xe" stroked="f">
                    <v:path arrowok="t" o:connecttype="custom" o:connectlocs="0,2565;10224,2565;10224,1890;0,1890;0,2565" o:connectangles="0,0,0,0,0"/>
                  </v:shape>
                </v:group>
                <v:group id="Group 198" o:spid="_x0000_s1030" style="position:absolute;left:1008;top:2238;width:10224;height:2" coordorigin="1008,2238" coordsize="1022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">
                  <v:shape id="Freeform 199" o:spid="_x0000_s1031" style="position:absolute;left:1008;top:2238;width:10224;height:2;visibility:visible;mso-wrap-style:square;v-text-anchor:top" coordsize="1022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" path="m,l10224,e" filled="f" strokecolor="#231f20" strokeweight=".25pt">
                    <v:path arrowok="t" o:connecttype="custom" o:connectlocs="0,0;10224,0" o:connectangles="0,0"/>
                  </v:shape>
                </v:group>
                <w10:wrap anchorx="page" anchory="page"/>
              </v:group>
            </w:pict>
          </mc:Fallback>
        </mc:AlternateContent>
      </w:r>
      <w:r w:rsidR="00EA7458" w:rsidRPr="00EA7458">
        <w:rPr>
          <w:rFonts w:ascii="Calibri" w:hAnsi="Calibri"/>
          <w:b/>
          <w:bCs/>
          <w:color w:val="295CA3"/>
          <w:spacing w:val="-4"/>
          <w:w w:val="115"/>
          <w:sz w:val="36"/>
          <w:szCs w:val="36"/>
        </w:rPr>
        <w:t xml:space="preserve">CERTIFICATION </w:t>
      </w:r>
      <w:r w:rsidR="00EA7458" w:rsidRPr="00EA7458">
        <w:rPr>
          <w:rFonts w:ascii="Calibri" w:hAnsi="Calibri"/>
          <w:b/>
          <w:bCs/>
          <w:color w:val="295CA3"/>
          <w:w w:val="115"/>
          <w:sz w:val="36"/>
          <w:szCs w:val="36"/>
        </w:rPr>
        <w:t>REGARDING</w:t>
      </w:r>
      <w:r w:rsidR="00EA7458" w:rsidRPr="00EA7458">
        <w:rPr>
          <w:rFonts w:ascii="Calibri" w:hAnsi="Calibri"/>
          <w:b/>
          <w:bCs/>
          <w:color w:val="295CA3"/>
          <w:spacing w:val="23"/>
          <w:w w:val="115"/>
          <w:sz w:val="36"/>
          <w:szCs w:val="36"/>
        </w:rPr>
        <w:t xml:space="preserve"> </w:t>
      </w:r>
      <w:r w:rsidR="00EA7458" w:rsidRPr="00EA7458">
        <w:rPr>
          <w:rFonts w:ascii="Calibri" w:hAnsi="Calibri"/>
          <w:b/>
          <w:bCs/>
          <w:color w:val="295CA3"/>
          <w:spacing w:val="-3"/>
          <w:w w:val="115"/>
          <w:sz w:val="36"/>
          <w:szCs w:val="36"/>
        </w:rPr>
        <w:t>LOBBYI</w:t>
      </w:r>
      <w:r w:rsidR="004F2B97">
        <w:rPr>
          <w:rFonts w:ascii="Calibri" w:hAnsi="Calibri"/>
          <w:b/>
          <w:bCs/>
          <w:color w:val="295CA3"/>
          <w:spacing w:val="-3"/>
          <w:w w:val="115"/>
          <w:sz w:val="36"/>
          <w:szCs w:val="36"/>
        </w:rPr>
        <w:t>NG</w:t>
      </w:r>
      <w:r w:rsidR="004F2B97">
        <w:rPr>
          <w:rFonts w:ascii="Calibri" w:hAnsi="Calibri"/>
          <w:b/>
          <w:bCs/>
          <w:color w:val="295CA3"/>
          <w:spacing w:val="-3"/>
          <w:w w:val="115"/>
          <w:sz w:val="36"/>
          <w:szCs w:val="36"/>
        </w:rPr>
        <w:tab/>
      </w:r>
    </w:p>
    <w:p w14:paraId="5A6C2C49" w14:textId="77777777" w:rsidR="00EA7458" w:rsidRPr="00EA7458" w:rsidRDefault="00EA7458" w:rsidP="00EA7458">
      <w:pPr>
        <w:widowControl w:val="0"/>
        <w:spacing w:after="0" w:line="240" w:lineRule="auto"/>
        <w:rPr>
          <w:rFonts w:ascii="Times New Roman" w:hAnsi="Times New Roman"/>
          <w:sz w:val="20"/>
          <w:szCs w:val="20"/>
        </w:rPr>
      </w:pPr>
    </w:p>
    <w:p w14:paraId="1D2954E0" w14:textId="77777777" w:rsidR="00600A6C" w:rsidRPr="00600A6C" w:rsidRDefault="00600A6C" w:rsidP="00600A6C">
      <w:pPr>
        <w:widowControl w:val="0"/>
        <w:spacing w:before="30" w:after="0" w:line="240" w:lineRule="auto"/>
        <w:ind w:left="108"/>
        <w:outlineLvl w:val="0"/>
        <w:rPr>
          <w:rFonts w:ascii="Gill Sans MT" w:hAnsi="Gill Sans MT" w:cs="Gill Sans MT"/>
          <w:sz w:val="36"/>
          <w:szCs w:val="36"/>
          <w:u w:val="single" w:color="000000" w:themeColor="text1"/>
        </w:rPr>
      </w:pPr>
      <w:r w:rsidRPr="00F55C20">
        <w:rPr>
          <w:rFonts w:ascii="Calibri" w:hAnsi="Calibri"/>
          <w:b/>
          <w:bCs/>
          <w:color w:val="295CA3"/>
          <w:w w:val="115"/>
          <w:sz w:val="36"/>
          <w:szCs w:val="36"/>
          <w:u w:val="single" w:color="000000" w:themeColor="text1"/>
        </w:rPr>
        <w:t xml:space="preserve">APPENDIX 1- </w:t>
      </w:r>
      <w:r w:rsidRPr="00F55C20">
        <w:rPr>
          <w:b/>
          <w:color w:val="295CA3"/>
          <w:spacing w:val="-6"/>
          <w:sz w:val="36"/>
          <w:u w:val="single" w:color="000000" w:themeColor="text1"/>
        </w:rPr>
        <w:t>PERFORMANCE GOALS FOR THE CORE PROGRAMS</w:t>
      </w:r>
      <w:r w:rsidRPr="00F55C20">
        <w:rPr>
          <w:b/>
          <w:i/>
          <w:color w:val="295CA3"/>
          <w:spacing w:val="-3"/>
          <w:w w:val="92"/>
          <w:sz w:val="36"/>
          <w:u w:val="single" w:color="000000" w:themeColor="text1"/>
        </w:rPr>
        <w:t xml:space="preserve"> </w:t>
      </w:r>
      <w:r w:rsidRPr="00F55C20">
        <w:rPr>
          <w:b/>
          <w:i/>
          <w:color w:val="295CA3"/>
          <w:spacing w:val="-3"/>
          <w:w w:val="92"/>
          <w:sz w:val="36"/>
          <w:u w:val="single" w:color="000000" w:themeColor="text1"/>
        </w:rPr>
        <w:softHyphen/>
      </w:r>
      <w:r w:rsidRPr="00F55C20">
        <w:rPr>
          <w:b/>
          <w:i/>
          <w:color w:val="295CA3"/>
          <w:spacing w:val="-3"/>
          <w:w w:val="92"/>
          <w:sz w:val="36"/>
          <w:u w:val="single" w:color="000000" w:themeColor="text1"/>
        </w:rPr>
        <w:softHyphen/>
      </w:r>
      <w:r w:rsidRPr="00F55C20">
        <w:rPr>
          <w:b/>
          <w:i/>
          <w:color w:val="295CA3"/>
          <w:spacing w:val="-3"/>
          <w:w w:val="92"/>
          <w:sz w:val="36"/>
          <w:u w:val="single" w:color="000000" w:themeColor="text1"/>
        </w:rPr>
        <w:softHyphen/>
      </w:r>
      <w:r w:rsidRPr="00F55C20">
        <w:rPr>
          <w:b/>
          <w:i/>
          <w:color w:val="295CA3"/>
          <w:spacing w:val="-3"/>
          <w:w w:val="92"/>
          <w:sz w:val="36"/>
          <w:u w:val="single" w:color="000000" w:themeColor="text1"/>
        </w:rPr>
        <w:softHyphen/>
      </w:r>
      <w:r w:rsidRPr="00F55C20">
        <w:rPr>
          <w:b/>
          <w:i/>
          <w:color w:val="295CA3"/>
          <w:spacing w:val="-3"/>
          <w:w w:val="92"/>
          <w:sz w:val="36"/>
          <w:u w:val="single" w:color="000000" w:themeColor="text1"/>
        </w:rPr>
        <w:softHyphen/>
      </w:r>
      <w:r w:rsidRPr="00F55C20">
        <w:rPr>
          <w:b/>
          <w:i/>
          <w:color w:val="295CA3"/>
          <w:spacing w:val="-3"/>
          <w:w w:val="92"/>
          <w:sz w:val="36"/>
          <w:u w:val="single" w:color="000000" w:themeColor="text1"/>
        </w:rPr>
        <w:softHyphen/>
      </w:r>
      <w:r w:rsidRPr="00F55C20">
        <w:rPr>
          <w:b/>
          <w:i/>
          <w:color w:val="295CA3"/>
          <w:spacing w:val="-3"/>
          <w:w w:val="92"/>
          <w:sz w:val="36"/>
          <w:u w:val="single" w:color="000000" w:themeColor="text1"/>
        </w:rPr>
        <w:softHyphen/>
      </w:r>
      <w:r w:rsidRPr="00F55C20">
        <w:rPr>
          <w:b/>
          <w:i/>
          <w:color w:val="295CA3"/>
          <w:spacing w:val="-3"/>
          <w:w w:val="92"/>
          <w:sz w:val="36"/>
          <w:u w:val="single" w:color="000000" w:themeColor="text1"/>
        </w:rPr>
        <w:softHyphen/>
      </w:r>
      <w:r w:rsidRPr="00F55C20">
        <w:rPr>
          <w:b/>
          <w:i/>
          <w:color w:val="295CA3"/>
          <w:spacing w:val="-3"/>
          <w:w w:val="92"/>
          <w:sz w:val="36"/>
          <w:u w:val="single" w:color="000000" w:themeColor="text1"/>
        </w:rPr>
        <w:softHyphen/>
      </w:r>
      <w:r w:rsidRPr="00F55C20">
        <w:rPr>
          <w:b/>
          <w:i/>
          <w:color w:val="295CA3"/>
          <w:spacing w:val="-3"/>
          <w:w w:val="92"/>
          <w:sz w:val="36"/>
          <w:u w:val="single" w:color="000000" w:themeColor="text1"/>
        </w:rPr>
        <w:softHyphen/>
      </w:r>
      <w:r w:rsidRPr="00F55C20">
        <w:rPr>
          <w:b/>
          <w:i/>
          <w:color w:val="295CA3"/>
          <w:spacing w:val="-3"/>
          <w:w w:val="92"/>
          <w:sz w:val="36"/>
          <w:u w:val="single" w:color="000000" w:themeColor="text1"/>
        </w:rPr>
        <w:softHyphen/>
      </w:r>
      <w:r w:rsidRPr="00F55C20">
        <w:rPr>
          <w:b/>
          <w:i/>
          <w:color w:val="295CA3"/>
          <w:spacing w:val="-3"/>
          <w:w w:val="92"/>
          <w:sz w:val="36"/>
          <w:u w:val="single" w:color="000000" w:themeColor="text1"/>
        </w:rPr>
        <w:softHyphen/>
      </w:r>
      <w:r w:rsidRPr="00F55C20">
        <w:rPr>
          <w:b/>
          <w:i/>
          <w:color w:val="295CA3"/>
          <w:spacing w:val="-3"/>
          <w:w w:val="92"/>
          <w:sz w:val="36"/>
          <w:u w:val="single" w:color="000000" w:themeColor="text1"/>
        </w:rPr>
        <w:softHyphen/>
      </w:r>
      <w:r w:rsidRPr="00F55C20">
        <w:rPr>
          <w:b/>
          <w:i/>
          <w:color w:val="295CA3"/>
          <w:spacing w:val="-3"/>
          <w:w w:val="92"/>
          <w:sz w:val="36"/>
          <w:u w:val="single" w:color="000000" w:themeColor="text1"/>
        </w:rPr>
        <w:softHyphen/>
      </w:r>
      <w:r w:rsidRPr="00F55C20">
        <w:rPr>
          <w:b/>
          <w:i/>
          <w:color w:val="295CA3"/>
          <w:spacing w:val="-3"/>
          <w:w w:val="92"/>
          <w:sz w:val="36"/>
          <w:u w:val="single" w:color="000000" w:themeColor="text1"/>
        </w:rPr>
        <w:softHyphen/>
      </w:r>
      <w:r w:rsidRPr="00F55C20">
        <w:rPr>
          <w:b/>
          <w:i/>
          <w:color w:val="295CA3"/>
          <w:spacing w:val="-3"/>
          <w:w w:val="92"/>
          <w:sz w:val="36"/>
          <w:u w:val="single" w:color="000000" w:themeColor="text1"/>
        </w:rPr>
        <w:softHyphen/>
      </w:r>
    </w:p>
    <w:p w14:paraId="55A9C88D" w14:textId="77777777" w:rsidR="00600A6C" w:rsidRPr="00EA7458" w:rsidRDefault="00600A6C" w:rsidP="00600A6C">
      <w:pPr>
        <w:widowControl w:val="0"/>
        <w:spacing w:after="0" w:line="240" w:lineRule="auto"/>
        <w:ind w:left="108"/>
        <w:rPr>
          <w:rFonts w:ascii="Times New Roman" w:hAnsi="Times New Roman"/>
          <w:sz w:val="20"/>
          <w:szCs w:val="20"/>
        </w:rPr>
      </w:pPr>
    </w:p>
    <w:p w14:paraId="6D7FA562" w14:textId="77777777" w:rsidR="00600A6C" w:rsidRPr="00645B59" w:rsidRDefault="00600A6C" w:rsidP="00600A6C">
      <w:pPr>
        <w:widowControl w:val="0"/>
        <w:spacing w:after="0" w:line="240" w:lineRule="auto"/>
        <w:ind w:left="108"/>
      </w:pPr>
      <w:r w:rsidRPr="00645B59">
        <w:t xml:space="preserve">Performance measurements are negotiated annually with the </w:t>
      </w:r>
      <w:r>
        <w:t xml:space="preserve">U.S. </w:t>
      </w:r>
      <w:r w:rsidRPr="00645B59">
        <w:t>Departments of Labor and Education. The below are expected levels of performance relating to the performance accountability measures based on primary indicators of performance described in section 116(b)(2)(A) of WIOA.</w:t>
      </w:r>
    </w:p>
    <w:p w14:paraId="54F88A79" w14:textId="77777777" w:rsidR="00600A6C" w:rsidRPr="00EA7458" w:rsidRDefault="00600A6C" w:rsidP="00600A6C">
      <w:pPr>
        <w:widowControl w:val="0"/>
        <w:spacing w:after="0" w:line="240" w:lineRule="auto"/>
        <w:ind w:left="108"/>
        <w:rPr>
          <w:rFonts w:ascii="Times New Roman" w:hAnsi="Times New Roman"/>
          <w:sz w:val="20"/>
          <w:szCs w:val="20"/>
        </w:rPr>
      </w:pPr>
    </w:p>
    <w:tbl>
      <w:tblPr>
        <w:tblStyle w:val="TableGrid"/>
        <w:tblW w:w="0" w:type="auto"/>
        <w:tblLook w:val="04A0" w:firstRow="1" w:lastRow="0" w:firstColumn="1" w:lastColumn="0" w:noHBand="0" w:noVBand="1"/>
      </w:tblPr>
      <w:tblGrid>
        <w:gridCol w:w="1870"/>
        <w:gridCol w:w="1870"/>
        <w:gridCol w:w="1880"/>
        <w:gridCol w:w="1870"/>
        <w:gridCol w:w="1880"/>
      </w:tblGrid>
      <w:tr w:rsidR="00600A6C" w:rsidRPr="0065710A" w14:paraId="0BCA6561" w14:textId="77777777" w:rsidTr="002E5578">
        <w:trPr>
          <w:tblHeader/>
        </w:trPr>
        <w:tc>
          <w:tcPr>
            <w:tcW w:w="1870" w:type="dxa"/>
          </w:tcPr>
          <w:p w14:paraId="5DE5371F" w14:textId="77777777" w:rsidR="00600A6C" w:rsidRPr="0065710A" w:rsidRDefault="00600A6C" w:rsidP="002E5578">
            <w:pPr>
              <w:ind w:left="108"/>
              <w:rPr>
                <w:rFonts w:ascii="Arial" w:hAnsi="Arial" w:cs="Arial"/>
                <w:b/>
                <w:sz w:val="16"/>
                <w:szCs w:val="16"/>
              </w:rPr>
            </w:pPr>
            <w:r>
              <w:rPr>
                <w:rFonts w:ascii="Arial" w:hAnsi="Arial" w:cs="Arial"/>
                <w:b/>
                <w:sz w:val="16"/>
                <w:szCs w:val="16"/>
              </w:rPr>
              <w:t>E</w:t>
            </w:r>
            <w:r w:rsidRPr="0065710A">
              <w:rPr>
                <w:rFonts w:ascii="Arial" w:hAnsi="Arial" w:cs="Arial"/>
                <w:b/>
                <w:sz w:val="16"/>
                <w:szCs w:val="16"/>
              </w:rPr>
              <w:t>mployment in 2</w:t>
            </w:r>
            <w:r w:rsidRPr="0065710A">
              <w:rPr>
                <w:rFonts w:ascii="Arial" w:hAnsi="Arial" w:cs="Arial"/>
                <w:b/>
                <w:sz w:val="16"/>
                <w:szCs w:val="16"/>
                <w:vertAlign w:val="superscript"/>
              </w:rPr>
              <w:t>nd</w:t>
            </w:r>
            <w:r w:rsidRPr="0065710A">
              <w:rPr>
                <w:rFonts w:ascii="Arial" w:hAnsi="Arial" w:cs="Arial"/>
                <w:b/>
                <w:sz w:val="16"/>
                <w:szCs w:val="16"/>
              </w:rPr>
              <w:t xml:space="preserve"> Quarter After Exit</w:t>
            </w:r>
          </w:p>
        </w:tc>
        <w:tc>
          <w:tcPr>
            <w:tcW w:w="1870" w:type="dxa"/>
          </w:tcPr>
          <w:p w14:paraId="3D808112" w14:textId="77777777" w:rsidR="00600A6C" w:rsidRPr="0065710A" w:rsidRDefault="00600A6C" w:rsidP="00D63204">
            <w:pPr>
              <w:ind w:left="108"/>
              <w:rPr>
                <w:rFonts w:ascii="Arial" w:hAnsi="Arial" w:cs="Arial"/>
                <w:b/>
                <w:sz w:val="16"/>
                <w:szCs w:val="16"/>
              </w:rPr>
            </w:pPr>
            <w:r>
              <w:rPr>
                <w:rFonts w:ascii="Arial" w:hAnsi="Arial" w:cs="Arial"/>
                <w:b/>
                <w:sz w:val="16"/>
                <w:szCs w:val="16"/>
              </w:rPr>
              <w:t>2018</w:t>
            </w:r>
            <w:r w:rsidRPr="0065710A">
              <w:rPr>
                <w:rFonts w:ascii="Arial" w:hAnsi="Arial" w:cs="Arial"/>
                <w:b/>
                <w:sz w:val="16"/>
                <w:szCs w:val="16"/>
              </w:rPr>
              <w:t xml:space="preserve"> Proposed/Expected Level</w:t>
            </w:r>
          </w:p>
        </w:tc>
        <w:tc>
          <w:tcPr>
            <w:tcW w:w="1870" w:type="dxa"/>
          </w:tcPr>
          <w:p w14:paraId="05E45D18" w14:textId="77777777" w:rsidR="00600A6C" w:rsidRDefault="00600A6C" w:rsidP="00D63204">
            <w:pPr>
              <w:ind w:left="108"/>
              <w:rPr>
                <w:rFonts w:ascii="Arial" w:hAnsi="Arial" w:cs="Arial"/>
                <w:b/>
                <w:sz w:val="16"/>
                <w:szCs w:val="16"/>
              </w:rPr>
            </w:pPr>
            <w:r>
              <w:rPr>
                <w:rFonts w:ascii="Arial" w:hAnsi="Arial" w:cs="Arial"/>
                <w:b/>
                <w:sz w:val="16"/>
                <w:szCs w:val="16"/>
              </w:rPr>
              <w:t>2018</w:t>
            </w:r>
          </w:p>
          <w:p w14:paraId="24D4151F" w14:textId="77777777" w:rsidR="00600A6C" w:rsidRPr="0065710A" w:rsidRDefault="00600A6C" w:rsidP="00D63204">
            <w:pPr>
              <w:ind w:left="108"/>
              <w:rPr>
                <w:rFonts w:ascii="Arial" w:hAnsi="Arial" w:cs="Arial"/>
                <w:b/>
                <w:sz w:val="16"/>
                <w:szCs w:val="16"/>
              </w:rPr>
            </w:pPr>
            <w:r w:rsidRPr="0065710A">
              <w:rPr>
                <w:rFonts w:ascii="Arial" w:hAnsi="Arial" w:cs="Arial"/>
                <w:b/>
                <w:sz w:val="16"/>
                <w:szCs w:val="16"/>
              </w:rPr>
              <w:t>Negotiated/Adjusted Level</w:t>
            </w:r>
          </w:p>
        </w:tc>
        <w:tc>
          <w:tcPr>
            <w:tcW w:w="1870" w:type="dxa"/>
          </w:tcPr>
          <w:p w14:paraId="773B10F6" w14:textId="77777777" w:rsidR="00600A6C" w:rsidRPr="0065710A" w:rsidRDefault="00600A6C" w:rsidP="00D63204">
            <w:pPr>
              <w:ind w:left="108"/>
              <w:rPr>
                <w:rFonts w:ascii="Arial" w:hAnsi="Arial" w:cs="Arial"/>
                <w:b/>
                <w:sz w:val="16"/>
                <w:szCs w:val="16"/>
              </w:rPr>
            </w:pPr>
            <w:r>
              <w:rPr>
                <w:rFonts w:ascii="Arial" w:hAnsi="Arial" w:cs="Arial"/>
                <w:b/>
                <w:sz w:val="16"/>
                <w:szCs w:val="16"/>
              </w:rPr>
              <w:t>20</w:t>
            </w:r>
            <w:r w:rsidRPr="0065710A">
              <w:rPr>
                <w:rFonts w:ascii="Arial" w:hAnsi="Arial" w:cs="Arial"/>
                <w:b/>
                <w:sz w:val="16"/>
                <w:szCs w:val="16"/>
              </w:rPr>
              <w:t>1</w:t>
            </w:r>
            <w:r>
              <w:rPr>
                <w:rFonts w:ascii="Arial" w:hAnsi="Arial" w:cs="Arial"/>
                <w:b/>
                <w:sz w:val="16"/>
                <w:szCs w:val="16"/>
              </w:rPr>
              <w:t>9</w:t>
            </w:r>
            <w:r w:rsidRPr="0065710A">
              <w:rPr>
                <w:rFonts w:ascii="Arial" w:hAnsi="Arial" w:cs="Arial"/>
                <w:b/>
                <w:sz w:val="16"/>
                <w:szCs w:val="16"/>
              </w:rPr>
              <w:t xml:space="preserve"> Proposed/Expected Level</w:t>
            </w:r>
          </w:p>
        </w:tc>
        <w:tc>
          <w:tcPr>
            <w:tcW w:w="1870" w:type="dxa"/>
          </w:tcPr>
          <w:p w14:paraId="3006B13E" w14:textId="77777777" w:rsidR="00600A6C" w:rsidRPr="0065710A" w:rsidRDefault="00600A6C" w:rsidP="00D63204">
            <w:pPr>
              <w:ind w:left="108"/>
              <w:rPr>
                <w:rFonts w:ascii="Arial" w:hAnsi="Arial" w:cs="Arial"/>
                <w:b/>
                <w:sz w:val="16"/>
                <w:szCs w:val="16"/>
              </w:rPr>
            </w:pPr>
            <w:r>
              <w:rPr>
                <w:rFonts w:ascii="Arial" w:hAnsi="Arial" w:cs="Arial"/>
                <w:b/>
                <w:sz w:val="16"/>
                <w:szCs w:val="16"/>
              </w:rPr>
              <w:t>20</w:t>
            </w:r>
            <w:r w:rsidRPr="0065710A">
              <w:rPr>
                <w:rFonts w:ascii="Arial" w:hAnsi="Arial" w:cs="Arial"/>
                <w:b/>
                <w:sz w:val="16"/>
                <w:szCs w:val="16"/>
              </w:rPr>
              <w:t>1</w:t>
            </w:r>
            <w:r>
              <w:rPr>
                <w:rFonts w:ascii="Arial" w:hAnsi="Arial" w:cs="Arial"/>
                <w:b/>
                <w:sz w:val="16"/>
                <w:szCs w:val="16"/>
              </w:rPr>
              <w:t>9</w:t>
            </w:r>
            <w:r w:rsidRPr="0065710A">
              <w:rPr>
                <w:rFonts w:ascii="Arial" w:hAnsi="Arial" w:cs="Arial"/>
                <w:b/>
                <w:sz w:val="16"/>
                <w:szCs w:val="16"/>
              </w:rPr>
              <w:t xml:space="preserve"> Negotiated/Adjusted Level</w:t>
            </w:r>
          </w:p>
        </w:tc>
      </w:tr>
      <w:tr w:rsidR="00600A6C" w:rsidRPr="0065710A" w14:paraId="6658E1D1" w14:textId="77777777" w:rsidTr="002E5578">
        <w:tc>
          <w:tcPr>
            <w:tcW w:w="1870" w:type="dxa"/>
            <w:shd w:val="clear" w:color="auto" w:fill="D9D9D9" w:themeFill="background1" w:themeFillShade="D9"/>
          </w:tcPr>
          <w:p w14:paraId="6E9FE326" w14:textId="77777777" w:rsidR="00600A6C" w:rsidRPr="0065710A" w:rsidRDefault="00600A6C" w:rsidP="002E5578">
            <w:pPr>
              <w:ind w:left="108"/>
              <w:rPr>
                <w:rFonts w:ascii="Arial" w:hAnsi="Arial" w:cs="Arial"/>
                <w:sz w:val="16"/>
                <w:szCs w:val="16"/>
              </w:rPr>
            </w:pPr>
            <w:r>
              <w:rPr>
                <w:rFonts w:ascii="Arial" w:hAnsi="Arial" w:cs="Arial"/>
                <w:sz w:val="16"/>
                <w:szCs w:val="16"/>
              </w:rPr>
              <w:t>Adults</w:t>
            </w:r>
          </w:p>
        </w:tc>
        <w:tc>
          <w:tcPr>
            <w:tcW w:w="1870" w:type="dxa"/>
            <w:shd w:val="clear" w:color="auto" w:fill="D9D9D9" w:themeFill="background1" w:themeFillShade="D9"/>
          </w:tcPr>
          <w:p w14:paraId="06DA0964" w14:textId="77777777" w:rsidR="00600A6C" w:rsidRPr="0065710A" w:rsidRDefault="00600A6C" w:rsidP="00D63204">
            <w:pPr>
              <w:ind w:left="108"/>
              <w:rPr>
                <w:rFonts w:ascii="Arial" w:hAnsi="Arial" w:cs="Arial"/>
                <w:sz w:val="16"/>
                <w:szCs w:val="16"/>
              </w:rPr>
            </w:pPr>
            <w:r>
              <w:rPr>
                <w:rFonts w:ascii="Arial" w:hAnsi="Arial" w:cs="Arial"/>
                <w:sz w:val="16"/>
                <w:szCs w:val="16"/>
              </w:rPr>
              <w:t>85%</w:t>
            </w:r>
          </w:p>
        </w:tc>
        <w:tc>
          <w:tcPr>
            <w:tcW w:w="1870" w:type="dxa"/>
            <w:shd w:val="clear" w:color="auto" w:fill="D9D9D9" w:themeFill="background1" w:themeFillShade="D9"/>
          </w:tcPr>
          <w:p w14:paraId="75A6FA0C" w14:textId="77777777" w:rsidR="00600A6C" w:rsidRPr="0065710A" w:rsidRDefault="00600A6C" w:rsidP="00D63204">
            <w:pPr>
              <w:ind w:left="108"/>
              <w:rPr>
                <w:rFonts w:ascii="Arial" w:hAnsi="Arial" w:cs="Arial"/>
                <w:sz w:val="16"/>
                <w:szCs w:val="16"/>
              </w:rPr>
            </w:pPr>
          </w:p>
        </w:tc>
        <w:tc>
          <w:tcPr>
            <w:tcW w:w="1870" w:type="dxa"/>
            <w:shd w:val="clear" w:color="auto" w:fill="D9D9D9" w:themeFill="background1" w:themeFillShade="D9"/>
          </w:tcPr>
          <w:p w14:paraId="21D38B75" w14:textId="77777777" w:rsidR="00600A6C" w:rsidRPr="0065710A" w:rsidRDefault="00600A6C" w:rsidP="00D63204">
            <w:pPr>
              <w:ind w:left="108"/>
              <w:rPr>
                <w:rFonts w:ascii="Arial" w:hAnsi="Arial" w:cs="Arial"/>
                <w:sz w:val="16"/>
                <w:szCs w:val="16"/>
              </w:rPr>
            </w:pPr>
            <w:r>
              <w:rPr>
                <w:rFonts w:ascii="Arial" w:hAnsi="Arial" w:cs="Arial"/>
                <w:sz w:val="16"/>
                <w:szCs w:val="16"/>
              </w:rPr>
              <w:t>85%</w:t>
            </w:r>
          </w:p>
        </w:tc>
        <w:tc>
          <w:tcPr>
            <w:tcW w:w="1870" w:type="dxa"/>
            <w:shd w:val="clear" w:color="auto" w:fill="D9D9D9" w:themeFill="background1" w:themeFillShade="D9"/>
          </w:tcPr>
          <w:p w14:paraId="4B99CCF6" w14:textId="77777777" w:rsidR="00600A6C" w:rsidRPr="0065710A" w:rsidRDefault="00600A6C" w:rsidP="00D63204">
            <w:pPr>
              <w:ind w:left="108"/>
              <w:rPr>
                <w:rFonts w:ascii="Arial" w:hAnsi="Arial" w:cs="Arial"/>
                <w:sz w:val="16"/>
                <w:szCs w:val="16"/>
              </w:rPr>
            </w:pPr>
          </w:p>
        </w:tc>
      </w:tr>
      <w:tr w:rsidR="00600A6C" w:rsidRPr="0065710A" w14:paraId="0D72169E" w14:textId="77777777" w:rsidTr="002E5578">
        <w:tc>
          <w:tcPr>
            <w:tcW w:w="1870" w:type="dxa"/>
          </w:tcPr>
          <w:p w14:paraId="7ADBF0B4" w14:textId="77777777" w:rsidR="00600A6C" w:rsidRPr="0065710A" w:rsidRDefault="00600A6C" w:rsidP="002E5578">
            <w:pPr>
              <w:ind w:left="108"/>
              <w:rPr>
                <w:rFonts w:ascii="Arial" w:hAnsi="Arial" w:cs="Arial"/>
                <w:sz w:val="16"/>
                <w:szCs w:val="16"/>
              </w:rPr>
            </w:pPr>
            <w:r>
              <w:rPr>
                <w:rFonts w:ascii="Arial" w:hAnsi="Arial" w:cs="Arial"/>
                <w:sz w:val="16"/>
                <w:szCs w:val="16"/>
              </w:rPr>
              <w:t>Dislocated Workers</w:t>
            </w:r>
          </w:p>
        </w:tc>
        <w:tc>
          <w:tcPr>
            <w:tcW w:w="1870" w:type="dxa"/>
          </w:tcPr>
          <w:p w14:paraId="62AE2B2A" w14:textId="77777777" w:rsidR="00600A6C" w:rsidRPr="0065710A" w:rsidRDefault="00600A6C" w:rsidP="00D63204">
            <w:pPr>
              <w:ind w:left="108"/>
              <w:rPr>
                <w:rFonts w:ascii="Arial" w:hAnsi="Arial" w:cs="Arial"/>
                <w:sz w:val="16"/>
                <w:szCs w:val="16"/>
              </w:rPr>
            </w:pPr>
            <w:r>
              <w:rPr>
                <w:rFonts w:ascii="Arial" w:hAnsi="Arial" w:cs="Arial"/>
                <w:sz w:val="16"/>
                <w:szCs w:val="16"/>
              </w:rPr>
              <w:t>83%</w:t>
            </w:r>
          </w:p>
        </w:tc>
        <w:tc>
          <w:tcPr>
            <w:tcW w:w="1870" w:type="dxa"/>
          </w:tcPr>
          <w:p w14:paraId="4EBADB2D" w14:textId="77777777" w:rsidR="00600A6C" w:rsidRPr="0065710A" w:rsidRDefault="00600A6C" w:rsidP="00D63204">
            <w:pPr>
              <w:ind w:left="108"/>
              <w:rPr>
                <w:rFonts w:ascii="Arial" w:hAnsi="Arial" w:cs="Arial"/>
                <w:sz w:val="16"/>
                <w:szCs w:val="16"/>
              </w:rPr>
            </w:pPr>
          </w:p>
        </w:tc>
        <w:tc>
          <w:tcPr>
            <w:tcW w:w="1870" w:type="dxa"/>
          </w:tcPr>
          <w:p w14:paraId="71771CEB" w14:textId="77777777" w:rsidR="00600A6C" w:rsidRPr="0065710A" w:rsidRDefault="00600A6C" w:rsidP="00D63204">
            <w:pPr>
              <w:ind w:left="108"/>
              <w:rPr>
                <w:rFonts w:ascii="Arial" w:hAnsi="Arial" w:cs="Arial"/>
                <w:sz w:val="16"/>
                <w:szCs w:val="16"/>
              </w:rPr>
            </w:pPr>
            <w:r>
              <w:rPr>
                <w:rFonts w:ascii="Arial" w:hAnsi="Arial" w:cs="Arial"/>
                <w:sz w:val="16"/>
                <w:szCs w:val="16"/>
              </w:rPr>
              <w:t>83%</w:t>
            </w:r>
          </w:p>
        </w:tc>
        <w:tc>
          <w:tcPr>
            <w:tcW w:w="1870" w:type="dxa"/>
          </w:tcPr>
          <w:p w14:paraId="019D5FD5" w14:textId="77777777" w:rsidR="00600A6C" w:rsidRPr="0065710A" w:rsidRDefault="00600A6C" w:rsidP="00D63204">
            <w:pPr>
              <w:ind w:left="108"/>
              <w:rPr>
                <w:rFonts w:ascii="Arial" w:hAnsi="Arial" w:cs="Arial"/>
                <w:sz w:val="16"/>
                <w:szCs w:val="16"/>
              </w:rPr>
            </w:pPr>
          </w:p>
        </w:tc>
      </w:tr>
      <w:tr w:rsidR="00600A6C" w:rsidRPr="0065710A" w14:paraId="727C61E9" w14:textId="77777777" w:rsidTr="002E5578">
        <w:tc>
          <w:tcPr>
            <w:tcW w:w="1870" w:type="dxa"/>
            <w:shd w:val="clear" w:color="auto" w:fill="D9D9D9" w:themeFill="background1" w:themeFillShade="D9"/>
          </w:tcPr>
          <w:p w14:paraId="6CDA73A1" w14:textId="77777777" w:rsidR="00600A6C" w:rsidRPr="0065710A" w:rsidRDefault="00600A6C" w:rsidP="002E5578">
            <w:pPr>
              <w:ind w:left="108"/>
              <w:rPr>
                <w:rFonts w:ascii="Arial" w:hAnsi="Arial" w:cs="Arial"/>
                <w:sz w:val="16"/>
                <w:szCs w:val="16"/>
              </w:rPr>
            </w:pPr>
            <w:r>
              <w:rPr>
                <w:rFonts w:ascii="Arial" w:hAnsi="Arial" w:cs="Arial"/>
                <w:sz w:val="16"/>
                <w:szCs w:val="16"/>
              </w:rPr>
              <w:t>Youth</w:t>
            </w:r>
          </w:p>
        </w:tc>
        <w:tc>
          <w:tcPr>
            <w:tcW w:w="1870" w:type="dxa"/>
            <w:shd w:val="clear" w:color="auto" w:fill="D9D9D9" w:themeFill="background1" w:themeFillShade="D9"/>
          </w:tcPr>
          <w:p w14:paraId="1392D0BA" w14:textId="77777777" w:rsidR="00600A6C" w:rsidRPr="0065710A" w:rsidRDefault="00600A6C" w:rsidP="00D63204">
            <w:pPr>
              <w:ind w:left="108"/>
              <w:rPr>
                <w:rFonts w:ascii="Arial" w:hAnsi="Arial" w:cs="Arial"/>
                <w:sz w:val="16"/>
                <w:szCs w:val="16"/>
              </w:rPr>
            </w:pPr>
            <w:r>
              <w:rPr>
                <w:rFonts w:ascii="Arial" w:hAnsi="Arial" w:cs="Arial"/>
                <w:sz w:val="16"/>
                <w:szCs w:val="16"/>
              </w:rPr>
              <w:t>76%</w:t>
            </w:r>
          </w:p>
        </w:tc>
        <w:tc>
          <w:tcPr>
            <w:tcW w:w="1870" w:type="dxa"/>
            <w:shd w:val="clear" w:color="auto" w:fill="D9D9D9" w:themeFill="background1" w:themeFillShade="D9"/>
          </w:tcPr>
          <w:p w14:paraId="025E3ABA" w14:textId="77777777" w:rsidR="00600A6C" w:rsidRPr="0065710A" w:rsidRDefault="00600A6C" w:rsidP="00D63204">
            <w:pPr>
              <w:ind w:left="108"/>
              <w:rPr>
                <w:rFonts w:ascii="Arial" w:hAnsi="Arial" w:cs="Arial"/>
                <w:sz w:val="16"/>
                <w:szCs w:val="16"/>
              </w:rPr>
            </w:pPr>
          </w:p>
        </w:tc>
        <w:tc>
          <w:tcPr>
            <w:tcW w:w="1870" w:type="dxa"/>
            <w:shd w:val="clear" w:color="auto" w:fill="D9D9D9" w:themeFill="background1" w:themeFillShade="D9"/>
          </w:tcPr>
          <w:p w14:paraId="73FFAC29" w14:textId="77777777" w:rsidR="00600A6C" w:rsidRPr="0065710A" w:rsidRDefault="00600A6C" w:rsidP="00D63204">
            <w:pPr>
              <w:ind w:left="108"/>
              <w:rPr>
                <w:rFonts w:ascii="Arial" w:hAnsi="Arial" w:cs="Arial"/>
                <w:sz w:val="16"/>
                <w:szCs w:val="16"/>
              </w:rPr>
            </w:pPr>
            <w:r>
              <w:rPr>
                <w:rFonts w:ascii="Arial" w:hAnsi="Arial" w:cs="Arial"/>
                <w:sz w:val="16"/>
                <w:szCs w:val="16"/>
              </w:rPr>
              <w:t>76%</w:t>
            </w:r>
          </w:p>
        </w:tc>
        <w:tc>
          <w:tcPr>
            <w:tcW w:w="1870" w:type="dxa"/>
            <w:shd w:val="clear" w:color="auto" w:fill="D9D9D9" w:themeFill="background1" w:themeFillShade="D9"/>
          </w:tcPr>
          <w:p w14:paraId="327CA2C0" w14:textId="77777777" w:rsidR="00600A6C" w:rsidRPr="0065710A" w:rsidRDefault="00600A6C" w:rsidP="00D63204">
            <w:pPr>
              <w:ind w:left="108"/>
              <w:rPr>
                <w:rFonts w:ascii="Arial" w:hAnsi="Arial" w:cs="Arial"/>
                <w:sz w:val="16"/>
                <w:szCs w:val="16"/>
              </w:rPr>
            </w:pPr>
          </w:p>
        </w:tc>
      </w:tr>
      <w:tr w:rsidR="00600A6C" w:rsidRPr="0065710A" w14:paraId="1BDD15ED" w14:textId="77777777" w:rsidTr="002E5578">
        <w:tc>
          <w:tcPr>
            <w:tcW w:w="1870" w:type="dxa"/>
          </w:tcPr>
          <w:p w14:paraId="28C51065" w14:textId="77777777" w:rsidR="00600A6C" w:rsidRPr="0065710A" w:rsidRDefault="00600A6C" w:rsidP="002E5578">
            <w:pPr>
              <w:ind w:left="108"/>
              <w:rPr>
                <w:rFonts w:ascii="Arial" w:hAnsi="Arial" w:cs="Arial"/>
                <w:sz w:val="16"/>
                <w:szCs w:val="16"/>
              </w:rPr>
            </w:pPr>
            <w:r>
              <w:rPr>
                <w:rFonts w:ascii="Arial" w:hAnsi="Arial" w:cs="Arial"/>
                <w:sz w:val="16"/>
                <w:szCs w:val="16"/>
              </w:rPr>
              <w:t>Adult Education</w:t>
            </w:r>
          </w:p>
        </w:tc>
        <w:tc>
          <w:tcPr>
            <w:tcW w:w="1870" w:type="dxa"/>
          </w:tcPr>
          <w:p w14:paraId="2B12CA22" w14:textId="77777777" w:rsidR="00600A6C" w:rsidRPr="0065710A" w:rsidRDefault="00600A6C" w:rsidP="00D63204">
            <w:pPr>
              <w:ind w:left="108"/>
              <w:rPr>
                <w:rFonts w:ascii="Arial" w:hAnsi="Arial" w:cs="Arial"/>
                <w:sz w:val="16"/>
                <w:szCs w:val="16"/>
              </w:rPr>
            </w:pPr>
            <w:r>
              <w:rPr>
                <w:rFonts w:ascii="Arial" w:hAnsi="Arial" w:cs="Arial"/>
                <w:sz w:val="16"/>
                <w:szCs w:val="16"/>
              </w:rPr>
              <w:t>TBD</w:t>
            </w:r>
          </w:p>
        </w:tc>
        <w:tc>
          <w:tcPr>
            <w:tcW w:w="1870" w:type="dxa"/>
          </w:tcPr>
          <w:p w14:paraId="0AE15338" w14:textId="77777777" w:rsidR="00600A6C" w:rsidRPr="0065710A" w:rsidRDefault="00600A6C" w:rsidP="00D63204">
            <w:pPr>
              <w:ind w:left="108"/>
              <w:rPr>
                <w:rFonts w:ascii="Arial" w:hAnsi="Arial" w:cs="Arial"/>
                <w:sz w:val="16"/>
                <w:szCs w:val="16"/>
              </w:rPr>
            </w:pPr>
          </w:p>
        </w:tc>
        <w:tc>
          <w:tcPr>
            <w:tcW w:w="1870" w:type="dxa"/>
          </w:tcPr>
          <w:p w14:paraId="01424F28" w14:textId="77777777" w:rsidR="00600A6C" w:rsidRPr="0065710A" w:rsidRDefault="00600A6C" w:rsidP="00D63204">
            <w:pPr>
              <w:ind w:left="108"/>
              <w:rPr>
                <w:rFonts w:ascii="Arial" w:hAnsi="Arial" w:cs="Arial"/>
                <w:sz w:val="16"/>
                <w:szCs w:val="16"/>
              </w:rPr>
            </w:pPr>
            <w:r>
              <w:rPr>
                <w:rFonts w:ascii="Arial" w:hAnsi="Arial" w:cs="Arial"/>
                <w:sz w:val="16"/>
                <w:szCs w:val="16"/>
              </w:rPr>
              <w:t>TBD</w:t>
            </w:r>
          </w:p>
        </w:tc>
        <w:tc>
          <w:tcPr>
            <w:tcW w:w="1870" w:type="dxa"/>
          </w:tcPr>
          <w:p w14:paraId="67E373C4" w14:textId="77777777" w:rsidR="00600A6C" w:rsidRPr="0065710A" w:rsidRDefault="00600A6C" w:rsidP="00D63204">
            <w:pPr>
              <w:ind w:left="108"/>
              <w:rPr>
                <w:rFonts w:ascii="Arial" w:hAnsi="Arial" w:cs="Arial"/>
                <w:sz w:val="16"/>
                <w:szCs w:val="16"/>
              </w:rPr>
            </w:pPr>
          </w:p>
        </w:tc>
      </w:tr>
      <w:tr w:rsidR="00600A6C" w:rsidRPr="0065710A" w14:paraId="66F1231B" w14:textId="77777777" w:rsidTr="002E5578">
        <w:tc>
          <w:tcPr>
            <w:tcW w:w="1870" w:type="dxa"/>
            <w:shd w:val="clear" w:color="auto" w:fill="D9D9D9" w:themeFill="background1" w:themeFillShade="D9"/>
          </w:tcPr>
          <w:p w14:paraId="0B9EDD5F" w14:textId="77777777" w:rsidR="00600A6C" w:rsidRPr="0065710A" w:rsidRDefault="00600A6C" w:rsidP="002E5578">
            <w:pPr>
              <w:ind w:left="108"/>
              <w:rPr>
                <w:rFonts w:ascii="Arial" w:hAnsi="Arial" w:cs="Arial"/>
                <w:sz w:val="16"/>
                <w:szCs w:val="16"/>
              </w:rPr>
            </w:pPr>
            <w:r>
              <w:rPr>
                <w:rFonts w:ascii="Arial" w:hAnsi="Arial" w:cs="Arial"/>
                <w:sz w:val="16"/>
                <w:szCs w:val="16"/>
              </w:rPr>
              <w:t>Wagner-Peyser</w:t>
            </w:r>
          </w:p>
        </w:tc>
        <w:tc>
          <w:tcPr>
            <w:tcW w:w="1870" w:type="dxa"/>
            <w:shd w:val="clear" w:color="auto" w:fill="D9D9D9" w:themeFill="background1" w:themeFillShade="D9"/>
          </w:tcPr>
          <w:p w14:paraId="689F48CC" w14:textId="77777777" w:rsidR="00600A6C" w:rsidRPr="0065710A" w:rsidRDefault="00600A6C" w:rsidP="00D63204">
            <w:pPr>
              <w:ind w:left="108"/>
              <w:rPr>
                <w:rFonts w:ascii="Arial" w:hAnsi="Arial" w:cs="Arial"/>
                <w:sz w:val="16"/>
                <w:szCs w:val="16"/>
              </w:rPr>
            </w:pPr>
            <w:r>
              <w:rPr>
                <w:rFonts w:ascii="Arial" w:hAnsi="Arial" w:cs="Arial"/>
                <w:sz w:val="16"/>
                <w:szCs w:val="16"/>
              </w:rPr>
              <w:t>62%</w:t>
            </w:r>
          </w:p>
        </w:tc>
        <w:tc>
          <w:tcPr>
            <w:tcW w:w="1870" w:type="dxa"/>
            <w:shd w:val="clear" w:color="auto" w:fill="D9D9D9" w:themeFill="background1" w:themeFillShade="D9"/>
          </w:tcPr>
          <w:p w14:paraId="41B8984B" w14:textId="77777777" w:rsidR="00600A6C" w:rsidRPr="0065710A" w:rsidRDefault="00600A6C" w:rsidP="00D63204">
            <w:pPr>
              <w:ind w:left="108"/>
              <w:rPr>
                <w:rFonts w:ascii="Arial" w:hAnsi="Arial" w:cs="Arial"/>
                <w:sz w:val="16"/>
                <w:szCs w:val="16"/>
              </w:rPr>
            </w:pPr>
          </w:p>
        </w:tc>
        <w:tc>
          <w:tcPr>
            <w:tcW w:w="1870" w:type="dxa"/>
            <w:shd w:val="clear" w:color="auto" w:fill="D9D9D9" w:themeFill="background1" w:themeFillShade="D9"/>
          </w:tcPr>
          <w:p w14:paraId="61B75B72" w14:textId="77777777" w:rsidR="00600A6C" w:rsidRPr="0065710A" w:rsidRDefault="00600A6C" w:rsidP="00D63204">
            <w:pPr>
              <w:ind w:left="108"/>
              <w:rPr>
                <w:rFonts w:ascii="Arial" w:hAnsi="Arial" w:cs="Arial"/>
                <w:sz w:val="16"/>
                <w:szCs w:val="16"/>
              </w:rPr>
            </w:pPr>
            <w:r>
              <w:rPr>
                <w:rFonts w:ascii="Arial" w:hAnsi="Arial" w:cs="Arial"/>
                <w:sz w:val="16"/>
                <w:szCs w:val="16"/>
              </w:rPr>
              <w:t>62%</w:t>
            </w:r>
          </w:p>
        </w:tc>
        <w:tc>
          <w:tcPr>
            <w:tcW w:w="1870" w:type="dxa"/>
            <w:shd w:val="clear" w:color="auto" w:fill="D9D9D9" w:themeFill="background1" w:themeFillShade="D9"/>
          </w:tcPr>
          <w:p w14:paraId="523C1B53" w14:textId="77777777" w:rsidR="00600A6C" w:rsidRPr="0065710A" w:rsidRDefault="00600A6C" w:rsidP="00D63204">
            <w:pPr>
              <w:ind w:left="108"/>
              <w:rPr>
                <w:rFonts w:ascii="Arial" w:hAnsi="Arial" w:cs="Arial"/>
                <w:sz w:val="16"/>
                <w:szCs w:val="16"/>
              </w:rPr>
            </w:pPr>
          </w:p>
        </w:tc>
      </w:tr>
      <w:tr w:rsidR="00600A6C" w:rsidRPr="0065710A" w14:paraId="57DD77AA" w14:textId="77777777" w:rsidTr="002E5578">
        <w:tc>
          <w:tcPr>
            <w:tcW w:w="1870" w:type="dxa"/>
          </w:tcPr>
          <w:p w14:paraId="4BDCA87C" w14:textId="77777777" w:rsidR="00600A6C" w:rsidRPr="0065710A" w:rsidRDefault="00600A6C" w:rsidP="002E5578">
            <w:pPr>
              <w:ind w:left="108"/>
              <w:rPr>
                <w:rFonts w:ascii="Arial" w:hAnsi="Arial" w:cs="Arial"/>
                <w:sz w:val="16"/>
                <w:szCs w:val="16"/>
              </w:rPr>
            </w:pPr>
            <w:r>
              <w:rPr>
                <w:rFonts w:ascii="Arial" w:hAnsi="Arial" w:cs="Arial"/>
                <w:sz w:val="16"/>
                <w:szCs w:val="16"/>
              </w:rPr>
              <w:t>Vocational Rehabilitation</w:t>
            </w:r>
          </w:p>
        </w:tc>
        <w:tc>
          <w:tcPr>
            <w:tcW w:w="1870" w:type="dxa"/>
          </w:tcPr>
          <w:p w14:paraId="6B38898A" w14:textId="77777777" w:rsidR="00600A6C" w:rsidRPr="0065710A" w:rsidRDefault="00600A6C" w:rsidP="00D63204">
            <w:pPr>
              <w:ind w:left="108"/>
              <w:rPr>
                <w:rFonts w:ascii="Arial" w:hAnsi="Arial" w:cs="Arial"/>
                <w:sz w:val="16"/>
                <w:szCs w:val="16"/>
              </w:rPr>
            </w:pPr>
            <w:r>
              <w:rPr>
                <w:rFonts w:ascii="Arial" w:hAnsi="Arial" w:cs="Arial"/>
                <w:sz w:val="16"/>
                <w:szCs w:val="16"/>
              </w:rPr>
              <w:t>TBD</w:t>
            </w:r>
          </w:p>
        </w:tc>
        <w:tc>
          <w:tcPr>
            <w:tcW w:w="1870" w:type="dxa"/>
          </w:tcPr>
          <w:p w14:paraId="730173EF" w14:textId="77777777" w:rsidR="00600A6C" w:rsidRPr="0065710A" w:rsidRDefault="00600A6C" w:rsidP="00D63204">
            <w:pPr>
              <w:ind w:left="108"/>
              <w:rPr>
                <w:rFonts w:ascii="Arial" w:hAnsi="Arial" w:cs="Arial"/>
                <w:sz w:val="16"/>
                <w:szCs w:val="16"/>
              </w:rPr>
            </w:pPr>
          </w:p>
        </w:tc>
        <w:tc>
          <w:tcPr>
            <w:tcW w:w="1870" w:type="dxa"/>
          </w:tcPr>
          <w:p w14:paraId="19C97AF5" w14:textId="77777777" w:rsidR="00600A6C" w:rsidRPr="0065710A" w:rsidRDefault="00600A6C" w:rsidP="00D63204">
            <w:pPr>
              <w:ind w:left="108"/>
              <w:rPr>
                <w:rFonts w:ascii="Arial" w:hAnsi="Arial" w:cs="Arial"/>
                <w:sz w:val="16"/>
                <w:szCs w:val="16"/>
              </w:rPr>
            </w:pPr>
            <w:r>
              <w:rPr>
                <w:rFonts w:ascii="Arial" w:hAnsi="Arial" w:cs="Arial"/>
                <w:sz w:val="16"/>
                <w:szCs w:val="16"/>
              </w:rPr>
              <w:t>TBD</w:t>
            </w:r>
          </w:p>
        </w:tc>
        <w:tc>
          <w:tcPr>
            <w:tcW w:w="1870" w:type="dxa"/>
          </w:tcPr>
          <w:p w14:paraId="617EC877" w14:textId="77777777" w:rsidR="00600A6C" w:rsidRPr="0065710A" w:rsidRDefault="00600A6C" w:rsidP="00D63204">
            <w:pPr>
              <w:ind w:left="108"/>
              <w:rPr>
                <w:rFonts w:ascii="Arial" w:hAnsi="Arial" w:cs="Arial"/>
                <w:sz w:val="16"/>
                <w:szCs w:val="16"/>
              </w:rPr>
            </w:pPr>
          </w:p>
        </w:tc>
      </w:tr>
    </w:tbl>
    <w:p w14:paraId="664486F4" w14:textId="77777777" w:rsidR="00600A6C" w:rsidRDefault="00600A6C" w:rsidP="00600A6C">
      <w:pPr>
        <w:ind w:left="108"/>
        <w:rPr>
          <w:rFonts w:ascii="Arial" w:hAnsi="Arial" w:cs="Arial"/>
          <w:sz w:val="16"/>
          <w:szCs w:val="16"/>
        </w:rPr>
      </w:pPr>
    </w:p>
    <w:tbl>
      <w:tblPr>
        <w:tblStyle w:val="TableGrid"/>
        <w:tblW w:w="0" w:type="auto"/>
        <w:tblLook w:val="04A0" w:firstRow="1" w:lastRow="0" w:firstColumn="1" w:lastColumn="0" w:noHBand="0" w:noVBand="1"/>
      </w:tblPr>
      <w:tblGrid>
        <w:gridCol w:w="1870"/>
        <w:gridCol w:w="1870"/>
        <w:gridCol w:w="1880"/>
        <w:gridCol w:w="1870"/>
        <w:gridCol w:w="1880"/>
      </w:tblGrid>
      <w:tr w:rsidR="00600A6C" w:rsidRPr="0065710A" w14:paraId="5173082B" w14:textId="77777777" w:rsidTr="002E5578">
        <w:trPr>
          <w:tblHeader/>
        </w:trPr>
        <w:tc>
          <w:tcPr>
            <w:tcW w:w="1870" w:type="dxa"/>
          </w:tcPr>
          <w:p w14:paraId="6DFA2271" w14:textId="77777777" w:rsidR="00600A6C" w:rsidRPr="0065710A" w:rsidRDefault="00600A6C" w:rsidP="002E5578">
            <w:pPr>
              <w:ind w:left="108"/>
              <w:rPr>
                <w:rFonts w:ascii="Arial" w:hAnsi="Arial" w:cs="Arial"/>
                <w:b/>
                <w:sz w:val="16"/>
                <w:szCs w:val="16"/>
              </w:rPr>
            </w:pPr>
            <w:r>
              <w:rPr>
                <w:rFonts w:ascii="Arial" w:hAnsi="Arial" w:cs="Arial"/>
                <w:b/>
                <w:sz w:val="16"/>
                <w:szCs w:val="16"/>
              </w:rPr>
              <w:t>Employment in 4</w:t>
            </w:r>
            <w:r w:rsidRPr="00CA6207">
              <w:rPr>
                <w:rFonts w:ascii="Arial" w:hAnsi="Arial" w:cs="Arial"/>
                <w:b/>
                <w:sz w:val="16"/>
                <w:szCs w:val="16"/>
                <w:vertAlign w:val="superscript"/>
              </w:rPr>
              <w:t>th</w:t>
            </w:r>
            <w:r>
              <w:rPr>
                <w:rFonts w:ascii="Arial" w:hAnsi="Arial" w:cs="Arial"/>
                <w:b/>
                <w:sz w:val="16"/>
                <w:szCs w:val="16"/>
              </w:rPr>
              <w:t xml:space="preserve"> </w:t>
            </w:r>
            <w:r w:rsidRPr="0065710A">
              <w:rPr>
                <w:rFonts w:ascii="Arial" w:hAnsi="Arial" w:cs="Arial"/>
                <w:b/>
                <w:sz w:val="16"/>
                <w:szCs w:val="16"/>
              </w:rPr>
              <w:t xml:space="preserve"> Quarter After Exit</w:t>
            </w:r>
          </w:p>
        </w:tc>
        <w:tc>
          <w:tcPr>
            <w:tcW w:w="1870" w:type="dxa"/>
          </w:tcPr>
          <w:p w14:paraId="30084728" w14:textId="77777777" w:rsidR="00600A6C" w:rsidRPr="0065710A" w:rsidRDefault="00600A6C" w:rsidP="00D63204">
            <w:pPr>
              <w:ind w:left="108"/>
              <w:rPr>
                <w:rFonts w:ascii="Arial" w:hAnsi="Arial" w:cs="Arial"/>
                <w:b/>
                <w:sz w:val="16"/>
                <w:szCs w:val="16"/>
              </w:rPr>
            </w:pPr>
            <w:r>
              <w:rPr>
                <w:rFonts w:ascii="Arial" w:hAnsi="Arial" w:cs="Arial"/>
                <w:b/>
                <w:sz w:val="16"/>
                <w:szCs w:val="16"/>
              </w:rPr>
              <w:t>2018</w:t>
            </w:r>
            <w:r w:rsidRPr="0065710A">
              <w:rPr>
                <w:rFonts w:ascii="Arial" w:hAnsi="Arial" w:cs="Arial"/>
                <w:b/>
                <w:sz w:val="16"/>
                <w:szCs w:val="16"/>
              </w:rPr>
              <w:t xml:space="preserve"> Proposed/Expected Level</w:t>
            </w:r>
          </w:p>
        </w:tc>
        <w:tc>
          <w:tcPr>
            <w:tcW w:w="1870" w:type="dxa"/>
          </w:tcPr>
          <w:p w14:paraId="489E97FB" w14:textId="77777777" w:rsidR="00600A6C" w:rsidRDefault="00600A6C" w:rsidP="00D63204">
            <w:pPr>
              <w:ind w:left="108"/>
              <w:rPr>
                <w:rFonts w:ascii="Arial" w:hAnsi="Arial" w:cs="Arial"/>
                <w:b/>
                <w:sz w:val="16"/>
                <w:szCs w:val="16"/>
              </w:rPr>
            </w:pPr>
            <w:r>
              <w:rPr>
                <w:rFonts w:ascii="Arial" w:hAnsi="Arial" w:cs="Arial"/>
                <w:b/>
                <w:sz w:val="16"/>
                <w:szCs w:val="16"/>
              </w:rPr>
              <w:t>2018</w:t>
            </w:r>
          </w:p>
          <w:p w14:paraId="073958D8" w14:textId="77777777" w:rsidR="00600A6C" w:rsidRPr="0065710A" w:rsidRDefault="00600A6C" w:rsidP="00D63204">
            <w:pPr>
              <w:ind w:left="108"/>
              <w:rPr>
                <w:rFonts w:ascii="Arial" w:hAnsi="Arial" w:cs="Arial"/>
                <w:b/>
                <w:sz w:val="16"/>
                <w:szCs w:val="16"/>
              </w:rPr>
            </w:pPr>
            <w:r w:rsidRPr="0065710A">
              <w:rPr>
                <w:rFonts w:ascii="Arial" w:hAnsi="Arial" w:cs="Arial"/>
                <w:b/>
                <w:sz w:val="16"/>
                <w:szCs w:val="16"/>
              </w:rPr>
              <w:t>Negotiated/Adjusted Level</w:t>
            </w:r>
          </w:p>
        </w:tc>
        <w:tc>
          <w:tcPr>
            <w:tcW w:w="1870" w:type="dxa"/>
          </w:tcPr>
          <w:p w14:paraId="3E121615" w14:textId="77777777" w:rsidR="00600A6C" w:rsidRPr="0065710A" w:rsidRDefault="00600A6C" w:rsidP="00D63204">
            <w:pPr>
              <w:ind w:left="108"/>
              <w:rPr>
                <w:rFonts w:ascii="Arial" w:hAnsi="Arial" w:cs="Arial"/>
                <w:b/>
                <w:sz w:val="16"/>
                <w:szCs w:val="16"/>
              </w:rPr>
            </w:pPr>
            <w:r>
              <w:rPr>
                <w:rFonts w:ascii="Arial" w:hAnsi="Arial" w:cs="Arial"/>
                <w:b/>
                <w:sz w:val="16"/>
                <w:szCs w:val="16"/>
              </w:rPr>
              <w:t>2019</w:t>
            </w:r>
            <w:r w:rsidRPr="0065710A">
              <w:rPr>
                <w:rFonts w:ascii="Arial" w:hAnsi="Arial" w:cs="Arial"/>
                <w:b/>
                <w:sz w:val="16"/>
                <w:szCs w:val="16"/>
              </w:rPr>
              <w:t xml:space="preserve"> Proposed/Expected Level</w:t>
            </w:r>
          </w:p>
        </w:tc>
        <w:tc>
          <w:tcPr>
            <w:tcW w:w="1870" w:type="dxa"/>
          </w:tcPr>
          <w:p w14:paraId="56E605A2" w14:textId="77777777" w:rsidR="00600A6C" w:rsidRPr="0065710A" w:rsidRDefault="00600A6C" w:rsidP="00D63204">
            <w:pPr>
              <w:ind w:left="108"/>
              <w:rPr>
                <w:rFonts w:ascii="Arial" w:hAnsi="Arial" w:cs="Arial"/>
                <w:b/>
                <w:sz w:val="16"/>
                <w:szCs w:val="16"/>
              </w:rPr>
            </w:pPr>
            <w:r>
              <w:rPr>
                <w:rFonts w:ascii="Arial" w:hAnsi="Arial" w:cs="Arial"/>
                <w:b/>
                <w:sz w:val="16"/>
                <w:szCs w:val="16"/>
              </w:rPr>
              <w:t>2019</w:t>
            </w:r>
            <w:r w:rsidRPr="0065710A">
              <w:rPr>
                <w:rFonts w:ascii="Arial" w:hAnsi="Arial" w:cs="Arial"/>
                <w:b/>
                <w:sz w:val="16"/>
                <w:szCs w:val="16"/>
              </w:rPr>
              <w:t xml:space="preserve"> Negotiated/Adjusted Level</w:t>
            </w:r>
          </w:p>
        </w:tc>
      </w:tr>
      <w:tr w:rsidR="00600A6C" w:rsidRPr="0065710A" w14:paraId="5DB2A0DE" w14:textId="77777777" w:rsidTr="002E5578">
        <w:tc>
          <w:tcPr>
            <w:tcW w:w="1870" w:type="dxa"/>
            <w:shd w:val="clear" w:color="auto" w:fill="D9D9D9" w:themeFill="background1" w:themeFillShade="D9"/>
          </w:tcPr>
          <w:p w14:paraId="450D3E2D" w14:textId="77777777" w:rsidR="00600A6C" w:rsidRPr="0065710A" w:rsidRDefault="00600A6C" w:rsidP="002E5578">
            <w:pPr>
              <w:ind w:left="108"/>
              <w:rPr>
                <w:rFonts w:ascii="Arial" w:hAnsi="Arial" w:cs="Arial"/>
                <w:sz w:val="16"/>
                <w:szCs w:val="16"/>
              </w:rPr>
            </w:pPr>
            <w:r>
              <w:rPr>
                <w:rFonts w:ascii="Arial" w:hAnsi="Arial" w:cs="Arial"/>
                <w:sz w:val="16"/>
                <w:szCs w:val="16"/>
              </w:rPr>
              <w:t>Adults</w:t>
            </w:r>
          </w:p>
        </w:tc>
        <w:tc>
          <w:tcPr>
            <w:tcW w:w="1870" w:type="dxa"/>
            <w:shd w:val="clear" w:color="auto" w:fill="D9D9D9" w:themeFill="background1" w:themeFillShade="D9"/>
          </w:tcPr>
          <w:p w14:paraId="2817150C" w14:textId="77777777" w:rsidR="00600A6C" w:rsidRPr="0065710A" w:rsidRDefault="00600A6C" w:rsidP="00D63204">
            <w:pPr>
              <w:ind w:left="108"/>
              <w:rPr>
                <w:rFonts w:ascii="Arial" w:hAnsi="Arial" w:cs="Arial"/>
                <w:sz w:val="16"/>
                <w:szCs w:val="16"/>
              </w:rPr>
            </w:pPr>
            <w:r>
              <w:rPr>
                <w:rFonts w:ascii="Arial" w:hAnsi="Arial" w:cs="Arial"/>
                <w:sz w:val="16"/>
                <w:szCs w:val="16"/>
              </w:rPr>
              <w:t>85%</w:t>
            </w:r>
          </w:p>
        </w:tc>
        <w:tc>
          <w:tcPr>
            <w:tcW w:w="1870" w:type="dxa"/>
            <w:shd w:val="clear" w:color="auto" w:fill="D9D9D9" w:themeFill="background1" w:themeFillShade="D9"/>
          </w:tcPr>
          <w:p w14:paraId="188F38E4" w14:textId="77777777" w:rsidR="00600A6C" w:rsidRPr="0065710A" w:rsidRDefault="00600A6C" w:rsidP="00D63204">
            <w:pPr>
              <w:ind w:left="108"/>
              <w:rPr>
                <w:rFonts w:ascii="Arial" w:hAnsi="Arial" w:cs="Arial"/>
                <w:sz w:val="16"/>
                <w:szCs w:val="16"/>
              </w:rPr>
            </w:pPr>
          </w:p>
        </w:tc>
        <w:tc>
          <w:tcPr>
            <w:tcW w:w="1870" w:type="dxa"/>
            <w:shd w:val="clear" w:color="auto" w:fill="D9D9D9" w:themeFill="background1" w:themeFillShade="D9"/>
          </w:tcPr>
          <w:p w14:paraId="498639E6" w14:textId="77777777" w:rsidR="00600A6C" w:rsidRPr="0065710A" w:rsidRDefault="00600A6C" w:rsidP="00D63204">
            <w:pPr>
              <w:ind w:left="108"/>
              <w:rPr>
                <w:rFonts w:ascii="Arial" w:hAnsi="Arial" w:cs="Arial"/>
                <w:sz w:val="16"/>
                <w:szCs w:val="16"/>
              </w:rPr>
            </w:pPr>
            <w:r>
              <w:rPr>
                <w:rFonts w:ascii="Arial" w:hAnsi="Arial" w:cs="Arial"/>
                <w:sz w:val="16"/>
                <w:szCs w:val="16"/>
              </w:rPr>
              <w:t>85%</w:t>
            </w:r>
          </w:p>
        </w:tc>
        <w:tc>
          <w:tcPr>
            <w:tcW w:w="1870" w:type="dxa"/>
            <w:shd w:val="clear" w:color="auto" w:fill="D9D9D9" w:themeFill="background1" w:themeFillShade="D9"/>
          </w:tcPr>
          <w:p w14:paraId="3D6819CD" w14:textId="77777777" w:rsidR="00600A6C" w:rsidRPr="0065710A" w:rsidRDefault="00600A6C" w:rsidP="00D63204">
            <w:pPr>
              <w:ind w:left="108"/>
              <w:rPr>
                <w:rFonts w:ascii="Arial" w:hAnsi="Arial" w:cs="Arial"/>
                <w:sz w:val="16"/>
                <w:szCs w:val="16"/>
              </w:rPr>
            </w:pPr>
          </w:p>
        </w:tc>
      </w:tr>
      <w:tr w:rsidR="00600A6C" w:rsidRPr="0065710A" w14:paraId="4DCDD1C6" w14:textId="77777777" w:rsidTr="002E5578">
        <w:tc>
          <w:tcPr>
            <w:tcW w:w="1870" w:type="dxa"/>
          </w:tcPr>
          <w:p w14:paraId="28D244DC" w14:textId="77777777" w:rsidR="00600A6C" w:rsidRPr="0065710A" w:rsidRDefault="00600A6C" w:rsidP="002E5578">
            <w:pPr>
              <w:ind w:left="108"/>
              <w:rPr>
                <w:rFonts w:ascii="Arial" w:hAnsi="Arial" w:cs="Arial"/>
                <w:sz w:val="16"/>
                <w:szCs w:val="16"/>
              </w:rPr>
            </w:pPr>
            <w:r>
              <w:rPr>
                <w:rFonts w:ascii="Arial" w:hAnsi="Arial" w:cs="Arial"/>
                <w:sz w:val="16"/>
                <w:szCs w:val="16"/>
              </w:rPr>
              <w:t>Dislocated Workers</w:t>
            </w:r>
          </w:p>
        </w:tc>
        <w:tc>
          <w:tcPr>
            <w:tcW w:w="1870" w:type="dxa"/>
          </w:tcPr>
          <w:p w14:paraId="25A86817" w14:textId="77777777" w:rsidR="00600A6C" w:rsidRPr="0065710A" w:rsidRDefault="00600A6C" w:rsidP="00D63204">
            <w:pPr>
              <w:ind w:left="108"/>
              <w:rPr>
                <w:rFonts w:ascii="Arial" w:hAnsi="Arial" w:cs="Arial"/>
                <w:sz w:val="16"/>
                <w:szCs w:val="16"/>
              </w:rPr>
            </w:pPr>
            <w:r>
              <w:rPr>
                <w:rFonts w:ascii="Arial" w:hAnsi="Arial" w:cs="Arial"/>
                <w:sz w:val="16"/>
                <w:szCs w:val="16"/>
              </w:rPr>
              <w:t>79%</w:t>
            </w:r>
          </w:p>
        </w:tc>
        <w:tc>
          <w:tcPr>
            <w:tcW w:w="1870" w:type="dxa"/>
          </w:tcPr>
          <w:p w14:paraId="48AE0EB9" w14:textId="77777777" w:rsidR="00600A6C" w:rsidRPr="0065710A" w:rsidRDefault="00600A6C" w:rsidP="00D63204">
            <w:pPr>
              <w:ind w:left="108"/>
              <w:rPr>
                <w:rFonts w:ascii="Arial" w:hAnsi="Arial" w:cs="Arial"/>
                <w:sz w:val="16"/>
                <w:szCs w:val="16"/>
              </w:rPr>
            </w:pPr>
          </w:p>
        </w:tc>
        <w:tc>
          <w:tcPr>
            <w:tcW w:w="1870" w:type="dxa"/>
          </w:tcPr>
          <w:p w14:paraId="5877BD47" w14:textId="77777777" w:rsidR="00600A6C" w:rsidRPr="0065710A" w:rsidRDefault="00600A6C" w:rsidP="00D63204">
            <w:pPr>
              <w:ind w:left="108"/>
              <w:rPr>
                <w:rFonts w:ascii="Arial" w:hAnsi="Arial" w:cs="Arial"/>
                <w:sz w:val="16"/>
                <w:szCs w:val="16"/>
              </w:rPr>
            </w:pPr>
            <w:r>
              <w:rPr>
                <w:rFonts w:ascii="Arial" w:hAnsi="Arial" w:cs="Arial"/>
                <w:sz w:val="16"/>
                <w:szCs w:val="16"/>
              </w:rPr>
              <w:t>79%</w:t>
            </w:r>
          </w:p>
        </w:tc>
        <w:tc>
          <w:tcPr>
            <w:tcW w:w="1870" w:type="dxa"/>
          </w:tcPr>
          <w:p w14:paraId="04A5201E" w14:textId="77777777" w:rsidR="00600A6C" w:rsidRPr="0065710A" w:rsidRDefault="00600A6C" w:rsidP="00D63204">
            <w:pPr>
              <w:ind w:left="108"/>
              <w:rPr>
                <w:rFonts w:ascii="Arial" w:hAnsi="Arial" w:cs="Arial"/>
                <w:sz w:val="16"/>
                <w:szCs w:val="16"/>
              </w:rPr>
            </w:pPr>
          </w:p>
        </w:tc>
      </w:tr>
      <w:tr w:rsidR="00600A6C" w:rsidRPr="0065710A" w14:paraId="7660E296" w14:textId="77777777" w:rsidTr="002E5578">
        <w:tc>
          <w:tcPr>
            <w:tcW w:w="1870" w:type="dxa"/>
            <w:shd w:val="clear" w:color="auto" w:fill="D9D9D9" w:themeFill="background1" w:themeFillShade="D9"/>
          </w:tcPr>
          <w:p w14:paraId="6BF57F94" w14:textId="77777777" w:rsidR="00600A6C" w:rsidRPr="0065710A" w:rsidRDefault="00600A6C" w:rsidP="002E5578">
            <w:pPr>
              <w:ind w:left="108"/>
              <w:rPr>
                <w:rFonts w:ascii="Arial" w:hAnsi="Arial" w:cs="Arial"/>
                <w:sz w:val="16"/>
                <w:szCs w:val="16"/>
              </w:rPr>
            </w:pPr>
            <w:r>
              <w:rPr>
                <w:rFonts w:ascii="Arial" w:hAnsi="Arial" w:cs="Arial"/>
                <w:sz w:val="16"/>
                <w:szCs w:val="16"/>
              </w:rPr>
              <w:t>Youth</w:t>
            </w:r>
          </w:p>
        </w:tc>
        <w:tc>
          <w:tcPr>
            <w:tcW w:w="1870" w:type="dxa"/>
            <w:shd w:val="clear" w:color="auto" w:fill="D9D9D9" w:themeFill="background1" w:themeFillShade="D9"/>
          </w:tcPr>
          <w:p w14:paraId="442C4B20" w14:textId="77777777" w:rsidR="00600A6C" w:rsidRPr="0065710A" w:rsidRDefault="00600A6C" w:rsidP="00D63204">
            <w:pPr>
              <w:ind w:left="108"/>
              <w:rPr>
                <w:rFonts w:ascii="Arial" w:hAnsi="Arial" w:cs="Arial"/>
                <w:sz w:val="16"/>
                <w:szCs w:val="16"/>
              </w:rPr>
            </w:pPr>
            <w:r>
              <w:rPr>
                <w:rFonts w:ascii="Arial" w:hAnsi="Arial" w:cs="Arial"/>
                <w:sz w:val="16"/>
                <w:szCs w:val="16"/>
              </w:rPr>
              <w:t>69%</w:t>
            </w:r>
          </w:p>
        </w:tc>
        <w:tc>
          <w:tcPr>
            <w:tcW w:w="1870" w:type="dxa"/>
            <w:shd w:val="clear" w:color="auto" w:fill="D9D9D9" w:themeFill="background1" w:themeFillShade="D9"/>
          </w:tcPr>
          <w:p w14:paraId="724AD5ED" w14:textId="77777777" w:rsidR="00600A6C" w:rsidRPr="0065710A" w:rsidRDefault="00600A6C" w:rsidP="00D63204">
            <w:pPr>
              <w:ind w:left="108"/>
              <w:rPr>
                <w:rFonts w:ascii="Arial" w:hAnsi="Arial" w:cs="Arial"/>
                <w:sz w:val="16"/>
                <w:szCs w:val="16"/>
              </w:rPr>
            </w:pPr>
          </w:p>
        </w:tc>
        <w:tc>
          <w:tcPr>
            <w:tcW w:w="1870" w:type="dxa"/>
            <w:shd w:val="clear" w:color="auto" w:fill="D9D9D9" w:themeFill="background1" w:themeFillShade="D9"/>
          </w:tcPr>
          <w:p w14:paraId="3BFDD3FE" w14:textId="77777777" w:rsidR="00600A6C" w:rsidRPr="0065710A" w:rsidRDefault="00600A6C" w:rsidP="00D63204">
            <w:pPr>
              <w:ind w:left="108"/>
              <w:rPr>
                <w:rFonts w:ascii="Arial" w:hAnsi="Arial" w:cs="Arial"/>
                <w:sz w:val="16"/>
                <w:szCs w:val="16"/>
              </w:rPr>
            </w:pPr>
            <w:r>
              <w:rPr>
                <w:rFonts w:ascii="Arial" w:hAnsi="Arial" w:cs="Arial"/>
                <w:sz w:val="16"/>
                <w:szCs w:val="16"/>
              </w:rPr>
              <w:t>69%</w:t>
            </w:r>
          </w:p>
        </w:tc>
        <w:tc>
          <w:tcPr>
            <w:tcW w:w="1870" w:type="dxa"/>
            <w:shd w:val="clear" w:color="auto" w:fill="D9D9D9" w:themeFill="background1" w:themeFillShade="D9"/>
          </w:tcPr>
          <w:p w14:paraId="13BA8A86" w14:textId="77777777" w:rsidR="00600A6C" w:rsidRPr="0065710A" w:rsidRDefault="00600A6C" w:rsidP="00D63204">
            <w:pPr>
              <w:ind w:left="108"/>
              <w:rPr>
                <w:rFonts w:ascii="Arial" w:hAnsi="Arial" w:cs="Arial"/>
                <w:sz w:val="16"/>
                <w:szCs w:val="16"/>
              </w:rPr>
            </w:pPr>
          </w:p>
        </w:tc>
      </w:tr>
      <w:tr w:rsidR="00600A6C" w:rsidRPr="0065710A" w14:paraId="7B0FBE1F" w14:textId="77777777" w:rsidTr="002E5578">
        <w:tc>
          <w:tcPr>
            <w:tcW w:w="1870" w:type="dxa"/>
          </w:tcPr>
          <w:p w14:paraId="7DE17F43" w14:textId="77777777" w:rsidR="00600A6C" w:rsidRPr="0065710A" w:rsidRDefault="00600A6C" w:rsidP="002E5578">
            <w:pPr>
              <w:ind w:left="108"/>
              <w:rPr>
                <w:rFonts w:ascii="Arial" w:hAnsi="Arial" w:cs="Arial"/>
                <w:sz w:val="16"/>
                <w:szCs w:val="16"/>
              </w:rPr>
            </w:pPr>
            <w:r>
              <w:rPr>
                <w:rFonts w:ascii="Arial" w:hAnsi="Arial" w:cs="Arial"/>
                <w:sz w:val="16"/>
                <w:szCs w:val="16"/>
              </w:rPr>
              <w:t>Adult Education</w:t>
            </w:r>
          </w:p>
        </w:tc>
        <w:tc>
          <w:tcPr>
            <w:tcW w:w="1870" w:type="dxa"/>
          </w:tcPr>
          <w:p w14:paraId="4EDC2766" w14:textId="77777777" w:rsidR="00600A6C" w:rsidRPr="0065710A" w:rsidRDefault="00600A6C" w:rsidP="00D63204">
            <w:pPr>
              <w:ind w:left="108"/>
              <w:rPr>
                <w:rFonts w:ascii="Arial" w:hAnsi="Arial" w:cs="Arial"/>
                <w:sz w:val="16"/>
                <w:szCs w:val="16"/>
              </w:rPr>
            </w:pPr>
            <w:r>
              <w:rPr>
                <w:rFonts w:ascii="Arial" w:hAnsi="Arial" w:cs="Arial"/>
                <w:sz w:val="16"/>
                <w:szCs w:val="16"/>
              </w:rPr>
              <w:t>TBD</w:t>
            </w:r>
          </w:p>
        </w:tc>
        <w:tc>
          <w:tcPr>
            <w:tcW w:w="1870" w:type="dxa"/>
          </w:tcPr>
          <w:p w14:paraId="6EE049D8" w14:textId="77777777" w:rsidR="00600A6C" w:rsidRPr="0065710A" w:rsidRDefault="00600A6C" w:rsidP="00D63204">
            <w:pPr>
              <w:ind w:left="108"/>
              <w:rPr>
                <w:rFonts w:ascii="Arial" w:hAnsi="Arial" w:cs="Arial"/>
                <w:sz w:val="16"/>
                <w:szCs w:val="16"/>
              </w:rPr>
            </w:pPr>
          </w:p>
        </w:tc>
        <w:tc>
          <w:tcPr>
            <w:tcW w:w="1870" w:type="dxa"/>
          </w:tcPr>
          <w:p w14:paraId="2D7DE2D9" w14:textId="77777777" w:rsidR="00600A6C" w:rsidRPr="0065710A" w:rsidRDefault="00600A6C" w:rsidP="00D63204">
            <w:pPr>
              <w:ind w:left="108"/>
              <w:rPr>
                <w:rFonts w:ascii="Arial" w:hAnsi="Arial" w:cs="Arial"/>
                <w:sz w:val="16"/>
                <w:szCs w:val="16"/>
              </w:rPr>
            </w:pPr>
            <w:r>
              <w:rPr>
                <w:rFonts w:ascii="Arial" w:hAnsi="Arial" w:cs="Arial"/>
                <w:sz w:val="16"/>
                <w:szCs w:val="16"/>
              </w:rPr>
              <w:t>TBD</w:t>
            </w:r>
          </w:p>
        </w:tc>
        <w:tc>
          <w:tcPr>
            <w:tcW w:w="1870" w:type="dxa"/>
          </w:tcPr>
          <w:p w14:paraId="51747094" w14:textId="77777777" w:rsidR="00600A6C" w:rsidRPr="0065710A" w:rsidRDefault="00600A6C" w:rsidP="00D63204">
            <w:pPr>
              <w:ind w:left="108"/>
              <w:rPr>
                <w:rFonts w:ascii="Arial" w:hAnsi="Arial" w:cs="Arial"/>
                <w:sz w:val="16"/>
                <w:szCs w:val="16"/>
              </w:rPr>
            </w:pPr>
          </w:p>
        </w:tc>
      </w:tr>
      <w:tr w:rsidR="00600A6C" w:rsidRPr="0065710A" w14:paraId="37BF0B31" w14:textId="77777777" w:rsidTr="002E5578">
        <w:tc>
          <w:tcPr>
            <w:tcW w:w="1870" w:type="dxa"/>
            <w:shd w:val="clear" w:color="auto" w:fill="D9D9D9" w:themeFill="background1" w:themeFillShade="D9"/>
          </w:tcPr>
          <w:p w14:paraId="25FD9BBB" w14:textId="77777777" w:rsidR="00600A6C" w:rsidRPr="0065710A" w:rsidRDefault="00600A6C" w:rsidP="002E5578">
            <w:pPr>
              <w:ind w:left="108"/>
              <w:rPr>
                <w:rFonts w:ascii="Arial" w:hAnsi="Arial" w:cs="Arial"/>
                <w:sz w:val="16"/>
                <w:szCs w:val="16"/>
              </w:rPr>
            </w:pPr>
            <w:r>
              <w:rPr>
                <w:rFonts w:ascii="Arial" w:hAnsi="Arial" w:cs="Arial"/>
                <w:sz w:val="16"/>
                <w:szCs w:val="16"/>
              </w:rPr>
              <w:t>Wagner-Peyser</w:t>
            </w:r>
          </w:p>
        </w:tc>
        <w:tc>
          <w:tcPr>
            <w:tcW w:w="1870" w:type="dxa"/>
            <w:shd w:val="clear" w:color="auto" w:fill="D9D9D9" w:themeFill="background1" w:themeFillShade="D9"/>
          </w:tcPr>
          <w:p w14:paraId="0D4C2124" w14:textId="77777777" w:rsidR="00600A6C" w:rsidRPr="0065710A" w:rsidRDefault="00600A6C" w:rsidP="00D63204">
            <w:pPr>
              <w:ind w:left="108"/>
              <w:rPr>
                <w:rFonts w:ascii="Arial" w:hAnsi="Arial" w:cs="Arial"/>
                <w:sz w:val="16"/>
                <w:szCs w:val="16"/>
              </w:rPr>
            </w:pPr>
            <w:r>
              <w:rPr>
                <w:rFonts w:ascii="Arial" w:hAnsi="Arial" w:cs="Arial"/>
                <w:sz w:val="16"/>
                <w:szCs w:val="16"/>
              </w:rPr>
              <w:t>64%</w:t>
            </w:r>
          </w:p>
        </w:tc>
        <w:tc>
          <w:tcPr>
            <w:tcW w:w="1870" w:type="dxa"/>
            <w:shd w:val="clear" w:color="auto" w:fill="D9D9D9" w:themeFill="background1" w:themeFillShade="D9"/>
          </w:tcPr>
          <w:p w14:paraId="3CA00B24" w14:textId="77777777" w:rsidR="00600A6C" w:rsidRPr="0065710A" w:rsidRDefault="00600A6C" w:rsidP="00D63204">
            <w:pPr>
              <w:ind w:left="108"/>
              <w:rPr>
                <w:rFonts w:ascii="Arial" w:hAnsi="Arial" w:cs="Arial"/>
                <w:sz w:val="16"/>
                <w:szCs w:val="16"/>
              </w:rPr>
            </w:pPr>
          </w:p>
        </w:tc>
        <w:tc>
          <w:tcPr>
            <w:tcW w:w="1870" w:type="dxa"/>
            <w:shd w:val="clear" w:color="auto" w:fill="D9D9D9" w:themeFill="background1" w:themeFillShade="D9"/>
          </w:tcPr>
          <w:p w14:paraId="62D82C3B" w14:textId="77777777" w:rsidR="00600A6C" w:rsidRPr="0065710A" w:rsidRDefault="00600A6C" w:rsidP="00D63204">
            <w:pPr>
              <w:ind w:left="108"/>
              <w:rPr>
                <w:rFonts w:ascii="Arial" w:hAnsi="Arial" w:cs="Arial"/>
                <w:sz w:val="16"/>
                <w:szCs w:val="16"/>
              </w:rPr>
            </w:pPr>
            <w:r>
              <w:rPr>
                <w:rFonts w:ascii="Arial" w:hAnsi="Arial" w:cs="Arial"/>
                <w:sz w:val="16"/>
                <w:szCs w:val="16"/>
              </w:rPr>
              <w:t>64%</w:t>
            </w:r>
          </w:p>
        </w:tc>
        <w:tc>
          <w:tcPr>
            <w:tcW w:w="1870" w:type="dxa"/>
            <w:shd w:val="clear" w:color="auto" w:fill="D9D9D9" w:themeFill="background1" w:themeFillShade="D9"/>
          </w:tcPr>
          <w:p w14:paraId="1A25D091" w14:textId="77777777" w:rsidR="00600A6C" w:rsidRPr="0065710A" w:rsidRDefault="00600A6C" w:rsidP="00D63204">
            <w:pPr>
              <w:ind w:left="108"/>
              <w:rPr>
                <w:rFonts w:ascii="Arial" w:hAnsi="Arial" w:cs="Arial"/>
                <w:sz w:val="16"/>
                <w:szCs w:val="16"/>
              </w:rPr>
            </w:pPr>
          </w:p>
        </w:tc>
      </w:tr>
      <w:tr w:rsidR="00600A6C" w:rsidRPr="0065710A" w14:paraId="6EE3F8DC" w14:textId="77777777" w:rsidTr="002E5578">
        <w:tc>
          <w:tcPr>
            <w:tcW w:w="1870" w:type="dxa"/>
          </w:tcPr>
          <w:p w14:paraId="371D1957" w14:textId="77777777" w:rsidR="00600A6C" w:rsidRPr="0065710A" w:rsidRDefault="00600A6C" w:rsidP="002E5578">
            <w:pPr>
              <w:ind w:left="108"/>
              <w:rPr>
                <w:rFonts w:ascii="Arial" w:hAnsi="Arial" w:cs="Arial"/>
                <w:sz w:val="16"/>
                <w:szCs w:val="16"/>
              </w:rPr>
            </w:pPr>
            <w:r>
              <w:rPr>
                <w:rFonts w:ascii="Arial" w:hAnsi="Arial" w:cs="Arial"/>
                <w:sz w:val="16"/>
                <w:szCs w:val="16"/>
              </w:rPr>
              <w:t>Vocational Rehabilitation</w:t>
            </w:r>
          </w:p>
        </w:tc>
        <w:tc>
          <w:tcPr>
            <w:tcW w:w="1870" w:type="dxa"/>
          </w:tcPr>
          <w:p w14:paraId="7261DD78" w14:textId="77777777" w:rsidR="00600A6C" w:rsidRPr="0065710A" w:rsidRDefault="00600A6C" w:rsidP="00D63204">
            <w:pPr>
              <w:ind w:left="108"/>
              <w:rPr>
                <w:rFonts w:ascii="Arial" w:hAnsi="Arial" w:cs="Arial"/>
                <w:sz w:val="16"/>
                <w:szCs w:val="16"/>
              </w:rPr>
            </w:pPr>
            <w:r>
              <w:rPr>
                <w:rFonts w:ascii="Arial" w:hAnsi="Arial" w:cs="Arial"/>
                <w:sz w:val="16"/>
                <w:szCs w:val="16"/>
              </w:rPr>
              <w:t>TBD</w:t>
            </w:r>
          </w:p>
        </w:tc>
        <w:tc>
          <w:tcPr>
            <w:tcW w:w="1870" w:type="dxa"/>
          </w:tcPr>
          <w:p w14:paraId="2F7A2DA5" w14:textId="77777777" w:rsidR="00600A6C" w:rsidRPr="0065710A" w:rsidRDefault="00600A6C" w:rsidP="00D63204">
            <w:pPr>
              <w:ind w:left="108"/>
              <w:rPr>
                <w:rFonts w:ascii="Arial" w:hAnsi="Arial" w:cs="Arial"/>
                <w:sz w:val="16"/>
                <w:szCs w:val="16"/>
              </w:rPr>
            </w:pPr>
          </w:p>
        </w:tc>
        <w:tc>
          <w:tcPr>
            <w:tcW w:w="1870" w:type="dxa"/>
          </w:tcPr>
          <w:p w14:paraId="7D35DFE4" w14:textId="77777777" w:rsidR="00600A6C" w:rsidRPr="0065710A" w:rsidRDefault="00600A6C" w:rsidP="00D63204">
            <w:pPr>
              <w:ind w:left="108"/>
              <w:rPr>
                <w:rFonts w:ascii="Arial" w:hAnsi="Arial" w:cs="Arial"/>
                <w:sz w:val="16"/>
                <w:szCs w:val="16"/>
              </w:rPr>
            </w:pPr>
            <w:r>
              <w:rPr>
                <w:rFonts w:ascii="Arial" w:hAnsi="Arial" w:cs="Arial"/>
                <w:sz w:val="16"/>
                <w:szCs w:val="16"/>
              </w:rPr>
              <w:t>TBD</w:t>
            </w:r>
          </w:p>
        </w:tc>
        <w:tc>
          <w:tcPr>
            <w:tcW w:w="1870" w:type="dxa"/>
          </w:tcPr>
          <w:p w14:paraId="16DB1C93" w14:textId="77777777" w:rsidR="00600A6C" w:rsidRPr="0065710A" w:rsidRDefault="00600A6C" w:rsidP="00D63204">
            <w:pPr>
              <w:ind w:left="108"/>
              <w:rPr>
                <w:rFonts w:ascii="Arial" w:hAnsi="Arial" w:cs="Arial"/>
                <w:sz w:val="16"/>
                <w:szCs w:val="16"/>
              </w:rPr>
            </w:pPr>
          </w:p>
        </w:tc>
      </w:tr>
    </w:tbl>
    <w:p w14:paraId="3ACEF85F" w14:textId="77777777" w:rsidR="00600A6C" w:rsidRDefault="00600A6C" w:rsidP="00600A6C">
      <w:pPr>
        <w:ind w:left="108"/>
        <w:rPr>
          <w:rFonts w:ascii="Arial" w:hAnsi="Arial" w:cs="Arial"/>
          <w:sz w:val="16"/>
          <w:szCs w:val="16"/>
        </w:rPr>
      </w:pPr>
    </w:p>
    <w:tbl>
      <w:tblPr>
        <w:tblStyle w:val="TableGrid"/>
        <w:tblW w:w="0" w:type="auto"/>
        <w:tblLook w:val="04A0" w:firstRow="1" w:lastRow="0" w:firstColumn="1" w:lastColumn="0" w:noHBand="0" w:noVBand="1"/>
      </w:tblPr>
      <w:tblGrid>
        <w:gridCol w:w="1870"/>
        <w:gridCol w:w="1870"/>
        <w:gridCol w:w="1880"/>
        <w:gridCol w:w="1870"/>
        <w:gridCol w:w="1880"/>
      </w:tblGrid>
      <w:tr w:rsidR="00600A6C" w:rsidRPr="0065710A" w14:paraId="49F30FEB" w14:textId="77777777" w:rsidTr="002E5578">
        <w:trPr>
          <w:tblHeader/>
        </w:trPr>
        <w:tc>
          <w:tcPr>
            <w:tcW w:w="1870" w:type="dxa"/>
          </w:tcPr>
          <w:p w14:paraId="311B3672" w14:textId="77777777" w:rsidR="00600A6C" w:rsidRPr="0065710A" w:rsidRDefault="00600A6C" w:rsidP="002E5578">
            <w:pPr>
              <w:ind w:left="108"/>
              <w:rPr>
                <w:rFonts w:ascii="Arial" w:hAnsi="Arial" w:cs="Arial"/>
                <w:b/>
                <w:sz w:val="16"/>
                <w:szCs w:val="16"/>
              </w:rPr>
            </w:pPr>
            <w:r>
              <w:rPr>
                <w:rFonts w:ascii="Arial" w:hAnsi="Arial" w:cs="Arial"/>
                <w:b/>
                <w:sz w:val="16"/>
                <w:szCs w:val="16"/>
              </w:rPr>
              <w:t>Median Earnings 2</w:t>
            </w:r>
            <w:r w:rsidRPr="00CA6207">
              <w:rPr>
                <w:rFonts w:ascii="Arial" w:hAnsi="Arial" w:cs="Arial"/>
                <w:b/>
                <w:sz w:val="16"/>
                <w:szCs w:val="16"/>
                <w:vertAlign w:val="superscript"/>
              </w:rPr>
              <w:t>nd</w:t>
            </w:r>
            <w:r>
              <w:rPr>
                <w:rFonts w:ascii="Arial" w:hAnsi="Arial" w:cs="Arial"/>
                <w:b/>
                <w:sz w:val="16"/>
                <w:szCs w:val="16"/>
              </w:rPr>
              <w:t xml:space="preserve"> Quarter After Exit</w:t>
            </w:r>
          </w:p>
        </w:tc>
        <w:tc>
          <w:tcPr>
            <w:tcW w:w="1870" w:type="dxa"/>
          </w:tcPr>
          <w:p w14:paraId="7C047666" w14:textId="77777777" w:rsidR="00600A6C" w:rsidRPr="0065710A" w:rsidRDefault="00600A6C" w:rsidP="00D63204">
            <w:pPr>
              <w:ind w:left="108"/>
              <w:rPr>
                <w:rFonts w:ascii="Arial" w:hAnsi="Arial" w:cs="Arial"/>
                <w:b/>
                <w:sz w:val="16"/>
                <w:szCs w:val="16"/>
              </w:rPr>
            </w:pPr>
            <w:r>
              <w:rPr>
                <w:rFonts w:ascii="Arial" w:hAnsi="Arial" w:cs="Arial"/>
                <w:b/>
                <w:sz w:val="16"/>
                <w:szCs w:val="16"/>
              </w:rPr>
              <w:t>2018</w:t>
            </w:r>
            <w:r w:rsidRPr="0065710A">
              <w:rPr>
                <w:rFonts w:ascii="Arial" w:hAnsi="Arial" w:cs="Arial"/>
                <w:b/>
                <w:sz w:val="16"/>
                <w:szCs w:val="16"/>
              </w:rPr>
              <w:t xml:space="preserve"> Proposed/Expected Level</w:t>
            </w:r>
          </w:p>
        </w:tc>
        <w:tc>
          <w:tcPr>
            <w:tcW w:w="1870" w:type="dxa"/>
          </w:tcPr>
          <w:p w14:paraId="523F0FBB" w14:textId="77777777" w:rsidR="00600A6C" w:rsidRDefault="00600A6C" w:rsidP="00D63204">
            <w:pPr>
              <w:ind w:left="108"/>
              <w:rPr>
                <w:rFonts w:ascii="Arial" w:hAnsi="Arial" w:cs="Arial"/>
                <w:b/>
                <w:sz w:val="16"/>
                <w:szCs w:val="16"/>
              </w:rPr>
            </w:pPr>
            <w:r>
              <w:rPr>
                <w:rFonts w:ascii="Arial" w:hAnsi="Arial" w:cs="Arial"/>
                <w:b/>
                <w:sz w:val="16"/>
                <w:szCs w:val="16"/>
              </w:rPr>
              <w:t>2018</w:t>
            </w:r>
          </w:p>
          <w:p w14:paraId="584B4955" w14:textId="77777777" w:rsidR="00600A6C" w:rsidRPr="0065710A" w:rsidRDefault="00600A6C" w:rsidP="00D63204">
            <w:pPr>
              <w:ind w:left="108"/>
              <w:rPr>
                <w:rFonts w:ascii="Arial" w:hAnsi="Arial" w:cs="Arial"/>
                <w:b/>
                <w:sz w:val="16"/>
                <w:szCs w:val="16"/>
              </w:rPr>
            </w:pPr>
            <w:r w:rsidRPr="0065710A">
              <w:rPr>
                <w:rFonts w:ascii="Arial" w:hAnsi="Arial" w:cs="Arial"/>
                <w:b/>
                <w:sz w:val="16"/>
                <w:szCs w:val="16"/>
              </w:rPr>
              <w:t>Negotiated/Adjusted Level</w:t>
            </w:r>
          </w:p>
        </w:tc>
        <w:tc>
          <w:tcPr>
            <w:tcW w:w="1870" w:type="dxa"/>
          </w:tcPr>
          <w:p w14:paraId="5B4917E5" w14:textId="77777777" w:rsidR="00600A6C" w:rsidRPr="0065710A" w:rsidRDefault="00600A6C" w:rsidP="00D63204">
            <w:pPr>
              <w:ind w:left="108"/>
              <w:rPr>
                <w:rFonts w:ascii="Arial" w:hAnsi="Arial" w:cs="Arial"/>
                <w:b/>
                <w:sz w:val="16"/>
                <w:szCs w:val="16"/>
              </w:rPr>
            </w:pPr>
            <w:r>
              <w:rPr>
                <w:rFonts w:ascii="Arial" w:hAnsi="Arial" w:cs="Arial"/>
                <w:b/>
                <w:sz w:val="16"/>
                <w:szCs w:val="16"/>
              </w:rPr>
              <w:t>20</w:t>
            </w:r>
            <w:r w:rsidRPr="0065710A">
              <w:rPr>
                <w:rFonts w:ascii="Arial" w:hAnsi="Arial" w:cs="Arial"/>
                <w:b/>
                <w:sz w:val="16"/>
                <w:szCs w:val="16"/>
              </w:rPr>
              <w:t>1</w:t>
            </w:r>
            <w:r>
              <w:rPr>
                <w:rFonts w:ascii="Arial" w:hAnsi="Arial" w:cs="Arial"/>
                <w:b/>
                <w:sz w:val="16"/>
                <w:szCs w:val="16"/>
              </w:rPr>
              <w:t>9</w:t>
            </w:r>
            <w:r w:rsidRPr="0065710A">
              <w:rPr>
                <w:rFonts w:ascii="Arial" w:hAnsi="Arial" w:cs="Arial"/>
                <w:b/>
                <w:sz w:val="16"/>
                <w:szCs w:val="16"/>
              </w:rPr>
              <w:t xml:space="preserve"> Proposed/Expected Level</w:t>
            </w:r>
          </w:p>
        </w:tc>
        <w:tc>
          <w:tcPr>
            <w:tcW w:w="1870" w:type="dxa"/>
          </w:tcPr>
          <w:p w14:paraId="1E269A1D" w14:textId="77777777" w:rsidR="00600A6C" w:rsidRPr="0065710A" w:rsidRDefault="00600A6C" w:rsidP="00D63204">
            <w:pPr>
              <w:ind w:left="108"/>
              <w:rPr>
                <w:rFonts w:ascii="Arial" w:hAnsi="Arial" w:cs="Arial"/>
                <w:b/>
                <w:sz w:val="16"/>
                <w:szCs w:val="16"/>
              </w:rPr>
            </w:pPr>
            <w:r>
              <w:rPr>
                <w:rFonts w:ascii="Arial" w:hAnsi="Arial" w:cs="Arial"/>
                <w:b/>
                <w:sz w:val="16"/>
                <w:szCs w:val="16"/>
              </w:rPr>
              <w:t>20</w:t>
            </w:r>
            <w:r w:rsidRPr="0065710A">
              <w:rPr>
                <w:rFonts w:ascii="Arial" w:hAnsi="Arial" w:cs="Arial"/>
                <w:b/>
                <w:sz w:val="16"/>
                <w:szCs w:val="16"/>
              </w:rPr>
              <w:t>1</w:t>
            </w:r>
            <w:r>
              <w:rPr>
                <w:rFonts w:ascii="Arial" w:hAnsi="Arial" w:cs="Arial"/>
                <w:b/>
                <w:sz w:val="16"/>
                <w:szCs w:val="16"/>
              </w:rPr>
              <w:t>9</w:t>
            </w:r>
            <w:r w:rsidRPr="0065710A">
              <w:rPr>
                <w:rFonts w:ascii="Arial" w:hAnsi="Arial" w:cs="Arial"/>
                <w:b/>
                <w:sz w:val="16"/>
                <w:szCs w:val="16"/>
              </w:rPr>
              <w:t xml:space="preserve"> Negotiated/Adjusted Level</w:t>
            </w:r>
          </w:p>
        </w:tc>
      </w:tr>
      <w:tr w:rsidR="00600A6C" w:rsidRPr="0065710A" w14:paraId="16DEAB88" w14:textId="77777777" w:rsidTr="002E5578">
        <w:tc>
          <w:tcPr>
            <w:tcW w:w="1870" w:type="dxa"/>
            <w:shd w:val="clear" w:color="auto" w:fill="D9D9D9" w:themeFill="background1" w:themeFillShade="D9"/>
          </w:tcPr>
          <w:p w14:paraId="0CB68BDB" w14:textId="77777777" w:rsidR="00600A6C" w:rsidRPr="0065710A" w:rsidRDefault="00600A6C" w:rsidP="002E5578">
            <w:pPr>
              <w:ind w:left="108"/>
              <w:rPr>
                <w:rFonts w:ascii="Arial" w:hAnsi="Arial" w:cs="Arial"/>
                <w:sz w:val="16"/>
                <w:szCs w:val="16"/>
              </w:rPr>
            </w:pPr>
            <w:r>
              <w:rPr>
                <w:rFonts w:ascii="Arial" w:hAnsi="Arial" w:cs="Arial"/>
                <w:sz w:val="16"/>
                <w:szCs w:val="16"/>
              </w:rPr>
              <w:t>Adults</w:t>
            </w:r>
          </w:p>
        </w:tc>
        <w:tc>
          <w:tcPr>
            <w:tcW w:w="1870" w:type="dxa"/>
            <w:shd w:val="clear" w:color="auto" w:fill="D9D9D9" w:themeFill="background1" w:themeFillShade="D9"/>
          </w:tcPr>
          <w:p w14:paraId="52201019" w14:textId="77777777" w:rsidR="00600A6C" w:rsidRPr="0065710A" w:rsidRDefault="00600A6C" w:rsidP="00D63204">
            <w:pPr>
              <w:ind w:left="108"/>
              <w:rPr>
                <w:rFonts w:ascii="Arial" w:hAnsi="Arial" w:cs="Arial"/>
                <w:sz w:val="16"/>
                <w:szCs w:val="16"/>
              </w:rPr>
            </w:pPr>
            <w:r>
              <w:rPr>
                <w:rFonts w:ascii="Arial" w:hAnsi="Arial" w:cs="Arial"/>
                <w:sz w:val="16"/>
                <w:szCs w:val="16"/>
              </w:rPr>
              <w:t>$6,850</w:t>
            </w:r>
          </w:p>
        </w:tc>
        <w:tc>
          <w:tcPr>
            <w:tcW w:w="1870" w:type="dxa"/>
            <w:shd w:val="clear" w:color="auto" w:fill="D9D9D9" w:themeFill="background1" w:themeFillShade="D9"/>
          </w:tcPr>
          <w:p w14:paraId="33166A1F" w14:textId="77777777" w:rsidR="00600A6C" w:rsidRPr="0065710A" w:rsidRDefault="00600A6C" w:rsidP="00D63204">
            <w:pPr>
              <w:ind w:left="108"/>
              <w:rPr>
                <w:rFonts w:ascii="Arial" w:hAnsi="Arial" w:cs="Arial"/>
                <w:sz w:val="16"/>
                <w:szCs w:val="16"/>
              </w:rPr>
            </w:pPr>
          </w:p>
        </w:tc>
        <w:tc>
          <w:tcPr>
            <w:tcW w:w="1870" w:type="dxa"/>
            <w:shd w:val="clear" w:color="auto" w:fill="D9D9D9" w:themeFill="background1" w:themeFillShade="D9"/>
          </w:tcPr>
          <w:p w14:paraId="7DF1F555" w14:textId="77777777" w:rsidR="00600A6C" w:rsidRPr="0065710A" w:rsidRDefault="00600A6C" w:rsidP="00D63204">
            <w:pPr>
              <w:ind w:left="108"/>
              <w:rPr>
                <w:rFonts w:ascii="Arial" w:hAnsi="Arial" w:cs="Arial"/>
                <w:sz w:val="16"/>
                <w:szCs w:val="16"/>
              </w:rPr>
            </w:pPr>
            <w:r>
              <w:rPr>
                <w:rFonts w:ascii="Arial" w:hAnsi="Arial" w:cs="Arial"/>
                <w:sz w:val="16"/>
                <w:szCs w:val="16"/>
              </w:rPr>
              <w:t>$6,850</w:t>
            </w:r>
          </w:p>
        </w:tc>
        <w:tc>
          <w:tcPr>
            <w:tcW w:w="1870" w:type="dxa"/>
            <w:shd w:val="clear" w:color="auto" w:fill="D9D9D9" w:themeFill="background1" w:themeFillShade="D9"/>
          </w:tcPr>
          <w:p w14:paraId="465DC86C" w14:textId="77777777" w:rsidR="00600A6C" w:rsidRPr="0065710A" w:rsidRDefault="00600A6C" w:rsidP="00D63204">
            <w:pPr>
              <w:ind w:left="108"/>
              <w:rPr>
                <w:rFonts w:ascii="Arial" w:hAnsi="Arial" w:cs="Arial"/>
                <w:sz w:val="16"/>
                <w:szCs w:val="16"/>
              </w:rPr>
            </w:pPr>
          </w:p>
        </w:tc>
      </w:tr>
      <w:tr w:rsidR="00600A6C" w:rsidRPr="0065710A" w14:paraId="699D87F2" w14:textId="77777777" w:rsidTr="002E5578">
        <w:tc>
          <w:tcPr>
            <w:tcW w:w="1870" w:type="dxa"/>
          </w:tcPr>
          <w:p w14:paraId="77674124" w14:textId="77777777" w:rsidR="00600A6C" w:rsidRPr="0065710A" w:rsidRDefault="00600A6C" w:rsidP="002E5578">
            <w:pPr>
              <w:ind w:left="108"/>
              <w:rPr>
                <w:rFonts w:ascii="Arial" w:hAnsi="Arial" w:cs="Arial"/>
                <w:sz w:val="16"/>
                <w:szCs w:val="16"/>
              </w:rPr>
            </w:pPr>
            <w:r>
              <w:rPr>
                <w:rFonts w:ascii="Arial" w:hAnsi="Arial" w:cs="Arial"/>
                <w:sz w:val="16"/>
                <w:szCs w:val="16"/>
              </w:rPr>
              <w:t>Dislocated Workers</w:t>
            </w:r>
          </w:p>
        </w:tc>
        <w:tc>
          <w:tcPr>
            <w:tcW w:w="1870" w:type="dxa"/>
          </w:tcPr>
          <w:p w14:paraId="4F3AFFE2" w14:textId="77777777" w:rsidR="00600A6C" w:rsidRPr="0065710A" w:rsidRDefault="00600A6C" w:rsidP="00D63204">
            <w:pPr>
              <w:ind w:left="108"/>
              <w:rPr>
                <w:rFonts w:ascii="Arial" w:hAnsi="Arial" w:cs="Arial"/>
                <w:sz w:val="16"/>
                <w:szCs w:val="16"/>
              </w:rPr>
            </w:pPr>
            <w:r>
              <w:rPr>
                <w:rFonts w:ascii="Arial" w:hAnsi="Arial" w:cs="Arial"/>
                <w:sz w:val="16"/>
                <w:szCs w:val="16"/>
              </w:rPr>
              <w:t>$6,850</w:t>
            </w:r>
          </w:p>
        </w:tc>
        <w:tc>
          <w:tcPr>
            <w:tcW w:w="1870" w:type="dxa"/>
          </w:tcPr>
          <w:p w14:paraId="25775A0B" w14:textId="77777777" w:rsidR="00600A6C" w:rsidRPr="0065710A" w:rsidRDefault="00600A6C" w:rsidP="00D63204">
            <w:pPr>
              <w:ind w:left="108"/>
              <w:rPr>
                <w:rFonts w:ascii="Arial" w:hAnsi="Arial" w:cs="Arial"/>
                <w:sz w:val="16"/>
                <w:szCs w:val="16"/>
              </w:rPr>
            </w:pPr>
          </w:p>
        </w:tc>
        <w:tc>
          <w:tcPr>
            <w:tcW w:w="1870" w:type="dxa"/>
          </w:tcPr>
          <w:p w14:paraId="6EC622C6" w14:textId="77777777" w:rsidR="00600A6C" w:rsidRPr="0065710A" w:rsidRDefault="00600A6C" w:rsidP="00D63204">
            <w:pPr>
              <w:ind w:left="108"/>
              <w:rPr>
                <w:rFonts w:ascii="Arial" w:hAnsi="Arial" w:cs="Arial"/>
                <w:sz w:val="16"/>
                <w:szCs w:val="16"/>
              </w:rPr>
            </w:pPr>
            <w:r>
              <w:rPr>
                <w:rFonts w:ascii="Arial" w:hAnsi="Arial" w:cs="Arial"/>
                <w:sz w:val="16"/>
                <w:szCs w:val="16"/>
              </w:rPr>
              <w:t>$6,850</w:t>
            </w:r>
          </w:p>
        </w:tc>
        <w:tc>
          <w:tcPr>
            <w:tcW w:w="1870" w:type="dxa"/>
          </w:tcPr>
          <w:p w14:paraId="4230EA69" w14:textId="77777777" w:rsidR="00600A6C" w:rsidRPr="0065710A" w:rsidRDefault="00600A6C" w:rsidP="00D63204">
            <w:pPr>
              <w:ind w:left="108"/>
              <w:rPr>
                <w:rFonts w:ascii="Arial" w:hAnsi="Arial" w:cs="Arial"/>
                <w:sz w:val="16"/>
                <w:szCs w:val="16"/>
              </w:rPr>
            </w:pPr>
          </w:p>
        </w:tc>
      </w:tr>
      <w:tr w:rsidR="00600A6C" w:rsidRPr="0065710A" w14:paraId="6A46FECD" w14:textId="77777777" w:rsidTr="002E5578">
        <w:tc>
          <w:tcPr>
            <w:tcW w:w="1870" w:type="dxa"/>
            <w:shd w:val="clear" w:color="auto" w:fill="D9D9D9" w:themeFill="background1" w:themeFillShade="D9"/>
          </w:tcPr>
          <w:p w14:paraId="5B754BE5" w14:textId="77777777" w:rsidR="00600A6C" w:rsidRPr="0065710A" w:rsidRDefault="00600A6C" w:rsidP="002E5578">
            <w:pPr>
              <w:ind w:left="108"/>
              <w:rPr>
                <w:rFonts w:ascii="Arial" w:hAnsi="Arial" w:cs="Arial"/>
                <w:sz w:val="16"/>
                <w:szCs w:val="16"/>
              </w:rPr>
            </w:pPr>
            <w:r>
              <w:rPr>
                <w:rFonts w:ascii="Arial" w:hAnsi="Arial" w:cs="Arial"/>
                <w:sz w:val="16"/>
                <w:szCs w:val="16"/>
              </w:rPr>
              <w:t>Youth</w:t>
            </w:r>
          </w:p>
        </w:tc>
        <w:tc>
          <w:tcPr>
            <w:tcW w:w="1870" w:type="dxa"/>
            <w:shd w:val="clear" w:color="auto" w:fill="D9D9D9" w:themeFill="background1" w:themeFillShade="D9"/>
          </w:tcPr>
          <w:p w14:paraId="3DED6922" w14:textId="77777777" w:rsidR="00600A6C" w:rsidRPr="0065710A" w:rsidRDefault="00600A6C" w:rsidP="00D63204">
            <w:pPr>
              <w:ind w:left="108"/>
              <w:rPr>
                <w:rFonts w:ascii="Arial" w:hAnsi="Arial" w:cs="Arial"/>
                <w:sz w:val="16"/>
                <w:szCs w:val="16"/>
              </w:rPr>
            </w:pPr>
            <w:r>
              <w:rPr>
                <w:rFonts w:ascii="Arial" w:hAnsi="Arial" w:cs="Arial"/>
                <w:sz w:val="16"/>
                <w:szCs w:val="16"/>
              </w:rPr>
              <w:t>TBD</w:t>
            </w:r>
          </w:p>
        </w:tc>
        <w:tc>
          <w:tcPr>
            <w:tcW w:w="1870" w:type="dxa"/>
            <w:shd w:val="clear" w:color="auto" w:fill="D9D9D9" w:themeFill="background1" w:themeFillShade="D9"/>
          </w:tcPr>
          <w:p w14:paraId="57E70821" w14:textId="77777777" w:rsidR="00600A6C" w:rsidRPr="0065710A" w:rsidRDefault="00600A6C" w:rsidP="00D63204">
            <w:pPr>
              <w:ind w:left="108"/>
              <w:rPr>
                <w:rFonts w:ascii="Arial" w:hAnsi="Arial" w:cs="Arial"/>
                <w:sz w:val="16"/>
                <w:szCs w:val="16"/>
              </w:rPr>
            </w:pPr>
          </w:p>
        </w:tc>
        <w:tc>
          <w:tcPr>
            <w:tcW w:w="1870" w:type="dxa"/>
            <w:shd w:val="clear" w:color="auto" w:fill="D9D9D9" w:themeFill="background1" w:themeFillShade="D9"/>
          </w:tcPr>
          <w:p w14:paraId="552FBE77" w14:textId="77777777" w:rsidR="00600A6C" w:rsidRPr="0065710A" w:rsidRDefault="00600A6C" w:rsidP="00D63204">
            <w:pPr>
              <w:ind w:left="108"/>
              <w:rPr>
                <w:rFonts w:ascii="Arial" w:hAnsi="Arial" w:cs="Arial"/>
                <w:sz w:val="16"/>
                <w:szCs w:val="16"/>
              </w:rPr>
            </w:pPr>
            <w:r>
              <w:rPr>
                <w:rFonts w:ascii="Arial" w:hAnsi="Arial" w:cs="Arial"/>
                <w:sz w:val="16"/>
                <w:szCs w:val="16"/>
              </w:rPr>
              <w:t>TBD</w:t>
            </w:r>
          </w:p>
        </w:tc>
        <w:tc>
          <w:tcPr>
            <w:tcW w:w="1870" w:type="dxa"/>
            <w:shd w:val="clear" w:color="auto" w:fill="D9D9D9" w:themeFill="background1" w:themeFillShade="D9"/>
          </w:tcPr>
          <w:p w14:paraId="23AACB53" w14:textId="77777777" w:rsidR="00600A6C" w:rsidRPr="0065710A" w:rsidRDefault="00600A6C" w:rsidP="00D63204">
            <w:pPr>
              <w:ind w:left="108"/>
              <w:rPr>
                <w:rFonts w:ascii="Arial" w:hAnsi="Arial" w:cs="Arial"/>
                <w:sz w:val="16"/>
                <w:szCs w:val="16"/>
              </w:rPr>
            </w:pPr>
          </w:p>
        </w:tc>
      </w:tr>
      <w:tr w:rsidR="00600A6C" w:rsidRPr="0065710A" w14:paraId="750413E9" w14:textId="77777777" w:rsidTr="002E5578">
        <w:tc>
          <w:tcPr>
            <w:tcW w:w="1870" w:type="dxa"/>
          </w:tcPr>
          <w:p w14:paraId="40A9DB89" w14:textId="77777777" w:rsidR="00600A6C" w:rsidRPr="0065710A" w:rsidRDefault="00600A6C" w:rsidP="002E5578">
            <w:pPr>
              <w:ind w:left="108"/>
              <w:rPr>
                <w:rFonts w:ascii="Arial" w:hAnsi="Arial" w:cs="Arial"/>
                <w:sz w:val="16"/>
                <w:szCs w:val="16"/>
              </w:rPr>
            </w:pPr>
            <w:r>
              <w:rPr>
                <w:rFonts w:ascii="Arial" w:hAnsi="Arial" w:cs="Arial"/>
                <w:sz w:val="16"/>
                <w:szCs w:val="16"/>
              </w:rPr>
              <w:t>Adult Education</w:t>
            </w:r>
          </w:p>
        </w:tc>
        <w:tc>
          <w:tcPr>
            <w:tcW w:w="1870" w:type="dxa"/>
          </w:tcPr>
          <w:p w14:paraId="4F57E12C" w14:textId="77777777" w:rsidR="00600A6C" w:rsidRPr="0065710A" w:rsidRDefault="00600A6C" w:rsidP="00D63204">
            <w:pPr>
              <w:ind w:left="108"/>
              <w:rPr>
                <w:rFonts w:ascii="Arial" w:hAnsi="Arial" w:cs="Arial"/>
                <w:sz w:val="16"/>
                <w:szCs w:val="16"/>
              </w:rPr>
            </w:pPr>
            <w:r>
              <w:rPr>
                <w:rFonts w:ascii="Arial" w:hAnsi="Arial" w:cs="Arial"/>
                <w:sz w:val="16"/>
                <w:szCs w:val="16"/>
              </w:rPr>
              <w:t>TBD</w:t>
            </w:r>
          </w:p>
        </w:tc>
        <w:tc>
          <w:tcPr>
            <w:tcW w:w="1870" w:type="dxa"/>
          </w:tcPr>
          <w:p w14:paraId="79663CFB" w14:textId="77777777" w:rsidR="00600A6C" w:rsidRPr="0065710A" w:rsidRDefault="00600A6C" w:rsidP="00D63204">
            <w:pPr>
              <w:ind w:left="108"/>
              <w:rPr>
                <w:rFonts w:ascii="Arial" w:hAnsi="Arial" w:cs="Arial"/>
                <w:sz w:val="16"/>
                <w:szCs w:val="16"/>
              </w:rPr>
            </w:pPr>
          </w:p>
        </w:tc>
        <w:tc>
          <w:tcPr>
            <w:tcW w:w="1870" w:type="dxa"/>
          </w:tcPr>
          <w:p w14:paraId="623E6DE1" w14:textId="77777777" w:rsidR="00600A6C" w:rsidRPr="0065710A" w:rsidRDefault="00600A6C" w:rsidP="00D63204">
            <w:pPr>
              <w:ind w:left="108"/>
              <w:rPr>
                <w:rFonts w:ascii="Arial" w:hAnsi="Arial" w:cs="Arial"/>
                <w:sz w:val="16"/>
                <w:szCs w:val="16"/>
              </w:rPr>
            </w:pPr>
            <w:r>
              <w:rPr>
                <w:rFonts w:ascii="Arial" w:hAnsi="Arial" w:cs="Arial"/>
                <w:sz w:val="16"/>
                <w:szCs w:val="16"/>
              </w:rPr>
              <w:t>TBD</w:t>
            </w:r>
          </w:p>
        </w:tc>
        <w:tc>
          <w:tcPr>
            <w:tcW w:w="1870" w:type="dxa"/>
          </w:tcPr>
          <w:p w14:paraId="100A44F5" w14:textId="77777777" w:rsidR="00600A6C" w:rsidRPr="0065710A" w:rsidRDefault="00600A6C" w:rsidP="00D63204">
            <w:pPr>
              <w:ind w:left="108"/>
              <w:rPr>
                <w:rFonts w:ascii="Arial" w:hAnsi="Arial" w:cs="Arial"/>
                <w:sz w:val="16"/>
                <w:szCs w:val="16"/>
              </w:rPr>
            </w:pPr>
          </w:p>
        </w:tc>
      </w:tr>
      <w:tr w:rsidR="00600A6C" w:rsidRPr="0065710A" w14:paraId="0817F3DA" w14:textId="77777777" w:rsidTr="002E5578">
        <w:tc>
          <w:tcPr>
            <w:tcW w:w="1870" w:type="dxa"/>
            <w:shd w:val="clear" w:color="auto" w:fill="D9D9D9" w:themeFill="background1" w:themeFillShade="D9"/>
          </w:tcPr>
          <w:p w14:paraId="387CD897" w14:textId="77777777" w:rsidR="00600A6C" w:rsidRPr="0065710A" w:rsidRDefault="00600A6C" w:rsidP="002E5578">
            <w:pPr>
              <w:ind w:left="108"/>
              <w:rPr>
                <w:rFonts w:ascii="Arial" w:hAnsi="Arial" w:cs="Arial"/>
                <w:sz w:val="16"/>
                <w:szCs w:val="16"/>
              </w:rPr>
            </w:pPr>
            <w:r>
              <w:rPr>
                <w:rFonts w:ascii="Arial" w:hAnsi="Arial" w:cs="Arial"/>
                <w:sz w:val="16"/>
                <w:szCs w:val="16"/>
              </w:rPr>
              <w:t>Wagner-Peyser</w:t>
            </w:r>
          </w:p>
        </w:tc>
        <w:tc>
          <w:tcPr>
            <w:tcW w:w="1870" w:type="dxa"/>
            <w:shd w:val="clear" w:color="auto" w:fill="D9D9D9" w:themeFill="background1" w:themeFillShade="D9"/>
          </w:tcPr>
          <w:p w14:paraId="288DF7F1" w14:textId="77777777" w:rsidR="00600A6C" w:rsidRPr="0065710A" w:rsidRDefault="00600A6C" w:rsidP="00D63204">
            <w:pPr>
              <w:ind w:left="108"/>
              <w:rPr>
                <w:rFonts w:ascii="Arial" w:hAnsi="Arial" w:cs="Arial"/>
                <w:sz w:val="16"/>
                <w:szCs w:val="16"/>
              </w:rPr>
            </w:pPr>
            <w:r>
              <w:rPr>
                <w:rFonts w:ascii="Arial" w:hAnsi="Arial" w:cs="Arial"/>
                <w:sz w:val="16"/>
                <w:szCs w:val="16"/>
              </w:rPr>
              <w:t>$4,850</w:t>
            </w:r>
          </w:p>
        </w:tc>
        <w:tc>
          <w:tcPr>
            <w:tcW w:w="1870" w:type="dxa"/>
            <w:shd w:val="clear" w:color="auto" w:fill="D9D9D9" w:themeFill="background1" w:themeFillShade="D9"/>
          </w:tcPr>
          <w:p w14:paraId="696D9F48" w14:textId="77777777" w:rsidR="00600A6C" w:rsidRPr="0065710A" w:rsidRDefault="00600A6C" w:rsidP="00D63204">
            <w:pPr>
              <w:ind w:left="108"/>
              <w:rPr>
                <w:rFonts w:ascii="Arial" w:hAnsi="Arial" w:cs="Arial"/>
                <w:sz w:val="16"/>
                <w:szCs w:val="16"/>
              </w:rPr>
            </w:pPr>
          </w:p>
        </w:tc>
        <w:tc>
          <w:tcPr>
            <w:tcW w:w="1870" w:type="dxa"/>
            <w:shd w:val="clear" w:color="auto" w:fill="D9D9D9" w:themeFill="background1" w:themeFillShade="D9"/>
          </w:tcPr>
          <w:p w14:paraId="2D8478FB" w14:textId="77777777" w:rsidR="00600A6C" w:rsidRPr="0065710A" w:rsidRDefault="00600A6C" w:rsidP="00D63204">
            <w:pPr>
              <w:ind w:left="108"/>
              <w:rPr>
                <w:rFonts w:ascii="Arial" w:hAnsi="Arial" w:cs="Arial"/>
                <w:sz w:val="16"/>
                <w:szCs w:val="16"/>
              </w:rPr>
            </w:pPr>
            <w:r>
              <w:rPr>
                <w:rFonts w:ascii="Arial" w:hAnsi="Arial" w:cs="Arial"/>
                <w:sz w:val="16"/>
                <w:szCs w:val="16"/>
              </w:rPr>
              <w:t>$4,850</w:t>
            </w:r>
          </w:p>
        </w:tc>
        <w:tc>
          <w:tcPr>
            <w:tcW w:w="1870" w:type="dxa"/>
            <w:shd w:val="clear" w:color="auto" w:fill="D9D9D9" w:themeFill="background1" w:themeFillShade="D9"/>
          </w:tcPr>
          <w:p w14:paraId="4E21F745" w14:textId="77777777" w:rsidR="00600A6C" w:rsidRPr="0065710A" w:rsidRDefault="00600A6C" w:rsidP="00D63204">
            <w:pPr>
              <w:ind w:left="108"/>
              <w:rPr>
                <w:rFonts w:ascii="Arial" w:hAnsi="Arial" w:cs="Arial"/>
                <w:sz w:val="16"/>
                <w:szCs w:val="16"/>
              </w:rPr>
            </w:pPr>
          </w:p>
        </w:tc>
      </w:tr>
      <w:tr w:rsidR="00600A6C" w:rsidRPr="0065710A" w14:paraId="4BF52246" w14:textId="77777777" w:rsidTr="002E5578">
        <w:tc>
          <w:tcPr>
            <w:tcW w:w="1870" w:type="dxa"/>
          </w:tcPr>
          <w:p w14:paraId="19F2A73F" w14:textId="77777777" w:rsidR="00600A6C" w:rsidRPr="0065710A" w:rsidRDefault="00600A6C" w:rsidP="002E5578">
            <w:pPr>
              <w:ind w:left="108"/>
              <w:rPr>
                <w:rFonts w:ascii="Arial" w:hAnsi="Arial" w:cs="Arial"/>
                <w:sz w:val="16"/>
                <w:szCs w:val="16"/>
              </w:rPr>
            </w:pPr>
            <w:r>
              <w:rPr>
                <w:rFonts w:ascii="Arial" w:hAnsi="Arial" w:cs="Arial"/>
                <w:sz w:val="16"/>
                <w:szCs w:val="16"/>
              </w:rPr>
              <w:t>Vocational Rehabilitation</w:t>
            </w:r>
          </w:p>
        </w:tc>
        <w:tc>
          <w:tcPr>
            <w:tcW w:w="1870" w:type="dxa"/>
          </w:tcPr>
          <w:p w14:paraId="0D06E672" w14:textId="77777777" w:rsidR="00600A6C" w:rsidRPr="0065710A" w:rsidRDefault="00600A6C" w:rsidP="00D63204">
            <w:pPr>
              <w:ind w:left="108"/>
              <w:rPr>
                <w:rFonts w:ascii="Arial" w:hAnsi="Arial" w:cs="Arial"/>
                <w:sz w:val="16"/>
                <w:szCs w:val="16"/>
              </w:rPr>
            </w:pPr>
            <w:r>
              <w:rPr>
                <w:rFonts w:ascii="Arial" w:hAnsi="Arial" w:cs="Arial"/>
                <w:sz w:val="16"/>
                <w:szCs w:val="16"/>
              </w:rPr>
              <w:t>TBD</w:t>
            </w:r>
          </w:p>
        </w:tc>
        <w:tc>
          <w:tcPr>
            <w:tcW w:w="1870" w:type="dxa"/>
          </w:tcPr>
          <w:p w14:paraId="5CC34CA0" w14:textId="77777777" w:rsidR="00600A6C" w:rsidRPr="0065710A" w:rsidRDefault="00600A6C" w:rsidP="00D63204">
            <w:pPr>
              <w:ind w:left="108"/>
              <w:rPr>
                <w:rFonts w:ascii="Arial" w:hAnsi="Arial" w:cs="Arial"/>
                <w:sz w:val="16"/>
                <w:szCs w:val="16"/>
              </w:rPr>
            </w:pPr>
          </w:p>
        </w:tc>
        <w:tc>
          <w:tcPr>
            <w:tcW w:w="1870" w:type="dxa"/>
          </w:tcPr>
          <w:p w14:paraId="4B5F6C38" w14:textId="77777777" w:rsidR="00600A6C" w:rsidRPr="0065710A" w:rsidRDefault="00600A6C" w:rsidP="00D63204">
            <w:pPr>
              <w:ind w:left="108"/>
              <w:rPr>
                <w:rFonts w:ascii="Arial" w:hAnsi="Arial" w:cs="Arial"/>
                <w:sz w:val="16"/>
                <w:szCs w:val="16"/>
              </w:rPr>
            </w:pPr>
            <w:r>
              <w:rPr>
                <w:rFonts w:ascii="Arial" w:hAnsi="Arial" w:cs="Arial"/>
                <w:sz w:val="16"/>
                <w:szCs w:val="16"/>
              </w:rPr>
              <w:t>TBD</w:t>
            </w:r>
          </w:p>
        </w:tc>
        <w:tc>
          <w:tcPr>
            <w:tcW w:w="1870" w:type="dxa"/>
          </w:tcPr>
          <w:p w14:paraId="26C76EDF" w14:textId="77777777" w:rsidR="00600A6C" w:rsidRPr="0065710A" w:rsidRDefault="00600A6C" w:rsidP="00D63204">
            <w:pPr>
              <w:ind w:left="108"/>
              <w:rPr>
                <w:rFonts w:ascii="Arial" w:hAnsi="Arial" w:cs="Arial"/>
                <w:sz w:val="16"/>
                <w:szCs w:val="16"/>
              </w:rPr>
            </w:pPr>
          </w:p>
        </w:tc>
      </w:tr>
    </w:tbl>
    <w:p w14:paraId="1630B94A" w14:textId="77777777" w:rsidR="00600A6C" w:rsidRDefault="00600A6C" w:rsidP="00600A6C">
      <w:pPr>
        <w:ind w:left="108"/>
        <w:rPr>
          <w:rFonts w:ascii="Arial" w:hAnsi="Arial" w:cs="Arial"/>
          <w:sz w:val="16"/>
          <w:szCs w:val="16"/>
        </w:rPr>
      </w:pPr>
    </w:p>
    <w:tbl>
      <w:tblPr>
        <w:tblStyle w:val="TableGrid"/>
        <w:tblW w:w="0" w:type="auto"/>
        <w:tblLook w:val="04A0" w:firstRow="1" w:lastRow="0" w:firstColumn="1" w:lastColumn="0" w:noHBand="0" w:noVBand="1"/>
      </w:tblPr>
      <w:tblGrid>
        <w:gridCol w:w="1870"/>
        <w:gridCol w:w="1870"/>
        <w:gridCol w:w="1880"/>
        <w:gridCol w:w="1870"/>
        <w:gridCol w:w="1880"/>
      </w:tblGrid>
      <w:tr w:rsidR="00600A6C" w:rsidRPr="0065710A" w14:paraId="41B049D7" w14:textId="77777777" w:rsidTr="002E5578">
        <w:trPr>
          <w:tblHeader/>
        </w:trPr>
        <w:tc>
          <w:tcPr>
            <w:tcW w:w="1870" w:type="dxa"/>
          </w:tcPr>
          <w:p w14:paraId="664107E6" w14:textId="77777777" w:rsidR="00600A6C" w:rsidRPr="0065710A" w:rsidRDefault="00600A6C" w:rsidP="002E5578">
            <w:pPr>
              <w:ind w:left="108"/>
              <w:rPr>
                <w:rFonts w:ascii="Arial" w:hAnsi="Arial" w:cs="Arial"/>
                <w:b/>
                <w:sz w:val="16"/>
                <w:szCs w:val="16"/>
              </w:rPr>
            </w:pPr>
            <w:r>
              <w:rPr>
                <w:rFonts w:ascii="Arial" w:hAnsi="Arial" w:cs="Arial"/>
                <w:b/>
                <w:sz w:val="16"/>
                <w:szCs w:val="16"/>
              </w:rPr>
              <w:t>Credential Attainment Rate</w:t>
            </w:r>
          </w:p>
        </w:tc>
        <w:tc>
          <w:tcPr>
            <w:tcW w:w="1870" w:type="dxa"/>
          </w:tcPr>
          <w:p w14:paraId="67D8EF59" w14:textId="77777777" w:rsidR="00600A6C" w:rsidRPr="0065710A" w:rsidRDefault="00600A6C" w:rsidP="00D63204">
            <w:pPr>
              <w:ind w:left="108"/>
              <w:rPr>
                <w:rFonts w:ascii="Arial" w:hAnsi="Arial" w:cs="Arial"/>
                <w:b/>
                <w:sz w:val="16"/>
                <w:szCs w:val="16"/>
              </w:rPr>
            </w:pPr>
            <w:r>
              <w:rPr>
                <w:rFonts w:ascii="Arial" w:hAnsi="Arial" w:cs="Arial"/>
                <w:b/>
                <w:sz w:val="16"/>
                <w:szCs w:val="16"/>
              </w:rPr>
              <w:t>2018</w:t>
            </w:r>
            <w:r w:rsidRPr="0065710A">
              <w:rPr>
                <w:rFonts w:ascii="Arial" w:hAnsi="Arial" w:cs="Arial"/>
                <w:b/>
                <w:sz w:val="16"/>
                <w:szCs w:val="16"/>
              </w:rPr>
              <w:t xml:space="preserve"> Proposed/Expected Level</w:t>
            </w:r>
          </w:p>
        </w:tc>
        <w:tc>
          <w:tcPr>
            <w:tcW w:w="1870" w:type="dxa"/>
          </w:tcPr>
          <w:p w14:paraId="08631FA6" w14:textId="77777777" w:rsidR="00600A6C" w:rsidRDefault="00600A6C" w:rsidP="00D63204">
            <w:pPr>
              <w:ind w:left="108"/>
              <w:rPr>
                <w:rFonts w:ascii="Arial" w:hAnsi="Arial" w:cs="Arial"/>
                <w:b/>
                <w:sz w:val="16"/>
                <w:szCs w:val="16"/>
              </w:rPr>
            </w:pPr>
            <w:r>
              <w:rPr>
                <w:rFonts w:ascii="Arial" w:hAnsi="Arial" w:cs="Arial"/>
                <w:b/>
                <w:sz w:val="16"/>
                <w:szCs w:val="16"/>
              </w:rPr>
              <w:t>2018</w:t>
            </w:r>
          </w:p>
          <w:p w14:paraId="5DC1CF83" w14:textId="77777777" w:rsidR="00600A6C" w:rsidRPr="0065710A" w:rsidRDefault="00600A6C" w:rsidP="00D63204">
            <w:pPr>
              <w:ind w:left="108"/>
              <w:rPr>
                <w:rFonts w:ascii="Arial" w:hAnsi="Arial" w:cs="Arial"/>
                <w:b/>
                <w:sz w:val="16"/>
                <w:szCs w:val="16"/>
              </w:rPr>
            </w:pPr>
            <w:r w:rsidRPr="0065710A">
              <w:rPr>
                <w:rFonts w:ascii="Arial" w:hAnsi="Arial" w:cs="Arial"/>
                <w:b/>
                <w:sz w:val="16"/>
                <w:szCs w:val="16"/>
              </w:rPr>
              <w:t>Negotiated/Adjusted Level</w:t>
            </w:r>
          </w:p>
        </w:tc>
        <w:tc>
          <w:tcPr>
            <w:tcW w:w="1870" w:type="dxa"/>
          </w:tcPr>
          <w:p w14:paraId="6F42B4DF" w14:textId="77777777" w:rsidR="00600A6C" w:rsidRPr="0065710A" w:rsidRDefault="00600A6C" w:rsidP="00D63204">
            <w:pPr>
              <w:ind w:left="108"/>
              <w:rPr>
                <w:rFonts w:ascii="Arial" w:hAnsi="Arial" w:cs="Arial"/>
                <w:b/>
                <w:sz w:val="16"/>
                <w:szCs w:val="16"/>
              </w:rPr>
            </w:pPr>
            <w:r>
              <w:rPr>
                <w:rFonts w:ascii="Arial" w:hAnsi="Arial" w:cs="Arial"/>
                <w:b/>
                <w:sz w:val="16"/>
                <w:szCs w:val="16"/>
              </w:rPr>
              <w:t>20</w:t>
            </w:r>
            <w:r w:rsidRPr="0065710A">
              <w:rPr>
                <w:rFonts w:ascii="Arial" w:hAnsi="Arial" w:cs="Arial"/>
                <w:b/>
                <w:sz w:val="16"/>
                <w:szCs w:val="16"/>
              </w:rPr>
              <w:t>1</w:t>
            </w:r>
            <w:r>
              <w:rPr>
                <w:rFonts w:ascii="Arial" w:hAnsi="Arial" w:cs="Arial"/>
                <w:b/>
                <w:sz w:val="16"/>
                <w:szCs w:val="16"/>
              </w:rPr>
              <w:t>9</w:t>
            </w:r>
            <w:r w:rsidRPr="0065710A">
              <w:rPr>
                <w:rFonts w:ascii="Arial" w:hAnsi="Arial" w:cs="Arial"/>
                <w:b/>
                <w:sz w:val="16"/>
                <w:szCs w:val="16"/>
              </w:rPr>
              <w:t xml:space="preserve"> Proposed/Expected Level</w:t>
            </w:r>
          </w:p>
        </w:tc>
        <w:tc>
          <w:tcPr>
            <w:tcW w:w="1870" w:type="dxa"/>
          </w:tcPr>
          <w:p w14:paraId="6D21B882" w14:textId="77777777" w:rsidR="00600A6C" w:rsidRPr="0065710A" w:rsidRDefault="00600A6C" w:rsidP="00D63204">
            <w:pPr>
              <w:ind w:left="108"/>
              <w:rPr>
                <w:rFonts w:ascii="Arial" w:hAnsi="Arial" w:cs="Arial"/>
                <w:b/>
                <w:sz w:val="16"/>
                <w:szCs w:val="16"/>
              </w:rPr>
            </w:pPr>
            <w:r>
              <w:rPr>
                <w:rFonts w:ascii="Arial" w:hAnsi="Arial" w:cs="Arial"/>
                <w:b/>
                <w:sz w:val="16"/>
                <w:szCs w:val="16"/>
              </w:rPr>
              <w:t>20</w:t>
            </w:r>
            <w:r w:rsidRPr="0065710A">
              <w:rPr>
                <w:rFonts w:ascii="Arial" w:hAnsi="Arial" w:cs="Arial"/>
                <w:b/>
                <w:sz w:val="16"/>
                <w:szCs w:val="16"/>
              </w:rPr>
              <w:t>1</w:t>
            </w:r>
            <w:r>
              <w:rPr>
                <w:rFonts w:ascii="Arial" w:hAnsi="Arial" w:cs="Arial"/>
                <w:b/>
                <w:sz w:val="16"/>
                <w:szCs w:val="16"/>
              </w:rPr>
              <w:t>9</w:t>
            </w:r>
            <w:r w:rsidRPr="0065710A">
              <w:rPr>
                <w:rFonts w:ascii="Arial" w:hAnsi="Arial" w:cs="Arial"/>
                <w:b/>
                <w:sz w:val="16"/>
                <w:szCs w:val="16"/>
              </w:rPr>
              <w:t xml:space="preserve"> Negotiated/Adjusted Level</w:t>
            </w:r>
          </w:p>
        </w:tc>
      </w:tr>
      <w:tr w:rsidR="00600A6C" w:rsidRPr="0065710A" w14:paraId="1800BD20" w14:textId="77777777" w:rsidTr="002E5578">
        <w:tc>
          <w:tcPr>
            <w:tcW w:w="1870" w:type="dxa"/>
            <w:shd w:val="clear" w:color="auto" w:fill="D9D9D9" w:themeFill="background1" w:themeFillShade="D9"/>
          </w:tcPr>
          <w:p w14:paraId="230D8543" w14:textId="77777777" w:rsidR="00600A6C" w:rsidRPr="0065710A" w:rsidRDefault="00600A6C" w:rsidP="002E5578">
            <w:pPr>
              <w:ind w:left="108"/>
              <w:rPr>
                <w:rFonts w:ascii="Arial" w:hAnsi="Arial" w:cs="Arial"/>
                <w:sz w:val="16"/>
                <w:szCs w:val="16"/>
              </w:rPr>
            </w:pPr>
            <w:r>
              <w:rPr>
                <w:rFonts w:ascii="Arial" w:hAnsi="Arial" w:cs="Arial"/>
                <w:sz w:val="16"/>
                <w:szCs w:val="16"/>
              </w:rPr>
              <w:t>Adults</w:t>
            </w:r>
          </w:p>
        </w:tc>
        <w:tc>
          <w:tcPr>
            <w:tcW w:w="1870" w:type="dxa"/>
            <w:shd w:val="clear" w:color="auto" w:fill="D9D9D9" w:themeFill="background1" w:themeFillShade="D9"/>
          </w:tcPr>
          <w:p w14:paraId="58BE321B" w14:textId="77777777" w:rsidR="00600A6C" w:rsidRDefault="00600A6C" w:rsidP="00D63204">
            <w:pPr>
              <w:ind w:left="108"/>
            </w:pPr>
            <w:r>
              <w:rPr>
                <w:rFonts w:ascii="Arial" w:hAnsi="Arial" w:cs="Arial"/>
                <w:sz w:val="16"/>
                <w:szCs w:val="16"/>
              </w:rPr>
              <w:t>62%</w:t>
            </w:r>
          </w:p>
        </w:tc>
        <w:tc>
          <w:tcPr>
            <w:tcW w:w="1870" w:type="dxa"/>
            <w:shd w:val="clear" w:color="auto" w:fill="D9D9D9" w:themeFill="background1" w:themeFillShade="D9"/>
          </w:tcPr>
          <w:p w14:paraId="13951CB0" w14:textId="77777777" w:rsidR="00600A6C" w:rsidRPr="0065710A" w:rsidRDefault="00600A6C" w:rsidP="00D63204">
            <w:pPr>
              <w:ind w:left="108"/>
              <w:rPr>
                <w:rFonts w:ascii="Arial" w:hAnsi="Arial" w:cs="Arial"/>
                <w:sz w:val="16"/>
                <w:szCs w:val="16"/>
              </w:rPr>
            </w:pPr>
          </w:p>
        </w:tc>
        <w:tc>
          <w:tcPr>
            <w:tcW w:w="1870" w:type="dxa"/>
            <w:shd w:val="clear" w:color="auto" w:fill="D9D9D9" w:themeFill="background1" w:themeFillShade="D9"/>
          </w:tcPr>
          <w:p w14:paraId="5A7A4E79" w14:textId="77777777" w:rsidR="00600A6C" w:rsidRDefault="00600A6C" w:rsidP="00D63204">
            <w:pPr>
              <w:ind w:left="108"/>
            </w:pPr>
            <w:r>
              <w:rPr>
                <w:rFonts w:ascii="Arial" w:hAnsi="Arial" w:cs="Arial"/>
                <w:sz w:val="16"/>
                <w:szCs w:val="16"/>
              </w:rPr>
              <w:t>62%</w:t>
            </w:r>
          </w:p>
        </w:tc>
        <w:tc>
          <w:tcPr>
            <w:tcW w:w="1870" w:type="dxa"/>
            <w:shd w:val="clear" w:color="auto" w:fill="D9D9D9" w:themeFill="background1" w:themeFillShade="D9"/>
          </w:tcPr>
          <w:p w14:paraId="21215D30" w14:textId="77777777" w:rsidR="00600A6C" w:rsidRPr="0065710A" w:rsidRDefault="00600A6C" w:rsidP="00D63204">
            <w:pPr>
              <w:ind w:left="108"/>
              <w:rPr>
                <w:rFonts w:ascii="Arial" w:hAnsi="Arial" w:cs="Arial"/>
                <w:sz w:val="16"/>
                <w:szCs w:val="16"/>
              </w:rPr>
            </w:pPr>
          </w:p>
        </w:tc>
      </w:tr>
      <w:tr w:rsidR="00600A6C" w:rsidRPr="0065710A" w14:paraId="6B7EED57" w14:textId="77777777" w:rsidTr="002E5578">
        <w:tc>
          <w:tcPr>
            <w:tcW w:w="1870" w:type="dxa"/>
          </w:tcPr>
          <w:p w14:paraId="6F64416D" w14:textId="77777777" w:rsidR="00600A6C" w:rsidRPr="0065710A" w:rsidRDefault="00600A6C" w:rsidP="002E5578">
            <w:pPr>
              <w:ind w:left="108"/>
              <w:rPr>
                <w:rFonts w:ascii="Arial" w:hAnsi="Arial" w:cs="Arial"/>
                <w:sz w:val="16"/>
                <w:szCs w:val="16"/>
              </w:rPr>
            </w:pPr>
            <w:r>
              <w:rPr>
                <w:rFonts w:ascii="Arial" w:hAnsi="Arial" w:cs="Arial"/>
                <w:sz w:val="16"/>
                <w:szCs w:val="16"/>
              </w:rPr>
              <w:t>Dislocated Workers</w:t>
            </w:r>
          </w:p>
        </w:tc>
        <w:tc>
          <w:tcPr>
            <w:tcW w:w="1870" w:type="dxa"/>
          </w:tcPr>
          <w:p w14:paraId="742ED367" w14:textId="77777777" w:rsidR="00600A6C" w:rsidRDefault="00600A6C" w:rsidP="00D63204">
            <w:pPr>
              <w:ind w:left="108"/>
            </w:pPr>
            <w:r>
              <w:rPr>
                <w:rFonts w:ascii="Arial" w:hAnsi="Arial" w:cs="Arial"/>
                <w:sz w:val="16"/>
                <w:szCs w:val="16"/>
              </w:rPr>
              <w:t>68%</w:t>
            </w:r>
          </w:p>
        </w:tc>
        <w:tc>
          <w:tcPr>
            <w:tcW w:w="1870" w:type="dxa"/>
          </w:tcPr>
          <w:p w14:paraId="43710A55" w14:textId="77777777" w:rsidR="00600A6C" w:rsidRPr="0065710A" w:rsidRDefault="00600A6C" w:rsidP="00D63204">
            <w:pPr>
              <w:ind w:left="108"/>
              <w:rPr>
                <w:rFonts w:ascii="Arial" w:hAnsi="Arial" w:cs="Arial"/>
                <w:sz w:val="16"/>
                <w:szCs w:val="16"/>
              </w:rPr>
            </w:pPr>
          </w:p>
        </w:tc>
        <w:tc>
          <w:tcPr>
            <w:tcW w:w="1870" w:type="dxa"/>
          </w:tcPr>
          <w:p w14:paraId="62A638B7" w14:textId="77777777" w:rsidR="00600A6C" w:rsidRDefault="00600A6C" w:rsidP="00D63204">
            <w:pPr>
              <w:ind w:left="108"/>
            </w:pPr>
            <w:r>
              <w:rPr>
                <w:rFonts w:ascii="Arial" w:hAnsi="Arial" w:cs="Arial"/>
                <w:sz w:val="16"/>
                <w:szCs w:val="16"/>
              </w:rPr>
              <w:t>68%</w:t>
            </w:r>
          </w:p>
        </w:tc>
        <w:tc>
          <w:tcPr>
            <w:tcW w:w="1870" w:type="dxa"/>
          </w:tcPr>
          <w:p w14:paraId="1DDABC85" w14:textId="77777777" w:rsidR="00600A6C" w:rsidRPr="0065710A" w:rsidRDefault="00600A6C" w:rsidP="00D63204">
            <w:pPr>
              <w:ind w:left="108"/>
              <w:rPr>
                <w:rFonts w:ascii="Arial" w:hAnsi="Arial" w:cs="Arial"/>
                <w:sz w:val="16"/>
                <w:szCs w:val="16"/>
              </w:rPr>
            </w:pPr>
          </w:p>
        </w:tc>
      </w:tr>
      <w:tr w:rsidR="00600A6C" w:rsidRPr="0065710A" w14:paraId="3BB4006C" w14:textId="77777777" w:rsidTr="002E5578">
        <w:tc>
          <w:tcPr>
            <w:tcW w:w="1870" w:type="dxa"/>
            <w:shd w:val="clear" w:color="auto" w:fill="D9D9D9" w:themeFill="background1" w:themeFillShade="D9"/>
          </w:tcPr>
          <w:p w14:paraId="7F641731" w14:textId="77777777" w:rsidR="00600A6C" w:rsidRPr="0065710A" w:rsidRDefault="00600A6C" w:rsidP="002E5578">
            <w:pPr>
              <w:ind w:left="108"/>
              <w:rPr>
                <w:rFonts w:ascii="Arial" w:hAnsi="Arial" w:cs="Arial"/>
                <w:sz w:val="16"/>
                <w:szCs w:val="16"/>
              </w:rPr>
            </w:pPr>
            <w:r>
              <w:rPr>
                <w:rFonts w:ascii="Arial" w:hAnsi="Arial" w:cs="Arial"/>
                <w:sz w:val="16"/>
                <w:szCs w:val="16"/>
              </w:rPr>
              <w:t>Youth</w:t>
            </w:r>
          </w:p>
        </w:tc>
        <w:tc>
          <w:tcPr>
            <w:tcW w:w="1870" w:type="dxa"/>
            <w:shd w:val="clear" w:color="auto" w:fill="D9D9D9" w:themeFill="background1" w:themeFillShade="D9"/>
          </w:tcPr>
          <w:p w14:paraId="3DDAA4EB" w14:textId="77777777" w:rsidR="00600A6C" w:rsidRDefault="00600A6C" w:rsidP="00D63204">
            <w:pPr>
              <w:ind w:left="108"/>
            </w:pPr>
            <w:r>
              <w:rPr>
                <w:rFonts w:ascii="Arial" w:hAnsi="Arial" w:cs="Arial"/>
                <w:sz w:val="16"/>
                <w:szCs w:val="16"/>
              </w:rPr>
              <w:t>78%</w:t>
            </w:r>
          </w:p>
        </w:tc>
        <w:tc>
          <w:tcPr>
            <w:tcW w:w="1870" w:type="dxa"/>
            <w:shd w:val="clear" w:color="auto" w:fill="D9D9D9" w:themeFill="background1" w:themeFillShade="D9"/>
          </w:tcPr>
          <w:p w14:paraId="07F5976D" w14:textId="77777777" w:rsidR="00600A6C" w:rsidRPr="0065710A" w:rsidRDefault="00600A6C" w:rsidP="00D63204">
            <w:pPr>
              <w:ind w:left="108"/>
              <w:rPr>
                <w:rFonts w:ascii="Arial" w:hAnsi="Arial" w:cs="Arial"/>
                <w:sz w:val="16"/>
                <w:szCs w:val="16"/>
              </w:rPr>
            </w:pPr>
          </w:p>
        </w:tc>
        <w:tc>
          <w:tcPr>
            <w:tcW w:w="1870" w:type="dxa"/>
            <w:shd w:val="clear" w:color="auto" w:fill="D9D9D9" w:themeFill="background1" w:themeFillShade="D9"/>
          </w:tcPr>
          <w:p w14:paraId="73BEF215" w14:textId="77777777" w:rsidR="00600A6C" w:rsidRDefault="00600A6C" w:rsidP="00D63204">
            <w:pPr>
              <w:ind w:left="108"/>
            </w:pPr>
            <w:r>
              <w:rPr>
                <w:rFonts w:ascii="Arial" w:hAnsi="Arial" w:cs="Arial"/>
                <w:sz w:val="16"/>
                <w:szCs w:val="16"/>
              </w:rPr>
              <w:t>78%</w:t>
            </w:r>
          </w:p>
        </w:tc>
        <w:tc>
          <w:tcPr>
            <w:tcW w:w="1870" w:type="dxa"/>
            <w:shd w:val="clear" w:color="auto" w:fill="D9D9D9" w:themeFill="background1" w:themeFillShade="D9"/>
          </w:tcPr>
          <w:p w14:paraId="7F5A0663" w14:textId="77777777" w:rsidR="00600A6C" w:rsidRPr="0065710A" w:rsidRDefault="00600A6C" w:rsidP="00D63204">
            <w:pPr>
              <w:ind w:left="108"/>
              <w:rPr>
                <w:rFonts w:ascii="Arial" w:hAnsi="Arial" w:cs="Arial"/>
                <w:sz w:val="16"/>
                <w:szCs w:val="16"/>
              </w:rPr>
            </w:pPr>
          </w:p>
        </w:tc>
      </w:tr>
      <w:tr w:rsidR="00600A6C" w:rsidRPr="0065710A" w14:paraId="707A1BA0" w14:textId="77777777" w:rsidTr="002E5578">
        <w:tc>
          <w:tcPr>
            <w:tcW w:w="1870" w:type="dxa"/>
          </w:tcPr>
          <w:p w14:paraId="0380FDD7" w14:textId="77777777" w:rsidR="00600A6C" w:rsidRPr="0065710A" w:rsidRDefault="00600A6C" w:rsidP="002E5578">
            <w:pPr>
              <w:ind w:left="108"/>
              <w:rPr>
                <w:rFonts w:ascii="Arial" w:hAnsi="Arial" w:cs="Arial"/>
                <w:sz w:val="16"/>
                <w:szCs w:val="16"/>
              </w:rPr>
            </w:pPr>
            <w:r>
              <w:rPr>
                <w:rFonts w:ascii="Arial" w:hAnsi="Arial" w:cs="Arial"/>
                <w:sz w:val="16"/>
                <w:szCs w:val="16"/>
              </w:rPr>
              <w:t>Adult Education</w:t>
            </w:r>
          </w:p>
        </w:tc>
        <w:tc>
          <w:tcPr>
            <w:tcW w:w="1870" w:type="dxa"/>
          </w:tcPr>
          <w:p w14:paraId="0696C2FA" w14:textId="77777777" w:rsidR="00600A6C" w:rsidRPr="0065710A" w:rsidRDefault="00600A6C" w:rsidP="00D63204">
            <w:pPr>
              <w:ind w:left="108"/>
              <w:rPr>
                <w:rFonts w:ascii="Arial" w:hAnsi="Arial" w:cs="Arial"/>
                <w:sz w:val="16"/>
                <w:szCs w:val="16"/>
              </w:rPr>
            </w:pPr>
            <w:r>
              <w:rPr>
                <w:rFonts w:ascii="Arial" w:hAnsi="Arial" w:cs="Arial"/>
                <w:sz w:val="16"/>
                <w:szCs w:val="16"/>
              </w:rPr>
              <w:t>TBD</w:t>
            </w:r>
          </w:p>
        </w:tc>
        <w:tc>
          <w:tcPr>
            <w:tcW w:w="1870" w:type="dxa"/>
          </w:tcPr>
          <w:p w14:paraId="60C2A831" w14:textId="77777777" w:rsidR="00600A6C" w:rsidRPr="0065710A" w:rsidRDefault="00600A6C" w:rsidP="00D63204">
            <w:pPr>
              <w:ind w:left="108"/>
              <w:rPr>
                <w:rFonts w:ascii="Arial" w:hAnsi="Arial" w:cs="Arial"/>
                <w:sz w:val="16"/>
                <w:szCs w:val="16"/>
              </w:rPr>
            </w:pPr>
          </w:p>
        </w:tc>
        <w:tc>
          <w:tcPr>
            <w:tcW w:w="1870" w:type="dxa"/>
          </w:tcPr>
          <w:p w14:paraId="26BB428F" w14:textId="77777777" w:rsidR="00600A6C" w:rsidRPr="0065710A" w:rsidRDefault="00600A6C" w:rsidP="00D63204">
            <w:pPr>
              <w:ind w:left="108"/>
              <w:rPr>
                <w:rFonts w:ascii="Arial" w:hAnsi="Arial" w:cs="Arial"/>
                <w:sz w:val="16"/>
                <w:szCs w:val="16"/>
              </w:rPr>
            </w:pPr>
            <w:r>
              <w:rPr>
                <w:rFonts w:ascii="Arial" w:hAnsi="Arial" w:cs="Arial"/>
                <w:sz w:val="16"/>
                <w:szCs w:val="16"/>
              </w:rPr>
              <w:t>TBD</w:t>
            </w:r>
          </w:p>
        </w:tc>
        <w:tc>
          <w:tcPr>
            <w:tcW w:w="1870" w:type="dxa"/>
          </w:tcPr>
          <w:p w14:paraId="78F52ADB" w14:textId="77777777" w:rsidR="00600A6C" w:rsidRPr="0065710A" w:rsidRDefault="00600A6C" w:rsidP="00D63204">
            <w:pPr>
              <w:ind w:left="108"/>
              <w:rPr>
                <w:rFonts w:ascii="Arial" w:hAnsi="Arial" w:cs="Arial"/>
                <w:sz w:val="16"/>
                <w:szCs w:val="16"/>
              </w:rPr>
            </w:pPr>
          </w:p>
        </w:tc>
      </w:tr>
      <w:tr w:rsidR="00600A6C" w:rsidRPr="0065710A" w14:paraId="02400DE1" w14:textId="77777777" w:rsidTr="002E5578">
        <w:tc>
          <w:tcPr>
            <w:tcW w:w="1870" w:type="dxa"/>
            <w:shd w:val="clear" w:color="auto" w:fill="D9D9D9" w:themeFill="background1" w:themeFillShade="D9"/>
          </w:tcPr>
          <w:p w14:paraId="1782C3EF" w14:textId="77777777" w:rsidR="00600A6C" w:rsidRPr="0065710A" w:rsidRDefault="00600A6C" w:rsidP="002E5578">
            <w:pPr>
              <w:ind w:left="108"/>
              <w:rPr>
                <w:rFonts w:ascii="Arial" w:hAnsi="Arial" w:cs="Arial"/>
                <w:sz w:val="16"/>
                <w:szCs w:val="16"/>
              </w:rPr>
            </w:pPr>
            <w:r>
              <w:rPr>
                <w:rFonts w:ascii="Arial" w:hAnsi="Arial" w:cs="Arial"/>
                <w:sz w:val="16"/>
                <w:szCs w:val="16"/>
              </w:rPr>
              <w:t>Wagner-Peyser</w:t>
            </w:r>
          </w:p>
        </w:tc>
        <w:tc>
          <w:tcPr>
            <w:tcW w:w="1870" w:type="dxa"/>
            <w:shd w:val="clear" w:color="auto" w:fill="D9D9D9" w:themeFill="background1" w:themeFillShade="D9"/>
          </w:tcPr>
          <w:p w14:paraId="0EA37694" w14:textId="77777777" w:rsidR="00600A6C" w:rsidRPr="0065710A" w:rsidRDefault="00600A6C" w:rsidP="00D63204">
            <w:pPr>
              <w:ind w:left="108"/>
              <w:rPr>
                <w:rFonts w:ascii="Arial" w:hAnsi="Arial" w:cs="Arial"/>
                <w:sz w:val="16"/>
                <w:szCs w:val="16"/>
              </w:rPr>
            </w:pPr>
            <w:r>
              <w:rPr>
                <w:rFonts w:ascii="Arial" w:hAnsi="Arial" w:cs="Arial"/>
                <w:sz w:val="16"/>
                <w:szCs w:val="16"/>
              </w:rPr>
              <w:t>Not Applicable</w:t>
            </w:r>
          </w:p>
        </w:tc>
        <w:tc>
          <w:tcPr>
            <w:tcW w:w="1870" w:type="dxa"/>
            <w:shd w:val="clear" w:color="auto" w:fill="D9D9D9" w:themeFill="background1" w:themeFillShade="D9"/>
          </w:tcPr>
          <w:p w14:paraId="3008BB92" w14:textId="77777777" w:rsidR="00600A6C" w:rsidRPr="0065710A" w:rsidRDefault="00600A6C" w:rsidP="00D63204">
            <w:pPr>
              <w:ind w:left="108"/>
              <w:rPr>
                <w:rFonts w:ascii="Arial" w:hAnsi="Arial" w:cs="Arial"/>
                <w:sz w:val="16"/>
                <w:szCs w:val="16"/>
              </w:rPr>
            </w:pPr>
            <w:r>
              <w:rPr>
                <w:rFonts w:ascii="Arial" w:hAnsi="Arial" w:cs="Arial"/>
                <w:sz w:val="16"/>
                <w:szCs w:val="16"/>
              </w:rPr>
              <w:t>Not Applicable</w:t>
            </w:r>
          </w:p>
        </w:tc>
        <w:tc>
          <w:tcPr>
            <w:tcW w:w="1870" w:type="dxa"/>
            <w:shd w:val="clear" w:color="auto" w:fill="D9D9D9" w:themeFill="background1" w:themeFillShade="D9"/>
          </w:tcPr>
          <w:p w14:paraId="5A10A588" w14:textId="77777777" w:rsidR="00600A6C" w:rsidRPr="0065710A" w:rsidRDefault="00600A6C" w:rsidP="00D63204">
            <w:pPr>
              <w:ind w:left="108"/>
              <w:rPr>
                <w:rFonts w:ascii="Arial" w:hAnsi="Arial" w:cs="Arial"/>
                <w:sz w:val="16"/>
                <w:szCs w:val="16"/>
              </w:rPr>
            </w:pPr>
            <w:r>
              <w:rPr>
                <w:rFonts w:ascii="Arial" w:hAnsi="Arial" w:cs="Arial"/>
                <w:sz w:val="16"/>
                <w:szCs w:val="16"/>
              </w:rPr>
              <w:t>Not Applicable</w:t>
            </w:r>
          </w:p>
        </w:tc>
        <w:tc>
          <w:tcPr>
            <w:tcW w:w="1870" w:type="dxa"/>
            <w:shd w:val="clear" w:color="auto" w:fill="D9D9D9" w:themeFill="background1" w:themeFillShade="D9"/>
          </w:tcPr>
          <w:p w14:paraId="4BAB35E9" w14:textId="77777777" w:rsidR="00600A6C" w:rsidRPr="0065710A" w:rsidRDefault="00600A6C" w:rsidP="00D63204">
            <w:pPr>
              <w:ind w:left="108"/>
              <w:rPr>
                <w:rFonts w:ascii="Arial" w:hAnsi="Arial" w:cs="Arial"/>
                <w:sz w:val="16"/>
                <w:szCs w:val="16"/>
              </w:rPr>
            </w:pPr>
            <w:r>
              <w:rPr>
                <w:rFonts w:ascii="Arial" w:hAnsi="Arial" w:cs="Arial"/>
                <w:sz w:val="16"/>
                <w:szCs w:val="16"/>
              </w:rPr>
              <w:t>Not Applicable</w:t>
            </w:r>
          </w:p>
        </w:tc>
      </w:tr>
      <w:tr w:rsidR="00600A6C" w:rsidRPr="0065710A" w14:paraId="5F8C90E7" w14:textId="77777777" w:rsidTr="002E5578">
        <w:tc>
          <w:tcPr>
            <w:tcW w:w="1870" w:type="dxa"/>
          </w:tcPr>
          <w:p w14:paraId="6E61293B" w14:textId="77777777" w:rsidR="00600A6C" w:rsidRPr="0065710A" w:rsidRDefault="00600A6C" w:rsidP="002E5578">
            <w:pPr>
              <w:ind w:left="108"/>
              <w:rPr>
                <w:rFonts w:ascii="Arial" w:hAnsi="Arial" w:cs="Arial"/>
                <w:sz w:val="16"/>
                <w:szCs w:val="16"/>
              </w:rPr>
            </w:pPr>
            <w:r>
              <w:rPr>
                <w:rFonts w:ascii="Arial" w:hAnsi="Arial" w:cs="Arial"/>
                <w:sz w:val="16"/>
                <w:szCs w:val="16"/>
              </w:rPr>
              <w:t>Vocational Rehabilitation</w:t>
            </w:r>
          </w:p>
        </w:tc>
        <w:tc>
          <w:tcPr>
            <w:tcW w:w="1870" w:type="dxa"/>
          </w:tcPr>
          <w:p w14:paraId="2077BAFE" w14:textId="77777777" w:rsidR="00600A6C" w:rsidRPr="0065710A" w:rsidRDefault="00600A6C" w:rsidP="00D63204">
            <w:pPr>
              <w:ind w:left="108"/>
              <w:rPr>
                <w:rFonts w:ascii="Arial" w:hAnsi="Arial" w:cs="Arial"/>
                <w:sz w:val="16"/>
                <w:szCs w:val="16"/>
              </w:rPr>
            </w:pPr>
            <w:r>
              <w:rPr>
                <w:rFonts w:ascii="Arial" w:hAnsi="Arial" w:cs="Arial"/>
                <w:sz w:val="16"/>
                <w:szCs w:val="16"/>
              </w:rPr>
              <w:t>TBD</w:t>
            </w:r>
          </w:p>
        </w:tc>
        <w:tc>
          <w:tcPr>
            <w:tcW w:w="1870" w:type="dxa"/>
          </w:tcPr>
          <w:p w14:paraId="2C4D64BD" w14:textId="77777777" w:rsidR="00600A6C" w:rsidRPr="0065710A" w:rsidRDefault="00600A6C" w:rsidP="00D63204">
            <w:pPr>
              <w:ind w:left="108"/>
              <w:rPr>
                <w:rFonts w:ascii="Arial" w:hAnsi="Arial" w:cs="Arial"/>
                <w:sz w:val="16"/>
                <w:szCs w:val="16"/>
              </w:rPr>
            </w:pPr>
          </w:p>
        </w:tc>
        <w:tc>
          <w:tcPr>
            <w:tcW w:w="1870" w:type="dxa"/>
          </w:tcPr>
          <w:p w14:paraId="301E5E8F" w14:textId="77777777" w:rsidR="00600A6C" w:rsidRPr="0065710A" w:rsidRDefault="00600A6C" w:rsidP="00D63204">
            <w:pPr>
              <w:ind w:left="108"/>
              <w:rPr>
                <w:rFonts w:ascii="Arial" w:hAnsi="Arial" w:cs="Arial"/>
                <w:sz w:val="16"/>
                <w:szCs w:val="16"/>
              </w:rPr>
            </w:pPr>
            <w:r>
              <w:rPr>
                <w:rFonts w:ascii="Arial" w:hAnsi="Arial" w:cs="Arial"/>
                <w:sz w:val="16"/>
                <w:szCs w:val="16"/>
              </w:rPr>
              <w:t>TBD</w:t>
            </w:r>
          </w:p>
        </w:tc>
        <w:tc>
          <w:tcPr>
            <w:tcW w:w="1870" w:type="dxa"/>
          </w:tcPr>
          <w:p w14:paraId="181E5AC2" w14:textId="77777777" w:rsidR="00600A6C" w:rsidRPr="0065710A" w:rsidRDefault="00600A6C" w:rsidP="00D63204">
            <w:pPr>
              <w:ind w:left="108"/>
              <w:rPr>
                <w:rFonts w:ascii="Arial" w:hAnsi="Arial" w:cs="Arial"/>
                <w:sz w:val="16"/>
                <w:szCs w:val="16"/>
              </w:rPr>
            </w:pPr>
          </w:p>
        </w:tc>
      </w:tr>
    </w:tbl>
    <w:p w14:paraId="2E9FD240" w14:textId="77777777" w:rsidR="00600A6C" w:rsidRDefault="00600A6C" w:rsidP="00600A6C">
      <w:pPr>
        <w:ind w:left="108"/>
        <w:rPr>
          <w:rFonts w:ascii="Arial" w:hAnsi="Arial" w:cs="Arial"/>
          <w:sz w:val="16"/>
          <w:szCs w:val="16"/>
        </w:rPr>
      </w:pPr>
    </w:p>
    <w:p w14:paraId="44519D0B" w14:textId="77777777" w:rsidR="00600A6C" w:rsidRDefault="00600A6C" w:rsidP="00600A6C">
      <w:pPr>
        <w:ind w:left="108"/>
        <w:rPr>
          <w:rFonts w:ascii="Arial" w:hAnsi="Arial" w:cs="Arial"/>
          <w:sz w:val="16"/>
          <w:szCs w:val="16"/>
        </w:rPr>
      </w:pPr>
    </w:p>
    <w:p w14:paraId="0A0286E4" w14:textId="77777777" w:rsidR="00600A6C" w:rsidRDefault="00600A6C" w:rsidP="00600A6C">
      <w:pPr>
        <w:ind w:left="108"/>
        <w:rPr>
          <w:rFonts w:ascii="Arial" w:hAnsi="Arial" w:cs="Arial"/>
          <w:sz w:val="16"/>
          <w:szCs w:val="16"/>
        </w:rPr>
      </w:pPr>
    </w:p>
    <w:p w14:paraId="1DFD8EC7" w14:textId="77777777" w:rsidR="00600A6C" w:rsidRDefault="00600A6C" w:rsidP="00600A6C">
      <w:pPr>
        <w:ind w:left="108"/>
        <w:rPr>
          <w:rFonts w:ascii="Arial" w:hAnsi="Arial" w:cs="Arial"/>
          <w:sz w:val="16"/>
          <w:szCs w:val="16"/>
        </w:rPr>
      </w:pPr>
    </w:p>
    <w:p w14:paraId="235B39BE" w14:textId="77777777" w:rsidR="00600A6C" w:rsidRDefault="00600A6C" w:rsidP="00600A6C">
      <w:pPr>
        <w:ind w:left="108"/>
        <w:rPr>
          <w:rFonts w:ascii="Arial" w:hAnsi="Arial" w:cs="Arial"/>
          <w:sz w:val="16"/>
          <w:szCs w:val="16"/>
        </w:rPr>
      </w:pPr>
    </w:p>
    <w:p w14:paraId="7DC2F281" w14:textId="77777777" w:rsidR="00600A6C" w:rsidRDefault="00600A6C" w:rsidP="00600A6C">
      <w:pPr>
        <w:ind w:left="108"/>
        <w:rPr>
          <w:rFonts w:ascii="Arial" w:hAnsi="Arial" w:cs="Arial"/>
          <w:sz w:val="16"/>
          <w:szCs w:val="16"/>
        </w:rPr>
      </w:pPr>
    </w:p>
    <w:tbl>
      <w:tblPr>
        <w:tblStyle w:val="TableGrid"/>
        <w:tblW w:w="0" w:type="auto"/>
        <w:tblLook w:val="04A0" w:firstRow="1" w:lastRow="0" w:firstColumn="1" w:lastColumn="0" w:noHBand="0" w:noVBand="1"/>
      </w:tblPr>
      <w:tblGrid>
        <w:gridCol w:w="1870"/>
        <w:gridCol w:w="1870"/>
        <w:gridCol w:w="1880"/>
        <w:gridCol w:w="1870"/>
        <w:gridCol w:w="1880"/>
      </w:tblGrid>
      <w:tr w:rsidR="00600A6C" w:rsidRPr="0065710A" w14:paraId="1C9A4854" w14:textId="77777777" w:rsidTr="002E5578">
        <w:trPr>
          <w:tblHeader/>
        </w:trPr>
        <w:tc>
          <w:tcPr>
            <w:tcW w:w="1870" w:type="dxa"/>
          </w:tcPr>
          <w:p w14:paraId="3ADE3FD1" w14:textId="77777777" w:rsidR="00600A6C" w:rsidRPr="0065710A" w:rsidRDefault="00600A6C" w:rsidP="002E5578">
            <w:pPr>
              <w:ind w:left="108"/>
              <w:rPr>
                <w:rFonts w:ascii="Arial" w:hAnsi="Arial" w:cs="Arial"/>
                <w:b/>
                <w:sz w:val="16"/>
                <w:szCs w:val="16"/>
              </w:rPr>
            </w:pPr>
            <w:r>
              <w:rPr>
                <w:rFonts w:ascii="Arial" w:hAnsi="Arial" w:cs="Arial"/>
                <w:b/>
                <w:sz w:val="16"/>
                <w:szCs w:val="16"/>
              </w:rPr>
              <w:t>Measurable Skills Gains</w:t>
            </w:r>
          </w:p>
        </w:tc>
        <w:tc>
          <w:tcPr>
            <w:tcW w:w="1870" w:type="dxa"/>
          </w:tcPr>
          <w:p w14:paraId="7B42FFA0" w14:textId="77777777" w:rsidR="00600A6C" w:rsidRPr="0065710A" w:rsidRDefault="00600A6C" w:rsidP="00D63204">
            <w:pPr>
              <w:ind w:left="108"/>
              <w:rPr>
                <w:rFonts w:ascii="Arial" w:hAnsi="Arial" w:cs="Arial"/>
                <w:b/>
                <w:sz w:val="16"/>
                <w:szCs w:val="16"/>
              </w:rPr>
            </w:pPr>
            <w:r>
              <w:rPr>
                <w:rFonts w:ascii="Arial" w:hAnsi="Arial" w:cs="Arial"/>
                <w:b/>
                <w:sz w:val="16"/>
                <w:szCs w:val="16"/>
              </w:rPr>
              <w:t>2018</w:t>
            </w:r>
            <w:r w:rsidRPr="0065710A">
              <w:rPr>
                <w:rFonts w:ascii="Arial" w:hAnsi="Arial" w:cs="Arial"/>
                <w:b/>
                <w:sz w:val="16"/>
                <w:szCs w:val="16"/>
              </w:rPr>
              <w:t xml:space="preserve"> Proposed/Expected Level</w:t>
            </w:r>
          </w:p>
        </w:tc>
        <w:tc>
          <w:tcPr>
            <w:tcW w:w="1870" w:type="dxa"/>
          </w:tcPr>
          <w:p w14:paraId="5455A0FF" w14:textId="77777777" w:rsidR="00600A6C" w:rsidRPr="0065710A" w:rsidRDefault="00600A6C" w:rsidP="00D63204">
            <w:pPr>
              <w:ind w:left="108"/>
              <w:rPr>
                <w:rFonts w:ascii="Arial" w:hAnsi="Arial" w:cs="Arial"/>
                <w:b/>
                <w:sz w:val="16"/>
                <w:szCs w:val="16"/>
              </w:rPr>
            </w:pPr>
            <w:r>
              <w:rPr>
                <w:rFonts w:ascii="Arial" w:hAnsi="Arial" w:cs="Arial"/>
                <w:b/>
                <w:sz w:val="16"/>
                <w:szCs w:val="16"/>
              </w:rPr>
              <w:t>2018</w:t>
            </w:r>
            <w:r w:rsidRPr="0065710A">
              <w:rPr>
                <w:rFonts w:ascii="Arial" w:hAnsi="Arial" w:cs="Arial"/>
                <w:b/>
                <w:sz w:val="16"/>
                <w:szCs w:val="16"/>
              </w:rPr>
              <w:t xml:space="preserve"> Negotiated/Adjusted Level</w:t>
            </w:r>
          </w:p>
        </w:tc>
        <w:tc>
          <w:tcPr>
            <w:tcW w:w="1870" w:type="dxa"/>
          </w:tcPr>
          <w:p w14:paraId="740E4AD9" w14:textId="77777777" w:rsidR="00600A6C" w:rsidRPr="0065710A" w:rsidRDefault="00600A6C" w:rsidP="00D63204">
            <w:pPr>
              <w:ind w:left="108"/>
              <w:rPr>
                <w:rFonts w:ascii="Arial" w:hAnsi="Arial" w:cs="Arial"/>
                <w:b/>
                <w:sz w:val="16"/>
                <w:szCs w:val="16"/>
              </w:rPr>
            </w:pPr>
            <w:r>
              <w:rPr>
                <w:rFonts w:ascii="Arial" w:hAnsi="Arial" w:cs="Arial"/>
                <w:b/>
                <w:sz w:val="16"/>
                <w:szCs w:val="16"/>
              </w:rPr>
              <w:t>2019</w:t>
            </w:r>
            <w:r w:rsidRPr="0065710A">
              <w:rPr>
                <w:rFonts w:ascii="Arial" w:hAnsi="Arial" w:cs="Arial"/>
                <w:b/>
                <w:sz w:val="16"/>
                <w:szCs w:val="16"/>
              </w:rPr>
              <w:t xml:space="preserve"> Proposed/Expected Level</w:t>
            </w:r>
          </w:p>
        </w:tc>
        <w:tc>
          <w:tcPr>
            <w:tcW w:w="1870" w:type="dxa"/>
          </w:tcPr>
          <w:p w14:paraId="635A5C78" w14:textId="77777777" w:rsidR="00600A6C" w:rsidRPr="0065710A" w:rsidRDefault="00600A6C" w:rsidP="00D63204">
            <w:pPr>
              <w:ind w:left="108"/>
              <w:rPr>
                <w:rFonts w:ascii="Arial" w:hAnsi="Arial" w:cs="Arial"/>
                <w:b/>
                <w:sz w:val="16"/>
                <w:szCs w:val="16"/>
              </w:rPr>
            </w:pPr>
            <w:r>
              <w:rPr>
                <w:rFonts w:ascii="Arial" w:hAnsi="Arial" w:cs="Arial"/>
                <w:b/>
                <w:sz w:val="16"/>
                <w:szCs w:val="16"/>
              </w:rPr>
              <w:t>2019</w:t>
            </w:r>
            <w:r w:rsidRPr="0065710A">
              <w:rPr>
                <w:rFonts w:ascii="Arial" w:hAnsi="Arial" w:cs="Arial"/>
                <w:b/>
                <w:sz w:val="16"/>
                <w:szCs w:val="16"/>
              </w:rPr>
              <w:t xml:space="preserve"> Negotiated/Adjusted Level</w:t>
            </w:r>
          </w:p>
        </w:tc>
      </w:tr>
      <w:tr w:rsidR="00600A6C" w:rsidRPr="0065710A" w14:paraId="7A2DAA4B" w14:textId="77777777" w:rsidTr="002E5578">
        <w:tc>
          <w:tcPr>
            <w:tcW w:w="1870" w:type="dxa"/>
            <w:shd w:val="clear" w:color="auto" w:fill="D9D9D9" w:themeFill="background1" w:themeFillShade="D9"/>
          </w:tcPr>
          <w:p w14:paraId="65D58519" w14:textId="77777777" w:rsidR="00600A6C" w:rsidRPr="0065710A" w:rsidRDefault="00600A6C" w:rsidP="002E5578">
            <w:pPr>
              <w:ind w:left="108"/>
              <w:rPr>
                <w:rFonts w:ascii="Arial" w:hAnsi="Arial" w:cs="Arial"/>
                <w:sz w:val="16"/>
                <w:szCs w:val="16"/>
              </w:rPr>
            </w:pPr>
            <w:r>
              <w:rPr>
                <w:rFonts w:ascii="Arial" w:hAnsi="Arial" w:cs="Arial"/>
                <w:sz w:val="16"/>
                <w:szCs w:val="16"/>
              </w:rPr>
              <w:t>Adults</w:t>
            </w:r>
          </w:p>
        </w:tc>
        <w:tc>
          <w:tcPr>
            <w:tcW w:w="1870" w:type="dxa"/>
            <w:shd w:val="clear" w:color="auto" w:fill="D9D9D9" w:themeFill="background1" w:themeFillShade="D9"/>
          </w:tcPr>
          <w:p w14:paraId="4B5FEDF8" w14:textId="77777777" w:rsidR="00600A6C" w:rsidRPr="0065710A" w:rsidRDefault="00600A6C" w:rsidP="00D63204">
            <w:pPr>
              <w:ind w:left="108"/>
              <w:rPr>
                <w:rFonts w:ascii="Arial" w:hAnsi="Arial" w:cs="Arial"/>
                <w:sz w:val="16"/>
                <w:szCs w:val="16"/>
              </w:rPr>
            </w:pPr>
            <w:r>
              <w:rPr>
                <w:rFonts w:ascii="Arial" w:hAnsi="Arial" w:cs="Arial"/>
                <w:sz w:val="16"/>
                <w:szCs w:val="16"/>
              </w:rPr>
              <w:t>TBD</w:t>
            </w:r>
          </w:p>
        </w:tc>
        <w:tc>
          <w:tcPr>
            <w:tcW w:w="1870" w:type="dxa"/>
            <w:shd w:val="clear" w:color="auto" w:fill="D9D9D9" w:themeFill="background1" w:themeFillShade="D9"/>
          </w:tcPr>
          <w:p w14:paraId="3A390D6C" w14:textId="77777777" w:rsidR="00600A6C" w:rsidRPr="0065710A" w:rsidRDefault="00600A6C" w:rsidP="00D63204">
            <w:pPr>
              <w:ind w:left="108"/>
              <w:rPr>
                <w:rFonts w:ascii="Arial" w:hAnsi="Arial" w:cs="Arial"/>
                <w:sz w:val="16"/>
                <w:szCs w:val="16"/>
              </w:rPr>
            </w:pPr>
          </w:p>
        </w:tc>
        <w:tc>
          <w:tcPr>
            <w:tcW w:w="1870" w:type="dxa"/>
            <w:shd w:val="clear" w:color="auto" w:fill="D9D9D9" w:themeFill="background1" w:themeFillShade="D9"/>
          </w:tcPr>
          <w:p w14:paraId="39C4C944" w14:textId="77777777" w:rsidR="00600A6C" w:rsidRPr="0065710A" w:rsidRDefault="00600A6C" w:rsidP="00D63204">
            <w:pPr>
              <w:ind w:left="108"/>
              <w:rPr>
                <w:rFonts w:ascii="Arial" w:hAnsi="Arial" w:cs="Arial"/>
                <w:sz w:val="16"/>
                <w:szCs w:val="16"/>
              </w:rPr>
            </w:pPr>
            <w:r>
              <w:rPr>
                <w:rFonts w:ascii="Arial" w:hAnsi="Arial" w:cs="Arial"/>
                <w:sz w:val="16"/>
                <w:szCs w:val="16"/>
              </w:rPr>
              <w:t>TBD</w:t>
            </w:r>
          </w:p>
        </w:tc>
        <w:tc>
          <w:tcPr>
            <w:tcW w:w="1870" w:type="dxa"/>
            <w:shd w:val="clear" w:color="auto" w:fill="D9D9D9" w:themeFill="background1" w:themeFillShade="D9"/>
          </w:tcPr>
          <w:p w14:paraId="4D6A1829" w14:textId="77777777" w:rsidR="00600A6C" w:rsidRPr="0065710A" w:rsidRDefault="00600A6C" w:rsidP="00D63204">
            <w:pPr>
              <w:ind w:left="108"/>
              <w:rPr>
                <w:rFonts w:ascii="Arial" w:hAnsi="Arial" w:cs="Arial"/>
                <w:sz w:val="16"/>
                <w:szCs w:val="16"/>
              </w:rPr>
            </w:pPr>
          </w:p>
        </w:tc>
      </w:tr>
      <w:tr w:rsidR="00600A6C" w:rsidRPr="0065710A" w14:paraId="2EFA06F7" w14:textId="77777777" w:rsidTr="002E5578">
        <w:tc>
          <w:tcPr>
            <w:tcW w:w="1870" w:type="dxa"/>
          </w:tcPr>
          <w:p w14:paraId="44EAF170" w14:textId="77777777" w:rsidR="00600A6C" w:rsidRPr="0065710A" w:rsidRDefault="00600A6C" w:rsidP="002E5578">
            <w:pPr>
              <w:ind w:left="108"/>
              <w:rPr>
                <w:rFonts w:ascii="Arial" w:hAnsi="Arial" w:cs="Arial"/>
                <w:sz w:val="16"/>
                <w:szCs w:val="16"/>
              </w:rPr>
            </w:pPr>
            <w:r>
              <w:rPr>
                <w:rFonts w:ascii="Arial" w:hAnsi="Arial" w:cs="Arial"/>
                <w:sz w:val="16"/>
                <w:szCs w:val="16"/>
              </w:rPr>
              <w:t>Dislocated Workers</w:t>
            </w:r>
          </w:p>
        </w:tc>
        <w:tc>
          <w:tcPr>
            <w:tcW w:w="1870" w:type="dxa"/>
          </w:tcPr>
          <w:p w14:paraId="043D28A3" w14:textId="77777777" w:rsidR="00600A6C" w:rsidRPr="0065710A" w:rsidRDefault="00600A6C" w:rsidP="00D63204">
            <w:pPr>
              <w:ind w:left="108"/>
              <w:rPr>
                <w:rFonts w:ascii="Arial" w:hAnsi="Arial" w:cs="Arial"/>
                <w:sz w:val="16"/>
                <w:szCs w:val="16"/>
              </w:rPr>
            </w:pPr>
            <w:r>
              <w:rPr>
                <w:rFonts w:ascii="Arial" w:hAnsi="Arial" w:cs="Arial"/>
                <w:sz w:val="16"/>
                <w:szCs w:val="16"/>
              </w:rPr>
              <w:t>TBD</w:t>
            </w:r>
          </w:p>
        </w:tc>
        <w:tc>
          <w:tcPr>
            <w:tcW w:w="1870" w:type="dxa"/>
          </w:tcPr>
          <w:p w14:paraId="394CAB9D" w14:textId="77777777" w:rsidR="00600A6C" w:rsidRPr="0065710A" w:rsidRDefault="00600A6C" w:rsidP="00D63204">
            <w:pPr>
              <w:ind w:left="108"/>
              <w:rPr>
                <w:rFonts w:ascii="Arial" w:hAnsi="Arial" w:cs="Arial"/>
                <w:sz w:val="16"/>
                <w:szCs w:val="16"/>
              </w:rPr>
            </w:pPr>
          </w:p>
        </w:tc>
        <w:tc>
          <w:tcPr>
            <w:tcW w:w="1870" w:type="dxa"/>
          </w:tcPr>
          <w:p w14:paraId="4D607AEE" w14:textId="77777777" w:rsidR="00600A6C" w:rsidRPr="0065710A" w:rsidRDefault="00600A6C" w:rsidP="00D63204">
            <w:pPr>
              <w:ind w:left="108"/>
              <w:rPr>
                <w:rFonts w:ascii="Arial" w:hAnsi="Arial" w:cs="Arial"/>
                <w:sz w:val="16"/>
                <w:szCs w:val="16"/>
              </w:rPr>
            </w:pPr>
            <w:r>
              <w:rPr>
                <w:rFonts w:ascii="Arial" w:hAnsi="Arial" w:cs="Arial"/>
                <w:sz w:val="16"/>
                <w:szCs w:val="16"/>
              </w:rPr>
              <w:t>TBD</w:t>
            </w:r>
          </w:p>
        </w:tc>
        <w:tc>
          <w:tcPr>
            <w:tcW w:w="1870" w:type="dxa"/>
          </w:tcPr>
          <w:p w14:paraId="0958CE96" w14:textId="77777777" w:rsidR="00600A6C" w:rsidRPr="0065710A" w:rsidRDefault="00600A6C" w:rsidP="00D63204">
            <w:pPr>
              <w:ind w:left="108"/>
              <w:rPr>
                <w:rFonts w:ascii="Arial" w:hAnsi="Arial" w:cs="Arial"/>
                <w:sz w:val="16"/>
                <w:szCs w:val="16"/>
              </w:rPr>
            </w:pPr>
          </w:p>
        </w:tc>
      </w:tr>
      <w:tr w:rsidR="00600A6C" w:rsidRPr="0065710A" w14:paraId="508FD183" w14:textId="77777777" w:rsidTr="002E5578">
        <w:tc>
          <w:tcPr>
            <w:tcW w:w="1870" w:type="dxa"/>
            <w:shd w:val="clear" w:color="auto" w:fill="D9D9D9" w:themeFill="background1" w:themeFillShade="D9"/>
          </w:tcPr>
          <w:p w14:paraId="48EA0D98" w14:textId="77777777" w:rsidR="00600A6C" w:rsidRPr="0065710A" w:rsidRDefault="00600A6C" w:rsidP="002E5578">
            <w:pPr>
              <w:ind w:left="108"/>
              <w:rPr>
                <w:rFonts w:ascii="Arial" w:hAnsi="Arial" w:cs="Arial"/>
                <w:sz w:val="16"/>
                <w:szCs w:val="16"/>
              </w:rPr>
            </w:pPr>
            <w:r>
              <w:rPr>
                <w:rFonts w:ascii="Arial" w:hAnsi="Arial" w:cs="Arial"/>
                <w:sz w:val="16"/>
                <w:szCs w:val="16"/>
              </w:rPr>
              <w:t>Youth</w:t>
            </w:r>
          </w:p>
        </w:tc>
        <w:tc>
          <w:tcPr>
            <w:tcW w:w="1870" w:type="dxa"/>
            <w:shd w:val="clear" w:color="auto" w:fill="D9D9D9" w:themeFill="background1" w:themeFillShade="D9"/>
          </w:tcPr>
          <w:p w14:paraId="56184E38" w14:textId="77777777" w:rsidR="00600A6C" w:rsidRPr="0065710A" w:rsidRDefault="00600A6C" w:rsidP="00D63204">
            <w:pPr>
              <w:ind w:left="108"/>
              <w:rPr>
                <w:rFonts w:ascii="Arial" w:hAnsi="Arial" w:cs="Arial"/>
                <w:sz w:val="16"/>
                <w:szCs w:val="16"/>
              </w:rPr>
            </w:pPr>
            <w:r>
              <w:rPr>
                <w:rFonts w:ascii="Arial" w:hAnsi="Arial" w:cs="Arial"/>
                <w:sz w:val="16"/>
                <w:szCs w:val="16"/>
              </w:rPr>
              <w:t>TBD</w:t>
            </w:r>
          </w:p>
        </w:tc>
        <w:tc>
          <w:tcPr>
            <w:tcW w:w="1870" w:type="dxa"/>
            <w:shd w:val="clear" w:color="auto" w:fill="D9D9D9" w:themeFill="background1" w:themeFillShade="D9"/>
          </w:tcPr>
          <w:p w14:paraId="7D7D978D" w14:textId="77777777" w:rsidR="00600A6C" w:rsidRPr="0065710A" w:rsidRDefault="00600A6C" w:rsidP="00D63204">
            <w:pPr>
              <w:ind w:left="108"/>
              <w:rPr>
                <w:rFonts w:ascii="Arial" w:hAnsi="Arial" w:cs="Arial"/>
                <w:sz w:val="16"/>
                <w:szCs w:val="16"/>
              </w:rPr>
            </w:pPr>
          </w:p>
        </w:tc>
        <w:tc>
          <w:tcPr>
            <w:tcW w:w="1870" w:type="dxa"/>
            <w:shd w:val="clear" w:color="auto" w:fill="D9D9D9" w:themeFill="background1" w:themeFillShade="D9"/>
          </w:tcPr>
          <w:p w14:paraId="562BFAED" w14:textId="77777777" w:rsidR="00600A6C" w:rsidRPr="0065710A" w:rsidRDefault="00600A6C" w:rsidP="00D63204">
            <w:pPr>
              <w:ind w:left="108"/>
              <w:rPr>
                <w:rFonts w:ascii="Arial" w:hAnsi="Arial" w:cs="Arial"/>
                <w:sz w:val="16"/>
                <w:szCs w:val="16"/>
              </w:rPr>
            </w:pPr>
            <w:r>
              <w:rPr>
                <w:rFonts w:ascii="Arial" w:hAnsi="Arial" w:cs="Arial"/>
                <w:sz w:val="16"/>
                <w:szCs w:val="16"/>
              </w:rPr>
              <w:t>TBD</w:t>
            </w:r>
          </w:p>
        </w:tc>
        <w:tc>
          <w:tcPr>
            <w:tcW w:w="1870" w:type="dxa"/>
            <w:shd w:val="clear" w:color="auto" w:fill="D9D9D9" w:themeFill="background1" w:themeFillShade="D9"/>
          </w:tcPr>
          <w:p w14:paraId="704635EE" w14:textId="77777777" w:rsidR="00600A6C" w:rsidRPr="0065710A" w:rsidRDefault="00600A6C" w:rsidP="00D63204">
            <w:pPr>
              <w:ind w:left="108"/>
              <w:rPr>
                <w:rFonts w:ascii="Arial" w:hAnsi="Arial" w:cs="Arial"/>
                <w:sz w:val="16"/>
                <w:szCs w:val="16"/>
              </w:rPr>
            </w:pPr>
          </w:p>
        </w:tc>
      </w:tr>
      <w:tr w:rsidR="00600A6C" w:rsidRPr="0065710A" w14:paraId="262FBBC2" w14:textId="77777777" w:rsidTr="002E5578">
        <w:tc>
          <w:tcPr>
            <w:tcW w:w="1870" w:type="dxa"/>
          </w:tcPr>
          <w:p w14:paraId="386577B7" w14:textId="77777777" w:rsidR="00600A6C" w:rsidRPr="0065710A" w:rsidRDefault="00600A6C" w:rsidP="002E5578">
            <w:pPr>
              <w:ind w:left="108"/>
              <w:rPr>
                <w:rFonts w:ascii="Arial" w:hAnsi="Arial" w:cs="Arial"/>
                <w:sz w:val="16"/>
                <w:szCs w:val="16"/>
              </w:rPr>
            </w:pPr>
            <w:r>
              <w:rPr>
                <w:rFonts w:ascii="Arial" w:hAnsi="Arial" w:cs="Arial"/>
                <w:sz w:val="16"/>
                <w:szCs w:val="16"/>
              </w:rPr>
              <w:t>Adult Education</w:t>
            </w:r>
          </w:p>
        </w:tc>
        <w:tc>
          <w:tcPr>
            <w:tcW w:w="1870" w:type="dxa"/>
          </w:tcPr>
          <w:p w14:paraId="27AE7B41" w14:textId="77777777" w:rsidR="00600A6C" w:rsidRPr="0065710A" w:rsidRDefault="00600A6C" w:rsidP="00D63204">
            <w:pPr>
              <w:ind w:left="108"/>
              <w:rPr>
                <w:rFonts w:ascii="Arial" w:hAnsi="Arial" w:cs="Arial"/>
                <w:sz w:val="16"/>
                <w:szCs w:val="16"/>
              </w:rPr>
            </w:pPr>
            <w:r>
              <w:rPr>
                <w:rFonts w:ascii="Arial" w:hAnsi="Arial" w:cs="Arial"/>
                <w:sz w:val="16"/>
                <w:szCs w:val="16"/>
              </w:rPr>
              <w:t>TBD</w:t>
            </w:r>
          </w:p>
        </w:tc>
        <w:tc>
          <w:tcPr>
            <w:tcW w:w="1870" w:type="dxa"/>
          </w:tcPr>
          <w:p w14:paraId="6BBB22EF" w14:textId="77777777" w:rsidR="00600A6C" w:rsidRPr="0065710A" w:rsidRDefault="00600A6C" w:rsidP="00D63204">
            <w:pPr>
              <w:ind w:left="108"/>
              <w:rPr>
                <w:rFonts w:ascii="Arial" w:hAnsi="Arial" w:cs="Arial"/>
                <w:sz w:val="16"/>
                <w:szCs w:val="16"/>
              </w:rPr>
            </w:pPr>
          </w:p>
        </w:tc>
        <w:tc>
          <w:tcPr>
            <w:tcW w:w="1870" w:type="dxa"/>
          </w:tcPr>
          <w:p w14:paraId="05381F1E" w14:textId="77777777" w:rsidR="00600A6C" w:rsidRPr="0065710A" w:rsidRDefault="00600A6C" w:rsidP="00D63204">
            <w:pPr>
              <w:ind w:left="108"/>
              <w:rPr>
                <w:rFonts w:ascii="Arial" w:hAnsi="Arial" w:cs="Arial"/>
                <w:sz w:val="16"/>
                <w:szCs w:val="16"/>
              </w:rPr>
            </w:pPr>
            <w:r>
              <w:rPr>
                <w:rFonts w:ascii="Arial" w:hAnsi="Arial" w:cs="Arial"/>
                <w:sz w:val="16"/>
                <w:szCs w:val="16"/>
              </w:rPr>
              <w:t>TBD</w:t>
            </w:r>
          </w:p>
        </w:tc>
        <w:tc>
          <w:tcPr>
            <w:tcW w:w="1870" w:type="dxa"/>
          </w:tcPr>
          <w:p w14:paraId="550E71C7" w14:textId="77777777" w:rsidR="00600A6C" w:rsidRPr="0065710A" w:rsidRDefault="00600A6C" w:rsidP="00D63204">
            <w:pPr>
              <w:ind w:left="108"/>
              <w:rPr>
                <w:rFonts w:ascii="Arial" w:hAnsi="Arial" w:cs="Arial"/>
                <w:sz w:val="16"/>
                <w:szCs w:val="16"/>
              </w:rPr>
            </w:pPr>
          </w:p>
        </w:tc>
      </w:tr>
      <w:tr w:rsidR="00600A6C" w:rsidRPr="0065710A" w14:paraId="35AE7A40" w14:textId="77777777" w:rsidTr="002E5578">
        <w:tc>
          <w:tcPr>
            <w:tcW w:w="1870" w:type="dxa"/>
            <w:shd w:val="clear" w:color="auto" w:fill="D9D9D9" w:themeFill="background1" w:themeFillShade="D9"/>
          </w:tcPr>
          <w:p w14:paraId="1042BA80" w14:textId="77777777" w:rsidR="00600A6C" w:rsidRPr="0065710A" w:rsidRDefault="00600A6C" w:rsidP="002E5578">
            <w:pPr>
              <w:ind w:left="108"/>
              <w:rPr>
                <w:rFonts w:ascii="Arial" w:hAnsi="Arial" w:cs="Arial"/>
                <w:sz w:val="16"/>
                <w:szCs w:val="16"/>
              </w:rPr>
            </w:pPr>
            <w:r>
              <w:rPr>
                <w:rFonts w:ascii="Arial" w:hAnsi="Arial" w:cs="Arial"/>
                <w:sz w:val="16"/>
                <w:szCs w:val="16"/>
              </w:rPr>
              <w:t>Wagner-Peyser</w:t>
            </w:r>
          </w:p>
        </w:tc>
        <w:tc>
          <w:tcPr>
            <w:tcW w:w="1870" w:type="dxa"/>
            <w:shd w:val="clear" w:color="auto" w:fill="D9D9D9" w:themeFill="background1" w:themeFillShade="D9"/>
          </w:tcPr>
          <w:p w14:paraId="6AF97CBD" w14:textId="77777777" w:rsidR="00600A6C" w:rsidRPr="0065710A" w:rsidRDefault="00600A6C" w:rsidP="00D63204">
            <w:pPr>
              <w:ind w:left="108"/>
              <w:rPr>
                <w:rFonts w:ascii="Arial" w:hAnsi="Arial" w:cs="Arial"/>
                <w:sz w:val="16"/>
                <w:szCs w:val="16"/>
              </w:rPr>
            </w:pPr>
            <w:r>
              <w:rPr>
                <w:rFonts w:ascii="Arial" w:hAnsi="Arial" w:cs="Arial"/>
                <w:sz w:val="16"/>
                <w:szCs w:val="16"/>
              </w:rPr>
              <w:t>Not Applicable</w:t>
            </w:r>
          </w:p>
        </w:tc>
        <w:tc>
          <w:tcPr>
            <w:tcW w:w="1870" w:type="dxa"/>
            <w:shd w:val="clear" w:color="auto" w:fill="D9D9D9" w:themeFill="background1" w:themeFillShade="D9"/>
          </w:tcPr>
          <w:p w14:paraId="0033605E" w14:textId="77777777" w:rsidR="00600A6C" w:rsidRPr="0065710A" w:rsidRDefault="00600A6C" w:rsidP="00D63204">
            <w:pPr>
              <w:ind w:left="108"/>
              <w:rPr>
                <w:rFonts w:ascii="Arial" w:hAnsi="Arial" w:cs="Arial"/>
                <w:sz w:val="16"/>
                <w:szCs w:val="16"/>
              </w:rPr>
            </w:pPr>
            <w:r>
              <w:rPr>
                <w:rFonts w:ascii="Arial" w:hAnsi="Arial" w:cs="Arial"/>
                <w:sz w:val="16"/>
                <w:szCs w:val="16"/>
              </w:rPr>
              <w:t>Not Applicable</w:t>
            </w:r>
          </w:p>
        </w:tc>
        <w:tc>
          <w:tcPr>
            <w:tcW w:w="1870" w:type="dxa"/>
            <w:shd w:val="clear" w:color="auto" w:fill="D9D9D9" w:themeFill="background1" w:themeFillShade="D9"/>
          </w:tcPr>
          <w:p w14:paraId="4E049372" w14:textId="77777777" w:rsidR="00600A6C" w:rsidRPr="0065710A" w:rsidRDefault="00600A6C" w:rsidP="00D63204">
            <w:pPr>
              <w:ind w:left="108"/>
              <w:rPr>
                <w:rFonts w:ascii="Arial" w:hAnsi="Arial" w:cs="Arial"/>
                <w:sz w:val="16"/>
                <w:szCs w:val="16"/>
              </w:rPr>
            </w:pPr>
            <w:r>
              <w:rPr>
                <w:rFonts w:ascii="Arial" w:hAnsi="Arial" w:cs="Arial"/>
                <w:sz w:val="16"/>
                <w:szCs w:val="16"/>
              </w:rPr>
              <w:t>Not Applicable</w:t>
            </w:r>
          </w:p>
        </w:tc>
        <w:tc>
          <w:tcPr>
            <w:tcW w:w="1870" w:type="dxa"/>
            <w:shd w:val="clear" w:color="auto" w:fill="D9D9D9" w:themeFill="background1" w:themeFillShade="D9"/>
          </w:tcPr>
          <w:p w14:paraId="20995715" w14:textId="77777777" w:rsidR="00600A6C" w:rsidRPr="0065710A" w:rsidRDefault="00600A6C" w:rsidP="00D63204">
            <w:pPr>
              <w:ind w:left="108"/>
              <w:rPr>
                <w:rFonts w:ascii="Arial" w:hAnsi="Arial" w:cs="Arial"/>
                <w:sz w:val="16"/>
                <w:szCs w:val="16"/>
              </w:rPr>
            </w:pPr>
            <w:r>
              <w:rPr>
                <w:rFonts w:ascii="Arial" w:hAnsi="Arial" w:cs="Arial"/>
                <w:sz w:val="16"/>
                <w:szCs w:val="16"/>
              </w:rPr>
              <w:t>Not Applicable</w:t>
            </w:r>
          </w:p>
        </w:tc>
      </w:tr>
      <w:tr w:rsidR="00600A6C" w:rsidRPr="0065710A" w14:paraId="52F424D2" w14:textId="77777777" w:rsidTr="002E5578">
        <w:tc>
          <w:tcPr>
            <w:tcW w:w="1870" w:type="dxa"/>
          </w:tcPr>
          <w:p w14:paraId="0194B6E1" w14:textId="77777777" w:rsidR="00600A6C" w:rsidRPr="0065710A" w:rsidRDefault="00600A6C" w:rsidP="002E5578">
            <w:pPr>
              <w:ind w:left="108"/>
              <w:rPr>
                <w:rFonts w:ascii="Arial" w:hAnsi="Arial" w:cs="Arial"/>
                <w:sz w:val="16"/>
                <w:szCs w:val="16"/>
              </w:rPr>
            </w:pPr>
            <w:r>
              <w:rPr>
                <w:rFonts w:ascii="Arial" w:hAnsi="Arial" w:cs="Arial"/>
                <w:sz w:val="16"/>
                <w:szCs w:val="16"/>
              </w:rPr>
              <w:t>Vocational Rehabilitation</w:t>
            </w:r>
          </w:p>
        </w:tc>
        <w:tc>
          <w:tcPr>
            <w:tcW w:w="1870" w:type="dxa"/>
          </w:tcPr>
          <w:p w14:paraId="4138901C" w14:textId="77777777" w:rsidR="00600A6C" w:rsidRPr="0065710A" w:rsidRDefault="00600A6C" w:rsidP="00D63204">
            <w:pPr>
              <w:ind w:left="108"/>
              <w:rPr>
                <w:rFonts w:ascii="Arial" w:hAnsi="Arial" w:cs="Arial"/>
                <w:sz w:val="16"/>
                <w:szCs w:val="16"/>
              </w:rPr>
            </w:pPr>
            <w:r>
              <w:rPr>
                <w:rFonts w:ascii="Arial" w:hAnsi="Arial" w:cs="Arial"/>
                <w:sz w:val="16"/>
                <w:szCs w:val="16"/>
              </w:rPr>
              <w:t>TBD</w:t>
            </w:r>
          </w:p>
        </w:tc>
        <w:tc>
          <w:tcPr>
            <w:tcW w:w="1870" w:type="dxa"/>
          </w:tcPr>
          <w:p w14:paraId="31FD48C2" w14:textId="77777777" w:rsidR="00600A6C" w:rsidRPr="0065710A" w:rsidRDefault="00600A6C" w:rsidP="00D63204">
            <w:pPr>
              <w:ind w:left="108"/>
              <w:rPr>
                <w:rFonts w:ascii="Arial" w:hAnsi="Arial" w:cs="Arial"/>
                <w:sz w:val="16"/>
                <w:szCs w:val="16"/>
              </w:rPr>
            </w:pPr>
          </w:p>
        </w:tc>
        <w:tc>
          <w:tcPr>
            <w:tcW w:w="1870" w:type="dxa"/>
          </w:tcPr>
          <w:p w14:paraId="5CDCFD76" w14:textId="77777777" w:rsidR="00600A6C" w:rsidRPr="0065710A" w:rsidRDefault="00600A6C" w:rsidP="00D63204">
            <w:pPr>
              <w:ind w:left="108"/>
              <w:rPr>
                <w:rFonts w:ascii="Arial" w:hAnsi="Arial" w:cs="Arial"/>
                <w:sz w:val="16"/>
                <w:szCs w:val="16"/>
              </w:rPr>
            </w:pPr>
            <w:r>
              <w:rPr>
                <w:rFonts w:ascii="Arial" w:hAnsi="Arial" w:cs="Arial"/>
                <w:sz w:val="16"/>
                <w:szCs w:val="16"/>
              </w:rPr>
              <w:t>TBD</w:t>
            </w:r>
          </w:p>
        </w:tc>
        <w:tc>
          <w:tcPr>
            <w:tcW w:w="1870" w:type="dxa"/>
          </w:tcPr>
          <w:p w14:paraId="24F4808B" w14:textId="77777777" w:rsidR="00600A6C" w:rsidRPr="0065710A" w:rsidRDefault="00600A6C" w:rsidP="00D63204">
            <w:pPr>
              <w:ind w:left="108"/>
              <w:rPr>
                <w:rFonts w:ascii="Arial" w:hAnsi="Arial" w:cs="Arial"/>
                <w:sz w:val="16"/>
                <w:szCs w:val="16"/>
              </w:rPr>
            </w:pPr>
          </w:p>
        </w:tc>
      </w:tr>
    </w:tbl>
    <w:p w14:paraId="7B355B56" w14:textId="77777777" w:rsidR="00600A6C" w:rsidRDefault="00600A6C" w:rsidP="00600A6C">
      <w:pPr>
        <w:ind w:left="108"/>
        <w:rPr>
          <w:rFonts w:ascii="Arial" w:hAnsi="Arial" w:cs="Arial"/>
          <w:sz w:val="16"/>
          <w:szCs w:val="16"/>
        </w:rPr>
      </w:pPr>
    </w:p>
    <w:tbl>
      <w:tblPr>
        <w:tblStyle w:val="TableGrid"/>
        <w:tblW w:w="0" w:type="auto"/>
        <w:tblLook w:val="04A0" w:firstRow="1" w:lastRow="0" w:firstColumn="1" w:lastColumn="0" w:noHBand="0" w:noVBand="1"/>
      </w:tblPr>
      <w:tblGrid>
        <w:gridCol w:w="1870"/>
        <w:gridCol w:w="1870"/>
        <w:gridCol w:w="1880"/>
        <w:gridCol w:w="1870"/>
        <w:gridCol w:w="1880"/>
      </w:tblGrid>
      <w:tr w:rsidR="00600A6C" w:rsidRPr="0065710A" w14:paraId="43BF69F7" w14:textId="77777777" w:rsidTr="002E5578">
        <w:trPr>
          <w:tblHeader/>
        </w:trPr>
        <w:tc>
          <w:tcPr>
            <w:tcW w:w="1870" w:type="dxa"/>
          </w:tcPr>
          <w:p w14:paraId="48FDE448" w14:textId="77777777" w:rsidR="00600A6C" w:rsidRPr="0065710A" w:rsidRDefault="00600A6C" w:rsidP="002E5578">
            <w:pPr>
              <w:ind w:left="108"/>
              <w:rPr>
                <w:rFonts w:ascii="Arial" w:hAnsi="Arial" w:cs="Arial"/>
                <w:b/>
                <w:sz w:val="16"/>
                <w:szCs w:val="16"/>
              </w:rPr>
            </w:pPr>
            <w:r>
              <w:rPr>
                <w:rFonts w:ascii="Arial" w:hAnsi="Arial" w:cs="Arial"/>
                <w:b/>
                <w:sz w:val="16"/>
                <w:szCs w:val="16"/>
              </w:rPr>
              <w:t>Effectiveness in Serving Employers</w:t>
            </w:r>
          </w:p>
        </w:tc>
        <w:tc>
          <w:tcPr>
            <w:tcW w:w="1870" w:type="dxa"/>
          </w:tcPr>
          <w:p w14:paraId="4F2B89AE" w14:textId="77777777" w:rsidR="00600A6C" w:rsidRPr="0065710A" w:rsidRDefault="00600A6C" w:rsidP="00D63204">
            <w:pPr>
              <w:ind w:left="108"/>
              <w:rPr>
                <w:rFonts w:ascii="Arial" w:hAnsi="Arial" w:cs="Arial"/>
                <w:b/>
                <w:sz w:val="16"/>
                <w:szCs w:val="16"/>
              </w:rPr>
            </w:pPr>
            <w:r>
              <w:rPr>
                <w:rFonts w:ascii="Arial" w:hAnsi="Arial" w:cs="Arial"/>
                <w:b/>
                <w:sz w:val="16"/>
                <w:szCs w:val="16"/>
              </w:rPr>
              <w:t>2018</w:t>
            </w:r>
            <w:r w:rsidRPr="0065710A">
              <w:rPr>
                <w:rFonts w:ascii="Arial" w:hAnsi="Arial" w:cs="Arial"/>
                <w:b/>
                <w:sz w:val="16"/>
                <w:szCs w:val="16"/>
              </w:rPr>
              <w:t xml:space="preserve"> Proposed/Expected Level</w:t>
            </w:r>
          </w:p>
        </w:tc>
        <w:tc>
          <w:tcPr>
            <w:tcW w:w="1870" w:type="dxa"/>
          </w:tcPr>
          <w:p w14:paraId="544DA4C9" w14:textId="77777777" w:rsidR="00600A6C" w:rsidRPr="0065710A" w:rsidRDefault="00600A6C" w:rsidP="00D63204">
            <w:pPr>
              <w:ind w:left="108"/>
              <w:rPr>
                <w:rFonts w:ascii="Arial" w:hAnsi="Arial" w:cs="Arial"/>
                <w:b/>
                <w:sz w:val="16"/>
                <w:szCs w:val="16"/>
              </w:rPr>
            </w:pPr>
            <w:r>
              <w:rPr>
                <w:rFonts w:ascii="Arial" w:hAnsi="Arial" w:cs="Arial"/>
                <w:b/>
                <w:sz w:val="16"/>
                <w:szCs w:val="16"/>
              </w:rPr>
              <w:t>2018</w:t>
            </w:r>
            <w:r w:rsidRPr="0065710A">
              <w:rPr>
                <w:rFonts w:ascii="Arial" w:hAnsi="Arial" w:cs="Arial"/>
                <w:b/>
                <w:sz w:val="16"/>
                <w:szCs w:val="16"/>
              </w:rPr>
              <w:t xml:space="preserve"> Negotiated/Adjusted Level</w:t>
            </w:r>
          </w:p>
        </w:tc>
        <w:tc>
          <w:tcPr>
            <w:tcW w:w="1870" w:type="dxa"/>
          </w:tcPr>
          <w:p w14:paraId="41B7A549" w14:textId="77777777" w:rsidR="00600A6C" w:rsidRPr="0065710A" w:rsidRDefault="00600A6C" w:rsidP="00D63204">
            <w:pPr>
              <w:ind w:left="108"/>
              <w:rPr>
                <w:rFonts w:ascii="Arial" w:hAnsi="Arial" w:cs="Arial"/>
                <w:b/>
                <w:sz w:val="16"/>
                <w:szCs w:val="16"/>
              </w:rPr>
            </w:pPr>
            <w:r>
              <w:rPr>
                <w:rFonts w:ascii="Arial" w:hAnsi="Arial" w:cs="Arial"/>
                <w:b/>
                <w:sz w:val="16"/>
                <w:szCs w:val="16"/>
              </w:rPr>
              <w:t>2019</w:t>
            </w:r>
            <w:r w:rsidRPr="0065710A">
              <w:rPr>
                <w:rFonts w:ascii="Arial" w:hAnsi="Arial" w:cs="Arial"/>
                <w:b/>
                <w:sz w:val="16"/>
                <w:szCs w:val="16"/>
              </w:rPr>
              <w:t xml:space="preserve"> Proposed/Expected Level</w:t>
            </w:r>
          </w:p>
        </w:tc>
        <w:tc>
          <w:tcPr>
            <w:tcW w:w="1870" w:type="dxa"/>
          </w:tcPr>
          <w:p w14:paraId="3D4CBB6F" w14:textId="77777777" w:rsidR="00600A6C" w:rsidRPr="0065710A" w:rsidRDefault="00600A6C" w:rsidP="00D63204">
            <w:pPr>
              <w:ind w:left="108"/>
              <w:rPr>
                <w:rFonts w:ascii="Arial" w:hAnsi="Arial" w:cs="Arial"/>
                <w:b/>
                <w:sz w:val="16"/>
                <w:szCs w:val="16"/>
              </w:rPr>
            </w:pPr>
            <w:r>
              <w:rPr>
                <w:rFonts w:ascii="Arial" w:hAnsi="Arial" w:cs="Arial"/>
                <w:b/>
                <w:sz w:val="16"/>
                <w:szCs w:val="16"/>
              </w:rPr>
              <w:t>2019</w:t>
            </w:r>
            <w:r w:rsidRPr="0065710A">
              <w:rPr>
                <w:rFonts w:ascii="Arial" w:hAnsi="Arial" w:cs="Arial"/>
                <w:b/>
                <w:sz w:val="16"/>
                <w:szCs w:val="16"/>
              </w:rPr>
              <w:t xml:space="preserve"> Negotiated/Adjusted Level</w:t>
            </w:r>
          </w:p>
        </w:tc>
      </w:tr>
      <w:tr w:rsidR="00600A6C" w:rsidRPr="0065710A" w14:paraId="441C9D07" w14:textId="77777777" w:rsidTr="002E5578">
        <w:tc>
          <w:tcPr>
            <w:tcW w:w="1870" w:type="dxa"/>
            <w:shd w:val="clear" w:color="auto" w:fill="D9D9D9" w:themeFill="background1" w:themeFillShade="D9"/>
          </w:tcPr>
          <w:p w14:paraId="2150FE00" w14:textId="77777777" w:rsidR="00600A6C" w:rsidRPr="0065710A" w:rsidRDefault="00600A6C" w:rsidP="002E5578">
            <w:pPr>
              <w:ind w:left="108"/>
              <w:rPr>
                <w:rFonts w:ascii="Arial" w:hAnsi="Arial" w:cs="Arial"/>
                <w:sz w:val="16"/>
                <w:szCs w:val="16"/>
              </w:rPr>
            </w:pPr>
            <w:r>
              <w:rPr>
                <w:rFonts w:ascii="Arial" w:hAnsi="Arial" w:cs="Arial"/>
                <w:sz w:val="16"/>
                <w:szCs w:val="16"/>
              </w:rPr>
              <w:t>Adults</w:t>
            </w:r>
          </w:p>
        </w:tc>
        <w:tc>
          <w:tcPr>
            <w:tcW w:w="1870" w:type="dxa"/>
            <w:shd w:val="clear" w:color="auto" w:fill="D9D9D9" w:themeFill="background1" w:themeFillShade="D9"/>
          </w:tcPr>
          <w:p w14:paraId="3B2D149A" w14:textId="77777777" w:rsidR="00600A6C" w:rsidRPr="0065710A" w:rsidRDefault="00600A6C" w:rsidP="00D63204">
            <w:pPr>
              <w:ind w:left="108"/>
              <w:rPr>
                <w:rFonts w:ascii="Arial" w:hAnsi="Arial" w:cs="Arial"/>
                <w:sz w:val="16"/>
                <w:szCs w:val="16"/>
              </w:rPr>
            </w:pPr>
            <w:r>
              <w:rPr>
                <w:rFonts w:ascii="Arial" w:hAnsi="Arial" w:cs="Arial"/>
                <w:sz w:val="16"/>
                <w:szCs w:val="16"/>
              </w:rPr>
              <w:t>TBD</w:t>
            </w:r>
          </w:p>
        </w:tc>
        <w:tc>
          <w:tcPr>
            <w:tcW w:w="1870" w:type="dxa"/>
            <w:shd w:val="clear" w:color="auto" w:fill="D9D9D9" w:themeFill="background1" w:themeFillShade="D9"/>
          </w:tcPr>
          <w:p w14:paraId="4B7C202D" w14:textId="77777777" w:rsidR="00600A6C" w:rsidRPr="0065710A" w:rsidRDefault="00600A6C" w:rsidP="00D63204">
            <w:pPr>
              <w:ind w:left="108"/>
              <w:rPr>
                <w:rFonts w:ascii="Arial" w:hAnsi="Arial" w:cs="Arial"/>
                <w:sz w:val="16"/>
                <w:szCs w:val="16"/>
              </w:rPr>
            </w:pPr>
          </w:p>
        </w:tc>
        <w:tc>
          <w:tcPr>
            <w:tcW w:w="1870" w:type="dxa"/>
            <w:shd w:val="clear" w:color="auto" w:fill="D9D9D9" w:themeFill="background1" w:themeFillShade="D9"/>
          </w:tcPr>
          <w:p w14:paraId="73EB3C15" w14:textId="77777777" w:rsidR="00600A6C" w:rsidRPr="0065710A" w:rsidRDefault="00600A6C" w:rsidP="00D63204">
            <w:pPr>
              <w:ind w:left="108"/>
              <w:rPr>
                <w:rFonts w:ascii="Arial" w:hAnsi="Arial" w:cs="Arial"/>
                <w:sz w:val="16"/>
                <w:szCs w:val="16"/>
              </w:rPr>
            </w:pPr>
            <w:r>
              <w:rPr>
                <w:rFonts w:ascii="Arial" w:hAnsi="Arial" w:cs="Arial"/>
                <w:sz w:val="16"/>
                <w:szCs w:val="16"/>
              </w:rPr>
              <w:t>TBD</w:t>
            </w:r>
          </w:p>
        </w:tc>
        <w:tc>
          <w:tcPr>
            <w:tcW w:w="1870" w:type="dxa"/>
            <w:shd w:val="clear" w:color="auto" w:fill="D9D9D9" w:themeFill="background1" w:themeFillShade="D9"/>
          </w:tcPr>
          <w:p w14:paraId="226CD463" w14:textId="77777777" w:rsidR="00600A6C" w:rsidRPr="0065710A" w:rsidRDefault="00600A6C" w:rsidP="00D63204">
            <w:pPr>
              <w:ind w:left="108"/>
              <w:rPr>
                <w:rFonts w:ascii="Arial" w:hAnsi="Arial" w:cs="Arial"/>
                <w:sz w:val="16"/>
                <w:szCs w:val="16"/>
              </w:rPr>
            </w:pPr>
          </w:p>
        </w:tc>
      </w:tr>
      <w:tr w:rsidR="00600A6C" w:rsidRPr="0065710A" w14:paraId="0E19C869" w14:textId="77777777" w:rsidTr="002E5578">
        <w:tc>
          <w:tcPr>
            <w:tcW w:w="1870" w:type="dxa"/>
          </w:tcPr>
          <w:p w14:paraId="18C0DED3" w14:textId="77777777" w:rsidR="00600A6C" w:rsidRPr="0065710A" w:rsidRDefault="00600A6C" w:rsidP="002E5578">
            <w:pPr>
              <w:ind w:left="108"/>
              <w:rPr>
                <w:rFonts w:ascii="Arial" w:hAnsi="Arial" w:cs="Arial"/>
                <w:sz w:val="16"/>
                <w:szCs w:val="16"/>
              </w:rPr>
            </w:pPr>
            <w:r>
              <w:rPr>
                <w:rFonts w:ascii="Arial" w:hAnsi="Arial" w:cs="Arial"/>
                <w:sz w:val="16"/>
                <w:szCs w:val="16"/>
              </w:rPr>
              <w:t>Dislocated Workers</w:t>
            </w:r>
          </w:p>
        </w:tc>
        <w:tc>
          <w:tcPr>
            <w:tcW w:w="1870" w:type="dxa"/>
          </w:tcPr>
          <w:p w14:paraId="3A3110DB" w14:textId="77777777" w:rsidR="00600A6C" w:rsidRPr="0065710A" w:rsidRDefault="00600A6C" w:rsidP="00D63204">
            <w:pPr>
              <w:ind w:left="108"/>
              <w:rPr>
                <w:rFonts w:ascii="Arial" w:hAnsi="Arial" w:cs="Arial"/>
                <w:sz w:val="16"/>
                <w:szCs w:val="16"/>
              </w:rPr>
            </w:pPr>
            <w:r>
              <w:rPr>
                <w:rFonts w:ascii="Arial" w:hAnsi="Arial" w:cs="Arial"/>
                <w:sz w:val="16"/>
                <w:szCs w:val="16"/>
              </w:rPr>
              <w:t>TBD</w:t>
            </w:r>
          </w:p>
        </w:tc>
        <w:tc>
          <w:tcPr>
            <w:tcW w:w="1870" w:type="dxa"/>
          </w:tcPr>
          <w:p w14:paraId="076070FD" w14:textId="77777777" w:rsidR="00600A6C" w:rsidRPr="0065710A" w:rsidRDefault="00600A6C" w:rsidP="00D63204">
            <w:pPr>
              <w:ind w:left="108"/>
              <w:rPr>
                <w:rFonts w:ascii="Arial" w:hAnsi="Arial" w:cs="Arial"/>
                <w:sz w:val="16"/>
                <w:szCs w:val="16"/>
              </w:rPr>
            </w:pPr>
          </w:p>
        </w:tc>
        <w:tc>
          <w:tcPr>
            <w:tcW w:w="1870" w:type="dxa"/>
          </w:tcPr>
          <w:p w14:paraId="19DB3BB5" w14:textId="77777777" w:rsidR="00600A6C" w:rsidRPr="0065710A" w:rsidRDefault="00600A6C" w:rsidP="00D63204">
            <w:pPr>
              <w:ind w:left="108"/>
              <w:rPr>
                <w:rFonts w:ascii="Arial" w:hAnsi="Arial" w:cs="Arial"/>
                <w:sz w:val="16"/>
                <w:szCs w:val="16"/>
              </w:rPr>
            </w:pPr>
            <w:r>
              <w:rPr>
                <w:rFonts w:ascii="Arial" w:hAnsi="Arial" w:cs="Arial"/>
                <w:sz w:val="16"/>
                <w:szCs w:val="16"/>
              </w:rPr>
              <w:t>TBD</w:t>
            </w:r>
          </w:p>
        </w:tc>
        <w:tc>
          <w:tcPr>
            <w:tcW w:w="1870" w:type="dxa"/>
          </w:tcPr>
          <w:p w14:paraId="0A8E3F29" w14:textId="77777777" w:rsidR="00600A6C" w:rsidRPr="0065710A" w:rsidRDefault="00600A6C" w:rsidP="00D63204">
            <w:pPr>
              <w:ind w:left="108"/>
              <w:rPr>
                <w:rFonts w:ascii="Arial" w:hAnsi="Arial" w:cs="Arial"/>
                <w:sz w:val="16"/>
                <w:szCs w:val="16"/>
              </w:rPr>
            </w:pPr>
          </w:p>
        </w:tc>
      </w:tr>
      <w:tr w:rsidR="00600A6C" w:rsidRPr="0065710A" w14:paraId="2C7B97B3" w14:textId="77777777" w:rsidTr="002E5578">
        <w:tc>
          <w:tcPr>
            <w:tcW w:w="1870" w:type="dxa"/>
            <w:shd w:val="clear" w:color="auto" w:fill="D9D9D9" w:themeFill="background1" w:themeFillShade="D9"/>
          </w:tcPr>
          <w:p w14:paraId="0E2A26AF" w14:textId="77777777" w:rsidR="00600A6C" w:rsidRPr="0065710A" w:rsidRDefault="00600A6C" w:rsidP="002E5578">
            <w:pPr>
              <w:ind w:left="108"/>
              <w:rPr>
                <w:rFonts w:ascii="Arial" w:hAnsi="Arial" w:cs="Arial"/>
                <w:sz w:val="16"/>
                <w:szCs w:val="16"/>
              </w:rPr>
            </w:pPr>
            <w:r>
              <w:rPr>
                <w:rFonts w:ascii="Arial" w:hAnsi="Arial" w:cs="Arial"/>
                <w:sz w:val="16"/>
                <w:szCs w:val="16"/>
              </w:rPr>
              <w:t>Youth</w:t>
            </w:r>
          </w:p>
        </w:tc>
        <w:tc>
          <w:tcPr>
            <w:tcW w:w="1870" w:type="dxa"/>
            <w:shd w:val="clear" w:color="auto" w:fill="D9D9D9" w:themeFill="background1" w:themeFillShade="D9"/>
          </w:tcPr>
          <w:p w14:paraId="021AC671" w14:textId="77777777" w:rsidR="00600A6C" w:rsidRPr="0065710A" w:rsidRDefault="00600A6C" w:rsidP="00D63204">
            <w:pPr>
              <w:ind w:left="108"/>
              <w:rPr>
                <w:rFonts w:ascii="Arial" w:hAnsi="Arial" w:cs="Arial"/>
                <w:sz w:val="16"/>
                <w:szCs w:val="16"/>
              </w:rPr>
            </w:pPr>
            <w:r>
              <w:rPr>
                <w:rFonts w:ascii="Arial" w:hAnsi="Arial" w:cs="Arial"/>
                <w:sz w:val="16"/>
                <w:szCs w:val="16"/>
              </w:rPr>
              <w:t>TBD</w:t>
            </w:r>
          </w:p>
        </w:tc>
        <w:tc>
          <w:tcPr>
            <w:tcW w:w="1870" w:type="dxa"/>
            <w:shd w:val="clear" w:color="auto" w:fill="D9D9D9" w:themeFill="background1" w:themeFillShade="D9"/>
          </w:tcPr>
          <w:p w14:paraId="583B9FBC" w14:textId="77777777" w:rsidR="00600A6C" w:rsidRPr="0065710A" w:rsidRDefault="00600A6C" w:rsidP="00D63204">
            <w:pPr>
              <w:ind w:left="108"/>
              <w:rPr>
                <w:rFonts w:ascii="Arial" w:hAnsi="Arial" w:cs="Arial"/>
                <w:sz w:val="16"/>
                <w:szCs w:val="16"/>
              </w:rPr>
            </w:pPr>
          </w:p>
        </w:tc>
        <w:tc>
          <w:tcPr>
            <w:tcW w:w="1870" w:type="dxa"/>
            <w:shd w:val="clear" w:color="auto" w:fill="D9D9D9" w:themeFill="background1" w:themeFillShade="D9"/>
          </w:tcPr>
          <w:p w14:paraId="026BE278" w14:textId="77777777" w:rsidR="00600A6C" w:rsidRPr="0065710A" w:rsidRDefault="00600A6C" w:rsidP="00D63204">
            <w:pPr>
              <w:ind w:left="108"/>
              <w:rPr>
                <w:rFonts w:ascii="Arial" w:hAnsi="Arial" w:cs="Arial"/>
                <w:sz w:val="16"/>
                <w:szCs w:val="16"/>
              </w:rPr>
            </w:pPr>
            <w:r>
              <w:rPr>
                <w:rFonts w:ascii="Arial" w:hAnsi="Arial" w:cs="Arial"/>
                <w:sz w:val="16"/>
                <w:szCs w:val="16"/>
              </w:rPr>
              <w:t>TBD</w:t>
            </w:r>
          </w:p>
        </w:tc>
        <w:tc>
          <w:tcPr>
            <w:tcW w:w="1870" w:type="dxa"/>
            <w:shd w:val="clear" w:color="auto" w:fill="D9D9D9" w:themeFill="background1" w:themeFillShade="D9"/>
          </w:tcPr>
          <w:p w14:paraId="7FDBC0AD" w14:textId="77777777" w:rsidR="00600A6C" w:rsidRPr="0065710A" w:rsidRDefault="00600A6C" w:rsidP="00D63204">
            <w:pPr>
              <w:ind w:left="108"/>
              <w:rPr>
                <w:rFonts w:ascii="Arial" w:hAnsi="Arial" w:cs="Arial"/>
                <w:sz w:val="16"/>
                <w:szCs w:val="16"/>
              </w:rPr>
            </w:pPr>
          </w:p>
        </w:tc>
      </w:tr>
      <w:tr w:rsidR="00600A6C" w:rsidRPr="0065710A" w14:paraId="593111AD" w14:textId="77777777" w:rsidTr="002E5578">
        <w:tc>
          <w:tcPr>
            <w:tcW w:w="1870" w:type="dxa"/>
          </w:tcPr>
          <w:p w14:paraId="1C777955" w14:textId="77777777" w:rsidR="00600A6C" w:rsidRPr="0065710A" w:rsidRDefault="00600A6C" w:rsidP="002E5578">
            <w:pPr>
              <w:ind w:left="108"/>
              <w:rPr>
                <w:rFonts w:ascii="Arial" w:hAnsi="Arial" w:cs="Arial"/>
                <w:sz w:val="16"/>
                <w:szCs w:val="16"/>
              </w:rPr>
            </w:pPr>
            <w:r>
              <w:rPr>
                <w:rFonts w:ascii="Arial" w:hAnsi="Arial" w:cs="Arial"/>
                <w:sz w:val="16"/>
                <w:szCs w:val="16"/>
              </w:rPr>
              <w:t>Adult Education</w:t>
            </w:r>
          </w:p>
        </w:tc>
        <w:tc>
          <w:tcPr>
            <w:tcW w:w="1870" w:type="dxa"/>
          </w:tcPr>
          <w:p w14:paraId="2E767A69" w14:textId="77777777" w:rsidR="00600A6C" w:rsidRPr="0065710A" w:rsidRDefault="00600A6C" w:rsidP="00D63204">
            <w:pPr>
              <w:ind w:left="108"/>
              <w:rPr>
                <w:rFonts w:ascii="Arial" w:hAnsi="Arial" w:cs="Arial"/>
                <w:sz w:val="16"/>
                <w:szCs w:val="16"/>
              </w:rPr>
            </w:pPr>
            <w:r>
              <w:rPr>
                <w:rFonts w:ascii="Arial" w:hAnsi="Arial" w:cs="Arial"/>
                <w:sz w:val="16"/>
                <w:szCs w:val="16"/>
              </w:rPr>
              <w:t>TBD</w:t>
            </w:r>
          </w:p>
        </w:tc>
        <w:tc>
          <w:tcPr>
            <w:tcW w:w="1870" w:type="dxa"/>
          </w:tcPr>
          <w:p w14:paraId="1242E165" w14:textId="77777777" w:rsidR="00600A6C" w:rsidRPr="0065710A" w:rsidRDefault="00600A6C" w:rsidP="00D63204">
            <w:pPr>
              <w:ind w:left="108"/>
              <w:rPr>
                <w:rFonts w:ascii="Arial" w:hAnsi="Arial" w:cs="Arial"/>
                <w:sz w:val="16"/>
                <w:szCs w:val="16"/>
              </w:rPr>
            </w:pPr>
          </w:p>
        </w:tc>
        <w:tc>
          <w:tcPr>
            <w:tcW w:w="1870" w:type="dxa"/>
          </w:tcPr>
          <w:p w14:paraId="2ACD8B9A" w14:textId="77777777" w:rsidR="00600A6C" w:rsidRPr="0065710A" w:rsidRDefault="00600A6C" w:rsidP="00D63204">
            <w:pPr>
              <w:ind w:left="108"/>
              <w:rPr>
                <w:rFonts w:ascii="Arial" w:hAnsi="Arial" w:cs="Arial"/>
                <w:sz w:val="16"/>
                <w:szCs w:val="16"/>
              </w:rPr>
            </w:pPr>
            <w:r>
              <w:rPr>
                <w:rFonts w:ascii="Arial" w:hAnsi="Arial" w:cs="Arial"/>
                <w:sz w:val="16"/>
                <w:szCs w:val="16"/>
              </w:rPr>
              <w:t>TBD</w:t>
            </w:r>
          </w:p>
        </w:tc>
        <w:tc>
          <w:tcPr>
            <w:tcW w:w="1870" w:type="dxa"/>
          </w:tcPr>
          <w:p w14:paraId="2A71575B" w14:textId="77777777" w:rsidR="00600A6C" w:rsidRPr="0065710A" w:rsidRDefault="00600A6C" w:rsidP="00D63204">
            <w:pPr>
              <w:ind w:left="108"/>
              <w:rPr>
                <w:rFonts w:ascii="Arial" w:hAnsi="Arial" w:cs="Arial"/>
                <w:sz w:val="16"/>
                <w:szCs w:val="16"/>
              </w:rPr>
            </w:pPr>
          </w:p>
        </w:tc>
      </w:tr>
      <w:tr w:rsidR="00600A6C" w:rsidRPr="0065710A" w14:paraId="0FCCF0E4" w14:textId="77777777" w:rsidTr="002E5578">
        <w:tc>
          <w:tcPr>
            <w:tcW w:w="1870" w:type="dxa"/>
            <w:shd w:val="clear" w:color="auto" w:fill="D9D9D9" w:themeFill="background1" w:themeFillShade="D9"/>
          </w:tcPr>
          <w:p w14:paraId="4A800EF6" w14:textId="77777777" w:rsidR="00600A6C" w:rsidRPr="0065710A" w:rsidRDefault="00600A6C" w:rsidP="002E5578">
            <w:pPr>
              <w:ind w:left="108"/>
              <w:rPr>
                <w:rFonts w:ascii="Arial" w:hAnsi="Arial" w:cs="Arial"/>
                <w:sz w:val="16"/>
                <w:szCs w:val="16"/>
              </w:rPr>
            </w:pPr>
            <w:r>
              <w:rPr>
                <w:rFonts w:ascii="Arial" w:hAnsi="Arial" w:cs="Arial"/>
                <w:sz w:val="16"/>
                <w:szCs w:val="16"/>
              </w:rPr>
              <w:t>Wagner-Peyser</w:t>
            </w:r>
          </w:p>
        </w:tc>
        <w:tc>
          <w:tcPr>
            <w:tcW w:w="1870" w:type="dxa"/>
            <w:shd w:val="clear" w:color="auto" w:fill="D9D9D9" w:themeFill="background1" w:themeFillShade="D9"/>
          </w:tcPr>
          <w:p w14:paraId="2DCAC989" w14:textId="77777777" w:rsidR="00600A6C" w:rsidRPr="0065710A" w:rsidRDefault="00600A6C" w:rsidP="00D63204">
            <w:pPr>
              <w:ind w:left="108"/>
              <w:rPr>
                <w:rFonts w:ascii="Arial" w:hAnsi="Arial" w:cs="Arial"/>
                <w:sz w:val="16"/>
                <w:szCs w:val="16"/>
              </w:rPr>
            </w:pPr>
            <w:r>
              <w:rPr>
                <w:rFonts w:ascii="Arial" w:hAnsi="Arial" w:cs="Arial"/>
                <w:sz w:val="16"/>
                <w:szCs w:val="16"/>
              </w:rPr>
              <w:t>TBD</w:t>
            </w:r>
          </w:p>
        </w:tc>
        <w:tc>
          <w:tcPr>
            <w:tcW w:w="1870" w:type="dxa"/>
            <w:shd w:val="clear" w:color="auto" w:fill="D9D9D9" w:themeFill="background1" w:themeFillShade="D9"/>
          </w:tcPr>
          <w:p w14:paraId="57A26243" w14:textId="77777777" w:rsidR="00600A6C" w:rsidRPr="0065710A" w:rsidRDefault="00600A6C" w:rsidP="00D63204">
            <w:pPr>
              <w:ind w:left="108"/>
              <w:rPr>
                <w:rFonts w:ascii="Arial" w:hAnsi="Arial" w:cs="Arial"/>
                <w:sz w:val="16"/>
                <w:szCs w:val="16"/>
              </w:rPr>
            </w:pPr>
          </w:p>
        </w:tc>
        <w:tc>
          <w:tcPr>
            <w:tcW w:w="1870" w:type="dxa"/>
            <w:shd w:val="clear" w:color="auto" w:fill="D9D9D9" w:themeFill="background1" w:themeFillShade="D9"/>
          </w:tcPr>
          <w:p w14:paraId="0BA087D9" w14:textId="77777777" w:rsidR="00600A6C" w:rsidRPr="0065710A" w:rsidRDefault="00600A6C" w:rsidP="00D63204">
            <w:pPr>
              <w:ind w:left="108"/>
              <w:rPr>
                <w:rFonts w:ascii="Arial" w:hAnsi="Arial" w:cs="Arial"/>
                <w:sz w:val="16"/>
                <w:szCs w:val="16"/>
              </w:rPr>
            </w:pPr>
            <w:r>
              <w:rPr>
                <w:rFonts w:ascii="Arial" w:hAnsi="Arial" w:cs="Arial"/>
                <w:sz w:val="16"/>
                <w:szCs w:val="16"/>
              </w:rPr>
              <w:t>TBD</w:t>
            </w:r>
          </w:p>
        </w:tc>
        <w:tc>
          <w:tcPr>
            <w:tcW w:w="1870" w:type="dxa"/>
            <w:shd w:val="clear" w:color="auto" w:fill="D9D9D9" w:themeFill="background1" w:themeFillShade="D9"/>
          </w:tcPr>
          <w:p w14:paraId="28884BB4" w14:textId="77777777" w:rsidR="00600A6C" w:rsidRPr="0065710A" w:rsidRDefault="00600A6C" w:rsidP="00D63204">
            <w:pPr>
              <w:ind w:left="108"/>
              <w:rPr>
                <w:rFonts w:ascii="Arial" w:hAnsi="Arial" w:cs="Arial"/>
                <w:sz w:val="16"/>
                <w:szCs w:val="16"/>
              </w:rPr>
            </w:pPr>
          </w:p>
        </w:tc>
      </w:tr>
      <w:tr w:rsidR="00600A6C" w:rsidRPr="0065710A" w14:paraId="5F3EBB59" w14:textId="77777777" w:rsidTr="002E5578">
        <w:tc>
          <w:tcPr>
            <w:tcW w:w="1870" w:type="dxa"/>
          </w:tcPr>
          <w:p w14:paraId="44420CA8" w14:textId="77777777" w:rsidR="00600A6C" w:rsidRPr="0065710A" w:rsidRDefault="00600A6C" w:rsidP="002E5578">
            <w:pPr>
              <w:ind w:left="108"/>
              <w:rPr>
                <w:rFonts w:ascii="Arial" w:hAnsi="Arial" w:cs="Arial"/>
                <w:sz w:val="16"/>
                <w:szCs w:val="16"/>
              </w:rPr>
            </w:pPr>
            <w:r>
              <w:rPr>
                <w:rFonts w:ascii="Arial" w:hAnsi="Arial" w:cs="Arial"/>
                <w:sz w:val="16"/>
                <w:szCs w:val="16"/>
              </w:rPr>
              <w:t>Vocational Rehabilitation</w:t>
            </w:r>
          </w:p>
        </w:tc>
        <w:tc>
          <w:tcPr>
            <w:tcW w:w="1870" w:type="dxa"/>
          </w:tcPr>
          <w:p w14:paraId="34EC5ADB" w14:textId="77777777" w:rsidR="00600A6C" w:rsidRPr="0065710A" w:rsidRDefault="00600A6C" w:rsidP="00D63204">
            <w:pPr>
              <w:ind w:left="108"/>
              <w:rPr>
                <w:rFonts w:ascii="Arial" w:hAnsi="Arial" w:cs="Arial"/>
                <w:sz w:val="16"/>
                <w:szCs w:val="16"/>
              </w:rPr>
            </w:pPr>
            <w:r>
              <w:rPr>
                <w:rFonts w:ascii="Arial" w:hAnsi="Arial" w:cs="Arial"/>
                <w:sz w:val="16"/>
                <w:szCs w:val="16"/>
              </w:rPr>
              <w:t>TBD</w:t>
            </w:r>
          </w:p>
        </w:tc>
        <w:tc>
          <w:tcPr>
            <w:tcW w:w="1870" w:type="dxa"/>
          </w:tcPr>
          <w:p w14:paraId="6A664485" w14:textId="77777777" w:rsidR="00600A6C" w:rsidRPr="0065710A" w:rsidRDefault="00600A6C" w:rsidP="00D63204">
            <w:pPr>
              <w:ind w:left="108"/>
              <w:rPr>
                <w:rFonts w:ascii="Arial" w:hAnsi="Arial" w:cs="Arial"/>
                <w:sz w:val="16"/>
                <w:szCs w:val="16"/>
              </w:rPr>
            </w:pPr>
          </w:p>
        </w:tc>
        <w:tc>
          <w:tcPr>
            <w:tcW w:w="1870" w:type="dxa"/>
          </w:tcPr>
          <w:p w14:paraId="705F8EA9" w14:textId="77777777" w:rsidR="00600A6C" w:rsidRPr="0065710A" w:rsidRDefault="00600A6C" w:rsidP="00D63204">
            <w:pPr>
              <w:ind w:left="108"/>
              <w:rPr>
                <w:rFonts w:ascii="Arial" w:hAnsi="Arial" w:cs="Arial"/>
                <w:sz w:val="16"/>
                <w:szCs w:val="16"/>
              </w:rPr>
            </w:pPr>
            <w:r>
              <w:rPr>
                <w:rFonts w:ascii="Arial" w:hAnsi="Arial" w:cs="Arial"/>
                <w:sz w:val="16"/>
                <w:szCs w:val="16"/>
              </w:rPr>
              <w:t>TBD</w:t>
            </w:r>
          </w:p>
        </w:tc>
        <w:tc>
          <w:tcPr>
            <w:tcW w:w="1870" w:type="dxa"/>
          </w:tcPr>
          <w:p w14:paraId="1CF0DC43" w14:textId="77777777" w:rsidR="00600A6C" w:rsidRPr="0065710A" w:rsidRDefault="00600A6C" w:rsidP="00D63204">
            <w:pPr>
              <w:ind w:left="108"/>
              <w:rPr>
                <w:rFonts w:ascii="Arial" w:hAnsi="Arial" w:cs="Arial"/>
                <w:sz w:val="16"/>
                <w:szCs w:val="16"/>
              </w:rPr>
            </w:pPr>
          </w:p>
        </w:tc>
      </w:tr>
    </w:tbl>
    <w:p w14:paraId="04A62A57" w14:textId="77777777" w:rsidR="00600A6C" w:rsidRDefault="00600A6C" w:rsidP="00600A6C">
      <w:pPr>
        <w:ind w:left="108"/>
        <w:rPr>
          <w:rFonts w:ascii="Arial" w:hAnsi="Arial" w:cs="Arial"/>
          <w:sz w:val="16"/>
          <w:szCs w:val="16"/>
        </w:rPr>
      </w:pPr>
    </w:p>
    <w:p w14:paraId="33BEB36E" w14:textId="77777777" w:rsidR="00EA7458" w:rsidRPr="00EA7458" w:rsidRDefault="00EA7458" w:rsidP="00EA7458">
      <w:pPr>
        <w:widowControl w:val="0"/>
        <w:spacing w:after="0" w:line="240" w:lineRule="auto"/>
        <w:rPr>
          <w:rFonts w:ascii="Times New Roman" w:hAnsi="Times New Roman"/>
          <w:sz w:val="20"/>
          <w:szCs w:val="20"/>
        </w:rPr>
      </w:pPr>
    </w:p>
    <w:p w14:paraId="35F65588" w14:textId="77777777" w:rsidR="00EA7458" w:rsidRPr="00EA7458" w:rsidRDefault="00EA7458" w:rsidP="00EA7458">
      <w:pPr>
        <w:widowControl w:val="0"/>
        <w:spacing w:after="0" w:line="240" w:lineRule="auto"/>
        <w:rPr>
          <w:rFonts w:ascii="Times New Roman" w:hAnsi="Times New Roman"/>
          <w:sz w:val="20"/>
          <w:szCs w:val="20"/>
        </w:rPr>
      </w:pPr>
    </w:p>
    <w:p w14:paraId="463C22B0" w14:textId="77777777" w:rsidR="00EA7458" w:rsidRPr="00EA7458" w:rsidRDefault="00EA7458" w:rsidP="00EA7458">
      <w:pPr>
        <w:widowControl w:val="0"/>
        <w:spacing w:after="0" w:line="240" w:lineRule="auto"/>
        <w:rPr>
          <w:rFonts w:ascii="Times New Roman" w:hAnsi="Times New Roman"/>
          <w:sz w:val="20"/>
          <w:szCs w:val="20"/>
        </w:rPr>
      </w:pPr>
    </w:p>
    <w:p w14:paraId="0C0BA371" w14:textId="77777777" w:rsidR="00EA7458" w:rsidRPr="00EA7458" w:rsidRDefault="00EA7458" w:rsidP="00EA7458">
      <w:pPr>
        <w:widowControl w:val="0"/>
        <w:spacing w:after="0" w:line="240" w:lineRule="auto"/>
        <w:rPr>
          <w:rFonts w:ascii="Times New Roman" w:hAnsi="Times New Roman"/>
          <w:sz w:val="20"/>
          <w:szCs w:val="20"/>
        </w:rPr>
      </w:pPr>
    </w:p>
    <w:p w14:paraId="3589CFF0" w14:textId="77777777" w:rsidR="00EA7458" w:rsidRPr="00EA7458" w:rsidRDefault="00EA7458" w:rsidP="00EA7458">
      <w:pPr>
        <w:widowControl w:val="0"/>
        <w:spacing w:after="0" w:line="240" w:lineRule="auto"/>
        <w:rPr>
          <w:rFonts w:ascii="Times New Roman" w:hAnsi="Times New Roman"/>
          <w:sz w:val="20"/>
          <w:szCs w:val="20"/>
        </w:rPr>
      </w:pPr>
    </w:p>
    <w:p w14:paraId="673C3792" w14:textId="77777777" w:rsidR="00DA00E4" w:rsidRDefault="00DA00E4" w:rsidP="00EA7458">
      <w:pPr>
        <w:widowControl w:val="0"/>
        <w:spacing w:after="0" w:line="240" w:lineRule="auto"/>
        <w:rPr>
          <w:rFonts w:ascii="Times New Roman" w:hAnsi="Times New Roman"/>
          <w:sz w:val="20"/>
          <w:szCs w:val="20"/>
        </w:rPr>
      </w:pPr>
    </w:p>
    <w:p w14:paraId="0C2CDA12" w14:textId="77777777" w:rsidR="00DA00E4" w:rsidRDefault="00DA00E4" w:rsidP="00EA7458">
      <w:pPr>
        <w:widowControl w:val="0"/>
        <w:spacing w:after="0" w:line="240" w:lineRule="auto"/>
        <w:rPr>
          <w:rFonts w:ascii="Times New Roman" w:hAnsi="Times New Roman"/>
          <w:sz w:val="20"/>
          <w:szCs w:val="20"/>
        </w:rPr>
      </w:pPr>
    </w:p>
    <w:p w14:paraId="2FB6ABF2" w14:textId="77777777" w:rsidR="00DA00E4" w:rsidRDefault="00DA00E4" w:rsidP="00EA7458">
      <w:pPr>
        <w:widowControl w:val="0"/>
        <w:spacing w:after="0" w:line="240" w:lineRule="auto"/>
        <w:rPr>
          <w:rFonts w:ascii="Times New Roman" w:hAnsi="Times New Roman"/>
          <w:sz w:val="20"/>
          <w:szCs w:val="20"/>
        </w:rPr>
      </w:pPr>
    </w:p>
    <w:p w14:paraId="0DEF40BA" w14:textId="77777777" w:rsidR="00DA00E4" w:rsidRDefault="00DA00E4" w:rsidP="00EA7458">
      <w:pPr>
        <w:widowControl w:val="0"/>
        <w:spacing w:after="0" w:line="240" w:lineRule="auto"/>
        <w:rPr>
          <w:rFonts w:ascii="Times New Roman" w:hAnsi="Times New Roman"/>
          <w:sz w:val="20"/>
          <w:szCs w:val="20"/>
        </w:rPr>
      </w:pPr>
    </w:p>
    <w:p w14:paraId="2E92E2EF" w14:textId="77777777" w:rsidR="00DA00E4" w:rsidRDefault="00DA00E4" w:rsidP="00EA7458">
      <w:pPr>
        <w:widowControl w:val="0"/>
        <w:spacing w:after="0" w:line="240" w:lineRule="auto"/>
        <w:rPr>
          <w:rFonts w:ascii="Times New Roman" w:hAnsi="Times New Roman"/>
          <w:sz w:val="20"/>
          <w:szCs w:val="20"/>
        </w:rPr>
      </w:pPr>
    </w:p>
    <w:p w14:paraId="5418A99D" w14:textId="77777777" w:rsidR="00DA00E4" w:rsidRDefault="00DA00E4" w:rsidP="00EA7458">
      <w:pPr>
        <w:widowControl w:val="0"/>
        <w:spacing w:after="0" w:line="240" w:lineRule="auto"/>
        <w:rPr>
          <w:rFonts w:ascii="Times New Roman" w:hAnsi="Times New Roman"/>
          <w:sz w:val="20"/>
          <w:szCs w:val="20"/>
        </w:rPr>
      </w:pPr>
    </w:p>
    <w:p w14:paraId="512FCE1E" w14:textId="77777777" w:rsidR="00DA00E4" w:rsidRDefault="00DA00E4" w:rsidP="00EA7458">
      <w:pPr>
        <w:widowControl w:val="0"/>
        <w:spacing w:after="0" w:line="240" w:lineRule="auto"/>
        <w:rPr>
          <w:rFonts w:ascii="Times New Roman" w:hAnsi="Times New Roman"/>
          <w:sz w:val="20"/>
          <w:szCs w:val="20"/>
        </w:rPr>
      </w:pPr>
    </w:p>
    <w:p w14:paraId="320325D2" w14:textId="77777777" w:rsidR="00DA00E4" w:rsidRDefault="00DA00E4" w:rsidP="00EA7458">
      <w:pPr>
        <w:widowControl w:val="0"/>
        <w:spacing w:after="0" w:line="240" w:lineRule="auto"/>
        <w:rPr>
          <w:rFonts w:ascii="Times New Roman" w:hAnsi="Times New Roman"/>
          <w:sz w:val="20"/>
          <w:szCs w:val="20"/>
        </w:rPr>
      </w:pPr>
    </w:p>
    <w:p w14:paraId="3DCEC9B9" w14:textId="77777777" w:rsidR="00DA00E4" w:rsidRDefault="00DA00E4" w:rsidP="00EA7458">
      <w:pPr>
        <w:widowControl w:val="0"/>
        <w:spacing w:after="0" w:line="240" w:lineRule="auto"/>
        <w:rPr>
          <w:rFonts w:ascii="Times New Roman" w:hAnsi="Times New Roman"/>
          <w:sz w:val="20"/>
          <w:szCs w:val="20"/>
        </w:rPr>
      </w:pPr>
    </w:p>
    <w:p w14:paraId="411D8F48" w14:textId="77777777" w:rsidR="00DA00E4" w:rsidRDefault="00DA00E4" w:rsidP="00EA7458">
      <w:pPr>
        <w:widowControl w:val="0"/>
        <w:spacing w:after="0" w:line="240" w:lineRule="auto"/>
        <w:rPr>
          <w:rFonts w:ascii="Times New Roman" w:hAnsi="Times New Roman"/>
          <w:sz w:val="20"/>
          <w:szCs w:val="20"/>
        </w:rPr>
      </w:pPr>
    </w:p>
    <w:p w14:paraId="260E852A" w14:textId="77777777" w:rsidR="00DA00E4" w:rsidRDefault="00DA00E4" w:rsidP="00EA7458">
      <w:pPr>
        <w:widowControl w:val="0"/>
        <w:spacing w:after="0" w:line="240" w:lineRule="auto"/>
        <w:rPr>
          <w:rFonts w:ascii="Times New Roman" w:hAnsi="Times New Roman"/>
          <w:sz w:val="20"/>
          <w:szCs w:val="20"/>
        </w:rPr>
      </w:pPr>
    </w:p>
    <w:p w14:paraId="16176517" w14:textId="77777777" w:rsidR="00DA00E4" w:rsidRDefault="00DA00E4" w:rsidP="00EA7458">
      <w:pPr>
        <w:widowControl w:val="0"/>
        <w:spacing w:after="0" w:line="240" w:lineRule="auto"/>
        <w:rPr>
          <w:rFonts w:ascii="Times New Roman" w:hAnsi="Times New Roman"/>
          <w:sz w:val="20"/>
          <w:szCs w:val="20"/>
        </w:rPr>
      </w:pPr>
    </w:p>
    <w:p w14:paraId="1A8DEC1D" w14:textId="77777777" w:rsidR="00DA00E4" w:rsidRDefault="00DA00E4" w:rsidP="00EA7458">
      <w:pPr>
        <w:widowControl w:val="0"/>
        <w:spacing w:after="0" w:line="240" w:lineRule="auto"/>
        <w:rPr>
          <w:rFonts w:ascii="Times New Roman" w:hAnsi="Times New Roman"/>
          <w:sz w:val="20"/>
          <w:szCs w:val="20"/>
        </w:rPr>
      </w:pPr>
    </w:p>
    <w:p w14:paraId="51A7D652" w14:textId="77777777" w:rsidR="00DA00E4" w:rsidRDefault="00DA00E4" w:rsidP="00EA7458">
      <w:pPr>
        <w:widowControl w:val="0"/>
        <w:spacing w:after="0" w:line="240" w:lineRule="auto"/>
        <w:rPr>
          <w:rFonts w:ascii="Times New Roman" w:hAnsi="Times New Roman"/>
          <w:sz w:val="20"/>
          <w:szCs w:val="20"/>
        </w:rPr>
      </w:pPr>
    </w:p>
    <w:p w14:paraId="2ED5F410" w14:textId="77777777" w:rsidR="00DA00E4" w:rsidRPr="00EA7458" w:rsidRDefault="00DA00E4" w:rsidP="00EA7458">
      <w:pPr>
        <w:widowControl w:val="0"/>
        <w:spacing w:after="0" w:line="240" w:lineRule="auto"/>
        <w:rPr>
          <w:rFonts w:ascii="Times New Roman" w:hAnsi="Times New Roman"/>
          <w:sz w:val="20"/>
          <w:szCs w:val="20"/>
        </w:rPr>
      </w:pPr>
    </w:p>
    <w:p w14:paraId="6100CF58" w14:textId="77777777" w:rsidR="00EA7458" w:rsidRPr="00EA7458" w:rsidRDefault="00EA7458" w:rsidP="00EA7458">
      <w:pPr>
        <w:widowControl w:val="0"/>
        <w:spacing w:after="0" w:line="240" w:lineRule="auto"/>
        <w:rPr>
          <w:rFonts w:ascii="Times New Roman" w:hAnsi="Times New Roman"/>
          <w:sz w:val="20"/>
          <w:szCs w:val="20"/>
        </w:rPr>
      </w:pPr>
    </w:p>
    <w:p w14:paraId="771F5262" w14:textId="77777777" w:rsidR="00EA7458" w:rsidRPr="00EA7458" w:rsidRDefault="00EA7458" w:rsidP="00EA7458">
      <w:pPr>
        <w:widowControl w:val="0"/>
        <w:spacing w:before="4" w:after="0" w:line="240" w:lineRule="auto"/>
        <w:rPr>
          <w:rFonts w:ascii="Times New Roman" w:hAnsi="Times New Roman"/>
          <w:sz w:val="27"/>
          <w:szCs w:val="27"/>
        </w:rPr>
      </w:pPr>
    </w:p>
    <w:p w14:paraId="07A87DA1" w14:textId="046E7453" w:rsidR="00EA7458" w:rsidRPr="00EA7458" w:rsidRDefault="007C4EF4" w:rsidP="00EA7458">
      <w:pPr>
        <w:widowControl w:val="0"/>
        <w:tabs>
          <w:tab w:val="left" w:pos="3984"/>
          <w:tab w:val="left" w:pos="8187"/>
        </w:tabs>
        <w:spacing w:after="0" w:line="1008" w:lineRule="exact"/>
        <w:ind w:left="369"/>
        <w:rPr>
          <w:rFonts w:ascii="Times New Roman" w:hAnsi="Times New Roman"/>
          <w:sz w:val="20"/>
          <w:szCs w:val="20"/>
        </w:rPr>
      </w:pPr>
      <w:r w:rsidRPr="007C4EF4">
        <w:rPr>
          <w:rFonts w:ascii="Times New Roman" w:hAnsi="Calibri"/>
          <w:noProof/>
          <w:position w:val="-17"/>
          <w:sz w:val="20"/>
        </w:rPr>
        <w:drawing>
          <wp:inline distT="0" distB="0" distL="0" distR="0" wp14:anchorId="3722F23F" wp14:editId="6FE54E54">
            <wp:extent cx="1644650" cy="603610"/>
            <wp:effectExtent l="0" t="0" r="0" b="6350"/>
            <wp:docPr id="40" name="image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75.png"/>
                    <pic:cNvPicPr>
                      <a:picLocks noChangeAspect="1" noChangeArrowheads="1"/>
                    </pic:cNvPicPr>
                  </pic:nvPicPr>
                  <pic:blipFill>
                    <a:blip r:embed="rId11"/>
                    <a:stretch>
                      <a:fillRect/>
                    </a:stretch>
                  </pic:blipFill>
                  <pic:spPr bwMode="auto">
                    <a:xfrm>
                      <a:off x="0" y="0"/>
                      <a:ext cx="1644650" cy="603610"/>
                    </a:xfrm>
                    <a:prstGeom prst="rect">
                      <a:avLst/>
                    </a:prstGeom>
                    <a:noFill/>
                    <a:ln>
                      <a:noFill/>
                    </a:ln>
                  </pic:spPr>
                </pic:pic>
              </a:graphicData>
            </a:graphic>
          </wp:inline>
        </w:drawing>
      </w:r>
      <w:r w:rsidR="00EA7458" w:rsidRPr="00EA7458">
        <w:rPr>
          <w:rFonts w:ascii="Times New Roman" w:hAnsi="Calibri"/>
          <w:position w:val="-17"/>
          <w:sz w:val="20"/>
        </w:rPr>
        <w:tab/>
      </w:r>
      <w:r w:rsidRPr="007C4EF4">
        <w:rPr>
          <w:rFonts w:ascii="Times New Roman" w:hAnsi="Calibri"/>
          <w:noProof/>
          <w:position w:val="-7"/>
          <w:sz w:val="20"/>
        </w:rPr>
        <w:drawing>
          <wp:inline distT="0" distB="0" distL="0" distR="0" wp14:anchorId="66FE4DBD" wp14:editId="44F94292">
            <wp:extent cx="1828800" cy="539750"/>
            <wp:effectExtent l="0" t="0" r="0" b="0"/>
            <wp:docPr id="41" name="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9.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828800" cy="539750"/>
                    </a:xfrm>
                    <a:prstGeom prst="rect">
                      <a:avLst/>
                    </a:prstGeom>
                    <a:noFill/>
                    <a:ln>
                      <a:noFill/>
                    </a:ln>
                  </pic:spPr>
                </pic:pic>
              </a:graphicData>
            </a:graphic>
          </wp:inline>
        </w:drawing>
      </w:r>
      <w:r w:rsidR="00EA7458" w:rsidRPr="00EA7458">
        <w:rPr>
          <w:rFonts w:ascii="Times New Roman" w:hAnsi="Calibri"/>
          <w:position w:val="-7"/>
          <w:sz w:val="20"/>
        </w:rPr>
        <w:tab/>
      </w:r>
      <w:r w:rsidR="00924AC3">
        <w:rPr>
          <w:noProof/>
        </w:rPr>
        <mc:AlternateContent>
          <mc:Choice Requires="wpg">
            <w:drawing>
              <wp:inline distT="0" distB="0" distL="0" distR="0" wp14:anchorId="297BBEFF" wp14:editId="2FE522A2">
                <wp:extent cx="1077595" cy="640715"/>
                <wp:effectExtent l="0" t="0" r="8255" b="6985"/>
                <wp:docPr id="45" name="Group 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77595" cy="640715"/>
                          <a:chOff x="0" y="0"/>
                          <a:chExt cx="1697" cy="1009"/>
                        </a:xfrm>
                      </wpg:grpSpPr>
                      <pic:pic xmlns:pic="http://schemas.openxmlformats.org/drawingml/2006/picture">
                        <pic:nvPicPr>
                          <pic:cNvPr id="46" name="Picture 3"/>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4" y="763"/>
                            <a:ext cx="1690" cy="190"/>
                          </a:xfrm>
                          <a:prstGeom prst="rect">
                            <a:avLst/>
                          </a:prstGeom>
                          <a:noFill/>
                          <a:extLst>
                            <a:ext uri="{909E8E84-426E-40DD-AFC4-6F175D3DCCD1}">
                              <a14:hiddenFill xmlns:a14="http://schemas.microsoft.com/office/drawing/2010/main">
                                <a:solidFill>
                                  <a:srgbClr val="FFFFFF"/>
                                </a:solidFill>
                              </a14:hiddenFill>
                            </a:ext>
                          </a:extLst>
                        </pic:spPr>
                      </pic:pic>
                      <wpg:grpSp>
                        <wpg:cNvPr id="47" name="Group 4"/>
                        <wpg:cNvGrpSpPr>
                          <a:grpSpLocks/>
                        </wpg:cNvGrpSpPr>
                        <wpg:grpSpPr bwMode="auto">
                          <a:xfrm>
                            <a:off x="2" y="708"/>
                            <a:ext cx="1141" cy="2"/>
                            <a:chOff x="2" y="708"/>
                            <a:chExt cx="1141" cy="2"/>
                          </a:xfrm>
                        </wpg:grpSpPr>
                        <wps:wsp>
                          <wps:cNvPr id="48" name="Freeform 5"/>
                          <wps:cNvSpPr>
                            <a:spLocks/>
                          </wps:cNvSpPr>
                          <wps:spPr bwMode="auto">
                            <a:xfrm>
                              <a:off x="2" y="708"/>
                              <a:ext cx="1141" cy="2"/>
                            </a:xfrm>
                            <a:custGeom>
                              <a:avLst/>
                              <a:gdLst>
                                <a:gd name="T0" fmla="+- 0 2 2"/>
                                <a:gd name="T1" fmla="*/ T0 w 1141"/>
                                <a:gd name="T2" fmla="+- 0 1143 2"/>
                                <a:gd name="T3" fmla="*/ T2 w 1141"/>
                              </a:gdLst>
                              <a:ahLst/>
                              <a:cxnLst>
                                <a:cxn ang="0">
                                  <a:pos x="T1" y="0"/>
                                </a:cxn>
                                <a:cxn ang="0">
                                  <a:pos x="T3" y="0"/>
                                </a:cxn>
                              </a:cxnLst>
                              <a:rect l="0" t="0" r="r" b="b"/>
                              <a:pathLst>
                                <a:path w="1141">
                                  <a:moveTo>
                                    <a:pt x="0" y="0"/>
                                  </a:moveTo>
                                  <a:lnTo>
                                    <a:pt x="1141" y="0"/>
                                  </a:lnTo>
                                </a:path>
                              </a:pathLst>
                            </a:custGeom>
                            <a:noFill/>
                            <a:ln w="2794">
                              <a:solidFill>
                                <a:srgbClr val="9ACA3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9" name="Group 6"/>
                        <wpg:cNvGrpSpPr>
                          <a:grpSpLocks/>
                        </wpg:cNvGrpSpPr>
                        <wpg:grpSpPr bwMode="auto">
                          <a:xfrm>
                            <a:off x="1551" y="708"/>
                            <a:ext cx="144" cy="2"/>
                            <a:chOff x="1551" y="708"/>
                            <a:chExt cx="144" cy="2"/>
                          </a:xfrm>
                        </wpg:grpSpPr>
                        <wps:wsp>
                          <wps:cNvPr id="50" name="Freeform 7"/>
                          <wps:cNvSpPr>
                            <a:spLocks/>
                          </wps:cNvSpPr>
                          <wps:spPr bwMode="auto">
                            <a:xfrm>
                              <a:off x="1551" y="708"/>
                              <a:ext cx="144" cy="2"/>
                            </a:xfrm>
                            <a:custGeom>
                              <a:avLst/>
                              <a:gdLst>
                                <a:gd name="T0" fmla="+- 0 1551 1551"/>
                                <a:gd name="T1" fmla="*/ T0 w 144"/>
                                <a:gd name="T2" fmla="+- 0 1694 1551"/>
                                <a:gd name="T3" fmla="*/ T2 w 144"/>
                              </a:gdLst>
                              <a:ahLst/>
                              <a:cxnLst>
                                <a:cxn ang="0">
                                  <a:pos x="T1" y="0"/>
                                </a:cxn>
                                <a:cxn ang="0">
                                  <a:pos x="T3" y="0"/>
                                </a:cxn>
                              </a:cxnLst>
                              <a:rect l="0" t="0" r="r" b="b"/>
                              <a:pathLst>
                                <a:path w="144">
                                  <a:moveTo>
                                    <a:pt x="0" y="0"/>
                                  </a:moveTo>
                                  <a:lnTo>
                                    <a:pt x="143" y="0"/>
                                  </a:lnTo>
                                </a:path>
                              </a:pathLst>
                            </a:custGeom>
                            <a:noFill/>
                            <a:ln w="2794">
                              <a:solidFill>
                                <a:srgbClr val="9ACA3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1" name="Group 8"/>
                        <wpg:cNvGrpSpPr>
                          <a:grpSpLocks/>
                        </wpg:cNvGrpSpPr>
                        <wpg:grpSpPr bwMode="auto">
                          <a:xfrm>
                            <a:off x="4" y="1006"/>
                            <a:ext cx="1690" cy="2"/>
                            <a:chOff x="4" y="1006"/>
                            <a:chExt cx="1690" cy="2"/>
                          </a:xfrm>
                        </wpg:grpSpPr>
                        <wps:wsp>
                          <wps:cNvPr id="52" name="Freeform 9"/>
                          <wps:cNvSpPr>
                            <a:spLocks/>
                          </wps:cNvSpPr>
                          <wps:spPr bwMode="auto">
                            <a:xfrm>
                              <a:off x="4" y="1006"/>
                              <a:ext cx="1690" cy="2"/>
                            </a:xfrm>
                            <a:custGeom>
                              <a:avLst/>
                              <a:gdLst>
                                <a:gd name="T0" fmla="+- 0 4 4"/>
                                <a:gd name="T1" fmla="*/ T0 w 1690"/>
                                <a:gd name="T2" fmla="+- 0 1694 4"/>
                                <a:gd name="T3" fmla="*/ T2 w 1690"/>
                              </a:gdLst>
                              <a:ahLst/>
                              <a:cxnLst>
                                <a:cxn ang="0">
                                  <a:pos x="T1" y="0"/>
                                </a:cxn>
                                <a:cxn ang="0">
                                  <a:pos x="T3" y="0"/>
                                </a:cxn>
                              </a:cxnLst>
                              <a:rect l="0" t="0" r="r" b="b"/>
                              <a:pathLst>
                                <a:path w="1690">
                                  <a:moveTo>
                                    <a:pt x="0" y="0"/>
                                  </a:moveTo>
                                  <a:lnTo>
                                    <a:pt x="1690" y="0"/>
                                  </a:lnTo>
                                </a:path>
                              </a:pathLst>
                            </a:custGeom>
                            <a:noFill/>
                            <a:ln w="2807">
                              <a:solidFill>
                                <a:srgbClr val="9ACA3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3" name="Group 10"/>
                        <wpg:cNvGrpSpPr>
                          <a:grpSpLocks/>
                        </wpg:cNvGrpSpPr>
                        <wpg:grpSpPr bwMode="auto">
                          <a:xfrm>
                            <a:off x="570" y="71"/>
                            <a:ext cx="480" cy="548"/>
                            <a:chOff x="570" y="71"/>
                            <a:chExt cx="480" cy="548"/>
                          </a:xfrm>
                        </wpg:grpSpPr>
                        <wps:wsp>
                          <wps:cNvPr id="54" name="Freeform 11"/>
                          <wps:cNvSpPr>
                            <a:spLocks/>
                          </wps:cNvSpPr>
                          <wps:spPr bwMode="auto">
                            <a:xfrm>
                              <a:off x="570" y="71"/>
                              <a:ext cx="480" cy="548"/>
                            </a:xfrm>
                            <a:custGeom>
                              <a:avLst/>
                              <a:gdLst>
                                <a:gd name="T0" fmla="+- 0 1049 570"/>
                                <a:gd name="T1" fmla="*/ T0 w 480"/>
                                <a:gd name="T2" fmla="+- 0 71 71"/>
                                <a:gd name="T3" fmla="*/ 71 h 548"/>
                                <a:gd name="T4" fmla="+- 0 570 570"/>
                                <a:gd name="T5" fmla="*/ T4 w 480"/>
                                <a:gd name="T6" fmla="+- 0 71 71"/>
                                <a:gd name="T7" fmla="*/ 71 h 548"/>
                                <a:gd name="T8" fmla="+- 0 570 570"/>
                                <a:gd name="T9" fmla="*/ T8 w 480"/>
                                <a:gd name="T10" fmla="+- 0 619 71"/>
                                <a:gd name="T11" fmla="*/ 619 h 548"/>
                                <a:gd name="T12" fmla="+- 0 1047 570"/>
                                <a:gd name="T13" fmla="*/ T12 w 480"/>
                                <a:gd name="T14" fmla="+- 0 619 71"/>
                                <a:gd name="T15" fmla="*/ 619 h 548"/>
                                <a:gd name="T16" fmla="+- 0 1017 570"/>
                                <a:gd name="T17" fmla="*/ T16 w 480"/>
                                <a:gd name="T18" fmla="+- 0 583 71"/>
                                <a:gd name="T19" fmla="*/ 583 h 548"/>
                                <a:gd name="T20" fmla="+- 0 1006 570"/>
                                <a:gd name="T21" fmla="*/ T20 w 480"/>
                                <a:gd name="T22" fmla="+- 0 567 71"/>
                                <a:gd name="T23" fmla="*/ 567 h 548"/>
                                <a:gd name="T24" fmla="+- 0 995 570"/>
                                <a:gd name="T25" fmla="*/ T24 w 480"/>
                                <a:gd name="T26" fmla="+- 0 550 71"/>
                                <a:gd name="T27" fmla="*/ 550 h 548"/>
                                <a:gd name="T28" fmla="+- 0 985 570"/>
                                <a:gd name="T29" fmla="*/ T28 w 480"/>
                                <a:gd name="T30" fmla="+- 0 533 71"/>
                                <a:gd name="T31" fmla="*/ 533 h 548"/>
                                <a:gd name="T32" fmla="+- 0 976 570"/>
                                <a:gd name="T33" fmla="*/ T32 w 480"/>
                                <a:gd name="T34" fmla="+- 0 515 71"/>
                                <a:gd name="T35" fmla="*/ 515 h 548"/>
                                <a:gd name="T36" fmla="+- 0 971 570"/>
                                <a:gd name="T37" fmla="*/ T36 w 480"/>
                                <a:gd name="T38" fmla="+- 0 505 71"/>
                                <a:gd name="T39" fmla="*/ 505 h 548"/>
                                <a:gd name="T40" fmla="+- 0 690 570"/>
                                <a:gd name="T41" fmla="*/ T40 w 480"/>
                                <a:gd name="T42" fmla="+- 0 505 71"/>
                                <a:gd name="T43" fmla="*/ 505 h 548"/>
                                <a:gd name="T44" fmla="+- 0 690 570"/>
                                <a:gd name="T45" fmla="*/ T44 w 480"/>
                                <a:gd name="T46" fmla="+- 0 403 71"/>
                                <a:gd name="T47" fmla="*/ 403 h 548"/>
                                <a:gd name="T48" fmla="+- 0 944 570"/>
                                <a:gd name="T49" fmla="*/ T48 w 480"/>
                                <a:gd name="T50" fmla="+- 0 403 71"/>
                                <a:gd name="T51" fmla="*/ 403 h 548"/>
                                <a:gd name="T52" fmla="+- 0 941 570"/>
                                <a:gd name="T53" fmla="*/ T52 w 480"/>
                                <a:gd name="T54" fmla="+- 0 371 71"/>
                                <a:gd name="T55" fmla="*/ 371 h 548"/>
                                <a:gd name="T56" fmla="+- 0 941 570"/>
                                <a:gd name="T57" fmla="*/ T56 w 480"/>
                                <a:gd name="T58" fmla="+- 0 358 71"/>
                                <a:gd name="T59" fmla="*/ 358 h 548"/>
                                <a:gd name="T60" fmla="+- 0 941 570"/>
                                <a:gd name="T61" fmla="*/ T60 w 480"/>
                                <a:gd name="T62" fmla="+- 0 333 71"/>
                                <a:gd name="T63" fmla="*/ 333 h 548"/>
                                <a:gd name="T64" fmla="+- 0 941 570"/>
                                <a:gd name="T65" fmla="*/ T64 w 480"/>
                                <a:gd name="T66" fmla="+- 0 320 71"/>
                                <a:gd name="T67" fmla="*/ 320 h 548"/>
                                <a:gd name="T68" fmla="+- 0 944 570"/>
                                <a:gd name="T69" fmla="*/ T68 w 480"/>
                                <a:gd name="T70" fmla="+- 0 289 71"/>
                                <a:gd name="T71" fmla="*/ 289 h 548"/>
                                <a:gd name="T72" fmla="+- 0 690 570"/>
                                <a:gd name="T73" fmla="*/ T72 w 480"/>
                                <a:gd name="T74" fmla="+- 0 289 71"/>
                                <a:gd name="T75" fmla="*/ 289 h 548"/>
                                <a:gd name="T76" fmla="+- 0 690 570"/>
                                <a:gd name="T77" fmla="*/ T76 w 480"/>
                                <a:gd name="T78" fmla="+- 0 185 71"/>
                                <a:gd name="T79" fmla="*/ 185 h 548"/>
                                <a:gd name="T80" fmla="+- 0 972 570"/>
                                <a:gd name="T81" fmla="*/ T80 w 480"/>
                                <a:gd name="T82" fmla="+- 0 185 71"/>
                                <a:gd name="T83" fmla="*/ 185 h 548"/>
                                <a:gd name="T84" fmla="+- 0 981 570"/>
                                <a:gd name="T85" fmla="*/ T84 w 480"/>
                                <a:gd name="T86" fmla="+- 0 166 71"/>
                                <a:gd name="T87" fmla="*/ 166 h 548"/>
                                <a:gd name="T88" fmla="+- 0 991 570"/>
                                <a:gd name="T89" fmla="*/ T88 w 480"/>
                                <a:gd name="T90" fmla="+- 0 148 71"/>
                                <a:gd name="T91" fmla="*/ 148 h 548"/>
                                <a:gd name="T92" fmla="+- 0 1002 570"/>
                                <a:gd name="T93" fmla="*/ T92 w 480"/>
                                <a:gd name="T94" fmla="+- 0 131 71"/>
                                <a:gd name="T95" fmla="*/ 131 h 548"/>
                                <a:gd name="T96" fmla="+- 0 1013 570"/>
                                <a:gd name="T97" fmla="*/ T96 w 480"/>
                                <a:gd name="T98" fmla="+- 0 115 71"/>
                                <a:gd name="T99" fmla="*/ 115 h 548"/>
                                <a:gd name="T100" fmla="+- 0 1026 570"/>
                                <a:gd name="T101" fmla="*/ T100 w 480"/>
                                <a:gd name="T102" fmla="+- 0 99 71"/>
                                <a:gd name="T103" fmla="*/ 99 h 548"/>
                                <a:gd name="T104" fmla="+- 0 1049 570"/>
                                <a:gd name="T105" fmla="*/ T104 w 480"/>
                                <a:gd name="T106" fmla="+- 0 71 71"/>
                                <a:gd name="T107" fmla="*/ 71 h 5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Lst>
                              <a:rect l="0" t="0" r="r" b="b"/>
                              <a:pathLst>
                                <a:path w="480" h="548">
                                  <a:moveTo>
                                    <a:pt x="479" y="0"/>
                                  </a:moveTo>
                                  <a:lnTo>
                                    <a:pt x="0" y="0"/>
                                  </a:lnTo>
                                  <a:lnTo>
                                    <a:pt x="0" y="548"/>
                                  </a:lnTo>
                                  <a:lnTo>
                                    <a:pt x="477" y="548"/>
                                  </a:lnTo>
                                  <a:lnTo>
                                    <a:pt x="447" y="512"/>
                                  </a:lnTo>
                                  <a:lnTo>
                                    <a:pt x="436" y="496"/>
                                  </a:lnTo>
                                  <a:lnTo>
                                    <a:pt x="425" y="479"/>
                                  </a:lnTo>
                                  <a:lnTo>
                                    <a:pt x="415" y="462"/>
                                  </a:lnTo>
                                  <a:lnTo>
                                    <a:pt x="406" y="444"/>
                                  </a:lnTo>
                                  <a:lnTo>
                                    <a:pt x="401" y="434"/>
                                  </a:lnTo>
                                  <a:lnTo>
                                    <a:pt x="120" y="434"/>
                                  </a:lnTo>
                                  <a:lnTo>
                                    <a:pt x="120" y="332"/>
                                  </a:lnTo>
                                  <a:lnTo>
                                    <a:pt x="374" y="332"/>
                                  </a:lnTo>
                                  <a:lnTo>
                                    <a:pt x="371" y="300"/>
                                  </a:lnTo>
                                  <a:lnTo>
                                    <a:pt x="371" y="287"/>
                                  </a:lnTo>
                                  <a:lnTo>
                                    <a:pt x="371" y="262"/>
                                  </a:lnTo>
                                  <a:lnTo>
                                    <a:pt x="371" y="249"/>
                                  </a:lnTo>
                                  <a:lnTo>
                                    <a:pt x="374" y="218"/>
                                  </a:lnTo>
                                  <a:lnTo>
                                    <a:pt x="120" y="218"/>
                                  </a:lnTo>
                                  <a:lnTo>
                                    <a:pt x="120" y="114"/>
                                  </a:lnTo>
                                  <a:lnTo>
                                    <a:pt x="402" y="114"/>
                                  </a:lnTo>
                                  <a:lnTo>
                                    <a:pt x="411" y="95"/>
                                  </a:lnTo>
                                  <a:lnTo>
                                    <a:pt x="421" y="77"/>
                                  </a:lnTo>
                                  <a:lnTo>
                                    <a:pt x="432" y="60"/>
                                  </a:lnTo>
                                  <a:lnTo>
                                    <a:pt x="443" y="44"/>
                                  </a:lnTo>
                                  <a:lnTo>
                                    <a:pt x="456" y="28"/>
                                  </a:lnTo>
                                  <a:lnTo>
                                    <a:pt x="479" y="0"/>
                                  </a:lnTo>
                                  <a:close/>
                                </a:path>
                              </a:pathLst>
                            </a:custGeom>
                            <a:solidFill>
                              <a:srgbClr val="003F5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5" name="Group 12"/>
                        <wpg:cNvGrpSpPr>
                          <a:grpSpLocks/>
                        </wpg:cNvGrpSpPr>
                        <wpg:grpSpPr bwMode="auto">
                          <a:xfrm>
                            <a:off x="5" y="71"/>
                            <a:ext cx="537" cy="548"/>
                            <a:chOff x="5" y="71"/>
                            <a:chExt cx="537" cy="548"/>
                          </a:xfrm>
                        </wpg:grpSpPr>
                        <wps:wsp>
                          <wps:cNvPr id="56" name="Freeform 13"/>
                          <wps:cNvSpPr>
                            <a:spLocks/>
                          </wps:cNvSpPr>
                          <wps:spPr bwMode="auto">
                            <a:xfrm>
                              <a:off x="5" y="71"/>
                              <a:ext cx="537" cy="548"/>
                            </a:xfrm>
                            <a:custGeom>
                              <a:avLst/>
                              <a:gdLst>
                                <a:gd name="T0" fmla="+- 0 5 5"/>
                                <a:gd name="T1" fmla="*/ T0 w 537"/>
                                <a:gd name="T2" fmla="+- 0 71 71"/>
                                <a:gd name="T3" fmla="*/ 71 h 548"/>
                                <a:gd name="T4" fmla="+- 0 5 5"/>
                                <a:gd name="T5" fmla="*/ T4 w 537"/>
                                <a:gd name="T6" fmla="+- 0 619 71"/>
                                <a:gd name="T7" fmla="*/ 619 h 548"/>
                                <a:gd name="T8" fmla="+- 0 250 5"/>
                                <a:gd name="T9" fmla="*/ T8 w 537"/>
                                <a:gd name="T10" fmla="+- 0 619 71"/>
                                <a:gd name="T11" fmla="*/ 619 h 548"/>
                                <a:gd name="T12" fmla="+- 0 317 5"/>
                                <a:gd name="T13" fmla="*/ T12 w 537"/>
                                <a:gd name="T14" fmla="+- 0 613 71"/>
                                <a:gd name="T15" fmla="*/ 613 h 548"/>
                                <a:gd name="T16" fmla="+- 0 376 5"/>
                                <a:gd name="T17" fmla="*/ T16 w 537"/>
                                <a:gd name="T18" fmla="+- 0 597 71"/>
                                <a:gd name="T19" fmla="*/ 597 h 548"/>
                                <a:gd name="T20" fmla="+- 0 444 5"/>
                                <a:gd name="T21" fmla="*/ T20 w 537"/>
                                <a:gd name="T22" fmla="+- 0 560 71"/>
                                <a:gd name="T23" fmla="*/ 560 h 548"/>
                                <a:gd name="T24" fmla="+- 0 487 5"/>
                                <a:gd name="T25" fmla="*/ T24 w 537"/>
                                <a:gd name="T26" fmla="+- 0 517 71"/>
                                <a:gd name="T27" fmla="*/ 517 h 548"/>
                                <a:gd name="T28" fmla="+- 0 496 5"/>
                                <a:gd name="T29" fmla="*/ T28 w 537"/>
                                <a:gd name="T30" fmla="+- 0 505 71"/>
                                <a:gd name="T31" fmla="*/ 505 h 548"/>
                                <a:gd name="T32" fmla="+- 0 126 5"/>
                                <a:gd name="T33" fmla="*/ T32 w 537"/>
                                <a:gd name="T34" fmla="+- 0 505 71"/>
                                <a:gd name="T35" fmla="*/ 505 h 548"/>
                                <a:gd name="T36" fmla="+- 0 126 5"/>
                                <a:gd name="T37" fmla="*/ T36 w 537"/>
                                <a:gd name="T38" fmla="+- 0 185 71"/>
                                <a:gd name="T39" fmla="*/ 185 h 548"/>
                                <a:gd name="T40" fmla="+- 0 494 5"/>
                                <a:gd name="T41" fmla="*/ T40 w 537"/>
                                <a:gd name="T42" fmla="+- 0 185 71"/>
                                <a:gd name="T43" fmla="*/ 185 h 548"/>
                                <a:gd name="T44" fmla="+- 0 483 5"/>
                                <a:gd name="T45" fmla="*/ T44 w 537"/>
                                <a:gd name="T46" fmla="+- 0 170 71"/>
                                <a:gd name="T47" fmla="*/ 170 h 548"/>
                                <a:gd name="T48" fmla="+- 0 431 5"/>
                                <a:gd name="T49" fmla="*/ T48 w 537"/>
                                <a:gd name="T50" fmla="+- 0 122 71"/>
                                <a:gd name="T51" fmla="*/ 122 h 548"/>
                                <a:gd name="T52" fmla="+- 0 361 5"/>
                                <a:gd name="T53" fmla="*/ T52 w 537"/>
                                <a:gd name="T54" fmla="+- 0 87 71"/>
                                <a:gd name="T55" fmla="*/ 87 h 548"/>
                                <a:gd name="T56" fmla="+- 0 300 5"/>
                                <a:gd name="T57" fmla="*/ T56 w 537"/>
                                <a:gd name="T58" fmla="+- 0 74 71"/>
                                <a:gd name="T59" fmla="*/ 74 h 548"/>
                                <a:gd name="T60" fmla="+- 0 255 5"/>
                                <a:gd name="T61" fmla="*/ T60 w 537"/>
                                <a:gd name="T62" fmla="+- 0 71 71"/>
                                <a:gd name="T63" fmla="*/ 71 h 548"/>
                                <a:gd name="T64" fmla="+- 0 5 5"/>
                                <a:gd name="T65" fmla="*/ T64 w 537"/>
                                <a:gd name="T66" fmla="+- 0 71 71"/>
                                <a:gd name="T67" fmla="*/ 71 h 5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537" h="548">
                                  <a:moveTo>
                                    <a:pt x="0" y="0"/>
                                  </a:moveTo>
                                  <a:lnTo>
                                    <a:pt x="0" y="548"/>
                                  </a:lnTo>
                                  <a:lnTo>
                                    <a:pt x="245" y="548"/>
                                  </a:lnTo>
                                  <a:lnTo>
                                    <a:pt x="312" y="542"/>
                                  </a:lnTo>
                                  <a:lnTo>
                                    <a:pt x="371" y="526"/>
                                  </a:lnTo>
                                  <a:lnTo>
                                    <a:pt x="439" y="489"/>
                                  </a:lnTo>
                                  <a:lnTo>
                                    <a:pt x="482" y="446"/>
                                  </a:lnTo>
                                  <a:lnTo>
                                    <a:pt x="491" y="434"/>
                                  </a:lnTo>
                                  <a:lnTo>
                                    <a:pt x="121" y="434"/>
                                  </a:lnTo>
                                  <a:lnTo>
                                    <a:pt x="121" y="114"/>
                                  </a:lnTo>
                                  <a:lnTo>
                                    <a:pt x="489" y="114"/>
                                  </a:lnTo>
                                  <a:lnTo>
                                    <a:pt x="478" y="99"/>
                                  </a:lnTo>
                                  <a:lnTo>
                                    <a:pt x="426" y="51"/>
                                  </a:lnTo>
                                  <a:lnTo>
                                    <a:pt x="356" y="16"/>
                                  </a:lnTo>
                                  <a:lnTo>
                                    <a:pt x="295" y="3"/>
                                  </a:lnTo>
                                  <a:lnTo>
                                    <a:pt x="250" y="0"/>
                                  </a:lnTo>
                                  <a:lnTo>
                                    <a:pt x="0" y="0"/>
                                  </a:lnTo>
                                  <a:close/>
                                </a:path>
                              </a:pathLst>
                            </a:custGeom>
                            <a:solidFill>
                              <a:srgbClr val="003F5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7" name="Freeform 14"/>
                          <wps:cNvSpPr>
                            <a:spLocks/>
                          </wps:cNvSpPr>
                          <wps:spPr bwMode="auto">
                            <a:xfrm>
                              <a:off x="5" y="71"/>
                              <a:ext cx="537" cy="548"/>
                            </a:xfrm>
                            <a:custGeom>
                              <a:avLst/>
                              <a:gdLst>
                                <a:gd name="T0" fmla="+- 0 494 5"/>
                                <a:gd name="T1" fmla="*/ T0 w 537"/>
                                <a:gd name="T2" fmla="+- 0 185 71"/>
                                <a:gd name="T3" fmla="*/ 185 h 548"/>
                                <a:gd name="T4" fmla="+- 0 250 5"/>
                                <a:gd name="T5" fmla="*/ T4 w 537"/>
                                <a:gd name="T6" fmla="+- 0 185 71"/>
                                <a:gd name="T7" fmla="*/ 185 h 548"/>
                                <a:gd name="T8" fmla="+- 0 273 5"/>
                                <a:gd name="T9" fmla="*/ T8 w 537"/>
                                <a:gd name="T10" fmla="+- 0 186 71"/>
                                <a:gd name="T11" fmla="*/ 186 h 548"/>
                                <a:gd name="T12" fmla="+- 0 295 5"/>
                                <a:gd name="T13" fmla="*/ T12 w 537"/>
                                <a:gd name="T14" fmla="+- 0 189 71"/>
                                <a:gd name="T15" fmla="*/ 189 h 548"/>
                                <a:gd name="T16" fmla="+- 0 366 5"/>
                                <a:gd name="T17" fmla="*/ T16 w 537"/>
                                <a:gd name="T18" fmla="+- 0 221 71"/>
                                <a:gd name="T19" fmla="*/ 221 h 548"/>
                                <a:gd name="T20" fmla="+- 0 404 5"/>
                                <a:gd name="T21" fmla="*/ T20 w 537"/>
                                <a:gd name="T22" fmla="+- 0 271 71"/>
                                <a:gd name="T23" fmla="*/ 271 h 548"/>
                                <a:gd name="T24" fmla="+- 0 420 5"/>
                                <a:gd name="T25" fmla="*/ T24 w 537"/>
                                <a:gd name="T26" fmla="+- 0 329 71"/>
                                <a:gd name="T27" fmla="*/ 329 h 548"/>
                                <a:gd name="T28" fmla="+- 0 419 5"/>
                                <a:gd name="T29" fmla="*/ T28 w 537"/>
                                <a:gd name="T30" fmla="+- 0 355 71"/>
                                <a:gd name="T31" fmla="*/ 355 h 548"/>
                                <a:gd name="T32" fmla="+- 0 406 5"/>
                                <a:gd name="T33" fmla="*/ T32 w 537"/>
                                <a:gd name="T34" fmla="+- 0 418 71"/>
                                <a:gd name="T35" fmla="*/ 418 h 548"/>
                                <a:gd name="T36" fmla="+- 0 361 5"/>
                                <a:gd name="T37" fmla="*/ T36 w 537"/>
                                <a:gd name="T38" fmla="+- 0 474 71"/>
                                <a:gd name="T39" fmla="*/ 474 h 548"/>
                                <a:gd name="T40" fmla="+- 0 288 5"/>
                                <a:gd name="T41" fmla="*/ T40 w 537"/>
                                <a:gd name="T42" fmla="+- 0 502 71"/>
                                <a:gd name="T43" fmla="*/ 502 h 548"/>
                                <a:gd name="T44" fmla="+- 0 126 5"/>
                                <a:gd name="T45" fmla="*/ T44 w 537"/>
                                <a:gd name="T46" fmla="+- 0 505 71"/>
                                <a:gd name="T47" fmla="*/ 505 h 548"/>
                                <a:gd name="T48" fmla="+- 0 496 5"/>
                                <a:gd name="T49" fmla="*/ T48 w 537"/>
                                <a:gd name="T50" fmla="+- 0 505 71"/>
                                <a:gd name="T51" fmla="*/ 505 h 548"/>
                                <a:gd name="T52" fmla="+- 0 526 5"/>
                                <a:gd name="T53" fmla="*/ T52 w 537"/>
                                <a:gd name="T54" fmla="+- 0 447 71"/>
                                <a:gd name="T55" fmla="*/ 447 h 548"/>
                                <a:gd name="T56" fmla="+- 0 540 5"/>
                                <a:gd name="T57" fmla="*/ T56 w 537"/>
                                <a:gd name="T58" fmla="+- 0 388 71"/>
                                <a:gd name="T59" fmla="*/ 388 h 548"/>
                                <a:gd name="T60" fmla="+- 0 542 5"/>
                                <a:gd name="T61" fmla="*/ T60 w 537"/>
                                <a:gd name="T62" fmla="+- 0 366 71"/>
                                <a:gd name="T63" fmla="*/ 366 h 548"/>
                                <a:gd name="T64" fmla="+- 0 542 5"/>
                                <a:gd name="T65" fmla="*/ T64 w 537"/>
                                <a:gd name="T66" fmla="+- 0 341 71"/>
                                <a:gd name="T67" fmla="*/ 341 h 548"/>
                                <a:gd name="T68" fmla="+- 0 533 5"/>
                                <a:gd name="T69" fmla="*/ T68 w 537"/>
                                <a:gd name="T70" fmla="+- 0 274 71"/>
                                <a:gd name="T71" fmla="*/ 274 h 548"/>
                                <a:gd name="T72" fmla="+- 0 505 5"/>
                                <a:gd name="T73" fmla="*/ T72 w 537"/>
                                <a:gd name="T74" fmla="+- 0 201 71"/>
                                <a:gd name="T75" fmla="*/ 201 h 548"/>
                                <a:gd name="T76" fmla="+- 0 494 5"/>
                                <a:gd name="T77" fmla="*/ T76 w 537"/>
                                <a:gd name="T78" fmla="+- 0 185 71"/>
                                <a:gd name="T79" fmla="*/ 185 h 548"/>
                                <a:gd name="T80" fmla="+- 0 494 5"/>
                                <a:gd name="T81" fmla="*/ T80 w 537"/>
                                <a:gd name="T82" fmla="+- 0 185 71"/>
                                <a:gd name="T83" fmla="*/ 185 h 5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537" h="548">
                                  <a:moveTo>
                                    <a:pt x="489" y="114"/>
                                  </a:moveTo>
                                  <a:lnTo>
                                    <a:pt x="245" y="114"/>
                                  </a:lnTo>
                                  <a:lnTo>
                                    <a:pt x="268" y="115"/>
                                  </a:lnTo>
                                  <a:lnTo>
                                    <a:pt x="290" y="118"/>
                                  </a:lnTo>
                                  <a:lnTo>
                                    <a:pt x="361" y="150"/>
                                  </a:lnTo>
                                  <a:lnTo>
                                    <a:pt x="399" y="200"/>
                                  </a:lnTo>
                                  <a:lnTo>
                                    <a:pt x="415" y="258"/>
                                  </a:lnTo>
                                  <a:lnTo>
                                    <a:pt x="414" y="284"/>
                                  </a:lnTo>
                                  <a:lnTo>
                                    <a:pt x="401" y="347"/>
                                  </a:lnTo>
                                  <a:lnTo>
                                    <a:pt x="356" y="403"/>
                                  </a:lnTo>
                                  <a:lnTo>
                                    <a:pt x="283" y="431"/>
                                  </a:lnTo>
                                  <a:lnTo>
                                    <a:pt x="121" y="434"/>
                                  </a:lnTo>
                                  <a:lnTo>
                                    <a:pt x="491" y="434"/>
                                  </a:lnTo>
                                  <a:lnTo>
                                    <a:pt x="521" y="376"/>
                                  </a:lnTo>
                                  <a:lnTo>
                                    <a:pt x="535" y="317"/>
                                  </a:lnTo>
                                  <a:lnTo>
                                    <a:pt x="537" y="295"/>
                                  </a:lnTo>
                                  <a:lnTo>
                                    <a:pt x="537" y="270"/>
                                  </a:lnTo>
                                  <a:lnTo>
                                    <a:pt x="528" y="203"/>
                                  </a:lnTo>
                                  <a:lnTo>
                                    <a:pt x="500" y="130"/>
                                  </a:lnTo>
                                  <a:lnTo>
                                    <a:pt x="489" y="114"/>
                                  </a:lnTo>
                                  <a:close/>
                                </a:path>
                              </a:pathLst>
                            </a:custGeom>
                            <a:solidFill>
                              <a:srgbClr val="003F5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8" name="Picture 1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578" y="80"/>
                              <a:ext cx="450" cy="53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9" name="Picture 1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15" y="80"/>
                              <a:ext cx="519" cy="53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0" name="Picture 1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1008" y="0"/>
                              <a:ext cx="549" cy="509"/>
                            </a:xfrm>
                            <a:prstGeom prst="rect">
                              <a:avLst/>
                            </a:prstGeom>
                            <a:noFill/>
                            <a:extLst>
                              <a:ext uri="{909E8E84-426E-40DD-AFC4-6F175D3DCCD1}">
                                <a14:hiddenFill xmlns:a14="http://schemas.microsoft.com/office/drawing/2010/main">
                                  <a:solidFill>
                                    <a:srgbClr val="FFFFFF"/>
                                  </a:solidFill>
                                </a14:hiddenFill>
                              </a:ext>
                            </a:extLst>
                          </pic:spPr>
                        </pic:pic>
                      </wpg:grpSp>
                      <wpg:grpSp>
                        <wpg:cNvPr id="61" name="Group 18"/>
                        <wpg:cNvGrpSpPr>
                          <a:grpSpLocks/>
                        </wpg:cNvGrpSpPr>
                        <wpg:grpSpPr bwMode="auto">
                          <a:xfrm>
                            <a:off x="1013" y="200"/>
                            <a:ext cx="348" cy="304"/>
                            <a:chOff x="1013" y="200"/>
                            <a:chExt cx="348" cy="304"/>
                          </a:xfrm>
                        </wpg:grpSpPr>
                        <wps:wsp>
                          <wps:cNvPr id="62" name="Freeform 19"/>
                          <wps:cNvSpPr>
                            <a:spLocks/>
                          </wps:cNvSpPr>
                          <wps:spPr bwMode="auto">
                            <a:xfrm>
                              <a:off x="1013" y="200"/>
                              <a:ext cx="348" cy="304"/>
                            </a:xfrm>
                            <a:custGeom>
                              <a:avLst/>
                              <a:gdLst>
                                <a:gd name="T0" fmla="+- 0 1031 1013"/>
                                <a:gd name="T1" fmla="*/ T0 w 348"/>
                                <a:gd name="T2" fmla="+- 0 467 200"/>
                                <a:gd name="T3" fmla="*/ 467 h 304"/>
                                <a:gd name="T4" fmla="+- 0 1091 1013"/>
                                <a:gd name="T5" fmla="*/ T4 w 348"/>
                                <a:gd name="T6" fmla="+- 0 504 200"/>
                                <a:gd name="T7" fmla="*/ 504 h 304"/>
                                <a:gd name="T8" fmla="+- 0 1099 1013"/>
                                <a:gd name="T9" fmla="*/ T8 w 348"/>
                                <a:gd name="T10" fmla="+- 0 502 200"/>
                                <a:gd name="T11" fmla="*/ 502 h 304"/>
                                <a:gd name="T12" fmla="+- 0 1097 1013"/>
                                <a:gd name="T13" fmla="*/ T12 w 348"/>
                                <a:gd name="T14" fmla="+- 0 499 200"/>
                                <a:gd name="T15" fmla="*/ 499 h 304"/>
                                <a:gd name="T16" fmla="+- 0 1091 1013"/>
                                <a:gd name="T17" fmla="*/ T16 w 348"/>
                                <a:gd name="T18" fmla="+- 0 499 200"/>
                                <a:gd name="T19" fmla="*/ 499 h 304"/>
                                <a:gd name="T20" fmla="+- 0 1067 1013"/>
                                <a:gd name="T21" fmla="*/ T20 w 348"/>
                                <a:gd name="T22" fmla="+- 0 491 200"/>
                                <a:gd name="T23" fmla="*/ 491 h 304"/>
                                <a:gd name="T24" fmla="+- 0 1048 1013"/>
                                <a:gd name="T25" fmla="*/ T24 w 348"/>
                                <a:gd name="T26" fmla="+- 0 481 200"/>
                                <a:gd name="T27" fmla="*/ 481 h 304"/>
                                <a:gd name="T28" fmla="+- 0 1035 1013"/>
                                <a:gd name="T29" fmla="*/ T28 w 348"/>
                                <a:gd name="T30" fmla="+- 0 469 200"/>
                                <a:gd name="T31" fmla="*/ 469 h 304"/>
                                <a:gd name="T32" fmla="+- 0 1031 1013"/>
                                <a:gd name="T33" fmla="*/ T32 w 348"/>
                                <a:gd name="T34" fmla="+- 0 467 200"/>
                                <a:gd name="T35" fmla="*/ 467 h 30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348" h="304">
                                  <a:moveTo>
                                    <a:pt x="18" y="267"/>
                                  </a:moveTo>
                                  <a:lnTo>
                                    <a:pt x="78" y="304"/>
                                  </a:lnTo>
                                  <a:lnTo>
                                    <a:pt x="86" y="302"/>
                                  </a:lnTo>
                                  <a:lnTo>
                                    <a:pt x="84" y="299"/>
                                  </a:lnTo>
                                  <a:lnTo>
                                    <a:pt x="78" y="299"/>
                                  </a:lnTo>
                                  <a:lnTo>
                                    <a:pt x="54" y="291"/>
                                  </a:lnTo>
                                  <a:lnTo>
                                    <a:pt x="35" y="281"/>
                                  </a:lnTo>
                                  <a:lnTo>
                                    <a:pt x="22" y="269"/>
                                  </a:lnTo>
                                  <a:lnTo>
                                    <a:pt x="18" y="26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3" name="Freeform 20"/>
                          <wps:cNvSpPr>
                            <a:spLocks/>
                          </wps:cNvSpPr>
                          <wps:spPr bwMode="auto">
                            <a:xfrm>
                              <a:off x="1013" y="200"/>
                              <a:ext cx="348" cy="304"/>
                            </a:xfrm>
                            <a:custGeom>
                              <a:avLst/>
                              <a:gdLst>
                                <a:gd name="T0" fmla="+- 0 1014 1013"/>
                                <a:gd name="T1" fmla="*/ T0 w 348"/>
                                <a:gd name="T2" fmla="+- 0 280 200"/>
                                <a:gd name="T3" fmla="*/ 280 h 304"/>
                                <a:gd name="T4" fmla="+- 0 1014 1013"/>
                                <a:gd name="T5" fmla="*/ T4 w 348"/>
                                <a:gd name="T6" fmla="+- 0 283 200"/>
                                <a:gd name="T7" fmla="*/ 283 h 304"/>
                                <a:gd name="T8" fmla="+- 0 1013 1013"/>
                                <a:gd name="T9" fmla="*/ T8 w 348"/>
                                <a:gd name="T10" fmla="+- 0 287 200"/>
                                <a:gd name="T11" fmla="*/ 287 h 304"/>
                                <a:gd name="T12" fmla="+- 0 1023 1013"/>
                                <a:gd name="T13" fmla="*/ T12 w 348"/>
                                <a:gd name="T14" fmla="+- 0 301 200"/>
                                <a:gd name="T15" fmla="*/ 301 h 304"/>
                                <a:gd name="T16" fmla="+- 0 1039 1013"/>
                                <a:gd name="T17" fmla="*/ T16 w 348"/>
                                <a:gd name="T18" fmla="+- 0 314 200"/>
                                <a:gd name="T19" fmla="*/ 314 h 304"/>
                                <a:gd name="T20" fmla="+- 0 1050 1013"/>
                                <a:gd name="T21" fmla="*/ T20 w 348"/>
                                <a:gd name="T22" fmla="+- 0 329 200"/>
                                <a:gd name="T23" fmla="*/ 329 h 304"/>
                                <a:gd name="T24" fmla="+- 0 1049 1013"/>
                                <a:gd name="T25" fmla="*/ T24 w 348"/>
                                <a:gd name="T26" fmla="+- 0 331 200"/>
                                <a:gd name="T27" fmla="*/ 331 h 304"/>
                                <a:gd name="T28" fmla="+- 0 1049 1013"/>
                                <a:gd name="T29" fmla="*/ T28 w 348"/>
                                <a:gd name="T30" fmla="+- 0 349 200"/>
                                <a:gd name="T31" fmla="*/ 349 h 304"/>
                                <a:gd name="T32" fmla="+- 0 1050 1013"/>
                                <a:gd name="T33" fmla="*/ T32 w 348"/>
                                <a:gd name="T34" fmla="+- 0 367 200"/>
                                <a:gd name="T35" fmla="*/ 367 h 304"/>
                                <a:gd name="T36" fmla="+- 0 1061 1013"/>
                                <a:gd name="T37" fmla="*/ T36 w 348"/>
                                <a:gd name="T38" fmla="+- 0 429 200"/>
                                <a:gd name="T39" fmla="*/ 429 h 304"/>
                                <a:gd name="T40" fmla="+- 0 1091 1013"/>
                                <a:gd name="T41" fmla="*/ T40 w 348"/>
                                <a:gd name="T42" fmla="+- 0 499 200"/>
                                <a:gd name="T43" fmla="*/ 499 h 304"/>
                                <a:gd name="T44" fmla="+- 0 1097 1013"/>
                                <a:gd name="T45" fmla="*/ T44 w 348"/>
                                <a:gd name="T46" fmla="+- 0 499 200"/>
                                <a:gd name="T47" fmla="*/ 499 h 304"/>
                                <a:gd name="T48" fmla="+- 0 1090 1013"/>
                                <a:gd name="T49" fmla="*/ T48 w 348"/>
                                <a:gd name="T50" fmla="+- 0 486 200"/>
                                <a:gd name="T51" fmla="*/ 486 h 304"/>
                                <a:gd name="T52" fmla="+- 0 1082 1013"/>
                                <a:gd name="T53" fmla="*/ T52 w 348"/>
                                <a:gd name="T54" fmla="+- 0 469 200"/>
                                <a:gd name="T55" fmla="*/ 469 h 304"/>
                                <a:gd name="T56" fmla="+- 0 1058 1013"/>
                                <a:gd name="T57" fmla="*/ T56 w 348"/>
                                <a:gd name="T58" fmla="+- 0 392 200"/>
                                <a:gd name="T59" fmla="*/ 392 h 304"/>
                                <a:gd name="T60" fmla="+- 0 1054 1013"/>
                                <a:gd name="T61" fmla="*/ T60 w 348"/>
                                <a:gd name="T62" fmla="+- 0 351 200"/>
                                <a:gd name="T63" fmla="*/ 351 h 304"/>
                                <a:gd name="T64" fmla="+- 0 1054 1013"/>
                                <a:gd name="T65" fmla="*/ T64 w 348"/>
                                <a:gd name="T66" fmla="+- 0 331 200"/>
                                <a:gd name="T67" fmla="*/ 331 h 304"/>
                                <a:gd name="T68" fmla="+- 0 1055 1013"/>
                                <a:gd name="T69" fmla="*/ T68 w 348"/>
                                <a:gd name="T70" fmla="+- 0 324 200"/>
                                <a:gd name="T71" fmla="*/ 324 h 304"/>
                                <a:gd name="T72" fmla="+- 0 1066 1013"/>
                                <a:gd name="T73" fmla="*/ T72 w 348"/>
                                <a:gd name="T74" fmla="+- 0 324 200"/>
                                <a:gd name="T75" fmla="*/ 324 h 304"/>
                                <a:gd name="T76" fmla="+- 0 1058 1013"/>
                                <a:gd name="T77" fmla="*/ T76 w 348"/>
                                <a:gd name="T78" fmla="+- 0 320 200"/>
                                <a:gd name="T79" fmla="*/ 320 h 304"/>
                                <a:gd name="T80" fmla="+- 0 1059 1013"/>
                                <a:gd name="T81" fmla="*/ T80 w 348"/>
                                <a:gd name="T82" fmla="+- 0 299 200"/>
                                <a:gd name="T83" fmla="*/ 299 h 304"/>
                                <a:gd name="T84" fmla="+- 0 1060 1013"/>
                                <a:gd name="T85" fmla="*/ T84 w 348"/>
                                <a:gd name="T86" fmla="+- 0 297 200"/>
                                <a:gd name="T87" fmla="*/ 297 h 304"/>
                                <a:gd name="T88" fmla="+- 0 1031 1013"/>
                                <a:gd name="T89" fmla="*/ T88 w 348"/>
                                <a:gd name="T90" fmla="+- 0 297 200"/>
                                <a:gd name="T91" fmla="*/ 297 h 304"/>
                                <a:gd name="T92" fmla="+- 0 1018 1013"/>
                                <a:gd name="T93" fmla="*/ T92 w 348"/>
                                <a:gd name="T94" fmla="+- 0 286 200"/>
                                <a:gd name="T95" fmla="*/ 286 h 304"/>
                                <a:gd name="T96" fmla="+- 0 1014 1013"/>
                                <a:gd name="T97" fmla="*/ T96 w 348"/>
                                <a:gd name="T98" fmla="+- 0 280 200"/>
                                <a:gd name="T99" fmla="*/ 280 h 30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348" h="304">
                                  <a:moveTo>
                                    <a:pt x="1" y="80"/>
                                  </a:moveTo>
                                  <a:lnTo>
                                    <a:pt x="1" y="83"/>
                                  </a:lnTo>
                                  <a:lnTo>
                                    <a:pt x="0" y="87"/>
                                  </a:lnTo>
                                  <a:lnTo>
                                    <a:pt x="10" y="101"/>
                                  </a:lnTo>
                                  <a:lnTo>
                                    <a:pt x="26" y="114"/>
                                  </a:lnTo>
                                  <a:lnTo>
                                    <a:pt x="37" y="129"/>
                                  </a:lnTo>
                                  <a:lnTo>
                                    <a:pt x="36" y="131"/>
                                  </a:lnTo>
                                  <a:lnTo>
                                    <a:pt x="36" y="149"/>
                                  </a:lnTo>
                                  <a:lnTo>
                                    <a:pt x="37" y="167"/>
                                  </a:lnTo>
                                  <a:lnTo>
                                    <a:pt x="48" y="229"/>
                                  </a:lnTo>
                                  <a:lnTo>
                                    <a:pt x="78" y="299"/>
                                  </a:lnTo>
                                  <a:lnTo>
                                    <a:pt x="84" y="299"/>
                                  </a:lnTo>
                                  <a:lnTo>
                                    <a:pt x="77" y="286"/>
                                  </a:lnTo>
                                  <a:lnTo>
                                    <a:pt x="69" y="269"/>
                                  </a:lnTo>
                                  <a:lnTo>
                                    <a:pt x="45" y="192"/>
                                  </a:lnTo>
                                  <a:lnTo>
                                    <a:pt x="41" y="151"/>
                                  </a:lnTo>
                                  <a:lnTo>
                                    <a:pt x="41" y="131"/>
                                  </a:lnTo>
                                  <a:lnTo>
                                    <a:pt x="42" y="124"/>
                                  </a:lnTo>
                                  <a:lnTo>
                                    <a:pt x="53" y="124"/>
                                  </a:lnTo>
                                  <a:lnTo>
                                    <a:pt x="45" y="120"/>
                                  </a:lnTo>
                                  <a:lnTo>
                                    <a:pt x="46" y="99"/>
                                  </a:lnTo>
                                  <a:lnTo>
                                    <a:pt x="47" y="97"/>
                                  </a:lnTo>
                                  <a:lnTo>
                                    <a:pt x="18" y="97"/>
                                  </a:lnTo>
                                  <a:lnTo>
                                    <a:pt x="5" y="86"/>
                                  </a:lnTo>
                                  <a:lnTo>
                                    <a:pt x="1" y="8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4" name="Freeform 21"/>
                          <wps:cNvSpPr>
                            <a:spLocks/>
                          </wps:cNvSpPr>
                          <wps:spPr bwMode="auto">
                            <a:xfrm>
                              <a:off x="1013" y="200"/>
                              <a:ext cx="348" cy="304"/>
                            </a:xfrm>
                            <a:custGeom>
                              <a:avLst/>
                              <a:gdLst>
                                <a:gd name="T0" fmla="+- 0 1066 1013"/>
                                <a:gd name="T1" fmla="*/ T0 w 348"/>
                                <a:gd name="T2" fmla="+- 0 324 200"/>
                                <a:gd name="T3" fmla="*/ 324 h 304"/>
                                <a:gd name="T4" fmla="+- 0 1055 1013"/>
                                <a:gd name="T5" fmla="*/ T4 w 348"/>
                                <a:gd name="T6" fmla="+- 0 324 200"/>
                                <a:gd name="T7" fmla="*/ 324 h 304"/>
                                <a:gd name="T8" fmla="+- 0 1069 1013"/>
                                <a:gd name="T9" fmla="*/ T8 w 348"/>
                                <a:gd name="T10" fmla="+- 0 331 200"/>
                                <a:gd name="T11" fmla="*/ 331 h 304"/>
                                <a:gd name="T12" fmla="+- 0 1140 1013"/>
                                <a:gd name="T13" fmla="*/ T12 w 348"/>
                                <a:gd name="T14" fmla="+- 0 354 200"/>
                                <a:gd name="T15" fmla="*/ 354 h 304"/>
                                <a:gd name="T16" fmla="+- 0 1208 1013"/>
                                <a:gd name="T17" fmla="*/ T16 w 348"/>
                                <a:gd name="T18" fmla="+- 0 367 200"/>
                                <a:gd name="T19" fmla="*/ 367 h 304"/>
                                <a:gd name="T20" fmla="+- 0 1212 1013"/>
                                <a:gd name="T21" fmla="*/ T20 w 348"/>
                                <a:gd name="T22" fmla="+- 0 386 200"/>
                                <a:gd name="T23" fmla="*/ 386 h 304"/>
                                <a:gd name="T24" fmla="+- 0 1216 1013"/>
                                <a:gd name="T25" fmla="*/ T24 w 348"/>
                                <a:gd name="T26" fmla="+- 0 405 200"/>
                                <a:gd name="T27" fmla="*/ 405 h 304"/>
                                <a:gd name="T28" fmla="+- 0 1224 1013"/>
                                <a:gd name="T29" fmla="*/ T28 w 348"/>
                                <a:gd name="T30" fmla="+- 0 445 200"/>
                                <a:gd name="T31" fmla="*/ 445 h 304"/>
                                <a:gd name="T32" fmla="+- 0 1228 1013"/>
                                <a:gd name="T33" fmla="*/ T32 w 348"/>
                                <a:gd name="T34" fmla="+- 0 459 200"/>
                                <a:gd name="T35" fmla="*/ 459 h 304"/>
                                <a:gd name="T36" fmla="+- 0 1231 1013"/>
                                <a:gd name="T37" fmla="*/ T36 w 348"/>
                                <a:gd name="T38" fmla="+- 0 458 200"/>
                                <a:gd name="T39" fmla="*/ 458 h 304"/>
                                <a:gd name="T40" fmla="+- 0 1227 1013"/>
                                <a:gd name="T41" fmla="*/ T40 w 348"/>
                                <a:gd name="T42" fmla="+- 0 437 200"/>
                                <a:gd name="T43" fmla="*/ 437 h 304"/>
                                <a:gd name="T44" fmla="+- 0 1224 1013"/>
                                <a:gd name="T45" fmla="*/ T44 w 348"/>
                                <a:gd name="T46" fmla="+- 0 417 200"/>
                                <a:gd name="T47" fmla="*/ 417 h 304"/>
                                <a:gd name="T48" fmla="+- 0 1221 1013"/>
                                <a:gd name="T49" fmla="*/ T48 w 348"/>
                                <a:gd name="T50" fmla="+- 0 397 200"/>
                                <a:gd name="T51" fmla="*/ 397 h 304"/>
                                <a:gd name="T52" fmla="+- 0 1220 1013"/>
                                <a:gd name="T53" fmla="*/ T52 w 348"/>
                                <a:gd name="T54" fmla="+- 0 378 200"/>
                                <a:gd name="T55" fmla="*/ 378 h 304"/>
                                <a:gd name="T56" fmla="+- 0 1238 1013"/>
                                <a:gd name="T57" fmla="*/ T56 w 348"/>
                                <a:gd name="T58" fmla="+- 0 376 200"/>
                                <a:gd name="T59" fmla="*/ 376 h 304"/>
                                <a:gd name="T60" fmla="+- 0 1257 1013"/>
                                <a:gd name="T61" fmla="*/ T60 w 348"/>
                                <a:gd name="T62" fmla="+- 0 376 200"/>
                                <a:gd name="T63" fmla="*/ 376 h 304"/>
                                <a:gd name="T64" fmla="+- 0 1356 1013"/>
                                <a:gd name="T65" fmla="*/ T64 w 348"/>
                                <a:gd name="T66" fmla="+- 0 375 200"/>
                                <a:gd name="T67" fmla="*/ 375 h 304"/>
                                <a:gd name="T68" fmla="+- 0 1360 1013"/>
                                <a:gd name="T69" fmla="*/ T68 w 348"/>
                                <a:gd name="T70" fmla="+- 0 372 200"/>
                                <a:gd name="T71" fmla="*/ 372 h 304"/>
                                <a:gd name="T72" fmla="+- 0 1352 1013"/>
                                <a:gd name="T73" fmla="*/ T72 w 348"/>
                                <a:gd name="T74" fmla="+- 0 372 200"/>
                                <a:gd name="T75" fmla="*/ 372 h 304"/>
                                <a:gd name="T76" fmla="+- 0 1331 1013"/>
                                <a:gd name="T77" fmla="*/ T76 w 348"/>
                                <a:gd name="T78" fmla="+- 0 371 200"/>
                                <a:gd name="T79" fmla="*/ 371 h 304"/>
                                <a:gd name="T80" fmla="+- 0 1270 1013"/>
                                <a:gd name="T81" fmla="*/ T80 w 348"/>
                                <a:gd name="T82" fmla="+- 0 368 200"/>
                                <a:gd name="T83" fmla="*/ 368 h 304"/>
                                <a:gd name="T84" fmla="+- 0 1228 1013"/>
                                <a:gd name="T85" fmla="*/ T84 w 348"/>
                                <a:gd name="T86" fmla="+- 0 363 200"/>
                                <a:gd name="T87" fmla="*/ 363 h 304"/>
                                <a:gd name="T88" fmla="+- 0 1214 1013"/>
                                <a:gd name="T89" fmla="*/ T88 w 348"/>
                                <a:gd name="T90" fmla="+- 0 363 200"/>
                                <a:gd name="T91" fmla="*/ 363 h 304"/>
                                <a:gd name="T92" fmla="+- 0 1145 1013"/>
                                <a:gd name="T93" fmla="*/ T92 w 348"/>
                                <a:gd name="T94" fmla="+- 0 350 200"/>
                                <a:gd name="T95" fmla="*/ 350 h 304"/>
                                <a:gd name="T96" fmla="+- 0 1072 1013"/>
                                <a:gd name="T97" fmla="*/ T96 w 348"/>
                                <a:gd name="T98" fmla="+- 0 327 200"/>
                                <a:gd name="T99" fmla="*/ 327 h 304"/>
                                <a:gd name="T100" fmla="+- 0 1066 1013"/>
                                <a:gd name="T101" fmla="*/ T100 w 348"/>
                                <a:gd name="T102" fmla="+- 0 324 200"/>
                                <a:gd name="T103" fmla="*/ 324 h 30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Lst>
                              <a:rect l="0" t="0" r="r" b="b"/>
                              <a:pathLst>
                                <a:path w="348" h="304">
                                  <a:moveTo>
                                    <a:pt x="53" y="124"/>
                                  </a:moveTo>
                                  <a:lnTo>
                                    <a:pt x="42" y="124"/>
                                  </a:lnTo>
                                  <a:lnTo>
                                    <a:pt x="56" y="131"/>
                                  </a:lnTo>
                                  <a:lnTo>
                                    <a:pt x="127" y="154"/>
                                  </a:lnTo>
                                  <a:lnTo>
                                    <a:pt x="195" y="167"/>
                                  </a:lnTo>
                                  <a:lnTo>
                                    <a:pt x="199" y="186"/>
                                  </a:lnTo>
                                  <a:lnTo>
                                    <a:pt x="203" y="205"/>
                                  </a:lnTo>
                                  <a:lnTo>
                                    <a:pt x="211" y="245"/>
                                  </a:lnTo>
                                  <a:lnTo>
                                    <a:pt x="215" y="259"/>
                                  </a:lnTo>
                                  <a:lnTo>
                                    <a:pt x="218" y="258"/>
                                  </a:lnTo>
                                  <a:lnTo>
                                    <a:pt x="214" y="237"/>
                                  </a:lnTo>
                                  <a:lnTo>
                                    <a:pt x="211" y="217"/>
                                  </a:lnTo>
                                  <a:lnTo>
                                    <a:pt x="208" y="197"/>
                                  </a:lnTo>
                                  <a:lnTo>
                                    <a:pt x="207" y="178"/>
                                  </a:lnTo>
                                  <a:lnTo>
                                    <a:pt x="225" y="176"/>
                                  </a:lnTo>
                                  <a:lnTo>
                                    <a:pt x="244" y="176"/>
                                  </a:lnTo>
                                  <a:lnTo>
                                    <a:pt x="343" y="175"/>
                                  </a:lnTo>
                                  <a:lnTo>
                                    <a:pt x="347" y="172"/>
                                  </a:lnTo>
                                  <a:lnTo>
                                    <a:pt x="339" y="172"/>
                                  </a:lnTo>
                                  <a:lnTo>
                                    <a:pt x="318" y="171"/>
                                  </a:lnTo>
                                  <a:lnTo>
                                    <a:pt x="257" y="168"/>
                                  </a:lnTo>
                                  <a:lnTo>
                                    <a:pt x="215" y="163"/>
                                  </a:lnTo>
                                  <a:lnTo>
                                    <a:pt x="201" y="163"/>
                                  </a:lnTo>
                                  <a:lnTo>
                                    <a:pt x="132" y="150"/>
                                  </a:lnTo>
                                  <a:lnTo>
                                    <a:pt x="59" y="127"/>
                                  </a:lnTo>
                                  <a:lnTo>
                                    <a:pt x="53" y="12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5" name="Freeform 22"/>
                          <wps:cNvSpPr>
                            <a:spLocks/>
                          </wps:cNvSpPr>
                          <wps:spPr bwMode="auto">
                            <a:xfrm>
                              <a:off x="1013" y="200"/>
                              <a:ext cx="348" cy="304"/>
                            </a:xfrm>
                            <a:custGeom>
                              <a:avLst/>
                              <a:gdLst>
                                <a:gd name="T0" fmla="+- 0 1356 1013"/>
                                <a:gd name="T1" fmla="*/ T0 w 348"/>
                                <a:gd name="T2" fmla="+- 0 375 200"/>
                                <a:gd name="T3" fmla="*/ 375 h 304"/>
                                <a:gd name="T4" fmla="+- 0 1277 1013"/>
                                <a:gd name="T5" fmla="*/ T4 w 348"/>
                                <a:gd name="T6" fmla="+- 0 375 200"/>
                                <a:gd name="T7" fmla="*/ 375 h 304"/>
                                <a:gd name="T8" fmla="+- 0 1339 1013"/>
                                <a:gd name="T9" fmla="*/ T8 w 348"/>
                                <a:gd name="T10" fmla="+- 0 376 200"/>
                                <a:gd name="T11" fmla="*/ 376 h 304"/>
                                <a:gd name="T12" fmla="+- 0 1355 1013"/>
                                <a:gd name="T13" fmla="*/ T12 w 348"/>
                                <a:gd name="T14" fmla="+- 0 376 200"/>
                                <a:gd name="T15" fmla="*/ 376 h 304"/>
                                <a:gd name="T16" fmla="+- 0 1356 1013"/>
                                <a:gd name="T17" fmla="*/ T16 w 348"/>
                                <a:gd name="T18" fmla="+- 0 375 200"/>
                                <a:gd name="T19" fmla="*/ 375 h 304"/>
                              </a:gdLst>
                              <a:ahLst/>
                              <a:cxnLst>
                                <a:cxn ang="0">
                                  <a:pos x="T1" y="T3"/>
                                </a:cxn>
                                <a:cxn ang="0">
                                  <a:pos x="T5" y="T7"/>
                                </a:cxn>
                                <a:cxn ang="0">
                                  <a:pos x="T9" y="T11"/>
                                </a:cxn>
                                <a:cxn ang="0">
                                  <a:pos x="T13" y="T15"/>
                                </a:cxn>
                                <a:cxn ang="0">
                                  <a:pos x="T17" y="T19"/>
                                </a:cxn>
                              </a:cxnLst>
                              <a:rect l="0" t="0" r="r" b="b"/>
                              <a:pathLst>
                                <a:path w="348" h="304">
                                  <a:moveTo>
                                    <a:pt x="343" y="175"/>
                                  </a:moveTo>
                                  <a:lnTo>
                                    <a:pt x="264" y="175"/>
                                  </a:lnTo>
                                  <a:lnTo>
                                    <a:pt x="326" y="176"/>
                                  </a:lnTo>
                                  <a:lnTo>
                                    <a:pt x="342" y="176"/>
                                  </a:lnTo>
                                  <a:lnTo>
                                    <a:pt x="343" y="17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6" name="Freeform 23"/>
                          <wps:cNvSpPr>
                            <a:spLocks/>
                          </wps:cNvSpPr>
                          <wps:spPr bwMode="auto">
                            <a:xfrm>
                              <a:off x="1013" y="200"/>
                              <a:ext cx="348" cy="304"/>
                            </a:xfrm>
                            <a:custGeom>
                              <a:avLst/>
                              <a:gdLst>
                                <a:gd name="T0" fmla="+- 0 1361 1013"/>
                                <a:gd name="T1" fmla="*/ T0 w 348"/>
                                <a:gd name="T2" fmla="+- 0 371 200"/>
                                <a:gd name="T3" fmla="*/ 371 h 304"/>
                                <a:gd name="T4" fmla="+- 0 1352 1013"/>
                                <a:gd name="T5" fmla="*/ T4 w 348"/>
                                <a:gd name="T6" fmla="+- 0 372 200"/>
                                <a:gd name="T7" fmla="*/ 372 h 304"/>
                                <a:gd name="T8" fmla="+- 0 1360 1013"/>
                                <a:gd name="T9" fmla="*/ T8 w 348"/>
                                <a:gd name="T10" fmla="+- 0 372 200"/>
                                <a:gd name="T11" fmla="*/ 372 h 304"/>
                              </a:gdLst>
                              <a:ahLst/>
                              <a:cxnLst>
                                <a:cxn ang="0">
                                  <a:pos x="T1" y="T3"/>
                                </a:cxn>
                                <a:cxn ang="0">
                                  <a:pos x="T5" y="T7"/>
                                </a:cxn>
                                <a:cxn ang="0">
                                  <a:pos x="T9" y="T11"/>
                                </a:cxn>
                              </a:cxnLst>
                              <a:rect l="0" t="0" r="r" b="b"/>
                              <a:pathLst>
                                <a:path w="348" h="304">
                                  <a:moveTo>
                                    <a:pt x="348" y="171"/>
                                  </a:moveTo>
                                  <a:lnTo>
                                    <a:pt x="339" y="172"/>
                                  </a:lnTo>
                                  <a:lnTo>
                                    <a:pt x="347" y="17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7" name="Freeform 24"/>
                          <wps:cNvSpPr>
                            <a:spLocks/>
                          </wps:cNvSpPr>
                          <wps:spPr bwMode="auto">
                            <a:xfrm>
                              <a:off x="1013" y="200"/>
                              <a:ext cx="348" cy="304"/>
                            </a:xfrm>
                            <a:custGeom>
                              <a:avLst/>
                              <a:gdLst>
                                <a:gd name="T0" fmla="+- 0 1220 1013"/>
                                <a:gd name="T1" fmla="*/ T0 w 348"/>
                                <a:gd name="T2" fmla="+- 0 267 200"/>
                                <a:gd name="T3" fmla="*/ 267 h 304"/>
                                <a:gd name="T4" fmla="+- 0 1214 1013"/>
                                <a:gd name="T5" fmla="*/ T4 w 348"/>
                                <a:gd name="T6" fmla="+- 0 328 200"/>
                                <a:gd name="T7" fmla="*/ 328 h 304"/>
                                <a:gd name="T8" fmla="+- 0 1214 1013"/>
                                <a:gd name="T9" fmla="*/ T8 w 348"/>
                                <a:gd name="T10" fmla="+- 0 354 200"/>
                                <a:gd name="T11" fmla="*/ 354 h 304"/>
                                <a:gd name="T12" fmla="+- 0 1214 1013"/>
                                <a:gd name="T13" fmla="*/ T12 w 348"/>
                                <a:gd name="T14" fmla="+- 0 359 200"/>
                                <a:gd name="T15" fmla="*/ 359 h 304"/>
                                <a:gd name="T16" fmla="+- 0 1214 1013"/>
                                <a:gd name="T17" fmla="*/ T16 w 348"/>
                                <a:gd name="T18" fmla="+- 0 363 200"/>
                                <a:gd name="T19" fmla="*/ 363 h 304"/>
                                <a:gd name="T20" fmla="+- 0 1228 1013"/>
                                <a:gd name="T21" fmla="*/ T20 w 348"/>
                                <a:gd name="T22" fmla="+- 0 363 200"/>
                                <a:gd name="T23" fmla="*/ 363 h 304"/>
                                <a:gd name="T24" fmla="+- 0 1219 1013"/>
                                <a:gd name="T25" fmla="*/ T24 w 348"/>
                                <a:gd name="T26" fmla="+- 0 357 200"/>
                                <a:gd name="T27" fmla="*/ 357 h 304"/>
                                <a:gd name="T28" fmla="+- 0 1219 1013"/>
                                <a:gd name="T29" fmla="*/ T28 w 348"/>
                                <a:gd name="T30" fmla="+- 0 329 200"/>
                                <a:gd name="T31" fmla="*/ 329 h 304"/>
                                <a:gd name="T32" fmla="+- 0 1219 1013"/>
                                <a:gd name="T33" fmla="*/ T32 w 348"/>
                                <a:gd name="T34" fmla="+- 0 326 200"/>
                                <a:gd name="T35" fmla="*/ 326 h 304"/>
                                <a:gd name="T36" fmla="+- 0 1220 1013"/>
                                <a:gd name="T37" fmla="*/ T36 w 348"/>
                                <a:gd name="T38" fmla="+- 0 306 200"/>
                                <a:gd name="T39" fmla="*/ 306 h 304"/>
                                <a:gd name="T40" fmla="+- 0 1222 1013"/>
                                <a:gd name="T41" fmla="*/ T40 w 348"/>
                                <a:gd name="T42" fmla="+- 0 287 200"/>
                                <a:gd name="T43" fmla="*/ 287 h 304"/>
                                <a:gd name="T44" fmla="+- 0 1222 1013"/>
                                <a:gd name="T45" fmla="*/ T44 w 348"/>
                                <a:gd name="T46" fmla="+- 0 283 200"/>
                                <a:gd name="T47" fmla="*/ 283 h 304"/>
                                <a:gd name="T48" fmla="+- 0 1223 1013"/>
                                <a:gd name="T49" fmla="*/ T48 w 348"/>
                                <a:gd name="T50" fmla="+- 0 270 200"/>
                                <a:gd name="T51" fmla="*/ 270 h 304"/>
                                <a:gd name="T52" fmla="+- 0 1221 1013"/>
                                <a:gd name="T53" fmla="*/ T52 w 348"/>
                                <a:gd name="T54" fmla="+- 0 269 200"/>
                                <a:gd name="T55" fmla="*/ 269 h 304"/>
                                <a:gd name="T56" fmla="+- 0 1220 1013"/>
                                <a:gd name="T57" fmla="*/ T56 w 348"/>
                                <a:gd name="T58" fmla="+- 0 267 200"/>
                                <a:gd name="T59" fmla="*/ 267 h 30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348" h="304">
                                  <a:moveTo>
                                    <a:pt x="207" y="67"/>
                                  </a:moveTo>
                                  <a:lnTo>
                                    <a:pt x="201" y="128"/>
                                  </a:lnTo>
                                  <a:lnTo>
                                    <a:pt x="201" y="154"/>
                                  </a:lnTo>
                                  <a:lnTo>
                                    <a:pt x="201" y="159"/>
                                  </a:lnTo>
                                  <a:lnTo>
                                    <a:pt x="201" y="163"/>
                                  </a:lnTo>
                                  <a:lnTo>
                                    <a:pt x="215" y="163"/>
                                  </a:lnTo>
                                  <a:lnTo>
                                    <a:pt x="206" y="157"/>
                                  </a:lnTo>
                                  <a:lnTo>
                                    <a:pt x="206" y="129"/>
                                  </a:lnTo>
                                  <a:lnTo>
                                    <a:pt x="206" y="126"/>
                                  </a:lnTo>
                                  <a:lnTo>
                                    <a:pt x="207" y="106"/>
                                  </a:lnTo>
                                  <a:lnTo>
                                    <a:pt x="209" y="87"/>
                                  </a:lnTo>
                                  <a:lnTo>
                                    <a:pt x="209" y="83"/>
                                  </a:lnTo>
                                  <a:lnTo>
                                    <a:pt x="210" y="70"/>
                                  </a:lnTo>
                                  <a:lnTo>
                                    <a:pt x="208" y="69"/>
                                  </a:lnTo>
                                  <a:lnTo>
                                    <a:pt x="207" y="6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8" name="Freeform 25"/>
                          <wps:cNvSpPr>
                            <a:spLocks/>
                          </wps:cNvSpPr>
                          <wps:spPr bwMode="auto">
                            <a:xfrm>
                              <a:off x="1013" y="200"/>
                              <a:ext cx="348" cy="304"/>
                            </a:xfrm>
                            <a:custGeom>
                              <a:avLst/>
                              <a:gdLst>
                                <a:gd name="T0" fmla="+- 0 1083 1013"/>
                                <a:gd name="T1" fmla="*/ T0 w 348"/>
                                <a:gd name="T2" fmla="+- 0 200 200"/>
                                <a:gd name="T3" fmla="*/ 200 h 304"/>
                                <a:gd name="T4" fmla="+- 0 1061 1013"/>
                                <a:gd name="T5" fmla="*/ T4 w 348"/>
                                <a:gd name="T6" fmla="+- 0 257 200"/>
                                <a:gd name="T7" fmla="*/ 257 h 304"/>
                                <a:gd name="T8" fmla="+- 0 1053 1013"/>
                                <a:gd name="T9" fmla="*/ T8 w 348"/>
                                <a:gd name="T10" fmla="+- 0 296 200"/>
                                <a:gd name="T11" fmla="*/ 296 h 304"/>
                                <a:gd name="T12" fmla="+- 0 1031 1013"/>
                                <a:gd name="T13" fmla="*/ T12 w 348"/>
                                <a:gd name="T14" fmla="+- 0 297 200"/>
                                <a:gd name="T15" fmla="*/ 297 h 304"/>
                                <a:gd name="T16" fmla="+- 0 1060 1013"/>
                                <a:gd name="T17" fmla="*/ T16 w 348"/>
                                <a:gd name="T18" fmla="+- 0 297 200"/>
                                <a:gd name="T19" fmla="*/ 297 h 304"/>
                                <a:gd name="T20" fmla="+- 0 1062 1013"/>
                                <a:gd name="T21" fmla="*/ T20 w 348"/>
                                <a:gd name="T22" fmla="+- 0 279 200"/>
                                <a:gd name="T23" fmla="*/ 279 h 304"/>
                                <a:gd name="T24" fmla="+- 0 1066 1013"/>
                                <a:gd name="T25" fmla="*/ T24 w 348"/>
                                <a:gd name="T26" fmla="+- 0 259 200"/>
                                <a:gd name="T27" fmla="*/ 259 h 304"/>
                                <a:gd name="T28" fmla="+- 0 1072 1013"/>
                                <a:gd name="T29" fmla="*/ T28 w 348"/>
                                <a:gd name="T30" fmla="+- 0 240 200"/>
                                <a:gd name="T31" fmla="*/ 240 h 304"/>
                                <a:gd name="T32" fmla="+- 0 1079 1013"/>
                                <a:gd name="T33" fmla="*/ T32 w 348"/>
                                <a:gd name="T34" fmla="+- 0 222 200"/>
                                <a:gd name="T35" fmla="*/ 222 h 304"/>
                                <a:gd name="T36" fmla="+- 0 1087 1013"/>
                                <a:gd name="T37" fmla="*/ T36 w 348"/>
                                <a:gd name="T38" fmla="+- 0 204 200"/>
                                <a:gd name="T39" fmla="*/ 204 h 304"/>
                                <a:gd name="T40" fmla="+- 0 1086 1013"/>
                                <a:gd name="T41" fmla="*/ T40 w 348"/>
                                <a:gd name="T42" fmla="+- 0 203 200"/>
                                <a:gd name="T43" fmla="*/ 203 h 304"/>
                                <a:gd name="T44" fmla="+- 0 1085 1013"/>
                                <a:gd name="T45" fmla="*/ T44 w 348"/>
                                <a:gd name="T46" fmla="+- 0 202 200"/>
                                <a:gd name="T47" fmla="*/ 202 h 304"/>
                                <a:gd name="T48" fmla="+- 0 1084 1013"/>
                                <a:gd name="T49" fmla="*/ T48 w 348"/>
                                <a:gd name="T50" fmla="+- 0 201 200"/>
                                <a:gd name="T51" fmla="*/ 201 h 304"/>
                                <a:gd name="T52" fmla="+- 0 1083 1013"/>
                                <a:gd name="T53" fmla="*/ T52 w 348"/>
                                <a:gd name="T54" fmla="+- 0 200 200"/>
                                <a:gd name="T55" fmla="*/ 200 h 30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348" h="304">
                                  <a:moveTo>
                                    <a:pt x="70" y="0"/>
                                  </a:moveTo>
                                  <a:lnTo>
                                    <a:pt x="48" y="57"/>
                                  </a:lnTo>
                                  <a:lnTo>
                                    <a:pt x="40" y="96"/>
                                  </a:lnTo>
                                  <a:lnTo>
                                    <a:pt x="18" y="97"/>
                                  </a:lnTo>
                                  <a:lnTo>
                                    <a:pt x="47" y="97"/>
                                  </a:lnTo>
                                  <a:lnTo>
                                    <a:pt x="49" y="79"/>
                                  </a:lnTo>
                                  <a:lnTo>
                                    <a:pt x="53" y="59"/>
                                  </a:lnTo>
                                  <a:lnTo>
                                    <a:pt x="59" y="40"/>
                                  </a:lnTo>
                                  <a:lnTo>
                                    <a:pt x="66" y="22"/>
                                  </a:lnTo>
                                  <a:lnTo>
                                    <a:pt x="74" y="4"/>
                                  </a:lnTo>
                                  <a:lnTo>
                                    <a:pt x="73" y="3"/>
                                  </a:lnTo>
                                  <a:lnTo>
                                    <a:pt x="72" y="2"/>
                                  </a:lnTo>
                                  <a:lnTo>
                                    <a:pt x="71" y="1"/>
                                  </a:lnTo>
                                  <a:lnTo>
                                    <a:pt x="7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9" name="Group 26"/>
                        <wpg:cNvGrpSpPr>
                          <a:grpSpLocks/>
                        </wpg:cNvGrpSpPr>
                        <wpg:grpSpPr bwMode="auto">
                          <a:xfrm>
                            <a:off x="1106" y="0"/>
                            <a:ext cx="442" cy="165"/>
                            <a:chOff x="1106" y="0"/>
                            <a:chExt cx="442" cy="165"/>
                          </a:xfrm>
                        </wpg:grpSpPr>
                        <wps:wsp>
                          <wps:cNvPr id="70" name="Freeform 27"/>
                          <wps:cNvSpPr>
                            <a:spLocks/>
                          </wps:cNvSpPr>
                          <wps:spPr bwMode="auto">
                            <a:xfrm>
                              <a:off x="1106" y="0"/>
                              <a:ext cx="442" cy="165"/>
                            </a:xfrm>
                            <a:custGeom>
                              <a:avLst/>
                              <a:gdLst>
                                <a:gd name="T0" fmla="+- 0 1461 1106"/>
                                <a:gd name="T1" fmla="*/ T0 w 442"/>
                                <a:gd name="T2" fmla="*/ 164 h 165"/>
                                <a:gd name="T3" fmla="+- 0 1458 1106"/>
                                <a:gd name="T4" fmla="*/ T3 w 442"/>
                                <a:gd name="T5" fmla="*/ 164 h 165"/>
                                <a:gd name="T6" fmla="+- 0 1460 1106"/>
                                <a:gd name="T7" fmla="*/ T6 w 442"/>
                                <a:gd name="T8" fmla="*/ 165 h 165"/>
                                <a:gd name="T9" fmla="+- 0 1461 1106"/>
                                <a:gd name="T10" fmla="*/ T9 w 442"/>
                                <a:gd name="T11" fmla="*/ 165 h 165"/>
                                <a:gd name="T12" fmla="+- 0 1461 1106"/>
                                <a:gd name="T13" fmla="*/ T12 w 442"/>
                                <a:gd name="T14" fmla="*/ 164 h 165"/>
                              </a:gdLst>
                              <a:ahLst/>
                              <a:cxnLst>
                                <a:cxn ang="0">
                                  <a:pos x="T1" y="T2"/>
                                </a:cxn>
                                <a:cxn ang="0">
                                  <a:pos x="T4" y="T5"/>
                                </a:cxn>
                                <a:cxn ang="0">
                                  <a:pos x="T7" y="T8"/>
                                </a:cxn>
                                <a:cxn ang="0">
                                  <a:pos x="T10" y="T11"/>
                                </a:cxn>
                                <a:cxn ang="0">
                                  <a:pos x="T13" y="T14"/>
                                </a:cxn>
                              </a:cxnLst>
                              <a:rect l="0" t="0" r="r" b="b"/>
                              <a:pathLst>
                                <a:path w="442" h="165">
                                  <a:moveTo>
                                    <a:pt x="355" y="164"/>
                                  </a:moveTo>
                                  <a:lnTo>
                                    <a:pt x="352" y="164"/>
                                  </a:lnTo>
                                  <a:lnTo>
                                    <a:pt x="354" y="165"/>
                                  </a:lnTo>
                                  <a:lnTo>
                                    <a:pt x="355" y="165"/>
                                  </a:lnTo>
                                  <a:lnTo>
                                    <a:pt x="355" y="16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1" name="Freeform 28"/>
                          <wps:cNvSpPr>
                            <a:spLocks/>
                          </wps:cNvSpPr>
                          <wps:spPr bwMode="auto">
                            <a:xfrm>
                              <a:off x="1106" y="0"/>
                              <a:ext cx="442" cy="165"/>
                            </a:xfrm>
                            <a:custGeom>
                              <a:avLst/>
                              <a:gdLst>
                                <a:gd name="T0" fmla="+- 0 1459 1106"/>
                                <a:gd name="T1" fmla="*/ T0 w 442"/>
                                <a:gd name="T2" fmla="*/ 158 h 165"/>
                                <a:gd name="T3" fmla="+- 0 1451 1106"/>
                                <a:gd name="T4" fmla="*/ T3 w 442"/>
                                <a:gd name="T5" fmla="*/ 158 h 165"/>
                                <a:gd name="T6" fmla="+- 0 1455 1106"/>
                                <a:gd name="T7" fmla="*/ T6 w 442"/>
                                <a:gd name="T8" fmla="*/ 160 h 165"/>
                                <a:gd name="T9" fmla="+- 0 1456 1106"/>
                                <a:gd name="T10" fmla="*/ T9 w 442"/>
                                <a:gd name="T11" fmla="*/ 164 h 165"/>
                                <a:gd name="T12" fmla="+- 0 1458 1106"/>
                                <a:gd name="T13" fmla="*/ T12 w 442"/>
                                <a:gd name="T14" fmla="*/ 164 h 165"/>
                                <a:gd name="T15" fmla="+- 0 1461 1106"/>
                                <a:gd name="T16" fmla="*/ T15 w 442"/>
                                <a:gd name="T17" fmla="*/ 164 h 165"/>
                                <a:gd name="T18" fmla="+- 0 1459 1106"/>
                                <a:gd name="T19" fmla="*/ T18 w 442"/>
                                <a:gd name="T20" fmla="*/ 158 h 165"/>
                              </a:gdLst>
                              <a:ahLst/>
                              <a:cxnLst>
                                <a:cxn ang="0">
                                  <a:pos x="T1" y="T2"/>
                                </a:cxn>
                                <a:cxn ang="0">
                                  <a:pos x="T4" y="T5"/>
                                </a:cxn>
                                <a:cxn ang="0">
                                  <a:pos x="T7" y="T8"/>
                                </a:cxn>
                                <a:cxn ang="0">
                                  <a:pos x="T10" y="T11"/>
                                </a:cxn>
                                <a:cxn ang="0">
                                  <a:pos x="T13" y="T14"/>
                                </a:cxn>
                                <a:cxn ang="0">
                                  <a:pos x="T16" y="T17"/>
                                </a:cxn>
                                <a:cxn ang="0">
                                  <a:pos x="T19" y="T20"/>
                                </a:cxn>
                              </a:cxnLst>
                              <a:rect l="0" t="0" r="r" b="b"/>
                              <a:pathLst>
                                <a:path w="442" h="165">
                                  <a:moveTo>
                                    <a:pt x="353" y="158"/>
                                  </a:moveTo>
                                  <a:lnTo>
                                    <a:pt x="345" y="158"/>
                                  </a:lnTo>
                                  <a:lnTo>
                                    <a:pt x="349" y="160"/>
                                  </a:lnTo>
                                  <a:lnTo>
                                    <a:pt x="350" y="164"/>
                                  </a:lnTo>
                                  <a:lnTo>
                                    <a:pt x="352" y="164"/>
                                  </a:lnTo>
                                  <a:lnTo>
                                    <a:pt x="355" y="164"/>
                                  </a:lnTo>
                                  <a:lnTo>
                                    <a:pt x="353" y="15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2" name="Freeform 29"/>
                          <wps:cNvSpPr>
                            <a:spLocks/>
                          </wps:cNvSpPr>
                          <wps:spPr bwMode="auto">
                            <a:xfrm>
                              <a:off x="1106" y="0"/>
                              <a:ext cx="442" cy="165"/>
                            </a:xfrm>
                            <a:custGeom>
                              <a:avLst/>
                              <a:gdLst>
                                <a:gd name="T0" fmla="+- 0 1311 1106"/>
                                <a:gd name="T1" fmla="*/ T0 w 442"/>
                                <a:gd name="T2" fmla="*/ 158 h 165"/>
                                <a:gd name="T3" fmla="+- 0 1251 1106"/>
                                <a:gd name="T4" fmla="*/ T3 w 442"/>
                                <a:gd name="T5" fmla="*/ 158 h 165"/>
                                <a:gd name="T6" fmla="+- 0 1269 1106"/>
                                <a:gd name="T7" fmla="*/ T6 w 442"/>
                                <a:gd name="T8" fmla="*/ 160 h 165"/>
                                <a:gd name="T9" fmla="+- 0 1288 1106"/>
                                <a:gd name="T10" fmla="*/ T9 w 442"/>
                                <a:gd name="T11" fmla="*/ 161 h 165"/>
                                <a:gd name="T12" fmla="+- 0 1308 1106"/>
                                <a:gd name="T13" fmla="*/ T12 w 442"/>
                                <a:gd name="T14" fmla="*/ 163 h 165"/>
                                <a:gd name="T15" fmla="+- 0 1329 1106"/>
                                <a:gd name="T16" fmla="*/ T15 w 442"/>
                                <a:gd name="T17" fmla="*/ 163 h 165"/>
                                <a:gd name="T18" fmla="+- 0 1350 1106"/>
                                <a:gd name="T19" fmla="*/ T18 w 442"/>
                                <a:gd name="T20" fmla="*/ 164 h 165"/>
                                <a:gd name="T21" fmla="+- 0 1372 1106"/>
                                <a:gd name="T22" fmla="*/ T21 w 442"/>
                                <a:gd name="T23" fmla="*/ 163 h 165"/>
                                <a:gd name="T24" fmla="+- 0 1393 1106"/>
                                <a:gd name="T25" fmla="*/ T24 w 442"/>
                                <a:gd name="T26" fmla="*/ 163 h 165"/>
                                <a:gd name="T27" fmla="+- 0 1413 1106"/>
                                <a:gd name="T28" fmla="*/ T27 w 442"/>
                                <a:gd name="T29" fmla="*/ 162 h 165"/>
                                <a:gd name="T30" fmla="+- 0 1432 1106"/>
                                <a:gd name="T31" fmla="*/ T30 w 442"/>
                                <a:gd name="T32" fmla="*/ 160 h 165"/>
                                <a:gd name="T33" fmla="+- 0 1445 1106"/>
                                <a:gd name="T34" fmla="*/ T33 w 442"/>
                                <a:gd name="T35" fmla="*/ 159 h 165"/>
                                <a:gd name="T36" fmla="+- 0 1353 1106"/>
                                <a:gd name="T37" fmla="*/ T36 w 442"/>
                                <a:gd name="T38" fmla="*/ 159 h 165"/>
                                <a:gd name="T39" fmla="+- 0 1332 1106"/>
                                <a:gd name="T40" fmla="*/ T39 w 442"/>
                                <a:gd name="T41" fmla="*/ 159 h 165"/>
                                <a:gd name="T42" fmla="+- 0 1311 1106"/>
                                <a:gd name="T43" fmla="*/ T42 w 442"/>
                                <a:gd name="T44" fmla="*/ 158 h 165"/>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Lst>
                              <a:rect l="0" t="0" r="r" b="b"/>
                              <a:pathLst>
                                <a:path w="442" h="165">
                                  <a:moveTo>
                                    <a:pt x="205" y="158"/>
                                  </a:moveTo>
                                  <a:lnTo>
                                    <a:pt x="145" y="158"/>
                                  </a:lnTo>
                                  <a:lnTo>
                                    <a:pt x="163" y="160"/>
                                  </a:lnTo>
                                  <a:lnTo>
                                    <a:pt x="182" y="161"/>
                                  </a:lnTo>
                                  <a:lnTo>
                                    <a:pt x="202" y="163"/>
                                  </a:lnTo>
                                  <a:lnTo>
                                    <a:pt x="223" y="163"/>
                                  </a:lnTo>
                                  <a:lnTo>
                                    <a:pt x="244" y="164"/>
                                  </a:lnTo>
                                  <a:lnTo>
                                    <a:pt x="266" y="163"/>
                                  </a:lnTo>
                                  <a:lnTo>
                                    <a:pt x="287" y="163"/>
                                  </a:lnTo>
                                  <a:lnTo>
                                    <a:pt x="307" y="162"/>
                                  </a:lnTo>
                                  <a:lnTo>
                                    <a:pt x="326" y="160"/>
                                  </a:lnTo>
                                  <a:lnTo>
                                    <a:pt x="339" y="159"/>
                                  </a:lnTo>
                                  <a:lnTo>
                                    <a:pt x="247" y="159"/>
                                  </a:lnTo>
                                  <a:lnTo>
                                    <a:pt x="226" y="159"/>
                                  </a:lnTo>
                                  <a:lnTo>
                                    <a:pt x="205" y="15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3" name="Freeform 30"/>
                          <wps:cNvSpPr>
                            <a:spLocks/>
                          </wps:cNvSpPr>
                          <wps:spPr bwMode="auto">
                            <a:xfrm>
                              <a:off x="1106" y="0"/>
                              <a:ext cx="442" cy="165"/>
                            </a:xfrm>
                            <a:custGeom>
                              <a:avLst/>
                              <a:gdLst>
                                <a:gd name="T0" fmla="+- 0 1115 1106"/>
                                <a:gd name="T1" fmla="*/ T0 w 442"/>
                                <a:gd name="T2" fmla="*/ 97 h 165"/>
                                <a:gd name="T3" fmla="+- 0 1113 1106"/>
                                <a:gd name="T4" fmla="*/ T3 w 442"/>
                                <a:gd name="T5" fmla="*/ 97 h 165"/>
                                <a:gd name="T6" fmla="+- 0 1110 1106"/>
                                <a:gd name="T7" fmla="*/ T6 w 442"/>
                                <a:gd name="T8" fmla="*/ 100 h 165"/>
                                <a:gd name="T9" fmla="+- 0 1111 1106"/>
                                <a:gd name="T10" fmla="*/ T9 w 442"/>
                                <a:gd name="T11" fmla="*/ 109 h 165"/>
                                <a:gd name="T12" fmla="+- 0 1119 1106"/>
                                <a:gd name="T13" fmla="*/ T12 w 442"/>
                                <a:gd name="T14" fmla="*/ 117 h 165"/>
                                <a:gd name="T15" fmla="+- 0 1131 1106"/>
                                <a:gd name="T16" fmla="*/ T15 w 442"/>
                                <a:gd name="T17" fmla="*/ 125 h 165"/>
                                <a:gd name="T18" fmla="+- 0 1119 1106"/>
                                <a:gd name="T19" fmla="*/ T18 w 442"/>
                                <a:gd name="T20" fmla="*/ 141 h 165"/>
                                <a:gd name="T21" fmla="+- 0 1107 1106"/>
                                <a:gd name="T22" fmla="*/ T21 w 442"/>
                                <a:gd name="T23" fmla="*/ 157 h 165"/>
                                <a:gd name="T24" fmla="+- 0 1106 1106"/>
                                <a:gd name="T25" fmla="*/ T24 w 442"/>
                                <a:gd name="T26" fmla="*/ 162 h 165"/>
                                <a:gd name="T27" fmla="+- 0 1110 1106"/>
                                <a:gd name="T28" fmla="*/ T27 w 442"/>
                                <a:gd name="T29" fmla="*/ 162 h 165"/>
                                <a:gd name="T30" fmla="+- 0 1121 1106"/>
                                <a:gd name="T31" fmla="*/ T30 w 442"/>
                                <a:gd name="T32" fmla="*/ 145 h 165"/>
                                <a:gd name="T33" fmla="+- 0 1133 1106"/>
                                <a:gd name="T34" fmla="*/ T33 w 442"/>
                                <a:gd name="T35" fmla="*/ 129 h 165"/>
                                <a:gd name="T36" fmla="+- 0 1152 1106"/>
                                <a:gd name="T37" fmla="*/ T36 w 442"/>
                                <a:gd name="T38" fmla="*/ 129 h 165"/>
                                <a:gd name="T39" fmla="+- 0 1147 1106"/>
                                <a:gd name="T40" fmla="*/ T39 w 442"/>
                                <a:gd name="T41" fmla="*/ 128 h 165"/>
                                <a:gd name="T42" fmla="+- 0 1153 1106"/>
                                <a:gd name="T43" fmla="*/ T42 w 442"/>
                                <a:gd name="T44" fmla="*/ 119 h 165"/>
                                <a:gd name="T45" fmla="+- 0 1136 1106"/>
                                <a:gd name="T46" fmla="*/ T45 w 442"/>
                                <a:gd name="T47" fmla="*/ 119 h 165"/>
                                <a:gd name="T48" fmla="+- 0 1122 1106"/>
                                <a:gd name="T49" fmla="*/ T48 w 442"/>
                                <a:gd name="T50" fmla="*/ 113 h 165"/>
                                <a:gd name="T51" fmla="+- 0 1115 1106"/>
                                <a:gd name="T52" fmla="*/ T51 w 442"/>
                                <a:gd name="T53" fmla="*/ 105 h 165"/>
                                <a:gd name="T54" fmla="+- 0 1115 1106"/>
                                <a:gd name="T55" fmla="*/ T54 w 442"/>
                                <a:gd name="T56" fmla="*/ 97 h 165"/>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Lst>
                              <a:rect l="0" t="0" r="r" b="b"/>
                              <a:pathLst>
                                <a:path w="442" h="165">
                                  <a:moveTo>
                                    <a:pt x="9" y="97"/>
                                  </a:moveTo>
                                  <a:lnTo>
                                    <a:pt x="7" y="97"/>
                                  </a:lnTo>
                                  <a:lnTo>
                                    <a:pt x="4" y="100"/>
                                  </a:lnTo>
                                  <a:lnTo>
                                    <a:pt x="5" y="109"/>
                                  </a:lnTo>
                                  <a:lnTo>
                                    <a:pt x="13" y="117"/>
                                  </a:lnTo>
                                  <a:lnTo>
                                    <a:pt x="25" y="125"/>
                                  </a:lnTo>
                                  <a:lnTo>
                                    <a:pt x="13" y="141"/>
                                  </a:lnTo>
                                  <a:lnTo>
                                    <a:pt x="1" y="157"/>
                                  </a:lnTo>
                                  <a:lnTo>
                                    <a:pt x="0" y="162"/>
                                  </a:lnTo>
                                  <a:lnTo>
                                    <a:pt x="4" y="162"/>
                                  </a:lnTo>
                                  <a:lnTo>
                                    <a:pt x="15" y="145"/>
                                  </a:lnTo>
                                  <a:lnTo>
                                    <a:pt x="27" y="129"/>
                                  </a:lnTo>
                                  <a:lnTo>
                                    <a:pt x="46" y="129"/>
                                  </a:lnTo>
                                  <a:lnTo>
                                    <a:pt x="41" y="128"/>
                                  </a:lnTo>
                                  <a:lnTo>
                                    <a:pt x="47" y="119"/>
                                  </a:lnTo>
                                  <a:lnTo>
                                    <a:pt x="30" y="119"/>
                                  </a:lnTo>
                                  <a:lnTo>
                                    <a:pt x="16" y="113"/>
                                  </a:lnTo>
                                  <a:lnTo>
                                    <a:pt x="9" y="105"/>
                                  </a:lnTo>
                                  <a:lnTo>
                                    <a:pt x="9" y="9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4" name="Freeform 31"/>
                          <wps:cNvSpPr>
                            <a:spLocks/>
                          </wps:cNvSpPr>
                          <wps:spPr bwMode="auto">
                            <a:xfrm>
                              <a:off x="1106" y="0"/>
                              <a:ext cx="442" cy="165"/>
                            </a:xfrm>
                            <a:custGeom>
                              <a:avLst/>
                              <a:gdLst>
                                <a:gd name="T0" fmla="+- 0 1413 1106"/>
                                <a:gd name="T1" fmla="*/ T0 w 442"/>
                                <a:gd name="T2" fmla="*/ 34 h 165"/>
                                <a:gd name="T3" fmla="+- 0 1385 1106"/>
                                <a:gd name="T4" fmla="*/ T3 w 442"/>
                                <a:gd name="T5" fmla="*/ 34 h 165"/>
                                <a:gd name="T6" fmla="+- 0 1399 1106"/>
                                <a:gd name="T7" fmla="*/ T6 w 442"/>
                                <a:gd name="T8" fmla="*/ 46 h 165"/>
                                <a:gd name="T9" fmla="+- 0 1411 1106"/>
                                <a:gd name="T10" fmla="*/ T9 w 442"/>
                                <a:gd name="T11" fmla="*/ 61 h 165"/>
                                <a:gd name="T12" fmla="+- 0 1440 1106"/>
                                <a:gd name="T13" fmla="*/ T12 w 442"/>
                                <a:gd name="T14" fmla="*/ 117 h 165"/>
                                <a:gd name="T15" fmla="+- 0 1453 1106"/>
                                <a:gd name="T16" fmla="*/ T15 w 442"/>
                                <a:gd name="T17" fmla="*/ 153 h 165"/>
                                <a:gd name="T18" fmla="+- 0 1434 1106"/>
                                <a:gd name="T19" fmla="*/ T18 w 442"/>
                                <a:gd name="T20" fmla="*/ 155 h 165"/>
                                <a:gd name="T21" fmla="+- 0 1414 1106"/>
                                <a:gd name="T22" fmla="*/ T21 w 442"/>
                                <a:gd name="T23" fmla="*/ 157 h 165"/>
                                <a:gd name="T24" fmla="+- 0 1394 1106"/>
                                <a:gd name="T25" fmla="*/ T24 w 442"/>
                                <a:gd name="T26" fmla="*/ 158 h 165"/>
                                <a:gd name="T27" fmla="+- 0 1374 1106"/>
                                <a:gd name="T28" fmla="*/ T27 w 442"/>
                                <a:gd name="T29" fmla="*/ 159 h 165"/>
                                <a:gd name="T30" fmla="+- 0 1353 1106"/>
                                <a:gd name="T31" fmla="*/ T30 w 442"/>
                                <a:gd name="T32" fmla="*/ 159 h 165"/>
                                <a:gd name="T33" fmla="+- 0 1445 1106"/>
                                <a:gd name="T34" fmla="*/ T33 w 442"/>
                                <a:gd name="T35" fmla="*/ 159 h 165"/>
                                <a:gd name="T36" fmla="+- 0 1451 1106"/>
                                <a:gd name="T37" fmla="*/ T36 w 442"/>
                                <a:gd name="T38" fmla="*/ 158 h 165"/>
                                <a:gd name="T39" fmla="+- 0 1459 1106"/>
                                <a:gd name="T40" fmla="*/ T39 w 442"/>
                                <a:gd name="T41" fmla="*/ 158 h 165"/>
                                <a:gd name="T42" fmla="+- 0 1459 1106"/>
                                <a:gd name="T43" fmla="*/ T42 w 442"/>
                                <a:gd name="T44" fmla="*/ 157 h 165"/>
                                <a:gd name="T45" fmla="+- 0 1480 1106"/>
                                <a:gd name="T46" fmla="*/ T45 w 442"/>
                                <a:gd name="T47" fmla="*/ 154 h 165"/>
                                <a:gd name="T48" fmla="+- 0 1500 1106"/>
                                <a:gd name="T49" fmla="*/ T48 w 442"/>
                                <a:gd name="T50" fmla="*/ 150 h 165"/>
                                <a:gd name="T51" fmla="+- 0 1501 1106"/>
                                <a:gd name="T52" fmla="*/ T51 w 442"/>
                                <a:gd name="T53" fmla="*/ 150 h 165"/>
                                <a:gd name="T54" fmla="+- 0 1472 1106"/>
                                <a:gd name="T55" fmla="*/ T54 w 442"/>
                                <a:gd name="T56" fmla="*/ 150 h 165"/>
                                <a:gd name="T57" fmla="+- 0 1459 1106"/>
                                <a:gd name="T58" fmla="*/ T57 w 442"/>
                                <a:gd name="T59" fmla="*/ 130 h 165"/>
                                <a:gd name="T60" fmla="+- 0 1448 1106"/>
                                <a:gd name="T61" fmla="*/ T60 w 442"/>
                                <a:gd name="T62" fmla="*/ 111 h 165"/>
                                <a:gd name="T63" fmla="+- 0 1437 1106"/>
                                <a:gd name="T64" fmla="*/ T63 w 442"/>
                                <a:gd name="T65" fmla="*/ 92 h 165"/>
                                <a:gd name="T66" fmla="+- 0 1427 1106"/>
                                <a:gd name="T67" fmla="*/ T66 w 442"/>
                                <a:gd name="T68" fmla="*/ 75 h 165"/>
                                <a:gd name="T69" fmla="+- 0 1418 1106"/>
                                <a:gd name="T70" fmla="*/ T69 w 442"/>
                                <a:gd name="T71" fmla="*/ 59 h 165"/>
                                <a:gd name="T72" fmla="+- 0 1409 1106"/>
                                <a:gd name="T73" fmla="*/ T72 w 442"/>
                                <a:gd name="T74" fmla="*/ 44 h 165"/>
                                <a:gd name="T75" fmla="+- 0 1413 1106"/>
                                <a:gd name="T76" fmla="*/ T75 w 442"/>
                                <a:gd name="T77" fmla="*/ 34 h 165"/>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 ang="0">
                                  <a:pos x="T76" y="T77"/>
                                </a:cxn>
                              </a:cxnLst>
                              <a:rect l="0" t="0" r="r" b="b"/>
                              <a:pathLst>
                                <a:path w="442" h="165">
                                  <a:moveTo>
                                    <a:pt x="307" y="34"/>
                                  </a:moveTo>
                                  <a:lnTo>
                                    <a:pt x="279" y="34"/>
                                  </a:lnTo>
                                  <a:lnTo>
                                    <a:pt x="293" y="46"/>
                                  </a:lnTo>
                                  <a:lnTo>
                                    <a:pt x="305" y="61"/>
                                  </a:lnTo>
                                  <a:lnTo>
                                    <a:pt x="334" y="117"/>
                                  </a:lnTo>
                                  <a:lnTo>
                                    <a:pt x="347" y="153"/>
                                  </a:lnTo>
                                  <a:lnTo>
                                    <a:pt x="328" y="155"/>
                                  </a:lnTo>
                                  <a:lnTo>
                                    <a:pt x="308" y="157"/>
                                  </a:lnTo>
                                  <a:lnTo>
                                    <a:pt x="288" y="158"/>
                                  </a:lnTo>
                                  <a:lnTo>
                                    <a:pt x="268" y="159"/>
                                  </a:lnTo>
                                  <a:lnTo>
                                    <a:pt x="247" y="159"/>
                                  </a:lnTo>
                                  <a:lnTo>
                                    <a:pt x="339" y="159"/>
                                  </a:lnTo>
                                  <a:lnTo>
                                    <a:pt x="345" y="158"/>
                                  </a:lnTo>
                                  <a:lnTo>
                                    <a:pt x="353" y="158"/>
                                  </a:lnTo>
                                  <a:lnTo>
                                    <a:pt x="353" y="157"/>
                                  </a:lnTo>
                                  <a:lnTo>
                                    <a:pt x="374" y="154"/>
                                  </a:lnTo>
                                  <a:lnTo>
                                    <a:pt x="394" y="150"/>
                                  </a:lnTo>
                                  <a:lnTo>
                                    <a:pt x="395" y="150"/>
                                  </a:lnTo>
                                  <a:lnTo>
                                    <a:pt x="366" y="150"/>
                                  </a:lnTo>
                                  <a:lnTo>
                                    <a:pt x="353" y="130"/>
                                  </a:lnTo>
                                  <a:lnTo>
                                    <a:pt x="342" y="111"/>
                                  </a:lnTo>
                                  <a:lnTo>
                                    <a:pt x="331" y="92"/>
                                  </a:lnTo>
                                  <a:lnTo>
                                    <a:pt x="321" y="75"/>
                                  </a:lnTo>
                                  <a:lnTo>
                                    <a:pt x="312" y="59"/>
                                  </a:lnTo>
                                  <a:lnTo>
                                    <a:pt x="303" y="44"/>
                                  </a:lnTo>
                                  <a:lnTo>
                                    <a:pt x="307" y="3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5" name="Freeform 32"/>
                          <wps:cNvSpPr>
                            <a:spLocks/>
                          </wps:cNvSpPr>
                          <wps:spPr bwMode="auto">
                            <a:xfrm>
                              <a:off x="1106" y="0"/>
                              <a:ext cx="442" cy="165"/>
                            </a:xfrm>
                            <a:custGeom>
                              <a:avLst/>
                              <a:gdLst>
                                <a:gd name="T0" fmla="+- 0 1152 1106"/>
                                <a:gd name="T1" fmla="*/ T0 w 442"/>
                                <a:gd name="T2" fmla="*/ 129 h 165"/>
                                <a:gd name="T3" fmla="+- 0 1133 1106"/>
                                <a:gd name="T4" fmla="*/ T3 w 442"/>
                                <a:gd name="T5" fmla="*/ 129 h 165"/>
                                <a:gd name="T6" fmla="+- 0 1148 1106"/>
                                <a:gd name="T7" fmla="*/ T6 w 442"/>
                                <a:gd name="T8" fmla="*/ 135 h 165"/>
                                <a:gd name="T9" fmla="+- 0 1228 1106"/>
                                <a:gd name="T10" fmla="*/ T9 w 442"/>
                                <a:gd name="T11" fmla="*/ 154 h 165"/>
                                <a:gd name="T12" fmla="+- 0 1245 1106"/>
                                <a:gd name="T13" fmla="*/ T12 w 442"/>
                                <a:gd name="T14" fmla="*/ 156 h 165"/>
                                <a:gd name="T15" fmla="+- 0 1248 1106"/>
                                <a:gd name="T16" fmla="*/ T15 w 442"/>
                                <a:gd name="T17" fmla="*/ 157 h 165"/>
                                <a:gd name="T18" fmla="+- 0 1250 1106"/>
                                <a:gd name="T19" fmla="*/ T18 w 442"/>
                                <a:gd name="T20" fmla="*/ 158 h 165"/>
                                <a:gd name="T21" fmla="+- 0 1251 1106"/>
                                <a:gd name="T22" fmla="*/ T21 w 442"/>
                                <a:gd name="T23" fmla="*/ 158 h 165"/>
                                <a:gd name="T24" fmla="+- 0 1311 1106"/>
                                <a:gd name="T25" fmla="*/ T24 w 442"/>
                                <a:gd name="T26" fmla="*/ 158 h 165"/>
                                <a:gd name="T27" fmla="+- 0 1291 1106"/>
                                <a:gd name="T28" fmla="*/ T27 w 442"/>
                                <a:gd name="T29" fmla="*/ 157 h 165"/>
                                <a:gd name="T30" fmla="+- 0 1272 1106"/>
                                <a:gd name="T31" fmla="*/ T30 w 442"/>
                                <a:gd name="T32" fmla="*/ 155 h 165"/>
                                <a:gd name="T33" fmla="+- 0 1253 1106"/>
                                <a:gd name="T34" fmla="*/ T33 w 442"/>
                                <a:gd name="T35" fmla="*/ 153 h 165"/>
                                <a:gd name="T36" fmla="+- 0 1253 1106"/>
                                <a:gd name="T37" fmla="*/ T36 w 442"/>
                                <a:gd name="T38" fmla="*/ 152 h 165"/>
                                <a:gd name="T39" fmla="+- 0 1248 1106"/>
                                <a:gd name="T40" fmla="*/ T39 w 442"/>
                                <a:gd name="T41" fmla="*/ 152 h 165"/>
                                <a:gd name="T42" fmla="+- 0 1223 1106"/>
                                <a:gd name="T43" fmla="*/ T42 w 442"/>
                                <a:gd name="T44" fmla="*/ 149 h 165"/>
                                <a:gd name="T45" fmla="+- 0 1201 1106"/>
                                <a:gd name="T46" fmla="*/ T45 w 442"/>
                                <a:gd name="T47" fmla="*/ 144 h 165"/>
                                <a:gd name="T48" fmla="+- 0 1180 1106"/>
                                <a:gd name="T49" fmla="*/ T48 w 442"/>
                                <a:gd name="T50" fmla="*/ 139 h 165"/>
                                <a:gd name="T51" fmla="+- 0 1162 1106"/>
                                <a:gd name="T52" fmla="*/ T51 w 442"/>
                                <a:gd name="T53" fmla="*/ 134 h 165"/>
                                <a:gd name="T54" fmla="+- 0 1152 1106"/>
                                <a:gd name="T55" fmla="*/ T54 w 442"/>
                                <a:gd name="T56" fmla="*/ 129 h 165"/>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Lst>
                              <a:rect l="0" t="0" r="r" b="b"/>
                              <a:pathLst>
                                <a:path w="442" h="165">
                                  <a:moveTo>
                                    <a:pt x="46" y="129"/>
                                  </a:moveTo>
                                  <a:lnTo>
                                    <a:pt x="27" y="129"/>
                                  </a:lnTo>
                                  <a:lnTo>
                                    <a:pt x="42" y="135"/>
                                  </a:lnTo>
                                  <a:lnTo>
                                    <a:pt x="122" y="154"/>
                                  </a:lnTo>
                                  <a:lnTo>
                                    <a:pt x="139" y="156"/>
                                  </a:lnTo>
                                  <a:lnTo>
                                    <a:pt x="142" y="157"/>
                                  </a:lnTo>
                                  <a:lnTo>
                                    <a:pt x="144" y="158"/>
                                  </a:lnTo>
                                  <a:lnTo>
                                    <a:pt x="145" y="158"/>
                                  </a:lnTo>
                                  <a:lnTo>
                                    <a:pt x="205" y="158"/>
                                  </a:lnTo>
                                  <a:lnTo>
                                    <a:pt x="185" y="157"/>
                                  </a:lnTo>
                                  <a:lnTo>
                                    <a:pt x="166" y="155"/>
                                  </a:lnTo>
                                  <a:lnTo>
                                    <a:pt x="147" y="153"/>
                                  </a:lnTo>
                                  <a:lnTo>
                                    <a:pt x="147" y="152"/>
                                  </a:lnTo>
                                  <a:lnTo>
                                    <a:pt x="142" y="152"/>
                                  </a:lnTo>
                                  <a:lnTo>
                                    <a:pt x="117" y="149"/>
                                  </a:lnTo>
                                  <a:lnTo>
                                    <a:pt x="95" y="144"/>
                                  </a:lnTo>
                                  <a:lnTo>
                                    <a:pt x="74" y="139"/>
                                  </a:lnTo>
                                  <a:lnTo>
                                    <a:pt x="56" y="134"/>
                                  </a:lnTo>
                                  <a:lnTo>
                                    <a:pt x="46" y="129"/>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6" name="Freeform 33"/>
                          <wps:cNvSpPr>
                            <a:spLocks/>
                          </wps:cNvSpPr>
                          <wps:spPr bwMode="auto">
                            <a:xfrm>
                              <a:off x="1106" y="0"/>
                              <a:ext cx="442" cy="165"/>
                            </a:xfrm>
                            <a:custGeom>
                              <a:avLst/>
                              <a:gdLst>
                                <a:gd name="T0" fmla="+- 0 1321 1106"/>
                                <a:gd name="T1" fmla="*/ T0 w 442"/>
                                <a:gd name="T2" fmla="*/ 29 h 165"/>
                                <a:gd name="T3" fmla="+- 0 1275 1106"/>
                                <a:gd name="T4" fmla="*/ T3 w 442"/>
                                <a:gd name="T5" fmla="*/ 29 h 165"/>
                                <a:gd name="T6" fmla="+- 0 1293 1106"/>
                                <a:gd name="T7" fmla="*/ T6 w 442"/>
                                <a:gd name="T8" fmla="*/ 30 h 165"/>
                                <a:gd name="T9" fmla="+- 0 1288 1106"/>
                                <a:gd name="T10" fmla="*/ T9 w 442"/>
                                <a:gd name="T11" fmla="*/ 45 h 165"/>
                                <a:gd name="T12" fmla="+- 0 1281 1106"/>
                                <a:gd name="T13" fmla="*/ T12 w 442"/>
                                <a:gd name="T14" fmla="*/ 62 h 165"/>
                                <a:gd name="T15" fmla="+- 0 1267 1106"/>
                                <a:gd name="T16" fmla="*/ T15 w 442"/>
                                <a:gd name="T17" fmla="*/ 99 h 165"/>
                                <a:gd name="T18" fmla="+- 0 1259 1106"/>
                                <a:gd name="T19" fmla="*/ T18 w 442"/>
                                <a:gd name="T20" fmla="*/ 120 h 165"/>
                                <a:gd name="T21" fmla="+- 0 1251 1106"/>
                                <a:gd name="T22" fmla="*/ T21 w 442"/>
                                <a:gd name="T23" fmla="*/ 142 h 165"/>
                                <a:gd name="T24" fmla="+- 0 1248 1106"/>
                                <a:gd name="T25" fmla="*/ T24 w 442"/>
                                <a:gd name="T26" fmla="*/ 152 h 165"/>
                                <a:gd name="T27" fmla="+- 0 1253 1106"/>
                                <a:gd name="T28" fmla="*/ T27 w 442"/>
                                <a:gd name="T29" fmla="*/ 152 h 165"/>
                                <a:gd name="T30" fmla="+- 0 1256 1106"/>
                                <a:gd name="T31" fmla="*/ T30 w 442"/>
                                <a:gd name="T32" fmla="*/ 142 h 165"/>
                                <a:gd name="T33" fmla="+- 0 1260 1106"/>
                                <a:gd name="T34" fmla="*/ T33 w 442"/>
                                <a:gd name="T35" fmla="*/ 131 h 165"/>
                                <a:gd name="T36" fmla="+- 0 1292 1106"/>
                                <a:gd name="T37" fmla="*/ T36 w 442"/>
                                <a:gd name="T38" fmla="*/ 61 h 165"/>
                                <a:gd name="T39" fmla="+- 0 1366 1106"/>
                                <a:gd name="T40" fmla="*/ T39 w 442"/>
                                <a:gd name="T41" fmla="*/ 35 h 165"/>
                                <a:gd name="T42" fmla="+- 0 1385 1106"/>
                                <a:gd name="T43" fmla="*/ T42 w 442"/>
                                <a:gd name="T44" fmla="*/ 34 h 165"/>
                                <a:gd name="T45" fmla="+- 0 1413 1106"/>
                                <a:gd name="T46" fmla="*/ T45 w 442"/>
                                <a:gd name="T47" fmla="*/ 34 h 165"/>
                                <a:gd name="T48" fmla="+- 0 1415 1106"/>
                                <a:gd name="T49" fmla="*/ T48 w 442"/>
                                <a:gd name="T50" fmla="*/ 30 h 165"/>
                                <a:gd name="T51" fmla="+- 0 1338 1106"/>
                                <a:gd name="T52" fmla="*/ T51 w 442"/>
                                <a:gd name="T53" fmla="*/ 30 h 165"/>
                                <a:gd name="T54" fmla="+- 0 1325 1106"/>
                                <a:gd name="T55" fmla="*/ T54 w 442"/>
                                <a:gd name="T56" fmla="*/ 30 h 165"/>
                                <a:gd name="T57" fmla="+- 0 1321 1106"/>
                                <a:gd name="T58" fmla="*/ T57 w 442"/>
                                <a:gd name="T59" fmla="*/ 29 h 165"/>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Lst>
                              <a:rect l="0" t="0" r="r" b="b"/>
                              <a:pathLst>
                                <a:path w="442" h="165">
                                  <a:moveTo>
                                    <a:pt x="215" y="29"/>
                                  </a:moveTo>
                                  <a:lnTo>
                                    <a:pt x="169" y="29"/>
                                  </a:lnTo>
                                  <a:lnTo>
                                    <a:pt x="187" y="30"/>
                                  </a:lnTo>
                                  <a:lnTo>
                                    <a:pt x="182" y="45"/>
                                  </a:lnTo>
                                  <a:lnTo>
                                    <a:pt x="175" y="62"/>
                                  </a:lnTo>
                                  <a:lnTo>
                                    <a:pt x="161" y="99"/>
                                  </a:lnTo>
                                  <a:lnTo>
                                    <a:pt x="153" y="120"/>
                                  </a:lnTo>
                                  <a:lnTo>
                                    <a:pt x="145" y="142"/>
                                  </a:lnTo>
                                  <a:lnTo>
                                    <a:pt x="142" y="152"/>
                                  </a:lnTo>
                                  <a:lnTo>
                                    <a:pt x="147" y="152"/>
                                  </a:lnTo>
                                  <a:lnTo>
                                    <a:pt x="150" y="142"/>
                                  </a:lnTo>
                                  <a:lnTo>
                                    <a:pt x="154" y="131"/>
                                  </a:lnTo>
                                  <a:lnTo>
                                    <a:pt x="186" y="61"/>
                                  </a:lnTo>
                                  <a:lnTo>
                                    <a:pt x="260" y="35"/>
                                  </a:lnTo>
                                  <a:lnTo>
                                    <a:pt x="279" y="34"/>
                                  </a:lnTo>
                                  <a:lnTo>
                                    <a:pt x="307" y="34"/>
                                  </a:lnTo>
                                  <a:lnTo>
                                    <a:pt x="309" y="30"/>
                                  </a:lnTo>
                                  <a:lnTo>
                                    <a:pt x="232" y="30"/>
                                  </a:lnTo>
                                  <a:lnTo>
                                    <a:pt x="219" y="30"/>
                                  </a:lnTo>
                                  <a:lnTo>
                                    <a:pt x="215" y="29"/>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7" name="Freeform 34"/>
                          <wps:cNvSpPr>
                            <a:spLocks/>
                          </wps:cNvSpPr>
                          <wps:spPr bwMode="auto">
                            <a:xfrm>
                              <a:off x="1106" y="0"/>
                              <a:ext cx="442" cy="165"/>
                            </a:xfrm>
                            <a:custGeom>
                              <a:avLst/>
                              <a:gdLst>
                                <a:gd name="T0" fmla="+- 0 1529 1106"/>
                                <a:gd name="T1" fmla="*/ T0 w 442"/>
                                <a:gd name="T2" fmla="*/ 138 h 165"/>
                                <a:gd name="T3" fmla="+- 0 1512 1106"/>
                                <a:gd name="T4" fmla="*/ T3 w 442"/>
                                <a:gd name="T5" fmla="*/ 142 h 165"/>
                                <a:gd name="T6" fmla="+- 0 1493 1106"/>
                                <a:gd name="T7" fmla="*/ T6 w 442"/>
                                <a:gd name="T8" fmla="*/ 146 h 165"/>
                                <a:gd name="T9" fmla="+- 0 1472 1106"/>
                                <a:gd name="T10" fmla="*/ T9 w 442"/>
                                <a:gd name="T11" fmla="*/ 150 h 165"/>
                                <a:gd name="T12" fmla="+- 0 1501 1106"/>
                                <a:gd name="T13" fmla="*/ T12 w 442"/>
                                <a:gd name="T14" fmla="*/ 150 h 165"/>
                                <a:gd name="T15" fmla="+- 0 1519 1106"/>
                                <a:gd name="T16" fmla="*/ T15 w 442"/>
                                <a:gd name="T17" fmla="*/ 146 h 165"/>
                                <a:gd name="T18" fmla="+- 0 1527 1106"/>
                                <a:gd name="T19" fmla="*/ T18 w 442"/>
                                <a:gd name="T20" fmla="*/ 142 h 165"/>
                                <a:gd name="T21" fmla="+- 0 1529 1106"/>
                                <a:gd name="T22" fmla="*/ T21 w 442"/>
                                <a:gd name="T23" fmla="*/ 138 h 165"/>
                              </a:gdLst>
                              <a:ahLst/>
                              <a:cxnLst>
                                <a:cxn ang="0">
                                  <a:pos x="T1" y="T2"/>
                                </a:cxn>
                                <a:cxn ang="0">
                                  <a:pos x="T4" y="T5"/>
                                </a:cxn>
                                <a:cxn ang="0">
                                  <a:pos x="T7" y="T8"/>
                                </a:cxn>
                                <a:cxn ang="0">
                                  <a:pos x="T10" y="T11"/>
                                </a:cxn>
                                <a:cxn ang="0">
                                  <a:pos x="T13" y="T14"/>
                                </a:cxn>
                                <a:cxn ang="0">
                                  <a:pos x="T16" y="T17"/>
                                </a:cxn>
                                <a:cxn ang="0">
                                  <a:pos x="T19" y="T20"/>
                                </a:cxn>
                                <a:cxn ang="0">
                                  <a:pos x="T22" y="T23"/>
                                </a:cxn>
                              </a:cxnLst>
                              <a:rect l="0" t="0" r="r" b="b"/>
                              <a:pathLst>
                                <a:path w="442" h="165">
                                  <a:moveTo>
                                    <a:pt x="423" y="138"/>
                                  </a:moveTo>
                                  <a:lnTo>
                                    <a:pt x="406" y="142"/>
                                  </a:lnTo>
                                  <a:lnTo>
                                    <a:pt x="387" y="146"/>
                                  </a:lnTo>
                                  <a:lnTo>
                                    <a:pt x="366" y="150"/>
                                  </a:lnTo>
                                  <a:lnTo>
                                    <a:pt x="395" y="150"/>
                                  </a:lnTo>
                                  <a:lnTo>
                                    <a:pt x="413" y="146"/>
                                  </a:lnTo>
                                  <a:lnTo>
                                    <a:pt x="421" y="142"/>
                                  </a:lnTo>
                                  <a:lnTo>
                                    <a:pt x="423" y="13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8" name="Freeform 35"/>
                          <wps:cNvSpPr>
                            <a:spLocks/>
                          </wps:cNvSpPr>
                          <wps:spPr bwMode="auto">
                            <a:xfrm>
                              <a:off x="1106" y="0"/>
                              <a:ext cx="442" cy="165"/>
                            </a:xfrm>
                            <a:custGeom>
                              <a:avLst/>
                              <a:gdLst>
                                <a:gd name="T0" fmla="+- 0 1261 1106"/>
                                <a:gd name="T1" fmla="*/ T0 w 442"/>
                                <a:gd name="T2" fmla="*/ 12 h 165"/>
                                <a:gd name="T3" fmla="+- 0 1256 1106"/>
                                <a:gd name="T4" fmla="*/ T3 w 442"/>
                                <a:gd name="T5" fmla="*/ 14 h 165"/>
                                <a:gd name="T6" fmla="+- 0 1257 1106"/>
                                <a:gd name="T7" fmla="*/ T6 w 442"/>
                                <a:gd name="T8" fmla="*/ 16 h 165"/>
                                <a:gd name="T9" fmla="+- 0 1259 1106"/>
                                <a:gd name="T10" fmla="*/ T9 w 442"/>
                                <a:gd name="T11" fmla="*/ 18 h 165"/>
                                <a:gd name="T12" fmla="+- 0 1262 1106"/>
                                <a:gd name="T13" fmla="*/ T12 w 442"/>
                                <a:gd name="T14" fmla="*/ 20 h 165"/>
                                <a:gd name="T15" fmla="+- 0 1245 1106"/>
                                <a:gd name="T16" fmla="*/ T15 w 442"/>
                                <a:gd name="T17" fmla="*/ 28 h 165"/>
                                <a:gd name="T18" fmla="+- 0 1179 1106"/>
                                <a:gd name="T19" fmla="*/ T18 w 442"/>
                                <a:gd name="T20" fmla="*/ 74 h 165"/>
                                <a:gd name="T21" fmla="+- 0 1136 1106"/>
                                <a:gd name="T22" fmla="*/ T21 w 442"/>
                                <a:gd name="T23" fmla="*/ 119 h 165"/>
                                <a:gd name="T24" fmla="+- 0 1153 1106"/>
                                <a:gd name="T25" fmla="*/ T24 w 442"/>
                                <a:gd name="T26" fmla="*/ 119 h 165"/>
                                <a:gd name="T27" fmla="+- 0 1159 1106"/>
                                <a:gd name="T28" fmla="*/ T27 w 442"/>
                                <a:gd name="T29" fmla="*/ 110 h 165"/>
                                <a:gd name="T30" fmla="+- 0 1172 1106"/>
                                <a:gd name="T31" fmla="*/ T30 w 442"/>
                                <a:gd name="T32" fmla="*/ 93 h 165"/>
                                <a:gd name="T33" fmla="+- 0 1218 1106"/>
                                <a:gd name="T34" fmla="*/ T33 w 442"/>
                                <a:gd name="T35" fmla="*/ 52 h 165"/>
                                <a:gd name="T36" fmla="+- 0 1275 1106"/>
                                <a:gd name="T37" fmla="*/ T36 w 442"/>
                                <a:gd name="T38" fmla="*/ 29 h 165"/>
                                <a:gd name="T39" fmla="+- 0 1321 1106"/>
                                <a:gd name="T40" fmla="*/ T39 w 442"/>
                                <a:gd name="T41" fmla="*/ 29 h 165"/>
                                <a:gd name="T42" fmla="+- 0 1313 1106"/>
                                <a:gd name="T43" fmla="*/ T42 w 442"/>
                                <a:gd name="T44" fmla="*/ 28 h 165"/>
                                <a:gd name="T45" fmla="+- 0 1314 1106"/>
                                <a:gd name="T46" fmla="*/ T45 w 442"/>
                                <a:gd name="T47" fmla="*/ 28 h 165"/>
                                <a:gd name="T48" fmla="+- 0 1308 1106"/>
                                <a:gd name="T49" fmla="*/ T48 w 442"/>
                                <a:gd name="T50" fmla="*/ 28 h 165"/>
                                <a:gd name="T51" fmla="+- 0 1293 1106"/>
                                <a:gd name="T52" fmla="*/ T51 w 442"/>
                                <a:gd name="T53" fmla="*/ 26 h 165"/>
                                <a:gd name="T54" fmla="+- 0 1282 1106"/>
                                <a:gd name="T55" fmla="*/ T54 w 442"/>
                                <a:gd name="T56" fmla="*/ 23 h 165"/>
                                <a:gd name="T57" fmla="+- 0 1274 1106"/>
                                <a:gd name="T58" fmla="*/ T57 w 442"/>
                                <a:gd name="T59" fmla="*/ 20 h 165"/>
                                <a:gd name="T60" fmla="+- 0 1286 1106"/>
                                <a:gd name="T61" fmla="*/ T60 w 442"/>
                                <a:gd name="T62" fmla="*/ 16 h 165"/>
                                <a:gd name="T63" fmla="+- 0 1264 1106"/>
                                <a:gd name="T64" fmla="*/ T63 w 442"/>
                                <a:gd name="T65" fmla="*/ 16 h 165"/>
                                <a:gd name="T66" fmla="+- 0 1262 1106"/>
                                <a:gd name="T67" fmla="*/ T66 w 442"/>
                                <a:gd name="T68" fmla="*/ 14 h 165"/>
                                <a:gd name="T69" fmla="+- 0 1261 1106"/>
                                <a:gd name="T70" fmla="*/ T69 w 442"/>
                                <a:gd name="T71" fmla="*/ 12 h 165"/>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Lst>
                              <a:rect l="0" t="0" r="r" b="b"/>
                              <a:pathLst>
                                <a:path w="442" h="165">
                                  <a:moveTo>
                                    <a:pt x="155" y="12"/>
                                  </a:moveTo>
                                  <a:lnTo>
                                    <a:pt x="150" y="14"/>
                                  </a:lnTo>
                                  <a:lnTo>
                                    <a:pt x="151" y="16"/>
                                  </a:lnTo>
                                  <a:lnTo>
                                    <a:pt x="153" y="18"/>
                                  </a:lnTo>
                                  <a:lnTo>
                                    <a:pt x="156" y="20"/>
                                  </a:lnTo>
                                  <a:lnTo>
                                    <a:pt x="139" y="28"/>
                                  </a:lnTo>
                                  <a:lnTo>
                                    <a:pt x="73" y="74"/>
                                  </a:lnTo>
                                  <a:lnTo>
                                    <a:pt x="30" y="119"/>
                                  </a:lnTo>
                                  <a:lnTo>
                                    <a:pt x="47" y="119"/>
                                  </a:lnTo>
                                  <a:lnTo>
                                    <a:pt x="53" y="110"/>
                                  </a:lnTo>
                                  <a:lnTo>
                                    <a:pt x="66" y="93"/>
                                  </a:lnTo>
                                  <a:lnTo>
                                    <a:pt x="112" y="52"/>
                                  </a:lnTo>
                                  <a:lnTo>
                                    <a:pt x="169" y="29"/>
                                  </a:lnTo>
                                  <a:lnTo>
                                    <a:pt x="215" y="29"/>
                                  </a:lnTo>
                                  <a:lnTo>
                                    <a:pt x="207" y="28"/>
                                  </a:lnTo>
                                  <a:lnTo>
                                    <a:pt x="208" y="28"/>
                                  </a:lnTo>
                                  <a:lnTo>
                                    <a:pt x="202" y="28"/>
                                  </a:lnTo>
                                  <a:lnTo>
                                    <a:pt x="187" y="26"/>
                                  </a:lnTo>
                                  <a:lnTo>
                                    <a:pt x="176" y="23"/>
                                  </a:lnTo>
                                  <a:lnTo>
                                    <a:pt x="168" y="20"/>
                                  </a:lnTo>
                                  <a:lnTo>
                                    <a:pt x="180" y="16"/>
                                  </a:lnTo>
                                  <a:lnTo>
                                    <a:pt x="158" y="16"/>
                                  </a:lnTo>
                                  <a:lnTo>
                                    <a:pt x="156" y="14"/>
                                  </a:lnTo>
                                  <a:lnTo>
                                    <a:pt x="155" y="1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9" name="Freeform 36"/>
                          <wps:cNvSpPr>
                            <a:spLocks/>
                          </wps:cNvSpPr>
                          <wps:spPr bwMode="auto">
                            <a:xfrm>
                              <a:off x="1106" y="0"/>
                              <a:ext cx="442" cy="165"/>
                            </a:xfrm>
                            <a:custGeom>
                              <a:avLst/>
                              <a:gdLst>
                                <a:gd name="T0" fmla="+- 0 1450 1106"/>
                                <a:gd name="T1" fmla="*/ T0 w 442"/>
                                <a:gd name="T2" fmla="*/ 23 h 165"/>
                                <a:gd name="T3" fmla="+- 0 1437 1106"/>
                                <a:gd name="T4" fmla="*/ T3 w 442"/>
                                <a:gd name="T5" fmla="*/ 23 h 165"/>
                                <a:gd name="T6" fmla="+- 0 1454 1106"/>
                                <a:gd name="T7" fmla="*/ T6 w 442"/>
                                <a:gd name="T8" fmla="*/ 31 h 165"/>
                                <a:gd name="T9" fmla="+- 0 1471 1106"/>
                                <a:gd name="T10" fmla="*/ T9 w 442"/>
                                <a:gd name="T11" fmla="*/ 41 h 165"/>
                                <a:gd name="T12" fmla="+- 0 1487 1106"/>
                                <a:gd name="T13" fmla="*/ T12 w 442"/>
                                <a:gd name="T14" fmla="*/ 52 h 165"/>
                                <a:gd name="T15" fmla="+- 0 1504 1106"/>
                                <a:gd name="T16" fmla="*/ T15 w 442"/>
                                <a:gd name="T17" fmla="*/ 63 h 165"/>
                                <a:gd name="T18" fmla="+- 0 1520 1106"/>
                                <a:gd name="T19" fmla="*/ T18 w 442"/>
                                <a:gd name="T20" fmla="*/ 76 h 165"/>
                                <a:gd name="T21" fmla="+- 0 1535 1106"/>
                                <a:gd name="T22" fmla="*/ T21 w 442"/>
                                <a:gd name="T23" fmla="*/ 91 h 165"/>
                                <a:gd name="T24" fmla="+- 0 1546 1106"/>
                                <a:gd name="T25" fmla="*/ T24 w 442"/>
                                <a:gd name="T26" fmla="*/ 98 h 165"/>
                                <a:gd name="T27" fmla="+- 0 1500 1106"/>
                                <a:gd name="T28" fmla="*/ T27 w 442"/>
                                <a:gd name="T29" fmla="*/ 54 h 165"/>
                                <a:gd name="T30" fmla="+- 0 1467 1106"/>
                                <a:gd name="T31" fmla="*/ T30 w 442"/>
                                <a:gd name="T32" fmla="*/ 32 h 165"/>
                                <a:gd name="T33" fmla="+- 0 1450 1106"/>
                                <a:gd name="T34" fmla="*/ T33 w 442"/>
                                <a:gd name="T35" fmla="*/ 23 h 165"/>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Lst>
                              <a:rect l="0" t="0" r="r" b="b"/>
                              <a:pathLst>
                                <a:path w="442" h="165">
                                  <a:moveTo>
                                    <a:pt x="344" y="23"/>
                                  </a:moveTo>
                                  <a:lnTo>
                                    <a:pt x="331" y="23"/>
                                  </a:lnTo>
                                  <a:lnTo>
                                    <a:pt x="348" y="31"/>
                                  </a:lnTo>
                                  <a:lnTo>
                                    <a:pt x="365" y="41"/>
                                  </a:lnTo>
                                  <a:lnTo>
                                    <a:pt x="381" y="52"/>
                                  </a:lnTo>
                                  <a:lnTo>
                                    <a:pt x="398" y="63"/>
                                  </a:lnTo>
                                  <a:lnTo>
                                    <a:pt x="414" y="76"/>
                                  </a:lnTo>
                                  <a:lnTo>
                                    <a:pt x="429" y="91"/>
                                  </a:lnTo>
                                  <a:lnTo>
                                    <a:pt x="440" y="98"/>
                                  </a:lnTo>
                                  <a:lnTo>
                                    <a:pt x="394" y="54"/>
                                  </a:lnTo>
                                  <a:lnTo>
                                    <a:pt x="361" y="32"/>
                                  </a:lnTo>
                                  <a:lnTo>
                                    <a:pt x="344" y="2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0" name="Freeform 37"/>
                          <wps:cNvSpPr>
                            <a:spLocks/>
                          </wps:cNvSpPr>
                          <wps:spPr bwMode="auto">
                            <a:xfrm>
                              <a:off x="1106" y="0"/>
                              <a:ext cx="442" cy="165"/>
                            </a:xfrm>
                            <a:custGeom>
                              <a:avLst/>
                              <a:gdLst>
                                <a:gd name="T0" fmla="+- 0 1393 1106"/>
                                <a:gd name="T1" fmla="*/ T0 w 442"/>
                                <a:gd name="T2" fmla="*/ 3 h 165"/>
                                <a:gd name="T3" fmla="+- 0 1352 1106"/>
                                <a:gd name="T4" fmla="*/ T3 w 442"/>
                                <a:gd name="T5" fmla="*/ 3 h 165"/>
                                <a:gd name="T6" fmla="+- 0 1369 1106"/>
                                <a:gd name="T7" fmla="*/ T6 w 442"/>
                                <a:gd name="T8" fmla="*/ 8 h 165"/>
                                <a:gd name="T9" fmla="+- 0 1386 1106"/>
                                <a:gd name="T10" fmla="*/ T9 w 442"/>
                                <a:gd name="T11" fmla="*/ 22 h 165"/>
                                <a:gd name="T12" fmla="+- 0 1380 1106"/>
                                <a:gd name="T13" fmla="*/ T12 w 442"/>
                                <a:gd name="T14" fmla="*/ 30 h 165"/>
                                <a:gd name="T15" fmla="+- 0 1367 1106"/>
                                <a:gd name="T16" fmla="*/ T15 w 442"/>
                                <a:gd name="T17" fmla="*/ 30 h 165"/>
                                <a:gd name="T18" fmla="+- 0 1415 1106"/>
                                <a:gd name="T19" fmla="*/ T18 w 442"/>
                                <a:gd name="T20" fmla="*/ 30 h 165"/>
                                <a:gd name="T21" fmla="+- 0 1415 1106"/>
                                <a:gd name="T22" fmla="*/ T21 w 442"/>
                                <a:gd name="T23" fmla="*/ 30 h 165"/>
                                <a:gd name="T24" fmla="+- 0 1426 1106"/>
                                <a:gd name="T25" fmla="*/ T24 w 442"/>
                                <a:gd name="T26" fmla="*/ 28 h 165"/>
                                <a:gd name="T27" fmla="+- 0 1397 1106"/>
                                <a:gd name="T28" fmla="*/ T27 w 442"/>
                                <a:gd name="T29" fmla="*/ 28 h 165"/>
                                <a:gd name="T30" fmla="+- 0 1388 1106"/>
                                <a:gd name="T31" fmla="*/ T30 w 442"/>
                                <a:gd name="T32" fmla="*/ 17 h 165"/>
                                <a:gd name="T33" fmla="+- 0 1380 1106"/>
                                <a:gd name="T34" fmla="*/ T33 w 442"/>
                                <a:gd name="T35" fmla="*/ 9 h 165"/>
                                <a:gd name="T36" fmla="+- 0 1371 1106"/>
                                <a:gd name="T37" fmla="*/ T36 w 442"/>
                                <a:gd name="T38" fmla="*/ 4 h 165"/>
                                <a:gd name="T39" fmla="+- 0 1396 1106"/>
                                <a:gd name="T40" fmla="*/ T39 w 442"/>
                                <a:gd name="T41" fmla="*/ 4 h 165"/>
                                <a:gd name="T42" fmla="+- 0 1393 1106"/>
                                <a:gd name="T43" fmla="*/ T42 w 442"/>
                                <a:gd name="T44" fmla="*/ 3 h 165"/>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Lst>
                              <a:rect l="0" t="0" r="r" b="b"/>
                              <a:pathLst>
                                <a:path w="442" h="165">
                                  <a:moveTo>
                                    <a:pt x="287" y="3"/>
                                  </a:moveTo>
                                  <a:lnTo>
                                    <a:pt x="246" y="3"/>
                                  </a:lnTo>
                                  <a:lnTo>
                                    <a:pt x="263" y="8"/>
                                  </a:lnTo>
                                  <a:lnTo>
                                    <a:pt x="280" y="22"/>
                                  </a:lnTo>
                                  <a:lnTo>
                                    <a:pt x="274" y="30"/>
                                  </a:lnTo>
                                  <a:lnTo>
                                    <a:pt x="261" y="30"/>
                                  </a:lnTo>
                                  <a:lnTo>
                                    <a:pt x="309" y="30"/>
                                  </a:lnTo>
                                  <a:lnTo>
                                    <a:pt x="320" y="28"/>
                                  </a:lnTo>
                                  <a:lnTo>
                                    <a:pt x="291" y="28"/>
                                  </a:lnTo>
                                  <a:lnTo>
                                    <a:pt x="282" y="17"/>
                                  </a:lnTo>
                                  <a:lnTo>
                                    <a:pt x="274" y="9"/>
                                  </a:lnTo>
                                  <a:lnTo>
                                    <a:pt x="265" y="4"/>
                                  </a:lnTo>
                                  <a:lnTo>
                                    <a:pt x="290" y="4"/>
                                  </a:lnTo>
                                  <a:lnTo>
                                    <a:pt x="287" y="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1" name="Freeform 38"/>
                          <wps:cNvSpPr>
                            <a:spLocks/>
                          </wps:cNvSpPr>
                          <wps:spPr bwMode="auto">
                            <a:xfrm>
                              <a:off x="1106" y="0"/>
                              <a:ext cx="442" cy="165"/>
                            </a:xfrm>
                            <a:custGeom>
                              <a:avLst/>
                              <a:gdLst>
                                <a:gd name="T0" fmla="+- 0 1347 1106"/>
                                <a:gd name="T1" fmla="*/ T0 w 442"/>
                                <a:gd name="T2" fmla="*/ 4 h 165"/>
                                <a:gd name="T3" fmla="+- 0 1334 1106"/>
                                <a:gd name="T4" fmla="*/ T3 w 442"/>
                                <a:gd name="T5" fmla="*/ 4 h 165"/>
                                <a:gd name="T6" fmla="+- 0 1325 1106"/>
                                <a:gd name="T7" fmla="*/ T6 w 442"/>
                                <a:gd name="T8" fmla="*/ 9 h 165"/>
                                <a:gd name="T9" fmla="+- 0 1316 1106"/>
                                <a:gd name="T10" fmla="*/ T9 w 442"/>
                                <a:gd name="T11" fmla="*/ 17 h 165"/>
                                <a:gd name="T12" fmla="+- 0 1308 1106"/>
                                <a:gd name="T13" fmla="*/ T12 w 442"/>
                                <a:gd name="T14" fmla="*/ 28 h 165"/>
                                <a:gd name="T15" fmla="+- 0 1314 1106"/>
                                <a:gd name="T16" fmla="*/ T15 w 442"/>
                                <a:gd name="T17" fmla="*/ 28 h 165"/>
                                <a:gd name="T18" fmla="+- 0 1331 1106"/>
                                <a:gd name="T19" fmla="*/ T18 w 442"/>
                                <a:gd name="T20" fmla="*/ 11 h 165"/>
                                <a:gd name="T21" fmla="+- 0 1347 1106"/>
                                <a:gd name="T22" fmla="*/ T21 w 442"/>
                                <a:gd name="T23" fmla="*/ 4 h 165"/>
                              </a:gdLst>
                              <a:ahLst/>
                              <a:cxnLst>
                                <a:cxn ang="0">
                                  <a:pos x="T1" y="T2"/>
                                </a:cxn>
                                <a:cxn ang="0">
                                  <a:pos x="T4" y="T5"/>
                                </a:cxn>
                                <a:cxn ang="0">
                                  <a:pos x="T7" y="T8"/>
                                </a:cxn>
                                <a:cxn ang="0">
                                  <a:pos x="T10" y="T11"/>
                                </a:cxn>
                                <a:cxn ang="0">
                                  <a:pos x="T13" y="T14"/>
                                </a:cxn>
                                <a:cxn ang="0">
                                  <a:pos x="T16" y="T17"/>
                                </a:cxn>
                                <a:cxn ang="0">
                                  <a:pos x="T19" y="T20"/>
                                </a:cxn>
                                <a:cxn ang="0">
                                  <a:pos x="T22" y="T23"/>
                                </a:cxn>
                              </a:cxnLst>
                              <a:rect l="0" t="0" r="r" b="b"/>
                              <a:pathLst>
                                <a:path w="442" h="165">
                                  <a:moveTo>
                                    <a:pt x="241" y="4"/>
                                  </a:moveTo>
                                  <a:lnTo>
                                    <a:pt x="228" y="4"/>
                                  </a:lnTo>
                                  <a:lnTo>
                                    <a:pt x="219" y="9"/>
                                  </a:lnTo>
                                  <a:lnTo>
                                    <a:pt x="210" y="17"/>
                                  </a:lnTo>
                                  <a:lnTo>
                                    <a:pt x="202" y="28"/>
                                  </a:lnTo>
                                  <a:lnTo>
                                    <a:pt x="208" y="28"/>
                                  </a:lnTo>
                                  <a:lnTo>
                                    <a:pt x="225" y="11"/>
                                  </a:lnTo>
                                  <a:lnTo>
                                    <a:pt x="241" y="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 name="Freeform 39"/>
                          <wps:cNvSpPr>
                            <a:spLocks/>
                          </wps:cNvSpPr>
                          <wps:spPr bwMode="auto">
                            <a:xfrm>
                              <a:off x="1106" y="0"/>
                              <a:ext cx="442" cy="165"/>
                            </a:xfrm>
                            <a:custGeom>
                              <a:avLst/>
                              <a:gdLst>
                                <a:gd name="T0" fmla="+- 0 1396 1106"/>
                                <a:gd name="T1" fmla="*/ T0 w 442"/>
                                <a:gd name="T2" fmla="*/ 4 h 165"/>
                                <a:gd name="T3" fmla="+- 0 1371 1106"/>
                                <a:gd name="T4" fmla="*/ T3 w 442"/>
                                <a:gd name="T5" fmla="*/ 4 h 165"/>
                                <a:gd name="T6" fmla="+- 0 1390 1106"/>
                                <a:gd name="T7" fmla="*/ T6 w 442"/>
                                <a:gd name="T8" fmla="*/ 7 h 165"/>
                                <a:gd name="T9" fmla="+- 0 1409 1106"/>
                                <a:gd name="T10" fmla="*/ T9 w 442"/>
                                <a:gd name="T11" fmla="*/ 12 h 165"/>
                                <a:gd name="T12" fmla="+- 0 1429 1106"/>
                                <a:gd name="T13" fmla="*/ T12 w 442"/>
                                <a:gd name="T14" fmla="*/ 19 h 165"/>
                                <a:gd name="T15" fmla="+- 0 1423 1106"/>
                                <a:gd name="T16" fmla="*/ T15 w 442"/>
                                <a:gd name="T17" fmla="*/ 23 h 165"/>
                                <a:gd name="T18" fmla="+- 0 1411 1106"/>
                                <a:gd name="T19" fmla="*/ T18 w 442"/>
                                <a:gd name="T20" fmla="*/ 26 h 165"/>
                                <a:gd name="T21" fmla="+- 0 1397 1106"/>
                                <a:gd name="T22" fmla="*/ T21 w 442"/>
                                <a:gd name="T23" fmla="*/ 28 h 165"/>
                                <a:gd name="T24" fmla="+- 0 1426 1106"/>
                                <a:gd name="T25" fmla="*/ T24 w 442"/>
                                <a:gd name="T26" fmla="*/ 28 h 165"/>
                                <a:gd name="T27" fmla="+- 0 1428 1106"/>
                                <a:gd name="T28" fmla="*/ T27 w 442"/>
                                <a:gd name="T29" fmla="*/ 27 h 165"/>
                                <a:gd name="T30" fmla="+- 0 1437 1106"/>
                                <a:gd name="T31" fmla="*/ T30 w 442"/>
                                <a:gd name="T32" fmla="*/ 23 h 165"/>
                                <a:gd name="T33" fmla="+- 0 1450 1106"/>
                                <a:gd name="T34" fmla="*/ T33 w 442"/>
                                <a:gd name="T35" fmla="*/ 23 h 165"/>
                                <a:gd name="T36" fmla="+- 0 1443 1106"/>
                                <a:gd name="T37" fmla="*/ T36 w 442"/>
                                <a:gd name="T38" fmla="*/ 20 h 165"/>
                                <a:gd name="T39" fmla="+- 0 1446 1106"/>
                                <a:gd name="T40" fmla="*/ T39 w 442"/>
                                <a:gd name="T41" fmla="*/ 18 h 165"/>
                                <a:gd name="T42" fmla="+- 0 1446 1106"/>
                                <a:gd name="T43" fmla="*/ T42 w 442"/>
                                <a:gd name="T44" fmla="*/ 17 h 165"/>
                                <a:gd name="T45" fmla="+- 0 1438 1106"/>
                                <a:gd name="T46" fmla="*/ T45 w 442"/>
                                <a:gd name="T47" fmla="*/ 17 h 165"/>
                                <a:gd name="T48" fmla="+- 0 1419 1106"/>
                                <a:gd name="T49" fmla="*/ T48 w 442"/>
                                <a:gd name="T50" fmla="*/ 10 h 165"/>
                                <a:gd name="T51" fmla="+- 0 1400 1106"/>
                                <a:gd name="T52" fmla="*/ T51 w 442"/>
                                <a:gd name="T53" fmla="*/ 4 h 165"/>
                                <a:gd name="T54" fmla="+- 0 1396 1106"/>
                                <a:gd name="T55" fmla="*/ T54 w 442"/>
                                <a:gd name="T56" fmla="*/ 4 h 165"/>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Lst>
                              <a:rect l="0" t="0" r="r" b="b"/>
                              <a:pathLst>
                                <a:path w="442" h="165">
                                  <a:moveTo>
                                    <a:pt x="290" y="4"/>
                                  </a:moveTo>
                                  <a:lnTo>
                                    <a:pt x="265" y="4"/>
                                  </a:lnTo>
                                  <a:lnTo>
                                    <a:pt x="284" y="7"/>
                                  </a:lnTo>
                                  <a:lnTo>
                                    <a:pt x="303" y="12"/>
                                  </a:lnTo>
                                  <a:lnTo>
                                    <a:pt x="323" y="19"/>
                                  </a:lnTo>
                                  <a:lnTo>
                                    <a:pt x="317" y="23"/>
                                  </a:lnTo>
                                  <a:lnTo>
                                    <a:pt x="305" y="26"/>
                                  </a:lnTo>
                                  <a:lnTo>
                                    <a:pt x="291" y="28"/>
                                  </a:lnTo>
                                  <a:lnTo>
                                    <a:pt x="320" y="28"/>
                                  </a:lnTo>
                                  <a:lnTo>
                                    <a:pt x="322" y="27"/>
                                  </a:lnTo>
                                  <a:lnTo>
                                    <a:pt x="331" y="23"/>
                                  </a:lnTo>
                                  <a:lnTo>
                                    <a:pt x="344" y="23"/>
                                  </a:lnTo>
                                  <a:lnTo>
                                    <a:pt x="337" y="20"/>
                                  </a:lnTo>
                                  <a:lnTo>
                                    <a:pt x="340" y="18"/>
                                  </a:lnTo>
                                  <a:lnTo>
                                    <a:pt x="340" y="17"/>
                                  </a:lnTo>
                                  <a:lnTo>
                                    <a:pt x="332" y="17"/>
                                  </a:lnTo>
                                  <a:lnTo>
                                    <a:pt x="313" y="10"/>
                                  </a:lnTo>
                                  <a:lnTo>
                                    <a:pt x="294" y="4"/>
                                  </a:lnTo>
                                  <a:lnTo>
                                    <a:pt x="290" y="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3" name="Freeform 40"/>
                          <wps:cNvSpPr>
                            <a:spLocks/>
                          </wps:cNvSpPr>
                          <wps:spPr bwMode="auto">
                            <a:xfrm>
                              <a:off x="1106" y="0"/>
                              <a:ext cx="442" cy="165"/>
                            </a:xfrm>
                            <a:custGeom>
                              <a:avLst/>
                              <a:gdLst>
                                <a:gd name="T0" fmla="+- 0 1444 1106"/>
                                <a:gd name="T1" fmla="*/ T0 w 442"/>
                                <a:gd name="T2" fmla="*/ 12 h 165"/>
                                <a:gd name="T3" fmla="+- 0 1443 1106"/>
                                <a:gd name="T4" fmla="*/ T3 w 442"/>
                                <a:gd name="T5" fmla="*/ 14 h 165"/>
                                <a:gd name="T6" fmla="+- 0 1441 1106"/>
                                <a:gd name="T7" fmla="*/ T6 w 442"/>
                                <a:gd name="T8" fmla="*/ 16 h 165"/>
                                <a:gd name="T9" fmla="+- 0 1438 1106"/>
                                <a:gd name="T10" fmla="*/ T9 w 442"/>
                                <a:gd name="T11" fmla="*/ 17 h 165"/>
                                <a:gd name="T12" fmla="+- 0 1446 1106"/>
                                <a:gd name="T13" fmla="*/ T12 w 442"/>
                                <a:gd name="T14" fmla="*/ 17 h 165"/>
                                <a:gd name="T15" fmla="+- 0 1448 1106"/>
                                <a:gd name="T16" fmla="*/ T15 w 442"/>
                                <a:gd name="T17" fmla="*/ 16 h 165"/>
                                <a:gd name="T18" fmla="+- 0 1449 1106"/>
                                <a:gd name="T19" fmla="*/ T18 w 442"/>
                                <a:gd name="T20" fmla="*/ 14 h 165"/>
                                <a:gd name="T21" fmla="+- 0 1449 1106"/>
                                <a:gd name="T22" fmla="*/ T21 w 442"/>
                                <a:gd name="T23" fmla="*/ 14 h 165"/>
                                <a:gd name="T24" fmla="+- 0 1444 1106"/>
                                <a:gd name="T25" fmla="*/ T24 w 442"/>
                                <a:gd name="T26" fmla="*/ 12 h 165"/>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Lst>
                              <a:rect l="0" t="0" r="r" b="b"/>
                              <a:pathLst>
                                <a:path w="442" h="165">
                                  <a:moveTo>
                                    <a:pt x="338" y="12"/>
                                  </a:moveTo>
                                  <a:lnTo>
                                    <a:pt x="337" y="14"/>
                                  </a:lnTo>
                                  <a:lnTo>
                                    <a:pt x="335" y="16"/>
                                  </a:lnTo>
                                  <a:lnTo>
                                    <a:pt x="332" y="17"/>
                                  </a:lnTo>
                                  <a:lnTo>
                                    <a:pt x="340" y="17"/>
                                  </a:lnTo>
                                  <a:lnTo>
                                    <a:pt x="342" y="16"/>
                                  </a:lnTo>
                                  <a:lnTo>
                                    <a:pt x="343" y="14"/>
                                  </a:lnTo>
                                  <a:lnTo>
                                    <a:pt x="338" y="1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4" name="Freeform 41"/>
                          <wps:cNvSpPr>
                            <a:spLocks/>
                          </wps:cNvSpPr>
                          <wps:spPr bwMode="auto">
                            <a:xfrm>
                              <a:off x="1106" y="0"/>
                              <a:ext cx="442" cy="165"/>
                            </a:xfrm>
                            <a:custGeom>
                              <a:avLst/>
                              <a:gdLst>
                                <a:gd name="T0" fmla="+- 0 1359 1106"/>
                                <a:gd name="T1" fmla="*/ T0 w 442"/>
                                <a:gd name="T2" fmla="*/ 0 h 165"/>
                                <a:gd name="T3" fmla="+- 0 1336 1106"/>
                                <a:gd name="T4" fmla="*/ T3 w 442"/>
                                <a:gd name="T5" fmla="*/ 0 h 165"/>
                                <a:gd name="T6" fmla="+- 0 1318 1106"/>
                                <a:gd name="T7" fmla="*/ T6 w 442"/>
                                <a:gd name="T8" fmla="*/ 2 h 165"/>
                                <a:gd name="T9" fmla="+- 0 1297 1106"/>
                                <a:gd name="T10" fmla="*/ T9 w 442"/>
                                <a:gd name="T11" fmla="*/ 7 h 165"/>
                                <a:gd name="T12" fmla="+- 0 1278 1106"/>
                                <a:gd name="T13" fmla="*/ T12 w 442"/>
                                <a:gd name="T14" fmla="*/ 13 h 165"/>
                                <a:gd name="T15" fmla="+- 0 1264 1106"/>
                                <a:gd name="T16" fmla="*/ T15 w 442"/>
                                <a:gd name="T17" fmla="*/ 16 h 165"/>
                                <a:gd name="T18" fmla="+- 0 1286 1106"/>
                                <a:gd name="T19" fmla="*/ T18 w 442"/>
                                <a:gd name="T20" fmla="*/ 16 h 165"/>
                                <a:gd name="T21" fmla="+- 0 1294 1106"/>
                                <a:gd name="T22" fmla="*/ T21 w 442"/>
                                <a:gd name="T23" fmla="*/ 13 h 165"/>
                                <a:gd name="T24" fmla="+- 0 1313 1106"/>
                                <a:gd name="T25" fmla="*/ T24 w 442"/>
                                <a:gd name="T26" fmla="*/ 7 h 165"/>
                                <a:gd name="T27" fmla="+- 0 1332 1106"/>
                                <a:gd name="T28" fmla="*/ T27 w 442"/>
                                <a:gd name="T29" fmla="*/ 4 h 165"/>
                                <a:gd name="T30" fmla="+- 0 1334 1106"/>
                                <a:gd name="T31" fmla="*/ T30 w 442"/>
                                <a:gd name="T32" fmla="*/ 4 h 165"/>
                                <a:gd name="T33" fmla="+- 0 1347 1106"/>
                                <a:gd name="T34" fmla="*/ T33 w 442"/>
                                <a:gd name="T35" fmla="*/ 4 h 165"/>
                                <a:gd name="T36" fmla="+- 0 1352 1106"/>
                                <a:gd name="T37" fmla="*/ T36 w 442"/>
                                <a:gd name="T38" fmla="*/ 3 h 165"/>
                                <a:gd name="T39" fmla="+- 0 1393 1106"/>
                                <a:gd name="T40" fmla="*/ T39 w 442"/>
                                <a:gd name="T41" fmla="*/ 3 h 165"/>
                                <a:gd name="T42" fmla="+- 0 1377 1106"/>
                                <a:gd name="T43" fmla="*/ T42 w 442"/>
                                <a:gd name="T44" fmla="*/ 1 h 165"/>
                                <a:gd name="T45" fmla="+- 0 1359 1106"/>
                                <a:gd name="T46" fmla="*/ T45 w 442"/>
                                <a:gd name="T47" fmla="*/ 0 h 165"/>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Lst>
                              <a:rect l="0" t="0" r="r" b="b"/>
                              <a:pathLst>
                                <a:path w="442" h="165">
                                  <a:moveTo>
                                    <a:pt x="253" y="0"/>
                                  </a:moveTo>
                                  <a:lnTo>
                                    <a:pt x="230" y="0"/>
                                  </a:lnTo>
                                  <a:lnTo>
                                    <a:pt x="212" y="2"/>
                                  </a:lnTo>
                                  <a:lnTo>
                                    <a:pt x="191" y="7"/>
                                  </a:lnTo>
                                  <a:lnTo>
                                    <a:pt x="172" y="13"/>
                                  </a:lnTo>
                                  <a:lnTo>
                                    <a:pt x="158" y="16"/>
                                  </a:lnTo>
                                  <a:lnTo>
                                    <a:pt x="180" y="16"/>
                                  </a:lnTo>
                                  <a:lnTo>
                                    <a:pt x="188" y="13"/>
                                  </a:lnTo>
                                  <a:lnTo>
                                    <a:pt x="207" y="7"/>
                                  </a:lnTo>
                                  <a:lnTo>
                                    <a:pt x="226" y="4"/>
                                  </a:lnTo>
                                  <a:lnTo>
                                    <a:pt x="228" y="4"/>
                                  </a:lnTo>
                                  <a:lnTo>
                                    <a:pt x="241" y="4"/>
                                  </a:lnTo>
                                  <a:lnTo>
                                    <a:pt x="246" y="3"/>
                                  </a:lnTo>
                                  <a:lnTo>
                                    <a:pt x="287" y="3"/>
                                  </a:lnTo>
                                  <a:lnTo>
                                    <a:pt x="271" y="1"/>
                                  </a:lnTo>
                                  <a:lnTo>
                                    <a:pt x="253"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85" name="Group 42"/>
                        <wpg:cNvGrpSpPr>
                          <a:grpSpLocks/>
                        </wpg:cNvGrpSpPr>
                        <wpg:grpSpPr bwMode="auto">
                          <a:xfrm>
                            <a:off x="1055" y="88"/>
                            <a:ext cx="639" cy="599"/>
                            <a:chOff x="1055" y="88"/>
                            <a:chExt cx="639" cy="599"/>
                          </a:xfrm>
                        </wpg:grpSpPr>
                        <wps:wsp>
                          <wps:cNvPr id="86" name="Freeform 43"/>
                          <wps:cNvSpPr>
                            <a:spLocks/>
                          </wps:cNvSpPr>
                          <wps:spPr bwMode="auto">
                            <a:xfrm>
                              <a:off x="1055" y="88"/>
                              <a:ext cx="639" cy="599"/>
                            </a:xfrm>
                            <a:custGeom>
                              <a:avLst/>
                              <a:gdLst>
                                <a:gd name="T0" fmla="+- 0 1578 1055"/>
                                <a:gd name="T1" fmla="*/ T0 w 639"/>
                                <a:gd name="T2" fmla="+- 0 88 88"/>
                                <a:gd name="T3" fmla="*/ 88 h 599"/>
                                <a:gd name="T4" fmla="+- 0 1554 1055"/>
                                <a:gd name="T5" fmla="*/ T4 w 639"/>
                                <a:gd name="T6" fmla="+- 0 143 88"/>
                                <a:gd name="T7" fmla="*/ 143 h 599"/>
                                <a:gd name="T8" fmla="+- 0 1526 1055"/>
                                <a:gd name="T9" fmla="*/ T8 w 639"/>
                                <a:gd name="T10" fmla="+- 0 196 88"/>
                                <a:gd name="T11" fmla="*/ 196 h 599"/>
                                <a:gd name="T12" fmla="+- 0 1492 1055"/>
                                <a:gd name="T13" fmla="*/ T12 w 639"/>
                                <a:gd name="T14" fmla="+- 0 250 88"/>
                                <a:gd name="T15" fmla="*/ 250 h 599"/>
                                <a:gd name="T16" fmla="+- 0 1456 1055"/>
                                <a:gd name="T17" fmla="*/ T16 w 639"/>
                                <a:gd name="T18" fmla="+- 0 298 88"/>
                                <a:gd name="T19" fmla="*/ 298 h 599"/>
                                <a:gd name="T20" fmla="+- 0 1404 1055"/>
                                <a:gd name="T21" fmla="*/ T20 w 639"/>
                                <a:gd name="T22" fmla="+- 0 355 88"/>
                                <a:gd name="T23" fmla="*/ 355 h 599"/>
                                <a:gd name="T24" fmla="+- 0 1355 1055"/>
                                <a:gd name="T25" fmla="*/ T24 w 639"/>
                                <a:gd name="T26" fmla="+- 0 397 88"/>
                                <a:gd name="T27" fmla="*/ 397 h 599"/>
                                <a:gd name="T28" fmla="+- 0 1305 1055"/>
                                <a:gd name="T29" fmla="*/ T28 w 639"/>
                                <a:gd name="T30" fmla="+- 0 432 88"/>
                                <a:gd name="T31" fmla="*/ 432 h 599"/>
                                <a:gd name="T32" fmla="+- 0 1238 1055"/>
                                <a:gd name="T33" fmla="*/ T32 w 639"/>
                                <a:gd name="T34" fmla="+- 0 468 88"/>
                                <a:gd name="T35" fmla="*/ 468 h 599"/>
                                <a:gd name="T36" fmla="+- 0 1177 1055"/>
                                <a:gd name="T37" fmla="*/ T36 w 639"/>
                                <a:gd name="T38" fmla="+- 0 492 88"/>
                                <a:gd name="T39" fmla="*/ 492 h 599"/>
                                <a:gd name="T40" fmla="+- 0 1117 1055"/>
                                <a:gd name="T41" fmla="*/ T40 w 639"/>
                                <a:gd name="T42" fmla="+- 0 507 88"/>
                                <a:gd name="T43" fmla="*/ 507 h 599"/>
                                <a:gd name="T44" fmla="+- 0 1055 1055"/>
                                <a:gd name="T45" fmla="*/ T44 w 639"/>
                                <a:gd name="T46" fmla="+- 0 516 88"/>
                                <a:gd name="T47" fmla="*/ 516 h 599"/>
                                <a:gd name="T48" fmla="+- 0 1066 1055"/>
                                <a:gd name="T49" fmla="*/ T48 w 639"/>
                                <a:gd name="T50" fmla="+- 0 534 88"/>
                                <a:gd name="T51" fmla="*/ 534 h 599"/>
                                <a:gd name="T52" fmla="+- 0 1104 1055"/>
                                <a:gd name="T53" fmla="*/ T52 w 639"/>
                                <a:gd name="T54" fmla="+- 0 582 88"/>
                                <a:gd name="T55" fmla="*/ 582 h 599"/>
                                <a:gd name="T56" fmla="+- 0 1151 1055"/>
                                <a:gd name="T57" fmla="*/ T56 w 639"/>
                                <a:gd name="T58" fmla="+- 0 622 88"/>
                                <a:gd name="T59" fmla="*/ 622 h 599"/>
                                <a:gd name="T60" fmla="+- 0 1204 1055"/>
                                <a:gd name="T61" fmla="*/ T60 w 639"/>
                                <a:gd name="T62" fmla="+- 0 654 88"/>
                                <a:gd name="T63" fmla="*/ 654 h 599"/>
                                <a:gd name="T64" fmla="+- 0 1264 1055"/>
                                <a:gd name="T65" fmla="*/ T64 w 639"/>
                                <a:gd name="T66" fmla="+- 0 675 88"/>
                                <a:gd name="T67" fmla="*/ 675 h 599"/>
                                <a:gd name="T68" fmla="+- 0 1327 1055"/>
                                <a:gd name="T69" fmla="*/ T68 w 639"/>
                                <a:gd name="T70" fmla="+- 0 686 88"/>
                                <a:gd name="T71" fmla="*/ 686 h 599"/>
                                <a:gd name="T72" fmla="+- 0 1349 1055"/>
                                <a:gd name="T73" fmla="*/ T72 w 639"/>
                                <a:gd name="T74" fmla="+- 0 686 88"/>
                                <a:gd name="T75" fmla="*/ 686 h 599"/>
                                <a:gd name="T76" fmla="+- 0 1377 1055"/>
                                <a:gd name="T77" fmla="*/ T76 w 639"/>
                                <a:gd name="T78" fmla="+- 0 685 88"/>
                                <a:gd name="T79" fmla="*/ 685 h 599"/>
                                <a:gd name="T80" fmla="+- 0 1458 1055"/>
                                <a:gd name="T81" fmla="*/ T80 w 639"/>
                                <a:gd name="T82" fmla="+- 0 669 88"/>
                                <a:gd name="T83" fmla="*/ 669 h 599"/>
                                <a:gd name="T84" fmla="+- 0 1531 1055"/>
                                <a:gd name="T85" fmla="*/ T84 w 639"/>
                                <a:gd name="T86" fmla="+- 0 635 88"/>
                                <a:gd name="T87" fmla="*/ 635 h 599"/>
                                <a:gd name="T88" fmla="+- 0 1593 1055"/>
                                <a:gd name="T89" fmla="*/ T88 w 639"/>
                                <a:gd name="T90" fmla="+- 0 586 88"/>
                                <a:gd name="T91" fmla="*/ 586 h 599"/>
                                <a:gd name="T92" fmla="+- 0 1642 1055"/>
                                <a:gd name="T93" fmla="*/ T92 w 639"/>
                                <a:gd name="T94" fmla="+- 0 524 88"/>
                                <a:gd name="T95" fmla="*/ 524 h 599"/>
                                <a:gd name="T96" fmla="+- 0 1676 1055"/>
                                <a:gd name="T97" fmla="*/ T96 w 639"/>
                                <a:gd name="T98" fmla="+- 0 452 88"/>
                                <a:gd name="T99" fmla="*/ 452 h 599"/>
                                <a:gd name="T100" fmla="+- 0 1692 1055"/>
                                <a:gd name="T101" fmla="*/ T100 w 639"/>
                                <a:gd name="T102" fmla="+- 0 372 88"/>
                                <a:gd name="T103" fmla="*/ 372 h 599"/>
                                <a:gd name="T104" fmla="+- 0 1693 1055"/>
                                <a:gd name="T105" fmla="*/ T104 w 639"/>
                                <a:gd name="T106" fmla="+- 0 344 88"/>
                                <a:gd name="T107" fmla="*/ 344 h 599"/>
                                <a:gd name="T108" fmla="+- 0 1692 1055"/>
                                <a:gd name="T109" fmla="*/ T108 w 639"/>
                                <a:gd name="T110" fmla="+- 0 322 88"/>
                                <a:gd name="T111" fmla="*/ 322 h 599"/>
                                <a:gd name="T112" fmla="+- 0 1683 1055"/>
                                <a:gd name="T113" fmla="*/ T112 w 639"/>
                                <a:gd name="T114" fmla="+- 0 260 88"/>
                                <a:gd name="T115" fmla="*/ 260 h 599"/>
                                <a:gd name="T116" fmla="+- 0 1662 1055"/>
                                <a:gd name="T117" fmla="*/ T116 w 639"/>
                                <a:gd name="T118" fmla="+- 0 201 88"/>
                                <a:gd name="T119" fmla="*/ 201 h 599"/>
                                <a:gd name="T120" fmla="+- 0 1632 1055"/>
                                <a:gd name="T121" fmla="*/ T120 w 639"/>
                                <a:gd name="T122" fmla="+- 0 148 88"/>
                                <a:gd name="T123" fmla="*/ 148 h 599"/>
                                <a:gd name="T124" fmla="+- 0 1593 1055"/>
                                <a:gd name="T125" fmla="*/ T124 w 639"/>
                                <a:gd name="T126" fmla="+- 0 102 88"/>
                                <a:gd name="T127" fmla="*/ 102 h 599"/>
                                <a:gd name="T128" fmla="+- 0 1578 1055"/>
                                <a:gd name="T129" fmla="*/ T128 w 639"/>
                                <a:gd name="T130" fmla="+- 0 88 88"/>
                                <a:gd name="T131" fmla="*/ 88 h 59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639" h="599">
                                  <a:moveTo>
                                    <a:pt x="523" y="0"/>
                                  </a:moveTo>
                                  <a:lnTo>
                                    <a:pt x="499" y="55"/>
                                  </a:lnTo>
                                  <a:lnTo>
                                    <a:pt x="471" y="108"/>
                                  </a:lnTo>
                                  <a:lnTo>
                                    <a:pt x="437" y="162"/>
                                  </a:lnTo>
                                  <a:lnTo>
                                    <a:pt x="401" y="210"/>
                                  </a:lnTo>
                                  <a:lnTo>
                                    <a:pt x="349" y="267"/>
                                  </a:lnTo>
                                  <a:lnTo>
                                    <a:pt x="300" y="309"/>
                                  </a:lnTo>
                                  <a:lnTo>
                                    <a:pt x="250" y="344"/>
                                  </a:lnTo>
                                  <a:lnTo>
                                    <a:pt x="183" y="380"/>
                                  </a:lnTo>
                                  <a:lnTo>
                                    <a:pt x="122" y="404"/>
                                  </a:lnTo>
                                  <a:lnTo>
                                    <a:pt x="62" y="419"/>
                                  </a:lnTo>
                                  <a:lnTo>
                                    <a:pt x="0" y="428"/>
                                  </a:lnTo>
                                  <a:lnTo>
                                    <a:pt x="11" y="446"/>
                                  </a:lnTo>
                                  <a:lnTo>
                                    <a:pt x="49" y="494"/>
                                  </a:lnTo>
                                  <a:lnTo>
                                    <a:pt x="96" y="534"/>
                                  </a:lnTo>
                                  <a:lnTo>
                                    <a:pt x="149" y="566"/>
                                  </a:lnTo>
                                  <a:lnTo>
                                    <a:pt x="209" y="587"/>
                                  </a:lnTo>
                                  <a:lnTo>
                                    <a:pt x="272" y="598"/>
                                  </a:lnTo>
                                  <a:lnTo>
                                    <a:pt x="294" y="598"/>
                                  </a:lnTo>
                                  <a:lnTo>
                                    <a:pt x="322" y="597"/>
                                  </a:lnTo>
                                  <a:lnTo>
                                    <a:pt x="403" y="581"/>
                                  </a:lnTo>
                                  <a:lnTo>
                                    <a:pt x="476" y="547"/>
                                  </a:lnTo>
                                  <a:lnTo>
                                    <a:pt x="538" y="498"/>
                                  </a:lnTo>
                                  <a:lnTo>
                                    <a:pt x="587" y="436"/>
                                  </a:lnTo>
                                  <a:lnTo>
                                    <a:pt x="621" y="364"/>
                                  </a:lnTo>
                                  <a:lnTo>
                                    <a:pt x="637" y="284"/>
                                  </a:lnTo>
                                  <a:lnTo>
                                    <a:pt x="638" y="256"/>
                                  </a:lnTo>
                                  <a:lnTo>
                                    <a:pt x="637" y="234"/>
                                  </a:lnTo>
                                  <a:lnTo>
                                    <a:pt x="628" y="172"/>
                                  </a:lnTo>
                                  <a:lnTo>
                                    <a:pt x="607" y="113"/>
                                  </a:lnTo>
                                  <a:lnTo>
                                    <a:pt x="577" y="60"/>
                                  </a:lnTo>
                                  <a:lnTo>
                                    <a:pt x="538" y="14"/>
                                  </a:lnTo>
                                  <a:lnTo>
                                    <a:pt x="523" y="0"/>
                                  </a:lnTo>
                                  <a:close/>
                                </a:path>
                              </a:pathLst>
                            </a:custGeom>
                            <a:solidFill>
                              <a:srgbClr val="003F5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7" name="Picture 44"/>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1066" y="100"/>
                              <a:ext cx="625" cy="586"/>
                            </a:xfrm>
                            <a:prstGeom prst="rect">
                              <a:avLst/>
                            </a:prstGeom>
                            <a:noFill/>
                            <a:extLst>
                              <a:ext uri="{909E8E84-426E-40DD-AFC4-6F175D3DCCD1}">
                                <a14:hiddenFill xmlns:a14="http://schemas.microsoft.com/office/drawing/2010/main">
                                  <a:solidFill>
                                    <a:srgbClr val="FFFFFF"/>
                                  </a:solidFill>
                                </a14:hiddenFill>
                              </a:ext>
                            </a:extLst>
                          </pic:spPr>
                        </pic:pic>
                      </wpg:grpSp>
                      <wpg:grpSp>
                        <wpg:cNvPr id="88" name="Group 45"/>
                        <wpg:cNvGrpSpPr>
                          <a:grpSpLocks/>
                        </wpg:cNvGrpSpPr>
                        <wpg:grpSpPr bwMode="auto">
                          <a:xfrm>
                            <a:off x="1081" y="167"/>
                            <a:ext cx="404" cy="151"/>
                            <a:chOff x="1081" y="167"/>
                            <a:chExt cx="404" cy="151"/>
                          </a:xfrm>
                        </wpg:grpSpPr>
                        <wps:wsp>
                          <wps:cNvPr id="89" name="Freeform 46"/>
                          <wps:cNvSpPr>
                            <a:spLocks/>
                          </wps:cNvSpPr>
                          <wps:spPr bwMode="auto">
                            <a:xfrm>
                              <a:off x="1081" y="167"/>
                              <a:ext cx="404" cy="151"/>
                            </a:xfrm>
                            <a:custGeom>
                              <a:avLst/>
                              <a:gdLst>
                                <a:gd name="T0" fmla="+- 0 1482 1081"/>
                                <a:gd name="T1" fmla="*/ T0 w 404"/>
                                <a:gd name="T2" fmla="+- 0 236 167"/>
                                <a:gd name="T3" fmla="*/ 236 h 151"/>
                                <a:gd name="T4" fmla="+- 0 1313 1081"/>
                                <a:gd name="T5" fmla="*/ T4 w 404"/>
                                <a:gd name="T6" fmla="+- 0 236 167"/>
                                <a:gd name="T7" fmla="*/ 236 h 151"/>
                                <a:gd name="T8" fmla="+- 0 1322 1081"/>
                                <a:gd name="T9" fmla="*/ T8 w 404"/>
                                <a:gd name="T10" fmla="+- 0 240 167"/>
                                <a:gd name="T11" fmla="*/ 240 h 151"/>
                                <a:gd name="T12" fmla="+- 0 1341 1081"/>
                                <a:gd name="T13" fmla="*/ T12 w 404"/>
                                <a:gd name="T14" fmla="+- 0 251 167"/>
                                <a:gd name="T15" fmla="*/ 251 h 151"/>
                                <a:gd name="T16" fmla="+- 0 1352 1081"/>
                                <a:gd name="T17" fmla="*/ T16 w 404"/>
                                <a:gd name="T18" fmla="+- 0 268 167"/>
                                <a:gd name="T19" fmla="*/ 268 h 151"/>
                                <a:gd name="T20" fmla="+- 0 1354 1081"/>
                                <a:gd name="T21" fmla="*/ T20 w 404"/>
                                <a:gd name="T22" fmla="+- 0 272 167"/>
                                <a:gd name="T23" fmla="*/ 272 h 151"/>
                                <a:gd name="T24" fmla="+- 0 1357 1081"/>
                                <a:gd name="T25" fmla="*/ T24 w 404"/>
                                <a:gd name="T26" fmla="+- 0 275 167"/>
                                <a:gd name="T27" fmla="*/ 275 h 151"/>
                                <a:gd name="T28" fmla="+- 0 1360 1081"/>
                                <a:gd name="T29" fmla="*/ T28 w 404"/>
                                <a:gd name="T30" fmla="+- 0 279 167"/>
                                <a:gd name="T31" fmla="*/ 279 h 151"/>
                                <a:gd name="T32" fmla="+- 0 1360 1081"/>
                                <a:gd name="T33" fmla="*/ T32 w 404"/>
                                <a:gd name="T34" fmla="+- 0 280 167"/>
                                <a:gd name="T35" fmla="*/ 280 h 151"/>
                                <a:gd name="T36" fmla="+- 0 1361 1081"/>
                                <a:gd name="T37" fmla="*/ T36 w 404"/>
                                <a:gd name="T38" fmla="+- 0 281 167"/>
                                <a:gd name="T39" fmla="*/ 281 h 151"/>
                                <a:gd name="T40" fmla="+- 0 1362 1081"/>
                                <a:gd name="T41" fmla="*/ T40 w 404"/>
                                <a:gd name="T42" fmla="+- 0 282 167"/>
                                <a:gd name="T43" fmla="*/ 282 h 151"/>
                                <a:gd name="T44" fmla="+- 0 1364 1081"/>
                                <a:gd name="T45" fmla="*/ T44 w 404"/>
                                <a:gd name="T46" fmla="+- 0 284 167"/>
                                <a:gd name="T47" fmla="*/ 284 h 151"/>
                                <a:gd name="T48" fmla="+- 0 1389 1081"/>
                                <a:gd name="T49" fmla="*/ T48 w 404"/>
                                <a:gd name="T50" fmla="+- 0 296 167"/>
                                <a:gd name="T51" fmla="*/ 296 h 151"/>
                                <a:gd name="T52" fmla="+- 0 1398 1081"/>
                                <a:gd name="T53" fmla="*/ T52 w 404"/>
                                <a:gd name="T54" fmla="+- 0 308 167"/>
                                <a:gd name="T55" fmla="*/ 308 h 151"/>
                                <a:gd name="T56" fmla="+- 0 1459 1081"/>
                                <a:gd name="T57" fmla="*/ T56 w 404"/>
                                <a:gd name="T58" fmla="+- 0 264 167"/>
                                <a:gd name="T59" fmla="*/ 264 h 151"/>
                                <a:gd name="T60" fmla="+- 0 1473 1081"/>
                                <a:gd name="T61" fmla="*/ T60 w 404"/>
                                <a:gd name="T62" fmla="+- 0 249 167"/>
                                <a:gd name="T63" fmla="*/ 249 h 151"/>
                                <a:gd name="T64" fmla="+- 0 1482 1081"/>
                                <a:gd name="T65" fmla="*/ T64 w 404"/>
                                <a:gd name="T66" fmla="+- 0 236 167"/>
                                <a:gd name="T67" fmla="*/ 236 h 15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404" h="151">
                                  <a:moveTo>
                                    <a:pt x="401" y="69"/>
                                  </a:moveTo>
                                  <a:lnTo>
                                    <a:pt x="232" y="69"/>
                                  </a:lnTo>
                                  <a:lnTo>
                                    <a:pt x="241" y="73"/>
                                  </a:lnTo>
                                  <a:lnTo>
                                    <a:pt x="260" y="84"/>
                                  </a:lnTo>
                                  <a:lnTo>
                                    <a:pt x="271" y="101"/>
                                  </a:lnTo>
                                  <a:lnTo>
                                    <a:pt x="273" y="105"/>
                                  </a:lnTo>
                                  <a:lnTo>
                                    <a:pt x="276" y="108"/>
                                  </a:lnTo>
                                  <a:lnTo>
                                    <a:pt x="279" y="112"/>
                                  </a:lnTo>
                                  <a:lnTo>
                                    <a:pt x="279" y="113"/>
                                  </a:lnTo>
                                  <a:lnTo>
                                    <a:pt x="280" y="114"/>
                                  </a:lnTo>
                                  <a:lnTo>
                                    <a:pt x="281" y="115"/>
                                  </a:lnTo>
                                  <a:lnTo>
                                    <a:pt x="283" y="117"/>
                                  </a:lnTo>
                                  <a:lnTo>
                                    <a:pt x="308" y="129"/>
                                  </a:lnTo>
                                  <a:lnTo>
                                    <a:pt x="317" y="141"/>
                                  </a:lnTo>
                                  <a:lnTo>
                                    <a:pt x="378" y="97"/>
                                  </a:lnTo>
                                  <a:lnTo>
                                    <a:pt x="392" y="82"/>
                                  </a:lnTo>
                                  <a:lnTo>
                                    <a:pt x="401" y="69"/>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0" name="Freeform 47"/>
                          <wps:cNvSpPr>
                            <a:spLocks/>
                          </wps:cNvSpPr>
                          <wps:spPr bwMode="auto">
                            <a:xfrm>
                              <a:off x="1081" y="167"/>
                              <a:ext cx="404" cy="151"/>
                            </a:xfrm>
                            <a:custGeom>
                              <a:avLst/>
                              <a:gdLst>
                                <a:gd name="T0" fmla="+- 0 1480 1081"/>
                                <a:gd name="T1" fmla="*/ T0 w 404"/>
                                <a:gd name="T2" fmla="+- 0 217 167"/>
                                <a:gd name="T3" fmla="*/ 217 h 151"/>
                                <a:gd name="T4" fmla="+- 0 1138 1081"/>
                                <a:gd name="T5" fmla="*/ T4 w 404"/>
                                <a:gd name="T6" fmla="+- 0 217 167"/>
                                <a:gd name="T7" fmla="*/ 217 h 151"/>
                                <a:gd name="T8" fmla="+- 0 1163 1081"/>
                                <a:gd name="T9" fmla="*/ T8 w 404"/>
                                <a:gd name="T10" fmla="+- 0 219 167"/>
                                <a:gd name="T11" fmla="*/ 219 h 151"/>
                                <a:gd name="T12" fmla="+- 0 1185 1081"/>
                                <a:gd name="T13" fmla="*/ T12 w 404"/>
                                <a:gd name="T14" fmla="+- 0 226 167"/>
                                <a:gd name="T15" fmla="*/ 226 h 151"/>
                                <a:gd name="T16" fmla="+- 0 1203 1081"/>
                                <a:gd name="T17" fmla="*/ T16 w 404"/>
                                <a:gd name="T18" fmla="+- 0 236 167"/>
                                <a:gd name="T19" fmla="*/ 236 h 151"/>
                                <a:gd name="T20" fmla="+- 0 1218 1081"/>
                                <a:gd name="T21" fmla="*/ T20 w 404"/>
                                <a:gd name="T22" fmla="+- 0 249 167"/>
                                <a:gd name="T23" fmla="*/ 249 h 151"/>
                                <a:gd name="T24" fmla="+- 0 1230 1081"/>
                                <a:gd name="T25" fmla="*/ T24 w 404"/>
                                <a:gd name="T26" fmla="+- 0 262 167"/>
                                <a:gd name="T27" fmla="*/ 262 h 151"/>
                                <a:gd name="T28" fmla="+- 0 1234 1081"/>
                                <a:gd name="T29" fmla="*/ T28 w 404"/>
                                <a:gd name="T30" fmla="+- 0 268 167"/>
                                <a:gd name="T31" fmla="*/ 268 h 151"/>
                                <a:gd name="T32" fmla="+- 0 1235 1081"/>
                                <a:gd name="T33" fmla="*/ T32 w 404"/>
                                <a:gd name="T34" fmla="+- 0 268 167"/>
                                <a:gd name="T35" fmla="*/ 268 h 151"/>
                                <a:gd name="T36" fmla="+- 0 1289 1081"/>
                                <a:gd name="T37" fmla="*/ T36 w 404"/>
                                <a:gd name="T38" fmla="+- 0 242 167"/>
                                <a:gd name="T39" fmla="*/ 242 h 151"/>
                                <a:gd name="T40" fmla="+- 0 1296 1081"/>
                                <a:gd name="T41" fmla="*/ T40 w 404"/>
                                <a:gd name="T42" fmla="+- 0 237 167"/>
                                <a:gd name="T43" fmla="*/ 237 h 151"/>
                                <a:gd name="T44" fmla="+- 0 1313 1081"/>
                                <a:gd name="T45" fmla="*/ T44 w 404"/>
                                <a:gd name="T46" fmla="+- 0 236 167"/>
                                <a:gd name="T47" fmla="*/ 236 h 151"/>
                                <a:gd name="T48" fmla="+- 0 1482 1081"/>
                                <a:gd name="T49" fmla="*/ T48 w 404"/>
                                <a:gd name="T50" fmla="+- 0 236 167"/>
                                <a:gd name="T51" fmla="*/ 236 h 151"/>
                                <a:gd name="T52" fmla="+- 0 1484 1081"/>
                                <a:gd name="T53" fmla="*/ T52 w 404"/>
                                <a:gd name="T54" fmla="+- 0 233 167"/>
                                <a:gd name="T55" fmla="*/ 233 h 151"/>
                                <a:gd name="T56" fmla="+- 0 1483 1081"/>
                                <a:gd name="T57" fmla="*/ T56 w 404"/>
                                <a:gd name="T58" fmla="+- 0 230 167"/>
                                <a:gd name="T59" fmla="*/ 230 h 151"/>
                                <a:gd name="T60" fmla="+- 0 1482 1081"/>
                                <a:gd name="T61" fmla="*/ T60 w 404"/>
                                <a:gd name="T62" fmla="+- 0 224 167"/>
                                <a:gd name="T63" fmla="*/ 224 h 151"/>
                                <a:gd name="T64" fmla="+- 0 1480 1081"/>
                                <a:gd name="T65" fmla="*/ T64 w 404"/>
                                <a:gd name="T66" fmla="+- 0 221 167"/>
                                <a:gd name="T67" fmla="*/ 221 h 151"/>
                                <a:gd name="T68" fmla="+- 0 1480 1081"/>
                                <a:gd name="T69" fmla="*/ T68 w 404"/>
                                <a:gd name="T70" fmla="+- 0 218 167"/>
                                <a:gd name="T71" fmla="*/ 218 h 151"/>
                                <a:gd name="T72" fmla="+- 0 1480 1081"/>
                                <a:gd name="T73" fmla="*/ T72 w 404"/>
                                <a:gd name="T74" fmla="+- 0 217 167"/>
                                <a:gd name="T75" fmla="*/ 217 h 15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404" h="151">
                                  <a:moveTo>
                                    <a:pt x="399" y="50"/>
                                  </a:moveTo>
                                  <a:lnTo>
                                    <a:pt x="57" y="50"/>
                                  </a:lnTo>
                                  <a:lnTo>
                                    <a:pt x="82" y="52"/>
                                  </a:lnTo>
                                  <a:lnTo>
                                    <a:pt x="104" y="59"/>
                                  </a:lnTo>
                                  <a:lnTo>
                                    <a:pt x="122" y="69"/>
                                  </a:lnTo>
                                  <a:lnTo>
                                    <a:pt x="137" y="82"/>
                                  </a:lnTo>
                                  <a:lnTo>
                                    <a:pt x="149" y="95"/>
                                  </a:lnTo>
                                  <a:lnTo>
                                    <a:pt x="153" y="101"/>
                                  </a:lnTo>
                                  <a:lnTo>
                                    <a:pt x="154" y="101"/>
                                  </a:lnTo>
                                  <a:lnTo>
                                    <a:pt x="208" y="75"/>
                                  </a:lnTo>
                                  <a:lnTo>
                                    <a:pt x="215" y="70"/>
                                  </a:lnTo>
                                  <a:lnTo>
                                    <a:pt x="232" y="69"/>
                                  </a:lnTo>
                                  <a:lnTo>
                                    <a:pt x="401" y="69"/>
                                  </a:lnTo>
                                  <a:lnTo>
                                    <a:pt x="403" y="66"/>
                                  </a:lnTo>
                                  <a:lnTo>
                                    <a:pt x="402" y="63"/>
                                  </a:lnTo>
                                  <a:lnTo>
                                    <a:pt x="401" y="57"/>
                                  </a:lnTo>
                                  <a:lnTo>
                                    <a:pt x="399" y="54"/>
                                  </a:lnTo>
                                  <a:lnTo>
                                    <a:pt x="399" y="51"/>
                                  </a:lnTo>
                                  <a:lnTo>
                                    <a:pt x="399" y="5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 name="Freeform 48"/>
                          <wps:cNvSpPr>
                            <a:spLocks/>
                          </wps:cNvSpPr>
                          <wps:spPr bwMode="auto">
                            <a:xfrm>
                              <a:off x="1081" y="167"/>
                              <a:ext cx="404" cy="151"/>
                            </a:xfrm>
                            <a:custGeom>
                              <a:avLst/>
                              <a:gdLst>
                                <a:gd name="T0" fmla="+- 0 1248 1081"/>
                                <a:gd name="T1" fmla="*/ T0 w 404"/>
                                <a:gd name="T2" fmla="+- 0 167 167"/>
                                <a:gd name="T3" fmla="*/ 167 h 151"/>
                                <a:gd name="T4" fmla="+- 0 1099 1081"/>
                                <a:gd name="T5" fmla="*/ T4 w 404"/>
                                <a:gd name="T6" fmla="+- 0 171 167"/>
                                <a:gd name="T7" fmla="*/ 171 h 151"/>
                                <a:gd name="T8" fmla="+- 0 1087 1081"/>
                                <a:gd name="T9" fmla="*/ T8 w 404"/>
                                <a:gd name="T10" fmla="+- 0 172 167"/>
                                <a:gd name="T11" fmla="*/ 172 h 151"/>
                                <a:gd name="T12" fmla="+- 0 1086 1081"/>
                                <a:gd name="T13" fmla="*/ T12 w 404"/>
                                <a:gd name="T14" fmla="+- 0 173 167"/>
                                <a:gd name="T15" fmla="*/ 173 h 151"/>
                                <a:gd name="T16" fmla="+- 0 1081 1081"/>
                                <a:gd name="T17" fmla="*/ T16 w 404"/>
                                <a:gd name="T18" fmla="+- 0 185 167"/>
                                <a:gd name="T19" fmla="*/ 185 h 151"/>
                                <a:gd name="T20" fmla="+- 0 1085 1081"/>
                                <a:gd name="T21" fmla="*/ T20 w 404"/>
                                <a:gd name="T22" fmla="+- 0 190 167"/>
                                <a:gd name="T23" fmla="*/ 190 h 151"/>
                                <a:gd name="T24" fmla="+- 0 1090 1081"/>
                                <a:gd name="T25" fmla="*/ T24 w 404"/>
                                <a:gd name="T26" fmla="+- 0 194 167"/>
                                <a:gd name="T27" fmla="*/ 194 h 151"/>
                                <a:gd name="T28" fmla="+- 0 1098 1081"/>
                                <a:gd name="T29" fmla="*/ T28 w 404"/>
                                <a:gd name="T30" fmla="+- 0 200 167"/>
                                <a:gd name="T31" fmla="*/ 200 h 151"/>
                                <a:gd name="T32" fmla="+- 0 1101 1081"/>
                                <a:gd name="T33" fmla="*/ T32 w 404"/>
                                <a:gd name="T34" fmla="+- 0 208 167"/>
                                <a:gd name="T35" fmla="*/ 208 h 151"/>
                                <a:gd name="T36" fmla="+- 0 1101 1081"/>
                                <a:gd name="T37" fmla="*/ T36 w 404"/>
                                <a:gd name="T38" fmla="+- 0 212 167"/>
                                <a:gd name="T39" fmla="*/ 212 h 151"/>
                                <a:gd name="T40" fmla="+- 0 1100 1081"/>
                                <a:gd name="T41" fmla="*/ T40 w 404"/>
                                <a:gd name="T42" fmla="+- 0 216 167"/>
                                <a:gd name="T43" fmla="*/ 216 h 151"/>
                                <a:gd name="T44" fmla="+- 0 1100 1081"/>
                                <a:gd name="T45" fmla="*/ T44 w 404"/>
                                <a:gd name="T46" fmla="+- 0 223 167"/>
                                <a:gd name="T47" fmla="*/ 223 h 151"/>
                                <a:gd name="T48" fmla="+- 0 1099 1081"/>
                                <a:gd name="T49" fmla="*/ T48 w 404"/>
                                <a:gd name="T50" fmla="+- 0 224 167"/>
                                <a:gd name="T51" fmla="*/ 224 h 151"/>
                                <a:gd name="T52" fmla="+- 0 1113 1081"/>
                                <a:gd name="T53" fmla="*/ T52 w 404"/>
                                <a:gd name="T54" fmla="+- 0 220 167"/>
                                <a:gd name="T55" fmla="*/ 220 h 151"/>
                                <a:gd name="T56" fmla="+- 0 1126 1081"/>
                                <a:gd name="T57" fmla="*/ T56 w 404"/>
                                <a:gd name="T58" fmla="+- 0 218 167"/>
                                <a:gd name="T59" fmla="*/ 218 h 151"/>
                                <a:gd name="T60" fmla="+- 0 1138 1081"/>
                                <a:gd name="T61" fmla="*/ T60 w 404"/>
                                <a:gd name="T62" fmla="+- 0 217 167"/>
                                <a:gd name="T63" fmla="*/ 217 h 151"/>
                                <a:gd name="T64" fmla="+- 0 1480 1081"/>
                                <a:gd name="T65" fmla="*/ T64 w 404"/>
                                <a:gd name="T66" fmla="+- 0 217 167"/>
                                <a:gd name="T67" fmla="*/ 217 h 151"/>
                                <a:gd name="T68" fmla="+- 0 1477 1081"/>
                                <a:gd name="T69" fmla="*/ T68 w 404"/>
                                <a:gd name="T70" fmla="+- 0 205 167"/>
                                <a:gd name="T71" fmla="*/ 205 h 151"/>
                                <a:gd name="T72" fmla="+- 0 1433 1081"/>
                                <a:gd name="T73" fmla="*/ T72 w 404"/>
                                <a:gd name="T74" fmla="+- 0 205 167"/>
                                <a:gd name="T75" fmla="*/ 205 h 151"/>
                                <a:gd name="T76" fmla="+- 0 1424 1081"/>
                                <a:gd name="T77" fmla="*/ T76 w 404"/>
                                <a:gd name="T78" fmla="+- 0 205 167"/>
                                <a:gd name="T79" fmla="*/ 205 h 151"/>
                                <a:gd name="T80" fmla="+- 0 1423 1081"/>
                                <a:gd name="T81" fmla="*/ T80 w 404"/>
                                <a:gd name="T82" fmla="+- 0 192 167"/>
                                <a:gd name="T83" fmla="*/ 192 h 151"/>
                                <a:gd name="T84" fmla="+- 0 1422 1081"/>
                                <a:gd name="T85" fmla="*/ T84 w 404"/>
                                <a:gd name="T86" fmla="+- 0 192 167"/>
                                <a:gd name="T87" fmla="*/ 192 h 151"/>
                                <a:gd name="T88" fmla="+- 0 1396 1081"/>
                                <a:gd name="T89" fmla="*/ T88 w 404"/>
                                <a:gd name="T90" fmla="+- 0 191 167"/>
                                <a:gd name="T91" fmla="*/ 191 h 151"/>
                                <a:gd name="T92" fmla="+- 0 1395 1081"/>
                                <a:gd name="T93" fmla="*/ T92 w 404"/>
                                <a:gd name="T94" fmla="+- 0 191 167"/>
                                <a:gd name="T95" fmla="*/ 191 h 151"/>
                                <a:gd name="T96" fmla="+- 0 1257 1081"/>
                                <a:gd name="T97" fmla="*/ T96 w 404"/>
                                <a:gd name="T98" fmla="+- 0 188 167"/>
                                <a:gd name="T99" fmla="*/ 188 h 151"/>
                                <a:gd name="T100" fmla="+- 0 1249 1081"/>
                                <a:gd name="T101" fmla="*/ T100 w 404"/>
                                <a:gd name="T102" fmla="+- 0 168 167"/>
                                <a:gd name="T103" fmla="*/ 168 h 151"/>
                                <a:gd name="T104" fmla="+- 0 1248 1081"/>
                                <a:gd name="T105" fmla="*/ T104 w 404"/>
                                <a:gd name="T106" fmla="+- 0 167 167"/>
                                <a:gd name="T107" fmla="*/ 167 h 15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Lst>
                              <a:rect l="0" t="0" r="r" b="b"/>
                              <a:pathLst>
                                <a:path w="404" h="151">
                                  <a:moveTo>
                                    <a:pt x="167" y="0"/>
                                  </a:moveTo>
                                  <a:lnTo>
                                    <a:pt x="18" y="4"/>
                                  </a:lnTo>
                                  <a:lnTo>
                                    <a:pt x="6" y="5"/>
                                  </a:lnTo>
                                  <a:lnTo>
                                    <a:pt x="5" y="6"/>
                                  </a:lnTo>
                                  <a:lnTo>
                                    <a:pt x="0" y="18"/>
                                  </a:lnTo>
                                  <a:lnTo>
                                    <a:pt x="4" y="23"/>
                                  </a:lnTo>
                                  <a:lnTo>
                                    <a:pt x="9" y="27"/>
                                  </a:lnTo>
                                  <a:lnTo>
                                    <a:pt x="17" y="33"/>
                                  </a:lnTo>
                                  <a:lnTo>
                                    <a:pt x="20" y="41"/>
                                  </a:lnTo>
                                  <a:lnTo>
                                    <a:pt x="20" y="45"/>
                                  </a:lnTo>
                                  <a:lnTo>
                                    <a:pt x="19" y="49"/>
                                  </a:lnTo>
                                  <a:lnTo>
                                    <a:pt x="19" y="56"/>
                                  </a:lnTo>
                                  <a:lnTo>
                                    <a:pt x="18" y="57"/>
                                  </a:lnTo>
                                  <a:lnTo>
                                    <a:pt x="32" y="53"/>
                                  </a:lnTo>
                                  <a:lnTo>
                                    <a:pt x="45" y="51"/>
                                  </a:lnTo>
                                  <a:lnTo>
                                    <a:pt x="57" y="50"/>
                                  </a:lnTo>
                                  <a:lnTo>
                                    <a:pt x="399" y="50"/>
                                  </a:lnTo>
                                  <a:lnTo>
                                    <a:pt x="396" y="38"/>
                                  </a:lnTo>
                                  <a:lnTo>
                                    <a:pt x="352" y="38"/>
                                  </a:lnTo>
                                  <a:lnTo>
                                    <a:pt x="343" y="38"/>
                                  </a:lnTo>
                                  <a:lnTo>
                                    <a:pt x="342" y="25"/>
                                  </a:lnTo>
                                  <a:lnTo>
                                    <a:pt x="341" y="25"/>
                                  </a:lnTo>
                                  <a:lnTo>
                                    <a:pt x="315" y="24"/>
                                  </a:lnTo>
                                  <a:lnTo>
                                    <a:pt x="314" y="24"/>
                                  </a:lnTo>
                                  <a:lnTo>
                                    <a:pt x="176" y="21"/>
                                  </a:lnTo>
                                  <a:lnTo>
                                    <a:pt x="168" y="1"/>
                                  </a:lnTo>
                                  <a:lnTo>
                                    <a:pt x="167"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 name="Freeform 49"/>
                          <wps:cNvSpPr>
                            <a:spLocks/>
                          </wps:cNvSpPr>
                          <wps:spPr bwMode="auto">
                            <a:xfrm>
                              <a:off x="1081" y="167"/>
                              <a:ext cx="404" cy="151"/>
                            </a:xfrm>
                            <a:custGeom>
                              <a:avLst/>
                              <a:gdLst>
                                <a:gd name="T0" fmla="+- 0 1432 1081"/>
                                <a:gd name="T1" fmla="*/ T0 w 404"/>
                                <a:gd name="T2" fmla="+- 0 171 167"/>
                                <a:gd name="T3" fmla="*/ 171 h 151"/>
                                <a:gd name="T4" fmla="+- 0 1430 1081"/>
                                <a:gd name="T5" fmla="*/ T4 w 404"/>
                                <a:gd name="T6" fmla="+- 0 171 167"/>
                                <a:gd name="T7" fmla="*/ 171 h 151"/>
                                <a:gd name="T8" fmla="+- 0 1429 1081"/>
                                <a:gd name="T9" fmla="*/ T8 w 404"/>
                                <a:gd name="T10" fmla="+- 0 172 167"/>
                                <a:gd name="T11" fmla="*/ 172 h 151"/>
                                <a:gd name="T12" fmla="+- 0 1429 1081"/>
                                <a:gd name="T13" fmla="*/ T12 w 404"/>
                                <a:gd name="T14" fmla="+- 0 173 167"/>
                                <a:gd name="T15" fmla="*/ 173 h 151"/>
                                <a:gd name="T16" fmla="+- 0 1433 1081"/>
                                <a:gd name="T17" fmla="*/ T16 w 404"/>
                                <a:gd name="T18" fmla="+- 0 205 167"/>
                                <a:gd name="T19" fmla="*/ 205 h 151"/>
                                <a:gd name="T20" fmla="+- 0 1477 1081"/>
                                <a:gd name="T21" fmla="*/ T20 w 404"/>
                                <a:gd name="T22" fmla="+- 0 205 167"/>
                                <a:gd name="T23" fmla="*/ 205 h 151"/>
                                <a:gd name="T24" fmla="+- 0 1477 1081"/>
                                <a:gd name="T25" fmla="*/ T24 w 404"/>
                                <a:gd name="T26" fmla="+- 0 204 167"/>
                                <a:gd name="T27" fmla="*/ 204 h 151"/>
                                <a:gd name="T28" fmla="+- 0 1471 1081"/>
                                <a:gd name="T29" fmla="*/ T28 w 404"/>
                                <a:gd name="T30" fmla="+- 0 180 167"/>
                                <a:gd name="T31" fmla="*/ 180 h 151"/>
                                <a:gd name="T32" fmla="+- 0 1471 1081"/>
                                <a:gd name="T33" fmla="*/ T32 w 404"/>
                                <a:gd name="T34" fmla="+- 0 177 167"/>
                                <a:gd name="T35" fmla="*/ 177 h 151"/>
                                <a:gd name="T36" fmla="+- 0 1470 1081"/>
                                <a:gd name="T37" fmla="*/ T36 w 404"/>
                                <a:gd name="T38" fmla="+- 0 177 167"/>
                                <a:gd name="T39" fmla="*/ 177 h 151"/>
                                <a:gd name="T40" fmla="+- 0 1469 1081"/>
                                <a:gd name="T41" fmla="*/ T40 w 404"/>
                                <a:gd name="T42" fmla="+- 0 177 167"/>
                                <a:gd name="T43" fmla="*/ 177 h 151"/>
                                <a:gd name="T44" fmla="+- 0 1432 1081"/>
                                <a:gd name="T45" fmla="*/ T44 w 404"/>
                                <a:gd name="T46" fmla="+- 0 171 167"/>
                                <a:gd name="T47" fmla="*/ 171 h 15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404" h="151">
                                  <a:moveTo>
                                    <a:pt x="351" y="4"/>
                                  </a:moveTo>
                                  <a:lnTo>
                                    <a:pt x="349" y="4"/>
                                  </a:lnTo>
                                  <a:lnTo>
                                    <a:pt x="348" y="5"/>
                                  </a:lnTo>
                                  <a:lnTo>
                                    <a:pt x="348" y="6"/>
                                  </a:lnTo>
                                  <a:lnTo>
                                    <a:pt x="352" y="38"/>
                                  </a:lnTo>
                                  <a:lnTo>
                                    <a:pt x="396" y="38"/>
                                  </a:lnTo>
                                  <a:lnTo>
                                    <a:pt x="396" y="37"/>
                                  </a:lnTo>
                                  <a:lnTo>
                                    <a:pt x="390" y="13"/>
                                  </a:lnTo>
                                  <a:lnTo>
                                    <a:pt x="390" y="10"/>
                                  </a:lnTo>
                                  <a:lnTo>
                                    <a:pt x="389" y="10"/>
                                  </a:lnTo>
                                  <a:lnTo>
                                    <a:pt x="388" y="10"/>
                                  </a:lnTo>
                                  <a:lnTo>
                                    <a:pt x="351" y="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3" name="Freeform 50"/>
                          <wps:cNvSpPr>
                            <a:spLocks/>
                          </wps:cNvSpPr>
                          <wps:spPr bwMode="auto">
                            <a:xfrm>
                              <a:off x="1081" y="167"/>
                              <a:ext cx="404" cy="151"/>
                            </a:xfrm>
                            <a:custGeom>
                              <a:avLst/>
                              <a:gdLst>
                                <a:gd name="T0" fmla="+- 0 1396 1081"/>
                                <a:gd name="T1" fmla="*/ T0 w 404"/>
                                <a:gd name="T2" fmla="+- 0 191 167"/>
                                <a:gd name="T3" fmla="*/ 191 h 151"/>
                                <a:gd name="T4" fmla="+- 0 1395 1081"/>
                                <a:gd name="T5" fmla="*/ T4 w 404"/>
                                <a:gd name="T6" fmla="+- 0 191 167"/>
                                <a:gd name="T7" fmla="*/ 191 h 151"/>
                                <a:gd name="T8" fmla="+- 0 1395 1081"/>
                                <a:gd name="T9" fmla="*/ T8 w 404"/>
                                <a:gd name="T10" fmla="+- 0 191 167"/>
                                <a:gd name="T11" fmla="*/ 191 h 151"/>
                                <a:gd name="T12" fmla="+- 0 1396 1081"/>
                                <a:gd name="T13" fmla="*/ T12 w 404"/>
                                <a:gd name="T14" fmla="+- 0 191 167"/>
                                <a:gd name="T15" fmla="*/ 191 h 151"/>
                                <a:gd name="T16" fmla="+- 0 1396 1081"/>
                                <a:gd name="T17" fmla="*/ T16 w 404"/>
                                <a:gd name="T18" fmla="+- 0 191 167"/>
                                <a:gd name="T19" fmla="*/ 191 h 151"/>
                              </a:gdLst>
                              <a:ahLst/>
                              <a:cxnLst>
                                <a:cxn ang="0">
                                  <a:pos x="T1" y="T3"/>
                                </a:cxn>
                                <a:cxn ang="0">
                                  <a:pos x="T5" y="T7"/>
                                </a:cxn>
                                <a:cxn ang="0">
                                  <a:pos x="T9" y="T11"/>
                                </a:cxn>
                                <a:cxn ang="0">
                                  <a:pos x="T13" y="T15"/>
                                </a:cxn>
                                <a:cxn ang="0">
                                  <a:pos x="T17" y="T19"/>
                                </a:cxn>
                              </a:cxnLst>
                              <a:rect l="0" t="0" r="r" b="b"/>
                              <a:pathLst>
                                <a:path w="404" h="151">
                                  <a:moveTo>
                                    <a:pt x="315" y="24"/>
                                  </a:moveTo>
                                  <a:lnTo>
                                    <a:pt x="314" y="24"/>
                                  </a:lnTo>
                                  <a:lnTo>
                                    <a:pt x="315" y="2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4" name="Picture 5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1402" y="296"/>
                              <a:ext cx="190" cy="28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5" name="Picture 52"/>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1367" y="288"/>
                              <a:ext cx="29" cy="20"/>
                            </a:xfrm>
                            <a:prstGeom prst="rect">
                              <a:avLst/>
                            </a:prstGeom>
                            <a:noFill/>
                            <a:extLst>
                              <a:ext uri="{909E8E84-426E-40DD-AFC4-6F175D3DCCD1}">
                                <a14:hiddenFill xmlns:a14="http://schemas.microsoft.com/office/drawing/2010/main">
                                  <a:solidFill>
                                    <a:srgbClr val="FFFFFF"/>
                                  </a:solidFill>
                                </a14:hiddenFill>
                              </a:ext>
                            </a:extLst>
                          </pic:spPr>
                        </pic:pic>
                      </wpg:grpSp>
                      <wpg:grpSp>
                        <wpg:cNvPr id="96" name="Group 53"/>
                        <wpg:cNvGrpSpPr>
                          <a:grpSpLocks/>
                        </wpg:cNvGrpSpPr>
                        <wpg:grpSpPr bwMode="auto">
                          <a:xfrm>
                            <a:off x="1482" y="221"/>
                            <a:ext cx="11" cy="31"/>
                            <a:chOff x="1482" y="221"/>
                            <a:chExt cx="11" cy="31"/>
                          </a:xfrm>
                        </wpg:grpSpPr>
                        <wps:wsp>
                          <wps:cNvPr id="97" name="Freeform 54"/>
                          <wps:cNvSpPr>
                            <a:spLocks/>
                          </wps:cNvSpPr>
                          <wps:spPr bwMode="auto">
                            <a:xfrm>
                              <a:off x="1482" y="221"/>
                              <a:ext cx="11" cy="31"/>
                            </a:xfrm>
                            <a:custGeom>
                              <a:avLst/>
                              <a:gdLst>
                                <a:gd name="T0" fmla="+- 0 1485 1482"/>
                                <a:gd name="T1" fmla="*/ T0 w 11"/>
                                <a:gd name="T2" fmla="+- 0 221 221"/>
                                <a:gd name="T3" fmla="*/ 221 h 31"/>
                                <a:gd name="T4" fmla="+- 0 1482 1482"/>
                                <a:gd name="T5" fmla="*/ T4 w 11"/>
                                <a:gd name="T6" fmla="+- 0 226 221"/>
                                <a:gd name="T7" fmla="*/ 226 h 31"/>
                                <a:gd name="T8" fmla="+- 0 1484 1482"/>
                                <a:gd name="T9" fmla="*/ T8 w 11"/>
                                <a:gd name="T10" fmla="+- 0 231 221"/>
                                <a:gd name="T11" fmla="*/ 231 h 31"/>
                                <a:gd name="T12" fmla="+- 0 1485 1482"/>
                                <a:gd name="T13" fmla="*/ T12 w 11"/>
                                <a:gd name="T14" fmla="+- 0 237 221"/>
                                <a:gd name="T15" fmla="*/ 237 h 31"/>
                                <a:gd name="T16" fmla="+- 0 1487 1482"/>
                                <a:gd name="T17" fmla="*/ T16 w 11"/>
                                <a:gd name="T18" fmla="+- 0 242 221"/>
                                <a:gd name="T19" fmla="*/ 242 h 31"/>
                                <a:gd name="T20" fmla="+- 0 1489 1482"/>
                                <a:gd name="T21" fmla="*/ T20 w 11"/>
                                <a:gd name="T22" fmla="+- 0 247 221"/>
                                <a:gd name="T23" fmla="*/ 247 h 31"/>
                                <a:gd name="T24" fmla="+- 0 1491 1482"/>
                                <a:gd name="T25" fmla="*/ T24 w 11"/>
                                <a:gd name="T26" fmla="+- 0 252 221"/>
                                <a:gd name="T27" fmla="*/ 252 h 31"/>
                                <a:gd name="T28" fmla="+- 0 1493 1482"/>
                                <a:gd name="T29" fmla="*/ T28 w 11"/>
                                <a:gd name="T30" fmla="+- 0 249 221"/>
                                <a:gd name="T31" fmla="*/ 249 h 31"/>
                                <a:gd name="T32" fmla="+- 0 1491 1482"/>
                                <a:gd name="T33" fmla="*/ T32 w 11"/>
                                <a:gd name="T34" fmla="+- 0 244 221"/>
                                <a:gd name="T35" fmla="*/ 244 h 31"/>
                                <a:gd name="T36" fmla="+- 0 1490 1482"/>
                                <a:gd name="T37" fmla="*/ T36 w 11"/>
                                <a:gd name="T38" fmla="+- 0 239 221"/>
                                <a:gd name="T39" fmla="*/ 239 h 31"/>
                                <a:gd name="T40" fmla="+- 0 1487 1482"/>
                                <a:gd name="T41" fmla="*/ T40 w 11"/>
                                <a:gd name="T42" fmla="+- 0 231 221"/>
                                <a:gd name="T43" fmla="*/ 231 h 31"/>
                                <a:gd name="T44" fmla="+- 0 1486 1482"/>
                                <a:gd name="T45" fmla="*/ T44 w 11"/>
                                <a:gd name="T46" fmla="+- 0 228 221"/>
                                <a:gd name="T47" fmla="*/ 228 h 31"/>
                                <a:gd name="T48" fmla="+- 0 1486 1482"/>
                                <a:gd name="T49" fmla="*/ T48 w 11"/>
                                <a:gd name="T50" fmla="+- 0 226 221"/>
                                <a:gd name="T51" fmla="*/ 226 h 31"/>
                                <a:gd name="T52" fmla="+- 0 1486 1482"/>
                                <a:gd name="T53" fmla="*/ T52 w 11"/>
                                <a:gd name="T54" fmla="+- 0 225 221"/>
                                <a:gd name="T55" fmla="*/ 225 h 31"/>
                                <a:gd name="T56" fmla="+- 0 1486 1482"/>
                                <a:gd name="T57" fmla="*/ T56 w 11"/>
                                <a:gd name="T58" fmla="+- 0 223 221"/>
                                <a:gd name="T59" fmla="*/ 223 h 31"/>
                                <a:gd name="T60" fmla="+- 0 1485 1482"/>
                                <a:gd name="T61" fmla="*/ T60 w 11"/>
                                <a:gd name="T62" fmla="+- 0 221 221"/>
                                <a:gd name="T63" fmla="*/ 221 h 3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11" h="31">
                                  <a:moveTo>
                                    <a:pt x="3" y="0"/>
                                  </a:moveTo>
                                  <a:lnTo>
                                    <a:pt x="0" y="5"/>
                                  </a:lnTo>
                                  <a:lnTo>
                                    <a:pt x="2" y="10"/>
                                  </a:lnTo>
                                  <a:lnTo>
                                    <a:pt x="3" y="16"/>
                                  </a:lnTo>
                                  <a:lnTo>
                                    <a:pt x="5" y="21"/>
                                  </a:lnTo>
                                  <a:lnTo>
                                    <a:pt x="7" y="26"/>
                                  </a:lnTo>
                                  <a:lnTo>
                                    <a:pt x="9" y="31"/>
                                  </a:lnTo>
                                  <a:lnTo>
                                    <a:pt x="11" y="28"/>
                                  </a:lnTo>
                                  <a:lnTo>
                                    <a:pt x="9" y="23"/>
                                  </a:lnTo>
                                  <a:lnTo>
                                    <a:pt x="8" y="18"/>
                                  </a:lnTo>
                                  <a:lnTo>
                                    <a:pt x="5" y="10"/>
                                  </a:lnTo>
                                  <a:lnTo>
                                    <a:pt x="4" y="7"/>
                                  </a:lnTo>
                                  <a:lnTo>
                                    <a:pt x="4" y="5"/>
                                  </a:lnTo>
                                  <a:lnTo>
                                    <a:pt x="4" y="4"/>
                                  </a:lnTo>
                                  <a:lnTo>
                                    <a:pt x="4" y="2"/>
                                  </a:lnTo>
                                  <a:lnTo>
                                    <a:pt x="3" y="0"/>
                                  </a:lnTo>
                                  <a:close/>
                                </a:path>
                              </a:pathLst>
                            </a:custGeom>
                            <a:solidFill>
                              <a:srgbClr val="60869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8" name="Picture 5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1471" y="178"/>
                              <a:ext cx="14" cy="48"/>
                            </a:xfrm>
                            <a:prstGeom prst="rect">
                              <a:avLst/>
                            </a:prstGeom>
                            <a:noFill/>
                            <a:extLst>
                              <a:ext uri="{909E8E84-426E-40DD-AFC4-6F175D3DCCD1}">
                                <a14:hiddenFill xmlns:a14="http://schemas.microsoft.com/office/drawing/2010/main">
                                  <a:solidFill>
                                    <a:srgbClr val="FFFFFF"/>
                                  </a:solidFill>
                                </a14:hiddenFill>
                              </a:ext>
                            </a:extLst>
                          </pic:spPr>
                        </pic:pic>
                      </wpg:grpSp>
                      <wpg:grpSp>
                        <wpg:cNvPr id="99" name="Group 56"/>
                        <wpg:cNvGrpSpPr>
                          <a:grpSpLocks/>
                        </wpg:cNvGrpSpPr>
                        <wpg:grpSpPr bwMode="auto">
                          <a:xfrm>
                            <a:off x="1491" y="249"/>
                            <a:ext cx="9" cy="20"/>
                            <a:chOff x="1491" y="249"/>
                            <a:chExt cx="9" cy="20"/>
                          </a:xfrm>
                        </wpg:grpSpPr>
                        <wps:wsp>
                          <wps:cNvPr id="100" name="Freeform 57"/>
                          <wps:cNvSpPr>
                            <a:spLocks/>
                          </wps:cNvSpPr>
                          <wps:spPr bwMode="auto">
                            <a:xfrm>
                              <a:off x="1491" y="249"/>
                              <a:ext cx="9" cy="20"/>
                            </a:xfrm>
                            <a:custGeom>
                              <a:avLst/>
                              <a:gdLst>
                                <a:gd name="T0" fmla="+- 0 1493 1491"/>
                                <a:gd name="T1" fmla="*/ T0 w 9"/>
                                <a:gd name="T2" fmla="+- 0 249 249"/>
                                <a:gd name="T3" fmla="*/ 249 h 20"/>
                                <a:gd name="T4" fmla="+- 0 1491 1491"/>
                                <a:gd name="T5" fmla="*/ T4 w 9"/>
                                <a:gd name="T6" fmla="+- 0 252 249"/>
                                <a:gd name="T7" fmla="*/ 252 h 20"/>
                                <a:gd name="T8" fmla="+- 0 1493 1491"/>
                                <a:gd name="T9" fmla="*/ T8 w 9"/>
                                <a:gd name="T10" fmla="+- 0 258 249"/>
                                <a:gd name="T11" fmla="*/ 258 h 20"/>
                                <a:gd name="T12" fmla="+- 0 1496 1491"/>
                                <a:gd name="T13" fmla="*/ T12 w 9"/>
                                <a:gd name="T14" fmla="+- 0 263 249"/>
                                <a:gd name="T15" fmla="*/ 263 h 20"/>
                                <a:gd name="T16" fmla="+- 0 1498 1491"/>
                                <a:gd name="T17" fmla="*/ T16 w 9"/>
                                <a:gd name="T18" fmla="+- 0 269 249"/>
                                <a:gd name="T19" fmla="*/ 269 h 20"/>
                                <a:gd name="T20" fmla="+- 0 1500 1491"/>
                                <a:gd name="T21" fmla="*/ T20 w 9"/>
                                <a:gd name="T22" fmla="+- 0 267 249"/>
                                <a:gd name="T23" fmla="*/ 267 h 20"/>
                                <a:gd name="T24" fmla="+- 0 1497 1491"/>
                                <a:gd name="T25" fmla="*/ T24 w 9"/>
                                <a:gd name="T26" fmla="+- 0 261 249"/>
                                <a:gd name="T27" fmla="*/ 261 h 20"/>
                                <a:gd name="T28" fmla="+- 0 1495 1491"/>
                                <a:gd name="T29" fmla="*/ T28 w 9"/>
                                <a:gd name="T30" fmla="+- 0 255 249"/>
                                <a:gd name="T31" fmla="*/ 255 h 20"/>
                                <a:gd name="T32" fmla="+- 0 1493 1491"/>
                                <a:gd name="T33" fmla="*/ T32 w 9"/>
                                <a:gd name="T34" fmla="+- 0 249 249"/>
                                <a:gd name="T35" fmla="*/ 249 h 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9" h="20">
                                  <a:moveTo>
                                    <a:pt x="2" y="0"/>
                                  </a:moveTo>
                                  <a:lnTo>
                                    <a:pt x="0" y="3"/>
                                  </a:lnTo>
                                  <a:lnTo>
                                    <a:pt x="2" y="9"/>
                                  </a:lnTo>
                                  <a:lnTo>
                                    <a:pt x="5" y="14"/>
                                  </a:lnTo>
                                  <a:lnTo>
                                    <a:pt x="7" y="20"/>
                                  </a:lnTo>
                                  <a:lnTo>
                                    <a:pt x="9" y="18"/>
                                  </a:lnTo>
                                  <a:lnTo>
                                    <a:pt x="6" y="12"/>
                                  </a:lnTo>
                                  <a:lnTo>
                                    <a:pt x="4" y="6"/>
                                  </a:lnTo>
                                  <a:lnTo>
                                    <a:pt x="2" y="0"/>
                                  </a:lnTo>
                                  <a:close/>
                                </a:path>
                              </a:pathLst>
                            </a:custGeom>
                            <a:solidFill>
                              <a:srgbClr val="003F5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01" name="Picture 58"/>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1498" y="267"/>
                              <a:ext cx="17" cy="30"/>
                            </a:xfrm>
                            <a:prstGeom prst="rect">
                              <a:avLst/>
                            </a:prstGeom>
                            <a:noFill/>
                            <a:extLst>
                              <a:ext uri="{909E8E84-426E-40DD-AFC4-6F175D3DCCD1}">
                                <a14:hiddenFill xmlns:a14="http://schemas.microsoft.com/office/drawing/2010/main">
                                  <a:solidFill>
                                    <a:srgbClr val="FFFFFF"/>
                                  </a:solidFill>
                                </a14:hiddenFill>
                              </a:ext>
                            </a:extLst>
                          </pic:spPr>
                        </pic:pic>
                      </wpg:grpSp>
                      <wpg:grpSp>
                        <wpg:cNvPr id="102" name="Group 59"/>
                        <wpg:cNvGrpSpPr>
                          <a:grpSpLocks/>
                        </wpg:cNvGrpSpPr>
                        <wpg:grpSpPr bwMode="auto">
                          <a:xfrm>
                            <a:off x="1484" y="231"/>
                            <a:ext cx="2" cy="6"/>
                            <a:chOff x="1484" y="231"/>
                            <a:chExt cx="2" cy="6"/>
                          </a:xfrm>
                        </wpg:grpSpPr>
                        <wps:wsp>
                          <wps:cNvPr id="103" name="Freeform 60"/>
                          <wps:cNvSpPr>
                            <a:spLocks/>
                          </wps:cNvSpPr>
                          <wps:spPr bwMode="auto">
                            <a:xfrm>
                              <a:off x="1484" y="231"/>
                              <a:ext cx="2" cy="6"/>
                            </a:xfrm>
                            <a:custGeom>
                              <a:avLst/>
                              <a:gdLst>
                                <a:gd name="T0" fmla="+- 0 1484 1484"/>
                                <a:gd name="T1" fmla="*/ T0 w 2"/>
                                <a:gd name="T2" fmla="+- 0 231 231"/>
                                <a:gd name="T3" fmla="*/ 231 h 6"/>
                                <a:gd name="T4" fmla="+- 0 1485 1484"/>
                                <a:gd name="T5" fmla="*/ T4 w 2"/>
                                <a:gd name="T6" fmla="+- 0 237 231"/>
                                <a:gd name="T7" fmla="*/ 237 h 6"/>
                                <a:gd name="T8" fmla="+- 0 1484 1484"/>
                                <a:gd name="T9" fmla="*/ T8 w 2"/>
                                <a:gd name="T10" fmla="+- 0 231 231"/>
                                <a:gd name="T11" fmla="*/ 231 h 6"/>
                              </a:gdLst>
                              <a:ahLst/>
                              <a:cxnLst>
                                <a:cxn ang="0">
                                  <a:pos x="T1" y="T3"/>
                                </a:cxn>
                                <a:cxn ang="0">
                                  <a:pos x="T5" y="T7"/>
                                </a:cxn>
                                <a:cxn ang="0">
                                  <a:pos x="T9" y="T11"/>
                                </a:cxn>
                              </a:cxnLst>
                              <a:rect l="0" t="0" r="r" b="b"/>
                              <a:pathLst>
                                <a:path w="2" h="6">
                                  <a:moveTo>
                                    <a:pt x="0" y="0"/>
                                  </a:moveTo>
                                  <a:lnTo>
                                    <a:pt x="1" y="6"/>
                                  </a:lnTo>
                                  <a:lnTo>
                                    <a:pt x="0" y="0"/>
                                  </a:lnTo>
                                  <a:close/>
                                </a:path>
                              </a:pathLst>
                            </a:custGeom>
                            <a:solidFill>
                              <a:srgbClr val="60869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04" name="Picture 6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1099" y="217"/>
                              <a:ext cx="268" cy="7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5" name="Picture 6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1422" y="192"/>
                              <a:ext cx="7" cy="1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6" name="Picture 6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1090" y="174"/>
                              <a:ext cx="170" cy="29"/>
                            </a:xfrm>
                            <a:prstGeom prst="rect">
                              <a:avLst/>
                            </a:prstGeom>
                            <a:noFill/>
                            <a:extLst>
                              <a:ext uri="{909E8E84-426E-40DD-AFC4-6F175D3DCCD1}">
                                <a14:hiddenFill xmlns:a14="http://schemas.microsoft.com/office/drawing/2010/main">
                                  <a:solidFill>
                                    <a:srgbClr val="FFFFFF"/>
                                  </a:solidFill>
                                </a14:hiddenFill>
                              </a:ext>
                            </a:extLst>
                          </pic:spPr>
                        </pic:pic>
                      </wpg:grpSp>
                      <wpg:grpSp>
                        <wpg:cNvPr id="107" name="Group 64"/>
                        <wpg:cNvGrpSpPr>
                          <a:grpSpLocks/>
                        </wpg:cNvGrpSpPr>
                        <wpg:grpSpPr bwMode="auto">
                          <a:xfrm>
                            <a:off x="1081" y="167"/>
                            <a:ext cx="507" cy="412"/>
                            <a:chOff x="1081" y="167"/>
                            <a:chExt cx="507" cy="412"/>
                          </a:xfrm>
                        </wpg:grpSpPr>
                        <wps:wsp>
                          <wps:cNvPr id="108" name="Freeform 65"/>
                          <wps:cNvSpPr>
                            <a:spLocks/>
                          </wps:cNvSpPr>
                          <wps:spPr bwMode="auto">
                            <a:xfrm>
                              <a:off x="1081" y="167"/>
                              <a:ext cx="507" cy="412"/>
                            </a:xfrm>
                            <a:custGeom>
                              <a:avLst/>
                              <a:gdLst>
                                <a:gd name="T0" fmla="+- 0 1549 1081"/>
                                <a:gd name="T1" fmla="*/ T0 w 507"/>
                                <a:gd name="T2" fmla="+- 0 380 167"/>
                                <a:gd name="T3" fmla="*/ 380 h 412"/>
                                <a:gd name="T4" fmla="+- 0 1411 1081"/>
                                <a:gd name="T5" fmla="*/ T4 w 507"/>
                                <a:gd name="T6" fmla="+- 0 380 167"/>
                                <a:gd name="T7" fmla="*/ 380 h 412"/>
                                <a:gd name="T8" fmla="+- 0 1414 1081"/>
                                <a:gd name="T9" fmla="*/ T8 w 507"/>
                                <a:gd name="T10" fmla="+- 0 381 167"/>
                                <a:gd name="T11" fmla="*/ 381 h 412"/>
                                <a:gd name="T12" fmla="+- 0 1421 1081"/>
                                <a:gd name="T13" fmla="*/ T12 w 507"/>
                                <a:gd name="T14" fmla="+- 0 387 167"/>
                                <a:gd name="T15" fmla="*/ 387 h 412"/>
                                <a:gd name="T16" fmla="+- 0 1423 1081"/>
                                <a:gd name="T17" fmla="*/ T16 w 507"/>
                                <a:gd name="T18" fmla="+- 0 388 167"/>
                                <a:gd name="T19" fmla="*/ 388 h 412"/>
                                <a:gd name="T20" fmla="+- 0 1423 1081"/>
                                <a:gd name="T21" fmla="*/ T20 w 507"/>
                                <a:gd name="T22" fmla="+- 0 389 167"/>
                                <a:gd name="T23" fmla="*/ 389 h 412"/>
                                <a:gd name="T24" fmla="+- 0 1419 1081"/>
                                <a:gd name="T25" fmla="*/ T24 w 507"/>
                                <a:gd name="T26" fmla="+- 0 393 167"/>
                                <a:gd name="T27" fmla="*/ 393 h 412"/>
                                <a:gd name="T28" fmla="+- 0 1416 1081"/>
                                <a:gd name="T29" fmla="*/ T28 w 507"/>
                                <a:gd name="T30" fmla="+- 0 397 167"/>
                                <a:gd name="T31" fmla="*/ 397 h 412"/>
                                <a:gd name="T32" fmla="+- 0 1413 1081"/>
                                <a:gd name="T33" fmla="*/ T32 w 507"/>
                                <a:gd name="T34" fmla="+- 0 401 167"/>
                                <a:gd name="T35" fmla="*/ 401 h 412"/>
                                <a:gd name="T36" fmla="+- 0 1410 1081"/>
                                <a:gd name="T37" fmla="*/ T36 w 507"/>
                                <a:gd name="T38" fmla="+- 0 408 167"/>
                                <a:gd name="T39" fmla="*/ 408 h 412"/>
                                <a:gd name="T40" fmla="+- 0 1407 1081"/>
                                <a:gd name="T41" fmla="*/ T40 w 507"/>
                                <a:gd name="T42" fmla="+- 0 416 167"/>
                                <a:gd name="T43" fmla="*/ 416 h 412"/>
                                <a:gd name="T44" fmla="+- 0 1410 1081"/>
                                <a:gd name="T45" fmla="*/ T44 w 507"/>
                                <a:gd name="T46" fmla="+- 0 427 167"/>
                                <a:gd name="T47" fmla="*/ 427 h 412"/>
                                <a:gd name="T48" fmla="+- 0 1428 1081"/>
                                <a:gd name="T49" fmla="*/ T48 w 507"/>
                                <a:gd name="T50" fmla="+- 0 455 167"/>
                                <a:gd name="T51" fmla="*/ 455 h 412"/>
                                <a:gd name="T52" fmla="+- 0 1437 1081"/>
                                <a:gd name="T53" fmla="*/ T52 w 507"/>
                                <a:gd name="T54" fmla="+- 0 466 167"/>
                                <a:gd name="T55" fmla="*/ 466 h 412"/>
                                <a:gd name="T56" fmla="+- 0 1437 1081"/>
                                <a:gd name="T57" fmla="*/ T56 w 507"/>
                                <a:gd name="T58" fmla="+- 0 466 167"/>
                                <a:gd name="T59" fmla="*/ 466 h 412"/>
                                <a:gd name="T60" fmla="+- 0 1445 1081"/>
                                <a:gd name="T61" fmla="*/ T60 w 507"/>
                                <a:gd name="T62" fmla="+- 0 471 167"/>
                                <a:gd name="T63" fmla="*/ 471 h 412"/>
                                <a:gd name="T64" fmla="+- 0 1457 1081"/>
                                <a:gd name="T65" fmla="*/ T64 w 507"/>
                                <a:gd name="T66" fmla="+- 0 488 167"/>
                                <a:gd name="T67" fmla="*/ 488 h 412"/>
                                <a:gd name="T68" fmla="+- 0 1466 1081"/>
                                <a:gd name="T69" fmla="*/ T68 w 507"/>
                                <a:gd name="T70" fmla="+- 0 508 167"/>
                                <a:gd name="T71" fmla="*/ 508 h 412"/>
                                <a:gd name="T72" fmla="+- 0 1471 1081"/>
                                <a:gd name="T73" fmla="*/ T72 w 507"/>
                                <a:gd name="T74" fmla="+- 0 520 167"/>
                                <a:gd name="T75" fmla="*/ 520 h 412"/>
                                <a:gd name="T76" fmla="+- 0 1479 1081"/>
                                <a:gd name="T77" fmla="*/ T76 w 507"/>
                                <a:gd name="T78" fmla="+- 0 526 167"/>
                                <a:gd name="T79" fmla="*/ 526 h 412"/>
                                <a:gd name="T80" fmla="+- 0 1480 1081"/>
                                <a:gd name="T81" fmla="*/ T80 w 507"/>
                                <a:gd name="T82" fmla="+- 0 526 167"/>
                                <a:gd name="T83" fmla="*/ 526 h 412"/>
                                <a:gd name="T84" fmla="+- 0 1497 1081"/>
                                <a:gd name="T85" fmla="*/ T84 w 507"/>
                                <a:gd name="T86" fmla="+- 0 531 167"/>
                                <a:gd name="T87" fmla="*/ 531 h 412"/>
                                <a:gd name="T88" fmla="+- 0 1509 1081"/>
                                <a:gd name="T89" fmla="*/ T88 w 507"/>
                                <a:gd name="T90" fmla="+- 0 548 167"/>
                                <a:gd name="T91" fmla="*/ 548 h 412"/>
                                <a:gd name="T92" fmla="+- 0 1512 1081"/>
                                <a:gd name="T93" fmla="*/ T92 w 507"/>
                                <a:gd name="T94" fmla="+- 0 553 167"/>
                                <a:gd name="T95" fmla="*/ 553 h 412"/>
                                <a:gd name="T96" fmla="+- 0 1514 1081"/>
                                <a:gd name="T97" fmla="*/ T96 w 507"/>
                                <a:gd name="T98" fmla="+- 0 555 167"/>
                                <a:gd name="T99" fmla="*/ 555 h 412"/>
                                <a:gd name="T100" fmla="+- 0 1515 1081"/>
                                <a:gd name="T101" fmla="*/ T100 w 507"/>
                                <a:gd name="T102" fmla="+- 0 558 167"/>
                                <a:gd name="T103" fmla="*/ 558 h 412"/>
                                <a:gd name="T104" fmla="+- 0 1516 1081"/>
                                <a:gd name="T105" fmla="*/ T104 w 507"/>
                                <a:gd name="T106" fmla="+- 0 560 167"/>
                                <a:gd name="T107" fmla="*/ 560 h 412"/>
                                <a:gd name="T108" fmla="+- 0 1516 1081"/>
                                <a:gd name="T109" fmla="*/ T108 w 507"/>
                                <a:gd name="T110" fmla="+- 0 571 167"/>
                                <a:gd name="T111" fmla="*/ 571 h 412"/>
                                <a:gd name="T112" fmla="+- 0 1517 1081"/>
                                <a:gd name="T113" fmla="*/ T112 w 507"/>
                                <a:gd name="T114" fmla="+- 0 573 167"/>
                                <a:gd name="T115" fmla="*/ 573 h 412"/>
                                <a:gd name="T116" fmla="+- 0 1520 1081"/>
                                <a:gd name="T117" fmla="*/ T116 w 507"/>
                                <a:gd name="T118" fmla="+- 0 577 167"/>
                                <a:gd name="T119" fmla="*/ 577 h 412"/>
                                <a:gd name="T120" fmla="+- 0 1524 1081"/>
                                <a:gd name="T121" fmla="*/ T120 w 507"/>
                                <a:gd name="T122" fmla="+- 0 579 167"/>
                                <a:gd name="T123" fmla="*/ 579 h 412"/>
                                <a:gd name="T124" fmla="+- 0 1531 1081"/>
                                <a:gd name="T125" fmla="*/ T124 w 507"/>
                                <a:gd name="T126" fmla="+- 0 579 167"/>
                                <a:gd name="T127" fmla="*/ 579 h 412"/>
                                <a:gd name="T128" fmla="+- 0 1534 1081"/>
                                <a:gd name="T129" fmla="*/ T128 w 507"/>
                                <a:gd name="T130" fmla="+- 0 578 167"/>
                                <a:gd name="T131" fmla="*/ 578 h 412"/>
                                <a:gd name="T132" fmla="+- 0 1535 1081"/>
                                <a:gd name="T133" fmla="*/ T132 w 507"/>
                                <a:gd name="T134" fmla="+- 0 578 167"/>
                                <a:gd name="T135" fmla="*/ 578 h 412"/>
                                <a:gd name="T136" fmla="+- 0 1536 1081"/>
                                <a:gd name="T137" fmla="*/ T136 w 507"/>
                                <a:gd name="T138" fmla="+- 0 578 167"/>
                                <a:gd name="T139" fmla="*/ 578 h 412"/>
                                <a:gd name="T140" fmla="+- 0 1537 1081"/>
                                <a:gd name="T141" fmla="*/ T140 w 507"/>
                                <a:gd name="T142" fmla="+- 0 578 167"/>
                                <a:gd name="T143" fmla="*/ 578 h 412"/>
                                <a:gd name="T144" fmla="+- 0 1557 1081"/>
                                <a:gd name="T145" fmla="*/ T144 w 507"/>
                                <a:gd name="T146" fmla="+- 0 572 167"/>
                                <a:gd name="T147" fmla="*/ 572 h 412"/>
                                <a:gd name="T148" fmla="+- 0 1587 1081"/>
                                <a:gd name="T149" fmla="*/ T148 w 507"/>
                                <a:gd name="T150" fmla="+- 0 502 167"/>
                                <a:gd name="T151" fmla="*/ 502 h 412"/>
                                <a:gd name="T152" fmla="+- 0 1587 1081"/>
                                <a:gd name="T153" fmla="*/ T152 w 507"/>
                                <a:gd name="T154" fmla="+- 0 483 167"/>
                                <a:gd name="T155" fmla="*/ 483 h 412"/>
                                <a:gd name="T156" fmla="+- 0 1585 1081"/>
                                <a:gd name="T157" fmla="*/ T156 w 507"/>
                                <a:gd name="T158" fmla="+- 0 462 167"/>
                                <a:gd name="T159" fmla="*/ 462 h 412"/>
                                <a:gd name="T160" fmla="+- 0 1564 1081"/>
                                <a:gd name="T161" fmla="*/ T160 w 507"/>
                                <a:gd name="T162" fmla="+- 0 403 167"/>
                                <a:gd name="T163" fmla="*/ 403 h 412"/>
                                <a:gd name="T164" fmla="+- 0 1551 1081"/>
                                <a:gd name="T165" fmla="*/ T164 w 507"/>
                                <a:gd name="T166" fmla="+- 0 383 167"/>
                                <a:gd name="T167" fmla="*/ 383 h 412"/>
                                <a:gd name="T168" fmla="+- 0 1549 1081"/>
                                <a:gd name="T169" fmla="*/ T168 w 507"/>
                                <a:gd name="T170" fmla="+- 0 380 167"/>
                                <a:gd name="T171" fmla="*/ 380 h 4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Lst>
                              <a:rect l="0" t="0" r="r" b="b"/>
                              <a:pathLst>
                                <a:path w="507" h="412">
                                  <a:moveTo>
                                    <a:pt x="468" y="213"/>
                                  </a:moveTo>
                                  <a:lnTo>
                                    <a:pt x="330" y="213"/>
                                  </a:lnTo>
                                  <a:lnTo>
                                    <a:pt x="333" y="214"/>
                                  </a:lnTo>
                                  <a:lnTo>
                                    <a:pt x="340" y="220"/>
                                  </a:lnTo>
                                  <a:lnTo>
                                    <a:pt x="342" y="221"/>
                                  </a:lnTo>
                                  <a:lnTo>
                                    <a:pt x="342" y="222"/>
                                  </a:lnTo>
                                  <a:lnTo>
                                    <a:pt x="338" y="226"/>
                                  </a:lnTo>
                                  <a:lnTo>
                                    <a:pt x="335" y="230"/>
                                  </a:lnTo>
                                  <a:lnTo>
                                    <a:pt x="332" y="234"/>
                                  </a:lnTo>
                                  <a:lnTo>
                                    <a:pt x="329" y="241"/>
                                  </a:lnTo>
                                  <a:lnTo>
                                    <a:pt x="326" y="249"/>
                                  </a:lnTo>
                                  <a:lnTo>
                                    <a:pt x="329" y="260"/>
                                  </a:lnTo>
                                  <a:lnTo>
                                    <a:pt x="347" y="288"/>
                                  </a:lnTo>
                                  <a:lnTo>
                                    <a:pt x="356" y="299"/>
                                  </a:lnTo>
                                  <a:lnTo>
                                    <a:pt x="364" y="304"/>
                                  </a:lnTo>
                                  <a:lnTo>
                                    <a:pt x="376" y="321"/>
                                  </a:lnTo>
                                  <a:lnTo>
                                    <a:pt x="385" y="341"/>
                                  </a:lnTo>
                                  <a:lnTo>
                                    <a:pt x="390" y="353"/>
                                  </a:lnTo>
                                  <a:lnTo>
                                    <a:pt x="398" y="359"/>
                                  </a:lnTo>
                                  <a:lnTo>
                                    <a:pt x="399" y="359"/>
                                  </a:lnTo>
                                  <a:lnTo>
                                    <a:pt x="416" y="364"/>
                                  </a:lnTo>
                                  <a:lnTo>
                                    <a:pt x="428" y="381"/>
                                  </a:lnTo>
                                  <a:lnTo>
                                    <a:pt x="431" y="386"/>
                                  </a:lnTo>
                                  <a:lnTo>
                                    <a:pt x="433" y="388"/>
                                  </a:lnTo>
                                  <a:lnTo>
                                    <a:pt x="434" y="391"/>
                                  </a:lnTo>
                                  <a:lnTo>
                                    <a:pt x="435" y="393"/>
                                  </a:lnTo>
                                  <a:lnTo>
                                    <a:pt x="435" y="404"/>
                                  </a:lnTo>
                                  <a:lnTo>
                                    <a:pt x="436" y="406"/>
                                  </a:lnTo>
                                  <a:lnTo>
                                    <a:pt x="439" y="410"/>
                                  </a:lnTo>
                                  <a:lnTo>
                                    <a:pt x="443" y="412"/>
                                  </a:lnTo>
                                  <a:lnTo>
                                    <a:pt x="450" y="412"/>
                                  </a:lnTo>
                                  <a:lnTo>
                                    <a:pt x="453" y="411"/>
                                  </a:lnTo>
                                  <a:lnTo>
                                    <a:pt x="454" y="411"/>
                                  </a:lnTo>
                                  <a:lnTo>
                                    <a:pt x="455" y="411"/>
                                  </a:lnTo>
                                  <a:lnTo>
                                    <a:pt x="456" y="411"/>
                                  </a:lnTo>
                                  <a:lnTo>
                                    <a:pt x="476" y="405"/>
                                  </a:lnTo>
                                  <a:lnTo>
                                    <a:pt x="506" y="335"/>
                                  </a:lnTo>
                                  <a:lnTo>
                                    <a:pt x="506" y="316"/>
                                  </a:lnTo>
                                  <a:lnTo>
                                    <a:pt x="504" y="295"/>
                                  </a:lnTo>
                                  <a:lnTo>
                                    <a:pt x="483" y="236"/>
                                  </a:lnTo>
                                  <a:lnTo>
                                    <a:pt x="470" y="216"/>
                                  </a:lnTo>
                                  <a:lnTo>
                                    <a:pt x="468" y="21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9" name="Freeform 66"/>
                          <wps:cNvSpPr>
                            <a:spLocks/>
                          </wps:cNvSpPr>
                          <wps:spPr bwMode="auto">
                            <a:xfrm>
                              <a:off x="1081" y="167"/>
                              <a:ext cx="507" cy="412"/>
                            </a:xfrm>
                            <a:custGeom>
                              <a:avLst/>
                              <a:gdLst>
                                <a:gd name="T0" fmla="+- 0 1534 1081"/>
                                <a:gd name="T1" fmla="*/ T0 w 507"/>
                                <a:gd name="T2" fmla="+- 0 336 167"/>
                                <a:gd name="T3" fmla="*/ 336 h 412"/>
                                <a:gd name="T4" fmla="+- 0 1403 1081"/>
                                <a:gd name="T5" fmla="*/ T4 w 507"/>
                                <a:gd name="T6" fmla="+- 0 336 167"/>
                                <a:gd name="T7" fmla="*/ 336 h 412"/>
                                <a:gd name="T8" fmla="+- 0 1403 1081"/>
                                <a:gd name="T9" fmla="*/ T8 w 507"/>
                                <a:gd name="T10" fmla="+- 0 337 167"/>
                                <a:gd name="T11" fmla="*/ 337 h 412"/>
                                <a:gd name="T12" fmla="+- 0 1403 1081"/>
                                <a:gd name="T13" fmla="*/ T12 w 507"/>
                                <a:gd name="T14" fmla="+- 0 346 167"/>
                                <a:gd name="T15" fmla="*/ 346 h 412"/>
                                <a:gd name="T16" fmla="+- 0 1400 1081"/>
                                <a:gd name="T17" fmla="*/ T16 w 507"/>
                                <a:gd name="T18" fmla="+- 0 355 167"/>
                                <a:gd name="T19" fmla="*/ 355 h 412"/>
                                <a:gd name="T20" fmla="+- 0 1398 1081"/>
                                <a:gd name="T21" fmla="*/ T20 w 507"/>
                                <a:gd name="T22" fmla="+- 0 363 167"/>
                                <a:gd name="T23" fmla="*/ 363 h 412"/>
                                <a:gd name="T24" fmla="+- 0 1394 1081"/>
                                <a:gd name="T25" fmla="*/ T24 w 507"/>
                                <a:gd name="T26" fmla="+- 0 382 167"/>
                                <a:gd name="T27" fmla="*/ 382 h 412"/>
                                <a:gd name="T28" fmla="+- 0 1400 1081"/>
                                <a:gd name="T29" fmla="*/ T28 w 507"/>
                                <a:gd name="T30" fmla="+- 0 399 167"/>
                                <a:gd name="T31" fmla="*/ 399 h 412"/>
                                <a:gd name="T32" fmla="+- 0 1402 1081"/>
                                <a:gd name="T33" fmla="*/ T32 w 507"/>
                                <a:gd name="T34" fmla="+- 0 401 167"/>
                                <a:gd name="T35" fmla="*/ 401 h 412"/>
                                <a:gd name="T36" fmla="+- 0 1403 1081"/>
                                <a:gd name="T37" fmla="*/ T36 w 507"/>
                                <a:gd name="T38" fmla="+- 0 401 167"/>
                                <a:gd name="T39" fmla="*/ 401 h 412"/>
                                <a:gd name="T40" fmla="+- 0 1404 1081"/>
                                <a:gd name="T41" fmla="*/ T40 w 507"/>
                                <a:gd name="T42" fmla="+- 0 401 167"/>
                                <a:gd name="T43" fmla="*/ 401 h 412"/>
                                <a:gd name="T44" fmla="+- 0 1405 1081"/>
                                <a:gd name="T45" fmla="*/ T44 w 507"/>
                                <a:gd name="T46" fmla="+- 0 401 167"/>
                                <a:gd name="T47" fmla="*/ 401 h 412"/>
                                <a:gd name="T48" fmla="+- 0 1405 1081"/>
                                <a:gd name="T49" fmla="*/ T48 w 507"/>
                                <a:gd name="T50" fmla="+- 0 400 167"/>
                                <a:gd name="T51" fmla="*/ 400 h 412"/>
                                <a:gd name="T52" fmla="+- 0 1407 1081"/>
                                <a:gd name="T53" fmla="*/ T52 w 507"/>
                                <a:gd name="T54" fmla="+- 0 399 167"/>
                                <a:gd name="T55" fmla="*/ 399 h 412"/>
                                <a:gd name="T56" fmla="+- 0 1407 1081"/>
                                <a:gd name="T57" fmla="*/ T56 w 507"/>
                                <a:gd name="T58" fmla="+- 0 393 167"/>
                                <a:gd name="T59" fmla="*/ 393 h 412"/>
                                <a:gd name="T60" fmla="+- 0 1406 1081"/>
                                <a:gd name="T61" fmla="*/ T60 w 507"/>
                                <a:gd name="T62" fmla="+- 0 382 167"/>
                                <a:gd name="T63" fmla="*/ 382 h 412"/>
                                <a:gd name="T64" fmla="+- 0 1408 1081"/>
                                <a:gd name="T65" fmla="*/ T64 w 507"/>
                                <a:gd name="T66" fmla="+- 0 380 167"/>
                                <a:gd name="T67" fmla="*/ 380 h 412"/>
                                <a:gd name="T68" fmla="+- 0 1411 1081"/>
                                <a:gd name="T69" fmla="*/ T68 w 507"/>
                                <a:gd name="T70" fmla="+- 0 380 167"/>
                                <a:gd name="T71" fmla="*/ 380 h 412"/>
                                <a:gd name="T72" fmla="+- 0 1549 1081"/>
                                <a:gd name="T73" fmla="*/ T72 w 507"/>
                                <a:gd name="T74" fmla="+- 0 380 167"/>
                                <a:gd name="T75" fmla="*/ 380 h 412"/>
                                <a:gd name="T76" fmla="+- 0 1547 1081"/>
                                <a:gd name="T77" fmla="*/ T76 w 507"/>
                                <a:gd name="T78" fmla="+- 0 376 167"/>
                                <a:gd name="T79" fmla="*/ 376 h 412"/>
                                <a:gd name="T80" fmla="+- 0 1544 1081"/>
                                <a:gd name="T81" fmla="*/ T80 w 507"/>
                                <a:gd name="T82" fmla="+- 0 370 167"/>
                                <a:gd name="T83" fmla="*/ 370 h 412"/>
                                <a:gd name="T84" fmla="+- 0 1534 1081"/>
                                <a:gd name="T85" fmla="*/ T84 w 507"/>
                                <a:gd name="T86" fmla="+- 0 345 167"/>
                                <a:gd name="T87" fmla="*/ 345 h 412"/>
                                <a:gd name="T88" fmla="+- 0 1534 1081"/>
                                <a:gd name="T89" fmla="*/ T88 w 507"/>
                                <a:gd name="T90" fmla="+- 0 336 167"/>
                                <a:gd name="T91" fmla="*/ 336 h 4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507" h="412">
                                  <a:moveTo>
                                    <a:pt x="453" y="169"/>
                                  </a:moveTo>
                                  <a:lnTo>
                                    <a:pt x="322" y="169"/>
                                  </a:lnTo>
                                  <a:lnTo>
                                    <a:pt x="322" y="170"/>
                                  </a:lnTo>
                                  <a:lnTo>
                                    <a:pt x="322" y="179"/>
                                  </a:lnTo>
                                  <a:lnTo>
                                    <a:pt x="319" y="188"/>
                                  </a:lnTo>
                                  <a:lnTo>
                                    <a:pt x="317" y="196"/>
                                  </a:lnTo>
                                  <a:lnTo>
                                    <a:pt x="313" y="215"/>
                                  </a:lnTo>
                                  <a:lnTo>
                                    <a:pt x="319" y="232"/>
                                  </a:lnTo>
                                  <a:lnTo>
                                    <a:pt x="321" y="234"/>
                                  </a:lnTo>
                                  <a:lnTo>
                                    <a:pt x="322" y="234"/>
                                  </a:lnTo>
                                  <a:lnTo>
                                    <a:pt x="323" y="234"/>
                                  </a:lnTo>
                                  <a:lnTo>
                                    <a:pt x="324" y="234"/>
                                  </a:lnTo>
                                  <a:lnTo>
                                    <a:pt x="324" y="233"/>
                                  </a:lnTo>
                                  <a:lnTo>
                                    <a:pt x="326" y="232"/>
                                  </a:lnTo>
                                  <a:lnTo>
                                    <a:pt x="326" y="226"/>
                                  </a:lnTo>
                                  <a:lnTo>
                                    <a:pt x="325" y="215"/>
                                  </a:lnTo>
                                  <a:lnTo>
                                    <a:pt x="327" y="213"/>
                                  </a:lnTo>
                                  <a:lnTo>
                                    <a:pt x="330" y="213"/>
                                  </a:lnTo>
                                  <a:lnTo>
                                    <a:pt x="468" y="213"/>
                                  </a:lnTo>
                                  <a:lnTo>
                                    <a:pt x="466" y="209"/>
                                  </a:lnTo>
                                  <a:lnTo>
                                    <a:pt x="463" y="203"/>
                                  </a:lnTo>
                                  <a:lnTo>
                                    <a:pt x="453" y="178"/>
                                  </a:lnTo>
                                  <a:lnTo>
                                    <a:pt x="453" y="169"/>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 name="Freeform 67"/>
                          <wps:cNvSpPr>
                            <a:spLocks/>
                          </wps:cNvSpPr>
                          <wps:spPr bwMode="auto">
                            <a:xfrm>
                              <a:off x="1081" y="167"/>
                              <a:ext cx="507" cy="412"/>
                            </a:xfrm>
                            <a:custGeom>
                              <a:avLst/>
                              <a:gdLst>
                                <a:gd name="T0" fmla="+- 0 1514 1081"/>
                                <a:gd name="T1" fmla="*/ T0 w 507"/>
                                <a:gd name="T2" fmla="+- 0 296 167"/>
                                <a:gd name="T3" fmla="*/ 296 h 412"/>
                                <a:gd name="T4" fmla="+- 0 1376 1081"/>
                                <a:gd name="T5" fmla="*/ T4 w 507"/>
                                <a:gd name="T6" fmla="+- 0 296 167"/>
                                <a:gd name="T7" fmla="*/ 296 h 412"/>
                                <a:gd name="T8" fmla="+- 0 1393 1081"/>
                                <a:gd name="T9" fmla="*/ T8 w 507"/>
                                <a:gd name="T10" fmla="+- 0 296 167"/>
                                <a:gd name="T11" fmla="*/ 296 h 412"/>
                                <a:gd name="T12" fmla="+- 0 1402 1081"/>
                                <a:gd name="T13" fmla="*/ T12 w 507"/>
                                <a:gd name="T14" fmla="+- 0 315 167"/>
                                <a:gd name="T15" fmla="*/ 315 h 412"/>
                                <a:gd name="T16" fmla="+- 0 1402 1081"/>
                                <a:gd name="T17" fmla="*/ T16 w 507"/>
                                <a:gd name="T18" fmla="+- 0 326 167"/>
                                <a:gd name="T19" fmla="*/ 326 h 412"/>
                                <a:gd name="T20" fmla="+- 0 1403 1081"/>
                                <a:gd name="T21" fmla="*/ T20 w 507"/>
                                <a:gd name="T22" fmla="+- 0 329 167"/>
                                <a:gd name="T23" fmla="*/ 329 h 412"/>
                                <a:gd name="T24" fmla="+- 0 1403 1081"/>
                                <a:gd name="T25" fmla="*/ T24 w 507"/>
                                <a:gd name="T26" fmla="+- 0 337 167"/>
                                <a:gd name="T27" fmla="*/ 337 h 412"/>
                                <a:gd name="T28" fmla="+- 0 1403 1081"/>
                                <a:gd name="T29" fmla="*/ T28 w 507"/>
                                <a:gd name="T30" fmla="+- 0 336 167"/>
                                <a:gd name="T31" fmla="*/ 336 h 412"/>
                                <a:gd name="T32" fmla="+- 0 1534 1081"/>
                                <a:gd name="T33" fmla="*/ T32 w 507"/>
                                <a:gd name="T34" fmla="+- 0 336 167"/>
                                <a:gd name="T35" fmla="*/ 336 h 412"/>
                                <a:gd name="T36" fmla="+- 0 1534 1081"/>
                                <a:gd name="T37" fmla="*/ T36 w 507"/>
                                <a:gd name="T38" fmla="+- 0 329 167"/>
                                <a:gd name="T39" fmla="*/ 329 h 412"/>
                                <a:gd name="T40" fmla="+- 0 1535 1081"/>
                                <a:gd name="T41" fmla="*/ T40 w 507"/>
                                <a:gd name="T42" fmla="+- 0 324 167"/>
                                <a:gd name="T43" fmla="*/ 324 h 412"/>
                                <a:gd name="T44" fmla="+- 0 1535 1081"/>
                                <a:gd name="T45" fmla="*/ T44 w 507"/>
                                <a:gd name="T46" fmla="+- 0 323 167"/>
                                <a:gd name="T47" fmla="*/ 323 h 412"/>
                                <a:gd name="T48" fmla="+- 0 1535 1081"/>
                                <a:gd name="T49" fmla="*/ T48 w 507"/>
                                <a:gd name="T50" fmla="+- 0 323 167"/>
                                <a:gd name="T51" fmla="*/ 323 h 412"/>
                                <a:gd name="T52" fmla="+- 0 1534 1081"/>
                                <a:gd name="T53" fmla="*/ T52 w 507"/>
                                <a:gd name="T54" fmla="+- 0 322 167"/>
                                <a:gd name="T55" fmla="*/ 322 h 412"/>
                                <a:gd name="T56" fmla="+- 0 1522 1081"/>
                                <a:gd name="T57" fmla="*/ T56 w 507"/>
                                <a:gd name="T58" fmla="+- 0 307 167"/>
                                <a:gd name="T59" fmla="*/ 307 h 412"/>
                                <a:gd name="T60" fmla="+- 0 1514 1081"/>
                                <a:gd name="T61" fmla="*/ T60 w 507"/>
                                <a:gd name="T62" fmla="+- 0 296 167"/>
                                <a:gd name="T63" fmla="*/ 296 h 4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507" h="412">
                                  <a:moveTo>
                                    <a:pt x="433" y="129"/>
                                  </a:moveTo>
                                  <a:lnTo>
                                    <a:pt x="295" y="129"/>
                                  </a:lnTo>
                                  <a:lnTo>
                                    <a:pt x="312" y="129"/>
                                  </a:lnTo>
                                  <a:lnTo>
                                    <a:pt x="321" y="148"/>
                                  </a:lnTo>
                                  <a:lnTo>
                                    <a:pt x="321" y="159"/>
                                  </a:lnTo>
                                  <a:lnTo>
                                    <a:pt x="322" y="162"/>
                                  </a:lnTo>
                                  <a:lnTo>
                                    <a:pt x="322" y="170"/>
                                  </a:lnTo>
                                  <a:lnTo>
                                    <a:pt x="322" y="169"/>
                                  </a:lnTo>
                                  <a:lnTo>
                                    <a:pt x="453" y="169"/>
                                  </a:lnTo>
                                  <a:lnTo>
                                    <a:pt x="453" y="162"/>
                                  </a:lnTo>
                                  <a:lnTo>
                                    <a:pt x="454" y="157"/>
                                  </a:lnTo>
                                  <a:lnTo>
                                    <a:pt x="454" y="156"/>
                                  </a:lnTo>
                                  <a:lnTo>
                                    <a:pt x="453" y="155"/>
                                  </a:lnTo>
                                  <a:lnTo>
                                    <a:pt x="441" y="140"/>
                                  </a:lnTo>
                                  <a:lnTo>
                                    <a:pt x="433" y="129"/>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1" name="Freeform 68"/>
                          <wps:cNvSpPr>
                            <a:spLocks/>
                          </wps:cNvSpPr>
                          <wps:spPr bwMode="auto">
                            <a:xfrm>
                              <a:off x="1081" y="167"/>
                              <a:ext cx="507" cy="412"/>
                            </a:xfrm>
                            <a:custGeom>
                              <a:avLst/>
                              <a:gdLst>
                                <a:gd name="T0" fmla="+- 0 1485 1081"/>
                                <a:gd name="T1" fmla="*/ T0 w 507"/>
                                <a:gd name="T2" fmla="+- 0 236 167"/>
                                <a:gd name="T3" fmla="*/ 236 h 412"/>
                                <a:gd name="T4" fmla="+- 0 1313 1081"/>
                                <a:gd name="T5" fmla="*/ T4 w 507"/>
                                <a:gd name="T6" fmla="+- 0 236 167"/>
                                <a:gd name="T7" fmla="*/ 236 h 412"/>
                                <a:gd name="T8" fmla="+- 0 1322 1081"/>
                                <a:gd name="T9" fmla="*/ T8 w 507"/>
                                <a:gd name="T10" fmla="+- 0 240 167"/>
                                <a:gd name="T11" fmla="*/ 240 h 412"/>
                                <a:gd name="T12" fmla="+- 0 1341 1081"/>
                                <a:gd name="T13" fmla="*/ T12 w 507"/>
                                <a:gd name="T14" fmla="+- 0 251 167"/>
                                <a:gd name="T15" fmla="*/ 251 h 412"/>
                                <a:gd name="T16" fmla="+- 0 1352 1081"/>
                                <a:gd name="T17" fmla="*/ T16 w 507"/>
                                <a:gd name="T18" fmla="+- 0 268 167"/>
                                <a:gd name="T19" fmla="*/ 268 h 412"/>
                                <a:gd name="T20" fmla="+- 0 1354 1081"/>
                                <a:gd name="T21" fmla="*/ T20 w 507"/>
                                <a:gd name="T22" fmla="+- 0 272 167"/>
                                <a:gd name="T23" fmla="*/ 272 h 412"/>
                                <a:gd name="T24" fmla="+- 0 1357 1081"/>
                                <a:gd name="T25" fmla="*/ T24 w 507"/>
                                <a:gd name="T26" fmla="+- 0 275 167"/>
                                <a:gd name="T27" fmla="*/ 275 h 412"/>
                                <a:gd name="T28" fmla="+- 0 1360 1081"/>
                                <a:gd name="T29" fmla="*/ T28 w 507"/>
                                <a:gd name="T30" fmla="+- 0 279 167"/>
                                <a:gd name="T31" fmla="*/ 279 h 412"/>
                                <a:gd name="T32" fmla="+- 0 1360 1081"/>
                                <a:gd name="T33" fmla="*/ T32 w 507"/>
                                <a:gd name="T34" fmla="+- 0 280 167"/>
                                <a:gd name="T35" fmla="*/ 280 h 412"/>
                                <a:gd name="T36" fmla="+- 0 1361 1081"/>
                                <a:gd name="T37" fmla="*/ T36 w 507"/>
                                <a:gd name="T38" fmla="+- 0 281 167"/>
                                <a:gd name="T39" fmla="*/ 281 h 412"/>
                                <a:gd name="T40" fmla="+- 0 1362 1081"/>
                                <a:gd name="T41" fmla="*/ T40 w 507"/>
                                <a:gd name="T42" fmla="+- 0 281 167"/>
                                <a:gd name="T43" fmla="*/ 281 h 412"/>
                                <a:gd name="T44" fmla="+- 0 1364 1081"/>
                                <a:gd name="T45" fmla="*/ T44 w 507"/>
                                <a:gd name="T46" fmla="+- 0 284 167"/>
                                <a:gd name="T47" fmla="*/ 284 h 412"/>
                                <a:gd name="T48" fmla="+- 0 1375 1081"/>
                                <a:gd name="T49" fmla="*/ T48 w 507"/>
                                <a:gd name="T50" fmla="+- 0 296 167"/>
                                <a:gd name="T51" fmla="*/ 296 h 412"/>
                                <a:gd name="T52" fmla="+- 0 1376 1081"/>
                                <a:gd name="T53" fmla="*/ T52 w 507"/>
                                <a:gd name="T54" fmla="+- 0 296 167"/>
                                <a:gd name="T55" fmla="*/ 296 h 412"/>
                                <a:gd name="T56" fmla="+- 0 1514 1081"/>
                                <a:gd name="T57" fmla="*/ T56 w 507"/>
                                <a:gd name="T58" fmla="+- 0 296 167"/>
                                <a:gd name="T59" fmla="*/ 296 h 412"/>
                                <a:gd name="T60" fmla="+- 0 1510 1081"/>
                                <a:gd name="T61" fmla="*/ T60 w 507"/>
                                <a:gd name="T62" fmla="+- 0 290 167"/>
                                <a:gd name="T63" fmla="*/ 290 h 412"/>
                                <a:gd name="T64" fmla="+- 0 1509 1081"/>
                                <a:gd name="T65" fmla="*/ T64 w 507"/>
                                <a:gd name="T66" fmla="+- 0 290 167"/>
                                <a:gd name="T67" fmla="*/ 290 h 412"/>
                                <a:gd name="T68" fmla="+- 0 1510 1081"/>
                                <a:gd name="T69" fmla="*/ T68 w 507"/>
                                <a:gd name="T70" fmla="+- 0 290 167"/>
                                <a:gd name="T71" fmla="*/ 290 h 412"/>
                                <a:gd name="T72" fmla="+- 0 1506 1081"/>
                                <a:gd name="T73" fmla="*/ T72 w 507"/>
                                <a:gd name="T74" fmla="+- 0 283 167"/>
                                <a:gd name="T75" fmla="*/ 283 h 412"/>
                                <a:gd name="T76" fmla="+- 0 1502 1081"/>
                                <a:gd name="T77" fmla="*/ T76 w 507"/>
                                <a:gd name="T78" fmla="+- 0 277 167"/>
                                <a:gd name="T79" fmla="*/ 277 h 412"/>
                                <a:gd name="T80" fmla="+- 0 1499 1081"/>
                                <a:gd name="T81" fmla="*/ T80 w 507"/>
                                <a:gd name="T82" fmla="+- 0 271 167"/>
                                <a:gd name="T83" fmla="*/ 271 h 412"/>
                                <a:gd name="T84" fmla="+- 0 1491 1081"/>
                                <a:gd name="T85" fmla="*/ T84 w 507"/>
                                <a:gd name="T86" fmla="+- 0 252 167"/>
                                <a:gd name="T87" fmla="*/ 252 h 412"/>
                                <a:gd name="T88" fmla="+- 0 1485 1081"/>
                                <a:gd name="T89" fmla="*/ T88 w 507"/>
                                <a:gd name="T90" fmla="+- 0 236 167"/>
                                <a:gd name="T91" fmla="*/ 236 h 4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507" h="412">
                                  <a:moveTo>
                                    <a:pt x="404" y="69"/>
                                  </a:moveTo>
                                  <a:lnTo>
                                    <a:pt x="232" y="69"/>
                                  </a:lnTo>
                                  <a:lnTo>
                                    <a:pt x="241" y="73"/>
                                  </a:lnTo>
                                  <a:lnTo>
                                    <a:pt x="260" y="84"/>
                                  </a:lnTo>
                                  <a:lnTo>
                                    <a:pt x="271" y="101"/>
                                  </a:lnTo>
                                  <a:lnTo>
                                    <a:pt x="273" y="105"/>
                                  </a:lnTo>
                                  <a:lnTo>
                                    <a:pt x="276" y="108"/>
                                  </a:lnTo>
                                  <a:lnTo>
                                    <a:pt x="279" y="112"/>
                                  </a:lnTo>
                                  <a:lnTo>
                                    <a:pt x="279" y="113"/>
                                  </a:lnTo>
                                  <a:lnTo>
                                    <a:pt x="280" y="114"/>
                                  </a:lnTo>
                                  <a:lnTo>
                                    <a:pt x="281" y="114"/>
                                  </a:lnTo>
                                  <a:lnTo>
                                    <a:pt x="283" y="117"/>
                                  </a:lnTo>
                                  <a:lnTo>
                                    <a:pt x="294" y="129"/>
                                  </a:lnTo>
                                  <a:lnTo>
                                    <a:pt x="295" y="129"/>
                                  </a:lnTo>
                                  <a:lnTo>
                                    <a:pt x="433" y="129"/>
                                  </a:lnTo>
                                  <a:lnTo>
                                    <a:pt x="429" y="123"/>
                                  </a:lnTo>
                                  <a:lnTo>
                                    <a:pt x="428" y="123"/>
                                  </a:lnTo>
                                  <a:lnTo>
                                    <a:pt x="429" y="123"/>
                                  </a:lnTo>
                                  <a:lnTo>
                                    <a:pt x="425" y="116"/>
                                  </a:lnTo>
                                  <a:lnTo>
                                    <a:pt x="421" y="110"/>
                                  </a:lnTo>
                                  <a:lnTo>
                                    <a:pt x="418" y="104"/>
                                  </a:lnTo>
                                  <a:lnTo>
                                    <a:pt x="410" y="85"/>
                                  </a:lnTo>
                                  <a:lnTo>
                                    <a:pt x="404" y="69"/>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2" name="Freeform 69"/>
                          <wps:cNvSpPr>
                            <a:spLocks/>
                          </wps:cNvSpPr>
                          <wps:spPr bwMode="auto">
                            <a:xfrm>
                              <a:off x="1081" y="167"/>
                              <a:ext cx="507" cy="412"/>
                            </a:xfrm>
                            <a:custGeom>
                              <a:avLst/>
                              <a:gdLst>
                                <a:gd name="T0" fmla="+- 0 1510 1081"/>
                                <a:gd name="T1" fmla="*/ T0 w 507"/>
                                <a:gd name="T2" fmla="+- 0 290 167"/>
                                <a:gd name="T3" fmla="*/ 290 h 412"/>
                                <a:gd name="T4" fmla="+- 0 1509 1081"/>
                                <a:gd name="T5" fmla="*/ T4 w 507"/>
                                <a:gd name="T6" fmla="+- 0 290 167"/>
                                <a:gd name="T7" fmla="*/ 290 h 412"/>
                                <a:gd name="T8" fmla="+- 0 1510 1081"/>
                                <a:gd name="T9" fmla="*/ T8 w 507"/>
                                <a:gd name="T10" fmla="+- 0 290 167"/>
                                <a:gd name="T11" fmla="*/ 290 h 412"/>
                              </a:gdLst>
                              <a:ahLst/>
                              <a:cxnLst>
                                <a:cxn ang="0">
                                  <a:pos x="T1" y="T3"/>
                                </a:cxn>
                                <a:cxn ang="0">
                                  <a:pos x="T5" y="T7"/>
                                </a:cxn>
                                <a:cxn ang="0">
                                  <a:pos x="T9" y="T11"/>
                                </a:cxn>
                              </a:cxnLst>
                              <a:rect l="0" t="0" r="r" b="b"/>
                              <a:pathLst>
                                <a:path w="507" h="412">
                                  <a:moveTo>
                                    <a:pt x="429" y="123"/>
                                  </a:moveTo>
                                  <a:lnTo>
                                    <a:pt x="428" y="123"/>
                                  </a:lnTo>
                                  <a:lnTo>
                                    <a:pt x="429" y="12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3" name="Freeform 70"/>
                          <wps:cNvSpPr>
                            <a:spLocks/>
                          </wps:cNvSpPr>
                          <wps:spPr bwMode="auto">
                            <a:xfrm>
                              <a:off x="1081" y="167"/>
                              <a:ext cx="507" cy="412"/>
                            </a:xfrm>
                            <a:custGeom>
                              <a:avLst/>
                              <a:gdLst>
                                <a:gd name="T0" fmla="+- 0 1480 1081"/>
                                <a:gd name="T1" fmla="*/ T0 w 507"/>
                                <a:gd name="T2" fmla="+- 0 217 167"/>
                                <a:gd name="T3" fmla="*/ 217 h 412"/>
                                <a:gd name="T4" fmla="+- 0 1138 1081"/>
                                <a:gd name="T5" fmla="*/ T4 w 507"/>
                                <a:gd name="T6" fmla="+- 0 217 167"/>
                                <a:gd name="T7" fmla="*/ 217 h 412"/>
                                <a:gd name="T8" fmla="+- 0 1163 1081"/>
                                <a:gd name="T9" fmla="*/ T8 w 507"/>
                                <a:gd name="T10" fmla="+- 0 219 167"/>
                                <a:gd name="T11" fmla="*/ 219 h 412"/>
                                <a:gd name="T12" fmla="+- 0 1185 1081"/>
                                <a:gd name="T13" fmla="*/ T12 w 507"/>
                                <a:gd name="T14" fmla="+- 0 226 167"/>
                                <a:gd name="T15" fmla="*/ 226 h 412"/>
                                <a:gd name="T16" fmla="+- 0 1203 1081"/>
                                <a:gd name="T17" fmla="*/ T16 w 507"/>
                                <a:gd name="T18" fmla="+- 0 236 167"/>
                                <a:gd name="T19" fmla="*/ 236 h 412"/>
                                <a:gd name="T20" fmla="+- 0 1218 1081"/>
                                <a:gd name="T21" fmla="*/ T20 w 507"/>
                                <a:gd name="T22" fmla="+- 0 249 167"/>
                                <a:gd name="T23" fmla="*/ 249 h 412"/>
                                <a:gd name="T24" fmla="+- 0 1230 1081"/>
                                <a:gd name="T25" fmla="*/ T24 w 507"/>
                                <a:gd name="T26" fmla="+- 0 262 167"/>
                                <a:gd name="T27" fmla="*/ 262 h 412"/>
                                <a:gd name="T28" fmla="+- 0 1234 1081"/>
                                <a:gd name="T29" fmla="*/ T28 w 507"/>
                                <a:gd name="T30" fmla="+- 0 268 167"/>
                                <a:gd name="T31" fmla="*/ 268 h 412"/>
                                <a:gd name="T32" fmla="+- 0 1235 1081"/>
                                <a:gd name="T33" fmla="*/ T32 w 507"/>
                                <a:gd name="T34" fmla="+- 0 268 167"/>
                                <a:gd name="T35" fmla="*/ 268 h 412"/>
                                <a:gd name="T36" fmla="+- 0 1289 1081"/>
                                <a:gd name="T37" fmla="*/ T36 w 507"/>
                                <a:gd name="T38" fmla="+- 0 242 167"/>
                                <a:gd name="T39" fmla="*/ 242 h 412"/>
                                <a:gd name="T40" fmla="+- 0 1296 1081"/>
                                <a:gd name="T41" fmla="*/ T40 w 507"/>
                                <a:gd name="T42" fmla="+- 0 237 167"/>
                                <a:gd name="T43" fmla="*/ 237 h 412"/>
                                <a:gd name="T44" fmla="+- 0 1313 1081"/>
                                <a:gd name="T45" fmla="*/ T44 w 507"/>
                                <a:gd name="T46" fmla="+- 0 236 167"/>
                                <a:gd name="T47" fmla="*/ 236 h 412"/>
                                <a:gd name="T48" fmla="+- 0 1485 1081"/>
                                <a:gd name="T49" fmla="*/ T48 w 507"/>
                                <a:gd name="T50" fmla="+- 0 236 167"/>
                                <a:gd name="T51" fmla="*/ 236 h 412"/>
                                <a:gd name="T52" fmla="+- 0 1484 1081"/>
                                <a:gd name="T53" fmla="*/ T52 w 507"/>
                                <a:gd name="T54" fmla="+- 0 234 167"/>
                                <a:gd name="T55" fmla="*/ 234 h 412"/>
                                <a:gd name="T56" fmla="+- 0 1482 1081"/>
                                <a:gd name="T57" fmla="*/ T56 w 507"/>
                                <a:gd name="T58" fmla="+- 0 224 167"/>
                                <a:gd name="T59" fmla="*/ 224 h 412"/>
                                <a:gd name="T60" fmla="+- 0 1480 1081"/>
                                <a:gd name="T61" fmla="*/ T60 w 507"/>
                                <a:gd name="T62" fmla="+- 0 221 167"/>
                                <a:gd name="T63" fmla="*/ 221 h 412"/>
                                <a:gd name="T64" fmla="+- 0 1480 1081"/>
                                <a:gd name="T65" fmla="*/ T64 w 507"/>
                                <a:gd name="T66" fmla="+- 0 218 167"/>
                                <a:gd name="T67" fmla="*/ 218 h 412"/>
                                <a:gd name="T68" fmla="+- 0 1480 1081"/>
                                <a:gd name="T69" fmla="*/ T68 w 507"/>
                                <a:gd name="T70" fmla="+- 0 217 167"/>
                                <a:gd name="T71" fmla="*/ 217 h 4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507" h="412">
                                  <a:moveTo>
                                    <a:pt x="399" y="50"/>
                                  </a:moveTo>
                                  <a:lnTo>
                                    <a:pt x="57" y="50"/>
                                  </a:lnTo>
                                  <a:lnTo>
                                    <a:pt x="82" y="52"/>
                                  </a:lnTo>
                                  <a:lnTo>
                                    <a:pt x="104" y="59"/>
                                  </a:lnTo>
                                  <a:lnTo>
                                    <a:pt x="122" y="69"/>
                                  </a:lnTo>
                                  <a:lnTo>
                                    <a:pt x="137" y="82"/>
                                  </a:lnTo>
                                  <a:lnTo>
                                    <a:pt x="149" y="95"/>
                                  </a:lnTo>
                                  <a:lnTo>
                                    <a:pt x="153" y="101"/>
                                  </a:lnTo>
                                  <a:lnTo>
                                    <a:pt x="154" y="101"/>
                                  </a:lnTo>
                                  <a:lnTo>
                                    <a:pt x="208" y="75"/>
                                  </a:lnTo>
                                  <a:lnTo>
                                    <a:pt x="215" y="70"/>
                                  </a:lnTo>
                                  <a:lnTo>
                                    <a:pt x="232" y="69"/>
                                  </a:lnTo>
                                  <a:lnTo>
                                    <a:pt x="404" y="69"/>
                                  </a:lnTo>
                                  <a:lnTo>
                                    <a:pt x="403" y="67"/>
                                  </a:lnTo>
                                  <a:lnTo>
                                    <a:pt x="401" y="57"/>
                                  </a:lnTo>
                                  <a:lnTo>
                                    <a:pt x="399" y="54"/>
                                  </a:lnTo>
                                  <a:lnTo>
                                    <a:pt x="399" y="51"/>
                                  </a:lnTo>
                                  <a:lnTo>
                                    <a:pt x="399" y="5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4" name="Freeform 71"/>
                          <wps:cNvSpPr>
                            <a:spLocks/>
                          </wps:cNvSpPr>
                          <wps:spPr bwMode="auto">
                            <a:xfrm>
                              <a:off x="1081" y="167"/>
                              <a:ext cx="507" cy="412"/>
                            </a:xfrm>
                            <a:custGeom>
                              <a:avLst/>
                              <a:gdLst>
                                <a:gd name="T0" fmla="+- 0 1248 1081"/>
                                <a:gd name="T1" fmla="*/ T0 w 507"/>
                                <a:gd name="T2" fmla="+- 0 167 167"/>
                                <a:gd name="T3" fmla="*/ 167 h 412"/>
                                <a:gd name="T4" fmla="+- 0 1099 1081"/>
                                <a:gd name="T5" fmla="*/ T4 w 507"/>
                                <a:gd name="T6" fmla="+- 0 171 167"/>
                                <a:gd name="T7" fmla="*/ 171 h 412"/>
                                <a:gd name="T8" fmla="+- 0 1087 1081"/>
                                <a:gd name="T9" fmla="*/ T8 w 507"/>
                                <a:gd name="T10" fmla="+- 0 172 167"/>
                                <a:gd name="T11" fmla="*/ 172 h 412"/>
                                <a:gd name="T12" fmla="+- 0 1086 1081"/>
                                <a:gd name="T13" fmla="*/ T12 w 507"/>
                                <a:gd name="T14" fmla="+- 0 173 167"/>
                                <a:gd name="T15" fmla="*/ 173 h 412"/>
                                <a:gd name="T16" fmla="+- 0 1081 1081"/>
                                <a:gd name="T17" fmla="*/ T16 w 507"/>
                                <a:gd name="T18" fmla="+- 0 185 167"/>
                                <a:gd name="T19" fmla="*/ 185 h 412"/>
                                <a:gd name="T20" fmla="+- 0 1085 1081"/>
                                <a:gd name="T21" fmla="*/ T20 w 507"/>
                                <a:gd name="T22" fmla="+- 0 190 167"/>
                                <a:gd name="T23" fmla="*/ 190 h 412"/>
                                <a:gd name="T24" fmla="+- 0 1090 1081"/>
                                <a:gd name="T25" fmla="*/ T24 w 507"/>
                                <a:gd name="T26" fmla="+- 0 194 167"/>
                                <a:gd name="T27" fmla="*/ 194 h 412"/>
                                <a:gd name="T28" fmla="+- 0 1098 1081"/>
                                <a:gd name="T29" fmla="*/ T28 w 507"/>
                                <a:gd name="T30" fmla="+- 0 200 167"/>
                                <a:gd name="T31" fmla="*/ 200 h 412"/>
                                <a:gd name="T32" fmla="+- 0 1101 1081"/>
                                <a:gd name="T33" fmla="*/ T32 w 507"/>
                                <a:gd name="T34" fmla="+- 0 208 167"/>
                                <a:gd name="T35" fmla="*/ 208 h 412"/>
                                <a:gd name="T36" fmla="+- 0 1101 1081"/>
                                <a:gd name="T37" fmla="*/ T36 w 507"/>
                                <a:gd name="T38" fmla="+- 0 212 167"/>
                                <a:gd name="T39" fmla="*/ 212 h 412"/>
                                <a:gd name="T40" fmla="+- 0 1100 1081"/>
                                <a:gd name="T41" fmla="*/ T40 w 507"/>
                                <a:gd name="T42" fmla="+- 0 216 167"/>
                                <a:gd name="T43" fmla="*/ 216 h 412"/>
                                <a:gd name="T44" fmla="+- 0 1100 1081"/>
                                <a:gd name="T45" fmla="*/ T44 w 507"/>
                                <a:gd name="T46" fmla="+- 0 223 167"/>
                                <a:gd name="T47" fmla="*/ 223 h 412"/>
                                <a:gd name="T48" fmla="+- 0 1099 1081"/>
                                <a:gd name="T49" fmla="*/ T48 w 507"/>
                                <a:gd name="T50" fmla="+- 0 224 167"/>
                                <a:gd name="T51" fmla="*/ 224 h 412"/>
                                <a:gd name="T52" fmla="+- 0 1113 1081"/>
                                <a:gd name="T53" fmla="*/ T52 w 507"/>
                                <a:gd name="T54" fmla="+- 0 220 167"/>
                                <a:gd name="T55" fmla="*/ 220 h 412"/>
                                <a:gd name="T56" fmla="+- 0 1126 1081"/>
                                <a:gd name="T57" fmla="*/ T56 w 507"/>
                                <a:gd name="T58" fmla="+- 0 217 167"/>
                                <a:gd name="T59" fmla="*/ 217 h 412"/>
                                <a:gd name="T60" fmla="+- 0 1138 1081"/>
                                <a:gd name="T61" fmla="*/ T60 w 507"/>
                                <a:gd name="T62" fmla="+- 0 217 167"/>
                                <a:gd name="T63" fmla="*/ 217 h 412"/>
                                <a:gd name="T64" fmla="+- 0 1480 1081"/>
                                <a:gd name="T65" fmla="*/ T64 w 507"/>
                                <a:gd name="T66" fmla="+- 0 217 167"/>
                                <a:gd name="T67" fmla="*/ 217 h 412"/>
                                <a:gd name="T68" fmla="+- 0 1477 1081"/>
                                <a:gd name="T69" fmla="*/ T68 w 507"/>
                                <a:gd name="T70" fmla="+- 0 205 167"/>
                                <a:gd name="T71" fmla="*/ 205 h 412"/>
                                <a:gd name="T72" fmla="+- 0 1433 1081"/>
                                <a:gd name="T73" fmla="*/ T72 w 507"/>
                                <a:gd name="T74" fmla="+- 0 205 167"/>
                                <a:gd name="T75" fmla="*/ 205 h 412"/>
                                <a:gd name="T76" fmla="+- 0 1424 1081"/>
                                <a:gd name="T77" fmla="*/ T76 w 507"/>
                                <a:gd name="T78" fmla="+- 0 205 167"/>
                                <a:gd name="T79" fmla="*/ 205 h 412"/>
                                <a:gd name="T80" fmla="+- 0 1423 1081"/>
                                <a:gd name="T81" fmla="*/ T80 w 507"/>
                                <a:gd name="T82" fmla="+- 0 192 167"/>
                                <a:gd name="T83" fmla="*/ 192 h 412"/>
                                <a:gd name="T84" fmla="+- 0 1422 1081"/>
                                <a:gd name="T85" fmla="*/ T84 w 507"/>
                                <a:gd name="T86" fmla="+- 0 192 167"/>
                                <a:gd name="T87" fmla="*/ 192 h 412"/>
                                <a:gd name="T88" fmla="+- 0 1396 1081"/>
                                <a:gd name="T89" fmla="*/ T88 w 507"/>
                                <a:gd name="T90" fmla="+- 0 191 167"/>
                                <a:gd name="T91" fmla="*/ 191 h 412"/>
                                <a:gd name="T92" fmla="+- 0 1395 1081"/>
                                <a:gd name="T93" fmla="*/ T92 w 507"/>
                                <a:gd name="T94" fmla="+- 0 191 167"/>
                                <a:gd name="T95" fmla="*/ 191 h 412"/>
                                <a:gd name="T96" fmla="+- 0 1257 1081"/>
                                <a:gd name="T97" fmla="*/ T96 w 507"/>
                                <a:gd name="T98" fmla="+- 0 188 167"/>
                                <a:gd name="T99" fmla="*/ 188 h 412"/>
                                <a:gd name="T100" fmla="+- 0 1249 1081"/>
                                <a:gd name="T101" fmla="*/ T100 w 507"/>
                                <a:gd name="T102" fmla="+- 0 168 167"/>
                                <a:gd name="T103" fmla="*/ 168 h 412"/>
                                <a:gd name="T104" fmla="+- 0 1248 1081"/>
                                <a:gd name="T105" fmla="*/ T104 w 507"/>
                                <a:gd name="T106" fmla="+- 0 167 167"/>
                                <a:gd name="T107" fmla="*/ 167 h 4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Lst>
                              <a:rect l="0" t="0" r="r" b="b"/>
                              <a:pathLst>
                                <a:path w="507" h="412">
                                  <a:moveTo>
                                    <a:pt x="167" y="0"/>
                                  </a:moveTo>
                                  <a:lnTo>
                                    <a:pt x="18" y="4"/>
                                  </a:lnTo>
                                  <a:lnTo>
                                    <a:pt x="6" y="5"/>
                                  </a:lnTo>
                                  <a:lnTo>
                                    <a:pt x="5" y="6"/>
                                  </a:lnTo>
                                  <a:lnTo>
                                    <a:pt x="0" y="18"/>
                                  </a:lnTo>
                                  <a:lnTo>
                                    <a:pt x="4" y="23"/>
                                  </a:lnTo>
                                  <a:lnTo>
                                    <a:pt x="9" y="27"/>
                                  </a:lnTo>
                                  <a:lnTo>
                                    <a:pt x="17" y="33"/>
                                  </a:lnTo>
                                  <a:lnTo>
                                    <a:pt x="20" y="41"/>
                                  </a:lnTo>
                                  <a:lnTo>
                                    <a:pt x="20" y="45"/>
                                  </a:lnTo>
                                  <a:lnTo>
                                    <a:pt x="19" y="49"/>
                                  </a:lnTo>
                                  <a:lnTo>
                                    <a:pt x="19" y="56"/>
                                  </a:lnTo>
                                  <a:lnTo>
                                    <a:pt x="18" y="57"/>
                                  </a:lnTo>
                                  <a:lnTo>
                                    <a:pt x="32" y="53"/>
                                  </a:lnTo>
                                  <a:lnTo>
                                    <a:pt x="45" y="50"/>
                                  </a:lnTo>
                                  <a:lnTo>
                                    <a:pt x="57" y="50"/>
                                  </a:lnTo>
                                  <a:lnTo>
                                    <a:pt x="399" y="50"/>
                                  </a:lnTo>
                                  <a:lnTo>
                                    <a:pt x="396" y="38"/>
                                  </a:lnTo>
                                  <a:lnTo>
                                    <a:pt x="352" y="38"/>
                                  </a:lnTo>
                                  <a:lnTo>
                                    <a:pt x="343" y="38"/>
                                  </a:lnTo>
                                  <a:lnTo>
                                    <a:pt x="342" y="25"/>
                                  </a:lnTo>
                                  <a:lnTo>
                                    <a:pt x="341" y="25"/>
                                  </a:lnTo>
                                  <a:lnTo>
                                    <a:pt x="315" y="24"/>
                                  </a:lnTo>
                                  <a:lnTo>
                                    <a:pt x="314" y="24"/>
                                  </a:lnTo>
                                  <a:lnTo>
                                    <a:pt x="176" y="21"/>
                                  </a:lnTo>
                                  <a:lnTo>
                                    <a:pt x="168" y="1"/>
                                  </a:lnTo>
                                  <a:lnTo>
                                    <a:pt x="167"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5" name="Freeform 72"/>
                          <wps:cNvSpPr>
                            <a:spLocks/>
                          </wps:cNvSpPr>
                          <wps:spPr bwMode="auto">
                            <a:xfrm>
                              <a:off x="1081" y="167"/>
                              <a:ext cx="507" cy="412"/>
                            </a:xfrm>
                            <a:custGeom>
                              <a:avLst/>
                              <a:gdLst>
                                <a:gd name="T0" fmla="+- 0 1432 1081"/>
                                <a:gd name="T1" fmla="*/ T0 w 507"/>
                                <a:gd name="T2" fmla="+- 0 171 167"/>
                                <a:gd name="T3" fmla="*/ 171 h 412"/>
                                <a:gd name="T4" fmla="+- 0 1430 1081"/>
                                <a:gd name="T5" fmla="*/ T4 w 507"/>
                                <a:gd name="T6" fmla="+- 0 171 167"/>
                                <a:gd name="T7" fmla="*/ 171 h 412"/>
                                <a:gd name="T8" fmla="+- 0 1429 1081"/>
                                <a:gd name="T9" fmla="*/ T8 w 507"/>
                                <a:gd name="T10" fmla="+- 0 172 167"/>
                                <a:gd name="T11" fmla="*/ 172 h 412"/>
                                <a:gd name="T12" fmla="+- 0 1429 1081"/>
                                <a:gd name="T13" fmla="*/ T12 w 507"/>
                                <a:gd name="T14" fmla="+- 0 173 167"/>
                                <a:gd name="T15" fmla="*/ 173 h 412"/>
                                <a:gd name="T16" fmla="+- 0 1433 1081"/>
                                <a:gd name="T17" fmla="*/ T16 w 507"/>
                                <a:gd name="T18" fmla="+- 0 205 167"/>
                                <a:gd name="T19" fmla="*/ 205 h 412"/>
                                <a:gd name="T20" fmla="+- 0 1477 1081"/>
                                <a:gd name="T21" fmla="*/ T20 w 507"/>
                                <a:gd name="T22" fmla="+- 0 205 167"/>
                                <a:gd name="T23" fmla="*/ 205 h 412"/>
                                <a:gd name="T24" fmla="+- 0 1477 1081"/>
                                <a:gd name="T25" fmla="*/ T24 w 507"/>
                                <a:gd name="T26" fmla="+- 0 204 167"/>
                                <a:gd name="T27" fmla="*/ 204 h 412"/>
                                <a:gd name="T28" fmla="+- 0 1471 1081"/>
                                <a:gd name="T29" fmla="*/ T28 w 507"/>
                                <a:gd name="T30" fmla="+- 0 180 167"/>
                                <a:gd name="T31" fmla="*/ 180 h 412"/>
                                <a:gd name="T32" fmla="+- 0 1471 1081"/>
                                <a:gd name="T33" fmla="*/ T32 w 507"/>
                                <a:gd name="T34" fmla="+- 0 177 167"/>
                                <a:gd name="T35" fmla="*/ 177 h 412"/>
                                <a:gd name="T36" fmla="+- 0 1470 1081"/>
                                <a:gd name="T37" fmla="*/ T36 w 507"/>
                                <a:gd name="T38" fmla="+- 0 177 167"/>
                                <a:gd name="T39" fmla="*/ 177 h 412"/>
                                <a:gd name="T40" fmla="+- 0 1469 1081"/>
                                <a:gd name="T41" fmla="*/ T40 w 507"/>
                                <a:gd name="T42" fmla="+- 0 177 167"/>
                                <a:gd name="T43" fmla="*/ 177 h 412"/>
                                <a:gd name="T44" fmla="+- 0 1432 1081"/>
                                <a:gd name="T45" fmla="*/ T44 w 507"/>
                                <a:gd name="T46" fmla="+- 0 171 167"/>
                                <a:gd name="T47" fmla="*/ 171 h 4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507" h="412">
                                  <a:moveTo>
                                    <a:pt x="351" y="4"/>
                                  </a:moveTo>
                                  <a:lnTo>
                                    <a:pt x="349" y="4"/>
                                  </a:lnTo>
                                  <a:lnTo>
                                    <a:pt x="348" y="5"/>
                                  </a:lnTo>
                                  <a:lnTo>
                                    <a:pt x="348" y="6"/>
                                  </a:lnTo>
                                  <a:lnTo>
                                    <a:pt x="352" y="38"/>
                                  </a:lnTo>
                                  <a:lnTo>
                                    <a:pt x="396" y="38"/>
                                  </a:lnTo>
                                  <a:lnTo>
                                    <a:pt x="396" y="37"/>
                                  </a:lnTo>
                                  <a:lnTo>
                                    <a:pt x="390" y="13"/>
                                  </a:lnTo>
                                  <a:lnTo>
                                    <a:pt x="390" y="10"/>
                                  </a:lnTo>
                                  <a:lnTo>
                                    <a:pt x="389" y="10"/>
                                  </a:lnTo>
                                  <a:lnTo>
                                    <a:pt x="388" y="10"/>
                                  </a:lnTo>
                                  <a:lnTo>
                                    <a:pt x="351" y="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6" name="Freeform 73"/>
                          <wps:cNvSpPr>
                            <a:spLocks/>
                          </wps:cNvSpPr>
                          <wps:spPr bwMode="auto">
                            <a:xfrm>
                              <a:off x="1081" y="167"/>
                              <a:ext cx="507" cy="412"/>
                            </a:xfrm>
                            <a:custGeom>
                              <a:avLst/>
                              <a:gdLst>
                                <a:gd name="T0" fmla="+- 0 1396 1081"/>
                                <a:gd name="T1" fmla="*/ T0 w 507"/>
                                <a:gd name="T2" fmla="+- 0 191 167"/>
                                <a:gd name="T3" fmla="*/ 191 h 412"/>
                                <a:gd name="T4" fmla="+- 0 1395 1081"/>
                                <a:gd name="T5" fmla="*/ T4 w 507"/>
                                <a:gd name="T6" fmla="+- 0 191 167"/>
                                <a:gd name="T7" fmla="*/ 191 h 412"/>
                                <a:gd name="T8" fmla="+- 0 1395 1081"/>
                                <a:gd name="T9" fmla="*/ T8 w 507"/>
                                <a:gd name="T10" fmla="+- 0 191 167"/>
                                <a:gd name="T11" fmla="*/ 191 h 412"/>
                                <a:gd name="T12" fmla="+- 0 1396 1081"/>
                                <a:gd name="T13" fmla="*/ T12 w 507"/>
                                <a:gd name="T14" fmla="+- 0 191 167"/>
                                <a:gd name="T15" fmla="*/ 191 h 412"/>
                                <a:gd name="T16" fmla="+- 0 1396 1081"/>
                                <a:gd name="T17" fmla="*/ T16 w 507"/>
                                <a:gd name="T18" fmla="+- 0 191 167"/>
                                <a:gd name="T19" fmla="*/ 191 h 412"/>
                              </a:gdLst>
                              <a:ahLst/>
                              <a:cxnLst>
                                <a:cxn ang="0">
                                  <a:pos x="T1" y="T3"/>
                                </a:cxn>
                                <a:cxn ang="0">
                                  <a:pos x="T5" y="T7"/>
                                </a:cxn>
                                <a:cxn ang="0">
                                  <a:pos x="T9" y="T11"/>
                                </a:cxn>
                                <a:cxn ang="0">
                                  <a:pos x="T13" y="T15"/>
                                </a:cxn>
                                <a:cxn ang="0">
                                  <a:pos x="T17" y="T19"/>
                                </a:cxn>
                              </a:cxnLst>
                              <a:rect l="0" t="0" r="r" b="b"/>
                              <a:pathLst>
                                <a:path w="507" h="412">
                                  <a:moveTo>
                                    <a:pt x="315" y="24"/>
                                  </a:moveTo>
                                  <a:lnTo>
                                    <a:pt x="314" y="24"/>
                                  </a:lnTo>
                                  <a:lnTo>
                                    <a:pt x="315" y="2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17" name="Picture 74"/>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1084" y="167"/>
                              <a:ext cx="504" cy="41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8" name="Picture 7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1490" y="616"/>
                              <a:ext cx="32" cy="1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9" name="Picture 7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1530" y="610"/>
                              <a:ext cx="16" cy="1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0" name="Picture 7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1547" y="603"/>
                              <a:ext cx="12" cy="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1" name="Picture 78"/>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1561" y="552"/>
                              <a:ext cx="28" cy="48"/>
                            </a:xfrm>
                            <a:prstGeom prst="rect">
                              <a:avLst/>
                            </a:prstGeom>
                            <a:noFill/>
                            <a:extLst>
                              <a:ext uri="{909E8E84-426E-40DD-AFC4-6F175D3DCCD1}">
                                <a14:hiddenFill xmlns:a14="http://schemas.microsoft.com/office/drawing/2010/main">
                                  <a:solidFill>
                                    <a:srgbClr val="FFFFFF"/>
                                  </a:solidFill>
                                </a14:hiddenFill>
                              </a:ext>
                            </a:extLst>
                          </pic:spPr>
                        </pic:pic>
                      </wpg:grpSp>
                      <wpg:grpSp>
                        <wpg:cNvPr id="122" name="Group 79"/>
                        <wpg:cNvGrpSpPr>
                          <a:grpSpLocks/>
                        </wpg:cNvGrpSpPr>
                        <wpg:grpSpPr bwMode="auto">
                          <a:xfrm>
                            <a:off x="1489" y="611"/>
                            <a:ext cx="32" cy="18"/>
                            <a:chOff x="1489" y="611"/>
                            <a:chExt cx="32" cy="18"/>
                          </a:xfrm>
                        </wpg:grpSpPr>
                        <wps:wsp>
                          <wps:cNvPr id="229" name="Freeform 80"/>
                          <wps:cNvSpPr>
                            <a:spLocks/>
                          </wps:cNvSpPr>
                          <wps:spPr bwMode="auto">
                            <a:xfrm>
                              <a:off x="1489" y="611"/>
                              <a:ext cx="32" cy="18"/>
                            </a:xfrm>
                            <a:custGeom>
                              <a:avLst/>
                              <a:gdLst>
                                <a:gd name="T0" fmla="+- 0 1511 1489"/>
                                <a:gd name="T1" fmla="*/ T0 w 32"/>
                                <a:gd name="T2" fmla="+- 0 611 611"/>
                                <a:gd name="T3" fmla="*/ 611 h 18"/>
                                <a:gd name="T4" fmla="+- 0 1508 1489"/>
                                <a:gd name="T5" fmla="*/ T4 w 32"/>
                                <a:gd name="T6" fmla="+- 0 614 611"/>
                                <a:gd name="T7" fmla="*/ 614 h 18"/>
                                <a:gd name="T8" fmla="+- 0 1500 1489"/>
                                <a:gd name="T9" fmla="*/ T8 w 32"/>
                                <a:gd name="T10" fmla="+- 0 620 611"/>
                                <a:gd name="T11" fmla="*/ 620 h 18"/>
                                <a:gd name="T12" fmla="+- 0 1490 1489"/>
                                <a:gd name="T13" fmla="*/ T12 w 32"/>
                                <a:gd name="T14" fmla="+- 0 623 611"/>
                                <a:gd name="T15" fmla="*/ 623 h 18"/>
                                <a:gd name="T16" fmla="+- 0 1489 1489"/>
                                <a:gd name="T17" fmla="*/ T16 w 32"/>
                                <a:gd name="T18" fmla="+- 0 628 611"/>
                                <a:gd name="T19" fmla="*/ 628 h 18"/>
                                <a:gd name="T20" fmla="+- 0 1496 1489"/>
                                <a:gd name="T21" fmla="*/ T20 w 32"/>
                                <a:gd name="T22" fmla="+- 0 628 611"/>
                                <a:gd name="T23" fmla="*/ 628 h 18"/>
                                <a:gd name="T24" fmla="+- 0 1500 1489"/>
                                <a:gd name="T25" fmla="*/ T24 w 32"/>
                                <a:gd name="T26" fmla="+- 0 622 611"/>
                                <a:gd name="T27" fmla="*/ 622 h 18"/>
                                <a:gd name="T28" fmla="+- 0 1509 1489"/>
                                <a:gd name="T29" fmla="*/ T28 w 32"/>
                                <a:gd name="T30" fmla="+- 0 621 611"/>
                                <a:gd name="T31" fmla="*/ 621 h 18"/>
                                <a:gd name="T32" fmla="+- 0 1518 1489"/>
                                <a:gd name="T33" fmla="*/ T32 w 32"/>
                                <a:gd name="T34" fmla="+- 0 621 611"/>
                                <a:gd name="T35" fmla="*/ 621 h 18"/>
                                <a:gd name="T36" fmla="+- 0 1521 1489"/>
                                <a:gd name="T37" fmla="*/ T36 w 32"/>
                                <a:gd name="T38" fmla="+- 0 619 611"/>
                                <a:gd name="T39" fmla="*/ 619 h 18"/>
                                <a:gd name="T40" fmla="+- 0 1518 1489"/>
                                <a:gd name="T41" fmla="*/ T40 w 32"/>
                                <a:gd name="T42" fmla="+- 0 615 611"/>
                                <a:gd name="T43" fmla="*/ 615 h 18"/>
                                <a:gd name="T44" fmla="+- 0 1511 1489"/>
                                <a:gd name="T45" fmla="*/ T44 w 32"/>
                                <a:gd name="T46" fmla="+- 0 611 611"/>
                                <a:gd name="T47" fmla="*/ 611 h 1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32" h="18">
                                  <a:moveTo>
                                    <a:pt x="22" y="0"/>
                                  </a:moveTo>
                                  <a:lnTo>
                                    <a:pt x="19" y="3"/>
                                  </a:lnTo>
                                  <a:lnTo>
                                    <a:pt x="11" y="9"/>
                                  </a:lnTo>
                                  <a:lnTo>
                                    <a:pt x="1" y="12"/>
                                  </a:lnTo>
                                  <a:lnTo>
                                    <a:pt x="0" y="17"/>
                                  </a:lnTo>
                                  <a:lnTo>
                                    <a:pt x="7" y="17"/>
                                  </a:lnTo>
                                  <a:lnTo>
                                    <a:pt x="11" y="11"/>
                                  </a:lnTo>
                                  <a:lnTo>
                                    <a:pt x="20" y="10"/>
                                  </a:lnTo>
                                  <a:lnTo>
                                    <a:pt x="29" y="10"/>
                                  </a:lnTo>
                                  <a:lnTo>
                                    <a:pt x="32" y="8"/>
                                  </a:lnTo>
                                  <a:lnTo>
                                    <a:pt x="29" y="4"/>
                                  </a:lnTo>
                                  <a:lnTo>
                                    <a:pt x="22"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24" name="Group 81"/>
                        <wpg:cNvGrpSpPr>
                          <a:grpSpLocks/>
                        </wpg:cNvGrpSpPr>
                        <wpg:grpSpPr bwMode="auto">
                          <a:xfrm>
                            <a:off x="1527" y="606"/>
                            <a:ext cx="19" cy="13"/>
                            <a:chOff x="1527" y="606"/>
                            <a:chExt cx="19" cy="13"/>
                          </a:xfrm>
                        </wpg:grpSpPr>
                        <wps:wsp>
                          <wps:cNvPr id="125" name="Freeform 82"/>
                          <wps:cNvSpPr>
                            <a:spLocks/>
                          </wps:cNvSpPr>
                          <wps:spPr bwMode="auto">
                            <a:xfrm>
                              <a:off x="1527" y="606"/>
                              <a:ext cx="19" cy="13"/>
                            </a:xfrm>
                            <a:custGeom>
                              <a:avLst/>
                              <a:gdLst>
                                <a:gd name="T0" fmla="+- 0 1545 1527"/>
                                <a:gd name="T1" fmla="*/ T0 w 19"/>
                                <a:gd name="T2" fmla="+- 0 606 606"/>
                                <a:gd name="T3" fmla="*/ 606 h 13"/>
                                <a:gd name="T4" fmla="+- 0 1535 1527"/>
                                <a:gd name="T5" fmla="*/ T4 w 19"/>
                                <a:gd name="T6" fmla="+- 0 608 606"/>
                                <a:gd name="T7" fmla="*/ 608 h 13"/>
                                <a:gd name="T8" fmla="+- 0 1535 1527"/>
                                <a:gd name="T9" fmla="*/ T8 w 19"/>
                                <a:gd name="T10" fmla="+- 0 610 606"/>
                                <a:gd name="T11" fmla="*/ 610 h 13"/>
                                <a:gd name="T12" fmla="+- 0 1533 1527"/>
                                <a:gd name="T13" fmla="*/ T12 w 19"/>
                                <a:gd name="T14" fmla="+- 0 611 606"/>
                                <a:gd name="T15" fmla="*/ 611 h 13"/>
                                <a:gd name="T16" fmla="+- 0 1529 1527"/>
                                <a:gd name="T17" fmla="*/ T16 w 19"/>
                                <a:gd name="T18" fmla="+- 0 613 606"/>
                                <a:gd name="T19" fmla="*/ 613 h 13"/>
                                <a:gd name="T20" fmla="+- 0 1527 1527"/>
                                <a:gd name="T21" fmla="*/ T20 w 19"/>
                                <a:gd name="T22" fmla="+- 0 616 606"/>
                                <a:gd name="T23" fmla="*/ 616 h 13"/>
                                <a:gd name="T24" fmla="+- 0 1530 1527"/>
                                <a:gd name="T25" fmla="*/ T24 w 19"/>
                                <a:gd name="T26" fmla="+- 0 619 606"/>
                                <a:gd name="T27" fmla="*/ 619 h 13"/>
                                <a:gd name="T28" fmla="+- 0 1533 1527"/>
                                <a:gd name="T29" fmla="*/ T28 w 19"/>
                                <a:gd name="T30" fmla="+- 0 618 606"/>
                                <a:gd name="T31" fmla="*/ 618 h 13"/>
                                <a:gd name="T32" fmla="+- 0 1533 1527"/>
                                <a:gd name="T33" fmla="*/ T32 w 19"/>
                                <a:gd name="T34" fmla="+- 0 618 606"/>
                                <a:gd name="T35" fmla="*/ 618 h 13"/>
                                <a:gd name="T36" fmla="+- 0 1540 1527"/>
                                <a:gd name="T37" fmla="*/ T36 w 19"/>
                                <a:gd name="T38" fmla="+- 0 618 606"/>
                                <a:gd name="T39" fmla="*/ 618 h 13"/>
                                <a:gd name="T40" fmla="+- 0 1545 1527"/>
                                <a:gd name="T41" fmla="*/ T40 w 19"/>
                                <a:gd name="T42" fmla="+- 0 606 606"/>
                                <a:gd name="T43" fmla="*/ 606 h 1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9" h="13">
                                  <a:moveTo>
                                    <a:pt x="18" y="0"/>
                                  </a:moveTo>
                                  <a:lnTo>
                                    <a:pt x="8" y="2"/>
                                  </a:lnTo>
                                  <a:lnTo>
                                    <a:pt x="8" y="4"/>
                                  </a:lnTo>
                                  <a:lnTo>
                                    <a:pt x="6" y="5"/>
                                  </a:lnTo>
                                  <a:lnTo>
                                    <a:pt x="2" y="7"/>
                                  </a:lnTo>
                                  <a:lnTo>
                                    <a:pt x="0" y="10"/>
                                  </a:lnTo>
                                  <a:lnTo>
                                    <a:pt x="3" y="13"/>
                                  </a:lnTo>
                                  <a:lnTo>
                                    <a:pt x="6" y="12"/>
                                  </a:lnTo>
                                  <a:lnTo>
                                    <a:pt x="13" y="12"/>
                                  </a:lnTo>
                                  <a:lnTo>
                                    <a:pt x="1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26" name="Group 83"/>
                        <wpg:cNvGrpSpPr>
                          <a:grpSpLocks/>
                        </wpg:cNvGrpSpPr>
                        <wpg:grpSpPr bwMode="auto">
                          <a:xfrm>
                            <a:off x="1545" y="600"/>
                            <a:ext cx="13" cy="9"/>
                            <a:chOff x="1545" y="600"/>
                            <a:chExt cx="13" cy="9"/>
                          </a:xfrm>
                        </wpg:grpSpPr>
                        <wps:wsp>
                          <wps:cNvPr id="127" name="Freeform 84"/>
                          <wps:cNvSpPr>
                            <a:spLocks/>
                          </wps:cNvSpPr>
                          <wps:spPr bwMode="auto">
                            <a:xfrm>
                              <a:off x="1545" y="600"/>
                              <a:ext cx="13" cy="9"/>
                            </a:xfrm>
                            <a:custGeom>
                              <a:avLst/>
                              <a:gdLst>
                                <a:gd name="T0" fmla="+- 0 1549 1545"/>
                                <a:gd name="T1" fmla="*/ T0 w 13"/>
                                <a:gd name="T2" fmla="+- 0 600 600"/>
                                <a:gd name="T3" fmla="*/ 600 h 9"/>
                                <a:gd name="T4" fmla="+- 0 1549 1545"/>
                                <a:gd name="T5" fmla="*/ T4 w 13"/>
                                <a:gd name="T6" fmla="+- 0 600 600"/>
                                <a:gd name="T7" fmla="*/ 600 h 9"/>
                                <a:gd name="T8" fmla="+- 0 1545 1545"/>
                                <a:gd name="T9" fmla="*/ T8 w 13"/>
                                <a:gd name="T10" fmla="+- 0 605 600"/>
                                <a:gd name="T11" fmla="*/ 605 h 9"/>
                                <a:gd name="T12" fmla="+- 0 1547 1545"/>
                                <a:gd name="T13" fmla="*/ T12 w 13"/>
                                <a:gd name="T14" fmla="+- 0 609 600"/>
                                <a:gd name="T15" fmla="*/ 609 h 9"/>
                                <a:gd name="T16" fmla="+- 0 1557 1545"/>
                                <a:gd name="T17" fmla="*/ T16 w 13"/>
                                <a:gd name="T18" fmla="+- 0 605 600"/>
                                <a:gd name="T19" fmla="*/ 605 h 9"/>
                                <a:gd name="T20" fmla="+- 0 1556 1545"/>
                                <a:gd name="T21" fmla="*/ T20 w 13"/>
                                <a:gd name="T22" fmla="+- 0 601 600"/>
                                <a:gd name="T23" fmla="*/ 601 h 9"/>
                                <a:gd name="T24" fmla="+- 0 1549 1545"/>
                                <a:gd name="T25" fmla="*/ T24 w 13"/>
                                <a:gd name="T26" fmla="+- 0 600 600"/>
                                <a:gd name="T27" fmla="*/ 600 h 9"/>
                              </a:gdLst>
                              <a:ahLst/>
                              <a:cxnLst>
                                <a:cxn ang="0">
                                  <a:pos x="T1" y="T3"/>
                                </a:cxn>
                                <a:cxn ang="0">
                                  <a:pos x="T5" y="T7"/>
                                </a:cxn>
                                <a:cxn ang="0">
                                  <a:pos x="T9" y="T11"/>
                                </a:cxn>
                                <a:cxn ang="0">
                                  <a:pos x="T13" y="T15"/>
                                </a:cxn>
                                <a:cxn ang="0">
                                  <a:pos x="T17" y="T19"/>
                                </a:cxn>
                                <a:cxn ang="0">
                                  <a:pos x="T21" y="T23"/>
                                </a:cxn>
                                <a:cxn ang="0">
                                  <a:pos x="T25" y="T27"/>
                                </a:cxn>
                              </a:cxnLst>
                              <a:rect l="0" t="0" r="r" b="b"/>
                              <a:pathLst>
                                <a:path w="13" h="9">
                                  <a:moveTo>
                                    <a:pt x="4" y="0"/>
                                  </a:moveTo>
                                  <a:lnTo>
                                    <a:pt x="4" y="0"/>
                                  </a:lnTo>
                                  <a:lnTo>
                                    <a:pt x="0" y="5"/>
                                  </a:lnTo>
                                  <a:lnTo>
                                    <a:pt x="2" y="9"/>
                                  </a:lnTo>
                                  <a:lnTo>
                                    <a:pt x="12" y="5"/>
                                  </a:lnTo>
                                  <a:lnTo>
                                    <a:pt x="11" y="1"/>
                                  </a:lnTo>
                                  <a:lnTo>
                                    <a:pt x="4"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8" name="Freeform 85"/>
                          <wps:cNvSpPr>
                            <a:spLocks/>
                          </wps:cNvSpPr>
                          <wps:spPr bwMode="auto">
                            <a:xfrm>
                              <a:off x="1545" y="600"/>
                              <a:ext cx="13" cy="9"/>
                            </a:xfrm>
                            <a:custGeom>
                              <a:avLst/>
                              <a:gdLst>
                                <a:gd name="T0" fmla="+- 0 1545 1545"/>
                                <a:gd name="T1" fmla="*/ T0 w 13"/>
                                <a:gd name="T2" fmla="+- 0 605 600"/>
                                <a:gd name="T3" fmla="*/ 605 h 9"/>
                                <a:gd name="T4" fmla="+- 0 1545 1545"/>
                                <a:gd name="T5" fmla="*/ T4 w 13"/>
                                <a:gd name="T6" fmla="+- 0 605 600"/>
                                <a:gd name="T7" fmla="*/ 605 h 9"/>
                              </a:gdLst>
                              <a:ahLst/>
                              <a:cxnLst>
                                <a:cxn ang="0">
                                  <a:pos x="T1" y="T3"/>
                                </a:cxn>
                                <a:cxn ang="0">
                                  <a:pos x="T5" y="T7"/>
                                </a:cxn>
                              </a:cxnLst>
                              <a:rect l="0" t="0" r="r" b="b"/>
                              <a:pathLst>
                                <a:path w="13" h="9">
                                  <a:moveTo>
                                    <a:pt x="0" y="5"/>
                                  </a:moveTo>
                                  <a:lnTo>
                                    <a:pt x="0" y="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29" name="Group 86"/>
                        <wpg:cNvGrpSpPr>
                          <a:grpSpLocks/>
                        </wpg:cNvGrpSpPr>
                        <wpg:grpSpPr bwMode="auto">
                          <a:xfrm>
                            <a:off x="1558" y="549"/>
                            <a:ext cx="29" cy="57"/>
                            <a:chOff x="1558" y="549"/>
                            <a:chExt cx="29" cy="57"/>
                          </a:xfrm>
                        </wpg:grpSpPr>
                        <wps:wsp>
                          <wps:cNvPr id="130" name="Freeform 87"/>
                          <wps:cNvSpPr>
                            <a:spLocks/>
                          </wps:cNvSpPr>
                          <wps:spPr bwMode="auto">
                            <a:xfrm>
                              <a:off x="1558" y="549"/>
                              <a:ext cx="29" cy="57"/>
                            </a:xfrm>
                            <a:custGeom>
                              <a:avLst/>
                              <a:gdLst>
                                <a:gd name="T0" fmla="+- 0 1582 1558"/>
                                <a:gd name="T1" fmla="*/ T0 w 29"/>
                                <a:gd name="T2" fmla="+- 0 549 549"/>
                                <a:gd name="T3" fmla="*/ 549 h 57"/>
                                <a:gd name="T4" fmla="+- 0 1582 1558"/>
                                <a:gd name="T5" fmla="*/ T4 w 29"/>
                                <a:gd name="T6" fmla="+- 0 558 549"/>
                                <a:gd name="T7" fmla="*/ 558 h 57"/>
                                <a:gd name="T8" fmla="+- 0 1577 1558"/>
                                <a:gd name="T9" fmla="*/ T8 w 29"/>
                                <a:gd name="T10" fmla="+- 0 565 549"/>
                                <a:gd name="T11" fmla="*/ 565 h 57"/>
                                <a:gd name="T12" fmla="+- 0 1576 1558"/>
                                <a:gd name="T13" fmla="*/ T12 w 29"/>
                                <a:gd name="T14" fmla="+- 0 569 549"/>
                                <a:gd name="T15" fmla="*/ 569 h 57"/>
                                <a:gd name="T16" fmla="+- 0 1571 1558"/>
                                <a:gd name="T17" fmla="*/ T16 w 29"/>
                                <a:gd name="T18" fmla="+- 0 578 549"/>
                                <a:gd name="T19" fmla="*/ 578 h 57"/>
                                <a:gd name="T20" fmla="+- 0 1569 1558"/>
                                <a:gd name="T21" fmla="*/ T20 w 29"/>
                                <a:gd name="T22" fmla="+- 0 582 549"/>
                                <a:gd name="T23" fmla="*/ 582 h 57"/>
                                <a:gd name="T24" fmla="+- 0 1562 1558"/>
                                <a:gd name="T25" fmla="*/ T24 w 29"/>
                                <a:gd name="T26" fmla="+- 0 588 549"/>
                                <a:gd name="T27" fmla="*/ 588 h 57"/>
                                <a:gd name="T28" fmla="+- 0 1558 1558"/>
                                <a:gd name="T29" fmla="*/ T28 w 29"/>
                                <a:gd name="T30" fmla="+- 0 592 549"/>
                                <a:gd name="T31" fmla="*/ 592 h 57"/>
                                <a:gd name="T32" fmla="+- 0 1561 1558"/>
                                <a:gd name="T33" fmla="*/ T32 w 29"/>
                                <a:gd name="T34" fmla="+- 0 606 549"/>
                                <a:gd name="T35" fmla="*/ 606 h 57"/>
                                <a:gd name="T36" fmla="+- 0 1573 1558"/>
                                <a:gd name="T37" fmla="*/ T36 w 29"/>
                                <a:gd name="T38" fmla="+- 0 588 549"/>
                                <a:gd name="T39" fmla="*/ 588 h 57"/>
                                <a:gd name="T40" fmla="+- 0 1577 1558"/>
                                <a:gd name="T41" fmla="*/ T40 w 29"/>
                                <a:gd name="T42" fmla="+- 0 581 549"/>
                                <a:gd name="T43" fmla="*/ 581 h 57"/>
                                <a:gd name="T44" fmla="+- 0 1580 1558"/>
                                <a:gd name="T45" fmla="*/ T44 w 29"/>
                                <a:gd name="T46" fmla="+- 0 577 549"/>
                                <a:gd name="T47" fmla="*/ 577 h 57"/>
                                <a:gd name="T48" fmla="+- 0 1584 1558"/>
                                <a:gd name="T49" fmla="*/ T48 w 29"/>
                                <a:gd name="T50" fmla="+- 0 568 549"/>
                                <a:gd name="T51" fmla="*/ 568 h 57"/>
                                <a:gd name="T52" fmla="+- 0 1585 1558"/>
                                <a:gd name="T53" fmla="*/ T52 w 29"/>
                                <a:gd name="T54" fmla="+- 0 562 549"/>
                                <a:gd name="T55" fmla="*/ 562 h 57"/>
                                <a:gd name="T56" fmla="+- 0 1586 1558"/>
                                <a:gd name="T57" fmla="*/ T56 w 29"/>
                                <a:gd name="T58" fmla="+- 0 555 549"/>
                                <a:gd name="T59" fmla="*/ 555 h 57"/>
                                <a:gd name="T60" fmla="+- 0 1587 1558"/>
                                <a:gd name="T61" fmla="*/ T60 w 29"/>
                                <a:gd name="T62" fmla="+- 0 553 549"/>
                                <a:gd name="T63" fmla="*/ 553 h 57"/>
                                <a:gd name="T64" fmla="+- 0 1587 1558"/>
                                <a:gd name="T65" fmla="*/ T64 w 29"/>
                                <a:gd name="T66" fmla="+- 0 550 549"/>
                                <a:gd name="T67" fmla="*/ 550 h 57"/>
                                <a:gd name="T68" fmla="+- 0 1582 1558"/>
                                <a:gd name="T69" fmla="*/ T68 w 29"/>
                                <a:gd name="T70" fmla="+- 0 549 549"/>
                                <a:gd name="T71" fmla="*/ 549 h 5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29" h="57">
                                  <a:moveTo>
                                    <a:pt x="24" y="0"/>
                                  </a:moveTo>
                                  <a:lnTo>
                                    <a:pt x="24" y="9"/>
                                  </a:lnTo>
                                  <a:lnTo>
                                    <a:pt x="19" y="16"/>
                                  </a:lnTo>
                                  <a:lnTo>
                                    <a:pt x="18" y="20"/>
                                  </a:lnTo>
                                  <a:lnTo>
                                    <a:pt x="13" y="29"/>
                                  </a:lnTo>
                                  <a:lnTo>
                                    <a:pt x="11" y="33"/>
                                  </a:lnTo>
                                  <a:lnTo>
                                    <a:pt x="4" y="39"/>
                                  </a:lnTo>
                                  <a:lnTo>
                                    <a:pt x="0" y="43"/>
                                  </a:lnTo>
                                  <a:lnTo>
                                    <a:pt x="3" y="57"/>
                                  </a:lnTo>
                                  <a:lnTo>
                                    <a:pt x="15" y="39"/>
                                  </a:lnTo>
                                  <a:lnTo>
                                    <a:pt x="19" y="32"/>
                                  </a:lnTo>
                                  <a:lnTo>
                                    <a:pt x="22" y="28"/>
                                  </a:lnTo>
                                  <a:lnTo>
                                    <a:pt x="26" y="19"/>
                                  </a:lnTo>
                                  <a:lnTo>
                                    <a:pt x="27" y="13"/>
                                  </a:lnTo>
                                  <a:lnTo>
                                    <a:pt x="28" y="6"/>
                                  </a:lnTo>
                                  <a:lnTo>
                                    <a:pt x="29" y="4"/>
                                  </a:lnTo>
                                  <a:lnTo>
                                    <a:pt x="29" y="1"/>
                                  </a:lnTo>
                                  <a:lnTo>
                                    <a:pt x="24"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31" name="Picture 8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1489" y="613"/>
                              <a:ext cx="30" cy="1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2" name="Picture 89"/>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1528" y="608"/>
                              <a:ext cx="13" cy="1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3" name="Picture 90"/>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1545" y="601"/>
                              <a:ext cx="11" cy="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4" name="Picture 91"/>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1559" y="550"/>
                              <a:ext cx="28" cy="49"/>
                            </a:xfrm>
                            <a:prstGeom prst="rect">
                              <a:avLst/>
                            </a:prstGeom>
                            <a:noFill/>
                            <a:extLst>
                              <a:ext uri="{909E8E84-426E-40DD-AFC4-6F175D3DCCD1}">
                                <a14:hiddenFill xmlns:a14="http://schemas.microsoft.com/office/drawing/2010/main">
                                  <a:solidFill>
                                    <a:srgbClr val="FFFFFF"/>
                                  </a:solidFill>
                                </a14:hiddenFill>
                              </a:ext>
                            </a:extLst>
                          </pic:spPr>
                        </pic:pic>
                      </wpg:grpSp>
                    </wpg:wgp>
                  </a:graphicData>
                </a:graphic>
              </wp:inline>
            </w:drawing>
          </mc:Choice>
          <mc:Fallback>
            <w:pict>
              <v:group w14:anchorId="39839286" id="Group 45" o:spid="_x0000_s1026" style="width:84.85pt;height:50.45pt;mso-position-horizontal-relative:char;mso-position-vertical-relative:line" coordsize="1697,10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">
                <v:shape id="Picture 3" o:spid="_x0000_s1027" type="#_x0000_t75" style="position:absolute;left:4;top:763;width:1690;height:1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">
                  <v:imagedata r:id="rId214" o:title=""/>
                </v:shape>
                <v:group id="Group 4" o:spid="_x0000_s1028" style="position:absolute;left:2;top:708;width:1141;height:2" coordorigin="2,708" coordsize="114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">
                  <v:shape id="Freeform 5" o:spid="_x0000_s1029" style="position:absolute;left:2;top:708;width:1141;height:2;visibility:visible;mso-wrap-style:square;v-text-anchor:top" coordsize="114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" path="m,l1141,e" filled="f" strokecolor="#9aca3c" strokeweight=".22pt">
                    <v:path arrowok="t" o:connecttype="custom" o:connectlocs="0,0;1141,0" o:connectangles="0,0"/>
                  </v:shape>
                </v:group>
                <v:group id="Group 6" o:spid="_x0000_s1030" style="position:absolute;left:1551;top:708;width:144;height:2" coordorigin="1551,708" coordsize="14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">
                  <v:shape id="Freeform 7" o:spid="_x0000_s1031" style="position:absolute;left:1551;top:708;width:144;height:2;visibility:visible;mso-wrap-style:square;v-text-anchor:top" coordsize="14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" path="m,l143,e" filled="f" strokecolor="#9aca3c" strokeweight=".22pt">
                    <v:path arrowok="t" o:connecttype="custom" o:connectlocs="0,0;143,0" o:connectangles="0,0"/>
                  </v:shape>
                </v:group>
                <v:group id="Group 8" o:spid="_x0000_s1032" style="position:absolute;left:4;top:1006;width:1690;height:2" coordorigin="4,1006" coordsize="169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">
                  <v:shape id="Freeform 9" o:spid="_x0000_s1033" style="position:absolute;left:4;top:1006;width:1690;height:2;visibility:visible;mso-wrap-style:square;v-text-anchor:top" coordsize="169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" path="m,l1690,e" filled="f" strokecolor="#9aca3c" strokeweight=".07797mm">
                    <v:path arrowok="t" o:connecttype="custom" o:connectlocs="0,0;1690,0" o:connectangles="0,0"/>
                  </v:shape>
                </v:group>
                <v:group id="Group 10" o:spid="_x0000_s1034" style="position:absolute;left:570;top:71;width:480;height:548" coordorigin="570,71" coordsize="480,5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">
                  <v:shape id="Freeform 11" o:spid="_x0000_s1035" style="position:absolute;left:570;top:71;width:480;height:548;visibility:visible;mso-wrap-style:square;v-text-anchor:top" coordsize="480,5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" path="m479,l,,,548r477,l447,512,436,496,425,479,415,462r-9,-18l401,434r-281,l120,332r254,l371,300r,-13l371,262r,-13l374,218r-254,l120,114r282,l411,95,421,77,432,60,443,44,456,28,479,xe" fillcolor="#003f5c" stroked="f">
                    <v:path arrowok="t" o:connecttype="custom" o:connectlocs="479,71;0,71;0,619;477,619;447,583;436,567;425,550;415,533;406,515;401,505;120,505;120,403;374,403;371,371;371,358;371,333;371,320;374,289;120,289;120,185;402,185;411,166;421,148;432,131;443,115;456,99;479,71" o:connectangles="0,0,0,0,0,0,0,0,0,0,0,0,0,0,0,0,0,0,0,0,0,0,0,0,0,0,0"/>
                  </v:shape>
                </v:group>
                <v:group id="Group 12" o:spid="_x0000_s1036" style="position:absolute;left:5;top:71;width:537;height:548" coordorigin="5,71" coordsize="537,5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">
                  <v:shape id="Freeform 13" o:spid="_x0000_s1037" style="position:absolute;left:5;top:71;width:537;height:548;visibility:visible;mso-wrap-style:square;v-text-anchor:top" coordsize="537,5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" path="m,l,548r245,l312,542r59,-16l439,489r43,-43l491,434r-370,l121,114r368,l478,99,426,51,356,16,295,3,250,,,xe" fillcolor="#003f5c" stroked="f">
                    <v:path arrowok="t" o:connecttype="custom" o:connectlocs="0,71;0,619;245,619;312,613;371,597;439,560;482,517;491,505;121,505;121,185;489,185;478,170;426,122;356,87;295,74;250,71;0,71" o:connectangles="0,0,0,0,0,0,0,0,0,0,0,0,0,0,0,0,0"/>
                  </v:shape>
                  <v:shape id="Freeform 14" o:spid="_x0000_s1038" style="position:absolute;left:5;top:71;width:537;height:548;visibility:visible;mso-wrap-style:square;v-text-anchor:top" coordsize="537,5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" path="m489,114r-244,l268,115r22,3l361,150r38,50l415,258r-1,26l401,347r-45,56l283,431r-162,3l491,434r30,-58l535,317r2,-22l537,270r-9,-67l500,130,489,114xe" fillcolor="#003f5c" stroked="f">
                    <v:path arrowok="t" o:connecttype="custom" o:connectlocs="489,185;245,185;268,186;290,189;361,221;399,271;415,329;414,355;401,418;356,474;283,502;121,505;491,505;521,447;535,388;537,366;537,341;528,274;500,201;489,185;489,185" o:connectangles="0,0,0,0,0,0,0,0,0,0,0,0,0,0,0,0,0,0,0,0,0"/>
                  </v:shape>
                  <v:shape id="Picture 15" o:spid="_x0000_s1039" type="#_x0000_t75" style="position:absolute;left:578;top:80;width:450;height:5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">
                    <v:imagedata r:id="rId35" o:title=""/>
                  </v:shape>
                  <v:shape id="Picture 16" o:spid="_x0000_s1040" type="#_x0000_t75" style="position:absolute;left:15;top:80;width:519;height:5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">
                    <v:imagedata r:id="rId36" o:title=""/>
                  </v:shape>
                  <v:shape id="Picture 17" o:spid="_x0000_s1041" type="#_x0000_t75" style="position:absolute;left:1008;width:549;height:5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">
                    <v:imagedata r:id="rId37" o:title=""/>
                  </v:shape>
                </v:group>
                <v:group id="Group 18" o:spid="_x0000_s1042" style="position:absolute;left:1013;top:200;width:348;height:304" coordorigin="1013,200" coordsize="348,3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">
                  <v:shape id="Freeform 19" o:spid="_x0000_s1043" style="position:absolute;left:1013;top:200;width:348;height:304;visibility:visible;mso-wrap-style:square;v-text-anchor:top" coordsize="348,3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" path="m18,267r60,37l86,302r-2,-3l78,299,54,291,35,281,22,269r-4,-2xe" stroked="f">
                    <v:path arrowok="t" o:connecttype="custom" o:connectlocs="18,467;78,504;86,502;84,499;78,499;54,491;35,481;22,469;18,467" o:connectangles="0,0,0,0,0,0,0,0,0"/>
                  </v:shape>
                  <v:shape id="Freeform 20" o:spid="_x0000_s1044" style="position:absolute;left:1013;top:200;width:348;height:304;visibility:visible;mso-wrap-style:square;v-text-anchor:top" coordsize="348,3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" path="m1,80r,3l,87r10,14l26,114r11,15l36,131r,18l37,167r11,62l78,299r6,l77,286,69,269,45,192,41,151r,-20l42,124r11,l45,120,46,99r1,-2l18,97,5,86,1,80xe" stroked="f">
                    <v:path arrowok="t" o:connecttype="custom" o:connectlocs="1,280;1,283;0,287;10,301;26,314;37,329;36,331;36,349;37,367;48,429;78,499;84,499;77,486;69,469;45,392;41,351;41,331;42,324;53,324;45,320;46,299;47,297;18,297;5,286;1,280" o:connectangles="0,0,0,0,0,0,0,0,0,0,0,0,0,0,0,0,0,0,0,0,0,0,0,0,0"/>
                  </v:shape>
                  <v:shape id="Freeform 21" o:spid="_x0000_s1045" style="position:absolute;left:1013;top:200;width:348;height:304;visibility:visible;mso-wrap-style:square;v-text-anchor:top" coordsize="348,3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" path="m53,124r-11,l56,131r71,23l195,167r4,19l203,205r8,40l215,259r3,-1l214,237r-3,-20l208,197r-1,-19l225,176r19,l343,175r4,-3l339,172r-21,-1l257,168r-42,-5l201,163,132,150,59,127r-6,-3xe" stroked="f">
                    <v:path arrowok="t" o:connecttype="custom" o:connectlocs="53,324;42,324;56,331;127,354;195,367;199,386;203,405;211,445;215,459;218,458;214,437;211,417;208,397;207,378;225,376;244,376;343,375;347,372;339,372;318,371;257,368;215,363;201,363;132,350;59,327;53,324" o:connectangles="0,0,0,0,0,0,0,0,0,0,0,0,0,0,0,0,0,0,0,0,0,0,0,0,0,0"/>
                  </v:shape>
                  <v:shape id="Freeform 22" o:spid="_x0000_s1046" style="position:absolute;left:1013;top:200;width:348;height:304;visibility:visible;mso-wrap-style:square;v-text-anchor:top" coordsize="348,3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" path="m343,175r-79,l326,176r16,l343,175xe" stroked="f">
                    <v:path arrowok="t" o:connecttype="custom" o:connectlocs="343,375;264,375;326,376;342,376;343,375" o:connectangles="0,0,0,0,0"/>
                  </v:shape>
                  <v:shape id="Freeform 23" o:spid="_x0000_s1047" style="position:absolute;left:1013;top:200;width:348;height:304;visibility:visible;mso-wrap-style:square;v-text-anchor:top" coordsize="348,3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" path="m348,171r-9,1l347,172r1,-1xe" stroked="f">
                    <v:path arrowok="t" o:connecttype="custom" o:connectlocs="348,371;339,372;347,372" o:connectangles="0,0,0"/>
                  </v:shape>
                  <v:shape id="Freeform 24" o:spid="_x0000_s1048" style="position:absolute;left:1013;top:200;width:348;height:304;visibility:visible;mso-wrap-style:square;v-text-anchor:top" coordsize="348,3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" path="m207,67r-6,61l201,154r,5l201,163r14,l206,157r,-28l206,126r1,-20l209,87r,-4l210,70r-2,-1l207,67xe" stroked="f">
                    <v:path arrowok="t" o:connecttype="custom" o:connectlocs="207,267;201,328;201,354;201,359;201,363;215,363;206,357;206,329;206,326;207,306;209,287;209,283;210,270;208,269;207,267" o:connectangles="0,0,0,0,0,0,0,0,0,0,0,0,0,0,0"/>
                  </v:shape>
                  <v:shape id="Freeform 25" o:spid="_x0000_s1049" style="position:absolute;left:1013;top:200;width:348;height:304;visibility:visible;mso-wrap-style:square;v-text-anchor:top" coordsize="348,3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" path="m70,l48,57,40,96,18,97r29,l49,79,53,59,59,40,66,22,74,4,73,3,72,2,71,1,70,xe" stroked="f">
                    <v:path arrowok="t" o:connecttype="custom" o:connectlocs="70,200;48,257;40,296;18,297;47,297;49,279;53,259;59,240;66,222;74,204;73,203;72,202;71,201;70,200" o:connectangles="0,0,0,0,0,0,0,0,0,0,0,0,0,0"/>
                  </v:shape>
                </v:group>
                <v:group id="Group 26" o:spid="_x0000_s1050" style="position:absolute;left:1106;width:442;height:165" coordorigin="1106" coordsize="442,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">
                  <v:shape id="Freeform 27" o:spid="_x0000_s1051" style="position:absolute;left:1106;width:442;height:165;visibility:visible;mso-wrap-style:square;v-text-anchor:top" coordsize="442,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" path="m355,164r-3,l354,165r1,l355,164xe" stroked="f">
                    <v:path arrowok="t" o:connecttype="custom" o:connectlocs="355,164;352,164;354,165;355,165;355,164" o:connectangles="0,0,0,0,0"/>
                  </v:shape>
                  <v:shape id="Freeform 28" o:spid="_x0000_s1052" style="position:absolute;left:1106;width:442;height:165;visibility:visible;mso-wrap-style:square;v-text-anchor:top" coordsize="442,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" path="m353,158r-8,l349,160r1,4l352,164r3,l353,158xe" stroked="f">
                    <v:path arrowok="t" o:connecttype="custom" o:connectlocs="353,158;345,158;349,160;350,164;352,164;355,164;353,158" o:connectangles="0,0,0,0,0,0,0"/>
                  </v:shape>
                  <v:shape id="Freeform 29" o:spid="_x0000_s1053" style="position:absolute;left:1106;width:442;height:165;visibility:visible;mso-wrap-style:square;v-text-anchor:top" coordsize="442,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" path="m205,158r-60,l163,160r19,1l202,163r21,l244,164r22,-1l287,163r20,-1l326,160r13,-1l247,159r-21,l205,158xe" stroked="f">
                    <v:path arrowok="t" o:connecttype="custom" o:connectlocs="205,158;145,158;163,160;182,161;202,163;223,163;244,164;266,163;287,163;307,162;326,160;339,159;247,159;226,159;205,158" o:connectangles="0,0,0,0,0,0,0,0,0,0,0,0,0,0,0"/>
                  </v:shape>
                  <v:shape id="Freeform 30" o:spid="_x0000_s1054" style="position:absolute;left:1106;width:442;height:165;visibility:visible;mso-wrap-style:square;v-text-anchor:top" coordsize="442,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" path="m9,97r-2,l4,100r1,9l13,117r12,8l13,141,1,157,,162r4,l15,145,27,129r19,l41,128r6,-9l30,119,16,113,9,105r,-8xe" stroked="f">
                    <v:path arrowok="t" o:connecttype="custom" o:connectlocs="9,97;7,97;4,100;5,109;13,117;25,125;13,141;1,157;0,162;4,162;15,145;27,129;46,129;41,128;47,119;30,119;16,113;9,105;9,97" o:connectangles="0,0,0,0,0,0,0,0,0,0,0,0,0,0,0,0,0,0,0"/>
                  </v:shape>
                  <v:shape id="Freeform 31" o:spid="_x0000_s1055" style="position:absolute;left:1106;width:442;height:165;visibility:visible;mso-wrap-style:square;v-text-anchor:top" coordsize="442,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" path="m307,34r-28,l293,46r12,15l334,117r13,36l328,155r-20,2l288,158r-20,1l247,159r92,l345,158r8,l353,157r21,-3l394,150r1,l366,150,353,130,342,111,331,92,321,75,312,59,303,44r4,-10xe" stroked="f">
                    <v:path arrowok="t" o:connecttype="custom" o:connectlocs="307,34;279,34;293,46;305,61;334,117;347,153;328,155;308,157;288,158;268,159;247,159;339,159;345,158;353,158;353,157;374,154;394,150;395,150;366,150;353,130;342,111;331,92;321,75;312,59;303,44;307,34" o:connectangles="0,0,0,0,0,0,0,0,0,0,0,0,0,0,0,0,0,0,0,0,0,0,0,0,0,0"/>
                  </v:shape>
                  <v:shape id="Freeform 32" o:spid="_x0000_s1056" style="position:absolute;left:1106;width:442;height:165;visibility:visible;mso-wrap-style:square;v-text-anchor:top" coordsize="442,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" path="m46,129r-19,l42,135r80,19l139,156r3,1l144,158r1,l205,158r-20,-1l166,155r-19,-2l147,152r-5,l117,149,95,144,74,139,56,134,46,129xe" stroked="f">
                    <v:path arrowok="t" o:connecttype="custom" o:connectlocs="46,129;27,129;42,135;122,154;139,156;142,157;144,158;145,158;205,158;185,157;166,155;147,153;147,152;142,152;117,149;95,144;74,139;56,134;46,129" o:connectangles="0,0,0,0,0,0,0,0,0,0,0,0,0,0,0,0,0,0,0"/>
                  </v:shape>
                  <v:shape id="Freeform 33" o:spid="_x0000_s1057" style="position:absolute;left:1106;width:442;height:165;visibility:visible;mso-wrap-style:square;v-text-anchor:top" coordsize="442,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" path="m215,29r-46,l187,30r-5,15l175,62,161,99r-8,21l145,142r-3,10l147,152r3,-10l154,131,186,61,260,35r19,-1l307,34r2,-4l232,30r-13,l215,29xe" stroked="f">
                    <v:path arrowok="t" o:connecttype="custom" o:connectlocs="215,29;169,29;187,30;182,45;175,62;161,99;153,120;145,142;142,152;147,152;150,142;154,131;186,61;260,35;279,34;307,34;309,30;232,30;219,30;215,29" o:connectangles="0,0,0,0,0,0,0,0,0,0,0,0,0,0,0,0,0,0,0,0"/>
                  </v:shape>
                  <v:shape id="Freeform 34" o:spid="_x0000_s1058" style="position:absolute;left:1106;width:442;height:165;visibility:visible;mso-wrap-style:square;v-text-anchor:top" coordsize="442,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" path="m423,138r-17,4l387,146r-21,4l395,150r18,-4l421,142r2,-4xe" stroked="f">
                    <v:path arrowok="t" o:connecttype="custom" o:connectlocs="423,138;406,142;387,146;366,150;395,150;413,146;421,142;423,138" o:connectangles="0,0,0,0,0,0,0,0"/>
                  </v:shape>
                  <v:shape id="Freeform 35" o:spid="_x0000_s1059" style="position:absolute;left:1106;width:442;height:165;visibility:visible;mso-wrap-style:square;v-text-anchor:top" coordsize="442,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" path="m155,12r-5,2l151,16r2,2l156,20r-17,8l73,74,30,119r17,l53,110,66,93,112,52,169,29r46,l207,28r1,l202,28,187,26,176,23r-8,-3l180,16r-22,l156,14r-1,-2xe" stroked="f">
                    <v:path arrowok="t" o:connecttype="custom" o:connectlocs="155,12;150,14;151,16;153,18;156,20;139,28;73,74;30,119;47,119;53,110;66,93;112,52;169,29;215,29;207,28;208,28;202,28;187,26;176,23;168,20;180,16;158,16;156,14;155,12" o:connectangles="0,0,0,0,0,0,0,0,0,0,0,0,0,0,0,0,0,0,0,0,0,0,0,0"/>
                  </v:shape>
                  <v:shape id="Freeform 36" o:spid="_x0000_s1060" style="position:absolute;left:1106;width:442;height:165;visibility:visible;mso-wrap-style:square;v-text-anchor:top" coordsize="442,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" path="m344,23r-13,l348,31r17,10l381,52r17,11l414,76r15,15l440,98,394,54,361,32,344,23xe" stroked="f">
                    <v:path arrowok="t" o:connecttype="custom" o:connectlocs="344,23;331,23;348,31;365,41;381,52;398,63;414,76;429,91;440,98;394,54;361,32;344,23" o:connectangles="0,0,0,0,0,0,0,0,0,0,0,0"/>
                  </v:shape>
                  <v:shape id="Freeform 37" o:spid="_x0000_s1061" style="position:absolute;left:1106;width:442;height:165;visibility:visible;mso-wrap-style:square;v-text-anchor:top" coordsize="442,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" path="m287,3r-41,l263,8r17,14l274,30r-13,l309,30r11,-2l291,28,282,17,274,9,265,4r25,l287,3xe" stroked="f">
                    <v:path arrowok="t" o:connecttype="custom" o:connectlocs="287,3;246,3;263,8;280,22;274,30;261,30;309,30;309,30;320,28;291,28;282,17;274,9;265,4;290,4;287,3" o:connectangles="0,0,0,0,0,0,0,0,0,0,0,0,0,0,0"/>
                  </v:shape>
                  <v:shape id="Freeform 38" o:spid="_x0000_s1062" style="position:absolute;left:1106;width:442;height:165;visibility:visible;mso-wrap-style:square;v-text-anchor:top" coordsize="442,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" path="m241,4r-13,l219,9r-9,8l202,28r6,l225,11,241,4xe" stroked="f">
                    <v:path arrowok="t" o:connecttype="custom" o:connectlocs="241,4;228,4;219,9;210,17;202,28;208,28;225,11;241,4" o:connectangles="0,0,0,0,0,0,0,0"/>
                  </v:shape>
                  <v:shape id="Freeform 39" o:spid="_x0000_s1063" style="position:absolute;left:1106;width:442;height:165;visibility:visible;mso-wrap-style:square;v-text-anchor:top" coordsize="442,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" path="m290,4r-25,l284,7r19,5l323,19r-6,4l305,26r-14,2l320,28r2,-1l331,23r13,l337,20r3,-2l340,17r-8,l313,10,294,4r-4,xe" stroked="f">
                    <v:path arrowok="t" o:connecttype="custom" o:connectlocs="290,4;265,4;284,7;303,12;323,19;317,23;305,26;291,28;320,28;322,27;331,23;344,23;337,20;340,18;340,17;332,17;313,10;294,4;290,4" o:connectangles="0,0,0,0,0,0,0,0,0,0,0,0,0,0,0,0,0,0,0"/>
                  </v:shape>
                  <v:shape id="Freeform 40" o:spid="_x0000_s1064" style="position:absolute;left:1106;width:442;height:165;visibility:visible;mso-wrap-style:square;v-text-anchor:top" coordsize="442,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" path="m338,12r-1,2l335,16r-3,1l340,17r2,-1l343,14r-5,-2xe" stroked="f">
                    <v:path arrowok="t" o:connecttype="custom" o:connectlocs="338,12;337,14;335,16;332,17;340,17;342,16;343,14;343,14;338,12" o:connectangles="0,0,0,0,0,0,0,0,0"/>
                  </v:shape>
                  <v:shape id="Freeform 41" o:spid="_x0000_s1065" style="position:absolute;left:1106;width:442;height:165;visibility:visible;mso-wrap-style:square;v-text-anchor:top" coordsize="442,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" path="m253,l230,,212,2,191,7r-19,6l158,16r22,l188,13,207,7,226,4r2,l241,4r5,-1l287,3,271,1,253,xe" stroked="f">
                    <v:path arrowok="t" o:connecttype="custom" o:connectlocs="253,0;230,0;212,2;191,7;172,13;158,16;180,16;188,13;207,7;226,4;228,4;241,4;246,3;287,3;271,1;253,0" o:connectangles="0,0,0,0,0,0,0,0,0,0,0,0,0,0,0,0"/>
                  </v:shape>
                </v:group>
                <v:group id="Group 42" o:spid="_x0000_s1066" style="position:absolute;left:1055;top:88;width:639;height:599" coordorigin="1055,88" coordsize="639,5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">
                  <v:shape id="Freeform 43" o:spid="_x0000_s1067" style="position:absolute;left:1055;top:88;width:639;height:599;visibility:visible;mso-wrap-style:square;v-text-anchor:top" coordsize="639,5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" path="m523,l499,55r-28,53l437,162r-36,48l349,267r-49,42l250,344r-67,36l122,404,62,419,,428r11,18l49,494r47,40l149,566r60,21l272,598r22,l322,597r81,-16l476,547r62,-49l587,436r34,-72l637,284r1,-28l637,234r-9,-62l607,113,577,60,538,14,523,xe" fillcolor="#003f5c" stroked="f">
                    <v:path arrowok="t" o:connecttype="custom" o:connectlocs="523,88;499,143;471,196;437,250;401,298;349,355;300,397;250,432;183,468;122,492;62,507;0,516;11,534;49,582;96,622;149,654;209,675;272,686;294,686;322,685;403,669;476,635;538,586;587,524;621,452;637,372;638,344;637,322;628,260;607,201;577,148;538,102;523,88" o:connectangles="0,0,0,0,0,0,0,0,0,0,0,0,0,0,0,0,0,0,0,0,0,0,0,0,0,0,0,0,0,0,0,0,0"/>
                  </v:shape>
                  <v:shape id="Picture 44" o:spid="_x0000_s1068" type="#_x0000_t75" style="position:absolute;left:1066;top:100;width:625;height:5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">
                    <v:imagedata r:id="rId215" o:title=""/>
                  </v:shape>
                </v:group>
                <v:group id="_x0000_s1069" style="position:absolute;left:1081;top:167;width:404;height:151" coordorigin="1081,167" coordsize="404,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">
                  <v:shape id="Freeform 46" o:spid="_x0000_s1070" style="position:absolute;left:1081;top:167;width:404;height:151;visibility:visible;mso-wrap-style:square;v-text-anchor:top" coordsize="404,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" path="m401,69r-169,l241,73r19,11l271,101r2,4l276,108r3,4l279,113r1,1l281,115r2,2l308,129r9,12l378,97,392,82r9,-13xe" stroked="f">
                    <v:path arrowok="t" o:connecttype="custom" o:connectlocs="401,236;232,236;241,240;260,251;271,268;273,272;276,275;279,279;279,280;280,281;281,282;283,284;308,296;317,308;378,264;392,249;401,236" o:connectangles="0,0,0,0,0,0,0,0,0,0,0,0,0,0,0,0,0"/>
                  </v:shape>
                  <v:shape id="Freeform 47" o:spid="_x0000_s1071" style="position:absolute;left:1081;top:167;width:404;height:151;visibility:visible;mso-wrap-style:square;v-text-anchor:top" coordsize="404,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" path="m399,50l57,50r25,2l104,59r18,10l137,82r12,13l153,101r1,l208,75r7,-5l232,69r169,l403,66r-1,-3l401,57r-2,-3l399,51r,-1xe" stroked="f">
                    <v:path arrowok="t" o:connecttype="custom" o:connectlocs="399,217;57,217;82,219;104,226;122,236;137,249;149,262;153,268;154,268;208,242;215,237;232,236;401,236;403,233;402,230;401,224;399,221;399,218;399,217" o:connectangles="0,0,0,0,0,0,0,0,0,0,0,0,0,0,0,0,0,0,0"/>
                  </v:shape>
                  <v:shape id="Freeform 48" o:spid="_x0000_s1072" style="position:absolute;left:1081;top:167;width:404;height:151;visibility:visible;mso-wrap-style:square;v-text-anchor:top" coordsize="404,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" path="m167,l18,4,6,5,5,6,,18r4,5l9,27r8,6l20,41r,4l19,49r,7l18,57,32,53,45,51,57,50r342,l396,38r-44,l343,38,342,25r-1,l315,24r-1,l176,21,168,1,167,xe" stroked="f">
                    <v:path arrowok="t" o:connecttype="custom" o:connectlocs="167,167;18,171;6,172;5,173;0,185;4,190;9,194;17,200;20,208;20,212;19,216;19,223;18,224;32,220;45,218;57,217;399,217;396,205;352,205;343,205;342,192;341,192;315,191;314,191;176,188;168,168;167,167" o:connectangles="0,0,0,0,0,0,0,0,0,0,0,0,0,0,0,0,0,0,0,0,0,0,0,0,0,0,0"/>
                  </v:shape>
                  <v:shape id="Freeform 49" o:spid="_x0000_s1073" style="position:absolute;left:1081;top:167;width:404;height:151;visibility:visible;mso-wrap-style:square;v-text-anchor:top" coordsize="404,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" path="m351,4r-2,l348,5r,1l352,38r44,l396,37,390,13r,-3l389,10r-1,l351,4xe" stroked="f">
                    <v:path arrowok="t" o:connecttype="custom" o:connectlocs="351,171;349,171;348,172;348,173;352,205;396,205;396,204;390,180;390,177;389,177;388,177;351,171" o:connectangles="0,0,0,0,0,0,0,0,0,0,0,0"/>
                  </v:shape>
                  <v:shape id="Freeform 50" o:spid="_x0000_s1074" style="position:absolute;left:1081;top:167;width:404;height:151;visibility:visible;mso-wrap-style:square;v-text-anchor:top" coordsize="404,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" path="m315,24r-1,l315,24xe" stroked="f">
                    <v:path arrowok="t" o:connecttype="custom" o:connectlocs="315,191;314,191;314,191;315,191;315,191" o:connectangles="0,0,0,0,0"/>
                  </v:shape>
                  <v:shape id="Picture 51" o:spid="_x0000_s1075" type="#_x0000_t75" style="position:absolute;left:1402;top:296;width:190;height:2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">
                    <v:imagedata r:id="rId39" o:title=""/>
                  </v:shape>
                  <v:shape id="Picture 52" o:spid="_x0000_s1076" type="#_x0000_t75" style="position:absolute;left:1367;top:288;width:29;height: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">
                    <v:imagedata r:id="rId216" o:title=""/>
                  </v:shape>
                </v:group>
                <v:group id="Group 53" o:spid="_x0000_s1077" style="position:absolute;left:1482;top:221;width:11;height:31" coordorigin="1482,221" coordsize="11,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">
                  <v:shape id="Freeform 54" o:spid="_x0000_s1078" style="position:absolute;left:1482;top:221;width:11;height:31;visibility:visible;mso-wrap-style:square;v-text-anchor:top" coordsize="11,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" path="m3,l,5r2,5l3,16r2,5l7,26r2,5l11,28,9,23,8,18,5,10,4,7,4,5,4,4,4,2,3,xe" fillcolor="#60869f" stroked="f">
                    <v:path arrowok="t" o:connecttype="custom" o:connectlocs="3,221;0,226;2,231;3,237;5,242;7,247;9,252;11,249;9,244;8,239;5,231;4,228;4,226;4,225;4,223;3,221" o:connectangles="0,0,0,0,0,0,0,0,0,0,0,0,0,0,0,0"/>
                  </v:shape>
                  <v:shape id="Picture 55" o:spid="_x0000_s1079" type="#_x0000_t75" style="position:absolute;left:1471;top:178;width:14;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">
                    <v:imagedata r:id="rId41" o:title=""/>
                  </v:shape>
                </v:group>
                <v:group id="Group 56" o:spid="_x0000_s1080" style="position:absolute;left:1491;top:249;width:9;height:20" coordorigin="1491,249" coordsize="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">
                  <v:shape id="Freeform 57" o:spid="_x0000_s1081" style="position:absolute;left:1491;top:249;width:9;height:20;visibility:visible;mso-wrap-style:square;v-text-anchor:top" coordsize="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" path="m2,l,3,2,9r3,5l7,20,9,18,6,12,4,6,2,xe" fillcolor="#003f5d" stroked="f">
                    <v:path arrowok="t" o:connecttype="custom" o:connectlocs="2,249;0,252;2,258;5,263;7,269;9,267;6,261;4,255;2,249" o:connectangles="0,0,0,0,0,0,0,0,0"/>
                  </v:shape>
                  <v:shape id="Picture 58" o:spid="_x0000_s1082" type="#_x0000_t75" style="position:absolute;left:1498;top:267;width:17;height: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">
                    <v:imagedata r:id="rId42" o:title=""/>
                  </v:shape>
                </v:group>
                <v:group id="Group 59" o:spid="_x0000_s1083" style="position:absolute;left:1484;top:231;width:2;height:6" coordorigin="1484,231" coordsize="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">
                  <v:shape id="Freeform 60" o:spid="_x0000_s1084" style="position:absolute;left:1484;top:231;width:2;height:6;visibility:visible;mso-wrap-style:square;v-text-anchor:top" coordsize="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" path="m,l1,6,,xe" fillcolor="#60869f" stroked="f">
                    <v:path arrowok="t" o:connecttype="custom" o:connectlocs="0,231;1,237;0,231" o:connectangles="0,0,0"/>
                  </v:shape>
                  <v:shape id="Picture 61" o:spid="_x0000_s1085" type="#_x0000_t75" style="position:absolute;left:1099;top:217;width:268;height: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">
                    <v:imagedata r:id="rId43" o:title=""/>
                  </v:shape>
                  <v:shape id="Picture 62" o:spid="_x0000_s1086" type="#_x0000_t75" style="position:absolute;left:1422;top:192;width:7;height: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">
                    <v:imagedata r:id="rId44" o:title=""/>
                  </v:shape>
                  <v:shape id="Picture 63" o:spid="_x0000_s1087" type="#_x0000_t75" style="position:absolute;left:1090;top:174;width:170;height: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">
                    <v:imagedata r:id="rId45" o:title=""/>
                  </v:shape>
                </v:group>
                <v:group id="Group 64" o:spid="_x0000_s1088" style="position:absolute;left:1081;top:167;width:507;height:412" coordorigin="1081,167" coordsize="507,4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">
                  <v:shape id="Freeform 65" o:spid="_x0000_s1089" style="position:absolute;left:1081;top:167;width:507;height:412;visibility:visible;mso-wrap-style:square;v-text-anchor:top" coordsize="507,4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" path="m468,213r-138,l333,214r7,6l342,221r,1l338,226r-3,4l332,234r-3,7l326,249r3,11l347,288r9,11l364,304r12,17l385,341r5,12l398,359r1,l416,364r12,17l431,386r2,2l434,391r1,2l435,404r1,2l439,410r4,2l450,412r3,-1l454,411r1,l456,411r20,-6l506,335r,-19l504,295,483,236,470,216r-2,-3xe" stroked="f">
                    <v:path arrowok="t" o:connecttype="custom" o:connectlocs="468,380;330,380;333,381;340,387;342,388;342,389;338,393;335,397;332,401;329,408;326,416;329,427;347,455;356,466;356,466;364,471;376,488;385,508;390,520;398,526;399,526;416,531;428,548;431,553;433,555;434,558;435,560;435,571;436,573;439,577;443,579;450,579;453,578;454,578;455,578;456,578;476,572;506,502;506,483;504,462;483,403;470,383;468,380" o:connectangles="0,0,0,0,0,0,0,0,0,0,0,0,0,0,0,0,0,0,0,0,0,0,0,0,0,0,0,0,0,0,0,0,0,0,0,0,0,0,0,0,0,0,0"/>
                  </v:shape>
                  <v:shape id="Freeform 66" o:spid="_x0000_s1090" style="position:absolute;left:1081;top:167;width:507;height:412;visibility:visible;mso-wrap-style:square;v-text-anchor:top" coordsize="507,4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" path="m453,169r-131,l322,170r,9l319,188r-2,8l313,215r6,17l321,234r1,l323,234r1,l324,233r2,-1l326,226r-1,-11l327,213r3,l468,213r-2,-4l463,203,453,178r,-9xe" stroked="f">
                    <v:path arrowok="t" o:connecttype="custom" o:connectlocs="453,336;322,336;322,337;322,346;319,355;317,363;313,382;319,399;321,401;322,401;323,401;324,401;324,400;326,399;326,393;325,382;327,380;330,380;468,380;466,376;463,370;453,345;453,336" o:connectangles="0,0,0,0,0,0,0,0,0,0,0,0,0,0,0,0,0,0,0,0,0,0,0"/>
                  </v:shape>
                  <v:shape id="Freeform 67" o:spid="_x0000_s1091" style="position:absolute;left:1081;top:167;width:507;height:412;visibility:visible;mso-wrap-style:square;v-text-anchor:top" coordsize="507,4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" path="m433,129r-138,l312,129r9,19l321,159r1,3l322,170r,-1l453,169r,-7l454,157r,-1l453,155,441,140r-8,-11xe" stroked="f">
                    <v:path arrowok="t" o:connecttype="custom" o:connectlocs="433,296;295,296;312,296;321,315;321,326;322,329;322,337;322,336;453,336;453,329;454,324;454,323;454,323;453,322;441,307;433,296" o:connectangles="0,0,0,0,0,0,0,0,0,0,0,0,0,0,0,0"/>
                  </v:shape>
                  <v:shape id="Freeform 68" o:spid="_x0000_s1092" style="position:absolute;left:1081;top:167;width:507;height:412;visibility:visible;mso-wrap-style:square;v-text-anchor:top" coordsize="507,4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" path="m404,69r-172,l241,73r19,11l271,101r2,4l276,108r3,4l279,113r1,1l281,114r2,3l294,129r1,l433,129r-4,-6l428,123r1,l425,116r-4,-6l418,104,410,85,404,69xe" stroked="f">
                    <v:path arrowok="t" o:connecttype="custom" o:connectlocs="404,236;232,236;241,240;260,251;271,268;273,272;276,275;279,279;279,280;280,281;281,281;283,284;294,296;295,296;433,296;429,290;428,290;429,290;425,283;421,277;418,271;410,252;404,236" o:connectangles="0,0,0,0,0,0,0,0,0,0,0,0,0,0,0,0,0,0,0,0,0,0,0"/>
                  </v:shape>
                  <v:shape id="Freeform 69" o:spid="_x0000_s1093" style="position:absolute;left:1081;top:167;width:507;height:412;visibility:visible;mso-wrap-style:square;v-text-anchor:top" coordsize="507,4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" path="m429,123r-1,l429,123xe" stroked="f">
                    <v:path arrowok="t" o:connecttype="custom" o:connectlocs="429,290;428,290;429,290" o:connectangles="0,0,0"/>
                  </v:shape>
                  <v:shape id="Freeform 70" o:spid="_x0000_s1094" style="position:absolute;left:1081;top:167;width:507;height:412;visibility:visible;mso-wrap-style:square;v-text-anchor:top" coordsize="507,4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" path="m399,50l57,50r25,2l104,59r18,10l137,82r12,13l153,101r1,l208,75r7,-5l232,69r172,l403,67,401,57r-2,-3l399,51r,-1xe" stroked="f">
                    <v:path arrowok="t" o:connecttype="custom" o:connectlocs="399,217;57,217;82,219;104,226;122,236;137,249;149,262;153,268;154,268;208,242;215,237;232,236;404,236;403,234;401,224;399,221;399,218;399,217" o:connectangles="0,0,0,0,0,0,0,0,0,0,0,0,0,0,0,0,0,0"/>
                  </v:shape>
                  <v:shape id="Freeform 71" o:spid="_x0000_s1095" style="position:absolute;left:1081;top:167;width:507;height:412;visibility:visible;mso-wrap-style:square;v-text-anchor:top" coordsize="507,4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" path="m167,l18,4,6,5,5,6,,18r4,5l9,27r8,6l20,41r,4l19,49r,7l18,57,32,53,45,50r12,l399,50,396,38r-44,l343,38,342,25r-1,l315,24r-1,l176,21,168,1,167,xe" stroked="f">
                    <v:path arrowok="t" o:connecttype="custom" o:connectlocs="167,167;18,171;6,172;5,173;0,185;4,190;9,194;17,200;20,208;20,212;19,216;19,223;18,224;32,220;45,217;57,217;399,217;396,205;352,205;343,205;342,192;341,192;315,191;314,191;176,188;168,168;167,167" o:connectangles="0,0,0,0,0,0,0,0,0,0,0,0,0,0,0,0,0,0,0,0,0,0,0,0,0,0,0"/>
                  </v:shape>
                  <v:shape id="Freeform 72" o:spid="_x0000_s1096" style="position:absolute;left:1081;top:167;width:507;height:412;visibility:visible;mso-wrap-style:square;v-text-anchor:top" coordsize="507,4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" path="m351,4r-2,l348,5r,1l352,38r44,l396,37,390,13r,-3l389,10r-1,l351,4xe" stroked="f">
                    <v:path arrowok="t" o:connecttype="custom" o:connectlocs="351,171;349,171;348,172;348,173;352,205;396,205;396,204;390,180;390,177;389,177;388,177;351,171" o:connectangles="0,0,0,0,0,0,0,0,0,0,0,0"/>
                  </v:shape>
                  <v:shape id="Freeform 73" o:spid="_x0000_s1097" style="position:absolute;left:1081;top:167;width:507;height:412;visibility:visible;mso-wrap-style:square;v-text-anchor:top" coordsize="507,4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" path="m315,24r-1,l315,24xe" stroked="f">
                    <v:path arrowok="t" o:connecttype="custom" o:connectlocs="315,191;314,191;314,191;315,191;315,191" o:connectangles="0,0,0,0,0"/>
                  </v:shape>
                  <v:shape id="Picture 74" o:spid="_x0000_s1098" type="#_x0000_t75" style="position:absolute;left:1084;top:167;width:504;height:4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">
                    <v:imagedata r:id="rId217" o:title=""/>
                  </v:shape>
                  <v:shape id="Picture 75" o:spid="_x0000_s1099" type="#_x0000_t75" style="position:absolute;left:1490;top:616;width:32;height: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">
                    <v:imagedata r:id="rId47" o:title=""/>
                  </v:shape>
                  <v:shape id="Picture 76" o:spid="_x0000_s1100" type="#_x0000_t75" style="position:absolute;left:1530;top:610;width:16;height: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">
                    <v:imagedata r:id="rId48" o:title=""/>
                  </v:shape>
                  <v:shape id="Picture 77" o:spid="_x0000_s1101" type="#_x0000_t75" style="position:absolute;left:1547;top:603;width:12;height: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">
                    <v:imagedata r:id="rId49" o:title=""/>
                  </v:shape>
                  <v:shape id="Picture 78" o:spid="_x0000_s1102" type="#_x0000_t75" style="position:absolute;left:1561;top:552;width:28;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">
                    <v:imagedata r:id="rId50" o:title=""/>
                  </v:shape>
                </v:group>
                <v:group id="Group 79" o:spid="_x0000_s1103" style="position:absolute;left:1489;top:611;width:32;height:18" coordorigin="1489,611" coordsize="32,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">
                  <v:shape id="Freeform 80" o:spid="_x0000_s1104" style="position:absolute;left:1489;top:611;width:32;height:18;visibility:visible;mso-wrap-style:square;v-text-anchor:top" coordsize="32,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" path="m22,l19,3,11,9,1,12,,17r7,l11,11r9,-1l29,10,32,8,29,4,22,xe" stroked="f">
                    <v:path arrowok="t" o:connecttype="custom" o:connectlocs="22,611;19,614;11,620;1,623;0,628;7,628;11,622;20,621;29,621;32,619;29,615;22,611" o:connectangles="0,0,0,0,0,0,0,0,0,0,0,0"/>
                  </v:shape>
                </v:group>
                <v:group id="Group 81" o:spid="_x0000_s1105" style="position:absolute;left:1527;top:606;width:19;height:13" coordorigin="1527,606" coordsize="19,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">
                  <v:shape id="Freeform 82" o:spid="_x0000_s1106" style="position:absolute;left:1527;top:606;width:19;height:13;visibility:visible;mso-wrap-style:square;v-text-anchor:top" coordsize="19,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" path="m18,l8,2r,2l6,5,2,7,,10r3,3l6,12r7,l18,xe" stroked="f">
                    <v:path arrowok="t" o:connecttype="custom" o:connectlocs="18,606;8,608;8,610;6,611;2,613;0,616;3,619;6,618;6,618;13,618;18,606" o:connectangles="0,0,0,0,0,0,0,0,0,0,0"/>
                  </v:shape>
                </v:group>
                <v:group id="Group 83" o:spid="_x0000_s1107" style="position:absolute;left:1545;top:600;width:13;height:9" coordorigin="1545,600" coordsize="1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">
                  <v:shape id="Freeform 84" o:spid="_x0000_s1108" style="position:absolute;left:1545;top:600;width:13;height:9;visibility:visible;mso-wrap-style:square;v-text-anchor:top" coordsize="1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" path="m4,r,l,5,2,9,12,5,11,1,4,xe" stroked="f">
                    <v:path arrowok="t" o:connecttype="custom" o:connectlocs="4,600;4,600;0,605;2,609;12,605;11,601;4,600" o:connectangles="0,0,0,0,0,0,0"/>
                  </v:shape>
                  <v:shape id="Freeform 85" o:spid="_x0000_s1109" style="position:absolute;left:1545;top:600;width:13;height:9;visibility:visible;mso-wrap-style:square;v-text-anchor:top" coordsize="1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" path="m,5r,xe" stroked="f">
                    <v:path arrowok="t" o:connecttype="custom" o:connectlocs="0,605;0,605" o:connectangles="0,0"/>
                  </v:shape>
                </v:group>
                <v:group id="Group 86" o:spid="_x0000_s1110" style="position:absolute;left:1558;top:549;width:29;height:57" coordorigin="1558,549" coordsize="29,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">
                  <v:shape id="Freeform 87" o:spid="_x0000_s1111" style="position:absolute;left:1558;top:549;width:29;height:57;visibility:visible;mso-wrap-style:square;v-text-anchor:top" coordsize="29,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" path="m24,r,9l19,16r-1,4l13,29r-2,4l4,39,,43,3,57,15,39r4,-7l22,28r4,-9l27,13,28,6,29,4r,-3l24,xe" stroked="f">
                    <v:path arrowok="t" o:connecttype="custom" o:connectlocs="24,549;24,558;19,565;18,569;13,578;11,582;4,588;0,592;3,606;15,588;19,581;22,577;26,568;27,562;28,555;29,553;29,550;24,549" o:connectangles="0,0,0,0,0,0,0,0,0,0,0,0,0,0,0,0,0,0"/>
                  </v:shape>
                  <v:shape id="Picture 88" o:spid="_x0000_s1112" type="#_x0000_t75" style="position:absolute;left:1489;top:613;width:30;height: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">
                    <v:imagedata r:id="rId51" o:title=""/>
                  </v:shape>
                  <v:shape id="Picture 89" o:spid="_x0000_s1113" type="#_x0000_t75" style="position:absolute;left:1528;top:608;width:13;height: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">
                    <v:imagedata r:id="rId218" o:title=""/>
                  </v:shape>
                  <v:shape id="Picture 90" o:spid="_x0000_s1114" type="#_x0000_t75" style="position:absolute;left:1545;top:601;width:11;height: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">
                    <v:imagedata r:id="rId219" o:title=""/>
                  </v:shape>
                  <v:shape id="Picture 91" o:spid="_x0000_s1115" type="#_x0000_t75" style="position:absolute;left:1559;top:550;width:28;height: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">
                    <v:imagedata r:id="rId220" o:title=""/>
                  </v:shape>
                </v:group>
                <w10:anchorlock/>
              </v:group>
            </w:pict>
          </mc:Fallback>
        </mc:AlternateContent>
      </w:r>
    </w:p>
    <w:sectPr w:rsidR="00EA7458" w:rsidRPr="00EA7458" w:rsidSect="0007280C">
      <w:footerReference w:type="default" r:id="rId221"/>
      <w:pgSz w:w="12240" w:h="15840"/>
      <w:pgMar w:top="1620" w:right="900" w:bottom="280" w:left="900" w:header="812" w:footer="619" w:gutter="0"/>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CD63FF4" w14:textId="77777777" w:rsidR="00D85FE3" w:rsidRDefault="00D85FE3">
      <w:pPr>
        <w:spacing w:after="0" w:line="240" w:lineRule="auto"/>
      </w:pPr>
      <w:r>
        <w:separator/>
      </w:r>
    </w:p>
  </w:endnote>
  <w:endnote w:type="continuationSeparator" w:id="0">
    <w:p w14:paraId="2041DF1F" w14:textId="77777777" w:rsidR="00D85FE3" w:rsidRDefault="00D85FE3">
      <w:pPr>
        <w:spacing w:after="0" w:line="240" w:lineRule="auto"/>
      </w:pPr>
      <w:r>
        <w:continuationSeparator/>
      </w:r>
    </w:p>
  </w:endnote>
  <w:endnote w:type="continuationNotice" w:id="1">
    <w:p w14:paraId="5BEC5BCB" w14:textId="77777777" w:rsidR="00D85FE3" w:rsidRDefault="00D85FE3">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Gill Sans MT">
    <w:panose1 w:val="020B0502020104020203"/>
    <w:charset w:val="00"/>
    <w:family w:val="swiss"/>
    <w:pitch w:val="variable"/>
    <w:sig w:usb0="00000007" w:usb1="00000000" w:usb2="00000000" w:usb3="00000000" w:csb0="00000003" w:csb1="00000000"/>
  </w:font>
  <w:font w:name="Tahoma">
    <w:altName w:val="Tahoma"/>
    <w:panose1 w:val="020B0604030504040204"/>
    <w:charset w:val="00"/>
    <w:family w:val="swiss"/>
    <w:pitch w:val="variable"/>
    <w:sig w:usb0="E1002EFF" w:usb1="C000605B" w:usb2="00000029" w:usb3="00000000" w:csb0="000101FF" w:csb1="00000000"/>
  </w:font>
  <w:font w:name="Proxima Nova Rg">
    <w:altName w:val="Calibri"/>
    <w:panose1 w:val="00000000000000000000"/>
    <w:charset w:val="00"/>
    <w:family w:val="modern"/>
    <w:notTrueType/>
    <w:pitch w:val="variable"/>
    <w:sig w:usb0="00000003" w:usb1="00000000" w:usb2="00000000" w:usb3="00000000" w:csb0="00000001" w:csb1="00000000"/>
  </w:font>
  <w:font w:name="MyriadPro-Regular">
    <w:altName w:val="Cambria"/>
    <w:panose1 w:val="00000000000000000000"/>
    <w:charset w:val="00"/>
    <w:family w:val="roman"/>
    <w:notTrueType/>
    <w:pitch w:val="default"/>
  </w:font>
  <w:font w:name="Arial">
    <w:panose1 w:val="020B0604020202020204"/>
    <w:charset w:val="00"/>
    <w:family w:val="swiss"/>
    <w:pitch w:val="variable"/>
    <w:sig w:usb0="E0002EFF" w:usb1="C0007843" w:usb2="00000009" w:usb3="00000000" w:csb0="000001FF" w:csb1="00000000"/>
  </w:font>
  <w:font w:name="Segoe UI">
    <w:altName w:val="Calibri"/>
    <w:panose1 w:val="020B0502040204020203"/>
    <w:charset w:val="00"/>
    <w:family w:val="swiss"/>
    <w:pitch w:val="variable"/>
    <w:sig w:usb0="E4002EFF" w:usb1="C000E47F" w:usb2="00000009" w:usb3="00000000" w:csb0="000001FF" w:csb1="00000000"/>
  </w:font>
  <w:font w:name="Actor">
    <w:altName w:val="Calibri"/>
    <w:charset w:val="00"/>
    <w:family w:val="auto"/>
    <w:pitch w:val="default"/>
  </w:font>
  <w:font w:name="Cambria">
    <w:panose1 w:val="02040503050406030204"/>
    <w:charset w:val="00"/>
    <w:family w:val="roman"/>
    <w:pitch w:val="variable"/>
    <w:sig w:usb0="E00006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BE71BC9" w14:textId="1AC6D59B" w:rsidR="008601E5" w:rsidRDefault="008601E5" w:rsidP="000C7E7F">
    <w:pPr>
      <w:tabs>
        <w:tab w:val="left" w:pos="2340"/>
      </w:tabs>
      <w:spacing w:line="14" w:lineRule="auto"/>
      <w:rPr>
        <w:sz w:val="20"/>
        <w:szCs w:val="20"/>
      </w:rPr>
    </w:pPr>
    <w:r>
      <w:rPr>
        <w:noProof/>
      </w:rPr>
      <mc:AlternateContent>
        <mc:Choice Requires="wps">
          <w:drawing>
            <wp:anchor distT="0" distB="0" distL="114300" distR="114300" simplePos="0" relativeHeight="251658263" behindDoc="1" locked="0" layoutInCell="1" allowOverlap="1" wp14:anchorId="2B89FEF8" wp14:editId="60CD3849">
              <wp:simplePos x="0" y="0"/>
              <wp:positionH relativeFrom="page">
                <wp:posOffset>7042785</wp:posOffset>
              </wp:positionH>
              <wp:positionV relativeFrom="page">
                <wp:posOffset>9555480</wp:posOffset>
              </wp:positionV>
              <wp:extent cx="102870" cy="177800"/>
              <wp:effectExtent l="0" t="0" r="0" b="0"/>
              <wp:wrapNone/>
              <wp:docPr id="380" name="Text Box 3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C6A719" w14:textId="77777777" w:rsidR="008601E5" w:rsidRDefault="008601E5">
                          <w:pPr>
                            <w:spacing w:line="267" w:lineRule="exact"/>
                            <w:ind w:left="20"/>
                            <w:rPr>
                              <w:rFonts w:ascii="Calibri" w:hAnsi="Calibri" w:cs="Calibri"/>
                              <w:sz w:val="24"/>
                              <w:szCs w:val="24"/>
                            </w:rPr>
                          </w:pPr>
                          <w:r>
                            <w:rPr>
                              <w:rFonts w:ascii="Calibri"/>
                              <w:b/>
                              <w:color w:val="231F20"/>
                              <w:w w:val="102"/>
                              <w:sz w:val="24"/>
                            </w:rPr>
                            <w:t>ii</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B89FEF8" id="_x0000_t202" coordsize="21600,21600" o:spt="202" path="m,l,21600r21600,l21600,xe">
              <v:stroke joinstyle="miter"/>
              <v:path gradientshapeok="t" o:connecttype="rect"/>
            </v:shapetype>
            <v:shape id="Text Box 380" o:spid="_x0000_s1026" type="#_x0000_t202" style="position:absolute;margin-left:554.55pt;margin-top:752.4pt;width:8.1pt;height:14pt;z-index:-25165821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" filled="f" stroked="f">
              <v:textbox inset="0,0,0,0">
                <w:txbxContent>
                  <w:p w14:paraId="7DC6A719" w14:textId="77777777" w:rsidR="008601E5" w:rsidRDefault="008601E5">
                    <w:pPr>
                      <w:spacing w:line="267" w:lineRule="exact"/>
                      <w:ind w:left="20"/>
                      <w:rPr>
                        <w:rFonts w:ascii="Calibri" w:hAnsi="Calibri" w:cs="Calibri"/>
                        <w:sz w:val="24"/>
                        <w:szCs w:val="24"/>
                      </w:rPr>
                    </w:pPr>
                    <w:r>
                      <w:rPr>
                        <w:rFonts w:ascii="Calibri"/>
                        <w:b/>
                        <w:color w:val="231F20"/>
                        <w:w w:val="102"/>
                        <w:sz w:val="24"/>
                      </w:rPr>
                      <w:t>ii</w:t>
                    </w:r>
                  </w:p>
                </w:txbxContent>
              </v:textbox>
              <w10:wrap anchorx="page" anchory="page"/>
            </v:shape>
          </w:pict>
        </mc:Fallback>
      </mc:AlternateContent>
    </w:r>
    <w:r>
      <w:rPr>
        <w:noProof/>
      </w:rPr>
      <mc:AlternateContent>
        <mc:Choice Requires="wps">
          <w:drawing>
            <wp:anchor distT="0" distB="0" distL="114300" distR="114300" simplePos="0" relativeHeight="251658264" behindDoc="1" locked="0" layoutInCell="1" allowOverlap="1" wp14:anchorId="68072CB5" wp14:editId="30CAD125">
              <wp:simplePos x="0" y="0"/>
              <wp:positionH relativeFrom="page">
                <wp:posOffset>781050</wp:posOffset>
              </wp:positionH>
              <wp:positionV relativeFrom="page">
                <wp:posOffset>9559925</wp:posOffset>
              </wp:positionV>
              <wp:extent cx="1023620" cy="152400"/>
              <wp:effectExtent l="0" t="0" r="0" b="0"/>
              <wp:wrapNone/>
              <wp:docPr id="379" name="Text Box 3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362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77F5E0" w14:textId="77777777" w:rsidR="008601E5" w:rsidRDefault="008601E5">
                          <w:pPr>
                            <w:spacing w:line="226" w:lineRule="exact"/>
                            <w:ind w:left="20"/>
                            <w:rPr>
                              <w:rFonts w:ascii="Calibri" w:hAnsi="Calibri" w:cs="Calibri"/>
                              <w:sz w:val="20"/>
                              <w:szCs w:val="20"/>
                            </w:rPr>
                          </w:pPr>
                          <w:r>
                            <w:rPr>
                              <w:rFonts w:ascii="Calibri"/>
                              <w:b/>
                              <w:color w:val="231F20"/>
                              <w:spacing w:val="-17"/>
                              <w:w w:val="116"/>
                              <w:sz w:val="20"/>
                            </w:rPr>
                            <w:t>T</w:t>
                          </w:r>
                          <w:r>
                            <w:rPr>
                              <w:rFonts w:ascii="Calibri"/>
                              <w:b/>
                              <w:color w:val="231F20"/>
                              <w:w w:val="107"/>
                              <w:sz w:val="20"/>
                            </w:rPr>
                            <w:t>able</w:t>
                          </w:r>
                          <w:r>
                            <w:rPr>
                              <w:rFonts w:ascii="Calibri"/>
                              <w:b/>
                              <w:color w:val="231F20"/>
                              <w:spacing w:val="6"/>
                              <w:sz w:val="20"/>
                            </w:rPr>
                            <w:t xml:space="preserve"> </w:t>
                          </w:r>
                          <w:r>
                            <w:rPr>
                              <w:rFonts w:ascii="Calibri"/>
                              <w:b/>
                              <w:color w:val="231F20"/>
                              <w:w w:val="103"/>
                              <w:sz w:val="20"/>
                            </w:rPr>
                            <w:t>of</w:t>
                          </w:r>
                          <w:r>
                            <w:rPr>
                              <w:rFonts w:ascii="Calibri"/>
                              <w:b/>
                              <w:color w:val="231F20"/>
                              <w:spacing w:val="6"/>
                              <w:sz w:val="20"/>
                            </w:rPr>
                            <w:t xml:space="preserve"> </w:t>
                          </w:r>
                          <w:r>
                            <w:rPr>
                              <w:rFonts w:ascii="Calibri"/>
                              <w:b/>
                              <w:color w:val="231F20"/>
                              <w:w w:val="108"/>
                              <w:sz w:val="20"/>
                            </w:rPr>
                            <w:t>Contents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072CB5" id="Text Box 379" o:spid="_x0000_s1027" type="#_x0000_t202" style="position:absolute;margin-left:61.5pt;margin-top:752.75pt;width:80.6pt;height:12pt;z-index:-251658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" filled="f" stroked="f">
              <v:textbox inset="0,0,0,0">
                <w:txbxContent>
                  <w:p w14:paraId="6F77F5E0" w14:textId="77777777" w:rsidR="008601E5" w:rsidRDefault="008601E5">
                    <w:pPr>
                      <w:spacing w:line="226" w:lineRule="exact"/>
                      <w:ind w:left="20"/>
                      <w:rPr>
                        <w:rFonts w:ascii="Calibri" w:hAnsi="Calibri" w:cs="Calibri"/>
                        <w:sz w:val="20"/>
                        <w:szCs w:val="20"/>
                      </w:rPr>
                    </w:pPr>
                    <w:r>
                      <w:rPr>
                        <w:rFonts w:ascii="Calibri"/>
                        <w:b/>
                        <w:color w:val="231F20"/>
                        <w:spacing w:val="-17"/>
                        <w:w w:val="116"/>
                        <w:sz w:val="20"/>
                      </w:rPr>
                      <w:t>T</w:t>
                    </w:r>
                    <w:r>
                      <w:rPr>
                        <w:rFonts w:ascii="Calibri"/>
                        <w:b/>
                        <w:color w:val="231F20"/>
                        <w:w w:val="107"/>
                        <w:sz w:val="20"/>
                      </w:rPr>
                      <w:t>able</w:t>
                    </w:r>
                    <w:r>
                      <w:rPr>
                        <w:rFonts w:ascii="Calibri"/>
                        <w:b/>
                        <w:color w:val="231F20"/>
                        <w:spacing w:val="6"/>
                        <w:sz w:val="20"/>
                      </w:rPr>
                      <w:t xml:space="preserve"> </w:t>
                    </w:r>
                    <w:r>
                      <w:rPr>
                        <w:rFonts w:ascii="Calibri"/>
                        <w:b/>
                        <w:color w:val="231F20"/>
                        <w:w w:val="103"/>
                        <w:sz w:val="20"/>
                      </w:rPr>
                      <w:t>of</w:t>
                    </w:r>
                    <w:r>
                      <w:rPr>
                        <w:rFonts w:ascii="Calibri"/>
                        <w:b/>
                        <w:color w:val="231F20"/>
                        <w:spacing w:val="6"/>
                        <w:sz w:val="20"/>
                      </w:rPr>
                      <w:t xml:space="preserve"> </w:t>
                    </w:r>
                    <w:r>
                      <w:rPr>
                        <w:rFonts w:ascii="Calibri"/>
                        <w:b/>
                        <w:color w:val="231F20"/>
                        <w:w w:val="108"/>
                        <w:sz w:val="20"/>
                      </w:rPr>
                      <w:t>Contents</w:t>
                    </w:r>
                  </w:p>
                </w:txbxContent>
              </v:textbox>
              <w10:wrap anchorx="page" anchory="page"/>
            </v:shape>
          </w:pict>
        </mc:Fallback>
      </mc:AlternateContent>
    </w:r>
    <w:r>
      <w:rPr>
        <w:sz w:val="20"/>
        <w:szCs w:val="20"/>
      </w:rPr>
      <w:tab/>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8FC31DA" w14:textId="0A851477" w:rsidR="008601E5" w:rsidRDefault="008601E5">
    <w:pPr>
      <w:spacing w:line="14" w:lineRule="auto"/>
      <w:rPr>
        <w:sz w:val="20"/>
        <w:szCs w:val="20"/>
      </w:rPr>
    </w:pPr>
    <w:r>
      <w:rPr>
        <w:noProof/>
      </w:rPr>
      <mc:AlternateContent>
        <mc:Choice Requires="wps">
          <w:drawing>
            <wp:anchor distT="0" distB="0" distL="114300" distR="114300" simplePos="0" relativeHeight="251658295" behindDoc="1" locked="0" layoutInCell="1" allowOverlap="1" wp14:anchorId="1AB16231" wp14:editId="2E6EC0CB">
              <wp:simplePos x="0" y="0"/>
              <wp:positionH relativeFrom="page">
                <wp:posOffset>781050</wp:posOffset>
              </wp:positionH>
              <wp:positionV relativeFrom="page">
                <wp:posOffset>9559925</wp:posOffset>
              </wp:positionV>
              <wp:extent cx="1673860" cy="152400"/>
              <wp:effectExtent l="0" t="0" r="0" b="0"/>
              <wp:wrapNone/>
              <wp:docPr id="359" name="Text Box 3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7386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8C64D7" w14:textId="77777777" w:rsidR="008601E5" w:rsidRDefault="008601E5">
                          <w:pPr>
                            <w:spacing w:line="226" w:lineRule="exact"/>
                            <w:ind w:left="20"/>
                            <w:rPr>
                              <w:rFonts w:ascii="Calibri" w:hAnsi="Calibri" w:cs="Calibri"/>
                              <w:sz w:val="20"/>
                              <w:szCs w:val="20"/>
                            </w:rPr>
                          </w:pPr>
                          <w:r>
                            <w:rPr>
                              <w:rFonts w:ascii="Calibri"/>
                              <w:b/>
                              <w:color w:val="231F20"/>
                              <w:w w:val="109"/>
                              <w:sz w:val="20"/>
                            </w:rPr>
                            <w:t>Section</w:t>
                          </w:r>
                          <w:r>
                            <w:rPr>
                              <w:rFonts w:ascii="Calibri"/>
                              <w:b/>
                              <w:color w:val="231F20"/>
                              <w:spacing w:val="6"/>
                              <w:sz w:val="20"/>
                            </w:rPr>
                            <w:t xml:space="preserve"> </w:t>
                          </w:r>
                          <w:r>
                            <w:rPr>
                              <w:rFonts w:ascii="Calibri"/>
                              <w:b/>
                              <w:color w:val="231F20"/>
                              <w:w w:val="95"/>
                              <w:sz w:val="20"/>
                            </w:rPr>
                            <w:t>II.</w:t>
                          </w:r>
                          <w:r>
                            <w:rPr>
                              <w:rFonts w:ascii="Calibri"/>
                              <w:b/>
                              <w:color w:val="231F20"/>
                              <w:spacing w:val="6"/>
                              <w:sz w:val="20"/>
                            </w:rPr>
                            <w:t xml:space="preserve"> </w:t>
                          </w:r>
                          <w:r>
                            <w:rPr>
                              <w:rFonts w:ascii="Calibri"/>
                              <w:b/>
                              <w:color w:val="231F20"/>
                              <w:spacing w:val="-3"/>
                              <w:w w:val="125"/>
                              <w:sz w:val="20"/>
                            </w:rPr>
                            <w:t>S</w:t>
                          </w:r>
                          <w:r>
                            <w:rPr>
                              <w:rFonts w:ascii="Calibri"/>
                              <w:b/>
                              <w:color w:val="231F20"/>
                              <w:w w:val="106"/>
                              <w:sz w:val="20"/>
                            </w:rPr>
                            <w:t>trategic</w:t>
                          </w:r>
                          <w:r>
                            <w:rPr>
                              <w:rFonts w:ascii="Calibri"/>
                              <w:b/>
                              <w:color w:val="231F20"/>
                              <w:spacing w:val="6"/>
                              <w:sz w:val="20"/>
                            </w:rPr>
                            <w:t xml:space="preserve"> </w:t>
                          </w:r>
                          <w:r>
                            <w:rPr>
                              <w:rFonts w:ascii="Calibri"/>
                              <w:b/>
                              <w:color w:val="231F20"/>
                              <w:w w:val="107"/>
                              <w:sz w:val="20"/>
                            </w:rPr>
                            <w:t>Elements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AB16231" id="_x0000_t202" coordsize="21600,21600" o:spt="202" path="m,l,21600r21600,l21600,xe">
              <v:stroke joinstyle="miter"/>
              <v:path gradientshapeok="t" o:connecttype="rect"/>
            </v:shapetype>
            <v:shape id="Text Box 359" o:spid="_x0000_s1042" type="#_x0000_t202" style="position:absolute;margin-left:61.5pt;margin-top:752.75pt;width:131.8pt;height:12pt;z-index:-25165818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" filled="f" stroked="f">
              <v:textbox inset="0,0,0,0">
                <w:txbxContent>
                  <w:p w14:paraId="348C64D7" w14:textId="77777777" w:rsidR="008601E5" w:rsidRDefault="008601E5">
                    <w:pPr>
                      <w:spacing w:line="226" w:lineRule="exact"/>
                      <w:ind w:left="20"/>
                      <w:rPr>
                        <w:rFonts w:ascii="Calibri" w:hAnsi="Calibri" w:cs="Calibri"/>
                        <w:sz w:val="20"/>
                        <w:szCs w:val="20"/>
                      </w:rPr>
                    </w:pPr>
                    <w:r>
                      <w:rPr>
                        <w:rFonts w:ascii="Calibri"/>
                        <w:b/>
                        <w:color w:val="231F20"/>
                        <w:w w:val="109"/>
                        <w:sz w:val="20"/>
                      </w:rPr>
                      <w:t>Section</w:t>
                    </w:r>
                    <w:r>
                      <w:rPr>
                        <w:rFonts w:ascii="Calibri"/>
                        <w:b/>
                        <w:color w:val="231F20"/>
                        <w:spacing w:val="6"/>
                        <w:sz w:val="20"/>
                      </w:rPr>
                      <w:t xml:space="preserve"> </w:t>
                    </w:r>
                    <w:r>
                      <w:rPr>
                        <w:rFonts w:ascii="Calibri"/>
                        <w:b/>
                        <w:color w:val="231F20"/>
                        <w:w w:val="95"/>
                        <w:sz w:val="20"/>
                      </w:rPr>
                      <w:t>II.</w:t>
                    </w:r>
                    <w:r>
                      <w:rPr>
                        <w:rFonts w:ascii="Calibri"/>
                        <w:b/>
                        <w:color w:val="231F20"/>
                        <w:spacing w:val="6"/>
                        <w:sz w:val="20"/>
                      </w:rPr>
                      <w:t xml:space="preserve"> </w:t>
                    </w:r>
                    <w:r>
                      <w:rPr>
                        <w:rFonts w:ascii="Calibri"/>
                        <w:b/>
                        <w:color w:val="231F20"/>
                        <w:spacing w:val="-3"/>
                        <w:w w:val="125"/>
                        <w:sz w:val="20"/>
                      </w:rPr>
                      <w:t>S</w:t>
                    </w:r>
                    <w:r>
                      <w:rPr>
                        <w:rFonts w:ascii="Calibri"/>
                        <w:b/>
                        <w:color w:val="231F20"/>
                        <w:w w:val="106"/>
                        <w:sz w:val="20"/>
                      </w:rPr>
                      <w:t>trategic</w:t>
                    </w:r>
                    <w:r>
                      <w:rPr>
                        <w:rFonts w:ascii="Calibri"/>
                        <w:b/>
                        <w:color w:val="231F20"/>
                        <w:spacing w:val="6"/>
                        <w:sz w:val="20"/>
                      </w:rPr>
                      <w:t xml:space="preserve"> </w:t>
                    </w:r>
                    <w:r>
                      <w:rPr>
                        <w:rFonts w:ascii="Calibri"/>
                        <w:b/>
                        <w:color w:val="231F20"/>
                        <w:w w:val="107"/>
                        <w:sz w:val="20"/>
                      </w:rPr>
                      <w:t>Elements</w:t>
                    </w:r>
                  </w:p>
                </w:txbxContent>
              </v:textbox>
              <w10:wrap anchorx="page" anchory="page"/>
            </v:shape>
          </w:pict>
        </mc:Fallback>
      </mc:AlternateConten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F4D527C" w14:textId="2FA30025" w:rsidR="008601E5" w:rsidRDefault="008601E5">
    <w:pPr>
      <w:spacing w:line="14" w:lineRule="auto"/>
      <w:rPr>
        <w:sz w:val="20"/>
        <w:szCs w:val="20"/>
      </w:rPr>
    </w:pPr>
    <w:r>
      <w:rPr>
        <w:noProof/>
      </w:rPr>
      <mc:AlternateContent>
        <mc:Choice Requires="wps">
          <w:drawing>
            <wp:anchor distT="0" distB="0" distL="114300" distR="114300" simplePos="0" relativeHeight="251658296" behindDoc="1" locked="0" layoutInCell="1" allowOverlap="1" wp14:anchorId="06F56C85" wp14:editId="1B494D02">
              <wp:simplePos x="0" y="0"/>
              <wp:positionH relativeFrom="page">
                <wp:posOffset>781050</wp:posOffset>
              </wp:positionH>
              <wp:positionV relativeFrom="page">
                <wp:posOffset>9559925</wp:posOffset>
              </wp:positionV>
              <wp:extent cx="1673860" cy="152400"/>
              <wp:effectExtent l="0" t="0" r="0" b="0"/>
              <wp:wrapNone/>
              <wp:docPr id="357" name="Text Box 3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7386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FF93C7" w14:textId="77777777" w:rsidR="008601E5" w:rsidRDefault="008601E5">
                          <w:pPr>
                            <w:spacing w:line="226" w:lineRule="exact"/>
                            <w:ind w:left="20"/>
                            <w:rPr>
                              <w:rFonts w:ascii="Calibri" w:hAnsi="Calibri" w:cs="Calibri"/>
                              <w:sz w:val="20"/>
                              <w:szCs w:val="20"/>
                            </w:rPr>
                          </w:pPr>
                          <w:r>
                            <w:rPr>
                              <w:rFonts w:ascii="Calibri"/>
                              <w:b/>
                              <w:color w:val="231F20"/>
                              <w:w w:val="109"/>
                              <w:sz w:val="20"/>
                            </w:rPr>
                            <w:t>Section</w:t>
                          </w:r>
                          <w:r>
                            <w:rPr>
                              <w:rFonts w:ascii="Calibri"/>
                              <w:b/>
                              <w:color w:val="231F20"/>
                              <w:spacing w:val="6"/>
                              <w:sz w:val="20"/>
                            </w:rPr>
                            <w:t xml:space="preserve"> </w:t>
                          </w:r>
                          <w:r>
                            <w:rPr>
                              <w:rFonts w:ascii="Calibri"/>
                              <w:b/>
                              <w:color w:val="231F20"/>
                              <w:w w:val="95"/>
                              <w:sz w:val="20"/>
                            </w:rPr>
                            <w:t>II.</w:t>
                          </w:r>
                          <w:r>
                            <w:rPr>
                              <w:rFonts w:ascii="Calibri"/>
                              <w:b/>
                              <w:color w:val="231F20"/>
                              <w:spacing w:val="6"/>
                              <w:sz w:val="20"/>
                            </w:rPr>
                            <w:t xml:space="preserve"> </w:t>
                          </w:r>
                          <w:r>
                            <w:rPr>
                              <w:rFonts w:ascii="Calibri"/>
                              <w:b/>
                              <w:color w:val="231F20"/>
                              <w:spacing w:val="-3"/>
                              <w:w w:val="125"/>
                              <w:sz w:val="20"/>
                            </w:rPr>
                            <w:t>S</w:t>
                          </w:r>
                          <w:r>
                            <w:rPr>
                              <w:rFonts w:ascii="Calibri"/>
                              <w:b/>
                              <w:color w:val="231F20"/>
                              <w:w w:val="106"/>
                              <w:sz w:val="20"/>
                            </w:rPr>
                            <w:t>trategic</w:t>
                          </w:r>
                          <w:r>
                            <w:rPr>
                              <w:rFonts w:ascii="Calibri"/>
                              <w:b/>
                              <w:color w:val="231F20"/>
                              <w:spacing w:val="6"/>
                              <w:sz w:val="20"/>
                            </w:rPr>
                            <w:t xml:space="preserve"> </w:t>
                          </w:r>
                          <w:r>
                            <w:rPr>
                              <w:rFonts w:ascii="Calibri"/>
                              <w:b/>
                              <w:color w:val="231F20"/>
                              <w:w w:val="107"/>
                              <w:sz w:val="20"/>
                            </w:rPr>
                            <w:t>Elements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6F56C85" id="_x0000_t202" coordsize="21600,21600" o:spt="202" path="m,l,21600r21600,l21600,xe">
              <v:stroke joinstyle="miter"/>
              <v:path gradientshapeok="t" o:connecttype="rect"/>
            </v:shapetype>
            <v:shape id="Text Box 357" o:spid="_x0000_s1043" type="#_x0000_t202" style="position:absolute;margin-left:61.5pt;margin-top:752.75pt;width:131.8pt;height:12pt;z-index:-2516581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" filled="f" stroked="f">
              <v:textbox inset="0,0,0,0">
                <w:txbxContent>
                  <w:p w14:paraId="2DFF93C7" w14:textId="77777777" w:rsidR="008601E5" w:rsidRDefault="008601E5">
                    <w:pPr>
                      <w:spacing w:line="226" w:lineRule="exact"/>
                      <w:ind w:left="20"/>
                      <w:rPr>
                        <w:rFonts w:ascii="Calibri" w:hAnsi="Calibri" w:cs="Calibri"/>
                        <w:sz w:val="20"/>
                        <w:szCs w:val="20"/>
                      </w:rPr>
                    </w:pPr>
                    <w:r>
                      <w:rPr>
                        <w:rFonts w:ascii="Calibri"/>
                        <w:b/>
                        <w:color w:val="231F20"/>
                        <w:w w:val="109"/>
                        <w:sz w:val="20"/>
                      </w:rPr>
                      <w:t>Section</w:t>
                    </w:r>
                    <w:r>
                      <w:rPr>
                        <w:rFonts w:ascii="Calibri"/>
                        <w:b/>
                        <w:color w:val="231F20"/>
                        <w:spacing w:val="6"/>
                        <w:sz w:val="20"/>
                      </w:rPr>
                      <w:t xml:space="preserve"> </w:t>
                    </w:r>
                    <w:r>
                      <w:rPr>
                        <w:rFonts w:ascii="Calibri"/>
                        <w:b/>
                        <w:color w:val="231F20"/>
                        <w:w w:val="95"/>
                        <w:sz w:val="20"/>
                      </w:rPr>
                      <w:t>II.</w:t>
                    </w:r>
                    <w:r>
                      <w:rPr>
                        <w:rFonts w:ascii="Calibri"/>
                        <w:b/>
                        <w:color w:val="231F20"/>
                        <w:spacing w:val="6"/>
                        <w:sz w:val="20"/>
                      </w:rPr>
                      <w:t xml:space="preserve"> </w:t>
                    </w:r>
                    <w:r>
                      <w:rPr>
                        <w:rFonts w:ascii="Calibri"/>
                        <w:b/>
                        <w:color w:val="231F20"/>
                        <w:spacing w:val="-3"/>
                        <w:w w:val="125"/>
                        <w:sz w:val="20"/>
                      </w:rPr>
                      <w:t>S</w:t>
                    </w:r>
                    <w:r>
                      <w:rPr>
                        <w:rFonts w:ascii="Calibri"/>
                        <w:b/>
                        <w:color w:val="231F20"/>
                        <w:w w:val="106"/>
                        <w:sz w:val="20"/>
                      </w:rPr>
                      <w:t>trategic</w:t>
                    </w:r>
                    <w:r>
                      <w:rPr>
                        <w:rFonts w:ascii="Calibri"/>
                        <w:b/>
                        <w:color w:val="231F20"/>
                        <w:spacing w:val="6"/>
                        <w:sz w:val="20"/>
                      </w:rPr>
                      <w:t xml:space="preserve"> </w:t>
                    </w:r>
                    <w:r>
                      <w:rPr>
                        <w:rFonts w:ascii="Calibri"/>
                        <w:b/>
                        <w:color w:val="231F20"/>
                        <w:w w:val="107"/>
                        <w:sz w:val="20"/>
                      </w:rPr>
                      <w:t>Elements</w:t>
                    </w:r>
                  </w:p>
                </w:txbxContent>
              </v:textbox>
              <w10:wrap anchorx="page" anchory="page"/>
            </v:shape>
          </w:pict>
        </mc:Fallback>
      </mc:AlternateConten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D1AE9ED" w14:textId="16033E74" w:rsidR="008601E5" w:rsidRDefault="008601E5">
    <w:pPr>
      <w:spacing w:line="14" w:lineRule="auto"/>
      <w:rPr>
        <w:sz w:val="20"/>
        <w:szCs w:val="20"/>
      </w:rPr>
    </w:pPr>
    <w:r>
      <w:rPr>
        <w:noProof/>
      </w:rPr>
      <mc:AlternateContent>
        <mc:Choice Requires="wps">
          <w:drawing>
            <wp:anchor distT="0" distB="0" distL="114300" distR="114300" simplePos="0" relativeHeight="251658297" behindDoc="1" locked="0" layoutInCell="1" allowOverlap="1" wp14:anchorId="204B88EB" wp14:editId="157FABF4">
              <wp:simplePos x="0" y="0"/>
              <wp:positionH relativeFrom="page">
                <wp:posOffset>781050</wp:posOffset>
              </wp:positionH>
              <wp:positionV relativeFrom="page">
                <wp:posOffset>9559925</wp:posOffset>
              </wp:positionV>
              <wp:extent cx="1673860" cy="152400"/>
              <wp:effectExtent l="0" t="0" r="0" b="0"/>
              <wp:wrapNone/>
              <wp:docPr id="355" name="Text Box 3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7386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FB54A5" w14:textId="77777777" w:rsidR="008601E5" w:rsidRDefault="008601E5">
                          <w:pPr>
                            <w:spacing w:line="226" w:lineRule="exact"/>
                            <w:ind w:left="20"/>
                            <w:rPr>
                              <w:rFonts w:ascii="Calibri" w:hAnsi="Calibri" w:cs="Calibri"/>
                              <w:sz w:val="20"/>
                              <w:szCs w:val="20"/>
                            </w:rPr>
                          </w:pPr>
                          <w:r>
                            <w:rPr>
                              <w:rFonts w:ascii="Calibri"/>
                              <w:b/>
                              <w:color w:val="231F20"/>
                              <w:w w:val="109"/>
                              <w:sz w:val="20"/>
                            </w:rPr>
                            <w:t>Section</w:t>
                          </w:r>
                          <w:r>
                            <w:rPr>
                              <w:rFonts w:ascii="Calibri"/>
                              <w:b/>
                              <w:color w:val="231F20"/>
                              <w:spacing w:val="6"/>
                              <w:sz w:val="20"/>
                            </w:rPr>
                            <w:t xml:space="preserve"> </w:t>
                          </w:r>
                          <w:r>
                            <w:rPr>
                              <w:rFonts w:ascii="Calibri"/>
                              <w:b/>
                              <w:color w:val="231F20"/>
                              <w:w w:val="95"/>
                              <w:sz w:val="20"/>
                            </w:rPr>
                            <w:t>II.</w:t>
                          </w:r>
                          <w:r>
                            <w:rPr>
                              <w:rFonts w:ascii="Calibri"/>
                              <w:b/>
                              <w:color w:val="231F20"/>
                              <w:spacing w:val="6"/>
                              <w:sz w:val="20"/>
                            </w:rPr>
                            <w:t xml:space="preserve"> </w:t>
                          </w:r>
                          <w:r>
                            <w:rPr>
                              <w:rFonts w:ascii="Calibri"/>
                              <w:b/>
                              <w:color w:val="231F20"/>
                              <w:spacing w:val="-3"/>
                              <w:w w:val="125"/>
                              <w:sz w:val="20"/>
                            </w:rPr>
                            <w:t>S</w:t>
                          </w:r>
                          <w:r>
                            <w:rPr>
                              <w:rFonts w:ascii="Calibri"/>
                              <w:b/>
                              <w:color w:val="231F20"/>
                              <w:w w:val="106"/>
                              <w:sz w:val="20"/>
                            </w:rPr>
                            <w:t>trategic</w:t>
                          </w:r>
                          <w:r>
                            <w:rPr>
                              <w:rFonts w:ascii="Calibri"/>
                              <w:b/>
                              <w:color w:val="231F20"/>
                              <w:spacing w:val="6"/>
                              <w:sz w:val="20"/>
                            </w:rPr>
                            <w:t xml:space="preserve"> </w:t>
                          </w:r>
                          <w:r>
                            <w:rPr>
                              <w:rFonts w:ascii="Calibri"/>
                              <w:b/>
                              <w:color w:val="231F20"/>
                              <w:w w:val="107"/>
                              <w:sz w:val="20"/>
                            </w:rPr>
                            <w:t>Elements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04B88EB" id="_x0000_t202" coordsize="21600,21600" o:spt="202" path="m,l,21600r21600,l21600,xe">
              <v:stroke joinstyle="miter"/>
              <v:path gradientshapeok="t" o:connecttype="rect"/>
            </v:shapetype>
            <v:shape id="Text Box 355" o:spid="_x0000_s1044" type="#_x0000_t202" style="position:absolute;margin-left:61.5pt;margin-top:752.75pt;width:131.8pt;height:12pt;z-index:-25165818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" filled="f" stroked="f">
              <v:textbox inset="0,0,0,0">
                <w:txbxContent>
                  <w:p w14:paraId="48FB54A5" w14:textId="77777777" w:rsidR="008601E5" w:rsidRDefault="008601E5">
                    <w:pPr>
                      <w:spacing w:line="226" w:lineRule="exact"/>
                      <w:ind w:left="20"/>
                      <w:rPr>
                        <w:rFonts w:ascii="Calibri" w:hAnsi="Calibri" w:cs="Calibri"/>
                        <w:sz w:val="20"/>
                        <w:szCs w:val="20"/>
                      </w:rPr>
                    </w:pPr>
                    <w:r>
                      <w:rPr>
                        <w:rFonts w:ascii="Calibri"/>
                        <w:b/>
                        <w:color w:val="231F20"/>
                        <w:w w:val="109"/>
                        <w:sz w:val="20"/>
                      </w:rPr>
                      <w:t>Section</w:t>
                    </w:r>
                    <w:r>
                      <w:rPr>
                        <w:rFonts w:ascii="Calibri"/>
                        <w:b/>
                        <w:color w:val="231F20"/>
                        <w:spacing w:val="6"/>
                        <w:sz w:val="20"/>
                      </w:rPr>
                      <w:t xml:space="preserve"> </w:t>
                    </w:r>
                    <w:r>
                      <w:rPr>
                        <w:rFonts w:ascii="Calibri"/>
                        <w:b/>
                        <w:color w:val="231F20"/>
                        <w:w w:val="95"/>
                        <w:sz w:val="20"/>
                      </w:rPr>
                      <w:t>II.</w:t>
                    </w:r>
                    <w:r>
                      <w:rPr>
                        <w:rFonts w:ascii="Calibri"/>
                        <w:b/>
                        <w:color w:val="231F20"/>
                        <w:spacing w:val="6"/>
                        <w:sz w:val="20"/>
                      </w:rPr>
                      <w:t xml:space="preserve"> </w:t>
                    </w:r>
                    <w:r>
                      <w:rPr>
                        <w:rFonts w:ascii="Calibri"/>
                        <w:b/>
                        <w:color w:val="231F20"/>
                        <w:spacing w:val="-3"/>
                        <w:w w:val="125"/>
                        <w:sz w:val="20"/>
                      </w:rPr>
                      <w:t>S</w:t>
                    </w:r>
                    <w:r>
                      <w:rPr>
                        <w:rFonts w:ascii="Calibri"/>
                        <w:b/>
                        <w:color w:val="231F20"/>
                        <w:w w:val="106"/>
                        <w:sz w:val="20"/>
                      </w:rPr>
                      <w:t>trategic</w:t>
                    </w:r>
                    <w:r>
                      <w:rPr>
                        <w:rFonts w:ascii="Calibri"/>
                        <w:b/>
                        <w:color w:val="231F20"/>
                        <w:spacing w:val="6"/>
                        <w:sz w:val="20"/>
                      </w:rPr>
                      <w:t xml:space="preserve"> </w:t>
                    </w:r>
                    <w:r>
                      <w:rPr>
                        <w:rFonts w:ascii="Calibri"/>
                        <w:b/>
                        <w:color w:val="231F20"/>
                        <w:w w:val="107"/>
                        <w:sz w:val="20"/>
                      </w:rPr>
                      <w:t>Elements</w:t>
                    </w:r>
                  </w:p>
                </w:txbxContent>
              </v:textbox>
              <w10:wrap anchorx="page" anchory="page"/>
            </v:shape>
          </w:pict>
        </mc:Fallback>
      </mc:AlternateConten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B4E84FB" w14:textId="0816506A" w:rsidR="008601E5" w:rsidRDefault="008601E5">
    <w:pPr>
      <w:spacing w:line="14" w:lineRule="auto"/>
      <w:rPr>
        <w:sz w:val="20"/>
        <w:szCs w:val="20"/>
      </w:rPr>
    </w:pPr>
    <w:r>
      <w:rPr>
        <w:noProof/>
      </w:rPr>
      <mc:AlternateContent>
        <mc:Choice Requires="wps">
          <w:drawing>
            <wp:anchor distT="0" distB="0" distL="114300" distR="114300" simplePos="0" relativeHeight="251658298" behindDoc="1" locked="0" layoutInCell="1" allowOverlap="1" wp14:anchorId="26204721" wp14:editId="5B179D71">
              <wp:simplePos x="0" y="0"/>
              <wp:positionH relativeFrom="page">
                <wp:posOffset>781050</wp:posOffset>
              </wp:positionH>
              <wp:positionV relativeFrom="page">
                <wp:posOffset>9559925</wp:posOffset>
              </wp:positionV>
              <wp:extent cx="1673860" cy="152400"/>
              <wp:effectExtent l="0" t="0" r="0" b="0"/>
              <wp:wrapNone/>
              <wp:docPr id="353" name="Text Box 3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7386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F66597" w14:textId="77777777" w:rsidR="008601E5" w:rsidRDefault="008601E5">
                          <w:pPr>
                            <w:spacing w:line="226" w:lineRule="exact"/>
                            <w:ind w:left="20"/>
                            <w:rPr>
                              <w:rFonts w:ascii="Calibri" w:hAnsi="Calibri" w:cs="Calibri"/>
                              <w:sz w:val="20"/>
                              <w:szCs w:val="20"/>
                            </w:rPr>
                          </w:pPr>
                          <w:r>
                            <w:rPr>
                              <w:rFonts w:ascii="Calibri"/>
                              <w:b/>
                              <w:color w:val="231F20"/>
                              <w:w w:val="109"/>
                              <w:sz w:val="20"/>
                            </w:rPr>
                            <w:t>Section</w:t>
                          </w:r>
                          <w:r>
                            <w:rPr>
                              <w:rFonts w:ascii="Calibri"/>
                              <w:b/>
                              <w:color w:val="231F20"/>
                              <w:spacing w:val="6"/>
                              <w:sz w:val="20"/>
                            </w:rPr>
                            <w:t xml:space="preserve"> </w:t>
                          </w:r>
                          <w:r>
                            <w:rPr>
                              <w:rFonts w:ascii="Calibri"/>
                              <w:b/>
                              <w:color w:val="231F20"/>
                              <w:w w:val="95"/>
                              <w:sz w:val="20"/>
                            </w:rPr>
                            <w:t>II.</w:t>
                          </w:r>
                          <w:r>
                            <w:rPr>
                              <w:rFonts w:ascii="Calibri"/>
                              <w:b/>
                              <w:color w:val="231F20"/>
                              <w:spacing w:val="6"/>
                              <w:sz w:val="20"/>
                            </w:rPr>
                            <w:t xml:space="preserve"> </w:t>
                          </w:r>
                          <w:r>
                            <w:rPr>
                              <w:rFonts w:ascii="Calibri"/>
                              <w:b/>
                              <w:color w:val="231F20"/>
                              <w:spacing w:val="-3"/>
                              <w:w w:val="125"/>
                              <w:sz w:val="20"/>
                            </w:rPr>
                            <w:t>S</w:t>
                          </w:r>
                          <w:r>
                            <w:rPr>
                              <w:rFonts w:ascii="Calibri"/>
                              <w:b/>
                              <w:color w:val="231F20"/>
                              <w:w w:val="106"/>
                              <w:sz w:val="20"/>
                            </w:rPr>
                            <w:t>trategic</w:t>
                          </w:r>
                          <w:r>
                            <w:rPr>
                              <w:rFonts w:ascii="Calibri"/>
                              <w:b/>
                              <w:color w:val="231F20"/>
                              <w:spacing w:val="6"/>
                              <w:sz w:val="20"/>
                            </w:rPr>
                            <w:t xml:space="preserve"> </w:t>
                          </w:r>
                          <w:r>
                            <w:rPr>
                              <w:rFonts w:ascii="Calibri"/>
                              <w:b/>
                              <w:color w:val="231F20"/>
                              <w:w w:val="107"/>
                              <w:sz w:val="20"/>
                            </w:rPr>
                            <w:t>Elements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6204721" id="_x0000_t202" coordsize="21600,21600" o:spt="202" path="m,l,21600r21600,l21600,xe">
              <v:stroke joinstyle="miter"/>
              <v:path gradientshapeok="t" o:connecttype="rect"/>
            </v:shapetype>
            <v:shape id="Text Box 353" o:spid="_x0000_s1045" type="#_x0000_t202" style="position:absolute;margin-left:61.5pt;margin-top:752.75pt;width:131.8pt;height:12pt;z-index:-25165818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" filled="f" stroked="f">
              <v:textbox inset="0,0,0,0">
                <w:txbxContent>
                  <w:p w14:paraId="11F66597" w14:textId="77777777" w:rsidR="008601E5" w:rsidRDefault="008601E5">
                    <w:pPr>
                      <w:spacing w:line="226" w:lineRule="exact"/>
                      <w:ind w:left="20"/>
                      <w:rPr>
                        <w:rFonts w:ascii="Calibri" w:hAnsi="Calibri" w:cs="Calibri"/>
                        <w:sz w:val="20"/>
                        <w:szCs w:val="20"/>
                      </w:rPr>
                    </w:pPr>
                    <w:r>
                      <w:rPr>
                        <w:rFonts w:ascii="Calibri"/>
                        <w:b/>
                        <w:color w:val="231F20"/>
                        <w:w w:val="109"/>
                        <w:sz w:val="20"/>
                      </w:rPr>
                      <w:t>Section</w:t>
                    </w:r>
                    <w:r>
                      <w:rPr>
                        <w:rFonts w:ascii="Calibri"/>
                        <w:b/>
                        <w:color w:val="231F20"/>
                        <w:spacing w:val="6"/>
                        <w:sz w:val="20"/>
                      </w:rPr>
                      <w:t xml:space="preserve"> </w:t>
                    </w:r>
                    <w:r>
                      <w:rPr>
                        <w:rFonts w:ascii="Calibri"/>
                        <w:b/>
                        <w:color w:val="231F20"/>
                        <w:w w:val="95"/>
                        <w:sz w:val="20"/>
                      </w:rPr>
                      <w:t>II.</w:t>
                    </w:r>
                    <w:r>
                      <w:rPr>
                        <w:rFonts w:ascii="Calibri"/>
                        <w:b/>
                        <w:color w:val="231F20"/>
                        <w:spacing w:val="6"/>
                        <w:sz w:val="20"/>
                      </w:rPr>
                      <w:t xml:space="preserve"> </w:t>
                    </w:r>
                    <w:r>
                      <w:rPr>
                        <w:rFonts w:ascii="Calibri"/>
                        <w:b/>
                        <w:color w:val="231F20"/>
                        <w:spacing w:val="-3"/>
                        <w:w w:val="125"/>
                        <w:sz w:val="20"/>
                      </w:rPr>
                      <w:t>S</w:t>
                    </w:r>
                    <w:r>
                      <w:rPr>
                        <w:rFonts w:ascii="Calibri"/>
                        <w:b/>
                        <w:color w:val="231F20"/>
                        <w:w w:val="106"/>
                        <w:sz w:val="20"/>
                      </w:rPr>
                      <w:t>trategic</w:t>
                    </w:r>
                    <w:r>
                      <w:rPr>
                        <w:rFonts w:ascii="Calibri"/>
                        <w:b/>
                        <w:color w:val="231F20"/>
                        <w:spacing w:val="6"/>
                        <w:sz w:val="20"/>
                      </w:rPr>
                      <w:t xml:space="preserve"> </w:t>
                    </w:r>
                    <w:r>
                      <w:rPr>
                        <w:rFonts w:ascii="Calibri"/>
                        <w:b/>
                        <w:color w:val="231F20"/>
                        <w:w w:val="107"/>
                        <w:sz w:val="20"/>
                      </w:rPr>
                      <w:t>Elements</w:t>
                    </w:r>
                  </w:p>
                </w:txbxContent>
              </v:textbox>
              <w10:wrap anchorx="page" anchory="page"/>
            </v:shape>
          </w:pict>
        </mc:Fallback>
      </mc:AlternateConten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4E90913" w14:textId="500AECAD" w:rsidR="008601E5" w:rsidRDefault="008601E5">
    <w:pPr>
      <w:spacing w:line="14" w:lineRule="auto"/>
      <w:rPr>
        <w:sz w:val="20"/>
        <w:szCs w:val="20"/>
      </w:rPr>
    </w:pPr>
    <w:r>
      <w:rPr>
        <w:noProof/>
      </w:rPr>
      <mc:AlternateContent>
        <mc:Choice Requires="wps">
          <w:drawing>
            <wp:anchor distT="0" distB="0" distL="114300" distR="114300" simplePos="0" relativeHeight="251658299" behindDoc="1" locked="0" layoutInCell="1" allowOverlap="1" wp14:anchorId="2AD22D56" wp14:editId="4E269977">
              <wp:simplePos x="0" y="0"/>
              <wp:positionH relativeFrom="page">
                <wp:posOffset>781050</wp:posOffset>
              </wp:positionH>
              <wp:positionV relativeFrom="page">
                <wp:posOffset>9559925</wp:posOffset>
              </wp:positionV>
              <wp:extent cx="1673860" cy="152400"/>
              <wp:effectExtent l="0" t="0" r="0" b="0"/>
              <wp:wrapNone/>
              <wp:docPr id="351" name="Text Box 3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7386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98521B" w14:textId="77777777" w:rsidR="008601E5" w:rsidRDefault="008601E5">
                          <w:pPr>
                            <w:spacing w:line="226" w:lineRule="exact"/>
                            <w:ind w:left="20"/>
                            <w:rPr>
                              <w:rFonts w:ascii="Calibri" w:hAnsi="Calibri" w:cs="Calibri"/>
                              <w:sz w:val="20"/>
                              <w:szCs w:val="20"/>
                            </w:rPr>
                          </w:pPr>
                          <w:r>
                            <w:rPr>
                              <w:rFonts w:ascii="Calibri"/>
                              <w:b/>
                              <w:color w:val="231F20"/>
                              <w:w w:val="109"/>
                              <w:sz w:val="20"/>
                            </w:rPr>
                            <w:t>Section</w:t>
                          </w:r>
                          <w:r>
                            <w:rPr>
                              <w:rFonts w:ascii="Calibri"/>
                              <w:b/>
                              <w:color w:val="231F20"/>
                              <w:spacing w:val="6"/>
                              <w:sz w:val="20"/>
                            </w:rPr>
                            <w:t xml:space="preserve"> </w:t>
                          </w:r>
                          <w:r>
                            <w:rPr>
                              <w:rFonts w:ascii="Calibri"/>
                              <w:b/>
                              <w:color w:val="231F20"/>
                              <w:w w:val="95"/>
                              <w:sz w:val="20"/>
                            </w:rPr>
                            <w:t>II.</w:t>
                          </w:r>
                          <w:r>
                            <w:rPr>
                              <w:rFonts w:ascii="Calibri"/>
                              <w:b/>
                              <w:color w:val="231F20"/>
                              <w:spacing w:val="6"/>
                              <w:sz w:val="20"/>
                            </w:rPr>
                            <w:t xml:space="preserve"> </w:t>
                          </w:r>
                          <w:r>
                            <w:rPr>
                              <w:rFonts w:ascii="Calibri"/>
                              <w:b/>
                              <w:color w:val="231F20"/>
                              <w:spacing w:val="-3"/>
                              <w:w w:val="125"/>
                              <w:sz w:val="20"/>
                            </w:rPr>
                            <w:t>S</w:t>
                          </w:r>
                          <w:r>
                            <w:rPr>
                              <w:rFonts w:ascii="Calibri"/>
                              <w:b/>
                              <w:color w:val="231F20"/>
                              <w:w w:val="106"/>
                              <w:sz w:val="20"/>
                            </w:rPr>
                            <w:t>trategic</w:t>
                          </w:r>
                          <w:r>
                            <w:rPr>
                              <w:rFonts w:ascii="Calibri"/>
                              <w:b/>
                              <w:color w:val="231F20"/>
                              <w:spacing w:val="6"/>
                              <w:sz w:val="20"/>
                            </w:rPr>
                            <w:t xml:space="preserve"> </w:t>
                          </w:r>
                          <w:r>
                            <w:rPr>
                              <w:rFonts w:ascii="Calibri"/>
                              <w:b/>
                              <w:color w:val="231F20"/>
                              <w:w w:val="107"/>
                              <w:sz w:val="20"/>
                            </w:rPr>
                            <w:t>Elements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AD22D56" id="_x0000_t202" coordsize="21600,21600" o:spt="202" path="m,l,21600r21600,l21600,xe">
              <v:stroke joinstyle="miter"/>
              <v:path gradientshapeok="t" o:connecttype="rect"/>
            </v:shapetype>
            <v:shape id="Text Box 351" o:spid="_x0000_s1046" type="#_x0000_t202" style="position:absolute;margin-left:61.5pt;margin-top:752.75pt;width:131.8pt;height:12pt;z-index:-25165818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" filled="f" stroked="f">
              <v:textbox inset="0,0,0,0">
                <w:txbxContent>
                  <w:p w14:paraId="1498521B" w14:textId="77777777" w:rsidR="008601E5" w:rsidRDefault="008601E5">
                    <w:pPr>
                      <w:spacing w:line="226" w:lineRule="exact"/>
                      <w:ind w:left="20"/>
                      <w:rPr>
                        <w:rFonts w:ascii="Calibri" w:hAnsi="Calibri" w:cs="Calibri"/>
                        <w:sz w:val="20"/>
                        <w:szCs w:val="20"/>
                      </w:rPr>
                    </w:pPr>
                    <w:r>
                      <w:rPr>
                        <w:rFonts w:ascii="Calibri"/>
                        <w:b/>
                        <w:color w:val="231F20"/>
                        <w:w w:val="109"/>
                        <w:sz w:val="20"/>
                      </w:rPr>
                      <w:t>Section</w:t>
                    </w:r>
                    <w:r>
                      <w:rPr>
                        <w:rFonts w:ascii="Calibri"/>
                        <w:b/>
                        <w:color w:val="231F20"/>
                        <w:spacing w:val="6"/>
                        <w:sz w:val="20"/>
                      </w:rPr>
                      <w:t xml:space="preserve"> </w:t>
                    </w:r>
                    <w:r>
                      <w:rPr>
                        <w:rFonts w:ascii="Calibri"/>
                        <w:b/>
                        <w:color w:val="231F20"/>
                        <w:w w:val="95"/>
                        <w:sz w:val="20"/>
                      </w:rPr>
                      <w:t>II.</w:t>
                    </w:r>
                    <w:r>
                      <w:rPr>
                        <w:rFonts w:ascii="Calibri"/>
                        <w:b/>
                        <w:color w:val="231F20"/>
                        <w:spacing w:val="6"/>
                        <w:sz w:val="20"/>
                      </w:rPr>
                      <w:t xml:space="preserve"> </w:t>
                    </w:r>
                    <w:r>
                      <w:rPr>
                        <w:rFonts w:ascii="Calibri"/>
                        <w:b/>
                        <w:color w:val="231F20"/>
                        <w:spacing w:val="-3"/>
                        <w:w w:val="125"/>
                        <w:sz w:val="20"/>
                      </w:rPr>
                      <w:t>S</w:t>
                    </w:r>
                    <w:r>
                      <w:rPr>
                        <w:rFonts w:ascii="Calibri"/>
                        <w:b/>
                        <w:color w:val="231F20"/>
                        <w:w w:val="106"/>
                        <w:sz w:val="20"/>
                      </w:rPr>
                      <w:t>trategic</w:t>
                    </w:r>
                    <w:r>
                      <w:rPr>
                        <w:rFonts w:ascii="Calibri"/>
                        <w:b/>
                        <w:color w:val="231F20"/>
                        <w:spacing w:val="6"/>
                        <w:sz w:val="20"/>
                      </w:rPr>
                      <w:t xml:space="preserve"> </w:t>
                    </w:r>
                    <w:r>
                      <w:rPr>
                        <w:rFonts w:ascii="Calibri"/>
                        <w:b/>
                        <w:color w:val="231F20"/>
                        <w:w w:val="107"/>
                        <w:sz w:val="20"/>
                      </w:rPr>
                      <w:t>Elements</w:t>
                    </w:r>
                  </w:p>
                </w:txbxContent>
              </v:textbox>
              <w10:wrap anchorx="page" anchory="page"/>
            </v:shape>
          </w:pict>
        </mc:Fallback>
      </mc:AlternateContent>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F0906AD" w14:textId="5D0D0BB7" w:rsidR="008601E5" w:rsidRDefault="008601E5">
    <w:pPr>
      <w:spacing w:line="14" w:lineRule="auto"/>
      <w:rPr>
        <w:sz w:val="20"/>
        <w:szCs w:val="20"/>
      </w:rPr>
    </w:pPr>
    <w:r>
      <w:rPr>
        <w:noProof/>
      </w:rPr>
      <mc:AlternateContent>
        <mc:Choice Requires="wps">
          <w:drawing>
            <wp:anchor distT="0" distB="0" distL="114300" distR="114300" simplePos="0" relativeHeight="251658300" behindDoc="1" locked="0" layoutInCell="1" allowOverlap="1" wp14:anchorId="3D619EF3" wp14:editId="5887513B">
              <wp:simplePos x="0" y="0"/>
              <wp:positionH relativeFrom="page">
                <wp:posOffset>781050</wp:posOffset>
              </wp:positionH>
              <wp:positionV relativeFrom="page">
                <wp:posOffset>9559925</wp:posOffset>
              </wp:positionV>
              <wp:extent cx="1673860" cy="152400"/>
              <wp:effectExtent l="0" t="0" r="0" b="0"/>
              <wp:wrapNone/>
              <wp:docPr id="349" name="Text Box 3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7386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9B5359" w14:textId="77777777" w:rsidR="008601E5" w:rsidRDefault="008601E5">
                          <w:pPr>
                            <w:spacing w:line="226" w:lineRule="exact"/>
                            <w:ind w:left="20"/>
                            <w:rPr>
                              <w:rFonts w:ascii="Calibri" w:hAnsi="Calibri" w:cs="Calibri"/>
                              <w:sz w:val="20"/>
                              <w:szCs w:val="20"/>
                            </w:rPr>
                          </w:pPr>
                          <w:r>
                            <w:rPr>
                              <w:rFonts w:ascii="Calibri"/>
                              <w:b/>
                              <w:color w:val="231F20"/>
                              <w:w w:val="109"/>
                              <w:sz w:val="20"/>
                            </w:rPr>
                            <w:t>Section</w:t>
                          </w:r>
                          <w:r>
                            <w:rPr>
                              <w:rFonts w:ascii="Calibri"/>
                              <w:b/>
                              <w:color w:val="231F20"/>
                              <w:spacing w:val="6"/>
                              <w:sz w:val="20"/>
                            </w:rPr>
                            <w:t xml:space="preserve"> </w:t>
                          </w:r>
                          <w:r>
                            <w:rPr>
                              <w:rFonts w:ascii="Calibri"/>
                              <w:b/>
                              <w:color w:val="231F20"/>
                              <w:w w:val="95"/>
                              <w:sz w:val="20"/>
                            </w:rPr>
                            <w:t>II.</w:t>
                          </w:r>
                          <w:r>
                            <w:rPr>
                              <w:rFonts w:ascii="Calibri"/>
                              <w:b/>
                              <w:color w:val="231F20"/>
                              <w:spacing w:val="6"/>
                              <w:sz w:val="20"/>
                            </w:rPr>
                            <w:t xml:space="preserve"> </w:t>
                          </w:r>
                          <w:r>
                            <w:rPr>
                              <w:rFonts w:ascii="Calibri"/>
                              <w:b/>
                              <w:color w:val="231F20"/>
                              <w:spacing w:val="-3"/>
                              <w:w w:val="125"/>
                              <w:sz w:val="20"/>
                            </w:rPr>
                            <w:t>S</w:t>
                          </w:r>
                          <w:r>
                            <w:rPr>
                              <w:rFonts w:ascii="Calibri"/>
                              <w:b/>
                              <w:color w:val="231F20"/>
                              <w:w w:val="106"/>
                              <w:sz w:val="20"/>
                            </w:rPr>
                            <w:t>trategic</w:t>
                          </w:r>
                          <w:r>
                            <w:rPr>
                              <w:rFonts w:ascii="Calibri"/>
                              <w:b/>
                              <w:color w:val="231F20"/>
                              <w:spacing w:val="6"/>
                              <w:sz w:val="20"/>
                            </w:rPr>
                            <w:t xml:space="preserve"> </w:t>
                          </w:r>
                          <w:r>
                            <w:rPr>
                              <w:rFonts w:ascii="Calibri"/>
                              <w:b/>
                              <w:color w:val="231F20"/>
                              <w:w w:val="107"/>
                              <w:sz w:val="20"/>
                            </w:rPr>
                            <w:t>Elements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D619EF3" id="_x0000_t202" coordsize="21600,21600" o:spt="202" path="m,l,21600r21600,l21600,xe">
              <v:stroke joinstyle="miter"/>
              <v:path gradientshapeok="t" o:connecttype="rect"/>
            </v:shapetype>
            <v:shape id="Text Box 349" o:spid="_x0000_s1047" type="#_x0000_t202" style="position:absolute;margin-left:61.5pt;margin-top:752.75pt;width:131.8pt;height:12pt;z-index:-2516581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" filled="f" stroked="f">
              <v:textbox inset="0,0,0,0">
                <w:txbxContent>
                  <w:p w14:paraId="399B5359" w14:textId="77777777" w:rsidR="008601E5" w:rsidRDefault="008601E5">
                    <w:pPr>
                      <w:spacing w:line="226" w:lineRule="exact"/>
                      <w:ind w:left="20"/>
                      <w:rPr>
                        <w:rFonts w:ascii="Calibri" w:hAnsi="Calibri" w:cs="Calibri"/>
                        <w:sz w:val="20"/>
                        <w:szCs w:val="20"/>
                      </w:rPr>
                    </w:pPr>
                    <w:r>
                      <w:rPr>
                        <w:rFonts w:ascii="Calibri"/>
                        <w:b/>
                        <w:color w:val="231F20"/>
                        <w:w w:val="109"/>
                        <w:sz w:val="20"/>
                      </w:rPr>
                      <w:t>Section</w:t>
                    </w:r>
                    <w:r>
                      <w:rPr>
                        <w:rFonts w:ascii="Calibri"/>
                        <w:b/>
                        <w:color w:val="231F20"/>
                        <w:spacing w:val="6"/>
                        <w:sz w:val="20"/>
                      </w:rPr>
                      <w:t xml:space="preserve"> </w:t>
                    </w:r>
                    <w:r>
                      <w:rPr>
                        <w:rFonts w:ascii="Calibri"/>
                        <w:b/>
                        <w:color w:val="231F20"/>
                        <w:w w:val="95"/>
                        <w:sz w:val="20"/>
                      </w:rPr>
                      <w:t>II.</w:t>
                    </w:r>
                    <w:r>
                      <w:rPr>
                        <w:rFonts w:ascii="Calibri"/>
                        <w:b/>
                        <w:color w:val="231F20"/>
                        <w:spacing w:val="6"/>
                        <w:sz w:val="20"/>
                      </w:rPr>
                      <w:t xml:space="preserve"> </w:t>
                    </w:r>
                    <w:r>
                      <w:rPr>
                        <w:rFonts w:ascii="Calibri"/>
                        <w:b/>
                        <w:color w:val="231F20"/>
                        <w:spacing w:val="-3"/>
                        <w:w w:val="125"/>
                        <w:sz w:val="20"/>
                      </w:rPr>
                      <w:t>S</w:t>
                    </w:r>
                    <w:r>
                      <w:rPr>
                        <w:rFonts w:ascii="Calibri"/>
                        <w:b/>
                        <w:color w:val="231F20"/>
                        <w:w w:val="106"/>
                        <w:sz w:val="20"/>
                      </w:rPr>
                      <w:t>trategic</w:t>
                    </w:r>
                    <w:r>
                      <w:rPr>
                        <w:rFonts w:ascii="Calibri"/>
                        <w:b/>
                        <w:color w:val="231F20"/>
                        <w:spacing w:val="6"/>
                        <w:sz w:val="20"/>
                      </w:rPr>
                      <w:t xml:space="preserve"> </w:t>
                    </w:r>
                    <w:r>
                      <w:rPr>
                        <w:rFonts w:ascii="Calibri"/>
                        <w:b/>
                        <w:color w:val="231F20"/>
                        <w:w w:val="107"/>
                        <w:sz w:val="20"/>
                      </w:rPr>
                      <w:t>Elements</w:t>
                    </w:r>
                  </w:p>
                </w:txbxContent>
              </v:textbox>
              <w10:wrap anchorx="page" anchory="page"/>
            </v:shape>
          </w:pict>
        </mc:Fallback>
      </mc:AlternateContent>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7959E9B" w14:textId="0F65972F" w:rsidR="008601E5" w:rsidRDefault="008601E5">
    <w:pPr>
      <w:spacing w:line="14" w:lineRule="auto"/>
      <w:rPr>
        <w:sz w:val="20"/>
        <w:szCs w:val="20"/>
      </w:rPr>
    </w:pPr>
    <w:r>
      <w:rPr>
        <w:noProof/>
      </w:rPr>
      <mc:AlternateContent>
        <mc:Choice Requires="wps">
          <w:drawing>
            <wp:anchor distT="0" distB="0" distL="114300" distR="114300" simplePos="0" relativeHeight="251658301" behindDoc="1" locked="0" layoutInCell="1" allowOverlap="1" wp14:anchorId="454AF96F" wp14:editId="4765AD7B">
              <wp:simplePos x="0" y="0"/>
              <wp:positionH relativeFrom="page">
                <wp:posOffset>781050</wp:posOffset>
              </wp:positionH>
              <wp:positionV relativeFrom="page">
                <wp:posOffset>9559925</wp:posOffset>
              </wp:positionV>
              <wp:extent cx="1673860" cy="152400"/>
              <wp:effectExtent l="0" t="0" r="0" b="0"/>
              <wp:wrapNone/>
              <wp:docPr id="347" name="Text Box 3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7386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707EF8" w14:textId="77777777" w:rsidR="008601E5" w:rsidRDefault="008601E5">
                          <w:pPr>
                            <w:spacing w:line="226" w:lineRule="exact"/>
                            <w:ind w:left="20"/>
                            <w:rPr>
                              <w:rFonts w:ascii="Calibri" w:hAnsi="Calibri" w:cs="Calibri"/>
                              <w:sz w:val="20"/>
                              <w:szCs w:val="20"/>
                            </w:rPr>
                          </w:pPr>
                          <w:r>
                            <w:rPr>
                              <w:rFonts w:ascii="Calibri"/>
                              <w:b/>
                              <w:color w:val="231F20"/>
                              <w:w w:val="109"/>
                              <w:sz w:val="20"/>
                            </w:rPr>
                            <w:t>Section</w:t>
                          </w:r>
                          <w:r>
                            <w:rPr>
                              <w:rFonts w:ascii="Calibri"/>
                              <w:b/>
                              <w:color w:val="231F20"/>
                              <w:spacing w:val="6"/>
                              <w:sz w:val="20"/>
                            </w:rPr>
                            <w:t xml:space="preserve"> </w:t>
                          </w:r>
                          <w:r>
                            <w:rPr>
                              <w:rFonts w:ascii="Calibri"/>
                              <w:b/>
                              <w:color w:val="231F20"/>
                              <w:w w:val="95"/>
                              <w:sz w:val="20"/>
                            </w:rPr>
                            <w:t>II.</w:t>
                          </w:r>
                          <w:r>
                            <w:rPr>
                              <w:rFonts w:ascii="Calibri"/>
                              <w:b/>
                              <w:color w:val="231F20"/>
                              <w:spacing w:val="6"/>
                              <w:sz w:val="20"/>
                            </w:rPr>
                            <w:t xml:space="preserve"> </w:t>
                          </w:r>
                          <w:r>
                            <w:rPr>
                              <w:rFonts w:ascii="Calibri"/>
                              <w:b/>
                              <w:color w:val="231F20"/>
                              <w:spacing w:val="-3"/>
                              <w:w w:val="125"/>
                              <w:sz w:val="20"/>
                            </w:rPr>
                            <w:t>S</w:t>
                          </w:r>
                          <w:r>
                            <w:rPr>
                              <w:rFonts w:ascii="Calibri"/>
                              <w:b/>
                              <w:color w:val="231F20"/>
                              <w:w w:val="106"/>
                              <w:sz w:val="20"/>
                            </w:rPr>
                            <w:t>trategic</w:t>
                          </w:r>
                          <w:r>
                            <w:rPr>
                              <w:rFonts w:ascii="Calibri"/>
                              <w:b/>
                              <w:color w:val="231F20"/>
                              <w:spacing w:val="6"/>
                              <w:sz w:val="20"/>
                            </w:rPr>
                            <w:t xml:space="preserve"> </w:t>
                          </w:r>
                          <w:r>
                            <w:rPr>
                              <w:rFonts w:ascii="Calibri"/>
                              <w:b/>
                              <w:color w:val="231F20"/>
                              <w:w w:val="107"/>
                              <w:sz w:val="20"/>
                            </w:rPr>
                            <w:t>Elements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54AF96F" id="_x0000_t202" coordsize="21600,21600" o:spt="202" path="m,l,21600r21600,l21600,xe">
              <v:stroke joinstyle="miter"/>
              <v:path gradientshapeok="t" o:connecttype="rect"/>
            </v:shapetype>
            <v:shape id="Text Box 347" o:spid="_x0000_s1048" type="#_x0000_t202" style="position:absolute;margin-left:61.5pt;margin-top:752.75pt;width:131.8pt;height:12pt;z-index:-25165817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" filled="f" stroked="f">
              <v:textbox inset="0,0,0,0">
                <w:txbxContent>
                  <w:p w14:paraId="2B707EF8" w14:textId="77777777" w:rsidR="008601E5" w:rsidRDefault="008601E5">
                    <w:pPr>
                      <w:spacing w:line="226" w:lineRule="exact"/>
                      <w:ind w:left="20"/>
                      <w:rPr>
                        <w:rFonts w:ascii="Calibri" w:hAnsi="Calibri" w:cs="Calibri"/>
                        <w:sz w:val="20"/>
                        <w:szCs w:val="20"/>
                      </w:rPr>
                    </w:pPr>
                    <w:r>
                      <w:rPr>
                        <w:rFonts w:ascii="Calibri"/>
                        <w:b/>
                        <w:color w:val="231F20"/>
                        <w:w w:val="109"/>
                        <w:sz w:val="20"/>
                      </w:rPr>
                      <w:t>Section</w:t>
                    </w:r>
                    <w:r>
                      <w:rPr>
                        <w:rFonts w:ascii="Calibri"/>
                        <w:b/>
                        <w:color w:val="231F20"/>
                        <w:spacing w:val="6"/>
                        <w:sz w:val="20"/>
                      </w:rPr>
                      <w:t xml:space="preserve"> </w:t>
                    </w:r>
                    <w:r>
                      <w:rPr>
                        <w:rFonts w:ascii="Calibri"/>
                        <w:b/>
                        <w:color w:val="231F20"/>
                        <w:w w:val="95"/>
                        <w:sz w:val="20"/>
                      </w:rPr>
                      <w:t>II.</w:t>
                    </w:r>
                    <w:r>
                      <w:rPr>
                        <w:rFonts w:ascii="Calibri"/>
                        <w:b/>
                        <w:color w:val="231F20"/>
                        <w:spacing w:val="6"/>
                        <w:sz w:val="20"/>
                      </w:rPr>
                      <w:t xml:space="preserve"> </w:t>
                    </w:r>
                    <w:r>
                      <w:rPr>
                        <w:rFonts w:ascii="Calibri"/>
                        <w:b/>
                        <w:color w:val="231F20"/>
                        <w:spacing w:val="-3"/>
                        <w:w w:val="125"/>
                        <w:sz w:val="20"/>
                      </w:rPr>
                      <w:t>S</w:t>
                    </w:r>
                    <w:r>
                      <w:rPr>
                        <w:rFonts w:ascii="Calibri"/>
                        <w:b/>
                        <w:color w:val="231F20"/>
                        <w:w w:val="106"/>
                        <w:sz w:val="20"/>
                      </w:rPr>
                      <w:t>trategic</w:t>
                    </w:r>
                    <w:r>
                      <w:rPr>
                        <w:rFonts w:ascii="Calibri"/>
                        <w:b/>
                        <w:color w:val="231F20"/>
                        <w:spacing w:val="6"/>
                        <w:sz w:val="20"/>
                      </w:rPr>
                      <w:t xml:space="preserve"> </w:t>
                    </w:r>
                    <w:r>
                      <w:rPr>
                        <w:rFonts w:ascii="Calibri"/>
                        <w:b/>
                        <w:color w:val="231F20"/>
                        <w:w w:val="107"/>
                        <w:sz w:val="20"/>
                      </w:rPr>
                      <w:t>Elements</w:t>
                    </w:r>
                  </w:p>
                </w:txbxContent>
              </v:textbox>
              <w10:wrap anchorx="page" anchory="page"/>
            </v:shape>
          </w:pict>
        </mc:Fallback>
      </mc:AlternateContent>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254818309"/>
      <w:docPartObj>
        <w:docPartGallery w:val="Page Numbers (Bottom of Page)"/>
        <w:docPartUnique/>
      </w:docPartObj>
    </w:sdtPr>
    <w:sdtEndPr>
      <w:rPr>
        <w:noProof/>
      </w:rPr>
    </w:sdtEndPr>
    <w:sdtContent>
      <w:p w14:paraId="6DE283F2" w14:textId="28E5B1E9" w:rsidR="006212DB" w:rsidRDefault="006212DB">
        <w:pPr>
          <w:pStyle w:val="Footer"/>
          <w:jc w:val="center"/>
        </w:pPr>
        <w:r>
          <w:fldChar w:fldCharType="begin"/>
        </w:r>
        <w:r>
          <w:instrText xml:space="preserve"> PAGE   \* MERGEFORMAT </w:instrText>
        </w:r>
        <w:r>
          <w:fldChar w:fldCharType="separate"/>
        </w:r>
        <w:r w:rsidR="00BC1D20">
          <w:rPr>
            <w:noProof/>
          </w:rPr>
          <w:t>60</w:t>
        </w:r>
        <w:r>
          <w:rPr>
            <w:noProof/>
          </w:rPr>
          <w:fldChar w:fldCharType="end"/>
        </w:r>
      </w:p>
    </w:sdtContent>
  </w:sdt>
  <w:p w14:paraId="24AF1941" w14:textId="3FF32516" w:rsidR="008601E5" w:rsidRDefault="008601E5">
    <w:pPr>
      <w:spacing w:line="14" w:lineRule="auto"/>
      <w:rPr>
        <w:sz w:val="20"/>
        <w:szCs w:val="20"/>
      </w:rPr>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348463670"/>
      <w:docPartObj>
        <w:docPartGallery w:val="Page Numbers (Bottom of Page)"/>
        <w:docPartUnique/>
      </w:docPartObj>
    </w:sdtPr>
    <w:sdtEndPr>
      <w:rPr>
        <w:noProof/>
      </w:rPr>
    </w:sdtEndPr>
    <w:sdtContent>
      <w:p w14:paraId="64D7D0F9" w14:textId="48EEE136" w:rsidR="002E0C64" w:rsidRDefault="002E0C64">
        <w:pPr>
          <w:pStyle w:val="Footer"/>
          <w:jc w:val="center"/>
        </w:pPr>
        <w:r>
          <w:fldChar w:fldCharType="begin"/>
        </w:r>
        <w:r>
          <w:instrText xml:space="preserve"> PAGE   \* MERGEFORMAT </w:instrText>
        </w:r>
        <w:r>
          <w:fldChar w:fldCharType="separate"/>
        </w:r>
        <w:r w:rsidR="00BC1D20">
          <w:rPr>
            <w:noProof/>
          </w:rPr>
          <w:t>84</w:t>
        </w:r>
        <w:r>
          <w:rPr>
            <w:noProof/>
          </w:rPr>
          <w:fldChar w:fldCharType="end"/>
        </w:r>
      </w:p>
    </w:sdtContent>
  </w:sdt>
  <w:p w14:paraId="68E06BAE" w14:textId="1F27FFBB" w:rsidR="008601E5" w:rsidRDefault="005042D2">
    <w:pPr>
      <w:spacing w:line="14" w:lineRule="auto"/>
      <w:rPr>
        <w:sz w:val="20"/>
        <w:szCs w:val="20"/>
      </w:rPr>
    </w:pPr>
    <w:r>
      <w:rPr>
        <w:noProof/>
      </w:rPr>
      <mc:AlternateContent>
        <mc:Choice Requires="wps">
          <w:drawing>
            <wp:anchor distT="0" distB="0" distL="114300" distR="114300" simplePos="0" relativeHeight="251660349" behindDoc="1" locked="0" layoutInCell="1" allowOverlap="1" wp14:anchorId="5C8A6B2B" wp14:editId="453E4057">
              <wp:simplePos x="0" y="0"/>
              <wp:positionH relativeFrom="page">
                <wp:posOffset>571500</wp:posOffset>
              </wp:positionH>
              <wp:positionV relativeFrom="page">
                <wp:posOffset>9525635</wp:posOffset>
              </wp:positionV>
              <wp:extent cx="2399030" cy="152400"/>
              <wp:effectExtent l="0" t="0" r="0" b="0"/>
              <wp:wrapNone/>
              <wp:docPr id="331" name="Text Box 3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9903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58C39D" w14:textId="77777777" w:rsidR="005042D2" w:rsidRDefault="005042D2" w:rsidP="005042D2">
                          <w:pPr>
                            <w:spacing w:line="226" w:lineRule="exact"/>
                            <w:ind w:left="20"/>
                            <w:rPr>
                              <w:rFonts w:ascii="Calibri" w:hAnsi="Calibri" w:cs="Calibri"/>
                              <w:sz w:val="20"/>
                              <w:szCs w:val="20"/>
                            </w:rPr>
                          </w:pPr>
                          <w:r>
                            <w:rPr>
                              <w:rFonts w:ascii="Calibri"/>
                              <w:b/>
                              <w:color w:val="231F20"/>
                              <w:w w:val="109"/>
                              <w:sz w:val="20"/>
                            </w:rPr>
                            <w:t>Section</w:t>
                          </w:r>
                          <w:r>
                            <w:rPr>
                              <w:rFonts w:ascii="Calibri"/>
                              <w:b/>
                              <w:color w:val="231F20"/>
                              <w:spacing w:val="6"/>
                              <w:sz w:val="20"/>
                            </w:rPr>
                            <w:t xml:space="preserve"> </w:t>
                          </w:r>
                          <w:r>
                            <w:rPr>
                              <w:rFonts w:ascii="Calibri"/>
                              <w:b/>
                              <w:color w:val="231F20"/>
                              <w:w w:val="95"/>
                              <w:sz w:val="20"/>
                            </w:rPr>
                            <w:t>III.</w:t>
                          </w:r>
                          <w:r>
                            <w:rPr>
                              <w:rFonts w:ascii="Calibri"/>
                              <w:b/>
                              <w:color w:val="231F20"/>
                              <w:spacing w:val="6"/>
                              <w:sz w:val="20"/>
                            </w:rPr>
                            <w:t xml:space="preserve"> </w:t>
                          </w:r>
                          <w:r>
                            <w:rPr>
                              <w:rFonts w:ascii="Calibri"/>
                              <w:b/>
                              <w:color w:val="231F20"/>
                              <w:w w:val="105"/>
                              <w:sz w:val="20"/>
                            </w:rPr>
                            <w:t>Operational</w:t>
                          </w:r>
                          <w:r>
                            <w:rPr>
                              <w:rFonts w:ascii="Calibri"/>
                              <w:b/>
                              <w:color w:val="231F20"/>
                              <w:spacing w:val="6"/>
                              <w:sz w:val="20"/>
                            </w:rPr>
                            <w:t xml:space="preserve"> </w:t>
                          </w:r>
                          <w:r>
                            <w:rPr>
                              <w:rFonts w:ascii="Calibri"/>
                              <w:b/>
                              <w:color w:val="231F20"/>
                              <w:w w:val="108"/>
                              <w:sz w:val="20"/>
                            </w:rPr>
                            <w:t>Planning</w:t>
                          </w:r>
                          <w:r>
                            <w:rPr>
                              <w:rFonts w:ascii="Calibri"/>
                              <w:b/>
                              <w:color w:val="231F20"/>
                              <w:spacing w:val="6"/>
                              <w:sz w:val="20"/>
                            </w:rPr>
                            <w:t xml:space="preserve"> </w:t>
                          </w:r>
                          <w:r>
                            <w:rPr>
                              <w:rFonts w:ascii="Calibri"/>
                              <w:b/>
                              <w:color w:val="231F20"/>
                              <w:w w:val="107"/>
                              <w:sz w:val="20"/>
                            </w:rPr>
                            <w:t>Elements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C8A6B2B" id="_x0000_t202" coordsize="21600,21600" o:spt="202" path="m,l,21600r21600,l21600,xe">
              <v:stroke joinstyle="miter"/>
              <v:path gradientshapeok="t" o:connecttype="rect"/>
            </v:shapetype>
            <v:shape id="Text Box 331" o:spid="_x0000_s1049" type="#_x0000_t202" style="position:absolute;margin-left:45pt;margin-top:750.05pt;width:188.9pt;height:12pt;z-index:-25165613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" filled="f" stroked="f">
              <v:textbox inset="0,0,0,0">
                <w:txbxContent>
                  <w:p w14:paraId="3F58C39D" w14:textId="77777777" w:rsidR="005042D2" w:rsidRDefault="005042D2" w:rsidP="005042D2">
                    <w:pPr>
                      <w:spacing w:line="226" w:lineRule="exact"/>
                      <w:ind w:left="20"/>
                      <w:rPr>
                        <w:rFonts w:ascii="Calibri" w:hAnsi="Calibri" w:cs="Calibri"/>
                        <w:sz w:val="20"/>
                        <w:szCs w:val="20"/>
                      </w:rPr>
                    </w:pPr>
                    <w:r>
                      <w:rPr>
                        <w:rFonts w:ascii="Calibri"/>
                        <w:b/>
                        <w:color w:val="231F20"/>
                        <w:w w:val="109"/>
                        <w:sz w:val="20"/>
                      </w:rPr>
                      <w:t>Section</w:t>
                    </w:r>
                    <w:r>
                      <w:rPr>
                        <w:rFonts w:ascii="Calibri"/>
                        <w:b/>
                        <w:color w:val="231F20"/>
                        <w:spacing w:val="6"/>
                        <w:sz w:val="20"/>
                      </w:rPr>
                      <w:t xml:space="preserve"> </w:t>
                    </w:r>
                    <w:r>
                      <w:rPr>
                        <w:rFonts w:ascii="Calibri"/>
                        <w:b/>
                        <w:color w:val="231F20"/>
                        <w:w w:val="95"/>
                        <w:sz w:val="20"/>
                      </w:rPr>
                      <w:t>III.</w:t>
                    </w:r>
                    <w:r>
                      <w:rPr>
                        <w:rFonts w:ascii="Calibri"/>
                        <w:b/>
                        <w:color w:val="231F20"/>
                        <w:spacing w:val="6"/>
                        <w:sz w:val="20"/>
                      </w:rPr>
                      <w:t xml:space="preserve"> </w:t>
                    </w:r>
                    <w:r>
                      <w:rPr>
                        <w:rFonts w:ascii="Calibri"/>
                        <w:b/>
                        <w:color w:val="231F20"/>
                        <w:w w:val="105"/>
                        <w:sz w:val="20"/>
                      </w:rPr>
                      <w:t>Operational</w:t>
                    </w:r>
                    <w:r>
                      <w:rPr>
                        <w:rFonts w:ascii="Calibri"/>
                        <w:b/>
                        <w:color w:val="231F20"/>
                        <w:spacing w:val="6"/>
                        <w:sz w:val="20"/>
                      </w:rPr>
                      <w:t xml:space="preserve"> </w:t>
                    </w:r>
                    <w:r>
                      <w:rPr>
                        <w:rFonts w:ascii="Calibri"/>
                        <w:b/>
                        <w:color w:val="231F20"/>
                        <w:w w:val="108"/>
                        <w:sz w:val="20"/>
                      </w:rPr>
                      <w:t>Planning</w:t>
                    </w:r>
                    <w:r>
                      <w:rPr>
                        <w:rFonts w:ascii="Calibri"/>
                        <w:b/>
                        <w:color w:val="231F20"/>
                        <w:spacing w:val="6"/>
                        <w:sz w:val="20"/>
                      </w:rPr>
                      <w:t xml:space="preserve"> </w:t>
                    </w:r>
                    <w:r>
                      <w:rPr>
                        <w:rFonts w:ascii="Calibri"/>
                        <w:b/>
                        <w:color w:val="231F20"/>
                        <w:w w:val="107"/>
                        <w:sz w:val="20"/>
                      </w:rPr>
                      <w:t>Elements</w:t>
                    </w:r>
                  </w:p>
                </w:txbxContent>
              </v:textbox>
              <w10:wrap anchorx="page" anchory="page"/>
            </v:shape>
          </w:pict>
        </mc:Fallback>
      </mc:AlternateContent>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BA2CCCF" w14:textId="0C5359B0" w:rsidR="008601E5" w:rsidRDefault="008601E5">
    <w:pPr>
      <w:spacing w:line="14" w:lineRule="auto"/>
      <w:rPr>
        <w:sz w:val="20"/>
        <w:szCs w:val="20"/>
      </w:rPr>
    </w:pPr>
    <w:r>
      <w:rPr>
        <w:noProof/>
      </w:rPr>
      <mc:AlternateContent>
        <mc:Choice Requires="wps">
          <w:drawing>
            <wp:anchor distT="0" distB="0" distL="114300" distR="114300" simplePos="0" relativeHeight="251658293" behindDoc="1" locked="0" layoutInCell="1" allowOverlap="1" wp14:anchorId="14B6CF8C" wp14:editId="74A464AA">
              <wp:simplePos x="0" y="0"/>
              <wp:positionH relativeFrom="page">
                <wp:posOffset>781050</wp:posOffset>
              </wp:positionH>
              <wp:positionV relativeFrom="page">
                <wp:posOffset>9559925</wp:posOffset>
              </wp:positionV>
              <wp:extent cx="2399030" cy="152400"/>
              <wp:effectExtent l="0" t="0" r="1270" b="0"/>
              <wp:wrapNone/>
              <wp:docPr id="12"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9903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5B9CD8" w14:textId="77777777" w:rsidR="008601E5" w:rsidRDefault="008601E5">
                          <w:pPr>
                            <w:spacing w:line="226" w:lineRule="exact"/>
                            <w:ind w:left="20"/>
                            <w:rPr>
                              <w:rFonts w:ascii="Calibri" w:hAnsi="Calibri" w:cs="Calibri"/>
                              <w:sz w:val="20"/>
                              <w:szCs w:val="20"/>
                            </w:rPr>
                          </w:pPr>
                          <w:r>
                            <w:rPr>
                              <w:rFonts w:ascii="Calibri"/>
                              <w:b/>
                              <w:color w:val="231F20"/>
                              <w:w w:val="109"/>
                              <w:sz w:val="20"/>
                            </w:rPr>
                            <w:t>Section</w:t>
                          </w:r>
                          <w:r>
                            <w:rPr>
                              <w:rFonts w:ascii="Calibri"/>
                              <w:b/>
                              <w:color w:val="231F20"/>
                              <w:spacing w:val="6"/>
                              <w:sz w:val="20"/>
                            </w:rPr>
                            <w:t xml:space="preserve"> </w:t>
                          </w:r>
                          <w:r>
                            <w:rPr>
                              <w:rFonts w:ascii="Calibri"/>
                              <w:b/>
                              <w:color w:val="231F20"/>
                              <w:w w:val="95"/>
                              <w:sz w:val="20"/>
                            </w:rPr>
                            <w:t>III.</w:t>
                          </w:r>
                          <w:r>
                            <w:rPr>
                              <w:rFonts w:ascii="Calibri"/>
                              <w:b/>
                              <w:color w:val="231F20"/>
                              <w:spacing w:val="6"/>
                              <w:sz w:val="20"/>
                            </w:rPr>
                            <w:t xml:space="preserve"> </w:t>
                          </w:r>
                          <w:r>
                            <w:rPr>
                              <w:rFonts w:ascii="Calibri"/>
                              <w:b/>
                              <w:color w:val="231F20"/>
                              <w:w w:val="105"/>
                              <w:sz w:val="20"/>
                            </w:rPr>
                            <w:t>Operational</w:t>
                          </w:r>
                          <w:r>
                            <w:rPr>
                              <w:rFonts w:ascii="Calibri"/>
                              <w:b/>
                              <w:color w:val="231F20"/>
                              <w:spacing w:val="6"/>
                              <w:sz w:val="20"/>
                            </w:rPr>
                            <w:t xml:space="preserve"> </w:t>
                          </w:r>
                          <w:r>
                            <w:rPr>
                              <w:rFonts w:ascii="Calibri"/>
                              <w:b/>
                              <w:color w:val="231F20"/>
                              <w:w w:val="108"/>
                              <w:sz w:val="20"/>
                            </w:rPr>
                            <w:t>Planning</w:t>
                          </w:r>
                          <w:r>
                            <w:rPr>
                              <w:rFonts w:ascii="Calibri"/>
                              <w:b/>
                              <w:color w:val="231F20"/>
                              <w:spacing w:val="6"/>
                              <w:sz w:val="20"/>
                            </w:rPr>
                            <w:t xml:space="preserve"> </w:t>
                          </w:r>
                          <w:r>
                            <w:rPr>
                              <w:rFonts w:ascii="Calibri"/>
                              <w:b/>
                              <w:color w:val="231F20"/>
                              <w:w w:val="107"/>
                              <w:sz w:val="20"/>
                            </w:rPr>
                            <w:t>Elements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4B6CF8C" id="_x0000_t202" coordsize="21600,21600" o:spt="202" path="m,l,21600r21600,l21600,xe">
              <v:stroke joinstyle="miter"/>
              <v:path gradientshapeok="t" o:connecttype="rect"/>
            </v:shapetype>
            <v:shape id="Text Box 12" o:spid="_x0000_s1050" type="#_x0000_t202" style="position:absolute;margin-left:61.5pt;margin-top:752.75pt;width:188.9pt;height:12pt;z-index:-25165818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" filled="f" stroked="f">
              <v:textbox inset="0,0,0,0">
                <w:txbxContent>
                  <w:p w14:paraId="565B9CD8" w14:textId="77777777" w:rsidR="008601E5" w:rsidRDefault="008601E5">
                    <w:pPr>
                      <w:spacing w:line="226" w:lineRule="exact"/>
                      <w:ind w:left="20"/>
                      <w:rPr>
                        <w:rFonts w:ascii="Calibri" w:hAnsi="Calibri" w:cs="Calibri"/>
                        <w:sz w:val="20"/>
                        <w:szCs w:val="20"/>
                      </w:rPr>
                    </w:pPr>
                    <w:r>
                      <w:rPr>
                        <w:rFonts w:ascii="Calibri"/>
                        <w:b/>
                        <w:color w:val="231F20"/>
                        <w:w w:val="109"/>
                        <w:sz w:val="20"/>
                      </w:rPr>
                      <w:t>Section</w:t>
                    </w:r>
                    <w:r>
                      <w:rPr>
                        <w:rFonts w:ascii="Calibri"/>
                        <w:b/>
                        <w:color w:val="231F20"/>
                        <w:spacing w:val="6"/>
                        <w:sz w:val="20"/>
                      </w:rPr>
                      <w:t xml:space="preserve"> </w:t>
                    </w:r>
                    <w:r>
                      <w:rPr>
                        <w:rFonts w:ascii="Calibri"/>
                        <w:b/>
                        <w:color w:val="231F20"/>
                        <w:w w:val="95"/>
                        <w:sz w:val="20"/>
                      </w:rPr>
                      <w:t>III.</w:t>
                    </w:r>
                    <w:r>
                      <w:rPr>
                        <w:rFonts w:ascii="Calibri"/>
                        <w:b/>
                        <w:color w:val="231F20"/>
                        <w:spacing w:val="6"/>
                        <w:sz w:val="20"/>
                      </w:rPr>
                      <w:t xml:space="preserve"> </w:t>
                    </w:r>
                    <w:r>
                      <w:rPr>
                        <w:rFonts w:ascii="Calibri"/>
                        <w:b/>
                        <w:color w:val="231F20"/>
                        <w:w w:val="105"/>
                        <w:sz w:val="20"/>
                      </w:rPr>
                      <w:t>Operational</w:t>
                    </w:r>
                    <w:r>
                      <w:rPr>
                        <w:rFonts w:ascii="Calibri"/>
                        <w:b/>
                        <w:color w:val="231F20"/>
                        <w:spacing w:val="6"/>
                        <w:sz w:val="20"/>
                      </w:rPr>
                      <w:t xml:space="preserve"> </w:t>
                    </w:r>
                    <w:r>
                      <w:rPr>
                        <w:rFonts w:ascii="Calibri"/>
                        <w:b/>
                        <w:color w:val="231F20"/>
                        <w:w w:val="108"/>
                        <w:sz w:val="20"/>
                      </w:rPr>
                      <w:t>Planning</w:t>
                    </w:r>
                    <w:r>
                      <w:rPr>
                        <w:rFonts w:ascii="Calibri"/>
                        <w:b/>
                        <w:color w:val="231F20"/>
                        <w:spacing w:val="6"/>
                        <w:sz w:val="20"/>
                      </w:rPr>
                      <w:t xml:space="preserve"> </w:t>
                    </w:r>
                    <w:r>
                      <w:rPr>
                        <w:rFonts w:ascii="Calibri"/>
                        <w:b/>
                        <w:color w:val="231F20"/>
                        <w:w w:val="107"/>
                        <w:sz w:val="20"/>
                      </w:rPr>
                      <w:t>Elements</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88CA29E" w14:textId="7AE84053" w:rsidR="008601E5" w:rsidRDefault="008601E5">
    <w:pPr>
      <w:spacing w:line="14" w:lineRule="auto"/>
      <w:rPr>
        <w:sz w:val="20"/>
        <w:szCs w:val="20"/>
      </w:rPr>
    </w:pPr>
    <w:r>
      <w:rPr>
        <w:noProof/>
      </w:rPr>
      <w:drawing>
        <wp:anchor distT="0" distB="0" distL="114300" distR="114300" simplePos="0" relativeHeight="251658262" behindDoc="1" locked="0" layoutInCell="1" allowOverlap="1" wp14:anchorId="764B19EE" wp14:editId="3A2EBB2B">
          <wp:simplePos x="0" y="0"/>
          <wp:positionH relativeFrom="page">
            <wp:posOffset>640080</wp:posOffset>
          </wp:positionH>
          <wp:positionV relativeFrom="page">
            <wp:posOffset>9522460</wp:posOffset>
          </wp:positionV>
          <wp:extent cx="6136005" cy="214630"/>
          <wp:effectExtent l="0" t="0" r="0" b="0"/>
          <wp:wrapNone/>
          <wp:docPr id="22"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136005" cy="21463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58265" behindDoc="1" locked="0" layoutInCell="1" allowOverlap="1" wp14:anchorId="2DCF3644" wp14:editId="2BC9E1CD">
              <wp:simplePos x="0" y="0"/>
              <wp:positionH relativeFrom="page">
                <wp:posOffset>7004050</wp:posOffset>
              </wp:positionH>
              <wp:positionV relativeFrom="page">
                <wp:posOffset>9555480</wp:posOffset>
              </wp:positionV>
              <wp:extent cx="141605" cy="177800"/>
              <wp:effectExtent l="0" t="0" r="0" b="0"/>
              <wp:wrapNone/>
              <wp:docPr id="378" name="Text Box 3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605"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0030F5" w14:textId="77777777" w:rsidR="008601E5" w:rsidRDefault="008601E5">
                          <w:pPr>
                            <w:spacing w:line="267" w:lineRule="exact"/>
                            <w:ind w:left="20"/>
                            <w:rPr>
                              <w:rFonts w:ascii="Calibri" w:hAnsi="Calibri" w:cs="Calibri"/>
                              <w:sz w:val="24"/>
                              <w:szCs w:val="24"/>
                            </w:rPr>
                          </w:pPr>
                          <w:r>
                            <w:rPr>
                              <w:rFonts w:ascii="Calibri"/>
                              <w:b/>
                              <w:color w:val="231F20"/>
                              <w:w w:val="102"/>
                              <w:sz w:val="24"/>
                            </w:rPr>
                            <w:t>iii</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DCF3644" id="_x0000_t202" coordsize="21600,21600" o:spt="202" path="m,l,21600r21600,l21600,xe">
              <v:stroke joinstyle="miter"/>
              <v:path gradientshapeok="t" o:connecttype="rect"/>
            </v:shapetype>
            <v:shape id="Text Box 378" o:spid="_x0000_s1028" type="#_x0000_t202" style="position:absolute;margin-left:551.5pt;margin-top:752.4pt;width:11.15pt;height:14pt;z-index:-25165821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" filled="f" stroked="f">
              <v:textbox inset="0,0,0,0">
                <w:txbxContent>
                  <w:p w14:paraId="440030F5" w14:textId="77777777" w:rsidR="008601E5" w:rsidRDefault="008601E5">
                    <w:pPr>
                      <w:spacing w:line="267" w:lineRule="exact"/>
                      <w:ind w:left="20"/>
                      <w:rPr>
                        <w:rFonts w:ascii="Calibri" w:hAnsi="Calibri" w:cs="Calibri"/>
                        <w:sz w:val="24"/>
                        <w:szCs w:val="24"/>
                      </w:rPr>
                    </w:pPr>
                    <w:r>
                      <w:rPr>
                        <w:rFonts w:ascii="Calibri"/>
                        <w:b/>
                        <w:color w:val="231F20"/>
                        <w:w w:val="102"/>
                        <w:sz w:val="24"/>
                      </w:rPr>
                      <w:t>iii</w:t>
                    </w:r>
                  </w:p>
                </w:txbxContent>
              </v:textbox>
              <w10:wrap anchorx="page" anchory="page"/>
            </v:shape>
          </w:pict>
        </mc:Fallback>
      </mc:AlternateContent>
    </w:r>
    <w:r>
      <w:rPr>
        <w:noProof/>
      </w:rPr>
      <mc:AlternateContent>
        <mc:Choice Requires="wps">
          <w:drawing>
            <wp:anchor distT="0" distB="0" distL="114300" distR="114300" simplePos="0" relativeHeight="251658266" behindDoc="1" locked="0" layoutInCell="1" allowOverlap="1" wp14:anchorId="016199C9" wp14:editId="0B75E217">
              <wp:simplePos x="0" y="0"/>
              <wp:positionH relativeFrom="page">
                <wp:posOffset>781050</wp:posOffset>
              </wp:positionH>
              <wp:positionV relativeFrom="page">
                <wp:posOffset>9559925</wp:posOffset>
              </wp:positionV>
              <wp:extent cx="1023620" cy="152400"/>
              <wp:effectExtent l="0" t="0" r="0" b="0"/>
              <wp:wrapNone/>
              <wp:docPr id="377" name="Text Box 3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362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DEB0B7" w14:textId="77777777" w:rsidR="008601E5" w:rsidRDefault="008601E5">
                          <w:pPr>
                            <w:spacing w:line="226" w:lineRule="exact"/>
                            <w:ind w:left="20"/>
                            <w:rPr>
                              <w:rFonts w:ascii="Calibri" w:hAnsi="Calibri" w:cs="Calibri"/>
                              <w:sz w:val="20"/>
                              <w:szCs w:val="20"/>
                            </w:rPr>
                          </w:pPr>
                          <w:r>
                            <w:rPr>
                              <w:rFonts w:ascii="Calibri"/>
                              <w:b/>
                              <w:color w:val="231F20"/>
                              <w:spacing w:val="-17"/>
                              <w:w w:val="116"/>
                              <w:sz w:val="20"/>
                            </w:rPr>
                            <w:t>T</w:t>
                          </w:r>
                          <w:r>
                            <w:rPr>
                              <w:rFonts w:ascii="Calibri"/>
                              <w:b/>
                              <w:color w:val="231F20"/>
                              <w:w w:val="107"/>
                              <w:sz w:val="20"/>
                            </w:rPr>
                            <w:t>able</w:t>
                          </w:r>
                          <w:r>
                            <w:rPr>
                              <w:rFonts w:ascii="Calibri"/>
                              <w:b/>
                              <w:color w:val="231F20"/>
                              <w:spacing w:val="6"/>
                              <w:sz w:val="20"/>
                            </w:rPr>
                            <w:t xml:space="preserve"> </w:t>
                          </w:r>
                          <w:r>
                            <w:rPr>
                              <w:rFonts w:ascii="Calibri"/>
                              <w:b/>
                              <w:color w:val="231F20"/>
                              <w:w w:val="103"/>
                              <w:sz w:val="20"/>
                            </w:rPr>
                            <w:t>of</w:t>
                          </w:r>
                          <w:r>
                            <w:rPr>
                              <w:rFonts w:ascii="Calibri"/>
                              <w:b/>
                              <w:color w:val="231F20"/>
                              <w:spacing w:val="6"/>
                              <w:sz w:val="20"/>
                            </w:rPr>
                            <w:t xml:space="preserve"> </w:t>
                          </w:r>
                          <w:r>
                            <w:rPr>
                              <w:rFonts w:ascii="Calibri"/>
                              <w:b/>
                              <w:color w:val="231F20"/>
                              <w:w w:val="108"/>
                              <w:sz w:val="20"/>
                            </w:rPr>
                            <w:t>Contents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6199C9" id="Text Box 377" o:spid="_x0000_s1029" type="#_x0000_t202" style="position:absolute;margin-left:61.5pt;margin-top:752.75pt;width:80.6pt;height:12pt;z-index:-25165821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" filled="f" stroked="f">
              <v:textbox inset="0,0,0,0">
                <w:txbxContent>
                  <w:p w14:paraId="31DEB0B7" w14:textId="77777777" w:rsidR="008601E5" w:rsidRDefault="008601E5">
                    <w:pPr>
                      <w:spacing w:line="226" w:lineRule="exact"/>
                      <w:ind w:left="20"/>
                      <w:rPr>
                        <w:rFonts w:ascii="Calibri" w:hAnsi="Calibri" w:cs="Calibri"/>
                        <w:sz w:val="20"/>
                        <w:szCs w:val="20"/>
                      </w:rPr>
                    </w:pPr>
                    <w:r>
                      <w:rPr>
                        <w:rFonts w:ascii="Calibri"/>
                        <w:b/>
                        <w:color w:val="231F20"/>
                        <w:spacing w:val="-17"/>
                        <w:w w:val="116"/>
                        <w:sz w:val="20"/>
                      </w:rPr>
                      <w:t>T</w:t>
                    </w:r>
                    <w:r>
                      <w:rPr>
                        <w:rFonts w:ascii="Calibri"/>
                        <w:b/>
                        <w:color w:val="231F20"/>
                        <w:w w:val="107"/>
                        <w:sz w:val="20"/>
                      </w:rPr>
                      <w:t>able</w:t>
                    </w:r>
                    <w:r>
                      <w:rPr>
                        <w:rFonts w:ascii="Calibri"/>
                        <w:b/>
                        <w:color w:val="231F20"/>
                        <w:spacing w:val="6"/>
                        <w:sz w:val="20"/>
                      </w:rPr>
                      <w:t xml:space="preserve"> </w:t>
                    </w:r>
                    <w:r>
                      <w:rPr>
                        <w:rFonts w:ascii="Calibri"/>
                        <w:b/>
                        <w:color w:val="231F20"/>
                        <w:w w:val="103"/>
                        <w:sz w:val="20"/>
                      </w:rPr>
                      <w:t>of</w:t>
                    </w:r>
                    <w:r>
                      <w:rPr>
                        <w:rFonts w:ascii="Calibri"/>
                        <w:b/>
                        <w:color w:val="231F20"/>
                        <w:spacing w:val="6"/>
                        <w:sz w:val="20"/>
                      </w:rPr>
                      <w:t xml:space="preserve"> </w:t>
                    </w:r>
                    <w:r>
                      <w:rPr>
                        <w:rFonts w:ascii="Calibri"/>
                        <w:b/>
                        <w:color w:val="231F20"/>
                        <w:w w:val="108"/>
                        <w:sz w:val="20"/>
                      </w:rPr>
                      <w:t>Contents</w:t>
                    </w:r>
                  </w:p>
                </w:txbxContent>
              </v:textbox>
              <w10:wrap anchorx="page" anchory="page"/>
            </v:shape>
          </w:pict>
        </mc:Fallback>
      </mc:AlternateContent>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9E7D628" w14:textId="25B8E990" w:rsidR="008601E5" w:rsidRDefault="008601E5">
    <w:pPr>
      <w:spacing w:line="14" w:lineRule="auto"/>
      <w:rPr>
        <w:sz w:val="20"/>
        <w:szCs w:val="20"/>
      </w:rPr>
    </w:pPr>
    <w:r>
      <w:rPr>
        <w:noProof/>
      </w:rPr>
      <mc:AlternateContent>
        <mc:Choice Requires="wps">
          <w:drawing>
            <wp:anchor distT="0" distB="0" distL="114300" distR="114300" simplePos="0" relativeHeight="251658247" behindDoc="1" locked="0" layoutInCell="1" allowOverlap="1" wp14:anchorId="6CD077CD" wp14:editId="7C4CB496">
              <wp:simplePos x="0" y="0"/>
              <wp:positionH relativeFrom="page">
                <wp:posOffset>6922135</wp:posOffset>
              </wp:positionH>
              <wp:positionV relativeFrom="page">
                <wp:posOffset>9555480</wp:posOffset>
              </wp:positionV>
              <wp:extent cx="236220" cy="177800"/>
              <wp:effectExtent l="0" t="0" r="0" b="0"/>
              <wp:wrapNone/>
              <wp:docPr id="328" name="Text Box 3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220"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7E8FA1" w14:textId="43822180" w:rsidR="008601E5" w:rsidRDefault="008601E5">
                          <w:pPr>
                            <w:spacing w:line="267" w:lineRule="exact"/>
                            <w:ind w:left="40"/>
                            <w:rPr>
                              <w:rFonts w:ascii="Calibri" w:hAnsi="Calibri" w:cs="Calibri"/>
                              <w:sz w:val="24"/>
                              <w:szCs w:val="24"/>
                            </w:rPr>
                          </w:pPr>
                          <w:r>
                            <w:rPr>
                              <w:rFonts w:ascii="Calibri"/>
                              <w:b/>
                              <w:color w:val="231F20"/>
                              <w:w w:val="119"/>
                              <w:sz w:val="24"/>
                            </w:rPr>
                            <w:fldChar w:fldCharType="begin"/>
                          </w:r>
                          <w:r>
                            <w:rPr>
                              <w:rFonts w:ascii="Calibri"/>
                              <w:b/>
                              <w:color w:val="231F20"/>
                              <w:w w:val="119"/>
                              <w:sz w:val="24"/>
                            </w:rPr>
                            <w:instrText xml:space="preserve"> PAGE </w:instrText>
                          </w:r>
                          <w:r>
                            <w:rPr>
                              <w:rFonts w:ascii="Calibri"/>
                              <w:b/>
                              <w:color w:val="231F20"/>
                              <w:w w:val="119"/>
                              <w:sz w:val="24"/>
                            </w:rPr>
                            <w:fldChar w:fldCharType="separate"/>
                          </w:r>
                          <w:r w:rsidR="00BC1D20">
                            <w:rPr>
                              <w:rFonts w:ascii="Calibri"/>
                              <w:b/>
                              <w:noProof/>
                              <w:color w:val="231F20"/>
                              <w:w w:val="119"/>
                              <w:sz w:val="24"/>
                            </w:rPr>
                            <w:t>90</w:t>
                          </w:r>
                          <w:r>
                            <w:rPr>
                              <w:rFonts w:ascii="Calibri"/>
                              <w:b/>
                              <w:color w:val="231F20"/>
                              <w:w w:val="119"/>
                              <w:sz w:val="24"/>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CD077CD" id="_x0000_t202" coordsize="21600,21600" o:spt="202" path="m,l,21600r21600,l21600,xe">
              <v:stroke joinstyle="miter"/>
              <v:path gradientshapeok="t" o:connecttype="rect"/>
            </v:shapetype>
            <v:shape id="Text Box 328" o:spid="_x0000_s1051" type="#_x0000_t202" style="position:absolute;margin-left:545.05pt;margin-top:752.4pt;width:18.6pt;height:14pt;z-index:-25165823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" filled="f" stroked="f">
              <v:textbox inset="0,0,0,0">
                <w:txbxContent>
                  <w:p w14:paraId="487E8FA1" w14:textId="43822180" w:rsidR="008601E5" w:rsidRDefault="008601E5">
                    <w:pPr>
                      <w:spacing w:line="267" w:lineRule="exact"/>
                      <w:ind w:left="40"/>
                      <w:rPr>
                        <w:rFonts w:ascii="Calibri" w:hAnsi="Calibri" w:cs="Calibri"/>
                        <w:sz w:val="24"/>
                        <w:szCs w:val="24"/>
                      </w:rPr>
                    </w:pPr>
                    <w:r>
                      <w:rPr>
                        <w:rFonts w:ascii="Calibri"/>
                        <w:b/>
                        <w:color w:val="231F20"/>
                        <w:w w:val="119"/>
                        <w:sz w:val="24"/>
                      </w:rPr>
                      <w:fldChar w:fldCharType="begin"/>
                    </w:r>
                    <w:r>
                      <w:rPr>
                        <w:rFonts w:ascii="Calibri"/>
                        <w:b/>
                        <w:color w:val="231F20"/>
                        <w:w w:val="119"/>
                        <w:sz w:val="24"/>
                      </w:rPr>
                      <w:instrText xml:space="preserve"> PAGE </w:instrText>
                    </w:r>
                    <w:r>
                      <w:rPr>
                        <w:rFonts w:ascii="Calibri"/>
                        <w:b/>
                        <w:color w:val="231F20"/>
                        <w:w w:val="119"/>
                        <w:sz w:val="24"/>
                      </w:rPr>
                      <w:fldChar w:fldCharType="separate"/>
                    </w:r>
                    <w:r w:rsidR="00BC1D20">
                      <w:rPr>
                        <w:rFonts w:ascii="Calibri"/>
                        <w:b/>
                        <w:noProof/>
                        <w:color w:val="231F20"/>
                        <w:w w:val="119"/>
                        <w:sz w:val="24"/>
                      </w:rPr>
                      <w:t>90</w:t>
                    </w:r>
                    <w:r>
                      <w:rPr>
                        <w:rFonts w:ascii="Calibri"/>
                        <w:b/>
                        <w:color w:val="231F20"/>
                        <w:w w:val="119"/>
                        <w:sz w:val="24"/>
                      </w:rPr>
                      <w:fldChar w:fldCharType="end"/>
                    </w:r>
                  </w:p>
                </w:txbxContent>
              </v:textbox>
              <w10:wrap anchorx="page" anchory="page"/>
            </v:shape>
          </w:pict>
        </mc:Fallback>
      </mc:AlternateContent>
    </w:r>
    <w:r>
      <w:rPr>
        <w:noProof/>
      </w:rPr>
      <mc:AlternateContent>
        <mc:Choice Requires="wps">
          <w:drawing>
            <wp:anchor distT="0" distB="0" distL="114300" distR="114300" simplePos="0" relativeHeight="251658248" behindDoc="1" locked="0" layoutInCell="1" allowOverlap="1" wp14:anchorId="1490F64D" wp14:editId="65AFD8C4">
              <wp:simplePos x="0" y="0"/>
              <wp:positionH relativeFrom="page">
                <wp:posOffset>781050</wp:posOffset>
              </wp:positionH>
              <wp:positionV relativeFrom="page">
                <wp:posOffset>9559925</wp:posOffset>
              </wp:positionV>
              <wp:extent cx="2399030" cy="152400"/>
              <wp:effectExtent l="0" t="0" r="0" b="0"/>
              <wp:wrapNone/>
              <wp:docPr id="327" name="Text Box 3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9903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41A269" w14:textId="77777777" w:rsidR="008601E5" w:rsidRDefault="008601E5">
                          <w:pPr>
                            <w:spacing w:line="226" w:lineRule="exact"/>
                            <w:ind w:left="20"/>
                            <w:rPr>
                              <w:rFonts w:ascii="Calibri" w:hAnsi="Calibri" w:cs="Calibri"/>
                              <w:sz w:val="20"/>
                              <w:szCs w:val="20"/>
                            </w:rPr>
                          </w:pPr>
                          <w:r>
                            <w:rPr>
                              <w:rFonts w:ascii="Calibri"/>
                              <w:b/>
                              <w:color w:val="231F20"/>
                              <w:w w:val="109"/>
                              <w:sz w:val="20"/>
                            </w:rPr>
                            <w:t>Section</w:t>
                          </w:r>
                          <w:r>
                            <w:rPr>
                              <w:rFonts w:ascii="Calibri"/>
                              <w:b/>
                              <w:color w:val="231F20"/>
                              <w:spacing w:val="6"/>
                              <w:sz w:val="20"/>
                            </w:rPr>
                            <w:t xml:space="preserve"> </w:t>
                          </w:r>
                          <w:r>
                            <w:rPr>
                              <w:rFonts w:ascii="Calibri"/>
                              <w:b/>
                              <w:color w:val="231F20"/>
                              <w:w w:val="95"/>
                              <w:sz w:val="20"/>
                            </w:rPr>
                            <w:t>III.</w:t>
                          </w:r>
                          <w:r>
                            <w:rPr>
                              <w:rFonts w:ascii="Calibri"/>
                              <w:b/>
                              <w:color w:val="231F20"/>
                              <w:spacing w:val="6"/>
                              <w:sz w:val="20"/>
                            </w:rPr>
                            <w:t xml:space="preserve"> </w:t>
                          </w:r>
                          <w:r>
                            <w:rPr>
                              <w:rFonts w:ascii="Calibri"/>
                              <w:b/>
                              <w:color w:val="231F20"/>
                              <w:w w:val="105"/>
                              <w:sz w:val="20"/>
                            </w:rPr>
                            <w:t>Operational</w:t>
                          </w:r>
                          <w:r>
                            <w:rPr>
                              <w:rFonts w:ascii="Calibri"/>
                              <w:b/>
                              <w:color w:val="231F20"/>
                              <w:spacing w:val="6"/>
                              <w:sz w:val="20"/>
                            </w:rPr>
                            <w:t xml:space="preserve"> </w:t>
                          </w:r>
                          <w:r>
                            <w:rPr>
                              <w:rFonts w:ascii="Calibri"/>
                              <w:b/>
                              <w:color w:val="231F20"/>
                              <w:w w:val="108"/>
                              <w:sz w:val="20"/>
                            </w:rPr>
                            <w:t>Planning</w:t>
                          </w:r>
                          <w:r>
                            <w:rPr>
                              <w:rFonts w:ascii="Calibri"/>
                              <w:b/>
                              <w:color w:val="231F20"/>
                              <w:spacing w:val="6"/>
                              <w:sz w:val="20"/>
                            </w:rPr>
                            <w:t xml:space="preserve"> </w:t>
                          </w:r>
                          <w:r>
                            <w:rPr>
                              <w:rFonts w:ascii="Calibri"/>
                              <w:b/>
                              <w:color w:val="231F20"/>
                              <w:w w:val="107"/>
                              <w:sz w:val="20"/>
                            </w:rPr>
                            <w:t>Elements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90F64D" id="Text Box 327" o:spid="_x0000_s1052" type="#_x0000_t202" style="position:absolute;margin-left:61.5pt;margin-top:752.75pt;width:188.9pt;height:12pt;z-index:-2516582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" filled="f" stroked="f">
              <v:textbox inset="0,0,0,0">
                <w:txbxContent>
                  <w:p w14:paraId="0341A269" w14:textId="77777777" w:rsidR="008601E5" w:rsidRDefault="008601E5">
                    <w:pPr>
                      <w:spacing w:line="226" w:lineRule="exact"/>
                      <w:ind w:left="20"/>
                      <w:rPr>
                        <w:rFonts w:ascii="Calibri" w:hAnsi="Calibri" w:cs="Calibri"/>
                        <w:sz w:val="20"/>
                        <w:szCs w:val="20"/>
                      </w:rPr>
                    </w:pPr>
                    <w:r>
                      <w:rPr>
                        <w:rFonts w:ascii="Calibri"/>
                        <w:b/>
                        <w:color w:val="231F20"/>
                        <w:w w:val="109"/>
                        <w:sz w:val="20"/>
                      </w:rPr>
                      <w:t>Section</w:t>
                    </w:r>
                    <w:r>
                      <w:rPr>
                        <w:rFonts w:ascii="Calibri"/>
                        <w:b/>
                        <w:color w:val="231F20"/>
                        <w:spacing w:val="6"/>
                        <w:sz w:val="20"/>
                      </w:rPr>
                      <w:t xml:space="preserve"> </w:t>
                    </w:r>
                    <w:r>
                      <w:rPr>
                        <w:rFonts w:ascii="Calibri"/>
                        <w:b/>
                        <w:color w:val="231F20"/>
                        <w:w w:val="95"/>
                        <w:sz w:val="20"/>
                      </w:rPr>
                      <w:t>III.</w:t>
                    </w:r>
                    <w:r>
                      <w:rPr>
                        <w:rFonts w:ascii="Calibri"/>
                        <w:b/>
                        <w:color w:val="231F20"/>
                        <w:spacing w:val="6"/>
                        <w:sz w:val="20"/>
                      </w:rPr>
                      <w:t xml:space="preserve"> </w:t>
                    </w:r>
                    <w:r>
                      <w:rPr>
                        <w:rFonts w:ascii="Calibri"/>
                        <w:b/>
                        <w:color w:val="231F20"/>
                        <w:w w:val="105"/>
                        <w:sz w:val="20"/>
                      </w:rPr>
                      <w:t>Operational</w:t>
                    </w:r>
                    <w:r>
                      <w:rPr>
                        <w:rFonts w:ascii="Calibri"/>
                        <w:b/>
                        <w:color w:val="231F20"/>
                        <w:spacing w:val="6"/>
                        <w:sz w:val="20"/>
                      </w:rPr>
                      <w:t xml:space="preserve"> </w:t>
                    </w:r>
                    <w:r>
                      <w:rPr>
                        <w:rFonts w:ascii="Calibri"/>
                        <w:b/>
                        <w:color w:val="231F20"/>
                        <w:w w:val="108"/>
                        <w:sz w:val="20"/>
                      </w:rPr>
                      <w:t>Planning</w:t>
                    </w:r>
                    <w:r>
                      <w:rPr>
                        <w:rFonts w:ascii="Calibri"/>
                        <w:b/>
                        <w:color w:val="231F20"/>
                        <w:spacing w:val="6"/>
                        <w:sz w:val="20"/>
                      </w:rPr>
                      <w:t xml:space="preserve"> </w:t>
                    </w:r>
                    <w:r>
                      <w:rPr>
                        <w:rFonts w:ascii="Calibri"/>
                        <w:b/>
                        <w:color w:val="231F20"/>
                        <w:w w:val="107"/>
                        <w:sz w:val="20"/>
                      </w:rPr>
                      <w:t>Elements</w:t>
                    </w:r>
                  </w:p>
                </w:txbxContent>
              </v:textbox>
              <w10:wrap anchorx="page" anchory="page"/>
            </v:shape>
          </w:pict>
        </mc:Fallback>
      </mc:AlternateContent>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CAAE87F" w14:textId="1AD76C87" w:rsidR="008601E5" w:rsidRDefault="008601E5" w:rsidP="007315B9">
    <w:pPr>
      <w:spacing w:line="267" w:lineRule="exact"/>
      <w:ind w:left="40"/>
      <w:rPr>
        <w:sz w:val="20"/>
        <w:szCs w:val="20"/>
      </w:rPr>
    </w:pPr>
    <w:r>
      <w:rPr>
        <w:noProof/>
      </w:rPr>
      <mc:AlternateContent>
        <mc:Choice Requires="wps">
          <w:drawing>
            <wp:anchor distT="0" distB="0" distL="114300" distR="114300" simplePos="0" relativeHeight="251658292" behindDoc="1" locked="0" layoutInCell="1" allowOverlap="1" wp14:anchorId="4D7B2F5C" wp14:editId="556B4198">
              <wp:simplePos x="0" y="0"/>
              <wp:positionH relativeFrom="page">
                <wp:posOffset>781050</wp:posOffset>
              </wp:positionH>
              <wp:positionV relativeFrom="page">
                <wp:posOffset>9559925</wp:posOffset>
              </wp:positionV>
              <wp:extent cx="2847340" cy="152400"/>
              <wp:effectExtent l="0" t="0" r="0" b="0"/>
              <wp:wrapNone/>
              <wp:docPr id="321" name="Text Box 3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4734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310030" w14:textId="77777777" w:rsidR="008601E5" w:rsidRDefault="008601E5">
                          <w:pPr>
                            <w:spacing w:line="226" w:lineRule="exact"/>
                            <w:ind w:left="20"/>
                            <w:rPr>
                              <w:rFonts w:ascii="Calibri" w:hAnsi="Calibri" w:cs="Calibri"/>
                              <w:sz w:val="20"/>
                              <w:szCs w:val="20"/>
                            </w:rPr>
                          </w:pPr>
                          <w:r>
                            <w:rPr>
                              <w:rFonts w:ascii="Calibri"/>
                              <w:b/>
                              <w:color w:val="231F20"/>
                              <w:w w:val="109"/>
                              <w:sz w:val="20"/>
                            </w:rPr>
                            <w:t>Section</w:t>
                          </w:r>
                          <w:r>
                            <w:rPr>
                              <w:rFonts w:ascii="Calibri"/>
                              <w:b/>
                              <w:color w:val="231F20"/>
                              <w:spacing w:val="6"/>
                              <w:sz w:val="20"/>
                            </w:rPr>
                            <w:t xml:space="preserve"> </w:t>
                          </w:r>
                          <w:r>
                            <w:rPr>
                              <w:rFonts w:ascii="Calibri"/>
                              <w:b/>
                              <w:color w:val="231F20"/>
                              <w:w w:val="108"/>
                              <w:sz w:val="20"/>
                            </w:rPr>
                            <w:t>I</w:t>
                          </w:r>
                          <w:r>
                            <w:rPr>
                              <w:rFonts w:ascii="Calibri"/>
                              <w:b/>
                              <w:color w:val="231F20"/>
                              <w:spacing w:val="-18"/>
                              <w:w w:val="108"/>
                              <w:sz w:val="20"/>
                            </w:rPr>
                            <w:t>V</w:t>
                          </w:r>
                          <w:r>
                            <w:rPr>
                              <w:rFonts w:ascii="Calibri"/>
                              <w:b/>
                              <w:color w:val="231F20"/>
                              <w:w w:val="91"/>
                              <w:sz w:val="20"/>
                            </w:rPr>
                            <w:t>.</w:t>
                          </w:r>
                          <w:r>
                            <w:rPr>
                              <w:rFonts w:ascii="Calibri"/>
                              <w:b/>
                              <w:color w:val="231F20"/>
                              <w:spacing w:val="6"/>
                              <w:sz w:val="20"/>
                            </w:rPr>
                            <w:t xml:space="preserve"> </w:t>
                          </w:r>
                          <w:r>
                            <w:rPr>
                              <w:rFonts w:ascii="Calibri"/>
                              <w:b/>
                              <w:color w:val="231F20"/>
                              <w:w w:val="106"/>
                              <w:sz w:val="20"/>
                            </w:rPr>
                            <w:t>Coordination</w:t>
                          </w:r>
                          <w:r>
                            <w:rPr>
                              <w:rFonts w:ascii="Calibri"/>
                              <w:b/>
                              <w:color w:val="231F20"/>
                              <w:spacing w:val="6"/>
                              <w:sz w:val="20"/>
                            </w:rPr>
                            <w:t xml:space="preserve"> </w:t>
                          </w:r>
                          <w:r>
                            <w:rPr>
                              <w:rFonts w:ascii="Calibri"/>
                              <w:b/>
                              <w:color w:val="231F20"/>
                              <w:sz w:val="20"/>
                            </w:rPr>
                            <w:t>with</w:t>
                          </w:r>
                          <w:r>
                            <w:rPr>
                              <w:rFonts w:ascii="Calibri"/>
                              <w:b/>
                              <w:color w:val="231F20"/>
                              <w:spacing w:val="6"/>
                              <w:sz w:val="20"/>
                            </w:rPr>
                            <w:t xml:space="preserve"> </w:t>
                          </w:r>
                          <w:r>
                            <w:rPr>
                              <w:rFonts w:ascii="Calibri"/>
                              <w:b/>
                              <w:color w:val="231F20"/>
                              <w:spacing w:val="-4"/>
                              <w:w w:val="125"/>
                              <w:sz w:val="20"/>
                            </w:rPr>
                            <w:t>S</w:t>
                          </w:r>
                          <w:r>
                            <w:rPr>
                              <w:rFonts w:ascii="Calibri"/>
                              <w:b/>
                              <w:color w:val="231F20"/>
                              <w:w w:val="102"/>
                              <w:sz w:val="20"/>
                            </w:rPr>
                            <w:t>tate</w:t>
                          </w:r>
                          <w:r>
                            <w:rPr>
                              <w:rFonts w:ascii="Calibri"/>
                              <w:b/>
                              <w:color w:val="231F20"/>
                              <w:spacing w:val="6"/>
                              <w:sz w:val="20"/>
                            </w:rPr>
                            <w:t xml:space="preserve"> </w:t>
                          </w:r>
                          <w:r>
                            <w:rPr>
                              <w:rFonts w:ascii="Calibri"/>
                              <w:b/>
                              <w:color w:val="231F20"/>
                              <w:w w:val="107"/>
                              <w:sz w:val="20"/>
                            </w:rPr>
                            <w:t>Plan</w:t>
                          </w:r>
                          <w:r>
                            <w:rPr>
                              <w:rFonts w:ascii="Calibri"/>
                              <w:b/>
                              <w:color w:val="231F20"/>
                              <w:spacing w:val="6"/>
                              <w:sz w:val="20"/>
                            </w:rPr>
                            <w:t xml:space="preserve"> </w:t>
                          </w:r>
                          <w:r>
                            <w:rPr>
                              <w:rFonts w:ascii="Calibri"/>
                              <w:b/>
                              <w:color w:val="231F20"/>
                              <w:w w:val="108"/>
                              <w:sz w:val="20"/>
                            </w:rPr>
                            <w:t>Programs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D7B2F5C" id="_x0000_t202" coordsize="21600,21600" o:spt="202" path="m,l,21600r21600,l21600,xe">
              <v:stroke joinstyle="miter"/>
              <v:path gradientshapeok="t" o:connecttype="rect"/>
            </v:shapetype>
            <v:shape id="Text Box 321" o:spid="_x0000_s1053" type="#_x0000_t202" style="position:absolute;left:0;text-align:left;margin-left:61.5pt;margin-top:752.75pt;width:224.2pt;height:12pt;z-index:-2516581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" filled="f" stroked="f">
              <v:textbox inset="0,0,0,0">
                <w:txbxContent>
                  <w:p w14:paraId="0E310030" w14:textId="77777777" w:rsidR="008601E5" w:rsidRDefault="008601E5">
                    <w:pPr>
                      <w:spacing w:line="226" w:lineRule="exact"/>
                      <w:ind w:left="20"/>
                      <w:rPr>
                        <w:rFonts w:ascii="Calibri" w:hAnsi="Calibri" w:cs="Calibri"/>
                        <w:sz w:val="20"/>
                        <w:szCs w:val="20"/>
                      </w:rPr>
                    </w:pPr>
                    <w:r>
                      <w:rPr>
                        <w:rFonts w:ascii="Calibri"/>
                        <w:b/>
                        <w:color w:val="231F20"/>
                        <w:w w:val="109"/>
                        <w:sz w:val="20"/>
                      </w:rPr>
                      <w:t>Section</w:t>
                    </w:r>
                    <w:r>
                      <w:rPr>
                        <w:rFonts w:ascii="Calibri"/>
                        <w:b/>
                        <w:color w:val="231F20"/>
                        <w:spacing w:val="6"/>
                        <w:sz w:val="20"/>
                      </w:rPr>
                      <w:t xml:space="preserve"> </w:t>
                    </w:r>
                    <w:r>
                      <w:rPr>
                        <w:rFonts w:ascii="Calibri"/>
                        <w:b/>
                        <w:color w:val="231F20"/>
                        <w:w w:val="108"/>
                        <w:sz w:val="20"/>
                      </w:rPr>
                      <w:t>I</w:t>
                    </w:r>
                    <w:r>
                      <w:rPr>
                        <w:rFonts w:ascii="Calibri"/>
                        <w:b/>
                        <w:color w:val="231F20"/>
                        <w:spacing w:val="-18"/>
                        <w:w w:val="108"/>
                        <w:sz w:val="20"/>
                      </w:rPr>
                      <w:t>V</w:t>
                    </w:r>
                    <w:r>
                      <w:rPr>
                        <w:rFonts w:ascii="Calibri"/>
                        <w:b/>
                        <w:color w:val="231F20"/>
                        <w:w w:val="91"/>
                        <w:sz w:val="20"/>
                      </w:rPr>
                      <w:t>.</w:t>
                    </w:r>
                    <w:r>
                      <w:rPr>
                        <w:rFonts w:ascii="Calibri"/>
                        <w:b/>
                        <w:color w:val="231F20"/>
                        <w:spacing w:val="6"/>
                        <w:sz w:val="20"/>
                      </w:rPr>
                      <w:t xml:space="preserve"> </w:t>
                    </w:r>
                    <w:r>
                      <w:rPr>
                        <w:rFonts w:ascii="Calibri"/>
                        <w:b/>
                        <w:color w:val="231F20"/>
                        <w:w w:val="106"/>
                        <w:sz w:val="20"/>
                      </w:rPr>
                      <w:t>Coordination</w:t>
                    </w:r>
                    <w:r>
                      <w:rPr>
                        <w:rFonts w:ascii="Calibri"/>
                        <w:b/>
                        <w:color w:val="231F20"/>
                        <w:spacing w:val="6"/>
                        <w:sz w:val="20"/>
                      </w:rPr>
                      <w:t xml:space="preserve"> </w:t>
                    </w:r>
                    <w:r>
                      <w:rPr>
                        <w:rFonts w:ascii="Calibri"/>
                        <w:b/>
                        <w:color w:val="231F20"/>
                        <w:sz w:val="20"/>
                      </w:rPr>
                      <w:t>with</w:t>
                    </w:r>
                    <w:r>
                      <w:rPr>
                        <w:rFonts w:ascii="Calibri"/>
                        <w:b/>
                        <w:color w:val="231F20"/>
                        <w:spacing w:val="6"/>
                        <w:sz w:val="20"/>
                      </w:rPr>
                      <w:t xml:space="preserve"> </w:t>
                    </w:r>
                    <w:r>
                      <w:rPr>
                        <w:rFonts w:ascii="Calibri"/>
                        <w:b/>
                        <w:color w:val="231F20"/>
                        <w:spacing w:val="-4"/>
                        <w:w w:val="125"/>
                        <w:sz w:val="20"/>
                      </w:rPr>
                      <w:t>S</w:t>
                    </w:r>
                    <w:r>
                      <w:rPr>
                        <w:rFonts w:ascii="Calibri"/>
                        <w:b/>
                        <w:color w:val="231F20"/>
                        <w:w w:val="102"/>
                        <w:sz w:val="20"/>
                      </w:rPr>
                      <w:t>tate</w:t>
                    </w:r>
                    <w:r>
                      <w:rPr>
                        <w:rFonts w:ascii="Calibri"/>
                        <w:b/>
                        <w:color w:val="231F20"/>
                        <w:spacing w:val="6"/>
                        <w:sz w:val="20"/>
                      </w:rPr>
                      <w:t xml:space="preserve"> </w:t>
                    </w:r>
                    <w:r>
                      <w:rPr>
                        <w:rFonts w:ascii="Calibri"/>
                        <w:b/>
                        <w:color w:val="231F20"/>
                        <w:w w:val="107"/>
                        <w:sz w:val="20"/>
                      </w:rPr>
                      <w:t>Plan</w:t>
                    </w:r>
                    <w:r>
                      <w:rPr>
                        <w:rFonts w:ascii="Calibri"/>
                        <w:b/>
                        <w:color w:val="231F20"/>
                        <w:spacing w:val="6"/>
                        <w:sz w:val="20"/>
                      </w:rPr>
                      <w:t xml:space="preserve"> </w:t>
                    </w:r>
                    <w:r>
                      <w:rPr>
                        <w:rFonts w:ascii="Calibri"/>
                        <w:b/>
                        <w:color w:val="231F20"/>
                        <w:w w:val="108"/>
                        <w:sz w:val="20"/>
                      </w:rPr>
                      <w:t>Programs</w:t>
                    </w:r>
                  </w:p>
                </w:txbxContent>
              </v:textbox>
              <w10:wrap anchorx="page" anchory="page"/>
            </v:shape>
          </w:pict>
        </mc:Fallback>
      </mc:AlternateContent>
    </w: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F1A0347" w14:textId="51F8B6E2" w:rsidR="008601E5" w:rsidRDefault="008601E5">
    <w:pPr>
      <w:spacing w:line="14" w:lineRule="auto"/>
      <w:rPr>
        <w:sz w:val="20"/>
        <w:szCs w:val="20"/>
      </w:rPr>
    </w:pPr>
    <w:r>
      <w:rPr>
        <w:noProof/>
      </w:rPr>
      <mc:AlternateContent>
        <mc:Choice Requires="wps">
          <w:drawing>
            <wp:anchor distT="0" distB="0" distL="114300" distR="114300" simplePos="0" relativeHeight="251658249" behindDoc="1" locked="0" layoutInCell="1" allowOverlap="1" wp14:anchorId="09D4B238" wp14:editId="213D9137">
              <wp:simplePos x="0" y="0"/>
              <wp:positionH relativeFrom="page">
                <wp:posOffset>6868160</wp:posOffset>
              </wp:positionH>
              <wp:positionV relativeFrom="page">
                <wp:posOffset>9555480</wp:posOffset>
              </wp:positionV>
              <wp:extent cx="277495" cy="177800"/>
              <wp:effectExtent l="0" t="0" r="0" b="0"/>
              <wp:wrapNone/>
              <wp:docPr id="320" name="Text Box 3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7495"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D1B5A5" w14:textId="77777777" w:rsidR="008601E5" w:rsidRDefault="008601E5">
                          <w:pPr>
                            <w:spacing w:line="267" w:lineRule="exact"/>
                            <w:ind w:left="20"/>
                            <w:rPr>
                              <w:rFonts w:ascii="Calibri" w:hAnsi="Calibri" w:cs="Calibri"/>
                              <w:sz w:val="24"/>
                              <w:szCs w:val="24"/>
                            </w:rPr>
                          </w:pPr>
                          <w:r>
                            <w:rPr>
                              <w:rFonts w:ascii="Calibri"/>
                              <w:b/>
                              <w:color w:val="231F20"/>
                              <w:w w:val="108"/>
                              <w:sz w:val="24"/>
                            </w:rPr>
                            <w:t>100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9D4B238" id="_x0000_t202" coordsize="21600,21600" o:spt="202" path="m,l,21600r21600,l21600,xe">
              <v:stroke joinstyle="miter"/>
              <v:path gradientshapeok="t" o:connecttype="rect"/>
            </v:shapetype>
            <v:shape id="Text Box 320" o:spid="_x0000_s1054" type="#_x0000_t202" style="position:absolute;margin-left:540.8pt;margin-top:752.4pt;width:21.85pt;height:14pt;z-index:-25165823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" filled="f" stroked="f">
              <v:textbox inset="0,0,0,0">
                <w:txbxContent>
                  <w:p w14:paraId="36D1B5A5" w14:textId="77777777" w:rsidR="008601E5" w:rsidRDefault="008601E5">
                    <w:pPr>
                      <w:spacing w:line="267" w:lineRule="exact"/>
                      <w:ind w:left="20"/>
                      <w:rPr>
                        <w:rFonts w:ascii="Calibri" w:hAnsi="Calibri" w:cs="Calibri"/>
                        <w:sz w:val="24"/>
                        <w:szCs w:val="24"/>
                      </w:rPr>
                    </w:pPr>
                    <w:r>
                      <w:rPr>
                        <w:rFonts w:ascii="Calibri"/>
                        <w:b/>
                        <w:color w:val="231F20"/>
                        <w:w w:val="108"/>
                        <w:sz w:val="24"/>
                      </w:rPr>
                      <w:t>100</w:t>
                    </w:r>
                  </w:p>
                </w:txbxContent>
              </v:textbox>
              <w10:wrap anchorx="page" anchory="page"/>
            </v:shape>
          </w:pict>
        </mc:Fallback>
      </mc:AlternateContent>
    </w:r>
    <w:r>
      <w:rPr>
        <w:noProof/>
      </w:rPr>
      <mc:AlternateContent>
        <mc:Choice Requires="wps">
          <w:drawing>
            <wp:anchor distT="0" distB="0" distL="114300" distR="114300" simplePos="0" relativeHeight="251658250" behindDoc="1" locked="0" layoutInCell="1" allowOverlap="1" wp14:anchorId="3FC5C0FF" wp14:editId="7BC3FE0B">
              <wp:simplePos x="0" y="0"/>
              <wp:positionH relativeFrom="page">
                <wp:posOffset>781050</wp:posOffset>
              </wp:positionH>
              <wp:positionV relativeFrom="page">
                <wp:posOffset>9559925</wp:posOffset>
              </wp:positionV>
              <wp:extent cx="2847340" cy="152400"/>
              <wp:effectExtent l="0" t="0" r="0" b="0"/>
              <wp:wrapNone/>
              <wp:docPr id="319" name="Text Box 3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4734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4A905CA" w14:textId="77777777" w:rsidR="008601E5" w:rsidRDefault="008601E5">
                          <w:pPr>
                            <w:spacing w:line="226" w:lineRule="exact"/>
                            <w:ind w:left="20"/>
                            <w:rPr>
                              <w:rFonts w:ascii="Calibri" w:hAnsi="Calibri" w:cs="Calibri"/>
                              <w:sz w:val="20"/>
                              <w:szCs w:val="20"/>
                            </w:rPr>
                          </w:pPr>
                          <w:r>
                            <w:rPr>
                              <w:rFonts w:ascii="Calibri"/>
                              <w:b/>
                              <w:color w:val="231F20"/>
                              <w:w w:val="109"/>
                              <w:sz w:val="20"/>
                            </w:rPr>
                            <w:t>Section</w:t>
                          </w:r>
                          <w:r>
                            <w:rPr>
                              <w:rFonts w:ascii="Calibri"/>
                              <w:b/>
                              <w:color w:val="231F20"/>
                              <w:spacing w:val="6"/>
                              <w:sz w:val="20"/>
                            </w:rPr>
                            <w:t xml:space="preserve"> </w:t>
                          </w:r>
                          <w:r>
                            <w:rPr>
                              <w:rFonts w:ascii="Calibri"/>
                              <w:b/>
                              <w:color w:val="231F20"/>
                              <w:w w:val="108"/>
                              <w:sz w:val="20"/>
                            </w:rPr>
                            <w:t>I</w:t>
                          </w:r>
                          <w:r>
                            <w:rPr>
                              <w:rFonts w:ascii="Calibri"/>
                              <w:b/>
                              <w:color w:val="231F20"/>
                              <w:spacing w:val="-18"/>
                              <w:w w:val="108"/>
                              <w:sz w:val="20"/>
                            </w:rPr>
                            <w:t>V</w:t>
                          </w:r>
                          <w:r>
                            <w:rPr>
                              <w:rFonts w:ascii="Calibri"/>
                              <w:b/>
                              <w:color w:val="231F20"/>
                              <w:w w:val="91"/>
                              <w:sz w:val="20"/>
                            </w:rPr>
                            <w:t>.</w:t>
                          </w:r>
                          <w:r>
                            <w:rPr>
                              <w:rFonts w:ascii="Calibri"/>
                              <w:b/>
                              <w:color w:val="231F20"/>
                              <w:spacing w:val="6"/>
                              <w:sz w:val="20"/>
                            </w:rPr>
                            <w:t xml:space="preserve"> </w:t>
                          </w:r>
                          <w:r>
                            <w:rPr>
                              <w:rFonts w:ascii="Calibri"/>
                              <w:b/>
                              <w:color w:val="231F20"/>
                              <w:w w:val="106"/>
                              <w:sz w:val="20"/>
                            </w:rPr>
                            <w:t>Coordination</w:t>
                          </w:r>
                          <w:r>
                            <w:rPr>
                              <w:rFonts w:ascii="Calibri"/>
                              <w:b/>
                              <w:color w:val="231F20"/>
                              <w:spacing w:val="6"/>
                              <w:sz w:val="20"/>
                            </w:rPr>
                            <w:t xml:space="preserve"> </w:t>
                          </w:r>
                          <w:r>
                            <w:rPr>
                              <w:rFonts w:ascii="Calibri"/>
                              <w:b/>
                              <w:color w:val="231F20"/>
                              <w:sz w:val="20"/>
                            </w:rPr>
                            <w:t>with</w:t>
                          </w:r>
                          <w:r>
                            <w:rPr>
                              <w:rFonts w:ascii="Calibri"/>
                              <w:b/>
                              <w:color w:val="231F20"/>
                              <w:spacing w:val="6"/>
                              <w:sz w:val="20"/>
                            </w:rPr>
                            <w:t xml:space="preserve"> </w:t>
                          </w:r>
                          <w:r>
                            <w:rPr>
                              <w:rFonts w:ascii="Calibri"/>
                              <w:b/>
                              <w:color w:val="231F20"/>
                              <w:spacing w:val="-4"/>
                              <w:w w:val="125"/>
                              <w:sz w:val="20"/>
                            </w:rPr>
                            <w:t>S</w:t>
                          </w:r>
                          <w:r>
                            <w:rPr>
                              <w:rFonts w:ascii="Calibri"/>
                              <w:b/>
                              <w:color w:val="231F20"/>
                              <w:w w:val="102"/>
                              <w:sz w:val="20"/>
                            </w:rPr>
                            <w:t>tate</w:t>
                          </w:r>
                          <w:r>
                            <w:rPr>
                              <w:rFonts w:ascii="Calibri"/>
                              <w:b/>
                              <w:color w:val="231F20"/>
                              <w:spacing w:val="6"/>
                              <w:sz w:val="20"/>
                            </w:rPr>
                            <w:t xml:space="preserve"> </w:t>
                          </w:r>
                          <w:r>
                            <w:rPr>
                              <w:rFonts w:ascii="Calibri"/>
                              <w:b/>
                              <w:color w:val="231F20"/>
                              <w:w w:val="107"/>
                              <w:sz w:val="20"/>
                            </w:rPr>
                            <w:t>Plan</w:t>
                          </w:r>
                          <w:r>
                            <w:rPr>
                              <w:rFonts w:ascii="Calibri"/>
                              <w:b/>
                              <w:color w:val="231F20"/>
                              <w:spacing w:val="6"/>
                              <w:sz w:val="20"/>
                            </w:rPr>
                            <w:t xml:space="preserve"> </w:t>
                          </w:r>
                          <w:r>
                            <w:rPr>
                              <w:rFonts w:ascii="Calibri"/>
                              <w:b/>
                              <w:color w:val="231F20"/>
                              <w:w w:val="108"/>
                              <w:sz w:val="20"/>
                            </w:rPr>
                            <w:t>Programs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FC5C0FF" id="Text Box 319" o:spid="_x0000_s1055" type="#_x0000_t202" style="position:absolute;margin-left:61.5pt;margin-top:752.75pt;width:224.2pt;height:12pt;z-index:-25165823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" filled="f" stroked="f">
              <v:textbox inset="0,0,0,0">
                <w:txbxContent>
                  <w:p w14:paraId="74A905CA" w14:textId="77777777" w:rsidR="008601E5" w:rsidRDefault="008601E5">
                    <w:pPr>
                      <w:spacing w:line="226" w:lineRule="exact"/>
                      <w:ind w:left="20"/>
                      <w:rPr>
                        <w:rFonts w:ascii="Calibri" w:hAnsi="Calibri" w:cs="Calibri"/>
                        <w:sz w:val="20"/>
                        <w:szCs w:val="20"/>
                      </w:rPr>
                    </w:pPr>
                    <w:r>
                      <w:rPr>
                        <w:rFonts w:ascii="Calibri"/>
                        <w:b/>
                        <w:color w:val="231F20"/>
                        <w:w w:val="109"/>
                        <w:sz w:val="20"/>
                      </w:rPr>
                      <w:t>Section</w:t>
                    </w:r>
                    <w:r>
                      <w:rPr>
                        <w:rFonts w:ascii="Calibri"/>
                        <w:b/>
                        <w:color w:val="231F20"/>
                        <w:spacing w:val="6"/>
                        <w:sz w:val="20"/>
                      </w:rPr>
                      <w:t xml:space="preserve"> </w:t>
                    </w:r>
                    <w:r>
                      <w:rPr>
                        <w:rFonts w:ascii="Calibri"/>
                        <w:b/>
                        <w:color w:val="231F20"/>
                        <w:w w:val="108"/>
                        <w:sz w:val="20"/>
                      </w:rPr>
                      <w:t>I</w:t>
                    </w:r>
                    <w:r>
                      <w:rPr>
                        <w:rFonts w:ascii="Calibri"/>
                        <w:b/>
                        <w:color w:val="231F20"/>
                        <w:spacing w:val="-18"/>
                        <w:w w:val="108"/>
                        <w:sz w:val="20"/>
                      </w:rPr>
                      <w:t>V</w:t>
                    </w:r>
                    <w:r>
                      <w:rPr>
                        <w:rFonts w:ascii="Calibri"/>
                        <w:b/>
                        <w:color w:val="231F20"/>
                        <w:w w:val="91"/>
                        <w:sz w:val="20"/>
                      </w:rPr>
                      <w:t>.</w:t>
                    </w:r>
                    <w:r>
                      <w:rPr>
                        <w:rFonts w:ascii="Calibri"/>
                        <w:b/>
                        <w:color w:val="231F20"/>
                        <w:spacing w:val="6"/>
                        <w:sz w:val="20"/>
                      </w:rPr>
                      <w:t xml:space="preserve"> </w:t>
                    </w:r>
                    <w:r>
                      <w:rPr>
                        <w:rFonts w:ascii="Calibri"/>
                        <w:b/>
                        <w:color w:val="231F20"/>
                        <w:w w:val="106"/>
                        <w:sz w:val="20"/>
                      </w:rPr>
                      <w:t>Coordination</w:t>
                    </w:r>
                    <w:r>
                      <w:rPr>
                        <w:rFonts w:ascii="Calibri"/>
                        <w:b/>
                        <w:color w:val="231F20"/>
                        <w:spacing w:val="6"/>
                        <w:sz w:val="20"/>
                      </w:rPr>
                      <w:t xml:space="preserve"> </w:t>
                    </w:r>
                    <w:r>
                      <w:rPr>
                        <w:rFonts w:ascii="Calibri"/>
                        <w:b/>
                        <w:color w:val="231F20"/>
                        <w:sz w:val="20"/>
                      </w:rPr>
                      <w:t>with</w:t>
                    </w:r>
                    <w:r>
                      <w:rPr>
                        <w:rFonts w:ascii="Calibri"/>
                        <w:b/>
                        <w:color w:val="231F20"/>
                        <w:spacing w:val="6"/>
                        <w:sz w:val="20"/>
                      </w:rPr>
                      <w:t xml:space="preserve"> </w:t>
                    </w:r>
                    <w:r>
                      <w:rPr>
                        <w:rFonts w:ascii="Calibri"/>
                        <w:b/>
                        <w:color w:val="231F20"/>
                        <w:spacing w:val="-4"/>
                        <w:w w:val="125"/>
                        <w:sz w:val="20"/>
                      </w:rPr>
                      <w:t>S</w:t>
                    </w:r>
                    <w:r>
                      <w:rPr>
                        <w:rFonts w:ascii="Calibri"/>
                        <w:b/>
                        <w:color w:val="231F20"/>
                        <w:w w:val="102"/>
                        <w:sz w:val="20"/>
                      </w:rPr>
                      <w:t>tate</w:t>
                    </w:r>
                    <w:r>
                      <w:rPr>
                        <w:rFonts w:ascii="Calibri"/>
                        <w:b/>
                        <w:color w:val="231F20"/>
                        <w:spacing w:val="6"/>
                        <w:sz w:val="20"/>
                      </w:rPr>
                      <w:t xml:space="preserve"> </w:t>
                    </w:r>
                    <w:r>
                      <w:rPr>
                        <w:rFonts w:ascii="Calibri"/>
                        <w:b/>
                        <w:color w:val="231F20"/>
                        <w:w w:val="107"/>
                        <w:sz w:val="20"/>
                      </w:rPr>
                      <w:t>Plan</w:t>
                    </w:r>
                    <w:r>
                      <w:rPr>
                        <w:rFonts w:ascii="Calibri"/>
                        <w:b/>
                        <w:color w:val="231F20"/>
                        <w:spacing w:val="6"/>
                        <w:sz w:val="20"/>
                      </w:rPr>
                      <w:t xml:space="preserve"> </w:t>
                    </w:r>
                    <w:r>
                      <w:rPr>
                        <w:rFonts w:ascii="Calibri"/>
                        <w:b/>
                        <w:color w:val="231F20"/>
                        <w:w w:val="108"/>
                        <w:sz w:val="20"/>
                      </w:rPr>
                      <w:t>Programs</w:t>
                    </w:r>
                  </w:p>
                </w:txbxContent>
              </v:textbox>
              <w10:wrap anchorx="page" anchory="page"/>
            </v:shape>
          </w:pict>
        </mc:Fallback>
      </mc:AlternateContent>
    </w: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F3A55DC" w14:textId="5304193B" w:rsidR="008601E5" w:rsidRDefault="008601E5">
    <w:pPr>
      <w:spacing w:line="14" w:lineRule="auto"/>
      <w:rPr>
        <w:sz w:val="20"/>
        <w:szCs w:val="20"/>
      </w:rPr>
    </w:pPr>
    <w:r>
      <w:rPr>
        <w:noProof/>
      </w:rPr>
      <mc:AlternateContent>
        <mc:Choice Requires="wps">
          <w:drawing>
            <wp:anchor distT="0" distB="0" distL="114300" distR="114300" simplePos="0" relativeHeight="251658251" behindDoc="1" locked="0" layoutInCell="1" allowOverlap="1" wp14:anchorId="2089C863" wp14:editId="607065F4">
              <wp:simplePos x="0" y="0"/>
              <wp:positionH relativeFrom="page">
                <wp:posOffset>6858635</wp:posOffset>
              </wp:positionH>
              <wp:positionV relativeFrom="page">
                <wp:posOffset>9555480</wp:posOffset>
              </wp:positionV>
              <wp:extent cx="299720" cy="177800"/>
              <wp:effectExtent l="0" t="0" r="0" b="0"/>
              <wp:wrapNone/>
              <wp:docPr id="318" name="Text Box 3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9720"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E9D0F8" w14:textId="5A9978D5" w:rsidR="008601E5" w:rsidRDefault="008601E5">
                          <w:pPr>
                            <w:spacing w:line="267" w:lineRule="exact"/>
                            <w:ind w:left="40"/>
                            <w:rPr>
                              <w:rFonts w:ascii="Calibri" w:hAnsi="Calibri" w:cs="Calibri"/>
                              <w:sz w:val="24"/>
                              <w:szCs w:val="24"/>
                            </w:rPr>
                          </w:pPr>
                          <w:r>
                            <w:rPr>
                              <w:rFonts w:ascii="Calibri"/>
                              <w:b/>
                              <w:color w:val="231F20"/>
                              <w:w w:val="107"/>
                              <w:sz w:val="24"/>
                            </w:rPr>
                            <w:fldChar w:fldCharType="begin"/>
                          </w:r>
                          <w:r>
                            <w:rPr>
                              <w:rFonts w:ascii="Calibri"/>
                              <w:b/>
                              <w:color w:val="231F20"/>
                              <w:w w:val="107"/>
                              <w:sz w:val="24"/>
                            </w:rPr>
                            <w:instrText xml:space="preserve"> PAGE </w:instrText>
                          </w:r>
                          <w:r>
                            <w:rPr>
                              <w:rFonts w:ascii="Calibri"/>
                              <w:b/>
                              <w:color w:val="231F20"/>
                              <w:w w:val="107"/>
                              <w:sz w:val="24"/>
                            </w:rPr>
                            <w:fldChar w:fldCharType="separate"/>
                          </w:r>
                          <w:r w:rsidR="00BC1D20">
                            <w:rPr>
                              <w:rFonts w:ascii="Calibri"/>
                              <w:b/>
                              <w:noProof/>
                              <w:color w:val="231F20"/>
                              <w:w w:val="107"/>
                              <w:sz w:val="24"/>
                            </w:rPr>
                            <w:t>102</w:t>
                          </w:r>
                          <w:r>
                            <w:rPr>
                              <w:rFonts w:ascii="Calibri"/>
                              <w:b/>
                              <w:color w:val="231F20"/>
                              <w:w w:val="107"/>
                              <w:sz w:val="24"/>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089C863" id="_x0000_t202" coordsize="21600,21600" o:spt="202" path="m,l,21600r21600,l21600,xe">
              <v:stroke joinstyle="miter"/>
              <v:path gradientshapeok="t" o:connecttype="rect"/>
            </v:shapetype>
            <v:shape id="Text Box 318" o:spid="_x0000_s1056" type="#_x0000_t202" style="position:absolute;margin-left:540.05pt;margin-top:752.4pt;width:23.6pt;height:14pt;z-index:-25165822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" filled="f" stroked="f">
              <v:textbox inset="0,0,0,0">
                <w:txbxContent>
                  <w:p w14:paraId="01E9D0F8" w14:textId="5A9978D5" w:rsidR="008601E5" w:rsidRDefault="008601E5">
                    <w:pPr>
                      <w:spacing w:line="267" w:lineRule="exact"/>
                      <w:ind w:left="40"/>
                      <w:rPr>
                        <w:rFonts w:ascii="Calibri" w:hAnsi="Calibri" w:cs="Calibri"/>
                        <w:sz w:val="24"/>
                        <w:szCs w:val="24"/>
                      </w:rPr>
                    </w:pPr>
                    <w:r>
                      <w:rPr>
                        <w:rFonts w:ascii="Calibri"/>
                        <w:b/>
                        <w:color w:val="231F20"/>
                        <w:w w:val="107"/>
                        <w:sz w:val="24"/>
                      </w:rPr>
                      <w:fldChar w:fldCharType="begin"/>
                    </w:r>
                    <w:r>
                      <w:rPr>
                        <w:rFonts w:ascii="Calibri"/>
                        <w:b/>
                        <w:color w:val="231F20"/>
                        <w:w w:val="107"/>
                        <w:sz w:val="24"/>
                      </w:rPr>
                      <w:instrText xml:space="preserve"> PAGE </w:instrText>
                    </w:r>
                    <w:r>
                      <w:rPr>
                        <w:rFonts w:ascii="Calibri"/>
                        <w:b/>
                        <w:color w:val="231F20"/>
                        <w:w w:val="107"/>
                        <w:sz w:val="24"/>
                      </w:rPr>
                      <w:fldChar w:fldCharType="separate"/>
                    </w:r>
                    <w:r w:rsidR="00BC1D20">
                      <w:rPr>
                        <w:rFonts w:ascii="Calibri"/>
                        <w:b/>
                        <w:noProof/>
                        <w:color w:val="231F20"/>
                        <w:w w:val="107"/>
                        <w:sz w:val="24"/>
                      </w:rPr>
                      <w:t>102</w:t>
                    </w:r>
                    <w:r>
                      <w:rPr>
                        <w:rFonts w:ascii="Calibri"/>
                        <w:b/>
                        <w:color w:val="231F20"/>
                        <w:w w:val="107"/>
                        <w:sz w:val="24"/>
                      </w:rPr>
                      <w:fldChar w:fldCharType="end"/>
                    </w:r>
                  </w:p>
                </w:txbxContent>
              </v:textbox>
              <w10:wrap anchorx="page" anchory="page"/>
            </v:shape>
          </w:pict>
        </mc:Fallback>
      </mc:AlternateContent>
    </w:r>
    <w:r>
      <w:rPr>
        <w:noProof/>
      </w:rPr>
      <mc:AlternateContent>
        <mc:Choice Requires="wps">
          <w:drawing>
            <wp:anchor distT="0" distB="0" distL="114300" distR="114300" simplePos="0" relativeHeight="251658252" behindDoc="1" locked="0" layoutInCell="1" allowOverlap="1" wp14:anchorId="60D937F5" wp14:editId="0F02FC3C">
              <wp:simplePos x="0" y="0"/>
              <wp:positionH relativeFrom="page">
                <wp:posOffset>781050</wp:posOffset>
              </wp:positionH>
              <wp:positionV relativeFrom="page">
                <wp:posOffset>9559925</wp:posOffset>
              </wp:positionV>
              <wp:extent cx="1824990" cy="152400"/>
              <wp:effectExtent l="0" t="0" r="0" b="0"/>
              <wp:wrapNone/>
              <wp:docPr id="317" name="Text Box 3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499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CAFBE1" w14:textId="77777777" w:rsidR="008601E5" w:rsidRDefault="008601E5">
                          <w:pPr>
                            <w:spacing w:line="226" w:lineRule="exact"/>
                            <w:ind w:left="20"/>
                            <w:rPr>
                              <w:rFonts w:ascii="Calibri" w:hAnsi="Calibri" w:cs="Calibri"/>
                              <w:sz w:val="20"/>
                              <w:szCs w:val="20"/>
                            </w:rPr>
                          </w:pPr>
                          <w:r>
                            <w:rPr>
                              <w:rFonts w:ascii="Calibri"/>
                              <w:b/>
                              <w:color w:val="231F20"/>
                              <w:w w:val="109"/>
                              <w:sz w:val="20"/>
                            </w:rPr>
                            <w:t>Section</w:t>
                          </w:r>
                          <w:r>
                            <w:rPr>
                              <w:rFonts w:ascii="Calibri"/>
                              <w:b/>
                              <w:color w:val="231F20"/>
                              <w:spacing w:val="6"/>
                              <w:sz w:val="20"/>
                            </w:rPr>
                            <w:t xml:space="preserve"> </w:t>
                          </w:r>
                          <w:r>
                            <w:rPr>
                              <w:rFonts w:ascii="Calibri"/>
                              <w:b/>
                              <w:color w:val="231F20"/>
                              <w:spacing w:val="-18"/>
                              <w:w w:val="113"/>
                              <w:sz w:val="20"/>
                            </w:rPr>
                            <w:t>V</w:t>
                          </w:r>
                          <w:r>
                            <w:rPr>
                              <w:rFonts w:ascii="Calibri"/>
                              <w:b/>
                              <w:color w:val="231F20"/>
                              <w:w w:val="91"/>
                              <w:sz w:val="20"/>
                            </w:rPr>
                            <w:t>.</w:t>
                          </w:r>
                          <w:r>
                            <w:rPr>
                              <w:rFonts w:ascii="Calibri"/>
                              <w:b/>
                              <w:color w:val="231F20"/>
                              <w:spacing w:val="6"/>
                              <w:sz w:val="20"/>
                            </w:rPr>
                            <w:t xml:space="preserve"> </w:t>
                          </w:r>
                          <w:r>
                            <w:rPr>
                              <w:rFonts w:ascii="Calibri"/>
                              <w:b/>
                              <w:color w:val="231F20"/>
                              <w:w w:val="107"/>
                              <w:sz w:val="20"/>
                            </w:rPr>
                            <w:t>Common</w:t>
                          </w:r>
                          <w:r>
                            <w:rPr>
                              <w:rFonts w:ascii="Calibri"/>
                              <w:b/>
                              <w:color w:val="231F20"/>
                              <w:spacing w:val="6"/>
                              <w:sz w:val="20"/>
                            </w:rPr>
                            <w:t xml:space="preserve"> </w:t>
                          </w:r>
                          <w:r>
                            <w:rPr>
                              <w:rFonts w:ascii="Calibri"/>
                              <w:b/>
                              <w:color w:val="231F20"/>
                              <w:w w:val="111"/>
                              <w:sz w:val="20"/>
                            </w:rPr>
                            <w:t>Assurances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0D937F5" id="Text Box 317" o:spid="_x0000_s1057" type="#_x0000_t202" style="position:absolute;margin-left:61.5pt;margin-top:752.75pt;width:143.7pt;height:12pt;z-index:-2516582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" filled="f" stroked="f">
              <v:textbox inset="0,0,0,0">
                <w:txbxContent>
                  <w:p w14:paraId="30CAFBE1" w14:textId="77777777" w:rsidR="008601E5" w:rsidRDefault="008601E5">
                    <w:pPr>
                      <w:spacing w:line="226" w:lineRule="exact"/>
                      <w:ind w:left="20"/>
                      <w:rPr>
                        <w:rFonts w:ascii="Calibri" w:hAnsi="Calibri" w:cs="Calibri"/>
                        <w:sz w:val="20"/>
                        <w:szCs w:val="20"/>
                      </w:rPr>
                    </w:pPr>
                    <w:r>
                      <w:rPr>
                        <w:rFonts w:ascii="Calibri"/>
                        <w:b/>
                        <w:color w:val="231F20"/>
                        <w:w w:val="109"/>
                        <w:sz w:val="20"/>
                      </w:rPr>
                      <w:t>Section</w:t>
                    </w:r>
                    <w:r>
                      <w:rPr>
                        <w:rFonts w:ascii="Calibri"/>
                        <w:b/>
                        <w:color w:val="231F20"/>
                        <w:spacing w:val="6"/>
                        <w:sz w:val="20"/>
                      </w:rPr>
                      <w:t xml:space="preserve"> </w:t>
                    </w:r>
                    <w:r>
                      <w:rPr>
                        <w:rFonts w:ascii="Calibri"/>
                        <w:b/>
                        <w:color w:val="231F20"/>
                        <w:spacing w:val="-18"/>
                        <w:w w:val="113"/>
                        <w:sz w:val="20"/>
                      </w:rPr>
                      <w:t>V</w:t>
                    </w:r>
                    <w:r>
                      <w:rPr>
                        <w:rFonts w:ascii="Calibri"/>
                        <w:b/>
                        <w:color w:val="231F20"/>
                        <w:w w:val="91"/>
                        <w:sz w:val="20"/>
                      </w:rPr>
                      <w:t>.</w:t>
                    </w:r>
                    <w:r>
                      <w:rPr>
                        <w:rFonts w:ascii="Calibri"/>
                        <w:b/>
                        <w:color w:val="231F20"/>
                        <w:spacing w:val="6"/>
                        <w:sz w:val="20"/>
                      </w:rPr>
                      <w:t xml:space="preserve"> </w:t>
                    </w:r>
                    <w:r>
                      <w:rPr>
                        <w:rFonts w:ascii="Calibri"/>
                        <w:b/>
                        <w:color w:val="231F20"/>
                        <w:w w:val="107"/>
                        <w:sz w:val="20"/>
                      </w:rPr>
                      <w:t>Common</w:t>
                    </w:r>
                    <w:r>
                      <w:rPr>
                        <w:rFonts w:ascii="Calibri"/>
                        <w:b/>
                        <w:color w:val="231F20"/>
                        <w:spacing w:val="6"/>
                        <w:sz w:val="20"/>
                      </w:rPr>
                      <w:t xml:space="preserve"> </w:t>
                    </w:r>
                    <w:r>
                      <w:rPr>
                        <w:rFonts w:ascii="Calibri"/>
                        <w:b/>
                        <w:color w:val="231F20"/>
                        <w:w w:val="111"/>
                        <w:sz w:val="20"/>
                      </w:rPr>
                      <w:t>Assurances</w:t>
                    </w:r>
                  </w:p>
                </w:txbxContent>
              </v:textbox>
              <w10:wrap anchorx="page" anchory="page"/>
            </v:shape>
          </w:pict>
        </mc:Fallback>
      </mc:AlternateContent>
    </w: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1E25F64" w14:textId="07F77D31" w:rsidR="008601E5" w:rsidRDefault="008601E5">
    <w:pPr>
      <w:spacing w:line="14" w:lineRule="auto"/>
      <w:rPr>
        <w:sz w:val="20"/>
        <w:szCs w:val="20"/>
      </w:rPr>
    </w:pPr>
    <w:r>
      <w:rPr>
        <w:noProof/>
      </w:rPr>
      <mc:AlternateContent>
        <mc:Choice Requires="wps">
          <w:drawing>
            <wp:anchor distT="0" distB="0" distL="114300" distR="114300" simplePos="0" relativeHeight="251658253" behindDoc="1" locked="0" layoutInCell="1" allowOverlap="1" wp14:anchorId="0844A27A" wp14:editId="6345CDDD">
              <wp:simplePos x="0" y="0"/>
              <wp:positionH relativeFrom="page">
                <wp:posOffset>6857365</wp:posOffset>
              </wp:positionH>
              <wp:positionV relativeFrom="page">
                <wp:posOffset>9555480</wp:posOffset>
              </wp:positionV>
              <wp:extent cx="300990" cy="177800"/>
              <wp:effectExtent l="0" t="0" r="0" b="0"/>
              <wp:wrapNone/>
              <wp:docPr id="316" name="Text Box 3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0990"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589065" w14:textId="7E0C2417" w:rsidR="008601E5" w:rsidRDefault="008601E5">
                          <w:pPr>
                            <w:spacing w:line="267" w:lineRule="exact"/>
                            <w:ind w:left="40"/>
                            <w:rPr>
                              <w:rFonts w:ascii="Calibri" w:hAnsi="Calibri" w:cs="Calibri"/>
                              <w:sz w:val="24"/>
                              <w:szCs w:val="24"/>
                            </w:rPr>
                          </w:pPr>
                          <w:r>
                            <w:rPr>
                              <w:rFonts w:ascii="Calibri"/>
                              <w:b/>
                              <w:color w:val="231F20"/>
                              <w:w w:val="107"/>
                              <w:sz w:val="24"/>
                            </w:rPr>
                            <w:fldChar w:fldCharType="begin"/>
                          </w:r>
                          <w:r>
                            <w:rPr>
                              <w:rFonts w:ascii="Calibri"/>
                              <w:b/>
                              <w:color w:val="231F20"/>
                              <w:w w:val="107"/>
                              <w:sz w:val="24"/>
                            </w:rPr>
                            <w:instrText xml:space="preserve"> PAGE </w:instrText>
                          </w:r>
                          <w:r>
                            <w:rPr>
                              <w:rFonts w:ascii="Calibri"/>
                              <w:b/>
                              <w:color w:val="231F20"/>
                              <w:w w:val="107"/>
                              <w:sz w:val="24"/>
                            </w:rPr>
                            <w:fldChar w:fldCharType="separate"/>
                          </w:r>
                          <w:r w:rsidR="00BC1D20">
                            <w:rPr>
                              <w:rFonts w:ascii="Calibri"/>
                              <w:b/>
                              <w:noProof/>
                              <w:color w:val="231F20"/>
                              <w:w w:val="107"/>
                              <w:sz w:val="24"/>
                            </w:rPr>
                            <w:t>104</w:t>
                          </w:r>
                          <w:r>
                            <w:rPr>
                              <w:rFonts w:ascii="Calibri"/>
                              <w:b/>
                              <w:color w:val="231F20"/>
                              <w:w w:val="107"/>
                              <w:sz w:val="24"/>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844A27A" id="_x0000_t202" coordsize="21600,21600" o:spt="202" path="m,l,21600r21600,l21600,xe">
              <v:stroke joinstyle="miter"/>
              <v:path gradientshapeok="t" o:connecttype="rect"/>
            </v:shapetype>
            <v:shape id="Text Box 316" o:spid="_x0000_s1058" type="#_x0000_t202" style="position:absolute;margin-left:539.95pt;margin-top:752.4pt;width:23.7pt;height:14pt;z-index:-25165822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" filled="f" stroked="f">
              <v:textbox inset="0,0,0,0">
                <w:txbxContent>
                  <w:p w14:paraId="54589065" w14:textId="7E0C2417" w:rsidR="008601E5" w:rsidRDefault="008601E5">
                    <w:pPr>
                      <w:spacing w:line="267" w:lineRule="exact"/>
                      <w:ind w:left="40"/>
                      <w:rPr>
                        <w:rFonts w:ascii="Calibri" w:hAnsi="Calibri" w:cs="Calibri"/>
                        <w:sz w:val="24"/>
                        <w:szCs w:val="24"/>
                      </w:rPr>
                    </w:pPr>
                    <w:r>
                      <w:rPr>
                        <w:rFonts w:ascii="Calibri"/>
                        <w:b/>
                        <w:color w:val="231F20"/>
                        <w:w w:val="107"/>
                        <w:sz w:val="24"/>
                      </w:rPr>
                      <w:fldChar w:fldCharType="begin"/>
                    </w:r>
                    <w:r>
                      <w:rPr>
                        <w:rFonts w:ascii="Calibri"/>
                        <w:b/>
                        <w:color w:val="231F20"/>
                        <w:w w:val="107"/>
                        <w:sz w:val="24"/>
                      </w:rPr>
                      <w:instrText xml:space="preserve"> PAGE </w:instrText>
                    </w:r>
                    <w:r>
                      <w:rPr>
                        <w:rFonts w:ascii="Calibri"/>
                        <w:b/>
                        <w:color w:val="231F20"/>
                        <w:w w:val="107"/>
                        <w:sz w:val="24"/>
                      </w:rPr>
                      <w:fldChar w:fldCharType="separate"/>
                    </w:r>
                    <w:r w:rsidR="00BC1D20">
                      <w:rPr>
                        <w:rFonts w:ascii="Calibri"/>
                        <w:b/>
                        <w:noProof/>
                        <w:color w:val="231F20"/>
                        <w:w w:val="107"/>
                        <w:sz w:val="24"/>
                      </w:rPr>
                      <w:t>104</w:t>
                    </w:r>
                    <w:r>
                      <w:rPr>
                        <w:rFonts w:ascii="Calibri"/>
                        <w:b/>
                        <w:color w:val="231F20"/>
                        <w:w w:val="107"/>
                        <w:sz w:val="24"/>
                      </w:rPr>
                      <w:fldChar w:fldCharType="end"/>
                    </w:r>
                  </w:p>
                </w:txbxContent>
              </v:textbox>
              <w10:wrap anchorx="page" anchory="page"/>
            </v:shape>
          </w:pict>
        </mc:Fallback>
      </mc:AlternateContent>
    </w:r>
    <w:r>
      <w:rPr>
        <w:noProof/>
      </w:rPr>
      <mc:AlternateContent>
        <mc:Choice Requires="wps">
          <w:drawing>
            <wp:anchor distT="0" distB="0" distL="114300" distR="114300" simplePos="0" relativeHeight="251658254" behindDoc="1" locked="0" layoutInCell="1" allowOverlap="1" wp14:anchorId="4C19C815" wp14:editId="7AE39AC0">
              <wp:simplePos x="0" y="0"/>
              <wp:positionH relativeFrom="page">
                <wp:posOffset>781050</wp:posOffset>
              </wp:positionH>
              <wp:positionV relativeFrom="page">
                <wp:posOffset>9559925</wp:posOffset>
              </wp:positionV>
              <wp:extent cx="5118735" cy="153035"/>
              <wp:effectExtent l="0" t="0" r="0" b="0"/>
              <wp:wrapNone/>
              <wp:docPr id="315" name="Text Box 3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18735" cy="1530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02273F" w14:textId="035782B0" w:rsidR="008601E5" w:rsidRDefault="008601E5">
                          <w:pPr>
                            <w:spacing w:line="227" w:lineRule="exact"/>
                            <w:ind w:left="20"/>
                            <w:rPr>
                              <w:rFonts w:ascii="Arial" w:hAnsi="Arial" w:cs="Arial"/>
                              <w:sz w:val="20"/>
                              <w:szCs w:val="20"/>
                            </w:rPr>
                          </w:pPr>
                          <w:r>
                            <w:rPr>
                              <w:rFonts w:ascii="Calibri" w:hAnsi="Calibri" w:cs="Calibri"/>
                              <w:b/>
                              <w:bCs/>
                              <w:color w:val="231F20"/>
                              <w:w w:val="109"/>
                              <w:sz w:val="20"/>
                              <w:szCs w:val="20"/>
                            </w:rPr>
                            <w:t>Section</w:t>
                          </w:r>
                          <w:r>
                            <w:rPr>
                              <w:rFonts w:ascii="Calibri" w:hAnsi="Calibri" w:cs="Calibri"/>
                              <w:b/>
                              <w:bCs/>
                              <w:color w:val="231F20"/>
                              <w:spacing w:val="6"/>
                              <w:sz w:val="20"/>
                              <w:szCs w:val="20"/>
                            </w:rPr>
                            <w:t xml:space="preserve"> </w:t>
                          </w:r>
                          <w:r>
                            <w:rPr>
                              <w:rFonts w:ascii="Calibri" w:hAnsi="Calibri" w:cs="Calibri"/>
                              <w:b/>
                              <w:bCs/>
                              <w:color w:val="231F20"/>
                              <w:w w:val="104"/>
                              <w:sz w:val="20"/>
                              <w:szCs w:val="20"/>
                            </w:rPr>
                            <w:t>VI.</w:t>
                          </w:r>
                          <w:r>
                            <w:rPr>
                              <w:rFonts w:ascii="Calibri" w:hAnsi="Calibri" w:cs="Calibri"/>
                              <w:b/>
                              <w:bCs/>
                              <w:color w:val="231F20"/>
                              <w:spacing w:val="6"/>
                              <w:sz w:val="20"/>
                              <w:szCs w:val="20"/>
                            </w:rPr>
                            <w:t xml:space="preserve"> </w:t>
                          </w:r>
                          <w:r>
                            <w:rPr>
                              <w:rFonts w:ascii="Calibri" w:hAnsi="Calibri" w:cs="Calibri"/>
                              <w:b/>
                              <w:bCs/>
                              <w:color w:val="231F20"/>
                              <w:w w:val="108"/>
                              <w:sz w:val="20"/>
                              <w:szCs w:val="20"/>
                            </w:rPr>
                            <w:t>Program-Specific</w:t>
                          </w:r>
                          <w:r>
                            <w:rPr>
                              <w:rFonts w:ascii="Calibri" w:hAnsi="Calibri" w:cs="Calibri"/>
                              <w:b/>
                              <w:bCs/>
                              <w:color w:val="231F20"/>
                              <w:spacing w:val="6"/>
                              <w:sz w:val="20"/>
                              <w:szCs w:val="20"/>
                            </w:rPr>
                            <w:t xml:space="preserve"> </w:t>
                          </w:r>
                          <w:r>
                            <w:rPr>
                              <w:rFonts w:ascii="Calibri" w:hAnsi="Calibri" w:cs="Calibri"/>
                              <w:b/>
                              <w:bCs/>
                              <w:color w:val="231F20"/>
                              <w:spacing w:val="-7"/>
                              <w:w w:val="111"/>
                              <w:sz w:val="20"/>
                              <w:szCs w:val="20"/>
                            </w:rPr>
                            <w:t>R</w:t>
                          </w:r>
                          <w:r>
                            <w:rPr>
                              <w:rFonts w:ascii="Calibri" w:hAnsi="Calibri" w:cs="Calibri"/>
                              <w:b/>
                              <w:bCs/>
                              <w:color w:val="231F20"/>
                              <w:w w:val="107"/>
                              <w:sz w:val="20"/>
                              <w:szCs w:val="20"/>
                            </w:rPr>
                            <w:t>equirements–</w:t>
                          </w:r>
                          <w:r>
                            <w:rPr>
                              <w:rFonts w:ascii="Arial" w:hAnsi="Arial" w:cs="Arial"/>
                              <w:b/>
                              <w:bCs/>
                              <w:i/>
                              <w:color w:val="231F20"/>
                              <w:w w:val="92"/>
                              <w:sz w:val="20"/>
                              <w:szCs w:val="20"/>
                            </w:rPr>
                            <w:t>Adult,</w:t>
                          </w:r>
                          <w:r>
                            <w:rPr>
                              <w:rFonts w:ascii="Arial" w:hAnsi="Arial" w:cs="Arial"/>
                              <w:b/>
                              <w:bCs/>
                              <w:i/>
                              <w:color w:val="231F20"/>
                              <w:spacing w:val="-5"/>
                              <w:sz w:val="20"/>
                              <w:szCs w:val="20"/>
                            </w:rPr>
                            <w:t xml:space="preserve"> </w:t>
                          </w:r>
                          <w:r>
                            <w:rPr>
                              <w:rFonts w:ascii="Arial" w:hAnsi="Arial" w:cs="Arial"/>
                              <w:b/>
                              <w:bCs/>
                              <w:i/>
                              <w:color w:val="231F20"/>
                              <w:w w:val="94"/>
                              <w:sz w:val="20"/>
                              <w:szCs w:val="20"/>
                            </w:rPr>
                            <w:t>Dislocated</w:t>
                          </w:r>
                          <w:r>
                            <w:rPr>
                              <w:rFonts w:ascii="Arial" w:hAnsi="Arial" w:cs="Arial"/>
                              <w:b/>
                              <w:bCs/>
                              <w:i/>
                              <w:color w:val="231F20"/>
                              <w:spacing w:val="-5"/>
                              <w:sz w:val="20"/>
                              <w:szCs w:val="20"/>
                            </w:rPr>
                            <w:t xml:space="preserve"> </w:t>
                          </w:r>
                          <w:r>
                            <w:rPr>
                              <w:rFonts w:ascii="Arial" w:hAnsi="Arial" w:cs="Arial"/>
                              <w:b/>
                              <w:bCs/>
                              <w:i/>
                              <w:color w:val="231F20"/>
                              <w:spacing w:val="-9"/>
                              <w:w w:val="95"/>
                              <w:sz w:val="20"/>
                              <w:szCs w:val="20"/>
                            </w:rPr>
                            <w:t>W</w:t>
                          </w:r>
                          <w:r>
                            <w:rPr>
                              <w:rFonts w:ascii="Arial" w:hAnsi="Arial" w:cs="Arial"/>
                              <w:b/>
                              <w:bCs/>
                              <w:i/>
                              <w:color w:val="231F20"/>
                              <w:w w:val="92"/>
                              <w:sz w:val="20"/>
                              <w:szCs w:val="20"/>
                            </w:rPr>
                            <w:t>or</w:t>
                          </w:r>
                          <w:r>
                            <w:rPr>
                              <w:rFonts w:ascii="Arial" w:hAnsi="Arial" w:cs="Arial"/>
                              <w:b/>
                              <w:bCs/>
                              <w:i/>
                              <w:color w:val="231F20"/>
                              <w:spacing w:val="-1"/>
                              <w:w w:val="92"/>
                              <w:sz w:val="20"/>
                              <w:szCs w:val="20"/>
                            </w:rPr>
                            <w:t>k</w:t>
                          </w:r>
                          <w:r>
                            <w:rPr>
                              <w:rFonts w:ascii="Arial" w:hAnsi="Arial" w:cs="Arial"/>
                              <w:b/>
                              <w:bCs/>
                              <w:i/>
                              <w:color w:val="231F20"/>
                              <w:w w:val="95"/>
                              <w:sz w:val="20"/>
                              <w:szCs w:val="20"/>
                            </w:rPr>
                            <w:t>e</w:t>
                          </w:r>
                          <w:r>
                            <w:rPr>
                              <w:rFonts w:ascii="Arial" w:hAnsi="Arial" w:cs="Arial"/>
                              <w:b/>
                              <w:bCs/>
                              <w:i/>
                              <w:color w:val="231F20"/>
                              <w:spacing w:val="-17"/>
                              <w:w w:val="95"/>
                              <w:sz w:val="20"/>
                              <w:szCs w:val="20"/>
                            </w:rPr>
                            <w:t>r</w:t>
                          </w:r>
                          <w:r w:rsidR="00D5537E">
                            <w:rPr>
                              <w:rFonts w:ascii="Arial" w:hAnsi="Arial" w:cs="Arial"/>
                              <w:b/>
                              <w:bCs/>
                              <w:i/>
                              <w:color w:val="231F20"/>
                              <w:w w:val="88"/>
                              <w:sz w:val="20"/>
                              <w:szCs w:val="20"/>
                            </w:rPr>
                            <w:t xml:space="preserve"> and</w:t>
                          </w:r>
                          <w:r>
                            <w:rPr>
                              <w:rFonts w:ascii="Arial" w:hAnsi="Arial" w:cs="Arial"/>
                              <w:b/>
                              <w:bCs/>
                              <w:i/>
                              <w:color w:val="231F20"/>
                              <w:spacing w:val="-5"/>
                              <w:sz w:val="20"/>
                              <w:szCs w:val="20"/>
                            </w:rPr>
                            <w:t xml:space="preserve"> </w:t>
                          </w:r>
                          <w:r>
                            <w:rPr>
                              <w:rFonts w:ascii="Arial" w:hAnsi="Arial" w:cs="Arial"/>
                              <w:b/>
                              <w:bCs/>
                              <w:i/>
                              <w:color w:val="231F20"/>
                              <w:spacing w:val="-25"/>
                              <w:w w:val="95"/>
                              <w:sz w:val="20"/>
                              <w:szCs w:val="20"/>
                            </w:rPr>
                            <w:t>Y</w:t>
                          </w:r>
                          <w:r>
                            <w:rPr>
                              <w:rFonts w:ascii="Arial" w:hAnsi="Arial" w:cs="Arial"/>
                              <w:b/>
                              <w:bCs/>
                              <w:i/>
                              <w:color w:val="231F20"/>
                              <w:w w:val="93"/>
                              <w:sz w:val="20"/>
                              <w:szCs w:val="20"/>
                            </w:rPr>
                            <w:t>outh</w:t>
                          </w:r>
                          <w:r>
                            <w:rPr>
                              <w:rFonts w:ascii="Arial" w:hAnsi="Arial" w:cs="Arial"/>
                              <w:b/>
                              <w:bCs/>
                              <w:i/>
                              <w:color w:val="231F20"/>
                              <w:spacing w:val="-5"/>
                              <w:sz w:val="20"/>
                              <w:szCs w:val="20"/>
                            </w:rPr>
                            <w:t xml:space="preserve"> </w:t>
                          </w:r>
                          <w:r>
                            <w:rPr>
                              <w:rFonts w:ascii="Arial" w:hAnsi="Arial" w:cs="Arial"/>
                              <w:b/>
                              <w:bCs/>
                              <w:i/>
                              <w:color w:val="231F20"/>
                              <w:w w:val="91"/>
                              <w:sz w:val="20"/>
                              <w:szCs w:val="20"/>
                            </w:rPr>
                            <w:t>Activities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C19C815" id="Text Box 315" o:spid="_x0000_s1059" type="#_x0000_t202" style="position:absolute;margin-left:61.5pt;margin-top:752.75pt;width:403.05pt;height:12.05pt;z-index:-25165822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" filled="f" stroked="f">
              <v:textbox inset="0,0,0,0">
                <w:txbxContent>
                  <w:p w14:paraId="2B02273F" w14:textId="035782B0" w:rsidR="008601E5" w:rsidRDefault="008601E5">
                    <w:pPr>
                      <w:spacing w:line="227" w:lineRule="exact"/>
                      <w:ind w:left="20"/>
                      <w:rPr>
                        <w:rFonts w:ascii="Arial" w:hAnsi="Arial" w:cs="Arial"/>
                        <w:sz w:val="20"/>
                        <w:szCs w:val="20"/>
                      </w:rPr>
                    </w:pPr>
                    <w:r>
                      <w:rPr>
                        <w:rFonts w:ascii="Calibri" w:hAnsi="Calibri" w:cs="Calibri"/>
                        <w:b/>
                        <w:bCs/>
                        <w:color w:val="231F20"/>
                        <w:w w:val="109"/>
                        <w:sz w:val="20"/>
                        <w:szCs w:val="20"/>
                      </w:rPr>
                      <w:t>Section</w:t>
                    </w:r>
                    <w:r>
                      <w:rPr>
                        <w:rFonts w:ascii="Calibri" w:hAnsi="Calibri" w:cs="Calibri"/>
                        <w:b/>
                        <w:bCs/>
                        <w:color w:val="231F20"/>
                        <w:spacing w:val="6"/>
                        <w:sz w:val="20"/>
                        <w:szCs w:val="20"/>
                      </w:rPr>
                      <w:t xml:space="preserve"> </w:t>
                    </w:r>
                    <w:r>
                      <w:rPr>
                        <w:rFonts w:ascii="Calibri" w:hAnsi="Calibri" w:cs="Calibri"/>
                        <w:b/>
                        <w:bCs/>
                        <w:color w:val="231F20"/>
                        <w:w w:val="104"/>
                        <w:sz w:val="20"/>
                        <w:szCs w:val="20"/>
                      </w:rPr>
                      <w:t>VI.</w:t>
                    </w:r>
                    <w:r>
                      <w:rPr>
                        <w:rFonts w:ascii="Calibri" w:hAnsi="Calibri" w:cs="Calibri"/>
                        <w:b/>
                        <w:bCs/>
                        <w:color w:val="231F20"/>
                        <w:spacing w:val="6"/>
                        <w:sz w:val="20"/>
                        <w:szCs w:val="20"/>
                      </w:rPr>
                      <w:t xml:space="preserve"> </w:t>
                    </w:r>
                    <w:r>
                      <w:rPr>
                        <w:rFonts w:ascii="Calibri" w:hAnsi="Calibri" w:cs="Calibri"/>
                        <w:b/>
                        <w:bCs/>
                        <w:color w:val="231F20"/>
                        <w:w w:val="108"/>
                        <w:sz w:val="20"/>
                        <w:szCs w:val="20"/>
                      </w:rPr>
                      <w:t>Program-Specific</w:t>
                    </w:r>
                    <w:r>
                      <w:rPr>
                        <w:rFonts w:ascii="Calibri" w:hAnsi="Calibri" w:cs="Calibri"/>
                        <w:b/>
                        <w:bCs/>
                        <w:color w:val="231F20"/>
                        <w:spacing w:val="6"/>
                        <w:sz w:val="20"/>
                        <w:szCs w:val="20"/>
                      </w:rPr>
                      <w:t xml:space="preserve"> </w:t>
                    </w:r>
                    <w:r>
                      <w:rPr>
                        <w:rFonts w:ascii="Calibri" w:hAnsi="Calibri" w:cs="Calibri"/>
                        <w:b/>
                        <w:bCs/>
                        <w:color w:val="231F20"/>
                        <w:spacing w:val="-7"/>
                        <w:w w:val="111"/>
                        <w:sz w:val="20"/>
                        <w:szCs w:val="20"/>
                      </w:rPr>
                      <w:t>R</w:t>
                    </w:r>
                    <w:r>
                      <w:rPr>
                        <w:rFonts w:ascii="Calibri" w:hAnsi="Calibri" w:cs="Calibri"/>
                        <w:b/>
                        <w:bCs/>
                        <w:color w:val="231F20"/>
                        <w:w w:val="107"/>
                        <w:sz w:val="20"/>
                        <w:szCs w:val="20"/>
                      </w:rPr>
                      <w:t>equirements–</w:t>
                    </w:r>
                    <w:r>
                      <w:rPr>
                        <w:rFonts w:ascii="Arial" w:hAnsi="Arial" w:cs="Arial"/>
                        <w:b/>
                        <w:bCs/>
                        <w:i/>
                        <w:color w:val="231F20"/>
                        <w:w w:val="92"/>
                        <w:sz w:val="20"/>
                        <w:szCs w:val="20"/>
                      </w:rPr>
                      <w:t>Adult,</w:t>
                    </w:r>
                    <w:r>
                      <w:rPr>
                        <w:rFonts w:ascii="Arial" w:hAnsi="Arial" w:cs="Arial"/>
                        <w:b/>
                        <w:bCs/>
                        <w:i/>
                        <w:color w:val="231F20"/>
                        <w:spacing w:val="-5"/>
                        <w:sz w:val="20"/>
                        <w:szCs w:val="20"/>
                      </w:rPr>
                      <w:t xml:space="preserve"> </w:t>
                    </w:r>
                    <w:r>
                      <w:rPr>
                        <w:rFonts w:ascii="Arial" w:hAnsi="Arial" w:cs="Arial"/>
                        <w:b/>
                        <w:bCs/>
                        <w:i/>
                        <w:color w:val="231F20"/>
                        <w:w w:val="94"/>
                        <w:sz w:val="20"/>
                        <w:szCs w:val="20"/>
                      </w:rPr>
                      <w:t>Dislocated</w:t>
                    </w:r>
                    <w:r>
                      <w:rPr>
                        <w:rFonts w:ascii="Arial" w:hAnsi="Arial" w:cs="Arial"/>
                        <w:b/>
                        <w:bCs/>
                        <w:i/>
                        <w:color w:val="231F20"/>
                        <w:spacing w:val="-5"/>
                        <w:sz w:val="20"/>
                        <w:szCs w:val="20"/>
                      </w:rPr>
                      <w:t xml:space="preserve"> </w:t>
                    </w:r>
                    <w:r>
                      <w:rPr>
                        <w:rFonts w:ascii="Arial" w:hAnsi="Arial" w:cs="Arial"/>
                        <w:b/>
                        <w:bCs/>
                        <w:i/>
                        <w:color w:val="231F20"/>
                        <w:spacing w:val="-9"/>
                        <w:w w:val="95"/>
                        <w:sz w:val="20"/>
                        <w:szCs w:val="20"/>
                      </w:rPr>
                      <w:t>W</w:t>
                    </w:r>
                    <w:r>
                      <w:rPr>
                        <w:rFonts w:ascii="Arial" w:hAnsi="Arial" w:cs="Arial"/>
                        <w:b/>
                        <w:bCs/>
                        <w:i/>
                        <w:color w:val="231F20"/>
                        <w:w w:val="92"/>
                        <w:sz w:val="20"/>
                        <w:szCs w:val="20"/>
                      </w:rPr>
                      <w:t>or</w:t>
                    </w:r>
                    <w:r>
                      <w:rPr>
                        <w:rFonts w:ascii="Arial" w:hAnsi="Arial" w:cs="Arial"/>
                        <w:b/>
                        <w:bCs/>
                        <w:i/>
                        <w:color w:val="231F20"/>
                        <w:spacing w:val="-1"/>
                        <w:w w:val="92"/>
                        <w:sz w:val="20"/>
                        <w:szCs w:val="20"/>
                      </w:rPr>
                      <w:t>k</w:t>
                    </w:r>
                    <w:r>
                      <w:rPr>
                        <w:rFonts w:ascii="Arial" w:hAnsi="Arial" w:cs="Arial"/>
                        <w:b/>
                        <w:bCs/>
                        <w:i/>
                        <w:color w:val="231F20"/>
                        <w:w w:val="95"/>
                        <w:sz w:val="20"/>
                        <w:szCs w:val="20"/>
                      </w:rPr>
                      <w:t>e</w:t>
                    </w:r>
                    <w:r>
                      <w:rPr>
                        <w:rFonts w:ascii="Arial" w:hAnsi="Arial" w:cs="Arial"/>
                        <w:b/>
                        <w:bCs/>
                        <w:i/>
                        <w:color w:val="231F20"/>
                        <w:spacing w:val="-17"/>
                        <w:w w:val="95"/>
                        <w:sz w:val="20"/>
                        <w:szCs w:val="20"/>
                      </w:rPr>
                      <w:t>r</w:t>
                    </w:r>
                    <w:r w:rsidR="00D5537E">
                      <w:rPr>
                        <w:rFonts w:ascii="Arial" w:hAnsi="Arial" w:cs="Arial"/>
                        <w:b/>
                        <w:bCs/>
                        <w:i/>
                        <w:color w:val="231F20"/>
                        <w:w w:val="88"/>
                        <w:sz w:val="20"/>
                        <w:szCs w:val="20"/>
                      </w:rPr>
                      <w:t xml:space="preserve"> and</w:t>
                    </w:r>
                    <w:r>
                      <w:rPr>
                        <w:rFonts w:ascii="Arial" w:hAnsi="Arial" w:cs="Arial"/>
                        <w:b/>
                        <w:bCs/>
                        <w:i/>
                        <w:color w:val="231F20"/>
                        <w:spacing w:val="-5"/>
                        <w:sz w:val="20"/>
                        <w:szCs w:val="20"/>
                      </w:rPr>
                      <w:t xml:space="preserve"> </w:t>
                    </w:r>
                    <w:r>
                      <w:rPr>
                        <w:rFonts w:ascii="Arial" w:hAnsi="Arial" w:cs="Arial"/>
                        <w:b/>
                        <w:bCs/>
                        <w:i/>
                        <w:color w:val="231F20"/>
                        <w:spacing w:val="-25"/>
                        <w:w w:val="95"/>
                        <w:sz w:val="20"/>
                        <w:szCs w:val="20"/>
                      </w:rPr>
                      <w:t>Y</w:t>
                    </w:r>
                    <w:r>
                      <w:rPr>
                        <w:rFonts w:ascii="Arial" w:hAnsi="Arial" w:cs="Arial"/>
                        <w:b/>
                        <w:bCs/>
                        <w:i/>
                        <w:color w:val="231F20"/>
                        <w:w w:val="93"/>
                        <w:sz w:val="20"/>
                        <w:szCs w:val="20"/>
                      </w:rPr>
                      <w:t>outh</w:t>
                    </w:r>
                    <w:r>
                      <w:rPr>
                        <w:rFonts w:ascii="Arial" w:hAnsi="Arial" w:cs="Arial"/>
                        <w:b/>
                        <w:bCs/>
                        <w:i/>
                        <w:color w:val="231F20"/>
                        <w:spacing w:val="-5"/>
                        <w:sz w:val="20"/>
                        <w:szCs w:val="20"/>
                      </w:rPr>
                      <w:t xml:space="preserve"> </w:t>
                    </w:r>
                    <w:r>
                      <w:rPr>
                        <w:rFonts w:ascii="Arial" w:hAnsi="Arial" w:cs="Arial"/>
                        <w:b/>
                        <w:bCs/>
                        <w:i/>
                        <w:color w:val="231F20"/>
                        <w:w w:val="91"/>
                        <w:sz w:val="20"/>
                        <w:szCs w:val="20"/>
                      </w:rPr>
                      <w:t>Activities</w:t>
                    </w:r>
                  </w:p>
                </w:txbxContent>
              </v:textbox>
              <w10:wrap anchorx="page" anchory="page"/>
            </v:shape>
          </w:pict>
        </mc:Fallback>
      </mc:AlternateContent>
    </w: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DD554B5" w14:textId="3EA5A12C" w:rsidR="008601E5" w:rsidRDefault="008601E5">
    <w:pPr>
      <w:spacing w:line="14" w:lineRule="auto"/>
      <w:rPr>
        <w:sz w:val="20"/>
        <w:szCs w:val="20"/>
      </w:rPr>
    </w:pPr>
    <w:r>
      <w:rPr>
        <w:noProof/>
      </w:rPr>
      <mc:AlternateContent>
        <mc:Choice Requires="wps">
          <w:drawing>
            <wp:anchor distT="0" distB="0" distL="114300" distR="114300" simplePos="0" relativeHeight="251658255" behindDoc="1" locked="0" layoutInCell="1" allowOverlap="1" wp14:anchorId="28F6F9B8" wp14:editId="7324D9EA">
              <wp:simplePos x="0" y="0"/>
              <wp:positionH relativeFrom="page">
                <wp:posOffset>781050</wp:posOffset>
              </wp:positionH>
              <wp:positionV relativeFrom="page">
                <wp:posOffset>9559925</wp:posOffset>
              </wp:positionV>
              <wp:extent cx="5118735" cy="153035"/>
              <wp:effectExtent l="0" t="0" r="0" b="0"/>
              <wp:wrapNone/>
              <wp:docPr id="311" name="Text Box 3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18735" cy="1530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067582" w14:textId="5E917A0C" w:rsidR="008601E5" w:rsidRDefault="008601E5">
                          <w:pPr>
                            <w:spacing w:line="227" w:lineRule="exact"/>
                            <w:ind w:left="20"/>
                            <w:rPr>
                              <w:rFonts w:ascii="Arial" w:hAnsi="Arial" w:cs="Arial"/>
                              <w:sz w:val="20"/>
                              <w:szCs w:val="20"/>
                            </w:rPr>
                          </w:pPr>
                          <w:r>
                            <w:rPr>
                              <w:rFonts w:ascii="Calibri" w:hAnsi="Calibri" w:cs="Calibri"/>
                              <w:b/>
                              <w:bCs/>
                              <w:color w:val="231F20"/>
                              <w:w w:val="109"/>
                              <w:sz w:val="20"/>
                              <w:szCs w:val="20"/>
                            </w:rPr>
                            <w:t>Section</w:t>
                          </w:r>
                          <w:r>
                            <w:rPr>
                              <w:rFonts w:ascii="Calibri" w:hAnsi="Calibri" w:cs="Calibri"/>
                              <w:b/>
                              <w:bCs/>
                              <w:color w:val="231F20"/>
                              <w:spacing w:val="6"/>
                              <w:sz w:val="20"/>
                              <w:szCs w:val="20"/>
                            </w:rPr>
                            <w:t xml:space="preserve"> </w:t>
                          </w:r>
                          <w:r>
                            <w:rPr>
                              <w:rFonts w:ascii="Calibri" w:hAnsi="Calibri" w:cs="Calibri"/>
                              <w:b/>
                              <w:bCs/>
                              <w:color w:val="231F20"/>
                              <w:w w:val="104"/>
                              <w:sz w:val="20"/>
                              <w:szCs w:val="20"/>
                            </w:rPr>
                            <w:t>VI.</w:t>
                          </w:r>
                          <w:r>
                            <w:rPr>
                              <w:rFonts w:ascii="Calibri" w:hAnsi="Calibri" w:cs="Calibri"/>
                              <w:b/>
                              <w:bCs/>
                              <w:color w:val="231F20"/>
                              <w:spacing w:val="6"/>
                              <w:sz w:val="20"/>
                              <w:szCs w:val="20"/>
                            </w:rPr>
                            <w:t xml:space="preserve"> </w:t>
                          </w:r>
                          <w:r>
                            <w:rPr>
                              <w:rFonts w:ascii="Calibri" w:hAnsi="Calibri" w:cs="Calibri"/>
                              <w:b/>
                              <w:bCs/>
                              <w:color w:val="231F20"/>
                              <w:w w:val="108"/>
                              <w:sz w:val="20"/>
                              <w:szCs w:val="20"/>
                            </w:rPr>
                            <w:t>Program-Specific</w:t>
                          </w:r>
                          <w:r>
                            <w:rPr>
                              <w:rFonts w:ascii="Calibri" w:hAnsi="Calibri" w:cs="Calibri"/>
                              <w:b/>
                              <w:bCs/>
                              <w:color w:val="231F20"/>
                              <w:spacing w:val="6"/>
                              <w:sz w:val="20"/>
                              <w:szCs w:val="20"/>
                            </w:rPr>
                            <w:t xml:space="preserve"> </w:t>
                          </w:r>
                          <w:r>
                            <w:rPr>
                              <w:rFonts w:ascii="Calibri" w:hAnsi="Calibri" w:cs="Calibri"/>
                              <w:b/>
                              <w:bCs/>
                              <w:color w:val="231F20"/>
                              <w:spacing w:val="-7"/>
                              <w:w w:val="111"/>
                              <w:sz w:val="20"/>
                              <w:szCs w:val="20"/>
                            </w:rPr>
                            <w:t>R</w:t>
                          </w:r>
                          <w:r>
                            <w:rPr>
                              <w:rFonts w:ascii="Calibri" w:hAnsi="Calibri" w:cs="Calibri"/>
                              <w:b/>
                              <w:bCs/>
                              <w:color w:val="231F20"/>
                              <w:w w:val="107"/>
                              <w:sz w:val="20"/>
                              <w:szCs w:val="20"/>
                            </w:rPr>
                            <w:t>equirements–</w:t>
                          </w:r>
                          <w:r>
                            <w:rPr>
                              <w:rFonts w:ascii="Arial" w:hAnsi="Arial" w:cs="Arial"/>
                              <w:b/>
                              <w:bCs/>
                              <w:i/>
                              <w:color w:val="231F20"/>
                              <w:w w:val="92"/>
                              <w:sz w:val="20"/>
                              <w:szCs w:val="20"/>
                            </w:rPr>
                            <w:t>Adult,</w:t>
                          </w:r>
                          <w:r>
                            <w:rPr>
                              <w:rFonts w:ascii="Arial" w:hAnsi="Arial" w:cs="Arial"/>
                              <w:b/>
                              <w:bCs/>
                              <w:i/>
                              <w:color w:val="231F20"/>
                              <w:spacing w:val="-5"/>
                              <w:sz w:val="20"/>
                              <w:szCs w:val="20"/>
                            </w:rPr>
                            <w:t xml:space="preserve"> </w:t>
                          </w:r>
                          <w:r>
                            <w:rPr>
                              <w:rFonts w:ascii="Arial" w:hAnsi="Arial" w:cs="Arial"/>
                              <w:b/>
                              <w:bCs/>
                              <w:i/>
                              <w:color w:val="231F20"/>
                              <w:w w:val="94"/>
                              <w:sz w:val="20"/>
                              <w:szCs w:val="20"/>
                            </w:rPr>
                            <w:t>Dislocated</w:t>
                          </w:r>
                          <w:r>
                            <w:rPr>
                              <w:rFonts w:ascii="Arial" w:hAnsi="Arial" w:cs="Arial"/>
                              <w:b/>
                              <w:bCs/>
                              <w:i/>
                              <w:color w:val="231F20"/>
                              <w:spacing w:val="-5"/>
                              <w:sz w:val="20"/>
                              <w:szCs w:val="20"/>
                            </w:rPr>
                            <w:t xml:space="preserve"> </w:t>
                          </w:r>
                          <w:r>
                            <w:rPr>
                              <w:rFonts w:ascii="Arial" w:hAnsi="Arial" w:cs="Arial"/>
                              <w:b/>
                              <w:bCs/>
                              <w:i/>
                              <w:color w:val="231F20"/>
                              <w:spacing w:val="-9"/>
                              <w:w w:val="95"/>
                              <w:sz w:val="20"/>
                              <w:szCs w:val="20"/>
                            </w:rPr>
                            <w:t>W</w:t>
                          </w:r>
                          <w:r>
                            <w:rPr>
                              <w:rFonts w:ascii="Arial" w:hAnsi="Arial" w:cs="Arial"/>
                              <w:b/>
                              <w:bCs/>
                              <w:i/>
                              <w:color w:val="231F20"/>
                              <w:w w:val="92"/>
                              <w:sz w:val="20"/>
                              <w:szCs w:val="20"/>
                            </w:rPr>
                            <w:t>or</w:t>
                          </w:r>
                          <w:r>
                            <w:rPr>
                              <w:rFonts w:ascii="Arial" w:hAnsi="Arial" w:cs="Arial"/>
                              <w:b/>
                              <w:bCs/>
                              <w:i/>
                              <w:color w:val="231F20"/>
                              <w:spacing w:val="-1"/>
                              <w:w w:val="92"/>
                              <w:sz w:val="20"/>
                              <w:szCs w:val="20"/>
                            </w:rPr>
                            <w:t>k</w:t>
                          </w:r>
                          <w:r>
                            <w:rPr>
                              <w:rFonts w:ascii="Arial" w:hAnsi="Arial" w:cs="Arial"/>
                              <w:b/>
                              <w:bCs/>
                              <w:i/>
                              <w:color w:val="231F20"/>
                              <w:w w:val="95"/>
                              <w:sz w:val="20"/>
                              <w:szCs w:val="20"/>
                            </w:rPr>
                            <w:t>e</w:t>
                          </w:r>
                          <w:r>
                            <w:rPr>
                              <w:rFonts w:ascii="Arial" w:hAnsi="Arial" w:cs="Arial"/>
                              <w:b/>
                              <w:bCs/>
                              <w:i/>
                              <w:color w:val="231F20"/>
                              <w:spacing w:val="-17"/>
                              <w:w w:val="95"/>
                              <w:sz w:val="20"/>
                              <w:szCs w:val="20"/>
                            </w:rPr>
                            <w:t>r</w:t>
                          </w:r>
                          <w:r w:rsidR="00D5537E">
                            <w:rPr>
                              <w:rFonts w:ascii="Arial" w:hAnsi="Arial" w:cs="Arial"/>
                              <w:b/>
                              <w:bCs/>
                              <w:i/>
                              <w:color w:val="231F20"/>
                              <w:w w:val="88"/>
                              <w:sz w:val="20"/>
                              <w:szCs w:val="20"/>
                            </w:rPr>
                            <w:t xml:space="preserve"> and</w:t>
                          </w:r>
                          <w:r>
                            <w:rPr>
                              <w:rFonts w:ascii="Arial" w:hAnsi="Arial" w:cs="Arial"/>
                              <w:b/>
                              <w:bCs/>
                              <w:i/>
                              <w:color w:val="231F20"/>
                              <w:spacing w:val="-5"/>
                              <w:sz w:val="20"/>
                              <w:szCs w:val="20"/>
                            </w:rPr>
                            <w:t xml:space="preserve"> </w:t>
                          </w:r>
                          <w:r>
                            <w:rPr>
                              <w:rFonts w:ascii="Arial" w:hAnsi="Arial" w:cs="Arial"/>
                              <w:b/>
                              <w:bCs/>
                              <w:i/>
                              <w:color w:val="231F20"/>
                              <w:spacing w:val="-25"/>
                              <w:w w:val="95"/>
                              <w:sz w:val="20"/>
                              <w:szCs w:val="20"/>
                            </w:rPr>
                            <w:t>Y</w:t>
                          </w:r>
                          <w:r>
                            <w:rPr>
                              <w:rFonts w:ascii="Arial" w:hAnsi="Arial" w:cs="Arial"/>
                              <w:b/>
                              <w:bCs/>
                              <w:i/>
                              <w:color w:val="231F20"/>
                              <w:w w:val="93"/>
                              <w:sz w:val="20"/>
                              <w:szCs w:val="20"/>
                            </w:rPr>
                            <w:t>outh</w:t>
                          </w:r>
                          <w:r>
                            <w:rPr>
                              <w:rFonts w:ascii="Arial" w:hAnsi="Arial" w:cs="Arial"/>
                              <w:b/>
                              <w:bCs/>
                              <w:i/>
                              <w:color w:val="231F20"/>
                              <w:spacing w:val="-5"/>
                              <w:sz w:val="20"/>
                              <w:szCs w:val="20"/>
                            </w:rPr>
                            <w:t xml:space="preserve"> </w:t>
                          </w:r>
                          <w:r>
                            <w:rPr>
                              <w:rFonts w:ascii="Arial" w:hAnsi="Arial" w:cs="Arial"/>
                              <w:b/>
                              <w:bCs/>
                              <w:i/>
                              <w:color w:val="231F20"/>
                              <w:w w:val="91"/>
                              <w:sz w:val="20"/>
                              <w:szCs w:val="20"/>
                            </w:rPr>
                            <w:t>Activities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8F6F9B8" id="_x0000_t202" coordsize="21600,21600" o:spt="202" path="m,l,21600r21600,l21600,xe">
              <v:stroke joinstyle="miter"/>
              <v:path gradientshapeok="t" o:connecttype="rect"/>
            </v:shapetype>
            <v:shape id="Text Box 311" o:spid="_x0000_s1060" type="#_x0000_t202" style="position:absolute;margin-left:61.5pt;margin-top:752.75pt;width:403.05pt;height:12.05pt;z-index:-25165822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" filled="f" stroked="f">
              <v:textbox inset="0,0,0,0">
                <w:txbxContent>
                  <w:p w14:paraId="5E067582" w14:textId="5E917A0C" w:rsidR="008601E5" w:rsidRDefault="008601E5">
                    <w:pPr>
                      <w:spacing w:line="227" w:lineRule="exact"/>
                      <w:ind w:left="20"/>
                      <w:rPr>
                        <w:rFonts w:ascii="Arial" w:hAnsi="Arial" w:cs="Arial"/>
                        <w:sz w:val="20"/>
                        <w:szCs w:val="20"/>
                      </w:rPr>
                    </w:pPr>
                    <w:r>
                      <w:rPr>
                        <w:rFonts w:ascii="Calibri" w:hAnsi="Calibri" w:cs="Calibri"/>
                        <w:b/>
                        <w:bCs/>
                        <w:color w:val="231F20"/>
                        <w:w w:val="109"/>
                        <w:sz w:val="20"/>
                        <w:szCs w:val="20"/>
                      </w:rPr>
                      <w:t>Section</w:t>
                    </w:r>
                    <w:r>
                      <w:rPr>
                        <w:rFonts w:ascii="Calibri" w:hAnsi="Calibri" w:cs="Calibri"/>
                        <w:b/>
                        <w:bCs/>
                        <w:color w:val="231F20"/>
                        <w:spacing w:val="6"/>
                        <w:sz w:val="20"/>
                        <w:szCs w:val="20"/>
                      </w:rPr>
                      <w:t xml:space="preserve"> </w:t>
                    </w:r>
                    <w:r>
                      <w:rPr>
                        <w:rFonts w:ascii="Calibri" w:hAnsi="Calibri" w:cs="Calibri"/>
                        <w:b/>
                        <w:bCs/>
                        <w:color w:val="231F20"/>
                        <w:w w:val="104"/>
                        <w:sz w:val="20"/>
                        <w:szCs w:val="20"/>
                      </w:rPr>
                      <w:t>VI.</w:t>
                    </w:r>
                    <w:r>
                      <w:rPr>
                        <w:rFonts w:ascii="Calibri" w:hAnsi="Calibri" w:cs="Calibri"/>
                        <w:b/>
                        <w:bCs/>
                        <w:color w:val="231F20"/>
                        <w:spacing w:val="6"/>
                        <w:sz w:val="20"/>
                        <w:szCs w:val="20"/>
                      </w:rPr>
                      <w:t xml:space="preserve"> </w:t>
                    </w:r>
                    <w:r>
                      <w:rPr>
                        <w:rFonts w:ascii="Calibri" w:hAnsi="Calibri" w:cs="Calibri"/>
                        <w:b/>
                        <w:bCs/>
                        <w:color w:val="231F20"/>
                        <w:w w:val="108"/>
                        <w:sz w:val="20"/>
                        <w:szCs w:val="20"/>
                      </w:rPr>
                      <w:t>Program-Specific</w:t>
                    </w:r>
                    <w:r>
                      <w:rPr>
                        <w:rFonts w:ascii="Calibri" w:hAnsi="Calibri" w:cs="Calibri"/>
                        <w:b/>
                        <w:bCs/>
                        <w:color w:val="231F20"/>
                        <w:spacing w:val="6"/>
                        <w:sz w:val="20"/>
                        <w:szCs w:val="20"/>
                      </w:rPr>
                      <w:t xml:space="preserve"> </w:t>
                    </w:r>
                    <w:r>
                      <w:rPr>
                        <w:rFonts w:ascii="Calibri" w:hAnsi="Calibri" w:cs="Calibri"/>
                        <w:b/>
                        <w:bCs/>
                        <w:color w:val="231F20"/>
                        <w:spacing w:val="-7"/>
                        <w:w w:val="111"/>
                        <w:sz w:val="20"/>
                        <w:szCs w:val="20"/>
                      </w:rPr>
                      <w:t>R</w:t>
                    </w:r>
                    <w:r>
                      <w:rPr>
                        <w:rFonts w:ascii="Calibri" w:hAnsi="Calibri" w:cs="Calibri"/>
                        <w:b/>
                        <w:bCs/>
                        <w:color w:val="231F20"/>
                        <w:w w:val="107"/>
                        <w:sz w:val="20"/>
                        <w:szCs w:val="20"/>
                      </w:rPr>
                      <w:t>equirements–</w:t>
                    </w:r>
                    <w:r>
                      <w:rPr>
                        <w:rFonts w:ascii="Arial" w:hAnsi="Arial" w:cs="Arial"/>
                        <w:b/>
                        <w:bCs/>
                        <w:i/>
                        <w:color w:val="231F20"/>
                        <w:w w:val="92"/>
                        <w:sz w:val="20"/>
                        <w:szCs w:val="20"/>
                      </w:rPr>
                      <w:t>Adult,</w:t>
                    </w:r>
                    <w:r>
                      <w:rPr>
                        <w:rFonts w:ascii="Arial" w:hAnsi="Arial" w:cs="Arial"/>
                        <w:b/>
                        <w:bCs/>
                        <w:i/>
                        <w:color w:val="231F20"/>
                        <w:spacing w:val="-5"/>
                        <w:sz w:val="20"/>
                        <w:szCs w:val="20"/>
                      </w:rPr>
                      <w:t xml:space="preserve"> </w:t>
                    </w:r>
                    <w:r>
                      <w:rPr>
                        <w:rFonts w:ascii="Arial" w:hAnsi="Arial" w:cs="Arial"/>
                        <w:b/>
                        <w:bCs/>
                        <w:i/>
                        <w:color w:val="231F20"/>
                        <w:w w:val="94"/>
                        <w:sz w:val="20"/>
                        <w:szCs w:val="20"/>
                      </w:rPr>
                      <w:t>Dislocated</w:t>
                    </w:r>
                    <w:r>
                      <w:rPr>
                        <w:rFonts w:ascii="Arial" w:hAnsi="Arial" w:cs="Arial"/>
                        <w:b/>
                        <w:bCs/>
                        <w:i/>
                        <w:color w:val="231F20"/>
                        <w:spacing w:val="-5"/>
                        <w:sz w:val="20"/>
                        <w:szCs w:val="20"/>
                      </w:rPr>
                      <w:t xml:space="preserve"> </w:t>
                    </w:r>
                    <w:r>
                      <w:rPr>
                        <w:rFonts w:ascii="Arial" w:hAnsi="Arial" w:cs="Arial"/>
                        <w:b/>
                        <w:bCs/>
                        <w:i/>
                        <w:color w:val="231F20"/>
                        <w:spacing w:val="-9"/>
                        <w:w w:val="95"/>
                        <w:sz w:val="20"/>
                        <w:szCs w:val="20"/>
                      </w:rPr>
                      <w:t>W</w:t>
                    </w:r>
                    <w:r>
                      <w:rPr>
                        <w:rFonts w:ascii="Arial" w:hAnsi="Arial" w:cs="Arial"/>
                        <w:b/>
                        <w:bCs/>
                        <w:i/>
                        <w:color w:val="231F20"/>
                        <w:w w:val="92"/>
                        <w:sz w:val="20"/>
                        <w:szCs w:val="20"/>
                      </w:rPr>
                      <w:t>or</w:t>
                    </w:r>
                    <w:r>
                      <w:rPr>
                        <w:rFonts w:ascii="Arial" w:hAnsi="Arial" w:cs="Arial"/>
                        <w:b/>
                        <w:bCs/>
                        <w:i/>
                        <w:color w:val="231F20"/>
                        <w:spacing w:val="-1"/>
                        <w:w w:val="92"/>
                        <w:sz w:val="20"/>
                        <w:szCs w:val="20"/>
                      </w:rPr>
                      <w:t>k</w:t>
                    </w:r>
                    <w:r>
                      <w:rPr>
                        <w:rFonts w:ascii="Arial" w:hAnsi="Arial" w:cs="Arial"/>
                        <w:b/>
                        <w:bCs/>
                        <w:i/>
                        <w:color w:val="231F20"/>
                        <w:w w:val="95"/>
                        <w:sz w:val="20"/>
                        <w:szCs w:val="20"/>
                      </w:rPr>
                      <w:t>e</w:t>
                    </w:r>
                    <w:r>
                      <w:rPr>
                        <w:rFonts w:ascii="Arial" w:hAnsi="Arial" w:cs="Arial"/>
                        <w:b/>
                        <w:bCs/>
                        <w:i/>
                        <w:color w:val="231F20"/>
                        <w:spacing w:val="-17"/>
                        <w:w w:val="95"/>
                        <w:sz w:val="20"/>
                        <w:szCs w:val="20"/>
                      </w:rPr>
                      <w:t>r</w:t>
                    </w:r>
                    <w:r w:rsidR="00D5537E">
                      <w:rPr>
                        <w:rFonts w:ascii="Arial" w:hAnsi="Arial" w:cs="Arial"/>
                        <w:b/>
                        <w:bCs/>
                        <w:i/>
                        <w:color w:val="231F20"/>
                        <w:w w:val="88"/>
                        <w:sz w:val="20"/>
                        <w:szCs w:val="20"/>
                      </w:rPr>
                      <w:t xml:space="preserve"> and</w:t>
                    </w:r>
                    <w:r>
                      <w:rPr>
                        <w:rFonts w:ascii="Arial" w:hAnsi="Arial" w:cs="Arial"/>
                        <w:b/>
                        <w:bCs/>
                        <w:i/>
                        <w:color w:val="231F20"/>
                        <w:spacing w:val="-5"/>
                        <w:sz w:val="20"/>
                        <w:szCs w:val="20"/>
                      </w:rPr>
                      <w:t xml:space="preserve"> </w:t>
                    </w:r>
                    <w:r>
                      <w:rPr>
                        <w:rFonts w:ascii="Arial" w:hAnsi="Arial" w:cs="Arial"/>
                        <w:b/>
                        <w:bCs/>
                        <w:i/>
                        <w:color w:val="231F20"/>
                        <w:spacing w:val="-25"/>
                        <w:w w:val="95"/>
                        <w:sz w:val="20"/>
                        <w:szCs w:val="20"/>
                      </w:rPr>
                      <w:t>Y</w:t>
                    </w:r>
                    <w:r>
                      <w:rPr>
                        <w:rFonts w:ascii="Arial" w:hAnsi="Arial" w:cs="Arial"/>
                        <w:b/>
                        <w:bCs/>
                        <w:i/>
                        <w:color w:val="231F20"/>
                        <w:w w:val="93"/>
                        <w:sz w:val="20"/>
                        <w:szCs w:val="20"/>
                      </w:rPr>
                      <w:t>outh</w:t>
                    </w:r>
                    <w:r>
                      <w:rPr>
                        <w:rFonts w:ascii="Arial" w:hAnsi="Arial" w:cs="Arial"/>
                        <w:b/>
                        <w:bCs/>
                        <w:i/>
                        <w:color w:val="231F20"/>
                        <w:spacing w:val="-5"/>
                        <w:sz w:val="20"/>
                        <w:szCs w:val="20"/>
                      </w:rPr>
                      <w:t xml:space="preserve"> </w:t>
                    </w:r>
                    <w:r>
                      <w:rPr>
                        <w:rFonts w:ascii="Arial" w:hAnsi="Arial" w:cs="Arial"/>
                        <w:b/>
                        <w:bCs/>
                        <w:i/>
                        <w:color w:val="231F20"/>
                        <w:w w:val="91"/>
                        <w:sz w:val="20"/>
                        <w:szCs w:val="20"/>
                      </w:rPr>
                      <w:t>Activities</w:t>
                    </w:r>
                  </w:p>
                </w:txbxContent>
              </v:textbox>
              <w10:wrap anchorx="page" anchory="page"/>
            </v:shape>
          </w:pict>
        </mc:Fallback>
      </mc:AlternateContent>
    </w: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8E0E9EC" w14:textId="60CC81D3" w:rsidR="008601E5" w:rsidRDefault="008601E5">
    <w:pPr>
      <w:spacing w:line="14" w:lineRule="auto"/>
      <w:rPr>
        <w:sz w:val="20"/>
        <w:szCs w:val="20"/>
      </w:rPr>
    </w:pPr>
    <w:r>
      <w:rPr>
        <w:noProof/>
      </w:rPr>
      <mc:AlternateContent>
        <mc:Choice Requires="wps">
          <w:drawing>
            <wp:anchor distT="0" distB="0" distL="114300" distR="114300" simplePos="0" relativeHeight="251658256" behindDoc="1" locked="0" layoutInCell="1" allowOverlap="1" wp14:anchorId="25D6DEFD" wp14:editId="2A4CD678">
              <wp:simplePos x="0" y="0"/>
              <wp:positionH relativeFrom="page">
                <wp:posOffset>6889115</wp:posOffset>
              </wp:positionH>
              <wp:positionV relativeFrom="page">
                <wp:posOffset>9555480</wp:posOffset>
              </wp:positionV>
              <wp:extent cx="269240" cy="177800"/>
              <wp:effectExtent l="0" t="0" r="0" b="0"/>
              <wp:wrapNone/>
              <wp:docPr id="310" name="Text Box 3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9240"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D650BA" w14:textId="142FBE40" w:rsidR="008601E5" w:rsidRDefault="008601E5">
                          <w:pPr>
                            <w:spacing w:line="267" w:lineRule="exact"/>
                            <w:ind w:left="40"/>
                            <w:rPr>
                              <w:rFonts w:ascii="Calibri" w:hAnsi="Calibri" w:cs="Calibri"/>
                              <w:sz w:val="24"/>
                              <w:szCs w:val="24"/>
                            </w:rPr>
                          </w:pPr>
                          <w:r>
                            <w:rPr>
                              <w:rFonts w:ascii="Calibri"/>
                              <w:b/>
                              <w:color w:val="231F20"/>
                              <w:w w:val="94"/>
                              <w:sz w:val="24"/>
                            </w:rPr>
                            <w:fldChar w:fldCharType="begin"/>
                          </w:r>
                          <w:r>
                            <w:rPr>
                              <w:rFonts w:ascii="Calibri"/>
                              <w:b/>
                              <w:color w:val="231F20"/>
                              <w:w w:val="94"/>
                              <w:sz w:val="24"/>
                            </w:rPr>
                            <w:instrText xml:space="preserve"> PAGE </w:instrText>
                          </w:r>
                          <w:r>
                            <w:rPr>
                              <w:rFonts w:ascii="Calibri"/>
                              <w:b/>
                              <w:color w:val="231F20"/>
                              <w:w w:val="94"/>
                              <w:sz w:val="24"/>
                            </w:rPr>
                            <w:fldChar w:fldCharType="separate"/>
                          </w:r>
                          <w:r w:rsidR="00BC1D20">
                            <w:rPr>
                              <w:rFonts w:ascii="Calibri"/>
                              <w:b/>
                              <w:noProof/>
                              <w:color w:val="231F20"/>
                              <w:w w:val="94"/>
                              <w:sz w:val="24"/>
                            </w:rPr>
                            <w:t>116</w:t>
                          </w:r>
                          <w:r>
                            <w:rPr>
                              <w:rFonts w:ascii="Calibri"/>
                              <w:b/>
                              <w:color w:val="231F20"/>
                              <w:w w:val="94"/>
                              <w:sz w:val="24"/>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5D6DEFD" id="_x0000_t202" coordsize="21600,21600" o:spt="202" path="m,l,21600r21600,l21600,xe">
              <v:stroke joinstyle="miter"/>
              <v:path gradientshapeok="t" o:connecttype="rect"/>
            </v:shapetype>
            <v:shape id="Text Box 310" o:spid="_x0000_s1061" type="#_x0000_t202" style="position:absolute;margin-left:542.45pt;margin-top:752.4pt;width:21.2pt;height:14pt;z-index:-2516582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" filled="f" stroked="f">
              <v:textbox inset="0,0,0,0">
                <w:txbxContent>
                  <w:p w14:paraId="25D650BA" w14:textId="142FBE40" w:rsidR="008601E5" w:rsidRDefault="008601E5">
                    <w:pPr>
                      <w:spacing w:line="267" w:lineRule="exact"/>
                      <w:ind w:left="40"/>
                      <w:rPr>
                        <w:rFonts w:ascii="Calibri" w:hAnsi="Calibri" w:cs="Calibri"/>
                        <w:sz w:val="24"/>
                        <w:szCs w:val="24"/>
                      </w:rPr>
                    </w:pPr>
                    <w:r>
                      <w:rPr>
                        <w:rFonts w:ascii="Calibri"/>
                        <w:b/>
                        <w:color w:val="231F20"/>
                        <w:w w:val="94"/>
                        <w:sz w:val="24"/>
                      </w:rPr>
                      <w:fldChar w:fldCharType="begin"/>
                    </w:r>
                    <w:r>
                      <w:rPr>
                        <w:rFonts w:ascii="Calibri"/>
                        <w:b/>
                        <w:color w:val="231F20"/>
                        <w:w w:val="94"/>
                        <w:sz w:val="24"/>
                      </w:rPr>
                      <w:instrText xml:space="preserve"> PAGE </w:instrText>
                    </w:r>
                    <w:r>
                      <w:rPr>
                        <w:rFonts w:ascii="Calibri"/>
                        <w:b/>
                        <w:color w:val="231F20"/>
                        <w:w w:val="94"/>
                        <w:sz w:val="24"/>
                      </w:rPr>
                      <w:fldChar w:fldCharType="separate"/>
                    </w:r>
                    <w:r w:rsidR="00BC1D20">
                      <w:rPr>
                        <w:rFonts w:ascii="Calibri"/>
                        <w:b/>
                        <w:noProof/>
                        <w:color w:val="231F20"/>
                        <w:w w:val="94"/>
                        <w:sz w:val="24"/>
                      </w:rPr>
                      <w:t>116</w:t>
                    </w:r>
                    <w:r>
                      <w:rPr>
                        <w:rFonts w:ascii="Calibri"/>
                        <w:b/>
                        <w:color w:val="231F20"/>
                        <w:w w:val="94"/>
                        <w:sz w:val="24"/>
                      </w:rPr>
                      <w:fldChar w:fldCharType="end"/>
                    </w:r>
                  </w:p>
                </w:txbxContent>
              </v:textbox>
              <w10:wrap anchorx="page" anchory="page"/>
            </v:shape>
          </w:pict>
        </mc:Fallback>
      </mc:AlternateContent>
    </w:r>
    <w:r>
      <w:rPr>
        <w:noProof/>
      </w:rPr>
      <mc:AlternateContent>
        <mc:Choice Requires="wps">
          <w:drawing>
            <wp:anchor distT="0" distB="0" distL="114300" distR="114300" simplePos="0" relativeHeight="251658257" behindDoc="1" locked="0" layoutInCell="1" allowOverlap="1" wp14:anchorId="3F354CE7" wp14:editId="41A4F573">
              <wp:simplePos x="0" y="0"/>
              <wp:positionH relativeFrom="page">
                <wp:posOffset>781050</wp:posOffset>
              </wp:positionH>
              <wp:positionV relativeFrom="page">
                <wp:posOffset>9559925</wp:posOffset>
              </wp:positionV>
              <wp:extent cx="5248910" cy="153035"/>
              <wp:effectExtent l="0" t="0" r="0" b="0"/>
              <wp:wrapNone/>
              <wp:docPr id="309" name="Text Box 3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48910" cy="1530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42A35F" w14:textId="77777777" w:rsidR="008601E5" w:rsidRDefault="008601E5">
                          <w:pPr>
                            <w:spacing w:line="227" w:lineRule="exact"/>
                            <w:ind w:left="20"/>
                            <w:rPr>
                              <w:rFonts w:ascii="Arial" w:hAnsi="Arial" w:cs="Arial"/>
                              <w:sz w:val="20"/>
                              <w:szCs w:val="20"/>
                            </w:rPr>
                          </w:pPr>
                          <w:r>
                            <w:rPr>
                              <w:rFonts w:ascii="Calibri" w:hAnsi="Calibri" w:cs="Calibri"/>
                              <w:b/>
                              <w:bCs/>
                              <w:color w:val="231F20"/>
                              <w:w w:val="109"/>
                              <w:sz w:val="20"/>
                              <w:szCs w:val="20"/>
                            </w:rPr>
                            <w:t>Section</w:t>
                          </w:r>
                          <w:r>
                            <w:rPr>
                              <w:rFonts w:ascii="Calibri" w:hAnsi="Calibri" w:cs="Calibri"/>
                              <w:b/>
                              <w:bCs/>
                              <w:color w:val="231F20"/>
                              <w:spacing w:val="6"/>
                              <w:sz w:val="20"/>
                              <w:szCs w:val="20"/>
                            </w:rPr>
                            <w:t xml:space="preserve"> </w:t>
                          </w:r>
                          <w:r>
                            <w:rPr>
                              <w:rFonts w:ascii="Calibri" w:hAnsi="Calibri" w:cs="Calibri"/>
                              <w:b/>
                              <w:bCs/>
                              <w:color w:val="231F20"/>
                              <w:w w:val="103"/>
                              <w:sz w:val="20"/>
                              <w:szCs w:val="20"/>
                            </w:rPr>
                            <w:t>VII.</w:t>
                          </w:r>
                          <w:r>
                            <w:rPr>
                              <w:rFonts w:ascii="Calibri" w:hAnsi="Calibri" w:cs="Calibri"/>
                              <w:b/>
                              <w:bCs/>
                              <w:color w:val="231F20"/>
                              <w:spacing w:val="6"/>
                              <w:sz w:val="20"/>
                              <w:szCs w:val="20"/>
                            </w:rPr>
                            <w:t xml:space="preserve"> </w:t>
                          </w:r>
                          <w:r>
                            <w:rPr>
                              <w:rFonts w:ascii="Calibri" w:hAnsi="Calibri" w:cs="Calibri"/>
                              <w:b/>
                              <w:bCs/>
                              <w:color w:val="231F20"/>
                              <w:w w:val="108"/>
                              <w:sz w:val="20"/>
                              <w:szCs w:val="20"/>
                            </w:rPr>
                            <w:t>Program-Specific</w:t>
                          </w:r>
                          <w:r>
                            <w:rPr>
                              <w:rFonts w:ascii="Calibri" w:hAnsi="Calibri" w:cs="Calibri"/>
                              <w:b/>
                              <w:bCs/>
                              <w:color w:val="231F20"/>
                              <w:spacing w:val="6"/>
                              <w:sz w:val="20"/>
                              <w:szCs w:val="20"/>
                            </w:rPr>
                            <w:t xml:space="preserve"> </w:t>
                          </w:r>
                          <w:r>
                            <w:rPr>
                              <w:rFonts w:ascii="Calibri" w:hAnsi="Calibri" w:cs="Calibri"/>
                              <w:b/>
                              <w:bCs/>
                              <w:color w:val="231F20"/>
                              <w:spacing w:val="-7"/>
                              <w:w w:val="111"/>
                              <w:sz w:val="20"/>
                              <w:szCs w:val="20"/>
                            </w:rPr>
                            <w:t>R</w:t>
                          </w:r>
                          <w:r>
                            <w:rPr>
                              <w:rFonts w:ascii="Calibri" w:hAnsi="Calibri" w:cs="Calibri"/>
                              <w:b/>
                              <w:bCs/>
                              <w:color w:val="231F20"/>
                              <w:w w:val="105"/>
                              <w:sz w:val="20"/>
                              <w:szCs w:val="20"/>
                            </w:rPr>
                            <w:t>equirements</w:t>
                          </w:r>
                          <w:r>
                            <w:rPr>
                              <w:rFonts w:ascii="Calibri" w:hAnsi="Calibri" w:cs="Calibri"/>
                              <w:b/>
                              <w:bCs/>
                              <w:color w:val="231F20"/>
                              <w:spacing w:val="6"/>
                              <w:sz w:val="20"/>
                              <w:szCs w:val="20"/>
                            </w:rPr>
                            <w:t xml:space="preserve"> </w:t>
                          </w:r>
                          <w:r>
                            <w:rPr>
                              <w:rFonts w:ascii="Calibri" w:hAnsi="Calibri" w:cs="Calibri"/>
                              <w:b/>
                              <w:bCs/>
                              <w:color w:val="231F20"/>
                              <w:w w:val="101"/>
                              <w:sz w:val="20"/>
                              <w:szCs w:val="20"/>
                            </w:rPr>
                            <w:t>for</w:t>
                          </w:r>
                          <w:r>
                            <w:rPr>
                              <w:rFonts w:ascii="Calibri" w:hAnsi="Calibri" w:cs="Calibri"/>
                              <w:b/>
                              <w:bCs/>
                              <w:color w:val="231F20"/>
                              <w:spacing w:val="6"/>
                              <w:sz w:val="20"/>
                              <w:szCs w:val="20"/>
                            </w:rPr>
                            <w:t xml:space="preserve"> </w:t>
                          </w:r>
                          <w:r>
                            <w:rPr>
                              <w:rFonts w:ascii="Calibri" w:hAnsi="Calibri" w:cs="Calibri"/>
                              <w:b/>
                              <w:bCs/>
                              <w:color w:val="231F20"/>
                              <w:w w:val="112"/>
                              <w:sz w:val="20"/>
                              <w:szCs w:val="20"/>
                            </w:rPr>
                            <w:t>Core</w:t>
                          </w:r>
                          <w:r>
                            <w:rPr>
                              <w:rFonts w:ascii="Calibri" w:hAnsi="Calibri" w:cs="Calibri"/>
                              <w:b/>
                              <w:bCs/>
                              <w:color w:val="231F20"/>
                              <w:spacing w:val="6"/>
                              <w:sz w:val="20"/>
                              <w:szCs w:val="20"/>
                            </w:rPr>
                            <w:t xml:space="preserve"> </w:t>
                          </w:r>
                          <w:r>
                            <w:rPr>
                              <w:rFonts w:ascii="Calibri" w:hAnsi="Calibri" w:cs="Calibri"/>
                              <w:b/>
                              <w:bCs/>
                              <w:color w:val="231F20"/>
                              <w:w w:val="109"/>
                              <w:sz w:val="20"/>
                              <w:szCs w:val="20"/>
                            </w:rPr>
                            <w:t>Programs</w:t>
                          </w:r>
                          <w:r>
                            <w:rPr>
                              <w:rFonts w:ascii="Calibri" w:hAnsi="Calibri" w:cs="Calibri"/>
                              <w:b/>
                              <w:bCs/>
                              <w:color w:val="231F20"/>
                              <w:spacing w:val="-1"/>
                              <w:w w:val="109"/>
                              <w:sz w:val="20"/>
                              <w:szCs w:val="20"/>
                            </w:rPr>
                            <w:t>–</w:t>
                          </w:r>
                          <w:r>
                            <w:rPr>
                              <w:rFonts w:ascii="Arial" w:hAnsi="Arial" w:cs="Arial"/>
                              <w:b/>
                              <w:bCs/>
                              <w:i/>
                              <w:color w:val="231F20"/>
                              <w:spacing w:val="-8"/>
                              <w:w w:val="95"/>
                              <w:sz w:val="20"/>
                              <w:szCs w:val="20"/>
                            </w:rPr>
                            <w:t>W</w:t>
                          </w:r>
                          <w:r>
                            <w:rPr>
                              <w:rFonts w:ascii="Arial" w:hAnsi="Arial" w:cs="Arial"/>
                              <w:b/>
                              <w:bCs/>
                              <w:i/>
                              <w:color w:val="231F20"/>
                              <w:w w:val="95"/>
                              <w:sz w:val="20"/>
                              <w:szCs w:val="20"/>
                            </w:rPr>
                            <w:t>agner-</w:t>
                          </w:r>
                          <w:r>
                            <w:rPr>
                              <w:rFonts w:ascii="Arial" w:hAnsi="Arial" w:cs="Arial"/>
                              <w:b/>
                              <w:bCs/>
                              <w:i/>
                              <w:color w:val="231F20"/>
                              <w:spacing w:val="-4"/>
                              <w:w w:val="95"/>
                              <w:sz w:val="20"/>
                              <w:szCs w:val="20"/>
                            </w:rPr>
                            <w:t>P</w:t>
                          </w:r>
                          <w:r>
                            <w:rPr>
                              <w:rFonts w:ascii="Arial" w:hAnsi="Arial" w:cs="Arial"/>
                              <w:b/>
                              <w:bCs/>
                              <w:i/>
                              <w:color w:val="231F20"/>
                              <w:w w:val="93"/>
                              <w:sz w:val="20"/>
                              <w:szCs w:val="20"/>
                            </w:rPr>
                            <w:t>eyser</w:t>
                          </w:r>
                          <w:r>
                            <w:rPr>
                              <w:rFonts w:ascii="Arial" w:hAnsi="Arial" w:cs="Arial"/>
                              <w:b/>
                              <w:bCs/>
                              <w:i/>
                              <w:color w:val="231F20"/>
                              <w:spacing w:val="-5"/>
                              <w:sz w:val="20"/>
                              <w:szCs w:val="20"/>
                            </w:rPr>
                            <w:t xml:space="preserve"> </w:t>
                          </w:r>
                          <w:r>
                            <w:rPr>
                              <w:rFonts w:ascii="Arial" w:hAnsi="Arial" w:cs="Arial"/>
                              <w:b/>
                              <w:bCs/>
                              <w:i/>
                              <w:color w:val="231F20"/>
                              <w:w w:val="92"/>
                              <w:sz w:val="20"/>
                              <w:szCs w:val="20"/>
                            </w:rPr>
                            <w:t>Act</w:t>
                          </w:r>
                          <w:r>
                            <w:rPr>
                              <w:rFonts w:ascii="Arial" w:hAnsi="Arial" w:cs="Arial"/>
                              <w:b/>
                              <w:bCs/>
                              <w:i/>
                              <w:color w:val="231F20"/>
                              <w:spacing w:val="-5"/>
                              <w:sz w:val="20"/>
                              <w:szCs w:val="20"/>
                            </w:rPr>
                            <w:t xml:space="preserve"> </w:t>
                          </w:r>
                          <w:r>
                            <w:rPr>
                              <w:rFonts w:ascii="Arial" w:hAnsi="Arial" w:cs="Arial"/>
                              <w:b/>
                              <w:bCs/>
                              <w:i/>
                              <w:color w:val="231F20"/>
                              <w:w w:val="94"/>
                              <w:sz w:val="20"/>
                              <w:szCs w:val="20"/>
                            </w:rPr>
                            <w:t>Program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F354CE7" id="Text Box 309" o:spid="_x0000_s1062" type="#_x0000_t202" style="position:absolute;margin-left:61.5pt;margin-top:752.75pt;width:413.3pt;height:12.05pt;z-index:-25165822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" filled="f" stroked="f">
              <v:textbox inset="0,0,0,0">
                <w:txbxContent>
                  <w:p w14:paraId="2142A35F" w14:textId="77777777" w:rsidR="008601E5" w:rsidRDefault="008601E5">
                    <w:pPr>
                      <w:spacing w:line="227" w:lineRule="exact"/>
                      <w:ind w:left="20"/>
                      <w:rPr>
                        <w:rFonts w:ascii="Arial" w:hAnsi="Arial" w:cs="Arial"/>
                        <w:sz w:val="20"/>
                        <w:szCs w:val="20"/>
                      </w:rPr>
                    </w:pPr>
                    <w:r>
                      <w:rPr>
                        <w:rFonts w:ascii="Calibri" w:hAnsi="Calibri" w:cs="Calibri"/>
                        <w:b/>
                        <w:bCs/>
                        <w:color w:val="231F20"/>
                        <w:w w:val="109"/>
                        <w:sz w:val="20"/>
                        <w:szCs w:val="20"/>
                      </w:rPr>
                      <w:t>Section</w:t>
                    </w:r>
                    <w:r>
                      <w:rPr>
                        <w:rFonts w:ascii="Calibri" w:hAnsi="Calibri" w:cs="Calibri"/>
                        <w:b/>
                        <w:bCs/>
                        <w:color w:val="231F20"/>
                        <w:spacing w:val="6"/>
                        <w:sz w:val="20"/>
                        <w:szCs w:val="20"/>
                      </w:rPr>
                      <w:t xml:space="preserve"> </w:t>
                    </w:r>
                    <w:r>
                      <w:rPr>
                        <w:rFonts w:ascii="Calibri" w:hAnsi="Calibri" w:cs="Calibri"/>
                        <w:b/>
                        <w:bCs/>
                        <w:color w:val="231F20"/>
                        <w:w w:val="103"/>
                        <w:sz w:val="20"/>
                        <w:szCs w:val="20"/>
                      </w:rPr>
                      <w:t>VII.</w:t>
                    </w:r>
                    <w:r>
                      <w:rPr>
                        <w:rFonts w:ascii="Calibri" w:hAnsi="Calibri" w:cs="Calibri"/>
                        <w:b/>
                        <w:bCs/>
                        <w:color w:val="231F20"/>
                        <w:spacing w:val="6"/>
                        <w:sz w:val="20"/>
                        <w:szCs w:val="20"/>
                      </w:rPr>
                      <w:t xml:space="preserve"> </w:t>
                    </w:r>
                    <w:r>
                      <w:rPr>
                        <w:rFonts w:ascii="Calibri" w:hAnsi="Calibri" w:cs="Calibri"/>
                        <w:b/>
                        <w:bCs/>
                        <w:color w:val="231F20"/>
                        <w:w w:val="108"/>
                        <w:sz w:val="20"/>
                        <w:szCs w:val="20"/>
                      </w:rPr>
                      <w:t>Program-Specific</w:t>
                    </w:r>
                    <w:r>
                      <w:rPr>
                        <w:rFonts w:ascii="Calibri" w:hAnsi="Calibri" w:cs="Calibri"/>
                        <w:b/>
                        <w:bCs/>
                        <w:color w:val="231F20"/>
                        <w:spacing w:val="6"/>
                        <w:sz w:val="20"/>
                        <w:szCs w:val="20"/>
                      </w:rPr>
                      <w:t xml:space="preserve"> </w:t>
                    </w:r>
                    <w:r>
                      <w:rPr>
                        <w:rFonts w:ascii="Calibri" w:hAnsi="Calibri" w:cs="Calibri"/>
                        <w:b/>
                        <w:bCs/>
                        <w:color w:val="231F20"/>
                        <w:spacing w:val="-7"/>
                        <w:w w:val="111"/>
                        <w:sz w:val="20"/>
                        <w:szCs w:val="20"/>
                      </w:rPr>
                      <w:t>R</w:t>
                    </w:r>
                    <w:r>
                      <w:rPr>
                        <w:rFonts w:ascii="Calibri" w:hAnsi="Calibri" w:cs="Calibri"/>
                        <w:b/>
                        <w:bCs/>
                        <w:color w:val="231F20"/>
                        <w:w w:val="105"/>
                        <w:sz w:val="20"/>
                        <w:szCs w:val="20"/>
                      </w:rPr>
                      <w:t>equirements</w:t>
                    </w:r>
                    <w:r>
                      <w:rPr>
                        <w:rFonts w:ascii="Calibri" w:hAnsi="Calibri" w:cs="Calibri"/>
                        <w:b/>
                        <w:bCs/>
                        <w:color w:val="231F20"/>
                        <w:spacing w:val="6"/>
                        <w:sz w:val="20"/>
                        <w:szCs w:val="20"/>
                      </w:rPr>
                      <w:t xml:space="preserve"> </w:t>
                    </w:r>
                    <w:r>
                      <w:rPr>
                        <w:rFonts w:ascii="Calibri" w:hAnsi="Calibri" w:cs="Calibri"/>
                        <w:b/>
                        <w:bCs/>
                        <w:color w:val="231F20"/>
                        <w:w w:val="101"/>
                        <w:sz w:val="20"/>
                        <w:szCs w:val="20"/>
                      </w:rPr>
                      <w:t>for</w:t>
                    </w:r>
                    <w:r>
                      <w:rPr>
                        <w:rFonts w:ascii="Calibri" w:hAnsi="Calibri" w:cs="Calibri"/>
                        <w:b/>
                        <w:bCs/>
                        <w:color w:val="231F20"/>
                        <w:spacing w:val="6"/>
                        <w:sz w:val="20"/>
                        <w:szCs w:val="20"/>
                      </w:rPr>
                      <w:t xml:space="preserve"> </w:t>
                    </w:r>
                    <w:r>
                      <w:rPr>
                        <w:rFonts w:ascii="Calibri" w:hAnsi="Calibri" w:cs="Calibri"/>
                        <w:b/>
                        <w:bCs/>
                        <w:color w:val="231F20"/>
                        <w:w w:val="112"/>
                        <w:sz w:val="20"/>
                        <w:szCs w:val="20"/>
                      </w:rPr>
                      <w:t>Core</w:t>
                    </w:r>
                    <w:r>
                      <w:rPr>
                        <w:rFonts w:ascii="Calibri" w:hAnsi="Calibri" w:cs="Calibri"/>
                        <w:b/>
                        <w:bCs/>
                        <w:color w:val="231F20"/>
                        <w:spacing w:val="6"/>
                        <w:sz w:val="20"/>
                        <w:szCs w:val="20"/>
                      </w:rPr>
                      <w:t xml:space="preserve"> </w:t>
                    </w:r>
                    <w:r>
                      <w:rPr>
                        <w:rFonts w:ascii="Calibri" w:hAnsi="Calibri" w:cs="Calibri"/>
                        <w:b/>
                        <w:bCs/>
                        <w:color w:val="231F20"/>
                        <w:w w:val="109"/>
                        <w:sz w:val="20"/>
                        <w:szCs w:val="20"/>
                      </w:rPr>
                      <w:t>Programs</w:t>
                    </w:r>
                    <w:r>
                      <w:rPr>
                        <w:rFonts w:ascii="Calibri" w:hAnsi="Calibri" w:cs="Calibri"/>
                        <w:b/>
                        <w:bCs/>
                        <w:color w:val="231F20"/>
                        <w:spacing w:val="-1"/>
                        <w:w w:val="109"/>
                        <w:sz w:val="20"/>
                        <w:szCs w:val="20"/>
                      </w:rPr>
                      <w:t>–</w:t>
                    </w:r>
                    <w:r>
                      <w:rPr>
                        <w:rFonts w:ascii="Arial" w:hAnsi="Arial" w:cs="Arial"/>
                        <w:b/>
                        <w:bCs/>
                        <w:i/>
                        <w:color w:val="231F20"/>
                        <w:spacing w:val="-8"/>
                        <w:w w:val="95"/>
                        <w:sz w:val="20"/>
                        <w:szCs w:val="20"/>
                      </w:rPr>
                      <w:t>W</w:t>
                    </w:r>
                    <w:r>
                      <w:rPr>
                        <w:rFonts w:ascii="Arial" w:hAnsi="Arial" w:cs="Arial"/>
                        <w:b/>
                        <w:bCs/>
                        <w:i/>
                        <w:color w:val="231F20"/>
                        <w:w w:val="95"/>
                        <w:sz w:val="20"/>
                        <w:szCs w:val="20"/>
                      </w:rPr>
                      <w:t>agner-</w:t>
                    </w:r>
                    <w:r>
                      <w:rPr>
                        <w:rFonts w:ascii="Arial" w:hAnsi="Arial" w:cs="Arial"/>
                        <w:b/>
                        <w:bCs/>
                        <w:i/>
                        <w:color w:val="231F20"/>
                        <w:spacing w:val="-4"/>
                        <w:w w:val="95"/>
                        <w:sz w:val="20"/>
                        <w:szCs w:val="20"/>
                      </w:rPr>
                      <w:t>P</w:t>
                    </w:r>
                    <w:r>
                      <w:rPr>
                        <w:rFonts w:ascii="Arial" w:hAnsi="Arial" w:cs="Arial"/>
                        <w:b/>
                        <w:bCs/>
                        <w:i/>
                        <w:color w:val="231F20"/>
                        <w:w w:val="93"/>
                        <w:sz w:val="20"/>
                        <w:szCs w:val="20"/>
                      </w:rPr>
                      <w:t>eyser</w:t>
                    </w:r>
                    <w:r>
                      <w:rPr>
                        <w:rFonts w:ascii="Arial" w:hAnsi="Arial" w:cs="Arial"/>
                        <w:b/>
                        <w:bCs/>
                        <w:i/>
                        <w:color w:val="231F20"/>
                        <w:spacing w:val="-5"/>
                        <w:sz w:val="20"/>
                        <w:szCs w:val="20"/>
                      </w:rPr>
                      <w:t xml:space="preserve"> </w:t>
                    </w:r>
                    <w:r>
                      <w:rPr>
                        <w:rFonts w:ascii="Arial" w:hAnsi="Arial" w:cs="Arial"/>
                        <w:b/>
                        <w:bCs/>
                        <w:i/>
                        <w:color w:val="231F20"/>
                        <w:w w:val="92"/>
                        <w:sz w:val="20"/>
                        <w:szCs w:val="20"/>
                      </w:rPr>
                      <w:t>Act</w:t>
                    </w:r>
                    <w:r>
                      <w:rPr>
                        <w:rFonts w:ascii="Arial" w:hAnsi="Arial" w:cs="Arial"/>
                        <w:b/>
                        <w:bCs/>
                        <w:i/>
                        <w:color w:val="231F20"/>
                        <w:spacing w:val="-5"/>
                        <w:sz w:val="20"/>
                        <w:szCs w:val="20"/>
                      </w:rPr>
                      <w:t xml:space="preserve"> </w:t>
                    </w:r>
                    <w:r>
                      <w:rPr>
                        <w:rFonts w:ascii="Arial" w:hAnsi="Arial" w:cs="Arial"/>
                        <w:b/>
                        <w:bCs/>
                        <w:i/>
                        <w:color w:val="231F20"/>
                        <w:w w:val="94"/>
                        <w:sz w:val="20"/>
                        <w:szCs w:val="20"/>
                      </w:rPr>
                      <w:t>Program</w:t>
                    </w:r>
                  </w:p>
                </w:txbxContent>
              </v:textbox>
              <w10:wrap anchorx="page" anchory="page"/>
            </v:shape>
          </w:pict>
        </mc:Fallback>
      </mc:AlternateContent>
    </w: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426EEA0" w14:textId="02DD807A" w:rsidR="008601E5" w:rsidRDefault="008601E5">
    <w:pPr>
      <w:spacing w:line="14" w:lineRule="auto"/>
      <w:rPr>
        <w:sz w:val="20"/>
        <w:szCs w:val="20"/>
      </w:rPr>
    </w:pPr>
    <w:r>
      <w:rPr>
        <w:noProof/>
      </w:rPr>
      <mc:AlternateContent>
        <mc:Choice Requires="wps">
          <w:drawing>
            <wp:anchor distT="0" distB="0" distL="114300" distR="114300" simplePos="0" relativeHeight="251658258" behindDoc="1" locked="0" layoutInCell="1" allowOverlap="1" wp14:anchorId="7AD40E36" wp14:editId="291417B0">
              <wp:simplePos x="0" y="0"/>
              <wp:positionH relativeFrom="page">
                <wp:posOffset>6859905</wp:posOffset>
              </wp:positionH>
              <wp:positionV relativeFrom="page">
                <wp:posOffset>9555480</wp:posOffset>
              </wp:positionV>
              <wp:extent cx="297815" cy="177800"/>
              <wp:effectExtent l="0" t="0" r="0" b="0"/>
              <wp:wrapNone/>
              <wp:docPr id="306" name="Text Box 3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815"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5D18B2" w14:textId="0D4D8FD5" w:rsidR="008601E5" w:rsidRDefault="008601E5">
                          <w:pPr>
                            <w:spacing w:line="267" w:lineRule="exact"/>
                            <w:ind w:left="40"/>
                            <w:rPr>
                              <w:rFonts w:ascii="Calibri" w:hAnsi="Calibri" w:cs="Calibri"/>
                              <w:sz w:val="24"/>
                              <w:szCs w:val="24"/>
                            </w:rPr>
                          </w:pPr>
                          <w:r>
                            <w:rPr>
                              <w:rFonts w:ascii="Calibri"/>
                              <w:b/>
                              <w:color w:val="231F20"/>
                              <w:w w:val="106"/>
                              <w:sz w:val="24"/>
                            </w:rPr>
                            <w:fldChar w:fldCharType="begin"/>
                          </w:r>
                          <w:r>
                            <w:rPr>
                              <w:rFonts w:ascii="Calibri"/>
                              <w:b/>
                              <w:color w:val="231F20"/>
                              <w:w w:val="106"/>
                              <w:sz w:val="24"/>
                            </w:rPr>
                            <w:instrText xml:space="preserve"> PAGE </w:instrText>
                          </w:r>
                          <w:r>
                            <w:rPr>
                              <w:rFonts w:ascii="Calibri"/>
                              <w:b/>
                              <w:color w:val="231F20"/>
                              <w:w w:val="106"/>
                              <w:sz w:val="24"/>
                            </w:rPr>
                            <w:fldChar w:fldCharType="separate"/>
                          </w:r>
                          <w:r w:rsidR="00BC1D20">
                            <w:rPr>
                              <w:rFonts w:ascii="Calibri"/>
                              <w:b/>
                              <w:noProof/>
                              <w:color w:val="231F20"/>
                              <w:w w:val="106"/>
                              <w:sz w:val="24"/>
                            </w:rPr>
                            <w:t>131</w:t>
                          </w:r>
                          <w:r>
                            <w:rPr>
                              <w:rFonts w:ascii="Calibri"/>
                              <w:b/>
                              <w:color w:val="231F20"/>
                              <w:w w:val="106"/>
                              <w:sz w:val="24"/>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AD40E36" id="_x0000_t202" coordsize="21600,21600" o:spt="202" path="m,l,21600r21600,l21600,xe">
              <v:stroke joinstyle="miter"/>
              <v:path gradientshapeok="t" o:connecttype="rect"/>
            </v:shapetype>
            <v:shape id="Text Box 306" o:spid="_x0000_s1063" type="#_x0000_t202" style="position:absolute;margin-left:540.15pt;margin-top:752.4pt;width:23.45pt;height:14pt;z-index:-25165822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" filled="f" stroked="f">
              <v:textbox inset="0,0,0,0">
                <w:txbxContent>
                  <w:p w14:paraId="645D18B2" w14:textId="0D4D8FD5" w:rsidR="008601E5" w:rsidRDefault="008601E5">
                    <w:pPr>
                      <w:spacing w:line="267" w:lineRule="exact"/>
                      <w:ind w:left="40"/>
                      <w:rPr>
                        <w:rFonts w:ascii="Calibri" w:hAnsi="Calibri" w:cs="Calibri"/>
                        <w:sz w:val="24"/>
                        <w:szCs w:val="24"/>
                      </w:rPr>
                    </w:pPr>
                    <w:r>
                      <w:rPr>
                        <w:rFonts w:ascii="Calibri"/>
                        <w:b/>
                        <w:color w:val="231F20"/>
                        <w:w w:val="106"/>
                        <w:sz w:val="24"/>
                      </w:rPr>
                      <w:fldChar w:fldCharType="begin"/>
                    </w:r>
                    <w:r>
                      <w:rPr>
                        <w:rFonts w:ascii="Calibri"/>
                        <w:b/>
                        <w:color w:val="231F20"/>
                        <w:w w:val="106"/>
                        <w:sz w:val="24"/>
                      </w:rPr>
                      <w:instrText xml:space="preserve"> PAGE </w:instrText>
                    </w:r>
                    <w:r>
                      <w:rPr>
                        <w:rFonts w:ascii="Calibri"/>
                        <w:b/>
                        <w:color w:val="231F20"/>
                        <w:w w:val="106"/>
                        <w:sz w:val="24"/>
                      </w:rPr>
                      <w:fldChar w:fldCharType="separate"/>
                    </w:r>
                    <w:r w:rsidR="00BC1D20">
                      <w:rPr>
                        <w:rFonts w:ascii="Calibri"/>
                        <w:b/>
                        <w:noProof/>
                        <w:color w:val="231F20"/>
                        <w:w w:val="106"/>
                        <w:sz w:val="24"/>
                      </w:rPr>
                      <w:t>131</w:t>
                    </w:r>
                    <w:r>
                      <w:rPr>
                        <w:rFonts w:ascii="Calibri"/>
                        <w:b/>
                        <w:color w:val="231F20"/>
                        <w:w w:val="106"/>
                        <w:sz w:val="24"/>
                      </w:rPr>
                      <w:fldChar w:fldCharType="end"/>
                    </w:r>
                  </w:p>
                </w:txbxContent>
              </v:textbox>
              <w10:wrap anchorx="page" anchory="page"/>
            </v:shape>
          </w:pict>
        </mc:Fallback>
      </mc:AlternateContent>
    </w:r>
    <w:r>
      <w:rPr>
        <w:noProof/>
      </w:rPr>
      <mc:AlternateContent>
        <mc:Choice Requires="wps">
          <w:drawing>
            <wp:anchor distT="0" distB="0" distL="114300" distR="114300" simplePos="0" relativeHeight="251658259" behindDoc="1" locked="0" layoutInCell="1" allowOverlap="1" wp14:anchorId="343214B8" wp14:editId="3E0C527B">
              <wp:simplePos x="0" y="0"/>
              <wp:positionH relativeFrom="page">
                <wp:posOffset>781050</wp:posOffset>
              </wp:positionH>
              <wp:positionV relativeFrom="page">
                <wp:posOffset>9559925</wp:posOffset>
              </wp:positionV>
              <wp:extent cx="5248910" cy="153035"/>
              <wp:effectExtent l="0" t="0" r="0" b="0"/>
              <wp:wrapNone/>
              <wp:docPr id="305" name="Text Box 3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48910" cy="1530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631330" w14:textId="77777777" w:rsidR="008601E5" w:rsidRDefault="008601E5">
                          <w:pPr>
                            <w:spacing w:line="227" w:lineRule="exact"/>
                            <w:ind w:left="20"/>
                            <w:rPr>
                              <w:rFonts w:ascii="Arial" w:hAnsi="Arial" w:cs="Arial"/>
                              <w:sz w:val="20"/>
                              <w:szCs w:val="20"/>
                            </w:rPr>
                          </w:pPr>
                          <w:r>
                            <w:rPr>
                              <w:rFonts w:ascii="Calibri" w:hAnsi="Calibri" w:cs="Calibri"/>
                              <w:b/>
                              <w:bCs/>
                              <w:color w:val="231F20"/>
                              <w:w w:val="109"/>
                              <w:sz w:val="20"/>
                              <w:szCs w:val="20"/>
                            </w:rPr>
                            <w:t>Section</w:t>
                          </w:r>
                          <w:r>
                            <w:rPr>
                              <w:rFonts w:ascii="Calibri" w:hAnsi="Calibri" w:cs="Calibri"/>
                              <w:b/>
                              <w:bCs/>
                              <w:color w:val="231F20"/>
                              <w:spacing w:val="6"/>
                              <w:sz w:val="20"/>
                              <w:szCs w:val="20"/>
                            </w:rPr>
                            <w:t xml:space="preserve"> </w:t>
                          </w:r>
                          <w:r>
                            <w:rPr>
                              <w:rFonts w:ascii="Calibri" w:hAnsi="Calibri" w:cs="Calibri"/>
                              <w:b/>
                              <w:bCs/>
                              <w:color w:val="231F20"/>
                              <w:w w:val="103"/>
                              <w:sz w:val="20"/>
                              <w:szCs w:val="20"/>
                            </w:rPr>
                            <w:t>VII.</w:t>
                          </w:r>
                          <w:r>
                            <w:rPr>
                              <w:rFonts w:ascii="Calibri" w:hAnsi="Calibri" w:cs="Calibri"/>
                              <w:b/>
                              <w:bCs/>
                              <w:color w:val="231F20"/>
                              <w:spacing w:val="6"/>
                              <w:sz w:val="20"/>
                              <w:szCs w:val="20"/>
                            </w:rPr>
                            <w:t xml:space="preserve"> </w:t>
                          </w:r>
                          <w:r>
                            <w:rPr>
                              <w:rFonts w:ascii="Calibri" w:hAnsi="Calibri" w:cs="Calibri"/>
                              <w:b/>
                              <w:bCs/>
                              <w:color w:val="231F20"/>
                              <w:w w:val="108"/>
                              <w:sz w:val="20"/>
                              <w:szCs w:val="20"/>
                            </w:rPr>
                            <w:t>Program-Specific</w:t>
                          </w:r>
                          <w:r>
                            <w:rPr>
                              <w:rFonts w:ascii="Calibri" w:hAnsi="Calibri" w:cs="Calibri"/>
                              <w:b/>
                              <w:bCs/>
                              <w:color w:val="231F20"/>
                              <w:spacing w:val="6"/>
                              <w:sz w:val="20"/>
                              <w:szCs w:val="20"/>
                            </w:rPr>
                            <w:t xml:space="preserve"> </w:t>
                          </w:r>
                          <w:r>
                            <w:rPr>
                              <w:rFonts w:ascii="Calibri" w:hAnsi="Calibri" w:cs="Calibri"/>
                              <w:b/>
                              <w:bCs/>
                              <w:color w:val="231F20"/>
                              <w:spacing w:val="-7"/>
                              <w:w w:val="111"/>
                              <w:sz w:val="20"/>
                              <w:szCs w:val="20"/>
                            </w:rPr>
                            <w:t>R</w:t>
                          </w:r>
                          <w:r>
                            <w:rPr>
                              <w:rFonts w:ascii="Calibri" w:hAnsi="Calibri" w:cs="Calibri"/>
                              <w:b/>
                              <w:bCs/>
                              <w:color w:val="231F20"/>
                              <w:w w:val="105"/>
                              <w:sz w:val="20"/>
                              <w:szCs w:val="20"/>
                            </w:rPr>
                            <w:t>equirements</w:t>
                          </w:r>
                          <w:r>
                            <w:rPr>
                              <w:rFonts w:ascii="Calibri" w:hAnsi="Calibri" w:cs="Calibri"/>
                              <w:b/>
                              <w:bCs/>
                              <w:color w:val="231F20"/>
                              <w:spacing w:val="6"/>
                              <w:sz w:val="20"/>
                              <w:szCs w:val="20"/>
                            </w:rPr>
                            <w:t xml:space="preserve"> </w:t>
                          </w:r>
                          <w:r>
                            <w:rPr>
                              <w:rFonts w:ascii="Calibri" w:hAnsi="Calibri" w:cs="Calibri"/>
                              <w:b/>
                              <w:bCs/>
                              <w:color w:val="231F20"/>
                              <w:w w:val="101"/>
                              <w:sz w:val="20"/>
                              <w:szCs w:val="20"/>
                            </w:rPr>
                            <w:t>for</w:t>
                          </w:r>
                          <w:r>
                            <w:rPr>
                              <w:rFonts w:ascii="Calibri" w:hAnsi="Calibri" w:cs="Calibri"/>
                              <w:b/>
                              <w:bCs/>
                              <w:color w:val="231F20"/>
                              <w:spacing w:val="6"/>
                              <w:sz w:val="20"/>
                              <w:szCs w:val="20"/>
                            </w:rPr>
                            <w:t xml:space="preserve"> </w:t>
                          </w:r>
                          <w:r>
                            <w:rPr>
                              <w:rFonts w:ascii="Calibri" w:hAnsi="Calibri" w:cs="Calibri"/>
                              <w:b/>
                              <w:bCs/>
                              <w:color w:val="231F20"/>
                              <w:w w:val="112"/>
                              <w:sz w:val="20"/>
                              <w:szCs w:val="20"/>
                            </w:rPr>
                            <w:t>Core</w:t>
                          </w:r>
                          <w:r>
                            <w:rPr>
                              <w:rFonts w:ascii="Calibri" w:hAnsi="Calibri" w:cs="Calibri"/>
                              <w:b/>
                              <w:bCs/>
                              <w:color w:val="231F20"/>
                              <w:spacing w:val="6"/>
                              <w:sz w:val="20"/>
                              <w:szCs w:val="20"/>
                            </w:rPr>
                            <w:t xml:space="preserve"> </w:t>
                          </w:r>
                          <w:r>
                            <w:rPr>
                              <w:rFonts w:ascii="Calibri" w:hAnsi="Calibri" w:cs="Calibri"/>
                              <w:b/>
                              <w:bCs/>
                              <w:color w:val="231F20"/>
                              <w:w w:val="109"/>
                              <w:sz w:val="20"/>
                              <w:szCs w:val="20"/>
                            </w:rPr>
                            <w:t>Programs</w:t>
                          </w:r>
                          <w:r>
                            <w:rPr>
                              <w:rFonts w:ascii="Calibri" w:hAnsi="Calibri" w:cs="Calibri"/>
                              <w:b/>
                              <w:bCs/>
                              <w:color w:val="231F20"/>
                              <w:spacing w:val="-1"/>
                              <w:w w:val="109"/>
                              <w:sz w:val="20"/>
                              <w:szCs w:val="20"/>
                            </w:rPr>
                            <w:t>–</w:t>
                          </w:r>
                          <w:r>
                            <w:rPr>
                              <w:rFonts w:ascii="Arial" w:hAnsi="Arial" w:cs="Arial"/>
                              <w:b/>
                              <w:bCs/>
                              <w:i/>
                              <w:color w:val="231F20"/>
                              <w:spacing w:val="-8"/>
                              <w:w w:val="95"/>
                              <w:sz w:val="20"/>
                              <w:szCs w:val="20"/>
                            </w:rPr>
                            <w:t>W</w:t>
                          </w:r>
                          <w:r>
                            <w:rPr>
                              <w:rFonts w:ascii="Arial" w:hAnsi="Arial" w:cs="Arial"/>
                              <w:b/>
                              <w:bCs/>
                              <w:i/>
                              <w:color w:val="231F20"/>
                              <w:w w:val="95"/>
                              <w:sz w:val="20"/>
                              <w:szCs w:val="20"/>
                            </w:rPr>
                            <w:t>agner-</w:t>
                          </w:r>
                          <w:r>
                            <w:rPr>
                              <w:rFonts w:ascii="Arial" w:hAnsi="Arial" w:cs="Arial"/>
                              <w:b/>
                              <w:bCs/>
                              <w:i/>
                              <w:color w:val="231F20"/>
                              <w:spacing w:val="-4"/>
                              <w:w w:val="95"/>
                              <w:sz w:val="20"/>
                              <w:szCs w:val="20"/>
                            </w:rPr>
                            <w:t>P</w:t>
                          </w:r>
                          <w:r>
                            <w:rPr>
                              <w:rFonts w:ascii="Arial" w:hAnsi="Arial" w:cs="Arial"/>
                              <w:b/>
                              <w:bCs/>
                              <w:i/>
                              <w:color w:val="231F20"/>
                              <w:w w:val="93"/>
                              <w:sz w:val="20"/>
                              <w:szCs w:val="20"/>
                            </w:rPr>
                            <w:t>eyser</w:t>
                          </w:r>
                          <w:r>
                            <w:rPr>
                              <w:rFonts w:ascii="Arial" w:hAnsi="Arial" w:cs="Arial"/>
                              <w:b/>
                              <w:bCs/>
                              <w:i/>
                              <w:color w:val="231F20"/>
                              <w:spacing w:val="-5"/>
                              <w:sz w:val="20"/>
                              <w:szCs w:val="20"/>
                            </w:rPr>
                            <w:t xml:space="preserve"> </w:t>
                          </w:r>
                          <w:r>
                            <w:rPr>
                              <w:rFonts w:ascii="Arial" w:hAnsi="Arial" w:cs="Arial"/>
                              <w:b/>
                              <w:bCs/>
                              <w:i/>
                              <w:color w:val="231F20"/>
                              <w:w w:val="92"/>
                              <w:sz w:val="20"/>
                              <w:szCs w:val="20"/>
                            </w:rPr>
                            <w:t>Act</w:t>
                          </w:r>
                          <w:r>
                            <w:rPr>
                              <w:rFonts w:ascii="Arial" w:hAnsi="Arial" w:cs="Arial"/>
                              <w:b/>
                              <w:bCs/>
                              <w:i/>
                              <w:color w:val="231F20"/>
                              <w:spacing w:val="-5"/>
                              <w:sz w:val="20"/>
                              <w:szCs w:val="20"/>
                            </w:rPr>
                            <w:t xml:space="preserve"> </w:t>
                          </w:r>
                          <w:r>
                            <w:rPr>
                              <w:rFonts w:ascii="Arial" w:hAnsi="Arial" w:cs="Arial"/>
                              <w:b/>
                              <w:bCs/>
                              <w:i/>
                              <w:color w:val="231F20"/>
                              <w:w w:val="94"/>
                              <w:sz w:val="20"/>
                              <w:szCs w:val="20"/>
                            </w:rPr>
                            <w:t>Program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43214B8" id="Text Box 305" o:spid="_x0000_s1064" type="#_x0000_t202" style="position:absolute;margin-left:61.5pt;margin-top:752.75pt;width:413.3pt;height:12.05pt;z-index:-25165822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" filled="f" stroked="f">
              <v:textbox inset="0,0,0,0">
                <w:txbxContent>
                  <w:p w14:paraId="48631330" w14:textId="77777777" w:rsidR="008601E5" w:rsidRDefault="008601E5">
                    <w:pPr>
                      <w:spacing w:line="227" w:lineRule="exact"/>
                      <w:ind w:left="20"/>
                      <w:rPr>
                        <w:rFonts w:ascii="Arial" w:hAnsi="Arial" w:cs="Arial"/>
                        <w:sz w:val="20"/>
                        <w:szCs w:val="20"/>
                      </w:rPr>
                    </w:pPr>
                    <w:r>
                      <w:rPr>
                        <w:rFonts w:ascii="Calibri" w:hAnsi="Calibri" w:cs="Calibri"/>
                        <w:b/>
                        <w:bCs/>
                        <w:color w:val="231F20"/>
                        <w:w w:val="109"/>
                        <w:sz w:val="20"/>
                        <w:szCs w:val="20"/>
                      </w:rPr>
                      <w:t>Section</w:t>
                    </w:r>
                    <w:r>
                      <w:rPr>
                        <w:rFonts w:ascii="Calibri" w:hAnsi="Calibri" w:cs="Calibri"/>
                        <w:b/>
                        <w:bCs/>
                        <w:color w:val="231F20"/>
                        <w:spacing w:val="6"/>
                        <w:sz w:val="20"/>
                        <w:szCs w:val="20"/>
                      </w:rPr>
                      <w:t xml:space="preserve"> </w:t>
                    </w:r>
                    <w:r>
                      <w:rPr>
                        <w:rFonts w:ascii="Calibri" w:hAnsi="Calibri" w:cs="Calibri"/>
                        <w:b/>
                        <w:bCs/>
                        <w:color w:val="231F20"/>
                        <w:w w:val="103"/>
                        <w:sz w:val="20"/>
                        <w:szCs w:val="20"/>
                      </w:rPr>
                      <w:t>VII.</w:t>
                    </w:r>
                    <w:r>
                      <w:rPr>
                        <w:rFonts w:ascii="Calibri" w:hAnsi="Calibri" w:cs="Calibri"/>
                        <w:b/>
                        <w:bCs/>
                        <w:color w:val="231F20"/>
                        <w:spacing w:val="6"/>
                        <w:sz w:val="20"/>
                        <w:szCs w:val="20"/>
                      </w:rPr>
                      <w:t xml:space="preserve"> </w:t>
                    </w:r>
                    <w:r>
                      <w:rPr>
                        <w:rFonts w:ascii="Calibri" w:hAnsi="Calibri" w:cs="Calibri"/>
                        <w:b/>
                        <w:bCs/>
                        <w:color w:val="231F20"/>
                        <w:w w:val="108"/>
                        <w:sz w:val="20"/>
                        <w:szCs w:val="20"/>
                      </w:rPr>
                      <w:t>Program-Specific</w:t>
                    </w:r>
                    <w:r>
                      <w:rPr>
                        <w:rFonts w:ascii="Calibri" w:hAnsi="Calibri" w:cs="Calibri"/>
                        <w:b/>
                        <w:bCs/>
                        <w:color w:val="231F20"/>
                        <w:spacing w:val="6"/>
                        <w:sz w:val="20"/>
                        <w:szCs w:val="20"/>
                      </w:rPr>
                      <w:t xml:space="preserve"> </w:t>
                    </w:r>
                    <w:r>
                      <w:rPr>
                        <w:rFonts w:ascii="Calibri" w:hAnsi="Calibri" w:cs="Calibri"/>
                        <w:b/>
                        <w:bCs/>
                        <w:color w:val="231F20"/>
                        <w:spacing w:val="-7"/>
                        <w:w w:val="111"/>
                        <w:sz w:val="20"/>
                        <w:szCs w:val="20"/>
                      </w:rPr>
                      <w:t>R</w:t>
                    </w:r>
                    <w:r>
                      <w:rPr>
                        <w:rFonts w:ascii="Calibri" w:hAnsi="Calibri" w:cs="Calibri"/>
                        <w:b/>
                        <w:bCs/>
                        <w:color w:val="231F20"/>
                        <w:w w:val="105"/>
                        <w:sz w:val="20"/>
                        <w:szCs w:val="20"/>
                      </w:rPr>
                      <w:t>equirements</w:t>
                    </w:r>
                    <w:r>
                      <w:rPr>
                        <w:rFonts w:ascii="Calibri" w:hAnsi="Calibri" w:cs="Calibri"/>
                        <w:b/>
                        <w:bCs/>
                        <w:color w:val="231F20"/>
                        <w:spacing w:val="6"/>
                        <w:sz w:val="20"/>
                        <w:szCs w:val="20"/>
                      </w:rPr>
                      <w:t xml:space="preserve"> </w:t>
                    </w:r>
                    <w:r>
                      <w:rPr>
                        <w:rFonts w:ascii="Calibri" w:hAnsi="Calibri" w:cs="Calibri"/>
                        <w:b/>
                        <w:bCs/>
                        <w:color w:val="231F20"/>
                        <w:w w:val="101"/>
                        <w:sz w:val="20"/>
                        <w:szCs w:val="20"/>
                      </w:rPr>
                      <w:t>for</w:t>
                    </w:r>
                    <w:r>
                      <w:rPr>
                        <w:rFonts w:ascii="Calibri" w:hAnsi="Calibri" w:cs="Calibri"/>
                        <w:b/>
                        <w:bCs/>
                        <w:color w:val="231F20"/>
                        <w:spacing w:val="6"/>
                        <w:sz w:val="20"/>
                        <w:szCs w:val="20"/>
                      </w:rPr>
                      <w:t xml:space="preserve"> </w:t>
                    </w:r>
                    <w:r>
                      <w:rPr>
                        <w:rFonts w:ascii="Calibri" w:hAnsi="Calibri" w:cs="Calibri"/>
                        <w:b/>
                        <w:bCs/>
                        <w:color w:val="231F20"/>
                        <w:w w:val="112"/>
                        <w:sz w:val="20"/>
                        <w:szCs w:val="20"/>
                      </w:rPr>
                      <w:t>Core</w:t>
                    </w:r>
                    <w:r>
                      <w:rPr>
                        <w:rFonts w:ascii="Calibri" w:hAnsi="Calibri" w:cs="Calibri"/>
                        <w:b/>
                        <w:bCs/>
                        <w:color w:val="231F20"/>
                        <w:spacing w:val="6"/>
                        <w:sz w:val="20"/>
                        <w:szCs w:val="20"/>
                      </w:rPr>
                      <w:t xml:space="preserve"> </w:t>
                    </w:r>
                    <w:r>
                      <w:rPr>
                        <w:rFonts w:ascii="Calibri" w:hAnsi="Calibri" w:cs="Calibri"/>
                        <w:b/>
                        <w:bCs/>
                        <w:color w:val="231F20"/>
                        <w:w w:val="109"/>
                        <w:sz w:val="20"/>
                        <w:szCs w:val="20"/>
                      </w:rPr>
                      <w:t>Programs</w:t>
                    </w:r>
                    <w:r>
                      <w:rPr>
                        <w:rFonts w:ascii="Calibri" w:hAnsi="Calibri" w:cs="Calibri"/>
                        <w:b/>
                        <w:bCs/>
                        <w:color w:val="231F20"/>
                        <w:spacing w:val="-1"/>
                        <w:w w:val="109"/>
                        <w:sz w:val="20"/>
                        <w:szCs w:val="20"/>
                      </w:rPr>
                      <w:t>–</w:t>
                    </w:r>
                    <w:r>
                      <w:rPr>
                        <w:rFonts w:ascii="Arial" w:hAnsi="Arial" w:cs="Arial"/>
                        <w:b/>
                        <w:bCs/>
                        <w:i/>
                        <w:color w:val="231F20"/>
                        <w:spacing w:val="-8"/>
                        <w:w w:val="95"/>
                        <w:sz w:val="20"/>
                        <w:szCs w:val="20"/>
                      </w:rPr>
                      <w:t>W</w:t>
                    </w:r>
                    <w:r>
                      <w:rPr>
                        <w:rFonts w:ascii="Arial" w:hAnsi="Arial" w:cs="Arial"/>
                        <w:b/>
                        <w:bCs/>
                        <w:i/>
                        <w:color w:val="231F20"/>
                        <w:w w:val="95"/>
                        <w:sz w:val="20"/>
                        <w:szCs w:val="20"/>
                      </w:rPr>
                      <w:t>agner-</w:t>
                    </w:r>
                    <w:r>
                      <w:rPr>
                        <w:rFonts w:ascii="Arial" w:hAnsi="Arial" w:cs="Arial"/>
                        <w:b/>
                        <w:bCs/>
                        <w:i/>
                        <w:color w:val="231F20"/>
                        <w:spacing w:val="-4"/>
                        <w:w w:val="95"/>
                        <w:sz w:val="20"/>
                        <w:szCs w:val="20"/>
                      </w:rPr>
                      <w:t>P</w:t>
                    </w:r>
                    <w:r>
                      <w:rPr>
                        <w:rFonts w:ascii="Arial" w:hAnsi="Arial" w:cs="Arial"/>
                        <w:b/>
                        <w:bCs/>
                        <w:i/>
                        <w:color w:val="231F20"/>
                        <w:w w:val="93"/>
                        <w:sz w:val="20"/>
                        <w:szCs w:val="20"/>
                      </w:rPr>
                      <w:t>eyser</w:t>
                    </w:r>
                    <w:r>
                      <w:rPr>
                        <w:rFonts w:ascii="Arial" w:hAnsi="Arial" w:cs="Arial"/>
                        <w:b/>
                        <w:bCs/>
                        <w:i/>
                        <w:color w:val="231F20"/>
                        <w:spacing w:val="-5"/>
                        <w:sz w:val="20"/>
                        <w:szCs w:val="20"/>
                      </w:rPr>
                      <w:t xml:space="preserve"> </w:t>
                    </w:r>
                    <w:r>
                      <w:rPr>
                        <w:rFonts w:ascii="Arial" w:hAnsi="Arial" w:cs="Arial"/>
                        <w:b/>
                        <w:bCs/>
                        <w:i/>
                        <w:color w:val="231F20"/>
                        <w:w w:val="92"/>
                        <w:sz w:val="20"/>
                        <w:szCs w:val="20"/>
                      </w:rPr>
                      <w:t>Act</w:t>
                    </w:r>
                    <w:r>
                      <w:rPr>
                        <w:rFonts w:ascii="Arial" w:hAnsi="Arial" w:cs="Arial"/>
                        <w:b/>
                        <w:bCs/>
                        <w:i/>
                        <w:color w:val="231F20"/>
                        <w:spacing w:val="-5"/>
                        <w:sz w:val="20"/>
                        <w:szCs w:val="20"/>
                      </w:rPr>
                      <w:t xml:space="preserve"> </w:t>
                    </w:r>
                    <w:r>
                      <w:rPr>
                        <w:rFonts w:ascii="Arial" w:hAnsi="Arial" w:cs="Arial"/>
                        <w:b/>
                        <w:bCs/>
                        <w:i/>
                        <w:color w:val="231F20"/>
                        <w:w w:val="94"/>
                        <w:sz w:val="20"/>
                        <w:szCs w:val="20"/>
                      </w:rPr>
                      <w:t>Program</w:t>
                    </w:r>
                  </w:p>
                </w:txbxContent>
              </v:textbox>
              <w10:wrap anchorx="page" anchory="page"/>
            </v:shape>
          </w:pict>
        </mc:Fallback>
      </mc:AlternateContent>
    </w: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58F47D5" w14:textId="49306788" w:rsidR="008601E5" w:rsidRDefault="008601E5">
    <w:pPr>
      <w:spacing w:line="14" w:lineRule="auto"/>
      <w:rPr>
        <w:sz w:val="20"/>
        <w:szCs w:val="20"/>
      </w:rPr>
    </w:pPr>
    <w:r>
      <w:rPr>
        <w:noProof/>
      </w:rPr>
      <mc:AlternateContent>
        <mc:Choice Requires="wps">
          <w:drawing>
            <wp:anchor distT="0" distB="0" distL="114300" distR="114300" simplePos="0" relativeHeight="251658260" behindDoc="1" locked="0" layoutInCell="1" allowOverlap="1" wp14:anchorId="0051AE4A" wp14:editId="05452887">
              <wp:simplePos x="0" y="0"/>
              <wp:positionH relativeFrom="page">
                <wp:posOffset>6860540</wp:posOffset>
              </wp:positionH>
              <wp:positionV relativeFrom="page">
                <wp:posOffset>9555480</wp:posOffset>
              </wp:positionV>
              <wp:extent cx="297815" cy="177800"/>
              <wp:effectExtent l="0" t="0" r="0" b="0"/>
              <wp:wrapNone/>
              <wp:docPr id="304" name="Text Box 3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815"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70A3DD" w14:textId="67782E94" w:rsidR="008601E5" w:rsidRDefault="008601E5">
                          <w:pPr>
                            <w:spacing w:line="267" w:lineRule="exact"/>
                            <w:ind w:left="40"/>
                            <w:rPr>
                              <w:rFonts w:ascii="Calibri" w:hAnsi="Calibri" w:cs="Calibri"/>
                              <w:sz w:val="24"/>
                              <w:szCs w:val="24"/>
                            </w:rPr>
                          </w:pPr>
                          <w:r>
                            <w:rPr>
                              <w:rFonts w:ascii="Calibri"/>
                              <w:b/>
                              <w:color w:val="231F20"/>
                              <w:w w:val="106"/>
                              <w:sz w:val="24"/>
                            </w:rPr>
                            <w:fldChar w:fldCharType="begin"/>
                          </w:r>
                          <w:r>
                            <w:rPr>
                              <w:rFonts w:ascii="Calibri"/>
                              <w:b/>
                              <w:color w:val="231F20"/>
                              <w:w w:val="106"/>
                              <w:sz w:val="24"/>
                            </w:rPr>
                            <w:instrText xml:space="preserve"> PAGE </w:instrText>
                          </w:r>
                          <w:r>
                            <w:rPr>
                              <w:rFonts w:ascii="Calibri"/>
                              <w:b/>
                              <w:color w:val="231F20"/>
                              <w:w w:val="106"/>
                              <w:sz w:val="24"/>
                            </w:rPr>
                            <w:fldChar w:fldCharType="separate"/>
                          </w:r>
                          <w:r w:rsidR="00BC1D20">
                            <w:rPr>
                              <w:rFonts w:ascii="Calibri"/>
                              <w:b/>
                              <w:noProof/>
                              <w:color w:val="231F20"/>
                              <w:w w:val="106"/>
                              <w:sz w:val="24"/>
                            </w:rPr>
                            <w:t>140</w:t>
                          </w:r>
                          <w:r>
                            <w:rPr>
                              <w:rFonts w:ascii="Calibri"/>
                              <w:b/>
                              <w:color w:val="231F20"/>
                              <w:w w:val="106"/>
                              <w:sz w:val="24"/>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051AE4A" id="_x0000_t202" coordsize="21600,21600" o:spt="202" path="m,l,21600r21600,l21600,xe">
              <v:stroke joinstyle="miter"/>
              <v:path gradientshapeok="t" o:connecttype="rect"/>
            </v:shapetype>
            <v:shape id="Text Box 304" o:spid="_x0000_s1065" type="#_x0000_t202" style="position:absolute;margin-left:540.2pt;margin-top:752.4pt;width:23.45pt;height:14pt;z-index:-2516582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" filled="f" stroked="f">
              <v:textbox inset="0,0,0,0">
                <w:txbxContent>
                  <w:p w14:paraId="1270A3DD" w14:textId="67782E94" w:rsidR="008601E5" w:rsidRDefault="008601E5">
                    <w:pPr>
                      <w:spacing w:line="267" w:lineRule="exact"/>
                      <w:ind w:left="40"/>
                      <w:rPr>
                        <w:rFonts w:ascii="Calibri" w:hAnsi="Calibri" w:cs="Calibri"/>
                        <w:sz w:val="24"/>
                        <w:szCs w:val="24"/>
                      </w:rPr>
                    </w:pPr>
                    <w:r>
                      <w:rPr>
                        <w:rFonts w:ascii="Calibri"/>
                        <w:b/>
                        <w:color w:val="231F20"/>
                        <w:w w:val="106"/>
                        <w:sz w:val="24"/>
                      </w:rPr>
                      <w:fldChar w:fldCharType="begin"/>
                    </w:r>
                    <w:r>
                      <w:rPr>
                        <w:rFonts w:ascii="Calibri"/>
                        <w:b/>
                        <w:color w:val="231F20"/>
                        <w:w w:val="106"/>
                        <w:sz w:val="24"/>
                      </w:rPr>
                      <w:instrText xml:space="preserve"> PAGE </w:instrText>
                    </w:r>
                    <w:r>
                      <w:rPr>
                        <w:rFonts w:ascii="Calibri"/>
                        <w:b/>
                        <w:color w:val="231F20"/>
                        <w:w w:val="106"/>
                        <w:sz w:val="24"/>
                      </w:rPr>
                      <w:fldChar w:fldCharType="separate"/>
                    </w:r>
                    <w:r w:rsidR="00BC1D20">
                      <w:rPr>
                        <w:rFonts w:ascii="Calibri"/>
                        <w:b/>
                        <w:noProof/>
                        <w:color w:val="231F20"/>
                        <w:w w:val="106"/>
                        <w:sz w:val="24"/>
                      </w:rPr>
                      <w:t>140</w:t>
                    </w:r>
                    <w:r>
                      <w:rPr>
                        <w:rFonts w:ascii="Calibri"/>
                        <w:b/>
                        <w:color w:val="231F20"/>
                        <w:w w:val="106"/>
                        <w:sz w:val="24"/>
                      </w:rPr>
                      <w:fldChar w:fldCharType="end"/>
                    </w:r>
                  </w:p>
                </w:txbxContent>
              </v:textbox>
              <w10:wrap anchorx="page" anchory="page"/>
            </v:shape>
          </w:pict>
        </mc:Fallback>
      </mc:AlternateContent>
    </w:r>
    <w:r>
      <w:rPr>
        <w:noProof/>
      </w:rPr>
      <mc:AlternateContent>
        <mc:Choice Requires="wps">
          <w:drawing>
            <wp:anchor distT="0" distB="0" distL="114300" distR="114300" simplePos="0" relativeHeight="251658261" behindDoc="1" locked="0" layoutInCell="1" allowOverlap="1" wp14:anchorId="5897FF62" wp14:editId="1C776620">
              <wp:simplePos x="0" y="0"/>
              <wp:positionH relativeFrom="page">
                <wp:posOffset>781050</wp:posOffset>
              </wp:positionH>
              <wp:positionV relativeFrom="page">
                <wp:posOffset>9559925</wp:posOffset>
              </wp:positionV>
              <wp:extent cx="5232400" cy="153035"/>
              <wp:effectExtent l="0" t="0" r="0" b="0"/>
              <wp:wrapNone/>
              <wp:docPr id="303" name="Text Box 3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32400" cy="1530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4AC819" w14:textId="77777777" w:rsidR="008601E5" w:rsidRDefault="008601E5">
                          <w:pPr>
                            <w:spacing w:line="227" w:lineRule="exact"/>
                            <w:ind w:left="20"/>
                            <w:rPr>
                              <w:rFonts w:ascii="Arial" w:hAnsi="Arial" w:cs="Arial"/>
                              <w:sz w:val="20"/>
                              <w:szCs w:val="20"/>
                            </w:rPr>
                          </w:pPr>
                          <w:r>
                            <w:rPr>
                              <w:rFonts w:ascii="Calibri" w:hAnsi="Calibri" w:cs="Calibri"/>
                              <w:b/>
                              <w:bCs/>
                              <w:color w:val="231F20"/>
                              <w:w w:val="109"/>
                              <w:sz w:val="20"/>
                              <w:szCs w:val="20"/>
                            </w:rPr>
                            <w:t>Section</w:t>
                          </w:r>
                          <w:r>
                            <w:rPr>
                              <w:rFonts w:ascii="Calibri" w:hAnsi="Calibri" w:cs="Calibri"/>
                              <w:b/>
                              <w:bCs/>
                              <w:color w:val="231F20"/>
                              <w:spacing w:val="6"/>
                              <w:sz w:val="20"/>
                              <w:szCs w:val="20"/>
                            </w:rPr>
                            <w:t xml:space="preserve"> </w:t>
                          </w:r>
                          <w:r>
                            <w:rPr>
                              <w:rFonts w:ascii="Calibri" w:hAnsi="Calibri" w:cs="Calibri"/>
                              <w:b/>
                              <w:bCs/>
                              <w:color w:val="231F20"/>
                              <w:w w:val="102"/>
                              <w:sz w:val="20"/>
                              <w:szCs w:val="20"/>
                            </w:rPr>
                            <w:t>VIII.</w:t>
                          </w:r>
                          <w:r>
                            <w:rPr>
                              <w:rFonts w:ascii="Calibri" w:hAnsi="Calibri" w:cs="Calibri"/>
                              <w:b/>
                              <w:bCs/>
                              <w:color w:val="231F20"/>
                              <w:spacing w:val="6"/>
                              <w:sz w:val="20"/>
                              <w:szCs w:val="20"/>
                            </w:rPr>
                            <w:t xml:space="preserve"> </w:t>
                          </w:r>
                          <w:r>
                            <w:rPr>
                              <w:rFonts w:ascii="Calibri" w:hAnsi="Calibri" w:cs="Calibri"/>
                              <w:b/>
                              <w:bCs/>
                              <w:color w:val="231F20"/>
                              <w:w w:val="108"/>
                              <w:sz w:val="20"/>
                              <w:szCs w:val="20"/>
                            </w:rPr>
                            <w:t>Program-Specific</w:t>
                          </w:r>
                          <w:r>
                            <w:rPr>
                              <w:rFonts w:ascii="Calibri" w:hAnsi="Calibri" w:cs="Calibri"/>
                              <w:b/>
                              <w:bCs/>
                              <w:color w:val="231F20"/>
                              <w:spacing w:val="6"/>
                              <w:sz w:val="20"/>
                              <w:szCs w:val="20"/>
                            </w:rPr>
                            <w:t xml:space="preserve"> </w:t>
                          </w:r>
                          <w:r>
                            <w:rPr>
                              <w:rFonts w:ascii="Calibri" w:hAnsi="Calibri" w:cs="Calibri"/>
                              <w:b/>
                              <w:bCs/>
                              <w:color w:val="231F20"/>
                              <w:spacing w:val="-7"/>
                              <w:w w:val="111"/>
                              <w:sz w:val="20"/>
                              <w:szCs w:val="20"/>
                            </w:rPr>
                            <w:t>R</w:t>
                          </w:r>
                          <w:r>
                            <w:rPr>
                              <w:rFonts w:ascii="Calibri" w:hAnsi="Calibri" w:cs="Calibri"/>
                              <w:b/>
                              <w:bCs/>
                              <w:color w:val="231F20"/>
                              <w:w w:val="107"/>
                              <w:sz w:val="20"/>
                              <w:szCs w:val="20"/>
                            </w:rPr>
                            <w:t>equirements</w:t>
                          </w:r>
                          <w:r>
                            <w:rPr>
                              <w:rFonts w:ascii="Calibri" w:hAnsi="Calibri" w:cs="Calibri"/>
                              <w:b/>
                              <w:bCs/>
                              <w:color w:val="231F20"/>
                              <w:spacing w:val="-1"/>
                              <w:w w:val="107"/>
                              <w:sz w:val="20"/>
                              <w:szCs w:val="20"/>
                            </w:rPr>
                            <w:t>–</w:t>
                          </w:r>
                          <w:r>
                            <w:rPr>
                              <w:rFonts w:ascii="Arial" w:hAnsi="Arial" w:cs="Arial"/>
                              <w:b/>
                              <w:bCs/>
                              <w:i/>
                              <w:color w:val="231F20"/>
                              <w:w w:val="93"/>
                              <w:sz w:val="20"/>
                              <w:szCs w:val="20"/>
                            </w:rPr>
                            <w:t>Adult</w:t>
                          </w:r>
                          <w:r>
                            <w:rPr>
                              <w:rFonts w:ascii="Arial" w:hAnsi="Arial" w:cs="Arial"/>
                              <w:b/>
                              <w:bCs/>
                              <w:i/>
                              <w:color w:val="231F20"/>
                              <w:spacing w:val="-5"/>
                              <w:sz w:val="20"/>
                              <w:szCs w:val="20"/>
                            </w:rPr>
                            <w:t xml:space="preserve"> </w:t>
                          </w:r>
                          <w:r>
                            <w:rPr>
                              <w:rFonts w:ascii="Arial" w:hAnsi="Arial" w:cs="Arial"/>
                              <w:b/>
                              <w:bCs/>
                              <w:i/>
                              <w:color w:val="231F20"/>
                              <w:w w:val="93"/>
                              <w:sz w:val="20"/>
                              <w:szCs w:val="20"/>
                            </w:rPr>
                            <w:t>Education</w:t>
                          </w:r>
                          <w:r>
                            <w:rPr>
                              <w:rFonts w:ascii="Arial" w:hAnsi="Arial" w:cs="Arial"/>
                              <w:b/>
                              <w:bCs/>
                              <w:i/>
                              <w:color w:val="231F20"/>
                              <w:spacing w:val="-5"/>
                              <w:sz w:val="20"/>
                              <w:szCs w:val="20"/>
                            </w:rPr>
                            <w:t xml:space="preserve"> </w:t>
                          </w:r>
                          <w:r>
                            <w:rPr>
                              <w:rFonts w:ascii="Arial" w:hAnsi="Arial" w:cs="Arial"/>
                              <w:b/>
                              <w:bCs/>
                              <w:i/>
                              <w:color w:val="231F20"/>
                              <w:w w:val="97"/>
                              <w:sz w:val="20"/>
                              <w:szCs w:val="20"/>
                            </w:rPr>
                            <w:t>and</w:t>
                          </w:r>
                          <w:r>
                            <w:rPr>
                              <w:rFonts w:ascii="Arial" w:hAnsi="Arial" w:cs="Arial"/>
                              <w:b/>
                              <w:bCs/>
                              <w:i/>
                              <w:color w:val="231F20"/>
                              <w:spacing w:val="-5"/>
                              <w:sz w:val="20"/>
                              <w:szCs w:val="20"/>
                            </w:rPr>
                            <w:t xml:space="preserve"> </w:t>
                          </w:r>
                          <w:r>
                            <w:rPr>
                              <w:rFonts w:ascii="Arial" w:hAnsi="Arial" w:cs="Arial"/>
                              <w:b/>
                              <w:bCs/>
                              <w:i/>
                              <w:color w:val="231F20"/>
                              <w:w w:val="93"/>
                              <w:sz w:val="20"/>
                              <w:szCs w:val="20"/>
                            </w:rPr>
                            <w:t>Family</w:t>
                          </w:r>
                          <w:r>
                            <w:rPr>
                              <w:rFonts w:ascii="Arial" w:hAnsi="Arial" w:cs="Arial"/>
                              <w:b/>
                              <w:bCs/>
                              <w:i/>
                              <w:color w:val="231F20"/>
                              <w:spacing w:val="-5"/>
                              <w:sz w:val="20"/>
                              <w:szCs w:val="20"/>
                            </w:rPr>
                            <w:t xml:space="preserve"> </w:t>
                          </w:r>
                          <w:r>
                            <w:rPr>
                              <w:rFonts w:ascii="Arial" w:hAnsi="Arial" w:cs="Arial"/>
                              <w:b/>
                              <w:bCs/>
                              <w:i/>
                              <w:color w:val="231F20"/>
                              <w:w w:val="92"/>
                              <w:sz w:val="20"/>
                              <w:szCs w:val="20"/>
                            </w:rPr>
                            <w:t>Literacy</w:t>
                          </w:r>
                          <w:r>
                            <w:rPr>
                              <w:rFonts w:ascii="Arial" w:hAnsi="Arial" w:cs="Arial"/>
                              <w:b/>
                              <w:bCs/>
                              <w:i/>
                              <w:color w:val="231F20"/>
                              <w:spacing w:val="-5"/>
                              <w:sz w:val="20"/>
                              <w:szCs w:val="20"/>
                            </w:rPr>
                            <w:t xml:space="preserve"> </w:t>
                          </w:r>
                          <w:r>
                            <w:rPr>
                              <w:rFonts w:ascii="Arial" w:hAnsi="Arial" w:cs="Arial"/>
                              <w:b/>
                              <w:bCs/>
                              <w:i/>
                              <w:color w:val="231F20"/>
                              <w:w w:val="92"/>
                              <w:sz w:val="20"/>
                              <w:szCs w:val="20"/>
                            </w:rPr>
                            <w:t>Programs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897FF62" id="Text Box 303" o:spid="_x0000_s1066" type="#_x0000_t202" style="position:absolute;margin-left:61.5pt;margin-top:752.75pt;width:412pt;height:12.05pt;z-index:-25165821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" filled="f" stroked="f">
              <v:textbox inset="0,0,0,0">
                <w:txbxContent>
                  <w:p w14:paraId="0B4AC819" w14:textId="77777777" w:rsidR="008601E5" w:rsidRDefault="008601E5">
                    <w:pPr>
                      <w:spacing w:line="227" w:lineRule="exact"/>
                      <w:ind w:left="20"/>
                      <w:rPr>
                        <w:rFonts w:ascii="Arial" w:hAnsi="Arial" w:cs="Arial"/>
                        <w:sz w:val="20"/>
                        <w:szCs w:val="20"/>
                      </w:rPr>
                    </w:pPr>
                    <w:r>
                      <w:rPr>
                        <w:rFonts w:ascii="Calibri" w:hAnsi="Calibri" w:cs="Calibri"/>
                        <w:b/>
                        <w:bCs/>
                        <w:color w:val="231F20"/>
                        <w:w w:val="109"/>
                        <w:sz w:val="20"/>
                        <w:szCs w:val="20"/>
                      </w:rPr>
                      <w:t>Section</w:t>
                    </w:r>
                    <w:r>
                      <w:rPr>
                        <w:rFonts w:ascii="Calibri" w:hAnsi="Calibri" w:cs="Calibri"/>
                        <w:b/>
                        <w:bCs/>
                        <w:color w:val="231F20"/>
                        <w:spacing w:val="6"/>
                        <w:sz w:val="20"/>
                        <w:szCs w:val="20"/>
                      </w:rPr>
                      <w:t xml:space="preserve"> </w:t>
                    </w:r>
                    <w:r>
                      <w:rPr>
                        <w:rFonts w:ascii="Calibri" w:hAnsi="Calibri" w:cs="Calibri"/>
                        <w:b/>
                        <w:bCs/>
                        <w:color w:val="231F20"/>
                        <w:w w:val="102"/>
                        <w:sz w:val="20"/>
                        <w:szCs w:val="20"/>
                      </w:rPr>
                      <w:t>VIII.</w:t>
                    </w:r>
                    <w:r>
                      <w:rPr>
                        <w:rFonts w:ascii="Calibri" w:hAnsi="Calibri" w:cs="Calibri"/>
                        <w:b/>
                        <w:bCs/>
                        <w:color w:val="231F20"/>
                        <w:spacing w:val="6"/>
                        <w:sz w:val="20"/>
                        <w:szCs w:val="20"/>
                      </w:rPr>
                      <w:t xml:space="preserve"> </w:t>
                    </w:r>
                    <w:r>
                      <w:rPr>
                        <w:rFonts w:ascii="Calibri" w:hAnsi="Calibri" w:cs="Calibri"/>
                        <w:b/>
                        <w:bCs/>
                        <w:color w:val="231F20"/>
                        <w:w w:val="108"/>
                        <w:sz w:val="20"/>
                        <w:szCs w:val="20"/>
                      </w:rPr>
                      <w:t>Program-Specific</w:t>
                    </w:r>
                    <w:r>
                      <w:rPr>
                        <w:rFonts w:ascii="Calibri" w:hAnsi="Calibri" w:cs="Calibri"/>
                        <w:b/>
                        <w:bCs/>
                        <w:color w:val="231F20"/>
                        <w:spacing w:val="6"/>
                        <w:sz w:val="20"/>
                        <w:szCs w:val="20"/>
                      </w:rPr>
                      <w:t xml:space="preserve"> </w:t>
                    </w:r>
                    <w:r>
                      <w:rPr>
                        <w:rFonts w:ascii="Calibri" w:hAnsi="Calibri" w:cs="Calibri"/>
                        <w:b/>
                        <w:bCs/>
                        <w:color w:val="231F20"/>
                        <w:spacing w:val="-7"/>
                        <w:w w:val="111"/>
                        <w:sz w:val="20"/>
                        <w:szCs w:val="20"/>
                      </w:rPr>
                      <w:t>R</w:t>
                    </w:r>
                    <w:r>
                      <w:rPr>
                        <w:rFonts w:ascii="Calibri" w:hAnsi="Calibri" w:cs="Calibri"/>
                        <w:b/>
                        <w:bCs/>
                        <w:color w:val="231F20"/>
                        <w:w w:val="107"/>
                        <w:sz w:val="20"/>
                        <w:szCs w:val="20"/>
                      </w:rPr>
                      <w:t>equirements</w:t>
                    </w:r>
                    <w:r>
                      <w:rPr>
                        <w:rFonts w:ascii="Calibri" w:hAnsi="Calibri" w:cs="Calibri"/>
                        <w:b/>
                        <w:bCs/>
                        <w:color w:val="231F20"/>
                        <w:spacing w:val="-1"/>
                        <w:w w:val="107"/>
                        <w:sz w:val="20"/>
                        <w:szCs w:val="20"/>
                      </w:rPr>
                      <w:t>–</w:t>
                    </w:r>
                    <w:r>
                      <w:rPr>
                        <w:rFonts w:ascii="Arial" w:hAnsi="Arial" w:cs="Arial"/>
                        <w:b/>
                        <w:bCs/>
                        <w:i/>
                        <w:color w:val="231F20"/>
                        <w:w w:val="93"/>
                        <w:sz w:val="20"/>
                        <w:szCs w:val="20"/>
                      </w:rPr>
                      <w:t>Adult</w:t>
                    </w:r>
                    <w:r>
                      <w:rPr>
                        <w:rFonts w:ascii="Arial" w:hAnsi="Arial" w:cs="Arial"/>
                        <w:b/>
                        <w:bCs/>
                        <w:i/>
                        <w:color w:val="231F20"/>
                        <w:spacing w:val="-5"/>
                        <w:sz w:val="20"/>
                        <w:szCs w:val="20"/>
                      </w:rPr>
                      <w:t xml:space="preserve"> </w:t>
                    </w:r>
                    <w:r>
                      <w:rPr>
                        <w:rFonts w:ascii="Arial" w:hAnsi="Arial" w:cs="Arial"/>
                        <w:b/>
                        <w:bCs/>
                        <w:i/>
                        <w:color w:val="231F20"/>
                        <w:w w:val="93"/>
                        <w:sz w:val="20"/>
                        <w:szCs w:val="20"/>
                      </w:rPr>
                      <w:t>Education</w:t>
                    </w:r>
                    <w:r>
                      <w:rPr>
                        <w:rFonts w:ascii="Arial" w:hAnsi="Arial" w:cs="Arial"/>
                        <w:b/>
                        <w:bCs/>
                        <w:i/>
                        <w:color w:val="231F20"/>
                        <w:spacing w:val="-5"/>
                        <w:sz w:val="20"/>
                        <w:szCs w:val="20"/>
                      </w:rPr>
                      <w:t xml:space="preserve"> </w:t>
                    </w:r>
                    <w:r>
                      <w:rPr>
                        <w:rFonts w:ascii="Arial" w:hAnsi="Arial" w:cs="Arial"/>
                        <w:b/>
                        <w:bCs/>
                        <w:i/>
                        <w:color w:val="231F20"/>
                        <w:w w:val="97"/>
                        <w:sz w:val="20"/>
                        <w:szCs w:val="20"/>
                      </w:rPr>
                      <w:t>and</w:t>
                    </w:r>
                    <w:r>
                      <w:rPr>
                        <w:rFonts w:ascii="Arial" w:hAnsi="Arial" w:cs="Arial"/>
                        <w:b/>
                        <w:bCs/>
                        <w:i/>
                        <w:color w:val="231F20"/>
                        <w:spacing w:val="-5"/>
                        <w:sz w:val="20"/>
                        <w:szCs w:val="20"/>
                      </w:rPr>
                      <w:t xml:space="preserve"> </w:t>
                    </w:r>
                    <w:r>
                      <w:rPr>
                        <w:rFonts w:ascii="Arial" w:hAnsi="Arial" w:cs="Arial"/>
                        <w:b/>
                        <w:bCs/>
                        <w:i/>
                        <w:color w:val="231F20"/>
                        <w:w w:val="93"/>
                        <w:sz w:val="20"/>
                        <w:szCs w:val="20"/>
                      </w:rPr>
                      <w:t>Family</w:t>
                    </w:r>
                    <w:r>
                      <w:rPr>
                        <w:rFonts w:ascii="Arial" w:hAnsi="Arial" w:cs="Arial"/>
                        <w:b/>
                        <w:bCs/>
                        <w:i/>
                        <w:color w:val="231F20"/>
                        <w:spacing w:val="-5"/>
                        <w:sz w:val="20"/>
                        <w:szCs w:val="20"/>
                      </w:rPr>
                      <w:t xml:space="preserve"> </w:t>
                    </w:r>
                    <w:r>
                      <w:rPr>
                        <w:rFonts w:ascii="Arial" w:hAnsi="Arial" w:cs="Arial"/>
                        <w:b/>
                        <w:bCs/>
                        <w:i/>
                        <w:color w:val="231F20"/>
                        <w:w w:val="92"/>
                        <w:sz w:val="20"/>
                        <w:szCs w:val="20"/>
                      </w:rPr>
                      <w:t>Literacy</w:t>
                    </w:r>
                    <w:r>
                      <w:rPr>
                        <w:rFonts w:ascii="Arial" w:hAnsi="Arial" w:cs="Arial"/>
                        <w:b/>
                        <w:bCs/>
                        <w:i/>
                        <w:color w:val="231F20"/>
                        <w:spacing w:val="-5"/>
                        <w:sz w:val="20"/>
                        <w:szCs w:val="20"/>
                      </w:rPr>
                      <w:t xml:space="preserve"> </w:t>
                    </w:r>
                    <w:r>
                      <w:rPr>
                        <w:rFonts w:ascii="Arial" w:hAnsi="Arial" w:cs="Arial"/>
                        <w:b/>
                        <w:bCs/>
                        <w:i/>
                        <w:color w:val="231F20"/>
                        <w:w w:val="92"/>
                        <w:sz w:val="20"/>
                        <w:szCs w:val="20"/>
                      </w:rPr>
                      <w:t>Programs</w:t>
                    </w:r>
                  </w:p>
                </w:txbxContent>
              </v:textbox>
              <w10:wrap anchorx="page" anchory="page"/>
            </v:shape>
          </w:pict>
        </mc:Fallback>
      </mc:AlternateContent>
    </w: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32C24B5" w14:textId="41401AE7" w:rsidR="008601E5" w:rsidRDefault="008601E5">
    <w:pPr>
      <w:spacing w:line="14" w:lineRule="auto"/>
      <w:rPr>
        <w:sz w:val="20"/>
        <w:szCs w:val="20"/>
      </w:rPr>
    </w:pPr>
    <w:r>
      <w:rPr>
        <w:noProof/>
      </w:rPr>
      <mc:AlternateContent>
        <mc:Choice Requires="wps">
          <w:drawing>
            <wp:anchor distT="0" distB="0" distL="114300" distR="114300" simplePos="0" relativeHeight="251658276" behindDoc="1" locked="0" layoutInCell="1" allowOverlap="1" wp14:anchorId="5A2D3CC6" wp14:editId="563B6FE2">
              <wp:simplePos x="0" y="0"/>
              <wp:positionH relativeFrom="page">
                <wp:posOffset>6871335</wp:posOffset>
              </wp:positionH>
              <wp:positionV relativeFrom="page">
                <wp:posOffset>9555480</wp:posOffset>
              </wp:positionV>
              <wp:extent cx="273685" cy="177800"/>
              <wp:effectExtent l="0" t="0" r="0" b="0"/>
              <wp:wrapNone/>
              <wp:docPr id="302" name="Text Box 3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3685"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FC81EB" w14:textId="77777777" w:rsidR="008601E5" w:rsidRDefault="008601E5">
                          <w:pPr>
                            <w:spacing w:line="267" w:lineRule="exact"/>
                            <w:ind w:left="20"/>
                            <w:rPr>
                              <w:rFonts w:ascii="Calibri" w:hAnsi="Calibri" w:cs="Calibri"/>
                              <w:sz w:val="24"/>
                              <w:szCs w:val="24"/>
                            </w:rPr>
                          </w:pPr>
                          <w:r>
                            <w:rPr>
                              <w:rFonts w:ascii="Calibri"/>
                              <w:b/>
                              <w:color w:val="231F20"/>
                              <w:w w:val="107"/>
                              <w:sz w:val="24"/>
                            </w:rPr>
                            <w:t>140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A2D3CC6" id="_x0000_t202" coordsize="21600,21600" o:spt="202" path="m,l,21600r21600,l21600,xe">
              <v:stroke joinstyle="miter"/>
              <v:path gradientshapeok="t" o:connecttype="rect"/>
            </v:shapetype>
            <v:shape id="Text Box 302" o:spid="_x0000_s1067" type="#_x0000_t202" style="position:absolute;margin-left:541.05pt;margin-top:752.4pt;width:21.55pt;height:14pt;z-index:-2516582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" filled="f" stroked="f">
              <v:textbox inset="0,0,0,0">
                <w:txbxContent>
                  <w:p w14:paraId="2AFC81EB" w14:textId="77777777" w:rsidR="008601E5" w:rsidRDefault="008601E5">
                    <w:pPr>
                      <w:spacing w:line="267" w:lineRule="exact"/>
                      <w:ind w:left="20"/>
                      <w:rPr>
                        <w:rFonts w:ascii="Calibri" w:hAnsi="Calibri" w:cs="Calibri"/>
                        <w:sz w:val="24"/>
                        <w:szCs w:val="24"/>
                      </w:rPr>
                    </w:pPr>
                    <w:r>
                      <w:rPr>
                        <w:rFonts w:ascii="Calibri"/>
                        <w:b/>
                        <w:color w:val="231F20"/>
                        <w:w w:val="107"/>
                        <w:sz w:val="24"/>
                      </w:rPr>
                      <w:t>140</w:t>
                    </w:r>
                  </w:p>
                </w:txbxContent>
              </v:textbox>
              <w10:wrap anchorx="page" anchory="page"/>
            </v:shape>
          </w:pict>
        </mc:Fallback>
      </mc:AlternateContent>
    </w:r>
    <w:r>
      <w:rPr>
        <w:noProof/>
      </w:rPr>
      <mc:AlternateContent>
        <mc:Choice Requires="wps">
          <w:drawing>
            <wp:anchor distT="0" distB="0" distL="114300" distR="114300" simplePos="0" relativeHeight="251658277" behindDoc="1" locked="0" layoutInCell="1" allowOverlap="1" wp14:anchorId="14816EEB" wp14:editId="3810920E">
              <wp:simplePos x="0" y="0"/>
              <wp:positionH relativeFrom="page">
                <wp:posOffset>781050</wp:posOffset>
              </wp:positionH>
              <wp:positionV relativeFrom="page">
                <wp:posOffset>9559925</wp:posOffset>
              </wp:positionV>
              <wp:extent cx="5232400" cy="153035"/>
              <wp:effectExtent l="0" t="0" r="0" b="0"/>
              <wp:wrapNone/>
              <wp:docPr id="301" name="Text Box 3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32400" cy="1530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D1FED9" w14:textId="77777777" w:rsidR="008601E5" w:rsidRDefault="008601E5">
                          <w:pPr>
                            <w:spacing w:line="227" w:lineRule="exact"/>
                            <w:ind w:left="20"/>
                            <w:rPr>
                              <w:rFonts w:ascii="Arial" w:hAnsi="Arial" w:cs="Arial"/>
                              <w:sz w:val="20"/>
                              <w:szCs w:val="20"/>
                            </w:rPr>
                          </w:pPr>
                          <w:r>
                            <w:rPr>
                              <w:rFonts w:ascii="Calibri" w:hAnsi="Calibri" w:cs="Calibri"/>
                              <w:b/>
                              <w:bCs/>
                              <w:color w:val="231F20"/>
                              <w:w w:val="109"/>
                              <w:sz w:val="20"/>
                              <w:szCs w:val="20"/>
                            </w:rPr>
                            <w:t>Section</w:t>
                          </w:r>
                          <w:r>
                            <w:rPr>
                              <w:rFonts w:ascii="Calibri" w:hAnsi="Calibri" w:cs="Calibri"/>
                              <w:b/>
                              <w:bCs/>
                              <w:color w:val="231F20"/>
                              <w:spacing w:val="6"/>
                              <w:sz w:val="20"/>
                              <w:szCs w:val="20"/>
                            </w:rPr>
                            <w:t xml:space="preserve"> </w:t>
                          </w:r>
                          <w:r>
                            <w:rPr>
                              <w:rFonts w:ascii="Calibri" w:hAnsi="Calibri" w:cs="Calibri"/>
                              <w:b/>
                              <w:bCs/>
                              <w:color w:val="231F20"/>
                              <w:w w:val="102"/>
                              <w:sz w:val="20"/>
                              <w:szCs w:val="20"/>
                            </w:rPr>
                            <w:t>VIII.</w:t>
                          </w:r>
                          <w:r>
                            <w:rPr>
                              <w:rFonts w:ascii="Calibri" w:hAnsi="Calibri" w:cs="Calibri"/>
                              <w:b/>
                              <w:bCs/>
                              <w:color w:val="231F20"/>
                              <w:spacing w:val="6"/>
                              <w:sz w:val="20"/>
                              <w:szCs w:val="20"/>
                            </w:rPr>
                            <w:t xml:space="preserve"> </w:t>
                          </w:r>
                          <w:r>
                            <w:rPr>
                              <w:rFonts w:ascii="Calibri" w:hAnsi="Calibri" w:cs="Calibri"/>
                              <w:b/>
                              <w:bCs/>
                              <w:color w:val="231F20"/>
                              <w:w w:val="108"/>
                              <w:sz w:val="20"/>
                              <w:szCs w:val="20"/>
                            </w:rPr>
                            <w:t>Program-Specific</w:t>
                          </w:r>
                          <w:r>
                            <w:rPr>
                              <w:rFonts w:ascii="Calibri" w:hAnsi="Calibri" w:cs="Calibri"/>
                              <w:b/>
                              <w:bCs/>
                              <w:color w:val="231F20"/>
                              <w:spacing w:val="6"/>
                              <w:sz w:val="20"/>
                              <w:szCs w:val="20"/>
                            </w:rPr>
                            <w:t xml:space="preserve"> </w:t>
                          </w:r>
                          <w:r>
                            <w:rPr>
                              <w:rFonts w:ascii="Calibri" w:hAnsi="Calibri" w:cs="Calibri"/>
                              <w:b/>
                              <w:bCs/>
                              <w:color w:val="231F20"/>
                              <w:spacing w:val="-7"/>
                              <w:w w:val="111"/>
                              <w:sz w:val="20"/>
                              <w:szCs w:val="20"/>
                            </w:rPr>
                            <w:t>R</w:t>
                          </w:r>
                          <w:r>
                            <w:rPr>
                              <w:rFonts w:ascii="Calibri" w:hAnsi="Calibri" w:cs="Calibri"/>
                              <w:b/>
                              <w:bCs/>
                              <w:color w:val="231F20"/>
                              <w:w w:val="107"/>
                              <w:sz w:val="20"/>
                              <w:szCs w:val="20"/>
                            </w:rPr>
                            <w:t>equirements</w:t>
                          </w:r>
                          <w:r>
                            <w:rPr>
                              <w:rFonts w:ascii="Calibri" w:hAnsi="Calibri" w:cs="Calibri"/>
                              <w:b/>
                              <w:bCs/>
                              <w:color w:val="231F20"/>
                              <w:spacing w:val="-1"/>
                              <w:w w:val="107"/>
                              <w:sz w:val="20"/>
                              <w:szCs w:val="20"/>
                            </w:rPr>
                            <w:t>–</w:t>
                          </w:r>
                          <w:r>
                            <w:rPr>
                              <w:rFonts w:ascii="Arial" w:hAnsi="Arial" w:cs="Arial"/>
                              <w:b/>
                              <w:bCs/>
                              <w:i/>
                              <w:color w:val="231F20"/>
                              <w:w w:val="93"/>
                              <w:sz w:val="20"/>
                              <w:szCs w:val="20"/>
                            </w:rPr>
                            <w:t>Adult</w:t>
                          </w:r>
                          <w:r>
                            <w:rPr>
                              <w:rFonts w:ascii="Arial" w:hAnsi="Arial" w:cs="Arial"/>
                              <w:b/>
                              <w:bCs/>
                              <w:i/>
                              <w:color w:val="231F20"/>
                              <w:spacing w:val="-5"/>
                              <w:sz w:val="20"/>
                              <w:szCs w:val="20"/>
                            </w:rPr>
                            <w:t xml:space="preserve"> </w:t>
                          </w:r>
                          <w:r>
                            <w:rPr>
                              <w:rFonts w:ascii="Arial" w:hAnsi="Arial" w:cs="Arial"/>
                              <w:b/>
                              <w:bCs/>
                              <w:i/>
                              <w:color w:val="231F20"/>
                              <w:w w:val="93"/>
                              <w:sz w:val="20"/>
                              <w:szCs w:val="20"/>
                            </w:rPr>
                            <w:t>Education</w:t>
                          </w:r>
                          <w:r>
                            <w:rPr>
                              <w:rFonts w:ascii="Arial" w:hAnsi="Arial" w:cs="Arial"/>
                              <w:b/>
                              <w:bCs/>
                              <w:i/>
                              <w:color w:val="231F20"/>
                              <w:spacing w:val="-5"/>
                              <w:sz w:val="20"/>
                              <w:szCs w:val="20"/>
                            </w:rPr>
                            <w:t xml:space="preserve"> </w:t>
                          </w:r>
                          <w:r>
                            <w:rPr>
                              <w:rFonts w:ascii="Arial" w:hAnsi="Arial" w:cs="Arial"/>
                              <w:b/>
                              <w:bCs/>
                              <w:i/>
                              <w:color w:val="231F20"/>
                              <w:w w:val="97"/>
                              <w:sz w:val="20"/>
                              <w:szCs w:val="20"/>
                            </w:rPr>
                            <w:t>and</w:t>
                          </w:r>
                          <w:r>
                            <w:rPr>
                              <w:rFonts w:ascii="Arial" w:hAnsi="Arial" w:cs="Arial"/>
                              <w:b/>
                              <w:bCs/>
                              <w:i/>
                              <w:color w:val="231F20"/>
                              <w:spacing w:val="-5"/>
                              <w:sz w:val="20"/>
                              <w:szCs w:val="20"/>
                            </w:rPr>
                            <w:t xml:space="preserve"> </w:t>
                          </w:r>
                          <w:r>
                            <w:rPr>
                              <w:rFonts w:ascii="Arial" w:hAnsi="Arial" w:cs="Arial"/>
                              <w:b/>
                              <w:bCs/>
                              <w:i/>
                              <w:color w:val="231F20"/>
                              <w:w w:val="93"/>
                              <w:sz w:val="20"/>
                              <w:szCs w:val="20"/>
                            </w:rPr>
                            <w:t>Family</w:t>
                          </w:r>
                          <w:r>
                            <w:rPr>
                              <w:rFonts w:ascii="Arial" w:hAnsi="Arial" w:cs="Arial"/>
                              <w:b/>
                              <w:bCs/>
                              <w:i/>
                              <w:color w:val="231F20"/>
                              <w:spacing w:val="-5"/>
                              <w:sz w:val="20"/>
                              <w:szCs w:val="20"/>
                            </w:rPr>
                            <w:t xml:space="preserve"> </w:t>
                          </w:r>
                          <w:r>
                            <w:rPr>
                              <w:rFonts w:ascii="Arial" w:hAnsi="Arial" w:cs="Arial"/>
                              <w:b/>
                              <w:bCs/>
                              <w:i/>
                              <w:color w:val="231F20"/>
                              <w:w w:val="92"/>
                              <w:sz w:val="20"/>
                              <w:szCs w:val="20"/>
                            </w:rPr>
                            <w:t>Literacy</w:t>
                          </w:r>
                          <w:r>
                            <w:rPr>
                              <w:rFonts w:ascii="Arial" w:hAnsi="Arial" w:cs="Arial"/>
                              <w:b/>
                              <w:bCs/>
                              <w:i/>
                              <w:color w:val="231F20"/>
                              <w:spacing w:val="-5"/>
                              <w:sz w:val="20"/>
                              <w:szCs w:val="20"/>
                            </w:rPr>
                            <w:t xml:space="preserve"> </w:t>
                          </w:r>
                          <w:r>
                            <w:rPr>
                              <w:rFonts w:ascii="Arial" w:hAnsi="Arial" w:cs="Arial"/>
                              <w:b/>
                              <w:bCs/>
                              <w:i/>
                              <w:color w:val="231F20"/>
                              <w:w w:val="92"/>
                              <w:sz w:val="20"/>
                              <w:szCs w:val="20"/>
                            </w:rPr>
                            <w:t>Programs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816EEB" id="Text Box 301" o:spid="_x0000_s1068" type="#_x0000_t202" style="position:absolute;margin-left:61.5pt;margin-top:752.75pt;width:412pt;height:12.05pt;z-index:-25165820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" filled="f" stroked="f">
              <v:textbox inset="0,0,0,0">
                <w:txbxContent>
                  <w:p w14:paraId="05D1FED9" w14:textId="77777777" w:rsidR="008601E5" w:rsidRDefault="008601E5">
                    <w:pPr>
                      <w:spacing w:line="227" w:lineRule="exact"/>
                      <w:ind w:left="20"/>
                      <w:rPr>
                        <w:rFonts w:ascii="Arial" w:hAnsi="Arial" w:cs="Arial"/>
                        <w:sz w:val="20"/>
                        <w:szCs w:val="20"/>
                      </w:rPr>
                    </w:pPr>
                    <w:r>
                      <w:rPr>
                        <w:rFonts w:ascii="Calibri" w:hAnsi="Calibri" w:cs="Calibri"/>
                        <w:b/>
                        <w:bCs/>
                        <w:color w:val="231F20"/>
                        <w:w w:val="109"/>
                        <w:sz w:val="20"/>
                        <w:szCs w:val="20"/>
                      </w:rPr>
                      <w:t>Section</w:t>
                    </w:r>
                    <w:r>
                      <w:rPr>
                        <w:rFonts w:ascii="Calibri" w:hAnsi="Calibri" w:cs="Calibri"/>
                        <w:b/>
                        <w:bCs/>
                        <w:color w:val="231F20"/>
                        <w:spacing w:val="6"/>
                        <w:sz w:val="20"/>
                        <w:szCs w:val="20"/>
                      </w:rPr>
                      <w:t xml:space="preserve"> </w:t>
                    </w:r>
                    <w:r>
                      <w:rPr>
                        <w:rFonts w:ascii="Calibri" w:hAnsi="Calibri" w:cs="Calibri"/>
                        <w:b/>
                        <w:bCs/>
                        <w:color w:val="231F20"/>
                        <w:w w:val="102"/>
                        <w:sz w:val="20"/>
                        <w:szCs w:val="20"/>
                      </w:rPr>
                      <w:t>VIII.</w:t>
                    </w:r>
                    <w:r>
                      <w:rPr>
                        <w:rFonts w:ascii="Calibri" w:hAnsi="Calibri" w:cs="Calibri"/>
                        <w:b/>
                        <w:bCs/>
                        <w:color w:val="231F20"/>
                        <w:spacing w:val="6"/>
                        <w:sz w:val="20"/>
                        <w:szCs w:val="20"/>
                      </w:rPr>
                      <w:t xml:space="preserve"> </w:t>
                    </w:r>
                    <w:r>
                      <w:rPr>
                        <w:rFonts w:ascii="Calibri" w:hAnsi="Calibri" w:cs="Calibri"/>
                        <w:b/>
                        <w:bCs/>
                        <w:color w:val="231F20"/>
                        <w:w w:val="108"/>
                        <w:sz w:val="20"/>
                        <w:szCs w:val="20"/>
                      </w:rPr>
                      <w:t>Program-Specific</w:t>
                    </w:r>
                    <w:r>
                      <w:rPr>
                        <w:rFonts w:ascii="Calibri" w:hAnsi="Calibri" w:cs="Calibri"/>
                        <w:b/>
                        <w:bCs/>
                        <w:color w:val="231F20"/>
                        <w:spacing w:val="6"/>
                        <w:sz w:val="20"/>
                        <w:szCs w:val="20"/>
                      </w:rPr>
                      <w:t xml:space="preserve"> </w:t>
                    </w:r>
                    <w:r>
                      <w:rPr>
                        <w:rFonts w:ascii="Calibri" w:hAnsi="Calibri" w:cs="Calibri"/>
                        <w:b/>
                        <w:bCs/>
                        <w:color w:val="231F20"/>
                        <w:spacing w:val="-7"/>
                        <w:w w:val="111"/>
                        <w:sz w:val="20"/>
                        <w:szCs w:val="20"/>
                      </w:rPr>
                      <w:t>R</w:t>
                    </w:r>
                    <w:r>
                      <w:rPr>
                        <w:rFonts w:ascii="Calibri" w:hAnsi="Calibri" w:cs="Calibri"/>
                        <w:b/>
                        <w:bCs/>
                        <w:color w:val="231F20"/>
                        <w:w w:val="107"/>
                        <w:sz w:val="20"/>
                        <w:szCs w:val="20"/>
                      </w:rPr>
                      <w:t>equirements</w:t>
                    </w:r>
                    <w:r>
                      <w:rPr>
                        <w:rFonts w:ascii="Calibri" w:hAnsi="Calibri" w:cs="Calibri"/>
                        <w:b/>
                        <w:bCs/>
                        <w:color w:val="231F20"/>
                        <w:spacing w:val="-1"/>
                        <w:w w:val="107"/>
                        <w:sz w:val="20"/>
                        <w:szCs w:val="20"/>
                      </w:rPr>
                      <w:t>–</w:t>
                    </w:r>
                    <w:r>
                      <w:rPr>
                        <w:rFonts w:ascii="Arial" w:hAnsi="Arial" w:cs="Arial"/>
                        <w:b/>
                        <w:bCs/>
                        <w:i/>
                        <w:color w:val="231F20"/>
                        <w:w w:val="93"/>
                        <w:sz w:val="20"/>
                        <w:szCs w:val="20"/>
                      </w:rPr>
                      <w:t>Adult</w:t>
                    </w:r>
                    <w:r>
                      <w:rPr>
                        <w:rFonts w:ascii="Arial" w:hAnsi="Arial" w:cs="Arial"/>
                        <w:b/>
                        <w:bCs/>
                        <w:i/>
                        <w:color w:val="231F20"/>
                        <w:spacing w:val="-5"/>
                        <w:sz w:val="20"/>
                        <w:szCs w:val="20"/>
                      </w:rPr>
                      <w:t xml:space="preserve"> </w:t>
                    </w:r>
                    <w:r>
                      <w:rPr>
                        <w:rFonts w:ascii="Arial" w:hAnsi="Arial" w:cs="Arial"/>
                        <w:b/>
                        <w:bCs/>
                        <w:i/>
                        <w:color w:val="231F20"/>
                        <w:w w:val="93"/>
                        <w:sz w:val="20"/>
                        <w:szCs w:val="20"/>
                      </w:rPr>
                      <w:t>Education</w:t>
                    </w:r>
                    <w:r>
                      <w:rPr>
                        <w:rFonts w:ascii="Arial" w:hAnsi="Arial" w:cs="Arial"/>
                        <w:b/>
                        <w:bCs/>
                        <w:i/>
                        <w:color w:val="231F20"/>
                        <w:spacing w:val="-5"/>
                        <w:sz w:val="20"/>
                        <w:szCs w:val="20"/>
                      </w:rPr>
                      <w:t xml:space="preserve"> </w:t>
                    </w:r>
                    <w:r>
                      <w:rPr>
                        <w:rFonts w:ascii="Arial" w:hAnsi="Arial" w:cs="Arial"/>
                        <w:b/>
                        <w:bCs/>
                        <w:i/>
                        <w:color w:val="231F20"/>
                        <w:w w:val="97"/>
                        <w:sz w:val="20"/>
                        <w:szCs w:val="20"/>
                      </w:rPr>
                      <w:t>and</w:t>
                    </w:r>
                    <w:r>
                      <w:rPr>
                        <w:rFonts w:ascii="Arial" w:hAnsi="Arial" w:cs="Arial"/>
                        <w:b/>
                        <w:bCs/>
                        <w:i/>
                        <w:color w:val="231F20"/>
                        <w:spacing w:val="-5"/>
                        <w:sz w:val="20"/>
                        <w:szCs w:val="20"/>
                      </w:rPr>
                      <w:t xml:space="preserve"> </w:t>
                    </w:r>
                    <w:r>
                      <w:rPr>
                        <w:rFonts w:ascii="Arial" w:hAnsi="Arial" w:cs="Arial"/>
                        <w:b/>
                        <w:bCs/>
                        <w:i/>
                        <w:color w:val="231F20"/>
                        <w:w w:val="93"/>
                        <w:sz w:val="20"/>
                        <w:szCs w:val="20"/>
                      </w:rPr>
                      <w:t>Family</w:t>
                    </w:r>
                    <w:r>
                      <w:rPr>
                        <w:rFonts w:ascii="Arial" w:hAnsi="Arial" w:cs="Arial"/>
                        <w:b/>
                        <w:bCs/>
                        <w:i/>
                        <w:color w:val="231F20"/>
                        <w:spacing w:val="-5"/>
                        <w:sz w:val="20"/>
                        <w:szCs w:val="20"/>
                      </w:rPr>
                      <w:t xml:space="preserve"> </w:t>
                    </w:r>
                    <w:r>
                      <w:rPr>
                        <w:rFonts w:ascii="Arial" w:hAnsi="Arial" w:cs="Arial"/>
                        <w:b/>
                        <w:bCs/>
                        <w:i/>
                        <w:color w:val="231F20"/>
                        <w:w w:val="92"/>
                        <w:sz w:val="20"/>
                        <w:szCs w:val="20"/>
                      </w:rPr>
                      <w:t>Literacy</w:t>
                    </w:r>
                    <w:r>
                      <w:rPr>
                        <w:rFonts w:ascii="Arial" w:hAnsi="Arial" w:cs="Arial"/>
                        <w:b/>
                        <w:bCs/>
                        <w:i/>
                        <w:color w:val="231F20"/>
                        <w:spacing w:val="-5"/>
                        <w:sz w:val="20"/>
                        <w:szCs w:val="20"/>
                      </w:rPr>
                      <w:t xml:space="preserve"> </w:t>
                    </w:r>
                    <w:r>
                      <w:rPr>
                        <w:rFonts w:ascii="Arial" w:hAnsi="Arial" w:cs="Arial"/>
                        <w:b/>
                        <w:bCs/>
                        <w:i/>
                        <w:color w:val="231F20"/>
                        <w:w w:val="92"/>
                        <w:sz w:val="20"/>
                        <w:szCs w:val="20"/>
                      </w:rPr>
                      <w:t>Programs</w:t>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BC06EF3" w14:textId="52965171" w:rsidR="008601E5" w:rsidRDefault="008601E5">
    <w:pPr>
      <w:spacing w:line="14" w:lineRule="auto"/>
      <w:rPr>
        <w:sz w:val="20"/>
        <w:szCs w:val="20"/>
      </w:rPr>
    </w:pPr>
    <w:r>
      <w:rPr>
        <w:noProof/>
      </w:rPr>
      <mc:AlternateContent>
        <mc:Choice Requires="wps">
          <w:drawing>
            <wp:anchor distT="0" distB="0" distL="114300" distR="114300" simplePos="0" relativeHeight="251658267" behindDoc="1" locked="0" layoutInCell="1" allowOverlap="1" wp14:anchorId="185567A6" wp14:editId="3A470BA3">
              <wp:simplePos x="0" y="0"/>
              <wp:positionH relativeFrom="page">
                <wp:posOffset>7002780</wp:posOffset>
              </wp:positionH>
              <wp:positionV relativeFrom="page">
                <wp:posOffset>9555480</wp:posOffset>
              </wp:positionV>
              <wp:extent cx="142240" cy="177800"/>
              <wp:effectExtent l="0" t="0" r="0" b="0"/>
              <wp:wrapNone/>
              <wp:docPr id="376" name="Text Box 3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240"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3D2117" w14:textId="77777777" w:rsidR="008601E5" w:rsidRDefault="008601E5">
                          <w:pPr>
                            <w:spacing w:line="267" w:lineRule="exact"/>
                            <w:ind w:left="20"/>
                            <w:rPr>
                              <w:rFonts w:ascii="Calibri" w:hAnsi="Calibri" w:cs="Calibri"/>
                              <w:sz w:val="24"/>
                              <w:szCs w:val="24"/>
                            </w:rPr>
                          </w:pPr>
                          <w:r>
                            <w:rPr>
                              <w:rFonts w:ascii="Calibri"/>
                              <w:b/>
                              <w:color w:val="231F20"/>
                              <w:w w:val="106"/>
                              <w:sz w:val="24"/>
                            </w:rPr>
                            <w:t>iv</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85567A6" id="_x0000_t202" coordsize="21600,21600" o:spt="202" path="m,l,21600r21600,l21600,xe">
              <v:stroke joinstyle="miter"/>
              <v:path gradientshapeok="t" o:connecttype="rect"/>
            </v:shapetype>
            <v:shape id="Text Box 376" o:spid="_x0000_s1030" type="#_x0000_t202" style="position:absolute;margin-left:551.4pt;margin-top:752.4pt;width:11.2pt;height:14pt;z-index:-25165821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" filled="f" stroked="f">
              <v:textbox inset="0,0,0,0">
                <w:txbxContent>
                  <w:p w14:paraId="523D2117" w14:textId="77777777" w:rsidR="008601E5" w:rsidRDefault="008601E5">
                    <w:pPr>
                      <w:spacing w:line="267" w:lineRule="exact"/>
                      <w:ind w:left="20"/>
                      <w:rPr>
                        <w:rFonts w:ascii="Calibri" w:hAnsi="Calibri" w:cs="Calibri"/>
                        <w:sz w:val="24"/>
                        <w:szCs w:val="24"/>
                      </w:rPr>
                    </w:pPr>
                    <w:r>
                      <w:rPr>
                        <w:rFonts w:ascii="Calibri"/>
                        <w:b/>
                        <w:color w:val="231F20"/>
                        <w:w w:val="106"/>
                        <w:sz w:val="24"/>
                      </w:rPr>
                      <w:t>iv</w:t>
                    </w:r>
                  </w:p>
                </w:txbxContent>
              </v:textbox>
              <w10:wrap anchorx="page" anchory="page"/>
            </v:shape>
          </w:pict>
        </mc:Fallback>
      </mc:AlternateContent>
    </w:r>
    <w:r>
      <w:rPr>
        <w:noProof/>
      </w:rPr>
      <mc:AlternateContent>
        <mc:Choice Requires="wps">
          <w:drawing>
            <wp:anchor distT="0" distB="0" distL="114300" distR="114300" simplePos="0" relativeHeight="251658268" behindDoc="1" locked="0" layoutInCell="1" allowOverlap="1" wp14:anchorId="1F76048E" wp14:editId="54D17083">
              <wp:simplePos x="0" y="0"/>
              <wp:positionH relativeFrom="page">
                <wp:posOffset>781050</wp:posOffset>
              </wp:positionH>
              <wp:positionV relativeFrom="page">
                <wp:posOffset>9559925</wp:posOffset>
              </wp:positionV>
              <wp:extent cx="733425" cy="152400"/>
              <wp:effectExtent l="0" t="0" r="0" b="0"/>
              <wp:wrapNone/>
              <wp:docPr id="375" name="Text Box 3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342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F83DF3D" w14:textId="77777777" w:rsidR="008601E5" w:rsidRDefault="008601E5">
                          <w:pPr>
                            <w:spacing w:line="226" w:lineRule="exact"/>
                            <w:ind w:left="20"/>
                            <w:rPr>
                              <w:rFonts w:ascii="Calibri" w:hAnsi="Calibri" w:cs="Calibri"/>
                              <w:sz w:val="20"/>
                              <w:szCs w:val="20"/>
                            </w:rPr>
                          </w:pPr>
                          <w:r>
                            <w:rPr>
                              <w:rFonts w:ascii="Calibri"/>
                              <w:b/>
                              <w:color w:val="231F20"/>
                              <w:w w:val="110"/>
                              <w:sz w:val="20"/>
                            </w:rPr>
                            <w:t>Figure</w:t>
                          </w:r>
                          <w:r>
                            <w:rPr>
                              <w:rFonts w:ascii="Calibri"/>
                              <w:b/>
                              <w:color w:val="231F20"/>
                              <w:spacing w:val="6"/>
                              <w:sz w:val="20"/>
                            </w:rPr>
                            <w:t xml:space="preserve"> </w:t>
                          </w:r>
                          <w:r>
                            <w:rPr>
                              <w:rFonts w:ascii="Calibri"/>
                              <w:b/>
                              <w:color w:val="231F20"/>
                              <w:w w:val="106"/>
                              <w:sz w:val="20"/>
                            </w:rPr>
                            <w:t>Index</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F76048E" id="Text Box 375" o:spid="_x0000_s1031" type="#_x0000_t202" style="position:absolute;margin-left:61.5pt;margin-top:752.75pt;width:57.75pt;height:12pt;z-index:-2516582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" filled="f" stroked="f">
              <v:textbox inset="0,0,0,0">
                <w:txbxContent>
                  <w:p w14:paraId="2F83DF3D" w14:textId="77777777" w:rsidR="008601E5" w:rsidRDefault="008601E5">
                    <w:pPr>
                      <w:spacing w:line="226" w:lineRule="exact"/>
                      <w:ind w:left="20"/>
                      <w:rPr>
                        <w:rFonts w:ascii="Calibri" w:hAnsi="Calibri" w:cs="Calibri"/>
                        <w:sz w:val="20"/>
                        <w:szCs w:val="20"/>
                      </w:rPr>
                    </w:pPr>
                    <w:r>
                      <w:rPr>
                        <w:rFonts w:ascii="Calibri"/>
                        <w:b/>
                        <w:color w:val="231F20"/>
                        <w:w w:val="110"/>
                        <w:sz w:val="20"/>
                      </w:rPr>
                      <w:t>Figure</w:t>
                    </w:r>
                    <w:r>
                      <w:rPr>
                        <w:rFonts w:ascii="Calibri"/>
                        <w:b/>
                        <w:color w:val="231F20"/>
                        <w:spacing w:val="6"/>
                        <w:sz w:val="20"/>
                      </w:rPr>
                      <w:t xml:space="preserve"> </w:t>
                    </w:r>
                    <w:r>
                      <w:rPr>
                        <w:rFonts w:ascii="Calibri"/>
                        <w:b/>
                        <w:color w:val="231F20"/>
                        <w:w w:val="106"/>
                        <w:sz w:val="20"/>
                      </w:rPr>
                      <w:t>Index</w:t>
                    </w:r>
                  </w:p>
                </w:txbxContent>
              </v:textbox>
              <w10:wrap anchorx="page" anchory="page"/>
            </v:shape>
          </w:pict>
        </mc:Fallback>
      </mc:AlternateContent>
    </w: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65D0317" w14:textId="0024BED7" w:rsidR="008601E5" w:rsidRDefault="008601E5">
    <w:pPr>
      <w:spacing w:line="14" w:lineRule="auto"/>
      <w:rPr>
        <w:sz w:val="20"/>
        <w:szCs w:val="20"/>
      </w:rPr>
    </w:pPr>
    <w:r>
      <w:rPr>
        <w:noProof/>
      </w:rPr>
      <mc:AlternateContent>
        <mc:Choice Requires="wps">
          <w:drawing>
            <wp:anchor distT="0" distB="0" distL="114300" distR="114300" simplePos="0" relativeHeight="251658278" behindDoc="1" locked="0" layoutInCell="1" allowOverlap="1" wp14:anchorId="4488F1EE" wp14:editId="0719B440">
              <wp:simplePos x="0" y="0"/>
              <wp:positionH relativeFrom="page">
                <wp:posOffset>6903085</wp:posOffset>
              </wp:positionH>
              <wp:positionV relativeFrom="page">
                <wp:posOffset>9555480</wp:posOffset>
              </wp:positionV>
              <wp:extent cx="241935" cy="177800"/>
              <wp:effectExtent l="0" t="0" r="0" b="0"/>
              <wp:wrapNone/>
              <wp:docPr id="300" name="Text Box 3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1935"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61A12E" w14:textId="77777777" w:rsidR="008601E5" w:rsidRDefault="008601E5">
                          <w:pPr>
                            <w:spacing w:line="267" w:lineRule="exact"/>
                            <w:ind w:left="20"/>
                            <w:rPr>
                              <w:rFonts w:ascii="Calibri" w:hAnsi="Calibri" w:cs="Calibri"/>
                              <w:sz w:val="24"/>
                              <w:szCs w:val="24"/>
                            </w:rPr>
                          </w:pPr>
                          <w:r>
                            <w:rPr>
                              <w:rFonts w:ascii="Calibri"/>
                              <w:b/>
                              <w:color w:val="231F20"/>
                              <w:w w:val="93"/>
                              <w:sz w:val="24"/>
                            </w:rPr>
                            <w:t>141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488F1EE" id="_x0000_t202" coordsize="21600,21600" o:spt="202" path="m,l,21600r21600,l21600,xe">
              <v:stroke joinstyle="miter"/>
              <v:path gradientshapeok="t" o:connecttype="rect"/>
            </v:shapetype>
            <v:shape id="Text Box 300" o:spid="_x0000_s1069" type="#_x0000_t202" style="position:absolute;margin-left:543.55pt;margin-top:752.4pt;width:19.05pt;height:14pt;z-index:-25165820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" filled="f" stroked="f">
              <v:textbox inset="0,0,0,0">
                <w:txbxContent>
                  <w:p w14:paraId="4E61A12E" w14:textId="77777777" w:rsidR="008601E5" w:rsidRDefault="008601E5">
                    <w:pPr>
                      <w:spacing w:line="267" w:lineRule="exact"/>
                      <w:ind w:left="20"/>
                      <w:rPr>
                        <w:rFonts w:ascii="Calibri" w:hAnsi="Calibri" w:cs="Calibri"/>
                        <w:sz w:val="24"/>
                        <w:szCs w:val="24"/>
                      </w:rPr>
                    </w:pPr>
                    <w:r>
                      <w:rPr>
                        <w:rFonts w:ascii="Calibri"/>
                        <w:b/>
                        <w:color w:val="231F20"/>
                        <w:w w:val="93"/>
                        <w:sz w:val="24"/>
                      </w:rPr>
                      <w:t>141</w:t>
                    </w:r>
                  </w:p>
                </w:txbxContent>
              </v:textbox>
              <w10:wrap anchorx="page" anchory="page"/>
            </v:shape>
          </w:pict>
        </mc:Fallback>
      </mc:AlternateContent>
    </w:r>
    <w:r>
      <w:rPr>
        <w:noProof/>
      </w:rPr>
      <mc:AlternateContent>
        <mc:Choice Requires="wps">
          <w:drawing>
            <wp:anchor distT="0" distB="0" distL="114300" distR="114300" simplePos="0" relativeHeight="251658279" behindDoc="1" locked="0" layoutInCell="1" allowOverlap="1" wp14:anchorId="54B61904" wp14:editId="5B1FA783">
              <wp:simplePos x="0" y="0"/>
              <wp:positionH relativeFrom="page">
                <wp:posOffset>781050</wp:posOffset>
              </wp:positionH>
              <wp:positionV relativeFrom="page">
                <wp:posOffset>9559925</wp:posOffset>
              </wp:positionV>
              <wp:extent cx="5232400" cy="153035"/>
              <wp:effectExtent l="0" t="0" r="0" b="0"/>
              <wp:wrapNone/>
              <wp:docPr id="299" name="Text Box 2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32400" cy="1530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345FD4" w14:textId="77777777" w:rsidR="008601E5" w:rsidRDefault="008601E5">
                          <w:pPr>
                            <w:spacing w:line="227" w:lineRule="exact"/>
                            <w:ind w:left="20"/>
                            <w:rPr>
                              <w:rFonts w:ascii="Arial" w:hAnsi="Arial" w:cs="Arial"/>
                              <w:sz w:val="20"/>
                              <w:szCs w:val="20"/>
                            </w:rPr>
                          </w:pPr>
                          <w:r>
                            <w:rPr>
                              <w:rFonts w:ascii="Calibri" w:hAnsi="Calibri" w:cs="Calibri"/>
                              <w:b/>
                              <w:bCs/>
                              <w:color w:val="231F20"/>
                              <w:w w:val="109"/>
                              <w:sz w:val="20"/>
                              <w:szCs w:val="20"/>
                            </w:rPr>
                            <w:t>Section</w:t>
                          </w:r>
                          <w:r>
                            <w:rPr>
                              <w:rFonts w:ascii="Calibri" w:hAnsi="Calibri" w:cs="Calibri"/>
                              <w:b/>
                              <w:bCs/>
                              <w:color w:val="231F20"/>
                              <w:spacing w:val="6"/>
                              <w:sz w:val="20"/>
                              <w:szCs w:val="20"/>
                            </w:rPr>
                            <w:t xml:space="preserve"> </w:t>
                          </w:r>
                          <w:r>
                            <w:rPr>
                              <w:rFonts w:ascii="Calibri" w:hAnsi="Calibri" w:cs="Calibri"/>
                              <w:b/>
                              <w:bCs/>
                              <w:color w:val="231F20"/>
                              <w:w w:val="102"/>
                              <w:sz w:val="20"/>
                              <w:szCs w:val="20"/>
                            </w:rPr>
                            <w:t>VIII.</w:t>
                          </w:r>
                          <w:r>
                            <w:rPr>
                              <w:rFonts w:ascii="Calibri" w:hAnsi="Calibri" w:cs="Calibri"/>
                              <w:b/>
                              <w:bCs/>
                              <w:color w:val="231F20"/>
                              <w:spacing w:val="6"/>
                              <w:sz w:val="20"/>
                              <w:szCs w:val="20"/>
                            </w:rPr>
                            <w:t xml:space="preserve"> </w:t>
                          </w:r>
                          <w:r>
                            <w:rPr>
                              <w:rFonts w:ascii="Calibri" w:hAnsi="Calibri" w:cs="Calibri"/>
                              <w:b/>
                              <w:bCs/>
                              <w:color w:val="231F20"/>
                              <w:w w:val="108"/>
                              <w:sz w:val="20"/>
                              <w:szCs w:val="20"/>
                            </w:rPr>
                            <w:t>Program-Specific</w:t>
                          </w:r>
                          <w:r>
                            <w:rPr>
                              <w:rFonts w:ascii="Calibri" w:hAnsi="Calibri" w:cs="Calibri"/>
                              <w:b/>
                              <w:bCs/>
                              <w:color w:val="231F20"/>
                              <w:spacing w:val="6"/>
                              <w:sz w:val="20"/>
                              <w:szCs w:val="20"/>
                            </w:rPr>
                            <w:t xml:space="preserve"> </w:t>
                          </w:r>
                          <w:r>
                            <w:rPr>
                              <w:rFonts w:ascii="Calibri" w:hAnsi="Calibri" w:cs="Calibri"/>
                              <w:b/>
                              <w:bCs/>
                              <w:color w:val="231F20"/>
                              <w:spacing w:val="-7"/>
                              <w:w w:val="111"/>
                              <w:sz w:val="20"/>
                              <w:szCs w:val="20"/>
                            </w:rPr>
                            <w:t>R</w:t>
                          </w:r>
                          <w:r>
                            <w:rPr>
                              <w:rFonts w:ascii="Calibri" w:hAnsi="Calibri" w:cs="Calibri"/>
                              <w:b/>
                              <w:bCs/>
                              <w:color w:val="231F20"/>
                              <w:w w:val="107"/>
                              <w:sz w:val="20"/>
                              <w:szCs w:val="20"/>
                            </w:rPr>
                            <w:t>equirements</w:t>
                          </w:r>
                          <w:r>
                            <w:rPr>
                              <w:rFonts w:ascii="Calibri" w:hAnsi="Calibri" w:cs="Calibri"/>
                              <w:b/>
                              <w:bCs/>
                              <w:color w:val="231F20"/>
                              <w:spacing w:val="-1"/>
                              <w:w w:val="107"/>
                              <w:sz w:val="20"/>
                              <w:szCs w:val="20"/>
                            </w:rPr>
                            <w:t>–</w:t>
                          </w:r>
                          <w:r>
                            <w:rPr>
                              <w:rFonts w:ascii="Arial" w:hAnsi="Arial" w:cs="Arial"/>
                              <w:b/>
                              <w:bCs/>
                              <w:i/>
                              <w:color w:val="231F20"/>
                              <w:w w:val="93"/>
                              <w:sz w:val="20"/>
                              <w:szCs w:val="20"/>
                            </w:rPr>
                            <w:t>Adult</w:t>
                          </w:r>
                          <w:r>
                            <w:rPr>
                              <w:rFonts w:ascii="Arial" w:hAnsi="Arial" w:cs="Arial"/>
                              <w:b/>
                              <w:bCs/>
                              <w:i/>
                              <w:color w:val="231F20"/>
                              <w:spacing w:val="-5"/>
                              <w:sz w:val="20"/>
                              <w:szCs w:val="20"/>
                            </w:rPr>
                            <w:t xml:space="preserve"> </w:t>
                          </w:r>
                          <w:r>
                            <w:rPr>
                              <w:rFonts w:ascii="Arial" w:hAnsi="Arial" w:cs="Arial"/>
                              <w:b/>
                              <w:bCs/>
                              <w:i/>
                              <w:color w:val="231F20"/>
                              <w:w w:val="93"/>
                              <w:sz w:val="20"/>
                              <w:szCs w:val="20"/>
                            </w:rPr>
                            <w:t>Education</w:t>
                          </w:r>
                          <w:r>
                            <w:rPr>
                              <w:rFonts w:ascii="Arial" w:hAnsi="Arial" w:cs="Arial"/>
                              <w:b/>
                              <w:bCs/>
                              <w:i/>
                              <w:color w:val="231F20"/>
                              <w:spacing w:val="-5"/>
                              <w:sz w:val="20"/>
                              <w:szCs w:val="20"/>
                            </w:rPr>
                            <w:t xml:space="preserve"> </w:t>
                          </w:r>
                          <w:r>
                            <w:rPr>
                              <w:rFonts w:ascii="Arial" w:hAnsi="Arial" w:cs="Arial"/>
                              <w:b/>
                              <w:bCs/>
                              <w:i/>
                              <w:color w:val="231F20"/>
                              <w:w w:val="97"/>
                              <w:sz w:val="20"/>
                              <w:szCs w:val="20"/>
                            </w:rPr>
                            <w:t>and</w:t>
                          </w:r>
                          <w:r>
                            <w:rPr>
                              <w:rFonts w:ascii="Arial" w:hAnsi="Arial" w:cs="Arial"/>
                              <w:b/>
                              <w:bCs/>
                              <w:i/>
                              <w:color w:val="231F20"/>
                              <w:spacing w:val="-5"/>
                              <w:sz w:val="20"/>
                              <w:szCs w:val="20"/>
                            </w:rPr>
                            <w:t xml:space="preserve"> </w:t>
                          </w:r>
                          <w:r>
                            <w:rPr>
                              <w:rFonts w:ascii="Arial" w:hAnsi="Arial" w:cs="Arial"/>
                              <w:b/>
                              <w:bCs/>
                              <w:i/>
                              <w:color w:val="231F20"/>
                              <w:w w:val="93"/>
                              <w:sz w:val="20"/>
                              <w:szCs w:val="20"/>
                            </w:rPr>
                            <w:t>Family</w:t>
                          </w:r>
                          <w:r>
                            <w:rPr>
                              <w:rFonts w:ascii="Arial" w:hAnsi="Arial" w:cs="Arial"/>
                              <w:b/>
                              <w:bCs/>
                              <w:i/>
                              <w:color w:val="231F20"/>
                              <w:spacing w:val="-5"/>
                              <w:sz w:val="20"/>
                              <w:szCs w:val="20"/>
                            </w:rPr>
                            <w:t xml:space="preserve"> </w:t>
                          </w:r>
                          <w:r>
                            <w:rPr>
                              <w:rFonts w:ascii="Arial" w:hAnsi="Arial" w:cs="Arial"/>
                              <w:b/>
                              <w:bCs/>
                              <w:i/>
                              <w:color w:val="231F20"/>
                              <w:w w:val="92"/>
                              <w:sz w:val="20"/>
                              <w:szCs w:val="20"/>
                            </w:rPr>
                            <w:t>Literacy</w:t>
                          </w:r>
                          <w:r>
                            <w:rPr>
                              <w:rFonts w:ascii="Arial" w:hAnsi="Arial" w:cs="Arial"/>
                              <w:b/>
                              <w:bCs/>
                              <w:i/>
                              <w:color w:val="231F20"/>
                              <w:spacing w:val="-5"/>
                              <w:sz w:val="20"/>
                              <w:szCs w:val="20"/>
                            </w:rPr>
                            <w:t xml:space="preserve"> </w:t>
                          </w:r>
                          <w:r>
                            <w:rPr>
                              <w:rFonts w:ascii="Arial" w:hAnsi="Arial" w:cs="Arial"/>
                              <w:b/>
                              <w:bCs/>
                              <w:i/>
                              <w:color w:val="231F20"/>
                              <w:w w:val="92"/>
                              <w:sz w:val="20"/>
                              <w:szCs w:val="20"/>
                            </w:rPr>
                            <w:t>Programs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4B61904" id="Text Box 299" o:spid="_x0000_s1070" type="#_x0000_t202" style="position:absolute;margin-left:61.5pt;margin-top:752.75pt;width:412pt;height:12.05pt;z-index:-25165820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" filled="f" stroked="f">
              <v:textbox inset="0,0,0,0">
                <w:txbxContent>
                  <w:p w14:paraId="1D345FD4" w14:textId="77777777" w:rsidR="008601E5" w:rsidRDefault="008601E5">
                    <w:pPr>
                      <w:spacing w:line="227" w:lineRule="exact"/>
                      <w:ind w:left="20"/>
                      <w:rPr>
                        <w:rFonts w:ascii="Arial" w:hAnsi="Arial" w:cs="Arial"/>
                        <w:sz w:val="20"/>
                        <w:szCs w:val="20"/>
                      </w:rPr>
                    </w:pPr>
                    <w:r>
                      <w:rPr>
                        <w:rFonts w:ascii="Calibri" w:hAnsi="Calibri" w:cs="Calibri"/>
                        <w:b/>
                        <w:bCs/>
                        <w:color w:val="231F20"/>
                        <w:w w:val="109"/>
                        <w:sz w:val="20"/>
                        <w:szCs w:val="20"/>
                      </w:rPr>
                      <w:t>Section</w:t>
                    </w:r>
                    <w:r>
                      <w:rPr>
                        <w:rFonts w:ascii="Calibri" w:hAnsi="Calibri" w:cs="Calibri"/>
                        <w:b/>
                        <w:bCs/>
                        <w:color w:val="231F20"/>
                        <w:spacing w:val="6"/>
                        <w:sz w:val="20"/>
                        <w:szCs w:val="20"/>
                      </w:rPr>
                      <w:t xml:space="preserve"> </w:t>
                    </w:r>
                    <w:r>
                      <w:rPr>
                        <w:rFonts w:ascii="Calibri" w:hAnsi="Calibri" w:cs="Calibri"/>
                        <w:b/>
                        <w:bCs/>
                        <w:color w:val="231F20"/>
                        <w:w w:val="102"/>
                        <w:sz w:val="20"/>
                        <w:szCs w:val="20"/>
                      </w:rPr>
                      <w:t>VIII.</w:t>
                    </w:r>
                    <w:r>
                      <w:rPr>
                        <w:rFonts w:ascii="Calibri" w:hAnsi="Calibri" w:cs="Calibri"/>
                        <w:b/>
                        <w:bCs/>
                        <w:color w:val="231F20"/>
                        <w:spacing w:val="6"/>
                        <w:sz w:val="20"/>
                        <w:szCs w:val="20"/>
                      </w:rPr>
                      <w:t xml:space="preserve"> </w:t>
                    </w:r>
                    <w:r>
                      <w:rPr>
                        <w:rFonts w:ascii="Calibri" w:hAnsi="Calibri" w:cs="Calibri"/>
                        <w:b/>
                        <w:bCs/>
                        <w:color w:val="231F20"/>
                        <w:w w:val="108"/>
                        <w:sz w:val="20"/>
                        <w:szCs w:val="20"/>
                      </w:rPr>
                      <w:t>Program-Specific</w:t>
                    </w:r>
                    <w:r>
                      <w:rPr>
                        <w:rFonts w:ascii="Calibri" w:hAnsi="Calibri" w:cs="Calibri"/>
                        <w:b/>
                        <w:bCs/>
                        <w:color w:val="231F20"/>
                        <w:spacing w:val="6"/>
                        <w:sz w:val="20"/>
                        <w:szCs w:val="20"/>
                      </w:rPr>
                      <w:t xml:space="preserve"> </w:t>
                    </w:r>
                    <w:r>
                      <w:rPr>
                        <w:rFonts w:ascii="Calibri" w:hAnsi="Calibri" w:cs="Calibri"/>
                        <w:b/>
                        <w:bCs/>
                        <w:color w:val="231F20"/>
                        <w:spacing w:val="-7"/>
                        <w:w w:val="111"/>
                        <w:sz w:val="20"/>
                        <w:szCs w:val="20"/>
                      </w:rPr>
                      <w:t>R</w:t>
                    </w:r>
                    <w:r>
                      <w:rPr>
                        <w:rFonts w:ascii="Calibri" w:hAnsi="Calibri" w:cs="Calibri"/>
                        <w:b/>
                        <w:bCs/>
                        <w:color w:val="231F20"/>
                        <w:w w:val="107"/>
                        <w:sz w:val="20"/>
                        <w:szCs w:val="20"/>
                      </w:rPr>
                      <w:t>equirements</w:t>
                    </w:r>
                    <w:r>
                      <w:rPr>
                        <w:rFonts w:ascii="Calibri" w:hAnsi="Calibri" w:cs="Calibri"/>
                        <w:b/>
                        <w:bCs/>
                        <w:color w:val="231F20"/>
                        <w:spacing w:val="-1"/>
                        <w:w w:val="107"/>
                        <w:sz w:val="20"/>
                        <w:szCs w:val="20"/>
                      </w:rPr>
                      <w:t>–</w:t>
                    </w:r>
                    <w:r>
                      <w:rPr>
                        <w:rFonts w:ascii="Arial" w:hAnsi="Arial" w:cs="Arial"/>
                        <w:b/>
                        <w:bCs/>
                        <w:i/>
                        <w:color w:val="231F20"/>
                        <w:w w:val="93"/>
                        <w:sz w:val="20"/>
                        <w:szCs w:val="20"/>
                      </w:rPr>
                      <w:t>Adult</w:t>
                    </w:r>
                    <w:r>
                      <w:rPr>
                        <w:rFonts w:ascii="Arial" w:hAnsi="Arial" w:cs="Arial"/>
                        <w:b/>
                        <w:bCs/>
                        <w:i/>
                        <w:color w:val="231F20"/>
                        <w:spacing w:val="-5"/>
                        <w:sz w:val="20"/>
                        <w:szCs w:val="20"/>
                      </w:rPr>
                      <w:t xml:space="preserve"> </w:t>
                    </w:r>
                    <w:r>
                      <w:rPr>
                        <w:rFonts w:ascii="Arial" w:hAnsi="Arial" w:cs="Arial"/>
                        <w:b/>
                        <w:bCs/>
                        <w:i/>
                        <w:color w:val="231F20"/>
                        <w:w w:val="93"/>
                        <w:sz w:val="20"/>
                        <w:szCs w:val="20"/>
                      </w:rPr>
                      <w:t>Education</w:t>
                    </w:r>
                    <w:r>
                      <w:rPr>
                        <w:rFonts w:ascii="Arial" w:hAnsi="Arial" w:cs="Arial"/>
                        <w:b/>
                        <w:bCs/>
                        <w:i/>
                        <w:color w:val="231F20"/>
                        <w:spacing w:val="-5"/>
                        <w:sz w:val="20"/>
                        <w:szCs w:val="20"/>
                      </w:rPr>
                      <w:t xml:space="preserve"> </w:t>
                    </w:r>
                    <w:r>
                      <w:rPr>
                        <w:rFonts w:ascii="Arial" w:hAnsi="Arial" w:cs="Arial"/>
                        <w:b/>
                        <w:bCs/>
                        <w:i/>
                        <w:color w:val="231F20"/>
                        <w:w w:val="97"/>
                        <w:sz w:val="20"/>
                        <w:szCs w:val="20"/>
                      </w:rPr>
                      <w:t>and</w:t>
                    </w:r>
                    <w:r>
                      <w:rPr>
                        <w:rFonts w:ascii="Arial" w:hAnsi="Arial" w:cs="Arial"/>
                        <w:b/>
                        <w:bCs/>
                        <w:i/>
                        <w:color w:val="231F20"/>
                        <w:spacing w:val="-5"/>
                        <w:sz w:val="20"/>
                        <w:szCs w:val="20"/>
                      </w:rPr>
                      <w:t xml:space="preserve"> </w:t>
                    </w:r>
                    <w:r>
                      <w:rPr>
                        <w:rFonts w:ascii="Arial" w:hAnsi="Arial" w:cs="Arial"/>
                        <w:b/>
                        <w:bCs/>
                        <w:i/>
                        <w:color w:val="231F20"/>
                        <w:w w:val="93"/>
                        <w:sz w:val="20"/>
                        <w:szCs w:val="20"/>
                      </w:rPr>
                      <w:t>Family</w:t>
                    </w:r>
                    <w:r>
                      <w:rPr>
                        <w:rFonts w:ascii="Arial" w:hAnsi="Arial" w:cs="Arial"/>
                        <w:b/>
                        <w:bCs/>
                        <w:i/>
                        <w:color w:val="231F20"/>
                        <w:spacing w:val="-5"/>
                        <w:sz w:val="20"/>
                        <w:szCs w:val="20"/>
                      </w:rPr>
                      <w:t xml:space="preserve"> </w:t>
                    </w:r>
                    <w:r>
                      <w:rPr>
                        <w:rFonts w:ascii="Arial" w:hAnsi="Arial" w:cs="Arial"/>
                        <w:b/>
                        <w:bCs/>
                        <w:i/>
                        <w:color w:val="231F20"/>
                        <w:w w:val="92"/>
                        <w:sz w:val="20"/>
                        <w:szCs w:val="20"/>
                      </w:rPr>
                      <w:t>Literacy</w:t>
                    </w:r>
                    <w:r>
                      <w:rPr>
                        <w:rFonts w:ascii="Arial" w:hAnsi="Arial" w:cs="Arial"/>
                        <w:b/>
                        <w:bCs/>
                        <w:i/>
                        <w:color w:val="231F20"/>
                        <w:spacing w:val="-5"/>
                        <w:sz w:val="20"/>
                        <w:szCs w:val="20"/>
                      </w:rPr>
                      <w:t xml:space="preserve"> </w:t>
                    </w:r>
                    <w:r>
                      <w:rPr>
                        <w:rFonts w:ascii="Arial" w:hAnsi="Arial" w:cs="Arial"/>
                        <w:b/>
                        <w:bCs/>
                        <w:i/>
                        <w:color w:val="231F20"/>
                        <w:w w:val="92"/>
                        <w:sz w:val="20"/>
                        <w:szCs w:val="20"/>
                      </w:rPr>
                      <w:t>Programs</w:t>
                    </w:r>
                  </w:p>
                </w:txbxContent>
              </v:textbox>
              <w10:wrap anchorx="page" anchory="page"/>
            </v:shape>
          </w:pict>
        </mc:Fallback>
      </mc:AlternateContent>
    </w: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DFBB851" w14:textId="19C047E6" w:rsidR="008601E5" w:rsidRDefault="008601E5">
    <w:pPr>
      <w:spacing w:line="14" w:lineRule="auto"/>
      <w:rPr>
        <w:sz w:val="20"/>
        <w:szCs w:val="20"/>
      </w:rPr>
    </w:pPr>
    <w:r>
      <w:rPr>
        <w:noProof/>
      </w:rPr>
      <mc:AlternateContent>
        <mc:Choice Requires="wps">
          <w:drawing>
            <wp:anchor distT="0" distB="0" distL="114300" distR="114300" simplePos="0" relativeHeight="251658280" behindDoc="1" locked="0" layoutInCell="1" allowOverlap="1" wp14:anchorId="33F4119F" wp14:editId="07B083E3">
              <wp:simplePos x="0" y="0"/>
              <wp:positionH relativeFrom="page">
                <wp:posOffset>6828155</wp:posOffset>
              </wp:positionH>
              <wp:positionV relativeFrom="page">
                <wp:posOffset>9555480</wp:posOffset>
              </wp:positionV>
              <wp:extent cx="329565" cy="177800"/>
              <wp:effectExtent l="0" t="0" r="0" b="0"/>
              <wp:wrapNone/>
              <wp:docPr id="274" name="Text Box 2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9565"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532434" w14:textId="79CE75A8" w:rsidR="008601E5" w:rsidRDefault="008601E5">
                          <w:pPr>
                            <w:spacing w:line="267" w:lineRule="exact"/>
                            <w:ind w:left="40"/>
                            <w:rPr>
                              <w:rFonts w:ascii="Calibri" w:hAnsi="Calibri" w:cs="Calibri"/>
                              <w:sz w:val="24"/>
                              <w:szCs w:val="24"/>
                            </w:rPr>
                          </w:pPr>
                          <w:r>
                            <w:rPr>
                              <w:rFonts w:ascii="Calibri"/>
                              <w:b/>
                              <w:color w:val="231F20"/>
                              <w:w w:val="120"/>
                              <w:sz w:val="24"/>
                            </w:rPr>
                            <w:fldChar w:fldCharType="begin"/>
                          </w:r>
                          <w:r>
                            <w:rPr>
                              <w:rFonts w:ascii="Calibri"/>
                              <w:b/>
                              <w:color w:val="231F20"/>
                              <w:w w:val="120"/>
                              <w:sz w:val="24"/>
                            </w:rPr>
                            <w:instrText xml:space="preserve"> PAGE </w:instrText>
                          </w:r>
                          <w:r>
                            <w:rPr>
                              <w:rFonts w:ascii="Calibri"/>
                              <w:b/>
                              <w:color w:val="231F20"/>
                              <w:w w:val="120"/>
                              <w:sz w:val="24"/>
                            </w:rPr>
                            <w:fldChar w:fldCharType="separate"/>
                          </w:r>
                          <w:r w:rsidR="00BC1D20">
                            <w:rPr>
                              <w:rFonts w:ascii="Calibri"/>
                              <w:b/>
                              <w:noProof/>
                              <w:color w:val="231F20"/>
                              <w:w w:val="120"/>
                              <w:sz w:val="24"/>
                            </w:rPr>
                            <w:t>210</w:t>
                          </w:r>
                          <w:r>
                            <w:rPr>
                              <w:rFonts w:ascii="Calibri"/>
                              <w:b/>
                              <w:color w:val="231F20"/>
                              <w:w w:val="120"/>
                              <w:sz w:val="24"/>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3F4119F" id="_x0000_t202" coordsize="21600,21600" o:spt="202" path="m,l,21600r21600,l21600,xe">
              <v:stroke joinstyle="miter"/>
              <v:path gradientshapeok="t" o:connecttype="rect"/>
            </v:shapetype>
            <v:shape id="Text Box 274" o:spid="_x0000_s1071" type="#_x0000_t202" style="position:absolute;margin-left:537.65pt;margin-top:752.4pt;width:25.95pt;height:14pt;z-index:-2516582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" filled="f" stroked="f">
              <v:textbox inset="0,0,0,0">
                <w:txbxContent>
                  <w:p w14:paraId="20532434" w14:textId="79CE75A8" w:rsidR="008601E5" w:rsidRDefault="008601E5">
                    <w:pPr>
                      <w:spacing w:line="267" w:lineRule="exact"/>
                      <w:ind w:left="40"/>
                      <w:rPr>
                        <w:rFonts w:ascii="Calibri" w:hAnsi="Calibri" w:cs="Calibri"/>
                        <w:sz w:val="24"/>
                        <w:szCs w:val="24"/>
                      </w:rPr>
                    </w:pPr>
                    <w:r>
                      <w:rPr>
                        <w:rFonts w:ascii="Calibri"/>
                        <w:b/>
                        <w:color w:val="231F20"/>
                        <w:w w:val="120"/>
                        <w:sz w:val="24"/>
                      </w:rPr>
                      <w:fldChar w:fldCharType="begin"/>
                    </w:r>
                    <w:r>
                      <w:rPr>
                        <w:rFonts w:ascii="Calibri"/>
                        <w:b/>
                        <w:color w:val="231F20"/>
                        <w:w w:val="120"/>
                        <w:sz w:val="24"/>
                      </w:rPr>
                      <w:instrText xml:space="preserve"> PAGE </w:instrText>
                    </w:r>
                    <w:r>
                      <w:rPr>
                        <w:rFonts w:ascii="Calibri"/>
                        <w:b/>
                        <w:color w:val="231F20"/>
                        <w:w w:val="120"/>
                        <w:sz w:val="24"/>
                      </w:rPr>
                      <w:fldChar w:fldCharType="separate"/>
                    </w:r>
                    <w:r w:rsidR="00BC1D20">
                      <w:rPr>
                        <w:rFonts w:ascii="Calibri"/>
                        <w:b/>
                        <w:noProof/>
                        <w:color w:val="231F20"/>
                        <w:w w:val="120"/>
                        <w:sz w:val="24"/>
                      </w:rPr>
                      <w:t>210</w:t>
                    </w:r>
                    <w:r>
                      <w:rPr>
                        <w:rFonts w:ascii="Calibri"/>
                        <w:b/>
                        <w:color w:val="231F20"/>
                        <w:w w:val="120"/>
                        <w:sz w:val="24"/>
                      </w:rPr>
                      <w:fldChar w:fldCharType="end"/>
                    </w:r>
                  </w:p>
                </w:txbxContent>
              </v:textbox>
              <w10:wrap anchorx="page" anchory="page"/>
            </v:shape>
          </w:pict>
        </mc:Fallback>
      </mc:AlternateContent>
    </w:r>
    <w:r>
      <w:rPr>
        <w:noProof/>
      </w:rPr>
      <mc:AlternateContent>
        <mc:Choice Requires="wps">
          <w:drawing>
            <wp:anchor distT="0" distB="0" distL="114300" distR="114300" simplePos="0" relativeHeight="251658281" behindDoc="1" locked="0" layoutInCell="1" allowOverlap="1" wp14:anchorId="3554DFB2" wp14:editId="2E2C5D22">
              <wp:simplePos x="0" y="0"/>
              <wp:positionH relativeFrom="page">
                <wp:posOffset>781050</wp:posOffset>
              </wp:positionH>
              <wp:positionV relativeFrom="page">
                <wp:posOffset>9559925</wp:posOffset>
              </wp:positionV>
              <wp:extent cx="5031105" cy="153035"/>
              <wp:effectExtent l="0" t="0" r="0" b="0"/>
              <wp:wrapNone/>
              <wp:docPr id="273" name="Text Box 2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31105" cy="1530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4F587A" w14:textId="77777777" w:rsidR="008601E5" w:rsidRDefault="008601E5">
                          <w:pPr>
                            <w:spacing w:line="227" w:lineRule="exact"/>
                            <w:ind w:left="20"/>
                            <w:rPr>
                              <w:rFonts w:ascii="Arial" w:hAnsi="Arial" w:cs="Arial"/>
                              <w:sz w:val="20"/>
                              <w:szCs w:val="20"/>
                            </w:rPr>
                          </w:pPr>
                          <w:r>
                            <w:rPr>
                              <w:rFonts w:ascii="Calibri" w:hAnsi="Calibri" w:cs="Calibri"/>
                              <w:b/>
                              <w:bCs/>
                              <w:color w:val="231F20"/>
                              <w:w w:val="109"/>
                              <w:sz w:val="20"/>
                              <w:szCs w:val="20"/>
                            </w:rPr>
                            <w:t>Section</w:t>
                          </w:r>
                          <w:r>
                            <w:rPr>
                              <w:rFonts w:ascii="Calibri" w:hAnsi="Calibri" w:cs="Calibri"/>
                              <w:b/>
                              <w:bCs/>
                              <w:color w:val="231F20"/>
                              <w:spacing w:val="6"/>
                              <w:sz w:val="20"/>
                              <w:szCs w:val="20"/>
                            </w:rPr>
                            <w:t xml:space="preserve"> </w:t>
                          </w:r>
                          <w:r>
                            <w:rPr>
                              <w:rFonts w:ascii="Calibri" w:hAnsi="Calibri" w:cs="Calibri"/>
                              <w:b/>
                              <w:bCs/>
                              <w:color w:val="231F20"/>
                              <w:w w:val="107"/>
                              <w:sz w:val="20"/>
                              <w:szCs w:val="20"/>
                            </w:rPr>
                            <w:t>IX.</w:t>
                          </w:r>
                          <w:r>
                            <w:rPr>
                              <w:rFonts w:ascii="Calibri" w:hAnsi="Calibri" w:cs="Calibri"/>
                              <w:b/>
                              <w:bCs/>
                              <w:color w:val="231F20"/>
                              <w:spacing w:val="6"/>
                              <w:sz w:val="20"/>
                              <w:szCs w:val="20"/>
                            </w:rPr>
                            <w:t xml:space="preserve"> </w:t>
                          </w:r>
                          <w:r>
                            <w:rPr>
                              <w:rFonts w:ascii="Calibri" w:hAnsi="Calibri" w:cs="Calibri"/>
                              <w:b/>
                              <w:bCs/>
                              <w:color w:val="231F20"/>
                              <w:w w:val="108"/>
                              <w:sz w:val="20"/>
                              <w:szCs w:val="20"/>
                            </w:rPr>
                            <w:t>Program-Specific</w:t>
                          </w:r>
                          <w:r>
                            <w:rPr>
                              <w:rFonts w:ascii="Calibri" w:hAnsi="Calibri" w:cs="Calibri"/>
                              <w:b/>
                              <w:bCs/>
                              <w:color w:val="231F20"/>
                              <w:spacing w:val="6"/>
                              <w:sz w:val="20"/>
                              <w:szCs w:val="20"/>
                            </w:rPr>
                            <w:t xml:space="preserve"> </w:t>
                          </w:r>
                          <w:r>
                            <w:rPr>
                              <w:rFonts w:ascii="Calibri" w:hAnsi="Calibri" w:cs="Calibri"/>
                              <w:b/>
                              <w:bCs/>
                              <w:color w:val="231F20"/>
                              <w:spacing w:val="-7"/>
                              <w:w w:val="111"/>
                              <w:sz w:val="20"/>
                              <w:szCs w:val="20"/>
                            </w:rPr>
                            <w:t>R</w:t>
                          </w:r>
                          <w:r>
                            <w:rPr>
                              <w:rFonts w:ascii="Calibri" w:hAnsi="Calibri" w:cs="Calibri"/>
                              <w:b/>
                              <w:bCs/>
                              <w:color w:val="231F20"/>
                              <w:w w:val="105"/>
                              <w:sz w:val="20"/>
                              <w:szCs w:val="20"/>
                            </w:rPr>
                            <w:t>equirements</w:t>
                          </w:r>
                          <w:r>
                            <w:rPr>
                              <w:rFonts w:ascii="Calibri" w:hAnsi="Calibri" w:cs="Calibri"/>
                              <w:b/>
                              <w:bCs/>
                              <w:color w:val="231F20"/>
                              <w:spacing w:val="6"/>
                              <w:sz w:val="20"/>
                              <w:szCs w:val="20"/>
                            </w:rPr>
                            <w:t xml:space="preserve"> </w:t>
                          </w:r>
                          <w:r>
                            <w:rPr>
                              <w:rFonts w:ascii="Calibri" w:hAnsi="Calibri" w:cs="Calibri"/>
                              <w:b/>
                              <w:bCs/>
                              <w:color w:val="231F20"/>
                              <w:w w:val="101"/>
                              <w:sz w:val="20"/>
                              <w:szCs w:val="20"/>
                            </w:rPr>
                            <w:t>for</w:t>
                          </w:r>
                          <w:r>
                            <w:rPr>
                              <w:rFonts w:ascii="Calibri" w:hAnsi="Calibri" w:cs="Calibri"/>
                              <w:b/>
                              <w:bCs/>
                              <w:color w:val="231F20"/>
                              <w:spacing w:val="6"/>
                              <w:sz w:val="20"/>
                              <w:szCs w:val="20"/>
                            </w:rPr>
                            <w:t xml:space="preserve"> </w:t>
                          </w:r>
                          <w:r>
                            <w:rPr>
                              <w:rFonts w:ascii="Calibri" w:hAnsi="Calibri" w:cs="Calibri"/>
                              <w:b/>
                              <w:bCs/>
                              <w:color w:val="231F20"/>
                              <w:w w:val="112"/>
                              <w:sz w:val="20"/>
                              <w:szCs w:val="20"/>
                            </w:rPr>
                            <w:t>Core</w:t>
                          </w:r>
                          <w:r>
                            <w:rPr>
                              <w:rFonts w:ascii="Calibri" w:hAnsi="Calibri" w:cs="Calibri"/>
                              <w:b/>
                              <w:bCs/>
                              <w:color w:val="231F20"/>
                              <w:spacing w:val="6"/>
                              <w:sz w:val="20"/>
                              <w:szCs w:val="20"/>
                            </w:rPr>
                            <w:t xml:space="preserve"> </w:t>
                          </w:r>
                          <w:r>
                            <w:rPr>
                              <w:rFonts w:ascii="Calibri" w:hAnsi="Calibri" w:cs="Calibri"/>
                              <w:b/>
                              <w:bCs/>
                              <w:color w:val="231F20"/>
                              <w:w w:val="109"/>
                              <w:sz w:val="20"/>
                              <w:szCs w:val="20"/>
                            </w:rPr>
                            <w:t>Programs</w:t>
                          </w:r>
                          <w:r>
                            <w:rPr>
                              <w:rFonts w:ascii="Calibri" w:hAnsi="Calibri" w:cs="Calibri"/>
                              <w:b/>
                              <w:bCs/>
                              <w:color w:val="231F20"/>
                              <w:spacing w:val="-1"/>
                              <w:w w:val="109"/>
                              <w:sz w:val="20"/>
                              <w:szCs w:val="20"/>
                            </w:rPr>
                            <w:t>–</w:t>
                          </w:r>
                          <w:r>
                            <w:rPr>
                              <w:rFonts w:ascii="Arial" w:hAnsi="Arial" w:cs="Arial"/>
                              <w:b/>
                              <w:bCs/>
                              <w:i/>
                              <w:color w:val="231F20"/>
                              <w:spacing w:val="-12"/>
                              <w:sz w:val="20"/>
                              <w:szCs w:val="20"/>
                            </w:rPr>
                            <w:t>V</w:t>
                          </w:r>
                          <w:r>
                            <w:rPr>
                              <w:rFonts w:ascii="Arial" w:hAnsi="Arial" w:cs="Arial"/>
                              <w:b/>
                              <w:bCs/>
                              <w:i/>
                              <w:color w:val="231F20"/>
                              <w:w w:val="95"/>
                              <w:sz w:val="20"/>
                              <w:szCs w:val="20"/>
                            </w:rPr>
                            <w:t>ocational</w:t>
                          </w:r>
                          <w:r>
                            <w:rPr>
                              <w:rFonts w:ascii="Arial" w:hAnsi="Arial" w:cs="Arial"/>
                              <w:b/>
                              <w:bCs/>
                              <w:i/>
                              <w:color w:val="231F20"/>
                              <w:spacing w:val="-5"/>
                              <w:sz w:val="20"/>
                              <w:szCs w:val="20"/>
                            </w:rPr>
                            <w:t xml:space="preserve"> </w:t>
                          </w:r>
                          <w:r>
                            <w:rPr>
                              <w:rFonts w:ascii="Arial" w:hAnsi="Arial" w:cs="Arial"/>
                              <w:b/>
                              <w:bCs/>
                              <w:i/>
                              <w:color w:val="231F20"/>
                              <w:spacing w:val="-6"/>
                              <w:w w:val="86"/>
                              <w:sz w:val="20"/>
                              <w:szCs w:val="20"/>
                            </w:rPr>
                            <w:t>R</w:t>
                          </w:r>
                          <w:r>
                            <w:rPr>
                              <w:rFonts w:ascii="Arial" w:hAnsi="Arial" w:cs="Arial"/>
                              <w:b/>
                              <w:bCs/>
                              <w:i/>
                              <w:color w:val="231F20"/>
                              <w:w w:val="95"/>
                              <w:sz w:val="20"/>
                              <w:szCs w:val="20"/>
                            </w:rPr>
                            <w:t>ehabilitation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554DFB2" id="Text Box 273" o:spid="_x0000_s1072" type="#_x0000_t202" style="position:absolute;margin-left:61.5pt;margin-top:752.75pt;width:396.15pt;height:12.05pt;z-index:-25165819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" filled="f" stroked="f">
              <v:textbox inset="0,0,0,0">
                <w:txbxContent>
                  <w:p w14:paraId="1D4F587A" w14:textId="77777777" w:rsidR="008601E5" w:rsidRDefault="008601E5">
                    <w:pPr>
                      <w:spacing w:line="227" w:lineRule="exact"/>
                      <w:ind w:left="20"/>
                      <w:rPr>
                        <w:rFonts w:ascii="Arial" w:hAnsi="Arial" w:cs="Arial"/>
                        <w:sz w:val="20"/>
                        <w:szCs w:val="20"/>
                      </w:rPr>
                    </w:pPr>
                    <w:r>
                      <w:rPr>
                        <w:rFonts w:ascii="Calibri" w:hAnsi="Calibri" w:cs="Calibri"/>
                        <w:b/>
                        <w:bCs/>
                        <w:color w:val="231F20"/>
                        <w:w w:val="109"/>
                        <w:sz w:val="20"/>
                        <w:szCs w:val="20"/>
                      </w:rPr>
                      <w:t>Section</w:t>
                    </w:r>
                    <w:r>
                      <w:rPr>
                        <w:rFonts w:ascii="Calibri" w:hAnsi="Calibri" w:cs="Calibri"/>
                        <w:b/>
                        <w:bCs/>
                        <w:color w:val="231F20"/>
                        <w:spacing w:val="6"/>
                        <w:sz w:val="20"/>
                        <w:szCs w:val="20"/>
                      </w:rPr>
                      <w:t xml:space="preserve"> </w:t>
                    </w:r>
                    <w:r>
                      <w:rPr>
                        <w:rFonts w:ascii="Calibri" w:hAnsi="Calibri" w:cs="Calibri"/>
                        <w:b/>
                        <w:bCs/>
                        <w:color w:val="231F20"/>
                        <w:w w:val="107"/>
                        <w:sz w:val="20"/>
                        <w:szCs w:val="20"/>
                      </w:rPr>
                      <w:t>IX.</w:t>
                    </w:r>
                    <w:r>
                      <w:rPr>
                        <w:rFonts w:ascii="Calibri" w:hAnsi="Calibri" w:cs="Calibri"/>
                        <w:b/>
                        <w:bCs/>
                        <w:color w:val="231F20"/>
                        <w:spacing w:val="6"/>
                        <w:sz w:val="20"/>
                        <w:szCs w:val="20"/>
                      </w:rPr>
                      <w:t xml:space="preserve"> </w:t>
                    </w:r>
                    <w:r>
                      <w:rPr>
                        <w:rFonts w:ascii="Calibri" w:hAnsi="Calibri" w:cs="Calibri"/>
                        <w:b/>
                        <w:bCs/>
                        <w:color w:val="231F20"/>
                        <w:w w:val="108"/>
                        <w:sz w:val="20"/>
                        <w:szCs w:val="20"/>
                      </w:rPr>
                      <w:t>Program-Specific</w:t>
                    </w:r>
                    <w:r>
                      <w:rPr>
                        <w:rFonts w:ascii="Calibri" w:hAnsi="Calibri" w:cs="Calibri"/>
                        <w:b/>
                        <w:bCs/>
                        <w:color w:val="231F20"/>
                        <w:spacing w:val="6"/>
                        <w:sz w:val="20"/>
                        <w:szCs w:val="20"/>
                      </w:rPr>
                      <w:t xml:space="preserve"> </w:t>
                    </w:r>
                    <w:r>
                      <w:rPr>
                        <w:rFonts w:ascii="Calibri" w:hAnsi="Calibri" w:cs="Calibri"/>
                        <w:b/>
                        <w:bCs/>
                        <w:color w:val="231F20"/>
                        <w:spacing w:val="-7"/>
                        <w:w w:val="111"/>
                        <w:sz w:val="20"/>
                        <w:szCs w:val="20"/>
                      </w:rPr>
                      <w:t>R</w:t>
                    </w:r>
                    <w:r>
                      <w:rPr>
                        <w:rFonts w:ascii="Calibri" w:hAnsi="Calibri" w:cs="Calibri"/>
                        <w:b/>
                        <w:bCs/>
                        <w:color w:val="231F20"/>
                        <w:w w:val="105"/>
                        <w:sz w:val="20"/>
                        <w:szCs w:val="20"/>
                      </w:rPr>
                      <w:t>equirements</w:t>
                    </w:r>
                    <w:r>
                      <w:rPr>
                        <w:rFonts w:ascii="Calibri" w:hAnsi="Calibri" w:cs="Calibri"/>
                        <w:b/>
                        <w:bCs/>
                        <w:color w:val="231F20"/>
                        <w:spacing w:val="6"/>
                        <w:sz w:val="20"/>
                        <w:szCs w:val="20"/>
                      </w:rPr>
                      <w:t xml:space="preserve"> </w:t>
                    </w:r>
                    <w:r>
                      <w:rPr>
                        <w:rFonts w:ascii="Calibri" w:hAnsi="Calibri" w:cs="Calibri"/>
                        <w:b/>
                        <w:bCs/>
                        <w:color w:val="231F20"/>
                        <w:w w:val="101"/>
                        <w:sz w:val="20"/>
                        <w:szCs w:val="20"/>
                      </w:rPr>
                      <w:t>for</w:t>
                    </w:r>
                    <w:r>
                      <w:rPr>
                        <w:rFonts w:ascii="Calibri" w:hAnsi="Calibri" w:cs="Calibri"/>
                        <w:b/>
                        <w:bCs/>
                        <w:color w:val="231F20"/>
                        <w:spacing w:val="6"/>
                        <w:sz w:val="20"/>
                        <w:szCs w:val="20"/>
                      </w:rPr>
                      <w:t xml:space="preserve"> </w:t>
                    </w:r>
                    <w:r>
                      <w:rPr>
                        <w:rFonts w:ascii="Calibri" w:hAnsi="Calibri" w:cs="Calibri"/>
                        <w:b/>
                        <w:bCs/>
                        <w:color w:val="231F20"/>
                        <w:w w:val="112"/>
                        <w:sz w:val="20"/>
                        <w:szCs w:val="20"/>
                      </w:rPr>
                      <w:t>Core</w:t>
                    </w:r>
                    <w:r>
                      <w:rPr>
                        <w:rFonts w:ascii="Calibri" w:hAnsi="Calibri" w:cs="Calibri"/>
                        <w:b/>
                        <w:bCs/>
                        <w:color w:val="231F20"/>
                        <w:spacing w:val="6"/>
                        <w:sz w:val="20"/>
                        <w:szCs w:val="20"/>
                      </w:rPr>
                      <w:t xml:space="preserve"> </w:t>
                    </w:r>
                    <w:r>
                      <w:rPr>
                        <w:rFonts w:ascii="Calibri" w:hAnsi="Calibri" w:cs="Calibri"/>
                        <w:b/>
                        <w:bCs/>
                        <w:color w:val="231F20"/>
                        <w:w w:val="109"/>
                        <w:sz w:val="20"/>
                        <w:szCs w:val="20"/>
                      </w:rPr>
                      <w:t>Programs</w:t>
                    </w:r>
                    <w:r>
                      <w:rPr>
                        <w:rFonts w:ascii="Calibri" w:hAnsi="Calibri" w:cs="Calibri"/>
                        <w:b/>
                        <w:bCs/>
                        <w:color w:val="231F20"/>
                        <w:spacing w:val="-1"/>
                        <w:w w:val="109"/>
                        <w:sz w:val="20"/>
                        <w:szCs w:val="20"/>
                      </w:rPr>
                      <w:t>–</w:t>
                    </w:r>
                    <w:r>
                      <w:rPr>
                        <w:rFonts w:ascii="Arial" w:hAnsi="Arial" w:cs="Arial"/>
                        <w:b/>
                        <w:bCs/>
                        <w:i/>
                        <w:color w:val="231F20"/>
                        <w:spacing w:val="-12"/>
                        <w:sz w:val="20"/>
                        <w:szCs w:val="20"/>
                      </w:rPr>
                      <w:t>V</w:t>
                    </w:r>
                    <w:r>
                      <w:rPr>
                        <w:rFonts w:ascii="Arial" w:hAnsi="Arial" w:cs="Arial"/>
                        <w:b/>
                        <w:bCs/>
                        <w:i/>
                        <w:color w:val="231F20"/>
                        <w:w w:val="95"/>
                        <w:sz w:val="20"/>
                        <w:szCs w:val="20"/>
                      </w:rPr>
                      <w:t>ocational</w:t>
                    </w:r>
                    <w:r>
                      <w:rPr>
                        <w:rFonts w:ascii="Arial" w:hAnsi="Arial" w:cs="Arial"/>
                        <w:b/>
                        <w:bCs/>
                        <w:i/>
                        <w:color w:val="231F20"/>
                        <w:spacing w:val="-5"/>
                        <w:sz w:val="20"/>
                        <w:szCs w:val="20"/>
                      </w:rPr>
                      <w:t xml:space="preserve"> </w:t>
                    </w:r>
                    <w:r>
                      <w:rPr>
                        <w:rFonts w:ascii="Arial" w:hAnsi="Arial" w:cs="Arial"/>
                        <w:b/>
                        <w:bCs/>
                        <w:i/>
                        <w:color w:val="231F20"/>
                        <w:spacing w:val="-6"/>
                        <w:w w:val="86"/>
                        <w:sz w:val="20"/>
                        <w:szCs w:val="20"/>
                      </w:rPr>
                      <w:t>R</w:t>
                    </w:r>
                    <w:r>
                      <w:rPr>
                        <w:rFonts w:ascii="Arial" w:hAnsi="Arial" w:cs="Arial"/>
                        <w:b/>
                        <w:bCs/>
                        <w:i/>
                        <w:color w:val="231F20"/>
                        <w:w w:val="95"/>
                        <w:sz w:val="20"/>
                        <w:szCs w:val="20"/>
                      </w:rPr>
                      <w:t>ehabilitation</w:t>
                    </w:r>
                  </w:p>
                </w:txbxContent>
              </v:textbox>
              <w10:wrap anchorx="page" anchory="page"/>
            </v:shape>
          </w:pict>
        </mc:Fallback>
      </mc:AlternateContent>
    </w: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575FDF2" w14:textId="4D698178" w:rsidR="008601E5" w:rsidRDefault="008601E5">
    <w:pPr>
      <w:spacing w:line="14" w:lineRule="auto"/>
      <w:rPr>
        <w:sz w:val="20"/>
        <w:szCs w:val="20"/>
      </w:rPr>
    </w:pPr>
    <w:r>
      <w:rPr>
        <w:noProof/>
      </w:rPr>
      <mc:AlternateContent>
        <mc:Choice Requires="wps">
          <w:drawing>
            <wp:anchor distT="0" distB="0" distL="114300" distR="114300" simplePos="0" relativeHeight="251658282" behindDoc="1" locked="0" layoutInCell="1" allowOverlap="1" wp14:anchorId="14168ED3" wp14:editId="669DC3B2">
              <wp:simplePos x="0" y="0"/>
              <wp:positionH relativeFrom="page">
                <wp:posOffset>6871335</wp:posOffset>
              </wp:positionH>
              <wp:positionV relativeFrom="page">
                <wp:posOffset>9555480</wp:posOffset>
              </wp:positionV>
              <wp:extent cx="274320" cy="177800"/>
              <wp:effectExtent l="0" t="0" r="0" b="0"/>
              <wp:wrapNone/>
              <wp:docPr id="272" name="Text Box 2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90EF2E" w14:textId="77777777" w:rsidR="008601E5" w:rsidRDefault="008601E5">
                          <w:pPr>
                            <w:spacing w:line="267" w:lineRule="exact"/>
                            <w:ind w:left="20"/>
                            <w:rPr>
                              <w:rFonts w:ascii="Calibri" w:hAnsi="Calibri" w:cs="Calibri"/>
                              <w:sz w:val="24"/>
                              <w:szCs w:val="24"/>
                            </w:rPr>
                          </w:pPr>
                          <w:r>
                            <w:rPr>
                              <w:rFonts w:ascii="Calibri"/>
                              <w:b/>
                              <w:color w:val="231F20"/>
                              <w:w w:val="107"/>
                              <w:sz w:val="24"/>
                            </w:rPr>
                            <w:t>210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4168ED3" id="_x0000_t202" coordsize="21600,21600" o:spt="202" path="m,l,21600r21600,l21600,xe">
              <v:stroke joinstyle="miter"/>
              <v:path gradientshapeok="t" o:connecttype="rect"/>
            </v:shapetype>
            <v:shape id="Text Box 272" o:spid="_x0000_s1073" type="#_x0000_t202" style="position:absolute;margin-left:541.05pt;margin-top:752.4pt;width:21.6pt;height:14pt;z-index:-25165819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" filled="f" stroked="f">
              <v:textbox inset="0,0,0,0">
                <w:txbxContent>
                  <w:p w14:paraId="4D90EF2E" w14:textId="77777777" w:rsidR="008601E5" w:rsidRDefault="008601E5">
                    <w:pPr>
                      <w:spacing w:line="267" w:lineRule="exact"/>
                      <w:ind w:left="20"/>
                      <w:rPr>
                        <w:rFonts w:ascii="Calibri" w:hAnsi="Calibri" w:cs="Calibri"/>
                        <w:sz w:val="24"/>
                        <w:szCs w:val="24"/>
                      </w:rPr>
                    </w:pPr>
                    <w:r>
                      <w:rPr>
                        <w:rFonts w:ascii="Calibri"/>
                        <w:b/>
                        <w:color w:val="231F20"/>
                        <w:w w:val="107"/>
                        <w:sz w:val="24"/>
                      </w:rPr>
                      <w:t>210</w:t>
                    </w:r>
                  </w:p>
                </w:txbxContent>
              </v:textbox>
              <w10:wrap anchorx="page" anchory="page"/>
            </v:shape>
          </w:pict>
        </mc:Fallback>
      </mc:AlternateContent>
    </w:r>
    <w:r>
      <w:rPr>
        <w:noProof/>
      </w:rPr>
      <mc:AlternateContent>
        <mc:Choice Requires="wps">
          <w:drawing>
            <wp:anchor distT="0" distB="0" distL="114300" distR="114300" simplePos="0" relativeHeight="251658283" behindDoc="1" locked="0" layoutInCell="1" allowOverlap="1" wp14:anchorId="4072025A" wp14:editId="3CF6FA02">
              <wp:simplePos x="0" y="0"/>
              <wp:positionH relativeFrom="page">
                <wp:posOffset>781050</wp:posOffset>
              </wp:positionH>
              <wp:positionV relativeFrom="page">
                <wp:posOffset>9559925</wp:posOffset>
              </wp:positionV>
              <wp:extent cx="5031105" cy="153035"/>
              <wp:effectExtent l="0" t="0" r="0" b="0"/>
              <wp:wrapNone/>
              <wp:docPr id="271" name="Text Box 2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31105" cy="1530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AFB7B2" w14:textId="77777777" w:rsidR="008601E5" w:rsidRDefault="008601E5">
                          <w:pPr>
                            <w:spacing w:line="227" w:lineRule="exact"/>
                            <w:ind w:left="20"/>
                            <w:rPr>
                              <w:rFonts w:ascii="Arial" w:hAnsi="Arial" w:cs="Arial"/>
                              <w:sz w:val="20"/>
                              <w:szCs w:val="20"/>
                            </w:rPr>
                          </w:pPr>
                          <w:r>
                            <w:rPr>
                              <w:rFonts w:ascii="Calibri" w:hAnsi="Calibri" w:cs="Calibri"/>
                              <w:b/>
                              <w:bCs/>
                              <w:color w:val="231F20"/>
                              <w:w w:val="109"/>
                              <w:sz w:val="20"/>
                              <w:szCs w:val="20"/>
                            </w:rPr>
                            <w:t>Section</w:t>
                          </w:r>
                          <w:r>
                            <w:rPr>
                              <w:rFonts w:ascii="Calibri" w:hAnsi="Calibri" w:cs="Calibri"/>
                              <w:b/>
                              <w:bCs/>
                              <w:color w:val="231F20"/>
                              <w:spacing w:val="6"/>
                              <w:sz w:val="20"/>
                              <w:szCs w:val="20"/>
                            </w:rPr>
                            <w:t xml:space="preserve"> </w:t>
                          </w:r>
                          <w:r>
                            <w:rPr>
                              <w:rFonts w:ascii="Calibri" w:hAnsi="Calibri" w:cs="Calibri"/>
                              <w:b/>
                              <w:bCs/>
                              <w:color w:val="231F20"/>
                              <w:w w:val="107"/>
                              <w:sz w:val="20"/>
                              <w:szCs w:val="20"/>
                            </w:rPr>
                            <w:t>IX.</w:t>
                          </w:r>
                          <w:r>
                            <w:rPr>
                              <w:rFonts w:ascii="Calibri" w:hAnsi="Calibri" w:cs="Calibri"/>
                              <w:b/>
                              <w:bCs/>
                              <w:color w:val="231F20"/>
                              <w:spacing w:val="6"/>
                              <w:sz w:val="20"/>
                              <w:szCs w:val="20"/>
                            </w:rPr>
                            <w:t xml:space="preserve"> </w:t>
                          </w:r>
                          <w:r>
                            <w:rPr>
                              <w:rFonts w:ascii="Calibri" w:hAnsi="Calibri" w:cs="Calibri"/>
                              <w:b/>
                              <w:bCs/>
                              <w:color w:val="231F20"/>
                              <w:w w:val="108"/>
                              <w:sz w:val="20"/>
                              <w:szCs w:val="20"/>
                            </w:rPr>
                            <w:t>Program-Specific</w:t>
                          </w:r>
                          <w:r>
                            <w:rPr>
                              <w:rFonts w:ascii="Calibri" w:hAnsi="Calibri" w:cs="Calibri"/>
                              <w:b/>
                              <w:bCs/>
                              <w:color w:val="231F20"/>
                              <w:spacing w:val="6"/>
                              <w:sz w:val="20"/>
                              <w:szCs w:val="20"/>
                            </w:rPr>
                            <w:t xml:space="preserve"> </w:t>
                          </w:r>
                          <w:r>
                            <w:rPr>
                              <w:rFonts w:ascii="Calibri" w:hAnsi="Calibri" w:cs="Calibri"/>
                              <w:b/>
                              <w:bCs/>
                              <w:color w:val="231F20"/>
                              <w:spacing w:val="-7"/>
                              <w:w w:val="111"/>
                              <w:sz w:val="20"/>
                              <w:szCs w:val="20"/>
                            </w:rPr>
                            <w:t>R</w:t>
                          </w:r>
                          <w:r>
                            <w:rPr>
                              <w:rFonts w:ascii="Calibri" w:hAnsi="Calibri" w:cs="Calibri"/>
                              <w:b/>
                              <w:bCs/>
                              <w:color w:val="231F20"/>
                              <w:w w:val="105"/>
                              <w:sz w:val="20"/>
                              <w:szCs w:val="20"/>
                            </w:rPr>
                            <w:t>equirements</w:t>
                          </w:r>
                          <w:r>
                            <w:rPr>
                              <w:rFonts w:ascii="Calibri" w:hAnsi="Calibri" w:cs="Calibri"/>
                              <w:b/>
                              <w:bCs/>
                              <w:color w:val="231F20"/>
                              <w:spacing w:val="6"/>
                              <w:sz w:val="20"/>
                              <w:szCs w:val="20"/>
                            </w:rPr>
                            <w:t xml:space="preserve"> </w:t>
                          </w:r>
                          <w:r>
                            <w:rPr>
                              <w:rFonts w:ascii="Calibri" w:hAnsi="Calibri" w:cs="Calibri"/>
                              <w:b/>
                              <w:bCs/>
                              <w:color w:val="231F20"/>
                              <w:w w:val="101"/>
                              <w:sz w:val="20"/>
                              <w:szCs w:val="20"/>
                            </w:rPr>
                            <w:t>for</w:t>
                          </w:r>
                          <w:r>
                            <w:rPr>
                              <w:rFonts w:ascii="Calibri" w:hAnsi="Calibri" w:cs="Calibri"/>
                              <w:b/>
                              <w:bCs/>
                              <w:color w:val="231F20"/>
                              <w:spacing w:val="6"/>
                              <w:sz w:val="20"/>
                              <w:szCs w:val="20"/>
                            </w:rPr>
                            <w:t xml:space="preserve"> </w:t>
                          </w:r>
                          <w:r>
                            <w:rPr>
                              <w:rFonts w:ascii="Calibri" w:hAnsi="Calibri" w:cs="Calibri"/>
                              <w:b/>
                              <w:bCs/>
                              <w:color w:val="231F20"/>
                              <w:w w:val="112"/>
                              <w:sz w:val="20"/>
                              <w:szCs w:val="20"/>
                            </w:rPr>
                            <w:t>Core</w:t>
                          </w:r>
                          <w:r>
                            <w:rPr>
                              <w:rFonts w:ascii="Calibri" w:hAnsi="Calibri" w:cs="Calibri"/>
                              <w:b/>
                              <w:bCs/>
                              <w:color w:val="231F20"/>
                              <w:spacing w:val="6"/>
                              <w:sz w:val="20"/>
                              <w:szCs w:val="20"/>
                            </w:rPr>
                            <w:t xml:space="preserve"> </w:t>
                          </w:r>
                          <w:r>
                            <w:rPr>
                              <w:rFonts w:ascii="Calibri" w:hAnsi="Calibri" w:cs="Calibri"/>
                              <w:b/>
                              <w:bCs/>
                              <w:color w:val="231F20"/>
                              <w:w w:val="109"/>
                              <w:sz w:val="20"/>
                              <w:szCs w:val="20"/>
                            </w:rPr>
                            <w:t>Programs</w:t>
                          </w:r>
                          <w:r>
                            <w:rPr>
                              <w:rFonts w:ascii="Calibri" w:hAnsi="Calibri" w:cs="Calibri"/>
                              <w:b/>
                              <w:bCs/>
                              <w:color w:val="231F20"/>
                              <w:spacing w:val="-1"/>
                              <w:w w:val="109"/>
                              <w:sz w:val="20"/>
                              <w:szCs w:val="20"/>
                            </w:rPr>
                            <w:t>–</w:t>
                          </w:r>
                          <w:r>
                            <w:rPr>
                              <w:rFonts w:ascii="Arial" w:hAnsi="Arial" w:cs="Arial"/>
                              <w:b/>
                              <w:bCs/>
                              <w:i/>
                              <w:color w:val="231F20"/>
                              <w:spacing w:val="-12"/>
                              <w:sz w:val="20"/>
                              <w:szCs w:val="20"/>
                            </w:rPr>
                            <w:t>V</w:t>
                          </w:r>
                          <w:r>
                            <w:rPr>
                              <w:rFonts w:ascii="Arial" w:hAnsi="Arial" w:cs="Arial"/>
                              <w:b/>
                              <w:bCs/>
                              <w:i/>
                              <w:color w:val="231F20"/>
                              <w:w w:val="95"/>
                              <w:sz w:val="20"/>
                              <w:szCs w:val="20"/>
                            </w:rPr>
                            <w:t>ocational</w:t>
                          </w:r>
                          <w:r>
                            <w:rPr>
                              <w:rFonts w:ascii="Arial" w:hAnsi="Arial" w:cs="Arial"/>
                              <w:b/>
                              <w:bCs/>
                              <w:i/>
                              <w:color w:val="231F20"/>
                              <w:spacing w:val="-5"/>
                              <w:sz w:val="20"/>
                              <w:szCs w:val="20"/>
                            </w:rPr>
                            <w:t xml:space="preserve"> </w:t>
                          </w:r>
                          <w:r>
                            <w:rPr>
                              <w:rFonts w:ascii="Arial" w:hAnsi="Arial" w:cs="Arial"/>
                              <w:b/>
                              <w:bCs/>
                              <w:i/>
                              <w:color w:val="231F20"/>
                              <w:spacing w:val="-6"/>
                              <w:w w:val="86"/>
                              <w:sz w:val="20"/>
                              <w:szCs w:val="20"/>
                            </w:rPr>
                            <w:t>R</w:t>
                          </w:r>
                          <w:r>
                            <w:rPr>
                              <w:rFonts w:ascii="Arial" w:hAnsi="Arial" w:cs="Arial"/>
                              <w:b/>
                              <w:bCs/>
                              <w:i/>
                              <w:color w:val="231F20"/>
                              <w:w w:val="95"/>
                              <w:sz w:val="20"/>
                              <w:szCs w:val="20"/>
                            </w:rPr>
                            <w:t>ehabilitation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072025A" id="Text Box 271" o:spid="_x0000_s1074" type="#_x0000_t202" style="position:absolute;margin-left:61.5pt;margin-top:752.75pt;width:396.15pt;height:12.05pt;z-index:-25165819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" filled="f" stroked="f">
              <v:textbox inset="0,0,0,0">
                <w:txbxContent>
                  <w:p w14:paraId="15AFB7B2" w14:textId="77777777" w:rsidR="008601E5" w:rsidRDefault="008601E5">
                    <w:pPr>
                      <w:spacing w:line="227" w:lineRule="exact"/>
                      <w:ind w:left="20"/>
                      <w:rPr>
                        <w:rFonts w:ascii="Arial" w:hAnsi="Arial" w:cs="Arial"/>
                        <w:sz w:val="20"/>
                        <w:szCs w:val="20"/>
                      </w:rPr>
                    </w:pPr>
                    <w:r>
                      <w:rPr>
                        <w:rFonts w:ascii="Calibri" w:hAnsi="Calibri" w:cs="Calibri"/>
                        <w:b/>
                        <w:bCs/>
                        <w:color w:val="231F20"/>
                        <w:w w:val="109"/>
                        <w:sz w:val="20"/>
                        <w:szCs w:val="20"/>
                      </w:rPr>
                      <w:t>Section</w:t>
                    </w:r>
                    <w:r>
                      <w:rPr>
                        <w:rFonts w:ascii="Calibri" w:hAnsi="Calibri" w:cs="Calibri"/>
                        <w:b/>
                        <w:bCs/>
                        <w:color w:val="231F20"/>
                        <w:spacing w:val="6"/>
                        <w:sz w:val="20"/>
                        <w:szCs w:val="20"/>
                      </w:rPr>
                      <w:t xml:space="preserve"> </w:t>
                    </w:r>
                    <w:r>
                      <w:rPr>
                        <w:rFonts w:ascii="Calibri" w:hAnsi="Calibri" w:cs="Calibri"/>
                        <w:b/>
                        <w:bCs/>
                        <w:color w:val="231F20"/>
                        <w:w w:val="107"/>
                        <w:sz w:val="20"/>
                        <w:szCs w:val="20"/>
                      </w:rPr>
                      <w:t>IX.</w:t>
                    </w:r>
                    <w:r>
                      <w:rPr>
                        <w:rFonts w:ascii="Calibri" w:hAnsi="Calibri" w:cs="Calibri"/>
                        <w:b/>
                        <w:bCs/>
                        <w:color w:val="231F20"/>
                        <w:spacing w:val="6"/>
                        <w:sz w:val="20"/>
                        <w:szCs w:val="20"/>
                      </w:rPr>
                      <w:t xml:space="preserve"> </w:t>
                    </w:r>
                    <w:r>
                      <w:rPr>
                        <w:rFonts w:ascii="Calibri" w:hAnsi="Calibri" w:cs="Calibri"/>
                        <w:b/>
                        <w:bCs/>
                        <w:color w:val="231F20"/>
                        <w:w w:val="108"/>
                        <w:sz w:val="20"/>
                        <w:szCs w:val="20"/>
                      </w:rPr>
                      <w:t>Program-Specific</w:t>
                    </w:r>
                    <w:r>
                      <w:rPr>
                        <w:rFonts w:ascii="Calibri" w:hAnsi="Calibri" w:cs="Calibri"/>
                        <w:b/>
                        <w:bCs/>
                        <w:color w:val="231F20"/>
                        <w:spacing w:val="6"/>
                        <w:sz w:val="20"/>
                        <w:szCs w:val="20"/>
                      </w:rPr>
                      <w:t xml:space="preserve"> </w:t>
                    </w:r>
                    <w:r>
                      <w:rPr>
                        <w:rFonts w:ascii="Calibri" w:hAnsi="Calibri" w:cs="Calibri"/>
                        <w:b/>
                        <w:bCs/>
                        <w:color w:val="231F20"/>
                        <w:spacing w:val="-7"/>
                        <w:w w:val="111"/>
                        <w:sz w:val="20"/>
                        <w:szCs w:val="20"/>
                      </w:rPr>
                      <w:t>R</w:t>
                    </w:r>
                    <w:r>
                      <w:rPr>
                        <w:rFonts w:ascii="Calibri" w:hAnsi="Calibri" w:cs="Calibri"/>
                        <w:b/>
                        <w:bCs/>
                        <w:color w:val="231F20"/>
                        <w:w w:val="105"/>
                        <w:sz w:val="20"/>
                        <w:szCs w:val="20"/>
                      </w:rPr>
                      <w:t>equirements</w:t>
                    </w:r>
                    <w:r>
                      <w:rPr>
                        <w:rFonts w:ascii="Calibri" w:hAnsi="Calibri" w:cs="Calibri"/>
                        <w:b/>
                        <w:bCs/>
                        <w:color w:val="231F20"/>
                        <w:spacing w:val="6"/>
                        <w:sz w:val="20"/>
                        <w:szCs w:val="20"/>
                      </w:rPr>
                      <w:t xml:space="preserve"> </w:t>
                    </w:r>
                    <w:r>
                      <w:rPr>
                        <w:rFonts w:ascii="Calibri" w:hAnsi="Calibri" w:cs="Calibri"/>
                        <w:b/>
                        <w:bCs/>
                        <w:color w:val="231F20"/>
                        <w:w w:val="101"/>
                        <w:sz w:val="20"/>
                        <w:szCs w:val="20"/>
                      </w:rPr>
                      <w:t>for</w:t>
                    </w:r>
                    <w:r>
                      <w:rPr>
                        <w:rFonts w:ascii="Calibri" w:hAnsi="Calibri" w:cs="Calibri"/>
                        <w:b/>
                        <w:bCs/>
                        <w:color w:val="231F20"/>
                        <w:spacing w:val="6"/>
                        <w:sz w:val="20"/>
                        <w:szCs w:val="20"/>
                      </w:rPr>
                      <w:t xml:space="preserve"> </w:t>
                    </w:r>
                    <w:r>
                      <w:rPr>
                        <w:rFonts w:ascii="Calibri" w:hAnsi="Calibri" w:cs="Calibri"/>
                        <w:b/>
                        <w:bCs/>
                        <w:color w:val="231F20"/>
                        <w:w w:val="112"/>
                        <w:sz w:val="20"/>
                        <w:szCs w:val="20"/>
                      </w:rPr>
                      <w:t>Core</w:t>
                    </w:r>
                    <w:r>
                      <w:rPr>
                        <w:rFonts w:ascii="Calibri" w:hAnsi="Calibri" w:cs="Calibri"/>
                        <w:b/>
                        <w:bCs/>
                        <w:color w:val="231F20"/>
                        <w:spacing w:val="6"/>
                        <w:sz w:val="20"/>
                        <w:szCs w:val="20"/>
                      </w:rPr>
                      <w:t xml:space="preserve"> </w:t>
                    </w:r>
                    <w:r>
                      <w:rPr>
                        <w:rFonts w:ascii="Calibri" w:hAnsi="Calibri" w:cs="Calibri"/>
                        <w:b/>
                        <w:bCs/>
                        <w:color w:val="231F20"/>
                        <w:w w:val="109"/>
                        <w:sz w:val="20"/>
                        <w:szCs w:val="20"/>
                      </w:rPr>
                      <w:t>Programs</w:t>
                    </w:r>
                    <w:r>
                      <w:rPr>
                        <w:rFonts w:ascii="Calibri" w:hAnsi="Calibri" w:cs="Calibri"/>
                        <w:b/>
                        <w:bCs/>
                        <w:color w:val="231F20"/>
                        <w:spacing w:val="-1"/>
                        <w:w w:val="109"/>
                        <w:sz w:val="20"/>
                        <w:szCs w:val="20"/>
                      </w:rPr>
                      <w:t>–</w:t>
                    </w:r>
                    <w:r>
                      <w:rPr>
                        <w:rFonts w:ascii="Arial" w:hAnsi="Arial" w:cs="Arial"/>
                        <w:b/>
                        <w:bCs/>
                        <w:i/>
                        <w:color w:val="231F20"/>
                        <w:spacing w:val="-12"/>
                        <w:sz w:val="20"/>
                        <w:szCs w:val="20"/>
                      </w:rPr>
                      <w:t>V</w:t>
                    </w:r>
                    <w:r>
                      <w:rPr>
                        <w:rFonts w:ascii="Arial" w:hAnsi="Arial" w:cs="Arial"/>
                        <w:b/>
                        <w:bCs/>
                        <w:i/>
                        <w:color w:val="231F20"/>
                        <w:w w:val="95"/>
                        <w:sz w:val="20"/>
                        <w:szCs w:val="20"/>
                      </w:rPr>
                      <w:t>ocational</w:t>
                    </w:r>
                    <w:r>
                      <w:rPr>
                        <w:rFonts w:ascii="Arial" w:hAnsi="Arial" w:cs="Arial"/>
                        <w:b/>
                        <w:bCs/>
                        <w:i/>
                        <w:color w:val="231F20"/>
                        <w:spacing w:val="-5"/>
                        <w:sz w:val="20"/>
                        <w:szCs w:val="20"/>
                      </w:rPr>
                      <w:t xml:space="preserve"> </w:t>
                    </w:r>
                    <w:r>
                      <w:rPr>
                        <w:rFonts w:ascii="Arial" w:hAnsi="Arial" w:cs="Arial"/>
                        <w:b/>
                        <w:bCs/>
                        <w:i/>
                        <w:color w:val="231F20"/>
                        <w:spacing w:val="-6"/>
                        <w:w w:val="86"/>
                        <w:sz w:val="20"/>
                        <w:szCs w:val="20"/>
                      </w:rPr>
                      <w:t>R</w:t>
                    </w:r>
                    <w:r>
                      <w:rPr>
                        <w:rFonts w:ascii="Arial" w:hAnsi="Arial" w:cs="Arial"/>
                        <w:b/>
                        <w:bCs/>
                        <w:i/>
                        <w:color w:val="231F20"/>
                        <w:w w:val="95"/>
                        <w:sz w:val="20"/>
                        <w:szCs w:val="20"/>
                      </w:rPr>
                      <w:t>ehabilitation</w:t>
                    </w:r>
                  </w:p>
                </w:txbxContent>
              </v:textbox>
              <w10:wrap anchorx="page" anchory="page"/>
            </v:shape>
          </w:pict>
        </mc:Fallback>
      </mc:AlternateContent>
    </w: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ED5CAA0" w14:textId="570E194F" w:rsidR="008601E5" w:rsidRDefault="008601E5">
    <w:pPr>
      <w:spacing w:line="14" w:lineRule="auto"/>
      <w:rPr>
        <w:sz w:val="20"/>
        <w:szCs w:val="20"/>
      </w:rPr>
    </w:pPr>
    <w:r>
      <w:rPr>
        <w:noProof/>
      </w:rPr>
      <mc:AlternateContent>
        <mc:Choice Requires="wps">
          <w:drawing>
            <wp:anchor distT="0" distB="0" distL="114300" distR="114300" simplePos="0" relativeHeight="251658284" behindDoc="1" locked="0" layoutInCell="1" allowOverlap="1" wp14:anchorId="70D11E65" wp14:editId="5B368EB8">
              <wp:simplePos x="0" y="0"/>
              <wp:positionH relativeFrom="page">
                <wp:posOffset>6861175</wp:posOffset>
              </wp:positionH>
              <wp:positionV relativeFrom="page">
                <wp:posOffset>9555480</wp:posOffset>
              </wp:positionV>
              <wp:extent cx="296545" cy="177800"/>
              <wp:effectExtent l="0" t="0" r="0" b="0"/>
              <wp:wrapNone/>
              <wp:docPr id="270" name="Text Box 2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6545"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947960C" w14:textId="3F6A28CA" w:rsidR="008601E5" w:rsidRDefault="008601E5">
                          <w:pPr>
                            <w:spacing w:line="267" w:lineRule="exact"/>
                            <w:ind w:left="40"/>
                            <w:rPr>
                              <w:rFonts w:ascii="Calibri" w:hAnsi="Calibri" w:cs="Calibri"/>
                              <w:sz w:val="24"/>
                              <w:szCs w:val="24"/>
                            </w:rPr>
                          </w:pPr>
                          <w:r>
                            <w:rPr>
                              <w:rFonts w:ascii="Calibri"/>
                              <w:b/>
                              <w:color w:val="231F20"/>
                              <w:w w:val="105"/>
                              <w:sz w:val="24"/>
                            </w:rPr>
                            <w:fldChar w:fldCharType="begin"/>
                          </w:r>
                          <w:r>
                            <w:rPr>
                              <w:rFonts w:ascii="Calibri"/>
                              <w:b/>
                              <w:color w:val="231F20"/>
                              <w:w w:val="105"/>
                              <w:sz w:val="24"/>
                            </w:rPr>
                            <w:instrText xml:space="preserve"> PAGE </w:instrText>
                          </w:r>
                          <w:r>
                            <w:rPr>
                              <w:rFonts w:ascii="Calibri"/>
                              <w:b/>
                              <w:color w:val="231F20"/>
                              <w:w w:val="105"/>
                              <w:sz w:val="24"/>
                            </w:rPr>
                            <w:fldChar w:fldCharType="separate"/>
                          </w:r>
                          <w:r w:rsidR="00BC1D20">
                            <w:rPr>
                              <w:rFonts w:ascii="Calibri"/>
                              <w:b/>
                              <w:noProof/>
                              <w:color w:val="231F20"/>
                              <w:w w:val="105"/>
                              <w:sz w:val="24"/>
                            </w:rPr>
                            <w:t>213</w:t>
                          </w:r>
                          <w:r>
                            <w:rPr>
                              <w:rFonts w:ascii="Calibri"/>
                              <w:b/>
                              <w:color w:val="231F20"/>
                              <w:w w:val="105"/>
                              <w:sz w:val="24"/>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0D11E65" id="_x0000_t202" coordsize="21600,21600" o:spt="202" path="m,l,21600r21600,l21600,xe">
              <v:stroke joinstyle="miter"/>
              <v:path gradientshapeok="t" o:connecttype="rect"/>
            </v:shapetype>
            <v:shape id="Text Box 270" o:spid="_x0000_s1075" type="#_x0000_t202" style="position:absolute;margin-left:540.25pt;margin-top:752.4pt;width:23.35pt;height:14pt;z-index:-2516581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" filled="f" stroked="f">
              <v:textbox inset="0,0,0,0">
                <w:txbxContent>
                  <w:p w14:paraId="1947960C" w14:textId="3F6A28CA" w:rsidR="008601E5" w:rsidRDefault="008601E5">
                    <w:pPr>
                      <w:spacing w:line="267" w:lineRule="exact"/>
                      <w:ind w:left="40"/>
                      <w:rPr>
                        <w:rFonts w:ascii="Calibri" w:hAnsi="Calibri" w:cs="Calibri"/>
                        <w:sz w:val="24"/>
                        <w:szCs w:val="24"/>
                      </w:rPr>
                    </w:pPr>
                    <w:r>
                      <w:rPr>
                        <w:rFonts w:ascii="Calibri"/>
                        <w:b/>
                        <w:color w:val="231F20"/>
                        <w:w w:val="105"/>
                        <w:sz w:val="24"/>
                      </w:rPr>
                      <w:fldChar w:fldCharType="begin"/>
                    </w:r>
                    <w:r>
                      <w:rPr>
                        <w:rFonts w:ascii="Calibri"/>
                        <w:b/>
                        <w:color w:val="231F20"/>
                        <w:w w:val="105"/>
                        <w:sz w:val="24"/>
                      </w:rPr>
                      <w:instrText xml:space="preserve"> PAGE </w:instrText>
                    </w:r>
                    <w:r>
                      <w:rPr>
                        <w:rFonts w:ascii="Calibri"/>
                        <w:b/>
                        <w:color w:val="231F20"/>
                        <w:w w:val="105"/>
                        <w:sz w:val="24"/>
                      </w:rPr>
                      <w:fldChar w:fldCharType="separate"/>
                    </w:r>
                    <w:r w:rsidR="00BC1D20">
                      <w:rPr>
                        <w:rFonts w:ascii="Calibri"/>
                        <w:b/>
                        <w:noProof/>
                        <w:color w:val="231F20"/>
                        <w:w w:val="105"/>
                        <w:sz w:val="24"/>
                      </w:rPr>
                      <w:t>213</w:t>
                    </w:r>
                    <w:r>
                      <w:rPr>
                        <w:rFonts w:ascii="Calibri"/>
                        <w:b/>
                        <w:color w:val="231F20"/>
                        <w:w w:val="105"/>
                        <w:sz w:val="24"/>
                      </w:rPr>
                      <w:fldChar w:fldCharType="end"/>
                    </w:r>
                  </w:p>
                </w:txbxContent>
              </v:textbox>
              <w10:wrap anchorx="page" anchory="page"/>
            </v:shape>
          </w:pict>
        </mc:Fallback>
      </mc:AlternateContent>
    </w:r>
    <w:r>
      <w:rPr>
        <w:noProof/>
      </w:rPr>
      <mc:AlternateContent>
        <mc:Choice Requires="wps">
          <w:drawing>
            <wp:anchor distT="0" distB="0" distL="114300" distR="114300" simplePos="0" relativeHeight="251658285" behindDoc="1" locked="0" layoutInCell="1" allowOverlap="1" wp14:anchorId="2187F185" wp14:editId="5CA2E82D">
              <wp:simplePos x="0" y="0"/>
              <wp:positionH relativeFrom="page">
                <wp:posOffset>781050</wp:posOffset>
              </wp:positionH>
              <wp:positionV relativeFrom="page">
                <wp:posOffset>9559925</wp:posOffset>
              </wp:positionV>
              <wp:extent cx="5031105" cy="153035"/>
              <wp:effectExtent l="0" t="0" r="0" b="0"/>
              <wp:wrapNone/>
              <wp:docPr id="269" name="Text Box 2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31105" cy="1530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4029C1" w14:textId="77777777" w:rsidR="008601E5" w:rsidRDefault="008601E5">
                          <w:pPr>
                            <w:spacing w:line="227" w:lineRule="exact"/>
                            <w:ind w:left="20"/>
                            <w:rPr>
                              <w:rFonts w:ascii="Arial" w:hAnsi="Arial" w:cs="Arial"/>
                              <w:sz w:val="20"/>
                              <w:szCs w:val="20"/>
                            </w:rPr>
                          </w:pPr>
                          <w:r>
                            <w:rPr>
                              <w:rFonts w:ascii="Calibri" w:hAnsi="Calibri" w:cs="Calibri"/>
                              <w:b/>
                              <w:bCs/>
                              <w:color w:val="231F20"/>
                              <w:w w:val="109"/>
                              <w:sz w:val="20"/>
                              <w:szCs w:val="20"/>
                            </w:rPr>
                            <w:t>Section</w:t>
                          </w:r>
                          <w:r>
                            <w:rPr>
                              <w:rFonts w:ascii="Calibri" w:hAnsi="Calibri" w:cs="Calibri"/>
                              <w:b/>
                              <w:bCs/>
                              <w:color w:val="231F20"/>
                              <w:spacing w:val="6"/>
                              <w:sz w:val="20"/>
                              <w:szCs w:val="20"/>
                            </w:rPr>
                            <w:t xml:space="preserve"> </w:t>
                          </w:r>
                          <w:r>
                            <w:rPr>
                              <w:rFonts w:ascii="Calibri" w:hAnsi="Calibri" w:cs="Calibri"/>
                              <w:b/>
                              <w:bCs/>
                              <w:color w:val="231F20"/>
                              <w:w w:val="107"/>
                              <w:sz w:val="20"/>
                              <w:szCs w:val="20"/>
                            </w:rPr>
                            <w:t>IX.</w:t>
                          </w:r>
                          <w:r>
                            <w:rPr>
                              <w:rFonts w:ascii="Calibri" w:hAnsi="Calibri" w:cs="Calibri"/>
                              <w:b/>
                              <w:bCs/>
                              <w:color w:val="231F20"/>
                              <w:spacing w:val="6"/>
                              <w:sz w:val="20"/>
                              <w:szCs w:val="20"/>
                            </w:rPr>
                            <w:t xml:space="preserve"> </w:t>
                          </w:r>
                          <w:r>
                            <w:rPr>
                              <w:rFonts w:ascii="Calibri" w:hAnsi="Calibri" w:cs="Calibri"/>
                              <w:b/>
                              <w:bCs/>
                              <w:color w:val="231F20"/>
                              <w:w w:val="108"/>
                              <w:sz w:val="20"/>
                              <w:szCs w:val="20"/>
                            </w:rPr>
                            <w:t>Program-Specific</w:t>
                          </w:r>
                          <w:r>
                            <w:rPr>
                              <w:rFonts w:ascii="Calibri" w:hAnsi="Calibri" w:cs="Calibri"/>
                              <w:b/>
                              <w:bCs/>
                              <w:color w:val="231F20"/>
                              <w:spacing w:val="6"/>
                              <w:sz w:val="20"/>
                              <w:szCs w:val="20"/>
                            </w:rPr>
                            <w:t xml:space="preserve"> </w:t>
                          </w:r>
                          <w:r>
                            <w:rPr>
                              <w:rFonts w:ascii="Calibri" w:hAnsi="Calibri" w:cs="Calibri"/>
                              <w:b/>
                              <w:bCs/>
                              <w:color w:val="231F20"/>
                              <w:spacing w:val="-7"/>
                              <w:w w:val="111"/>
                              <w:sz w:val="20"/>
                              <w:szCs w:val="20"/>
                            </w:rPr>
                            <w:t>R</w:t>
                          </w:r>
                          <w:r>
                            <w:rPr>
                              <w:rFonts w:ascii="Calibri" w:hAnsi="Calibri" w:cs="Calibri"/>
                              <w:b/>
                              <w:bCs/>
                              <w:color w:val="231F20"/>
                              <w:w w:val="105"/>
                              <w:sz w:val="20"/>
                              <w:szCs w:val="20"/>
                            </w:rPr>
                            <w:t>equirements</w:t>
                          </w:r>
                          <w:r>
                            <w:rPr>
                              <w:rFonts w:ascii="Calibri" w:hAnsi="Calibri" w:cs="Calibri"/>
                              <w:b/>
                              <w:bCs/>
                              <w:color w:val="231F20"/>
                              <w:spacing w:val="6"/>
                              <w:sz w:val="20"/>
                              <w:szCs w:val="20"/>
                            </w:rPr>
                            <w:t xml:space="preserve"> </w:t>
                          </w:r>
                          <w:r>
                            <w:rPr>
                              <w:rFonts w:ascii="Calibri" w:hAnsi="Calibri" w:cs="Calibri"/>
                              <w:b/>
                              <w:bCs/>
                              <w:color w:val="231F20"/>
                              <w:w w:val="101"/>
                              <w:sz w:val="20"/>
                              <w:szCs w:val="20"/>
                            </w:rPr>
                            <w:t>for</w:t>
                          </w:r>
                          <w:r>
                            <w:rPr>
                              <w:rFonts w:ascii="Calibri" w:hAnsi="Calibri" w:cs="Calibri"/>
                              <w:b/>
                              <w:bCs/>
                              <w:color w:val="231F20"/>
                              <w:spacing w:val="6"/>
                              <w:sz w:val="20"/>
                              <w:szCs w:val="20"/>
                            </w:rPr>
                            <w:t xml:space="preserve"> </w:t>
                          </w:r>
                          <w:r>
                            <w:rPr>
                              <w:rFonts w:ascii="Calibri" w:hAnsi="Calibri" w:cs="Calibri"/>
                              <w:b/>
                              <w:bCs/>
                              <w:color w:val="231F20"/>
                              <w:w w:val="112"/>
                              <w:sz w:val="20"/>
                              <w:szCs w:val="20"/>
                            </w:rPr>
                            <w:t>Core</w:t>
                          </w:r>
                          <w:r>
                            <w:rPr>
                              <w:rFonts w:ascii="Calibri" w:hAnsi="Calibri" w:cs="Calibri"/>
                              <w:b/>
                              <w:bCs/>
                              <w:color w:val="231F20"/>
                              <w:spacing w:val="6"/>
                              <w:sz w:val="20"/>
                              <w:szCs w:val="20"/>
                            </w:rPr>
                            <w:t xml:space="preserve"> </w:t>
                          </w:r>
                          <w:r>
                            <w:rPr>
                              <w:rFonts w:ascii="Calibri" w:hAnsi="Calibri" w:cs="Calibri"/>
                              <w:b/>
                              <w:bCs/>
                              <w:color w:val="231F20"/>
                              <w:w w:val="109"/>
                              <w:sz w:val="20"/>
                              <w:szCs w:val="20"/>
                            </w:rPr>
                            <w:t>Programs</w:t>
                          </w:r>
                          <w:r>
                            <w:rPr>
                              <w:rFonts w:ascii="Calibri" w:hAnsi="Calibri" w:cs="Calibri"/>
                              <w:b/>
                              <w:bCs/>
                              <w:color w:val="231F20"/>
                              <w:spacing w:val="-1"/>
                              <w:w w:val="109"/>
                              <w:sz w:val="20"/>
                              <w:szCs w:val="20"/>
                            </w:rPr>
                            <w:t>–</w:t>
                          </w:r>
                          <w:r>
                            <w:rPr>
                              <w:rFonts w:ascii="Arial" w:hAnsi="Arial" w:cs="Arial"/>
                              <w:b/>
                              <w:bCs/>
                              <w:i/>
                              <w:color w:val="231F20"/>
                              <w:spacing w:val="-12"/>
                              <w:sz w:val="20"/>
                              <w:szCs w:val="20"/>
                            </w:rPr>
                            <w:t>V</w:t>
                          </w:r>
                          <w:r>
                            <w:rPr>
                              <w:rFonts w:ascii="Arial" w:hAnsi="Arial" w:cs="Arial"/>
                              <w:b/>
                              <w:bCs/>
                              <w:i/>
                              <w:color w:val="231F20"/>
                              <w:w w:val="95"/>
                              <w:sz w:val="20"/>
                              <w:szCs w:val="20"/>
                            </w:rPr>
                            <w:t>ocational</w:t>
                          </w:r>
                          <w:r>
                            <w:rPr>
                              <w:rFonts w:ascii="Arial" w:hAnsi="Arial" w:cs="Arial"/>
                              <w:b/>
                              <w:bCs/>
                              <w:i/>
                              <w:color w:val="231F20"/>
                              <w:spacing w:val="-5"/>
                              <w:sz w:val="20"/>
                              <w:szCs w:val="20"/>
                            </w:rPr>
                            <w:t xml:space="preserve"> </w:t>
                          </w:r>
                          <w:r>
                            <w:rPr>
                              <w:rFonts w:ascii="Arial" w:hAnsi="Arial" w:cs="Arial"/>
                              <w:b/>
                              <w:bCs/>
                              <w:i/>
                              <w:color w:val="231F20"/>
                              <w:spacing w:val="-6"/>
                              <w:w w:val="86"/>
                              <w:sz w:val="20"/>
                              <w:szCs w:val="20"/>
                            </w:rPr>
                            <w:t>R</w:t>
                          </w:r>
                          <w:r>
                            <w:rPr>
                              <w:rFonts w:ascii="Arial" w:hAnsi="Arial" w:cs="Arial"/>
                              <w:b/>
                              <w:bCs/>
                              <w:i/>
                              <w:color w:val="231F20"/>
                              <w:w w:val="95"/>
                              <w:sz w:val="20"/>
                              <w:szCs w:val="20"/>
                            </w:rPr>
                            <w:t>ehabilitation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87F185" id="Text Box 269" o:spid="_x0000_s1076" type="#_x0000_t202" style="position:absolute;margin-left:61.5pt;margin-top:752.75pt;width:396.15pt;height:12.05pt;z-index:-25165819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" filled="f" stroked="f">
              <v:textbox inset="0,0,0,0">
                <w:txbxContent>
                  <w:p w14:paraId="364029C1" w14:textId="77777777" w:rsidR="008601E5" w:rsidRDefault="008601E5">
                    <w:pPr>
                      <w:spacing w:line="227" w:lineRule="exact"/>
                      <w:ind w:left="20"/>
                      <w:rPr>
                        <w:rFonts w:ascii="Arial" w:hAnsi="Arial" w:cs="Arial"/>
                        <w:sz w:val="20"/>
                        <w:szCs w:val="20"/>
                      </w:rPr>
                    </w:pPr>
                    <w:r>
                      <w:rPr>
                        <w:rFonts w:ascii="Calibri" w:hAnsi="Calibri" w:cs="Calibri"/>
                        <w:b/>
                        <w:bCs/>
                        <w:color w:val="231F20"/>
                        <w:w w:val="109"/>
                        <w:sz w:val="20"/>
                        <w:szCs w:val="20"/>
                      </w:rPr>
                      <w:t>Section</w:t>
                    </w:r>
                    <w:r>
                      <w:rPr>
                        <w:rFonts w:ascii="Calibri" w:hAnsi="Calibri" w:cs="Calibri"/>
                        <w:b/>
                        <w:bCs/>
                        <w:color w:val="231F20"/>
                        <w:spacing w:val="6"/>
                        <w:sz w:val="20"/>
                        <w:szCs w:val="20"/>
                      </w:rPr>
                      <w:t xml:space="preserve"> </w:t>
                    </w:r>
                    <w:r>
                      <w:rPr>
                        <w:rFonts w:ascii="Calibri" w:hAnsi="Calibri" w:cs="Calibri"/>
                        <w:b/>
                        <w:bCs/>
                        <w:color w:val="231F20"/>
                        <w:w w:val="107"/>
                        <w:sz w:val="20"/>
                        <w:szCs w:val="20"/>
                      </w:rPr>
                      <w:t>IX.</w:t>
                    </w:r>
                    <w:r>
                      <w:rPr>
                        <w:rFonts w:ascii="Calibri" w:hAnsi="Calibri" w:cs="Calibri"/>
                        <w:b/>
                        <w:bCs/>
                        <w:color w:val="231F20"/>
                        <w:spacing w:val="6"/>
                        <w:sz w:val="20"/>
                        <w:szCs w:val="20"/>
                      </w:rPr>
                      <w:t xml:space="preserve"> </w:t>
                    </w:r>
                    <w:r>
                      <w:rPr>
                        <w:rFonts w:ascii="Calibri" w:hAnsi="Calibri" w:cs="Calibri"/>
                        <w:b/>
                        <w:bCs/>
                        <w:color w:val="231F20"/>
                        <w:w w:val="108"/>
                        <w:sz w:val="20"/>
                        <w:szCs w:val="20"/>
                      </w:rPr>
                      <w:t>Program-Specific</w:t>
                    </w:r>
                    <w:r>
                      <w:rPr>
                        <w:rFonts w:ascii="Calibri" w:hAnsi="Calibri" w:cs="Calibri"/>
                        <w:b/>
                        <w:bCs/>
                        <w:color w:val="231F20"/>
                        <w:spacing w:val="6"/>
                        <w:sz w:val="20"/>
                        <w:szCs w:val="20"/>
                      </w:rPr>
                      <w:t xml:space="preserve"> </w:t>
                    </w:r>
                    <w:r>
                      <w:rPr>
                        <w:rFonts w:ascii="Calibri" w:hAnsi="Calibri" w:cs="Calibri"/>
                        <w:b/>
                        <w:bCs/>
                        <w:color w:val="231F20"/>
                        <w:spacing w:val="-7"/>
                        <w:w w:val="111"/>
                        <w:sz w:val="20"/>
                        <w:szCs w:val="20"/>
                      </w:rPr>
                      <w:t>R</w:t>
                    </w:r>
                    <w:r>
                      <w:rPr>
                        <w:rFonts w:ascii="Calibri" w:hAnsi="Calibri" w:cs="Calibri"/>
                        <w:b/>
                        <w:bCs/>
                        <w:color w:val="231F20"/>
                        <w:w w:val="105"/>
                        <w:sz w:val="20"/>
                        <w:szCs w:val="20"/>
                      </w:rPr>
                      <w:t>equirements</w:t>
                    </w:r>
                    <w:r>
                      <w:rPr>
                        <w:rFonts w:ascii="Calibri" w:hAnsi="Calibri" w:cs="Calibri"/>
                        <w:b/>
                        <w:bCs/>
                        <w:color w:val="231F20"/>
                        <w:spacing w:val="6"/>
                        <w:sz w:val="20"/>
                        <w:szCs w:val="20"/>
                      </w:rPr>
                      <w:t xml:space="preserve"> </w:t>
                    </w:r>
                    <w:r>
                      <w:rPr>
                        <w:rFonts w:ascii="Calibri" w:hAnsi="Calibri" w:cs="Calibri"/>
                        <w:b/>
                        <w:bCs/>
                        <w:color w:val="231F20"/>
                        <w:w w:val="101"/>
                        <w:sz w:val="20"/>
                        <w:szCs w:val="20"/>
                      </w:rPr>
                      <w:t>for</w:t>
                    </w:r>
                    <w:r>
                      <w:rPr>
                        <w:rFonts w:ascii="Calibri" w:hAnsi="Calibri" w:cs="Calibri"/>
                        <w:b/>
                        <w:bCs/>
                        <w:color w:val="231F20"/>
                        <w:spacing w:val="6"/>
                        <w:sz w:val="20"/>
                        <w:szCs w:val="20"/>
                      </w:rPr>
                      <w:t xml:space="preserve"> </w:t>
                    </w:r>
                    <w:r>
                      <w:rPr>
                        <w:rFonts w:ascii="Calibri" w:hAnsi="Calibri" w:cs="Calibri"/>
                        <w:b/>
                        <w:bCs/>
                        <w:color w:val="231F20"/>
                        <w:w w:val="112"/>
                        <w:sz w:val="20"/>
                        <w:szCs w:val="20"/>
                      </w:rPr>
                      <w:t>Core</w:t>
                    </w:r>
                    <w:r>
                      <w:rPr>
                        <w:rFonts w:ascii="Calibri" w:hAnsi="Calibri" w:cs="Calibri"/>
                        <w:b/>
                        <w:bCs/>
                        <w:color w:val="231F20"/>
                        <w:spacing w:val="6"/>
                        <w:sz w:val="20"/>
                        <w:szCs w:val="20"/>
                      </w:rPr>
                      <w:t xml:space="preserve"> </w:t>
                    </w:r>
                    <w:r>
                      <w:rPr>
                        <w:rFonts w:ascii="Calibri" w:hAnsi="Calibri" w:cs="Calibri"/>
                        <w:b/>
                        <w:bCs/>
                        <w:color w:val="231F20"/>
                        <w:w w:val="109"/>
                        <w:sz w:val="20"/>
                        <w:szCs w:val="20"/>
                      </w:rPr>
                      <w:t>Programs</w:t>
                    </w:r>
                    <w:r>
                      <w:rPr>
                        <w:rFonts w:ascii="Calibri" w:hAnsi="Calibri" w:cs="Calibri"/>
                        <w:b/>
                        <w:bCs/>
                        <w:color w:val="231F20"/>
                        <w:spacing w:val="-1"/>
                        <w:w w:val="109"/>
                        <w:sz w:val="20"/>
                        <w:szCs w:val="20"/>
                      </w:rPr>
                      <w:t>–</w:t>
                    </w:r>
                    <w:r>
                      <w:rPr>
                        <w:rFonts w:ascii="Arial" w:hAnsi="Arial" w:cs="Arial"/>
                        <w:b/>
                        <w:bCs/>
                        <w:i/>
                        <w:color w:val="231F20"/>
                        <w:spacing w:val="-12"/>
                        <w:sz w:val="20"/>
                        <w:szCs w:val="20"/>
                      </w:rPr>
                      <w:t>V</w:t>
                    </w:r>
                    <w:r>
                      <w:rPr>
                        <w:rFonts w:ascii="Arial" w:hAnsi="Arial" w:cs="Arial"/>
                        <w:b/>
                        <w:bCs/>
                        <w:i/>
                        <w:color w:val="231F20"/>
                        <w:w w:val="95"/>
                        <w:sz w:val="20"/>
                        <w:szCs w:val="20"/>
                      </w:rPr>
                      <w:t>ocational</w:t>
                    </w:r>
                    <w:r>
                      <w:rPr>
                        <w:rFonts w:ascii="Arial" w:hAnsi="Arial" w:cs="Arial"/>
                        <w:b/>
                        <w:bCs/>
                        <w:i/>
                        <w:color w:val="231F20"/>
                        <w:spacing w:val="-5"/>
                        <w:sz w:val="20"/>
                        <w:szCs w:val="20"/>
                      </w:rPr>
                      <w:t xml:space="preserve"> </w:t>
                    </w:r>
                    <w:r>
                      <w:rPr>
                        <w:rFonts w:ascii="Arial" w:hAnsi="Arial" w:cs="Arial"/>
                        <w:b/>
                        <w:bCs/>
                        <w:i/>
                        <w:color w:val="231F20"/>
                        <w:spacing w:val="-6"/>
                        <w:w w:val="86"/>
                        <w:sz w:val="20"/>
                        <w:szCs w:val="20"/>
                      </w:rPr>
                      <w:t>R</w:t>
                    </w:r>
                    <w:r>
                      <w:rPr>
                        <w:rFonts w:ascii="Arial" w:hAnsi="Arial" w:cs="Arial"/>
                        <w:b/>
                        <w:bCs/>
                        <w:i/>
                        <w:color w:val="231F20"/>
                        <w:w w:val="95"/>
                        <w:sz w:val="20"/>
                        <w:szCs w:val="20"/>
                      </w:rPr>
                      <w:t>ehabilitation</w:t>
                    </w:r>
                  </w:p>
                </w:txbxContent>
              </v:textbox>
              <w10:wrap anchorx="page" anchory="page"/>
            </v:shape>
          </w:pict>
        </mc:Fallback>
      </mc:AlternateContent>
    </w: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BDF5E8C" w14:textId="528C9F86" w:rsidR="008601E5" w:rsidRDefault="008601E5">
    <w:pPr>
      <w:spacing w:line="14" w:lineRule="auto"/>
      <w:rPr>
        <w:sz w:val="20"/>
        <w:szCs w:val="20"/>
      </w:rPr>
    </w:pPr>
    <w:r>
      <w:rPr>
        <w:noProof/>
      </w:rPr>
      <mc:AlternateContent>
        <mc:Choice Requires="wps">
          <w:drawing>
            <wp:anchor distT="0" distB="0" distL="114300" distR="114300" simplePos="0" relativeHeight="251658286" behindDoc="1" locked="0" layoutInCell="1" allowOverlap="1" wp14:anchorId="26067D5A" wp14:editId="557A5E9D">
              <wp:simplePos x="0" y="0"/>
              <wp:positionH relativeFrom="page">
                <wp:posOffset>6831330</wp:posOffset>
              </wp:positionH>
              <wp:positionV relativeFrom="page">
                <wp:posOffset>9555480</wp:posOffset>
              </wp:positionV>
              <wp:extent cx="326390" cy="177800"/>
              <wp:effectExtent l="0" t="0" r="0" b="0"/>
              <wp:wrapNone/>
              <wp:docPr id="264" name="Text Box 2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6390"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582662" w14:textId="703F3D12" w:rsidR="008601E5" w:rsidRDefault="008601E5">
                          <w:pPr>
                            <w:spacing w:line="267" w:lineRule="exact"/>
                            <w:ind w:left="40"/>
                            <w:rPr>
                              <w:rFonts w:ascii="Calibri" w:hAnsi="Calibri" w:cs="Calibri"/>
                              <w:sz w:val="24"/>
                              <w:szCs w:val="24"/>
                            </w:rPr>
                          </w:pPr>
                          <w:r>
                            <w:rPr>
                              <w:rFonts w:ascii="Calibri"/>
                              <w:b/>
                              <w:color w:val="231F20"/>
                              <w:w w:val="118"/>
                              <w:sz w:val="24"/>
                            </w:rPr>
                            <w:fldChar w:fldCharType="begin"/>
                          </w:r>
                          <w:r>
                            <w:rPr>
                              <w:rFonts w:ascii="Calibri"/>
                              <w:b/>
                              <w:color w:val="231F20"/>
                              <w:w w:val="118"/>
                              <w:sz w:val="24"/>
                            </w:rPr>
                            <w:instrText xml:space="preserve"> PAGE </w:instrText>
                          </w:r>
                          <w:r>
                            <w:rPr>
                              <w:rFonts w:ascii="Calibri"/>
                              <w:b/>
                              <w:color w:val="231F20"/>
                              <w:w w:val="118"/>
                              <w:sz w:val="24"/>
                            </w:rPr>
                            <w:fldChar w:fldCharType="separate"/>
                          </w:r>
                          <w:r w:rsidR="00BC1D20">
                            <w:rPr>
                              <w:rFonts w:ascii="Calibri"/>
                              <w:b/>
                              <w:noProof/>
                              <w:color w:val="231F20"/>
                              <w:w w:val="118"/>
                              <w:sz w:val="24"/>
                            </w:rPr>
                            <w:t>225</w:t>
                          </w:r>
                          <w:r>
                            <w:rPr>
                              <w:rFonts w:ascii="Calibri"/>
                              <w:b/>
                              <w:color w:val="231F20"/>
                              <w:w w:val="118"/>
                              <w:sz w:val="24"/>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6067D5A" id="_x0000_t202" coordsize="21600,21600" o:spt="202" path="m,l,21600r21600,l21600,xe">
              <v:stroke joinstyle="miter"/>
              <v:path gradientshapeok="t" o:connecttype="rect"/>
            </v:shapetype>
            <v:shape id="Text Box 264" o:spid="_x0000_s1077" type="#_x0000_t202" style="position:absolute;margin-left:537.9pt;margin-top:752.4pt;width:25.7pt;height:14pt;z-index:-25165819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" filled="f" stroked="f">
              <v:textbox inset="0,0,0,0">
                <w:txbxContent>
                  <w:p w14:paraId="54582662" w14:textId="703F3D12" w:rsidR="008601E5" w:rsidRDefault="008601E5">
                    <w:pPr>
                      <w:spacing w:line="267" w:lineRule="exact"/>
                      <w:ind w:left="40"/>
                      <w:rPr>
                        <w:rFonts w:ascii="Calibri" w:hAnsi="Calibri" w:cs="Calibri"/>
                        <w:sz w:val="24"/>
                        <w:szCs w:val="24"/>
                      </w:rPr>
                    </w:pPr>
                    <w:r>
                      <w:rPr>
                        <w:rFonts w:ascii="Calibri"/>
                        <w:b/>
                        <w:color w:val="231F20"/>
                        <w:w w:val="118"/>
                        <w:sz w:val="24"/>
                      </w:rPr>
                      <w:fldChar w:fldCharType="begin"/>
                    </w:r>
                    <w:r>
                      <w:rPr>
                        <w:rFonts w:ascii="Calibri"/>
                        <w:b/>
                        <w:color w:val="231F20"/>
                        <w:w w:val="118"/>
                        <w:sz w:val="24"/>
                      </w:rPr>
                      <w:instrText xml:space="preserve"> PAGE </w:instrText>
                    </w:r>
                    <w:r>
                      <w:rPr>
                        <w:rFonts w:ascii="Calibri"/>
                        <w:b/>
                        <w:color w:val="231F20"/>
                        <w:w w:val="118"/>
                        <w:sz w:val="24"/>
                      </w:rPr>
                      <w:fldChar w:fldCharType="separate"/>
                    </w:r>
                    <w:r w:rsidR="00BC1D20">
                      <w:rPr>
                        <w:rFonts w:ascii="Calibri"/>
                        <w:b/>
                        <w:noProof/>
                        <w:color w:val="231F20"/>
                        <w:w w:val="118"/>
                        <w:sz w:val="24"/>
                      </w:rPr>
                      <w:t>225</w:t>
                    </w:r>
                    <w:r>
                      <w:rPr>
                        <w:rFonts w:ascii="Calibri"/>
                        <w:b/>
                        <w:color w:val="231F20"/>
                        <w:w w:val="118"/>
                        <w:sz w:val="24"/>
                      </w:rPr>
                      <w:fldChar w:fldCharType="end"/>
                    </w:r>
                  </w:p>
                </w:txbxContent>
              </v:textbox>
              <w10:wrap anchorx="page" anchory="page"/>
            </v:shape>
          </w:pict>
        </mc:Fallback>
      </mc:AlternateContent>
    </w:r>
    <w:r>
      <w:rPr>
        <w:noProof/>
      </w:rPr>
      <mc:AlternateContent>
        <mc:Choice Requires="wps">
          <w:drawing>
            <wp:anchor distT="0" distB="0" distL="114300" distR="114300" simplePos="0" relativeHeight="251658287" behindDoc="1" locked="0" layoutInCell="1" allowOverlap="1" wp14:anchorId="6203A9BA" wp14:editId="4C6A74EC">
              <wp:simplePos x="0" y="0"/>
              <wp:positionH relativeFrom="page">
                <wp:posOffset>781050</wp:posOffset>
              </wp:positionH>
              <wp:positionV relativeFrom="page">
                <wp:posOffset>9559925</wp:posOffset>
              </wp:positionV>
              <wp:extent cx="4903470" cy="153035"/>
              <wp:effectExtent l="0" t="0" r="0" b="0"/>
              <wp:wrapNone/>
              <wp:docPr id="263" name="Text Box 2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03470" cy="1530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5394BD" w14:textId="77777777" w:rsidR="008601E5" w:rsidRDefault="008601E5">
                          <w:pPr>
                            <w:spacing w:line="227" w:lineRule="exact"/>
                            <w:ind w:left="20"/>
                            <w:rPr>
                              <w:rFonts w:ascii="Arial" w:hAnsi="Arial" w:cs="Arial"/>
                              <w:sz w:val="20"/>
                              <w:szCs w:val="20"/>
                            </w:rPr>
                          </w:pPr>
                          <w:r>
                            <w:rPr>
                              <w:rFonts w:ascii="Calibri" w:hAnsi="Calibri" w:cs="Calibri"/>
                              <w:b/>
                              <w:bCs/>
                              <w:color w:val="231F20"/>
                              <w:w w:val="109"/>
                              <w:sz w:val="20"/>
                              <w:szCs w:val="20"/>
                            </w:rPr>
                            <w:t>Section</w:t>
                          </w:r>
                          <w:r>
                            <w:rPr>
                              <w:rFonts w:ascii="Calibri" w:hAnsi="Calibri" w:cs="Calibri"/>
                              <w:b/>
                              <w:bCs/>
                              <w:color w:val="231F20"/>
                              <w:spacing w:val="6"/>
                              <w:sz w:val="20"/>
                              <w:szCs w:val="20"/>
                            </w:rPr>
                            <w:t xml:space="preserve"> </w:t>
                          </w:r>
                          <w:r>
                            <w:rPr>
                              <w:rFonts w:ascii="Calibri" w:hAnsi="Calibri" w:cs="Calibri"/>
                              <w:b/>
                              <w:bCs/>
                              <w:color w:val="231F20"/>
                              <w:w w:val="110"/>
                              <w:sz w:val="20"/>
                              <w:szCs w:val="20"/>
                            </w:rPr>
                            <w:t>X.</w:t>
                          </w:r>
                          <w:r>
                            <w:rPr>
                              <w:rFonts w:ascii="Calibri" w:hAnsi="Calibri" w:cs="Calibri"/>
                              <w:b/>
                              <w:bCs/>
                              <w:color w:val="231F20"/>
                              <w:spacing w:val="6"/>
                              <w:sz w:val="20"/>
                              <w:szCs w:val="20"/>
                            </w:rPr>
                            <w:t xml:space="preserve"> </w:t>
                          </w:r>
                          <w:r>
                            <w:rPr>
                              <w:rFonts w:ascii="Calibri" w:hAnsi="Calibri" w:cs="Calibri"/>
                              <w:b/>
                              <w:bCs/>
                              <w:color w:val="231F20"/>
                              <w:w w:val="111"/>
                              <w:sz w:val="20"/>
                              <w:szCs w:val="20"/>
                            </w:rPr>
                            <w:t>Specific</w:t>
                          </w:r>
                          <w:r>
                            <w:rPr>
                              <w:rFonts w:ascii="Calibri" w:hAnsi="Calibri" w:cs="Calibri"/>
                              <w:b/>
                              <w:bCs/>
                              <w:color w:val="231F20"/>
                              <w:spacing w:val="6"/>
                              <w:sz w:val="20"/>
                              <w:szCs w:val="20"/>
                            </w:rPr>
                            <w:t xml:space="preserve"> </w:t>
                          </w:r>
                          <w:r>
                            <w:rPr>
                              <w:rFonts w:ascii="Calibri" w:hAnsi="Calibri" w:cs="Calibri"/>
                              <w:b/>
                              <w:bCs/>
                              <w:color w:val="231F20"/>
                              <w:spacing w:val="-7"/>
                              <w:w w:val="111"/>
                              <w:sz w:val="20"/>
                              <w:szCs w:val="20"/>
                            </w:rPr>
                            <w:t>R</w:t>
                          </w:r>
                          <w:r>
                            <w:rPr>
                              <w:rFonts w:ascii="Calibri" w:hAnsi="Calibri" w:cs="Calibri"/>
                              <w:b/>
                              <w:bCs/>
                              <w:color w:val="231F20"/>
                              <w:w w:val="105"/>
                              <w:sz w:val="20"/>
                              <w:szCs w:val="20"/>
                            </w:rPr>
                            <w:t>equirements</w:t>
                          </w:r>
                          <w:r>
                            <w:rPr>
                              <w:rFonts w:ascii="Calibri" w:hAnsi="Calibri" w:cs="Calibri"/>
                              <w:b/>
                              <w:bCs/>
                              <w:color w:val="231F20"/>
                              <w:spacing w:val="6"/>
                              <w:sz w:val="20"/>
                              <w:szCs w:val="20"/>
                            </w:rPr>
                            <w:t xml:space="preserve"> </w:t>
                          </w:r>
                          <w:r>
                            <w:rPr>
                              <w:rFonts w:ascii="Calibri" w:hAnsi="Calibri" w:cs="Calibri"/>
                              <w:b/>
                              <w:bCs/>
                              <w:color w:val="231F20"/>
                              <w:w w:val="101"/>
                              <w:sz w:val="20"/>
                              <w:szCs w:val="20"/>
                            </w:rPr>
                            <w:t>for</w:t>
                          </w:r>
                          <w:r>
                            <w:rPr>
                              <w:rFonts w:ascii="Calibri" w:hAnsi="Calibri" w:cs="Calibri"/>
                              <w:b/>
                              <w:bCs/>
                              <w:color w:val="231F20"/>
                              <w:spacing w:val="6"/>
                              <w:sz w:val="20"/>
                              <w:szCs w:val="20"/>
                            </w:rPr>
                            <w:t xml:space="preserve"> </w:t>
                          </w:r>
                          <w:r>
                            <w:rPr>
                              <w:rFonts w:ascii="Calibri" w:hAnsi="Calibri" w:cs="Calibri"/>
                              <w:b/>
                              <w:bCs/>
                              <w:color w:val="231F20"/>
                              <w:w w:val="112"/>
                              <w:sz w:val="20"/>
                              <w:szCs w:val="20"/>
                            </w:rPr>
                            <w:t>Core</w:t>
                          </w:r>
                          <w:r>
                            <w:rPr>
                              <w:rFonts w:ascii="Calibri" w:hAnsi="Calibri" w:cs="Calibri"/>
                              <w:b/>
                              <w:bCs/>
                              <w:color w:val="231F20"/>
                              <w:spacing w:val="6"/>
                              <w:sz w:val="20"/>
                              <w:szCs w:val="20"/>
                            </w:rPr>
                            <w:t xml:space="preserve"> </w:t>
                          </w:r>
                          <w:r>
                            <w:rPr>
                              <w:rFonts w:ascii="Calibri" w:hAnsi="Calibri" w:cs="Calibri"/>
                              <w:b/>
                              <w:bCs/>
                              <w:color w:val="231F20"/>
                              <w:w w:val="109"/>
                              <w:sz w:val="20"/>
                              <w:szCs w:val="20"/>
                            </w:rPr>
                            <w:t>Programs</w:t>
                          </w:r>
                          <w:r>
                            <w:rPr>
                              <w:rFonts w:ascii="Calibri" w:hAnsi="Calibri" w:cs="Calibri"/>
                              <w:b/>
                              <w:bCs/>
                              <w:color w:val="231F20"/>
                              <w:spacing w:val="-1"/>
                              <w:w w:val="109"/>
                              <w:sz w:val="20"/>
                              <w:szCs w:val="20"/>
                            </w:rPr>
                            <w:t>–</w:t>
                          </w:r>
                          <w:r>
                            <w:rPr>
                              <w:rFonts w:ascii="Arial" w:hAnsi="Arial" w:cs="Arial"/>
                              <w:b/>
                              <w:bCs/>
                              <w:i/>
                              <w:color w:val="231F20"/>
                              <w:w w:val="93"/>
                              <w:sz w:val="20"/>
                              <w:szCs w:val="20"/>
                            </w:rPr>
                            <w:t>Florida</w:t>
                          </w:r>
                          <w:r>
                            <w:rPr>
                              <w:rFonts w:ascii="Arial" w:hAnsi="Arial" w:cs="Arial"/>
                              <w:b/>
                              <w:bCs/>
                              <w:i/>
                              <w:color w:val="231F20"/>
                              <w:spacing w:val="-5"/>
                              <w:sz w:val="20"/>
                              <w:szCs w:val="20"/>
                            </w:rPr>
                            <w:t xml:space="preserve"> </w:t>
                          </w:r>
                          <w:r>
                            <w:rPr>
                              <w:rFonts w:ascii="Arial" w:hAnsi="Arial" w:cs="Arial"/>
                              <w:b/>
                              <w:bCs/>
                              <w:i/>
                              <w:color w:val="231F20"/>
                              <w:w w:val="91"/>
                              <w:sz w:val="20"/>
                              <w:szCs w:val="20"/>
                            </w:rPr>
                            <w:t>Division</w:t>
                          </w:r>
                          <w:r>
                            <w:rPr>
                              <w:rFonts w:ascii="Arial" w:hAnsi="Arial" w:cs="Arial"/>
                              <w:b/>
                              <w:bCs/>
                              <w:i/>
                              <w:color w:val="231F20"/>
                              <w:spacing w:val="-5"/>
                              <w:sz w:val="20"/>
                              <w:szCs w:val="20"/>
                            </w:rPr>
                            <w:t xml:space="preserve"> </w:t>
                          </w:r>
                          <w:r>
                            <w:rPr>
                              <w:rFonts w:ascii="Arial" w:hAnsi="Arial" w:cs="Arial"/>
                              <w:b/>
                              <w:bCs/>
                              <w:i/>
                              <w:color w:val="231F20"/>
                              <w:w w:val="93"/>
                              <w:sz w:val="20"/>
                              <w:szCs w:val="20"/>
                            </w:rPr>
                            <w:t>of</w:t>
                          </w:r>
                          <w:r>
                            <w:rPr>
                              <w:rFonts w:ascii="Arial" w:hAnsi="Arial" w:cs="Arial"/>
                              <w:b/>
                              <w:bCs/>
                              <w:i/>
                              <w:color w:val="231F20"/>
                              <w:spacing w:val="-5"/>
                              <w:sz w:val="20"/>
                              <w:szCs w:val="20"/>
                            </w:rPr>
                            <w:t xml:space="preserve"> </w:t>
                          </w:r>
                          <w:r>
                            <w:rPr>
                              <w:rFonts w:ascii="Arial" w:hAnsi="Arial" w:cs="Arial"/>
                              <w:b/>
                              <w:bCs/>
                              <w:i/>
                              <w:color w:val="231F20"/>
                              <w:w w:val="91"/>
                              <w:sz w:val="20"/>
                              <w:szCs w:val="20"/>
                            </w:rPr>
                            <w:t>Blind</w:t>
                          </w:r>
                          <w:r>
                            <w:rPr>
                              <w:rFonts w:ascii="Arial" w:hAnsi="Arial" w:cs="Arial"/>
                              <w:b/>
                              <w:bCs/>
                              <w:i/>
                              <w:color w:val="231F20"/>
                              <w:spacing w:val="-5"/>
                              <w:sz w:val="20"/>
                              <w:szCs w:val="20"/>
                            </w:rPr>
                            <w:t xml:space="preserve"> </w:t>
                          </w:r>
                          <w:r>
                            <w:rPr>
                              <w:rFonts w:ascii="Arial" w:hAnsi="Arial" w:cs="Arial"/>
                              <w:b/>
                              <w:bCs/>
                              <w:i/>
                              <w:color w:val="231F20"/>
                              <w:w w:val="91"/>
                              <w:sz w:val="20"/>
                              <w:szCs w:val="20"/>
                            </w:rPr>
                            <w:t>Services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203A9BA" id="Text Box 263" o:spid="_x0000_s1078" type="#_x0000_t202" style="position:absolute;margin-left:61.5pt;margin-top:752.75pt;width:386.1pt;height:12.05pt;z-index:-25165819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" filled="f" stroked="f">
              <v:textbox inset="0,0,0,0">
                <w:txbxContent>
                  <w:p w14:paraId="325394BD" w14:textId="77777777" w:rsidR="008601E5" w:rsidRDefault="008601E5">
                    <w:pPr>
                      <w:spacing w:line="227" w:lineRule="exact"/>
                      <w:ind w:left="20"/>
                      <w:rPr>
                        <w:rFonts w:ascii="Arial" w:hAnsi="Arial" w:cs="Arial"/>
                        <w:sz w:val="20"/>
                        <w:szCs w:val="20"/>
                      </w:rPr>
                    </w:pPr>
                    <w:r>
                      <w:rPr>
                        <w:rFonts w:ascii="Calibri" w:hAnsi="Calibri" w:cs="Calibri"/>
                        <w:b/>
                        <w:bCs/>
                        <w:color w:val="231F20"/>
                        <w:w w:val="109"/>
                        <w:sz w:val="20"/>
                        <w:szCs w:val="20"/>
                      </w:rPr>
                      <w:t>Section</w:t>
                    </w:r>
                    <w:r>
                      <w:rPr>
                        <w:rFonts w:ascii="Calibri" w:hAnsi="Calibri" w:cs="Calibri"/>
                        <w:b/>
                        <w:bCs/>
                        <w:color w:val="231F20"/>
                        <w:spacing w:val="6"/>
                        <w:sz w:val="20"/>
                        <w:szCs w:val="20"/>
                      </w:rPr>
                      <w:t xml:space="preserve"> </w:t>
                    </w:r>
                    <w:r>
                      <w:rPr>
                        <w:rFonts w:ascii="Calibri" w:hAnsi="Calibri" w:cs="Calibri"/>
                        <w:b/>
                        <w:bCs/>
                        <w:color w:val="231F20"/>
                        <w:w w:val="110"/>
                        <w:sz w:val="20"/>
                        <w:szCs w:val="20"/>
                      </w:rPr>
                      <w:t>X.</w:t>
                    </w:r>
                    <w:r>
                      <w:rPr>
                        <w:rFonts w:ascii="Calibri" w:hAnsi="Calibri" w:cs="Calibri"/>
                        <w:b/>
                        <w:bCs/>
                        <w:color w:val="231F20"/>
                        <w:spacing w:val="6"/>
                        <w:sz w:val="20"/>
                        <w:szCs w:val="20"/>
                      </w:rPr>
                      <w:t xml:space="preserve"> </w:t>
                    </w:r>
                    <w:r>
                      <w:rPr>
                        <w:rFonts w:ascii="Calibri" w:hAnsi="Calibri" w:cs="Calibri"/>
                        <w:b/>
                        <w:bCs/>
                        <w:color w:val="231F20"/>
                        <w:w w:val="111"/>
                        <w:sz w:val="20"/>
                        <w:szCs w:val="20"/>
                      </w:rPr>
                      <w:t>Specific</w:t>
                    </w:r>
                    <w:r>
                      <w:rPr>
                        <w:rFonts w:ascii="Calibri" w:hAnsi="Calibri" w:cs="Calibri"/>
                        <w:b/>
                        <w:bCs/>
                        <w:color w:val="231F20"/>
                        <w:spacing w:val="6"/>
                        <w:sz w:val="20"/>
                        <w:szCs w:val="20"/>
                      </w:rPr>
                      <w:t xml:space="preserve"> </w:t>
                    </w:r>
                    <w:r>
                      <w:rPr>
                        <w:rFonts w:ascii="Calibri" w:hAnsi="Calibri" w:cs="Calibri"/>
                        <w:b/>
                        <w:bCs/>
                        <w:color w:val="231F20"/>
                        <w:spacing w:val="-7"/>
                        <w:w w:val="111"/>
                        <w:sz w:val="20"/>
                        <w:szCs w:val="20"/>
                      </w:rPr>
                      <w:t>R</w:t>
                    </w:r>
                    <w:r>
                      <w:rPr>
                        <w:rFonts w:ascii="Calibri" w:hAnsi="Calibri" w:cs="Calibri"/>
                        <w:b/>
                        <w:bCs/>
                        <w:color w:val="231F20"/>
                        <w:w w:val="105"/>
                        <w:sz w:val="20"/>
                        <w:szCs w:val="20"/>
                      </w:rPr>
                      <w:t>equirements</w:t>
                    </w:r>
                    <w:r>
                      <w:rPr>
                        <w:rFonts w:ascii="Calibri" w:hAnsi="Calibri" w:cs="Calibri"/>
                        <w:b/>
                        <w:bCs/>
                        <w:color w:val="231F20"/>
                        <w:spacing w:val="6"/>
                        <w:sz w:val="20"/>
                        <w:szCs w:val="20"/>
                      </w:rPr>
                      <w:t xml:space="preserve"> </w:t>
                    </w:r>
                    <w:r>
                      <w:rPr>
                        <w:rFonts w:ascii="Calibri" w:hAnsi="Calibri" w:cs="Calibri"/>
                        <w:b/>
                        <w:bCs/>
                        <w:color w:val="231F20"/>
                        <w:w w:val="101"/>
                        <w:sz w:val="20"/>
                        <w:szCs w:val="20"/>
                      </w:rPr>
                      <w:t>for</w:t>
                    </w:r>
                    <w:r>
                      <w:rPr>
                        <w:rFonts w:ascii="Calibri" w:hAnsi="Calibri" w:cs="Calibri"/>
                        <w:b/>
                        <w:bCs/>
                        <w:color w:val="231F20"/>
                        <w:spacing w:val="6"/>
                        <w:sz w:val="20"/>
                        <w:szCs w:val="20"/>
                      </w:rPr>
                      <w:t xml:space="preserve"> </w:t>
                    </w:r>
                    <w:r>
                      <w:rPr>
                        <w:rFonts w:ascii="Calibri" w:hAnsi="Calibri" w:cs="Calibri"/>
                        <w:b/>
                        <w:bCs/>
                        <w:color w:val="231F20"/>
                        <w:w w:val="112"/>
                        <w:sz w:val="20"/>
                        <w:szCs w:val="20"/>
                      </w:rPr>
                      <w:t>Core</w:t>
                    </w:r>
                    <w:r>
                      <w:rPr>
                        <w:rFonts w:ascii="Calibri" w:hAnsi="Calibri" w:cs="Calibri"/>
                        <w:b/>
                        <w:bCs/>
                        <w:color w:val="231F20"/>
                        <w:spacing w:val="6"/>
                        <w:sz w:val="20"/>
                        <w:szCs w:val="20"/>
                      </w:rPr>
                      <w:t xml:space="preserve"> </w:t>
                    </w:r>
                    <w:r>
                      <w:rPr>
                        <w:rFonts w:ascii="Calibri" w:hAnsi="Calibri" w:cs="Calibri"/>
                        <w:b/>
                        <w:bCs/>
                        <w:color w:val="231F20"/>
                        <w:w w:val="109"/>
                        <w:sz w:val="20"/>
                        <w:szCs w:val="20"/>
                      </w:rPr>
                      <w:t>Programs</w:t>
                    </w:r>
                    <w:r>
                      <w:rPr>
                        <w:rFonts w:ascii="Calibri" w:hAnsi="Calibri" w:cs="Calibri"/>
                        <w:b/>
                        <w:bCs/>
                        <w:color w:val="231F20"/>
                        <w:spacing w:val="-1"/>
                        <w:w w:val="109"/>
                        <w:sz w:val="20"/>
                        <w:szCs w:val="20"/>
                      </w:rPr>
                      <w:t>–</w:t>
                    </w:r>
                    <w:r>
                      <w:rPr>
                        <w:rFonts w:ascii="Arial" w:hAnsi="Arial" w:cs="Arial"/>
                        <w:b/>
                        <w:bCs/>
                        <w:i/>
                        <w:color w:val="231F20"/>
                        <w:w w:val="93"/>
                        <w:sz w:val="20"/>
                        <w:szCs w:val="20"/>
                      </w:rPr>
                      <w:t>Florida</w:t>
                    </w:r>
                    <w:r>
                      <w:rPr>
                        <w:rFonts w:ascii="Arial" w:hAnsi="Arial" w:cs="Arial"/>
                        <w:b/>
                        <w:bCs/>
                        <w:i/>
                        <w:color w:val="231F20"/>
                        <w:spacing w:val="-5"/>
                        <w:sz w:val="20"/>
                        <w:szCs w:val="20"/>
                      </w:rPr>
                      <w:t xml:space="preserve"> </w:t>
                    </w:r>
                    <w:r>
                      <w:rPr>
                        <w:rFonts w:ascii="Arial" w:hAnsi="Arial" w:cs="Arial"/>
                        <w:b/>
                        <w:bCs/>
                        <w:i/>
                        <w:color w:val="231F20"/>
                        <w:w w:val="91"/>
                        <w:sz w:val="20"/>
                        <w:szCs w:val="20"/>
                      </w:rPr>
                      <w:t>Division</w:t>
                    </w:r>
                    <w:r>
                      <w:rPr>
                        <w:rFonts w:ascii="Arial" w:hAnsi="Arial" w:cs="Arial"/>
                        <w:b/>
                        <w:bCs/>
                        <w:i/>
                        <w:color w:val="231F20"/>
                        <w:spacing w:val="-5"/>
                        <w:sz w:val="20"/>
                        <w:szCs w:val="20"/>
                      </w:rPr>
                      <w:t xml:space="preserve"> </w:t>
                    </w:r>
                    <w:r>
                      <w:rPr>
                        <w:rFonts w:ascii="Arial" w:hAnsi="Arial" w:cs="Arial"/>
                        <w:b/>
                        <w:bCs/>
                        <w:i/>
                        <w:color w:val="231F20"/>
                        <w:w w:val="93"/>
                        <w:sz w:val="20"/>
                        <w:szCs w:val="20"/>
                      </w:rPr>
                      <w:t>of</w:t>
                    </w:r>
                    <w:r>
                      <w:rPr>
                        <w:rFonts w:ascii="Arial" w:hAnsi="Arial" w:cs="Arial"/>
                        <w:b/>
                        <w:bCs/>
                        <w:i/>
                        <w:color w:val="231F20"/>
                        <w:spacing w:val="-5"/>
                        <w:sz w:val="20"/>
                        <w:szCs w:val="20"/>
                      </w:rPr>
                      <w:t xml:space="preserve"> </w:t>
                    </w:r>
                    <w:r>
                      <w:rPr>
                        <w:rFonts w:ascii="Arial" w:hAnsi="Arial" w:cs="Arial"/>
                        <w:b/>
                        <w:bCs/>
                        <w:i/>
                        <w:color w:val="231F20"/>
                        <w:w w:val="91"/>
                        <w:sz w:val="20"/>
                        <w:szCs w:val="20"/>
                      </w:rPr>
                      <w:t>Blind</w:t>
                    </w:r>
                    <w:r>
                      <w:rPr>
                        <w:rFonts w:ascii="Arial" w:hAnsi="Arial" w:cs="Arial"/>
                        <w:b/>
                        <w:bCs/>
                        <w:i/>
                        <w:color w:val="231F20"/>
                        <w:spacing w:val="-5"/>
                        <w:sz w:val="20"/>
                        <w:szCs w:val="20"/>
                      </w:rPr>
                      <w:t xml:space="preserve"> </w:t>
                    </w:r>
                    <w:r>
                      <w:rPr>
                        <w:rFonts w:ascii="Arial" w:hAnsi="Arial" w:cs="Arial"/>
                        <w:b/>
                        <w:bCs/>
                        <w:i/>
                        <w:color w:val="231F20"/>
                        <w:w w:val="91"/>
                        <w:sz w:val="20"/>
                        <w:szCs w:val="20"/>
                      </w:rPr>
                      <w:t>Services</w:t>
                    </w:r>
                  </w:p>
                </w:txbxContent>
              </v:textbox>
              <w10:wrap anchorx="page" anchory="page"/>
            </v:shape>
          </w:pict>
        </mc:Fallback>
      </mc:AlternateContent>
    </w:r>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8182C1A" w14:textId="102D00E7" w:rsidR="008601E5" w:rsidRDefault="008601E5">
    <w:pPr>
      <w:spacing w:line="14" w:lineRule="auto"/>
      <w:rPr>
        <w:sz w:val="20"/>
        <w:szCs w:val="20"/>
      </w:rPr>
    </w:pPr>
    <w:r>
      <w:rPr>
        <w:noProof/>
      </w:rPr>
      <mc:AlternateContent>
        <mc:Choice Requires="wps">
          <w:drawing>
            <wp:anchor distT="0" distB="0" distL="114300" distR="114300" simplePos="0" relativeHeight="251658288" behindDoc="1" locked="0" layoutInCell="1" allowOverlap="1" wp14:anchorId="380ED646" wp14:editId="12B6F6F6">
              <wp:simplePos x="0" y="0"/>
              <wp:positionH relativeFrom="page">
                <wp:posOffset>6833235</wp:posOffset>
              </wp:positionH>
              <wp:positionV relativeFrom="page">
                <wp:posOffset>9555480</wp:posOffset>
              </wp:positionV>
              <wp:extent cx="324485" cy="177800"/>
              <wp:effectExtent l="0" t="0" r="0" b="0"/>
              <wp:wrapNone/>
              <wp:docPr id="260" name="Text Box 2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4485"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EAB286" w14:textId="3E964BAA" w:rsidR="008601E5" w:rsidRDefault="008601E5">
                          <w:pPr>
                            <w:spacing w:line="267" w:lineRule="exact"/>
                            <w:ind w:left="40"/>
                            <w:rPr>
                              <w:rFonts w:ascii="Calibri" w:hAnsi="Calibri" w:cs="Calibri"/>
                              <w:sz w:val="24"/>
                              <w:szCs w:val="24"/>
                            </w:rPr>
                          </w:pPr>
                          <w:r>
                            <w:rPr>
                              <w:rFonts w:ascii="Calibri"/>
                              <w:b/>
                              <w:color w:val="231F20"/>
                              <w:w w:val="118"/>
                              <w:sz w:val="24"/>
                            </w:rPr>
                            <w:fldChar w:fldCharType="begin"/>
                          </w:r>
                          <w:r>
                            <w:rPr>
                              <w:rFonts w:ascii="Calibri"/>
                              <w:b/>
                              <w:color w:val="231F20"/>
                              <w:w w:val="118"/>
                              <w:sz w:val="24"/>
                            </w:rPr>
                            <w:instrText xml:space="preserve"> PAGE </w:instrText>
                          </w:r>
                          <w:r>
                            <w:rPr>
                              <w:rFonts w:ascii="Calibri"/>
                              <w:b/>
                              <w:color w:val="231F20"/>
                              <w:w w:val="118"/>
                              <w:sz w:val="24"/>
                            </w:rPr>
                            <w:fldChar w:fldCharType="separate"/>
                          </w:r>
                          <w:r w:rsidR="00BC1D20">
                            <w:rPr>
                              <w:rFonts w:ascii="Calibri"/>
                              <w:b/>
                              <w:noProof/>
                              <w:color w:val="231F20"/>
                              <w:w w:val="118"/>
                              <w:sz w:val="24"/>
                            </w:rPr>
                            <w:t>236</w:t>
                          </w:r>
                          <w:r>
                            <w:rPr>
                              <w:rFonts w:ascii="Calibri"/>
                              <w:b/>
                              <w:color w:val="231F20"/>
                              <w:w w:val="118"/>
                              <w:sz w:val="24"/>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80ED646" id="_x0000_t202" coordsize="21600,21600" o:spt="202" path="m,l,21600r21600,l21600,xe">
              <v:stroke joinstyle="miter"/>
              <v:path gradientshapeok="t" o:connecttype="rect"/>
            </v:shapetype>
            <v:shape id="Text Box 260" o:spid="_x0000_s1079" type="#_x0000_t202" style="position:absolute;margin-left:538.05pt;margin-top:752.4pt;width:25.55pt;height:14pt;z-index:-251658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" filled="f" stroked="f">
              <v:textbox inset="0,0,0,0">
                <w:txbxContent>
                  <w:p w14:paraId="5AEAB286" w14:textId="3E964BAA" w:rsidR="008601E5" w:rsidRDefault="008601E5">
                    <w:pPr>
                      <w:spacing w:line="267" w:lineRule="exact"/>
                      <w:ind w:left="40"/>
                      <w:rPr>
                        <w:rFonts w:ascii="Calibri" w:hAnsi="Calibri" w:cs="Calibri"/>
                        <w:sz w:val="24"/>
                        <w:szCs w:val="24"/>
                      </w:rPr>
                    </w:pPr>
                    <w:r>
                      <w:rPr>
                        <w:rFonts w:ascii="Calibri"/>
                        <w:b/>
                        <w:color w:val="231F20"/>
                        <w:w w:val="118"/>
                        <w:sz w:val="24"/>
                      </w:rPr>
                      <w:fldChar w:fldCharType="begin"/>
                    </w:r>
                    <w:r>
                      <w:rPr>
                        <w:rFonts w:ascii="Calibri"/>
                        <w:b/>
                        <w:color w:val="231F20"/>
                        <w:w w:val="118"/>
                        <w:sz w:val="24"/>
                      </w:rPr>
                      <w:instrText xml:space="preserve"> PAGE </w:instrText>
                    </w:r>
                    <w:r>
                      <w:rPr>
                        <w:rFonts w:ascii="Calibri"/>
                        <w:b/>
                        <w:color w:val="231F20"/>
                        <w:w w:val="118"/>
                        <w:sz w:val="24"/>
                      </w:rPr>
                      <w:fldChar w:fldCharType="separate"/>
                    </w:r>
                    <w:r w:rsidR="00BC1D20">
                      <w:rPr>
                        <w:rFonts w:ascii="Calibri"/>
                        <w:b/>
                        <w:noProof/>
                        <w:color w:val="231F20"/>
                        <w:w w:val="118"/>
                        <w:sz w:val="24"/>
                      </w:rPr>
                      <w:t>236</w:t>
                    </w:r>
                    <w:r>
                      <w:rPr>
                        <w:rFonts w:ascii="Calibri"/>
                        <w:b/>
                        <w:color w:val="231F20"/>
                        <w:w w:val="118"/>
                        <w:sz w:val="24"/>
                      </w:rPr>
                      <w:fldChar w:fldCharType="end"/>
                    </w:r>
                  </w:p>
                </w:txbxContent>
              </v:textbox>
              <w10:wrap anchorx="page" anchory="page"/>
            </v:shape>
          </w:pict>
        </mc:Fallback>
      </mc:AlternateContent>
    </w:r>
    <w:r>
      <w:rPr>
        <w:noProof/>
      </w:rPr>
      <mc:AlternateContent>
        <mc:Choice Requires="wps">
          <w:drawing>
            <wp:anchor distT="0" distB="0" distL="114300" distR="114300" simplePos="0" relativeHeight="251658289" behindDoc="1" locked="0" layoutInCell="1" allowOverlap="1" wp14:anchorId="2C3EFC2B" wp14:editId="07C32706">
              <wp:simplePos x="0" y="0"/>
              <wp:positionH relativeFrom="page">
                <wp:posOffset>781050</wp:posOffset>
              </wp:positionH>
              <wp:positionV relativeFrom="page">
                <wp:posOffset>9559925</wp:posOffset>
              </wp:positionV>
              <wp:extent cx="4903470" cy="153035"/>
              <wp:effectExtent l="0" t="0" r="0" b="0"/>
              <wp:wrapNone/>
              <wp:docPr id="259" name="Text Box 2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03470" cy="1530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5D4086" w14:textId="77777777" w:rsidR="008601E5" w:rsidRDefault="008601E5">
                          <w:pPr>
                            <w:spacing w:line="227" w:lineRule="exact"/>
                            <w:ind w:left="20"/>
                            <w:rPr>
                              <w:rFonts w:ascii="Arial" w:hAnsi="Arial" w:cs="Arial"/>
                              <w:sz w:val="20"/>
                              <w:szCs w:val="20"/>
                            </w:rPr>
                          </w:pPr>
                          <w:r>
                            <w:rPr>
                              <w:rFonts w:ascii="Calibri" w:hAnsi="Calibri" w:cs="Calibri"/>
                              <w:b/>
                              <w:bCs/>
                              <w:color w:val="231F20"/>
                              <w:w w:val="109"/>
                              <w:sz w:val="20"/>
                              <w:szCs w:val="20"/>
                            </w:rPr>
                            <w:t>Section</w:t>
                          </w:r>
                          <w:r>
                            <w:rPr>
                              <w:rFonts w:ascii="Calibri" w:hAnsi="Calibri" w:cs="Calibri"/>
                              <w:b/>
                              <w:bCs/>
                              <w:color w:val="231F20"/>
                              <w:spacing w:val="6"/>
                              <w:sz w:val="20"/>
                              <w:szCs w:val="20"/>
                            </w:rPr>
                            <w:t xml:space="preserve"> </w:t>
                          </w:r>
                          <w:r>
                            <w:rPr>
                              <w:rFonts w:ascii="Calibri" w:hAnsi="Calibri" w:cs="Calibri"/>
                              <w:b/>
                              <w:bCs/>
                              <w:color w:val="231F20"/>
                              <w:w w:val="110"/>
                              <w:sz w:val="20"/>
                              <w:szCs w:val="20"/>
                            </w:rPr>
                            <w:t>X.</w:t>
                          </w:r>
                          <w:r>
                            <w:rPr>
                              <w:rFonts w:ascii="Calibri" w:hAnsi="Calibri" w:cs="Calibri"/>
                              <w:b/>
                              <w:bCs/>
                              <w:color w:val="231F20"/>
                              <w:spacing w:val="6"/>
                              <w:sz w:val="20"/>
                              <w:szCs w:val="20"/>
                            </w:rPr>
                            <w:t xml:space="preserve"> </w:t>
                          </w:r>
                          <w:r>
                            <w:rPr>
                              <w:rFonts w:ascii="Calibri" w:hAnsi="Calibri" w:cs="Calibri"/>
                              <w:b/>
                              <w:bCs/>
                              <w:color w:val="231F20"/>
                              <w:w w:val="111"/>
                              <w:sz w:val="20"/>
                              <w:szCs w:val="20"/>
                            </w:rPr>
                            <w:t>Specific</w:t>
                          </w:r>
                          <w:r>
                            <w:rPr>
                              <w:rFonts w:ascii="Calibri" w:hAnsi="Calibri" w:cs="Calibri"/>
                              <w:b/>
                              <w:bCs/>
                              <w:color w:val="231F20"/>
                              <w:spacing w:val="6"/>
                              <w:sz w:val="20"/>
                              <w:szCs w:val="20"/>
                            </w:rPr>
                            <w:t xml:space="preserve"> </w:t>
                          </w:r>
                          <w:r>
                            <w:rPr>
                              <w:rFonts w:ascii="Calibri" w:hAnsi="Calibri" w:cs="Calibri"/>
                              <w:b/>
                              <w:bCs/>
                              <w:color w:val="231F20"/>
                              <w:spacing w:val="-7"/>
                              <w:w w:val="111"/>
                              <w:sz w:val="20"/>
                              <w:szCs w:val="20"/>
                            </w:rPr>
                            <w:t>R</w:t>
                          </w:r>
                          <w:r>
                            <w:rPr>
                              <w:rFonts w:ascii="Calibri" w:hAnsi="Calibri" w:cs="Calibri"/>
                              <w:b/>
                              <w:bCs/>
                              <w:color w:val="231F20"/>
                              <w:w w:val="105"/>
                              <w:sz w:val="20"/>
                              <w:szCs w:val="20"/>
                            </w:rPr>
                            <w:t>equirements</w:t>
                          </w:r>
                          <w:r>
                            <w:rPr>
                              <w:rFonts w:ascii="Calibri" w:hAnsi="Calibri" w:cs="Calibri"/>
                              <w:b/>
                              <w:bCs/>
                              <w:color w:val="231F20"/>
                              <w:spacing w:val="6"/>
                              <w:sz w:val="20"/>
                              <w:szCs w:val="20"/>
                            </w:rPr>
                            <w:t xml:space="preserve"> </w:t>
                          </w:r>
                          <w:r>
                            <w:rPr>
                              <w:rFonts w:ascii="Calibri" w:hAnsi="Calibri" w:cs="Calibri"/>
                              <w:b/>
                              <w:bCs/>
                              <w:color w:val="231F20"/>
                              <w:w w:val="101"/>
                              <w:sz w:val="20"/>
                              <w:szCs w:val="20"/>
                            </w:rPr>
                            <w:t>for</w:t>
                          </w:r>
                          <w:r>
                            <w:rPr>
                              <w:rFonts w:ascii="Calibri" w:hAnsi="Calibri" w:cs="Calibri"/>
                              <w:b/>
                              <w:bCs/>
                              <w:color w:val="231F20"/>
                              <w:spacing w:val="6"/>
                              <w:sz w:val="20"/>
                              <w:szCs w:val="20"/>
                            </w:rPr>
                            <w:t xml:space="preserve"> </w:t>
                          </w:r>
                          <w:r>
                            <w:rPr>
                              <w:rFonts w:ascii="Calibri" w:hAnsi="Calibri" w:cs="Calibri"/>
                              <w:b/>
                              <w:bCs/>
                              <w:color w:val="231F20"/>
                              <w:w w:val="112"/>
                              <w:sz w:val="20"/>
                              <w:szCs w:val="20"/>
                            </w:rPr>
                            <w:t>Core</w:t>
                          </w:r>
                          <w:r>
                            <w:rPr>
                              <w:rFonts w:ascii="Calibri" w:hAnsi="Calibri" w:cs="Calibri"/>
                              <w:b/>
                              <w:bCs/>
                              <w:color w:val="231F20"/>
                              <w:spacing w:val="6"/>
                              <w:sz w:val="20"/>
                              <w:szCs w:val="20"/>
                            </w:rPr>
                            <w:t xml:space="preserve"> </w:t>
                          </w:r>
                          <w:r>
                            <w:rPr>
                              <w:rFonts w:ascii="Calibri" w:hAnsi="Calibri" w:cs="Calibri"/>
                              <w:b/>
                              <w:bCs/>
                              <w:color w:val="231F20"/>
                              <w:w w:val="109"/>
                              <w:sz w:val="20"/>
                              <w:szCs w:val="20"/>
                            </w:rPr>
                            <w:t>Programs</w:t>
                          </w:r>
                          <w:r>
                            <w:rPr>
                              <w:rFonts w:ascii="Calibri" w:hAnsi="Calibri" w:cs="Calibri"/>
                              <w:b/>
                              <w:bCs/>
                              <w:color w:val="231F20"/>
                              <w:spacing w:val="-1"/>
                              <w:w w:val="109"/>
                              <w:sz w:val="20"/>
                              <w:szCs w:val="20"/>
                            </w:rPr>
                            <w:t>–</w:t>
                          </w:r>
                          <w:r>
                            <w:rPr>
                              <w:rFonts w:ascii="Arial" w:hAnsi="Arial" w:cs="Arial"/>
                              <w:b/>
                              <w:bCs/>
                              <w:i/>
                              <w:color w:val="231F20"/>
                              <w:w w:val="93"/>
                              <w:sz w:val="20"/>
                              <w:szCs w:val="20"/>
                            </w:rPr>
                            <w:t>Florida</w:t>
                          </w:r>
                          <w:r>
                            <w:rPr>
                              <w:rFonts w:ascii="Arial" w:hAnsi="Arial" w:cs="Arial"/>
                              <w:b/>
                              <w:bCs/>
                              <w:i/>
                              <w:color w:val="231F20"/>
                              <w:spacing w:val="-5"/>
                              <w:sz w:val="20"/>
                              <w:szCs w:val="20"/>
                            </w:rPr>
                            <w:t xml:space="preserve"> </w:t>
                          </w:r>
                          <w:r>
                            <w:rPr>
                              <w:rFonts w:ascii="Arial" w:hAnsi="Arial" w:cs="Arial"/>
                              <w:b/>
                              <w:bCs/>
                              <w:i/>
                              <w:color w:val="231F20"/>
                              <w:w w:val="91"/>
                              <w:sz w:val="20"/>
                              <w:szCs w:val="20"/>
                            </w:rPr>
                            <w:t>Division</w:t>
                          </w:r>
                          <w:r>
                            <w:rPr>
                              <w:rFonts w:ascii="Arial" w:hAnsi="Arial" w:cs="Arial"/>
                              <w:b/>
                              <w:bCs/>
                              <w:i/>
                              <w:color w:val="231F20"/>
                              <w:spacing w:val="-5"/>
                              <w:sz w:val="20"/>
                              <w:szCs w:val="20"/>
                            </w:rPr>
                            <w:t xml:space="preserve"> </w:t>
                          </w:r>
                          <w:r>
                            <w:rPr>
                              <w:rFonts w:ascii="Arial" w:hAnsi="Arial" w:cs="Arial"/>
                              <w:b/>
                              <w:bCs/>
                              <w:i/>
                              <w:color w:val="231F20"/>
                              <w:w w:val="93"/>
                              <w:sz w:val="20"/>
                              <w:szCs w:val="20"/>
                            </w:rPr>
                            <w:t>of</w:t>
                          </w:r>
                          <w:r>
                            <w:rPr>
                              <w:rFonts w:ascii="Arial" w:hAnsi="Arial" w:cs="Arial"/>
                              <w:b/>
                              <w:bCs/>
                              <w:i/>
                              <w:color w:val="231F20"/>
                              <w:spacing w:val="-5"/>
                              <w:sz w:val="20"/>
                              <w:szCs w:val="20"/>
                            </w:rPr>
                            <w:t xml:space="preserve"> </w:t>
                          </w:r>
                          <w:r>
                            <w:rPr>
                              <w:rFonts w:ascii="Arial" w:hAnsi="Arial" w:cs="Arial"/>
                              <w:b/>
                              <w:bCs/>
                              <w:i/>
                              <w:color w:val="231F20"/>
                              <w:w w:val="91"/>
                              <w:sz w:val="20"/>
                              <w:szCs w:val="20"/>
                            </w:rPr>
                            <w:t>Blind</w:t>
                          </w:r>
                          <w:r>
                            <w:rPr>
                              <w:rFonts w:ascii="Arial" w:hAnsi="Arial" w:cs="Arial"/>
                              <w:b/>
                              <w:bCs/>
                              <w:i/>
                              <w:color w:val="231F20"/>
                              <w:spacing w:val="-5"/>
                              <w:sz w:val="20"/>
                              <w:szCs w:val="20"/>
                            </w:rPr>
                            <w:t xml:space="preserve"> </w:t>
                          </w:r>
                          <w:r>
                            <w:rPr>
                              <w:rFonts w:ascii="Arial" w:hAnsi="Arial" w:cs="Arial"/>
                              <w:b/>
                              <w:bCs/>
                              <w:i/>
                              <w:color w:val="231F20"/>
                              <w:w w:val="91"/>
                              <w:sz w:val="20"/>
                              <w:szCs w:val="20"/>
                            </w:rPr>
                            <w:t>Services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C3EFC2B" id="Text Box 259" o:spid="_x0000_s1080" type="#_x0000_t202" style="position:absolute;margin-left:61.5pt;margin-top:752.75pt;width:386.1pt;height:12.05pt;z-index:-25165819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" filled="f" stroked="f">
              <v:textbox inset="0,0,0,0">
                <w:txbxContent>
                  <w:p w14:paraId="4E5D4086" w14:textId="77777777" w:rsidR="008601E5" w:rsidRDefault="008601E5">
                    <w:pPr>
                      <w:spacing w:line="227" w:lineRule="exact"/>
                      <w:ind w:left="20"/>
                      <w:rPr>
                        <w:rFonts w:ascii="Arial" w:hAnsi="Arial" w:cs="Arial"/>
                        <w:sz w:val="20"/>
                        <w:szCs w:val="20"/>
                      </w:rPr>
                    </w:pPr>
                    <w:r>
                      <w:rPr>
                        <w:rFonts w:ascii="Calibri" w:hAnsi="Calibri" w:cs="Calibri"/>
                        <w:b/>
                        <w:bCs/>
                        <w:color w:val="231F20"/>
                        <w:w w:val="109"/>
                        <w:sz w:val="20"/>
                        <w:szCs w:val="20"/>
                      </w:rPr>
                      <w:t>Section</w:t>
                    </w:r>
                    <w:r>
                      <w:rPr>
                        <w:rFonts w:ascii="Calibri" w:hAnsi="Calibri" w:cs="Calibri"/>
                        <w:b/>
                        <w:bCs/>
                        <w:color w:val="231F20"/>
                        <w:spacing w:val="6"/>
                        <w:sz w:val="20"/>
                        <w:szCs w:val="20"/>
                      </w:rPr>
                      <w:t xml:space="preserve"> </w:t>
                    </w:r>
                    <w:r>
                      <w:rPr>
                        <w:rFonts w:ascii="Calibri" w:hAnsi="Calibri" w:cs="Calibri"/>
                        <w:b/>
                        <w:bCs/>
                        <w:color w:val="231F20"/>
                        <w:w w:val="110"/>
                        <w:sz w:val="20"/>
                        <w:szCs w:val="20"/>
                      </w:rPr>
                      <w:t>X.</w:t>
                    </w:r>
                    <w:r>
                      <w:rPr>
                        <w:rFonts w:ascii="Calibri" w:hAnsi="Calibri" w:cs="Calibri"/>
                        <w:b/>
                        <w:bCs/>
                        <w:color w:val="231F20"/>
                        <w:spacing w:val="6"/>
                        <w:sz w:val="20"/>
                        <w:szCs w:val="20"/>
                      </w:rPr>
                      <w:t xml:space="preserve"> </w:t>
                    </w:r>
                    <w:r>
                      <w:rPr>
                        <w:rFonts w:ascii="Calibri" w:hAnsi="Calibri" w:cs="Calibri"/>
                        <w:b/>
                        <w:bCs/>
                        <w:color w:val="231F20"/>
                        <w:w w:val="111"/>
                        <w:sz w:val="20"/>
                        <w:szCs w:val="20"/>
                      </w:rPr>
                      <w:t>Specific</w:t>
                    </w:r>
                    <w:r>
                      <w:rPr>
                        <w:rFonts w:ascii="Calibri" w:hAnsi="Calibri" w:cs="Calibri"/>
                        <w:b/>
                        <w:bCs/>
                        <w:color w:val="231F20"/>
                        <w:spacing w:val="6"/>
                        <w:sz w:val="20"/>
                        <w:szCs w:val="20"/>
                      </w:rPr>
                      <w:t xml:space="preserve"> </w:t>
                    </w:r>
                    <w:r>
                      <w:rPr>
                        <w:rFonts w:ascii="Calibri" w:hAnsi="Calibri" w:cs="Calibri"/>
                        <w:b/>
                        <w:bCs/>
                        <w:color w:val="231F20"/>
                        <w:spacing w:val="-7"/>
                        <w:w w:val="111"/>
                        <w:sz w:val="20"/>
                        <w:szCs w:val="20"/>
                      </w:rPr>
                      <w:t>R</w:t>
                    </w:r>
                    <w:r>
                      <w:rPr>
                        <w:rFonts w:ascii="Calibri" w:hAnsi="Calibri" w:cs="Calibri"/>
                        <w:b/>
                        <w:bCs/>
                        <w:color w:val="231F20"/>
                        <w:w w:val="105"/>
                        <w:sz w:val="20"/>
                        <w:szCs w:val="20"/>
                      </w:rPr>
                      <w:t>equirements</w:t>
                    </w:r>
                    <w:r>
                      <w:rPr>
                        <w:rFonts w:ascii="Calibri" w:hAnsi="Calibri" w:cs="Calibri"/>
                        <w:b/>
                        <w:bCs/>
                        <w:color w:val="231F20"/>
                        <w:spacing w:val="6"/>
                        <w:sz w:val="20"/>
                        <w:szCs w:val="20"/>
                      </w:rPr>
                      <w:t xml:space="preserve"> </w:t>
                    </w:r>
                    <w:r>
                      <w:rPr>
                        <w:rFonts w:ascii="Calibri" w:hAnsi="Calibri" w:cs="Calibri"/>
                        <w:b/>
                        <w:bCs/>
                        <w:color w:val="231F20"/>
                        <w:w w:val="101"/>
                        <w:sz w:val="20"/>
                        <w:szCs w:val="20"/>
                      </w:rPr>
                      <w:t>for</w:t>
                    </w:r>
                    <w:r>
                      <w:rPr>
                        <w:rFonts w:ascii="Calibri" w:hAnsi="Calibri" w:cs="Calibri"/>
                        <w:b/>
                        <w:bCs/>
                        <w:color w:val="231F20"/>
                        <w:spacing w:val="6"/>
                        <w:sz w:val="20"/>
                        <w:szCs w:val="20"/>
                      </w:rPr>
                      <w:t xml:space="preserve"> </w:t>
                    </w:r>
                    <w:r>
                      <w:rPr>
                        <w:rFonts w:ascii="Calibri" w:hAnsi="Calibri" w:cs="Calibri"/>
                        <w:b/>
                        <w:bCs/>
                        <w:color w:val="231F20"/>
                        <w:w w:val="112"/>
                        <w:sz w:val="20"/>
                        <w:szCs w:val="20"/>
                      </w:rPr>
                      <w:t>Core</w:t>
                    </w:r>
                    <w:r>
                      <w:rPr>
                        <w:rFonts w:ascii="Calibri" w:hAnsi="Calibri" w:cs="Calibri"/>
                        <w:b/>
                        <w:bCs/>
                        <w:color w:val="231F20"/>
                        <w:spacing w:val="6"/>
                        <w:sz w:val="20"/>
                        <w:szCs w:val="20"/>
                      </w:rPr>
                      <w:t xml:space="preserve"> </w:t>
                    </w:r>
                    <w:r>
                      <w:rPr>
                        <w:rFonts w:ascii="Calibri" w:hAnsi="Calibri" w:cs="Calibri"/>
                        <w:b/>
                        <w:bCs/>
                        <w:color w:val="231F20"/>
                        <w:w w:val="109"/>
                        <w:sz w:val="20"/>
                        <w:szCs w:val="20"/>
                      </w:rPr>
                      <w:t>Programs</w:t>
                    </w:r>
                    <w:r>
                      <w:rPr>
                        <w:rFonts w:ascii="Calibri" w:hAnsi="Calibri" w:cs="Calibri"/>
                        <w:b/>
                        <w:bCs/>
                        <w:color w:val="231F20"/>
                        <w:spacing w:val="-1"/>
                        <w:w w:val="109"/>
                        <w:sz w:val="20"/>
                        <w:szCs w:val="20"/>
                      </w:rPr>
                      <w:t>–</w:t>
                    </w:r>
                    <w:r>
                      <w:rPr>
                        <w:rFonts w:ascii="Arial" w:hAnsi="Arial" w:cs="Arial"/>
                        <w:b/>
                        <w:bCs/>
                        <w:i/>
                        <w:color w:val="231F20"/>
                        <w:w w:val="93"/>
                        <w:sz w:val="20"/>
                        <w:szCs w:val="20"/>
                      </w:rPr>
                      <w:t>Florida</w:t>
                    </w:r>
                    <w:r>
                      <w:rPr>
                        <w:rFonts w:ascii="Arial" w:hAnsi="Arial" w:cs="Arial"/>
                        <w:b/>
                        <w:bCs/>
                        <w:i/>
                        <w:color w:val="231F20"/>
                        <w:spacing w:val="-5"/>
                        <w:sz w:val="20"/>
                        <w:szCs w:val="20"/>
                      </w:rPr>
                      <w:t xml:space="preserve"> </w:t>
                    </w:r>
                    <w:r>
                      <w:rPr>
                        <w:rFonts w:ascii="Arial" w:hAnsi="Arial" w:cs="Arial"/>
                        <w:b/>
                        <w:bCs/>
                        <w:i/>
                        <w:color w:val="231F20"/>
                        <w:w w:val="91"/>
                        <w:sz w:val="20"/>
                        <w:szCs w:val="20"/>
                      </w:rPr>
                      <w:t>Division</w:t>
                    </w:r>
                    <w:r>
                      <w:rPr>
                        <w:rFonts w:ascii="Arial" w:hAnsi="Arial" w:cs="Arial"/>
                        <w:b/>
                        <w:bCs/>
                        <w:i/>
                        <w:color w:val="231F20"/>
                        <w:spacing w:val="-5"/>
                        <w:sz w:val="20"/>
                        <w:szCs w:val="20"/>
                      </w:rPr>
                      <w:t xml:space="preserve"> </w:t>
                    </w:r>
                    <w:r>
                      <w:rPr>
                        <w:rFonts w:ascii="Arial" w:hAnsi="Arial" w:cs="Arial"/>
                        <w:b/>
                        <w:bCs/>
                        <w:i/>
                        <w:color w:val="231F20"/>
                        <w:w w:val="93"/>
                        <w:sz w:val="20"/>
                        <w:szCs w:val="20"/>
                      </w:rPr>
                      <w:t>of</w:t>
                    </w:r>
                    <w:r>
                      <w:rPr>
                        <w:rFonts w:ascii="Arial" w:hAnsi="Arial" w:cs="Arial"/>
                        <w:b/>
                        <w:bCs/>
                        <w:i/>
                        <w:color w:val="231F20"/>
                        <w:spacing w:val="-5"/>
                        <w:sz w:val="20"/>
                        <w:szCs w:val="20"/>
                      </w:rPr>
                      <w:t xml:space="preserve"> </w:t>
                    </w:r>
                    <w:r>
                      <w:rPr>
                        <w:rFonts w:ascii="Arial" w:hAnsi="Arial" w:cs="Arial"/>
                        <w:b/>
                        <w:bCs/>
                        <w:i/>
                        <w:color w:val="231F20"/>
                        <w:w w:val="91"/>
                        <w:sz w:val="20"/>
                        <w:szCs w:val="20"/>
                      </w:rPr>
                      <w:t>Blind</w:t>
                    </w:r>
                    <w:r>
                      <w:rPr>
                        <w:rFonts w:ascii="Arial" w:hAnsi="Arial" w:cs="Arial"/>
                        <w:b/>
                        <w:bCs/>
                        <w:i/>
                        <w:color w:val="231F20"/>
                        <w:spacing w:val="-5"/>
                        <w:sz w:val="20"/>
                        <w:szCs w:val="20"/>
                      </w:rPr>
                      <w:t xml:space="preserve"> </w:t>
                    </w:r>
                    <w:r>
                      <w:rPr>
                        <w:rFonts w:ascii="Arial" w:hAnsi="Arial" w:cs="Arial"/>
                        <w:b/>
                        <w:bCs/>
                        <w:i/>
                        <w:color w:val="231F20"/>
                        <w:w w:val="91"/>
                        <w:sz w:val="20"/>
                        <w:szCs w:val="20"/>
                      </w:rPr>
                      <w:t>Services</w:t>
                    </w:r>
                  </w:p>
                </w:txbxContent>
              </v:textbox>
              <w10:wrap anchorx="page" anchory="page"/>
            </v:shape>
          </w:pict>
        </mc:Fallback>
      </mc:AlternateContent>
    </w:r>
  </w:p>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3C3708B" w14:textId="769F3AB2" w:rsidR="008601E5" w:rsidRDefault="008601E5">
    <w:pPr>
      <w:spacing w:line="14" w:lineRule="auto"/>
      <w:rPr>
        <w:sz w:val="20"/>
        <w:szCs w:val="20"/>
      </w:rPr>
    </w:pPr>
    <w:r>
      <w:rPr>
        <w:noProof/>
      </w:rPr>
      <mc:AlternateContent>
        <mc:Choice Requires="wps">
          <w:drawing>
            <wp:anchor distT="0" distB="0" distL="114300" distR="114300" simplePos="0" relativeHeight="251658290" behindDoc="1" locked="0" layoutInCell="1" allowOverlap="1" wp14:anchorId="63E18C09" wp14:editId="6C1EDA07">
              <wp:simplePos x="0" y="0"/>
              <wp:positionH relativeFrom="page">
                <wp:posOffset>6830060</wp:posOffset>
              </wp:positionH>
              <wp:positionV relativeFrom="page">
                <wp:posOffset>9555480</wp:posOffset>
              </wp:positionV>
              <wp:extent cx="327660" cy="177800"/>
              <wp:effectExtent l="0" t="0" r="0" b="0"/>
              <wp:wrapNone/>
              <wp:docPr id="248" name="Text Box 2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7660"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BF50D6" w14:textId="1542BB87" w:rsidR="008601E5" w:rsidRDefault="008601E5">
                          <w:pPr>
                            <w:spacing w:line="267" w:lineRule="exact"/>
                            <w:ind w:left="40"/>
                            <w:rPr>
                              <w:rFonts w:ascii="Calibri" w:hAnsi="Calibri" w:cs="Calibri"/>
                              <w:sz w:val="24"/>
                              <w:szCs w:val="24"/>
                            </w:rPr>
                          </w:pPr>
                          <w:r>
                            <w:rPr>
                              <w:rFonts w:ascii="Calibri"/>
                              <w:b/>
                              <w:color w:val="231F20"/>
                              <w:w w:val="119"/>
                              <w:sz w:val="24"/>
                            </w:rPr>
                            <w:fldChar w:fldCharType="begin"/>
                          </w:r>
                          <w:r>
                            <w:rPr>
                              <w:rFonts w:ascii="Calibri"/>
                              <w:b/>
                              <w:color w:val="231F20"/>
                              <w:w w:val="119"/>
                              <w:sz w:val="24"/>
                            </w:rPr>
                            <w:instrText xml:space="preserve"> PAGE </w:instrText>
                          </w:r>
                          <w:r>
                            <w:rPr>
                              <w:rFonts w:ascii="Calibri"/>
                              <w:b/>
                              <w:color w:val="231F20"/>
                              <w:w w:val="119"/>
                              <w:sz w:val="24"/>
                            </w:rPr>
                            <w:fldChar w:fldCharType="separate"/>
                          </w:r>
                          <w:r w:rsidR="00BC1D20">
                            <w:rPr>
                              <w:rFonts w:ascii="Calibri"/>
                              <w:b/>
                              <w:noProof/>
                              <w:color w:val="231F20"/>
                              <w:w w:val="119"/>
                              <w:sz w:val="24"/>
                            </w:rPr>
                            <w:t>246</w:t>
                          </w:r>
                          <w:r>
                            <w:rPr>
                              <w:rFonts w:ascii="Calibri"/>
                              <w:b/>
                              <w:color w:val="231F20"/>
                              <w:w w:val="119"/>
                              <w:sz w:val="24"/>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3E18C09" id="_x0000_t202" coordsize="21600,21600" o:spt="202" path="m,l,21600r21600,l21600,xe">
              <v:stroke joinstyle="miter"/>
              <v:path gradientshapeok="t" o:connecttype="rect"/>
            </v:shapetype>
            <v:shape id="Text Box 248" o:spid="_x0000_s1081" type="#_x0000_t202" style="position:absolute;margin-left:537.8pt;margin-top:752.4pt;width:25.8pt;height:14pt;z-index:-25165819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" filled="f" stroked="f">
              <v:textbox inset="0,0,0,0">
                <w:txbxContent>
                  <w:p w14:paraId="32BF50D6" w14:textId="1542BB87" w:rsidR="008601E5" w:rsidRDefault="008601E5">
                    <w:pPr>
                      <w:spacing w:line="267" w:lineRule="exact"/>
                      <w:ind w:left="40"/>
                      <w:rPr>
                        <w:rFonts w:ascii="Calibri" w:hAnsi="Calibri" w:cs="Calibri"/>
                        <w:sz w:val="24"/>
                        <w:szCs w:val="24"/>
                      </w:rPr>
                    </w:pPr>
                    <w:r>
                      <w:rPr>
                        <w:rFonts w:ascii="Calibri"/>
                        <w:b/>
                        <w:color w:val="231F20"/>
                        <w:w w:val="119"/>
                        <w:sz w:val="24"/>
                      </w:rPr>
                      <w:fldChar w:fldCharType="begin"/>
                    </w:r>
                    <w:r>
                      <w:rPr>
                        <w:rFonts w:ascii="Calibri"/>
                        <w:b/>
                        <w:color w:val="231F20"/>
                        <w:w w:val="119"/>
                        <w:sz w:val="24"/>
                      </w:rPr>
                      <w:instrText xml:space="preserve"> PAGE </w:instrText>
                    </w:r>
                    <w:r>
                      <w:rPr>
                        <w:rFonts w:ascii="Calibri"/>
                        <w:b/>
                        <w:color w:val="231F20"/>
                        <w:w w:val="119"/>
                        <w:sz w:val="24"/>
                      </w:rPr>
                      <w:fldChar w:fldCharType="separate"/>
                    </w:r>
                    <w:r w:rsidR="00BC1D20">
                      <w:rPr>
                        <w:rFonts w:ascii="Calibri"/>
                        <w:b/>
                        <w:noProof/>
                        <w:color w:val="231F20"/>
                        <w:w w:val="119"/>
                        <w:sz w:val="24"/>
                      </w:rPr>
                      <w:t>246</w:t>
                    </w:r>
                    <w:r>
                      <w:rPr>
                        <w:rFonts w:ascii="Calibri"/>
                        <w:b/>
                        <w:color w:val="231F20"/>
                        <w:w w:val="119"/>
                        <w:sz w:val="24"/>
                      </w:rPr>
                      <w:fldChar w:fldCharType="end"/>
                    </w:r>
                  </w:p>
                </w:txbxContent>
              </v:textbox>
              <w10:wrap anchorx="page" anchory="page"/>
            </v:shape>
          </w:pict>
        </mc:Fallback>
      </mc:AlternateContent>
    </w:r>
    <w:r>
      <w:rPr>
        <w:noProof/>
      </w:rPr>
      <mc:AlternateContent>
        <mc:Choice Requires="wps">
          <w:drawing>
            <wp:anchor distT="0" distB="0" distL="114300" distR="114300" simplePos="0" relativeHeight="251658291" behindDoc="1" locked="0" layoutInCell="1" allowOverlap="1" wp14:anchorId="5EC62F40" wp14:editId="5877A5B1">
              <wp:simplePos x="0" y="0"/>
              <wp:positionH relativeFrom="page">
                <wp:posOffset>781050</wp:posOffset>
              </wp:positionH>
              <wp:positionV relativeFrom="page">
                <wp:posOffset>9559925</wp:posOffset>
              </wp:positionV>
              <wp:extent cx="4903470" cy="153035"/>
              <wp:effectExtent l="0" t="0" r="0" b="0"/>
              <wp:wrapNone/>
              <wp:docPr id="247" name="Text Box 2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03470" cy="1530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AAB427" w14:textId="77777777" w:rsidR="008601E5" w:rsidRDefault="008601E5">
                          <w:pPr>
                            <w:spacing w:line="227" w:lineRule="exact"/>
                            <w:ind w:left="20"/>
                            <w:rPr>
                              <w:rFonts w:ascii="Arial" w:hAnsi="Arial" w:cs="Arial"/>
                              <w:sz w:val="20"/>
                              <w:szCs w:val="20"/>
                            </w:rPr>
                          </w:pPr>
                          <w:r>
                            <w:rPr>
                              <w:rFonts w:ascii="Calibri" w:hAnsi="Calibri" w:cs="Calibri"/>
                              <w:b/>
                              <w:bCs/>
                              <w:color w:val="231F20"/>
                              <w:w w:val="109"/>
                              <w:sz w:val="20"/>
                              <w:szCs w:val="20"/>
                            </w:rPr>
                            <w:t>Section</w:t>
                          </w:r>
                          <w:r>
                            <w:rPr>
                              <w:rFonts w:ascii="Calibri" w:hAnsi="Calibri" w:cs="Calibri"/>
                              <w:b/>
                              <w:bCs/>
                              <w:color w:val="231F20"/>
                              <w:spacing w:val="6"/>
                              <w:sz w:val="20"/>
                              <w:szCs w:val="20"/>
                            </w:rPr>
                            <w:t xml:space="preserve"> </w:t>
                          </w:r>
                          <w:r>
                            <w:rPr>
                              <w:rFonts w:ascii="Calibri" w:hAnsi="Calibri" w:cs="Calibri"/>
                              <w:b/>
                              <w:bCs/>
                              <w:color w:val="231F20"/>
                              <w:w w:val="110"/>
                              <w:sz w:val="20"/>
                              <w:szCs w:val="20"/>
                            </w:rPr>
                            <w:t>X.</w:t>
                          </w:r>
                          <w:r>
                            <w:rPr>
                              <w:rFonts w:ascii="Calibri" w:hAnsi="Calibri" w:cs="Calibri"/>
                              <w:b/>
                              <w:bCs/>
                              <w:color w:val="231F20"/>
                              <w:spacing w:val="6"/>
                              <w:sz w:val="20"/>
                              <w:szCs w:val="20"/>
                            </w:rPr>
                            <w:t xml:space="preserve"> </w:t>
                          </w:r>
                          <w:r>
                            <w:rPr>
                              <w:rFonts w:ascii="Calibri" w:hAnsi="Calibri" w:cs="Calibri"/>
                              <w:b/>
                              <w:bCs/>
                              <w:color w:val="231F20"/>
                              <w:w w:val="111"/>
                              <w:sz w:val="20"/>
                              <w:szCs w:val="20"/>
                            </w:rPr>
                            <w:t>Specific</w:t>
                          </w:r>
                          <w:r>
                            <w:rPr>
                              <w:rFonts w:ascii="Calibri" w:hAnsi="Calibri" w:cs="Calibri"/>
                              <w:b/>
                              <w:bCs/>
                              <w:color w:val="231F20"/>
                              <w:spacing w:val="6"/>
                              <w:sz w:val="20"/>
                              <w:szCs w:val="20"/>
                            </w:rPr>
                            <w:t xml:space="preserve"> </w:t>
                          </w:r>
                          <w:r>
                            <w:rPr>
                              <w:rFonts w:ascii="Calibri" w:hAnsi="Calibri" w:cs="Calibri"/>
                              <w:b/>
                              <w:bCs/>
                              <w:color w:val="231F20"/>
                              <w:spacing w:val="-7"/>
                              <w:w w:val="111"/>
                              <w:sz w:val="20"/>
                              <w:szCs w:val="20"/>
                            </w:rPr>
                            <w:t>R</w:t>
                          </w:r>
                          <w:r>
                            <w:rPr>
                              <w:rFonts w:ascii="Calibri" w:hAnsi="Calibri" w:cs="Calibri"/>
                              <w:b/>
                              <w:bCs/>
                              <w:color w:val="231F20"/>
                              <w:w w:val="105"/>
                              <w:sz w:val="20"/>
                              <w:szCs w:val="20"/>
                            </w:rPr>
                            <w:t>equirements</w:t>
                          </w:r>
                          <w:r>
                            <w:rPr>
                              <w:rFonts w:ascii="Calibri" w:hAnsi="Calibri" w:cs="Calibri"/>
                              <w:b/>
                              <w:bCs/>
                              <w:color w:val="231F20"/>
                              <w:spacing w:val="6"/>
                              <w:sz w:val="20"/>
                              <w:szCs w:val="20"/>
                            </w:rPr>
                            <w:t xml:space="preserve"> </w:t>
                          </w:r>
                          <w:r>
                            <w:rPr>
                              <w:rFonts w:ascii="Calibri" w:hAnsi="Calibri" w:cs="Calibri"/>
                              <w:b/>
                              <w:bCs/>
                              <w:color w:val="231F20"/>
                              <w:w w:val="101"/>
                              <w:sz w:val="20"/>
                              <w:szCs w:val="20"/>
                            </w:rPr>
                            <w:t>for</w:t>
                          </w:r>
                          <w:r>
                            <w:rPr>
                              <w:rFonts w:ascii="Calibri" w:hAnsi="Calibri" w:cs="Calibri"/>
                              <w:b/>
                              <w:bCs/>
                              <w:color w:val="231F20"/>
                              <w:spacing w:val="6"/>
                              <w:sz w:val="20"/>
                              <w:szCs w:val="20"/>
                            </w:rPr>
                            <w:t xml:space="preserve"> </w:t>
                          </w:r>
                          <w:r>
                            <w:rPr>
                              <w:rFonts w:ascii="Calibri" w:hAnsi="Calibri" w:cs="Calibri"/>
                              <w:b/>
                              <w:bCs/>
                              <w:color w:val="231F20"/>
                              <w:w w:val="112"/>
                              <w:sz w:val="20"/>
                              <w:szCs w:val="20"/>
                            </w:rPr>
                            <w:t>Core</w:t>
                          </w:r>
                          <w:r>
                            <w:rPr>
                              <w:rFonts w:ascii="Calibri" w:hAnsi="Calibri" w:cs="Calibri"/>
                              <w:b/>
                              <w:bCs/>
                              <w:color w:val="231F20"/>
                              <w:spacing w:val="6"/>
                              <w:sz w:val="20"/>
                              <w:szCs w:val="20"/>
                            </w:rPr>
                            <w:t xml:space="preserve"> </w:t>
                          </w:r>
                          <w:r>
                            <w:rPr>
                              <w:rFonts w:ascii="Calibri" w:hAnsi="Calibri" w:cs="Calibri"/>
                              <w:b/>
                              <w:bCs/>
                              <w:color w:val="231F20"/>
                              <w:w w:val="109"/>
                              <w:sz w:val="20"/>
                              <w:szCs w:val="20"/>
                            </w:rPr>
                            <w:t>Programs</w:t>
                          </w:r>
                          <w:r>
                            <w:rPr>
                              <w:rFonts w:ascii="Calibri" w:hAnsi="Calibri" w:cs="Calibri"/>
                              <w:b/>
                              <w:bCs/>
                              <w:color w:val="231F20"/>
                              <w:spacing w:val="-1"/>
                              <w:w w:val="109"/>
                              <w:sz w:val="20"/>
                              <w:szCs w:val="20"/>
                            </w:rPr>
                            <w:t>–</w:t>
                          </w:r>
                          <w:r>
                            <w:rPr>
                              <w:rFonts w:ascii="Arial" w:hAnsi="Arial" w:cs="Arial"/>
                              <w:b/>
                              <w:bCs/>
                              <w:i/>
                              <w:color w:val="231F20"/>
                              <w:w w:val="93"/>
                              <w:sz w:val="20"/>
                              <w:szCs w:val="20"/>
                            </w:rPr>
                            <w:t>Florida</w:t>
                          </w:r>
                          <w:r>
                            <w:rPr>
                              <w:rFonts w:ascii="Arial" w:hAnsi="Arial" w:cs="Arial"/>
                              <w:b/>
                              <w:bCs/>
                              <w:i/>
                              <w:color w:val="231F20"/>
                              <w:spacing w:val="-5"/>
                              <w:sz w:val="20"/>
                              <w:szCs w:val="20"/>
                            </w:rPr>
                            <w:t xml:space="preserve"> </w:t>
                          </w:r>
                          <w:r>
                            <w:rPr>
                              <w:rFonts w:ascii="Arial" w:hAnsi="Arial" w:cs="Arial"/>
                              <w:b/>
                              <w:bCs/>
                              <w:i/>
                              <w:color w:val="231F20"/>
                              <w:w w:val="91"/>
                              <w:sz w:val="20"/>
                              <w:szCs w:val="20"/>
                            </w:rPr>
                            <w:t>Division</w:t>
                          </w:r>
                          <w:r>
                            <w:rPr>
                              <w:rFonts w:ascii="Arial" w:hAnsi="Arial" w:cs="Arial"/>
                              <w:b/>
                              <w:bCs/>
                              <w:i/>
                              <w:color w:val="231F20"/>
                              <w:spacing w:val="-5"/>
                              <w:sz w:val="20"/>
                              <w:szCs w:val="20"/>
                            </w:rPr>
                            <w:t xml:space="preserve"> </w:t>
                          </w:r>
                          <w:r>
                            <w:rPr>
                              <w:rFonts w:ascii="Arial" w:hAnsi="Arial" w:cs="Arial"/>
                              <w:b/>
                              <w:bCs/>
                              <w:i/>
                              <w:color w:val="231F20"/>
                              <w:w w:val="93"/>
                              <w:sz w:val="20"/>
                              <w:szCs w:val="20"/>
                            </w:rPr>
                            <w:t>of</w:t>
                          </w:r>
                          <w:r>
                            <w:rPr>
                              <w:rFonts w:ascii="Arial" w:hAnsi="Arial" w:cs="Arial"/>
                              <w:b/>
                              <w:bCs/>
                              <w:i/>
                              <w:color w:val="231F20"/>
                              <w:spacing w:val="-5"/>
                              <w:sz w:val="20"/>
                              <w:szCs w:val="20"/>
                            </w:rPr>
                            <w:t xml:space="preserve"> </w:t>
                          </w:r>
                          <w:r>
                            <w:rPr>
                              <w:rFonts w:ascii="Arial" w:hAnsi="Arial" w:cs="Arial"/>
                              <w:b/>
                              <w:bCs/>
                              <w:i/>
                              <w:color w:val="231F20"/>
                              <w:w w:val="91"/>
                              <w:sz w:val="20"/>
                              <w:szCs w:val="20"/>
                            </w:rPr>
                            <w:t>Blind</w:t>
                          </w:r>
                          <w:r>
                            <w:rPr>
                              <w:rFonts w:ascii="Arial" w:hAnsi="Arial" w:cs="Arial"/>
                              <w:b/>
                              <w:bCs/>
                              <w:i/>
                              <w:color w:val="231F20"/>
                              <w:spacing w:val="-5"/>
                              <w:sz w:val="20"/>
                              <w:szCs w:val="20"/>
                            </w:rPr>
                            <w:t xml:space="preserve"> </w:t>
                          </w:r>
                          <w:r>
                            <w:rPr>
                              <w:rFonts w:ascii="Arial" w:hAnsi="Arial" w:cs="Arial"/>
                              <w:b/>
                              <w:bCs/>
                              <w:i/>
                              <w:color w:val="231F20"/>
                              <w:w w:val="91"/>
                              <w:sz w:val="20"/>
                              <w:szCs w:val="20"/>
                            </w:rPr>
                            <w:t>Services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EC62F40" id="Text Box 247" o:spid="_x0000_s1082" type="#_x0000_t202" style="position:absolute;margin-left:61.5pt;margin-top:752.75pt;width:386.1pt;height:12.05pt;z-index:-25165818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" filled="f" stroked="f">
              <v:textbox inset="0,0,0,0">
                <w:txbxContent>
                  <w:p w14:paraId="6BAAB427" w14:textId="77777777" w:rsidR="008601E5" w:rsidRDefault="008601E5">
                    <w:pPr>
                      <w:spacing w:line="227" w:lineRule="exact"/>
                      <w:ind w:left="20"/>
                      <w:rPr>
                        <w:rFonts w:ascii="Arial" w:hAnsi="Arial" w:cs="Arial"/>
                        <w:sz w:val="20"/>
                        <w:szCs w:val="20"/>
                      </w:rPr>
                    </w:pPr>
                    <w:r>
                      <w:rPr>
                        <w:rFonts w:ascii="Calibri" w:hAnsi="Calibri" w:cs="Calibri"/>
                        <w:b/>
                        <w:bCs/>
                        <w:color w:val="231F20"/>
                        <w:w w:val="109"/>
                        <w:sz w:val="20"/>
                        <w:szCs w:val="20"/>
                      </w:rPr>
                      <w:t>Section</w:t>
                    </w:r>
                    <w:r>
                      <w:rPr>
                        <w:rFonts w:ascii="Calibri" w:hAnsi="Calibri" w:cs="Calibri"/>
                        <w:b/>
                        <w:bCs/>
                        <w:color w:val="231F20"/>
                        <w:spacing w:val="6"/>
                        <w:sz w:val="20"/>
                        <w:szCs w:val="20"/>
                      </w:rPr>
                      <w:t xml:space="preserve"> </w:t>
                    </w:r>
                    <w:r>
                      <w:rPr>
                        <w:rFonts w:ascii="Calibri" w:hAnsi="Calibri" w:cs="Calibri"/>
                        <w:b/>
                        <w:bCs/>
                        <w:color w:val="231F20"/>
                        <w:w w:val="110"/>
                        <w:sz w:val="20"/>
                        <w:szCs w:val="20"/>
                      </w:rPr>
                      <w:t>X.</w:t>
                    </w:r>
                    <w:r>
                      <w:rPr>
                        <w:rFonts w:ascii="Calibri" w:hAnsi="Calibri" w:cs="Calibri"/>
                        <w:b/>
                        <w:bCs/>
                        <w:color w:val="231F20"/>
                        <w:spacing w:val="6"/>
                        <w:sz w:val="20"/>
                        <w:szCs w:val="20"/>
                      </w:rPr>
                      <w:t xml:space="preserve"> </w:t>
                    </w:r>
                    <w:r>
                      <w:rPr>
                        <w:rFonts w:ascii="Calibri" w:hAnsi="Calibri" w:cs="Calibri"/>
                        <w:b/>
                        <w:bCs/>
                        <w:color w:val="231F20"/>
                        <w:w w:val="111"/>
                        <w:sz w:val="20"/>
                        <w:szCs w:val="20"/>
                      </w:rPr>
                      <w:t>Specific</w:t>
                    </w:r>
                    <w:r>
                      <w:rPr>
                        <w:rFonts w:ascii="Calibri" w:hAnsi="Calibri" w:cs="Calibri"/>
                        <w:b/>
                        <w:bCs/>
                        <w:color w:val="231F20"/>
                        <w:spacing w:val="6"/>
                        <w:sz w:val="20"/>
                        <w:szCs w:val="20"/>
                      </w:rPr>
                      <w:t xml:space="preserve"> </w:t>
                    </w:r>
                    <w:r>
                      <w:rPr>
                        <w:rFonts w:ascii="Calibri" w:hAnsi="Calibri" w:cs="Calibri"/>
                        <w:b/>
                        <w:bCs/>
                        <w:color w:val="231F20"/>
                        <w:spacing w:val="-7"/>
                        <w:w w:val="111"/>
                        <w:sz w:val="20"/>
                        <w:szCs w:val="20"/>
                      </w:rPr>
                      <w:t>R</w:t>
                    </w:r>
                    <w:r>
                      <w:rPr>
                        <w:rFonts w:ascii="Calibri" w:hAnsi="Calibri" w:cs="Calibri"/>
                        <w:b/>
                        <w:bCs/>
                        <w:color w:val="231F20"/>
                        <w:w w:val="105"/>
                        <w:sz w:val="20"/>
                        <w:szCs w:val="20"/>
                      </w:rPr>
                      <w:t>equirements</w:t>
                    </w:r>
                    <w:r>
                      <w:rPr>
                        <w:rFonts w:ascii="Calibri" w:hAnsi="Calibri" w:cs="Calibri"/>
                        <w:b/>
                        <w:bCs/>
                        <w:color w:val="231F20"/>
                        <w:spacing w:val="6"/>
                        <w:sz w:val="20"/>
                        <w:szCs w:val="20"/>
                      </w:rPr>
                      <w:t xml:space="preserve"> </w:t>
                    </w:r>
                    <w:r>
                      <w:rPr>
                        <w:rFonts w:ascii="Calibri" w:hAnsi="Calibri" w:cs="Calibri"/>
                        <w:b/>
                        <w:bCs/>
                        <w:color w:val="231F20"/>
                        <w:w w:val="101"/>
                        <w:sz w:val="20"/>
                        <w:szCs w:val="20"/>
                      </w:rPr>
                      <w:t>for</w:t>
                    </w:r>
                    <w:r>
                      <w:rPr>
                        <w:rFonts w:ascii="Calibri" w:hAnsi="Calibri" w:cs="Calibri"/>
                        <w:b/>
                        <w:bCs/>
                        <w:color w:val="231F20"/>
                        <w:spacing w:val="6"/>
                        <w:sz w:val="20"/>
                        <w:szCs w:val="20"/>
                      </w:rPr>
                      <w:t xml:space="preserve"> </w:t>
                    </w:r>
                    <w:r>
                      <w:rPr>
                        <w:rFonts w:ascii="Calibri" w:hAnsi="Calibri" w:cs="Calibri"/>
                        <w:b/>
                        <w:bCs/>
                        <w:color w:val="231F20"/>
                        <w:w w:val="112"/>
                        <w:sz w:val="20"/>
                        <w:szCs w:val="20"/>
                      </w:rPr>
                      <w:t>Core</w:t>
                    </w:r>
                    <w:r>
                      <w:rPr>
                        <w:rFonts w:ascii="Calibri" w:hAnsi="Calibri" w:cs="Calibri"/>
                        <w:b/>
                        <w:bCs/>
                        <w:color w:val="231F20"/>
                        <w:spacing w:val="6"/>
                        <w:sz w:val="20"/>
                        <w:szCs w:val="20"/>
                      </w:rPr>
                      <w:t xml:space="preserve"> </w:t>
                    </w:r>
                    <w:r>
                      <w:rPr>
                        <w:rFonts w:ascii="Calibri" w:hAnsi="Calibri" w:cs="Calibri"/>
                        <w:b/>
                        <w:bCs/>
                        <w:color w:val="231F20"/>
                        <w:w w:val="109"/>
                        <w:sz w:val="20"/>
                        <w:szCs w:val="20"/>
                      </w:rPr>
                      <w:t>Programs</w:t>
                    </w:r>
                    <w:r>
                      <w:rPr>
                        <w:rFonts w:ascii="Calibri" w:hAnsi="Calibri" w:cs="Calibri"/>
                        <w:b/>
                        <w:bCs/>
                        <w:color w:val="231F20"/>
                        <w:spacing w:val="-1"/>
                        <w:w w:val="109"/>
                        <w:sz w:val="20"/>
                        <w:szCs w:val="20"/>
                      </w:rPr>
                      <w:t>–</w:t>
                    </w:r>
                    <w:r>
                      <w:rPr>
                        <w:rFonts w:ascii="Arial" w:hAnsi="Arial" w:cs="Arial"/>
                        <w:b/>
                        <w:bCs/>
                        <w:i/>
                        <w:color w:val="231F20"/>
                        <w:w w:val="93"/>
                        <w:sz w:val="20"/>
                        <w:szCs w:val="20"/>
                      </w:rPr>
                      <w:t>Florida</w:t>
                    </w:r>
                    <w:r>
                      <w:rPr>
                        <w:rFonts w:ascii="Arial" w:hAnsi="Arial" w:cs="Arial"/>
                        <w:b/>
                        <w:bCs/>
                        <w:i/>
                        <w:color w:val="231F20"/>
                        <w:spacing w:val="-5"/>
                        <w:sz w:val="20"/>
                        <w:szCs w:val="20"/>
                      </w:rPr>
                      <w:t xml:space="preserve"> </w:t>
                    </w:r>
                    <w:r>
                      <w:rPr>
                        <w:rFonts w:ascii="Arial" w:hAnsi="Arial" w:cs="Arial"/>
                        <w:b/>
                        <w:bCs/>
                        <w:i/>
                        <w:color w:val="231F20"/>
                        <w:w w:val="91"/>
                        <w:sz w:val="20"/>
                        <w:szCs w:val="20"/>
                      </w:rPr>
                      <w:t>Division</w:t>
                    </w:r>
                    <w:r>
                      <w:rPr>
                        <w:rFonts w:ascii="Arial" w:hAnsi="Arial" w:cs="Arial"/>
                        <w:b/>
                        <w:bCs/>
                        <w:i/>
                        <w:color w:val="231F20"/>
                        <w:spacing w:val="-5"/>
                        <w:sz w:val="20"/>
                        <w:szCs w:val="20"/>
                      </w:rPr>
                      <w:t xml:space="preserve"> </w:t>
                    </w:r>
                    <w:r>
                      <w:rPr>
                        <w:rFonts w:ascii="Arial" w:hAnsi="Arial" w:cs="Arial"/>
                        <w:b/>
                        <w:bCs/>
                        <w:i/>
                        <w:color w:val="231F20"/>
                        <w:w w:val="93"/>
                        <w:sz w:val="20"/>
                        <w:szCs w:val="20"/>
                      </w:rPr>
                      <w:t>of</w:t>
                    </w:r>
                    <w:r>
                      <w:rPr>
                        <w:rFonts w:ascii="Arial" w:hAnsi="Arial" w:cs="Arial"/>
                        <w:b/>
                        <w:bCs/>
                        <w:i/>
                        <w:color w:val="231F20"/>
                        <w:spacing w:val="-5"/>
                        <w:sz w:val="20"/>
                        <w:szCs w:val="20"/>
                      </w:rPr>
                      <w:t xml:space="preserve"> </w:t>
                    </w:r>
                    <w:r>
                      <w:rPr>
                        <w:rFonts w:ascii="Arial" w:hAnsi="Arial" w:cs="Arial"/>
                        <w:b/>
                        <w:bCs/>
                        <w:i/>
                        <w:color w:val="231F20"/>
                        <w:w w:val="91"/>
                        <w:sz w:val="20"/>
                        <w:szCs w:val="20"/>
                      </w:rPr>
                      <w:t>Blind</w:t>
                    </w:r>
                    <w:r>
                      <w:rPr>
                        <w:rFonts w:ascii="Arial" w:hAnsi="Arial" w:cs="Arial"/>
                        <w:b/>
                        <w:bCs/>
                        <w:i/>
                        <w:color w:val="231F20"/>
                        <w:spacing w:val="-5"/>
                        <w:sz w:val="20"/>
                        <w:szCs w:val="20"/>
                      </w:rPr>
                      <w:t xml:space="preserve"> </w:t>
                    </w:r>
                    <w:r>
                      <w:rPr>
                        <w:rFonts w:ascii="Arial" w:hAnsi="Arial" w:cs="Arial"/>
                        <w:b/>
                        <w:bCs/>
                        <w:i/>
                        <w:color w:val="231F20"/>
                        <w:w w:val="91"/>
                        <w:sz w:val="20"/>
                        <w:szCs w:val="20"/>
                      </w:rPr>
                      <w:t>Services</w:t>
                    </w:r>
                  </w:p>
                </w:txbxContent>
              </v:textbox>
              <w10:wrap anchorx="page" anchory="page"/>
            </v:shape>
          </w:pict>
        </mc:Fallback>
      </mc:AlternateContent>
    </w:r>
  </w:p>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9ADBCF8" w14:textId="6677D169" w:rsidR="008601E5" w:rsidRDefault="008601E5">
    <w:pPr>
      <w:spacing w:line="14" w:lineRule="auto"/>
      <w:rPr>
        <w:sz w:val="20"/>
        <w:szCs w:val="20"/>
      </w:rPr>
    </w:pPr>
    <w:r>
      <w:rPr>
        <w:noProof/>
      </w:rPr>
      <mc:AlternateContent>
        <mc:Choice Requires="wps">
          <w:drawing>
            <wp:anchor distT="0" distB="0" distL="114300" distR="114300" simplePos="0" relativeHeight="251658271" behindDoc="1" locked="0" layoutInCell="1" allowOverlap="1" wp14:anchorId="740F9F5C" wp14:editId="5339AB92">
              <wp:simplePos x="0" y="0"/>
              <wp:positionH relativeFrom="page">
                <wp:posOffset>6850380</wp:posOffset>
              </wp:positionH>
              <wp:positionV relativeFrom="page">
                <wp:posOffset>9555480</wp:posOffset>
              </wp:positionV>
              <wp:extent cx="294640" cy="177800"/>
              <wp:effectExtent l="0" t="0" r="0" b="0"/>
              <wp:wrapNone/>
              <wp:docPr id="246" name="Text Box 2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640"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C9FE79" w14:textId="77777777" w:rsidR="008601E5" w:rsidRDefault="008601E5">
                          <w:pPr>
                            <w:spacing w:line="267" w:lineRule="exact"/>
                            <w:ind w:left="20"/>
                            <w:rPr>
                              <w:rFonts w:ascii="Calibri" w:hAnsi="Calibri" w:cs="Calibri"/>
                              <w:sz w:val="24"/>
                              <w:szCs w:val="24"/>
                            </w:rPr>
                          </w:pPr>
                          <w:r>
                            <w:rPr>
                              <w:rFonts w:ascii="Calibri"/>
                              <w:b/>
                              <w:color w:val="231F20"/>
                              <w:w w:val="116"/>
                              <w:sz w:val="24"/>
                            </w:rPr>
                            <w:t>270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40F9F5C" id="_x0000_t202" coordsize="21600,21600" o:spt="202" path="m,l,21600r21600,l21600,xe">
              <v:stroke joinstyle="miter"/>
              <v:path gradientshapeok="t" o:connecttype="rect"/>
            </v:shapetype>
            <v:shape id="Text Box 246" o:spid="_x0000_s1083" type="#_x0000_t202" style="position:absolute;margin-left:539.4pt;margin-top:752.4pt;width:23.2pt;height:14pt;z-index:-25165820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" filled="f" stroked="f">
              <v:textbox inset="0,0,0,0">
                <w:txbxContent>
                  <w:p w14:paraId="15C9FE79" w14:textId="77777777" w:rsidR="008601E5" w:rsidRDefault="008601E5">
                    <w:pPr>
                      <w:spacing w:line="267" w:lineRule="exact"/>
                      <w:ind w:left="20"/>
                      <w:rPr>
                        <w:rFonts w:ascii="Calibri" w:hAnsi="Calibri" w:cs="Calibri"/>
                        <w:sz w:val="24"/>
                        <w:szCs w:val="24"/>
                      </w:rPr>
                    </w:pPr>
                    <w:r>
                      <w:rPr>
                        <w:rFonts w:ascii="Calibri"/>
                        <w:b/>
                        <w:color w:val="231F20"/>
                        <w:w w:val="116"/>
                        <w:sz w:val="24"/>
                      </w:rPr>
                      <w:t>270</w:t>
                    </w:r>
                  </w:p>
                </w:txbxContent>
              </v:textbox>
              <w10:wrap anchorx="page" anchory="page"/>
            </v:shape>
          </w:pict>
        </mc:Fallback>
      </mc:AlternateContent>
    </w:r>
    <w:r>
      <w:rPr>
        <w:noProof/>
      </w:rPr>
      <mc:AlternateContent>
        <mc:Choice Requires="wps">
          <w:drawing>
            <wp:anchor distT="0" distB="0" distL="114300" distR="114300" simplePos="0" relativeHeight="251658272" behindDoc="1" locked="0" layoutInCell="1" allowOverlap="1" wp14:anchorId="166188F5" wp14:editId="09C0F1D9">
              <wp:simplePos x="0" y="0"/>
              <wp:positionH relativeFrom="page">
                <wp:posOffset>781050</wp:posOffset>
              </wp:positionH>
              <wp:positionV relativeFrom="page">
                <wp:posOffset>9559925</wp:posOffset>
              </wp:positionV>
              <wp:extent cx="4903470" cy="153035"/>
              <wp:effectExtent l="0" t="0" r="0" b="0"/>
              <wp:wrapNone/>
              <wp:docPr id="245" name="Text Box 2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03470" cy="1530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7A5292" w14:textId="77777777" w:rsidR="008601E5" w:rsidRDefault="008601E5">
                          <w:pPr>
                            <w:spacing w:line="227" w:lineRule="exact"/>
                            <w:ind w:left="20"/>
                            <w:rPr>
                              <w:rFonts w:ascii="Arial" w:hAnsi="Arial" w:cs="Arial"/>
                              <w:sz w:val="20"/>
                              <w:szCs w:val="20"/>
                            </w:rPr>
                          </w:pPr>
                          <w:r>
                            <w:rPr>
                              <w:rFonts w:ascii="Calibri" w:hAnsi="Calibri" w:cs="Calibri"/>
                              <w:b/>
                              <w:bCs/>
                              <w:color w:val="231F20"/>
                              <w:w w:val="109"/>
                              <w:sz w:val="20"/>
                              <w:szCs w:val="20"/>
                            </w:rPr>
                            <w:t>Section</w:t>
                          </w:r>
                          <w:r>
                            <w:rPr>
                              <w:rFonts w:ascii="Calibri" w:hAnsi="Calibri" w:cs="Calibri"/>
                              <w:b/>
                              <w:bCs/>
                              <w:color w:val="231F20"/>
                              <w:spacing w:val="6"/>
                              <w:sz w:val="20"/>
                              <w:szCs w:val="20"/>
                            </w:rPr>
                            <w:t xml:space="preserve"> </w:t>
                          </w:r>
                          <w:r>
                            <w:rPr>
                              <w:rFonts w:ascii="Calibri" w:hAnsi="Calibri" w:cs="Calibri"/>
                              <w:b/>
                              <w:bCs/>
                              <w:color w:val="231F20"/>
                              <w:w w:val="110"/>
                              <w:sz w:val="20"/>
                              <w:szCs w:val="20"/>
                            </w:rPr>
                            <w:t>X.</w:t>
                          </w:r>
                          <w:r>
                            <w:rPr>
                              <w:rFonts w:ascii="Calibri" w:hAnsi="Calibri" w:cs="Calibri"/>
                              <w:b/>
                              <w:bCs/>
                              <w:color w:val="231F20"/>
                              <w:spacing w:val="6"/>
                              <w:sz w:val="20"/>
                              <w:szCs w:val="20"/>
                            </w:rPr>
                            <w:t xml:space="preserve"> </w:t>
                          </w:r>
                          <w:r>
                            <w:rPr>
                              <w:rFonts w:ascii="Calibri" w:hAnsi="Calibri" w:cs="Calibri"/>
                              <w:b/>
                              <w:bCs/>
                              <w:color w:val="231F20"/>
                              <w:w w:val="111"/>
                              <w:sz w:val="20"/>
                              <w:szCs w:val="20"/>
                            </w:rPr>
                            <w:t>Specific</w:t>
                          </w:r>
                          <w:r>
                            <w:rPr>
                              <w:rFonts w:ascii="Calibri" w:hAnsi="Calibri" w:cs="Calibri"/>
                              <w:b/>
                              <w:bCs/>
                              <w:color w:val="231F20"/>
                              <w:spacing w:val="6"/>
                              <w:sz w:val="20"/>
                              <w:szCs w:val="20"/>
                            </w:rPr>
                            <w:t xml:space="preserve"> </w:t>
                          </w:r>
                          <w:r>
                            <w:rPr>
                              <w:rFonts w:ascii="Calibri" w:hAnsi="Calibri" w:cs="Calibri"/>
                              <w:b/>
                              <w:bCs/>
                              <w:color w:val="231F20"/>
                              <w:spacing w:val="-7"/>
                              <w:w w:val="111"/>
                              <w:sz w:val="20"/>
                              <w:szCs w:val="20"/>
                            </w:rPr>
                            <w:t>R</w:t>
                          </w:r>
                          <w:r>
                            <w:rPr>
                              <w:rFonts w:ascii="Calibri" w:hAnsi="Calibri" w:cs="Calibri"/>
                              <w:b/>
                              <w:bCs/>
                              <w:color w:val="231F20"/>
                              <w:w w:val="105"/>
                              <w:sz w:val="20"/>
                              <w:szCs w:val="20"/>
                            </w:rPr>
                            <w:t>equirements</w:t>
                          </w:r>
                          <w:r>
                            <w:rPr>
                              <w:rFonts w:ascii="Calibri" w:hAnsi="Calibri" w:cs="Calibri"/>
                              <w:b/>
                              <w:bCs/>
                              <w:color w:val="231F20"/>
                              <w:spacing w:val="6"/>
                              <w:sz w:val="20"/>
                              <w:szCs w:val="20"/>
                            </w:rPr>
                            <w:t xml:space="preserve"> </w:t>
                          </w:r>
                          <w:r>
                            <w:rPr>
                              <w:rFonts w:ascii="Calibri" w:hAnsi="Calibri" w:cs="Calibri"/>
                              <w:b/>
                              <w:bCs/>
                              <w:color w:val="231F20"/>
                              <w:w w:val="101"/>
                              <w:sz w:val="20"/>
                              <w:szCs w:val="20"/>
                            </w:rPr>
                            <w:t>for</w:t>
                          </w:r>
                          <w:r>
                            <w:rPr>
                              <w:rFonts w:ascii="Calibri" w:hAnsi="Calibri" w:cs="Calibri"/>
                              <w:b/>
                              <w:bCs/>
                              <w:color w:val="231F20"/>
                              <w:spacing w:val="6"/>
                              <w:sz w:val="20"/>
                              <w:szCs w:val="20"/>
                            </w:rPr>
                            <w:t xml:space="preserve"> </w:t>
                          </w:r>
                          <w:r>
                            <w:rPr>
                              <w:rFonts w:ascii="Calibri" w:hAnsi="Calibri" w:cs="Calibri"/>
                              <w:b/>
                              <w:bCs/>
                              <w:color w:val="231F20"/>
                              <w:w w:val="112"/>
                              <w:sz w:val="20"/>
                              <w:szCs w:val="20"/>
                            </w:rPr>
                            <w:t>Core</w:t>
                          </w:r>
                          <w:r>
                            <w:rPr>
                              <w:rFonts w:ascii="Calibri" w:hAnsi="Calibri" w:cs="Calibri"/>
                              <w:b/>
                              <w:bCs/>
                              <w:color w:val="231F20"/>
                              <w:spacing w:val="6"/>
                              <w:sz w:val="20"/>
                              <w:szCs w:val="20"/>
                            </w:rPr>
                            <w:t xml:space="preserve"> </w:t>
                          </w:r>
                          <w:r>
                            <w:rPr>
                              <w:rFonts w:ascii="Calibri" w:hAnsi="Calibri" w:cs="Calibri"/>
                              <w:b/>
                              <w:bCs/>
                              <w:color w:val="231F20"/>
                              <w:w w:val="109"/>
                              <w:sz w:val="20"/>
                              <w:szCs w:val="20"/>
                            </w:rPr>
                            <w:t>Programs</w:t>
                          </w:r>
                          <w:r>
                            <w:rPr>
                              <w:rFonts w:ascii="Calibri" w:hAnsi="Calibri" w:cs="Calibri"/>
                              <w:b/>
                              <w:bCs/>
                              <w:color w:val="231F20"/>
                              <w:spacing w:val="-1"/>
                              <w:w w:val="109"/>
                              <w:sz w:val="20"/>
                              <w:szCs w:val="20"/>
                            </w:rPr>
                            <w:t>–</w:t>
                          </w:r>
                          <w:r>
                            <w:rPr>
                              <w:rFonts w:ascii="Arial" w:hAnsi="Arial" w:cs="Arial"/>
                              <w:b/>
                              <w:bCs/>
                              <w:i/>
                              <w:color w:val="231F20"/>
                              <w:w w:val="93"/>
                              <w:sz w:val="20"/>
                              <w:szCs w:val="20"/>
                            </w:rPr>
                            <w:t>Florida</w:t>
                          </w:r>
                          <w:r>
                            <w:rPr>
                              <w:rFonts w:ascii="Arial" w:hAnsi="Arial" w:cs="Arial"/>
                              <w:b/>
                              <w:bCs/>
                              <w:i/>
                              <w:color w:val="231F20"/>
                              <w:spacing w:val="-5"/>
                              <w:sz w:val="20"/>
                              <w:szCs w:val="20"/>
                            </w:rPr>
                            <w:t xml:space="preserve"> </w:t>
                          </w:r>
                          <w:r>
                            <w:rPr>
                              <w:rFonts w:ascii="Arial" w:hAnsi="Arial" w:cs="Arial"/>
                              <w:b/>
                              <w:bCs/>
                              <w:i/>
                              <w:color w:val="231F20"/>
                              <w:w w:val="91"/>
                              <w:sz w:val="20"/>
                              <w:szCs w:val="20"/>
                            </w:rPr>
                            <w:t>Division</w:t>
                          </w:r>
                          <w:r>
                            <w:rPr>
                              <w:rFonts w:ascii="Arial" w:hAnsi="Arial" w:cs="Arial"/>
                              <w:b/>
                              <w:bCs/>
                              <w:i/>
                              <w:color w:val="231F20"/>
                              <w:spacing w:val="-5"/>
                              <w:sz w:val="20"/>
                              <w:szCs w:val="20"/>
                            </w:rPr>
                            <w:t xml:space="preserve"> </w:t>
                          </w:r>
                          <w:r>
                            <w:rPr>
                              <w:rFonts w:ascii="Arial" w:hAnsi="Arial" w:cs="Arial"/>
                              <w:b/>
                              <w:bCs/>
                              <w:i/>
                              <w:color w:val="231F20"/>
                              <w:w w:val="93"/>
                              <w:sz w:val="20"/>
                              <w:szCs w:val="20"/>
                            </w:rPr>
                            <w:t>of</w:t>
                          </w:r>
                          <w:r>
                            <w:rPr>
                              <w:rFonts w:ascii="Arial" w:hAnsi="Arial" w:cs="Arial"/>
                              <w:b/>
                              <w:bCs/>
                              <w:i/>
                              <w:color w:val="231F20"/>
                              <w:spacing w:val="-5"/>
                              <w:sz w:val="20"/>
                              <w:szCs w:val="20"/>
                            </w:rPr>
                            <w:t xml:space="preserve"> </w:t>
                          </w:r>
                          <w:r>
                            <w:rPr>
                              <w:rFonts w:ascii="Arial" w:hAnsi="Arial" w:cs="Arial"/>
                              <w:b/>
                              <w:bCs/>
                              <w:i/>
                              <w:color w:val="231F20"/>
                              <w:w w:val="91"/>
                              <w:sz w:val="20"/>
                              <w:szCs w:val="20"/>
                            </w:rPr>
                            <w:t>Blind</w:t>
                          </w:r>
                          <w:r>
                            <w:rPr>
                              <w:rFonts w:ascii="Arial" w:hAnsi="Arial" w:cs="Arial"/>
                              <w:b/>
                              <w:bCs/>
                              <w:i/>
                              <w:color w:val="231F20"/>
                              <w:spacing w:val="-5"/>
                              <w:sz w:val="20"/>
                              <w:szCs w:val="20"/>
                            </w:rPr>
                            <w:t xml:space="preserve"> </w:t>
                          </w:r>
                          <w:r>
                            <w:rPr>
                              <w:rFonts w:ascii="Arial" w:hAnsi="Arial" w:cs="Arial"/>
                              <w:b/>
                              <w:bCs/>
                              <w:i/>
                              <w:color w:val="231F20"/>
                              <w:w w:val="91"/>
                              <w:sz w:val="20"/>
                              <w:szCs w:val="20"/>
                            </w:rPr>
                            <w:t>Services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66188F5" id="Text Box 245" o:spid="_x0000_s1084" type="#_x0000_t202" style="position:absolute;margin-left:61.5pt;margin-top:752.75pt;width:386.1pt;height:12.05pt;z-index:-2516582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" filled="f" stroked="f">
              <v:textbox inset="0,0,0,0">
                <w:txbxContent>
                  <w:p w14:paraId="487A5292" w14:textId="77777777" w:rsidR="008601E5" w:rsidRDefault="008601E5">
                    <w:pPr>
                      <w:spacing w:line="227" w:lineRule="exact"/>
                      <w:ind w:left="20"/>
                      <w:rPr>
                        <w:rFonts w:ascii="Arial" w:hAnsi="Arial" w:cs="Arial"/>
                        <w:sz w:val="20"/>
                        <w:szCs w:val="20"/>
                      </w:rPr>
                    </w:pPr>
                    <w:r>
                      <w:rPr>
                        <w:rFonts w:ascii="Calibri" w:hAnsi="Calibri" w:cs="Calibri"/>
                        <w:b/>
                        <w:bCs/>
                        <w:color w:val="231F20"/>
                        <w:w w:val="109"/>
                        <w:sz w:val="20"/>
                        <w:szCs w:val="20"/>
                      </w:rPr>
                      <w:t>Section</w:t>
                    </w:r>
                    <w:r>
                      <w:rPr>
                        <w:rFonts w:ascii="Calibri" w:hAnsi="Calibri" w:cs="Calibri"/>
                        <w:b/>
                        <w:bCs/>
                        <w:color w:val="231F20"/>
                        <w:spacing w:val="6"/>
                        <w:sz w:val="20"/>
                        <w:szCs w:val="20"/>
                      </w:rPr>
                      <w:t xml:space="preserve"> </w:t>
                    </w:r>
                    <w:r>
                      <w:rPr>
                        <w:rFonts w:ascii="Calibri" w:hAnsi="Calibri" w:cs="Calibri"/>
                        <w:b/>
                        <w:bCs/>
                        <w:color w:val="231F20"/>
                        <w:w w:val="110"/>
                        <w:sz w:val="20"/>
                        <w:szCs w:val="20"/>
                      </w:rPr>
                      <w:t>X.</w:t>
                    </w:r>
                    <w:r>
                      <w:rPr>
                        <w:rFonts w:ascii="Calibri" w:hAnsi="Calibri" w:cs="Calibri"/>
                        <w:b/>
                        <w:bCs/>
                        <w:color w:val="231F20"/>
                        <w:spacing w:val="6"/>
                        <w:sz w:val="20"/>
                        <w:szCs w:val="20"/>
                      </w:rPr>
                      <w:t xml:space="preserve"> </w:t>
                    </w:r>
                    <w:r>
                      <w:rPr>
                        <w:rFonts w:ascii="Calibri" w:hAnsi="Calibri" w:cs="Calibri"/>
                        <w:b/>
                        <w:bCs/>
                        <w:color w:val="231F20"/>
                        <w:w w:val="111"/>
                        <w:sz w:val="20"/>
                        <w:szCs w:val="20"/>
                      </w:rPr>
                      <w:t>Specific</w:t>
                    </w:r>
                    <w:r>
                      <w:rPr>
                        <w:rFonts w:ascii="Calibri" w:hAnsi="Calibri" w:cs="Calibri"/>
                        <w:b/>
                        <w:bCs/>
                        <w:color w:val="231F20"/>
                        <w:spacing w:val="6"/>
                        <w:sz w:val="20"/>
                        <w:szCs w:val="20"/>
                      </w:rPr>
                      <w:t xml:space="preserve"> </w:t>
                    </w:r>
                    <w:r>
                      <w:rPr>
                        <w:rFonts w:ascii="Calibri" w:hAnsi="Calibri" w:cs="Calibri"/>
                        <w:b/>
                        <w:bCs/>
                        <w:color w:val="231F20"/>
                        <w:spacing w:val="-7"/>
                        <w:w w:val="111"/>
                        <w:sz w:val="20"/>
                        <w:szCs w:val="20"/>
                      </w:rPr>
                      <w:t>R</w:t>
                    </w:r>
                    <w:r>
                      <w:rPr>
                        <w:rFonts w:ascii="Calibri" w:hAnsi="Calibri" w:cs="Calibri"/>
                        <w:b/>
                        <w:bCs/>
                        <w:color w:val="231F20"/>
                        <w:w w:val="105"/>
                        <w:sz w:val="20"/>
                        <w:szCs w:val="20"/>
                      </w:rPr>
                      <w:t>equirements</w:t>
                    </w:r>
                    <w:r>
                      <w:rPr>
                        <w:rFonts w:ascii="Calibri" w:hAnsi="Calibri" w:cs="Calibri"/>
                        <w:b/>
                        <w:bCs/>
                        <w:color w:val="231F20"/>
                        <w:spacing w:val="6"/>
                        <w:sz w:val="20"/>
                        <w:szCs w:val="20"/>
                      </w:rPr>
                      <w:t xml:space="preserve"> </w:t>
                    </w:r>
                    <w:r>
                      <w:rPr>
                        <w:rFonts w:ascii="Calibri" w:hAnsi="Calibri" w:cs="Calibri"/>
                        <w:b/>
                        <w:bCs/>
                        <w:color w:val="231F20"/>
                        <w:w w:val="101"/>
                        <w:sz w:val="20"/>
                        <w:szCs w:val="20"/>
                      </w:rPr>
                      <w:t>for</w:t>
                    </w:r>
                    <w:r>
                      <w:rPr>
                        <w:rFonts w:ascii="Calibri" w:hAnsi="Calibri" w:cs="Calibri"/>
                        <w:b/>
                        <w:bCs/>
                        <w:color w:val="231F20"/>
                        <w:spacing w:val="6"/>
                        <w:sz w:val="20"/>
                        <w:szCs w:val="20"/>
                      </w:rPr>
                      <w:t xml:space="preserve"> </w:t>
                    </w:r>
                    <w:r>
                      <w:rPr>
                        <w:rFonts w:ascii="Calibri" w:hAnsi="Calibri" w:cs="Calibri"/>
                        <w:b/>
                        <w:bCs/>
                        <w:color w:val="231F20"/>
                        <w:w w:val="112"/>
                        <w:sz w:val="20"/>
                        <w:szCs w:val="20"/>
                      </w:rPr>
                      <w:t>Core</w:t>
                    </w:r>
                    <w:r>
                      <w:rPr>
                        <w:rFonts w:ascii="Calibri" w:hAnsi="Calibri" w:cs="Calibri"/>
                        <w:b/>
                        <w:bCs/>
                        <w:color w:val="231F20"/>
                        <w:spacing w:val="6"/>
                        <w:sz w:val="20"/>
                        <w:szCs w:val="20"/>
                      </w:rPr>
                      <w:t xml:space="preserve"> </w:t>
                    </w:r>
                    <w:r>
                      <w:rPr>
                        <w:rFonts w:ascii="Calibri" w:hAnsi="Calibri" w:cs="Calibri"/>
                        <w:b/>
                        <w:bCs/>
                        <w:color w:val="231F20"/>
                        <w:w w:val="109"/>
                        <w:sz w:val="20"/>
                        <w:szCs w:val="20"/>
                      </w:rPr>
                      <w:t>Programs</w:t>
                    </w:r>
                    <w:r>
                      <w:rPr>
                        <w:rFonts w:ascii="Calibri" w:hAnsi="Calibri" w:cs="Calibri"/>
                        <w:b/>
                        <w:bCs/>
                        <w:color w:val="231F20"/>
                        <w:spacing w:val="-1"/>
                        <w:w w:val="109"/>
                        <w:sz w:val="20"/>
                        <w:szCs w:val="20"/>
                      </w:rPr>
                      <w:t>–</w:t>
                    </w:r>
                    <w:r>
                      <w:rPr>
                        <w:rFonts w:ascii="Arial" w:hAnsi="Arial" w:cs="Arial"/>
                        <w:b/>
                        <w:bCs/>
                        <w:i/>
                        <w:color w:val="231F20"/>
                        <w:w w:val="93"/>
                        <w:sz w:val="20"/>
                        <w:szCs w:val="20"/>
                      </w:rPr>
                      <w:t>Florida</w:t>
                    </w:r>
                    <w:r>
                      <w:rPr>
                        <w:rFonts w:ascii="Arial" w:hAnsi="Arial" w:cs="Arial"/>
                        <w:b/>
                        <w:bCs/>
                        <w:i/>
                        <w:color w:val="231F20"/>
                        <w:spacing w:val="-5"/>
                        <w:sz w:val="20"/>
                        <w:szCs w:val="20"/>
                      </w:rPr>
                      <w:t xml:space="preserve"> </w:t>
                    </w:r>
                    <w:r>
                      <w:rPr>
                        <w:rFonts w:ascii="Arial" w:hAnsi="Arial" w:cs="Arial"/>
                        <w:b/>
                        <w:bCs/>
                        <w:i/>
                        <w:color w:val="231F20"/>
                        <w:w w:val="91"/>
                        <w:sz w:val="20"/>
                        <w:szCs w:val="20"/>
                      </w:rPr>
                      <w:t>Division</w:t>
                    </w:r>
                    <w:r>
                      <w:rPr>
                        <w:rFonts w:ascii="Arial" w:hAnsi="Arial" w:cs="Arial"/>
                        <w:b/>
                        <w:bCs/>
                        <w:i/>
                        <w:color w:val="231F20"/>
                        <w:spacing w:val="-5"/>
                        <w:sz w:val="20"/>
                        <w:szCs w:val="20"/>
                      </w:rPr>
                      <w:t xml:space="preserve"> </w:t>
                    </w:r>
                    <w:r>
                      <w:rPr>
                        <w:rFonts w:ascii="Arial" w:hAnsi="Arial" w:cs="Arial"/>
                        <w:b/>
                        <w:bCs/>
                        <w:i/>
                        <w:color w:val="231F20"/>
                        <w:w w:val="93"/>
                        <w:sz w:val="20"/>
                        <w:szCs w:val="20"/>
                      </w:rPr>
                      <w:t>of</w:t>
                    </w:r>
                    <w:r>
                      <w:rPr>
                        <w:rFonts w:ascii="Arial" w:hAnsi="Arial" w:cs="Arial"/>
                        <w:b/>
                        <w:bCs/>
                        <w:i/>
                        <w:color w:val="231F20"/>
                        <w:spacing w:val="-5"/>
                        <w:sz w:val="20"/>
                        <w:szCs w:val="20"/>
                      </w:rPr>
                      <w:t xml:space="preserve"> </w:t>
                    </w:r>
                    <w:r>
                      <w:rPr>
                        <w:rFonts w:ascii="Arial" w:hAnsi="Arial" w:cs="Arial"/>
                        <w:b/>
                        <w:bCs/>
                        <w:i/>
                        <w:color w:val="231F20"/>
                        <w:w w:val="91"/>
                        <w:sz w:val="20"/>
                        <w:szCs w:val="20"/>
                      </w:rPr>
                      <w:t>Blind</w:t>
                    </w:r>
                    <w:r>
                      <w:rPr>
                        <w:rFonts w:ascii="Arial" w:hAnsi="Arial" w:cs="Arial"/>
                        <w:b/>
                        <w:bCs/>
                        <w:i/>
                        <w:color w:val="231F20"/>
                        <w:spacing w:val="-5"/>
                        <w:sz w:val="20"/>
                        <w:szCs w:val="20"/>
                      </w:rPr>
                      <w:t xml:space="preserve"> </w:t>
                    </w:r>
                    <w:r>
                      <w:rPr>
                        <w:rFonts w:ascii="Arial" w:hAnsi="Arial" w:cs="Arial"/>
                        <w:b/>
                        <w:bCs/>
                        <w:i/>
                        <w:color w:val="231F20"/>
                        <w:w w:val="91"/>
                        <w:sz w:val="20"/>
                        <w:szCs w:val="20"/>
                      </w:rPr>
                      <w:t>Services</w:t>
                    </w:r>
                  </w:p>
                </w:txbxContent>
              </v:textbox>
              <w10:wrap anchorx="page" anchory="page"/>
            </v:shape>
          </w:pict>
        </mc:Fallback>
      </mc:AlternateContent>
    </w:r>
  </w:p>
</w:ftr>
</file>

<file path=word/footer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7535468" w14:textId="2E7CABDE" w:rsidR="008601E5" w:rsidRDefault="008601E5">
    <w:pPr>
      <w:spacing w:line="14" w:lineRule="auto"/>
      <w:rPr>
        <w:sz w:val="20"/>
        <w:szCs w:val="20"/>
      </w:rPr>
    </w:pPr>
    <w:r>
      <w:rPr>
        <w:noProof/>
      </w:rPr>
      <mc:AlternateContent>
        <mc:Choice Requires="wps">
          <w:drawing>
            <wp:anchor distT="0" distB="0" distL="114300" distR="114300" simplePos="0" relativeHeight="251658273" behindDoc="1" locked="0" layoutInCell="1" allowOverlap="1" wp14:anchorId="36CFCE49" wp14:editId="6614292E">
              <wp:simplePos x="0" y="0"/>
              <wp:positionH relativeFrom="page">
                <wp:posOffset>6839585</wp:posOffset>
              </wp:positionH>
              <wp:positionV relativeFrom="page">
                <wp:posOffset>9555480</wp:posOffset>
              </wp:positionV>
              <wp:extent cx="318135" cy="177800"/>
              <wp:effectExtent l="0" t="0" r="0" b="0"/>
              <wp:wrapNone/>
              <wp:docPr id="226" name="Text Box 2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8135"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F951FD" w14:textId="22829A9C" w:rsidR="008601E5" w:rsidRDefault="008601E5">
                          <w:pPr>
                            <w:spacing w:line="267" w:lineRule="exact"/>
                            <w:ind w:left="40"/>
                            <w:rPr>
                              <w:rFonts w:ascii="Calibri" w:hAnsi="Calibri" w:cs="Calibri"/>
                              <w:sz w:val="24"/>
                              <w:szCs w:val="24"/>
                            </w:rPr>
                          </w:pPr>
                          <w:r>
                            <w:rPr>
                              <w:rFonts w:ascii="Calibri"/>
                              <w:b/>
                              <w:color w:val="231F20"/>
                              <w:w w:val="115"/>
                              <w:sz w:val="24"/>
                            </w:rPr>
                            <w:fldChar w:fldCharType="begin"/>
                          </w:r>
                          <w:r>
                            <w:rPr>
                              <w:rFonts w:ascii="Calibri"/>
                              <w:b/>
                              <w:color w:val="231F20"/>
                              <w:w w:val="115"/>
                              <w:sz w:val="24"/>
                            </w:rPr>
                            <w:instrText xml:space="preserve"> PAGE </w:instrText>
                          </w:r>
                          <w:r>
                            <w:rPr>
                              <w:rFonts w:ascii="Calibri"/>
                              <w:b/>
                              <w:color w:val="231F20"/>
                              <w:w w:val="115"/>
                              <w:sz w:val="24"/>
                            </w:rPr>
                            <w:fldChar w:fldCharType="separate"/>
                          </w:r>
                          <w:r w:rsidR="00E82625">
                            <w:rPr>
                              <w:rFonts w:ascii="Calibri"/>
                              <w:b/>
                              <w:noProof/>
                              <w:color w:val="231F20"/>
                              <w:w w:val="115"/>
                              <w:sz w:val="24"/>
                            </w:rPr>
                            <w:t>276</w:t>
                          </w:r>
                          <w:r>
                            <w:rPr>
                              <w:rFonts w:ascii="Calibri"/>
                              <w:b/>
                              <w:color w:val="231F20"/>
                              <w:w w:val="115"/>
                              <w:sz w:val="24"/>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6CFCE49" id="_x0000_t202" coordsize="21600,21600" o:spt="202" path="m,l,21600r21600,l21600,xe">
              <v:stroke joinstyle="miter"/>
              <v:path gradientshapeok="t" o:connecttype="rect"/>
            </v:shapetype>
            <v:shape id="Text Box 244" o:spid="_x0000_s1085" type="#_x0000_t202" style="position:absolute;margin-left:538.55pt;margin-top:752.4pt;width:25.05pt;height:14pt;z-index:-25165820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" filled="f" stroked="f">
              <v:textbox inset="0,0,0,0">
                <w:txbxContent>
                  <w:p w14:paraId="04F951FD" w14:textId="22829A9C" w:rsidR="008601E5" w:rsidRDefault="008601E5">
                    <w:pPr>
                      <w:spacing w:line="267" w:lineRule="exact"/>
                      <w:ind w:left="40"/>
                      <w:rPr>
                        <w:rFonts w:ascii="Calibri" w:hAnsi="Calibri" w:cs="Calibri"/>
                        <w:sz w:val="24"/>
                        <w:szCs w:val="24"/>
                      </w:rPr>
                    </w:pPr>
                    <w:r>
                      <w:rPr>
                        <w:rFonts w:ascii="Calibri"/>
                        <w:b/>
                        <w:color w:val="231F20"/>
                        <w:w w:val="115"/>
                        <w:sz w:val="24"/>
                      </w:rPr>
                      <w:fldChar w:fldCharType="begin"/>
                    </w:r>
                    <w:r>
                      <w:rPr>
                        <w:rFonts w:ascii="Calibri"/>
                        <w:b/>
                        <w:color w:val="231F20"/>
                        <w:w w:val="115"/>
                        <w:sz w:val="24"/>
                      </w:rPr>
                      <w:instrText xml:space="preserve"> PAGE </w:instrText>
                    </w:r>
                    <w:r>
                      <w:rPr>
                        <w:rFonts w:ascii="Calibri"/>
                        <w:b/>
                        <w:color w:val="231F20"/>
                        <w:w w:val="115"/>
                        <w:sz w:val="24"/>
                      </w:rPr>
                      <w:fldChar w:fldCharType="separate"/>
                    </w:r>
                    <w:r w:rsidR="00E82625">
                      <w:rPr>
                        <w:rFonts w:ascii="Calibri"/>
                        <w:b/>
                        <w:noProof/>
                        <w:color w:val="231F20"/>
                        <w:w w:val="115"/>
                        <w:sz w:val="24"/>
                      </w:rPr>
                      <w:t>276</w:t>
                    </w:r>
                    <w:r>
                      <w:rPr>
                        <w:rFonts w:ascii="Calibri"/>
                        <w:b/>
                        <w:color w:val="231F20"/>
                        <w:w w:val="115"/>
                        <w:sz w:val="24"/>
                      </w:rPr>
                      <w:fldChar w:fldCharType="end"/>
                    </w:r>
                  </w:p>
                </w:txbxContent>
              </v:textbox>
              <w10:wrap anchorx="page" anchory="page"/>
            </v:shape>
          </w:pict>
        </mc:Fallback>
      </mc:AlternateContent>
    </w:r>
    <w:r>
      <w:rPr>
        <w:noProof/>
      </w:rPr>
      <mc:AlternateContent>
        <mc:Choice Requires="wps">
          <w:drawing>
            <wp:anchor distT="0" distB="0" distL="114300" distR="114300" simplePos="0" relativeHeight="251658274" behindDoc="1" locked="0" layoutInCell="1" allowOverlap="1" wp14:anchorId="5D299199" wp14:editId="19989033">
              <wp:simplePos x="0" y="0"/>
              <wp:positionH relativeFrom="page">
                <wp:posOffset>781050</wp:posOffset>
              </wp:positionH>
              <wp:positionV relativeFrom="page">
                <wp:posOffset>9559925</wp:posOffset>
              </wp:positionV>
              <wp:extent cx="4903470" cy="153035"/>
              <wp:effectExtent l="0" t="0" r="0" b="0"/>
              <wp:wrapNone/>
              <wp:docPr id="225" name="Text Box 2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03470" cy="1530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015927" w14:textId="77777777" w:rsidR="008601E5" w:rsidRDefault="008601E5">
                          <w:pPr>
                            <w:spacing w:line="227" w:lineRule="exact"/>
                            <w:ind w:left="20"/>
                            <w:rPr>
                              <w:rFonts w:ascii="Arial" w:hAnsi="Arial" w:cs="Arial"/>
                              <w:sz w:val="20"/>
                              <w:szCs w:val="20"/>
                            </w:rPr>
                          </w:pPr>
                          <w:r>
                            <w:rPr>
                              <w:rFonts w:ascii="Calibri" w:hAnsi="Calibri" w:cs="Calibri"/>
                              <w:b/>
                              <w:bCs/>
                              <w:color w:val="231F20"/>
                              <w:w w:val="109"/>
                              <w:sz w:val="20"/>
                              <w:szCs w:val="20"/>
                            </w:rPr>
                            <w:t>Section</w:t>
                          </w:r>
                          <w:r>
                            <w:rPr>
                              <w:rFonts w:ascii="Calibri" w:hAnsi="Calibri" w:cs="Calibri"/>
                              <w:b/>
                              <w:bCs/>
                              <w:color w:val="231F20"/>
                              <w:spacing w:val="6"/>
                              <w:sz w:val="20"/>
                              <w:szCs w:val="20"/>
                            </w:rPr>
                            <w:t xml:space="preserve"> </w:t>
                          </w:r>
                          <w:r>
                            <w:rPr>
                              <w:rFonts w:ascii="Calibri" w:hAnsi="Calibri" w:cs="Calibri"/>
                              <w:b/>
                              <w:bCs/>
                              <w:color w:val="231F20"/>
                              <w:w w:val="110"/>
                              <w:sz w:val="20"/>
                              <w:szCs w:val="20"/>
                            </w:rPr>
                            <w:t>X.</w:t>
                          </w:r>
                          <w:r>
                            <w:rPr>
                              <w:rFonts w:ascii="Calibri" w:hAnsi="Calibri" w:cs="Calibri"/>
                              <w:b/>
                              <w:bCs/>
                              <w:color w:val="231F20"/>
                              <w:spacing w:val="6"/>
                              <w:sz w:val="20"/>
                              <w:szCs w:val="20"/>
                            </w:rPr>
                            <w:t xml:space="preserve"> </w:t>
                          </w:r>
                          <w:r>
                            <w:rPr>
                              <w:rFonts w:ascii="Calibri" w:hAnsi="Calibri" w:cs="Calibri"/>
                              <w:b/>
                              <w:bCs/>
                              <w:color w:val="231F20"/>
                              <w:w w:val="111"/>
                              <w:sz w:val="20"/>
                              <w:szCs w:val="20"/>
                            </w:rPr>
                            <w:t>Specific</w:t>
                          </w:r>
                          <w:r>
                            <w:rPr>
                              <w:rFonts w:ascii="Calibri" w:hAnsi="Calibri" w:cs="Calibri"/>
                              <w:b/>
                              <w:bCs/>
                              <w:color w:val="231F20"/>
                              <w:spacing w:val="6"/>
                              <w:sz w:val="20"/>
                              <w:szCs w:val="20"/>
                            </w:rPr>
                            <w:t xml:space="preserve"> </w:t>
                          </w:r>
                          <w:r>
                            <w:rPr>
                              <w:rFonts w:ascii="Calibri" w:hAnsi="Calibri" w:cs="Calibri"/>
                              <w:b/>
                              <w:bCs/>
                              <w:color w:val="231F20"/>
                              <w:spacing w:val="-7"/>
                              <w:w w:val="111"/>
                              <w:sz w:val="20"/>
                              <w:szCs w:val="20"/>
                            </w:rPr>
                            <w:t>R</w:t>
                          </w:r>
                          <w:r>
                            <w:rPr>
                              <w:rFonts w:ascii="Calibri" w:hAnsi="Calibri" w:cs="Calibri"/>
                              <w:b/>
                              <w:bCs/>
                              <w:color w:val="231F20"/>
                              <w:w w:val="105"/>
                              <w:sz w:val="20"/>
                              <w:szCs w:val="20"/>
                            </w:rPr>
                            <w:t>equirements</w:t>
                          </w:r>
                          <w:r>
                            <w:rPr>
                              <w:rFonts w:ascii="Calibri" w:hAnsi="Calibri" w:cs="Calibri"/>
                              <w:b/>
                              <w:bCs/>
                              <w:color w:val="231F20"/>
                              <w:spacing w:val="6"/>
                              <w:sz w:val="20"/>
                              <w:szCs w:val="20"/>
                            </w:rPr>
                            <w:t xml:space="preserve"> </w:t>
                          </w:r>
                          <w:r>
                            <w:rPr>
                              <w:rFonts w:ascii="Calibri" w:hAnsi="Calibri" w:cs="Calibri"/>
                              <w:b/>
                              <w:bCs/>
                              <w:color w:val="231F20"/>
                              <w:w w:val="101"/>
                              <w:sz w:val="20"/>
                              <w:szCs w:val="20"/>
                            </w:rPr>
                            <w:t>for</w:t>
                          </w:r>
                          <w:r>
                            <w:rPr>
                              <w:rFonts w:ascii="Calibri" w:hAnsi="Calibri" w:cs="Calibri"/>
                              <w:b/>
                              <w:bCs/>
                              <w:color w:val="231F20"/>
                              <w:spacing w:val="6"/>
                              <w:sz w:val="20"/>
                              <w:szCs w:val="20"/>
                            </w:rPr>
                            <w:t xml:space="preserve"> </w:t>
                          </w:r>
                          <w:r>
                            <w:rPr>
                              <w:rFonts w:ascii="Calibri" w:hAnsi="Calibri" w:cs="Calibri"/>
                              <w:b/>
                              <w:bCs/>
                              <w:color w:val="231F20"/>
                              <w:w w:val="112"/>
                              <w:sz w:val="20"/>
                              <w:szCs w:val="20"/>
                            </w:rPr>
                            <w:t>Core</w:t>
                          </w:r>
                          <w:r>
                            <w:rPr>
                              <w:rFonts w:ascii="Calibri" w:hAnsi="Calibri" w:cs="Calibri"/>
                              <w:b/>
                              <w:bCs/>
                              <w:color w:val="231F20"/>
                              <w:spacing w:val="6"/>
                              <w:sz w:val="20"/>
                              <w:szCs w:val="20"/>
                            </w:rPr>
                            <w:t xml:space="preserve"> </w:t>
                          </w:r>
                          <w:r>
                            <w:rPr>
                              <w:rFonts w:ascii="Calibri" w:hAnsi="Calibri" w:cs="Calibri"/>
                              <w:b/>
                              <w:bCs/>
                              <w:color w:val="231F20"/>
                              <w:w w:val="109"/>
                              <w:sz w:val="20"/>
                              <w:szCs w:val="20"/>
                            </w:rPr>
                            <w:t>Programs</w:t>
                          </w:r>
                          <w:r>
                            <w:rPr>
                              <w:rFonts w:ascii="Calibri" w:hAnsi="Calibri" w:cs="Calibri"/>
                              <w:b/>
                              <w:bCs/>
                              <w:color w:val="231F20"/>
                              <w:spacing w:val="-1"/>
                              <w:w w:val="109"/>
                              <w:sz w:val="20"/>
                              <w:szCs w:val="20"/>
                            </w:rPr>
                            <w:t>–</w:t>
                          </w:r>
                          <w:r>
                            <w:rPr>
                              <w:rFonts w:ascii="Arial" w:hAnsi="Arial" w:cs="Arial"/>
                              <w:b/>
                              <w:bCs/>
                              <w:i/>
                              <w:color w:val="231F20"/>
                              <w:w w:val="93"/>
                              <w:sz w:val="20"/>
                              <w:szCs w:val="20"/>
                            </w:rPr>
                            <w:t>Florida</w:t>
                          </w:r>
                          <w:r>
                            <w:rPr>
                              <w:rFonts w:ascii="Arial" w:hAnsi="Arial" w:cs="Arial"/>
                              <w:b/>
                              <w:bCs/>
                              <w:i/>
                              <w:color w:val="231F20"/>
                              <w:spacing w:val="-5"/>
                              <w:sz w:val="20"/>
                              <w:szCs w:val="20"/>
                            </w:rPr>
                            <w:t xml:space="preserve"> </w:t>
                          </w:r>
                          <w:r>
                            <w:rPr>
                              <w:rFonts w:ascii="Arial" w:hAnsi="Arial" w:cs="Arial"/>
                              <w:b/>
                              <w:bCs/>
                              <w:i/>
                              <w:color w:val="231F20"/>
                              <w:w w:val="91"/>
                              <w:sz w:val="20"/>
                              <w:szCs w:val="20"/>
                            </w:rPr>
                            <w:t>Division</w:t>
                          </w:r>
                          <w:r>
                            <w:rPr>
                              <w:rFonts w:ascii="Arial" w:hAnsi="Arial" w:cs="Arial"/>
                              <w:b/>
                              <w:bCs/>
                              <w:i/>
                              <w:color w:val="231F20"/>
                              <w:spacing w:val="-5"/>
                              <w:sz w:val="20"/>
                              <w:szCs w:val="20"/>
                            </w:rPr>
                            <w:t xml:space="preserve"> </w:t>
                          </w:r>
                          <w:r>
                            <w:rPr>
                              <w:rFonts w:ascii="Arial" w:hAnsi="Arial" w:cs="Arial"/>
                              <w:b/>
                              <w:bCs/>
                              <w:i/>
                              <w:color w:val="231F20"/>
                              <w:w w:val="93"/>
                              <w:sz w:val="20"/>
                              <w:szCs w:val="20"/>
                            </w:rPr>
                            <w:t>of</w:t>
                          </w:r>
                          <w:r>
                            <w:rPr>
                              <w:rFonts w:ascii="Arial" w:hAnsi="Arial" w:cs="Arial"/>
                              <w:b/>
                              <w:bCs/>
                              <w:i/>
                              <w:color w:val="231F20"/>
                              <w:spacing w:val="-5"/>
                              <w:sz w:val="20"/>
                              <w:szCs w:val="20"/>
                            </w:rPr>
                            <w:t xml:space="preserve"> </w:t>
                          </w:r>
                          <w:r>
                            <w:rPr>
                              <w:rFonts w:ascii="Arial" w:hAnsi="Arial" w:cs="Arial"/>
                              <w:b/>
                              <w:bCs/>
                              <w:i/>
                              <w:color w:val="231F20"/>
                              <w:w w:val="91"/>
                              <w:sz w:val="20"/>
                              <w:szCs w:val="20"/>
                            </w:rPr>
                            <w:t>Blind</w:t>
                          </w:r>
                          <w:r>
                            <w:rPr>
                              <w:rFonts w:ascii="Arial" w:hAnsi="Arial" w:cs="Arial"/>
                              <w:b/>
                              <w:bCs/>
                              <w:i/>
                              <w:color w:val="231F20"/>
                              <w:spacing w:val="-5"/>
                              <w:sz w:val="20"/>
                              <w:szCs w:val="20"/>
                            </w:rPr>
                            <w:t xml:space="preserve"> </w:t>
                          </w:r>
                          <w:r>
                            <w:rPr>
                              <w:rFonts w:ascii="Arial" w:hAnsi="Arial" w:cs="Arial"/>
                              <w:b/>
                              <w:bCs/>
                              <w:i/>
                              <w:color w:val="231F20"/>
                              <w:w w:val="91"/>
                              <w:sz w:val="20"/>
                              <w:szCs w:val="20"/>
                            </w:rPr>
                            <w:t>Services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D299199" id="Text Box 243" o:spid="_x0000_s1086" type="#_x0000_t202" style="position:absolute;margin-left:61.5pt;margin-top:752.75pt;width:386.1pt;height:12.05pt;z-index:-25165820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" filled="f" stroked="f">
              <v:textbox inset="0,0,0,0">
                <w:txbxContent>
                  <w:p w14:paraId="66015927" w14:textId="77777777" w:rsidR="008601E5" w:rsidRDefault="008601E5">
                    <w:pPr>
                      <w:spacing w:line="227" w:lineRule="exact"/>
                      <w:ind w:left="20"/>
                      <w:rPr>
                        <w:rFonts w:ascii="Arial" w:hAnsi="Arial" w:cs="Arial"/>
                        <w:sz w:val="20"/>
                        <w:szCs w:val="20"/>
                      </w:rPr>
                    </w:pPr>
                    <w:r>
                      <w:rPr>
                        <w:rFonts w:ascii="Calibri" w:hAnsi="Calibri" w:cs="Calibri"/>
                        <w:b/>
                        <w:bCs/>
                        <w:color w:val="231F20"/>
                        <w:w w:val="109"/>
                        <w:sz w:val="20"/>
                        <w:szCs w:val="20"/>
                      </w:rPr>
                      <w:t>Section</w:t>
                    </w:r>
                    <w:r>
                      <w:rPr>
                        <w:rFonts w:ascii="Calibri" w:hAnsi="Calibri" w:cs="Calibri"/>
                        <w:b/>
                        <w:bCs/>
                        <w:color w:val="231F20"/>
                        <w:spacing w:val="6"/>
                        <w:sz w:val="20"/>
                        <w:szCs w:val="20"/>
                      </w:rPr>
                      <w:t xml:space="preserve"> </w:t>
                    </w:r>
                    <w:r>
                      <w:rPr>
                        <w:rFonts w:ascii="Calibri" w:hAnsi="Calibri" w:cs="Calibri"/>
                        <w:b/>
                        <w:bCs/>
                        <w:color w:val="231F20"/>
                        <w:w w:val="110"/>
                        <w:sz w:val="20"/>
                        <w:szCs w:val="20"/>
                      </w:rPr>
                      <w:t>X.</w:t>
                    </w:r>
                    <w:r>
                      <w:rPr>
                        <w:rFonts w:ascii="Calibri" w:hAnsi="Calibri" w:cs="Calibri"/>
                        <w:b/>
                        <w:bCs/>
                        <w:color w:val="231F20"/>
                        <w:spacing w:val="6"/>
                        <w:sz w:val="20"/>
                        <w:szCs w:val="20"/>
                      </w:rPr>
                      <w:t xml:space="preserve"> </w:t>
                    </w:r>
                    <w:r>
                      <w:rPr>
                        <w:rFonts w:ascii="Calibri" w:hAnsi="Calibri" w:cs="Calibri"/>
                        <w:b/>
                        <w:bCs/>
                        <w:color w:val="231F20"/>
                        <w:w w:val="111"/>
                        <w:sz w:val="20"/>
                        <w:szCs w:val="20"/>
                      </w:rPr>
                      <w:t>Specific</w:t>
                    </w:r>
                    <w:r>
                      <w:rPr>
                        <w:rFonts w:ascii="Calibri" w:hAnsi="Calibri" w:cs="Calibri"/>
                        <w:b/>
                        <w:bCs/>
                        <w:color w:val="231F20"/>
                        <w:spacing w:val="6"/>
                        <w:sz w:val="20"/>
                        <w:szCs w:val="20"/>
                      </w:rPr>
                      <w:t xml:space="preserve"> </w:t>
                    </w:r>
                    <w:r>
                      <w:rPr>
                        <w:rFonts w:ascii="Calibri" w:hAnsi="Calibri" w:cs="Calibri"/>
                        <w:b/>
                        <w:bCs/>
                        <w:color w:val="231F20"/>
                        <w:spacing w:val="-7"/>
                        <w:w w:val="111"/>
                        <w:sz w:val="20"/>
                        <w:szCs w:val="20"/>
                      </w:rPr>
                      <w:t>R</w:t>
                    </w:r>
                    <w:r>
                      <w:rPr>
                        <w:rFonts w:ascii="Calibri" w:hAnsi="Calibri" w:cs="Calibri"/>
                        <w:b/>
                        <w:bCs/>
                        <w:color w:val="231F20"/>
                        <w:w w:val="105"/>
                        <w:sz w:val="20"/>
                        <w:szCs w:val="20"/>
                      </w:rPr>
                      <w:t>equirements</w:t>
                    </w:r>
                    <w:r>
                      <w:rPr>
                        <w:rFonts w:ascii="Calibri" w:hAnsi="Calibri" w:cs="Calibri"/>
                        <w:b/>
                        <w:bCs/>
                        <w:color w:val="231F20"/>
                        <w:spacing w:val="6"/>
                        <w:sz w:val="20"/>
                        <w:szCs w:val="20"/>
                      </w:rPr>
                      <w:t xml:space="preserve"> </w:t>
                    </w:r>
                    <w:r>
                      <w:rPr>
                        <w:rFonts w:ascii="Calibri" w:hAnsi="Calibri" w:cs="Calibri"/>
                        <w:b/>
                        <w:bCs/>
                        <w:color w:val="231F20"/>
                        <w:w w:val="101"/>
                        <w:sz w:val="20"/>
                        <w:szCs w:val="20"/>
                      </w:rPr>
                      <w:t>for</w:t>
                    </w:r>
                    <w:r>
                      <w:rPr>
                        <w:rFonts w:ascii="Calibri" w:hAnsi="Calibri" w:cs="Calibri"/>
                        <w:b/>
                        <w:bCs/>
                        <w:color w:val="231F20"/>
                        <w:spacing w:val="6"/>
                        <w:sz w:val="20"/>
                        <w:szCs w:val="20"/>
                      </w:rPr>
                      <w:t xml:space="preserve"> </w:t>
                    </w:r>
                    <w:r>
                      <w:rPr>
                        <w:rFonts w:ascii="Calibri" w:hAnsi="Calibri" w:cs="Calibri"/>
                        <w:b/>
                        <w:bCs/>
                        <w:color w:val="231F20"/>
                        <w:w w:val="112"/>
                        <w:sz w:val="20"/>
                        <w:szCs w:val="20"/>
                      </w:rPr>
                      <w:t>Core</w:t>
                    </w:r>
                    <w:r>
                      <w:rPr>
                        <w:rFonts w:ascii="Calibri" w:hAnsi="Calibri" w:cs="Calibri"/>
                        <w:b/>
                        <w:bCs/>
                        <w:color w:val="231F20"/>
                        <w:spacing w:val="6"/>
                        <w:sz w:val="20"/>
                        <w:szCs w:val="20"/>
                      </w:rPr>
                      <w:t xml:space="preserve"> </w:t>
                    </w:r>
                    <w:r>
                      <w:rPr>
                        <w:rFonts w:ascii="Calibri" w:hAnsi="Calibri" w:cs="Calibri"/>
                        <w:b/>
                        <w:bCs/>
                        <w:color w:val="231F20"/>
                        <w:w w:val="109"/>
                        <w:sz w:val="20"/>
                        <w:szCs w:val="20"/>
                      </w:rPr>
                      <w:t>Programs</w:t>
                    </w:r>
                    <w:r>
                      <w:rPr>
                        <w:rFonts w:ascii="Calibri" w:hAnsi="Calibri" w:cs="Calibri"/>
                        <w:b/>
                        <w:bCs/>
                        <w:color w:val="231F20"/>
                        <w:spacing w:val="-1"/>
                        <w:w w:val="109"/>
                        <w:sz w:val="20"/>
                        <w:szCs w:val="20"/>
                      </w:rPr>
                      <w:t>–</w:t>
                    </w:r>
                    <w:r>
                      <w:rPr>
                        <w:rFonts w:ascii="Arial" w:hAnsi="Arial" w:cs="Arial"/>
                        <w:b/>
                        <w:bCs/>
                        <w:i/>
                        <w:color w:val="231F20"/>
                        <w:w w:val="93"/>
                        <w:sz w:val="20"/>
                        <w:szCs w:val="20"/>
                      </w:rPr>
                      <w:t>Florida</w:t>
                    </w:r>
                    <w:r>
                      <w:rPr>
                        <w:rFonts w:ascii="Arial" w:hAnsi="Arial" w:cs="Arial"/>
                        <w:b/>
                        <w:bCs/>
                        <w:i/>
                        <w:color w:val="231F20"/>
                        <w:spacing w:val="-5"/>
                        <w:sz w:val="20"/>
                        <w:szCs w:val="20"/>
                      </w:rPr>
                      <w:t xml:space="preserve"> </w:t>
                    </w:r>
                    <w:r>
                      <w:rPr>
                        <w:rFonts w:ascii="Arial" w:hAnsi="Arial" w:cs="Arial"/>
                        <w:b/>
                        <w:bCs/>
                        <w:i/>
                        <w:color w:val="231F20"/>
                        <w:w w:val="91"/>
                        <w:sz w:val="20"/>
                        <w:szCs w:val="20"/>
                      </w:rPr>
                      <w:t>Division</w:t>
                    </w:r>
                    <w:r>
                      <w:rPr>
                        <w:rFonts w:ascii="Arial" w:hAnsi="Arial" w:cs="Arial"/>
                        <w:b/>
                        <w:bCs/>
                        <w:i/>
                        <w:color w:val="231F20"/>
                        <w:spacing w:val="-5"/>
                        <w:sz w:val="20"/>
                        <w:szCs w:val="20"/>
                      </w:rPr>
                      <w:t xml:space="preserve"> </w:t>
                    </w:r>
                    <w:r>
                      <w:rPr>
                        <w:rFonts w:ascii="Arial" w:hAnsi="Arial" w:cs="Arial"/>
                        <w:b/>
                        <w:bCs/>
                        <w:i/>
                        <w:color w:val="231F20"/>
                        <w:w w:val="93"/>
                        <w:sz w:val="20"/>
                        <w:szCs w:val="20"/>
                      </w:rPr>
                      <w:t>of</w:t>
                    </w:r>
                    <w:r>
                      <w:rPr>
                        <w:rFonts w:ascii="Arial" w:hAnsi="Arial" w:cs="Arial"/>
                        <w:b/>
                        <w:bCs/>
                        <w:i/>
                        <w:color w:val="231F20"/>
                        <w:spacing w:val="-5"/>
                        <w:sz w:val="20"/>
                        <w:szCs w:val="20"/>
                      </w:rPr>
                      <w:t xml:space="preserve"> </w:t>
                    </w:r>
                    <w:r>
                      <w:rPr>
                        <w:rFonts w:ascii="Arial" w:hAnsi="Arial" w:cs="Arial"/>
                        <w:b/>
                        <w:bCs/>
                        <w:i/>
                        <w:color w:val="231F20"/>
                        <w:w w:val="91"/>
                        <w:sz w:val="20"/>
                        <w:szCs w:val="20"/>
                      </w:rPr>
                      <w:t>Blind</w:t>
                    </w:r>
                    <w:r>
                      <w:rPr>
                        <w:rFonts w:ascii="Arial" w:hAnsi="Arial" w:cs="Arial"/>
                        <w:b/>
                        <w:bCs/>
                        <w:i/>
                        <w:color w:val="231F20"/>
                        <w:spacing w:val="-5"/>
                        <w:sz w:val="20"/>
                        <w:szCs w:val="20"/>
                      </w:rPr>
                      <w:t xml:space="preserve"> </w:t>
                    </w:r>
                    <w:r>
                      <w:rPr>
                        <w:rFonts w:ascii="Arial" w:hAnsi="Arial" w:cs="Arial"/>
                        <w:b/>
                        <w:bCs/>
                        <w:i/>
                        <w:color w:val="231F20"/>
                        <w:w w:val="91"/>
                        <w:sz w:val="20"/>
                        <w:szCs w:val="20"/>
                      </w:rPr>
                      <w:t>Services</w:t>
                    </w:r>
                  </w:p>
                </w:txbxContent>
              </v:textbox>
              <w10:wrap anchorx="page" anchory="page"/>
            </v:shape>
          </w:pict>
        </mc:Fallback>
      </mc:AlternateContent>
    </w:r>
  </w:p>
</w:ftr>
</file>

<file path=word/footer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1C378CD" w14:textId="41776197" w:rsidR="008601E5" w:rsidRDefault="008601E5" w:rsidP="00645B59">
    <w:pPr>
      <w:tabs>
        <w:tab w:val="left" w:pos="1740"/>
      </w:tabs>
      <w:spacing w:line="14" w:lineRule="auto"/>
      <w:rPr>
        <w:sz w:val="2"/>
        <w:szCs w:val="2"/>
      </w:rPr>
    </w:pPr>
    <w:r>
      <w:rPr>
        <w:noProof/>
      </w:rPr>
      <mc:AlternateContent>
        <mc:Choice Requires="wps">
          <w:drawing>
            <wp:anchor distT="0" distB="0" distL="114300" distR="114300" simplePos="0" relativeHeight="251658275" behindDoc="1" locked="0" layoutInCell="1" allowOverlap="1" wp14:anchorId="1F5F8574" wp14:editId="0FC631F6">
              <wp:simplePos x="0" y="0"/>
              <wp:positionH relativeFrom="page">
                <wp:posOffset>6991985</wp:posOffset>
              </wp:positionH>
              <wp:positionV relativeFrom="page">
                <wp:posOffset>9707880</wp:posOffset>
              </wp:positionV>
              <wp:extent cx="318135" cy="177800"/>
              <wp:effectExtent l="0" t="0" r="0" b="0"/>
              <wp:wrapNone/>
              <wp:docPr id="244" name="Text Box 2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8135"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C00B91" w14:textId="77777777" w:rsidR="008601E5" w:rsidRDefault="008601E5" w:rsidP="0007280C">
                          <w:pPr>
                            <w:spacing w:line="267" w:lineRule="exact"/>
                            <w:ind w:left="40"/>
                            <w:rPr>
                              <w:rFonts w:ascii="Calibri" w:hAnsi="Calibri" w:cs="Calibri"/>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F5F8574" id="_x0000_t202" coordsize="21600,21600" o:spt="202" path="m,l,21600r21600,l21600,xe">
              <v:stroke joinstyle="miter"/>
              <v:path gradientshapeok="t" o:connecttype="rect"/>
            </v:shapetype>
            <v:shape id="_x0000_s1087" type="#_x0000_t202" style="position:absolute;margin-left:550.55pt;margin-top:764.4pt;width:25.05pt;height:14pt;z-index:-25165820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" filled="f" stroked="f">
              <v:textbox inset="0,0,0,0">
                <w:txbxContent>
                  <w:p w14:paraId="47C00B91" w14:textId="77777777" w:rsidR="008601E5" w:rsidRDefault="008601E5" w:rsidP="0007280C">
                    <w:pPr>
                      <w:spacing w:line="267" w:lineRule="exact"/>
                      <w:ind w:left="40"/>
                      <w:rPr>
                        <w:rFonts w:ascii="Calibri" w:hAnsi="Calibri" w:cs="Calibri"/>
                        <w:sz w:val="24"/>
                        <w:szCs w:val="24"/>
                      </w:rPr>
                    </w:pPr>
                  </w:p>
                </w:txbxContent>
              </v:textbox>
              <w10:wrap anchorx="page" anchory="page"/>
            </v:shape>
          </w:pict>
        </mc:Fallback>
      </mc:AlternateContent>
    </w:r>
    <w:r>
      <w:rPr>
        <w:sz w:val="2"/>
        <w:szCs w:val="2"/>
      </w:rPr>
      <w:tab/>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DC22FF4" w14:textId="38C2591C" w:rsidR="008601E5" w:rsidRDefault="008601E5">
    <w:pPr>
      <w:spacing w:line="14" w:lineRule="auto"/>
      <w:rPr>
        <w:sz w:val="20"/>
        <w:szCs w:val="20"/>
      </w:rPr>
    </w:pPr>
    <w:r>
      <w:rPr>
        <w:noProof/>
      </w:rPr>
      <mc:AlternateContent>
        <mc:Choice Requires="wps">
          <w:drawing>
            <wp:anchor distT="0" distB="0" distL="114300" distR="114300" simplePos="0" relativeHeight="251658269" behindDoc="1" locked="0" layoutInCell="1" allowOverlap="1" wp14:anchorId="0D9971E0" wp14:editId="1EA19AF5">
              <wp:simplePos x="0" y="0"/>
              <wp:positionH relativeFrom="page">
                <wp:posOffset>7041515</wp:posOffset>
              </wp:positionH>
              <wp:positionV relativeFrom="page">
                <wp:posOffset>9555480</wp:posOffset>
              </wp:positionV>
              <wp:extent cx="104140" cy="177800"/>
              <wp:effectExtent l="0" t="0" r="0" b="0"/>
              <wp:wrapNone/>
              <wp:docPr id="374" name="Text Box 3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140"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330B70" w14:textId="77777777" w:rsidR="008601E5" w:rsidRDefault="008601E5">
                          <w:pPr>
                            <w:spacing w:line="267" w:lineRule="exact"/>
                            <w:ind w:left="20"/>
                            <w:rPr>
                              <w:rFonts w:ascii="Calibri" w:hAnsi="Calibri" w:cs="Calibri"/>
                              <w:sz w:val="24"/>
                              <w:szCs w:val="24"/>
                            </w:rPr>
                          </w:pPr>
                          <w:r>
                            <w:rPr>
                              <w:rFonts w:ascii="Calibri"/>
                              <w:b/>
                              <w:color w:val="231F20"/>
                              <w:w w:val="108"/>
                              <w:sz w:val="24"/>
                            </w:rPr>
                            <w:t>v</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D9971E0" id="_x0000_t202" coordsize="21600,21600" o:spt="202" path="m,l,21600r21600,l21600,xe">
              <v:stroke joinstyle="miter"/>
              <v:path gradientshapeok="t" o:connecttype="rect"/>
            </v:shapetype>
            <v:shape id="Text Box 374" o:spid="_x0000_s1032" type="#_x0000_t202" style="position:absolute;margin-left:554.45pt;margin-top:752.4pt;width:8.2pt;height:14pt;z-index:-25165821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" filled="f" stroked="f">
              <v:textbox inset="0,0,0,0">
                <w:txbxContent>
                  <w:p w14:paraId="41330B70" w14:textId="77777777" w:rsidR="008601E5" w:rsidRDefault="008601E5">
                    <w:pPr>
                      <w:spacing w:line="267" w:lineRule="exact"/>
                      <w:ind w:left="20"/>
                      <w:rPr>
                        <w:rFonts w:ascii="Calibri" w:hAnsi="Calibri" w:cs="Calibri"/>
                        <w:sz w:val="24"/>
                        <w:szCs w:val="24"/>
                      </w:rPr>
                    </w:pPr>
                    <w:r>
                      <w:rPr>
                        <w:rFonts w:ascii="Calibri"/>
                        <w:b/>
                        <w:color w:val="231F20"/>
                        <w:w w:val="108"/>
                        <w:sz w:val="24"/>
                      </w:rPr>
                      <w:t>v</w:t>
                    </w:r>
                  </w:p>
                </w:txbxContent>
              </v:textbox>
              <w10:wrap anchorx="page" anchory="page"/>
            </v:shape>
          </w:pict>
        </mc:Fallback>
      </mc:AlternateContent>
    </w:r>
    <w:r>
      <w:rPr>
        <w:noProof/>
      </w:rPr>
      <mc:AlternateContent>
        <mc:Choice Requires="wps">
          <w:drawing>
            <wp:anchor distT="0" distB="0" distL="114300" distR="114300" simplePos="0" relativeHeight="251658270" behindDoc="1" locked="0" layoutInCell="1" allowOverlap="1" wp14:anchorId="52B255A2" wp14:editId="25F75EA1">
              <wp:simplePos x="0" y="0"/>
              <wp:positionH relativeFrom="page">
                <wp:posOffset>781050</wp:posOffset>
              </wp:positionH>
              <wp:positionV relativeFrom="page">
                <wp:posOffset>9559925</wp:posOffset>
              </wp:positionV>
              <wp:extent cx="733425" cy="152400"/>
              <wp:effectExtent l="0" t="0" r="0" b="0"/>
              <wp:wrapNone/>
              <wp:docPr id="373" name="Text Box 3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342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E3F58A" w14:textId="77777777" w:rsidR="008601E5" w:rsidRDefault="008601E5">
                          <w:pPr>
                            <w:spacing w:line="226" w:lineRule="exact"/>
                            <w:ind w:left="20"/>
                            <w:rPr>
                              <w:rFonts w:ascii="Calibri" w:hAnsi="Calibri" w:cs="Calibri"/>
                              <w:sz w:val="20"/>
                              <w:szCs w:val="20"/>
                            </w:rPr>
                          </w:pPr>
                          <w:r>
                            <w:rPr>
                              <w:rFonts w:ascii="Calibri"/>
                              <w:b/>
                              <w:color w:val="231F20"/>
                              <w:w w:val="110"/>
                              <w:sz w:val="20"/>
                            </w:rPr>
                            <w:t>Figure</w:t>
                          </w:r>
                          <w:r>
                            <w:rPr>
                              <w:rFonts w:ascii="Calibri"/>
                              <w:b/>
                              <w:color w:val="231F20"/>
                              <w:spacing w:val="6"/>
                              <w:sz w:val="20"/>
                            </w:rPr>
                            <w:t xml:space="preserve"> </w:t>
                          </w:r>
                          <w:r>
                            <w:rPr>
                              <w:rFonts w:ascii="Calibri"/>
                              <w:b/>
                              <w:color w:val="231F20"/>
                              <w:w w:val="106"/>
                              <w:sz w:val="20"/>
                            </w:rPr>
                            <w:t>Index</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B255A2" id="Text Box 373" o:spid="_x0000_s1033" type="#_x0000_t202" style="position:absolute;margin-left:61.5pt;margin-top:752.75pt;width:57.75pt;height:12pt;z-index:-25165821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" filled="f" stroked="f">
              <v:textbox inset="0,0,0,0">
                <w:txbxContent>
                  <w:p w14:paraId="71E3F58A" w14:textId="77777777" w:rsidR="008601E5" w:rsidRDefault="008601E5">
                    <w:pPr>
                      <w:spacing w:line="226" w:lineRule="exact"/>
                      <w:ind w:left="20"/>
                      <w:rPr>
                        <w:rFonts w:ascii="Calibri" w:hAnsi="Calibri" w:cs="Calibri"/>
                        <w:sz w:val="20"/>
                        <w:szCs w:val="20"/>
                      </w:rPr>
                    </w:pPr>
                    <w:r>
                      <w:rPr>
                        <w:rFonts w:ascii="Calibri"/>
                        <w:b/>
                        <w:color w:val="231F20"/>
                        <w:w w:val="110"/>
                        <w:sz w:val="20"/>
                      </w:rPr>
                      <w:t>Figure</w:t>
                    </w:r>
                    <w:r>
                      <w:rPr>
                        <w:rFonts w:ascii="Calibri"/>
                        <w:b/>
                        <w:color w:val="231F20"/>
                        <w:spacing w:val="6"/>
                        <w:sz w:val="20"/>
                      </w:rPr>
                      <w:t xml:space="preserve"> </w:t>
                    </w:r>
                    <w:r>
                      <w:rPr>
                        <w:rFonts w:ascii="Calibri"/>
                        <w:b/>
                        <w:color w:val="231F20"/>
                        <w:w w:val="106"/>
                        <w:sz w:val="20"/>
                      </w:rPr>
                      <w:t>Index</w:t>
                    </w:r>
                  </w:p>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7920790" w14:textId="08213ADA" w:rsidR="008601E5" w:rsidRDefault="008601E5">
    <w:pPr>
      <w:spacing w:line="14" w:lineRule="auto"/>
      <w:rPr>
        <w:sz w:val="20"/>
        <w:szCs w:val="20"/>
      </w:rPr>
    </w:pPr>
    <w:r>
      <w:rPr>
        <w:noProof/>
      </w:rPr>
      <mc:AlternateContent>
        <mc:Choice Requires="wps">
          <w:drawing>
            <wp:anchor distT="0" distB="0" distL="114300" distR="114300" simplePos="0" relativeHeight="251658240" behindDoc="1" locked="0" layoutInCell="1" allowOverlap="1" wp14:anchorId="1E8C1357" wp14:editId="3AB335BC">
              <wp:simplePos x="0" y="0"/>
              <wp:positionH relativeFrom="page">
                <wp:posOffset>7002780</wp:posOffset>
              </wp:positionH>
              <wp:positionV relativeFrom="page">
                <wp:posOffset>9555480</wp:posOffset>
              </wp:positionV>
              <wp:extent cx="142240" cy="177800"/>
              <wp:effectExtent l="0" t="0" r="0" b="0"/>
              <wp:wrapNone/>
              <wp:docPr id="372" name="Text Box 3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240"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499BAF1" w14:textId="77777777" w:rsidR="008601E5" w:rsidRDefault="008601E5">
                          <w:pPr>
                            <w:spacing w:line="267" w:lineRule="exact"/>
                            <w:ind w:left="20"/>
                            <w:rPr>
                              <w:rFonts w:ascii="Calibri" w:hAnsi="Calibri" w:cs="Calibri"/>
                              <w:sz w:val="24"/>
                              <w:szCs w:val="24"/>
                            </w:rPr>
                          </w:pPr>
                          <w:r>
                            <w:rPr>
                              <w:rFonts w:ascii="Calibri"/>
                              <w:b/>
                              <w:color w:val="231F20"/>
                              <w:w w:val="106"/>
                              <w:sz w:val="24"/>
                            </w:rPr>
                            <w:t>vi</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E8C1357" id="_x0000_t202" coordsize="21600,21600" o:spt="202" path="m,l,21600r21600,l21600,xe">
              <v:stroke joinstyle="miter"/>
              <v:path gradientshapeok="t" o:connecttype="rect"/>
            </v:shapetype>
            <v:shape id="Text Box 372" o:spid="_x0000_s1034" type="#_x0000_t202" style="position:absolute;margin-left:551.4pt;margin-top:752.4pt;width:11.2pt;height:14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" filled="f" stroked="f">
              <v:textbox inset="0,0,0,0">
                <w:txbxContent>
                  <w:p w14:paraId="7499BAF1" w14:textId="77777777" w:rsidR="008601E5" w:rsidRDefault="008601E5">
                    <w:pPr>
                      <w:spacing w:line="267" w:lineRule="exact"/>
                      <w:ind w:left="20"/>
                      <w:rPr>
                        <w:rFonts w:ascii="Calibri" w:hAnsi="Calibri" w:cs="Calibri"/>
                        <w:sz w:val="24"/>
                        <w:szCs w:val="24"/>
                      </w:rPr>
                    </w:pPr>
                    <w:r>
                      <w:rPr>
                        <w:rFonts w:ascii="Calibri"/>
                        <w:b/>
                        <w:color w:val="231F20"/>
                        <w:w w:val="106"/>
                        <w:sz w:val="24"/>
                      </w:rPr>
                      <w:t>vi</w:t>
                    </w:r>
                  </w:p>
                </w:txbxContent>
              </v:textbox>
              <w10:wrap anchorx="page" anchory="page"/>
            </v:shape>
          </w:pict>
        </mc:Fallback>
      </mc:AlternateContent>
    </w:r>
    <w:r>
      <w:rPr>
        <w:noProof/>
      </w:rPr>
      <mc:AlternateContent>
        <mc:Choice Requires="wps">
          <w:drawing>
            <wp:anchor distT="0" distB="0" distL="114300" distR="114300" simplePos="0" relativeHeight="251658241" behindDoc="1" locked="0" layoutInCell="1" allowOverlap="1" wp14:anchorId="7ECEA68D" wp14:editId="5FF6F0F1">
              <wp:simplePos x="0" y="0"/>
              <wp:positionH relativeFrom="page">
                <wp:posOffset>781050</wp:posOffset>
              </wp:positionH>
              <wp:positionV relativeFrom="page">
                <wp:posOffset>9559925</wp:posOffset>
              </wp:positionV>
              <wp:extent cx="903605" cy="152400"/>
              <wp:effectExtent l="0" t="0" r="0" b="0"/>
              <wp:wrapNone/>
              <wp:docPr id="371" name="Text Box 3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360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6BD249" w14:textId="77777777" w:rsidR="008601E5" w:rsidRDefault="008601E5">
                          <w:pPr>
                            <w:spacing w:line="226" w:lineRule="exact"/>
                            <w:ind w:left="20"/>
                            <w:rPr>
                              <w:rFonts w:ascii="Calibri" w:hAnsi="Calibri" w:cs="Calibri"/>
                              <w:sz w:val="20"/>
                              <w:szCs w:val="20"/>
                            </w:rPr>
                          </w:pPr>
                          <w:r>
                            <w:rPr>
                              <w:rFonts w:ascii="Calibri"/>
                              <w:b/>
                              <w:color w:val="231F20"/>
                              <w:w w:val="106"/>
                              <w:sz w:val="20"/>
                            </w:rPr>
                            <w:t>Acronym</w:t>
                          </w:r>
                          <w:r>
                            <w:rPr>
                              <w:rFonts w:ascii="Calibri"/>
                              <w:b/>
                              <w:color w:val="231F20"/>
                              <w:spacing w:val="6"/>
                              <w:sz w:val="20"/>
                            </w:rPr>
                            <w:t xml:space="preserve"> </w:t>
                          </w:r>
                          <w:r>
                            <w:rPr>
                              <w:rFonts w:ascii="Calibri"/>
                              <w:b/>
                              <w:color w:val="231F20"/>
                              <w:w w:val="108"/>
                              <w:sz w:val="20"/>
                            </w:rPr>
                            <w:t>Guide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ECEA68D" id="Text Box 371" o:spid="_x0000_s1035" type="#_x0000_t202" style="position:absolute;margin-left:61.5pt;margin-top:752.75pt;width:71.15pt;height:12pt;z-index:-25165823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" filled="f" stroked="f">
              <v:textbox inset="0,0,0,0">
                <w:txbxContent>
                  <w:p w14:paraId="146BD249" w14:textId="77777777" w:rsidR="008601E5" w:rsidRDefault="008601E5">
                    <w:pPr>
                      <w:spacing w:line="226" w:lineRule="exact"/>
                      <w:ind w:left="20"/>
                      <w:rPr>
                        <w:rFonts w:ascii="Calibri" w:hAnsi="Calibri" w:cs="Calibri"/>
                        <w:sz w:val="20"/>
                        <w:szCs w:val="20"/>
                      </w:rPr>
                    </w:pPr>
                    <w:r>
                      <w:rPr>
                        <w:rFonts w:ascii="Calibri"/>
                        <w:b/>
                        <w:color w:val="231F20"/>
                        <w:w w:val="106"/>
                        <w:sz w:val="20"/>
                      </w:rPr>
                      <w:t>Acronym</w:t>
                    </w:r>
                    <w:r>
                      <w:rPr>
                        <w:rFonts w:ascii="Calibri"/>
                        <w:b/>
                        <w:color w:val="231F20"/>
                        <w:spacing w:val="6"/>
                        <w:sz w:val="20"/>
                      </w:rPr>
                      <w:t xml:space="preserve"> </w:t>
                    </w:r>
                    <w:r>
                      <w:rPr>
                        <w:rFonts w:ascii="Calibri"/>
                        <w:b/>
                        <w:color w:val="231F20"/>
                        <w:w w:val="108"/>
                        <w:sz w:val="20"/>
                      </w:rPr>
                      <w:t>Guide</w:t>
                    </w:r>
                  </w:p>
                </w:txbxContent>
              </v:textbox>
              <w10:wrap anchorx="page" anchory="page"/>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AC41579" w14:textId="0DA7C74B" w:rsidR="008601E5" w:rsidRDefault="008601E5">
    <w:pPr>
      <w:spacing w:line="14" w:lineRule="auto"/>
      <w:rPr>
        <w:sz w:val="20"/>
        <w:szCs w:val="20"/>
      </w:rPr>
    </w:pPr>
    <w:r>
      <w:rPr>
        <w:noProof/>
      </w:rPr>
      <mc:AlternateContent>
        <mc:Choice Requires="wps">
          <w:drawing>
            <wp:anchor distT="0" distB="0" distL="114300" distR="114300" simplePos="0" relativeHeight="251658242" behindDoc="1" locked="0" layoutInCell="1" allowOverlap="1" wp14:anchorId="58D86708" wp14:editId="276CA2A1">
              <wp:simplePos x="0" y="0"/>
              <wp:positionH relativeFrom="page">
                <wp:posOffset>6964045</wp:posOffset>
              </wp:positionH>
              <wp:positionV relativeFrom="page">
                <wp:posOffset>9555480</wp:posOffset>
              </wp:positionV>
              <wp:extent cx="180975" cy="177800"/>
              <wp:effectExtent l="0" t="0" r="0" b="0"/>
              <wp:wrapNone/>
              <wp:docPr id="370" name="Text Box 3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975"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964DDA" w14:textId="77777777" w:rsidR="008601E5" w:rsidRDefault="008601E5">
                          <w:pPr>
                            <w:spacing w:line="267" w:lineRule="exact"/>
                            <w:ind w:left="20"/>
                            <w:rPr>
                              <w:rFonts w:ascii="Calibri" w:hAnsi="Calibri" w:cs="Calibri"/>
                              <w:sz w:val="24"/>
                              <w:szCs w:val="24"/>
                            </w:rPr>
                          </w:pPr>
                          <w:r>
                            <w:rPr>
                              <w:rFonts w:ascii="Calibri"/>
                              <w:b/>
                              <w:color w:val="231F20"/>
                              <w:w w:val="105"/>
                              <w:sz w:val="24"/>
                            </w:rPr>
                            <w:t>vii</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8D86708" id="_x0000_t202" coordsize="21600,21600" o:spt="202" path="m,l,21600r21600,l21600,xe">
              <v:stroke joinstyle="miter"/>
              <v:path gradientshapeok="t" o:connecttype="rect"/>
            </v:shapetype>
            <v:shape id="Text Box 370" o:spid="_x0000_s1036" type="#_x0000_t202" style="position:absolute;margin-left:548.35pt;margin-top:752.4pt;width:14.25pt;height:14pt;z-index:-25165823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" filled="f" stroked="f">
              <v:textbox inset="0,0,0,0">
                <w:txbxContent>
                  <w:p w14:paraId="44964DDA" w14:textId="77777777" w:rsidR="008601E5" w:rsidRDefault="008601E5">
                    <w:pPr>
                      <w:spacing w:line="267" w:lineRule="exact"/>
                      <w:ind w:left="20"/>
                      <w:rPr>
                        <w:rFonts w:ascii="Calibri" w:hAnsi="Calibri" w:cs="Calibri"/>
                        <w:sz w:val="24"/>
                        <w:szCs w:val="24"/>
                      </w:rPr>
                    </w:pPr>
                    <w:r>
                      <w:rPr>
                        <w:rFonts w:ascii="Calibri"/>
                        <w:b/>
                        <w:color w:val="231F20"/>
                        <w:w w:val="105"/>
                        <w:sz w:val="24"/>
                      </w:rPr>
                      <w:t>vii</w:t>
                    </w:r>
                  </w:p>
                </w:txbxContent>
              </v:textbox>
              <w10:wrap anchorx="page" anchory="page"/>
            </v:shape>
          </w:pict>
        </mc:Fallback>
      </mc:AlternateContent>
    </w:r>
    <w:r>
      <w:rPr>
        <w:noProof/>
      </w:rPr>
      <mc:AlternateContent>
        <mc:Choice Requires="wps">
          <w:drawing>
            <wp:anchor distT="0" distB="0" distL="114300" distR="114300" simplePos="0" relativeHeight="251658243" behindDoc="1" locked="0" layoutInCell="1" allowOverlap="1" wp14:anchorId="00F588D5" wp14:editId="315C257F">
              <wp:simplePos x="0" y="0"/>
              <wp:positionH relativeFrom="page">
                <wp:posOffset>781050</wp:posOffset>
              </wp:positionH>
              <wp:positionV relativeFrom="page">
                <wp:posOffset>9559925</wp:posOffset>
              </wp:positionV>
              <wp:extent cx="903605" cy="152400"/>
              <wp:effectExtent l="0" t="0" r="0" b="0"/>
              <wp:wrapNone/>
              <wp:docPr id="369" name="Text Box 3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360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89B5EB" w14:textId="77777777" w:rsidR="008601E5" w:rsidRDefault="008601E5">
                          <w:pPr>
                            <w:spacing w:line="226" w:lineRule="exact"/>
                            <w:ind w:left="20"/>
                            <w:rPr>
                              <w:rFonts w:ascii="Calibri" w:hAnsi="Calibri" w:cs="Calibri"/>
                              <w:sz w:val="20"/>
                              <w:szCs w:val="20"/>
                            </w:rPr>
                          </w:pPr>
                          <w:r>
                            <w:rPr>
                              <w:rFonts w:ascii="Calibri"/>
                              <w:b/>
                              <w:color w:val="231F20"/>
                              <w:w w:val="106"/>
                              <w:sz w:val="20"/>
                            </w:rPr>
                            <w:t>Acronym</w:t>
                          </w:r>
                          <w:r>
                            <w:rPr>
                              <w:rFonts w:ascii="Calibri"/>
                              <w:b/>
                              <w:color w:val="231F20"/>
                              <w:spacing w:val="6"/>
                              <w:sz w:val="20"/>
                            </w:rPr>
                            <w:t xml:space="preserve"> </w:t>
                          </w:r>
                          <w:r>
                            <w:rPr>
                              <w:rFonts w:ascii="Calibri"/>
                              <w:b/>
                              <w:color w:val="231F20"/>
                              <w:w w:val="108"/>
                              <w:sz w:val="20"/>
                            </w:rPr>
                            <w:t>Guide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0F588D5" id="Text Box 369" o:spid="_x0000_s1037" type="#_x0000_t202" style="position:absolute;margin-left:61.5pt;margin-top:752.75pt;width:71.15pt;height:12pt;z-index:-25165823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" filled="f" stroked="f">
              <v:textbox inset="0,0,0,0">
                <w:txbxContent>
                  <w:p w14:paraId="0289B5EB" w14:textId="77777777" w:rsidR="008601E5" w:rsidRDefault="008601E5">
                    <w:pPr>
                      <w:spacing w:line="226" w:lineRule="exact"/>
                      <w:ind w:left="20"/>
                      <w:rPr>
                        <w:rFonts w:ascii="Calibri" w:hAnsi="Calibri" w:cs="Calibri"/>
                        <w:sz w:val="20"/>
                        <w:szCs w:val="20"/>
                      </w:rPr>
                    </w:pPr>
                    <w:r>
                      <w:rPr>
                        <w:rFonts w:ascii="Calibri"/>
                        <w:b/>
                        <w:color w:val="231F20"/>
                        <w:w w:val="106"/>
                        <w:sz w:val="20"/>
                      </w:rPr>
                      <w:t>Acronym</w:t>
                    </w:r>
                    <w:r>
                      <w:rPr>
                        <w:rFonts w:ascii="Calibri"/>
                        <w:b/>
                        <w:color w:val="231F20"/>
                        <w:spacing w:val="6"/>
                        <w:sz w:val="20"/>
                      </w:rPr>
                      <w:t xml:space="preserve"> </w:t>
                    </w:r>
                    <w:r>
                      <w:rPr>
                        <w:rFonts w:ascii="Calibri"/>
                        <w:b/>
                        <w:color w:val="231F20"/>
                        <w:w w:val="108"/>
                        <w:sz w:val="20"/>
                      </w:rPr>
                      <w:t>Guide</w:t>
                    </w:r>
                  </w:p>
                </w:txbxContent>
              </v:textbox>
              <w10:wrap anchorx="page" anchory="page"/>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FEABDE0" w14:textId="43187365" w:rsidR="008601E5" w:rsidRDefault="008601E5">
    <w:pPr>
      <w:spacing w:line="14" w:lineRule="auto"/>
      <w:rPr>
        <w:sz w:val="20"/>
        <w:szCs w:val="20"/>
      </w:rPr>
    </w:pPr>
    <w:r>
      <w:rPr>
        <w:noProof/>
      </w:rPr>
      <mc:AlternateContent>
        <mc:Choice Requires="wps">
          <w:drawing>
            <wp:anchor distT="0" distB="0" distL="114300" distR="114300" simplePos="0" relativeHeight="251658244" behindDoc="1" locked="0" layoutInCell="1" allowOverlap="1" wp14:anchorId="668F0E92" wp14:editId="09454FF1">
              <wp:simplePos x="0" y="0"/>
              <wp:positionH relativeFrom="page">
                <wp:posOffset>6925945</wp:posOffset>
              </wp:positionH>
              <wp:positionV relativeFrom="page">
                <wp:posOffset>9555480</wp:posOffset>
              </wp:positionV>
              <wp:extent cx="219710" cy="177800"/>
              <wp:effectExtent l="0" t="0" r="0" b="0"/>
              <wp:wrapNone/>
              <wp:docPr id="368" name="Text Box 3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710"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683428" w14:textId="77777777" w:rsidR="008601E5" w:rsidRDefault="008601E5">
                          <w:pPr>
                            <w:spacing w:line="267" w:lineRule="exact"/>
                            <w:ind w:left="20"/>
                            <w:rPr>
                              <w:rFonts w:ascii="Calibri" w:hAnsi="Calibri" w:cs="Calibri"/>
                              <w:sz w:val="24"/>
                              <w:szCs w:val="24"/>
                            </w:rPr>
                          </w:pPr>
                          <w:r>
                            <w:rPr>
                              <w:rFonts w:ascii="Calibri"/>
                              <w:b/>
                              <w:color w:val="231F20"/>
                              <w:w w:val="105"/>
                              <w:sz w:val="24"/>
                            </w:rPr>
                            <w:t>viii</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68F0E92" id="_x0000_t202" coordsize="21600,21600" o:spt="202" path="m,l,21600r21600,l21600,xe">
              <v:stroke joinstyle="miter"/>
              <v:path gradientshapeok="t" o:connecttype="rect"/>
            </v:shapetype>
            <v:shape id="Text Box 368" o:spid="_x0000_s1038" type="#_x0000_t202" style="position:absolute;margin-left:545.35pt;margin-top:752.4pt;width:17.3pt;height:14pt;z-index:-2516582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" filled="f" stroked="f">
              <v:textbox inset="0,0,0,0">
                <w:txbxContent>
                  <w:p w14:paraId="49683428" w14:textId="77777777" w:rsidR="008601E5" w:rsidRDefault="008601E5">
                    <w:pPr>
                      <w:spacing w:line="267" w:lineRule="exact"/>
                      <w:ind w:left="20"/>
                      <w:rPr>
                        <w:rFonts w:ascii="Calibri" w:hAnsi="Calibri" w:cs="Calibri"/>
                        <w:sz w:val="24"/>
                        <w:szCs w:val="24"/>
                      </w:rPr>
                    </w:pPr>
                    <w:r>
                      <w:rPr>
                        <w:rFonts w:ascii="Calibri"/>
                        <w:b/>
                        <w:color w:val="231F20"/>
                        <w:w w:val="105"/>
                        <w:sz w:val="24"/>
                      </w:rPr>
                      <w:t>viii</w:t>
                    </w:r>
                  </w:p>
                </w:txbxContent>
              </v:textbox>
              <w10:wrap anchorx="page" anchory="page"/>
            </v:shape>
          </w:pict>
        </mc:Fallback>
      </mc:AlternateContent>
    </w:r>
    <w:r>
      <w:rPr>
        <w:noProof/>
      </w:rPr>
      <mc:AlternateContent>
        <mc:Choice Requires="wps">
          <w:drawing>
            <wp:anchor distT="0" distB="0" distL="114300" distR="114300" simplePos="0" relativeHeight="251658245" behindDoc="1" locked="0" layoutInCell="1" allowOverlap="1" wp14:anchorId="192EE3EA" wp14:editId="5EB09F78">
              <wp:simplePos x="0" y="0"/>
              <wp:positionH relativeFrom="page">
                <wp:posOffset>781050</wp:posOffset>
              </wp:positionH>
              <wp:positionV relativeFrom="page">
                <wp:posOffset>9559925</wp:posOffset>
              </wp:positionV>
              <wp:extent cx="903605" cy="152400"/>
              <wp:effectExtent l="0" t="0" r="0" b="0"/>
              <wp:wrapNone/>
              <wp:docPr id="367" name="Text Box 3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360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7D5715" w14:textId="77777777" w:rsidR="008601E5" w:rsidRDefault="008601E5">
                          <w:pPr>
                            <w:spacing w:line="226" w:lineRule="exact"/>
                            <w:ind w:left="20"/>
                            <w:rPr>
                              <w:rFonts w:ascii="Calibri" w:hAnsi="Calibri" w:cs="Calibri"/>
                              <w:sz w:val="20"/>
                              <w:szCs w:val="20"/>
                            </w:rPr>
                          </w:pPr>
                          <w:r>
                            <w:rPr>
                              <w:rFonts w:ascii="Calibri"/>
                              <w:b/>
                              <w:color w:val="231F20"/>
                              <w:w w:val="106"/>
                              <w:sz w:val="20"/>
                            </w:rPr>
                            <w:t>Acronym</w:t>
                          </w:r>
                          <w:r>
                            <w:rPr>
                              <w:rFonts w:ascii="Calibri"/>
                              <w:b/>
                              <w:color w:val="231F20"/>
                              <w:spacing w:val="6"/>
                              <w:sz w:val="20"/>
                            </w:rPr>
                            <w:t xml:space="preserve"> </w:t>
                          </w:r>
                          <w:r>
                            <w:rPr>
                              <w:rFonts w:ascii="Calibri"/>
                              <w:b/>
                              <w:color w:val="231F20"/>
                              <w:w w:val="108"/>
                              <w:sz w:val="20"/>
                            </w:rPr>
                            <w:t>Guide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92EE3EA" id="Text Box 367" o:spid="_x0000_s1039" type="#_x0000_t202" style="position:absolute;margin-left:61.5pt;margin-top:752.75pt;width:71.15pt;height:12pt;z-index:-25165823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" filled="f" stroked="f">
              <v:textbox inset="0,0,0,0">
                <w:txbxContent>
                  <w:p w14:paraId="1A7D5715" w14:textId="77777777" w:rsidR="008601E5" w:rsidRDefault="008601E5">
                    <w:pPr>
                      <w:spacing w:line="226" w:lineRule="exact"/>
                      <w:ind w:left="20"/>
                      <w:rPr>
                        <w:rFonts w:ascii="Calibri" w:hAnsi="Calibri" w:cs="Calibri"/>
                        <w:sz w:val="20"/>
                        <w:szCs w:val="20"/>
                      </w:rPr>
                    </w:pPr>
                    <w:r>
                      <w:rPr>
                        <w:rFonts w:ascii="Calibri"/>
                        <w:b/>
                        <w:color w:val="231F20"/>
                        <w:w w:val="106"/>
                        <w:sz w:val="20"/>
                      </w:rPr>
                      <w:t>Acronym</w:t>
                    </w:r>
                    <w:r>
                      <w:rPr>
                        <w:rFonts w:ascii="Calibri"/>
                        <w:b/>
                        <w:color w:val="231F20"/>
                        <w:spacing w:val="6"/>
                        <w:sz w:val="20"/>
                      </w:rPr>
                      <w:t xml:space="preserve"> </w:t>
                    </w:r>
                    <w:r>
                      <w:rPr>
                        <w:rFonts w:ascii="Calibri"/>
                        <w:b/>
                        <w:color w:val="231F20"/>
                        <w:w w:val="108"/>
                        <w:sz w:val="20"/>
                      </w:rPr>
                      <w:t>Guide</w:t>
                    </w:r>
                  </w:p>
                </w:txbxContent>
              </v:textbox>
              <w10:wrap anchorx="page" anchory="page"/>
            </v:shape>
          </w:pict>
        </mc:Fallback>
      </mc:AlternateConten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2B0656E" w14:textId="086BFD1D" w:rsidR="008601E5" w:rsidRDefault="008601E5">
    <w:pPr>
      <w:spacing w:line="14" w:lineRule="auto"/>
      <w:rPr>
        <w:sz w:val="20"/>
        <w:szCs w:val="20"/>
      </w:rPr>
    </w:pPr>
    <w:r>
      <w:rPr>
        <w:noProof/>
      </w:rPr>
      <mc:AlternateContent>
        <mc:Choice Requires="wps">
          <w:drawing>
            <wp:anchor distT="0" distB="0" distL="114300" distR="114300" simplePos="0" relativeHeight="251658246" behindDoc="1" locked="0" layoutInCell="1" allowOverlap="1" wp14:anchorId="544086FA" wp14:editId="31D9F72F">
              <wp:simplePos x="0" y="0"/>
              <wp:positionH relativeFrom="page">
                <wp:posOffset>781050</wp:posOffset>
              </wp:positionH>
              <wp:positionV relativeFrom="page">
                <wp:posOffset>9559925</wp:posOffset>
              </wp:positionV>
              <wp:extent cx="712470" cy="152400"/>
              <wp:effectExtent l="0" t="0" r="0" b="0"/>
              <wp:wrapNone/>
              <wp:docPr id="365" name="Text Box 3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47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4962B6" w14:textId="77777777" w:rsidR="008601E5" w:rsidRDefault="008601E5">
                          <w:pPr>
                            <w:spacing w:line="226" w:lineRule="exact"/>
                            <w:ind w:left="20"/>
                            <w:rPr>
                              <w:rFonts w:ascii="Calibri" w:hAnsi="Calibri" w:cs="Calibri"/>
                              <w:sz w:val="20"/>
                              <w:szCs w:val="20"/>
                            </w:rPr>
                          </w:pPr>
                          <w:r>
                            <w:rPr>
                              <w:rFonts w:ascii="Calibri"/>
                              <w:b/>
                              <w:color w:val="231F20"/>
                              <w:w w:val="103"/>
                              <w:sz w:val="20"/>
                            </w:rPr>
                            <w:t>Introduction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44086FA" id="_x0000_t202" coordsize="21600,21600" o:spt="202" path="m,l,21600r21600,l21600,xe">
              <v:stroke joinstyle="miter"/>
              <v:path gradientshapeok="t" o:connecttype="rect"/>
            </v:shapetype>
            <v:shape id="Text Box 365" o:spid="_x0000_s1040" type="#_x0000_t202" style="position:absolute;margin-left:61.5pt;margin-top:752.75pt;width:56.1pt;height:12pt;z-index:-25165823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" filled="f" stroked="f">
              <v:textbox inset="0,0,0,0">
                <w:txbxContent>
                  <w:p w14:paraId="174962B6" w14:textId="77777777" w:rsidR="008601E5" w:rsidRDefault="008601E5">
                    <w:pPr>
                      <w:spacing w:line="226" w:lineRule="exact"/>
                      <w:ind w:left="20"/>
                      <w:rPr>
                        <w:rFonts w:ascii="Calibri" w:hAnsi="Calibri" w:cs="Calibri"/>
                        <w:sz w:val="20"/>
                        <w:szCs w:val="20"/>
                      </w:rPr>
                    </w:pPr>
                    <w:r>
                      <w:rPr>
                        <w:rFonts w:ascii="Calibri"/>
                        <w:b/>
                        <w:color w:val="231F20"/>
                        <w:w w:val="103"/>
                        <w:sz w:val="20"/>
                      </w:rPr>
                      <w:t>Introduction</w:t>
                    </w:r>
                  </w:p>
                </w:txbxContent>
              </v:textbox>
              <w10:wrap anchorx="page" anchory="page"/>
            </v:shape>
          </w:pict>
        </mc:Fallback>
      </mc:AlternateConten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5C3AD9D" w14:textId="684CC846" w:rsidR="008601E5" w:rsidRDefault="008601E5">
    <w:pPr>
      <w:spacing w:line="14" w:lineRule="auto"/>
      <w:rPr>
        <w:sz w:val="20"/>
        <w:szCs w:val="20"/>
      </w:rPr>
    </w:pPr>
    <w:r>
      <w:rPr>
        <w:noProof/>
      </w:rPr>
      <mc:AlternateContent>
        <mc:Choice Requires="wps">
          <w:drawing>
            <wp:anchor distT="0" distB="0" distL="114300" distR="114300" simplePos="0" relativeHeight="251658294" behindDoc="1" locked="0" layoutInCell="1" allowOverlap="1" wp14:anchorId="09EBF99B" wp14:editId="64AC258E">
              <wp:simplePos x="0" y="0"/>
              <wp:positionH relativeFrom="page">
                <wp:posOffset>781050</wp:posOffset>
              </wp:positionH>
              <wp:positionV relativeFrom="page">
                <wp:posOffset>9559925</wp:posOffset>
              </wp:positionV>
              <wp:extent cx="1673860" cy="152400"/>
              <wp:effectExtent l="0" t="0" r="0" b="0"/>
              <wp:wrapNone/>
              <wp:docPr id="361" name="Text Box 3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7386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AF1139" w14:textId="77777777" w:rsidR="008601E5" w:rsidRDefault="008601E5">
                          <w:pPr>
                            <w:spacing w:line="226" w:lineRule="exact"/>
                            <w:ind w:left="20"/>
                            <w:rPr>
                              <w:rFonts w:ascii="Calibri" w:hAnsi="Calibri" w:cs="Calibri"/>
                              <w:sz w:val="20"/>
                              <w:szCs w:val="20"/>
                            </w:rPr>
                          </w:pPr>
                          <w:r>
                            <w:rPr>
                              <w:rFonts w:ascii="Calibri"/>
                              <w:b/>
                              <w:color w:val="231F20"/>
                              <w:w w:val="109"/>
                              <w:sz w:val="20"/>
                            </w:rPr>
                            <w:t>Section</w:t>
                          </w:r>
                          <w:r>
                            <w:rPr>
                              <w:rFonts w:ascii="Calibri"/>
                              <w:b/>
                              <w:color w:val="231F20"/>
                              <w:spacing w:val="6"/>
                              <w:sz w:val="20"/>
                            </w:rPr>
                            <w:t xml:space="preserve"> </w:t>
                          </w:r>
                          <w:r>
                            <w:rPr>
                              <w:rFonts w:ascii="Calibri"/>
                              <w:b/>
                              <w:color w:val="231F20"/>
                              <w:w w:val="95"/>
                              <w:sz w:val="20"/>
                            </w:rPr>
                            <w:t>II.</w:t>
                          </w:r>
                          <w:r>
                            <w:rPr>
                              <w:rFonts w:ascii="Calibri"/>
                              <w:b/>
                              <w:color w:val="231F20"/>
                              <w:spacing w:val="6"/>
                              <w:sz w:val="20"/>
                            </w:rPr>
                            <w:t xml:space="preserve"> </w:t>
                          </w:r>
                          <w:r>
                            <w:rPr>
                              <w:rFonts w:ascii="Calibri"/>
                              <w:b/>
                              <w:color w:val="231F20"/>
                              <w:spacing w:val="-3"/>
                              <w:w w:val="125"/>
                              <w:sz w:val="20"/>
                            </w:rPr>
                            <w:t>S</w:t>
                          </w:r>
                          <w:r>
                            <w:rPr>
                              <w:rFonts w:ascii="Calibri"/>
                              <w:b/>
                              <w:color w:val="231F20"/>
                              <w:w w:val="106"/>
                              <w:sz w:val="20"/>
                            </w:rPr>
                            <w:t>trategic</w:t>
                          </w:r>
                          <w:r>
                            <w:rPr>
                              <w:rFonts w:ascii="Calibri"/>
                              <w:b/>
                              <w:color w:val="231F20"/>
                              <w:spacing w:val="6"/>
                              <w:sz w:val="20"/>
                            </w:rPr>
                            <w:t xml:space="preserve"> </w:t>
                          </w:r>
                          <w:r>
                            <w:rPr>
                              <w:rFonts w:ascii="Calibri"/>
                              <w:b/>
                              <w:color w:val="231F20"/>
                              <w:w w:val="107"/>
                              <w:sz w:val="20"/>
                            </w:rPr>
                            <w:t>Elements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9EBF99B" id="_x0000_t202" coordsize="21600,21600" o:spt="202" path="m,l,21600r21600,l21600,xe">
              <v:stroke joinstyle="miter"/>
              <v:path gradientshapeok="t" o:connecttype="rect"/>
            </v:shapetype>
            <v:shape id="Text Box 361" o:spid="_x0000_s1041" type="#_x0000_t202" style="position:absolute;margin-left:61.5pt;margin-top:752.75pt;width:131.8pt;height:12pt;z-index:-25165818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" filled="f" stroked="f">
              <v:textbox inset="0,0,0,0">
                <w:txbxContent>
                  <w:p w14:paraId="3CAF1139" w14:textId="77777777" w:rsidR="008601E5" w:rsidRDefault="008601E5">
                    <w:pPr>
                      <w:spacing w:line="226" w:lineRule="exact"/>
                      <w:ind w:left="20"/>
                      <w:rPr>
                        <w:rFonts w:ascii="Calibri" w:hAnsi="Calibri" w:cs="Calibri"/>
                        <w:sz w:val="20"/>
                        <w:szCs w:val="20"/>
                      </w:rPr>
                    </w:pPr>
                    <w:r>
                      <w:rPr>
                        <w:rFonts w:ascii="Calibri"/>
                        <w:b/>
                        <w:color w:val="231F20"/>
                        <w:w w:val="109"/>
                        <w:sz w:val="20"/>
                      </w:rPr>
                      <w:t>Section</w:t>
                    </w:r>
                    <w:r>
                      <w:rPr>
                        <w:rFonts w:ascii="Calibri"/>
                        <w:b/>
                        <w:color w:val="231F20"/>
                        <w:spacing w:val="6"/>
                        <w:sz w:val="20"/>
                      </w:rPr>
                      <w:t xml:space="preserve"> </w:t>
                    </w:r>
                    <w:r>
                      <w:rPr>
                        <w:rFonts w:ascii="Calibri"/>
                        <w:b/>
                        <w:color w:val="231F20"/>
                        <w:w w:val="95"/>
                        <w:sz w:val="20"/>
                      </w:rPr>
                      <w:t>II.</w:t>
                    </w:r>
                    <w:r>
                      <w:rPr>
                        <w:rFonts w:ascii="Calibri"/>
                        <w:b/>
                        <w:color w:val="231F20"/>
                        <w:spacing w:val="6"/>
                        <w:sz w:val="20"/>
                      </w:rPr>
                      <w:t xml:space="preserve"> </w:t>
                    </w:r>
                    <w:r>
                      <w:rPr>
                        <w:rFonts w:ascii="Calibri"/>
                        <w:b/>
                        <w:color w:val="231F20"/>
                        <w:spacing w:val="-3"/>
                        <w:w w:val="125"/>
                        <w:sz w:val="20"/>
                      </w:rPr>
                      <w:t>S</w:t>
                    </w:r>
                    <w:r>
                      <w:rPr>
                        <w:rFonts w:ascii="Calibri"/>
                        <w:b/>
                        <w:color w:val="231F20"/>
                        <w:w w:val="106"/>
                        <w:sz w:val="20"/>
                      </w:rPr>
                      <w:t>trategic</w:t>
                    </w:r>
                    <w:r>
                      <w:rPr>
                        <w:rFonts w:ascii="Calibri"/>
                        <w:b/>
                        <w:color w:val="231F20"/>
                        <w:spacing w:val="6"/>
                        <w:sz w:val="20"/>
                      </w:rPr>
                      <w:t xml:space="preserve"> </w:t>
                    </w:r>
                    <w:r>
                      <w:rPr>
                        <w:rFonts w:ascii="Calibri"/>
                        <w:b/>
                        <w:color w:val="231F20"/>
                        <w:w w:val="107"/>
                        <w:sz w:val="20"/>
                      </w:rPr>
                      <w:t>Elements</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DC2017D" w14:textId="77777777" w:rsidR="00D85FE3" w:rsidRDefault="00D85FE3">
      <w:pPr>
        <w:spacing w:after="0" w:line="240" w:lineRule="auto"/>
      </w:pPr>
      <w:r>
        <w:separator/>
      </w:r>
    </w:p>
  </w:footnote>
  <w:footnote w:type="continuationSeparator" w:id="0">
    <w:p w14:paraId="2D418CF9" w14:textId="77777777" w:rsidR="00D85FE3" w:rsidRDefault="00D85FE3">
      <w:pPr>
        <w:spacing w:after="0" w:line="240" w:lineRule="auto"/>
      </w:pPr>
      <w:r>
        <w:continuationSeparator/>
      </w:r>
    </w:p>
  </w:footnote>
  <w:footnote w:type="continuationNotice" w:id="1">
    <w:p w14:paraId="4FA5602D" w14:textId="77777777" w:rsidR="00D85FE3" w:rsidRDefault="00D85FE3">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BF52FB5" w14:textId="77777777" w:rsidR="008601E5" w:rsidRPr="000C7E7F" w:rsidRDefault="008601E5" w:rsidP="000C7E7F">
    <w:pPr>
      <w:pStyle w:val="Header1"/>
      <w:jc w:val="center"/>
      <w:rPr>
        <w:sz w:val="20"/>
      </w:rPr>
    </w:pPr>
    <w:r w:rsidRPr="000C7E7F">
      <w:rPr>
        <w:sz w:val="20"/>
      </w:rPr>
      <w:t>State of Florida</w:t>
    </w:r>
  </w:p>
  <w:p w14:paraId="2833F55E" w14:textId="77777777" w:rsidR="008601E5" w:rsidRPr="000C7E7F" w:rsidRDefault="008601E5" w:rsidP="000C7E7F">
    <w:pPr>
      <w:pStyle w:val="Header1"/>
      <w:jc w:val="center"/>
      <w:rPr>
        <w:sz w:val="20"/>
      </w:rPr>
    </w:pPr>
    <w:r w:rsidRPr="000C7E7F">
      <w:rPr>
        <w:sz w:val="20"/>
      </w:rPr>
      <w:t>Workforce Innovation and Opportunity Act- Unified Plan</w:t>
    </w:r>
    <w:r>
      <w:rPr>
        <w:sz w:val="20"/>
      </w:rPr>
      <w:br/>
      <w:t>Two-Year Modification</w:t>
    </w:r>
  </w:p>
  <w:p w14:paraId="6C58DCFB" w14:textId="58EB1622" w:rsidR="008601E5" w:rsidRDefault="008601E5" w:rsidP="000C7E7F">
    <w:pPr>
      <w:pStyle w:val="Header1"/>
      <w:jc w:val="center"/>
      <w:rPr>
        <w:sz w:val="20"/>
      </w:rPr>
    </w:pPr>
    <w:r>
      <w:rPr>
        <w:sz w:val="20"/>
      </w:rPr>
      <w:t>July 1, 2018 – June 30, 2020</w:t>
    </w:r>
  </w:p>
  <w:p w14:paraId="4DBCF609" w14:textId="3C1687B1" w:rsidR="00187A11" w:rsidRPr="00DC6123" w:rsidRDefault="00187A11" w:rsidP="00DC6123">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BD72F0"/>
    <w:multiLevelType w:val="hybridMultilevel"/>
    <w:tmpl w:val="4748019A"/>
    <w:lvl w:ilvl="0" w:tplc="04090001">
      <w:start w:val="1"/>
      <w:numFmt w:val="bullet"/>
      <w:lvlText w:val=""/>
      <w:lvlJc w:val="left"/>
      <w:pPr>
        <w:ind w:left="827" w:hanging="360"/>
      </w:pPr>
      <w:rPr>
        <w:rFonts w:ascii="Symbol" w:hAnsi="Symbol" w:hint="default"/>
      </w:rPr>
    </w:lvl>
    <w:lvl w:ilvl="1" w:tplc="04090003" w:tentative="1">
      <w:start w:val="1"/>
      <w:numFmt w:val="bullet"/>
      <w:lvlText w:val="o"/>
      <w:lvlJc w:val="left"/>
      <w:pPr>
        <w:ind w:left="1547" w:hanging="360"/>
      </w:pPr>
      <w:rPr>
        <w:rFonts w:ascii="Courier New" w:hAnsi="Courier New" w:cs="Courier New" w:hint="default"/>
      </w:rPr>
    </w:lvl>
    <w:lvl w:ilvl="2" w:tplc="04090005" w:tentative="1">
      <w:start w:val="1"/>
      <w:numFmt w:val="bullet"/>
      <w:lvlText w:val=""/>
      <w:lvlJc w:val="left"/>
      <w:pPr>
        <w:ind w:left="2267" w:hanging="360"/>
      </w:pPr>
      <w:rPr>
        <w:rFonts w:ascii="Wingdings" w:hAnsi="Wingdings" w:hint="default"/>
      </w:rPr>
    </w:lvl>
    <w:lvl w:ilvl="3" w:tplc="04090001" w:tentative="1">
      <w:start w:val="1"/>
      <w:numFmt w:val="bullet"/>
      <w:lvlText w:val=""/>
      <w:lvlJc w:val="left"/>
      <w:pPr>
        <w:ind w:left="2987" w:hanging="360"/>
      </w:pPr>
      <w:rPr>
        <w:rFonts w:ascii="Symbol" w:hAnsi="Symbol" w:hint="default"/>
      </w:rPr>
    </w:lvl>
    <w:lvl w:ilvl="4" w:tplc="04090003" w:tentative="1">
      <w:start w:val="1"/>
      <w:numFmt w:val="bullet"/>
      <w:lvlText w:val="o"/>
      <w:lvlJc w:val="left"/>
      <w:pPr>
        <w:ind w:left="3707" w:hanging="360"/>
      </w:pPr>
      <w:rPr>
        <w:rFonts w:ascii="Courier New" w:hAnsi="Courier New" w:cs="Courier New" w:hint="default"/>
      </w:rPr>
    </w:lvl>
    <w:lvl w:ilvl="5" w:tplc="04090005" w:tentative="1">
      <w:start w:val="1"/>
      <w:numFmt w:val="bullet"/>
      <w:lvlText w:val=""/>
      <w:lvlJc w:val="left"/>
      <w:pPr>
        <w:ind w:left="4427" w:hanging="360"/>
      </w:pPr>
      <w:rPr>
        <w:rFonts w:ascii="Wingdings" w:hAnsi="Wingdings" w:hint="default"/>
      </w:rPr>
    </w:lvl>
    <w:lvl w:ilvl="6" w:tplc="04090001" w:tentative="1">
      <w:start w:val="1"/>
      <w:numFmt w:val="bullet"/>
      <w:lvlText w:val=""/>
      <w:lvlJc w:val="left"/>
      <w:pPr>
        <w:ind w:left="5147" w:hanging="360"/>
      </w:pPr>
      <w:rPr>
        <w:rFonts w:ascii="Symbol" w:hAnsi="Symbol" w:hint="default"/>
      </w:rPr>
    </w:lvl>
    <w:lvl w:ilvl="7" w:tplc="04090003" w:tentative="1">
      <w:start w:val="1"/>
      <w:numFmt w:val="bullet"/>
      <w:lvlText w:val="o"/>
      <w:lvlJc w:val="left"/>
      <w:pPr>
        <w:ind w:left="5867" w:hanging="360"/>
      </w:pPr>
      <w:rPr>
        <w:rFonts w:ascii="Courier New" w:hAnsi="Courier New" w:cs="Courier New" w:hint="default"/>
      </w:rPr>
    </w:lvl>
    <w:lvl w:ilvl="8" w:tplc="04090005" w:tentative="1">
      <w:start w:val="1"/>
      <w:numFmt w:val="bullet"/>
      <w:lvlText w:val=""/>
      <w:lvlJc w:val="left"/>
      <w:pPr>
        <w:ind w:left="6587" w:hanging="360"/>
      </w:pPr>
      <w:rPr>
        <w:rFonts w:ascii="Wingdings" w:hAnsi="Wingdings" w:hint="default"/>
      </w:rPr>
    </w:lvl>
  </w:abstractNum>
  <w:abstractNum w:abstractNumId="1" w15:restartNumberingAfterBreak="0">
    <w:nsid w:val="0134695F"/>
    <w:multiLevelType w:val="hybridMultilevel"/>
    <w:tmpl w:val="652CA2C8"/>
    <w:lvl w:ilvl="0" w:tplc="04090001">
      <w:start w:val="1"/>
      <w:numFmt w:val="bullet"/>
      <w:lvlText w:val=""/>
      <w:lvlJc w:val="left"/>
      <w:pPr>
        <w:ind w:left="810" w:hanging="360"/>
      </w:pPr>
      <w:rPr>
        <w:rFonts w:ascii="Symbol" w:hAnsi="Symbol" w:hint="default"/>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2" w15:restartNumberingAfterBreak="0">
    <w:nsid w:val="01B07A5C"/>
    <w:multiLevelType w:val="hybridMultilevel"/>
    <w:tmpl w:val="65421914"/>
    <w:lvl w:ilvl="0" w:tplc="26887B02">
      <w:start w:val="1"/>
      <w:numFmt w:val="upperLetter"/>
      <w:lvlText w:val="(%1)"/>
      <w:lvlJc w:val="left"/>
      <w:pPr>
        <w:ind w:left="2988" w:hanging="360"/>
      </w:pPr>
      <w:rPr>
        <w:rFonts w:hint="default"/>
        <w:color w:val="295CA3"/>
        <w:w w:val="105"/>
      </w:rPr>
    </w:lvl>
    <w:lvl w:ilvl="1" w:tplc="04090019">
      <w:start w:val="1"/>
      <w:numFmt w:val="lowerLetter"/>
      <w:lvlText w:val="%2."/>
      <w:lvlJc w:val="left"/>
      <w:pPr>
        <w:ind w:left="3708" w:hanging="360"/>
      </w:pPr>
    </w:lvl>
    <w:lvl w:ilvl="2" w:tplc="0409001B">
      <w:start w:val="1"/>
      <w:numFmt w:val="lowerRoman"/>
      <w:lvlText w:val="%3."/>
      <w:lvlJc w:val="right"/>
      <w:pPr>
        <w:ind w:left="4428" w:hanging="180"/>
      </w:pPr>
    </w:lvl>
    <w:lvl w:ilvl="3" w:tplc="0409000F">
      <w:start w:val="1"/>
      <w:numFmt w:val="decimal"/>
      <w:lvlText w:val="%4."/>
      <w:lvlJc w:val="left"/>
      <w:pPr>
        <w:ind w:left="5148" w:hanging="360"/>
      </w:pPr>
    </w:lvl>
    <w:lvl w:ilvl="4" w:tplc="04090019" w:tentative="1">
      <w:start w:val="1"/>
      <w:numFmt w:val="lowerLetter"/>
      <w:lvlText w:val="%5."/>
      <w:lvlJc w:val="left"/>
      <w:pPr>
        <w:ind w:left="5868" w:hanging="360"/>
      </w:pPr>
    </w:lvl>
    <w:lvl w:ilvl="5" w:tplc="0409001B" w:tentative="1">
      <w:start w:val="1"/>
      <w:numFmt w:val="lowerRoman"/>
      <w:lvlText w:val="%6."/>
      <w:lvlJc w:val="right"/>
      <w:pPr>
        <w:ind w:left="6588" w:hanging="180"/>
      </w:pPr>
    </w:lvl>
    <w:lvl w:ilvl="6" w:tplc="0409000F" w:tentative="1">
      <w:start w:val="1"/>
      <w:numFmt w:val="decimal"/>
      <w:lvlText w:val="%7."/>
      <w:lvlJc w:val="left"/>
      <w:pPr>
        <w:ind w:left="7308" w:hanging="360"/>
      </w:pPr>
    </w:lvl>
    <w:lvl w:ilvl="7" w:tplc="04090019" w:tentative="1">
      <w:start w:val="1"/>
      <w:numFmt w:val="lowerLetter"/>
      <w:lvlText w:val="%8."/>
      <w:lvlJc w:val="left"/>
      <w:pPr>
        <w:ind w:left="8028" w:hanging="360"/>
      </w:pPr>
    </w:lvl>
    <w:lvl w:ilvl="8" w:tplc="0409001B" w:tentative="1">
      <w:start w:val="1"/>
      <w:numFmt w:val="lowerRoman"/>
      <w:lvlText w:val="%9."/>
      <w:lvlJc w:val="right"/>
      <w:pPr>
        <w:ind w:left="8748" w:hanging="180"/>
      </w:pPr>
    </w:lvl>
  </w:abstractNum>
  <w:abstractNum w:abstractNumId="3" w15:restartNumberingAfterBreak="0">
    <w:nsid w:val="025F3009"/>
    <w:multiLevelType w:val="hybridMultilevel"/>
    <w:tmpl w:val="252A38B4"/>
    <w:lvl w:ilvl="0" w:tplc="04090001">
      <w:start w:val="1"/>
      <w:numFmt w:val="bullet"/>
      <w:lvlText w:val=""/>
      <w:lvlJc w:val="left"/>
      <w:pPr>
        <w:ind w:left="827" w:hanging="360"/>
      </w:pPr>
      <w:rPr>
        <w:rFonts w:ascii="Symbol" w:hAnsi="Symbol" w:hint="default"/>
      </w:rPr>
    </w:lvl>
    <w:lvl w:ilvl="1" w:tplc="04090003" w:tentative="1">
      <w:start w:val="1"/>
      <w:numFmt w:val="bullet"/>
      <w:lvlText w:val="o"/>
      <w:lvlJc w:val="left"/>
      <w:pPr>
        <w:ind w:left="1547" w:hanging="360"/>
      </w:pPr>
      <w:rPr>
        <w:rFonts w:ascii="Courier New" w:hAnsi="Courier New" w:cs="Courier New" w:hint="default"/>
      </w:rPr>
    </w:lvl>
    <w:lvl w:ilvl="2" w:tplc="04090005" w:tentative="1">
      <w:start w:val="1"/>
      <w:numFmt w:val="bullet"/>
      <w:lvlText w:val=""/>
      <w:lvlJc w:val="left"/>
      <w:pPr>
        <w:ind w:left="2267" w:hanging="360"/>
      </w:pPr>
      <w:rPr>
        <w:rFonts w:ascii="Wingdings" w:hAnsi="Wingdings" w:hint="default"/>
      </w:rPr>
    </w:lvl>
    <w:lvl w:ilvl="3" w:tplc="04090001" w:tentative="1">
      <w:start w:val="1"/>
      <w:numFmt w:val="bullet"/>
      <w:lvlText w:val=""/>
      <w:lvlJc w:val="left"/>
      <w:pPr>
        <w:ind w:left="2987" w:hanging="360"/>
      </w:pPr>
      <w:rPr>
        <w:rFonts w:ascii="Symbol" w:hAnsi="Symbol" w:hint="default"/>
      </w:rPr>
    </w:lvl>
    <w:lvl w:ilvl="4" w:tplc="04090003" w:tentative="1">
      <w:start w:val="1"/>
      <w:numFmt w:val="bullet"/>
      <w:lvlText w:val="o"/>
      <w:lvlJc w:val="left"/>
      <w:pPr>
        <w:ind w:left="3707" w:hanging="360"/>
      </w:pPr>
      <w:rPr>
        <w:rFonts w:ascii="Courier New" w:hAnsi="Courier New" w:cs="Courier New" w:hint="default"/>
      </w:rPr>
    </w:lvl>
    <w:lvl w:ilvl="5" w:tplc="04090005" w:tentative="1">
      <w:start w:val="1"/>
      <w:numFmt w:val="bullet"/>
      <w:lvlText w:val=""/>
      <w:lvlJc w:val="left"/>
      <w:pPr>
        <w:ind w:left="4427" w:hanging="360"/>
      </w:pPr>
      <w:rPr>
        <w:rFonts w:ascii="Wingdings" w:hAnsi="Wingdings" w:hint="default"/>
      </w:rPr>
    </w:lvl>
    <w:lvl w:ilvl="6" w:tplc="04090001" w:tentative="1">
      <w:start w:val="1"/>
      <w:numFmt w:val="bullet"/>
      <w:lvlText w:val=""/>
      <w:lvlJc w:val="left"/>
      <w:pPr>
        <w:ind w:left="5147" w:hanging="360"/>
      </w:pPr>
      <w:rPr>
        <w:rFonts w:ascii="Symbol" w:hAnsi="Symbol" w:hint="default"/>
      </w:rPr>
    </w:lvl>
    <w:lvl w:ilvl="7" w:tplc="04090003" w:tentative="1">
      <w:start w:val="1"/>
      <w:numFmt w:val="bullet"/>
      <w:lvlText w:val="o"/>
      <w:lvlJc w:val="left"/>
      <w:pPr>
        <w:ind w:left="5867" w:hanging="360"/>
      </w:pPr>
      <w:rPr>
        <w:rFonts w:ascii="Courier New" w:hAnsi="Courier New" w:cs="Courier New" w:hint="default"/>
      </w:rPr>
    </w:lvl>
    <w:lvl w:ilvl="8" w:tplc="04090005" w:tentative="1">
      <w:start w:val="1"/>
      <w:numFmt w:val="bullet"/>
      <w:lvlText w:val=""/>
      <w:lvlJc w:val="left"/>
      <w:pPr>
        <w:ind w:left="6587" w:hanging="360"/>
      </w:pPr>
      <w:rPr>
        <w:rFonts w:ascii="Wingdings" w:hAnsi="Wingdings" w:hint="default"/>
      </w:rPr>
    </w:lvl>
  </w:abstractNum>
  <w:abstractNum w:abstractNumId="4" w15:restartNumberingAfterBreak="0">
    <w:nsid w:val="02604664"/>
    <w:multiLevelType w:val="hybridMultilevel"/>
    <w:tmpl w:val="D070FFBE"/>
    <w:lvl w:ilvl="0" w:tplc="04090001">
      <w:start w:val="1"/>
      <w:numFmt w:val="bullet"/>
      <w:lvlText w:val=""/>
      <w:lvlJc w:val="left"/>
      <w:pPr>
        <w:ind w:left="810" w:hanging="360"/>
      </w:pPr>
      <w:rPr>
        <w:rFonts w:ascii="Symbol" w:hAnsi="Symbol" w:hint="default"/>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5" w15:restartNumberingAfterBreak="0">
    <w:nsid w:val="0295382E"/>
    <w:multiLevelType w:val="hybridMultilevel"/>
    <w:tmpl w:val="088C38A8"/>
    <w:lvl w:ilvl="0" w:tplc="04090001">
      <w:start w:val="1"/>
      <w:numFmt w:val="bullet"/>
      <w:lvlText w:val=""/>
      <w:lvlJc w:val="left"/>
      <w:pPr>
        <w:ind w:left="827" w:hanging="360"/>
      </w:pPr>
      <w:rPr>
        <w:rFonts w:ascii="Symbol" w:hAnsi="Symbol" w:hint="default"/>
      </w:rPr>
    </w:lvl>
    <w:lvl w:ilvl="1" w:tplc="04090003" w:tentative="1">
      <w:start w:val="1"/>
      <w:numFmt w:val="bullet"/>
      <w:lvlText w:val="o"/>
      <w:lvlJc w:val="left"/>
      <w:pPr>
        <w:ind w:left="1547" w:hanging="360"/>
      </w:pPr>
      <w:rPr>
        <w:rFonts w:ascii="Courier New" w:hAnsi="Courier New" w:cs="Courier New" w:hint="default"/>
      </w:rPr>
    </w:lvl>
    <w:lvl w:ilvl="2" w:tplc="04090005" w:tentative="1">
      <w:start w:val="1"/>
      <w:numFmt w:val="bullet"/>
      <w:lvlText w:val=""/>
      <w:lvlJc w:val="left"/>
      <w:pPr>
        <w:ind w:left="2267" w:hanging="360"/>
      </w:pPr>
      <w:rPr>
        <w:rFonts w:ascii="Wingdings" w:hAnsi="Wingdings" w:hint="default"/>
      </w:rPr>
    </w:lvl>
    <w:lvl w:ilvl="3" w:tplc="04090001" w:tentative="1">
      <w:start w:val="1"/>
      <w:numFmt w:val="bullet"/>
      <w:lvlText w:val=""/>
      <w:lvlJc w:val="left"/>
      <w:pPr>
        <w:ind w:left="2987" w:hanging="360"/>
      </w:pPr>
      <w:rPr>
        <w:rFonts w:ascii="Symbol" w:hAnsi="Symbol" w:hint="default"/>
      </w:rPr>
    </w:lvl>
    <w:lvl w:ilvl="4" w:tplc="04090003" w:tentative="1">
      <w:start w:val="1"/>
      <w:numFmt w:val="bullet"/>
      <w:lvlText w:val="o"/>
      <w:lvlJc w:val="left"/>
      <w:pPr>
        <w:ind w:left="3707" w:hanging="360"/>
      </w:pPr>
      <w:rPr>
        <w:rFonts w:ascii="Courier New" w:hAnsi="Courier New" w:cs="Courier New" w:hint="default"/>
      </w:rPr>
    </w:lvl>
    <w:lvl w:ilvl="5" w:tplc="04090005" w:tentative="1">
      <w:start w:val="1"/>
      <w:numFmt w:val="bullet"/>
      <w:lvlText w:val=""/>
      <w:lvlJc w:val="left"/>
      <w:pPr>
        <w:ind w:left="4427" w:hanging="360"/>
      </w:pPr>
      <w:rPr>
        <w:rFonts w:ascii="Wingdings" w:hAnsi="Wingdings" w:hint="default"/>
      </w:rPr>
    </w:lvl>
    <w:lvl w:ilvl="6" w:tplc="04090001" w:tentative="1">
      <w:start w:val="1"/>
      <w:numFmt w:val="bullet"/>
      <w:lvlText w:val=""/>
      <w:lvlJc w:val="left"/>
      <w:pPr>
        <w:ind w:left="5147" w:hanging="360"/>
      </w:pPr>
      <w:rPr>
        <w:rFonts w:ascii="Symbol" w:hAnsi="Symbol" w:hint="default"/>
      </w:rPr>
    </w:lvl>
    <w:lvl w:ilvl="7" w:tplc="04090003" w:tentative="1">
      <w:start w:val="1"/>
      <w:numFmt w:val="bullet"/>
      <w:lvlText w:val="o"/>
      <w:lvlJc w:val="left"/>
      <w:pPr>
        <w:ind w:left="5867" w:hanging="360"/>
      </w:pPr>
      <w:rPr>
        <w:rFonts w:ascii="Courier New" w:hAnsi="Courier New" w:cs="Courier New" w:hint="default"/>
      </w:rPr>
    </w:lvl>
    <w:lvl w:ilvl="8" w:tplc="04090005" w:tentative="1">
      <w:start w:val="1"/>
      <w:numFmt w:val="bullet"/>
      <w:lvlText w:val=""/>
      <w:lvlJc w:val="left"/>
      <w:pPr>
        <w:ind w:left="6587" w:hanging="360"/>
      </w:pPr>
      <w:rPr>
        <w:rFonts w:ascii="Wingdings" w:hAnsi="Wingdings" w:hint="default"/>
      </w:rPr>
    </w:lvl>
  </w:abstractNum>
  <w:abstractNum w:abstractNumId="6" w15:restartNumberingAfterBreak="0">
    <w:nsid w:val="02EB1ADE"/>
    <w:multiLevelType w:val="hybridMultilevel"/>
    <w:tmpl w:val="CA9C6BDA"/>
    <w:lvl w:ilvl="0" w:tplc="04090001">
      <w:start w:val="1"/>
      <w:numFmt w:val="bullet"/>
      <w:lvlText w:val=""/>
      <w:lvlJc w:val="left"/>
      <w:pPr>
        <w:ind w:left="827" w:hanging="360"/>
      </w:pPr>
      <w:rPr>
        <w:rFonts w:ascii="Symbol" w:hAnsi="Symbol" w:hint="default"/>
      </w:rPr>
    </w:lvl>
    <w:lvl w:ilvl="1" w:tplc="04090003" w:tentative="1">
      <w:start w:val="1"/>
      <w:numFmt w:val="bullet"/>
      <w:lvlText w:val="o"/>
      <w:lvlJc w:val="left"/>
      <w:pPr>
        <w:ind w:left="1547" w:hanging="360"/>
      </w:pPr>
      <w:rPr>
        <w:rFonts w:ascii="Courier New" w:hAnsi="Courier New" w:cs="Courier New" w:hint="default"/>
      </w:rPr>
    </w:lvl>
    <w:lvl w:ilvl="2" w:tplc="04090005" w:tentative="1">
      <w:start w:val="1"/>
      <w:numFmt w:val="bullet"/>
      <w:lvlText w:val=""/>
      <w:lvlJc w:val="left"/>
      <w:pPr>
        <w:ind w:left="2267" w:hanging="360"/>
      </w:pPr>
      <w:rPr>
        <w:rFonts w:ascii="Wingdings" w:hAnsi="Wingdings" w:hint="default"/>
      </w:rPr>
    </w:lvl>
    <w:lvl w:ilvl="3" w:tplc="04090001" w:tentative="1">
      <w:start w:val="1"/>
      <w:numFmt w:val="bullet"/>
      <w:lvlText w:val=""/>
      <w:lvlJc w:val="left"/>
      <w:pPr>
        <w:ind w:left="2987" w:hanging="360"/>
      </w:pPr>
      <w:rPr>
        <w:rFonts w:ascii="Symbol" w:hAnsi="Symbol" w:hint="default"/>
      </w:rPr>
    </w:lvl>
    <w:lvl w:ilvl="4" w:tplc="04090003" w:tentative="1">
      <w:start w:val="1"/>
      <w:numFmt w:val="bullet"/>
      <w:lvlText w:val="o"/>
      <w:lvlJc w:val="left"/>
      <w:pPr>
        <w:ind w:left="3707" w:hanging="360"/>
      </w:pPr>
      <w:rPr>
        <w:rFonts w:ascii="Courier New" w:hAnsi="Courier New" w:cs="Courier New" w:hint="default"/>
      </w:rPr>
    </w:lvl>
    <w:lvl w:ilvl="5" w:tplc="04090005" w:tentative="1">
      <w:start w:val="1"/>
      <w:numFmt w:val="bullet"/>
      <w:lvlText w:val=""/>
      <w:lvlJc w:val="left"/>
      <w:pPr>
        <w:ind w:left="4427" w:hanging="360"/>
      </w:pPr>
      <w:rPr>
        <w:rFonts w:ascii="Wingdings" w:hAnsi="Wingdings" w:hint="default"/>
      </w:rPr>
    </w:lvl>
    <w:lvl w:ilvl="6" w:tplc="04090001" w:tentative="1">
      <w:start w:val="1"/>
      <w:numFmt w:val="bullet"/>
      <w:lvlText w:val=""/>
      <w:lvlJc w:val="left"/>
      <w:pPr>
        <w:ind w:left="5147" w:hanging="360"/>
      </w:pPr>
      <w:rPr>
        <w:rFonts w:ascii="Symbol" w:hAnsi="Symbol" w:hint="default"/>
      </w:rPr>
    </w:lvl>
    <w:lvl w:ilvl="7" w:tplc="04090003" w:tentative="1">
      <w:start w:val="1"/>
      <w:numFmt w:val="bullet"/>
      <w:lvlText w:val="o"/>
      <w:lvlJc w:val="left"/>
      <w:pPr>
        <w:ind w:left="5867" w:hanging="360"/>
      </w:pPr>
      <w:rPr>
        <w:rFonts w:ascii="Courier New" w:hAnsi="Courier New" w:cs="Courier New" w:hint="default"/>
      </w:rPr>
    </w:lvl>
    <w:lvl w:ilvl="8" w:tplc="04090005" w:tentative="1">
      <w:start w:val="1"/>
      <w:numFmt w:val="bullet"/>
      <w:lvlText w:val=""/>
      <w:lvlJc w:val="left"/>
      <w:pPr>
        <w:ind w:left="6587" w:hanging="360"/>
      </w:pPr>
      <w:rPr>
        <w:rFonts w:ascii="Wingdings" w:hAnsi="Wingdings" w:hint="default"/>
      </w:rPr>
    </w:lvl>
  </w:abstractNum>
  <w:abstractNum w:abstractNumId="7" w15:restartNumberingAfterBreak="0">
    <w:nsid w:val="0300568E"/>
    <w:multiLevelType w:val="hybridMultilevel"/>
    <w:tmpl w:val="9C284926"/>
    <w:lvl w:ilvl="0" w:tplc="04090001">
      <w:start w:val="1"/>
      <w:numFmt w:val="bullet"/>
      <w:lvlText w:val=""/>
      <w:lvlJc w:val="left"/>
      <w:pPr>
        <w:ind w:left="810" w:hanging="360"/>
      </w:pPr>
      <w:rPr>
        <w:rFonts w:ascii="Symbol" w:hAnsi="Symbol" w:hint="default"/>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8" w15:restartNumberingAfterBreak="0">
    <w:nsid w:val="03091D56"/>
    <w:multiLevelType w:val="hybridMultilevel"/>
    <w:tmpl w:val="5186D9A8"/>
    <w:lvl w:ilvl="0" w:tplc="04090001">
      <w:start w:val="1"/>
      <w:numFmt w:val="bullet"/>
      <w:lvlText w:val=""/>
      <w:lvlJc w:val="left"/>
      <w:pPr>
        <w:ind w:left="810" w:hanging="360"/>
      </w:pPr>
      <w:rPr>
        <w:rFonts w:ascii="Symbol" w:hAnsi="Symbol" w:hint="default"/>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9" w15:restartNumberingAfterBreak="0">
    <w:nsid w:val="033B19B0"/>
    <w:multiLevelType w:val="hybridMultilevel"/>
    <w:tmpl w:val="5158EBE6"/>
    <w:lvl w:ilvl="0" w:tplc="0409000F">
      <w:start w:val="1"/>
      <w:numFmt w:val="decimal"/>
      <w:lvlText w:val="%1."/>
      <w:lvlJc w:val="left"/>
      <w:pPr>
        <w:ind w:left="810" w:hanging="360"/>
      </w:p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10" w15:restartNumberingAfterBreak="0">
    <w:nsid w:val="0680057E"/>
    <w:multiLevelType w:val="hybridMultilevel"/>
    <w:tmpl w:val="3B42B8AE"/>
    <w:lvl w:ilvl="0" w:tplc="8D4E61D8">
      <w:start w:val="1"/>
      <w:numFmt w:val="bullet"/>
      <w:lvlText w:val="•"/>
      <w:lvlJc w:val="left"/>
      <w:pPr>
        <w:ind w:left="810" w:hanging="360"/>
      </w:pPr>
      <w:rPr>
        <w:rFonts w:hint="default"/>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11" w15:restartNumberingAfterBreak="0">
    <w:nsid w:val="06D53758"/>
    <w:multiLevelType w:val="hybridMultilevel"/>
    <w:tmpl w:val="B4F215A4"/>
    <w:lvl w:ilvl="0" w:tplc="04090001">
      <w:start w:val="1"/>
      <w:numFmt w:val="bullet"/>
      <w:lvlText w:val=""/>
      <w:lvlJc w:val="left"/>
      <w:pPr>
        <w:ind w:left="827" w:hanging="360"/>
      </w:pPr>
      <w:rPr>
        <w:rFonts w:ascii="Symbol" w:hAnsi="Symbol" w:hint="default"/>
      </w:rPr>
    </w:lvl>
    <w:lvl w:ilvl="1" w:tplc="04090003" w:tentative="1">
      <w:start w:val="1"/>
      <w:numFmt w:val="bullet"/>
      <w:lvlText w:val="o"/>
      <w:lvlJc w:val="left"/>
      <w:pPr>
        <w:ind w:left="1547" w:hanging="360"/>
      </w:pPr>
      <w:rPr>
        <w:rFonts w:ascii="Courier New" w:hAnsi="Courier New" w:cs="Courier New" w:hint="default"/>
      </w:rPr>
    </w:lvl>
    <w:lvl w:ilvl="2" w:tplc="04090005" w:tentative="1">
      <w:start w:val="1"/>
      <w:numFmt w:val="bullet"/>
      <w:lvlText w:val=""/>
      <w:lvlJc w:val="left"/>
      <w:pPr>
        <w:ind w:left="2267" w:hanging="360"/>
      </w:pPr>
      <w:rPr>
        <w:rFonts w:ascii="Wingdings" w:hAnsi="Wingdings" w:hint="default"/>
      </w:rPr>
    </w:lvl>
    <w:lvl w:ilvl="3" w:tplc="04090001" w:tentative="1">
      <w:start w:val="1"/>
      <w:numFmt w:val="bullet"/>
      <w:lvlText w:val=""/>
      <w:lvlJc w:val="left"/>
      <w:pPr>
        <w:ind w:left="2987" w:hanging="360"/>
      </w:pPr>
      <w:rPr>
        <w:rFonts w:ascii="Symbol" w:hAnsi="Symbol" w:hint="default"/>
      </w:rPr>
    </w:lvl>
    <w:lvl w:ilvl="4" w:tplc="04090003" w:tentative="1">
      <w:start w:val="1"/>
      <w:numFmt w:val="bullet"/>
      <w:lvlText w:val="o"/>
      <w:lvlJc w:val="left"/>
      <w:pPr>
        <w:ind w:left="3707" w:hanging="360"/>
      </w:pPr>
      <w:rPr>
        <w:rFonts w:ascii="Courier New" w:hAnsi="Courier New" w:cs="Courier New" w:hint="default"/>
      </w:rPr>
    </w:lvl>
    <w:lvl w:ilvl="5" w:tplc="04090005" w:tentative="1">
      <w:start w:val="1"/>
      <w:numFmt w:val="bullet"/>
      <w:lvlText w:val=""/>
      <w:lvlJc w:val="left"/>
      <w:pPr>
        <w:ind w:left="4427" w:hanging="360"/>
      </w:pPr>
      <w:rPr>
        <w:rFonts w:ascii="Wingdings" w:hAnsi="Wingdings" w:hint="default"/>
      </w:rPr>
    </w:lvl>
    <w:lvl w:ilvl="6" w:tplc="04090001" w:tentative="1">
      <w:start w:val="1"/>
      <w:numFmt w:val="bullet"/>
      <w:lvlText w:val=""/>
      <w:lvlJc w:val="left"/>
      <w:pPr>
        <w:ind w:left="5147" w:hanging="360"/>
      </w:pPr>
      <w:rPr>
        <w:rFonts w:ascii="Symbol" w:hAnsi="Symbol" w:hint="default"/>
      </w:rPr>
    </w:lvl>
    <w:lvl w:ilvl="7" w:tplc="04090003" w:tentative="1">
      <w:start w:val="1"/>
      <w:numFmt w:val="bullet"/>
      <w:lvlText w:val="o"/>
      <w:lvlJc w:val="left"/>
      <w:pPr>
        <w:ind w:left="5867" w:hanging="360"/>
      </w:pPr>
      <w:rPr>
        <w:rFonts w:ascii="Courier New" w:hAnsi="Courier New" w:cs="Courier New" w:hint="default"/>
      </w:rPr>
    </w:lvl>
    <w:lvl w:ilvl="8" w:tplc="04090005" w:tentative="1">
      <w:start w:val="1"/>
      <w:numFmt w:val="bullet"/>
      <w:lvlText w:val=""/>
      <w:lvlJc w:val="left"/>
      <w:pPr>
        <w:ind w:left="6587" w:hanging="360"/>
      </w:pPr>
      <w:rPr>
        <w:rFonts w:ascii="Wingdings" w:hAnsi="Wingdings" w:hint="default"/>
      </w:rPr>
    </w:lvl>
  </w:abstractNum>
  <w:abstractNum w:abstractNumId="12" w15:restartNumberingAfterBreak="0">
    <w:nsid w:val="075D1A76"/>
    <w:multiLevelType w:val="hybridMultilevel"/>
    <w:tmpl w:val="B4A260D0"/>
    <w:lvl w:ilvl="0" w:tplc="04090019">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 w15:restartNumberingAfterBreak="0">
    <w:nsid w:val="077C5C4D"/>
    <w:multiLevelType w:val="hybridMultilevel"/>
    <w:tmpl w:val="81C4C88E"/>
    <w:lvl w:ilvl="0" w:tplc="04090001">
      <w:start w:val="1"/>
      <w:numFmt w:val="bullet"/>
      <w:lvlText w:val=""/>
      <w:lvlJc w:val="left"/>
      <w:pPr>
        <w:ind w:left="810" w:hanging="360"/>
      </w:pPr>
      <w:rPr>
        <w:rFonts w:ascii="Symbol" w:hAnsi="Symbol" w:hint="default"/>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14" w15:restartNumberingAfterBreak="0">
    <w:nsid w:val="085710F6"/>
    <w:multiLevelType w:val="hybridMultilevel"/>
    <w:tmpl w:val="FD321C80"/>
    <w:lvl w:ilvl="0" w:tplc="04090001">
      <w:start w:val="1"/>
      <w:numFmt w:val="bullet"/>
      <w:lvlText w:val=""/>
      <w:lvlJc w:val="left"/>
      <w:pPr>
        <w:ind w:left="744" w:hanging="180"/>
      </w:pPr>
      <w:rPr>
        <w:rFonts w:ascii="Symbol" w:hAnsi="Symbol" w:hint="default"/>
        <w:color w:val="231F20"/>
        <w:w w:val="71"/>
        <w:sz w:val="22"/>
      </w:rPr>
    </w:lvl>
    <w:lvl w:ilvl="1" w:tplc="04090003" w:tentative="1">
      <w:start w:val="1"/>
      <w:numFmt w:val="bullet"/>
      <w:lvlText w:val="o"/>
      <w:lvlJc w:val="left"/>
      <w:pPr>
        <w:ind w:left="1547" w:hanging="360"/>
      </w:pPr>
      <w:rPr>
        <w:rFonts w:ascii="Courier New" w:hAnsi="Courier New" w:cs="Courier New" w:hint="default"/>
      </w:rPr>
    </w:lvl>
    <w:lvl w:ilvl="2" w:tplc="04090005" w:tentative="1">
      <w:start w:val="1"/>
      <w:numFmt w:val="bullet"/>
      <w:lvlText w:val=""/>
      <w:lvlJc w:val="left"/>
      <w:pPr>
        <w:ind w:left="2267" w:hanging="360"/>
      </w:pPr>
      <w:rPr>
        <w:rFonts w:ascii="Wingdings" w:hAnsi="Wingdings" w:hint="default"/>
      </w:rPr>
    </w:lvl>
    <w:lvl w:ilvl="3" w:tplc="04090001" w:tentative="1">
      <w:start w:val="1"/>
      <w:numFmt w:val="bullet"/>
      <w:lvlText w:val=""/>
      <w:lvlJc w:val="left"/>
      <w:pPr>
        <w:ind w:left="2987" w:hanging="360"/>
      </w:pPr>
      <w:rPr>
        <w:rFonts w:ascii="Symbol" w:hAnsi="Symbol" w:hint="default"/>
      </w:rPr>
    </w:lvl>
    <w:lvl w:ilvl="4" w:tplc="04090003" w:tentative="1">
      <w:start w:val="1"/>
      <w:numFmt w:val="bullet"/>
      <w:lvlText w:val="o"/>
      <w:lvlJc w:val="left"/>
      <w:pPr>
        <w:ind w:left="3707" w:hanging="360"/>
      </w:pPr>
      <w:rPr>
        <w:rFonts w:ascii="Courier New" w:hAnsi="Courier New" w:cs="Courier New" w:hint="default"/>
      </w:rPr>
    </w:lvl>
    <w:lvl w:ilvl="5" w:tplc="04090005" w:tentative="1">
      <w:start w:val="1"/>
      <w:numFmt w:val="bullet"/>
      <w:lvlText w:val=""/>
      <w:lvlJc w:val="left"/>
      <w:pPr>
        <w:ind w:left="4427" w:hanging="360"/>
      </w:pPr>
      <w:rPr>
        <w:rFonts w:ascii="Wingdings" w:hAnsi="Wingdings" w:hint="default"/>
      </w:rPr>
    </w:lvl>
    <w:lvl w:ilvl="6" w:tplc="04090001" w:tentative="1">
      <w:start w:val="1"/>
      <w:numFmt w:val="bullet"/>
      <w:lvlText w:val=""/>
      <w:lvlJc w:val="left"/>
      <w:pPr>
        <w:ind w:left="5147" w:hanging="360"/>
      </w:pPr>
      <w:rPr>
        <w:rFonts w:ascii="Symbol" w:hAnsi="Symbol" w:hint="default"/>
      </w:rPr>
    </w:lvl>
    <w:lvl w:ilvl="7" w:tplc="04090003" w:tentative="1">
      <w:start w:val="1"/>
      <w:numFmt w:val="bullet"/>
      <w:lvlText w:val="o"/>
      <w:lvlJc w:val="left"/>
      <w:pPr>
        <w:ind w:left="5867" w:hanging="360"/>
      </w:pPr>
      <w:rPr>
        <w:rFonts w:ascii="Courier New" w:hAnsi="Courier New" w:cs="Courier New" w:hint="default"/>
      </w:rPr>
    </w:lvl>
    <w:lvl w:ilvl="8" w:tplc="04090005" w:tentative="1">
      <w:start w:val="1"/>
      <w:numFmt w:val="bullet"/>
      <w:lvlText w:val=""/>
      <w:lvlJc w:val="left"/>
      <w:pPr>
        <w:ind w:left="6587" w:hanging="360"/>
      </w:pPr>
      <w:rPr>
        <w:rFonts w:ascii="Wingdings" w:hAnsi="Wingdings" w:hint="default"/>
      </w:rPr>
    </w:lvl>
  </w:abstractNum>
  <w:abstractNum w:abstractNumId="15" w15:restartNumberingAfterBreak="0">
    <w:nsid w:val="09885EF1"/>
    <w:multiLevelType w:val="hybridMultilevel"/>
    <w:tmpl w:val="1C5A2496"/>
    <w:lvl w:ilvl="0" w:tplc="04090001">
      <w:start w:val="1"/>
      <w:numFmt w:val="bullet"/>
      <w:lvlText w:val=""/>
      <w:lvlJc w:val="left"/>
      <w:pPr>
        <w:ind w:left="827" w:hanging="360"/>
      </w:pPr>
      <w:rPr>
        <w:rFonts w:ascii="Symbol" w:hAnsi="Symbol" w:hint="default"/>
      </w:rPr>
    </w:lvl>
    <w:lvl w:ilvl="1" w:tplc="04090003">
      <w:start w:val="1"/>
      <w:numFmt w:val="bullet"/>
      <w:lvlText w:val="o"/>
      <w:lvlJc w:val="left"/>
      <w:pPr>
        <w:ind w:left="1547" w:hanging="360"/>
      </w:pPr>
      <w:rPr>
        <w:rFonts w:ascii="Courier New" w:hAnsi="Courier New" w:cs="Courier New" w:hint="default"/>
      </w:rPr>
    </w:lvl>
    <w:lvl w:ilvl="2" w:tplc="04090005" w:tentative="1">
      <w:start w:val="1"/>
      <w:numFmt w:val="bullet"/>
      <w:lvlText w:val=""/>
      <w:lvlJc w:val="left"/>
      <w:pPr>
        <w:ind w:left="2267" w:hanging="360"/>
      </w:pPr>
      <w:rPr>
        <w:rFonts w:ascii="Wingdings" w:hAnsi="Wingdings" w:hint="default"/>
      </w:rPr>
    </w:lvl>
    <w:lvl w:ilvl="3" w:tplc="04090001" w:tentative="1">
      <w:start w:val="1"/>
      <w:numFmt w:val="bullet"/>
      <w:lvlText w:val=""/>
      <w:lvlJc w:val="left"/>
      <w:pPr>
        <w:ind w:left="2987" w:hanging="360"/>
      </w:pPr>
      <w:rPr>
        <w:rFonts w:ascii="Symbol" w:hAnsi="Symbol" w:hint="default"/>
      </w:rPr>
    </w:lvl>
    <w:lvl w:ilvl="4" w:tplc="04090003" w:tentative="1">
      <w:start w:val="1"/>
      <w:numFmt w:val="bullet"/>
      <w:lvlText w:val="o"/>
      <w:lvlJc w:val="left"/>
      <w:pPr>
        <w:ind w:left="3707" w:hanging="360"/>
      </w:pPr>
      <w:rPr>
        <w:rFonts w:ascii="Courier New" w:hAnsi="Courier New" w:cs="Courier New" w:hint="default"/>
      </w:rPr>
    </w:lvl>
    <w:lvl w:ilvl="5" w:tplc="04090005" w:tentative="1">
      <w:start w:val="1"/>
      <w:numFmt w:val="bullet"/>
      <w:lvlText w:val=""/>
      <w:lvlJc w:val="left"/>
      <w:pPr>
        <w:ind w:left="4427" w:hanging="360"/>
      </w:pPr>
      <w:rPr>
        <w:rFonts w:ascii="Wingdings" w:hAnsi="Wingdings" w:hint="default"/>
      </w:rPr>
    </w:lvl>
    <w:lvl w:ilvl="6" w:tplc="04090001" w:tentative="1">
      <w:start w:val="1"/>
      <w:numFmt w:val="bullet"/>
      <w:lvlText w:val=""/>
      <w:lvlJc w:val="left"/>
      <w:pPr>
        <w:ind w:left="5147" w:hanging="360"/>
      </w:pPr>
      <w:rPr>
        <w:rFonts w:ascii="Symbol" w:hAnsi="Symbol" w:hint="default"/>
      </w:rPr>
    </w:lvl>
    <w:lvl w:ilvl="7" w:tplc="04090003" w:tentative="1">
      <w:start w:val="1"/>
      <w:numFmt w:val="bullet"/>
      <w:lvlText w:val="o"/>
      <w:lvlJc w:val="left"/>
      <w:pPr>
        <w:ind w:left="5867" w:hanging="360"/>
      </w:pPr>
      <w:rPr>
        <w:rFonts w:ascii="Courier New" w:hAnsi="Courier New" w:cs="Courier New" w:hint="default"/>
      </w:rPr>
    </w:lvl>
    <w:lvl w:ilvl="8" w:tplc="04090005" w:tentative="1">
      <w:start w:val="1"/>
      <w:numFmt w:val="bullet"/>
      <w:lvlText w:val=""/>
      <w:lvlJc w:val="left"/>
      <w:pPr>
        <w:ind w:left="6587" w:hanging="360"/>
      </w:pPr>
      <w:rPr>
        <w:rFonts w:ascii="Wingdings" w:hAnsi="Wingdings" w:hint="default"/>
      </w:rPr>
    </w:lvl>
  </w:abstractNum>
  <w:abstractNum w:abstractNumId="16" w15:restartNumberingAfterBreak="0">
    <w:nsid w:val="0A3B2AD5"/>
    <w:multiLevelType w:val="hybridMultilevel"/>
    <w:tmpl w:val="EBDE2E2E"/>
    <w:lvl w:ilvl="0" w:tplc="2612EC98">
      <w:start w:val="1"/>
      <w:numFmt w:val="upperLetter"/>
      <w:lvlText w:val="(%1)"/>
      <w:lvlJc w:val="left"/>
      <w:pPr>
        <w:ind w:left="2627" w:hanging="360"/>
      </w:pPr>
      <w:rPr>
        <w:rFonts w:hint="default"/>
        <w:b w:val="0"/>
        <w:color w:val="4F81BD" w:themeColor="accent1"/>
      </w:rPr>
    </w:lvl>
    <w:lvl w:ilvl="1" w:tplc="04090019">
      <w:start w:val="1"/>
      <w:numFmt w:val="lowerLetter"/>
      <w:lvlText w:val="%2."/>
      <w:lvlJc w:val="left"/>
      <w:pPr>
        <w:ind w:left="3347" w:hanging="360"/>
      </w:pPr>
    </w:lvl>
    <w:lvl w:ilvl="2" w:tplc="0409001B">
      <w:start w:val="1"/>
      <w:numFmt w:val="lowerRoman"/>
      <w:lvlText w:val="%3."/>
      <w:lvlJc w:val="right"/>
      <w:pPr>
        <w:ind w:left="4067" w:hanging="180"/>
      </w:pPr>
    </w:lvl>
    <w:lvl w:ilvl="3" w:tplc="0409000F">
      <w:start w:val="1"/>
      <w:numFmt w:val="decimal"/>
      <w:lvlText w:val="%4."/>
      <w:lvlJc w:val="left"/>
      <w:pPr>
        <w:ind w:left="4787" w:hanging="360"/>
      </w:pPr>
    </w:lvl>
    <w:lvl w:ilvl="4" w:tplc="04090019" w:tentative="1">
      <w:start w:val="1"/>
      <w:numFmt w:val="lowerLetter"/>
      <w:lvlText w:val="%5."/>
      <w:lvlJc w:val="left"/>
      <w:pPr>
        <w:ind w:left="5507" w:hanging="360"/>
      </w:pPr>
    </w:lvl>
    <w:lvl w:ilvl="5" w:tplc="0409001B" w:tentative="1">
      <w:start w:val="1"/>
      <w:numFmt w:val="lowerRoman"/>
      <w:lvlText w:val="%6."/>
      <w:lvlJc w:val="right"/>
      <w:pPr>
        <w:ind w:left="6227" w:hanging="180"/>
      </w:pPr>
    </w:lvl>
    <w:lvl w:ilvl="6" w:tplc="0409000F" w:tentative="1">
      <w:start w:val="1"/>
      <w:numFmt w:val="decimal"/>
      <w:lvlText w:val="%7."/>
      <w:lvlJc w:val="left"/>
      <w:pPr>
        <w:ind w:left="6947" w:hanging="360"/>
      </w:pPr>
    </w:lvl>
    <w:lvl w:ilvl="7" w:tplc="04090019" w:tentative="1">
      <w:start w:val="1"/>
      <w:numFmt w:val="lowerLetter"/>
      <w:lvlText w:val="%8."/>
      <w:lvlJc w:val="left"/>
      <w:pPr>
        <w:ind w:left="7667" w:hanging="360"/>
      </w:pPr>
    </w:lvl>
    <w:lvl w:ilvl="8" w:tplc="0409001B" w:tentative="1">
      <w:start w:val="1"/>
      <w:numFmt w:val="lowerRoman"/>
      <w:lvlText w:val="%9."/>
      <w:lvlJc w:val="right"/>
      <w:pPr>
        <w:ind w:left="8387" w:hanging="180"/>
      </w:pPr>
    </w:lvl>
  </w:abstractNum>
  <w:abstractNum w:abstractNumId="17" w15:restartNumberingAfterBreak="0">
    <w:nsid w:val="0B0148C8"/>
    <w:multiLevelType w:val="hybridMultilevel"/>
    <w:tmpl w:val="B19C28A2"/>
    <w:lvl w:ilvl="0" w:tplc="3A44A80A">
      <w:start w:val="1"/>
      <w:numFmt w:val="upperLetter"/>
      <w:lvlText w:val="(%1)"/>
      <w:lvlJc w:val="left"/>
      <w:pPr>
        <w:ind w:left="1532" w:hanging="434"/>
      </w:pPr>
      <w:rPr>
        <w:rFonts w:ascii="Calibri" w:eastAsia="Times New Roman" w:hAnsi="Calibri" w:cs="Times New Roman"/>
        <w:color w:val="295CA3"/>
        <w:w w:val="97"/>
        <w:sz w:val="22"/>
        <w:szCs w:val="22"/>
      </w:rPr>
    </w:lvl>
    <w:lvl w:ilvl="1" w:tplc="04090019">
      <w:start w:val="1"/>
      <w:numFmt w:val="lowerLetter"/>
      <w:lvlText w:val="%2."/>
      <w:lvlJc w:val="left"/>
      <w:pPr>
        <w:ind w:left="974" w:hanging="360"/>
      </w:pPr>
      <w:rPr>
        <w:rFonts w:cs="Times New Roman"/>
      </w:rPr>
    </w:lvl>
    <w:lvl w:ilvl="2" w:tplc="2A486998">
      <w:start w:val="1"/>
      <w:numFmt w:val="lowerRoman"/>
      <w:lvlText w:val="%3."/>
      <w:lvlJc w:val="right"/>
      <w:pPr>
        <w:ind w:left="1694" w:hanging="180"/>
      </w:pPr>
      <w:rPr>
        <w:rFonts w:cs="Times New Roman"/>
        <w:color w:val="365F91" w:themeColor="accent1" w:themeShade="BF"/>
      </w:rPr>
    </w:lvl>
    <w:lvl w:ilvl="3" w:tplc="0409000F">
      <w:start w:val="1"/>
      <w:numFmt w:val="decimal"/>
      <w:lvlText w:val="%4."/>
      <w:lvlJc w:val="left"/>
      <w:pPr>
        <w:ind w:left="2414" w:hanging="360"/>
      </w:pPr>
      <w:rPr>
        <w:rFonts w:cs="Times New Roman"/>
      </w:rPr>
    </w:lvl>
    <w:lvl w:ilvl="4" w:tplc="04090019" w:tentative="1">
      <w:start w:val="1"/>
      <w:numFmt w:val="lowerLetter"/>
      <w:lvlText w:val="%5."/>
      <w:lvlJc w:val="left"/>
      <w:pPr>
        <w:ind w:left="3134" w:hanging="360"/>
      </w:pPr>
      <w:rPr>
        <w:rFonts w:cs="Times New Roman"/>
      </w:rPr>
    </w:lvl>
    <w:lvl w:ilvl="5" w:tplc="0409001B" w:tentative="1">
      <w:start w:val="1"/>
      <w:numFmt w:val="lowerRoman"/>
      <w:lvlText w:val="%6."/>
      <w:lvlJc w:val="right"/>
      <w:pPr>
        <w:ind w:left="3854" w:hanging="180"/>
      </w:pPr>
      <w:rPr>
        <w:rFonts w:cs="Times New Roman"/>
      </w:rPr>
    </w:lvl>
    <w:lvl w:ilvl="6" w:tplc="0409000F" w:tentative="1">
      <w:start w:val="1"/>
      <w:numFmt w:val="decimal"/>
      <w:lvlText w:val="%7."/>
      <w:lvlJc w:val="left"/>
      <w:pPr>
        <w:ind w:left="4574" w:hanging="360"/>
      </w:pPr>
      <w:rPr>
        <w:rFonts w:cs="Times New Roman"/>
      </w:rPr>
    </w:lvl>
    <w:lvl w:ilvl="7" w:tplc="04090019" w:tentative="1">
      <w:start w:val="1"/>
      <w:numFmt w:val="lowerLetter"/>
      <w:lvlText w:val="%8."/>
      <w:lvlJc w:val="left"/>
      <w:pPr>
        <w:ind w:left="5294" w:hanging="360"/>
      </w:pPr>
      <w:rPr>
        <w:rFonts w:cs="Times New Roman"/>
      </w:rPr>
    </w:lvl>
    <w:lvl w:ilvl="8" w:tplc="0409001B" w:tentative="1">
      <w:start w:val="1"/>
      <w:numFmt w:val="lowerRoman"/>
      <w:lvlText w:val="%9."/>
      <w:lvlJc w:val="right"/>
      <w:pPr>
        <w:ind w:left="6014" w:hanging="180"/>
      </w:pPr>
      <w:rPr>
        <w:rFonts w:cs="Times New Roman"/>
      </w:rPr>
    </w:lvl>
  </w:abstractNum>
  <w:abstractNum w:abstractNumId="18" w15:restartNumberingAfterBreak="0">
    <w:nsid w:val="0B7B2AC4"/>
    <w:multiLevelType w:val="hybridMultilevel"/>
    <w:tmpl w:val="9D9CFD02"/>
    <w:lvl w:ilvl="0" w:tplc="0409000F">
      <w:start w:val="1"/>
      <w:numFmt w:val="decimal"/>
      <w:lvlText w:val="%1."/>
      <w:lvlJc w:val="left"/>
      <w:pPr>
        <w:ind w:left="810" w:hanging="360"/>
      </w:p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19" w15:restartNumberingAfterBreak="0">
    <w:nsid w:val="0C5250D4"/>
    <w:multiLevelType w:val="hybridMultilevel"/>
    <w:tmpl w:val="E2847E6C"/>
    <w:lvl w:ilvl="0" w:tplc="01B25B82">
      <w:start w:val="1"/>
      <w:numFmt w:val="upperLetter"/>
      <w:lvlText w:val="(%1)"/>
      <w:lvlJc w:val="left"/>
      <w:pPr>
        <w:ind w:left="2193" w:hanging="360"/>
      </w:pPr>
      <w:rPr>
        <w:rFonts w:hint="default"/>
        <w:color w:val="295CA3"/>
        <w:w w:val="105"/>
      </w:rPr>
    </w:lvl>
    <w:lvl w:ilvl="1" w:tplc="04090019">
      <w:start w:val="1"/>
      <w:numFmt w:val="lowerLetter"/>
      <w:lvlText w:val="%2."/>
      <w:lvlJc w:val="left"/>
      <w:pPr>
        <w:ind w:left="2913" w:hanging="360"/>
      </w:pPr>
    </w:lvl>
    <w:lvl w:ilvl="2" w:tplc="0409001B">
      <w:start w:val="1"/>
      <w:numFmt w:val="lowerRoman"/>
      <w:lvlText w:val="%3."/>
      <w:lvlJc w:val="right"/>
      <w:pPr>
        <w:ind w:left="3633" w:hanging="180"/>
      </w:pPr>
    </w:lvl>
    <w:lvl w:ilvl="3" w:tplc="0409000F">
      <w:start w:val="1"/>
      <w:numFmt w:val="decimal"/>
      <w:lvlText w:val="%4."/>
      <w:lvlJc w:val="left"/>
      <w:pPr>
        <w:ind w:left="4353" w:hanging="360"/>
      </w:pPr>
    </w:lvl>
    <w:lvl w:ilvl="4" w:tplc="04090019" w:tentative="1">
      <w:start w:val="1"/>
      <w:numFmt w:val="lowerLetter"/>
      <w:lvlText w:val="%5."/>
      <w:lvlJc w:val="left"/>
      <w:pPr>
        <w:ind w:left="5073" w:hanging="360"/>
      </w:pPr>
    </w:lvl>
    <w:lvl w:ilvl="5" w:tplc="0409001B" w:tentative="1">
      <w:start w:val="1"/>
      <w:numFmt w:val="lowerRoman"/>
      <w:lvlText w:val="%6."/>
      <w:lvlJc w:val="right"/>
      <w:pPr>
        <w:ind w:left="5793" w:hanging="180"/>
      </w:pPr>
    </w:lvl>
    <w:lvl w:ilvl="6" w:tplc="0409000F" w:tentative="1">
      <w:start w:val="1"/>
      <w:numFmt w:val="decimal"/>
      <w:lvlText w:val="%7."/>
      <w:lvlJc w:val="left"/>
      <w:pPr>
        <w:ind w:left="6513" w:hanging="360"/>
      </w:pPr>
    </w:lvl>
    <w:lvl w:ilvl="7" w:tplc="04090019" w:tentative="1">
      <w:start w:val="1"/>
      <w:numFmt w:val="lowerLetter"/>
      <w:lvlText w:val="%8."/>
      <w:lvlJc w:val="left"/>
      <w:pPr>
        <w:ind w:left="7233" w:hanging="360"/>
      </w:pPr>
    </w:lvl>
    <w:lvl w:ilvl="8" w:tplc="0409001B" w:tentative="1">
      <w:start w:val="1"/>
      <w:numFmt w:val="lowerRoman"/>
      <w:lvlText w:val="%9."/>
      <w:lvlJc w:val="right"/>
      <w:pPr>
        <w:ind w:left="7953" w:hanging="180"/>
      </w:pPr>
    </w:lvl>
  </w:abstractNum>
  <w:abstractNum w:abstractNumId="20" w15:restartNumberingAfterBreak="0">
    <w:nsid w:val="0C542F08"/>
    <w:multiLevelType w:val="hybridMultilevel"/>
    <w:tmpl w:val="EFA8BAFE"/>
    <w:lvl w:ilvl="0" w:tplc="04090001">
      <w:start w:val="1"/>
      <w:numFmt w:val="bullet"/>
      <w:lvlText w:val=""/>
      <w:lvlJc w:val="left"/>
      <w:pPr>
        <w:ind w:left="810" w:hanging="360"/>
      </w:pPr>
      <w:rPr>
        <w:rFonts w:ascii="Symbol" w:hAnsi="Symbol" w:hint="default"/>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21" w15:restartNumberingAfterBreak="0">
    <w:nsid w:val="0D007DC3"/>
    <w:multiLevelType w:val="hybridMultilevel"/>
    <w:tmpl w:val="F5AC4C0E"/>
    <w:lvl w:ilvl="0" w:tplc="12A24688">
      <w:start w:val="1"/>
      <w:numFmt w:val="lowerLetter"/>
      <w:lvlText w:val="(%1)"/>
      <w:lvlJc w:val="left"/>
      <w:pPr>
        <w:ind w:left="77" w:hanging="339"/>
      </w:pPr>
      <w:rPr>
        <w:rFonts w:ascii="Calibri" w:eastAsia="Times New Roman" w:hAnsi="Calibri" w:cs="Times New Roman" w:hint="default"/>
        <w:w w:val="94"/>
        <w:sz w:val="22"/>
        <w:szCs w:val="22"/>
      </w:rPr>
    </w:lvl>
    <w:lvl w:ilvl="1" w:tplc="5C5EE8E2">
      <w:start w:val="1"/>
      <w:numFmt w:val="bullet"/>
      <w:lvlText w:val="•"/>
      <w:lvlJc w:val="left"/>
      <w:pPr>
        <w:ind w:left="1031" w:hanging="339"/>
      </w:pPr>
      <w:rPr>
        <w:rFonts w:hint="default"/>
      </w:rPr>
    </w:lvl>
    <w:lvl w:ilvl="2" w:tplc="B4A48802">
      <w:start w:val="1"/>
      <w:numFmt w:val="bullet"/>
      <w:lvlText w:val="•"/>
      <w:lvlJc w:val="left"/>
      <w:pPr>
        <w:ind w:left="1983" w:hanging="339"/>
      </w:pPr>
      <w:rPr>
        <w:rFonts w:hint="default"/>
      </w:rPr>
    </w:lvl>
    <w:lvl w:ilvl="3" w:tplc="4FA4C0BC">
      <w:start w:val="1"/>
      <w:numFmt w:val="bullet"/>
      <w:lvlText w:val="•"/>
      <w:lvlJc w:val="left"/>
      <w:pPr>
        <w:ind w:left="2935" w:hanging="339"/>
      </w:pPr>
      <w:rPr>
        <w:rFonts w:hint="default"/>
      </w:rPr>
    </w:lvl>
    <w:lvl w:ilvl="4" w:tplc="6C4C26AA">
      <w:start w:val="1"/>
      <w:numFmt w:val="bullet"/>
      <w:lvlText w:val="•"/>
      <w:lvlJc w:val="left"/>
      <w:pPr>
        <w:ind w:left="3886" w:hanging="339"/>
      </w:pPr>
      <w:rPr>
        <w:rFonts w:hint="default"/>
      </w:rPr>
    </w:lvl>
    <w:lvl w:ilvl="5" w:tplc="A274C0F6">
      <w:start w:val="1"/>
      <w:numFmt w:val="bullet"/>
      <w:lvlText w:val="•"/>
      <w:lvlJc w:val="left"/>
      <w:pPr>
        <w:ind w:left="4838" w:hanging="339"/>
      </w:pPr>
      <w:rPr>
        <w:rFonts w:hint="default"/>
      </w:rPr>
    </w:lvl>
    <w:lvl w:ilvl="6" w:tplc="18E44C82">
      <w:start w:val="1"/>
      <w:numFmt w:val="bullet"/>
      <w:lvlText w:val="•"/>
      <w:lvlJc w:val="left"/>
      <w:pPr>
        <w:ind w:left="5790" w:hanging="339"/>
      </w:pPr>
      <w:rPr>
        <w:rFonts w:hint="default"/>
      </w:rPr>
    </w:lvl>
    <w:lvl w:ilvl="7" w:tplc="7DE6634E">
      <w:start w:val="1"/>
      <w:numFmt w:val="bullet"/>
      <w:lvlText w:val="•"/>
      <w:lvlJc w:val="left"/>
      <w:pPr>
        <w:ind w:left="6741" w:hanging="339"/>
      </w:pPr>
      <w:rPr>
        <w:rFonts w:hint="default"/>
      </w:rPr>
    </w:lvl>
    <w:lvl w:ilvl="8" w:tplc="03DA0C24">
      <w:start w:val="1"/>
      <w:numFmt w:val="bullet"/>
      <w:lvlText w:val="•"/>
      <w:lvlJc w:val="left"/>
      <w:pPr>
        <w:ind w:left="7693" w:hanging="339"/>
      </w:pPr>
      <w:rPr>
        <w:rFonts w:hint="default"/>
      </w:rPr>
    </w:lvl>
  </w:abstractNum>
  <w:abstractNum w:abstractNumId="22" w15:restartNumberingAfterBreak="0">
    <w:nsid w:val="0F1705FB"/>
    <w:multiLevelType w:val="hybridMultilevel"/>
    <w:tmpl w:val="D96475FE"/>
    <w:lvl w:ilvl="0" w:tplc="9FC4D35A">
      <w:start w:val="1"/>
      <w:numFmt w:val="upperLetter"/>
      <w:lvlText w:val="(%1)"/>
      <w:lvlJc w:val="left"/>
      <w:pPr>
        <w:ind w:left="2520" w:hanging="360"/>
      </w:pPr>
      <w:rPr>
        <w:rFonts w:hint="default"/>
        <w:color w:val="295CA3"/>
        <w:w w:val="105"/>
      </w:rPr>
    </w:lvl>
    <w:lvl w:ilvl="1" w:tplc="04090019">
      <w:start w:val="1"/>
      <w:numFmt w:val="lowerLetter"/>
      <w:lvlText w:val="%2."/>
      <w:lvlJc w:val="left"/>
      <w:pPr>
        <w:ind w:left="3240" w:hanging="360"/>
      </w:pPr>
    </w:lvl>
    <w:lvl w:ilvl="2" w:tplc="0409001B">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23" w15:restartNumberingAfterBreak="0">
    <w:nsid w:val="0F3359C3"/>
    <w:multiLevelType w:val="hybridMultilevel"/>
    <w:tmpl w:val="95682700"/>
    <w:lvl w:ilvl="0" w:tplc="04090001">
      <w:start w:val="1"/>
      <w:numFmt w:val="bullet"/>
      <w:lvlText w:val=""/>
      <w:lvlJc w:val="left"/>
      <w:pPr>
        <w:ind w:left="810" w:hanging="360"/>
      </w:pPr>
      <w:rPr>
        <w:rFonts w:ascii="Symbol" w:hAnsi="Symbol" w:hint="default"/>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24" w15:restartNumberingAfterBreak="0">
    <w:nsid w:val="0F9E4938"/>
    <w:multiLevelType w:val="hybridMultilevel"/>
    <w:tmpl w:val="0D7E194A"/>
    <w:lvl w:ilvl="0" w:tplc="847E68C6">
      <w:start w:val="1"/>
      <w:numFmt w:val="lowerLetter"/>
      <w:lvlText w:val="(%1)"/>
      <w:lvlJc w:val="left"/>
      <w:pPr>
        <w:ind w:left="1080" w:hanging="360"/>
      </w:pPr>
      <w:rPr>
        <w:rFonts w:hint="default"/>
        <w:b/>
        <w:color w:val="1F497D" w:themeColor="text2"/>
        <w:w w:val="110"/>
        <w:sz w:val="26"/>
        <w:szCs w:val="26"/>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5" w15:restartNumberingAfterBreak="0">
    <w:nsid w:val="11C14A3F"/>
    <w:multiLevelType w:val="hybridMultilevel"/>
    <w:tmpl w:val="9F004E6E"/>
    <w:lvl w:ilvl="0" w:tplc="04090001">
      <w:start w:val="1"/>
      <w:numFmt w:val="bullet"/>
      <w:lvlText w:val=""/>
      <w:lvlJc w:val="left"/>
      <w:pPr>
        <w:ind w:left="810" w:hanging="360"/>
      </w:pPr>
      <w:rPr>
        <w:rFonts w:ascii="Symbol" w:hAnsi="Symbol" w:hint="default"/>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26" w15:restartNumberingAfterBreak="0">
    <w:nsid w:val="13165B41"/>
    <w:multiLevelType w:val="hybridMultilevel"/>
    <w:tmpl w:val="A926C63C"/>
    <w:lvl w:ilvl="0" w:tplc="04090001">
      <w:start w:val="1"/>
      <w:numFmt w:val="bullet"/>
      <w:lvlText w:val=""/>
      <w:lvlJc w:val="left"/>
      <w:pPr>
        <w:ind w:left="810" w:hanging="360"/>
      </w:pPr>
      <w:rPr>
        <w:rFonts w:ascii="Symbol" w:hAnsi="Symbol" w:hint="default"/>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27" w15:restartNumberingAfterBreak="0">
    <w:nsid w:val="156D342C"/>
    <w:multiLevelType w:val="hybridMultilevel"/>
    <w:tmpl w:val="8DE28F3E"/>
    <w:lvl w:ilvl="0" w:tplc="04090001">
      <w:start w:val="1"/>
      <w:numFmt w:val="bullet"/>
      <w:lvlText w:val=""/>
      <w:lvlJc w:val="left"/>
      <w:pPr>
        <w:ind w:left="827" w:hanging="360"/>
      </w:pPr>
      <w:rPr>
        <w:rFonts w:ascii="Symbol" w:hAnsi="Symbol" w:hint="default"/>
      </w:rPr>
    </w:lvl>
    <w:lvl w:ilvl="1" w:tplc="04090003" w:tentative="1">
      <w:start w:val="1"/>
      <w:numFmt w:val="bullet"/>
      <w:lvlText w:val="o"/>
      <w:lvlJc w:val="left"/>
      <w:pPr>
        <w:ind w:left="1547" w:hanging="360"/>
      </w:pPr>
      <w:rPr>
        <w:rFonts w:ascii="Courier New" w:hAnsi="Courier New" w:cs="Courier New" w:hint="default"/>
      </w:rPr>
    </w:lvl>
    <w:lvl w:ilvl="2" w:tplc="04090005" w:tentative="1">
      <w:start w:val="1"/>
      <w:numFmt w:val="bullet"/>
      <w:lvlText w:val=""/>
      <w:lvlJc w:val="left"/>
      <w:pPr>
        <w:ind w:left="2267" w:hanging="360"/>
      </w:pPr>
      <w:rPr>
        <w:rFonts w:ascii="Wingdings" w:hAnsi="Wingdings" w:hint="default"/>
      </w:rPr>
    </w:lvl>
    <w:lvl w:ilvl="3" w:tplc="04090001" w:tentative="1">
      <w:start w:val="1"/>
      <w:numFmt w:val="bullet"/>
      <w:lvlText w:val=""/>
      <w:lvlJc w:val="left"/>
      <w:pPr>
        <w:ind w:left="2987" w:hanging="360"/>
      </w:pPr>
      <w:rPr>
        <w:rFonts w:ascii="Symbol" w:hAnsi="Symbol" w:hint="default"/>
      </w:rPr>
    </w:lvl>
    <w:lvl w:ilvl="4" w:tplc="04090003" w:tentative="1">
      <w:start w:val="1"/>
      <w:numFmt w:val="bullet"/>
      <w:lvlText w:val="o"/>
      <w:lvlJc w:val="left"/>
      <w:pPr>
        <w:ind w:left="3707" w:hanging="360"/>
      </w:pPr>
      <w:rPr>
        <w:rFonts w:ascii="Courier New" w:hAnsi="Courier New" w:cs="Courier New" w:hint="default"/>
      </w:rPr>
    </w:lvl>
    <w:lvl w:ilvl="5" w:tplc="04090005" w:tentative="1">
      <w:start w:val="1"/>
      <w:numFmt w:val="bullet"/>
      <w:lvlText w:val=""/>
      <w:lvlJc w:val="left"/>
      <w:pPr>
        <w:ind w:left="4427" w:hanging="360"/>
      </w:pPr>
      <w:rPr>
        <w:rFonts w:ascii="Wingdings" w:hAnsi="Wingdings" w:hint="default"/>
      </w:rPr>
    </w:lvl>
    <w:lvl w:ilvl="6" w:tplc="04090001" w:tentative="1">
      <w:start w:val="1"/>
      <w:numFmt w:val="bullet"/>
      <w:lvlText w:val=""/>
      <w:lvlJc w:val="left"/>
      <w:pPr>
        <w:ind w:left="5147" w:hanging="360"/>
      </w:pPr>
      <w:rPr>
        <w:rFonts w:ascii="Symbol" w:hAnsi="Symbol" w:hint="default"/>
      </w:rPr>
    </w:lvl>
    <w:lvl w:ilvl="7" w:tplc="04090003" w:tentative="1">
      <w:start w:val="1"/>
      <w:numFmt w:val="bullet"/>
      <w:lvlText w:val="o"/>
      <w:lvlJc w:val="left"/>
      <w:pPr>
        <w:ind w:left="5867" w:hanging="360"/>
      </w:pPr>
      <w:rPr>
        <w:rFonts w:ascii="Courier New" w:hAnsi="Courier New" w:cs="Courier New" w:hint="default"/>
      </w:rPr>
    </w:lvl>
    <w:lvl w:ilvl="8" w:tplc="04090005" w:tentative="1">
      <w:start w:val="1"/>
      <w:numFmt w:val="bullet"/>
      <w:lvlText w:val=""/>
      <w:lvlJc w:val="left"/>
      <w:pPr>
        <w:ind w:left="6587" w:hanging="360"/>
      </w:pPr>
      <w:rPr>
        <w:rFonts w:ascii="Wingdings" w:hAnsi="Wingdings" w:hint="default"/>
      </w:rPr>
    </w:lvl>
  </w:abstractNum>
  <w:abstractNum w:abstractNumId="28" w15:restartNumberingAfterBreak="0">
    <w:nsid w:val="1608546F"/>
    <w:multiLevelType w:val="hybridMultilevel"/>
    <w:tmpl w:val="EC0ACE82"/>
    <w:lvl w:ilvl="0" w:tplc="EF483302">
      <w:start w:val="1"/>
      <w:numFmt w:val="decimal"/>
      <w:lvlText w:val="%1."/>
      <w:lvlJc w:val="left"/>
      <w:pPr>
        <w:ind w:left="935" w:hanging="360"/>
      </w:pPr>
      <w:rPr>
        <w:rFonts w:ascii="Calibri" w:eastAsia="Times New Roman" w:hAnsi="Calibri" w:cs="Times New Roman" w:hint="default"/>
        <w:color w:val="231F20"/>
        <w:w w:val="74"/>
        <w:sz w:val="24"/>
        <w:szCs w:val="24"/>
      </w:rPr>
    </w:lvl>
    <w:lvl w:ilvl="1" w:tplc="04090019" w:tentative="1">
      <w:start w:val="1"/>
      <w:numFmt w:val="lowerLetter"/>
      <w:lvlText w:val="%2."/>
      <w:lvlJc w:val="left"/>
      <w:pPr>
        <w:ind w:left="1547" w:hanging="360"/>
      </w:pPr>
    </w:lvl>
    <w:lvl w:ilvl="2" w:tplc="0409001B" w:tentative="1">
      <w:start w:val="1"/>
      <w:numFmt w:val="lowerRoman"/>
      <w:lvlText w:val="%3."/>
      <w:lvlJc w:val="right"/>
      <w:pPr>
        <w:ind w:left="2267" w:hanging="180"/>
      </w:pPr>
    </w:lvl>
    <w:lvl w:ilvl="3" w:tplc="0409000F" w:tentative="1">
      <w:start w:val="1"/>
      <w:numFmt w:val="decimal"/>
      <w:lvlText w:val="%4."/>
      <w:lvlJc w:val="left"/>
      <w:pPr>
        <w:ind w:left="2987" w:hanging="360"/>
      </w:pPr>
    </w:lvl>
    <w:lvl w:ilvl="4" w:tplc="04090019" w:tentative="1">
      <w:start w:val="1"/>
      <w:numFmt w:val="lowerLetter"/>
      <w:lvlText w:val="%5."/>
      <w:lvlJc w:val="left"/>
      <w:pPr>
        <w:ind w:left="3707" w:hanging="360"/>
      </w:pPr>
    </w:lvl>
    <w:lvl w:ilvl="5" w:tplc="0409001B" w:tentative="1">
      <w:start w:val="1"/>
      <w:numFmt w:val="lowerRoman"/>
      <w:lvlText w:val="%6."/>
      <w:lvlJc w:val="right"/>
      <w:pPr>
        <w:ind w:left="4427" w:hanging="180"/>
      </w:pPr>
    </w:lvl>
    <w:lvl w:ilvl="6" w:tplc="0409000F" w:tentative="1">
      <w:start w:val="1"/>
      <w:numFmt w:val="decimal"/>
      <w:lvlText w:val="%7."/>
      <w:lvlJc w:val="left"/>
      <w:pPr>
        <w:ind w:left="5147" w:hanging="360"/>
      </w:pPr>
    </w:lvl>
    <w:lvl w:ilvl="7" w:tplc="04090019" w:tentative="1">
      <w:start w:val="1"/>
      <w:numFmt w:val="lowerLetter"/>
      <w:lvlText w:val="%8."/>
      <w:lvlJc w:val="left"/>
      <w:pPr>
        <w:ind w:left="5867" w:hanging="360"/>
      </w:pPr>
    </w:lvl>
    <w:lvl w:ilvl="8" w:tplc="0409001B" w:tentative="1">
      <w:start w:val="1"/>
      <w:numFmt w:val="lowerRoman"/>
      <w:lvlText w:val="%9."/>
      <w:lvlJc w:val="right"/>
      <w:pPr>
        <w:ind w:left="6587" w:hanging="180"/>
      </w:pPr>
    </w:lvl>
  </w:abstractNum>
  <w:abstractNum w:abstractNumId="29" w15:restartNumberingAfterBreak="0">
    <w:nsid w:val="17AA1C86"/>
    <w:multiLevelType w:val="hybridMultilevel"/>
    <w:tmpl w:val="E12CEC84"/>
    <w:lvl w:ilvl="0" w:tplc="04090001">
      <w:start w:val="1"/>
      <w:numFmt w:val="bullet"/>
      <w:lvlText w:val=""/>
      <w:lvlJc w:val="left"/>
      <w:pPr>
        <w:ind w:left="810" w:hanging="360"/>
      </w:pPr>
      <w:rPr>
        <w:rFonts w:ascii="Symbol" w:hAnsi="Symbol" w:hint="default"/>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30" w15:restartNumberingAfterBreak="0">
    <w:nsid w:val="19200C9B"/>
    <w:multiLevelType w:val="hybridMultilevel"/>
    <w:tmpl w:val="E2847E6C"/>
    <w:lvl w:ilvl="0" w:tplc="01B25B82">
      <w:start w:val="1"/>
      <w:numFmt w:val="upperLetter"/>
      <w:lvlText w:val="(%1)"/>
      <w:lvlJc w:val="left"/>
      <w:pPr>
        <w:ind w:left="2628" w:hanging="360"/>
      </w:pPr>
      <w:rPr>
        <w:rFonts w:hint="default"/>
        <w:color w:val="295CA3"/>
        <w:w w:val="105"/>
      </w:rPr>
    </w:lvl>
    <w:lvl w:ilvl="1" w:tplc="04090019">
      <w:start w:val="1"/>
      <w:numFmt w:val="lowerLetter"/>
      <w:lvlText w:val="%2."/>
      <w:lvlJc w:val="left"/>
      <w:pPr>
        <w:ind w:left="-39" w:hanging="360"/>
      </w:pPr>
    </w:lvl>
    <w:lvl w:ilvl="2" w:tplc="0409001B">
      <w:start w:val="1"/>
      <w:numFmt w:val="lowerRoman"/>
      <w:lvlText w:val="%3."/>
      <w:lvlJc w:val="right"/>
      <w:pPr>
        <w:ind w:left="681" w:hanging="180"/>
      </w:pPr>
    </w:lvl>
    <w:lvl w:ilvl="3" w:tplc="0409000F">
      <w:start w:val="1"/>
      <w:numFmt w:val="decimal"/>
      <w:lvlText w:val="%4."/>
      <w:lvlJc w:val="left"/>
      <w:pPr>
        <w:ind w:left="1401" w:hanging="360"/>
      </w:pPr>
    </w:lvl>
    <w:lvl w:ilvl="4" w:tplc="04090019" w:tentative="1">
      <w:start w:val="1"/>
      <w:numFmt w:val="lowerLetter"/>
      <w:lvlText w:val="%5."/>
      <w:lvlJc w:val="left"/>
      <w:pPr>
        <w:ind w:left="2121" w:hanging="360"/>
      </w:pPr>
    </w:lvl>
    <w:lvl w:ilvl="5" w:tplc="0409001B" w:tentative="1">
      <w:start w:val="1"/>
      <w:numFmt w:val="lowerRoman"/>
      <w:lvlText w:val="%6."/>
      <w:lvlJc w:val="right"/>
      <w:pPr>
        <w:ind w:left="2841" w:hanging="180"/>
      </w:pPr>
    </w:lvl>
    <w:lvl w:ilvl="6" w:tplc="0409000F" w:tentative="1">
      <w:start w:val="1"/>
      <w:numFmt w:val="decimal"/>
      <w:lvlText w:val="%7."/>
      <w:lvlJc w:val="left"/>
      <w:pPr>
        <w:ind w:left="3561" w:hanging="360"/>
      </w:pPr>
    </w:lvl>
    <w:lvl w:ilvl="7" w:tplc="04090019" w:tentative="1">
      <w:start w:val="1"/>
      <w:numFmt w:val="lowerLetter"/>
      <w:lvlText w:val="%8."/>
      <w:lvlJc w:val="left"/>
      <w:pPr>
        <w:ind w:left="4281" w:hanging="360"/>
      </w:pPr>
    </w:lvl>
    <w:lvl w:ilvl="8" w:tplc="0409001B" w:tentative="1">
      <w:start w:val="1"/>
      <w:numFmt w:val="lowerRoman"/>
      <w:lvlText w:val="%9."/>
      <w:lvlJc w:val="right"/>
      <w:pPr>
        <w:ind w:left="5001" w:hanging="180"/>
      </w:pPr>
    </w:lvl>
  </w:abstractNum>
  <w:abstractNum w:abstractNumId="31" w15:restartNumberingAfterBreak="0">
    <w:nsid w:val="1B0B206C"/>
    <w:multiLevelType w:val="hybridMultilevel"/>
    <w:tmpl w:val="0CF463BA"/>
    <w:lvl w:ilvl="0" w:tplc="04090001">
      <w:start w:val="1"/>
      <w:numFmt w:val="bullet"/>
      <w:lvlText w:val=""/>
      <w:lvlJc w:val="left"/>
      <w:pPr>
        <w:ind w:left="821" w:hanging="360"/>
      </w:pPr>
      <w:rPr>
        <w:rFonts w:ascii="Symbol" w:hAnsi="Symbol" w:hint="default"/>
      </w:rPr>
    </w:lvl>
    <w:lvl w:ilvl="1" w:tplc="04090003" w:tentative="1">
      <w:start w:val="1"/>
      <w:numFmt w:val="bullet"/>
      <w:lvlText w:val="o"/>
      <w:lvlJc w:val="left"/>
      <w:pPr>
        <w:ind w:left="1541" w:hanging="360"/>
      </w:pPr>
      <w:rPr>
        <w:rFonts w:ascii="Courier New" w:hAnsi="Courier New" w:cs="Courier New" w:hint="default"/>
      </w:rPr>
    </w:lvl>
    <w:lvl w:ilvl="2" w:tplc="04090005" w:tentative="1">
      <w:start w:val="1"/>
      <w:numFmt w:val="bullet"/>
      <w:lvlText w:val=""/>
      <w:lvlJc w:val="left"/>
      <w:pPr>
        <w:ind w:left="2261" w:hanging="360"/>
      </w:pPr>
      <w:rPr>
        <w:rFonts w:ascii="Wingdings" w:hAnsi="Wingdings" w:hint="default"/>
      </w:rPr>
    </w:lvl>
    <w:lvl w:ilvl="3" w:tplc="04090001" w:tentative="1">
      <w:start w:val="1"/>
      <w:numFmt w:val="bullet"/>
      <w:lvlText w:val=""/>
      <w:lvlJc w:val="left"/>
      <w:pPr>
        <w:ind w:left="2981" w:hanging="360"/>
      </w:pPr>
      <w:rPr>
        <w:rFonts w:ascii="Symbol" w:hAnsi="Symbol" w:hint="default"/>
      </w:rPr>
    </w:lvl>
    <w:lvl w:ilvl="4" w:tplc="04090003" w:tentative="1">
      <w:start w:val="1"/>
      <w:numFmt w:val="bullet"/>
      <w:lvlText w:val="o"/>
      <w:lvlJc w:val="left"/>
      <w:pPr>
        <w:ind w:left="3701" w:hanging="360"/>
      </w:pPr>
      <w:rPr>
        <w:rFonts w:ascii="Courier New" w:hAnsi="Courier New" w:cs="Courier New" w:hint="default"/>
      </w:rPr>
    </w:lvl>
    <w:lvl w:ilvl="5" w:tplc="04090005" w:tentative="1">
      <w:start w:val="1"/>
      <w:numFmt w:val="bullet"/>
      <w:lvlText w:val=""/>
      <w:lvlJc w:val="left"/>
      <w:pPr>
        <w:ind w:left="4421" w:hanging="360"/>
      </w:pPr>
      <w:rPr>
        <w:rFonts w:ascii="Wingdings" w:hAnsi="Wingdings" w:hint="default"/>
      </w:rPr>
    </w:lvl>
    <w:lvl w:ilvl="6" w:tplc="04090001" w:tentative="1">
      <w:start w:val="1"/>
      <w:numFmt w:val="bullet"/>
      <w:lvlText w:val=""/>
      <w:lvlJc w:val="left"/>
      <w:pPr>
        <w:ind w:left="5141" w:hanging="360"/>
      </w:pPr>
      <w:rPr>
        <w:rFonts w:ascii="Symbol" w:hAnsi="Symbol" w:hint="default"/>
      </w:rPr>
    </w:lvl>
    <w:lvl w:ilvl="7" w:tplc="04090003" w:tentative="1">
      <w:start w:val="1"/>
      <w:numFmt w:val="bullet"/>
      <w:lvlText w:val="o"/>
      <w:lvlJc w:val="left"/>
      <w:pPr>
        <w:ind w:left="5861" w:hanging="360"/>
      </w:pPr>
      <w:rPr>
        <w:rFonts w:ascii="Courier New" w:hAnsi="Courier New" w:cs="Courier New" w:hint="default"/>
      </w:rPr>
    </w:lvl>
    <w:lvl w:ilvl="8" w:tplc="04090005" w:tentative="1">
      <w:start w:val="1"/>
      <w:numFmt w:val="bullet"/>
      <w:lvlText w:val=""/>
      <w:lvlJc w:val="left"/>
      <w:pPr>
        <w:ind w:left="6581" w:hanging="360"/>
      </w:pPr>
      <w:rPr>
        <w:rFonts w:ascii="Wingdings" w:hAnsi="Wingdings" w:hint="default"/>
      </w:rPr>
    </w:lvl>
  </w:abstractNum>
  <w:abstractNum w:abstractNumId="32" w15:restartNumberingAfterBreak="0">
    <w:nsid w:val="1B833279"/>
    <w:multiLevelType w:val="hybridMultilevel"/>
    <w:tmpl w:val="66868724"/>
    <w:lvl w:ilvl="0" w:tplc="04090001">
      <w:start w:val="1"/>
      <w:numFmt w:val="bullet"/>
      <w:lvlText w:val=""/>
      <w:lvlJc w:val="left"/>
      <w:pPr>
        <w:ind w:left="827" w:hanging="360"/>
      </w:pPr>
      <w:rPr>
        <w:rFonts w:ascii="Symbol" w:hAnsi="Symbol" w:hint="default"/>
      </w:rPr>
    </w:lvl>
    <w:lvl w:ilvl="1" w:tplc="04090003" w:tentative="1">
      <w:start w:val="1"/>
      <w:numFmt w:val="bullet"/>
      <w:lvlText w:val="o"/>
      <w:lvlJc w:val="left"/>
      <w:pPr>
        <w:ind w:left="1547" w:hanging="360"/>
      </w:pPr>
      <w:rPr>
        <w:rFonts w:ascii="Courier New" w:hAnsi="Courier New" w:cs="Courier New" w:hint="default"/>
      </w:rPr>
    </w:lvl>
    <w:lvl w:ilvl="2" w:tplc="04090005" w:tentative="1">
      <w:start w:val="1"/>
      <w:numFmt w:val="bullet"/>
      <w:lvlText w:val=""/>
      <w:lvlJc w:val="left"/>
      <w:pPr>
        <w:ind w:left="2267" w:hanging="360"/>
      </w:pPr>
      <w:rPr>
        <w:rFonts w:ascii="Wingdings" w:hAnsi="Wingdings" w:hint="default"/>
      </w:rPr>
    </w:lvl>
    <w:lvl w:ilvl="3" w:tplc="04090001" w:tentative="1">
      <w:start w:val="1"/>
      <w:numFmt w:val="bullet"/>
      <w:lvlText w:val=""/>
      <w:lvlJc w:val="left"/>
      <w:pPr>
        <w:ind w:left="2987" w:hanging="360"/>
      </w:pPr>
      <w:rPr>
        <w:rFonts w:ascii="Symbol" w:hAnsi="Symbol" w:hint="default"/>
      </w:rPr>
    </w:lvl>
    <w:lvl w:ilvl="4" w:tplc="04090003" w:tentative="1">
      <w:start w:val="1"/>
      <w:numFmt w:val="bullet"/>
      <w:lvlText w:val="o"/>
      <w:lvlJc w:val="left"/>
      <w:pPr>
        <w:ind w:left="3707" w:hanging="360"/>
      </w:pPr>
      <w:rPr>
        <w:rFonts w:ascii="Courier New" w:hAnsi="Courier New" w:cs="Courier New" w:hint="default"/>
      </w:rPr>
    </w:lvl>
    <w:lvl w:ilvl="5" w:tplc="04090005" w:tentative="1">
      <w:start w:val="1"/>
      <w:numFmt w:val="bullet"/>
      <w:lvlText w:val=""/>
      <w:lvlJc w:val="left"/>
      <w:pPr>
        <w:ind w:left="4427" w:hanging="360"/>
      </w:pPr>
      <w:rPr>
        <w:rFonts w:ascii="Wingdings" w:hAnsi="Wingdings" w:hint="default"/>
      </w:rPr>
    </w:lvl>
    <w:lvl w:ilvl="6" w:tplc="04090001" w:tentative="1">
      <w:start w:val="1"/>
      <w:numFmt w:val="bullet"/>
      <w:lvlText w:val=""/>
      <w:lvlJc w:val="left"/>
      <w:pPr>
        <w:ind w:left="5147" w:hanging="360"/>
      </w:pPr>
      <w:rPr>
        <w:rFonts w:ascii="Symbol" w:hAnsi="Symbol" w:hint="default"/>
      </w:rPr>
    </w:lvl>
    <w:lvl w:ilvl="7" w:tplc="04090003" w:tentative="1">
      <w:start w:val="1"/>
      <w:numFmt w:val="bullet"/>
      <w:lvlText w:val="o"/>
      <w:lvlJc w:val="left"/>
      <w:pPr>
        <w:ind w:left="5867" w:hanging="360"/>
      </w:pPr>
      <w:rPr>
        <w:rFonts w:ascii="Courier New" w:hAnsi="Courier New" w:cs="Courier New" w:hint="default"/>
      </w:rPr>
    </w:lvl>
    <w:lvl w:ilvl="8" w:tplc="04090005" w:tentative="1">
      <w:start w:val="1"/>
      <w:numFmt w:val="bullet"/>
      <w:lvlText w:val=""/>
      <w:lvlJc w:val="left"/>
      <w:pPr>
        <w:ind w:left="6587" w:hanging="360"/>
      </w:pPr>
      <w:rPr>
        <w:rFonts w:ascii="Wingdings" w:hAnsi="Wingdings" w:hint="default"/>
      </w:rPr>
    </w:lvl>
  </w:abstractNum>
  <w:abstractNum w:abstractNumId="33" w15:restartNumberingAfterBreak="0">
    <w:nsid w:val="1BBE6F86"/>
    <w:multiLevelType w:val="hybridMultilevel"/>
    <w:tmpl w:val="6BEA478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1D8B01F1"/>
    <w:multiLevelType w:val="hybridMultilevel"/>
    <w:tmpl w:val="678861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1E472F1B"/>
    <w:multiLevelType w:val="hybridMultilevel"/>
    <w:tmpl w:val="BBF88C66"/>
    <w:lvl w:ilvl="0" w:tplc="04090001">
      <w:start w:val="1"/>
      <w:numFmt w:val="bullet"/>
      <w:lvlText w:val=""/>
      <w:lvlJc w:val="left"/>
      <w:pPr>
        <w:ind w:left="810" w:hanging="360"/>
      </w:pPr>
      <w:rPr>
        <w:rFonts w:ascii="Symbol" w:hAnsi="Symbol" w:hint="default"/>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36" w15:restartNumberingAfterBreak="0">
    <w:nsid w:val="1EE3261F"/>
    <w:multiLevelType w:val="hybridMultilevel"/>
    <w:tmpl w:val="599AE0E0"/>
    <w:lvl w:ilvl="0" w:tplc="04090001">
      <w:start w:val="1"/>
      <w:numFmt w:val="bullet"/>
      <w:lvlText w:val=""/>
      <w:lvlJc w:val="left"/>
      <w:pPr>
        <w:ind w:left="810" w:hanging="360"/>
      </w:pPr>
      <w:rPr>
        <w:rFonts w:ascii="Symbol" w:hAnsi="Symbol" w:hint="default"/>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37" w15:restartNumberingAfterBreak="0">
    <w:nsid w:val="1FC460B4"/>
    <w:multiLevelType w:val="hybridMultilevel"/>
    <w:tmpl w:val="A7BE9FE6"/>
    <w:lvl w:ilvl="0" w:tplc="04090001">
      <w:start w:val="1"/>
      <w:numFmt w:val="bullet"/>
      <w:lvlText w:val=""/>
      <w:lvlJc w:val="left"/>
      <w:pPr>
        <w:ind w:left="827" w:hanging="360"/>
      </w:pPr>
      <w:rPr>
        <w:rFonts w:ascii="Symbol" w:hAnsi="Symbol" w:hint="default"/>
      </w:rPr>
    </w:lvl>
    <w:lvl w:ilvl="1" w:tplc="04090003" w:tentative="1">
      <w:start w:val="1"/>
      <w:numFmt w:val="bullet"/>
      <w:lvlText w:val="o"/>
      <w:lvlJc w:val="left"/>
      <w:pPr>
        <w:ind w:left="1547" w:hanging="360"/>
      </w:pPr>
      <w:rPr>
        <w:rFonts w:ascii="Courier New" w:hAnsi="Courier New" w:cs="Courier New" w:hint="default"/>
      </w:rPr>
    </w:lvl>
    <w:lvl w:ilvl="2" w:tplc="04090005" w:tentative="1">
      <w:start w:val="1"/>
      <w:numFmt w:val="bullet"/>
      <w:lvlText w:val=""/>
      <w:lvlJc w:val="left"/>
      <w:pPr>
        <w:ind w:left="2267" w:hanging="360"/>
      </w:pPr>
      <w:rPr>
        <w:rFonts w:ascii="Wingdings" w:hAnsi="Wingdings" w:hint="default"/>
      </w:rPr>
    </w:lvl>
    <w:lvl w:ilvl="3" w:tplc="04090001" w:tentative="1">
      <w:start w:val="1"/>
      <w:numFmt w:val="bullet"/>
      <w:lvlText w:val=""/>
      <w:lvlJc w:val="left"/>
      <w:pPr>
        <w:ind w:left="2987" w:hanging="360"/>
      </w:pPr>
      <w:rPr>
        <w:rFonts w:ascii="Symbol" w:hAnsi="Symbol" w:hint="default"/>
      </w:rPr>
    </w:lvl>
    <w:lvl w:ilvl="4" w:tplc="04090003" w:tentative="1">
      <w:start w:val="1"/>
      <w:numFmt w:val="bullet"/>
      <w:lvlText w:val="o"/>
      <w:lvlJc w:val="left"/>
      <w:pPr>
        <w:ind w:left="3707" w:hanging="360"/>
      </w:pPr>
      <w:rPr>
        <w:rFonts w:ascii="Courier New" w:hAnsi="Courier New" w:cs="Courier New" w:hint="default"/>
      </w:rPr>
    </w:lvl>
    <w:lvl w:ilvl="5" w:tplc="04090005" w:tentative="1">
      <w:start w:val="1"/>
      <w:numFmt w:val="bullet"/>
      <w:lvlText w:val=""/>
      <w:lvlJc w:val="left"/>
      <w:pPr>
        <w:ind w:left="4427" w:hanging="360"/>
      </w:pPr>
      <w:rPr>
        <w:rFonts w:ascii="Wingdings" w:hAnsi="Wingdings" w:hint="default"/>
      </w:rPr>
    </w:lvl>
    <w:lvl w:ilvl="6" w:tplc="04090001" w:tentative="1">
      <w:start w:val="1"/>
      <w:numFmt w:val="bullet"/>
      <w:lvlText w:val=""/>
      <w:lvlJc w:val="left"/>
      <w:pPr>
        <w:ind w:left="5147" w:hanging="360"/>
      </w:pPr>
      <w:rPr>
        <w:rFonts w:ascii="Symbol" w:hAnsi="Symbol" w:hint="default"/>
      </w:rPr>
    </w:lvl>
    <w:lvl w:ilvl="7" w:tplc="04090003" w:tentative="1">
      <w:start w:val="1"/>
      <w:numFmt w:val="bullet"/>
      <w:lvlText w:val="o"/>
      <w:lvlJc w:val="left"/>
      <w:pPr>
        <w:ind w:left="5867" w:hanging="360"/>
      </w:pPr>
      <w:rPr>
        <w:rFonts w:ascii="Courier New" w:hAnsi="Courier New" w:cs="Courier New" w:hint="default"/>
      </w:rPr>
    </w:lvl>
    <w:lvl w:ilvl="8" w:tplc="04090005" w:tentative="1">
      <w:start w:val="1"/>
      <w:numFmt w:val="bullet"/>
      <w:lvlText w:val=""/>
      <w:lvlJc w:val="left"/>
      <w:pPr>
        <w:ind w:left="6587" w:hanging="360"/>
      </w:pPr>
      <w:rPr>
        <w:rFonts w:ascii="Wingdings" w:hAnsi="Wingdings" w:hint="default"/>
      </w:rPr>
    </w:lvl>
  </w:abstractNum>
  <w:abstractNum w:abstractNumId="38" w15:restartNumberingAfterBreak="0">
    <w:nsid w:val="20050E9E"/>
    <w:multiLevelType w:val="hybridMultilevel"/>
    <w:tmpl w:val="B29A738A"/>
    <w:lvl w:ilvl="0" w:tplc="04090001">
      <w:start w:val="1"/>
      <w:numFmt w:val="bullet"/>
      <w:lvlText w:val=""/>
      <w:lvlJc w:val="left"/>
      <w:pPr>
        <w:ind w:left="827" w:hanging="360"/>
      </w:pPr>
      <w:rPr>
        <w:rFonts w:ascii="Symbol" w:hAnsi="Symbol" w:hint="default"/>
      </w:rPr>
    </w:lvl>
    <w:lvl w:ilvl="1" w:tplc="04090003" w:tentative="1">
      <w:start w:val="1"/>
      <w:numFmt w:val="bullet"/>
      <w:lvlText w:val="o"/>
      <w:lvlJc w:val="left"/>
      <w:pPr>
        <w:ind w:left="1547" w:hanging="360"/>
      </w:pPr>
      <w:rPr>
        <w:rFonts w:ascii="Courier New" w:hAnsi="Courier New" w:cs="Courier New" w:hint="default"/>
      </w:rPr>
    </w:lvl>
    <w:lvl w:ilvl="2" w:tplc="04090005" w:tentative="1">
      <w:start w:val="1"/>
      <w:numFmt w:val="bullet"/>
      <w:lvlText w:val=""/>
      <w:lvlJc w:val="left"/>
      <w:pPr>
        <w:ind w:left="2267" w:hanging="360"/>
      </w:pPr>
      <w:rPr>
        <w:rFonts w:ascii="Wingdings" w:hAnsi="Wingdings" w:hint="default"/>
      </w:rPr>
    </w:lvl>
    <w:lvl w:ilvl="3" w:tplc="04090001" w:tentative="1">
      <w:start w:val="1"/>
      <w:numFmt w:val="bullet"/>
      <w:lvlText w:val=""/>
      <w:lvlJc w:val="left"/>
      <w:pPr>
        <w:ind w:left="2987" w:hanging="360"/>
      </w:pPr>
      <w:rPr>
        <w:rFonts w:ascii="Symbol" w:hAnsi="Symbol" w:hint="default"/>
      </w:rPr>
    </w:lvl>
    <w:lvl w:ilvl="4" w:tplc="04090003" w:tentative="1">
      <w:start w:val="1"/>
      <w:numFmt w:val="bullet"/>
      <w:lvlText w:val="o"/>
      <w:lvlJc w:val="left"/>
      <w:pPr>
        <w:ind w:left="3707" w:hanging="360"/>
      </w:pPr>
      <w:rPr>
        <w:rFonts w:ascii="Courier New" w:hAnsi="Courier New" w:cs="Courier New" w:hint="default"/>
      </w:rPr>
    </w:lvl>
    <w:lvl w:ilvl="5" w:tplc="04090005" w:tentative="1">
      <w:start w:val="1"/>
      <w:numFmt w:val="bullet"/>
      <w:lvlText w:val=""/>
      <w:lvlJc w:val="left"/>
      <w:pPr>
        <w:ind w:left="4427" w:hanging="360"/>
      </w:pPr>
      <w:rPr>
        <w:rFonts w:ascii="Wingdings" w:hAnsi="Wingdings" w:hint="default"/>
      </w:rPr>
    </w:lvl>
    <w:lvl w:ilvl="6" w:tplc="04090001" w:tentative="1">
      <w:start w:val="1"/>
      <w:numFmt w:val="bullet"/>
      <w:lvlText w:val=""/>
      <w:lvlJc w:val="left"/>
      <w:pPr>
        <w:ind w:left="5147" w:hanging="360"/>
      </w:pPr>
      <w:rPr>
        <w:rFonts w:ascii="Symbol" w:hAnsi="Symbol" w:hint="default"/>
      </w:rPr>
    </w:lvl>
    <w:lvl w:ilvl="7" w:tplc="04090003" w:tentative="1">
      <w:start w:val="1"/>
      <w:numFmt w:val="bullet"/>
      <w:lvlText w:val="o"/>
      <w:lvlJc w:val="left"/>
      <w:pPr>
        <w:ind w:left="5867" w:hanging="360"/>
      </w:pPr>
      <w:rPr>
        <w:rFonts w:ascii="Courier New" w:hAnsi="Courier New" w:cs="Courier New" w:hint="default"/>
      </w:rPr>
    </w:lvl>
    <w:lvl w:ilvl="8" w:tplc="04090005" w:tentative="1">
      <w:start w:val="1"/>
      <w:numFmt w:val="bullet"/>
      <w:lvlText w:val=""/>
      <w:lvlJc w:val="left"/>
      <w:pPr>
        <w:ind w:left="6587" w:hanging="360"/>
      </w:pPr>
      <w:rPr>
        <w:rFonts w:ascii="Wingdings" w:hAnsi="Wingdings" w:hint="default"/>
      </w:rPr>
    </w:lvl>
  </w:abstractNum>
  <w:abstractNum w:abstractNumId="39" w15:restartNumberingAfterBreak="0">
    <w:nsid w:val="20AA5956"/>
    <w:multiLevelType w:val="hybridMultilevel"/>
    <w:tmpl w:val="5DECA51A"/>
    <w:lvl w:ilvl="0" w:tplc="04090001">
      <w:start w:val="1"/>
      <w:numFmt w:val="bullet"/>
      <w:lvlText w:val=""/>
      <w:lvlJc w:val="left"/>
      <w:pPr>
        <w:ind w:left="810" w:hanging="360"/>
      </w:pPr>
      <w:rPr>
        <w:rFonts w:ascii="Symbol" w:hAnsi="Symbol" w:hint="default"/>
      </w:rPr>
    </w:lvl>
    <w:lvl w:ilvl="1" w:tplc="04090001">
      <w:start w:val="1"/>
      <w:numFmt w:val="bullet"/>
      <w:lvlText w:val=""/>
      <w:lvlJc w:val="left"/>
      <w:pPr>
        <w:ind w:left="1530" w:hanging="360"/>
      </w:pPr>
      <w:rPr>
        <w:rFonts w:ascii="Symbol" w:hAnsi="Symbol"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40" w15:restartNumberingAfterBreak="0">
    <w:nsid w:val="215B59D3"/>
    <w:multiLevelType w:val="hybridMultilevel"/>
    <w:tmpl w:val="44469A8C"/>
    <w:lvl w:ilvl="0" w:tplc="04090001">
      <w:start w:val="1"/>
      <w:numFmt w:val="bullet"/>
      <w:lvlText w:val=""/>
      <w:lvlJc w:val="left"/>
      <w:pPr>
        <w:ind w:left="810" w:hanging="360"/>
      </w:pPr>
      <w:rPr>
        <w:rFonts w:ascii="Symbol" w:hAnsi="Symbol" w:hint="default"/>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41" w15:restartNumberingAfterBreak="0">
    <w:nsid w:val="21CE05D4"/>
    <w:multiLevelType w:val="hybridMultilevel"/>
    <w:tmpl w:val="92261FFC"/>
    <w:lvl w:ilvl="0" w:tplc="0409000F">
      <w:start w:val="1"/>
      <w:numFmt w:val="decimal"/>
      <w:lvlText w:val="%1."/>
      <w:lvlJc w:val="left"/>
      <w:pPr>
        <w:ind w:left="810" w:hanging="360"/>
      </w:p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42" w15:restartNumberingAfterBreak="0">
    <w:nsid w:val="2210787A"/>
    <w:multiLevelType w:val="hybridMultilevel"/>
    <w:tmpl w:val="7B20196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22FB38AB"/>
    <w:multiLevelType w:val="hybridMultilevel"/>
    <w:tmpl w:val="8DD6D498"/>
    <w:lvl w:ilvl="0" w:tplc="04090001">
      <w:start w:val="1"/>
      <w:numFmt w:val="bullet"/>
      <w:lvlText w:val=""/>
      <w:lvlJc w:val="left"/>
      <w:pPr>
        <w:ind w:left="827" w:hanging="360"/>
      </w:pPr>
      <w:rPr>
        <w:rFonts w:ascii="Symbol" w:hAnsi="Symbol" w:hint="default"/>
      </w:rPr>
    </w:lvl>
    <w:lvl w:ilvl="1" w:tplc="04090003" w:tentative="1">
      <w:start w:val="1"/>
      <w:numFmt w:val="bullet"/>
      <w:lvlText w:val="o"/>
      <w:lvlJc w:val="left"/>
      <w:pPr>
        <w:ind w:left="1547" w:hanging="360"/>
      </w:pPr>
      <w:rPr>
        <w:rFonts w:ascii="Courier New" w:hAnsi="Courier New" w:cs="Courier New" w:hint="default"/>
      </w:rPr>
    </w:lvl>
    <w:lvl w:ilvl="2" w:tplc="04090005" w:tentative="1">
      <w:start w:val="1"/>
      <w:numFmt w:val="bullet"/>
      <w:lvlText w:val=""/>
      <w:lvlJc w:val="left"/>
      <w:pPr>
        <w:ind w:left="2267" w:hanging="360"/>
      </w:pPr>
      <w:rPr>
        <w:rFonts w:ascii="Wingdings" w:hAnsi="Wingdings" w:hint="default"/>
      </w:rPr>
    </w:lvl>
    <w:lvl w:ilvl="3" w:tplc="04090001" w:tentative="1">
      <w:start w:val="1"/>
      <w:numFmt w:val="bullet"/>
      <w:lvlText w:val=""/>
      <w:lvlJc w:val="left"/>
      <w:pPr>
        <w:ind w:left="2987" w:hanging="360"/>
      </w:pPr>
      <w:rPr>
        <w:rFonts w:ascii="Symbol" w:hAnsi="Symbol" w:hint="default"/>
      </w:rPr>
    </w:lvl>
    <w:lvl w:ilvl="4" w:tplc="04090003" w:tentative="1">
      <w:start w:val="1"/>
      <w:numFmt w:val="bullet"/>
      <w:lvlText w:val="o"/>
      <w:lvlJc w:val="left"/>
      <w:pPr>
        <w:ind w:left="3707" w:hanging="360"/>
      </w:pPr>
      <w:rPr>
        <w:rFonts w:ascii="Courier New" w:hAnsi="Courier New" w:cs="Courier New" w:hint="default"/>
      </w:rPr>
    </w:lvl>
    <w:lvl w:ilvl="5" w:tplc="04090005" w:tentative="1">
      <w:start w:val="1"/>
      <w:numFmt w:val="bullet"/>
      <w:lvlText w:val=""/>
      <w:lvlJc w:val="left"/>
      <w:pPr>
        <w:ind w:left="4427" w:hanging="360"/>
      </w:pPr>
      <w:rPr>
        <w:rFonts w:ascii="Wingdings" w:hAnsi="Wingdings" w:hint="default"/>
      </w:rPr>
    </w:lvl>
    <w:lvl w:ilvl="6" w:tplc="04090001" w:tentative="1">
      <w:start w:val="1"/>
      <w:numFmt w:val="bullet"/>
      <w:lvlText w:val=""/>
      <w:lvlJc w:val="left"/>
      <w:pPr>
        <w:ind w:left="5147" w:hanging="360"/>
      </w:pPr>
      <w:rPr>
        <w:rFonts w:ascii="Symbol" w:hAnsi="Symbol" w:hint="default"/>
      </w:rPr>
    </w:lvl>
    <w:lvl w:ilvl="7" w:tplc="04090003" w:tentative="1">
      <w:start w:val="1"/>
      <w:numFmt w:val="bullet"/>
      <w:lvlText w:val="o"/>
      <w:lvlJc w:val="left"/>
      <w:pPr>
        <w:ind w:left="5867" w:hanging="360"/>
      </w:pPr>
      <w:rPr>
        <w:rFonts w:ascii="Courier New" w:hAnsi="Courier New" w:cs="Courier New" w:hint="default"/>
      </w:rPr>
    </w:lvl>
    <w:lvl w:ilvl="8" w:tplc="04090005" w:tentative="1">
      <w:start w:val="1"/>
      <w:numFmt w:val="bullet"/>
      <w:lvlText w:val=""/>
      <w:lvlJc w:val="left"/>
      <w:pPr>
        <w:ind w:left="6587" w:hanging="360"/>
      </w:pPr>
      <w:rPr>
        <w:rFonts w:ascii="Wingdings" w:hAnsi="Wingdings" w:hint="default"/>
      </w:rPr>
    </w:lvl>
  </w:abstractNum>
  <w:abstractNum w:abstractNumId="44" w15:restartNumberingAfterBreak="0">
    <w:nsid w:val="23691C17"/>
    <w:multiLevelType w:val="hybridMultilevel"/>
    <w:tmpl w:val="83B2D918"/>
    <w:lvl w:ilvl="0" w:tplc="0409000F">
      <w:start w:val="1"/>
      <w:numFmt w:val="decimal"/>
      <w:lvlText w:val="%1."/>
      <w:lvlJc w:val="left"/>
      <w:pPr>
        <w:ind w:left="792" w:hanging="360"/>
      </w:pPr>
    </w:lvl>
    <w:lvl w:ilvl="1" w:tplc="04090019" w:tentative="1">
      <w:start w:val="1"/>
      <w:numFmt w:val="lowerLetter"/>
      <w:lvlText w:val="%2."/>
      <w:lvlJc w:val="left"/>
      <w:pPr>
        <w:ind w:left="1512" w:hanging="360"/>
      </w:pPr>
    </w:lvl>
    <w:lvl w:ilvl="2" w:tplc="0409001B" w:tentative="1">
      <w:start w:val="1"/>
      <w:numFmt w:val="lowerRoman"/>
      <w:lvlText w:val="%3."/>
      <w:lvlJc w:val="right"/>
      <w:pPr>
        <w:ind w:left="2232" w:hanging="180"/>
      </w:pPr>
    </w:lvl>
    <w:lvl w:ilvl="3" w:tplc="0409000F" w:tentative="1">
      <w:start w:val="1"/>
      <w:numFmt w:val="decimal"/>
      <w:lvlText w:val="%4."/>
      <w:lvlJc w:val="left"/>
      <w:pPr>
        <w:ind w:left="2952" w:hanging="360"/>
      </w:pPr>
    </w:lvl>
    <w:lvl w:ilvl="4" w:tplc="04090019" w:tentative="1">
      <w:start w:val="1"/>
      <w:numFmt w:val="lowerLetter"/>
      <w:lvlText w:val="%5."/>
      <w:lvlJc w:val="left"/>
      <w:pPr>
        <w:ind w:left="3672" w:hanging="360"/>
      </w:pPr>
    </w:lvl>
    <w:lvl w:ilvl="5" w:tplc="0409001B" w:tentative="1">
      <w:start w:val="1"/>
      <w:numFmt w:val="lowerRoman"/>
      <w:lvlText w:val="%6."/>
      <w:lvlJc w:val="right"/>
      <w:pPr>
        <w:ind w:left="4392" w:hanging="180"/>
      </w:pPr>
    </w:lvl>
    <w:lvl w:ilvl="6" w:tplc="0409000F" w:tentative="1">
      <w:start w:val="1"/>
      <w:numFmt w:val="decimal"/>
      <w:lvlText w:val="%7."/>
      <w:lvlJc w:val="left"/>
      <w:pPr>
        <w:ind w:left="5112" w:hanging="360"/>
      </w:pPr>
    </w:lvl>
    <w:lvl w:ilvl="7" w:tplc="04090019" w:tentative="1">
      <w:start w:val="1"/>
      <w:numFmt w:val="lowerLetter"/>
      <w:lvlText w:val="%8."/>
      <w:lvlJc w:val="left"/>
      <w:pPr>
        <w:ind w:left="5832" w:hanging="360"/>
      </w:pPr>
    </w:lvl>
    <w:lvl w:ilvl="8" w:tplc="0409001B" w:tentative="1">
      <w:start w:val="1"/>
      <w:numFmt w:val="lowerRoman"/>
      <w:lvlText w:val="%9."/>
      <w:lvlJc w:val="right"/>
      <w:pPr>
        <w:ind w:left="6552" w:hanging="180"/>
      </w:pPr>
    </w:lvl>
  </w:abstractNum>
  <w:abstractNum w:abstractNumId="45" w15:restartNumberingAfterBreak="0">
    <w:nsid w:val="23FD670F"/>
    <w:multiLevelType w:val="hybridMultilevel"/>
    <w:tmpl w:val="0B9CADD0"/>
    <w:lvl w:ilvl="0" w:tplc="04090001">
      <w:start w:val="1"/>
      <w:numFmt w:val="bullet"/>
      <w:lvlText w:val=""/>
      <w:lvlJc w:val="left"/>
      <w:pPr>
        <w:ind w:left="827" w:hanging="360"/>
      </w:pPr>
      <w:rPr>
        <w:rFonts w:ascii="Symbol" w:hAnsi="Symbol" w:hint="default"/>
      </w:rPr>
    </w:lvl>
    <w:lvl w:ilvl="1" w:tplc="04090003" w:tentative="1">
      <w:start w:val="1"/>
      <w:numFmt w:val="bullet"/>
      <w:lvlText w:val="o"/>
      <w:lvlJc w:val="left"/>
      <w:pPr>
        <w:ind w:left="1547" w:hanging="360"/>
      </w:pPr>
      <w:rPr>
        <w:rFonts w:ascii="Courier New" w:hAnsi="Courier New" w:cs="Courier New" w:hint="default"/>
      </w:rPr>
    </w:lvl>
    <w:lvl w:ilvl="2" w:tplc="04090005" w:tentative="1">
      <w:start w:val="1"/>
      <w:numFmt w:val="bullet"/>
      <w:lvlText w:val=""/>
      <w:lvlJc w:val="left"/>
      <w:pPr>
        <w:ind w:left="2267" w:hanging="360"/>
      </w:pPr>
      <w:rPr>
        <w:rFonts w:ascii="Wingdings" w:hAnsi="Wingdings" w:hint="default"/>
      </w:rPr>
    </w:lvl>
    <w:lvl w:ilvl="3" w:tplc="04090001" w:tentative="1">
      <w:start w:val="1"/>
      <w:numFmt w:val="bullet"/>
      <w:lvlText w:val=""/>
      <w:lvlJc w:val="left"/>
      <w:pPr>
        <w:ind w:left="2987" w:hanging="360"/>
      </w:pPr>
      <w:rPr>
        <w:rFonts w:ascii="Symbol" w:hAnsi="Symbol" w:hint="default"/>
      </w:rPr>
    </w:lvl>
    <w:lvl w:ilvl="4" w:tplc="04090003" w:tentative="1">
      <w:start w:val="1"/>
      <w:numFmt w:val="bullet"/>
      <w:lvlText w:val="o"/>
      <w:lvlJc w:val="left"/>
      <w:pPr>
        <w:ind w:left="3707" w:hanging="360"/>
      </w:pPr>
      <w:rPr>
        <w:rFonts w:ascii="Courier New" w:hAnsi="Courier New" w:cs="Courier New" w:hint="default"/>
      </w:rPr>
    </w:lvl>
    <w:lvl w:ilvl="5" w:tplc="04090005" w:tentative="1">
      <w:start w:val="1"/>
      <w:numFmt w:val="bullet"/>
      <w:lvlText w:val=""/>
      <w:lvlJc w:val="left"/>
      <w:pPr>
        <w:ind w:left="4427" w:hanging="360"/>
      </w:pPr>
      <w:rPr>
        <w:rFonts w:ascii="Wingdings" w:hAnsi="Wingdings" w:hint="default"/>
      </w:rPr>
    </w:lvl>
    <w:lvl w:ilvl="6" w:tplc="04090001" w:tentative="1">
      <w:start w:val="1"/>
      <w:numFmt w:val="bullet"/>
      <w:lvlText w:val=""/>
      <w:lvlJc w:val="left"/>
      <w:pPr>
        <w:ind w:left="5147" w:hanging="360"/>
      </w:pPr>
      <w:rPr>
        <w:rFonts w:ascii="Symbol" w:hAnsi="Symbol" w:hint="default"/>
      </w:rPr>
    </w:lvl>
    <w:lvl w:ilvl="7" w:tplc="04090003" w:tentative="1">
      <w:start w:val="1"/>
      <w:numFmt w:val="bullet"/>
      <w:lvlText w:val="o"/>
      <w:lvlJc w:val="left"/>
      <w:pPr>
        <w:ind w:left="5867" w:hanging="360"/>
      </w:pPr>
      <w:rPr>
        <w:rFonts w:ascii="Courier New" w:hAnsi="Courier New" w:cs="Courier New" w:hint="default"/>
      </w:rPr>
    </w:lvl>
    <w:lvl w:ilvl="8" w:tplc="04090005" w:tentative="1">
      <w:start w:val="1"/>
      <w:numFmt w:val="bullet"/>
      <w:lvlText w:val=""/>
      <w:lvlJc w:val="left"/>
      <w:pPr>
        <w:ind w:left="6587" w:hanging="360"/>
      </w:pPr>
      <w:rPr>
        <w:rFonts w:ascii="Wingdings" w:hAnsi="Wingdings" w:hint="default"/>
      </w:rPr>
    </w:lvl>
  </w:abstractNum>
  <w:abstractNum w:abstractNumId="46" w15:restartNumberingAfterBreak="0">
    <w:nsid w:val="246B5108"/>
    <w:multiLevelType w:val="hybridMultilevel"/>
    <w:tmpl w:val="D152B85A"/>
    <w:lvl w:ilvl="0" w:tplc="04090001">
      <w:start w:val="1"/>
      <w:numFmt w:val="bullet"/>
      <w:lvlText w:val=""/>
      <w:lvlJc w:val="left"/>
      <w:pPr>
        <w:ind w:left="827" w:hanging="360"/>
      </w:pPr>
      <w:rPr>
        <w:rFonts w:ascii="Symbol" w:hAnsi="Symbol" w:hint="default"/>
      </w:rPr>
    </w:lvl>
    <w:lvl w:ilvl="1" w:tplc="04090003" w:tentative="1">
      <w:start w:val="1"/>
      <w:numFmt w:val="bullet"/>
      <w:lvlText w:val="o"/>
      <w:lvlJc w:val="left"/>
      <w:pPr>
        <w:ind w:left="1547" w:hanging="360"/>
      </w:pPr>
      <w:rPr>
        <w:rFonts w:ascii="Courier New" w:hAnsi="Courier New" w:cs="Courier New" w:hint="default"/>
      </w:rPr>
    </w:lvl>
    <w:lvl w:ilvl="2" w:tplc="04090005" w:tentative="1">
      <w:start w:val="1"/>
      <w:numFmt w:val="bullet"/>
      <w:lvlText w:val=""/>
      <w:lvlJc w:val="left"/>
      <w:pPr>
        <w:ind w:left="2267" w:hanging="360"/>
      </w:pPr>
      <w:rPr>
        <w:rFonts w:ascii="Wingdings" w:hAnsi="Wingdings" w:hint="default"/>
      </w:rPr>
    </w:lvl>
    <w:lvl w:ilvl="3" w:tplc="04090001" w:tentative="1">
      <w:start w:val="1"/>
      <w:numFmt w:val="bullet"/>
      <w:lvlText w:val=""/>
      <w:lvlJc w:val="left"/>
      <w:pPr>
        <w:ind w:left="2987" w:hanging="360"/>
      </w:pPr>
      <w:rPr>
        <w:rFonts w:ascii="Symbol" w:hAnsi="Symbol" w:hint="default"/>
      </w:rPr>
    </w:lvl>
    <w:lvl w:ilvl="4" w:tplc="04090003" w:tentative="1">
      <w:start w:val="1"/>
      <w:numFmt w:val="bullet"/>
      <w:lvlText w:val="o"/>
      <w:lvlJc w:val="left"/>
      <w:pPr>
        <w:ind w:left="3707" w:hanging="360"/>
      </w:pPr>
      <w:rPr>
        <w:rFonts w:ascii="Courier New" w:hAnsi="Courier New" w:cs="Courier New" w:hint="default"/>
      </w:rPr>
    </w:lvl>
    <w:lvl w:ilvl="5" w:tplc="04090005" w:tentative="1">
      <w:start w:val="1"/>
      <w:numFmt w:val="bullet"/>
      <w:lvlText w:val=""/>
      <w:lvlJc w:val="left"/>
      <w:pPr>
        <w:ind w:left="4427" w:hanging="360"/>
      </w:pPr>
      <w:rPr>
        <w:rFonts w:ascii="Wingdings" w:hAnsi="Wingdings" w:hint="default"/>
      </w:rPr>
    </w:lvl>
    <w:lvl w:ilvl="6" w:tplc="04090001" w:tentative="1">
      <w:start w:val="1"/>
      <w:numFmt w:val="bullet"/>
      <w:lvlText w:val=""/>
      <w:lvlJc w:val="left"/>
      <w:pPr>
        <w:ind w:left="5147" w:hanging="360"/>
      </w:pPr>
      <w:rPr>
        <w:rFonts w:ascii="Symbol" w:hAnsi="Symbol" w:hint="default"/>
      </w:rPr>
    </w:lvl>
    <w:lvl w:ilvl="7" w:tplc="04090003" w:tentative="1">
      <w:start w:val="1"/>
      <w:numFmt w:val="bullet"/>
      <w:lvlText w:val="o"/>
      <w:lvlJc w:val="left"/>
      <w:pPr>
        <w:ind w:left="5867" w:hanging="360"/>
      </w:pPr>
      <w:rPr>
        <w:rFonts w:ascii="Courier New" w:hAnsi="Courier New" w:cs="Courier New" w:hint="default"/>
      </w:rPr>
    </w:lvl>
    <w:lvl w:ilvl="8" w:tplc="04090005" w:tentative="1">
      <w:start w:val="1"/>
      <w:numFmt w:val="bullet"/>
      <w:lvlText w:val=""/>
      <w:lvlJc w:val="left"/>
      <w:pPr>
        <w:ind w:left="6587" w:hanging="360"/>
      </w:pPr>
      <w:rPr>
        <w:rFonts w:ascii="Wingdings" w:hAnsi="Wingdings" w:hint="default"/>
      </w:rPr>
    </w:lvl>
  </w:abstractNum>
  <w:abstractNum w:abstractNumId="47" w15:restartNumberingAfterBreak="0">
    <w:nsid w:val="24C12893"/>
    <w:multiLevelType w:val="hybridMultilevel"/>
    <w:tmpl w:val="5CD02E9C"/>
    <w:lvl w:ilvl="0" w:tplc="04090001">
      <w:start w:val="1"/>
      <w:numFmt w:val="bullet"/>
      <w:lvlText w:val=""/>
      <w:lvlJc w:val="left"/>
      <w:pPr>
        <w:ind w:left="827" w:hanging="360"/>
      </w:pPr>
      <w:rPr>
        <w:rFonts w:ascii="Symbol" w:hAnsi="Symbol" w:hint="default"/>
      </w:rPr>
    </w:lvl>
    <w:lvl w:ilvl="1" w:tplc="04090003" w:tentative="1">
      <w:start w:val="1"/>
      <w:numFmt w:val="bullet"/>
      <w:lvlText w:val="o"/>
      <w:lvlJc w:val="left"/>
      <w:pPr>
        <w:ind w:left="1547" w:hanging="360"/>
      </w:pPr>
      <w:rPr>
        <w:rFonts w:ascii="Courier New" w:hAnsi="Courier New" w:cs="Courier New" w:hint="default"/>
      </w:rPr>
    </w:lvl>
    <w:lvl w:ilvl="2" w:tplc="04090005" w:tentative="1">
      <w:start w:val="1"/>
      <w:numFmt w:val="bullet"/>
      <w:lvlText w:val=""/>
      <w:lvlJc w:val="left"/>
      <w:pPr>
        <w:ind w:left="2267" w:hanging="360"/>
      </w:pPr>
      <w:rPr>
        <w:rFonts w:ascii="Wingdings" w:hAnsi="Wingdings" w:hint="default"/>
      </w:rPr>
    </w:lvl>
    <w:lvl w:ilvl="3" w:tplc="04090001" w:tentative="1">
      <w:start w:val="1"/>
      <w:numFmt w:val="bullet"/>
      <w:lvlText w:val=""/>
      <w:lvlJc w:val="left"/>
      <w:pPr>
        <w:ind w:left="2987" w:hanging="360"/>
      </w:pPr>
      <w:rPr>
        <w:rFonts w:ascii="Symbol" w:hAnsi="Symbol" w:hint="default"/>
      </w:rPr>
    </w:lvl>
    <w:lvl w:ilvl="4" w:tplc="04090003" w:tentative="1">
      <w:start w:val="1"/>
      <w:numFmt w:val="bullet"/>
      <w:lvlText w:val="o"/>
      <w:lvlJc w:val="left"/>
      <w:pPr>
        <w:ind w:left="3707" w:hanging="360"/>
      </w:pPr>
      <w:rPr>
        <w:rFonts w:ascii="Courier New" w:hAnsi="Courier New" w:cs="Courier New" w:hint="default"/>
      </w:rPr>
    </w:lvl>
    <w:lvl w:ilvl="5" w:tplc="04090005" w:tentative="1">
      <w:start w:val="1"/>
      <w:numFmt w:val="bullet"/>
      <w:lvlText w:val=""/>
      <w:lvlJc w:val="left"/>
      <w:pPr>
        <w:ind w:left="4427" w:hanging="360"/>
      </w:pPr>
      <w:rPr>
        <w:rFonts w:ascii="Wingdings" w:hAnsi="Wingdings" w:hint="default"/>
      </w:rPr>
    </w:lvl>
    <w:lvl w:ilvl="6" w:tplc="04090001" w:tentative="1">
      <w:start w:val="1"/>
      <w:numFmt w:val="bullet"/>
      <w:lvlText w:val=""/>
      <w:lvlJc w:val="left"/>
      <w:pPr>
        <w:ind w:left="5147" w:hanging="360"/>
      </w:pPr>
      <w:rPr>
        <w:rFonts w:ascii="Symbol" w:hAnsi="Symbol" w:hint="default"/>
      </w:rPr>
    </w:lvl>
    <w:lvl w:ilvl="7" w:tplc="04090003" w:tentative="1">
      <w:start w:val="1"/>
      <w:numFmt w:val="bullet"/>
      <w:lvlText w:val="o"/>
      <w:lvlJc w:val="left"/>
      <w:pPr>
        <w:ind w:left="5867" w:hanging="360"/>
      </w:pPr>
      <w:rPr>
        <w:rFonts w:ascii="Courier New" w:hAnsi="Courier New" w:cs="Courier New" w:hint="default"/>
      </w:rPr>
    </w:lvl>
    <w:lvl w:ilvl="8" w:tplc="04090005" w:tentative="1">
      <w:start w:val="1"/>
      <w:numFmt w:val="bullet"/>
      <w:lvlText w:val=""/>
      <w:lvlJc w:val="left"/>
      <w:pPr>
        <w:ind w:left="6587" w:hanging="360"/>
      </w:pPr>
      <w:rPr>
        <w:rFonts w:ascii="Wingdings" w:hAnsi="Wingdings" w:hint="default"/>
      </w:rPr>
    </w:lvl>
  </w:abstractNum>
  <w:abstractNum w:abstractNumId="48" w15:restartNumberingAfterBreak="0">
    <w:nsid w:val="25794447"/>
    <w:multiLevelType w:val="hybridMultilevel"/>
    <w:tmpl w:val="12B055D4"/>
    <w:lvl w:ilvl="0" w:tplc="04090001">
      <w:start w:val="1"/>
      <w:numFmt w:val="bullet"/>
      <w:lvlText w:val=""/>
      <w:lvlJc w:val="left"/>
      <w:pPr>
        <w:ind w:left="810" w:hanging="360"/>
      </w:pPr>
      <w:rPr>
        <w:rFonts w:ascii="Symbol" w:hAnsi="Symbol" w:hint="default"/>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49" w15:restartNumberingAfterBreak="0">
    <w:nsid w:val="275113A2"/>
    <w:multiLevelType w:val="hybridMultilevel"/>
    <w:tmpl w:val="CA4A1A70"/>
    <w:lvl w:ilvl="0" w:tplc="04090001">
      <w:start w:val="1"/>
      <w:numFmt w:val="bullet"/>
      <w:lvlText w:val=""/>
      <w:lvlJc w:val="left"/>
      <w:pPr>
        <w:ind w:left="810" w:hanging="360"/>
      </w:pPr>
      <w:rPr>
        <w:rFonts w:ascii="Symbol" w:hAnsi="Symbol" w:hint="default"/>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50" w15:restartNumberingAfterBreak="0">
    <w:nsid w:val="278D79E2"/>
    <w:multiLevelType w:val="hybridMultilevel"/>
    <w:tmpl w:val="856AA748"/>
    <w:lvl w:ilvl="0" w:tplc="3BC0C746">
      <w:start w:val="12"/>
      <w:numFmt w:val="lowerLetter"/>
      <w:lvlText w:val="(%1)"/>
      <w:lvlJc w:val="left"/>
      <w:pPr>
        <w:ind w:left="720" w:hanging="360"/>
      </w:pPr>
      <w:rPr>
        <w:rFonts w:hint="default"/>
        <w:b/>
        <w:color w:val="295CA3"/>
        <w:w w:val="110"/>
        <w:sz w:val="26"/>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292413B2"/>
    <w:multiLevelType w:val="hybridMultilevel"/>
    <w:tmpl w:val="90E40678"/>
    <w:lvl w:ilvl="0" w:tplc="FB2A3B92">
      <w:start w:val="1"/>
      <w:numFmt w:val="bullet"/>
      <w:lvlText w:val="•"/>
      <w:lvlJc w:val="left"/>
      <w:pPr>
        <w:ind w:left="810" w:hanging="360"/>
      </w:pPr>
      <w:rPr>
        <w:rFonts w:hint="default"/>
      </w:rPr>
    </w:lvl>
    <w:lvl w:ilvl="1" w:tplc="04090003" w:tentative="1">
      <w:start w:val="1"/>
      <w:numFmt w:val="bullet"/>
      <w:lvlText w:val="o"/>
      <w:lvlJc w:val="left"/>
      <w:pPr>
        <w:ind w:left="1530" w:hanging="360"/>
      </w:pPr>
      <w:rPr>
        <w:rFonts w:ascii="Courier New" w:hAnsi="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52" w15:restartNumberingAfterBreak="0">
    <w:nsid w:val="29653422"/>
    <w:multiLevelType w:val="hybridMultilevel"/>
    <w:tmpl w:val="4F0E48DE"/>
    <w:lvl w:ilvl="0" w:tplc="04090001">
      <w:start w:val="1"/>
      <w:numFmt w:val="bullet"/>
      <w:lvlText w:val=""/>
      <w:lvlJc w:val="left"/>
      <w:pPr>
        <w:ind w:left="810" w:hanging="360"/>
      </w:pPr>
      <w:rPr>
        <w:rFonts w:ascii="Symbol" w:hAnsi="Symbol" w:hint="default"/>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53" w15:restartNumberingAfterBreak="0">
    <w:nsid w:val="29944437"/>
    <w:multiLevelType w:val="hybridMultilevel"/>
    <w:tmpl w:val="50B83AD8"/>
    <w:lvl w:ilvl="0" w:tplc="04090001">
      <w:start w:val="1"/>
      <w:numFmt w:val="bullet"/>
      <w:lvlText w:val=""/>
      <w:lvlJc w:val="left"/>
      <w:pPr>
        <w:ind w:left="827" w:hanging="360"/>
      </w:pPr>
      <w:rPr>
        <w:rFonts w:ascii="Symbol" w:hAnsi="Symbol" w:hint="default"/>
      </w:rPr>
    </w:lvl>
    <w:lvl w:ilvl="1" w:tplc="04090003" w:tentative="1">
      <w:start w:val="1"/>
      <w:numFmt w:val="bullet"/>
      <w:lvlText w:val="o"/>
      <w:lvlJc w:val="left"/>
      <w:pPr>
        <w:ind w:left="1547" w:hanging="360"/>
      </w:pPr>
      <w:rPr>
        <w:rFonts w:ascii="Courier New" w:hAnsi="Courier New" w:cs="Courier New" w:hint="default"/>
      </w:rPr>
    </w:lvl>
    <w:lvl w:ilvl="2" w:tplc="04090005" w:tentative="1">
      <w:start w:val="1"/>
      <w:numFmt w:val="bullet"/>
      <w:lvlText w:val=""/>
      <w:lvlJc w:val="left"/>
      <w:pPr>
        <w:ind w:left="2267" w:hanging="360"/>
      </w:pPr>
      <w:rPr>
        <w:rFonts w:ascii="Wingdings" w:hAnsi="Wingdings" w:hint="default"/>
      </w:rPr>
    </w:lvl>
    <w:lvl w:ilvl="3" w:tplc="04090001" w:tentative="1">
      <w:start w:val="1"/>
      <w:numFmt w:val="bullet"/>
      <w:lvlText w:val=""/>
      <w:lvlJc w:val="left"/>
      <w:pPr>
        <w:ind w:left="2987" w:hanging="360"/>
      </w:pPr>
      <w:rPr>
        <w:rFonts w:ascii="Symbol" w:hAnsi="Symbol" w:hint="default"/>
      </w:rPr>
    </w:lvl>
    <w:lvl w:ilvl="4" w:tplc="04090003" w:tentative="1">
      <w:start w:val="1"/>
      <w:numFmt w:val="bullet"/>
      <w:lvlText w:val="o"/>
      <w:lvlJc w:val="left"/>
      <w:pPr>
        <w:ind w:left="3707" w:hanging="360"/>
      </w:pPr>
      <w:rPr>
        <w:rFonts w:ascii="Courier New" w:hAnsi="Courier New" w:cs="Courier New" w:hint="default"/>
      </w:rPr>
    </w:lvl>
    <w:lvl w:ilvl="5" w:tplc="04090005" w:tentative="1">
      <w:start w:val="1"/>
      <w:numFmt w:val="bullet"/>
      <w:lvlText w:val=""/>
      <w:lvlJc w:val="left"/>
      <w:pPr>
        <w:ind w:left="4427" w:hanging="360"/>
      </w:pPr>
      <w:rPr>
        <w:rFonts w:ascii="Wingdings" w:hAnsi="Wingdings" w:hint="default"/>
      </w:rPr>
    </w:lvl>
    <w:lvl w:ilvl="6" w:tplc="04090001" w:tentative="1">
      <w:start w:val="1"/>
      <w:numFmt w:val="bullet"/>
      <w:lvlText w:val=""/>
      <w:lvlJc w:val="left"/>
      <w:pPr>
        <w:ind w:left="5147" w:hanging="360"/>
      </w:pPr>
      <w:rPr>
        <w:rFonts w:ascii="Symbol" w:hAnsi="Symbol" w:hint="default"/>
      </w:rPr>
    </w:lvl>
    <w:lvl w:ilvl="7" w:tplc="04090003" w:tentative="1">
      <w:start w:val="1"/>
      <w:numFmt w:val="bullet"/>
      <w:lvlText w:val="o"/>
      <w:lvlJc w:val="left"/>
      <w:pPr>
        <w:ind w:left="5867" w:hanging="360"/>
      </w:pPr>
      <w:rPr>
        <w:rFonts w:ascii="Courier New" w:hAnsi="Courier New" w:cs="Courier New" w:hint="default"/>
      </w:rPr>
    </w:lvl>
    <w:lvl w:ilvl="8" w:tplc="04090005" w:tentative="1">
      <w:start w:val="1"/>
      <w:numFmt w:val="bullet"/>
      <w:lvlText w:val=""/>
      <w:lvlJc w:val="left"/>
      <w:pPr>
        <w:ind w:left="6587" w:hanging="360"/>
      </w:pPr>
      <w:rPr>
        <w:rFonts w:ascii="Wingdings" w:hAnsi="Wingdings" w:hint="default"/>
      </w:rPr>
    </w:lvl>
  </w:abstractNum>
  <w:abstractNum w:abstractNumId="54" w15:restartNumberingAfterBreak="0">
    <w:nsid w:val="2A082D28"/>
    <w:multiLevelType w:val="hybridMultilevel"/>
    <w:tmpl w:val="2B98EE9E"/>
    <w:lvl w:ilvl="0" w:tplc="04090001">
      <w:start w:val="1"/>
      <w:numFmt w:val="bullet"/>
      <w:lvlText w:val=""/>
      <w:lvlJc w:val="left"/>
      <w:pPr>
        <w:ind w:left="827" w:hanging="360"/>
      </w:pPr>
      <w:rPr>
        <w:rFonts w:ascii="Symbol" w:hAnsi="Symbol" w:hint="default"/>
      </w:rPr>
    </w:lvl>
    <w:lvl w:ilvl="1" w:tplc="04090003" w:tentative="1">
      <w:start w:val="1"/>
      <w:numFmt w:val="bullet"/>
      <w:lvlText w:val="o"/>
      <w:lvlJc w:val="left"/>
      <w:pPr>
        <w:ind w:left="1547" w:hanging="360"/>
      </w:pPr>
      <w:rPr>
        <w:rFonts w:ascii="Courier New" w:hAnsi="Courier New" w:cs="Courier New" w:hint="default"/>
      </w:rPr>
    </w:lvl>
    <w:lvl w:ilvl="2" w:tplc="04090005" w:tentative="1">
      <w:start w:val="1"/>
      <w:numFmt w:val="bullet"/>
      <w:lvlText w:val=""/>
      <w:lvlJc w:val="left"/>
      <w:pPr>
        <w:ind w:left="2267" w:hanging="360"/>
      </w:pPr>
      <w:rPr>
        <w:rFonts w:ascii="Wingdings" w:hAnsi="Wingdings" w:hint="default"/>
      </w:rPr>
    </w:lvl>
    <w:lvl w:ilvl="3" w:tplc="04090001" w:tentative="1">
      <w:start w:val="1"/>
      <w:numFmt w:val="bullet"/>
      <w:lvlText w:val=""/>
      <w:lvlJc w:val="left"/>
      <w:pPr>
        <w:ind w:left="2987" w:hanging="360"/>
      </w:pPr>
      <w:rPr>
        <w:rFonts w:ascii="Symbol" w:hAnsi="Symbol" w:hint="default"/>
      </w:rPr>
    </w:lvl>
    <w:lvl w:ilvl="4" w:tplc="04090003" w:tentative="1">
      <w:start w:val="1"/>
      <w:numFmt w:val="bullet"/>
      <w:lvlText w:val="o"/>
      <w:lvlJc w:val="left"/>
      <w:pPr>
        <w:ind w:left="3707" w:hanging="360"/>
      </w:pPr>
      <w:rPr>
        <w:rFonts w:ascii="Courier New" w:hAnsi="Courier New" w:cs="Courier New" w:hint="default"/>
      </w:rPr>
    </w:lvl>
    <w:lvl w:ilvl="5" w:tplc="04090005" w:tentative="1">
      <w:start w:val="1"/>
      <w:numFmt w:val="bullet"/>
      <w:lvlText w:val=""/>
      <w:lvlJc w:val="left"/>
      <w:pPr>
        <w:ind w:left="4427" w:hanging="360"/>
      </w:pPr>
      <w:rPr>
        <w:rFonts w:ascii="Wingdings" w:hAnsi="Wingdings" w:hint="default"/>
      </w:rPr>
    </w:lvl>
    <w:lvl w:ilvl="6" w:tplc="04090001" w:tentative="1">
      <w:start w:val="1"/>
      <w:numFmt w:val="bullet"/>
      <w:lvlText w:val=""/>
      <w:lvlJc w:val="left"/>
      <w:pPr>
        <w:ind w:left="5147" w:hanging="360"/>
      </w:pPr>
      <w:rPr>
        <w:rFonts w:ascii="Symbol" w:hAnsi="Symbol" w:hint="default"/>
      </w:rPr>
    </w:lvl>
    <w:lvl w:ilvl="7" w:tplc="04090003" w:tentative="1">
      <w:start w:val="1"/>
      <w:numFmt w:val="bullet"/>
      <w:lvlText w:val="o"/>
      <w:lvlJc w:val="left"/>
      <w:pPr>
        <w:ind w:left="5867" w:hanging="360"/>
      </w:pPr>
      <w:rPr>
        <w:rFonts w:ascii="Courier New" w:hAnsi="Courier New" w:cs="Courier New" w:hint="default"/>
      </w:rPr>
    </w:lvl>
    <w:lvl w:ilvl="8" w:tplc="04090005" w:tentative="1">
      <w:start w:val="1"/>
      <w:numFmt w:val="bullet"/>
      <w:lvlText w:val=""/>
      <w:lvlJc w:val="left"/>
      <w:pPr>
        <w:ind w:left="6587" w:hanging="360"/>
      </w:pPr>
      <w:rPr>
        <w:rFonts w:ascii="Wingdings" w:hAnsi="Wingdings" w:hint="default"/>
      </w:rPr>
    </w:lvl>
  </w:abstractNum>
  <w:abstractNum w:abstractNumId="55" w15:restartNumberingAfterBreak="0">
    <w:nsid w:val="2B1172DB"/>
    <w:multiLevelType w:val="hybridMultilevel"/>
    <w:tmpl w:val="2EEC5912"/>
    <w:lvl w:ilvl="0" w:tplc="04090001">
      <w:start w:val="1"/>
      <w:numFmt w:val="bullet"/>
      <w:lvlText w:val=""/>
      <w:lvlJc w:val="left"/>
      <w:pPr>
        <w:ind w:left="810" w:hanging="360"/>
      </w:pPr>
      <w:rPr>
        <w:rFonts w:ascii="Symbol" w:hAnsi="Symbol" w:hint="default"/>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56" w15:restartNumberingAfterBreak="0">
    <w:nsid w:val="2BF21B4A"/>
    <w:multiLevelType w:val="hybridMultilevel"/>
    <w:tmpl w:val="15DE549A"/>
    <w:lvl w:ilvl="0" w:tplc="0409000F">
      <w:start w:val="1"/>
      <w:numFmt w:val="decimal"/>
      <w:lvlText w:val="%1."/>
      <w:lvlJc w:val="left"/>
      <w:pPr>
        <w:ind w:left="810" w:hanging="360"/>
      </w:p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57" w15:restartNumberingAfterBreak="0">
    <w:nsid w:val="2C433031"/>
    <w:multiLevelType w:val="hybridMultilevel"/>
    <w:tmpl w:val="F4F057D8"/>
    <w:lvl w:ilvl="0" w:tplc="04090001">
      <w:start w:val="1"/>
      <w:numFmt w:val="bullet"/>
      <w:lvlText w:val=""/>
      <w:lvlJc w:val="left"/>
      <w:pPr>
        <w:ind w:left="810" w:hanging="360"/>
      </w:pPr>
      <w:rPr>
        <w:rFonts w:ascii="Symbol" w:hAnsi="Symbol" w:hint="default"/>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58" w15:restartNumberingAfterBreak="0">
    <w:nsid w:val="2C8F35A9"/>
    <w:multiLevelType w:val="hybridMultilevel"/>
    <w:tmpl w:val="15FA86EC"/>
    <w:lvl w:ilvl="0" w:tplc="04090001">
      <w:start w:val="1"/>
      <w:numFmt w:val="bullet"/>
      <w:lvlText w:val=""/>
      <w:lvlJc w:val="left"/>
      <w:pPr>
        <w:ind w:left="810" w:hanging="360"/>
      </w:pPr>
      <w:rPr>
        <w:rFonts w:ascii="Symbol" w:hAnsi="Symbol" w:hint="default"/>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59" w15:restartNumberingAfterBreak="0">
    <w:nsid w:val="2CA903BC"/>
    <w:multiLevelType w:val="hybridMultilevel"/>
    <w:tmpl w:val="A586B9D6"/>
    <w:lvl w:ilvl="0" w:tplc="04090001">
      <w:start w:val="1"/>
      <w:numFmt w:val="bullet"/>
      <w:lvlText w:val=""/>
      <w:lvlJc w:val="left"/>
      <w:pPr>
        <w:ind w:left="810" w:hanging="360"/>
      </w:pPr>
      <w:rPr>
        <w:rFonts w:ascii="Symbol" w:hAnsi="Symbol" w:hint="default"/>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60" w15:restartNumberingAfterBreak="0">
    <w:nsid w:val="2E302803"/>
    <w:multiLevelType w:val="hybridMultilevel"/>
    <w:tmpl w:val="532AE7CE"/>
    <w:lvl w:ilvl="0" w:tplc="04090001">
      <w:start w:val="1"/>
      <w:numFmt w:val="bullet"/>
      <w:lvlText w:val=""/>
      <w:lvlJc w:val="left"/>
      <w:pPr>
        <w:ind w:left="827" w:hanging="360"/>
      </w:pPr>
      <w:rPr>
        <w:rFonts w:ascii="Symbol" w:hAnsi="Symbol" w:hint="default"/>
      </w:rPr>
    </w:lvl>
    <w:lvl w:ilvl="1" w:tplc="04090003" w:tentative="1">
      <w:start w:val="1"/>
      <w:numFmt w:val="bullet"/>
      <w:lvlText w:val="o"/>
      <w:lvlJc w:val="left"/>
      <w:pPr>
        <w:ind w:left="1547" w:hanging="360"/>
      </w:pPr>
      <w:rPr>
        <w:rFonts w:ascii="Courier New" w:hAnsi="Courier New" w:cs="Courier New" w:hint="default"/>
      </w:rPr>
    </w:lvl>
    <w:lvl w:ilvl="2" w:tplc="04090005" w:tentative="1">
      <w:start w:val="1"/>
      <w:numFmt w:val="bullet"/>
      <w:lvlText w:val=""/>
      <w:lvlJc w:val="left"/>
      <w:pPr>
        <w:ind w:left="2267" w:hanging="360"/>
      </w:pPr>
      <w:rPr>
        <w:rFonts w:ascii="Wingdings" w:hAnsi="Wingdings" w:hint="default"/>
      </w:rPr>
    </w:lvl>
    <w:lvl w:ilvl="3" w:tplc="04090001" w:tentative="1">
      <w:start w:val="1"/>
      <w:numFmt w:val="bullet"/>
      <w:lvlText w:val=""/>
      <w:lvlJc w:val="left"/>
      <w:pPr>
        <w:ind w:left="2987" w:hanging="360"/>
      </w:pPr>
      <w:rPr>
        <w:rFonts w:ascii="Symbol" w:hAnsi="Symbol" w:hint="default"/>
      </w:rPr>
    </w:lvl>
    <w:lvl w:ilvl="4" w:tplc="04090003" w:tentative="1">
      <w:start w:val="1"/>
      <w:numFmt w:val="bullet"/>
      <w:lvlText w:val="o"/>
      <w:lvlJc w:val="left"/>
      <w:pPr>
        <w:ind w:left="3707" w:hanging="360"/>
      </w:pPr>
      <w:rPr>
        <w:rFonts w:ascii="Courier New" w:hAnsi="Courier New" w:cs="Courier New" w:hint="default"/>
      </w:rPr>
    </w:lvl>
    <w:lvl w:ilvl="5" w:tplc="04090005" w:tentative="1">
      <w:start w:val="1"/>
      <w:numFmt w:val="bullet"/>
      <w:lvlText w:val=""/>
      <w:lvlJc w:val="left"/>
      <w:pPr>
        <w:ind w:left="4427" w:hanging="360"/>
      </w:pPr>
      <w:rPr>
        <w:rFonts w:ascii="Wingdings" w:hAnsi="Wingdings" w:hint="default"/>
      </w:rPr>
    </w:lvl>
    <w:lvl w:ilvl="6" w:tplc="04090001" w:tentative="1">
      <w:start w:val="1"/>
      <w:numFmt w:val="bullet"/>
      <w:lvlText w:val=""/>
      <w:lvlJc w:val="left"/>
      <w:pPr>
        <w:ind w:left="5147" w:hanging="360"/>
      </w:pPr>
      <w:rPr>
        <w:rFonts w:ascii="Symbol" w:hAnsi="Symbol" w:hint="default"/>
      </w:rPr>
    </w:lvl>
    <w:lvl w:ilvl="7" w:tplc="04090003" w:tentative="1">
      <w:start w:val="1"/>
      <w:numFmt w:val="bullet"/>
      <w:lvlText w:val="o"/>
      <w:lvlJc w:val="left"/>
      <w:pPr>
        <w:ind w:left="5867" w:hanging="360"/>
      </w:pPr>
      <w:rPr>
        <w:rFonts w:ascii="Courier New" w:hAnsi="Courier New" w:cs="Courier New" w:hint="default"/>
      </w:rPr>
    </w:lvl>
    <w:lvl w:ilvl="8" w:tplc="04090005" w:tentative="1">
      <w:start w:val="1"/>
      <w:numFmt w:val="bullet"/>
      <w:lvlText w:val=""/>
      <w:lvlJc w:val="left"/>
      <w:pPr>
        <w:ind w:left="6587" w:hanging="360"/>
      </w:pPr>
      <w:rPr>
        <w:rFonts w:ascii="Wingdings" w:hAnsi="Wingdings" w:hint="default"/>
      </w:rPr>
    </w:lvl>
  </w:abstractNum>
  <w:abstractNum w:abstractNumId="61" w15:restartNumberingAfterBreak="0">
    <w:nsid w:val="2E442841"/>
    <w:multiLevelType w:val="hybridMultilevel"/>
    <w:tmpl w:val="7ACA3D94"/>
    <w:lvl w:ilvl="0" w:tplc="04090001">
      <w:start w:val="1"/>
      <w:numFmt w:val="bullet"/>
      <w:lvlText w:val=""/>
      <w:lvlJc w:val="left"/>
      <w:pPr>
        <w:ind w:left="744" w:hanging="180"/>
      </w:pPr>
      <w:rPr>
        <w:rFonts w:ascii="Symbol" w:hAnsi="Symbol" w:hint="default"/>
        <w:color w:val="231F20"/>
        <w:w w:val="71"/>
        <w:sz w:val="20"/>
      </w:rPr>
    </w:lvl>
    <w:lvl w:ilvl="1" w:tplc="04090003" w:tentative="1">
      <w:start w:val="1"/>
      <w:numFmt w:val="bullet"/>
      <w:lvlText w:val="o"/>
      <w:lvlJc w:val="left"/>
      <w:pPr>
        <w:ind w:left="1547" w:hanging="360"/>
      </w:pPr>
      <w:rPr>
        <w:rFonts w:ascii="Courier New" w:hAnsi="Courier New" w:cs="Courier New" w:hint="default"/>
      </w:rPr>
    </w:lvl>
    <w:lvl w:ilvl="2" w:tplc="04090005" w:tentative="1">
      <w:start w:val="1"/>
      <w:numFmt w:val="bullet"/>
      <w:lvlText w:val=""/>
      <w:lvlJc w:val="left"/>
      <w:pPr>
        <w:ind w:left="2267" w:hanging="360"/>
      </w:pPr>
      <w:rPr>
        <w:rFonts w:ascii="Wingdings" w:hAnsi="Wingdings" w:hint="default"/>
      </w:rPr>
    </w:lvl>
    <w:lvl w:ilvl="3" w:tplc="04090001" w:tentative="1">
      <w:start w:val="1"/>
      <w:numFmt w:val="bullet"/>
      <w:lvlText w:val=""/>
      <w:lvlJc w:val="left"/>
      <w:pPr>
        <w:ind w:left="2987" w:hanging="360"/>
      </w:pPr>
      <w:rPr>
        <w:rFonts w:ascii="Symbol" w:hAnsi="Symbol" w:hint="default"/>
      </w:rPr>
    </w:lvl>
    <w:lvl w:ilvl="4" w:tplc="04090003" w:tentative="1">
      <w:start w:val="1"/>
      <w:numFmt w:val="bullet"/>
      <w:lvlText w:val="o"/>
      <w:lvlJc w:val="left"/>
      <w:pPr>
        <w:ind w:left="3707" w:hanging="360"/>
      </w:pPr>
      <w:rPr>
        <w:rFonts w:ascii="Courier New" w:hAnsi="Courier New" w:cs="Courier New" w:hint="default"/>
      </w:rPr>
    </w:lvl>
    <w:lvl w:ilvl="5" w:tplc="04090005" w:tentative="1">
      <w:start w:val="1"/>
      <w:numFmt w:val="bullet"/>
      <w:lvlText w:val=""/>
      <w:lvlJc w:val="left"/>
      <w:pPr>
        <w:ind w:left="4427" w:hanging="360"/>
      </w:pPr>
      <w:rPr>
        <w:rFonts w:ascii="Wingdings" w:hAnsi="Wingdings" w:hint="default"/>
      </w:rPr>
    </w:lvl>
    <w:lvl w:ilvl="6" w:tplc="04090001" w:tentative="1">
      <w:start w:val="1"/>
      <w:numFmt w:val="bullet"/>
      <w:lvlText w:val=""/>
      <w:lvlJc w:val="left"/>
      <w:pPr>
        <w:ind w:left="5147" w:hanging="360"/>
      </w:pPr>
      <w:rPr>
        <w:rFonts w:ascii="Symbol" w:hAnsi="Symbol" w:hint="default"/>
      </w:rPr>
    </w:lvl>
    <w:lvl w:ilvl="7" w:tplc="04090003" w:tentative="1">
      <w:start w:val="1"/>
      <w:numFmt w:val="bullet"/>
      <w:lvlText w:val="o"/>
      <w:lvlJc w:val="left"/>
      <w:pPr>
        <w:ind w:left="5867" w:hanging="360"/>
      </w:pPr>
      <w:rPr>
        <w:rFonts w:ascii="Courier New" w:hAnsi="Courier New" w:cs="Courier New" w:hint="default"/>
      </w:rPr>
    </w:lvl>
    <w:lvl w:ilvl="8" w:tplc="04090005" w:tentative="1">
      <w:start w:val="1"/>
      <w:numFmt w:val="bullet"/>
      <w:lvlText w:val=""/>
      <w:lvlJc w:val="left"/>
      <w:pPr>
        <w:ind w:left="6587" w:hanging="360"/>
      </w:pPr>
      <w:rPr>
        <w:rFonts w:ascii="Wingdings" w:hAnsi="Wingdings" w:hint="default"/>
      </w:rPr>
    </w:lvl>
  </w:abstractNum>
  <w:abstractNum w:abstractNumId="62" w15:restartNumberingAfterBreak="0">
    <w:nsid w:val="2E8D07A4"/>
    <w:multiLevelType w:val="hybridMultilevel"/>
    <w:tmpl w:val="95F69556"/>
    <w:lvl w:ilvl="0" w:tplc="04090001">
      <w:start w:val="1"/>
      <w:numFmt w:val="bullet"/>
      <w:lvlText w:val=""/>
      <w:lvlJc w:val="left"/>
      <w:pPr>
        <w:ind w:left="827" w:hanging="360"/>
      </w:pPr>
      <w:rPr>
        <w:rFonts w:ascii="Symbol" w:hAnsi="Symbol" w:hint="default"/>
      </w:rPr>
    </w:lvl>
    <w:lvl w:ilvl="1" w:tplc="04090003" w:tentative="1">
      <w:start w:val="1"/>
      <w:numFmt w:val="bullet"/>
      <w:lvlText w:val="o"/>
      <w:lvlJc w:val="left"/>
      <w:pPr>
        <w:ind w:left="1547" w:hanging="360"/>
      </w:pPr>
      <w:rPr>
        <w:rFonts w:ascii="Courier New" w:hAnsi="Courier New" w:cs="Courier New" w:hint="default"/>
      </w:rPr>
    </w:lvl>
    <w:lvl w:ilvl="2" w:tplc="04090005" w:tentative="1">
      <w:start w:val="1"/>
      <w:numFmt w:val="bullet"/>
      <w:lvlText w:val=""/>
      <w:lvlJc w:val="left"/>
      <w:pPr>
        <w:ind w:left="2267" w:hanging="360"/>
      </w:pPr>
      <w:rPr>
        <w:rFonts w:ascii="Wingdings" w:hAnsi="Wingdings" w:hint="default"/>
      </w:rPr>
    </w:lvl>
    <w:lvl w:ilvl="3" w:tplc="04090001" w:tentative="1">
      <w:start w:val="1"/>
      <w:numFmt w:val="bullet"/>
      <w:lvlText w:val=""/>
      <w:lvlJc w:val="left"/>
      <w:pPr>
        <w:ind w:left="2987" w:hanging="360"/>
      </w:pPr>
      <w:rPr>
        <w:rFonts w:ascii="Symbol" w:hAnsi="Symbol" w:hint="default"/>
      </w:rPr>
    </w:lvl>
    <w:lvl w:ilvl="4" w:tplc="04090003" w:tentative="1">
      <w:start w:val="1"/>
      <w:numFmt w:val="bullet"/>
      <w:lvlText w:val="o"/>
      <w:lvlJc w:val="left"/>
      <w:pPr>
        <w:ind w:left="3707" w:hanging="360"/>
      </w:pPr>
      <w:rPr>
        <w:rFonts w:ascii="Courier New" w:hAnsi="Courier New" w:cs="Courier New" w:hint="default"/>
      </w:rPr>
    </w:lvl>
    <w:lvl w:ilvl="5" w:tplc="04090005" w:tentative="1">
      <w:start w:val="1"/>
      <w:numFmt w:val="bullet"/>
      <w:lvlText w:val=""/>
      <w:lvlJc w:val="left"/>
      <w:pPr>
        <w:ind w:left="4427" w:hanging="360"/>
      </w:pPr>
      <w:rPr>
        <w:rFonts w:ascii="Wingdings" w:hAnsi="Wingdings" w:hint="default"/>
      </w:rPr>
    </w:lvl>
    <w:lvl w:ilvl="6" w:tplc="04090001" w:tentative="1">
      <w:start w:val="1"/>
      <w:numFmt w:val="bullet"/>
      <w:lvlText w:val=""/>
      <w:lvlJc w:val="left"/>
      <w:pPr>
        <w:ind w:left="5147" w:hanging="360"/>
      </w:pPr>
      <w:rPr>
        <w:rFonts w:ascii="Symbol" w:hAnsi="Symbol" w:hint="default"/>
      </w:rPr>
    </w:lvl>
    <w:lvl w:ilvl="7" w:tplc="04090003" w:tentative="1">
      <w:start w:val="1"/>
      <w:numFmt w:val="bullet"/>
      <w:lvlText w:val="o"/>
      <w:lvlJc w:val="left"/>
      <w:pPr>
        <w:ind w:left="5867" w:hanging="360"/>
      </w:pPr>
      <w:rPr>
        <w:rFonts w:ascii="Courier New" w:hAnsi="Courier New" w:cs="Courier New" w:hint="default"/>
      </w:rPr>
    </w:lvl>
    <w:lvl w:ilvl="8" w:tplc="04090005" w:tentative="1">
      <w:start w:val="1"/>
      <w:numFmt w:val="bullet"/>
      <w:lvlText w:val=""/>
      <w:lvlJc w:val="left"/>
      <w:pPr>
        <w:ind w:left="6587" w:hanging="360"/>
      </w:pPr>
      <w:rPr>
        <w:rFonts w:ascii="Wingdings" w:hAnsi="Wingdings" w:hint="default"/>
      </w:rPr>
    </w:lvl>
  </w:abstractNum>
  <w:abstractNum w:abstractNumId="63" w15:restartNumberingAfterBreak="0">
    <w:nsid w:val="2F23154C"/>
    <w:multiLevelType w:val="hybridMultilevel"/>
    <w:tmpl w:val="52AE699C"/>
    <w:lvl w:ilvl="0" w:tplc="04090001">
      <w:start w:val="1"/>
      <w:numFmt w:val="bullet"/>
      <w:lvlText w:val=""/>
      <w:lvlJc w:val="left"/>
      <w:pPr>
        <w:ind w:left="810" w:hanging="360"/>
      </w:pPr>
      <w:rPr>
        <w:rFonts w:ascii="Symbol" w:hAnsi="Symbol" w:hint="default"/>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64" w15:restartNumberingAfterBreak="0">
    <w:nsid w:val="2F7566A0"/>
    <w:multiLevelType w:val="hybridMultilevel"/>
    <w:tmpl w:val="CC9CFF0A"/>
    <w:lvl w:ilvl="0" w:tplc="0409000F">
      <w:start w:val="1"/>
      <w:numFmt w:val="decimal"/>
      <w:lvlText w:val="%1."/>
      <w:lvlJc w:val="left"/>
      <w:pPr>
        <w:ind w:left="792" w:hanging="360"/>
      </w:pPr>
    </w:lvl>
    <w:lvl w:ilvl="1" w:tplc="04090019" w:tentative="1">
      <w:start w:val="1"/>
      <w:numFmt w:val="lowerLetter"/>
      <w:lvlText w:val="%2."/>
      <w:lvlJc w:val="left"/>
      <w:pPr>
        <w:ind w:left="1512" w:hanging="360"/>
      </w:pPr>
    </w:lvl>
    <w:lvl w:ilvl="2" w:tplc="0409001B" w:tentative="1">
      <w:start w:val="1"/>
      <w:numFmt w:val="lowerRoman"/>
      <w:lvlText w:val="%3."/>
      <w:lvlJc w:val="right"/>
      <w:pPr>
        <w:ind w:left="2232" w:hanging="180"/>
      </w:pPr>
    </w:lvl>
    <w:lvl w:ilvl="3" w:tplc="0409000F" w:tentative="1">
      <w:start w:val="1"/>
      <w:numFmt w:val="decimal"/>
      <w:lvlText w:val="%4."/>
      <w:lvlJc w:val="left"/>
      <w:pPr>
        <w:ind w:left="2952" w:hanging="360"/>
      </w:pPr>
    </w:lvl>
    <w:lvl w:ilvl="4" w:tplc="04090019" w:tentative="1">
      <w:start w:val="1"/>
      <w:numFmt w:val="lowerLetter"/>
      <w:lvlText w:val="%5."/>
      <w:lvlJc w:val="left"/>
      <w:pPr>
        <w:ind w:left="3672" w:hanging="360"/>
      </w:pPr>
    </w:lvl>
    <w:lvl w:ilvl="5" w:tplc="0409001B" w:tentative="1">
      <w:start w:val="1"/>
      <w:numFmt w:val="lowerRoman"/>
      <w:lvlText w:val="%6."/>
      <w:lvlJc w:val="right"/>
      <w:pPr>
        <w:ind w:left="4392" w:hanging="180"/>
      </w:pPr>
    </w:lvl>
    <w:lvl w:ilvl="6" w:tplc="0409000F" w:tentative="1">
      <w:start w:val="1"/>
      <w:numFmt w:val="decimal"/>
      <w:lvlText w:val="%7."/>
      <w:lvlJc w:val="left"/>
      <w:pPr>
        <w:ind w:left="5112" w:hanging="360"/>
      </w:pPr>
    </w:lvl>
    <w:lvl w:ilvl="7" w:tplc="04090019" w:tentative="1">
      <w:start w:val="1"/>
      <w:numFmt w:val="lowerLetter"/>
      <w:lvlText w:val="%8."/>
      <w:lvlJc w:val="left"/>
      <w:pPr>
        <w:ind w:left="5832" w:hanging="360"/>
      </w:pPr>
    </w:lvl>
    <w:lvl w:ilvl="8" w:tplc="0409001B" w:tentative="1">
      <w:start w:val="1"/>
      <w:numFmt w:val="lowerRoman"/>
      <w:lvlText w:val="%9."/>
      <w:lvlJc w:val="right"/>
      <w:pPr>
        <w:ind w:left="6552" w:hanging="180"/>
      </w:pPr>
    </w:lvl>
  </w:abstractNum>
  <w:abstractNum w:abstractNumId="65" w15:restartNumberingAfterBreak="0">
    <w:nsid w:val="2FAE7122"/>
    <w:multiLevelType w:val="hybridMultilevel"/>
    <w:tmpl w:val="F0FA418E"/>
    <w:lvl w:ilvl="0" w:tplc="5014617A">
      <w:start w:val="1"/>
      <w:numFmt w:val="upperRoman"/>
      <w:lvlText w:val="%1."/>
      <w:lvlJc w:val="left"/>
      <w:pPr>
        <w:ind w:left="249" w:hanging="142"/>
      </w:pPr>
      <w:rPr>
        <w:rFonts w:ascii="Calibri" w:eastAsia="Times New Roman" w:hAnsi="Calibri" w:cs="Times New Roman" w:hint="default"/>
        <w:b/>
        <w:bCs/>
        <w:color w:val="295CA3"/>
        <w:w w:val="99"/>
        <w:sz w:val="18"/>
        <w:szCs w:val="18"/>
      </w:rPr>
    </w:lvl>
    <w:lvl w:ilvl="1" w:tplc="E3F6E61E">
      <w:start w:val="1"/>
      <w:numFmt w:val="lowerLetter"/>
      <w:lvlText w:val="(%2)"/>
      <w:lvlJc w:val="left"/>
      <w:pPr>
        <w:ind w:left="708" w:hanging="330"/>
      </w:pPr>
      <w:rPr>
        <w:rFonts w:ascii="Calibri" w:eastAsia="Times New Roman" w:hAnsi="Calibri" w:cs="Times New Roman" w:hint="default"/>
        <w:color w:val="295CA3"/>
        <w:w w:val="94"/>
        <w:sz w:val="18"/>
        <w:szCs w:val="18"/>
      </w:rPr>
    </w:lvl>
    <w:lvl w:ilvl="2" w:tplc="9842BEEC">
      <w:start w:val="1"/>
      <w:numFmt w:val="bullet"/>
      <w:lvlText w:val="•"/>
      <w:lvlJc w:val="left"/>
      <w:pPr>
        <w:ind w:left="1782" w:hanging="330"/>
      </w:pPr>
      <w:rPr>
        <w:rFonts w:hint="default"/>
      </w:rPr>
    </w:lvl>
    <w:lvl w:ilvl="3" w:tplc="DD2A3FD8">
      <w:start w:val="1"/>
      <w:numFmt w:val="bullet"/>
      <w:lvlText w:val="•"/>
      <w:lvlJc w:val="left"/>
      <w:pPr>
        <w:ind w:left="2864" w:hanging="330"/>
      </w:pPr>
      <w:rPr>
        <w:rFonts w:hint="default"/>
      </w:rPr>
    </w:lvl>
    <w:lvl w:ilvl="4" w:tplc="C1C65944">
      <w:start w:val="1"/>
      <w:numFmt w:val="bullet"/>
      <w:lvlText w:val="•"/>
      <w:lvlJc w:val="left"/>
      <w:pPr>
        <w:ind w:left="3946" w:hanging="330"/>
      </w:pPr>
      <w:rPr>
        <w:rFonts w:hint="default"/>
      </w:rPr>
    </w:lvl>
    <w:lvl w:ilvl="5" w:tplc="21CAC130">
      <w:start w:val="1"/>
      <w:numFmt w:val="bullet"/>
      <w:lvlText w:val="•"/>
      <w:lvlJc w:val="left"/>
      <w:pPr>
        <w:ind w:left="5028" w:hanging="330"/>
      </w:pPr>
      <w:rPr>
        <w:rFonts w:hint="default"/>
      </w:rPr>
    </w:lvl>
    <w:lvl w:ilvl="6" w:tplc="C48CE642">
      <w:start w:val="1"/>
      <w:numFmt w:val="bullet"/>
      <w:lvlText w:val="•"/>
      <w:lvlJc w:val="left"/>
      <w:pPr>
        <w:ind w:left="6111" w:hanging="330"/>
      </w:pPr>
      <w:rPr>
        <w:rFonts w:hint="default"/>
      </w:rPr>
    </w:lvl>
    <w:lvl w:ilvl="7" w:tplc="1188E2AA">
      <w:start w:val="1"/>
      <w:numFmt w:val="bullet"/>
      <w:lvlText w:val="•"/>
      <w:lvlJc w:val="left"/>
      <w:pPr>
        <w:ind w:left="7193" w:hanging="330"/>
      </w:pPr>
      <w:rPr>
        <w:rFonts w:hint="default"/>
      </w:rPr>
    </w:lvl>
    <w:lvl w:ilvl="8" w:tplc="12BC1CD8">
      <w:start w:val="1"/>
      <w:numFmt w:val="bullet"/>
      <w:lvlText w:val="•"/>
      <w:lvlJc w:val="left"/>
      <w:pPr>
        <w:ind w:left="8275" w:hanging="330"/>
      </w:pPr>
      <w:rPr>
        <w:rFonts w:hint="default"/>
      </w:rPr>
    </w:lvl>
  </w:abstractNum>
  <w:abstractNum w:abstractNumId="66" w15:restartNumberingAfterBreak="0">
    <w:nsid w:val="2FD7754C"/>
    <w:multiLevelType w:val="hybridMultilevel"/>
    <w:tmpl w:val="2BB4EB36"/>
    <w:lvl w:ilvl="0" w:tplc="3E12B83A">
      <w:start w:val="1"/>
      <w:numFmt w:val="upperRoman"/>
      <w:lvlText w:val="%1."/>
      <w:lvlJc w:val="left"/>
      <w:pPr>
        <w:ind w:left="108" w:hanging="287"/>
      </w:pPr>
      <w:rPr>
        <w:rFonts w:ascii="Calibri" w:eastAsia="Times New Roman" w:hAnsi="Calibri" w:cs="Times New Roman" w:hint="default"/>
        <w:b/>
        <w:bCs/>
        <w:i w:val="0"/>
        <w:color w:val="295CA3"/>
        <w:spacing w:val="3"/>
        <w:w w:val="102"/>
        <w:sz w:val="36"/>
        <w:szCs w:val="36"/>
      </w:rPr>
    </w:lvl>
    <w:lvl w:ilvl="1" w:tplc="FB2A3B92">
      <w:start w:val="1"/>
      <w:numFmt w:val="bullet"/>
      <w:lvlText w:val="•"/>
      <w:lvlJc w:val="left"/>
      <w:pPr>
        <w:ind w:left="668" w:hanging="180"/>
      </w:pPr>
      <w:rPr>
        <w:rFonts w:hint="default"/>
        <w:color w:val="231F20"/>
        <w:w w:val="71"/>
        <w:sz w:val="22"/>
      </w:rPr>
    </w:lvl>
    <w:lvl w:ilvl="2" w:tplc="1BB40718">
      <w:start w:val="1"/>
      <w:numFmt w:val="bullet"/>
      <w:lvlText w:val="•"/>
      <w:lvlJc w:val="left"/>
      <w:pPr>
        <w:ind w:left="2308" w:hanging="180"/>
      </w:pPr>
      <w:rPr>
        <w:rFonts w:ascii="Calibri" w:eastAsia="Times New Roman" w:hAnsi="Calibri" w:hint="default"/>
        <w:color w:val="231F20"/>
        <w:w w:val="71"/>
        <w:sz w:val="22"/>
      </w:rPr>
    </w:lvl>
    <w:lvl w:ilvl="3" w:tplc="9E12C238">
      <w:start w:val="1"/>
      <w:numFmt w:val="bullet"/>
      <w:lvlText w:val="•"/>
      <w:lvlJc w:val="left"/>
      <w:pPr>
        <w:ind w:left="2300" w:hanging="180"/>
      </w:pPr>
      <w:rPr>
        <w:rFonts w:hint="default"/>
      </w:rPr>
    </w:lvl>
    <w:lvl w:ilvl="4" w:tplc="6846BCEA">
      <w:start w:val="1"/>
      <w:numFmt w:val="bullet"/>
      <w:lvlText w:val="•"/>
      <w:lvlJc w:val="left"/>
      <w:pPr>
        <w:ind w:left="3462" w:hanging="180"/>
      </w:pPr>
      <w:rPr>
        <w:rFonts w:hint="default"/>
      </w:rPr>
    </w:lvl>
    <w:lvl w:ilvl="5" w:tplc="F9B08D7C">
      <w:start w:val="1"/>
      <w:numFmt w:val="bullet"/>
      <w:lvlText w:val="•"/>
      <w:lvlJc w:val="left"/>
      <w:pPr>
        <w:ind w:left="4625" w:hanging="180"/>
      </w:pPr>
      <w:rPr>
        <w:rFonts w:hint="default"/>
      </w:rPr>
    </w:lvl>
    <w:lvl w:ilvl="6" w:tplc="62E2D77C">
      <w:start w:val="1"/>
      <w:numFmt w:val="bullet"/>
      <w:lvlText w:val="•"/>
      <w:lvlJc w:val="left"/>
      <w:pPr>
        <w:ind w:left="5788" w:hanging="180"/>
      </w:pPr>
      <w:rPr>
        <w:rFonts w:hint="default"/>
      </w:rPr>
    </w:lvl>
    <w:lvl w:ilvl="7" w:tplc="6D8CF2D2">
      <w:start w:val="1"/>
      <w:numFmt w:val="bullet"/>
      <w:lvlText w:val="•"/>
      <w:lvlJc w:val="left"/>
      <w:pPr>
        <w:ind w:left="6951" w:hanging="180"/>
      </w:pPr>
      <w:rPr>
        <w:rFonts w:hint="default"/>
      </w:rPr>
    </w:lvl>
    <w:lvl w:ilvl="8" w:tplc="1C460154">
      <w:start w:val="1"/>
      <w:numFmt w:val="bullet"/>
      <w:lvlText w:val="•"/>
      <w:lvlJc w:val="left"/>
      <w:pPr>
        <w:ind w:left="8114" w:hanging="180"/>
      </w:pPr>
      <w:rPr>
        <w:rFonts w:hint="default"/>
      </w:rPr>
    </w:lvl>
  </w:abstractNum>
  <w:abstractNum w:abstractNumId="67" w15:restartNumberingAfterBreak="0">
    <w:nsid w:val="2FDF4434"/>
    <w:multiLevelType w:val="hybridMultilevel"/>
    <w:tmpl w:val="7468214A"/>
    <w:lvl w:ilvl="0" w:tplc="04090001">
      <w:start w:val="1"/>
      <w:numFmt w:val="bullet"/>
      <w:lvlText w:val=""/>
      <w:lvlJc w:val="left"/>
      <w:pPr>
        <w:ind w:left="810" w:hanging="360"/>
      </w:pPr>
      <w:rPr>
        <w:rFonts w:ascii="Symbol" w:hAnsi="Symbol" w:hint="default"/>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68" w15:restartNumberingAfterBreak="0">
    <w:nsid w:val="300F7775"/>
    <w:multiLevelType w:val="hybridMultilevel"/>
    <w:tmpl w:val="92F6930E"/>
    <w:lvl w:ilvl="0" w:tplc="04090001">
      <w:start w:val="1"/>
      <w:numFmt w:val="bullet"/>
      <w:lvlText w:val=""/>
      <w:lvlJc w:val="left"/>
      <w:pPr>
        <w:ind w:left="810" w:hanging="360"/>
      </w:pPr>
      <w:rPr>
        <w:rFonts w:ascii="Symbol" w:hAnsi="Symbol" w:hint="default"/>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69" w15:restartNumberingAfterBreak="0">
    <w:nsid w:val="31C63688"/>
    <w:multiLevelType w:val="hybridMultilevel"/>
    <w:tmpl w:val="F522DC58"/>
    <w:lvl w:ilvl="0" w:tplc="04090001">
      <w:start w:val="1"/>
      <w:numFmt w:val="bullet"/>
      <w:lvlText w:val=""/>
      <w:lvlJc w:val="left"/>
      <w:pPr>
        <w:ind w:left="827" w:hanging="360"/>
      </w:pPr>
      <w:rPr>
        <w:rFonts w:ascii="Symbol" w:hAnsi="Symbol" w:hint="default"/>
      </w:rPr>
    </w:lvl>
    <w:lvl w:ilvl="1" w:tplc="04090003" w:tentative="1">
      <w:start w:val="1"/>
      <w:numFmt w:val="bullet"/>
      <w:lvlText w:val="o"/>
      <w:lvlJc w:val="left"/>
      <w:pPr>
        <w:ind w:left="1547" w:hanging="360"/>
      </w:pPr>
      <w:rPr>
        <w:rFonts w:ascii="Courier New" w:hAnsi="Courier New" w:cs="Courier New" w:hint="default"/>
      </w:rPr>
    </w:lvl>
    <w:lvl w:ilvl="2" w:tplc="04090005" w:tentative="1">
      <w:start w:val="1"/>
      <w:numFmt w:val="bullet"/>
      <w:lvlText w:val=""/>
      <w:lvlJc w:val="left"/>
      <w:pPr>
        <w:ind w:left="2267" w:hanging="360"/>
      </w:pPr>
      <w:rPr>
        <w:rFonts w:ascii="Wingdings" w:hAnsi="Wingdings" w:hint="default"/>
      </w:rPr>
    </w:lvl>
    <w:lvl w:ilvl="3" w:tplc="04090001" w:tentative="1">
      <w:start w:val="1"/>
      <w:numFmt w:val="bullet"/>
      <w:lvlText w:val=""/>
      <w:lvlJc w:val="left"/>
      <w:pPr>
        <w:ind w:left="2987" w:hanging="360"/>
      </w:pPr>
      <w:rPr>
        <w:rFonts w:ascii="Symbol" w:hAnsi="Symbol" w:hint="default"/>
      </w:rPr>
    </w:lvl>
    <w:lvl w:ilvl="4" w:tplc="04090003" w:tentative="1">
      <w:start w:val="1"/>
      <w:numFmt w:val="bullet"/>
      <w:lvlText w:val="o"/>
      <w:lvlJc w:val="left"/>
      <w:pPr>
        <w:ind w:left="3707" w:hanging="360"/>
      </w:pPr>
      <w:rPr>
        <w:rFonts w:ascii="Courier New" w:hAnsi="Courier New" w:cs="Courier New" w:hint="default"/>
      </w:rPr>
    </w:lvl>
    <w:lvl w:ilvl="5" w:tplc="04090005" w:tentative="1">
      <w:start w:val="1"/>
      <w:numFmt w:val="bullet"/>
      <w:lvlText w:val=""/>
      <w:lvlJc w:val="left"/>
      <w:pPr>
        <w:ind w:left="4427" w:hanging="360"/>
      </w:pPr>
      <w:rPr>
        <w:rFonts w:ascii="Wingdings" w:hAnsi="Wingdings" w:hint="default"/>
      </w:rPr>
    </w:lvl>
    <w:lvl w:ilvl="6" w:tplc="04090001" w:tentative="1">
      <w:start w:val="1"/>
      <w:numFmt w:val="bullet"/>
      <w:lvlText w:val=""/>
      <w:lvlJc w:val="left"/>
      <w:pPr>
        <w:ind w:left="5147" w:hanging="360"/>
      </w:pPr>
      <w:rPr>
        <w:rFonts w:ascii="Symbol" w:hAnsi="Symbol" w:hint="default"/>
      </w:rPr>
    </w:lvl>
    <w:lvl w:ilvl="7" w:tplc="04090003" w:tentative="1">
      <w:start w:val="1"/>
      <w:numFmt w:val="bullet"/>
      <w:lvlText w:val="o"/>
      <w:lvlJc w:val="left"/>
      <w:pPr>
        <w:ind w:left="5867" w:hanging="360"/>
      </w:pPr>
      <w:rPr>
        <w:rFonts w:ascii="Courier New" w:hAnsi="Courier New" w:cs="Courier New" w:hint="default"/>
      </w:rPr>
    </w:lvl>
    <w:lvl w:ilvl="8" w:tplc="04090005" w:tentative="1">
      <w:start w:val="1"/>
      <w:numFmt w:val="bullet"/>
      <w:lvlText w:val=""/>
      <w:lvlJc w:val="left"/>
      <w:pPr>
        <w:ind w:left="6587" w:hanging="360"/>
      </w:pPr>
      <w:rPr>
        <w:rFonts w:ascii="Wingdings" w:hAnsi="Wingdings" w:hint="default"/>
      </w:rPr>
    </w:lvl>
  </w:abstractNum>
  <w:abstractNum w:abstractNumId="70" w15:restartNumberingAfterBreak="0">
    <w:nsid w:val="32576321"/>
    <w:multiLevelType w:val="hybridMultilevel"/>
    <w:tmpl w:val="567408BE"/>
    <w:lvl w:ilvl="0" w:tplc="04090001">
      <w:start w:val="1"/>
      <w:numFmt w:val="bullet"/>
      <w:lvlText w:val=""/>
      <w:lvlJc w:val="left"/>
      <w:pPr>
        <w:ind w:left="827" w:hanging="360"/>
      </w:pPr>
      <w:rPr>
        <w:rFonts w:ascii="Symbol" w:hAnsi="Symbol" w:hint="default"/>
      </w:rPr>
    </w:lvl>
    <w:lvl w:ilvl="1" w:tplc="04090003" w:tentative="1">
      <w:start w:val="1"/>
      <w:numFmt w:val="bullet"/>
      <w:lvlText w:val="o"/>
      <w:lvlJc w:val="left"/>
      <w:pPr>
        <w:ind w:left="1547" w:hanging="360"/>
      </w:pPr>
      <w:rPr>
        <w:rFonts w:ascii="Courier New" w:hAnsi="Courier New" w:cs="Courier New" w:hint="default"/>
      </w:rPr>
    </w:lvl>
    <w:lvl w:ilvl="2" w:tplc="04090005" w:tentative="1">
      <w:start w:val="1"/>
      <w:numFmt w:val="bullet"/>
      <w:lvlText w:val=""/>
      <w:lvlJc w:val="left"/>
      <w:pPr>
        <w:ind w:left="2267" w:hanging="360"/>
      </w:pPr>
      <w:rPr>
        <w:rFonts w:ascii="Wingdings" w:hAnsi="Wingdings" w:hint="default"/>
      </w:rPr>
    </w:lvl>
    <w:lvl w:ilvl="3" w:tplc="04090001" w:tentative="1">
      <w:start w:val="1"/>
      <w:numFmt w:val="bullet"/>
      <w:lvlText w:val=""/>
      <w:lvlJc w:val="left"/>
      <w:pPr>
        <w:ind w:left="2987" w:hanging="360"/>
      </w:pPr>
      <w:rPr>
        <w:rFonts w:ascii="Symbol" w:hAnsi="Symbol" w:hint="default"/>
      </w:rPr>
    </w:lvl>
    <w:lvl w:ilvl="4" w:tplc="04090003" w:tentative="1">
      <w:start w:val="1"/>
      <w:numFmt w:val="bullet"/>
      <w:lvlText w:val="o"/>
      <w:lvlJc w:val="left"/>
      <w:pPr>
        <w:ind w:left="3707" w:hanging="360"/>
      </w:pPr>
      <w:rPr>
        <w:rFonts w:ascii="Courier New" w:hAnsi="Courier New" w:cs="Courier New" w:hint="default"/>
      </w:rPr>
    </w:lvl>
    <w:lvl w:ilvl="5" w:tplc="04090005" w:tentative="1">
      <w:start w:val="1"/>
      <w:numFmt w:val="bullet"/>
      <w:lvlText w:val=""/>
      <w:lvlJc w:val="left"/>
      <w:pPr>
        <w:ind w:left="4427" w:hanging="360"/>
      </w:pPr>
      <w:rPr>
        <w:rFonts w:ascii="Wingdings" w:hAnsi="Wingdings" w:hint="default"/>
      </w:rPr>
    </w:lvl>
    <w:lvl w:ilvl="6" w:tplc="04090001" w:tentative="1">
      <w:start w:val="1"/>
      <w:numFmt w:val="bullet"/>
      <w:lvlText w:val=""/>
      <w:lvlJc w:val="left"/>
      <w:pPr>
        <w:ind w:left="5147" w:hanging="360"/>
      </w:pPr>
      <w:rPr>
        <w:rFonts w:ascii="Symbol" w:hAnsi="Symbol" w:hint="default"/>
      </w:rPr>
    </w:lvl>
    <w:lvl w:ilvl="7" w:tplc="04090003" w:tentative="1">
      <w:start w:val="1"/>
      <w:numFmt w:val="bullet"/>
      <w:lvlText w:val="o"/>
      <w:lvlJc w:val="left"/>
      <w:pPr>
        <w:ind w:left="5867" w:hanging="360"/>
      </w:pPr>
      <w:rPr>
        <w:rFonts w:ascii="Courier New" w:hAnsi="Courier New" w:cs="Courier New" w:hint="default"/>
      </w:rPr>
    </w:lvl>
    <w:lvl w:ilvl="8" w:tplc="04090005" w:tentative="1">
      <w:start w:val="1"/>
      <w:numFmt w:val="bullet"/>
      <w:lvlText w:val=""/>
      <w:lvlJc w:val="left"/>
      <w:pPr>
        <w:ind w:left="6587" w:hanging="360"/>
      </w:pPr>
      <w:rPr>
        <w:rFonts w:ascii="Wingdings" w:hAnsi="Wingdings" w:hint="default"/>
      </w:rPr>
    </w:lvl>
  </w:abstractNum>
  <w:abstractNum w:abstractNumId="71" w15:restartNumberingAfterBreak="0">
    <w:nsid w:val="34196720"/>
    <w:multiLevelType w:val="hybridMultilevel"/>
    <w:tmpl w:val="E63C0FA4"/>
    <w:lvl w:ilvl="0" w:tplc="0409000F">
      <w:start w:val="1"/>
      <w:numFmt w:val="decimal"/>
      <w:lvlText w:val="%1."/>
      <w:lvlJc w:val="left"/>
      <w:pPr>
        <w:ind w:left="810" w:hanging="360"/>
      </w:p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72" w15:restartNumberingAfterBreak="0">
    <w:nsid w:val="343B70C7"/>
    <w:multiLevelType w:val="hybridMultilevel"/>
    <w:tmpl w:val="B45E02CE"/>
    <w:lvl w:ilvl="0" w:tplc="04090001">
      <w:start w:val="1"/>
      <w:numFmt w:val="bullet"/>
      <w:lvlText w:val=""/>
      <w:lvlJc w:val="left"/>
      <w:pPr>
        <w:ind w:left="827" w:hanging="360"/>
      </w:pPr>
      <w:rPr>
        <w:rFonts w:ascii="Symbol" w:hAnsi="Symbol" w:hint="default"/>
      </w:rPr>
    </w:lvl>
    <w:lvl w:ilvl="1" w:tplc="04090003" w:tentative="1">
      <w:start w:val="1"/>
      <w:numFmt w:val="bullet"/>
      <w:lvlText w:val="o"/>
      <w:lvlJc w:val="left"/>
      <w:pPr>
        <w:ind w:left="1547" w:hanging="360"/>
      </w:pPr>
      <w:rPr>
        <w:rFonts w:ascii="Courier New" w:hAnsi="Courier New" w:cs="Courier New" w:hint="default"/>
      </w:rPr>
    </w:lvl>
    <w:lvl w:ilvl="2" w:tplc="04090005" w:tentative="1">
      <w:start w:val="1"/>
      <w:numFmt w:val="bullet"/>
      <w:lvlText w:val=""/>
      <w:lvlJc w:val="left"/>
      <w:pPr>
        <w:ind w:left="2267" w:hanging="360"/>
      </w:pPr>
      <w:rPr>
        <w:rFonts w:ascii="Wingdings" w:hAnsi="Wingdings" w:hint="default"/>
      </w:rPr>
    </w:lvl>
    <w:lvl w:ilvl="3" w:tplc="04090001" w:tentative="1">
      <w:start w:val="1"/>
      <w:numFmt w:val="bullet"/>
      <w:lvlText w:val=""/>
      <w:lvlJc w:val="left"/>
      <w:pPr>
        <w:ind w:left="2987" w:hanging="360"/>
      </w:pPr>
      <w:rPr>
        <w:rFonts w:ascii="Symbol" w:hAnsi="Symbol" w:hint="default"/>
      </w:rPr>
    </w:lvl>
    <w:lvl w:ilvl="4" w:tplc="04090003" w:tentative="1">
      <w:start w:val="1"/>
      <w:numFmt w:val="bullet"/>
      <w:lvlText w:val="o"/>
      <w:lvlJc w:val="left"/>
      <w:pPr>
        <w:ind w:left="3707" w:hanging="360"/>
      </w:pPr>
      <w:rPr>
        <w:rFonts w:ascii="Courier New" w:hAnsi="Courier New" w:cs="Courier New" w:hint="default"/>
      </w:rPr>
    </w:lvl>
    <w:lvl w:ilvl="5" w:tplc="04090005" w:tentative="1">
      <w:start w:val="1"/>
      <w:numFmt w:val="bullet"/>
      <w:lvlText w:val=""/>
      <w:lvlJc w:val="left"/>
      <w:pPr>
        <w:ind w:left="4427" w:hanging="360"/>
      </w:pPr>
      <w:rPr>
        <w:rFonts w:ascii="Wingdings" w:hAnsi="Wingdings" w:hint="default"/>
      </w:rPr>
    </w:lvl>
    <w:lvl w:ilvl="6" w:tplc="04090001" w:tentative="1">
      <w:start w:val="1"/>
      <w:numFmt w:val="bullet"/>
      <w:lvlText w:val=""/>
      <w:lvlJc w:val="left"/>
      <w:pPr>
        <w:ind w:left="5147" w:hanging="360"/>
      </w:pPr>
      <w:rPr>
        <w:rFonts w:ascii="Symbol" w:hAnsi="Symbol" w:hint="default"/>
      </w:rPr>
    </w:lvl>
    <w:lvl w:ilvl="7" w:tplc="04090003" w:tentative="1">
      <w:start w:val="1"/>
      <w:numFmt w:val="bullet"/>
      <w:lvlText w:val="o"/>
      <w:lvlJc w:val="left"/>
      <w:pPr>
        <w:ind w:left="5867" w:hanging="360"/>
      </w:pPr>
      <w:rPr>
        <w:rFonts w:ascii="Courier New" w:hAnsi="Courier New" w:cs="Courier New" w:hint="default"/>
      </w:rPr>
    </w:lvl>
    <w:lvl w:ilvl="8" w:tplc="04090005" w:tentative="1">
      <w:start w:val="1"/>
      <w:numFmt w:val="bullet"/>
      <w:lvlText w:val=""/>
      <w:lvlJc w:val="left"/>
      <w:pPr>
        <w:ind w:left="6587" w:hanging="360"/>
      </w:pPr>
      <w:rPr>
        <w:rFonts w:ascii="Wingdings" w:hAnsi="Wingdings" w:hint="default"/>
      </w:rPr>
    </w:lvl>
  </w:abstractNum>
  <w:abstractNum w:abstractNumId="73" w15:restartNumberingAfterBreak="0">
    <w:nsid w:val="34B668E2"/>
    <w:multiLevelType w:val="hybridMultilevel"/>
    <w:tmpl w:val="260265B6"/>
    <w:lvl w:ilvl="0" w:tplc="04090001">
      <w:start w:val="1"/>
      <w:numFmt w:val="bullet"/>
      <w:lvlText w:val=""/>
      <w:lvlJc w:val="left"/>
      <w:pPr>
        <w:ind w:left="792" w:hanging="360"/>
      </w:pPr>
      <w:rPr>
        <w:rFonts w:ascii="Symbol" w:hAnsi="Symbol" w:hint="default"/>
      </w:rPr>
    </w:lvl>
    <w:lvl w:ilvl="1" w:tplc="04090001">
      <w:start w:val="1"/>
      <w:numFmt w:val="bullet"/>
      <w:lvlText w:val=""/>
      <w:lvlJc w:val="left"/>
      <w:pPr>
        <w:ind w:left="1512" w:hanging="360"/>
      </w:pPr>
      <w:rPr>
        <w:rFonts w:ascii="Symbol" w:hAnsi="Symbol" w:hint="default"/>
      </w:rPr>
    </w:lvl>
    <w:lvl w:ilvl="2" w:tplc="04090005" w:tentative="1">
      <w:start w:val="1"/>
      <w:numFmt w:val="bullet"/>
      <w:lvlText w:val=""/>
      <w:lvlJc w:val="left"/>
      <w:pPr>
        <w:ind w:left="2232" w:hanging="360"/>
      </w:pPr>
      <w:rPr>
        <w:rFonts w:ascii="Wingdings" w:hAnsi="Wingdings" w:hint="default"/>
      </w:rPr>
    </w:lvl>
    <w:lvl w:ilvl="3" w:tplc="04090001" w:tentative="1">
      <w:start w:val="1"/>
      <w:numFmt w:val="bullet"/>
      <w:lvlText w:val=""/>
      <w:lvlJc w:val="left"/>
      <w:pPr>
        <w:ind w:left="2952" w:hanging="360"/>
      </w:pPr>
      <w:rPr>
        <w:rFonts w:ascii="Symbol" w:hAnsi="Symbol" w:hint="default"/>
      </w:rPr>
    </w:lvl>
    <w:lvl w:ilvl="4" w:tplc="04090003" w:tentative="1">
      <w:start w:val="1"/>
      <w:numFmt w:val="bullet"/>
      <w:lvlText w:val="o"/>
      <w:lvlJc w:val="left"/>
      <w:pPr>
        <w:ind w:left="3672" w:hanging="360"/>
      </w:pPr>
      <w:rPr>
        <w:rFonts w:ascii="Courier New" w:hAnsi="Courier New" w:cs="Courier New" w:hint="default"/>
      </w:rPr>
    </w:lvl>
    <w:lvl w:ilvl="5" w:tplc="04090005" w:tentative="1">
      <w:start w:val="1"/>
      <w:numFmt w:val="bullet"/>
      <w:lvlText w:val=""/>
      <w:lvlJc w:val="left"/>
      <w:pPr>
        <w:ind w:left="4392" w:hanging="360"/>
      </w:pPr>
      <w:rPr>
        <w:rFonts w:ascii="Wingdings" w:hAnsi="Wingdings" w:hint="default"/>
      </w:rPr>
    </w:lvl>
    <w:lvl w:ilvl="6" w:tplc="04090001" w:tentative="1">
      <w:start w:val="1"/>
      <w:numFmt w:val="bullet"/>
      <w:lvlText w:val=""/>
      <w:lvlJc w:val="left"/>
      <w:pPr>
        <w:ind w:left="5112" w:hanging="360"/>
      </w:pPr>
      <w:rPr>
        <w:rFonts w:ascii="Symbol" w:hAnsi="Symbol" w:hint="default"/>
      </w:rPr>
    </w:lvl>
    <w:lvl w:ilvl="7" w:tplc="04090003" w:tentative="1">
      <w:start w:val="1"/>
      <w:numFmt w:val="bullet"/>
      <w:lvlText w:val="o"/>
      <w:lvlJc w:val="left"/>
      <w:pPr>
        <w:ind w:left="5832" w:hanging="360"/>
      </w:pPr>
      <w:rPr>
        <w:rFonts w:ascii="Courier New" w:hAnsi="Courier New" w:cs="Courier New" w:hint="default"/>
      </w:rPr>
    </w:lvl>
    <w:lvl w:ilvl="8" w:tplc="04090005" w:tentative="1">
      <w:start w:val="1"/>
      <w:numFmt w:val="bullet"/>
      <w:lvlText w:val=""/>
      <w:lvlJc w:val="left"/>
      <w:pPr>
        <w:ind w:left="6552" w:hanging="360"/>
      </w:pPr>
      <w:rPr>
        <w:rFonts w:ascii="Wingdings" w:hAnsi="Wingdings" w:hint="default"/>
      </w:rPr>
    </w:lvl>
  </w:abstractNum>
  <w:abstractNum w:abstractNumId="74" w15:restartNumberingAfterBreak="0">
    <w:nsid w:val="35025688"/>
    <w:multiLevelType w:val="hybridMultilevel"/>
    <w:tmpl w:val="E7AE7D08"/>
    <w:lvl w:ilvl="0" w:tplc="04090001">
      <w:start w:val="1"/>
      <w:numFmt w:val="bullet"/>
      <w:lvlText w:val=""/>
      <w:lvlJc w:val="left"/>
      <w:pPr>
        <w:ind w:left="827" w:hanging="360"/>
      </w:pPr>
      <w:rPr>
        <w:rFonts w:ascii="Symbol" w:hAnsi="Symbol" w:hint="default"/>
      </w:rPr>
    </w:lvl>
    <w:lvl w:ilvl="1" w:tplc="04090003">
      <w:start w:val="1"/>
      <w:numFmt w:val="bullet"/>
      <w:lvlText w:val="o"/>
      <w:lvlJc w:val="left"/>
      <w:pPr>
        <w:ind w:left="1547" w:hanging="360"/>
      </w:pPr>
      <w:rPr>
        <w:rFonts w:ascii="Courier New" w:hAnsi="Courier New" w:cs="Courier New" w:hint="default"/>
      </w:rPr>
    </w:lvl>
    <w:lvl w:ilvl="2" w:tplc="04090005" w:tentative="1">
      <w:start w:val="1"/>
      <w:numFmt w:val="bullet"/>
      <w:lvlText w:val=""/>
      <w:lvlJc w:val="left"/>
      <w:pPr>
        <w:ind w:left="2267" w:hanging="360"/>
      </w:pPr>
      <w:rPr>
        <w:rFonts w:ascii="Wingdings" w:hAnsi="Wingdings" w:hint="default"/>
      </w:rPr>
    </w:lvl>
    <w:lvl w:ilvl="3" w:tplc="04090001" w:tentative="1">
      <w:start w:val="1"/>
      <w:numFmt w:val="bullet"/>
      <w:lvlText w:val=""/>
      <w:lvlJc w:val="left"/>
      <w:pPr>
        <w:ind w:left="2987" w:hanging="360"/>
      </w:pPr>
      <w:rPr>
        <w:rFonts w:ascii="Symbol" w:hAnsi="Symbol" w:hint="default"/>
      </w:rPr>
    </w:lvl>
    <w:lvl w:ilvl="4" w:tplc="04090003" w:tentative="1">
      <w:start w:val="1"/>
      <w:numFmt w:val="bullet"/>
      <w:lvlText w:val="o"/>
      <w:lvlJc w:val="left"/>
      <w:pPr>
        <w:ind w:left="3707" w:hanging="360"/>
      </w:pPr>
      <w:rPr>
        <w:rFonts w:ascii="Courier New" w:hAnsi="Courier New" w:cs="Courier New" w:hint="default"/>
      </w:rPr>
    </w:lvl>
    <w:lvl w:ilvl="5" w:tplc="04090005" w:tentative="1">
      <w:start w:val="1"/>
      <w:numFmt w:val="bullet"/>
      <w:lvlText w:val=""/>
      <w:lvlJc w:val="left"/>
      <w:pPr>
        <w:ind w:left="4427" w:hanging="360"/>
      </w:pPr>
      <w:rPr>
        <w:rFonts w:ascii="Wingdings" w:hAnsi="Wingdings" w:hint="default"/>
      </w:rPr>
    </w:lvl>
    <w:lvl w:ilvl="6" w:tplc="04090001" w:tentative="1">
      <w:start w:val="1"/>
      <w:numFmt w:val="bullet"/>
      <w:lvlText w:val=""/>
      <w:lvlJc w:val="left"/>
      <w:pPr>
        <w:ind w:left="5147" w:hanging="360"/>
      </w:pPr>
      <w:rPr>
        <w:rFonts w:ascii="Symbol" w:hAnsi="Symbol" w:hint="default"/>
      </w:rPr>
    </w:lvl>
    <w:lvl w:ilvl="7" w:tplc="04090003" w:tentative="1">
      <w:start w:val="1"/>
      <w:numFmt w:val="bullet"/>
      <w:lvlText w:val="o"/>
      <w:lvlJc w:val="left"/>
      <w:pPr>
        <w:ind w:left="5867" w:hanging="360"/>
      </w:pPr>
      <w:rPr>
        <w:rFonts w:ascii="Courier New" w:hAnsi="Courier New" w:cs="Courier New" w:hint="default"/>
      </w:rPr>
    </w:lvl>
    <w:lvl w:ilvl="8" w:tplc="04090005" w:tentative="1">
      <w:start w:val="1"/>
      <w:numFmt w:val="bullet"/>
      <w:lvlText w:val=""/>
      <w:lvlJc w:val="left"/>
      <w:pPr>
        <w:ind w:left="6587" w:hanging="360"/>
      </w:pPr>
      <w:rPr>
        <w:rFonts w:ascii="Wingdings" w:hAnsi="Wingdings" w:hint="default"/>
      </w:rPr>
    </w:lvl>
  </w:abstractNum>
  <w:abstractNum w:abstractNumId="75" w15:restartNumberingAfterBreak="0">
    <w:nsid w:val="354711F8"/>
    <w:multiLevelType w:val="hybridMultilevel"/>
    <w:tmpl w:val="C6BA5C16"/>
    <w:lvl w:ilvl="0" w:tplc="3664F882">
      <w:start w:val="1"/>
      <w:numFmt w:val="upperLetter"/>
      <w:lvlText w:val="(%1)"/>
      <w:lvlJc w:val="left"/>
      <w:pPr>
        <w:ind w:left="3240" w:hanging="360"/>
      </w:pPr>
      <w:rPr>
        <w:rFonts w:cs="Times New Roman" w:hint="default"/>
        <w:b/>
        <w:color w:val="4F81BD" w:themeColor="accent1"/>
        <w:w w:val="105"/>
      </w:rPr>
    </w:lvl>
    <w:lvl w:ilvl="1" w:tplc="04090019">
      <w:start w:val="1"/>
      <w:numFmt w:val="lowerLetter"/>
      <w:lvlText w:val="%2."/>
      <w:lvlJc w:val="left"/>
      <w:pPr>
        <w:ind w:left="3960" w:hanging="360"/>
      </w:pPr>
    </w:lvl>
    <w:lvl w:ilvl="2" w:tplc="0409001B">
      <w:start w:val="1"/>
      <w:numFmt w:val="lowerRoman"/>
      <w:lvlText w:val="%3."/>
      <w:lvlJc w:val="right"/>
      <w:pPr>
        <w:ind w:left="4680" w:hanging="180"/>
      </w:pPr>
    </w:lvl>
    <w:lvl w:ilvl="3" w:tplc="0409000F">
      <w:start w:val="1"/>
      <w:numFmt w:val="decimal"/>
      <w:lvlText w:val="%4."/>
      <w:lvlJc w:val="left"/>
      <w:pPr>
        <w:ind w:left="5400" w:hanging="360"/>
      </w:pPr>
    </w:lvl>
    <w:lvl w:ilvl="4" w:tplc="04090019" w:tentative="1">
      <w:start w:val="1"/>
      <w:numFmt w:val="lowerLetter"/>
      <w:lvlText w:val="%5."/>
      <w:lvlJc w:val="left"/>
      <w:pPr>
        <w:ind w:left="6120" w:hanging="360"/>
      </w:pPr>
    </w:lvl>
    <w:lvl w:ilvl="5" w:tplc="0409001B" w:tentative="1">
      <w:start w:val="1"/>
      <w:numFmt w:val="lowerRoman"/>
      <w:lvlText w:val="%6."/>
      <w:lvlJc w:val="right"/>
      <w:pPr>
        <w:ind w:left="6840" w:hanging="180"/>
      </w:pPr>
    </w:lvl>
    <w:lvl w:ilvl="6" w:tplc="0409000F" w:tentative="1">
      <w:start w:val="1"/>
      <w:numFmt w:val="decimal"/>
      <w:lvlText w:val="%7."/>
      <w:lvlJc w:val="left"/>
      <w:pPr>
        <w:ind w:left="7560" w:hanging="360"/>
      </w:pPr>
    </w:lvl>
    <w:lvl w:ilvl="7" w:tplc="04090019" w:tentative="1">
      <w:start w:val="1"/>
      <w:numFmt w:val="lowerLetter"/>
      <w:lvlText w:val="%8."/>
      <w:lvlJc w:val="left"/>
      <w:pPr>
        <w:ind w:left="8280" w:hanging="360"/>
      </w:pPr>
    </w:lvl>
    <w:lvl w:ilvl="8" w:tplc="0409001B" w:tentative="1">
      <w:start w:val="1"/>
      <w:numFmt w:val="lowerRoman"/>
      <w:lvlText w:val="%9."/>
      <w:lvlJc w:val="right"/>
      <w:pPr>
        <w:ind w:left="9000" w:hanging="180"/>
      </w:pPr>
    </w:lvl>
  </w:abstractNum>
  <w:abstractNum w:abstractNumId="76" w15:restartNumberingAfterBreak="0">
    <w:nsid w:val="37F15F7B"/>
    <w:multiLevelType w:val="hybridMultilevel"/>
    <w:tmpl w:val="68C824A8"/>
    <w:lvl w:ilvl="0" w:tplc="04090001">
      <w:start w:val="1"/>
      <w:numFmt w:val="bullet"/>
      <w:lvlText w:val=""/>
      <w:lvlJc w:val="left"/>
      <w:pPr>
        <w:ind w:left="810" w:hanging="360"/>
      </w:pPr>
      <w:rPr>
        <w:rFonts w:ascii="Symbol" w:hAnsi="Symbol" w:hint="default"/>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77" w15:restartNumberingAfterBreak="0">
    <w:nsid w:val="383D347B"/>
    <w:multiLevelType w:val="hybridMultilevel"/>
    <w:tmpl w:val="1A2C5896"/>
    <w:lvl w:ilvl="0" w:tplc="04090001">
      <w:start w:val="1"/>
      <w:numFmt w:val="bullet"/>
      <w:lvlText w:val=""/>
      <w:lvlJc w:val="left"/>
      <w:pPr>
        <w:ind w:left="810" w:hanging="360"/>
      </w:pPr>
      <w:rPr>
        <w:rFonts w:ascii="Symbol" w:hAnsi="Symbol" w:hint="default"/>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78" w15:restartNumberingAfterBreak="0">
    <w:nsid w:val="3995441F"/>
    <w:multiLevelType w:val="hybridMultilevel"/>
    <w:tmpl w:val="2BD88ACA"/>
    <w:lvl w:ilvl="0" w:tplc="04090001">
      <w:start w:val="1"/>
      <w:numFmt w:val="bullet"/>
      <w:lvlText w:val=""/>
      <w:lvlJc w:val="left"/>
      <w:pPr>
        <w:ind w:left="827" w:hanging="360"/>
      </w:pPr>
      <w:rPr>
        <w:rFonts w:ascii="Symbol" w:hAnsi="Symbol" w:hint="default"/>
      </w:rPr>
    </w:lvl>
    <w:lvl w:ilvl="1" w:tplc="04090003" w:tentative="1">
      <w:start w:val="1"/>
      <w:numFmt w:val="bullet"/>
      <w:lvlText w:val="o"/>
      <w:lvlJc w:val="left"/>
      <w:pPr>
        <w:ind w:left="1547" w:hanging="360"/>
      </w:pPr>
      <w:rPr>
        <w:rFonts w:ascii="Courier New" w:hAnsi="Courier New" w:cs="Courier New" w:hint="default"/>
      </w:rPr>
    </w:lvl>
    <w:lvl w:ilvl="2" w:tplc="04090005" w:tentative="1">
      <w:start w:val="1"/>
      <w:numFmt w:val="bullet"/>
      <w:lvlText w:val=""/>
      <w:lvlJc w:val="left"/>
      <w:pPr>
        <w:ind w:left="2267" w:hanging="360"/>
      </w:pPr>
      <w:rPr>
        <w:rFonts w:ascii="Wingdings" w:hAnsi="Wingdings" w:hint="default"/>
      </w:rPr>
    </w:lvl>
    <w:lvl w:ilvl="3" w:tplc="04090001" w:tentative="1">
      <w:start w:val="1"/>
      <w:numFmt w:val="bullet"/>
      <w:lvlText w:val=""/>
      <w:lvlJc w:val="left"/>
      <w:pPr>
        <w:ind w:left="2987" w:hanging="360"/>
      </w:pPr>
      <w:rPr>
        <w:rFonts w:ascii="Symbol" w:hAnsi="Symbol" w:hint="default"/>
      </w:rPr>
    </w:lvl>
    <w:lvl w:ilvl="4" w:tplc="04090003" w:tentative="1">
      <w:start w:val="1"/>
      <w:numFmt w:val="bullet"/>
      <w:lvlText w:val="o"/>
      <w:lvlJc w:val="left"/>
      <w:pPr>
        <w:ind w:left="3707" w:hanging="360"/>
      </w:pPr>
      <w:rPr>
        <w:rFonts w:ascii="Courier New" w:hAnsi="Courier New" w:cs="Courier New" w:hint="default"/>
      </w:rPr>
    </w:lvl>
    <w:lvl w:ilvl="5" w:tplc="04090005" w:tentative="1">
      <w:start w:val="1"/>
      <w:numFmt w:val="bullet"/>
      <w:lvlText w:val=""/>
      <w:lvlJc w:val="left"/>
      <w:pPr>
        <w:ind w:left="4427" w:hanging="360"/>
      </w:pPr>
      <w:rPr>
        <w:rFonts w:ascii="Wingdings" w:hAnsi="Wingdings" w:hint="default"/>
      </w:rPr>
    </w:lvl>
    <w:lvl w:ilvl="6" w:tplc="04090001" w:tentative="1">
      <w:start w:val="1"/>
      <w:numFmt w:val="bullet"/>
      <w:lvlText w:val=""/>
      <w:lvlJc w:val="left"/>
      <w:pPr>
        <w:ind w:left="5147" w:hanging="360"/>
      </w:pPr>
      <w:rPr>
        <w:rFonts w:ascii="Symbol" w:hAnsi="Symbol" w:hint="default"/>
      </w:rPr>
    </w:lvl>
    <w:lvl w:ilvl="7" w:tplc="04090003" w:tentative="1">
      <w:start w:val="1"/>
      <w:numFmt w:val="bullet"/>
      <w:lvlText w:val="o"/>
      <w:lvlJc w:val="left"/>
      <w:pPr>
        <w:ind w:left="5867" w:hanging="360"/>
      </w:pPr>
      <w:rPr>
        <w:rFonts w:ascii="Courier New" w:hAnsi="Courier New" w:cs="Courier New" w:hint="default"/>
      </w:rPr>
    </w:lvl>
    <w:lvl w:ilvl="8" w:tplc="04090005" w:tentative="1">
      <w:start w:val="1"/>
      <w:numFmt w:val="bullet"/>
      <w:lvlText w:val=""/>
      <w:lvlJc w:val="left"/>
      <w:pPr>
        <w:ind w:left="6587" w:hanging="360"/>
      </w:pPr>
      <w:rPr>
        <w:rFonts w:ascii="Wingdings" w:hAnsi="Wingdings" w:hint="default"/>
      </w:rPr>
    </w:lvl>
  </w:abstractNum>
  <w:abstractNum w:abstractNumId="79" w15:restartNumberingAfterBreak="0">
    <w:nsid w:val="39B76FC0"/>
    <w:multiLevelType w:val="hybridMultilevel"/>
    <w:tmpl w:val="6D3CEDD2"/>
    <w:lvl w:ilvl="0" w:tplc="923478DE">
      <w:start w:val="1"/>
      <w:numFmt w:val="upperLetter"/>
      <w:lvlText w:val="(%1)"/>
      <w:lvlJc w:val="left"/>
      <w:pPr>
        <w:ind w:left="2628" w:hanging="360"/>
      </w:pPr>
      <w:rPr>
        <w:rFonts w:hint="default"/>
        <w:b/>
        <w:color w:val="295CA3"/>
        <w:w w:val="105"/>
      </w:rPr>
    </w:lvl>
    <w:lvl w:ilvl="1" w:tplc="04090019" w:tentative="1">
      <w:start w:val="1"/>
      <w:numFmt w:val="lowerLetter"/>
      <w:lvlText w:val="%2."/>
      <w:lvlJc w:val="left"/>
      <w:pPr>
        <w:ind w:left="3348" w:hanging="360"/>
      </w:pPr>
    </w:lvl>
    <w:lvl w:ilvl="2" w:tplc="0409001B" w:tentative="1">
      <w:start w:val="1"/>
      <w:numFmt w:val="lowerRoman"/>
      <w:lvlText w:val="%3."/>
      <w:lvlJc w:val="right"/>
      <w:pPr>
        <w:ind w:left="4068" w:hanging="180"/>
      </w:pPr>
    </w:lvl>
    <w:lvl w:ilvl="3" w:tplc="0409000F" w:tentative="1">
      <w:start w:val="1"/>
      <w:numFmt w:val="decimal"/>
      <w:lvlText w:val="%4."/>
      <w:lvlJc w:val="left"/>
      <w:pPr>
        <w:ind w:left="4788" w:hanging="360"/>
      </w:pPr>
    </w:lvl>
    <w:lvl w:ilvl="4" w:tplc="04090019" w:tentative="1">
      <w:start w:val="1"/>
      <w:numFmt w:val="lowerLetter"/>
      <w:lvlText w:val="%5."/>
      <w:lvlJc w:val="left"/>
      <w:pPr>
        <w:ind w:left="5508" w:hanging="360"/>
      </w:pPr>
    </w:lvl>
    <w:lvl w:ilvl="5" w:tplc="0409001B" w:tentative="1">
      <w:start w:val="1"/>
      <w:numFmt w:val="lowerRoman"/>
      <w:lvlText w:val="%6."/>
      <w:lvlJc w:val="right"/>
      <w:pPr>
        <w:ind w:left="6228" w:hanging="180"/>
      </w:pPr>
    </w:lvl>
    <w:lvl w:ilvl="6" w:tplc="0409000F" w:tentative="1">
      <w:start w:val="1"/>
      <w:numFmt w:val="decimal"/>
      <w:lvlText w:val="%7."/>
      <w:lvlJc w:val="left"/>
      <w:pPr>
        <w:ind w:left="6948" w:hanging="360"/>
      </w:pPr>
    </w:lvl>
    <w:lvl w:ilvl="7" w:tplc="04090019" w:tentative="1">
      <w:start w:val="1"/>
      <w:numFmt w:val="lowerLetter"/>
      <w:lvlText w:val="%8."/>
      <w:lvlJc w:val="left"/>
      <w:pPr>
        <w:ind w:left="7668" w:hanging="360"/>
      </w:pPr>
    </w:lvl>
    <w:lvl w:ilvl="8" w:tplc="0409001B" w:tentative="1">
      <w:start w:val="1"/>
      <w:numFmt w:val="lowerRoman"/>
      <w:lvlText w:val="%9."/>
      <w:lvlJc w:val="right"/>
      <w:pPr>
        <w:ind w:left="8388" w:hanging="180"/>
      </w:pPr>
    </w:lvl>
  </w:abstractNum>
  <w:abstractNum w:abstractNumId="80" w15:restartNumberingAfterBreak="0">
    <w:nsid w:val="3AD40C39"/>
    <w:multiLevelType w:val="hybridMultilevel"/>
    <w:tmpl w:val="1C2ACD7A"/>
    <w:lvl w:ilvl="0" w:tplc="04090001">
      <w:start w:val="1"/>
      <w:numFmt w:val="bullet"/>
      <w:lvlText w:val=""/>
      <w:lvlJc w:val="left"/>
      <w:pPr>
        <w:ind w:left="810" w:hanging="360"/>
      </w:pPr>
      <w:rPr>
        <w:rFonts w:ascii="Symbol" w:hAnsi="Symbol" w:hint="default"/>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81" w15:restartNumberingAfterBreak="0">
    <w:nsid w:val="3B375B32"/>
    <w:multiLevelType w:val="hybridMultilevel"/>
    <w:tmpl w:val="B51468B8"/>
    <w:lvl w:ilvl="0" w:tplc="04090011">
      <w:start w:val="1"/>
      <w:numFmt w:val="decimal"/>
      <w:lvlText w:val="%1)"/>
      <w:lvlJc w:val="left"/>
      <w:pPr>
        <w:ind w:left="827" w:hanging="360"/>
      </w:pPr>
    </w:lvl>
    <w:lvl w:ilvl="1" w:tplc="04090019" w:tentative="1">
      <w:start w:val="1"/>
      <w:numFmt w:val="lowerLetter"/>
      <w:lvlText w:val="%2."/>
      <w:lvlJc w:val="left"/>
      <w:pPr>
        <w:ind w:left="1547" w:hanging="360"/>
      </w:pPr>
    </w:lvl>
    <w:lvl w:ilvl="2" w:tplc="0409001B" w:tentative="1">
      <w:start w:val="1"/>
      <w:numFmt w:val="lowerRoman"/>
      <w:lvlText w:val="%3."/>
      <w:lvlJc w:val="right"/>
      <w:pPr>
        <w:ind w:left="2267" w:hanging="180"/>
      </w:pPr>
    </w:lvl>
    <w:lvl w:ilvl="3" w:tplc="0409000F" w:tentative="1">
      <w:start w:val="1"/>
      <w:numFmt w:val="decimal"/>
      <w:lvlText w:val="%4."/>
      <w:lvlJc w:val="left"/>
      <w:pPr>
        <w:ind w:left="2987" w:hanging="360"/>
      </w:pPr>
    </w:lvl>
    <w:lvl w:ilvl="4" w:tplc="04090019" w:tentative="1">
      <w:start w:val="1"/>
      <w:numFmt w:val="lowerLetter"/>
      <w:lvlText w:val="%5."/>
      <w:lvlJc w:val="left"/>
      <w:pPr>
        <w:ind w:left="3707" w:hanging="360"/>
      </w:pPr>
    </w:lvl>
    <w:lvl w:ilvl="5" w:tplc="0409001B" w:tentative="1">
      <w:start w:val="1"/>
      <w:numFmt w:val="lowerRoman"/>
      <w:lvlText w:val="%6."/>
      <w:lvlJc w:val="right"/>
      <w:pPr>
        <w:ind w:left="4427" w:hanging="180"/>
      </w:pPr>
    </w:lvl>
    <w:lvl w:ilvl="6" w:tplc="0409000F" w:tentative="1">
      <w:start w:val="1"/>
      <w:numFmt w:val="decimal"/>
      <w:lvlText w:val="%7."/>
      <w:lvlJc w:val="left"/>
      <w:pPr>
        <w:ind w:left="5147" w:hanging="360"/>
      </w:pPr>
    </w:lvl>
    <w:lvl w:ilvl="7" w:tplc="04090019" w:tentative="1">
      <w:start w:val="1"/>
      <w:numFmt w:val="lowerLetter"/>
      <w:lvlText w:val="%8."/>
      <w:lvlJc w:val="left"/>
      <w:pPr>
        <w:ind w:left="5867" w:hanging="360"/>
      </w:pPr>
    </w:lvl>
    <w:lvl w:ilvl="8" w:tplc="0409001B" w:tentative="1">
      <w:start w:val="1"/>
      <w:numFmt w:val="lowerRoman"/>
      <w:lvlText w:val="%9."/>
      <w:lvlJc w:val="right"/>
      <w:pPr>
        <w:ind w:left="6587" w:hanging="180"/>
      </w:pPr>
    </w:lvl>
  </w:abstractNum>
  <w:abstractNum w:abstractNumId="82" w15:restartNumberingAfterBreak="0">
    <w:nsid w:val="3DB05C88"/>
    <w:multiLevelType w:val="hybridMultilevel"/>
    <w:tmpl w:val="EE746A9A"/>
    <w:lvl w:ilvl="0" w:tplc="B6542D96">
      <w:start w:val="3"/>
      <w:numFmt w:val="decimal"/>
      <w:lvlText w:val="(%1)"/>
      <w:lvlJc w:val="left"/>
      <w:pPr>
        <w:ind w:left="1098" w:hanging="360"/>
      </w:pPr>
      <w:rPr>
        <w:rFonts w:ascii="Calibri" w:eastAsia="Times New Roman" w:hAnsi="Calibri" w:cs="Times New Roman" w:hint="default"/>
        <w:color w:val="295CA3"/>
        <w:w w:val="94"/>
        <w:sz w:val="22"/>
        <w:szCs w:val="22"/>
      </w:rPr>
    </w:lvl>
    <w:lvl w:ilvl="1" w:tplc="206C2B92">
      <w:start w:val="1"/>
      <w:numFmt w:val="upperLetter"/>
      <w:lvlText w:val="(%2)"/>
      <w:lvlJc w:val="left"/>
      <w:pPr>
        <w:ind w:left="1998" w:hanging="434"/>
      </w:pPr>
      <w:rPr>
        <w:rFonts w:ascii="Calibri" w:eastAsia="Times New Roman" w:hAnsi="Calibri" w:cs="Times New Roman" w:hint="default"/>
        <w:b w:val="0"/>
        <w:color w:val="295CA3"/>
        <w:w w:val="97"/>
        <w:sz w:val="22"/>
        <w:szCs w:val="22"/>
      </w:rPr>
    </w:lvl>
    <w:lvl w:ilvl="2" w:tplc="91D4EFF0">
      <w:start w:val="1"/>
      <w:numFmt w:val="lowerRoman"/>
      <w:lvlText w:val="(%3)"/>
      <w:lvlJc w:val="left"/>
      <w:pPr>
        <w:ind w:left="2718" w:hanging="450"/>
      </w:pPr>
      <w:rPr>
        <w:rFonts w:ascii="Calibri" w:eastAsia="Times New Roman" w:hAnsi="Calibri" w:cs="Times New Roman" w:hint="default"/>
        <w:color w:val="295CA3"/>
        <w:w w:val="86"/>
        <w:sz w:val="22"/>
        <w:szCs w:val="22"/>
      </w:rPr>
    </w:lvl>
    <w:lvl w:ilvl="3" w:tplc="8D4E61D8">
      <w:start w:val="1"/>
      <w:numFmt w:val="bullet"/>
      <w:lvlText w:val="•"/>
      <w:lvlJc w:val="left"/>
      <w:pPr>
        <w:ind w:left="2720" w:hanging="450"/>
      </w:pPr>
      <w:rPr>
        <w:rFonts w:hint="default"/>
      </w:rPr>
    </w:lvl>
    <w:lvl w:ilvl="4" w:tplc="2084E14E">
      <w:start w:val="1"/>
      <w:numFmt w:val="bullet"/>
      <w:lvlText w:val="•"/>
      <w:lvlJc w:val="left"/>
      <w:pPr>
        <w:ind w:left="3822" w:hanging="450"/>
      </w:pPr>
      <w:rPr>
        <w:rFonts w:hint="default"/>
      </w:rPr>
    </w:lvl>
    <w:lvl w:ilvl="5" w:tplc="19C27728">
      <w:start w:val="1"/>
      <w:numFmt w:val="bullet"/>
      <w:lvlText w:val="•"/>
      <w:lvlJc w:val="left"/>
      <w:pPr>
        <w:ind w:left="4925" w:hanging="450"/>
      </w:pPr>
      <w:rPr>
        <w:rFonts w:hint="default"/>
      </w:rPr>
    </w:lvl>
    <w:lvl w:ilvl="6" w:tplc="CCB6ED64">
      <w:start w:val="1"/>
      <w:numFmt w:val="bullet"/>
      <w:lvlText w:val="•"/>
      <w:lvlJc w:val="left"/>
      <w:pPr>
        <w:ind w:left="6028" w:hanging="450"/>
      </w:pPr>
      <w:rPr>
        <w:rFonts w:hint="default"/>
      </w:rPr>
    </w:lvl>
    <w:lvl w:ilvl="7" w:tplc="B0342DFA">
      <w:start w:val="1"/>
      <w:numFmt w:val="bullet"/>
      <w:lvlText w:val="•"/>
      <w:lvlJc w:val="left"/>
      <w:pPr>
        <w:ind w:left="7131" w:hanging="450"/>
      </w:pPr>
      <w:rPr>
        <w:rFonts w:hint="default"/>
      </w:rPr>
    </w:lvl>
    <w:lvl w:ilvl="8" w:tplc="2C761106">
      <w:start w:val="1"/>
      <w:numFmt w:val="bullet"/>
      <w:lvlText w:val="•"/>
      <w:lvlJc w:val="left"/>
      <w:pPr>
        <w:ind w:left="8234" w:hanging="450"/>
      </w:pPr>
      <w:rPr>
        <w:rFonts w:hint="default"/>
      </w:rPr>
    </w:lvl>
  </w:abstractNum>
  <w:abstractNum w:abstractNumId="83" w15:restartNumberingAfterBreak="0">
    <w:nsid w:val="3DF119B7"/>
    <w:multiLevelType w:val="hybridMultilevel"/>
    <w:tmpl w:val="90D0DF02"/>
    <w:lvl w:ilvl="0" w:tplc="04090001">
      <w:start w:val="1"/>
      <w:numFmt w:val="bullet"/>
      <w:lvlText w:val=""/>
      <w:lvlJc w:val="left"/>
      <w:pPr>
        <w:ind w:left="827" w:hanging="360"/>
      </w:pPr>
      <w:rPr>
        <w:rFonts w:ascii="Symbol" w:hAnsi="Symbol" w:hint="default"/>
      </w:rPr>
    </w:lvl>
    <w:lvl w:ilvl="1" w:tplc="04090003" w:tentative="1">
      <w:start w:val="1"/>
      <w:numFmt w:val="bullet"/>
      <w:lvlText w:val="o"/>
      <w:lvlJc w:val="left"/>
      <w:pPr>
        <w:ind w:left="1547" w:hanging="360"/>
      </w:pPr>
      <w:rPr>
        <w:rFonts w:ascii="Courier New" w:hAnsi="Courier New" w:cs="Courier New" w:hint="default"/>
      </w:rPr>
    </w:lvl>
    <w:lvl w:ilvl="2" w:tplc="04090005" w:tentative="1">
      <w:start w:val="1"/>
      <w:numFmt w:val="bullet"/>
      <w:lvlText w:val=""/>
      <w:lvlJc w:val="left"/>
      <w:pPr>
        <w:ind w:left="2267" w:hanging="360"/>
      </w:pPr>
      <w:rPr>
        <w:rFonts w:ascii="Wingdings" w:hAnsi="Wingdings" w:hint="default"/>
      </w:rPr>
    </w:lvl>
    <w:lvl w:ilvl="3" w:tplc="04090001" w:tentative="1">
      <w:start w:val="1"/>
      <w:numFmt w:val="bullet"/>
      <w:lvlText w:val=""/>
      <w:lvlJc w:val="left"/>
      <w:pPr>
        <w:ind w:left="2987" w:hanging="360"/>
      </w:pPr>
      <w:rPr>
        <w:rFonts w:ascii="Symbol" w:hAnsi="Symbol" w:hint="default"/>
      </w:rPr>
    </w:lvl>
    <w:lvl w:ilvl="4" w:tplc="04090003" w:tentative="1">
      <w:start w:val="1"/>
      <w:numFmt w:val="bullet"/>
      <w:lvlText w:val="o"/>
      <w:lvlJc w:val="left"/>
      <w:pPr>
        <w:ind w:left="3707" w:hanging="360"/>
      </w:pPr>
      <w:rPr>
        <w:rFonts w:ascii="Courier New" w:hAnsi="Courier New" w:cs="Courier New" w:hint="default"/>
      </w:rPr>
    </w:lvl>
    <w:lvl w:ilvl="5" w:tplc="04090005" w:tentative="1">
      <w:start w:val="1"/>
      <w:numFmt w:val="bullet"/>
      <w:lvlText w:val=""/>
      <w:lvlJc w:val="left"/>
      <w:pPr>
        <w:ind w:left="4427" w:hanging="360"/>
      </w:pPr>
      <w:rPr>
        <w:rFonts w:ascii="Wingdings" w:hAnsi="Wingdings" w:hint="default"/>
      </w:rPr>
    </w:lvl>
    <w:lvl w:ilvl="6" w:tplc="04090001" w:tentative="1">
      <w:start w:val="1"/>
      <w:numFmt w:val="bullet"/>
      <w:lvlText w:val=""/>
      <w:lvlJc w:val="left"/>
      <w:pPr>
        <w:ind w:left="5147" w:hanging="360"/>
      </w:pPr>
      <w:rPr>
        <w:rFonts w:ascii="Symbol" w:hAnsi="Symbol" w:hint="default"/>
      </w:rPr>
    </w:lvl>
    <w:lvl w:ilvl="7" w:tplc="04090003" w:tentative="1">
      <w:start w:val="1"/>
      <w:numFmt w:val="bullet"/>
      <w:lvlText w:val="o"/>
      <w:lvlJc w:val="left"/>
      <w:pPr>
        <w:ind w:left="5867" w:hanging="360"/>
      </w:pPr>
      <w:rPr>
        <w:rFonts w:ascii="Courier New" w:hAnsi="Courier New" w:cs="Courier New" w:hint="default"/>
      </w:rPr>
    </w:lvl>
    <w:lvl w:ilvl="8" w:tplc="04090005" w:tentative="1">
      <w:start w:val="1"/>
      <w:numFmt w:val="bullet"/>
      <w:lvlText w:val=""/>
      <w:lvlJc w:val="left"/>
      <w:pPr>
        <w:ind w:left="6587" w:hanging="360"/>
      </w:pPr>
      <w:rPr>
        <w:rFonts w:ascii="Wingdings" w:hAnsi="Wingdings" w:hint="default"/>
      </w:rPr>
    </w:lvl>
  </w:abstractNum>
  <w:abstractNum w:abstractNumId="84" w15:restartNumberingAfterBreak="0">
    <w:nsid w:val="3DF82018"/>
    <w:multiLevelType w:val="hybridMultilevel"/>
    <w:tmpl w:val="C51C77EA"/>
    <w:lvl w:ilvl="0" w:tplc="BFC468D2">
      <w:start w:val="1"/>
      <w:numFmt w:val="lowerLetter"/>
      <w:lvlText w:val="(%1)"/>
      <w:lvlJc w:val="left"/>
      <w:pPr>
        <w:ind w:left="828" w:hanging="360"/>
      </w:pPr>
      <w:rPr>
        <w:rFonts w:ascii="Calibri" w:eastAsia="Times New Roman" w:hAnsi="Calibri" w:cs="Times New Roman" w:hint="default"/>
        <w:b/>
        <w:color w:val="295CA3"/>
        <w:w w:val="94"/>
        <w:sz w:val="24"/>
        <w:szCs w:val="24"/>
      </w:rPr>
    </w:lvl>
    <w:lvl w:ilvl="1" w:tplc="717ACBD2">
      <w:start w:val="1"/>
      <w:numFmt w:val="decimal"/>
      <w:lvlText w:val="(%2)"/>
      <w:lvlJc w:val="left"/>
      <w:pPr>
        <w:ind w:left="1278" w:hanging="360"/>
      </w:pPr>
      <w:rPr>
        <w:rFonts w:ascii="Calibri" w:eastAsia="Times New Roman" w:hAnsi="Calibri" w:cs="Times New Roman" w:hint="default"/>
        <w:color w:val="295CA3"/>
        <w:w w:val="75"/>
        <w:sz w:val="24"/>
        <w:szCs w:val="24"/>
      </w:rPr>
    </w:lvl>
    <w:lvl w:ilvl="2" w:tplc="BC06D8A0">
      <w:start w:val="1"/>
      <w:numFmt w:val="upperLetter"/>
      <w:lvlText w:val="(%3)"/>
      <w:lvlJc w:val="left"/>
      <w:pPr>
        <w:ind w:left="1998" w:hanging="434"/>
      </w:pPr>
      <w:rPr>
        <w:rFonts w:ascii="Calibri" w:eastAsia="Times New Roman" w:hAnsi="Calibri" w:cs="Times New Roman" w:hint="default"/>
        <w:color w:val="295CA3"/>
        <w:w w:val="97"/>
        <w:sz w:val="22"/>
        <w:szCs w:val="22"/>
      </w:rPr>
    </w:lvl>
    <w:lvl w:ilvl="3" w:tplc="207EF8AC">
      <w:start w:val="1"/>
      <w:numFmt w:val="lowerRoman"/>
      <w:lvlText w:val="(%4)"/>
      <w:lvlJc w:val="left"/>
      <w:pPr>
        <w:ind w:left="3132" w:hanging="504"/>
      </w:pPr>
      <w:rPr>
        <w:rFonts w:ascii="Calibri" w:eastAsia="Times New Roman" w:hAnsi="Calibri" w:cs="Times New Roman" w:hint="default"/>
        <w:color w:val="295CA3"/>
        <w:w w:val="86"/>
        <w:sz w:val="22"/>
        <w:szCs w:val="22"/>
      </w:rPr>
    </w:lvl>
    <w:lvl w:ilvl="4" w:tplc="8C202BDE">
      <w:start w:val="1"/>
      <w:numFmt w:val="bullet"/>
      <w:lvlText w:val="•"/>
      <w:lvlJc w:val="left"/>
      <w:pPr>
        <w:ind w:left="4182" w:hanging="504"/>
      </w:pPr>
      <w:rPr>
        <w:rFonts w:hint="default"/>
      </w:rPr>
    </w:lvl>
    <w:lvl w:ilvl="5" w:tplc="422012B2">
      <w:start w:val="1"/>
      <w:numFmt w:val="bullet"/>
      <w:lvlText w:val="•"/>
      <w:lvlJc w:val="left"/>
      <w:pPr>
        <w:ind w:left="5225" w:hanging="504"/>
      </w:pPr>
      <w:rPr>
        <w:rFonts w:hint="default"/>
      </w:rPr>
    </w:lvl>
    <w:lvl w:ilvl="6" w:tplc="A864B4CE">
      <w:start w:val="1"/>
      <w:numFmt w:val="bullet"/>
      <w:lvlText w:val="•"/>
      <w:lvlJc w:val="left"/>
      <w:pPr>
        <w:ind w:left="6268" w:hanging="504"/>
      </w:pPr>
      <w:rPr>
        <w:rFonts w:hint="default"/>
      </w:rPr>
    </w:lvl>
    <w:lvl w:ilvl="7" w:tplc="E74C027E">
      <w:start w:val="1"/>
      <w:numFmt w:val="bullet"/>
      <w:lvlText w:val="•"/>
      <w:lvlJc w:val="left"/>
      <w:pPr>
        <w:ind w:left="7311" w:hanging="504"/>
      </w:pPr>
      <w:rPr>
        <w:rFonts w:hint="default"/>
      </w:rPr>
    </w:lvl>
    <w:lvl w:ilvl="8" w:tplc="F81CF1AE">
      <w:start w:val="1"/>
      <w:numFmt w:val="bullet"/>
      <w:lvlText w:val="•"/>
      <w:lvlJc w:val="left"/>
      <w:pPr>
        <w:ind w:left="8354" w:hanging="504"/>
      </w:pPr>
      <w:rPr>
        <w:rFonts w:hint="default"/>
      </w:rPr>
    </w:lvl>
  </w:abstractNum>
  <w:abstractNum w:abstractNumId="85" w15:restartNumberingAfterBreak="0">
    <w:nsid w:val="3E075862"/>
    <w:multiLevelType w:val="hybridMultilevel"/>
    <w:tmpl w:val="D1CCF59A"/>
    <w:lvl w:ilvl="0" w:tplc="04090001">
      <w:start w:val="1"/>
      <w:numFmt w:val="bullet"/>
      <w:lvlText w:val=""/>
      <w:lvlJc w:val="left"/>
      <w:pPr>
        <w:ind w:left="810" w:hanging="360"/>
      </w:pPr>
      <w:rPr>
        <w:rFonts w:ascii="Symbol" w:hAnsi="Symbol" w:hint="default"/>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86" w15:restartNumberingAfterBreak="0">
    <w:nsid w:val="3E3376C2"/>
    <w:multiLevelType w:val="hybridMultilevel"/>
    <w:tmpl w:val="6C4C4234"/>
    <w:lvl w:ilvl="0" w:tplc="04090001">
      <w:start w:val="1"/>
      <w:numFmt w:val="bullet"/>
      <w:lvlText w:val=""/>
      <w:lvlJc w:val="left"/>
      <w:pPr>
        <w:ind w:left="810" w:hanging="360"/>
      </w:pPr>
      <w:rPr>
        <w:rFonts w:ascii="Symbol" w:hAnsi="Symbol" w:hint="default"/>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87" w15:restartNumberingAfterBreak="0">
    <w:nsid w:val="3ECE31DB"/>
    <w:multiLevelType w:val="hybridMultilevel"/>
    <w:tmpl w:val="7144CEBA"/>
    <w:lvl w:ilvl="0" w:tplc="04090001">
      <w:start w:val="1"/>
      <w:numFmt w:val="bullet"/>
      <w:lvlText w:val=""/>
      <w:lvlJc w:val="left"/>
      <w:pPr>
        <w:ind w:left="827" w:hanging="360"/>
      </w:pPr>
      <w:rPr>
        <w:rFonts w:ascii="Symbol" w:hAnsi="Symbol" w:hint="default"/>
      </w:rPr>
    </w:lvl>
    <w:lvl w:ilvl="1" w:tplc="04090003" w:tentative="1">
      <w:start w:val="1"/>
      <w:numFmt w:val="bullet"/>
      <w:lvlText w:val="o"/>
      <w:lvlJc w:val="left"/>
      <w:pPr>
        <w:ind w:left="1547" w:hanging="360"/>
      </w:pPr>
      <w:rPr>
        <w:rFonts w:ascii="Courier New" w:hAnsi="Courier New" w:cs="Courier New" w:hint="default"/>
      </w:rPr>
    </w:lvl>
    <w:lvl w:ilvl="2" w:tplc="04090005" w:tentative="1">
      <w:start w:val="1"/>
      <w:numFmt w:val="bullet"/>
      <w:lvlText w:val=""/>
      <w:lvlJc w:val="left"/>
      <w:pPr>
        <w:ind w:left="2267" w:hanging="360"/>
      </w:pPr>
      <w:rPr>
        <w:rFonts w:ascii="Wingdings" w:hAnsi="Wingdings" w:hint="default"/>
      </w:rPr>
    </w:lvl>
    <w:lvl w:ilvl="3" w:tplc="04090001" w:tentative="1">
      <w:start w:val="1"/>
      <w:numFmt w:val="bullet"/>
      <w:lvlText w:val=""/>
      <w:lvlJc w:val="left"/>
      <w:pPr>
        <w:ind w:left="2987" w:hanging="360"/>
      </w:pPr>
      <w:rPr>
        <w:rFonts w:ascii="Symbol" w:hAnsi="Symbol" w:hint="default"/>
      </w:rPr>
    </w:lvl>
    <w:lvl w:ilvl="4" w:tplc="04090003" w:tentative="1">
      <w:start w:val="1"/>
      <w:numFmt w:val="bullet"/>
      <w:lvlText w:val="o"/>
      <w:lvlJc w:val="left"/>
      <w:pPr>
        <w:ind w:left="3707" w:hanging="360"/>
      </w:pPr>
      <w:rPr>
        <w:rFonts w:ascii="Courier New" w:hAnsi="Courier New" w:cs="Courier New" w:hint="default"/>
      </w:rPr>
    </w:lvl>
    <w:lvl w:ilvl="5" w:tplc="04090005" w:tentative="1">
      <w:start w:val="1"/>
      <w:numFmt w:val="bullet"/>
      <w:lvlText w:val=""/>
      <w:lvlJc w:val="left"/>
      <w:pPr>
        <w:ind w:left="4427" w:hanging="360"/>
      </w:pPr>
      <w:rPr>
        <w:rFonts w:ascii="Wingdings" w:hAnsi="Wingdings" w:hint="default"/>
      </w:rPr>
    </w:lvl>
    <w:lvl w:ilvl="6" w:tplc="04090001" w:tentative="1">
      <w:start w:val="1"/>
      <w:numFmt w:val="bullet"/>
      <w:lvlText w:val=""/>
      <w:lvlJc w:val="left"/>
      <w:pPr>
        <w:ind w:left="5147" w:hanging="360"/>
      </w:pPr>
      <w:rPr>
        <w:rFonts w:ascii="Symbol" w:hAnsi="Symbol" w:hint="default"/>
      </w:rPr>
    </w:lvl>
    <w:lvl w:ilvl="7" w:tplc="04090003" w:tentative="1">
      <w:start w:val="1"/>
      <w:numFmt w:val="bullet"/>
      <w:lvlText w:val="o"/>
      <w:lvlJc w:val="left"/>
      <w:pPr>
        <w:ind w:left="5867" w:hanging="360"/>
      </w:pPr>
      <w:rPr>
        <w:rFonts w:ascii="Courier New" w:hAnsi="Courier New" w:cs="Courier New" w:hint="default"/>
      </w:rPr>
    </w:lvl>
    <w:lvl w:ilvl="8" w:tplc="04090005" w:tentative="1">
      <w:start w:val="1"/>
      <w:numFmt w:val="bullet"/>
      <w:lvlText w:val=""/>
      <w:lvlJc w:val="left"/>
      <w:pPr>
        <w:ind w:left="6587" w:hanging="360"/>
      </w:pPr>
      <w:rPr>
        <w:rFonts w:ascii="Wingdings" w:hAnsi="Wingdings" w:hint="default"/>
      </w:rPr>
    </w:lvl>
  </w:abstractNum>
  <w:abstractNum w:abstractNumId="88" w15:restartNumberingAfterBreak="0">
    <w:nsid w:val="3EE47D23"/>
    <w:multiLevelType w:val="hybridMultilevel"/>
    <w:tmpl w:val="F9D4FBCA"/>
    <w:lvl w:ilvl="0" w:tplc="04090001">
      <w:start w:val="1"/>
      <w:numFmt w:val="bullet"/>
      <w:lvlText w:val=""/>
      <w:lvlJc w:val="left"/>
      <w:pPr>
        <w:ind w:left="810" w:hanging="360"/>
      </w:pPr>
      <w:rPr>
        <w:rFonts w:ascii="Symbol" w:hAnsi="Symbol" w:hint="default"/>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89" w15:restartNumberingAfterBreak="0">
    <w:nsid w:val="3FCF3977"/>
    <w:multiLevelType w:val="hybridMultilevel"/>
    <w:tmpl w:val="8AB4913C"/>
    <w:lvl w:ilvl="0" w:tplc="04090001">
      <w:start w:val="1"/>
      <w:numFmt w:val="bullet"/>
      <w:lvlText w:val=""/>
      <w:lvlJc w:val="left"/>
      <w:pPr>
        <w:ind w:left="827" w:hanging="360"/>
      </w:pPr>
      <w:rPr>
        <w:rFonts w:ascii="Symbol" w:hAnsi="Symbol" w:hint="default"/>
      </w:rPr>
    </w:lvl>
    <w:lvl w:ilvl="1" w:tplc="04090003" w:tentative="1">
      <w:start w:val="1"/>
      <w:numFmt w:val="bullet"/>
      <w:lvlText w:val="o"/>
      <w:lvlJc w:val="left"/>
      <w:pPr>
        <w:ind w:left="1547" w:hanging="360"/>
      </w:pPr>
      <w:rPr>
        <w:rFonts w:ascii="Courier New" w:hAnsi="Courier New" w:cs="Courier New" w:hint="default"/>
      </w:rPr>
    </w:lvl>
    <w:lvl w:ilvl="2" w:tplc="04090005" w:tentative="1">
      <w:start w:val="1"/>
      <w:numFmt w:val="bullet"/>
      <w:lvlText w:val=""/>
      <w:lvlJc w:val="left"/>
      <w:pPr>
        <w:ind w:left="2267" w:hanging="360"/>
      </w:pPr>
      <w:rPr>
        <w:rFonts w:ascii="Wingdings" w:hAnsi="Wingdings" w:hint="default"/>
      </w:rPr>
    </w:lvl>
    <w:lvl w:ilvl="3" w:tplc="04090001" w:tentative="1">
      <w:start w:val="1"/>
      <w:numFmt w:val="bullet"/>
      <w:lvlText w:val=""/>
      <w:lvlJc w:val="left"/>
      <w:pPr>
        <w:ind w:left="2987" w:hanging="360"/>
      </w:pPr>
      <w:rPr>
        <w:rFonts w:ascii="Symbol" w:hAnsi="Symbol" w:hint="default"/>
      </w:rPr>
    </w:lvl>
    <w:lvl w:ilvl="4" w:tplc="04090003" w:tentative="1">
      <w:start w:val="1"/>
      <w:numFmt w:val="bullet"/>
      <w:lvlText w:val="o"/>
      <w:lvlJc w:val="left"/>
      <w:pPr>
        <w:ind w:left="3707" w:hanging="360"/>
      </w:pPr>
      <w:rPr>
        <w:rFonts w:ascii="Courier New" w:hAnsi="Courier New" w:cs="Courier New" w:hint="default"/>
      </w:rPr>
    </w:lvl>
    <w:lvl w:ilvl="5" w:tplc="04090005" w:tentative="1">
      <w:start w:val="1"/>
      <w:numFmt w:val="bullet"/>
      <w:lvlText w:val=""/>
      <w:lvlJc w:val="left"/>
      <w:pPr>
        <w:ind w:left="4427" w:hanging="360"/>
      </w:pPr>
      <w:rPr>
        <w:rFonts w:ascii="Wingdings" w:hAnsi="Wingdings" w:hint="default"/>
      </w:rPr>
    </w:lvl>
    <w:lvl w:ilvl="6" w:tplc="04090001" w:tentative="1">
      <w:start w:val="1"/>
      <w:numFmt w:val="bullet"/>
      <w:lvlText w:val=""/>
      <w:lvlJc w:val="left"/>
      <w:pPr>
        <w:ind w:left="5147" w:hanging="360"/>
      </w:pPr>
      <w:rPr>
        <w:rFonts w:ascii="Symbol" w:hAnsi="Symbol" w:hint="default"/>
      </w:rPr>
    </w:lvl>
    <w:lvl w:ilvl="7" w:tplc="04090003" w:tentative="1">
      <w:start w:val="1"/>
      <w:numFmt w:val="bullet"/>
      <w:lvlText w:val="o"/>
      <w:lvlJc w:val="left"/>
      <w:pPr>
        <w:ind w:left="5867" w:hanging="360"/>
      </w:pPr>
      <w:rPr>
        <w:rFonts w:ascii="Courier New" w:hAnsi="Courier New" w:cs="Courier New" w:hint="default"/>
      </w:rPr>
    </w:lvl>
    <w:lvl w:ilvl="8" w:tplc="04090005" w:tentative="1">
      <w:start w:val="1"/>
      <w:numFmt w:val="bullet"/>
      <w:lvlText w:val=""/>
      <w:lvlJc w:val="left"/>
      <w:pPr>
        <w:ind w:left="6587" w:hanging="360"/>
      </w:pPr>
      <w:rPr>
        <w:rFonts w:ascii="Wingdings" w:hAnsi="Wingdings" w:hint="default"/>
      </w:rPr>
    </w:lvl>
  </w:abstractNum>
  <w:abstractNum w:abstractNumId="90" w15:restartNumberingAfterBreak="0">
    <w:nsid w:val="3FDB7732"/>
    <w:multiLevelType w:val="hybridMultilevel"/>
    <w:tmpl w:val="3744A7DA"/>
    <w:lvl w:ilvl="0" w:tplc="04090001">
      <w:start w:val="1"/>
      <w:numFmt w:val="bullet"/>
      <w:lvlText w:val=""/>
      <w:lvlJc w:val="left"/>
      <w:pPr>
        <w:ind w:left="810" w:hanging="360"/>
      </w:pPr>
      <w:rPr>
        <w:rFonts w:ascii="Symbol" w:hAnsi="Symbol" w:hint="default"/>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91" w15:restartNumberingAfterBreak="0">
    <w:nsid w:val="404971D5"/>
    <w:multiLevelType w:val="hybridMultilevel"/>
    <w:tmpl w:val="2F8EAC28"/>
    <w:lvl w:ilvl="0" w:tplc="04090001">
      <w:start w:val="1"/>
      <w:numFmt w:val="bullet"/>
      <w:lvlText w:val=""/>
      <w:lvlJc w:val="left"/>
      <w:pPr>
        <w:ind w:left="827" w:hanging="360"/>
      </w:pPr>
      <w:rPr>
        <w:rFonts w:ascii="Symbol" w:hAnsi="Symbol" w:hint="default"/>
      </w:rPr>
    </w:lvl>
    <w:lvl w:ilvl="1" w:tplc="04090003" w:tentative="1">
      <w:start w:val="1"/>
      <w:numFmt w:val="bullet"/>
      <w:lvlText w:val="o"/>
      <w:lvlJc w:val="left"/>
      <w:pPr>
        <w:ind w:left="1547" w:hanging="360"/>
      </w:pPr>
      <w:rPr>
        <w:rFonts w:ascii="Courier New" w:hAnsi="Courier New" w:cs="Courier New" w:hint="default"/>
      </w:rPr>
    </w:lvl>
    <w:lvl w:ilvl="2" w:tplc="04090005" w:tentative="1">
      <w:start w:val="1"/>
      <w:numFmt w:val="bullet"/>
      <w:lvlText w:val=""/>
      <w:lvlJc w:val="left"/>
      <w:pPr>
        <w:ind w:left="2267" w:hanging="360"/>
      </w:pPr>
      <w:rPr>
        <w:rFonts w:ascii="Wingdings" w:hAnsi="Wingdings" w:hint="default"/>
      </w:rPr>
    </w:lvl>
    <w:lvl w:ilvl="3" w:tplc="04090001" w:tentative="1">
      <w:start w:val="1"/>
      <w:numFmt w:val="bullet"/>
      <w:lvlText w:val=""/>
      <w:lvlJc w:val="left"/>
      <w:pPr>
        <w:ind w:left="2987" w:hanging="360"/>
      </w:pPr>
      <w:rPr>
        <w:rFonts w:ascii="Symbol" w:hAnsi="Symbol" w:hint="default"/>
      </w:rPr>
    </w:lvl>
    <w:lvl w:ilvl="4" w:tplc="04090003" w:tentative="1">
      <w:start w:val="1"/>
      <w:numFmt w:val="bullet"/>
      <w:lvlText w:val="o"/>
      <w:lvlJc w:val="left"/>
      <w:pPr>
        <w:ind w:left="3707" w:hanging="360"/>
      </w:pPr>
      <w:rPr>
        <w:rFonts w:ascii="Courier New" w:hAnsi="Courier New" w:cs="Courier New" w:hint="default"/>
      </w:rPr>
    </w:lvl>
    <w:lvl w:ilvl="5" w:tplc="04090005" w:tentative="1">
      <w:start w:val="1"/>
      <w:numFmt w:val="bullet"/>
      <w:lvlText w:val=""/>
      <w:lvlJc w:val="left"/>
      <w:pPr>
        <w:ind w:left="4427" w:hanging="360"/>
      </w:pPr>
      <w:rPr>
        <w:rFonts w:ascii="Wingdings" w:hAnsi="Wingdings" w:hint="default"/>
      </w:rPr>
    </w:lvl>
    <w:lvl w:ilvl="6" w:tplc="04090001" w:tentative="1">
      <w:start w:val="1"/>
      <w:numFmt w:val="bullet"/>
      <w:lvlText w:val=""/>
      <w:lvlJc w:val="left"/>
      <w:pPr>
        <w:ind w:left="5147" w:hanging="360"/>
      </w:pPr>
      <w:rPr>
        <w:rFonts w:ascii="Symbol" w:hAnsi="Symbol" w:hint="default"/>
      </w:rPr>
    </w:lvl>
    <w:lvl w:ilvl="7" w:tplc="04090003" w:tentative="1">
      <w:start w:val="1"/>
      <w:numFmt w:val="bullet"/>
      <w:lvlText w:val="o"/>
      <w:lvlJc w:val="left"/>
      <w:pPr>
        <w:ind w:left="5867" w:hanging="360"/>
      </w:pPr>
      <w:rPr>
        <w:rFonts w:ascii="Courier New" w:hAnsi="Courier New" w:cs="Courier New" w:hint="default"/>
      </w:rPr>
    </w:lvl>
    <w:lvl w:ilvl="8" w:tplc="04090005" w:tentative="1">
      <w:start w:val="1"/>
      <w:numFmt w:val="bullet"/>
      <w:lvlText w:val=""/>
      <w:lvlJc w:val="left"/>
      <w:pPr>
        <w:ind w:left="6587" w:hanging="360"/>
      </w:pPr>
      <w:rPr>
        <w:rFonts w:ascii="Wingdings" w:hAnsi="Wingdings" w:hint="default"/>
      </w:rPr>
    </w:lvl>
  </w:abstractNum>
  <w:abstractNum w:abstractNumId="92" w15:restartNumberingAfterBreak="0">
    <w:nsid w:val="42DC2AEB"/>
    <w:multiLevelType w:val="hybridMultilevel"/>
    <w:tmpl w:val="4FF25D34"/>
    <w:lvl w:ilvl="0" w:tplc="0409000F">
      <w:start w:val="1"/>
      <w:numFmt w:val="decimal"/>
      <w:lvlText w:val="%1."/>
      <w:lvlJc w:val="left"/>
      <w:pPr>
        <w:ind w:left="810" w:hanging="360"/>
      </w:p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93" w15:restartNumberingAfterBreak="0">
    <w:nsid w:val="442A4DFD"/>
    <w:multiLevelType w:val="hybridMultilevel"/>
    <w:tmpl w:val="07AA8750"/>
    <w:lvl w:ilvl="0" w:tplc="79BA5BD0">
      <w:start w:val="1"/>
      <w:numFmt w:val="lowerLetter"/>
      <w:lvlText w:val="(%1)"/>
      <w:lvlJc w:val="left"/>
      <w:pPr>
        <w:ind w:left="828" w:hanging="360"/>
      </w:pPr>
      <w:rPr>
        <w:rFonts w:ascii="Calibri" w:eastAsia="Times New Roman" w:hAnsi="Calibri" w:cs="Times New Roman" w:hint="default"/>
        <w:b/>
        <w:color w:val="295CA3"/>
        <w:w w:val="94"/>
        <w:sz w:val="26"/>
        <w:szCs w:val="26"/>
      </w:rPr>
    </w:lvl>
    <w:lvl w:ilvl="1" w:tplc="99BC5C82">
      <w:start w:val="1"/>
      <w:numFmt w:val="decimal"/>
      <w:lvlText w:val="(%2)"/>
      <w:lvlJc w:val="left"/>
      <w:pPr>
        <w:ind w:left="1098" w:hanging="360"/>
      </w:pPr>
      <w:rPr>
        <w:rFonts w:ascii="Calibri" w:eastAsia="Times New Roman" w:hAnsi="Calibri" w:cs="Times New Roman" w:hint="default"/>
        <w:color w:val="295CA3"/>
        <w:w w:val="75"/>
        <w:sz w:val="22"/>
        <w:szCs w:val="22"/>
      </w:rPr>
    </w:lvl>
    <w:lvl w:ilvl="2" w:tplc="3DE860A4">
      <w:start w:val="1"/>
      <w:numFmt w:val="bullet"/>
      <w:lvlText w:val="•"/>
      <w:lvlJc w:val="left"/>
      <w:pPr>
        <w:ind w:left="2137" w:hanging="360"/>
      </w:pPr>
      <w:rPr>
        <w:rFonts w:hint="default"/>
      </w:rPr>
    </w:lvl>
    <w:lvl w:ilvl="3" w:tplc="0674EC54">
      <w:start w:val="1"/>
      <w:numFmt w:val="bullet"/>
      <w:lvlText w:val="•"/>
      <w:lvlJc w:val="left"/>
      <w:pPr>
        <w:ind w:left="3175" w:hanging="360"/>
      </w:pPr>
      <w:rPr>
        <w:rFonts w:hint="default"/>
      </w:rPr>
    </w:lvl>
    <w:lvl w:ilvl="4" w:tplc="0A025C72">
      <w:start w:val="1"/>
      <w:numFmt w:val="bullet"/>
      <w:lvlText w:val="•"/>
      <w:lvlJc w:val="left"/>
      <w:pPr>
        <w:ind w:left="4213" w:hanging="360"/>
      </w:pPr>
      <w:rPr>
        <w:rFonts w:hint="default"/>
      </w:rPr>
    </w:lvl>
    <w:lvl w:ilvl="5" w:tplc="D59E96F8">
      <w:start w:val="1"/>
      <w:numFmt w:val="bullet"/>
      <w:lvlText w:val="•"/>
      <w:lvlJc w:val="left"/>
      <w:pPr>
        <w:ind w:left="5251" w:hanging="360"/>
      </w:pPr>
      <w:rPr>
        <w:rFonts w:hint="default"/>
      </w:rPr>
    </w:lvl>
    <w:lvl w:ilvl="6" w:tplc="0DF82726">
      <w:start w:val="1"/>
      <w:numFmt w:val="bullet"/>
      <w:lvlText w:val="•"/>
      <w:lvlJc w:val="left"/>
      <w:pPr>
        <w:ind w:left="6288" w:hanging="360"/>
      </w:pPr>
      <w:rPr>
        <w:rFonts w:hint="default"/>
      </w:rPr>
    </w:lvl>
    <w:lvl w:ilvl="7" w:tplc="3FFCF732">
      <w:start w:val="1"/>
      <w:numFmt w:val="bullet"/>
      <w:lvlText w:val="•"/>
      <w:lvlJc w:val="left"/>
      <w:pPr>
        <w:ind w:left="7326" w:hanging="360"/>
      </w:pPr>
      <w:rPr>
        <w:rFonts w:hint="default"/>
      </w:rPr>
    </w:lvl>
    <w:lvl w:ilvl="8" w:tplc="E4121706">
      <w:start w:val="1"/>
      <w:numFmt w:val="bullet"/>
      <w:lvlText w:val="•"/>
      <w:lvlJc w:val="left"/>
      <w:pPr>
        <w:ind w:left="8364" w:hanging="360"/>
      </w:pPr>
      <w:rPr>
        <w:rFonts w:hint="default"/>
      </w:rPr>
    </w:lvl>
  </w:abstractNum>
  <w:abstractNum w:abstractNumId="94" w15:restartNumberingAfterBreak="0">
    <w:nsid w:val="4516109A"/>
    <w:multiLevelType w:val="hybridMultilevel"/>
    <w:tmpl w:val="3E8E4CCA"/>
    <w:lvl w:ilvl="0" w:tplc="04090001">
      <w:start w:val="1"/>
      <w:numFmt w:val="bullet"/>
      <w:lvlText w:val=""/>
      <w:lvlJc w:val="left"/>
      <w:pPr>
        <w:ind w:left="827" w:hanging="360"/>
      </w:pPr>
      <w:rPr>
        <w:rFonts w:ascii="Symbol" w:hAnsi="Symbol" w:hint="default"/>
      </w:rPr>
    </w:lvl>
    <w:lvl w:ilvl="1" w:tplc="04090003" w:tentative="1">
      <w:start w:val="1"/>
      <w:numFmt w:val="bullet"/>
      <w:lvlText w:val="o"/>
      <w:lvlJc w:val="left"/>
      <w:pPr>
        <w:ind w:left="1547" w:hanging="360"/>
      </w:pPr>
      <w:rPr>
        <w:rFonts w:ascii="Courier New" w:hAnsi="Courier New" w:cs="Courier New" w:hint="default"/>
      </w:rPr>
    </w:lvl>
    <w:lvl w:ilvl="2" w:tplc="04090005" w:tentative="1">
      <w:start w:val="1"/>
      <w:numFmt w:val="bullet"/>
      <w:lvlText w:val=""/>
      <w:lvlJc w:val="left"/>
      <w:pPr>
        <w:ind w:left="2267" w:hanging="360"/>
      </w:pPr>
      <w:rPr>
        <w:rFonts w:ascii="Wingdings" w:hAnsi="Wingdings" w:hint="default"/>
      </w:rPr>
    </w:lvl>
    <w:lvl w:ilvl="3" w:tplc="04090001" w:tentative="1">
      <w:start w:val="1"/>
      <w:numFmt w:val="bullet"/>
      <w:lvlText w:val=""/>
      <w:lvlJc w:val="left"/>
      <w:pPr>
        <w:ind w:left="2987" w:hanging="360"/>
      </w:pPr>
      <w:rPr>
        <w:rFonts w:ascii="Symbol" w:hAnsi="Symbol" w:hint="default"/>
      </w:rPr>
    </w:lvl>
    <w:lvl w:ilvl="4" w:tplc="04090003" w:tentative="1">
      <w:start w:val="1"/>
      <w:numFmt w:val="bullet"/>
      <w:lvlText w:val="o"/>
      <w:lvlJc w:val="left"/>
      <w:pPr>
        <w:ind w:left="3707" w:hanging="360"/>
      </w:pPr>
      <w:rPr>
        <w:rFonts w:ascii="Courier New" w:hAnsi="Courier New" w:cs="Courier New" w:hint="default"/>
      </w:rPr>
    </w:lvl>
    <w:lvl w:ilvl="5" w:tplc="04090005" w:tentative="1">
      <w:start w:val="1"/>
      <w:numFmt w:val="bullet"/>
      <w:lvlText w:val=""/>
      <w:lvlJc w:val="left"/>
      <w:pPr>
        <w:ind w:left="4427" w:hanging="360"/>
      </w:pPr>
      <w:rPr>
        <w:rFonts w:ascii="Wingdings" w:hAnsi="Wingdings" w:hint="default"/>
      </w:rPr>
    </w:lvl>
    <w:lvl w:ilvl="6" w:tplc="04090001" w:tentative="1">
      <w:start w:val="1"/>
      <w:numFmt w:val="bullet"/>
      <w:lvlText w:val=""/>
      <w:lvlJc w:val="left"/>
      <w:pPr>
        <w:ind w:left="5147" w:hanging="360"/>
      </w:pPr>
      <w:rPr>
        <w:rFonts w:ascii="Symbol" w:hAnsi="Symbol" w:hint="default"/>
      </w:rPr>
    </w:lvl>
    <w:lvl w:ilvl="7" w:tplc="04090003" w:tentative="1">
      <w:start w:val="1"/>
      <w:numFmt w:val="bullet"/>
      <w:lvlText w:val="o"/>
      <w:lvlJc w:val="left"/>
      <w:pPr>
        <w:ind w:left="5867" w:hanging="360"/>
      </w:pPr>
      <w:rPr>
        <w:rFonts w:ascii="Courier New" w:hAnsi="Courier New" w:cs="Courier New" w:hint="default"/>
      </w:rPr>
    </w:lvl>
    <w:lvl w:ilvl="8" w:tplc="04090005" w:tentative="1">
      <w:start w:val="1"/>
      <w:numFmt w:val="bullet"/>
      <w:lvlText w:val=""/>
      <w:lvlJc w:val="left"/>
      <w:pPr>
        <w:ind w:left="6587" w:hanging="360"/>
      </w:pPr>
      <w:rPr>
        <w:rFonts w:ascii="Wingdings" w:hAnsi="Wingdings" w:hint="default"/>
      </w:rPr>
    </w:lvl>
  </w:abstractNum>
  <w:abstractNum w:abstractNumId="95" w15:restartNumberingAfterBreak="0">
    <w:nsid w:val="45882DE6"/>
    <w:multiLevelType w:val="hybridMultilevel"/>
    <w:tmpl w:val="33FE07A6"/>
    <w:lvl w:ilvl="0" w:tplc="04090001">
      <w:start w:val="1"/>
      <w:numFmt w:val="bullet"/>
      <w:lvlText w:val=""/>
      <w:lvlJc w:val="left"/>
      <w:pPr>
        <w:ind w:left="827" w:hanging="360"/>
      </w:pPr>
      <w:rPr>
        <w:rFonts w:ascii="Symbol" w:hAnsi="Symbol" w:hint="default"/>
      </w:rPr>
    </w:lvl>
    <w:lvl w:ilvl="1" w:tplc="04090003">
      <w:start w:val="1"/>
      <w:numFmt w:val="bullet"/>
      <w:lvlText w:val="o"/>
      <w:lvlJc w:val="left"/>
      <w:pPr>
        <w:ind w:left="1547" w:hanging="360"/>
      </w:pPr>
      <w:rPr>
        <w:rFonts w:ascii="Courier New" w:hAnsi="Courier New" w:cs="Courier New" w:hint="default"/>
      </w:rPr>
    </w:lvl>
    <w:lvl w:ilvl="2" w:tplc="04090005" w:tentative="1">
      <w:start w:val="1"/>
      <w:numFmt w:val="bullet"/>
      <w:lvlText w:val=""/>
      <w:lvlJc w:val="left"/>
      <w:pPr>
        <w:ind w:left="2267" w:hanging="360"/>
      </w:pPr>
      <w:rPr>
        <w:rFonts w:ascii="Wingdings" w:hAnsi="Wingdings" w:hint="default"/>
      </w:rPr>
    </w:lvl>
    <w:lvl w:ilvl="3" w:tplc="04090001" w:tentative="1">
      <w:start w:val="1"/>
      <w:numFmt w:val="bullet"/>
      <w:lvlText w:val=""/>
      <w:lvlJc w:val="left"/>
      <w:pPr>
        <w:ind w:left="2987" w:hanging="360"/>
      </w:pPr>
      <w:rPr>
        <w:rFonts w:ascii="Symbol" w:hAnsi="Symbol" w:hint="default"/>
      </w:rPr>
    </w:lvl>
    <w:lvl w:ilvl="4" w:tplc="04090003" w:tentative="1">
      <w:start w:val="1"/>
      <w:numFmt w:val="bullet"/>
      <w:lvlText w:val="o"/>
      <w:lvlJc w:val="left"/>
      <w:pPr>
        <w:ind w:left="3707" w:hanging="360"/>
      </w:pPr>
      <w:rPr>
        <w:rFonts w:ascii="Courier New" w:hAnsi="Courier New" w:cs="Courier New" w:hint="default"/>
      </w:rPr>
    </w:lvl>
    <w:lvl w:ilvl="5" w:tplc="04090005" w:tentative="1">
      <w:start w:val="1"/>
      <w:numFmt w:val="bullet"/>
      <w:lvlText w:val=""/>
      <w:lvlJc w:val="left"/>
      <w:pPr>
        <w:ind w:left="4427" w:hanging="360"/>
      </w:pPr>
      <w:rPr>
        <w:rFonts w:ascii="Wingdings" w:hAnsi="Wingdings" w:hint="default"/>
      </w:rPr>
    </w:lvl>
    <w:lvl w:ilvl="6" w:tplc="04090001" w:tentative="1">
      <w:start w:val="1"/>
      <w:numFmt w:val="bullet"/>
      <w:lvlText w:val=""/>
      <w:lvlJc w:val="left"/>
      <w:pPr>
        <w:ind w:left="5147" w:hanging="360"/>
      </w:pPr>
      <w:rPr>
        <w:rFonts w:ascii="Symbol" w:hAnsi="Symbol" w:hint="default"/>
      </w:rPr>
    </w:lvl>
    <w:lvl w:ilvl="7" w:tplc="04090003" w:tentative="1">
      <w:start w:val="1"/>
      <w:numFmt w:val="bullet"/>
      <w:lvlText w:val="o"/>
      <w:lvlJc w:val="left"/>
      <w:pPr>
        <w:ind w:left="5867" w:hanging="360"/>
      </w:pPr>
      <w:rPr>
        <w:rFonts w:ascii="Courier New" w:hAnsi="Courier New" w:cs="Courier New" w:hint="default"/>
      </w:rPr>
    </w:lvl>
    <w:lvl w:ilvl="8" w:tplc="04090005" w:tentative="1">
      <w:start w:val="1"/>
      <w:numFmt w:val="bullet"/>
      <w:lvlText w:val=""/>
      <w:lvlJc w:val="left"/>
      <w:pPr>
        <w:ind w:left="6587" w:hanging="360"/>
      </w:pPr>
      <w:rPr>
        <w:rFonts w:ascii="Wingdings" w:hAnsi="Wingdings" w:hint="default"/>
      </w:rPr>
    </w:lvl>
  </w:abstractNum>
  <w:abstractNum w:abstractNumId="96" w15:restartNumberingAfterBreak="0">
    <w:nsid w:val="45D2401E"/>
    <w:multiLevelType w:val="hybridMultilevel"/>
    <w:tmpl w:val="23E6A14E"/>
    <w:lvl w:ilvl="0" w:tplc="04090001">
      <w:start w:val="1"/>
      <w:numFmt w:val="bullet"/>
      <w:lvlText w:val=""/>
      <w:lvlJc w:val="left"/>
      <w:pPr>
        <w:ind w:left="827" w:hanging="360"/>
      </w:pPr>
      <w:rPr>
        <w:rFonts w:ascii="Symbol" w:hAnsi="Symbol" w:hint="default"/>
      </w:rPr>
    </w:lvl>
    <w:lvl w:ilvl="1" w:tplc="04090003" w:tentative="1">
      <w:start w:val="1"/>
      <w:numFmt w:val="bullet"/>
      <w:lvlText w:val="o"/>
      <w:lvlJc w:val="left"/>
      <w:pPr>
        <w:ind w:left="1547" w:hanging="360"/>
      </w:pPr>
      <w:rPr>
        <w:rFonts w:ascii="Courier New" w:hAnsi="Courier New" w:cs="Courier New" w:hint="default"/>
      </w:rPr>
    </w:lvl>
    <w:lvl w:ilvl="2" w:tplc="04090005" w:tentative="1">
      <w:start w:val="1"/>
      <w:numFmt w:val="bullet"/>
      <w:lvlText w:val=""/>
      <w:lvlJc w:val="left"/>
      <w:pPr>
        <w:ind w:left="2267" w:hanging="360"/>
      </w:pPr>
      <w:rPr>
        <w:rFonts w:ascii="Wingdings" w:hAnsi="Wingdings" w:hint="default"/>
      </w:rPr>
    </w:lvl>
    <w:lvl w:ilvl="3" w:tplc="04090001" w:tentative="1">
      <w:start w:val="1"/>
      <w:numFmt w:val="bullet"/>
      <w:lvlText w:val=""/>
      <w:lvlJc w:val="left"/>
      <w:pPr>
        <w:ind w:left="2987" w:hanging="360"/>
      </w:pPr>
      <w:rPr>
        <w:rFonts w:ascii="Symbol" w:hAnsi="Symbol" w:hint="default"/>
      </w:rPr>
    </w:lvl>
    <w:lvl w:ilvl="4" w:tplc="04090003" w:tentative="1">
      <w:start w:val="1"/>
      <w:numFmt w:val="bullet"/>
      <w:lvlText w:val="o"/>
      <w:lvlJc w:val="left"/>
      <w:pPr>
        <w:ind w:left="3707" w:hanging="360"/>
      </w:pPr>
      <w:rPr>
        <w:rFonts w:ascii="Courier New" w:hAnsi="Courier New" w:cs="Courier New" w:hint="default"/>
      </w:rPr>
    </w:lvl>
    <w:lvl w:ilvl="5" w:tplc="04090005" w:tentative="1">
      <w:start w:val="1"/>
      <w:numFmt w:val="bullet"/>
      <w:lvlText w:val=""/>
      <w:lvlJc w:val="left"/>
      <w:pPr>
        <w:ind w:left="4427" w:hanging="360"/>
      </w:pPr>
      <w:rPr>
        <w:rFonts w:ascii="Wingdings" w:hAnsi="Wingdings" w:hint="default"/>
      </w:rPr>
    </w:lvl>
    <w:lvl w:ilvl="6" w:tplc="04090001" w:tentative="1">
      <w:start w:val="1"/>
      <w:numFmt w:val="bullet"/>
      <w:lvlText w:val=""/>
      <w:lvlJc w:val="left"/>
      <w:pPr>
        <w:ind w:left="5147" w:hanging="360"/>
      </w:pPr>
      <w:rPr>
        <w:rFonts w:ascii="Symbol" w:hAnsi="Symbol" w:hint="default"/>
      </w:rPr>
    </w:lvl>
    <w:lvl w:ilvl="7" w:tplc="04090003" w:tentative="1">
      <w:start w:val="1"/>
      <w:numFmt w:val="bullet"/>
      <w:lvlText w:val="o"/>
      <w:lvlJc w:val="left"/>
      <w:pPr>
        <w:ind w:left="5867" w:hanging="360"/>
      </w:pPr>
      <w:rPr>
        <w:rFonts w:ascii="Courier New" w:hAnsi="Courier New" w:cs="Courier New" w:hint="default"/>
      </w:rPr>
    </w:lvl>
    <w:lvl w:ilvl="8" w:tplc="04090005" w:tentative="1">
      <w:start w:val="1"/>
      <w:numFmt w:val="bullet"/>
      <w:lvlText w:val=""/>
      <w:lvlJc w:val="left"/>
      <w:pPr>
        <w:ind w:left="6587" w:hanging="360"/>
      </w:pPr>
      <w:rPr>
        <w:rFonts w:ascii="Wingdings" w:hAnsi="Wingdings" w:hint="default"/>
      </w:rPr>
    </w:lvl>
  </w:abstractNum>
  <w:abstractNum w:abstractNumId="97" w15:restartNumberingAfterBreak="0">
    <w:nsid w:val="48231AC7"/>
    <w:multiLevelType w:val="hybridMultilevel"/>
    <w:tmpl w:val="E1FE7806"/>
    <w:lvl w:ilvl="0" w:tplc="04090001">
      <w:start w:val="1"/>
      <w:numFmt w:val="bullet"/>
      <w:lvlText w:val=""/>
      <w:lvlJc w:val="left"/>
      <w:pPr>
        <w:ind w:left="810" w:hanging="360"/>
      </w:pPr>
      <w:rPr>
        <w:rFonts w:ascii="Symbol" w:hAnsi="Symbol" w:hint="default"/>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98" w15:restartNumberingAfterBreak="0">
    <w:nsid w:val="49045965"/>
    <w:multiLevelType w:val="hybridMultilevel"/>
    <w:tmpl w:val="91B44818"/>
    <w:lvl w:ilvl="0" w:tplc="04090001">
      <w:start w:val="1"/>
      <w:numFmt w:val="bullet"/>
      <w:lvlText w:val=""/>
      <w:lvlJc w:val="left"/>
      <w:pPr>
        <w:ind w:left="810" w:hanging="360"/>
      </w:pPr>
      <w:rPr>
        <w:rFonts w:ascii="Symbol" w:hAnsi="Symbol" w:hint="default"/>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99" w15:restartNumberingAfterBreak="0">
    <w:nsid w:val="49C55986"/>
    <w:multiLevelType w:val="hybridMultilevel"/>
    <w:tmpl w:val="734ED680"/>
    <w:lvl w:ilvl="0" w:tplc="04090001">
      <w:start w:val="1"/>
      <w:numFmt w:val="bullet"/>
      <w:lvlText w:val=""/>
      <w:lvlJc w:val="left"/>
      <w:pPr>
        <w:ind w:left="810" w:hanging="360"/>
      </w:pPr>
      <w:rPr>
        <w:rFonts w:ascii="Symbol" w:hAnsi="Symbol" w:hint="default"/>
      </w:rPr>
    </w:lvl>
    <w:lvl w:ilvl="1" w:tplc="04090001">
      <w:start w:val="1"/>
      <w:numFmt w:val="bullet"/>
      <w:lvlText w:val=""/>
      <w:lvlJc w:val="left"/>
      <w:pPr>
        <w:ind w:left="1530" w:hanging="360"/>
      </w:pPr>
      <w:rPr>
        <w:rFonts w:ascii="Symbol" w:hAnsi="Symbol" w:hint="default"/>
      </w:rPr>
    </w:lvl>
    <w:lvl w:ilvl="2" w:tplc="04090005">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100" w15:restartNumberingAfterBreak="0">
    <w:nsid w:val="4A892740"/>
    <w:multiLevelType w:val="hybridMultilevel"/>
    <w:tmpl w:val="9886D16C"/>
    <w:lvl w:ilvl="0" w:tplc="8BDAADC2">
      <w:start w:val="1"/>
      <w:numFmt w:val="lowerLetter"/>
      <w:lvlText w:val="(%1)"/>
      <w:lvlJc w:val="left"/>
      <w:pPr>
        <w:ind w:left="828" w:hanging="360"/>
      </w:pPr>
      <w:rPr>
        <w:rFonts w:ascii="Calibri" w:eastAsia="Times New Roman" w:hAnsi="Calibri" w:cs="Times New Roman" w:hint="default"/>
        <w:color w:val="295CA3"/>
        <w:w w:val="94"/>
        <w:sz w:val="24"/>
        <w:szCs w:val="24"/>
      </w:rPr>
    </w:lvl>
    <w:lvl w:ilvl="1" w:tplc="28A6E28E">
      <w:start w:val="1"/>
      <w:numFmt w:val="decimal"/>
      <w:lvlText w:val="(%2)"/>
      <w:lvlJc w:val="left"/>
      <w:pPr>
        <w:ind w:left="108" w:hanging="360"/>
      </w:pPr>
      <w:rPr>
        <w:rFonts w:asciiTheme="minorHAnsi" w:eastAsia="Times New Roman" w:hAnsiTheme="minorHAnsi" w:cs="Times New Roman"/>
        <w:color w:val="295CA3"/>
        <w:w w:val="75"/>
        <w:sz w:val="24"/>
        <w:szCs w:val="24"/>
      </w:rPr>
    </w:lvl>
    <w:lvl w:ilvl="2" w:tplc="949001CE">
      <w:start w:val="1"/>
      <w:numFmt w:val="decimal"/>
      <w:lvlText w:val="(%3)"/>
      <w:lvlJc w:val="left"/>
      <w:pPr>
        <w:ind w:left="2267" w:hanging="434"/>
      </w:pPr>
      <w:rPr>
        <w:rFonts w:asciiTheme="minorHAnsi" w:eastAsia="Times New Roman" w:hAnsiTheme="minorHAnsi" w:cs="Times New Roman"/>
        <w:b/>
        <w:color w:val="295CA3"/>
        <w:w w:val="97"/>
        <w:sz w:val="22"/>
        <w:szCs w:val="22"/>
      </w:rPr>
    </w:lvl>
    <w:lvl w:ilvl="3" w:tplc="52D644C8">
      <w:start w:val="1"/>
      <w:numFmt w:val="lowerRoman"/>
      <w:lvlText w:val="(%4)"/>
      <w:lvlJc w:val="left"/>
      <w:pPr>
        <w:ind w:left="3168" w:hanging="540"/>
      </w:pPr>
      <w:rPr>
        <w:rFonts w:ascii="Calibri" w:eastAsia="Times New Roman" w:hAnsi="Calibri" w:cs="Times New Roman" w:hint="default"/>
        <w:color w:val="295CA3"/>
        <w:w w:val="86"/>
        <w:sz w:val="22"/>
        <w:szCs w:val="22"/>
      </w:rPr>
    </w:lvl>
    <w:lvl w:ilvl="4" w:tplc="F77CE880">
      <w:start w:val="1"/>
      <w:numFmt w:val="bullet"/>
      <w:lvlText w:val="•"/>
      <w:lvlJc w:val="left"/>
      <w:pPr>
        <w:ind w:left="3160" w:hanging="540"/>
      </w:pPr>
      <w:rPr>
        <w:rFonts w:hint="default"/>
      </w:rPr>
    </w:lvl>
    <w:lvl w:ilvl="5" w:tplc="FFD07C68">
      <w:start w:val="1"/>
      <w:numFmt w:val="bullet"/>
      <w:lvlText w:val="•"/>
      <w:lvlJc w:val="left"/>
      <w:pPr>
        <w:ind w:left="3700" w:hanging="540"/>
      </w:pPr>
      <w:rPr>
        <w:rFonts w:hint="default"/>
      </w:rPr>
    </w:lvl>
    <w:lvl w:ilvl="6" w:tplc="18945B5A">
      <w:start w:val="1"/>
      <w:numFmt w:val="bullet"/>
      <w:lvlText w:val="•"/>
      <w:lvlJc w:val="left"/>
      <w:pPr>
        <w:ind w:left="5048" w:hanging="540"/>
      </w:pPr>
      <w:rPr>
        <w:rFonts w:hint="default"/>
      </w:rPr>
    </w:lvl>
    <w:lvl w:ilvl="7" w:tplc="F8D6B14A">
      <w:start w:val="1"/>
      <w:numFmt w:val="bullet"/>
      <w:lvlText w:val="•"/>
      <w:lvlJc w:val="left"/>
      <w:pPr>
        <w:ind w:left="6396" w:hanging="540"/>
      </w:pPr>
      <w:rPr>
        <w:rFonts w:hint="default"/>
      </w:rPr>
    </w:lvl>
    <w:lvl w:ilvl="8" w:tplc="04E64E46">
      <w:start w:val="1"/>
      <w:numFmt w:val="bullet"/>
      <w:lvlText w:val="•"/>
      <w:lvlJc w:val="left"/>
      <w:pPr>
        <w:ind w:left="7744" w:hanging="540"/>
      </w:pPr>
      <w:rPr>
        <w:rFonts w:hint="default"/>
      </w:rPr>
    </w:lvl>
  </w:abstractNum>
  <w:abstractNum w:abstractNumId="101" w15:restartNumberingAfterBreak="0">
    <w:nsid w:val="4B373C4C"/>
    <w:multiLevelType w:val="hybridMultilevel"/>
    <w:tmpl w:val="FED018C2"/>
    <w:lvl w:ilvl="0" w:tplc="04090001">
      <w:start w:val="1"/>
      <w:numFmt w:val="bullet"/>
      <w:lvlText w:val=""/>
      <w:lvlJc w:val="left"/>
      <w:pPr>
        <w:ind w:left="810" w:hanging="360"/>
      </w:pPr>
      <w:rPr>
        <w:rFonts w:ascii="Symbol" w:hAnsi="Symbol" w:hint="default"/>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102" w15:restartNumberingAfterBreak="0">
    <w:nsid w:val="4BCB7449"/>
    <w:multiLevelType w:val="hybridMultilevel"/>
    <w:tmpl w:val="DC7C14F6"/>
    <w:lvl w:ilvl="0" w:tplc="04090001">
      <w:start w:val="1"/>
      <w:numFmt w:val="bullet"/>
      <w:lvlText w:val=""/>
      <w:lvlJc w:val="left"/>
      <w:pPr>
        <w:ind w:left="810" w:hanging="360"/>
      </w:pPr>
      <w:rPr>
        <w:rFonts w:ascii="Symbol" w:hAnsi="Symbol" w:hint="default"/>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103" w15:restartNumberingAfterBreak="0">
    <w:nsid w:val="4C727D75"/>
    <w:multiLevelType w:val="hybridMultilevel"/>
    <w:tmpl w:val="A8DA3B04"/>
    <w:lvl w:ilvl="0" w:tplc="04090001">
      <w:start w:val="1"/>
      <w:numFmt w:val="bullet"/>
      <w:lvlText w:val=""/>
      <w:lvlJc w:val="left"/>
      <w:pPr>
        <w:ind w:left="810" w:hanging="360"/>
      </w:pPr>
      <w:rPr>
        <w:rFonts w:ascii="Symbol" w:hAnsi="Symbol" w:hint="default"/>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104" w15:restartNumberingAfterBreak="0">
    <w:nsid w:val="4C7901F3"/>
    <w:multiLevelType w:val="hybridMultilevel"/>
    <w:tmpl w:val="D2CEB634"/>
    <w:lvl w:ilvl="0" w:tplc="0409000F">
      <w:start w:val="1"/>
      <w:numFmt w:val="decimal"/>
      <w:lvlText w:val="%1."/>
      <w:lvlJc w:val="left"/>
      <w:pPr>
        <w:ind w:left="827" w:hanging="360"/>
      </w:pPr>
    </w:lvl>
    <w:lvl w:ilvl="1" w:tplc="04090019" w:tentative="1">
      <w:start w:val="1"/>
      <w:numFmt w:val="lowerLetter"/>
      <w:lvlText w:val="%2."/>
      <w:lvlJc w:val="left"/>
      <w:pPr>
        <w:ind w:left="1547" w:hanging="360"/>
      </w:pPr>
    </w:lvl>
    <w:lvl w:ilvl="2" w:tplc="0409001B" w:tentative="1">
      <w:start w:val="1"/>
      <w:numFmt w:val="lowerRoman"/>
      <w:lvlText w:val="%3."/>
      <w:lvlJc w:val="right"/>
      <w:pPr>
        <w:ind w:left="2267" w:hanging="180"/>
      </w:pPr>
    </w:lvl>
    <w:lvl w:ilvl="3" w:tplc="0409000F" w:tentative="1">
      <w:start w:val="1"/>
      <w:numFmt w:val="decimal"/>
      <w:lvlText w:val="%4."/>
      <w:lvlJc w:val="left"/>
      <w:pPr>
        <w:ind w:left="2987" w:hanging="360"/>
      </w:pPr>
    </w:lvl>
    <w:lvl w:ilvl="4" w:tplc="04090019" w:tentative="1">
      <w:start w:val="1"/>
      <w:numFmt w:val="lowerLetter"/>
      <w:lvlText w:val="%5."/>
      <w:lvlJc w:val="left"/>
      <w:pPr>
        <w:ind w:left="3707" w:hanging="360"/>
      </w:pPr>
    </w:lvl>
    <w:lvl w:ilvl="5" w:tplc="0409001B" w:tentative="1">
      <w:start w:val="1"/>
      <w:numFmt w:val="lowerRoman"/>
      <w:lvlText w:val="%6."/>
      <w:lvlJc w:val="right"/>
      <w:pPr>
        <w:ind w:left="4427" w:hanging="180"/>
      </w:pPr>
    </w:lvl>
    <w:lvl w:ilvl="6" w:tplc="0409000F" w:tentative="1">
      <w:start w:val="1"/>
      <w:numFmt w:val="decimal"/>
      <w:lvlText w:val="%7."/>
      <w:lvlJc w:val="left"/>
      <w:pPr>
        <w:ind w:left="5147" w:hanging="360"/>
      </w:pPr>
    </w:lvl>
    <w:lvl w:ilvl="7" w:tplc="04090019" w:tentative="1">
      <w:start w:val="1"/>
      <w:numFmt w:val="lowerLetter"/>
      <w:lvlText w:val="%8."/>
      <w:lvlJc w:val="left"/>
      <w:pPr>
        <w:ind w:left="5867" w:hanging="360"/>
      </w:pPr>
    </w:lvl>
    <w:lvl w:ilvl="8" w:tplc="0409001B" w:tentative="1">
      <w:start w:val="1"/>
      <w:numFmt w:val="lowerRoman"/>
      <w:lvlText w:val="%9."/>
      <w:lvlJc w:val="right"/>
      <w:pPr>
        <w:ind w:left="6587" w:hanging="180"/>
      </w:pPr>
    </w:lvl>
  </w:abstractNum>
  <w:abstractNum w:abstractNumId="105" w15:restartNumberingAfterBreak="0">
    <w:nsid w:val="4D783EA9"/>
    <w:multiLevelType w:val="hybridMultilevel"/>
    <w:tmpl w:val="CDBA11A2"/>
    <w:lvl w:ilvl="0" w:tplc="04090001">
      <w:start w:val="1"/>
      <w:numFmt w:val="bullet"/>
      <w:lvlText w:val=""/>
      <w:lvlJc w:val="left"/>
      <w:pPr>
        <w:ind w:left="827" w:hanging="360"/>
      </w:pPr>
      <w:rPr>
        <w:rFonts w:ascii="Symbol" w:hAnsi="Symbol" w:hint="default"/>
      </w:rPr>
    </w:lvl>
    <w:lvl w:ilvl="1" w:tplc="04090003" w:tentative="1">
      <w:start w:val="1"/>
      <w:numFmt w:val="bullet"/>
      <w:lvlText w:val="o"/>
      <w:lvlJc w:val="left"/>
      <w:pPr>
        <w:ind w:left="1547" w:hanging="360"/>
      </w:pPr>
      <w:rPr>
        <w:rFonts w:ascii="Courier New" w:hAnsi="Courier New" w:cs="Courier New" w:hint="default"/>
      </w:rPr>
    </w:lvl>
    <w:lvl w:ilvl="2" w:tplc="04090005" w:tentative="1">
      <w:start w:val="1"/>
      <w:numFmt w:val="bullet"/>
      <w:lvlText w:val=""/>
      <w:lvlJc w:val="left"/>
      <w:pPr>
        <w:ind w:left="2267" w:hanging="360"/>
      </w:pPr>
      <w:rPr>
        <w:rFonts w:ascii="Wingdings" w:hAnsi="Wingdings" w:hint="default"/>
      </w:rPr>
    </w:lvl>
    <w:lvl w:ilvl="3" w:tplc="04090001" w:tentative="1">
      <w:start w:val="1"/>
      <w:numFmt w:val="bullet"/>
      <w:lvlText w:val=""/>
      <w:lvlJc w:val="left"/>
      <w:pPr>
        <w:ind w:left="2987" w:hanging="360"/>
      </w:pPr>
      <w:rPr>
        <w:rFonts w:ascii="Symbol" w:hAnsi="Symbol" w:hint="default"/>
      </w:rPr>
    </w:lvl>
    <w:lvl w:ilvl="4" w:tplc="04090003" w:tentative="1">
      <w:start w:val="1"/>
      <w:numFmt w:val="bullet"/>
      <w:lvlText w:val="o"/>
      <w:lvlJc w:val="left"/>
      <w:pPr>
        <w:ind w:left="3707" w:hanging="360"/>
      </w:pPr>
      <w:rPr>
        <w:rFonts w:ascii="Courier New" w:hAnsi="Courier New" w:cs="Courier New" w:hint="default"/>
      </w:rPr>
    </w:lvl>
    <w:lvl w:ilvl="5" w:tplc="04090005" w:tentative="1">
      <w:start w:val="1"/>
      <w:numFmt w:val="bullet"/>
      <w:lvlText w:val=""/>
      <w:lvlJc w:val="left"/>
      <w:pPr>
        <w:ind w:left="4427" w:hanging="360"/>
      </w:pPr>
      <w:rPr>
        <w:rFonts w:ascii="Wingdings" w:hAnsi="Wingdings" w:hint="default"/>
      </w:rPr>
    </w:lvl>
    <w:lvl w:ilvl="6" w:tplc="04090001" w:tentative="1">
      <w:start w:val="1"/>
      <w:numFmt w:val="bullet"/>
      <w:lvlText w:val=""/>
      <w:lvlJc w:val="left"/>
      <w:pPr>
        <w:ind w:left="5147" w:hanging="360"/>
      </w:pPr>
      <w:rPr>
        <w:rFonts w:ascii="Symbol" w:hAnsi="Symbol" w:hint="default"/>
      </w:rPr>
    </w:lvl>
    <w:lvl w:ilvl="7" w:tplc="04090003" w:tentative="1">
      <w:start w:val="1"/>
      <w:numFmt w:val="bullet"/>
      <w:lvlText w:val="o"/>
      <w:lvlJc w:val="left"/>
      <w:pPr>
        <w:ind w:left="5867" w:hanging="360"/>
      </w:pPr>
      <w:rPr>
        <w:rFonts w:ascii="Courier New" w:hAnsi="Courier New" w:cs="Courier New" w:hint="default"/>
      </w:rPr>
    </w:lvl>
    <w:lvl w:ilvl="8" w:tplc="04090005" w:tentative="1">
      <w:start w:val="1"/>
      <w:numFmt w:val="bullet"/>
      <w:lvlText w:val=""/>
      <w:lvlJc w:val="left"/>
      <w:pPr>
        <w:ind w:left="6587" w:hanging="360"/>
      </w:pPr>
      <w:rPr>
        <w:rFonts w:ascii="Wingdings" w:hAnsi="Wingdings" w:hint="default"/>
      </w:rPr>
    </w:lvl>
  </w:abstractNum>
  <w:abstractNum w:abstractNumId="106" w15:restartNumberingAfterBreak="0">
    <w:nsid w:val="4E0313FA"/>
    <w:multiLevelType w:val="hybridMultilevel"/>
    <w:tmpl w:val="621C423A"/>
    <w:lvl w:ilvl="0" w:tplc="04090001">
      <w:start w:val="1"/>
      <w:numFmt w:val="bullet"/>
      <w:lvlText w:val=""/>
      <w:lvlJc w:val="left"/>
      <w:pPr>
        <w:ind w:left="792" w:hanging="360"/>
      </w:pPr>
      <w:rPr>
        <w:rFonts w:ascii="Symbol" w:hAnsi="Symbol" w:hint="default"/>
      </w:rPr>
    </w:lvl>
    <w:lvl w:ilvl="1" w:tplc="04090003" w:tentative="1">
      <w:start w:val="1"/>
      <w:numFmt w:val="bullet"/>
      <w:lvlText w:val="o"/>
      <w:lvlJc w:val="left"/>
      <w:pPr>
        <w:ind w:left="1512" w:hanging="360"/>
      </w:pPr>
      <w:rPr>
        <w:rFonts w:ascii="Courier New" w:hAnsi="Courier New" w:cs="Courier New" w:hint="default"/>
      </w:rPr>
    </w:lvl>
    <w:lvl w:ilvl="2" w:tplc="04090005" w:tentative="1">
      <w:start w:val="1"/>
      <w:numFmt w:val="bullet"/>
      <w:lvlText w:val=""/>
      <w:lvlJc w:val="left"/>
      <w:pPr>
        <w:ind w:left="2232" w:hanging="360"/>
      </w:pPr>
      <w:rPr>
        <w:rFonts w:ascii="Wingdings" w:hAnsi="Wingdings" w:hint="default"/>
      </w:rPr>
    </w:lvl>
    <w:lvl w:ilvl="3" w:tplc="04090001" w:tentative="1">
      <w:start w:val="1"/>
      <w:numFmt w:val="bullet"/>
      <w:lvlText w:val=""/>
      <w:lvlJc w:val="left"/>
      <w:pPr>
        <w:ind w:left="2952" w:hanging="360"/>
      </w:pPr>
      <w:rPr>
        <w:rFonts w:ascii="Symbol" w:hAnsi="Symbol" w:hint="default"/>
      </w:rPr>
    </w:lvl>
    <w:lvl w:ilvl="4" w:tplc="04090003" w:tentative="1">
      <w:start w:val="1"/>
      <w:numFmt w:val="bullet"/>
      <w:lvlText w:val="o"/>
      <w:lvlJc w:val="left"/>
      <w:pPr>
        <w:ind w:left="3672" w:hanging="360"/>
      </w:pPr>
      <w:rPr>
        <w:rFonts w:ascii="Courier New" w:hAnsi="Courier New" w:cs="Courier New" w:hint="default"/>
      </w:rPr>
    </w:lvl>
    <w:lvl w:ilvl="5" w:tplc="04090005" w:tentative="1">
      <w:start w:val="1"/>
      <w:numFmt w:val="bullet"/>
      <w:lvlText w:val=""/>
      <w:lvlJc w:val="left"/>
      <w:pPr>
        <w:ind w:left="4392" w:hanging="360"/>
      </w:pPr>
      <w:rPr>
        <w:rFonts w:ascii="Wingdings" w:hAnsi="Wingdings" w:hint="default"/>
      </w:rPr>
    </w:lvl>
    <w:lvl w:ilvl="6" w:tplc="04090001" w:tentative="1">
      <w:start w:val="1"/>
      <w:numFmt w:val="bullet"/>
      <w:lvlText w:val=""/>
      <w:lvlJc w:val="left"/>
      <w:pPr>
        <w:ind w:left="5112" w:hanging="360"/>
      </w:pPr>
      <w:rPr>
        <w:rFonts w:ascii="Symbol" w:hAnsi="Symbol" w:hint="default"/>
      </w:rPr>
    </w:lvl>
    <w:lvl w:ilvl="7" w:tplc="04090003" w:tentative="1">
      <w:start w:val="1"/>
      <w:numFmt w:val="bullet"/>
      <w:lvlText w:val="o"/>
      <w:lvlJc w:val="left"/>
      <w:pPr>
        <w:ind w:left="5832" w:hanging="360"/>
      </w:pPr>
      <w:rPr>
        <w:rFonts w:ascii="Courier New" w:hAnsi="Courier New" w:cs="Courier New" w:hint="default"/>
      </w:rPr>
    </w:lvl>
    <w:lvl w:ilvl="8" w:tplc="04090005" w:tentative="1">
      <w:start w:val="1"/>
      <w:numFmt w:val="bullet"/>
      <w:lvlText w:val=""/>
      <w:lvlJc w:val="left"/>
      <w:pPr>
        <w:ind w:left="6552" w:hanging="360"/>
      </w:pPr>
      <w:rPr>
        <w:rFonts w:ascii="Wingdings" w:hAnsi="Wingdings" w:hint="default"/>
      </w:rPr>
    </w:lvl>
  </w:abstractNum>
  <w:abstractNum w:abstractNumId="107" w15:restartNumberingAfterBreak="0">
    <w:nsid w:val="4F3141AF"/>
    <w:multiLevelType w:val="hybridMultilevel"/>
    <w:tmpl w:val="1DDC001E"/>
    <w:lvl w:ilvl="0" w:tplc="04090001">
      <w:start w:val="1"/>
      <w:numFmt w:val="bullet"/>
      <w:lvlText w:val=""/>
      <w:lvlJc w:val="left"/>
      <w:pPr>
        <w:ind w:left="827" w:hanging="360"/>
      </w:pPr>
      <w:rPr>
        <w:rFonts w:ascii="Symbol" w:hAnsi="Symbol" w:hint="default"/>
      </w:rPr>
    </w:lvl>
    <w:lvl w:ilvl="1" w:tplc="04090003" w:tentative="1">
      <w:start w:val="1"/>
      <w:numFmt w:val="bullet"/>
      <w:lvlText w:val="o"/>
      <w:lvlJc w:val="left"/>
      <w:pPr>
        <w:ind w:left="1547" w:hanging="360"/>
      </w:pPr>
      <w:rPr>
        <w:rFonts w:ascii="Courier New" w:hAnsi="Courier New" w:cs="Courier New" w:hint="default"/>
      </w:rPr>
    </w:lvl>
    <w:lvl w:ilvl="2" w:tplc="04090005" w:tentative="1">
      <w:start w:val="1"/>
      <w:numFmt w:val="bullet"/>
      <w:lvlText w:val=""/>
      <w:lvlJc w:val="left"/>
      <w:pPr>
        <w:ind w:left="2267" w:hanging="360"/>
      </w:pPr>
      <w:rPr>
        <w:rFonts w:ascii="Wingdings" w:hAnsi="Wingdings" w:hint="default"/>
      </w:rPr>
    </w:lvl>
    <w:lvl w:ilvl="3" w:tplc="04090001" w:tentative="1">
      <w:start w:val="1"/>
      <w:numFmt w:val="bullet"/>
      <w:lvlText w:val=""/>
      <w:lvlJc w:val="left"/>
      <w:pPr>
        <w:ind w:left="2987" w:hanging="360"/>
      </w:pPr>
      <w:rPr>
        <w:rFonts w:ascii="Symbol" w:hAnsi="Symbol" w:hint="default"/>
      </w:rPr>
    </w:lvl>
    <w:lvl w:ilvl="4" w:tplc="04090003" w:tentative="1">
      <w:start w:val="1"/>
      <w:numFmt w:val="bullet"/>
      <w:lvlText w:val="o"/>
      <w:lvlJc w:val="left"/>
      <w:pPr>
        <w:ind w:left="3707" w:hanging="360"/>
      </w:pPr>
      <w:rPr>
        <w:rFonts w:ascii="Courier New" w:hAnsi="Courier New" w:cs="Courier New" w:hint="default"/>
      </w:rPr>
    </w:lvl>
    <w:lvl w:ilvl="5" w:tplc="04090005" w:tentative="1">
      <w:start w:val="1"/>
      <w:numFmt w:val="bullet"/>
      <w:lvlText w:val=""/>
      <w:lvlJc w:val="left"/>
      <w:pPr>
        <w:ind w:left="4427" w:hanging="360"/>
      </w:pPr>
      <w:rPr>
        <w:rFonts w:ascii="Wingdings" w:hAnsi="Wingdings" w:hint="default"/>
      </w:rPr>
    </w:lvl>
    <w:lvl w:ilvl="6" w:tplc="04090001" w:tentative="1">
      <w:start w:val="1"/>
      <w:numFmt w:val="bullet"/>
      <w:lvlText w:val=""/>
      <w:lvlJc w:val="left"/>
      <w:pPr>
        <w:ind w:left="5147" w:hanging="360"/>
      </w:pPr>
      <w:rPr>
        <w:rFonts w:ascii="Symbol" w:hAnsi="Symbol" w:hint="default"/>
      </w:rPr>
    </w:lvl>
    <w:lvl w:ilvl="7" w:tplc="04090003" w:tentative="1">
      <w:start w:val="1"/>
      <w:numFmt w:val="bullet"/>
      <w:lvlText w:val="o"/>
      <w:lvlJc w:val="left"/>
      <w:pPr>
        <w:ind w:left="5867" w:hanging="360"/>
      </w:pPr>
      <w:rPr>
        <w:rFonts w:ascii="Courier New" w:hAnsi="Courier New" w:cs="Courier New" w:hint="default"/>
      </w:rPr>
    </w:lvl>
    <w:lvl w:ilvl="8" w:tplc="04090005" w:tentative="1">
      <w:start w:val="1"/>
      <w:numFmt w:val="bullet"/>
      <w:lvlText w:val=""/>
      <w:lvlJc w:val="left"/>
      <w:pPr>
        <w:ind w:left="6587" w:hanging="360"/>
      </w:pPr>
      <w:rPr>
        <w:rFonts w:ascii="Wingdings" w:hAnsi="Wingdings" w:hint="default"/>
      </w:rPr>
    </w:lvl>
  </w:abstractNum>
  <w:abstractNum w:abstractNumId="108" w15:restartNumberingAfterBreak="0">
    <w:nsid w:val="4F9D0F6B"/>
    <w:multiLevelType w:val="hybridMultilevel"/>
    <w:tmpl w:val="4B50D4E0"/>
    <w:lvl w:ilvl="0" w:tplc="0409000F">
      <w:start w:val="1"/>
      <w:numFmt w:val="decimal"/>
      <w:lvlText w:val="%1."/>
      <w:lvlJc w:val="left"/>
      <w:pPr>
        <w:ind w:left="827" w:hanging="360"/>
      </w:pPr>
    </w:lvl>
    <w:lvl w:ilvl="1" w:tplc="04090019" w:tentative="1">
      <w:start w:val="1"/>
      <w:numFmt w:val="lowerLetter"/>
      <w:lvlText w:val="%2."/>
      <w:lvlJc w:val="left"/>
      <w:pPr>
        <w:ind w:left="1547" w:hanging="360"/>
      </w:pPr>
    </w:lvl>
    <w:lvl w:ilvl="2" w:tplc="0409001B" w:tentative="1">
      <w:start w:val="1"/>
      <w:numFmt w:val="lowerRoman"/>
      <w:lvlText w:val="%3."/>
      <w:lvlJc w:val="right"/>
      <w:pPr>
        <w:ind w:left="2267" w:hanging="180"/>
      </w:pPr>
    </w:lvl>
    <w:lvl w:ilvl="3" w:tplc="0409000F" w:tentative="1">
      <w:start w:val="1"/>
      <w:numFmt w:val="decimal"/>
      <w:lvlText w:val="%4."/>
      <w:lvlJc w:val="left"/>
      <w:pPr>
        <w:ind w:left="2987" w:hanging="360"/>
      </w:pPr>
    </w:lvl>
    <w:lvl w:ilvl="4" w:tplc="04090019" w:tentative="1">
      <w:start w:val="1"/>
      <w:numFmt w:val="lowerLetter"/>
      <w:lvlText w:val="%5."/>
      <w:lvlJc w:val="left"/>
      <w:pPr>
        <w:ind w:left="3707" w:hanging="360"/>
      </w:pPr>
    </w:lvl>
    <w:lvl w:ilvl="5" w:tplc="0409001B" w:tentative="1">
      <w:start w:val="1"/>
      <w:numFmt w:val="lowerRoman"/>
      <w:lvlText w:val="%6."/>
      <w:lvlJc w:val="right"/>
      <w:pPr>
        <w:ind w:left="4427" w:hanging="180"/>
      </w:pPr>
    </w:lvl>
    <w:lvl w:ilvl="6" w:tplc="0409000F" w:tentative="1">
      <w:start w:val="1"/>
      <w:numFmt w:val="decimal"/>
      <w:lvlText w:val="%7."/>
      <w:lvlJc w:val="left"/>
      <w:pPr>
        <w:ind w:left="5147" w:hanging="360"/>
      </w:pPr>
    </w:lvl>
    <w:lvl w:ilvl="7" w:tplc="04090019" w:tentative="1">
      <w:start w:val="1"/>
      <w:numFmt w:val="lowerLetter"/>
      <w:lvlText w:val="%8."/>
      <w:lvlJc w:val="left"/>
      <w:pPr>
        <w:ind w:left="5867" w:hanging="360"/>
      </w:pPr>
    </w:lvl>
    <w:lvl w:ilvl="8" w:tplc="0409001B" w:tentative="1">
      <w:start w:val="1"/>
      <w:numFmt w:val="lowerRoman"/>
      <w:lvlText w:val="%9."/>
      <w:lvlJc w:val="right"/>
      <w:pPr>
        <w:ind w:left="6587" w:hanging="180"/>
      </w:pPr>
    </w:lvl>
  </w:abstractNum>
  <w:abstractNum w:abstractNumId="109" w15:restartNumberingAfterBreak="0">
    <w:nsid w:val="503958B9"/>
    <w:multiLevelType w:val="hybridMultilevel"/>
    <w:tmpl w:val="395A9104"/>
    <w:lvl w:ilvl="0" w:tplc="04090001">
      <w:start w:val="1"/>
      <w:numFmt w:val="bullet"/>
      <w:lvlText w:val=""/>
      <w:lvlJc w:val="left"/>
      <w:pPr>
        <w:ind w:left="810" w:hanging="360"/>
      </w:pPr>
      <w:rPr>
        <w:rFonts w:ascii="Symbol" w:hAnsi="Symbol" w:hint="default"/>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110" w15:restartNumberingAfterBreak="0">
    <w:nsid w:val="50E067C0"/>
    <w:multiLevelType w:val="hybridMultilevel"/>
    <w:tmpl w:val="DB029E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1" w15:restartNumberingAfterBreak="0">
    <w:nsid w:val="51057461"/>
    <w:multiLevelType w:val="hybridMultilevel"/>
    <w:tmpl w:val="9D24D61E"/>
    <w:lvl w:ilvl="0" w:tplc="04090001">
      <w:start w:val="1"/>
      <w:numFmt w:val="bullet"/>
      <w:lvlText w:val=""/>
      <w:lvlJc w:val="left"/>
      <w:pPr>
        <w:ind w:left="810" w:hanging="360"/>
      </w:pPr>
      <w:rPr>
        <w:rFonts w:ascii="Symbol" w:hAnsi="Symbol" w:hint="default"/>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112" w15:restartNumberingAfterBreak="0">
    <w:nsid w:val="5126560E"/>
    <w:multiLevelType w:val="hybridMultilevel"/>
    <w:tmpl w:val="31E0BD48"/>
    <w:lvl w:ilvl="0" w:tplc="04090001">
      <w:start w:val="1"/>
      <w:numFmt w:val="bullet"/>
      <w:lvlText w:val=""/>
      <w:lvlJc w:val="left"/>
      <w:pPr>
        <w:ind w:left="810" w:hanging="360"/>
      </w:pPr>
      <w:rPr>
        <w:rFonts w:ascii="Symbol" w:hAnsi="Symbol" w:hint="default"/>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113" w15:restartNumberingAfterBreak="0">
    <w:nsid w:val="529F7619"/>
    <w:multiLevelType w:val="hybridMultilevel"/>
    <w:tmpl w:val="C8B67930"/>
    <w:lvl w:ilvl="0" w:tplc="0409000F">
      <w:start w:val="1"/>
      <w:numFmt w:val="decimal"/>
      <w:lvlText w:val="%1."/>
      <w:lvlJc w:val="left"/>
      <w:pPr>
        <w:ind w:left="827" w:hanging="360"/>
      </w:pPr>
    </w:lvl>
    <w:lvl w:ilvl="1" w:tplc="04090019" w:tentative="1">
      <w:start w:val="1"/>
      <w:numFmt w:val="lowerLetter"/>
      <w:lvlText w:val="%2."/>
      <w:lvlJc w:val="left"/>
      <w:pPr>
        <w:ind w:left="1547" w:hanging="360"/>
      </w:pPr>
    </w:lvl>
    <w:lvl w:ilvl="2" w:tplc="0409001B" w:tentative="1">
      <w:start w:val="1"/>
      <w:numFmt w:val="lowerRoman"/>
      <w:lvlText w:val="%3."/>
      <w:lvlJc w:val="right"/>
      <w:pPr>
        <w:ind w:left="2267" w:hanging="180"/>
      </w:pPr>
    </w:lvl>
    <w:lvl w:ilvl="3" w:tplc="0409000F" w:tentative="1">
      <w:start w:val="1"/>
      <w:numFmt w:val="decimal"/>
      <w:lvlText w:val="%4."/>
      <w:lvlJc w:val="left"/>
      <w:pPr>
        <w:ind w:left="2987" w:hanging="360"/>
      </w:pPr>
    </w:lvl>
    <w:lvl w:ilvl="4" w:tplc="04090019" w:tentative="1">
      <w:start w:val="1"/>
      <w:numFmt w:val="lowerLetter"/>
      <w:lvlText w:val="%5."/>
      <w:lvlJc w:val="left"/>
      <w:pPr>
        <w:ind w:left="3707" w:hanging="360"/>
      </w:pPr>
    </w:lvl>
    <w:lvl w:ilvl="5" w:tplc="0409001B" w:tentative="1">
      <w:start w:val="1"/>
      <w:numFmt w:val="lowerRoman"/>
      <w:lvlText w:val="%6."/>
      <w:lvlJc w:val="right"/>
      <w:pPr>
        <w:ind w:left="4427" w:hanging="180"/>
      </w:pPr>
    </w:lvl>
    <w:lvl w:ilvl="6" w:tplc="0409000F" w:tentative="1">
      <w:start w:val="1"/>
      <w:numFmt w:val="decimal"/>
      <w:lvlText w:val="%7."/>
      <w:lvlJc w:val="left"/>
      <w:pPr>
        <w:ind w:left="5147" w:hanging="360"/>
      </w:pPr>
    </w:lvl>
    <w:lvl w:ilvl="7" w:tplc="04090019" w:tentative="1">
      <w:start w:val="1"/>
      <w:numFmt w:val="lowerLetter"/>
      <w:lvlText w:val="%8."/>
      <w:lvlJc w:val="left"/>
      <w:pPr>
        <w:ind w:left="5867" w:hanging="360"/>
      </w:pPr>
    </w:lvl>
    <w:lvl w:ilvl="8" w:tplc="0409001B" w:tentative="1">
      <w:start w:val="1"/>
      <w:numFmt w:val="lowerRoman"/>
      <w:lvlText w:val="%9."/>
      <w:lvlJc w:val="right"/>
      <w:pPr>
        <w:ind w:left="6587" w:hanging="180"/>
      </w:pPr>
    </w:lvl>
  </w:abstractNum>
  <w:abstractNum w:abstractNumId="114" w15:restartNumberingAfterBreak="0">
    <w:nsid w:val="54034EA1"/>
    <w:multiLevelType w:val="hybridMultilevel"/>
    <w:tmpl w:val="22F6AE6E"/>
    <w:lvl w:ilvl="0" w:tplc="736ED182">
      <w:start w:val="1"/>
      <w:numFmt w:val="decimal"/>
      <w:lvlText w:val="(%1)"/>
      <w:lvlJc w:val="left"/>
      <w:pPr>
        <w:ind w:left="1080" w:hanging="360"/>
      </w:pPr>
      <w:rPr>
        <w:rFonts w:ascii="Calibri" w:eastAsia="Times New Roman" w:hAnsi="Calibri" w:cs="Times New Roman" w:hint="default"/>
        <w:color w:val="295CA3"/>
        <w:w w:val="75"/>
        <w:sz w:val="24"/>
        <w:szCs w:val="24"/>
      </w:r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5" w15:restartNumberingAfterBreak="0">
    <w:nsid w:val="55903F78"/>
    <w:multiLevelType w:val="hybridMultilevel"/>
    <w:tmpl w:val="084A6BEC"/>
    <w:lvl w:ilvl="0" w:tplc="04090001">
      <w:start w:val="1"/>
      <w:numFmt w:val="bullet"/>
      <w:lvlText w:val=""/>
      <w:lvlJc w:val="left"/>
      <w:pPr>
        <w:ind w:left="810" w:hanging="360"/>
      </w:pPr>
      <w:rPr>
        <w:rFonts w:ascii="Symbol" w:hAnsi="Symbol" w:hint="default"/>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116" w15:restartNumberingAfterBreak="0">
    <w:nsid w:val="55DD36ED"/>
    <w:multiLevelType w:val="hybridMultilevel"/>
    <w:tmpl w:val="9C8E5C20"/>
    <w:lvl w:ilvl="0" w:tplc="0409000F">
      <w:start w:val="1"/>
      <w:numFmt w:val="decimal"/>
      <w:lvlText w:val="%1."/>
      <w:lvlJc w:val="left"/>
      <w:pPr>
        <w:ind w:left="827" w:hanging="360"/>
      </w:pPr>
    </w:lvl>
    <w:lvl w:ilvl="1" w:tplc="04090019" w:tentative="1">
      <w:start w:val="1"/>
      <w:numFmt w:val="lowerLetter"/>
      <w:lvlText w:val="%2."/>
      <w:lvlJc w:val="left"/>
      <w:pPr>
        <w:ind w:left="1547" w:hanging="360"/>
      </w:pPr>
    </w:lvl>
    <w:lvl w:ilvl="2" w:tplc="0409001B" w:tentative="1">
      <w:start w:val="1"/>
      <w:numFmt w:val="lowerRoman"/>
      <w:lvlText w:val="%3."/>
      <w:lvlJc w:val="right"/>
      <w:pPr>
        <w:ind w:left="2267" w:hanging="180"/>
      </w:pPr>
    </w:lvl>
    <w:lvl w:ilvl="3" w:tplc="0409000F" w:tentative="1">
      <w:start w:val="1"/>
      <w:numFmt w:val="decimal"/>
      <w:lvlText w:val="%4."/>
      <w:lvlJc w:val="left"/>
      <w:pPr>
        <w:ind w:left="2987" w:hanging="360"/>
      </w:pPr>
    </w:lvl>
    <w:lvl w:ilvl="4" w:tplc="04090019" w:tentative="1">
      <w:start w:val="1"/>
      <w:numFmt w:val="lowerLetter"/>
      <w:lvlText w:val="%5."/>
      <w:lvlJc w:val="left"/>
      <w:pPr>
        <w:ind w:left="3707" w:hanging="360"/>
      </w:pPr>
    </w:lvl>
    <w:lvl w:ilvl="5" w:tplc="0409001B" w:tentative="1">
      <w:start w:val="1"/>
      <w:numFmt w:val="lowerRoman"/>
      <w:lvlText w:val="%6."/>
      <w:lvlJc w:val="right"/>
      <w:pPr>
        <w:ind w:left="4427" w:hanging="180"/>
      </w:pPr>
    </w:lvl>
    <w:lvl w:ilvl="6" w:tplc="0409000F" w:tentative="1">
      <w:start w:val="1"/>
      <w:numFmt w:val="decimal"/>
      <w:lvlText w:val="%7."/>
      <w:lvlJc w:val="left"/>
      <w:pPr>
        <w:ind w:left="5147" w:hanging="360"/>
      </w:pPr>
    </w:lvl>
    <w:lvl w:ilvl="7" w:tplc="04090019" w:tentative="1">
      <w:start w:val="1"/>
      <w:numFmt w:val="lowerLetter"/>
      <w:lvlText w:val="%8."/>
      <w:lvlJc w:val="left"/>
      <w:pPr>
        <w:ind w:left="5867" w:hanging="360"/>
      </w:pPr>
    </w:lvl>
    <w:lvl w:ilvl="8" w:tplc="0409001B" w:tentative="1">
      <w:start w:val="1"/>
      <w:numFmt w:val="lowerRoman"/>
      <w:lvlText w:val="%9."/>
      <w:lvlJc w:val="right"/>
      <w:pPr>
        <w:ind w:left="6587" w:hanging="180"/>
      </w:pPr>
    </w:lvl>
  </w:abstractNum>
  <w:abstractNum w:abstractNumId="117" w15:restartNumberingAfterBreak="0">
    <w:nsid w:val="58062593"/>
    <w:multiLevelType w:val="hybridMultilevel"/>
    <w:tmpl w:val="3F76DFDE"/>
    <w:lvl w:ilvl="0" w:tplc="04090001">
      <w:start w:val="1"/>
      <w:numFmt w:val="bullet"/>
      <w:lvlText w:val=""/>
      <w:lvlJc w:val="left"/>
      <w:pPr>
        <w:ind w:left="827" w:hanging="360"/>
      </w:pPr>
      <w:rPr>
        <w:rFonts w:ascii="Symbol" w:hAnsi="Symbol" w:hint="default"/>
      </w:rPr>
    </w:lvl>
    <w:lvl w:ilvl="1" w:tplc="04090003" w:tentative="1">
      <w:start w:val="1"/>
      <w:numFmt w:val="bullet"/>
      <w:lvlText w:val="o"/>
      <w:lvlJc w:val="left"/>
      <w:pPr>
        <w:ind w:left="1547" w:hanging="360"/>
      </w:pPr>
      <w:rPr>
        <w:rFonts w:ascii="Courier New" w:hAnsi="Courier New" w:cs="Courier New" w:hint="default"/>
      </w:rPr>
    </w:lvl>
    <w:lvl w:ilvl="2" w:tplc="04090005" w:tentative="1">
      <w:start w:val="1"/>
      <w:numFmt w:val="bullet"/>
      <w:lvlText w:val=""/>
      <w:lvlJc w:val="left"/>
      <w:pPr>
        <w:ind w:left="2267" w:hanging="360"/>
      </w:pPr>
      <w:rPr>
        <w:rFonts w:ascii="Wingdings" w:hAnsi="Wingdings" w:hint="default"/>
      </w:rPr>
    </w:lvl>
    <w:lvl w:ilvl="3" w:tplc="04090001" w:tentative="1">
      <w:start w:val="1"/>
      <w:numFmt w:val="bullet"/>
      <w:lvlText w:val=""/>
      <w:lvlJc w:val="left"/>
      <w:pPr>
        <w:ind w:left="2987" w:hanging="360"/>
      </w:pPr>
      <w:rPr>
        <w:rFonts w:ascii="Symbol" w:hAnsi="Symbol" w:hint="default"/>
      </w:rPr>
    </w:lvl>
    <w:lvl w:ilvl="4" w:tplc="04090003" w:tentative="1">
      <w:start w:val="1"/>
      <w:numFmt w:val="bullet"/>
      <w:lvlText w:val="o"/>
      <w:lvlJc w:val="left"/>
      <w:pPr>
        <w:ind w:left="3707" w:hanging="360"/>
      </w:pPr>
      <w:rPr>
        <w:rFonts w:ascii="Courier New" w:hAnsi="Courier New" w:cs="Courier New" w:hint="default"/>
      </w:rPr>
    </w:lvl>
    <w:lvl w:ilvl="5" w:tplc="04090005" w:tentative="1">
      <w:start w:val="1"/>
      <w:numFmt w:val="bullet"/>
      <w:lvlText w:val=""/>
      <w:lvlJc w:val="left"/>
      <w:pPr>
        <w:ind w:left="4427" w:hanging="360"/>
      </w:pPr>
      <w:rPr>
        <w:rFonts w:ascii="Wingdings" w:hAnsi="Wingdings" w:hint="default"/>
      </w:rPr>
    </w:lvl>
    <w:lvl w:ilvl="6" w:tplc="04090001" w:tentative="1">
      <w:start w:val="1"/>
      <w:numFmt w:val="bullet"/>
      <w:lvlText w:val=""/>
      <w:lvlJc w:val="left"/>
      <w:pPr>
        <w:ind w:left="5147" w:hanging="360"/>
      </w:pPr>
      <w:rPr>
        <w:rFonts w:ascii="Symbol" w:hAnsi="Symbol" w:hint="default"/>
      </w:rPr>
    </w:lvl>
    <w:lvl w:ilvl="7" w:tplc="04090003" w:tentative="1">
      <w:start w:val="1"/>
      <w:numFmt w:val="bullet"/>
      <w:lvlText w:val="o"/>
      <w:lvlJc w:val="left"/>
      <w:pPr>
        <w:ind w:left="5867" w:hanging="360"/>
      </w:pPr>
      <w:rPr>
        <w:rFonts w:ascii="Courier New" w:hAnsi="Courier New" w:cs="Courier New" w:hint="default"/>
      </w:rPr>
    </w:lvl>
    <w:lvl w:ilvl="8" w:tplc="04090005" w:tentative="1">
      <w:start w:val="1"/>
      <w:numFmt w:val="bullet"/>
      <w:lvlText w:val=""/>
      <w:lvlJc w:val="left"/>
      <w:pPr>
        <w:ind w:left="6587" w:hanging="360"/>
      </w:pPr>
      <w:rPr>
        <w:rFonts w:ascii="Wingdings" w:hAnsi="Wingdings" w:hint="default"/>
      </w:rPr>
    </w:lvl>
  </w:abstractNum>
  <w:abstractNum w:abstractNumId="118" w15:restartNumberingAfterBreak="0">
    <w:nsid w:val="59031587"/>
    <w:multiLevelType w:val="hybridMultilevel"/>
    <w:tmpl w:val="09CC42CA"/>
    <w:lvl w:ilvl="0" w:tplc="04090001">
      <w:start w:val="1"/>
      <w:numFmt w:val="bullet"/>
      <w:lvlText w:val=""/>
      <w:lvlJc w:val="left"/>
      <w:pPr>
        <w:ind w:left="827" w:hanging="360"/>
      </w:pPr>
      <w:rPr>
        <w:rFonts w:ascii="Symbol" w:hAnsi="Symbol" w:hint="default"/>
      </w:rPr>
    </w:lvl>
    <w:lvl w:ilvl="1" w:tplc="04090003" w:tentative="1">
      <w:start w:val="1"/>
      <w:numFmt w:val="bullet"/>
      <w:lvlText w:val="o"/>
      <w:lvlJc w:val="left"/>
      <w:pPr>
        <w:ind w:left="1547" w:hanging="360"/>
      </w:pPr>
      <w:rPr>
        <w:rFonts w:ascii="Courier New" w:hAnsi="Courier New" w:cs="Courier New" w:hint="default"/>
      </w:rPr>
    </w:lvl>
    <w:lvl w:ilvl="2" w:tplc="04090005" w:tentative="1">
      <w:start w:val="1"/>
      <w:numFmt w:val="bullet"/>
      <w:lvlText w:val=""/>
      <w:lvlJc w:val="left"/>
      <w:pPr>
        <w:ind w:left="2267" w:hanging="360"/>
      </w:pPr>
      <w:rPr>
        <w:rFonts w:ascii="Wingdings" w:hAnsi="Wingdings" w:hint="default"/>
      </w:rPr>
    </w:lvl>
    <w:lvl w:ilvl="3" w:tplc="04090001" w:tentative="1">
      <w:start w:val="1"/>
      <w:numFmt w:val="bullet"/>
      <w:lvlText w:val=""/>
      <w:lvlJc w:val="left"/>
      <w:pPr>
        <w:ind w:left="2987" w:hanging="360"/>
      </w:pPr>
      <w:rPr>
        <w:rFonts w:ascii="Symbol" w:hAnsi="Symbol" w:hint="default"/>
      </w:rPr>
    </w:lvl>
    <w:lvl w:ilvl="4" w:tplc="04090003" w:tentative="1">
      <w:start w:val="1"/>
      <w:numFmt w:val="bullet"/>
      <w:lvlText w:val="o"/>
      <w:lvlJc w:val="left"/>
      <w:pPr>
        <w:ind w:left="3707" w:hanging="360"/>
      </w:pPr>
      <w:rPr>
        <w:rFonts w:ascii="Courier New" w:hAnsi="Courier New" w:cs="Courier New" w:hint="default"/>
      </w:rPr>
    </w:lvl>
    <w:lvl w:ilvl="5" w:tplc="04090005" w:tentative="1">
      <w:start w:val="1"/>
      <w:numFmt w:val="bullet"/>
      <w:lvlText w:val=""/>
      <w:lvlJc w:val="left"/>
      <w:pPr>
        <w:ind w:left="4427" w:hanging="360"/>
      </w:pPr>
      <w:rPr>
        <w:rFonts w:ascii="Wingdings" w:hAnsi="Wingdings" w:hint="default"/>
      </w:rPr>
    </w:lvl>
    <w:lvl w:ilvl="6" w:tplc="04090001" w:tentative="1">
      <w:start w:val="1"/>
      <w:numFmt w:val="bullet"/>
      <w:lvlText w:val=""/>
      <w:lvlJc w:val="left"/>
      <w:pPr>
        <w:ind w:left="5147" w:hanging="360"/>
      </w:pPr>
      <w:rPr>
        <w:rFonts w:ascii="Symbol" w:hAnsi="Symbol" w:hint="default"/>
      </w:rPr>
    </w:lvl>
    <w:lvl w:ilvl="7" w:tplc="04090003" w:tentative="1">
      <w:start w:val="1"/>
      <w:numFmt w:val="bullet"/>
      <w:lvlText w:val="o"/>
      <w:lvlJc w:val="left"/>
      <w:pPr>
        <w:ind w:left="5867" w:hanging="360"/>
      </w:pPr>
      <w:rPr>
        <w:rFonts w:ascii="Courier New" w:hAnsi="Courier New" w:cs="Courier New" w:hint="default"/>
      </w:rPr>
    </w:lvl>
    <w:lvl w:ilvl="8" w:tplc="04090005" w:tentative="1">
      <w:start w:val="1"/>
      <w:numFmt w:val="bullet"/>
      <w:lvlText w:val=""/>
      <w:lvlJc w:val="left"/>
      <w:pPr>
        <w:ind w:left="6587" w:hanging="360"/>
      </w:pPr>
      <w:rPr>
        <w:rFonts w:ascii="Wingdings" w:hAnsi="Wingdings" w:hint="default"/>
      </w:rPr>
    </w:lvl>
  </w:abstractNum>
  <w:abstractNum w:abstractNumId="119" w15:restartNumberingAfterBreak="0">
    <w:nsid w:val="595848FF"/>
    <w:multiLevelType w:val="hybridMultilevel"/>
    <w:tmpl w:val="FBCC6DCE"/>
    <w:lvl w:ilvl="0" w:tplc="02A85E1E">
      <w:start w:val="1"/>
      <w:numFmt w:val="decimal"/>
      <w:lvlText w:val="%1)"/>
      <w:lvlJc w:val="left"/>
      <w:pPr>
        <w:ind w:left="1080" w:hanging="36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0" w15:restartNumberingAfterBreak="0">
    <w:nsid w:val="59AC5BFE"/>
    <w:multiLevelType w:val="hybridMultilevel"/>
    <w:tmpl w:val="BF326CF0"/>
    <w:lvl w:ilvl="0" w:tplc="04090001">
      <w:start w:val="1"/>
      <w:numFmt w:val="bullet"/>
      <w:lvlText w:val=""/>
      <w:lvlJc w:val="left"/>
      <w:pPr>
        <w:ind w:left="827" w:hanging="360"/>
      </w:pPr>
      <w:rPr>
        <w:rFonts w:ascii="Symbol" w:hAnsi="Symbol" w:hint="default"/>
      </w:rPr>
    </w:lvl>
    <w:lvl w:ilvl="1" w:tplc="04090003" w:tentative="1">
      <w:start w:val="1"/>
      <w:numFmt w:val="bullet"/>
      <w:lvlText w:val="o"/>
      <w:lvlJc w:val="left"/>
      <w:pPr>
        <w:ind w:left="1547" w:hanging="360"/>
      </w:pPr>
      <w:rPr>
        <w:rFonts w:ascii="Courier New" w:hAnsi="Courier New" w:cs="Courier New" w:hint="default"/>
      </w:rPr>
    </w:lvl>
    <w:lvl w:ilvl="2" w:tplc="04090005" w:tentative="1">
      <w:start w:val="1"/>
      <w:numFmt w:val="bullet"/>
      <w:lvlText w:val=""/>
      <w:lvlJc w:val="left"/>
      <w:pPr>
        <w:ind w:left="2267" w:hanging="360"/>
      </w:pPr>
      <w:rPr>
        <w:rFonts w:ascii="Wingdings" w:hAnsi="Wingdings" w:hint="default"/>
      </w:rPr>
    </w:lvl>
    <w:lvl w:ilvl="3" w:tplc="04090001" w:tentative="1">
      <w:start w:val="1"/>
      <w:numFmt w:val="bullet"/>
      <w:lvlText w:val=""/>
      <w:lvlJc w:val="left"/>
      <w:pPr>
        <w:ind w:left="2987" w:hanging="360"/>
      </w:pPr>
      <w:rPr>
        <w:rFonts w:ascii="Symbol" w:hAnsi="Symbol" w:hint="default"/>
      </w:rPr>
    </w:lvl>
    <w:lvl w:ilvl="4" w:tplc="04090003" w:tentative="1">
      <w:start w:val="1"/>
      <w:numFmt w:val="bullet"/>
      <w:lvlText w:val="o"/>
      <w:lvlJc w:val="left"/>
      <w:pPr>
        <w:ind w:left="3707" w:hanging="360"/>
      </w:pPr>
      <w:rPr>
        <w:rFonts w:ascii="Courier New" w:hAnsi="Courier New" w:cs="Courier New" w:hint="default"/>
      </w:rPr>
    </w:lvl>
    <w:lvl w:ilvl="5" w:tplc="04090005" w:tentative="1">
      <w:start w:val="1"/>
      <w:numFmt w:val="bullet"/>
      <w:lvlText w:val=""/>
      <w:lvlJc w:val="left"/>
      <w:pPr>
        <w:ind w:left="4427" w:hanging="360"/>
      </w:pPr>
      <w:rPr>
        <w:rFonts w:ascii="Wingdings" w:hAnsi="Wingdings" w:hint="default"/>
      </w:rPr>
    </w:lvl>
    <w:lvl w:ilvl="6" w:tplc="04090001" w:tentative="1">
      <w:start w:val="1"/>
      <w:numFmt w:val="bullet"/>
      <w:lvlText w:val=""/>
      <w:lvlJc w:val="left"/>
      <w:pPr>
        <w:ind w:left="5147" w:hanging="360"/>
      </w:pPr>
      <w:rPr>
        <w:rFonts w:ascii="Symbol" w:hAnsi="Symbol" w:hint="default"/>
      </w:rPr>
    </w:lvl>
    <w:lvl w:ilvl="7" w:tplc="04090003" w:tentative="1">
      <w:start w:val="1"/>
      <w:numFmt w:val="bullet"/>
      <w:lvlText w:val="o"/>
      <w:lvlJc w:val="left"/>
      <w:pPr>
        <w:ind w:left="5867" w:hanging="360"/>
      </w:pPr>
      <w:rPr>
        <w:rFonts w:ascii="Courier New" w:hAnsi="Courier New" w:cs="Courier New" w:hint="default"/>
      </w:rPr>
    </w:lvl>
    <w:lvl w:ilvl="8" w:tplc="04090005" w:tentative="1">
      <w:start w:val="1"/>
      <w:numFmt w:val="bullet"/>
      <w:lvlText w:val=""/>
      <w:lvlJc w:val="left"/>
      <w:pPr>
        <w:ind w:left="6587" w:hanging="360"/>
      </w:pPr>
      <w:rPr>
        <w:rFonts w:ascii="Wingdings" w:hAnsi="Wingdings" w:hint="default"/>
      </w:rPr>
    </w:lvl>
  </w:abstractNum>
  <w:abstractNum w:abstractNumId="121" w15:restartNumberingAfterBreak="0">
    <w:nsid w:val="59CC3C19"/>
    <w:multiLevelType w:val="hybridMultilevel"/>
    <w:tmpl w:val="9ED03E10"/>
    <w:lvl w:ilvl="0" w:tplc="04090001">
      <w:start w:val="1"/>
      <w:numFmt w:val="bullet"/>
      <w:lvlText w:val=""/>
      <w:lvlJc w:val="left"/>
      <w:pPr>
        <w:ind w:left="827" w:hanging="360"/>
      </w:pPr>
      <w:rPr>
        <w:rFonts w:ascii="Symbol" w:hAnsi="Symbol" w:hint="default"/>
      </w:rPr>
    </w:lvl>
    <w:lvl w:ilvl="1" w:tplc="04090003" w:tentative="1">
      <w:start w:val="1"/>
      <w:numFmt w:val="bullet"/>
      <w:lvlText w:val="o"/>
      <w:lvlJc w:val="left"/>
      <w:pPr>
        <w:ind w:left="1547" w:hanging="360"/>
      </w:pPr>
      <w:rPr>
        <w:rFonts w:ascii="Courier New" w:hAnsi="Courier New" w:cs="Courier New" w:hint="default"/>
      </w:rPr>
    </w:lvl>
    <w:lvl w:ilvl="2" w:tplc="04090005" w:tentative="1">
      <w:start w:val="1"/>
      <w:numFmt w:val="bullet"/>
      <w:lvlText w:val=""/>
      <w:lvlJc w:val="left"/>
      <w:pPr>
        <w:ind w:left="2267" w:hanging="360"/>
      </w:pPr>
      <w:rPr>
        <w:rFonts w:ascii="Wingdings" w:hAnsi="Wingdings" w:hint="default"/>
      </w:rPr>
    </w:lvl>
    <w:lvl w:ilvl="3" w:tplc="04090001" w:tentative="1">
      <w:start w:val="1"/>
      <w:numFmt w:val="bullet"/>
      <w:lvlText w:val=""/>
      <w:lvlJc w:val="left"/>
      <w:pPr>
        <w:ind w:left="2987" w:hanging="360"/>
      </w:pPr>
      <w:rPr>
        <w:rFonts w:ascii="Symbol" w:hAnsi="Symbol" w:hint="default"/>
      </w:rPr>
    </w:lvl>
    <w:lvl w:ilvl="4" w:tplc="04090003" w:tentative="1">
      <w:start w:val="1"/>
      <w:numFmt w:val="bullet"/>
      <w:lvlText w:val="o"/>
      <w:lvlJc w:val="left"/>
      <w:pPr>
        <w:ind w:left="3707" w:hanging="360"/>
      </w:pPr>
      <w:rPr>
        <w:rFonts w:ascii="Courier New" w:hAnsi="Courier New" w:cs="Courier New" w:hint="default"/>
      </w:rPr>
    </w:lvl>
    <w:lvl w:ilvl="5" w:tplc="04090005" w:tentative="1">
      <w:start w:val="1"/>
      <w:numFmt w:val="bullet"/>
      <w:lvlText w:val=""/>
      <w:lvlJc w:val="left"/>
      <w:pPr>
        <w:ind w:left="4427" w:hanging="360"/>
      </w:pPr>
      <w:rPr>
        <w:rFonts w:ascii="Wingdings" w:hAnsi="Wingdings" w:hint="default"/>
      </w:rPr>
    </w:lvl>
    <w:lvl w:ilvl="6" w:tplc="04090001" w:tentative="1">
      <w:start w:val="1"/>
      <w:numFmt w:val="bullet"/>
      <w:lvlText w:val=""/>
      <w:lvlJc w:val="left"/>
      <w:pPr>
        <w:ind w:left="5147" w:hanging="360"/>
      </w:pPr>
      <w:rPr>
        <w:rFonts w:ascii="Symbol" w:hAnsi="Symbol" w:hint="default"/>
      </w:rPr>
    </w:lvl>
    <w:lvl w:ilvl="7" w:tplc="04090003" w:tentative="1">
      <w:start w:val="1"/>
      <w:numFmt w:val="bullet"/>
      <w:lvlText w:val="o"/>
      <w:lvlJc w:val="left"/>
      <w:pPr>
        <w:ind w:left="5867" w:hanging="360"/>
      </w:pPr>
      <w:rPr>
        <w:rFonts w:ascii="Courier New" w:hAnsi="Courier New" w:cs="Courier New" w:hint="default"/>
      </w:rPr>
    </w:lvl>
    <w:lvl w:ilvl="8" w:tplc="04090005" w:tentative="1">
      <w:start w:val="1"/>
      <w:numFmt w:val="bullet"/>
      <w:lvlText w:val=""/>
      <w:lvlJc w:val="left"/>
      <w:pPr>
        <w:ind w:left="6587" w:hanging="360"/>
      </w:pPr>
      <w:rPr>
        <w:rFonts w:ascii="Wingdings" w:hAnsi="Wingdings" w:hint="default"/>
      </w:rPr>
    </w:lvl>
  </w:abstractNum>
  <w:abstractNum w:abstractNumId="122" w15:restartNumberingAfterBreak="0">
    <w:nsid w:val="5A2E5275"/>
    <w:multiLevelType w:val="hybridMultilevel"/>
    <w:tmpl w:val="8278D380"/>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3" w15:restartNumberingAfterBreak="0">
    <w:nsid w:val="5B272D7D"/>
    <w:multiLevelType w:val="hybridMultilevel"/>
    <w:tmpl w:val="8CC87C60"/>
    <w:lvl w:ilvl="0" w:tplc="04090001">
      <w:start w:val="1"/>
      <w:numFmt w:val="bullet"/>
      <w:lvlText w:val=""/>
      <w:lvlJc w:val="left"/>
      <w:pPr>
        <w:ind w:left="810" w:hanging="360"/>
      </w:pPr>
      <w:rPr>
        <w:rFonts w:ascii="Symbol" w:hAnsi="Symbol" w:hint="default"/>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124" w15:restartNumberingAfterBreak="0">
    <w:nsid w:val="5B616287"/>
    <w:multiLevelType w:val="hybridMultilevel"/>
    <w:tmpl w:val="63DC76AE"/>
    <w:lvl w:ilvl="0" w:tplc="04090001">
      <w:start w:val="1"/>
      <w:numFmt w:val="bullet"/>
      <w:lvlText w:val=""/>
      <w:lvlJc w:val="left"/>
      <w:pPr>
        <w:ind w:left="827" w:hanging="360"/>
      </w:pPr>
      <w:rPr>
        <w:rFonts w:ascii="Symbol" w:hAnsi="Symbol" w:hint="default"/>
      </w:rPr>
    </w:lvl>
    <w:lvl w:ilvl="1" w:tplc="04090003" w:tentative="1">
      <w:start w:val="1"/>
      <w:numFmt w:val="bullet"/>
      <w:lvlText w:val="o"/>
      <w:lvlJc w:val="left"/>
      <w:pPr>
        <w:ind w:left="1547" w:hanging="360"/>
      </w:pPr>
      <w:rPr>
        <w:rFonts w:ascii="Courier New" w:hAnsi="Courier New" w:cs="Courier New" w:hint="default"/>
      </w:rPr>
    </w:lvl>
    <w:lvl w:ilvl="2" w:tplc="04090005" w:tentative="1">
      <w:start w:val="1"/>
      <w:numFmt w:val="bullet"/>
      <w:lvlText w:val=""/>
      <w:lvlJc w:val="left"/>
      <w:pPr>
        <w:ind w:left="2267" w:hanging="360"/>
      </w:pPr>
      <w:rPr>
        <w:rFonts w:ascii="Wingdings" w:hAnsi="Wingdings" w:hint="default"/>
      </w:rPr>
    </w:lvl>
    <w:lvl w:ilvl="3" w:tplc="04090001" w:tentative="1">
      <w:start w:val="1"/>
      <w:numFmt w:val="bullet"/>
      <w:lvlText w:val=""/>
      <w:lvlJc w:val="left"/>
      <w:pPr>
        <w:ind w:left="2987" w:hanging="360"/>
      </w:pPr>
      <w:rPr>
        <w:rFonts w:ascii="Symbol" w:hAnsi="Symbol" w:hint="default"/>
      </w:rPr>
    </w:lvl>
    <w:lvl w:ilvl="4" w:tplc="04090003" w:tentative="1">
      <w:start w:val="1"/>
      <w:numFmt w:val="bullet"/>
      <w:lvlText w:val="o"/>
      <w:lvlJc w:val="left"/>
      <w:pPr>
        <w:ind w:left="3707" w:hanging="360"/>
      </w:pPr>
      <w:rPr>
        <w:rFonts w:ascii="Courier New" w:hAnsi="Courier New" w:cs="Courier New" w:hint="default"/>
      </w:rPr>
    </w:lvl>
    <w:lvl w:ilvl="5" w:tplc="04090005" w:tentative="1">
      <w:start w:val="1"/>
      <w:numFmt w:val="bullet"/>
      <w:lvlText w:val=""/>
      <w:lvlJc w:val="left"/>
      <w:pPr>
        <w:ind w:left="4427" w:hanging="360"/>
      </w:pPr>
      <w:rPr>
        <w:rFonts w:ascii="Wingdings" w:hAnsi="Wingdings" w:hint="default"/>
      </w:rPr>
    </w:lvl>
    <w:lvl w:ilvl="6" w:tplc="04090001" w:tentative="1">
      <w:start w:val="1"/>
      <w:numFmt w:val="bullet"/>
      <w:lvlText w:val=""/>
      <w:lvlJc w:val="left"/>
      <w:pPr>
        <w:ind w:left="5147" w:hanging="360"/>
      </w:pPr>
      <w:rPr>
        <w:rFonts w:ascii="Symbol" w:hAnsi="Symbol" w:hint="default"/>
      </w:rPr>
    </w:lvl>
    <w:lvl w:ilvl="7" w:tplc="04090003" w:tentative="1">
      <w:start w:val="1"/>
      <w:numFmt w:val="bullet"/>
      <w:lvlText w:val="o"/>
      <w:lvlJc w:val="left"/>
      <w:pPr>
        <w:ind w:left="5867" w:hanging="360"/>
      </w:pPr>
      <w:rPr>
        <w:rFonts w:ascii="Courier New" w:hAnsi="Courier New" w:cs="Courier New" w:hint="default"/>
      </w:rPr>
    </w:lvl>
    <w:lvl w:ilvl="8" w:tplc="04090005" w:tentative="1">
      <w:start w:val="1"/>
      <w:numFmt w:val="bullet"/>
      <w:lvlText w:val=""/>
      <w:lvlJc w:val="left"/>
      <w:pPr>
        <w:ind w:left="6587" w:hanging="360"/>
      </w:pPr>
      <w:rPr>
        <w:rFonts w:ascii="Wingdings" w:hAnsi="Wingdings" w:hint="default"/>
      </w:rPr>
    </w:lvl>
  </w:abstractNum>
  <w:abstractNum w:abstractNumId="125" w15:restartNumberingAfterBreak="0">
    <w:nsid w:val="5C5F003B"/>
    <w:multiLevelType w:val="hybridMultilevel"/>
    <w:tmpl w:val="5BC0441A"/>
    <w:lvl w:ilvl="0" w:tplc="3068692A">
      <w:start w:val="1"/>
      <w:numFmt w:val="lowerLetter"/>
      <w:lvlText w:val="(%1)"/>
      <w:lvlJc w:val="left"/>
      <w:pPr>
        <w:ind w:left="1383" w:hanging="360"/>
      </w:pPr>
      <w:rPr>
        <w:rFonts w:asciiTheme="minorHAnsi" w:eastAsia="Times New Roman" w:hAnsiTheme="minorHAnsi" w:cstheme="minorHAnsi"/>
        <w:b/>
        <w:color w:val="295CA3"/>
        <w:w w:val="94"/>
        <w:sz w:val="26"/>
        <w:szCs w:val="26"/>
      </w:rPr>
    </w:lvl>
    <w:lvl w:ilvl="1" w:tplc="4AE49A6A">
      <w:start w:val="1"/>
      <w:numFmt w:val="decimal"/>
      <w:lvlText w:val="(%2)"/>
      <w:lvlJc w:val="left"/>
      <w:pPr>
        <w:ind w:left="2103" w:hanging="360"/>
      </w:pPr>
      <w:rPr>
        <w:rFonts w:ascii="Calibri" w:eastAsia="Times New Roman" w:hAnsi="Calibri" w:cs="Times New Roman" w:hint="default"/>
        <w:color w:val="295CA3"/>
        <w:w w:val="75"/>
        <w:sz w:val="22"/>
        <w:szCs w:val="22"/>
      </w:rPr>
    </w:lvl>
    <w:lvl w:ilvl="2" w:tplc="49640486">
      <w:start w:val="1"/>
      <w:numFmt w:val="upperLetter"/>
      <w:lvlText w:val="(%3)"/>
      <w:lvlJc w:val="left"/>
      <w:pPr>
        <w:ind w:left="2823" w:hanging="434"/>
      </w:pPr>
      <w:rPr>
        <w:rFonts w:ascii="Calibri" w:eastAsia="Times New Roman" w:hAnsi="Calibri" w:cs="Times New Roman" w:hint="default"/>
        <w:color w:val="295CA3"/>
        <w:w w:val="97"/>
        <w:sz w:val="22"/>
        <w:szCs w:val="22"/>
      </w:rPr>
    </w:lvl>
    <w:lvl w:ilvl="3" w:tplc="043A68E4">
      <w:start w:val="1"/>
      <w:numFmt w:val="bullet"/>
      <w:lvlText w:val="•"/>
      <w:lvlJc w:val="left"/>
      <w:pPr>
        <w:ind w:left="3837" w:hanging="434"/>
      </w:pPr>
      <w:rPr>
        <w:rFonts w:hint="default"/>
      </w:rPr>
    </w:lvl>
    <w:lvl w:ilvl="4" w:tplc="66D42C98">
      <w:start w:val="1"/>
      <w:numFmt w:val="bullet"/>
      <w:lvlText w:val="•"/>
      <w:lvlJc w:val="left"/>
      <w:pPr>
        <w:ind w:left="4860" w:hanging="434"/>
      </w:pPr>
      <w:rPr>
        <w:rFonts w:hint="default"/>
      </w:rPr>
    </w:lvl>
    <w:lvl w:ilvl="5" w:tplc="388A8E64">
      <w:start w:val="1"/>
      <w:numFmt w:val="bullet"/>
      <w:lvlText w:val="•"/>
      <w:lvlJc w:val="left"/>
      <w:pPr>
        <w:ind w:left="5882" w:hanging="434"/>
      </w:pPr>
      <w:rPr>
        <w:rFonts w:hint="default"/>
      </w:rPr>
    </w:lvl>
    <w:lvl w:ilvl="6" w:tplc="02C8F112">
      <w:start w:val="1"/>
      <w:numFmt w:val="bullet"/>
      <w:lvlText w:val="•"/>
      <w:lvlJc w:val="left"/>
      <w:pPr>
        <w:ind w:left="6905" w:hanging="434"/>
      </w:pPr>
      <w:rPr>
        <w:rFonts w:hint="default"/>
      </w:rPr>
    </w:lvl>
    <w:lvl w:ilvl="7" w:tplc="E62848B4">
      <w:start w:val="1"/>
      <w:numFmt w:val="bullet"/>
      <w:lvlText w:val="•"/>
      <w:lvlJc w:val="left"/>
      <w:pPr>
        <w:ind w:left="7927" w:hanging="434"/>
      </w:pPr>
      <w:rPr>
        <w:rFonts w:hint="default"/>
      </w:rPr>
    </w:lvl>
    <w:lvl w:ilvl="8" w:tplc="AC76CC10">
      <w:start w:val="1"/>
      <w:numFmt w:val="bullet"/>
      <w:lvlText w:val="•"/>
      <w:lvlJc w:val="left"/>
      <w:pPr>
        <w:ind w:left="8950" w:hanging="434"/>
      </w:pPr>
      <w:rPr>
        <w:rFonts w:hint="default"/>
      </w:rPr>
    </w:lvl>
  </w:abstractNum>
  <w:abstractNum w:abstractNumId="126" w15:restartNumberingAfterBreak="0">
    <w:nsid w:val="5CC53956"/>
    <w:multiLevelType w:val="hybridMultilevel"/>
    <w:tmpl w:val="C77C7654"/>
    <w:lvl w:ilvl="0" w:tplc="D9564B0E">
      <w:start w:val="1"/>
      <w:numFmt w:val="upperLetter"/>
      <w:lvlText w:val="(%1)"/>
      <w:lvlJc w:val="left"/>
      <w:pPr>
        <w:ind w:left="2627" w:hanging="360"/>
      </w:pPr>
      <w:rPr>
        <w:rFonts w:cs="Times New Roman" w:hint="default"/>
        <w:color w:val="4F81BD" w:themeColor="accent1"/>
        <w:w w:val="105"/>
      </w:rPr>
    </w:lvl>
    <w:lvl w:ilvl="1" w:tplc="04090019">
      <w:start w:val="1"/>
      <w:numFmt w:val="lowerLetter"/>
      <w:lvlText w:val="%2."/>
      <w:lvlJc w:val="left"/>
      <w:pPr>
        <w:ind w:left="3347" w:hanging="360"/>
      </w:pPr>
    </w:lvl>
    <w:lvl w:ilvl="2" w:tplc="0409001B">
      <w:start w:val="1"/>
      <w:numFmt w:val="lowerRoman"/>
      <w:lvlText w:val="%3."/>
      <w:lvlJc w:val="right"/>
      <w:pPr>
        <w:ind w:left="4067" w:hanging="180"/>
      </w:pPr>
    </w:lvl>
    <w:lvl w:ilvl="3" w:tplc="0409000F">
      <w:start w:val="1"/>
      <w:numFmt w:val="decimal"/>
      <w:lvlText w:val="%4."/>
      <w:lvlJc w:val="left"/>
      <w:pPr>
        <w:ind w:left="4787" w:hanging="360"/>
      </w:pPr>
    </w:lvl>
    <w:lvl w:ilvl="4" w:tplc="04090019">
      <w:start w:val="1"/>
      <w:numFmt w:val="lowerLetter"/>
      <w:lvlText w:val="%5."/>
      <w:lvlJc w:val="left"/>
      <w:pPr>
        <w:ind w:left="5507" w:hanging="360"/>
      </w:pPr>
    </w:lvl>
    <w:lvl w:ilvl="5" w:tplc="0409001B" w:tentative="1">
      <w:start w:val="1"/>
      <w:numFmt w:val="lowerRoman"/>
      <w:lvlText w:val="%6."/>
      <w:lvlJc w:val="right"/>
      <w:pPr>
        <w:ind w:left="6227" w:hanging="180"/>
      </w:pPr>
    </w:lvl>
    <w:lvl w:ilvl="6" w:tplc="0409000F" w:tentative="1">
      <w:start w:val="1"/>
      <w:numFmt w:val="decimal"/>
      <w:lvlText w:val="%7."/>
      <w:lvlJc w:val="left"/>
      <w:pPr>
        <w:ind w:left="6947" w:hanging="360"/>
      </w:pPr>
    </w:lvl>
    <w:lvl w:ilvl="7" w:tplc="04090019" w:tentative="1">
      <w:start w:val="1"/>
      <w:numFmt w:val="lowerLetter"/>
      <w:lvlText w:val="%8."/>
      <w:lvlJc w:val="left"/>
      <w:pPr>
        <w:ind w:left="7667" w:hanging="360"/>
      </w:pPr>
    </w:lvl>
    <w:lvl w:ilvl="8" w:tplc="0409001B" w:tentative="1">
      <w:start w:val="1"/>
      <w:numFmt w:val="lowerRoman"/>
      <w:lvlText w:val="%9."/>
      <w:lvlJc w:val="right"/>
      <w:pPr>
        <w:ind w:left="8387" w:hanging="180"/>
      </w:pPr>
    </w:lvl>
  </w:abstractNum>
  <w:abstractNum w:abstractNumId="127" w15:restartNumberingAfterBreak="0">
    <w:nsid w:val="5CD777D5"/>
    <w:multiLevelType w:val="hybridMultilevel"/>
    <w:tmpl w:val="F7D2D8DA"/>
    <w:lvl w:ilvl="0" w:tplc="04090001">
      <w:start w:val="1"/>
      <w:numFmt w:val="bullet"/>
      <w:lvlText w:val=""/>
      <w:lvlJc w:val="left"/>
      <w:pPr>
        <w:ind w:left="827" w:hanging="360"/>
      </w:pPr>
      <w:rPr>
        <w:rFonts w:ascii="Symbol" w:hAnsi="Symbol" w:hint="default"/>
      </w:rPr>
    </w:lvl>
    <w:lvl w:ilvl="1" w:tplc="04090003" w:tentative="1">
      <w:start w:val="1"/>
      <w:numFmt w:val="bullet"/>
      <w:lvlText w:val="o"/>
      <w:lvlJc w:val="left"/>
      <w:pPr>
        <w:ind w:left="1547" w:hanging="360"/>
      </w:pPr>
      <w:rPr>
        <w:rFonts w:ascii="Courier New" w:hAnsi="Courier New" w:cs="Courier New" w:hint="default"/>
      </w:rPr>
    </w:lvl>
    <w:lvl w:ilvl="2" w:tplc="04090005" w:tentative="1">
      <w:start w:val="1"/>
      <w:numFmt w:val="bullet"/>
      <w:lvlText w:val=""/>
      <w:lvlJc w:val="left"/>
      <w:pPr>
        <w:ind w:left="2267" w:hanging="360"/>
      </w:pPr>
      <w:rPr>
        <w:rFonts w:ascii="Wingdings" w:hAnsi="Wingdings" w:hint="default"/>
      </w:rPr>
    </w:lvl>
    <w:lvl w:ilvl="3" w:tplc="04090001" w:tentative="1">
      <w:start w:val="1"/>
      <w:numFmt w:val="bullet"/>
      <w:lvlText w:val=""/>
      <w:lvlJc w:val="left"/>
      <w:pPr>
        <w:ind w:left="2987" w:hanging="360"/>
      </w:pPr>
      <w:rPr>
        <w:rFonts w:ascii="Symbol" w:hAnsi="Symbol" w:hint="default"/>
      </w:rPr>
    </w:lvl>
    <w:lvl w:ilvl="4" w:tplc="04090003" w:tentative="1">
      <w:start w:val="1"/>
      <w:numFmt w:val="bullet"/>
      <w:lvlText w:val="o"/>
      <w:lvlJc w:val="left"/>
      <w:pPr>
        <w:ind w:left="3707" w:hanging="360"/>
      </w:pPr>
      <w:rPr>
        <w:rFonts w:ascii="Courier New" w:hAnsi="Courier New" w:cs="Courier New" w:hint="default"/>
      </w:rPr>
    </w:lvl>
    <w:lvl w:ilvl="5" w:tplc="04090005" w:tentative="1">
      <w:start w:val="1"/>
      <w:numFmt w:val="bullet"/>
      <w:lvlText w:val=""/>
      <w:lvlJc w:val="left"/>
      <w:pPr>
        <w:ind w:left="4427" w:hanging="360"/>
      </w:pPr>
      <w:rPr>
        <w:rFonts w:ascii="Wingdings" w:hAnsi="Wingdings" w:hint="default"/>
      </w:rPr>
    </w:lvl>
    <w:lvl w:ilvl="6" w:tplc="04090001" w:tentative="1">
      <w:start w:val="1"/>
      <w:numFmt w:val="bullet"/>
      <w:lvlText w:val=""/>
      <w:lvlJc w:val="left"/>
      <w:pPr>
        <w:ind w:left="5147" w:hanging="360"/>
      </w:pPr>
      <w:rPr>
        <w:rFonts w:ascii="Symbol" w:hAnsi="Symbol" w:hint="default"/>
      </w:rPr>
    </w:lvl>
    <w:lvl w:ilvl="7" w:tplc="04090003" w:tentative="1">
      <w:start w:val="1"/>
      <w:numFmt w:val="bullet"/>
      <w:lvlText w:val="o"/>
      <w:lvlJc w:val="left"/>
      <w:pPr>
        <w:ind w:left="5867" w:hanging="360"/>
      </w:pPr>
      <w:rPr>
        <w:rFonts w:ascii="Courier New" w:hAnsi="Courier New" w:cs="Courier New" w:hint="default"/>
      </w:rPr>
    </w:lvl>
    <w:lvl w:ilvl="8" w:tplc="04090005" w:tentative="1">
      <w:start w:val="1"/>
      <w:numFmt w:val="bullet"/>
      <w:lvlText w:val=""/>
      <w:lvlJc w:val="left"/>
      <w:pPr>
        <w:ind w:left="6587" w:hanging="360"/>
      </w:pPr>
      <w:rPr>
        <w:rFonts w:ascii="Wingdings" w:hAnsi="Wingdings" w:hint="default"/>
      </w:rPr>
    </w:lvl>
  </w:abstractNum>
  <w:abstractNum w:abstractNumId="128" w15:restartNumberingAfterBreak="0">
    <w:nsid w:val="5E900508"/>
    <w:multiLevelType w:val="hybridMultilevel"/>
    <w:tmpl w:val="C22210C8"/>
    <w:lvl w:ilvl="0" w:tplc="04090001">
      <w:start w:val="1"/>
      <w:numFmt w:val="bullet"/>
      <w:lvlText w:val=""/>
      <w:lvlJc w:val="left"/>
      <w:pPr>
        <w:ind w:left="827" w:hanging="360"/>
      </w:pPr>
      <w:rPr>
        <w:rFonts w:ascii="Symbol" w:hAnsi="Symbol" w:hint="default"/>
      </w:rPr>
    </w:lvl>
    <w:lvl w:ilvl="1" w:tplc="04090003" w:tentative="1">
      <w:start w:val="1"/>
      <w:numFmt w:val="bullet"/>
      <w:lvlText w:val="o"/>
      <w:lvlJc w:val="left"/>
      <w:pPr>
        <w:ind w:left="1547" w:hanging="360"/>
      </w:pPr>
      <w:rPr>
        <w:rFonts w:ascii="Courier New" w:hAnsi="Courier New" w:cs="Courier New" w:hint="default"/>
      </w:rPr>
    </w:lvl>
    <w:lvl w:ilvl="2" w:tplc="04090005" w:tentative="1">
      <w:start w:val="1"/>
      <w:numFmt w:val="bullet"/>
      <w:lvlText w:val=""/>
      <w:lvlJc w:val="left"/>
      <w:pPr>
        <w:ind w:left="2267" w:hanging="360"/>
      </w:pPr>
      <w:rPr>
        <w:rFonts w:ascii="Wingdings" w:hAnsi="Wingdings" w:hint="default"/>
      </w:rPr>
    </w:lvl>
    <w:lvl w:ilvl="3" w:tplc="04090001" w:tentative="1">
      <w:start w:val="1"/>
      <w:numFmt w:val="bullet"/>
      <w:lvlText w:val=""/>
      <w:lvlJc w:val="left"/>
      <w:pPr>
        <w:ind w:left="2987" w:hanging="360"/>
      </w:pPr>
      <w:rPr>
        <w:rFonts w:ascii="Symbol" w:hAnsi="Symbol" w:hint="default"/>
      </w:rPr>
    </w:lvl>
    <w:lvl w:ilvl="4" w:tplc="04090003" w:tentative="1">
      <w:start w:val="1"/>
      <w:numFmt w:val="bullet"/>
      <w:lvlText w:val="o"/>
      <w:lvlJc w:val="left"/>
      <w:pPr>
        <w:ind w:left="3707" w:hanging="360"/>
      </w:pPr>
      <w:rPr>
        <w:rFonts w:ascii="Courier New" w:hAnsi="Courier New" w:cs="Courier New" w:hint="default"/>
      </w:rPr>
    </w:lvl>
    <w:lvl w:ilvl="5" w:tplc="04090005" w:tentative="1">
      <w:start w:val="1"/>
      <w:numFmt w:val="bullet"/>
      <w:lvlText w:val=""/>
      <w:lvlJc w:val="left"/>
      <w:pPr>
        <w:ind w:left="4427" w:hanging="360"/>
      </w:pPr>
      <w:rPr>
        <w:rFonts w:ascii="Wingdings" w:hAnsi="Wingdings" w:hint="default"/>
      </w:rPr>
    </w:lvl>
    <w:lvl w:ilvl="6" w:tplc="04090001" w:tentative="1">
      <w:start w:val="1"/>
      <w:numFmt w:val="bullet"/>
      <w:lvlText w:val=""/>
      <w:lvlJc w:val="left"/>
      <w:pPr>
        <w:ind w:left="5147" w:hanging="360"/>
      </w:pPr>
      <w:rPr>
        <w:rFonts w:ascii="Symbol" w:hAnsi="Symbol" w:hint="default"/>
      </w:rPr>
    </w:lvl>
    <w:lvl w:ilvl="7" w:tplc="04090003" w:tentative="1">
      <w:start w:val="1"/>
      <w:numFmt w:val="bullet"/>
      <w:lvlText w:val="o"/>
      <w:lvlJc w:val="left"/>
      <w:pPr>
        <w:ind w:left="5867" w:hanging="360"/>
      </w:pPr>
      <w:rPr>
        <w:rFonts w:ascii="Courier New" w:hAnsi="Courier New" w:cs="Courier New" w:hint="default"/>
      </w:rPr>
    </w:lvl>
    <w:lvl w:ilvl="8" w:tplc="04090005" w:tentative="1">
      <w:start w:val="1"/>
      <w:numFmt w:val="bullet"/>
      <w:lvlText w:val=""/>
      <w:lvlJc w:val="left"/>
      <w:pPr>
        <w:ind w:left="6587" w:hanging="360"/>
      </w:pPr>
      <w:rPr>
        <w:rFonts w:ascii="Wingdings" w:hAnsi="Wingdings" w:hint="default"/>
      </w:rPr>
    </w:lvl>
  </w:abstractNum>
  <w:abstractNum w:abstractNumId="129" w15:restartNumberingAfterBreak="0">
    <w:nsid w:val="5E9C4703"/>
    <w:multiLevelType w:val="hybridMultilevel"/>
    <w:tmpl w:val="286C1DF0"/>
    <w:lvl w:ilvl="0" w:tplc="8AF8BBEE">
      <w:start w:val="1"/>
      <w:numFmt w:val="upperLetter"/>
      <w:lvlText w:val="(%1)"/>
      <w:lvlJc w:val="left"/>
      <w:pPr>
        <w:ind w:left="1458" w:hanging="360"/>
      </w:pPr>
      <w:rPr>
        <w:rFonts w:cs="Times New Roman" w:hint="default"/>
        <w:color w:val="295CA3"/>
        <w:w w:val="105"/>
      </w:rPr>
    </w:lvl>
    <w:lvl w:ilvl="1" w:tplc="04090019">
      <w:start w:val="1"/>
      <w:numFmt w:val="lowerLetter"/>
      <w:lvlText w:val="%2."/>
      <w:lvlJc w:val="left"/>
      <w:pPr>
        <w:ind w:left="2178" w:hanging="360"/>
      </w:pPr>
    </w:lvl>
    <w:lvl w:ilvl="2" w:tplc="0409001B" w:tentative="1">
      <w:start w:val="1"/>
      <w:numFmt w:val="lowerRoman"/>
      <w:lvlText w:val="%3."/>
      <w:lvlJc w:val="right"/>
      <w:pPr>
        <w:ind w:left="2898" w:hanging="180"/>
      </w:pPr>
    </w:lvl>
    <w:lvl w:ilvl="3" w:tplc="0409000F" w:tentative="1">
      <w:start w:val="1"/>
      <w:numFmt w:val="decimal"/>
      <w:lvlText w:val="%4."/>
      <w:lvlJc w:val="left"/>
      <w:pPr>
        <w:ind w:left="3618" w:hanging="360"/>
      </w:pPr>
    </w:lvl>
    <w:lvl w:ilvl="4" w:tplc="04090019" w:tentative="1">
      <w:start w:val="1"/>
      <w:numFmt w:val="lowerLetter"/>
      <w:lvlText w:val="%5."/>
      <w:lvlJc w:val="left"/>
      <w:pPr>
        <w:ind w:left="4338" w:hanging="360"/>
      </w:pPr>
    </w:lvl>
    <w:lvl w:ilvl="5" w:tplc="0409001B" w:tentative="1">
      <w:start w:val="1"/>
      <w:numFmt w:val="lowerRoman"/>
      <w:lvlText w:val="%6."/>
      <w:lvlJc w:val="right"/>
      <w:pPr>
        <w:ind w:left="5058" w:hanging="180"/>
      </w:pPr>
    </w:lvl>
    <w:lvl w:ilvl="6" w:tplc="0409000F" w:tentative="1">
      <w:start w:val="1"/>
      <w:numFmt w:val="decimal"/>
      <w:lvlText w:val="%7."/>
      <w:lvlJc w:val="left"/>
      <w:pPr>
        <w:ind w:left="5778" w:hanging="360"/>
      </w:pPr>
    </w:lvl>
    <w:lvl w:ilvl="7" w:tplc="04090019" w:tentative="1">
      <w:start w:val="1"/>
      <w:numFmt w:val="lowerLetter"/>
      <w:lvlText w:val="%8."/>
      <w:lvlJc w:val="left"/>
      <w:pPr>
        <w:ind w:left="6498" w:hanging="360"/>
      </w:pPr>
    </w:lvl>
    <w:lvl w:ilvl="8" w:tplc="0409001B" w:tentative="1">
      <w:start w:val="1"/>
      <w:numFmt w:val="lowerRoman"/>
      <w:lvlText w:val="%9."/>
      <w:lvlJc w:val="right"/>
      <w:pPr>
        <w:ind w:left="7218" w:hanging="180"/>
      </w:pPr>
    </w:lvl>
  </w:abstractNum>
  <w:abstractNum w:abstractNumId="130" w15:restartNumberingAfterBreak="0">
    <w:nsid w:val="5FBC06F9"/>
    <w:multiLevelType w:val="hybridMultilevel"/>
    <w:tmpl w:val="F51612A2"/>
    <w:lvl w:ilvl="0" w:tplc="04090001">
      <w:start w:val="1"/>
      <w:numFmt w:val="bullet"/>
      <w:lvlText w:val=""/>
      <w:lvlJc w:val="left"/>
      <w:pPr>
        <w:ind w:left="827" w:hanging="360"/>
      </w:pPr>
      <w:rPr>
        <w:rFonts w:ascii="Symbol" w:hAnsi="Symbol" w:hint="default"/>
      </w:rPr>
    </w:lvl>
    <w:lvl w:ilvl="1" w:tplc="04090003" w:tentative="1">
      <w:start w:val="1"/>
      <w:numFmt w:val="bullet"/>
      <w:lvlText w:val="o"/>
      <w:lvlJc w:val="left"/>
      <w:pPr>
        <w:ind w:left="1547" w:hanging="360"/>
      </w:pPr>
      <w:rPr>
        <w:rFonts w:ascii="Courier New" w:hAnsi="Courier New" w:cs="Courier New" w:hint="default"/>
      </w:rPr>
    </w:lvl>
    <w:lvl w:ilvl="2" w:tplc="04090005" w:tentative="1">
      <w:start w:val="1"/>
      <w:numFmt w:val="bullet"/>
      <w:lvlText w:val=""/>
      <w:lvlJc w:val="left"/>
      <w:pPr>
        <w:ind w:left="2267" w:hanging="360"/>
      </w:pPr>
      <w:rPr>
        <w:rFonts w:ascii="Wingdings" w:hAnsi="Wingdings" w:hint="default"/>
      </w:rPr>
    </w:lvl>
    <w:lvl w:ilvl="3" w:tplc="04090001" w:tentative="1">
      <w:start w:val="1"/>
      <w:numFmt w:val="bullet"/>
      <w:lvlText w:val=""/>
      <w:lvlJc w:val="left"/>
      <w:pPr>
        <w:ind w:left="2987" w:hanging="360"/>
      </w:pPr>
      <w:rPr>
        <w:rFonts w:ascii="Symbol" w:hAnsi="Symbol" w:hint="default"/>
      </w:rPr>
    </w:lvl>
    <w:lvl w:ilvl="4" w:tplc="04090003" w:tentative="1">
      <w:start w:val="1"/>
      <w:numFmt w:val="bullet"/>
      <w:lvlText w:val="o"/>
      <w:lvlJc w:val="left"/>
      <w:pPr>
        <w:ind w:left="3707" w:hanging="360"/>
      </w:pPr>
      <w:rPr>
        <w:rFonts w:ascii="Courier New" w:hAnsi="Courier New" w:cs="Courier New" w:hint="default"/>
      </w:rPr>
    </w:lvl>
    <w:lvl w:ilvl="5" w:tplc="04090005" w:tentative="1">
      <w:start w:val="1"/>
      <w:numFmt w:val="bullet"/>
      <w:lvlText w:val=""/>
      <w:lvlJc w:val="left"/>
      <w:pPr>
        <w:ind w:left="4427" w:hanging="360"/>
      </w:pPr>
      <w:rPr>
        <w:rFonts w:ascii="Wingdings" w:hAnsi="Wingdings" w:hint="default"/>
      </w:rPr>
    </w:lvl>
    <w:lvl w:ilvl="6" w:tplc="04090001" w:tentative="1">
      <w:start w:val="1"/>
      <w:numFmt w:val="bullet"/>
      <w:lvlText w:val=""/>
      <w:lvlJc w:val="left"/>
      <w:pPr>
        <w:ind w:left="5147" w:hanging="360"/>
      </w:pPr>
      <w:rPr>
        <w:rFonts w:ascii="Symbol" w:hAnsi="Symbol" w:hint="default"/>
      </w:rPr>
    </w:lvl>
    <w:lvl w:ilvl="7" w:tplc="04090003" w:tentative="1">
      <w:start w:val="1"/>
      <w:numFmt w:val="bullet"/>
      <w:lvlText w:val="o"/>
      <w:lvlJc w:val="left"/>
      <w:pPr>
        <w:ind w:left="5867" w:hanging="360"/>
      </w:pPr>
      <w:rPr>
        <w:rFonts w:ascii="Courier New" w:hAnsi="Courier New" w:cs="Courier New" w:hint="default"/>
      </w:rPr>
    </w:lvl>
    <w:lvl w:ilvl="8" w:tplc="04090005" w:tentative="1">
      <w:start w:val="1"/>
      <w:numFmt w:val="bullet"/>
      <w:lvlText w:val=""/>
      <w:lvlJc w:val="left"/>
      <w:pPr>
        <w:ind w:left="6587" w:hanging="360"/>
      </w:pPr>
      <w:rPr>
        <w:rFonts w:ascii="Wingdings" w:hAnsi="Wingdings" w:hint="default"/>
      </w:rPr>
    </w:lvl>
  </w:abstractNum>
  <w:abstractNum w:abstractNumId="131" w15:restartNumberingAfterBreak="0">
    <w:nsid w:val="608C2974"/>
    <w:multiLevelType w:val="hybridMultilevel"/>
    <w:tmpl w:val="324CD51A"/>
    <w:lvl w:ilvl="0" w:tplc="04090001">
      <w:start w:val="1"/>
      <w:numFmt w:val="bullet"/>
      <w:lvlText w:val=""/>
      <w:lvlJc w:val="left"/>
      <w:pPr>
        <w:ind w:left="827" w:hanging="360"/>
      </w:pPr>
      <w:rPr>
        <w:rFonts w:ascii="Symbol" w:hAnsi="Symbol" w:hint="default"/>
      </w:rPr>
    </w:lvl>
    <w:lvl w:ilvl="1" w:tplc="04090003" w:tentative="1">
      <w:start w:val="1"/>
      <w:numFmt w:val="bullet"/>
      <w:lvlText w:val="o"/>
      <w:lvlJc w:val="left"/>
      <w:pPr>
        <w:ind w:left="1547" w:hanging="360"/>
      </w:pPr>
      <w:rPr>
        <w:rFonts w:ascii="Courier New" w:hAnsi="Courier New" w:cs="Courier New" w:hint="default"/>
      </w:rPr>
    </w:lvl>
    <w:lvl w:ilvl="2" w:tplc="04090005" w:tentative="1">
      <w:start w:val="1"/>
      <w:numFmt w:val="bullet"/>
      <w:lvlText w:val=""/>
      <w:lvlJc w:val="left"/>
      <w:pPr>
        <w:ind w:left="2267" w:hanging="360"/>
      </w:pPr>
      <w:rPr>
        <w:rFonts w:ascii="Wingdings" w:hAnsi="Wingdings" w:hint="default"/>
      </w:rPr>
    </w:lvl>
    <w:lvl w:ilvl="3" w:tplc="04090001" w:tentative="1">
      <w:start w:val="1"/>
      <w:numFmt w:val="bullet"/>
      <w:lvlText w:val=""/>
      <w:lvlJc w:val="left"/>
      <w:pPr>
        <w:ind w:left="2987" w:hanging="360"/>
      </w:pPr>
      <w:rPr>
        <w:rFonts w:ascii="Symbol" w:hAnsi="Symbol" w:hint="default"/>
      </w:rPr>
    </w:lvl>
    <w:lvl w:ilvl="4" w:tplc="04090003" w:tentative="1">
      <w:start w:val="1"/>
      <w:numFmt w:val="bullet"/>
      <w:lvlText w:val="o"/>
      <w:lvlJc w:val="left"/>
      <w:pPr>
        <w:ind w:left="3707" w:hanging="360"/>
      </w:pPr>
      <w:rPr>
        <w:rFonts w:ascii="Courier New" w:hAnsi="Courier New" w:cs="Courier New" w:hint="default"/>
      </w:rPr>
    </w:lvl>
    <w:lvl w:ilvl="5" w:tplc="04090005" w:tentative="1">
      <w:start w:val="1"/>
      <w:numFmt w:val="bullet"/>
      <w:lvlText w:val=""/>
      <w:lvlJc w:val="left"/>
      <w:pPr>
        <w:ind w:left="4427" w:hanging="360"/>
      </w:pPr>
      <w:rPr>
        <w:rFonts w:ascii="Wingdings" w:hAnsi="Wingdings" w:hint="default"/>
      </w:rPr>
    </w:lvl>
    <w:lvl w:ilvl="6" w:tplc="04090001" w:tentative="1">
      <w:start w:val="1"/>
      <w:numFmt w:val="bullet"/>
      <w:lvlText w:val=""/>
      <w:lvlJc w:val="left"/>
      <w:pPr>
        <w:ind w:left="5147" w:hanging="360"/>
      </w:pPr>
      <w:rPr>
        <w:rFonts w:ascii="Symbol" w:hAnsi="Symbol" w:hint="default"/>
      </w:rPr>
    </w:lvl>
    <w:lvl w:ilvl="7" w:tplc="04090003" w:tentative="1">
      <w:start w:val="1"/>
      <w:numFmt w:val="bullet"/>
      <w:lvlText w:val="o"/>
      <w:lvlJc w:val="left"/>
      <w:pPr>
        <w:ind w:left="5867" w:hanging="360"/>
      </w:pPr>
      <w:rPr>
        <w:rFonts w:ascii="Courier New" w:hAnsi="Courier New" w:cs="Courier New" w:hint="default"/>
      </w:rPr>
    </w:lvl>
    <w:lvl w:ilvl="8" w:tplc="04090005" w:tentative="1">
      <w:start w:val="1"/>
      <w:numFmt w:val="bullet"/>
      <w:lvlText w:val=""/>
      <w:lvlJc w:val="left"/>
      <w:pPr>
        <w:ind w:left="6587" w:hanging="360"/>
      </w:pPr>
      <w:rPr>
        <w:rFonts w:ascii="Wingdings" w:hAnsi="Wingdings" w:hint="default"/>
      </w:rPr>
    </w:lvl>
  </w:abstractNum>
  <w:abstractNum w:abstractNumId="132" w15:restartNumberingAfterBreak="0">
    <w:nsid w:val="616228CD"/>
    <w:multiLevelType w:val="hybridMultilevel"/>
    <w:tmpl w:val="B6682810"/>
    <w:lvl w:ilvl="0" w:tplc="6F48B0E6">
      <w:start w:val="1"/>
      <w:numFmt w:val="lowerLetter"/>
      <w:lvlText w:val="(%1)"/>
      <w:lvlJc w:val="left"/>
      <w:pPr>
        <w:ind w:left="1080" w:hanging="360"/>
      </w:pPr>
      <w:rPr>
        <w:rFonts w:hint="default"/>
        <w:b/>
        <w:color w:val="295CA3"/>
        <w:w w:val="110"/>
        <w:sz w:val="26"/>
        <w:szCs w:val="26"/>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3" w15:restartNumberingAfterBreak="0">
    <w:nsid w:val="640428B2"/>
    <w:multiLevelType w:val="hybridMultilevel"/>
    <w:tmpl w:val="09BA6FCC"/>
    <w:lvl w:ilvl="0" w:tplc="04090001">
      <w:start w:val="1"/>
      <w:numFmt w:val="bullet"/>
      <w:lvlText w:val=""/>
      <w:lvlJc w:val="left"/>
      <w:pPr>
        <w:ind w:left="810" w:hanging="360"/>
      </w:pPr>
      <w:rPr>
        <w:rFonts w:ascii="Symbol" w:hAnsi="Symbol" w:hint="default"/>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134" w15:restartNumberingAfterBreak="0">
    <w:nsid w:val="661D30EC"/>
    <w:multiLevelType w:val="hybridMultilevel"/>
    <w:tmpl w:val="FD4ACADC"/>
    <w:lvl w:ilvl="0" w:tplc="04090001">
      <w:start w:val="1"/>
      <w:numFmt w:val="bullet"/>
      <w:lvlText w:val=""/>
      <w:lvlJc w:val="left"/>
      <w:pPr>
        <w:ind w:left="810" w:hanging="360"/>
      </w:pPr>
      <w:rPr>
        <w:rFonts w:ascii="Symbol" w:hAnsi="Symbol" w:hint="default"/>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135" w15:restartNumberingAfterBreak="0">
    <w:nsid w:val="6623068D"/>
    <w:multiLevelType w:val="hybridMultilevel"/>
    <w:tmpl w:val="3A0EB274"/>
    <w:lvl w:ilvl="0" w:tplc="04090001">
      <w:start w:val="1"/>
      <w:numFmt w:val="bullet"/>
      <w:lvlText w:val=""/>
      <w:lvlJc w:val="left"/>
      <w:pPr>
        <w:ind w:left="827" w:hanging="360"/>
      </w:pPr>
      <w:rPr>
        <w:rFonts w:ascii="Symbol" w:hAnsi="Symbol" w:hint="default"/>
      </w:rPr>
    </w:lvl>
    <w:lvl w:ilvl="1" w:tplc="04090003">
      <w:start w:val="1"/>
      <w:numFmt w:val="bullet"/>
      <w:lvlText w:val="o"/>
      <w:lvlJc w:val="left"/>
      <w:pPr>
        <w:ind w:left="1547" w:hanging="360"/>
      </w:pPr>
      <w:rPr>
        <w:rFonts w:ascii="Courier New" w:hAnsi="Courier New" w:cs="Courier New" w:hint="default"/>
      </w:rPr>
    </w:lvl>
    <w:lvl w:ilvl="2" w:tplc="04090005" w:tentative="1">
      <w:start w:val="1"/>
      <w:numFmt w:val="bullet"/>
      <w:lvlText w:val=""/>
      <w:lvlJc w:val="left"/>
      <w:pPr>
        <w:ind w:left="2267" w:hanging="360"/>
      </w:pPr>
      <w:rPr>
        <w:rFonts w:ascii="Wingdings" w:hAnsi="Wingdings" w:hint="default"/>
      </w:rPr>
    </w:lvl>
    <w:lvl w:ilvl="3" w:tplc="04090001" w:tentative="1">
      <w:start w:val="1"/>
      <w:numFmt w:val="bullet"/>
      <w:lvlText w:val=""/>
      <w:lvlJc w:val="left"/>
      <w:pPr>
        <w:ind w:left="2987" w:hanging="360"/>
      </w:pPr>
      <w:rPr>
        <w:rFonts w:ascii="Symbol" w:hAnsi="Symbol" w:hint="default"/>
      </w:rPr>
    </w:lvl>
    <w:lvl w:ilvl="4" w:tplc="04090003" w:tentative="1">
      <w:start w:val="1"/>
      <w:numFmt w:val="bullet"/>
      <w:lvlText w:val="o"/>
      <w:lvlJc w:val="left"/>
      <w:pPr>
        <w:ind w:left="3707" w:hanging="360"/>
      </w:pPr>
      <w:rPr>
        <w:rFonts w:ascii="Courier New" w:hAnsi="Courier New" w:cs="Courier New" w:hint="default"/>
      </w:rPr>
    </w:lvl>
    <w:lvl w:ilvl="5" w:tplc="04090005" w:tentative="1">
      <w:start w:val="1"/>
      <w:numFmt w:val="bullet"/>
      <w:lvlText w:val=""/>
      <w:lvlJc w:val="left"/>
      <w:pPr>
        <w:ind w:left="4427" w:hanging="360"/>
      </w:pPr>
      <w:rPr>
        <w:rFonts w:ascii="Wingdings" w:hAnsi="Wingdings" w:hint="default"/>
      </w:rPr>
    </w:lvl>
    <w:lvl w:ilvl="6" w:tplc="04090001" w:tentative="1">
      <w:start w:val="1"/>
      <w:numFmt w:val="bullet"/>
      <w:lvlText w:val=""/>
      <w:lvlJc w:val="left"/>
      <w:pPr>
        <w:ind w:left="5147" w:hanging="360"/>
      </w:pPr>
      <w:rPr>
        <w:rFonts w:ascii="Symbol" w:hAnsi="Symbol" w:hint="default"/>
      </w:rPr>
    </w:lvl>
    <w:lvl w:ilvl="7" w:tplc="04090003" w:tentative="1">
      <w:start w:val="1"/>
      <w:numFmt w:val="bullet"/>
      <w:lvlText w:val="o"/>
      <w:lvlJc w:val="left"/>
      <w:pPr>
        <w:ind w:left="5867" w:hanging="360"/>
      </w:pPr>
      <w:rPr>
        <w:rFonts w:ascii="Courier New" w:hAnsi="Courier New" w:cs="Courier New" w:hint="default"/>
      </w:rPr>
    </w:lvl>
    <w:lvl w:ilvl="8" w:tplc="04090005" w:tentative="1">
      <w:start w:val="1"/>
      <w:numFmt w:val="bullet"/>
      <w:lvlText w:val=""/>
      <w:lvlJc w:val="left"/>
      <w:pPr>
        <w:ind w:left="6587" w:hanging="360"/>
      </w:pPr>
      <w:rPr>
        <w:rFonts w:ascii="Wingdings" w:hAnsi="Wingdings" w:hint="default"/>
      </w:rPr>
    </w:lvl>
  </w:abstractNum>
  <w:abstractNum w:abstractNumId="136" w15:restartNumberingAfterBreak="0">
    <w:nsid w:val="665526E1"/>
    <w:multiLevelType w:val="hybridMultilevel"/>
    <w:tmpl w:val="953CC692"/>
    <w:lvl w:ilvl="0" w:tplc="04090001">
      <w:start w:val="1"/>
      <w:numFmt w:val="bullet"/>
      <w:lvlText w:val=""/>
      <w:lvlJc w:val="left"/>
      <w:pPr>
        <w:ind w:left="810" w:hanging="360"/>
      </w:pPr>
      <w:rPr>
        <w:rFonts w:ascii="Symbol" w:hAnsi="Symbol" w:hint="default"/>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137" w15:restartNumberingAfterBreak="0">
    <w:nsid w:val="67B83FAE"/>
    <w:multiLevelType w:val="hybridMultilevel"/>
    <w:tmpl w:val="7824788E"/>
    <w:lvl w:ilvl="0" w:tplc="04090001">
      <w:start w:val="1"/>
      <w:numFmt w:val="bullet"/>
      <w:lvlText w:val=""/>
      <w:lvlJc w:val="left"/>
      <w:pPr>
        <w:ind w:left="810" w:hanging="360"/>
      </w:pPr>
      <w:rPr>
        <w:rFonts w:ascii="Symbol" w:hAnsi="Symbol" w:hint="default"/>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138" w15:restartNumberingAfterBreak="0">
    <w:nsid w:val="67BA23E6"/>
    <w:multiLevelType w:val="hybridMultilevel"/>
    <w:tmpl w:val="E8522A14"/>
    <w:lvl w:ilvl="0" w:tplc="04090001">
      <w:start w:val="1"/>
      <w:numFmt w:val="bullet"/>
      <w:lvlText w:val=""/>
      <w:lvlJc w:val="left"/>
      <w:pPr>
        <w:ind w:left="827" w:hanging="360"/>
      </w:pPr>
      <w:rPr>
        <w:rFonts w:ascii="Symbol" w:hAnsi="Symbol" w:hint="default"/>
      </w:rPr>
    </w:lvl>
    <w:lvl w:ilvl="1" w:tplc="04090003" w:tentative="1">
      <w:start w:val="1"/>
      <w:numFmt w:val="bullet"/>
      <w:lvlText w:val="o"/>
      <w:lvlJc w:val="left"/>
      <w:pPr>
        <w:ind w:left="1547" w:hanging="360"/>
      </w:pPr>
      <w:rPr>
        <w:rFonts w:ascii="Courier New" w:hAnsi="Courier New" w:cs="Courier New" w:hint="default"/>
      </w:rPr>
    </w:lvl>
    <w:lvl w:ilvl="2" w:tplc="04090005" w:tentative="1">
      <w:start w:val="1"/>
      <w:numFmt w:val="bullet"/>
      <w:lvlText w:val=""/>
      <w:lvlJc w:val="left"/>
      <w:pPr>
        <w:ind w:left="2267" w:hanging="360"/>
      </w:pPr>
      <w:rPr>
        <w:rFonts w:ascii="Wingdings" w:hAnsi="Wingdings" w:hint="default"/>
      </w:rPr>
    </w:lvl>
    <w:lvl w:ilvl="3" w:tplc="04090001" w:tentative="1">
      <w:start w:val="1"/>
      <w:numFmt w:val="bullet"/>
      <w:lvlText w:val=""/>
      <w:lvlJc w:val="left"/>
      <w:pPr>
        <w:ind w:left="2987" w:hanging="360"/>
      </w:pPr>
      <w:rPr>
        <w:rFonts w:ascii="Symbol" w:hAnsi="Symbol" w:hint="default"/>
      </w:rPr>
    </w:lvl>
    <w:lvl w:ilvl="4" w:tplc="04090003" w:tentative="1">
      <w:start w:val="1"/>
      <w:numFmt w:val="bullet"/>
      <w:lvlText w:val="o"/>
      <w:lvlJc w:val="left"/>
      <w:pPr>
        <w:ind w:left="3707" w:hanging="360"/>
      </w:pPr>
      <w:rPr>
        <w:rFonts w:ascii="Courier New" w:hAnsi="Courier New" w:cs="Courier New" w:hint="default"/>
      </w:rPr>
    </w:lvl>
    <w:lvl w:ilvl="5" w:tplc="04090005" w:tentative="1">
      <w:start w:val="1"/>
      <w:numFmt w:val="bullet"/>
      <w:lvlText w:val=""/>
      <w:lvlJc w:val="left"/>
      <w:pPr>
        <w:ind w:left="4427" w:hanging="360"/>
      </w:pPr>
      <w:rPr>
        <w:rFonts w:ascii="Wingdings" w:hAnsi="Wingdings" w:hint="default"/>
      </w:rPr>
    </w:lvl>
    <w:lvl w:ilvl="6" w:tplc="04090001" w:tentative="1">
      <w:start w:val="1"/>
      <w:numFmt w:val="bullet"/>
      <w:lvlText w:val=""/>
      <w:lvlJc w:val="left"/>
      <w:pPr>
        <w:ind w:left="5147" w:hanging="360"/>
      </w:pPr>
      <w:rPr>
        <w:rFonts w:ascii="Symbol" w:hAnsi="Symbol" w:hint="default"/>
      </w:rPr>
    </w:lvl>
    <w:lvl w:ilvl="7" w:tplc="04090003" w:tentative="1">
      <w:start w:val="1"/>
      <w:numFmt w:val="bullet"/>
      <w:lvlText w:val="o"/>
      <w:lvlJc w:val="left"/>
      <w:pPr>
        <w:ind w:left="5867" w:hanging="360"/>
      </w:pPr>
      <w:rPr>
        <w:rFonts w:ascii="Courier New" w:hAnsi="Courier New" w:cs="Courier New" w:hint="default"/>
      </w:rPr>
    </w:lvl>
    <w:lvl w:ilvl="8" w:tplc="04090005" w:tentative="1">
      <w:start w:val="1"/>
      <w:numFmt w:val="bullet"/>
      <w:lvlText w:val=""/>
      <w:lvlJc w:val="left"/>
      <w:pPr>
        <w:ind w:left="6587" w:hanging="360"/>
      </w:pPr>
      <w:rPr>
        <w:rFonts w:ascii="Wingdings" w:hAnsi="Wingdings" w:hint="default"/>
      </w:rPr>
    </w:lvl>
  </w:abstractNum>
  <w:abstractNum w:abstractNumId="139" w15:restartNumberingAfterBreak="0">
    <w:nsid w:val="67E808F6"/>
    <w:multiLevelType w:val="hybridMultilevel"/>
    <w:tmpl w:val="D624DF7A"/>
    <w:lvl w:ilvl="0" w:tplc="0409000F">
      <w:start w:val="1"/>
      <w:numFmt w:val="decimal"/>
      <w:lvlText w:val="%1."/>
      <w:lvlJc w:val="left"/>
      <w:pPr>
        <w:ind w:left="810" w:hanging="360"/>
      </w:p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140" w15:restartNumberingAfterBreak="0">
    <w:nsid w:val="69274F4C"/>
    <w:multiLevelType w:val="hybridMultilevel"/>
    <w:tmpl w:val="35044234"/>
    <w:lvl w:ilvl="0" w:tplc="0409000F">
      <w:start w:val="1"/>
      <w:numFmt w:val="decimal"/>
      <w:lvlText w:val="%1."/>
      <w:lvlJc w:val="left"/>
      <w:pPr>
        <w:ind w:left="810" w:hanging="360"/>
      </w:p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141" w15:restartNumberingAfterBreak="0">
    <w:nsid w:val="6936132E"/>
    <w:multiLevelType w:val="hybridMultilevel"/>
    <w:tmpl w:val="DFF665D2"/>
    <w:lvl w:ilvl="0" w:tplc="04090001">
      <w:start w:val="1"/>
      <w:numFmt w:val="bullet"/>
      <w:lvlText w:val=""/>
      <w:lvlJc w:val="left"/>
      <w:pPr>
        <w:ind w:left="810" w:hanging="360"/>
      </w:pPr>
      <w:rPr>
        <w:rFonts w:ascii="Symbol" w:hAnsi="Symbol" w:hint="default"/>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142" w15:restartNumberingAfterBreak="0">
    <w:nsid w:val="69511CD8"/>
    <w:multiLevelType w:val="hybridMultilevel"/>
    <w:tmpl w:val="6C4AD76E"/>
    <w:lvl w:ilvl="0" w:tplc="0409000F">
      <w:start w:val="1"/>
      <w:numFmt w:val="decimal"/>
      <w:lvlText w:val="%1."/>
      <w:lvlJc w:val="left"/>
      <w:pPr>
        <w:ind w:left="792" w:hanging="360"/>
      </w:pPr>
    </w:lvl>
    <w:lvl w:ilvl="1" w:tplc="04090019" w:tentative="1">
      <w:start w:val="1"/>
      <w:numFmt w:val="lowerLetter"/>
      <w:lvlText w:val="%2."/>
      <w:lvlJc w:val="left"/>
      <w:pPr>
        <w:ind w:left="1512" w:hanging="360"/>
      </w:pPr>
    </w:lvl>
    <w:lvl w:ilvl="2" w:tplc="0409001B" w:tentative="1">
      <w:start w:val="1"/>
      <w:numFmt w:val="lowerRoman"/>
      <w:lvlText w:val="%3."/>
      <w:lvlJc w:val="right"/>
      <w:pPr>
        <w:ind w:left="2232" w:hanging="180"/>
      </w:pPr>
    </w:lvl>
    <w:lvl w:ilvl="3" w:tplc="0409000F" w:tentative="1">
      <w:start w:val="1"/>
      <w:numFmt w:val="decimal"/>
      <w:lvlText w:val="%4."/>
      <w:lvlJc w:val="left"/>
      <w:pPr>
        <w:ind w:left="2952" w:hanging="360"/>
      </w:pPr>
    </w:lvl>
    <w:lvl w:ilvl="4" w:tplc="04090019" w:tentative="1">
      <w:start w:val="1"/>
      <w:numFmt w:val="lowerLetter"/>
      <w:lvlText w:val="%5."/>
      <w:lvlJc w:val="left"/>
      <w:pPr>
        <w:ind w:left="3672" w:hanging="360"/>
      </w:pPr>
    </w:lvl>
    <w:lvl w:ilvl="5" w:tplc="0409001B" w:tentative="1">
      <w:start w:val="1"/>
      <w:numFmt w:val="lowerRoman"/>
      <w:lvlText w:val="%6."/>
      <w:lvlJc w:val="right"/>
      <w:pPr>
        <w:ind w:left="4392" w:hanging="180"/>
      </w:pPr>
    </w:lvl>
    <w:lvl w:ilvl="6" w:tplc="0409000F" w:tentative="1">
      <w:start w:val="1"/>
      <w:numFmt w:val="decimal"/>
      <w:lvlText w:val="%7."/>
      <w:lvlJc w:val="left"/>
      <w:pPr>
        <w:ind w:left="5112" w:hanging="360"/>
      </w:pPr>
    </w:lvl>
    <w:lvl w:ilvl="7" w:tplc="04090019" w:tentative="1">
      <w:start w:val="1"/>
      <w:numFmt w:val="lowerLetter"/>
      <w:lvlText w:val="%8."/>
      <w:lvlJc w:val="left"/>
      <w:pPr>
        <w:ind w:left="5832" w:hanging="360"/>
      </w:pPr>
    </w:lvl>
    <w:lvl w:ilvl="8" w:tplc="0409001B" w:tentative="1">
      <w:start w:val="1"/>
      <w:numFmt w:val="lowerRoman"/>
      <w:lvlText w:val="%9."/>
      <w:lvlJc w:val="right"/>
      <w:pPr>
        <w:ind w:left="6552" w:hanging="180"/>
      </w:pPr>
    </w:lvl>
  </w:abstractNum>
  <w:abstractNum w:abstractNumId="143" w15:restartNumberingAfterBreak="0">
    <w:nsid w:val="6AA87C60"/>
    <w:multiLevelType w:val="hybridMultilevel"/>
    <w:tmpl w:val="7E5C2780"/>
    <w:lvl w:ilvl="0" w:tplc="04090001">
      <w:start w:val="1"/>
      <w:numFmt w:val="bullet"/>
      <w:lvlText w:val=""/>
      <w:lvlJc w:val="left"/>
      <w:pPr>
        <w:ind w:left="810" w:hanging="360"/>
      </w:pPr>
      <w:rPr>
        <w:rFonts w:ascii="Symbol" w:hAnsi="Symbol" w:hint="default"/>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144" w15:restartNumberingAfterBreak="0">
    <w:nsid w:val="6AA9237B"/>
    <w:multiLevelType w:val="hybridMultilevel"/>
    <w:tmpl w:val="3D7AEE8C"/>
    <w:lvl w:ilvl="0" w:tplc="04090001">
      <w:start w:val="1"/>
      <w:numFmt w:val="bullet"/>
      <w:lvlText w:val=""/>
      <w:lvlJc w:val="left"/>
      <w:pPr>
        <w:ind w:left="810" w:hanging="360"/>
      </w:pPr>
      <w:rPr>
        <w:rFonts w:ascii="Symbol" w:hAnsi="Symbol" w:hint="default"/>
        <w:sz w:val="22"/>
        <w:szCs w:val="22"/>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145" w15:restartNumberingAfterBreak="0">
    <w:nsid w:val="6B3058E9"/>
    <w:multiLevelType w:val="hybridMultilevel"/>
    <w:tmpl w:val="369EB8A8"/>
    <w:lvl w:ilvl="0" w:tplc="04090001">
      <w:start w:val="1"/>
      <w:numFmt w:val="bullet"/>
      <w:lvlText w:val=""/>
      <w:lvlJc w:val="left"/>
      <w:pPr>
        <w:ind w:left="810" w:hanging="360"/>
      </w:pPr>
      <w:rPr>
        <w:rFonts w:ascii="Symbol" w:hAnsi="Symbol" w:hint="default"/>
      </w:rPr>
    </w:lvl>
    <w:lvl w:ilvl="1" w:tplc="04090001">
      <w:start w:val="1"/>
      <w:numFmt w:val="bullet"/>
      <w:lvlText w:val=""/>
      <w:lvlJc w:val="left"/>
      <w:pPr>
        <w:ind w:left="1530" w:hanging="360"/>
      </w:pPr>
      <w:rPr>
        <w:rFonts w:ascii="Symbol" w:hAnsi="Symbol"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146" w15:restartNumberingAfterBreak="0">
    <w:nsid w:val="6BAC704F"/>
    <w:multiLevelType w:val="hybridMultilevel"/>
    <w:tmpl w:val="94C6F1C6"/>
    <w:lvl w:ilvl="0" w:tplc="0409000F">
      <w:start w:val="1"/>
      <w:numFmt w:val="decimal"/>
      <w:lvlText w:val="%1."/>
      <w:lvlJc w:val="left"/>
      <w:pPr>
        <w:ind w:left="810" w:hanging="360"/>
      </w:p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147" w15:restartNumberingAfterBreak="0">
    <w:nsid w:val="6BC77245"/>
    <w:multiLevelType w:val="multilevel"/>
    <w:tmpl w:val="2C0E6760"/>
    <w:lvl w:ilvl="0">
      <w:start w:val="2"/>
      <w:numFmt w:val="decimal"/>
      <w:lvlText w:val="%1"/>
      <w:lvlJc w:val="left"/>
      <w:pPr>
        <w:ind w:left="108" w:hanging="310"/>
      </w:pPr>
      <w:rPr>
        <w:rFonts w:cs="Times New Roman" w:hint="default"/>
      </w:rPr>
    </w:lvl>
    <w:lvl w:ilvl="1">
      <w:start w:val="5"/>
      <w:numFmt w:val="decimal"/>
      <w:lvlText w:val="%1.%2"/>
      <w:lvlJc w:val="left"/>
      <w:pPr>
        <w:ind w:left="108" w:hanging="310"/>
      </w:pPr>
      <w:rPr>
        <w:rFonts w:cs="Times New Roman" w:hint="default"/>
        <w:u w:val="single" w:color="030913"/>
      </w:rPr>
    </w:lvl>
    <w:lvl w:ilvl="2">
      <w:start w:val="1"/>
      <w:numFmt w:val="lowerRoman"/>
      <w:lvlText w:val="(%3)"/>
      <w:lvlJc w:val="left"/>
      <w:pPr>
        <w:ind w:left="828" w:hanging="360"/>
      </w:pPr>
      <w:rPr>
        <w:rFonts w:ascii="Calibri" w:eastAsia="Times New Roman" w:hAnsi="Calibri" w:cs="Times New Roman" w:hint="default"/>
        <w:b/>
        <w:color w:val="295CA3"/>
        <w:w w:val="86"/>
        <w:sz w:val="26"/>
        <w:szCs w:val="26"/>
      </w:rPr>
    </w:lvl>
    <w:lvl w:ilvl="3">
      <w:start w:val="1"/>
      <w:numFmt w:val="bullet"/>
      <w:lvlText w:val="•"/>
      <w:lvlJc w:val="left"/>
      <w:pPr>
        <w:ind w:left="2957" w:hanging="360"/>
      </w:pPr>
      <w:rPr>
        <w:rFonts w:hint="default"/>
      </w:rPr>
    </w:lvl>
    <w:lvl w:ilvl="4">
      <w:start w:val="1"/>
      <w:numFmt w:val="bullet"/>
      <w:lvlText w:val="•"/>
      <w:lvlJc w:val="left"/>
      <w:pPr>
        <w:ind w:left="4026" w:hanging="360"/>
      </w:pPr>
      <w:rPr>
        <w:rFonts w:hint="default"/>
      </w:rPr>
    </w:lvl>
    <w:lvl w:ilvl="5">
      <w:start w:val="1"/>
      <w:numFmt w:val="bullet"/>
      <w:lvlText w:val="•"/>
      <w:lvlJc w:val="left"/>
      <w:pPr>
        <w:ind w:left="5095" w:hanging="360"/>
      </w:pPr>
      <w:rPr>
        <w:rFonts w:hint="default"/>
      </w:rPr>
    </w:lvl>
    <w:lvl w:ilvl="6">
      <w:start w:val="1"/>
      <w:numFmt w:val="bullet"/>
      <w:lvlText w:val="•"/>
      <w:lvlJc w:val="left"/>
      <w:pPr>
        <w:ind w:left="6164" w:hanging="360"/>
      </w:pPr>
      <w:rPr>
        <w:rFonts w:hint="default"/>
      </w:rPr>
    </w:lvl>
    <w:lvl w:ilvl="7">
      <w:start w:val="1"/>
      <w:numFmt w:val="bullet"/>
      <w:lvlText w:val="•"/>
      <w:lvlJc w:val="left"/>
      <w:pPr>
        <w:ind w:left="7233" w:hanging="360"/>
      </w:pPr>
      <w:rPr>
        <w:rFonts w:hint="default"/>
      </w:rPr>
    </w:lvl>
    <w:lvl w:ilvl="8">
      <w:start w:val="1"/>
      <w:numFmt w:val="bullet"/>
      <w:lvlText w:val="•"/>
      <w:lvlJc w:val="left"/>
      <w:pPr>
        <w:ind w:left="8302" w:hanging="360"/>
      </w:pPr>
      <w:rPr>
        <w:rFonts w:hint="default"/>
      </w:rPr>
    </w:lvl>
  </w:abstractNum>
  <w:abstractNum w:abstractNumId="148" w15:restartNumberingAfterBreak="0">
    <w:nsid w:val="6D4B20B2"/>
    <w:multiLevelType w:val="hybridMultilevel"/>
    <w:tmpl w:val="03AAD708"/>
    <w:lvl w:ilvl="0" w:tplc="0409000F">
      <w:start w:val="1"/>
      <w:numFmt w:val="decimal"/>
      <w:lvlText w:val="%1."/>
      <w:lvlJc w:val="left"/>
      <w:pPr>
        <w:ind w:left="810" w:hanging="360"/>
      </w:p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149" w15:restartNumberingAfterBreak="0">
    <w:nsid w:val="6D6474DF"/>
    <w:multiLevelType w:val="hybridMultilevel"/>
    <w:tmpl w:val="D362EE6A"/>
    <w:lvl w:ilvl="0" w:tplc="04090001">
      <w:start w:val="1"/>
      <w:numFmt w:val="bullet"/>
      <w:lvlText w:val=""/>
      <w:lvlJc w:val="left"/>
      <w:pPr>
        <w:ind w:left="810" w:hanging="360"/>
      </w:pPr>
      <w:rPr>
        <w:rFonts w:ascii="Symbol" w:hAnsi="Symbol" w:hint="default"/>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150" w15:restartNumberingAfterBreak="0">
    <w:nsid w:val="6E4D3C76"/>
    <w:multiLevelType w:val="hybridMultilevel"/>
    <w:tmpl w:val="6CBE4BAA"/>
    <w:lvl w:ilvl="0" w:tplc="04090001">
      <w:start w:val="1"/>
      <w:numFmt w:val="bullet"/>
      <w:lvlText w:val=""/>
      <w:lvlJc w:val="left"/>
      <w:pPr>
        <w:ind w:left="810" w:hanging="360"/>
      </w:pPr>
      <w:rPr>
        <w:rFonts w:ascii="Symbol" w:hAnsi="Symbol" w:hint="default"/>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151" w15:restartNumberingAfterBreak="0">
    <w:nsid w:val="6F7E00F4"/>
    <w:multiLevelType w:val="hybridMultilevel"/>
    <w:tmpl w:val="6CCE7A38"/>
    <w:lvl w:ilvl="0" w:tplc="04090001">
      <w:start w:val="1"/>
      <w:numFmt w:val="bullet"/>
      <w:lvlText w:val=""/>
      <w:lvlJc w:val="left"/>
      <w:pPr>
        <w:ind w:left="810" w:hanging="360"/>
      </w:pPr>
      <w:rPr>
        <w:rFonts w:ascii="Symbol" w:hAnsi="Symbol" w:hint="default"/>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152" w15:restartNumberingAfterBreak="0">
    <w:nsid w:val="6FAC7341"/>
    <w:multiLevelType w:val="hybridMultilevel"/>
    <w:tmpl w:val="B7B8BCB2"/>
    <w:lvl w:ilvl="0" w:tplc="04090001">
      <w:start w:val="1"/>
      <w:numFmt w:val="bullet"/>
      <w:lvlText w:val=""/>
      <w:lvlJc w:val="left"/>
      <w:pPr>
        <w:ind w:left="810" w:hanging="360"/>
      </w:pPr>
      <w:rPr>
        <w:rFonts w:ascii="Symbol" w:hAnsi="Symbol" w:hint="default"/>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153" w15:restartNumberingAfterBreak="0">
    <w:nsid w:val="6FC817FC"/>
    <w:multiLevelType w:val="multilevel"/>
    <w:tmpl w:val="98E638D2"/>
    <w:lvl w:ilvl="0">
      <w:start w:val="1"/>
      <w:numFmt w:val="decimal"/>
      <w:lvlText w:val="%1."/>
      <w:lvlJc w:val="left"/>
      <w:pPr>
        <w:ind w:left="552" w:hanging="552"/>
      </w:pPr>
      <w:rPr>
        <w:rFonts w:hint="default"/>
      </w:rPr>
    </w:lvl>
    <w:lvl w:ilvl="1">
      <w:start w:val="1"/>
      <w:numFmt w:val="decimal"/>
      <w:lvlText w:val="%1.%2."/>
      <w:lvlJc w:val="left"/>
      <w:pPr>
        <w:ind w:left="912" w:hanging="552"/>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54" w15:restartNumberingAfterBreak="0">
    <w:nsid w:val="7026336C"/>
    <w:multiLevelType w:val="hybridMultilevel"/>
    <w:tmpl w:val="C4A8153E"/>
    <w:lvl w:ilvl="0" w:tplc="04090001">
      <w:start w:val="1"/>
      <w:numFmt w:val="bullet"/>
      <w:lvlText w:val=""/>
      <w:lvlJc w:val="left"/>
      <w:pPr>
        <w:ind w:left="827" w:hanging="360"/>
      </w:pPr>
      <w:rPr>
        <w:rFonts w:ascii="Symbol" w:hAnsi="Symbol" w:hint="default"/>
      </w:rPr>
    </w:lvl>
    <w:lvl w:ilvl="1" w:tplc="04090003" w:tentative="1">
      <w:start w:val="1"/>
      <w:numFmt w:val="bullet"/>
      <w:lvlText w:val="o"/>
      <w:lvlJc w:val="left"/>
      <w:pPr>
        <w:ind w:left="1547" w:hanging="360"/>
      </w:pPr>
      <w:rPr>
        <w:rFonts w:ascii="Courier New" w:hAnsi="Courier New" w:cs="Courier New" w:hint="default"/>
      </w:rPr>
    </w:lvl>
    <w:lvl w:ilvl="2" w:tplc="04090005" w:tentative="1">
      <w:start w:val="1"/>
      <w:numFmt w:val="bullet"/>
      <w:lvlText w:val=""/>
      <w:lvlJc w:val="left"/>
      <w:pPr>
        <w:ind w:left="2267" w:hanging="360"/>
      </w:pPr>
      <w:rPr>
        <w:rFonts w:ascii="Wingdings" w:hAnsi="Wingdings" w:hint="default"/>
      </w:rPr>
    </w:lvl>
    <w:lvl w:ilvl="3" w:tplc="04090001" w:tentative="1">
      <w:start w:val="1"/>
      <w:numFmt w:val="bullet"/>
      <w:lvlText w:val=""/>
      <w:lvlJc w:val="left"/>
      <w:pPr>
        <w:ind w:left="2987" w:hanging="360"/>
      </w:pPr>
      <w:rPr>
        <w:rFonts w:ascii="Symbol" w:hAnsi="Symbol" w:hint="default"/>
      </w:rPr>
    </w:lvl>
    <w:lvl w:ilvl="4" w:tplc="04090003" w:tentative="1">
      <w:start w:val="1"/>
      <w:numFmt w:val="bullet"/>
      <w:lvlText w:val="o"/>
      <w:lvlJc w:val="left"/>
      <w:pPr>
        <w:ind w:left="3707" w:hanging="360"/>
      </w:pPr>
      <w:rPr>
        <w:rFonts w:ascii="Courier New" w:hAnsi="Courier New" w:cs="Courier New" w:hint="default"/>
      </w:rPr>
    </w:lvl>
    <w:lvl w:ilvl="5" w:tplc="04090005" w:tentative="1">
      <w:start w:val="1"/>
      <w:numFmt w:val="bullet"/>
      <w:lvlText w:val=""/>
      <w:lvlJc w:val="left"/>
      <w:pPr>
        <w:ind w:left="4427" w:hanging="360"/>
      </w:pPr>
      <w:rPr>
        <w:rFonts w:ascii="Wingdings" w:hAnsi="Wingdings" w:hint="default"/>
      </w:rPr>
    </w:lvl>
    <w:lvl w:ilvl="6" w:tplc="04090001" w:tentative="1">
      <w:start w:val="1"/>
      <w:numFmt w:val="bullet"/>
      <w:lvlText w:val=""/>
      <w:lvlJc w:val="left"/>
      <w:pPr>
        <w:ind w:left="5147" w:hanging="360"/>
      </w:pPr>
      <w:rPr>
        <w:rFonts w:ascii="Symbol" w:hAnsi="Symbol" w:hint="default"/>
      </w:rPr>
    </w:lvl>
    <w:lvl w:ilvl="7" w:tplc="04090003" w:tentative="1">
      <w:start w:val="1"/>
      <w:numFmt w:val="bullet"/>
      <w:lvlText w:val="o"/>
      <w:lvlJc w:val="left"/>
      <w:pPr>
        <w:ind w:left="5867" w:hanging="360"/>
      </w:pPr>
      <w:rPr>
        <w:rFonts w:ascii="Courier New" w:hAnsi="Courier New" w:cs="Courier New" w:hint="default"/>
      </w:rPr>
    </w:lvl>
    <w:lvl w:ilvl="8" w:tplc="04090005" w:tentative="1">
      <w:start w:val="1"/>
      <w:numFmt w:val="bullet"/>
      <w:lvlText w:val=""/>
      <w:lvlJc w:val="left"/>
      <w:pPr>
        <w:ind w:left="6587" w:hanging="360"/>
      </w:pPr>
      <w:rPr>
        <w:rFonts w:ascii="Wingdings" w:hAnsi="Wingdings" w:hint="default"/>
      </w:rPr>
    </w:lvl>
  </w:abstractNum>
  <w:abstractNum w:abstractNumId="155" w15:restartNumberingAfterBreak="0">
    <w:nsid w:val="70803063"/>
    <w:multiLevelType w:val="hybridMultilevel"/>
    <w:tmpl w:val="B8FE70EC"/>
    <w:lvl w:ilvl="0" w:tplc="AFE0BF6C">
      <w:start w:val="1"/>
      <w:numFmt w:val="bullet"/>
      <w:lvlText w:val=""/>
      <w:lvlJc w:val="left"/>
      <w:pPr>
        <w:ind w:left="827" w:hanging="360"/>
      </w:pPr>
      <w:rPr>
        <w:rFonts w:ascii="Symbol" w:hAnsi="Symbol" w:hint="default"/>
        <w:color w:val="auto"/>
      </w:rPr>
    </w:lvl>
    <w:lvl w:ilvl="1" w:tplc="04090003" w:tentative="1">
      <w:start w:val="1"/>
      <w:numFmt w:val="bullet"/>
      <w:lvlText w:val="o"/>
      <w:lvlJc w:val="left"/>
      <w:pPr>
        <w:ind w:left="1547" w:hanging="360"/>
      </w:pPr>
      <w:rPr>
        <w:rFonts w:ascii="Courier New" w:hAnsi="Courier New" w:cs="Courier New" w:hint="default"/>
      </w:rPr>
    </w:lvl>
    <w:lvl w:ilvl="2" w:tplc="04090005" w:tentative="1">
      <w:start w:val="1"/>
      <w:numFmt w:val="bullet"/>
      <w:lvlText w:val=""/>
      <w:lvlJc w:val="left"/>
      <w:pPr>
        <w:ind w:left="2267" w:hanging="360"/>
      </w:pPr>
      <w:rPr>
        <w:rFonts w:ascii="Wingdings" w:hAnsi="Wingdings" w:hint="default"/>
      </w:rPr>
    </w:lvl>
    <w:lvl w:ilvl="3" w:tplc="04090001" w:tentative="1">
      <w:start w:val="1"/>
      <w:numFmt w:val="bullet"/>
      <w:lvlText w:val=""/>
      <w:lvlJc w:val="left"/>
      <w:pPr>
        <w:ind w:left="2987" w:hanging="360"/>
      </w:pPr>
      <w:rPr>
        <w:rFonts w:ascii="Symbol" w:hAnsi="Symbol" w:hint="default"/>
      </w:rPr>
    </w:lvl>
    <w:lvl w:ilvl="4" w:tplc="04090003" w:tentative="1">
      <w:start w:val="1"/>
      <w:numFmt w:val="bullet"/>
      <w:lvlText w:val="o"/>
      <w:lvlJc w:val="left"/>
      <w:pPr>
        <w:ind w:left="3707" w:hanging="360"/>
      </w:pPr>
      <w:rPr>
        <w:rFonts w:ascii="Courier New" w:hAnsi="Courier New" w:cs="Courier New" w:hint="default"/>
      </w:rPr>
    </w:lvl>
    <w:lvl w:ilvl="5" w:tplc="04090005" w:tentative="1">
      <w:start w:val="1"/>
      <w:numFmt w:val="bullet"/>
      <w:lvlText w:val=""/>
      <w:lvlJc w:val="left"/>
      <w:pPr>
        <w:ind w:left="4427" w:hanging="360"/>
      </w:pPr>
      <w:rPr>
        <w:rFonts w:ascii="Wingdings" w:hAnsi="Wingdings" w:hint="default"/>
      </w:rPr>
    </w:lvl>
    <w:lvl w:ilvl="6" w:tplc="04090001" w:tentative="1">
      <w:start w:val="1"/>
      <w:numFmt w:val="bullet"/>
      <w:lvlText w:val=""/>
      <w:lvlJc w:val="left"/>
      <w:pPr>
        <w:ind w:left="5147" w:hanging="360"/>
      </w:pPr>
      <w:rPr>
        <w:rFonts w:ascii="Symbol" w:hAnsi="Symbol" w:hint="default"/>
      </w:rPr>
    </w:lvl>
    <w:lvl w:ilvl="7" w:tplc="04090003" w:tentative="1">
      <w:start w:val="1"/>
      <w:numFmt w:val="bullet"/>
      <w:lvlText w:val="o"/>
      <w:lvlJc w:val="left"/>
      <w:pPr>
        <w:ind w:left="5867" w:hanging="360"/>
      </w:pPr>
      <w:rPr>
        <w:rFonts w:ascii="Courier New" w:hAnsi="Courier New" w:cs="Courier New" w:hint="default"/>
      </w:rPr>
    </w:lvl>
    <w:lvl w:ilvl="8" w:tplc="04090005" w:tentative="1">
      <w:start w:val="1"/>
      <w:numFmt w:val="bullet"/>
      <w:lvlText w:val=""/>
      <w:lvlJc w:val="left"/>
      <w:pPr>
        <w:ind w:left="6587" w:hanging="360"/>
      </w:pPr>
      <w:rPr>
        <w:rFonts w:ascii="Wingdings" w:hAnsi="Wingdings" w:hint="default"/>
      </w:rPr>
    </w:lvl>
  </w:abstractNum>
  <w:abstractNum w:abstractNumId="156" w15:restartNumberingAfterBreak="0">
    <w:nsid w:val="714A055B"/>
    <w:multiLevelType w:val="hybridMultilevel"/>
    <w:tmpl w:val="4FF84CC2"/>
    <w:lvl w:ilvl="0" w:tplc="04090001">
      <w:start w:val="1"/>
      <w:numFmt w:val="bullet"/>
      <w:lvlText w:val=""/>
      <w:lvlJc w:val="left"/>
      <w:pPr>
        <w:ind w:left="827" w:hanging="360"/>
      </w:pPr>
      <w:rPr>
        <w:rFonts w:ascii="Symbol" w:hAnsi="Symbol" w:hint="default"/>
      </w:rPr>
    </w:lvl>
    <w:lvl w:ilvl="1" w:tplc="04090003" w:tentative="1">
      <w:start w:val="1"/>
      <w:numFmt w:val="bullet"/>
      <w:lvlText w:val="o"/>
      <w:lvlJc w:val="left"/>
      <w:pPr>
        <w:ind w:left="1547" w:hanging="360"/>
      </w:pPr>
      <w:rPr>
        <w:rFonts w:ascii="Courier New" w:hAnsi="Courier New" w:cs="Courier New" w:hint="default"/>
      </w:rPr>
    </w:lvl>
    <w:lvl w:ilvl="2" w:tplc="04090005" w:tentative="1">
      <w:start w:val="1"/>
      <w:numFmt w:val="bullet"/>
      <w:lvlText w:val=""/>
      <w:lvlJc w:val="left"/>
      <w:pPr>
        <w:ind w:left="2267" w:hanging="360"/>
      </w:pPr>
      <w:rPr>
        <w:rFonts w:ascii="Wingdings" w:hAnsi="Wingdings" w:hint="default"/>
      </w:rPr>
    </w:lvl>
    <w:lvl w:ilvl="3" w:tplc="04090001" w:tentative="1">
      <w:start w:val="1"/>
      <w:numFmt w:val="bullet"/>
      <w:lvlText w:val=""/>
      <w:lvlJc w:val="left"/>
      <w:pPr>
        <w:ind w:left="2987" w:hanging="360"/>
      </w:pPr>
      <w:rPr>
        <w:rFonts w:ascii="Symbol" w:hAnsi="Symbol" w:hint="default"/>
      </w:rPr>
    </w:lvl>
    <w:lvl w:ilvl="4" w:tplc="04090003" w:tentative="1">
      <w:start w:val="1"/>
      <w:numFmt w:val="bullet"/>
      <w:lvlText w:val="o"/>
      <w:lvlJc w:val="left"/>
      <w:pPr>
        <w:ind w:left="3707" w:hanging="360"/>
      </w:pPr>
      <w:rPr>
        <w:rFonts w:ascii="Courier New" w:hAnsi="Courier New" w:cs="Courier New" w:hint="default"/>
      </w:rPr>
    </w:lvl>
    <w:lvl w:ilvl="5" w:tplc="04090005" w:tentative="1">
      <w:start w:val="1"/>
      <w:numFmt w:val="bullet"/>
      <w:lvlText w:val=""/>
      <w:lvlJc w:val="left"/>
      <w:pPr>
        <w:ind w:left="4427" w:hanging="360"/>
      </w:pPr>
      <w:rPr>
        <w:rFonts w:ascii="Wingdings" w:hAnsi="Wingdings" w:hint="default"/>
      </w:rPr>
    </w:lvl>
    <w:lvl w:ilvl="6" w:tplc="04090001" w:tentative="1">
      <w:start w:val="1"/>
      <w:numFmt w:val="bullet"/>
      <w:lvlText w:val=""/>
      <w:lvlJc w:val="left"/>
      <w:pPr>
        <w:ind w:left="5147" w:hanging="360"/>
      </w:pPr>
      <w:rPr>
        <w:rFonts w:ascii="Symbol" w:hAnsi="Symbol" w:hint="default"/>
      </w:rPr>
    </w:lvl>
    <w:lvl w:ilvl="7" w:tplc="04090003" w:tentative="1">
      <w:start w:val="1"/>
      <w:numFmt w:val="bullet"/>
      <w:lvlText w:val="o"/>
      <w:lvlJc w:val="left"/>
      <w:pPr>
        <w:ind w:left="5867" w:hanging="360"/>
      </w:pPr>
      <w:rPr>
        <w:rFonts w:ascii="Courier New" w:hAnsi="Courier New" w:cs="Courier New" w:hint="default"/>
      </w:rPr>
    </w:lvl>
    <w:lvl w:ilvl="8" w:tplc="04090005" w:tentative="1">
      <w:start w:val="1"/>
      <w:numFmt w:val="bullet"/>
      <w:lvlText w:val=""/>
      <w:lvlJc w:val="left"/>
      <w:pPr>
        <w:ind w:left="6587" w:hanging="360"/>
      </w:pPr>
      <w:rPr>
        <w:rFonts w:ascii="Wingdings" w:hAnsi="Wingdings" w:hint="default"/>
      </w:rPr>
    </w:lvl>
  </w:abstractNum>
  <w:abstractNum w:abstractNumId="157" w15:restartNumberingAfterBreak="0">
    <w:nsid w:val="732A5FA0"/>
    <w:multiLevelType w:val="hybridMultilevel"/>
    <w:tmpl w:val="2D440648"/>
    <w:lvl w:ilvl="0" w:tplc="2544296A">
      <w:start w:val="1"/>
      <w:numFmt w:val="lowerRoman"/>
      <w:lvlText w:val="(%1)"/>
      <w:lvlJc w:val="left"/>
      <w:pPr>
        <w:ind w:left="3347" w:hanging="720"/>
      </w:pPr>
      <w:rPr>
        <w:rFonts w:hint="default"/>
        <w:color w:val="295CA3"/>
        <w:w w:val="105"/>
      </w:rPr>
    </w:lvl>
    <w:lvl w:ilvl="1" w:tplc="04090019">
      <w:start w:val="1"/>
      <w:numFmt w:val="lowerLetter"/>
      <w:lvlText w:val="%2."/>
      <w:lvlJc w:val="left"/>
      <w:pPr>
        <w:ind w:left="3707" w:hanging="360"/>
      </w:pPr>
    </w:lvl>
    <w:lvl w:ilvl="2" w:tplc="0409001B">
      <w:start w:val="1"/>
      <w:numFmt w:val="lowerRoman"/>
      <w:lvlText w:val="%3."/>
      <w:lvlJc w:val="right"/>
      <w:pPr>
        <w:ind w:left="4427" w:hanging="180"/>
      </w:pPr>
    </w:lvl>
    <w:lvl w:ilvl="3" w:tplc="0409000F">
      <w:start w:val="1"/>
      <w:numFmt w:val="decimal"/>
      <w:lvlText w:val="%4."/>
      <w:lvlJc w:val="left"/>
      <w:pPr>
        <w:ind w:left="5147" w:hanging="360"/>
      </w:pPr>
    </w:lvl>
    <w:lvl w:ilvl="4" w:tplc="04090019" w:tentative="1">
      <w:start w:val="1"/>
      <w:numFmt w:val="lowerLetter"/>
      <w:lvlText w:val="%5."/>
      <w:lvlJc w:val="left"/>
      <w:pPr>
        <w:ind w:left="5867" w:hanging="360"/>
      </w:pPr>
    </w:lvl>
    <w:lvl w:ilvl="5" w:tplc="0409001B" w:tentative="1">
      <w:start w:val="1"/>
      <w:numFmt w:val="lowerRoman"/>
      <w:lvlText w:val="%6."/>
      <w:lvlJc w:val="right"/>
      <w:pPr>
        <w:ind w:left="6587" w:hanging="180"/>
      </w:pPr>
    </w:lvl>
    <w:lvl w:ilvl="6" w:tplc="0409000F" w:tentative="1">
      <w:start w:val="1"/>
      <w:numFmt w:val="decimal"/>
      <w:lvlText w:val="%7."/>
      <w:lvlJc w:val="left"/>
      <w:pPr>
        <w:ind w:left="7307" w:hanging="360"/>
      </w:pPr>
    </w:lvl>
    <w:lvl w:ilvl="7" w:tplc="04090019" w:tentative="1">
      <w:start w:val="1"/>
      <w:numFmt w:val="lowerLetter"/>
      <w:lvlText w:val="%8."/>
      <w:lvlJc w:val="left"/>
      <w:pPr>
        <w:ind w:left="8027" w:hanging="360"/>
      </w:pPr>
    </w:lvl>
    <w:lvl w:ilvl="8" w:tplc="0409001B" w:tentative="1">
      <w:start w:val="1"/>
      <w:numFmt w:val="lowerRoman"/>
      <w:lvlText w:val="%9."/>
      <w:lvlJc w:val="right"/>
      <w:pPr>
        <w:ind w:left="8747" w:hanging="180"/>
      </w:pPr>
    </w:lvl>
  </w:abstractNum>
  <w:abstractNum w:abstractNumId="158" w15:restartNumberingAfterBreak="0">
    <w:nsid w:val="74B62F14"/>
    <w:multiLevelType w:val="hybridMultilevel"/>
    <w:tmpl w:val="DEF26ED0"/>
    <w:lvl w:ilvl="0" w:tplc="A97A4D96">
      <w:start w:val="10"/>
      <w:numFmt w:val="lowerLetter"/>
      <w:lvlText w:val="(%1)"/>
      <w:lvlJc w:val="left"/>
      <w:pPr>
        <w:ind w:left="720" w:hanging="360"/>
      </w:pPr>
      <w:rPr>
        <w:rFonts w:hint="default"/>
        <w:b/>
        <w:color w:val="1F497D" w:themeColor="text2"/>
        <w:sz w:val="26"/>
        <w:szCs w:val="26"/>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9" w15:restartNumberingAfterBreak="0">
    <w:nsid w:val="74BB6C95"/>
    <w:multiLevelType w:val="hybridMultilevel"/>
    <w:tmpl w:val="593CCC32"/>
    <w:lvl w:ilvl="0" w:tplc="FDBA861C">
      <w:start w:val="1"/>
      <w:numFmt w:val="upperLetter"/>
      <w:lvlText w:val="(%1)"/>
      <w:lvlJc w:val="left"/>
      <w:pPr>
        <w:ind w:left="1458" w:hanging="360"/>
      </w:pPr>
      <w:rPr>
        <w:rFonts w:cs="Times New Roman" w:hint="default"/>
        <w:color w:val="295CA3"/>
        <w:w w:val="105"/>
      </w:rPr>
    </w:lvl>
    <w:lvl w:ilvl="1" w:tplc="04090019">
      <w:start w:val="1"/>
      <w:numFmt w:val="lowerLetter"/>
      <w:lvlText w:val="%2."/>
      <w:lvlJc w:val="left"/>
      <w:pPr>
        <w:ind w:left="2178" w:hanging="360"/>
      </w:pPr>
    </w:lvl>
    <w:lvl w:ilvl="2" w:tplc="0409001B" w:tentative="1">
      <w:start w:val="1"/>
      <w:numFmt w:val="lowerRoman"/>
      <w:lvlText w:val="%3."/>
      <w:lvlJc w:val="right"/>
      <w:pPr>
        <w:ind w:left="2898" w:hanging="180"/>
      </w:pPr>
    </w:lvl>
    <w:lvl w:ilvl="3" w:tplc="0409000F" w:tentative="1">
      <w:start w:val="1"/>
      <w:numFmt w:val="decimal"/>
      <w:lvlText w:val="%4."/>
      <w:lvlJc w:val="left"/>
      <w:pPr>
        <w:ind w:left="3618" w:hanging="360"/>
      </w:pPr>
    </w:lvl>
    <w:lvl w:ilvl="4" w:tplc="04090019" w:tentative="1">
      <w:start w:val="1"/>
      <w:numFmt w:val="lowerLetter"/>
      <w:lvlText w:val="%5."/>
      <w:lvlJc w:val="left"/>
      <w:pPr>
        <w:ind w:left="4338" w:hanging="360"/>
      </w:pPr>
    </w:lvl>
    <w:lvl w:ilvl="5" w:tplc="0409001B" w:tentative="1">
      <w:start w:val="1"/>
      <w:numFmt w:val="lowerRoman"/>
      <w:lvlText w:val="%6."/>
      <w:lvlJc w:val="right"/>
      <w:pPr>
        <w:ind w:left="5058" w:hanging="180"/>
      </w:pPr>
    </w:lvl>
    <w:lvl w:ilvl="6" w:tplc="0409000F" w:tentative="1">
      <w:start w:val="1"/>
      <w:numFmt w:val="decimal"/>
      <w:lvlText w:val="%7."/>
      <w:lvlJc w:val="left"/>
      <w:pPr>
        <w:ind w:left="5778" w:hanging="360"/>
      </w:pPr>
    </w:lvl>
    <w:lvl w:ilvl="7" w:tplc="04090019" w:tentative="1">
      <w:start w:val="1"/>
      <w:numFmt w:val="lowerLetter"/>
      <w:lvlText w:val="%8."/>
      <w:lvlJc w:val="left"/>
      <w:pPr>
        <w:ind w:left="6498" w:hanging="360"/>
      </w:pPr>
    </w:lvl>
    <w:lvl w:ilvl="8" w:tplc="0409001B" w:tentative="1">
      <w:start w:val="1"/>
      <w:numFmt w:val="lowerRoman"/>
      <w:lvlText w:val="%9."/>
      <w:lvlJc w:val="right"/>
      <w:pPr>
        <w:ind w:left="7218" w:hanging="180"/>
      </w:pPr>
    </w:lvl>
  </w:abstractNum>
  <w:abstractNum w:abstractNumId="160" w15:restartNumberingAfterBreak="0">
    <w:nsid w:val="75A05B69"/>
    <w:multiLevelType w:val="hybridMultilevel"/>
    <w:tmpl w:val="3B14DAA2"/>
    <w:lvl w:ilvl="0" w:tplc="04090001">
      <w:start w:val="1"/>
      <w:numFmt w:val="bullet"/>
      <w:lvlText w:val=""/>
      <w:lvlJc w:val="left"/>
      <w:pPr>
        <w:ind w:left="810" w:hanging="360"/>
      </w:pPr>
      <w:rPr>
        <w:rFonts w:ascii="Symbol" w:hAnsi="Symbol" w:hint="default"/>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161" w15:restartNumberingAfterBreak="0">
    <w:nsid w:val="76223BE5"/>
    <w:multiLevelType w:val="hybridMultilevel"/>
    <w:tmpl w:val="09987B2E"/>
    <w:lvl w:ilvl="0" w:tplc="04090001">
      <w:start w:val="1"/>
      <w:numFmt w:val="bullet"/>
      <w:lvlText w:val=""/>
      <w:lvlJc w:val="left"/>
      <w:pPr>
        <w:ind w:left="810" w:hanging="360"/>
      </w:pPr>
      <w:rPr>
        <w:rFonts w:ascii="Symbol" w:hAnsi="Symbol" w:hint="default"/>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162" w15:restartNumberingAfterBreak="0">
    <w:nsid w:val="78022ADC"/>
    <w:multiLevelType w:val="hybridMultilevel"/>
    <w:tmpl w:val="747E9960"/>
    <w:lvl w:ilvl="0" w:tplc="4AB0D058">
      <w:start w:val="1"/>
      <w:numFmt w:val="lowerLetter"/>
      <w:lvlText w:val="(%1)"/>
      <w:lvlJc w:val="left"/>
      <w:pPr>
        <w:ind w:left="1080" w:hanging="360"/>
      </w:pPr>
      <w:rPr>
        <w:rFonts w:hint="default"/>
        <w:b/>
        <w:color w:val="295CA3"/>
        <w:w w:val="110"/>
        <w:sz w:val="26"/>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63" w15:restartNumberingAfterBreak="0">
    <w:nsid w:val="79A3427C"/>
    <w:multiLevelType w:val="hybridMultilevel"/>
    <w:tmpl w:val="3DCE7482"/>
    <w:lvl w:ilvl="0" w:tplc="0644A2F8">
      <w:start w:val="12"/>
      <w:numFmt w:val="lowerLetter"/>
      <w:lvlText w:val="(%1)"/>
      <w:lvlJc w:val="left"/>
      <w:pPr>
        <w:ind w:left="1080" w:hanging="360"/>
      </w:pPr>
      <w:rPr>
        <w:rFonts w:hint="default"/>
        <w:b/>
        <w:color w:val="1F497D" w:themeColor="text2"/>
        <w:w w:val="110"/>
        <w:sz w:val="26"/>
        <w:szCs w:val="26"/>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64" w15:restartNumberingAfterBreak="0">
    <w:nsid w:val="7B066E86"/>
    <w:multiLevelType w:val="hybridMultilevel"/>
    <w:tmpl w:val="A7865362"/>
    <w:lvl w:ilvl="0" w:tplc="04090001">
      <w:start w:val="1"/>
      <w:numFmt w:val="bullet"/>
      <w:lvlText w:val=""/>
      <w:lvlJc w:val="left"/>
      <w:pPr>
        <w:ind w:left="810" w:hanging="360"/>
      </w:pPr>
      <w:rPr>
        <w:rFonts w:ascii="Symbol" w:hAnsi="Symbol" w:hint="default"/>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165" w15:restartNumberingAfterBreak="0">
    <w:nsid w:val="7B2A5461"/>
    <w:multiLevelType w:val="hybridMultilevel"/>
    <w:tmpl w:val="90D4AACE"/>
    <w:lvl w:ilvl="0" w:tplc="04090001">
      <w:start w:val="1"/>
      <w:numFmt w:val="bullet"/>
      <w:lvlText w:val=""/>
      <w:lvlJc w:val="left"/>
      <w:pPr>
        <w:ind w:left="810" w:hanging="360"/>
      </w:pPr>
      <w:rPr>
        <w:rFonts w:ascii="Symbol" w:hAnsi="Symbol" w:hint="default"/>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166" w15:restartNumberingAfterBreak="0">
    <w:nsid w:val="7C800BA9"/>
    <w:multiLevelType w:val="hybridMultilevel"/>
    <w:tmpl w:val="E49E2D10"/>
    <w:lvl w:ilvl="0" w:tplc="04090001">
      <w:start w:val="1"/>
      <w:numFmt w:val="bullet"/>
      <w:lvlText w:val=""/>
      <w:lvlJc w:val="left"/>
      <w:pPr>
        <w:ind w:left="810" w:hanging="360"/>
      </w:pPr>
      <w:rPr>
        <w:rFonts w:ascii="Symbol" w:hAnsi="Symbol" w:hint="default"/>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167" w15:restartNumberingAfterBreak="0">
    <w:nsid w:val="7DC11C29"/>
    <w:multiLevelType w:val="hybridMultilevel"/>
    <w:tmpl w:val="F2C2AF1E"/>
    <w:lvl w:ilvl="0" w:tplc="04090001">
      <w:start w:val="1"/>
      <w:numFmt w:val="bullet"/>
      <w:lvlText w:val=""/>
      <w:lvlJc w:val="left"/>
      <w:pPr>
        <w:ind w:left="827" w:hanging="360"/>
      </w:pPr>
      <w:rPr>
        <w:rFonts w:ascii="Symbol" w:hAnsi="Symbol" w:hint="default"/>
      </w:rPr>
    </w:lvl>
    <w:lvl w:ilvl="1" w:tplc="04090003" w:tentative="1">
      <w:start w:val="1"/>
      <w:numFmt w:val="bullet"/>
      <w:lvlText w:val="o"/>
      <w:lvlJc w:val="left"/>
      <w:pPr>
        <w:ind w:left="1547" w:hanging="360"/>
      </w:pPr>
      <w:rPr>
        <w:rFonts w:ascii="Courier New" w:hAnsi="Courier New" w:cs="Courier New" w:hint="default"/>
      </w:rPr>
    </w:lvl>
    <w:lvl w:ilvl="2" w:tplc="04090005" w:tentative="1">
      <w:start w:val="1"/>
      <w:numFmt w:val="bullet"/>
      <w:lvlText w:val=""/>
      <w:lvlJc w:val="left"/>
      <w:pPr>
        <w:ind w:left="2267" w:hanging="360"/>
      </w:pPr>
      <w:rPr>
        <w:rFonts w:ascii="Wingdings" w:hAnsi="Wingdings" w:hint="default"/>
      </w:rPr>
    </w:lvl>
    <w:lvl w:ilvl="3" w:tplc="04090001" w:tentative="1">
      <w:start w:val="1"/>
      <w:numFmt w:val="bullet"/>
      <w:lvlText w:val=""/>
      <w:lvlJc w:val="left"/>
      <w:pPr>
        <w:ind w:left="2987" w:hanging="360"/>
      </w:pPr>
      <w:rPr>
        <w:rFonts w:ascii="Symbol" w:hAnsi="Symbol" w:hint="default"/>
      </w:rPr>
    </w:lvl>
    <w:lvl w:ilvl="4" w:tplc="04090003" w:tentative="1">
      <w:start w:val="1"/>
      <w:numFmt w:val="bullet"/>
      <w:lvlText w:val="o"/>
      <w:lvlJc w:val="left"/>
      <w:pPr>
        <w:ind w:left="3707" w:hanging="360"/>
      </w:pPr>
      <w:rPr>
        <w:rFonts w:ascii="Courier New" w:hAnsi="Courier New" w:cs="Courier New" w:hint="default"/>
      </w:rPr>
    </w:lvl>
    <w:lvl w:ilvl="5" w:tplc="04090005" w:tentative="1">
      <w:start w:val="1"/>
      <w:numFmt w:val="bullet"/>
      <w:lvlText w:val=""/>
      <w:lvlJc w:val="left"/>
      <w:pPr>
        <w:ind w:left="4427" w:hanging="360"/>
      </w:pPr>
      <w:rPr>
        <w:rFonts w:ascii="Wingdings" w:hAnsi="Wingdings" w:hint="default"/>
      </w:rPr>
    </w:lvl>
    <w:lvl w:ilvl="6" w:tplc="04090001" w:tentative="1">
      <w:start w:val="1"/>
      <w:numFmt w:val="bullet"/>
      <w:lvlText w:val=""/>
      <w:lvlJc w:val="left"/>
      <w:pPr>
        <w:ind w:left="5147" w:hanging="360"/>
      </w:pPr>
      <w:rPr>
        <w:rFonts w:ascii="Symbol" w:hAnsi="Symbol" w:hint="default"/>
      </w:rPr>
    </w:lvl>
    <w:lvl w:ilvl="7" w:tplc="04090003" w:tentative="1">
      <w:start w:val="1"/>
      <w:numFmt w:val="bullet"/>
      <w:lvlText w:val="o"/>
      <w:lvlJc w:val="left"/>
      <w:pPr>
        <w:ind w:left="5867" w:hanging="360"/>
      </w:pPr>
      <w:rPr>
        <w:rFonts w:ascii="Courier New" w:hAnsi="Courier New" w:cs="Courier New" w:hint="default"/>
      </w:rPr>
    </w:lvl>
    <w:lvl w:ilvl="8" w:tplc="04090005" w:tentative="1">
      <w:start w:val="1"/>
      <w:numFmt w:val="bullet"/>
      <w:lvlText w:val=""/>
      <w:lvlJc w:val="left"/>
      <w:pPr>
        <w:ind w:left="6587" w:hanging="360"/>
      </w:pPr>
      <w:rPr>
        <w:rFonts w:ascii="Wingdings" w:hAnsi="Wingdings" w:hint="default"/>
      </w:rPr>
    </w:lvl>
  </w:abstractNum>
  <w:abstractNum w:abstractNumId="168" w15:restartNumberingAfterBreak="0">
    <w:nsid w:val="7DF14C14"/>
    <w:multiLevelType w:val="hybridMultilevel"/>
    <w:tmpl w:val="B9D23254"/>
    <w:lvl w:ilvl="0" w:tplc="04090001">
      <w:start w:val="1"/>
      <w:numFmt w:val="bullet"/>
      <w:lvlText w:val=""/>
      <w:lvlJc w:val="left"/>
      <w:pPr>
        <w:ind w:left="810" w:hanging="360"/>
      </w:pPr>
      <w:rPr>
        <w:rFonts w:ascii="Symbol" w:hAnsi="Symbol" w:hint="default"/>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169" w15:restartNumberingAfterBreak="0">
    <w:nsid w:val="7EA00A96"/>
    <w:multiLevelType w:val="hybridMultilevel"/>
    <w:tmpl w:val="8F728016"/>
    <w:lvl w:ilvl="0" w:tplc="04090001">
      <w:start w:val="1"/>
      <w:numFmt w:val="bullet"/>
      <w:lvlText w:val=""/>
      <w:lvlJc w:val="left"/>
      <w:pPr>
        <w:ind w:left="827" w:hanging="360"/>
      </w:pPr>
      <w:rPr>
        <w:rFonts w:ascii="Symbol" w:hAnsi="Symbol" w:hint="default"/>
      </w:rPr>
    </w:lvl>
    <w:lvl w:ilvl="1" w:tplc="04090003" w:tentative="1">
      <w:start w:val="1"/>
      <w:numFmt w:val="bullet"/>
      <w:lvlText w:val="o"/>
      <w:lvlJc w:val="left"/>
      <w:pPr>
        <w:ind w:left="1547" w:hanging="360"/>
      </w:pPr>
      <w:rPr>
        <w:rFonts w:ascii="Courier New" w:hAnsi="Courier New" w:cs="Courier New" w:hint="default"/>
      </w:rPr>
    </w:lvl>
    <w:lvl w:ilvl="2" w:tplc="04090005" w:tentative="1">
      <w:start w:val="1"/>
      <w:numFmt w:val="bullet"/>
      <w:lvlText w:val=""/>
      <w:lvlJc w:val="left"/>
      <w:pPr>
        <w:ind w:left="2267" w:hanging="360"/>
      </w:pPr>
      <w:rPr>
        <w:rFonts w:ascii="Wingdings" w:hAnsi="Wingdings" w:hint="default"/>
      </w:rPr>
    </w:lvl>
    <w:lvl w:ilvl="3" w:tplc="04090001" w:tentative="1">
      <w:start w:val="1"/>
      <w:numFmt w:val="bullet"/>
      <w:lvlText w:val=""/>
      <w:lvlJc w:val="left"/>
      <w:pPr>
        <w:ind w:left="2987" w:hanging="360"/>
      </w:pPr>
      <w:rPr>
        <w:rFonts w:ascii="Symbol" w:hAnsi="Symbol" w:hint="default"/>
      </w:rPr>
    </w:lvl>
    <w:lvl w:ilvl="4" w:tplc="04090003" w:tentative="1">
      <w:start w:val="1"/>
      <w:numFmt w:val="bullet"/>
      <w:lvlText w:val="o"/>
      <w:lvlJc w:val="left"/>
      <w:pPr>
        <w:ind w:left="3707" w:hanging="360"/>
      </w:pPr>
      <w:rPr>
        <w:rFonts w:ascii="Courier New" w:hAnsi="Courier New" w:cs="Courier New" w:hint="default"/>
      </w:rPr>
    </w:lvl>
    <w:lvl w:ilvl="5" w:tplc="04090005" w:tentative="1">
      <w:start w:val="1"/>
      <w:numFmt w:val="bullet"/>
      <w:lvlText w:val=""/>
      <w:lvlJc w:val="left"/>
      <w:pPr>
        <w:ind w:left="4427" w:hanging="360"/>
      </w:pPr>
      <w:rPr>
        <w:rFonts w:ascii="Wingdings" w:hAnsi="Wingdings" w:hint="default"/>
      </w:rPr>
    </w:lvl>
    <w:lvl w:ilvl="6" w:tplc="04090001" w:tentative="1">
      <w:start w:val="1"/>
      <w:numFmt w:val="bullet"/>
      <w:lvlText w:val=""/>
      <w:lvlJc w:val="left"/>
      <w:pPr>
        <w:ind w:left="5147" w:hanging="360"/>
      </w:pPr>
      <w:rPr>
        <w:rFonts w:ascii="Symbol" w:hAnsi="Symbol" w:hint="default"/>
      </w:rPr>
    </w:lvl>
    <w:lvl w:ilvl="7" w:tplc="04090003" w:tentative="1">
      <w:start w:val="1"/>
      <w:numFmt w:val="bullet"/>
      <w:lvlText w:val="o"/>
      <w:lvlJc w:val="left"/>
      <w:pPr>
        <w:ind w:left="5867" w:hanging="360"/>
      </w:pPr>
      <w:rPr>
        <w:rFonts w:ascii="Courier New" w:hAnsi="Courier New" w:cs="Courier New" w:hint="default"/>
      </w:rPr>
    </w:lvl>
    <w:lvl w:ilvl="8" w:tplc="04090005" w:tentative="1">
      <w:start w:val="1"/>
      <w:numFmt w:val="bullet"/>
      <w:lvlText w:val=""/>
      <w:lvlJc w:val="left"/>
      <w:pPr>
        <w:ind w:left="6587" w:hanging="360"/>
      </w:pPr>
      <w:rPr>
        <w:rFonts w:ascii="Wingdings" w:hAnsi="Wingdings" w:hint="default"/>
      </w:rPr>
    </w:lvl>
  </w:abstractNum>
  <w:abstractNum w:abstractNumId="170" w15:restartNumberingAfterBreak="0">
    <w:nsid w:val="7EAF54C8"/>
    <w:multiLevelType w:val="hybridMultilevel"/>
    <w:tmpl w:val="71FC5328"/>
    <w:lvl w:ilvl="0" w:tplc="04090001">
      <w:start w:val="1"/>
      <w:numFmt w:val="bullet"/>
      <w:lvlText w:val=""/>
      <w:lvlJc w:val="left"/>
      <w:pPr>
        <w:ind w:left="827" w:hanging="360"/>
      </w:pPr>
      <w:rPr>
        <w:rFonts w:ascii="Symbol" w:hAnsi="Symbol" w:hint="default"/>
      </w:rPr>
    </w:lvl>
    <w:lvl w:ilvl="1" w:tplc="04090003" w:tentative="1">
      <w:start w:val="1"/>
      <w:numFmt w:val="bullet"/>
      <w:lvlText w:val="o"/>
      <w:lvlJc w:val="left"/>
      <w:pPr>
        <w:ind w:left="1547" w:hanging="360"/>
      </w:pPr>
      <w:rPr>
        <w:rFonts w:ascii="Courier New" w:hAnsi="Courier New" w:cs="Courier New" w:hint="default"/>
      </w:rPr>
    </w:lvl>
    <w:lvl w:ilvl="2" w:tplc="04090005" w:tentative="1">
      <w:start w:val="1"/>
      <w:numFmt w:val="bullet"/>
      <w:lvlText w:val=""/>
      <w:lvlJc w:val="left"/>
      <w:pPr>
        <w:ind w:left="2267" w:hanging="360"/>
      </w:pPr>
      <w:rPr>
        <w:rFonts w:ascii="Wingdings" w:hAnsi="Wingdings" w:hint="default"/>
      </w:rPr>
    </w:lvl>
    <w:lvl w:ilvl="3" w:tplc="04090001" w:tentative="1">
      <w:start w:val="1"/>
      <w:numFmt w:val="bullet"/>
      <w:lvlText w:val=""/>
      <w:lvlJc w:val="left"/>
      <w:pPr>
        <w:ind w:left="2987" w:hanging="360"/>
      </w:pPr>
      <w:rPr>
        <w:rFonts w:ascii="Symbol" w:hAnsi="Symbol" w:hint="default"/>
      </w:rPr>
    </w:lvl>
    <w:lvl w:ilvl="4" w:tplc="04090003" w:tentative="1">
      <w:start w:val="1"/>
      <w:numFmt w:val="bullet"/>
      <w:lvlText w:val="o"/>
      <w:lvlJc w:val="left"/>
      <w:pPr>
        <w:ind w:left="3707" w:hanging="360"/>
      </w:pPr>
      <w:rPr>
        <w:rFonts w:ascii="Courier New" w:hAnsi="Courier New" w:cs="Courier New" w:hint="default"/>
      </w:rPr>
    </w:lvl>
    <w:lvl w:ilvl="5" w:tplc="04090005" w:tentative="1">
      <w:start w:val="1"/>
      <w:numFmt w:val="bullet"/>
      <w:lvlText w:val=""/>
      <w:lvlJc w:val="left"/>
      <w:pPr>
        <w:ind w:left="4427" w:hanging="360"/>
      </w:pPr>
      <w:rPr>
        <w:rFonts w:ascii="Wingdings" w:hAnsi="Wingdings" w:hint="default"/>
      </w:rPr>
    </w:lvl>
    <w:lvl w:ilvl="6" w:tplc="04090001" w:tentative="1">
      <w:start w:val="1"/>
      <w:numFmt w:val="bullet"/>
      <w:lvlText w:val=""/>
      <w:lvlJc w:val="left"/>
      <w:pPr>
        <w:ind w:left="5147" w:hanging="360"/>
      </w:pPr>
      <w:rPr>
        <w:rFonts w:ascii="Symbol" w:hAnsi="Symbol" w:hint="default"/>
      </w:rPr>
    </w:lvl>
    <w:lvl w:ilvl="7" w:tplc="04090003" w:tentative="1">
      <w:start w:val="1"/>
      <w:numFmt w:val="bullet"/>
      <w:lvlText w:val="o"/>
      <w:lvlJc w:val="left"/>
      <w:pPr>
        <w:ind w:left="5867" w:hanging="360"/>
      </w:pPr>
      <w:rPr>
        <w:rFonts w:ascii="Courier New" w:hAnsi="Courier New" w:cs="Courier New" w:hint="default"/>
      </w:rPr>
    </w:lvl>
    <w:lvl w:ilvl="8" w:tplc="04090005" w:tentative="1">
      <w:start w:val="1"/>
      <w:numFmt w:val="bullet"/>
      <w:lvlText w:val=""/>
      <w:lvlJc w:val="left"/>
      <w:pPr>
        <w:ind w:left="6587" w:hanging="360"/>
      </w:pPr>
      <w:rPr>
        <w:rFonts w:ascii="Wingdings" w:hAnsi="Wingdings" w:hint="default"/>
      </w:rPr>
    </w:lvl>
  </w:abstractNum>
  <w:abstractNum w:abstractNumId="171" w15:restartNumberingAfterBreak="0">
    <w:nsid w:val="7EBA0577"/>
    <w:multiLevelType w:val="hybridMultilevel"/>
    <w:tmpl w:val="BB9E469A"/>
    <w:lvl w:ilvl="0" w:tplc="0409000F">
      <w:start w:val="1"/>
      <w:numFmt w:val="decimal"/>
      <w:lvlText w:val="%1."/>
      <w:lvlJc w:val="left"/>
      <w:pPr>
        <w:ind w:left="810" w:hanging="360"/>
      </w:p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172" w15:restartNumberingAfterBreak="0">
    <w:nsid w:val="7FAE18EB"/>
    <w:multiLevelType w:val="hybridMultilevel"/>
    <w:tmpl w:val="29226AF6"/>
    <w:lvl w:ilvl="0" w:tplc="04090001">
      <w:start w:val="1"/>
      <w:numFmt w:val="bullet"/>
      <w:lvlText w:val=""/>
      <w:lvlJc w:val="left"/>
      <w:pPr>
        <w:ind w:left="810" w:hanging="360"/>
      </w:pPr>
      <w:rPr>
        <w:rFonts w:ascii="Symbol" w:hAnsi="Symbol" w:hint="default"/>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num w:numId="1">
    <w:abstractNumId w:val="147"/>
  </w:num>
  <w:num w:numId="2">
    <w:abstractNumId w:val="82"/>
  </w:num>
  <w:num w:numId="3">
    <w:abstractNumId w:val="93"/>
  </w:num>
  <w:num w:numId="4">
    <w:abstractNumId w:val="125"/>
  </w:num>
  <w:num w:numId="5">
    <w:abstractNumId w:val="21"/>
  </w:num>
  <w:num w:numId="6">
    <w:abstractNumId w:val="100"/>
  </w:num>
  <w:num w:numId="7">
    <w:abstractNumId w:val="84"/>
  </w:num>
  <w:num w:numId="8">
    <w:abstractNumId w:val="66"/>
  </w:num>
  <w:num w:numId="9">
    <w:abstractNumId w:val="65"/>
  </w:num>
  <w:num w:numId="10">
    <w:abstractNumId w:val="51"/>
  </w:num>
  <w:num w:numId="11">
    <w:abstractNumId w:val="17"/>
  </w:num>
  <w:num w:numId="12">
    <w:abstractNumId w:val="135"/>
  </w:num>
  <w:num w:numId="13">
    <w:abstractNumId w:val="124"/>
  </w:num>
  <w:num w:numId="14">
    <w:abstractNumId w:val="27"/>
  </w:num>
  <w:num w:numId="15">
    <w:abstractNumId w:val="95"/>
  </w:num>
  <w:num w:numId="16">
    <w:abstractNumId w:val="11"/>
  </w:num>
  <w:num w:numId="17">
    <w:abstractNumId w:val="89"/>
  </w:num>
  <w:num w:numId="18">
    <w:abstractNumId w:val="118"/>
  </w:num>
  <w:num w:numId="19">
    <w:abstractNumId w:val="105"/>
  </w:num>
  <w:num w:numId="20">
    <w:abstractNumId w:val="74"/>
  </w:num>
  <w:num w:numId="21">
    <w:abstractNumId w:val="34"/>
  </w:num>
  <w:num w:numId="22">
    <w:abstractNumId w:val="114"/>
  </w:num>
  <w:num w:numId="23">
    <w:abstractNumId w:val="127"/>
  </w:num>
  <w:num w:numId="24">
    <w:abstractNumId w:val="38"/>
  </w:num>
  <w:num w:numId="25">
    <w:abstractNumId w:val="2"/>
  </w:num>
  <w:num w:numId="26">
    <w:abstractNumId w:val="155"/>
  </w:num>
  <w:num w:numId="27">
    <w:abstractNumId w:val="75"/>
  </w:num>
  <w:num w:numId="28">
    <w:abstractNumId w:val="16"/>
  </w:num>
  <w:num w:numId="29">
    <w:abstractNumId w:val="46"/>
  </w:num>
  <w:num w:numId="30">
    <w:abstractNumId w:val="113"/>
  </w:num>
  <w:num w:numId="31">
    <w:abstractNumId w:val="126"/>
  </w:num>
  <w:num w:numId="32">
    <w:abstractNumId w:val="157"/>
  </w:num>
  <w:num w:numId="33">
    <w:abstractNumId w:val="130"/>
  </w:num>
  <w:num w:numId="34">
    <w:abstractNumId w:val="22"/>
  </w:num>
  <w:num w:numId="35">
    <w:abstractNumId w:val="69"/>
  </w:num>
  <w:num w:numId="36">
    <w:abstractNumId w:val="32"/>
  </w:num>
  <w:num w:numId="37">
    <w:abstractNumId w:val="87"/>
  </w:num>
  <w:num w:numId="38">
    <w:abstractNumId w:val="108"/>
  </w:num>
  <w:num w:numId="39">
    <w:abstractNumId w:val="169"/>
  </w:num>
  <w:num w:numId="40">
    <w:abstractNumId w:val="37"/>
  </w:num>
  <w:num w:numId="41">
    <w:abstractNumId w:val="62"/>
  </w:num>
  <w:num w:numId="42">
    <w:abstractNumId w:val="47"/>
  </w:num>
  <w:num w:numId="43">
    <w:abstractNumId w:val="129"/>
  </w:num>
  <w:num w:numId="44">
    <w:abstractNumId w:val="159"/>
  </w:num>
  <w:num w:numId="45">
    <w:abstractNumId w:val="162"/>
  </w:num>
  <w:num w:numId="46">
    <w:abstractNumId w:val="7"/>
  </w:num>
  <w:num w:numId="47">
    <w:abstractNumId w:val="71"/>
  </w:num>
  <w:num w:numId="48">
    <w:abstractNumId w:val="171"/>
  </w:num>
  <w:num w:numId="49">
    <w:abstractNumId w:val="24"/>
  </w:num>
  <w:num w:numId="50">
    <w:abstractNumId w:val="132"/>
  </w:num>
  <w:num w:numId="51">
    <w:abstractNumId w:val="136"/>
  </w:num>
  <w:num w:numId="52">
    <w:abstractNumId w:val="149"/>
  </w:num>
  <w:num w:numId="53">
    <w:abstractNumId w:val="39"/>
  </w:num>
  <w:num w:numId="54">
    <w:abstractNumId w:val="144"/>
  </w:num>
  <w:num w:numId="55">
    <w:abstractNumId w:val="57"/>
  </w:num>
  <w:num w:numId="56">
    <w:abstractNumId w:val="48"/>
  </w:num>
  <w:num w:numId="57">
    <w:abstractNumId w:val="4"/>
  </w:num>
  <w:num w:numId="58">
    <w:abstractNumId w:val="36"/>
  </w:num>
  <w:num w:numId="59">
    <w:abstractNumId w:val="151"/>
  </w:num>
  <w:num w:numId="60">
    <w:abstractNumId w:val="112"/>
  </w:num>
  <w:num w:numId="61">
    <w:abstractNumId w:val="20"/>
  </w:num>
  <w:num w:numId="62">
    <w:abstractNumId w:val="145"/>
  </w:num>
  <w:num w:numId="63">
    <w:abstractNumId w:val="98"/>
  </w:num>
  <w:num w:numId="64">
    <w:abstractNumId w:val="158"/>
  </w:num>
  <w:num w:numId="65">
    <w:abstractNumId w:val="139"/>
  </w:num>
  <w:num w:numId="66">
    <w:abstractNumId w:val="148"/>
  </w:num>
  <w:num w:numId="67">
    <w:abstractNumId w:val="12"/>
  </w:num>
  <w:num w:numId="68">
    <w:abstractNumId w:val="18"/>
  </w:num>
  <w:num w:numId="69">
    <w:abstractNumId w:val="140"/>
  </w:num>
  <w:num w:numId="70">
    <w:abstractNumId w:val="97"/>
  </w:num>
  <w:num w:numId="71">
    <w:abstractNumId w:val="29"/>
  </w:num>
  <w:num w:numId="72">
    <w:abstractNumId w:val="50"/>
  </w:num>
  <w:num w:numId="73">
    <w:abstractNumId w:val="10"/>
  </w:num>
  <w:num w:numId="74">
    <w:abstractNumId w:val="49"/>
  </w:num>
  <w:num w:numId="75">
    <w:abstractNumId w:val="109"/>
  </w:num>
  <w:num w:numId="76">
    <w:abstractNumId w:val="99"/>
  </w:num>
  <w:num w:numId="77">
    <w:abstractNumId w:val="88"/>
  </w:num>
  <w:num w:numId="78">
    <w:abstractNumId w:val="156"/>
  </w:num>
  <w:num w:numId="79">
    <w:abstractNumId w:val="96"/>
  </w:num>
  <w:num w:numId="80">
    <w:abstractNumId w:val="6"/>
  </w:num>
  <w:num w:numId="81">
    <w:abstractNumId w:val="94"/>
  </w:num>
  <w:num w:numId="82">
    <w:abstractNumId w:val="42"/>
  </w:num>
  <w:num w:numId="83">
    <w:abstractNumId w:val="107"/>
  </w:num>
  <w:num w:numId="84">
    <w:abstractNumId w:val="138"/>
  </w:num>
  <w:num w:numId="85">
    <w:abstractNumId w:val="45"/>
  </w:num>
  <w:num w:numId="86">
    <w:abstractNumId w:val="117"/>
  </w:num>
  <w:num w:numId="87">
    <w:abstractNumId w:val="81"/>
  </w:num>
  <w:num w:numId="88">
    <w:abstractNumId w:val="119"/>
  </w:num>
  <w:num w:numId="89">
    <w:abstractNumId w:val="60"/>
  </w:num>
  <w:num w:numId="90">
    <w:abstractNumId w:val="15"/>
  </w:num>
  <w:num w:numId="91">
    <w:abstractNumId w:val="120"/>
  </w:num>
  <w:num w:numId="92">
    <w:abstractNumId w:val="78"/>
  </w:num>
  <w:num w:numId="93">
    <w:abstractNumId w:val="67"/>
  </w:num>
  <w:num w:numId="94">
    <w:abstractNumId w:val="59"/>
  </w:num>
  <w:num w:numId="95">
    <w:abstractNumId w:val="133"/>
  </w:num>
  <w:num w:numId="96">
    <w:abstractNumId w:val="103"/>
  </w:num>
  <w:num w:numId="97">
    <w:abstractNumId w:val="172"/>
  </w:num>
  <w:num w:numId="98">
    <w:abstractNumId w:val="25"/>
  </w:num>
  <w:num w:numId="99">
    <w:abstractNumId w:val="134"/>
  </w:num>
  <w:num w:numId="100">
    <w:abstractNumId w:val="26"/>
  </w:num>
  <w:num w:numId="101">
    <w:abstractNumId w:val="68"/>
  </w:num>
  <w:num w:numId="102">
    <w:abstractNumId w:val="104"/>
  </w:num>
  <w:num w:numId="103">
    <w:abstractNumId w:val="33"/>
  </w:num>
  <w:num w:numId="104">
    <w:abstractNumId w:val="73"/>
  </w:num>
  <w:num w:numId="105">
    <w:abstractNumId w:val="142"/>
  </w:num>
  <w:num w:numId="106">
    <w:abstractNumId w:val="44"/>
  </w:num>
  <w:num w:numId="107">
    <w:abstractNumId w:val="52"/>
  </w:num>
  <w:num w:numId="108">
    <w:abstractNumId w:val="106"/>
  </w:num>
  <w:num w:numId="109">
    <w:abstractNumId w:val="64"/>
  </w:num>
  <w:num w:numId="110">
    <w:abstractNumId w:val="28"/>
  </w:num>
  <w:num w:numId="111">
    <w:abstractNumId w:val="122"/>
  </w:num>
  <w:num w:numId="112">
    <w:abstractNumId w:val="116"/>
  </w:num>
  <w:num w:numId="113">
    <w:abstractNumId w:val="58"/>
  </w:num>
  <w:num w:numId="114">
    <w:abstractNumId w:val="131"/>
  </w:num>
  <w:num w:numId="115">
    <w:abstractNumId w:val="128"/>
  </w:num>
  <w:num w:numId="116">
    <w:abstractNumId w:val="14"/>
  </w:num>
  <w:num w:numId="117">
    <w:abstractNumId w:val="61"/>
  </w:num>
  <w:num w:numId="118">
    <w:abstractNumId w:val="23"/>
  </w:num>
  <w:num w:numId="119">
    <w:abstractNumId w:val="153"/>
  </w:num>
  <w:num w:numId="120">
    <w:abstractNumId w:val="5"/>
  </w:num>
  <w:num w:numId="121">
    <w:abstractNumId w:val="43"/>
  </w:num>
  <w:num w:numId="122">
    <w:abstractNumId w:val="163"/>
  </w:num>
  <w:num w:numId="123">
    <w:abstractNumId w:val="54"/>
  </w:num>
  <w:num w:numId="124">
    <w:abstractNumId w:val="91"/>
  </w:num>
  <w:num w:numId="125">
    <w:abstractNumId w:val="154"/>
  </w:num>
  <w:num w:numId="126">
    <w:abstractNumId w:val="83"/>
  </w:num>
  <w:num w:numId="127">
    <w:abstractNumId w:val="170"/>
  </w:num>
  <w:num w:numId="128">
    <w:abstractNumId w:val="3"/>
  </w:num>
  <w:num w:numId="129">
    <w:abstractNumId w:val="53"/>
  </w:num>
  <w:num w:numId="130">
    <w:abstractNumId w:val="121"/>
  </w:num>
  <w:num w:numId="131">
    <w:abstractNumId w:val="152"/>
  </w:num>
  <w:num w:numId="132">
    <w:abstractNumId w:val="146"/>
  </w:num>
  <w:num w:numId="133">
    <w:abstractNumId w:val="92"/>
  </w:num>
  <w:num w:numId="134">
    <w:abstractNumId w:val="56"/>
  </w:num>
  <w:num w:numId="135">
    <w:abstractNumId w:val="72"/>
  </w:num>
  <w:num w:numId="136">
    <w:abstractNumId w:val="0"/>
  </w:num>
  <w:num w:numId="137">
    <w:abstractNumId w:val="70"/>
  </w:num>
  <w:num w:numId="138">
    <w:abstractNumId w:val="9"/>
  </w:num>
  <w:num w:numId="139">
    <w:abstractNumId w:val="80"/>
  </w:num>
  <w:num w:numId="140">
    <w:abstractNumId w:val="13"/>
  </w:num>
  <w:num w:numId="141">
    <w:abstractNumId w:val="141"/>
  </w:num>
  <w:num w:numId="142">
    <w:abstractNumId w:val="63"/>
  </w:num>
  <w:num w:numId="143">
    <w:abstractNumId w:val="102"/>
  </w:num>
  <w:num w:numId="144">
    <w:abstractNumId w:val="164"/>
  </w:num>
  <w:num w:numId="145">
    <w:abstractNumId w:val="40"/>
  </w:num>
  <w:num w:numId="146">
    <w:abstractNumId w:val="111"/>
  </w:num>
  <w:num w:numId="147">
    <w:abstractNumId w:val="150"/>
  </w:num>
  <w:num w:numId="148">
    <w:abstractNumId w:val="8"/>
  </w:num>
  <w:num w:numId="149">
    <w:abstractNumId w:val="115"/>
  </w:num>
  <w:num w:numId="150">
    <w:abstractNumId w:val="35"/>
  </w:num>
  <w:num w:numId="151">
    <w:abstractNumId w:val="160"/>
  </w:num>
  <w:num w:numId="152">
    <w:abstractNumId w:val="143"/>
  </w:num>
  <w:num w:numId="153">
    <w:abstractNumId w:val="76"/>
  </w:num>
  <w:num w:numId="154">
    <w:abstractNumId w:val="1"/>
  </w:num>
  <w:num w:numId="155">
    <w:abstractNumId w:val="41"/>
  </w:num>
  <w:num w:numId="156">
    <w:abstractNumId w:val="123"/>
  </w:num>
  <w:num w:numId="157">
    <w:abstractNumId w:val="161"/>
  </w:num>
  <w:num w:numId="158">
    <w:abstractNumId w:val="101"/>
  </w:num>
  <w:num w:numId="159">
    <w:abstractNumId w:val="137"/>
  </w:num>
  <w:num w:numId="160">
    <w:abstractNumId w:val="166"/>
  </w:num>
  <w:num w:numId="161">
    <w:abstractNumId w:val="168"/>
  </w:num>
  <w:num w:numId="162">
    <w:abstractNumId w:val="165"/>
  </w:num>
  <w:num w:numId="163">
    <w:abstractNumId w:val="55"/>
  </w:num>
  <w:num w:numId="164">
    <w:abstractNumId w:val="90"/>
  </w:num>
  <w:num w:numId="165">
    <w:abstractNumId w:val="77"/>
  </w:num>
  <w:num w:numId="166">
    <w:abstractNumId w:val="85"/>
  </w:num>
  <w:num w:numId="167">
    <w:abstractNumId w:val="19"/>
  </w:num>
  <w:num w:numId="168">
    <w:abstractNumId w:val="79"/>
  </w:num>
  <w:num w:numId="169">
    <w:abstractNumId w:val="86"/>
  </w:num>
  <w:num w:numId="170">
    <w:abstractNumId w:val="30"/>
  </w:num>
  <w:num w:numId="171">
    <w:abstractNumId w:val="110"/>
  </w:num>
  <w:num w:numId="172">
    <w:abstractNumId w:val="31"/>
  </w:num>
  <w:num w:numId="173">
    <w:abstractNumId w:val="167"/>
  </w:num>
  <w:numIdMacAtCleanup w:val="16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activeWritingStyle w:appName="MSWord" w:lang="fr-HT" w:vendorID="64" w:dllVersion="6" w:nlCheck="1" w:checkStyle="0"/>
  <w:activeWritingStyle w:appName="MSWord" w:lang="en-US" w:vendorID="64" w:dllVersion="6" w:nlCheck="1" w:checkStyle="1"/>
  <w:activeWritingStyle w:appName="MSWord" w:lang="en-US" w:vendorID="64" w:dllVersion="0" w:nlCheck="1" w:checkStyle="0"/>
  <w:activeWritingStyle w:appName="MSWord" w:lang="fr-HT" w:vendorID="64" w:dllVersion="0" w:nlCheck="1" w:checkStyle="0"/>
  <w:defaultTabStop w:val="720"/>
  <w:characterSpacingControl w:val="doNotCompress"/>
  <w:hdrShapeDefaults>
    <o:shapedefaults v:ext="edit" spidmax="6145"/>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A7458"/>
    <w:rsid w:val="000003F9"/>
    <w:rsid w:val="00000D19"/>
    <w:rsid w:val="0000177E"/>
    <w:rsid w:val="00002D76"/>
    <w:rsid w:val="00002F63"/>
    <w:rsid w:val="00003778"/>
    <w:rsid w:val="000037CB"/>
    <w:rsid w:val="00005BFC"/>
    <w:rsid w:val="00005E3E"/>
    <w:rsid w:val="00006C32"/>
    <w:rsid w:val="00006E1A"/>
    <w:rsid w:val="000074C4"/>
    <w:rsid w:val="00007B19"/>
    <w:rsid w:val="00012144"/>
    <w:rsid w:val="00012190"/>
    <w:rsid w:val="000121B9"/>
    <w:rsid w:val="00013523"/>
    <w:rsid w:val="00013E6E"/>
    <w:rsid w:val="000145D6"/>
    <w:rsid w:val="00015238"/>
    <w:rsid w:val="00015CF7"/>
    <w:rsid w:val="00016A1A"/>
    <w:rsid w:val="00017996"/>
    <w:rsid w:val="00017D12"/>
    <w:rsid w:val="00020255"/>
    <w:rsid w:val="000203BB"/>
    <w:rsid w:val="000205B8"/>
    <w:rsid w:val="000207AD"/>
    <w:rsid w:val="000207B6"/>
    <w:rsid w:val="000207D5"/>
    <w:rsid w:val="0002082C"/>
    <w:rsid w:val="00020A08"/>
    <w:rsid w:val="00020F04"/>
    <w:rsid w:val="0002123E"/>
    <w:rsid w:val="000214B7"/>
    <w:rsid w:val="000215B6"/>
    <w:rsid w:val="000217B4"/>
    <w:rsid w:val="000219A1"/>
    <w:rsid w:val="0002234E"/>
    <w:rsid w:val="00022F4E"/>
    <w:rsid w:val="000237BA"/>
    <w:rsid w:val="00023B03"/>
    <w:rsid w:val="00023BD0"/>
    <w:rsid w:val="00024D51"/>
    <w:rsid w:val="000257E5"/>
    <w:rsid w:val="00025DC9"/>
    <w:rsid w:val="00025FB0"/>
    <w:rsid w:val="000264FD"/>
    <w:rsid w:val="00026D47"/>
    <w:rsid w:val="00027057"/>
    <w:rsid w:val="000276DB"/>
    <w:rsid w:val="00030324"/>
    <w:rsid w:val="0003058E"/>
    <w:rsid w:val="00030798"/>
    <w:rsid w:val="00030BDE"/>
    <w:rsid w:val="00032096"/>
    <w:rsid w:val="00032838"/>
    <w:rsid w:val="00032B6B"/>
    <w:rsid w:val="00033854"/>
    <w:rsid w:val="00033958"/>
    <w:rsid w:val="00033CA1"/>
    <w:rsid w:val="00033DE2"/>
    <w:rsid w:val="00034151"/>
    <w:rsid w:val="00035568"/>
    <w:rsid w:val="000357A1"/>
    <w:rsid w:val="00035EBB"/>
    <w:rsid w:val="00035F7D"/>
    <w:rsid w:val="000361A5"/>
    <w:rsid w:val="00036239"/>
    <w:rsid w:val="0003629E"/>
    <w:rsid w:val="00036717"/>
    <w:rsid w:val="00036D60"/>
    <w:rsid w:val="000370CA"/>
    <w:rsid w:val="000371B7"/>
    <w:rsid w:val="000377F4"/>
    <w:rsid w:val="000378FE"/>
    <w:rsid w:val="0004016D"/>
    <w:rsid w:val="00040234"/>
    <w:rsid w:val="000403C4"/>
    <w:rsid w:val="000409B8"/>
    <w:rsid w:val="00040D1F"/>
    <w:rsid w:val="000411FE"/>
    <w:rsid w:val="00042ACD"/>
    <w:rsid w:val="00042E91"/>
    <w:rsid w:val="00042EFD"/>
    <w:rsid w:val="0004340F"/>
    <w:rsid w:val="00043488"/>
    <w:rsid w:val="00043B72"/>
    <w:rsid w:val="00044545"/>
    <w:rsid w:val="0004455B"/>
    <w:rsid w:val="00044AEB"/>
    <w:rsid w:val="000450CA"/>
    <w:rsid w:val="000457A9"/>
    <w:rsid w:val="00047321"/>
    <w:rsid w:val="00047324"/>
    <w:rsid w:val="00047809"/>
    <w:rsid w:val="00047D5D"/>
    <w:rsid w:val="000511ED"/>
    <w:rsid w:val="000526C5"/>
    <w:rsid w:val="00052EDC"/>
    <w:rsid w:val="0005354F"/>
    <w:rsid w:val="000535E2"/>
    <w:rsid w:val="0005372D"/>
    <w:rsid w:val="0005382D"/>
    <w:rsid w:val="00053A05"/>
    <w:rsid w:val="00053FD5"/>
    <w:rsid w:val="00054130"/>
    <w:rsid w:val="000544F9"/>
    <w:rsid w:val="0005478B"/>
    <w:rsid w:val="00054978"/>
    <w:rsid w:val="00055F1D"/>
    <w:rsid w:val="000574D4"/>
    <w:rsid w:val="00057812"/>
    <w:rsid w:val="00057F0E"/>
    <w:rsid w:val="00060C4B"/>
    <w:rsid w:val="000615B4"/>
    <w:rsid w:val="000618CD"/>
    <w:rsid w:val="00061F72"/>
    <w:rsid w:val="00062A04"/>
    <w:rsid w:val="00062E8B"/>
    <w:rsid w:val="00063390"/>
    <w:rsid w:val="000650C9"/>
    <w:rsid w:val="00065AC1"/>
    <w:rsid w:val="00065F58"/>
    <w:rsid w:val="00066687"/>
    <w:rsid w:val="00066AF2"/>
    <w:rsid w:val="0006700A"/>
    <w:rsid w:val="000677B9"/>
    <w:rsid w:val="00070008"/>
    <w:rsid w:val="00070246"/>
    <w:rsid w:val="0007042D"/>
    <w:rsid w:val="00070FA9"/>
    <w:rsid w:val="000715EE"/>
    <w:rsid w:val="000716EA"/>
    <w:rsid w:val="00071922"/>
    <w:rsid w:val="00071DC9"/>
    <w:rsid w:val="000725AA"/>
    <w:rsid w:val="0007280C"/>
    <w:rsid w:val="00072908"/>
    <w:rsid w:val="00072F29"/>
    <w:rsid w:val="0007301D"/>
    <w:rsid w:val="00073109"/>
    <w:rsid w:val="000732B0"/>
    <w:rsid w:val="000738C2"/>
    <w:rsid w:val="00075116"/>
    <w:rsid w:val="000758CE"/>
    <w:rsid w:val="00075E5D"/>
    <w:rsid w:val="00075F8B"/>
    <w:rsid w:val="00076809"/>
    <w:rsid w:val="00076E50"/>
    <w:rsid w:val="000778C0"/>
    <w:rsid w:val="00080041"/>
    <w:rsid w:val="000809A9"/>
    <w:rsid w:val="00080B35"/>
    <w:rsid w:val="00080E83"/>
    <w:rsid w:val="0008171B"/>
    <w:rsid w:val="00081963"/>
    <w:rsid w:val="00082362"/>
    <w:rsid w:val="00083723"/>
    <w:rsid w:val="0008388C"/>
    <w:rsid w:val="00083983"/>
    <w:rsid w:val="00083A65"/>
    <w:rsid w:val="00083D36"/>
    <w:rsid w:val="00085C68"/>
    <w:rsid w:val="00086C8A"/>
    <w:rsid w:val="00086DA7"/>
    <w:rsid w:val="00086F07"/>
    <w:rsid w:val="00087054"/>
    <w:rsid w:val="00087BEE"/>
    <w:rsid w:val="00087C9D"/>
    <w:rsid w:val="0009005B"/>
    <w:rsid w:val="000906CB"/>
    <w:rsid w:val="0009078E"/>
    <w:rsid w:val="00091B30"/>
    <w:rsid w:val="00092297"/>
    <w:rsid w:val="00092F70"/>
    <w:rsid w:val="00093DE6"/>
    <w:rsid w:val="00094552"/>
    <w:rsid w:val="000949D2"/>
    <w:rsid w:val="00095376"/>
    <w:rsid w:val="0009542D"/>
    <w:rsid w:val="00096496"/>
    <w:rsid w:val="00096B5A"/>
    <w:rsid w:val="00096F53"/>
    <w:rsid w:val="00097078"/>
    <w:rsid w:val="000970B8"/>
    <w:rsid w:val="000976F7"/>
    <w:rsid w:val="000A046D"/>
    <w:rsid w:val="000A085E"/>
    <w:rsid w:val="000A0CBE"/>
    <w:rsid w:val="000A1193"/>
    <w:rsid w:val="000A12E0"/>
    <w:rsid w:val="000A2331"/>
    <w:rsid w:val="000A33E6"/>
    <w:rsid w:val="000A4B88"/>
    <w:rsid w:val="000A5104"/>
    <w:rsid w:val="000A626B"/>
    <w:rsid w:val="000A6A6A"/>
    <w:rsid w:val="000A6D06"/>
    <w:rsid w:val="000B0D5A"/>
    <w:rsid w:val="000B0E24"/>
    <w:rsid w:val="000B1001"/>
    <w:rsid w:val="000B221C"/>
    <w:rsid w:val="000B33B0"/>
    <w:rsid w:val="000B34DB"/>
    <w:rsid w:val="000B3E27"/>
    <w:rsid w:val="000B45AF"/>
    <w:rsid w:val="000B5579"/>
    <w:rsid w:val="000B61E2"/>
    <w:rsid w:val="000B65EC"/>
    <w:rsid w:val="000B6EDE"/>
    <w:rsid w:val="000B7418"/>
    <w:rsid w:val="000B7943"/>
    <w:rsid w:val="000B7A36"/>
    <w:rsid w:val="000C138A"/>
    <w:rsid w:val="000C1BD8"/>
    <w:rsid w:val="000C2BFD"/>
    <w:rsid w:val="000C2F2B"/>
    <w:rsid w:val="000C3CD1"/>
    <w:rsid w:val="000C4940"/>
    <w:rsid w:val="000C4BB8"/>
    <w:rsid w:val="000C5004"/>
    <w:rsid w:val="000C55FF"/>
    <w:rsid w:val="000C6AF1"/>
    <w:rsid w:val="000C797D"/>
    <w:rsid w:val="000C7AD7"/>
    <w:rsid w:val="000C7E7F"/>
    <w:rsid w:val="000D02BD"/>
    <w:rsid w:val="000D077A"/>
    <w:rsid w:val="000D10BF"/>
    <w:rsid w:val="000D1B9B"/>
    <w:rsid w:val="000D1C02"/>
    <w:rsid w:val="000D1EF0"/>
    <w:rsid w:val="000D2657"/>
    <w:rsid w:val="000D27B9"/>
    <w:rsid w:val="000D33C3"/>
    <w:rsid w:val="000D362E"/>
    <w:rsid w:val="000D4285"/>
    <w:rsid w:val="000D4771"/>
    <w:rsid w:val="000D4A15"/>
    <w:rsid w:val="000D610C"/>
    <w:rsid w:val="000D6873"/>
    <w:rsid w:val="000D6E69"/>
    <w:rsid w:val="000D76D9"/>
    <w:rsid w:val="000D7C32"/>
    <w:rsid w:val="000E0351"/>
    <w:rsid w:val="000E0B4E"/>
    <w:rsid w:val="000E0C26"/>
    <w:rsid w:val="000E0D3A"/>
    <w:rsid w:val="000E0DF7"/>
    <w:rsid w:val="000E1237"/>
    <w:rsid w:val="000E12D7"/>
    <w:rsid w:val="000E1FBC"/>
    <w:rsid w:val="000E2461"/>
    <w:rsid w:val="000E24B8"/>
    <w:rsid w:val="000E3D28"/>
    <w:rsid w:val="000E42C1"/>
    <w:rsid w:val="000E4859"/>
    <w:rsid w:val="000E4E91"/>
    <w:rsid w:val="000E57B2"/>
    <w:rsid w:val="000E5F5C"/>
    <w:rsid w:val="000E65CF"/>
    <w:rsid w:val="000E6B50"/>
    <w:rsid w:val="000E758B"/>
    <w:rsid w:val="000E7C6D"/>
    <w:rsid w:val="000E7DD7"/>
    <w:rsid w:val="000F17C2"/>
    <w:rsid w:val="000F1D71"/>
    <w:rsid w:val="000F1E8E"/>
    <w:rsid w:val="000F30C3"/>
    <w:rsid w:val="000F3465"/>
    <w:rsid w:val="000F4881"/>
    <w:rsid w:val="000F4D72"/>
    <w:rsid w:val="000F5547"/>
    <w:rsid w:val="000F58C0"/>
    <w:rsid w:val="000F6980"/>
    <w:rsid w:val="000F7F4F"/>
    <w:rsid w:val="001000EB"/>
    <w:rsid w:val="0010031C"/>
    <w:rsid w:val="0010035E"/>
    <w:rsid w:val="001010CD"/>
    <w:rsid w:val="001013C1"/>
    <w:rsid w:val="00101CB9"/>
    <w:rsid w:val="001027E3"/>
    <w:rsid w:val="00102E51"/>
    <w:rsid w:val="00103385"/>
    <w:rsid w:val="001039BE"/>
    <w:rsid w:val="00103B21"/>
    <w:rsid w:val="0010407D"/>
    <w:rsid w:val="001041B1"/>
    <w:rsid w:val="00104307"/>
    <w:rsid w:val="00104AEF"/>
    <w:rsid w:val="00104EFA"/>
    <w:rsid w:val="0010515F"/>
    <w:rsid w:val="00105A40"/>
    <w:rsid w:val="00105C9D"/>
    <w:rsid w:val="0010609C"/>
    <w:rsid w:val="001063DA"/>
    <w:rsid w:val="00106559"/>
    <w:rsid w:val="001076A1"/>
    <w:rsid w:val="0010775A"/>
    <w:rsid w:val="00110299"/>
    <w:rsid w:val="0011093C"/>
    <w:rsid w:val="00110E63"/>
    <w:rsid w:val="00111E28"/>
    <w:rsid w:val="001122CA"/>
    <w:rsid w:val="00112931"/>
    <w:rsid w:val="00112A5E"/>
    <w:rsid w:val="00112B39"/>
    <w:rsid w:val="00112FEA"/>
    <w:rsid w:val="00113453"/>
    <w:rsid w:val="001134E2"/>
    <w:rsid w:val="001135EC"/>
    <w:rsid w:val="001137FE"/>
    <w:rsid w:val="001138A6"/>
    <w:rsid w:val="0011455D"/>
    <w:rsid w:val="00114E71"/>
    <w:rsid w:val="00115015"/>
    <w:rsid w:val="00115D19"/>
    <w:rsid w:val="00116A03"/>
    <w:rsid w:val="00116AD5"/>
    <w:rsid w:val="00117859"/>
    <w:rsid w:val="001178DA"/>
    <w:rsid w:val="00117E2F"/>
    <w:rsid w:val="0012018F"/>
    <w:rsid w:val="001210EB"/>
    <w:rsid w:val="001211FE"/>
    <w:rsid w:val="001215D1"/>
    <w:rsid w:val="001216DE"/>
    <w:rsid w:val="00121DC1"/>
    <w:rsid w:val="001228A0"/>
    <w:rsid w:val="00123112"/>
    <w:rsid w:val="0012433B"/>
    <w:rsid w:val="001244B9"/>
    <w:rsid w:val="001245E2"/>
    <w:rsid w:val="00125057"/>
    <w:rsid w:val="00125314"/>
    <w:rsid w:val="001253B8"/>
    <w:rsid w:val="0012563D"/>
    <w:rsid w:val="0012677F"/>
    <w:rsid w:val="00126D86"/>
    <w:rsid w:val="001270F2"/>
    <w:rsid w:val="00127DE4"/>
    <w:rsid w:val="00127E15"/>
    <w:rsid w:val="00127E7F"/>
    <w:rsid w:val="00127ED2"/>
    <w:rsid w:val="00130037"/>
    <w:rsid w:val="0013017A"/>
    <w:rsid w:val="00130E91"/>
    <w:rsid w:val="0013241F"/>
    <w:rsid w:val="00133821"/>
    <w:rsid w:val="00134B18"/>
    <w:rsid w:val="001351E2"/>
    <w:rsid w:val="0013525E"/>
    <w:rsid w:val="00136065"/>
    <w:rsid w:val="00136380"/>
    <w:rsid w:val="00136A28"/>
    <w:rsid w:val="00136C8B"/>
    <w:rsid w:val="00136EEB"/>
    <w:rsid w:val="00137A86"/>
    <w:rsid w:val="00137B66"/>
    <w:rsid w:val="001406EE"/>
    <w:rsid w:val="00140C27"/>
    <w:rsid w:val="00140E35"/>
    <w:rsid w:val="00141E97"/>
    <w:rsid w:val="00141FB9"/>
    <w:rsid w:val="001429C7"/>
    <w:rsid w:val="00142A32"/>
    <w:rsid w:val="00142D1D"/>
    <w:rsid w:val="001441A0"/>
    <w:rsid w:val="00144835"/>
    <w:rsid w:val="00145683"/>
    <w:rsid w:val="0014573F"/>
    <w:rsid w:val="00145CC8"/>
    <w:rsid w:val="00145F34"/>
    <w:rsid w:val="0014735D"/>
    <w:rsid w:val="00147A69"/>
    <w:rsid w:val="00147ADD"/>
    <w:rsid w:val="00147D6F"/>
    <w:rsid w:val="00150375"/>
    <w:rsid w:val="00150EB1"/>
    <w:rsid w:val="00151942"/>
    <w:rsid w:val="00151D86"/>
    <w:rsid w:val="0015233B"/>
    <w:rsid w:val="00152C47"/>
    <w:rsid w:val="001535DD"/>
    <w:rsid w:val="001539D9"/>
    <w:rsid w:val="0015416A"/>
    <w:rsid w:val="001546A6"/>
    <w:rsid w:val="001551C2"/>
    <w:rsid w:val="00155BA2"/>
    <w:rsid w:val="00155BE2"/>
    <w:rsid w:val="00155F1C"/>
    <w:rsid w:val="00155FEC"/>
    <w:rsid w:val="00156950"/>
    <w:rsid w:val="00156E48"/>
    <w:rsid w:val="001576E6"/>
    <w:rsid w:val="00157CE0"/>
    <w:rsid w:val="00160DE7"/>
    <w:rsid w:val="00161B17"/>
    <w:rsid w:val="001625D6"/>
    <w:rsid w:val="00162675"/>
    <w:rsid w:val="00163022"/>
    <w:rsid w:val="001632C2"/>
    <w:rsid w:val="001636F9"/>
    <w:rsid w:val="00163AE0"/>
    <w:rsid w:val="00163B68"/>
    <w:rsid w:val="001643F1"/>
    <w:rsid w:val="0016452A"/>
    <w:rsid w:val="00165A83"/>
    <w:rsid w:val="001667D9"/>
    <w:rsid w:val="00166BBA"/>
    <w:rsid w:val="0016741F"/>
    <w:rsid w:val="00167586"/>
    <w:rsid w:val="0016768D"/>
    <w:rsid w:val="00167F7E"/>
    <w:rsid w:val="00170711"/>
    <w:rsid w:val="00170961"/>
    <w:rsid w:val="001711CB"/>
    <w:rsid w:val="00171362"/>
    <w:rsid w:val="00171800"/>
    <w:rsid w:val="00171D70"/>
    <w:rsid w:val="001722DA"/>
    <w:rsid w:val="001724CB"/>
    <w:rsid w:val="00172908"/>
    <w:rsid w:val="00172BB6"/>
    <w:rsid w:val="00172BE9"/>
    <w:rsid w:val="00173B1C"/>
    <w:rsid w:val="00173D0F"/>
    <w:rsid w:val="001742A9"/>
    <w:rsid w:val="001746CA"/>
    <w:rsid w:val="001748E3"/>
    <w:rsid w:val="0017496C"/>
    <w:rsid w:val="00175195"/>
    <w:rsid w:val="001751F9"/>
    <w:rsid w:val="00175210"/>
    <w:rsid w:val="001754EC"/>
    <w:rsid w:val="001757DD"/>
    <w:rsid w:val="00175AA4"/>
    <w:rsid w:val="00176605"/>
    <w:rsid w:val="00176740"/>
    <w:rsid w:val="00176F64"/>
    <w:rsid w:val="00177157"/>
    <w:rsid w:val="001774A7"/>
    <w:rsid w:val="00177D68"/>
    <w:rsid w:val="00180081"/>
    <w:rsid w:val="001802D8"/>
    <w:rsid w:val="0018058B"/>
    <w:rsid w:val="00180994"/>
    <w:rsid w:val="00180A50"/>
    <w:rsid w:val="001813A4"/>
    <w:rsid w:val="001816FA"/>
    <w:rsid w:val="001817F1"/>
    <w:rsid w:val="00181AC6"/>
    <w:rsid w:val="00181CF9"/>
    <w:rsid w:val="00181D51"/>
    <w:rsid w:val="001821D1"/>
    <w:rsid w:val="0018259A"/>
    <w:rsid w:val="001841DA"/>
    <w:rsid w:val="00184441"/>
    <w:rsid w:val="00184512"/>
    <w:rsid w:val="00184AAC"/>
    <w:rsid w:val="00184B1F"/>
    <w:rsid w:val="00185A3C"/>
    <w:rsid w:val="00186A5D"/>
    <w:rsid w:val="00187A11"/>
    <w:rsid w:val="0019061C"/>
    <w:rsid w:val="0019067F"/>
    <w:rsid w:val="00190BB8"/>
    <w:rsid w:val="00190E3E"/>
    <w:rsid w:val="001916A1"/>
    <w:rsid w:val="00191A29"/>
    <w:rsid w:val="00192691"/>
    <w:rsid w:val="001928D2"/>
    <w:rsid w:val="00192D25"/>
    <w:rsid w:val="00192D3E"/>
    <w:rsid w:val="0019466C"/>
    <w:rsid w:val="00195790"/>
    <w:rsid w:val="0019590D"/>
    <w:rsid w:val="001961CC"/>
    <w:rsid w:val="001965EC"/>
    <w:rsid w:val="00196967"/>
    <w:rsid w:val="00197524"/>
    <w:rsid w:val="001A061E"/>
    <w:rsid w:val="001A17DC"/>
    <w:rsid w:val="001A1AF7"/>
    <w:rsid w:val="001A1E74"/>
    <w:rsid w:val="001A281A"/>
    <w:rsid w:val="001A285B"/>
    <w:rsid w:val="001A34A7"/>
    <w:rsid w:val="001A352A"/>
    <w:rsid w:val="001A3D59"/>
    <w:rsid w:val="001A4044"/>
    <w:rsid w:val="001A4522"/>
    <w:rsid w:val="001A47DE"/>
    <w:rsid w:val="001A5E24"/>
    <w:rsid w:val="001A5EAC"/>
    <w:rsid w:val="001A60FC"/>
    <w:rsid w:val="001A6477"/>
    <w:rsid w:val="001A6864"/>
    <w:rsid w:val="001A6CC2"/>
    <w:rsid w:val="001A6E62"/>
    <w:rsid w:val="001A726C"/>
    <w:rsid w:val="001A7657"/>
    <w:rsid w:val="001A7FCE"/>
    <w:rsid w:val="001B0124"/>
    <w:rsid w:val="001B05AC"/>
    <w:rsid w:val="001B0743"/>
    <w:rsid w:val="001B097C"/>
    <w:rsid w:val="001B0BF3"/>
    <w:rsid w:val="001B1B74"/>
    <w:rsid w:val="001B30AE"/>
    <w:rsid w:val="001B386B"/>
    <w:rsid w:val="001B3D6F"/>
    <w:rsid w:val="001B42E4"/>
    <w:rsid w:val="001B46D7"/>
    <w:rsid w:val="001B4ADE"/>
    <w:rsid w:val="001B4EA0"/>
    <w:rsid w:val="001B4EB0"/>
    <w:rsid w:val="001B515B"/>
    <w:rsid w:val="001B5C18"/>
    <w:rsid w:val="001B5D6F"/>
    <w:rsid w:val="001B5FC5"/>
    <w:rsid w:val="001B6C02"/>
    <w:rsid w:val="001B712B"/>
    <w:rsid w:val="001B7812"/>
    <w:rsid w:val="001C024A"/>
    <w:rsid w:val="001C11E3"/>
    <w:rsid w:val="001C1A95"/>
    <w:rsid w:val="001C2E8B"/>
    <w:rsid w:val="001C2FD6"/>
    <w:rsid w:val="001C3050"/>
    <w:rsid w:val="001C3212"/>
    <w:rsid w:val="001C34CC"/>
    <w:rsid w:val="001C3B03"/>
    <w:rsid w:val="001C44AB"/>
    <w:rsid w:val="001C5A77"/>
    <w:rsid w:val="001C5D31"/>
    <w:rsid w:val="001C6802"/>
    <w:rsid w:val="001C78D0"/>
    <w:rsid w:val="001C7905"/>
    <w:rsid w:val="001D019A"/>
    <w:rsid w:val="001D046F"/>
    <w:rsid w:val="001D0A82"/>
    <w:rsid w:val="001D1219"/>
    <w:rsid w:val="001D142D"/>
    <w:rsid w:val="001D14A4"/>
    <w:rsid w:val="001D1ABD"/>
    <w:rsid w:val="001D25C4"/>
    <w:rsid w:val="001D3358"/>
    <w:rsid w:val="001D33C9"/>
    <w:rsid w:val="001D33DA"/>
    <w:rsid w:val="001D3885"/>
    <w:rsid w:val="001D47D7"/>
    <w:rsid w:val="001D4A86"/>
    <w:rsid w:val="001D5895"/>
    <w:rsid w:val="001D5DBF"/>
    <w:rsid w:val="001D7BFC"/>
    <w:rsid w:val="001E0163"/>
    <w:rsid w:val="001E040F"/>
    <w:rsid w:val="001E05D1"/>
    <w:rsid w:val="001E0694"/>
    <w:rsid w:val="001E08FD"/>
    <w:rsid w:val="001E0C96"/>
    <w:rsid w:val="001E152C"/>
    <w:rsid w:val="001E1B3A"/>
    <w:rsid w:val="001E27D9"/>
    <w:rsid w:val="001E2A7D"/>
    <w:rsid w:val="001E2AE7"/>
    <w:rsid w:val="001E2DB3"/>
    <w:rsid w:val="001E368A"/>
    <w:rsid w:val="001E3813"/>
    <w:rsid w:val="001E46D5"/>
    <w:rsid w:val="001E4803"/>
    <w:rsid w:val="001E497E"/>
    <w:rsid w:val="001E5F5A"/>
    <w:rsid w:val="001E7881"/>
    <w:rsid w:val="001E7E74"/>
    <w:rsid w:val="001F0001"/>
    <w:rsid w:val="001F07FF"/>
    <w:rsid w:val="001F104D"/>
    <w:rsid w:val="001F109B"/>
    <w:rsid w:val="001F1991"/>
    <w:rsid w:val="001F247B"/>
    <w:rsid w:val="001F2913"/>
    <w:rsid w:val="001F2B80"/>
    <w:rsid w:val="001F2E1A"/>
    <w:rsid w:val="001F3764"/>
    <w:rsid w:val="001F3A5D"/>
    <w:rsid w:val="001F47DE"/>
    <w:rsid w:val="001F494C"/>
    <w:rsid w:val="001F7566"/>
    <w:rsid w:val="001F7A98"/>
    <w:rsid w:val="001F7EFC"/>
    <w:rsid w:val="001F7F2A"/>
    <w:rsid w:val="00200690"/>
    <w:rsid w:val="002018AC"/>
    <w:rsid w:val="00201FED"/>
    <w:rsid w:val="00202582"/>
    <w:rsid w:val="002027AF"/>
    <w:rsid w:val="002043E0"/>
    <w:rsid w:val="0020465E"/>
    <w:rsid w:val="002048BF"/>
    <w:rsid w:val="00204D27"/>
    <w:rsid w:val="00205D5F"/>
    <w:rsid w:val="0020645A"/>
    <w:rsid w:val="00206C9E"/>
    <w:rsid w:val="00206D0A"/>
    <w:rsid w:val="00207B70"/>
    <w:rsid w:val="00210439"/>
    <w:rsid w:val="002106E3"/>
    <w:rsid w:val="00210B87"/>
    <w:rsid w:val="00210D0A"/>
    <w:rsid w:val="00210DD0"/>
    <w:rsid w:val="00211BB6"/>
    <w:rsid w:val="00211D27"/>
    <w:rsid w:val="00211DFD"/>
    <w:rsid w:val="00212234"/>
    <w:rsid w:val="00212394"/>
    <w:rsid w:val="0021355A"/>
    <w:rsid w:val="002139DD"/>
    <w:rsid w:val="002139EC"/>
    <w:rsid w:val="00213BC8"/>
    <w:rsid w:val="00213C9E"/>
    <w:rsid w:val="00214005"/>
    <w:rsid w:val="00214220"/>
    <w:rsid w:val="0021466C"/>
    <w:rsid w:val="00215B47"/>
    <w:rsid w:val="00215BF9"/>
    <w:rsid w:val="00215DC9"/>
    <w:rsid w:val="002168D0"/>
    <w:rsid w:val="0021773D"/>
    <w:rsid w:val="0022018B"/>
    <w:rsid w:val="002214A3"/>
    <w:rsid w:val="0022224B"/>
    <w:rsid w:val="0022237A"/>
    <w:rsid w:val="0022282C"/>
    <w:rsid w:val="0022290C"/>
    <w:rsid w:val="00222B53"/>
    <w:rsid w:val="002244A6"/>
    <w:rsid w:val="00224900"/>
    <w:rsid w:val="00224A5F"/>
    <w:rsid w:val="00224EBF"/>
    <w:rsid w:val="00226378"/>
    <w:rsid w:val="00226AD5"/>
    <w:rsid w:val="00226D23"/>
    <w:rsid w:val="002272AF"/>
    <w:rsid w:val="0022781F"/>
    <w:rsid w:val="00230318"/>
    <w:rsid w:val="002304A6"/>
    <w:rsid w:val="0023103B"/>
    <w:rsid w:val="002318FA"/>
    <w:rsid w:val="00231DA5"/>
    <w:rsid w:val="002326F4"/>
    <w:rsid w:val="00233CFC"/>
    <w:rsid w:val="00233FE9"/>
    <w:rsid w:val="002341D2"/>
    <w:rsid w:val="00234200"/>
    <w:rsid w:val="00235238"/>
    <w:rsid w:val="0023561C"/>
    <w:rsid w:val="002357B9"/>
    <w:rsid w:val="00236171"/>
    <w:rsid w:val="002361CB"/>
    <w:rsid w:val="00236CD2"/>
    <w:rsid w:val="002401D1"/>
    <w:rsid w:val="00240694"/>
    <w:rsid w:val="002407A4"/>
    <w:rsid w:val="00240AE1"/>
    <w:rsid w:val="00240FC6"/>
    <w:rsid w:val="00241273"/>
    <w:rsid w:val="0024163B"/>
    <w:rsid w:val="00241B40"/>
    <w:rsid w:val="0024235F"/>
    <w:rsid w:val="002430FD"/>
    <w:rsid w:val="00243CF3"/>
    <w:rsid w:val="00244CAD"/>
    <w:rsid w:val="00244DE6"/>
    <w:rsid w:val="0024500D"/>
    <w:rsid w:val="002452C8"/>
    <w:rsid w:val="00246924"/>
    <w:rsid w:val="00246B6F"/>
    <w:rsid w:val="00246BFE"/>
    <w:rsid w:val="00246E87"/>
    <w:rsid w:val="00247147"/>
    <w:rsid w:val="00247468"/>
    <w:rsid w:val="00250FF9"/>
    <w:rsid w:val="002516E7"/>
    <w:rsid w:val="0025172D"/>
    <w:rsid w:val="002529F3"/>
    <w:rsid w:val="00252B7A"/>
    <w:rsid w:val="00252C7C"/>
    <w:rsid w:val="00253161"/>
    <w:rsid w:val="002539BB"/>
    <w:rsid w:val="0025401F"/>
    <w:rsid w:val="0025427E"/>
    <w:rsid w:val="002542B4"/>
    <w:rsid w:val="002551E7"/>
    <w:rsid w:val="00255F88"/>
    <w:rsid w:val="00255FF5"/>
    <w:rsid w:val="00256953"/>
    <w:rsid w:val="00256C57"/>
    <w:rsid w:val="00260BA1"/>
    <w:rsid w:val="0026174B"/>
    <w:rsid w:val="00261A8E"/>
    <w:rsid w:val="00261F5B"/>
    <w:rsid w:val="0026231C"/>
    <w:rsid w:val="00262B8D"/>
    <w:rsid w:val="00262E8A"/>
    <w:rsid w:val="0026333E"/>
    <w:rsid w:val="00263AD4"/>
    <w:rsid w:val="00263B54"/>
    <w:rsid w:val="0026524A"/>
    <w:rsid w:val="00265F2C"/>
    <w:rsid w:val="0026604D"/>
    <w:rsid w:val="00266B28"/>
    <w:rsid w:val="00267278"/>
    <w:rsid w:val="00267287"/>
    <w:rsid w:val="00267B80"/>
    <w:rsid w:val="00267C68"/>
    <w:rsid w:val="00267E83"/>
    <w:rsid w:val="002701D1"/>
    <w:rsid w:val="0027104B"/>
    <w:rsid w:val="0027105A"/>
    <w:rsid w:val="002713B4"/>
    <w:rsid w:val="002715FD"/>
    <w:rsid w:val="00271A4D"/>
    <w:rsid w:val="002724CC"/>
    <w:rsid w:val="0027282F"/>
    <w:rsid w:val="002728D6"/>
    <w:rsid w:val="00272C2F"/>
    <w:rsid w:val="002730F0"/>
    <w:rsid w:val="0027378F"/>
    <w:rsid w:val="00274116"/>
    <w:rsid w:val="002742FF"/>
    <w:rsid w:val="0027479B"/>
    <w:rsid w:val="00276821"/>
    <w:rsid w:val="00276CCD"/>
    <w:rsid w:val="0027754F"/>
    <w:rsid w:val="00280245"/>
    <w:rsid w:val="00280D52"/>
    <w:rsid w:val="00280D64"/>
    <w:rsid w:val="00281A18"/>
    <w:rsid w:val="00282000"/>
    <w:rsid w:val="002822F2"/>
    <w:rsid w:val="00282376"/>
    <w:rsid w:val="00283823"/>
    <w:rsid w:val="00283F07"/>
    <w:rsid w:val="00284597"/>
    <w:rsid w:val="0028459F"/>
    <w:rsid w:val="0028596A"/>
    <w:rsid w:val="00286039"/>
    <w:rsid w:val="0028697E"/>
    <w:rsid w:val="002874B6"/>
    <w:rsid w:val="00287777"/>
    <w:rsid w:val="00287825"/>
    <w:rsid w:val="00290D00"/>
    <w:rsid w:val="00290DAC"/>
    <w:rsid w:val="0029105B"/>
    <w:rsid w:val="00291B3B"/>
    <w:rsid w:val="00291E01"/>
    <w:rsid w:val="00293447"/>
    <w:rsid w:val="00293669"/>
    <w:rsid w:val="00293E84"/>
    <w:rsid w:val="00293EE9"/>
    <w:rsid w:val="002943A2"/>
    <w:rsid w:val="00294A31"/>
    <w:rsid w:val="00294C93"/>
    <w:rsid w:val="00295BCF"/>
    <w:rsid w:val="00296A7B"/>
    <w:rsid w:val="00297E8B"/>
    <w:rsid w:val="002A184C"/>
    <w:rsid w:val="002A34EE"/>
    <w:rsid w:val="002A350B"/>
    <w:rsid w:val="002A45EE"/>
    <w:rsid w:val="002A4D3D"/>
    <w:rsid w:val="002A4DED"/>
    <w:rsid w:val="002A67D2"/>
    <w:rsid w:val="002A6989"/>
    <w:rsid w:val="002A7A76"/>
    <w:rsid w:val="002B068D"/>
    <w:rsid w:val="002B09DC"/>
    <w:rsid w:val="002B0C89"/>
    <w:rsid w:val="002B1AF2"/>
    <w:rsid w:val="002B2D12"/>
    <w:rsid w:val="002B2FB3"/>
    <w:rsid w:val="002B337E"/>
    <w:rsid w:val="002B39D1"/>
    <w:rsid w:val="002B3D4A"/>
    <w:rsid w:val="002B3FF8"/>
    <w:rsid w:val="002B4522"/>
    <w:rsid w:val="002B51EA"/>
    <w:rsid w:val="002B5A49"/>
    <w:rsid w:val="002B5D99"/>
    <w:rsid w:val="002B5E7E"/>
    <w:rsid w:val="002B7258"/>
    <w:rsid w:val="002C01EF"/>
    <w:rsid w:val="002C0913"/>
    <w:rsid w:val="002C0D3A"/>
    <w:rsid w:val="002C107C"/>
    <w:rsid w:val="002C1D53"/>
    <w:rsid w:val="002C2C5D"/>
    <w:rsid w:val="002C2E39"/>
    <w:rsid w:val="002C4785"/>
    <w:rsid w:val="002C567B"/>
    <w:rsid w:val="002C5763"/>
    <w:rsid w:val="002C6373"/>
    <w:rsid w:val="002C6981"/>
    <w:rsid w:val="002C6C39"/>
    <w:rsid w:val="002C7967"/>
    <w:rsid w:val="002D0388"/>
    <w:rsid w:val="002D0600"/>
    <w:rsid w:val="002D0637"/>
    <w:rsid w:val="002D0D22"/>
    <w:rsid w:val="002D1496"/>
    <w:rsid w:val="002D15D5"/>
    <w:rsid w:val="002D2ED9"/>
    <w:rsid w:val="002D3077"/>
    <w:rsid w:val="002D308B"/>
    <w:rsid w:val="002D38F7"/>
    <w:rsid w:val="002D3FE8"/>
    <w:rsid w:val="002D4BED"/>
    <w:rsid w:val="002D5910"/>
    <w:rsid w:val="002D609D"/>
    <w:rsid w:val="002D60F8"/>
    <w:rsid w:val="002D6176"/>
    <w:rsid w:val="002D64EE"/>
    <w:rsid w:val="002D799B"/>
    <w:rsid w:val="002D7D2E"/>
    <w:rsid w:val="002E0C64"/>
    <w:rsid w:val="002E1008"/>
    <w:rsid w:val="002E104F"/>
    <w:rsid w:val="002E2A5B"/>
    <w:rsid w:val="002E338F"/>
    <w:rsid w:val="002E34F3"/>
    <w:rsid w:val="002E356C"/>
    <w:rsid w:val="002E4311"/>
    <w:rsid w:val="002E48E2"/>
    <w:rsid w:val="002E4AA1"/>
    <w:rsid w:val="002E4EC8"/>
    <w:rsid w:val="002E5132"/>
    <w:rsid w:val="002E55AE"/>
    <w:rsid w:val="002E6C4D"/>
    <w:rsid w:val="002E77A5"/>
    <w:rsid w:val="002E7AF1"/>
    <w:rsid w:val="002E7C1A"/>
    <w:rsid w:val="002E7EC1"/>
    <w:rsid w:val="002F016E"/>
    <w:rsid w:val="002F07C8"/>
    <w:rsid w:val="002F0BD8"/>
    <w:rsid w:val="002F0FB1"/>
    <w:rsid w:val="002F121F"/>
    <w:rsid w:val="002F12A3"/>
    <w:rsid w:val="002F16E0"/>
    <w:rsid w:val="002F1A99"/>
    <w:rsid w:val="002F1FAD"/>
    <w:rsid w:val="002F236C"/>
    <w:rsid w:val="002F3525"/>
    <w:rsid w:val="002F4E85"/>
    <w:rsid w:val="002F58EE"/>
    <w:rsid w:val="002F5A9C"/>
    <w:rsid w:val="002F62A8"/>
    <w:rsid w:val="002F7816"/>
    <w:rsid w:val="002F7DD4"/>
    <w:rsid w:val="002F7E54"/>
    <w:rsid w:val="0030043A"/>
    <w:rsid w:val="00301693"/>
    <w:rsid w:val="00301E97"/>
    <w:rsid w:val="00302B28"/>
    <w:rsid w:val="00302EDD"/>
    <w:rsid w:val="00303276"/>
    <w:rsid w:val="00304226"/>
    <w:rsid w:val="00304BF9"/>
    <w:rsid w:val="00304F8F"/>
    <w:rsid w:val="0030517C"/>
    <w:rsid w:val="00305A26"/>
    <w:rsid w:val="00305F30"/>
    <w:rsid w:val="0030608B"/>
    <w:rsid w:val="003063C9"/>
    <w:rsid w:val="00306A5B"/>
    <w:rsid w:val="00307896"/>
    <w:rsid w:val="00307C13"/>
    <w:rsid w:val="00307D66"/>
    <w:rsid w:val="003102D2"/>
    <w:rsid w:val="00310CB4"/>
    <w:rsid w:val="003114D2"/>
    <w:rsid w:val="0031194B"/>
    <w:rsid w:val="00311BCA"/>
    <w:rsid w:val="00312018"/>
    <w:rsid w:val="003121E4"/>
    <w:rsid w:val="0031233A"/>
    <w:rsid w:val="00312ACF"/>
    <w:rsid w:val="00312E7F"/>
    <w:rsid w:val="00313386"/>
    <w:rsid w:val="00313772"/>
    <w:rsid w:val="00313D7B"/>
    <w:rsid w:val="00313D99"/>
    <w:rsid w:val="00314FED"/>
    <w:rsid w:val="0031505D"/>
    <w:rsid w:val="00315442"/>
    <w:rsid w:val="0031627F"/>
    <w:rsid w:val="00316B90"/>
    <w:rsid w:val="003174FF"/>
    <w:rsid w:val="0031752C"/>
    <w:rsid w:val="003177EF"/>
    <w:rsid w:val="00320F63"/>
    <w:rsid w:val="003212A4"/>
    <w:rsid w:val="003212B9"/>
    <w:rsid w:val="00321317"/>
    <w:rsid w:val="0032210E"/>
    <w:rsid w:val="0032222F"/>
    <w:rsid w:val="00322494"/>
    <w:rsid w:val="00322974"/>
    <w:rsid w:val="00323376"/>
    <w:rsid w:val="003249E1"/>
    <w:rsid w:val="0032526E"/>
    <w:rsid w:val="00325E9D"/>
    <w:rsid w:val="003263AC"/>
    <w:rsid w:val="00326A07"/>
    <w:rsid w:val="00326EB0"/>
    <w:rsid w:val="00327711"/>
    <w:rsid w:val="00330A74"/>
    <w:rsid w:val="00331BA0"/>
    <w:rsid w:val="003324F3"/>
    <w:rsid w:val="003336B7"/>
    <w:rsid w:val="00333F78"/>
    <w:rsid w:val="0033481D"/>
    <w:rsid w:val="00335415"/>
    <w:rsid w:val="003354A2"/>
    <w:rsid w:val="0033562B"/>
    <w:rsid w:val="00335738"/>
    <w:rsid w:val="00335A1F"/>
    <w:rsid w:val="0033749E"/>
    <w:rsid w:val="003377D0"/>
    <w:rsid w:val="003409BE"/>
    <w:rsid w:val="00340A46"/>
    <w:rsid w:val="0034161D"/>
    <w:rsid w:val="003418F9"/>
    <w:rsid w:val="0034195F"/>
    <w:rsid w:val="00342186"/>
    <w:rsid w:val="00342C5C"/>
    <w:rsid w:val="003431F1"/>
    <w:rsid w:val="003438E2"/>
    <w:rsid w:val="0034394C"/>
    <w:rsid w:val="00343F1D"/>
    <w:rsid w:val="0034425B"/>
    <w:rsid w:val="00344BBB"/>
    <w:rsid w:val="00345184"/>
    <w:rsid w:val="003452B7"/>
    <w:rsid w:val="00347890"/>
    <w:rsid w:val="0034793E"/>
    <w:rsid w:val="003505D1"/>
    <w:rsid w:val="003507A3"/>
    <w:rsid w:val="00351047"/>
    <w:rsid w:val="003512F6"/>
    <w:rsid w:val="00353381"/>
    <w:rsid w:val="0035349E"/>
    <w:rsid w:val="0035395A"/>
    <w:rsid w:val="00354396"/>
    <w:rsid w:val="003545C6"/>
    <w:rsid w:val="00354BCD"/>
    <w:rsid w:val="003567C8"/>
    <w:rsid w:val="00357209"/>
    <w:rsid w:val="0035750F"/>
    <w:rsid w:val="00357D14"/>
    <w:rsid w:val="00357DE7"/>
    <w:rsid w:val="003605E0"/>
    <w:rsid w:val="00360FD2"/>
    <w:rsid w:val="003617DC"/>
    <w:rsid w:val="003647B6"/>
    <w:rsid w:val="003651B5"/>
    <w:rsid w:val="00365E98"/>
    <w:rsid w:val="003663D4"/>
    <w:rsid w:val="00366711"/>
    <w:rsid w:val="00366991"/>
    <w:rsid w:val="00366AEA"/>
    <w:rsid w:val="00366EFC"/>
    <w:rsid w:val="00367D8A"/>
    <w:rsid w:val="00367D93"/>
    <w:rsid w:val="00370734"/>
    <w:rsid w:val="00370BFF"/>
    <w:rsid w:val="00371B8B"/>
    <w:rsid w:val="003720C6"/>
    <w:rsid w:val="003722F8"/>
    <w:rsid w:val="00372DB6"/>
    <w:rsid w:val="003731A5"/>
    <w:rsid w:val="0037422F"/>
    <w:rsid w:val="0037485E"/>
    <w:rsid w:val="00374AAF"/>
    <w:rsid w:val="00375AFD"/>
    <w:rsid w:val="00375AFF"/>
    <w:rsid w:val="00377698"/>
    <w:rsid w:val="00377716"/>
    <w:rsid w:val="00377A33"/>
    <w:rsid w:val="00380AB5"/>
    <w:rsid w:val="00380C3A"/>
    <w:rsid w:val="00381030"/>
    <w:rsid w:val="00382643"/>
    <w:rsid w:val="00382FA9"/>
    <w:rsid w:val="00382FAC"/>
    <w:rsid w:val="003830CF"/>
    <w:rsid w:val="003831BB"/>
    <w:rsid w:val="00383DF8"/>
    <w:rsid w:val="00383F55"/>
    <w:rsid w:val="0038406D"/>
    <w:rsid w:val="003840FB"/>
    <w:rsid w:val="0038531B"/>
    <w:rsid w:val="0038599D"/>
    <w:rsid w:val="00385BBA"/>
    <w:rsid w:val="00385BD9"/>
    <w:rsid w:val="00385BEF"/>
    <w:rsid w:val="00385C55"/>
    <w:rsid w:val="003866EF"/>
    <w:rsid w:val="00387039"/>
    <w:rsid w:val="00387E85"/>
    <w:rsid w:val="00387F26"/>
    <w:rsid w:val="00390612"/>
    <w:rsid w:val="00390A66"/>
    <w:rsid w:val="0039117F"/>
    <w:rsid w:val="0039184C"/>
    <w:rsid w:val="00391946"/>
    <w:rsid w:val="00391DC0"/>
    <w:rsid w:val="003934B9"/>
    <w:rsid w:val="00393615"/>
    <w:rsid w:val="003941AB"/>
    <w:rsid w:val="00394599"/>
    <w:rsid w:val="00394AA3"/>
    <w:rsid w:val="003950B0"/>
    <w:rsid w:val="00395DFC"/>
    <w:rsid w:val="003967F8"/>
    <w:rsid w:val="003968D4"/>
    <w:rsid w:val="00396969"/>
    <w:rsid w:val="00397F15"/>
    <w:rsid w:val="003A0089"/>
    <w:rsid w:val="003A069C"/>
    <w:rsid w:val="003A0964"/>
    <w:rsid w:val="003A098B"/>
    <w:rsid w:val="003A23DD"/>
    <w:rsid w:val="003A242F"/>
    <w:rsid w:val="003A2689"/>
    <w:rsid w:val="003A2732"/>
    <w:rsid w:val="003A28C0"/>
    <w:rsid w:val="003A30C0"/>
    <w:rsid w:val="003A3896"/>
    <w:rsid w:val="003A4948"/>
    <w:rsid w:val="003A4BF1"/>
    <w:rsid w:val="003A5339"/>
    <w:rsid w:val="003A5907"/>
    <w:rsid w:val="003A5B68"/>
    <w:rsid w:val="003A5EE2"/>
    <w:rsid w:val="003A60BB"/>
    <w:rsid w:val="003A6150"/>
    <w:rsid w:val="003A652B"/>
    <w:rsid w:val="003A6A66"/>
    <w:rsid w:val="003B0093"/>
    <w:rsid w:val="003B2637"/>
    <w:rsid w:val="003B288F"/>
    <w:rsid w:val="003B2D55"/>
    <w:rsid w:val="003B2DB3"/>
    <w:rsid w:val="003B31B2"/>
    <w:rsid w:val="003B3219"/>
    <w:rsid w:val="003B3B2B"/>
    <w:rsid w:val="003B3F65"/>
    <w:rsid w:val="003B4415"/>
    <w:rsid w:val="003B45CA"/>
    <w:rsid w:val="003B55B0"/>
    <w:rsid w:val="003B5685"/>
    <w:rsid w:val="003B6A2C"/>
    <w:rsid w:val="003B6E45"/>
    <w:rsid w:val="003C0160"/>
    <w:rsid w:val="003C027A"/>
    <w:rsid w:val="003C08CB"/>
    <w:rsid w:val="003C09DF"/>
    <w:rsid w:val="003C116C"/>
    <w:rsid w:val="003C12CE"/>
    <w:rsid w:val="003C2952"/>
    <w:rsid w:val="003C2AC4"/>
    <w:rsid w:val="003C3628"/>
    <w:rsid w:val="003C3D75"/>
    <w:rsid w:val="003C4066"/>
    <w:rsid w:val="003C40C1"/>
    <w:rsid w:val="003C43AF"/>
    <w:rsid w:val="003C446B"/>
    <w:rsid w:val="003C44C8"/>
    <w:rsid w:val="003C464D"/>
    <w:rsid w:val="003C4BF6"/>
    <w:rsid w:val="003C5BEE"/>
    <w:rsid w:val="003C7024"/>
    <w:rsid w:val="003C7323"/>
    <w:rsid w:val="003C7380"/>
    <w:rsid w:val="003C7790"/>
    <w:rsid w:val="003C79DA"/>
    <w:rsid w:val="003D0A1E"/>
    <w:rsid w:val="003D0F30"/>
    <w:rsid w:val="003D16A8"/>
    <w:rsid w:val="003D2A7B"/>
    <w:rsid w:val="003D2CB1"/>
    <w:rsid w:val="003D3486"/>
    <w:rsid w:val="003D3880"/>
    <w:rsid w:val="003D3DF1"/>
    <w:rsid w:val="003D3E86"/>
    <w:rsid w:val="003D3F79"/>
    <w:rsid w:val="003D47C5"/>
    <w:rsid w:val="003D491C"/>
    <w:rsid w:val="003D4B08"/>
    <w:rsid w:val="003D4EFF"/>
    <w:rsid w:val="003D5EF7"/>
    <w:rsid w:val="003D67EB"/>
    <w:rsid w:val="003D7D56"/>
    <w:rsid w:val="003D7D82"/>
    <w:rsid w:val="003E0136"/>
    <w:rsid w:val="003E0AC8"/>
    <w:rsid w:val="003E1790"/>
    <w:rsid w:val="003E1F2B"/>
    <w:rsid w:val="003E22B7"/>
    <w:rsid w:val="003E3031"/>
    <w:rsid w:val="003E36F4"/>
    <w:rsid w:val="003E385F"/>
    <w:rsid w:val="003E39F3"/>
    <w:rsid w:val="003E4D10"/>
    <w:rsid w:val="003E614A"/>
    <w:rsid w:val="003E68D0"/>
    <w:rsid w:val="003E6DF0"/>
    <w:rsid w:val="003E75FE"/>
    <w:rsid w:val="003F007D"/>
    <w:rsid w:val="003F026C"/>
    <w:rsid w:val="003F02DE"/>
    <w:rsid w:val="003F041E"/>
    <w:rsid w:val="003F0E88"/>
    <w:rsid w:val="003F0F54"/>
    <w:rsid w:val="003F124A"/>
    <w:rsid w:val="003F176E"/>
    <w:rsid w:val="003F1B76"/>
    <w:rsid w:val="003F1B87"/>
    <w:rsid w:val="003F1D9D"/>
    <w:rsid w:val="003F2FCC"/>
    <w:rsid w:val="003F3718"/>
    <w:rsid w:val="003F3810"/>
    <w:rsid w:val="003F3948"/>
    <w:rsid w:val="003F3B4F"/>
    <w:rsid w:val="003F48E5"/>
    <w:rsid w:val="003F4B1C"/>
    <w:rsid w:val="003F4CEE"/>
    <w:rsid w:val="003F4D0F"/>
    <w:rsid w:val="003F5913"/>
    <w:rsid w:val="003F5932"/>
    <w:rsid w:val="003F5D35"/>
    <w:rsid w:val="003F5F68"/>
    <w:rsid w:val="003F64C7"/>
    <w:rsid w:val="003F6FA7"/>
    <w:rsid w:val="003F71D7"/>
    <w:rsid w:val="003F75FD"/>
    <w:rsid w:val="003F7602"/>
    <w:rsid w:val="00400ED2"/>
    <w:rsid w:val="00401E5C"/>
    <w:rsid w:val="0040282F"/>
    <w:rsid w:val="00403283"/>
    <w:rsid w:val="00404143"/>
    <w:rsid w:val="00404515"/>
    <w:rsid w:val="004045AD"/>
    <w:rsid w:val="00404DE7"/>
    <w:rsid w:val="00404FFD"/>
    <w:rsid w:val="00405154"/>
    <w:rsid w:val="00405B42"/>
    <w:rsid w:val="0040619A"/>
    <w:rsid w:val="004062B1"/>
    <w:rsid w:val="00406368"/>
    <w:rsid w:val="00407651"/>
    <w:rsid w:val="00407E77"/>
    <w:rsid w:val="004106A2"/>
    <w:rsid w:val="004106F7"/>
    <w:rsid w:val="0041124B"/>
    <w:rsid w:val="00411746"/>
    <w:rsid w:val="0041269F"/>
    <w:rsid w:val="004131CB"/>
    <w:rsid w:val="0041320E"/>
    <w:rsid w:val="0041394A"/>
    <w:rsid w:val="00413D19"/>
    <w:rsid w:val="004141D6"/>
    <w:rsid w:val="0041438B"/>
    <w:rsid w:val="004145ED"/>
    <w:rsid w:val="00414ACE"/>
    <w:rsid w:val="00415828"/>
    <w:rsid w:val="004158C7"/>
    <w:rsid w:val="00417414"/>
    <w:rsid w:val="004201B5"/>
    <w:rsid w:val="00420548"/>
    <w:rsid w:val="00420CF4"/>
    <w:rsid w:val="00421FD5"/>
    <w:rsid w:val="00422021"/>
    <w:rsid w:val="0042245D"/>
    <w:rsid w:val="00422C21"/>
    <w:rsid w:val="00423706"/>
    <w:rsid w:val="00423F23"/>
    <w:rsid w:val="0042453F"/>
    <w:rsid w:val="00425422"/>
    <w:rsid w:val="0042545C"/>
    <w:rsid w:val="0042550D"/>
    <w:rsid w:val="00426717"/>
    <w:rsid w:val="00426A09"/>
    <w:rsid w:val="004272D5"/>
    <w:rsid w:val="00427573"/>
    <w:rsid w:val="00427765"/>
    <w:rsid w:val="0042786A"/>
    <w:rsid w:val="00427A93"/>
    <w:rsid w:val="00427BAE"/>
    <w:rsid w:val="00430C70"/>
    <w:rsid w:val="00430F07"/>
    <w:rsid w:val="004310D1"/>
    <w:rsid w:val="004313A7"/>
    <w:rsid w:val="00431737"/>
    <w:rsid w:val="00432128"/>
    <w:rsid w:val="0043274E"/>
    <w:rsid w:val="00432EC6"/>
    <w:rsid w:val="0043346B"/>
    <w:rsid w:val="004339A8"/>
    <w:rsid w:val="00434608"/>
    <w:rsid w:val="004346BF"/>
    <w:rsid w:val="0043510B"/>
    <w:rsid w:val="00435774"/>
    <w:rsid w:val="004357B4"/>
    <w:rsid w:val="004358E3"/>
    <w:rsid w:val="0043597D"/>
    <w:rsid w:val="00435CDE"/>
    <w:rsid w:val="00436088"/>
    <w:rsid w:val="0043687D"/>
    <w:rsid w:val="0043698D"/>
    <w:rsid w:val="00437163"/>
    <w:rsid w:val="00437B32"/>
    <w:rsid w:val="00437DCF"/>
    <w:rsid w:val="00437F19"/>
    <w:rsid w:val="00441AAA"/>
    <w:rsid w:val="00442149"/>
    <w:rsid w:val="0044224E"/>
    <w:rsid w:val="0044254E"/>
    <w:rsid w:val="0044263D"/>
    <w:rsid w:val="00442AF2"/>
    <w:rsid w:val="00442FB8"/>
    <w:rsid w:val="00443256"/>
    <w:rsid w:val="004432F0"/>
    <w:rsid w:val="00444559"/>
    <w:rsid w:val="00446DA0"/>
    <w:rsid w:val="004475EE"/>
    <w:rsid w:val="004501C2"/>
    <w:rsid w:val="00450C26"/>
    <w:rsid w:val="004514BE"/>
    <w:rsid w:val="004525C8"/>
    <w:rsid w:val="00452989"/>
    <w:rsid w:val="00452DF3"/>
    <w:rsid w:val="00452F0F"/>
    <w:rsid w:val="00454139"/>
    <w:rsid w:val="0045460F"/>
    <w:rsid w:val="00454868"/>
    <w:rsid w:val="004558B1"/>
    <w:rsid w:val="00455DCB"/>
    <w:rsid w:val="0045629A"/>
    <w:rsid w:val="00457007"/>
    <w:rsid w:val="00457127"/>
    <w:rsid w:val="00457482"/>
    <w:rsid w:val="004577E7"/>
    <w:rsid w:val="00457B91"/>
    <w:rsid w:val="00457FCB"/>
    <w:rsid w:val="004601AF"/>
    <w:rsid w:val="004606F6"/>
    <w:rsid w:val="00460B4D"/>
    <w:rsid w:val="00462AED"/>
    <w:rsid w:val="00463A9E"/>
    <w:rsid w:val="00463C7F"/>
    <w:rsid w:val="00464182"/>
    <w:rsid w:val="004643A0"/>
    <w:rsid w:val="004644CB"/>
    <w:rsid w:val="00464C9D"/>
    <w:rsid w:val="0046501D"/>
    <w:rsid w:val="004652E7"/>
    <w:rsid w:val="0046545E"/>
    <w:rsid w:val="00465710"/>
    <w:rsid w:val="00465F1E"/>
    <w:rsid w:val="00466833"/>
    <w:rsid w:val="0046766B"/>
    <w:rsid w:val="00470DB2"/>
    <w:rsid w:val="00471517"/>
    <w:rsid w:val="00471C26"/>
    <w:rsid w:val="00471D0E"/>
    <w:rsid w:val="00471DCC"/>
    <w:rsid w:val="00472294"/>
    <w:rsid w:val="0047322B"/>
    <w:rsid w:val="00473247"/>
    <w:rsid w:val="00473545"/>
    <w:rsid w:val="00473B91"/>
    <w:rsid w:val="00473FB3"/>
    <w:rsid w:val="00474036"/>
    <w:rsid w:val="0047426B"/>
    <w:rsid w:val="00474DC2"/>
    <w:rsid w:val="00474EDD"/>
    <w:rsid w:val="00475E5E"/>
    <w:rsid w:val="00475ED7"/>
    <w:rsid w:val="00476145"/>
    <w:rsid w:val="0047618C"/>
    <w:rsid w:val="0047677D"/>
    <w:rsid w:val="0047726A"/>
    <w:rsid w:val="004774FD"/>
    <w:rsid w:val="00477AFF"/>
    <w:rsid w:val="004802CB"/>
    <w:rsid w:val="004806C3"/>
    <w:rsid w:val="004806CD"/>
    <w:rsid w:val="004819D2"/>
    <w:rsid w:val="00481DB4"/>
    <w:rsid w:val="00482A28"/>
    <w:rsid w:val="00483AA8"/>
    <w:rsid w:val="00483C9A"/>
    <w:rsid w:val="00484134"/>
    <w:rsid w:val="00484F88"/>
    <w:rsid w:val="00485118"/>
    <w:rsid w:val="00485288"/>
    <w:rsid w:val="0048540A"/>
    <w:rsid w:val="00485A26"/>
    <w:rsid w:val="00485A83"/>
    <w:rsid w:val="00485C4E"/>
    <w:rsid w:val="004868FD"/>
    <w:rsid w:val="004869AF"/>
    <w:rsid w:val="00486CF6"/>
    <w:rsid w:val="0048747C"/>
    <w:rsid w:val="004901A1"/>
    <w:rsid w:val="004905A9"/>
    <w:rsid w:val="00490986"/>
    <w:rsid w:val="004925A4"/>
    <w:rsid w:val="004927D2"/>
    <w:rsid w:val="00492997"/>
    <w:rsid w:val="00492C20"/>
    <w:rsid w:val="00492C25"/>
    <w:rsid w:val="00492CAC"/>
    <w:rsid w:val="00492D6E"/>
    <w:rsid w:val="0049391D"/>
    <w:rsid w:val="00493CD4"/>
    <w:rsid w:val="00494278"/>
    <w:rsid w:val="00494F0D"/>
    <w:rsid w:val="004951AA"/>
    <w:rsid w:val="00495930"/>
    <w:rsid w:val="00495E66"/>
    <w:rsid w:val="00496126"/>
    <w:rsid w:val="004974C7"/>
    <w:rsid w:val="00497EA1"/>
    <w:rsid w:val="004A0A4B"/>
    <w:rsid w:val="004A0B03"/>
    <w:rsid w:val="004A1112"/>
    <w:rsid w:val="004A1289"/>
    <w:rsid w:val="004A1415"/>
    <w:rsid w:val="004A1F0D"/>
    <w:rsid w:val="004A2AAC"/>
    <w:rsid w:val="004A2AF2"/>
    <w:rsid w:val="004A3FCD"/>
    <w:rsid w:val="004A4579"/>
    <w:rsid w:val="004A45CE"/>
    <w:rsid w:val="004A4AF4"/>
    <w:rsid w:val="004A4E84"/>
    <w:rsid w:val="004A507C"/>
    <w:rsid w:val="004A50D5"/>
    <w:rsid w:val="004A5251"/>
    <w:rsid w:val="004A59C0"/>
    <w:rsid w:val="004A5A50"/>
    <w:rsid w:val="004A626C"/>
    <w:rsid w:val="004A7192"/>
    <w:rsid w:val="004A7790"/>
    <w:rsid w:val="004A7854"/>
    <w:rsid w:val="004A7D13"/>
    <w:rsid w:val="004A7D69"/>
    <w:rsid w:val="004B01A0"/>
    <w:rsid w:val="004B03A8"/>
    <w:rsid w:val="004B0A55"/>
    <w:rsid w:val="004B145A"/>
    <w:rsid w:val="004B1545"/>
    <w:rsid w:val="004B1AAC"/>
    <w:rsid w:val="004B22D8"/>
    <w:rsid w:val="004B29A0"/>
    <w:rsid w:val="004B29FC"/>
    <w:rsid w:val="004B2AA1"/>
    <w:rsid w:val="004B2DF3"/>
    <w:rsid w:val="004B40B5"/>
    <w:rsid w:val="004B44D0"/>
    <w:rsid w:val="004B4923"/>
    <w:rsid w:val="004B5F1C"/>
    <w:rsid w:val="004B5F96"/>
    <w:rsid w:val="004B6471"/>
    <w:rsid w:val="004B6C5B"/>
    <w:rsid w:val="004C004D"/>
    <w:rsid w:val="004C04CD"/>
    <w:rsid w:val="004C053E"/>
    <w:rsid w:val="004C0663"/>
    <w:rsid w:val="004C0BCC"/>
    <w:rsid w:val="004C13DF"/>
    <w:rsid w:val="004C1A9E"/>
    <w:rsid w:val="004C455E"/>
    <w:rsid w:val="004C4B09"/>
    <w:rsid w:val="004C55B0"/>
    <w:rsid w:val="004C59FE"/>
    <w:rsid w:val="004C768C"/>
    <w:rsid w:val="004D019F"/>
    <w:rsid w:val="004D023E"/>
    <w:rsid w:val="004D029E"/>
    <w:rsid w:val="004D039F"/>
    <w:rsid w:val="004D098B"/>
    <w:rsid w:val="004D0D94"/>
    <w:rsid w:val="004D16B8"/>
    <w:rsid w:val="004D1825"/>
    <w:rsid w:val="004D1C79"/>
    <w:rsid w:val="004D21C0"/>
    <w:rsid w:val="004D257E"/>
    <w:rsid w:val="004D260F"/>
    <w:rsid w:val="004D334C"/>
    <w:rsid w:val="004D365E"/>
    <w:rsid w:val="004D3669"/>
    <w:rsid w:val="004D36C6"/>
    <w:rsid w:val="004D3AEB"/>
    <w:rsid w:val="004D3ED1"/>
    <w:rsid w:val="004D44AB"/>
    <w:rsid w:val="004D4948"/>
    <w:rsid w:val="004D4B95"/>
    <w:rsid w:val="004D4EA5"/>
    <w:rsid w:val="004D4F87"/>
    <w:rsid w:val="004D5944"/>
    <w:rsid w:val="004D6183"/>
    <w:rsid w:val="004D7D96"/>
    <w:rsid w:val="004E03FC"/>
    <w:rsid w:val="004E1437"/>
    <w:rsid w:val="004E168C"/>
    <w:rsid w:val="004E1D2D"/>
    <w:rsid w:val="004E232C"/>
    <w:rsid w:val="004E2450"/>
    <w:rsid w:val="004E29E6"/>
    <w:rsid w:val="004E2E77"/>
    <w:rsid w:val="004E2E91"/>
    <w:rsid w:val="004E35BF"/>
    <w:rsid w:val="004E367B"/>
    <w:rsid w:val="004E414B"/>
    <w:rsid w:val="004E4332"/>
    <w:rsid w:val="004E444F"/>
    <w:rsid w:val="004E4A0F"/>
    <w:rsid w:val="004E4DA4"/>
    <w:rsid w:val="004E578C"/>
    <w:rsid w:val="004E59DE"/>
    <w:rsid w:val="004E60EA"/>
    <w:rsid w:val="004E61B2"/>
    <w:rsid w:val="004E6BB1"/>
    <w:rsid w:val="004E6C15"/>
    <w:rsid w:val="004E7FF4"/>
    <w:rsid w:val="004F0147"/>
    <w:rsid w:val="004F0860"/>
    <w:rsid w:val="004F0E7C"/>
    <w:rsid w:val="004F1A7C"/>
    <w:rsid w:val="004F23BA"/>
    <w:rsid w:val="004F2463"/>
    <w:rsid w:val="004F2B97"/>
    <w:rsid w:val="004F2C28"/>
    <w:rsid w:val="004F3221"/>
    <w:rsid w:val="004F423F"/>
    <w:rsid w:val="004F4246"/>
    <w:rsid w:val="004F47DE"/>
    <w:rsid w:val="004F4893"/>
    <w:rsid w:val="004F5209"/>
    <w:rsid w:val="004F59A4"/>
    <w:rsid w:val="004F608F"/>
    <w:rsid w:val="004F6ADF"/>
    <w:rsid w:val="004F6C58"/>
    <w:rsid w:val="004F709C"/>
    <w:rsid w:val="004F75E0"/>
    <w:rsid w:val="00500E04"/>
    <w:rsid w:val="00501275"/>
    <w:rsid w:val="005012E9"/>
    <w:rsid w:val="00501FBB"/>
    <w:rsid w:val="00502036"/>
    <w:rsid w:val="00502053"/>
    <w:rsid w:val="005023F2"/>
    <w:rsid w:val="0050263D"/>
    <w:rsid w:val="00502A9F"/>
    <w:rsid w:val="00502C70"/>
    <w:rsid w:val="00502FCC"/>
    <w:rsid w:val="00503663"/>
    <w:rsid w:val="00503709"/>
    <w:rsid w:val="00503CE8"/>
    <w:rsid w:val="005042D2"/>
    <w:rsid w:val="0050462E"/>
    <w:rsid w:val="00504802"/>
    <w:rsid w:val="0050635D"/>
    <w:rsid w:val="00506601"/>
    <w:rsid w:val="0050664E"/>
    <w:rsid w:val="00506956"/>
    <w:rsid w:val="00506F49"/>
    <w:rsid w:val="005073BB"/>
    <w:rsid w:val="005077B1"/>
    <w:rsid w:val="0050792A"/>
    <w:rsid w:val="00510258"/>
    <w:rsid w:val="005102C6"/>
    <w:rsid w:val="0051195C"/>
    <w:rsid w:val="005120F6"/>
    <w:rsid w:val="005127B4"/>
    <w:rsid w:val="005127E6"/>
    <w:rsid w:val="00512830"/>
    <w:rsid w:val="00512F5F"/>
    <w:rsid w:val="00513F0C"/>
    <w:rsid w:val="00514178"/>
    <w:rsid w:val="005146CB"/>
    <w:rsid w:val="005147DD"/>
    <w:rsid w:val="00514A73"/>
    <w:rsid w:val="005152D7"/>
    <w:rsid w:val="00515759"/>
    <w:rsid w:val="00515D5F"/>
    <w:rsid w:val="00516BD3"/>
    <w:rsid w:val="0051705C"/>
    <w:rsid w:val="00517395"/>
    <w:rsid w:val="00517DFA"/>
    <w:rsid w:val="005206FA"/>
    <w:rsid w:val="00520782"/>
    <w:rsid w:val="005208BD"/>
    <w:rsid w:val="005220E1"/>
    <w:rsid w:val="0052220C"/>
    <w:rsid w:val="00522252"/>
    <w:rsid w:val="00523BE7"/>
    <w:rsid w:val="005240C6"/>
    <w:rsid w:val="00524181"/>
    <w:rsid w:val="00524231"/>
    <w:rsid w:val="00524498"/>
    <w:rsid w:val="00524534"/>
    <w:rsid w:val="00524857"/>
    <w:rsid w:val="00524C35"/>
    <w:rsid w:val="0052547E"/>
    <w:rsid w:val="005254E8"/>
    <w:rsid w:val="00525731"/>
    <w:rsid w:val="00525A73"/>
    <w:rsid w:val="00526173"/>
    <w:rsid w:val="00526D11"/>
    <w:rsid w:val="00526DF9"/>
    <w:rsid w:val="00526F30"/>
    <w:rsid w:val="00527D89"/>
    <w:rsid w:val="00527E89"/>
    <w:rsid w:val="00527F22"/>
    <w:rsid w:val="005300E2"/>
    <w:rsid w:val="005302B0"/>
    <w:rsid w:val="00530DF2"/>
    <w:rsid w:val="005312E0"/>
    <w:rsid w:val="005314BB"/>
    <w:rsid w:val="00531A35"/>
    <w:rsid w:val="00531D6B"/>
    <w:rsid w:val="00532363"/>
    <w:rsid w:val="005327F4"/>
    <w:rsid w:val="005336D3"/>
    <w:rsid w:val="005338F4"/>
    <w:rsid w:val="00533DF6"/>
    <w:rsid w:val="005343F2"/>
    <w:rsid w:val="00534434"/>
    <w:rsid w:val="00535451"/>
    <w:rsid w:val="0053559D"/>
    <w:rsid w:val="00535EA3"/>
    <w:rsid w:val="00535F6F"/>
    <w:rsid w:val="00536CC4"/>
    <w:rsid w:val="00536E98"/>
    <w:rsid w:val="00537124"/>
    <w:rsid w:val="00537392"/>
    <w:rsid w:val="00537821"/>
    <w:rsid w:val="00540F98"/>
    <w:rsid w:val="00541D7E"/>
    <w:rsid w:val="00541FFB"/>
    <w:rsid w:val="005423C3"/>
    <w:rsid w:val="005428C4"/>
    <w:rsid w:val="00542D1D"/>
    <w:rsid w:val="00543EBB"/>
    <w:rsid w:val="00544436"/>
    <w:rsid w:val="00544B47"/>
    <w:rsid w:val="00544D98"/>
    <w:rsid w:val="00544FF8"/>
    <w:rsid w:val="005454C9"/>
    <w:rsid w:val="00545606"/>
    <w:rsid w:val="00545BFE"/>
    <w:rsid w:val="00545EA8"/>
    <w:rsid w:val="005467E2"/>
    <w:rsid w:val="00546A8C"/>
    <w:rsid w:val="0054763F"/>
    <w:rsid w:val="005500A9"/>
    <w:rsid w:val="00550ACF"/>
    <w:rsid w:val="00550F65"/>
    <w:rsid w:val="00551FBE"/>
    <w:rsid w:val="00552316"/>
    <w:rsid w:val="0055234B"/>
    <w:rsid w:val="0055360E"/>
    <w:rsid w:val="0055389A"/>
    <w:rsid w:val="00553AB1"/>
    <w:rsid w:val="00553F2D"/>
    <w:rsid w:val="00554168"/>
    <w:rsid w:val="00555437"/>
    <w:rsid w:val="0055580B"/>
    <w:rsid w:val="00555B5D"/>
    <w:rsid w:val="00556B0E"/>
    <w:rsid w:val="00557838"/>
    <w:rsid w:val="005578C9"/>
    <w:rsid w:val="00557A6C"/>
    <w:rsid w:val="005606C4"/>
    <w:rsid w:val="00560722"/>
    <w:rsid w:val="0056084F"/>
    <w:rsid w:val="005614DF"/>
    <w:rsid w:val="00561EA9"/>
    <w:rsid w:val="00561F9E"/>
    <w:rsid w:val="005624BC"/>
    <w:rsid w:val="0056337B"/>
    <w:rsid w:val="00563D9D"/>
    <w:rsid w:val="0056411C"/>
    <w:rsid w:val="005641C9"/>
    <w:rsid w:val="00564B28"/>
    <w:rsid w:val="00565456"/>
    <w:rsid w:val="005660E3"/>
    <w:rsid w:val="0056655F"/>
    <w:rsid w:val="00566DEC"/>
    <w:rsid w:val="0057043B"/>
    <w:rsid w:val="005708DE"/>
    <w:rsid w:val="0057092A"/>
    <w:rsid w:val="00571143"/>
    <w:rsid w:val="00571E0A"/>
    <w:rsid w:val="00572476"/>
    <w:rsid w:val="00572571"/>
    <w:rsid w:val="0057290B"/>
    <w:rsid w:val="00572B64"/>
    <w:rsid w:val="00573010"/>
    <w:rsid w:val="005730E1"/>
    <w:rsid w:val="0057383C"/>
    <w:rsid w:val="00573F1A"/>
    <w:rsid w:val="005742FE"/>
    <w:rsid w:val="005743CB"/>
    <w:rsid w:val="00574469"/>
    <w:rsid w:val="0057513C"/>
    <w:rsid w:val="00575A19"/>
    <w:rsid w:val="005761AA"/>
    <w:rsid w:val="00576531"/>
    <w:rsid w:val="00576DAD"/>
    <w:rsid w:val="0057785E"/>
    <w:rsid w:val="00577AF1"/>
    <w:rsid w:val="00577AFF"/>
    <w:rsid w:val="00577DF8"/>
    <w:rsid w:val="005805AC"/>
    <w:rsid w:val="005813BC"/>
    <w:rsid w:val="00581BF0"/>
    <w:rsid w:val="00581F71"/>
    <w:rsid w:val="0058203C"/>
    <w:rsid w:val="00582A27"/>
    <w:rsid w:val="00582BE5"/>
    <w:rsid w:val="00583457"/>
    <w:rsid w:val="00583949"/>
    <w:rsid w:val="00583F30"/>
    <w:rsid w:val="0058430A"/>
    <w:rsid w:val="0058479E"/>
    <w:rsid w:val="005850AD"/>
    <w:rsid w:val="0058567E"/>
    <w:rsid w:val="00585EB7"/>
    <w:rsid w:val="00586041"/>
    <w:rsid w:val="00586321"/>
    <w:rsid w:val="00586448"/>
    <w:rsid w:val="00586729"/>
    <w:rsid w:val="005868C4"/>
    <w:rsid w:val="00586CBF"/>
    <w:rsid w:val="005875CB"/>
    <w:rsid w:val="005905EE"/>
    <w:rsid w:val="00590D2D"/>
    <w:rsid w:val="005910ED"/>
    <w:rsid w:val="005912D8"/>
    <w:rsid w:val="00591CBA"/>
    <w:rsid w:val="005920CB"/>
    <w:rsid w:val="005921A3"/>
    <w:rsid w:val="00592D3E"/>
    <w:rsid w:val="005934E5"/>
    <w:rsid w:val="00593849"/>
    <w:rsid w:val="00593857"/>
    <w:rsid w:val="005945D9"/>
    <w:rsid w:val="005946F8"/>
    <w:rsid w:val="00594D92"/>
    <w:rsid w:val="00595D63"/>
    <w:rsid w:val="005961D3"/>
    <w:rsid w:val="0059672B"/>
    <w:rsid w:val="00596AF3"/>
    <w:rsid w:val="00596FCA"/>
    <w:rsid w:val="00597509"/>
    <w:rsid w:val="00597A3E"/>
    <w:rsid w:val="00597F4D"/>
    <w:rsid w:val="00597FB4"/>
    <w:rsid w:val="005A088D"/>
    <w:rsid w:val="005A14E7"/>
    <w:rsid w:val="005A2070"/>
    <w:rsid w:val="005A3C4A"/>
    <w:rsid w:val="005A3D30"/>
    <w:rsid w:val="005A3E86"/>
    <w:rsid w:val="005A4320"/>
    <w:rsid w:val="005A49FC"/>
    <w:rsid w:val="005A4DBF"/>
    <w:rsid w:val="005A5843"/>
    <w:rsid w:val="005A589A"/>
    <w:rsid w:val="005A67EA"/>
    <w:rsid w:val="005A743D"/>
    <w:rsid w:val="005B0031"/>
    <w:rsid w:val="005B0C76"/>
    <w:rsid w:val="005B0FDA"/>
    <w:rsid w:val="005B14BE"/>
    <w:rsid w:val="005B15AE"/>
    <w:rsid w:val="005B1A78"/>
    <w:rsid w:val="005B1C23"/>
    <w:rsid w:val="005B2162"/>
    <w:rsid w:val="005B265A"/>
    <w:rsid w:val="005B2B3C"/>
    <w:rsid w:val="005B2B76"/>
    <w:rsid w:val="005B326C"/>
    <w:rsid w:val="005B3778"/>
    <w:rsid w:val="005B37D2"/>
    <w:rsid w:val="005B3B3E"/>
    <w:rsid w:val="005B3B58"/>
    <w:rsid w:val="005B425C"/>
    <w:rsid w:val="005B4A7F"/>
    <w:rsid w:val="005B4C18"/>
    <w:rsid w:val="005B57E2"/>
    <w:rsid w:val="005B62C9"/>
    <w:rsid w:val="005B76FE"/>
    <w:rsid w:val="005B7997"/>
    <w:rsid w:val="005C0007"/>
    <w:rsid w:val="005C0EEC"/>
    <w:rsid w:val="005C274A"/>
    <w:rsid w:val="005C292E"/>
    <w:rsid w:val="005C36C8"/>
    <w:rsid w:val="005C3742"/>
    <w:rsid w:val="005C3CF3"/>
    <w:rsid w:val="005C3E9E"/>
    <w:rsid w:val="005C4055"/>
    <w:rsid w:val="005C410D"/>
    <w:rsid w:val="005C43F2"/>
    <w:rsid w:val="005C4A77"/>
    <w:rsid w:val="005C4AC1"/>
    <w:rsid w:val="005C51EF"/>
    <w:rsid w:val="005C522D"/>
    <w:rsid w:val="005C55D5"/>
    <w:rsid w:val="005C5C45"/>
    <w:rsid w:val="005C6139"/>
    <w:rsid w:val="005C718A"/>
    <w:rsid w:val="005D003B"/>
    <w:rsid w:val="005D0A26"/>
    <w:rsid w:val="005D167D"/>
    <w:rsid w:val="005D2D08"/>
    <w:rsid w:val="005D43D5"/>
    <w:rsid w:val="005D57FB"/>
    <w:rsid w:val="005D5D4E"/>
    <w:rsid w:val="005D6056"/>
    <w:rsid w:val="005D6F4A"/>
    <w:rsid w:val="005D7116"/>
    <w:rsid w:val="005D7EC9"/>
    <w:rsid w:val="005E05A2"/>
    <w:rsid w:val="005E06A7"/>
    <w:rsid w:val="005E0B0D"/>
    <w:rsid w:val="005E0B25"/>
    <w:rsid w:val="005E1023"/>
    <w:rsid w:val="005E1308"/>
    <w:rsid w:val="005E1339"/>
    <w:rsid w:val="005E1AB2"/>
    <w:rsid w:val="005E1CD7"/>
    <w:rsid w:val="005E1F11"/>
    <w:rsid w:val="005E212B"/>
    <w:rsid w:val="005E226D"/>
    <w:rsid w:val="005E2625"/>
    <w:rsid w:val="005E2F88"/>
    <w:rsid w:val="005E4364"/>
    <w:rsid w:val="005E5088"/>
    <w:rsid w:val="005E5B17"/>
    <w:rsid w:val="005E5D16"/>
    <w:rsid w:val="005E654A"/>
    <w:rsid w:val="005E69C3"/>
    <w:rsid w:val="005E6BAA"/>
    <w:rsid w:val="005E70F5"/>
    <w:rsid w:val="005E7435"/>
    <w:rsid w:val="005E7C49"/>
    <w:rsid w:val="005E7C5B"/>
    <w:rsid w:val="005F0EE6"/>
    <w:rsid w:val="005F1296"/>
    <w:rsid w:val="005F1E0D"/>
    <w:rsid w:val="005F2752"/>
    <w:rsid w:val="005F35B0"/>
    <w:rsid w:val="005F35FC"/>
    <w:rsid w:val="005F3C52"/>
    <w:rsid w:val="005F4147"/>
    <w:rsid w:val="005F4989"/>
    <w:rsid w:val="005F5BBA"/>
    <w:rsid w:val="005F5CF4"/>
    <w:rsid w:val="005F624E"/>
    <w:rsid w:val="005F67D2"/>
    <w:rsid w:val="005F6B82"/>
    <w:rsid w:val="005F6F08"/>
    <w:rsid w:val="005F79C2"/>
    <w:rsid w:val="006008DA"/>
    <w:rsid w:val="00600A6C"/>
    <w:rsid w:val="00600DF5"/>
    <w:rsid w:val="006017C3"/>
    <w:rsid w:val="006018A6"/>
    <w:rsid w:val="00601B3A"/>
    <w:rsid w:val="00602996"/>
    <w:rsid w:val="00602B14"/>
    <w:rsid w:val="0060307B"/>
    <w:rsid w:val="0060322E"/>
    <w:rsid w:val="00603880"/>
    <w:rsid w:val="00603D9D"/>
    <w:rsid w:val="006047A0"/>
    <w:rsid w:val="00604BF8"/>
    <w:rsid w:val="006050B4"/>
    <w:rsid w:val="00605C36"/>
    <w:rsid w:val="00605DCC"/>
    <w:rsid w:val="00605E31"/>
    <w:rsid w:val="00605FA6"/>
    <w:rsid w:val="00606787"/>
    <w:rsid w:val="006068D1"/>
    <w:rsid w:val="00606920"/>
    <w:rsid w:val="00606B5C"/>
    <w:rsid w:val="006078D0"/>
    <w:rsid w:val="00610E69"/>
    <w:rsid w:val="0061109A"/>
    <w:rsid w:val="006111F6"/>
    <w:rsid w:val="00611E9C"/>
    <w:rsid w:val="006122C0"/>
    <w:rsid w:val="00612658"/>
    <w:rsid w:val="00613188"/>
    <w:rsid w:val="00613281"/>
    <w:rsid w:val="0061372E"/>
    <w:rsid w:val="006139EF"/>
    <w:rsid w:val="00613A7D"/>
    <w:rsid w:val="006142BF"/>
    <w:rsid w:val="00614BED"/>
    <w:rsid w:val="00614BFE"/>
    <w:rsid w:val="00615FBD"/>
    <w:rsid w:val="00616D4F"/>
    <w:rsid w:val="00616E6B"/>
    <w:rsid w:val="006172CC"/>
    <w:rsid w:val="006177D9"/>
    <w:rsid w:val="00617B40"/>
    <w:rsid w:val="006206D4"/>
    <w:rsid w:val="006208B0"/>
    <w:rsid w:val="00621232"/>
    <w:rsid w:val="006212B0"/>
    <w:rsid w:val="006212DB"/>
    <w:rsid w:val="006216A0"/>
    <w:rsid w:val="006216C8"/>
    <w:rsid w:val="00621B86"/>
    <w:rsid w:val="00621D90"/>
    <w:rsid w:val="00621F2D"/>
    <w:rsid w:val="00621FB1"/>
    <w:rsid w:val="00622113"/>
    <w:rsid w:val="0062288B"/>
    <w:rsid w:val="00622D6F"/>
    <w:rsid w:val="00622D95"/>
    <w:rsid w:val="00623274"/>
    <w:rsid w:val="00623547"/>
    <w:rsid w:val="006237C0"/>
    <w:rsid w:val="00623C0F"/>
    <w:rsid w:val="0062414B"/>
    <w:rsid w:val="00624AA5"/>
    <w:rsid w:val="006254A9"/>
    <w:rsid w:val="006255AA"/>
    <w:rsid w:val="006256B6"/>
    <w:rsid w:val="006257D9"/>
    <w:rsid w:val="00625D80"/>
    <w:rsid w:val="00626691"/>
    <w:rsid w:val="00626CC8"/>
    <w:rsid w:val="00627E6D"/>
    <w:rsid w:val="00630B8B"/>
    <w:rsid w:val="0063101B"/>
    <w:rsid w:val="00631A2A"/>
    <w:rsid w:val="0063240A"/>
    <w:rsid w:val="00632540"/>
    <w:rsid w:val="00632C96"/>
    <w:rsid w:val="00633C00"/>
    <w:rsid w:val="00633CEB"/>
    <w:rsid w:val="00633F73"/>
    <w:rsid w:val="006345CC"/>
    <w:rsid w:val="00634A52"/>
    <w:rsid w:val="00635250"/>
    <w:rsid w:val="00635638"/>
    <w:rsid w:val="00636023"/>
    <w:rsid w:val="00636110"/>
    <w:rsid w:val="00636633"/>
    <w:rsid w:val="00636731"/>
    <w:rsid w:val="00636965"/>
    <w:rsid w:val="00640100"/>
    <w:rsid w:val="00640441"/>
    <w:rsid w:val="00641E65"/>
    <w:rsid w:val="00642241"/>
    <w:rsid w:val="00642552"/>
    <w:rsid w:val="00642F8C"/>
    <w:rsid w:val="00643460"/>
    <w:rsid w:val="00643599"/>
    <w:rsid w:val="0064484B"/>
    <w:rsid w:val="00644C68"/>
    <w:rsid w:val="006456F1"/>
    <w:rsid w:val="00645B59"/>
    <w:rsid w:val="00645EFF"/>
    <w:rsid w:val="006460B8"/>
    <w:rsid w:val="00646B7B"/>
    <w:rsid w:val="00646DE3"/>
    <w:rsid w:val="00646F79"/>
    <w:rsid w:val="00647FEC"/>
    <w:rsid w:val="006501C8"/>
    <w:rsid w:val="00650651"/>
    <w:rsid w:val="00650683"/>
    <w:rsid w:val="0065074A"/>
    <w:rsid w:val="0065080F"/>
    <w:rsid w:val="00650A9D"/>
    <w:rsid w:val="00651B7D"/>
    <w:rsid w:val="00652568"/>
    <w:rsid w:val="00652BAB"/>
    <w:rsid w:val="00652C8F"/>
    <w:rsid w:val="0065328F"/>
    <w:rsid w:val="006532DD"/>
    <w:rsid w:val="006535D2"/>
    <w:rsid w:val="00653628"/>
    <w:rsid w:val="0065406A"/>
    <w:rsid w:val="00655020"/>
    <w:rsid w:val="00655198"/>
    <w:rsid w:val="0065659A"/>
    <w:rsid w:val="00656E0F"/>
    <w:rsid w:val="0065710A"/>
    <w:rsid w:val="006576F4"/>
    <w:rsid w:val="00657854"/>
    <w:rsid w:val="00657D34"/>
    <w:rsid w:val="00660E9D"/>
    <w:rsid w:val="00660F97"/>
    <w:rsid w:val="00661088"/>
    <w:rsid w:val="006620BE"/>
    <w:rsid w:val="0066329D"/>
    <w:rsid w:val="00664220"/>
    <w:rsid w:val="006645C5"/>
    <w:rsid w:val="00664E64"/>
    <w:rsid w:val="00664E81"/>
    <w:rsid w:val="00664EFD"/>
    <w:rsid w:val="00665271"/>
    <w:rsid w:val="0066660B"/>
    <w:rsid w:val="00667324"/>
    <w:rsid w:val="00667767"/>
    <w:rsid w:val="00667EC9"/>
    <w:rsid w:val="006701B1"/>
    <w:rsid w:val="00670E35"/>
    <w:rsid w:val="00670F19"/>
    <w:rsid w:val="00671186"/>
    <w:rsid w:val="00671AAA"/>
    <w:rsid w:val="00671D80"/>
    <w:rsid w:val="006731A9"/>
    <w:rsid w:val="0067344E"/>
    <w:rsid w:val="00673C4A"/>
    <w:rsid w:val="00673FC3"/>
    <w:rsid w:val="006740F6"/>
    <w:rsid w:val="00675B52"/>
    <w:rsid w:val="00675D65"/>
    <w:rsid w:val="00676C88"/>
    <w:rsid w:val="00676FF3"/>
    <w:rsid w:val="00677121"/>
    <w:rsid w:val="0068053C"/>
    <w:rsid w:val="00680C4D"/>
    <w:rsid w:val="00681AE5"/>
    <w:rsid w:val="006828CD"/>
    <w:rsid w:val="006828F8"/>
    <w:rsid w:val="00682908"/>
    <w:rsid w:val="0068332B"/>
    <w:rsid w:val="00684A32"/>
    <w:rsid w:val="006854B5"/>
    <w:rsid w:val="0068573E"/>
    <w:rsid w:val="006867E3"/>
    <w:rsid w:val="00687888"/>
    <w:rsid w:val="00687AAE"/>
    <w:rsid w:val="0069015C"/>
    <w:rsid w:val="00690179"/>
    <w:rsid w:val="00690E4B"/>
    <w:rsid w:val="00691918"/>
    <w:rsid w:val="00691C52"/>
    <w:rsid w:val="0069381F"/>
    <w:rsid w:val="00693AE3"/>
    <w:rsid w:val="00693BCD"/>
    <w:rsid w:val="006944E1"/>
    <w:rsid w:val="00694697"/>
    <w:rsid w:val="006949D5"/>
    <w:rsid w:val="00694B18"/>
    <w:rsid w:val="00695578"/>
    <w:rsid w:val="0069569E"/>
    <w:rsid w:val="006966E5"/>
    <w:rsid w:val="00697229"/>
    <w:rsid w:val="006975D0"/>
    <w:rsid w:val="006978E0"/>
    <w:rsid w:val="00697927"/>
    <w:rsid w:val="006A07D5"/>
    <w:rsid w:val="006A0D35"/>
    <w:rsid w:val="006A163A"/>
    <w:rsid w:val="006A1891"/>
    <w:rsid w:val="006A1AE2"/>
    <w:rsid w:val="006A2179"/>
    <w:rsid w:val="006A2F14"/>
    <w:rsid w:val="006A3DA6"/>
    <w:rsid w:val="006A3E35"/>
    <w:rsid w:val="006A4D44"/>
    <w:rsid w:val="006A572B"/>
    <w:rsid w:val="006A5CC7"/>
    <w:rsid w:val="006A610A"/>
    <w:rsid w:val="006A7247"/>
    <w:rsid w:val="006B0F1E"/>
    <w:rsid w:val="006B116F"/>
    <w:rsid w:val="006B18B2"/>
    <w:rsid w:val="006B2037"/>
    <w:rsid w:val="006B29A6"/>
    <w:rsid w:val="006B2D14"/>
    <w:rsid w:val="006B2F10"/>
    <w:rsid w:val="006B3531"/>
    <w:rsid w:val="006B3CD4"/>
    <w:rsid w:val="006B4CD3"/>
    <w:rsid w:val="006B590C"/>
    <w:rsid w:val="006B5ADE"/>
    <w:rsid w:val="006B5E51"/>
    <w:rsid w:val="006B6671"/>
    <w:rsid w:val="006B7394"/>
    <w:rsid w:val="006B74EF"/>
    <w:rsid w:val="006B756C"/>
    <w:rsid w:val="006B7F6D"/>
    <w:rsid w:val="006C07A5"/>
    <w:rsid w:val="006C0B4E"/>
    <w:rsid w:val="006C14A4"/>
    <w:rsid w:val="006C153E"/>
    <w:rsid w:val="006C2FDF"/>
    <w:rsid w:val="006C30BD"/>
    <w:rsid w:val="006C3AF5"/>
    <w:rsid w:val="006C5100"/>
    <w:rsid w:val="006C5164"/>
    <w:rsid w:val="006C6CB4"/>
    <w:rsid w:val="006C7079"/>
    <w:rsid w:val="006C71F8"/>
    <w:rsid w:val="006C74CC"/>
    <w:rsid w:val="006C7A1E"/>
    <w:rsid w:val="006D088C"/>
    <w:rsid w:val="006D1318"/>
    <w:rsid w:val="006D18D9"/>
    <w:rsid w:val="006D1B51"/>
    <w:rsid w:val="006D1B80"/>
    <w:rsid w:val="006D1E11"/>
    <w:rsid w:val="006D25B3"/>
    <w:rsid w:val="006D29ED"/>
    <w:rsid w:val="006D3A25"/>
    <w:rsid w:val="006D4F17"/>
    <w:rsid w:val="006D4F28"/>
    <w:rsid w:val="006D52FC"/>
    <w:rsid w:val="006D695B"/>
    <w:rsid w:val="006D6B01"/>
    <w:rsid w:val="006D74A6"/>
    <w:rsid w:val="006D7E97"/>
    <w:rsid w:val="006E00C0"/>
    <w:rsid w:val="006E0E05"/>
    <w:rsid w:val="006E0FC6"/>
    <w:rsid w:val="006E1259"/>
    <w:rsid w:val="006E1F07"/>
    <w:rsid w:val="006E2C5B"/>
    <w:rsid w:val="006E2D5D"/>
    <w:rsid w:val="006E30F1"/>
    <w:rsid w:val="006E323F"/>
    <w:rsid w:val="006E329D"/>
    <w:rsid w:val="006E33A7"/>
    <w:rsid w:val="006E3D53"/>
    <w:rsid w:val="006E43D3"/>
    <w:rsid w:val="006E4B0B"/>
    <w:rsid w:val="006E5161"/>
    <w:rsid w:val="006E57C4"/>
    <w:rsid w:val="006E622B"/>
    <w:rsid w:val="006F09A7"/>
    <w:rsid w:val="006F0CEB"/>
    <w:rsid w:val="006F1109"/>
    <w:rsid w:val="006F166B"/>
    <w:rsid w:val="006F173B"/>
    <w:rsid w:val="006F1A88"/>
    <w:rsid w:val="006F25E1"/>
    <w:rsid w:val="006F2AEE"/>
    <w:rsid w:val="006F37A1"/>
    <w:rsid w:val="006F392D"/>
    <w:rsid w:val="006F4DB2"/>
    <w:rsid w:val="006F5427"/>
    <w:rsid w:val="006F5549"/>
    <w:rsid w:val="006F5F8D"/>
    <w:rsid w:val="006F655D"/>
    <w:rsid w:val="006F6589"/>
    <w:rsid w:val="006F7A6D"/>
    <w:rsid w:val="006F7FA6"/>
    <w:rsid w:val="00700319"/>
    <w:rsid w:val="00700B21"/>
    <w:rsid w:val="00700B95"/>
    <w:rsid w:val="0070139F"/>
    <w:rsid w:val="007019A6"/>
    <w:rsid w:val="00701A15"/>
    <w:rsid w:val="00701B61"/>
    <w:rsid w:val="007025DA"/>
    <w:rsid w:val="0070263F"/>
    <w:rsid w:val="007026A7"/>
    <w:rsid w:val="0070279F"/>
    <w:rsid w:val="007032F1"/>
    <w:rsid w:val="00703566"/>
    <w:rsid w:val="00703994"/>
    <w:rsid w:val="00704208"/>
    <w:rsid w:val="00704DA7"/>
    <w:rsid w:val="00704E16"/>
    <w:rsid w:val="00706274"/>
    <w:rsid w:val="00706550"/>
    <w:rsid w:val="00706D56"/>
    <w:rsid w:val="00707847"/>
    <w:rsid w:val="00710290"/>
    <w:rsid w:val="00710D91"/>
    <w:rsid w:val="00711620"/>
    <w:rsid w:val="00711BC0"/>
    <w:rsid w:val="00712425"/>
    <w:rsid w:val="0071250B"/>
    <w:rsid w:val="00713199"/>
    <w:rsid w:val="007137E7"/>
    <w:rsid w:val="007150A7"/>
    <w:rsid w:val="007154A7"/>
    <w:rsid w:val="00715BE7"/>
    <w:rsid w:val="00716421"/>
    <w:rsid w:val="00716BF5"/>
    <w:rsid w:val="00716BF8"/>
    <w:rsid w:val="007174A2"/>
    <w:rsid w:val="0071775E"/>
    <w:rsid w:val="00717CC3"/>
    <w:rsid w:val="00717D28"/>
    <w:rsid w:val="0072025D"/>
    <w:rsid w:val="0072054B"/>
    <w:rsid w:val="00720B51"/>
    <w:rsid w:val="007212CA"/>
    <w:rsid w:val="00721B40"/>
    <w:rsid w:val="00721CE9"/>
    <w:rsid w:val="0072200F"/>
    <w:rsid w:val="0072206E"/>
    <w:rsid w:val="007222F0"/>
    <w:rsid w:val="00723739"/>
    <w:rsid w:val="00723920"/>
    <w:rsid w:val="007247F3"/>
    <w:rsid w:val="0072494C"/>
    <w:rsid w:val="00724AED"/>
    <w:rsid w:val="007253D8"/>
    <w:rsid w:val="00725E3D"/>
    <w:rsid w:val="00725ED4"/>
    <w:rsid w:val="007260D1"/>
    <w:rsid w:val="0072621A"/>
    <w:rsid w:val="007262AB"/>
    <w:rsid w:val="007304DE"/>
    <w:rsid w:val="007305A3"/>
    <w:rsid w:val="00730B43"/>
    <w:rsid w:val="007312E5"/>
    <w:rsid w:val="007315B9"/>
    <w:rsid w:val="00731C10"/>
    <w:rsid w:val="00731CB9"/>
    <w:rsid w:val="007330D7"/>
    <w:rsid w:val="00733C5C"/>
    <w:rsid w:val="00733FDE"/>
    <w:rsid w:val="0073423C"/>
    <w:rsid w:val="007344C9"/>
    <w:rsid w:val="00734BD1"/>
    <w:rsid w:val="00734BFC"/>
    <w:rsid w:val="007354C1"/>
    <w:rsid w:val="00735824"/>
    <w:rsid w:val="00735D01"/>
    <w:rsid w:val="00735D1D"/>
    <w:rsid w:val="00736337"/>
    <w:rsid w:val="007366D4"/>
    <w:rsid w:val="007369AF"/>
    <w:rsid w:val="00737452"/>
    <w:rsid w:val="00737643"/>
    <w:rsid w:val="00737F10"/>
    <w:rsid w:val="00740524"/>
    <w:rsid w:val="007406EE"/>
    <w:rsid w:val="00740789"/>
    <w:rsid w:val="00740A07"/>
    <w:rsid w:val="00741D03"/>
    <w:rsid w:val="007420CC"/>
    <w:rsid w:val="00742258"/>
    <w:rsid w:val="00742361"/>
    <w:rsid w:val="00744199"/>
    <w:rsid w:val="00745D0E"/>
    <w:rsid w:val="007474D1"/>
    <w:rsid w:val="00747A5C"/>
    <w:rsid w:val="00747B7B"/>
    <w:rsid w:val="0075051E"/>
    <w:rsid w:val="007508CF"/>
    <w:rsid w:val="00751F31"/>
    <w:rsid w:val="00751FC0"/>
    <w:rsid w:val="00752766"/>
    <w:rsid w:val="0075393E"/>
    <w:rsid w:val="00753EB1"/>
    <w:rsid w:val="007540F7"/>
    <w:rsid w:val="00754F1C"/>
    <w:rsid w:val="00755331"/>
    <w:rsid w:val="00755CB6"/>
    <w:rsid w:val="00756109"/>
    <w:rsid w:val="0075664A"/>
    <w:rsid w:val="00757649"/>
    <w:rsid w:val="00757989"/>
    <w:rsid w:val="00761536"/>
    <w:rsid w:val="00761584"/>
    <w:rsid w:val="0076173C"/>
    <w:rsid w:val="0076281F"/>
    <w:rsid w:val="007628B4"/>
    <w:rsid w:val="00762970"/>
    <w:rsid w:val="00762FA8"/>
    <w:rsid w:val="007630EB"/>
    <w:rsid w:val="007634C4"/>
    <w:rsid w:val="00763626"/>
    <w:rsid w:val="00763632"/>
    <w:rsid w:val="007644EE"/>
    <w:rsid w:val="007649D8"/>
    <w:rsid w:val="00764D1C"/>
    <w:rsid w:val="00766539"/>
    <w:rsid w:val="00766815"/>
    <w:rsid w:val="00766837"/>
    <w:rsid w:val="00767405"/>
    <w:rsid w:val="00767461"/>
    <w:rsid w:val="007703CF"/>
    <w:rsid w:val="0077085D"/>
    <w:rsid w:val="00770AD4"/>
    <w:rsid w:val="00771016"/>
    <w:rsid w:val="00771639"/>
    <w:rsid w:val="00771785"/>
    <w:rsid w:val="00771949"/>
    <w:rsid w:val="00771C5A"/>
    <w:rsid w:val="00771F6D"/>
    <w:rsid w:val="007722F4"/>
    <w:rsid w:val="00773B90"/>
    <w:rsid w:val="00773CA9"/>
    <w:rsid w:val="00774583"/>
    <w:rsid w:val="00774E80"/>
    <w:rsid w:val="0077520C"/>
    <w:rsid w:val="00775309"/>
    <w:rsid w:val="00776003"/>
    <w:rsid w:val="0077630A"/>
    <w:rsid w:val="007763FF"/>
    <w:rsid w:val="00776968"/>
    <w:rsid w:val="00776B9A"/>
    <w:rsid w:val="00776DB6"/>
    <w:rsid w:val="00777969"/>
    <w:rsid w:val="00777A32"/>
    <w:rsid w:val="00777DFC"/>
    <w:rsid w:val="0078021B"/>
    <w:rsid w:val="00780321"/>
    <w:rsid w:val="00780531"/>
    <w:rsid w:val="0078084A"/>
    <w:rsid w:val="00780ED8"/>
    <w:rsid w:val="00781706"/>
    <w:rsid w:val="00781FCF"/>
    <w:rsid w:val="007821D5"/>
    <w:rsid w:val="007828A9"/>
    <w:rsid w:val="00782FE5"/>
    <w:rsid w:val="0078335D"/>
    <w:rsid w:val="0078390A"/>
    <w:rsid w:val="00783DB8"/>
    <w:rsid w:val="007844B0"/>
    <w:rsid w:val="007846F1"/>
    <w:rsid w:val="00784A52"/>
    <w:rsid w:val="0078512B"/>
    <w:rsid w:val="007855D7"/>
    <w:rsid w:val="007860FA"/>
    <w:rsid w:val="007867A3"/>
    <w:rsid w:val="00786CF2"/>
    <w:rsid w:val="0078717F"/>
    <w:rsid w:val="00787236"/>
    <w:rsid w:val="007872A2"/>
    <w:rsid w:val="0078796A"/>
    <w:rsid w:val="00787B53"/>
    <w:rsid w:val="00787E45"/>
    <w:rsid w:val="0079006B"/>
    <w:rsid w:val="00791DBF"/>
    <w:rsid w:val="007921E7"/>
    <w:rsid w:val="007935A3"/>
    <w:rsid w:val="00794901"/>
    <w:rsid w:val="00794C40"/>
    <w:rsid w:val="0079645F"/>
    <w:rsid w:val="00796608"/>
    <w:rsid w:val="007966C2"/>
    <w:rsid w:val="00796BD7"/>
    <w:rsid w:val="00796D58"/>
    <w:rsid w:val="00797616"/>
    <w:rsid w:val="0079769C"/>
    <w:rsid w:val="0079783E"/>
    <w:rsid w:val="00797F95"/>
    <w:rsid w:val="007A0792"/>
    <w:rsid w:val="007A140A"/>
    <w:rsid w:val="007A14FF"/>
    <w:rsid w:val="007A1A1B"/>
    <w:rsid w:val="007A1C0D"/>
    <w:rsid w:val="007A1D86"/>
    <w:rsid w:val="007A1D8D"/>
    <w:rsid w:val="007A1FFA"/>
    <w:rsid w:val="007A2221"/>
    <w:rsid w:val="007A2814"/>
    <w:rsid w:val="007A2CE1"/>
    <w:rsid w:val="007A30CA"/>
    <w:rsid w:val="007A31C5"/>
    <w:rsid w:val="007A33C8"/>
    <w:rsid w:val="007A36E1"/>
    <w:rsid w:val="007A6867"/>
    <w:rsid w:val="007A6ABF"/>
    <w:rsid w:val="007A73BD"/>
    <w:rsid w:val="007A7606"/>
    <w:rsid w:val="007A772D"/>
    <w:rsid w:val="007A774D"/>
    <w:rsid w:val="007B0D02"/>
    <w:rsid w:val="007B18B7"/>
    <w:rsid w:val="007B1E62"/>
    <w:rsid w:val="007B2683"/>
    <w:rsid w:val="007B2708"/>
    <w:rsid w:val="007B27B6"/>
    <w:rsid w:val="007B27F5"/>
    <w:rsid w:val="007B2928"/>
    <w:rsid w:val="007B2A37"/>
    <w:rsid w:val="007B2DAD"/>
    <w:rsid w:val="007B3DC5"/>
    <w:rsid w:val="007B5827"/>
    <w:rsid w:val="007B586F"/>
    <w:rsid w:val="007B64F8"/>
    <w:rsid w:val="007B6C36"/>
    <w:rsid w:val="007B72C1"/>
    <w:rsid w:val="007B7525"/>
    <w:rsid w:val="007B7748"/>
    <w:rsid w:val="007B7FBF"/>
    <w:rsid w:val="007C043F"/>
    <w:rsid w:val="007C0EC2"/>
    <w:rsid w:val="007C178D"/>
    <w:rsid w:val="007C190A"/>
    <w:rsid w:val="007C1C91"/>
    <w:rsid w:val="007C1C9F"/>
    <w:rsid w:val="007C1EC6"/>
    <w:rsid w:val="007C2218"/>
    <w:rsid w:val="007C34D2"/>
    <w:rsid w:val="007C3FB4"/>
    <w:rsid w:val="007C4991"/>
    <w:rsid w:val="007C49CB"/>
    <w:rsid w:val="007C4CA6"/>
    <w:rsid w:val="007C4CC1"/>
    <w:rsid w:val="007C4EF4"/>
    <w:rsid w:val="007C5161"/>
    <w:rsid w:val="007C59DB"/>
    <w:rsid w:val="007C5E14"/>
    <w:rsid w:val="007C603B"/>
    <w:rsid w:val="007C625D"/>
    <w:rsid w:val="007C62E8"/>
    <w:rsid w:val="007C638E"/>
    <w:rsid w:val="007C7588"/>
    <w:rsid w:val="007C75FF"/>
    <w:rsid w:val="007C766D"/>
    <w:rsid w:val="007D0027"/>
    <w:rsid w:val="007D0C76"/>
    <w:rsid w:val="007D18B8"/>
    <w:rsid w:val="007D2256"/>
    <w:rsid w:val="007D3D9D"/>
    <w:rsid w:val="007D423E"/>
    <w:rsid w:val="007D4630"/>
    <w:rsid w:val="007D47B3"/>
    <w:rsid w:val="007D4B4F"/>
    <w:rsid w:val="007D5B80"/>
    <w:rsid w:val="007D6FE1"/>
    <w:rsid w:val="007D7BE9"/>
    <w:rsid w:val="007E009C"/>
    <w:rsid w:val="007E0851"/>
    <w:rsid w:val="007E146E"/>
    <w:rsid w:val="007E1CA3"/>
    <w:rsid w:val="007E1E29"/>
    <w:rsid w:val="007E20EA"/>
    <w:rsid w:val="007E244D"/>
    <w:rsid w:val="007E2A54"/>
    <w:rsid w:val="007E38E7"/>
    <w:rsid w:val="007E4A3D"/>
    <w:rsid w:val="007E4D09"/>
    <w:rsid w:val="007E4D3F"/>
    <w:rsid w:val="007E4E50"/>
    <w:rsid w:val="007E4E65"/>
    <w:rsid w:val="007E67EF"/>
    <w:rsid w:val="007E733D"/>
    <w:rsid w:val="007E78C8"/>
    <w:rsid w:val="007F0191"/>
    <w:rsid w:val="007F04E8"/>
    <w:rsid w:val="007F06E8"/>
    <w:rsid w:val="007F1453"/>
    <w:rsid w:val="007F14D7"/>
    <w:rsid w:val="007F1A43"/>
    <w:rsid w:val="007F1F5B"/>
    <w:rsid w:val="007F2307"/>
    <w:rsid w:val="007F253B"/>
    <w:rsid w:val="007F378C"/>
    <w:rsid w:val="007F3D7F"/>
    <w:rsid w:val="007F3FEA"/>
    <w:rsid w:val="007F457F"/>
    <w:rsid w:val="007F5979"/>
    <w:rsid w:val="007F5CB7"/>
    <w:rsid w:val="007F601B"/>
    <w:rsid w:val="007F6123"/>
    <w:rsid w:val="007F6B7B"/>
    <w:rsid w:val="007F6B9B"/>
    <w:rsid w:val="00800226"/>
    <w:rsid w:val="008008AA"/>
    <w:rsid w:val="00800F09"/>
    <w:rsid w:val="008011E2"/>
    <w:rsid w:val="008013C4"/>
    <w:rsid w:val="00801498"/>
    <w:rsid w:val="008017E9"/>
    <w:rsid w:val="00801BE0"/>
    <w:rsid w:val="00802270"/>
    <w:rsid w:val="00802D00"/>
    <w:rsid w:val="00802DB0"/>
    <w:rsid w:val="00803041"/>
    <w:rsid w:val="0080367F"/>
    <w:rsid w:val="00803A7C"/>
    <w:rsid w:val="00803EC4"/>
    <w:rsid w:val="008041F2"/>
    <w:rsid w:val="00804367"/>
    <w:rsid w:val="00804530"/>
    <w:rsid w:val="00804840"/>
    <w:rsid w:val="00804A93"/>
    <w:rsid w:val="00804C56"/>
    <w:rsid w:val="0080539A"/>
    <w:rsid w:val="0080688E"/>
    <w:rsid w:val="00806BB4"/>
    <w:rsid w:val="0080732B"/>
    <w:rsid w:val="008077D6"/>
    <w:rsid w:val="00807A0D"/>
    <w:rsid w:val="00807C0A"/>
    <w:rsid w:val="008100E7"/>
    <w:rsid w:val="008106E5"/>
    <w:rsid w:val="008109C5"/>
    <w:rsid w:val="0081117A"/>
    <w:rsid w:val="00813E9E"/>
    <w:rsid w:val="008148D1"/>
    <w:rsid w:val="00814DBD"/>
    <w:rsid w:val="00815B12"/>
    <w:rsid w:val="00817A3F"/>
    <w:rsid w:val="00817D6B"/>
    <w:rsid w:val="00817E2A"/>
    <w:rsid w:val="00820430"/>
    <w:rsid w:val="0082046C"/>
    <w:rsid w:val="00820917"/>
    <w:rsid w:val="00820BBA"/>
    <w:rsid w:val="00820EEF"/>
    <w:rsid w:val="00822489"/>
    <w:rsid w:val="00822DDE"/>
    <w:rsid w:val="0082384A"/>
    <w:rsid w:val="00823DDD"/>
    <w:rsid w:val="008243DD"/>
    <w:rsid w:val="00824C7C"/>
    <w:rsid w:val="00825F67"/>
    <w:rsid w:val="00826367"/>
    <w:rsid w:val="008278E4"/>
    <w:rsid w:val="008278E6"/>
    <w:rsid w:val="008279F0"/>
    <w:rsid w:val="00827AEC"/>
    <w:rsid w:val="0083080C"/>
    <w:rsid w:val="00831D6F"/>
    <w:rsid w:val="00832163"/>
    <w:rsid w:val="00833158"/>
    <w:rsid w:val="0083370E"/>
    <w:rsid w:val="008339E6"/>
    <w:rsid w:val="00833CD4"/>
    <w:rsid w:val="00834117"/>
    <w:rsid w:val="00834255"/>
    <w:rsid w:val="008348D4"/>
    <w:rsid w:val="00834E7A"/>
    <w:rsid w:val="00835239"/>
    <w:rsid w:val="0083539F"/>
    <w:rsid w:val="0083561B"/>
    <w:rsid w:val="00835835"/>
    <w:rsid w:val="00835CB8"/>
    <w:rsid w:val="008366B0"/>
    <w:rsid w:val="00840618"/>
    <w:rsid w:val="0084076C"/>
    <w:rsid w:val="00840794"/>
    <w:rsid w:val="0084084A"/>
    <w:rsid w:val="00841091"/>
    <w:rsid w:val="008424F2"/>
    <w:rsid w:val="00842D3F"/>
    <w:rsid w:val="00843210"/>
    <w:rsid w:val="00843716"/>
    <w:rsid w:val="0084404D"/>
    <w:rsid w:val="008440AA"/>
    <w:rsid w:val="00846661"/>
    <w:rsid w:val="00846CEE"/>
    <w:rsid w:val="00846E4C"/>
    <w:rsid w:val="00847FD5"/>
    <w:rsid w:val="008506F4"/>
    <w:rsid w:val="00851412"/>
    <w:rsid w:val="00851ADD"/>
    <w:rsid w:val="008527CD"/>
    <w:rsid w:val="00852AE6"/>
    <w:rsid w:val="00852C85"/>
    <w:rsid w:val="0085320C"/>
    <w:rsid w:val="008537D4"/>
    <w:rsid w:val="00853CCE"/>
    <w:rsid w:val="0085436F"/>
    <w:rsid w:val="00856ADA"/>
    <w:rsid w:val="0085729E"/>
    <w:rsid w:val="008575FF"/>
    <w:rsid w:val="00857D70"/>
    <w:rsid w:val="008601E5"/>
    <w:rsid w:val="0086025C"/>
    <w:rsid w:val="00860825"/>
    <w:rsid w:val="00860B4E"/>
    <w:rsid w:val="00860EA6"/>
    <w:rsid w:val="008618C0"/>
    <w:rsid w:val="00861F42"/>
    <w:rsid w:val="00861FFF"/>
    <w:rsid w:val="00862674"/>
    <w:rsid w:val="008632B6"/>
    <w:rsid w:val="008641D4"/>
    <w:rsid w:val="008644F3"/>
    <w:rsid w:val="00864AB9"/>
    <w:rsid w:val="0086515E"/>
    <w:rsid w:val="008651E1"/>
    <w:rsid w:val="0086527B"/>
    <w:rsid w:val="00865E87"/>
    <w:rsid w:val="00865E8E"/>
    <w:rsid w:val="00866055"/>
    <w:rsid w:val="008669A2"/>
    <w:rsid w:val="00866A62"/>
    <w:rsid w:val="00866CA6"/>
    <w:rsid w:val="00866D0F"/>
    <w:rsid w:val="00866E9F"/>
    <w:rsid w:val="008670CF"/>
    <w:rsid w:val="008671BA"/>
    <w:rsid w:val="00867205"/>
    <w:rsid w:val="00867262"/>
    <w:rsid w:val="00867B32"/>
    <w:rsid w:val="00867BA2"/>
    <w:rsid w:val="0087048C"/>
    <w:rsid w:val="0087059B"/>
    <w:rsid w:val="008708A1"/>
    <w:rsid w:val="00870CAC"/>
    <w:rsid w:val="008711DA"/>
    <w:rsid w:val="00871AEA"/>
    <w:rsid w:val="00872DB1"/>
    <w:rsid w:val="008730B9"/>
    <w:rsid w:val="00873BC3"/>
    <w:rsid w:val="00873C35"/>
    <w:rsid w:val="00873F42"/>
    <w:rsid w:val="00874CC4"/>
    <w:rsid w:val="008750FA"/>
    <w:rsid w:val="008754F4"/>
    <w:rsid w:val="00875B85"/>
    <w:rsid w:val="00875BEB"/>
    <w:rsid w:val="008768A9"/>
    <w:rsid w:val="00877494"/>
    <w:rsid w:val="00877B59"/>
    <w:rsid w:val="00877DD4"/>
    <w:rsid w:val="00880EB4"/>
    <w:rsid w:val="008815A5"/>
    <w:rsid w:val="00881AD1"/>
    <w:rsid w:val="00882460"/>
    <w:rsid w:val="00882552"/>
    <w:rsid w:val="00882E7B"/>
    <w:rsid w:val="008831F8"/>
    <w:rsid w:val="008833E5"/>
    <w:rsid w:val="008844FB"/>
    <w:rsid w:val="008846DA"/>
    <w:rsid w:val="00884933"/>
    <w:rsid w:val="00886125"/>
    <w:rsid w:val="00887FB3"/>
    <w:rsid w:val="008907B4"/>
    <w:rsid w:val="00891B26"/>
    <w:rsid w:val="00892259"/>
    <w:rsid w:val="00892C07"/>
    <w:rsid w:val="0089336F"/>
    <w:rsid w:val="0089369A"/>
    <w:rsid w:val="0089387C"/>
    <w:rsid w:val="00893B1E"/>
    <w:rsid w:val="00894180"/>
    <w:rsid w:val="00894A06"/>
    <w:rsid w:val="00894DCA"/>
    <w:rsid w:val="00895001"/>
    <w:rsid w:val="00895593"/>
    <w:rsid w:val="00895A58"/>
    <w:rsid w:val="00896044"/>
    <w:rsid w:val="00896CA3"/>
    <w:rsid w:val="00897627"/>
    <w:rsid w:val="008978FB"/>
    <w:rsid w:val="00897A82"/>
    <w:rsid w:val="00897AEA"/>
    <w:rsid w:val="008A01EB"/>
    <w:rsid w:val="008A06C0"/>
    <w:rsid w:val="008A07F9"/>
    <w:rsid w:val="008A1796"/>
    <w:rsid w:val="008A4EE3"/>
    <w:rsid w:val="008A4F48"/>
    <w:rsid w:val="008A50ED"/>
    <w:rsid w:val="008A5580"/>
    <w:rsid w:val="008A5900"/>
    <w:rsid w:val="008A6B63"/>
    <w:rsid w:val="008A6FAE"/>
    <w:rsid w:val="008A70E1"/>
    <w:rsid w:val="008A760B"/>
    <w:rsid w:val="008A77FD"/>
    <w:rsid w:val="008B06D1"/>
    <w:rsid w:val="008B0CE6"/>
    <w:rsid w:val="008B17D5"/>
    <w:rsid w:val="008B1B9F"/>
    <w:rsid w:val="008B20AF"/>
    <w:rsid w:val="008B23CE"/>
    <w:rsid w:val="008B40AD"/>
    <w:rsid w:val="008B4246"/>
    <w:rsid w:val="008B4530"/>
    <w:rsid w:val="008B4D41"/>
    <w:rsid w:val="008B5C34"/>
    <w:rsid w:val="008B674F"/>
    <w:rsid w:val="008B7051"/>
    <w:rsid w:val="008B7062"/>
    <w:rsid w:val="008B7402"/>
    <w:rsid w:val="008B78B9"/>
    <w:rsid w:val="008B7C3B"/>
    <w:rsid w:val="008C00E9"/>
    <w:rsid w:val="008C0682"/>
    <w:rsid w:val="008C06EC"/>
    <w:rsid w:val="008C0CD7"/>
    <w:rsid w:val="008C0F8E"/>
    <w:rsid w:val="008C10D4"/>
    <w:rsid w:val="008C10FC"/>
    <w:rsid w:val="008C2691"/>
    <w:rsid w:val="008C2ABF"/>
    <w:rsid w:val="008C31A2"/>
    <w:rsid w:val="008C3A53"/>
    <w:rsid w:val="008C3BA8"/>
    <w:rsid w:val="008C437A"/>
    <w:rsid w:val="008C47F8"/>
    <w:rsid w:val="008C48FD"/>
    <w:rsid w:val="008C4D68"/>
    <w:rsid w:val="008C6214"/>
    <w:rsid w:val="008C626A"/>
    <w:rsid w:val="008C62D5"/>
    <w:rsid w:val="008C6481"/>
    <w:rsid w:val="008C6AB2"/>
    <w:rsid w:val="008C706D"/>
    <w:rsid w:val="008C7373"/>
    <w:rsid w:val="008C7426"/>
    <w:rsid w:val="008C7D14"/>
    <w:rsid w:val="008D082B"/>
    <w:rsid w:val="008D0BDE"/>
    <w:rsid w:val="008D0D8E"/>
    <w:rsid w:val="008D120E"/>
    <w:rsid w:val="008D1247"/>
    <w:rsid w:val="008D16CE"/>
    <w:rsid w:val="008D1B63"/>
    <w:rsid w:val="008D2B41"/>
    <w:rsid w:val="008D37C2"/>
    <w:rsid w:val="008D3EDC"/>
    <w:rsid w:val="008D4447"/>
    <w:rsid w:val="008D46A5"/>
    <w:rsid w:val="008D477A"/>
    <w:rsid w:val="008D58EE"/>
    <w:rsid w:val="008D5F2E"/>
    <w:rsid w:val="008D61F4"/>
    <w:rsid w:val="008D6512"/>
    <w:rsid w:val="008D6F8E"/>
    <w:rsid w:val="008E1A1C"/>
    <w:rsid w:val="008E2335"/>
    <w:rsid w:val="008E2769"/>
    <w:rsid w:val="008E2C93"/>
    <w:rsid w:val="008E31AB"/>
    <w:rsid w:val="008E3EB1"/>
    <w:rsid w:val="008E4DE1"/>
    <w:rsid w:val="008E5451"/>
    <w:rsid w:val="008E5542"/>
    <w:rsid w:val="008E577C"/>
    <w:rsid w:val="008E5924"/>
    <w:rsid w:val="008E603B"/>
    <w:rsid w:val="008E69FF"/>
    <w:rsid w:val="008E6FE6"/>
    <w:rsid w:val="008F020F"/>
    <w:rsid w:val="008F1379"/>
    <w:rsid w:val="008F14B1"/>
    <w:rsid w:val="008F1873"/>
    <w:rsid w:val="008F2136"/>
    <w:rsid w:val="008F22A5"/>
    <w:rsid w:val="008F29B3"/>
    <w:rsid w:val="008F38EC"/>
    <w:rsid w:val="008F4360"/>
    <w:rsid w:val="008F4A31"/>
    <w:rsid w:val="008F5170"/>
    <w:rsid w:val="008F5490"/>
    <w:rsid w:val="008F5D6F"/>
    <w:rsid w:val="008F639B"/>
    <w:rsid w:val="008F64F6"/>
    <w:rsid w:val="008F70C7"/>
    <w:rsid w:val="008F758F"/>
    <w:rsid w:val="008F75A4"/>
    <w:rsid w:val="008F778E"/>
    <w:rsid w:val="00900054"/>
    <w:rsid w:val="00900156"/>
    <w:rsid w:val="009009C6"/>
    <w:rsid w:val="0090146A"/>
    <w:rsid w:val="009021DA"/>
    <w:rsid w:val="00902368"/>
    <w:rsid w:val="00903CC2"/>
    <w:rsid w:val="00904276"/>
    <w:rsid w:val="0090559E"/>
    <w:rsid w:val="0090757B"/>
    <w:rsid w:val="00907A36"/>
    <w:rsid w:val="00910289"/>
    <w:rsid w:val="00910461"/>
    <w:rsid w:val="00910781"/>
    <w:rsid w:val="0091189D"/>
    <w:rsid w:val="00912159"/>
    <w:rsid w:val="009122E6"/>
    <w:rsid w:val="00912AF6"/>
    <w:rsid w:val="00912D35"/>
    <w:rsid w:val="009132CC"/>
    <w:rsid w:val="009136D4"/>
    <w:rsid w:val="00913C5E"/>
    <w:rsid w:val="0091413B"/>
    <w:rsid w:val="009144B4"/>
    <w:rsid w:val="00914B0B"/>
    <w:rsid w:val="00914F01"/>
    <w:rsid w:val="00915B22"/>
    <w:rsid w:val="00915D39"/>
    <w:rsid w:val="00916250"/>
    <w:rsid w:val="009164A5"/>
    <w:rsid w:val="00916623"/>
    <w:rsid w:val="0091754A"/>
    <w:rsid w:val="0092061F"/>
    <w:rsid w:val="009218C9"/>
    <w:rsid w:val="00921CFB"/>
    <w:rsid w:val="009225F0"/>
    <w:rsid w:val="00922B8A"/>
    <w:rsid w:val="00922CE1"/>
    <w:rsid w:val="00922E11"/>
    <w:rsid w:val="00922EFC"/>
    <w:rsid w:val="00924AC3"/>
    <w:rsid w:val="00924DAE"/>
    <w:rsid w:val="00925A65"/>
    <w:rsid w:val="00926236"/>
    <w:rsid w:val="00926291"/>
    <w:rsid w:val="00926CBC"/>
    <w:rsid w:val="009271E5"/>
    <w:rsid w:val="009273E2"/>
    <w:rsid w:val="00927D18"/>
    <w:rsid w:val="00930A11"/>
    <w:rsid w:val="0093215B"/>
    <w:rsid w:val="009324BF"/>
    <w:rsid w:val="00933E66"/>
    <w:rsid w:val="0093489A"/>
    <w:rsid w:val="009370EF"/>
    <w:rsid w:val="009400E2"/>
    <w:rsid w:val="00940C40"/>
    <w:rsid w:val="00940DF9"/>
    <w:rsid w:val="009415EF"/>
    <w:rsid w:val="00941D60"/>
    <w:rsid w:val="00941FD5"/>
    <w:rsid w:val="00942199"/>
    <w:rsid w:val="00942743"/>
    <w:rsid w:val="009427CE"/>
    <w:rsid w:val="00942A7A"/>
    <w:rsid w:val="00942AEF"/>
    <w:rsid w:val="009430C1"/>
    <w:rsid w:val="009431F4"/>
    <w:rsid w:val="0094369D"/>
    <w:rsid w:val="009445B6"/>
    <w:rsid w:val="009445FC"/>
    <w:rsid w:val="009447AA"/>
    <w:rsid w:val="009451B1"/>
    <w:rsid w:val="009457F2"/>
    <w:rsid w:val="00945D8A"/>
    <w:rsid w:val="00945E67"/>
    <w:rsid w:val="00946DA2"/>
    <w:rsid w:val="00946F2F"/>
    <w:rsid w:val="009520EB"/>
    <w:rsid w:val="009521CA"/>
    <w:rsid w:val="009529E7"/>
    <w:rsid w:val="00953682"/>
    <w:rsid w:val="00953868"/>
    <w:rsid w:val="00953A88"/>
    <w:rsid w:val="00953C99"/>
    <w:rsid w:val="00954313"/>
    <w:rsid w:val="00954FEE"/>
    <w:rsid w:val="00955500"/>
    <w:rsid w:val="00956044"/>
    <w:rsid w:val="00956B2E"/>
    <w:rsid w:val="00956BE4"/>
    <w:rsid w:val="00956CB8"/>
    <w:rsid w:val="00957209"/>
    <w:rsid w:val="0096011B"/>
    <w:rsid w:val="009603DF"/>
    <w:rsid w:val="009610FB"/>
    <w:rsid w:val="00961695"/>
    <w:rsid w:val="00961BE7"/>
    <w:rsid w:val="00963134"/>
    <w:rsid w:val="009638CB"/>
    <w:rsid w:val="00963AA1"/>
    <w:rsid w:val="00963CE1"/>
    <w:rsid w:val="00963E82"/>
    <w:rsid w:val="00964DF1"/>
    <w:rsid w:val="009663A2"/>
    <w:rsid w:val="00966560"/>
    <w:rsid w:val="00966773"/>
    <w:rsid w:val="00966BEE"/>
    <w:rsid w:val="00967891"/>
    <w:rsid w:val="00967D79"/>
    <w:rsid w:val="00967DD5"/>
    <w:rsid w:val="00967F69"/>
    <w:rsid w:val="00970AAE"/>
    <w:rsid w:val="00970E40"/>
    <w:rsid w:val="00971A33"/>
    <w:rsid w:val="009731B4"/>
    <w:rsid w:val="00973E70"/>
    <w:rsid w:val="00973ECC"/>
    <w:rsid w:val="00974AAC"/>
    <w:rsid w:val="00975339"/>
    <w:rsid w:val="00976895"/>
    <w:rsid w:val="00976AA6"/>
    <w:rsid w:val="00976C5C"/>
    <w:rsid w:val="009771F1"/>
    <w:rsid w:val="00977325"/>
    <w:rsid w:val="00977383"/>
    <w:rsid w:val="00977678"/>
    <w:rsid w:val="00977EB1"/>
    <w:rsid w:val="0098012D"/>
    <w:rsid w:val="0098069B"/>
    <w:rsid w:val="00980AF0"/>
    <w:rsid w:val="00980EB3"/>
    <w:rsid w:val="00980FA2"/>
    <w:rsid w:val="00981355"/>
    <w:rsid w:val="0098270D"/>
    <w:rsid w:val="00982CE3"/>
    <w:rsid w:val="00982F33"/>
    <w:rsid w:val="0098334C"/>
    <w:rsid w:val="009834DC"/>
    <w:rsid w:val="00983BA2"/>
    <w:rsid w:val="00983DB4"/>
    <w:rsid w:val="00983FA7"/>
    <w:rsid w:val="00984006"/>
    <w:rsid w:val="00984091"/>
    <w:rsid w:val="00984D5B"/>
    <w:rsid w:val="00984EAA"/>
    <w:rsid w:val="00985EF3"/>
    <w:rsid w:val="00986522"/>
    <w:rsid w:val="00986D15"/>
    <w:rsid w:val="00986DBA"/>
    <w:rsid w:val="009870E0"/>
    <w:rsid w:val="00987340"/>
    <w:rsid w:val="00987A2C"/>
    <w:rsid w:val="00987B98"/>
    <w:rsid w:val="00987E9F"/>
    <w:rsid w:val="0099108A"/>
    <w:rsid w:val="009912BE"/>
    <w:rsid w:val="009913DD"/>
    <w:rsid w:val="0099147C"/>
    <w:rsid w:val="0099170A"/>
    <w:rsid w:val="0099174B"/>
    <w:rsid w:val="00992505"/>
    <w:rsid w:val="009926BF"/>
    <w:rsid w:val="00992964"/>
    <w:rsid w:val="00992BAE"/>
    <w:rsid w:val="0099309D"/>
    <w:rsid w:val="009936DD"/>
    <w:rsid w:val="009936E7"/>
    <w:rsid w:val="0099504C"/>
    <w:rsid w:val="009953E3"/>
    <w:rsid w:val="0099552D"/>
    <w:rsid w:val="00995A4D"/>
    <w:rsid w:val="00995FA4"/>
    <w:rsid w:val="00996034"/>
    <w:rsid w:val="00996744"/>
    <w:rsid w:val="0099774A"/>
    <w:rsid w:val="00997AA2"/>
    <w:rsid w:val="009A02C8"/>
    <w:rsid w:val="009A089E"/>
    <w:rsid w:val="009A0E9C"/>
    <w:rsid w:val="009A1208"/>
    <w:rsid w:val="009A1877"/>
    <w:rsid w:val="009A1D83"/>
    <w:rsid w:val="009A33C6"/>
    <w:rsid w:val="009A33CA"/>
    <w:rsid w:val="009A395E"/>
    <w:rsid w:val="009A4427"/>
    <w:rsid w:val="009A4A3E"/>
    <w:rsid w:val="009A510E"/>
    <w:rsid w:val="009A530E"/>
    <w:rsid w:val="009A621F"/>
    <w:rsid w:val="009A65D5"/>
    <w:rsid w:val="009A6972"/>
    <w:rsid w:val="009A6A15"/>
    <w:rsid w:val="009A6A5D"/>
    <w:rsid w:val="009A6AC5"/>
    <w:rsid w:val="009A7131"/>
    <w:rsid w:val="009A7806"/>
    <w:rsid w:val="009A7A2B"/>
    <w:rsid w:val="009B01FD"/>
    <w:rsid w:val="009B1281"/>
    <w:rsid w:val="009B1592"/>
    <w:rsid w:val="009B26B3"/>
    <w:rsid w:val="009B2801"/>
    <w:rsid w:val="009B3EA8"/>
    <w:rsid w:val="009B4664"/>
    <w:rsid w:val="009B477E"/>
    <w:rsid w:val="009B70C3"/>
    <w:rsid w:val="009C0118"/>
    <w:rsid w:val="009C185D"/>
    <w:rsid w:val="009C1C25"/>
    <w:rsid w:val="009C2035"/>
    <w:rsid w:val="009C2188"/>
    <w:rsid w:val="009C3214"/>
    <w:rsid w:val="009C3280"/>
    <w:rsid w:val="009C515C"/>
    <w:rsid w:val="009C5637"/>
    <w:rsid w:val="009C5BEA"/>
    <w:rsid w:val="009C5C94"/>
    <w:rsid w:val="009C5FF6"/>
    <w:rsid w:val="009C7E39"/>
    <w:rsid w:val="009D0AE8"/>
    <w:rsid w:val="009D107A"/>
    <w:rsid w:val="009D1133"/>
    <w:rsid w:val="009D1F4B"/>
    <w:rsid w:val="009D2140"/>
    <w:rsid w:val="009D22F6"/>
    <w:rsid w:val="009D2C60"/>
    <w:rsid w:val="009D2EE9"/>
    <w:rsid w:val="009D3279"/>
    <w:rsid w:val="009D3AF3"/>
    <w:rsid w:val="009D3B43"/>
    <w:rsid w:val="009D4419"/>
    <w:rsid w:val="009D48E1"/>
    <w:rsid w:val="009D5CCC"/>
    <w:rsid w:val="009D5ED9"/>
    <w:rsid w:val="009D6A6A"/>
    <w:rsid w:val="009D6CCE"/>
    <w:rsid w:val="009D6F5C"/>
    <w:rsid w:val="009D74FF"/>
    <w:rsid w:val="009D7673"/>
    <w:rsid w:val="009D7B20"/>
    <w:rsid w:val="009D7EEF"/>
    <w:rsid w:val="009E14EE"/>
    <w:rsid w:val="009E1D19"/>
    <w:rsid w:val="009E1D26"/>
    <w:rsid w:val="009E1F46"/>
    <w:rsid w:val="009E29B7"/>
    <w:rsid w:val="009E2D40"/>
    <w:rsid w:val="009E31C6"/>
    <w:rsid w:val="009E3458"/>
    <w:rsid w:val="009E3A25"/>
    <w:rsid w:val="009E4399"/>
    <w:rsid w:val="009E460B"/>
    <w:rsid w:val="009E4B0E"/>
    <w:rsid w:val="009E50E7"/>
    <w:rsid w:val="009E593C"/>
    <w:rsid w:val="009E5CB3"/>
    <w:rsid w:val="009E5D66"/>
    <w:rsid w:val="009E654F"/>
    <w:rsid w:val="009E6E65"/>
    <w:rsid w:val="009E73D2"/>
    <w:rsid w:val="009F0587"/>
    <w:rsid w:val="009F06AF"/>
    <w:rsid w:val="009F0B5B"/>
    <w:rsid w:val="009F0C2A"/>
    <w:rsid w:val="009F1669"/>
    <w:rsid w:val="009F1BFB"/>
    <w:rsid w:val="009F2757"/>
    <w:rsid w:val="009F2B61"/>
    <w:rsid w:val="009F33CC"/>
    <w:rsid w:val="009F3786"/>
    <w:rsid w:val="009F3CF2"/>
    <w:rsid w:val="009F47D4"/>
    <w:rsid w:val="009F481E"/>
    <w:rsid w:val="009F533C"/>
    <w:rsid w:val="009F5420"/>
    <w:rsid w:val="009F5D96"/>
    <w:rsid w:val="009F6029"/>
    <w:rsid w:val="009F618B"/>
    <w:rsid w:val="009F7716"/>
    <w:rsid w:val="009F7DC5"/>
    <w:rsid w:val="00A00227"/>
    <w:rsid w:val="00A00333"/>
    <w:rsid w:val="00A00A4F"/>
    <w:rsid w:val="00A00D25"/>
    <w:rsid w:val="00A01AA9"/>
    <w:rsid w:val="00A01C00"/>
    <w:rsid w:val="00A01C4D"/>
    <w:rsid w:val="00A02860"/>
    <w:rsid w:val="00A03848"/>
    <w:rsid w:val="00A0558C"/>
    <w:rsid w:val="00A05A93"/>
    <w:rsid w:val="00A05F4E"/>
    <w:rsid w:val="00A06266"/>
    <w:rsid w:val="00A06842"/>
    <w:rsid w:val="00A06BF6"/>
    <w:rsid w:val="00A071D6"/>
    <w:rsid w:val="00A07550"/>
    <w:rsid w:val="00A07AF9"/>
    <w:rsid w:val="00A102C9"/>
    <w:rsid w:val="00A10E3D"/>
    <w:rsid w:val="00A1113F"/>
    <w:rsid w:val="00A11EBF"/>
    <w:rsid w:val="00A11EF1"/>
    <w:rsid w:val="00A129FC"/>
    <w:rsid w:val="00A133A1"/>
    <w:rsid w:val="00A13404"/>
    <w:rsid w:val="00A1340E"/>
    <w:rsid w:val="00A13901"/>
    <w:rsid w:val="00A139DB"/>
    <w:rsid w:val="00A13E5E"/>
    <w:rsid w:val="00A146C5"/>
    <w:rsid w:val="00A14B2F"/>
    <w:rsid w:val="00A15268"/>
    <w:rsid w:val="00A156B0"/>
    <w:rsid w:val="00A158C6"/>
    <w:rsid w:val="00A15A70"/>
    <w:rsid w:val="00A15C54"/>
    <w:rsid w:val="00A175AB"/>
    <w:rsid w:val="00A17CA9"/>
    <w:rsid w:val="00A17E1C"/>
    <w:rsid w:val="00A17FCC"/>
    <w:rsid w:val="00A20154"/>
    <w:rsid w:val="00A207EA"/>
    <w:rsid w:val="00A210A1"/>
    <w:rsid w:val="00A21B57"/>
    <w:rsid w:val="00A21B89"/>
    <w:rsid w:val="00A21CBE"/>
    <w:rsid w:val="00A22730"/>
    <w:rsid w:val="00A2283A"/>
    <w:rsid w:val="00A236BB"/>
    <w:rsid w:val="00A24800"/>
    <w:rsid w:val="00A24C6A"/>
    <w:rsid w:val="00A25A5E"/>
    <w:rsid w:val="00A305B4"/>
    <w:rsid w:val="00A30864"/>
    <w:rsid w:val="00A30A61"/>
    <w:rsid w:val="00A30CC2"/>
    <w:rsid w:val="00A31A7F"/>
    <w:rsid w:val="00A32A11"/>
    <w:rsid w:val="00A32AC8"/>
    <w:rsid w:val="00A33A72"/>
    <w:rsid w:val="00A34820"/>
    <w:rsid w:val="00A34E80"/>
    <w:rsid w:val="00A34FC9"/>
    <w:rsid w:val="00A35FEC"/>
    <w:rsid w:val="00A369A5"/>
    <w:rsid w:val="00A36F63"/>
    <w:rsid w:val="00A36F76"/>
    <w:rsid w:val="00A37303"/>
    <w:rsid w:val="00A37635"/>
    <w:rsid w:val="00A37693"/>
    <w:rsid w:val="00A37B94"/>
    <w:rsid w:val="00A37D91"/>
    <w:rsid w:val="00A4024B"/>
    <w:rsid w:val="00A4089B"/>
    <w:rsid w:val="00A40B01"/>
    <w:rsid w:val="00A40B47"/>
    <w:rsid w:val="00A414E5"/>
    <w:rsid w:val="00A41772"/>
    <w:rsid w:val="00A4196C"/>
    <w:rsid w:val="00A41BA7"/>
    <w:rsid w:val="00A41CA3"/>
    <w:rsid w:val="00A427F2"/>
    <w:rsid w:val="00A43AA5"/>
    <w:rsid w:val="00A4496C"/>
    <w:rsid w:val="00A44A74"/>
    <w:rsid w:val="00A44C1B"/>
    <w:rsid w:val="00A44FCB"/>
    <w:rsid w:val="00A45331"/>
    <w:rsid w:val="00A46C45"/>
    <w:rsid w:val="00A47388"/>
    <w:rsid w:val="00A47549"/>
    <w:rsid w:val="00A476C1"/>
    <w:rsid w:val="00A47985"/>
    <w:rsid w:val="00A47B06"/>
    <w:rsid w:val="00A47F25"/>
    <w:rsid w:val="00A50CBB"/>
    <w:rsid w:val="00A50FD4"/>
    <w:rsid w:val="00A51560"/>
    <w:rsid w:val="00A51575"/>
    <w:rsid w:val="00A51ED0"/>
    <w:rsid w:val="00A52335"/>
    <w:rsid w:val="00A524AA"/>
    <w:rsid w:val="00A52871"/>
    <w:rsid w:val="00A52FAF"/>
    <w:rsid w:val="00A53A9F"/>
    <w:rsid w:val="00A54EC7"/>
    <w:rsid w:val="00A5517A"/>
    <w:rsid w:val="00A552E4"/>
    <w:rsid w:val="00A5586D"/>
    <w:rsid w:val="00A55BE9"/>
    <w:rsid w:val="00A55E64"/>
    <w:rsid w:val="00A55E82"/>
    <w:rsid w:val="00A56343"/>
    <w:rsid w:val="00A56457"/>
    <w:rsid w:val="00A5656E"/>
    <w:rsid w:val="00A5677F"/>
    <w:rsid w:val="00A56A28"/>
    <w:rsid w:val="00A57343"/>
    <w:rsid w:val="00A606E6"/>
    <w:rsid w:val="00A6108F"/>
    <w:rsid w:val="00A61316"/>
    <w:rsid w:val="00A62951"/>
    <w:rsid w:val="00A63B86"/>
    <w:rsid w:val="00A6409F"/>
    <w:rsid w:val="00A642B1"/>
    <w:rsid w:val="00A65B21"/>
    <w:rsid w:val="00A65C89"/>
    <w:rsid w:val="00A66D00"/>
    <w:rsid w:val="00A67080"/>
    <w:rsid w:val="00A67443"/>
    <w:rsid w:val="00A7004D"/>
    <w:rsid w:val="00A70366"/>
    <w:rsid w:val="00A710FC"/>
    <w:rsid w:val="00A718FC"/>
    <w:rsid w:val="00A71DEA"/>
    <w:rsid w:val="00A72520"/>
    <w:rsid w:val="00A7255F"/>
    <w:rsid w:val="00A72950"/>
    <w:rsid w:val="00A72A4C"/>
    <w:rsid w:val="00A72C62"/>
    <w:rsid w:val="00A72E92"/>
    <w:rsid w:val="00A73316"/>
    <w:rsid w:val="00A75C88"/>
    <w:rsid w:val="00A75F0D"/>
    <w:rsid w:val="00A76067"/>
    <w:rsid w:val="00A76585"/>
    <w:rsid w:val="00A7664F"/>
    <w:rsid w:val="00A7670E"/>
    <w:rsid w:val="00A76F63"/>
    <w:rsid w:val="00A77085"/>
    <w:rsid w:val="00A773C9"/>
    <w:rsid w:val="00A7783A"/>
    <w:rsid w:val="00A77F9B"/>
    <w:rsid w:val="00A80685"/>
    <w:rsid w:val="00A817F4"/>
    <w:rsid w:val="00A82169"/>
    <w:rsid w:val="00A82712"/>
    <w:rsid w:val="00A82AC3"/>
    <w:rsid w:val="00A8325D"/>
    <w:rsid w:val="00A833A2"/>
    <w:rsid w:val="00A83A25"/>
    <w:rsid w:val="00A83ECB"/>
    <w:rsid w:val="00A842A2"/>
    <w:rsid w:val="00A8474D"/>
    <w:rsid w:val="00A85B00"/>
    <w:rsid w:val="00A85ED4"/>
    <w:rsid w:val="00A85FC3"/>
    <w:rsid w:val="00A868F8"/>
    <w:rsid w:val="00A87646"/>
    <w:rsid w:val="00A9113B"/>
    <w:rsid w:val="00A9151B"/>
    <w:rsid w:val="00A9283B"/>
    <w:rsid w:val="00A92CB3"/>
    <w:rsid w:val="00A92CC4"/>
    <w:rsid w:val="00A92D27"/>
    <w:rsid w:val="00A936A8"/>
    <w:rsid w:val="00A9377D"/>
    <w:rsid w:val="00A948EB"/>
    <w:rsid w:val="00A94A05"/>
    <w:rsid w:val="00A96479"/>
    <w:rsid w:val="00A96733"/>
    <w:rsid w:val="00A96EDA"/>
    <w:rsid w:val="00A977A7"/>
    <w:rsid w:val="00A9795C"/>
    <w:rsid w:val="00A97A33"/>
    <w:rsid w:val="00AA0828"/>
    <w:rsid w:val="00AA0A5F"/>
    <w:rsid w:val="00AA0BC9"/>
    <w:rsid w:val="00AA0FD7"/>
    <w:rsid w:val="00AA1773"/>
    <w:rsid w:val="00AA18A8"/>
    <w:rsid w:val="00AA1965"/>
    <w:rsid w:val="00AA31FF"/>
    <w:rsid w:val="00AA3FB2"/>
    <w:rsid w:val="00AA4008"/>
    <w:rsid w:val="00AA4874"/>
    <w:rsid w:val="00AA5A73"/>
    <w:rsid w:val="00AA5E72"/>
    <w:rsid w:val="00AA6045"/>
    <w:rsid w:val="00AA6454"/>
    <w:rsid w:val="00AA64FC"/>
    <w:rsid w:val="00AA6821"/>
    <w:rsid w:val="00AA6B9F"/>
    <w:rsid w:val="00AA6D0F"/>
    <w:rsid w:val="00AA77F2"/>
    <w:rsid w:val="00AA7B7A"/>
    <w:rsid w:val="00AA7FB1"/>
    <w:rsid w:val="00AB0099"/>
    <w:rsid w:val="00AB0EDD"/>
    <w:rsid w:val="00AB1912"/>
    <w:rsid w:val="00AB1FE3"/>
    <w:rsid w:val="00AB2396"/>
    <w:rsid w:val="00AB2998"/>
    <w:rsid w:val="00AB3DEA"/>
    <w:rsid w:val="00AB42ED"/>
    <w:rsid w:val="00AB5D38"/>
    <w:rsid w:val="00AB6E52"/>
    <w:rsid w:val="00AB70BD"/>
    <w:rsid w:val="00AB7224"/>
    <w:rsid w:val="00AB783D"/>
    <w:rsid w:val="00AC0091"/>
    <w:rsid w:val="00AC00AE"/>
    <w:rsid w:val="00AC05D8"/>
    <w:rsid w:val="00AC0750"/>
    <w:rsid w:val="00AC080A"/>
    <w:rsid w:val="00AC0F0A"/>
    <w:rsid w:val="00AC1085"/>
    <w:rsid w:val="00AC1C51"/>
    <w:rsid w:val="00AC1EC2"/>
    <w:rsid w:val="00AC2C36"/>
    <w:rsid w:val="00AC2EEA"/>
    <w:rsid w:val="00AC40F6"/>
    <w:rsid w:val="00AC429A"/>
    <w:rsid w:val="00AC4521"/>
    <w:rsid w:val="00AC502A"/>
    <w:rsid w:val="00AC5B38"/>
    <w:rsid w:val="00AC5BA4"/>
    <w:rsid w:val="00AC5C82"/>
    <w:rsid w:val="00AC64EC"/>
    <w:rsid w:val="00AC6510"/>
    <w:rsid w:val="00AC69E6"/>
    <w:rsid w:val="00AC6A79"/>
    <w:rsid w:val="00AC6CC1"/>
    <w:rsid w:val="00AC6FE0"/>
    <w:rsid w:val="00AD0242"/>
    <w:rsid w:val="00AD08B3"/>
    <w:rsid w:val="00AD153E"/>
    <w:rsid w:val="00AD1CC3"/>
    <w:rsid w:val="00AD1D72"/>
    <w:rsid w:val="00AD2785"/>
    <w:rsid w:val="00AD2E55"/>
    <w:rsid w:val="00AD471F"/>
    <w:rsid w:val="00AD4BFE"/>
    <w:rsid w:val="00AD50C6"/>
    <w:rsid w:val="00AD5B7F"/>
    <w:rsid w:val="00AD6615"/>
    <w:rsid w:val="00AD71D3"/>
    <w:rsid w:val="00AD7381"/>
    <w:rsid w:val="00AD7E69"/>
    <w:rsid w:val="00AE0117"/>
    <w:rsid w:val="00AE012E"/>
    <w:rsid w:val="00AE0836"/>
    <w:rsid w:val="00AE08AD"/>
    <w:rsid w:val="00AE13BB"/>
    <w:rsid w:val="00AE166E"/>
    <w:rsid w:val="00AE17A8"/>
    <w:rsid w:val="00AE1C55"/>
    <w:rsid w:val="00AE1C9C"/>
    <w:rsid w:val="00AE1CB6"/>
    <w:rsid w:val="00AE2DA0"/>
    <w:rsid w:val="00AE2E9B"/>
    <w:rsid w:val="00AE3A43"/>
    <w:rsid w:val="00AE3EA0"/>
    <w:rsid w:val="00AE43C1"/>
    <w:rsid w:val="00AE44B1"/>
    <w:rsid w:val="00AE46D6"/>
    <w:rsid w:val="00AE48E2"/>
    <w:rsid w:val="00AE4B2B"/>
    <w:rsid w:val="00AE53BF"/>
    <w:rsid w:val="00AE5966"/>
    <w:rsid w:val="00AE5C5C"/>
    <w:rsid w:val="00AE633C"/>
    <w:rsid w:val="00AE6D41"/>
    <w:rsid w:val="00AE7508"/>
    <w:rsid w:val="00AF0653"/>
    <w:rsid w:val="00AF08CF"/>
    <w:rsid w:val="00AF0B75"/>
    <w:rsid w:val="00AF1BB5"/>
    <w:rsid w:val="00AF2460"/>
    <w:rsid w:val="00AF25D7"/>
    <w:rsid w:val="00AF2D59"/>
    <w:rsid w:val="00AF324C"/>
    <w:rsid w:val="00AF332B"/>
    <w:rsid w:val="00AF3905"/>
    <w:rsid w:val="00AF43D2"/>
    <w:rsid w:val="00AF47D3"/>
    <w:rsid w:val="00AF6774"/>
    <w:rsid w:val="00AF7AE2"/>
    <w:rsid w:val="00AF7B12"/>
    <w:rsid w:val="00B0029A"/>
    <w:rsid w:val="00B00326"/>
    <w:rsid w:val="00B00336"/>
    <w:rsid w:val="00B014CB"/>
    <w:rsid w:val="00B016F2"/>
    <w:rsid w:val="00B01974"/>
    <w:rsid w:val="00B01A16"/>
    <w:rsid w:val="00B020F2"/>
    <w:rsid w:val="00B027FD"/>
    <w:rsid w:val="00B03B84"/>
    <w:rsid w:val="00B04998"/>
    <w:rsid w:val="00B04D54"/>
    <w:rsid w:val="00B05025"/>
    <w:rsid w:val="00B055A2"/>
    <w:rsid w:val="00B06793"/>
    <w:rsid w:val="00B0707D"/>
    <w:rsid w:val="00B0762F"/>
    <w:rsid w:val="00B07F7C"/>
    <w:rsid w:val="00B10225"/>
    <w:rsid w:val="00B10A2E"/>
    <w:rsid w:val="00B11635"/>
    <w:rsid w:val="00B11C1E"/>
    <w:rsid w:val="00B11ED2"/>
    <w:rsid w:val="00B124A1"/>
    <w:rsid w:val="00B12609"/>
    <w:rsid w:val="00B12793"/>
    <w:rsid w:val="00B1285F"/>
    <w:rsid w:val="00B12F66"/>
    <w:rsid w:val="00B1326C"/>
    <w:rsid w:val="00B1402A"/>
    <w:rsid w:val="00B1481B"/>
    <w:rsid w:val="00B155E2"/>
    <w:rsid w:val="00B15B36"/>
    <w:rsid w:val="00B15F23"/>
    <w:rsid w:val="00B16289"/>
    <w:rsid w:val="00B168CB"/>
    <w:rsid w:val="00B16B35"/>
    <w:rsid w:val="00B17012"/>
    <w:rsid w:val="00B200B5"/>
    <w:rsid w:val="00B204D1"/>
    <w:rsid w:val="00B21E43"/>
    <w:rsid w:val="00B22ADC"/>
    <w:rsid w:val="00B22E0B"/>
    <w:rsid w:val="00B230CF"/>
    <w:rsid w:val="00B232AD"/>
    <w:rsid w:val="00B23937"/>
    <w:rsid w:val="00B25A33"/>
    <w:rsid w:val="00B25B7F"/>
    <w:rsid w:val="00B26266"/>
    <w:rsid w:val="00B26C4F"/>
    <w:rsid w:val="00B27929"/>
    <w:rsid w:val="00B27A4C"/>
    <w:rsid w:val="00B27EC9"/>
    <w:rsid w:val="00B306EE"/>
    <w:rsid w:val="00B30B2D"/>
    <w:rsid w:val="00B315F4"/>
    <w:rsid w:val="00B317FB"/>
    <w:rsid w:val="00B326A1"/>
    <w:rsid w:val="00B354A8"/>
    <w:rsid w:val="00B35A3E"/>
    <w:rsid w:val="00B365D0"/>
    <w:rsid w:val="00B37290"/>
    <w:rsid w:val="00B37702"/>
    <w:rsid w:val="00B40139"/>
    <w:rsid w:val="00B404E2"/>
    <w:rsid w:val="00B408EE"/>
    <w:rsid w:val="00B40BDE"/>
    <w:rsid w:val="00B40E44"/>
    <w:rsid w:val="00B4168F"/>
    <w:rsid w:val="00B418D2"/>
    <w:rsid w:val="00B41E88"/>
    <w:rsid w:val="00B42372"/>
    <w:rsid w:val="00B42A87"/>
    <w:rsid w:val="00B42C6C"/>
    <w:rsid w:val="00B436B0"/>
    <w:rsid w:val="00B44F22"/>
    <w:rsid w:val="00B45414"/>
    <w:rsid w:val="00B454A4"/>
    <w:rsid w:val="00B461D3"/>
    <w:rsid w:val="00B46232"/>
    <w:rsid w:val="00B46429"/>
    <w:rsid w:val="00B46782"/>
    <w:rsid w:val="00B46967"/>
    <w:rsid w:val="00B46ACA"/>
    <w:rsid w:val="00B46C2B"/>
    <w:rsid w:val="00B46C88"/>
    <w:rsid w:val="00B46F31"/>
    <w:rsid w:val="00B47119"/>
    <w:rsid w:val="00B476CA"/>
    <w:rsid w:val="00B477E9"/>
    <w:rsid w:val="00B47A57"/>
    <w:rsid w:val="00B507BE"/>
    <w:rsid w:val="00B50AC7"/>
    <w:rsid w:val="00B515EB"/>
    <w:rsid w:val="00B51D17"/>
    <w:rsid w:val="00B51E41"/>
    <w:rsid w:val="00B521ED"/>
    <w:rsid w:val="00B526EA"/>
    <w:rsid w:val="00B52973"/>
    <w:rsid w:val="00B52B55"/>
    <w:rsid w:val="00B52F5A"/>
    <w:rsid w:val="00B532C3"/>
    <w:rsid w:val="00B55D98"/>
    <w:rsid w:val="00B5610F"/>
    <w:rsid w:val="00B56A22"/>
    <w:rsid w:val="00B5701D"/>
    <w:rsid w:val="00B57A34"/>
    <w:rsid w:val="00B6000B"/>
    <w:rsid w:val="00B60046"/>
    <w:rsid w:val="00B60236"/>
    <w:rsid w:val="00B60A91"/>
    <w:rsid w:val="00B61075"/>
    <w:rsid w:val="00B61326"/>
    <w:rsid w:val="00B616B3"/>
    <w:rsid w:val="00B61B8F"/>
    <w:rsid w:val="00B61BBA"/>
    <w:rsid w:val="00B63324"/>
    <w:rsid w:val="00B63F8A"/>
    <w:rsid w:val="00B64089"/>
    <w:rsid w:val="00B64388"/>
    <w:rsid w:val="00B645F3"/>
    <w:rsid w:val="00B648DD"/>
    <w:rsid w:val="00B65775"/>
    <w:rsid w:val="00B65A18"/>
    <w:rsid w:val="00B667E2"/>
    <w:rsid w:val="00B669C2"/>
    <w:rsid w:val="00B66EC0"/>
    <w:rsid w:val="00B672A9"/>
    <w:rsid w:val="00B674BE"/>
    <w:rsid w:val="00B7019C"/>
    <w:rsid w:val="00B71AE8"/>
    <w:rsid w:val="00B721A4"/>
    <w:rsid w:val="00B73474"/>
    <w:rsid w:val="00B73CA6"/>
    <w:rsid w:val="00B74735"/>
    <w:rsid w:val="00B74E86"/>
    <w:rsid w:val="00B7587A"/>
    <w:rsid w:val="00B762D0"/>
    <w:rsid w:val="00B768F7"/>
    <w:rsid w:val="00B771F1"/>
    <w:rsid w:val="00B7764A"/>
    <w:rsid w:val="00B776F5"/>
    <w:rsid w:val="00B77AC4"/>
    <w:rsid w:val="00B77D64"/>
    <w:rsid w:val="00B77E06"/>
    <w:rsid w:val="00B8060F"/>
    <w:rsid w:val="00B807D2"/>
    <w:rsid w:val="00B80C29"/>
    <w:rsid w:val="00B8119A"/>
    <w:rsid w:val="00B81215"/>
    <w:rsid w:val="00B81CF4"/>
    <w:rsid w:val="00B81FA8"/>
    <w:rsid w:val="00B82686"/>
    <w:rsid w:val="00B838A3"/>
    <w:rsid w:val="00B83E02"/>
    <w:rsid w:val="00B866EE"/>
    <w:rsid w:val="00B86BAE"/>
    <w:rsid w:val="00B86D56"/>
    <w:rsid w:val="00B87BC3"/>
    <w:rsid w:val="00B906F7"/>
    <w:rsid w:val="00B90B14"/>
    <w:rsid w:val="00B90DD5"/>
    <w:rsid w:val="00B928F9"/>
    <w:rsid w:val="00B929B0"/>
    <w:rsid w:val="00B93430"/>
    <w:rsid w:val="00B94977"/>
    <w:rsid w:val="00B94C23"/>
    <w:rsid w:val="00B95174"/>
    <w:rsid w:val="00B957F6"/>
    <w:rsid w:val="00B95F35"/>
    <w:rsid w:val="00B96E3C"/>
    <w:rsid w:val="00B9747A"/>
    <w:rsid w:val="00B976F1"/>
    <w:rsid w:val="00B97EEE"/>
    <w:rsid w:val="00BA05A5"/>
    <w:rsid w:val="00BA087D"/>
    <w:rsid w:val="00BA1407"/>
    <w:rsid w:val="00BA1D0C"/>
    <w:rsid w:val="00BA1D19"/>
    <w:rsid w:val="00BA1FDB"/>
    <w:rsid w:val="00BA27DB"/>
    <w:rsid w:val="00BA28A2"/>
    <w:rsid w:val="00BA2FE7"/>
    <w:rsid w:val="00BA3375"/>
    <w:rsid w:val="00BA34BC"/>
    <w:rsid w:val="00BA360C"/>
    <w:rsid w:val="00BA3BCC"/>
    <w:rsid w:val="00BA3E09"/>
    <w:rsid w:val="00BA40A4"/>
    <w:rsid w:val="00BA416B"/>
    <w:rsid w:val="00BA4790"/>
    <w:rsid w:val="00BA4EE0"/>
    <w:rsid w:val="00BA5A47"/>
    <w:rsid w:val="00BA5F6A"/>
    <w:rsid w:val="00BA62CF"/>
    <w:rsid w:val="00BA633B"/>
    <w:rsid w:val="00BA65BD"/>
    <w:rsid w:val="00BA68DD"/>
    <w:rsid w:val="00BA6A82"/>
    <w:rsid w:val="00BA75E6"/>
    <w:rsid w:val="00BA774F"/>
    <w:rsid w:val="00BA7EF8"/>
    <w:rsid w:val="00BB0B74"/>
    <w:rsid w:val="00BB1204"/>
    <w:rsid w:val="00BB153B"/>
    <w:rsid w:val="00BB1CE0"/>
    <w:rsid w:val="00BB1F7A"/>
    <w:rsid w:val="00BB201D"/>
    <w:rsid w:val="00BB23DF"/>
    <w:rsid w:val="00BB26EF"/>
    <w:rsid w:val="00BB28AE"/>
    <w:rsid w:val="00BB2B91"/>
    <w:rsid w:val="00BB3E5E"/>
    <w:rsid w:val="00BB4139"/>
    <w:rsid w:val="00BB46F3"/>
    <w:rsid w:val="00BB4BFB"/>
    <w:rsid w:val="00BB4CA3"/>
    <w:rsid w:val="00BB4CF2"/>
    <w:rsid w:val="00BB4DF8"/>
    <w:rsid w:val="00BB5087"/>
    <w:rsid w:val="00BB548D"/>
    <w:rsid w:val="00BB54C1"/>
    <w:rsid w:val="00BB5731"/>
    <w:rsid w:val="00BB5AFB"/>
    <w:rsid w:val="00BB6491"/>
    <w:rsid w:val="00BB64EB"/>
    <w:rsid w:val="00BB657F"/>
    <w:rsid w:val="00BB6AFC"/>
    <w:rsid w:val="00BB6E7C"/>
    <w:rsid w:val="00BB6EC7"/>
    <w:rsid w:val="00BB6F53"/>
    <w:rsid w:val="00BB6FAE"/>
    <w:rsid w:val="00BB7D3C"/>
    <w:rsid w:val="00BC0472"/>
    <w:rsid w:val="00BC05EB"/>
    <w:rsid w:val="00BC0CD1"/>
    <w:rsid w:val="00BC155B"/>
    <w:rsid w:val="00BC1763"/>
    <w:rsid w:val="00BC1D20"/>
    <w:rsid w:val="00BC24C6"/>
    <w:rsid w:val="00BC264C"/>
    <w:rsid w:val="00BC2908"/>
    <w:rsid w:val="00BC29EC"/>
    <w:rsid w:val="00BC2A8A"/>
    <w:rsid w:val="00BC2E24"/>
    <w:rsid w:val="00BC3000"/>
    <w:rsid w:val="00BC311F"/>
    <w:rsid w:val="00BC490F"/>
    <w:rsid w:val="00BC517D"/>
    <w:rsid w:val="00BC5BA1"/>
    <w:rsid w:val="00BC5F14"/>
    <w:rsid w:val="00BC6C35"/>
    <w:rsid w:val="00BC72FD"/>
    <w:rsid w:val="00BC76F4"/>
    <w:rsid w:val="00BD0B21"/>
    <w:rsid w:val="00BD1076"/>
    <w:rsid w:val="00BD1B21"/>
    <w:rsid w:val="00BD200A"/>
    <w:rsid w:val="00BD20FB"/>
    <w:rsid w:val="00BD2380"/>
    <w:rsid w:val="00BD2CF6"/>
    <w:rsid w:val="00BD2E87"/>
    <w:rsid w:val="00BD2ED9"/>
    <w:rsid w:val="00BD3314"/>
    <w:rsid w:val="00BD37F4"/>
    <w:rsid w:val="00BD3B64"/>
    <w:rsid w:val="00BD3F43"/>
    <w:rsid w:val="00BD4103"/>
    <w:rsid w:val="00BD4266"/>
    <w:rsid w:val="00BD44EC"/>
    <w:rsid w:val="00BD44F9"/>
    <w:rsid w:val="00BD65B3"/>
    <w:rsid w:val="00BD6D87"/>
    <w:rsid w:val="00BD76C9"/>
    <w:rsid w:val="00BD77E7"/>
    <w:rsid w:val="00BD7F75"/>
    <w:rsid w:val="00BD7F8B"/>
    <w:rsid w:val="00BE1C8F"/>
    <w:rsid w:val="00BE1DA0"/>
    <w:rsid w:val="00BE1E61"/>
    <w:rsid w:val="00BE26DA"/>
    <w:rsid w:val="00BE285F"/>
    <w:rsid w:val="00BE3066"/>
    <w:rsid w:val="00BE40C1"/>
    <w:rsid w:val="00BE4186"/>
    <w:rsid w:val="00BE4444"/>
    <w:rsid w:val="00BE4CEF"/>
    <w:rsid w:val="00BE4F67"/>
    <w:rsid w:val="00BE50E0"/>
    <w:rsid w:val="00BE53E8"/>
    <w:rsid w:val="00BE589A"/>
    <w:rsid w:val="00BE5946"/>
    <w:rsid w:val="00BE5F45"/>
    <w:rsid w:val="00BE609D"/>
    <w:rsid w:val="00BE60B8"/>
    <w:rsid w:val="00BE677B"/>
    <w:rsid w:val="00BE702E"/>
    <w:rsid w:val="00BE7BCA"/>
    <w:rsid w:val="00BE7D98"/>
    <w:rsid w:val="00BF0091"/>
    <w:rsid w:val="00BF1832"/>
    <w:rsid w:val="00BF3169"/>
    <w:rsid w:val="00BF3E1F"/>
    <w:rsid w:val="00BF41A7"/>
    <w:rsid w:val="00BF45BE"/>
    <w:rsid w:val="00BF491E"/>
    <w:rsid w:val="00BF4AD0"/>
    <w:rsid w:val="00BF6567"/>
    <w:rsid w:val="00BF65B9"/>
    <w:rsid w:val="00BF6859"/>
    <w:rsid w:val="00BF6A7F"/>
    <w:rsid w:val="00BF6AE5"/>
    <w:rsid w:val="00BF6DE4"/>
    <w:rsid w:val="00BF6DF2"/>
    <w:rsid w:val="00BF7F3D"/>
    <w:rsid w:val="00C0006E"/>
    <w:rsid w:val="00C003C6"/>
    <w:rsid w:val="00C00BA4"/>
    <w:rsid w:val="00C00BCD"/>
    <w:rsid w:val="00C027A3"/>
    <w:rsid w:val="00C02881"/>
    <w:rsid w:val="00C02B8A"/>
    <w:rsid w:val="00C0359B"/>
    <w:rsid w:val="00C03BB6"/>
    <w:rsid w:val="00C03FF8"/>
    <w:rsid w:val="00C043D0"/>
    <w:rsid w:val="00C045BF"/>
    <w:rsid w:val="00C04DF7"/>
    <w:rsid w:val="00C05BCE"/>
    <w:rsid w:val="00C05E06"/>
    <w:rsid w:val="00C061E8"/>
    <w:rsid w:val="00C06244"/>
    <w:rsid w:val="00C0694F"/>
    <w:rsid w:val="00C06B8C"/>
    <w:rsid w:val="00C0740C"/>
    <w:rsid w:val="00C07482"/>
    <w:rsid w:val="00C07650"/>
    <w:rsid w:val="00C10825"/>
    <w:rsid w:val="00C10891"/>
    <w:rsid w:val="00C12101"/>
    <w:rsid w:val="00C126A0"/>
    <w:rsid w:val="00C127B7"/>
    <w:rsid w:val="00C128CB"/>
    <w:rsid w:val="00C1443D"/>
    <w:rsid w:val="00C148E2"/>
    <w:rsid w:val="00C14B4C"/>
    <w:rsid w:val="00C1583A"/>
    <w:rsid w:val="00C15D69"/>
    <w:rsid w:val="00C15FE2"/>
    <w:rsid w:val="00C16BC5"/>
    <w:rsid w:val="00C17711"/>
    <w:rsid w:val="00C17A8D"/>
    <w:rsid w:val="00C210DC"/>
    <w:rsid w:val="00C21847"/>
    <w:rsid w:val="00C21DB6"/>
    <w:rsid w:val="00C224E7"/>
    <w:rsid w:val="00C2264E"/>
    <w:rsid w:val="00C22A51"/>
    <w:rsid w:val="00C22BD9"/>
    <w:rsid w:val="00C22C85"/>
    <w:rsid w:val="00C22D28"/>
    <w:rsid w:val="00C2330B"/>
    <w:rsid w:val="00C23611"/>
    <w:rsid w:val="00C2378F"/>
    <w:rsid w:val="00C23AC4"/>
    <w:rsid w:val="00C23DBD"/>
    <w:rsid w:val="00C24345"/>
    <w:rsid w:val="00C246BD"/>
    <w:rsid w:val="00C24DE5"/>
    <w:rsid w:val="00C24E29"/>
    <w:rsid w:val="00C24EEA"/>
    <w:rsid w:val="00C2593D"/>
    <w:rsid w:val="00C2666E"/>
    <w:rsid w:val="00C26BC5"/>
    <w:rsid w:val="00C26F37"/>
    <w:rsid w:val="00C30037"/>
    <w:rsid w:val="00C304A6"/>
    <w:rsid w:val="00C30DD6"/>
    <w:rsid w:val="00C3187E"/>
    <w:rsid w:val="00C31BD6"/>
    <w:rsid w:val="00C31F91"/>
    <w:rsid w:val="00C320B8"/>
    <w:rsid w:val="00C3289B"/>
    <w:rsid w:val="00C32FF4"/>
    <w:rsid w:val="00C3339F"/>
    <w:rsid w:val="00C33460"/>
    <w:rsid w:val="00C338E1"/>
    <w:rsid w:val="00C342B8"/>
    <w:rsid w:val="00C351F5"/>
    <w:rsid w:val="00C3534E"/>
    <w:rsid w:val="00C3542D"/>
    <w:rsid w:val="00C3582E"/>
    <w:rsid w:val="00C36180"/>
    <w:rsid w:val="00C36D65"/>
    <w:rsid w:val="00C377C8"/>
    <w:rsid w:val="00C379B5"/>
    <w:rsid w:val="00C40CF4"/>
    <w:rsid w:val="00C42D35"/>
    <w:rsid w:val="00C4354E"/>
    <w:rsid w:val="00C436B9"/>
    <w:rsid w:val="00C43A9F"/>
    <w:rsid w:val="00C43E49"/>
    <w:rsid w:val="00C442E2"/>
    <w:rsid w:val="00C447EA"/>
    <w:rsid w:val="00C462B0"/>
    <w:rsid w:val="00C47FC0"/>
    <w:rsid w:val="00C50282"/>
    <w:rsid w:val="00C503C2"/>
    <w:rsid w:val="00C50C46"/>
    <w:rsid w:val="00C50CA2"/>
    <w:rsid w:val="00C51D82"/>
    <w:rsid w:val="00C528A0"/>
    <w:rsid w:val="00C52B8A"/>
    <w:rsid w:val="00C53D97"/>
    <w:rsid w:val="00C5545C"/>
    <w:rsid w:val="00C55AB6"/>
    <w:rsid w:val="00C56343"/>
    <w:rsid w:val="00C56B3D"/>
    <w:rsid w:val="00C56D0C"/>
    <w:rsid w:val="00C570E8"/>
    <w:rsid w:val="00C573C8"/>
    <w:rsid w:val="00C574F8"/>
    <w:rsid w:val="00C5784C"/>
    <w:rsid w:val="00C57CE7"/>
    <w:rsid w:val="00C57FE2"/>
    <w:rsid w:val="00C60983"/>
    <w:rsid w:val="00C6146D"/>
    <w:rsid w:val="00C6221D"/>
    <w:rsid w:val="00C623AD"/>
    <w:rsid w:val="00C624B2"/>
    <w:rsid w:val="00C627B3"/>
    <w:rsid w:val="00C62818"/>
    <w:rsid w:val="00C631E9"/>
    <w:rsid w:val="00C635FC"/>
    <w:rsid w:val="00C63798"/>
    <w:rsid w:val="00C64227"/>
    <w:rsid w:val="00C64A81"/>
    <w:rsid w:val="00C660EA"/>
    <w:rsid w:val="00C6630B"/>
    <w:rsid w:val="00C665B0"/>
    <w:rsid w:val="00C665D2"/>
    <w:rsid w:val="00C668E9"/>
    <w:rsid w:val="00C66CC0"/>
    <w:rsid w:val="00C70421"/>
    <w:rsid w:val="00C705EC"/>
    <w:rsid w:val="00C709D2"/>
    <w:rsid w:val="00C70C65"/>
    <w:rsid w:val="00C70CCF"/>
    <w:rsid w:val="00C715D9"/>
    <w:rsid w:val="00C7185F"/>
    <w:rsid w:val="00C7298E"/>
    <w:rsid w:val="00C731E5"/>
    <w:rsid w:val="00C73226"/>
    <w:rsid w:val="00C734B1"/>
    <w:rsid w:val="00C73676"/>
    <w:rsid w:val="00C740C0"/>
    <w:rsid w:val="00C74628"/>
    <w:rsid w:val="00C7463C"/>
    <w:rsid w:val="00C74A26"/>
    <w:rsid w:val="00C75A4B"/>
    <w:rsid w:val="00C75E51"/>
    <w:rsid w:val="00C762D8"/>
    <w:rsid w:val="00C76513"/>
    <w:rsid w:val="00C769D5"/>
    <w:rsid w:val="00C76B6F"/>
    <w:rsid w:val="00C76CF9"/>
    <w:rsid w:val="00C76EAB"/>
    <w:rsid w:val="00C8001E"/>
    <w:rsid w:val="00C80211"/>
    <w:rsid w:val="00C80631"/>
    <w:rsid w:val="00C80E0C"/>
    <w:rsid w:val="00C811A7"/>
    <w:rsid w:val="00C81671"/>
    <w:rsid w:val="00C81A97"/>
    <w:rsid w:val="00C81B23"/>
    <w:rsid w:val="00C827ED"/>
    <w:rsid w:val="00C82C17"/>
    <w:rsid w:val="00C838F8"/>
    <w:rsid w:val="00C8393F"/>
    <w:rsid w:val="00C83CC7"/>
    <w:rsid w:val="00C83CDF"/>
    <w:rsid w:val="00C84023"/>
    <w:rsid w:val="00C84D48"/>
    <w:rsid w:val="00C84EFE"/>
    <w:rsid w:val="00C851DF"/>
    <w:rsid w:val="00C86743"/>
    <w:rsid w:val="00C86EEA"/>
    <w:rsid w:val="00C871AF"/>
    <w:rsid w:val="00C87CD3"/>
    <w:rsid w:val="00C9013C"/>
    <w:rsid w:val="00C90F4F"/>
    <w:rsid w:val="00C910F1"/>
    <w:rsid w:val="00C911C0"/>
    <w:rsid w:val="00C91B38"/>
    <w:rsid w:val="00C93E0A"/>
    <w:rsid w:val="00C947D4"/>
    <w:rsid w:val="00C9491F"/>
    <w:rsid w:val="00C94AB4"/>
    <w:rsid w:val="00C95D67"/>
    <w:rsid w:val="00C965FB"/>
    <w:rsid w:val="00C96E9D"/>
    <w:rsid w:val="00C97053"/>
    <w:rsid w:val="00C97418"/>
    <w:rsid w:val="00C97776"/>
    <w:rsid w:val="00C97ADD"/>
    <w:rsid w:val="00CA019C"/>
    <w:rsid w:val="00CA1499"/>
    <w:rsid w:val="00CA1D77"/>
    <w:rsid w:val="00CA2137"/>
    <w:rsid w:val="00CA382B"/>
    <w:rsid w:val="00CA3EA0"/>
    <w:rsid w:val="00CA414D"/>
    <w:rsid w:val="00CA41A2"/>
    <w:rsid w:val="00CA474B"/>
    <w:rsid w:val="00CA5557"/>
    <w:rsid w:val="00CA5CF3"/>
    <w:rsid w:val="00CA6207"/>
    <w:rsid w:val="00CA647D"/>
    <w:rsid w:val="00CA6841"/>
    <w:rsid w:val="00CA6891"/>
    <w:rsid w:val="00CA7B2A"/>
    <w:rsid w:val="00CA7BE9"/>
    <w:rsid w:val="00CB0155"/>
    <w:rsid w:val="00CB0CF3"/>
    <w:rsid w:val="00CB13B2"/>
    <w:rsid w:val="00CB18BC"/>
    <w:rsid w:val="00CB1BEF"/>
    <w:rsid w:val="00CB3155"/>
    <w:rsid w:val="00CB392E"/>
    <w:rsid w:val="00CB449D"/>
    <w:rsid w:val="00CB4B05"/>
    <w:rsid w:val="00CB5443"/>
    <w:rsid w:val="00CB547B"/>
    <w:rsid w:val="00CB66D5"/>
    <w:rsid w:val="00CB6945"/>
    <w:rsid w:val="00CB6D48"/>
    <w:rsid w:val="00CB78C2"/>
    <w:rsid w:val="00CB7DE8"/>
    <w:rsid w:val="00CC178A"/>
    <w:rsid w:val="00CC1792"/>
    <w:rsid w:val="00CC1886"/>
    <w:rsid w:val="00CC18FA"/>
    <w:rsid w:val="00CC2B5D"/>
    <w:rsid w:val="00CC3792"/>
    <w:rsid w:val="00CC4365"/>
    <w:rsid w:val="00CC4397"/>
    <w:rsid w:val="00CC45A8"/>
    <w:rsid w:val="00CC6C54"/>
    <w:rsid w:val="00CC729C"/>
    <w:rsid w:val="00CC751F"/>
    <w:rsid w:val="00CC7756"/>
    <w:rsid w:val="00CC78AE"/>
    <w:rsid w:val="00CC7D0F"/>
    <w:rsid w:val="00CD0094"/>
    <w:rsid w:val="00CD0A55"/>
    <w:rsid w:val="00CD0BDC"/>
    <w:rsid w:val="00CD1228"/>
    <w:rsid w:val="00CD1C1C"/>
    <w:rsid w:val="00CD2C9F"/>
    <w:rsid w:val="00CD2E94"/>
    <w:rsid w:val="00CD35F6"/>
    <w:rsid w:val="00CD3E5D"/>
    <w:rsid w:val="00CD4308"/>
    <w:rsid w:val="00CD4BE8"/>
    <w:rsid w:val="00CD4C98"/>
    <w:rsid w:val="00CD4EF9"/>
    <w:rsid w:val="00CD6072"/>
    <w:rsid w:val="00CD6A0F"/>
    <w:rsid w:val="00CD6B3C"/>
    <w:rsid w:val="00CD6D1C"/>
    <w:rsid w:val="00CD6E2D"/>
    <w:rsid w:val="00CE031D"/>
    <w:rsid w:val="00CE0DFF"/>
    <w:rsid w:val="00CE0F47"/>
    <w:rsid w:val="00CE11B8"/>
    <w:rsid w:val="00CE140B"/>
    <w:rsid w:val="00CE2B97"/>
    <w:rsid w:val="00CE343D"/>
    <w:rsid w:val="00CE41AB"/>
    <w:rsid w:val="00CE4DF0"/>
    <w:rsid w:val="00CE5067"/>
    <w:rsid w:val="00CE551A"/>
    <w:rsid w:val="00CE5DE1"/>
    <w:rsid w:val="00CE662F"/>
    <w:rsid w:val="00CE6911"/>
    <w:rsid w:val="00CE7342"/>
    <w:rsid w:val="00CE7E57"/>
    <w:rsid w:val="00CF00F4"/>
    <w:rsid w:val="00CF0734"/>
    <w:rsid w:val="00CF0806"/>
    <w:rsid w:val="00CF0D85"/>
    <w:rsid w:val="00CF10E2"/>
    <w:rsid w:val="00CF26DD"/>
    <w:rsid w:val="00CF2CCF"/>
    <w:rsid w:val="00CF2D5A"/>
    <w:rsid w:val="00CF304A"/>
    <w:rsid w:val="00CF3375"/>
    <w:rsid w:val="00CF3574"/>
    <w:rsid w:val="00CF3FD3"/>
    <w:rsid w:val="00CF40A2"/>
    <w:rsid w:val="00CF416F"/>
    <w:rsid w:val="00CF429B"/>
    <w:rsid w:val="00CF430F"/>
    <w:rsid w:val="00CF575B"/>
    <w:rsid w:val="00CF5CF0"/>
    <w:rsid w:val="00CF612A"/>
    <w:rsid w:val="00CF66FE"/>
    <w:rsid w:val="00CF7044"/>
    <w:rsid w:val="00CF705E"/>
    <w:rsid w:val="00CF70FC"/>
    <w:rsid w:val="00D002D8"/>
    <w:rsid w:val="00D00596"/>
    <w:rsid w:val="00D01F72"/>
    <w:rsid w:val="00D02835"/>
    <w:rsid w:val="00D030BE"/>
    <w:rsid w:val="00D03158"/>
    <w:rsid w:val="00D04086"/>
    <w:rsid w:val="00D040AE"/>
    <w:rsid w:val="00D047BE"/>
    <w:rsid w:val="00D04D5E"/>
    <w:rsid w:val="00D05736"/>
    <w:rsid w:val="00D05C83"/>
    <w:rsid w:val="00D063F9"/>
    <w:rsid w:val="00D06781"/>
    <w:rsid w:val="00D06F9A"/>
    <w:rsid w:val="00D06FB0"/>
    <w:rsid w:val="00D07071"/>
    <w:rsid w:val="00D07376"/>
    <w:rsid w:val="00D07FDE"/>
    <w:rsid w:val="00D10442"/>
    <w:rsid w:val="00D10857"/>
    <w:rsid w:val="00D10A79"/>
    <w:rsid w:val="00D111BC"/>
    <w:rsid w:val="00D1174B"/>
    <w:rsid w:val="00D11DB0"/>
    <w:rsid w:val="00D11FA4"/>
    <w:rsid w:val="00D129EB"/>
    <w:rsid w:val="00D12BB5"/>
    <w:rsid w:val="00D1397C"/>
    <w:rsid w:val="00D1526F"/>
    <w:rsid w:val="00D15E04"/>
    <w:rsid w:val="00D17234"/>
    <w:rsid w:val="00D17921"/>
    <w:rsid w:val="00D17C62"/>
    <w:rsid w:val="00D17CB2"/>
    <w:rsid w:val="00D20117"/>
    <w:rsid w:val="00D204CE"/>
    <w:rsid w:val="00D21110"/>
    <w:rsid w:val="00D213B4"/>
    <w:rsid w:val="00D21F06"/>
    <w:rsid w:val="00D226F4"/>
    <w:rsid w:val="00D22822"/>
    <w:rsid w:val="00D22F6A"/>
    <w:rsid w:val="00D23215"/>
    <w:rsid w:val="00D23490"/>
    <w:rsid w:val="00D242B8"/>
    <w:rsid w:val="00D2438C"/>
    <w:rsid w:val="00D24ECB"/>
    <w:rsid w:val="00D256D9"/>
    <w:rsid w:val="00D2635C"/>
    <w:rsid w:val="00D26859"/>
    <w:rsid w:val="00D27262"/>
    <w:rsid w:val="00D27D26"/>
    <w:rsid w:val="00D3005F"/>
    <w:rsid w:val="00D30B4E"/>
    <w:rsid w:val="00D30ECB"/>
    <w:rsid w:val="00D33116"/>
    <w:rsid w:val="00D3332B"/>
    <w:rsid w:val="00D337D1"/>
    <w:rsid w:val="00D33C31"/>
    <w:rsid w:val="00D34089"/>
    <w:rsid w:val="00D35325"/>
    <w:rsid w:val="00D35C79"/>
    <w:rsid w:val="00D35F8F"/>
    <w:rsid w:val="00D36031"/>
    <w:rsid w:val="00D36810"/>
    <w:rsid w:val="00D37322"/>
    <w:rsid w:val="00D401C6"/>
    <w:rsid w:val="00D40621"/>
    <w:rsid w:val="00D4156F"/>
    <w:rsid w:val="00D416F6"/>
    <w:rsid w:val="00D42968"/>
    <w:rsid w:val="00D42FE1"/>
    <w:rsid w:val="00D4372E"/>
    <w:rsid w:val="00D444AD"/>
    <w:rsid w:val="00D44BDE"/>
    <w:rsid w:val="00D45123"/>
    <w:rsid w:val="00D45776"/>
    <w:rsid w:val="00D45B83"/>
    <w:rsid w:val="00D45CCE"/>
    <w:rsid w:val="00D45D90"/>
    <w:rsid w:val="00D45E0B"/>
    <w:rsid w:val="00D45F92"/>
    <w:rsid w:val="00D463CE"/>
    <w:rsid w:val="00D47417"/>
    <w:rsid w:val="00D50113"/>
    <w:rsid w:val="00D505DA"/>
    <w:rsid w:val="00D50B71"/>
    <w:rsid w:val="00D50F35"/>
    <w:rsid w:val="00D511D4"/>
    <w:rsid w:val="00D5144B"/>
    <w:rsid w:val="00D53BC7"/>
    <w:rsid w:val="00D5537E"/>
    <w:rsid w:val="00D557AD"/>
    <w:rsid w:val="00D559C7"/>
    <w:rsid w:val="00D55EB1"/>
    <w:rsid w:val="00D566C3"/>
    <w:rsid w:val="00D56DB8"/>
    <w:rsid w:val="00D56FC2"/>
    <w:rsid w:val="00D57561"/>
    <w:rsid w:val="00D6087F"/>
    <w:rsid w:val="00D60A66"/>
    <w:rsid w:val="00D6136E"/>
    <w:rsid w:val="00D61DA9"/>
    <w:rsid w:val="00D61FC1"/>
    <w:rsid w:val="00D6224F"/>
    <w:rsid w:val="00D62C14"/>
    <w:rsid w:val="00D63204"/>
    <w:rsid w:val="00D6328F"/>
    <w:rsid w:val="00D63923"/>
    <w:rsid w:val="00D63F8B"/>
    <w:rsid w:val="00D64602"/>
    <w:rsid w:val="00D6480A"/>
    <w:rsid w:val="00D64865"/>
    <w:rsid w:val="00D649E5"/>
    <w:rsid w:val="00D64DF7"/>
    <w:rsid w:val="00D64EA1"/>
    <w:rsid w:val="00D65111"/>
    <w:rsid w:val="00D65ABC"/>
    <w:rsid w:val="00D6693E"/>
    <w:rsid w:val="00D66990"/>
    <w:rsid w:val="00D66A1D"/>
    <w:rsid w:val="00D66D03"/>
    <w:rsid w:val="00D673A2"/>
    <w:rsid w:val="00D701E3"/>
    <w:rsid w:val="00D702D6"/>
    <w:rsid w:val="00D71113"/>
    <w:rsid w:val="00D71470"/>
    <w:rsid w:val="00D71986"/>
    <w:rsid w:val="00D71F74"/>
    <w:rsid w:val="00D72188"/>
    <w:rsid w:val="00D73154"/>
    <w:rsid w:val="00D73223"/>
    <w:rsid w:val="00D73278"/>
    <w:rsid w:val="00D73713"/>
    <w:rsid w:val="00D73BC7"/>
    <w:rsid w:val="00D73CB1"/>
    <w:rsid w:val="00D74266"/>
    <w:rsid w:val="00D749E1"/>
    <w:rsid w:val="00D750EC"/>
    <w:rsid w:val="00D757C8"/>
    <w:rsid w:val="00D76368"/>
    <w:rsid w:val="00D76471"/>
    <w:rsid w:val="00D7665C"/>
    <w:rsid w:val="00D76D87"/>
    <w:rsid w:val="00D76F3B"/>
    <w:rsid w:val="00D77678"/>
    <w:rsid w:val="00D777D1"/>
    <w:rsid w:val="00D77B23"/>
    <w:rsid w:val="00D77BB1"/>
    <w:rsid w:val="00D801E3"/>
    <w:rsid w:val="00D801E6"/>
    <w:rsid w:val="00D80223"/>
    <w:rsid w:val="00D806B6"/>
    <w:rsid w:val="00D80F0D"/>
    <w:rsid w:val="00D8143B"/>
    <w:rsid w:val="00D81AB2"/>
    <w:rsid w:val="00D81D94"/>
    <w:rsid w:val="00D8267E"/>
    <w:rsid w:val="00D83BDF"/>
    <w:rsid w:val="00D84F68"/>
    <w:rsid w:val="00D85589"/>
    <w:rsid w:val="00D8562F"/>
    <w:rsid w:val="00D85BA2"/>
    <w:rsid w:val="00D85DA0"/>
    <w:rsid w:val="00D85FE3"/>
    <w:rsid w:val="00D861DF"/>
    <w:rsid w:val="00D8672C"/>
    <w:rsid w:val="00D867F6"/>
    <w:rsid w:val="00D868A6"/>
    <w:rsid w:val="00D868DB"/>
    <w:rsid w:val="00D87D7A"/>
    <w:rsid w:val="00D900E4"/>
    <w:rsid w:val="00D901CC"/>
    <w:rsid w:val="00D9056C"/>
    <w:rsid w:val="00D90752"/>
    <w:rsid w:val="00D91211"/>
    <w:rsid w:val="00D91378"/>
    <w:rsid w:val="00D92734"/>
    <w:rsid w:val="00D92DB1"/>
    <w:rsid w:val="00D9303B"/>
    <w:rsid w:val="00D93DFF"/>
    <w:rsid w:val="00D94348"/>
    <w:rsid w:val="00D94B7F"/>
    <w:rsid w:val="00D95182"/>
    <w:rsid w:val="00D95CA4"/>
    <w:rsid w:val="00D966DC"/>
    <w:rsid w:val="00D96F6A"/>
    <w:rsid w:val="00D97AAD"/>
    <w:rsid w:val="00D97EDC"/>
    <w:rsid w:val="00D97EEA"/>
    <w:rsid w:val="00DA00E4"/>
    <w:rsid w:val="00DA037D"/>
    <w:rsid w:val="00DA0898"/>
    <w:rsid w:val="00DA2309"/>
    <w:rsid w:val="00DA33C6"/>
    <w:rsid w:val="00DA4670"/>
    <w:rsid w:val="00DA4792"/>
    <w:rsid w:val="00DA5789"/>
    <w:rsid w:val="00DA58DB"/>
    <w:rsid w:val="00DA5A4A"/>
    <w:rsid w:val="00DA7436"/>
    <w:rsid w:val="00DB0425"/>
    <w:rsid w:val="00DB0876"/>
    <w:rsid w:val="00DB13AD"/>
    <w:rsid w:val="00DB152F"/>
    <w:rsid w:val="00DB1815"/>
    <w:rsid w:val="00DB2277"/>
    <w:rsid w:val="00DB351F"/>
    <w:rsid w:val="00DB373C"/>
    <w:rsid w:val="00DB4198"/>
    <w:rsid w:val="00DB44B6"/>
    <w:rsid w:val="00DB585E"/>
    <w:rsid w:val="00DB6E55"/>
    <w:rsid w:val="00DB70E8"/>
    <w:rsid w:val="00DB737C"/>
    <w:rsid w:val="00DB7914"/>
    <w:rsid w:val="00DB7D9D"/>
    <w:rsid w:val="00DC05FF"/>
    <w:rsid w:val="00DC15F3"/>
    <w:rsid w:val="00DC163F"/>
    <w:rsid w:val="00DC16B6"/>
    <w:rsid w:val="00DC1809"/>
    <w:rsid w:val="00DC1FF1"/>
    <w:rsid w:val="00DC2159"/>
    <w:rsid w:val="00DC247D"/>
    <w:rsid w:val="00DC3136"/>
    <w:rsid w:val="00DC343A"/>
    <w:rsid w:val="00DC34A5"/>
    <w:rsid w:val="00DC3CF3"/>
    <w:rsid w:val="00DC425F"/>
    <w:rsid w:val="00DC453B"/>
    <w:rsid w:val="00DC470B"/>
    <w:rsid w:val="00DC4A7C"/>
    <w:rsid w:val="00DC4EBF"/>
    <w:rsid w:val="00DC58AA"/>
    <w:rsid w:val="00DC5932"/>
    <w:rsid w:val="00DC5E43"/>
    <w:rsid w:val="00DC5E96"/>
    <w:rsid w:val="00DC60EF"/>
    <w:rsid w:val="00DC6123"/>
    <w:rsid w:val="00DC621F"/>
    <w:rsid w:val="00DC62DF"/>
    <w:rsid w:val="00DC66FD"/>
    <w:rsid w:val="00DC7834"/>
    <w:rsid w:val="00DC7C58"/>
    <w:rsid w:val="00DC7D05"/>
    <w:rsid w:val="00DD145A"/>
    <w:rsid w:val="00DD17AD"/>
    <w:rsid w:val="00DD1936"/>
    <w:rsid w:val="00DD2009"/>
    <w:rsid w:val="00DD2260"/>
    <w:rsid w:val="00DD2936"/>
    <w:rsid w:val="00DD3710"/>
    <w:rsid w:val="00DD41B9"/>
    <w:rsid w:val="00DD43DA"/>
    <w:rsid w:val="00DD45AE"/>
    <w:rsid w:val="00DD48EF"/>
    <w:rsid w:val="00DD5459"/>
    <w:rsid w:val="00DD5934"/>
    <w:rsid w:val="00DD5A45"/>
    <w:rsid w:val="00DD6865"/>
    <w:rsid w:val="00DD694F"/>
    <w:rsid w:val="00DD6B5E"/>
    <w:rsid w:val="00DD6EB6"/>
    <w:rsid w:val="00DD7197"/>
    <w:rsid w:val="00DD7DDE"/>
    <w:rsid w:val="00DE03CD"/>
    <w:rsid w:val="00DE073B"/>
    <w:rsid w:val="00DE12ED"/>
    <w:rsid w:val="00DE1404"/>
    <w:rsid w:val="00DE16F2"/>
    <w:rsid w:val="00DE1954"/>
    <w:rsid w:val="00DE1C50"/>
    <w:rsid w:val="00DE23E0"/>
    <w:rsid w:val="00DE2663"/>
    <w:rsid w:val="00DE300C"/>
    <w:rsid w:val="00DE31C3"/>
    <w:rsid w:val="00DE339C"/>
    <w:rsid w:val="00DE343A"/>
    <w:rsid w:val="00DE3AB2"/>
    <w:rsid w:val="00DE3E06"/>
    <w:rsid w:val="00DE47D0"/>
    <w:rsid w:val="00DE4ACB"/>
    <w:rsid w:val="00DE6745"/>
    <w:rsid w:val="00DE6AA9"/>
    <w:rsid w:val="00DE6CF3"/>
    <w:rsid w:val="00DE6D0B"/>
    <w:rsid w:val="00DE712C"/>
    <w:rsid w:val="00DE7A5B"/>
    <w:rsid w:val="00DF0574"/>
    <w:rsid w:val="00DF0772"/>
    <w:rsid w:val="00DF0906"/>
    <w:rsid w:val="00DF0C31"/>
    <w:rsid w:val="00DF2957"/>
    <w:rsid w:val="00DF2B60"/>
    <w:rsid w:val="00DF376A"/>
    <w:rsid w:val="00DF38F1"/>
    <w:rsid w:val="00DF3ABF"/>
    <w:rsid w:val="00DF3C2C"/>
    <w:rsid w:val="00DF3E5E"/>
    <w:rsid w:val="00DF403D"/>
    <w:rsid w:val="00DF42D5"/>
    <w:rsid w:val="00DF6280"/>
    <w:rsid w:val="00DF64C9"/>
    <w:rsid w:val="00DF6B71"/>
    <w:rsid w:val="00DF6EFD"/>
    <w:rsid w:val="00DF7C67"/>
    <w:rsid w:val="00E0141D"/>
    <w:rsid w:val="00E0175B"/>
    <w:rsid w:val="00E025A0"/>
    <w:rsid w:val="00E02616"/>
    <w:rsid w:val="00E03DCF"/>
    <w:rsid w:val="00E04210"/>
    <w:rsid w:val="00E04494"/>
    <w:rsid w:val="00E048C0"/>
    <w:rsid w:val="00E06806"/>
    <w:rsid w:val="00E0691F"/>
    <w:rsid w:val="00E06C00"/>
    <w:rsid w:val="00E06EA3"/>
    <w:rsid w:val="00E06FAF"/>
    <w:rsid w:val="00E0791D"/>
    <w:rsid w:val="00E105F5"/>
    <w:rsid w:val="00E107E3"/>
    <w:rsid w:val="00E119B2"/>
    <w:rsid w:val="00E12A0A"/>
    <w:rsid w:val="00E136FC"/>
    <w:rsid w:val="00E139E5"/>
    <w:rsid w:val="00E13C81"/>
    <w:rsid w:val="00E13E12"/>
    <w:rsid w:val="00E14054"/>
    <w:rsid w:val="00E142FE"/>
    <w:rsid w:val="00E14FF8"/>
    <w:rsid w:val="00E1503A"/>
    <w:rsid w:val="00E153EA"/>
    <w:rsid w:val="00E17208"/>
    <w:rsid w:val="00E17353"/>
    <w:rsid w:val="00E173B0"/>
    <w:rsid w:val="00E17FAE"/>
    <w:rsid w:val="00E20358"/>
    <w:rsid w:val="00E20537"/>
    <w:rsid w:val="00E20C8F"/>
    <w:rsid w:val="00E20DB4"/>
    <w:rsid w:val="00E21277"/>
    <w:rsid w:val="00E21633"/>
    <w:rsid w:val="00E216F5"/>
    <w:rsid w:val="00E21F07"/>
    <w:rsid w:val="00E223DC"/>
    <w:rsid w:val="00E223F5"/>
    <w:rsid w:val="00E22619"/>
    <w:rsid w:val="00E229F7"/>
    <w:rsid w:val="00E233AD"/>
    <w:rsid w:val="00E23F90"/>
    <w:rsid w:val="00E2536E"/>
    <w:rsid w:val="00E25CCB"/>
    <w:rsid w:val="00E25E70"/>
    <w:rsid w:val="00E26ED0"/>
    <w:rsid w:val="00E2779B"/>
    <w:rsid w:val="00E3025A"/>
    <w:rsid w:val="00E30306"/>
    <w:rsid w:val="00E3078B"/>
    <w:rsid w:val="00E30D49"/>
    <w:rsid w:val="00E30F1F"/>
    <w:rsid w:val="00E31D02"/>
    <w:rsid w:val="00E32014"/>
    <w:rsid w:val="00E33ADF"/>
    <w:rsid w:val="00E33C19"/>
    <w:rsid w:val="00E33C3B"/>
    <w:rsid w:val="00E33D24"/>
    <w:rsid w:val="00E33E43"/>
    <w:rsid w:val="00E34017"/>
    <w:rsid w:val="00E3449F"/>
    <w:rsid w:val="00E34567"/>
    <w:rsid w:val="00E35471"/>
    <w:rsid w:val="00E3554D"/>
    <w:rsid w:val="00E35B0B"/>
    <w:rsid w:val="00E36A9E"/>
    <w:rsid w:val="00E378EA"/>
    <w:rsid w:val="00E37927"/>
    <w:rsid w:val="00E37D50"/>
    <w:rsid w:val="00E40653"/>
    <w:rsid w:val="00E407AD"/>
    <w:rsid w:val="00E408CE"/>
    <w:rsid w:val="00E40C93"/>
    <w:rsid w:val="00E41356"/>
    <w:rsid w:val="00E417A1"/>
    <w:rsid w:val="00E42805"/>
    <w:rsid w:val="00E4298F"/>
    <w:rsid w:val="00E42CC6"/>
    <w:rsid w:val="00E42DC8"/>
    <w:rsid w:val="00E43B00"/>
    <w:rsid w:val="00E43E64"/>
    <w:rsid w:val="00E4473E"/>
    <w:rsid w:val="00E4533A"/>
    <w:rsid w:val="00E4574B"/>
    <w:rsid w:val="00E45B3C"/>
    <w:rsid w:val="00E45E9A"/>
    <w:rsid w:val="00E467B7"/>
    <w:rsid w:val="00E472CD"/>
    <w:rsid w:val="00E4732C"/>
    <w:rsid w:val="00E477CF"/>
    <w:rsid w:val="00E47C04"/>
    <w:rsid w:val="00E47FFA"/>
    <w:rsid w:val="00E51D35"/>
    <w:rsid w:val="00E51E48"/>
    <w:rsid w:val="00E523CF"/>
    <w:rsid w:val="00E5294F"/>
    <w:rsid w:val="00E5375B"/>
    <w:rsid w:val="00E539DD"/>
    <w:rsid w:val="00E5545B"/>
    <w:rsid w:val="00E55FC4"/>
    <w:rsid w:val="00E567C2"/>
    <w:rsid w:val="00E56BAC"/>
    <w:rsid w:val="00E56C03"/>
    <w:rsid w:val="00E57AC4"/>
    <w:rsid w:val="00E60306"/>
    <w:rsid w:val="00E6089A"/>
    <w:rsid w:val="00E609E9"/>
    <w:rsid w:val="00E60E62"/>
    <w:rsid w:val="00E615E2"/>
    <w:rsid w:val="00E61667"/>
    <w:rsid w:val="00E61973"/>
    <w:rsid w:val="00E625B6"/>
    <w:rsid w:val="00E62C34"/>
    <w:rsid w:val="00E63546"/>
    <w:rsid w:val="00E65110"/>
    <w:rsid w:val="00E659C3"/>
    <w:rsid w:val="00E65CDC"/>
    <w:rsid w:val="00E65FFA"/>
    <w:rsid w:val="00E66273"/>
    <w:rsid w:val="00E66300"/>
    <w:rsid w:val="00E663A4"/>
    <w:rsid w:val="00E67748"/>
    <w:rsid w:val="00E67E7A"/>
    <w:rsid w:val="00E70160"/>
    <w:rsid w:val="00E7070B"/>
    <w:rsid w:val="00E70914"/>
    <w:rsid w:val="00E70F55"/>
    <w:rsid w:val="00E71E8A"/>
    <w:rsid w:val="00E73AD2"/>
    <w:rsid w:val="00E74F31"/>
    <w:rsid w:val="00E74FEC"/>
    <w:rsid w:val="00E75153"/>
    <w:rsid w:val="00E7528A"/>
    <w:rsid w:val="00E75EEC"/>
    <w:rsid w:val="00E760AB"/>
    <w:rsid w:val="00E7681F"/>
    <w:rsid w:val="00E76A25"/>
    <w:rsid w:val="00E76E24"/>
    <w:rsid w:val="00E772AE"/>
    <w:rsid w:val="00E77B34"/>
    <w:rsid w:val="00E81078"/>
    <w:rsid w:val="00E82625"/>
    <w:rsid w:val="00E82AF6"/>
    <w:rsid w:val="00E83597"/>
    <w:rsid w:val="00E83AE3"/>
    <w:rsid w:val="00E8408E"/>
    <w:rsid w:val="00E840CE"/>
    <w:rsid w:val="00E841FE"/>
    <w:rsid w:val="00E8437B"/>
    <w:rsid w:val="00E84CB2"/>
    <w:rsid w:val="00E8530A"/>
    <w:rsid w:val="00E86D3B"/>
    <w:rsid w:val="00E86E92"/>
    <w:rsid w:val="00E87CF6"/>
    <w:rsid w:val="00E92298"/>
    <w:rsid w:val="00E92685"/>
    <w:rsid w:val="00E9294B"/>
    <w:rsid w:val="00E92CCA"/>
    <w:rsid w:val="00E92ED5"/>
    <w:rsid w:val="00E93159"/>
    <w:rsid w:val="00E93993"/>
    <w:rsid w:val="00E93CF1"/>
    <w:rsid w:val="00E93FCB"/>
    <w:rsid w:val="00E941F7"/>
    <w:rsid w:val="00E94385"/>
    <w:rsid w:val="00E949D1"/>
    <w:rsid w:val="00E94C2E"/>
    <w:rsid w:val="00E96219"/>
    <w:rsid w:val="00E96CF2"/>
    <w:rsid w:val="00E96EDC"/>
    <w:rsid w:val="00E97C18"/>
    <w:rsid w:val="00E97F39"/>
    <w:rsid w:val="00EA0832"/>
    <w:rsid w:val="00EA120F"/>
    <w:rsid w:val="00EA12E3"/>
    <w:rsid w:val="00EA14CB"/>
    <w:rsid w:val="00EA24D2"/>
    <w:rsid w:val="00EA2544"/>
    <w:rsid w:val="00EA2742"/>
    <w:rsid w:val="00EA2BD1"/>
    <w:rsid w:val="00EA2C97"/>
    <w:rsid w:val="00EA2D3D"/>
    <w:rsid w:val="00EA3CBE"/>
    <w:rsid w:val="00EA41CF"/>
    <w:rsid w:val="00EA4F68"/>
    <w:rsid w:val="00EA550D"/>
    <w:rsid w:val="00EA5E05"/>
    <w:rsid w:val="00EA7458"/>
    <w:rsid w:val="00EB0157"/>
    <w:rsid w:val="00EB026F"/>
    <w:rsid w:val="00EB0741"/>
    <w:rsid w:val="00EB0B51"/>
    <w:rsid w:val="00EB0BD3"/>
    <w:rsid w:val="00EB121A"/>
    <w:rsid w:val="00EB1C64"/>
    <w:rsid w:val="00EB1CBA"/>
    <w:rsid w:val="00EB2AF6"/>
    <w:rsid w:val="00EB3A91"/>
    <w:rsid w:val="00EB3D0D"/>
    <w:rsid w:val="00EB455E"/>
    <w:rsid w:val="00EB48DB"/>
    <w:rsid w:val="00EB5D9F"/>
    <w:rsid w:val="00EB646F"/>
    <w:rsid w:val="00EB6A0D"/>
    <w:rsid w:val="00EB6EFA"/>
    <w:rsid w:val="00EB72FD"/>
    <w:rsid w:val="00EB7E59"/>
    <w:rsid w:val="00EC0E23"/>
    <w:rsid w:val="00EC1845"/>
    <w:rsid w:val="00EC2740"/>
    <w:rsid w:val="00EC309F"/>
    <w:rsid w:val="00EC310E"/>
    <w:rsid w:val="00EC3761"/>
    <w:rsid w:val="00EC3D2E"/>
    <w:rsid w:val="00EC3F59"/>
    <w:rsid w:val="00EC4DC5"/>
    <w:rsid w:val="00EC5C20"/>
    <w:rsid w:val="00EC66D4"/>
    <w:rsid w:val="00EC677A"/>
    <w:rsid w:val="00EC69D6"/>
    <w:rsid w:val="00EC6EAB"/>
    <w:rsid w:val="00EC72AC"/>
    <w:rsid w:val="00EC7E9A"/>
    <w:rsid w:val="00ED06E0"/>
    <w:rsid w:val="00ED0C22"/>
    <w:rsid w:val="00ED1700"/>
    <w:rsid w:val="00ED18BF"/>
    <w:rsid w:val="00ED2098"/>
    <w:rsid w:val="00ED31D1"/>
    <w:rsid w:val="00ED3939"/>
    <w:rsid w:val="00ED3E6B"/>
    <w:rsid w:val="00ED54DF"/>
    <w:rsid w:val="00ED5E0F"/>
    <w:rsid w:val="00ED6224"/>
    <w:rsid w:val="00ED6228"/>
    <w:rsid w:val="00ED6261"/>
    <w:rsid w:val="00ED650B"/>
    <w:rsid w:val="00ED6629"/>
    <w:rsid w:val="00ED6BF9"/>
    <w:rsid w:val="00ED6F1E"/>
    <w:rsid w:val="00ED6F3C"/>
    <w:rsid w:val="00ED7005"/>
    <w:rsid w:val="00ED719C"/>
    <w:rsid w:val="00ED7B98"/>
    <w:rsid w:val="00ED7D40"/>
    <w:rsid w:val="00EE05B8"/>
    <w:rsid w:val="00EE0B9E"/>
    <w:rsid w:val="00EE2B1E"/>
    <w:rsid w:val="00EE2DBD"/>
    <w:rsid w:val="00EE4728"/>
    <w:rsid w:val="00EE47C6"/>
    <w:rsid w:val="00EE4E6A"/>
    <w:rsid w:val="00EE52FE"/>
    <w:rsid w:val="00EE5603"/>
    <w:rsid w:val="00EE5648"/>
    <w:rsid w:val="00EE5671"/>
    <w:rsid w:val="00EE58AF"/>
    <w:rsid w:val="00EE5954"/>
    <w:rsid w:val="00EE5EE8"/>
    <w:rsid w:val="00EE637B"/>
    <w:rsid w:val="00EE6D9F"/>
    <w:rsid w:val="00EE7151"/>
    <w:rsid w:val="00EE79DB"/>
    <w:rsid w:val="00EE7B1C"/>
    <w:rsid w:val="00EE7D91"/>
    <w:rsid w:val="00EF012A"/>
    <w:rsid w:val="00EF1A69"/>
    <w:rsid w:val="00EF24CA"/>
    <w:rsid w:val="00EF2D86"/>
    <w:rsid w:val="00EF319E"/>
    <w:rsid w:val="00EF3374"/>
    <w:rsid w:val="00EF4095"/>
    <w:rsid w:val="00EF443A"/>
    <w:rsid w:val="00EF4E96"/>
    <w:rsid w:val="00EF5067"/>
    <w:rsid w:val="00EF543E"/>
    <w:rsid w:val="00EF5A44"/>
    <w:rsid w:val="00EF5B55"/>
    <w:rsid w:val="00EF6618"/>
    <w:rsid w:val="00EF684F"/>
    <w:rsid w:val="00EF6F37"/>
    <w:rsid w:val="00F00281"/>
    <w:rsid w:val="00F008D7"/>
    <w:rsid w:val="00F008E0"/>
    <w:rsid w:val="00F00999"/>
    <w:rsid w:val="00F01B01"/>
    <w:rsid w:val="00F01B5F"/>
    <w:rsid w:val="00F01D47"/>
    <w:rsid w:val="00F020BD"/>
    <w:rsid w:val="00F020F2"/>
    <w:rsid w:val="00F027D3"/>
    <w:rsid w:val="00F02BC6"/>
    <w:rsid w:val="00F03968"/>
    <w:rsid w:val="00F041AC"/>
    <w:rsid w:val="00F0441D"/>
    <w:rsid w:val="00F044D8"/>
    <w:rsid w:val="00F047A1"/>
    <w:rsid w:val="00F0503B"/>
    <w:rsid w:val="00F05357"/>
    <w:rsid w:val="00F0585F"/>
    <w:rsid w:val="00F06828"/>
    <w:rsid w:val="00F07363"/>
    <w:rsid w:val="00F12133"/>
    <w:rsid w:val="00F123B0"/>
    <w:rsid w:val="00F125BC"/>
    <w:rsid w:val="00F1283C"/>
    <w:rsid w:val="00F12999"/>
    <w:rsid w:val="00F139DB"/>
    <w:rsid w:val="00F13B0C"/>
    <w:rsid w:val="00F1402D"/>
    <w:rsid w:val="00F14224"/>
    <w:rsid w:val="00F148AA"/>
    <w:rsid w:val="00F14B90"/>
    <w:rsid w:val="00F15647"/>
    <w:rsid w:val="00F15785"/>
    <w:rsid w:val="00F15D30"/>
    <w:rsid w:val="00F16AA9"/>
    <w:rsid w:val="00F17732"/>
    <w:rsid w:val="00F17D48"/>
    <w:rsid w:val="00F17EDA"/>
    <w:rsid w:val="00F21956"/>
    <w:rsid w:val="00F22A3F"/>
    <w:rsid w:val="00F23CA2"/>
    <w:rsid w:val="00F23DE4"/>
    <w:rsid w:val="00F243C9"/>
    <w:rsid w:val="00F2565E"/>
    <w:rsid w:val="00F25BED"/>
    <w:rsid w:val="00F26278"/>
    <w:rsid w:val="00F26900"/>
    <w:rsid w:val="00F2730E"/>
    <w:rsid w:val="00F30738"/>
    <w:rsid w:val="00F3109F"/>
    <w:rsid w:val="00F3150D"/>
    <w:rsid w:val="00F318A8"/>
    <w:rsid w:val="00F31BF2"/>
    <w:rsid w:val="00F33569"/>
    <w:rsid w:val="00F34953"/>
    <w:rsid w:val="00F35556"/>
    <w:rsid w:val="00F36BFB"/>
    <w:rsid w:val="00F36FD8"/>
    <w:rsid w:val="00F37356"/>
    <w:rsid w:val="00F40007"/>
    <w:rsid w:val="00F40F3E"/>
    <w:rsid w:val="00F41429"/>
    <w:rsid w:val="00F41D5B"/>
    <w:rsid w:val="00F41DE5"/>
    <w:rsid w:val="00F4231C"/>
    <w:rsid w:val="00F42A70"/>
    <w:rsid w:val="00F433A3"/>
    <w:rsid w:val="00F45B73"/>
    <w:rsid w:val="00F45B77"/>
    <w:rsid w:val="00F45FB8"/>
    <w:rsid w:val="00F4684E"/>
    <w:rsid w:val="00F46DB5"/>
    <w:rsid w:val="00F46FF7"/>
    <w:rsid w:val="00F472FB"/>
    <w:rsid w:val="00F474EF"/>
    <w:rsid w:val="00F50161"/>
    <w:rsid w:val="00F50664"/>
    <w:rsid w:val="00F507F7"/>
    <w:rsid w:val="00F50FE1"/>
    <w:rsid w:val="00F515B3"/>
    <w:rsid w:val="00F5286E"/>
    <w:rsid w:val="00F52C78"/>
    <w:rsid w:val="00F53876"/>
    <w:rsid w:val="00F543D5"/>
    <w:rsid w:val="00F54C3D"/>
    <w:rsid w:val="00F54DBB"/>
    <w:rsid w:val="00F55C20"/>
    <w:rsid w:val="00F55CF4"/>
    <w:rsid w:val="00F55D8D"/>
    <w:rsid w:val="00F562EB"/>
    <w:rsid w:val="00F56C24"/>
    <w:rsid w:val="00F56F07"/>
    <w:rsid w:val="00F573FF"/>
    <w:rsid w:val="00F57AE1"/>
    <w:rsid w:val="00F60674"/>
    <w:rsid w:val="00F60809"/>
    <w:rsid w:val="00F60D1E"/>
    <w:rsid w:val="00F611B0"/>
    <w:rsid w:val="00F611D7"/>
    <w:rsid w:val="00F61A07"/>
    <w:rsid w:val="00F61A7E"/>
    <w:rsid w:val="00F62E35"/>
    <w:rsid w:val="00F63846"/>
    <w:rsid w:val="00F63EEA"/>
    <w:rsid w:val="00F64CEF"/>
    <w:rsid w:val="00F64D56"/>
    <w:rsid w:val="00F65211"/>
    <w:rsid w:val="00F656AC"/>
    <w:rsid w:val="00F6574C"/>
    <w:rsid w:val="00F65F59"/>
    <w:rsid w:val="00F66067"/>
    <w:rsid w:val="00F66927"/>
    <w:rsid w:val="00F66AC3"/>
    <w:rsid w:val="00F6711F"/>
    <w:rsid w:val="00F7048E"/>
    <w:rsid w:val="00F70908"/>
    <w:rsid w:val="00F71194"/>
    <w:rsid w:val="00F714BC"/>
    <w:rsid w:val="00F7195E"/>
    <w:rsid w:val="00F72E97"/>
    <w:rsid w:val="00F730D3"/>
    <w:rsid w:val="00F73233"/>
    <w:rsid w:val="00F739C2"/>
    <w:rsid w:val="00F73FDC"/>
    <w:rsid w:val="00F7408B"/>
    <w:rsid w:val="00F74109"/>
    <w:rsid w:val="00F741A3"/>
    <w:rsid w:val="00F750BA"/>
    <w:rsid w:val="00F751DD"/>
    <w:rsid w:val="00F75743"/>
    <w:rsid w:val="00F76098"/>
    <w:rsid w:val="00F76669"/>
    <w:rsid w:val="00F76C9E"/>
    <w:rsid w:val="00F76D08"/>
    <w:rsid w:val="00F77116"/>
    <w:rsid w:val="00F77AA8"/>
    <w:rsid w:val="00F80233"/>
    <w:rsid w:val="00F80EA7"/>
    <w:rsid w:val="00F81111"/>
    <w:rsid w:val="00F81447"/>
    <w:rsid w:val="00F81634"/>
    <w:rsid w:val="00F81665"/>
    <w:rsid w:val="00F8183C"/>
    <w:rsid w:val="00F81D80"/>
    <w:rsid w:val="00F81E59"/>
    <w:rsid w:val="00F821A3"/>
    <w:rsid w:val="00F827AA"/>
    <w:rsid w:val="00F8286F"/>
    <w:rsid w:val="00F829A2"/>
    <w:rsid w:val="00F82ED4"/>
    <w:rsid w:val="00F8305C"/>
    <w:rsid w:val="00F8335D"/>
    <w:rsid w:val="00F83719"/>
    <w:rsid w:val="00F83B0A"/>
    <w:rsid w:val="00F841EA"/>
    <w:rsid w:val="00F8537A"/>
    <w:rsid w:val="00F853F2"/>
    <w:rsid w:val="00F85559"/>
    <w:rsid w:val="00F857E4"/>
    <w:rsid w:val="00F85CCE"/>
    <w:rsid w:val="00F85CD1"/>
    <w:rsid w:val="00F85D20"/>
    <w:rsid w:val="00F86440"/>
    <w:rsid w:val="00F876B7"/>
    <w:rsid w:val="00F900D7"/>
    <w:rsid w:val="00F90E48"/>
    <w:rsid w:val="00F91106"/>
    <w:rsid w:val="00F9174A"/>
    <w:rsid w:val="00F919F0"/>
    <w:rsid w:val="00F92D63"/>
    <w:rsid w:val="00F92F93"/>
    <w:rsid w:val="00F941B2"/>
    <w:rsid w:val="00F94450"/>
    <w:rsid w:val="00F945AC"/>
    <w:rsid w:val="00F94BAE"/>
    <w:rsid w:val="00F96970"/>
    <w:rsid w:val="00F9701A"/>
    <w:rsid w:val="00F97D62"/>
    <w:rsid w:val="00F97DFE"/>
    <w:rsid w:val="00FA007C"/>
    <w:rsid w:val="00FA0AC8"/>
    <w:rsid w:val="00FA0C77"/>
    <w:rsid w:val="00FA0F69"/>
    <w:rsid w:val="00FA16E0"/>
    <w:rsid w:val="00FA1A25"/>
    <w:rsid w:val="00FA1AB3"/>
    <w:rsid w:val="00FA1D26"/>
    <w:rsid w:val="00FA247B"/>
    <w:rsid w:val="00FA36C0"/>
    <w:rsid w:val="00FA43C1"/>
    <w:rsid w:val="00FA5AEA"/>
    <w:rsid w:val="00FA65FF"/>
    <w:rsid w:val="00FA689F"/>
    <w:rsid w:val="00FA7B24"/>
    <w:rsid w:val="00FB03DE"/>
    <w:rsid w:val="00FB1B1E"/>
    <w:rsid w:val="00FB1B40"/>
    <w:rsid w:val="00FB223D"/>
    <w:rsid w:val="00FB267C"/>
    <w:rsid w:val="00FB2798"/>
    <w:rsid w:val="00FB2E03"/>
    <w:rsid w:val="00FB2FBE"/>
    <w:rsid w:val="00FB324B"/>
    <w:rsid w:val="00FB3341"/>
    <w:rsid w:val="00FB3A80"/>
    <w:rsid w:val="00FB3BE1"/>
    <w:rsid w:val="00FB3EE1"/>
    <w:rsid w:val="00FB41B4"/>
    <w:rsid w:val="00FB480B"/>
    <w:rsid w:val="00FB4D62"/>
    <w:rsid w:val="00FB4DD2"/>
    <w:rsid w:val="00FB4F48"/>
    <w:rsid w:val="00FB5441"/>
    <w:rsid w:val="00FB5A1A"/>
    <w:rsid w:val="00FB5B08"/>
    <w:rsid w:val="00FB5E11"/>
    <w:rsid w:val="00FB60DC"/>
    <w:rsid w:val="00FB612A"/>
    <w:rsid w:val="00FB69FD"/>
    <w:rsid w:val="00FB71C9"/>
    <w:rsid w:val="00FB7AEA"/>
    <w:rsid w:val="00FB7D77"/>
    <w:rsid w:val="00FC00A7"/>
    <w:rsid w:val="00FC038A"/>
    <w:rsid w:val="00FC06EF"/>
    <w:rsid w:val="00FC08C3"/>
    <w:rsid w:val="00FC17D3"/>
    <w:rsid w:val="00FC187F"/>
    <w:rsid w:val="00FC2FA3"/>
    <w:rsid w:val="00FC3456"/>
    <w:rsid w:val="00FC3CDB"/>
    <w:rsid w:val="00FC465A"/>
    <w:rsid w:val="00FC4879"/>
    <w:rsid w:val="00FC48EC"/>
    <w:rsid w:val="00FC4903"/>
    <w:rsid w:val="00FC49E4"/>
    <w:rsid w:val="00FC4D7F"/>
    <w:rsid w:val="00FC5732"/>
    <w:rsid w:val="00FC5834"/>
    <w:rsid w:val="00FC5DF4"/>
    <w:rsid w:val="00FC6013"/>
    <w:rsid w:val="00FC6D2D"/>
    <w:rsid w:val="00FC7085"/>
    <w:rsid w:val="00FD00DF"/>
    <w:rsid w:val="00FD025C"/>
    <w:rsid w:val="00FD045C"/>
    <w:rsid w:val="00FD09B1"/>
    <w:rsid w:val="00FD1411"/>
    <w:rsid w:val="00FD1639"/>
    <w:rsid w:val="00FD1CA8"/>
    <w:rsid w:val="00FD1FC5"/>
    <w:rsid w:val="00FD29DE"/>
    <w:rsid w:val="00FD2DF5"/>
    <w:rsid w:val="00FD2E60"/>
    <w:rsid w:val="00FD3407"/>
    <w:rsid w:val="00FD36EE"/>
    <w:rsid w:val="00FD391C"/>
    <w:rsid w:val="00FD3A84"/>
    <w:rsid w:val="00FD44DE"/>
    <w:rsid w:val="00FD4E61"/>
    <w:rsid w:val="00FD51FD"/>
    <w:rsid w:val="00FD55EA"/>
    <w:rsid w:val="00FD5B91"/>
    <w:rsid w:val="00FD642F"/>
    <w:rsid w:val="00FD684C"/>
    <w:rsid w:val="00FD6A11"/>
    <w:rsid w:val="00FD6B00"/>
    <w:rsid w:val="00FD6B2B"/>
    <w:rsid w:val="00FD6FE1"/>
    <w:rsid w:val="00FD727A"/>
    <w:rsid w:val="00FD742A"/>
    <w:rsid w:val="00FE0357"/>
    <w:rsid w:val="00FE091F"/>
    <w:rsid w:val="00FE17BC"/>
    <w:rsid w:val="00FE2A5F"/>
    <w:rsid w:val="00FE39DC"/>
    <w:rsid w:val="00FE4788"/>
    <w:rsid w:val="00FE4ACA"/>
    <w:rsid w:val="00FE5DF5"/>
    <w:rsid w:val="00FE607E"/>
    <w:rsid w:val="00FE616D"/>
    <w:rsid w:val="00FE6A63"/>
    <w:rsid w:val="00FE7DEA"/>
    <w:rsid w:val="00FF0A54"/>
    <w:rsid w:val="00FF0D31"/>
    <w:rsid w:val="00FF0E03"/>
    <w:rsid w:val="00FF163E"/>
    <w:rsid w:val="00FF1651"/>
    <w:rsid w:val="00FF1A0B"/>
    <w:rsid w:val="00FF1AB9"/>
    <w:rsid w:val="00FF1F3C"/>
    <w:rsid w:val="00FF232B"/>
    <w:rsid w:val="00FF2F17"/>
    <w:rsid w:val="00FF395D"/>
    <w:rsid w:val="00FF3E5B"/>
    <w:rsid w:val="00FF43B5"/>
    <w:rsid w:val="00FF463D"/>
    <w:rsid w:val="00FF4D72"/>
    <w:rsid w:val="00FF52FC"/>
    <w:rsid w:val="00FF5789"/>
    <w:rsid w:val="00FF7BBF"/>
    <w:rsid w:val="00FF7D7A"/>
    <w:rsid w:val="0AE4B9BA"/>
    <w:rsid w:val="0B52496C"/>
    <w:rsid w:val="2C2C3CB5"/>
    <w:rsid w:val="6B3F1EA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6145"/>
    <o:shapelayout v:ext="edit">
      <o:idmap v:ext="edit" data="1"/>
    </o:shapelayout>
  </w:shapeDefaults>
  <w:decimalSymbol w:val="."/>
  <w:listSeparator w:val=","/>
  <w14:docId w14:val="5FA3F79C"/>
  <w14:defaultImageDpi w14:val="0"/>
  <w15:docId w15:val="{37D40AD3-CF3D-41CD-A91F-15C50F6974F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imes New Roman" w:hAnsiTheme="minorHAnsi" w:cstheme="minorHAnsi"/>
        <w:sz w:val="22"/>
        <w:szCs w:val="22"/>
        <w:lang w:val="en-US"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1" w:qFormat="1"/>
    <w:lsdException w:name="heading 2" w:semiHidden="1" w:uiPriority="1" w:unhideWhenUsed="1" w:qFormat="1"/>
    <w:lsdException w:name="heading 3" w:semiHidden="1" w:uiPriority="1" w:unhideWhenUsed="1" w:qFormat="1"/>
    <w:lsdException w:name="heading 4" w:semiHidden="1" w:uiPriority="1"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toc 1" w:semiHidden="1" w:uiPriority="1" w:unhideWhenUsed="1" w:qFormat="1"/>
    <w:lsdException w:name="toc 2" w:semiHidden="1" w:uiPriority="1" w:unhideWhenUsed="1" w:qFormat="1"/>
    <w:lsdException w:name="toc 3" w:semiHidden="1" w:uiPriority="1" w:unhideWhenUsed="1" w:qFormat="1"/>
    <w:lsdException w:name="toc 4" w:semiHidden="1" w:uiPriority="1" w:unhideWhenUsed="1" w:qFormat="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caption" w:semiHidden="1" w:uiPriority="35" w:unhideWhenUsed="1" w:qFormat="1"/>
    <w:lsdException w:name="List Number" w:semiHidden="1" w:unhideWhenUsed="1"/>
    <w:lsdException w:name="List 4" w:semiHidden="1" w:unhideWhenUsed="1"/>
    <w:lsdException w:name="List 5" w:semiHidden="1" w:unhideWhenUsed="1"/>
    <w:lsdException w:name="Title" w:uiPriority="10" w:qFormat="1"/>
    <w:lsdException w:name="Default Paragraph Font" w:semiHidden="1" w:uiPriority="1" w:unhideWhenUsed="1"/>
    <w:lsdException w:name="Body Text" w:semiHidden="1" w:uiPriority="1" w:unhideWhenUsed="1" w:qFormat="1"/>
    <w:lsdException w:name="Subtitle" w:uiPriority="11" w:qFormat="1"/>
    <w:lsdException w:name="Salutation" w:semiHidden="1" w:unhideWhenUsed="1"/>
    <w:lsdException w:name="Date" w:semiHidden="1" w:unhideWhenUsed="1"/>
    <w:lsdException w:name="Body Text First Indent" w:semiHidden="1" w:unhideWhenUsed="1"/>
    <w:lsdException w:name="Strong" w:uiPriority="22" w:qFormat="1"/>
    <w:lsdException w:name="Emphasis" w:uiPriority="20" w:qFormat="1"/>
    <w:lsdException w:name="HTML Preformatted" w:semiHidden="1" w:unhideWhenUsed="1"/>
    <w:lsdException w:name="Normal Table"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8279F0"/>
    <w:rPr>
      <w:rFonts w:cs="Times New Roman"/>
    </w:rPr>
  </w:style>
  <w:style w:type="paragraph" w:styleId="Heading1">
    <w:name w:val="heading 1"/>
    <w:basedOn w:val="Normal"/>
    <w:link w:val="Heading1Char"/>
    <w:uiPriority w:val="1"/>
    <w:qFormat/>
    <w:rsid w:val="00EA7458"/>
    <w:pPr>
      <w:widowControl w:val="0"/>
      <w:spacing w:before="30" w:after="0" w:line="240" w:lineRule="auto"/>
      <w:ind w:left="107"/>
      <w:outlineLvl w:val="0"/>
    </w:pPr>
    <w:rPr>
      <w:rFonts w:ascii="Calibri" w:hAnsi="Calibri"/>
      <w:b/>
      <w:bCs/>
      <w:sz w:val="36"/>
      <w:szCs w:val="36"/>
    </w:rPr>
  </w:style>
  <w:style w:type="paragraph" w:styleId="Heading2">
    <w:name w:val="heading 2"/>
    <w:basedOn w:val="Normal"/>
    <w:link w:val="Heading2Char"/>
    <w:uiPriority w:val="1"/>
    <w:qFormat/>
    <w:rsid w:val="00EA7458"/>
    <w:pPr>
      <w:widowControl w:val="0"/>
      <w:spacing w:after="0" w:line="240" w:lineRule="auto"/>
      <w:ind w:left="828" w:hanging="360"/>
      <w:outlineLvl w:val="1"/>
    </w:pPr>
    <w:rPr>
      <w:rFonts w:ascii="Calibri" w:hAnsi="Calibri"/>
      <w:b/>
      <w:bCs/>
      <w:sz w:val="26"/>
      <w:szCs w:val="26"/>
    </w:rPr>
  </w:style>
  <w:style w:type="paragraph" w:styleId="Heading3">
    <w:name w:val="heading 3"/>
    <w:basedOn w:val="Normal"/>
    <w:link w:val="Heading3Char"/>
    <w:uiPriority w:val="1"/>
    <w:qFormat/>
    <w:rsid w:val="00EA7458"/>
    <w:pPr>
      <w:widowControl w:val="0"/>
      <w:spacing w:after="0" w:line="240" w:lineRule="auto"/>
      <w:ind w:left="107"/>
      <w:outlineLvl w:val="2"/>
    </w:pPr>
    <w:rPr>
      <w:rFonts w:ascii="Calibri" w:hAnsi="Calibri"/>
      <w:b/>
      <w:bCs/>
    </w:rPr>
  </w:style>
  <w:style w:type="paragraph" w:styleId="Heading4">
    <w:name w:val="heading 4"/>
    <w:basedOn w:val="Normal"/>
    <w:link w:val="Heading4Char"/>
    <w:uiPriority w:val="1"/>
    <w:qFormat/>
    <w:rsid w:val="00EA7458"/>
    <w:pPr>
      <w:widowControl w:val="0"/>
      <w:spacing w:before="63" w:after="0" w:line="240" w:lineRule="auto"/>
      <w:ind w:left="107"/>
      <w:outlineLvl w:val="3"/>
    </w:pPr>
    <w:rPr>
      <w:rFonts w:ascii="Gill Sans MT" w:hAnsi="Gill Sans MT"/>
      <w:b/>
      <w:bCs/>
      <w: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1"/>
    <w:locked/>
    <w:rsid w:val="00EA7458"/>
    <w:rPr>
      <w:rFonts w:ascii="Calibri" w:hAnsi="Calibri" w:cs="Times New Roman"/>
      <w:b/>
      <w:bCs/>
      <w:sz w:val="36"/>
      <w:szCs w:val="36"/>
    </w:rPr>
  </w:style>
  <w:style w:type="character" w:customStyle="1" w:styleId="Heading2Char">
    <w:name w:val="Heading 2 Char"/>
    <w:basedOn w:val="DefaultParagraphFont"/>
    <w:link w:val="Heading2"/>
    <w:uiPriority w:val="1"/>
    <w:locked/>
    <w:rsid w:val="00EA7458"/>
    <w:rPr>
      <w:rFonts w:ascii="Calibri" w:hAnsi="Calibri" w:cs="Times New Roman"/>
      <w:b/>
      <w:bCs/>
      <w:sz w:val="26"/>
      <w:szCs w:val="26"/>
    </w:rPr>
  </w:style>
  <w:style w:type="character" w:customStyle="1" w:styleId="Heading3Char">
    <w:name w:val="Heading 3 Char"/>
    <w:basedOn w:val="DefaultParagraphFont"/>
    <w:link w:val="Heading3"/>
    <w:uiPriority w:val="1"/>
    <w:locked/>
    <w:rsid w:val="00EA7458"/>
    <w:rPr>
      <w:rFonts w:ascii="Calibri" w:hAnsi="Calibri" w:cs="Times New Roman"/>
      <w:b/>
      <w:bCs/>
    </w:rPr>
  </w:style>
  <w:style w:type="character" w:customStyle="1" w:styleId="Heading4Char">
    <w:name w:val="Heading 4 Char"/>
    <w:basedOn w:val="DefaultParagraphFont"/>
    <w:link w:val="Heading4"/>
    <w:uiPriority w:val="1"/>
    <w:locked/>
    <w:rsid w:val="00EA7458"/>
    <w:rPr>
      <w:rFonts w:ascii="Gill Sans MT" w:hAnsi="Gill Sans MT" w:cs="Times New Roman"/>
      <w:b/>
      <w:bCs/>
      <w:i/>
    </w:rPr>
  </w:style>
  <w:style w:type="paragraph" w:styleId="TOC1">
    <w:name w:val="toc 1"/>
    <w:basedOn w:val="Normal"/>
    <w:uiPriority w:val="1"/>
    <w:qFormat/>
    <w:rsid w:val="00EA7458"/>
    <w:pPr>
      <w:widowControl w:val="0"/>
      <w:spacing w:before="81" w:after="0" w:line="240" w:lineRule="auto"/>
      <w:ind w:left="107"/>
    </w:pPr>
    <w:rPr>
      <w:rFonts w:ascii="Calibri" w:hAnsi="Calibri"/>
      <w:b/>
      <w:bCs/>
      <w:sz w:val="18"/>
      <w:szCs w:val="18"/>
    </w:rPr>
  </w:style>
  <w:style w:type="paragraph" w:styleId="TOC2">
    <w:name w:val="toc 2"/>
    <w:basedOn w:val="Normal"/>
    <w:uiPriority w:val="1"/>
    <w:qFormat/>
    <w:rsid w:val="00EA7458"/>
    <w:pPr>
      <w:widowControl w:val="0"/>
      <w:spacing w:before="20" w:after="0" w:line="240" w:lineRule="auto"/>
      <w:ind w:left="107"/>
    </w:pPr>
    <w:rPr>
      <w:rFonts w:ascii="Gill Sans MT" w:hAnsi="Gill Sans MT"/>
      <w:b/>
      <w:bCs/>
      <w:i/>
      <w:sz w:val="18"/>
      <w:szCs w:val="18"/>
    </w:rPr>
  </w:style>
  <w:style w:type="paragraph" w:styleId="TOC3">
    <w:name w:val="toc 3"/>
    <w:basedOn w:val="Normal"/>
    <w:uiPriority w:val="1"/>
    <w:qFormat/>
    <w:rsid w:val="00EA7458"/>
    <w:pPr>
      <w:widowControl w:val="0"/>
      <w:spacing w:before="81" w:after="0" w:line="240" w:lineRule="auto"/>
      <w:ind w:left="320" w:hanging="313"/>
    </w:pPr>
    <w:rPr>
      <w:rFonts w:ascii="Calibri" w:hAnsi="Calibri"/>
      <w:b/>
      <w:bCs/>
      <w:i/>
    </w:rPr>
  </w:style>
  <w:style w:type="paragraph" w:styleId="TOC4">
    <w:name w:val="toc 4"/>
    <w:basedOn w:val="Normal"/>
    <w:uiPriority w:val="1"/>
    <w:qFormat/>
    <w:rsid w:val="00EA7458"/>
    <w:pPr>
      <w:widowControl w:val="0"/>
      <w:spacing w:before="81" w:after="0" w:line="240" w:lineRule="auto"/>
      <w:ind w:left="708" w:hanging="330"/>
    </w:pPr>
    <w:rPr>
      <w:rFonts w:ascii="Calibri" w:hAnsi="Calibri"/>
      <w:b/>
      <w:bCs/>
      <w:sz w:val="18"/>
      <w:szCs w:val="18"/>
    </w:rPr>
  </w:style>
  <w:style w:type="paragraph" w:styleId="BodyText">
    <w:name w:val="Body Text"/>
    <w:basedOn w:val="Normal"/>
    <w:link w:val="BodyTextChar"/>
    <w:uiPriority w:val="1"/>
    <w:qFormat/>
    <w:rsid w:val="00EA7458"/>
    <w:pPr>
      <w:widowControl w:val="0"/>
      <w:spacing w:after="0" w:line="240" w:lineRule="auto"/>
      <w:ind w:left="107"/>
    </w:pPr>
    <w:rPr>
      <w:rFonts w:ascii="Calibri" w:hAnsi="Calibri"/>
    </w:rPr>
  </w:style>
  <w:style w:type="character" w:customStyle="1" w:styleId="BodyTextChar">
    <w:name w:val="Body Text Char"/>
    <w:basedOn w:val="DefaultParagraphFont"/>
    <w:link w:val="BodyText"/>
    <w:uiPriority w:val="1"/>
    <w:locked/>
    <w:rsid w:val="00EA7458"/>
    <w:rPr>
      <w:rFonts w:ascii="Calibri" w:hAnsi="Calibri" w:cs="Times New Roman"/>
    </w:rPr>
  </w:style>
  <w:style w:type="paragraph" w:customStyle="1" w:styleId="ListParagraph1">
    <w:name w:val="List Paragraph1"/>
    <w:basedOn w:val="Normal"/>
    <w:next w:val="ListParagraph"/>
    <w:uiPriority w:val="1"/>
    <w:qFormat/>
    <w:rsid w:val="00EA7458"/>
    <w:pPr>
      <w:widowControl w:val="0"/>
      <w:spacing w:after="0" w:line="240" w:lineRule="auto"/>
    </w:pPr>
  </w:style>
  <w:style w:type="paragraph" w:customStyle="1" w:styleId="TableParagraph">
    <w:name w:val="Table Paragraph"/>
    <w:basedOn w:val="Normal"/>
    <w:uiPriority w:val="1"/>
    <w:qFormat/>
    <w:rsid w:val="00EA7458"/>
    <w:pPr>
      <w:widowControl w:val="0"/>
      <w:spacing w:after="0" w:line="240" w:lineRule="auto"/>
    </w:pPr>
  </w:style>
  <w:style w:type="paragraph" w:styleId="BalloonText">
    <w:name w:val="Balloon Text"/>
    <w:basedOn w:val="Normal"/>
    <w:link w:val="BalloonTextChar"/>
    <w:uiPriority w:val="99"/>
    <w:semiHidden/>
    <w:unhideWhenUsed/>
    <w:rsid w:val="00EA7458"/>
    <w:pPr>
      <w:widowControl w:val="0"/>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EA7458"/>
    <w:rPr>
      <w:rFonts w:ascii="Tahoma" w:hAnsi="Tahoma" w:cs="Tahoma"/>
      <w:sz w:val="16"/>
      <w:szCs w:val="16"/>
    </w:rPr>
  </w:style>
  <w:style w:type="paragraph" w:customStyle="1" w:styleId="Header1">
    <w:name w:val="Header1"/>
    <w:basedOn w:val="Normal"/>
    <w:next w:val="Header"/>
    <w:link w:val="HeaderChar"/>
    <w:uiPriority w:val="99"/>
    <w:unhideWhenUsed/>
    <w:rsid w:val="00EA7458"/>
    <w:pPr>
      <w:widowControl w:val="0"/>
      <w:tabs>
        <w:tab w:val="center" w:pos="4680"/>
        <w:tab w:val="right" w:pos="9360"/>
      </w:tabs>
      <w:spacing w:after="0" w:line="240" w:lineRule="auto"/>
    </w:pPr>
  </w:style>
  <w:style w:type="character" w:customStyle="1" w:styleId="HeaderChar">
    <w:name w:val="Header Char"/>
    <w:basedOn w:val="DefaultParagraphFont"/>
    <w:link w:val="Header1"/>
    <w:uiPriority w:val="99"/>
    <w:locked/>
    <w:rsid w:val="00EA7458"/>
    <w:rPr>
      <w:rFonts w:cs="Times New Roman"/>
    </w:rPr>
  </w:style>
  <w:style w:type="paragraph" w:customStyle="1" w:styleId="Footer1">
    <w:name w:val="Footer1"/>
    <w:basedOn w:val="Normal"/>
    <w:next w:val="Footer"/>
    <w:link w:val="FooterChar"/>
    <w:uiPriority w:val="99"/>
    <w:unhideWhenUsed/>
    <w:rsid w:val="00EA7458"/>
    <w:pPr>
      <w:widowControl w:val="0"/>
      <w:tabs>
        <w:tab w:val="center" w:pos="4680"/>
        <w:tab w:val="right" w:pos="9360"/>
      </w:tabs>
      <w:spacing w:after="0" w:line="240" w:lineRule="auto"/>
    </w:pPr>
  </w:style>
  <w:style w:type="character" w:customStyle="1" w:styleId="FooterChar">
    <w:name w:val="Footer Char"/>
    <w:basedOn w:val="DefaultParagraphFont"/>
    <w:link w:val="Footer1"/>
    <w:uiPriority w:val="99"/>
    <w:locked/>
    <w:rsid w:val="00EA7458"/>
    <w:rPr>
      <w:rFonts w:cs="Times New Roman"/>
    </w:rPr>
  </w:style>
  <w:style w:type="paragraph" w:styleId="ListParagraph">
    <w:name w:val="List Paragraph"/>
    <w:basedOn w:val="Normal"/>
    <w:uiPriority w:val="34"/>
    <w:qFormat/>
    <w:rsid w:val="00EA7458"/>
    <w:pPr>
      <w:ind w:left="720"/>
      <w:contextualSpacing/>
    </w:pPr>
  </w:style>
  <w:style w:type="paragraph" w:styleId="Header">
    <w:name w:val="header"/>
    <w:basedOn w:val="Normal"/>
    <w:link w:val="HeaderChar1"/>
    <w:uiPriority w:val="99"/>
    <w:unhideWhenUsed/>
    <w:rsid w:val="00EA7458"/>
    <w:pPr>
      <w:tabs>
        <w:tab w:val="center" w:pos="4680"/>
        <w:tab w:val="right" w:pos="9360"/>
      </w:tabs>
      <w:spacing w:after="0" w:line="240" w:lineRule="auto"/>
    </w:pPr>
  </w:style>
  <w:style w:type="character" w:customStyle="1" w:styleId="HeaderChar1">
    <w:name w:val="Header Char1"/>
    <w:basedOn w:val="DefaultParagraphFont"/>
    <w:link w:val="Header"/>
    <w:uiPriority w:val="99"/>
    <w:locked/>
    <w:rsid w:val="00EA7458"/>
    <w:rPr>
      <w:rFonts w:cs="Times New Roman"/>
    </w:rPr>
  </w:style>
  <w:style w:type="paragraph" w:styleId="Footer">
    <w:name w:val="footer"/>
    <w:basedOn w:val="Normal"/>
    <w:link w:val="FooterChar1"/>
    <w:uiPriority w:val="99"/>
    <w:unhideWhenUsed/>
    <w:rsid w:val="00EA7458"/>
    <w:pPr>
      <w:tabs>
        <w:tab w:val="center" w:pos="4680"/>
        <w:tab w:val="right" w:pos="9360"/>
      </w:tabs>
      <w:spacing w:after="0" w:line="240" w:lineRule="auto"/>
    </w:pPr>
  </w:style>
  <w:style w:type="character" w:customStyle="1" w:styleId="FooterChar1">
    <w:name w:val="Footer Char1"/>
    <w:basedOn w:val="DefaultParagraphFont"/>
    <w:link w:val="Footer"/>
    <w:uiPriority w:val="99"/>
    <w:locked/>
    <w:rsid w:val="00EA7458"/>
    <w:rPr>
      <w:rFonts w:cs="Times New Roman"/>
    </w:rPr>
  </w:style>
  <w:style w:type="character" w:styleId="Hyperlink">
    <w:name w:val="Hyperlink"/>
    <w:basedOn w:val="DefaultParagraphFont"/>
    <w:uiPriority w:val="99"/>
    <w:rsid w:val="000738C2"/>
    <w:rPr>
      <w:rFonts w:cs="Times New Roman"/>
      <w:color w:val="0000FF" w:themeColor="hyperlink"/>
      <w:u w:val="single"/>
    </w:rPr>
  </w:style>
  <w:style w:type="paragraph" w:customStyle="1" w:styleId="Pa17">
    <w:name w:val="Pa17"/>
    <w:basedOn w:val="Normal"/>
    <w:next w:val="Normal"/>
    <w:uiPriority w:val="99"/>
    <w:rsid w:val="00BA4790"/>
    <w:pPr>
      <w:autoSpaceDE w:val="0"/>
      <w:autoSpaceDN w:val="0"/>
      <w:adjustRightInd w:val="0"/>
      <w:spacing w:after="0" w:line="221" w:lineRule="atLeast"/>
    </w:pPr>
    <w:rPr>
      <w:rFonts w:ascii="Proxima Nova Rg" w:hAnsi="Proxima Nova Rg"/>
      <w:sz w:val="24"/>
      <w:szCs w:val="24"/>
    </w:rPr>
  </w:style>
  <w:style w:type="paragraph" w:customStyle="1" w:styleId="Pa18">
    <w:name w:val="Pa18"/>
    <w:basedOn w:val="Normal"/>
    <w:next w:val="Normal"/>
    <w:uiPriority w:val="99"/>
    <w:rsid w:val="00BA4790"/>
    <w:pPr>
      <w:autoSpaceDE w:val="0"/>
      <w:autoSpaceDN w:val="0"/>
      <w:adjustRightInd w:val="0"/>
      <w:spacing w:after="0" w:line="221" w:lineRule="atLeast"/>
    </w:pPr>
    <w:rPr>
      <w:rFonts w:ascii="Proxima Nova Rg" w:hAnsi="Proxima Nova Rg"/>
      <w:sz w:val="24"/>
      <w:szCs w:val="24"/>
    </w:rPr>
  </w:style>
  <w:style w:type="character" w:styleId="FollowedHyperlink">
    <w:name w:val="FollowedHyperlink"/>
    <w:basedOn w:val="DefaultParagraphFont"/>
    <w:uiPriority w:val="99"/>
    <w:rsid w:val="00A36F63"/>
    <w:rPr>
      <w:rFonts w:cs="Times New Roman"/>
      <w:color w:val="800080" w:themeColor="followedHyperlink"/>
      <w:u w:val="single"/>
    </w:rPr>
  </w:style>
  <w:style w:type="table" w:styleId="TableGrid">
    <w:name w:val="Table Grid"/>
    <w:basedOn w:val="TableNormal"/>
    <w:uiPriority w:val="39"/>
    <w:rsid w:val="00645B59"/>
    <w:pPr>
      <w:spacing w:after="0" w:line="240" w:lineRule="auto"/>
    </w:pPr>
    <w:rPr>
      <w:rFonts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rsid w:val="00605C36"/>
    <w:rPr>
      <w:rFonts w:cs="Times New Roman"/>
      <w:sz w:val="16"/>
      <w:szCs w:val="16"/>
    </w:rPr>
  </w:style>
  <w:style w:type="paragraph" w:styleId="CommentText">
    <w:name w:val="annotation text"/>
    <w:basedOn w:val="Normal"/>
    <w:link w:val="CommentTextChar"/>
    <w:uiPriority w:val="99"/>
    <w:rsid w:val="00605C36"/>
    <w:pPr>
      <w:spacing w:line="240" w:lineRule="auto"/>
    </w:pPr>
    <w:rPr>
      <w:sz w:val="20"/>
      <w:szCs w:val="20"/>
    </w:rPr>
  </w:style>
  <w:style w:type="character" w:customStyle="1" w:styleId="CommentTextChar">
    <w:name w:val="Comment Text Char"/>
    <w:basedOn w:val="DefaultParagraphFont"/>
    <w:link w:val="CommentText"/>
    <w:uiPriority w:val="99"/>
    <w:locked/>
    <w:rsid w:val="00605C36"/>
    <w:rPr>
      <w:rFonts w:cs="Times New Roman"/>
      <w:sz w:val="20"/>
      <w:szCs w:val="20"/>
    </w:rPr>
  </w:style>
  <w:style w:type="paragraph" w:styleId="CommentSubject">
    <w:name w:val="annotation subject"/>
    <w:basedOn w:val="CommentText"/>
    <w:next w:val="CommentText"/>
    <w:link w:val="CommentSubjectChar"/>
    <w:uiPriority w:val="99"/>
    <w:rsid w:val="00605C36"/>
    <w:rPr>
      <w:b/>
      <w:bCs/>
    </w:rPr>
  </w:style>
  <w:style w:type="character" w:customStyle="1" w:styleId="CommentSubjectChar">
    <w:name w:val="Comment Subject Char"/>
    <w:basedOn w:val="CommentTextChar"/>
    <w:link w:val="CommentSubject"/>
    <w:uiPriority w:val="99"/>
    <w:locked/>
    <w:rsid w:val="00605C36"/>
    <w:rPr>
      <w:rFonts w:cs="Times New Roman"/>
      <w:b/>
      <w:bCs/>
      <w:sz w:val="20"/>
      <w:szCs w:val="20"/>
    </w:rPr>
  </w:style>
  <w:style w:type="character" w:customStyle="1" w:styleId="UnresolvedMention1">
    <w:name w:val="Unresolved Mention1"/>
    <w:basedOn w:val="DefaultParagraphFont"/>
    <w:uiPriority w:val="99"/>
    <w:semiHidden/>
    <w:unhideWhenUsed/>
    <w:rsid w:val="00956044"/>
    <w:rPr>
      <w:rFonts w:cs="Times New Roman"/>
      <w:color w:val="808080"/>
      <w:shd w:val="clear" w:color="auto" w:fill="E6E6E6"/>
    </w:rPr>
  </w:style>
  <w:style w:type="paragraph" w:styleId="NormalWeb">
    <w:name w:val="Normal (Web)"/>
    <w:basedOn w:val="Normal"/>
    <w:uiPriority w:val="99"/>
    <w:unhideWhenUsed/>
    <w:rsid w:val="00297E8B"/>
    <w:pPr>
      <w:spacing w:before="100" w:beforeAutospacing="1" w:after="100" w:afterAutospacing="1" w:line="240" w:lineRule="auto"/>
    </w:pPr>
    <w:rPr>
      <w:rFonts w:ascii="Times New Roman" w:hAnsi="Times New Roman"/>
      <w:sz w:val="24"/>
      <w:szCs w:val="24"/>
    </w:rPr>
  </w:style>
  <w:style w:type="character" w:customStyle="1" w:styleId="fontstyle01">
    <w:name w:val="fontstyle01"/>
    <w:basedOn w:val="DefaultParagraphFont"/>
    <w:rsid w:val="00F86440"/>
    <w:rPr>
      <w:rFonts w:ascii="MyriadPro-Regular" w:hAnsi="MyriadPro-Regular" w:hint="default"/>
      <w:b w:val="0"/>
      <w:bCs w:val="0"/>
      <w:i w:val="0"/>
      <w:iCs w:val="0"/>
      <w:color w:val="231F20"/>
      <w:sz w:val="22"/>
      <w:szCs w:val="22"/>
    </w:rPr>
  </w:style>
  <w:style w:type="character" w:customStyle="1" w:styleId="UnresolvedMention10">
    <w:name w:val="Unresolved Mention1"/>
    <w:basedOn w:val="DefaultParagraphFont"/>
    <w:uiPriority w:val="99"/>
    <w:semiHidden/>
    <w:unhideWhenUsed/>
    <w:rsid w:val="00D6480A"/>
    <w:rPr>
      <w:color w:val="808080"/>
      <w:shd w:val="clear" w:color="auto" w:fill="E6E6E6"/>
    </w:rPr>
  </w:style>
  <w:style w:type="paragraph" w:customStyle="1" w:styleId="Default">
    <w:name w:val="Default"/>
    <w:rsid w:val="004A5251"/>
    <w:pPr>
      <w:autoSpaceDE w:val="0"/>
      <w:autoSpaceDN w:val="0"/>
      <w:adjustRightInd w:val="0"/>
      <w:spacing w:after="0" w:line="240" w:lineRule="auto"/>
    </w:pPr>
    <w:rPr>
      <w:rFonts w:ascii="Times New Roman" w:eastAsiaTheme="minorHAnsi" w:hAnsi="Times New Roman" w:cs="Times New Roman"/>
      <w:color w:val="000000"/>
      <w:sz w:val="24"/>
      <w:szCs w:val="24"/>
    </w:rPr>
  </w:style>
  <w:style w:type="table" w:styleId="GridTable4-Accent1">
    <w:name w:val="Grid Table 4 Accent 1"/>
    <w:basedOn w:val="TableNormal"/>
    <w:uiPriority w:val="49"/>
    <w:rsid w:val="00A11EBF"/>
    <w:pPr>
      <w:spacing w:after="0" w:line="240" w:lineRule="auto"/>
    </w:p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TableGrid1">
    <w:name w:val="Table Grid1"/>
    <w:basedOn w:val="TableNormal"/>
    <w:next w:val="TableGrid"/>
    <w:uiPriority w:val="39"/>
    <w:rsid w:val="00F30738"/>
    <w:pPr>
      <w:spacing w:after="0" w:line="240" w:lineRule="auto"/>
    </w:pPr>
    <w:rPr>
      <w:rFonts w:ascii="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
    <w:name w:val="No List1"/>
    <w:next w:val="NoList"/>
    <w:uiPriority w:val="99"/>
    <w:semiHidden/>
    <w:unhideWhenUsed/>
    <w:rsid w:val="007026A7"/>
  </w:style>
  <w:style w:type="paragraph" w:customStyle="1" w:styleId="ListParagraph2">
    <w:name w:val="List Paragraph2"/>
    <w:basedOn w:val="Normal"/>
    <w:next w:val="ListParagraph"/>
    <w:uiPriority w:val="34"/>
    <w:qFormat/>
    <w:rsid w:val="007026A7"/>
    <w:pPr>
      <w:ind w:left="720"/>
      <w:contextualSpacing/>
    </w:pPr>
  </w:style>
  <w:style w:type="paragraph" w:customStyle="1" w:styleId="Header2">
    <w:name w:val="Header2"/>
    <w:basedOn w:val="Normal"/>
    <w:next w:val="Header"/>
    <w:uiPriority w:val="99"/>
    <w:unhideWhenUsed/>
    <w:rsid w:val="007026A7"/>
    <w:pPr>
      <w:tabs>
        <w:tab w:val="center" w:pos="4680"/>
        <w:tab w:val="right" w:pos="9360"/>
      </w:tabs>
      <w:spacing w:after="0" w:line="240" w:lineRule="auto"/>
    </w:pPr>
    <w:rPr>
      <w:rFonts w:eastAsiaTheme="minorHAnsi"/>
    </w:rPr>
  </w:style>
  <w:style w:type="paragraph" w:customStyle="1" w:styleId="Footer2">
    <w:name w:val="Footer2"/>
    <w:basedOn w:val="Normal"/>
    <w:next w:val="Footer"/>
    <w:uiPriority w:val="99"/>
    <w:unhideWhenUsed/>
    <w:rsid w:val="007026A7"/>
    <w:pPr>
      <w:tabs>
        <w:tab w:val="center" w:pos="4680"/>
        <w:tab w:val="right" w:pos="9360"/>
      </w:tabs>
      <w:spacing w:after="0" w:line="240" w:lineRule="auto"/>
    </w:pPr>
    <w:rPr>
      <w:rFonts w:eastAsiaTheme="minorHAnsi"/>
    </w:rPr>
  </w:style>
  <w:style w:type="character" w:customStyle="1" w:styleId="Hyperlink1">
    <w:name w:val="Hyperlink1"/>
    <w:basedOn w:val="DefaultParagraphFont"/>
    <w:uiPriority w:val="99"/>
    <w:rsid w:val="007026A7"/>
    <w:rPr>
      <w:rFonts w:cs="Times New Roman"/>
      <w:color w:val="0000FF"/>
      <w:u w:val="single"/>
    </w:rPr>
  </w:style>
  <w:style w:type="character" w:customStyle="1" w:styleId="FollowedHyperlink1">
    <w:name w:val="FollowedHyperlink1"/>
    <w:basedOn w:val="DefaultParagraphFont"/>
    <w:uiPriority w:val="99"/>
    <w:rsid w:val="007026A7"/>
    <w:rPr>
      <w:rFonts w:cs="Times New Roman"/>
      <w:color w:val="800080"/>
      <w:u w:val="single"/>
    </w:rPr>
  </w:style>
  <w:style w:type="character" w:customStyle="1" w:styleId="HeaderChar2">
    <w:name w:val="Header Char2"/>
    <w:basedOn w:val="DefaultParagraphFont"/>
    <w:uiPriority w:val="99"/>
    <w:semiHidden/>
    <w:rsid w:val="007026A7"/>
  </w:style>
  <w:style w:type="character" w:customStyle="1" w:styleId="FooterChar2">
    <w:name w:val="Footer Char2"/>
    <w:basedOn w:val="DefaultParagraphFont"/>
    <w:uiPriority w:val="99"/>
    <w:rsid w:val="007026A7"/>
  </w:style>
  <w:style w:type="paragraph" w:styleId="NoSpacing">
    <w:name w:val="No Spacing"/>
    <w:link w:val="NoSpacingChar"/>
    <w:uiPriority w:val="1"/>
    <w:qFormat/>
    <w:rsid w:val="007026A7"/>
    <w:pPr>
      <w:spacing w:after="0" w:line="240" w:lineRule="auto"/>
    </w:pPr>
    <w:rPr>
      <w:rFonts w:eastAsiaTheme="minorEastAsia" w:cstheme="minorBidi"/>
    </w:rPr>
  </w:style>
  <w:style w:type="character" w:customStyle="1" w:styleId="NoSpacingChar">
    <w:name w:val="No Spacing Char"/>
    <w:basedOn w:val="DefaultParagraphFont"/>
    <w:link w:val="NoSpacing"/>
    <w:uiPriority w:val="1"/>
    <w:rsid w:val="007026A7"/>
    <w:rPr>
      <w:rFonts w:eastAsiaTheme="minorEastAsia" w:cstheme="minorBidi"/>
    </w:rPr>
  </w:style>
  <w:style w:type="paragraph" w:styleId="Revision">
    <w:name w:val="Revision"/>
    <w:hidden/>
    <w:uiPriority w:val="99"/>
    <w:semiHidden/>
    <w:rsid w:val="006008DA"/>
    <w:pPr>
      <w:spacing w:after="0" w:line="240" w:lineRule="auto"/>
    </w:pPr>
    <w:rPr>
      <w:rFonts w:cs="Times New Roman"/>
    </w:rPr>
  </w:style>
  <w:style w:type="table" w:styleId="PlainTable1">
    <w:name w:val="Plain Table 1"/>
    <w:basedOn w:val="TableNormal"/>
    <w:uiPriority w:val="41"/>
    <w:rsid w:val="00B60A91"/>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Style1">
    <w:name w:val="Style1"/>
    <w:basedOn w:val="TableNormal"/>
    <w:uiPriority w:val="99"/>
    <w:rsid w:val="0089336F"/>
    <w:pPr>
      <w:spacing w:after="0" w:line="240" w:lineRule="auto"/>
    </w:pPr>
    <w:tblPr/>
  </w:style>
  <w:style w:type="table" w:customStyle="1" w:styleId="usp2">
    <w:name w:val="usp2"/>
    <w:basedOn w:val="PlainTable1"/>
    <w:uiPriority w:val="99"/>
    <w:rsid w:val="00BB46F3"/>
    <w:tblPr>
      <w:tblStyleColBandSize w:val="0"/>
    </w:tblPr>
    <w:tblStylePr w:type="firstRow">
      <w:rPr>
        <w:b/>
        <w:bCs/>
      </w:rPr>
    </w:tblStylePr>
    <w:tblStylePr w:type="lastRow">
      <w:rPr>
        <w:b w:val="0"/>
        <w:bCs/>
      </w:rPr>
      <w:tblPr/>
      <w:tcPr>
        <w:tcBorders>
          <w:top w:val="double" w:sz="4" w:space="0" w:color="BFBFBF" w:themeColor="background1" w:themeShade="BF"/>
        </w:tcBorders>
      </w:tcPr>
    </w:tblStylePr>
    <w:tblStylePr w:type="firstCol">
      <w:rPr>
        <w:b w:val="0"/>
        <w:bCs/>
      </w:rPr>
      <w:tblPr>
        <w:jc w:val="center"/>
      </w:tblPr>
      <w:trPr>
        <w:jc w:val="center"/>
      </w:t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styleId="UnresolvedMention">
    <w:name w:val="Unresolved Mention"/>
    <w:basedOn w:val="DefaultParagraphFont"/>
    <w:uiPriority w:val="99"/>
    <w:semiHidden/>
    <w:unhideWhenUsed/>
    <w:rsid w:val="000B221C"/>
    <w:rPr>
      <w:color w:val="808080"/>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08903261">
      <w:bodyDiv w:val="1"/>
      <w:marLeft w:val="0"/>
      <w:marRight w:val="0"/>
      <w:marTop w:val="0"/>
      <w:marBottom w:val="0"/>
      <w:divBdr>
        <w:top w:val="none" w:sz="0" w:space="0" w:color="auto"/>
        <w:left w:val="none" w:sz="0" w:space="0" w:color="auto"/>
        <w:bottom w:val="none" w:sz="0" w:space="0" w:color="auto"/>
        <w:right w:val="none" w:sz="0" w:space="0" w:color="auto"/>
      </w:divBdr>
    </w:div>
    <w:div w:id="449016253">
      <w:bodyDiv w:val="1"/>
      <w:marLeft w:val="0"/>
      <w:marRight w:val="0"/>
      <w:marTop w:val="0"/>
      <w:marBottom w:val="0"/>
      <w:divBdr>
        <w:top w:val="none" w:sz="0" w:space="0" w:color="auto"/>
        <w:left w:val="none" w:sz="0" w:space="0" w:color="auto"/>
        <w:bottom w:val="none" w:sz="0" w:space="0" w:color="auto"/>
        <w:right w:val="none" w:sz="0" w:space="0" w:color="auto"/>
      </w:divBdr>
    </w:div>
    <w:div w:id="679165457">
      <w:bodyDiv w:val="1"/>
      <w:marLeft w:val="0"/>
      <w:marRight w:val="0"/>
      <w:marTop w:val="0"/>
      <w:marBottom w:val="0"/>
      <w:divBdr>
        <w:top w:val="none" w:sz="0" w:space="0" w:color="auto"/>
        <w:left w:val="none" w:sz="0" w:space="0" w:color="auto"/>
        <w:bottom w:val="none" w:sz="0" w:space="0" w:color="auto"/>
        <w:right w:val="none" w:sz="0" w:space="0" w:color="auto"/>
      </w:divBdr>
    </w:div>
    <w:div w:id="930897031">
      <w:marLeft w:val="0"/>
      <w:marRight w:val="0"/>
      <w:marTop w:val="0"/>
      <w:marBottom w:val="0"/>
      <w:divBdr>
        <w:top w:val="none" w:sz="0" w:space="0" w:color="auto"/>
        <w:left w:val="none" w:sz="0" w:space="0" w:color="auto"/>
        <w:bottom w:val="none" w:sz="0" w:space="0" w:color="auto"/>
        <w:right w:val="none" w:sz="0" w:space="0" w:color="auto"/>
      </w:divBdr>
    </w:div>
    <w:div w:id="1200162944">
      <w:bodyDiv w:val="1"/>
      <w:marLeft w:val="0"/>
      <w:marRight w:val="0"/>
      <w:marTop w:val="0"/>
      <w:marBottom w:val="0"/>
      <w:divBdr>
        <w:top w:val="none" w:sz="0" w:space="0" w:color="auto"/>
        <w:left w:val="none" w:sz="0" w:space="0" w:color="auto"/>
        <w:bottom w:val="none" w:sz="0" w:space="0" w:color="auto"/>
        <w:right w:val="none" w:sz="0" w:space="0" w:color="auto"/>
      </w:divBdr>
    </w:div>
    <w:div w:id="1315375756">
      <w:bodyDiv w:val="1"/>
      <w:marLeft w:val="0"/>
      <w:marRight w:val="0"/>
      <w:marTop w:val="0"/>
      <w:marBottom w:val="0"/>
      <w:divBdr>
        <w:top w:val="none" w:sz="0" w:space="0" w:color="auto"/>
        <w:left w:val="none" w:sz="0" w:space="0" w:color="auto"/>
        <w:bottom w:val="none" w:sz="0" w:space="0" w:color="auto"/>
        <w:right w:val="none" w:sz="0" w:space="0" w:color="auto"/>
      </w:divBdr>
    </w:div>
    <w:div w:id="1475371997">
      <w:bodyDiv w:val="1"/>
      <w:marLeft w:val="0"/>
      <w:marRight w:val="0"/>
      <w:marTop w:val="0"/>
      <w:marBottom w:val="0"/>
      <w:divBdr>
        <w:top w:val="none" w:sz="0" w:space="0" w:color="auto"/>
        <w:left w:val="none" w:sz="0" w:space="0" w:color="auto"/>
        <w:bottom w:val="none" w:sz="0" w:space="0" w:color="auto"/>
        <w:right w:val="none" w:sz="0" w:space="0" w:color="auto"/>
      </w:divBdr>
    </w:div>
    <w:div w:id="1631083954">
      <w:bodyDiv w:val="1"/>
      <w:marLeft w:val="0"/>
      <w:marRight w:val="0"/>
      <w:marTop w:val="0"/>
      <w:marBottom w:val="0"/>
      <w:divBdr>
        <w:top w:val="none" w:sz="0" w:space="0" w:color="auto"/>
        <w:left w:val="none" w:sz="0" w:space="0" w:color="auto"/>
        <w:bottom w:val="none" w:sz="0" w:space="0" w:color="auto"/>
        <w:right w:val="none" w:sz="0" w:space="0" w:color="auto"/>
      </w:divBdr>
    </w:div>
    <w:div w:id="1922762499">
      <w:bodyDiv w:val="1"/>
      <w:marLeft w:val="0"/>
      <w:marRight w:val="0"/>
      <w:marTop w:val="0"/>
      <w:marBottom w:val="0"/>
      <w:divBdr>
        <w:top w:val="none" w:sz="0" w:space="0" w:color="auto"/>
        <w:left w:val="none" w:sz="0" w:space="0" w:color="auto"/>
        <w:bottom w:val="none" w:sz="0" w:space="0" w:color="auto"/>
        <w:right w:val="none" w:sz="0" w:space="0" w:color="auto"/>
      </w:divBdr>
    </w:div>
    <w:div w:id="1949505789">
      <w:bodyDiv w:val="1"/>
      <w:marLeft w:val="0"/>
      <w:marRight w:val="0"/>
      <w:marTop w:val="0"/>
      <w:marBottom w:val="0"/>
      <w:divBdr>
        <w:top w:val="none" w:sz="0" w:space="0" w:color="auto"/>
        <w:left w:val="none" w:sz="0" w:space="0" w:color="auto"/>
        <w:bottom w:val="none" w:sz="0" w:space="0" w:color="auto"/>
        <w:right w:val="none" w:sz="0" w:space="0" w:color="auto"/>
      </w:divBdr>
      <w:divsChild>
        <w:div w:id="59209503">
          <w:marLeft w:val="0"/>
          <w:marRight w:val="75"/>
          <w:marTop w:val="0"/>
          <w:marBottom w:val="0"/>
          <w:divBdr>
            <w:top w:val="none" w:sz="0" w:space="0" w:color="auto"/>
            <w:left w:val="none" w:sz="0" w:space="0" w:color="auto"/>
            <w:bottom w:val="none" w:sz="0" w:space="0" w:color="auto"/>
            <w:right w:val="none" w:sz="0" w:space="0" w:color="auto"/>
          </w:divBdr>
        </w:div>
        <w:div w:id="211112791">
          <w:marLeft w:val="0"/>
          <w:marRight w:val="75"/>
          <w:marTop w:val="0"/>
          <w:marBottom w:val="0"/>
          <w:divBdr>
            <w:top w:val="none" w:sz="0" w:space="0" w:color="auto"/>
            <w:left w:val="none" w:sz="0" w:space="0" w:color="auto"/>
            <w:bottom w:val="none" w:sz="0" w:space="0" w:color="auto"/>
            <w:right w:val="none" w:sz="0" w:space="0" w:color="auto"/>
          </w:divBdr>
        </w:div>
        <w:div w:id="400099784">
          <w:marLeft w:val="1900"/>
          <w:marRight w:val="0"/>
          <w:marTop w:val="0"/>
          <w:marBottom w:val="0"/>
          <w:divBdr>
            <w:top w:val="none" w:sz="0" w:space="0" w:color="auto"/>
            <w:left w:val="none" w:sz="0" w:space="0" w:color="auto"/>
            <w:bottom w:val="none" w:sz="0" w:space="0" w:color="auto"/>
            <w:right w:val="none" w:sz="0" w:space="0" w:color="auto"/>
          </w:divBdr>
        </w:div>
        <w:div w:id="420882786">
          <w:marLeft w:val="0"/>
          <w:marRight w:val="0"/>
          <w:marTop w:val="10"/>
          <w:marBottom w:val="0"/>
          <w:divBdr>
            <w:top w:val="none" w:sz="0" w:space="0" w:color="auto"/>
            <w:left w:val="none" w:sz="0" w:space="0" w:color="auto"/>
            <w:bottom w:val="none" w:sz="0" w:space="0" w:color="auto"/>
            <w:right w:val="none" w:sz="0" w:space="0" w:color="auto"/>
          </w:divBdr>
        </w:div>
        <w:div w:id="541014369">
          <w:marLeft w:val="0"/>
          <w:marRight w:val="75"/>
          <w:marTop w:val="0"/>
          <w:marBottom w:val="0"/>
          <w:divBdr>
            <w:top w:val="none" w:sz="0" w:space="0" w:color="auto"/>
            <w:left w:val="none" w:sz="0" w:space="0" w:color="auto"/>
            <w:bottom w:val="none" w:sz="0" w:space="0" w:color="auto"/>
            <w:right w:val="none" w:sz="0" w:space="0" w:color="auto"/>
          </w:divBdr>
        </w:div>
        <w:div w:id="829322126">
          <w:marLeft w:val="77"/>
          <w:marRight w:val="0"/>
          <w:marTop w:val="0"/>
          <w:marBottom w:val="0"/>
          <w:divBdr>
            <w:top w:val="none" w:sz="0" w:space="0" w:color="auto"/>
            <w:left w:val="none" w:sz="0" w:space="0" w:color="auto"/>
            <w:bottom w:val="none" w:sz="0" w:space="0" w:color="auto"/>
            <w:right w:val="none" w:sz="0" w:space="0" w:color="auto"/>
          </w:divBdr>
        </w:div>
        <w:div w:id="916667826">
          <w:marLeft w:val="0"/>
          <w:marRight w:val="0"/>
          <w:marTop w:val="45"/>
          <w:marBottom w:val="0"/>
          <w:divBdr>
            <w:top w:val="none" w:sz="0" w:space="0" w:color="auto"/>
            <w:left w:val="none" w:sz="0" w:space="0" w:color="auto"/>
            <w:bottom w:val="none" w:sz="0" w:space="0" w:color="auto"/>
            <w:right w:val="none" w:sz="0" w:space="0" w:color="auto"/>
          </w:divBdr>
        </w:div>
        <w:div w:id="992830002">
          <w:marLeft w:val="0"/>
          <w:marRight w:val="75"/>
          <w:marTop w:val="0"/>
          <w:marBottom w:val="0"/>
          <w:divBdr>
            <w:top w:val="none" w:sz="0" w:space="0" w:color="auto"/>
            <w:left w:val="none" w:sz="0" w:space="0" w:color="auto"/>
            <w:bottom w:val="none" w:sz="0" w:space="0" w:color="auto"/>
            <w:right w:val="none" w:sz="0" w:space="0" w:color="auto"/>
          </w:divBdr>
        </w:div>
        <w:div w:id="1077092217">
          <w:marLeft w:val="720"/>
          <w:marRight w:val="0"/>
          <w:marTop w:val="0"/>
          <w:marBottom w:val="0"/>
          <w:divBdr>
            <w:top w:val="none" w:sz="0" w:space="0" w:color="auto"/>
            <w:left w:val="none" w:sz="0" w:space="0" w:color="auto"/>
            <w:bottom w:val="none" w:sz="0" w:space="0" w:color="auto"/>
            <w:right w:val="none" w:sz="0" w:space="0" w:color="auto"/>
          </w:divBdr>
        </w:div>
        <w:div w:id="1155875535">
          <w:marLeft w:val="1356"/>
          <w:marRight w:val="0"/>
          <w:marTop w:val="0"/>
          <w:marBottom w:val="0"/>
          <w:divBdr>
            <w:top w:val="none" w:sz="0" w:space="0" w:color="auto"/>
            <w:left w:val="none" w:sz="0" w:space="0" w:color="auto"/>
            <w:bottom w:val="none" w:sz="0" w:space="0" w:color="auto"/>
            <w:right w:val="none" w:sz="0" w:space="0" w:color="auto"/>
          </w:divBdr>
        </w:div>
        <w:div w:id="1170750301">
          <w:marLeft w:val="0"/>
          <w:marRight w:val="75"/>
          <w:marTop w:val="0"/>
          <w:marBottom w:val="0"/>
          <w:divBdr>
            <w:top w:val="none" w:sz="0" w:space="0" w:color="auto"/>
            <w:left w:val="none" w:sz="0" w:space="0" w:color="auto"/>
            <w:bottom w:val="none" w:sz="0" w:space="0" w:color="auto"/>
            <w:right w:val="none" w:sz="0" w:space="0" w:color="auto"/>
          </w:divBdr>
        </w:div>
        <w:div w:id="1205483957">
          <w:marLeft w:val="0"/>
          <w:marRight w:val="75"/>
          <w:marTop w:val="0"/>
          <w:marBottom w:val="0"/>
          <w:divBdr>
            <w:top w:val="none" w:sz="0" w:space="0" w:color="auto"/>
            <w:left w:val="none" w:sz="0" w:space="0" w:color="auto"/>
            <w:bottom w:val="none" w:sz="0" w:space="0" w:color="auto"/>
            <w:right w:val="none" w:sz="0" w:space="0" w:color="auto"/>
          </w:divBdr>
        </w:div>
        <w:div w:id="1492215120">
          <w:marLeft w:val="468"/>
          <w:marRight w:val="468"/>
          <w:marTop w:val="0"/>
          <w:marBottom w:val="0"/>
          <w:divBdr>
            <w:top w:val="none" w:sz="0" w:space="0" w:color="auto"/>
            <w:left w:val="none" w:sz="0" w:space="0" w:color="auto"/>
            <w:bottom w:val="none" w:sz="0" w:space="0" w:color="auto"/>
            <w:right w:val="none" w:sz="0" w:space="0" w:color="auto"/>
          </w:divBdr>
        </w:div>
        <w:div w:id="1504932966">
          <w:marLeft w:val="468"/>
          <w:marRight w:val="468"/>
          <w:marTop w:val="0"/>
          <w:marBottom w:val="0"/>
          <w:divBdr>
            <w:top w:val="none" w:sz="0" w:space="0" w:color="auto"/>
            <w:left w:val="none" w:sz="0" w:space="0" w:color="auto"/>
            <w:bottom w:val="none" w:sz="0" w:space="0" w:color="auto"/>
            <w:right w:val="none" w:sz="0" w:space="0" w:color="auto"/>
          </w:divBdr>
        </w:div>
        <w:div w:id="1523398721">
          <w:marLeft w:val="77"/>
          <w:marRight w:val="0"/>
          <w:marTop w:val="0"/>
          <w:marBottom w:val="0"/>
          <w:divBdr>
            <w:top w:val="none" w:sz="0" w:space="0" w:color="auto"/>
            <w:left w:val="none" w:sz="0" w:space="0" w:color="auto"/>
            <w:bottom w:val="none" w:sz="0" w:space="0" w:color="auto"/>
            <w:right w:val="none" w:sz="0" w:space="0" w:color="auto"/>
          </w:divBdr>
        </w:div>
        <w:div w:id="1716659548">
          <w:marLeft w:val="0"/>
          <w:marRight w:val="0"/>
          <w:marTop w:val="6"/>
          <w:marBottom w:val="0"/>
          <w:divBdr>
            <w:top w:val="none" w:sz="0" w:space="0" w:color="auto"/>
            <w:left w:val="none" w:sz="0" w:space="0" w:color="auto"/>
            <w:bottom w:val="none" w:sz="0" w:space="0" w:color="auto"/>
            <w:right w:val="none" w:sz="0" w:space="0" w:color="auto"/>
          </w:divBdr>
        </w:div>
        <w:div w:id="1819033854">
          <w:marLeft w:val="77"/>
          <w:marRight w:val="0"/>
          <w:marTop w:val="0"/>
          <w:marBottom w:val="0"/>
          <w:divBdr>
            <w:top w:val="none" w:sz="0" w:space="0" w:color="auto"/>
            <w:left w:val="none" w:sz="0" w:space="0" w:color="auto"/>
            <w:bottom w:val="none" w:sz="0" w:space="0" w:color="auto"/>
            <w:right w:val="none" w:sz="0" w:space="0" w:color="auto"/>
          </w:divBdr>
        </w:div>
        <w:div w:id="2029060546">
          <w:marLeft w:val="0"/>
          <w:marRight w:val="290"/>
          <w:marTop w:val="0"/>
          <w:marBottom w:val="0"/>
          <w:divBdr>
            <w:top w:val="none" w:sz="0" w:space="0" w:color="auto"/>
            <w:left w:val="none" w:sz="0" w:space="0" w:color="auto"/>
            <w:bottom w:val="none" w:sz="0" w:space="0" w:color="auto"/>
            <w:right w:val="none" w:sz="0" w:space="0" w:color="auto"/>
          </w:divBdr>
        </w:div>
        <w:div w:id="2079548548">
          <w:marLeft w:val="0"/>
          <w:marRight w:val="75"/>
          <w:marTop w:val="0"/>
          <w:marBottom w:val="0"/>
          <w:divBdr>
            <w:top w:val="none" w:sz="0" w:space="0" w:color="auto"/>
            <w:left w:val="none" w:sz="0" w:space="0" w:color="auto"/>
            <w:bottom w:val="none" w:sz="0" w:space="0" w:color="auto"/>
            <w:right w:val="none" w:sz="0" w:space="0" w:color="auto"/>
          </w:divBdr>
        </w:div>
        <w:div w:id="2101369853">
          <w:marLeft w:val="77"/>
          <w:marRight w:val="0"/>
          <w:marTop w:val="0"/>
          <w:marBottom w:val="0"/>
          <w:divBdr>
            <w:top w:val="none" w:sz="0" w:space="0" w:color="auto"/>
            <w:left w:val="none" w:sz="0" w:space="0" w:color="auto"/>
            <w:bottom w:val="none" w:sz="0" w:space="0" w:color="auto"/>
            <w:right w:val="none" w:sz="0" w:space="0" w:color="auto"/>
          </w:divBdr>
        </w:div>
        <w:div w:id="2107731178">
          <w:marLeft w:val="0"/>
          <w:marRight w:val="75"/>
          <w:marTop w:val="0"/>
          <w:marBottom w:val="0"/>
          <w:divBdr>
            <w:top w:val="none" w:sz="0" w:space="0" w:color="auto"/>
            <w:left w:val="none" w:sz="0" w:space="0" w:color="auto"/>
            <w:bottom w:val="none" w:sz="0" w:space="0" w:color="auto"/>
            <w:right w:val="none" w:sz="0" w:space="0" w:color="auto"/>
          </w:divBdr>
        </w:div>
      </w:divsChild>
    </w:div>
  </w:divs>
  <w:optimizeForBrowser/>
  <w:allowPNG/>
  <w:pixelsPerInch w:val="120"/>
</w:webSettings>
</file>

<file path=word/_rels/document.xml.rels><?xml version="1.0" encoding="UTF-8" standalone="yes"?>
<Relationships xmlns="http://schemas.openxmlformats.org/package/2006/relationships"><Relationship Id="rId117" Type="http://schemas.openxmlformats.org/officeDocument/2006/relationships/hyperlink" Target="https://www.employflorida.com/vosnet/Default.aspx" TargetMode="External"/><Relationship Id="rId21" Type="http://schemas.openxmlformats.org/officeDocument/2006/relationships/image" Target="media/image11.png"/><Relationship Id="rId42" Type="http://schemas.openxmlformats.org/officeDocument/2006/relationships/image" Target="media/image32.png"/><Relationship Id="rId63" Type="http://schemas.openxmlformats.org/officeDocument/2006/relationships/footer" Target="footer8.xml"/><Relationship Id="rId84" Type="http://schemas.openxmlformats.org/officeDocument/2006/relationships/footer" Target="footer15.xml"/><Relationship Id="rId138" Type="http://schemas.openxmlformats.org/officeDocument/2006/relationships/footer" Target="footer23.xml"/><Relationship Id="rId159" Type="http://schemas.openxmlformats.org/officeDocument/2006/relationships/footer" Target="footer27.xml"/><Relationship Id="rId170" Type="http://schemas.openxmlformats.org/officeDocument/2006/relationships/hyperlink" Target="http://www.aceofflorida.org/" TargetMode="External"/><Relationship Id="rId191" Type="http://schemas.openxmlformats.org/officeDocument/2006/relationships/footer" Target="footer33.xml"/><Relationship Id="rId205" Type="http://schemas.openxmlformats.org/officeDocument/2006/relationships/image" Target="media/image67.png"/><Relationship Id="rId107" Type="http://schemas.openxmlformats.org/officeDocument/2006/relationships/hyperlink" Target="http://www.floridajobs.org/workforce-board-resources/policy-and-guidance/guidance-papers" TargetMode="External"/><Relationship Id="rId11" Type="http://schemas.openxmlformats.org/officeDocument/2006/relationships/image" Target="media/image1.jpg"/><Relationship Id="rId32" Type="http://schemas.openxmlformats.org/officeDocument/2006/relationships/image" Target="media/image22.png"/><Relationship Id="rId53" Type="http://schemas.openxmlformats.org/officeDocument/2006/relationships/image" Target="media/image43.png"/><Relationship Id="rId74" Type="http://schemas.openxmlformats.org/officeDocument/2006/relationships/chart" Target="charts/chart8.xml"/><Relationship Id="rId128" Type="http://schemas.openxmlformats.org/officeDocument/2006/relationships/footer" Target="footer21.xml"/><Relationship Id="rId149" Type="http://schemas.openxmlformats.org/officeDocument/2006/relationships/hyperlink" Target="https://careersourceflorida.com/docking/WIOALocalPlanningInstructionsTwo-year-modification.docx" TargetMode="External"/><Relationship Id="rId5" Type="http://schemas.openxmlformats.org/officeDocument/2006/relationships/numbering" Target="numbering.xml"/><Relationship Id="rId95" Type="http://schemas.openxmlformats.org/officeDocument/2006/relationships/hyperlink" Target="http://www.ipums.org" TargetMode="External"/><Relationship Id="rId160" Type="http://schemas.openxmlformats.org/officeDocument/2006/relationships/footer" Target="footer28.xml"/><Relationship Id="rId181" Type="http://schemas.openxmlformats.org/officeDocument/2006/relationships/hyperlink" Target="http://ChoiceDirectory.Rehabworks.org" TargetMode="External"/><Relationship Id="rId216" Type="http://schemas.openxmlformats.org/officeDocument/2006/relationships/image" Target="media/image78.png"/><Relationship Id="rId211" Type="http://schemas.openxmlformats.org/officeDocument/2006/relationships/image" Target="media/image73.png"/><Relationship Id="rId22" Type="http://schemas.openxmlformats.org/officeDocument/2006/relationships/image" Target="media/image12.png"/><Relationship Id="rId27" Type="http://schemas.openxmlformats.org/officeDocument/2006/relationships/image" Target="media/image17.png"/><Relationship Id="rId43" Type="http://schemas.openxmlformats.org/officeDocument/2006/relationships/image" Target="media/image33.png"/><Relationship Id="rId48" Type="http://schemas.openxmlformats.org/officeDocument/2006/relationships/image" Target="media/image38.png"/><Relationship Id="rId64" Type="http://schemas.openxmlformats.org/officeDocument/2006/relationships/footer" Target="footer9.xml"/><Relationship Id="rId69" Type="http://schemas.openxmlformats.org/officeDocument/2006/relationships/footer" Target="footer11.xml"/><Relationship Id="rId113" Type="http://schemas.openxmlformats.org/officeDocument/2006/relationships/hyperlink" Target="http://fldoe.org/academics/career-adult-edu/adult-edu/technical-assistance-papers.stml" TargetMode="External"/><Relationship Id="rId118" Type="http://schemas.openxmlformats.org/officeDocument/2006/relationships/image" Target="media/image48.jpg"/><Relationship Id="rId134" Type="http://schemas.openxmlformats.org/officeDocument/2006/relationships/hyperlink" Target="http://www.floridajobs.org/PDG/guidancepapers/042ADACompGuid042604_rev030608.pdf" TargetMode="External"/><Relationship Id="rId139" Type="http://schemas.openxmlformats.org/officeDocument/2006/relationships/hyperlink" Target="http://www/" TargetMode="External"/><Relationship Id="rId80" Type="http://schemas.openxmlformats.org/officeDocument/2006/relationships/hyperlink" Target="http://floridajobs.org/labor-market-information" TargetMode="External"/><Relationship Id="rId85" Type="http://schemas.openxmlformats.org/officeDocument/2006/relationships/chart" Target="charts/chart14.xml"/><Relationship Id="rId150" Type="http://schemas.openxmlformats.org/officeDocument/2006/relationships/hyperlink" Target="http://www.flrules.org/" TargetMode="External"/><Relationship Id="rId155" Type="http://schemas.openxmlformats.org/officeDocument/2006/relationships/hyperlink" Target="http://www.floridajobs.org/local-workforce-development-board-resources/program-monitoring-and-reports/Programmatic" TargetMode="External"/><Relationship Id="rId171" Type="http://schemas.openxmlformats.org/officeDocument/2006/relationships/hyperlink" Target="http://floridaliteracy.org/" TargetMode="External"/><Relationship Id="rId176" Type="http://schemas.openxmlformats.org/officeDocument/2006/relationships/hyperlink" Target="http://www2.ed.gov/fund/grant/apply/appforms/appforms.html" TargetMode="External"/><Relationship Id="rId192" Type="http://schemas.openxmlformats.org/officeDocument/2006/relationships/image" Target="media/image59.png"/><Relationship Id="rId197" Type="http://schemas.openxmlformats.org/officeDocument/2006/relationships/footer" Target="footer37.xml"/><Relationship Id="rId206" Type="http://schemas.openxmlformats.org/officeDocument/2006/relationships/image" Target="media/image68.png"/><Relationship Id="rId201" Type="http://schemas.openxmlformats.org/officeDocument/2006/relationships/image" Target="media/image63.png"/><Relationship Id="rId222" Type="http://schemas.openxmlformats.org/officeDocument/2006/relationships/fontTable" Target="fontTable.xml"/><Relationship Id="rId12" Type="http://schemas.openxmlformats.org/officeDocument/2006/relationships/image" Target="media/image2.png"/><Relationship Id="rId17" Type="http://schemas.openxmlformats.org/officeDocument/2006/relationships/image" Target="media/image7.png"/><Relationship Id="rId33" Type="http://schemas.openxmlformats.org/officeDocument/2006/relationships/image" Target="media/image23.png"/><Relationship Id="rId38" Type="http://schemas.openxmlformats.org/officeDocument/2006/relationships/image" Target="media/image28.png"/><Relationship Id="rId59" Type="http://schemas.openxmlformats.org/officeDocument/2006/relationships/footer" Target="footer4.xml"/><Relationship Id="rId103" Type="http://schemas.openxmlformats.org/officeDocument/2006/relationships/image" Target="media/image46.png"/><Relationship Id="rId108" Type="http://schemas.openxmlformats.org/officeDocument/2006/relationships/hyperlink" Target="http://www.floridajobs.org/workforce-board-resources/policy-and-guidance/guidance-papers" TargetMode="External"/><Relationship Id="rId124" Type="http://schemas.openxmlformats.org/officeDocument/2006/relationships/hyperlink" Target="https://careersourceflorida.com/boardroom/" TargetMode="External"/><Relationship Id="rId129" Type="http://schemas.openxmlformats.org/officeDocument/2006/relationships/hyperlink" Target="http://careersourceflorida.com/wp-content/uploads/2017/05/2012.05.24.A.2-State_LWDB-COI-Policy.pdf" TargetMode="External"/><Relationship Id="rId54" Type="http://schemas.openxmlformats.org/officeDocument/2006/relationships/image" Target="media/image44.png"/><Relationship Id="rId70" Type="http://schemas.openxmlformats.org/officeDocument/2006/relationships/chart" Target="charts/chart4.xml"/><Relationship Id="rId75" Type="http://schemas.openxmlformats.org/officeDocument/2006/relationships/chart" Target="charts/chart9.xml"/><Relationship Id="rId91" Type="http://schemas.openxmlformats.org/officeDocument/2006/relationships/chart" Target="charts/chart20.xml"/><Relationship Id="rId96" Type="http://schemas.openxmlformats.org/officeDocument/2006/relationships/hyperlink" Target="https://careersourceflorida.com/" TargetMode="External"/><Relationship Id="rId140" Type="http://schemas.openxmlformats.org/officeDocument/2006/relationships/hyperlink" Target="http://www.careersourceflorida.com/" TargetMode="External"/><Relationship Id="rId145" Type="http://schemas.openxmlformats.org/officeDocument/2006/relationships/hyperlink" Target="http://www.floridajobs.org/workforce-board-resources/policy-and-guidance/guidance-papers" TargetMode="External"/><Relationship Id="rId161" Type="http://schemas.openxmlformats.org/officeDocument/2006/relationships/hyperlink" Target="http://www.fldoe.org/academics/career-adult-edu/adult-edu/2017-2018-adult-edu-curriculum-framewo.stml" TargetMode="External"/><Relationship Id="rId166" Type="http://schemas.openxmlformats.org/officeDocument/2006/relationships/hyperlink" Target="http://www.elcivicsonline.org/" TargetMode="External"/><Relationship Id="rId182" Type="http://schemas.openxmlformats.org/officeDocument/2006/relationships/hyperlink" Target="http://it-in-web-01/vendorprofile" TargetMode="External"/><Relationship Id="rId187" Type="http://schemas.openxmlformats.org/officeDocument/2006/relationships/image" Target="media/image56.png"/><Relationship Id="rId217" Type="http://schemas.openxmlformats.org/officeDocument/2006/relationships/image" Target="media/image79.png"/><Relationship Id="rId1" Type="http://schemas.openxmlformats.org/officeDocument/2006/relationships/customXml" Target="../customXml/item1.xml"/><Relationship Id="rId6" Type="http://schemas.openxmlformats.org/officeDocument/2006/relationships/styles" Target="styles.xml"/><Relationship Id="rId212" Type="http://schemas.openxmlformats.org/officeDocument/2006/relationships/image" Target="media/image74.png"/><Relationship Id="rId23" Type="http://schemas.openxmlformats.org/officeDocument/2006/relationships/image" Target="media/image13.png"/><Relationship Id="rId28" Type="http://schemas.openxmlformats.org/officeDocument/2006/relationships/image" Target="media/image18.png"/><Relationship Id="rId49" Type="http://schemas.openxmlformats.org/officeDocument/2006/relationships/image" Target="media/image39.png"/><Relationship Id="rId114" Type="http://schemas.openxmlformats.org/officeDocument/2006/relationships/footer" Target="footer18.xml"/><Relationship Id="rId119" Type="http://schemas.openxmlformats.org/officeDocument/2006/relationships/image" Target="media/image49.jpeg"/><Relationship Id="rId44" Type="http://schemas.openxmlformats.org/officeDocument/2006/relationships/image" Target="media/image34.png"/><Relationship Id="rId60" Type="http://schemas.openxmlformats.org/officeDocument/2006/relationships/footer" Target="footer5.xml"/><Relationship Id="rId65" Type="http://schemas.openxmlformats.org/officeDocument/2006/relationships/chart" Target="charts/chart1.xml"/><Relationship Id="rId81" Type="http://schemas.openxmlformats.org/officeDocument/2006/relationships/chart" Target="charts/chart12.xml"/><Relationship Id="rId86" Type="http://schemas.openxmlformats.org/officeDocument/2006/relationships/chart" Target="charts/chart15.xml"/><Relationship Id="rId130" Type="http://schemas.openxmlformats.org/officeDocument/2006/relationships/hyperlink" Target="https://careersourceflorida.com/wp-content/uploads/2017/05/2012.05.24.A.2-Amended-State_LWDB-Contracting-COI-Policy.pdf" TargetMode="External"/><Relationship Id="rId135" Type="http://schemas.openxmlformats.org/officeDocument/2006/relationships/hyperlink" Target="http://www.floridajobs.org/docs/default-source/2017-guidance-papers/oscc_certification-ap93.pdf?sfvrsn=2" TargetMode="External"/><Relationship Id="rId151" Type="http://schemas.openxmlformats.org/officeDocument/2006/relationships/hyperlink" Target="http://www.floridajobs.org/workforce-board-resources/policy-and-guidance/guidance-papers" TargetMode="External"/><Relationship Id="rId156" Type="http://schemas.openxmlformats.org/officeDocument/2006/relationships/hyperlink" Target="http://www.floridajobs.org/frequently-asked-questions-directory/eligible-training-provider-list-guidance-faq" TargetMode="External"/><Relationship Id="rId177" Type="http://schemas.openxmlformats.org/officeDocument/2006/relationships/footer" Target="footer29.xml"/><Relationship Id="rId198" Type="http://schemas.openxmlformats.org/officeDocument/2006/relationships/image" Target="media/image61.png"/><Relationship Id="rId172" Type="http://schemas.openxmlformats.org/officeDocument/2006/relationships/hyperlink" Target="http://fldoe.org/academics/career-adult-edu/adult-edu/technical-assistance-papers.stml" TargetMode="External"/><Relationship Id="rId193" Type="http://schemas.openxmlformats.org/officeDocument/2006/relationships/image" Target="media/image60.png"/><Relationship Id="rId202" Type="http://schemas.openxmlformats.org/officeDocument/2006/relationships/image" Target="media/image64.png"/><Relationship Id="rId207" Type="http://schemas.openxmlformats.org/officeDocument/2006/relationships/image" Target="media/image69.png"/><Relationship Id="rId223" Type="http://schemas.openxmlformats.org/officeDocument/2006/relationships/theme" Target="theme/theme1.xml"/><Relationship Id="rId13" Type="http://schemas.openxmlformats.org/officeDocument/2006/relationships/image" Target="media/image3.png"/><Relationship Id="rId18" Type="http://schemas.openxmlformats.org/officeDocument/2006/relationships/image" Target="media/image8.png"/><Relationship Id="rId39" Type="http://schemas.openxmlformats.org/officeDocument/2006/relationships/image" Target="media/image29.png"/><Relationship Id="rId109" Type="http://schemas.openxmlformats.org/officeDocument/2006/relationships/hyperlink" Target="http://www.rehabworks.org/policy.shtml" TargetMode="External"/><Relationship Id="rId34" Type="http://schemas.openxmlformats.org/officeDocument/2006/relationships/image" Target="media/image24.png"/><Relationship Id="rId50" Type="http://schemas.openxmlformats.org/officeDocument/2006/relationships/image" Target="media/image40.png"/><Relationship Id="rId55" Type="http://schemas.openxmlformats.org/officeDocument/2006/relationships/header" Target="header1.xml"/><Relationship Id="rId76" Type="http://schemas.openxmlformats.org/officeDocument/2006/relationships/chart" Target="charts/chart10.xml"/><Relationship Id="rId97" Type="http://schemas.openxmlformats.org/officeDocument/2006/relationships/hyperlink" Target="http://www.employflorida.com" TargetMode="External"/><Relationship Id="rId104" Type="http://schemas.openxmlformats.org/officeDocument/2006/relationships/hyperlink" Target="http://www.floridajobs.org/workforce-board-resources" TargetMode="External"/><Relationship Id="rId120" Type="http://schemas.openxmlformats.org/officeDocument/2006/relationships/image" Target="media/image50.png"/><Relationship Id="rId125" Type="http://schemas.openxmlformats.org/officeDocument/2006/relationships/footer" Target="footer19.xml"/><Relationship Id="rId141" Type="http://schemas.openxmlformats.org/officeDocument/2006/relationships/image" Target="media/image54.jpeg"/><Relationship Id="rId146" Type="http://schemas.openxmlformats.org/officeDocument/2006/relationships/hyperlink" Target="http://www.leg.state.fl.us/STATUTES" TargetMode="External"/><Relationship Id="rId167" Type="http://schemas.openxmlformats.org/officeDocument/2006/relationships/hyperlink" Target="http://www.elcivicsonline.org/" TargetMode="External"/><Relationship Id="rId188" Type="http://schemas.openxmlformats.org/officeDocument/2006/relationships/image" Target="media/image57.png"/><Relationship Id="rId7" Type="http://schemas.openxmlformats.org/officeDocument/2006/relationships/settings" Target="settings.xml"/><Relationship Id="rId71" Type="http://schemas.openxmlformats.org/officeDocument/2006/relationships/chart" Target="charts/chart5.xml"/><Relationship Id="rId92" Type="http://schemas.openxmlformats.org/officeDocument/2006/relationships/chart" Target="charts/chart21.xml"/><Relationship Id="rId162" Type="http://schemas.openxmlformats.org/officeDocument/2006/relationships/hyperlink" Target="http://www.floridaipdae.org/" TargetMode="External"/><Relationship Id="rId183" Type="http://schemas.openxmlformats.org/officeDocument/2006/relationships/hyperlink" Target="http://www.rehabworks.org/plans.shtml" TargetMode="External"/><Relationship Id="rId213" Type="http://schemas.openxmlformats.org/officeDocument/2006/relationships/image" Target="media/image75.png"/><Relationship Id="rId218" Type="http://schemas.openxmlformats.org/officeDocument/2006/relationships/image" Target="media/image80.png"/><Relationship Id="rId2" Type="http://schemas.openxmlformats.org/officeDocument/2006/relationships/customXml" Target="../customXml/item2.xml"/><Relationship Id="rId29" Type="http://schemas.openxmlformats.org/officeDocument/2006/relationships/image" Target="media/image19.png"/><Relationship Id="rId24" Type="http://schemas.openxmlformats.org/officeDocument/2006/relationships/image" Target="media/image14.png"/><Relationship Id="rId40" Type="http://schemas.openxmlformats.org/officeDocument/2006/relationships/image" Target="media/image30.png"/><Relationship Id="rId45" Type="http://schemas.openxmlformats.org/officeDocument/2006/relationships/image" Target="media/image35.png"/><Relationship Id="rId66" Type="http://schemas.openxmlformats.org/officeDocument/2006/relationships/footer" Target="footer10.xml"/><Relationship Id="rId87" Type="http://schemas.openxmlformats.org/officeDocument/2006/relationships/chart" Target="charts/chart16.xml"/><Relationship Id="rId110" Type="http://schemas.openxmlformats.org/officeDocument/2006/relationships/hyperlink" Target="http://dbs.myflorida.com/Leadership/Policies/index.html" TargetMode="External"/><Relationship Id="rId115" Type="http://schemas.openxmlformats.org/officeDocument/2006/relationships/image" Target="media/image47.png"/><Relationship Id="rId131" Type="http://schemas.openxmlformats.org/officeDocument/2006/relationships/hyperlink" Target="https://careersourceflorida.com/wp-content/uploads/2017/05/2012.05.24.A.2-State_LWDB-Contracting-COI-Policy-FORMS.pdf" TargetMode="External"/><Relationship Id="rId136" Type="http://schemas.openxmlformats.org/officeDocument/2006/relationships/hyperlink" Target="http://www.floridajobs.org/docs/default-source/2015-memoranda/memo_vets-homelessness_significantbarrier_to_employment.pdf?sfvrsn=2" TargetMode="External"/><Relationship Id="rId157" Type="http://schemas.openxmlformats.org/officeDocument/2006/relationships/footer" Target="footer25.xml"/><Relationship Id="rId178" Type="http://schemas.openxmlformats.org/officeDocument/2006/relationships/hyperlink" Target="http://www2.ed.gov/fund/grant/apply/appforms/appforms.html" TargetMode="External"/><Relationship Id="rId61" Type="http://schemas.openxmlformats.org/officeDocument/2006/relationships/footer" Target="footer6.xml"/><Relationship Id="rId82" Type="http://schemas.openxmlformats.org/officeDocument/2006/relationships/footer" Target="footer14.xml"/><Relationship Id="rId152" Type="http://schemas.openxmlformats.org/officeDocument/2006/relationships/hyperlink" Target="http://www.floridajobs.org/workforce-board-resources/policy-and-guidance/guidance-papers" TargetMode="External"/><Relationship Id="rId173" Type="http://schemas.openxmlformats.org/officeDocument/2006/relationships/hyperlink" Target="http://fldoe.org/academics/career-adult-edu/adult-edu/technical-assistance-papers.stml" TargetMode="External"/><Relationship Id="rId194" Type="http://schemas.openxmlformats.org/officeDocument/2006/relationships/footer" Target="footer34.xml"/><Relationship Id="rId199" Type="http://schemas.openxmlformats.org/officeDocument/2006/relationships/image" Target="media/image62.png"/><Relationship Id="rId203" Type="http://schemas.openxmlformats.org/officeDocument/2006/relationships/image" Target="media/image65.png"/><Relationship Id="rId208" Type="http://schemas.openxmlformats.org/officeDocument/2006/relationships/image" Target="media/image70.png"/><Relationship Id="rId19" Type="http://schemas.openxmlformats.org/officeDocument/2006/relationships/image" Target="media/image9.png"/><Relationship Id="rId14" Type="http://schemas.openxmlformats.org/officeDocument/2006/relationships/image" Target="media/image4.png"/><Relationship Id="rId30" Type="http://schemas.openxmlformats.org/officeDocument/2006/relationships/image" Target="media/image20.png"/><Relationship Id="rId35" Type="http://schemas.openxmlformats.org/officeDocument/2006/relationships/image" Target="media/image25.png"/><Relationship Id="rId56" Type="http://schemas.openxmlformats.org/officeDocument/2006/relationships/footer" Target="footer1.xml"/><Relationship Id="rId77" Type="http://schemas.openxmlformats.org/officeDocument/2006/relationships/chart" Target="charts/chart11.xml"/><Relationship Id="rId100" Type="http://schemas.openxmlformats.org/officeDocument/2006/relationships/hyperlink" Target="https://abilitieswork.employflorida.com/vosnet/Default.aspx" TargetMode="External"/><Relationship Id="rId105" Type="http://schemas.openxmlformats.org/officeDocument/2006/relationships/hyperlink" Target="https://abilitieswork.employflorida.com/vosnet/Default.aspx" TargetMode="External"/><Relationship Id="rId126" Type="http://schemas.openxmlformats.org/officeDocument/2006/relationships/image" Target="media/image53.emf"/><Relationship Id="rId147" Type="http://schemas.openxmlformats.org/officeDocument/2006/relationships/hyperlink" Target="http://careersourceflorida.com/" TargetMode="External"/><Relationship Id="rId168" Type="http://schemas.openxmlformats.org/officeDocument/2006/relationships/hyperlink" Target="http://www.floridaipdae.org/" TargetMode="External"/><Relationship Id="rId8" Type="http://schemas.openxmlformats.org/officeDocument/2006/relationships/webSettings" Target="webSettings.xml"/><Relationship Id="rId51" Type="http://schemas.openxmlformats.org/officeDocument/2006/relationships/image" Target="media/image41.png"/><Relationship Id="rId72" Type="http://schemas.openxmlformats.org/officeDocument/2006/relationships/chart" Target="charts/chart6.xml"/><Relationship Id="rId93" Type="http://schemas.openxmlformats.org/officeDocument/2006/relationships/hyperlink" Target="http://www.ipums.org" TargetMode="External"/><Relationship Id="rId98" Type="http://schemas.openxmlformats.org/officeDocument/2006/relationships/hyperlink" Target="https://abilitieswork.employflorida.com/vosnet/Default.aspx" TargetMode="External"/><Relationship Id="rId121" Type="http://schemas.openxmlformats.org/officeDocument/2006/relationships/image" Target="media/image51.jpeg"/><Relationship Id="rId142" Type="http://schemas.openxmlformats.org/officeDocument/2006/relationships/footer" Target="footer24.xml"/><Relationship Id="rId163" Type="http://schemas.openxmlformats.org/officeDocument/2006/relationships/hyperlink" Target="http://www.floridaipdae.org/" TargetMode="External"/><Relationship Id="rId184" Type="http://schemas.openxmlformats.org/officeDocument/2006/relationships/hyperlink" Target="mailto:vrplan@vr.fldoe.org" TargetMode="External"/><Relationship Id="rId189" Type="http://schemas.openxmlformats.org/officeDocument/2006/relationships/footer" Target="footer32.xml"/><Relationship Id="rId219" Type="http://schemas.openxmlformats.org/officeDocument/2006/relationships/image" Target="media/image81.png"/><Relationship Id="rId3" Type="http://schemas.openxmlformats.org/officeDocument/2006/relationships/customXml" Target="../customXml/item3.xml"/><Relationship Id="rId214" Type="http://schemas.openxmlformats.org/officeDocument/2006/relationships/image" Target="media/image76.png"/><Relationship Id="rId25" Type="http://schemas.openxmlformats.org/officeDocument/2006/relationships/image" Target="media/image15.png"/><Relationship Id="rId46" Type="http://schemas.openxmlformats.org/officeDocument/2006/relationships/image" Target="media/image36.png"/><Relationship Id="rId67" Type="http://schemas.openxmlformats.org/officeDocument/2006/relationships/chart" Target="charts/chart2.xml"/><Relationship Id="rId116" Type="http://schemas.openxmlformats.org/officeDocument/2006/relationships/hyperlink" Target="https://www.employflorida.com/vosnet/Default.aspx" TargetMode="External"/><Relationship Id="rId137" Type="http://schemas.openxmlformats.org/officeDocument/2006/relationships/hyperlink" Target="http://www.floridajobs.org/docs/default-source/2015-memoranda/memo_vets-homelessness_significantbarrier_to_employment.pdf?sfvrsn=2" TargetMode="External"/><Relationship Id="rId158" Type="http://schemas.openxmlformats.org/officeDocument/2006/relationships/footer" Target="footer26.xml"/><Relationship Id="rId20" Type="http://schemas.openxmlformats.org/officeDocument/2006/relationships/image" Target="media/image10.png"/><Relationship Id="rId41" Type="http://schemas.openxmlformats.org/officeDocument/2006/relationships/image" Target="media/image31.png"/><Relationship Id="rId62" Type="http://schemas.openxmlformats.org/officeDocument/2006/relationships/footer" Target="footer7.xml"/><Relationship Id="rId83" Type="http://schemas.openxmlformats.org/officeDocument/2006/relationships/chart" Target="charts/chart13.xml"/><Relationship Id="rId88" Type="http://schemas.openxmlformats.org/officeDocument/2006/relationships/chart" Target="charts/chart17.xml"/><Relationship Id="rId111" Type="http://schemas.openxmlformats.org/officeDocument/2006/relationships/hyperlink" Target="http://fldoe.org/academics/career-adult-edu/adult-edu/technical-assistance-papers.stml" TargetMode="External"/><Relationship Id="rId132" Type="http://schemas.openxmlformats.org/officeDocument/2006/relationships/hyperlink" Target="http://www.leg.state.fl.us/statutes/index.cfm?App_mode=Display_Statute&amp;URL=0100-0199/0119/0119.html" TargetMode="External"/><Relationship Id="rId153" Type="http://schemas.openxmlformats.org/officeDocument/2006/relationships/hyperlink" Target="http://www.floridajobs.org/workforce-board-resources/professional-development-and-training/training-materials" TargetMode="External"/><Relationship Id="rId174" Type="http://schemas.openxmlformats.org/officeDocument/2006/relationships/hyperlink" Target="http://www2.ed.gov/fund/grant/apply/appforms/appforms.html" TargetMode="External"/><Relationship Id="rId179" Type="http://schemas.openxmlformats.org/officeDocument/2006/relationships/hyperlink" Target="http://www2.ed.gov/fund/grant/apply/appforms/appforms.html" TargetMode="External"/><Relationship Id="rId195" Type="http://schemas.openxmlformats.org/officeDocument/2006/relationships/footer" Target="footer35.xml"/><Relationship Id="rId209" Type="http://schemas.openxmlformats.org/officeDocument/2006/relationships/image" Target="media/image71.png"/><Relationship Id="rId190" Type="http://schemas.openxmlformats.org/officeDocument/2006/relationships/image" Target="media/image58.png"/><Relationship Id="rId204" Type="http://schemas.openxmlformats.org/officeDocument/2006/relationships/image" Target="media/image66.png"/><Relationship Id="rId220" Type="http://schemas.openxmlformats.org/officeDocument/2006/relationships/image" Target="media/image82.png"/><Relationship Id="rId15" Type="http://schemas.openxmlformats.org/officeDocument/2006/relationships/image" Target="media/image5.png"/><Relationship Id="rId36" Type="http://schemas.openxmlformats.org/officeDocument/2006/relationships/image" Target="media/image26.png"/><Relationship Id="rId57" Type="http://schemas.openxmlformats.org/officeDocument/2006/relationships/footer" Target="footer2.xml"/><Relationship Id="rId106" Type="http://schemas.openxmlformats.org/officeDocument/2006/relationships/hyperlink" Target="https://careersourceflorida.com/careersourceflorida-policies/" TargetMode="External"/><Relationship Id="rId127" Type="http://schemas.openxmlformats.org/officeDocument/2006/relationships/footer" Target="footer20.xml"/><Relationship Id="rId10" Type="http://schemas.openxmlformats.org/officeDocument/2006/relationships/endnotes" Target="endnotes.xml"/><Relationship Id="rId31" Type="http://schemas.openxmlformats.org/officeDocument/2006/relationships/image" Target="media/image21.png"/><Relationship Id="rId52" Type="http://schemas.openxmlformats.org/officeDocument/2006/relationships/image" Target="media/image42.png"/><Relationship Id="rId73" Type="http://schemas.openxmlformats.org/officeDocument/2006/relationships/chart" Target="charts/chart7.xml"/><Relationship Id="rId78" Type="http://schemas.openxmlformats.org/officeDocument/2006/relationships/footer" Target="footer12.xml"/><Relationship Id="rId94" Type="http://schemas.openxmlformats.org/officeDocument/2006/relationships/footer" Target="footer16.xml"/><Relationship Id="rId99" Type="http://schemas.openxmlformats.org/officeDocument/2006/relationships/hyperlink" Target="https://pfm.careersourceflorida.com/" TargetMode="External"/><Relationship Id="rId101" Type="http://schemas.openxmlformats.org/officeDocument/2006/relationships/hyperlink" Target="http://careersourceflorida.com/wioa/" TargetMode="External"/><Relationship Id="rId122" Type="http://schemas.openxmlformats.org/officeDocument/2006/relationships/image" Target="media/image52.jpg"/><Relationship Id="rId143" Type="http://schemas.openxmlformats.org/officeDocument/2006/relationships/hyperlink" Target="http://Consistent" TargetMode="External"/><Relationship Id="rId148" Type="http://schemas.openxmlformats.org/officeDocument/2006/relationships/hyperlink" Target="https://careersourceflorida.com/careersourceflorida-policies/" TargetMode="External"/><Relationship Id="rId164" Type="http://schemas.openxmlformats.org/officeDocument/2006/relationships/hyperlink" Target="http://www.fldoe.org/academics/career-adult-edu/adult-edu/resources.stml" TargetMode="External"/><Relationship Id="rId169" Type="http://schemas.openxmlformats.org/officeDocument/2006/relationships/hyperlink" Target="http://www.aceofflorida.org/" TargetMode="External"/><Relationship Id="rId185" Type="http://schemas.openxmlformats.org/officeDocument/2006/relationships/image" Target="media/image55.png"/><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footer" Target="footer30.xml"/><Relationship Id="rId210" Type="http://schemas.openxmlformats.org/officeDocument/2006/relationships/image" Target="media/image72.png"/><Relationship Id="rId215" Type="http://schemas.openxmlformats.org/officeDocument/2006/relationships/image" Target="media/image77.png"/><Relationship Id="rId26" Type="http://schemas.openxmlformats.org/officeDocument/2006/relationships/image" Target="media/image16.png"/><Relationship Id="rId47" Type="http://schemas.openxmlformats.org/officeDocument/2006/relationships/image" Target="media/image37.png"/><Relationship Id="rId68" Type="http://schemas.openxmlformats.org/officeDocument/2006/relationships/chart" Target="charts/chart3.xml"/><Relationship Id="rId89" Type="http://schemas.openxmlformats.org/officeDocument/2006/relationships/chart" Target="charts/chart18.xml"/><Relationship Id="rId112" Type="http://schemas.openxmlformats.org/officeDocument/2006/relationships/hyperlink" Target="http://fldoe.org/academics/career-adult-edu/adult-edu/technical-assistance-papers.stml" TargetMode="External"/><Relationship Id="rId133" Type="http://schemas.openxmlformats.org/officeDocument/2006/relationships/footer" Target="footer22.xml"/><Relationship Id="rId154" Type="http://schemas.openxmlformats.org/officeDocument/2006/relationships/hyperlink" Target="http://www.floridajobs.org/workforce-board-resources/professional-development-and-training/training-materials" TargetMode="External"/><Relationship Id="rId175" Type="http://schemas.openxmlformats.org/officeDocument/2006/relationships/hyperlink" Target="http://www2.ed.gov/fund/grant/apply/appforms/appforms.html" TargetMode="External"/><Relationship Id="rId196" Type="http://schemas.openxmlformats.org/officeDocument/2006/relationships/footer" Target="footer36.xml"/><Relationship Id="rId200" Type="http://schemas.openxmlformats.org/officeDocument/2006/relationships/footer" Target="footer38.xml"/><Relationship Id="rId16" Type="http://schemas.openxmlformats.org/officeDocument/2006/relationships/image" Target="media/image6.png"/><Relationship Id="rId221" Type="http://schemas.openxmlformats.org/officeDocument/2006/relationships/footer" Target="footer39.xml"/><Relationship Id="rId37" Type="http://schemas.openxmlformats.org/officeDocument/2006/relationships/image" Target="media/image27.png"/><Relationship Id="rId58" Type="http://schemas.openxmlformats.org/officeDocument/2006/relationships/footer" Target="footer3.xml"/><Relationship Id="rId79" Type="http://schemas.openxmlformats.org/officeDocument/2006/relationships/footer" Target="footer13.xml"/><Relationship Id="rId102" Type="http://schemas.openxmlformats.org/officeDocument/2006/relationships/footer" Target="footer17.xml"/><Relationship Id="rId123" Type="http://schemas.openxmlformats.org/officeDocument/2006/relationships/hyperlink" Target="https://careersourceflorida.com/boardroom/" TargetMode="External"/><Relationship Id="rId144" Type="http://schemas.openxmlformats.org/officeDocument/2006/relationships/hyperlink" Target="http://www.floridajobs.org/docs/default-source/2017-guidance-papers/localareadesignatn-ap94.pdf?sfvrsn=2" TargetMode="External"/><Relationship Id="rId90" Type="http://schemas.openxmlformats.org/officeDocument/2006/relationships/chart" Target="charts/chart19.xml"/><Relationship Id="rId165" Type="http://schemas.openxmlformats.org/officeDocument/2006/relationships/hyperlink" Target="http://www.fldoe.org/academics/career-adult-edu/adult-edu/resources.stml" TargetMode="External"/><Relationship Id="rId186" Type="http://schemas.openxmlformats.org/officeDocument/2006/relationships/footer" Target="footer31.xml"/></Relationships>
</file>

<file path=word/_rels/footer2.xml.rels><?xml version="1.0" encoding="UTF-8" standalone="yes"?>
<Relationships xmlns="http://schemas.openxmlformats.org/package/2006/relationships"><Relationship Id="rId1" Type="http://schemas.openxmlformats.org/officeDocument/2006/relationships/image" Target="media/image45.pn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package" Target="../embeddings/Microsoft_Excel_Worksheet9.xlsx"/><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oleObject" Target="../embeddings/oleObject1.bin"/><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oleObject" Target="file:///C:\Users\davisst\Downloads\CES_SA_History.xlsx" TargetMode="External"/><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oleObject" Target="file:///C:\Users\davisst\Downloads\CES_SA_History.xlsx" TargetMode="External"/><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3" Type="http://schemas.openxmlformats.org/officeDocument/2006/relationships/oleObject" Target="file:///C:\Users\davisst\Downloads\CES_SA_History.xlsx" TargetMode="External"/><Relationship Id="rId2" Type="http://schemas.microsoft.com/office/2011/relationships/chartColorStyle" Target="colors14.xml"/><Relationship Id="rId1" Type="http://schemas.microsoft.com/office/2011/relationships/chartStyle" Target="style14.xml"/></Relationships>
</file>

<file path=word/charts/_rels/chart15.xml.rels><?xml version="1.0" encoding="UTF-8" standalone="yes"?>
<Relationships xmlns="http://schemas.openxmlformats.org/package/2006/relationships"><Relationship Id="rId3" Type="http://schemas.openxmlformats.org/officeDocument/2006/relationships/oleObject" Target="file:///C:\Users\davisst\Downloads\CES_SA_History.xlsx" TargetMode="External"/><Relationship Id="rId2" Type="http://schemas.microsoft.com/office/2011/relationships/chartColorStyle" Target="colors15.xml"/><Relationship Id="rId1" Type="http://schemas.microsoft.com/office/2011/relationships/chartStyle" Target="style15.xml"/></Relationships>
</file>

<file path=word/charts/_rels/chart16.xml.rels><?xml version="1.0" encoding="UTF-8" standalone="yes"?>
<Relationships xmlns="http://schemas.openxmlformats.org/package/2006/relationships"><Relationship Id="rId3" Type="http://schemas.openxmlformats.org/officeDocument/2006/relationships/oleObject" Target="file:///C:\Users\davisst\Downloads\CES_SA_History.xlsx" TargetMode="External"/><Relationship Id="rId2" Type="http://schemas.microsoft.com/office/2011/relationships/chartColorStyle" Target="colors16.xml"/><Relationship Id="rId1" Type="http://schemas.microsoft.com/office/2011/relationships/chartStyle" Target="style16.xml"/></Relationships>
</file>

<file path=word/charts/_rels/chart17.xml.rels><?xml version="1.0" encoding="UTF-8" standalone="yes"?>
<Relationships xmlns="http://schemas.openxmlformats.org/package/2006/relationships"><Relationship Id="rId3" Type="http://schemas.openxmlformats.org/officeDocument/2006/relationships/oleObject" Target="file:///C:\Users\davisst\Downloads\CES_SA_History.xlsx" TargetMode="External"/><Relationship Id="rId2" Type="http://schemas.microsoft.com/office/2011/relationships/chartColorStyle" Target="colors17.xml"/><Relationship Id="rId1" Type="http://schemas.microsoft.com/office/2011/relationships/chartStyle" Target="style17.xml"/></Relationships>
</file>

<file path=word/charts/_rels/chart18.xml.rels><?xml version="1.0" encoding="UTF-8" standalone="yes"?>
<Relationships xmlns="http://schemas.openxmlformats.org/package/2006/relationships"><Relationship Id="rId3" Type="http://schemas.openxmlformats.org/officeDocument/2006/relationships/oleObject" Target="file:///C:\Users\davisst\Downloads\CES_SA_History.xlsx" TargetMode="External"/><Relationship Id="rId2" Type="http://schemas.microsoft.com/office/2011/relationships/chartColorStyle" Target="colors18.xml"/><Relationship Id="rId1" Type="http://schemas.microsoft.com/office/2011/relationships/chartStyle" Target="style18.xml"/></Relationships>
</file>

<file path=word/charts/_rels/chart19.xml.rels><?xml version="1.0" encoding="UTF-8" standalone="yes"?>
<Relationships xmlns="http://schemas.openxmlformats.org/package/2006/relationships"><Relationship Id="rId3" Type="http://schemas.openxmlformats.org/officeDocument/2006/relationships/oleObject" Target="file:///C:\Users\davisst\Downloads\CES_SA_History.xlsx" TargetMode="External"/><Relationship Id="rId2" Type="http://schemas.microsoft.com/office/2011/relationships/chartColorStyle" Target="colors19.xml"/><Relationship Id="rId1" Type="http://schemas.microsoft.com/office/2011/relationships/chartStyle" Target="style19.xml"/></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package" Target="../embeddings/Microsoft_Excel_Worksheet1.xlsx"/></Relationships>
</file>

<file path=word/charts/_rels/chart20.xml.rels><?xml version="1.0" encoding="UTF-8" standalone="yes"?>
<Relationships xmlns="http://schemas.openxmlformats.org/package/2006/relationships"><Relationship Id="rId3" Type="http://schemas.openxmlformats.org/officeDocument/2006/relationships/oleObject" Target="file:///C:\Users\davisst\Downloads\CES_SA_History.xlsx" TargetMode="External"/><Relationship Id="rId2" Type="http://schemas.microsoft.com/office/2011/relationships/chartColorStyle" Target="colors20.xml"/><Relationship Id="rId1" Type="http://schemas.microsoft.com/office/2011/relationships/chartStyle" Target="style20.xml"/></Relationships>
</file>

<file path=word/charts/_rels/chart21.xml.rels><?xml version="1.0" encoding="UTF-8" standalone="yes"?>
<Relationships xmlns="http://schemas.openxmlformats.org/package/2006/relationships"><Relationship Id="rId3" Type="http://schemas.openxmlformats.org/officeDocument/2006/relationships/oleObject" Target="file:///C:\Users\davisst\Downloads\CES_SA_History.xlsx" TargetMode="External"/><Relationship Id="rId2" Type="http://schemas.microsoft.com/office/2011/relationships/chartColorStyle" Target="colors21.xml"/><Relationship Id="rId1" Type="http://schemas.microsoft.com/office/2011/relationships/chartStyle" Target="style21.xml"/></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package" Target="../embeddings/Microsoft_Excel_Worksheet2.xlsx"/></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package" Target="../embeddings/Microsoft_Excel_Worksheet5.xlsx"/><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package" Target="../embeddings/Microsoft_Excel_Worksheet6.xlsx"/><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package" Target="../embeddings/Microsoft_Excel_Worksheet7.xlsx"/><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package" Target="../embeddings/Microsoft_Excel_Worksheet8.xlsx"/><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'Chart Data'!$B$1</c:f>
              <c:strCache>
                <c:ptCount val="1"/>
                <c:pt idx="0">
                  <c:v>SCORES</c:v>
                </c:pt>
              </c:strCache>
            </c:strRef>
          </c:tx>
          <c:spPr>
            <a:solidFill>
              <a:schemeClr val="tx1">
                <a:lumMod val="75000"/>
                <a:lumOff val="25000"/>
              </a:schemeClr>
            </a:solidFill>
            <a:ln>
              <a:solidFill>
                <a:schemeClr val="tx1"/>
              </a:solidFill>
            </a:ln>
            <a:effectLst/>
          </c:spPr>
          <c:invertIfNegative val="0"/>
          <c:cat>
            <c:strRef>
              <c:f>'Chart Data'!$A$2:$A$11</c:f>
              <c:strCache>
                <c:ptCount val="10"/>
                <c:pt idx="0">
                  <c:v>English Language</c:v>
                </c:pt>
                <c:pt idx="1">
                  <c:v>Customer &amp; Personal Service</c:v>
                </c:pt>
                <c:pt idx="2">
                  <c:v>Mathematics</c:v>
                </c:pt>
                <c:pt idx="3">
                  <c:v>Education &amp; Training</c:v>
                </c:pt>
                <c:pt idx="4">
                  <c:v>Administration &amp; Management</c:v>
                </c:pt>
                <c:pt idx="5">
                  <c:v>Public Safety &amp; Security</c:v>
                </c:pt>
                <c:pt idx="6">
                  <c:v>Engineering &amp; Technology</c:v>
                </c:pt>
                <c:pt idx="7">
                  <c:v>Mechanical</c:v>
                </c:pt>
                <c:pt idx="8">
                  <c:v>Design</c:v>
                </c:pt>
                <c:pt idx="9">
                  <c:v>Building &amp; Construction</c:v>
                </c:pt>
              </c:strCache>
            </c:strRef>
          </c:cat>
          <c:val>
            <c:numRef>
              <c:f>'Chart Data'!$B$2:$B$11</c:f>
              <c:numCache>
                <c:formatCode>General</c:formatCode>
                <c:ptCount val="10"/>
                <c:pt idx="0">
                  <c:v>64</c:v>
                </c:pt>
                <c:pt idx="1">
                  <c:v>62</c:v>
                </c:pt>
                <c:pt idx="2">
                  <c:v>53</c:v>
                </c:pt>
                <c:pt idx="3">
                  <c:v>53</c:v>
                </c:pt>
                <c:pt idx="4">
                  <c:v>41</c:v>
                </c:pt>
                <c:pt idx="5">
                  <c:v>34</c:v>
                </c:pt>
                <c:pt idx="6">
                  <c:v>30</c:v>
                </c:pt>
                <c:pt idx="7">
                  <c:v>27</c:v>
                </c:pt>
                <c:pt idx="8">
                  <c:v>25</c:v>
                </c:pt>
                <c:pt idx="9">
                  <c:v>19</c:v>
                </c:pt>
              </c:numCache>
            </c:numRef>
          </c:val>
          <c:extLst>
            <c:ext xmlns:c16="http://schemas.microsoft.com/office/drawing/2014/chart" uri="{C3380CC4-5D6E-409C-BE32-E72D297353CC}">
              <c16:uniqueId val="{00000000-FF7A-4AB3-9F7A-C3FA637AF338}"/>
            </c:ext>
          </c:extLst>
        </c:ser>
        <c:dLbls>
          <c:showLegendKey val="0"/>
          <c:showVal val="0"/>
          <c:showCatName val="0"/>
          <c:showSerName val="0"/>
          <c:showPercent val="0"/>
          <c:showBubbleSize val="0"/>
        </c:dLbls>
        <c:gapWidth val="219"/>
        <c:overlap val="-27"/>
        <c:axId val="494444624"/>
        <c:axId val="494442664"/>
      </c:barChart>
      <c:catAx>
        <c:axId val="494444624"/>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n-US"/>
          </a:p>
        </c:txPr>
        <c:crossAx val="494442664"/>
        <c:crosses val="autoZero"/>
        <c:auto val="0"/>
        <c:lblAlgn val="ctr"/>
        <c:lblOffset val="100"/>
        <c:noMultiLvlLbl val="0"/>
      </c:catAx>
      <c:valAx>
        <c:axId val="494442664"/>
        <c:scaling>
          <c:orientation val="minMax"/>
          <c:max val="70"/>
          <c:min val="0"/>
        </c:scaling>
        <c:delete val="0"/>
        <c:axPos val="l"/>
        <c:title>
          <c:tx>
            <c:rich>
              <a:bodyPr rot="-5400000" spcFirstLastPara="1" vertOverflow="ellipsis" vert="horz" wrap="square" anchor="ctr" anchorCtr="1"/>
              <a:lstStyle/>
              <a:p>
                <a:pPr>
                  <a:defRPr sz="1400" b="1" i="0" u="none" strike="noStrike" kern="1200" baseline="0">
                    <a:solidFill>
                      <a:schemeClr val="tx1">
                        <a:lumMod val="65000"/>
                        <a:lumOff val="35000"/>
                      </a:schemeClr>
                    </a:solidFill>
                    <a:latin typeface="+mn-lt"/>
                    <a:ea typeface="+mn-ea"/>
                    <a:cs typeface="+mn-cs"/>
                  </a:defRPr>
                </a:pPr>
                <a:r>
                  <a:rPr lang="en-US" sz="1400" b="1"/>
                  <a:t>SCORES</a:t>
                </a:r>
              </a:p>
            </c:rich>
          </c:tx>
          <c:overlay val="0"/>
          <c:spPr>
            <a:noFill/>
            <a:ln>
              <a:noFill/>
            </a:ln>
            <a:effectLst/>
          </c:spPr>
          <c:txPr>
            <a:bodyPr rot="-5400000" spcFirstLastPara="1" vertOverflow="ellipsis" vert="horz" wrap="square" anchor="ctr" anchorCtr="1"/>
            <a:lstStyle/>
            <a:p>
              <a:pPr>
                <a:defRPr sz="1400" b="1"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n-US"/>
          </a:p>
        </c:txPr>
        <c:crossAx val="494444624"/>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8826639069442128E-2"/>
          <c:y val="9.9999970836987209E-2"/>
          <c:w val="0.89101250755672712"/>
          <c:h val="0.75122841900600201"/>
        </c:manualLayout>
      </c:layout>
      <c:lineChart>
        <c:grouping val="standard"/>
        <c:varyColors val="0"/>
        <c:ser>
          <c:idx val="0"/>
          <c:order val="0"/>
          <c:tx>
            <c:strRef>
              <c:f>'Sheet2 (2)'!$F$1</c:f>
              <c:strCache>
                <c:ptCount val="1"/>
                <c:pt idx="0">
                  <c:v>Statewide Unemp rate</c:v>
                </c:pt>
              </c:strCache>
            </c:strRef>
          </c:tx>
          <c:spPr>
            <a:ln w="28575" cap="rnd">
              <a:solidFill>
                <a:srgbClr val="003F5C"/>
              </a:solidFill>
              <a:round/>
            </a:ln>
            <a:effectLst/>
          </c:spPr>
          <c:marker>
            <c:symbol val="none"/>
          </c:marker>
          <c:cat>
            <c:numRef>
              <c:f>'Sheet2 (2)'!$A$2:$A$132</c:f>
              <c:numCache>
                <c:formatCode>[$-409]mmm\-yy;@</c:formatCode>
                <c:ptCount val="131"/>
                <c:pt idx="0">
                  <c:v>39083</c:v>
                </c:pt>
                <c:pt idx="1">
                  <c:v>39114</c:v>
                </c:pt>
                <c:pt idx="2">
                  <c:v>39142</c:v>
                </c:pt>
                <c:pt idx="3">
                  <c:v>39173</c:v>
                </c:pt>
                <c:pt idx="4">
                  <c:v>39203</c:v>
                </c:pt>
                <c:pt idx="5">
                  <c:v>39234</c:v>
                </c:pt>
                <c:pt idx="6">
                  <c:v>39264</c:v>
                </c:pt>
                <c:pt idx="7">
                  <c:v>39295</c:v>
                </c:pt>
                <c:pt idx="8">
                  <c:v>39326</c:v>
                </c:pt>
                <c:pt idx="9">
                  <c:v>39356</c:v>
                </c:pt>
                <c:pt idx="10">
                  <c:v>39387</c:v>
                </c:pt>
                <c:pt idx="11">
                  <c:v>39417</c:v>
                </c:pt>
                <c:pt idx="12">
                  <c:v>39448</c:v>
                </c:pt>
                <c:pt idx="13">
                  <c:v>39479</c:v>
                </c:pt>
                <c:pt idx="14">
                  <c:v>39508</c:v>
                </c:pt>
                <c:pt idx="15">
                  <c:v>39539</c:v>
                </c:pt>
                <c:pt idx="16">
                  <c:v>39569</c:v>
                </c:pt>
                <c:pt idx="17">
                  <c:v>39600</c:v>
                </c:pt>
                <c:pt idx="18">
                  <c:v>39630</c:v>
                </c:pt>
                <c:pt idx="19">
                  <c:v>39661</c:v>
                </c:pt>
                <c:pt idx="20">
                  <c:v>39692</c:v>
                </c:pt>
                <c:pt idx="21">
                  <c:v>39722</c:v>
                </c:pt>
                <c:pt idx="22">
                  <c:v>39753</c:v>
                </c:pt>
                <c:pt idx="23">
                  <c:v>39783</c:v>
                </c:pt>
                <c:pt idx="24">
                  <c:v>39814</c:v>
                </c:pt>
                <c:pt idx="25">
                  <c:v>39845</c:v>
                </c:pt>
                <c:pt idx="26">
                  <c:v>39873</c:v>
                </c:pt>
                <c:pt idx="27">
                  <c:v>39904</c:v>
                </c:pt>
                <c:pt idx="28">
                  <c:v>39934</c:v>
                </c:pt>
                <c:pt idx="29">
                  <c:v>39965</c:v>
                </c:pt>
                <c:pt idx="30">
                  <c:v>39995</c:v>
                </c:pt>
                <c:pt idx="31">
                  <c:v>40026</c:v>
                </c:pt>
                <c:pt idx="32">
                  <c:v>40057</c:v>
                </c:pt>
                <c:pt idx="33">
                  <c:v>40087</c:v>
                </c:pt>
                <c:pt idx="34">
                  <c:v>40118</c:v>
                </c:pt>
                <c:pt idx="35">
                  <c:v>40148</c:v>
                </c:pt>
                <c:pt idx="36">
                  <c:v>40179</c:v>
                </c:pt>
                <c:pt idx="37">
                  <c:v>40210</c:v>
                </c:pt>
                <c:pt idx="38">
                  <c:v>40238</c:v>
                </c:pt>
                <c:pt idx="39">
                  <c:v>40269</c:v>
                </c:pt>
                <c:pt idx="40">
                  <c:v>40299</c:v>
                </c:pt>
                <c:pt idx="41">
                  <c:v>40330</c:v>
                </c:pt>
                <c:pt idx="42">
                  <c:v>40360</c:v>
                </c:pt>
                <c:pt idx="43">
                  <c:v>40391</c:v>
                </c:pt>
                <c:pt idx="44">
                  <c:v>40422</c:v>
                </c:pt>
                <c:pt idx="45">
                  <c:v>40452</c:v>
                </c:pt>
                <c:pt idx="46">
                  <c:v>40483</c:v>
                </c:pt>
                <c:pt idx="47">
                  <c:v>40513</c:v>
                </c:pt>
                <c:pt idx="48">
                  <c:v>40544</c:v>
                </c:pt>
                <c:pt idx="49">
                  <c:v>40575</c:v>
                </c:pt>
                <c:pt idx="50">
                  <c:v>40603</c:v>
                </c:pt>
                <c:pt idx="51">
                  <c:v>40634</c:v>
                </c:pt>
                <c:pt idx="52">
                  <c:v>40664</c:v>
                </c:pt>
                <c:pt idx="53">
                  <c:v>40695</c:v>
                </c:pt>
                <c:pt idx="54">
                  <c:v>40725</c:v>
                </c:pt>
                <c:pt idx="55">
                  <c:v>40756</c:v>
                </c:pt>
                <c:pt idx="56">
                  <c:v>40787</c:v>
                </c:pt>
                <c:pt idx="57">
                  <c:v>40817</c:v>
                </c:pt>
                <c:pt idx="58">
                  <c:v>40848</c:v>
                </c:pt>
                <c:pt idx="59">
                  <c:v>40878</c:v>
                </c:pt>
                <c:pt idx="60">
                  <c:v>40909</c:v>
                </c:pt>
                <c:pt idx="61">
                  <c:v>40940</c:v>
                </c:pt>
                <c:pt idx="62">
                  <c:v>40969</c:v>
                </c:pt>
                <c:pt idx="63">
                  <c:v>41000</c:v>
                </c:pt>
                <c:pt idx="64">
                  <c:v>41030</c:v>
                </c:pt>
                <c:pt idx="65">
                  <c:v>41061</c:v>
                </c:pt>
                <c:pt idx="66">
                  <c:v>41091</c:v>
                </c:pt>
                <c:pt idx="67">
                  <c:v>41122</c:v>
                </c:pt>
                <c:pt idx="68">
                  <c:v>41153</c:v>
                </c:pt>
                <c:pt idx="69">
                  <c:v>41183</c:v>
                </c:pt>
                <c:pt idx="70">
                  <c:v>41214</c:v>
                </c:pt>
                <c:pt idx="71">
                  <c:v>41244</c:v>
                </c:pt>
                <c:pt idx="72">
                  <c:v>41275</c:v>
                </c:pt>
                <c:pt idx="73">
                  <c:v>41306</c:v>
                </c:pt>
                <c:pt idx="74">
                  <c:v>41334</c:v>
                </c:pt>
                <c:pt idx="75">
                  <c:v>41365</c:v>
                </c:pt>
                <c:pt idx="76">
                  <c:v>41395</c:v>
                </c:pt>
                <c:pt idx="77">
                  <c:v>41426</c:v>
                </c:pt>
                <c:pt idx="78">
                  <c:v>41456</c:v>
                </c:pt>
                <c:pt idx="79">
                  <c:v>41487</c:v>
                </c:pt>
                <c:pt idx="80">
                  <c:v>41518</c:v>
                </c:pt>
                <c:pt idx="81">
                  <c:v>41548</c:v>
                </c:pt>
                <c:pt idx="82">
                  <c:v>41579</c:v>
                </c:pt>
                <c:pt idx="83">
                  <c:v>41609</c:v>
                </c:pt>
                <c:pt idx="84">
                  <c:v>41640</c:v>
                </c:pt>
                <c:pt idx="85">
                  <c:v>41671</c:v>
                </c:pt>
                <c:pt idx="86">
                  <c:v>41699</c:v>
                </c:pt>
                <c:pt idx="87">
                  <c:v>41730</c:v>
                </c:pt>
                <c:pt idx="88">
                  <c:v>41760</c:v>
                </c:pt>
                <c:pt idx="89">
                  <c:v>41791</c:v>
                </c:pt>
                <c:pt idx="90">
                  <c:v>41821</c:v>
                </c:pt>
                <c:pt idx="91">
                  <c:v>41852</c:v>
                </c:pt>
                <c:pt idx="92">
                  <c:v>41883</c:v>
                </c:pt>
                <c:pt idx="93">
                  <c:v>41913</c:v>
                </c:pt>
                <c:pt idx="94">
                  <c:v>41944</c:v>
                </c:pt>
                <c:pt idx="95">
                  <c:v>41974</c:v>
                </c:pt>
                <c:pt idx="96">
                  <c:v>42005</c:v>
                </c:pt>
                <c:pt idx="97">
                  <c:v>42036</c:v>
                </c:pt>
                <c:pt idx="98">
                  <c:v>42064</c:v>
                </c:pt>
                <c:pt idx="99">
                  <c:v>42095</c:v>
                </c:pt>
                <c:pt idx="100">
                  <c:v>42125</c:v>
                </c:pt>
                <c:pt idx="101">
                  <c:v>42156</c:v>
                </c:pt>
                <c:pt idx="102">
                  <c:v>42186</c:v>
                </c:pt>
                <c:pt idx="103">
                  <c:v>42217</c:v>
                </c:pt>
                <c:pt idx="104">
                  <c:v>42248</c:v>
                </c:pt>
                <c:pt idx="105">
                  <c:v>42278</c:v>
                </c:pt>
                <c:pt idx="106">
                  <c:v>42309</c:v>
                </c:pt>
                <c:pt idx="107">
                  <c:v>42339</c:v>
                </c:pt>
                <c:pt idx="108">
                  <c:v>42370</c:v>
                </c:pt>
                <c:pt idx="109">
                  <c:v>42401</c:v>
                </c:pt>
                <c:pt idx="110">
                  <c:v>42430</c:v>
                </c:pt>
                <c:pt idx="111">
                  <c:v>42461</c:v>
                </c:pt>
                <c:pt idx="112">
                  <c:v>42491</c:v>
                </c:pt>
                <c:pt idx="113">
                  <c:v>42522</c:v>
                </c:pt>
                <c:pt idx="114">
                  <c:v>42552</c:v>
                </c:pt>
                <c:pt idx="115">
                  <c:v>42583</c:v>
                </c:pt>
                <c:pt idx="116">
                  <c:v>42614</c:v>
                </c:pt>
                <c:pt idx="117">
                  <c:v>42644</c:v>
                </c:pt>
                <c:pt idx="118">
                  <c:v>42675</c:v>
                </c:pt>
                <c:pt idx="119">
                  <c:v>42705</c:v>
                </c:pt>
                <c:pt idx="120">
                  <c:v>42736</c:v>
                </c:pt>
                <c:pt idx="121">
                  <c:v>42767</c:v>
                </c:pt>
                <c:pt idx="122">
                  <c:v>42795</c:v>
                </c:pt>
                <c:pt idx="123">
                  <c:v>42826</c:v>
                </c:pt>
                <c:pt idx="124">
                  <c:v>42856</c:v>
                </c:pt>
                <c:pt idx="125">
                  <c:v>42887</c:v>
                </c:pt>
                <c:pt idx="126">
                  <c:v>42917</c:v>
                </c:pt>
                <c:pt idx="127">
                  <c:v>42948</c:v>
                </c:pt>
                <c:pt idx="128">
                  <c:v>42979</c:v>
                </c:pt>
                <c:pt idx="129">
                  <c:v>43009</c:v>
                </c:pt>
                <c:pt idx="130">
                  <c:v>43040</c:v>
                </c:pt>
              </c:numCache>
            </c:numRef>
          </c:cat>
          <c:val>
            <c:numRef>
              <c:f>'Sheet2 (2)'!$F$2:$F$132</c:f>
              <c:numCache>
                <c:formatCode>0.0%</c:formatCode>
                <c:ptCount val="131"/>
                <c:pt idx="0">
                  <c:v>3.4920634920634921E-2</c:v>
                </c:pt>
                <c:pt idx="1">
                  <c:v>3.5667396061269147E-2</c:v>
                </c:pt>
                <c:pt idx="2">
                  <c:v>3.6534675125793045E-2</c:v>
                </c:pt>
                <c:pt idx="3">
                  <c:v>3.7628527674469482E-2</c:v>
                </c:pt>
                <c:pt idx="4">
                  <c:v>3.8831765478013563E-2</c:v>
                </c:pt>
                <c:pt idx="5">
                  <c:v>4.0139997812534182E-2</c:v>
                </c:pt>
                <c:pt idx="6">
                  <c:v>4.1657555215394708E-2</c:v>
                </c:pt>
                <c:pt idx="7">
                  <c:v>4.3055403781007542E-2</c:v>
                </c:pt>
                <c:pt idx="8">
                  <c:v>4.4541484716157202E-2</c:v>
                </c:pt>
                <c:pt idx="9">
                  <c:v>4.6014611274670159E-2</c:v>
                </c:pt>
                <c:pt idx="10">
                  <c:v>4.7380459644918854E-2</c:v>
                </c:pt>
                <c:pt idx="11">
                  <c:v>4.8852137961048855E-2</c:v>
                </c:pt>
                <c:pt idx="12">
                  <c:v>5.0347977381470205E-2</c:v>
                </c:pt>
                <c:pt idx="13">
                  <c:v>5.2070877269268401E-2</c:v>
                </c:pt>
                <c:pt idx="14">
                  <c:v>5.4136319165126644E-2</c:v>
                </c:pt>
                <c:pt idx="15">
                  <c:v>5.6636590933797151E-2</c:v>
                </c:pt>
                <c:pt idx="16">
                  <c:v>5.9552271245381441E-2</c:v>
                </c:pt>
                <c:pt idx="17">
                  <c:v>6.245926569628503E-2</c:v>
                </c:pt>
                <c:pt idx="18">
                  <c:v>6.567520625271385E-2</c:v>
                </c:pt>
                <c:pt idx="19">
                  <c:v>6.8793402777777776E-2</c:v>
                </c:pt>
                <c:pt idx="20">
                  <c:v>7.2157118055555552E-2</c:v>
                </c:pt>
                <c:pt idx="21">
                  <c:v>7.6096396005210593E-2</c:v>
                </c:pt>
                <c:pt idx="22">
                  <c:v>8.0625882864283391E-2</c:v>
                </c:pt>
                <c:pt idx="23">
                  <c:v>8.5428229404723041E-2</c:v>
                </c:pt>
                <c:pt idx="24">
                  <c:v>9.058207979071288E-2</c:v>
                </c:pt>
                <c:pt idx="25">
                  <c:v>9.5513590219408362E-2</c:v>
                </c:pt>
                <c:pt idx="26">
                  <c:v>9.9661239208829633E-2</c:v>
                </c:pt>
                <c:pt idx="27">
                  <c:v>0.10278840896664844</c:v>
                </c:pt>
                <c:pt idx="28">
                  <c:v>0.10504431557063136</c:v>
                </c:pt>
                <c:pt idx="29">
                  <c:v>0.10676741130091984</c:v>
                </c:pt>
                <c:pt idx="30">
                  <c:v>0.10799254467711873</c:v>
                </c:pt>
                <c:pt idx="31">
                  <c:v>0.10903700450203141</c:v>
                </c:pt>
                <c:pt idx="32">
                  <c:v>0.1100846805234796</c:v>
                </c:pt>
                <c:pt idx="33">
                  <c:v>0.11087866108786611</c:v>
                </c:pt>
                <c:pt idx="34">
                  <c:v>0.11155159123444555</c:v>
                </c:pt>
                <c:pt idx="35">
                  <c:v>0.11196656401231853</c:v>
                </c:pt>
                <c:pt idx="36">
                  <c:v>0.1119157340355497</c:v>
                </c:pt>
                <c:pt idx="37">
                  <c:v>0.11136637129416913</c:v>
                </c:pt>
                <c:pt idx="38">
                  <c:v>0.11039598560052362</c:v>
                </c:pt>
                <c:pt idx="39">
                  <c:v>0.10934609944510934</c:v>
                </c:pt>
                <c:pt idx="40">
                  <c:v>0.10845727933991967</c:v>
                </c:pt>
                <c:pt idx="41">
                  <c:v>0.10795577715152829</c:v>
                </c:pt>
                <c:pt idx="42">
                  <c:v>0.10812858534473428</c:v>
                </c:pt>
                <c:pt idx="43">
                  <c:v>0.10843243243243243</c:v>
                </c:pt>
                <c:pt idx="44">
                  <c:v>0.10895151711478242</c:v>
                </c:pt>
                <c:pt idx="45">
                  <c:v>0.10895361380798274</c:v>
                </c:pt>
                <c:pt idx="46">
                  <c:v>0.10812850366537301</c:v>
                </c:pt>
                <c:pt idx="47">
                  <c:v>0.10689655172413794</c:v>
                </c:pt>
                <c:pt idx="48">
                  <c:v>0.1053821313240043</c:v>
                </c:pt>
                <c:pt idx="49">
                  <c:v>0.1037451571244081</c:v>
                </c:pt>
                <c:pt idx="50">
                  <c:v>0.1023571197933484</c:v>
                </c:pt>
                <c:pt idx="51">
                  <c:v>0.10131352282515073</c:v>
                </c:pt>
                <c:pt idx="52">
                  <c:v>0.10037695207323641</c:v>
                </c:pt>
                <c:pt idx="53">
                  <c:v>9.9515347334410337E-2</c:v>
                </c:pt>
                <c:pt idx="54">
                  <c:v>9.8298880275624459E-2</c:v>
                </c:pt>
                <c:pt idx="55">
                  <c:v>9.6826250672404524E-2</c:v>
                </c:pt>
                <c:pt idx="56">
                  <c:v>9.5120378331900263E-2</c:v>
                </c:pt>
                <c:pt idx="57">
                  <c:v>9.3203049500697951E-2</c:v>
                </c:pt>
                <c:pt idx="58">
                  <c:v>9.1309012875536485E-2</c:v>
                </c:pt>
                <c:pt idx="59">
                  <c:v>8.9553839553839554E-2</c:v>
                </c:pt>
                <c:pt idx="60">
                  <c:v>8.824790907141325E-2</c:v>
                </c:pt>
                <c:pt idx="61">
                  <c:v>8.7040411619680569E-2</c:v>
                </c:pt>
                <c:pt idx="62">
                  <c:v>8.6341724692019284E-2</c:v>
                </c:pt>
                <c:pt idx="63">
                  <c:v>8.574181117533719E-2</c:v>
                </c:pt>
                <c:pt idx="64">
                  <c:v>8.532021811183578E-2</c:v>
                </c:pt>
                <c:pt idx="65">
                  <c:v>8.4783769353977578E-2</c:v>
                </c:pt>
                <c:pt idx="66">
                  <c:v>8.3813179782469605E-2</c:v>
                </c:pt>
                <c:pt idx="67">
                  <c:v>8.2632307528484716E-2</c:v>
                </c:pt>
                <c:pt idx="68">
                  <c:v>8.1561037856231394E-2</c:v>
                </c:pt>
                <c:pt idx="69">
                  <c:v>8.0420694783809629E-2</c:v>
                </c:pt>
                <c:pt idx="70">
                  <c:v>7.9422382671480149E-2</c:v>
                </c:pt>
                <c:pt idx="71">
                  <c:v>7.8368907295316981E-2</c:v>
                </c:pt>
                <c:pt idx="72">
                  <c:v>7.7331633736987468E-2</c:v>
                </c:pt>
                <c:pt idx="73">
                  <c:v>7.6081181596004674E-2</c:v>
                </c:pt>
                <c:pt idx="74">
                  <c:v>7.4798130046748831E-2</c:v>
                </c:pt>
                <c:pt idx="75">
                  <c:v>7.3452924318012952E-2</c:v>
                </c:pt>
                <c:pt idx="76">
                  <c:v>7.2405385349305629E-2</c:v>
                </c:pt>
                <c:pt idx="77">
                  <c:v>7.1375622153976484E-2</c:v>
                </c:pt>
                <c:pt idx="78">
                  <c:v>7.0385266723116E-2</c:v>
                </c:pt>
                <c:pt idx="79">
                  <c:v>6.9326841659610505E-2</c:v>
                </c:pt>
                <c:pt idx="80">
                  <c:v>6.8184224457384854E-2</c:v>
                </c:pt>
                <c:pt idx="81">
                  <c:v>6.7118356976497984E-2</c:v>
                </c:pt>
                <c:pt idx="82">
                  <c:v>6.6307106598984769E-2</c:v>
                </c:pt>
                <c:pt idx="83">
                  <c:v>6.5857519788918212E-2</c:v>
                </c:pt>
                <c:pt idx="84">
                  <c:v>6.5585851142225496E-2</c:v>
                </c:pt>
                <c:pt idx="85">
                  <c:v>6.5420560747663545E-2</c:v>
                </c:pt>
                <c:pt idx="86">
                  <c:v>6.4982706215281419E-2</c:v>
                </c:pt>
                <c:pt idx="87">
                  <c:v>6.4181761072139049E-2</c:v>
                </c:pt>
                <c:pt idx="88">
                  <c:v>6.3304384220989857E-2</c:v>
                </c:pt>
                <c:pt idx="89">
                  <c:v>6.2225475841874087E-2</c:v>
                </c:pt>
                <c:pt idx="90">
                  <c:v>6.1245819397993312E-2</c:v>
                </c:pt>
                <c:pt idx="91">
                  <c:v>6.0359231411862987E-2</c:v>
                </c:pt>
                <c:pt idx="92">
                  <c:v>5.9689032662005634E-2</c:v>
                </c:pt>
                <c:pt idx="93">
                  <c:v>5.9032123487692947E-2</c:v>
                </c:pt>
                <c:pt idx="94">
                  <c:v>5.829596412556054E-2</c:v>
                </c:pt>
                <c:pt idx="95">
                  <c:v>5.7676261994159365E-2</c:v>
                </c:pt>
                <c:pt idx="96">
                  <c:v>5.6853745044857081E-2</c:v>
                </c:pt>
                <c:pt idx="97">
                  <c:v>5.6227832255372416E-2</c:v>
                </c:pt>
                <c:pt idx="98">
                  <c:v>5.5486024196912807E-2</c:v>
                </c:pt>
                <c:pt idx="99">
                  <c:v>5.4831648076722611E-2</c:v>
                </c:pt>
                <c:pt idx="100">
                  <c:v>5.4068132097093449E-2</c:v>
                </c:pt>
                <c:pt idx="101">
                  <c:v>5.3305570015616865E-2</c:v>
                </c:pt>
                <c:pt idx="102">
                  <c:v>5.2637053989389365E-2</c:v>
                </c:pt>
                <c:pt idx="103">
                  <c:v>5.2145008829334163E-2</c:v>
                </c:pt>
                <c:pt idx="104">
                  <c:v>5.1627617665353516E-2</c:v>
                </c:pt>
                <c:pt idx="105">
                  <c:v>5.128735394478337E-2</c:v>
                </c:pt>
                <c:pt idx="106">
                  <c:v>5.0835223757475768E-2</c:v>
                </c:pt>
                <c:pt idx="107">
                  <c:v>5.0596462361168243E-2</c:v>
                </c:pt>
                <c:pt idx="108">
                  <c:v>5.018472906403941E-2</c:v>
                </c:pt>
                <c:pt idx="109">
                  <c:v>4.9707902019063235E-2</c:v>
                </c:pt>
                <c:pt idx="110">
                  <c:v>4.9359959037378394E-2</c:v>
                </c:pt>
                <c:pt idx="111">
                  <c:v>4.9022617951079726E-2</c:v>
                </c:pt>
                <c:pt idx="112">
                  <c:v>4.8875255623721879E-2</c:v>
                </c:pt>
                <c:pt idx="113">
                  <c:v>4.8698315467075037E-2</c:v>
                </c:pt>
                <c:pt idx="114">
                  <c:v>4.8787940517416986E-2</c:v>
                </c:pt>
                <c:pt idx="115">
                  <c:v>4.8857287963433214E-2</c:v>
                </c:pt>
                <c:pt idx="116">
                  <c:v>4.90176220376747E-2</c:v>
                </c:pt>
                <c:pt idx="117">
                  <c:v>4.9186950813049184E-2</c:v>
                </c:pt>
                <c:pt idx="118">
                  <c:v>4.9375251914550583E-2</c:v>
                </c:pt>
                <c:pt idx="119">
                  <c:v>4.9487024743512374E-2</c:v>
                </c:pt>
                <c:pt idx="120">
                  <c:v>5.0420168067226892E-2</c:v>
                </c:pt>
                <c:pt idx="121">
                  <c:v>4.9905557212446564E-2</c:v>
                </c:pt>
                <c:pt idx="122">
                  <c:v>4.7977050153328718E-2</c:v>
                </c:pt>
                <c:pt idx="123">
                  <c:v>4.5544164037854891E-2</c:v>
                </c:pt>
                <c:pt idx="124">
                  <c:v>4.296413086322428E-2</c:v>
                </c:pt>
                <c:pt idx="125">
                  <c:v>4.1428289603472085E-2</c:v>
                </c:pt>
                <c:pt idx="126">
                  <c:v>4.0636741150879965E-2</c:v>
                </c:pt>
                <c:pt idx="127">
                  <c:v>4.0412044374009512E-2</c:v>
                </c:pt>
                <c:pt idx="128">
                  <c:v>3.8062283737024222E-2</c:v>
                </c:pt>
                <c:pt idx="129">
                  <c:v>3.6469658035184822E-2</c:v>
                </c:pt>
                <c:pt idx="130">
                  <c:v>3.6451644769337155E-2</c:v>
                </c:pt>
              </c:numCache>
            </c:numRef>
          </c:val>
          <c:smooth val="0"/>
          <c:extLst>
            <c:ext xmlns:c16="http://schemas.microsoft.com/office/drawing/2014/chart" uri="{C3380CC4-5D6E-409C-BE32-E72D297353CC}">
              <c16:uniqueId val="{00000000-EF35-4C8C-8548-2BEC5656EB0E}"/>
            </c:ext>
          </c:extLst>
        </c:ser>
        <c:dLbls>
          <c:showLegendKey val="0"/>
          <c:showVal val="0"/>
          <c:showCatName val="0"/>
          <c:showSerName val="0"/>
          <c:showPercent val="0"/>
          <c:showBubbleSize val="0"/>
        </c:dLbls>
        <c:smooth val="0"/>
        <c:axId val="381355632"/>
        <c:axId val="381356024"/>
      </c:lineChart>
      <c:dateAx>
        <c:axId val="381355632"/>
        <c:scaling>
          <c:orientation val="minMax"/>
        </c:scaling>
        <c:delete val="0"/>
        <c:axPos val="b"/>
        <c:numFmt formatCode="[$-409]mmm\-yy;@"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81356024"/>
        <c:crosses val="autoZero"/>
        <c:auto val="1"/>
        <c:lblOffset val="100"/>
        <c:baseTimeUnit val="months"/>
      </c:dateAx>
      <c:valAx>
        <c:axId val="381356024"/>
        <c:scaling>
          <c:orientation val="minMax"/>
          <c:min val="2.0000000000000004E-2"/>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81355632"/>
        <c:crosses val="autoZero"/>
        <c:crossBetween val="between"/>
        <c:majorUnit val="2.0000000000000004E-2"/>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2109733536055246"/>
          <c:y val="8.3140495867768602E-2"/>
          <c:w val="0.8558780701862817"/>
          <c:h val="0.66195709536307956"/>
        </c:manualLayout>
      </c:layout>
      <c:lineChart>
        <c:grouping val="standard"/>
        <c:varyColors val="0"/>
        <c:ser>
          <c:idx val="0"/>
          <c:order val="0"/>
          <c:tx>
            <c:strRef>
              <c:f>'Sheet2 (2)'!$B$1</c:f>
              <c:strCache>
                <c:ptCount val="1"/>
                <c:pt idx="0">
                  <c:v>Statewide Employment</c:v>
                </c:pt>
              </c:strCache>
            </c:strRef>
          </c:tx>
          <c:spPr>
            <a:ln w="28575" cap="rnd">
              <a:solidFill>
                <a:srgbClr val="003F5C"/>
              </a:solidFill>
              <a:round/>
            </a:ln>
            <a:effectLst/>
          </c:spPr>
          <c:marker>
            <c:symbol val="none"/>
          </c:marker>
          <c:cat>
            <c:numRef>
              <c:f>'Sheet2 (2)'!$A$2:$A$132</c:f>
              <c:numCache>
                <c:formatCode>[$-409]mmm\-yy;@</c:formatCode>
                <c:ptCount val="131"/>
                <c:pt idx="0">
                  <c:v>39083</c:v>
                </c:pt>
                <c:pt idx="1">
                  <c:v>39114</c:v>
                </c:pt>
                <c:pt idx="2">
                  <c:v>39142</c:v>
                </c:pt>
                <c:pt idx="3">
                  <c:v>39173</c:v>
                </c:pt>
                <c:pt idx="4">
                  <c:v>39203</c:v>
                </c:pt>
                <c:pt idx="5">
                  <c:v>39234</c:v>
                </c:pt>
                <c:pt idx="6">
                  <c:v>39264</c:v>
                </c:pt>
                <c:pt idx="7">
                  <c:v>39295</c:v>
                </c:pt>
                <c:pt idx="8">
                  <c:v>39326</c:v>
                </c:pt>
                <c:pt idx="9">
                  <c:v>39356</c:v>
                </c:pt>
                <c:pt idx="10">
                  <c:v>39387</c:v>
                </c:pt>
                <c:pt idx="11">
                  <c:v>39417</c:v>
                </c:pt>
                <c:pt idx="12">
                  <c:v>39448</c:v>
                </c:pt>
                <c:pt idx="13">
                  <c:v>39479</c:v>
                </c:pt>
                <c:pt idx="14">
                  <c:v>39508</c:v>
                </c:pt>
                <c:pt idx="15">
                  <c:v>39539</c:v>
                </c:pt>
                <c:pt idx="16">
                  <c:v>39569</c:v>
                </c:pt>
                <c:pt idx="17">
                  <c:v>39600</c:v>
                </c:pt>
                <c:pt idx="18">
                  <c:v>39630</c:v>
                </c:pt>
                <c:pt idx="19">
                  <c:v>39661</c:v>
                </c:pt>
                <c:pt idx="20">
                  <c:v>39692</c:v>
                </c:pt>
                <c:pt idx="21">
                  <c:v>39722</c:v>
                </c:pt>
                <c:pt idx="22">
                  <c:v>39753</c:v>
                </c:pt>
                <c:pt idx="23">
                  <c:v>39783</c:v>
                </c:pt>
                <c:pt idx="24">
                  <c:v>39814</c:v>
                </c:pt>
                <c:pt idx="25">
                  <c:v>39845</c:v>
                </c:pt>
                <c:pt idx="26">
                  <c:v>39873</c:v>
                </c:pt>
                <c:pt idx="27">
                  <c:v>39904</c:v>
                </c:pt>
                <c:pt idx="28">
                  <c:v>39934</c:v>
                </c:pt>
                <c:pt idx="29">
                  <c:v>39965</c:v>
                </c:pt>
                <c:pt idx="30">
                  <c:v>39995</c:v>
                </c:pt>
                <c:pt idx="31">
                  <c:v>40026</c:v>
                </c:pt>
                <c:pt idx="32">
                  <c:v>40057</c:v>
                </c:pt>
                <c:pt idx="33">
                  <c:v>40087</c:v>
                </c:pt>
                <c:pt idx="34">
                  <c:v>40118</c:v>
                </c:pt>
                <c:pt idx="35">
                  <c:v>40148</c:v>
                </c:pt>
                <c:pt idx="36">
                  <c:v>40179</c:v>
                </c:pt>
                <c:pt idx="37">
                  <c:v>40210</c:v>
                </c:pt>
                <c:pt idx="38">
                  <c:v>40238</c:v>
                </c:pt>
                <c:pt idx="39">
                  <c:v>40269</c:v>
                </c:pt>
                <c:pt idx="40">
                  <c:v>40299</c:v>
                </c:pt>
                <c:pt idx="41">
                  <c:v>40330</c:v>
                </c:pt>
                <c:pt idx="42">
                  <c:v>40360</c:v>
                </c:pt>
                <c:pt idx="43">
                  <c:v>40391</c:v>
                </c:pt>
                <c:pt idx="44">
                  <c:v>40422</c:v>
                </c:pt>
                <c:pt idx="45">
                  <c:v>40452</c:v>
                </c:pt>
                <c:pt idx="46">
                  <c:v>40483</c:v>
                </c:pt>
                <c:pt idx="47">
                  <c:v>40513</c:v>
                </c:pt>
                <c:pt idx="48">
                  <c:v>40544</c:v>
                </c:pt>
                <c:pt idx="49">
                  <c:v>40575</c:v>
                </c:pt>
                <c:pt idx="50">
                  <c:v>40603</c:v>
                </c:pt>
                <c:pt idx="51">
                  <c:v>40634</c:v>
                </c:pt>
                <c:pt idx="52">
                  <c:v>40664</c:v>
                </c:pt>
                <c:pt idx="53">
                  <c:v>40695</c:v>
                </c:pt>
                <c:pt idx="54">
                  <c:v>40725</c:v>
                </c:pt>
                <c:pt idx="55">
                  <c:v>40756</c:v>
                </c:pt>
                <c:pt idx="56">
                  <c:v>40787</c:v>
                </c:pt>
                <c:pt idx="57">
                  <c:v>40817</c:v>
                </c:pt>
                <c:pt idx="58">
                  <c:v>40848</c:v>
                </c:pt>
                <c:pt idx="59">
                  <c:v>40878</c:v>
                </c:pt>
                <c:pt idx="60">
                  <c:v>40909</c:v>
                </c:pt>
                <c:pt idx="61">
                  <c:v>40940</c:v>
                </c:pt>
                <c:pt idx="62">
                  <c:v>40969</c:v>
                </c:pt>
                <c:pt idx="63">
                  <c:v>41000</c:v>
                </c:pt>
                <c:pt idx="64">
                  <c:v>41030</c:v>
                </c:pt>
                <c:pt idx="65">
                  <c:v>41061</c:v>
                </c:pt>
                <c:pt idx="66">
                  <c:v>41091</c:v>
                </c:pt>
                <c:pt idx="67">
                  <c:v>41122</c:v>
                </c:pt>
                <c:pt idx="68">
                  <c:v>41153</c:v>
                </c:pt>
                <c:pt idx="69">
                  <c:v>41183</c:v>
                </c:pt>
                <c:pt idx="70">
                  <c:v>41214</c:v>
                </c:pt>
                <c:pt idx="71">
                  <c:v>41244</c:v>
                </c:pt>
                <c:pt idx="72">
                  <c:v>41275</c:v>
                </c:pt>
                <c:pt idx="73">
                  <c:v>41306</c:v>
                </c:pt>
                <c:pt idx="74">
                  <c:v>41334</c:v>
                </c:pt>
                <c:pt idx="75">
                  <c:v>41365</c:v>
                </c:pt>
                <c:pt idx="76">
                  <c:v>41395</c:v>
                </c:pt>
                <c:pt idx="77">
                  <c:v>41426</c:v>
                </c:pt>
                <c:pt idx="78">
                  <c:v>41456</c:v>
                </c:pt>
                <c:pt idx="79">
                  <c:v>41487</c:v>
                </c:pt>
                <c:pt idx="80">
                  <c:v>41518</c:v>
                </c:pt>
                <c:pt idx="81">
                  <c:v>41548</c:v>
                </c:pt>
                <c:pt idx="82">
                  <c:v>41579</c:v>
                </c:pt>
                <c:pt idx="83">
                  <c:v>41609</c:v>
                </c:pt>
                <c:pt idx="84">
                  <c:v>41640</c:v>
                </c:pt>
                <c:pt idx="85">
                  <c:v>41671</c:v>
                </c:pt>
                <c:pt idx="86">
                  <c:v>41699</c:v>
                </c:pt>
                <c:pt idx="87">
                  <c:v>41730</c:v>
                </c:pt>
                <c:pt idx="88">
                  <c:v>41760</c:v>
                </c:pt>
                <c:pt idx="89">
                  <c:v>41791</c:v>
                </c:pt>
                <c:pt idx="90">
                  <c:v>41821</c:v>
                </c:pt>
                <c:pt idx="91">
                  <c:v>41852</c:v>
                </c:pt>
                <c:pt idx="92">
                  <c:v>41883</c:v>
                </c:pt>
                <c:pt idx="93">
                  <c:v>41913</c:v>
                </c:pt>
                <c:pt idx="94">
                  <c:v>41944</c:v>
                </c:pt>
                <c:pt idx="95">
                  <c:v>41974</c:v>
                </c:pt>
                <c:pt idx="96">
                  <c:v>42005</c:v>
                </c:pt>
                <c:pt idx="97">
                  <c:v>42036</c:v>
                </c:pt>
                <c:pt idx="98">
                  <c:v>42064</c:v>
                </c:pt>
                <c:pt idx="99">
                  <c:v>42095</c:v>
                </c:pt>
                <c:pt idx="100">
                  <c:v>42125</c:v>
                </c:pt>
                <c:pt idx="101">
                  <c:v>42156</c:v>
                </c:pt>
                <c:pt idx="102">
                  <c:v>42186</c:v>
                </c:pt>
                <c:pt idx="103">
                  <c:v>42217</c:v>
                </c:pt>
                <c:pt idx="104">
                  <c:v>42248</c:v>
                </c:pt>
                <c:pt idx="105">
                  <c:v>42278</c:v>
                </c:pt>
                <c:pt idx="106">
                  <c:v>42309</c:v>
                </c:pt>
                <c:pt idx="107">
                  <c:v>42339</c:v>
                </c:pt>
                <c:pt idx="108">
                  <c:v>42370</c:v>
                </c:pt>
                <c:pt idx="109">
                  <c:v>42401</c:v>
                </c:pt>
                <c:pt idx="110">
                  <c:v>42430</c:v>
                </c:pt>
                <c:pt idx="111">
                  <c:v>42461</c:v>
                </c:pt>
                <c:pt idx="112">
                  <c:v>42491</c:v>
                </c:pt>
                <c:pt idx="113">
                  <c:v>42522</c:v>
                </c:pt>
                <c:pt idx="114">
                  <c:v>42552</c:v>
                </c:pt>
                <c:pt idx="115">
                  <c:v>42583</c:v>
                </c:pt>
                <c:pt idx="116">
                  <c:v>42614</c:v>
                </c:pt>
                <c:pt idx="117">
                  <c:v>42644</c:v>
                </c:pt>
                <c:pt idx="118">
                  <c:v>42675</c:v>
                </c:pt>
                <c:pt idx="119">
                  <c:v>42705</c:v>
                </c:pt>
                <c:pt idx="120">
                  <c:v>42736</c:v>
                </c:pt>
                <c:pt idx="121">
                  <c:v>42767</c:v>
                </c:pt>
                <c:pt idx="122">
                  <c:v>42795</c:v>
                </c:pt>
                <c:pt idx="123">
                  <c:v>42826</c:v>
                </c:pt>
                <c:pt idx="124">
                  <c:v>42856</c:v>
                </c:pt>
                <c:pt idx="125">
                  <c:v>42887</c:v>
                </c:pt>
                <c:pt idx="126">
                  <c:v>42917</c:v>
                </c:pt>
                <c:pt idx="127">
                  <c:v>42948</c:v>
                </c:pt>
                <c:pt idx="128">
                  <c:v>42979</c:v>
                </c:pt>
                <c:pt idx="129">
                  <c:v>43009</c:v>
                </c:pt>
                <c:pt idx="130">
                  <c:v>43040</c:v>
                </c:pt>
              </c:numCache>
            </c:numRef>
          </c:cat>
          <c:val>
            <c:numRef>
              <c:f>'Sheet2 (2)'!$B$2:$B$132</c:f>
              <c:numCache>
                <c:formatCode>0_);\(0\)</c:formatCode>
                <c:ptCount val="131"/>
                <c:pt idx="0">
                  <c:v>8816000</c:v>
                </c:pt>
                <c:pt idx="1">
                  <c:v>8814000</c:v>
                </c:pt>
                <c:pt idx="2">
                  <c:v>8808000</c:v>
                </c:pt>
                <c:pt idx="3">
                  <c:v>8798000</c:v>
                </c:pt>
                <c:pt idx="4">
                  <c:v>8787000</c:v>
                </c:pt>
                <c:pt idx="5">
                  <c:v>8776000</c:v>
                </c:pt>
                <c:pt idx="6">
                  <c:v>8765000</c:v>
                </c:pt>
                <c:pt idx="7">
                  <c:v>8757000</c:v>
                </c:pt>
                <c:pt idx="8">
                  <c:v>8752000</c:v>
                </c:pt>
                <c:pt idx="9">
                  <c:v>8749000</c:v>
                </c:pt>
                <c:pt idx="10">
                  <c:v>8746000</c:v>
                </c:pt>
                <c:pt idx="11">
                  <c:v>8742000</c:v>
                </c:pt>
                <c:pt idx="12">
                  <c:v>8733000</c:v>
                </c:pt>
                <c:pt idx="13">
                  <c:v>8720000</c:v>
                </c:pt>
                <c:pt idx="14">
                  <c:v>8701000</c:v>
                </c:pt>
                <c:pt idx="15">
                  <c:v>8678000</c:v>
                </c:pt>
                <c:pt idx="16">
                  <c:v>8654000</c:v>
                </c:pt>
                <c:pt idx="17">
                  <c:v>8631000</c:v>
                </c:pt>
                <c:pt idx="18">
                  <c:v>8607000</c:v>
                </c:pt>
                <c:pt idx="19">
                  <c:v>8582000</c:v>
                </c:pt>
                <c:pt idx="20">
                  <c:v>8551000</c:v>
                </c:pt>
                <c:pt idx="21">
                  <c:v>8511000</c:v>
                </c:pt>
                <c:pt idx="22">
                  <c:v>8461000</c:v>
                </c:pt>
                <c:pt idx="23">
                  <c:v>8404000</c:v>
                </c:pt>
                <c:pt idx="24">
                  <c:v>8343000</c:v>
                </c:pt>
                <c:pt idx="25">
                  <c:v>8286000</c:v>
                </c:pt>
                <c:pt idx="26">
                  <c:v>8239000</c:v>
                </c:pt>
                <c:pt idx="27">
                  <c:v>8205000</c:v>
                </c:pt>
                <c:pt idx="28">
                  <c:v>8179000</c:v>
                </c:pt>
                <c:pt idx="29">
                  <c:v>8157000</c:v>
                </c:pt>
                <c:pt idx="30">
                  <c:v>8136000</c:v>
                </c:pt>
                <c:pt idx="31">
                  <c:v>8114000</c:v>
                </c:pt>
                <c:pt idx="32">
                  <c:v>8092000</c:v>
                </c:pt>
                <c:pt idx="33">
                  <c:v>8075000</c:v>
                </c:pt>
                <c:pt idx="34">
                  <c:v>8068000</c:v>
                </c:pt>
                <c:pt idx="35">
                  <c:v>8074000</c:v>
                </c:pt>
                <c:pt idx="36">
                  <c:v>8094000</c:v>
                </c:pt>
                <c:pt idx="37">
                  <c:v>8123000</c:v>
                </c:pt>
                <c:pt idx="38">
                  <c:v>8155000</c:v>
                </c:pt>
                <c:pt idx="39">
                  <c:v>8186000</c:v>
                </c:pt>
                <c:pt idx="40">
                  <c:v>8212000</c:v>
                </c:pt>
                <c:pt idx="41">
                  <c:v>8230000</c:v>
                </c:pt>
                <c:pt idx="42">
                  <c:v>8240000</c:v>
                </c:pt>
                <c:pt idx="43">
                  <c:v>8247000</c:v>
                </c:pt>
                <c:pt idx="44">
                  <c:v>8252000</c:v>
                </c:pt>
                <c:pt idx="45">
                  <c:v>8260000</c:v>
                </c:pt>
                <c:pt idx="46">
                  <c:v>8273000</c:v>
                </c:pt>
                <c:pt idx="47">
                  <c:v>8288000</c:v>
                </c:pt>
                <c:pt idx="48">
                  <c:v>8311000</c:v>
                </c:pt>
                <c:pt idx="49">
                  <c:v>8328000</c:v>
                </c:pt>
                <c:pt idx="50">
                  <c:v>8340000</c:v>
                </c:pt>
                <c:pt idx="51">
                  <c:v>8347000</c:v>
                </c:pt>
                <c:pt idx="52">
                  <c:v>8353000</c:v>
                </c:pt>
                <c:pt idx="53">
                  <c:v>8361000</c:v>
                </c:pt>
                <c:pt idx="54">
                  <c:v>8375000</c:v>
                </c:pt>
                <c:pt idx="55">
                  <c:v>8395000</c:v>
                </c:pt>
                <c:pt idx="56">
                  <c:v>8419000</c:v>
                </c:pt>
                <c:pt idx="57">
                  <c:v>8445000</c:v>
                </c:pt>
                <c:pt idx="58">
                  <c:v>8469000</c:v>
                </c:pt>
                <c:pt idx="59">
                  <c:v>8489000</c:v>
                </c:pt>
                <c:pt idx="60">
                  <c:v>8503000</c:v>
                </c:pt>
                <c:pt idx="61">
                  <c:v>8517000</c:v>
                </c:pt>
                <c:pt idx="62">
                  <c:v>8529000</c:v>
                </c:pt>
                <c:pt idx="63">
                  <c:v>8541000</c:v>
                </c:pt>
                <c:pt idx="64">
                  <c:v>8555000</c:v>
                </c:pt>
                <c:pt idx="65">
                  <c:v>8571000</c:v>
                </c:pt>
                <c:pt idx="66">
                  <c:v>8592000</c:v>
                </c:pt>
                <c:pt idx="67">
                  <c:v>8615000</c:v>
                </c:pt>
                <c:pt idx="68">
                  <c:v>8637000</c:v>
                </c:pt>
                <c:pt idx="69">
                  <c:v>8656000</c:v>
                </c:pt>
                <c:pt idx="70">
                  <c:v>8670000</c:v>
                </c:pt>
                <c:pt idx="71">
                  <c:v>8679000</c:v>
                </c:pt>
                <c:pt idx="72">
                  <c:v>8686000</c:v>
                </c:pt>
                <c:pt idx="73">
                  <c:v>8695000</c:v>
                </c:pt>
                <c:pt idx="74">
                  <c:v>8708000</c:v>
                </c:pt>
                <c:pt idx="75">
                  <c:v>8729000</c:v>
                </c:pt>
                <c:pt idx="76">
                  <c:v>8750000</c:v>
                </c:pt>
                <c:pt idx="77">
                  <c:v>8769000</c:v>
                </c:pt>
                <c:pt idx="78">
                  <c:v>8783000</c:v>
                </c:pt>
                <c:pt idx="79">
                  <c:v>8793000</c:v>
                </c:pt>
                <c:pt idx="80">
                  <c:v>8801000</c:v>
                </c:pt>
                <c:pt idx="81">
                  <c:v>8812000</c:v>
                </c:pt>
                <c:pt idx="82">
                  <c:v>8829000</c:v>
                </c:pt>
                <c:pt idx="83">
                  <c:v>8851000</c:v>
                </c:pt>
                <c:pt idx="84">
                  <c:v>8876000</c:v>
                </c:pt>
                <c:pt idx="85">
                  <c:v>8900000</c:v>
                </c:pt>
                <c:pt idx="86">
                  <c:v>8921000</c:v>
                </c:pt>
                <c:pt idx="87">
                  <c:v>8938000</c:v>
                </c:pt>
                <c:pt idx="88">
                  <c:v>8952000</c:v>
                </c:pt>
                <c:pt idx="89">
                  <c:v>8967000</c:v>
                </c:pt>
                <c:pt idx="90">
                  <c:v>8982000</c:v>
                </c:pt>
                <c:pt idx="91">
                  <c:v>8998000</c:v>
                </c:pt>
                <c:pt idx="92">
                  <c:v>9011000</c:v>
                </c:pt>
                <c:pt idx="93">
                  <c:v>9022000</c:v>
                </c:pt>
                <c:pt idx="94">
                  <c:v>9030000</c:v>
                </c:pt>
                <c:pt idx="95">
                  <c:v>9035000</c:v>
                </c:pt>
                <c:pt idx="96">
                  <c:v>9041000</c:v>
                </c:pt>
                <c:pt idx="97">
                  <c:v>9047000</c:v>
                </c:pt>
                <c:pt idx="98">
                  <c:v>9056000</c:v>
                </c:pt>
                <c:pt idx="99">
                  <c:v>9067000</c:v>
                </c:pt>
                <c:pt idx="100">
                  <c:v>9080000</c:v>
                </c:pt>
                <c:pt idx="101">
                  <c:v>9093000</c:v>
                </c:pt>
                <c:pt idx="102">
                  <c:v>9107000</c:v>
                </c:pt>
                <c:pt idx="103">
                  <c:v>9125000</c:v>
                </c:pt>
                <c:pt idx="104" formatCode="General">
                  <c:v>9148000</c:v>
                </c:pt>
                <c:pt idx="105" formatCode="General">
                  <c:v>9175000</c:v>
                </c:pt>
                <c:pt idx="106" formatCode="General">
                  <c:v>9205000</c:v>
                </c:pt>
                <c:pt idx="107" formatCode="General">
                  <c:v>9232000</c:v>
                </c:pt>
                <c:pt idx="108" formatCode="General">
                  <c:v>9255000</c:v>
                </c:pt>
                <c:pt idx="109" formatCode="General">
                  <c:v>9272000</c:v>
                </c:pt>
                <c:pt idx="110" formatCode="General">
                  <c:v>9283000</c:v>
                </c:pt>
                <c:pt idx="111" formatCode="General">
                  <c:v>9292000</c:v>
                </c:pt>
                <c:pt idx="112" formatCode="General">
                  <c:v>9302000</c:v>
                </c:pt>
                <c:pt idx="113" formatCode="General">
                  <c:v>9318000</c:v>
                </c:pt>
                <c:pt idx="114" formatCode="General">
                  <c:v>9339000</c:v>
                </c:pt>
                <c:pt idx="115" formatCode="General">
                  <c:v>9364000</c:v>
                </c:pt>
                <c:pt idx="116" formatCode="General">
                  <c:v>9390000</c:v>
                </c:pt>
                <c:pt idx="117" formatCode="General">
                  <c:v>9414000</c:v>
                </c:pt>
                <c:pt idx="118" formatCode="General">
                  <c:v>9434000</c:v>
                </c:pt>
                <c:pt idx="119" formatCode="General">
                  <c:v>9450000</c:v>
                </c:pt>
                <c:pt idx="120" formatCode="General">
                  <c:v>9492000</c:v>
                </c:pt>
                <c:pt idx="121" formatCode="General">
                  <c:v>9557000</c:v>
                </c:pt>
                <c:pt idx="122" formatCode="General">
                  <c:v>9624000</c:v>
                </c:pt>
                <c:pt idx="123" formatCode="General">
                  <c:v>9682000</c:v>
                </c:pt>
                <c:pt idx="124" formatCode="General">
                  <c:v>9712000</c:v>
                </c:pt>
                <c:pt idx="125" formatCode="General">
                  <c:v>9718000</c:v>
                </c:pt>
                <c:pt idx="126" formatCode="General">
                  <c:v>9703000</c:v>
                </c:pt>
                <c:pt idx="127" formatCode="General">
                  <c:v>9688000</c:v>
                </c:pt>
                <c:pt idx="128" formatCode="General">
                  <c:v>9730000</c:v>
                </c:pt>
                <c:pt idx="129" formatCode="General">
                  <c:v>9749000</c:v>
                </c:pt>
                <c:pt idx="130" formatCode="General">
                  <c:v>9754000</c:v>
                </c:pt>
              </c:numCache>
            </c:numRef>
          </c:val>
          <c:smooth val="0"/>
          <c:extLst>
            <c:ext xmlns:c16="http://schemas.microsoft.com/office/drawing/2014/chart" uri="{C3380CC4-5D6E-409C-BE32-E72D297353CC}">
              <c16:uniqueId val="{00000000-F8B3-4830-BCA3-787262EC859B}"/>
            </c:ext>
          </c:extLst>
        </c:ser>
        <c:ser>
          <c:idx val="1"/>
          <c:order val="1"/>
          <c:tx>
            <c:strRef>
              <c:f>'Sheet2 (2)'!$C$1</c:f>
              <c:strCache>
                <c:ptCount val="1"/>
                <c:pt idx="0">
                  <c:v>Statewide Labor Force</c:v>
                </c:pt>
              </c:strCache>
            </c:strRef>
          </c:tx>
          <c:spPr>
            <a:ln w="28575" cap="rnd">
              <a:solidFill>
                <a:srgbClr val="98C93C"/>
              </a:solidFill>
              <a:round/>
            </a:ln>
            <a:effectLst/>
          </c:spPr>
          <c:marker>
            <c:symbol val="none"/>
          </c:marker>
          <c:cat>
            <c:numRef>
              <c:f>'Sheet2 (2)'!$A$2:$A$132</c:f>
              <c:numCache>
                <c:formatCode>[$-409]mmm\-yy;@</c:formatCode>
                <c:ptCount val="131"/>
                <c:pt idx="0">
                  <c:v>39083</c:v>
                </c:pt>
                <c:pt idx="1">
                  <c:v>39114</c:v>
                </c:pt>
                <c:pt idx="2">
                  <c:v>39142</c:v>
                </c:pt>
                <c:pt idx="3">
                  <c:v>39173</c:v>
                </c:pt>
                <c:pt idx="4">
                  <c:v>39203</c:v>
                </c:pt>
                <c:pt idx="5">
                  <c:v>39234</c:v>
                </c:pt>
                <c:pt idx="6">
                  <c:v>39264</c:v>
                </c:pt>
                <c:pt idx="7">
                  <c:v>39295</c:v>
                </c:pt>
                <c:pt idx="8">
                  <c:v>39326</c:v>
                </c:pt>
                <c:pt idx="9">
                  <c:v>39356</c:v>
                </c:pt>
                <c:pt idx="10">
                  <c:v>39387</c:v>
                </c:pt>
                <c:pt idx="11">
                  <c:v>39417</c:v>
                </c:pt>
                <c:pt idx="12">
                  <c:v>39448</c:v>
                </c:pt>
                <c:pt idx="13">
                  <c:v>39479</c:v>
                </c:pt>
                <c:pt idx="14">
                  <c:v>39508</c:v>
                </c:pt>
                <c:pt idx="15">
                  <c:v>39539</c:v>
                </c:pt>
                <c:pt idx="16">
                  <c:v>39569</c:v>
                </c:pt>
                <c:pt idx="17">
                  <c:v>39600</c:v>
                </c:pt>
                <c:pt idx="18">
                  <c:v>39630</c:v>
                </c:pt>
                <c:pt idx="19">
                  <c:v>39661</c:v>
                </c:pt>
                <c:pt idx="20">
                  <c:v>39692</c:v>
                </c:pt>
                <c:pt idx="21">
                  <c:v>39722</c:v>
                </c:pt>
                <c:pt idx="22">
                  <c:v>39753</c:v>
                </c:pt>
                <c:pt idx="23">
                  <c:v>39783</c:v>
                </c:pt>
                <c:pt idx="24">
                  <c:v>39814</c:v>
                </c:pt>
                <c:pt idx="25">
                  <c:v>39845</c:v>
                </c:pt>
                <c:pt idx="26">
                  <c:v>39873</c:v>
                </c:pt>
                <c:pt idx="27">
                  <c:v>39904</c:v>
                </c:pt>
                <c:pt idx="28">
                  <c:v>39934</c:v>
                </c:pt>
                <c:pt idx="29">
                  <c:v>39965</c:v>
                </c:pt>
                <c:pt idx="30">
                  <c:v>39995</c:v>
                </c:pt>
                <c:pt idx="31">
                  <c:v>40026</c:v>
                </c:pt>
                <c:pt idx="32">
                  <c:v>40057</c:v>
                </c:pt>
                <c:pt idx="33">
                  <c:v>40087</c:v>
                </c:pt>
                <c:pt idx="34">
                  <c:v>40118</c:v>
                </c:pt>
                <c:pt idx="35">
                  <c:v>40148</c:v>
                </c:pt>
                <c:pt idx="36">
                  <c:v>40179</c:v>
                </c:pt>
                <c:pt idx="37">
                  <c:v>40210</c:v>
                </c:pt>
                <c:pt idx="38">
                  <c:v>40238</c:v>
                </c:pt>
                <c:pt idx="39">
                  <c:v>40269</c:v>
                </c:pt>
                <c:pt idx="40">
                  <c:v>40299</c:v>
                </c:pt>
                <c:pt idx="41">
                  <c:v>40330</c:v>
                </c:pt>
                <c:pt idx="42">
                  <c:v>40360</c:v>
                </c:pt>
                <c:pt idx="43">
                  <c:v>40391</c:v>
                </c:pt>
                <c:pt idx="44">
                  <c:v>40422</c:v>
                </c:pt>
                <c:pt idx="45">
                  <c:v>40452</c:v>
                </c:pt>
                <c:pt idx="46">
                  <c:v>40483</c:v>
                </c:pt>
                <c:pt idx="47">
                  <c:v>40513</c:v>
                </c:pt>
                <c:pt idx="48">
                  <c:v>40544</c:v>
                </c:pt>
                <c:pt idx="49">
                  <c:v>40575</c:v>
                </c:pt>
                <c:pt idx="50">
                  <c:v>40603</c:v>
                </c:pt>
                <c:pt idx="51">
                  <c:v>40634</c:v>
                </c:pt>
                <c:pt idx="52">
                  <c:v>40664</c:v>
                </c:pt>
                <c:pt idx="53">
                  <c:v>40695</c:v>
                </c:pt>
                <c:pt idx="54">
                  <c:v>40725</c:v>
                </c:pt>
                <c:pt idx="55">
                  <c:v>40756</c:v>
                </c:pt>
                <c:pt idx="56">
                  <c:v>40787</c:v>
                </c:pt>
                <c:pt idx="57">
                  <c:v>40817</c:v>
                </c:pt>
                <c:pt idx="58">
                  <c:v>40848</c:v>
                </c:pt>
                <c:pt idx="59">
                  <c:v>40878</c:v>
                </c:pt>
                <c:pt idx="60">
                  <c:v>40909</c:v>
                </c:pt>
                <c:pt idx="61">
                  <c:v>40940</c:v>
                </c:pt>
                <c:pt idx="62">
                  <c:v>40969</c:v>
                </c:pt>
                <c:pt idx="63">
                  <c:v>41000</c:v>
                </c:pt>
                <c:pt idx="64">
                  <c:v>41030</c:v>
                </c:pt>
                <c:pt idx="65">
                  <c:v>41061</c:v>
                </c:pt>
                <c:pt idx="66">
                  <c:v>41091</c:v>
                </c:pt>
                <c:pt idx="67">
                  <c:v>41122</c:v>
                </c:pt>
                <c:pt idx="68">
                  <c:v>41153</c:v>
                </c:pt>
                <c:pt idx="69">
                  <c:v>41183</c:v>
                </c:pt>
                <c:pt idx="70">
                  <c:v>41214</c:v>
                </c:pt>
                <c:pt idx="71">
                  <c:v>41244</c:v>
                </c:pt>
                <c:pt idx="72">
                  <c:v>41275</c:v>
                </c:pt>
                <c:pt idx="73">
                  <c:v>41306</c:v>
                </c:pt>
                <c:pt idx="74">
                  <c:v>41334</c:v>
                </c:pt>
                <c:pt idx="75">
                  <c:v>41365</c:v>
                </c:pt>
                <c:pt idx="76">
                  <c:v>41395</c:v>
                </c:pt>
                <c:pt idx="77">
                  <c:v>41426</c:v>
                </c:pt>
                <c:pt idx="78">
                  <c:v>41456</c:v>
                </c:pt>
                <c:pt idx="79">
                  <c:v>41487</c:v>
                </c:pt>
                <c:pt idx="80">
                  <c:v>41518</c:v>
                </c:pt>
                <c:pt idx="81">
                  <c:v>41548</c:v>
                </c:pt>
                <c:pt idx="82">
                  <c:v>41579</c:v>
                </c:pt>
                <c:pt idx="83">
                  <c:v>41609</c:v>
                </c:pt>
                <c:pt idx="84">
                  <c:v>41640</c:v>
                </c:pt>
                <c:pt idx="85">
                  <c:v>41671</c:v>
                </c:pt>
                <c:pt idx="86">
                  <c:v>41699</c:v>
                </c:pt>
                <c:pt idx="87">
                  <c:v>41730</c:v>
                </c:pt>
                <c:pt idx="88">
                  <c:v>41760</c:v>
                </c:pt>
                <c:pt idx="89">
                  <c:v>41791</c:v>
                </c:pt>
                <c:pt idx="90">
                  <c:v>41821</c:v>
                </c:pt>
                <c:pt idx="91">
                  <c:v>41852</c:v>
                </c:pt>
                <c:pt idx="92">
                  <c:v>41883</c:v>
                </c:pt>
                <c:pt idx="93">
                  <c:v>41913</c:v>
                </c:pt>
                <c:pt idx="94">
                  <c:v>41944</c:v>
                </c:pt>
                <c:pt idx="95">
                  <c:v>41974</c:v>
                </c:pt>
                <c:pt idx="96">
                  <c:v>42005</c:v>
                </c:pt>
                <c:pt idx="97">
                  <c:v>42036</c:v>
                </c:pt>
                <c:pt idx="98">
                  <c:v>42064</c:v>
                </c:pt>
                <c:pt idx="99">
                  <c:v>42095</c:v>
                </c:pt>
                <c:pt idx="100">
                  <c:v>42125</c:v>
                </c:pt>
                <c:pt idx="101">
                  <c:v>42156</c:v>
                </c:pt>
                <c:pt idx="102">
                  <c:v>42186</c:v>
                </c:pt>
                <c:pt idx="103">
                  <c:v>42217</c:v>
                </c:pt>
                <c:pt idx="104">
                  <c:v>42248</c:v>
                </c:pt>
                <c:pt idx="105">
                  <c:v>42278</c:v>
                </c:pt>
                <c:pt idx="106">
                  <c:v>42309</c:v>
                </c:pt>
                <c:pt idx="107">
                  <c:v>42339</c:v>
                </c:pt>
                <c:pt idx="108">
                  <c:v>42370</c:v>
                </c:pt>
                <c:pt idx="109">
                  <c:v>42401</c:v>
                </c:pt>
                <c:pt idx="110">
                  <c:v>42430</c:v>
                </c:pt>
                <c:pt idx="111">
                  <c:v>42461</c:v>
                </c:pt>
                <c:pt idx="112">
                  <c:v>42491</c:v>
                </c:pt>
                <c:pt idx="113">
                  <c:v>42522</c:v>
                </c:pt>
                <c:pt idx="114">
                  <c:v>42552</c:v>
                </c:pt>
                <c:pt idx="115">
                  <c:v>42583</c:v>
                </c:pt>
                <c:pt idx="116">
                  <c:v>42614</c:v>
                </c:pt>
                <c:pt idx="117">
                  <c:v>42644</c:v>
                </c:pt>
                <c:pt idx="118">
                  <c:v>42675</c:v>
                </c:pt>
                <c:pt idx="119">
                  <c:v>42705</c:v>
                </c:pt>
                <c:pt idx="120">
                  <c:v>42736</c:v>
                </c:pt>
                <c:pt idx="121">
                  <c:v>42767</c:v>
                </c:pt>
                <c:pt idx="122">
                  <c:v>42795</c:v>
                </c:pt>
                <c:pt idx="123">
                  <c:v>42826</c:v>
                </c:pt>
                <c:pt idx="124">
                  <c:v>42856</c:v>
                </c:pt>
                <c:pt idx="125">
                  <c:v>42887</c:v>
                </c:pt>
                <c:pt idx="126">
                  <c:v>42917</c:v>
                </c:pt>
                <c:pt idx="127">
                  <c:v>42948</c:v>
                </c:pt>
                <c:pt idx="128">
                  <c:v>42979</c:v>
                </c:pt>
                <c:pt idx="129">
                  <c:v>43009</c:v>
                </c:pt>
                <c:pt idx="130">
                  <c:v>43040</c:v>
                </c:pt>
              </c:numCache>
            </c:numRef>
          </c:cat>
          <c:val>
            <c:numRef>
              <c:f>'Sheet2 (2)'!$C$2:$C$132</c:f>
              <c:numCache>
                <c:formatCode>0_);\(0\)</c:formatCode>
                <c:ptCount val="131"/>
                <c:pt idx="0">
                  <c:v>9135000</c:v>
                </c:pt>
                <c:pt idx="1">
                  <c:v>9140000</c:v>
                </c:pt>
                <c:pt idx="2">
                  <c:v>9142000</c:v>
                </c:pt>
                <c:pt idx="3">
                  <c:v>9142000</c:v>
                </c:pt>
                <c:pt idx="4">
                  <c:v>9142000</c:v>
                </c:pt>
                <c:pt idx="5">
                  <c:v>9143000</c:v>
                </c:pt>
                <c:pt idx="6">
                  <c:v>9146000</c:v>
                </c:pt>
                <c:pt idx="7">
                  <c:v>9151000</c:v>
                </c:pt>
                <c:pt idx="8">
                  <c:v>9160000</c:v>
                </c:pt>
                <c:pt idx="9">
                  <c:v>9171000</c:v>
                </c:pt>
                <c:pt idx="10">
                  <c:v>9181000</c:v>
                </c:pt>
                <c:pt idx="11">
                  <c:v>9191000</c:v>
                </c:pt>
                <c:pt idx="12">
                  <c:v>9196000</c:v>
                </c:pt>
                <c:pt idx="13">
                  <c:v>9199000</c:v>
                </c:pt>
                <c:pt idx="14">
                  <c:v>9199000</c:v>
                </c:pt>
                <c:pt idx="15">
                  <c:v>9199000</c:v>
                </c:pt>
                <c:pt idx="16">
                  <c:v>9202000</c:v>
                </c:pt>
                <c:pt idx="17">
                  <c:v>9206000</c:v>
                </c:pt>
                <c:pt idx="18">
                  <c:v>9212000</c:v>
                </c:pt>
                <c:pt idx="19">
                  <c:v>9216000</c:v>
                </c:pt>
                <c:pt idx="20">
                  <c:v>9216000</c:v>
                </c:pt>
                <c:pt idx="21">
                  <c:v>9212000</c:v>
                </c:pt>
                <c:pt idx="22">
                  <c:v>9203000</c:v>
                </c:pt>
                <c:pt idx="23">
                  <c:v>9189000</c:v>
                </c:pt>
                <c:pt idx="24">
                  <c:v>9174000</c:v>
                </c:pt>
                <c:pt idx="25">
                  <c:v>9161000</c:v>
                </c:pt>
                <c:pt idx="26">
                  <c:v>9151000</c:v>
                </c:pt>
                <c:pt idx="27">
                  <c:v>9145000</c:v>
                </c:pt>
                <c:pt idx="28">
                  <c:v>9139000</c:v>
                </c:pt>
                <c:pt idx="29">
                  <c:v>9132000</c:v>
                </c:pt>
                <c:pt idx="30">
                  <c:v>9121000</c:v>
                </c:pt>
                <c:pt idx="31">
                  <c:v>9107000</c:v>
                </c:pt>
                <c:pt idx="32">
                  <c:v>9093000</c:v>
                </c:pt>
                <c:pt idx="33">
                  <c:v>9082000</c:v>
                </c:pt>
                <c:pt idx="34">
                  <c:v>9081000</c:v>
                </c:pt>
                <c:pt idx="35">
                  <c:v>9092000</c:v>
                </c:pt>
                <c:pt idx="36">
                  <c:v>9114000</c:v>
                </c:pt>
                <c:pt idx="37">
                  <c:v>9141000</c:v>
                </c:pt>
                <c:pt idx="38">
                  <c:v>9167000</c:v>
                </c:pt>
                <c:pt idx="39">
                  <c:v>9191000</c:v>
                </c:pt>
                <c:pt idx="40">
                  <c:v>9211000</c:v>
                </c:pt>
                <c:pt idx="41">
                  <c:v>9226000</c:v>
                </c:pt>
                <c:pt idx="42">
                  <c:v>9239000</c:v>
                </c:pt>
                <c:pt idx="43">
                  <c:v>9250000</c:v>
                </c:pt>
                <c:pt idx="44">
                  <c:v>9261000</c:v>
                </c:pt>
                <c:pt idx="45">
                  <c:v>9270000</c:v>
                </c:pt>
                <c:pt idx="46">
                  <c:v>9276000</c:v>
                </c:pt>
                <c:pt idx="47">
                  <c:v>9280000</c:v>
                </c:pt>
                <c:pt idx="48">
                  <c:v>9290000</c:v>
                </c:pt>
                <c:pt idx="49">
                  <c:v>9292000</c:v>
                </c:pt>
                <c:pt idx="50">
                  <c:v>9291000</c:v>
                </c:pt>
                <c:pt idx="51">
                  <c:v>9288000</c:v>
                </c:pt>
                <c:pt idx="52">
                  <c:v>9285000</c:v>
                </c:pt>
                <c:pt idx="53">
                  <c:v>9285000</c:v>
                </c:pt>
                <c:pt idx="54">
                  <c:v>9288000</c:v>
                </c:pt>
                <c:pt idx="55">
                  <c:v>9295000</c:v>
                </c:pt>
                <c:pt idx="56">
                  <c:v>9304000</c:v>
                </c:pt>
                <c:pt idx="57">
                  <c:v>9313000</c:v>
                </c:pt>
                <c:pt idx="58">
                  <c:v>9320000</c:v>
                </c:pt>
                <c:pt idx="59">
                  <c:v>9324000</c:v>
                </c:pt>
                <c:pt idx="60">
                  <c:v>9326000</c:v>
                </c:pt>
                <c:pt idx="61">
                  <c:v>9329000</c:v>
                </c:pt>
                <c:pt idx="62">
                  <c:v>9335000</c:v>
                </c:pt>
                <c:pt idx="63">
                  <c:v>9342000</c:v>
                </c:pt>
                <c:pt idx="64">
                  <c:v>9353000</c:v>
                </c:pt>
                <c:pt idx="65">
                  <c:v>9365000</c:v>
                </c:pt>
                <c:pt idx="66">
                  <c:v>9378000</c:v>
                </c:pt>
                <c:pt idx="67">
                  <c:v>9391000</c:v>
                </c:pt>
                <c:pt idx="68">
                  <c:v>9404000</c:v>
                </c:pt>
                <c:pt idx="69">
                  <c:v>9413000</c:v>
                </c:pt>
                <c:pt idx="70">
                  <c:v>9418000</c:v>
                </c:pt>
                <c:pt idx="71">
                  <c:v>9417000</c:v>
                </c:pt>
                <c:pt idx="72">
                  <c:v>9414000</c:v>
                </c:pt>
                <c:pt idx="73">
                  <c:v>9411000</c:v>
                </c:pt>
                <c:pt idx="74">
                  <c:v>9412000</c:v>
                </c:pt>
                <c:pt idx="75">
                  <c:v>9421000</c:v>
                </c:pt>
                <c:pt idx="76">
                  <c:v>9433000</c:v>
                </c:pt>
                <c:pt idx="77">
                  <c:v>9443000</c:v>
                </c:pt>
                <c:pt idx="78">
                  <c:v>9448000</c:v>
                </c:pt>
                <c:pt idx="79">
                  <c:v>9448000</c:v>
                </c:pt>
                <c:pt idx="80">
                  <c:v>9445000</c:v>
                </c:pt>
                <c:pt idx="81">
                  <c:v>9446000</c:v>
                </c:pt>
                <c:pt idx="82">
                  <c:v>9456000</c:v>
                </c:pt>
                <c:pt idx="83">
                  <c:v>9475000</c:v>
                </c:pt>
                <c:pt idx="84">
                  <c:v>9499000</c:v>
                </c:pt>
                <c:pt idx="85">
                  <c:v>9523000</c:v>
                </c:pt>
                <c:pt idx="86">
                  <c:v>9541000</c:v>
                </c:pt>
                <c:pt idx="87">
                  <c:v>9551000</c:v>
                </c:pt>
                <c:pt idx="88">
                  <c:v>9557000</c:v>
                </c:pt>
                <c:pt idx="89">
                  <c:v>9562000</c:v>
                </c:pt>
                <c:pt idx="90">
                  <c:v>9568000</c:v>
                </c:pt>
                <c:pt idx="91">
                  <c:v>9576000</c:v>
                </c:pt>
                <c:pt idx="92">
                  <c:v>9583000</c:v>
                </c:pt>
                <c:pt idx="93">
                  <c:v>9588000</c:v>
                </c:pt>
                <c:pt idx="94">
                  <c:v>9589000</c:v>
                </c:pt>
                <c:pt idx="95">
                  <c:v>9588000</c:v>
                </c:pt>
                <c:pt idx="96">
                  <c:v>9586000</c:v>
                </c:pt>
                <c:pt idx="97">
                  <c:v>9586000</c:v>
                </c:pt>
                <c:pt idx="98">
                  <c:v>9588000</c:v>
                </c:pt>
                <c:pt idx="99">
                  <c:v>9593000</c:v>
                </c:pt>
                <c:pt idx="100">
                  <c:v>9599000</c:v>
                </c:pt>
                <c:pt idx="101">
                  <c:v>9605000</c:v>
                </c:pt>
                <c:pt idx="102">
                  <c:v>9613000</c:v>
                </c:pt>
                <c:pt idx="103">
                  <c:v>9627000</c:v>
                </c:pt>
                <c:pt idx="104" formatCode="General">
                  <c:v>9646000</c:v>
                </c:pt>
                <c:pt idx="105" formatCode="General">
                  <c:v>9671000</c:v>
                </c:pt>
                <c:pt idx="106" formatCode="General">
                  <c:v>9698000</c:v>
                </c:pt>
                <c:pt idx="107" formatCode="General">
                  <c:v>9724000</c:v>
                </c:pt>
                <c:pt idx="108" formatCode="General">
                  <c:v>9744000</c:v>
                </c:pt>
                <c:pt idx="109" formatCode="General">
                  <c:v>9757000</c:v>
                </c:pt>
                <c:pt idx="110" formatCode="General">
                  <c:v>9765000</c:v>
                </c:pt>
                <c:pt idx="111" formatCode="General">
                  <c:v>9771000</c:v>
                </c:pt>
                <c:pt idx="112" formatCode="General">
                  <c:v>9780000</c:v>
                </c:pt>
                <c:pt idx="113" formatCode="General">
                  <c:v>9795000</c:v>
                </c:pt>
                <c:pt idx="114" formatCode="General">
                  <c:v>9818000</c:v>
                </c:pt>
                <c:pt idx="115" formatCode="General">
                  <c:v>9845000</c:v>
                </c:pt>
                <c:pt idx="116" formatCode="General">
                  <c:v>9874000</c:v>
                </c:pt>
                <c:pt idx="117" formatCode="General">
                  <c:v>9901000</c:v>
                </c:pt>
                <c:pt idx="118" formatCode="General">
                  <c:v>9924000</c:v>
                </c:pt>
                <c:pt idx="119" formatCode="General">
                  <c:v>9942000</c:v>
                </c:pt>
                <c:pt idx="120" formatCode="General">
                  <c:v>9996000</c:v>
                </c:pt>
                <c:pt idx="121" formatCode="General">
                  <c:v>10059000</c:v>
                </c:pt>
                <c:pt idx="122" formatCode="General">
                  <c:v>10109000</c:v>
                </c:pt>
                <c:pt idx="123" formatCode="General">
                  <c:v>10144000</c:v>
                </c:pt>
                <c:pt idx="124" formatCode="General">
                  <c:v>10148000</c:v>
                </c:pt>
                <c:pt idx="125" formatCode="General">
                  <c:v>10138000</c:v>
                </c:pt>
                <c:pt idx="126" formatCode="General">
                  <c:v>10114000</c:v>
                </c:pt>
                <c:pt idx="127" formatCode="General">
                  <c:v>10096000</c:v>
                </c:pt>
                <c:pt idx="128" formatCode="General">
                  <c:v>10115000</c:v>
                </c:pt>
                <c:pt idx="129" formatCode="General">
                  <c:v>10118000</c:v>
                </c:pt>
                <c:pt idx="130" formatCode="General">
                  <c:v>10123000</c:v>
                </c:pt>
              </c:numCache>
            </c:numRef>
          </c:val>
          <c:smooth val="0"/>
          <c:extLst>
            <c:ext xmlns:c16="http://schemas.microsoft.com/office/drawing/2014/chart" uri="{C3380CC4-5D6E-409C-BE32-E72D297353CC}">
              <c16:uniqueId val="{00000001-F8B3-4830-BCA3-787262EC859B}"/>
            </c:ext>
          </c:extLst>
        </c:ser>
        <c:dLbls>
          <c:showLegendKey val="0"/>
          <c:showVal val="0"/>
          <c:showCatName val="0"/>
          <c:showSerName val="0"/>
          <c:showPercent val="0"/>
          <c:showBubbleSize val="0"/>
        </c:dLbls>
        <c:smooth val="0"/>
        <c:axId val="277299760"/>
        <c:axId val="277300152"/>
      </c:lineChart>
      <c:dateAx>
        <c:axId val="277299760"/>
        <c:scaling>
          <c:orientation val="minMax"/>
        </c:scaling>
        <c:delete val="0"/>
        <c:axPos val="b"/>
        <c:numFmt formatCode="[$-409]mmm\-yy;@"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77300152"/>
        <c:crosses val="autoZero"/>
        <c:auto val="1"/>
        <c:lblOffset val="100"/>
        <c:baseTimeUnit val="months"/>
      </c:dateAx>
      <c:valAx>
        <c:axId val="277300152"/>
        <c:scaling>
          <c:orientation val="minMax"/>
          <c:min val="7900000"/>
        </c:scaling>
        <c:delete val="0"/>
        <c:axPos val="l"/>
        <c:majorGridlines>
          <c:spPr>
            <a:ln w="9525" cap="flat" cmpd="sng" algn="ctr">
              <a:solidFill>
                <a:schemeClr val="tx1">
                  <a:lumMod val="15000"/>
                  <a:lumOff val="85000"/>
                </a:schemeClr>
              </a:solidFill>
              <a:round/>
            </a:ln>
            <a:effectLst/>
          </c:spPr>
        </c:majorGridlines>
        <c:numFmt formatCode="#,##0_);\(#,##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7729976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spPr>
            <a:ln w="28575" cap="rnd">
              <a:solidFill>
                <a:srgbClr val="003F5C"/>
              </a:solidFill>
              <a:round/>
            </a:ln>
            <a:effectLst/>
          </c:spPr>
          <c:marker>
            <c:symbol val="none"/>
          </c:marker>
          <c:cat>
            <c:numRef>
              <c:f>Construction!$A$2:$A$336</c:f>
              <c:numCache>
                <c:formatCode>mmm\-yy</c:formatCode>
                <c:ptCount val="335"/>
                <c:pt idx="0">
                  <c:v>32874</c:v>
                </c:pt>
                <c:pt idx="1">
                  <c:v>32905</c:v>
                </c:pt>
                <c:pt idx="2">
                  <c:v>32933</c:v>
                </c:pt>
                <c:pt idx="3">
                  <c:v>32964</c:v>
                </c:pt>
                <c:pt idx="4">
                  <c:v>32994</c:v>
                </c:pt>
                <c:pt idx="5">
                  <c:v>33025</c:v>
                </c:pt>
                <c:pt idx="6">
                  <c:v>33055</c:v>
                </c:pt>
                <c:pt idx="7">
                  <c:v>33086</c:v>
                </c:pt>
                <c:pt idx="8">
                  <c:v>33117</c:v>
                </c:pt>
                <c:pt idx="9">
                  <c:v>33147</c:v>
                </c:pt>
                <c:pt idx="10">
                  <c:v>33178</c:v>
                </c:pt>
                <c:pt idx="11">
                  <c:v>33208</c:v>
                </c:pt>
                <c:pt idx="12">
                  <c:v>33239</c:v>
                </c:pt>
                <c:pt idx="13">
                  <c:v>33270</c:v>
                </c:pt>
                <c:pt idx="14">
                  <c:v>33298</c:v>
                </c:pt>
                <c:pt idx="15">
                  <c:v>33329</c:v>
                </c:pt>
                <c:pt idx="16">
                  <c:v>33359</c:v>
                </c:pt>
                <c:pt idx="17">
                  <c:v>33390</c:v>
                </c:pt>
                <c:pt idx="18">
                  <c:v>33420</c:v>
                </c:pt>
                <c:pt idx="19">
                  <c:v>33451</c:v>
                </c:pt>
                <c:pt idx="20">
                  <c:v>33482</c:v>
                </c:pt>
                <c:pt idx="21">
                  <c:v>33512</c:v>
                </c:pt>
                <c:pt idx="22">
                  <c:v>33543</c:v>
                </c:pt>
                <c:pt idx="23">
                  <c:v>33573</c:v>
                </c:pt>
                <c:pt idx="24">
                  <c:v>33604</c:v>
                </c:pt>
                <c:pt idx="25">
                  <c:v>33635</c:v>
                </c:pt>
                <c:pt idx="26">
                  <c:v>33664</c:v>
                </c:pt>
                <c:pt idx="27">
                  <c:v>33695</c:v>
                </c:pt>
                <c:pt idx="28">
                  <c:v>33725</c:v>
                </c:pt>
                <c:pt idx="29">
                  <c:v>33756</c:v>
                </c:pt>
                <c:pt idx="30">
                  <c:v>33786</c:v>
                </c:pt>
                <c:pt idx="31">
                  <c:v>33817</c:v>
                </c:pt>
                <c:pt idx="32">
                  <c:v>33848</c:v>
                </c:pt>
                <c:pt idx="33">
                  <c:v>33878</c:v>
                </c:pt>
                <c:pt idx="34">
                  <c:v>33909</c:v>
                </c:pt>
                <c:pt idx="35">
                  <c:v>33939</c:v>
                </c:pt>
                <c:pt idx="36">
                  <c:v>33970</c:v>
                </c:pt>
                <c:pt idx="37">
                  <c:v>34001</c:v>
                </c:pt>
                <c:pt idx="38">
                  <c:v>34029</c:v>
                </c:pt>
                <c:pt idx="39">
                  <c:v>34060</c:v>
                </c:pt>
                <c:pt idx="40">
                  <c:v>34090</c:v>
                </c:pt>
                <c:pt idx="41">
                  <c:v>34121</c:v>
                </c:pt>
                <c:pt idx="42">
                  <c:v>34151</c:v>
                </c:pt>
                <c:pt idx="43">
                  <c:v>34182</c:v>
                </c:pt>
                <c:pt idx="44">
                  <c:v>34213</c:v>
                </c:pt>
                <c:pt idx="45">
                  <c:v>34243</c:v>
                </c:pt>
                <c:pt idx="46">
                  <c:v>34274</c:v>
                </c:pt>
                <c:pt idx="47">
                  <c:v>34304</c:v>
                </c:pt>
                <c:pt idx="48">
                  <c:v>34335</c:v>
                </c:pt>
                <c:pt idx="49">
                  <c:v>34366</c:v>
                </c:pt>
                <c:pt idx="50">
                  <c:v>34394</c:v>
                </c:pt>
                <c:pt idx="51">
                  <c:v>34425</c:v>
                </c:pt>
                <c:pt idx="52">
                  <c:v>34455</c:v>
                </c:pt>
                <c:pt idx="53">
                  <c:v>34486</c:v>
                </c:pt>
                <c:pt idx="54">
                  <c:v>34516</c:v>
                </c:pt>
                <c:pt idx="55">
                  <c:v>34547</c:v>
                </c:pt>
                <c:pt idx="56">
                  <c:v>34578</c:v>
                </c:pt>
                <c:pt idx="57">
                  <c:v>34608</c:v>
                </c:pt>
                <c:pt idx="58">
                  <c:v>34639</c:v>
                </c:pt>
                <c:pt idx="59">
                  <c:v>34669</c:v>
                </c:pt>
                <c:pt idx="60">
                  <c:v>34700</c:v>
                </c:pt>
                <c:pt idx="61">
                  <c:v>34731</c:v>
                </c:pt>
                <c:pt idx="62">
                  <c:v>34759</c:v>
                </c:pt>
                <c:pt idx="63">
                  <c:v>34790</c:v>
                </c:pt>
                <c:pt idx="64">
                  <c:v>34820</c:v>
                </c:pt>
                <c:pt idx="65">
                  <c:v>34851</c:v>
                </c:pt>
                <c:pt idx="66">
                  <c:v>34881</c:v>
                </c:pt>
                <c:pt idx="67">
                  <c:v>34912</c:v>
                </c:pt>
                <c:pt idx="68">
                  <c:v>34943</c:v>
                </c:pt>
                <c:pt idx="69">
                  <c:v>34973</c:v>
                </c:pt>
                <c:pt idx="70">
                  <c:v>35004</c:v>
                </c:pt>
                <c:pt idx="71">
                  <c:v>35034</c:v>
                </c:pt>
                <c:pt idx="72">
                  <c:v>35065</c:v>
                </c:pt>
                <c:pt idx="73">
                  <c:v>35096</c:v>
                </c:pt>
                <c:pt idx="74">
                  <c:v>35125</c:v>
                </c:pt>
                <c:pt idx="75">
                  <c:v>35156</c:v>
                </c:pt>
                <c:pt idx="76">
                  <c:v>35186</c:v>
                </c:pt>
                <c:pt idx="77">
                  <c:v>35217</c:v>
                </c:pt>
                <c:pt idx="78">
                  <c:v>35247</c:v>
                </c:pt>
                <c:pt idx="79">
                  <c:v>35278</c:v>
                </c:pt>
                <c:pt idx="80">
                  <c:v>35309</c:v>
                </c:pt>
                <c:pt idx="81">
                  <c:v>35339</c:v>
                </c:pt>
                <c:pt idx="82">
                  <c:v>35370</c:v>
                </c:pt>
                <c:pt idx="83">
                  <c:v>35400</c:v>
                </c:pt>
                <c:pt idx="84">
                  <c:v>35431</c:v>
                </c:pt>
                <c:pt idx="85">
                  <c:v>35462</c:v>
                </c:pt>
                <c:pt idx="86">
                  <c:v>35490</c:v>
                </c:pt>
                <c:pt idx="87">
                  <c:v>35521</c:v>
                </c:pt>
                <c:pt idx="88">
                  <c:v>35551</c:v>
                </c:pt>
                <c:pt idx="89">
                  <c:v>35582</c:v>
                </c:pt>
                <c:pt idx="90">
                  <c:v>35612</c:v>
                </c:pt>
                <c:pt idx="91">
                  <c:v>35643</c:v>
                </c:pt>
                <c:pt idx="92">
                  <c:v>35674</c:v>
                </c:pt>
                <c:pt idx="93">
                  <c:v>35704</c:v>
                </c:pt>
                <c:pt idx="94">
                  <c:v>35735</c:v>
                </c:pt>
                <c:pt idx="95">
                  <c:v>35765</c:v>
                </c:pt>
                <c:pt idx="96">
                  <c:v>35796</c:v>
                </c:pt>
                <c:pt idx="97">
                  <c:v>35827</c:v>
                </c:pt>
                <c:pt idx="98">
                  <c:v>35855</c:v>
                </c:pt>
                <c:pt idx="99">
                  <c:v>35886</c:v>
                </c:pt>
                <c:pt idx="100">
                  <c:v>35916</c:v>
                </c:pt>
                <c:pt idx="101">
                  <c:v>35947</c:v>
                </c:pt>
                <c:pt idx="102">
                  <c:v>35977</c:v>
                </c:pt>
                <c:pt idx="103">
                  <c:v>36008</c:v>
                </c:pt>
                <c:pt idx="104">
                  <c:v>36039</c:v>
                </c:pt>
                <c:pt idx="105">
                  <c:v>36069</c:v>
                </c:pt>
                <c:pt idx="106">
                  <c:v>36100</c:v>
                </c:pt>
                <c:pt idx="107">
                  <c:v>36130</c:v>
                </c:pt>
                <c:pt idx="108">
                  <c:v>36161</c:v>
                </c:pt>
                <c:pt idx="109">
                  <c:v>36192</c:v>
                </c:pt>
                <c:pt idx="110">
                  <c:v>36220</c:v>
                </c:pt>
                <c:pt idx="111">
                  <c:v>36251</c:v>
                </c:pt>
                <c:pt idx="112">
                  <c:v>36281</c:v>
                </c:pt>
                <c:pt idx="113">
                  <c:v>36312</c:v>
                </c:pt>
                <c:pt idx="114">
                  <c:v>36342</c:v>
                </c:pt>
                <c:pt idx="115">
                  <c:v>36373</c:v>
                </c:pt>
                <c:pt idx="116">
                  <c:v>36404</c:v>
                </c:pt>
                <c:pt idx="117">
                  <c:v>36434</c:v>
                </c:pt>
                <c:pt idx="118">
                  <c:v>36465</c:v>
                </c:pt>
                <c:pt idx="119">
                  <c:v>36495</c:v>
                </c:pt>
                <c:pt idx="120">
                  <c:v>36526</c:v>
                </c:pt>
                <c:pt idx="121">
                  <c:v>36557</c:v>
                </c:pt>
                <c:pt idx="122">
                  <c:v>36586</c:v>
                </c:pt>
                <c:pt idx="123">
                  <c:v>36617</c:v>
                </c:pt>
                <c:pt idx="124">
                  <c:v>36647</c:v>
                </c:pt>
                <c:pt idx="125">
                  <c:v>36678</c:v>
                </c:pt>
                <c:pt idx="126">
                  <c:v>36708</c:v>
                </c:pt>
                <c:pt idx="127">
                  <c:v>36739</c:v>
                </c:pt>
                <c:pt idx="128">
                  <c:v>36770</c:v>
                </c:pt>
                <c:pt idx="129">
                  <c:v>36800</c:v>
                </c:pt>
                <c:pt idx="130">
                  <c:v>36831</c:v>
                </c:pt>
                <c:pt idx="131">
                  <c:v>36861</c:v>
                </c:pt>
                <c:pt idx="132">
                  <c:v>36892</c:v>
                </c:pt>
                <c:pt idx="133">
                  <c:v>36923</c:v>
                </c:pt>
                <c:pt idx="134">
                  <c:v>36951</c:v>
                </c:pt>
                <c:pt idx="135">
                  <c:v>36982</c:v>
                </c:pt>
                <c:pt idx="136">
                  <c:v>37012</c:v>
                </c:pt>
                <c:pt idx="137">
                  <c:v>37043</c:v>
                </c:pt>
                <c:pt idx="138">
                  <c:v>37073</c:v>
                </c:pt>
                <c:pt idx="139">
                  <c:v>37104</c:v>
                </c:pt>
                <c:pt idx="140">
                  <c:v>37135</c:v>
                </c:pt>
                <c:pt idx="141">
                  <c:v>37165</c:v>
                </c:pt>
                <c:pt idx="142">
                  <c:v>37196</c:v>
                </c:pt>
                <c:pt idx="143">
                  <c:v>37226</c:v>
                </c:pt>
                <c:pt idx="144">
                  <c:v>37257</c:v>
                </c:pt>
                <c:pt idx="145">
                  <c:v>37288</c:v>
                </c:pt>
                <c:pt idx="146">
                  <c:v>37316</c:v>
                </c:pt>
                <c:pt idx="147">
                  <c:v>37347</c:v>
                </c:pt>
                <c:pt idx="148">
                  <c:v>37377</c:v>
                </c:pt>
                <c:pt idx="149">
                  <c:v>37408</c:v>
                </c:pt>
                <c:pt idx="150">
                  <c:v>37438</c:v>
                </c:pt>
                <c:pt idx="151">
                  <c:v>37469</c:v>
                </c:pt>
                <c:pt idx="152">
                  <c:v>37500</c:v>
                </c:pt>
                <c:pt idx="153">
                  <c:v>37530</c:v>
                </c:pt>
                <c:pt idx="154">
                  <c:v>37561</c:v>
                </c:pt>
                <c:pt idx="155">
                  <c:v>37591</c:v>
                </c:pt>
                <c:pt idx="156">
                  <c:v>37622</c:v>
                </c:pt>
                <c:pt idx="157">
                  <c:v>37653</c:v>
                </c:pt>
                <c:pt idx="158">
                  <c:v>37681</c:v>
                </c:pt>
                <c:pt idx="159">
                  <c:v>37712</c:v>
                </c:pt>
                <c:pt idx="160">
                  <c:v>37742</c:v>
                </c:pt>
                <c:pt idx="161">
                  <c:v>37773</c:v>
                </c:pt>
                <c:pt idx="162">
                  <c:v>37803</c:v>
                </c:pt>
                <c:pt idx="163">
                  <c:v>37834</c:v>
                </c:pt>
                <c:pt idx="164">
                  <c:v>37865</c:v>
                </c:pt>
                <c:pt idx="165">
                  <c:v>37895</c:v>
                </c:pt>
                <c:pt idx="166">
                  <c:v>37926</c:v>
                </c:pt>
                <c:pt idx="167">
                  <c:v>37956</c:v>
                </c:pt>
                <c:pt idx="168">
                  <c:v>37987</c:v>
                </c:pt>
                <c:pt idx="169">
                  <c:v>38018</c:v>
                </c:pt>
                <c:pt idx="170">
                  <c:v>38047</c:v>
                </c:pt>
                <c:pt idx="171">
                  <c:v>38078</c:v>
                </c:pt>
                <c:pt idx="172">
                  <c:v>38108</c:v>
                </c:pt>
                <c:pt idx="173">
                  <c:v>38139</c:v>
                </c:pt>
                <c:pt idx="174">
                  <c:v>38169</c:v>
                </c:pt>
                <c:pt idx="175">
                  <c:v>38200</c:v>
                </c:pt>
                <c:pt idx="176">
                  <c:v>38231</c:v>
                </c:pt>
                <c:pt idx="177">
                  <c:v>38261</c:v>
                </c:pt>
                <c:pt idx="178">
                  <c:v>38292</c:v>
                </c:pt>
                <c:pt idx="179">
                  <c:v>38322</c:v>
                </c:pt>
                <c:pt idx="180">
                  <c:v>38353</c:v>
                </c:pt>
                <c:pt idx="181">
                  <c:v>38384</c:v>
                </c:pt>
                <c:pt idx="182">
                  <c:v>38412</c:v>
                </c:pt>
                <c:pt idx="183">
                  <c:v>38443</c:v>
                </c:pt>
                <c:pt idx="184">
                  <c:v>38473</c:v>
                </c:pt>
                <c:pt idx="185">
                  <c:v>38504</c:v>
                </c:pt>
                <c:pt idx="186">
                  <c:v>38534</c:v>
                </c:pt>
                <c:pt idx="187">
                  <c:v>38565</c:v>
                </c:pt>
                <c:pt idx="188">
                  <c:v>38596</c:v>
                </c:pt>
                <c:pt idx="189">
                  <c:v>38626</c:v>
                </c:pt>
                <c:pt idx="190">
                  <c:v>38657</c:v>
                </c:pt>
                <c:pt idx="191">
                  <c:v>38687</c:v>
                </c:pt>
                <c:pt idx="192">
                  <c:v>38718</c:v>
                </c:pt>
                <c:pt idx="193">
                  <c:v>38749</c:v>
                </c:pt>
                <c:pt idx="194">
                  <c:v>38777</c:v>
                </c:pt>
                <c:pt idx="195">
                  <c:v>38808</c:v>
                </c:pt>
                <c:pt idx="196">
                  <c:v>38838</c:v>
                </c:pt>
                <c:pt idx="197">
                  <c:v>38869</c:v>
                </c:pt>
                <c:pt idx="198">
                  <c:v>38899</c:v>
                </c:pt>
                <c:pt idx="199">
                  <c:v>38930</c:v>
                </c:pt>
                <c:pt idx="200">
                  <c:v>38961</c:v>
                </c:pt>
                <c:pt idx="201">
                  <c:v>38991</c:v>
                </c:pt>
                <c:pt idx="202">
                  <c:v>39022</c:v>
                </c:pt>
                <c:pt idx="203">
                  <c:v>39052</c:v>
                </c:pt>
                <c:pt idx="204">
                  <c:v>39083</c:v>
                </c:pt>
                <c:pt idx="205">
                  <c:v>39114</c:v>
                </c:pt>
                <c:pt idx="206">
                  <c:v>39142</c:v>
                </c:pt>
                <c:pt idx="207">
                  <c:v>39173</c:v>
                </c:pt>
                <c:pt idx="208">
                  <c:v>39203</c:v>
                </c:pt>
                <c:pt idx="209">
                  <c:v>39234</c:v>
                </c:pt>
                <c:pt idx="210">
                  <c:v>39264</c:v>
                </c:pt>
                <c:pt idx="211">
                  <c:v>39295</c:v>
                </c:pt>
                <c:pt idx="212">
                  <c:v>39326</c:v>
                </c:pt>
                <c:pt idx="213">
                  <c:v>39356</c:v>
                </c:pt>
                <c:pt idx="214">
                  <c:v>39387</c:v>
                </c:pt>
                <c:pt idx="215">
                  <c:v>39417</c:v>
                </c:pt>
                <c:pt idx="216">
                  <c:v>39448</c:v>
                </c:pt>
                <c:pt idx="217">
                  <c:v>39479</c:v>
                </c:pt>
                <c:pt idx="218">
                  <c:v>39508</c:v>
                </c:pt>
                <c:pt idx="219">
                  <c:v>39539</c:v>
                </c:pt>
                <c:pt idx="220">
                  <c:v>39569</c:v>
                </c:pt>
                <c:pt idx="221">
                  <c:v>39600</c:v>
                </c:pt>
                <c:pt idx="222">
                  <c:v>39630</c:v>
                </c:pt>
                <c:pt idx="223">
                  <c:v>39661</c:v>
                </c:pt>
                <c:pt idx="224">
                  <c:v>39692</c:v>
                </c:pt>
                <c:pt idx="225">
                  <c:v>39722</c:v>
                </c:pt>
                <c:pt idx="226">
                  <c:v>39753</c:v>
                </c:pt>
                <c:pt idx="227">
                  <c:v>39783</c:v>
                </c:pt>
                <c:pt idx="228">
                  <c:v>39814</c:v>
                </c:pt>
                <c:pt idx="229">
                  <c:v>39845</c:v>
                </c:pt>
                <c:pt idx="230">
                  <c:v>39873</c:v>
                </c:pt>
                <c:pt idx="231">
                  <c:v>39904</c:v>
                </c:pt>
                <c:pt idx="232">
                  <c:v>39934</c:v>
                </c:pt>
                <c:pt idx="233">
                  <c:v>39965</c:v>
                </c:pt>
                <c:pt idx="234">
                  <c:v>39995</c:v>
                </c:pt>
                <c:pt idx="235">
                  <c:v>40026</c:v>
                </c:pt>
                <c:pt idx="236">
                  <c:v>40057</c:v>
                </c:pt>
                <c:pt idx="237">
                  <c:v>40087</c:v>
                </c:pt>
                <c:pt idx="238">
                  <c:v>40118</c:v>
                </c:pt>
                <c:pt idx="239">
                  <c:v>40148</c:v>
                </c:pt>
                <c:pt idx="240">
                  <c:v>40179</c:v>
                </c:pt>
                <c:pt idx="241">
                  <c:v>40210</c:v>
                </c:pt>
                <c:pt idx="242">
                  <c:v>40238</c:v>
                </c:pt>
                <c:pt idx="243">
                  <c:v>40269</c:v>
                </c:pt>
                <c:pt idx="244">
                  <c:v>40299</c:v>
                </c:pt>
                <c:pt idx="245">
                  <c:v>40330</c:v>
                </c:pt>
                <c:pt idx="246">
                  <c:v>40360</c:v>
                </c:pt>
                <c:pt idx="247">
                  <c:v>40391</c:v>
                </c:pt>
                <c:pt idx="248">
                  <c:v>40422</c:v>
                </c:pt>
                <c:pt idx="249">
                  <c:v>40452</c:v>
                </c:pt>
                <c:pt idx="250">
                  <c:v>40483</c:v>
                </c:pt>
                <c:pt idx="251">
                  <c:v>40513</c:v>
                </c:pt>
                <c:pt idx="252">
                  <c:v>40544</c:v>
                </c:pt>
                <c:pt idx="253">
                  <c:v>40575</c:v>
                </c:pt>
                <c:pt idx="254">
                  <c:v>40603</c:v>
                </c:pt>
                <c:pt idx="255">
                  <c:v>40634</c:v>
                </c:pt>
                <c:pt idx="256">
                  <c:v>40664</c:v>
                </c:pt>
                <c:pt idx="257">
                  <c:v>40695</c:v>
                </c:pt>
                <c:pt idx="258">
                  <c:v>40725</c:v>
                </c:pt>
                <c:pt idx="259">
                  <c:v>40756</c:v>
                </c:pt>
                <c:pt idx="260">
                  <c:v>40787</c:v>
                </c:pt>
                <c:pt idx="261">
                  <c:v>40817</c:v>
                </c:pt>
                <c:pt idx="262">
                  <c:v>40848</c:v>
                </c:pt>
                <c:pt idx="263">
                  <c:v>40878</c:v>
                </c:pt>
                <c:pt idx="264">
                  <c:v>40909</c:v>
                </c:pt>
                <c:pt idx="265">
                  <c:v>40940</c:v>
                </c:pt>
                <c:pt idx="266">
                  <c:v>40969</c:v>
                </c:pt>
                <c:pt idx="267">
                  <c:v>41000</c:v>
                </c:pt>
                <c:pt idx="268">
                  <c:v>41030</c:v>
                </c:pt>
                <c:pt idx="269">
                  <c:v>41061</c:v>
                </c:pt>
                <c:pt idx="270">
                  <c:v>41091</c:v>
                </c:pt>
                <c:pt idx="271">
                  <c:v>41122</c:v>
                </c:pt>
                <c:pt idx="272">
                  <c:v>41153</c:v>
                </c:pt>
                <c:pt idx="273">
                  <c:v>41183</c:v>
                </c:pt>
                <c:pt idx="274">
                  <c:v>41214</c:v>
                </c:pt>
                <c:pt idx="275">
                  <c:v>41244</c:v>
                </c:pt>
                <c:pt idx="276">
                  <c:v>41275</c:v>
                </c:pt>
                <c:pt idx="277">
                  <c:v>41306</c:v>
                </c:pt>
                <c:pt idx="278">
                  <c:v>41334</c:v>
                </c:pt>
                <c:pt idx="279">
                  <c:v>41365</c:v>
                </c:pt>
                <c:pt idx="280">
                  <c:v>41395</c:v>
                </c:pt>
                <c:pt idx="281">
                  <c:v>41426</c:v>
                </c:pt>
                <c:pt idx="282">
                  <c:v>41456</c:v>
                </c:pt>
                <c:pt idx="283">
                  <c:v>41487</c:v>
                </c:pt>
                <c:pt idx="284">
                  <c:v>41518</c:v>
                </c:pt>
                <c:pt idx="285">
                  <c:v>41548</c:v>
                </c:pt>
                <c:pt idx="286">
                  <c:v>41579</c:v>
                </c:pt>
                <c:pt idx="287">
                  <c:v>41609</c:v>
                </c:pt>
                <c:pt idx="288">
                  <c:v>41640</c:v>
                </c:pt>
                <c:pt idx="289">
                  <c:v>41671</c:v>
                </c:pt>
                <c:pt idx="290">
                  <c:v>41699</c:v>
                </c:pt>
                <c:pt idx="291">
                  <c:v>41730</c:v>
                </c:pt>
                <c:pt idx="292">
                  <c:v>41760</c:v>
                </c:pt>
                <c:pt idx="293">
                  <c:v>41791</c:v>
                </c:pt>
                <c:pt idx="294">
                  <c:v>41821</c:v>
                </c:pt>
                <c:pt idx="295">
                  <c:v>41852</c:v>
                </c:pt>
                <c:pt idx="296">
                  <c:v>41883</c:v>
                </c:pt>
                <c:pt idx="297">
                  <c:v>41913</c:v>
                </c:pt>
                <c:pt idx="298">
                  <c:v>41944</c:v>
                </c:pt>
                <c:pt idx="299">
                  <c:v>41974</c:v>
                </c:pt>
                <c:pt idx="300">
                  <c:v>42005</c:v>
                </c:pt>
                <c:pt idx="301">
                  <c:v>42036</c:v>
                </c:pt>
                <c:pt idx="302">
                  <c:v>42064</c:v>
                </c:pt>
                <c:pt idx="303">
                  <c:v>42095</c:v>
                </c:pt>
                <c:pt idx="304">
                  <c:v>42125</c:v>
                </c:pt>
                <c:pt idx="305">
                  <c:v>42156</c:v>
                </c:pt>
                <c:pt idx="306">
                  <c:v>42186</c:v>
                </c:pt>
                <c:pt idx="307">
                  <c:v>42217</c:v>
                </c:pt>
                <c:pt idx="308">
                  <c:v>42248</c:v>
                </c:pt>
                <c:pt idx="309">
                  <c:v>42278</c:v>
                </c:pt>
                <c:pt idx="310">
                  <c:v>42309</c:v>
                </c:pt>
                <c:pt idx="311">
                  <c:v>42339</c:v>
                </c:pt>
                <c:pt idx="312">
                  <c:v>42370</c:v>
                </c:pt>
                <c:pt idx="313">
                  <c:v>42401</c:v>
                </c:pt>
                <c:pt idx="314">
                  <c:v>42430</c:v>
                </c:pt>
                <c:pt idx="315">
                  <c:v>42461</c:v>
                </c:pt>
                <c:pt idx="316">
                  <c:v>42491</c:v>
                </c:pt>
                <c:pt idx="317">
                  <c:v>42522</c:v>
                </c:pt>
                <c:pt idx="318">
                  <c:v>42552</c:v>
                </c:pt>
                <c:pt idx="319">
                  <c:v>42583</c:v>
                </c:pt>
                <c:pt idx="320">
                  <c:v>42614</c:v>
                </c:pt>
                <c:pt idx="321">
                  <c:v>42644</c:v>
                </c:pt>
                <c:pt idx="322">
                  <c:v>42675</c:v>
                </c:pt>
                <c:pt idx="323">
                  <c:v>42705</c:v>
                </c:pt>
                <c:pt idx="324">
                  <c:v>42736</c:v>
                </c:pt>
                <c:pt idx="325">
                  <c:v>42767</c:v>
                </c:pt>
                <c:pt idx="326">
                  <c:v>42795</c:v>
                </c:pt>
                <c:pt idx="327">
                  <c:v>42826</c:v>
                </c:pt>
                <c:pt idx="328">
                  <c:v>42856</c:v>
                </c:pt>
                <c:pt idx="329">
                  <c:v>42887</c:v>
                </c:pt>
                <c:pt idx="330">
                  <c:v>42917</c:v>
                </c:pt>
                <c:pt idx="331">
                  <c:v>42948</c:v>
                </c:pt>
                <c:pt idx="332">
                  <c:v>42979</c:v>
                </c:pt>
                <c:pt idx="333">
                  <c:v>43009</c:v>
                </c:pt>
                <c:pt idx="334">
                  <c:v>43040</c:v>
                </c:pt>
              </c:numCache>
            </c:numRef>
          </c:cat>
          <c:val>
            <c:numRef>
              <c:f>Construction!$B$2:$B$336</c:f>
              <c:numCache>
                <c:formatCode>#,##0</c:formatCode>
                <c:ptCount val="335"/>
                <c:pt idx="0">
                  <c:v>401800</c:v>
                </c:pt>
                <c:pt idx="1">
                  <c:v>401900</c:v>
                </c:pt>
                <c:pt idx="2">
                  <c:v>401300</c:v>
                </c:pt>
                <c:pt idx="3">
                  <c:v>396600</c:v>
                </c:pt>
                <c:pt idx="4">
                  <c:v>392100</c:v>
                </c:pt>
                <c:pt idx="5">
                  <c:v>392000</c:v>
                </c:pt>
                <c:pt idx="6">
                  <c:v>388600</c:v>
                </c:pt>
                <c:pt idx="7">
                  <c:v>384500</c:v>
                </c:pt>
                <c:pt idx="8">
                  <c:v>383300</c:v>
                </c:pt>
                <c:pt idx="9">
                  <c:v>375100</c:v>
                </c:pt>
                <c:pt idx="10">
                  <c:v>367800</c:v>
                </c:pt>
                <c:pt idx="11">
                  <c:v>362000</c:v>
                </c:pt>
                <c:pt idx="12">
                  <c:v>356600</c:v>
                </c:pt>
                <c:pt idx="13">
                  <c:v>351200</c:v>
                </c:pt>
                <c:pt idx="14">
                  <c:v>348200</c:v>
                </c:pt>
                <c:pt idx="15">
                  <c:v>346400</c:v>
                </c:pt>
                <c:pt idx="16">
                  <c:v>343100</c:v>
                </c:pt>
                <c:pt idx="17">
                  <c:v>341300</c:v>
                </c:pt>
                <c:pt idx="18">
                  <c:v>339100</c:v>
                </c:pt>
                <c:pt idx="19">
                  <c:v>338700</c:v>
                </c:pt>
                <c:pt idx="20">
                  <c:v>339100</c:v>
                </c:pt>
                <c:pt idx="21">
                  <c:v>333200</c:v>
                </c:pt>
                <c:pt idx="22">
                  <c:v>332000</c:v>
                </c:pt>
                <c:pt idx="23">
                  <c:v>329800</c:v>
                </c:pt>
                <c:pt idx="24">
                  <c:v>332900</c:v>
                </c:pt>
                <c:pt idx="25">
                  <c:v>330100</c:v>
                </c:pt>
                <c:pt idx="26">
                  <c:v>329800</c:v>
                </c:pt>
                <c:pt idx="27">
                  <c:v>331200</c:v>
                </c:pt>
                <c:pt idx="28">
                  <c:v>332500</c:v>
                </c:pt>
                <c:pt idx="29">
                  <c:v>332100</c:v>
                </c:pt>
                <c:pt idx="30">
                  <c:v>334100</c:v>
                </c:pt>
                <c:pt idx="31">
                  <c:v>335400</c:v>
                </c:pt>
                <c:pt idx="32">
                  <c:v>341200</c:v>
                </c:pt>
                <c:pt idx="33">
                  <c:v>349000</c:v>
                </c:pt>
                <c:pt idx="34">
                  <c:v>352700</c:v>
                </c:pt>
                <c:pt idx="35">
                  <c:v>353400</c:v>
                </c:pt>
                <c:pt idx="36">
                  <c:v>354400</c:v>
                </c:pt>
                <c:pt idx="37">
                  <c:v>356800</c:v>
                </c:pt>
                <c:pt idx="38">
                  <c:v>356400</c:v>
                </c:pt>
                <c:pt idx="39">
                  <c:v>357700</c:v>
                </c:pt>
                <c:pt idx="40">
                  <c:v>358200</c:v>
                </c:pt>
                <c:pt idx="41">
                  <c:v>359200</c:v>
                </c:pt>
                <c:pt idx="42">
                  <c:v>359600</c:v>
                </c:pt>
                <c:pt idx="43">
                  <c:v>360300</c:v>
                </c:pt>
                <c:pt idx="44">
                  <c:v>360800</c:v>
                </c:pt>
                <c:pt idx="45">
                  <c:v>361600</c:v>
                </c:pt>
                <c:pt idx="46">
                  <c:v>363200</c:v>
                </c:pt>
                <c:pt idx="47">
                  <c:v>364900</c:v>
                </c:pt>
                <c:pt idx="48">
                  <c:v>364000</c:v>
                </c:pt>
                <c:pt idx="49">
                  <c:v>366400</c:v>
                </c:pt>
                <c:pt idx="50">
                  <c:v>368600</c:v>
                </c:pt>
                <c:pt idx="51">
                  <c:v>369700</c:v>
                </c:pt>
                <c:pt idx="52">
                  <c:v>373000</c:v>
                </c:pt>
                <c:pt idx="53">
                  <c:v>376100</c:v>
                </c:pt>
                <c:pt idx="54">
                  <c:v>380200</c:v>
                </c:pt>
                <c:pt idx="55">
                  <c:v>382500</c:v>
                </c:pt>
                <c:pt idx="56">
                  <c:v>384300</c:v>
                </c:pt>
                <c:pt idx="57">
                  <c:v>380900</c:v>
                </c:pt>
                <c:pt idx="58">
                  <c:v>384900</c:v>
                </c:pt>
                <c:pt idx="59">
                  <c:v>386900</c:v>
                </c:pt>
                <c:pt idx="60">
                  <c:v>388900</c:v>
                </c:pt>
                <c:pt idx="61">
                  <c:v>389400</c:v>
                </c:pt>
                <c:pt idx="62">
                  <c:v>391100</c:v>
                </c:pt>
                <c:pt idx="63">
                  <c:v>394400</c:v>
                </c:pt>
                <c:pt idx="64">
                  <c:v>394600</c:v>
                </c:pt>
                <c:pt idx="65">
                  <c:v>396700</c:v>
                </c:pt>
                <c:pt idx="66">
                  <c:v>397200</c:v>
                </c:pt>
                <c:pt idx="67">
                  <c:v>399900</c:v>
                </c:pt>
                <c:pt idx="68">
                  <c:v>400400</c:v>
                </c:pt>
                <c:pt idx="69">
                  <c:v>398000</c:v>
                </c:pt>
                <c:pt idx="70">
                  <c:v>400400</c:v>
                </c:pt>
                <c:pt idx="71">
                  <c:v>401800</c:v>
                </c:pt>
                <c:pt idx="72">
                  <c:v>413200</c:v>
                </c:pt>
                <c:pt idx="73">
                  <c:v>416600</c:v>
                </c:pt>
                <c:pt idx="74">
                  <c:v>418100</c:v>
                </c:pt>
                <c:pt idx="75">
                  <c:v>417300</c:v>
                </c:pt>
                <c:pt idx="76">
                  <c:v>418100</c:v>
                </c:pt>
                <c:pt idx="77">
                  <c:v>418500</c:v>
                </c:pt>
                <c:pt idx="78">
                  <c:v>412900</c:v>
                </c:pt>
                <c:pt idx="79">
                  <c:v>414500</c:v>
                </c:pt>
                <c:pt idx="80">
                  <c:v>415900</c:v>
                </c:pt>
                <c:pt idx="81">
                  <c:v>421600</c:v>
                </c:pt>
                <c:pt idx="82">
                  <c:v>422000</c:v>
                </c:pt>
                <c:pt idx="83">
                  <c:v>421000</c:v>
                </c:pt>
                <c:pt idx="84">
                  <c:v>424400</c:v>
                </c:pt>
                <c:pt idx="85">
                  <c:v>422400</c:v>
                </c:pt>
                <c:pt idx="86">
                  <c:v>423300</c:v>
                </c:pt>
                <c:pt idx="87">
                  <c:v>426400</c:v>
                </c:pt>
                <c:pt idx="88">
                  <c:v>426700</c:v>
                </c:pt>
                <c:pt idx="89">
                  <c:v>427900</c:v>
                </c:pt>
                <c:pt idx="90">
                  <c:v>430300</c:v>
                </c:pt>
                <c:pt idx="91">
                  <c:v>431400</c:v>
                </c:pt>
                <c:pt idx="92">
                  <c:v>435400</c:v>
                </c:pt>
                <c:pt idx="93">
                  <c:v>437600</c:v>
                </c:pt>
                <c:pt idx="94">
                  <c:v>439000</c:v>
                </c:pt>
                <c:pt idx="95">
                  <c:v>440400</c:v>
                </c:pt>
                <c:pt idx="96">
                  <c:v>436900</c:v>
                </c:pt>
                <c:pt idx="97">
                  <c:v>438400</c:v>
                </c:pt>
                <c:pt idx="98">
                  <c:v>439600</c:v>
                </c:pt>
                <c:pt idx="99">
                  <c:v>441300</c:v>
                </c:pt>
                <c:pt idx="100">
                  <c:v>443200</c:v>
                </c:pt>
                <c:pt idx="101">
                  <c:v>444200</c:v>
                </c:pt>
                <c:pt idx="102">
                  <c:v>448500</c:v>
                </c:pt>
                <c:pt idx="103">
                  <c:v>449700</c:v>
                </c:pt>
                <c:pt idx="104">
                  <c:v>451000</c:v>
                </c:pt>
                <c:pt idx="105">
                  <c:v>451900</c:v>
                </c:pt>
                <c:pt idx="106">
                  <c:v>453300</c:v>
                </c:pt>
                <c:pt idx="107">
                  <c:v>456100</c:v>
                </c:pt>
                <c:pt idx="108">
                  <c:v>453300</c:v>
                </c:pt>
                <c:pt idx="109">
                  <c:v>455400</c:v>
                </c:pt>
                <c:pt idx="110">
                  <c:v>456300</c:v>
                </c:pt>
                <c:pt idx="111">
                  <c:v>457700</c:v>
                </c:pt>
                <c:pt idx="112">
                  <c:v>459500</c:v>
                </c:pt>
                <c:pt idx="113">
                  <c:v>460000</c:v>
                </c:pt>
                <c:pt idx="114">
                  <c:v>459200</c:v>
                </c:pt>
                <c:pt idx="115">
                  <c:v>461100</c:v>
                </c:pt>
                <c:pt idx="116">
                  <c:v>460700</c:v>
                </c:pt>
                <c:pt idx="117">
                  <c:v>464100</c:v>
                </c:pt>
                <c:pt idx="118">
                  <c:v>466000</c:v>
                </c:pt>
                <c:pt idx="119">
                  <c:v>468400</c:v>
                </c:pt>
                <c:pt idx="120">
                  <c:v>474600</c:v>
                </c:pt>
                <c:pt idx="121">
                  <c:v>476900</c:v>
                </c:pt>
                <c:pt idx="122">
                  <c:v>479800</c:v>
                </c:pt>
                <c:pt idx="123">
                  <c:v>478800</c:v>
                </c:pt>
                <c:pt idx="124">
                  <c:v>480600</c:v>
                </c:pt>
                <c:pt idx="125">
                  <c:v>484300</c:v>
                </c:pt>
                <c:pt idx="126">
                  <c:v>485600</c:v>
                </c:pt>
                <c:pt idx="127">
                  <c:v>487700</c:v>
                </c:pt>
                <c:pt idx="128">
                  <c:v>491000</c:v>
                </c:pt>
                <c:pt idx="129">
                  <c:v>486900</c:v>
                </c:pt>
                <c:pt idx="130">
                  <c:v>487800</c:v>
                </c:pt>
                <c:pt idx="131">
                  <c:v>490000</c:v>
                </c:pt>
                <c:pt idx="132">
                  <c:v>494100</c:v>
                </c:pt>
                <c:pt idx="133">
                  <c:v>494300</c:v>
                </c:pt>
                <c:pt idx="134">
                  <c:v>495200</c:v>
                </c:pt>
                <c:pt idx="135">
                  <c:v>496000</c:v>
                </c:pt>
                <c:pt idx="136">
                  <c:v>496600</c:v>
                </c:pt>
                <c:pt idx="137">
                  <c:v>499300</c:v>
                </c:pt>
                <c:pt idx="138">
                  <c:v>501000</c:v>
                </c:pt>
                <c:pt idx="139">
                  <c:v>502000</c:v>
                </c:pt>
                <c:pt idx="140">
                  <c:v>503500</c:v>
                </c:pt>
                <c:pt idx="141">
                  <c:v>503600</c:v>
                </c:pt>
                <c:pt idx="142">
                  <c:v>503800</c:v>
                </c:pt>
                <c:pt idx="143">
                  <c:v>503500</c:v>
                </c:pt>
                <c:pt idx="144">
                  <c:v>502000</c:v>
                </c:pt>
                <c:pt idx="145">
                  <c:v>500200</c:v>
                </c:pt>
                <c:pt idx="146">
                  <c:v>500400</c:v>
                </c:pt>
                <c:pt idx="147">
                  <c:v>502200</c:v>
                </c:pt>
                <c:pt idx="148">
                  <c:v>502700</c:v>
                </c:pt>
                <c:pt idx="149">
                  <c:v>501500</c:v>
                </c:pt>
                <c:pt idx="150">
                  <c:v>500100</c:v>
                </c:pt>
                <c:pt idx="151">
                  <c:v>504200</c:v>
                </c:pt>
                <c:pt idx="152">
                  <c:v>506100</c:v>
                </c:pt>
                <c:pt idx="153">
                  <c:v>510800</c:v>
                </c:pt>
                <c:pt idx="154">
                  <c:v>512500</c:v>
                </c:pt>
                <c:pt idx="155">
                  <c:v>513500</c:v>
                </c:pt>
                <c:pt idx="156">
                  <c:v>514900</c:v>
                </c:pt>
                <c:pt idx="157">
                  <c:v>515900</c:v>
                </c:pt>
                <c:pt idx="158">
                  <c:v>515900</c:v>
                </c:pt>
                <c:pt idx="159">
                  <c:v>516500</c:v>
                </c:pt>
                <c:pt idx="160">
                  <c:v>519200.00000000006</c:v>
                </c:pt>
                <c:pt idx="161">
                  <c:v>521700.00000000006</c:v>
                </c:pt>
                <c:pt idx="162">
                  <c:v>523500</c:v>
                </c:pt>
                <c:pt idx="163">
                  <c:v>526300</c:v>
                </c:pt>
                <c:pt idx="164">
                  <c:v>529600</c:v>
                </c:pt>
                <c:pt idx="165">
                  <c:v>531900</c:v>
                </c:pt>
                <c:pt idx="166">
                  <c:v>534000</c:v>
                </c:pt>
                <c:pt idx="167">
                  <c:v>538300</c:v>
                </c:pt>
                <c:pt idx="168">
                  <c:v>549400</c:v>
                </c:pt>
                <c:pt idx="169">
                  <c:v>552600</c:v>
                </c:pt>
                <c:pt idx="170">
                  <c:v>557500</c:v>
                </c:pt>
                <c:pt idx="171">
                  <c:v>562800</c:v>
                </c:pt>
                <c:pt idx="172">
                  <c:v>565500</c:v>
                </c:pt>
                <c:pt idx="173">
                  <c:v>569300</c:v>
                </c:pt>
                <c:pt idx="174">
                  <c:v>575300</c:v>
                </c:pt>
                <c:pt idx="175">
                  <c:v>577900</c:v>
                </c:pt>
                <c:pt idx="176">
                  <c:v>576500</c:v>
                </c:pt>
                <c:pt idx="177">
                  <c:v>588800</c:v>
                </c:pt>
                <c:pt idx="178">
                  <c:v>595700</c:v>
                </c:pt>
                <c:pt idx="179">
                  <c:v>600800</c:v>
                </c:pt>
                <c:pt idx="180">
                  <c:v>607200</c:v>
                </c:pt>
                <c:pt idx="181">
                  <c:v>610700</c:v>
                </c:pt>
                <c:pt idx="182">
                  <c:v>612500</c:v>
                </c:pt>
                <c:pt idx="183">
                  <c:v>622700</c:v>
                </c:pt>
                <c:pt idx="184">
                  <c:v>629100</c:v>
                </c:pt>
                <c:pt idx="185">
                  <c:v>633400</c:v>
                </c:pt>
                <c:pt idx="186">
                  <c:v>642900</c:v>
                </c:pt>
                <c:pt idx="187">
                  <c:v>647000</c:v>
                </c:pt>
                <c:pt idx="188">
                  <c:v>652100</c:v>
                </c:pt>
                <c:pt idx="189">
                  <c:v>657600</c:v>
                </c:pt>
                <c:pt idx="190">
                  <c:v>664400</c:v>
                </c:pt>
                <c:pt idx="191">
                  <c:v>669100</c:v>
                </c:pt>
                <c:pt idx="192">
                  <c:v>672900</c:v>
                </c:pt>
                <c:pt idx="193">
                  <c:v>678800</c:v>
                </c:pt>
                <c:pt idx="194">
                  <c:v>684400</c:v>
                </c:pt>
                <c:pt idx="195">
                  <c:v>688300</c:v>
                </c:pt>
                <c:pt idx="196">
                  <c:v>691000</c:v>
                </c:pt>
                <c:pt idx="197">
                  <c:v>691900</c:v>
                </c:pt>
                <c:pt idx="198">
                  <c:v>687700</c:v>
                </c:pt>
                <c:pt idx="199">
                  <c:v>687400</c:v>
                </c:pt>
                <c:pt idx="200">
                  <c:v>682500</c:v>
                </c:pt>
                <c:pt idx="201">
                  <c:v>679000</c:v>
                </c:pt>
                <c:pt idx="202">
                  <c:v>672900</c:v>
                </c:pt>
                <c:pt idx="203">
                  <c:v>668700</c:v>
                </c:pt>
                <c:pt idx="204">
                  <c:v>662100</c:v>
                </c:pt>
                <c:pt idx="205">
                  <c:v>657100</c:v>
                </c:pt>
                <c:pt idx="206">
                  <c:v>655500</c:v>
                </c:pt>
                <c:pt idx="207">
                  <c:v>640900</c:v>
                </c:pt>
                <c:pt idx="208">
                  <c:v>637200</c:v>
                </c:pt>
                <c:pt idx="209">
                  <c:v>634400</c:v>
                </c:pt>
                <c:pt idx="210">
                  <c:v>618700</c:v>
                </c:pt>
                <c:pt idx="211">
                  <c:v>611500</c:v>
                </c:pt>
                <c:pt idx="212">
                  <c:v>603700</c:v>
                </c:pt>
                <c:pt idx="213">
                  <c:v>591300</c:v>
                </c:pt>
                <c:pt idx="214">
                  <c:v>583500</c:v>
                </c:pt>
                <c:pt idx="215">
                  <c:v>577200</c:v>
                </c:pt>
                <c:pt idx="216">
                  <c:v>566900</c:v>
                </c:pt>
                <c:pt idx="217">
                  <c:v>560400</c:v>
                </c:pt>
                <c:pt idx="218">
                  <c:v>551700</c:v>
                </c:pt>
                <c:pt idx="219">
                  <c:v>535100</c:v>
                </c:pt>
                <c:pt idx="220">
                  <c:v>528500</c:v>
                </c:pt>
                <c:pt idx="221">
                  <c:v>522100</c:v>
                </c:pt>
                <c:pt idx="222">
                  <c:v>510400</c:v>
                </c:pt>
                <c:pt idx="223">
                  <c:v>500700</c:v>
                </c:pt>
                <c:pt idx="224">
                  <c:v>495700</c:v>
                </c:pt>
                <c:pt idx="225">
                  <c:v>484000</c:v>
                </c:pt>
                <c:pt idx="226">
                  <c:v>473500</c:v>
                </c:pt>
                <c:pt idx="227">
                  <c:v>461700</c:v>
                </c:pt>
                <c:pt idx="228">
                  <c:v>446500</c:v>
                </c:pt>
                <c:pt idx="229">
                  <c:v>433500</c:v>
                </c:pt>
                <c:pt idx="230">
                  <c:v>422800</c:v>
                </c:pt>
                <c:pt idx="231">
                  <c:v>408900</c:v>
                </c:pt>
                <c:pt idx="232">
                  <c:v>403400</c:v>
                </c:pt>
                <c:pt idx="233">
                  <c:v>397600</c:v>
                </c:pt>
                <c:pt idx="234">
                  <c:v>391000</c:v>
                </c:pt>
                <c:pt idx="235">
                  <c:v>382200</c:v>
                </c:pt>
                <c:pt idx="236">
                  <c:v>375300</c:v>
                </c:pt>
                <c:pt idx="237">
                  <c:v>371200</c:v>
                </c:pt>
                <c:pt idx="238">
                  <c:v>366000</c:v>
                </c:pt>
                <c:pt idx="239">
                  <c:v>362200</c:v>
                </c:pt>
                <c:pt idx="240">
                  <c:v>358000</c:v>
                </c:pt>
                <c:pt idx="241">
                  <c:v>356000</c:v>
                </c:pt>
                <c:pt idx="242">
                  <c:v>354200</c:v>
                </c:pt>
                <c:pt idx="243">
                  <c:v>358500</c:v>
                </c:pt>
                <c:pt idx="244">
                  <c:v>354000</c:v>
                </c:pt>
                <c:pt idx="245">
                  <c:v>352500</c:v>
                </c:pt>
                <c:pt idx="246">
                  <c:v>354400</c:v>
                </c:pt>
                <c:pt idx="247">
                  <c:v>351300</c:v>
                </c:pt>
                <c:pt idx="248">
                  <c:v>345100</c:v>
                </c:pt>
                <c:pt idx="249">
                  <c:v>344600</c:v>
                </c:pt>
                <c:pt idx="250">
                  <c:v>340500</c:v>
                </c:pt>
                <c:pt idx="251">
                  <c:v>338300</c:v>
                </c:pt>
                <c:pt idx="252">
                  <c:v>337100</c:v>
                </c:pt>
                <c:pt idx="253">
                  <c:v>336500</c:v>
                </c:pt>
                <c:pt idx="254">
                  <c:v>334600</c:v>
                </c:pt>
                <c:pt idx="255">
                  <c:v>336600</c:v>
                </c:pt>
                <c:pt idx="256">
                  <c:v>335600</c:v>
                </c:pt>
                <c:pt idx="257">
                  <c:v>332800</c:v>
                </c:pt>
                <c:pt idx="258">
                  <c:v>335800</c:v>
                </c:pt>
                <c:pt idx="259">
                  <c:v>334600</c:v>
                </c:pt>
                <c:pt idx="260">
                  <c:v>336000</c:v>
                </c:pt>
                <c:pt idx="261">
                  <c:v>334500</c:v>
                </c:pt>
                <c:pt idx="262">
                  <c:v>335400</c:v>
                </c:pt>
                <c:pt idx="263">
                  <c:v>336600</c:v>
                </c:pt>
                <c:pt idx="264">
                  <c:v>337100</c:v>
                </c:pt>
                <c:pt idx="265">
                  <c:v>336900</c:v>
                </c:pt>
                <c:pt idx="266">
                  <c:v>337600</c:v>
                </c:pt>
                <c:pt idx="267">
                  <c:v>337800</c:v>
                </c:pt>
                <c:pt idx="268">
                  <c:v>338800</c:v>
                </c:pt>
                <c:pt idx="269">
                  <c:v>340500</c:v>
                </c:pt>
                <c:pt idx="270">
                  <c:v>340700</c:v>
                </c:pt>
                <c:pt idx="271">
                  <c:v>343000</c:v>
                </c:pt>
                <c:pt idx="272">
                  <c:v>345000</c:v>
                </c:pt>
                <c:pt idx="273">
                  <c:v>347300</c:v>
                </c:pt>
                <c:pt idx="274">
                  <c:v>349400</c:v>
                </c:pt>
                <c:pt idx="275">
                  <c:v>350600</c:v>
                </c:pt>
                <c:pt idx="276">
                  <c:v>352300</c:v>
                </c:pt>
                <c:pt idx="277">
                  <c:v>354300</c:v>
                </c:pt>
                <c:pt idx="278">
                  <c:v>356600</c:v>
                </c:pt>
                <c:pt idx="279">
                  <c:v>359700</c:v>
                </c:pt>
                <c:pt idx="280">
                  <c:v>361800</c:v>
                </c:pt>
                <c:pt idx="281">
                  <c:v>363600</c:v>
                </c:pt>
                <c:pt idx="282">
                  <c:v>367100</c:v>
                </c:pt>
                <c:pt idx="283">
                  <c:v>371000</c:v>
                </c:pt>
                <c:pt idx="284">
                  <c:v>372500</c:v>
                </c:pt>
                <c:pt idx="285">
                  <c:v>374600</c:v>
                </c:pt>
                <c:pt idx="286">
                  <c:v>377000</c:v>
                </c:pt>
                <c:pt idx="287">
                  <c:v>380000</c:v>
                </c:pt>
                <c:pt idx="288">
                  <c:v>382700</c:v>
                </c:pt>
                <c:pt idx="289">
                  <c:v>385200</c:v>
                </c:pt>
                <c:pt idx="290">
                  <c:v>386300</c:v>
                </c:pt>
                <c:pt idx="291">
                  <c:v>390600</c:v>
                </c:pt>
                <c:pt idx="292">
                  <c:v>393500</c:v>
                </c:pt>
                <c:pt idx="293">
                  <c:v>396600</c:v>
                </c:pt>
                <c:pt idx="294">
                  <c:v>399600</c:v>
                </c:pt>
                <c:pt idx="295">
                  <c:v>402400</c:v>
                </c:pt>
                <c:pt idx="296">
                  <c:v>404100</c:v>
                </c:pt>
                <c:pt idx="297">
                  <c:v>406700</c:v>
                </c:pt>
                <c:pt idx="298">
                  <c:v>408800</c:v>
                </c:pt>
                <c:pt idx="299">
                  <c:v>411300</c:v>
                </c:pt>
                <c:pt idx="300">
                  <c:v>416200</c:v>
                </c:pt>
                <c:pt idx="301">
                  <c:v>418000</c:v>
                </c:pt>
                <c:pt idx="302">
                  <c:v>419900</c:v>
                </c:pt>
                <c:pt idx="303">
                  <c:v>422200</c:v>
                </c:pt>
                <c:pt idx="304">
                  <c:v>426300</c:v>
                </c:pt>
                <c:pt idx="305">
                  <c:v>430300</c:v>
                </c:pt>
                <c:pt idx="306">
                  <c:v>433700</c:v>
                </c:pt>
                <c:pt idx="307">
                  <c:v>436700</c:v>
                </c:pt>
                <c:pt idx="308">
                  <c:v>437700</c:v>
                </c:pt>
                <c:pt idx="309">
                  <c:v>445200</c:v>
                </c:pt>
                <c:pt idx="310">
                  <c:v>449300</c:v>
                </c:pt>
                <c:pt idx="311">
                  <c:v>452900</c:v>
                </c:pt>
                <c:pt idx="312">
                  <c:v>458800</c:v>
                </c:pt>
                <c:pt idx="313">
                  <c:v>462500</c:v>
                </c:pt>
                <c:pt idx="314">
                  <c:v>463800</c:v>
                </c:pt>
                <c:pt idx="315">
                  <c:v>467600</c:v>
                </c:pt>
                <c:pt idx="316">
                  <c:v>470200</c:v>
                </c:pt>
                <c:pt idx="317">
                  <c:v>472700</c:v>
                </c:pt>
                <c:pt idx="318">
                  <c:v>476100</c:v>
                </c:pt>
                <c:pt idx="319">
                  <c:v>479200</c:v>
                </c:pt>
                <c:pt idx="320">
                  <c:v>480700</c:v>
                </c:pt>
                <c:pt idx="321">
                  <c:v>480700</c:v>
                </c:pt>
                <c:pt idx="322">
                  <c:v>482800</c:v>
                </c:pt>
                <c:pt idx="323">
                  <c:v>484500</c:v>
                </c:pt>
                <c:pt idx="324">
                  <c:v>495100</c:v>
                </c:pt>
                <c:pt idx="325">
                  <c:v>498400</c:v>
                </c:pt>
                <c:pt idx="326">
                  <c:v>499600</c:v>
                </c:pt>
                <c:pt idx="327">
                  <c:v>500700</c:v>
                </c:pt>
                <c:pt idx="328">
                  <c:v>500000</c:v>
                </c:pt>
                <c:pt idx="329">
                  <c:v>506400</c:v>
                </c:pt>
                <c:pt idx="330">
                  <c:v>511100</c:v>
                </c:pt>
                <c:pt idx="331">
                  <c:v>514400</c:v>
                </c:pt>
                <c:pt idx="332">
                  <c:v>492500</c:v>
                </c:pt>
                <c:pt idx="333">
                  <c:v>518400</c:v>
                </c:pt>
                <c:pt idx="334">
                  <c:v>524600</c:v>
                </c:pt>
              </c:numCache>
            </c:numRef>
          </c:val>
          <c:smooth val="0"/>
          <c:extLst>
            <c:ext xmlns:c16="http://schemas.microsoft.com/office/drawing/2014/chart" uri="{C3380CC4-5D6E-409C-BE32-E72D297353CC}">
              <c16:uniqueId val="{00000000-0F2E-4534-9F4C-23E1A998C9A7}"/>
            </c:ext>
          </c:extLst>
        </c:ser>
        <c:dLbls>
          <c:showLegendKey val="0"/>
          <c:showVal val="0"/>
          <c:showCatName val="0"/>
          <c:showSerName val="0"/>
          <c:showPercent val="0"/>
          <c:showBubbleSize val="0"/>
        </c:dLbls>
        <c:smooth val="0"/>
        <c:axId val="277301328"/>
        <c:axId val="277301720"/>
      </c:lineChart>
      <c:dateAx>
        <c:axId val="277301328"/>
        <c:scaling>
          <c:orientation val="minMax"/>
        </c:scaling>
        <c:delete val="0"/>
        <c:axPos val="b"/>
        <c:numFmt formatCode="mmm\-yy"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77301720"/>
        <c:crosses val="autoZero"/>
        <c:auto val="1"/>
        <c:lblOffset val="100"/>
        <c:baseTimeUnit val="months"/>
      </c:dateAx>
      <c:valAx>
        <c:axId val="277301720"/>
        <c:scaling>
          <c:orientation val="minMax"/>
          <c:min val="300000"/>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77301328"/>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spPr>
            <a:ln w="28575" cap="rnd">
              <a:solidFill>
                <a:srgbClr val="003F5C"/>
              </a:solidFill>
              <a:round/>
            </a:ln>
            <a:effectLst/>
          </c:spPr>
          <c:marker>
            <c:symbol val="none"/>
          </c:marker>
          <c:cat>
            <c:numRef>
              <c:f>Manufacturing!$A$2:$A$336</c:f>
              <c:numCache>
                <c:formatCode>mmm\-yy</c:formatCode>
                <c:ptCount val="335"/>
                <c:pt idx="0">
                  <c:v>32874</c:v>
                </c:pt>
                <c:pt idx="1">
                  <c:v>32905</c:v>
                </c:pt>
                <c:pt idx="2">
                  <c:v>32933</c:v>
                </c:pt>
                <c:pt idx="3">
                  <c:v>32964</c:v>
                </c:pt>
                <c:pt idx="4">
                  <c:v>32994</c:v>
                </c:pt>
                <c:pt idx="5">
                  <c:v>33025</c:v>
                </c:pt>
                <c:pt idx="6">
                  <c:v>33055</c:v>
                </c:pt>
                <c:pt idx="7">
                  <c:v>33086</c:v>
                </c:pt>
                <c:pt idx="8">
                  <c:v>33117</c:v>
                </c:pt>
                <c:pt idx="9">
                  <c:v>33147</c:v>
                </c:pt>
                <c:pt idx="10">
                  <c:v>33178</c:v>
                </c:pt>
                <c:pt idx="11">
                  <c:v>33208</c:v>
                </c:pt>
                <c:pt idx="12">
                  <c:v>33239</c:v>
                </c:pt>
                <c:pt idx="13">
                  <c:v>33270</c:v>
                </c:pt>
                <c:pt idx="14">
                  <c:v>33298</c:v>
                </c:pt>
                <c:pt idx="15">
                  <c:v>33329</c:v>
                </c:pt>
                <c:pt idx="16">
                  <c:v>33359</c:v>
                </c:pt>
                <c:pt idx="17">
                  <c:v>33390</c:v>
                </c:pt>
                <c:pt idx="18">
                  <c:v>33420</c:v>
                </c:pt>
                <c:pt idx="19">
                  <c:v>33451</c:v>
                </c:pt>
                <c:pt idx="20">
                  <c:v>33482</c:v>
                </c:pt>
                <c:pt idx="21">
                  <c:v>33512</c:v>
                </c:pt>
                <c:pt idx="22">
                  <c:v>33543</c:v>
                </c:pt>
                <c:pt idx="23">
                  <c:v>33573</c:v>
                </c:pt>
                <c:pt idx="24">
                  <c:v>33604</c:v>
                </c:pt>
                <c:pt idx="25">
                  <c:v>33635</c:v>
                </c:pt>
                <c:pt idx="26">
                  <c:v>33664</c:v>
                </c:pt>
                <c:pt idx="27">
                  <c:v>33695</c:v>
                </c:pt>
                <c:pt idx="28">
                  <c:v>33725</c:v>
                </c:pt>
                <c:pt idx="29">
                  <c:v>33756</c:v>
                </c:pt>
                <c:pt idx="30">
                  <c:v>33786</c:v>
                </c:pt>
                <c:pt idx="31">
                  <c:v>33817</c:v>
                </c:pt>
                <c:pt idx="32">
                  <c:v>33848</c:v>
                </c:pt>
                <c:pt idx="33">
                  <c:v>33878</c:v>
                </c:pt>
                <c:pt idx="34">
                  <c:v>33909</c:v>
                </c:pt>
                <c:pt idx="35">
                  <c:v>33939</c:v>
                </c:pt>
                <c:pt idx="36">
                  <c:v>33970</c:v>
                </c:pt>
                <c:pt idx="37">
                  <c:v>34001</c:v>
                </c:pt>
                <c:pt idx="38">
                  <c:v>34029</c:v>
                </c:pt>
                <c:pt idx="39">
                  <c:v>34060</c:v>
                </c:pt>
                <c:pt idx="40">
                  <c:v>34090</c:v>
                </c:pt>
                <c:pt idx="41">
                  <c:v>34121</c:v>
                </c:pt>
                <c:pt idx="42">
                  <c:v>34151</c:v>
                </c:pt>
                <c:pt idx="43">
                  <c:v>34182</c:v>
                </c:pt>
                <c:pt idx="44">
                  <c:v>34213</c:v>
                </c:pt>
                <c:pt idx="45">
                  <c:v>34243</c:v>
                </c:pt>
                <c:pt idx="46">
                  <c:v>34274</c:v>
                </c:pt>
                <c:pt idx="47">
                  <c:v>34304</c:v>
                </c:pt>
                <c:pt idx="48">
                  <c:v>34335</c:v>
                </c:pt>
                <c:pt idx="49">
                  <c:v>34366</c:v>
                </c:pt>
                <c:pt idx="50">
                  <c:v>34394</c:v>
                </c:pt>
                <c:pt idx="51">
                  <c:v>34425</c:v>
                </c:pt>
                <c:pt idx="52">
                  <c:v>34455</c:v>
                </c:pt>
                <c:pt idx="53">
                  <c:v>34486</c:v>
                </c:pt>
                <c:pt idx="54">
                  <c:v>34516</c:v>
                </c:pt>
                <c:pt idx="55">
                  <c:v>34547</c:v>
                </c:pt>
                <c:pt idx="56">
                  <c:v>34578</c:v>
                </c:pt>
                <c:pt idx="57">
                  <c:v>34608</c:v>
                </c:pt>
                <c:pt idx="58">
                  <c:v>34639</c:v>
                </c:pt>
                <c:pt idx="59">
                  <c:v>34669</c:v>
                </c:pt>
                <c:pt idx="60">
                  <c:v>34700</c:v>
                </c:pt>
                <c:pt idx="61">
                  <c:v>34731</c:v>
                </c:pt>
                <c:pt idx="62">
                  <c:v>34759</c:v>
                </c:pt>
                <c:pt idx="63">
                  <c:v>34790</c:v>
                </c:pt>
                <c:pt idx="64">
                  <c:v>34820</c:v>
                </c:pt>
                <c:pt idx="65">
                  <c:v>34851</c:v>
                </c:pt>
                <c:pt idx="66">
                  <c:v>34881</c:v>
                </c:pt>
                <c:pt idx="67">
                  <c:v>34912</c:v>
                </c:pt>
                <c:pt idx="68">
                  <c:v>34943</c:v>
                </c:pt>
                <c:pt idx="69">
                  <c:v>34973</c:v>
                </c:pt>
                <c:pt idx="70">
                  <c:v>35004</c:v>
                </c:pt>
                <c:pt idx="71">
                  <c:v>35034</c:v>
                </c:pt>
                <c:pt idx="72">
                  <c:v>35065</c:v>
                </c:pt>
                <c:pt idx="73">
                  <c:v>35096</c:v>
                </c:pt>
                <c:pt idx="74">
                  <c:v>35125</c:v>
                </c:pt>
                <c:pt idx="75">
                  <c:v>35156</c:v>
                </c:pt>
                <c:pt idx="76">
                  <c:v>35186</c:v>
                </c:pt>
                <c:pt idx="77">
                  <c:v>35217</c:v>
                </c:pt>
                <c:pt idx="78">
                  <c:v>35247</c:v>
                </c:pt>
                <c:pt idx="79">
                  <c:v>35278</c:v>
                </c:pt>
                <c:pt idx="80">
                  <c:v>35309</c:v>
                </c:pt>
                <c:pt idx="81">
                  <c:v>35339</c:v>
                </c:pt>
                <c:pt idx="82">
                  <c:v>35370</c:v>
                </c:pt>
                <c:pt idx="83">
                  <c:v>35400</c:v>
                </c:pt>
                <c:pt idx="84">
                  <c:v>35431</c:v>
                </c:pt>
                <c:pt idx="85">
                  <c:v>35462</c:v>
                </c:pt>
                <c:pt idx="86">
                  <c:v>35490</c:v>
                </c:pt>
                <c:pt idx="87">
                  <c:v>35521</c:v>
                </c:pt>
                <c:pt idx="88">
                  <c:v>35551</c:v>
                </c:pt>
                <c:pt idx="89">
                  <c:v>35582</c:v>
                </c:pt>
                <c:pt idx="90">
                  <c:v>35612</c:v>
                </c:pt>
                <c:pt idx="91">
                  <c:v>35643</c:v>
                </c:pt>
                <c:pt idx="92">
                  <c:v>35674</c:v>
                </c:pt>
                <c:pt idx="93">
                  <c:v>35704</c:v>
                </c:pt>
                <c:pt idx="94">
                  <c:v>35735</c:v>
                </c:pt>
                <c:pt idx="95">
                  <c:v>35765</c:v>
                </c:pt>
                <c:pt idx="96">
                  <c:v>35796</c:v>
                </c:pt>
                <c:pt idx="97">
                  <c:v>35827</c:v>
                </c:pt>
                <c:pt idx="98">
                  <c:v>35855</c:v>
                </c:pt>
                <c:pt idx="99">
                  <c:v>35886</c:v>
                </c:pt>
                <c:pt idx="100">
                  <c:v>35916</c:v>
                </c:pt>
                <c:pt idx="101">
                  <c:v>35947</c:v>
                </c:pt>
                <c:pt idx="102">
                  <c:v>35977</c:v>
                </c:pt>
                <c:pt idx="103">
                  <c:v>36008</c:v>
                </c:pt>
                <c:pt idx="104">
                  <c:v>36039</c:v>
                </c:pt>
                <c:pt idx="105">
                  <c:v>36069</c:v>
                </c:pt>
                <c:pt idx="106">
                  <c:v>36100</c:v>
                </c:pt>
                <c:pt idx="107">
                  <c:v>36130</c:v>
                </c:pt>
                <c:pt idx="108">
                  <c:v>36161</c:v>
                </c:pt>
                <c:pt idx="109">
                  <c:v>36192</c:v>
                </c:pt>
                <c:pt idx="110">
                  <c:v>36220</c:v>
                </c:pt>
                <c:pt idx="111">
                  <c:v>36251</c:v>
                </c:pt>
                <c:pt idx="112">
                  <c:v>36281</c:v>
                </c:pt>
                <c:pt idx="113">
                  <c:v>36312</c:v>
                </c:pt>
                <c:pt idx="114">
                  <c:v>36342</c:v>
                </c:pt>
                <c:pt idx="115">
                  <c:v>36373</c:v>
                </c:pt>
                <c:pt idx="116">
                  <c:v>36404</c:v>
                </c:pt>
                <c:pt idx="117">
                  <c:v>36434</c:v>
                </c:pt>
                <c:pt idx="118">
                  <c:v>36465</c:v>
                </c:pt>
                <c:pt idx="119">
                  <c:v>36495</c:v>
                </c:pt>
                <c:pt idx="120">
                  <c:v>36526</c:v>
                </c:pt>
                <c:pt idx="121">
                  <c:v>36557</c:v>
                </c:pt>
                <c:pt idx="122">
                  <c:v>36586</c:v>
                </c:pt>
                <c:pt idx="123">
                  <c:v>36617</c:v>
                </c:pt>
                <c:pt idx="124">
                  <c:v>36647</c:v>
                </c:pt>
                <c:pt idx="125">
                  <c:v>36678</c:v>
                </c:pt>
                <c:pt idx="126">
                  <c:v>36708</c:v>
                </c:pt>
                <c:pt idx="127">
                  <c:v>36739</c:v>
                </c:pt>
                <c:pt idx="128">
                  <c:v>36770</c:v>
                </c:pt>
                <c:pt idx="129">
                  <c:v>36800</c:v>
                </c:pt>
                <c:pt idx="130">
                  <c:v>36831</c:v>
                </c:pt>
                <c:pt idx="131">
                  <c:v>36861</c:v>
                </c:pt>
                <c:pt idx="132">
                  <c:v>36892</c:v>
                </c:pt>
                <c:pt idx="133">
                  <c:v>36923</c:v>
                </c:pt>
                <c:pt idx="134">
                  <c:v>36951</c:v>
                </c:pt>
                <c:pt idx="135">
                  <c:v>36982</c:v>
                </c:pt>
                <c:pt idx="136">
                  <c:v>37012</c:v>
                </c:pt>
                <c:pt idx="137">
                  <c:v>37043</c:v>
                </c:pt>
                <c:pt idx="138">
                  <c:v>37073</c:v>
                </c:pt>
                <c:pt idx="139">
                  <c:v>37104</c:v>
                </c:pt>
                <c:pt idx="140">
                  <c:v>37135</c:v>
                </c:pt>
                <c:pt idx="141">
                  <c:v>37165</c:v>
                </c:pt>
                <c:pt idx="142">
                  <c:v>37196</c:v>
                </c:pt>
                <c:pt idx="143">
                  <c:v>37226</c:v>
                </c:pt>
                <c:pt idx="144">
                  <c:v>37257</c:v>
                </c:pt>
                <c:pt idx="145">
                  <c:v>37288</c:v>
                </c:pt>
                <c:pt idx="146">
                  <c:v>37316</c:v>
                </c:pt>
                <c:pt idx="147">
                  <c:v>37347</c:v>
                </c:pt>
                <c:pt idx="148">
                  <c:v>37377</c:v>
                </c:pt>
                <c:pt idx="149">
                  <c:v>37408</c:v>
                </c:pt>
                <c:pt idx="150">
                  <c:v>37438</c:v>
                </c:pt>
                <c:pt idx="151">
                  <c:v>37469</c:v>
                </c:pt>
                <c:pt idx="152">
                  <c:v>37500</c:v>
                </c:pt>
                <c:pt idx="153">
                  <c:v>37530</c:v>
                </c:pt>
                <c:pt idx="154">
                  <c:v>37561</c:v>
                </c:pt>
                <c:pt idx="155">
                  <c:v>37591</c:v>
                </c:pt>
                <c:pt idx="156">
                  <c:v>37622</c:v>
                </c:pt>
                <c:pt idx="157">
                  <c:v>37653</c:v>
                </c:pt>
                <c:pt idx="158">
                  <c:v>37681</c:v>
                </c:pt>
                <c:pt idx="159">
                  <c:v>37712</c:v>
                </c:pt>
                <c:pt idx="160">
                  <c:v>37742</c:v>
                </c:pt>
                <c:pt idx="161">
                  <c:v>37773</c:v>
                </c:pt>
                <c:pt idx="162">
                  <c:v>37803</c:v>
                </c:pt>
                <c:pt idx="163">
                  <c:v>37834</c:v>
                </c:pt>
                <c:pt idx="164">
                  <c:v>37865</c:v>
                </c:pt>
                <c:pt idx="165">
                  <c:v>37895</c:v>
                </c:pt>
                <c:pt idx="166">
                  <c:v>37926</c:v>
                </c:pt>
                <c:pt idx="167">
                  <c:v>37956</c:v>
                </c:pt>
                <c:pt idx="168">
                  <c:v>37987</c:v>
                </c:pt>
                <c:pt idx="169">
                  <c:v>38018</c:v>
                </c:pt>
                <c:pt idx="170">
                  <c:v>38047</c:v>
                </c:pt>
                <c:pt idx="171">
                  <c:v>38078</c:v>
                </c:pt>
                <c:pt idx="172">
                  <c:v>38108</c:v>
                </c:pt>
                <c:pt idx="173">
                  <c:v>38139</c:v>
                </c:pt>
                <c:pt idx="174">
                  <c:v>38169</c:v>
                </c:pt>
                <c:pt idx="175">
                  <c:v>38200</c:v>
                </c:pt>
                <c:pt idx="176">
                  <c:v>38231</c:v>
                </c:pt>
                <c:pt idx="177">
                  <c:v>38261</c:v>
                </c:pt>
                <c:pt idx="178">
                  <c:v>38292</c:v>
                </c:pt>
                <c:pt idx="179">
                  <c:v>38322</c:v>
                </c:pt>
                <c:pt idx="180">
                  <c:v>38353</c:v>
                </c:pt>
                <c:pt idx="181">
                  <c:v>38384</c:v>
                </c:pt>
                <c:pt idx="182">
                  <c:v>38412</c:v>
                </c:pt>
                <c:pt idx="183">
                  <c:v>38443</c:v>
                </c:pt>
                <c:pt idx="184">
                  <c:v>38473</c:v>
                </c:pt>
                <c:pt idx="185">
                  <c:v>38504</c:v>
                </c:pt>
                <c:pt idx="186">
                  <c:v>38534</c:v>
                </c:pt>
                <c:pt idx="187">
                  <c:v>38565</c:v>
                </c:pt>
                <c:pt idx="188">
                  <c:v>38596</c:v>
                </c:pt>
                <c:pt idx="189">
                  <c:v>38626</c:v>
                </c:pt>
                <c:pt idx="190">
                  <c:v>38657</c:v>
                </c:pt>
                <c:pt idx="191">
                  <c:v>38687</c:v>
                </c:pt>
                <c:pt idx="192">
                  <c:v>38718</c:v>
                </c:pt>
                <c:pt idx="193">
                  <c:v>38749</c:v>
                </c:pt>
                <c:pt idx="194">
                  <c:v>38777</c:v>
                </c:pt>
                <c:pt idx="195">
                  <c:v>38808</c:v>
                </c:pt>
                <c:pt idx="196">
                  <c:v>38838</c:v>
                </c:pt>
                <c:pt idx="197">
                  <c:v>38869</c:v>
                </c:pt>
                <c:pt idx="198">
                  <c:v>38899</c:v>
                </c:pt>
                <c:pt idx="199">
                  <c:v>38930</c:v>
                </c:pt>
                <c:pt idx="200">
                  <c:v>38961</c:v>
                </c:pt>
                <c:pt idx="201">
                  <c:v>38991</c:v>
                </c:pt>
                <c:pt idx="202">
                  <c:v>39022</c:v>
                </c:pt>
                <c:pt idx="203">
                  <c:v>39052</c:v>
                </c:pt>
                <c:pt idx="204">
                  <c:v>39083</c:v>
                </c:pt>
                <c:pt idx="205">
                  <c:v>39114</c:v>
                </c:pt>
                <c:pt idx="206">
                  <c:v>39142</c:v>
                </c:pt>
                <c:pt idx="207">
                  <c:v>39173</c:v>
                </c:pt>
                <c:pt idx="208">
                  <c:v>39203</c:v>
                </c:pt>
                <c:pt idx="209">
                  <c:v>39234</c:v>
                </c:pt>
                <c:pt idx="210">
                  <c:v>39264</c:v>
                </c:pt>
                <c:pt idx="211">
                  <c:v>39295</c:v>
                </c:pt>
                <c:pt idx="212">
                  <c:v>39326</c:v>
                </c:pt>
                <c:pt idx="213">
                  <c:v>39356</c:v>
                </c:pt>
                <c:pt idx="214">
                  <c:v>39387</c:v>
                </c:pt>
                <c:pt idx="215">
                  <c:v>39417</c:v>
                </c:pt>
                <c:pt idx="216">
                  <c:v>39448</c:v>
                </c:pt>
                <c:pt idx="217">
                  <c:v>39479</c:v>
                </c:pt>
                <c:pt idx="218">
                  <c:v>39508</c:v>
                </c:pt>
                <c:pt idx="219">
                  <c:v>39539</c:v>
                </c:pt>
                <c:pt idx="220">
                  <c:v>39569</c:v>
                </c:pt>
                <c:pt idx="221">
                  <c:v>39600</c:v>
                </c:pt>
                <c:pt idx="222">
                  <c:v>39630</c:v>
                </c:pt>
                <c:pt idx="223">
                  <c:v>39661</c:v>
                </c:pt>
                <c:pt idx="224">
                  <c:v>39692</c:v>
                </c:pt>
                <c:pt idx="225">
                  <c:v>39722</c:v>
                </c:pt>
                <c:pt idx="226">
                  <c:v>39753</c:v>
                </c:pt>
                <c:pt idx="227">
                  <c:v>39783</c:v>
                </c:pt>
                <c:pt idx="228">
                  <c:v>39814</c:v>
                </c:pt>
                <c:pt idx="229">
                  <c:v>39845</c:v>
                </c:pt>
                <c:pt idx="230">
                  <c:v>39873</c:v>
                </c:pt>
                <c:pt idx="231">
                  <c:v>39904</c:v>
                </c:pt>
                <c:pt idx="232">
                  <c:v>39934</c:v>
                </c:pt>
                <c:pt idx="233">
                  <c:v>39965</c:v>
                </c:pt>
                <c:pt idx="234">
                  <c:v>39995</c:v>
                </c:pt>
                <c:pt idx="235">
                  <c:v>40026</c:v>
                </c:pt>
                <c:pt idx="236">
                  <c:v>40057</c:v>
                </c:pt>
                <c:pt idx="237">
                  <c:v>40087</c:v>
                </c:pt>
                <c:pt idx="238">
                  <c:v>40118</c:v>
                </c:pt>
                <c:pt idx="239">
                  <c:v>40148</c:v>
                </c:pt>
                <c:pt idx="240">
                  <c:v>40179</c:v>
                </c:pt>
                <c:pt idx="241">
                  <c:v>40210</c:v>
                </c:pt>
                <c:pt idx="242">
                  <c:v>40238</c:v>
                </c:pt>
                <c:pt idx="243">
                  <c:v>40269</c:v>
                </c:pt>
                <c:pt idx="244">
                  <c:v>40299</c:v>
                </c:pt>
                <c:pt idx="245">
                  <c:v>40330</c:v>
                </c:pt>
                <c:pt idx="246">
                  <c:v>40360</c:v>
                </c:pt>
                <c:pt idx="247">
                  <c:v>40391</c:v>
                </c:pt>
                <c:pt idx="248">
                  <c:v>40422</c:v>
                </c:pt>
                <c:pt idx="249">
                  <c:v>40452</c:v>
                </c:pt>
                <c:pt idx="250">
                  <c:v>40483</c:v>
                </c:pt>
                <c:pt idx="251">
                  <c:v>40513</c:v>
                </c:pt>
                <c:pt idx="252">
                  <c:v>40544</c:v>
                </c:pt>
                <c:pt idx="253">
                  <c:v>40575</c:v>
                </c:pt>
                <c:pt idx="254">
                  <c:v>40603</c:v>
                </c:pt>
                <c:pt idx="255">
                  <c:v>40634</c:v>
                </c:pt>
                <c:pt idx="256">
                  <c:v>40664</c:v>
                </c:pt>
                <c:pt idx="257">
                  <c:v>40695</c:v>
                </c:pt>
                <c:pt idx="258">
                  <c:v>40725</c:v>
                </c:pt>
                <c:pt idx="259">
                  <c:v>40756</c:v>
                </c:pt>
                <c:pt idx="260">
                  <c:v>40787</c:v>
                </c:pt>
                <c:pt idx="261">
                  <c:v>40817</c:v>
                </c:pt>
                <c:pt idx="262">
                  <c:v>40848</c:v>
                </c:pt>
                <c:pt idx="263">
                  <c:v>40878</c:v>
                </c:pt>
                <c:pt idx="264">
                  <c:v>40909</c:v>
                </c:pt>
                <c:pt idx="265">
                  <c:v>40940</c:v>
                </c:pt>
                <c:pt idx="266">
                  <c:v>40969</c:v>
                </c:pt>
                <c:pt idx="267">
                  <c:v>41000</c:v>
                </c:pt>
                <c:pt idx="268">
                  <c:v>41030</c:v>
                </c:pt>
                <c:pt idx="269">
                  <c:v>41061</c:v>
                </c:pt>
                <c:pt idx="270">
                  <c:v>41091</c:v>
                </c:pt>
                <c:pt idx="271">
                  <c:v>41122</c:v>
                </c:pt>
                <c:pt idx="272">
                  <c:v>41153</c:v>
                </c:pt>
                <c:pt idx="273">
                  <c:v>41183</c:v>
                </c:pt>
                <c:pt idx="274">
                  <c:v>41214</c:v>
                </c:pt>
                <c:pt idx="275">
                  <c:v>41244</c:v>
                </c:pt>
                <c:pt idx="276">
                  <c:v>41275</c:v>
                </c:pt>
                <c:pt idx="277">
                  <c:v>41306</c:v>
                </c:pt>
                <c:pt idx="278">
                  <c:v>41334</c:v>
                </c:pt>
                <c:pt idx="279">
                  <c:v>41365</c:v>
                </c:pt>
                <c:pt idx="280">
                  <c:v>41395</c:v>
                </c:pt>
                <c:pt idx="281">
                  <c:v>41426</c:v>
                </c:pt>
                <c:pt idx="282">
                  <c:v>41456</c:v>
                </c:pt>
                <c:pt idx="283">
                  <c:v>41487</c:v>
                </c:pt>
                <c:pt idx="284">
                  <c:v>41518</c:v>
                </c:pt>
                <c:pt idx="285">
                  <c:v>41548</c:v>
                </c:pt>
                <c:pt idx="286">
                  <c:v>41579</c:v>
                </c:pt>
                <c:pt idx="287">
                  <c:v>41609</c:v>
                </c:pt>
                <c:pt idx="288">
                  <c:v>41640</c:v>
                </c:pt>
                <c:pt idx="289">
                  <c:v>41671</c:v>
                </c:pt>
                <c:pt idx="290">
                  <c:v>41699</c:v>
                </c:pt>
                <c:pt idx="291">
                  <c:v>41730</c:v>
                </c:pt>
                <c:pt idx="292">
                  <c:v>41760</c:v>
                </c:pt>
                <c:pt idx="293">
                  <c:v>41791</c:v>
                </c:pt>
                <c:pt idx="294">
                  <c:v>41821</c:v>
                </c:pt>
                <c:pt idx="295">
                  <c:v>41852</c:v>
                </c:pt>
                <c:pt idx="296">
                  <c:v>41883</c:v>
                </c:pt>
                <c:pt idx="297">
                  <c:v>41913</c:v>
                </c:pt>
                <c:pt idx="298">
                  <c:v>41944</c:v>
                </c:pt>
                <c:pt idx="299">
                  <c:v>41974</c:v>
                </c:pt>
                <c:pt idx="300">
                  <c:v>42005</c:v>
                </c:pt>
                <c:pt idx="301">
                  <c:v>42036</c:v>
                </c:pt>
                <c:pt idx="302">
                  <c:v>42064</c:v>
                </c:pt>
                <c:pt idx="303">
                  <c:v>42095</c:v>
                </c:pt>
                <c:pt idx="304">
                  <c:v>42125</c:v>
                </c:pt>
                <c:pt idx="305">
                  <c:v>42156</c:v>
                </c:pt>
                <c:pt idx="306">
                  <c:v>42186</c:v>
                </c:pt>
                <c:pt idx="307">
                  <c:v>42217</c:v>
                </c:pt>
                <c:pt idx="308">
                  <c:v>42248</c:v>
                </c:pt>
                <c:pt idx="309">
                  <c:v>42278</c:v>
                </c:pt>
                <c:pt idx="310">
                  <c:v>42309</c:v>
                </c:pt>
                <c:pt idx="311">
                  <c:v>42339</c:v>
                </c:pt>
                <c:pt idx="312">
                  <c:v>42370</c:v>
                </c:pt>
                <c:pt idx="313">
                  <c:v>42401</c:v>
                </c:pt>
                <c:pt idx="314">
                  <c:v>42430</c:v>
                </c:pt>
                <c:pt idx="315">
                  <c:v>42461</c:v>
                </c:pt>
                <c:pt idx="316">
                  <c:v>42491</c:v>
                </c:pt>
                <c:pt idx="317">
                  <c:v>42522</c:v>
                </c:pt>
                <c:pt idx="318">
                  <c:v>42552</c:v>
                </c:pt>
                <c:pt idx="319">
                  <c:v>42583</c:v>
                </c:pt>
                <c:pt idx="320">
                  <c:v>42614</c:v>
                </c:pt>
                <c:pt idx="321">
                  <c:v>42644</c:v>
                </c:pt>
                <c:pt idx="322">
                  <c:v>42675</c:v>
                </c:pt>
                <c:pt idx="323">
                  <c:v>42705</c:v>
                </c:pt>
                <c:pt idx="324">
                  <c:v>42736</c:v>
                </c:pt>
                <c:pt idx="325">
                  <c:v>42767</c:v>
                </c:pt>
                <c:pt idx="326">
                  <c:v>42795</c:v>
                </c:pt>
                <c:pt idx="327">
                  <c:v>42826</c:v>
                </c:pt>
                <c:pt idx="328">
                  <c:v>42856</c:v>
                </c:pt>
                <c:pt idx="329">
                  <c:v>42887</c:v>
                </c:pt>
                <c:pt idx="330">
                  <c:v>42917</c:v>
                </c:pt>
                <c:pt idx="331">
                  <c:v>42948</c:v>
                </c:pt>
                <c:pt idx="332">
                  <c:v>42979</c:v>
                </c:pt>
                <c:pt idx="333">
                  <c:v>43009</c:v>
                </c:pt>
                <c:pt idx="334">
                  <c:v>43040</c:v>
                </c:pt>
              </c:numCache>
            </c:numRef>
          </c:cat>
          <c:val>
            <c:numRef>
              <c:f>Manufacturing!$B$2:$B$336</c:f>
              <c:numCache>
                <c:formatCode>#,##0</c:formatCode>
                <c:ptCount val="335"/>
                <c:pt idx="0">
                  <c:v>520299.99999999994</c:v>
                </c:pt>
                <c:pt idx="1">
                  <c:v>519000</c:v>
                </c:pt>
                <c:pt idx="2">
                  <c:v>516799.99999999994</c:v>
                </c:pt>
                <c:pt idx="3">
                  <c:v>513200.00000000006</c:v>
                </c:pt>
                <c:pt idx="4">
                  <c:v>512700.00000000006</c:v>
                </c:pt>
                <c:pt idx="5">
                  <c:v>511000</c:v>
                </c:pt>
                <c:pt idx="6">
                  <c:v>507600</c:v>
                </c:pt>
                <c:pt idx="7">
                  <c:v>505500</c:v>
                </c:pt>
                <c:pt idx="8">
                  <c:v>503200</c:v>
                </c:pt>
                <c:pt idx="9">
                  <c:v>498800</c:v>
                </c:pt>
                <c:pt idx="10">
                  <c:v>496200</c:v>
                </c:pt>
                <c:pt idx="11">
                  <c:v>494500</c:v>
                </c:pt>
                <c:pt idx="12">
                  <c:v>487800</c:v>
                </c:pt>
                <c:pt idx="13">
                  <c:v>484700</c:v>
                </c:pt>
                <c:pt idx="14">
                  <c:v>482100</c:v>
                </c:pt>
                <c:pt idx="15">
                  <c:v>480400</c:v>
                </c:pt>
                <c:pt idx="16">
                  <c:v>478300</c:v>
                </c:pt>
                <c:pt idx="17">
                  <c:v>476900</c:v>
                </c:pt>
                <c:pt idx="18">
                  <c:v>474000</c:v>
                </c:pt>
                <c:pt idx="19">
                  <c:v>474900</c:v>
                </c:pt>
                <c:pt idx="20">
                  <c:v>475500</c:v>
                </c:pt>
                <c:pt idx="21">
                  <c:v>474500</c:v>
                </c:pt>
                <c:pt idx="22">
                  <c:v>474700</c:v>
                </c:pt>
                <c:pt idx="23">
                  <c:v>472100</c:v>
                </c:pt>
                <c:pt idx="24">
                  <c:v>471800</c:v>
                </c:pt>
                <c:pt idx="25">
                  <c:v>470600</c:v>
                </c:pt>
                <c:pt idx="26">
                  <c:v>470500</c:v>
                </c:pt>
                <c:pt idx="27">
                  <c:v>470800</c:v>
                </c:pt>
                <c:pt idx="28">
                  <c:v>470900</c:v>
                </c:pt>
                <c:pt idx="29">
                  <c:v>470900</c:v>
                </c:pt>
                <c:pt idx="30">
                  <c:v>473700</c:v>
                </c:pt>
                <c:pt idx="31">
                  <c:v>471900</c:v>
                </c:pt>
                <c:pt idx="32">
                  <c:v>472200</c:v>
                </c:pt>
                <c:pt idx="33">
                  <c:v>472700</c:v>
                </c:pt>
                <c:pt idx="34">
                  <c:v>473800</c:v>
                </c:pt>
                <c:pt idx="35">
                  <c:v>474800</c:v>
                </c:pt>
                <c:pt idx="36">
                  <c:v>476000</c:v>
                </c:pt>
                <c:pt idx="37">
                  <c:v>477500</c:v>
                </c:pt>
                <c:pt idx="38">
                  <c:v>477800</c:v>
                </c:pt>
                <c:pt idx="39">
                  <c:v>478200</c:v>
                </c:pt>
                <c:pt idx="40">
                  <c:v>478600</c:v>
                </c:pt>
                <c:pt idx="41">
                  <c:v>478300</c:v>
                </c:pt>
                <c:pt idx="42">
                  <c:v>477200</c:v>
                </c:pt>
                <c:pt idx="43">
                  <c:v>477200</c:v>
                </c:pt>
                <c:pt idx="44">
                  <c:v>476500</c:v>
                </c:pt>
                <c:pt idx="45">
                  <c:v>479100</c:v>
                </c:pt>
                <c:pt idx="46">
                  <c:v>476200</c:v>
                </c:pt>
                <c:pt idx="47">
                  <c:v>476000</c:v>
                </c:pt>
                <c:pt idx="48">
                  <c:v>474600</c:v>
                </c:pt>
                <c:pt idx="49">
                  <c:v>473500</c:v>
                </c:pt>
                <c:pt idx="50">
                  <c:v>471700</c:v>
                </c:pt>
                <c:pt idx="51">
                  <c:v>471700</c:v>
                </c:pt>
                <c:pt idx="52">
                  <c:v>472400</c:v>
                </c:pt>
                <c:pt idx="53">
                  <c:v>473500</c:v>
                </c:pt>
                <c:pt idx="54">
                  <c:v>474200</c:v>
                </c:pt>
                <c:pt idx="55">
                  <c:v>474100</c:v>
                </c:pt>
                <c:pt idx="56">
                  <c:v>474800</c:v>
                </c:pt>
                <c:pt idx="57">
                  <c:v>473600</c:v>
                </c:pt>
                <c:pt idx="58">
                  <c:v>473300</c:v>
                </c:pt>
                <c:pt idx="59">
                  <c:v>473600</c:v>
                </c:pt>
                <c:pt idx="60">
                  <c:v>477400</c:v>
                </c:pt>
                <c:pt idx="61">
                  <c:v>477700</c:v>
                </c:pt>
                <c:pt idx="62">
                  <c:v>478700</c:v>
                </c:pt>
                <c:pt idx="63">
                  <c:v>478800</c:v>
                </c:pt>
                <c:pt idx="64">
                  <c:v>478000</c:v>
                </c:pt>
                <c:pt idx="65">
                  <c:v>477700</c:v>
                </c:pt>
                <c:pt idx="66">
                  <c:v>478200</c:v>
                </c:pt>
                <c:pt idx="67">
                  <c:v>478700</c:v>
                </c:pt>
                <c:pt idx="68">
                  <c:v>480100</c:v>
                </c:pt>
                <c:pt idx="69">
                  <c:v>481200</c:v>
                </c:pt>
                <c:pt idx="70">
                  <c:v>481400</c:v>
                </c:pt>
                <c:pt idx="71">
                  <c:v>481500</c:v>
                </c:pt>
                <c:pt idx="72">
                  <c:v>481200</c:v>
                </c:pt>
                <c:pt idx="73">
                  <c:v>481800</c:v>
                </c:pt>
                <c:pt idx="74">
                  <c:v>482000</c:v>
                </c:pt>
                <c:pt idx="75">
                  <c:v>483100</c:v>
                </c:pt>
                <c:pt idx="76">
                  <c:v>484100</c:v>
                </c:pt>
                <c:pt idx="77">
                  <c:v>484200</c:v>
                </c:pt>
                <c:pt idx="78">
                  <c:v>486300</c:v>
                </c:pt>
                <c:pt idx="79">
                  <c:v>487000</c:v>
                </c:pt>
                <c:pt idx="80">
                  <c:v>487100</c:v>
                </c:pt>
                <c:pt idx="81">
                  <c:v>487900</c:v>
                </c:pt>
                <c:pt idx="82">
                  <c:v>487700</c:v>
                </c:pt>
                <c:pt idx="83">
                  <c:v>487600</c:v>
                </c:pt>
                <c:pt idx="84">
                  <c:v>490800</c:v>
                </c:pt>
                <c:pt idx="85">
                  <c:v>490000</c:v>
                </c:pt>
                <c:pt idx="86">
                  <c:v>489100</c:v>
                </c:pt>
                <c:pt idx="87">
                  <c:v>486700</c:v>
                </c:pt>
                <c:pt idx="88">
                  <c:v>485500</c:v>
                </c:pt>
                <c:pt idx="89">
                  <c:v>483400</c:v>
                </c:pt>
                <c:pt idx="90">
                  <c:v>484200</c:v>
                </c:pt>
                <c:pt idx="91">
                  <c:v>484500</c:v>
                </c:pt>
                <c:pt idx="92">
                  <c:v>482700</c:v>
                </c:pt>
                <c:pt idx="93">
                  <c:v>481900</c:v>
                </c:pt>
                <c:pt idx="94">
                  <c:v>483100</c:v>
                </c:pt>
                <c:pt idx="95">
                  <c:v>485100</c:v>
                </c:pt>
                <c:pt idx="96">
                  <c:v>487100</c:v>
                </c:pt>
                <c:pt idx="97">
                  <c:v>486900</c:v>
                </c:pt>
                <c:pt idx="98">
                  <c:v>486400</c:v>
                </c:pt>
                <c:pt idx="99">
                  <c:v>480200</c:v>
                </c:pt>
                <c:pt idx="100">
                  <c:v>481000</c:v>
                </c:pt>
                <c:pt idx="101">
                  <c:v>481900</c:v>
                </c:pt>
                <c:pt idx="102">
                  <c:v>479300</c:v>
                </c:pt>
                <c:pt idx="103">
                  <c:v>479000</c:v>
                </c:pt>
                <c:pt idx="104">
                  <c:v>479300</c:v>
                </c:pt>
                <c:pt idx="105">
                  <c:v>479400</c:v>
                </c:pt>
                <c:pt idx="106">
                  <c:v>480000</c:v>
                </c:pt>
                <c:pt idx="107">
                  <c:v>479300</c:v>
                </c:pt>
                <c:pt idx="108">
                  <c:v>478700</c:v>
                </c:pt>
                <c:pt idx="109">
                  <c:v>479800</c:v>
                </c:pt>
                <c:pt idx="110">
                  <c:v>479300</c:v>
                </c:pt>
                <c:pt idx="111">
                  <c:v>477200</c:v>
                </c:pt>
                <c:pt idx="112">
                  <c:v>478100</c:v>
                </c:pt>
                <c:pt idx="113">
                  <c:v>478200</c:v>
                </c:pt>
                <c:pt idx="114">
                  <c:v>476900</c:v>
                </c:pt>
                <c:pt idx="115">
                  <c:v>476400</c:v>
                </c:pt>
                <c:pt idx="116">
                  <c:v>475300</c:v>
                </c:pt>
                <c:pt idx="117">
                  <c:v>478100</c:v>
                </c:pt>
                <c:pt idx="118">
                  <c:v>477600</c:v>
                </c:pt>
                <c:pt idx="119">
                  <c:v>477900</c:v>
                </c:pt>
                <c:pt idx="120">
                  <c:v>475400</c:v>
                </c:pt>
                <c:pt idx="121">
                  <c:v>476300</c:v>
                </c:pt>
                <c:pt idx="122">
                  <c:v>477600</c:v>
                </c:pt>
                <c:pt idx="123">
                  <c:v>477700</c:v>
                </c:pt>
                <c:pt idx="124">
                  <c:v>477600</c:v>
                </c:pt>
                <c:pt idx="125">
                  <c:v>478700</c:v>
                </c:pt>
                <c:pt idx="126">
                  <c:v>480700</c:v>
                </c:pt>
                <c:pt idx="127">
                  <c:v>479500</c:v>
                </c:pt>
                <c:pt idx="128">
                  <c:v>479800</c:v>
                </c:pt>
                <c:pt idx="129">
                  <c:v>476700</c:v>
                </c:pt>
                <c:pt idx="130">
                  <c:v>475500</c:v>
                </c:pt>
                <c:pt idx="131">
                  <c:v>474500</c:v>
                </c:pt>
                <c:pt idx="132">
                  <c:v>470100</c:v>
                </c:pt>
                <c:pt idx="133">
                  <c:v>467500</c:v>
                </c:pt>
                <c:pt idx="134">
                  <c:v>465200</c:v>
                </c:pt>
                <c:pt idx="135">
                  <c:v>462600</c:v>
                </c:pt>
                <c:pt idx="136">
                  <c:v>459600</c:v>
                </c:pt>
                <c:pt idx="137">
                  <c:v>456100</c:v>
                </c:pt>
                <c:pt idx="138">
                  <c:v>453100</c:v>
                </c:pt>
                <c:pt idx="139">
                  <c:v>450300</c:v>
                </c:pt>
                <c:pt idx="140">
                  <c:v>447200</c:v>
                </c:pt>
                <c:pt idx="141">
                  <c:v>444200</c:v>
                </c:pt>
                <c:pt idx="142">
                  <c:v>441100</c:v>
                </c:pt>
                <c:pt idx="143">
                  <c:v>439600</c:v>
                </c:pt>
                <c:pt idx="144">
                  <c:v>436400</c:v>
                </c:pt>
                <c:pt idx="145">
                  <c:v>434500</c:v>
                </c:pt>
                <c:pt idx="146">
                  <c:v>433100</c:v>
                </c:pt>
                <c:pt idx="147">
                  <c:v>431500</c:v>
                </c:pt>
                <c:pt idx="148">
                  <c:v>429700</c:v>
                </c:pt>
                <c:pt idx="149">
                  <c:v>428200</c:v>
                </c:pt>
                <c:pt idx="150">
                  <c:v>427100</c:v>
                </c:pt>
                <c:pt idx="151">
                  <c:v>425600</c:v>
                </c:pt>
                <c:pt idx="152">
                  <c:v>424200</c:v>
                </c:pt>
                <c:pt idx="153">
                  <c:v>423300</c:v>
                </c:pt>
                <c:pt idx="154">
                  <c:v>422500</c:v>
                </c:pt>
                <c:pt idx="155">
                  <c:v>420900</c:v>
                </c:pt>
                <c:pt idx="156">
                  <c:v>419100</c:v>
                </c:pt>
                <c:pt idx="157">
                  <c:v>417300</c:v>
                </c:pt>
                <c:pt idx="158">
                  <c:v>415500</c:v>
                </c:pt>
                <c:pt idx="159">
                  <c:v>411900</c:v>
                </c:pt>
                <c:pt idx="160">
                  <c:v>410300</c:v>
                </c:pt>
                <c:pt idx="161">
                  <c:v>408600</c:v>
                </c:pt>
                <c:pt idx="162">
                  <c:v>406700</c:v>
                </c:pt>
                <c:pt idx="163">
                  <c:v>405900</c:v>
                </c:pt>
                <c:pt idx="164">
                  <c:v>406300</c:v>
                </c:pt>
                <c:pt idx="165">
                  <c:v>405700</c:v>
                </c:pt>
                <c:pt idx="166">
                  <c:v>404900</c:v>
                </c:pt>
                <c:pt idx="167">
                  <c:v>405300</c:v>
                </c:pt>
                <c:pt idx="168">
                  <c:v>406600</c:v>
                </c:pt>
                <c:pt idx="169">
                  <c:v>407600</c:v>
                </c:pt>
                <c:pt idx="170">
                  <c:v>408800</c:v>
                </c:pt>
                <c:pt idx="171">
                  <c:v>410200</c:v>
                </c:pt>
                <c:pt idx="172">
                  <c:v>411300</c:v>
                </c:pt>
                <c:pt idx="173">
                  <c:v>411200</c:v>
                </c:pt>
                <c:pt idx="174">
                  <c:v>412700</c:v>
                </c:pt>
                <c:pt idx="175">
                  <c:v>412700</c:v>
                </c:pt>
                <c:pt idx="176">
                  <c:v>410800</c:v>
                </c:pt>
                <c:pt idx="177">
                  <c:v>411600</c:v>
                </c:pt>
                <c:pt idx="178">
                  <c:v>411900</c:v>
                </c:pt>
                <c:pt idx="179">
                  <c:v>412000</c:v>
                </c:pt>
                <c:pt idx="180">
                  <c:v>411400</c:v>
                </c:pt>
                <c:pt idx="181">
                  <c:v>411900</c:v>
                </c:pt>
                <c:pt idx="182">
                  <c:v>412300</c:v>
                </c:pt>
                <c:pt idx="183">
                  <c:v>413400</c:v>
                </c:pt>
                <c:pt idx="184">
                  <c:v>414800</c:v>
                </c:pt>
                <c:pt idx="185">
                  <c:v>414900</c:v>
                </c:pt>
                <c:pt idx="186">
                  <c:v>417000</c:v>
                </c:pt>
                <c:pt idx="187">
                  <c:v>417200</c:v>
                </c:pt>
                <c:pt idx="188">
                  <c:v>417900</c:v>
                </c:pt>
                <c:pt idx="189">
                  <c:v>418400</c:v>
                </c:pt>
                <c:pt idx="190">
                  <c:v>417600</c:v>
                </c:pt>
                <c:pt idx="191">
                  <c:v>418200</c:v>
                </c:pt>
                <c:pt idx="192">
                  <c:v>419400</c:v>
                </c:pt>
                <c:pt idx="193">
                  <c:v>419600</c:v>
                </c:pt>
                <c:pt idx="194">
                  <c:v>420000</c:v>
                </c:pt>
                <c:pt idx="195">
                  <c:v>418900</c:v>
                </c:pt>
                <c:pt idx="196">
                  <c:v>418700</c:v>
                </c:pt>
                <c:pt idx="197">
                  <c:v>418200</c:v>
                </c:pt>
                <c:pt idx="198">
                  <c:v>416900</c:v>
                </c:pt>
                <c:pt idx="199">
                  <c:v>416200</c:v>
                </c:pt>
                <c:pt idx="200">
                  <c:v>415000</c:v>
                </c:pt>
                <c:pt idx="201">
                  <c:v>412900</c:v>
                </c:pt>
                <c:pt idx="202">
                  <c:v>411300</c:v>
                </c:pt>
                <c:pt idx="203">
                  <c:v>411200</c:v>
                </c:pt>
                <c:pt idx="204">
                  <c:v>408600</c:v>
                </c:pt>
                <c:pt idx="205">
                  <c:v>407400</c:v>
                </c:pt>
                <c:pt idx="206">
                  <c:v>406500</c:v>
                </c:pt>
                <c:pt idx="207">
                  <c:v>404700</c:v>
                </c:pt>
                <c:pt idx="208">
                  <c:v>402700</c:v>
                </c:pt>
                <c:pt idx="209">
                  <c:v>400500</c:v>
                </c:pt>
                <c:pt idx="210">
                  <c:v>398400</c:v>
                </c:pt>
                <c:pt idx="211">
                  <c:v>395900</c:v>
                </c:pt>
                <c:pt idx="212">
                  <c:v>393800</c:v>
                </c:pt>
                <c:pt idx="213">
                  <c:v>392100</c:v>
                </c:pt>
                <c:pt idx="214">
                  <c:v>390000</c:v>
                </c:pt>
                <c:pt idx="215">
                  <c:v>388100</c:v>
                </c:pt>
                <c:pt idx="216">
                  <c:v>386500</c:v>
                </c:pt>
                <c:pt idx="217">
                  <c:v>384700</c:v>
                </c:pt>
                <c:pt idx="218">
                  <c:v>381800</c:v>
                </c:pt>
                <c:pt idx="219">
                  <c:v>379100</c:v>
                </c:pt>
                <c:pt idx="220">
                  <c:v>376100</c:v>
                </c:pt>
                <c:pt idx="221">
                  <c:v>373300</c:v>
                </c:pt>
                <c:pt idx="222">
                  <c:v>370500</c:v>
                </c:pt>
                <c:pt idx="223">
                  <c:v>367900</c:v>
                </c:pt>
                <c:pt idx="224">
                  <c:v>365400</c:v>
                </c:pt>
                <c:pt idx="225">
                  <c:v>360900</c:v>
                </c:pt>
                <c:pt idx="226">
                  <c:v>356500</c:v>
                </c:pt>
                <c:pt idx="227">
                  <c:v>350600</c:v>
                </c:pt>
                <c:pt idx="228">
                  <c:v>346300</c:v>
                </c:pt>
                <c:pt idx="229">
                  <c:v>340300</c:v>
                </c:pt>
                <c:pt idx="230">
                  <c:v>335700</c:v>
                </c:pt>
                <c:pt idx="231">
                  <c:v>329100</c:v>
                </c:pt>
                <c:pt idx="232">
                  <c:v>325700</c:v>
                </c:pt>
                <c:pt idx="233">
                  <c:v>322700</c:v>
                </c:pt>
                <c:pt idx="234">
                  <c:v>319000</c:v>
                </c:pt>
                <c:pt idx="235">
                  <c:v>316600</c:v>
                </c:pt>
                <c:pt idx="236">
                  <c:v>314600</c:v>
                </c:pt>
                <c:pt idx="237">
                  <c:v>314000</c:v>
                </c:pt>
                <c:pt idx="238">
                  <c:v>313000</c:v>
                </c:pt>
                <c:pt idx="239">
                  <c:v>310700</c:v>
                </c:pt>
                <c:pt idx="240">
                  <c:v>308700</c:v>
                </c:pt>
                <c:pt idx="241">
                  <c:v>308400</c:v>
                </c:pt>
                <c:pt idx="242">
                  <c:v>308000</c:v>
                </c:pt>
                <c:pt idx="243">
                  <c:v>308200</c:v>
                </c:pt>
                <c:pt idx="244">
                  <c:v>309300</c:v>
                </c:pt>
                <c:pt idx="245">
                  <c:v>309300</c:v>
                </c:pt>
                <c:pt idx="246">
                  <c:v>310400</c:v>
                </c:pt>
                <c:pt idx="247">
                  <c:v>309200</c:v>
                </c:pt>
                <c:pt idx="248">
                  <c:v>308700</c:v>
                </c:pt>
                <c:pt idx="249">
                  <c:v>308600</c:v>
                </c:pt>
                <c:pt idx="250">
                  <c:v>309300</c:v>
                </c:pt>
                <c:pt idx="251">
                  <c:v>310300</c:v>
                </c:pt>
                <c:pt idx="252">
                  <c:v>310500</c:v>
                </c:pt>
                <c:pt idx="253">
                  <c:v>310500</c:v>
                </c:pt>
                <c:pt idx="254">
                  <c:v>310400</c:v>
                </c:pt>
                <c:pt idx="255">
                  <c:v>311700</c:v>
                </c:pt>
                <c:pt idx="256">
                  <c:v>311900</c:v>
                </c:pt>
                <c:pt idx="257">
                  <c:v>312400</c:v>
                </c:pt>
                <c:pt idx="258">
                  <c:v>313600</c:v>
                </c:pt>
                <c:pt idx="259">
                  <c:v>313400</c:v>
                </c:pt>
                <c:pt idx="260">
                  <c:v>313400</c:v>
                </c:pt>
                <c:pt idx="261">
                  <c:v>314200</c:v>
                </c:pt>
                <c:pt idx="262">
                  <c:v>313800</c:v>
                </c:pt>
                <c:pt idx="263">
                  <c:v>313900</c:v>
                </c:pt>
                <c:pt idx="264">
                  <c:v>316400</c:v>
                </c:pt>
                <c:pt idx="265">
                  <c:v>316300</c:v>
                </c:pt>
                <c:pt idx="266">
                  <c:v>317500</c:v>
                </c:pt>
                <c:pt idx="267">
                  <c:v>317300</c:v>
                </c:pt>
                <c:pt idx="268">
                  <c:v>317300</c:v>
                </c:pt>
                <c:pt idx="269">
                  <c:v>317300</c:v>
                </c:pt>
                <c:pt idx="270">
                  <c:v>317300</c:v>
                </c:pt>
                <c:pt idx="271">
                  <c:v>317600</c:v>
                </c:pt>
                <c:pt idx="272">
                  <c:v>317500</c:v>
                </c:pt>
                <c:pt idx="273">
                  <c:v>318100</c:v>
                </c:pt>
                <c:pt idx="274">
                  <c:v>318200</c:v>
                </c:pt>
                <c:pt idx="275">
                  <c:v>318100</c:v>
                </c:pt>
                <c:pt idx="276">
                  <c:v>317800</c:v>
                </c:pt>
                <c:pt idx="277">
                  <c:v>318900</c:v>
                </c:pt>
                <c:pt idx="278">
                  <c:v>319600</c:v>
                </c:pt>
                <c:pt idx="279">
                  <c:v>320900</c:v>
                </c:pt>
                <c:pt idx="280">
                  <c:v>321500</c:v>
                </c:pt>
                <c:pt idx="281">
                  <c:v>322100</c:v>
                </c:pt>
                <c:pt idx="282">
                  <c:v>322500</c:v>
                </c:pt>
                <c:pt idx="283">
                  <c:v>323100</c:v>
                </c:pt>
                <c:pt idx="284">
                  <c:v>324300</c:v>
                </c:pt>
                <c:pt idx="285">
                  <c:v>324500</c:v>
                </c:pt>
                <c:pt idx="286">
                  <c:v>325800</c:v>
                </c:pt>
                <c:pt idx="287">
                  <c:v>326800</c:v>
                </c:pt>
                <c:pt idx="288">
                  <c:v>328200</c:v>
                </c:pt>
                <c:pt idx="289">
                  <c:v>329000</c:v>
                </c:pt>
                <c:pt idx="290">
                  <c:v>328400</c:v>
                </c:pt>
                <c:pt idx="291">
                  <c:v>329800</c:v>
                </c:pt>
                <c:pt idx="292">
                  <c:v>330800</c:v>
                </c:pt>
                <c:pt idx="293">
                  <c:v>330600</c:v>
                </c:pt>
                <c:pt idx="294">
                  <c:v>331900</c:v>
                </c:pt>
                <c:pt idx="295">
                  <c:v>332700</c:v>
                </c:pt>
                <c:pt idx="296">
                  <c:v>333800</c:v>
                </c:pt>
                <c:pt idx="297">
                  <c:v>335200</c:v>
                </c:pt>
                <c:pt idx="298">
                  <c:v>335600</c:v>
                </c:pt>
                <c:pt idx="299">
                  <c:v>336200</c:v>
                </c:pt>
                <c:pt idx="300">
                  <c:v>336600</c:v>
                </c:pt>
                <c:pt idx="301">
                  <c:v>337500</c:v>
                </c:pt>
                <c:pt idx="302">
                  <c:v>338900</c:v>
                </c:pt>
                <c:pt idx="303">
                  <c:v>339700</c:v>
                </c:pt>
                <c:pt idx="304">
                  <c:v>341200</c:v>
                </c:pt>
                <c:pt idx="305">
                  <c:v>342400</c:v>
                </c:pt>
                <c:pt idx="306">
                  <c:v>343600</c:v>
                </c:pt>
                <c:pt idx="307">
                  <c:v>344800</c:v>
                </c:pt>
                <c:pt idx="308">
                  <c:v>346000</c:v>
                </c:pt>
                <c:pt idx="309">
                  <c:v>347900</c:v>
                </c:pt>
                <c:pt idx="310">
                  <c:v>348700</c:v>
                </c:pt>
                <c:pt idx="311">
                  <c:v>349500</c:v>
                </c:pt>
                <c:pt idx="312">
                  <c:v>350500</c:v>
                </c:pt>
                <c:pt idx="313">
                  <c:v>351600</c:v>
                </c:pt>
                <c:pt idx="314">
                  <c:v>352700</c:v>
                </c:pt>
                <c:pt idx="315">
                  <c:v>353500</c:v>
                </c:pt>
                <c:pt idx="316">
                  <c:v>354100</c:v>
                </c:pt>
                <c:pt idx="317">
                  <c:v>355000</c:v>
                </c:pt>
                <c:pt idx="318">
                  <c:v>356700</c:v>
                </c:pt>
                <c:pt idx="319">
                  <c:v>356900</c:v>
                </c:pt>
                <c:pt idx="320">
                  <c:v>357300</c:v>
                </c:pt>
                <c:pt idx="321">
                  <c:v>360100</c:v>
                </c:pt>
                <c:pt idx="322">
                  <c:v>358500</c:v>
                </c:pt>
                <c:pt idx="323">
                  <c:v>357700</c:v>
                </c:pt>
                <c:pt idx="324">
                  <c:v>361700</c:v>
                </c:pt>
                <c:pt idx="325">
                  <c:v>363200</c:v>
                </c:pt>
                <c:pt idx="326">
                  <c:v>365100</c:v>
                </c:pt>
                <c:pt idx="327">
                  <c:v>365200</c:v>
                </c:pt>
                <c:pt idx="328">
                  <c:v>364100</c:v>
                </c:pt>
                <c:pt idx="329">
                  <c:v>365900</c:v>
                </c:pt>
                <c:pt idx="330">
                  <c:v>368900</c:v>
                </c:pt>
                <c:pt idx="331">
                  <c:v>368800</c:v>
                </c:pt>
                <c:pt idx="332">
                  <c:v>367500</c:v>
                </c:pt>
                <c:pt idx="333">
                  <c:v>372500</c:v>
                </c:pt>
                <c:pt idx="334">
                  <c:v>372600</c:v>
                </c:pt>
              </c:numCache>
            </c:numRef>
          </c:val>
          <c:smooth val="0"/>
          <c:extLst>
            <c:ext xmlns:c16="http://schemas.microsoft.com/office/drawing/2014/chart" uri="{C3380CC4-5D6E-409C-BE32-E72D297353CC}">
              <c16:uniqueId val="{00000000-AFD1-43C7-81FB-7187EFED337E}"/>
            </c:ext>
          </c:extLst>
        </c:ser>
        <c:dLbls>
          <c:showLegendKey val="0"/>
          <c:showVal val="0"/>
          <c:showCatName val="0"/>
          <c:showSerName val="0"/>
          <c:showPercent val="0"/>
          <c:showBubbleSize val="0"/>
        </c:dLbls>
        <c:smooth val="0"/>
        <c:axId val="277302504"/>
        <c:axId val="277302896"/>
      </c:lineChart>
      <c:dateAx>
        <c:axId val="277302504"/>
        <c:scaling>
          <c:orientation val="minMax"/>
        </c:scaling>
        <c:delete val="0"/>
        <c:axPos val="b"/>
        <c:numFmt formatCode="mmm\-yy"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77302896"/>
        <c:crosses val="autoZero"/>
        <c:auto val="1"/>
        <c:lblOffset val="100"/>
        <c:baseTimeUnit val="months"/>
        <c:majorUnit val="11"/>
        <c:majorTimeUnit val="months"/>
      </c:dateAx>
      <c:valAx>
        <c:axId val="277302896"/>
        <c:scaling>
          <c:orientation val="minMax"/>
          <c:min val="290000"/>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77302504"/>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spPr>
            <a:ln w="28575" cap="rnd">
              <a:solidFill>
                <a:srgbClr val="003F5C"/>
              </a:solidFill>
              <a:round/>
            </a:ln>
            <a:effectLst/>
          </c:spPr>
          <c:marker>
            <c:symbol val="none"/>
          </c:marker>
          <c:cat>
            <c:numRef>
              <c:f>'Trade Transportation'!$A$2:$A$336</c:f>
              <c:numCache>
                <c:formatCode>mmm\-yy</c:formatCode>
                <c:ptCount val="335"/>
                <c:pt idx="0">
                  <c:v>32874</c:v>
                </c:pt>
                <c:pt idx="1">
                  <c:v>32905</c:v>
                </c:pt>
                <c:pt idx="2">
                  <c:v>32933</c:v>
                </c:pt>
                <c:pt idx="3">
                  <c:v>32964</c:v>
                </c:pt>
                <c:pt idx="4">
                  <c:v>32994</c:v>
                </c:pt>
                <c:pt idx="5">
                  <c:v>33025</c:v>
                </c:pt>
                <c:pt idx="6">
                  <c:v>33055</c:v>
                </c:pt>
                <c:pt idx="7">
                  <c:v>33086</c:v>
                </c:pt>
                <c:pt idx="8">
                  <c:v>33117</c:v>
                </c:pt>
                <c:pt idx="9">
                  <c:v>33147</c:v>
                </c:pt>
                <c:pt idx="10">
                  <c:v>33178</c:v>
                </c:pt>
                <c:pt idx="11">
                  <c:v>33208</c:v>
                </c:pt>
                <c:pt idx="12">
                  <c:v>33239</c:v>
                </c:pt>
                <c:pt idx="13">
                  <c:v>33270</c:v>
                </c:pt>
                <c:pt idx="14">
                  <c:v>33298</c:v>
                </c:pt>
                <c:pt idx="15">
                  <c:v>33329</c:v>
                </c:pt>
                <c:pt idx="16">
                  <c:v>33359</c:v>
                </c:pt>
                <c:pt idx="17">
                  <c:v>33390</c:v>
                </c:pt>
                <c:pt idx="18">
                  <c:v>33420</c:v>
                </c:pt>
                <c:pt idx="19">
                  <c:v>33451</c:v>
                </c:pt>
                <c:pt idx="20">
                  <c:v>33482</c:v>
                </c:pt>
                <c:pt idx="21">
                  <c:v>33512</c:v>
                </c:pt>
                <c:pt idx="22">
                  <c:v>33543</c:v>
                </c:pt>
                <c:pt idx="23">
                  <c:v>33573</c:v>
                </c:pt>
                <c:pt idx="24">
                  <c:v>33604</c:v>
                </c:pt>
                <c:pt idx="25">
                  <c:v>33635</c:v>
                </c:pt>
                <c:pt idx="26">
                  <c:v>33664</c:v>
                </c:pt>
                <c:pt idx="27">
                  <c:v>33695</c:v>
                </c:pt>
                <c:pt idx="28">
                  <c:v>33725</c:v>
                </c:pt>
                <c:pt idx="29">
                  <c:v>33756</c:v>
                </c:pt>
                <c:pt idx="30">
                  <c:v>33786</c:v>
                </c:pt>
                <c:pt idx="31">
                  <c:v>33817</c:v>
                </c:pt>
                <c:pt idx="32">
                  <c:v>33848</c:v>
                </c:pt>
                <c:pt idx="33">
                  <c:v>33878</c:v>
                </c:pt>
                <c:pt idx="34">
                  <c:v>33909</c:v>
                </c:pt>
                <c:pt idx="35">
                  <c:v>33939</c:v>
                </c:pt>
                <c:pt idx="36">
                  <c:v>33970</c:v>
                </c:pt>
                <c:pt idx="37">
                  <c:v>34001</c:v>
                </c:pt>
                <c:pt idx="38">
                  <c:v>34029</c:v>
                </c:pt>
                <c:pt idx="39">
                  <c:v>34060</c:v>
                </c:pt>
                <c:pt idx="40">
                  <c:v>34090</c:v>
                </c:pt>
                <c:pt idx="41">
                  <c:v>34121</c:v>
                </c:pt>
                <c:pt idx="42">
                  <c:v>34151</c:v>
                </c:pt>
                <c:pt idx="43">
                  <c:v>34182</c:v>
                </c:pt>
                <c:pt idx="44">
                  <c:v>34213</c:v>
                </c:pt>
                <c:pt idx="45">
                  <c:v>34243</c:v>
                </c:pt>
                <c:pt idx="46">
                  <c:v>34274</c:v>
                </c:pt>
                <c:pt idx="47">
                  <c:v>34304</c:v>
                </c:pt>
                <c:pt idx="48">
                  <c:v>34335</c:v>
                </c:pt>
                <c:pt idx="49">
                  <c:v>34366</c:v>
                </c:pt>
                <c:pt idx="50">
                  <c:v>34394</c:v>
                </c:pt>
                <c:pt idx="51">
                  <c:v>34425</c:v>
                </c:pt>
                <c:pt idx="52">
                  <c:v>34455</c:v>
                </c:pt>
                <c:pt idx="53">
                  <c:v>34486</c:v>
                </c:pt>
                <c:pt idx="54">
                  <c:v>34516</c:v>
                </c:pt>
                <c:pt idx="55">
                  <c:v>34547</c:v>
                </c:pt>
                <c:pt idx="56">
                  <c:v>34578</c:v>
                </c:pt>
                <c:pt idx="57">
                  <c:v>34608</c:v>
                </c:pt>
                <c:pt idx="58">
                  <c:v>34639</c:v>
                </c:pt>
                <c:pt idx="59">
                  <c:v>34669</c:v>
                </c:pt>
                <c:pt idx="60">
                  <c:v>34700</c:v>
                </c:pt>
                <c:pt idx="61">
                  <c:v>34731</c:v>
                </c:pt>
                <c:pt idx="62">
                  <c:v>34759</c:v>
                </c:pt>
                <c:pt idx="63">
                  <c:v>34790</c:v>
                </c:pt>
                <c:pt idx="64">
                  <c:v>34820</c:v>
                </c:pt>
                <c:pt idx="65">
                  <c:v>34851</c:v>
                </c:pt>
                <c:pt idx="66">
                  <c:v>34881</c:v>
                </c:pt>
                <c:pt idx="67">
                  <c:v>34912</c:v>
                </c:pt>
                <c:pt idx="68">
                  <c:v>34943</c:v>
                </c:pt>
                <c:pt idx="69">
                  <c:v>34973</c:v>
                </c:pt>
                <c:pt idx="70">
                  <c:v>35004</c:v>
                </c:pt>
                <c:pt idx="71">
                  <c:v>35034</c:v>
                </c:pt>
                <c:pt idx="72">
                  <c:v>35065</c:v>
                </c:pt>
                <c:pt idx="73">
                  <c:v>35096</c:v>
                </c:pt>
                <c:pt idx="74">
                  <c:v>35125</c:v>
                </c:pt>
                <c:pt idx="75">
                  <c:v>35156</c:v>
                </c:pt>
                <c:pt idx="76">
                  <c:v>35186</c:v>
                </c:pt>
                <c:pt idx="77">
                  <c:v>35217</c:v>
                </c:pt>
                <c:pt idx="78">
                  <c:v>35247</c:v>
                </c:pt>
                <c:pt idx="79">
                  <c:v>35278</c:v>
                </c:pt>
                <c:pt idx="80">
                  <c:v>35309</c:v>
                </c:pt>
                <c:pt idx="81">
                  <c:v>35339</c:v>
                </c:pt>
                <c:pt idx="82">
                  <c:v>35370</c:v>
                </c:pt>
                <c:pt idx="83">
                  <c:v>35400</c:v>
                </c:pt>
                <c:pt idx="84">
                  <c:v>35431</c:v>
                </c:pt>
                <c:pt idx="85">
                  <c:v>35462</c:v>
                </c:pt>
                <c:pt idx="86">
                  <c:v>35490</c:v>
                </c:pt>
                <c:pt idx="87">
                  <c:v>35521</c:v>
                </c:pt>
                <c:pt idx="88">
                  <c:v>35551</c:v>
                </c:pt>
                <c:pt idx="89">
                  <c:v>35582</c:v>
                </c:pt>
                <c:pt idx="90">
                  <c:v>35612</c:v>
                </c:pt>
                <c:pt idx="91">
                  <c:v>35643</c:v>
                </c:pt>
                <c:pt idx="92">
                  <c:v>35674</c:v>
                </c:pt>
                <c:pt idx="93">
                  <c:v>35704</c:v>
                </c:pt>
                <c:pt idx="94">
                  <c:v>35735</c:v>
                </c:pt>
                <c:pt idx="95">
                  <c:v>35765</c:v>
                </c:pt>
                <c:pt idx="96">
                  <c:v>35796</c:v>
                </c:pt>
                <c:pt idx="97">
                  <c:v>35827</c:v>
                </c:pt>
                <c:pt idx="98">
                  <c:v>35855</c:v>
                </c:pt>
                <c:pt idx="99">
                  <c:v>35886</c:v>
                </c:pt>
                <c:pt idx="100">
                  <c:v>35916</c:v>
                </c:pt>
                <c:pt idx="101">
                  <c:v>35947</c:v>
                </c:pt>
                <c:pt idx="102">
                  <c:v>35977</c:v>
                </c:pt>
                <c:pt idx="103">
                  <c:v>36008</c:v>
                </c:pt>
                <c:pt idx="104">
                  <c:v>36039</c:v>
                </c:pt>
                <c:pt idx="105">
                  <c:v>36069</c:v>
                </c:pt>
                <c:pt idx="106">
                  <c:v>36100</c:v>
                </c:pt>
                <c:pt idx="107">
                  <c:v>36130</c:v>
                </c:pt>
                <c:pt idx="108">
                  <c:v>36161</c:v>
                </c:pt>
                <c:pt idx="109">
                  <c:v>36192</c:v>
                </c:pt>
                <c:pt idx="110">
                  <c:v>36220</c:v>
                </c:pt>
                <c:pt idx="111">
                  <c:v>36251</c:v>
                </c:pt>
                <c:pt idx="112">
                  <c:v>36281</c:v>
                </c:pt>
                <c:pt idx="113">
                  <c:v>36312</c:v>
                </c:pt>
                <c:pt idx="114">
                  <c:v>36342</c:v>
                </c:pt>
                <c:pt idx="115">
                  <c:v>36373</c:v>
                </c:pt>
                <c:pt idx="116">
                  <c:v>36404</c:v>
                </c:pt>
                <c:pt idx="117">
                  <c:v>36434</c:v>
                </c:pt>
                <c:pt idx="118">
                  <c:v>36465</c:v>
                </c:pt>
                <c:pt idx="119">
                  <c:v>36495</c:v>
                </c:pt>
                <c:pt idx="120">
                  <c:v>36526</c:v>
                </c:pt>
                <c:pt idx="121">
                  <c:v>36557</c:v>
                </c:pt>
                <c:pt idx="122">
                  <c:v>36586</c:v>
                </c:pt>
                <c:pt idx="123">
                  <c:v>36617</c:v>
                </c:pt>
                <c:pt idx="124">
                  <c:v>36647</c:v>
                </c:pt>
                <c:pt idx="125">
                  <c:v>36678</c:v>
                </c:pt>
                <c:pt idx="126">
                  <c:v>36708</c:v>
                </c:pt>
                <c:pt idx="127">
                  <c:v>36739</c:v>
                </c:pt>
                <c:pt idx="128">
                  <c:v>36770</c:v>
                </c:pt>
                <c:pt idx="129">
                  <c:v>36800</c:v>
                </c:pt>
                <c:pt idx="130">
                  <c:v>36831</c:v>
                </c:pt>
                <c:pt idx="131">
                  <c:v>36861</c:v>
                </c:pt>
                <c:pt idx="132">
                  <c:v>36892</c:v>
                </c:pt>
                <c:pt idx="133">
                  <c:v>36923</c:v>
                </c:pt>
                <c:pt idx="134">
                  <c:v>36951</c:v>
                </c:pt>
                <c:pt idx="135">
                  <c:v>36982</c:v>
                </c:pt>
                <c:pt idx="136">
                  <c:v>37012</c:v>
                </c:pt>
                <c:pt idx="137">
                  <c:v>37043</c:v>
                </c:pt>
                <c:pt idx="138">
                  <c:v>37073</c:v>
                </c:pt>
                <c:pt idx="139">
                  <c:v>37104</c:v>
                </c:pt>
                <c:pt idx="140">
                  <c:v>37135</c:v>
                </c:pt>
                <c:pt idx="141">
                  <c:v>37165</c:v>
                </c:pt>
                <c:pt idx="142">
                  <c:v>37196</c:v>
                </c:pt>
                <c:pt idx="143">
                  <c:v>37226</c:v>
                </c:pt>
                <c:pt idx="144">
                  <c:v>37257</c:v>
                </c:pt>
                <c:pt idx="145">
                  <c:v>37288</c:v>
                </c:pt>
                <c:pt idx="146">
                  <c:v>37316</c:v>
                </c:pt>
                <c:pt idx="147">
                  <c:v>37347</c:v>
                </c:pt>
                <c:pt idx="148">
                  <c:v>37377</c:v>
                </c:pt>
                <c:pt idx="149">
                  <c:v>37408</c:v>
                </c:pt>
                <c:pt idx="150">
                  <c:v>37438</c:v>
                </c:pt>
                <c:pt idx="151">
                  <c:v>37469</c:v>
                </c:pt>
                <c:pt idx="152">
                  <c:v>37500</c:v>
                </c:pt>
                <c:pt idx="153">
                  <c:v>37530</c:v>
                </c:pt>
                <c:pt idx="154">
                  <c:v>37561</c:v>
                </c:pt>
                <c:pt idx="155">
                  <c:v>37591</c:v>
                </c:pt>
                <c:pt idx="156">
                  <c:v>37622</c:v>
                </c:pt>
                <c:pt idx="157">
                  <c:v>37653</c:v>
                </c:pt>
                <c:pt idx="158">
                  <c:v>37681</c:v>
                </c:pt>
                <c:pt idx="159">
                  <c:v>37712</c:v>
                </c:pt>
                <c:pt idx="160">
                  <c:v>37742</c:v>
                </c:pt>
                <c:pt idx="161">
                  <c:v>37773</c:v>
                </c:pt>
                <c:pt idx="162">
                  <c:v>37803</c:v>
                </c:pt>
                <c:pt idx="163">
                  <c:v>37834</c:v>
                </c:pt>
                <c:pt idx="164">
                  <c:v>37865</c:v>
                </c:pt>
                <c:pt idx="165">
                  <c:v>37895</c:v>
                </c:pt>
                <c:pt idx="166">
                  <c:v>37926</c:v>
                </c:pt>
                <c:pt idx="167">
                  <c:v>37956</c:v>
                </c:pt>
                <c:pt idx="168">
                  <c:v>37987</c:v>
                </c:pt>
                <c:pt idx="169">
                  <c:v>38018</c:v>
                </c:pt>
                <c:pt idx="170">
                  <c:v>38047</c:v>
                </c:pt>
                <c:pt idx="171">
                  <c:v>38078</c:v>
                </c:pt>
                <c:pt idx="172">
                  <c:v>38108</c:v>
                </c:pt>
                <c:pt idx="173">
                  <c:v>38139</c:v>
                </c:pt>
                <c:pt idx="174">
                  <c:v>38169</c:v>
                </c:pt>
                <c:pt idx="175">
                  <c:v>38200</c:v>
                </c:pt>
                <c:pt idx="176">
                  <c:v>38231</c:v>
                </c:pt>
                <c:pt idx="177">
                  <c:v>38261</c:v>
                </c:pt>
                <c:pt idx="178">
                  <c:v>38292</c:v>
                </c:pt>
                <c:pt idx="179">
                  <c:v>38322</c:v>
                </c:pt>
                <c:pt idx="180">
                  <c:v>38353</c:v>
                </c:pt>
                <c:pt idx="181">
                  <c:v>38384</c:v>
                </c:pt>
                <c:pt idx="182">
                  <c:v>38412</c:v>
                </c:pt>
                <c:pt idx="183">
                  <c:v>38443</c:v>
                </c:pt>
                <c:pt idx="184">
                  <c:v>38473</c:v>
                </c:pt>
                <c:pt idx="185">
                  <c:v>38504</c:v>
                </c:pt>
                <c:pt idx="186">
                  <c:v>38534</c:v>
                </c:pt>
                <c:pt idx="187">
                  <c:v>38565</c:v>
                </c:pt>
                <c:pt idx="188">
                  <c:v>38596</c:v>
                </c:pt>
                <c:pt idx="189">
                  <c:v>38626</c:v>
                </c:pt>
                <c:pt idx="190">
                  <c:v>38657</c:v>
                </c:pt>
                <c:pt idx="191">
                  <c:v>38687</c:v>
                </c:pt>
                <c:pt idx="192">
                  <c:v>38718</c:v>
                </c:pt>
                <c:pt idx="193">
                  <c:v>38749</c:v>
                </c:pt>
                <c:pt idx="194">
                  <c:v>38777</c:v>
                </c:pt>
                <c:pt idx="195">
                  <c:v>38808</c:v>
                </c:pt>
                <c:pt idx="196">
                  <c:v>38838</c:v>
                </c:pt>
                <c:pt idx="197">
                  <c:v>38869</c:v>
                </c:pt>
                <c:pt idx="198">
                  <c:v>38899</c:v>
                </c:pt>
                <c:pt idx="199">
                  <c:v>38930</c:v>
                </c:pt>
                <c:pt idx="200">
                  <c:v>38961</c:v>
                </c:pt>
                <c:pt idx="201">
                  <c:v>38991</c:v>
                </c:pt>
                <c:pt idx="202">
                  <c:v>39022</c:v>
                </c:pt>
                <c:pt idx="203">
                  <c:v>39052</c:v>
                </c:pt>
                <c:pt idx="204">
                  <c:v>39083</c:v>
                </c:pt>
                <c:pt idx="205">
                  <c:v>39114</c:v>
                </c:pt>
                <c:pt idx="206">
                  <c:v>39142</c:v>
                </c:pt>
                <c:pt idx="207">
                  <c:v>39173</c:v>
                </c:pt>
                <c:pt idx="208">
                  <c:v>39203</c:v>
                </c:pt>
                <c:pt idx="209">
                  <c:v>39234</c:v>
                </c:pt>
                <c:pt idx="210">
                  <c:v>39264</c:v>
                </c:pt>
                <c:pt idx="211">
                  <c:v>39295</c:v>
                </c:pt>
                <c:pt idx="212">
                  <c:v>39326</c:v>
                </c:pt>
                <c:pt idx="213">
                  <c:v>39356</c:v>
                </c:pt>
                <c:pt idx="214">
                  <c:v>39387</c:v>
                </c:pt>
                <c:pt idx="215">
                  <c:v>39417</c:v>
                </c:pt>
                <c:pt idx="216">
                  <c:v>39448</c:v>
                </c:pt>
                <c:pt idx="217">
                  <c:v>39479</c:v>
                </c:pt>
                <c:pt idx="218">
                  <c:v>39508</c:v>
                </c:pt>
                <c:pt idx="219">
                  <c:v>39539</c:v>
                </c:pt>
                <c:pt idx="220">
                  <c:v>39569</c:v>
                </c:pt>
                <c:pt idx="221">
                  <c:v>39600</c:v>
                </c:pt>
                <c:pt idx="222">
                  <c:v>39630</c:v>
                </c:pt>
                <c:pt idx="223">
                  <c:v>39661</c:v>
                </c:pt>
                <c:pt idx="224">
                  <c:v>39692</c:v>
                </c:pt>
                <c:pt idx="225">
                  <c:v>39722</c:v>
                </c:pt>
                <c:pt idx="226">
                  <c:v>39753</c:v>
                </c:pt>
                <c:pt idx="227">
                  <c:v>39783</c:v>
                </c:pt>
                <c:pt idx="228">
                  <c:v>39814</c:v>
                </c:pt>
                <c:pt idx="229">
                  <c:v>39845</c:v>
                </c:pt>
                <c:pt idx="230">
                  <c:v>39873</c:v>
                </c:pt>
                <c:pt idx="231">
                  <c:v>39904</c:v>
                </c:pt>
                <c:pt idx="232">
                  <c:v>39934</c:v>
                </c:pt>
                <c:pt idx="233">
                  <c:v>39965</c:v>
                </c:pt>
                <c:pt idx="234">
                  <c:v>39995</c:v>
                </c:pt>
                <c:pt idx="235">
                  <c:v>40026</c:v>
                </c:pt>
                <c:pt idx="236">
                  <c:v>40057</c:v>
                </c:pt>
                <c:pt idx="237">
                  <c:v>40087</c:v>
                </c:pt>
                <c:pt idx="238">
                  <c:v>40118</c:v>
                </c:pt>
                <c:pt idx="239">
                  <c:v>40148</c:v>
                </c:pt>
                <c:pt idx="240">
                  <c:v>40179</c:v>
                </c:pt>
                <c:pt idx="241">
                  <c:v>40210</c:v>
                </c:pt>
                <c:pt idx="242">
                  <c:v>40238</c:v>
                </c:pt>
                <c:pt idx="243">
                  <c:v>40269</c:v>
                </c:pt>
                <c:pt idx="244">
                  <c:v>40299</c:v>
                </c:pt>
                <c:pt idx="245">
                  <c:v>40330</c:v>
                </c:pt>
                <c:pt idx="246">
                  <c:v>40360</c:v>
                </c:pt>
                <c:pt idx="247">
                  <c:v>40391</c:v>
                </c:pt>
                <c:pt idx="248">
                  <c:v>40422</c:v>
                </c:pt>
                <c:pt idx="249">
                  <c:v>40452</c:v>
                </c:pt>
                <c:pt idx="250">
                  <c:v>40483</c:v>
                </c:pt>
                <c:pt idx="251">
                  <c:v>40513</c:v>
                </c:pt>
                <c:pt idx="252">
                  <c:v>40544</c:v>
                </c:pt>
                <c:pt idx="253">
                  <c:v>40575</c:v>
                </c:pt>
                <c:pt idx="254">
                  <c:v>40603</c:v>
                </c:pt>
                <c:pt idx="255">
                  <c:v>40634</c:v>
                </c:pt>
                <c:pt idx="256">
                  <c:v>40664</c:v>
                </c:pt>
                <c:pt idx="257">
                  <c:v>40695</c:v>
                </c:pt>
                <c:pt idx="258">
                  <c:v>40725</c:v>
                </c:pt>
                <c:pt idx="259">
                  <c:v>40756</c:v>
                </c:pt>
                <c:pt idx="260">
                  <c:v>40787</c:v>
                </c:pt>
                <c:pt idx="261">
                  <c:v>40817</c:v>
                </c:pt>
                <c:pt idx="262">
                  <c:v>40848</c:v>
                </c:pt>
                <c:pt idx="263">
                  <c:v>40878</c:v>
                </c:pt>
                <c:pt idx="264">
                  <c:v>40909</c:v>
                </c:pt>
                <c:pt idx="265">
                  <c:v>40940</c:v>
                </c:pt>
                <c:pt idx="266">
                  <c:v>40969</c:v>
                </c:pt>
                <c:pt idx="267">
                  <c:v>41000</c:v>
                </c:pt>
                <c:pt idx="268">
                  <c:v>41030</c:v>
                </c:pt>
                <c:pt idx="269">
                  <c:v>41061</c:v>
                </c:pt>
                <c:pt idx="270">
                  <c:v>41091</c:v>
                </c:pt>
                <c:pt idx="271">
                  <c:v>41122</c:v>
                </c:pt>
                <c:pt idx="272">
                  <c:v>41153</c:v>
                </c:pt>
                <c:pt idx="273">
                  <c:v>41183</c:v>
                </c:pt>
                <c:pt idx="274">
                  <c:v>41214</c:v>
                </c:pt>
                <c:pt idx="275">
                  <c:v>41244</c:v>
                </c:pt>
                <c:pt idx="276">
                  <c:v>41275</c:v>
                </c:pt>
                <c:pt idx="277">
                  <c:v>41306</c:v>
                </c:pt>
                <c:pt idx="278">
                  <c:v>41334</c:v>
                </c:pt>
                <c:pt idx="279">
                  <c:v>41365</c:v>
                </c:pt>
                <c:pt idx="280">
                  <c:v>41395</c:v>
                </c:pt>
                <c:pt idx="281">
                  <c:v>41426</c:v>
                </c:pt>
                <c:pt idx="282">
                  <c:v>41456</c:v>
                </c:pt>
                <c:pt idx="283">
                  <c:v>41487</c:v>
                </c:pt>
                <c:pt idx="284">
                  <c:v>41518</c:v>
                </c:pt>
                <c:pt idx="285">
                  <c:v>41548</c:v>
                </c:pt>
                <c:pt idx="286">
                  <c:v>41579</c:v>
                </c:pt>
                <c:pt idx="287">
                  <c:v>41609</c:v>
                </c:pt>
                <c:pt idx="288">
                  <c:v>41640</c:v>
                </c:pt>
                <c:pt idx="289">
                  <c:v>41671</c:v>
                </c:pt>
                <c:pt idx="290">
                  <c:v>41699</c:v>
                </c:pt>
                <c:pt idx="291">
                  <c:v>41730</c:v>
                </c:pt>
                <c:pt idx="292">
                  <c:v>41760</c:v>
                </c:pt>
                <c:pt idx="293">
                  <c:v>41791</c:v>
                </c:pt>
                <c:pt idx="294">
                  <c:v>41821</c:v>
                </c:pt>
                <c:pt idx="295">
                  <c:v>41852</c:v>
                </c:pt>
                <c:pt idx="296">
                  <c:v>41883</c:v>
                </c:pt>
                <c:pt idx="297">
                  <c:v>41913</c:v>
                </c:pt>
                <c:pt idx="298">
                  <c:v>41944</c:v>
                </c:pt>
                <c:pt idx="299">
                  <c:v>41974</c:v>
                </c:pt>
                <c:pt idx="300">
                  <c:v>42005</c:v>
                </c:pt>
                <c:pt idx="301">
                  <c:v>42036</c:v>
                </c:pt>
                <c:pt idx="302">
                  <c:v>42064</c:v>
                </c:pt>
                <c:pt idx="303">
                  <c:v>42095</c:v>
                </c:pt>
                <c:pt idx="304">
                  <c:v>42125</c:v>
                </c:pt>
                <c:pt idx="305">
                  <c:v>42156</c:v>
                </c:pt>
                <c:pt idx="306">
                  <c:v>42186</c:v>
                </c:pt>
                <c:pt idx="307">
                  <c:v>42217</c:v>
                </c:pt>
                <c:pt idx="308">
                  <c:v>42248</c:v>
                </c:pt>
                <c:pt idx="309">
                  <c:v>42278</c:v>
                </c:pt>
                <c:pt idx="310">
                  <c:v>42309</c:v>
                </c:pt>
                <c:pt idx="311">
                  <c:v>42339</c:v>
                </c:pt>
                <c:pt idx="312">
                  <c:v>42370</c:v>
                </c:pt>
                <c:pt idx="313">
                  <c:v>42401</c:v>
                </c:pt>
                <c:pt idx="314">
                  <c:v>42430</c:v>
                </c:pt>
                <c:pt idx="315">
                  <c:v>42461</c:v>
                </c:pt>
                <c:pt idx="316">
                  <c:v>42491</c:v>
                </c:pt>
                <c:pt idx="317">
                  <c:v>42522</c:v>
                </c:pt>
                <c:pt idx="318">
                  <c:v>42552</c:v>
                </c:pt>
                <c:pt idx="319">
                  <c:v>42583</c:v>
                </c:pt>
                <c:pt idx="320">
                  <c:v>42614</c:v>
                </c:pt>
                <c:pt idx="321">
                  <c:v>42644</c:v>
                </c:pt>
                <c:pt idx="322">
                  <c:v>42675</c:v>
                </c:pt>
                <c:pt idx="323">
                  <c:v>42705</c:v>
                </c:pt>
                <c:pt idx="324">
                  <c:v>42736</c:v>
                </c:pt>
                <c:pt idx="325">
                  <c:v>42767</c:v>
                </c:pt>
                <c:pt idx="326">
                  <c:v>42795</c:v>
                </c:pt>
                <c:pt idx="327">
                  <c:v>42826</c:v>
                </c:pt>
                <c:pt idx="328">
                  <c:v>42856</c:v>
                </c:pt>
                <c:pt idx="329">
                  <c:v>42887</c:v>
                </c:pt>
                <c:pt idx="330">
                  <c:v>42917</c:v>
                </c:pt>
                <c:pt idx="331">
                  <c:v>42948</c:v>
                </c:pt>
                <c:pt idx="332">
                  <c:v>42979</c:v>
                </c:pt>
                <c:pt idx="333">
                  <c:v>43009</c:v>
                </c:pt>
                <c:pt idx="334">
                  <c:v>43040</c:v>
                </c:pt>
              </c:numCache>
            </c:numRef>
          </c:cat>
          <c:val>
            <c:numRef>
              <c:f>'Trade Transportation'!$B$2:$B$336</c:f>
              <c:numCache>
                <c:formatCode>#,##0</c:formatCode>
                <c:ptCount val="335"/>
                <c:pt idx="0">
                  <c:v>1221800</c:v>
                </c:pt>
                <c:pt idx="1">
                  <c:v>1222300</c:v>
                </c:pt>
                <c:pt idx="2">
                  <c:v>1222600</c:v>
                </c:pt>
                <c:pt idx="3">
                  <c:v>1223700</c:v>
                </c:pt>
                <c:pt idx="4">
                  <c:v>1223000</c:v>
                </c:pt>
                <c:pt idx="5">
                  <c:v>1223800</c:v>
                </c:pt>
                <c:pt idx="6">
                  <c:v>1221600</c:v>
                </c:pt>
                <c:pt idx="7">
                  <c:v>1222700</c:v>
                </c:pt>
                <c:pt idx="8">
                  <c:v>1220600</c:v>
                </c:pt>
                <c:pt idx="9">
                  <c:v>1219600</c:v>
                </c:pt>
                <c:pt idx="10">
                  <c:v>1215100</c:v>
                </c:pt>
                <c:pt idx="11">
                  <c:v>1213200</c:v>
                </c:pt>
                <c:pt idx="12">
                  <c:v>1216200</c:v>
                </c:pt>
                <c:pt idx="13">
                  <c:v>1205900</c:v>
                </c:pt>
                <c:pt idx="14">
                  <c:v>1203500</c:v>
                </c:pt>
                <c:pt idx="15">
                  <c:v>1203300</c:v>
                </c:pt>
                <c:pt idx="16">
                  <c:v>1202700</c:v>
                </c:pt>
                <c:pt idx="17">
                  <c:v>1201400</c:v>
                </c:pt>
                <c:pt idx="18">
                  <c:v>1203300</c:v>
                </c:pt>
                <c:pt idx="19">
                  <c:v>1202900</c:v>
                </c:pt>
                <c:pt idx="20">
                  <c:v>1204900</c:v>
                </c:pt>
                <c:pt idx="21">
                  <c:v>1204600</c:v>
                </c:pt>
                <c:pt idx="22">
                  <c:v>1201700</c:v>
                </c:pt>
                <c:pt idx="23">
                  <c:v>1195900</c:v>
                </c:pt>
                <c:pt idx="24">
                  <c:v>1195500</c:v>
                </c:pt>
                <c:pt idx="25">
                  <c:v>1196100</c:v>
                </c:pt>
                <c:pt idx="26">
                  <c:v>1196500</c:v>
                </c:pt>
                <c:pt idx="27">
                  <c:v>1199700</c:v>
                </c:pt>
                <c:pt idx="28">
                  <c:v>1203200</c:v>
                </c:pt>
                <c:pt idx="29">
                  <c:v>1204800</c:v>
                </c:pt>
                <c:pt idx="30">
                  <c:v>1207600</c:v>
                </c:pt>
                <c:pt idx="31">
                  <c:v>1208600</c:v>
                </c:pt>
                <c:pt idx="32">
                  <c:v>1208500</c:v>
                </c:pt>
                <c:pt idx="33">
                  <c:v>1211900</c:v>
                </c:pt>
                <c:pt idx="34">
                  <c:v>1220200</c:v>
                </c:pt>
                <c:pt idx="35">
                  <c:v>1222800</c:v>
                </c:pt>
                <c:pt idx="36">
                  <c:v>1227900</c:v>
                </c:pt>
                <c:pt idx="37">
                  <c:v>1234900</c:v>
                </c:pt>
                <c:pt idx="38">
                  <c:v>1238400</c:v>
                </c:pt>
                <c:pt idx="39">
                  <c:v>1246700</c:v>
                </c:pt>
                <c:pt idx="40">
                  <c:v>1246600</c:v>
                </c:pt>
                <c:pt idx="41">
                  <c:v>1250800</c:v>
                </c:pt>
                <c:pt idx="42">
                  <c:v>1251800</c:v>
                </c:pt>
                <c:pt idx="43">
                  <c:v>1254800</c:v>
                </c:pt>
                <c:pt idx="44">
                  <c:v>1258200</c:v>
                </c:pt>
                <c:pt idx="45">
                  <c:v>1264000</c:v>
                </c:pt>
                <c:pt idx="46">
                  <c:v>1265400</c:v>
                </c:pt>
                <c:pt idx="47">
                  <c:v>1270200</c:v>
                </c:pt>
                <c:pt idx="48">
                  <c:v>1273800</c:v>
                </c:pt>
                <c:pt idx="49">
                  <c:v>1275900</c:v>
                </c:pt>
                <c:pt idx="50">
                  <c:v>1280000</c:v>
                </c:pt>
                <c:pt idx="51">
                  <c:v>1284900</c:v>
                </c:pt>
                <c:pt idx="52">
                  <c:v>1290500</c:v>
                </c:pt>
                <c:pt idx="53">
                  <c:v>1292200</c:v>
                </c:pt>
                <c:pt idx="54">
                  <c:v>1293900</c:v>
                </c:pt>
                <c:pt idx="55">
                  <c:v>1302200</c:v>
                </c:pt>
                <c:pt idx="56">
                  <c:v>1308400</c:v>
                </c:pt>
                <c:pt idx="57">
                  <c:v>1308800</c:v>
                </c:pt>
                <c:pt idx="58">
                  <c:v>1314600</c:v>
                </c:pt>
                <c:pt idx="59">
                  <c:v>1318500</c:v>
                </c:pt>
                <c:pt idx="60">
                  <c:v>1325000</c:v>
                </c:pt>
                <c:pt idx="61">
                  <c:v>1330600</c:v>
                </c:pt>
                <c:pt idx="62">
                  <c:v>1332000</c:v>
                </c:pt>
                <c:pt idx="63">
                  <c:v>1332000</c:v>
                </c:pt>
                <c:pt idx="64">
                  <c:v>1334200</c:v>
                </c:pt>
                <c:pt idx="65">
                  <c:v>1336800</c:v>
                </c:pt>
                <c:pt idx="66">
                  <c:v>1336200</c:v>
                </c:pt>
                <c:pt idx="67">
                  <c:v>1342600</c:v>
                </c:pt>
                <c:pt idx="68">
                  <c:v>1350300</c:v>
                </c:pt>
                <c:pt idx="69">
                  <c:v>1353200</c:v>
                </c:pt>
                <c:pt idx="70">
                  <c:v>1355600</c:v>
                </c:pt>
                <c:pt idx="71">
                  <c:v>1360300</c:v>
                </c:pt>
                <c:pt idx="72">
                  <c:v>1358300</c:v>
                </c:pt>
                <c:pt idx="73">
                  <c:v>1363300</c:v>
                </c:pt>
                <c:pt idx="74">
                  <c:v>1366600</c:v>
                </c:pt>
                <c:pt idx="75">
                  <c:v>1365200</c:v>
                </c:pt>
                <c:pt idx="76">
                  <c:v>1368900</c:v>
                </c:pt>
                <c:pt idx="77">
                  <c:v>1369600</c:v>
                </c:pt>
                <c:pt idx="78">
                  <c:v>1377600</c:v>
                </c:pt>
                <c:pt idx="79">
                  <c:v>1382100</c:v>
                </c:pt>
                <c:pt idx="80">
                  <c:v>1380700</c:v>
                </c:pt>
                <c:pt idx="81">
                  <c:v>1381300</c:v>
                </c:pt>
                <c:pt idx="82">
                  <c:v>1385000</c:v>
                </c:pt>
                <c:pt idx="83">
                  <c:v>1386900</c:v>
                </c:pt>
                <c:pt idx="84">
                  <c:v>1393800</c:v>
                </c:pt>
                <c:pt idx="85">
                  <c:v>1394100</c:v>
                </c:pt>
                <c:pt idx="86">
                  <c:v>1396600</c:v>
                </c:pt>
                <c:pt idx="87">
                  <c:v>1413700</c:v>
                </c:pt>
                <c:pt idx="88">
                  <c:v>1414300</c:v>
                </c:pt>
                <c:pt idx="89">
                  <c:v>1413900</c:v>
                </c:pt>
                <c:pt idx="90">
                  <c:v>1403300</c:v>
                </c:pt>
                <c:pt idx="91">
                  <c:v>1396500</c:v>
                </c:pt>
                <c:pt idx="92">
                  <c:v>1408900</c:v>
                </c:pt>
                <c:pt idx="93">
                  <c:v>1420900</c:v>
                </c:pt>
                <c:pt idx="94">
                  <c:v>1418000</c:v>
                </c:pt>
                <c:pt idx="95">
                  <c:v>1425000</c:v>
                </c:pt>
                <c:pt idx="96">
                  <c:v>1435100</c:v>
                </c:pt>
                <c:pt idx="97">
                  <c:v>1435500</c:v>
                </c:pt>
                <c:pt idx="98">
                  <c:v>1439000</c:v>
                </c:pt>
                <c:pt idx="99">
                  <c:v>1440200</c:v>
                </c:pt>
                <c:pt idx="100">
                  <c:v>1444500</c:v>
                </c:pt>
                <c:pt idx="101">
                  <c:v>1451100</c:v>
                </c:pt>
                <c:pt idx="102">
                  <c:v>1458900</c:v>
                </c:pt>
                <c:pt idx="103">
                  <c:v>1461500</c:v>
                </c:pt>
                <c:pt idx="104">
                  <c:v>1467500</c:v>
                </c:pt>
                <c:pt idx="105">
                  <c:v>1478200</c:v>
                </c:pt>
                <c:pt idx="106">
                  <c:v>1480400</c:v>
                </c:pt>
                <c:pt idx="107">
                  <c:v>1478800</c:v>
                </c:pt>
                <c:pt idx="108">
                  <c:v>1475000</c:v>
                </c:pt>
                <c:pt idx="109">
                  <c:v>1477600</c:v>
                </c:pt>
                <c:pt idx="110">
                  <c:v>1480400</c:v>
                </c:pt>
                <c:pt idx="111">
                  <c:v>1478700</c:v>
                </c:pt>
                <c:pt idx="112">
                  <c:v>1480900</c:v>
                </c:pt>
                <c:pt idx="113">
                  <c:v>1484200</c:v>
                </c:pt>
                <c:pt idx="114">
                  <c:v>1485200</c:v>
                </c:pt>
                <c:pt idx="115">
                  <c:v>1488500</c:v>
                </c:pt>
                <c:pt idx="116">
                  <c:v>1491200</c:v>
                </c:pt>
                <c:pt idx="117">
                  <c:v>1497100</c:v>
                </c:pt>
                <c:pt idx="118">
                  <c:v>1502900</c:v>
                </c:pt>
                <c:pt idx="119">
                  <c:v>1507700</c:v>
                </c:pt>
                <c:pt idx="120">
                  <c:v>1516500</c:v>
                </c:pt>
                <c:pt idx="121">
                  <c:v>1519900</c:v>
                </c:pt>
                <c:pt idx="122">
                  <c:v>1523600</c:v>
                </c:pt>
                <c:pt idx="123">
                  <c:v>1526200</c:v>
                </c:pt>
                <c:pt idx="124">
                  <c:v>1530100</c:v>
                </c:pt>
                <c:pt idx="125">
                  <c:v>1536300</c:v>
                </c:pt>
                <c:pt idx="126">
                  <c:v>1532800</c:v>
                </c:pt>
                <c:pt idx="127">
                  <c:v>1537300</c:v>
                </c:pt>
                <c:pt idx="128">
                  <c:v>1539700</c:v>
                </c:pt>
                <c:pt idx="129">
                  <c:v>1535800</c:v>
                </c:pt>
                <c:pt idx="130">
                  <c:v>1539600</c:v>
                </c:pt>
                <c:pt idx="131">
                  <c:v>1541000</c:v>
                </c:pt>
                <c:pt idx="132">
                  <c:v>1530600</c:v>
                </c:pt>
                <c:pt idx="133">
                  <c:v>1533600</c:v>
                </c:pt>
                <c:pt idx="134">
                  <c:v>1536500</c:v>
                </c:pt>
                <c:pt idx="135">
                  <c:v>1534000</c:v>
                </c:pt>
                <c:pt idx="136">
                  <c:v>1530700</c:v>
                </c:pt>
                <c:pt idx="137">
                  <c:v>1527400</c:v>
                </c:pt>
                <c:pt idx="138">
                  <c:v>1526200</c:v>
                </c:pt>
                <c:pt idx="139">
                  <c:v>1524400</c:v>
                </c:pt>
                <c:pt idx="140">
                  <c:v>1521900</c:v>
                </c:pt>
                <c:pt idx="141">
                  <c:v>1517100</c:v>
                </c:pt>
                <c:pt idx="142">
                  <c:v>1512100</c:v>
                </c:pt>
                <c:pt idx="143">
                  <c:v>1506600</c:v>
                </c:pt>
                <c:pt idx="144">
                  <c:v>1511500</c:v>
                </c:pt>
                <c:pt idx="145">
                  <c:v>1509900</c:v>
                </c:pt>
                <c:pt idx="146">
                  <c:v>1510400</c:v>
                </c:pt>
                <c:pt idx="147">
                  <c:v>1509100</c:v>
                </c:pt>
                <c:pt idx="148">
                  <c:v>1508600</c:v>
                </c:pt>
                <c:pt idx="149">
                  <c:v>1506600</c:v>
                </c:pt>
                <c:pt idx="150">
                  <c:v>1504200</c:v>
                </c:pt>
                <c:pt idx="151">
                  <c:v>1504500</c:v>
                </c:pt>
                <c:pt idx="152">
                  <c:v>1503400</c:v>
                </c:pt>
                <c:pt idx="153">
                  <c:v>1503700</c:v>
                </c:pt>
                <c:pt idx="154">
                  <c:v>1500000</c:v>
                </c:pt>
                <c:pt idx="155">
                  <c:v>1501200</c:v>
                </c:pt>
                <c:pt idx="156">
                  <c:v>1497000</c:v>
                </c:pt>
                <c:pt idx="157">
                  <c:v>1495100</c:v>
                </c:pt>
                <c:pt idx="158">
                  <c:v>1493400</c:v>
                </c:pt>
                <c:pt idx="159">
                  <c:v>1493200</c:v>
                </c:pt>
                <c:pt idx="160">
                  <c:v>1491400</c:v>
                </c:pt>
                <c:pt idx="161">
                  <c:v>1491800</c:v>
                </c:pt>
                <c:pt idx="162">
                  <c:v>1495300</c:v>
                </c:pt>
                <c:pt idx="163">
                  <c:v>1496500</c:v>
                </c:pt>
                <c:pt idx="164">
                  <c:v>1499600</c:v>
                </c:pt>
                <c:pt idx="165">
                  <c:v>1503400</c:v>
                </c:pt>
                <c:pt idx="166">
                  <c:v>1504500</c:v>
                </c:pt>
                <c:pt idx="167">
                  <c:v>1506700</c:v>
                </c:pt>
                <c:pt idx="168">
                  <c:v>1517700</c:v>
                </c:pt>
                <c:pt idx="169">
                  <c:v>1520200</c:v>
                </c:pt>
                <c:pt idx="170">
                  <c:v>1523000</c:v>
                </c:pt>
                <c:pt idx="171">
                  <c:v>1526800</c:v>
                </c:pt>
                <c:pt idx="172">
                  <c:v>1532100</c:v>
                </c:pt>
                <c:pt idx="173">
                  <c:v>1535400</c:v>
                </c:pt>
                <c:pt idx="174">
                  <c:v>1539400</c:v>
                </c:pt>
                <c:pt idx="175">
                  <c:v>1540600</c:v>
                </c:pt>
                <c:pt idx="176">
                  <c:v>1535000</c:v>
                </c:pt>
                <c:pt idx="177">
                  <c:v>1550000</c:v>
                </c:pt>
                <c:pt idx="178">
                  <c:v>1558800</c:v>
                </c:pt>
                <c:pt idx="179">
                  <c:v>1564600</c:v>
                </c:pt>
                <c:pt idx="180">
                  <c:v>1569000</c:v>
                </c:pt>
                <c:pt idx="181">
                  <c:v>1575000</c:v>
                </c:pt>
                <c:pt idx="182">
                  <c:v>1577800</c:v>
                </c:pt>
                <c:pt idx="183">
                  <c:v>1587800</c:v>
                </c:pt>
                <c:pt idx="184">
                  <c:v>1595300</c:v>
                </c:pt>
                <c:pt idx="185">
                  <c:v>1597900</c:v>
                </c:pt>
                <c:pt idx="186">
                  <c:v>1607800</c:v>
                </c:pt>
                <c:pt idx="187">
                  <c:v>1611300</c:v>
                </c:pt>
                <c:pt idx="188">
                  <c:v>1615900</c:v>
                </c:pt>
                <c:pt idx="189">
                  <c:v>1616700</c:v>
                </c:pt>
                <c:pt idx="190">
                  <c:v>1611900</c:v>
                </c:pt>
                <c:pt idx="191">
                  <c:v>1618500</c:v>
                </c:pt>
                <c:pt idx="192">
                  <c:v>1621400</c:v>
                </c:pt>
                <c:pt idx="193">
                  <c:v>1624800</c:v>
                </c:pt>
                <c:pt idx="194">
                  <c:v>1629400</c:v>
                </c:pt>
                <c:pt idx="195">
                  <c:v>1631300</c:v>
                </c:pt>
                <c:pt idx="196">
                  <c:v>1631200</c:v>
                </c:pt>
                <c:pt idx="197">
                  <c:v>1633100</c:v>
                </c:pt>
                <c:pt idx="198">
                  <c:v>1632800</c:v>
                </c:pt>
                <c:pt idx="199">
                  <c:v>1634600</c:v>
                </c:pt>
                <c:pt idx="200">
                  <c:v>1635000</c:v>
                </c:pt>
                <c:pt idx="201">
                  <c:v>1635800</c:v>
                </c:pt>
                <c:pt idx="202">
                  <c:v>1636600</c:v>
                </c:pt>
                <c:pt idx="203">
                  <c:v>1640100</c:v>
                </c:pt>
                <c:pt idx="204">
                  <c:v>1642800</c:v>
                </c:pt>
                <c:pt idx="205">
                  <c:v>1643000</c:v>
                </c:pt>
                <c:pt idx="206">
                  <c:v>1645000</c:v>
                </c:pt>
                <c:pt idx="207">
                  <c:v>1646200</c:v>
                </c:pt>
                <c:pt idx="208">
                  <c:v>1647600</c:v>
                </c:pt>
                <c:pt idx="209">
                  <c:v>1645900</c:v>
                </c:pt>
                <c:pt idx="210">
                  <c:v>1641900</c:v>
                </c:pt>
                <c:pt idx="211">
                  <c:v>1639600</c:v>
                </c:pt>
                <c:pt idx="212">
                  <c:v>1639000</c:v>
                </c:pt>
                <c:pt idx="213">
                  <c:v>1637300</c:v>
                </c:pt>
                <c:pt idx="214">
                  <c:v>1640400</c:v>
                </c:pt>
                <c:pt idx="215">
                  <c:v>1636500</c:v>
                </c:pt>
                <c:pt idx="216">
                  <c:v>1635300</c:v>
                </c:pt>
                <c:pt idx="217">
                  <c:v>1633800</c:v>
                </c:pt>
                <c:pt idx="218">
                  <c:v>1628300</c:v>
                </c:pt>
                <c:pt idx="219">
                  <c:v>1617100</c:v>
                </c:pt>
                <c:pt idx="220">
                  <c:v>1609700</c:v>
                </c:pt>
                <c:pt idx="221">
                  <c:v>1602700</c:v>
                </c:pt>
                <c:pt idx="222">
                  <c:v>1596000</c:v>
                </c:pt>
                <c:pt idx="223">
                  <c:v>1588900</c:v>
                </c:pt>
                <c:pt idx="224">
                  <c:v>1579500</c:v>
                </c:pt>
                <c:pt idx="225">
                  <c:v>1567400</c:v>
                </c:pt>
                <c:pt idx="226">
                  <c:v>1554300</c:v>
                </c:pt>
                <c:pt idx="227">
                  <c:v>1544600</c:v>
                </c:pt>
                <c:pt idx="228">
                  <c:v>1529600</c:v>
                </c:pt>
                <c:pt idx="229">
                  <c:v>1518300</c:v>
                </c:pt>
                <c:pt idx="230">
                  <c:v>1506700</c:v>
                </c:pt>
                <c:pt idx="231">
                  <c:v>1491500</c:v>
                </c:pt>
                <c:pt idx="232">
                  <c:v>1489300</c:v>
                </c:pt>
                <c:pt idx="233">
                  <c:v>1484700</c:v>
                </c:pt>
                <c:pt idx="234">
                  <c:v>1477200</c:v>
                </c:pt>
                <c:pt idx="235">
                  <c:v>1473600</c:v>
                </c:pt>
                <c:pt idx="236">
                  <c:v>1470300</c:v>
                </c:pt>
                <c:pt idx="237">
                  <c:v>1467100</c:v>
                </c:pt>
                <c:pt idx="238">
                  <c:v>1466900</c:v>
                </c:pt>
                <c:pt idx="239">
                  <c:v>1463000</c:v>
                </c:pt>
                <c:pt idx="240">
                  <c:v>1466700</c:v>
                </c:pt>
                <c:pt idx="241">
                  <c:v>1466400</c:v>
                </c:pt>
                <c:pt idx="242">
                  <c:v>1469200</c:v>
                </c:pt>
                <c:pt idx="243">
                  <c:v>1470500</c:v>
                </c:pt>
                <c:pt idx="244">
                  <c:v>1473500</c:v>
                </c:pt>
                <c:pt idx="245">
                  <c:v>1475600</c:v>
                </c:pt>
                <c:pt idx="246">
                  <c:v>1476300</c:v>
                </c:pt>
                <c:pt idx="247">
                  <c:v>1476400</c:v>
                </c:pt>
                <c:pt idx="248">
                  <c:v>1473400</c:v>
                </c:pt>
                <c:pt idx="249">
                  <c:v>1480900</c:v>
                </c:pt>
                <c:pt idx="250">
                  <c:v>1481800</c:v>
                </c:pt>
                <c:pt idx="251">
                  <c:v>1484800</c:v>
                </c:pt>
                <c:pt idx="252">
                  <c:v>1484900</c:v>
                </c:pt>
                <c:pt idx="253">
                  <c:v>1486300</c:v>
                </c:pt>
                <c:pt idx="254">
                  <c:v>1489600</c:v>
                </c:pt>
                <c:pt idx="255">
                  <c:v>1498400</c:v>
                </c:pt>
                <c:pt idx="256">
                  <c:v>1497200</c:v>
                </c:pt>
                <c:pt idx="257">
                  <c:v>1499600</c:v>
                </c:pt>
                <c:pt idx="258">
                  <c:v>1506400</c:v>
                </c:pt>
                <c:pt idx="259">
                  <c:v>1509200</c:v>
                </c:pt>
                <c:pt idx="260">
                  <c:v>1514500</c:v>
                </c:pt>
                <c:pt idx="261">
                  <c:v>1513900</c:v>
                </c:pt>
                <c:pt idx="262">
                  <c:v>1516900</c:v>
                </c:pt>
                <c:pt idx="263">
                  <c:v>1518300</c:v>
                </c:pt>
                <c:pt idx="264">
                  <c:v>1523100</c:v>
                </c:pt>
                <c:pt idx="265">
                  <c:v>1525600</c:v>
                </c:pt>
                <c:pt idx="266">
                  <c:v>1529600</c:v>
                </c:pt>
                <c:pt idx="267">
                  <c:v>1532900</c:v>
                </c:pt>
                <c:pt idx="268">
                  <c:v>1535400</c:v>
                </c:pt>
                <c:pt idx="269">
                  <c:v>1537800</c:v>
                </c:pt>
                <c:pt idx="270">
                  <c:v>1537300</c:v>
                </c:pt>
                <c:pt idx="271">
                  <c:v>1538600</c:v>
                </c:pt>
                <c:pt idx="272">
                  <c:v>1541400</c:v>
                </c:pt>
                <c:pt idx="273">
                  <c:v>1544600</c:v>
                </c:pt>
                <c:pt idx="274">
                  <c:v>1546100</c:v>
                </c:pt>
                <c:pt idx="275">
                  <c:v>1547200</c:v>
                </c:pt>
                <c:pt idx="276">
                  <c:v>1550800</c:v>
                </c:pt>
                <c:pt idx="277">
                  <c:v>1555500</c:v>
                </c:pt>
                <c:pt idx="278">
                  <c:v>1558000</c:v>
                </c:pt>
                <c:pt idx="279">
                  <c:v>1561700</c:v>
                </c:pt>
                <c:pt idx="280">
                  <c:v>1564700</c:v>
                </c:pt>
                <c:pt idx="281">
                  <c:v>1570800</c:v>
                </c:pt>
                <c:pt idx="282">
                  <c:v>1575000</c:v>
                </c:pt>
                <c:pt idx="283">
                  <c:v>1579000</c:v>
                </c:pt>
                <c:pt idx="284">
                  <c:v>1581200</c:v>
                </c:pt>
                <c:pt idx="285">
                  <c:v>1587400</c:v>
                </c:pt>
                <c:pt idx="286">
                  <c:v>1590400</c:v>
                </c:pt>
                <c:pt idx="287">
                  <c:v>1597100</c:v>
                </c:pt>
                <c:pt idx="288">
                  <c:v>1598600</c:v>
                </c:pt>
                <c:pt idx="289">
                  <c:v>1603900</c:v>
                </c:pt>
                <c:pt idx="290">
                  <c:v>1608100</c:v>
                </c:pt>
                <c:pt idx="291">
                  <c:v>1615600</c:v>
                </c:pt>
                <c:pt idx="292">
                  <c:v>1617100</c:v>
                </c:pt>
                <c:pt idx="293">
                  <c:v>1619900</c:v>
                </c:pt>
                <c:pt idx="294">
                  <c:v>1624300</c:v>
                </c:pt>
                <c:pt idx="295">
                  <c:v>1631400</c:v>
                </c:pt>
                <c:pt idx="296">
                  <c:v>1636000</c:v>
                </c:pt>
                <c:pt idx="297">
                  <c:v>1641900</c:v>
                </c:pt>
                <c:pt idx="298">
                  <c:v>1650600</c:v>
                </c:pt>
                <c:pt idx="299">
                  <c:v>1656500</c:v>
                </c:pt>
                <c:pt idx="300">
                  <c:v>1662600</c:v>
                </c:pt>
                <c:pt idx="301">
                  <c:v>1664900</c:v>
                </c:pt>
                <c:pt idx="302">
                  <c:v>1668800</c:v>
                </c:pt>
                <c:pt idx="303">
                  <c:v>1671000</c:v>
                </c:pt>
                <c:pt idx="304">
                  <c:v>1675300</c:v>
                </c:pt>
                <c:pt idx="305">
                  <c:v>1682800</c:v>
                </c:pt>
                <c:pt idx="306">
                  <c:v>1686600</c:v>
                </c:pt>
                <c:pt idx="307">
                  <c:v>1691500</c:v>
                </c:pt>
                <c:pt idx="308">
                  <c:v>1691000</c:v>
                </c:pt>
                <c:pt idx="309">
                  <c:v>1695700</c:v>
                </c:pt>
                <c:pt idx="310">
                  <c:v>1699200</c:v>
                </c:pt>
                <c:pt idx="311">
                  <c:v>1702300</c:v>
                </c:pt>
                <c:pt idx="312">
                  <c:v>1701600</c:v>
                </c:pt>
                <c:pt idx="313">
                  <c:v>1704400</c:v>
                </c:pt>
                <c:pt idx="314">
                  <c:v>1707400</c:v>
                </c:pt>
                <c:pt idx="315">
                  <c:v>1712100</c:v>
                </c:pt>
                <c:pt idx="316">
                  <c:v>1716300</c:v>
                </c:pt>
                <c:pt idx="317">
                  <c:v>1718000</c:v>
                </c:pt>
                <c:pt idx="318">
                  <c:v>1725900</c:v>
                </c:pt>
                <c:pt idx="319">
                  <c:v>1729000</c:v>
                </c:pt>
                <c:pt idx="320">
                  <c:v>1736100</c:v>
                </c:pt>
                <c:pt idx="321">
                  <c:v>1727100</c:v>
                </c:pt>
                <c:pt idx="322">
                  <c:v>1734100</c:v>
                </c:pt>
                <c:pt idx="323">
                  <c:v>1737800</c:v>
                </c:pt>
                <c:pt idx="324">
                  <c:v>1746500</c:v>
                </c:pt>
                <c:pt idx="325">
                  <c:v>1746900</c:v>
                </c:pt>
                <c:pt idx="326">
                  <c:v>1745600</c:v>
                </c:pt>
                <c:pt idx="327">
                  <c:v>1744600</c:v>
                </c:pt>
                <c:pt idx="328">
                  <c:v>1748700</c:v>
                </c:pt>
                <c:pt idx="329">
                  <c:v>1753600</c:v>
                </c:pt>
                <c:pt idx="330">
                  <c:v>1757000</c:v>
                </c:pt>
                <c:pt idx="331">
                  <c:v>1761300</c:v>
                </c:pt>
                <c:pt idx="332">
                  <c:v>1751400</c:v>
                </c:pt>
                <c:pt idx="333">
                  <c:v>1762100</c:v>
                </c:pt>
                <c:pt idx="334">
                  <c:v>1767600</c:v>
                </c:pt>
              </c:numCache>
            </c:numRef>
          </c:val>
          <c:smooth val="0"/>
          <c:extLst>
            <c:ext xmlns:c16="http://schemas.microsoft.com/office/drawing/2014/chart" uri="{C3380CC4-5D6E-409C-BE32-E72D297353CC}">
              <c16:uniqueId val="{00000000-4A53-4A13-ABAA-41C13F6737F2}"/>
            </c:ext>
          </c:extLst>
        </c:ser>
        <c:dLbls>
          <c:showLegendKey val="0"/>
          <c:showVal val="0"/>
          <c:showCatName val="0"/>
          <c:showSerName val="0"/>
          <c:showPercent val="0"/>
          <c:showBubbleSize val="0"/>
        </c:dLbls>
        <c:smooth val="0"/>
        <c:axId val="277303680"/>
        <c:axId val="277304072"/>
      </c:lineChart>
      <c:dateAx>
        <c:axId val="277303680"/>
        <c:scaling>
          <c:orientation val="minMax"/>
        </c:scaling>
        <c:delete val="0"/>
        <c:axPos val="b"/>
        <c:numFmt formatCode="mmm\-yy"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77304072"/>
        <c:crosses val="autoZero"/>
        <c:auto val="1"/>
        <c:lblOffset val="100"/>
        <c:baseTimeUnit val="months"/>
        <c:majorUnit val="11"/>
        <c:majorTimeUnit val="months"/>
      </c:dateAx>
      <c:valAx>
        <c:axId val="277304072"/>
        <c:scaling>
          <c:orientation val="minMax"/>
          <c:min val="1180000"/>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77303680"/>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spPr>
            <a:ln w="28575" cap="rnd">
              <a:solidFill>
                <a:srgbClr val="003F5C"/>
              </a:solidFill>
              <a:round/>
            </a:ln>
            <a:effectLst/>
          </c:spPr>
          <c:marker>
            <c:symbol val="none"/>
          </c:marker>
          <c:cat>
            <c:numRef>
              <c:f>Information!$A$2:$A$336</c:f>
              <c:numCache>
                <c:formatCode>mmm\-yy</c:formatCode>
                <c:ptCount val="335"/>
                <c:pt idx="0">
                  <c:v>32874</c:v>
                </c:pt>
                <c:pt idx="1">
                  <c:v>32905</c:v>
                </c:pt>
                <c:pt idx="2">
                  <c:v>32933</c:v>
                </c:pt>
                <c:pt idx="3">
                  <c:v>32964</c:v>
                </c:pt>
                <c:pt idx="4">
                  <c:v>32994</c:v>
                </c:pt>
                <c:pt idx="5">
                  <c:v>33025</c:v>
                </c:pt>
                <c:pt idx="6">
                  <c:v>33055</c:v>
                </c:pt>
                <c:pt idx="7">
                  <c:v>33086</c:v>
                </c:pt>
                <c:pt idx="8">
                  <c:v>33117</c:v>
                </c:pt>
                <c:pt idx="9">
                  <c:v>33147</c:v>
                </c:pt>
                <c:pt idx="10">
                  <c:v>33178</c:v>
                </c:pt>
                <c:pt idx="11">
                  <c:v>33208</c:v>
                </c:pt>
                <c:pt idx="12">
                  <c:v>33239</c:v>
                </c:pt>
                <c:pt idx="13">
                  <c:v>33270</c:v>
                </c:pt>
                <c:pt idx="14">
                  <c:v>33298</c:v>
                </c:pt>
                <c:pt idx="15">
                  <c:v>33329</c:v>
                </c:pt>
                <c:pt idx="16">
                  <c:v>33359</c:v>
                </c:pt>
                <c:pt idx="17">
                  <c:v>33390</c:v>
                </c:pt>
                <c:pt idx="18">
                  <c:v>33420</c:v>
                </c:pt>
                <c:pt idx="19">
                  <c:v>33451</c:v>
                </c:pt>
                <c:pt idx="20">
                  <c:v>33482</c:v>
                </c:pt>
                <c:pt idx="21">
                  <c:v>33512</c:v>
                </c:pt>
                <c:pt idx="22">
                  <c:v>33543</c:v>
                </c:pt>
                <c:pt idx="23">
                  <c:v>33573</c:v>
                </c:pt>
                <c:pt idx="24">
                  <c:v>33604</c:v>
                </c:pt>
                <c:pt idx="25">
                  <c:v>33635</c:v>
                </c:pt>
                <c:pt idx="26">
                  <c:v>33664</c:v>
                </c:pt>
                <c:pt idx="27">
                  <c:v>33695</c:v>
                </c:pt>
                <c:pt idx="28">
                  <c:v>33725</c:v>
                </c:pt>
                <c:pt idx="29">
                  <c:v>33756</c:v>
                </c:pt>
                <c:pt idx="30">
                  <c:v>33786</c:v>
                </c:pt>
                <c:pt idx="31">
                  <c:v>33817</c:v>
                </c:pt>
                <c:pt idx="32">
                  <c:v>33848</c:v>
                </c:pt>
                <c:pt idx="33">
                  <c:v>33878</c:v>
                </c:pt>
                <c:pt idx="34">
                  <c:v>33909</c:v>
                </c:pt>
                <c:pt idx="35">
                  <c:v>33939</c:v>
                </c:pt>
                <c:pt idx="36">
                  <c:v>33970</c:v>
                </c:pt>
                <c:pt idx="37">
                  <c:v>34001</c:v>
                </c:pt>
                <c:pt idx="38">
                  <c:v>34029</c:v>
                </c:pt>
                <c:pt idx="39">
                  <c:v>34060</c:v>
                </c:pt>
                <c:pt idx="40">
                  <c:v>34090</c:v>
                </c:pt>
                <c:pt idx="41">
                  <c:v>34121</c:v>
                </c:pt>
                <c:pt idx="42">
                  <c:v>34151</c:v>
                </c:pt>
                <c:pt idx="43">
                  <c:v>34182</c:v>
                </c:pt>
                <c:pt idx="44">
                  <c:v>34213</c:v>
                </c:pt>
                <c:pt idx="45">
                  <c:v>34243</c:v>
                </c:pt>
                <c:pt idx="46">
                  <c:v>34274</c:v>
                </c:pt>
                <c:pt idx="47">
                  <c:v>34304</c:v>
                </c:pt>
                <c:pt idx="48">
                  <c:v>34335</c:v>
                </c:pt>
                <c:pt idx="49">
                  <c:v>34366</c:v>
                </c:pt>
                <c:pt idx="50">
                  <c:v>34394</c:v>
                </c:pt>
                <c:pt idx="51">
                  <c:v>34425</c:v>
                </c:pt>
                <c:pt idx="52">
                  <c:v>34455</c:v>
                </c:pt>
                <c:pt idx="53">
                  <c:v>34486</c:v>
                </c:pt>
                <c:pt idx="54">
                  <c:v>34516</c:v>
                </c:pt>
                <c:pt idx="55">
                  <c:v>34547</c:v>
                </c:pt>
                <c:pt idx="56">
                  <c:v>34578</c:v>
                </c:pt>
                <c:pt idx="57">
                  <c:v>34608</c:v>
                </c:pt>
                <c:pt idx="58">
                  <c:v>34639</c:v>
                </c:pt>
                <c:pt idx="59">
                  <c:v>34669</c:v>
                </c:pt>
                <c:pt idx="60">
                  <c:v>34700</c:v>
                </c:pt>
                <c:pt idx="61">
                  <c:v>34731</c:v>
                </c:pt>
                <c:pt idx="62">
                  <c:v>34759</c:v>
                </c:pt>
                <c:pt idx="63">
                  <c:v>34790</c:v>
                </c:pt>
                <c:pt idx="64">
                  <c:v>34820</c:v>
                </c:pt>
                <c:pt idx="65">
                  <c:v>34851</c:v>
                </c:pt>
                <c:pt idx="66">
                  <c:v>34881</c:v>
                </c:pt>
                <c:pt idx="67">
                  <c:v>34912</c:v>
                </c:pt>
                <c:pt idx="68">
                  <c:v>34943</c:v>
                </c:pt>
                <c:pt idx="69">
                  <c:v>34973</c:v>
                </c:pt>
                <c:pt idx="70">
                  <c:v>35004</c:v>
                </c:pt>
                <c:pt idx="71">
                  <c:v>35034</c:v>
                </c:pt>
                <c:pt idx="72">
                  <c:v>35065</c:v>
                </c:pt>
                <c:pt idx="73">
                  <c:v>35096</c:v>
                </c:pt>
                <c:pt idx="74">
                  <c:v>35125</c:v>
                </c:pt>
                <c:pt idx="75">
                  <c:v>35156</c:v>
                </c:pt>
                <c:pt idx="76">
                  <c:v>35186</c:v>
                </c:pt>
                <c:pt idx="77">
                  <c:v>35217</c:v>
                </c:pt>
                <c:pt idx="78">
                  <c:v>35247</c:v>
                </c:pt>
                <c:pt idx="79">
                  <c:v>35278</c:v>
                </c:pt>
                <c:pt idx="80">
                  <c:v>35309</c:v>
                </c:pt>
                <c:pt idx="81">
                  <c:v>35339</c:v>
                </c:pt>
                <c:pt idx="82">
                  <c:v>35370</c:v>
                </c:pt>
                <c:pt idx="83">
                  <c:v>35400</c:v>
                </c:pt>
                <c:pt idx="84">
                  <c:v>35431</c:v>
                </c:pt>
                <c:pt idx="85">
                  <c:v>35462</c:v>
                </c:pt>
                <c:pt idx="86">
                  <c:v>35490</c:v>
                </c:pt>
                <c:pt idx="87">
                  <c:v>35521</c:v>
                </c:pt>
                <c:pt idx="88">
                  <c:v>35551</c:v>
                </c:pt>
                <c:pt idx="89">
                  <c:v>35582</c:v>
                </c:pt>
                <c:pt idx="90">
                  <c:v>35612</c:v>
                </c:pt>
                <c:pt idx="91">
                  <c:v>35643</c:v>
                </c:pt>
                <c:pt idx="92">
                  <c:v>35674</c:v>
                </c:pt>
                <c:pt idx="93">
                  <c:v>35704</c:v>
                </c:pt>
                <c:pt idx="94">
                  <c:v>35735</c:v>
                </c:pt>
                <c:pt idx="95">
                  <c:v>35765</c:v>
                </c:pt>
                <c:pt idx="96">
                  <c:v>35796</c:v>
                </c:pt>
                <c:pt idx="97">
                  <c:v>35827</c:v>
                </c:pt>
                <c:pt idx="98">
                  <c:v>35855</c:v>
                </c:pt>
                <c:pt idx="99">
                  <c:v>35886</c:v>
                </c:pt>
                <c:pt idx="100">
                  <c:v>35916</c:v>
                </c:pt>
                <c:pt idx="101">
                  <c:v>35947</c:v>
                </c:pt>
                <c:pt idx="102">
                  <c:v>35977</c:v>
                </c:pt>
                <c:pt idx="103">
                  <c:v>36008</c:v>
                </c:pt>
                <c:pt idx="104">
                  <c:v>36039</c:v>
                </c:pt>
                <c:pt idx="105">
                  <c:v>36069</c:v>
                </c:pt>
                <c:pt idx="106">
                  <c:v>36100</c:v>
                </c:pt>
                <c:pt idx="107">
                  <c:v>36130</c:v>
                </c:pt>
                <c:pt idx="108">
                  <c:v>36161</c:v>
                </c:pt>
                <c:pt idx="109">
                  <c:v>36192</c:v>
                </c:pt>
                <c:pt idx="110">
                  <c:v>36220</c:v>
                </c:pt>
                <c:pt idx="111">
                  <c:v>36251</c:v>
                </c:pt>
                <c:pt idx="112">
                  <c:v>36281</c:v>
                </c:pt>
                <c:pt idx="113">
                  <c:v>36312</c:v>
                </c:pt>
                <c:pt idx="114">
                  <c:v>36342</c:v>
                </c:pt>
                <c:pt idx="115">
                  <c:v>36373</c:v>
                </c:pt>
                <c:pt idx="116">
                  <c:v>36404</c:v>
                </c:pt>
                <c:pt idx="117">
                  <c:v>36434</c:v>
                </c:pt>
                <c:pt idx="118">
                  <c:v>36465</c:v>
                </c:pt>
                <c:pt idx="119">
                  <c:v>36495</c:v>
                </c:pt>
                <c:pt idx="120">
                  <c:v>36526</c:v>
                </c:pt>
                <c:pt idx="121">
                  <c:v>36557</c:v>
                </c:pt>
                <c:pt idx="122">
                  <c:v>36586</c:v>
                </c:pt>
                <c:pt idx="123">
                  <c:v>36617</c:v>
                </c:pt>
                <c:pt idx="124">
                  <c:v>36647</c:v>
                </c:pt>
                <c:pt idx="125">
                  <c:v>36678</c:v>
                </c:pt>
                <c:pt idx="126">
                  <c:v>36708</c:v>
                </c:pt>
                <c:pt idx="127">
                  <c:v>36739</c:v>
                </c:pt>
                <c:pt idx="128">
                  <c:v>36770</c:v>
                </c:pt>
                <c:pt idx="129">
                  <c:v>36800</c:v>
                </c:pt>
                <c:pt idx="130">
                  <c:v>36831</c:v>
                </c:pt>
                <c:pt idx="131">
                  <c:v>36861</c:v>
                </c:pt>
                <c:pt idx="132">
                  <c:v>36892</c:v>
                </c:pt>
                <c:pt idx="133">
                  <c:v>36923</c:v>
                </c:pt>
                <c:pt idx="134">
                  <c:v>36951</c:v>
                </c:pt>
                <c:pt idx="135">
                  <c:v>36982</c:v>
                </c:pt>
                <c:pt idx="136">
                  <c:v>37012</c:v>
                </c:pt>
                <c:pt idx="137">
                  <c:v>37043</c:v>
                </c:pt>
                <c:pt idx="138">
                  <c:v>37073</c:v>
                </c:pt>
                <c:pt idx="139">
                  <c:v>37104</c:v>
                </c:pt>
                <c:pt idx="140">
                  <c:v>37135</c:v>
                </c:pt>
                <c:pt idx="141">
                  <c:v>37165</c:v>
                </c:pt>
                <c:pt idx="142">
                  <c:v>37196</c:v>
                </c:pt>
                <c:pt idx="143">
                  <c:v>37226</c:v>
                </c:pt>
                <c:pt idx="144">
                  <c:v>37257</c:v>
                </c:pt>
                <c:pt idx="145">
                  <c:v>37288</c:v>
                </c:pt>
                <c:pt idx="146">
                  <c:v>37316</c:v>
                </c:pt>
                <c:pt idx="147">
                  <c:v>37347</c:v>
                </c:pt>
                <c:pt idx="148">
                  <c:v>37377</c:v>
                </c:pt>
                <c:pt idx="149">
                  <c:v>37408</c:v>
                </c:pt>
                <c:pt idx="150">
                  <c:v>37438</c:v>
                </c:pt>
                <c:pt idx="151">
                  <c:v>37469</c:v>
                </c:pt>
                <c:pt idx="152">
                  <c:v>37500</c:v>
                </c:pt>
                <c:pt idx="153">
                  <c:v>37530</c:v>
                </c:pt>
                <c:pt idx="154">
                  <c:v>37561</c:v>
                </c:pt>
                <c:pt idx="155">
                  <c:v>37591</c:v>
                </c:pt>
                <c:pt idx="156">
                  <c:v>37622</c:v>
                </c:pt>
                <c:pt idx="157">
                  <c:v>37653</c:v>
                </c:pt>
                <c:pt idx="158">
                  <c:v>37681</c:v>
                </c:pt>
                <c:pt idx="159">
                  <c:v>37712</c:v>
                </c:pt>
                <c:pt idx="160">
                  <c:v>37742</c:v>
                </c:pt>
                <c:pt idx="161">
                  <c:v>37773</c:v>
                </c:pt>
                <c:pt idx="162">
                  <c:v>37803</c:v>
                </c:pt>
                <c:pt idx="163">
                  <c:v>37834</c:v>
                </c:pt>
                <c:pt idx="164">
                  <c:v>37865</c:v>
                </c:pt>
                <c:pt idx="165">
                  <c:v>37895</c:v>
                </c:pt>
                <c:pt idx="166">
                  <c:v>37926</c:v>
                </c:pt>
                <c:pt idx="167">
                  <c:v>37956</c:v>
                </c:pt>
                <c:pt idx="168">
                  <c:v>37987</c:v>
                </c:pt>
                <c:pt idx="169">
                  <c:v>38018</c:v>
                </c:pt>
                <c:pt idx="170">
                  <c:v>38047</c:v>
                </c:pt>
                <c:pt idx="171">
                  <c:v>38078</c:v>
                </c:pt>
                <c:pt idx="172">
                  <c:v>38108</c:v>
                </c:pt>
                <c:pt idx="173">
                  <c:v>38139</c:v>
                </c:pt>
                <c:pt idx="174">
                  <c:v>38169</c:v>
                </c:pt>
                <c:pt idx="175">
                  <c:v>38200</c:v>
                </c:pt>
                <c:pt idx="176">
                  <c:v>38231</c:v>
                </c:pt>
                <c:pt idx="177">
                  <c:v>38261</c:v>
                </c:pt>
                <c:pt idx="178">
                  <c:v>38292</c:v>
                </c:pt>
                <c:pt idx="179">
                  <c:v>38322</c:v>
                </c:pt>
                <c:pt idx="180">
                  <c:v>38353</c:v>
                </c:pt>
                <c:pt idx="181">
                  <c:v>38384</c:v>
                </c:pt>
                <c:pt idx="182">
                  <c:v>38412</c:v>
                </c:pt>
                <c:pt idx="183">
                  <c:v>38443</c:v>
                </c:pt>
                <c:pt idx="184">
                  <c:v>38473</c:v>
                </c:pt>
                <c:pt idx="185">
                  <c:v>38504</c:v>
                </c:pt>
                <c:pt idx="186">
                  <c:v>38534</c:v>
                </c:pt>
                <c:pt idx="187">
                  <c:v>38565</c:v>
                </c:pt>
                <c:pt idx="188">
                  <c:v>38596</c:v>
                </c:pt>
                <c:pt idx="189">
                  <c:v>38626</c:v>
                </c:pt>
                <c:pt idx="190">
                  <c:v>38657</c:v>
                </c:pt>
                <c:pt idx="191">
                  <c:v>38687</c:v>
                </c:pt>
                <c:pt idx="192">
                  <c:v>38718</c:v>
                </c:pt>
                <c:pt idx="193">
                  <c:v>38749</c:v>
                </c:pt>
                <c:pt idx="194">
                  <c:v>38777</c:v>
                </c:pt>
                <c:pt idx="195">
                  <c:v>38808</c:v>
                </c:pt>
                <c:pt idx="196">
                  <c:v>38838</c:v>
                </c:pt>
                <c:pt idx="197">
                  <c:v>38869</c:v>
                </c:pt>
                <c:pt idx="198">
                  <c:v>38899</c:v>
                </c:pt>
                <c:pt idx="199">
                  <c:v>38930</c:v>
                </c:pt>
                <c:pt idx="200">
                  <c:v>38961</c:v>
                </c:pt>
                <c:pt idx="201">
                  <c:v>38991</c:v>
                </c:pt>
                <c:pt idx="202">
                  <c:v>39022</c:v>
                </c:pt>
                <c:pt idx="203">
                  <c:v>39052</c:v>
                </c:pt>
                <c:pt idx="204">
                  <c:v>39083</c:v>
                </c:pt>
                <c:pt idx="205">
                  <c:v>39114</c:v>
                </c:pt>
                <c:pt idx="206">
                  <c:v>39142</c:v>
                </c:pt>
                <c:pt idx="207">
                  <c:v>39173</c:v>
                </c:pt>
                <c:pt idx="208">
                  <c:v>39203</c:v>
                </c:pt>
                <c:pt idx="209">
                  <c:v>39234</c:v>
                </c:pt>
                <c:pt idx="210">
                  <c:v>39264</c:v>
                </c:pt>
                <c:pt idx="211">
                  <c:v>39295</c:v>
                </c:pt>
                <c:pt idx="212">
                  <c:v>39326</c:v>
                </c:pt>
                <c:pt idx="213">
                  <c:v>39356</c:v>
                </c:pt>
                <c:pt idx="214">
                  <c:v>39387</c:v>
                </c:pt>
                <c:pt idx="215">
                  <c:v>39417</c:v>
                </c:pt>
                <c:pt idx="216">
                  <c:v>39448</c:v>
                </c:pt>
                <c:pt idx="217">
                  <c:v>39479</c:v>
                </c:pt>
                <c:pt idx="218">
                  <c:v>39508</c:v>
                </c:pt>
                <c:pt idx="219">
                  <c:v>39539</c:v>
                </c:pt>
                <c:pt idx="220">
                  <c:v>39569</c:v>
                </c:pt>
                <c:pt idx="221">
                  <c:v>39600</c:v>
                </c:pt>
                <c:pt idx="222">
                  <c:v>39630</c:v>
                </c:pt>
                <c:pt idx="223">
                  <c:v>39661</c:v>
                </c:pt>
                <c:pt idx="224">
                  <c:v>39692</c:v>
                </c:pt>
                <c:pt idx="225">
                  <c:v>39722</c:v>
                </c:pt>
                <c:pt idx="226">
                  <c:v>39753</c:v>
                </c:pt>
                <c:pt idx="227">
                  <c:v>39783</c:v>
                </c:pt>
                <c:pt idx="228">
                  <c:v>39814</c:v>
                </c:pt>
                <c:pt idx="229">
                  <c:v>39845</c:v>
                </c:pt>
                <c:pt idx="230">
                  <c:v>39873</c:v>
                </c:pt>
                <c:pt idx="231">
                  <c:v>39904</c:v>
                </c:pt>
                <c:pt idx="232">
                  <c:v>39934</c:v>
                </c:pt>
                <c:pt idx="233">
                  <c:v>39965</c:v>
                </c:pt>
                <c:pt idx="234">
                  <c:v>39995</c:v>
                </c:pt>
                <c:pt idx="235">
                  <c:v>40026</c:v>
                </c:pt>
                <c:pt idx="236">
                  <c:v>40057</c:v>
                </c:pt>
                <c:pt idx="237">
                  <c:v>40087</c:v>
                </c:pt>
                <c:pt idx="238">
                  <c:v>40118</c:v>
                </c:pt>
                <c:pt idx="239">
                  <c:v>40148</c:v>
                </c:pt>
                <c:pt idx="240">
                  <c:v>40179</c:v>
                </c:pt>
                <c:pt idx="241">
                  <c:v>40210</c:v>
                </c:pt>
                <c:pt idx="242">
                  <c:v>40238</c:v>
                </c:pt>
                <c:pt idx="243">
                  <c:v>40269</c:v>
                </c:pt>
                <c:pt idx="244">
                  <c:v>40299</c:v>
                </c:pt>
                <c:pt idx="245">
                  <c:v>40330</c:v>
                </c:pt>
                <c:pt idx="246">
                  <c:v>40360</c:v>
                </c:pt>
                <c:pt idx="247">
                  <c:v>40391</c:v>
                </c:pt>
                <c:pt idx="248">
                  <c:v>40422</c:v>
                </c:pt>
                <c:pt idx="249">
                  <c:v>40452</c:v>
                </c:pt>
                <c:pt idx="250">
                  <c:v>40483</c:v>
                </c:pt>
                <c:pt idx="251">
                  <c:v>40513</c:v>
                </c:pt>
                <c:pt idx="252">
                  <c:v>40544</c:v>
                </c:pt>
                <c:pt idx="253">
                  <c:v>40575</c:v>
                </c:pt>
                <c:pt idx="254">
                  <c:v>40603</c:v>
                </c:pt>
                <c:pt idx="255">
                  <c:v>40634</c:v>
                </c:pt>
                <c:pt idx="256">
                  <c:v>40664</c:v>
                </c:pt>
                <c:pt idx="257">
                  <c:v>40695</c:v>
                </c:pt>
                <c:pt idx="258">
                  <c:v>40725</c:v>
                </c:pt>
                <c:pt idx="259">
                  <c:v>40756</c:v>
                </c:pt>
                <c:pt idx="260">
                  <c:v>40787</c:v>
                </c:pt>
                <c:pt idx="261">
                  <c:v>40817</c:v>
                </c:pt>
                <c:pt idx="262">
                  <c:v>40848</c:v>
                </c:pt>
                <c:pt idx="263">
                  <c:v>40878</c:v>
                </c:pt>
                <c:pt idx="264">
                  <c:v>40909</c:v>
                </c:pt>
                <c:pt idx="265">
                  <c:v>40940</c:v>
                </c:pt>
                <c:pt idx="266">
                  <c:v>40969</c:v>
                </c:pt>
                <c:pt idx="267">
                  <c:v>41000</c:v>
                </c:pt>
                <c:pt idx="268">
                  <c:v>41030</c:v>
                </c:pt>
                <c:pt idx="269">
                  <c:v>41061</c:v>
                </c:pt>
                <c:pt idx="270">
                  <c:v>41091</c:v>
                </c:pt>
                <c:pt idx="271">
                  <c:v>41122</c:v>
                </c:pt>
                <c:pt idx="272">
                  <c:v>41153</c:v>
                </c:pt>
                <c:pt idx="273">
                  <c:v>41183</c:v>
                </c:pt>
                <c:pt idx="274">
                  <c:v>41214</c:v>
                </c:pt>
                <c:pt idx="275">
                  <c:v>41244</c:v>
                </c:pt>
                <c:pt idx="276">
                  <c:v>41275</c:v>
                </c:pt>
                <c:pt idx="277">
                  <c:v>41306</c:v>
                </c:pt>
                <c:pt idx="278">
                  <c:v>41334</c:v>
                </c:pt>
                <c:pt idx="279">
                  <c:v>41365</c:v>
                </c:pt>
                <c:pt idx="280">
                  <c:v>41395</c:v>
                </c:pt>
                <c:pt idx="281">
                  <c:v>41426</c:v>
                </c:pt>
                <c:pt idx="282">
                  <c:v>41456</c:v>
                </c:pt>
                <c:pt idx="283">
                  <c:v>41487</c:v>
                </c:pt>
                <c:pt idx="284">
                  <c:v>41518</c:v>
                </c:pt>
                <c:pt idx="285">
                  <c:v>41548</c:v>
                </c:pt>
                <c:pt idx="286">
                  <c:v>41579</c:v>
                </c:pt>
                <c:pt idx="287">
                  <c:v>41609</c:v>
                </c:pt>
                <c:pt idx="288">
                  <c:v>41640</c:v>
                </c:pt>
                <c:pt idx="289">
                  <c:v>41671</c:v>
                </c:pt>
                <c:pt idx="290">
                  <c:v>41699</c:v>
                </c:pt>
                <c:pt idx="291">
                  <c:v>41730</c:v>
                </c:pt>
                <c:pt idx="292">
                  <c:v>41760</c:v>
                </c:pt>
                <c:pt idx="293">
                  <c:v>41791</c:v>
                </c:pt>
                <c:pt idx="294">
                  <c:v>41821</c:v>
                </c:pt>
                <c:pt idx="295">
                  <c:v>41852</c:v>
                </c:pt>
                <c:pt idx="296">
                  <c:v>41883</c:v>
                </c:pt>
                <c:pt idx="297">
                  <c:v>41913</c:v>
                </c:pt>
                <c:pt idx="298">
                  <c:v>41944</c:v>
                </c:pt>
                <c:pt idx="299">
                  <c:v>41974</c:v>
                </c:pt>
                <c:pt idx="300">
                  <c:v>42005</c:v>
                </c:pt>
                <c:pt idx="301">
                  <c:v>42036</c:v>
                </c:pt>
                <c:pt idx="302">
                  <c:v>42064</c:v>
                </c:pt>
                <c:pt idx="303">
                  <c:v>42095</c:v>
                </c:pt>
                <c:pt idx="304">
                  <c:v>42125</c:v>
                </c:pt>
                <c:pt idx="305">
                  <c:v>42156</c:v>
                </c:pt>
                <c:pt idx="306">
                  <c:v>42186</c:v>
                </c:pt>
                <c:pt idx="307">
                  <c:v>42217</c:v>
                </c:pt>
                <c:pt idx="308">
                  <c:v>42248</c:v>
                </c:pt>
                <c:pt idx="309">
                  <c:v>42278</c:v>
                </c:pt>
                <c:pt idx="310">
                  <c:v>42309</c:v>
                </c:pt>
                <c:pt idx="311">
                  <c:v>42339</c:v>
                </c:pt>
                <c:pt idx="312">
                  <c:v>42370</c:v>
                </c:pt>
                <c:pt idx="313">
                  <c:v>42401</c:v>
                </c:pt>
                <c:pt idx="314">
                  <c:v>42430</c:v>
                </c:pt>
                <c:pt idx="315">
                  <c:v>42461</c:v>
                </c:pt>
                <c:pt idx="316">
                  <c:v>42491</c:v>
                </c:pt>
                <c:pt idx="317">
                  <c:v>42522</c:v>
                </c:pt>
                <c:pt idx="318">
                  <c:v>42552</c:v>
                </c:pt>
                <c:pt idx="319">
                  <c:v>42583</c:v>
                </c:pt>
                <c:pt idx="320">
                  <c:v>42614</c:v>
                </c:pt>
                <c:pt idx="321">
                  <c:v>42644</c:v>
                </c:pt>
                <c:pt idx="322">
                  <c:v>42675</c:v>
                </c:pt>
                <c:pt idx="323">
                  <c:v>42705</c:v>
                </c:pt>
                <c:pt idx="324">
                  <c:v>42736</c:v>
                </c:pt>
                <c:pt idx="325">
                  <c:v>42767</c:v>
                </c:pt>
                <c:pt idx="326">
                  <c:v>42795</c:v>
                </c:pt>
                <c:pt idx="327">
                  <c:v>42826</c:v>
                </c:pt>
                <c:pt idx="328">
                  <c:v>42856</c:v>
                </c:pt>
                <c:pt idx="329">
                  <c:v>42887</c:v>
                </c:pt>
                <c:pt idx="330">
                  <c:v>42917</c:v>
                </c:pt>
                <c:pt idx="331">
                  <c:v>42948</c:v>
                </c:pt>
                <c:pt idx="332">
                  <c:v>42979</c:v>
                </c:pt>
                <c:pt idx="333">
                  <c:v>43009</c:v>
                </c:pt>
                <c:pt idx="334">
                  <c:v>43040</c:v>
                </c:pt>
              </c:numCache>
            </c:numRef>
          </c:cat>
          <c:val>
            <c:numRef>
              <c:f>Information!$B$2:$B$336</c:f>
              <c:numCache>
                <c:formatCode>#,##0</c:formatCode>
                <c:ptCount val="335"/>
                <c:pt idx="0">
                  <c:v>128900</c:v>
                </c:pt>
                <c:pt idx="1">
                  <c:v>129100</c:v>
                </c:pt>
                <c:pt idx="2">
                  <c:v>128199.99999999999</c:v>
                </c:pt>
                <c:pt idx="3">
                  <c:v>129300.00000000001</c:v>
                </c:pt>
                <c:pt idx="4">
                  <c:v>129199.99999999999</c:v>
                </c:pt>
                <c:pt idx="5">
                  <c:v>129100</c:v>
                </c:pt>
                <c:pt idx="6">
                  <c:v>128300.00000000001</c:v>
                </c:pt>
                <c:pt idx="7">
                  <c:v>128300.00000000001</c:v>
                </c:pt>
                <c:pt idx="8">
                  <c:v>128199.99999999999</c:v>
                </c:pt>
                <c:pt idx="9">
                  <c:v>130199.99999999999</c:v>
                </c:pt>
                <c:pt idx="10">
                  <c:v>130199.99999999999</c:v>
                </c:pt>
                <c:pt idx="11">
                  <c:v>130100</c:v>
                </c:pt>
                <c:pt idx="12">
                  <c:v>130100</c:v>
                </c:pt>
                <c:pt idx="13">
                  <c:v>129500</c:v>
                </c:pt>
                <c:pt idx="14">
                  <c:v>128600</c:v>
                </c:pt>
                <c:pt idx="15">
                  <c:v>129000</c:v>
                </c:pt>
                <c:pt idx="16">
                  <c:v>129199.99999999999</c:v>
                </c:pt>
                <c:pt idx="17">
                  <c:v>129500</c:v>
                </c:pt>
                <c:pt idx="18">
                  <c:v>129800.00000000001</c:v>
                </c:pt>
                <c:pt idx="19">
                  <c:v>129600</c:v>
                </c:pt>
                <c:pt idx="20">
                  <c:v>129600</c:v>
                </c:pt>
                <c:pt idx="21">
                  <c:v>129000</c:v>
                </c:pt>
                <c:pt idx="22">
                  <c:v>129100</c:v>
                </c:pt>
                <c:pt idx="23">
                  <c:v>128600</c:v>
                </c:pt>
                <c:pt idx="24">
                  <c:v>128699.99999999999</c:v>
                </c:pt>
                <c:pt idx="25">
                  <c:v>128500</c:v>
                </c:pt>
                <c:pt idx="26">
                  <c:v>128800.00000000001</c:v>
                </c:pt>
                <c:pt idx="27">
                  <c:v>128000</c:v>
                </c:pt>
                <c:pt idx="28">
                  <c:v>128199.99999999999</c:v>
                </c:pt>
                <c:pt idx="29">
                  <c:v>127700</c:v>
                </c:pt>
                <c:pt idx="30">
                  <c:v>127900</c:v>
                </c:pt>
                <c:pt idx="31">
                  <c:v>127700</c:v>
                </c:pt>
                <c:pt idx="32">
                  <c:v>127600</c:v>
                </c:pt>
                <c:pt idx="33">
                  <c:v>128600</c:v>
                </c:pt>
                <c:pt idx="34">
                  <c:v>128699.99999999999</c:v>
                </c:pt>
                <c:pt idx="35">
                  <c:v>129500</c:v>
                </c:pt>
                <c:pt idx="36">
                  <c:v>129900</c:v>
                </c:pt>
                <c:pt idx="37">
                  <c:v>130600</c:v>
                </c:pt>
                <c:pt idx="38">
                  <c:v>131100</c:v>
                </c:pt>
                <c:pt idx="39">
                  <c:v>131300</c:v>
                </c:pt>
                <c:pt idx="40">
                  <c:v>130900</c:v>
                </c:pt>
                <c:pt idx="41">
                  <c:v>131100</c:v>
                </c:pt>
                <c:pt idx="42">
                  <c:v>131100</c:v>
                </c:pt>
                <c:pt idx="43">
                  <c:v>131000</c:v>
                </c:pt>
                <c:pt idx="44">
                  <c:v>131100</c:v>
                </c:pt>
                <c:pt idx="45">
                  <c:v>132200</c:v>
                </c:pt>
                <c:pt idx="46">
                  <c:v>131600</c:v>
                </c:pt>
                <c:pt idx="47">
                  <c:v>131600</c:v>
                </c:pt>
                <c:pt idx="48">
                  <c:v>133900</c:v>
                </c:pt>
                <c:pt idx="49">
                  <c:v>133600</c:v>
                </c:pt>
                <c:pt idx="50">
                  <c:v>133400</c:v>
                </c:pt>
                <c:pt idx="51">
                  <c:v>134900</c:v>
                </c:pt>
                <c:pt idx="52">
                  <c:v>134900</c:v>
                </c:pt>
                <c:pt idx="53">
                  <c:v>135500</c:v>
                </c:pt>
                <c:pt idx="54">
                  <c:v>136600</c:v>
                </c:pt>
                <c:pt idx="55">
                  <c:v>137200</c:v>
                </c:pt>
                <c:pt idx="56">
                  <c:v>137400</c:v>
                </c:pt>
                <c:pt idx="57">
                  <c:v>137500</c:v>
                </c:pt>
                <c:pt idx="58">
                  <c:v>137700</c:v>
                </c:pt>
                <c:pt idx="59">
                  <c:v>137200</c:v>
                </c:pt>
                <c:pt idx="60">
                  <c:v>137300</c:v>
                </c:pt>
                <c:pt idx="61">
                  <c:v>137600</c:v>
                </c:pt>
                <c:pt idx="62">
                  <c:v>138100</c:v>
                </c:pt>
                <c:pt idx="63">
                  <c:v>137700</c:v>
                </c:pt>
                <c:pt idx="64">
                  <c:v>138300</c:v>
                </c:pt>
                <c:pt idx="65">
                  <c:v>139700</c:v>
                </c:pt>
                <c:pt idx="66">
                  <c:v>137900</c:v>
                </c:pt>
                <c:pt idx="67">
                  <c:v>138700</c:v>
                </c:pt>
                <c:pt idx="68">
                  <c:v>139300</c:v>
                </c:pt>
                <c:pt idx="69">
                  <c:v>139400</c:v>
                </c:pt>
                <c:pt idx="70">
                  <c:v>139800</c:v>
                </c:pt>
                <c:pt idx="71">
                  <c:v>140500</c:v>
                </c:pt>
                <c:pt idx="72">
                  <c:v>140200</c:v>
                </c:pt>
                <c:pt idx="73">
                  <c:v>140000</c:v>
                </c:pt>
                <c:pt idx="74">
                  <c:v>141100</c:v>
                </c:pt>
                <c:pt idx="75">
                  <c:v>142200</c:v>
                </c:pt>
                <c:pt idx="76">
                  <c:v>142800</c:v>
                </c:pt>
                <c:pt idx="77">
                  <c:v>143400</c:v>
                </c:pt>
                <c:pt idx="78">
                  <c:v>142100</c:v>
                </c:pt>
                <c:pt idx="79">
                  <c:v>142600</c:v>
                </c:pt>
                <c:pt idx="80">
                  <c:v>143400</c:v>
                </c:pt>
                <c:pt idx="81">
                  <c:v>143100</c:v>
                </c:pt>
                <c:pt idx="82">
                  <c:v>143700</c:v>
                </c:pt>
                <c:pt idx="83">
                  <c:v>143600</c:v>
                </c:pt>
                <c:pt idx="84">
                  <c:v>145600</c:v>
                </c:pt>
                <c:pt idx="85">
                  <c:v>146700</c:v>
                </c:pt>
                <c:pt idx="86">
                  <c:v>147300</c:v>
                </c:pt>
                <c:pt idx="87">
                  <c:v>147000</c:v>
                </c:pt>
                <c:pt idx="88">
                  <c:v>150000</c:v>
                </c:pt>
                <c:pt idx="89">
                  <c:v>147900</c:v>
                </c:pt>
                <c:pt idx="90">
                  <c:v>148400</c:v>
                </c:pt>
                <c:pt idx="91">
                  <c:v>151100</c:v>
                </c:pt>
                <c:pt idx="92">
                  <c:v>150500</c:v>
                </c:pt>
                <c:pt idx="93">
                  <c:v>149700</c:v>
                </c:pt>
                <c:pt idx="94">
                  <c:v>150100</c:v>
                </c:pt>
                <c:pt idx="95">
                  <c:v>151100</c:v>
                </c:pt>
                <c:pt idx="96">
                  <c:v>156500</c:v>
                </c:pt>
                <c:pt idx="97">
                  <c:v>157400</c:v>
                </c:pt>
                <c:pt idx="98">
                  <c:v>157900</c:v>
                </c:pt>
                <c:pt idx="99">
                  <c:v>159400</c:v>
                </c:pt>
                <c:pt idx="100">
                  <c:v>160600</c:v>
                </c:pt>
                <c:pt idx="101">
                  <c:v>161200</c:v>
                </c:pt>
                <c:pt idx="102">
                  <c:v>161100</c:v>
                </c:pt>
                <c:pt idx="103">
                  <c:v>161400</c:v>
                </c:pt>
                <c:pt idx="104">
                  <c:v>162500</c:v>
                </c:pt>
                <c:pt idx="105">
                  <c:v>164000</c:v>
                </c:pt>
                <c:pt idx="106">
                  <c:v>165000</c:v>
                </c:pt>
                <c:pt idx="107">
                  <c:v>165200</c:v>
                </c:pt>
                <c:pt idx="108">
                  <c:v>172800</c:v>
                </c:pt>
                <c:pt idx="109">
                  <c:v>174600</c:v>
                </c:pt>
                <c:pt idx="110">
                  <c:v>172700</c:v>
                </c:pt>
                <c:pt idx="111">
                  <c:v>172500</c:v>
                </c:pt>
                <c:pt idx="112">
                  <c:v>173700</c:v>
                </c:pt>
                <c:pt idx="113">
                  <c:v>175300</c:v>
                </c:pt>
                <c:pt idx="114">
                  <c:v>173500</c:v>
                </c:pt>
                <c:pt idx="115">
                  <c:v>174400</c:v>
                </c:pt>
                <c:pt idx="116">
                  <c:v>175700</c:v>
                </c:pt>
                <c:pt idx="117">
                  <c:v>177100</c:v>
                </c:pt>
                <c:pt idx="118">
                  <c:v>178500</c:v>
                </c:pt>
                <c:pt idx="119">
                  <c:v>179600</c:v>
                </c:pt>
                <c:pt idx="120">
                  <c:v>178900</c:v>
                </c:pt>
                <c:pt idx="121">
                  <c:v>179200</c:v>
                </c:pt>
                <c:pt idx="122">
                  <c:v>182000</c:v>
                </c:pt>
                <c:pt idx="123">
                  <c:v>180100</c:v>
                </c:pt>
                <c:pt idx="124">
                  <c:v>180700</c:v>
                </c:pt>
                <c:pt idx="125">
                  <c:v>183000</c:v>
                </c:pt>
                <c:pt idx="126">
                  <c:v>185100</c:v>
                </c:pt>
                <c:pt idx="127">
                  <c:v>186800</c:v>
                </c:pt>
                <c:pt idx="128">
                  <c:v>188300</c:v>
                </c:pt>
                <c:pt idx="129">
                  <c:v>189000</c:v>
                </c:pt>
                <c:pt idx="130">
                  <c:v>189400</c:v>
                </c:pt>
                <c:pt idx="131">
                  <c:v>189600</c:v>
                </c:pt>
                <c:pt idx="132">
                  <c:v>189100</c:v>
                </c:pt>
                <c:pt idx="133">
                  <c:v>189200</c:v>
                </c:pt>
                <c:pt idx="134">
                  <c:v>189100</c:v>
                </c:pt>
                <c:pt idx="135">
                  <c:v>188600</c:v>
                </c:pt>
                <c:pt idx="136">
                  <c:v>187500</c:v>
                </c:pt>
                <c:pt idx="137">
                  <c:v>186200</c:v>
                </c:pt>
                <c:pt idx="138">
                  <c:v>184500</c:v>
                </c:pt>
                <c:pt idx="139">
                  <c:v>183300</c:v>
                </c:pt>
                <c:pt idx="140">
                  <c:v>181600</c:v>
                </c:pt>
                <c:pt idx="141">
                  <c:v>180300</c:v>
                </c:pt>
                <c:pt idx="142">
                  <c:v>179100</c:v>
                </c:pt>
                <c:pt idx="143">
                  <c:v>178500</c:v>
                </c:pt>
                <c:pt idx="144">
                  <c:v>179000</c:v>
                </c:pt>
                <c:pt idx="145">
                  <c:v>177600</c:v>
                </c:pt>
                <c:pt idx="146">
                  <c:v>177200</c:v>
                </c:pt>
                <c:pt idx="147">
                  <c:v>176100</c:v>
                </c:pt>
                <c:pt idx="148">
                  <c:v>175100</c:v>
                </c:pt>
                <c:pt idx="149">
                  <c:v>174100</c:v>
                </c:pt>
                <c:pt idx="150">
                  <c:v>173200</c:v>
                </c:pt>
                <c:pt idx="151">
                  <c:v>172400</c:v>
                </c:pt>
                <c:pt idx="152">
                  <c:v>171900</c:v>
                </c:pt>
                <c:pt idx="153">
                  <c:v>171700</c:v>
                </c:pt>
                <c:pt idx="154">
                  <c:v>171200</c:v>
                </c:pt>
                <c:pt idx="155">
                  <c:v>170600</c:v>
                </c:pt>
                <c:pt idx="156">
                  <c:v>169900</c:v>
                </c:pt>
                <c:pt idx="157">
                  <c:v>169600</c:v>
                </c:pt>
                <c:pt idx="158">
                  <c:v>169400</c:v>
                </c:pt>
                <c:pt idx="159">
                  <c:v>168100</c:v>
                </c:pt>
                <c:pt idx="160">
                  <c:v>167700</c:v>
                </c:pt>
                <c:pt idx="161">
                  <c:v>166900</c:v>
                </c:pt>
                <c:pt idx="162">
                  <c:v>167400</c:v>
                </c:pt>
                <c:pt idx="163">
                  <c:v>167100</c:v>
                </c:pt>
                <c:pt idx="164">
                  <c:v>166800</c:v>
                </c:pt>
                <c:pt idx="165">
                  <c:v>166500</c:v>
                </c:pt>
                <c:pt idx="166">
                  <c:v>166200</c:v>
                </c:pt>
                <c:pt idx="167">
                  <c:v>166100</c:v>
                </c:pt>
                <c:pt idx="168">
                  <c:v>165700</c:v>
                </c:pt>
                <c:pt idx="169">
                  <c:v>164400</c:v>
                </c:pt>
                <c:pt idx="170">
                  <c:v>165100</c:v>
                </c:pt>
                <c:pt idx="171">
                  <c:v>164800</c:v>
                </c:pt>
                <c:pt idx="172">
                  <c:v>164300</c:v>
                </c:pt>
                <c:pt idx="173">
                  <c:v>164100</c:v>
                </c:pt>
                <c:pt idx="174">
                  <c:v>163800</c:v>
                </c:pt>
                <c:pt idx="175">
                  <c:v>163800</c:v>
                </c:pt>
                <c:pt idx="176">
                  <c:v>163200</c:v>
                </c:pt>
                <c:pt idx="177">
                  <c:v>164300</c:v>
                </c:pt>
                <c:pt idx="178">
                  <c:v>164300</c:v>
                </c:pt>
                <c:pt idx="179">
                  <c:v>164200</c:v>
                </c:pt>
                <c:pt idx="180">
                  <c:v>164700</c:v>
                </c:pt>
                <c:pt idx="181">
                  <c:v>164700</c:v>
                </c:pt>
                <c:pt idx="182">
                  <c:v>164400</c:v>
                </c:pt>
                <c:pt idx="183">
                  <c:v>164400</c:v>
                </c:pt>
                <c:pt idx="184">
                  <c:v>164900</c:v>
                </c:pt>
                <c:pt idx="185">
                  <c:v>164500</c:v>
                </c:pt>
                <c:pt idx="186">
                  <c:v>164700</c:v>
                </c:pt>
                <c:pt idx="187">
                  <c:v>164800</c:v>
                </c:pt>
                <c:pt idx="188">
                  <c:v>166000</c:v>
                </c:pt>
                <c:pt idx="189">
                  <c:v>164600</c:v>
                </c:pt>
                <c:pt idx="190">
                  <c:v>164400</c:v>
                </c:pt>
                <c:pt idx="191">
                  <c:v>164200</c:v>
                </c:pt>
                <c:pt idx="192">
                  <c:v>163300</c:v>
                </c:pt>
                <c:pt idx="193">
                  <c:v>163200</c:v>
                </c:pt>
                <c:pt idx="194">
                  <c:v>163000</c:v>
                </c:pt>
                <c:pt idx="195">
                  <c:v>163100</c:v>
                </c:pt>
                <c:pt idx="196">
                  <c:v>163200</c:v>
                </c:pt>
                <c:pt idx="197">
                  <c:v>163500</c:v>
                </c:pt>
                <c:pt idx="198">
                  <c:v>163800</c:v>
                </c:pt>
                <c:pt idx="199">
                  <c:v>163300</c:v>
                </c:pt>
                <c:pt idx="200">
                  <c:v>163100</c:v>
                </c:pt>
                <c:pt idx="201">
                  <c:v>162900</c:v>
                </c:pt>
                <c:pt idx="202">
                  <c:v>162900</c:v>
                </c:pt>
                <c:pt idx="203">
                  <c:v>162900</c:v>
                </c:pt>
                <c:pt idx="204">
                  <c:v>162900</c:v>
                </c:pt>
                <c:pt idx="205">
                  <c:v>163000</c:v>
                </c:pt>
                <c:pt idx="206">
                  <c:v>163300</c:v>
                </c:pt>
                <c:pt idx="207">
                  <c:v>164100</c:v>
                </c:pt>
                <c:pt idx="208">
                  <c:v>164000</c:v>
                </c:pt>
                <c:pt idx="209">
                  <c:v>163900</c:v>
                </c:pt>
                <c:pt idx="210">
                  <c:v>162800</c:v>
                </c:pt>
                <c:pt idx="211">
                  <c:v>162400</c:v>
                </c:pt>
                <c:pt idx="212">
                  <c:v>162200</c:v>
                </c:pt>
                <c:pt idx="213">
                  <c:v>161900</c:v>
                </c:pt>
                <c:pt idx="214">
                  <c:v>160900</c:v>
                </c:pt>
                <c:pt idx="215">
                  <c:v>160700</c:v>
                </c:pt>
                <c:pt idx="216">
                  <c:v>161300</c:v>
                </c:pt>
                <c:pt idx="217">
                  <c:v>160900</c:v>
                </c:pt>
                <c:pt idx="218">
                  <c:v>160400</c:v>
                </c:pt>
                <c:pt idx="219">
                  <c:v>159300</c:v>
                </c:pt>
                <c:pt idx="220">
                  <c:v>158500</c:v>
                </c:pt>
                <c:pt idx="221">
                  <c:v>157900</c:v>
                </c:pt>
                <c:pt idx="222">
                  <c:v>157600</c:v>
                </c:pt>
                <c:pt idx="223">
                  <c:v>156300</c:v>
                </c:pt>
                <c:pt idx="224">
                  <c:v>155100</c:v>
                </c:pt>
                <c:pt idx="225">
                  <c:v>154100</c:v>
                </c:pt>
                <c:pt idx="226">
                  <c:v>153000</c:v>
                </c:pt>
                <c:pt idx="227">
                  <c:v>151500</c:v>
                </c:pt>
                <c:pt idx="228">
                  <c:v>150100</c:v>
                </c:pt>
                <c:pt idx="229">
                  <c:v>149000</c:v>
                </c:pt>
                <c:pt idx="230">
                  <c:v>147800</c:v>
                </c:pt>
                <c:pt idx="231">
                  <c:v>146700</c:v>
                </c:pt>
                <c:pt idx="232">
                  <c:v>145300</c:v>
                </c:pt>
                <c:pt idx="233">
                  <c:v>144400</c:v>
                </c:pt>
                <c:pt idx="234">
                  <c:v>142800</c:v>
                </c:pt>
                <c:pt idx="235">
                  <c:v>141600</c:v>
                </c:pt>
                <c:pt idx="236">
                  <c:v>140600</c:v>
                </c:pt>
                <c:pt idx="237">
                  <c:v>139600</c:v>
                </c:pt>
                <c:pt idx="238">
                  <c:v>138800</c:v>
                </c:pt>
                <c:pt idx="239">
                  <c:v>138600</c:v>
                </c:pt>
                <c:pt idx="240">
                  <c:v>138100</c:v>
                </c:pt>
                <c:pt idx="241">
                  <c:v>137400</c:v>
                </c:pt>
                <c:pt idx="242">
                  <c:v>138100</c:v>
                </c:pt>
                <c:pt idx="243">
                  <c:v>137600</c:v>
                </c:pt>
                <c:pt idx="244">
                  <c:v>137000</c:v>
                </c:pt>
                <c:pt idx="245">
                  <c:v>136500</c:v>
                </c:pt>
                <c:pt idx="246">
                  <c:v>136900</c:v>
                </c:pt>
                <c:pt idx="247">
                  <c:v>136900</c:v>
                </c:pt>
                <c:pt idx="248">
                  <c:v>136500</c:v>
                </c:pt>
                <c:pt idx="249">
                  <c:v>137000</c:v>
                </c:pt>
                <c:pt idx="250">
                  <c:v>136700</c:v>
                </c:pt>
                <c:pt idx="251">
                  <c:v>136500</c:v>
                </c:pt>
                <c:pt idx="252">
                  <c:v>136600</c:v>
                </c:pt>
                <c:pt idx="253">
                  <c:v>136300</c:v>
                </c:pt>
                <c:pt idx="254">
                  <c:v>136200</c:v>
                </c:pt>
                <c:pt idx="255">
                  <c:v>136000</c:v>
                </c:pt>
                <c:pt idx="256">
                  <c:v>135800</c:v>
                </c:pt>
                <c:pt idx="257">
                  <c:v>135600</c:v>
                </c:pt>
                <c:pt idx="258">
                  <c:v>135300</c:v>
                </c:pt>
                <c:pt idx="259">
                  <c:v>135300</c:v>
                </c:pt>
                <c:pt idx="260">
                  <c:v>135700</c:v>
                </c:pt>
                <c:pt idx="261">
                  <c:v>135300</c:v>
                </c:pt>
                <c:pt idx="262">
                  <c:v>135200</c:v>
                </c:pt>
                <c:pt idx="263">
                  <c:v>135100</c:v>
                </c:pt>
                <c:pt idx="264">
                  <c:v>134400</c:v>
                </c:pt>
                <c:pt idx="265">
                  <c:v>134200</c:v>
                </c:pt>
                <c:pt idx="266">
                  <c:v>133900</c:v>
                </c:pt>
                <c:pt idx="267">
                  <c:v>133900</c:v>
                </c:pt>
                <c:pt idx="268">
                  <c:v>133500</c:v>
                </c:pt>
                <c:pt idx="269">
                  <c:v>133400</c:v>
                </c:pt>
                <c:pt idx="270">
                  <c:v>133100</c:v>
                </c:pt>
                <c:pt idx="271">
                  <c:v>133000</c:v>
                </c:pt>
                <c:pt idx="272">
                  <c:v>132900</c:v>
                </c:pt>
                <c:pt idx="273">
                  <c:v>134200</c:v>
                </c:pt>
                <c:pt idx="274">
                  <c:v>133800</c:v>
                </c:pt>
                <c:pt idx="275">
                  <c:v>133300</c:v>
                </c:pt>
                <c:pt idx="276">
                  <c:v>133100</c:v>
                </c:pt>
                <c:pt idx="277">
                  <c:v>133200</c:v>
                </c:pt>
                <c:pt idx="278">
                  <c:v>133800</c:v>
                </c:pt>
                <c:pt idx="279">
                  <c:v>133600</c:v>
                </c:pt>
                <c:pt idx="280">
                  <c:v>133700</c:v>
                </c:pt>
                <c:pt idx="281">
                  <c:v>133900</c:v>
                </c:pt>
                <c:pt idx="282">
                  <c:v>134200</c:v>
                </c:pt>
                <c:pt idx="283">
                  <c:v>134600</c:v>
                </c:pt>
                <c:pt idx="284">
                  <c:v>134800</c:v>
                </c:pt>
                <c:pt idx="285">
                  <c:v>134900</c:v>
                </c:pt>
                <c:pt idx="286">
                  <c:v>135200</c:v>
                </c:pt>
                <c:pt idx="287">
                  <c:v>135100</c:v>
                </c:pt>
                <c:pt idx="288">
                  <c:v>135800</c:v>
                </c:pt>
                <c:pt idx="289">
                  <c:v>136000</c:v>
                </c:pt>
                <c:pt idx="290">
                  <c:v>136100</c:v>
                </c:pt>
                <c:pt idx="291">
                  <c:v>136300</c:v>
                </c:pt>
                <c:pt idx="292">
                  <c:v>136400</c:v>
                </c:pt>
                <c:pt idx="293">
                  <c:v>136700</c:v>
                </c:pt>
                <c:pt idx="294">
                  <c:v>136400</c:v>
                </c:pt>
                <c:pt idx="295">
                  <c:v>135800</c:v>
                </c:pt>
                <c:pt idx="296">
                  <c:v>136000</c:v>
                </c:pt>
                <c:pt idx="297">
                  <c:v>136000</c:v>
                </c:pt>
                <c:pt idx="298">
                  <c:v>136400</c:v>
                </c:pt>
                <c:pt idx="299">
                  <c:v>135900</c:v>
                </c:pt>
                <c:pt idx="300">
                  <c:v>135900</c:v>
                </c:pt>
                <c:pt idx="301">
                  <c:v>135700</c:v>
                </c:pt>
                <c:pt idx="302">
                  <c:v>135700</c:v>
                </c:pt>
                <c:pt idx="303">
                  <c:v>135800</c:v>
                </c:pt>
                <c:pt idx="304">
                  <c:v>136300</c:v>
                </c:pt>
                <c:pt idx="305">
                  <c:v>135900</c:v>
                </c:pt>
                <c:pt idx="306">
                  <c:v>136600</c:v>
                </c:pt>
                <c:pt idx="307">
                  <c:v>136700</c:v>
                </c:pt>
                <c:pt idx="308">
                  <c:v>137100</c:v>
                </c:pt>
                <c:pt idx="309">
                  <c:v>137500</c:v>
                </c:pt>
                <c:pt idx="310">
                  <c:v>137500</c:v>
                </c:pt>
                <c:pt idx="311">
                  <c:v>138100</c:v>
                </c:pt>
                <c:pt idx="312">
                  <c:v>136500</c:v>
                </c:pt>
                <c:pt idx="313">
                  <c:v>137100</c:v>
                </c:pt>
                <c:pt idx="314">
                  <c:v>136700</c:v>
                </c:pt>
                <c:pt idx="315">
                  <c:v>136800</c:v>
                </c:pt>
                <c:pt idx="316">
                  <c:v>136900</c:v>
                </c:pt>
                <c:pt idx="317">
                  <c:v>136800</c:v>
                </c:pt>
                <c:pt idx="318">
                  <c:v>136900</c:v>
                </c:pt>
                <c:pt idx="319">
                  <c:v>137200</c:v>
                </c:pt>
                <c:pt idx="320">
                  <c:v>135700</c:v>
                </c:pt>
                <c:pt idx="321">
                  <c:v>136500</c:v>
                </c:pt>
                <c:pt idx="322">
                  <c:v>138000</c:v>
                </c:pt>
                <c:pt idx="323">
                  <c:v>137900</c:v>
                </c:pt>
                <c:pt idx="324">
                  <c:v>136400</c:v>
                </c:pt>
                <c:pt idx="325">
                  <c:v>137700</c:v>
                </c:pt>
                <c:pt idx="326">
                  <c:v>136000</c:v>
                </c:pt>
                <c:pt idx="327">
                  <c:v>136900</c:v>
                </c:pt>
                <c:pt idx="328">
                  <c:v>136600</c:v>
                </c:pt>
                <c:pt idx="329">
                  <c:v>136100</c:v>
                </c:pt>
                <c:pt idx="330">
                  <c:v>136900</c:v>
                </c:pt>
                <c:pt idx="331">
                  <c:v>137800</c:v>
                </c:pt>
                <c:pt idx="332">
                  <c:v>138100</c:v>
                </c:pt>
                <c:pt idx="333">
                  <c:v>139800</c:v>
                </c:pt>
                <c:pt idx="334">
                  <c:v>141000</c:v>
                </c:pt>
              </c:numCache>
            </c:numRef>
          </c:val>
          <c:smooth val="0"/>
          <c:extLst>
            <c:ext xmlns:c16="http://schemas.microsoft.com/office/drawing/2014/chart" uri="{C3380CC4-5D6E-409C-BE32-E72D297353CC}">
              <c16:uniqueId val="{00000000-5ACC-444F-AA06-11D37BB6E04B}"/>
            </c:ext>
          </c:extLst>
        </c:ser>
        <c:dLbls>
          <c:showLegendKey val="0"/>
          <c:showVal val="0"/>
          <c:showCatName val="0"/>
          <c:showSerName val="0"/>
          <c:showPercent val="0"/>
          <c:showBubbleSize val="0"/>
        </c:dLbls>
        <c:smooth val="0"/>
        <c:axId val="277304856"/>
        <c:axId val="277305248"/>
      </c:lineChart>
      <c:dateAx>
        <c:axId val="277304856"/>
        <c:scaling>
          <c:orientation val="minMax"/>
        </c:scaling>
        <c:delete val="0"/>
        <c:axPos val="b"/>
        <c:numFmt formatCode="mmm\-yy"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77305248"/>
        <c:crosses val="autoZero"/>
        <c:auto val="1"/>
        <c:lblOffset val="100"/>
        <c:baseTimeUnit val="months"/>
      </c:dateAx>
      <c:valAx>
        <c:axId val="277305248"/>
        <c:scaling>
          <c:orientation val="minMax"/>
          <c:min val="120000"/>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7730485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34838145231846"/>
          <c:y val="0.17171296296296298"/>
          <c:w val="0.84596062992125987"/>
          <c:h val="0.65621172353455814"/>
        </c:manualLayout>
      </c:layout>
      <c:lineChart>
        <c:grouping val="standard"/>
        <c:varyColors val="0"/>
        <c:ser>
          <c:idx val="0"/>
          <c:order val="0"/>
          <c:spPr>
            <a:ln w="28575" cap="rnd">
              <a:solidFill>
                <a:srgbClr val="003F5C"/>
              </a:solidFill>
              <a:round/>
            </a:ln>
            <a:effectLst/>
          </c:spPr>
          <c:marker>
            <c:symbol val="none"/>
          </c:marker>
          <c:cat>
            <c:numRef>
              <c:f>'Financial Activities'!$A$2:$A$336</c:f>
              <c:numCache>
                <c:formatCode>mmm\-yy</c:formatCode>
                <c:ptCount val="335"/>
                <c:pt idx="0">
                  <c:v>32874</c:v>
                </c:pt>
                <c:pt idx="1">
                  <c:v>32905</c:v>
                </c:pt>
                <c:pt idx="2">
                  <c:v>32933</c:v>
                </c:pt>
                <c:pt idx="3">
                  <c:v>32964</c:v>
                </c:pt>
                <c:pt idx="4">
                  <c:v>32994</c:v>
                </c:pt>
                <c:pt idx="5">
                  <c:v>33025</c:v>
                </c:pt>
                <c:pt idx="6">
                  <c:v>33055</c:v>
                </c:pt>
                <c:pt idx="7">
                  <c:v>33086</c:v>
                </c:pt>
                <c:pt idx="8">
                  <c:v>33117</c:v>
                </c:pt>
                <c:pt idx="9">
                  <c:v>33147</c:v>
                </c:pt>
                <c:pt idx="10">
                  <c:v>33178</c:v>
                </c:pt>
                <c:pt idx="11">
                  <c:v>33208</c:v>
                </c:pt>
                <c:pt idx="12">
                  <c:v>33239</c:v>
                </c:pt>
                <c:pt idx="13">
                  <c:v>33270</c:v>
                </c:pt>
                <c:pt idx="14">
                  <c:v>33298</c:v>
                </c:pt>
                <c:pt idx="15">
                  <c:v>33329</c:v>
                </c:pt>
                <c:pt idx="16">
                  <c:v>33359</c:v>
                </c:pt>
                <c:pt idx="17">
                  <c:v>33390</c:v>
                </c:pt>
                <c:pt idx="18">
                  <c:v>33420</c:v>
                </c:pt>
                <c:pt idx="19">
                  <c:v>33451</c:v>
                </c:pt>
                <c:pt idx="20">
                  <c:v>33482</c:v>
                </c:pt>
                <c:pt idx="21">
                  <c:v>33512</c:v>
                </c:pt>
                <c:pt idx="22">
                  <c:v>33543</c:v>
                </c:pt>
                <c:pt idx="23">
                  <c:v>33573</c:v>
                </c:pt>
                <c:pt idx="24">
                  <c:v>33604</c:v>
                </c:pt>
                <c:pt idx="25">
                  <c:v>33635</c:v>
                </c:pt>
                <c:pt idx="26">
                  <c:v>33664</c:v>
                </c:pt>
                <c:pt idx="27">
                  <c:v>33695</c:v>
                </c:pt>
                <c:pt idx="28">
                  <c:v>33725</c:v>
                </c:pt>
                <c:pt idx="29">
                  <c:v>33756</c:v>
                </c:pt>
                <c:pt idx="30">
                  <c:v>33786</c:v>
                </c:pt>
                <c:pt idx="31">
                  <c:v>33817</c:v>
                </c:pt>
                <c:pt idx="32">
                  <c:v>33848</c:v>
                </c:pt>
                <c:pt idx="33">
                  <c:v>33878</c:v>
                </c:pt>
                <c:pt idx="34">
                  <c:v>33909</c:v>
                </c:pt>
                <c:pt idx="35">
                  <c:v>33939</c:v>
                </c:pt>
                <c:pt idx="36">
                  <c:v>33970</c:v>
                </c:pt>
                <c:pt idx="37">
                  <c:v>34001</c:v>
                </c:pt>
                <c:pt idx="38">
                  <c:v>34029</c:v>
                </c:pt>
                <c:pt idx="39">
                  <c:v>34060</c:v>
                </c:pt>
                <c:pt idx="40">
                  <c:v>34090</c:v>
                </c:pt>
                <c:pt idx="41">
                  <c:v>34121</c:v>
                </c:pt>
                <c:pt idx="42">
                  <c:v>34151</c:v>
                </c:pt>
                <c:pt idx="43">
                  <c:v>34182</c:v>
                </c:pt>
                <c:pt idx="44">
                  <c:v>34213</c:v>
                </c:pt>
                <c:pt idx="45">
                  <c:v>34243</c:v>
                </c:pt>
                <c:pt idx="46">
                  <c:v>34274</c:v>
                </c:pt>
                <c:pt idx="47">
                  <c:v>34304</c:v>
                </c:pt>
                <c:pt idx="48">
                  <c:v>34335</c:v>
                </c:pt>
                <c:pt idx="49">
                  <c:v>34366</c:v>
                </c:pt>
                <c:pt idx="50">
                  <c:v>34394</c:v>
                </c:pt>
                <c:pt idx="51">
                  <c:v>34425</c:v>
                </c:pt>
                <c:pt idx="52">
                  <c:v>34455</c:v>
                </c:pt>
                <c:pt idx="53">
                  <c:v>34486</c:v>
                </c:pt>
                <c:pt idx="54">
                  <c:v>34516</c:v>
                </c:pt>
                <c:pt idx="55">
                  <c:v>34547</c:v>
                </c:pt>
                <c:pt idx="56">
                  <c:v>34578</c:v>
                </c:pt>
                <c:pt idx="57">
                  <c:v>34608</c:v>
                </c:pt>
                <c:pt idx="58">
                  <c:v>34639</c:v>
                </c:pt>
                <c:pt idx="59">
                  <c:v>34669</c:v>
                </c:pt>
                <c:pt idx="60">
                  <c:v>34700</c:v>
                </c:pt>
                <c:pt idx="61">
                  <c:v>34731</c:v>
                </c:pt>
                <c:pt idx="62">
                  <c:v>34759</c:v>
                </c:pt>
                <c:pt idx="63">
                  <c:v>34790</c:v>
                </c:pt>
                <c:pt idx="64">
                  <c:v>34820</c:v>
                </c:pt>
                <c:pt idx="65">
                  <c:v>34851</c:v>
                </c:pt>
                <c:pt idx="66">
                  <c:v>34881</c:v>
                </c:pt>
                <c:pt idx="67">
                  <c:v>34912</c:v>
                </c:pt>
                <c:pt idx="68">
                  <c:v>34943</c:v>
                </c:pt>
                <c:pt idx="69">
                  <c:v>34973</c:v>
                </c:pt>
                <c:pt idx="70">
                  <c:v>35004</c:v>
                </c:pt>
                <c:pt idx="71">
                  <c:v>35034</c:v>
                </c:pt>
                <c:pt idx="72">
                  <c:v>35065</c:v>
                </c:pt>
                <c:pt idx="73">
                  <c:v>35096</c:v>
                </c:pt>
                <c:pt idx="74">
                  <c:v>35125</c:v>
                </c:pt>
                <c:pt idx="75">
                  <c:v>35156</c:v>
                </c:pt>
                <c:pt idx="76">
                  <c:v>35186</c:v>
                </c:pt>
                <c:pt idx="77">
                  <c:v>35217</c:v>
                </c:pt>
                <c:pt idx="78">
                  <c:v>35247</c:v>
                </c:pt>
                <c:pt idx="79">
                  <c:v>35278</c:v>
                </c:pt>
                <c:pt idx="80">
                  <c:v>35309</c:v>
                </c:pt>
                <c:pt idx="81">
                  <c:v>35339</c:v>
                </c:pt>
                <c:pt idx="82">
                  <c:v>35370</c:v>
                </c:pt>
                <c:pt idx="83">
                  <c:v>35400</c:v>
                </c:pt>
                <c:pt idx="84">
                  <c:v>35431</c:v>
                </c:pt>
                <c:pt idx="85">
                  <c:v>35462</c:v>
                </c:pt>
                <c:pt idx="86">
                  <c:v>35490</c:v>
                </c:pt>
                <c:pt idx="87">
                  <c:v>35521</c:v>
                </c:pt>
                <c:pt idx="88">
                  <c:v>35551</c:v>
                </c:pt>
                <c:pt idx="89">
                  <c:v>35582</c:v>
                </c:pt>
                <c:pt idx="90">
                  <c:v>35612</c:v>
                </c:pt>
                <c:pt idx="91">
                  <c:v>35643</c:v>
                </c:pt>
                <c:pt idx="92">
                  <c:v>35674</c:v>
                </c:pt>
                <c:pt idx="93">
                  <c:v>35704</c:v>
                </c:pt>
                <c:pt idx="94">
                  <c:v>35735</c:v>
                </c:pt>
                <c:pt idx="95">
                  <c:v>35765</c:v>
                </c:pt>
                <c:pt idx="96">
                  <c:v>35796</c:v>
                </c:pt>
                <c:pt idx="97">
                  <c:v>35827</c:v>
                </c:pt>
                <c:pt idx="98">
                  <c:v>35855</c:v>
                </c:pt>
                <c:pt idx="99">
                  <c:v>35886</c:v>
                </c:pt>
                <c:pt idx="100">
                  <c:v>35916</c:v>
                </c:pt>
                <c:pt idx="101">
                  <c:v>35947</c:v>
                </c:pt>
                <c:pt idx="102">
                  <c:v>35977</c:v>
                </c:pt>
                <c:pt idx="103">
                  <c:v>36008</c:v>
                </c:pt>
                <c:pt idx="104">
                  <c:v>36039</c:v>
                </c:pt>
                <c:pt idx="105">
                  <c:v>36069</c:v>
                </c:pt>
                <c:pt idx="106">
                  <c:v>36100</c:v>
                </c:pt>
                <c:pt idx="107">
                  <c:v>36130</c:v>
                </c:pt>
                <c:pt idx="108">
                  <c:v>36161</c:v>
                </c:pt>
                <c:pt idx="109">
                  <c:v>36192</c:v>
                </c:pt>
                <c:pt idx="110">
                  <c:v>36220</c:v>
                </c:pt>
                <c:pt idx="111">
                  <c:v>36251</c:v>
                </c:pt>
                <c:pt idx="112">
                  <c:v>36281</c:v>
                </c:pt>
                <c:pt idx="113">
                  <c:v>36312</c:v>
                </c:pt>
                <c:pt idx="114">
                  <c:v>36342</c:v>
                </c:pt>
                <c:pt idx="115">
                  <c:v>36373</c:v>
                </c:pt>
                <c:pt idx="116">
                  <c:v>36404</c:v>
                </c:pt>
                <c:pt idx="117">
                  <c:v>36434</c:v>
                </c:pt>
                <c:pt idx="118">
                  <c:v>36465</c:v>
                </c:pt>
                <c:pt idx="119">
                  <c:v>36495</c:v>
                </c:pt>
                <c:pt idx="120">
                  <c:v>36526</c:v>
                </c:pt>
                <c:pt idx="121">
                  <c:v>36557</c:v>
                </c:pt>
                <c:pt idx="122">
                  <c:v>36586</c:v>
                </c:pt>
                <c:pt idx="123">
                  <c:v>36617</c:v>
                </c:pt>
                <c:pt idx="124">
                  <c:v>36647</c:v>
                </c:pt>
                <c:pt idx="125">
                  <c:v>36678</c:v>
                </c:pt>
                <c:pt idx="126">
                  <c:v>36708</c:v>
                </c:pt>
                <c:pt idx="127">
                  <c:v>36739</c:v>
                </c:pt>
                <c:pt idx="128">
                  <c:v>36770</c:v>
                </c:pt>
                <c:pt idx="129">
                  <c:v>36800</c:v>
                </c:pt>
                <c:pt idx="130">
                  <c:v>36831</c:v>
                </c:pt>
                <c:pt idx="131">
                  <c:v>36861</c:v>
                </c:pt>
                <c:pt idx="132">
                  <c:v>36892</c:v>
                </c:pt>
                <c:pt idx="133">
                  <c:v>36923</c:v>
                </c:pt>
                <c:pt idx="134">
                  <c:v>36951</c:v>
                </c:pt>
                <c:pt idx="135">
                  <c:v>36982</c:v>
                </c:pt>
                <c:pt idx="136">
                  <c:v>37012</c:v>
                </c:pt>
                <c:pt idx="137">
                  <c:v>37043</c:v>
                </c:pt>
                <c:pt idx="138">
                  <c:v>37073</c:v>
                </c:pt>
                <c:pt idx="139">
                  <c:v>37104</c:v>
                </c:pt>
                <c:pt idx="140">
                  <c:v>37135</c:v>
                </c:pt>
                <c:pt idx="141">
                  <c:v>37165</c:v>
                </c:pt>
                <c:pt idx="142">
                  <c:v>37196</c:v>
                </c:pt>
                <c:pt idx="143">
                  <c:v>37226</c:v>
                </c:pt>
                <c:pt idx="144">
                  <c:v>37257</c:v>
                </c:pt>
                <c:pt idx="145">
                  <c:v>37288</c:v>
                </c:pt>
                <c:pt idx="146">
                  <c:v>37316</c:v>
                </c:pt>
                <c:pt idx="147">
                  <c:v>37347</c:v>
                </c:pt>
                <c:pt idx="148">
                  <c:v>37377</c:v>
                </c:pt>
                <c:pt idx="149">
                  <c:v>37408</c:v>
                </c:pt>
                <c:pt idx="150">
                  <c:v>37438</c:v>
                </c:pt>
                <c:pt idx="151">
                  <c:v>37469</c:v>
                </c:pt>
                <c:pt idx="152">
                  <c:v>37500</c:v>
                </c:pt>
                <c:pt idx="153">
                  <c:v>37530</c:v>
                </c:pt>
                <c:pt idx="154">
                  <c:v>37561</c:v>
                </c:pt>
                <c:pt idx="155">
                  <c:v>37591</c:v>
                </c:pt>
                <c:pt idx="156">
                  <c:v>37622</c:v>
                </c:pt>
                <c:pt idx="157">
                  <c:v>37653</c:v>
                </c:pt>
                <c:pt idx="158">
                  <c:v>37681</c:v>
                </c:pt>
                <c:pt idx="159">
                  <c:v>37712</c:v>
                </c:pt>
                <c:pt idx="160">
                  <c:v>37742</c:v>
                </c:pt>
                <c:pt idx="161">
                  <c:v>37773</c:v>
                </c:pt>
                <c:pt idx="162">
                  <c:v>37803</c:v>
                </c:pt>
                <c:pt idx="163">
                  <c:v>37834</c:v>
                </c:pt>
                <c:pt idx="164">
                  <c:v>37865</c:v>
                </c:pt>
                <c:pt idx="165">
                  <c:v>37895</c:v>
                </c:pt>
                <c:pt idx="166">
                  <c:v>37926</c:v>
                </c:pt>
                <c:pt idx="167">
                  <c:v>37956</c:v>
                </c:pt>
                <c:pt idx="168">
                  <c:v>37987</c:v>
                </c:pt>
                <c:pt idx="169">
                  <c:v>38018</c:v>
                </c:pt>
                <c:pt idx="170">
                  <c:v>38047</c:v>
                </c:pt>
                <c:pt idx="171">
                  <c:v>38078</c:v>
                </c:pt>
                <c:pt idx="172">
                  <c:v>38108</c:v>
                </c:pt>
                <c:pt idx="173">
                  <c:v>38139</c:v>
                </c:pt>
                <c:pt idx="174">
                  <c:v>38169</c:v>
                </c:pt>
                <c:pt idx="175">
                  <c:v>38200</c:v>
                </c:pt>
                <c:pt idx="176">
                  <c:v>38231</c:v>
                </c:pt>
                <c:pt idx="177">
                  <c:v>38261</c:v>
                </c:pt>
                <c:pt idx="178">
                  <c:v>38292</c:v>
                </c:pt>
                <c:pt idx="179">
                  <c:v>38322</c:v>
                </c:pt>
                <c:pt idx="180">
                  <c:v>38353</c:v>
                </c:pt>
                <c:pt idx="181">
                  <c:v>38384</c:v>
                </c:pt>
                <c:pt idx="182">
                  <c:v>38412</c:v>
                </c:pt>
                <c:pt idx="183">
                  <c:v>38443</c:v>
                </c:pt>
                <c:pt idx="184">
                  <c:v>38473</c:v>
                </c:pt>
                <c:pt idx="185">
                  <c:v>38504</c:v>
                </c:pt>
                <c:pt idx="186">
                  <c:v>38534</c:v>
                </c:pt>
                <c:pt idx="187">
                  <c:v>38565</c:v>
                </c:pt>
                <c:pt idx="188">
                  <c:v>38596</c:v>
                </c:pt>
                <c:pt idx="189">
                  <c:v>38626</c:v>
                </c:pt>
                <c:pt idx="190">
                  <c:v>38657</c:v>
                </c:pt>
                <c:pt idx="191">
                  <c:v>38687</c:v>
                </c:pt>
                <c:pt idx="192">
                  <c:v>38718</c:v>
                </c:pt>
                <c:pt idx="193">
                  <c:v>38749</c:v>
                </c:pt>
                <c:pt idx="194">
                  <c:v>38777</c:v>
                </c:pt>
                <c:pt idx="195">
                  <c:v>38808</c:v>
                </c:pt>
                <c:pt idx="196">
                  <c:v>38838</c:v>
                </c:pt>
                <c:pt idx="197">
                  <c:v>38869</c:v>
                </c:pt>
                <c:pt idx="198">
                  <c:v>38899</c:v>
                </c:pt>
                <c:pt idx="199">
                  <c:v>38930</c:v>
                </c:pt>
                <c:pt idx="200">
                  <c:v>38961</c:v>
                </c:pt>
                <c:pt idx="201">
                  <c:v>38991</c:v>
                </c:pt>
                <c:pt idx="202">
                  <c:v>39022</c:v>
                </c:pt>
                <c:pt idx="203">
                  <c:v>39052</c:v>
                </c:pt>
                <c:pt idx="204">
                  <c:v>39083</c:v>
                </c:pt>
                <c:pt idx="205">
                  <c:v>39114</c:v>
                </c:pt>
                <c:pt idx="206">
                  <c:v>39142</c:v>
                </c:pt>
                <c:pt idx="207">
                  <c:v>39173</c:v>
                </c:pt>
                <c:pt idx="208">
                  <c:v>39203</c:v>
                </c:pt>
                <c:pt idx="209">
                  <c:v>39234</c:v>
                </c:pt>
                <c:pt idx="210">
                  <c:v>39264</c:v>
                </c:pt>
                <c:pt idx="211">
                  <c:v>39295</c:v>
                </c:pt>
                <c:pt idx="212">
                  <c:v>39326</c:v>
                </c:pt>
                <c:pt idx="213">
                  <c:v>39356</c:v>
                </c:pt>
                <c:pt idx="214">
                  <c:v>39387</c:v>
                </c:pt>
                <c:pt idx="215">
                  <c:v>39417</c:v>
                </c:pt>
                <c:pt idx="216">
                  <c:v>39448</c:v>
                </c:pt>
                <c:pt idx="217">
                  <c:v>39479</c:v>
                </c:pt>
                <c:pt idx="218">
                  <c:v>39508</c:v>
                </c:pt>
                <c:pt idx="219">
                  <c:v>39539</c:v>
                </c:pt>
                <c:pt idx="220">
                  <c:v>39569</c:v>
                </c:pt>
                <c:pt idx="221">
                  <c:v>39600</c:v>
                </c:pt>
                <c:pt idx="222">
                  <c:v>39630</c:v>
                </c:pt>
                <c:pt idx="223">
                  <c:v>39661</c:v>
                </c:pt>
                <c:pt idx="224">
                  <c:v>39692</c:v>
                </c:pt>
                <c:pt idx="225">
                  <c:v>39722</c:v>
                </c:pt>
                <c:pt idx="226">
                  <c:v>39753</c:v>
                </c:pt>
                <c:pt idx="227">
                  <c:v>39783</c:v>
                </c:pt>
                <c:pt idx="228">
                  <c:v>39814</c:v>
                </c:pt>
                <c:pt idx="229">
                  <c:v>39845</c:v>
                </c:pt>
                <c:pt idx="230">
                  <c:v>39873</c:v>
                </c:pt>
                <c:pt idx="231">
                  <c:v>39904</c:v>
                </c:pt>
                <c:pt idx="232">
                  <c:v>39934</c:v>
                </c:pt>
                <c:pt idx="233">
                  <c:v>39965</c:v>
                </c:pt>
                <c:pt idx="234">
                  <c:v>39995</c:v>
                </c:pt>
                <c:pt idx="235">
                  <c:v>40026</c:v>
                </c:pt>
                <c:pt idx="236">
                  <c:v>40057</c:v>
                </c:pt>
                <c:pt idx="237">
                  <c:v>40087</c:v>
                </c:pt>
                <c:pt idx="238">
                  <c:v>40118</c:v>
                </c:pt>
                <c:pt idx="239">
                  <c:v>40148</c:v>
                </c:pt>
                <c:pt idx="240">
                  <c:v>40179</c:v>
                </c:pt>
                <c:pt idx="241">
                  <c:v>40210</c:v>
                </c:pt>
                <c:pt idx="242">
                  <c:v>40238</c:v>
                </c:pt>
                <c:pt idx="243">
                  <c:v>40269</c:v>
                </c:pt>
                <c:pt idx="244">
                  <c:v>40299</c:v>
                </c:pt>
                <c:pt idx="245">
                  <c:v>40330</c:v>
                </c:pt>
                <c:pt idx="246">
                  <c:v>40360</c:v>
                </c:pt>
                <c:pt idx="247">
                  <c:v>40391</c:v>
                </c:pt>
                <c:pt idx="248">
                  <c:v>40422</c:v>
                </c:pt>
                <c:pt idx="249">
                  <c:v>40452</c:v>
                </c:pt>
                <c:pt idx="250">
                  <c:v>40483</c:v>
                </c:pt>
                <c:pt idx="251">
                  <c:v>40513</c:v>
                </c:pt>
                <c:pt idx="252">
                  <c:v>40544</c:v>
                </c:pt>
                <c:pt idx="253">
                  <c:v>40575</c:v>
                </c:pt>
                <c:pt idx="254">
                  <c:v>40603</c:v>
                </c:pt>
                <c:pt idx="255">
                  <c:v>40634</c:v>
                </c:pt>
                <c:pt idx="256">
                  <c:v>40664</c:v>
                </c:pt>
                <c:pt idx="257">
                  <c:v>40695</c:v>
                </c:pt>
                <c:pt idx="258">
                  <c:v>40725</c:v>
                </c:pt>
                <c:pt idx="259">
                  <c:v>40756</c:v>
                </c:pt>
                <c:pt idx="260">
                  <c:v>40787</c:v>
                </c:pt>
                <c:pt idx="261">
                  <c:v>40817</c:v>
                </c:pt>
                <c:pt idx="262">
                  <c:v>40848</c:v>
                </c:pt>
                <c:pt idx="263">
                  <c:v>40878</c:v>
                </c:pt>
                <c:pt idx="264">
                  <c:v>40909</c:v>
                </c:pt>
                <c:pt idx="265">
                  <c:v>40940</c:v>
                </c:pt>
                <c:pt idx="266">
                  <c:v>40969</c:v>
                </c:pt>
                <c:pt idx="267">
                  <c:v>41000</c:v>
                </c:pt>
                <c:pt idx="268">
                  <c:v>41030</c:v>
                </c:pt>
                <c:pt idx="269">
                  <c:v>41061</c:v>
                </c:pt>
                <c:pt idx="270">
                  <c:v>41091</c:v>
                </c:pt>
                <c:pt idx="271">
                  <c:v>41122</c:v>
                </c:pt>
                <c:pt idx="272">
                  <c:v>41153</c:v>
                </c:pt>
                <c:pt idx="273">
                  <c:v>41183</c:v>
                </c:pt>
                <c:pt idx="274">
                  <c:v>41214</c:v>
                </c:pt>
                <c:pt idx="275">
                  <c:v>41244</c:v>
                </c:pt>
                <c:pt idx="276">
                  <c:v>41275</c:v>
                </c:pt>
                <c:pt idx="277">
                  <c:v>41306</c:v>
                </c:pt>
                <c:pt idx="278">
                  <c:v>41334</c:v>
                </c:pt>
                <c:pt idx="279">
                  <c:v>41365</c:v>
                </c:pt>
                <c:pt idx="280">
                  <c:v>41395</c:v>
                </c:pt>
                <c:pt idx="281">
                  <c:v>41426</c:v>
                </c:pt>
                <c:pt idx="282">
                  <c:v>41456</c:v>
                </c:pt>
                <c:pt idx="283">
                  <c:v>41487</c:v>
                </c:pt>
                <c:pt idx="284">
                  <c:v>41518</c:v>
                </c:pt>
                <c:pt idx="285">
                  <c:v>41548</c:v>
                </c:pt>
                <c:pt idx="286">
                  <c:v>41579</c:v>
                </c:pt>
                <c:pt idx="287">
                  <c:v>41609</c:v>
                </c:pt>
                <c:pt idx="288">
                  <c:v>41640</c:v>
                </c:pt>
                <c:pt idx="289">
                  <c:v>41671</c:v>
                </c:pt>
                <c:pt idx="290">
                  <c:v>41699</c:v>
                </c:pt>
                <c:pt idx="291">
                  <c:v>41730</c:v>
                </c:pt>
                <c:pt idx="292">
                  <c:v>41760</c:v>
                </c:pt>
                <c:pt idx="293">
                  <c:v>41791</c:v>
                </c:pt>
                <c:pt idx="294">
                  <c:v>41821</c:v>
                </c:pt>
                <c:pt idx="295">
                  <c:v>41852</c:v>
                </c:pt>
                <c:pt idx="296">
                  <c:v>41883</c:v>
                </c:pt>
                <c:pt idx="297">
                  <c:v>41913</c:v>
                </c:pt>
                <c:pt idx="298">
                  <c:v>41944</c:v>
                </c:pt>
                <c:pt idx="299">
                  <c:v>41974</c:v>
                </c:pt>
                <c:pt idx="300">
                  <c:v>42005</c:v>
                </c:pt>
                <c:pt idx="301">
                  <c:v>42036</c:v>
                </c:pt>
                <c:pt idx="302">
                  <c:v>42064</c:v>
                </c:pt>
                <c:pt idx="303">
                  <c:v>42095</c:v>
                </c:pt>
                <c:pt idx="304">
                  <c:v>42125</c:v>
                </c:pt>
                <c:pt idx="305">
                  <c:v>42156</c:v>
                </c:pt>
                <c:pt idx="306">
                  <c:v>42186</c:v>
                </c:pt>
                <c:pt idx="307">
                  <c:v>42217</c:v>
                </c:pt>
                <c:pt idx="308">
                  <c:v>42248</c:v>
                </c:pt>
                <c:pt idx="309">
                  <c:v>42278</c:v>
                </c:pt>
                <c:pt idx="310">
                  <c:v>42309</c:v>
                </c:pt>
                <c:pt idx="311">
                  <c:v>42339</c:v>
                </c:pt>
                <c:pt idx="312">
                  <c:v>42370</c:v>
                </c:pt>
                <c:pt idx="313">
                  <c:v>42401</c:v>
                </c:pt>
                <c:pt idx="314">
                  <c:v>42430</c:v>
                </c:pt>
                <c:pt idx="315">
                  <c:v>42461</c:v>
                </c:pt>
                <c:pt idx="316">
                  <c:v>42491</c:v>
                </c:pt>
                <c:pt idx="317">
                  <c:v>42522</c:v>
                </c:pt>
                <c:pt idx="318">
                  <c:v>42552</c:v>
                </c:pt>
                <c:pt idx="319">
                  <c:v>42583</c:v>
                </c:pt>
                <c:pt idx="320">
                  <c:v>42614</c:v>
                </c:pt>
                <c:pt idx="321">
                  <c:v>42644</c:v>
                </c:pt>
                <c:pt idx="322">
                  <c:v>42675</c:v>
                </c:pt>
                <c:pt idx="323">
                  <c:v>42705</c:v>
                </c:pt>
                <c:pt idx="324">
                  <c:v>42736</c:v>
                </c:pt>
                <c:pt idx="325">
                  <c:v>42767</c:v>
                </c:pt>
                <c:pt idx="326">
                  <c:v>42795</c:v>
                </c:pt>
                <c:pt idx="327">
                  <c:v>42826</c:v>
                </c:pt>
                <c:pt idx="328">
                  <c:v>42856</c:v>
                </c:pt>
                <c:pt idx="329">
                  <c:v>42887</c:v>
                </c:pt>
                <c:pt idx="330">
                  <c:v>42917</c:v>
                </c:pt>
                <c:pt idx="331">
                  <c:v>42948</c:v>
                </c:pt>
                <c:pt idx="332">
                  <c:v>42979</c:v>
                </c:pt>
                <c:pt idx="333">
                  <c:v>43009</c:v>
                </c:pt>
                <c:pt idx="334">
                  <c:v>43040</c:v>
                </c:pt>
              </c:numCache>
            </c:numRef>
          </c:cat>
          <c:val>
            <c:numRef>
              <c:f>'Financial Activities'!$B$2:$B$336</c:f>
              <c:numCache>
                <c:formatCode>#,##0</c:formatCode>
                <c:ptCount val="335"/>
                <c:pt idx="0">
                  <c:v>366100</c:v>
                </c:pt>
                <c:pt idx="1">
                  <c:v>368700</c:v>
                </c:pt>
                <c:pt idx="2">
                  <c:v>370100</c:v>
                </c:pt>
                <c:pt idx="3">
                  <c:v>368900</c:v>
                </c:pt>
                <c:pt idx="4">
                  <c:v>369700</c:v>
                </c:pt>
                <c:pt idx="5">
                  <c:v>370100</c:v>
                </c:pt>
                <c:pt idx="6">
                  <c:v>368900</c:v>
                </c:pt>
                <c:pt idx="7">
                  <c:v>369900</c:v>
                </c:pt>
                <c:pt idx="8">
                  <c:v>371100</c:v>
                </c:pt>
                <c:pt idx="9">
                  <c:v>368200</c:v>
                </c:pt>
                <c:pt idx="10">
                  <c:v>367800</c:v>
                </c:pt>
                <c:pt idx="11">
                  <c:v>367600</c:v>
                </c:pt>
                <c:pt idx="12">
                  <c:v>362100</c:v>
                </c:pt>
                <c:pt idx="13">
                  <c:v>360800</c:v>
                </c:pt>
                <c:pt idx="14">
                  <c:v>360700</c:v>
                </c:pt>
                <c:pt idx="15">
                  <c:v>359600</c:v>
                </c:pt>
                <c:pt idx="16">
                  <c:v>359500</c:v>
                </c:pt>
                <c:pt idx="17">
                  <c:v>359700</c:v>
                </c:pt>
                <c:pt idx="18">
                  <c:v>358200</c:v>
                </c:pt>
                <c:pt idx="19">
                  <c:v>358900</c:v>
                </c:pt>
                <c:pt idx="20">
                  <c:v>359500</c:v>
                </c:pt>
                <c:pt idx="21">
                  <c:v>358600</c:v>
                </c:pt>
                <c:pt idx="22">
                  <c:v>358300</c:v>
                </c:pt>
                <c:pt idx="23">
                  <c:v>358100</c:v>
                </c:pt>
                <c:pt idx="24">
                  <c:v>362900</c:v>
                </c:pt>
                <c:pt idx="25">
                  <c:v>363000</c:v>
                </c:pt>
                <c:pt idx="26">
                  <c:v>362800</c:v>
                </c:pt>
                <c:pt idx="27">
                  <c:v>363500</c:v>
                </c:pt>
                <c:pt idx="28">
                  <c:v>364700</c:v>
                </c:pt>
                <c:pt idx="29">
                  <c:v>365000</c:v>
                </c:pt>
                <c:pt idx="30">
                  <c:v>364000</c:v>
                </c:pt>
                <c:pt idx="31">
                  <c:v>364200</c:v>
                </c:pt>
                <c:pt idx="32">
                  <c:v>364000</c:v>
                </c:pt>
                <c:pt idx="33">
                  <c:v>366400</c:v>
                </c:pt>
                <c:pt idx="34">
                  <c:v>367300</c:v>
                </c:pt>
                <c:pt idx="35">
                  <c:v>368100</c:v>
                </c:pt>
                <c:pt idx="36">
                  <c:v>368700</c:v>
                </c:pt>
                <c:pt idx="37">
                  <c:v>370100</c:v>
                </c:pt>
                <c:pt idx="38">
                  <c:v>370400</c:v>
                </c:pt>
                <c:pt idx="39">
                  <c:v>371800</c:v>
                </c:pt>
                <c:pt idx="40">
                  <c:v>372600</c:v>
                </c:pt>
                <c:pt idx="41">
                  <c:v>373800</c:v>
                </c:pt>
                <c:pt idx="42">
                  <c:v>376000</c:v>
                </c:pt>
                <c:pt idx="43">
                  <c:v>377700</c:v>
                </c:pt>
                <c:pt idx="44">
                  <c:v>378700</c:v>
                </c:pt>
                <c:pt idx="45">
                  <c:v>380300</c:v>
                </c:pt>
                <c:pt idx="46">
                  <c:v>381600</c:v>
                </c:pt>
                <c:pt idx="47">
                  <c:v>383100</c:v>
                </c:pt>
                <c:pt idx="48">
                  <c:v>387400</c:v>
                </c:pt>
                <c:pt idx="49">
                  <c:v>387700</c:v>
                </c:pt>
                <c:pt idx="50">
                  <c:v>389500</c:v>
                </c:pt>
                <c:pt idx="51">
                  <c:v>390800</c:v>
                </c:pt>
                <c:pt idx="52">
                  <c:v>390800</c:v>
                </c:pt>
                <c:pt idx="53">
                  <c:v>391500</c:v>
                </c:pt>
                <c:pt idx="54">
                  <c:v>392800</c:v>
                </c:pt>
                <c:pt idx="55">
                  <c:v>393300</c:v>
                </c:pt>
                <c:pt idx="56">
                  <c:v>394500</c:v>
                </c:pt>
                <c:pt idx="57">
                  <c:v>392800</c:v>
                </c:pt>
                <c:pt idx="58">
                  <c:v>393900</c:v>
                </c:pt>
                <c:pt idx="59">
                  <c:v>395500</c:v>
                </c:pt>
                <c:pt idx="60">
                  <c:v>397500</c:v>
                </c:pt>
                <c:pt idx="61">
                  <c:v>398500</c:v>
                </c:pt>
                <c:pt idx="62">
                  <c:v>400000</c:v>
                </c:pt>
                <c:pt idx="63">
                  <c:v>399900</c:v>
                </c:pt>
                <c:pt idx="64">
                  <c:v>399800</c:v>
                </c:pt>
                <c:pt idx="65">
                  <c:v>401000</c:v>
                </c:pt>
                <c:pt idx="66">
                  <c:v>401200</c:v>
                </c:pt>
                <c:pt idx="67">
                  <c:v>402200</c:v>
                </c:pt>
                <c:pt idx="68">
                  <c:v>404600</c:v>
                </c:pt>
                <c:pt idx="69">
                  <c:v>401300</c:v>
                </c:pt>
                <c:pt idx="70">
                  <c:v>403600</c:v>
                </c:pt>
                <c:pt idx="71">
                  <c:v>404000</c:v>
                </c:pt>
                <c:pt idx="72">
                  <c:v>404300</c:v>
                </c:pt>
                <c:pt idx="73">
                  <c:v>405300</c:v>
                </c:pt>
                <c:pt idx="74">
                  <c:v>405900</c:v>
                </c:pt>
                <c:pt idx="75">
                  <c:v>407100</c:v>
                </c:pt>
                <c:pt idx="76">
                  <c:v>409200</c:v>
                </c:pt>
                <c:pt idx="77">
                  <c:v>410600</c:v>
                </c:pt>
                <c:pt idx="78">
                  <c:v>411200</c:v>
                </c:pt>
                <c:pt idx="79">
                  <c:v>413700</c:v>
                </c:pt>
                <c:pt idx="80">
                  <c:v>414400</c:v>
                </c:pt>
                <c:pt idx="81">
                  <c:v>415700</c:v>
                </c:pt>
                <c:pt idx="82">
                  <c:v>416200</c:v>
                </c:pt>
                <c:pt idx="83">
                  <c:v>418300</c:v>
                </c:pt>
                <c:pt idx="84">
                  <c:v>414500</c:v>
                </c:pt>
                <c:pt idx="85">
                  <c:v>416800</c:v>
                </c:pt>
                <c:pt idx="86">
                  <c:v>419500</c:v>
                </c:pt>
                <c:pt idx="87">
                  <c:v>425600</c:v>
                </c:pt>
                <c:pt idx="88">
                  <c:v>428200</c:v>
                </c:pt>
                <c:pt idx="89">
                  <c:v>429900</c:v>
                </c:pt>
                <c:pt idx="90">
                  <c:v>432700</c:v>
                </c:pt>
                <c:pt idx="91">
                  <c:v>434200</c:v>
                </c:pt>
                <c:pt idx="92">
                  <c:v>437100</c:v>
                </c:pt>
                <c:pt idx="93">
                  <c:v>433700</c:v>
                </c:pt>
                <c:pt idx="94">
                  <c:v>436700</c:v>
                </c:pt>
                <c:pt idx="95">
                  <c:v>439300</c:v>
                </c:pt>
                <c:pt idx="96">
                  <c:v>444900</c:v>
                </c:pt>
                <c:pt idx="97">
                  <c:v>446700</c:v>
                </c:pt>
                <c:pt idx="98">
                  <c:v>447200</c:v>
                </c:pt>
                <c:pt idx="99">
                  <c:v>446800</c:v>
                </c:pt>
                <c:pt idx="100">
                  <c:v>447400</c:v>
                </c:pt>
                <c:pt idx="101">
                  <c:v>448200</c:v>
                </c:pt>
                <c:pt idx="102">
                  <c:v>452400</c:v>
                </c:pt>
                <c:pt idx="103">
                  <c:v>452400</c:v>
                </c:pt>
                <c:pt idx="104">
                  <c:v>452200</c:v>
                </c:pt>
                <c:pt idx="105">
                  <c:v>453900</c:v>
                </c:pt>
                <c:pt idx="106">
                  <c:v>454500</c:v>
                </c:pt>
                <c:pt idx="107">
                  <c:v>455500</c:v>
                </c:pt>
                <c:pt idx="108">
                  <c:v>458300</c:v>
                </c:pt>
                <c:pt idx="109">
                  <c:v>460400</c:v>
                </c:pt>
                <c:pt idx="110">
                  <c:v>460300</c:v>
                </c:pt>
                <c:pt idx="111">
                  <c:v>458900</c:v>
                </c:pt>
                <c:pt idx="112">
                  <c:v>459700</c:v>
                </c:pt>
                <c:pt idx="113">
                  <c:v>460900</c:v>
                </c:pt>
                <c:pt idx="114">
                  <c:v>462800</c:v>
                </c:pt>
                <c:pt idx="115">
                  <c:v>464000</c:v>
                </c:pt>
                <c:pt idx="116">
                  <c:v>461400</c:v>
                </c:pt>
                <c:pt idx="117">
                  <c:v>464500</c:v>
                </c:pt>
                <c:pt idx="118">
                  <c:v>466000</c:v>
                </c:pt>
                <c:pt idx="119">
                  <c:v>467600</c:v>
                </c:pt>
                <c:pt idx="120">
                  <c:v>467600</c:v>
                </c:pt>
                <c:pt idx="121">
                  <c:v>467800</c:v>
                </c:pt>
                <c:pt idx="122">
                  <c:v>470000</c:v>
                </c:pt>
                <c:pt idx="123">
                  <c:v>470300</c:v>
                </c:pt>
                <c:pt idx="124">
                  <c:v>472600</c:v>
                </c:pt>
                <c:pt idx="125">
                  <c:v>475900</c:v>
                </c:pt>
                <c:pt idx="126">
                  <c:v>473000</c:v>
                </c:pt>
                <c:pt idx="127">
                  <c:v>474000</c:v>
                </c:pt>
                <c:pt idx="128">
                  <c:v>476600</c:v>
                </c:pt>
                <c:pt idx="129">
                  <c:v>476200</c:v>
                </c:pt>
                <c:pt idx="130">
                  <c:v>476700</c:v>
                </c:pt>
                <c:pt idx="131">
                  <c:v>477400</c:v>
                </c:pt>
                <c:pt idx="132">
                  <c:v>473700</c:v>
                </c:pt>
                <c:pt idx="133">
                  <c:v>475600</c:v>
                </c:pt>
                <c:pt idx="134">
                  <c:v>477400</c:v>
                </c:pt>
                <c:pt idx="135">
                  <c:v>479300</c:v>
                </c:pt>
                <c:pt idx="136">
                  <c:v>480200</c:v>
                </c:pt>
                <c:pt idx="137">
                  <c:v>480900</c:v>
                </c:pt>
                <c:pt idx="138">
                  <c:v>480600</c:v>
                </c:pt>
                <c:pt idx="139">
                  <c:v>481300</c:v>
                </c:pt>
                <c:pt idx="140">
                  <c:v>481700</c:v>
                </c:pt>
                <c:pt idx="141">
                  <c:v>481300</c:v>
                </c:pt>
                <c:pt idx="142">
                  <c:v>480900</c:v>
                </c:pt>
                <c:pt idx="143">
                  <c:v>480400</c:v>
                </c:pt>
                <c:pt idx="144">
                  <c:v>483400</c:v>
                </c:pt>
                <c:pt idx="145">
                  <c:v>484200</c:v>
                </c:pt>
                <c:pt idx="146">
                  <c:v>484000</c:v>
                </c:pt>
                <c:pt idx="147">
                  <c:v>482000</c:v>
                </c:pt>
                <c:pt idx="148">
                  <c:v>482600</c:v>
                </c:pt>
                <c:pt idx="149">
                  <c:v>483700</c:v>
                </c:pt>
                <c:pt idx="150">
                  <c:v>484700</c:v>
                </c:pt>
                <c:pt idx="151">
                  <c:v>485400</c:v>
                </c:pt>
                <c:pt idx="152">
                  <c:v>486100</c:v>
                </c:pt>
                <c:pt idx="153">
                  <c:v>487200</c:v>
                </c:pt>
                <c:pt idx="154">
                  <c:v>488800</c:v>
                </c:pt>
                <c:pt idx="155">
                  <c:v>488900</c:v>
                </c:pt>
                <c:pt idx="156">
                  <c:v>489600</c:v>
                </c:pt>
                <c:pt idx="157">
                  <c:v>490300</c:v>
                </c:pt>
                <c:pt idx="158">
                  <c:v>490700</c:v>
                </c:pt>
                <c:pt idx="159">
                  <c:v>491800</c:v>
                </c:pt>
                <c:pt idx="160">
                  <c:v>493200</c:v>
                </c:pt>
                <c:pt idx="161">
                  <c:v>495200</c:v>
                </c:pt>
                <c:pt idx="162">
                  <c:v>496900</c:v>
                </c:pt>
                <c:pt idx="163">
                  <c:v>498600</c:v>
                </c:pt>
                <c:pt idx="164">
                  <c:v>500200</c:v>
                </c:pt>
                <c:pt idx="165">
                  <c:v>500300</c:v>
                </c:pt>
                <c:pt idx="166">
                  <c:v>500600</c:v>
                </c:pt>
                <c:pt idx="167">
                  <c:v>501900</c:v>
                </c:pt>
                <c:pt idx="168">
                  <c:v>504500</c:v>
                </c:pt>
                <c:pt idx="169">
                  <c:v>506100</c:v>
                </c:pt>
                <c:pt idx="170">
                  <c:v>508000</c:v>
                </c:pt>
                <c:pt idx="171">
                  <c:v>510900</c:v>
                </c:pt>
                <c:pt idx="172">
                  <c:v>512500</c:v>
                </c:pt>
                <c:pt idx="173">
                  <c:v>513299.99999999994</c:v>
                </c:pt>
                <c:pt idx="174">
                  <c:v>514799.99999999994</c:v>
                </c:pt>
                <c:pt idx="175">
                  <c:v>516799.99999999994</c:v>
                </c:pt>
                <c:pt idx="176">
                  <c:v>517299.99999999994</c:v>
                </c:pt>
                <c:pt idx="177">
                  <c:v>521400</c:v>
                </c:pt>
                <c:pt idx="178">
                  <c:v>522700.00000000006</c:v>
                </c:pt>
                <c:pt idx="179">
                  <c:v>525100</c:v>
                </c:pt>
                <c:pt idx="180">
                  <c:v>526800</c:v>
                </c:pt>
                <c:pt idx="181">
                  <c:v>528600</c:v>
                </c:pt>
                <c:pt idx="182">
                  <c:v>528800</c:v>
                </c:pt>
                <c:pt idx="183">
                  <c:v>533100</c:v>
                </c:pt>
                <c:pt idx="184">
                  <c:v>535800</c:v>
                </c:pt>
                <c:pt idx="185">
                  <c:v>537800</c:v>
                </c:pt>
                <c:pt idx="186">
                  <c:v>541900</c:v>
                </c:pt>
                <c:pt idx="187">
                  <c:v>543600</c:v>
                </c:pt>
                <c:pt idx="188">
                  <c:v>547000</c:v>
                </c:pt>
                <c:pt idx="189">
                  <c:v>549200</c:v>
                </c:pt>
                <c:pt idx="190">
                  <c:v>551700</c:v>
                </c:pt>
                <c:pt idx="191">
                  <c:v>554900</c:v>
                </c:pt>
                <c:pt idx="192">
                  <c:v>553200</c:v>
                </c:pt>
                <c:pt idx="193">
                  <c:v>554800</c:v>
                </c:pt>
                <c:pt idx="194">
                  <c:v>556600</c:v>
                </c:pt>
                <c:pt idx="195">
                  <c:v>556900</c:v>
                </c:pt>
                <c:pt idx="196">
                  <c:v>558000</c:v>
                </c:pt>
                <c:pt idx="197">
                  <c:v>557600</c:v>
                </c:pt>
                <c:pt idx="198">
                  <c:v>556500</c:v>
                </c:pt>
                <c:pt idx="199">
                  <c:v>557100</c:v>
                </c:pt>
                <c:pt idx="200">
                  <c:v>557100</c:v>
                </c:pt>
                <c:pt idx="201">
                  <c:v>557700</c:v>
                </c:pt>
                <c:pt idx="202">
                  <c:v>556300</c:v>
                </c:pt>
                <c:pt idx="203">
                  <c:v>557800</c:v>
                </c:pt>
                <c:pt idx="204">
                  <c:v>555700</c:v>
                </c:pt>
                <c:pt idx="205">
                  <c:v>556400</c:v>
                </c:pt>
                <c:pt idx="206">
                  <c:v>556800</c:v>
                </c:pt>
                <c:pt idx="207">
                  <c:v>555000</c:v>
                </c:pt>
                <c:pt idx="208">
                  <c:v>553700</c:v>
                </c:pt>
                <c:pt idx="209">
                  <c:v>552800</c:v>
                </c:pt>
                <c:pt idx="210">
                  <c:v>551900</c:v>
                </c:pt>
                <c:pt idx="211">
                  <c:v>550000</c:v>
                </c:pt>
                <c:pt idx="212">
                  <c:v>548400</c:v>
                </c:pt>
                <c:pt idx="213">
                  <c:v>545700</c:v>
                </c:pt>
                <c:pt idx="214">
                  <c:v>544100</c:v>
                </c:pt>
                <c:pt idx="215">
                  <c:v>543000</c:v>
                </c:pt>
                <c:pt idx="216">
                  <c:v>542300</c:v>
                </c:pt>
                <c:pt idx="217">
                  <c:v>540400</c:v>
                </c:pt>
                <c:pt idx="218">
                  <c:v>538700</c:v>
                </c:pt>
                <c:pt idx="219">
                  <c:v>533700</c:v>
                </c:pt>
                <c:pt idx="220">
                  <c:v>530800</c:v>
                </c:pt>
                <c:pt idx="221">
                  <c:v>527900</c:v>
                </c:pt>
                <c:pt idx="222">
                  <c:v>524500</c:v>
                </c:pt>
                <c:pt idx="223">
                  <c:v>521700.00000000006</c:v>
                </c:pt>
                <c:pt idx="224">
                  <c:v>519100</c:v>
                </c:pt>
                <c:pt idx="225">
                  <c:v>514100</c:v>
                </c:pt>
                <c:pt idx="226">
                  <c:v>510700</c:v>
                </c:pt>
                <c:pt idx="227">
                  <c:v>507500</c:v>
                </c:pt>
                <c:pt idx="228">
                  <c:v>501800</c:v>
                </c:pt>
                <c:pt idx="229">
                  <c:v>497900</c:v>
                </c:pt>
                <c:pt idx="230">
                  <c:v>494100</c:v>
                </c:pt>
                <c:pt idx="231">
                  <c:v>491300</c:v>
                </c:pt>
                <c:pt idx="232">
                  <c:v>490200</c:v>
                </c:pt>
                <c:pt idx="233">
                  <c:v>488000</c:v>
                </c:pt>
                <c:pt idx="234">
                  <c:v>485000</c:v>
                </c:pt>
                <c:pt idx="235">
                  <c:v>483100</c:v>
                </c:pt>
                <c:pt idx="236">
                  <c:v>481000</c:v>
                </c:pt>
                <c:pt idx="237">
                  <c:v>480200</c:v>
                </c:pt>
                <c:pt idx="238">
                  <c:v>478900</c:v>
                </c:pt>
                <c:pt idx="239">
                  <c:v>477000</c:v>
                </c:pt>
                <c:pt idx="240">
                  <c:v>477000</c:v>
                </c:pt>
                <c:pt idx="241">
                  <c:v>476600</c:v>
                </c:pt>
                <c:pt idx="242">
                  <c:v>476400</c:v>
                </c:pt>
                <c:pt idx="243">
                  <c:v>476000</c:v>
                </c:pt>
                <c:pt idx="244">
                  <c:v>476900</c:v>
                </c:pt>
                <c:pt idx="245">
                  <c:v>477100</c:v>
                </c:pt>
                <c:pt idx="246">
                  <c:v>478100</c:v>
                </c:pt>
                <c:pt idx="247">
                  <c:v>478300</c:v>
                </c:pt>
                <c:pt idx="248">
                  <c:v>477400</c:v>
                </c:pt>
                <c:pt idx="249">
                  <c:v>479700</c:v>
                </c:pt>
                <c:pt idx="250">
                  <c:v>480800</c:v>
                </c:pt>
                <c:pt idx="251">
                  <c:v>481500</c:v>
                </c:pt>
                <c:pt idx="252">
                  <c:v>482700</c:v>
                </c:pt>
                <c:pt idx="253">
                  <c:v>482700</c:v>
                </c:pt>
                <c:pt idx="254">
                  <c:v>483500</c:v>
                </c:pt>
                <c:pt idx="255">
                  <c:v>484800</c:v>
                </c:pt>
                <c:pt idx="256">
                  <c:v>484500</c:v>
                </c:pt>
                <c:pt idx="257">
                  <c:v>483500</c:v>
                </c:pt>
                <c:pt idx="258">
                  <c:v>486900</c:v>
                </c:pt>
                <c:pt idx="259">
                  <c:v>487500</c:v>
                </c:pt>
                <c:pt idx="260">
                  <c:v>491300</c:v>
                </c:pt>
                <c:pt idx="261">
                  <c:v>490100</c:v>
                </c:pt>
                <c:pt idx="262">
                  <c:v>489700</c:v>
                </c:pt>
                <c:pt idx="263">
                  <c:v>491300</c:v>
                </c:pt>
                <c:pt idx="264">
                  <c:v>492600</c:v>
                </c:pt>
                <c:pt idx="265">
                  <c:v>493600</c:v>
                </c:pt>
                <c:pt idx="266">
                  <c:v>494900</c:v>
                </c:pt>
                <c:pt idx="267">
                  <c:v>497000</c:v>
                </c:pt>
                <c:pt idx="268">
                  <c:v>497900</c:v>
                </c:pt>
                <c:pt idx="269">
                  <c:v>499200</c:v>
                </c:pt>
                <c:pt idx="270">
                  <c:v>500000</c:v>
                </c:pt>
                <c:pt idx="271">
                  <c:v>501300</c:v>
                </c:pt>
                <c:pt idx="272">
                  <c:v>502100</c:v>
                </c:pt>
                <c:pt idx="273">
                  <c:v>504400</c:v>
                </c:pt>
                <c:pt idx="274">
                  <c:v>505100</c:v>
                </c:pt>
                <c:pt idx="275">
                  <c:v>506200</c:v>
                </c:pt>
                <c:pt idx="276">
                  <c:v>507000</c:v>
                </c:pt>
                <c:pt idx="277">
                  <c:v>508000</c:v>
                </c:pt>
                <c:pt idx="278">
                  <c:v>509300</c:v>
                </c:pt>
                <c:pt idx="279">
                  <c:v>510400</c:v>
                </c:pt>
                <c:pt idx="280">
                  <c:v>510800</c:v>
                </c:pt>
                <c:pt idx="281">
                  <c:v>512900</c:v>
                </c:pt>
                <c:pt idx="282">
                  <c:v>513799.99999999994</c:v>
                </c:pt>
                <c:pt idx="283">
                  <c:v>515200.00000000006</c:v>
                </c:pt>
                <c:pt idx="284">
                  <c:v>515900</c:v>
                </c:pt>
                <c:pt idx="285">
                  <c:v>516100</c:v>
                </c:pt>
                <c:pt idx="286">
                  <c:v>516600</c:v>
                </c:pt>
                <c:pt idx="287">
                  <c:v>517600</c:v>
                </c:pt>
                <c:pt idx="288">
                  <c:v>515900</c:v>
                </c:pt>
                <c:pt idx="289">
                  <c:v>516600</c:v>
                </c:pt>
                <c:pt idx="290">
                  <c:v>517600</c:v>
                </c:pt>
                <c:pt idx="291">
                  <c:v>518700.00000000006</c:v>
                </c:pt>
                <c:pt idx="292">
                  <c:v>520000</c:v>
                </c:pt>
                <c:pt idx="293">
                  <c:v>520600</c:v>
                </c:pt>
                <c:pt idx="294">
                  <c:v>522000</c:v>
                </c:pt>
                <c:pt idx="295">
                  <c:v>523000</c:v>
                </c:pt>
                <c:pt idx="296">
                  <c:v>524100</c:v>
                </c:pt>
                <c:pt idx="297">
                  <c:v>524800</c:v>
                </c:pt>
                <c:pt idx="298">
                  <c:v>525700</c:v>
                </c:pt>
                <c:pt idx="299">
                  <c:v>527000</c:v>
                </c:pt>
                <c:pt idx="300">
                  <c:v>528700</c:v>
                </c:pt>
                <c:pt idx="301">
                  <c:v>529500</c:v>
                </c:pt>
                <c:pt idx="302">
                  <c:v>530300</c:v>
                </c:pt>
                <c:pt idx="303">
                  <c:v>531000</c:v>
                </c:pt>
                <c:pt idx="304">
                  <c:v>532300</c:v>
                </c:pt>
                <c:pt idx="305">
                  <c:v>533000</c:v>
                </c:pt>
                <c:pt idx="306">
                  <c:v>534400</c:v>
                </c:pt>
                <c:pt idx="307">
                  <c:v>535500</c:v>
                </c:pt>
                <c:pt idx="308">
                  <c:v>536500</c:v>
                </c:pt>
                <c:pt idx="309">
                  <c:v>538200</c:v>
                </c:pt>
                <c:pt idx="310">
                  <c:v>539600</c:v>
                </c:pt>
                <c:pt idx="311">
                  <c:v>540100</c:v>
                </c:pt>
                <c:pt idx="312">
                  <c:v>541700</c:v>
                </c:pt>
                <c:pt idx="313">
                  <c:v>542700</c:v>
                </c:pt>
                <c:pt idx="314">
                  <c:v>542300</c:v>
                </c:pt>
                <c:pt idx="315">
                  <c:v>544500</c:v>
                </c:pt>
                <c:pt idx="316">
                  <c:v>545200</c:v>
                </c:pt>
                <c:pt idx="317">
                  <c:v>546000</c:v>
                </c:pt>
                <c:pt idx="318">
                  <c:v>546800</c:v>
                </c:pt>
                <c:pt idx="319">
                  <c:v>547700</c:v>
                </c:pt>
                <c:pt idx="320">
                  <c:v>548400</c:v>
                </c:pt>
                <c:pt idx="321">
                  <c:v>551600</c:v>
                </c:pt>
                <c:pt idx="322">
                  <c:v>551900</c:v>
                </c:pt>
                <c:pt idx="323">
                  <c:v>553000</c:v>
                </c:pt>
                <c:pt idx="324">
                  <c:v>553500</c:v>
                </c:pt>
                <c:pt idx="325">
                  <c:v>553300</c:v>
                </c:pt>
                <c:pt idx="326">
                  <c:v>553900</c:v>
                </c:pt>
                <c:pt idx="327">
                  <c:v>555500</c:v>
                </c:pt>
                <c:pt idx="328">
                  <c:v>554700</c:v>
                </c:pt>
                <c:pt idx="329">
                  <c:v>556300</c:v>
                </c:pt>
                <c:pt idx="330">
                  <c:v>558600</c:v>
                </c:pt>
                <c:pt idx="331">
                  <c:v>559000</c:v>
                </c:pt>
                <c:pt idx="332">
                  <c:v>560100</c:v>
                </c:pt>
                <c:pt idx="333">
                  <c:v>562200</c:v>
                </c:pt>
                <c:pt idx="334">
                  <c:v>567400</c:v>
                </c:pt>
              </c:numCache>
            </c:numRef>
          </c:val>
          <c:smooth val="0"/>
          <c:extLst>
            <c:ext xmlns:c16="http://schemas.microsoft.com/office/drawing/2014/chart" uri="{C3380CC4-5D6E-409C-BE32-E72D297353CC}">
              <c16:uniqueId val="{00000000-62CD-4021-8AAE-116E20C65E67}"/>
            </c:ext>
          </c:extLst>
        </c:ser>
        <c:dLbls>
          <c:showLegendKey val="0"/>
          <c:showVal val="0"/>
          <c:showCatName val="0"/>
          <c:showSerName val="0"/>
          <c:showPercent val="0"/>
          <c:showBubbleSize val="0"/>
        </c:dLbls>
        <c:smooth val="0"/>
        <c:axId val="277306032"/>
        <c:axId val="277306424"/>
      </c:lineChart>
      <c:dateAx>
        <c:axId val="277306032"/>
        <c:scaling>
          <c:orientation val="minMax"/>
        </c:scaling>
        <c:delete val="0"/>
        <c:axPos val="b"/>
        <c:numFmt formatCode="mmm\-yy"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77306424"/>
        <c:crosses val="autoZero"/>
        <c:auto val="1"/>
        <c:lblOffset val="100"/>
        <c:baseTimeUnit val="months"/>
      </c:dateAx>
      <c:valAx>
        <c:axId val="277306424"/>
        <c:scaling>
          <c:orientation val="minMax"/>
          <c:min val="330000"/>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77306032"/>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848510602841312"/>
          <c:y val="3.5294117647058823E-2"/>
          <c:w val="0.86823447069116355"/>
          <c:h val="0.79933981781689056"/>
        </c:manualLayout>
      </c:layout>
      <c:lineChart>
        <c:grouping val="standard"/>
        <c:varyColors val="0"/>
        <c:ser>
          <c:idx val="0"/>
          <c:order val="0"/>
          <c:spPr>
            <a:ln w="28575" cap="rnd">
              <a:solidFill>
                <a:srgbClr val="003F5C"/>
              </a:solidFill>
              <a:round/>
            </a:ln>
            <a:effectLst/>
          </c:spPr>
          <c:marker>
            <c:symbol val="none"/>
          </c:marker>
          <c:cat>
            <c:numRef>
              <c:f>'Prof Bus Serv'!$A$2:$A$336</c:f>
              <c:numCache>
                <c:formatCode>mmm\-yy</c:formatCode>
                <c:ptCount val="335"/>
                <c:pt idx="0">
                  <c:v>32874</c:v>
                </c:pt>
                <c:pt idx="1">
                  <c:v>32905</c:v>
                </c:pt>
                <c:pt idx="2">
                  <c:v>32933</c:v>
                </c:pt>
                <c:pt idx="3">
                  <c:v>32964</c:v>
                </c:pt>
                <c:pt idx="4">
                  <c:v>32994</c:v>
                </c:pt>
                <c:pt idx="5">
                  <c:v>33025</c:v>
                </c:pt>
                <c:pt idx="6">
                  <c:v>33055</c:v>
                </c:pt>
                <c:pt idx="7">
                  <c:v>33086</c:v>
                </c:pt>
                <c:pt idx="8">
                  <c:v>33117</c:v>
                </c:pt>
                <c:pt idx="9">
                  <c:v>33147</c:v>
                </c:pt>
                <c:pt idx="10">
                  <c:v>33178</c:v>
                </c:pt>
                <c:pt idx="11">
                  <c:v>33208</c:v>
                </c:pt>
                <c:pt idx="12">
                  <c:v>33239</c:v>
                </c:pt>
                <c:pt idx="13">
                  <c:v>33270</c:v>
                </c:pt>
                <c:pt idx="14">
                  <c:v>33298</c:v>
                </c:pt>
                <c:pt idx="15">
                  <c:v>33329</c:v>
                </c:pt>
                <c:pt idx="16">
                  <c:v>33359</c:v>
                </c:pt>
                <c:pt idx="17">
                  <c:v>33390</c:v>
                </c:pt>
                <c:pt idx="18">
                  <c:v>33420</c:v>
                </c:pt>
                <c:pt idx="19">
                  <c:v>33451</c:v>
                </c:pt>
                <c:pt idx="20">
                  <c:v>33482</c:v>
                </c:pt>
                <c:pt idx="21">
                  <c:v>33512</c:v>
                </c:pt>
                <c:pt idx="22">
                  <c:v>33543</c:v>
                </c:pt>
                <c:pt idx="23">
                  <c:v>33573</c:v>
                </c:pt>
                <c:pt idx="24">
                  <c:v>33604</c:v>
                </c:pt>
                <c:pt idx="25">
                  <c:v>33635</c:v>
                </c:pt>
                <c:pt idx="26">
                  <c:v>33664</c:v>
                </c:pt>
                <c:pt idx="27">
                  <c:v>33695</c:v>
                </c:pt>
                <c:pt idx="28">
                  <c:v>33725</c:v>
                </c:pt>
                <c:pt idx="29">
                  <c:v>33756</c:v>
                </c:pt>
                <c:pt idx="30">
                  <c:v>33786</c:v>
                </c:pt>
                <c:pt idx="31">
                  <c:v>33817</c:v>
                </c:pt>
                <c:pt idx="32">
                  <c:v>33848</c:v>
                </c:pt>
                <c:pt idx="33">
                  <c:v>33878</c:v>
                </c:pt>
                <c:pt idx="34">
                  <c:v>33909</c:v>
                </c:pt>
                <c:pt idx="35">
                  <c:v>33939</c:v>
                </c:pt>
                <c:pt idx="36">
                  <c:v>33970</c:v>
                </c:pt>
                <c:pt idx="37">
                  <c:v>34001</c:v>
                </c:pt>
                <c:pt idx="38">
                  <c:v>34029</c:v>
                </c:pt>
                <c:pt idx="39">
                  <c:v>34060</c:v>
                </c:pt>
                <c:pt idx="40">
                  <c:v>34090</c:v>
                </c:pt>
                <c:pt idx="41">
                  <c:v>34121</c:v>
                </c:pt>
                <c:pt idx="42">
                  <c:v>34151</c:v>
                </c:pt>
                <c:pt idx="43">
                  <c:v>34182</c:v>
                </c:pt>
                <c:pt idx="44">
                  <c:v>34213</c:v>
                </c:pt>
                <c:pt idx="45">
                  <c:v>34243</c:v>
                </c:pt>
                <c:pt idx="46">
                  <c:v>34274</c:v>
                </c:pt>
                <c:pt idx="47">
                  <c:v>34304</c:v>
                </c:pt>
                <c:pt idx="48">
                  <c:v>34335</c:v>
                </c:pt>
                <c:pt idx="49">
                  <c:v>34366</c:v>
                </c:pt>
                <c:pt idx="50">
                  <c:v>34394</c:v>
                </c:pt>
                <c:pt idx="51">
                  <c:v>34425</c:v>
                </c:pt>
                <c:pt idx="52">
                  <c:v>34455</c:v>
                </c:pt>
                <c:pt idx="53">
                  <c:v>34486</c:v>
                </c:pt>
                <c:pt idx="54">
                  <c:v>34516</c:v>
                </c:pt>
                <c:pt idx="55">
                  <c:v>34547</c:v>
                </c:pt>
                <c:pt idx="56">
                  <c:v>34578</c:v>
                </c:pt>
                <c:pt idx="57">
                  <c:v>34608</c:v>
                </c:pt>
                <c:pt idx="58">
                  <c:v>34639</c:v>
                </c:pt>
                <c:pt idx="59">
                  <c:v>34669</c:v>
                </c:pt>
                <c:pt idx="60">
                  <c:v>34700</c:v>
                </c:pt>
                <c:pt idx="61">
                  <c:v>34731</c:v>
                </c:pt>
                <c:pt idx="62">
                  <c:v>34759</c:v>
                </c:pt>
                <c:pt idx="63">
                  <c:v>34790</c:v>
                </c:pt>
                <c:pt idx="64">
                  <c:v>34820</c:v>
                </c:pt>
                <c:pt idx="65">
                  <c:v>34851</c:v>
                </c:pt>
                <c:pt idx="66">
                  <c:v>34881</c:v>
                </c:pt>
                <c:pt idx="67">
                  <c:v>34912</c:v>
                </c:pt>
                <c:pt idx="68">
                  <c:v>34943</c:v>
                </c:pt>
                <c:pt idx="69">
                  <c:v>34973</c:v>
                </c:pt>
                <c:pt idx="70">
                  <c:v>35004</c:v>
                </c:pt>
                <c:pt idx="71">
                  <c:v>35034</c:v>
                </c:pt>
                <c:pt idx="72">
                  <c:v>35065</c:v>
                </c:pt>
                <c:pt idx="73">
                  <c:v>35096</c:v>
                </c:pt>
                <c:pt idx="74">
                  <c:v>35125</c:v>
                </c:pt>
                <c:pt idx="75">
                  <c:v>35156</c:v>
                </c:pt>
                <c:pt idx="76">
                  <c:v>35186</c:v>
                </c:pt>
                <c:pt idx="77">
                  <c:v>35217</c:v>
                </c:pt>
                <c:pt idx="78">
                  <c:v>35247</c:v>
                </c:pt>
                <c:pt idx="79">
                  <c:v>35278</c:v>
                </c:pt>
                <c:pt idx="80">
                  <c:v>35309</c:v>
                </c:pt>
                <c:pt idx="81">
                  <c:v>35339</c:v>
                </c:pt>
                <c:pt idx="82">
                  <c:v>35370</c:v>
                </c:pt>
                <c:pt idx="83">
                  <c:v>35400</c:v>
                </c:pt>
                <c:pt idx="84">
                  <c:v>35431</c:v>
                </c:pt>
                <c:pt idx="85">
                  <c:v>35462</c:v>
                </c:pt>
                <c:pt idx="86">
                  <c:v>35490</c:v>
                </c:pt>
                <c:pt idx="87">
                  <c:v>35521</c:v>
                </c:pt>
                <c:pt idx="88">
                  <c:v>35551</c:v>
                </c:pt>
                <c:pt idx="89">
                  <c:v>35582</c:v>
                </c:pt>
                <c:pt idx="90">
                  <c:v>35612</c:v>
                </c:pt>
                <c:pt idx="91">
                  <c:v>35643</c:v>
                </c:pt>
                <c:pt idx="92">
                  <c:v>35674</c:v>
                </c:pt>
                <c:pt idx="93">
                  <c:v>35704</c:v>
                </c:pt>
                <c:pt idx="94">
                  <c:v>35735</c:v>
                </c:pt>
                <c:pt idx="95">
                  <c:v>35765</c:v>
                </c:pt>
                <c:pt idx="96">
                  <c:v>35796</c:v>
                </c:pt>
                <c:pt idx="97">
                  <c:v>35827</c:v>
                </c:pt>
                <c:pt idx="98">
                  <c:v>35855</c:v>
                </c:pt>
                <c:pt idx="99">
                  <c:v>35886</c:v>
                </c:pt>
                <c:pt idx="100">
                  <c:v>35916</c:v>
                </c:pt>
                <c:pt idx="101">
                  <c:v>35947</c:v>
                </c:pt>
                <c:pt idx="102">
                  <c:v>35977</c:v>
                </c:pt>
                <c:pt idx="103">
                  <c:v>36008</c:v>
                </c:pt>
                <c:pt idx="104">
                  <c:v>36039</c:v>
                </c:pt>
                <c:pt idx="105">
                  <c:v>36069</c:v>
                </c:pt>
                <c:pt idx="106">
                  <c:v>36100</c:v>
                </c:pt>
                <c:pt idx="107">
                  <c:v>36130</c:v>
                </c:pt>
                <c:pt idx="108">
                  <c:v>36161</c:v>
                </c:pt>
                <c:pt idx="109">
                  <c:v>36192</c:v>
                </c:pt>
                <c:pt idx="110">
                  <c:v>36220</c:v>
                </c:pt>
                <c:pt idx="111">
                  <c:v>36251</c:v>
                </c:pt>
                <c:pt idx="112">
                  <c:v>36281</c:v>
                </c:pt>
                <c:pt idx="113">
                  <c:v>36312</c:v>
                </c:pt>
                <c:pt idx="114">
                  <c:v>36342</c:v>
                </c:pt>
                <c:pt idx="115">
                  <c:v>36373</c:v>
                </c:pt>
                <c:pt idx="116">
                  <c:v>36404</c:v>
                </c:pt>
                <c:pt idx="117">
                  <c:v>36434</c:v>
                </c:pt>
                <c:pt idx="118">
                  <c:v>36465</c:v>
                </c:pt>
                <c:pt idx="119">
                  <c:v>36495</c:v>
                </c:pt>
                <c:pt idx="120">
                  <c:v>36526</c:v>
                </c:pt>
                <c:pt idx="121">
                  <c:v>36557</c:v>
                </c:pt>
                <c:pt idx="122">
                  <c:v>36586</c:v>
                </c:pt>
                <c:pt idx="123">
                  <c:v>36617</c:v>
                </c:pt>
                <c:pt idx="124">
                  <c:v>36647</c:v>
                </c:pt>
                <c:pt idx="125">
                  <c:v>36678</c:v>
                </c:pt>
                <c:pt idx="126">
                  <c:v>36708</c:v>
                </c:pt>
                <c:pt idx="127">
                  <c:v>36739</c:v>
                </c:pt>
                <c:pt idx="128">
                  <c:v>36770</c:v>
                </c:pt>
                <c:pt idx="129">
                  <c:v>36800</c:v>
                </c:pt>
                <c:pt idx="130">
                  <c:v>36831</c:v>
                </c:pt>
                <c:pt idx="131">
                  <c:v>36861</c:v>
                </c:pt>
                <c:pt idx="132">
                  <c:v>36892</c:v>
                </c:pt>
                <c:pt idx="133">
                  <c:v>36923</c:v>
                </c:pt>
                <c:pt idx="134">
                  <c:v>36951</c:v>
                </c:pt>
                <c:pt idx="135">
                  <c:v>36982</c:v>
                </c:pt>
                <c:pt idx="136">
                  <c:v>37012</c:v>
                </c:pt>
                <c:pt idx="137">
                  <c:v>37043</c:v>
                </c:pt>
                <c:pt idx="138">
                  <c:v>37073</c:v>
                </c:pt>
                <c:pt idx="139">
                  <c:v>37104</c:v>
                </c:pt>
                <c:pt idx="140">
                  <c:v>37135</c:v>
                </c:pt>
                <c:pt idx="141">
                  <c:v>37165</c:v>
                </c:pt>
                <c:pt idx="142">
                  <c:v>37196</c:v>
                </c:pt>
                <c:pt idx="143">
                  <c:v>37226</c:v>
                </c:pt>
                <c:pt idx="144">
                  <c:v>37257</c:v>
                </c:pt>
                <c:pt idx="145">
                  <c:v>37288</c:v>
                </c:pt>
                <c:pt idx="146">
                  <c:v>37316</c:v>
                </c:pt>
                <c:pt idx="147">
                  <c:v>37347</c:v>
                </c:pt>
                <c:pt idx="148">
                  <c:v>37377</c:v>
                </c:pt>
                <c:pt idx="149">
                  <c:v>37408</c:v>
                </c:pt>
                <c:pt idx="150">
                  <c:v>37438</c:v>
                </c:pt>
                <c:pt idx="151">
                  <c:v>37469</c:v>
                </c:pt>
                <c:pt idx="152">
                  <c:v>37500</c:v>
                </c:pt>
                <c:pt idx="153">
                  <c:v>37530</c:v>
                </c:pt>
                <c:pt idx="154">
                  <c:v>37561</c:v>
                </c:pt>
                <c:pt idx="155">
                  <c:v>37591</c:v>
                </c:pt>
                <c:pt idx="156">
                  <c:v>37622</c:v>
                </c:pt>
                <c:pt idx="157">
                  <c:v>37653</c:v>
                </c:pt>
                <c:pt idx="158">
                  <c:v>37681</c:v>
                </c:pt>
                <c:pt idx="159">
                  <c:v>37712</c:v>
                </c:pt>
                <c:pt idx="160">
                  <c:v>37742</c:v>
                </c:pt>
                <c:pt idx="161">
                  <c:v>37773</c:v>
                </c:pt>
                <c:pt idx="162">
                  <c:v>37803</c:v>
                </c:pt>
                <c:pt idx="163">
                  <c:v>37834</c:v>
                </c:pt>
                <c:pt idx="164">
                  <c:v>37865</c:v>
                </c:pt>
                <c:pt idx="165">
                  <c:v>37895</c:v>
                </c:pt>
                <c:pt idx="166">
                  <c:v>37926</c:v>
                </c:pt>
                <c:pt idx="167">
                  <c:v>37956</c:v>
                </c:pt>
                <c:pt idx="168">
                  <c:v>37987</c:v>
                </c:pt>
                <c:pt idx="169">
                  <c:v>38018</c:v>
                </c:pt>
                <c:pt idx="170">
                  <c:v>38047</c:v>
                </c:pt>
                <c:pt idx="171">
                  <c:v>38078</c:v>
                </c:pt>
                <c:pt idx="172">
                  <c:v>38108</c:v>
                </c:pt>
                <c:pt idx="173">
                  <c:v>38139</c:v>
                </c:pt>
                <c:pt idx="174">
                  <c:v>38169</c:v>
                </c:pt>
                <c:pt idx="175">
                  <c:v>38200</c:v>
                </c:pt>
                <c:pt idx="176">
                  <c:v>38231</c:v>
                </c:pt>
                <c:pt idx="177">
                  <c:v>38261</c:v>
                </c:pt>
                <c:pt idx="178">
                  <c:v>38292</c:v>
                </c:pt>
                <c:pt idx="179">
                  <c:v>38322</c:v>
                </c:pt>
                <c:pt idx="180">
                  <c:v>38353</c:v>
                </c:pt>
                <c:pt idx="181">
                  <c:v>38384</c:v>
                </c:pt>
                <c:pt idx="182">
                  <c:v>38412</c:v>
                </c:pt>
                <c:pt idx="183">
                  <c:v>38443</c:v>
                </c:pt>
                <c:pt idx="184">
                  <c:v>38473</c:v>
                </c:pt>
                <c:pt idx="185">
                  <c:v>38504</c:v>
                </c:pt>
                <c:pt idx="186">
                  <c:v>38534</c:v>
                </c:pt>
                <c:pt idx="187">
                  <c:v>38565</c:v>
                </c:pt>
                <c:pt idx="188">
                  <c:v>38596</c:v>
                </c:pt>
                <c:pt idx="189">
                  <c:v>38626</c:v>
                </c:pt>
                <c:pt idx="190">
                  <c:v>38657</c:v>
                </c:pt>
                <c:pt idx="191">
                  <c:v>38687</c:v>
                </c:pt>
                <c:pt idx="192">
                  <c:v>38718</c:v>
                </c:pt>
                <c:pt idx="193">
                  <c:v>38749</c:v>
                </c:pt>
                <c:pt idx="194">
                  <c:v>38777</c:v>
                </c:pt>
                <c:pt idx="195">
                  <c:v>38808</c:v>
                </c:pt>
                <c:pt idx="196">
                  <c:v>38838</c:v>
                </c:pt>
                <c:pt idx="197">
                  <c:v>38869</c:v>
                </c:pt>
                <c:pt idx="198">
                  <c:v>38899</c:v>
                </c:pt>
                <c:pt idx="199">
                  <c:v>38930</c:v>
                </c:pt>
                <c:pt idx="200">
                  <c:v>38961</c:v>
                </c:pt>
                <c:pt idx="201">
                  <c:v>38991</c:v>
                </c:pt>
                <c:pt idx="202">
                  <c:v>39022</c:v>
                </c:pt>
                <c:pt idx="203">
                  <c:v>39052</c:v>
                </c:pt>
                <c:pt idx="204">
                  <c:v>39083</c:v>
                </c:pt>
                <c:pt idx="205">
                  <c:v>39114</c:v>
                </c:pt>
                <c:pt idx="206">
                  <c:v>39142</c:v>
                </c:pt>
                <c:pt idx="207">
                  <c:v>39173</c:v>
                </c:pt>
                <c:pt idx="208">
                  <c:v>39203</c:v>
                </c:pt>
                <c:pt idx="209">
                  <c:v>39234</c:v>
                </c:pt>
                <c:pt idx="210">
                  <c:v>39264</c:v>
                </c:pt>
                <c:pt idx="211">
                  <c:v>39295</c:v>
                </c:pt>
                <c:pt idx="212">
                  <c:v>39326</c:v>
                </c:pt>
                <c:pt idx="213">
                  <c:v>39356</c:v>
                </c:pt>
                <c:pt idx="214">
                  <c:v>39387</c:v>
                </c:pt>
                <c:pt idx="215">
                  <c:v>39417</c:v>
                </c:pt>
                <c:pt idx="216">
                  <c:v>39448</c:v>
                </c:pt>
                <c:pt idx="217">
                  <c:v>39479</c:v>
                </c:pt>
                <c:pt idx="218">
                  <c:v>39508</c:v>
                </c:pt>
                <c:pt idx="219">
                  <c:v>39539</c:v>
                </c:pt>
                <c:pt idx="220">
                  <c:v>39569</c:v>
                </c:pt>
                <c:pt idx="221">
                  <c:v>39600</c:v>
                </c:pt>
                <c:pt idx="222">
                  <c:v>39630</c:v>
                </c:pt>
                <c:pt idx="223">
                  <c:v>39661</c:v>
                </c:pt>
                <c:pt idx="224">
                  <c:v>39692</c:v>
                </c:pt>
                <c:pt idx="225">
                  <c:v>39722</c:v>
                </c:pt>
                <c:pt idx="226">
                  <c:v>39753</c:v>
                </c:pt>
                <c:pt idx="227">
                  <c:v>39783</c:v>
                </c:pt>
                <c:pt idx="228">
                  <c:v>39814</c:v>
                </c:pt>
                <c:pt idx="229">
                  <c:v>39845</c:v>
                </c:pt>
                <c:pt idx="230">
                  <c:v>39873</c:v>
                </c:pt>
                <c:pt idx="231">
                  <c:v>39904</c:v>
                </c:pt>
                <c:pt idx="232">
                  <c:v>39934</c:v>
                </c:pt>
                <c:pt idx="233">
                  <c:v>39965</c:v>
                </c:pt>
                <c:pt idx="234">
                  <c:v>39995</c:v>
                </c:pt>
                <c:pt idx="235">
                  <c:v>40026</c:v>
                </c:pt>
                <c:pt idx="236">
                  <c:v>40057</c:v>
                </c:pt>
                <c:pt idx="237">
                  <c:v>40087</c:v>
                </c:pt>
                <c:pt idx="238">
                  <c:v>40118</c:v>
                </c:pt>
                <c:pt idx="239">
                  <c:v>40148</c:v>
                </c:pt>
                <c:pt idx="240">
                  <c:v>40179</c:v>
                </c:pt>
                <c:pt idx="241">
                  <c:v>40210</c:v>
                </c:pt>
                <c:pt idx="242">
                  <c:v>40238</c:v>
                </c:pt>
                <c:pt idx="243">
                  <c:v>40269</c:v>
                </c:pt>
                <c:pt idx="244">
                  <c:v>40299</c:v>
                </c:pt>
                <c:pt idx="245">
                  <c:v>40330</c:v>
                </c:pt>
                <c:pt idx="246">
                  <c:v>40360</c:v>
                </c:pt>
                <c:pt idx="247">
                  <c:v>40391</c:v>
                </c:pt>
                <c:pt idx="248">
                  <c:v>40422</c:v>
                </c:pt>
                <c:pt idx="249">
                  <c:v>40452</c:v>
                </c:pt>
                <c:pt idx="250">
                  <c:v>40483</c:v>
                </c:pt>
                <c:pt idx="251">
                  <c:v>40513</c:v>
                </c:pt>
                <c:pt idx="252">
                  <c:v>40544</c:v>
                </c:pt>
                <c:pt idx="253">
                  <c:v>40575</c:v>
                </c:pt>
                <c:pt idx="254">
                  <c:v>40603</c:v>
                </c:pt>
                <c:pt idx="255">
                  <c:v>40634</c:v>
                </c:pt>
                <c:pt idx="256">
                  <c:v>40664</c:v>
                </c:pt>
                <c:pt idx="257">
                  <c:v>40695</c:v>
                </c:pt>
                <c:pt idx="258">
                  <c:v>40725</c:v>
                </c:pt>
                <c:pt idx="259">
                  <c:v>40756</c:v>
                </c:pt>
                <c:pt idx="260">
                  <c:v>40787</c:v>
                </c:pt>
                <c:pt idx="261">
                  <c:v>40817</c:v>
                </c:pt>
                <c:pt idx="262">
                  <c:v>40848</c:v>
                </c:pt>
                <c:pt idx="263">
                  <c:v>40878</c:v>
                </c:pt>
                <c:pt idx="264">
                  <c:v>40909</c:v>
                </c:pt>
                <c:pt idx="265">
                  <c:v>40940</c:v>
                </c:pt>
                <c:pt idx="266">
                  <c:v>40969</c:v>
                </c:pt>
                <c:pt idx="267">
                  <c:v>41000</c:v>
                </c:pt>
                <c:pt idx="268">
                  <c:v>41030</c:v>
                </c:pt>
                <c:pt idx="269">
                  <c:v>41061</c:v>
                </c:pt>
                <c:pt idx="270">
                  <c:v>41091</c:v>
                </c:pt>
                <c:pt idx="271">
                  <c:v>41122</c:v>
                </c:pt>
                <c:pt idx="272">
                  <c:v>41153</c:v>
                </c:pt>
                <c:pt idx="273">
                  <c:v>41183</c:v>
                </c:pt>
                <c:pt idx="274">
                  <c:v>41214</c:v>
                </c:pt>
                <c:pt idx="275">
                  <c:v>41244</c:v>
                </c:pt>
                <c:pt idx="276">
                  <c:v>41275</c:v>
                </c:pt>
                <c:pt idx="277">
                  <c:v>41306</c:v>
                </c:pt>
                <c:pt idx="278">
                  <c:v>41334</c:v>
                </c:pt>
                <c:pt idx="279">
                  <c:v>41365</c:v>
                </c:pt>
                <c:pt idx="280">
                  <c:v>41395</c:v>
                </c:pt>
                <c:pt idx="281">
                  <c:v>41426</c:v>
                </c:pt>
                <c:pt idx="282">
                  <c:v>41456</c:v>
                </c:pt>
                <c:pt idx="283">
                  <c:v>41487</c:v>
                </c:pt>
                <c:pt idx="284">
                  <c:v>41518</c:v>
                </c:pt>
                <c:pt idx="285">
                  <c:v>41548</c:v>
                </c:pt>
                <c:pt idx="286">
                  <c:v>41579</c:v>
                </c:pt>
                <c:pt idx="287">
                  <c:v>41609</c:v>
                </c:pt>
                <c:pt idx="288">
                  <c:v>41640</c:v>
                </c:pt>
                <c:pt idx="289">
                  <c:v>41671</c:v>
                </c:pt>
                <c:pt idx="290">
                  <c:v>41699</c:v>
                </c:pt>
                <c:pt idx="291">
                  <c:v>41730</c:v>
                </c:pt>
                <c:pt idx="292">
                  <c:v>41760</c:v>
                </c:pt>
                <c:pt idx="293">
                  <c:v>41791</c:v>
                </c:pt>
                <c:pt idx="294">
                  <c:v>41821</c:v>
                </c:pt>
                <c:pt idx="295">
                  <c:v>41852</c:v>
                </c:pt>
                <c:pt idx="296">
                  <c:v>41883</c:v>
                </c:pt>
                <c:pt idx="297">
                  <c:v>41913</c:v>
                </c:pt>
                <c:pt idx="298">
                  <c:v>41944</c:v>
                </c:pt>
                <c:pt idx="299">
                  <c:v>41974</c:v>
                </c:pt>
                <c:pt idx="300">
                  <c:v>42005</c:v>
                </c:pt>
                <c:pt idx="301">
                  <c:v>42036</c:v>
                </c:pt>
                <c:pt idx="302">
                  <c:v>42064</c:v>
                </c:pt>
                <c:pt idx="303">
                  <c:v>42095</c:v>
                </c:pt>
                <c:pt idx="304">
                  <c:v>42125</c:v>
                </c:pt>
                <c:pt idx="305">
                  <c:v>42156</c:v>
                </c:pt>
                <c:pt idx="306">
                  <c:v>42186</c:v>
                </c:pt>
                <c:pt idx="307">
                  <c:v>42217</c:v>
                </c:pt>
                <c:pt idx="308">
                  <c:v>42248</c:v>
                </c:pt>
                <c:pt idx="309">
                  <c:v>42278</c:v>
                </c:pt>
                <c:pt idx="310">
                  <c:v>42309</c:v>
                </c:pt>
                <c:pt idx="311">
                  <c:v>42339</c:v>
                </c:pt>
                <c:pt idx="312">
                  <c:v>42370</c:v>
                </c:pt>
                <c:pt idx="313">
                  <c:v>42401</c:v>
                </c:pt>
                <c:pt idx="314">
                  <c:v>42430</c:v>
                </c:pt>
                <c:pt idx="315">
                  <c:v>42461</c:v>
                </c:pt>
                <c:pt idx="316">
                  <c:v>42491</c:v>
                </c:pt>
                <c:pt idx="317">
                  <c:v>42522</c:v>
                </c:pt>
                <c:pt idx="318">
                  <c:v>42552</c:v>
                </c:pt>
                <c:pt idx="319">
                  <c:v>42583</c:v>
                </c:pt>
                <c:pt idx="320">
                  <c:v>42614</c:v>
                </c:pt>
                <c:pt idx="321">
                  <c:v>42644</c:v>
                </c:pt>
                <c:pt idx="322">
                  <c:v>42675</c:v>
                </c:pt>
                <c:pt idx="323">
                  <c:v>42705</c:v>
                </c:pt>
                <c:pt idx="324">
                  <c:v>42736</c:v>
                </c:pt>
                <c:pt idx="325">
                  <c:v>42767</c:v>
                </c:pt>
                <c:pt idx="326">
                  <c:v>42795</c:v>
                </c:pt>
                <c:pt idx="327">
                  <c:v>42826</c:v>
                </c:pt>
                <c:pt idx="328">
                  <c:v>42856</c:v>
                </c:pt>
                <c:pt idx="329">
                  <c:v>42887</c:v>
                </c:pt>
                <c:pt idx="330">
                  <c:v>42917</c:v>
                </c:pt>
                <c:pt idx="331">
                  <c:v>42948</c:v>
                </c:pt>
                <c:pt idx="332">
                  <c:v>42979</c:v>
                </c:pt>
                <c:pt idx="333">
                  <c:v>43009</c:v>
                </c:pt>
                <c:pt idx="334">
                  <c:v>43040</c:v>
                </c:pt>
              </c:numCache>
            </c:numRef>
          </c:cat>
          <c:val>
            <c:numRef>
              <c:f>'Prof Bus Serv'!$B$2:$B$336</c:f>
              <c:numCache>
                <c:formatCode>#,##0</c:formatCode>
                <c:ptCount val="335"/>
                <c:pt idx="0">
                  <c:v>364900</c:v>
                </c:pt>
                <c:pt idx="1">
                  <c:v>368500</c:v>
                </c:pt>
                <c:pt idx="2">
                  <c:v>370800</c:v>
                </c:pt>
                <c:pt idx="3">
                  <c:v>373100</c:v>
                </c:pt>
                <c:pt idx="4">
                  <c:v>372000</c:v>
                </c:pt>
                <c:pt idx="5">
                  <c:v>375600</c:v>
                </c:pt>
                <c:pt idx="6">
                  <c:v>374900</c:v>
                </c:pt>
                <c:pt idx="7">
                  <c:v>377300</c:v>
                </c:pt>
                <c:pt idx="8">
                  <c:v>377400</c:v>
                </c:pt>
                <c:pt idx="9">
                  <c:v>377900</c:v>
                </c:pt>
                <c:pt idx="10">
                  <c:v>377200</c:v>
                </c:pt>
                <c:pt idx="11">
                  <c:v>375100</c:v>
                </c:pt>
                <c:pt idx="12">
                  <c:v>371100</c:v>
                </c:pt>
                <c:pt idx="13">
                  <c:v>370400</c:v>
                </c:pt>
                <c:pt idx="14">
                  <c:v>368000</c:v>
                </c:pt>
                <c:pt idx="15">
                  <c:v>364100</c:v>
                </c:pt>
                <c:pt idx="16">
                  <c:v>361800</c:v>
                </c:pt>
                <c:pt idx="17">
                  <c:v>361000</c:v>
                </c:pt>
                <c:pt idx="18">
                  <c:v>364700</c:v>
                </c:pt>
                <c:pt idx="19">
                  <c:v>367500</c:v>
                </c:pt>
                <c:pt idx="20">
                  <c:v>366700</c:v>
                </c:pt>
                <c:pt idx="21">
                  <c:v>363300</c:v>
                </c:pt>
                <c:pt idx="22">
                  <c:v>365800</c:v>
                </c:pt>
                <c:pt idx="23">
                  <c:v>366600</c:v>
                </c:pt>
                <c:pt idx="24">
                  <c:v>374800</c:v>
                </c:pt>
                <c:pt idx="25">
                  <c:v>373900</c:v>
                </c:pt>
                <c:pt idx="26">
                  <c:v>373900</c:v>
                </c:pt>
                <c:pt idx="27">
                  <c:v>370500</c:v>
                </c:pt>
                <c:pt idx="28">
                  <c:v>371900</c:v>
                </c:pt>
                <c:pt idx="29">
                  <c:v>372700</c:v>
                </c:pt>
                <c:pt idx="30">
                  <c:v>372500</c:v>
                </c:pt>
                <c:pt idx="31">
                  <c:v>369900</c:v>
                </c:pt>
                <c:pt idx="32">
                  <c:v>372200</c:v>
                </c:pt>
                <c:pt idx="33">
                  <c:v>373100</c:v>
                </c:pt>
                <c:pt idx="34">
                  <c:v>377200</c:v>
                </c:pt>
                <c:pt idx="35">
                  <c:v>380200</c:v>
                </c:pt>
                <c:pt idx="36">
                  <c:v>389400</c:v>
                </c:pt>
                <c:pt idx="37">
                  <c:v>392100</c:v>
                </c:pt>
                <c:pt idx="38">
                  <c:v>391300</c:v>
                </c:pt>
                <c:pt idx="39">
                  <c:v>407900</c:v>
                </c:pt>
                <c:pt idx="40">
                  <c:v>409200</c:v>
                </c:pt>
                <c:pt idx="41">
                  <c:v>413500</c:v>
                </c:pt>
                <c:pt idx="42">
                  <c:v>417300</c:v>
                </c:pt>
                <c:pt idx="43">
                  <c:v>419600</c:v>
                </c:pt>
                <c:pt idx="44">
                  <c:v>424700</c:v>
                </c:pt>
                <c:pt idx="45">
                  <c:v>428500</c:v>
                </c:pt>
                <c:pt idx="46">
                  <c:v>431200</c:v>
                </c:pt>
                <c:pt idx="47">
                  <c:v>431400</c:v>
                </c:pt>
                <c:pt idx="48">
                  <c:v>441000</c:v>
                </c:pt>
                <c:pt idx="49">
                  <c:v>446700</c:v>
                </c:pt>
                <c:pt idx="50">
                  <c:v>451900</c:v>
                </c:pt>
                <c:pt idx="51">
                  <c:v>456900</c:v>
                </c:pt>
                <c:pt idx="52">
                  <c:v>462200</c:v>
                </c:pt>
                <c:pt idx="53">
                  <c:v>467600</c:v>
                </c:pt>
                <c:pt idx="54">
                  <c:v>472900</c:v>
                </c:pt>
                <c:pt idx="55">
                  <c:v>475000</c:v>
                </c:pt>
                <c:pt idx="56">
                  <c:v>478800</c:v>
                </c:pt>
                <c:pt idx="57">
                  <c:v>481600</c:v>
                </c:pt>
                <c:pt idx="58">
                  <c:v>485800</c:v>
                </c:pt>
                <c:pt idx="59">
                  <c:v>491900</c:v>
                </c:pt>
                <c:pt idx="60">
                  <c:v>492600</c:v>
                </c:pt>
                <c:pt idx="61">
                  <c:v>496200</c:v>
                </c:pt>
                <c:pt idx="62">
                  <c:v>499700</c:v>
                </c:pt>
                <c:pt idx="63">
                  <c:v>504400</c:v>
                </c:pt>
                <c:pt idx="64">
                  <c:v>510100</c:v>
                </c:pt>
                <c:pt idx="65">
                  <c:v>514500</c:v>
                </c:pt>
                <c:pt idx="66">
                  <c:v>514100</c:v>
                </c:pt>
                <c:pt idx="67">
                  <c:v>523500</c:v>
                </c:pt>
                <c:pt idx="68">
                  <c:v>525800</c:v>
                </c:pt>
                <c:pt idx="69">
                  <c:v>534000</c:v>
                </c:pt>
                <c:pt idx="70">
                  <c:v>542300</c:v>
                </c:pt>
                <c:pt idx="71">
                  <c:v>546200</c:v>
                </c:pt>
                <c:pt idx="72">
                  <c:v>542700</c:v>
                </c:pt>
                <c:pt idx="73">
                  <c:v>550800</c:v>
                </c:pt>
                <c:pt idx="74">
                  <c:v>559200</c:v>
                </c:pt>
                <c:pt idx="75">
                  <c:v>563800</c:v>
                </c:pt>
                <c:pt idx="76">
                  <c:v>571100</c:v>
                </c:pt>
                <c:pt idx="77">
                  <c:v>573100</c:v>
                </c:pt>
                <c:pt idx="78">
                  <c:v>591500</c:v>
                </c:pt>
                <c:pt idx="79">
                  <c:v>596800</c:v>
                </c:pt>
                <c:pt idx="80">
                  <c:v>609500</c:v>
                </c:pt>
                <c:pt idx="81">
                  <c:v>608300</c:v>
                </c:pt>
                <c:pt idx="82">
                  <c:v>615500</c:v>
                </c:pt>
                <c:pt idx="83">
                  <c:v>623700</c:v>
                </c:pt>
                <c:pt idx="84">
                  <c:v>632000</c:v>
                </c:pt>
                <c:pt idx="85">
                  <c:v>636400</c:v>
                </c:pt>
                <c:pt idx="86">
                  <c:v>647100</c:v>
                </c:pt>
                <c:pt idx="87">
                  <c:v>657400</c:v>
                </c:pt>
                <c:pt idx="88">
                  <c:v>662800</c:v>
                </c:pt>
                <c:pt idx="89">
                  <c:v>674900</c:v>
                </c:pt>
                <c:pt idx="90">
                  <c:v>694200</c:v>
                </c:pt>
                <c:pt idx="91">
                  <c:v>700400</c:v>
                </c:pt>
                <c:pt idx="92">
                  <c:v>710700</c:v>
                </c:pt>
                <c:pt idx="93">
                  <c:v>713400</c:v>
                </c:pt>
                <c:pt idx="94">
                  <c:v>722500</c:v>
                </c:pt>
                <c:pt idx="95">
                  <c:v>720700</c:v>
                </c:pt>
                <c:pt idx="96">
                  <c:v>723200</c:v>
                </c:pt>
                <c:pt idx="97">
                  <c:v>728400</c:v>
                </c:pt>
                <c:pt idx="98">
                  <c:v>730200</c:v>
                </c:pt>
                <c:pt idx="99">
                  <c:v>732300</c:v>
                </c:pt>
                <c:pt idx="100">
                  <c:v>741600</c:v>
                </c:pt>
                <c:pt idx="101">
                  <c:v>753200</c:v>
                </c:pt>
                <c:pt idx="102">
                  <c:v>752500</c:v>
                </c:pt>
                <c:pt idx="103">
                  <c:v>756400</c:v>
                </c:pt>
                <c:pt idx="104">
                  <c:v>762000</c:v>
                </c:pt>
                <c:pt idx="105">
                  <c:v>770100</c:v>
                </c:pt>
                <c:pt idx="106">
                  <c:v>781200</c:v>
                </c:pt>
                <c:pt idx="107">
                  <c:v>789900</c:v>
                </c:pt>
                <c:pt idx="108">
                  <c:v>797600</c:v>
                </c:pt>
                <c:pt idx="109">
                  <c:v>808300</c:v>
                </c:pt>
                <c:pt idx="110">
                  <c:v>815400</c:v>
                </c:pt>
                <c:pt idx="111">
                  <c:v>823600</c:v>
                </c:pt>
                <c:pt idx="112">
                  <c:v>833400</c:v>
                </c:pt>
                <c:pt idx="113">
                  <c:v>846500</c:v>
                </c:pt>
                <c:pt idx="114">
                  <c:v>842900</c:v>
                </c:pt>
                <c:pt idx="115">
                  <c:v>847100</c:v>
                </c:pt>
                <c:pt idx="116">
                  <c:v>853000</c:v>
                </c:pt>
                <c:pt idx="117">
                  <c:v>867400</c:v>
                </c:pt>
                <c:pt idx="118">
                  <c:v>872100</c:v>
                </c:pt>
                <c:pt idx="119">
                  <c:v>882300</c:v>
                </c:pt>
                <c:pt idx="120">
                  <c:v>893200</c:v>
                </c:pt>
                <c:pt idx="121">
                  <c:v>891000</c:v>
                </c:pt>
                <c:pt idx="122">
                  <c:v>898900</c:v>
                </c:pt>
                <c:pt idx="123">
                  <c:v>900300</c:v>
                </c:pt>
                <c:pt idx="124">
                  <c:v>904400</c:v>
                </c:pt>
                <c:pt idx="125">
                  <c:v>912000</c:v>
                </c:pt>
                <c:pt idx="126">
                  <c:v>918100</c:v>
                </c:pt>
                <c:pt idx="127">
                  <c:v>927500</c:v>
                </c:pt>
                <c:pt idx="128">
                  <c:v>940700</c:v>
                </c:pt>
                <c:pt idx="129">
                  <c:v>933400</c:v>
                </c:pt>
                <c:pt idx="130">
                  <c:v>937900</c:v>
                </c:pt>
                <c:pt idx="131">
                  <c:v>941700</c:v>
                </c:pt>
                <c:pt idx="132">
                  <c:v>944300</c:v>
                </c:pt>
                <c:pt idx="133">
                  <c:v>949200</c:v>
                </c:pt>
                <c:pt idx="134">
                  <c:v>949100</c:v>
                </c:pt>
                <c:pt idx="135">
                  <c:v>946200</c:v>
                </c:pt>
                <c:pt idx="136">
                  <c:v>947100</c:v>
                </c:pt>
                <c:pt idx="137">
                  <c:v>949100</c:v>
                </c:pt>
                <c:pt idx="138">
                  <c:v>949100</c:v>
                </c:pt>
                <c:pt idx="139">
                  <c:v>951600</c:v>
                </c:pt>
                <c:pt idx="140">
                  <c:v>951000</c:v>
                </c:pt>
                <c:pt idx="141">
                  <c:v>946100</c:v>
                </c:pt>
                <c:pt idx="142">
                  <c:v>942300</c:v>
                </c:pt>
                <c:pt idx="143">
                  <c:v>939200</c:v>
                </c:pt>
                <c:pt idx="144">
                  <c:v>938200</c:v>
                </c:pt>
                <c:pt idx="145">
                  <c:v>940600</c:v>
                </c:pt>
                <c:pt idx="146">
                  <c:v>942200</c:v>
                </c:pt>
                <c:pt idx="147">
                  <c:v>947900</c:v>
                </c:pt>
                <c:pt idx="148">
                  <c:v>951300</c:v>
                </c:pt>
                <c:pt idx="149">
                  <c:v>950600</c:v>
                </c:pt>
                <c:pt idx="150">
                  <c:v>953000</c:v>
                </c:pt>
                <c:pt idx="151">
                  <c:v>948300</c:v>
                </c:pt>
                <c:pt idx="152">
                  <c:v>949300</c:v>
                </c:pt>
                <c:pt idx="153">
                  <c:v>951800</c:v>
                </c:pt>
                <c:pt idx="154">
                  <c:v>957700</c:v>
                </c:pt>
                <c:pt idx="155">
                  <c:v>961100</c:v>
                </c:pt>
                <c:pt idx="156">
                  <c:v>962200</c:v>
                </c:pt>
                <c:pt idx="157">
                  <c:v>963500</c:v>
                </c:pt>
                <c:pt idx="158">
                  <c:v>968500</c:v>
                </c:pt>
                <c:pt idx="159">
                  <c:v>969300</c:v>
                </c:pt>
                <c:pt idx="160">
                  <c:v>962400</c:v>
                </c:pt>
                <c:pt idx="161">
                  <c:v>961300</c:v>
                </c:pt>
                <c:pt idx="162">
                  <c:v>956100</c:v>
                </c:pt>
                <c:pt idx="163">
                  <c:v>959700</c:v>
                </c:pt>
                <c:pt idx="164">
                  <c:v>959000</c:v>
                </c:pt>
                <c:pt idx="165">
                  <c:v>969900</c:v>
                </c:pt>
                <c:pt idx="166">
                  <c:v>970800</c:v>
                </c:pt>
                <c:pt idx="167">
                  <c:v>970600</c:v>
                </c:pt>
                <c:pt idx="168">
                  <c:v>983000</c:v>
                </c:pt>
                <c:pt idx="169">
                  <c:v>987700</c:v>
                </c:pt>
                <c:pt idx="170">
                  <c:v>993600</c:v>
                </c:pt>
                <c:pt idx="171">
                  <c:v>1009300</c:v>
                </c:pt>
                <c:pt idx="172">
                  <c:v>1015200</c:v>
                </c:pt>
                <c:pt idx="173">
                  <c:v>1023800</c:v>
                </c:pt>
                <c:pt idx="174">
                  <c:v>1032599.9999999999</c:v>
                </c:pt>
                <c:pt idx="175">
                  <c:v>1033300</c:v>
                </c:pt>
                <c:pt idx="176">
                  <c:v>1029200</c:v>
                </c:pt>
                <c:pt idx="177">
                  <c:v>1048500</c:v>
                </c:pt>
                <c:pt idx="178">
                  <c:v>1060400</c:v>
                </c:pt>
                <c:pt idx="179">
                  <c:v>1067900</c:v>
                </c:pt>
                <c:pt idx="180">
                  <c:v>1072400</c:v>
                </c:pt>
                <c:pt idx="181">
                  <c:v>1079000</c:v>
                </c:pt>
                <c:pt idx="182">
                  <c:v>1075300</c:v>
                </c:pt>
                <c:pt idx="183">
                  <c:v>1083500</c:v>
                </c:pt>
                <c:pt idx="184">
                  <c:v>1090200</c:v>
                </c:pt>
                <c:pt idx="185">
                  <c:v>1092900</c:v>
                </c:pt>
                <c:pt idx="186">
                  <c:v>1105500</c:v>
                </c:pt>
                <c:pt idx="187">
                  <c:v>1113800</c:v>
                </c:pt>
                <c:pt idx="188">
                  <c:v>1124300</c:v>
                </c:pt>
                <c:pt idx="189">
                  <c:v>1113200</c:v>
                </c:pt>
                <c:pt idx="190">
                  <c:v>1122200</c:v>
                </c:pt>
                <c:pt idx="191">
                  <c:v>1122500</c:v>
                </c:pt>
                <c:pt idx="192">
                  <c:v>1124000</c:v>
                </c:pt>
                <c:pt idx="193">
                  <c:v>1124600</c:v>
                </c:pt>
                <c:pt idx="194">
                  <c:v>1134600</c:v>
                </c:pt>
                <c:pt idx="195">
                  <c:v>1138100</c:v>
                </c:pt>
                <c:pt idx="196">
                  <c:v>1144700</c:v>
                </c:pt>
                <c:pt idx="197">
                  <c:v>1151500</c:v>
                </c:pt>
                <c:pt idx="198">
                  <c:v>1153600</c:v>
                </c:pt>
                <c:pt idx="199">
                  <c:v>1159400</c:v>
                </c:pt>
                <c:pt idx="200">
                  <c:v>1166400</c:v>
                </c:pt>
                <c:pt idx="201">
                  <c:v>1155100</c:v>
                </c:pt>
                <c:pt idx="202">
                  <c:v>1160400</c:v>
                </c:pt>
                <c:pt idx="203">
                  <c:v>1165100</c:v>
                </c:pt>
                <c:pt idx="204">
                  <c:v>1168000</c:v>
                </c:pt>
                <c:pt idx="205">
                  <c:v>1168600</c:v>
                </c:pt>
                <c:pt idx="206">
                  <c:v>1170300</c:v>
                </c:pt>
                <c:pt idx="207">
                  <c:v>1166800</c:v>
                </c:pt>
                <c:pt idx="208">
                  <c:v>1162800</c:v>
                </c:pt>
                <c:pt idx="209">
                  <c:v>1160100</c:v>
                </c:pt>
                <c:pt idx="210">
                  <c:v>1154500</c:v>
                </c:pt>
                <c:pt idx="211">
                  <c:v>1151700</c:v>
                </c:pt>
                <c:pt idx="212">
                  <c:v>1145800</c:v>
                </c:pt>
                <c:pt idx="213">
                  <c:v>1143200</c:v>
                </c:pt>
                <c:pt idx="214">
                  <c:v>1140000</c:v>
                </c:pt>
                <c:pt idx="215">
                  <c:v>1138900</c:v>
                </c:pt>
                <c:pt idx="216">
                  <c:v>1114900</c:v>
                </c:pt>
                <c:pt idx="217">
                  <c:v>1115300</c:v>
                </c:pt>
                <c:pt idx="218">
                  <c:v>1111600</c:v>
                </c:pt>
                <c:pt idx="219">
                  <c:v>1102000</c:v>
                </c:pt>
                <c:pt idx="220">
                  <c:v>1094700</c:v>
                </c:pt>
                <c:pt idx="221">
                  <c:v>1086500</c:v>
                </c:pt>
                <c:pt idx="222">
                  <c:v>1077600</c:v>
                </c:pt>
                <c:pt idx="223">
                  <c:v>1071300</c:v>
                </c:pt>
                <c:pt idx="224">
                  <c:v>1068200</c:v>
                </c:pt>
                <c:pt idx="225">
                  <c:v>1057800</c:v>
                </c:pt>
                <c:pt idx="226">
                  <c:v>1048600</c:v>
                </c:pt>
                <c:pt idx="227">
                  <c:v>1041800</c:v>
                </c:pt>
                <c:pt idx="228">
                  <c:v>1021100</c:v>
                </c:pt>
                <c:pt idx="229">
                  <c:v>1009500</c:v>
                </c:pt>
                <c:pt idx="230">
                  <c:v>1001600</c:v>
                </c:pt>
                <c:pt idx="231">
                  <c:v>991600</c:v>
                </c:pt>
                <c:pt idx="232">
                  <c:v>991700</c:v>
                </c:pt>
                <c:pt idx="233">
                  <c:v>989500</c:v>
                </c:pt>
                <c:pt idx="234">
                  <c:v>984700</c:v>
                </c:pt>
                <c:pt idx="235">
                  <c:v>983600</c:v>
                </c:pt>
                <c:pt idx="236">
                  <c:v>984000</c:v>
                </c:pt>
                <c:pt idx="237">
                  <c:v>985500</c:v>
                </c:pt>
                <c:pt idx="238">
                  <c:v>988800</c:v>
                </c:pt>
                <c:pt idx="239">
                  <c:v>987200</c:v>
                </c:pt>
                <c:pt idx="240">
                  <c:v>987400</c:v>
                </c:pt>
                <c:pt idx="241">
                  <c:v>989700</c:v>
                </c:pt>
                <c:pt idx="242">
                  <c:v>992700</c:v>
                </c:pt>
                <c:pt idx="243">
                  <c:v>994500</c:v>
                </c:pt>
                <c:pt idx="244">
                  <c:v>999000</c:v>
                </c:pt>
                <c:pt idx="245">
                  <c:v>1004100</c:v>
                </c:pt>
                <c:pt idx="246">
                  <c:v>1011500</c:v>
                </c:pt>
                <c:pt idx="247">
                  <c:v>1013900</c:v>
                </c:pt>
                <c:pt idx="248">
                  <c:v>1014400</c:v>
                </c:pt>
                <c:pt idx="249">
                  <c:v>1019500</c:v>
                </c:pt>
                <c:pt idx="250">
                  <c:v>1019600</c:v>
                </c:pt>
                <c:pt idx="251">
                  <c:v>1024300</c:v>
                </c:pt>
                <c:pt idx="252">
                  <c:v>1033099.9999999999</c:v>
                </c:pt>
                <c:pt idx="253">
                  <c:v>1030000</c:v>
                </c:pt>
                <c:pt idx="254">
                  <c:v>1032900.0000000001</c:v>
                </c:pt>
                <c:pt idx="255">
                  <c:v>1040200</c:v>
                </c:pt>
                <c:pt idx="256">
                  <c:v>1034800</c:v>
                </c:pt>
                <c:pt idx="257">
                  <c:v>1034099.9999999999</c:v>
                </c:pt>
                <c:pt idx="258">
                  <c:v>1037300</c:v>
                </c:pt>
                <c:pt idx="259">
                  <c:v>1035700</c:v>
                </c:pt>
                <c:pt idx="260">
                  <c:v>1033400.0000000001</c:v>
                </c:pt>
                <c:pt idx="261">
                  <c:v>1035800</c:v>
                </c:pt>
                <c:pt idx="262">
                  <c:v>1040500</c:v>
                </c:pt>
                <c:pt idx="263">
                  <c:v>1044500</c:v>
                </c:pt>
                <c:pt idx="264">
                  <c:v>1054400</c:v>
                </c:pt>
                <c:pt idx="265">
                  <c:v>1055600</c:v>
                </c:pt>
                <c:pt idx="266">
                  <c:v>1059300</c:v>
                </c:pt>
                <c:pt idx="267">
                  <c:v>1071400</c:v>
                </c:pt>
                <c:pt idx="268">
                  <c:v>1071100</c:v>
                </c:pt>
                <c:pt idx="269">
                  <c:v>1073500</c:v>
                </c:pt>
                <c:pt idx="270">
                  <c:v>1074400</c:v>
                </c:pt>
                <c:pt idx="271">
                  <c:v>1076900</c:v>
                </c:pt>
                <c:pt idx="272">
                  <c:v>1080400</c:v>
                </c:pt>
                <c:pt idx="273">
                  <c:v>1088200</c:v>
                </c:pt>
                <c:pt idx="274">
                  <c:v>1092700</c:v>
                </c:pt>
                <c:pt idx="275">
                  <c:v>1094900</c:v>
                </c:pt>
                <c:pt idx="276">
                  <c:v>1101600</c:v>
                </c:pt>
                <c:pt idx="277">
                  <c:v>1104800</c:v>
                </c:pt>
                <c:pt idx="278">
                  <c:v>1106900</c:v>
                </c:pt>
                <c:pt idx="279">
                  <c:v>1106500</c:v>
                </c:pt>
                <c:pt idx="280">
                  <c:v>1110000</c:v>
                </c:pt>
                <c:pt idx="281">
                  <c:v>1114800</c:v>
                </c:pt>
                <c:pt idx="282">
                  <c:v>1120000</c:v>
                </c:pt>
                <c:pt idx="283">
                  <c:v>1123600</c:v>
                </c:pt>
                <c:pt idx="284">
                  <c:v>1127400</c:v>
                </c:pt>
                <c:pt idx="285">
                  <c:v>1127900</c:v>
                </c:pt>
                <c:pt idx="286">
                  <c:v>1132400</c:v>
                </c:pt>
                <c:pt idx="287">
                  <c:v>1134400</c:v>
                </c:pt>
                <c:pt idx="288">
                  <c:v>1137300</c:v>
                </c:pt>
                <c:pt idx="289">
                  <c:v>1141400</c:v>
                </c:pt>
                <c:pt idx="290">
                  <c:v>1145600</c:v>
                </c:pt>
                <c:pt idx="291">
                  <c:v>1151600</c:v>
                </c:pt>
                <c:pt idx="292">
                  <c:v>1157600</c:v>
                </c:pt>
                <c:pt idx="293">
                  <c:v>1160900</c:v>
                </c:pt>
                <c:pt idx="294">
                  <c:v>1165800</c:v>
                </c:pt>
                <c:pt idx="295">
                  <c:v>1173100</c:v>
                </c:pt>
                <c:pt idx="296">
                  <c:v>1178300</c:v>
                </c:pt>
                <c:pt idx="297">
                  <c:v>1181800</c:v>
                </c:pt>
                <c:pt idx="298">
                  <c:v>1186900</c:v>
                </c:pt>
                <c:pt idx="299">
                  <c:v>1190800</c:v>
                </c:pt>
                <c:pt idx="300">
                  <c:v>1193700</c:v>
                </c:pt>
                <c:pt idx="301">
                  <c:v>1198700</c:v>
                </c:pt>
                <c:pt idx="302">
                  <c:v>1201300</c:v>
                </c:pt>
                <c:pt idx="303">
                  <c:v>1207800</c:v>
                </c:pt>
                <c:pt idx="304">
                  <c:v>1216400</c:v>
                </c:pt>
                <c:pt idx="305">
                  <c:v>1219800</c:v>
                </c:pt>
                <c:pt idx="306">
                  <c:v>1225700</c:v>
                </c:pt>
                <c:pt idx="307">
                  <c:v>1229200</c:v>
                </c:pt>
                <c:pt idx="308">
                  <c:v>1233500</c:v>
                </c:pt>
                <c:pt idx="309">
                  <c:v>1241700</c:v>
                </c:pt>
                <c:pt idx="310">
                  <c:v>1247400</c:v>
                </c:pt>
                <c:pt idx="311">
                  <c:v>1251200</c:v>
                </c:pt>
                <c:pt idx="312">
                  <c:v>1258900</c:v>
                </c:pt>
                <c:pt idx="313">
                  <c:v>1263600</c:v>
                </c:pt>
                <c:pt idx="314">
                  <c:v>1269500</c:v>
                </c:pt>
                <c:pt idx="315">
                  <c:v>1275200</c:v>
                </c:pt>
                <c:pt idx="316">
                  <c:v>1276200</c:v>
                </c:pt>
                <c:pt idx="317">
                  <c:v>1280900</c:v>
                </c:pt>
                <c:pt idx="318">
                  <c:v>1292200</c:v>
                </c:pt>
                <c:pt idx="319">
                  <c:v>1295900</c:v>
                </c:pt>
                <c:pt idx="320">
                  <c:v>1300800</c:v>
                </c:pt>
                <c:pt idx="321">
                  <c:v>1302200</c:v>
                </c:pt>
                <c:pt idx="322">
                  <c:v>1301800</c:v>
                </c:pt>
                <c:pt idx="323">
                  <c:v>1303000</c:v>
                </c:pt>
                <c:pt idx="324">
                  <c:v>1314400</c:v>
                </c:pt>
                <c:pt idx="325">
                  <c:v>1310000</c:v>
                </c:pt>
                <c:pt idx="326">
                  <c:v>1311300</c:v>
                </c:pt>
                <c:pt idx="327">
                  <c:v>1316800</c:v>
                </c:pt>
                <c:pt idx="328">
                  <c:v>1329600</c:v>
                </c:pt>
                <c:pt idx="329">
                  <c:v>1329200</c:v>
                </c:pt>
                <c:pt idx="330">
                  <c:v>1327700</c:v>
                </c:pt>
                <c:pt idx="331">
                  <c:v>1336700</c:v>
                </c:pt>
                <c:pt idx="332">
                  <c:v>1309600</c:v>
                </c:pt>
                <c:pt idx="333">
                  <c:v>1348500</c:v>
                </c:pt>
                <c:pt idx="334">
                  <c:v>1342800</c:v>
                </c:pt>
              </c:numCache>
            </c:numRef>
          </c:val>
          <c:smooth val="0"/>
          <c:extLst>
            <c:ext xmlns:c16="http://schemas.microsoft.com/office/drawing/2014/chart" uri="{C3380CC4-5D6E-409C-BE32-E72D297353CC}">
              <c16:uniqueId val="{00000000-A357-49AC-B44C-5866771FA2C5}"/>
            </c:ext>
          </c:extLst>
        </c:ser>
        <c:dLbls>
          <c:showLegendKey val="0"/>
          <c:showVal val="0"/>
          <c:showCatName val="0"/>
          <c:showSerName val="0"/>
          <c:showPercent val="0"/>
          <c:showBubbleSize val="0"/>
        </c:dLbls>
        <c:smooth val="0"/>
        <c:axId val="277307208"/>
        <c:axId val="551703664"/>
      </c:lineChart>
      <c:dateAx>
        <c:axId val="277307208"/>
        <c:scaling>
          <c:orientation val="minMax"/>
        </c:scaling>
        <c:delete val="0"/>
        <c:axPos val="b"/>
        <c:numFmt formatCode="mmm\-yy"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51703664"/>
        <c:crosses val="autoZero"/>
        <c:auto val="1"/>
        <c:lblOffset val="100"/>
        <c:baseTimeUnit val="months"/>
      </c:dateAx>
      <c:valAx>
        <c:axId val="551703664"/>
        <c:scaling>
          <c:orientation val="minMax"/>
          <c:min val="300000"/>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77307208"/>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spPr>
            <a:ln w="28575" cap="rnd">
              <a:solidFill>
                <a:srgbClr val="003F5C"/>
              </a:solidFill>
              <a:round/>
            </a:ln>
            <a:effectLst/>
          </c:spPr>
          <c:marker>
            <c:symbol val="none"/>
          </c:marker>
          <c:cat>
            <c:numRef>
              <c:f>'Educ Health Serv'!$A$2:$A$336</c:f>
              <c:numCache>
                <c:formatCode>mmm\-yy</c:formatCode>
                <c:ptCount val="335"/>
                <c:pt idx="0">
                  <c:v>32874</c:v>
                </c:pt>
                <c:pt idx="1">
                  <c:v>32905</c:v>
                </c:pt>
                <c:pt idx="2">
                  <c:v>32933</c:v>
                </c:pt>
                <c:pt idx="3">
                  <c:v>32964</c:v>
                </c:pt>
                <c:pt idx="4">
                  <c:v>32994</c:v>
                </c:pt>
                <c:pt idx="5">
                  <c:v>33025</c:v>
                </c:pt>
                <c:pt idx="6">
                  <c:v>33055</c:v>
                </c:pt>
                <c:pt idx="7">
                  <c:v>33086</c:v>
                </c:pt>
                <c:pt idx="8">
                  <c:v>33117</c:v>
                </c:pt>
                <c:pt idx="9">
                  <c:v>33147</c:v>
                </c:pt>
                <c:pt idx="10">
                  <c:v>33178</c:v>
                </c:pt>
                <c:pt idx="11">
                  <c:v>33208</c:v>
                </c:pt>
                <c:pt idx="12">
                  <c:v>33239</c:v>
                </c:pt>
                <c:pt idx="13">
                  <c:v>33270</c:v>
                </c:pt>
                <c:pt idx="14">
                  <c:v>33298</c:v>
                </c:pt>
                <c:pt idx="15">
                  <c:v>33329</c:v>
                </c:pt>
                <c:pt idx="16">
                  <c:v>33359</c:v>
                </c:pt>
                <c:pt idx="17">
                  <c:v>33390</c:v>
                </c:pt>
                <c:pt idx="18">
                  <c:v>33420</c:v>
                </c:pt>
                <c:pt idx="19">
                  <c:v>33451</c:v>
                </c:pt>
                <c:pt idx="20">
                  <c:v>33482</c:v>
                </c:pt>
                <c:pt idx="21">
                  <c:v>33512</c:v>
                </c:pt>
                <c:pt idx="22">
                  <c:v>33543</c:v>
                </c:pt>
                <c:pt idx="23">
                  <c:v>33573</c:v>
                </c:pt>
                <c:pt idx="24">
                  <c:v>33604</c:v>
                </c:pt>
                <c:pt idx="25">
                  <c:v>33635</c:v>
                </c:pt>
                <c:pt idx="26">
                  <c:v>33664</c:v>
                </c:pt>
                <c:pt idx="27">
                  <c:v>33695</c:v>
                </c:pt>
                <c:pt idx="28">
                  <c:v>33725</c:v>
                </c:pt>
                <c:pt idx="29">
                  <c:v>33756</c:v>
                </c:pt>
                <c:pt idx="30">
                  <c:v>33786</c:v>
                </c:pt>
                <c:pt idx="31">
                  <c:v>33817</c:v>
                </c:pt>
                <c:pt idx="32">
                  <c:v>33848</c:v>
                </c:pt>
                <c:pt idx="33">
                  <c:v>33878</c:v>
                </c:pt>
                <c:pt idx="34">
                  <c:v>33909</c:v>
                </c:pt>
                <c:pt idx="35">
                  <c:v>33939</c:v>
                </c:pt>
                <c:pt idx="36">
                  <c:v>33970</c:v>
                </c:pt>
                <c:pt idx="37">
                  <c:v>34001</c:v>
                </c:pt>
                <c:pt idx="38">
                  <c:v>34029</c:v>
                </c:pt>
                <c:pt idx="39">
                  <c:v>34060</c:v>
                </c:pt>
                <c:pt idx="40">
                  <c:v>34090</c:v>
                </c:pt>
                <c:pt idx="41">
                  <c:v>34121</c:v>
                </c:pt>
                <c:pt idx="42">
                  <c:v>34151</c:v>
                </c:pt>
                <c:pt idx="43">
                  <c:v>34182</c:v>
                </c:pt>
                <c:pt idx="44">
                  <c:v>34213</c:v>
                </c:pt>
                <c:pt idx="45">
                  <c:v>34243</c:v>
                </c:pt>
                <c:pt idx="46">
                  <c:v>34274</c:v>
                </c:pt>
                <c:pt idx="47">
                  <c:v>34304</c:v>
                </c:pt>
                <c:pt idx="48">
                  <c:v>34335</c:v>
                </c:pt>
                <c:pt idx="49">
                  <c:v>34366</c:v>
                </c:pt>
                <c:pt idx="50">
                  <c:v>34394</c:v>
                </c:pt>
                <c:pt idx="51">
                  <c:v>34425</c:v>
                </c:pt>
                <c:pt idx="52">
                  <c:v>34455</c:v>
                </c:pt>
                <c:pt idx="53">
                  <c:v>34486</c:v>
                </c:pt>
                <c:pt idx="54">
                  <c:v>34516</c:v>
                </c:pt>
                <c:pt idx="55">
                  <c:v>34547</c:v>
                </c:pt>
                <c:pt idx="56">
                  <c:v>34578</c:v>
                </c:pt>
                <c:pt idx="57">
                  <c:v>34608</c:v>
                </c:pt>
                <c:pt idx="58">
                  <c:v>34639</c:v>
                </c:pt>
                <c:pt idx="59">
                  <c:v>34669</c:v>
                </c:pt>
                <c:pt idx="60">
                  <c:v>34700</c:v>
                </c:pt>
                <c:pt idx="61">
                  <c:v>34731</c:v>
                </c:pt>
                <c:pt idx="62">
                  <c:v>34759</c:v>
                </c:pt>
                <c:pt idx="63">
                  <c:v>34790</c:v>
                </c:pt>
                <c:pt idx="64">
                  <c:v>34820</c:v>
                </c:pt>
                <c:pt idx="65">
                  <c:v>34851</c:v>
                </c:pt>
                <c:pt idx="66">
                  <c:v>34881</c:v>
                </c:pt>
                <c:pt idx="67">
                  <c:v>34912</c:v>
                </c:pt>
                <c:pt idx="68">
                  <c:v>34943</c:v>
                </c:pt>
                <c:pt idx="69">
                  <c:v>34973</c:v>
                </c:pt>
                <c:pt idx="70">
                  <c:v>35004</c:v>
                </c:pt>
                <c:pt idx="71">
                  <c:v>35034</c:v>
                </c:pt>
                <c:pt idx="72">
                  <c:v>35065</c:v>
                </c:pt>
                <c:pt idx="73">
                  <c:v>35096</c:v>
                </c:pt>
                <c:pt idx="74">
                  <c:v>35125</c:v>
                </c:pt>
                <c:pt idx="75">
                  <c:v>35156</c:v>
                </c:pt>
                <c:pt idx="76">
                  <c:v>35186</c:v>
                </c:pt>
                <c:pt idx="77">
                  <c:v>35217</c:v>
                </c:pt>
                <c:pt idx="78">
                  <c:v>35247</c:v>
                </c:pt>
                <c:pt idx="79">
                  <c:v>35278</c:v>
                </c:pt>
                <c:pt idx="80">
                  <c:v>35309</c:v>
                </c:pt>
                <c:pt idx="81">
                  <c:v>35339</c:v>
                </c:pt>
                <c:pt idx="82">
                  <c:v>35370</c:v>
                </c:pt>
                <c:pt idx="83">
                  <c:v>35400</c:v>
                </c:pt>
                <c:pt idx="84">
                  <c:v>35431</c:v>
                </c:pt>
                <c:pt idx="85">
                  <c:v>35462</c:v>
                </c:pt>
                <c:pt idx="86">
                  <c:v>35490</c:v>
                </c:pt>
                <c:pt idx="87">
                  <c:v>35521</c:v>
                </c:pt>
                <c:pt idx="88">
                  <c:v>35551</c:v>
                </c:pt>
                <c:pt idx="89">
                  <c:v>35582</c:v>
                </c:pt>
                <c:pt idx="90">
                  <c:v>35612</c:v>
                </c:pt>
                <c:pt idx="91">
                  <c:v>35643</c:v>
                </c:pt>
                <c:pt idx="92">
                  <c:v>35674</c:v>
                </c:pt>
                <c:pt idx="93">
                  <c:v>35704</c:v>
                </c:pt>
                <c:pt idx="94">
                  <c:v>35735</c:v>
                </c:pt>
                <c:pt idx="95">
                  <c:v>35765</c:v>
                </c:pt>
                <c:pt idx="96">
                  <c:v>35796</c:v>
                </c:pt>
                <c:pt idx="97">
                  <c:v>35827</c:v>
                </c:pt>
                <c:pt idx="98">
                  <c:v>35855</c:v>
                </c:pt>
                <c:pt idx="99">
                  <c:v>35886</c:v>
                </c:pt>
                <c:pt idx="100">
                  <c:v>35916</c:v>
                </c:pt>
                <c:pt idx="101">
                  <c:v>35947</c:v>
                </c:pt>
                <c:pt idx="102">
                  <c:v>35977</c:v>
                </c:pt>
                <c:pt idx="103">
                  <c:v>36008</c:v>
                </c:pt>
                <c:pt idx="104">
                  <c:v>36039</c:v>
                </c:pt>
                <c:pt idx="105">
                  <c:v>36069</c:v>
                </c:pt>
                <c:pt idx="106">
                  <c:v>36100</c:v>
                </c:pt>
                <c:pt idx="107">
                  <c:v>36130</c:v>
                </c:pt>
                <c:pt idx="108">
                  <c:v>36161</c:v>
                </c:pt>
                <c:pt idx="109">
                  <c:v>36192</c:v>
                </c:pt>
                <c:pt idx="110">
                  <c:v>36220</c:v>
                </c:pt>
                <c:pt idx="111">
                  <c:v>36251</c:v>
                </c:pt>
                <c:pt idx="112">
                  <c:v>36281</c:v>
                </c:pt>
                <c:pt idx="113">
                  <c:v>36312</c:v>
                </c:pt>
                <c:pt idx="114">
                  <c:v>36342</c:v>
                </c:pt>
                <c:pt idx="115">
                  <c:v>36373</c:v>
                </c:pt>
                <c:pt idx="116">
                  <c:v>36404</c:v>
                </c:pt>
                <c:pt idx="117">
                  <c:v>36434</c:v>
                </c:pt>
                <c:pt idx="118">
                  <c:v>36465</c:v>
                </c:pt>
                <c:pt idx="119">
                  <c:v>36495</c:v>
                </c:pt>
                <c:pt idx="120">
                  <c:v>36526</c:v>
                </c:pt>
                <c:pt idx="121">
                  <c:v>36557</c:v>
                </c:pt>
                <c:pt idx="122">
                  <c:v>36586</c:v>
                </c:pt>
                <c:pt idx="123">
                  <c:v>36617</c:v>
                </c:pt>
                <c:pt idx="124">
                  <c:v>36647</c:v>
                </c:pt>
                <c:pt idx="125">
                  <c:v>36678</c:v>
                </c:pt>
                <c:pt idx="126">
                  <c:v>36708</c:v>
                </c:pt>
                <c:pt idx="127">
                  <c:v>36739</c:v>
                </c:pt>
                <c:pt idx="128">
                  <c:v>36770</c:v>
                </c:pt>
                <c:pt idx="129">
                  <c:v>36800</c:v>
                </c:pt>
                <c:pt idx="130">
                  <c:v>36831</c:v>
                </c:pt>
                <c:pt idx="131">
                  <c:v>36861</c:v>
                </c:pt>
                <c:pt idx="132">
                  <c:v>36892</c:v>
                </c:pt>
                <c:pt idx="133">
                  <c:v>36923</c:v>
                </c:pt>
                <c:pt idx="134">
                  <c:v>36951</c:v>
                </c:pt>
                <c:pt idx="135">
                  <c:v>36982</c:v>
                </c:pt>
                <c:pt idx="136">
                  <c:v>37012</c:v>
                </c:pt>
                <c:pt idx="137">
                  <c:v>37043</c:v>
                </c:pt>
                <c:pt idx="138">
                  <c:v>37073</c:v>
                </c:pt>
                <c:pt idx="139">
                  <c:v>37104</c:v>
                </c:pt>
                <c:pt idx="140">
                  <c:v>37135</c:v>
                </c:pt>
                <c:pt idx="141">
                  <c:v>37165</c:v>
                </c:pt>
                <c:pt idx="142">
                  <c:v>37196</c:v>
                </c:pt>
                <c:pt idx="143">
                  <c:v>37226</c:v>
                </c:pt>
                <c:pt idx="144">
                  <c:v>37257</c:v>
                </c:pt>
                <c:pt idx="145">
                  <c:v>37288</c:v>
                </c:pt>
                <c:pt idx="146">
                  <c:v>37316</c:v>
                </c:pt>
                <c:pt idx="147">
                  <c:v>37347</c:v>
                </c:pt>
                <c:pt idx="148">
                  <c:v>37377</c:v>
                </c:pt>
                <c:pt idx="149">
                  <c:v>37408</c:v>
                </c:pt>
                <c:pt idx="150">
                  <c:v>37438</c:v>
                </c:pt>
                <c:pt idx="151">
                  <c:v>37469</c:v>
                </c:pt>
                <c:pt idx="152">
                  <c:v>37500</c:v>
                </c:pt>
                <c:pt idx="153">
                  <c:v>37530</c:v>
                </c:pt>
                <c:pt idx="154">
                  <c:v>37561</c:v>
                </c:pt>
                <c:pt idx="155">
                  <c:v>37591</c:v>
                </c:pt>
                <c:pt idx="156">
                  <c:v>37622</c:v>
                </c:pt>
                <c:pt idx="157">
                  <c:v>37653</c:v>
                </c:pt>
                <c:pt idx="158">
                  <c:v>37681</c:v>
                </c:pt>
                <c:pt idx="159">
                  <c:v>37712</c:v>
                </c:pt>
                <c:pt idx="160">
                  <c:v>37742</c:v>
                </c:pt>
                <c:pt idx="161">
                  <c:v>37773</c:v>
                </c:pt>
                <c:pt idx="162">
                  <c:v>37803</c:v>
                </c:pt>
                <c:pt idx="163">
                  <c:v>37834</c:v>
                </c:pt>
                <c:pt idx="164">
                  <c:v>37865</c:v>
                </c:pt>
                <c:pt idx="165">
                  <c:v>37895</c:v>
                </c:pt>
                <c:pt idx="166">
                  <c:v>37926</c:v>
                </c:pt>
                <c:pt idx="167">
                  <c:v>37956</c:v>
                </c:pt>
                <c:pt idx="168">
                  <c:v>37987</c:v>
                </c:pt>
                <c:pt idx="169">
                  <c:v>38018</c:v>
                </c:pt>
                <c:pt idx="170">
                  <c:v>38047</c:v>
                </c:pt>
                <c:pt idx="171">
                  <c:v>38078</c:v>
                </c:pt>
                <c:pt idx="172">
                  <c:v>38108</c:v>
                </c:pt>
                <c:pt idx="173">
                  <c:v>38139</c:v>
                </c:pt>
                <c:pt idx="174">
                  <c:v>38169</c:v>
                </c:pt>
                <c:pt idx="175">
                  <c:v>38200</c:v>
                </c:pt>
                <c:pt idx="176">
                  <c:v>38231</c:v>
                </c:pt>
                <c:pt idx="177">
                  <c:v>38261</c:v>
                </c:pt>
                <c:pt idx="178">
                  <c:v>38292</c:v>
                </c:pt>
                <c:pt idx="179">
                  <c:v>38322</c:v>
                </c:pt>
                <c:pt idx="180">
                  <c:v>38353</c:v>
                </c:pt>
                <c:pt idx="181">
                  <c:v>38384</c:v>
                </c:pt>
                <c:pt idx="182">
                  <c:v>38412</c:v>
                </c:pt>
                <c:pt idx="183">
                  <c:v>38443</c:v>
                </c:pt>
                <c:pt idx="184">
                  <c:v>38473</c:v>
                </c:pt>
                <c:pt idx="185">
                  <c:v>38504</c:v>
                </c:pt>
                <c:pt idx="186">
                  <c:v>38534</c:v>
                </c:pt>
                <c:pt idx="187">
                  <c:v>38565</c:v>
                </c:pt>
                <c:pt idx="188">
                  <c:v>38596</c:v>
                </c:pt>
                <c:pt idx="189">
                  <c:v>38626</c:v>
                </c:pt>
                <c:pt idx="190">
                  <c:v>38657</c:v>
                </c:pt>
                <c:pt idx="191">
                  <c:v>38687</c:v>
                </c:pt>
                <c:pt idx="192">
                  <c:v>38718</c:v>
                </c:pt>
                <c:pt idx="193">
                  <c:v>38749</c:v>
                </c:pt>
                <c:pt idx="194">
                  <c:v>38777</c:v>
                </c:pt>
                <c:pt idx="195">
                  <c:v>38808</c:v>
                </c:pt>
                <c:pt idx="196">
                  <c:v>38838</c:v>
                </c:pt>
                <c:pt idx="197">
                  <c:v>38869</c:v>
                </c:pt>
                <c:pt idx="198">
                  <c:v>38899</c:v>
                </c:pt>
                <c:pt idx="199">
                  <c:v>38930</c:v>
                </c:pt>
                <c:pt idx="200">
                  <c:v>38961</c:v>
                </c:pt>
                <c:pt idx="201">
                  <c:v>38991</c:v>
                </c:pt>
                <c:pt idx="202">
                  <c:v>39022</c:v>
                </c:pt>
                <c:pt idx="203">
                  <c:v>39052</c:v>
                </c:pt>
                <c:pt idx="204">
                  <c:v>39083</c:v>
                </c:pt>
                <c:pt idx="205">
                  <c:v>39114</c:v>
                </c:pt>
                <c:pt idx="206">
                  <c:v>39142</c:v>
                </c:pt>
                <c:pt idx="207">
                  <c:v>39173</c:v>
                </c:pt>
                <c:pt idx="208">
                  <c:v>39203</c:v>
                </c:pt>
                <c:pt idx="209">
                  <c:v>39234</c:v>
                </c:pt>
                <c:pt idx="210">
                  <c:v>39264</c:v>
                </c:pt>
                <c:pt idx="211">
                  <c:v>39295</c:v>
                </c:pt>
                <c:pt idx="212">
                  <c:v>39326</c:v>
                </c:pt>
                <c:pt idx="213">
                  <c:v>39356</c:v>
                </c:pt>
                <c:pt idx="214">
                  <c:v>39387</c:v>
                </c:pt>
                <c:pt idx="215">
                  <c:v>39417</c:v>
                </c:pt>
                <c:pt idx="216">
                  <c:v>39448</c:v>
                </c:pt>
                <c:pt idx="217">
                  <c:v>39479</c:v>
                </c:pt>
                <c:pt idx="218">
                  <c:v>39508</c:v>
                </c:pt>
                <c:pt idx="219">
                  <c:v>39539</c:v>
                </c:pt>
                <c:pt idx="220">
                  <c:v>39569</c:v>
                </c:pt>
                <c:pt idx="221">
                  <c:v>39600</c:v>
                </c:pt>
                <c:pt idx="222">
                  <c:v>39630</c:v>
                </c:pt>
                <c:pt idx="223">
                  <c:v>39661</c:v>
                </c:pt>
                <c:pt idx="224">
                  <c:v>39692</c:v>
                </c:pt>
                <c:pt idx="225">
                  <c:v>39722</c:v>
                </c:pt>
                <c:pt idx="226">
                  <c:v>39753</c:v>
                </c:pt>
                <c:pt idx="227">
                  <c:v>39783</c:v>
                </c:pt>
                <c:pt idx="228">
                  <c:v>39814</c:v>
                </c:pt>
                <c:pt idx="229">
                  <c:v>39845</c:v>
                </c:pt>
                <c:pt idx="230">
                  <c:v>39873</c:v>
                </c:pt>
                <c:pt idx="231">
                  <c:v>39904</c:v>
                </c:pt>
                <c:pt idx="232">
                  <c:v>39934</c:v>
                </c:pt>
                <c:pt idx="233">
                  <c:v>39965</c:v>
                </c:pt>
                <c:pt idx="234">
                  <c:v>39995</c:v>
                </c:pt>
                <c:pt idx="235">
                  <c:v>40026</c:v>
                </c:pt>
                <c:pt idx="236">
                  <c:v>40057</c:v>
                </c:pt>
                <c:pt idx="237">
                  <c:v>40087</c:v>
                </c:pt>
                <c:pt idx="238">
                  <c:v>40118</c:v>
                </c:pt>
                <c:pt idx="239">
                  <c:v>40148</c:v>
                </c:pt>
                <c:pt idx="240">
                  <c:v>40179</c:v>
                </c:pt>
                <c:pt idx="241">
                  <c:v>40210</c:v>
                </c:pt>
                <c:pt idx="242">
                  <c:v>40238</c:v>
                </c:pt>
                <c:pt idx="243">
                  <c:v>40269</c:v>
                </c:pt>
                <c:pt idx="244">
                  <c:v>40299</c:v>
                </c:pt>
                <c:pt idx="245">
                  <c:v>40330</c:v>
                </c:pt>
                <c:pt idx="246">
                  <c:v>40360</c:v>
                </c:pt>
                <c:pt idx="247">
                  <c:v>40391</c:v>
                </c:pt>
                <c:pt idx="248">
                  <c:v>40422</c:v>
                </c:pt>
                <c:pt idx="249">
                  <c:v>40452</c:v>
                </c:pt>
                <c:pt idx="250">
                  <c:v>40483</c:v>
                </c:pt>
                <c:pt idx="251">
                  <c:v>40513</c:v>
                </c:pt>
                <c:pt idx="252">
                  <c:v>40544</c:v>
                </c:pt>
                <c:pt idx="253">
                  <c:v>40575</c:v>
                </c:pt>
                <c:pt idx="254">
                  <c:v>40603</c:v>
                </c:pt>
                <c:pt idx="255">
                  <c:v>40634</c:v>
                </c:pt>
                <c:pt idx="256">
                  <c:v>40664</c:v>
                </c:pt>
                <c:pt idx="257">
                  <c:v>40695</c:v>
                </c:pt>
                <c:pt idx="258">
                  <c:v>40725</c:v>
                </c:pt>
                <c:pt idx="259">
                  <c:v>40756</c:v>
                </c:pt>
                <c:pt idx="260">
                  <c:v>40787</c:v>
                </c:pt>
                <c:pt idx="261">
                  <c:v>40817</c:v>
                </c:pt>
                <c:pt idx="262">
                  <c:v>40848</c:v>
                </c:pt>
                <c:pt idx="263">
                  <c:v>40878</c:v>
                </c:pt>
                <c:pt idx="264">
                  <c:v>40909</c:v>
                </c:pt>
                <c:pt idx="265">
                  <c:v>40940</c:v>
                </c:pt>
                <c:pt idx="266">
                  <c:v>40969</c:v>
                </c:pt>
                <c:pt idx="267">
                  <c:v>41000</c:v>
                </c:pt>
                <c:pt idx="268">
                  <c:v>41030</c:v>
                </c:pt>
                <c:pt idx="269">
                  <c:v>41061</c:v>
                </c:pt>
                <c:pt idx="270">
                  <c:v>41091</c:v>
                </c:pt>
                <c:pt idx="271">
                  <c:v>41122</c:v>
                </c:pt>
                <c:pt idx="272">
                  <c:v>41153</c:v>
                </c:pt>
                <c:pt idx="273">
                  <c:v>41183</c:v>
                </c:pt>
                <c:pt idx="274">
                  <c:v>41214</c:v>
                </c:pt>
                <c:pt idx="275">
                  <c:v>41244</c:v>
                </c:pt>
                <c:pt idx="276">
                  <c:v>41275</c:v>
                </c:pt>
                <c:pt idx="277">
                  <c:v>41306</c:v>
                </c:pt>
                <c:pt idx="278">
                  <c:v>41334</c:v>
                </c:pt>
                <c:pt idx="279">
                  <c:v>41365</c:v>
                </c:pt>
                <c:pt idx="280">
                  <c:v>41395</c:v>
                </c:pt>
                <c:pt idx="281">
                  <c:v>41426</c:v>
                </c:pt>
                <c:pt idx="282">
                  <c:v>41456</c:v>
                </c:pt>
                <c:pt idx="283">
                  <c:v>41487</c:v>
                </c:pt>
                <c:pt idx="284">
                  <c:v>41518</c:v>
                </c:pt>
                <c:pt idx="285">
                  <c:v>41548</c:v>
                </c:pt>
                <c:pt idx="286">
                  <c:v>41579</c:v>
                </c:pt>
                <c:pt idx="287">
                  <c:v>41609</c:v>
                </c:pt>
                <c:pt idx="288">
                  <c:v>41640</c:v>
                </c:pt>
                <c:pt idx="289">
                  <c:v>41671</c:v>
                </c:pt>
                <c:pt idx="290">
                  <c:v>41699</c:v>
                </c:pt>
                <c:pt idx="291">
                  <c:v>41730</c:v>
                </c:pt>
                <c:pt idx="292">
                  <c:v>41760</c:v>
                </c:pt>
                <c:pt idx="293">
                  <c:v>41791</c:v>
                </c:pt>
                <c:pt idx="294">
                  <c:v>41821</c:v>
                </c:pt>
                <c:pt idx="295">
                  <c:v>41852</c:v>
                </c:pt>
                <c:pt idx="296">
                  <c:v>41883</c:v>
                </c:pt>
                <c:pt idx="297">
                  <c:v>41913</c:v>
                </c:pt>
                <c:pt idx="298">
                  <c:v>41944</c:v>
                </c:pt>
                <c:pt idx="299">
                  <c:v>41974</c:v>
                </c:pt>
                <c:pt idx="300">
                  <c:v>42005</c:v>
                </c:pt>
                <c:pt idx="301">
                  <c:v>42036</c:v>
                </c:pt>
                <c:pt idx="302">
                  <c:v>42064</c:v>
                </c:pt>
                <c:pt idx="303">
                  <c:v>42095</c:v>
                </c:pt>
                <c:pt idx="304">
                  <c:v>42125</c:v>
                </c:pt>
                <c:pt idx="305">
                  <c:v>42156</c:v>
                </c:pt>
                <c:pt idx="306">
                  <c:v>42186</c:v>
                </c:pt>
                <c:pt idx="307">
                  <c:v>42217</c:v>
                </c:pt>
                <c:pt idx="308">
                  <c:v>42248</c:v>
                </c:pt>
                <c:pt idx="309">
                  <c:v>42278</c:v>
                </c:pt>
                <c:pt idx="310">
                  <c:v>42309</c:v>
                </c:pt>
                <c:pt idx="311">
                  <c:v>42339</c:v>
                </c:pt>
                <c:pt idx="312">
                  <c:v>42370</c:v>
                </c:pt>
                <c:pt idx="313">
                  <c:v>42401</c:v>
                </c:pt>
                <c:pt idx="314">
                  <c:v>42430</c:v>
                </c:pt>
                <c:pt idx="315">
                  <c:v>42461</c:v>
                </c:pt>
                <c:pt idx="316">
                  <c:v>42491</c:v>
                </c:pt>
                <c:pt idx="317">
                  <c:v>42522</c:v>
                </c:pt>
                <c:pt idx="318">
                  <c:v>42552</c:v>
                </c:pt>
                <c:pt idx="319">
                  <c:v>42583</c:v>
                </c:pt>
                <c:pt idx="320">
                  <c:v>42614</c:v>
                </c:pt>
                <c:pt idx="321">
                  <c:v>42644</c:v>
                </c:pt>
                <c:pt idx="322">
                  <c:v>42675</c:v>
                </c:pt>
                <c:pt idx="323">
                  <c:v>42705</c:v>
                </c:pt>
                <c:pt idx="324">
                  <c:v>42736</c:v>
                </c:pt>
                <c:pt idx="325">
                  <c:v>42767</c:v>
                </c:pt>
                <c:pt idx="326">
                  <c:v>42795</c:v>
                </c:pt>
                <c:pt idx="327">
                  <c:v>42826</c:v>
                </c:pt>
                <c:pt idx="328">
                  <c:v>42856</c:v>
                </c:pt>
                <c:pt idx="329">
                  <c:v>42887</c:v>
                </c:pt>
                <c:pt idx="330">
                  <c:v>42917</c:v>
                </c:pt>
                <c:pt idx="331">
                  <c:v>42948</c:v>
                </c:pt>
                <c:pt idx="332">
                  <c:v>42979</c:v>
                </c:pt>
                <c:pt idx="333">
                  <c:v>43009</c:v>
                </c:pt>
                <c:pt idx="334">
                  <c:v>43040</c:v>
                </c:pt>
              </c:numCache>
            </c:numRef>
          </c:cat>
          <c:val>
            <c:numRef>
              <c:f>'Educ Health Serv'!$B$2:$B$336</c:f>
              <c:numCache>
                <c:formatCode>#,##0</c:formatCode>
                <c:ptCount val="335"/>
                <c:pt idx="0">
                  <c:v>586700</c:v>
                </c:pt>
                <c:pt idx="1">
                  <c:v>587600</c:v>
                </c:pt>
                <c:pt idx="2">
                  <c:v>588400</c:v>
                </c:pt>
                <c:pt idx="3">
                  <c:v>589500</c:v>
                </c:pt>
                <c:pt idx="4">
                  <c:v>590600</c:v>
                </c:pt>
                <c:pt idx="5">
                  <c:v>594500</c:v>
                </c:pt>
                <c:pt idx="6">
                  <c:v>594800</c:v>
                </c:pt>
                <c:pt idx="7">
                  <c:v>598700</c:v>
                </c:pt>
                <c:pt idx="8">
                  <c:v>602300</c:v>
                </c:pt>
                <c:pt idx="9">
                  <c:v>604900</c:v>
                </c:pt>
                <c:pt idx="10">
                  <c:v>606800</c:v>
                </c:pt>
                <c:pt idx="11">
                  <c:v>609000</c:v>
                </c:pt>
                <c:pt idx="12">
                  <c:v>615100</c:v>
                </c:pt>
                <c:pt idx="13">
                  <c:v>616300</c:v>
                </c:pt>
                <c:pt idx="14">
                  <c:v>614500</c:v>
                </c:pt>
                <c:pt idx="15">
                  <c:v>620300</c:v>
                </c:pt>
                <c:pt idx="16">
                  <c:v>621900</c:v>
                </c:pt>
                <c:pt idx="17">
                  <c:v>623500</c:v>
                </c:pt>
                <c:pt idx="18">
                  <c:v>626500</c:v>
                </c:pt>
                <c:pt idx="19">
                  <c:v>628300</c:v>
                </c:pt>
                <c:pt idx="20">
                  <c:v>630200</c:v>
                </c:pt>
                <c:pt idx="21">
                  <c:v>632300</c:v>
                </c:pt>
                <c:pt idx="22">
                  <c:v>635500</c:v>
                </c:pt>
                <c:pt idx="23">
                  <c:v>635500</c:v>
                </c:pt>
                <c:pt idx="24">
                  <c:v>638900</c:v>
                </c:pt>
                <c:pt idx="25">
                  <c:v>639800</c:v>
                </c:pt>
                <c:pt idx="26">
                  <c:v>641700</c:v>
                </c:pt>
                <c:pt idx="27">
                  <c:v>647900</c:v>
                </c:pt>
                <c:pt idx="28">
                  <c:v>650000</c:v>
                </c:pt>
                <c:pt idx="29">
                  <c:v>651600</c:v>
                </c:pt>
                <c:pt idx="30">
                  <c:v>654700</c:v>
                </c:pt>
                <c:pt idx="31">
                  <c:v>657100</c:v>
                </c:pt>
                <c:pt idx="32">
                  <c:v>658500</c:v>
                </c:pt>
                <c:pt idx="33">
                  <c:v>661200</c:v>
                </c:pt>
                <c:pt idx="34">
                  <c:v>663400</c:v>
                </c:pt>
                <c:pt idx="35">
                  <c:v>666600</c:v>
                </c:pt>
                <c:pt idx="36">
                  <c:v>668000</c:v>
                </c:pt>
                <c:pt idx="37">
                  <c:v>671300</c:v>
                </c:pt>
                <c:pt idx="38">
                  <c:v>673300</c:v>
                </c:pt>
                <c:pt idx="39">
                  <c:v>676500</c:v>
                </c:pt>
                <c:pt idx="40">
                  <c:v>679200</c:v>
                </c:pt>
                <c:pt idx="41">
                  <c:v>683200</c:v>
                </c:pt>
                <c:pt idx="42">
                  <c:v>686200</c:v>
                </c:pt>
                <c:pt idx="43">
                  <c:v>688500</c:v>
                </c:pt>
                <c:pt idx="44">
                  <c:v>692300</c:v>
                </c:pt>
                <c:pt idx="45">
                  <c:v>696900</c:v>
                </c:pt>
                <c:pt idx="46">
                  <c:v>698800</c:v>
                </c:pt>
                <c:pt idx="47">
                  <c:v>701800</c:v>
                </c:pt>
                <c:pt idx="48">
                  <c:v>702400</c:v>
                </c:pt>
                <c:pt idx="49">
                  <c:v>705700</c:v>
                </c:pt>
                <c:pt idx="50">
                  <c:v>709500</c:v>
                </c:pt>
                <c:pt idx="51">
                  <c:v>713800</c:v>
                </c:pt>
                <c:pt idx="52">
                  <c:v>717400</c:v>
                </c:pt>
                <c:pt idx="53">
                  <c:v>720400</c:v>
                </c:pt>
                <c:pt idx="54">
                  <c:v>724500</c:v>
                </c:pt>
                <c:pt idx="55">
                  <c:v>727000</c:v>
                </c:pt>
                <c:pt idx="56">
                  <c:v>732200</c:v>
                </c:pt>
                <c:pt idx="57">
                  <c:v>731500</c:v>
                </c:pt>
                <c:pt idx="58">
                  <c:v>734300</c:v>
                </c:pt>
                <c:pt idx="59">
                  <c:v>737300</c:v>
                </c:pt>
                <c:pt idx="60">
                  <c:v>742100</c:v>
                </c:pt>
                <c:pt idx="61">
                  <c:v>746100</c:v>
                </c:pt>
                <c:pt idx="62">
                  <c:v>749500</c:v>
                </c:pt>
                <c:pt idx="63">
                  <c:v>746600</c:v>
                </c:pt>
                <c:pt idx="64">
                  <c:v>747400</c:v>
                </c:pt>
                <c:pt idx="65">
                  <c:v>750500</c:v>
                </c:pt>
                <c:pt idx="66">
                  <c:v>749300</c:v>
                </c:pt>
                <c:pt idx="67">
                  <c:v>751000</c:v>
                </c:pt>
                <c:pt idx="68">
                  <c:v>755800</c:v>
                </c:pt>
                <c:pt idx="69">
                  <c:v>758800</c:v>
                </c:pt>
                <c:pt idx="70">
                  <c:v>761500</c:v>
                </c:pt>
                <c:pt idx="71">
                  <c:v>765100</c:v>
                </c:pt>
                <c:pt idx="72">
                  <c:v>752700</c:v>
                </c:pt>
                <c:pt idx="73">
                  <c:v>754000</c:v>
                </c:pt>
                <c:pt idx="74">
                  <c:v>754900</c:v>
                </c:pt>
                <c:pt idx="75">
                  <c:v>755600</c:v>
                </c:pt>
                <c:pt idx="76">
                  <c:v>757300</c:v>
                </c:pt>
                <c:pt idx="77">
                  <c:v>758900</c:v>
                </c:pt>
                <c:pt idx="78">
                  <c:v>761600</c:v>
                </c:pt>
                <c:pt idx="79">
                  <c:v>762300</c:v>
                </c:pt>
                <c:pt idx="80">
                  <c:v>763600</c:v>
                </c:pt>
                <c:pt idx="81">
                  <c:v>765400</c:v>
                </c:pt>
                <c:pt idx="82">
                  <c:v>766700</c:v>
                </c:pt>
                <c:pt idx="83">
                  <c:v>767400</c:v>
                </c:pt>
                <c:pt idx="84">
                  <c:v>770300</c:v>
                </c:pt>
                <c:pt idx="85">
                  <c:v>771700</c:v>
                </c:pt>
                <c:pt idx="86">
                  <c:v>774600</c:v>
                </c:pt>
                <c:pt idx="87">
                  <c:v>777900</c:v>
                </c:pt>
                <c:pt idx="88">
                  <c:v>778900</c:v>
                </c:pt>
                <c:pt idx="89">
                  <c:v>781500</c:v>
                </c:pt>
                <c:pt idx="90">
                  <c:v>784000</c:v>
                </c:pt>
                <c:pt idx="91">
                  <c:v>785500</c:v>
                </c:pt>
                <c:pt idx="92">
                  <c:v>788500</c:v>
                </c:pt>
                <c:pt idx="93">
                  <c:v>788500</c:v>
                </c:pt>
                <c:pt idx="94">
                  <c:v>791000</c:v>
                </c:pt>
                <c:pt idx="95">
                  <c:v>792700</c:v>
                </c:pt>
                <c:pt idx="96">
                  <c:v>797600</c:v>
                </c:pt>
                <c:pt idx="97">
                  <c:v>800600</c:v>
                </c:pt>
                <c:pt idx="98">
                  <c:v>801800</c:v>
                </c:pt>
                <c:pt idx="99">
                  <c:v>795400</c:v>
                </c:pt>
                <c:pt idx="100">
                  <c:v>798600</c:v>
                </c:pt>
                <c:pt idx="101">
                  <c:v>799000</c:v>
                </c:pt>
                <c:pt idx="102">
                  <c:v>799800</c:v>
                </c:pt>
                <c:pt idx="103">
                  <c:v>801600</c:v>
                </c:pt>
                <c:pt idx="104">
                  <c:v>801400</c:v>
                </c:pt>
                <c:pt idx="105">
                  <c:v>803700</c:v>
                </c:pt>
                <c:pt idx="106">
                  <c:v>803600</c:v>
                </c:pt>
                <c:pt idx="107">
                  <c:v>804300</c:v>
                </c:pt>
                <c:pt idx="108">
                  <c:v>804200</c:v>
                </c:pt>
                <c:pt idx="109">
                  <c:v>806300</c:v>
                </c:pt>
                <c:pt idx="110">
                  <c:v>808100</c:v>
                </c:pt>
                <c:pt idx="111">
                  <c:v>801100</c:v>
                </c:pt>
                <c:pt idx="112">
                  <c:v>803600</c:v>
                </c:pt>
                <c:pt idx="113">
                  <c:v>804600</c:v>
                </c:pt>
                <c:pt idx="114">
                  <c:v>805300</c:v>
                </c:pt>
                <c:pt idx="115">
                  <c:v>806800</c:v>
                </c:pt>
                <c:pt idx="116">
                  <c:v>806900</c:v>
                </c:pt>
                <c:pt idx="117">
                  <c:v>808400</c:v>
                </c:pt>
                <c:pt idx="118">
                  <c:v>811300</c:v>
                </c:pt>
                <c:pt idx="119">
                  <c:v>814100</c:v>
                </c:pt>
                <c:pt idx="120">
                  <c:v>816300</c:v>
                </c:pt>
                <c:pt idx="121">
                  <c:v>818200</c:v>
                </c:pt>
                <c:pt idx="122">
                  <c:v>820900</c:v>
                </c:pt>
                <c:pt idx="123">
                  <c:v>821700</c:v>
                </c:pt>
                <c:pt idx="124">
                  <c:v>822700</c:v>
                </c:pt>
                <c:pt idx="125">
                  <c:v>825300</c:v>
                </c:pt>
                <c:pt idx="126">
                  <c:v>832000</c:v>
                </c:pt>
                <c:pt idx="127">
                  <c:v>833600</c:v>
                </c:pt>
                <c:pt idx="128">
                  <c:v>836500</c:v>
                </c:pt>
                <c:pt idx="129">
                  <c:v>838200</c:v>
                </c:pt>
                <c:pt idx="130">
                  <c:v>840100</c:v>
                </c:pt>
                <c:pt idx="131">
                  <c:v>843900</c:v>
                </c:pt>
                <c:pt idx="132">
                  <c:v>839700</c:v>
                </c:pt>
                <c:pt idx="133">
                  <c:v>842500</c:v>
                </c:pt>
                <c:pt idx="134">
                  <c:v>843100</c:v>
                </c:pt>
                <c:pt idx="135">
                  <c:v>848300</c:v>
                </c:pt>
                <c:pt idx="136">
                  <c:v>850100</c:v>
                </c:pt>
                <c:pt idx="137">
                  <c:v>854200</c:v>
                </c:pt>
                <c:pt idx="138">
                  <c:v>855900</c:v>
                </c:pt>
                <c:pt idx="139">
                  <c:v>858000</c:v>
                </c:pt>
                <c:pt idx="140">
                  <c:v>860600</c:v>
                </c:pt>
                <c:pt idx="141">
                  <c:v>863600</c:v>
                </c:pt>
                <c:pt idx="142">
                  <c:v>865200</c:v>
                </c:pt>
                <c:pt idx="143">
                  <c:v>870000</c:v>
                </c:pt>
                <c:pt idx="144">
                  <c:v>866000</c:v>
                </c:pt>
                <c:pt idx="145">
                  <c:v>867700</c:v>
                </c:pt>
                <c:pt idx="146">
                  <c:v>871100</c:v>
                </c:pt>
                <c:pt idx="147">
                  <c:v>871800</c:v>
                </c:pt>
                <c:pt idx="148">
                  <c:v>873600</c:v>
                </c:pt>
                <c:pt idx="149">
                  <c:v>875100</c:v>
                </c:pt>
                <c:pt idx="150">
                  <c:v>875700</c:v>
                </c:pt>
                <c:pt idx="151">
                  <c:v>879400</c:v>
                </c:pt>
                <c:pt idx="152">
                  <c:v>881700</c:v>
                </c:pt>
                <c:pt idx="153">
                  <c:v>886000</c:v>
                </c:pt>
                <c:pt idx="154">
                  <c:v>889200</c:v>
                </c:pt>
                <c:pt idx="155">
                  <c:v>891800</c:v>
                </c:pt>
                <c:pt idx="156">
                  <c:v>895000</c:v>
                </c:pt>
                <c:pt idx="157">
                  <c:v>900000</c:v>
                </c:pt>
                <c:pt idx="158">
                  <c:v>902300</c:v>
                </c:pt>
                <c:pt idx="159">
                  <c:v>904200</c:v>
                </c:pt>
                <c:pt idx="160">
                  <c:v>906100</c:v>
                </c:pt>
                <c:pt idx="161">
                  <c:v>908000</c:v>
                </c:pt>
                <c:pt idx="162">
                  <c:v>911800</c:v>
                </c:pt>
                <c:pt idx="163">
                  <c:v>914300</c:v>
                </c:pt>
                <c:pt idx="164">
                  <c:v>918000</c:v>
                </c:pt>
                <c:pt idx="165">
                  <c:v>918700</c:v>
                </c:pt>
                <c:pt idx="166">
                  <c:v>919600</c:v>
                </c:pt>
                <c:pt idx="167">
                  <c:v>922300</c:v>
                </c:pt>
                <c:pt idx="168">
                  <c:v>927200</c:v>
                </c:pt>
                <c:pt idx="169">
                  <c:v>929700</c:v>
                </c:pt>
                <c:pt idx="170">
                  <c:v>931000</c:v>
                </c:pt>
                <c:pt idx="171">
                  <c:v>933600</c:v>
                </c:pt>
                <c:pt idx="172">
                  <c:v>937100</c:v>
                </c:pt>
                <c:pt idx="173">
                  <c:v>938100</c:v>
                </c:pt>
                <c:pt idx="174">
                  <c:v>939500</c:v>
                </c:pt>
                <c:pt idx="175">
                  <c:v>939900</c:v>
                </c:pt>
                <c:pt idx="176">
                  <c:v>934900</c:v>
                </c:pt>
                <c:pt idx="177">
                  <c:v>941400</c:v>
                </c:pt>
                <c:pt idx="178">
                  <c:v>945000</c:v>
                </c:pt>
                <c:pt idx="179">
                  <c:v>946700</c:v>
                </c:pt>
                <c:pt idx="180">
                  <c:v>948200</c:v>
                </c:pt>
                <c:pt idx="181">
                  <c:v>950100</c:v>
                </c:pt>
                <c:pt idx="182">
                  <c:v>950400</c:v>
                </c:pt>
                <c:pt idx="183">
                  <c:v>954200</c:v>
                </c:pt>
                <c:pt idx="184">
                  <c:v>956500</c:v>
                </c:pt>
                <c:pt idx="185">
                  <c:v>956500</c:v>
                </c:pt>
                <c:pt idx="186">
                  <c:v>963700</c:v>
                </c:pt>
                <c:pt idx="187">
                  <c:v>966100</c:v>
                </c:pt>
                <c:pt idx="188">
                  <c:v>967100</c:v>
                </c:pt>
                <c:pt idx="189">
                  <c:v>968600</c:v>
                </c:pt>
                <c:pt idx="190">
                  <c:v>969100</c:v>
                </c:pt>
                <c:pt idx="191">
                  <c:v>973000</c:v>
                </c:pt>
                <c:pt idx="192">
                  <c:v>972600</c:v>
                </c:pt>
                <c:pt idx="193">
                  <c:v>974000</c:v>
                </c:pt>
                <c:pt idx="194">
                  <c:v>977500</c:v>
                </c:pt>
                <c:pt idx="195">
                  <c:v>979400</c:v>
                </c:pt>
                <c:pt idx="196">
                  <c:v>981800</c:v>
                </c:pt>
                <c:pt idx="197">
                  <c:v>985000</c:v>
                </c:pt>
                <c:pt idx="198">
                  <c:v>988200</c:v>
                </c:pt>
                <c:pt idx="199">
                  <c:v>992000</c:v>
                </c:pt>
                <c:pt idx="200">
                  <c:v>992800</c:v>
                </c:pt>
                <c:pt idx="201">
                  <c:v>993800</c:v>
                </c:pt>
                <c:pt idx="202">
                  <c:v>995900</c:v>
                </c:pt>
                <c:pt idx="203">
                  <c:v>999100</c:v>
                </c:pt>
                <c:pt idx="204">
                  <c:v>1002700</c:v>
                </c:pt>
                <c:pt idx="205">
                  <c:v>1006200</c:v>
                </c:pt>
                <c:pt idx="206">
                  <c:v>1008300</c:v>
                </c:pt>
                <c:pt idx="207">
                  <c:v>1012100</c:v>
                </c:pt>
                <c:pt idx="208">
                  <c:v>1013100</c:v>
                </c:pt>
                <c:pt idx="209">
                  <c:v>1017500</c:v>
                </c:pt>
                <c:pt idx="210">
                  <c:v>1017000</c:v>
                </c:pt>
                <c:pt idx="211">
                  <c:v>1021600</c:v>
                </c:pt>
                <c:pt idx="212">
                  <c:v>1023000</c:v>
                </c:pt>
                <c:pt idx="213">
                  <c:v>1023800</c:v>
                </c:pt>
                <c:pt idx="214">
                  <c:v>1025000</c:v>
                </c:pt>
                <c:pt idx="215">
                  <c:v>1027800</c:v>
                </c:pt>
                <c:pt idx="216">
                  <c:v>1032500</c:v>
                </c:pt>
                <c:pt idx="217">
                  <c:v>1034599.9999999999</c:v>
                </c:pt>
                <c:pt idx="218">
                  <c:v>1035599.9999999999</c:v>
                </c:pt>
                <c:pt idx="219">
                  <c:v>1035400.0000000001</c:v>
                </c:pt>
                <c:pt idx="220">
                  <c:v>1036900.0000000001</c:v>
                </c:pt>
                <c:pt idx="221">
                  <c:v>1037500</c:v>
                </c:pt>
                <c:pt idx="222">
                  <c:v>1038200</c:v>
                </c:pt>
                <c:pt idx="223">
                  <c:v>1038900.0000000001</c:v>
                </c:pt>
                <c:pt idx="224">
                  <c:v>1038599.9999999999</c:v>
                </c:pt>
                <c:pt idx="225">
                  <c:v>1040000</c:v>
                </c:pt>
                <c:pt idx="226">
                  <c:v>1042700</c:v>
                </c:pt>
                <c:pt idx="227">
                  <c:v>1044900.0000000001</c:v>
                </c:pt>
                <c:pt idx="228">
                  <c:v>1042900.0000000001</c:v>
                </c:pt>
                <c:pt idx="229">
                  <c:v>1042700</c:v>
                </c:pt>
                <c:pt idx="230">
                  <c:v>1043099.9999999999</c:v>
                </c:pt>
                <c:pt idx="231">
                  <c:v>1043200</c:v>
                </c:pt>
                <c:pt idx="232">
                  <c:v>1046300</c:v>
                </c:pt>
                <c:pt idx="233">
                  <c:v>1048200</c:v>
                </c:pt>
                <c:pt idx="234">
                  <c:v>1049500</c:v>
                </c:pt>
                <c:pt idx="235">
                  <c:v>1052500</c:v>
                </c:pt>
                <c:pt idx="236">
                  <c:v>1053000</c:v>
                </c:pt>
                <c:pt idx="237">
                  <c:v>1060600</c:v>
                </c:pt>
                <c:pt idx="238">
                  <c:v>1062500</c:v>
                </c:pt>
                <c:pt idx="239">
                  <c:v>1064800</c:v>
                </c:pt>
                <c:pt idx="240">
                  <c:v>1064900</c:v>
                </c:pt>
                <c:pt idx="241">
                  <c:v>1064800</c:v>
                </c:pt>
                <c:pt idx="242">
                  <c:v>1066800</c:v>
                </c:pt>
                <c:pt idx="243">
                  <c:v>1067600</c:v>
                </c:pt>
                <c:pt idx="244">
                  <c:v>1069300</c:v>
                </c:pt>
                <c:pt idx="245">
                  <c:v>1071300</c:v>
                </c:pt>
                <c:pt idx="246">
                  <c:v>1072700</c:v>
                </c:pt>
                <c:pt idx="247">
                  <c:v>1070700</c:v>
                </c:pt>
                <c:pt idx="248">
                  <c:v>1067900</c:v>
                </c:pt>
                <c:pt idx="249">
                  <c:v>1076600</c:v>
                </c:pt>
                <c:pt idx="250">
                  <c:v>1077800</c:v>
                </c:pt>
                <c:pt idx="251">
                  <c:v>1077800</c:v>
                </c:pt>
                <c:pt idx="252">
                  <c:v>1082000</c:v>
                </c:pt>
                <c:pt idx="253">
                  <c:v>1083700</c:v>
                </c:pt>
                <c:pt idx="254">
                  <c:v>1083000</c:v>
                </c:pt>
                <c:pt idx="255">
                  <c:v>1090800</c:v>
                </c:pt>
                <c:pt idx="256">
                  <c:v>1089600</c:v>
                </c:pt>
                <c:pt idx="257">
                  <c:v>1088500</c:v>
                </c:pt>
                <c:pt idx="258">
                  <c:v>1093200</c:v>
                </c:pt>
                <c:pt idx="259">
                  <c:v>1093200</c:v>
                </c:pt>
                <c:pt idx="260">
                  <c:v>1095200</c:v>
                </c:pt>
                <c:pt idx="261">
                  <c:v>1095800</c:v>
                </c:pt>
                <c:pt idx="262">
                  <c:v>1097700</c:v>
                </c:pt>
                <c:pt idx="263">
                  <c:v>1100900</c:v>
                </c:pt>
                <c:pt idx="264">
                  <c:v>1098900</c:v>
                </c:pt>
                <c:pt idx="265">
                  <c:v>1099300</c:v>
                </c:pt>
                <c:pt idx="266">
                  <c:v>1102300</c:v>
                </c:pt>
                <c:pt idx="267">
                  <c:v>1105500</c:v>
                </c:pt>
                <c:pt idx="268">
                  <c:v>1107800</c:v>
                </c:pt>
                <c:pt idx="269">
                  <c:v>1110800</c:v>
                </c:pt>
                <c:pt idx="270">
                  <c:v>1109900</c:v>
                </c:pt>
                <c:pt idx="271">
                  <c:v>1111900</c:v>
                </c:pt>
                <c:pt idx="272">
                  <c:v>1115000</c:v>
                </c:pt>
                <c:pt idx="273">
                  <c:v>1115500</c:v>
                </c:pt>
                <c:pt idx="274">
                  <c:v>1116200</c:v>
                </c:pt>
                <c:pt idx="275">
                  <c:v>1117800</c:v>
                </c:pt>
                <c:pt idx="276">
                  <c:v>1120100</c:v>
                </c:pt>
                <c:pt idx="277">
                  <c:v>1123200</c:v>
                </c:pt>
                <c:pt idx="278">
                  <c:v>1125700</c:v>
                </c:pt>
                <c:pt idx="279">
                  <c:v>1124600</c:v>
                </c:pt>
                <c:pt idx="280">
                  <c:v>1124700</c:v>
                </c:pt>
                <c:pt idx="281">
                  <c:v>1126400</c:v>
                </c:pt>
                <c:pt idx="282">
                  <c:v>1126900</c:v>
                </c:pt>
                <c:pt idx="283">
                  <c:v>1129300</c:v>
                </c:pt>
                <c:pt idx="284">
                  <c:v>1130400</c:v>
                </c:pt>
                <c:pt idx="285">
                  <c:v>1133000</c:v>
                </c:pt>
                <c:pt idx="286">
                  <c:v>1136000</c:v>
                </c:pt>
                <c:pt idx="287">
                  <c:v>1136600</c:v>
                </c:pt>
                <c:pt idx="288">
                  <c:v>1139600</c:v>
                </c:pt>
                <c:pt idx="289">
                  <c:v>1143100</c:v>
                </c:pt>
                <c:pt idx="290">
                  <c:v>1145100</c:v>
                </c:pt>
                <c:pt idx="291">
                  <c:v>1151100</c:v>
                </c:pt>
                <c:pt idx="292">
                  <c:v>1153300</c:v>
                </c:pt>
                <c:pt idx="293">
                  <c:v>1156400</c:v>
                </c:pt>
                <c:pt idx="294">
                  <c:v>1160500</c:v>
                </c:pt>
                <c:pt idx="295">
                  <c:v>1165300</c:v>
                </c:pt>
                <c:pt idx="296">
                  <c:v>1168700</c:v>
                </c:pt>
                <c:pt idx="297">
                  <c:v>1170400</c:v>
                </c:pt>
                <c:pt idx="298">
                  <c:v>1173900</c:v>
                </c:pt>
                <c:pt idx="299">
                  <c:v>1178800</c:v>
                </c:pt>
                <c:pt idx="300">
                  <c:v>1181400</c:v>
                </c:pt>
                <c:pt idx="301">
                  <c:v>1184500</c:v>
                </c:pt>
                <c:pt idx="302">
                  <c:v>1187700</c:v>
                </c:pt>
                <c:pt idx="303">
                  <c:v>1188800</c:v>
                </c:pt>
                <c:pt idx="304">
                  <c:v>1194600</c:v>
                </c:pt>
                <c:pt idx="305">
                  <c:v>1197800</c:v>
                </c:pt>
                <c:pt idx="306">
                  <c:v>1200800</c:v>
                </c:pt>
                <c:pt idx="307">
                  <c:v>1204900</c:v>
                </c:pt>
                <c:pt idx="308">
                  <c:v>1208100</c:v>
                </c:pt>
                <c:pt idx="309">
                  <c:v>1213900</c:v>
                </c:pt>
                <c:pt idx="310">
                  <c:v>1218000</c:v>
                </c:pt>
                <c:pt idx="311">
                  <c:v>1220900</c:v>
                </c:pt>
                <c:pt idx="312">
                  <c:v>1224500</c:v>
                </c:pt>
                <c:pt idx="313">
                  <c:v>1227300</c:v>
                </c:pt>
                <c:pt idx="314">
                  <c:v>1229000</c:v>
                </c:pt>
                <c:pt idx="315">
                  <c:v>1236500</c:v>
                </c:pt>
                <c:pt idx="316">
                  <c:v>1237700</c:v>
                </c:pt>
                <c:pt idx="317">
                  <c:v>1236800</c:v>
                </c:pt>
                <c:pt idx="318">
                  <c:v>1245600</c:v>
                </c:pt>
                <c:pt idx="319">
                  <c:v>1248400</c:v>
                </c:pt>
                <c:pt idx="320">
                  <c:v>1252200</c:v>
                </c:pt>
                <c:pt idx="321">
                  <c:v>1258900</c:v>
                </c:pt>
                <c:pt idx="322">
                  <c:v>1261700</c:v>
                </c:pt>
                <c:pt idx="323">
                  <c:v>1262700</c:v>
                </c:pt>
                <c:pt idx="324">
                  <c:v>1270400</c:v>
                </c:pt>
                <c:pt idx="325">
                  <c:v>1268600</c:v>
                </c:pt>
                <c:pt idx="326">
                  <c:v>1271100</c:v>
                </c:pt>
                <c:pt idx="327">
                  <c:v>1271700</c:v>
                </c:pt>
                <c:pt idx="328">
                  <c:v>1273100</c:v>
                </c:pt>
                <c:pt idx="329">
                  <c:v>1277500</c:v>
                </c:pt>
                <c:pt idx="330">
                  <c:v>1278100</c:v>
                </c:pt>
                <c:pt idx="331">
                  <c:v>1278800</c:v>
                </c:pt>
                <c:pt idx="332">
                  <c:v>1269500</c:v>
                </c:pt>
                <c:pt idx="333">
                  <c:v>1275300</c:v>
                </c:pt>
                <c:pt idx="334">
                  <c:v>1276900</c:v>
                </c:pt>
              </c:numCache>
            </c:numRef>
          </c:val>
          <c:smooth val="0"/>
          <c:extLst>
            <c:ext xmlns:c16="http://schemas.microsoft.com/office/drawing/2014/chart" uri="{C3380CC4-5D6E-409C-BE32-E72D297353CC}">
              <c16:uniqueId val="{00000000-D941-4992-84F0-E27412B5F5D7}"/>
            </c:ext>
          </c:extLst>
        </c:ser>
        <c:dLbls>
          <c:showLegendKey val="0"/>
          <c:showVal val="0"/>
          <c:showCatName val="0"/>
          <c:showSerName val="0"/>
          <c:showPercent val="0"/>
          <c:showBubbleSize val="0"/>
        </c:dLbls>
        <c:smooth val="0"/>
        <c:axId val="551704448"/>
        <c:axId val="551704840"/>
      </c:lineChart>
      <c:dateAx>
        <c:axId val="551704448"/>
        <c:scaling>
          <c:orientation val="minMax"/>
        </c:scaling>
        <c:delete val="0"/>
        <c:axPos val="b"/>
        <c:numFmt formatCode="mmm\-yy"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51704840"/>
        <c:crosses val="autoZero"/>
        <c:auto val="1"/>
        <c:lblOffset val="100"/>
        <c:baseTimeUnit val="months"/>
        <c:majorUnit val="11"/>
        <c:majorTimeUnit val="months"/>
      </c:dateAx>
      <c:valAx>
        <c:axId val="551704840"/>
        <c:scaling>
          <c:orientation val="minMax"/>
          <c:min val="550000"/>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51704448"/>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spPr>
            <a:ln w="28575" cap="rnd">
              <a:solidFill>
                <a:srgbClr val="003F5C"/>
              </a:solidFill>
              <a:round/>
            </a:ln>
            <a:effectLst/>
          </c:spPr>
          <c:marker>
            <c:symbol val="none"/>
          </c:marker>
          <c:cat>
            <c:numRef>
              <c:f>'Leisure Hosp'!$A$2:$A$336</c:f>
              <c:numCache>
                <c:formatCode>mmm\-yy</c:formatCode>
                <c:ptCount val="335"/>
                <c:pt idx="0">
                  <c:v>32874</c:v>
                </c:pt>
                <c:pt idx="1">
                  <c:v>32905</c:v>
                </c:pt>
                <c:pt idx="2">
                  <c:v>32933</c:v>
                </c:pt>
                <c:pt idx="3">
                  <c:v>32964</c:v>
                </c:pt>
                <c:pt idx="4">
                  <c:v>32994</c:v>
                </c:pt>
                <c:pt idx="5">
                  <c:v>33025</c:v>
                </c:pt>
                <c:pt idx="6">
                  <c:v>33055</c:v>
                </c:pt>
                <c:pt idx="7">
                  <c:v>33086</c:v>
                </c:pt>
                <c:pt idx="8">
                  <c:v>33117</c:v>
                </c:pt>
                <c:pt idx="9">
                  <c:v>33147</c:v>
                </c:pt>
                <c:pt idx="10">
                  <c:v>33178</c:v>
                </c:pt>
                <c:pt idx="11">
                  <c:v>33208</c:v>
                </c:pt>
                <c:pt idx="12">
                  <c:v>33239</c:v>
                </c:pt>
                <c:pt idx="13">
                  <c:v>33270</c:v>
                </c:pt>
                <c:pt idx="14">
                  <c:v>33298</c:v>
                </c:pt>
                <c:pt idx="15">
                  <c:v>33329</c:v>
                </c:pt>
                <c:pt idx="16">
                  <c:v>33359</c:v>
                </c:pt>
                <c:pt idx="17">
                  <c:v>33390</c:v>
                </c:pt>
                <c:pt idx="18">
                  <c:v>33420</c:v>
                </c:pt>
                <c:pt idx="19">
                  <c:v>33451</c:v>
                </c:pt>
                <c:pt idx="20">
                  <c:v>33482</c:v>
                </c:pt>
                <c:pt idx="21">
                  <c:v>33512</c:v>
                </c:pt>
                <c:pt idx="22">
                  <c:v>33543</c:v>
                </c:pt>
                <c:pt idx="23">
                  <c:v>33573</c:v>
                </c:pt>
                <c:pt idx="24">
                  <c:v>33604</c:v>
                </c:pt>
                <c:pt idx="25">
                  <c:v>33635</c:v>
                </c:pt>
                <c:pt idx="26">
                  <c:v>33664</c:v>
                </c:pt>
                <c:pt idx="27">
                  <c:v>33695</c:v>
                </c:pt>
                <c:pt idx="28">
                  <c:v>33725</c:v>
                </c:pt>
                <c:pt idx="29">
                  <c:v>33756</c:v>
                </c:pt>
                <c:pt idx="30">
                  <c:v>33786</c:v>
                </c:pt>
                <c:pt idx="31">
                  <c:v>33817</c:v>
                </c:pt>
                <c:pt idx="32">
                  <c:v>33848</c:v>
                </c:pt>
                <c:pt idx="33">
                  <c:v>33878</c:v>
                </c:pt>
                <c:pt idx="34">
                  <c:v>33909</c:v>
                </c:pt>
                <c:pt idx="35">
                  <c:v>33939</c:v>
                </c:pt>
                <c:pt idx="36">
                  <c:v>33970</c:v>
                </c:pt>
                <c:pt idx="37">
                  <c:v>34001</c:v>
                </c:pt>
                <c:pt idx="38">
                  <c:v>34029</c:v>
                </c:pt>
                <c:pt idx="39">
                  <c:v>34060</c:v>
                </c:pt>
                <c:pt idx="40">
                  <c:v>34090</c:v>
                </c:pt>
                <c:pt idx="41">
                  <c:v>34121</c:v>
                </c:pt>
                <c:pt idx="42">
                  <c:v>34151</c:v>
                </c:pt>
                <c:pt idx="43">
                  <c:v>34182</c:v>
                </c:pt>
                <c:pt idx="44">
                  <c:v>34213</c:v>
                </c:pt>
                <c:pt idx="45">
                  <c:v>34243</c:v>
                </c:pt>
                <c:pt idx="46">
                  <c:v>34274</c:v>
                </c:pt>
                <c:pt idx="47">
                  <c:v>34304</c:v>
                </c:pt>
                <c:pt idx="48">
                  <c:v>34335</c:v>
                </c:pt>
                <c:pt idx="49">
                  <c:v>34366</c:v>
                </c:pt>
                <c:pt idx="50">
                  <c:v>34394</c:v>
                </c:pt>
                <c:pt idx="51">
                  <c:v>34425</c:v>
                </c:pt>
                <c:pt idx="52">
                  <c:v>34455</c:v>
                </c:pt>
                <c:pt idx="53">
                  <c:v>34486</c:v>
                </c:pt>
                <c:pt idx="54">
                  <c:v>34516</c:v>
                </c:pt>
                <c:pt idx="55">
                  <c:v>34547</c:v>
                </c:pt>
                <c:pt idx="56">
                  <c:v>34578</c:v>
                </c:pt>
                <c:pt idx="57">
                  <c:v>34608</c:v>
                </c:pt>
                <c:pt idx="58">
                  <c:v>34639</c:v>
                </c:pt>
                <c:pt idx="59">
                  <c:v>34669</c:v>
                </c:pt>
                <c:pt idx="60">
                  <c:v>34700</c:v>
                </c:pt>
                <c:pt idx="61">
                  <c:v>34731</c:v>
                </c:pt>
                <c:pt idx="62">
                  <c:v>34759</c:v>
                </c:pt>
                <c:pt idx="63">
                  <c:v>34790</c:v>
                </c:pt>
                <c:pt idx="64">
                  <c:v>34820</c:v>
                </c:pt>
                <c:pt idx="65">
                  <c:v>34851</c:v>
                </c:pt>
                <c:pt idx="66">
                  <c:v>34881</c:v>
                </c:pt>
                <c:pt idx="67">
                  <c:v>34912</c:v>
                </c:pt>
                <c:pt idx="68">
                  <c:v>34943</c:v>
                </c:pt>
                <c:pt idx="69">
                  <c:v>34973</c:v>
                </c:pt>
                <c:pt idx="70">
                  <c:v>35004</c:v>
                </c:pt>
                <c:pt idx="71">
                  <c:v>35034</c:v>
                </c:pt>
                <c:pt idx="72">
                  <c:v>35065</c:v>
                </c:pt>
                <c:pt idx="73">
                  <c:v>35096</c:v>
                </c:pt>
                <c:pt idx="74">
                  <c:v>35125</c:v>
                </c:pt>
                <c:pt idx="75">
                  <c:v>35156</c:v>
                </c:pt>
                <c:pt idx="76">
                  <c:v>35186</c:v>
                </c:pt>
                <c:pt idx="77">
                  <c:v>35217</c:v>
                </c:pt>
                <c:pt idx="78">
                  <c:v>35247</c:v>
                </c:pt>
                <c:pt idx="79">
                  <c:v>35278</c:v>
                </c:pt>
                <c:pt idx="80">
                  <c:v>35309</c:v>
                </c:pt>
                <c:pt idx="81">
                  <c:v>35339</c:v>
                </c:pt>
                <c:pt idx="82">
                  <c:v>35370</c:v>
                </c:pt>
                <c:pt idx="83">
                  <c:v>35400</c:v>
                </c:pt>
                <c:pt idx="84">
                  <c:v>35431</c:v>
                </c:pt>
                <c:pt idx="85">
                  <c:v>35462</c:v>
                </c:pt>
                <c:pt idx="86">
                  <c:v>35490</c:v>
                </c:pt>
                <c:pt idx="87">
                  <c:v>35521</c:v>
                </c:pt>
                <c:pt idx="88">
                  <c:v>35551</c:v>
                </c:pt>
                <c:pt idx="89">
                  <c:v>35582</c:v>
                </c:pt>
                <c:pt idx="90">
                  <c:v>35612</c:v>
                </c:pt>
                <c:pt idx="91">
                  <c:v>35643</c:v>
                </c:pt>
                <c:pt idx="92">
                  <c:v>35674</c:v>
                </c:pt>
                <c:pt idx="93">
                  <c:v>35704</c:v>
                </c:pt>
                <c:pt idx="94">
                  <c:v>35735</c:v>
                </c:pt>
                <c:pt idx="95">
                  <c:v>35765</c:v>
                </c:pt>
                <c:pt idx="96">
                  <c:v>35796</c:v>
                </c:pt>
                <c:pt idx="97">
                  <c:v>35827</c:v>
                </c:pt>
                <c:pt idx="98">
                  <c:v>35855</c:v>
                </c:pt>
                <c:pt idx="99">
                  <c:v>35886</c:v>
                </c:pt>
                <c:pt idx="100">
                  <c:v>35916</c:v>
                </c:pt>
                <c:pt idx="101">
                  <c:v>35947</c:v>
                </c:pt>
                <c:pt idx="102">
                  <c:v>35977</c:v>
                </c:pt>
                <c:pt idx="103">
                  <c:v>36008</c:v>
                </c:pt>
                <c:pt idx="104">
                  <c:v>36039</c:v>
                </c:pt>
                <c:pt idx="105">
                  <c:v>36069</c:v>
                </c:pt>
                <c:pt idx="106">
                  <c:v>36100</c:v>
                </c:pt>
                <c:pt idx="107">
                  <c:v>36130</c:v>
                </c:pt>
                <c:pt idx="108">
                  <c:v>36161</c:v>
                </c:pt>
                <c:pt idx="109">
                  <c:v>36192</c:v>
                </c:pt>
                <c:pt idx="110">
                  <c:v>36220</c:v>
                </c:pt>
                <c:pt idx="111">
                  <c:v>36251</c:v>
                </c:pt>
                <c:pt idx="112">
                  <c:v>36281</c:v>
                </c:pt>
                <c:pt idx="113">
                  <c:v>36312</c:v>
                </c:pt>
                <c:pt idx="114">
                  <c:v>36342</c:v>
                </c:pt>
                <c:pt idx="115">
                  <c:v>36373</c:v>
                </c:pt>
                <c:pt idx="116">
                  <c:v>36404</c:v>
                </c:pt>
                <c:pt idx="117">
                  <c:v>36434</c:v>
                </c:pt>
                <c:pt idx="118">
                  <c:v>36465</c:v>
                </c:pt>
                <c:pt idx="119">
                  <c:v>36495</c:v>
                </c:pt>
                <c:pt idx="120">
                  <c:v>36526</c:v>
                </c:pt>
                <c:pt idx="121">
                  <c:v>36557</c:v>
                </c:pt>
                <c:pt idx="122">
                  <c:v>36586</c:v>
                </c:pt>
                <c:pt idx="123">
                  <c:v>36617</c:v>
                </c:pt>
                <c:pt idx="124">
                  <c:v>36647</c:v>
                </c:pt>
                <c:pt idx="125">
                  <c:v>36678</c:v>
                </c:pt>
                <c:pt idx="126">
                  <c:v>36708</c:v>
                </c:pt>
                <c:pt idx="127">
                  <c:v>36739</c:v>
                </c:pt>
                <c:pt idx="128">
                  <c:v>36770</c:v>
                </c:pt>
                <c:pt idx="129">
                  <c:v>36800</c:v>
                </c:pt>
                <c:pt idx="130">
                  <c:v>36831</c:v>
                </c:pt>
                <c:pt idx="131">
                  <c:v>36861</c:v>
                </c:pt>
                <c:pt idx="132">
                  <c:v>36892</c:v>
                </c:pt>
                <c:pt idx="133">
                  <c:v>36923</c:v>
                </c:pt>
                <c:pt idx="134">
                  <c:v>36951</c:v>
                </c:pt>
                <c:pt idx="135">
                  <c:v>36982</c:v>
                </c:pt>
                <c:pt idx="136">
                  <c:v>37012</c:v>
                </c:pt>
                <c:pt idx="137">
                  <c:v>37043</c:v>
                </c:pt>
                <c:pt idx="138">
                  <c:v>37073</c:v>
                </c:pt>
                <c:pt idx="139">
                  <c:v>37104</c:v>
                </c:pt>
                <c:pt idx="140">
                  <c:v>37135</c:v>
                </c:pt>
                <c:pt idx="141">
                  <c:v>37165</c:v>
                </c:pt>
                <c:pt idx="142">
                  <c:v>37196</c:v>
                </c:pt>
                <c:pt idx="143">
                  <c:v>37226</c:v>
                </c:pt>
                <c:pt idx="144">
                  <c:v>37257</c:v>
                </c:pt>
                <c:pt idx="145">
                  <c:v>37288</c:v>
                </c:pt>
                <c:pt idx="146">
                  <c:v>37316</c:v>
                </c:pt>
                <c:pt idx="147">
                  <c:v>37347</c:v>
                </c:pt>
                <c:pt idx="148">
                  <c:v>37377</c:v>
                </c:pt>
                <c:pt idx="149">
                  <c:v>37408</c:v>
                </c:pt>
                <c:pt idx="150">
                  <c:v>37438</c:v>
                </c:pt>
                <c:pt idx="151">
                  <c:v>37469</c:v>
                </c:pt>
                <c:pt idx="152">
                  <c:v>37500</c:v>
                </c:pt>
                <c:pt idx="153">
                  <c:v>37530</c:v>
                </c:pt>
                <c:pt idx="154">
                  <c:v>37561</c:v>
                </c:pt>
                <c:pt idx="155">
                  <c:v>37591</c:v>
                </c:pt>
                <c:pt idx="156">
                  <c:v>37622</c:v>
                </c:pt>
                <c:pt idx="157">
                  <c:v>37653</c:v>
                </c:pt>
                <c:pt idx="158">
                  <c:v>37681</c:v>
                </c:pt>
                <c:pt idx="159">
                  <c:v>37712</c:v>
                </c:pt>
                <c:pt idx="160">
                  <c:v>37742</c:v>
                </c:pt>
                <c:pt idx="161">
                  <c:v>37773</c:v>
                </c:pt>
                <c:pt idx="162">
                  <c:v>37803</c:v>
                </c:pt>
                <c:pt idx="163">
                  <c:v>37834</c:v>
                </c:pt>
                <c:pt idx="164">
                  <c:v>37865</c:v>
                </c:pt>
                <c:pt idx="165">
                  <c:v>37895</c:v>
                </c:pt>
                <c:pt idx="166">
                  <c:v>37926</c:v>
                </c:pt>
                <c:pt idx="167">
                  <c:v>37956</c:v>
                </c:pt>
                <c:pt idx="168">
                  <c:v>37987</c:v>
                </c:pt>
                <c:pt idx="169">
                  <c:v>38018</c:v>
                </c:pt>
                <c:pt idx="170">
                  <c:v>38047</c:v>
                </c:pt>
                <c:pt idx="171">
                  <c:v>38078</c:v>
                </c:pt>
                <c:pt idx="172">
                  <c:v>38108</c:v>
                </c:pt>
                <c:pt idx="173">
                  <c:v>38139</c:v>
                </c:pt>
                <c:pt idx="174">
                  <c:v>38169</c:v>
                </c:pt>
                <c:pt idx="175">
                  <c:v>38200</c:v>
                </c:pt>
                <c:pt idx="176">
                  <c:v>38231</c:v>
                </c:pt>
                <c:pt idx="177">
                  <c:v>38261</c:v>
                </c:pt>
                <c:pt idx="178">
                  <c:v>38292</c:v>
                </c:pt>
                <c:pt idx="179">
                  <c:v>38322</c:v>
                </c:pt>
                <c:pt idx="180">
                  <c:v>38353</c:v>
                </c:pt>
                <c:pt idx="181">
                  <c:v>38384</c:v>
                </c:pt>
                <c:pt idx="182">
                  <c:v>38412</c:v>
                </c:pt>
                <c:pt idx="183">
                  <c:v>38443</c:v>
                </c:pt>
                <c:pt idx="184">
                  <c:v>38473</c:v>
                </c:pt>
                <c:pt idx="185">
                  <c:v>38504</c:v>
                </c:pt>
                <c:pt idx="186">
                  <c:v>38534</c:v>
                </c:pt>
                <c:pt idx="187">
                  <c:v>38565</c:v>
                </c:pt>
                <c:pt idx="188">
                  <c:v>38596</c:v>
                </c:pt>
                <c:pt idx="189">
                  <c:v>38626</c:v>
                </c:pt>
                <c:pt idx="190">
                  <c:v>38657</c:v>
                </c:pt>
                <c:pt idx="191">
                  <c:v>38687</c:v>
                </c:pt>
                <c:pt idx="192">
                  <c:v>38718</c:v>
                </c:pt>
                <c:pt idx="193">
                  <c:v>38749</c:v>
                </c:pt>
                <c:pt idx="194">
                  <c:v>38777</c:v>
                </c:pt>
                <c:pt idx="195">
                  <c:v>38808</c:v>
                </c:pt>
                <c:pt idx="196">
                  <c:v>38838</c:v>
                </c:pt>
                <c:pt idx="197">
                  <c:v>38869</c:v>
                </c:pt>
                <c:pt idx="198">
                  <c:v>38899</c:v>
                </c:pt>
                <c:pt idx="199">
                  <c:v>38930</c:v>
                </c:pt>
                <c:pt idx="200">
                  <c:v>38961</c:v>
                </c:pt>
                <c:pt idx="201">
                  <c:v>38991</c:v>
                </c:pt>
                <c:pt idx="202">
                  <c:v>39022</c:v>
                </c:pt>
                <c:pt idx="203">
                  <c:v>39052</c:v>
                </c:pt>
                <c:pt idx="204">
                  <c:v>39083</c:v>
                </c:pt>
                <c:pt idx="205">
                  <c:v>39114</c:v>
                </c:pt>
                <c:pt idx="206">
                  <c:v>39142</c:v>
                </c:pt>
                <c:pt idx="207">
                  <c:v>39173</c:v>
                </c:pt>
                <c:pt idx="208">
                  <c:v>39203</c:v>
                </c:pt>
                <c:pt idx="209">
                  <c:v>39234</c:v>
                </c:pt>
                <c:pt idx="210">
                  <c:v>39264</c:v>
                </c:pt>
                <c:pt idx="211">
                  <c:v>39295</c:v>
                </c:pt>
                <c:pt idx="212">
                  <c:v>39326</c:v>
                </c:pt>
                <c:pt idx="213">
                  <c:v>39356</c:v>
                </c:pt>
                <c:pt idx="214">
                  <c:v>39387</c:v>
                </c:pt>
                <c:pt idx="215">
                  <c:v>39417</c:v>
                </c:pt>
                <c:pt idx="216">
                  <c:v>39448</c:v>
                </c:pt>
                <c:pt idx="217">
                  <c:v>39479</c:v>
                </c:pt>
                <c:pt idx="218">
                  <c:v>39508</c:v>
                </c:pt>
                <c:pt idx="219">
                  <c:v>39539</c:v>
                </c:pt>
                <c:pt idx="220">
                  <c:v>39569</c:v>
                </c:pt>
                <c:pt idx="221">
                  <c:v>39600</c:v>
                </c:pt>
                <c:pt idx="222">
                  <c:v>39630</c:v>
                </c:pt>
                <c:pt idx="223">
                  <c:v>39661</c:v>
                </c:pt>
                <c:pt idx="224">
                  <c:v>39692</c:v>
                </c:pt>
                <c:pt idx="225">
                  <c:v>39722</c:v>
                </c:pt>
                <c:pt idx="226">
                  <c:v>39753</c:v>
                </c:pt>
                <c:pt idx="227">
                  <c:v>39783</c:v>
                </c:pt>
                <c:pt idx="228">
                  <c:v>39814</c:v>
                </c:pt>
                <c:pt idx="229">
                  <c:v>39845</c:v>
                </c:pt>
                <c:pt idx="230">
                  <c:v>39873</c:v>
                </c:pt>
                <c:pt idx="231">
                  <c:v>39904</c:v>
                </c:pt>
                <c:pt idx="232">
                  <c:v>39934</c:v>
                </c:pt>
                <c:pt idx="233">
                  <c:v>39965</c:v>
                </c:pt>
                <c:pt idx="234">
                  <c:v>39995</c:v>
                </c:pt>
                <c:pt idx="235">
                  <c:v>40026</c:v>
                </c:pt>
                <c:pt idx="236">
                  <c:v>40057</c:v>
                </c:pt>
                <c:pt idx="237">
                  <c:v>40087</c:v>
                </c:pt>
                <c:pt idx="238">
                  <c:v>40118</c:v>
                </c:pt>
                <c:pt idx="239">
                  <c:v>40148</c:v>
                </c:pt>
                <c:pt idx="240">
                  <c:v>40179</c:v>
                </c:pt>
                <c:pt idx="241">
                  <c:v>40210</c:v>
                </c:pt>
                <c:pt idx="242">
                  <c:v>40238</c:v>
                </c:pt>
                <c:pt idx="243">
                  <c:v>40269</c:v>
                </c:pt>
                <c:pt idx="244">
                  <c:v>40299</c:v>
                </c:pt>
                <c:pt idx="245">
                  <c:v>40330</c:v>
                </c:pt>
                <c:pt idx="246">
                  <c:v>40360</c:v>
                </c:pt>
                <c:pt idx="247">
                  <c:v>40391</c:v>
                </c:pt>
                <c:pt idx="248">
                  <c:v>40422</c:v>
                </c:pt>
                <c:pt idx="249">
                  <c:v>40452</c:v>
                </c:pt>
                <c:pt idx="250">
                  <c:v>40483</c:v>
                </c:pt>
                <c:pt idx="251">
                  <c:v>40513</c:v>
                </c:pt>
                <c:pt idx="252">
                  <c:v>40544</c:v>
                </c:pt>
                <c:pt idx="253">
                  <c:v>40575</c:v>
                </c:pt>
                <c:pt idx="254">
                  <c:v>40603</c:v>
                </c:pt>
                <c:pt idx="255">
                  <c:v>40634</c:v>
                </c:pt>
                <c:pt idx="256">
                  <c:v>40664</c:v>
                </c:pt>
                <c:pt idx="257">
                  <c:v>40695</c:v>
                </c:pt>
                <c:pt idx="258">
                  <c:v>40725</c:v>
                </c:pt>
                <c:pt idx="259">
                  <c:v>40756</c:v>
                </c:pt>
                <c:pt idx="260">
                  <c:v>40787</c:v>
                </c:pt>
                <c:pt idx="261">
                  <c:v>40817</c:v>
                </c:pt>
                <c:pt idx="262">
                  <c:v>40848</c:v>
                </c:pt>
                <c:pt idx="263">
                  <c:v>40878</c:v>
                </c:pt>
                <c:pt idx="264">
                  <c:v>40909</c:v>
                </c:pt>
                <c:pt idx="265">
                  <c:v>40940</c:v>
                </c:pt>
                <c:pt idx="266">
                  <c:v>40969</c:v>
                </c:pt>
                <c:pt idx="267">
                  <c:v>41000</c:v>
                </c:pt>
                <c:pt idx="268">
                  <c:v>41030</c:v>
                </c:pt>
                <c:pt idx="269">
                  <c:v>41061</c:v>
                </c:pt>
                <c:pt idx="270">
                  <c:v>41091</c:v>
                </c:pt>
                <c:pt idx="271">
                  <c:v>41122</c:v>
                </c:pt>
                <c:pt idx="272">
                  <c:v>41153</c:v>
                </c:pt>
                <c:pt idx="273">
                  <c:v>41183</c:v>
                </c:pt>
                <c:pt idx="274">
                  <c:v>41214</c:v>
                </c:pt>
                <c:pt idx="275">
                  <c:v>41244</c:v>
                </c:pt>
                <c:pt idx="276">
                  <c:v>41275</c:v>
                </c:pt>
                <c:pt idx="277">
                  <c:v>41306</c:v>
                </c:pt>
                <c:pt idx="278">
                  <c:v>41334</c:v>
                </c:pt>
                <c:pt idx="279">
                  <c:v>41365</c:v>
                </c:pt>
                <c:pt idx="280">
                  <c:v>41395</c:v>
                </c:pt>
                <c:pt idx="281">
                  <c:v>41426</c:v>
                </c:pt>
                <c:pt idx="282">
                  <c:v>41456</c:v>
                </c:pt>
                <c:pt idx="283">
                  <c:v>41487</c:v>
                </c:pt>
                <c:pt idx="284">
                  <c:v>41518</c:v>
                </c:pt>
                <c:pt idx="285">
                  <c:v>41548</c:v>
                </c:pt>
                <c:pt idx="286">
                  <c:v>41579</c:v>
                </c:pt>
                <c:pt idx="287">
                  <c:v>41609</c:v>
                </c:pt>
                <c:pt idx="288">
                  <c:v>41640</c:v>
                </c:pt>
                <c:pt idx="289">
                  <c:v>41671</c:v>
                </c:pt>
                <c:pt idx="290">
                  <c:v>41699</c:v>
                </c:pt>
                <c:pt idx="291">
                  <c:v>41730</c:v>
                </c:pt>
                <c:pt idx="292">
                  <c:v>41760</c:v>
                </c:pt>
                <c:pt idx="293">
                  <c:v>41791</c:v>
                </c:pt>
                <c:pt idx="294">
                  <c:v>41821</c:v>
                </c:pt>
                <c:pt idx="295">
                  <c:v>41852</c:v>
                </c:pt>
                <c:pt idx="296">
                  <c:v>41883</c:v>
                </c:pt>
                <c:pt idx="297">
                  <c:v>41913</c:v>
                </c:pt>
                <c:pt idx="298">
                  <c:v>41944</c:v>
                </c:pt>
                <c:pt idx="299">
                  <c:v>41974</c:v>
                </c:pt>
                <c:pt idx="300">
                  <c:v>42005</c:v>
                </c:pt>
                <c:pt idx="301">
                  <c:v>42036</c:v>
                </c:pt>
                <c:pt idx="302">
                  <c:v>42064</c:v>
                </c:pt>
                <c:pt idx="303">
                  <c:v>42095</c:v>
                </c:pt>
                <c:pt idx="304">
                  <c:v>42125</c:v>
                </c:pt>
                <c:pt idx="305">
                  <c:v>42156</c:v>
                </c:pt>
                <c:pt idx="306">
                  <c:v>42186</c:v>
                </c:pt>
                <c:pt idx="307">
                  <c:v>42217</c:v>
                </c:pt>
                <c:pt idx="308">
                  <c:v>42248</c:v>
                </c:pt>
                <c:pt idx="309">
                  <c:v>42278</c:v>
                </c:pt>
                <c:pt idx="310">
                  <c:v>42309</c:v>
                </c:pt>
                <c:pt idx="311">
                  <c:v>42339</c:v>
                </c:pt>
                <c:pt idx="312">
                  <c:v>42370</c:v>
                </c:pt>
                <c:pt idx="313">
                  <c:v>42401</c:v>
                </c:pt>
                <c:pt idx="314">
                  <c:v>42430</c:v>
                </c:pt>
                <c:pt idx="315">
                  <c:v>42461</c:v>
                </c:pt>
                <c:pt idx="316">
                  <c:v>42491</c:v>
                </c:pt>
                <c:pt idx="317">
                  <c:v>42522</c:v>
                </c:pt>
                <c:pt idx="318">
                  <c:v>42552</c:v>
                </c:pt>
                <c:pt idx="319">
                  <c:v>42583</c:v>
                </c:pt>
                <c:pt idx="320">
                  <c:v>42614</c:v>
                </c:pt>
                <c:pt idx="321">
                  <c:v>42644</c:v>
                </c:pt>
                <c:pt idx="322">
                  <c:v>42675</c:v>
                </c:pt>
                <c:pt idx="323">
                  <c:v>42705</c:v>
                </c:pt>
                <c:pt idx="324">
                  <c:v>42736</c:v>
                </c:pt>
                <c:pt idx="325">
                  <c:v>42767</c:v>
                </c:pt>
                <c:pt idx="326">
                  <c:v>42795</c:v>
                </c:pt>
                <c:pt idx="327">
                  <c:v>42826</c:v>
                </c:pt>
                <c:pt idx="328">
                  <c:v>42856</c:v>
                </c:pt>
                <c:pt idx="329">
                  <c:v>42887</c:v>
                </c:pt>
                <c:pt idx="330">
                  <c:v>42917</c:v>
                </c:pt>
                <c:pt idx="331">
                  <c:v>42948</c:v>
                </c:pt>
                <c:pt idx="332">
                  <c:v>42979</c:v>
                </c:pt>
                <c:pt idx="333">
                  <c:v>43009</c:v>
                </c:pt>
                <c:pt idx="334">
                  <c:v>43040</c:v>
                </c:pt>
              </c:numCache>
            </c:numRef>
          </c:cat>
          <c:val>
            <c:numRef>
              <c:f>'Leisure Hosp'!$B$2:$B$336</c:f>
              <c:numCache>
                <c:formatCode>#,##0</c:formatCode>
                <c:ptCount val="335"/>
                <c:pt idx="0">
                  <c:v>707900</c:v>
                </c:pt>
                <c:pt idx="1">
                  <c:v>712200</c:v>
                </c:pt>
                <c:pt idx="2">
                  <c:v>712600</c:v>
                </c:pt>
                <c:pt idx="3">
                  <c:v>712900</c:v>
                </c:pt>
                <c:pt idx="4">
                  <c:v>709600</c:v>
                </c:pt>
                <c:pt idx="5">
                  <c:v>710200</c:v>
                </c:pt>
                <c:pt idx="6">
                  <c:v>711300</c:v>
                </c:pt>
                <c:pt idx="7">
                  <c:v>711200</c:v>
                </c:pt>
                <c:pt idx="8">
                  <c:v>709200</c:v>
                </c:pt>
                <c:pt idx="9">
                  <c:v>705400</c:v>
                </c:pt>
                <c:pt idx="10">
                  <c:v>705400</c:v>
                </c:pt>
                <c:pt idx="11">
                  <c:v>705700</c:v>
                </c:pt>
                <c:pt idx="12">
                  <c:v>692200</c:v>
                </c:pt>
                <c:pt idx="13">
                  <c:v>692300</c:v>
                </c:pt>
                <c:pt idx="14">
                  <c:v>692100</c:v>
                </c:pt>
                <c:pt idx="15">
                  <c:v>688100</c:v>
                </c:pt>
                <c:pt idx="16">
                  <c:v>686300</c:v>
                </c:pt>
                <c:pt idx="17">
                  <c:v>684200</c:v>
                </c:pt>
                <c:pt idx="18">
                  <c:v>683800</c:v>
                </c:pt>
                <c:pt idx="19">
                  <c:v>683000</c:v>
                </c:pt>
                <c:pt idx="20">
                  <c:v>683900</c:v>
                </c:pt>
                <c:pt idx="21">
                  <c:v>684400</c:v>
                </c:pt>
                <c:pt idx="22">
                  <c:v>684800</c:v>
                </c:pt>
                <c:pt idx="23">
                  <c:v>687300</c:v>
                </c:pt>
                <c:pt idx="24">
                  <c:v>686300</c:v>
                </c:pt>
                <c:pt idx="25">
                  <c:v>685100</c:v>
                </c:pt>
                <c:pt idx="26">
                  <c:v>687100</c:v>
                </c:pt>
                <c:pt idx="27">
                  <c:v>688400</c:v>
                </c:pt>
                <c:pt idx="28">
                  <c:v>692200</c:v>
                </c:pt>
                <c:pt idx="29">
                  <c:v>694000</c:v>
                </c:pt>
                <c:pt idx="30">
                  <c:v>695100</c:v>
                </c:pt>
                <c:pt idx="31">
                  <c:v>698400</c:v>
                </c:pt>
                <c:pt idx="32">
                  <c:v>700100</c:v>
                </c:pt>
                <c:pt idx="33">
                  <c:v>706300</c:v>
                </c:pt>
                <c:pt idx="34">
                  <c:v>710900</c:v>
                </c:pt>
                <c:pt idx="35">
                  <c:v>711400</c:v>
                </c:pt>
                <c:pt idx="36">
                  <c:v>713900</c:v>
                </c:pt>
                <c:pt idx="37">
                  <c:v>718700</c:v>
                </c:pt>
                <c:pt idx="38">
                  <c:v>720400</c:v>
                </c:pt>
                <c:pt idx="39">
                  <c:v>725200</c:v>
                </c:pt>
                <c:pt idx="40">
                  <c:v>730400</c:v>
                </c:pt>
                <c:pt idx="41">
                  <c:v>731300</c:v>
                </c:pt>
                <c:pt idx="42">
                  <c:v>732100</c:v>
                </c:pt>
                <c:pt idx="43">
                  <c:v>735400</c:v>
                </c:pt>
                <c:pt idx="44">
                  <c:v>736500</c:v>
                </c:pt>
                <c:pt idx="45">
                  <c:v>736100</c:v>
                </c:pt>
                <c:pt idx="46">
                  <c:v>734400</c:v>
                </c:pt>
                <c:pt idx="47">
                  <c:v>737000</c:v>
                </c:pt>
                <c:pt idx="48">
                  <c:v>740500</c:v>
                </c:pt>
                <c:pt idx="49">
                  <c:v>741200</c:v>
                </c:pt>
                <c:pt idx="50">
                  <c:v>745300</c:v>
                </c:pt>
                <c:pt idx="51">
                  <c:v>748600</c:v>
                </c:pt>
                <c:pt idx="52">
                  <c:v>750300</c:v>
                </c:pt>
                <c:pt idx="53">
                  <c:v>750200</c:v>
                </c:pt>
                <c:pt idx="54">
                  <c:v>750500</c:v>
                </c:pt>
                <c:pt idx="55">
                  <c:v>751900</c:v>
                </c:pt>
                <c:pt idx="56">
                  <c:v>753600</c:v>
                </c:pt>
                <c:pt idx="57">
                  <c:v>751300</c:v>
                </c:pt>
                <c:pt idx="58">
                  <c:v>751400</c:v>
                </c:pt>
                <c:pt idx="59">
                  <c:v>755600</c:v>
                </c:pt>
                <c:pt idx="60">
                  <c:v>756700</c:v>
                </c:pt>
                <c:pt idx="61">
                  <c:v>758700</c:v>
                </c:pt>
                <c:pt idx="62">
                  <c:v>761400</c:v>
                </c:pt>
                <c:pt idx="63">
                  <c:v>762000</c:v>
                </c:pt>
                <c:pt idx="64">
                  <c:v>763400</c:v>
                </c:pt>
                <c:pt idx="65">
                  <c:v>766000</c:v>
                </c:pt>
                <c:pt idx="66">
                  <c:v>769500</c:v>
                </c:pt>
                <c:pt idx="67">
                  <c:v>769300</c:v>
                </c:pt>
                <c:pt idx="68">
                  <c:v>770200</c:v>
                </c:pt>
                <c:pt idx="69">
                  <c:v>770800</c:v>
                </c:pt>
                <c:pt idx="70">
                  <c:v>774600</c:v>
                </c:pt>
                <c:pt idx="71">
                  <c:v>777200</c:v>
                </c:pt>
                <c:pt idx="72">
                  <c:v>781100</c:v>
                </c:pt>
                <c:pt idx="73">
                  <c:v>781400</c:v>
                </c:pt>
                <c:pt idx="74">
                  <c:v>785900</c:v>
                </c:pt>
                <c:pt idx="75">
                  <c:v>787100</c:v>
                </c:pt>
                <c:pt idx="76">
                  <c:v>788000</c:v>
                </c:pt>
                <c:pt idx="77">
                  <c:v>790600</c:v>
                </c:pt>
                <c:pt idx="78">
                  <c:v>781700</c:v>
                </c:pt>
                <c:pt idx="79">
                  <c:v>786200</c:v>
                </c:pt>
                <c:pt idx="80">
                  <c:v>790000</c:v>
                </c:pt>
                <c:pt idx="81">
                  <c:v>797800</c:v>
                </c:pt>
                <c:pt idx="82">
                  <c:v>797200</c:v>
                </c:pt>
                <c:pt idx="83">
                  <c:v>801500</c:v>
                </c:pt>
                <c:pt idx="84">
                  <c:v>802500</c:v>
                </c:pt>
                <c:pt idx="85">
                  <c:v>804800</c:v>
                </c:pt>
                <c:pt idx="86">
                  <c:v>805500</c:v>
                </c:pt>
                <c:pt idx="87">
                  <c:v>806200</c:v>
                </c:pt>
                <c:pt idx="88">
                  <c:v>807500</c:v>
                </c:pt>
                <c:pt idx="89">
                  <c:v>804500</c:v>
                </c:pt>
                <c:pt idx="90">
                  <c:v>809600</c:v>
                </c:pt>
                <c:pt idx="91">
                  <c:v>815300</c:v>
                </c:pt>
                <c:pt idx="92">
                  <c:v>819700</c:v>
                </c:pt>
                <c:pt idx="93">
                  <c:v>805100</c:v>
                </c:pt>
                <c:pt idx="94">
                  <c:v>807300</c:v>
                </c:pt>
                <c:pt idx="95">
                  <c:v>809700</c:v>
                </c:pt>
                <c:pt idx="96">
                  <c:v>813000</c:v>
                </c:pt>
                <c:pt idx="97">
                  <c:v>814400</c:v>
                </c:pt>
                <c:pt idx="98">
                  <c:v>812700</c:v>
                </c:pt>
                <c:pt idx="99">
                  <c:v>815000</c:v>
                </c:pt>
                <c:pt idx="100">
                  <c:v>818000</c:v>
                </c:pt>
                <c:pt idx="101">
                  <c:v>822300</c:v>
                </c:pt>
                <c:pt idx="102">
                  <c:v>825400</c:v>
                </c:pt>
                <c:pt idx="103">
                  <c:v>825600</c:v>
                </c:pt>
                <c:pt idx="104">
                  <c:v>827100</c:v>
                </c:pt>
                <c:pt idx="105">
                  <c:v>830300</c:v>
                </c:pt>
                <c:pt idx="106">
                  <c:v>833000</c:v>
                </c:pt>
                <c:pt idx="107">
                  <c:v>835900</c:v>
                </c:pt>
                <c:pt idx="108">
                  <c:v>826100</c:v>
                </c:pt>
                <c:pt idx="109">
                  <c:v>830000</c:v>
                </c:pt>
                <c:pt idx="110">
                  <c:v>828600</c:v>
                </c:pt>
                <c:pt idx="111">
                  <c:v>835200</c:v>
                </c:pt>
                <c:pt idx="112">
                  <c:v>837900</c:v>
                </c:pt>
                <c:pt idx="113">
                  <c:v>844700</c:v>
                </c:pt>
                <c:pt idx="114">
                  <c:v>840300</c:v>
                </c:pt>
                <c:pt idx="115">
                  <c:v>840300</c:v>
                </c:pt>
                <c:pt idx="116">
                  <c:v>840000</c:v>
                </c:pt>
                <c:pt idx="117">
                  <c:v>838700</c:v>
                </c:pt>
                <c:pt idx="118">
                  <c:v>839800</c:v>
                </c:pt>
                <c:pt idx="119">
                  <c:v>839500</c:v>
                </c:pt>
                <c:pt idx="120">
                  <c:v>839700</c:v>
                </c:pt>
                <c:pt idx="121">
                  <c:v>840500</c:v>
                </c:pt>
                <c:pt idx="122">
                  <c:v>842400</c:v>
                </c:pt>
                <c:pt idx="123">
                  <c:v>854800</c:v>
                </c:pt>
                <c:pt idx="124">
                  <c:v>849300</c:v>
                </c:pt>
                <c:pt idx="125">
                  <c:v>852300</c:v>
                </c:pt>
                <c:pt idx="126">
                  <c:v>859100</c:v>
                </c:pt>
                <c:pt idx="127">
                  <c:v>856500</c:v>
                </c:pt>
                <c:pt idx="128">
                  <c:v>857400</c:v>
                </c:pt>
                <c:pt idx="129">
                  <c:v>870800</c:v>
                </c:pt>
                <c:pt idx="130">
                  <c:v>873400</c:v>
                </c:pt>
                <c:pt idx="131">
                  <c:v>874300</c:v>
                </c:pt>
                <c:pt idx="132">
                  <c:v>870800</c:v>
                </c:pt>
                <c:pt idx="133">
                  <c:v>873600</c:v>
                </c:pt>
                <c:pt idx="134">
                  <c:v>875200</c:v>
                </c:pt>
                <c:pt idx="135">
                  <c:v>874200</c:v>
                </c:pt>
                <c:pt idx="136">
                  <c:v>874300</c:v>
                </c:pt>
                <c:pt idx="137">
                  <c:v>872700</c:v>
                </c:pt>
                <c:pt idx="138">
                  <c:v>872100</c:v>
                </c:pt>
                <c:pt idx="139">
                  <c:v>870900</c:v>
                </c:pt>
                <c:pt idx="140">
                  <c:v>872000</c:v>
                </c:pt>
                <c:pt idx="141">
                  <c:v>865700</c:v>
                </c:pt>
                <c:pt idx="142">
                  <c:v>862100</c:v>
                </c:pt>
                <c:pt idx="143">
                  <c:v>860600</c:v>
                </c:pt>
                <c:pt idx="144">
                  <c:v>860800</c:v>
                </c:pt>
                <c:pt idx="145">
                  <c:v>863600</c:v>
                </c:pt>
                <c:pt idx="146">
                  <c:v>865900</c:v>
                </c:pt>
                <c:pt idx="147">
                  <c:v>872300</c:v>
                </c:pt>
                <c:pt idx="148">
                  <c:v>873600</c:v>
                </c:pt>
                <c:pt idx="149">
                  <c:v>875800</c:v>
                </c:pt>
                <c:pt idx="150">
                  <c:v>873600</c:v>
                </c:pt>
                <c:pt idx="151">
                  <c:v>876700</c:v>
                </c:pt>
                <c:pt idx="152">
                  <c:v>877900</c:v>
                </c:pt>
                <c:pt idx="153">
                  <c:v>881700</c:v>
                </c:pt>
                <c:pt idx="154">
                  <c:v>882900</c:v>
                </c:pt>
                <c:pt idx="155">
                  <c:v>883900</c:v>
                </c:pt>
                <c:pt idx="156">
                  <c:v>882900</c:v>
                </c:pt>
                <c:pt idx="157">
                  <c:v>881000</c:v>
                </c:pt>
                <c:pt idx="158">
                  <c:v>881700</c:v>
                </c:pt>
                <c:pt idx="159">
                  <c:v>881600</c:v>
                </c:pt>
                <c:pt idx="160">
                  <c:v>881700</c:v>
                </c:pt>
                <c:pt idx="161">
                  <c:v>883600</c:v>
                </c:pt>
                <c:pt idx="162">
                  <c:v>888400</c:v>
                </c:pt>
                <c:pt idx="163">
                  <c:v>890500</c:v>
                </c:pt>
                <c:pt idx="164">
                  <c:v>895000</c:v>
                </c:pt>
                <c:pt idx="165">
                  <c:v>897600</c:v>
                </c:pt>
                <c:pt idx="166">
                  <c:v>901600</c:v>
                </c:pt>
                <c:pt idx="167">
                  <c:v>906500</c:v>
                </c:pt>
                <c:pt idx="168">
                  <c:v>917100</c:v>
                </c:pt>
                <c:pt idx="169">
                  <c:v>918000</c:v>
                </c:pt>
                <c:pt idx="170">
                  <c:v>918900</c:v>
                </c:pt>
                <c:pt idx="171">
                  <c:v>921200</c:v>
                </c:pt>
                <c:pt idx="172">
                  <c:v>923200</c:v>
                </c:pt>
                <c:pt idx="173">
                  <c:v>925100</c:v>
                </c:pt>
                <c:pt idx="174">
                  <c:v>929800</c:v>
                </c:pt>
                <c:pt idx="175">
                  <c:v>929600</c:v>
                </c:pt>
                <c:pt idx="176">
                  <c:v>919500</c:v>
                </c:pt>
                <c:pt idx="177">
                  <c:v>935300</c:v>
                </c:pt>
                <c:pt idx="178">
                  <c:v>938300</c:v>
                </c:pt>
                <c:pt idx="179">
                  <c:v>940700</c:v>
                </c:pt>
                <c:pt idx="180">
                  <c:v>941500</c:v>
                </c:pt>
                <c:pt idx="181">
                  <c:v>942000</c:v>
                </c:pt>
                <c:pt idx="182">
                  <c:v>940300</c:v>
                </c:pt>
                <c:pt idx="183">
                  <c:v>944100</c:v>
                </c:pt>
                <c:pt idx="184">
                  <c:v>948500</c:v>
                </c:pt>
                <c:pt idx="185">
                  <c:v>951600</c:v>
                </c:pt>
                <c:pt idx="186">
                  <c:v>952200</c:v>
                </c:pt>
                <c:pt idx="187">
                  <c:v>955800</c:v>
                </c:pt>
                <c:pt idx="188">
                  <c:v>957800</c:v>
                </c:pt>
                <c:pt idx="189">
                  <c:v>960100</c:v>
                </c:pt>
                <c:pt idx="190">
                  <c:v>958000</c:v>
                </c:pt>
                <c:pt idx="191">
                  <c:v>958300</c:v>
                </c:pt>
                <c:pt idx="192">
                  <c:v>959300</c:v>
                </c:pt>
                <c:pt idx="193">
                  <c:v>958800</c:v>
                </c:pt>
                <c:pt idx="194">
                  <c:v>959300</c:v>
                </c:pt>
                <c:pt idx="195">
                  <c:v>959100</c:v>
                </c:pt>
                <c:pt idx="196">
                  <c:v>960100</c:v>
                </c:pt>
                <c:pt idx="197">
                  <c:v>962600</c:v>
                </c:pt>
                <c:pt idx="198">
                  <c:v>964100</c:v>
                </c:pt>
                <c:pt idx="199">
                  <c:v>967000</c:v>
                </c:pt>
                <c:pt idx="200">
                  <c:v>967700</c:v>
                </c:pt>
                <c:pt idx="201">
                  <c:v>970700</c:v>
                </c:pt>
                <c:pt idx="202">
                  <c:v>974900</c:v>
                </c:pt>
                <c:pt idx="203">
                  <c:v>975200</c:v>
                </c:pt>
                <c:pt idx="204">
                  <c:v>978000</c:v>
                </c:pt>
                <c:pt idx="205">
                  <c:v>979800</c:v>
                </c:pt>
                <c:pt idx="206">
                  <c:v>982400</c:v>
                </c:pt>
                <c:pt idx="207">
                  <c:v>983800</c:v>
                </c:pt>
                <c:pt idx="208">
                  <c:v>984200</c:v>
                </c:pt>
                <c:pt idx="209">
                  <c:v>983600</c:v>
                </c:pt>
                <c:pt idx="210">
                  <c:v>983700</c:v>
                </c:pt>
                <c:pt idx="211">
                  <c:v>984800</c:v>
                </c:pt>
                <c:pt idx="212">
                  <c:v>985200</c:v>
                </c:pt>
                <c:pt idx="213">
                  <c:v>985000</c:v>
                </c:pt>
                <c:pt idx="214">
                  <c:v>988400</c:v>
                </c:pt>
                <c:pt idx="215">
                  <c:v>987600</c:v>
                </c:pt>
                <c:pt idx="216">
                  <c:v>984600</c:v>
                </c:pt>
                <c:pt idx="217">
                  <c:v>986400</c:v>
                </c:pt>
                <c:pt idx="218">
                  <c:v>984600</c:v>
                </c:pt>
                <c:pt idx="219">
                  <c:v>981200</c:v>
                </c:pt>
                <c:pt idx="220">
                  <c:v>978300</c:v>
                </c:pt>
                <c:pt idx="221">
                  <c:v>974600</c:v>
                </c:pt>
                <c:pt idx="222">
                  <c:v>970900</c:v>
                </c:pt>
                <c:pt idx="223">
                  <c:v>965600</c:v>
                </c:pt>
                <c:pt idx="224">
                  <c:v>960200</c:v>
                </c:pt>
                <c:pt idx="225">
                  <c:v>955500</c:v>
                </c:pt>
                <c:pt idx="226">
                  <c:v>954500</c:v>
                </c:pt>
                <c:pt idx="227">
                  <c:v>949600</c:v>
                </c:pt>
                <c:pt idx="228">
                  <c:v>945800</c:v>
                </c:pt>
                <c:pt idx="229">
                  <c:v>940900</c:v>
                </c:pt>
                <c:pt idx="230">
                  <c:v>935900</c:v>
                </c:pt>
                <c:pt idx="231">
                  <c:v>931800</c:v>
                </c:pt>
                <c:pt idx="232">
                  <c:v>929400</c:v>
                </c:pt>
                <c:pt idx="233">
                  <c:v>926200</c:v>
                </c:pt>
                <c:pt idx="234">
                  <c:v>923000</c:v>
                </c:pt>
                <c:pt idx="235">
                  <c:v>920700</c:v>
                </c:pt>
                <c:pt idx="236">
                  <c:v>919900</c:v>
                </c:pt>
                <c:pt idx="237">
                  <c:v>918300</c:v>
                </c:pt>
                <c:pt idx="238">
                  <c:v>916600</c:v>
                </c:pt>
                <c:pt idx="239">
                  <c:v>913800</c:v>
                </c:pt>
                <c:pt idx="240">
                  <c:v>916900</c:v>
                </c:pt>
                <c:pt idx="241">
                  <c:v>919700</c:v>
                </c:pt>
                <c:pt idx="242">
                  <c:v>921800</c:v>
                </c:pt>
                <c:pt idx="243">
                  <c:v>925400</c:v>
                </c:pt>
                <c:pt idx="244">
                  <c:v>929000</c:v>
                </c:pt>
                <c:pt idx="245">
                  <c:v>931300</c:v>
                </c:pt>
                <c:pt idx="246">
                  <c:v>932700</c:v>
                </c:pt>
                <c:pt idx="247">
                  <c:v>934900</c:v>
                </c:pt>
                <c:pt idx="248">
                  <c:v>935400</c:v>
                </c:pt>
                <c:pt idx="249">
                  <c:v>941400</c:v>
                </c:pt>
                <c:pt idx="250">
                  <c:v>943300</c:v>
                </c:pt>
                <c:pt idx="251">
                  <c:v>944600</c:v>
                </c:pt>
                <c:pt idx="252">
                  <c:v>944000</c:v>
                </c:pt>
                <c:pt idx="253">
                  <c:v>941000</c:v>
                </c:pt>
                <c:pt idx="254">
                  <c:v>946100</c:v>
                </c:pt>
                <c:pt idx="255">
                  <c:v>950200</c:v>
                </c:pt>
                <c:pt idx="256">
                  <c:v>952700</c:v>
                </c:pt>
                <c:pt idx="257">
                  <c:v>954000</c:v>
                </c:pt>
                <c:pt idx="258">
                  <c:v>957800</c:v>
                </c:pt>
                <c:pt idx="259">
                  <c:v>961600</c:v>
                </c:pt>
                <c:pt idx="260">
                  <c:v>966100</c:v>
                </c:pt>
                <c:pt idx="261">
                  <c:v>968000</c:v>
                </c:pt>
                <c:pt idx="262">
                  <c:v>971400</c:v>
                </c:pt>
                <c:pt idx="263">
                  <c:v>974000</c:v>
                </c:pt>
                <c:pt idx="264">
                  <c:v>981200</c:v>
                </c:pt>
                <c:pt idx="265">
                  <c:v>981500</c:v>
                </c:pt>
                <c:pt idx="266">
                  <c:v>988800</c:v>
                </c:pt>
                <c:pt idx="267">
                  <c:v>992700</c:v>
                </c:pt>
                <c:pt idx="268">
                  <c:v>993200</c:v>
                </c:pt>
                <c:pt idx="269">
                  <c:v>997700</c:v>
                </c:pt>
                <c:pt idx="270">
                  <c:v>999500</c:v>
                </c:pt>
                <c:pt idx="271">
                  <c:v>1001100</c:v>
                </c:pt>
                <c:pt idx="272">
                  <c:v>1003400</c:v>
                </c:pt>
                <c:pt idx="273">
                  <c:v>1007300</c:v>
                </c:pt>
                <c:pt idx="274">
                  <c:v>1010100</c:v>
                </c:pt>
                <c:pt idx="275">
                  <c:v>1013400</c:v>
                </c:pt>
                <c:pt idx="276">
                  <c:v>1015100</c:v>
                </c:pt>
                <c:pt idx="277">
                  <c:v>1019900</c:v>
                </c:pt>
                <c:pt idx="278">
                  <c:v>1023700</c:v>
                </c:pt>
                <c:pt idx="279">
                  <c:v>1026300</c:v>
                </c:pt>
                <c:pt idx="280">
                  <c:v>1032000</c:v>
                </c:pt>
                <c:pt idx="281">
                  <c:v>1036000</c:v>
                </c:pt>
                <c:pt idx="282">
                  <c:v>1044300</c:v>
                </c:pt>
                <c:pt idx="283">
                  <c:v>1045900.0000000001</c:v>
                </c:pt>
                <c:pt idx="284">
                  <c:v>1048000</c:v>
                </c:pt>
                <c:pt idx="285">
                  <c:v>1049200</c:v>
                </c:pt>
                <c:pt idx="286">
                  <c:v>1053300</c:v>
                </c:pt>
                <c:pt idx="287">
                  <c:v>1055500</c:v>
                </c:pt>
                <c:pt idx="288">
                  <c:v>1061200</c:v>
                </c:pt>
                <c:pt idx="289">
                  <c:v>1064000</c:v>
                </c:pt>
                <c:pt idx="290">
                  <c:v>1071400</c:v>
                </c:pt>
                <c:pt idx="291">
                  <c:v>1077400</c:v>
                </c:pt>
                <c:pt idx="292">
                  <c:v>1081500</c:v>
                </c:pt>
                <c:pt idx="293">
                  <c:v>1086400</c:v>
                </c:pt>
                <c:pt idx="294">
                  <c:v>1089500</c:v>
                </c:pt>
                <c:pt idx="295">
                  <c:v>1091200</c:v>
                </c:pt>
                <c:pt idx="296">
                  <c:v>1095700</c:v>
                </c:pt>
                <c:pt idx="297">
                  <c:v>1098400</c:v>
                </c:pt>
                <c:pt idx="298">
                  <c:v>1102400</c:v>
                </c:pt>
                <c:pt idx="299">
                  <c:v>1103400</c:v>
                </c:pt>
                <c:pt idx="300">
                  <c:v>1110200</c:v>
                </c:pt>
                <c:pt idx="301">
                  <c:v>1115700</c:v>
                </c:pt>
                <c:pt idx="302">
                  <c:v>1119000</c:v>
                </c:pt>
                <c:pt idx="303">
                  <c:v>1120700</c:v>
                </c:pt>
                <c:pt idx="304">
                  <c:v>1125200</c:v>
                </c:pt>
                <c:pt idx="305">
                  <c:v>1129300</c:v>
                </c:pt>
                <c:pt idx="306">
                  <c:v>1135400</c:v>
                </c:pt>
                <c:pt idx="307">
                  <c:v>1141000</c:v>
                </c:pt>
                <c:pt idx="308">
                  <c:v>1144800</c:v>
                </c:pt>
                <c:pt idx="309">
                  <c:v>1151800</c:v>
                </c:pt>
                <c:pt idx="310">
                  <c:v>1156100</c:v>
                </c:pt>
                <c:pt idx="311">
                  <c:v>1160400</c:v>
                </c:pt>
                <c:pt idx="312">
                  <c:v>1160900</c:v>
                </c:pt>
                <c:pt idx="313">
                  <c:v>1166600</c:v>
                </c:pt>
                <c:pt idx="314">
                  <c:v>1165800</c:v>
                </c:pt>
                <c:pt idx="315">
                  <c:v>1167700</c:v>
                </c:pt>
                <c:pt idx="316">
                  <c:v>1170500</c:v>
                </c:pt>
                <c:pt idx="317">
                  <c:v>1169100</c:v>
                </c:pt>
                <c:pt idx="318">
                  <c:v>1174700</c:v>
                </c:pt>
                <c:pt idx="319">
                  <c:v>1177800</c:v>
                </c:pt>
                <c:pt idx="320">
                  <c:v>1183100</c:v>
                </c:pt>
                <c:pt idx="321">
                  <c:v>1181100</c:v>
                </c:pt>
                <c:pt idx="322">
                  <c:v>1192500</c:v>
                </c:pt>
                <c:pt idx="323">
                  <c:v>1194000</c:v>
                </c:pt>
                <c:pt idx="324">
                  <c:v>1199400</c:v>
                </c:pt>
                <c:pt idx="325">
                  <c:v>1206400</c:v>
                </c:pt>
                <c:pt idx="326">
                  <c:v>1194300</c:v>
                </c:pt>
                <c:pt idx="327">
                  <c:v>1199200</c:v>
                </c:pt>
                <c:pt idx="328">
                  <c:v>1208000</c:v>
                </c:pt>
                <c:pt idx="329">
                  <c:v>1200500</c:v>
                </c:pt>
                <c:pt idx="330">
                  <c:v>1205900</c:v>
                </c:pt>
                <c:pt idx="331">
                  <c:v>1203100</c:v>
                </c:pt>
                <c:pt idx="332">
                  <c:v>1163100</c:v>
                </c:pt>
                <c:pt idx="333">
                  <c:v>1195900</c:v>
                </c:pt>
                <c:pt idx="334">
                  <c:v>1197700</c:v>
                </c:pt>
              </c:numCache>
            </c:numRef>
          </c:val>
          <c:smooth val="0"/>
          <c:extLst>
            <c:ext xmlns:c16="http://schemas.microsoft.com/office/drawing/2014/chart" uri="{C3380CC4-5D6E-409C-BE32-E72D297353CC}">
              <c16:uniqueId val="{00000000-0C9C-461B-AD61-F384A5330334}"/>
            </c:ext>
          </c:extLst>
        </c:ser>
        <c:dLbls>
          <c:showLegendKey val="0"/>
          <c:showVal val="0"/>
          <c:showCatName val="0"/>
          <c:showSerName val="0"/>
          <c:showPercent val="0"/>
          <c:showBubbleSize val="0"/>
        </c:dLbls>
        <c:smooth val="0"/>
        <c:axId val="551705232"/>
        <c:axId val="551705624"/>
      </c:lineChart>
      <c:dateAx>
        <c:axId val="551705232"/>
        <c:scaling>
          <c:orientation val="minMax"/>
        </c:scaling>
        <c:delete val="0"/>
        <c:axPos val="b"/>
        <c:numFmt formatCode="mmm\-yy"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51705624"/>
        <c:crosses val="autoZero"/>
        <c:auto val="1"/>
        <c:lblOffset val="100"/>
        <c:baseTimeUnit val="months"/>
        <c:majorUnit val="11"/>
        <c:majorTimeUnit val="months"/>
      </c:dateAx>
      <c:valAx>
        <c:axId val="551705624"/>
        <c:scaling>
          <c:orientation val="minMax"/>
          <c:min val="650000"/>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51705232"/>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'Chart Data'!$B$1</c:f>
              <c:strCache>
                <c:ptCount val="1"/>
                <c:pt idx="0">
                  <c:v>SCORE</c:v>
                </c:pt>
              </c:strCache>
            </c:strRef>
          </c:tx>
          <c:spPr>
            <a:solidFill>
              <a:sysClr val="windowText" lastClr="000000">
                <a:lumMod val="75000"/>
                <a:lumOff val="25000"/>
              </a:sysClr>
            </a:solidFill>
            <a:ln>
              <a:solidFill>
                <a:schemeClr val="tx1"/>
              </a:solidFill>
            </a:ln>
            <a:effectLst/>
          </c:spPr>
          <c:invertIfNegative val="0"/>
          <c:cat>
            <c:strRef>
              <c:f>'Chart Data'!$A$2:$A$11</c:f>
              <c:strCache>
                <c:ptCount val="10"/>
                <c:pt idx="0">
                  <c:v>Active Listening</c:v>
                </c:pt>
                <c:pt idx="1">
                  <c:v>Reading Comprehension</c:v>
                </c:pt>
                <c:pt idx="2">
                  <c:v>Critical Thinking</c:v>
                </c:pt>
                <c:pt idx="3">
                  <c:v>Speaking</c:v>
                </c:pt>
                <c:pt idx="4">
                  <c:v>Judgement &amp; Decision Making</c:v>
                </c:pt>
                <c:pt idx="5">
                  <c:v>Monitoring</c:v>
                </c:pt>
                <c:pt idx="6">
                  <c:v>Social Perceptiveness</c:v>
                </c:pt>
                <c:pt idx="7">
                  <c:v>Complex Problem Solving</c:v>
                </c:pt>
                <c:pt idx="8">
                  <c:v>Coordination</c:v>
                </c:pt>
                <c:pt idx="9">
                  <c:v>Service Orientation</c:v>
                </c:pt>
              </c:strCache>
            </c:strRef>
          </c:cat>
          <c:val>
            <c:numRef>
              <c:f>'Chart Data'!$B$2:$B$11</c:f>
              <c:numCache>
                <c:formatCode>General</c:formatCode>
                <c:ptCount val="10"/>
                <c:pt idx="0">
                  <c:v>62</c:v>
                </c:pt>
                <c:pt idx="1">
                  <c:v>62</c:v>
                </c:pt>
                <c:pt idx="2">
                  <c:v>61</c:v>
                </c:pt>
                <c:pt idx="3">
                  <c:v>59</c:v>
                </c:pt>
                <c:pt idx="4">
                  <c:v>54</c:v>
                </c:pt>
                <c:pt idx="5">
                  <c:v>54</c:v>
                </c:pt>
                <c:pt idx="6">
                  <c:v>54</c:v>
                </c:pt>
                <c:pt idx="7">
                  <c:v>54</c:v>
                </c:pt>
                <c:pt idx="8">
                  <c:v>51</c:v>
                </c:pt>
                <c:pt idx="9">
                  <c:v>49</c:v>
                </c:pt>
              </c:numCache>
            </c:numRef>
          </c:val>
          <c:extLst>
            <c:ext xmlns:c16="http://schemas.microsoft.com/office/drawing/2014/chart" uri="{C3380CC4-5D6E-409C-BE32-E72D297353CC}">
              <c16:uniqueId val="{00000000-8FEE-4BA4-A885-47F5AFC3517C}"/>
            </c:ext>
          </c:extLst>
        </c:ser>
        <c:dLbls>
          <c:showLegendKey val="0"/>
          <c:showVal val="0"/>
          <c:showCatName val="0"/>
          <c:showSerName val="0"/>
          <c:showPercent val="0"/>
          <c:showBubbleSize val="0"/>
        </c:dLbls>
        <c:gapWidth val="219"/>
        <c:overlap val="-27"/>
        <c:axId val="494447760"/>
        <c:axId val="494448152"/>
      </c:barChart>
      <c:catAx>
        <c:axId val="494447760"/>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n-US"/>
          </a:p>
        </c:txPr>
        <c:crossAx val="494448152"/>
        <c:crosses val="autoZero"/>
        <c:auto val="0"/>
        <c:lblAlgn val="ctr"/>
        <c:lblOffset val="100"/>
        <c:noMultiLvlLbl val="0"/>
      </c:catAx>
      <c:valAx>
        <c:axId val="494448152"/>
        <c:scaling>
          <c:orientation val="minMax"/>
          <c:max val="70"/>
          <c:min val="0"/>
        </c:scaling>
        <c:delete val="0"/>
        <c:axPos val="l"/>
        <c:title>
          <c:tx>
            <c:rich>
              <a:bodyPr rot="-5400000" spcFirstLastPara="1" vertOverflow="ellipsis" vert="horz" wrap="square" anchor="ctr" anchorCtr="1"/>
              <a:lstStyle/>
              <a:p>
                <a:pPr>
                  <a:defRPr sz="1400" b="1" i="0" u="none" strike="noStrike" kern="1200" baseline="0">
                    <a:solidFill>
                      <a:schemeClr val="tx1">
                        <a:lumMod val="65000"/>
                        <a:lumOff val="35000"/>
                      </a:schemeClr>
                    </a:solidFill>
                    <a:latin typeface="+mn-lt"/>
                    <a:ea typeface="+mn-ea"/>
                    <a:cs typeface="+mn-cs"/>
                  </a:defRPr>
                </a:pPr>
                <a:r>
                  <a:rPr lang="en-US" sz="1400" b="1"/>
                  <a:t>SCORES</a:t>
                </a:r>
              </a:p>
            </c:rich>
          </c:tx>
          <c:overlay val="0"/>
          <c:spPr>
            <a:noFill/>
            <a:ln>
              <a:noFill/>
            </a:ln>
            <a:effectLst/>
          </c:spPr>
          <c:txPr>
            <a:bodyPr rot="-5400000" spcFirstLastPara="1" vertOverflow="ellipsis" vert="horz" wrap="square" anchor="ctr" anchorCtr="1"/>
            <a:lstStyle/>
            <a:p>
              <a:pPr>
                <a:defRPr sz="1400" b="1"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n-US"/>
          </a:p>
        </c:txPr>
        <c:crossAx val="494447760"/>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4">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spPr>
            <a:ln w="28575" cap="rnd">
              <a:solidFill>
                <a:srgbClr val="003F5C"/>
              </a:solidFill>
              <a:round/>
            </a:ln>
            <a:effectLst/>
          </c:spPr>
          <c:marker>
            <c:symbol val="none"/>
          </c:marker>
          <c:cat>
            <c:numRef>
              <c:f>'Other Serv'!$A$2:$A$336</c:f>
              <c:numCache>
                <c:formatCode>mmm\-yy</c:formatCode>
                <c:ptCount val="335"/>
                <c:pt idx="0">
                  <c:v>32874</c:v>
                </c:pt>
                <c:pt idx="1">
                  <c:v>32905</c:v>
                </c:pt>
                <c:pt idx="2">
                  <c:v>32933</c:v>
                </c:pt>
                <c:pt idx="3">
                  <c:v>32964</c:v>
                </c:pt>
                <c:pt idx="4">
                  <c:v>32994</c:v>
                </c:pt>
                <c:pt idx="5">
                  <c:v>33025</c:v>
                </c:pt>
                <c:pt idx="6">
                  <c:v>33055</c:v>
                </c:pt>
                <c:pt idx="7">
                  <c:v>33086</c:v>
                </c:pt>
                <c:pt idx="8">
                  <c:v>33117</c:v>
                </c:pt>
                <c:pt idx="9">
                  <c:v>33147</c:v>
                </c:pt>
                <c:pt idx="10">
                  <c:v>33178</c:v>
                </c:pt>
                <c:pt idx="11">
                  <c:v>33208</c:v>
                </c:pt>
                <c:pt idx="12">
                  <c:v>33239</c:v>
                </c:pt>
                <c:pt idx="13">
                  <c:v>33270</c:v>
                </c:pt>
                <c:pt idx="14">
                  <c:v>33298</c:v>
                </c:pt>
                <c:pt idx="15">
                  <c:v>33329</c:v>
                </c:pt>
                <c:pt idx="16">
                  <c:v>33359</c:v>
                </c:pt>
                <c:pt idx="17">
                  <c:v>33390</c:v>
                </c:pt>
                <c:pt idx="18">
                  <c:v>33420</c:v>
                </c:pt>
                <c:pt idx="19">
                  <c:v>33451</c:v>
                </c:pt>
                <c:pt idx="20">
                  <c:v>33482</c:v>
                </c:pt>
                <c:pt idx="21">
                  <c:v>33512</c:v>
                </c:pt>
                <c:pt idx="22">
                  <c:v>33543</c:v>
                </c:pt>
                <c:pt idx="23">
                  <c:v>33573</c:v>
                </c:pt>
                <c:pt idx="24">
                  <c:v>33604</c:v>
                </c:pt>
                <c:pt idx="25">
                  <c:v>33635</c:v>
                </c:pt>
                <c:pt idx="26">
                  <c:v>33664</c:v>
                </c:pt>
                <c:pt idx="27">
                  <c:v>33695</c:v>
                </c:pt>
                <c:pt idx="28">
                  <c:v>33725</c:v>
                </c:pt>
                <c:pt idx="29">
                  <c:v>33756</c:v>
                </c:pt>
                <c:pt idx="30">
                  <c:v>33786</c:v>
                </c:pt>
                <c:pt idx="31">
                  <c:v>33817</c:v>
                </c:pt>
                <c:pt idx="32">
                  <c:v>33848</c:v>
                </c:pt>
                <c:pt idx="33">
                  <c:v>33878</c:v>
                </c:pt>
                <c:pt idx="34">
                  <c:v>33909</c:v>
                </c:pt>
                <c:pt idx="35">
                  <c:v>33939</c:v>
                </c:pt>
                <c:pt idx="36">
                  <c:v>33970</c:v>
                </c:pt>
                <c:pt idx="37">
                  <c:v>34001</c:v>
                </c:pt>
                <c:pt idx="38">
                  <c:v>34029</c:v>
                </c:pt>
                <c:pt idx="39">
                  <c:v>34060</c:v>
                </c:pt>
                <c:pt idx="40">
                  <c:v>34090</c:v>
                </c:pt>
                <c:pt idx="41">
                  <c:v>34121</c:v>
                </c:pt>
                <c:pt idx="42">
                  <c:v>34151</c:v>
                </c:pt>
                <c:pt idx="43">
                  <c:v>34182</c:v>
                </c:pt>
                <c:pt idx="44">
                  <c:v>34213</c:v>
                </c:pt>
                <c:pt idx="45">
                  <c:v>34243</c:v>
                </c:pt>
                <c:pt idx="46">
                  <c:v>34274</c:v>
                </c:pt>
                <c:pt idx="47">
                  <c:v>34304</c:v>
                </c:pt>
                <c:pt idx="48">
                  <c:v>34335</c:v>
                </c:pt>
                <c:pt idx="49">
                  <c:v>34366</c:v>
                </c:pt>
                <c:pt idx="50">
                  <c:v>34394</c:v>
                </c:pt>
                <c:pt idx="51">
                  <c:v>34425</c:v>
                </c:pt>
                <c:pt idx="52">
                  <c:v>34455</c:v>
                </c:pt>
                <c:pt idx="53">
                  <c:v>34486</c:v>
                </c:pt>
                <c:pt idx="54">
                  <c:v>34516</c:v>
                </c:pt>
                <c:pt idx="55">
                  <c:v>34547</c:v>
                </c:pt>
                <c:pt idx="56">
                  <c:v>34578</c:v>
                </c:pt>
                <c:pt idx="57">
                  <c:v>34608</c:v>
                </c:pt>
                <c:pt idx="58">
                  <c:v>34639</c:v>
                </c:pt>
                <c:pt idx="59">
                  <c:v>34669</c:v>
                </c:pt>
                <c:pt idx="60">
                  <c:v>34700</c:v>
                </c:pt>
                <c:pt idx="61">
                  <c:v>34731</c:v>
                </c:pt>
                <c:pt idx="62">
                  <c:v>34759</c:v>
                </c:pt>
                <c:pt idx="63">
                  <c:v>34790</c:v>
                </c:pt>
                <c:pt idx="64">
                  <c:v>34820</c:v>
                </c:pt>
                <c:pt idx="65">
                  <c:v>34851</c:v>
                </c:pt>
                <c:pt idx="66">
                  <c:v>34881</c:v>
                </c:pt>
                <c:pt idx="67">
                  <c:v>34912</c:v>
                </c:pt>
                <c:pt idx="68">
                  <c:v>34943</c:v>
                </c:pt>
                <c:pt idx="69">
                  <c:v>34973</c:v>
                </c:pt>
                <c:pt idx="70">
                  <c:v>35004</c:v>
                </c:pt>
                <c:pt idx="71">
                  <c:v>35034</c:v>
                </c:pt>
                <c:pt idx="72">
                  <c:v>35065</c:v>
                </c:pt>
                <c:pt idx="73">
                  <c:v>35096</c:v>
                </c:pt>
                <c:pt idx="74">
                  <c:v>35125</c:v>
                </c:pt>
                <c:pt idx="75">
                  <c:v>35156</c:v>
                </c:pt>
                <c:pt idx="76">
                  <c:v>35186</c:v>
                </c:pt>
                <c:pt idx="77">
                  <c:v>35217</c:v>
                </c:pt>
                <c:pt idx="78">
                  <c:v>35247</c:v>
                </c:pt>
                <c:pt idx="79">
                  <c:v>35278</c:v>
                </c:pt>
                <c:pt idx="80">
                  <c:v>35309</c:v>
                </c:pt>
                <c:pt idx="81">
                  <c:v>35339</c:v>
                </c:pt>
                <c:pt idx="82">
                  <c:v>35370</c:v>
                </c:pt>
                <c:pt idx="83">
                  <c:v>35400</c:v>
                </c:pt>
                <c:pt idx="84">
                  <c:v>35431</c:v>
                </c:pt>
                <c:pt idx="85">
                  <c:v>35462</c:v>
                </c:pt>
                <c:pt idx="86">
                  <c:v>35490</c:v>
                </c:pt>
                <c:pt idx="87">
                  <c:v>35521</c:v>
                </c:pt>
                <c:pt idx="88">
                  <c:v>35551</c:v>
                </c:pt>
                <c:pt idx="89">
                  <c:v>35582</c:v>
                </c:pt>
                <c:pt idx="90">
                  <c:v>35612</c:v>
                </c:pt>
                <c:pt idx="91">
                  <c:v>35643</c:v>
                </c:pt>
                <c:pt idx="92">
                  <c:v>35674</c:v>
                </c:pt>
                <c:pt idx="93">
                  <c:v>35704</c:v>
                </c:pt>
                <c:pt idx="94">
                  <c:v>35735</c:v>
                </c:pt>
                <c:pt idx="95">
                  <c:v>35765</c:v>
                </c:pt>
                <c:pt idx="96">
                  <c:v>35796</c:v>
                </c:pt>
                <c:pt idx="97">
                  <c:v>35827</c:v>
                </c:pt>
                <c:pt idx="98">
                  <c:v>35855</c:v>
                </c:pt>
                <c:pt idx="99">
                  <c:v>35886</c:v>
                </c:pt>
                <c:pt idx="100">
                  <c:v>35916</c:v>
                </c:pt>
                <c:pt idx="101">
                  <c:v>35947</c:v>
                </c:pt>
                <c:pt idx="102">
                  <c:v>35977</c:v>
                </c:pt>
                <c:pt idx="103">
                  <c:v>36008</c:v>
                </c:pt>
                <c:pt idx="104">
                  <c:v>36039</c:v>
                </c:pt>
                <c:pt idx="105">
                  <c:v>36069</c:v>
                </c:pt>
                <c:pt idx="106">
                  <c:v>36100</c:v>
                </c:pt>
                <c:pt idx="107">
                  <c:v>36130</c:v>
                </c:pt>
                <c:pt idx="108">
                  <c:v>36161</c:v>
                </c:pt>
                <c:pt idx="109">
                  <c:v>36192</c:v>
                </c:pt>
                <c:pt idx="110">
                  <c:v>36220</c:v>
                </c:pt>
                <c:pt idx="111">
                  <c:v>36251</c:v>
                </c:pt>
                <c:pt idx="112">
                  <c:v>36281</c:v>
                </c:pt>
                <c:pt idx="113">
                  <c:v>36312</c:v>
                </c:pt>
                <c:pt idx="114">
                  <c:v>36342</c:v>
                </c:pt>
                <c:pt idx="115">
                  <c:v>36373</c:v>
                </c:pt>
                <c:pt idx="116">
                  <c:v>36404</c:v>
                </c:pt>
                <c:pt idx="117">
                  <c:v>36434</c:v>
                </c:pt>
                <c:pt idx="118">
                  <c:v>36465</c:v>
                </c:pt>
                <c:pt idx="119">
                  <c:v>36495</c:v>
                </c:pt>
                <c:pt idx="120">
                  <c:v>36526</c:v>
                </c:pt>
                <c:pt idx="121">
                  <c:v>36557</c:v>
                </c:pt>
                <c:pt idx="122">
                  <c:v>36586</c:v>
                </c:pt>
                <c:pt idx="123">
                  <c:v>36617</c:v>
                </c:pt>
                <c:pt idx="124">
                  <c:v>36647</c:v>
                </c:pt>
                <c:pt idx="125">
                  <c:v>36678</c:v>
                </c:pt>
                <c:pt idx="126">
                  <c:v>36708</c:v>
                </c:pt>
                <c:pt idx="127">
                  <c:v>36739</c:v>
                </c:pt>
                <c:pt idx="128">
                  <c:v>36770</c:v>
                </c:pt>
                <c:pt idx="129">
                  <c:v>36800</c:v>
                </c:pt>
                <c:pt idx="130">
                  <c:v>36831</c:v>
                </c:pt>
                <c:pt idx="131">
                  <c:v>36861</c:v>
                </c:pt>
                <c:pt idx="132">
                  <c:v>36892</c:v>
                </c:pt>
                <c:pt idx="133">
                  <c:v>36923</c:v>
                </c:pt>
                <c:pt idx="134">
                  <c:v>36951</c:v>
                </c:pt>
                <c:pt idx="135">
                  <c:v>36982</c:v>
                </c:pt>
                <c:pt idx="136">
                  <c:v>37012</c:v>
                </c:pt>
                <c:pt idx="137">
                  <c:v>37043</c:v>
                </c:pt>
                <c:pt idx="138">
                  <c:v>37073</c:v>
                </c:pt>
                <c:pt idx="139">
                  <c:v>37104</c:v>
                </c:pt>
                <c:pt idx="140">
                  <c:v>37135</c:v>
                </c:pt>
                <c:pt idx="141">
                  <c:v>37165</c:v>
                </c:pt>
                <c:pt idx="142">
                  <c:v>37196</c:v>
                </c:pt>
                <c:pt idx="143">
                  <c:v>37226</c:v>
                </c:pt>
                <c:pt idx="144">
                  <c:v>37257</c:v>
                </c:pt>
                <c:pt idx="145">
                  <c:v>37288</c:v>
                </c:pt>
                <c:pt idx="146">
                  <c:v>37316</c:v>
                </c:pt>
                <c:pt idx="147">
                  <c:v>37347</c:v>
                </c:pt>
                <c:pt idx="148">
                  <c:v>37377</c:v>
                </c:pt>
                <c:pt idx="149">
                  <c:v>37408</c:v>
                </c:pt>
                <c:pt idx="150">
                  <c:v>37438</c:v>
                </c:pt>
                <c:pt idx="151">
                  <c:v>37469</c:v>
                </c:pt>
                <c:pt idx="152">
                  <c:v>37500</c:v>
                </c:pt>
                <c:pt idx="153">
                  <c:v>37530</c:v>
                </c:pt>
                <c:pt idx="154">
                  <c:v>37561</c:v>
                </c:pt>
                <c:pt idx="155">
                  <c:v>37591</c:v>
                </c:pt>
                <c:pt idx="156">
                  <c:v>37622</c:v>
                </c:pt>
                <c:pt idx="157">
                  <c:v>37653</c:v>
                </c:pt>
                <c:pt idx="158">
                  <c:v>37681</c:v>
                </c:pt>
                <c:pt idx="159">
                  <c:v>37712</c:v>
                </c:pt>
                <c:pt idx="160">
                  <c:v>37742</c:v>
                </c:pt>
                <c:pt idx="161">
                  <c:v>37773</c:v>
                </c:pt>
                <c:pt idx="162">
                  <c:v>37803</c:v>
                </c:pt>
                <c:pt idx="163">
                  <c:v>37834</c:v>
                </c:pt>
                <c:pt idx="164">
                  <c:v>37865</c:v>
                </c:pt>
                <c:pt idx="165">
                  <c:v>37895</c:v>
                </c:pt>
                <c:pt idx="166">
                  <c:v>37926</c:v>
                </c:pt>
                <c:pt idx="167">
                  <c:v>37956</c:v>
                </c:pt>
                <c:pt idx="168">
                  <c:v>37987</c:v>
                </c:pt>
                <c:pt idx="169">
                  <c:v>38018</c:v>
                </c:pt>
                <c:pt idx="170">
                  <c:v>38047</c:v>
                </c:pt>
                <c:pt idx="171">
                  <c:v>38078</c:v>
                </c:pt>
                <c:pt idx="172">
                  <c:v>38108</c:v>
                </c:pt>
                <c:pt idx="173">
                  <c:v>38139</c:v>
                </c:pt>
                <c:pt idx="174">
                  <c:v>38169</c:v>
                </c:pt>
                <c:pt idx="175">
                  <c:v>38200</c:v>
                </c:pt>
                <c:pt idx="176">
                  <c:v>38231</c:v>
                </c:pt>
                <c:pt idx="177">
                  <c:v>38261</c:v>
                </c:pt>
                <c:pt idx="178">
                  <c:v>38292</c:v>
                </c:pt>
                <c:pt idx="179">
                  <c:v>38322</c:v>
                </c:pt>
                <c:pt idx="180">
                  <c:v>38353</c:v>
                </c:pt>
                <c:pt idx="181">
                  <c:v>38384</c:v>
                </c:pt>
                <c:pt idx="182">
                  <c:v>38412</c:v>
                </c:pt>
                <c:pt idx="183">
                  <c:v>38443</c:v>
                </c:pt>
                <c:pt idx="184">
                  <c:v>38473</c:v>
                </c:pt>
                <c:pt idx="185">
                  <c:v>38504</c:v>
                </c:pt>
                <c:pt idx="186">
                  <c:v>38534</c:v>
                </c:pt>
                <c:pt idx="187">
                  <c:v>38565</c:v>
                </c:pt>
                <c:pt idx="188">
                  <c:v>38596</c:v>
                </c:pt>
                <c:pt idx="189">
                  <c:v>38626</c:v>
                </c:pt>
                <c:pt idx="190">
                  <c:v>38657</c:v>
                </c:pt>
                <c:pt idx="191">
                  <c:v>38687</c:v>
                </c:pt>
                <c:pt idx="192">
                  <c:v>38718</c:v>
                </c:pt>
                <c:pt idx="193">
                  <c:v>38749</c:v>
                </c:pt>
                <c:pt idx="194">
                  <c:v>38777</c:v>
                </c:pt>
                <c:pt idx="195">
                  <c:v>38808</c:v>
                </c:pt>
                <c:pt idx="196">
                  <c:v>38838</c:v>
                </c:pt>
                <c:pt idx="197">
                  <c:v>38869</c:v>
                </c:pt>
                <c:pt idx="198">
                  <c:v>38899</c:v>
                </c:pt>
                <c:pt idx="199">
                  <c:v>38930</c:v>
                </c:pt>
                <c:pt idx="200">
                  <c:v>38961</c:v>
                </c:pt>
                <c:pt idx="201">
                  <c:v>38991</c:v>
                </c:pt>
                <c:pt idx="202">
                  <c:v>39022</c:v>
                </c:pt>
                <c:pt idx="203">
                  <c:v>39052</c:v>
                </c:pt>
                <c:pt idx="204">
                  <c:v>39083</c:v>
                </c:pt>
                <c:pt idx="205">
                  <c:v>39114</c:v>
                </c:pt>
                <c:pt idx="206">
                  <c:v>39142</c:v>
                </c:pt>
                <c:pt idx="207">
                  <c:v>39173</c:v>
                </c:pt>
                <c:pt idx="208">
                  <c:v>39203</c:v>
                </c:pt>
                <c:pt idx="209">
                  <c:v>39234</c:v>
                </c:pt>
                <c:pt idx="210">
                  <c:v>39264</c:v>
                </c:pt>
                <c:pt idx="211">
                  <c:v>39295</c:v>
                </c:pt>
                <c:pt idx="212">
                  <c:v>39326</c:v>
                </c:pt>
                <c:pt idx="213">
                  <c:v>39356</c:v>
                </c:pt>
                <c:pt idx="214">
                  <c:v>39387</c:v>
                </c:pt>
                <c:pt idx="215">
                  <c:v>39417</c:v>
                </c:pt>
                <c:pt idx="216">
                  <c:v>39448</c:v>
                </c:pt>
                <c:pt idx="217">
                  <c:v>39479</c:v>
                </c:pt>
                <c:pt idx="218">
                  <c:v>39508</c:v>
                </c:pt>
                <c:pt idx="219">
                  <c:v>39539</c:v>
                </c:pt>
                <c:pt idx="220">
                  <c:v>39569</c:v>
                </c:pt>
                <c:pt idx="221">
                  <c:v>39600</c:v>
                </c:pt>
                <c:pt idx="222">
                  <c:v>39630</c:v>
                </c:pt>
                <c:pt idx="223">
                  <c:v>39661</c:v>
                </c:pt>
                <c:pt idx="224">
                  <c:v>39692</c:v>
                </c:pt>
                <c:pt idx="225">
                  <c:v>39722</c:v>
                </c:pt>
                <c:pt idx="226">
                  <c:v>39753</c:v>
                </c:pt>
                <c:pt idx="227">
                  <c:v>39783</c:v>
                </c:pt>
                <c:pt idx="228">
                  <c:v>39814</c:v>
                </c:pt>
                <c:pt idx="229">
                  <c:v>39845</c:v>
                </c:pt>
                <c:pt idx="230">
                  <c:v>39873</c:v>
                </c:pt>
                <c:pt idx="231">
                  <c:v>39904</c:v>
                </c:pt>
                <c:pt idx="232">
                  <c:v>39934</c:v>
                </c:pt>
                <c:pt idx="233">
                  <c:v>39965</c:v>
                </c:pt>
                <c:pt idx="234">
                  <c:v>39995</c:v>
                </c:pt>
                <c:pt idx="235">
                  <c:v>40026</c:v>
                </c:pt>
                <c:pt idx="236">
                  <c:v>40057</c:v>
                </c:pt>
                <c:pt idx="237">
                  <c:v>40087</c:v>
                </c:pt>
                <c:pt idx="238">
                  <c:v>40118</c:v>
                </c:pt>
                <c:pt idx="239">
                  <c:v>40148</c:v>
                </c:pt>
                <c:pt idx="240">
                  <c:v>40179</c:v>
                </c:pt>
                <c:pt idx="241">
                  <c:v>40210</c:v>
                </c:pt>
                <c:pt idx="242">
                  <c:v>40238</c:v>
                </c:pt>
                <c:pt idx="243">
                  <c:v>40269</c:v>
                </c:pt>
                <c:pt idx="244">
                  <c:v>40299</c:v>
                </c:pt>
                <c:pt idx="245">
                  <c:v>40330</c:v>
                </c:pt>
                <c:pt idx="246">
                  <c:v>40360</c:v>
                </c:pt>
                <c:pt idx="247">
                  <c:v>40391</c:v>
                </c:pt>
                <c:pt idx="248">
                  <c:v>40422</c:v>
                </c:pt>
                <c:pt idx="249">
                  <c:v>40452</c:v>
                </c:pt>
                <c:pt idx="250">
                  <c:v>40483</c:v>
                </c:pt>
                <c:pt idx="251">
                  <c:v>40513</c:v>
                </c:pt>
                <c:pt idx="252">
                  <c:v>40544</c:v>
                </c:pt>
                <c:pt idx="253">
                  <c:v>40575</c:v>
                </c:pt>
                <c:pt idx="254">
                  <c:v>40603</c:v>
                </c:pt>
                <c:pt idx="255">
                  <c:v>40634</c:v>
                </c:pt>
                <c:pt idx="256">
                  <c:v>40664</c:v>
                </c:pt>
                <c:pt idx="257">
                  <c:v>40695</c:v>
                </c:pt>
                <c:pt idx="258">
                  <c:v>40725</c:v>
                </c:pt>
                <c:pt idx="259">
                  <c:v>40756</c:v>
                </c:pt>
                <c:pt idx="260">
                  <c:v>40787</c:v>
                </c:pt>
                <c:pt idx="261">
                  <c:v>40817</c:v>
                </c:pt>
                <c:pt idx="262">
                  <c:v>40848</c:v>
                </c:pt>
                <c:pt idx="263">
                  <c:v>40878</c:v>
                </c:pt>
                <c:pt idx="264">
                  <c:v>40909</c:v>
                </c:pt>
                <c:pt idx="265">
                  <c:v>40940</c:v>
                </c:pt>
                <c:pt idx="266">
                  <c:v>40969</c:v>
                </c:pt>
                <c:pt idx="267">
                  <c:v>41000</c:v>
                </c:pt>
                <c:pt idx="268">
                  <c:v>41030</c:v>
                </c:pt>
                <c:pt idx="269">
                  <c:v>41061</c:v>
                </c:pt>
                <c:pt idx="270">
                  <c:v>41091</c:v>
                </c:pt>
                <c:pt idx="271">
                  <c:v>41122</c:v>
                </c:pt>
                <c:pt idx="272">
                  <c:v>41153</c:v>
                </c:pt>
                <c:pt idx="273">
                  <c:v>41183</c:v>
                </c:pt>
                <c:pt idx="274">
                  <c:v>41214</c:v>
                </c:pt>
                <c:pt idx="275">
                  <c:v>41244</c:v>
                </c:pt>
                <c:pt idx="276">
                  <c:v>41275</c:v>
                </c:pt>
                <c:pt idx="277">
                  <c:v>41306</c:v>
                </c:pt>
                <c:pt idx="278">
                  <c:v>41334</c:v>
                </c:pt>
                <c:pt idx="279">
                  <c:v>41365</c:v>
                </c:pt>
                <c:pt idx="280">
                  <c:v>41395</c:v>
                </c:pt>
                <c:pt idx="281">
                  <c:v>41426</c:v>
                </c:pt>
                <c:pt idx="282">
                  <c:v>41456</c:v>
                </c:pt>
                <c:pt idx="283">
                  <c:v>41487</c:v>
                </c:pt>
                <c:pt idx="284">
                  <c:v>41518</c:v>
                </c:pt>
                <c:pt idx="285">
                  <c:v>41548</c:v>
                </c:pt>
                <c:pt idx="286">
                  <c:v>41579</c:v>
                </c:pt>
                <c:pt idx="287">
                  <c:v>41609</c:v>
                </c:pt>
                <c:pt idx="288">
                  <c:v>41640</c:v>
                </c:pt>
                <c:pt idx="289">
                  <c:v>41671</c:v>
                </c:pt>
                <c:pt idx="290">
                  <c:v>41699</c:v>
                </c:pt>
                <c:pt idx="291">
                  <c:v>41730</c:v>
                </c:pt>
                <c:pt idx="292">
                  <c:v>41760</c:v>
                </c:pt>
                <c:pt idx="293">
                  <c:v>41791</c:v>
                </c:pt>
                <c:pt idx="294">
                  <c:v>41821</c:v>
                </c:pt>
                <c:pt idx="295">
                  <c:v>41852</c:v>
                </c:pt>
                <c:pt idx="296">
                  <c:v>41883</c:v>
                </c:pt>
                <c:pt idx="297">
                  <c:v>41913</c:v>
                </c:pt>
                <c:pt idx="298">
                  <c:v>41944</c:v>
                </c:pt>
                <c:pt idx="299">
                  <c:v>41974</c:v>
                </c:pt>
                <c:pt idx="300">
                  <c:v>42005</c:v>
                </c:pt>
                <c:pt idx="301">
                  <c:v>42036</c:v>
                </c:pt>
                <c:pt idx="302">
                  <c:v>42064</c:v>
                </c:pt>
                <c:pt idx="303">
                  <c:v>42095</c:v>
                </c:pt>
                <c:pt idx="304">
                  <c:v>42125</c:v>
                </c:pt>
                <c:pt idx="305">
                  <c:v>42156</c:v>
                </c:pt>
                <c:pt idx="306">
                  <c:v>42186</c:v>
                </c:pt>
                <c:pt idx="307">
                  <c:v>42217</c:v>
                </c:pt>
                <c:pt idx="308">
                  <c:v>42248</c:v>
                </c:pt>
                <c:pt idx="309">
                  <c:v>42278</c:v>
                </c:pt>
                <c:pt idx="310">
                  <c:v>42309</c:v>
                </c:pt>
                <c:pt idx="311">
                  <c:v>42339</c:v>
                </c:pt>
                <c:pt idx="312">
                  <c:v>42370</c:v>
                </c:pt>
                <c:pt idx="313">
                  <c:v>42401</c:v>
                </c:pt>
                <c:pt idx="314">
                  <c:v>42430</c:v>
                </c:pt>
                <c:pt idx="315">
                  <c:v>42461</c:v>
                </c:pt>
                <c:pt idx="316">
                  <c:v>42491</c:v>
                </c:pt>
                <c:pt idx="317">
                  <c:v>42522</c:v>
                </c:pt>
                <c:pt idx="318">
                  <c:v>42552</c:v>
                </c:pt>
                <c:pt idx="319">
                  <c:v>42583</c:v>
                </c:pt>
                <c:pt idx="320">
                  <c:v>42614</c:v>
                </c:pt>
                <c:pt idx="321">
                  <c:v>42644</c:v>
                </c:pt>
                <c:pt idx="322">
                  <c:v>42675</c:v>
                </c:pt>
                <c:pt idx="323">
                  <c:v>42705</c:v>
                </c:pt>
                <c:pt idx="324">
                  <c:v>42736</c:v>
                </c:pt>
                <c:pt idx="325">
                  <c:v>42767</c:v>
                </c:pt>
                <c:pt idx="326">
                  <c:v>42795</c:v>
                </c:pt>
                <c:pt idx="327">
                  <c:v>42826</c:v>
                </c:pt>
                <c:pt idx="328">
                  <c:v>42856</c:v>
                </c:pt>
                <c:pt idx="329">
                  <c:v>42887</c:v>
                </c:pt>
                <c:pt idx="330">
                  <c:v>42917</c:v>
                </c:pt>
                <c:pt idx="331">
                  <c:v>42948</c:v>
                </c:pt>
                <c:pt idx="332">
                  <c:v>42979</c:v>
                </c:pt>
                <c:pt idx="333">
                  <c:v>43009</c:v>
                </c:pt>
                <c:pt idx="334">
                  <c:v>43040</c:v>
                </c:pt>
              </c:numCache>
            </c:numRef>
          </c:cat>
          <c:val>
            <c:numRef>
              <c:f>'Other Serv'!$B$2:$B$336</c:f>
              <c:numCache>
                <c:formatCode>#,##0</c:formatCode>
                <c:ptCount val="335"/>
                <c:pt idx="0">
                  <c:v>209900</c:v>
                </c:pt>
                <c:pt idx="1">
                  <c:v>211100</c:v>
                </c:pt>
                <c:pt idx="2">
                  <c:v>212200</c:v>
                </c:pt>
                <c:pt idx="3">
                  <c:v>211800</c:v>
                </c:pt>
                <c:pt idx="4">
                  <c:v>211900</c:v>
                </c:pt>
                <c:pt idx="5">
                  <c:v>212400</c:v>
                </c:pt>
                <c:pt idx="6">
                  <c:v>212700</c:v>
                </c:pt>
                <c:pt idx="7">
                  <c:v>213100</c:v>
                </c:pt>
                <c:pt idx="8">
                  <c:v>213500</c:v>
                </c:pt>
                <c:pt idx="9">
                  <c:v>213000</c:v>
                </c:pt>
                <c:pt idx="10">
                  <c:v>213200</c:v>
                </c:pt>
                <c:pt idx="11">
                  <c:v>213200</c:v>
                </c:pt>
                <c:pt idx="12">
                  <c:v>213900</c:v>
                </c:pt>
                <c:pt idx="13">
                  <c:v>213500</c:v>
                </c:pt>
                <c:pt idx="14">
                  <c:v>214600</c:v>
                </c:pt>
                <c:pt idx="15">
                  <c:v>214700</c:v>
                </c:pt>
                <c:pt idx="16">
                  <c:v>214900</c:v>
                </c:pt>
                <c:pt idx="17">
                  <c:v>214900</c:v>
                </c:pt>
                <c:pt idx="18">
                  <c:v>214800</c:v>
                </c:pt>
                <c:pt idx="19">
                  <c:v>215800</c:v>
                </c:pt>
                <c:pt idx="20">
                  <c:v>215900</c:v>
                </c:pt>
                <c:pt idx="21">
                  <c:v>216500</c:v>
                </c:pt>
                <c:pt idx="22">
                  <c:v>216900</c:v>
                </c:pt>
                <c:pt idx="23">
                  <c:v>218300</c:v>
                </c:pt>
                <c:pt idx="24">
                  <c:v>220200</c:v>
                </c:pt>
                <c:pt idx="25">
                  <c:v>220400</c:v>
                </c:pt>
                <c:pt idx="26">
                  <c:v>220800</c:v>
                </c:pt>
                <c:pt idx="27">
                  <c:v>221700</c:v>
                </c:pt>
                <c:pt idx="28">
                  <c:v>223500</c:v>
                </c:pt>
                <c:pt idx="29">
                  <c:v>224200</c:v>
                </c:pt>
                <c:pt idx="30">
                  <c:v>224900</c:v>
                </c:pt>
                <c:pt idx="31">
                  <c:v>225700</c:v>
                </c:pt>
                <c:pt idx="32">
                  <c:v>225700</c:v>
                </c:pt>
                <c:pt idx="33">
                  <c:v>227700</c:v>
                </c:pt>
                <c:pt idx="34">
                  <c:v>228900</c:v>
                </c:pt>
                <c:pt idx="35">
                  <c:v>229800</c:v>
                </c:pt>
                <c:pt idx="36">
                  <c:v>230800</c:v>
                </c:pt>
                <c:pt idx="37">
                  <c:v>232400</c:v>
                </c:pt>
                <c:pt idx="38">
                  <c:v>233000</c:v>
                </c:pt>
                <c:pt idx="39">
                  <c:v>234500</c:v>
                </c:pt>
                <c:pt idx="40">
                  <c:v>235000</c:v>
                </c:pt>
                <c:pt idx="41">
                  <c:v>236500</c:v>
                </c:pt>
                <c:pt idx="42">
                  <c:v>238300</c:v>
                </c:pt>
                <c:pt idx="43">
                  <c:v>239000</c:v>
                </c:pt>
                <c:pt idx="44">
                  <c:v>239800</c:v>
                </c:pt>
                <c:pt idx="45">
                  <c:v>240800</c:v>
                </c:pt>
                <c:pt idx="46">
                  <c:v>241100</c:v>
                </c:pt>
                <c:pt idx="47">
                  <c:v>242000</c:v>
                </c:pt>
                <c:pt idx="48">
                  <c:v>241900</c:v>
                </c:pt>
                <c:pt idx="49">
                  <c:v>242000</c:v>
                </c:pt>
                <c:pt idx="50">
                  <c:v>242700</c:v>
                </c:pt>
                <c:pt idx="51">
                  <c:v>243500</c:v>
                </c:pt>
                <c:pt idx="52">
                  <c:v>243700</c:v>
                </c:pt>
                <c:pt idx="53">
                  <c:v>244500</c:v>
                </c:pt>
                <c:pt idx="54">
                  <c:v>245500</c:v>
                </c:pt>
                <c:pt idx="55">
                  <c:v>245500</c:v>
                </c:pt>
                <c:pt idx="56">
                  <c:v>246300</c:v>
                </c:pt>
                <c:pt idx="57">
                  <c:v>247400</c:v>
                </c:pt>
                <c:pt idx="58">
                  <c:v>248000</c:v>
                </c:pt>
                <c:pt idx="59">
                  <c:v>249000</c:v>
                </c:pt>
                <c:pt idx="60">
                  <c:v>249500</c:v>
                </c:pt>
                <c:pt idx="61">
                  <c:v>249900</c:v>
                </c:pt>
                <c:pt idx="62">
                  <c:v>250700</c:v>
                </c:pt>
                <c:pt idx="63">
                  <c:v>252400</c:v>
                </c:pt>
                <c:pt idx="64">
                  <c:v>253000</c:v>
                </c:pt>
                <c:pt idx="65">
                  <c:v>253400</c:v>
                </c:pt>
                <c:pt idx="66">
                  <c:v>253900</c:v>
                </c:pt>
                <c:pt idx="67">
                  <c:v>254700</c:v>
                </c:pt>
                <c:pt idx="68">
                  <c:v>256600.00000000003</c:v>
                </c:pt>
                <c:pt idx="69">
                  <c:v>255600</c:v>
                </c:pt>
                <c:pt idx="70">
                  <c:v>256600.00000000003</c:v>
                </c:pt>
                <c:pt idx="71">
                  <c:v>256700</c:v>
                </c:pt>
                <c:pt idx="72">
                  <c:v>257600.00000000003</c:v>
                </c:pt>
                <c:pt idx="73">
                  <c:v>259200</c:v>
                </c:pt>
                <c:pt idx="74">
                  <c:v>258700</c:v>
                </c:pt>
                <c:pt idx="75">
                  <c:v>257800</c:v>
                </c:pt>
                <c:pt idx="76">
                  <c:v>258300</c:v>
                </c:pt>
                <c:pt idx="77">
                  <c:v>258000</c:v>
                </c:pt>
                <c:pt idx="78">
                  <c:v>257600.00000000003</c:v>
                </c:pt>
                <c:pt idx="79">
                  <c:v>258300</c:v>
                </c:pt>
                <c:pt idx="80">
                  <c:v>259200</c:v>
                </c:pt>
                <c:pt idx="81">
                  <c:v>260200</c:v>
                </c:pt>
                <c:pt idx="82">
                  <c:v>261000</c:v>
                </c:pt>
                <c:pt idx="83">
                  <c:v>262000</c:v>
                </c:pt>
                <c:pt idx="84">
                  <c:v>264700</c:v>
                </c:pt>
                <c:pt idx="85">
                  <c:v>265100</c:v>
                </c:pt>
                <c:pt idx="86">
                  <c:v>264900</c:v>
                </c:pt>
                <c:pt idx="87">
                  <c:v>268600</c:v>
                </c:pt>
                <c:pt idx="88">
                  <c:v>268500</c:v>
                </c:pt>
                <c:pt idx="89">
                  <c:v>268500</c:v>
                </c:pt>
                <c:pt idx="90">
                  <c:v>271600</c:v>
                </c:pt>
                <c:pt idx="91">
                  <c:v>273500</c:v>
                </c:pt>
                <c:pt idx="92">
                  <c:v>274600</c:v>
                </c:pt>
                <c:pt idx="93">
                  <c:v>272000</c:v>
                </c:pt>
                <c:pt idx="94">
                  <c:v>272500</c:v>
                </c:pt>
                <c:pt idx="95">
                  <c:v>273300</c:v>
                </c:pt>
                <c:pt idx="96">
                  <c:v>272800</c:v>
                </c:pt>
                <c:pt idx="97">
                  <c:v>273000</c:v>
                </c:pt>
                <c:pt idx="98">
                  <c:v>273700</c:v>
                </c:pt>
                <c:pt idx="99">
                  <c:v>273300</c:v>
                </c:pt>
                <c:pt idx="100">
                  <c:v>274000</c:v>
                </c:pt>
                <c:pt idx="101">
                  <c:v>274200</c:v>
                </c:pt>
                <c:pt idx="102">
                  <c:v>274900</c:v>
                </c:pt>
                <c:pt idx="103">
                  <c:v>275100</c:v>
                </c:pt>
                <c:pt idx="104">
                  <c:v>275300</c:v>
                </c:pt>
                <c:pt idx="105">
                  <c:v>276400</c:v>
                </c:pt>
                <c:pt idx="106">
                  <c:v>276900</c:v>
                </c:pt>
                <c:pt idx="107">
                  <c:v>276900</c:v>
                </c:pt>
                <c:pt idx="108">
                  <c:v>276300</c:v>
                </c:pt>
                <c:pt idx="109">
                  <c:v>276800</c:v>
                </c:pt>
                <c:pt idx="110">
                  <c:v>276500</c:v>
                </c:pt>
                <c:pt idx="111">
                  <c:v>276400</c:v>
                </c:pt>
                <c:pt idx="112">
                  <c:v>277200</c:v>
                </c:pt>
                <c:pt idx="113">
                  <c:v>278300</c:v>
                </c:pt>
                <c:pt idx="114">
                  <c:v>278600</c:v>
                </c:pt>
                <c:pt idx="115">
                  <c:v>279700</c:v>
                </c:pt>
                <c:pt idx="116">
                  <c:v>280200</c:v>
                </c:pt>
                <c:pt idx="117">
                  <c:v>282200</c:v>
                </c:pt>
                <c:pt idx="118">
                  <c:v>283700</c:v>
                </c:pt>
                <c:pt idx="119">
                  <c:v>284800</c:v>
                </c:pt>
                <c:pt idx="120">
                  <c:v>288200</c:v>
                </c:pt>
                <c:pt idx="121">
                  <c:v>287800</c:v>
                </c:pt>
                <c:pt idx="122">
                  <c:v>288800</c:v>
                </c:pt>
                <c:pt idx="123">
                  <c:v>291500</c:v>
                </c:pt>
                <c:pt idx="124">
                  <c:v>292300</c:v>
                </c:pt>
                <c:pt idx="125">
                  <c:v>292700</c:v>
                </c:pt>
                <c:pt idx="126">
                  <c:v>294300</c:v>
                </c:pt>
                <c:pt idx="127">
                  <c:v>294300</c:v>
                </c:pt>
                <c:pt idx="128">
                  <c:v>295500</c:v>
                </c:pt>
                <c:pt idx="129">
                  <c:v>296800</c:v>
                </c:pt>
                <c:pt idx="130">
                  <c:v>296000</c:v>
                </c:pt>
                <c:pt idx="131">
                  <c:v>296200</c:v>
                </c:pt>
                <c:pt idx="132">
                  <c:v>294700</c:v>
                </c:pt>
                <c:pt idx="133">
                  <c:v>294800</c:v>
                </c:pt>
                <c:pt idx="134">
                  <c:v>295000</c:v>
                </c:pt>
                <c:pt idx="135">
                  <c:v>295800</c:v>
                </c:pt>
                <c:pt idx="136">
                  <c:v>296600</c:v>
                </c:pt>
                <c:pt idx="137">
                  <c:v>297900</c:v>
                </c:pt>
                <c:pt idx="138">
                  <c:v>298400</c:v>
                </c:pt>
                <c:pt idx="139">
                  <c:v>299200</c:v>
                </c:pt>
                <c:pt idx="140">
                  <c:v>299800</c:v>
                </c:pt>
                <c:pt idx="141">
                  <c:v>299400</c:v>
                </c:pt>
                <c:pt idx="142">
                  <c:v>300400</c:v>
                </c:pt>
                <c:pt idx="143">
                  <c:v>301700</c:v>
                </c:pt>
                <c:pt idx="144">
                  <c:v>304300</c:v>
                </c:pt>
                <c:pt idx="145">
                  <c:v>304500</c:v>
                </c:pt>
                <c:pt idx="146">
                  <c:v>305800</c:v>
                </c:pt>
                <c:pt idx="147">
                  <c:v>304600</c:v>
                </c:pt>
                <c:pt idx="148">
                  <c:v>305100</c:v>
                </c:pt>
                <c:pt idx="149">
                  <c:v>305400</c:v>
                </c:pt>
                <c:pt idx="150">
                  <c:v>307000</c:v>
                </c:pt>
                <c:pt idx="151">
                  <c:v>308600</c:v>
                </c:pt>
                <c:pt idx="152">
                  <c:v>309100</c:v>
                </c:pt>
                <c:pt idx="153">
                  <c:v>312700</c:v>
                </c:pt>
                <c:pt idx="154">
                  <c:v>313600</c:v>
                </c:pt>
                <c:pt idx="155">
                  <c:v>314400</c:v>
                </c:pt>
                <c:pt idx="156">
                  <c:v>314200</c:v>
                </c:pt>
                <c:pt idx="157">
                  <c:v>315000</c:v>
                </c:pt>
                <c:pt idx="158">
                  <c:v>316100</c:v>
                </c:pt>
                <c:pt idx="159">
                  <c:v>316700</c:v>
                </c:pt>
                <c:pt idx="160">
                  <c:v>315900</c:v>
                </c:pt>
                <c:pt idx="161">
                  <c:v>315500</c:v>
                </c:pt>
                <c:pt idx="162">
                  <c:v>313500</c:v>
                </c:pt>
                <c:pt idx="163">
                  <c:v>312500</c:v>
                </c:pt>
                <c:pt idx="164">
                  <c:v>313400</c:v>
                </c:pt>
                <c:pt idx="165">
                  <c:v>312900</c:v>
                </c:pt>
                <c:pt idx="166">
                  <c:v>311600</c:v>
                </c:pt>
                <c:pt idx="167">
                  <c:v>313700</c:v>
                </c:pt>
                <c:pt idx="168">
                  <c:v>316800</c:v>
                </c:pt>
                <c:pt idx="169">
                  <c:v>317200</c:v>
                </c:pt>
                <c:pt idx="170">
                  <c:v>316600</c:v>
                </c:pt>
                <c:pt idx="171">
                  <c:v>318600</c:v>
                </c:pt>
                <c:pt idx="172">
                  <c:v>319900</c:v>
                </c:pt>
                <c:pt idx="173">
                  <c:v>321600</c:v>
                </c:pt>
                <c:pt idx="174">
                  <c:v>322700</c:v>
                </c:pt>
                <c:pt idx="175">
                  <c:v>323600</c:v>
                </c:pt>
                <c:pt idx="176">
                  <c:v>322400</c:v>
                </c:pt>
                <c:pt idx="177">
                  <c:v>322600</c:v>
                </c:pt>
                <c:pt idx="178">
                  <c:v>324100</c:v>
                </c:pt>
                <c:pt idx="179">
                  <c:v>323700</c:v>
                </c:pt>
                <c:pt idx="180">
                  <c:v>325200</c:v>
                </c:pt>
                <c:pt idx="181">
                  <c:v>324400</c:v>
                </c:pt>
                <c:pt idx="182">
                  <c:v>323900</c:v>
                </c:pt>
                <c:pt idx="183">
                  <c:v>325300</c:v>
                </c:pt>
                <c:pt idx="184">
                  <c:v>325800</c:v>
                </c:pt>
                <c:pt idx="185">
                  <c:v>324600</c:v>
                </c:pt>
                <c:pt idx="186">
                  <c:v>326900</c:v>
                </c:pt>
                <c:pt idx="187">
                  <c:v>327000</c:v>
                </c:pt>
                <c:pt idx="188">
                  <c:v>328500</c:v>
                </c:pt>
                <c:pt idx="189">
                  <c:v>326100</c:v>
                </c:pt>
                <c:pt idx="190">
                  <c:v>325400</c:v>
                </c:pt>
                <c:pt idx="191">
                  <c:v>326100</c:v>
                </c:pt>
                <c:pt idx="192">
                  <c:v>323100</c:v>
                </c:pt>
                <c:pt idx="193">
                  <c:v>324000</c:v>
                </c:pt>
                <c:pt idx="194">
                  <c:v>325300</c:v>
                </c:pt>
                <c:pt idx="195">
                  <c:v>325200</c:v>
                </c:pt>
                <c:pt idx="196">
                  <c:v>326400</c:v>
                </c:pt>
                <c:pt idx="197">
                  <c:v>328300</c:v>
                </c:pt>
                <c:pt idx="198">
                  <c:v>328300</c:v>
                </c:pt>
                <c:pt idx="199">
                  <c:v>329400</c:v>
                </c:pt>
                <c:pt idx="200">
                  <c:v>331100</c:v>
                </c:pt>
                <c:pt idx="201">
                  <c:v>332300</c:v>
                </c:pt>
                <c:pt idx="202">
                  <c:v>333000</c:v>
                </c:pt>
                <c:pt idx="203">
                  <c:v>334000</c:v>
                </c:pt>
                <c:pt idx="204">
                  <c:v>335800</c:v>
                </c:pt>
                <c:pt idx="205">
                  <c:v>336700</c:v>
                </c:pt>
                <c:pt idx="206">
                  <c:v>338800</c:v>
                </c:pt>
                <c:pt idx="207">
                  <c:v>336000</c:v>
                </c:pt>
                <c:pt idx="208">
                  <c:v>335300</c:v>
                </c:pt>
                <c:pt idx="209">
                  <c:v>335300</c:v>
                </c:pt>
                <c:pt idx="210">
                  <c:v>333400</c:v>
                </c:pt>
                <c:pt idx="211">
                  <c:v>332700</c:v>
                </c:pt>
                <c:pt idx="212">
                  <c:v>333400</c:v>
                </c:pt>
                <c:pt idx="213">
                  <c:v>334100</c:v>
                </c:pt>
                <c:pt idx="214">
                  <c:v>335000</c:v>
                </c:pt>
                <c:pt idx="215">
                  <c:v>336300</c:v>
                </c:pt>
                <c:pt idx="216">
                  <c:v>335300</c:v>
                </c:pt>
                <c:pt idx="217">
                  <c:v>334900</c:v>
                </c:pt>
                <c:pt idx="218">
                  <c:v>334700</c:v>
                </c:pt>
                <c:pt idx="219">
                  <c:v>331000</c:v>
                </c:pt>
                <c:pt idx="220">
                  <c:v>329100</c:v>
                </c:pt>
                <c:pt idx="221">
                  <c:v>327000</c:v>
                </c:pt>
                <c:pt idx="222">
                  <c:v>324800</c:v>
                </c:pt>
                <c:pt idx="223">
                  <c:v>322800</c:v>
                </c:pt>
                <c:pt idx="224">
                  <c:v>319000</c:v>
                </c:pt>
                <c:pt idx="225">
                  <c:v>315200</c:v>
                </c:pt>
                <c:pt idx="226">
                  <c:v>311600</c:v>
                </c:pt>
                <c:pt idx="227">
                  <c:v>308300</c:v>
                </c:pt>
                <c:pt idx="228">
                  <c:v>306400</c:v>
                </c:pt>
                <c:pt idx="229">
                  <c:v>304200</c:v>
                </c:pt>
                <c:pt idx="230">
                  <c:v>303300</c:v>
                </c:pt>
                <c:pt idx="231">
                  <c:v>302300</c:v>
                </c:pt>
                <c:pt idx="232">
                  <c:v>302000</c:v>
                </c:pt>
                <c:pt idx="233">
                  <c:v>300400</c:v>
                </c:pt>
                <c:pt idx="234">
                  <c:v>299800</c:v>
                </c:pt>
                <c:pt idx="235">
                  <c:v>299500</c:v>
                </c:pt>
                <c:pt idx="236">
                  <c:v>298900</c:v>
                </c:pt>
                <c:pt idx="237">
                  <c:v>299300</c:v>
                </c:pt>
                <c:pt idx="238">
                  <c:v>298800</c:v>
                </c:pt>
                <c:pt idx="239">
                  <c:v>298300</c:v>
                </c:pt>
                <c:pt idx="240">
                  <c:v>297600</c:v>
                </c:pt>
                <c:pt idx="241">
                  <c:v>297600</c:v>
                </c:pt>
                <c:pt idx="242">
                  <c:v>297700</c:v>
                </c:pt>
                <c:pt idx="243">
                  <c:v>297400</c:v>
                </c:pt>
                <c:pt idx="244">
                  <c:v>297400</c:v>
                </c:pt>
                <c:pt idx="245">
                  <c:v>297400</c:v>
                </c:pt>
                <c:pt idx="246">
                  <c:v>297500</c:v>
                </c:pt>
                <c:pt idx="247">
                  <c:v>297300</c:v>
                </c:pt>
                <c:pt idx="248">
                  <c:v>295900</c:v>
                </c:pt>
                <c:pt idx="249">
                  <c:v>298100</c:v>
                </c:pt>
                <c:pt idx="250">
                  <c:v>297100</c:v>
                </c:pt>
                <c:pt idx="251">
                  <c:v>296100</c:v>
                </c:pt>
                <c:pt idx="252">
                  <c:v>294100</c:v>
                </c:pt>
                <c:pt idx="253">
                  <c:v>294200</c:v>
                </c:pt>
                <c:pt idx="254">
                  <c:v>294700</c:v>
                </c:pt>
                <c:pt idx="255">
                  <c:v>295300</c:v>
                </c:pt>
                <c:pt idx="256">
                  <c:v>295500</c:v>
                </c:pt>
                <c:pt idx="257">
                  <c:v>293800</c:v>
                </c:pt>
                <c:pt idx="258">
                  <c:v>296100</c:v>
                </c:pt>
                <c:pt idx="259">
                  <c:v>296500</c:v>
                </c:pt>
                <c:pt idx="260">
                  <c:v>296400</c:v>
                </c:pt>
                <c:pt idx="261">
                  <c:v>296700</c:v>
                </c:pt>
                <c:pt idx="262">
                  <c:v>297300</c:v>
                </c:pt>
                <c:pt idx="263">
                  <c:v>298100</c:v>
                </c:pt>
                <c:pt idx="264">
                  <c:v>299600</c:v>
                </c:pt>
                <c:pt idx="265">
                  <c:v>299300</c:v>
                </c:pt>
                <c:pt idx="266">
                  <c:v>299800</c:v>
                </c:pt>
                <c:pt idx="267">
                  <c:v>301200</c:v>
                </c:pt>
                <c:pt idx="268">
                  <c:v>301000</c:v>
                </c:pt>
                <c:pt idx="269">
                  <c:v>301800</c:v>
                </c:pt>
                <c:pt idx="270">
                  <c:v>301600</c:v>
                </c:pt>
                <c:pt idx="271">
                  <c:v>301700</c:v>
                </c:pt>
                <c:pt idx="272">
                  <c:v>302800</c:v>
                </c:pt>
                <c:pt idx="273">
                  <c:v>303300</c:v>
                </c:pt>
                <c:pt idx="274">
                  <c:v>303300</c:v>
                </c:pt>
                <c:pt idx="275">
                  <c:v>303700</c:v>
                </c:pt>
                <c:pt idx="276">
                  <c:v>304200</c:v>
                </c:pt>
                <c:pt idx="277">
                  <c:v>304500</c:v>
                </c:pt>
                <c:pt idx="278">
                  <c:v>304700</c:v>
                </c:pt>
                <c:pt idx="279">
                  <c:v>306200</c:v>
                </c:pt>
                <c:pt idx="280">
                  <c:v>307100</c:v>
                </c:pt>
                <c:pt idx="281">
                  <c:v>308200</c:v>
                </c:pt>
                <c:pt idx="282">
                  <c:v>309500</c:v>
                </c:pt>
                <c:pt idx="283">
                  <c:v>310800</c:v>
                </c:pt>
                <c:pt idx="284">
                  <c:v>312100</c:v>
                </c:pt>
                <c:pt idx="285">
                  <c:v>313200</c:v>
                </c:pt>
                <c:pt idx="286">
                  <c:v>314800</c:v>
                </c:pt>
                <c:pt idx="287">
                  <c:v>315500</c:v>
                </c:pt>
                <c:pt idx="288">
                  <c:v>318100</c:v>
                </c:pt>
                <c:pt idx="289">
                  <c:v>319700</c:v>
                </c:pt>
                <c:pt idx="290">
                  <c:v>321300</c:v>
                </c:pt>
                <c:pt idx="291">
                  <c:v>321400</c:v>
                </c:pt>
                <c:pt idx="292">
                  <c:v>321900</c:v>
                </c:pt>
                <c:pt idx="293">
                  <c:v>322100</c:v>
                </c:pt>
                <c:pt idx="294">
                  <c:v>323200</c:v>
                </c:pt>
                <c:pt idx="295">
                  <c:v>324500</c:v>
                </c:pt>
                <c:pt idx="296">
                  <c:v>325300</c:v>
                </c:pt>
                <c:pt idx="297">
                  <c:v>326200</c:v>
                </c:pt>
                <c:pt idx="298">
                  <c:v>326600</c:v>
                </c:pt>
                <c:pt idx="299">
                  <c:v>326900</c:v>
                </c:pt>
                <c:pt idx="300">
                  <c:v>327100</c:v>
                </c:pt>
                <c:pt idx="301">
                  <c:v>327700</c:v>
                </c:pt>
                <c:pt idx="302">
                  <c:v>328700</c:v>
                </c:pt>
                <c:pt idx="303">
                  <c:v>329500</c:v>
                </c:pt>
                <c:pt idx="304">
                  <c:v>331300</c:v>
                </c:pt>
                <c:pt idx="305">
                  <c:v>333100</c:v>
                </c:pt>
                <c:pt idx="306">
                  <c:v>334400</c:v>
                </c:pt>
                <c:pt idx="307">
                  <c:v>336100</c:v>
                </c:pt>
                <c:pt idx="308">
                  <c:v>336900</c:v>
                </c:pt>
                <c:pt idx="309">
                  <c:v>338200</c:v>
                </c:pt>
                <c:pt idx="310">
                  <c:v>340300</c:v>
                </c:pt>
                <c:pt idx="311">
                  <c:v>341600</c:v>
                </c:pt>
                <c:pt idx="312">
                  <c:v>343200</c:v>
                </c:pt>
                <c:pt idx="313">
                  <c:v>344700</c:v>
                </c:pt>
                <c:pt idx="314">
                  <c:v>346100</c:v>
                </c:pt>
                <c:pt idx="315">
                  <c:v>346800</c:v>
                </c:pt>
                <c:pt idx="316">
                  <c:v>347800</c:v>
                </c:pt>
                <c:pt idx="317">
                  <c:v>348300</c:v>
                </c:pt>
                <c:pt idx="318">
                  <c:v>350000</c:v>
                </c:pt>
                <c:pt idx="319">
                  <c:v>350600</c:v>
                </c:pt>
                <c:pt idx="320">
                  <c:v>352700</c:v>
                </c:pt>
                <c:pt idx="321">
                  <c:v>354500</c:v>
                </c:pt>
                <c:pt idx="322">
                  <c:v>355900</c:v>
                </c:pt>
                <c:pt idx="323">
                  <c:v>356000</c:v>
                </c:pt>
                <c:pt idx="324">
                  <c:v>361600</c:v>
                </c:pt>
                <c:pt idx="325">
                  <c:v>361000</c:v>
                </c:pt>
                <c:pt idx="326">
                  <c:v>357900</c:v>
                </c:pt>
                <c:pt idx="327">
                  <c:v>358800</c:v>
                </c:pt>
                <c:pt idx="328">
                  <c:v>359000</c:v>
                </c:pt>
                <c:pt idx="329">
                  <c:v>365100</c:v>
                </c:pt>
                <c:pt idx="330">
                  <c:v>368800</c:v>
                </c:pt>
                <c:pt idx="331">
                  <c:v>372100</c:v>
                </c:pt>
                <c:pt idx="332">
                  <c:v>363400</c:v>
                </c:pt>
                <c:pt idx="333">
                  <c:v>371500</c:v>
                </c:pt>
                <c:pt idx="334">
                  <c:v>369400</c:v>
                </c:pt>
              </c:numCache>
            </c:numRef>
          </c:val>
          <c:smooth val="0"/>
          <c:extLst>
            <c:ext xmlns:c16="http://schemas.microsoft.com/office/drawing/2014/chart" uri="{C3380CC4-5D6E-409C-BE32-E72D297353CC}">
              <c16:uniqueId val="{00000000-D674-473F-B623-2EBB4A1265DD}"/>
            </c:ext>
          </c:extLst>
        </c:ser>
        <c:dLbls>
          <c:showLegendKey val="0"/>
          <c:showVal val="0"/>
          <c:showCatName val="0"/>
          <c:showSerName val="0"/>
          <c:showPercent val="0"/>
          <c:showBubbleSize val="0"/>
        </c:dLbls>
        <c:smooth val="0"/>
        <c:axId val="551706408"/>
        <c:axId val="551706800"/>
      </c:lineChart>
      <c:dateAx>
        <c:axId val="551706408"/>
        <c:scaling>
          <c:orientation val="minMax"/>
        </c:scaling>
        <c:delete val="0"/>
        <c:axPos val="b"/>
        <c:numFmt formatCode="mmm\-yy"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51706800"/>
        <c:crosses val="autoZero"/>
        <c:auto val="1"/>
        <c:lblOffset val="100"/>
        <c:baseTimeUnit val="months"/>
      </c:dateAx>
      <c:valAx>
        <c:axId val="551706800"/>
        <c:scaling>
          <c:orientation val="minMax"/>
          <c:min val="200000"/>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51706408"/>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spPr>
            <a:ln w="28575" cap="rnd">
              <a:solidFill>
                <a:srgbClr val="003F5C"/>
              </a:solidFill>
              <a:round/>
            </a:ln>
            <a:effectLst/>
          </c:spPr>
          <c:marker>
            <c:symbol val="none"/>
          </c:marker>
          <c:cat>
            <c:numRef>
              <c:f>Govt!$A$2:$A$336</c:f>
              <c:numCache>
                <c:formatCode>mmm\-yy</c:formatCode>
                <c:ptCount val="335"/>
                <c:pt idx="0">
                  <c:v>32874</c:v>
                </c:pt>
                <c:pt idx="1">
                  <c:v>32905</c:v>
                </c:pt>
                <c:pt idx="2">
                  <c:v>32933</c:v>
                </c:pt>
                <c:pt idx="3">
                  <c:v>32964</c:v>
                </c:pt>
                <c:pt idx="4">
                  <c:v>32994</c:v>
                </c:pt>
                <c:pt idx="5">
                  <c:v>33025</c:v>
                </c:pt>
                <c:pt idx="6">
                  <c:v>33055</c:v>
                </c:pt>
                <c:pt idx="7">
                  <c:v>33086</c:v>
                </c:pt>
                <c:pt idx="8">
                  <c:v>33117</c:v>
                </c:pt>
                <c:pt idx="9">
                  <c:v>33147</c:v>
                </c:pt>
                <c:pt idx="10">
                  <c:v>33178</c:v>
                </c:pt>
                <c:pt idx="11">
                  <c:v>33208</c:v>
                </c:pt>
                <c:pt idx="12">
                  <c:v>33239</c:v>
                </c:pt>
                <c:pt idx="13">
                  <c:v>33270</c:v>
                </c:pt>
                <c:pt idx="14">
                  <c:v>33298</c:v>
                </c:pt>
                <c:pt idx="15">
                  <c:v>33329</c:v>
                </c:pt>
                <c:pt idx="16">
                  <c:v>33359</c:v>
                </c:pt>
                <c:pt idx="17">
                  <c:v>33390</c:v>
                </c:pt>
                <c:pt idx="18">
                  <c:v>33420</c:v>
                </c:pt>
                <c:pt idx="19">
                  <c:v>33451</c:v>
                </c:pt>
                <c:pt idx="20">
                  <c:v>33482</c:v>
                </c:pt>
                <c:pt idx="21">
                  <c:v>33512</c:v>
                </c:pt>
                <c:pt idx="22">
                  <c:v>33543</c:v>
                </c:pt>
                <c:pt idx="23">
                  <c:v>33573</c:v>
                </c:pt>
                <c:pt idx="24">
                  <c:v>33604</c:v>
                </c:pt>
                <c:pt idx="25">
                  <c:v>33635</c:v>
                </c:pt>
                <c:pt idx="26">
                  <c:v>33664</c:v>
                </c:pt>
                <c:pt idx="27">
                  <c:v>33695</c:v>
                </c:pt>
                <c:pt idx="28">
                  <c:v>33725</c:v>
                </c:pt>
                <c:pt idx="29">
                  <c:v>33756</c:v>
                </c:pt>
                <c:pt idx="30">
                  <c:v>33786</c:v>
                </c:pt>
                <c:pt idx="31">
                  <c:v>33817</c:v>
                </c:pt>
                <c:pt idx="32">
                  <c:v>33848</c:v>
                </c:pt>
                <c:pt idx="33">
                  <c:v>33878</c:v>
                </c:pt>
                <c:pt idx="34">
                  <c:v>33909</c:v>
                </c:pt>
                <c:pt idx="35">
                  <c:v>33939</c:v>
                </c:pt>
                <c:pt idx="36">
                  <c:v>33970</c:v>
                </c:pt>
                <c:pt idx="37">
                  <c:v>34001</c:v>
                </c:pt>
                <c:pt idx="38">
                  <c:v>34029</c:v>
                </c:pt>
                <c:pt idx="39">
                  <c:v>34060</c:v>
                </c:pt>
                <c:pt idx="40">
                  <c:v>34090</c:v>
                </c:pt>
                <c:pt idx="41">
                  <c:v>34121</c:v>
                </c:pt>
                <c:pt idx="42">
                  <c:v>34151</c:v>
                </c:pt>
                <c:pt idx="43">
                  <c:v>34182</c:v>
                </c:pt>
                <c:pt idx="44">
                  <c:v>34213</c:v>
                </c:pt>
                <c:pt idx="45">
                  <c:v>34243</c:v>
                </c:pt>
                <c:pt idx="46">
                  <c:v>34274</c:v>
                </c:pt>
                <c:pt idx="47">
                  <c:v>34304</c:v>
                </c:pt>
                <c:pt idx="48">
                  <c:v>34335</c:v>
                </c:pt>
                <c:pt idx="49">
                  <c:v>34366</c:v>
                </c:pt>
                <c:pt idx="50">
                  <c:v>34394</c:v>
                </c:pt>
                <c:pt idx="51">
                  <c:v>34425</c:v>
                </c:pt>
                <c:pt idx="52">
                  <c:v>34455</c:v>
                </c:pt>
                <c:pt idx="53">
                  <c:v>34486</c:v>
                </c:pt>
                <c:pt idx="54">
                  <c:v>34516</c:v>
                </c:pt>
                <c:pt idx="55">
                  <c:v>34547</c:v>
                </c:pt>
                <c:pt idx="56">
                  <c:v>34578</c:v>
                </c:pt>
                <c:pt idx="57">
                  <c:v>34608</c:v>
                </c:pt>
                <c:pt idx="58">
                  <c:v>34639</c:v>
                </c:pt>
                <c:pt idx="59">
                  <c:v>34669</c:v>
                </c:pt>
                <c:pt idx="60">
                  <c:v>34700</c:v>
                </c:pt>
                <c:pt idx="61">
                  <c:v>34731</c:v>
                </c:pt>
                <c:pt idx="62">
                  <c:v>34759</c:v>
                </c:pt>
                <c:pt idx="63">
                  <c:v>34790</c:v>
                </c:pt>
                <c:pt idx="64">
                  <c:v>34820</c:v>
                </c:pt>
                <c:pt idx="65">
                  <c:v>34851</c:v>
                </c:pt>
                <c:pt idx="66">
                  <c:v>34881</c:v>
                </c:pt>
                <c:pt idx="67">
                  <c:v>34912</c:v>
                </c:pt>
                <c:pt idx="68">
                  <c:v>34943</c:v>
                </c:pt>
                <c:pt idx="69">
                  <c:v>34973</c:v>
                </c:pt>
                <c:pt idx="70">
                  <c:v>35004</c:v>
                </c:pt>
                <c:pt idx="71">
                  <c:v>35034</c:v>
                </c:pt>
                <c:pt idx="72">
                  <c:v>35065</c:v>
                </c:pt>
                <c:pt idx="73">
                  <c:v>35096</c:v>
                </c:pt>
                <c:pt idx="74">
                  <c:v>35125</c:v>
                </c:pt>
                <c:pt idx="75">
                  <c:v>35156</c:v>
                </c:pt>
                <c:pt idx="76">
                  <c:v>35186</c:v>
                </c:pt>
                <c:pt idx="77">
                  <c:v>35217</c:v>
                </c:pt>
                <c:pt idx="78">
                  <c:v>35247</c:v>
                </c:pt>
                <c:pt idx="79">
                  <c:v>35278</c:v>
                </c:pt>
                <c:pt idx="80">
                  <c:v>35309</c:v>
                </c:pt>
                <c:pt idx="81">
                  <c:v>35339</c:v>
                </c:pt>
                <c:pt idx="82">
                  <c:v>35370</c:v>
                </c:pt>
                <c:pt idx="83">
                  <c:v>35400</c:v>
                </c:pt>
                <c:pt idx="84">
                  <c:v>35431</c:v>
                </c:pt>
                <c:pt idx="85">
                  <c:v>35462</c:v>
                </c:pt>
                <c:pt idx="86">
                  <c:v>35490</c:v>
                </c:pt>
                <c:pt idx="87">
                  <c:v>35521</c:v>
                </c:pt>
                <c:pt idx="88">
                  <c:v>35551</c:v>
                </c:pt>
                <c:pt idx="89">
                  <c:v>35582</c:v>
                </c:pt>
                <c:pt idx="90">
                  <c:v>35612</c:v>
                </c:pt>
                <c:pt idx="91">
                  <c:v>35643</c:v>
                </c:pt>
                <c:pt idx="92">
                  <c:v>35674</c:v>
                </c:pt>
                <c:pt idx="93">
                  <c:v>35704</c:v>
                </c:pt>
                <c:pt idx="94">
                  <c:v>35735</c:v>
                </c:pt>
                <c:pt idx="95">
                  <c:v>35765</c:v>
                </c:pt>
                <c:pt idx="96">
                  <c:v>35796</c:v>
                </c:pt>
                <c:pt idx="97">
                  <c:v>35827</c:v>
                </c:pt>
                <c:pt idx="98">
                  <c:v>35855</c:v>
                </c:pt>
                <c:pt idx="99">
                  <c:v>35886</c:v>
                </c:pt>
                <c:pt idx="100">
                  <c:v>35916</c:v>
                </c:pt>
                <c:pt idx="101">
                  <c:v>35947</c:v>
                </c:pt>
                <c:pt idx="102">
                  <c:v>35977</c:v>
                </c:pt>
                <c:pt idx="103">
                  <c:v>36008</c:v>
                </c:pt>
                <c:pt idx="104">
                  <c:v>36039</c:v>
                </c:pt>
                <c:pt idx="105">
                  <c:v>36069</c:v>
                </c:pt>
                <c:pt idx="106">
                  <c:v>36100</c:v>
                </c:pt>
                <c:pt idx="107">
                  <c:v>36130</c:v>
                </c:pt>
                <c:pt idx="108">
                  <c:v>36161</c:v>
                </c:pt>
                <c:pt idx="109">
                  <c:v>36192</c:v>
                </c:pt>
                <c:pt idx="110">
                  <c:v>36220</c:v>
                </c:pt>
                <c:pt idx="111">
                  <c:v>36251</c:v>
                </c:pt>
                <c:pt idx="112">
                  <c:v>36281</c:v>
                </c:pt>
                <c:pt idx="113">
                  <c:v>36312</c:v>
                </c:pt>
                <c:pt idx="114">
                  <c:v>36342</c:v>
                </c:pt>
                <c:pt idx="115">
                  <c:v>36373</c:v>
                </c:pt>
                <c:pt idx="116">
                  <c:v>36404</c:v>
                </c:pt>
                <c:pt idx="117">
                  <c:v>36434</c:v>
                </c:pt>
                <c:pt idx="118">
                  <c:v>36465</c:v>
                </c:pt>
                <c:pt idx="119">
                  <c:v>36495</c:v>
                </c:pt>
                <c:pt idx="120">
                  <c:v>36526</c:v>
                </c:pt>
                <c:pt idx="121">
                  <c:v>36557</c:v>
                </c:pt>
                <c:pt idx="122">
                  <c:v>36586</c:v>
                </c:pt>
                <c:pt idx="123">
                  <c:v>36617</c:v>
                </c:pt>
                <c:pt idx="124">
                  <c:v>36647</c:v>
                </c:pt>
                <c:pt idx="125">
                  <c:v>36678</c:v>
                </c:pt>
                <c:pt idx="126">
                  <c:v>36708</c:v>
                </c:pt>
                <c:pt idx="127">
                  <c:v>36739</c:v>
                </c:pt>
                <c:pt idx="128">
                  <c:v>36770</c:v>
                </c:pt>
                <c:pt idx="129">
                  <c:v>36800</c:v>
                </c:pt>
                <c:pt idx="130">
                  <c:v>36831</c:v>
                </c:pt>
                <c:pt idx="131">
                  <c:v>36861</c:v>
                </c:pt>
                <c:pt idx="132">
                  <c:v>36892</c:v>
                </c:pt>
                <c:pt idx="133">
                  <c:v>36923</c:v>
                </c:pt>
                <c:pt idx="134">
                  <c:v>36951</c:v>
                </c:pt>
                <c:pt idx="135">
                  <c:v>36982</c:v>
                </c:pt>
                <c:pt idx="136">
                  <c:v>37012</c:v>
                </c:pt>
                <c:pt idx="137">
                  <c:v>37043</c:v>
                </c:pt>
                <c:pt idx="138">
                  <c:v>37073</c:v>
                </c:pt>
                <c:pt idx="139">
                  <c:v>37104</c:v>
                </c:pt>
                <c:pt idx="140">
                  <c:v>37135</c:v>
                </c:pt>
                <c:pt idx="141">
                  <c:v>37165</c:v>
                </c:pt>
                <c:pt idx="142">
                  <c:v>37196</c:v>
                </c:pt>
                <c:pt idx="143">
                  <c:v>37226</c:v>
                </c:pt>
                <c:pt idx="144">
                  <c:v>37257</c:v>
                </c:pt>
                <c:pt idx="145">
                  <c:v>37288</c:v>
                </c:pt>
                <c:pt idx="146">
                  <c:v>37316</c:v>
                </c:pt>
                <c:pt idx="147">
                  <c:v>37347</c:v>
                </c:pt>
                <c:pt idx="148">
                  <c:v>37377</c:v>
                </c:pt>
                <c:pt idx="149">
                  <c:v>37408</c:v>
                </c:pt>
                <c:pt idx="150">
                  <c:v>37438</c:v>
                </c:pt>
                <c:pt idx="151">
                  <c:v>37469</c:v>
                </c:pt>
                <c:pt idx="152">
                  <c:v>37500</c:v>
                </c:pt>
                <c:pt idx="153">
                  <c:v>37530</c:v>
                </c:pt>
                <c:pt idx="154">
                  <c:v>37561</c:v>
                </c:pt>
                <c:pt idx="155">
                  <c:v>37591</c:v>
                </c:pt>
                <c:pt idx="156">
                  <c:v>37622</c:v>
                </c:pt>
                <c:pt idx="157">
                  <c:v>37653</c:v>
                </c:pt>
                <c:pt idx="158">
                  <c:v>37681</c:v>
                </c:pt>
                <c:pt idx="159">
                  <c:v>37712</c:v>
                </c:pt>
                <c:pt idx="160">
                  <c:v>37742</c:v>
                </c:pt>
                <c:pt idx="161">
                  <c:v>37773</c:v>
                </c:pt>
                <c:pt idx="162">
                  <c:v>37803</c:v>
                </c:pt>
                <c:pt idx="163">
                  <c:v>37834</c:v>
                </c:pt>
                <c:pt idx="164">
                  <c:v>37865</c:v>
                </c:pt>
                <c:pt idx="165">
                  <c:v>37895</c:v>
                </c:pt>
                <c:pt idx="166">
                  <c:v>37926</c:v>
                </c:pt>
                <c:pt idx="167">
                  <c:v>37956</c:v>
                </c:pt>
                <c:pt idx="168">
                  <c:v>37987</c:v>
                </c:pt>
                <c:pt idx="169">
                  <c:v>38018</c:v>
                </c:pt>
                <c:pt idx="170">
                  <c:v>38047</c:v>
                </c:pt>
                <c:pt idx="171">
                  <c:v>38078</c:v>
                </c:pt>
                <c:pt idx="172">
                  <c:v>38108</c:v>
                </c:pt>
                <c:pt idx="173">
                  <c:v>38139</c:v>
                </c:pt>
                <c:pt idx="174">
                  <c:v>38169</c:v>
                </c:pt>
                <c:pt idx="175">
                  <c:v>38200</c:v>
                </c:pt>
                <c:pt idx="176">
                  <c:v>38231</c:v>
                </c:pt>
                <c:pt idx="177">
                  <c:v>38261</c:v>
                </c:pt>
                <c:pt idx="178">
                  <c:v>38292</c:v>
                </c:pt>
                <c:pt idx="179">
                  <c:v>38322</c:v>
                </c:pt>
                <c:pt idx="180">
                  <c:v>38353</c:v>
                </c:pt>
                <c:pt idx="181">
                  <c:v>38384</c:v>
                </c:pt>
                <c:pt idx="182">
                  <c:v>38412</c:v>
                </c:pt>
                <c:pt idx="183">
                  <c:v>38443</c:v>
                </c:pt>
                <c:pt idx="184">
                  <c:v>38473</c:v>
                </c:pt>
                <c:pt idx="185">
                  <c:v>38504</c:v>
                </c:pt>
                <c:pt idx="186">
                  <c:v>38534</c:v>
                </c:pt>
                <c:pt idx="187">
                  <c:v>38565</c:v>
                </c:pt>
                <c:pt idx="188">
                  <c:v>38596</c:v>
                </c:pt>
                <c:pt idx="189">
                  <c:v>38626</c:v>
                </c:pt>
                <c:pt idx="190">
                  <c:v>38657</c:v>
                </c:pt>
                <c:pt idx="191">
                  <c:v>38687</c:v>
                </c:pt>
                <c:pt idx="192">
                  <c:v>38718</c:v>
                </c:pt>
                <c:pt idx="193">
                  <c:v>38749</c:v>
                </c:pt>
                <c:pt idx="194">
                  <c:v>38777</c:v>
                </c:pt>
                <c:pt idx="195">
                  <c:v>38808</c:v>
                </c:pt>
                <c:pt idx="196">
                  <c:v>38838</c:v>
                </c:pt>
                <c:pt idx="197">
                  <c:v>38869</c:v>
                </c:pt>
                <c:pt idx="198">
                  <c:v>38899</c:v>
                </c:pt>
                <c:pt idx="199">
                  <c:v>38930</c:v>
                </c:pt>
                <c:pt idx="200">
                  <c:v>38961</c:v>
                </c:pt>
                <c:pt idx="201">
                  <c:v>38991</c:v>
                </c:pt>
                <c:pt idx="202">
                  <c:v>39022</c:v>
                </c:pt>
                <c:pt idx="203">
                  <c:v>39052</c:v>
                </c:pt>
                <c:pt idx="204">
                  <c:v>39083</c:v>
                </c:pt>
                <c:pt idx="205">
                  <c:v>39114</c:v>
                </c:pt>
                <c:pt idx="206">
                  <c:v>39142</c:v>
                </c:pt>
                <c:pt idx="207">
                  <c:v>39173</c:v>
                </c:pt>
                <c:pt idx="208">
                  <c:v>39203</c:v>
                </c:pt>
                <c:pt idx="209">
                  <c:v>39234</c:v>
                </c:pt>
                <c:pt idx="210">
                  <c:v>39264</c:v>
                </c:pt>
                <c:pt idx="211">
                  <c:v>39295</c:v>
                </c:pt>
                <c:pt idx="212">
                  <c:v>39326</c:v>
                </c:pt>
                <c:pt idx="213">
                  <c:v>39356</c:v>
                </c:pt>
                <c:pt idx="214">
                  <c:v>39387</c:v>
                </c:pt>
                <c:pt idx="215">
                  <c:v>39417</c:v>
                </c:pt>
                <c:pt idx="216">
                  <c:v>39448</c:v>
                </c:pt>
                <c:pt idx="217">
                  <c:v>39479</c:v>
                </c:pt>
                <c:pt idx="218">
                  <c:v>39508</c:v>
                </c:pt>
                <c:pt idx="219">
                  <c:v>39539</c:v>
                </c:pt>
                <c:pt idx="220">
                  <c:v>39569</c:v>
                </c:pt>
                <c:pt idx="221">
                  <c:v>39600</c:v>
                </c:pt>
                <c:pt idx="222">
                  <c:v>39630</c:v>
                </c:pt>
                <c:pt idx="223">
                  <c:v>39661</c:v>
                </c:pt>
                <c:pt idx="224">
                  <c:v>39692</c:v>
                </c:pt>
                <c:pt idx="225">
                  <c:v>39722</c:v>
                </c:pt>
                <c:pt idx="226">
                  <c:v>39753</c:v>
                </c:pt>
                <c:pt idx="227">
                  <c:v>39783</c:v>
                </c:pt>
                <c:pt idx="228">
                  <c:v>39814</c:v>
                </c:pt>
                <c:pt idx="229">
                  <c:v>39845</c:v>
                </c:pt>
                <c:pt idx="230">
                  <c:v>39873</c:v>
                </c:pt>
                <c:pt idx="231">
                  <c:v>39904</c:v>
                </c:pt>
                <c:pt idx="232">
                  <c:v>39934</c:v>
                </c:pt>
                <c:pt idx="233">
                  <c:v>39965</c:v>
                </c:pt>
                <c:pt idx="234">
                  <c:v>39995</c:v>
                </c:pt>
                <c:pt idx="235">
                  <c:v>40026</c:v>
                </c:pt>
                <c:pt idx="236">
                  <c:v>40057</c:v>
                </c:pt>
                <c:pt idx="237">
                  <c:v>40087</c:v>
                </c:pt>
                <c:pt idx="238">
                  <c:v>40118</c:v>
                </c:pt>
                <c:pt idx="239">
                  <c:v>40148</c:v>
                </c:pt>
                <c:pt idx="240">
                  <c:v>40179</c:v>
                </c:pt>
                <c:pt idx="241">
                  <c:v>40210</c:v>
                </c:pt>
                <c:pt idx="242">
                  <c:v>40238</c:v>
                </c:pt>
                <c:pt idx="243">
                  <c:v>40269</c:v>
                </c:pt>
                <c:pt idx="244">
                  <c:v>40299</c:v>
                </c:pt>
                <c:pt idx="245">
                  <c:v>40330</c:v>
                </c:pt>
                <c:pt idx="246">
                  <c:v>40360</c:v>
                </c:pt>
                <c:pt idx="247">
                  <c:v>40391</c:v>
                </c:pt>
                <c:pt idx="248">
                  <c:v>40422</c:v>
                </c:pt>
                <c:pt idx="249">
                  <c:v>40452</c:v>
                </c:pt>
                <c:pt idx="250">
                  <c:v>40483</c:v>
                </c:pt>
                <c:pt idx="251">
                  <c:v>40513</c:v>
                </c:pt>
                <c:pt idx="252">
                  <c:v>40544</c:v>
                </c:pt>
                <c:pt idx="253">
                  <c:v>40575</c:v>
                </c:pt>
                <c:pt idx="254">
                  <c:v>40603</c:v>
                </c:pt>
                <c:pt idx="255">
                  <c:v>40634</c:v>
                </c:pt>
                <c:pt idx="256">
                  <c:v>40664</c:v>
                </c:pt>
                <c:pt idx="257">
                  <c:v>40695</c:v>
                </c:pt>
                <c:pt idx="258">
                  <c:v>40725</c:v>
                </c:pt>
                <c:pt idx="259">
                  <c:v>40756</c:v>
                </c:pt>
                <c:pt idx="260">
                  <c:v>40787</c:v>
                </c:pt>
                <c:pt idx="261">
                  <c:v>40817</c:v>
                </c:pt>
                <c:pt idx="262">
                  <c:v>40848</c:v>
                </c:pt>
                <c:pt idx="263">
                  <c:v>40878</c:v>
                </c:pt>
                <c:pt idx="264">
                  <c:v>40909</c:v>
                </c:pt>
                <c:pt idx="265">
                  <c:v>40940</c:v>
                </c:pt>
                <c:pt idx="266">
                  <c:v>40969</c:v>
                </c:pt>
                <c:pt idx="267">
                  <c:v>41000</c:v>
                </c:pt>
                <c:pt idx="268">
                  <c:v>41030</c:v>
                </c:pt>
                <c:pt idx="269">
                  <c:v>41061</c:v>
                </c:pt>
                <c:pt idx="270">
                  <c:v>41091</c:v>
                </c:pt>
                <c:pt idx="271">
                  <c:v>41122</c:v>
                </c:pt>
                <c:pt idx="272">
                  <c:v>41153</c:v>
                </c:pt>
                <c:pt idx="273">
                  <c:v>41183</c:v>
                </c:pt>
                <c:pt idx="274">
                  <c:v>41214</c:v>
                </c:pt>
                <c:pt idx="275">
                  <c:v>41244</c:v>
                </c:pt>
                <c:pt idx="276">
                  <c:v>41275</c:v>
                </c:pt>
                <c:pt idx="277">
                  <c:v>41306</c:v>
                </c:pt>
                <c:pt idx="278">
                  <c:v>41334</c:v>
                </c:pt>
                <c:pt idx="279">
                  <c:v>41365</c:v>
                </c:pt>
                <c:pt idx="280">
                  <c:v>41395</c:v>
                </c:pt>
                <c:pt idx="281">
                  <c:v>41426</c:v>
                </c:pt>
                <c:pt idx="282">
                  <c:v>41456</c:v>
                </c:pt>
                <c:pt idx="283">
                  <c:v>41487</c:v>
                </c:pt>
                <c:pt idx="284">
                  <c:v>41518</c:v>
                </c:pt>
                <c:pt idx="285">
                  <c:v>41548</c:v>
                </c:pt>
                <c:pt idx="286">
                  <c:v>41579</c:v>
                </c:pt>
                <c:pt idx="287">
                  <c:v>41609</c:v>
                </c:pt>
                <c:pt idx="288">
                  <c:v>41640</c:v>
                </c:pt>
                <c:pt idx="289">
                  <c:v>41671</c:v>
                </c:pt>
                <c:pt idx="290">
                  <c:v>41699</c:v>
                </c:pt>
                <c:pt idx="291">
                  <c:v>41730</c:v>
                </c:pt>
                <c:pt idx="292">
                  <c:v>41760</c:v>
                </c:pt>
                <c:pt idx="293">
                  <c:v>41791</c:v>
                </c:pt>
                <c:pt idx="294">
                  <c:v>41821</c:v>
                </c:pt>
                <c:pt idx="295">
                  <c:v>41852</c:v>
                </c:pt>
                <c:pt idx="296">
                  <c:v>41883</c:v>
                </c:pt>
                <c:pt idx="297">
                  <c:v>41913</c:v>
                </c:pt>
                <c:pt idx="298">
                  <c:v>41944</c:v>
                </c:pt>
                <c:pt idx="299">
                  <c:v>41974</c:v>
                </c:pt>
                <c:pt idx="300">
                  <c:v>42005</c:v>
                </c:pt>
                <c:pt idx="301">
                  <c:v>42036</c:v>
                </c:pt>
                <c:pt idx="302">
                  <c:v>42064</c:v>
                </c:pt>
                <c:pt idx="303">
                  <c:v>42095</c:v>
                </c:pt>
                <c:pt idx="304">
                  <c:v>42125</c:v>
                </c:pt>
                <c:pt idx="305">
                  <c:v>42156</c:v>
                </c:pt>
                <c:pt idx="306">
                  <c:v>42186</c:v>
                </c:pt>
                <c:pt idx="307">
                  <c:v>42217</c:v>
                </c:pt>
                <c:pt idx="308">
                  <c:v>42248</c:v>
                </c:pt>
                <c:pt idx="309">
                  <c:v>42278</c:v>
                </c:pt>
                <c:pt idx="310">
                  <c:v>42309</c:v>
                </c:pt>
                <c:pt idx="311">
                  <c:v>42339</c:v>
                </c:pt>
                <c:pt idx="312">
                  <c:v>42370</c:v>
                </c:pt>
                <c:pt idx="313">
                  <c:v>42401</c:v>
                </c:pt>
                <c:pt idx="314">
                  <c:v>42430</c:v>
                </c:pt>
                <c:pt idx="315">
                  <c:v>42461</c:v>
                </c:pt>
                <c:pt idx="316">
                  <c:v>42491</c:v>
                </c:pt>
                <c:pt idx="317">
                  <c:v>42522</c:v>
                </c:pt>
                <c:pt idx="318">
                  <c:v>42552</c:v>
                </c:pt>
                <c:pt idx="319">
                  <c:v>42583</c:v>
                </c:pt>
                <c:pt idx="320">
                  <c:v>42614</c:v>
                </c:pt>
                <c:pt idx="321">
                  <c:v>42644</c:v>
                </c:pt>
                <c:pt idx="322">
                  <c:v>42675</c:v>
                </c:pt>
                <c:pt idx="323">
                  <c:v>42705</c:v>
                </c:pt>
                <c:pt idx="324">
                  <c:v>42736</c:v>
                </c:pt>
                <c:pt idx="325">
                  <c:v>42767</c:v>
                </c:pt>
                <c:pt idx="326">
                  <c:v>42795</c:v>
                </c:pt>
                <c:pt idx="327">
                  <c:v>42826</c:v>
                </c:pt>
                <c:pt idx="328">
                  <c:v>42856</c:v>
                </c:pt>
                <c:pt idx="329">
                  <c:v>42887</c:v>
                </c:pt>
                <c:pt idx="330">
                  <c:v>42917</c:v>
                </c:pt>
                <c:pt idx="331">
                  <c:v>42948</c:v>
                </c:pt>
                <c:pt idx="332">
                  <c:v>42979</c:v>
                </c:pt>
                <c:pt idx="333">
                  <c:v>43009</c:v>
                </c:pt>
                <c:pt idx="334">
                  <c:v>43040</c:v>
                </c:pt>
              </c:numCache>
            </c:numRef>
          </c:cat>
          <c:val>
            <c:numRef>
              <c:f>Govt!$B$2:$B$336</c:f>
              <c:numCache>
                <c:formatCode>#,##0</c:formatCode>
                <c:ptCount val="335"/>
                <c:pt idx="0">
                  <c:v>826900</c:v>
                </c:pt>
                <c:pt idx="1">
                  <c:v>831800</c:v>
                </c:pt>
                <c:pt idx="2">
                  <c:v>838600</c:v>
                </c:pt>
                <c:pt idx="3">
                  <c:v>844600</c:v>
                </c:pt>
                <c:pt idx="4">
                  <c:v>858200</c:v>
                </c:pt>
                <c:pt idx="5">
                  <c:v>854100</c:v>
                </c:pt>
                <c:pt idx="6">
                  <c:v>852100</c:v>
                </c:pt>
                <c:pt idx="7">
                  <c:v>847500</c:v>
                </c:pt>
                <c:pt idx="8">
                  <c:v>843700</c:v>
                </c:pt>
                <c:pt idx="9">
                  <c:v>853600</c:v>
                </c:pt>
                <c:pt idx="10">
                  <c:v>853100</c:v>
                </c:pt>
                <c:pt idx="11">
                  <c:v>854500</c:v>
                </c:pt>
                <c:pt idx="12">
                  <c:v>857900</c:v>
                </c:pt>
                <c:pt idx="13">
                  <c:v>858400</c:v>
                </c:pt>
                <c:pt idx="14">
                  <c:v>859300</c:v>
                </c:pt>
                <c:pt idx="15">
                  <c:v>860800</c:v>
                </c:pt>
                <c:pt idx="16">
                  <c:v>864100</c:v>
                </c:pt>
                <c:pt idx="17">
                  <c:v>860000</c:v>
                </c:pt>
                <c:pt idx="18">
                  <c:v>861600</c:v>
                </c:pt>
                <c:pt idx="19">
                  <c:v>863100</c:v>
                </c:pt>
                <c:pt idx="20">
                  <c:v>849500</c:v>
                </c:pt>
                <c:pt idx="21">
                  <c:v>854600</c:v>
                </c:pt>
                <c:pt idx="22">
                  <c:v>859000</c:v>
                </c:pt>
                <c:pt idx="23">
                  <c:v>860600</c:v>
                </c:pt>
                <c:pt idx="24">
                  <c:v>863700</c:v>
                </c:pt>
                <c:pt idx="25">
                  <c:v>862300</c:v>
                </c:pt>
                <c:pt idx="26">
                  <c:v>894000</c:v>
                </c:pt>
                <c:pt idx="27">
                  <c:v>863500</c:v>
                </c:pt>
                <c:pt idx="28">
                  <c:v>868200</c:v>
                </c:pt>
                <c:pt idx="29">
                  <c:v>866800</c:v>
                </c:pt>
                <c:pt idx="30">
                  <c:v>871900</c:v>
                </c:pt>
                <c:pt idx="31">
                  <c:v>867800</c:v>
                </c:pt>
                <c:pt idx="32">
                  <c:v>870200</c:v>
                </c:pt>
                <c:pt idx="33">
                  <c:v>870100</c:v>
                </c:pt>
                <c:pt idx="34">
                  <c:v>874000</c:v>
                </c:pt>
                <c:pt idx="35">
                  <c:v>873600</c:v>
                </c:pt>
                <c:pt idx="36">
                  <c:v>873700</c:v>
                </c:pt>
                <c:pt idx="37">
                  <c:v>876300</c:v>
                </c:pt>
                <c:pt idx="38">
                  <c:v>878100</c:v>
                </c:pt>
                <c:pt idx="39">
                  <c:v>881100</c:v>
                </c:pt>
                <c:pt idx="40">
                  <c:v>879800</c:v>
                </c:pt>
                <c:pt idx="41">
                  <c:v>879100</c:v>
                </c:pt>
                <c:pt idx="42">
                  <c:v>886800</c:v>
                </c:pt>
                <c:pt idx="43">
                  <c:v>881100</c:v>
                </c:pt>
                <c:pt idx="44">
                  <c:v>872600</c:v>
                </c:pt>
                <c:pt idx="45">
                  <c:v>890200</c:v>
                </c:pt>
                <c:pt idx="46">
                  <c:v>891200</c:v>
                </c:pt>
                <c:pt idx="47">
                  <c:v>893000</c:v>
                </c:pt>
                <c:pt idx="48">
                  <c:v>897600</c:v>
                </c:pt>
                <c:pt idx="49">
                  <c:v>900200</c:v>
                </c:pt>
                <c:pt idx="50">
                  <c:v>903100</c:v>
                </c:pt>
                <c:pt idx="51">
                  <c:v>905200</c:v>
                </c:pt>
                <c:pt idx="52">
                  <c:v>905400</c:v>
                </c:pt>
                <c:pt idx="53">
                  <c:v>909500</c:v>
                </c:pt>
                <c:pt idx="54">
                  <c:v>911500</c:v>
                </c:pt>
                <c:pt idx="55">
                  <c:v>897900</c:v>
                </c:pt>
                <c:pt idx="56">
                  <c:v>911900</c:v>
                </c:pt>
                <c:pt idx="57">
                  <c:v>915200</c:v>
                </c:pt>
                <c:pt idx="58">
                  <c:v>956200</c:v>
                </c:pt>
                <c:pt idx="59">
                  <c:v>914700</c:v>
                </c:pt>
                <c:pt idx="60">
                  <c:v>913300</c:v>
                </c:pt>
                <c:pt idx="61">
                  <c:v>916600</c:v>
                </c:pt>
                <c:pt idx="62">
                  <c:v>922400</c:v>
                </c:pt>
                <c:pt idx="63">
                  <c:v>919900</c:v>
                </c:pt>
                <c:pt idx="64">
                  <c:v>922200</c:v>
                </c:pt>
                <c:pt idx="65">
                  <c:v>926500</c:v>
                </c:pt>
                <c:pt idx="66">
                  <c:v>920400</c:v>
                </c:pt>
                <c:pt idx="67">
                  <c:v>900200</c:v>
                </c:pt>
                <c:pt idx="68">
                  <c:v>919500</c:v>
                </c:pt>
                <c:pt idx="69">
                  <c:v>917700</c:v>
                </c:pt>
                <c:pt idx="70">
                  <c:v>920200</c:v>
                </c:pt>
                <c:pt idx="71">
                  <c:v>922200</c:v>
                </c:pt>
                <c:pt idx="72">
                  <c:v>921700</c:v>
                </c:pt>
                <c:pt idx="73">
                  <c:v>923500</c:v>
                </c:pt>
                <c:pt idx="74">
                  <c:v>952100</c:v>
                </c:pt>
                <c:pt idx="75">
                  <c:v>925900</c:v>
                </c:pt>
                <c:pt idx="76">
                  <c:v>925500</c:v>
                </c:pt>
                <c:pt idx="77">
                  <c:v>931400</c:v>
                </c:pt>
                <c:pt idx="78">
                  <c:v>924600</c:v>
                </c:pt>
                <c:pt idx="79">
                  <c:v>898000</c:v>
                </c:pt>
                <c:pt idx="80">
                  <c:v>929400</c:v>
                </c:pt>
                <c:pt idx="81">
                  <c:v>931000</c:v>
                </c:pt>
                <c:pt idx="82">
                  <c:v>934200</c:v>
                </c:pt>
                <c:pt idx="83">
                  <c:v>934700</c:v>
                </c:pt>
                <c:pt idx="84">
                  <c:v>941300</c:v>
                </c:pt>
                <c:pt idx="85">
                  <c:v>937900</c:v>
                </c:pt>
                <c:pt idx="86">
                  <c:v>938700</c:v>
                </c:pt>
                <c:pt idx="87">
                  <c:v>940400</c:v>
                </c:pt>
                <c:pt idx="88">
                  <c:v>941700</c:v>
                </c:pt>
                <c:pt idx="89">
                  <c:v>954600</c:v>
                </c:pt>
                <c:pt idx="90">
                  <c:v>945800</c:v>
                </c:pt>
                <c:pt idx="91">
                  <c:v>911100</c:v>
                </c:pt>
                <c:pt idx="92">
                  <c:v>943800</c:v>
                </c:pt>
                <c:pt idx="93">
                  <c:v>946800</c:v>
                </c:pt>
                <c:pt idx="94">
                  <c:v>948300</c:v>
                </c:pt>
                <c:pt idx="95">
                  <c:v>950700</c:v>
                </c:pt>
                <c:pt idx="96">
                  <c:v>956600</c:v>
                </c:pt>
                <c:pt idx="97">
                  <c:v>952800</c:v>
                </c:pt>
                <c:pt idx="98">
                  <c:v>955900</c:v>
                </c:pt>
                <c:pt idx="99">
                  <c:v>953200</c:v>
                </c:pt>
                <c:pt idx="100">
                  <c:v>955700</c:v>
                </c:pt>
                <c:pt idx="101">
                  <c:v>969200</c:v>
                </c:pt>
                <c:pt idx="102">
                  <c:v>959100</c:v>
                </c:pt>
                <c:pt idx="103">
                  <c:v>915500</c:v>
                </c:pt>
                <c:pt idx="104">
                  <c:v>957600</c:v>
                </c:pt>
                <c:pt idx="105">
                  <c:v>958400</c:v>
                </c:pt>
                <c:pt idx="106">
                  <c:v>960900</c:v>
                </c:pt>
                <c:pt idx="107">
                  <c:v>963500</c:v>
                </c:pt>
                <c:pt idx="108">
                  <c:v>957900</c:v>
                </c:pt>
                <c:pt idx="109">
                  <c:v>962100</c:v>
                </c:pt>
                <c:pt idx="110">
                  <c:v>963900</c:v>
                </c:pt>
                <c:pt idx="111">
                  <c:v>965900</c:v>
                </c:pt>
                <c:pt idx="112">
                  <c:v>967000</c:v>
                </c:pt>
                <c:pt idx="113">
                  <c:v>986500</c:v>
                </c:pt>
                <c:pt idx="114">
                  <c:v>964500</c:v>
                </c:pt>
                <c:pt idx="115">
                  <c:v>916900</c:v>
                </c:pt>
                <c:pt idx="116">
                  <c:v>966100</c:v>
                </c:pt>
                <c:pt idx="117">
                  <c:v>974800</c:v>
                </c:pt>
                <c:pt idx="118">
                  <c:v>978800</c:v>
                </c:pt>
                <c:pt idx="119">
                  <c:v>980000</c:v>
                </c:pt>
                <c:pt idx="120">
                  <c:v>983200</c:v>
                </c:pt>
                <c:pt idx="121">
                  <c:v>986300</c:v>
                </c:pt>
                <c:pt idx="122">
                  <c:v>991700</c:v>
                </c:pt>
                <c:pt idx="123">
                  <c:v>999500</c:v>
                </c:pt>
                <c:pt idx="124">
                  <c:v>1020900</c:v>
                </c:pt>
                <c:pt idx="125">
                  <c:v>978300</c:v>
                </c:pt>
                <c:pt idx="126">
                  <c:v>1004000</c:v>
                </c:pt>
                <c:pt idx="127">
                  <c:v>1039300</c:v>
                </c:pt>
                <c:pt idx="128">
                  <c:v>1000800</c:v>
                </c:pt>
                <c:pt idx="129">
                  <c:v>1003800</c:v>
                </c:pt>
                <c:pt idx="130">
                  <c:v>1005700</c:v>
                </c:pt>
                <c:pt idx="131">
                  <c:v>1008400</c:v>
                </c:pt>
                <c:pt idx="132">
                  <c:v>1007800</c:v>
                </c:pt>
                <c:pt idx="133">
                  <c:v>1012700</c:v>
                </c:pt>
                <c:pt idx="134">
                  <c:v>1016300</c:v>
                </c:pt>
                <c:pt idx="135">
                  <c:v>1019300</c:v>
                </c:pt>
                <c:pt idx="136">
                  <c:v>1022000</c:v>
                </c:pt>
                <c:pt idx="137">
                  <c:v>1007200</c:v>
                </c:pt>
                <c:pt idx="138">
                  <c:v>1026099.9999999999</c:v>
                </c:pt>
                <c:pt idx="139">
                  <c:v>1054200</c:v>
                </c:pt>
                <c:pt idx="140">
                  <c:v>1029300</c:v>
                </c:pt>
                <c:pt idx="141">
                  <c:v>1026800</c:v>
                </c:pt>
                <c:pt idx="142">
                  <c:v>1028400.0000000001</c:v>
                </c:pt>
                <c:pt idx="143">
                  <c:v>1028200</c:v>
                </c:pt>
                <c:pt idx="144">
                  <c:v>1027200</c:v>
                </c:pt>
                <c:pt idx="145">
                  <c:v>1028500</c:v>
                </c:pt>
                <c:pt idx="146">
                  <c:v>1030599.9999999999</c:v>
                </c:pt>
                <c:pt idx="147">
                  <c:v>1033200</c:v>
                </c:pt>
                <c:pt idx="148">
                  <c:v>1036400.0000000001</c:v>
                </c:pt>
                <c:pt idx="149">
                  <c:v>1023400</c:v>
                </c:pt>
                <c:pt idx="150">
                  <c:v>1038099.9999999999</c:v>
                </c:pt>
                <c:pt idx="151">
                  <c:v>1062300</c:v>
                </c:pt>
                <c:pt idx="152">
                  <c:v>1045599.9999999999</c:v>
                </c:pt>
                <c:pt idx="153">
                  <c:v>1046700</c:v>
                </c:pt>
                <c:pt idx="154">
                  <c:v>1045200</c:v>
                </c:pt>
                <c:pt idx="155">
                  <c:v>1046700</c:v>
                </c:pt>
                <c:pt idx="156">
                  <c:v>1047599.9999999999</c:v>
                </c:pt>
                <c:pt idx="157">
                  <c:v>1047800</c:v>
                </c:pt>
                <c:pt idx="158">
                  <c:v>1048600</c:v>
                </c:pt>
                <c:pt idx="159">
                  <c:v>1049400</c:v>
                </c:pt>
                <c:pt idx="160">
                  <c:v>1054400</c:v>
                </c:pt>
                <c:pt idx="161">
                  <c:v>1048800</c:v>
                </c:pt>
                <c:pt idx="162">
                  <c:v>1055800</c:v>
                </c:pt>
                <c:pt idx="163">
                  <c:v>1064600</c:v>
                </c:pt>
                <c:pt idx="164">
                  <c:v>1052600</c:v>
                </c:pt>
                <c:pt idx="165">
                  <c:v>1053400</c:v>
                </c:pt>
                <c:pt idx="166">
                  <c:v>1054700</c:v>
                </c:pt>
                <c:pt idx="167">
                  <c:v>1055400</c:v>
                </c:pt>
                <c:pt idx="168">
                  <c:v>1058400</c:v>
                </c:pt>
                <c:pt idx="169">
                  <c:v>1060800</c:v>
                </c:pt>
                <c:pt idx="170">
                  <c:v>1061200</c:v>
                </c:pt>
                <c:pt idx="171">
                  <c:v>1062500</c:v>
                </c:pt>
                <c:pt idx="172">
                  <c:v>1063800</c:v>
                </c:pt>
                <c:pt idx="173">
                  <c:v>1067100</c:v>
                </c:pt>
                <c:pt idx="174">
                  <c:v>1070400</c:v>
                </c:pt>
                <c:pt idx="175">
                  <c:v>1079700</c:v>
                </c:pt>
                <c:pt idx="176">
                  <c:v>1065400</c:v>
                </c:pt>
                <c:pt idx="177">
                  <c:v>1067000</c:v>
                </c:pt>
                <c:pt idx="178">
                  <c:v>1070900</c:v>
                </c:pt>
                <c:pt idx="179">
                  <c:v>1070500</c:v>
                </c:pt>
                <c:pt idx="180">
                  <c:v>1072000</c:v>
                </c:pt>
                <c:pt idx="181">
                  <c:v>1075200</c:v>
                </c:pt>
                <c:pt idx="182">
                  <c:v>1075300</c:v>
                </c:pt>
                <c:pt idx="183">
                  <c:v>1077700</c:v>
                </c:pt>
                <c:pt idx="184">
                  <c:v>1084000</c:v>
                </c:pt>
                <c:pt idx="185">
                  <c:v>1070800</c:v>
                </c:pt>
                <c:pt idx="186">
                  <c:v>1080700</c:v>
                </c:pt>
                <c:pt idx="187">
                  <c:v>1087000</c:v>
                </c:pt>
                <c:pt idx="188">
                  <c:v>1087200</c:v>
                </c:pt>
                <c:pt idx="189">
                  <c:v>1089500</c:v>
                </c:pt>
                <c:pt idx="190">
                  <c:v>1088600</c:v>
                </c:pt>
                <c:pt idx="191">
                  <c:v>1086800</c:v>
                </c:pt>
                <c:pt idx="192">
                  <c:v>1090400</c:v>
                </c:pt>
                <c:pt idx="193">
                  <c:v>1091000</c:v>
                </c:pt>
                <c:pt idx="194">
                  <c:v>1093100</c:v>
                </c:pt>
                <c:pt idx="195">
                  <c:v>1093100</c:v>
                </c:pt>
                <c:pt idx="196">
                  <c:v>1094200</c:v>
                </c:pt>
                <c:pt idx="197">
                  <c:v>1091100</c:v>
                </c:pt>
                <c:pt idx="198">
                  <c:v>1097400</c:v>
                </c:pt>
                <c:pt idx="199">
                  <c:v>1104500</c:v>
                </c:pt>
                <c:pt idx="200">
                  <c:v>1103500</c:v>
                </c:pt>
                <c:pt idx="201">
                  <c:v>1109300</c:v>
                </c:pt>
                <c:pt idx="202">
                  <c:v>1111700</c:v>
                </c:pt>
                <c:pt idx="203">
                  <c:v>1113000</c:v>
                </c:pt>
                <c:pt idx="204">
                  <c:v>1114400</c:v>
                </c:pt>
                <c:pt idx="205">
                  <c:v>1115400</c:v>
                </c:pt>
                <c:pt idx="206">
                  <c:v>1119700</c:v>
                </c:pt>
                <c:pt idx="207">
                  <c:v>1121700</c:v>
                </c:pt>
                <c:pt idx="208">
                  <c:v>1121700</c:v>
                </c:pt>
                <c:pt idx="209">
                  <c:v>1126000</c:v>
                </c:pt>
                <c:pt idx="210">
                  <c:v>1126200</c:v>
                </c:pt>
                <c:pt idx="211">
                  <c:v>1126400</c:v>
                </c:pt>
                <c:pt idx="212">
                  <c:v>1124100</c:v>
                </c:pt>
                <c:pt idx="213">
                  <c:v>1126100</c:v>
                </c:pt>
                <c:pt idx="214">
                  <c:v>1128000</c:v>
                </c:pt>
                <c:pt idx="215">
                  <c:v>1129000</c:v>
                </c:pt>
                <c:pt idx="216">
                  <c:v>1130000</c:v>
                </c:pt>
                <c:pt idx="217">
                  <c:v>1131200</c:v>
                </c:pt>
                <c:pt idx="218">
                  <c:v>1127400</c:v>
                </c:pt>
                <c:pt idx="219">
                  <c:v>1127900</c:v>
                </c:pt>
                <c:pt idx="220">
                  <c:v>1124400</c:v>
                </c:pt>
                <c:pt idx="221">
                  <c:v>1127000</c:v>
                </c:pt>
                <c:pt idx="222">
                  <c:v>1126800</c:v>
                </c:pt>
                <c:pt idx="223">
                  <c:v>1128200</c:v>
                </c:pt>
                <c:pt idx="224">
                  <c:v>1129300</c:v>
                </c:pt>
                <c:pt idx="225">
                  <c:v>1126200</c:v>
                </c:pt>
                <c:pt idx="226">
                  <c:v>1122600</c:v>
                </c:pt>
                <c:pt idx="227">
                  <c:v>1120400</c:v>
                </c:pt>
                <c:pt idx="228">
                  <c:v>1121000</c:v>
                </c:pt>
                <c:pt idx="229">
                  <c:v>1118500</c:v>
                </c:pt>
                <c:pt idx="230">
                  <c:v>1115300</c:v>
                </c:pt>
                <c:pt idx="231">
                  <c:v>1123400</c:v>
                </c:pt>
                <c:pt idx="232">
                  <c:v>1116100</c:v>
                </c:pt>
                <c:pt idx="233">
                  <c:v>1113900</c:v>
                </c:pt>
                <c:pt idx="234">
                  <c:v>1116400</c:v>
                </c:pt>
                <c:pt idx="235">
                  <c:v>1115000</c:v>
                </c:pt>
                <c:pt idx="236">
                  <c:v>1112000</c:v>
                </c:pt>
                <c:pt idx="237">
                  <c:v>1109300</c:v>
                </c:pt>
                <c:pt idx="238">
                  <c:v>1109700</c:v>
                </c:pt>
                <c:pt idx="239">
                  <c:v>1107000</c:v>
                </c:pt>
                <c:pt idx="240">
                  <c:v>1109200</c:v>
                </c:pt>
                <c:pt idx="241">
                  <c:v>1107400</c:v>
                </c:pt>
                <c:pt idx="242">
                  <c:v>1106100</c:v>
                </c:pt>
                <c:pt idx="243">
                  <c:v>1114000</c:v>
                </c:pt>
                <c:pt idx="244">
                  <c:v>1147600</c:v>
                </c:pt>
                <c:pt idx="245">
                  <c:v>1125100</c:v>
                </c:pt>
                <c:pt idx="246">
                  <c:v>1113500</c:v>
                </c:pt>
                <c:pt idx="247">
                  <c:v>1114200</c:v>
                </c:pt>
                <c:pt idx="248">
                  <c:v>1107900</c:v>
                </c:pt>
                <c:pt idx="249">
                  <c:v>1102800</c:v>
                </c:pt>
                <c:pt idx="250">
                  <c:v>1103600</c:v>
                </c:pt>
                <c:pt idx="251">
                  <c:v>1100400</c:v>
                </c:pt>
                <c:pt idx="252">
                  <c:v>1102900</c:v>
                </c:pt>
                <c:pt idx="253">
                  <c:v>1103600</c:v>
                </c:pt>
                <c:pt idx="254">
                  <c:v>1099900</c:v>
                </c:pt>
                <c:pt idx="255">
                  <c:v>1101600</c:v>
                </c:pt>
                <c:pt idx="256">
                  <c:v>1096300</c:v>
                </c:pt>
                <c:pt idx="257">
                  <c:v>1092100</c:v>
                </c:pt>
                <c:pt idx="258">
                  <c:v>1090700</c:v>
                </c:pt>
                <c:pt idx="259">
                  <c:v>1086600</c:v>
                </c:pt>
                <c:pt idx="260">
                  <c:v>1086400</c:v>
                </c:pt>
                <c:pt idx="261">
                  <c:v>1088100</c:v>
                </c:pt>
                <c:pt idx="262">
                  <c:v>1085700</c:v>
                </c:pt>
                <c:pt idx="263">
                  <c:v>1086100</c:v>
                </c:pt>
                <c:pt idx="264">
                  <c:v>1083000</c:v>
                </c:pt>
                <c:pt idx="265">
                  <c:v>1084000</c:v>
                </c:pt>
                <c:pt idx="266">
                  <c:v>1082300</c:v>
                </c:pt>
                <c:pt idx="267">
                  <c:v>1079300</c:v>
                </c:pt>
                <c:pt idx="268">
                  <c:v>1075600</c:v>
                </c:pt>
                <c:pt idx="269">
                  <c:v>1078900</c:v>
                </c:pt>
                <c:pt idx="270">
                  <c:v>1078100</c:v>
                </c:pt>
                <c:pt idx="271">
                  <c:v>1077900</c:v>
                </c:pt>
                <c:pt idx="272">
                  <c:v>1077500</c:v>
                </c:pt>
                <c:pt idx="273">
                  <c:v>1078600</c:v>
                </c:pt>
                <c:pt idx="274">
                  <c:v>1077200</c:v>
                </c:pt>
                <c:pt idx="275">
                  <c:v>1076800</c:v>
                </c:pt>
                <c:pt idx="276">
                  <c:v>1078900</c:v>
                </c:pt>
                <c:pt idx="277">
                  <c:v>1078100</c:v>
                </c:pt>
                <c:pt idx="278">
                  <c:v>1077800</c:v>
                </c:pt>
                <c:pt idx="279">
                  <c:v>1078000</c:v>
                </c:pt>
                <c:pt idx="280">
                  <c:v>1076200</c:v>
                </c:pt>
                <c:pt idx="281">
                  <c:v>1077500</c:v>
                </c:pt>
                <c:pt idx="282">
                  <c:v>1072100</c:v>
                </c:pt>
                <c:pt idx="283">
                  <c:v>1074400</c:v>
                </c:pt>
                <c:pt idx="284">
                  <c:v>1074800</c:v>
                </c:pt>
                <c:pt idx="285">
                  <c:v>1073700</c:v>
                </c:pt>
                <c:pt idx="286">
                  <c:v>1074700</c:v>
                </c:pt>
                <c:pt idx="287">
                  <c:v>1074500</c:v>
                </c:pt>
                <c:pt idx="288">
                  <c:v>1073500</c:v>
                </c:pt>
                <c:pt idx="289">
                  <c:v>1073700</c:v>
                </c:pt>
                <c:pt idx="290">
                  <c:v>1074700</c:v>
                </c:pt>
                <c:pt idx="291">
                  <c:v>1074000</c:v>
                </c:pt>
                <c:pt idx="292">
                  <c:v>1074300</c:v>
                </c:pt>
                <c:pt idx="293">
                  <c:v>1073700</c:v>
                </c:pt>
                <c:pt idx="294">
                  <c:v>1074600</c:v>
                </c:pt>
                <c:pt idx="295">
                  <c:v>1072800</c:v>
                </c:pt>
                <c:pt idx="296">
                  <c:v>1073400</c:v>
                </c:pt>
                <c:pt idx="297">
                  <c:v>1073900</c:v>
                </c:pt>
                <c:pt idx="298">
                  <c:v>1075200</c:v>
                </c:pt>
                <c:pt idx="299">
                  <c:v>1077300</c:v>
                </c:pt>
                <c:pt idx="300">
                  <c:v>1075500</c:v>
                </c:pt>
                <c:pt idx="301">
                  <c:v>1078000</c:v>
                </c:pt>
                <c:pt idx="302">
                  <c:v>1078600</c:v>
                </c:pt>
                <c:pt idx="303">
                  <c:v>1079400</c:v>
                </c:pt>
                <c:pt idx="304">
                  <c:v>1080300</c:v>
                </c:pt>
                <c:pt idx="305">
                  <c:v>1081100</c:v>
                </c:pt>
                <c:pt idx="306">
                  <c:v>1082400</c:v>
                </c:pt>
                <c:pt idx="307">
                  <c:v>1083700</c:v>
                </c:pt>
                <c:pt idx="308">
                  <c:v>1082100</c:v>
                </c:pt>
                <c:pt idx="309">
                  <c:v>1084700</c:v>
                </c:pt>
                <c:pt idx="310">
                  <c:v>1084600</c:v>
                </c:pt>
                <c:pt idx="311">
                  <c:v>1085200</c:v>
                </c:pt>
                <c:pt idx="312">
                  <c:v>1086400</c:v>
                </c:pt>
                <c:pt idx="313">
                  <c:v>1087900</c:v>
                </c:pt>
                <c:pt idx="314">
                  <c:v>1088800</c:v>
                </c:pt>
                <c:pt idx="315">
                  <c:v>1090600</c:v>
                </c:pt>
                <c:pt idx="316">
                  <c:v>1093300</c:v>
                </c:pt>
                <c:pt idx="317">
                  <c:v>1094600</c:v>
                </c:pt>
                <c:pt idx="318">
                  <c:v>1097500</c:v>
                </c:pt>
                <c:pt idx="319">
                  <c:v>1100200</c:v>
                </c:pt>
                <c:pt idx="320">
                  <c:v>1104000</c:v>
                </c:pt>
                <c:pt idx="321">
                  <c:v>1099200</c:v>
                </c:pt>
                <c:pt idx="322">
                  <c:v>1098500</c:v>
                </c:pt>
                <c:pt idx="323">
                  <c:v>1100100</c:v>
                </c:pt>
                <c:pt idx="324">
                  <c:v>1103300</c:v>
                </c:pt>
                <c:pt idx="325">
                  <c:v>1096600</c:v>
                </c:pt>
                <c:pt idx="326">
                  <c:v>1101000</c:v>
                </c:pt>
                <c:pt idx="327">
                  <c:v>1097300</c:v>
                </c:pt>
                <c:pt idx="328">
                  <c:v>1103800</c:v>
                </c:pt>
                <c:pt idx="329">
                  <c:v>1105300</c:v>
                </c:pt>
                <c:pt idx="330">
                  <c:v>1111000</c:v>
                </c:pt>
                <c:pt idx="331">
                  <c:v>1108800</c:v>
                </c:pt>
                <c:pt idx="332">
                  <c:v>1109000</c:v>
                </c:pt>
                <c:pt idx="333">
                  <c:v>1111500</c:v>
                </c:pt>
                <c:pt idx="334">
                  <c:v>1110700</c:v>
                </c:pt>
              </c:numCache>
            </c:numRef>
          </c:val>
          <c:smooth val="0"/>
          <c:extLst>
            <c:ext xmlns:c16="http://schemas.microsoft.com/office/drawing/2014/chart" uri="{C3380CC4-5D6E-409C-BE32-E72D297353CC}">
              <c16:uniqueId val="{00000000-021B-4703-B06E-B2B4C789229A}"/>
            </c:ext>
          </c:extLst>
        </c:ser>
        <c:dLbls>
          <c:showLegendKey val="0"/>
          <c:showVal val="0"/>
          <c:showCatName val="0"/>
          <c:showSerName val="0"/>
          <c:showPercent val="0"/>
          <c:showBubbleSize val="0"/>
        </c:dLbls>
        <c:smooth val="0"/>
        <c:axId val="390734472"/>
        <c:axId val="390734864"/>
      </c:lineChart>
      <c:dateAx>
        <c:axId val="390734472"/>
        <c:scaling>
          <c:orientation val="minMax"/>
        </c:scaling>
        <c:delete val="0"/>
        <c:axPos val="b"/>
        <c:numFmt formatCode="mmm\-yy"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90734864"/>
        <c:crosses val="autoZero"/>
        <c:auto val="1"/>
        <c:lblOffset val="100"/>
        <c:baseTimeUnit val="months"/>
      </c:dateAx>
      <c:valAx>
        <c:axId val="390734864"/>
        <c:scaling>
          <c:orientation val="minMax"/>
          <c:min val="800000"/>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90734472"/>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'Chart Data'!$B$1</c:f>
              <c:strCache>
                <c:ptCount val="1"/>
                <c:pt idx="0">
                  <c:v>SCORE</c:v>
                </c:pt>
              </c:strCache>
            </c:strRef>
          </c:tx>
          <c:spPr>
            <a:solidFill>
              <a:sysClr val="windowText" lastClr="000000">
                <a:lumMod val="75000"/>
                <a:lumOff val="25000"/>
              </a:sysClr>
            </a:solidFill>
            <a:ln>
              <a:solidFill>
                <a:schemeClr val="tx1"/>
              </a:solidFill>
            </a:ln>
            <a:effectLst/>
          </c:spPr>
          <c:invertIfNegative val="0"/>
          <c:cat>
            <c:strRef>
              <c:f>'Chart Data'!$A$2:$A$11</c:f>
              <c:strCache>
                <c:ptCount val="10"/>
                <c:pt idx="0">
                  <c:v>Oral Comprehension</c:v>
                </c:pt>
                <c:pt idx="1">
                  <c:v>Oral Expression</c:v>
                </c:pt>
                <c:pt idx="2">
                  <c:v>Problem Sensitivity</c:v>
                </c:pt>
                <c:pt idx="3">
                  <c:v>Near Vision</c:v>
                </c:pt>
                <c:pt idx="4">
                  <c:v>Written Comprehension</c:v>
                </c:pt>
                <c:pt idx="5">
                  <c:v>Deductive Reasoning</c:v>
                </c:pt>
                <c:pt idx="6">
                  <c:v>Inductive Reasoning</c:v>
                </c:pt>
                <c:pt idx="7">
                  <c:v>Speech Recognition</c:v>
                </c:pt>
                <c:pt idx="8">
                  <c:v>Speech Clarity</c:v>
                </c:pt>
                <c:pt idx="9">
                  <c:v>Arm-Hand Steadiness</c:v>
                </c:pt>
              </c:strCache>
            </c:strRef>
          </c:cat>
          <c:val>
            <c:numRef>
              <c:f>'Chart Data'!$B$2:$B$11</c:f>
              <c:numCache>
                <c:formatCode>General</c:formatCode>
                <c:ptCount val="10"/>
                <c:pt idx="0">
                  <c:v>66</c:v>
                </c:pt>
                <c:pt idx="1">
                  <c:v>64</c:v>
                </c:pt>
                <c:pt idx="2">
                  <c:v>63</c:v>
                </c:pt>
                <c:pt idx="3">
                  <c:v>61</c:v>
                </c:pt>
                <c:pt idx="4">
                  <c:v>61</c:v>
                </c:pt>
                <c:pt idx="5">
                  <c:v>60</c:v>
                </c:pt>
                <c:pt idx="6">
                  <c:v>59</c:v>
                </c:pt>
                <c:pt idx="7">
                  <c:v>55</c:v>
                </c:pt>
                <c:pt idx="8">
                  <c:v>54</c:v>
                </c:pt>
                <c:pt idx="9">
                  <c:v>40</c:v>
                </c:pt>
              </c:numCache>
            </c:numRef>
          </c:val>
          <c:extLst>
            <c:ext xmlns:c16="http://schemas.microsoft.com/office/drawing/2014/chart" uri="{C3380CC4-5D6E-409C-BE32-E72D297353CC}">
              <c16:uniqueId val="{00000000-F2D5-4FC2-A8A6-4FD76F0E0195}"/>
            </c:ext>
          </c:extLst>
        </c:ser>
        <c:dLbls>
          <c:showLegendKey val="0"/>
          <c:showVal val="0"/>
          <c:showCatName val="0"/>
          <c:showSerName val="0"/>
          <c:showPercent val="0"/>
          <c:showBubbleSize val="0"/>
        </c:dLbls>
        <c:gapWidth val="219"/>
        <c:overlap val="-27"/>
        <c:axId val="410652864"/>
        <c:axId val="383699656"/>
      </c:barChart>
      <c:catAx>
        <c:axId val="410652864"/>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n-US"/>
          </a:p>
        </c:txPr>
        <c:crossAx val="383699656"/>
        <c:crosses val="autoZero"/>
        <c:auto val="0"/>
        <c:lblAlgn val="ctr"/>
        <c:lblOffset val="100"/>
        <c:noMultiLvlLbl val="0"/>
      </c:catAx>
      <c:valAx>
        <c:axId val="383699656"/>
        <c:scaling>
          <c:orientation val="minMax"/>
          <c:max val="70"/>
          <c:min val="0"/>
        </c:scaling>
        <c:delete val="0"/>
        <c:axPos val="l"/>
        <c:title>
          <c:tx>
            <c:rich>
              <a:bodyPr rot="-5400000" spcFirstLastPara="1" vertOverflow="ellipsis" vert="horz" wrap="square" anchor="ctr" anchorCtr="1"/>
              <a:lstStyle/>
              <a:p>
                <a:pPr>
                  <a:defRPr sz="1400" b="1" i="0" u="none" strike="noStrike" kern="1200" baseline="0">
                    <a:solidFill>
                      <a:schemeClr val="tx1">
                        <a:lumMod val="65000"/>
                        <a:lumOff val="35000"/>
                      </a:schemeClr>
                    </a:solidFill>
                    <a:latin typeface="+mn-lt"/>
                    <a:ea typeface="+mn-ea"/>
                    <a:cs typeface="+mn-cs"/>
                  </a:defRPr>
                </a:pPr>
                <a:r>
                  <a:rPr lang="en-US" sz="1400" b="1"/>
                  <a:t>SCORES</a:t>
                </a:r>
              </a:p>
            </c:rich>
          </c:tx>
          <c:overlay val="0"/>
          <c:spPr>
            <a:noFill/>
            <a:ln>
              <a:noFill/>
            </a:ln>
            <a:effectLst/>
          </c:spPr>
          <c:txPr>
            <a:bodyPr rot="-5400000" spcFirstLastPara="1" vertOverflow="ellipsis" vert="horz" wrap="square" anchor="ctr" anchorCtr="1"/>
            <a:lstStyle/>
            <a:p>
              <a:pPr>
                <a:defRPr sz="1400" b="1"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n-US"/>
          </a:p>
        </c:txPr>
        <c:crossAx val="410652864"/>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'Chart Data'!$B$1</c:f>
              <c:strCache>
                <c:ptCount val="1"/>
                <c:pt idx="0">
                  <c:v>SCORES</c:v>
                </c:pt>
              </c:strCache>
            </c:strRef>
          </c:tx>
          <c:spPr>
            <a:solidFill>
              <a:schemeClr val="tx1">
                <a:lumMod val="65000"/>
                <a:lumOff val="35000"/>
              </a:schemeClr>
            </a:solidFill>
            <a:ln>
              <a:solidFill>
                <a:schemeClr val="tx1"/>
              </a:solidFill>
            </a:ln>
            <a:effectLst/>
          </c:spPr>
          <c:invertIfNegative val="0"/>
          <c:cat>
            <c:strRef>
              <c:f>'Chart Data'!$A$2:$A$11</c:f>
              <c:strCache>
                <c:ptCount val="10"/>
                <c:pt idx="0">
                  <c:v>Customer &amp; Personal Service</c:v>
                </c:pt>
                <c:pt idx="1">
                  <c:v>English Language</c:v>
                </c:pt>
                <c:pt idx="2">
                  <c:v>Administration &amp; Management</c:v>
                </c:pt>
                <c:pt idx="3">
                  <c:v>Mathematics</c:v>
                </c:pt>
                <c:pt idx="4">
                  <c:v>Education &amp; Training</c:v>
                </c:pt>
                <c:pt idx="5">
                  <c:v>Public Safety &amp; Security</c:v>
                </c:pt>
                <c:pt idx="6">
                  <c:v>Mechanical</c:v>
                </c:pt>
                <c:pt idx="7">
                  <c:v>Engineering &amp; Technology</c:v>
                </c:pt>
                <c:pt idx="8">
                  <c:v>Design</c:v>
                </c:pt>
                <c:pt idx="9">
                  <c:v>Building &amp; Construction</c:v>
                </c:pt>
              </c:strCache>
            </c:strRef>
          </c:cat>
          <c:val>
            <c:numRef>
              <c:f>'Chart Data'!$B$2:$B$11</c:f>
              <c:numCache>
                <c:formatCode>General</c:formatCode>
                <c:ptCount val="10"/>
                <c:pt idx="0">
                  <c:v>65</c:v>
                </c:pt>
                <c:pt idx="1">
                  <c:v>58</c:v>
                </c:pt>
                <c:pt idx="2">
                  <c:v>47</c:v>
                </c:pt>
                <c:pt idx="3">
                  <c:v>46</c:v>
                </c:pt>
                <c:pt idx="4">
                  <c:v>46</c:v>
                </c:pt>
                <c:pt idx="5">
                  <c:v>38</c:v>
                </c:pt>
                <c:pt idx="6">
                  <c:v>24</c:v>
                </c:pt>
                <c:pt idx="7">
                  <c:v>23</c:v>
                </c:pt>
                <c:pt idx="8">
                  <c:v>21</c:v>
                </c:pt>
                <c:pt idx="9">
                  <c:v>17</c:v>
                </c:pt>
              </c:numCache>
            </c:numRef>
          </c:val>
          <c:extLst>
            <c:ext xmlns:c16="http://schemas.microsoft.com/office/drawing/2014/chart" uri="{C3380CC4-5D6E-409C-BE32-E72D297353CC}">
              <c16:uniqueId val="{00000000-5B19-4BD8-AD79-D044017F470C}"/>
            </c:ext>
          </c:extLst>
        </c:ser>
        <c:dLbls>
          <c:showLegendKey val="0"/>
          <c:showVal val="0"/>
          <c:showCatName val="0"/>
          <c:showSerName val="0"/>
          <c:showPercent val="0"/>
          <c:showBubbleSize val="0"/>
        </c:dLbls>
        <c:gapWidth val="219"/>
        <c:overlap val="-27"/>
        <c:axId val="487409848"/>
        <c:axId val="381348968"/>
      </c:barChart>
      <c:catAx>
        <c:axId val="487409848"/>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n-US"/>
          </a:p>
        </c:txPr>
        <c:crossAx val="381348968"/>
        <c:crosses val="autoZero"/>
        <c:auto val="0"/>
        <c:lblAlgn val="ctr"/>
        <c:lblOffset val="100"/>
        <c:noMultiLvlLbl val="0"/>
      </c:catAx>
      <c:valAx>
        <c:axId val="381348968"/>
        <c:scaling>
          <c:orientation val="minMax"/>
          <c:max val="62"/>
          <c:min val="0"/>
        </c:scaling>
        <c:delete val="0"/>
        <c:axPos val="l"/>
        <c:title>
          <c:tx>
            <c:rich>
              <a:bodyPr rot="-5400000" spcFirstLastPara="1" vertOverflow="ellipsis" vert="horz" wrap="square" anchor="ctr" anchorCtr="1"/>
              <a:lstStyle/>
              <a:p>
                <a:pPr>
                  <a:defRPr sz="1400" b="1" i="0" u="none" strike="noStrike" kern="1200" baseline="0">
                    <a:solidFill>
                      <a:schemeClr val="tx1">
                        <a:lumMod val="65000"/>
                        <a:lumOff val="35000"/>
                      </a:schemeClr>
                    </a:solidFill>
                    <a:latin typeface="+mn-lt"/>
                    <a:ea typeface="+mn-ea"/>
                    <a:cs typeface="+mn-cs"/>
                  </a:defRPr>
                </a:pPr>
                <a:r>
                  <a:rPr lang="en-US" sz="1400" b="1"/>
                  <a:t>SCORES</a:t>
                </a:r>
              </a:p>
            </c:rich>
          </c:tx>
          <c:overlay val="0"/>
          <c:spPr>
            <a:noFill/>
            <a:ln>
              <a:noFill/>
            </a:ln>
            <a:effectLst/>
          </c:spPr>
          <c:txPr>
            <a:bodyPr rot="-5400000" spcFirstLastPara="1" vertOverflow="ellipsis" vert="horz" wrap="square" anchor="ctr" anchorCtr="1"/>
            <a:lstStyle/>
            <a:p>
              <a:pPr>
                <a:defRPr sz="1400" b="1"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n-US"/>
          </a:p>
        </c:txPr>
        <c:crossAx val="487409848"/>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'Chart Data'!$B$1</c:f>
              <c:strCache>
                <c:ptCount val="1"/>
                <c:pt idx="0">
                  <c:v>SCORE</c:v>
                </c:pt>
              </c:strCache>
            </c:strRef>
          </c:tx>
          <c:spPr>
            <a:solidFill>
              <a:schemeClr val="tx1">
                <a:lumMod val="75000"/>
                <a:lumOff val="25000"/>
              </a:schemeClr>
            </a:solidFill>
            <a:ln>
              <a:solidFill>
                <a:schemeClr val="tx1"/>
              </a:solidFill>
            </a:ln>
            <a:effectLst/>
          </c:spPr>
          <c:invertIfNegative val="0"/>
          <c:cat>
            <c:strRef>
              <c:f>'Chart Data'!$A$2:$A$11</c:f>
              <c:strCache>
                <c:ptCount val="10"/>
                <c:pt idx="0">
                  <c:v>Active Listening</c:v>
                </c:pt>
                <c:pt idx="1">
                  <c:v>Speaking</c:v>
                </c:pt>
                <c:pt idx="2">
                  <c:v>Critical Thinking</c:v>
                </c:pt>
                <c:pt idx="3">
                  <c:v>Reading Comprehension</c:v>
                </c:pt>
                <c:pt idx="4">
                  <c:v>Monitoring</c:v>
                </c:pt>
                <c:pt idx="5">
                  <c:v>Social Perceptiveness</c:v>
                </c:pt>
                <c:pt idx="6">
                  <c:v>Coordination</c:v>
                </c:pt>
                <c:pt idx="7">
                  <c:v>Service Orientation</c:v>
                </c:pt>
                <c:pt idx="8">
                  <c:v>Judgement &amp; Decision Making</c:v>
                </c:pt>
                <c:pt idx="9">
                  <c:v>Complex Problem Solving</c:v>
                </c:pt>
              </c:strCache>
            </c:strRef>
          </c:cat>
          <c:val>
            <c:numRef>
              <c:f>'Chart Data'!$B$2:$B$11</c:f>
              <c:numCache>
                <c:formatCode>General</c:formatCode>
                <c:ptCount val="10"/>
                <c:pt idx="0">
                  <c:v>57</c:v>
                </c:pt>
                <c:pt idx="1">
                  <c:v>55</c:v>
                </c:pt>
                <c:pt idx="2">
                  <c:v>53</c:v>
                </c:pt>
                <c:pt idx="3">
                  <c:v>53</c:v>
                </c:pt>
                <c:pt idx="4">
                  <c:v>50</c:v>
                </c:pt>
                <c:pt idx="5">
                  <c:v>50</c:v>
                </c:pt>
                <c:pt idx="6">
                  <c:v>50</c:v>
                </c:pt>
                <c:pt idx="7">
                  <c:v>49</c:v>
                </c:pt>
                <c:pt idx="8">
                  <c:v>48</c:v>
                </c:pt>
                <c:pt idx="9">
                  <c:v>46</c:v>
                </c:pt>
              </c:numCache>
            </c:numRef>
          </c:val>
          <c:extLst>
            <c:ext xmlns:c16="http://schemas.microsoft.com/office/drawing/2014/chart" uri="{C3380CC4-5D6E-409C-BE32-E72D297353CC}">
              <c16:uniqueId val="{00000000-FC50-4CD6-8BDD-67F99F66FFA3}"/>
            </c:ext>
          </c:extLst>
        </c:ser>
        <c:dLbls>
          <c:showLegendKey val="0"/>
          <c:showVal val="0"/>
          <c:showCatName val="0"/>
          <c:showSerName val="0"/>
          <c:showPercent val="0"/>
          <c:showBubbleSize val="0"/>
        </c:dLbls>
        <c:gapWidth val="219"/>
        <c:overlap val="-27"/>
        <c:axId val="381349752"/>
        <c:axId val="381350144"/>
      </c:barChart>
      <c:catAx>
        <c:axId val="381349752"/>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n-US"/>
          </a:p>
        </c:txPr>
        <c:crossAx val="381350144"/>
        <c:crosses val="autoZero"/>
        <c:auto val="0"/>
        <c:lblAlgn val="ctr"/>
        <c:lblOffset val="100"/>
        <c:noMultiLvlLbl val="0"/>
      </c:catAx>
      <c:valAx>
        <c:axId val="381350144"/>
        <c:scaling>
          <c:orientation val="minMax"/>
          <c:max val="60"/>
          <c:min val="0"/>
        </c:scaling>
        <c:delete val="0"/>
        <c:axPos val="l"/>
        <c:title>
          <c:tx>
            <c:rich>
              <a:bodyPr rot="-5400000" spcFirstLastPara="1" vertOverflow="ellipsis" vert="horz" wrap="square" anchor="ctr" anchorCtr="1"/>
              <a:lstStyle/>
              <a:p>
                <a:pPr>
                  <a:defRPr sz="1400" b="1" i="0" u="none" strike="noStrike" kern="1200" baseline="0">
                    <a:solidFill>
                      <a:schemeClr val="tx1">
                        <a:lumMod val="65000"/>
                        <a:lumOff val="35000"/>
                      </a:schemeClr>
                    </a:solidFill>
                    <a:latin typeface="+mn-lt"/>
                    <a:ea typeface="+mn-ea"/>
                    <a:cs typeface="+mn-cs"/>
                  </a:defRPr>
                </a:pPr>
                <a:r>
                  <a:rPr lang="en-US" sz="1400" b="1"/>
                  <a:t>SCORES</a:t>
                </a:r>
              </a:p>
            </c:rich>
          </c:tx>
          <c:overlay val="0"/>
          <c:spPr>
            <a:noFill/>
            <a:ln>
              <a:noFill/>
            </a:ln>
            <a:effectLst/>
          </c:spPr>
          <c:txPr>
            <a:bodyPr rot="-5400000" spcFirstLastPara="1" vertOverflow="ellipsis" vert="horz" wrap="square" anchor="ctr" anchorCtr="1"/>
            <a:lstStyle/>
            <a:p>
              <a:pPr>
                <a:defRPr sz="1400" b="1"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n-US"/>
          </a:p>
        </c:txPr>
        <c:crossAx val="381349752"/>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'Chart Data'!$B$1</c:f>
              <c:strCache>
                <c:ptCount val="1"/>
                <c:pt idx="0">
                  <c:v>SCORE</c:v>
                </c:pt>
              </c:strCache>
            </c:strRef>
          </c:tx>
          <c:spPr>
            <a:solidFill>
              <a:schemeClr val="tx1">
                <a:lumMod val="75000"/>
                <a:lumOff val="25000"/>
              </a:schemeClr>
            </a:solidFill>
            <a:ln>
              <a:solidFill>
                <a:schemeClr val="tx1"/>
              </a:solidFill>
            </a:ln>
            <a:effectLst/>
          </c:spPr>
          <c:invertIfNegative val="0"/>
          <c:cat>
            <c:strRef>
              <c:f>'Chart Data'!$A$2:$A$11</c:f>
              <c:strCache>
                <c:ptCount val="10"/>
                <c:pt idx="0">
                  <c:v>Oral Comprehension</c:v>
                </c:pt>
                <c:pt idx="1">
                  <c:v>Oral Expression</c:v>
                </c:pt>
                <c:pt idx="2">
                  <c:v>Problem Sensitivity</c:v>
                </c:pt>
                <c:pt idx="3">
                  <c:v>Near Vision</c:v>
                </c:pt>
                <c:pt idx="4">
                  <c:v>Abilities -Speech Recognition</c:v>
                </c:pt>
                <c:pt idx="5">
                  <c:v>Written Comprehension</c:v>
                </c:pt>
                <c:pt idx="6">
                  <c:v>Deductive Reasoning</c:v>
                </c:pt>
                <c:pt idx="7">
                  <c:v>Speech Clarity</c:v>
                </c:pt>
                <c:pt idx="8">
                  <c:v>Inductive Reasoning</c:v>
                </c:pt>
                <c:pt idx="9">
                  <c:v>Arm-Hand Steadiness</c:v>
                </c:pt>
              </c:strCache>
            </c:strRef>
          </c:cat>
          <c:val>
            <c:numRef>
              <c:f>'Chart Data'!$B$2:$B$11</c:f>
              <c:numCache>
                <c:formatCode>General</c:formatCode>
                <c:ptCount val="10"/>
                <c:pt idx="0">
                  <c:v>62</c:v>
                </c:pt>
                <c:pt idx="1">
                  <c:v>61</c:v>
                </c:pt>
                <c:pt idx="2">
                  <c:v>55</c:v>
                </c:pt>
                <c:pt idx="3">
                  <c:v>55</c:v>
                </c:pt>
                <c:pt idx="4">
                  <c:v>54</c:v>
                </c:pt>
                <c:pt idx="5">
                  <c:v>54</c:v>
                </c:pt>
                <c:pt idx="6">
                  <c:v>53</c:v>
                </c:pt>
                <c:pt idx="7">
                  <c:v>53</c:v>
                </c:pt>
                <c:pt idx="8">
                  <c:v>51</c:v>
                </c:pt>
                <c:pt idx="9">
                  <c:v>33</c:v>
                </c:pt>
              </c:numCache>
            </c:numRef>
          </c:val>
          <c:extLst>
            <c:ext xmlns:c16="http://schemas.microsoft.com/office/drawing/2014/chart" uri="{C3380CC4-5D6E-409C-BE32-E72D297353CC}">
              <c16:uniqueId val="{00000000-1880-4B78-860C-6716BCAC46F4}"/>
            </c:ext>
          </c:extLst>
        </c:ser>
        <c:dLbls>
          <c:showLegendKey val="0"/>
          <c:showVal val="0"/>
          <c:showCatName val="0"/>
          <c:showSerName val="0"/>
          <c:showPercent val="0"/>
          <c:showBubbleSize val="0"/>
        </c:dLbls>
        <c:gapWidth val="219"/>
        <c:overlap val="-27"/>
        <c:axId val="381350928"/>
        <c:axId val="381351320"/>
      </c:barChart>
      <c:catAx>
        <c:axId val="381350928"/>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n-US"/>
          </a:p>
        </c:txPr>
        <c:crossAx val="381351320"/>
        <c:crosses val="autoZero"/>
        <c:auto val="0"/>
        <c:lblAlgn val="ctr"/>
        <c:lblOffset val="100"/>
        <c:noMultiLvlLbl val="0"/>
      </c:catAx>
      <c:valAx>
        <c:axId val="381351320"/>
        <c:scaling>
          <c:orientation val="minMax"/>
          <c:max val="62"/>
          <c:min val="0"/>
        </c:scaling>
        <c:delete val="0"/>
        <c:axPos val="l"/>
        <c:title>
          <c:tx>
            <c:rich>
              <a:bodyPr rot="-5400000" spcFirstLastPara="1" vertOverflow="ellipsis" vert="horz" wrap="square" anchor="ctr" anchorCtr="1"/>
              <a:lstStyle/>
              <a:p>
                <a:pPr>
                  <a:defRPr sz="1400" b="1" i="0" u="none" strike="noStrike" kern="1200" baseline="0">
                    <a:solidFill>
                      <a:schemeClr val="tx1">
                        <a:lumMod val="65000"/>
                        <a:lumOff val="35000"/>
                      </a:schemeClr>
                    </a:solidFill>
                    <a:latin typeface="+mn-lt"/>
                    <a:ea typeface="+mn-ea"/>
                    <a:cs typeface="+mn-cs"/>
                  </a:defRPr>
                </a:pPr>
                <a:r>
                  <a:rPr lang="en-US" sz="1400" b="1"/>
                  <a:t>SCORES</a:t>
                </a:r>
              </a:p>
            </c:rich>
          </c:tx>
          <c:overlay val="0"/>
          <c:spPr>
            <a:noFill/>
            <a:ln>
              <a:noFill/>
            </a:ln>
            <a:effectLst/>
          </c:spPr>
          <c:txPr>
            <a:bodyPr rot="-5400000" spcFirstLastPara="1" vertOverflow="ellipsis" vert="horz" wrap="square" anchor="ctr" anchorCtr="1"/>
            <a:lstStyle/>
            <a:p>
              <a:pPr>
                <a:defRPr sz="1400" b="1"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n-US"/>
          </a:p>
        </c:txPr>
        <c:crossAx val="381350928"/>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'Chart Data'!$B$1</c:f>
              <c:strCache>
                <c:ptCount val="1"/>
                <c:pt idx="0">
                  <c:v>SCORES</c:v>
                </c:pt>
              </c:strCache>
            </c:strRef>
          </c:tx>
          <c:spPr>
            <a:solidFill>
              <a:schemeClr val="tx1">
                <a:lumMod val="75000"/>
                <a:lumOff val="25000"/>
              </a:schemeClr>
            </a:solidFill>
            <a:ln>
              <a:solidFill>
                <a:schemeClr val="tx1"/>
              </a:solidFill>
            </a:ln>
            <a:effectLst/>
          </c:spPr>
          <c:invertIfNegative val="0"/>
          <c:cat>
            <c:strRef>
              <c:f>'Chart Data'!$A$2:$A$11</c:f>
              <c:strCache>
                <c:ptCount val="10"/>
                <c:pt idx="0">
                  <c:v>Customer &amp; Personal Service</c:v>
                </c:pt>
                <c:pt idx="1">
                  <c:v>English Language</c:v>
                </c:pt>
                <c:pt idx="2">
                  <c:v>Education &amp; Training</c:v>
                </c:pt>
                <c:pt idx="3">
                  <c:v>Mathematics</c:v>
                </c:pt>
                <c:pt idx="4">
                  <c:v>Administration &amp; Management</c:v>
                </c:pt>
                <c:pt idx="5">
                  <c:v>Public Safety &amp; Security</c:v>
                </c:pt>
                <c:pt idx="6">
                  <c:v>Engineering &amp; Technology</c:v>
                </c:pt>
                <c:pt idx="7">
                  <c:v>Mechanical</c:v>
                </c:pt>
                <c:pt idx="8">
                  <c:v>Design</c:v>
                </c:pt>
                <c:pt idx="9">
                  <c:v>Building &amp; Construction</c:v>
                </c:pt>
              </c:strCache>
            </c:strRef>
          </c:cat>
          <c:val>
            <c:numRef>
              <c:f>'Chart Data'!$B$2:$B$11</c:f>
              <c:numCache>
                <c:formatCode>General</c:formatCode>
                <c:ptCount val="10"/>
                <c:pt idx="0">
                  <c:v>67</c:v>
                </c:pt>
                <c:pt idx="1">
                  <c:v>61</c:v>
                </c:pt>
                <c:pt idx="2">
                  <c:v>50</c:v>
                </c:pt>
                <c:pt idx="3">
                  <c:v>47</c:v>
                </c:pt>
                <c:pt idx="4">
                  <c:v>46</c:v>
                </c:pt>
                <c:pt idx="5">
                  <c:v>41</c:v>
                </c:pt>
                <c:pt idx="6">
                  <c:v>27</c:v>
                </c:pt>
                <c:pt idx="7">
                  <c:v>26</c:v>
                </c:pt>
                <c:pt idx="8">
                  <c:v>24</c:v>
                </c:pt>
                <c:pt idx="9">
                  <c:v>19</c:v>
                </c:pt>
              </c:numCache>
            </c:numRef>
          </c:val>
          <c:extLst>
            <c:ext xmlns:c16="http://schemas.microsoft.com/office/drawing/2014/chart" uri="{C3380CC4-5D6E-409C-BE32-E72D297353CC}">
              <c16:uniqueId val="{00000000-F59F-4E89-97CB-AF3CFBD5E131}"/>
            </c:ext>
          </c:extLst>
        </c:ser>
        <c:dLbls>
          <c:showLegendKey val="0"/>
          <c:showVal val="0"/>
          <c:showCatName val="0"/>
          <c:showSerName val="0"/>
          <c:showPercent val="0"/>
          <c:showBubbleSize val="0"/>
        </c:dLbls>
        <c:gapWidth val="219"/>
        <c:overlap val="-27"/>
        <c:axId val="381352104"/>
        <c:axId val="381352496"/>
      </c:barChart>
      <c:catAx>
        <c:axId val="381352104"/>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n-US"/>
          </a:p>
        </c:txPr>
        <c:crossAx val="381352496"/>
        <c:crosses val="autoZero"/>
        <c:auto val="0"/>
        <c:lblAlgn val="ctr"/>
        <c:lblOffset val="100"/>
        <c:noMultiLvlLbl val="0"/>
      </c:catAx>
      <c:valAx>
        <c:axId val="381352496"/>
        <c:scaling>
          <c:orientation val="minMax"/>
          <c:max val="62"/>
          <c:min val="0"/>
        </c:scaling>
        <c:delete val="0"/>
        <c:axPos val="l"/>
        <c:title>
          <c:tx>
            <c:rich>
              <a:bodyPr rot="-5400000" spcFirstLastPara="1" vertOverflow="ellipsis" vert="horz" wrap="square" anchor="ctr" anchorCtr="1"/>
              <a:lstStyle/>
              <a:p>
                <a:pPr>
                  <a:defRPr sz="1400" b="1" i="0" u="none" strike="noStrike" kern="1200" baseline="0">
                    <a:solidFill>
                      <a:schemeClr val="tx1">
                        <a:lumMod val="65000"/>
                        <a:lumOff val="35000"/>
                      </a:schemeClr>
                    </a:solidFill>
                    <a:latin typeface="+mn-lt"/>
                    <a:ea typeface="+mn-ea"/>
                    <a:cs typeface="+mn-cs"/>
                  </a:defRPr>
                </a:pPr>
                <a:r>
                  <a:rPr lang="en-US" sz="1400" b="1"/>
                  <a:t>SCORES</a:t>
                </a:r>
              </a:p>
            </c:rich>
          </c:tx>
          <c:overlay val="0"/>
          <c:spPr>
            <a:noFill/>
            <a:ln>
              <a:noFill/>
            </a:ln>
            <a:effectLst/>
          </c:spPr>
          <c:txPr>
            <a:bodyPr rot="-5400000" spcFirstLastPara="1" vertOverflow="ellipsis" vert="horz" wrap="square" anchor="ctr" anchorCtr="1"/>
            <a:lstStyle/>
            <a:p>
              <a:pPr>
                <a:defRPr sz="1400" b="1"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n-US"/>
          </a:p>
        </c:txPr>
        <c:crossAx val="381352104"/>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'Chart Data'!$B$1</c:f>
              <c:strCache>
                <c:ptCount val="1"/>
                <c:pt idx="0">
                  <c:v>SCORE</c:v>
                </c:pt>
              </c:strCache>
            </c:strRef>
          </c:tx>
          <c:spPr>
            <a:solidFill>
              <a:schemeClr val="tx1">
                <a:lumMod val="75000"/>
                <a:lumOff val="25000"/>
              </a:schemeClr>
            </a:solidFill>
            <a:ln>
              <a:solidFill>
                <a:schemeClr val="tx1"/>
              </a:solidFill>
            </a:ln>
            <a:effectLst/>
          </c:spPr>
          <c:invertIfNegative val="0"/>
          <c:cat>
            <c:strRef>
              <c:f>'Chart Data'!$A$2:$A$11</c:f>
              <c:strCache>
                <c:ptCount val="10"/>
                <c:pt idx="0">
                  <c:v>Active Listening</c:v>
                </c:pt>
                <c:pt idx="1">
                  <c:v>Critical Thinking</c:v>
                </c:pt>
                <c:pt idx="2">
                  <c:v>Speaking</c:v>
                </c:pt>
                <c:pt idx="3">
                  <c:v>Reading Comprehension</c:v>
                </c:pt>
                <c:pt idx="4">
                  <c:v>Monitoring</c:v>
                </c:pt>
                <c:pt idx="5">
                  <c:v>Social Perceptiveness</c:v>
                </c:pt>
                <c:pt idx="6">
                  <c:v>Judgement &amp; Decision Making</c:v>
                </c:pt>
                <c:pt idx="7">
                  <c:v>Coordination</c:v>
                </c:pt>
                <c:pt idx="8">
                  <c:v>Service Orientation</c:v>
                </c:pt>
                <c:pt idx="9">
                  <c:v>Complex Problem Solving</c:v>
                </c:pt>
              </c:strCache>
            </c:strRef>
          </c:cat>
          <c:val>
            <c:numRef>
              <c:f>'Chart Data'!$B$2:$B$11</c:f>
              <c:numCache>
                <c:formatCode>General</c:formatCode>
                <c:ptCount val="10"/>
                <c:pt idx="0">
                  <c:v>59</c:v>
                </c:pt>
                <c:pt idx="1">
                  <c:v>57</c:v>
                </c:pt>
                <c:pt idx="2">
                  <c:v>57</c:v>
                </c:pt>
                <c:pt idx="3">
                  <c:v>56</c:v>
                </c:pt>
                <c:pt idx="4">
                  <c:v>53</c:v>
                </c:pt>
                <c:pt idx="5">
                  <c:v>52</c:v>
                </c:pt>
                <c:pt idx="6">
                  <c:v>51</c:v>
                </c:pt>
                <c:pt idx="7">
                  <c:v>51</c:v>
                </c:pt>
                <c:pt idx="8">
                  <c:v>50</c:v>
                </c:pt>
                <c:pt idx="9">
                  <c:v>49</c:v>
                </c:pt>
              </c:numCache>
            </c:numRef>
          </c:val>
          <c:extLst>
            <c:ext xmlns:c16="http://schemas.microsoft.com/office/drawing/2014/chart" uri="{C3380CC4-5D6E-409C-BE32-E72D297353CC}">
              <c16:uniqueId val="{00000000-9EA0-422B-9690-83052E1A1A2B}"/>
            </c:ext>
          </c:extLst>
        </c:ser>
        <c:dLbls>
          <c:showLegendKey val="0"/>
          <c:showVal val="0"/>
          <c:showCatName val="0"/>
          <c:showSerName val="0"/>
          <c:showPercent val="0"/>
          <c:showBubbleSize val="0"/>
        </c:dLbls>
        <c:gapWidth val="219"/>
        <c:overlap val="-27"/>
        <c:axId val="381353280"/>
        <c:axId val="381353672"/>
      </c:barChart>
      <c:catAx>
        <c:axId val="381353280"/>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n-US"/>
          </a:p>
        </c:txPr>
        <c:crossAx val="381353672"/>
        <c:crosses val="autoZero"/>
        <c:auto val="0"/>
        <c:lblAlgn val="ctr"/>
        <c:lblOffset val="100"/>
        <c:noMultiLvlLbl val="0"/>
      </c:catAx>
      <c:valAx>
        <c:axId val="381353672"/>
        <c:scaling>
          <c:orientation val="minMax"/>
          <c:max val="60"/>
          <c:min val="0"/>
        </c:scaling>
        <c:delete val="0"/>
        <c:axPos val="l"/>
        <c:title>
          <c:tx>
            <c:rich>
              <a:bodyPr rot="-5400000" spcFirstLastPara="1" vertOverflow="ellipsis" vert="horz" wrap="square" anchor="ctr" anchorCtr="1"/>
              <a:lstStyle/>
              <a:p>
                <a:pPr>
                  <a:defRPr sz="1400" b="1" i="0" u="none" strike="noStrike" kern="1200" baseline="0">
                    <a:solidFill>
                      <a:schemeClr val="tx1">
                        <a:lumMod val="65000"/>
                        <a:lumOff val="35000"/>
                      </a:schemeClr>
                    </a:solidFill>
                    <a:latin typeface="+mn-lt"/>
                    <a:ea typeface="+mn-ea"/>
                    <a:cs typeface="+mn-cs"/>
                  </a:defRPr>
                </a:pPr>
                <a:r>
                  <a:rPr lang="en-US" sz="1400" b="1"/>
                  <a:t>SCORES</a:t>
                </a:r>
              </a:p>
            </c:rich>
          </c:tx>
          <c:overlay val="0"/>
          <c:spPr>
            <a:noFill/>
            <a:ln>
              <a:noFill/>
            </a:ln>
            <a:effectLst/>
          </c:spPr>
          <c:txPr>
            <a:bodyPr rot="-5400000" spcFirstLastPara="1" vertOverflow="ellipsis" vert="horz" wrap="square" anchor="ctr" anchorCtr="1"/>
            <a:lstStyle/>
            <a:p>
              <a:pPr>
                <a:defRPr sz="1400" b="1"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n-US"/>
          </a:p>
        </c:txPr>
        <c:crossAx val="381353280"/>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'Chart Data'!$B$1</c:f>
              <c:strCache>
                <c:ptCount val="1"/>
                <c:pt idx="0">
                  <c:v>SCORE</c:v>
                </c:pt>
              </c:strCache>
            </c:strRef>
          </c:tx>
          <c:spPr>
            <a:solidFill>
              <a:schemeClr val="tx1">
                <a:lumMod val="75000"/>
                <a:lumOff val="25000"/>
              </a:schemeClr>
            </a:solidFill>
            <a:ln>
              <a:solidFill>
                <a:schemeClr val="tx1"/>
              </a:solidFill>
            </a:ln>
            <a:effectLst/>
          </c:spPr>
          <c:invertIfNegative val="0"/>
          <c:cat>
            <c:strRef>
              <c:f>'Chart Data'!$A$2:$A$11</c:f>
              <c:strCache>
                <c:ptCount val="10"/>
                <c:pt idx="0">
                  <c:v>Oral Comprehension</c:v>
                </c:pt>
                <c:pt idx="1">
                  <c:v>Oral Expression</c:v>
                </c:pt>
                <c:pt idx="2">
                  <c:v>Problem Sensitivity</c:v>
                </c:pt>
                <c:pt idx="3">
                  <c:v>Near Vision</c:v>
                </c:pt>
                <c:pt idx="4">
                  <c:v>Deductive Reasoning</c:v>
                </c:pt>
                <c:pt idx="5">
                  <c:v>Written Comprehension</c:v>
                </c:pt>
                <c:pt idx="6">
                  <c:v>Inductive Reasoning</c:v>
                </c:pt>
                <c:pt idx="7">
                  <c:v>Speech Recognition</c:v>
                </c:pt>
                <c:pt idx="8">
                  <c:v>Speech Clarity</c:v>
                </c:pt>
                <c:pt idx="9">
                  <c:v>Arm-Hand Steadiness</c:v>
                </c:pt>
              </c:strCache>
            </c:strRef>
          </c:cat>
          <c:val>
            <c:numRef>
              <c:f>'Chart Data'!$B$2:$B$11</c:f>
              <c:numCache>
                <c:formatCode>General</c:formatCode>
                <c:ptCount val="10"/>
                <c:pt idx="0">
                  <c:v>64</c:v>
                </c:pt>
                <c:pt idx="1">
                  <c:v>63</c:v>
                </c:pt>
                <c:pt idx="2">
                  <c:v>60</c:v>
                </c:pt>
                <c:pt idx="3">
                  <c:v>58</c:v>
                </c:pt>
                <c:pt idx="4">
                  <c:v>57</c:v>
                </c:pt>
                <c:pt idx="5">
                  <c:v>57</c:v>
                </c:pt>
                <c:pt idx="6">
                  <c:v>55</c:v>
                </c:pt>
                <c:pt idx="7">
                  <c:v>55</c:v>
                </c:pt>
                <c:pt idx="8">
                  <c:v>54</c:v>
                </c:pt>
                <c:pt idx="9">
                  <c:v>37</c:v>
                </c:pt>
              </c:numCache>
            </c:numRef>
          </c:val>
          <c:extLst>
            <c:ext xmlns:c16="http://schemas.microsoft.com/office/drawing/2014/chart" uri="{C3380CC4-5D6E-409C-BE32-E72D297353CC}">
              <c16:uniqueId val="{00000000-5750-49A2-BD9D-081B3D7ABC34}"/>
            </c:ext>
          </c:extLst>
        </c:ser>
        <c:dLbls>
          <c:showLegendKey val="0"/>
          <c:showVal val="0"/>
          <c:showCatName val="0"/>
          <c:showSerName val="0"/>
          <c:showPercent val="0"/>
          <c:showBubbleSize val="0"/>
        </c:dLbls>
        <c:gapWidth val="219"/>
        <c:overlap val="-27"/>
        <c:axId val="381354456"/>
        <c:axId val="381354848"/>
      </c:barChart>
      <c:catAx>
        <c:axId val="381354456"/>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n-US"/>
          </a:p>
        </c:txPr>
        <c:crossAx val="381354848"/>
        <c:crosses val="autoZero"/>
        <c:auto val="0"/>
        <c:lblAlgn val="ctr"/>
        <c:lblOffset val="100"/>
        <c:noMultiLvlLbl val="0"/>
      </c:catAx>
      <c:valAx>
        <c:axId val="381354848"/>
        <c:scaling>
          <c:orientation val="minMax"/>
          <c:max val="70"/>
          <c:min val="0"/>
        </c:scaling>
        <c:delete val="0"/>
        <c:axPos val="l"/>
        <c:title>
          <c:tx>
            <c:rich>
              <a:bodyPr rot="-5400000" spcFirstLastPara="1" vertOverflow="ellipsis" vert="horz" wrap="square" anchor="ctr" anchorCtr="1"/>
              <a:lstStyle/>
              <a:p>
                <a:pPr>
                  <a:defRPr sz="1400" b="1" i="0" u="none" strike="noStrike" kern="1200" baseline="0">
                    <a:solidFill>
                      <a:schemeClr val="tx1">
                        <a:lumMod val="65000"/>
                        <a:lumOff val="35000"/>
                      </a:schemeClr>
                    </a:solidFill>
                    <a:latin typeface="+mn-lt"/>
                    <a:ea typeface="+mn-ea"/>
                    <a:cs typeface="+mn-cs"/>
                  </a:defRPr>
                </a:pPr>
                <a:r>
                  <a:rPr lang="en-US" sz="1400" b="1"/>
                  <a:t>SCORES</a:t>
                </a:r>
              </a:p>
            </c:rich>
          </c:tx>
          <c:overlay val="0"/>
          <c:spPr>
            <a:noFill/>
            <a:ln>
              <a:noFill/>
            </a:ln>
            <a:effectLst/>
          </c:spPr>
          <c:txPr>
            <a:bodyPr rot="-5400000" spcFirstLastPara="1" vertOverflow="ellipsis" vert="horz" wrap="square" anchor="ctr" anchorCtr="1"/>
            <a:lstStyle/>
            <a:p>
              <a:pPr>
                <a:defRPr sz="1400" b="1"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n-US"/>
          </a:p>
        </c:txPr>
        <c:crossAx val="38135445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1C8E00929398344E93D5936A7321B326" ma:contentTypeVersion="6" ma:contentTypeDescription="Create a new document." ma:contentTypeScope="" ma:versionID="afbb62afc087dd0f19a79cb1a0d5fab7">
  <xsd:schema xmlns:xsd="http://www.w3.org/2001/XMLSchema" xmlns:xs="http://www.w3.org/2001/XMLSchema" xmlns:p="http://schemas.microsoft.com/office/2006/metadata/properties" xmlns:ns2="5ba8cbed-a5ed-4227-ab51-fd731f15a86f" xmlns:ns3="f4888b62-0d9a-4492-9f55-b3f9fde0a792" targetNamespace="http://schemas.microsoft.com/office/2006/metadata/properties" ma:root="true" ma:fieldsID="330eff7a2ec12a70e9a96446f15d8d36" ns2:_="" ns3:_="">
    <xsd:import namespace="5ba8cbed-a5ed-4227-ab51-fd731f15a86f"/>
    <xsd:import namespace="f4888b62-0d9a-4492-9f55-b3f9fde0a792"/>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AutoTags" minOccurs="0"/>
                <xsd:element ref="ns3:MediaServiceDateTake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ba8cbed-a5ed-4227-ab51-fd731f15a86f"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f4888b62-0d9a-4492-9f55-b3f9fde0a792" elementFormDefault="qualified">
    <xsd:import namespace="http://schemas.microsoft.com/office/2006/documentManagement/types"/>
    <xsd:import namespace="http://schemas.microsoft.com/office/infopath/2007/PartnerControls"/>
    <xsd:element name="MediaServiceMetadata" ma:index="10" nillable="true" ma:displayName="MediaServiceMetadata" ma:description="" ma:hidden="true" ma:internalName="MediaServiceMetadata" ma:readOnly="true">
      <xsd:simpleType>
        <xsd:restriction base="dms:Note"/>
      </xsd:simpleType>
    </xsd:element>
    <xsd:element name="MediaServiceFastMetadata" ma:index="11" nillable="true" ma:displayName="MediaServiceFastMetadata" ma:description="" ma:hidden="true" ma:internalName="MediaServiceFastMetadata" ma:readOnly="true">
      <xsd:simpleType>
        <xsd:restriction base="dms:Note"/>
      </xsd:simpleType>
    </xsd:element>
    <xsd:element name="MediaServiceAutoTags" ma:index="12" nillable="true" ma:displayName="MediaServiceAutoTags" ma:description="" ma:internalName="MediaServiceAutoTags" ma:readOnly="true">
      <xsd:simpleType>
        <xsd:restriction base="dms:Text"/>
      </xsd:simpleType>
    </xsd:element>
    <xsd:element name="MediaServiceDateTaken" ma:index="13" nillable="true" ma:displayName="MediaServiceDateTaken" ma:description="" ma:hidden="true" ma:internalName="MediaServiceDateTake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SharedWithUsers xmlns="5ba8cbed-a5ed-4227-ab51-fd731f15a86f">
      <UserInfo>
        <DisplayName>Madison Farris</DisplayName>
        <AccountId>329</AccountId>
        <AccountType/>
      </UserInfo>
      <UserInfo>
        <DisplayName>Olivia Davidson</DisplayName>
        <AccountId>317</AccountId>
        <AccountType/>
      </UserInfo>
    </SharedWithUser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3E1EB9B-9E28-4769-AC21-F847FE99267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ba8cbed-a5ed-4227-ab51-fd731f15a86f"/>
    <ds:schemaRef ds:uri="f4888b62-0d9a-4492-9f55-b3f9fde0a79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DB31BBBE-46C0-4A6B-953D-EB6EC724374B}">
  <ds:schemaRefs>
    <ds:schemaRef ds:uri="http://schemas.microsoft.com/sharepoint/v3/contenttype/forms"/>
  </ds:schemaRefs>
</ds:datastoreItem>
</file>

<file path=customXml/itemProps3.xml><?xml version="1.0" encoding="utf-8"?>
<ds:datastoreItem xmlns:ds="http://schemas.openxmlformats.org/officeDocument/2006/customXml" ds:itemID="{907E7B62-24B8-4646-BE8C-2891BB3B1AAD}">
  <ds:schemaRefs>
    <ds:schemaRef ds:uri="http://schemas.microsoft.com/office/infopath/2007/PartnerControls"/>
    <ds:schemaRef ds:uri="http://purl.org/dc/elements/1.1/"/>
    <ds:schemaRef ds:uri="http://schemas.microsoft.com/office/2006/metadata/properties"/>
    <ds:schemaRef ds:uri="http://purl.org/dc/terms/"/>
    <ds:schemaRef ds:uri="5ba8cbed-a5ed-4227-ab51-fd731f15a86f"/>
    <ds:schemaRef ds:uri="http://schemas.microsoft.com/office/2006/documentManagement/types"/>
    <ds:schemaRef ds:uri="f4888b62-0d9a-4492-9f55-b3f9fde0a792"/>
    <ds:schemaRef ds:uri="http://schemas.openxmlformats.org/package/2006/metadata/core-properties"/>
    <ds:schemaRef ds:uri="http://www.w3.org/XML/1998/namespace"/>
    <ds:schemaRef ds:uri="http://purl.org/dc/dcmitype/"/>
  </ds:schemaRefs>
</ds:datastoreItem>
</file>

<file path=customXml/itemProps4.xml><?xml version="1.0" encoding="utf-8"?>
<ds:datastoreItem xmlns:ds="http://schemas.openxmlformats.org/officeDocument/2006/customXml" ds:itemID="{F4443279-5851-42A2-9DBB-7C67C31B0C9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267</Pages>
  <Words>103774</Words>
  <Characters>591517</Characters>
  <Application>Microsoft Office Word</Application>
  <DocSecurity>0</DocSecurity>
  <Lines>4929</Lines>
  <Paragraphs>1387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693904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Warren Davis</dc:creator>
  <cp:keywords/>
  <dc:description/>
  <cp:lastModifiedBy>Madison Farris</cp:lastModifiedBy>
  <cp:revision>2</cp:revision>
  <cp:lastPrinted>2018-02-16T17:21:00Z</cp:lastPrinted>
  <dcterms:created xsi:type="dcterms:W3CDTF">2018-03-02T21:42:00Z</dcterms:created>
  <dcterms:modified xsi:type="dcterms:W3CDTF">2018-03-02T21:42:00Z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0x0101001C8E00929398344E93D5936A7321B326</vt:lpwstr>
  </property>
</Properties>
</file>